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ink/ink1.xml" ContentType="application/inkml+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808AC" w14:textId="46DBA07E" w:rsidR="00CF641B" w:rsidRDefault="00CF641B" w:rsidP="00A61217">
      <w:pPr>
        <w:pStyle w:val="1"/>
        <w:rPr>
          <w:rtl/>
        </w:rPr>
      </w:pPr>
      <w:r>
        <w:rPr>
          <w:rFonts w:hint="cs"/>
          <w:rtl/>
        </w:rPr>
        <w:t xml:space="preserve">סימן </w:t>
      </w:r>
      <w:r w:rsidR="007B74F1">
        <w:rPr>
          <w:rFonts w:hint="cs"/>
          <w:rtl/>
        </w:rPr>
        <w:t>קיט</w:t>
      </w:r>
      <w:r>
        <w:rPr>
          <w:rFonts w:hint="cs"/>
          <w:rtl/>
        </w:rPr>
        <w:t>:</w:t>
      </w:r>
      <w:r w:rsidRPr="00C12B74">
        <w:rPr>
          <w:rtl/>
        </w:rPr>
        <w:t xml:space="preserve"> </w:t>
      </w:r>
      <w:r w:rsidR="007B74F1" w:rsidRPr="007B74F1">
        <w:rPr>
          <w:rFonts w:cs="Arial"/>
          <w:rtl/>
        </w:rPr>
        <w:t>מה דבה ימצא באשה שתתגרש ושלא תדור הגרושה עמו בחצר, ובו י"א סעיפים.</w:t>
      </w:r>
    </w:p>
    <w:p w14:paraId="7AEA0342" w14:textId="4CAB8FD5" w:rsidR="00EC459D" w:rsidRDefault="00CF641B" w:rsidP="00786DE6">
      <w:pPr>
        <w:pStyle w:val="2"/>
        <w:rPr>
          <w:rtl/>
        </w:rPr>
      </w:pPr>
      <w:r>
        <w:rPr>
          <w:rtl/>
        </w:rPr>
        <w:t>סעיף א</w:t>
      </w:r>
      <w:r>
        <w:rPr>
          <w:rFonts w:hint="cs"/>
          <w:rtl/>
        </w:rPr>
        <w:t xml:space="preserve">: </w:t>
      </w:r>
      <w:r w:rsidR="00EB1DEB">
        <w:rPr>
          <w:rFonts w:hint="cs"/>
          <w:rtl/>
        </w:rPr>
        <w:t>לישא אשה על דעת לגרשה.</w:t>
      </w:r>
    </w:p>
    <w:p w14:paraId="6CB9B19F" w14:textId="6B50BC5B" w:rsidR="00EB1DEB" w:rsidRPr="00EB1DEB" w:rsidRDefault="00EB1DEB" w:rsidP="00EB1DEB">
      <w:pPr>
        <w:rPr>
          <w:rtl/>
        </w:rPr>
      </w:pPr>
      <w:r w:rsidRPr="00EB1DEB">
        <w:rPr>
          <w:rFonts w:hint="cs"/>
          <w:b/>
          <w:bCs/>
          <w:rtl/>
        </w:rPr>
        <w:t xml:space="preserve">יבמות </w:t>
      </w:r>
      <w:r w:rsidRPr="00EB1DEB">
        <w:rPr>
          <w:rFonts w:hint="cs"/>
          <w:b/>
          <w:bCs/>
          <w:sz w:val="16"/>
          <w:szCs w:val="16"/>
          <w:rtl/>
        </w:rPr>
        <w:t xml:space="preserve">(פ' החולץ) </w:t>
      </w:r>
      <w:r w:rsidRPr="00EB1DEB">
        <w:rPr>
          <w:rFonts w:hint="cs"/>
          <w:b/>
          <w:bCs/>
          <w:rtl/>
        </w:rPr>
        <w:t>לז</w:t>
      </w:r>
      <w:r w:rsidR="00E1308A">
        <w:rPr>
          <w:rStyle w:val="a7"/>
          <w:b/>
          <w:bCs/>
          <w:rtl/>
        </w:rPr>
        <w:footnoteReference w:id="2"/>
      </w:r>
      <w:r w:rsidRPr="00EB1DEB">
        <w:rPr>
          <w:rFonts w:hint="cs"/>
          <w:b/>
          <w:bCs/>
          <w:rtl/>
        </w:rPr>
        <w:t xml:space="preserve"> ע"ב:</w:t>
      </w:r>
      <w:r w:rsidRPr="00EB1DEB">
        <w:rPr>
          <w:rtl/>
        </w:rPr>
        <w:t xml:space="preserve"> </w:t>
      </w:r>
      <w:r w:rsidRPr="00EB1DEB">
        <w:rPr>
          <w:rFonts w:cs="Arial"/>
          <w:rtl/>
        </w:rPr>
        <w:t xml:space="preserve">רב כי איקלע לדרדשיר, מכריז ואמר: מאן הויא ליומא? ורב נחמן כי איקלע לשכנציב, מכריז ואמר: מאן הויא ליומא? שאני רבנן, דפקיע שמייהו. והאמר רבא: תבעוה לינשא ונתפייסה </w:t>
      </w:r>
      <w:r w:rsidR="00A82951">
        <w:rPr>
          <w:rFonts w:cs="Arial"/>
          <w:rtl/>
        </w:rPr>
        <w:t>-</w:t>
      </w:r>
      <w:r w:rsidRPr="00EB1DEB">
        <w:rPr>
          <w:rFonts w:cs="Arial"/>
          <w:rtl/>
        </w:rPr>
        <w:t xml:space="preserve"> צריכה לישב שבעה נקיים! רבנן שלוחייהו הוו משדרי ומודעי להו. ואיבעית אימא: לרבנן יחודי בעלמא הוא דמייחדי להו, דאמר מר: אינו דומה מי שיש לו פת בסלו למי שאין לו פת בסלו. תנא, </w:t>
      </w:r>
      <w:r w:rsidRPr="00EB1DEB">
        <w:rPr>
          <w:rFonts w:cs="Arial"/>
          <w:u w:val="single"/>
          <w:rtl/>
        </w:rPr>
        <w:t>רבי אליעזר בן יעקב אומר</w:t>
      </w:r>
      <w:r w:rsidRPr="00EB1DEB">
        <w:rPr>
          <w:rFonts w:cs="Arial"/>
          <w:rtl/>
        </w:rPr>
        <w:t>: לא ישא אדם אשתו ודעתו לגרשה</w:t>
      </w:r>
      <w:bookmarkStart w:id="0" w:name="_Ref75689820"/>
      <w:r w:rsidR="00405555">
        <w:rPr>
          <w:rStyle w:val="a7"/>
          <w:rFonts w:cs="Arial"/>
          <w:rtl/>
        </w:rPr>
        <w:footnoteReference w:id="3"/>
      </w:r>
      <w:bookmarkEnd w:id="0"/>
      <w:r w:rsidRPr="00EB1DEB">
        <w:rPr>
          <w:rFonts w:cs="Arial"/>
          <w:rtl/>
        </w:rPr>
        <w:t>, משום שנאמר: אל תחרש על רעך רעה והוא יושב לבטח אתך.</w:t>
      </w:r>
    </w:p>
    <w:p w14:paraId="60B76B3F" w14:textId="30AF35B1" w:rsidR="00EB1DEB" w:rsidRPr="00EB1DEB" w:rsidRDefault="00EB1DEB" w:rsidP="00EB1DEB">
      <w:pPr>
        <w:rPr>
          <w:u w:val="single"/>
          <w:rtl/>
        </w:rPr>
      </w:pPr>
      <w:r>
        <w:rPr>
          <w:rFonts w:hint="cs"/>
          <w:u w:val="single"/>
          <w:rtl/>
        </w:rPr>
        <w:t xml:space="preserve">האם מותר </w:t>
      </w:r>
      <w:r w:rsidRPr="00EB1DEB">
        <w:rPr>
          <w:rFonts w:hint="cs"/>
          <w:u w:val="single"/>
          <w:rtl/>
        </w:rPr>
        <w:t>לישא אשה על דעת לגרשה:</w:t>
      </w:r>
    </w:p>
    <w:p w14:paraId="7CC1666A" w14:textId="0617D244" w:rsidR="00E5139A" w:rsidRDefault="00E5139A" w:rsidP="00E5139A">
      <w:pPr>
        <w:pStyle w:val="ab"/>
        <w:numPr>
          <w:ilvl w:val="0"/>
          <w:numId w:val="16"/>
        </w:numPr>
      </w:pPr>
      <w:r>
        <w:rPr>
          <w:rFonts w:cs="Arial" w:hint="cs"/>
          <w:rtl/>
        </w:rPr>
        <w:t>טור</w:t>
      </w:r>
      <w:r w:rsidR="00A82951">
        <w:rPr>
          <w:rFonts w:cs="Arial" w:hint="cs"/>
          <w:rtl/>
        </w:rPr>
        <w:t>-</w:t>
      </w:r>
      <w:r>
        <w:rPr>
          <w:rFonts w:cs="Arial" w:hint="cs"/>
          <w:rtl/>
        </w:rPr>
        <w:t xml:space="preserve"> </w:t>
      </w:r>
      <w:r w:rsidRPr="00FE714F">
        <w:rPr>
          <w:rFonts w:cs="Arial"/>
          <w:rtl/>
        </w:rPr>
        <w:t>לא ישא אדם אשה ודעתו לגרשה</w:t>
      </w:r>
      <w:r>
        <w:rPr>
          <w:rFonts w:cs="Arial" w:hint="cs"/>
          <w:rtl/>
        </w:rPr>
        <w:t>.</w:t>
      </w:r>
      <w:r w:rsidRPr="00FE714F">
        <w:rPr>
          <w:rFonts w:cs="Arial"/>
          <w:rtl/>
        </w:rPr>
        <w:t xml:space="preserve"> </w:t>
      </w:r>
    </w:p>
    <w:p w14:paraId="61ABC297" w14:textId="673672A5" w:rsidR="00EB1DEB" w:rsidRPr="00405555" w:rsidRDefault="00405555" w:rsidP="00405555">
      <w:pPr>
        <w:pStyle w:val="ab"/>
        <w:numPr>
          <w:ilvl w:val="0"/>
          <w:numId w:val="16"/>
        </w:numPr>
        <w:rPr>
          <w:rtl/>
        </w:rPr>
      </w:pPr>
      <w:r>
        <w:rPr>
          <w:rFonts w:cs="Arial" w:hint="cs"/>
          <w:rtl/>
        </w:rPr>
        <w:t>רמב"ם</w:t>
      </w:r>
      <w:r>
        <w:rPr>
          <w:rFonts w:cs="Arial" w:hint="cs"/>
          <w:sz w:val="16"/>
          <w:szCs w:val="16"/>
          <w:rtl/>
        </w:rPr>
        <w:t xml:space="preserve"> (פכ"א מאי"ב הכ"ח</w:t>
      </w:r>
      <w:r w:rsidR="00F80765">
        <w:rPr>
          <w:rFonts w:cs="Arial" w:hint="cs"/>
          <w:sz w:val="16"/>
          <w:szCs w:val="16"/>
          <w:rtl/>
        </w:rPr>
        <w:t>, ו</w:t>
      </w:r>
      <w:r w:rsidR="00E1308A">
        <w:rPr>
          <w:rFonts w:cs="Arial" w:hint="cs"/>
          <w:sz w:val="16"/>
          <w:szCs w:val="16"/>
          <w:rtl/>
        </w:rPr>
        <w:t xml:space="preserve">כן </w:t>
      </w:r>
      <w:r w:rsidR="00F80765">
        <w:rPr>
          <w:rFonts w:cs="Arial" w:hint="cs"/>
          <w:sz w:val="16"/>
          <w:szCs w:val="16"/>
          <w:rtl/>
        </w:rPr>
        <w:t>בפ"י מגרושין הכ"א</w:t>
      </w:r>
      <w:r>
        <w:rPr>
          <w:rFonts w:cs="Arial" w:hint="cs"/>
          <w:sz w:val="16"/>
          <w:szCs w:val="16"/>
          <w:rtl/>
        </w:rPr>
        <w:t>)</w:t>
      </w:r>
      <w:r>
        <w:rPr>
          <w:rFonts w:cs="Arial" w:hint="cs"/>
          <w:rtl/>
        </w:rPr>
        <w:t xml:space="preserve"> ורמ"ה </w:t>
      </w:r>
      <w:r w:rsidRPr="00405555">
        <w:rPr>
          <w:rFonts w:cs="Arial"/>
          <w:sz w:val="16"/>
          <w:szCs w:val="16"/>
          <w:rtl/>
        </w:rPr>
        <w:t>(</w:t>
      </w:r>
      <w:r>
        <w:rPr>
          <w:rFonts w:cs="Arial" w:hint="cs"/>
          <w:sz w:val="16"/>
          <w:szCs w:val="16"/>
          <w:rtl/>
        </w:rPr>
        <w:t>כ"כ בשמו רי"ו [</w:t>
      </w:r>
      <w:r w:rsidRPr="00405555">
        <w:rPr>
          <w:rFonts w:cs="Arial"/>
          <w:sz w:val="16"/>
          <w:szCs w:val="16"/>
          <w:rtl/>
        </w:rPr>
        <w:t>נכ"ב ח"ב קצג:</w:t>
      </w:r>
      <w:r>
        <w:rPr>
          <w:rFonts w:cs="Arial" w:hint="cs"/>
          <w:sz w:val="16"/>
          <w:szCs w:val="16"/>
          <w:rtl/>
        </w:rPr>
        <w:t>]</w:t>
      </w:r>
      <w:r w:rsidRPr="00405555">
        <w:rPr>
          <w:rFonts w:cs="Arial"/>
          <w:sz w:val="16"/>
          <w:szCs w:val="16"/>
          <w:rtl/>
        </w:rPr>
        <w:t>)</w:t>
      </w:r>
      <w:r w:rsidR="00A82951">
        <w:rPr>
          <w:rFonts w:cs="Arial" w:hint="cs"/>
          <w:rtl/>
        </w:rPr>
        <w:t>-</w:t>
      </w:r>
      <w:r>
        <w:rPr>
          <w:rFonts w:cs="Arial" w:hint="cs"/>
          <w:rtl/>
        </w:rPr>
        <w:t xml:space="preserve"> </w:t>
      </w:r>
      <w:r w:rsidRPr="00405555">
        <w:rPr>
          <w:rFonts w:cs="Arial"/>
          <w:rtl/>
        </w:rPr>
        <w:t>אסור לאדם לישא אשה ודעתו לגרשה</w:t>
      </w:r>
      <w:r w:rsidR="00E1308A">
        <w:rPr>
          <w:rFonts w:cs="Arial" w:hint="cs"/>
          <w:rtl/>
        </w:rPr>
        <w:t>,</w:t>
      </w:r>
      <w:r w:rsidRPr="00405555">
        <w:rPr>
          <w:rFonts w:cs="Arial"/>
          <w:rtl/>
        </w:rPr>
        <w:t xml:space="preserve"> שנאמר אל תחרוש על רעך רעה והוא יושב לבטח אתך</w:t>
      </w:r>
      <w:r w:rsidR="00E1308A">
        <w:rPr>
          <w:rFonts w:cs="Arial" w:hint="cs"/>
          <w:rtl/>
        </w:rPr>
        <w:t>.</w:t>
      </w:r>
      <w:r w:rsidRPr="00405555">
        <w:rPr>
          <w:rFonts w:cs="Arial"/>
          <w:rtl/>
        </w:rPr>
        <w:t xml:space="preserve"> ואם הודיעה בתחלה שהוא נושא אותה לימים מותר</w:t>
      </w:r>
      <w:r>
        <w:rPr>
          <w:rFonts w:cs="Arial" w:hint="cs"/>
          <w:sz w:val="16"/>
          <w:szCs w:val="16"/>
          <w:rtl/>
        </w:rPr>
        <w:t xml:space="preserve"> (ל' הרמב"ם)</w:t>
      </w:r>
      <w:r w:rsidRPr="00405555">
        <w:rPr>
          <w:rFonts w:cs="Arial"/>
          <w:rtl/>
        </w:rPr>
        <w:t>.</w:t>
      </w:r>
      <w:r w:rsidR="004617D4">
        <w:rPr>
          <w:rFonts w:cs="Arial" w:hint="cs"/>
          <w:rtl/>
        </w:rPr>
        <w:t xml:space="preserve"> </w:t>
      </w:r>
      <w:r w:rsidR="004617D4" w:rsidRPr="004617D4">
        <w:rPr>
          <w:rFonts w:cs="Arial" w:hint="cs"/>
          <w:color w:val="E36C0A" w:themeColor="accent6" w:themeShade="BF"/>
          <w:rtl/>
        </w:rPr>
        <w:t>(וכ"פ בשו"ע)</w:t>
      </w:r>
      <w:r w:rsidR="00EC459D" w:rsidRPr="00405555">
        <w:rPr>
          <w:rFonts w:cs="Arial"/>
          <w:rtl/>
        </w:rPr>
        <w:t xml:space="preserve"> </w:t>
      </w:r>
    </w:p>
    <w:p w14:paraId="02AF3B8A" w14:textId="77777777" w:rsidR="007B74F1" w:rsidRPr="007B74F1" w:rsidRDefault="007B74F1" w:rsidP="007B74F1">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A102643" w14:textId="6A12CB90" w:rsidR="007B74F1" w:rsidRDefault="007B74F1" w:rsidP="007B74F1">
      <w:pPr>
        <w:rPr>
          <w:rFonts w:cs="Arial"/>
          <w:rtl/>
        </w:rPr>
      </w:pPr>
      <w:r w:rsidRPr="007B74F1">
        <w:rPr>
          <w:rFonts w:cs="Arial"/>
          <w:rtl/>
        </w:rPr>
        <w:t xml:space="preserve">לא ישא אדם אשה ודעתו לגרשה. ואם הודיעה בתחלה שהוא נושא אותה לימים, מותר. </w:t>
      </w:r>
    </w:p>
    <w:p w14:paraId="6E183BAF" w14:textId="77777777" w:rsidR="00C71ED5" w:rsidRPr="007B74F1" w:rsidRDefault="00C71ED5" w:rsidP="007B74F1">
      <w:pPr>
        <w:rPr>
          <w:rFonts w:cs="Arial"/>
          <w:rtl/>
        </w:rPr>
      </w:pPr>
    </w:p>
    <w:p w14:paraId="1898B2EE" w14:textId="22B6885A" w:rsidR="007B74F1" w:rsidRDefault="007B74F1" w:rsidP="00786DE6">
      <w:pPr>
        <w:pStyle w:val="2"/>
        <w:rPr>
          <w:rtl/>
        </w:rPr>
      </w:pPr>
      <w:r w:rsidRPr="007B74F1">
        <w:rPr>
          <w:rtl/>
        </w:rPr>
        <w:t>סעיף ב</w:t>
      </w:r>
      <w:r w:rsidR="00C71ED5">
        <w:rPr>
          <w:rFonts w:hint="cs"/>
          <w:rtl/>
        </w:rPr>
        <w:t>:</w:t>
      </w:r>
      <w:r w:rsidR="008645A0">
        <w:rPr>
          <w:rFonts w:hint="cs"/>
          <w:rtl/>
        </w:rPr>
        <w:t xml:space="preserve"> </w:t>
      </w:r>
      <w:r w:rsidR="004617D4">
        <w:rPr>
          <w:rFonts w:hint="cs"/>
          <w:rtl/>
        </w:rPr>
        <w:t>היושב עם אשתו ודעתו לגרשה.</w:t>
      </w:r>
    </w:p>
    <w:p w14:paraId="01AB9CFC" w14:textId="1809DE38" w:rsidR="008645A0" w:rsidRDefault="008645A0" w:rsidP="008645A0">
      <w:pPr>
        <w:rPr>
          <w:rtl/>
        </w:rPr>
      </w:pPr>
      <w:r w:rsidRPr="008645A0">
        <w:rPr>
          <w:rFonts w:cs="Arial" w:hint="cs"/>
          <w:b/>
          <w:bCs/>
          <w:rtl/>
        </w:rPr>
        <w:t xml:space="preserve">גיטין </w:t>
      </w:r>
      <w:r>
        <w:rPr>
          <w:rFonts w:cs="Arial" w:hint="cs"/>
          <w:b/>
          <w:bCs/>
          <w:sz w:val="16"/>
          <w:szCs w:val="16"/>
          <w:rtl/>
        </w:rPr>
        <w:t xml:space="preserve">(פ' בתרא) </w:t>
      </w:r>
      <w:r w:rsidRPr="008645A0">
        <w:rPr>
          <w:rFonts w:cs="Arial" w:hint="cs"/>
          <w:b/>
          <w:bCs/>
          <w:rtl/>
        </w:rPr>
        <w:t xml:space="preserve">צ ע"א: </w:t>
      </w:r>
      <w:r w:rsidRPr="008645A0">
        <w:rPr>
          <w:rFonts w:cs="Arial"/>
          <w:u w:val="single"/>
          <w:rtl/>
        </w:rPr>
        <w:t>א"ל רב משרשיא לרבא</w:t>
      </w:r>
      <w:r w:rsidRPr="008645A0">
        <w:rPr>
          <w:rFonts w:cs="Arial"/>
          <w:rtl/>
        </w:rPr>
        <w:t>: אם לבו לגרשה והיא יושבת תחתיו ומשמשתו, מהו? קרי עליה: אל תחרש על רעך רעה והוא יושב לבטח אתך.</w:t>
      </w:r>
    </w:p>
    <w:p w14:paraId="4D9ECD41" w14:textId="41EE8937" w:rsidR="008645A0" w:rsidRPr="004617D4" w:rsidRDefault="004617D4" w:rsidP="008645A0">
      <w:pPr>
        <w:rPr>
          <w:u w:val="single"/>
          <w:rtl/>
        </w:rPr>
      </w:pPr>
      <w:r w:rsidRPr="004617D4">
        <w:rPr>
          <w:rFonts w:hint="cs"/>
          <w:u w:val="single"/>
          <w:rtl/>
        </w:rPr>
        <w:t>היושב עם אשתו ודעתו לגרשה:</w:t>
      </w:r>
    </w:p>
    <w:p w14:paraId="6526D2BD" w14:textId="59106AD9" w:rsidR="00E5139A" w:rsidRPr="00E5139A" w:rsidRDefault="00F80765" w:rsidP="00E5139A">
      <w:pPr>
        <w:pStyle w:val="ab"/>
        <w:numPr>
          <w:ilvl w:val="0"/>
          <w:numId w:val="17"/>
        </w:numPr>
        <w:rPr>
          <w:rFonts w:cs="Arial"/>
          <w:rtl/>
        </w:rPr>
      </w:pPr>
      <w:r>
        <w:rPr>
          <w:rFonts w:cs="Arial" w:hint="cs"/>
          <w:rtl/>
        </w:rPr>
        <w:t xml:space="preserve">רמב"ם </w:t>
      </w:r>
      <w:r>
        <w:rPr>
          <w:rFonts w:cs="Arial" w:hint="cs"/>
          <w:sz w:val="16"/>
          <w:szCs w:val="16"/>
          <w:rtl/>
        </w:rPr>
        <w:t>(פ"י מגרושין הכ"א)</w:t>
      </w:r>
      <w:r>
        <w:rPr>
          <w:rFonts w:cs="Arial" w:hint="cs"/>
          <w:rtl/>
        </w:rPr>
        <w:t xml:space="preserve"> ו</w:t>
      </w:r>
      <w:r w:rsidR="00E5139A" w:rsidRPr="00E5139A">
        <w:rPr>
          <w:rFonts w:cs="Arial" w:hint="cs"/>
          <w:rtl/>
        </w:rPr>
        <w:t>טור</w:t>
      </w:r>
      <w:r w:rsidR="00A82951">
        <w:rPr>
          <w:rFonts w:cs="Arial" w:hint="cs"/>
          <w:rtl/>
        </w:rPr>
        <w:t>-</w:t>
      </w:r>
      <w:r w:rsidR="00E5139A" w:rsidRPr="00E5139A">
        <w:rPr>
          <w:rFonts w:cs="Arial" w:hint="cs"/>
          <w:rtl/>
        </w:rPr>
        <w:t xml:space="preserve"> </w:t>
      </w:r>
      <w:r w:rsidR="00E5139A" w:rsidRPr="00E5139A">
        <w:rPr>
          <w:rFonts w:cs="Arial"/>
          <w:rtl/>
        </w:rPr>
        <w:t>וכן היושב עם אשתו ודעתו לגרשה עובר משום אל תחרוש על רעך רעה</w:t>
      </w:r>
      <w:r>
        <w:rPr>
          <w:rFonts w:cs="Arial" w:hint="cs"/>
          <w:sz w:val="16"/>
          <w:szCs w:val="16"/>
          <w:rtl/>
        </w:rPr>
        <w:t xml:space="preserve"> (ל' הטור)</w:t>
      </w:r>
      <w:r w:rsidR="00E5139A" w:rsidRPr="00E5139A">
        <w:rPr>
          <w:rFonts w:cs="Arial" w:hint="cs"/>
          <w:rtl/>
        </w:rPr>
        <w:t>.</w:t>
      </w:r>
      <w:r w:rsidR="004617D4" w:rsidRPr="004617D4">
        <w:rPr>
          <w:rFonts w:cs="Arial" w:hint="cs"/>
          <w:color w:val="E36C0A" w:themeColor="accent6" w:themeShade="BF"/>
          <w:rtl/>
        </w:rPr>
        <w:t xml:space="preserve"> (וכ"פ בשו"ע)</w:t>
      </w:r>
    </w:p>
    <w:p w14:paraId="581C6F80" w14:textId="381B3D46" w:rsidR="000F4DF0" w:rsidRPr="000F4DF0" w:rsidRDefault="000F4DF0" w:rsidP="000F4DF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5151F17" w14:textId="197B9276" w:rsidR="007B74F1" w:rsidRDefault="007B74F1" w:rsidP="007B74F1">
      <w:pPr>
        <w:rPr>
          <w:rFonts w:cs="Arial"/>
          <w:rtl/>
        </w:rPr>
      </w:pPr>
      <w:r w:rsidRPr="007B74F1">
        <w:rPr>
          <w:rFonts w:cs="Arial"/>
          <w:rtl/>
        </w:rPr>
        <w:t>לא תהיה יושבת תחתיו ומשמשתו, ודעתו לגרשה</w:t>
      </w:r>
      <w:r w:rsidR="00A9220D">
        <w:rPr>
          <w:rStyle w:val="a7"/>
          <w:rFonts w:cs="Arial"/>
          <w:rtl/>
        </w:rPr>
        <w:footnoteReference w:id="4"/>
      </w:r>
      <w:r w:rsidRPr="007B74F1">
        <w:rPr>
          <w:rFonts w:cs="Arial"/>
          <w:rtl/>
        </w:rPr>
        <w:t xml:space="preserve">. </w:t>
      </w:r>
    </w:p>
    <w:p w14:paraId="7FE71A08" w14:textId="77777777" w:rsidR="00C71ED5" w:rsidRPr="007B74F1" w:rsidRDefault="00C71ED5" w:rsidP="007B74F1">
      <w:pPr>
        <w:rPr>
          <w:rFonts w:cs="Arial"/>
          <w:rtl/>
        </w:rPr>
      </w:pPr>
    </w:p>
    <w:p w14:paraId="06568BE7" w14:textId="66F154EB" w:rsidR="007B74F1" w:rsidRDefault="007B74F1" w:rsidP="00786DE6">
      <w:pPr>
        <w:pStyle w:val="2"/>
        <w:rPr>
          <w:rtl/>
        </w:rPr>
      </w:pPr>
      <w:r w:rsidRPr="007B74F1">
        <w:rPr>
          <w:rtl/>
        </w:rPr>
        <w:t>סעיף ג</w:t>
      </w:r>
      <w:r w:rsidR="00C71ED5">
        <w:rPr>
          <w:rFonts w:hint="cs"/>
          <w:rtl/>
        </w:rPr>
        <w:t>:</w:t>
      </w:r>
      <w:r w:rsidR="00616BEC">
        <w:rPr>
          <w:rFonts w:hint="cs"/>
          <w:rtl/>
        </w:rPr>
        <w:t xml:space="preserve"> מתי ועל מה יגרש אדם את אשתו.</w:t>
      </w:r>
    </w:p>
    <w:p w14:paraId="522C359A" w14:textId="13CD716C" w:rsidR="00160F57" w:rsidRPr="00160F57" w:rsidRDefault="00160F57" w:rsidP="00160F57">
      <w:pPr>
        <w:rPr>
          <w:rtl/>
        </w:rPr>
      </w:pPr>
      <w:r w:rsidRPr="00160F57">
        <w:rPr>
          <w:rFonts w:cs="Arial" w:hint="cs"/>
          <w:b/>
          <w:bCs/>
          <w:rtl/>
        </w:rPr>
        <w:t xml:space="preserve">דברים </w:t>
      </w:r>
      <w:r>
        <w:rPr>
          <w:rFonts w:cs="Arial" w:hint="cs"/>
          <w:b/>
          <w:bCs/>
          <w:sz w:val="16"/>
          <w:szCs w:val="16"/>
          <w:rtl/>
        </w:rPr>
        <w:t>(פרשת כי תצא)</w:t>
      </w:r>
      <w:r>
        <w:rPr>
          <w:rFonts w:cs="Arial" w:hint="cs"/>
          <w:b/>
          <w:bCs/>
          <w:rtl/>
        </w:rPr>
        <w:t xml:space="preserve"> </w:t>
      </w:r>
      <w:r w:rsidRPr="00160F57">
        <w:rPr>
          <w:rFonts w:cs="Arial" w:hint="cs"/>
          <w:b/>
          <w:bCs/>
          <w:rtl/>
        </w:rPr>
        <w:t>פרק כד:</w:t>
      </w:r>
      <w:r w:rsidRPr="00160F57">
        <w:rPr>
          <w:rFonts w:cs="Arial"/>
          <w:rtl/>
        </w:rPr>
        <w:t xml:space="preserve"> </w:t>
      </w:r>
      <w:r w:rsidR="00B05510">
        <w:rPr>
          <w:rFonts w:cs="Arial" w:hint="cs"/>
          <w:rtl/>
        </w:rPr>
        <w:t xml:space="preserve">(א) </w:t>
      </w:r>
      <w:r w:rsidRPr="00160F57">
        <w:rPr>
          <w:rFonts w:cs="Arial"/>
          <w:rtl/>
        </w:rPr>
        <w:t>כִּֽי־יִקַּ֥ח אִ֛ישׁ אִשָּׁ֖ה וּבְעָלָ֑הּ וְהָיָ֞ה אִם־לֹ֧א תִמְצָא־חֵ֣ן בְּעֵינָ֗יו כִּי־מָ֤צָא בָהּ֙ עֶרְוַ֣ת דָּבָ֔ר וְכָ֨תַב לָ֜הּ סֵ֤פֶר כְּרִיתֻת֙ וְנָתַ֣ן בְּיָדָ֔הּ וְשִׁלְּחָ֖הּ מִבֵּיתֽוֹ:</w:t>
      </w:r>
      <w:r w:rsidR="00B05510" w:rsidRPr="00B05510">
        <w:rPr>
          <w:rtl/>
        </w:rPr>
        <w:t xml:space="preserve"> </w:t>
      </w:r>
      <w:r w:rsidR="00B05510" w:rsidRPr="00B05510">
        <w:rPr>
          <w:rFonts w:cs="Arial"/>
          <w:rtl/>
        </w:rPr>
        <w:t>(ב) וְיָצְאָ֖ה מִבֵּית֑וֹ וְהָלְכָ֖ה וְהָיְתָ֥ה לְאִישׁ־אַחֵֽר:</w:t>
      </w:r>
    </w:p>
    <w:p w14:paraId="581C602A" w14:textId="5A3823BE" w:rsidR="00B22FAF" w:rsidRDefault="00701DC6" w:rsidP="00160F57">
      <w:pPr>
        <w:rPr>
          <w:rtl/>
        </w:rPr>
      </w:pPr>
      <w:r w:rsidRPr="008645A0">
        <w:rPr>
          <w:rFonts w:cs="Arial" w:hint="cs"/>
          <w:b/>
          <w:bCs/>
          <w:rtl/>
        </w:rPr>
        <w:lastRenderedPageBreak/>
        <w:t xml:space="preserve">גיטין </w:t>
      </w:r>
      <w:r>
        <w:rPr>
          <w:rFonts w:cs="Arial" w:hint="cs"/>
          <w:b/>
          <w:bCs/>
          <w:sz w:val="16"/>
          <w:szCs w:val="16"/>
          <w:rtl/>
        </w:rPr>
        <w:t xml:space="preserve">(פ' בתרא) </w:t>
      </w:r>
      <w:r w:rsidRPr="008645A0">
        <w:rPr>
          <w:rFonts w:cs="Arial" w:hint="cs"/>
          <w:b/>
          <w:bCs/>
          <w:rtl/>
        </w:rPr>
        <w:t>צ</w:t>
      </w:r>
      <w:r w:rsidR="00E62E2E">
        <w:rPr>
          <w:rStyle w:val="a7"/>
          <w:rFonts w:cs="Arial"/>
          <w:b/>
          <w:bCs/>
          <w:rtl/>
        </w:rPr>
        <w:footnoteReference w:id="5"/>
      </w:r>
      <w:r w:rsidRPr="008645A0">
        <w:rPr>
          <w:rFonts w:cs="Arial" w:hint="cs"/>
          <w:b/>
          <w:bCs/>
          <w:rtl/>
        </w:rPr>
        <w:t xml:space="preserve"> ע"א: </w:t>
      </w:r>
      <w:r w:rsidRPr="00701DC6">
        <w:rPr>
          <w:rFonts w:cs="Arial"/>
          <w:u w:val="double"/>
          <w:rtl/>
        </w:rPr>
        <w:t>מתני'</w:t>
      </w:r>
      <w:r>
        <w:rPr>
          <w:rFonts w:cs="Arial" w:hint="cs"/>
          <w:rtl/>
        </w:rPr>
        <w:t>:</w:t>
      </w:r>
      <w:r>
        <w:rPr>
          <w:rFonts w:cs="Arial"/>
          <w:rtl/>
        </w:rPr>
        <w:t xml:space="preserve"> </w:t>
      </w:r>
      <w:r w:rsidRPr="00701DC6">
        <w:rPr>
          <w:rFonts w:cs="Arial"/>
          <w:u w:val="single"/>
          <w:rtl/>
        </w:rPr>
        <w:t>בית שמאי אומרים</w:t>
      </w:r>
      <w:r>
        <w:rPr>
          <w:rFonts w:cs="Arial"/>
          <w:rtl/>
        </w:rPr>
        <w:t>: לא יגרש אדם את אשתו אלא אם כן מצא בה דבר ערוה, שנאמר: כי מצא בה ערות דבר</w:t>
      </w:r>
      <w:r>
        <w:rPr>
          <w:rFonts w:cs="Arial" w:hint="cs"/>
          <w:rtl/>
        </w:rPr>
        <w:t>.</w:t>
      </w:r>
      <w:r>
        <w:rPr>
          <w:rFonts w:cs="Arial"/>
          <w:rtl/>
        </w:rPr>
        <w:t xml:space="preserve"> </w:t>
      </w:r>
      <w:r w:rsidRPr="00701DC6">
        <w:rPr>
          <w:rFonts w:cs="Arial"/>
          <w:u w:val="single"/>
          <w:rtl/>
        </w:rPr>
        <w:t>ובית הלל אומרים</w:t>
      </w:r>
      <w:r>
        <w:rPr>
          <w:rFonts w:cs="Arial"/>
          <w:rtl/>
        </w:rPr>
        <w:t>: אפילו הקדיחה תבשילו, שנאמר: כי מצא בה ערות דבר</w:t>
      </w:r>
      <w:r w:rsidR="001E1257">
        <w:rPr>
          <w:rStyle w:val="a7"/>
          <w:rFonts w:cs="Arial"/>
          <w:rtl/>
        </w:rPr>
        <w:footnoteReference w:id="6"/>
      </w:r>
      <w:r>
        <w:rPr>
          <w:rFonts w:cs="Arial" w:hint="cs"/>
          <w:rtl/>
        </w:rPr>
        <w:t>.</w:t>
      </w:r>
      <w:r>
        <w:rPr>
          <w:rFonts w:cs="Arial"/>
          <w:rtl/>
        </w:rPr>
        <w:t xml:space="preserve"> </w:t>
      </w:r>
      <w:r w:rsidRPr="00701DC6">
        <w:rPr>
          <w:rFonts w:cs="Arial"/>
          <w:u w:val="single"/>
          <w:rtl/>
        </w:rPr>
        <w:t>ר' עקיבא אומר</w:t>
      </w:r>
      <w:r w:rsidR="001E1257">
        <w:rPr>
          <w:rStyle w:val="a7"/>
          <w:rFonts w:cs="Arial"/>
          <w:u w:val="single"/>
          <w:rtl/>
        </w:rPr>
        <w:footnoteReference w:id="7"/>
      </w:r>
      <w:r>
        <w:rPr>
          <w:rFonts w:cs="Arial"/>
          <w:rtl/>
        </w:rPr>
        <w:t xml:space="preserve">: אפי' מצא אחרת נאה הימנה, שנאמ': והיה אם לא תמצא חן בעיניו. </w:t>
      </w:r>
      <w:r>
        <w:rPr>
          <w:rFonts w:hint="cs"/>
          <w:rtl/>
        </w:rPr>
        <w:t xml:space="preserve">         </w:t>
      </w:r>
      <w:r w:rsidRPr="00701DC6">
        <w:rPr>
          <w:rFonts w:cs="Arial"/>
          <w:u w:val="double"/>
          <w:rtl/>
        </w:rPr>
        <w:t>גמ'</w:t>
      </w:r>
      <w:r>
        <w:rPr>
          <w:rFonts w:cs="Arial" w:hint="cs"/>
          <w:rtl/>
        </w:rPr>
        <w:t>:</w:t>
      </w:r>
      <w:r>
        <w:rPr>
          <w:rFonts w:cs="Arial"/>
          <w:rtl/>
        </w:rPr>
        <w:t xml:space="preserve"> תניא, </w:t>
      </w:r>
      <w:r w:rsidRPr="00444841">
        <w:rPr>
          <w:rFonts w:cs="Arial"/>
          <w:u w:val="single"/>
          <w:rtl/>
        </w:rPr>
        <w:t>אמרו בית הלל לבית שמאי</w:t>
      </w:r>
      <w:r>
        <w:rPr>
          <w:rFonts w:cs="Arial"/>
          <w:rtl/>
        </w:rPr>
        <w:t xml:space="preserve">: והלא כבר נאמר דבר! </w:t>
      </w:r>
      <w:r w:rsidRPr="00444841">
        <w:rPr>
          <w:rFonts w:cs="Arial"/>
          <w:u w:val="single"/>
          <w:rtl/>
        </w:rPr>
        <w:t>אמרו להם ב"ש</w:t>
      </w:r>
      <w:r>
        <w:rPr>
          <w:rFonts w:cs="Arial"/>
          <w:rtl/>
        </w:rPr>
        <w:t xml:space="preserve">: והלא כבר נאמר ערות! </w:t>
      </w:r>
      <w:r w:rsidRPr="00444841">
        <w:rPr>
          <w:rFonts w:cs="Arial"/>
          <w:u w:val="single"/>
          <w:rtl/>
        </w:rPr>
        <w:t>אמרו להם ב"ה</w:t>
      </w:r>
      <w:r>
        <w:rPr>
          <w:rFonts w:cs="Arial"/>
          <w:rtl/>
        </w:rPr>
        <w:t>: אם נאמר ערות ולא נאמר דבר, הייתי אומר משום ערוה תצא</w:t>
      </w:r>
      <w:r w:rsidR="00444841">
        <w:rPr>
          <w:rFonts w:cs="Arial" w:hint="cs"/>
          <w:rtl/>
        </w:rPr>
        <w:t>,</w:t>
      </w:r>
      <w:r>
        <w:rPr>
          <w:rFonts w:cs="Arial"/>
          <w:rtl/>
        </w:rPr>
        <w:t xml:space="preserve"> משום דבר לא תצא, לכך נאמר דבר</w:t>
      </w:r>
      <w:r w:rsidR="00444841">
        <w:rPr>
          <w:rFonts w:cs="Arial" w:hint="cs"/>
          <w:rtl/>
        </w:rPr>
        <w:t>.</w:t>
      </w:r>
      <w:r>
        <w:rPr>
          <w:rFonts w:cs="Arial"/>
          <w:rtl/>
        </w:rPr>
        <w:t xml:space="preserve"> ואילו נאמר דבר ולא נאמר ערות, הייתי אומר משום דבר תנשא</w:t>
      </w:r>
      <w:r w:rsidR="00017E97">
        <w:rPr>
          <w:rStyle w:val="a7"/>
          <w:rFonts w:cs="Arial"/>
          <w:rtl/>
        </w:rPr>
        <w:footnoteReference w:id="8"/>
      </w:r>
      <w:r>
        <w:rPr>
          <w:rFonts w:cs="Arial"/>
          <w:rtl/>
        </w:rPr>
        <w:t xml:space="preserve"> לאחר</w:t>
      </w:r>
      <w:r w:rsidR="00444841">
        <w:rPr>
          <w:rFonts w:cs="Arial" w:hint="cs"/>
          <w:rtl/>
        </w:rPr>
        <w:t>,</w:t>
      </w:r>
      <w:r>
        <w:rPr>
          <w:rFonts w:cs="Arial"/>
          <w:rtl/>
        </w:rPr>
        <w:t xml:space="preserve"> ומשום ערוה לא תנשא לאחר, לכך נאמר ערות. וב"ש האי דבר מאי עבדי ליה? נאמר כאן דבר ונאמר להלן דבר, על פי שני עדים או על פי שלשה עדים יקום דבר, מה להלן בשני עדים, אף כאן בשני עדים</w:t>
      </w:r>
      <w:r w:rsidR="00017E97">
        <w:rPr>
          <w:rStyle w:val="a7"/>
          <w:rFonts w:cs="Arial"/>
          <w:rtl/>
        </w:rPr>
        <w:footnoteReference w:id="9"/>
      </w:r>
      <w:r>
        <w:rPr>
          <w:rFonts w:cs="Arial"/>
          <w:rtl/>
        </w:rPr>
        <w:t>. וב"ה</w:t>
      </w:r>
      <w:r w:rsidR="00017E97">
        <w:rPr>
          <w:rStyle w:val="a7"/>
          <w:rFonts w:cs="Arial"/>
          <w:rtl/>
        </w:rPr>
        <w:footnoteReference w:id="10"/>
      </w:r>
      <w:r>
        <w:rPr>
          <w:rFonts w:cs="Arial"/>
          <w:rtl/>
        </w:rPr>
        <w:t>? מי כתיב ערוה בדבר</w:t>
      </w:r>
      <w:r w:rsidR="00017E97">
        <w:rPr>
          <w:rStyle w:val="a7"/>
          <w:rFonts w:cs="Arial"/>
          <w:rtl/>
        </w:rPr>
        <w:footnoteReference w:id="11"/>
      </w:r>
      <w:r>
        <w:rPr>
          <w:rFonts w:cs="Arial"/>
          <w:rtl/>
        </w:rPr>
        <w:t>? וב"ש? מי כתיב או ערוה או דבר? וב"ה</w:t>
      </w:r>
      <w:r w:rsidR="00017E97">
        <w:rPr>
          <w:rStyle w:val="a7"/>
          <w:rFonts w:cs="Arial"/>
          <w:rtl/>
        </w:rPr>
        <w:footnoteReference w:id="12"/>
      </w:r>
      <w:r>
        <w:rPr>
          <w:rFonts w:cs="Arial"/>
          <w:rtl/>
        </w:rPr>
        <w:t>? להכי כתיב ערות דבר, דמשמע הכי ומשמע הכי. ר"ע אומר: אפי' מצא אחרת. במאי קא מיפלגי? בדר"ל, דאמר ריש לקיש: כי משמש בד' לשונות: אי, דלמא, אלא, דהא</w:t>
      </w:r>
      <w:r w:rsidR="00C5794E">
        <w:rPr>
          <w:rFonts w:cs="Arial" w:hint="cs"/>
          <w:rtl/>
        </w:rPr>
        <w:t>.</w:t>
      </w:r>
      <w:r>
        <w:rPr>
          <w:rFonts w:cs="Arial"/>
          <w:rtl/>
        </w:rPr>
        <w:t xml:space="preserve"> ב"ש סברי: והיה אם לא תמצא חן בעיניו כי מצא בה ערות דבר </w:t>
      </w:r>
      <w:r w:rsidR="00A82951">
        <w:rPr>
          <w:rFonts w:cs="Arial"/>
          <w:rtl/>
        </w:rPr>
        <w:t>-</w:t>
      </w:r>
      <w:r>
        <w:rPr>
          <w:rFonts w:cs="Arial"/>
          <w:rtl/>
        </w:rPr>
        <w:t xml:space="preserve"> דהא מצא בה ערות דבר</w:t>
      </w:r>
      <w:r w:rsidR="00C5794E">
        <w:rPr>
          <w:rFonts w:cs="Arial" w:hint="cs"/>
          <w:rtl/>
        </w:rPr>
        <w:t>.</w:t>
      </w:r>
      <w:r>
        <w:rPr>
          <w:rFonts w:cs="Arial"/>
          <w:rtl/>
        </w:rPr>
        <w:t xml:space="preserve"> ור"ע סבר: כי מצא בה ערות דבר </w:t>
      </w:r>
      <w:r w:rsidR="00A82951">
        <w:rPr>
          <w:rFonts w:cs="Arial"/>
          <w:rtl/>
        </w:rPr>
        <w:t>-</w:t>
      </w:r>
      <w:r>
        <w:rPr>
          <w:rFonts w:cs="Arial"/>
          <w:rtl/>
        </w:rPr>
        <w:t xml:space="preserve"> אי נמי מצא בה ערות דבר. </w:t>
      </w:r>
      <w:r w:rsidRPr="006A7BB1">
        <w:rPr>
          <w:rFonts w:cs="Arial"/>
          <w:u w:val="single"/>
          <w:rtl/>
        </w:rPr>
        <w:t>אמר ליה רב פפא לרבא</w:t>
      </w:r>
      <w:r>
        <w:rPr>
          <w:rFonts w:cs="Arial"/>
          <w:rtl/>
        </w:rPr>
        <w:t>: לא מצא בה לא ערוה ולא דבר</w:t>
      </w:r>
      <w:r w:rsidR="00256129">
        <w:rPr>
          <w:rStyle w:val="a7"/>
          <w:rFonts w:cs="Arial"/>
          <w:rtl/>
        </w:rPr>
        <w:footnoteReference w:id="13"/>
      </w:r>
      <w:r>
        <w:rPr>
          <w:rFonts w:cs="Arial"/>
          <w:rtl/>
        </w:rPr>
        <w:t>, מהו</w:t>
      </w:r>
      <w:r w:rsidR="00256129">
        <w:rPr>
          <w:rStyle w:val="a7"/>
          <w:rFonts w:cs="Arial"/>
          <w:rtl/>
        </w:rPr>
        <w:footnoteReference w:id="14"/>
      </w:r>
      <w:r>
        <w:rPr>
          <w:rFonts w:cs="Arial"/>
          <w:rtl/>
        </w:rPr>
        <w:t xml:space="preserve">? א"ל, מדגלי רחמנא גבי אונס: לא יוכל לשלחה כל ימיו </w:t>
      </w:r>
      <w:r w:rsidR="00A82951">
        <w:rPr>
          <w:rFonts w:cs="Arial"/>
          <w:rtl/>
        </w:rPr>
        <w:t>-</w:t>
      </w:r>
      <w:r>
        <w:rPr>
          <w:rFonts w:cs="Arial"/>
          <w:rtl/>
        </w:rPr>
        <w:t xml:space="preserve"> כל ימיו בעמוד והחזיר קאי, התם הוא דגלי רחמנא, אבל הכא מאי דעבד עבד. </w:t>
      </w:r>
      <w:r w:rsidR="006A7BB1">
        <w:rPr>
          <w:rFonts w:cs="Arial" w:hint="cs"/>
          <w:sz w:val="16"/>
          <w:szCs w:val="16"/>
          <w:rtl/>
        </w:rPr>
        <w:t>(</w:t>
      </w:r>
      <w:r w:rsidR="006A7BB1" w:rsidRPr="006A7BB1">
        <w:rPr>
          <w:rFonts w:cs="Arial"/>
          <w:sz w:val="16"/>
          <w:szCs w:val="16"/>
          <w:rtl/>
        </w:rPr>
        <w:t>והרי"ף (נ:) והרא"ש (סי' טו) לא פסקו הלכה כדברי מי</w:t>
      </w:r>
      <w:r w:rsidR="006A7BB1" w:rsidRPr="006A7BB1">
        <w:rPr>
          <w:rFonts w:cs="Arial" w:hint="cs"/>
          <w:sz w:val="16"/>
          <w:szCs w:val="16"/>
          <w:rtl/>
        </w:rPr>
        <w:t>.</w:t>
      </w:r>
      <w:r w:rsidR="006A7BB1" w:rsidRPr="006A7BB1">
        <w:rPr>
          <w:rFonts w:cs="Arial"/>
          <w:sz w:val="16"/>
          <w:szCs w:val="16"/>
          <w:rtl/>
        </w:rPr>
        <w:t xml:space="preserve"> ונראה לי שהטעם לפי שסמכו על המעיין דממילא משמע דהלכה כבית הלל לגבי בית שמאי וגם לגבי רבי עקיבא</w:t>
      </w:r>
      <w:r w:rsidR="006A7BB1" w:rsidRPr="006A7BB1">
        <w:rPr>
          <w:rFonts w:cs="Arial" w:hint="cs"/>
          <w:sz w:val="16"/>
          <w:szCs w:val="16"/>
          <w:rtl/>
        </w:rPr>
        <w:t>.</w:t>
      </w:r>
      <w:r w:rsidR="006A7BB1" w:rsidRPr="006A7BB1">
        <w:rPr>
          <w:rFonts w:cs="Arial"/>
          <w:sz w:val="16"/>
          <w:szCs w:val="16"/>
          <w:rtl/>
        </w:rPr>
        <w:t xml:space="preserve"> והרמב"ם ז"ל כתב בפירוש המשנה (גיטין ספ"ט) בהדיא והלכה כבית הלל</w:t>
      </w:r>
      <w:r w:rsidR="006A7BB1" w:rsidRPr="006A7BB1">
        <w:rPr>
          <w:rFonts w:cs="Arial" w:hint="cs"/>
          <w:sz w:val="16"/>
          <w:szCs w:val="16"/>
          <w:rtl/>
        </w:rPr>
        <w:t>.</w:t>
      </w:r>
      <w:r w:rsidR="006A7BB1" w:rsidRPr="006A7BB1">
        <w:rPr>
          <w:rFonts w:cs="Arial"/>
          <w:sz w:val="16"/>
          <w:szCs w:val="16"/>
          <w:rtl/>
        </w:rPr>
        <w:t xml:space="preserve"> וכן נראה גם כן מדבריו בפ</w:t>
      </w:r>
      <w:r w:rsidR="003E7D74">
        <w:rPr>
          <w:rFonts w:cs="Arial" w:hint="cs"/>
          <w:sz w:val="16"/>
          <w:szCs w:val="16"/>
          <w:rtl/>
        </w:rPr>
        <w:t>"</w:t>
      </w:r>
      <w:r w:rsidR="006A7BB1" w:rsidRPr="006A7BB1">
        <w:rPr>
          <w:rFonts w:cs="Arial"/>
          <w:sz w:val="16"/>
          <w:szCs w:val="16"/>
          <w:rtl/>
        </w:rPr>
        <w:t>י מהלכות גירושין (הכ"א) וכמו שאכתוב בסמוך (בד"ה והרמב"ם כתב) בסייעתא דשמיא</w:t>
      </w:r>
      <w:r w:rsidR="006A7BB1">
        <w:rPr>
          <w:rFonts w:cs="Arial" w:hint="cs"/>
          <w:sz w:val="16"/>
          <w:szCs w:val="16"/>
          <w:rtl/>
        </w:rPr>
        <w:t>, ב"י</w:t>
      </w:r>
      <w:r w:rsidR="00B05510">
        <w:rPr>
          <w:rFonts w:cs="Arial" w:hint="cs"/>
          <w:sz w:val="16"/>
          <w:szCs w:val="16"/>
          <w:rtl/>
        </w:rPr>
        <w:t>. ו</w:t>
      </w:r>
      <w:r w:rsidR="00295476">
        <w:rPr>
          <w:rFonts w:cs="Arial" w:hint="cs"/>
          <w:sz w:val="16"/>
          <w:szCs w:val="16"/>
          <w:rtl/>
        </w:rPr>
        <w:t xml:space="preserve">גם </w:t>
      </w:r>
      <w:r w:rsidR="00B05510">
        <w:rPr>
          <w:rFonts w:cs="Arial" w:hint="cs"/>
          <w:sz w:val="16"/>
          <w:szCs w:val="16"/>
          <w:rtl/>
        </w:rPr>
        <w:t>הטור כתב בהדיא 'והלכה כבית הלל'</w:t>
      </w:r>
      <w:r w:rsidR="006A7BB1">
        <w:rPr>
          <w:rFonts w:cs="Arial" w:hint="cs"/>
          <w:sz w:val="16"/>
          <w:szCs w:val="16"/>
          <w:rtl/>
        </w:rPr>
        <w:t>)</w:t>
      </w:r>
    </w:p>
    <w:p w14:paraId="64CC8DD7" w14:textId="1E85A2A9" w:rsidR="00F80765" w:rsidRDefault="00F80765" w:rsidP="00F80765">
      <w:pPr>
        <w:rPr>
          <w:rtl/>
        </w:rPr>
      </w:pPr>
      <w:r w:rsidRPr="00F80765">
        <w:rPr>
          <w:rFonts w:cs="Arial" w:hint="cs"/>
          <w:b/>
          <w:bCs/>
          <w:rtl/>
        </w:rPr>
        <w:t xml:space="preserve">מלאכי פרק ב: </w:t>
      </w:r>
      <w:r>
        <w:rPr>
          <w:rFonts w:cs="Arial"/>
          <w:rtl/>
        </w:rPr>
        <w:t>(יג) וְזֹאת֙ שֵׁנִ֣ית תַּֽעֲשׂ֔וּ כַּסּ֤וֹת דִּמְעָה֙ אֶת־מִזְבַּ֣ח יְקֹוָ֔ק בְּכִ֖י וַֽאֲנָקָ֑ה מֵאֵ֣ין ע֗וֹד פְּנוֹת֙ אֶל־הַמִּנְחָ֔ה וְלָקַ֥חַת רָצ֖וֹן מִיֶּדְכֶֽם:</w:t>
      </w:r>
      <w:r>
        <w:rPr>
          <w:rFonts w:hint="cs"/>
          <w:rtl/>
        </w:rPr>
        <w:t xml:space="preserve"> </w:t>
      </w:r>
      <w:r>
        <w:rPr>
          <w:rFonts w:cs="Arial"/>
          <w:rtl/>
        </w:rPr>
        <w:t>(יד) וַאֲמַרְתֶּ֖ם עַל־מָ֑ה עַ֡ל כִּי־יְקֹוָק֩ הֵעִ֨יד בֵּינְךָ֜ וּבֵ֣ין׀ אֵ֣שֶׁת נְעוּרֶ֗יךָ אֲשֶׁ֤ר אַתָּה֙ בָּגַ֣דְתָּה בָּ֔הּ וְהִ֥יא חֲבֶרְתְּךָ֖ וְאֵ֥שֶׁת בְּרִיתֶֽךָ:</w:t>
      </w:r>
      <w:r>
        <w:rPr>
          <w:rFonts w:hint="cs"/>
          <w:rtl/>
        </w:rPr>
        <w:t xml:space="preserve"> </w:t>
      </w:r>
      <w:r>
        <w:rPr>
          <w:rFonts w:cs="Arial"/>
          <w:rtl/>
        </w:rPr>
        <w:t>(טו) וְלֹא־אֶחָ֣ד עָשָׂ֗ה וּשְׁאָ֥ר ר֙וּחַ֙ ל֔וֹ וּמָה֙ הָֽאֶחָ֔ד מְבַקֵּ֖שׁ זֶ֣רַע אֱלֹהִ֑ים וְנִשְׁמַרְתֶּם֙ בְּר֣וּחֲכֶ֔ם וּבְאֵ֥שֶׁת נְעוּרֶ֖יךָ אַל־יִבְגֹּֽד:</w:t>
      </w:r>
      <w:r>
        <w:rPr>
          <w:rFonts w:hint="cs"/>
          <w:rtl/>
        </w:rPr>
        <w:t xml:space="preserve"> </w:t>
      </w:r>
      <w:r>
        <w:rPr>
          <w:rFonts w:cs="Arial"/>
          <w:rtl/>
        </w:rPr>
        <w:t xml:space="preserve">(טז) כִּֽי־שָׂנֵ֣א שַׁלַּ֗ח אָמַ֤ר יְקֹוָק֙ אֱלֹהֵ֣י יִשְׂרָאֵ֔ל וְכִסָּ֤ה חָמָס֙ עַל־לְבוּשׁ֔וֹ אָמַ֖ר יְקֹוָ֣ק צְבָא֑וֹת וְנִשְׁמַרְתֶּ֥ם בְּרוּחֲכֶ֖ם וְלֹ֥א תִבְגֹּֽדוּ: </w:t>
      </w:r>
    </w:p>
    <w:p w14:paraId="2AE2BC59" w14:textId="7FC78590" w:rsidR="00F80765" w:rsidRDefault="00F80765" w:rsidP="00160F57">
      <w:pPr>
        <w:rPr>
          <w:rtl/>
        </w:rPr>
      </w:pPr>
      <w:r w:rsidRPr="008645A0">
        <w:rPr>
          <w:rFonts w:cs="Arial" w:hint="cs"/>
          <w:b/>
          <w:bCs/>
          <w:rtl/>
        </w:rPr>
        <w:t xml:space="preserve">גיטין </w:t>
      </w:r>
      <w:r>
        <w:rPr>
          <w:rFonts w:cs="Arial" w:hint="cs"/>
          <w:b/>
          <w:bCs/>
          <w:sz w:val="16"/>
          <w:szCs w:val="16"/>
          <w:rtl/>
        </w:rPr>
        <w:t>(</w:t>
      </w:r>
      <w:r w:rsidR="00494A0D">
        <w:rPr>
          <w:rFonts w:cs="Arial" w:hint="cs"/>
          <w:b/>
          <w:bCs/>
          <w:sz w:val="16"/>
          <w:szCs w:val="16"/>
          <w:rtl/>
        </w:rPr>
        <w:t>ס"</w:t>
      </w:r>
      <w:r>
        <w:rPr>
          <w:rFonts w:cs="Arial" w:hint="cs"/>
          <w:b/>
          <w:bCs/>
          <w:sz w:val="16"/>
          <w:szCs w:val="16"/>
          <w:rtl/>
        </w:rPr>
        <w:t xml:space="preserve">פ בתרא) </w:t>
      </w:r>
      <w:r w:rsidRPr="008645A0">
        <w:rPr>
          <w:rFonts w:cs="Arial" w:hint="cs"/>
          <w:b/>
          <w:bCs/>
          <w:rtl/>
        </w:rPr>
        <w:t>צ ע"</w:t>
      </w:r>
      <w:r>
        <w:rPr>
          <w:rFonts w:cs="Arial" w:hint="cs"/>
          <w:b/>
          <w:bCs/>
          <w:rtl/>
        </w:rPr>
        <w:t>ב</w:t>
      </w:r>
      <w:r w:rsidRPr="008645A0">
        <w:rPr>
          <w:rFonts w:cs="Arial" w:hint="cs"/>
          <w:b/>
          <w:bCs/>
          <w:rtl/>
        </w:rPr>
        <w:t>:</w:t>
      </w:r>
      <w:r>
        <w:rPr>
          <w:rFonts w:cs="Arial" w:hint="cs"/>
          <w:rtl/>
        </w:rPr>
        <w:t xml:space="preserve"> </w:t>
      </w:r>
      <w:r w:rsidR="00BB08E4">
        <w:rPr>
          <w:rFonts w:cs="Arial"/>
          <w:rtl/>
        </w:rPr>
        <w:t xml:space="preserve">כִּֽי־שָׂנֵ֣א שַׁלַּ֗ח </w:t>
      </w:r>
      <w:r w:rsidR="00A82951">
        <w:rPr>
          <w:rFonts w:cs="Arial"/>
          <w:rtl/>
        </w:rPr>
        <w:t>-</w:t>
      </w:r>
      <w:r w:rsidRPr="00F80765">
        <w:rPr>
          <w:rFonts w:cs="Arial"/>
          <w:rtl/>
        </w:rPr>
        <w:t xml:space="preserve"> </w:t>
      </w:r>
      <w:r w:rsidRPr="00F956E1">
        <w:rPr>
          <w:rFonts w:cs="Arial"/>
          <w:u w:val="single"/>
          <w:rtl/>
        </w:rPr>
        <w:t>ר' יהודה אומר</w:t>
      </w:r>
      <w:r w:rsidRPr="00F80765">
        <w:rPr>
          <w:rFonts w:cs="Arial"/>
          <w:rtl/>
        </w:rPr>
        <w:t>: אם שנאתה שלח</w:t>
      </w:r>
      <w:r w:rsidR="00F956E1">
        <w:rPr>
          <w:rFonts w:cs="Arial" w:hint="cs"/>
          <w:rtl/>
        </w:rPr>
        <w:t>.</w:t>
      </w:r>
      <w:r w:rsidRPr="00F80765">
        <w:rPr>
          <w:rFonts w:cs="Arial"/>
          <w:rtl/>
        </w:rPr>
        <w:t xml:space="preserve"> </w:t>
      </w:r>
      <w:r w:rsidRPr="00F956E1">
        <w:rPr>
          <w:rFonts w:cs="Arial"/>
          <w:u w:val="single"/>
          <w:rtl/>
        </w:rPr>
        <w:t>ר' יוחנן אומר</w:t>
      </w:r>
      <w:r w:rsidRPr="00F80765">
        <w:rPr>
          <w:rFonts w:cs="Arial"/>
          <w:rtl/>
        </w:rPr>
        <w:t xml:space="preserve">: שנאוי המשלח. ולא פליגי: הא בזוג ראשון, הא בזוג שני; </w:t>
      </w:r>
      <w:r w:rsidRPr="00F956E1">
        <w:rPr>
          <w:rFonts w:cs="Arial"/>
          <w:u w:val="single"/>
          <w:rtl/>
        </w:rPr>
        <w:t>דאמר ר' אלעזר</w:t>
      </w:r>
      <w:r w:rsidRPr="00F80765">
        <w:rPr>
          <w:rFonts w:cs="Arial"/>
          <w:rtl/>
        </w:rPr>
        <w:t xml:space="preserve">: כל המגרש אשתו ראשונה </w:t>
      </w:r>
      <w:r w:rsidR="00A82951">
        <w:rPr>
          <w:rFonts w:cs="Arial"/>
          <w:rtl/>
        </w:rPr>
        <w:t>-</w:t>
      </w:r>
      <w:r w:rsidRPr="00F80765">
        <w:rPr>
          <w:rFonts w:cs="Arial"/>
          <w:rtl/>
        </w:rPr>
        <w:t xml:space="preserve"> אפילו מזבח מוריד עליו דמעות, שנאמר: וזאת שנית תעשו כסות דמעה את מזבח ה' בכי ואנקה מאין עוד פנות אל המנחה ולקחת רצון מידכם, ואמרתם על מה על כי ה' העיד בינך ובין אשת נעוריך אשר אתה בגדתה בה והיא חברתך ואשת בריתך.</w:t>
      </w:r>
      <w:r w:rsidR="00BB08E4">
        <w:rPr>
          <w:rFonts w:hint="cs"/>
          <w:rtl/>
        </w:rPr>
        <w:t xml:space="preserve"> </w:t>
      </w:r>
    </w:p>
    <w:p w14:paraId="4BFAD974" w14:textId="7DC0C340" w:rsidR="00160F57" w:rsidRPr="00636B5A" w:rsidRDefault="00636B5A" w:rsidP="00160F57">
      <w:pPr>
        <w:rPr>
          <w:u w:val="single"/>
          <w:rtl/>
        </w:rPr>
      </w:pPr>
      <w:r w:rsidRPr="00636B5A">
        <w:rPr>
          <w:rFonts w:hint="cs"/>
          <w:u w:val="single"/>
          <w:rtl/>
        </w:rPr>
        <w:t>מתי ועל מה יכול אדם לגרש את אשתו:</w:t>
      </w:r>
    </w:p>
    <w:p w14:paraId="417256B9" w14:textId="05E28873" w:rsidR="00054A1B" w:rsidRDefault="00E5139A" w:rsidP="00636B5A">
      <w:pPr>
        <w:pStyle w:val="ab"/>
        <w:numPr>
          <w:ilvl w:val="0"/>
          <w:numId w:val="16"/>
        </w:numPr>
      </w:pPr>
      <w:r>
        <w:rPr>
          <w:rFonts w:cs="Arial" w:hint="cs"/>
          <w:rtl/>
        </w:rPr>
        <w:t>טור</w:t>
      </w:r>
      <w:r w:rsidR="00A82951">
        <w:rPr>
          <w:rFonts w:cs="Arial" w:hint="cs"/>
          <w:rtl/>
        </w:rPr>
        <w:t>-</w:t>
      </w:r>
      <w:r>
        <w:rPr>
          <w:rFonts w:cs="Arial" w:hint="cs"/>
          <w:rtl/>
        </w:rPr>
        <w:t xml:space="preserve"> </w:t>
      </w:r>
      <w:r w:rsidR="00D74C30" w:rsidRPr="00D74C30">
        <w:rPr>
          <w:rFonts w:cs="Arial"/>
          <w:rtl/>
        </w:rPr>
        <w:t>וב"ה סברי אפילו הקדיחה תבשילו דדרשי לקרא הכי כי מצא בה ערות דבר או ערוה או דבר אחר שפשעה כנגדו</w:t>
      </w:r>
      <w:r w:rsidR="00D74C30">
        <w:rPr>
          <w:rFonts w:cs="Arial" w:hint="cs"/>
          <w:rtl/>
        </w:rPr>
        <w:t>...</w:t>
      </w:r>
      <w:r w:rsidR="00D74C30" w:rsidRPr="00D74C30">
        <w:rPr>
          <w:rFonts w:cs="Arial"/>
          <w:rtl/>
        </w:rPr>
        <w:t xml:space="preserve"> והלכה כב"ה ש</w:t>
      </w:r>
      <w:r w:rsidRPr="00FE714F">
        <w:rPr>
          <w:rFonts w:cs="Arial"/>
          <w:rtl/>
        </w:rPr>
        <w:t xml:space="preserve">אם פשעה כנגדו </w:t>
      </w:r>
      <w:r w:rsidR="00A82951">
        <w:rPr>
          <w:rFonts w:cs="Arial" w:hint="cs"/>
          <w:rtl/>
        </w:rPr>
        <w:t>-</w:t>
      </w:r>
      <w:r w:rsidR="002410C1">
        <w:rPr>
          <w:rFonts w:cs="Arial" w:hint="cs"/>
          <w:rtl/>
        </w:rPr>
        <w:t xml:space="preserve"> </w:t>
      </w:r>
      <w:r w:rsidRPr="00FE714F">
        <w:rPr>
          <w:rFonts w:cs="Arial"/>
          <w:rtl/>
        </w:rPr>
        <w:t>יכול לגרשה</w:t>
      </w:r>
      <w:r w:rsidR="002410C1">
        <w:rPr>
          <w:rFonts w:cs="Arial" w:hint="cs"/>
          <w:rtl/>
        </w:rPr>
        <w:t>.</w:t>
      </w:r>
      <w:r w:rsidRPr="00FE714F">
        <w:rPr>
          <w:rFonts w:cs="Arial"/>
          <w:rtl/>
        </w:rPr>
        <w:t xml:space="preserve"> אבל לא יגרשנה כדי ליקח נאה הימנה</w:t>
      </w:r>
      <w:r w:rsidR="00A97BC7">
        <w:rPr>
          <w:rFonts w:cs="Arial" w:hint="cs"/>
          <w:rtl/>
        </w:rPr>
        <w:t>.</w:t>
      </w:r>
      <w:r w:rsidRPr="00FE714F">
        <w:rPr>
          <w:rFonts w:cs="Arial"/>
          <w:rtl/>
        </w:rPr>
        <w:t xml:space="preserve"> בד"א בזיווג שני</w:t>
      </w:r>
      <w:r w:rsidR="007F0EE0">
        <w:rPr>
          <w:rFonts w:cs="Arial" w:hint="cs"/>
          <w:rtl/>
        </w:rPr>
        <w:t>,</w:t>
      </w:r>
      <w:r w:rsidRPr="00FE714F">
        <w:rPr>
          <w:rFonts w:cs="Arial"/>
          <w:rtl/>
        </w:rPr>
        <w:t xml:space="preserve"> אבל בזיווג ראשון אין למהר לגרשה</w:t>
      </w:r>
      <w:r w:rsidR="007F0EE0">
        <w:rPr>
          <w:rFonts w:cs="Arial" w:hint="cs"/>
          <w:rtl/>
        </w:rPr>
        <w:t>,</w:t>
      </w:r>
      <w:r w:rsidRPr="00FE714F">
        <w:rPr>
          <w:rFonts w:cs="Arial"/>
          <w:rtl/>
        </w:rPr>
        <w:t xml:space="preserve"> דאמר רבי אלעזר כל המגרש אשתו ראשונה מזבח מוריד עליו דמעות</w:t>
      </w:r>
      <w:r w:rsidR="007F0EE0">
        <w:rPr>
          <w:rFonts w:cs="Arial" w:hint="cs"/>
          <w:rtl/>
        </w:rPr>
        <w:t>.</w:t>
      </w:r>
      <w:r w:rsidRPr="00FE714F">
        <w:rPr>
          <w:rFonts w:cs="Arial"/>
          <w:rtl/>
        </w:rPr>
        <w:t xml:space="preserve"> לפיכך אין לו לגרשה בשביל שפשעה כנגדו</w:t>
      </w:r>
      <w:r>
        <w:rPr>
          <w:rFonts w:cs="Arial" w:hint="cs"/>
          <w:rtl/>
        </w:rPr>
        <w:t>.</w:t>
      </w:r>
      <w:r w:rsidR="00636B5A">
        <w:rPr>
          <w:rFonts w:cs="Arial" w:hint="cs"/>
          <w:rtl/>
        </w:rPr>
        <w:t>..</w:t>
      </w:r>
      <w:r w:rsidRPr="00FE714F">
        <w:rPr>
          <w:rFonts w:cs="Arial"/>
          <w:rtl/>
        </w:rPr>
        <w:t xml:space="preserve"> </w:t>
      </w:r>
      <w:r w:rsidRPr="00636B5A">
        <w:rPr>
          <w:rFonts w:cs="Arial"/>
          <w:rtl/>
        </w:rPr>
        <w:t>ובין בזיווג ראשון ובין בזיווג שני בכל עניין שעבר וגירשה אין כופין אותו להחזיר</w:t>
      </w:r>
      <w:r w:rsidRPr="00636B5A">
        <w:rPr>
          <w:rFonts w:cs="Arial" w:hint="cs"/>
          <w:rtl/>
        </w:rPr>
        <w:t>.</w:t>
      </w:r>
      <w:r w:rsidRPr="00636B5A">
        <w:rPr>
          <w:rFonts w:cs="Arial"/>
          <w:rtl/>
        </w:rPr>
        <w:t xml:space="preserve"> </w:t>
      </w:r>
    </w:p>
    <w:p w14:paraId="7A0B4D56" w14:textId="3A0BBD6D" w:rsidR="001D3DDA" w:rsidRDefault="00F80765" w:rsidP="001D3DDA">
      <w:pPr>
        <w:pStyle w:val="ab"/>
        <w:numPr>
          <w:ilvl w:val="0"/>
          <w:numId w:val="16"/>
        </w:numPr>
      </w:pPr>
      <w:r>
        <w:rPr>
          <w:rFonts w:cs="Arial" w:hint="cs"/>
          <w:rtl/>
        </w:rPr>
        <w:t xml:space="preserve">רמב"ם </w:t>
      </w:r>
      <w:r>
        <w:rPr>
          <w:rFonts w:cs="Arial" w:hint="cs"/>
          <w:sz w:val="16"/>
          <w:szCs w:val="16"/>
          <w:rtl/>
        </w:rPr>
        <w:t>(פ"י מגרושין הכ"א)</w:t>
      </w:r>
      <w:r w:rsidR="00A82951">
        <w:rPr>
          <w:rFonts w:cs="Arial" w:hint="cs"/>
          <w:rtl/>
        </w:rPr>
        <w:t>-</w:t>
      </w:r>
      <w:r>
        <w:rPr>
          <w:rFonts w:cs="Arial" w:hint="cs"/>
          <w:rtl/>
        </w:rPr>
        <w:t xml:space="preserve"> </w:t>
      </w:r>
      <w:r w:rsidR="002410C1" w:rsidRPr="002410C1">
        <w:rPr>
          <w:rFonts w:cs="Arial"/>
          <w:rtl/>
        </w:rPr>
        <w:t>לא יגרש אדם אשתו ראשונה אלא אם כן מצא בה ערות דבר</w:t>
      </w:r>
      <w:r w:rsidR="00636B5A">
        <w:rPr>
          <w:rFonts w:cs="Arial" w:hint="cs"/>
          <w:rtl/>
        </w:rPr>
        <w:t>,</w:t>
      </w:r>
      <w:r w:rsidR="002410C1" w:rsidRPr="002410C1">
        <w:rPr>
          <w:rFonts w:cs="Arial"/>
          <w:rtl/>
        </w:rPr>
        <w:t xml:space="preserve"> שנאמר כי מצא בה ערות דבר</w:t>
      </w:r>
      <w:r w:rsidR="00636B5A">
        <w:rPr>
          <w:rFonts w:cs="Arial" w:hint="cs"/>
          <w:rtl/>
        </w:rPr>
        <w:t>.</w:t>
      </w:r>
      <w:r w:rsidR="002410C1" w:rsidRPr="002410C1">
        <w:rPr>
          <w:rFonts w:cs="Arial"/>
          <w:rtl/>
        </w:rPr>
        <w:t xml:space="preserve"> ואין ראוי לו למהר לשלח אשתו ראשונה, אבל שנייה</w:t>
      </w:r>
      <w:r w:rsidR="00636B5A">
        <w:rPr>
          <w:rStyle w:val="a7"/>
          <w:rFonts w:cs="Arial"/>
          <w:rtl/>
        </w:rPr>
        <w:footnoteReference w:id="15"/>
      </w:r>
      <w:r w:rsidR="002410C1" w:rsidRPr="002410C1">
        <w:rPr>
          <w:rFonts w:cs="Arial"/>
          <w:rtl/>
        </w:rPr>
        <w:t xml:space="preserve"> אם שנאה ישלחנה</w:t>
      </w:r>
      <w:r w:rsidR="001D3DDA">
        <w:rPr>
          <w:rStyle w:val="a7"/>
          <w:rFonts w:cs="Arial"/>
          <w:rtl/>
        </w:rPr>
        <w:footnoteReference w:id="16"/>
      </w:r>
      <w:r w:rsidR="002410C1" w:rsidRPr="002410C1">
        <w:rPr>
          <w:rFonts w:cs="Arial"/>
          <w:rtl/>
        </w:rPr>
        <w:t>.</w:t>
      </w:r>
      <w:r w:rsidR="00636B5A">
        <w:rPr>
          <w:rFonts w:hint="cs"/>
          <w:rtl/>
        </w:rPr>
        <w:t xml:space="preserve"> </w:t>
      </w:r>
      <w:r w:rsidR="00636B5A" w:rsidRPr="00636B5A">
        <w:rPr>
          <w:rFonts w:hint="cs"/>
          <w:color w:val="E36C0A" w:themeColor="accent6" w:themeShade="BF"/>
          <w:rtl/>
        </w:rPr>
        <w:t>(וכ</w:t>
      </w:r>
      <w:r w:rsidR="00636B5A">
        <w:rPr>
          <w:rFonts w:hint="cs"/>
          <w:color w:val="E36C0A" w:themeColor="accent6" w:themeShade="BF"/>
          <w:rtl/>
        </w:rPr>
        <w:t>"</w:t>
      </w:r>
      <w:r w:rsidR="00636B5A" w:rsidRPr="00636B5A">
        <w:rPr>
          <w:rFonts w:hint="cs"/>
          <w:color w:val="E36C0A" w:themeColor="accent6" w:themeShade="BF"/>
          <w:rtl/>
        </w:rPr>
        <w:t>פ בשו"ע)</w:t>
      </w:r>
    </w:p>
    <w:p w14:paraId="094FF081" w14:textId="51E3743D" w:rsidR="00636B5A" w:rsidRPr="00636B5A" w:rsidRDefault="00636B5A" w:rsidP="00636B5A">
      <w:pPr>
        <w:ind w:left="360"/>
        <w:rPr>
          <w:u w:val="dotted"/>
        </w:rPr>
      </w:pPr>
      <w:r w:rsidRPr="00636B5A">
        <w:rPr>
          <w:rFonts w:hint="cs"/>
          <w:u w:val="dotted"/>
          <w:rtl/>
        </w:rPr>
        <w:t xml:space="preserve">ומה הדין אם מגרש את אשתו הראשונה </w:t>
      </w:r>
      <w:r w:rsidRPr="00636B5A">
        <w:rPr>
          <w:rFonts w:hint="cs"/>
          <w:b/>
          <w:bCs/>
          <w:u w:val="dotted"/>
          <w:rtl/>
        </w:rPr>
        <w:t>מדעתה</w:t>
      </w:r>
      <w:r w:rsidRPr="00636B5A">
        <w:rPr>
          <w:rFonts w:hint="cs"/>
          <w:u w:val="dotted"/>
          <w:rtl/>
        </w:rPr>
        <w:t>:</w:t>
      </w:r>
    </w:p>
    <w:p w14:paraId="769986EE" w14:textId="0174CA08" w:rsidR="00C71ED5" w:rsidRDefault="00054A1B" w:rsidP="001D3DDA">
      <w:pPr>
        <w:pStyle w:val="ab"/>
        <w:numPr>
          <w:ilvl w:val="0"/>
          <w:numId w:val="16"/>
        </w:numPr>
        <w:rPr>
          <w:rtl/>
        </w:rPr>
      </w:pPr>
      <w:r w:rsidRPr="001D3DDA">
        <w:rPr>
          <w:rFonts w:cs="Arial"/>
          <w:rtl/>
        </w:rPr>
        <w:lastRenderedPageBreak/>
        <w:t xml:space="preserve">אגודה </w:t>
      </w:r>
      <w:r w:rsidRPr="001D3DDA">
        <w:rPr>
          <w:rFonts w:cs="Arial"/>
          <w:sz w:val="16"/>
          <w:szCs w:val="16"/>
          <w:rtl/>
        </w:rPr>
        <w:t xml:space="preserve">(גיטין </w:t>
      </w:r>
      <w:r w:rsidR="001D3DDA" w:rsidRPr="001D3DDA">
        <w:rPr>
          <w:rFonts w:cs="Arial" w:hint="cs"/>
          <w:sz w:val="16"/>
          <w:szCs w:val="16"/>
          <w:rtl/>
        </w:rPr>
        <w:t xml:space="preserve">פ"ט </w:t>
      </w:r>
      <w:r w:rsidRPr="001D3DDA">
        <w:rPr>
          <w:rFonts w:cs="Arial"/>
          <w:sz w:val="16"/>
          <w:szCs w:val="16"/>
          <w:rtl/>
        </w:rPr>
        <w:t>סי' קסד)</w:t>
      </w:r>
      <w:r w:rsidR="00F956E1" w:rsidRPr="001D3DDA">
        <w:rPr>
          <w:rFonts w:cs="Arial" w:hint="cs"/>
          <w:sz w:val="16"/>
          <w:szCs w:val="16"/>
          <w:rtl/>
        </w:rPr>
        <w:t xml:space="preserve"> </w:t>
      </w:r>
      <w:r w:rsidR="00F956E1" w:rsidRPr="001D3DDA">
        <w:rPr>
          <w:rFonts w:cs="Arial" w:hint="cs"/>
          <w:rtl/>
        </w:rPr>
        <w:t>ו</w:t>
      </w:r>
      <w:r w:rsidR="00F956E1" w:rsidRPr="001D3DDA">
        <w:rPr>
          <w:rFonts w:cs="Arial"/>
          <w:rtl/>
        </w:rPr>
        <w:t>ר"ן</w:t>
      </w:r>
      <w:r w:rsidR="00F956E1">
        <w:rPr>
          <w:rStyle w:val="a7"/>
          <w:rFonts w:cs="Arial"/>
          <w:rtl/>
        </w:rPr>
        <w:footnoteReference w:id="17"/>
      </w:r>
      <w:r w:rsidR="00F956E1" w:rsidRPr="001D3DDA">
        <w:rPr>
          <w:rFonts w:cs="Arial"/>
          <w:rtl/>
        </w:rPr>
        <w:t xml:space="preserve"> </w:t>
      </w:r>
      <w:r w:rsidR="00F956E1" w:rsidRPr="001D3DDA">
        <w:rPr>
          <w:rFonts w:cs="Arial" w:hint="cs"/>
          <w:sz w:val="16"/>
          <w:szCs w:val="16"/>
          <w:rtl/>
        </w:rPr>
        <w:t>(</w:t>
      </w:r>
      <w:r w:rsidR="00F956E1" w:rsidRPr="001D3DDA">
        <w:rPr>
          <w:rFonts w:cs="Arial"/>
          <w:sz w:val="16"/>
          <w:szCs w:val="16"/>
          <w:rtl/>
        </w:rPr>
        <w:t>סי' יז סע</w:t>
      </w:r>
      <w:r w:rsidR="00AB59F1">
        <w:rPr>
          <w:rFonts w:cs="Arial" w:hint="cs"/>
          <w:sz w:val="16"/>
          <w:szCs w:val="16"/>
          <w:rtl/>
        </w:rPr>
        <w:t>'</w:t>
      </w:r>
      <w:r w:rsidR="00F956E1" w:rsidRPr="001D3DDA">
        <w:rPr>
          <w:rFonts w:cs="Arial"/>
          <w:sz w:val="16"/>
          <w:szCs w:val="16"/>
          <w:rtl/>
        </w:rPr>
        <w:t xml:space="preserve"> א)</w:t>
      </w:r>
      <w:r w:rsidR="00A82951">
        <w:rPr>
          <w:rFonts w:cs="Arial" w:hint="cs"/>
          <w:rtl/>
        </w:rPr>
        <w:t>-</w:t>
      </w:r>
      <w:r w:rsidR="00F956E1" w:rsidRPr="001D3DDA">
        <w:rPr>
          <w:rFonts w:cs="Arial" w:hint="cs"/>
          <w:rtl/>
        </w:rPr>
        <w:t xml:space="preserve"> </w:t>
      </w:r>
      <w:r w:rsidRPr="001D3DDA">
        <w:rPr>
          <w:rFonts w:cs="Arial"/>
          <w:rtl/>
        </w:rPr>
        <w:t xml:space="preserve">כל המגרש אשתו ראשונה מזבח מוריד עליו דמעות </w:t>
      </w:r>
      <w:r w:rsidR="00A82951">
        <w:rPr>
          <w:rFonts w:cs="Arial" w:hint="cs"/>
          <w:rtl/>
        </w:rPr>
        <w:t>-</w:t>
      </w:r>
      <w:r w:rsidR="001D3DDA" w:rsidRPr="001D3DDA">
        <w:rPr>
          <w:rFonts w:cs="Arial" w:hint="cs"/>
          <w:rtl/>
        </w:rPr>
        <w:t xml:space="preserve"> </w:t>
      </w:r>
      <w:r w:rsidR="001D3DDA" w:rsidRPr="001D3DDA">
        <w:rPr>
          <w:rFonts w:cs="Arial"/>
          <w:rtl/>
        </w:rPr>
        <w:t>נראה דהיינו בימיהם שמגרשה בעל כרחה</w:t>
      </w:r>
      <w:r w:rsidR="001D3DDA" w:rsidRPr="001D3DDA">
        <w:rPr>
          <w:rFonts w:cs="Arial" w:hint="cs"/>
          <w:sz w:val="16"/>
          <w:szCs w:val="16"/>
          <w:rtl/>
        </w:rPr>
        <w:t xml:space="preserve"> (ל' האגודה)</w:t>
      </w:r>
      <w:r w:rsidR="00F956E1" w:rsidRPr="001D3DDA">
        <w:rPr>
          <w:rFonts w:cs="Arial" w:hint="cs"/>
          <w:rtl/>
        </w:rPr>
        <w:t>.</w:t>
      </w:r>
      <w:r w:rsidRPr="001D3DDA">
        <w:rPr>
          <w:rFonts w:cs="Arial"/>
          <w:rtl/>
        </w:rPr>
        <w:t xml:space="preserve"> </w:t>
      </w:r>
      <w:r w:rsidR="00636B5A" w:rsidRPr="00636B5A">
        <w:rPr>
          <w:rFonts w:hint="cs"/>
          <w:color w:val="00B0F0"/>
          <w:rtl/>
        </w:rPr>
        <w:t>(וכ"פ הרמ"א)</w:t>
      </w:r>
    </w:p>
    <w:p w14:paraId="080A7123" w14:textId="77777777" w:rsidR="000F4DF0" w:rsidRPr="007B74F1" w:rsidRDefault="000F4DF0" w:rsidP="000F4DF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141C887" w14:textId="4D3247D1" w:rsidR="007B74F1" w:rsidRDefault="007B74F1" w:rsidP="007B74F1">
      <w:pPr>
        <w:rPr>
          <w:rFonts w:cs="Arial"/>
          <w:rtl/>
        </w:rPr>
      </w:pPr>
      <w:r w:rsidRPr="007B74F1">
        <w:rPr>
          <w:rFonts w:cs="Arial"/>
          <w:rtl/>
        </w:rPr>
        <w:t>לא יגרש אדם אשתו ראשונה, אלא אם כן מצא בה ערות דבר</w:t>
      </w:r>
      <w:r w:rsidR="00005321">
        <w:rPr>
          <w:rStyle w:val="a7"/>
          <w:rFonts w:cs="Arial"/>
          <w:rtl/>
        </w:rPr>
        <w:footnoteReference w:id="18"/>
      </w:r>
      <w:r w:rsidRPr="007B74F1">
        <w:rPr>
          <w:rFonts w:cs="Arial"/>
          <w:rtl/>
        </w:rPr>
        <w:t xml:space="preserve">. </w:t>
      </w:r>
      <w:r w:rsidRPr="00C71ED5">
        <w:rPr>
          <w:rFonts w:cs="Arial"/>
          <w:sz w:val="18"/>
          <w:szCs w:val="18"/>
          <w:rtl/>
        </w:rPr>
        <w:t>הגה: אבל בלאו הכי אמרינן כל המגרש אשתו ראשונה מזבח מוריד עליו דמעות (טור). ודוקא בימיהם שהיו מגרשין בעל כרחה, אבל אם מגרשה מדעתה, מותר (אגודה ור"ן).</w:t>
      </w:r>
      <w:r w:rsidRPr="007B74F1">
        <w:rPr>
          <w:rFonts w:cs="Arial"/>
          <w:rtl/>
        </w:rPr>
        <w:t xml:space="preserve"> ואין ראוי לו למהר לשלח</w:t>
      </w:r>
      <w:r w:rsidR="00EF759F">
        <w:rPr>
          <w:rStyle w:val="a7"/>
          <w:rFonts w:cs="Arial"/>
          <w:rtl/>
        </w:rPr>
        <w:footnoteReference w:id="19"/>
      </w:r>
      <w:r w:rsidRPr="007B74F1">
        <w:rPr>
          <w:rFonts w:cs="Arial"/>
          <w:rtl/>
        </w:rPr>
        <w:t xml:space="preserve"> אשתו ראשונה</w:t>
      </w:r>
      <w:r w:rsidR="001D3DDA">
        <w:rPr>
          <w:rFonts w:cs="Arial" w:hint="cs"/>
          <w:rtl/>
        </w:rPr>
        <w:t>.</w:t>
      </w:r>
      <w:r w:rsidRPr="007B74F1">
        <w:rPr>
          <w:rFonts w:cs="Arial"/>
          <w:rtl/>
        </w:rPr>
        <w:t xml:space="preserve"> אבל שניה, אם שנאה, ישלחנה</w:t>
      </w:r>
      <w:r w:rsidR="00EF759F">
        <w:rPr>
          <w:rStyle w:val="a7"/>
          <w:rFonts w:cs="Arial"/>
          <w:rtl/>
        </w:rPr>
        <w:footnoteReference w:id="20"/>
      </w:r>
      <w:r w:rsidRPr="007B74F1">
        <w:rPr>
          <w:rFonts w:cs="Arial"/>
          <w:rtl/>
        </w:rPr>
        <w:t xml:space="preserve">. </w:t>
      </w:r>
    </w:p>
    <w:p w14:paraId="24E74AC0" w14:textId="77777777" w:rsidR="00C71ED5" w:rsidRPr="007B74F1" w:rsidRDefault="00C71ED5" w:rsidP="007B74F1">
      <w:pPr>
        <w:rPr>
          <w:rFonts w:cs="Arial"/>
          <w:rtl/>
        </w:rPr>
      </w:pPr>
    </w:p>
    <w:p w14:paraId="13B6B1F2" w14:textId="54A532C6" w:rsidR="007B74F1" w:rsidRDefault="007B74F1" w:rsidP="00786DE6">
      <w:pPr>
        <w:pStyle w:val="2"/>
        <w:rPr>
          <w:rtl/>
        </w:rPr>
      </w:pPr>
      <w:r w:rsidRPr="007B74F1">
        <w:rPr>
          <w:rtl/>
        </w:rPr>
        <w:t>סעיף ד</w:t>
      </w:r>
      <w:r w:rsidR="00C71ED5">
        <w:rPr>
          <w:rFonts w:hint="cs"/>
          <w:rtl/>
        </w:rPr>
        <w:t>:</w:t>
      </w:r>
      <w:r w:rsidR="00043D89">
        <w:rPr>
          <w:rFonts w:hint="cs"/>
          <w:rtl/>
        </w:rPr>
        <w:t xml:space="preserve"> אשה רעה בדעותיה או שאינה צנועה.</w:t>
      </w:r>
    </w:p>
    <w:p w14:paraId="65B0A794" w14:textId="5AFFFD23" w:rsidR="00043D89" w:rsidRDefault="00666D8F" w:rsidP="00043D89">
      <w:pPr>
        <w:rPr>
          <w:rtl/>
        </w:rPr>
      </w:pPr>
      <w:r w:rsidRPr="008645A0">
        <w:rPr>
          <w:rFonts w:cs="Arial" w:hint="cs"/>
          <w:b/>
          <w:bCs/>
          <w:rtl/>
        </w:rPr>
        <w:t xml:space="preserve">גיטין </w:t>
      </w:r>
      <w:r>
        <w:rPr>
          <w:rFonts w:cs="Arial" w:hint="cs"/>
          <w:b/>
          <w:bCs/>
          <w:sz w:val="16"/>
          <w:szCs w:val="16"/>
          <w:rtl/>
        </w:rPr>
        <w:t xml:space="preserve">(פ' בתרא) </w:t>
      </w:r>
      <w:r w:rsidRPr="008645A0">
        <w:rPr>
          <w:rFonts w:cs="Arial" w:hint="cs"/>
          <w:b/>
          <w:bCs/>
          <w:rtl/>
        </w:rPr>
        <w:t>צ ע"א:</w:t>
      </w:r>
      <w:r w:rsidRPr="00666D8F">
        <w:rPr>
          <w:rtl/>
        </w:rPr>
        <w:t xml:space="preserve"> </w:t>
      </w:r>
      <w:r w:rsidRPr="00666D8F">
        <w:rPr>
          <w:rFonts w:cs="Arial"/>
          <w:rtl/>
        </w:rPr>
        <w:t xml:space="preserve">תניא, </w:t>
      </w:r>
      <w:r w:rsidRPr="00DB6FD6">
        <w:rPr>
          <w:rFonts w:cs="Arial"/>
          <w:u w:val="single"/>
          <w:rtl/>
        </w:rPr>
        <w:t>היה רבי מאיר אומר</w:t>
      </w:r>
      <w:r w:rsidRPr="00666D8F">
        <w:rPr>
          <w:rFonts w:cs="Arial"/>
          <w:rtl/>
        </w:rPr>
        <w:t>: כשם שהדעות במאכל, כך דעות בנשים</w:t>
      </w:r>
      <w:r>
        <w:rPr>
          <w:rFonts w:cs="Arial" w:hint="cs"/>
          <w:rtl/>
        </w:rPr>
        <w:t>.</w:t>
      </w:r>
      <w:r w:rsidRPr="00666D8F">
        <w:rPr>
          <w:rFonts w:cs="Arial"/>
          <w:rtl/>
        </w:rPr>
        <w:t xml:space="preserve"> יש לך אדם שזבוב נופל לתוך כוסו וזורקו ואינו שותהו, וזו היא מדת פפוס בן יהודה, שהיה נועל בפני אשתו ויוצא</w:t>
      </w:r>
      <w:r>
        <w:rPr>
          <w:rFonts w:cs="Arial" w:hint="cs"/>
          <w:rtl/>
        </w:rPr>
        <w:t>.</w:t>
      </w:r>
      <w:r w:rsidRPr="00666D8F">
        <w:rPr>
          <w:rFonts w:cs="Arial"/>
          <w:rtl/>
        </w:rPr>
        <w:t xml:space="preserve"> ויש לך אדם שזבוב נופל לתוך כוסו וזורקו ושותהו, וזו היא מדת כל אדם, שמדברת עם אחיה וקרוביה ומניחה</w:t>
      </w:r>
      <w:r>
        <w:rPr>
          <w:rFonts w:cs="Arial" w:hint="cs"/>
          <w:rtl/>
        </w:rPr>
        <w:t>.</w:t>
      </w:r>
      <w:r w:rsidRPr="00666D8F">
        <w:rPr>
          <w:rFonts w:cs="Arial"/>
          <w:rtl/>
        </w:rPr>
        <w:t xml:space="preserve"> ויש לך אדם שזבוב נופל לתוך תמחוי מוצצו ואוכלו, זו היא מדת אדם רע, שרואה את אשתו יוצאה וראשה פרוע, וטווה בשוק,</w:t>
      </w:r>
      <w:r>
        <w:rPr>
          <w:rFonts w:hint="cs"/>
          <w:sz w:val="14"/>
          <w:szCs w:val="14"/>
          <w:rtl/>
        </w:rPr>
        <w:t xml:space="preserve"> (צ:)</w:t>
      </w:r>
      <w:r w:rsidRPr="00666D8F">
        <w:rPr>
          <w:rtl/>
        </w:rPr>
        <w:t xml:space="preserve"> </w:t>
      </w:r>
      <w:r w:rsidRPr="00666D8F">
        <w:rPr>
          <w:rFonts w:cs="Arial"/>
          <w:rtl/>
        </w:rPr>
        <w:t xml:space="preserve">ופרומה משני צדדיה, ורוחצת עם בני אדם. עם בני אדם ס"ד? אלא במקום שבני אדם רוחצין. זו מצוה מן התורה לגרשה, שנאמר: כי מצא בה ערות וגו' ושלחה מביתו... והלכה והיתה לאיש אחר, הכתוב קראו אחר, לומר, שאין זה בן זוגו לראשון, זה הוציא רשעה מביתו וזה הכניס רשעה לתוך ביתו. זכה שני </w:t>
      </w:r>
      <w:r w:rsidR="00A82951">
        <w:rPr>
          <w:rFonts w:cs="Arial"/>
          <w:rtl/>
        </w:rPr>
        <w:t>-</w:t>
      </w:r>
      <w:r w:rsidRPr="00666D8F">
        <w:rPr>
          <w:rFonts w:cs="Arial"/>
          <w:rtl/>
        </w:rPr>
        <w:t xml:space="preserve"> שלחה, שנאמר: ושנאה האיש האחרון, ואם לאו </w:t>
      </w:r>
      <w:r w:rsidR="00A82951">
        <w:rPr>
          <w:rFonts w:cs="Arial"/>
          <w:rtl/>
        </w:rPr>
        <w:t>-</w:t>
      </w:r>
      <w:r w:rsidRPr="00666D8F">
        <w:rPr>
          <w:rFonts w:cs="Arial"/>
          <w:rtl/>
        </w:rPr>
        <w:t xml:space="preserve"> קוברתו, שנאמר: או כי ימות האיש האחרון, כדאי הוא במיתה, שזה הוציא רשעה מביתו וזה הכניס רשעה לתוך ביתו.</w:t>
      </w:r>
    </w:p>
    <w:p w14:paraId="4FC561B9" w14:textId="758B5129" w:rsidR="00666D8F" w:rsidRPr="00F055D3" w:rsidRDefault="00F055D3" w:rsidP="00043D89">
      <w:pPr>
        <w:rPr>
          <w:u w:val="single"/>
          <w:rtl/>
        </w:rPr>
      </w:pPr>
      <w:r w:rsidRPr="00F055D3">
        <w:rPr>
          <w:rFonts w:hint="cs"/>
          <w:u w:val="single"/>
          <w:rtl/>
        </w:rPr>
        <w:t>אשה רעה בדעותיה או שאינה צנועה:</w:t>
      </w:r>
    </w:p>
    <w:p w14:paraId="55841F94" w14:textId="54AC6F04" w:rsidR="00666D8F" w:rsidRDefault="00E5139A" w:rsidP="008A69E8">
      <w:pPr>
        <w:pStyle w:val="ab"/>
        <w:numPr>
          <w:ilvl w:val="0"/>
          <w:numId w:val="16"/>
        </w:numPr>
      </w:pPr>
      <w:r>
        <w:rPr>
          <w:rFonts w:cs="Arial" w:hint="cs"/>
          <w:rtl/>
        </w:rPr>
        <w:t>טור</w:t>
      </w:r>
      <w:r w:rsidR="00A82951">
        <w:rPr>
          <w:rFonts w:cs="Arial" w:hint="cs"/>
          <w:rtl/>
        </w:rPr>
        <w:t>-</w:t>
      </w:r>
      <w:r>
        <w:rPr>
          <w:rFonts w:cs="Arial" w:hint="cs"/>
          <w:rtl/>
        </w:rPr>
        <w:t xml:space="preserve"> </w:t>
      </w:r>
      <w:r w:rsidRPr="00FE714F">
        <w:rPr>
          <w:rFonts w:cs="Arial"/>
          <w:rtl/>
        </w:rPr>
        <w:t>אבל אם מצא בה ערות דבר או פריצות מצוה לגרשה</w:t>
      </w:r>
      <w:r w:rsidR="00AD0B30">
        <w:rPr>
          <w:rFonts w:cs="Arial" w:hint="cs"/>
          <w:rtl/>
        </w:rPr>
        <w:t>,</w:t>
      </w:r>
      <w:r w:rsidRPr="00FE714F">
        <w:rPr>
          <w:rFonts w:cs="Arial"/>
          <w:rtl/>
        </w:rPr>
        <w:t xml:space="preserve"> דכתיב גרש לץ ויצא מדון</w:t>
      </w:r>
      <w:r w:rsidR="008A69E8">
        <w:rPr>
          <w:rStyle w:val="a7"/>
          <w:rFonts w:cs="Arial"/>
          <w:rtl/>
        </w:rPr>
        <w:footnoteReference w:id="21"/>
      </w:r>
      <w:r>
        <w:rPr>
          <w:rFonts w:cs="Arial" w:hint="cs"/>
          <w:rtl/>
        </w:rPr>
        <w:t>.</w:t>
      </w:r>
      <w:r w:rsidRPr="00FE714F">
        <w:rPr>
          <w:rFonts w:cs="Arial"/>
          <w:rtl/>
        </w:rPr>
        <w:t xml:space="preserve"> </w:t>
      </w:r>
    </w:p>
    <w:p w14:paraId="1EE6B4EB" w14:textId="083ABEBB" w:rsidR="00C71ED5" w:rsidRPr="00C71ED5" w:rsidRDefault="008A69E8" w:rsidP="00DB6FD6">
      <w:pPr>
        <w:pStyle w:val="ab"/>
        <w:numPr>
          <w:ilvl w:val="0"/>
          <w:numId w:val="16"/>
        </w:numPr>
        <w:rPr>
          <w:rtl/>
        </w:rPr>
      </w:pPr>
      <w:r>
        <w:rPr>
          <w:rFonts w:cs="Arial" w:hint="cs"/>
          <w:rtl/>
        </w:rPr>
        <w:t xml:space="preserve">רמב"ם </w:t>
      </w:r>
      <w:r>
        <w:rPr>
          <w:rFonts w:cs="Arial" w:hint="cs"/>
          <w:sz w:val="16"/>
          <w:szCs w:val="16"/>
          <w:rtl/>
        </w:rPr>
        <w:t>(פ"י מגרושין הכ"ב)</w:t>
      </w:r>
      <w:r w:rsidR="00A82951">
        <w:rPr>
          <w:rFonts w:cs="Arial" w:hint="cs"/>
          <w:rtl/>
        </w:rPr>
        <w:t>-</w:t>
      </w:r>
      <w:r>
        <w:rPr>
          <w:rFonts w:cs="Arial" w:hint="cs"/>
          <w:rtl/>
        </w:rPr>
        <w:t xml:space="preserve"> </w:t>
      </w:r>
      <w:r w:rsidRPr="008A69E8">
        <w:rPr>
          <w:rFonts w:cs="Arial"/>
          <w:rtl/>
        </w:rPr>
        <w:t>אשה רעה בדעותיה ושאינה צנועה כבנות ישראל הכשרות מצוה לגרשה</w:t>
      </w:r>
      <w:r w:rsidR="00F90403">
        <w:rPr>
          <w:rFonts w:cs="Arial" w:hint="cs"/>
          <w:rtl/>
        </w:rPr>
        <w:t>,</w:t>
      </w:r>
      <w:r w:rsidRPr="008A69E8">
        <w:rPr>
          <w:rFonts w:cs="Arial"/>
          <w:rtl/>
        </w:rPr>
        <w:t xml:space="preserve"> שנ</w:t>
      </w:r>
      <w:r>
        <w:rPr>
          <w:rFonts w:cs="Arial" w:hint="cs"/>
          <w:rtl/>
        </w:rPr>
        <w:t>אמר (משלי כב)</w:t>
      </w:r>
      <w:r>
        <w:rPr>
          <w:rFonts w:cs="Arial" w:hint="cs"/>
        </w:rPr>
        <w:t xml:space="preserve"> </w:t>
      </w:r>
      <w:r w:rsidRPr="008A69E8">
        <w:rPr>
          <w:rFonts w:cs="Arial"/>
          <w:rtl/>
        </w:rPr>
        <w:t>גרש לץ ויצא מדון</w:t>
      </w:r>
      <w:r>
        <w:rPr>
          <w:rFonts w:cs="Arial" w:hint="cs"/>
          <w:rtl/>
        </w:rPr>
        <w:t>.</w:t>
      </w:r>
      <w:r w:rsidR="00F055D3" w:rsidRPr="00F055D3">
        <w:rPr>
          <w:rFonts w:hint="cs"/>
          <w:color w:val="E36C0A" w:themeColor="accent6" w:themeShade="BF"/>
          <w:rtl/>
        </w:rPr>
        <w:t xml:space="preserve"> </w:t>
      </w:r>
      <w:r w:rsidR="00F055D3" w:rsidRPr="00636B5A">
        <w:rPr>
          <w:rFonts w:hint="cs"/>
          <w:color w:val="E36C0A" w:themeColor="accent6" w:themeShade="BF"/>
          <w:rtl/>
        </w:rPr>
        <w:t>(וכ</w:t>
      </w:r>
      <w:r w:rsidR="00F055D3">
        <w:rPr>
          <w:rFonts w:hint="cs"/>
          <w:color w:val="E36C0A" w:themeColor="accent6" w:themeShade="BF"/>
          <w:rtl/>
        </w:rPr>
        <w:t>"</w:t>
      </w:r>
      <w:r w:rsidR="00F055D3" w:rsidRPr="00636B5A">
        <w:rPr>
          <w:rFonts w:hint="cs"/>
          <w:color w:val="E36C0A" w:themeColor="accent6" w:themeShade="BF"/>
          <w:rtl/>
        </w:rPr>
        <w:t>פ בשו"ע)</w:t>
      </w:r>
    </w:p>
    <w:p w14:paraId="13A302DD" w14:textId="77777777" w:rsidR="000F4DF0" w:rsidRPr="007B74F1" w:rsidRDefault="000F4DF0" w:rsidP="000F4DF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2D54EA7" w14:textId="6F1ED534" w:rsidR="007B74F1" w:rsidRDefault="007B74F1" w:rsidP="007B74F1">
      <w:pPr>
        <w:rPr>
          <w:rFonts w:cs="Arial"/>
          <w:rtl/>
        </w:rPr>
      </w:pPr>
      <w:r w:rsidRPr="007B74F1">
        <w:rPr>
          <w:rFonts w:cs="Arial"/>
          <w:rtl/>
        </w:rPr>
        <w:t>אשה רעה בדעותיה</w:t>
      </w:r>
      <w:r w:rsidR="00EF759F">
        <w:rPr>
          <w:rStyle w:val="a7"/>
          <w:rFonts w:cs="Arial"/>
          <w:rtl/>
        </w:rPr>
        <w:footnoteReference w:id="22"/>
      </w:r>
      <w:r w:rsidRPr="007B74F1">
        <w:rPr>
          <w:rFonts w:cs="Arial"/>
          <w:rtl/>
        </w:rPr>
        <w:t xml:space="preserve">, ושאינה צנועה כבנות ישראל הכשרות, מצוה לגרשה. </w:t>
      </w:r>
    </w:p>
    <w:p w14:paraId="7DFEE278" w14:textId="77777777" w:rsidR="00C71ED5" w:rsidRPr="007B74F1" w:rsidRDefault="00C71ED5" w:rsidP="007B74F1">
      <w:pPr>
        <w:rPr>
          <w:rFonts w:cs="Arial"/>
          <w:rtl/>
        </w:rPr>
      </w:pPr>
    </w:p>
    <w:p w14:paraId="2C375049" w14:textId="594E7F96" w:rsidR="007B74F1" w:rsidRDefault="007B74F1" w:rsidP="00786DE6">
      <w:pPr>
        <w:pStyle w:val="2"/>
        <w:rPr>
          <w:rtl/>
        </w:rPr>
      </w:pPr>
      <w:r w:rsidRPr="007B74F1">
        <w:rPr>
          <w:rtl/>
        </w:rPr>
        <w:lastRenderedPageBreak/>
        <w:t>סעיף ה</w:t>
      </w:r>
      <w:r w:rsidR="00C71ED5">
        <w:rPr>
          <w:rFonts w:hint="cs"/>
          <w:rtl/>
        </w:rPr>
        <w:t>:</w:t>
      </w:r>
      <w:r w:rsidR="00043D89">
        <w:rPr>
          <w:rFonts w:hint="cs"/>
          <w:rtl/>
        </w:rPr>
        <w:t xml:space="preserve"> נשואין עם אשה שנתגרשה משום פריצות.</w:t>
      </w:r>
    </w:p>
    <w:p w14:paraId="358EAC83" w14:textId="45E3F3BF" w:rsidR="00666D8F" w:rsidRPr="00043D89" w:rsidRDefault="00666D8F" w:rsidP="00666D8F">
      <w:pPr>
        <w:rPr>
          <w:rtl/>
        </w:rPr>
      </w:pPr>
      <w:r w:rsidRPr="008645A0">
        <w:rPr>
          <w:rFonts w:cs="Arial" w:hint="cs"/>
          <w:b/>
          <w:bCs/>
          <w:rtl/>
        </w:rPr>
        <w:t xml:space="preserve">גיטין </w:t>
      </w:r>
      <w:r>
        <w:rPr>
          <w:rFonts w:cs="Arial" w:hint="cs"/>
          <w:b/>
          <w:bCs/>
          <w:sz w:val="16"/>
          <w:szCs w:val="16"/>
          <w:rtl/>
        </w:rPr>
        <w:t xml:space="preserve">(פ' בתרא) </w:t>
      </w:r>
      <w:r w:rsidRPr="008645A0">
        <w:rPr>
          <w:rFonts w:cs="Arial" w:hint="cs"/>
          <w:b/>
          <w:bCs/>
          <w:rtl/>
        </w:rPr>
        <w:t>צ ע"א:</w:t>
      </w:r>
      <w:r w:rsidRPr="00666D8F">
        <w:rPr>
          <w:rtl/>
        </w:rPr>
        <w:t xml:space="preserve"> </w:t>
      </w:r>
      <w:r w:rsidRPr="00666D8F">
        <w:rPr>
          <w:rFonts w:cs="Arial"/>
          <w:rtl/>
        </w:rPr>
        <w:t xml:space="preserve">תניא, </w:t>
      </w:r>
      <w:r w:rsidRPr="00DB6FD6">
        <w:rPr>
          <w:rFonts w:cs="Arial"/>
          <w:u w:val="single"/>
          <w:rtl/>
        </w:rPr>
        <w:t>היה רבי מאיר אומר</w:t>
      </w:r>
      <w:r w:rsidRPr="00666D8F">
        <w:rPr>
          <w:rFonts w:cs="Arial"/>
          <w:rtl/>
        </w:rPr>
        <w:t>: כשם שהדעות במאכל, כך דעות בנשים</w:t>
      </w:r>
      <w:r>
        <w:rPr>
          <w:rFonts w:cs="Arial" w:hint="cs"/>
          <w:rtl/>
        </w:rPr>
        <w:t>.</w:t>
      </w:r>
      <w:r w:rsidRPr="00666D8F">
        <w:rPr>
          <w:rFonts w:cs="Arial"/>
          <w:rtl/>
        </w:rPr>
        <w:t xml:space="preserve"> יש לך אדם שזבוב נופל לתוך כוסו וזורקו ואינו שותהו, וזו היא מדת פפוס בן יהודה, שהיה נועל בפני אשתו ויוצא</w:t>
      </w:r>
      <w:r>
        <w:rPr>
          <w:rFonts w:cs="Arial" w:hint="cs"/>
          <w:rtl/>
        </w:rPr>
        <w:t>.</w:t>
      </w:r>
      <w:r w:rsidRPr="00666D8F">
        <w:rPr>
          <w:rFonts w:cs="Arial"/>
          <w:rtl/>
        </w:rPr>
        <w:t xml:space="preserve"> ויש לך אדם שזבוב נופל לתוך כוסו וזורקו ושותהו, וזו היא מדת כל אדם, שמדברת עם אחיה וקרוביה ומניחה</w:t>
      </w:r>
      <w:r>
        <w:rPr>
          <w:rFonts w:cs="Arial" w:hint="cs"/>
          <w:rtl/>
        </w:rPr>
        <w:t>.</w:t>
      </w:r>
      <w:r w:rsidRPr="00666D8F">
        <w:rPr>
          <w:rFonts w:cs="Arial"/>
          <w:rtl/>
        </w:rPr>
        <w:t xml:space="preserve"> ויש לך אדם שזבוב נופל לתוך תמחוי מוצצו ואוכלו, זו היא מדת אדם רע, שרואה את אשתו יוצאה וראשה פרוע, וטווה בשוק,</w:t>
      </w:r>
      <w:r>
        <w:rPr>
          <w:rFonts w:hint="cs"/>
          <w:sz w:val="14"/>
          <w:szCs w:val="14"/>
          <w:rtl/>
        </w:rPr>
        <w:t xml:space="preserve"> (צ:)</w:t>
      </w:r>
      <w:r w:rsidRPr="00666D8F">
        <w:rPr>
          <w:rtl/>
        </w:rPr>
        <w:t xml:space="preserve"> </w:t>
      </w:r>
      <w:r w:rsidRPr="00666D8F">
        <w:rPr>
          <w:rFonts w:cs="Arial"/>
          <w:rtl/>
        </w:rPr>
        <w:t xml:space="preserve">ופרומה משני צדדיה, ורוחצת עם בני אדם. עם בני אדם ס"ד? אלא במקום שבני אדם רוחצין. זו מצוה מן התורה לגרשה, שנאמר: כי מצא בה ערות וגו' ושלחה מביתו... והלכה והיתה לאיש אחר, הכתוב קראו אחר, לומר, שאין זה בן זוגו לראשון, זה הוציא רשעה מביתו וזה הכניס רשעה לתוך ביתו. זכה שני </w:t>
      </w:r>
      <w:r w:rsidR="00A82951">
        <w:rPr>
          <w:rFonts w:cs="Arial"/>
          <w:rtl/>
        </w:rPr>
        <w:t>-</w:t>
      </w:r>
      <w:r w:rsidRPr="00666D8F">
        <w:rPr>
          <w:rFonts w:cs="Arial"/>
          <w:rtl/>
        </w:rPr>
        <w:t xml:space="preserve"> שלחה, שנאמר: ושנאה האיש האחרון, ואם לאו </w:t>
      </w:r>
      <w:r w:rsidR="00A82951">
        <w:rPr>
          <w:rFonts w:cs="Arial"/>
          <w:rtl/>
        </w:rPr>
        <w:t>-</w:t>
      </w:r>
      <w:r w:rsidRPr="00666D8F">
        <w:rPr>
          <w:rFonts w:cs="Arial"/>
          <w:rtl/>
        </w:rPr>
        <w:t xml:space="preserve"> קוברתו, שנאמר: או כי ימות האיש האחרון, כדאי הוא במיתה, שזה הוציא רשעה מביתו וזה הכניס רשעה לתוך ביתו.</w:t>
      </w:r>
    </w:p>
    <w:p w14:paraId="33818F76" w14:textId="41913068" w:rsidR="00043D89" w:rsidRPr="00043D89" w:rsidRDefault="00043D89" w:rsidP="00043D89">
      <w:pPr>
        <w:rPr>
          <w:u w:val="single"/>
          <w:rtl/>
        </w:rPr>
      </w:pPr>
      <w:r w:rsidRPr="00043D89">
        <w:rPr>
          <w:rFonts w:hint="cs"/>
          <w:u w:val="single"/>
          <w:rtl/>
        </w:rPr>
        <w:t>נשואין עם אשה שנתגרשה משום פריצות:</w:t>
      </w:r>
    </w:p>
    <w:p w14:paraId="038C2787" w14:textId="59AE80A4" w:rsidR="00C71ED5" w:rsidRDefault="00666D8F" w:rsidP="00666D8F">
      <w:pPr>
        <w:pStyle w:val="ab"/>
        <w:numPr>
          <w:ilvl w:val="0"/>
          <w:numId w:val="16"/>
        </w:numPr>
      </w:pPr>
      <w:r w:rsidRPr="00EC459D">
        <w:rPr>
          <w:rFonts w:cs="Arial"/>
          <w:rtl/>
        </w:rPr>
        <w:t xml:space="preserve">רמב"ם </w:t>
      </w:r>
      <w:r w:rsidRPr="00666D8F">
        <w:rPr>
          <w:rFonts w:cs="Arial" w:hint="cs"/>
          <w:sz w:val="16"/>
          <w:szCs w:val="16"/>
          <w:rtl/>
        </w:rPr>
        <w:t>(</w:t>
      </w:r>
      <w:r w:rsidRPr="00666D8F">
        <w:rPr>
          <w:rFonts w:cs="Arial"/>
          <w:sz w:val="16"/>
          <w:szCs w:val="16"/>
          <w:rtl/>
        </w:rPr>
        <w:t>פ</w:t>
      </w:r>
      <w:r w:rsidRPr="00666D8F">
        <w:rPr>
          <w:rFonts w:cs="Arial" w:hint="cs"/>
          <w:sz w:val="16"/>
          <w:szCs w:val="16"/>
          <w:rtl/>
        </w:rPr>
        <w:t>"</w:t>
      </w:r>
      <w:r w:rsidRPr="00666D8F">
        <w:rPr>
          <w:rFonts w:cs="Arial"/>
          <w:sz w:val="16"/>
          <w:szCs w:val="16"/>
          <w:rtl/>
        </w:rPr>
        <w:t>י מגירושין הכ"ב)</w:t>
      </w:r>
      <w:r>
        <w:rPr>
          <w:rFonts w:cs="Arial" w:hint="cs"/>
          <w:rtl/>
        </w:rPr>
        <w:t xml:space="preserve"> ו</w:t>
      </w:r>
      <w:r w:rsidR="00E5139A">
        <w:rPr>
          <w:rFonts w:cs="Arial" w:hint="cs"/>
          <w:rtl/>
        </w:rPr>
        <w:t>טור</w:t>
      </w:r>
      <w:r w:rsidR="00A82951">
        <w:rPr>
          <w:rFonts w:cs="Arial" w:hint="cs"/>
          <w:rtl/>
        </w:rPr>
        <w:t>-</w:t>
      </w:r>
      <w:r w:rsidR="00E5139A">
        <w:rPr>
          <w:rFonts w:cs="Arial" w:hint="cs"/>
          <w:rtl/>
        </w:rPr>
        <w:t xml:space="preserve"> </w:t>
      </w:r>
      <w:r w:rsidR="00E5139A" w:rsidRPr="00FE714F">
        <w:rPr>
          <w:rFonts w:cs="Arial"/>
          <w:rtl/>
        </w:rPr>
        <w:t>אשה שנתגרשה משום פריצו</w:t>
      </w:r>
      <w:r w:rsidR="00043D89">
        <w:rPr>
          <w:rFonts w:cs="Arial" w:hint="cs"/>
          <w:rtl/>
        </w:rPr>
        <w:t>ת</w:t>
      </w:r>
      <w:r w:rsidR="00E5139A" w:rsidRPr="00FE714F">
        <w:rPr>
          <w:rFonts w:cs="Arial"/>
          <w:rtl/>
        </w:rPr>
        <w:t xml:space="preserve"> </w:t>
      </w:r>
      <w:r w:rsidR="00A82951">
        <w:rPr>
          <w:rFonts w:cs="Arial" w:hint="cs"/>
          <w:rtl/>
        </w:rPr>
        <w:t>-</w:t>
      </w:r>
      <w:r>
        <w:rPr>
          <w:rFonts w:cs="Arial" w:hint="cs"/>
          <w:rtl/>
        </w:rPr>
        <w:t xml:space="preserve"> </w:t>
      </w:r>
      <w:r w:rsidR="00E5139A" w:rsidRPr="00FE714F">
        <w:rPr>
          <w:rFonts w:cs="Arial"/>
          <w:rtl/>
        </w:rPr>
        <w:t>אין ראוי לאדם כשר לישאנה</w:t>
      </w:r>
      <w:r>
        <w:rPr>
          <w:rFonts w:cs="Arial" w:hint="cs"/>
          <w:rtl/>
        </w:rPr>
        <w:t>,</w:t>
      </w:r>
      <w:r w:rsidR="00E5139A" w:rsidRPr="00FE714F">
        <w:rPr>
          <w:rFonts w:cs="Arial"/>
          <w:rtl/>
        </w:rPr>
        <w:t xml:space="preserve"> שלא יכניס לביתו רשעה שהוציא זה מביתו</w:t>
      </w:r>
      <w:r>
        <w:rPr>
          <w:rFonts w:cs="Arial" w:hint="cs"/>
          <w:sz w:val="16"/>
          <w:szCs w:val="16"/>
          <w:rtl/>
        </w:rPr>
        <w:t xml:space="preserve"> (ל' הטור)</w:t>
      </w:r>
      <w:r w:rsidR="00E5139A">
        <w:rPr>
          <w:rFonts w:cs="Arial" w:hint="cs"/>
          <w:rtl/>
        </w:rPr>
        <w:t>.</w:t>
      </w:r>
      <w:r w:rsidR="00F055D3" w:rsidRPr="00F055D3">
        <w:rPr>
          <w:rFonts w:hint="cs"/>
          <w:color w:val="E36C0A" w:themeColor="accent6" w:themeShade="BF"/>
          <w:rtl/>
        </w:rPr>
        <w:t xml:space="preserve"> </w:t>
      </w:r>
      <w:r w:rsidR="00F055D3" w:rsidRPr="00636B5A">
        <w:rPr>
          <w:rFonts w:hint="cs"/>
          <w:color w:val="E36C0A" w:themeColor="accent6" w:themeShade="BF"/>
          <w:rtl/>
        </w:rPr>
        <w:t>(וכ</w:t>
      </w:r>
      <w:r w:rsidR="00F055D3">
        <w:rPr>
          <w:rFonts w:hint="cs"/>
          <w:color w:val="E36C0A" w:themeColor="accent6" w:themeShade="BF"/>
          <w:rtl/>
        </w:rPr>
        <w:t>"</w:t>
      </w:r>
      <w:r w:rsidR="00F055D3" w:rsidRPr="00636B5A">
        <w:rPr>
          <w:rFonts w:hint="cs"/>
          <w:color w:val="E36C0A" w:themeColor="accent6" w:themeShade="BF"/>
          <w:rtl/>
        </w:rPr>
        <w:t>פ בשו"ע)</w:t>
      </w:r>
    </w:p>
    <w:p w14:paraId="6FB1A622" w14:textId="77777777" w:rsidR="000F4DF0" w:rsidRPr="007B74F1" w:rsidRDefault="000F4DF0" w:rsidP="000F4DF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10FBE69" w14:textId="32D51446" w:rsidR="007B74F1" w:rsidRDefault="007B74F1" w:rsidP="007B74F1">
      <w:pPr>
        <w:rPr>
          <w:rFonts w:cs="Arial"/>
          <w:rtl/>
        </w:rPr>
      </w:pPr>
      <w:r w:rsidRPr="007B74F1">
        <w:rPr>
          <w:rFonts w:cs="Arial"/>
          <w:rtl/>
        </w:rPr>
        <w:t xml:space="preserve">אשה שנתגרשה משום פריצות, אין ראוי לאדם כשר שישאנה. </w:t>
      </w:r>
    </w:p>
    <w:p w14:paraId="33779E0B" w14:textId="77777777" w:rsidR="00C71ED5" w:rsidRPr="007B74F1" w:rsidRDefault="00C71ED5" w:rsidP="007B74F1">
      <w:pPr>
        <w:rPr>
          <w:rFonts w:cs="Arial"/>
          <w:rtl/>
        </w:rPr>
      </w:pPr>
    </w:p>
    <w:p w14:paraId="34089D55" w14:textId="28AD5C44" w:rsidR="007B74F1" w:rsidRDefault="007B74F1" w:rsidP="00786DE6">
      <w:pPr>
        <w:pStyle w:val="2"/>
        <w:rPr>
          <w:rtl/>
        </w:rPr>
      </w:pPr>
      <w:r w:rsidRPr="007B74F1">
        <w:rPr>
          <w:rtl/>
        </w:rPr>
        <w:t>סעיף ו</w:t>
      </w:r>
      <w:r w:rsidR="00C71ED5">
        <w:rPr>
          <w:rFonts w:hint="cs"/>
          <w:rtl/>
        </w:rPr>
        <w:t>:</w:t>
      </w:r>
      <w:r w:rsidR="00753AAC">
        <w:rPr>
          <w:rFonts w:hint="cs"/>
          <w:rtl/>
        </w:rPr>
        <w:t xml:space="preserve"> גירושין בעל כרחה של האשה.</w:t>
      </w:r>
      <w:r w:rsidR="0029323B">
        <w:rPr>
          <w:rFonts w:hint="cs"/>
          <w:rtl/>
        </w:rPr>
        <w:t xml:space="preserve"> וגירושי אשה שוטה.</w:t>
      </w:r>
    </w:p>
    <w:p w14:paraId="170E687A" w14:textId="7C9FB122" w:rsidR="00594D8E" w:rsidRDefault="005F2F34" w:rsidP="00594D8E">
      <w:pPr>
        <w:rPr>
          <w:rtl/>
        </w:rPr>
      </w:pPr>
      <w:r w:rsidRPr="00EB1DEB">
        <w:rPr>
          <w:rFonts w:hint="cs"/>
          <w:b/>
          <w:bCs/>
          <w:rtl/>
        </w:rPr>
        <w:t xml:space="preserve">יבמות </w:t>
      </w:r>
      <w:r w:rsidRPr="00EB1DEB">
        <w:rPr>
          <w:rFonts w:hint="cs"/>
          <w:b/>
          <w:bCs/>
          <w:sz w:val="16"/>
          <w:szCs w:val="16"/>
          <w:rtl/>
        </w:rPr>
        <w:t>(</w:t>
      </w:r>
      <w:r>
        <w:rPr>
          <w:rFonts w:hint="cs"/>
          <w:b/>
          <w:bCs/>
          <w:sz w:val="16"/>
          <w:szCs w:val="16"/>
          <w:rtl/>
        </w:rPr>
        <w:t>ר"פ</w:t>
      </w:r>
      <w:r w:rsidRPr="00EB1DEB">
        <w:rPr>
          <w:rFonts w:hint="cs"/>
          <w:b/>
          <w:bCs/>
          <w:sz w:val="16"/>
          <w:szCs w:val="16"/>
          <w:rtl/>
        </w:rPr>
        <w:t xml:space="preserve"> </w:t>
      </w:r>
      <w:r>
        <w:rPr>
          <w:rFonts w:hint="cs"/>
          <w:b/>
          <w:bCs/>
          <w:sz w:val="16"/>
          <w:szCs w:val="16"/>
          <w:rtl/>
        </w:rPr>
        <w:t>חרש</w:t>
      </w:r>
      <w:r w:rsidRPr="00EB1DEB">
        <w:rPr>
          <w:rFonts w:hint="cs"/>
          <w:b/>
          <w:bCs/>
          <w:sz w:val="16"/>
          <w:szCs w:val="16"/>
          <w:rtl/>
        </w:rPr>
        <w:t xml:space="preserve">) </w:t>
      </w:r>
      <w:r>
        <w:rPr>
          <w:rFonts w:hint="cs"/>
          <w:b/>
          <w:bCs/>
          <w:rtl/>
        </w:rPr>
        <w:t>קיב</w:t>
      </w:r>
      <w:r w:rsidR="00AD0203">
        <w:rPr>
          <w:rStyle w:val="a7"/>
          <w:b/>
          <w:bCs/>
          <w:rtl/>
        </w:rPr>
        <w:footnoteReference w:id="23"/>
      </w:r>
      <w:r w:rsidRPr="00EB1DEB">
        <w:rPr>
          <w:rFonts w:hint="cs"/>
          <w:b/>
          <w:bCs/>
          <w:rtl/>
        </w:rPr>
        <w:t xml:space="preserve"> ע"ב:</w:t>
      </w:r>
      <w:r w:rsidRPr="00EB1DEB">
        <w:rPr>
          <w:rtl/>
        </w:rPr>
        <w:t xml:space="preserve"> </w:t>
      </w:r>
      <w:r w:rsidRPr="005F2F34">
        <w:rPr>
          <w:rFonts w:cs="Arial"/>
          <w:u w:val="double"/>
          <w:rtl/>
        </w:rPr>
        <w:t>מתני'</w:t>
      </w:r>
      <w:r>
        <w:rPr>
          <w:rFonts w:cs="Arial" w:hint="cs"/>
          <w:rtl/>
        </w:rPr>
        <w:t>:</w:t>
      </w:r>
      <w:r w:rsidRPr="005F2F34">
        <w:rPr>
          <w:rFonts w:cs="Arial"/>
          <w:rtl/>
        </w:rPr>
        <w:t xml:space="preserve"> חרש שנשא פקחת, ופקח שנשא חרשת, אם רצה להוציא </w:t>
      </w:r>
      <w:r w:rsidR="00A82951">
        <w:rPr>
          <w:rFonts w:cs="Arial"/>
          <w:rtl/>
        </w:rPr>
        <w:t>-</w:t>
      </w:r>
      <w:r w:rsidRPr="005F2F34">
        <w:rPr>
          <w:rFonts w:cs="Arial"/>
          <w:rtl/>
        </w:rPr>
        <w:t xml:space="preserve"> יוציא, ואם רצה לקיים </w:t>
      </w:r>
      <w:r w:rsidR="00A82951">
        <w:rPr>
          <w:rFonts w:cs="Arial" w:hint="cs"/>
          <w:rtl/>
        </w:rPr>
        <w:t>-</w:t>
      </w:r>
      <w:r w:rsidRPr="005F2F34">
        <w:rPr>
          <w:rFonts w:cs="Arial"/>
          <w:rtl/>
        </w:rPr>
        <w:t xml:space="preserve"> יקיים</w:t>
      </w:r>
      <w:r w:rsidR="005553CC">
        <w:rPr>
          <w:rFonts w:cs="Arial" w:hint="cs"/>
          <w:rtl/>
        </w:rPr>
        <w:t>.</w:t>
      </w:r>
      <w:r w:rsidRPr="005F2F34">
        <w:rPr>
          <w:rFonts w:cs="Arial"/>
          <w:rtl/>
        </w:rPr>
        <w:t xml:space="preserve"> כשם שהוא כונס ברמיזה</w:t>
      </w:r>
      <w:r w:rsidR="0026383B">
        <w:rPr>
          <w:rStyle w:val="a7"/>
          <w:rFonts w:cs="Arial"/>
          <w:rtl/>
        </w:rPr>
        <w:footnoteReference w:id="24"/>
      </w:r>
      <w:r w:rsidRPr="005F2F34">
        <w:rPr>
          <w:rFonts w:cs="Arial"/>
          <w:rtl/>
        </w:rPr>
        <w:t>, כך הוא מוציא ברמיזה. פקח שנשא פקחת ונתחרשה</w:t>
      </w:r>
      <w:r w:rsidR="0026383B">
        <w:rPr>
          <w:rStyle w:val="a7"/>
          <w:rFonts w:cs="Arial"/>
          <w:rtl/>
        </w:rPr>
        <w:footnoteReference w:id="25"/>
      </w:r>
      <w:r w:rsidRPr="005F2F34">
        <w:rPr>
          <w:rFonts w:cs="Arial"/>
          <w:rtl/>
        </w:rPr>
        <w:t xml:space="preserve">, אם רצה </w:t>
      </w:r>
      <w:r w:rsidR="00A82951">
        <w:rPr>
          <w:rFonts w:cs="Arial"/>
          <w:rtl/>
        </w:rPr>
        <w:t>-</w:t>
      </w:r>
      <w:r w:rsidRPr="005F2F34">
        <w:rPr>
          <w:rFonts w:cs="Arial"/>
          <w:rtl/>
        </w:rPr>
        <w:t xml:space="preserve"> יוציא, ואם רצה </w:t>
      </w:r>
      <w:r w:rsidR="00A82951">
        <w:rPr>
          <w:rFonts w:cs="Arial"/>
          <w:rtl/>
        </w:rPr>
        <w:t>-</w:t>
      </w:r>
      <w:r w:rsidRPr="005F2F34">
        <w:rPr>
          <w:rFonts w:cs="Arial"/>
          <w:rtl/>
        </w:rPr>
        <w:t xml:space="preserve"> יקיים</w:t>
      </w:r>
      <w:r w:rsidR="005553CC">
        <w:rPr>
          <w:rFonts w:cs="Arial" w:hint="cs"/>
          <w:rtl/>
        </w:rPr>
        <w:t>.</w:t>
      </w:r>
      <w:r w:rsidRPr="005F2F34">
        <w:rPr>
          <w:rFonts w:cs="Arial"/>
          <w:rtl/>
        </w:rPr>
        <w:t xml:space="preserve"> נשתטית </w:t>
      </w:r>
      <w:r w:rsidR="00A82951">
        <w:rPr>
          <w:rFonts w:cs="Arial"/>
          <w:rtl/>
        </w:rPr>
        <w:t>-</w:t>
      </w:r>
      <w:r w:rsidRPr="005F2F34">
        <w:rPr>
          <w:rFonts w:cs="Arial"/>
          <w:rtl/>
        </w:rPr>
        <w:t xml:space="preserve"> לא יוציא</w:t>
      </w:r>
      <w:r w:rsidR="0026383B">
        <w:rPr>
          <w:rStyle w:val="a7"/>
          <w:rFonts w:cs="Arial"/>
          <w:rtl/>
        </w:rPr>
        <w:footnoteReference w:id="26"/>
      </w:r>
      <w:r w:rsidR="0026383B">
        <w:rPr>
          <w:rFonts w:cs="Arial" w:hint="cs"/>
          <w:rtl/>
        </w:rPr>
        <w:t>.</w:t>
      </w:r>
      <w:r w:rsidRPr="005F2F34">
        <w:rPr>
          <w:rFonts w:cs="Arial"/>
          <w:rtl/>
        </w:rPr>
        <w:t xml:space="preserve"> נתחרש הוא</w:t>
      </w:r>
      <w:r w:rsidR="0026383B">
        <w:rPr>
          <w:rStyle w:val="a7"/>
          <w:rFonts w:cs="Arial"/>
          <w:rtl/>
        </w:rPr>
        <w:footnoteReference w:id="27"/>
      </w:r>
      <w:r w:rsidRPr="005F2F34">
        <w:rPr>
          <w:rFonts w:cs="Arial"/>
          <w:rtl/>
        </w:rPr>
        <w:t xml:space="preserve"> או נשתטה </w:t>
      </w:r>
      <w:r w:rsidR="00A82951">
        <w:rPr>
          <w:rFonts w:cs="Arial"/>
          <w:rtl/>
        </w:rPr>
        <w:t>-</w:t>
      </w:r>
      <w:r w:rsidRPr="005F2F34">
        <w:rPr>
          <w:rFonts w:cs="Arial"/>
          <w:rtl/>
        </w:rPr>
        <w:t xml:space="preserve"> אינו מוציאה עולמית. </w:t>
      </w:r>
      <w:r w:rsidRPr="0026383B">
        <w:rPr>
          <w:rFonts w:cs="Arial"/>
          <w:u w:val="single"/>
          <w:rtl/>
        </w:rPr>
        <w:t>אמר רבי יוחנן בן נורי</w:t>
      </w:r>
      <w:r w:rsidRPr="005F2F34">
        <w:rPr>
          <w:rFonts w:cs="Arial"/>
          <w:rtl/>
        </w:rPr>
        <w:t xml:space="preserve">: מפני מה האשה שנתחרשה יוצאה, והאיש שנתחרש אינו מוציא? </w:t>
      </w:r>
      <w:r w:rsidRPr="0026383B">
        <w:rPr>
          <w:rFonts w:cs="Arial"/>
          <w:u w:val="single"/>
          <w:rtl/>
        </w:rPr>
        <w:t>אמרו לו</w:t>
      </w:r>
      <w:r w:rsidRPr="005F2F34">
        <w:rPr>
          <w:rFonts w:cs="Arial"/>
          <w:rtl/>
        </w:rPr>
        <w:t xml:space="preserve">: אינו דומה האיש המגרש לאשה המתגרשת, שהאשה יוצאה לרצונה ושלא לרצונה, והאיש אינו מוציא אלא לרצונו. </w:t>
      </w:r>
      <w:r w:rsidRPr="0026383B">
        <w:rPr>
          <w:rFonts w:cs="Arial"/>
          <w:u w:val="single"/>
          <w:rtl/>
        </w:rPr>
        <w:t>העיד רבי יוחנן בן גודגדא</w:t>
      </w:r>
      <w:r w:rsidRPr="005F2F34">
        <w:rPr>
          <w:rFonts w:cs="Arial"/>
          <w:rtl/>
        </w:rPr>
        <w:t xml:space="preserve"> על החרשת שהשיאה אביה</w:t>
      </w:r>
      <w:r w:rsidR="0026383B">
        <w:rPr>
          <w:rStyle w:val="a7"/>
          <w:rFonts w:cs="Arial"/>
          <w:rtl/>
        </w:rPr>
        <w:footnoteReference w:id="28"/>
      </w:r>
      <w:r w:rsidRPr="005F2F34">
        <w:rPr>
          <w:rFonts w:cs="Arial"/>
          <w:rtl/>
        </w:rPr>
        <w:t>, שהיא יוצאה בגט</w:t>
      </w:r>
      <w:r w:rsidR="0026383B">
        <w:rPr>
          <w:rFonts w:cs="Arial" w:hint="cs"/>
          <w:rtl/>
        </w:rPr>
        <w:t>.</w:t>
      </w:r>
      <w:r w:rsidRPr="005F2F34">
        <w:rPr>
          <w:rFonts w:cs="Arial"/>
          <w:rtl/>
        </w:rPr>
        <w:t xml:space="preserve"> </w:t>
      </w:r>
      <w:r w:rsidRPr="0026383B">
        <w:rPr>
          <w:rFonts w:cs="Arial"/>
          <w:u w:val="single"/>
          <w:rtl/>
        </w:rPr>
        <w:t>אמרו לו</w:t>
      </w:r>
      <w:r w:rsidRPr="005F2F34">
        <w:rPr>
          <w:rFonts w:cs="Arial"/>
          <w:rtl/>
        </w:rPr>
        <w:t>: אף זו</w:t>
      </w:r>
      <w:r w:rsidR="0026383B">
        <w:rPr>
          <w:rStyle w:val="a7"/>
          <w:rFonts w:cs="Arial"/>
          <w:rtl/>
        </w:rPr>
        <w:footnoteReference w:id="29"/>
      </w:r>
      <w:r w:rsidRPr="005F2F34">
        <w:rPr>
          <w:rFonts w:cs="Arial"/>
          <w:rtl/>
        </w:rPr>
        <w:t xml:space="preserve"> כיוצא בה</w:t>
      </w:r>
      <w:r w:rsidR="0026383B">
        <w:rPr>
          <w:rFonts w:cs="Arial" w:hint="cs"/>
          <w:rtl/>
        </w:rPr>
        <w:t>..</w:t>
      </w:r>
      <w:r w:rsidRPr="005F2F34">
        <w:rPr>
          <w:rFonts w:cs="Arial"/>
          <w:rtl/>
        </w:rPr>
        <w:t>.</w:t>
      </w:r>
      <w:r w:rsidR="0055465C">
        <w:rPr>
          <w:rFonts w:hint="cs"/>
          <w:rtl/>
        </w:rPr>
        <w:t xml:space="preserve">       </w:t>
      </w:r>
      <w:r w:rsidR="0055465C" w:rsidRPr="0055465C">
        <w:rPr>
          <w:rFonts w:hint="cs"/>
          <w:u w:val="double"/>
          <w:rtl/>
        </w:rPr>
        <w:t>גמ'</w:t>
      </w:r>
      <w:r w:rsidR="0055465C" w:rsidRPr="0055465C">
        <w:rPr>
          <w:rFonts w:hint="cs"/>
          <w:sz w:val="14"/>
          <w:szCs w:val="14"/>
          <w:u w:val="double"/>
          <w:rtl/>
        </w:rPr>
        <w:t>(קיג:)</w:t>
      </w:r>
      <w:r w:rsidR="0055465C" w:rsidRPr="0055465C">
        <w:rPr>
          <w:rFonts w:hint="cs"/>
          <w:u w:val="double"/>
          <w:rtl/>
        </w:rPr>
        <w:t>:</w:t>
      </w:r>
      <w:r w:rsidR="0055465C">
        <w:rPr>
          <w:rFonts w:hint="cs"/>
          <w:rtl/>
        </w:rPr>
        <w:t xml:space="preserve"> </w:t>
      </w:r>
      <w:r w:rsidR="0055465C" w:rsidRPr="0055465C">
        <w:rPr>
          <w:rFonts w:cs="Arial"/>
          <w:rtl/>
        </w:rPr>
        <w:t xml:space="preserve">נשתטית וכו'. </w:t>
      </w:r>
      <w:r w:rsidR="0055465C" w:rsidRPr="008F5CBC">
        <w:rPr>
          <w:rFonts w:cs="Arial"/>
          <w:u w:val="single"/>
          <w:rtl/>
        </w:rPr>
        <w:t>א"ר יצחק</w:t>
      </w:r>
      <w:r w:rsidR="0055465C" w:rsidRPr="0055465C">
        <w:rPr>
          <w:rFonts w:cs="Arial"/>
          <w:rtl/>
        </w:rPr>
        <w:t xml:space="preserve">: דבר תורה שוטה מתגרשת, מידי דהוה אפקחת בעל כרחה, ומה טעם אמרו אינה מגורשת? שלא ינהגו בה מנהג הפקר. היכי דמי? אילימא דיודעת לשמור גיטה ויודעת לשמור עצמה, מי נהגי בה מנהג הפקר? אלא דאין יודעת לשמור לא גיטה ולא עצמה, דבר תורה שוטה מתגרשת? והא </w:t>
      </w:r>
      <w:r w:rsidR="0055465C" w:rsidRPr="003F46E1">
        <w:rPr>
          <w:rFonts w:cs="Arial"/>
          <w:u w:val="single"/>
          <w:rtl/>
        </w:rPr>
        <w:t>אמר דבי רבי ינאי</w:t>
      </w:r>
      <w:r w:rsidR="0055465C" w:rsidRPr="0055465C">
        <w:rPr>
          <w:rFonts w:cs="Arial"/>
          <w:rtl/>
        </w:rPr>
        <w:t xml:space="preserve">: ונתן בידה </w:t>
      </w:r>
      <w:r w:rsidR="00A82951">
        <w:rPr>
          <w:rFonts w:cs="Arial"/>
          <w:rtl/>
        </w:rPr>
        <w:t>-</w:t>
      </w:r>
      <w:r w:rsidR="0055465C" w:rsidRPr="0055465C">
        <w:rPr>
          <w:rFonts w:cs="Arial"/>
          <w:rtl/>
        </w:rPr>
        <w:t xml:space="preserve"> מי שיש לה יד לגרש עצמה, יצתה זו שאין לה יד לגרש עצמה! </w:t>
      </w:r>
      <w:r w:rsidR="003F46E1">
        <w:rPr>
          <w:rFonts w:cs="Arial" w:hint="cs"/>
          <w:u w:val="single"/>
          <w:rtl/>
        </w:rPr>
        <w:t>ו</w:t>
      </w:r>
      <w:r w:rsidR="0055465C" w:rsidRPr="003F46E1">
        <w:rPr>
          <w:rFonts w:cs="Arial"/>
          <w:u w:val="single"/>
          <w:rtl/>
        </w:rPr>
        <w:t>תנא דבי רבי ישמעאל</w:t>
      </w:r>
      <w:r w:rsidR="0055465C" w:rsidRPr="0055465C">
        <w:rPr>
          <w:rFonts w:cs="Arial"/>
          <w:rtl/>
        </w:rPr>
        <w:t xml:space="preserve">: ושלחה מביתו </w:t>
      </w:r>
      <w:r w:rsidR="00A82951">
        <w:rPr>
          <w:rFonts w:cs="Arial"/>
          <w:rtl/>
        </w:rPr>
        <w:t>-</w:t>
      </w:r>
      <w:r w:rsidR="0055465C" w:rsidRPr="0055465C">
        <w:rPr>
          <w:rFonts w:cs="Arial"/>
          <w:rtl/>
        </w:rPr>
        <w:t xml:space="preserve"> מי שמשלחה ואינה חוזרת, יצתה זו שמשלחה וחוזרת! לא צריכא, דיודעת לשמור גיטה ואינה יודעת לשמור עצמה, דבר תורה שוטה מתגרשת </w:t>
      </w:r>
      <w:r w:rsidR="00A82951">
        <w:rPr>
          <w:rFonts w:cs="Arial"/>
          <w:rtl/>
        </w:rPr>
        <w:t>-</w:t>
      </w:r>
      <w:r w:rsidR="0055465C" w:rsidRPr="0055465C">
        <w:rPr>
          <w:rFonts w:cs="Arial"/>
          <w:rtl/>
        </w:rPr>
        <w:t xml:space="preserve"> דהא יודעת לשמור גיטה, ואמור רבנן לא ליפקא, שלא ינהגו בה מנהג הפקר. </w:t>
      </w:r>
      <w:r w:rsidR="0055465C" w:rsidRPr="008F5CBC">
        <w:rPr>
          <w:rFonts w:cs="Arial"/>
          <w:u w:val="single"/>
          <w:rtl/>
        </w:rPr>
        <w:t>אמר אביי</w:t>
      </w:r>
      <w:r w:rsidR="0055465C" w:rsidRPr="0055465C">
        <w:rPr>
          <w:rFonts w:cs="Arial"/>
          <w:rtl/>
        </w:rPr>
        <w:t>: דיקא נמי, דקתני גבי דידה נשתטית לא יוציא, וגבי דידיה לא יוציא עולמית, מאי שנא הכא דקתני עולמית, ומאי שנא התם דלא קתני עולמית? אלא שמע מינה: הא דאורייתא, הא דרבנן.</w:t>
      </w:r>
    </w:p>
    <w:p w14:paraId="69DF107C" w14:textId="45094C43" w:rsidR="000364FA" w:rsidRPr="008D5547" w:rsidRDefault="000364FA" w:rsidP="00594D8E">
      <w:pPr>
        <w:rPr>
          <w:sz w:val="16"/>
          <w:szCs w:val="16"/>
          <w:rtl/>
        </w:rPr>
      </w:pPr>
      <w:r>
        <w:rPr>
          <w:rFonts w:cs="Arial" w:hint="cs"/>
          <w:b/>
          <w:bCs/>
          <w:rtl/>
        </w:rPr>
        <w:t xml:space="preserve">ירושלמי יבמות פי"ד ה"א: </w:t>
      </w:r>
      <w:r w:rsidRPr="000364FA">
        <w:rPr>
          <w:rFonts w:cs="Arial"/>
          <w:rtl/>
        </w:rPr>
        <w:t xml:space="preserve">נשתטתה לא יוציא. </w:t>
      </w:r>
      <w:r w:rsidRPr="000364FA">
        <w:rPr>
          <w:rFonts w:cs="Arial"/>
          <w:u w:val="single"/>
          <w:rtl/>
        </w:rPr>
        <w:t>דבית ר' ינאי אמרי</w:t>
      </w:r>
      <w:r>
        <w:rPr>
          <w:rFonts w:cs="Arial" w:hint="cs"/>
          <w:rtl/>
        </w:rPr>
        <w:t>:</w:t>
      </w:r>
      <w:r w:rsidRPr="000364FA">
        <w:rPr>
          <w:rFonts w:cs="Arial"/>
          <w:rtl/>
        </w:rPr>
        <w:t xml:space="preserve"> מפני גרירה</w:t>
      </w:r>
      <w:r>
        <w:rPr>
          <w:rStyle w:val="a7"/>
          <w:rFonts w:cs="Arial"/>
          <w:rtl/>
        </w:rPr>
        <w:footnoteReference w:id="30"/>
      </w:r>
      <w:r w:rsidRPr="000364FA">
        <w:rPr>
          <w:rFonts w:cs="Arial"/>
          <w:rtl/>
        </w:rPr>
        <w:t xml:space="preserve">. </w:t>
      </w:r>
      <w:r w:rsidRPr="000364FA">
        <w:rPr>
          <w:rFonts w:cs="Arial"/>
          <w:u w:val="single"/>
          <w:rtl/>
        </w:rPr>
        <w:t>ר' זעירא ור' אילא תריהון אמרין</w:t>
      </w:r>
      <w:r>
        <w:rPr>
          <w:rFonts w:cs="Arial" w:hint="cs"/>
          <w:rtl/>
        </w:rPr>
        <w:t>:</w:t>
      </w:r>
      <w:r w:rsidRPr="000364FA">
        <w:rPr>
          <w:rFonts w:cs="Arial"/>
          <w:rtl/>
        </w:rPr>
        <w:t xml:space="preserve"> שאינה יכולה לשמור את גיטה. </w:t>
      </w:r>
      <w:r w:rsidRPr="000364FA">
        <w:rPr>
          <w:rFonts w:cs="Arial"/>
          <w:u w:val="single"/>
          <w:rtl/>
        </w:rPr>
        <w:t>ר' נחמיה בר מר עוקבן בריה דרבי יוסי אמר</w:t>
      </w:r>
      <w:r w:rsidRPr="00312261">
        <w:rPr>
          <w:rFonts w:cs="Arial"/>
          <w:u w:val="single"/>
          <w:rtl/>
        </w:rPr>
        <w:t xml:space="preserve"> תלתא</w:t>
      </w:r>
      <w:r w:rsidR="00312261">
        <w:rPr>
          <w:rStyle w:val="a7"/>
          <w:rFonts w:cs="Arial"/>
          <w:u w:val="single"/>
          <w:rtl/>
        </w:rPr>
        <w:footnoteReference w:id="31"/>
      </w:r>
      <w:r w:rsidR="00312261">
        <w:rPr>
          <w:rFonts w:cs="Arial" w:hint="cs"/>
          <w:rtl/>
        </w:rPr>
        <w:t>:</w:t>
      </w:r>
      <w:r w:rsidRPr="000364FA">
        <w:rPr>
          <w:rFonts w:cs="Arial"/>
          <w:rtl/>
        </w:rPr>
        <w:t xml:space="preserve"> עבר וגירש. מאן דאמר מפני גרירה</w:t>
      </w:r>
      <w:r w:rsidR="00312261">
        <w:rPr>
          <w:rFonts w:cs="Arial" w:hint="cs"/>
          <w:rtl/>
        </w:rPr>
        <w:t xml:space="preserve"> </w:t>
      </w:r>
      <w:r w:rsidR="00A82951">
        <w:rPr>
          <w:rFonts w:cs="Arial" w:hint="cs"/>
          <w:rtl/>
        </w:rPr>
        <w:t>-</w:t>
      </w:r>
      <w:r w:rsidRPr="000364FA">
        <w:rPr>
          <w:rFonts w:cs="Arial"/>
          <w:rtl/>
        </w:rPr>
        <w:t xml:space="preserve"> גירש</w:t>
      </w:r>
      <w:r w:rsidR="00312261">
        <w:rPr>
          <w:rStyle w:val="a7"/>
          <w:rFonts w:cs="Arial"/>
          <w:rtl/>
        </w:rPr>
        <w:footnoteReference w:id="32"/>
      </w:r>
      <w:r w:rsidR="00312261">
        <w:rPr>
          <w:rFonts w:cs="Arial" w:hint="cs"/>
          <w:rtl/>
        </w:rPr>
        <w:t>.</w:t>
      </w:r>
      <w:r w:rsidRPr="000364FA">
        <w:rPr>
          <w:rFonts w:cs="Arial"/>
          <w:rtl/>
        </w:rPr>
        <w:t xml:space="preserve"> מאן דאמר שאינה יכולה לשמור את גיטה </w:t>
      </w:r>
      <w:r w:rsidR="00A82951">
        <w:rPr>
          <w:rFonts w:cs="Arial" w:hint="cs"/>
          <w:rtl/>
        </w:rPr>
        <w:t>-</w:t>
      </w:r>
      <w:r w:rsidR="00312261">
        <w:rPr>
          <w:rFonts w:cs="Arial" w:hint="cs"/>
          <w:rtl/>
        </w:rPr>
        <w:t xml:space="preserve"> </w:t>
      </w:r>
      <w:r w:rsidRPr="000364FA">
        <w:rPr>
          <w:rFonts w:cs="Arial"/>
          <w:rtl/>
        </w:rPr>
        <w:t>אסור</w:t>
      </w:r>
      <w:r w:rsidR="00312261">
        <w:rPr>
          <w:rStyle w:val="a7"/>
          <w:rFonts w:cs="Arial"/>
          <w:rtl/>
        </w:rPr>
        <w:footnoteReference w:id="33"/>
      </w:r>
      <w:r w:rsidRPr="000364FA">
        <w:rPr>
          <w:rFonts w:cs="Arial"/>
          <w:rtl/>
        </w:rPr>
        <w:t>.</w:t>
      </w:r>
      <w:r w:rsidR="00BD7CE2" w:rsidRPr="00BD7CE2">
        <w:rPr>
          <w:rFonts w:cs="Arial"/>
          <w:rtl/>
        </w:rPr>
        <w:t>יש לה בן ואב ואח</w:t>
      </w:r>
      <w:r w:rsidR="00BD7CE2">
        <w:rPr>
          <w:rFonts w:cs="Arial" w:hint="cs"/>
          <w:rtl/>
        </w:rPr>
        <w:t>.</w:t>
      </w:r>
      <w:r w:rsidR="00BD7CE2" w:rsidRPr="00BD7CE2">
        <w:rPr>
          <w:rFonts w:cs="Arial"/>
          <w:rtl/>
        </w:rPr>
        <w:t xml:space="preserve"> מאן דאמר מפני גרירה </w:t>
      </w:r>
      <w:r w:rsidR="00A82951">
        <w:rPr>
          <w:rFonts w:cs="Arial" w:hint="cs"/>
          <w:rtl/>
        </w:rPr>
        <w:t>-</w:t>
      </w:r>
      <w:r w:rsidR="00BD7CE2">
        <w:rPr>
          <w:rFonts w:cs="Arial" w:hint="cs"/>
          <w:rtl/>
        </w:rPr>
        <w:t xml:space="preserve"> </w:t>
      </w:r>
      <w:r w:rsidR="00BD7CE2" w:rsidRPr="00BD7CE2">
        <w:rPr>
          <w:rFonts w:cs="Arial"/>
          <w:rtl/>
        </w:rPr>
        <w:lastRenderedPageBreak/>
        <w:t>אסור</w:t>
      </w:r>
      <w:r w:rsidR="00266778">
        <w:rPr>
          <w:rStyle w:val="a7"/>
          <w:rFonts w:cs="Arial"/>
          <w:rtl/>
        </w:rPr>
        <w:footnoteReference w:id="34"/>
      </w:r>
      <w:r w:rsidR="00BD7CE2">
        <w:rPr>
          <w:rFonts w:cs="Arial" w:hint="cs"/>
          <w:rtl/>
        </w:rPr>
        <w:t>.</w:t>
      </w:r>
      <w:r w:rsidR="00BD7CE2" w:rsidRPr="00BD7CE2">
        <w:rPr>
          <w:rFonts w:cs="Arial"/>
          <w:rtl/>
        </w:rPr>
        <w:t xml:space="preserve"> מאן דאמר שאינה יכולה לשמור את גיטה</w:t>
      </w:r>
      <w:r w:rsidR="00BD7CE2">
        <w:rPr>
          <w:rFonts w:cs="Arial" w:hint="cs"/>
          <w:rtl/>
        </w:rPr>
        <w:t xml:space="preserve"> </w:t>
      </w:r>
      <w:r w:rsidR="00A82951">
        <w:rPr>
          <w:rFonts w:cs="Arial" w:hint="cs"/>
          <w:rtl/>
        </w:rPr>
        <w:t>-</w:t>
      </w:r>
      <w:r w:rsidR="00BD7CE2" w:rsidRPr="00BD7CE2">
        <w:rPr>
          <w:rFonts w:cs="Arial"/>
          <w:rtl/>
        </w:rPr>
        <w:t xml:space="preserve"> יש לה אב ויכולה היא לשמור את גיטה. פעמים שוטה פעמים חלומ</w:t>
      </w:r>
      <w:r w:rsidR="00BD7CE2">
        <w:rPr>
          <w:rFonts w:cs="Arial" w:hint="cs"/>
          <w:rtl/>
        </w:rPr>
        <w:t>ה.</w:t>
      </w:r>
      <w:r w:rsidR="00BD7CE2" w:rsidRPr="00BD7CE2">
        <w:rPr>
          <w:rFonts w:cs="Arial"/>
          <w:rtl/>
        </w:rPr>
        <w:t xml:space="preserve"> מאן דאמר מפני גרירה </w:t>
      </w:r>
      <w:r w:rsidR="00A82951">
        <w:rPr>
          <w:rFonts w:cs="Arial" w:hint="cs"/>
          <w:rtl/>
        </w:rPr>
        <w:t>-</w:t>
      </w:r>
      <w:r w:rsidR="00BD7CE2">
        <w:rPr>
          <w:rFonts w:cs="Arial" w:hint="cs"/>
          <w:rtl/>
        </w:rPr>
        <w:t xml:space="preserve"> </w:t>
      </w:r>
      <w:r w:rsidR="00BD7CE2" w:rsidRPr="00BD7CE2">
        <w:rPr>
          <w:rFonts w:cs="Arial"/>
          <w:rtl/>
        </w:rPr>
        <w:t>אסור</w:t>
      </w:r>
      <w:r w:rsidR="00BD7CE2">
        <w:rPr>
          <w:rFonts w:cs="Arial" w:hint="cs"/>
          <w:rtl/>
        </w:rPr>
        <w:t>.</w:t>
      </w:r>
      <w:r w:rsidR="00BD7CE2" w:rsidRPr="00BD7CE2">
        <w:rPr>
          <w:rFonts w:cs="Arial"/>
          <w:rtl/>
        </w:rPr>
        <w:t xml:space="preserve"> מאן דאמר שאינה יכולה לשמור את גיטה </w:t>
      </w:r>
      <w:r w:rsidR="00A82951">
        <w:rPr>
          <w:rFonts w:cs="Arial" w:hint="cs"/>
          <w:rtl/>
        </w:rPr>
        <w:t>-</w:t>
      </w:r>
      <w:r w:rsidR="00BD7CE2">
        <w:rPr>
          <w:rFonts w:cs="Arial" w:hint="cs"/>
          <w:rtl/>
        </w:rPr>
        <w:t xml:space="preserve"> </w:t>
      </w:r>
      <w:r w:rsidR="00BD7CE2" w:rsidRPr="00BD7CE2">
        <w:rPr>
          <w:rFonts w:cs="Arial"/>
          <w:rtl/>
        </w:rPr>
        <w:t>יש לה עיתים ויכולה היא לשמור את גיטה</w:t>
      </w:r>
      <w:r w:rsidR="00BD7CE2">
        <w:rPr>
          <w:rFonts w:cs="Arial" w:hint="cs"/>
          <w:rtl/>
        </w:rPr>
        <w:t>.</w:t>
      </w:r>
    </w:p>
    <w:p w14:paraId="29594387" w14:textId="2652D8C4" w:rsidR="00753AAC" w:rsidRPr="00753AAC" w:rsidRDefault="00753AAC" w:rsidP="00594D8E">
      <w:pPr>
        <w:rPr>
          <w:u w:val="single"/>
          <w:rtl/>
        </w:rPr>
      </w:pPr>
      <w:r w:rsidRPr="00753AAC">
        <w:rPr>
          <w:rFonts w:hint="cs"/>
          <w:u w:val="single"/>
          <w:rtl/>
        </w:rPr>
        <w:t>גירושין בעל כרחה של האשה:</w:t>
      </w:r>
    </w:p>
    <w:p w14:paraId="6D091FCB" w14:textId="30703020" w:rsidR="00AD03A6" w:rsidRDefault="00594D8E" w:rsidP="00AD03A6">
      <w:pPr>
        <w:pStyle w:val="ab"/>
        <w:numPr>
          <w:ilvl w:val="0"/>
          <w:numId w:val="16"/>
        </w:numPr>
      </w:pPr>
      <w:r>
        <w:rPr>
          <w:rFonts w:cs="Arial" w:hint="cs"/>
          <w:rtl/>
        </w:rPr>
        <w:t>טור</w:t>
      </w:r>
      <w:r w:rsidR="00A82951">
        <w:rPr>
          <w:rFonts w:cs="Arial" w:hint="cs"/>
          <w:rtl/>
        </w:rPr>
        <w:t>-</w:t>
      </w:r>
      <w:r>
        <w:rPr>
          <w:rFonts w:cs="Arial" w:hint="cs"/>
          <w:rtl/>
        </w:rPr>
        <w:t xml:space="preserve"> </w:t>
      </w:r>
      <w:r w:rsidR="00E5139A" w:rsidRPr="00FE714F">
        <w:rPr>
          <w:rFonts w:cs="Arial"/>
          <w:rtl/>
        </w:rPr>
        <w:t>ויכול לגרשה בלא דעתה</w:t>
      </w:r>
      <w:r w:rsidR="00AD03A6">
        <w:rPr>
          <w:rStyle w:val="a7"/>
          <w:rFonts w:cs="Arial"/>
          <w:rtl/>
        </w:rPr>
        <w:footnoteReference w:id="35"/>
      </w:r>
      <w:r w:rsidR="00B54024">
        <w:rPr>
          <w:rFonts w:cs="Arial" w:hint="cs"/>
          <w:rtl/>
        </w:rPr>
        <w:t>.</w:t>
      </w:r>
      <w:r w:rsidR="00E5139A" w:rsidRPr="00FE714F">
        <w:rPr>
          <w:rFonts w:cs="Arial"/>
          <w:rtl/>
        </w:rPr>
        <w:t xml:space="preserve"> אבל האיש אינו מוציא אלא לרצונו</w:t>
      </w:r>
      <w:r w:rsidR="00B54024">
        <w:rPr>
          <w:rFonts w:cs="Arial" w:hint="cs"/>
          <w:rtl/>
        </w:rPr>
        <w:t>.</w:t>
      </w:r>
      <w:r w:rsidR="00E5139A" w:rsidRPr="00FE714F">
        <w:rPr>
          <w:rFonts w:cs="Arial"/>
          <w:rtl/>
        </w:rPr>
        <w:t xml:space="preserve"> לפיכך קטנה מתגרשת אע</w:t>
      </w:r>
      <w:r w:rsidR="00BB0402">
        <w:rPr>
          <w:rFonts w:cs="Arial" w:hint="cs"/>
          <w:rtl/>
        </w:rPr>
        <w:t>"</w:t>
      </w:r>
      <w:r w:rsidR="00E5139A" w:rsidRPr="00FE714F">
        <w:rPr>
          <w:rFonts w:cs="Arial"/>
          <w:rtl/>
        </w:rPr>
        <w:t>פ שאין בה דעת</w:t>
      </w:r>
      <w:r w:rsidR="00753AAC">
        <w:rPr>
          <w:rStyle w:val="a7"/>
          <w:rFonts w:cs="Arial"/>
          <w:rtl/>
        </w:rPr>
        <w:footnoteReference w:id="36"/>
      </w:r>
      <w:r w:rsidR="00B54024">
        <w:rPr>
          <w:rFonts w:cs="Arial" w:hint="cs"/>
          <w:rtl/>
        </w:rPr>
        <w:t>,</w:t>
      </w:r>
      <w:r w:rsidR="00E5139A" w:rsidRPr="00FE714F">
        <w:rPr>
          <w:rFonts w:cs="Arial"/>
          <w:rtl/>
        </w:rPr>
        <w:t xml:space="preserve"> אפילו אם קבל אביה קדושיה שהן דאורייתא</w:t>
      </w:r>
      <w:r w:rsidR="00B54024">
        <w:rPr>
          <w:rFonts w:cs="Arial" w:hint="cs"/>
          <w:rtl/>
        </w:rPr>
        <w:t>,</w:t>
      </w:r>
      <w:r w:rsidR="00E5139A" w:rsidRPr="00FE714F">
        <w:rPr>
          <w:rFonts w:cs="Arial"/>
          <w:rtl/>
        </w:rPr>
        <w:t xml:space="preserve"> או חרשת שנתקדשה כשהיתה פקחת ונתחרשה</w:t>
      </w:r>
      <w:r w:rsidR="00B54024">
        <w:rPr>
          <w:rFonts w:cs="Arial" w:hint="cs"/>
          <w:rtl/>
        </w:rPr>
        <w:t>.</w:t>
      </w:r>
      <w:r w:rsidR="00E5139A" w:rsidRPr="00FE714F">
        <w:rPr>
          <w:rFonts w:cs="Arial"/>
          <w:rtl/>
        </w:rPr>
        <w:t xml:space="preserve"> </w:t>
      </w:r>
      <w:r w:rsidR="000364FA" w:rsidRPr="00544E63">
        <w:rPr>
          <w:rFonts w:hint="cs"/>
          <w:color w:val="E36C0A" w:themeColor="accent6" w:themeShade="BF"/>
          <w:rtl/>
        </w:rPr>
        <w:t>(וכ"פ בשו"ע</w:t>
      </w:r>
      <w:r w:rsidR="000364FA">
        <w:rPr>
          <w:rFonts w:hint="cs"/>
          <w:color w:val="E36C0A" w:themeColor="accent6" w:themeShade="BF"/>
          <w:rtl/>
        </w:rPr>
        <w:t>)</w:t>
      </w:r>
    </w:p>
    <w:p w14:paraId="2C2ADCEB" w14:textId="267F2CB2" w:rsidR="00B54024" w:rsidRPr="00B54024" w:rsidRDefault="00B54024" w:rsidP="00B54024">
      <w:pPr>
        <w:rPr>
          <w:u w:val="single"/>
        </w:rPr>
      </w:pPr>
      <w:r w:rsidRPr="00B54024">
        <w:rPr>
          <w:rFonts w:hint="cs"/>
          <w:u w:val="single"/>
          <w:rtl/>
        </w:rPr>
        <w:t xml:space="preserve">אשה שנשתטית </w:t>
      </w:r>
      <w:r w:rsidR="00A82951">
        <w:rPr>
          <w:u w:val="single"/>
          <w:rtl/>
        </w:rPr>
        <w:t>-</w:t>
      </w:r>
      <w:r w:rsidRPr="00B54024">
        <w:rPr>
          <w:rFonts w:hint="cs"/>
          <w:u w:val="single"/>
          <w:rtl/>
        </w:rPr>
        <w:t xml:space="preserve"> האם יכול </w:t>
      </w:r>
      <w:r>
        <w:rPr>
          <w:rFonts w:hint="cs"/>
          <w:u w:val="single"/>
          <w:rtl/>
        </w:rPr>
        <w:t xml:space="preserve">בעלה </w:t>
      </w:r>
      <w:r w:rsidRPr="00B54024">
        <w:rPr>
          <w:rFonts w:hint="cs"/>
          <w:u w:val="single"/>
          <w:rtl/>
        </w:rPr>
        <w:t>לגרשה:</w:t>
      </w:r>
    </w:p>
    <w:p w14:paraId="0369DCD8" w14:textId="4D3B063F" w:rsidR="00B54024" w:rsidRDefault="003826BD" w:rsidP="00B54024">
      <w:pPr>
        <w:pStyle w:val="ab"/>
        <w:numPr>
          <w:ilvl w:val="0"/>
          <w:numId w:val="16"/>
        </w:numPr>
      </w:pPr>
      <w:r>
        <w:rPr>
          <w:rFonts w:cs="Arial" w:hint="cs"/>
          <w:rtl/>
        </w:rPr>
        <w:t>רמב"ם</w:t>
      </w:r>
      <w:r>
        <w:rPr>
          <w:rStyle w:val="a7"/>
          <w:rFonts w:cs="Arial"/>
          <w:rtl/>
        </w:rPr>
        <w:footnoteReference w:id="37"/>
      </w:r>
      <w:r>
        <w:rPr>
          <w:rFonts w:cs="Arial" w:hint="cs"/>
          <w:sz w:val="16"/>
          <w:szCs w:val="16"/>
          <w:rtl/>
        </w:rPr>
        <w:t xml:space="preserve"> </w:t>
      </w:r>
      <w:r w:rsidRPr="00705D4B">
        <w:rPr>
          <w:rFonts w:cs="Arial" w:hint="cs"/>
          <w:sz w:val="16"/>
          <w:szCs w:val="16"/>
          <w:rtl/>
        </w:rPr>
        <w:t>(פ"י מגירושין הכ"ג)</w:t>
      </w:r>
      <w:r>
        <w:rPr>
          <w:rFonts w:cs="Arial" w:hint="cs"/>
          <w:sz w:val="16"/>
          <w:szCs w:val="16"/>
          <w:rtl/>
        </w:rPr>
        <w:t xml:space="preserve"> </w:t>
      </w:r>
      <w:r>
        <w:rPr>
          <w:rFonts w:cs="Arial" w:hint="cs"/>
          <w:rtl/>
        </w:rPr>
        <w:t>ו</w:t>
      </w:r>
      <w:r w:rsidR="00B54024">
        <w:rPr>
          <w:rFonts w:cs="Arial" w:hint="cs"/>
          <w:rtl/>
        </w:rPr>
        <w:t>טור</w:t>
      </w:r>
      <w:r w:rsidR="00A82951">
        <w:rPr>
          <w:rFonts w:cs="Arial" w:hint="cs"/>
          <w:rtl/>
        </w:rPr>
        <w:t>-</w:t>
      </w:r>
      <w:r w:rsidR="00B54024">
        <w:rPr>
          <w:rFonts w:cs="Arial" w:hint="cs"/>
          <w:rtl/>
        </w:rPr>
        <w:t xml:space="preserve"> </w:t>
      </w:r>
      <w:r w:rsidR="00B54024" w:rsidRPr="00FE714F">
        <w:rPr>
          <w:rFonts w:cs="Arial"/>
          <w:rtl/>
        </w:rPr>
        <w:t>נשתטית</w:t>
      </w:r>
      <w:r w:rsidR="00A82951">
        <w:rPr>
          <w:rFonts w:cs="Arial" w:hint="cs"/>
          <w:rtl/>
        </w:rPr>
        <w:t>,</w:t>
      </w:r>
      <w:r w:rsidR="00B54024" w:rsidRPr="00FE714F">
        <w:rPr>
          <w:rFonts w:cs="Arial"/>
          <w:rtl/>
        </w:rPr>
        <w:t xml:space="preserve"> שאינה יודעת לשמור עצמה </w:t>
      </w:r>
      <w:r w:rsidR="00A82951">
        <w:rPr>
          <w:rFonts w:cs="Arial" w:hint="cs"/>
          <w:rtl/>
        </w:rPr>
        <w:t>-</w:t>
      </w:r>
      <w:r w:rsidR="00B54024">
        <w:rPr>
          <w:rFonts w:cs="Arial" w:hint="cs"/>
          <w:rtl/>
        </w:rPr>
        <w:t xml:space="preserve"> </w:t>
      </w:r>
      <w:r w:rsidR="00B54024" w:rsidRPr="00FE714F">
        <w:rPr>
          <w:rFonts w:cs="Arial"/>
          <w:rtl/>
        </w:rPr>
        <w:t>לא יוציאנה אפי' אם יודעת לשמור גיטה</w:t>
      </w:r>
      <w:r w:rsidR="00E24AEE">
        <w:rPr>
          <w:rFonts w:cs="Arial" w:hint="cs"/>
          <w:rtl/>
        </w:rPr>
        <w:t>,</w:t>
      </w:r>
      <w:r w:rsidR="00B54024" w:rsidRPr="00FE714F">
        <w:rPr>
          <w:rFonts w:cs="Arial"/>
          <w:rtl/>
        </w:rPr>
        <w:t xml:space="preserve"> שעשו בה תקנת חכמים כדי שלא ינהגו בה מנהג הפקר לפי שאין בה דעת לשמור את עצמה</w:t>
      </w:r>
      <w:r w:rsidR="00E24AEE">
        <w:rPr>
          <w:rStyle w:val="a7"/>
          <w:rFonts w:cs="Arial"/>
          <w:rtl/>
        </w:rPr>
        <w:footnoteReference w:id="38"/>
      </w:r>
      <w:r>
        <w:rPr>
          <w:rFonts w:cs="Arial" w:hint="cs"/>
          <w:sz w:val="16"/>
          <w:szCs w:val="16"/>
          <w:rtl/>
        </w:rPr>
        <w:t xml:space="preserve"> (ל' הטור)</w:t>
      </w:r>
      <w:r w:rsidR="00B54024">
        <w:rPr>
          <w:rFonts w:cs="Arial" w:hint="cs"/>
          <w:rtl/>
        </w:rPr>
        <w:t>.</w:t>
      </w:r>
      <w:r w:rsidR="00B54024" w:rsidRPr="00FE714F">
        <w:rPr>
          <w:rFonts w:cs="Arial"/>
          <w:rtl/>
        </w:rPr>
        <w:t xml:space="preserve"> </w:t>
      </w:r>
      <w:r w:rsidR="000364FA" w:rsidRPr="00544E63">
        <w:rPr>
          <w:rFonts w:hint="cs"/>
          <w:color w:val="E36C0A" w:themeColor="accent6" w:themeShade="BF"/>
          <w:rtl/>
        </w:rPr>
        <w:t>(וכ"פ בשו"ע</w:t>
      </w:r>
      <w:r w:rsidR="000364FA">
        <w:rPr>
          <w:rFonts w:hint="cs"/>
          <w:color w:val="E36C0A" w:themeColor="accent6" w:themeShade="BF"/>
          <w:rtl/>
        </w:rPr>
        <w:t>)</w:t>
      </w:r>
    </w:p>
    <w:p w14:paraId="0F4A0A29" w14:textId="140D2BF0" w:rsidR="00B54024" w:rsidRPr="00B54024" w:rsidRDefault="00B54024" w:rsidP="00B54024">
      <w:pPr>
        <w:ind w:left="360"/>
        <w:rPr>
          <w:u w:val="dotted"/>
        </w:rPr>
      </w:pPr>
      <w:r w:rsidRPr="00B54024">
        <w:rPr>
          <w:rFonts w:hint="cs"/>
          <w:u w:val="dotted"/>
          <w:rtl/>
        </w:rPr>
        <w:t>האם חייב הבעל במזונות</w:t>
      </w:r>
      <w:r w:rsidR="00C62C03">
        <w:rPr>
          <w:rFonts w:hint="cs"/>
          <w:u w:val="dotted"/>
          <w:rtl/>
        </w:rPr>
        <w:t xml:space="preserve"> אשתו השוטה</w:t>
      </w:r>
      <w:r w:rsidR="005F2F34">
        <w:rPr>
          <w:rFonts w:hint="cs"/>
          <w:u w:val="dotted"/>
          <w:rtl/>
        </w:rPr>
        <w:t xml:space="preserve"> ובשאר תנאי כתוב</w:t>
      </w:r>
      <w:r w:rsidR="00C62C03">
        <w:rPr>
          <w:rFonts w:hint="cs"/>
          <w:u w:val="dotted"/>
          <w:rtl/>
        </w:rPr>
        <w:t>ת</w:t>
      </w:r>
      <w:r w:rsidR="005F2F34">
        <w:rPr>
          <w:rFonts w:hint="cs"/>
          <w:u w:val="dotted"/>
          <w:rtl/>
        </w:rPr>
        <w:t>ה</w:t>
      </w:r>
      <w:r w:rsidRPr="00B54024">
        <w:rPr>
          <w:rFonts w:hint="cs"/>
          <w:u w:val="dotted"/>
          <w:rtl/>
        </w:rPr>
        <w:t>:</w:t>
      </w:r>
    </w:p>
    <w:p w14:paraId="26748982" w14:textId="12236639" w:rsidR="00B54024" w:rsidRPr="00B54024" w:rsidRDefault="00B54024" w:rsidP="00B54024">
      <w:pPr>
        <w:pStyle w:val="ab"/>
        <w:numPr>
          <w:ilvl w:val="0"/>
          <w:numId w:val="16"/>
        </w:numPr>
      </w:pPr>
      <w:bookmarkStart w:id="2" w:name="_Hlk74822842"/>
      <w:r w:rsidRPr="00FE714F">
        <w:rPr>
          <w:rFonts w:cs="Arial"/>
          <w:rtl/>
        </w:rPr>
        <w:t xml:space="preserve">רמב"ם </w:t>
      </w:r>
      <w:r w:rsidR="00705D4B" w:rsidRPr="00705D4B">
        <w:rPr>
          <w:rFonts w:cs="Arial" w:hint="cs"/>
          <w:sz w:val="16"/>
          <w:szCs w:val="16"/>
          <w:rtl/>
        </w:rPr>
        <w:t>(</w:t>
      </w:r>
      <w:r w:rsidR="003826BD">
        <w:rPr>
          <w:rFonts w:cs="Arial" w:hint="cs"/>
          <w:sz w:val="16"/>
          <w:szCs w:val="16"/>
          <w:rtl/>
        </w:rPr>
        <w:t>שם</w:t>
      </w:r>
      <w:r w:rsidR="00705D4B" w:rsidRPr="00705D4B">
        <w:rPr>
          <w:rFonts w:cs="Arial" w:hint="cs"/>
          <w:sz w:val="16"/>
          <w:szCs w:val="16"/>
          <w:rtl/>
        </w:rPr>
        <w:t>)</w:t>
      </w:r>
      <w:r w:rsidR="00A82951">
        <w:rPr>
          <w:rFonts w:cs="Arial" w:hint="cs"/>
          <w:rtl/>
        </w:rPr>
        <w:t>-</w:t>
      </w:r>
      <w:r w:rsidR="00705D4B">
        <w:rPr>
          <w:rFonts w:cs="Arial" w:hint="cs"/>
          <w:rtl/>
        </w:rPr>
        <w:t xml:space="preserve"> </w:t>
      </w:r>
      <w:r w:rsidR="00E24AEE" w:rsidRPr="00E24AEE">
        <w:rPr>
          <w:rFonts w:cs="Arial"/>
          <w:rtl/>
        </w:rPr>
        <w:t>לפיכך מניחה ונושא אחרת</w:t>
      </w:r>
      <w:r w:rsidR="00355FCA">
        <w:rPr>
          <w:rFonts w:cs="Arial" w:hint="cs"/>
          <w:rtl/>
        </w:rPr>
        <w:t>,</w:t>
      </w:r>
      <w:r w:rsidR="00E24AEE" w:rsidRPr="00E24AEE">
        <w:rPr>
          <w:rFonts w:cs="Arial"/>
          <w:rtl/>
        </w:rPr>
        <w:t xml:space="preserve"> ומאכילה ומשקה משלה</w:t>
      </w:r>
      <w:r w:rsidR="00295B4D">
        <w:rPr>
          <w:rStyle w:val="a7"/>
          <w:rFonts w:cs="Arial"/>
          <w:rtl/>
        </w:rPr>
        <w:footnoteReference w:id="39"/>
      </w:r>
      <w:r w:rsidR="00355FCA">
        <w:rPr>
          <w:rFonts w:cs="Arial" w:hint="cs"/>
          <w:rtl/>
        </w:rPr>
        <w:t>.</w:t>
      </w:r>
      <w:r w:rsidR="00E24AEE" w:rsidRPr="00E24AEE">
        <w:rPr>
          <w:rFonts w:cs="Arial"/>
          <w:rtl/>
        </w:rPr>
        <w:t xml:space="preserve"> ואין מחייבין אותו בשאר כסות ועונה</w:t>
      </w:r>
      <w:r w:rsidR="00355FCA">
        <w:rPr>
          <w:rFonts w:cs="Arial" w:hint="cs"/>
          <w:rtl/>
        </w:rPr>
        <w:t>,</w:t>
      </w:r>
      <w:r w:rsidR="00E24AEE" w:rsidRPr="00E24AEE">
        <w:rPr>
          <w:rFonts w:cs="Arial"/>
          <w:rtl/>
        </w:rPr>
        <w:t xml:space="preserve"> שאין כח בבן דעת לדור עם השוטים בבית אחד</w:t>
      </w:r>
      <w:r w:rsidR="00355FCA">
        <w:rPr>
          <w:rFonts w:cs="Arial" w:hint="cs"/>
          <w:rtl/>
        </w:rPr>
        <w:t>.</w:t>
      </w:r>
      <w:r w:rsidR="00E24AEE" w:rsidRPr="00E24AEE">
        <w:rPr>
          <w:rFonts w:cs="Arial"/>
          <w:rtl/>
        </w:rPr>
        <w:t xml:space="preserve"> ואינו חייב לרפאותה ולא לפדותה</w:t>
      </w:r>
      <w:r w:rsidR="002238E2">
        <w:rPr>
          <w:rFonts w:cs="Arial" w:hint="cs"/>
          <w:rtl/>
        </w:rPr>
        <w:t>.</w:t>
      </w:r>
      <w:r w:rsidR="002238E2" w:rsidRPr="002238E2">
        <w:rPr>
          <w:rFonts w:cs="Arial"/>
          <w:rtl/>
        </w:rPr>
        <w:t xml:space="preserve"> </w:t>
      </w:r>
      <w:r w:rsidR="002238E2" w:rsidRPr="00E24AEE">
        <w:rPr>
          <w:rFonts w:cs="Arial"/>
          <w:rtl/>
        </w:rPr>
        <w:t>ואם גירשה</w:t>
      </w:r>
      <w:r w:rsidR="002238E2">
        <w:rPr>
          <w:rFonts w:cs="Arial" w:hint="cs"/>
          <w:rtl/>
        </w:rPr>
        <w:t xml:space="preserve"> </w:t>
      </w:r>
      <w:r w:rsidR="002238E2" w:rsidRPr="00E24AEE">
        <w:rPr>
          <w:rFonts w:cs="Arial"/>
          <w:rtl/>
        </w:rPr>
        <w:t>הרי זו מגורשת</w:t>
      </w:r>
      <w:r w:rsidR="002238E2">
        <w:rPr>
          <w:rStyle w:val="a7"/>
          <w:rFonts w:cs="Arial"/>
          <w:rtl/>
        </w:rPr>
        <w:footnoteReference w:id="40"/>
      </w:r>
      <w:r w:rsidR="002238E2">
        <w:rPr>
          <w:rFonts w:cs="Arial" w:hint="cs"/>
          <w:rtl/>
        </w:rPr>
        <w:t>,</w:t>
      </w:r>
      <w:r w:rsidR="002238E2" w:rsidRPr="00E24AEE">
        <w:rPr>
          <w:rFonts w:cs="Arial"/>
          <w:rtl/>
        </w:rPr>
        <w:t xml:space="preserve"> ומוציאה מביתו ואינו חייב לחזור ולהטפל בה</w:t>
      </w:r>
      <w:r>
        <w:rPr>
          <w:rFonts w:cs="Arial" w:hint="cs"/>
          <w:rtl/>
        </w:rPr>
        <w:t>.</w:t>
      </w:r>
      <w:r w:rsidRPr="00FE714F">
        <w:rPr>
          <w:rFonts w:cs="Arial"/>
          <w:rtl/>
        </w:rPr>
        <w:t xml:space="preserve"> </w:t>
      </w:r>
      <w:r w:rsidR="00BC0423" w:rsidRPr="00544E63">
        <w:rPr>
          <w:rFonts w:hint="cs"/>
          <w:color w:val="E36C0A" w:themeColor="accent6" w:themeShade="BF"/>
          <w:rtl/>
        </w:rPr>
        <w:t>(וכ"פ בשו"ע</w:t>
      </w:r>
      <w:r w:rsidR="00BC0423">
        <w:rPr>
          <w:rFonts w:hint="cs"/>
          <w:color w:val="000000" w:themeColor="text1"/>
          <w:sz w:val="16"/>
          <w:szCs w:val="16"/>
          <w:rtl/>
        </w:rPr>
        <w:t xml:space="preserve"> </w:t>
      </w:r>
      <w:r w:rsidR="00BC0423" w:rsidRPr="004D3DE9">
        <w:rPr>
          <w:rFonts w:hint="cs"/>
          <w:color w:val="000000" w:themeColor="text1"/>
          <w:sz w:val="16"/>
          <w:szCs w:val="16"/>
          <w:rtl/>
        </w:rPr>
        <w:t>[</w:t>
      </w:r>
      <w:r w:rsidR="00BC0423">
        <w:rPr>
          <w:rFonts w:hint="cs"/>
          <w:color w:val="000000" w:themeColor="text1"/>
          <w:sz w:val="16"/>
          <w:szCs w:val="16"/>
          <w:rtl/>
        </w:rPr>
        <w:t>כאן]</w:t>
      </w:r>
      <w:r w:rsidR="00BC0423">
        <w:rPr>
          <w:rFonts w:hint="cs"/>
          <w:color w:val="E36C0A" w:themeColor="accent6" w:themeShade="BF"/>
          <w:rtl/>
        </w:rPr>
        <w:t>)</w:t>
      </w:r>
    </w:p>
    <w:bookmarkEnd w:id="2"/>
    <w:p w14:paraId="17F49768" w14:textId="0C079658" w:rsidR="0008677B" w:rsidRPr="00E24AEE" w:rsidRDefault="0008677B" w:rsidP="0008677B">
      <w:pPr>
        <w:pStyle w:val="ab"/>
        <w:numPr>
          <w:ilvl w:val="0"/>
          <w:numId w:val="16"/>
        </w:numPr>
        <w:rPr>
          <w:rtl/>
        </w:rPr>
      </w:pPr>
      <w:r w:rsidRPr="00FE714F">
        <w:rPr>
          <w:rFonts w:cs="Arial"/>
          <w:rtl/>
        </w:rPr>
        <w:t xml:space="preserve">ראב"ד </w:t>
      </w:r>
      <w:r>
        <w:rPr>
          <w:rFonts w:cs="Arial" w:hint="cs"/>
          <w:sz w:val="16"/>
          <w:szCs w:val="16"/>
          <w:rtl/>
        </w:rPr>
        <w:t>(שם בהשגות)</w:t>
      </w:r>
      <w:r w:rsidR="00A82951">
        <w:rPr>
          <w:rFonts w:cs="Arial" w:hint="cs"/>
          <w:rtl/>
        </w:rPr>
        <w:t>-</w:t>
      </w:r>
      <w:r>
        <w:rPr>
          <w:rFonts w:cs="Arial" w:hint="cs"/>
          <w:rtl/>
        </w:rPr>
        <w:t xml:space="preserve"> </w:t>
      </w:r>
      <w:r w:rsidRPr="00FE714F">
        <w:rPr>
          <w:rFonts w:cs="Arial"/>
          <w:rtl/>
        </w:rPr>
        <w:t>ואם בת רפואה היא למה לא יתחייב לרפאותה</w:t>
      </w:r>
      <w:r w:rsidR="00BC0423">
        <w:rPr>
          <w:rFonts w:cs="Arial" w:hint="cs"/>
          <w:rtl/>
        </w:rPr>
        <w:t>.</w:t>
      </w:r>
      <w:r w:rsidRPr="00FE714F">
        <w:rPr>
          <w:rFonts w:cs="Arial"/>
          <w:rtl/>
        </w:rPr>
        <w:t xml:space="preserve"> וכמה יש משתטות מחמת חולי</w:t>
      </w:r>
      <w:r w:rsidR="00BC0423">
        <w:rPr>
          <w:rFonts w:cs="Arial" w:hint="cs"/>
          <w:rtl/>
        </w:rPr>
        <w:t>,</w:t>
      </w:r>
      <w:r w:rsidRPr="00FE714F">
        <w:rPr>
          <w:rFonts w:cs="Arial"/>
          <w:rtl/>
        </w:rPr>
        <w:t xml:space="preserve"> וחוזרו</w:t>
      </w:r>
      <w:r>
        <w:rPr>
          <w:rFonts w:cs="Arial" w:hint="cs"/>
          <w:rtl/>
        </w:rPr>
        <w:t>ת</w:t>
      </w:r>
      <w:r w:rsidRPr="00FE714F">
        <w:rPr>
          <w:rFonts w:cs="Arial"/>
          <w:rtl/>
        </w:rPr>
        <w:t xml:space="preserve"> ומתרפאו</w:t>
      </w:r>
      <w:r>
        <w:rPr>
          <w:rFonts w:cs="Arial" w:hint="cs"/>
          <w:rtl/>
        </w:rPr>
        <w:t>ת.</w:t>
      </w:r>
      <w:r w:rsidRPr="00FE714F">
        <w:rPr>
          <w:rFonts w:cs="Arial"/>
          <w:rtl/>
        </w:rPr>
        <w:t xml:space="preserve"> </w:t>
      </w:r>
    </w:p>
    <w:p w14:paraId="5FCC060F" w14:textId="3B7B0428" w:rsidR="00B54024" w:rsidRDefault="00B54024" w:rsidP="00B54024">
      <w:pPr>
        <w:pStyle w:val="ab"/>
        <w:numPr>
          <w:ilvl w:val="0"/>
          <w:numId w:val="16"/>
        </w:numPr>
      </w:pPr>
      <w:r w:rsidRPr="00FE714F">
        <w:rPr>
          <w:rFonts w:cs="Arial"/>
          <w:rtl/>
        </w:rPr>
        <w:t>רמ"ה</w:t>
      </w:r>
      <w:r w:rsidR="00705D4B">
        <w:rPr>
          <w:rStyle w:val="a7"/>
          <w:rFonts w:cs="Arial"/>
          <w:rtl/>
        </w:rPr>
        <w:footnoteReference w:id="41"/>
      </w:r>
      <w:r w:rsidR="0098534E">
        <w:rPr>
          <w:rFonts w:cs="Arial" w:hint="cs"/>
          <w:sz w:val="16"/>
          <w:szCs w:val="16"/>
          <w:rtl/>
        </w:rPr>
        <w:t xml:space="preserve"> (כ"כ הטור בשמו)</w:t>
      </w:r>
      <w:r w:rsidR="00BC0423">
        <w:rPr>
          <w:rFonts w:cs="Arial" w:hint="cs"/>
          <w:rtl/>
        </w:rPr>
        <w:t xml:space="preserve"> ורשב"א </w:t>
      </w:r>
      <w:r w:rsidR="00BC0423">
        <w:rPr>
          <w:rFonts w:cs="Arial" w:hint="cs"/>
          <w:sz w:val="16"/>
          <w:szCs w:val="16"/>
          <w:rtl/>
        </w:rPr>
        <w:t>(ח"ב סי' שפב)</w:t>
      </w:r>
      <w:r w:rsidR="00A82951">
        <w:rPr>
          <w:rFonts w:cs="Arial" w:hint="cs"/>
          <w:rtl/>
        </w:rPr>
        <w:t>-</w:t>
      </w:r>
      <w:r w:rsidR="0098534E">
        <w:rPr>
          <w:rFonts w:cs="Arial" w:hint="cs"/>
          <w:rtl/>
        </w:rPr>
        <w:t xml:space="preserve"> </w:t>
      </w:r>
      <w:r w:rsidRPr="00FE714F">
        <w:rPr>
          <w:rFonts w:cs="Arial"/>
          <w:rtl/>
        </w:rPr>
        <w:t>אפילו גירשה חייב במזונותיה וכל תנאי כתובה לבד מתשמיש המטה שאסור</w:t>
      </w:r>
      <w:r w:rsidR="0098534E">
        <w:rPr>
          <w:rFonts w:cs="Arial" w:hint="cs"/>
          <w:rtl/>
        </w:rPr>
        <w:t>.</w:t>
      </w:r>
      <w:r w:rsidRPr="00FE714F">
        <w:rPr>
          <w:rFonts w:cs="Arial"/>
          <w:rtl/>
        </w:rPr>
        <w:t xml:space="preserve"> דאי אמר</w:t>
      </w:r>
      <w:r w:rsidR="0098534E">
        <w:rPr>
          <w:rFonts w:cs="Arial" w:hint="cs"/>
          <w:rtl/>
        </w:rPr>
        <w:t>י</w:t>
      </w:r>
      <w:r w:rsidR="008F6EAF">
        <w:rPr>
          <w:rFonts w:cs="Arial" w:hint="cs"/>
          <w:rtl/>
        </w:rPr>
        <w:t>נן</w:t>
      </w:r>
      <w:r w:rsidRPr="00FE714F">
        <w:rPr>
          <w:rFonts w:cs="Arial"/>
          <w:rtl/>
        </w:rPr>
        <w:t xml:space="preserve"> פטור</w:t>
      </w:r>
      <w:r w:rsidR="00CD610B">
        <w:rPr>
          <w:rFonts w:cs="Arial" w:hint="cs"/>
          <w:rtl/>
        </w:rPr>
        <w:t>,</w:t>
      </w:r>
      <w:r w:rsidRPr="00FE714F">
        <w:rPr>
          <w:rFonts w:cs="Arial"/>
          <w:rtl/>
        </w:rPr>
        <w:t xml:space="preserve"> מה הועילו חכמים בתקנתן</w:t>
      </w:r>
      <w:r w:rsidR="0098534E">
        <w:rPr>
          <w:rFonts w:cs="Arial" w:hint="cs"/>
          <w:rtl/>
        </w:rPr>
        <w:t>.</w:t>
      </w:r>
      <w:r w:rsidRPr="00FE714F">
        <w:rPr>
          <w:rFonts w:cs="Arial"/>
          <w:rtl/>
        </w:rPr>
        <w:t xml:space="preserve"> ועוד כיון דאמור רבנן לא יוציא</w:t>
      </w:r>
      <w:r w:rsidR="0098534E">
        <w:rPr>
          <w:rFonts w:cs="Arial" w:hint="cs"/>
          <w:rtl/>
        </w:rPr>
        <w:t xml:space="preserve"> </w:t>
      </w:r>
      <w:r w:rsidR="00A82951">
        <w:rPr>
          <w:rFonts w:cs="Arial" w:hint="cs"/>
          <w:rtl/>
        </w:rPr>
        <w:t>-</w:t>
      </w:r>
      <w:r w:rsidRPr="00FE714F">
        <w:rPr>
          <w:rFonts w:cs="Arial"/>
          <w:rtl/>
        </w:rPr>
        <w:t xml:space="preserve"> לא מצי מפיק לה ולא גרעה ממגורשת ואינה מגורשת דבעלה חייב במזונותיה</w:t>
      </w:r>
      <w:r w:rsidR="0098534E">
        <w:rPr>
          <w:rStyle w:val="a7"/>
          <w:rFonts w:cs="Arial"/>
          <w:rtl/>
        </w:rPr>
        <w:footnoteReference w:id="42"/>
      </w:r>
      <w:r w:rsidR="00D61B94">
        <w:rPr>
          <w:rFonts w:cs="Arial" w:hint="cs"/>
          <w:sz w:val="16"/>
          <w:szCs w:val="16"/>
          <w:rtl/>
        </w:rPr>
        <w:t xml:space="preserve"> (ל' הטור בשם הרמ"ה)</w:t>
      </w:r>
      <w:r>
        <w:rPr>
          <w:rFonts w:cs="Arial" w:hint="cs"/>
          <w:rtl/>
        </w:rPr>
        <w:t>.</w:t>
      </w:r>
      <w:r w:rsidR="00BC0423">
        <w:rPr>
          <w:rFonts w:cs="Arial" w:hint="cs"/>
          <w:rtl/>
        </w:rPr>
        <w:t xml:space="preserve"> </w:t>
      </w:r>
      <w:r w:rsidR="00BC0423" w:rsidRPr="00544E63">
        <w:rPr>
          <w:rFonts w:hint="cs"/>
          <w:color w:val="E36C0A" w:themeColor="accent6" w:themeShade="BF"/>
          <w:rtl/>
        </w:rPr>
        <w:t>(וכ"פ בשו"ע</w:t>
      </w:r>
      <w:r w:rsidR="002238E2" w:rsidRPr="002238E2">
        <w:rPr>
          <w:rStyle w:val="a7"/>
          <w:color w:val="000000" w:themeColor="text1"/>
          <w:rtl/>
        </w:rPr>
        <w:footnoteReference w:id="43"/>
      </w:r>
      <w:r w:rsidR="00BC0423">
        <w:rPr>
          <w:rFonts w:hint="cs"/>
          <w:color w:val="000000" w:themeColor="text1"/>
          <w:sz w:val="16"/>
          <w:szCs w:val="16"/>
          <w:rtl/>
        </w:rPr>
        <w:t xml:space="preserve"> </w:t>
      </w:r>
      <w:r w:rsidR="00BC0423" w:rsidRPr="004D3DE9">
        <w:rPr>
          <w:rFonts w:hint="cs"/>
          <w:color w:val="000000" w:themeColor="text1"/>
          <w:sz w:val="16"/>
          <w:szCs w:val="16"/>
          <w:rtl/>
        </w:rPr>
        <w:t>[</w:t>
      </w:r>
      <w:r w:rsidR="00BC0423">
        <w:rPr>
          <w:rFonts w:hint="cs"/>
          <w:color w:val="000000" w:themeColor="text1"/>
          <w:sz w:val="16"/>
          <w:szCs w:val="16"/>
          <w:rtl/>
        </w:rPr>
        <w:t>בסי' ע ס"ד]</w:t>
      </w:r>
      <w:r w:rsidR="00BC0423">
        <w:rPr>
          <w:rFonts w:hint="cs"/>
          <w:color w:val="E36C0A" w:themeColor="accent6" w:themeShade="BF"/>
          <w:rtl/>
        </w:rPr>
        <w:t>)</w:t>
      </w:r>
      <w:r w:rsidR="003665D5">
        <w:rPr>
          <w:rFonts w:hint="cs"/>
          <w:rtl/>
        </w:rPr>
        <w:t xml:space="preserve"> </w:t>
      </w:r>
      <w:r w:rsidR="003665D5" w:rsidRPr="003665D5">
        <w:rPr>
          <w:rFonts w:hint="cs"/>
          <w:color w:val="00B0F0"/>
          <w:rtl/>
        </w:rPr>
        <w:t>(וכ"פ הרמ"א)</w:t>
      </w:r>
    </w:p>
    <w:p w14:paraId="6B656AE8" w14:textId="45A75834" w:rsidR="00705D4B" w:rsidRPr="00EC11A0" w:rsidRDefault="00705D4B" w:rsidP="00705D4B">
      <w:pPr>
        <w:rPr>
          <w:u w:val="single"/>
          <w:rtl/>
        </w:rPr>
      </w:pPr>
      <w:r w:rsidRPr="00EC11A0">
        <w:rPr>
          <w:rFonts w:hint="cs"/>
          <w:u w:val="single"/>
          <w:rtl/>
        </w:rPr>
        <w:lastRenderedPageBreak/>
        <w:t xml:space="preserve">אדם שרוצה לגרש את אשתו </w:t>
      </w:r>
      <w:r w:rsidR="00A82951">
        <w:rPr>
          <w:u w:val="single"/>
          <w:rtl/>
        </w:rPr>
        <w:t>-</w:t>
      </w:r>
      <w:r w:rsidRPr="00EC11A0">
        <w:rPr>
          <w:rFonts w:hint="cs"/>
          <w:u w:val="single"/>
          <w:rtl/>
        </w:rPr>
        <w:t xml:space="preserve"> אבל אין לו ממון לפרוע את כתובתה:</w:t>
      </w:r>
    </w:p>
    <w:p w14:paraId="2CC33015" w14:textId="0FB212E9" w:rsidR="00705D4B" w:rsidRPr="00594D8E" w:rsidRDefault="00705D4B" w:rsidP="00705D4B">
      <w:pPr>
        <w:pStyle w:val="ab"/>
        <w:numPr>
          <w:ilvl w:val="0"/>
          <w:numId w:val="16"/>
        </w:numPr>
      </w:pPr>
      <w:bookmarkStart w:id="3" w:name="_Hlk74757400"/>
      <w:r w:rsidRPr="0022210A">
        <w:rPr>
          <w:rFonts w:cs="Arial"/>
          <w:rtl/>
        </w:rPr>
        <w:t xml:space="preserve">רשב"א </w:t>
      </w:r>
      <w:r w:rsidRPr="0022210A">
        <w:rPr>
          <w:rFonts w:cs="Arial" w:hint="cs"/>
          <w:sz w:val="16"/>
          <w:szCs w:val="16"/>
          <w:rtl/>
        </w:rPr>
        <w:t>(</w:t>
      </w:r>
      <w:r w:rsidRPr="0022210A">
        <w:rPr>
          <w:rFonts w:cs="Arial"/>
          <w:sz w:val="16"/>
          <w:szCs w:val="16"/>
          <w:rtl/>
        </w:rPr>
        <w:t>ח"א סי</w:t>
      </w:r>
      <w:r w:rsidRPr="0022210A">
        <w:rPr>
          <w:rFonts w:cs="Arial" w:hint="cs"/>
          <w:sz w:val="16"/>
          <w:szCs w:val="16"/>
          <w:rtl/>
        </w:rPr>
        <w:t>'</w:t>
      </w:r>
      <w:r w:rsidRPr="0022210A">
        <w:rPr>
          <w:rFonts w:cs="Arial"/>
          <w:sz w:val="16"/>
          <w:szCs w:val="16"/>
          <w:rtl/>
        </w:rPr>
        <w:t xml:space="preserve"> אלף רנד</w:t>
      </w:r>
      <w:r w:rsidRPr="0022210A">
        <w:rPr>
          <w:rFonts w:cs="Arial" w:hint="cs"/>
          <w:sz w:val="16"/>
          <w:szCs w:val="16"/>
          <w:rtl/>
        </w:rPr>
        <w:t>)</w:t>
      </w:r>
      <w:r w:rsidRPr="0022210A">
        <w:rPr>
          <w:rFonts w:cs="Arial"/>
          <w:rtl/>
        </w:rPr>
        <w:t xml:space="preserve"> </w:t>
      </w:r>
      <w:r>
        <w:rPr>
          <w:rFonts w:cs="Arial" w:hint="cs"/>
          <w:rtl/>
        </w:rPr>
        <w:t>ו</w:t>
      </w:r>
      <w:r w:rsidRPr="0022210A">
        <w:rPr>
          <w:rFonts w:cs="Arial"/>
          <w:rtl/>
        </w:rPr>
        <w:t>תשב"ץ</w:t>
      </w:r>
      <w:r w:rsidRPr="00594D8E">
        <w:rPr>
          <w:rFonts w:cs="Arial"/>
          <w:sz w:val="16"/>
          <w:szCs w:val="16"/>
          <w:rtl/>
        </w:rPr>
        <w:t xml:space="preserve"> </w:t>
      </w:r>
      <w:r w:rsidRPr="00594D8E">
        <w:rPr>
          <w:rFonts w:cs="Arial" w:hint="cs"/>
          <w:sz w:val="16"/>
          <w:szCs w:val="16"/>
          <w:rtl/>
        </w:rPr>
        <w:t>(</w:t>
      </w:r>
      <w:r w:rsidRPr="00594D8E">
        <w:rPr>
          <w:rFonts w:cs="Arial"/>
          <w:sz w:val="16"/>
          <w:szCs w:val="16"/>
          <w:rtl/>
        </w:rPr>
        <w:t>ח"ג סי' רכג)</w:t>
      </w:r>
      <w:r w:rsidR="00A82951">
        <w:rPr>
          <w:rFonts w:cs="Arial" w:hint="cs"/>
          <w:rtl/>
        </w:rPr>
        <w:t>-</w:t>
      </w:r>
      <w:r w:rsidRPr="0022210A">
        <w:rPr>
          <w:rFonts w:cs="Arial"/>
          <w:rtl/>
        </w:rPr>
        <w:t xml:space="preserve"> שמעתי משם הגאון שאין אדם רשאי לגרש את אשתו אם אין לו לפרוע כתובתה</w:t>
      </w:r>
      <w:r>
        <w:rPr>
          <w:rFonts w:cs="Arial" w:hint="cs"/>
          <w:rtl/>
        </w:rPr>
        <w:t>,</w:t>
      </w:r>
      <w:r w:rsidRPr="0022210A">
        <w:rPr>
          <w:rFonts w:cs="Arial"/>
          <w:rtl/>
        </w:rPr>
        <w:t xml:space="preserve"> כן מצאתי לרב אלפס בתשובה</w:t>
      </w:r>
      <w:r>
        <w:rPr>
          <w:rStyle w:val="a7"/>
          <w:rFonts w:cs="Arial"/>
          <w:rtl/>
        </w:rPr>
        <w:footnoteReference w:id="44"/>
      </w:r>
      <w:r w:rsidRPr="0022210A">
        <w:rPr>
          <w:rFonts w:cs="Arial"/>
          <w:rtl/>
        </w:rPr>
        <w:t xml:space="preserve"> </w:t>
      </w:r>
      <w:r w:rsidRPr="0029088C">
        <w:rPr>
          <w:rFonts w:cs="Arial"/>
          <w:sz w:val="16"/>
          <w:szCs w:val="16"/>
          <w:rtl/>
        </w:rPr>
        <w:t>(סי' יד דפוס ליוורנו</w:t>
      </w:r>
      <w:r w:rsidRPr="0029088C">
        <w:rPr>
          <w:rFonts w:cs="Arial" w:hint="cs"/>
          <w:sz w:val="16"/>
          <w:szCs w:val="16"/>
          <w:rtl/>
        </w:rPr>
        <w:t>, וסי' קג בשו"ת הרי"ף</w:t>
      </w:r>
      <w:r w:rsidRPr="0029088C">
        <w:rPr>
          <w:rFonts w:cs="Arial"/>
          <w:sz w:val="16"/>
          <w:szCs w:val="16"/>
          <w:rtl/>
        </w:rPr>
        <w:t>)</w:t>
      </w:r>
      <w:r>
        <w:rPr>
          <w:rFonts w:cs="Arial" w:hint="cs"/>
          <w:rtl/>
        </w:rPr>
        <w:t>,</w:t>
      </w:r>
      <w:r w:rsidRPr="0022210A">
        <w:rPr>
          <w:rFonts w:cs="Arial"/>
          <w:rtl/>
        </w:rPr>
        <w:t xml:space="preserve"> והביא ראיה מדתנן </w:t>
      </w:r>
      <w:r w:rsidRPr="0029088C">
        <w:rPr>
          <w:rFonts w:cs="Arial"/>
          <w:sz w:val="16"/>
          <w:szCs w:val="16"/>
          <w:rtl/>
        </w:rPr>
        <w:t xml:space="preserve">(כתובות נא.) </w:t>
      </w:r>
      <w:r w:rsidRPr="0022210A">
        <w:rPr>
          <w:rFonts w:cs="Arial"/>
          <w:rtl/>
        </w:rPr>
        <w:t>לקתה חייב לרפאותה ואם אמר הרי גיטה וכתובתה ותרפא את עצמה רשאי</w:t>
      </w:r>
      <w:r>
        <w:rPr>
          <w:rFonts w:cs="Arial" w:hint="cs"/>
          <w:rtl/>
        </w:rPr>
        <w:t>,</w:t>
      </w:r>
      <w:r w:rsidRPr="0022210A">
        <w:rPr>
          <w:rFonts w:cs="Arial"/>
          <w:rtl/>
        </w:rPr>
        <w:t xml:space="preserve"> אבל שלא בכתובתה אינו רשאי</w:t>
      </w:r>
      <w:r>
        <w:rPr>
          <w:rFonts w:cs="Arial" w:hint="cs"/>
          <w:rtl/>
        </w:rPr>
        <w:t>.</w:t>
      </w:r>
      <w:r w:rsidRPr="0022210A">
        <w:rPr>
          <w:rFonts w:cs="Arial"/>
          <w:rtl/>
        </w:rPr>
        <w:t xml:space="preserve"> ואם לא קיבל עליו את הדין מנדין אותו</w:t>
      </w:r>
      <w:r w:rsidRPr="00A054D1">
        <w:rPr>
          <w:rtl/>
        </w:rPr>
        <w:t xml:space="preserve"> </w:t>
      </w:r>
      <w:r w:rsidRPr="00A054D1">
        <w:rPr>
          <w:rFonts w:cs="Arial"/>
          <w:rtl/>
        </w:rPr>
        <w:t>זה לשון התשובה</w:t>
      </w:r>
      <w:r>
        <w:rPr>
          <w:rStyle w:val="a7"/>
          <w:rFonts w:cs="Arial"/>
          <w:rtl/>
        </w:rPr>
        <w:footnoteReference w:id="45"/>
      </w:r>
      <w:r>
        <w:rPr>
          <w:rFonts w:cs="Arial" w:hint="cs"/>
          <w:sz w:val="16"/>
          <w:szCs w:val="16"/>
          <w:rtl/>
        </w:rPr>
        <w:t xml:space="preserve"> (ל' הרשב"א והתשב"ץ)</w:t>
      </w:r>
      <w:r>
        <w:rPr>
          <w:rFonts w:cs="Arial" w:hint="cs"/>
          <w:rtl/>
        </w:rPr>
        <w:t>.</w:t>
      </w:r>
    </w:p>
    <w:bookmarkEnd w:id="3"/>
    <w:p w14:paraId="57185B63" w14:textId="2C853EF4" w:rsidR="00705D4B" w:rsidRDefault="00705D4B" w:rsidP="00705D4B">
      <w:pPr>
        <w:pStyle w:val="ab"/>
        <w:numPr>
          <w:ilvl w:val="0"/>
          <w:numId w:val="16"/>
        </w:numPr>
      </w:pPr>
      <w:r w:rsidRPr="0022210A">
        <w:rPr>
          <w:rFonts w:cs="Arial"/>
          <w:rtl/>
        </w:rPr>
        <w:t xml:space="preserve">רא"ש </w:t>
      </w:r>
      <w:r w:rsidRPr="00524A5B">
        <w:rPr>
          <w:rFonts w:cs="Arial"/>
          <w:sz w:val="16"/>
          <w:szCs w:val="16"/>
          <w:rtl/>
        </w:rPr>
        <w:t xml:space="preserve">(כלל מב סי' א) </w:t>
      </w:r>
      <w:r>
        <w:rPr>
          <w:rFonts w:cs="Arial" w:hint="cs"/>
          <w:rtl/>
        </w:rPr>
        <w:t>ו</w:t>
      </w:r>
      <w:r w:rsidRPr="00054A1B">
        <w:rPr>
          <w:rFonts w:cs="Arial"/>
          <w:rtl/>
        </w:rPr>
        <w:t xml:space="preserve">ריב"ש </w:t>
      </w:r>
      <w:r w:rsidRPr="00524A5B">
        <w:rPr>
          <w:rFonts w:cs="Arial"/>
          <w:sz w:val="16"/>
          <w:szCs w:val="16"/>
          <w:rtl/>
        </w:rPr>
        <w:t>(סי' צא</w:t>
      </w:r>
      <w:r w:rsidRPr="00524A5B">
        <w:rPr>
          <w:rFonts w:cs="Arial" w:hint="cs"/>
          <w:sz w:val="16"/>
          <w:szCs w:val="16"/>
          <w:rtl/>
        </w:rPr>
        <w:t>, הביאו הדרכ"מ [אות א]</w:t>
      </w:r>
      <w:r w:rsidRPr="00524A5B">
        <w:rPr>
          <w:rFonts w:cs="Arial"/>
          <w:sz w:val="16"/>
          <w:szCs w:val="16"/>
          <w:rtl/>
        </w:rPr>
        <w:t>)</w:t>
      </w:r>
      <w:r w:rsidR="00A82951">
        <w:rPr>
          <w:rFonts w:cs="Arial" w:hint="cs"/>
          <w:rtl/>
        </w:rPr>
        <w:t>-</w:t>
      </w:r>
      <w:r>
        <w:rPr>
          <w:rFonts w:cs="Arial" w:hint="cs"/>
          <w:rtl/>
        </w:rPr>
        <w:t xml:space="preserve"> </w:t>
      </w:r>
      <w:r w:rsidRPr="00054A1B">
        <w:rPr>
          <w:rFonts w:cs="Arial"/>
          <w:rtl/>
        </w:rPr>
        <w:t xml:space="preserve">במקום שמגרשה מן הדין </w:t>
      </w:r>
      <w:r w:rsidR="00A82951">
        <w:rPr>
          <w:rFonts w:cs="Arial" w:hint="cs"/>
          <w:rtl/>
        </w:rPr>
        <w:t>-</w:t>
      </w:r>
      <w:r w:rsidR="00BC3490">
        <w:rPr>
          <w:rFonts w:cs="Arial" w:hint="cs"/>
          <w:rtl/>
        </w:rPr>
        <w:t xml:space="preserve"> </w:t>
      </w:r>
      <w:r w:rsidRPr="00054A1B">
        <w:rPr>
          <w:rFonts w:cs="Arial"/>
          <w:rtl/>
        </w:rPr>
        <w:t>צריכה לקבל גט ואע</w:t>
      </w:r>
      <w:r>
        <w:rPr>
          <w:rFonts w:cs="Arial" w:hint="cs"/>
          <w:rtl/>
        </w:rPr>
        <w:t>"</w:t>
      </w:r>
      <w:r w:rsidRPr="00054A1B">
        <w:rPr>
          <w:rFonts w:cs="Arial"/>
          <w:rtl/>
        </w:rPr>
        <w:t>פ שאין לו לפרוע הכתובה</w:t>
      </w:r>
      <w:r>
        <w:rPr>
          <w:rFonts w:cs="Arial" w:hint="cs"/>
          <w:sz w:val="16"/>
          <w:szCs w:val="16"/>
          <w:rtl/>
        </w:rPr>
        <w:t xml:space="preserve"> (ל' הדרכ"מ)</w:t>
      </w:r>
      <w:r>
        <w:rPr>
          <w:rFonts w:cs="Arial" w:hint="cs"/>
          <w:rtl/>
        </w:rPr>
        <w:t>.</w:t>
      </w:r>
      <w:r w:rsidRPr="0022210A">
        <w:rPr>
          <w:rFonts w:cs="Arial"/>
          <w:rtl/>
        </w:rPr>
        <w:t xml:space="preserve"> </w:t>
      </w:r>
      <w:r w:rsidRPr="00544E63">
        <w:rPr>
          <w:rFonts w:hint="cs"/>
          <w:color w:val="E36C0A" w:themeColor="accent6" w:themeShade="BF"/>
          <w:rtl/>
        </w:rPr>
        <w:t>(וכ"פ בשו"ע</w:t>
      </w:r>
      <w:r>
        <w:rPr>
          <w:rFonts w:hint="cs"/>
          <w:color w:val="E36C0A" w:themeColor="accent6" w:themeShade="BF"/>
          <w:sz w:val="16"/>
          <w:szCs w:val="16"/>
          <w:rtl/>
        </w:rPr>
        <w:t xml:space="preserve"> </w:t>
      </w:r>
      <w:r w:rsidRPr="00EC11A0">
        <w:rPr>
          <w:rFonts w:hint="cs"/>
          <w:color w:val="000000" w:themeColor="text1"/>
          <w:sz w:val="16"/>
          <w:szCs w:val="16"/>
          <w:rtl/>
        </w:rPr>
        <w:t>[</w:t>
      </w:r>
      <w:r>
        <w:rPr>
          <w:rFonts w:hint="cs"/>
          <w:color w:val="000000" w:themeColor="text1"/>
          <w:sz w:val="16"/>
          <w:szCs w:val="16"/>
          <w:rtl/>
        </w:rPr>
        <w:t>בסי' קיז סי"א</w:t>
      </w:r>
      <w:r w:rsidRPr="00EC11A0">
        <w:rPr>
          <w:rFonts w:hint="cs"/>
          <w:color w:val="000000" w:themeColor="text1"/>
          <w:sz w:val="16"/>
          <w:szCs w:val="16"/>
          <w:rtl/>
        </w:rPr>
        <w:t>]</w:t>
      </w:r>
      <w:r w:rsidRPr="00544E63">
        <w:rPr>
          <w:rFonts w:hint="cs"/>
          <w:color w:val="E36C0A" w:themeColor="accent6" w:themeShade="BF"/>
          <w:rtl/>
        </w:rPr>
        <w:t>)</w:t>
      </w:r>
      <w:r>
        <w:rPr>
          <w:rFonts w:hint="cs"/>
          <w:rtl/>
        </w:rPr>
        <w:t xml:space="preserve"> </w:t>
      </w:r>
      <w:r w:rsidRPr="002666AC">
        <w:rPr>
          <w:rFonts w:hint="cs"/>
          <w:color w:val="00B0F0"/>
          <w:rtl/>
        </w:rPr>
        <w:t>(וכ"פ הרמ</w:t>
      </w:r>
      <w:r>
        <w:rPr>
          <w:rFonts w:hint="cs"/>
          <w:color w:val="00B0F0"/>
          <w:rtl/>
        </w:rPr>
        <w:t xml:space="preserve">"א </w:t>
      </w:r>
      <w:bookmarkStart w:id="4" w:name="_Hlk74818137"/>
      <w:r w:rsidRPr="00EC11A0">
        <w:rPr>
          <w:rFonts w:hint="cs"/>
          <w:color w:val="000000" w:themeColor="text1"/>
          <w:sz w:val="16"/>
          <w:szCs w:val="16"/>
          <w:rtl/>
        </w:rPr>
        <w:t>[</w:t>
      </w:r>
      <w:r>
        <w:rPr>
          <w:rFonts w:hint="cs"/>
          <w:color w:val="000000" w:themeColor="text1"/>
          <w:sz w:val="16"/>
          <w:szCs w:val="16"/>
          <w:rtl/>
        </w:rPr>
        <w:t>כאן, ובסי' קיז סי"א</w:t>
      </w:r>
      <w:r w:rsidRPr="00EC11A0">
        <w:rPr>
          <w:rFonts w:hint="cs"/>
          <w:color w:val="000000" w:themeColor="text1"/>
          <w:sz w:val="16"/>
          <w:szCs w:val="16"/>
          <w:rtl/>
        </w:rPr>
        <w:t>]</w:t>
      </w:r>
      <w:bookmarkEnd w:id="4"/>
      <w:r w:rsidRPr="002666AC">
        <w:rPr>
          <w:rFonts w:hint="cs"/>
          <w:color w:val="00B0F0"/>
          <w:rtl/>
        </w:rPr>
        <w:t>)</w:t>
      </w:r>
    </w:p>
    <w:p w14:paraId="5C76C2EC" w14:textId="77777777" w:rsidR="00705D4B" w:rsidRPr="00FD65DC" w:rsidRDefault="00705D4B" w:rsidP="00705D4B">
      <w:pPr>
        <w:rPr>
          <w:u w:val="single"/>
        </w:rPr>
      </w:pPr>
      <w:r w:rsidRPr="00FD65DC">
        <w:rPr>
          <w:rFonts w:hint="cs"/>
          <w:u w:val="single"/>
          <w:rtl/>
        </w:rPr>
        <w:t>נשא אשה במקום שנוהגין לא לגרש אשה שלא מדעתה:</w:t>
      </w:r>
    </w:p>
    <w:p w14:paraId="791D750D" w14:textId="1F4F7DD2" w:rsidR="00705D4B" w:rsidRDefault="00705D4B" w:rsidP="00705D4B">
      <w:pPr>
        <w:pStyle w:val="ab"/>
        <w:numPr>
          <w:ilvl w:val="0"/>
          <w:numId w:val="16"/>
        </w:numPr>
      </w:pPr>
      <w:bookmarkStart w:id="5" w:name="_Hlk74757727"/>
      <w:r w:rsidRPr="0022210A">
        <w:rPr>
          <w:rFonts w:cs="Arial"/>
          <w:rtl/>
        </w:rPr>
        <w:t>רשב"א</w:t>
      </w:r>
      <w:r w:rsidRPr="00FD65DC">
        <w:rPr>
          <w:rFonts w:cs="Arial"/>
          <w:sz w:val="16"/>
          <w:szCs w:val="16"/>
          <w:rtl/>
        </w:rPr>
        <w:t xml:space="preserve"> (ח"ד סי' קפו)</w:t>
      </w:r>
      <w:r w:rsidR="00A82951">
        <w:rPr>
          <w:rFonts w:cs="Arial" w:hint="cs"/>
          <w:rtl/>
        </w:rPr>
        <w:t>-</w:t>
      </w:r>
      <w:r w:rsidRPr="0022210A">
        <w:rPr>
          <w:rFonts w:cs="Arial"/>
          <w:rtl/>
        </w:rPr>
        <w:t xml:space="preserve"> כל שנשא במקום שאין מגרשין אלא מדעת האשה</w:t>
      </w:r>
      <w:r>
        <w:rPr>
          <w:rFonts w:cs="Arial" w:hint="cs"/>
          <w:rtl/>
        </w:rPr>
        <w:t xml:space="preserve"> </w:t>
      </w:r>
      <w:r w:rsidR="00A82951">
        <w:rPr>
          <w:rFonts w:cs="Arial" w:hint="cs"/>
          <w:rtl/>
        </w:rPr>
        <w:t>-</w:t>
      </w:r>
      <w:r w:rsidRPr="0022210A">
        <w:rPr>
          <w:rFonts w:cs="Arial"/>
          <w:rtl/>
        </w:rPr>
        <w:t xml:space="preserve"> סתמו כפירושו ועל דעת כן נשאה שלא יגרשנה אלא מדעתה</w:t>
      </w:r>
      <w:r>
        <w:rPr>
          <w:rFonts w:cs="Arial" w:hint="cs"/>
          <w:rtl/>
        </w:rPr>
        <w:t>.</w:t>
      </w:r>
      <w:r w:rsidRPr="0022210A">
        <w:rPr>
          <w:rFonts w:cs="Arial"/>
          <w:rtl/>
        </w:rPr>
        <w:t xml:space="preserve"> ואם יגרשנה</w:t>
      </w:r>
      <w:r>
        <w:rPr>
          <w:rFonts w:cs="Arial" w:hint="cs"/>
          <w:rtl/>
        </w:rPr>
        <w:t>,</w:t>
      </w:r>
      <w:r w:rsidRPr="0022210A">
        <w:rPr>
          <w:rFonts w:cs="Arial"/>
          <w:rtl/>
        </w:rPr>
        <w:t xml:space="preserve"> הוא חייב במה שנהגו לחייב העובר על אותו מנהג</w:t>
      </w:r>
      <w:r>
        <w:rPr>
          <w:rFonts w:cs="Arial" w:hint="cs"/>
          <w:rtl/>
        </w:rPr>
        <w:t>,</w:t>
      </w:r>
      <w:r w:rsidRPr="0022210A">
        <w:rPr>
          <w:rFonts w:cs="Arial"/>
          <w:rtl/>
        </w:rPr>
        <w:t xml:space="preserve"> בין בקנס בין בנידוי</w:t>
      </w:r>
      <w:r>
        <w:rPr>
          <w:rFonts w:cs="Arial" w:hint="cs"/>
          <w:rtl/>
        </w:rPr>
        <w:t>.</w:t>
      </w:r>
      <w:r w:rsidRPr="0022210A">
        <w:rPr>
          <w:rFonts w:cs="Arial"/>
          <w:rtl/>
        </w:rPr>
        <w:t xml:space="preserve"> ואפילו הוציאה מהמקום ההוא והוליכה למקום אחר</w:t>
      </w:r>
      <w:r>
        <w:rPr>
          <w:rFonts w:cs="Arial" w:hint="cs"/>
          <w:rtl/>
        </w:rPr>
        <w:t>,</w:t>
      </w:r>
      <w:r w:rsidRPr="0022210A">
        <w:rPr>
          <w:rFonts w:cs="Arial"/>
          <w:rtl/>
        </w:rPr>
        <w:t xml:space="preserve"> אינו רשאי לגרש אלא על פי דרך מנהג מקום הנישואין</w:t>
      </w:r>
      <w:r>
        <w:rPr>
          <w:rFonts w:cs="Arial" w:hint="cs"/>
          <w:rtl/>
        </w:rPr>
        <w:t>,</w:t>
      </w:r>
      <w:r w:rsidRPr="0022210A">
        <w:rPr>
          <w:rFonts w:cs="Arial"/>
          <w:rtl/>
        </w:rPr>
        <w:t xml:space="preserve"> שעל מנת כן נשאה</w:t>
      </w:r>
      <w:r>
        <w:rPr>
          <w:rFonts w:cs="Arial" w:hint="cs"/>
          <w:rtl/>
        </w:rPr>
        <w:t>.</w:t>
      </w:r>
      <w:r w:rsidRPr="0022210A">
        <w:rPr>
          <w:rFonts w:cs="Arial"/>
          <w:rtl/>
        </w:rPr>
        <w:t xml:space="preserve"> וכל שכן אם יש שם הסכמה ידועה ויכולים הם לקנסו באותו קנס או לנדותו כאילו נשא וגירש שם</w:t>
      </w:r>
      <w:r>
        <w:rPr>
          <w:rFonts w:cs="Arial" w:hint="cs"/>
          <w:rtl/>
        </w:rPr>
        <w:t>.</w:t>
      </w:r>
      <w:bookmarkEnd w:id="5"/>
    </w:p>
    <w:p w14:paraId="77B84D4D" w14:textId="1F556E68" w:rsidR="00AD03A6" w:rsidRPr="00F157E5" w:rsidRDefault="00AD03A6" w:rsidP="00AD03A6">
      <w:pPr>
        <w:rPr>
          <w:sz w:val="16"/>
          <w:szCs w:val="16"/>
          <w:u w:val="single"/>
        </w:rPr>
      </w:pPr>
      <w:r w:rsidRPr="00F157E5">
        <w:rPr>
          <w:rFonts w:hint="cs"/>
          <w:u w:val="single"/>
          <w:rtl/>
        </w:rPr>
        <w:t>מי שנתן גט לאשתו בעל כרחה</w:t>
      </w:r>
      <w:r w:rsidR="006A6439">
        <w:rPr>
          <w:rFonts w:hint="cs"/>
          <w:u w:val="single"/>
          <w:rtl/>
        </w:rPr>
        <w:t xml:space="preserve"> לאחר חדר"ג</w:t>
      </w:r>
      <w:r w:rsidRPr="00F157E5">
        <w:rPr>
          <w:rFonts w:hint="cs"/>
          <w:u w:val="single"/>
          <w:rtl/>
        </w:rPr>
        <w:t xml:space="preserve">, ונשאת לאחר </w:t>
      </w:r>
      <w:r w:rsidR="00A82951">
        <w:rPr>
          <w:u w:val="single"/>
          <w:rtl/>
        </w:rPr>
        <w:t>-</w:t>
      </w:r>
      <w:r w:rsidRPr="00F157E5">
        <w:rPr>
          <w:rFonts w:hint="cs"/>
          <w:u w:val="single"/>
          <w:rtl/>
        </w:rPr>
        <w:t xml:space="preserve"> האם </w:t>
      </w:r>
      <w:r w:rsidR="00F60348">
        <w:rPr>
          <w:rFonts w:hint="cs"/>
          <w:u w:val="single"/>
          <w:rtl/>
        </w:rPr>
        <w:t xml:space="preserve">נותן הגט </w:t>
      </w:r>
      <w:r w:rsidR="00F157E5" w:rsidRPr="00F157E5">
        <w:rPr>
          <w:rFonts w:hint="cs"/>
          <w:u w:val="single"/>
          <w:rtl/>
        </w:rPr>
        <w:t>מיקרי עבריין:</w:t>
      </w:r>
      <w:r w:rsidR="00F157E5" w:rsidRPr="00F157E5">
        <w:rPr>
          <w:rFonts w:hint="cs"/>
          <w:sz w:val="16"/>
          <w:szCs w:val="16"/>
          <w:rtl/>
        </w:rPr>
        <w:t xml:space="preserve">  (דרכ"מ אות ב)</w:t>
      </w:r>
    </w:p>
    <w:p w14:paraId="7142E307" w14:textId="65269A68" w:rsidR="00F157E5" w:rsidRPr="00F157E5" w:rsidRDefault="00AD03A6" w:rsidP="00705D4B">
      <w:pPr>
        <w:pStyle w:val="ab"/>
        <w:numPr>
          <w:ilvl w:val="0"/>
          <w:numId w:val="16"/>
        </w:numPr>
      </w:pPr>
      <w:r w:rsidRPr="0039471B">
        <w:rPr>
          <w:rFonts w:cs="Arial"/>
          <w:rtl/>
        </w:rPr>
        <w:t xml:space="preserve">כל בו </w:t>
      </w:r>
      <w:r w:rsidRPr="00AD03A6">
        <w:rPr>
          <w:rFonts w:cs="Arial"/>
          <w:sz w:val="16"/>
          <w:szCs w:val="16"/>
          <w:rtl/>
        </w:rPr>
        <w:t>(סי' קטז פט א)</w:t>
      </w:r>
      <w:r w:rsidR="00A82951">
        <w:rPr>
          <w:rFonts w:cs="Arial" w:hint="cs"/>
          <w:rtl/>
        </w:rPr>
        <w:t>-</w:t>
      </w:r>
      <w:r w:rsidRPr="00AD03A6">
        <w:rPr>
          <w:rtl/>
        </w:rPr>
        <w:t xml:space="preserve"> </w:t>
      </w:r>
      <w:r w:rsidRPr="00AD03A6">
        <w:rPr>
          <w:rFonts w:cs="Arial"/>
          <w:rtl/>
        </w:rPr>
        <w:t xml:space="preserve">אם נתן גט לאשה בעל כרחה ונשאת </w:t>
      </w:r>
      <w:r w:rsidR="00A82951">
        <w:rPr>
          <w:rFonts w:cs="Arial" w:hint="cs"/>
          <w:rtl/>
        </w:rPr>
        <w:t>-</w:t>
      </w:r>
      <w:r>
        <w:rPr>
          <w:rFonts w:cs="Arial" w:hint="cs"/>
          <w:rtl/>
        </w:rPr>
        <w:t xml:space="preserve"> </w:t>
      </w:r>
      <w:r w:rsidRPr="00AD03A6">
        <w:rPr>
          <w:rFonts w:cs="Arial"/>
          <w:rtl/>
        </w:rPr>
        <w:t>האיש פטור ואינו עבריין</w:t>
      </w:r>
      <w:r>
        <w:rPr>
          <w:rFonts w:cs="Arial" w:hint="cs"/>
          <w:rtl/>
        </w:rPr>
        <w:t>.</w:t>
      </w:r>
      <w:r w:rsidRPr="00AD03A6">
        <w:rPr>
          <w:rFonts w:cs="Arial"/>
          <w:rtl/>
        </w:rPr>
        <w:t xml:space="preserve"> </w:t>
      </w:r>
      <w:r w:rsidR="00F157E5" w:rsidRPr="002666AC">
        <w:rPr>
          <w:rFonts w:hint="cs"/>
          <w:color w:val="00B0F0"/>
          <w:rtl/>
        </w:rPr>
        <w:t>(וכ"פ הרמ</w:t>
      </w:r>
      <w:r w:rsidR="00F157E5">
        <w:rPr>
          <w:rFonts w:hint="cs"/>
          <w:color w:val="00B0F0"/>
          <w:rtl/>
        </w:rPr>
        <w:t>"א)</w:t>
      </w:r>
    </w:p>
    <w:p w14:paraId="2F219F6A" w14:textId="68C5FEC1" w:rsidR="00F157E5" w:rsidRPr="00F157E5" w:rsidRDefault="00F157E5" w:rsidP="00F157E5">
      <w:pPr>
        <w:rPr>
          <w:u w:val="single"/>
        </w:rPr>
      </w:pPr>
      <w:r w:rsidRPr="00F157E5">
        <w:rPr>
          <w:rFonts w:hint="cs"/>
          <w:u w:val="single"/>
          <w:rtl/>
        </w:rPr>
        <w:t xml:space="preserve">מי שנתן לאשתו גט ונמצא פסול </w:t>
      </w:r>
      <w:r w:rsidR="00A82951">
        <w:rPr>
          <w:u w:val="single"/>
          <w:rtl/>
        </w:rPr>
        <w:t>-</w:t>
      </w:r>
      <w:r w:rsidRPr="00F157E5">
        <w:rPr>
          <w:rFonts w:hint="cs"/>
          <w:u w:val="single"/>
          <w:rtl/>
        </w:rPr>
        <w:t xml:space="preserve"> האם יכול לתת לה גט חדש כשר בעל כרחה:</w:t>
      </w:r>
      <w:r w:rsidRPr="00F157E5">
        <w:rPr>
          <w:rFonts w:hint="cs"/>
          <w:sz w:val="16"/>
          <w:szCs w:val="16"/>
          <w:rtl/>
        </w:rPr>
        <w:t xml:space="preserve">  (דרכ"מ אות ב)</w:t>
      </w:r>
    </w:p>
    <w:p w14:paraId="0E504662" w14:textId="1E71ADA5" w:rsidR="00AD03A6" w:rsidRDefault="00F157E5" w:rsidP="00705D4B">
      <w:pPr>
        <w:pStyle w:val="ab"/>
        <w:numPr>
          <w:ilvl w:val="0"/>
          <w:numId w:val="16"/>
        </w:numPr>
      </w:pPr>
      <w:r w:rsidRPr="0039471B">
        <w:rPr>
          <w:rFonts w:cs="Arial"/>
          <w:rtl/>
        </w:rPr>
        <w:t xml:space="preserve">כל בו </w:t>
      </w:r>
      <w:r w:rsidRPr="00AD03A6">
        <w:rPr>
          <w:rFonts w:cs="Arial"/>
          <w:sz w:val="16"/>
          <w:szCs w:val="16"/>
          <w:rtl/>
        </w:rPr>
        <w:t>(סי' קטז פט א)</w:t>
      </w:r>
      <w:r w:rsidR="00A82951">
        <w:rPr>
          <w:rFonts w:cs="Arial" w:hint="cs"/>
          <w:rtl/>
        </w:rPr>
        <w:t>-</w:t>
      </w:r>
      <w:r w:rsidRPr="00AD03A6">
        <w:rPr>
          <w:rtl/>
        </w:rPr>
        <w:t xml:space="preserve"> </w:t>
      </w:r>
      <w:r w:rsidR="00AD03A6" w:rsidRPr="00AD03A6">
        <w:rPr>
          <w:rFonts w:cs="Arial"/>
          <w:rtl/>
        </w:rPr>
        <w:t xml:space="preserve">נתן גט מרצונה ונמצא פסול </w:t>
      </w:r>
      <w:r w:rsidR="00A82951">
        <w:rPr>
          <w:rFonts w:cs="Arial" w:hint="cs"/>
          <w:rtl/>
        </w:rPr>
        <w:t>-</w:t>
      </w:r>
      <w:r w:rsidR="00AD03A6">
        <w:rPr>
          <w:rFonts w:cs="Arial" w:hint="cs"/>
          <w:rtl/>
        </w:rPr>
        <w:t xml:space="preserve"> </w:t>
      </w:r>
      <w:r w:rsidR="00AD03A6" w:rsidRPr="00AD03A6">
        <w:rPr>
          <w:rFonts w:cs="Arial"/>
          <w:rtl/>
        </w:rPr>
        <w:t>יכול לחזור וליתן לה בעל כרחה</w:t>
      </w:r>
      <w:r w:rsidR="00AD03A6">
        <w:rPr>
          <w:rFonts w:cs="Arial" w:hint="cs"/>
          <w:rtl/>
        </w:rPr>
        <w:t>.</w:t>
      </w:r>
      <w:r w:rsidRPr="00F157E5">
        <w:rPr>
          <w:rFonts w:hint="cs"/>
          <w:color w:val="00B0F0"/>
          <w:rtl/>
        </w:rPr>
        <w:t xml:space="preserve"> </w:t>
      </w:r>
      <w:r w:rsidRPr="002666AC">
        <w:rPr>
          <w:rFonts w:hint="cs"/>
          <w:color w:val="00B0F0"/>
          <w:rtl/>
        </w:rPr>
        <w:t>(וכ"פ הרמ</w:t>
      </w:r>
      <w:r>
        <w:rPr>
          <w:rFonts w:hint="cs"/>
          <w:color w:val="00B0F0"/>
          <w:rtl/>
        </w:rPr>
        <w:t>"א)</w:t>
      </w:r>
    </w:p>
    <w:p w14:paraId="26A5E8CA" w14:textId="7B5E8363" w:rsidR="00C75A20" w:rsidRPr="00FE5F31" w:rsidRDefault="00C75A20" w:rsidP="00C75A20">
      <w:pPr>
        <w:rPr>
          <w:rFonts w:cs="Arial"/>
          <w:rtl/>
        </w:rPr>
      </w:pPr>
      <w:bookmarkStart w:id="6" w:name="_Hlk19806916"/>
      <w:r w:rsidRPr="00C4747B">
        <w:rPr>
          <w:rFonts w:cs="Arial"/>
          <w:b/>
          <w:bCs/>
          <w:rtl/>
        </w:rPr>
        <w:t xml:space="preserve">חגיגה </w:t>
      </w:r>
      <w:r w:rsidRPr="00C4747B">
        <w:rPr>
          <w:rFonts w:cs="Arial"/>
          <w:b/>
          <w:bCs/>
          <w:sz w:val="16"/>
          <w:szCs w:val="16"/>
          <w:rtl/>
        </w:rPr>
        <w:t>(</w:t>
      </w:r>
      <w:r w:rsidRPr="00C4747B">
        <w:rPr>
          <w:rFonts w:cs="Arial" w:hint="cs"/>
          <w:b/>
          <w:bCs/>
          <w:sz w:val="16"/>
          <w:szCs w:val="16"/>
          <w:rtl/>
        </w:rPr>
        <w:t xml:space="preserve">פ"ק) </w:t>
      </w:r>
      <w:r w:rsidRPr="00C4747B">
        <w:rPr>
          <w:rFonts w:cs="Arial"/>
          <w:b/>
          <w:bCs/>
          <w:rtl/>
        </w:rPr>
        <w:t>ג</w:t>
      </w:r>
      <w:r w:rsidRPr="00C4747B">
        <w:rPr>
          <w:rFonts w:cs="Arial" w:hint="cs"/>
          <w:b/>
          <w:bCs/>
          <w:rtl/>
        </w:rPr>
        <w:t xml:space="preserve"> ע"ב</w:t>
      </w:r>
      <w:r w:rsidRPr="00C4747B">
        <w:rPr>
          <w:rFonts w:cs="Arial"/>
          <w:b/>
          <w:bCs/>
          <w:rtl/>
        </w:rPr>
        <w:t>:</w:t>
      </w:r>
      <w:r>
        <w:rPr>
          <w:rFonts w:cs="Arial"/>
          <w:rtl/>
        </w:rPr>
        <w:t xml:space="preserve"> </w:t>
      </w:r>
      <w:r w:rsidRPr="001B7B13">
        <w:rPr>
          <w:rFonts w:cs="Arial"/>
          <w:rtl/>
        </w:rPr>
        <w:t xml:space="preserve">תנו רבנן: איזהו שוטה? היוצא יחידי בלילה, והלן בבית הקברות, והמקרע את כסותו. איתמר, </w:t>
      </w:r>
      <w:r w:rsidRPr="001B7B13">
        <w:rPr>
          <w:rFonts w:cs="Arial"/>
          <w:u w:val="single"/>
          <w:rtl/>
        </w:rPr>
        <w:t>רב הונא אמר</w:t>
      </w:r>
      <w:r w:rsidRPr="001B7B13">
        <w:rPr>
          <w:rFonts w:cs="Arial"/>
          <w:rtl/>
        </w:rPr>
        <w:t xml:space="preserve">: עד שיהו כולן בבת אחת. </w:t>
      </w:r>
      <w:r w:rsidRPr="001B7B13">
        <w:rPr>
          <w:rFonts w:cs="Arial"/>
          <w:u w:val="single"/>
          <w:rtl/>
        </w:rPr>
        <w:t>רבי יוחנן אמר</w:t>
      </w:r>
      <w:r w:rsidRPr="001B7B13">
        <w:rPr>
          <w:rFonts w:cs="Arial"/>
          <w:rtl/>
        </w:rPr>
        <w:t>: אפילו באחת מהן. היכי דמי</w:t>
      </w:r>
      <w:r>
        <w:rPr>
          <w:rStyle w:val="a7"/>
          <w:rFonts w:cs="Arial"/>
          <w:rtl/>
        </w:rPr>
        <w:footnoteReference w:id="46"/>
      </w:r>
      <w:r w:rsidRPr="001B7B13">
        <w:rPr>
          <w:rFonts w:cs="Arial"/>
          <w:rtl/>
        </w:rPr>
        <w:t xml:space="preserve">? אי דעביד להו דרך שטות </w:t>
      </w:r>
      <w:r w:rsidR="00A82951">
        <w:rPr>
          <w:rFonts w:cs="Arial"/>
          <w:rtl/>
        </w:rPr>
        <w:t>-</w:t>
      </w:r>
      <w:r w:rsidRPr="001B7B13">
        <w:rPr>
          <w:rFonts w:cs="Arial"/>
          <w:rtl/>
        </w:rPr>
        <w:t xml:space="preserve"> אפילו בחדא נמי. אי דלא עביד להו דרך שטות </w:t>
      </w:r>
      <w:r w:rsidR="00A82951">
        <w:rPr>
          <w:rFonts w:cs="Arial"/>
          <w:rtl/>
        </w:rPr>
        <w:t>-</w:t>
      </w:r>
      <w:r w:rsidRPr="001B7B13">
        <w:rPr>
          <w:rFonts w:cs="Arial"/>
          <w:rtl/>
        </w:rPr>
        <w:t xml:space="preserve"> אפילו כולהו נמי לא! לעולם דקא עביד להו דרך שטות, והלן בבית הקברות </w:t>
      </w:r>
      <w:r w:rsidR="00A82951">
        <w:rPr>
          <w:rFonts w:cs="Arial"/>
          <w:rtl/>
        </w:rPr>
        <w:t>-</w:t>
      </w:r>
      <w:r w:rsidRPr="001B7B13">
        <w:rPr>
          <w:rFonts w:cs="Arial"/>
          <w:rtl/>
        </w:rPr>
        <w:t xml:space="preserve"> אימור כדי שתשרה עליו רוח טומאה הוא דקא עביד, והיוצא יחידי בלילה </w:t>
      </w:r>
      <w:r w:rsidR="00A82951">
        <w:rPr>
          <w:rFonts w:cs="Arial"/>
          <w:rtl/>
        </w:rPr>
        <w:t>-</w:t>
      </w:r>
      <w:r w:rsidRPr="001B7B13">
        <w:rPr>
          <w:rFonts w:cs="Arial"/>
          <w:rtl/>
        </w:rPr>
        <w:t xml:space="preserve"> אימור גנדריפס אחדיה, והמקרע את כסותו </w:t>
      </w:r>
      <w:r w:rsidR="00A82951">
        <w:rPr>
          <w:rFonts w:cs="Arial"/>
          <w:rtl/>
        </w:rPr>
        <w:t>-</w:t>
      </w:r>
      <w:r w:rsidRPr="001B7B13">
        <w:rPr>
          <w:rFonts w:cs="Arial"/>
          <w:rtl/>
        </w:rPr>
        <w:t xml:space="preserve"> אימור בעל מחשבות הוא. כיון דעבדינהו לכולהו </w:t>
      </w:r>
      <w:r w:rsidR="00A82951">
        <w:rPr>
          <w:rFonts w:cs="Arial"/>
          <w:rtl/>
        </w:rPr>
        <w:t>-</w:t>
      </w:r>
      <w:r w:rsidRPr="001B7B13">
        <w:rPr>
          <w:rFonts w:cs="Arial"/>
          <w:rtl/>
        </w:rPr>
        <w:t xml:space="preserve"> הוה להו </w:t>
      </w:r>
      <w:r>
        <w:rPr>
          <w:rFonts w:cs="Arial" w:hint="cs"/>
          <w:sz w:val="14"/>
          <w:szCs w:val="14"/>
          <w:rtl/>
        </w:rPr>
        <w:t>(ד.)</w:t>
      </w:r>
      <w:r>
        <w:rPr>
          <w:rFonts w:cs="Arial" w:hint="cs"/>
          <w:rtl/>
        </w:rPr>
        <w:t xml:space="preserve"> </w:t>
      </w:r>
      <w:r w:rsidRPr="001B7B13">
        <w:rPr>
          <w:rFonts w:cs="Arial"/>
          <w:rtl/>
        </w:rPr>
        <w:t xml:space="preserve">כמי שנגח שור חמור וגמל, ונעשה מועד לכל. </w:t>
      </w:r>
      <w:r w:rsidRPr="001B7B13">
        <w:rPr>
          <w:rFonts w:cs="Arial"/>
          <w:u w:val="single"/>
          <w:rtl/>
        </w:rPr>
        <w:t>אמר רב פפא</w:t>
      </w:r>
      <w:r w:rsidRPr="001B7B13">
        <w:rPr>
          <w:rFonts w:cs="Arial"/>
          <w:rtl/>
        </w:rPr>
        <w:t xml:space="preserve">: אי שמיע ליה לרב הונא הא דתניא: אי זהו שוטה </w:t>
      </w:r>
      <w:r w:rsidR="00A82951">
        <w:rPr>
          <w:rFonts w:cs="Arial"/>
          <w:rtl/>
        </w:rPr>
        <w:t>-</w:t>
      </w:r>
      <w:r w:rsidRPr="001B7B13">
        <w:rPr>
          <w:rFonts w:cs="Arial"/>
          <w:rtl/>
        </w:rPr>
        <w:t xml:space="preserve"> זה המאבד כל מה שנותנים לו, הוה הדר ביה. איבעיא להו: כי הוה הדר ביה </w:t>
      </w:r>
      <w:r w:rsidR="00A82951">
        <w:rPr>
          <w:rFonts w:cs="Arial"/>
          <w:rtl/>
        </w:rPr>
        <w:t>-</w:t>
      </w:r>
      <w:r w:rsidRPr="001B7B13">
        <w:rPr>
          <w:rFonts w:cs="Arial"/>
          <w:rtl/>
        </w:rPr>
        <w:t xml:space="preserve"> ממקרע כסותו הוא דהוה הדר ביה, דדמיא להא, או דלמא מכולהו הוה הדר? תיקו.</w:t>
      </w:r>
      <w:r>
        <w:rPr>
          <w:rFonts w:cs="Arial" w:hint="cs"/>
          <w:rtl/>
        </w:rPr>
        <w:t xml:space="preserve"> </w:t>
      </w:r>
      <w:r w:rsidRPr="00FE5F31">
        <w:rPr>
          <w:rFonts w:cs="Arial" w:hint="cs"/>
          <w:sz w:val="16"/>
          <w:szCs w:val="16"/>
          <w:rtl/>
        </w:rPr>
        <w:t>(</w:t>
      </w:r>
      <w:r w:rsidRPr="00FE5F31">
        <w:rPr>
          <w:rFonts w:cs="Arial"/>
          <w:sz w:val="16"/>
          <w:szCs w:val="16"/>
          <w:rtl/>
        </w:rPr>
        <w:t>וכרבי יוחנן קיי</w:t>
      </w:r>
      <w:r w:rsidRPr="00FE5F31">
        <w:rPr>
          <w:rFonts w:cs="Arial" w:hint="cs"/>
          <w:sz w:val="16"/>
          <w:szCs w:val="16"/>
          <w:rtl/>
        </w:rPr>
        <w:t>"</w:t>
      </w:r>
      <w:r w:rsidRPr="00FE5F31">
        <w:rPr>
          <w:rFonts w:cs="Arial"/>
          <w:sz w:val="16"/>
          <w:szCs w:val="16"/>
          <w:rtl/>
        </w:rPr>
        <w:t>ל</w:t>
      </w:r>
      <w:r w:rsidRPr="00FE5F31">
        <w:rPr>
          <w:rFonts w:cs="Arial" w:hint="cs"/>
          <w:sz w:val="16"/>
          <w:szCs w:val="16"/>
          <w:rtl/>
        </w:rPr>
        <w:t>,</w:t>
      </w:r>
      <w:r w:rsidRPr="00FE5F31">
        <w:rPr>
          <w:rFonts w:cs="Arial"/>
          <w:sz w:val="16"/>
          <w:szCs w:val="16"/>
          <w:rtl/>
        </w:rPr>
        <w:t xml:space="preserve"> דהלכתא כותיה לגבי רב (ביצה ד:) דרביה דרב הונא הוא (שבת קכח.) וכל שכן לגבי רב הונא</w:t>
      </w:r>
      <w:r w:rsidRPr="00FE5F31">
        <w:rPr>
          <w:rFonts w:cs="Arial" w:hint="cs"/>
          <w:sz w:val="16"/>
          <w:szCs w:val="16"/>
          <w:rtl/>
        </w:rPr>
        <w:t>,</w:t>
      </w:r>
      <w:r w:rsidRPr="00FE5F31">
        <w:rPr>
          <w:rFonts w:cs="Arial"/>
          <w:sz w:val="16"/>
          <w:szCs w:val="16"/>
          <w:rtl/>
        </w:rPr>
        <w:t xml:space="preserve"> וכ</w:t>
      </w:r>
      <w:r w:rsidRPr="00FE5F31">
        <w:rPr>
          <w:rFonts w:cs="Arial" w:hint="cs"/>
          <w:sz w:val="16"/>
          <w:szCs w:val="16"/>
          <w:rtl/>
        </w:rPr>
        <w:t>"</w:t>
      </w:r>
      <w:r w:rsidRPr="00FE5F31">
        <w:rPr>
          <w:rFonts w:cs="Arial"/>
          <w:sz w:val="16"/>
          <w:szCs w:val="16"/>
          <w:rtl/>
        </w:rPr>
        <w:t>פ הרא"ש בריש חולין (פ"א סי' ד)</w:t>
      </w:r>
      <w:r>
        <w:rPr>
          <w:rFonts w:cs="Arial" w:hint="cs"/>
          <w:sz w:val="16"/>
          <w:szCs w:val="16"/>
          <w:rtl/>
        </w:rPr>
        <w:t>,</w:t>
      </w:r>
      <w:r w:rsidRPr="00FE5F31">
        <w:rPr>
          <w:rFonts w:cs="Arial"/>
          <w:sz w:val="16"/>
          <w:szCs w:val="16"/>
          <w:rtl/>
        </w:rPr>
        <w:t xml:space="preserve"> </w:t>
      </w:r>
      <w:r w:rsidRPr="00E90083">
        <w:rPr>
          <w:rFonts w:cs="Arial"/>
          <w:sz w:val="16"/>
          <w:szCs w:val="16"/>
          <w:rtl/>
        </w:rPr>
        <w:t>וכן נראה מדברי הרמב"ם</w:t>
      </w:r>
      <w:r>
        <w:rPr>
          <w:rFonts w:cs="Arial" w:hint="cs"/>
          <w:sz w:val="16"/>
          <w:szCs w:val="16"/>
          <w:rtl/>
        </w:rPr>
        <w:t xml:space="preserve"> (פ"ט מהל' עדות ה"ט)</w:t>
      </w:r>
      <w:r w:rsidRPr="00E90083">
        <w:rPr>
          <w:rFonts w:cs="Arial"/>
          <w:sz w:val="16"/>
          <w:szCs w:val="16"/>
          <w:rtl/>
        </w:rPr>
        <w:t xml:space="preserve"> דהלכה כרבי יוחנן</w:t>
      </w:r>
      <w:r>
        <w:rPr>
          <w:rStyle w:val="a7"/>
          <w:rFonts w:cs="Arial"/>
          <w:sz w:val="16"/>
          <w:szCs w:val="16"/>
          <w:rtl/>
        </w:rPr>
        <w:footnoteReference w:id="47"/>
      </w:r>
      <w:r>
        <w:rPr>
          <w:rFonts w:cs="Arial" w:hint="cs"/>
          <w:sz w:val="16"/>
          <w:szCs w:val="16"/>
          <w:rtl/>
        </w:rPr>
        <w:t>.</w:t>
      </w:r>
      <w:r w:rsidRPr="00E90083">
        <w:rPr>
          <w:rFonts w:cs="Arial"/>
          <w:sz w:val="16"/>
          <w:szCs w:val="16"/>
          <w:rtl/>
        </w:rPr>
        <w:t xml:space="preserve"> </w:t>
      </w:r>
      <w:r w:rsidRPr="00FE5F31">
        <w:rPr>
          <w:rFonts w:cs="Arial"/>
          <w:sz w:val="16"/>
          <w:szCs w:val="16"/>
          <w:rtl/>
        </w:rPr>
        <w:t xml:space="preserve">ונתבאר שם </w:t>
      </w:r>
      <w:r>
        <w:rPr>
          <w:rFonts w:cs="Arial" w:hint="cs"/>
          <w:sz w:val="14"/>
          <w:szCs w:val="14"/>
          <w:rtl/>
        </w:rPr>
        <w:t xml:space="preserve">{בגמ'} </w:t>
      </w:r>
      <w:r w:rsidRPr="00FE5F31">
        <w:rPr>
          <w:rFonts w:cs="Arial"/>
          <w:sz w:val="16"/>
          <w:szCs w:val="16"/>
          <w:rtl/>
        </w:rPr>
        <w:t>דדוקא בדעבד לה דרך שטות. ונראה לי שאין הכונה שבפעם אחת שיעשה אחד מאלו דרך שטות מיקרי שוטה אלא כשדרכו בכך</w:t>
      </w:r>
      <w:r>
        <w:rPr>
          <w:rFonts w:cs="Arial" w:hint="cs"/>
          <w:sz w:val="16"/>
          <w:szCs w:val="16"/>
          <w:rtl/>
        </w:rPr>
        <w:t>,</w:t>
      </w:r>
      <w:r w:rsidRPr="00FE5F31">
        <w:rPr>
          <w:rFonts w:cs="Arial"/>
          <w:sz w:val="16"/>
          <w:szCs w:val="16"/>
          <w:rtl/>
        </w:rPr>
        <w:t xml:space="preserve"> וזהו שכתב הרמב"ם ז"ל (עדות פ"ט ה"ט) ונמצאת דעתו משובשת תמיד</w:t>
      </w:r>
      <w:r w:rsidRPr="00FE5F31">
        <w:rPr>
          <w:rFonts w:cs="Arial" w:hint="cs"/>
          <w:sz w:val="16"/>
          <w:szCs w:val="16"/>
          <w:rtl/>
        </w:rPr>
        <w:t xml:space="preserve"> </w:t>
      </w:r>
      <w:r w:rsidRPr="00FE5F31">
        <w:rPr>
          <w:rFonts w:cs="Arial"/>
          <w:sz w:val="16"/>
          <w:szCs w:val="16"/>
          <w:rtl/>
        </w:rPr>
        <w:t>כנ"ל</w:t>
      </w:r>
      <w:r>
        <w:rPr>
          <w:rFonts w:cs="Arial" w:hint="cs"/>
          <w:sz w:val="16"/>
          <w:szCs w:val="16"/>
          <w:rtl/>
        </w:rPr>
        <w:t>, ב"י (בחו"מ סי' לה סע' ח, וכאן))</w:t>
      </w:r>
      <w:bookmarkEnd w:id="6"/>
    </w:p>
    <w:p w14:paraId="45E05889" w14:textId="77777777" w:rsidR="00C75A20" w:rsidRDefault="00C75A20" w:rsidP="00C75A20">
      <w:pPr>
        <w:rPr>
          <w:rFonts w:cs="Arial"/>
          <w:rtl/>
        </w:rPr>
      </w:pPr>
      <w:bookmarkStart w:id="7" w:name="_Hlk19807084"/>
      <w:r>
        <w:rPr>
          <w:rFonts w:cs="Arial" w:hint="cs"/>
          <w:u w:val="single"/>
          <w:rtl/>
        </w:rPr>
        <w:t>גדר אדם</w:t>
      </w:r>
      <w:r w:rsidRPr="004F7400">
        <w:rPr>
          <w:rFonts w:cs="Arial" w:hint="cs"/>
          <w:u w:val="single"/>
          <w:rtl/>
        </w:rPr>
        <w:t xml:space="preserve"> שוטה:</w:t>
      </w:r>
    </w:p>
    <w:p w14:paraId="4AB160BA" w14:textId="0ABE011C" w:rsidR="00C75A20" w:rsidRDefault="00C75A20" w:rsidP="00A65C5F">
      <w:pPr>
        <w:pStyle w:val="ab"/>
        <w:numPr>
          <w:ilvl w:val="0"/>
          <w:numId w:val="20"/>
        </w:numPr>
        <w:rPr>
          <w:rFonts w:cs="Arial"/>
        </w:rPr>
      </w:pPr>
      <w:r w:rsidRPr="004F7400">
        <w:rPr>
          <w:rFonts w:cs="Arial" w:hint="cs"/>
          <w:rtl/>
        </w:rPr>
        <w:lastRenderedPageBreak/>
        <w:t>טור</w:t>
      </w:r>
      <w:r>
        <w:rPr>
          <w:rFonts w:cs="Arial" w:hint="cs"/>
          <w:sz w:val="16"/>
          <w:szCs w:val="16"/>
          <w:rtl/>
        </w:rPr>
        <w:t xml:space="preserve"> (חו"מ סי' לה)</w:t>
      </w:r>
      <w:r w:rsidR="00A82951">
        <w:rPr>
          <w:rFonts w:cs="Arial" w:hint="cs"/>
          <w:rtl/>
        </w:rPr>
        <w:t>-</w:t>
      </w:r>
      <w:r w:rsidRPr="004F7400">
        <w:rPr>
          <w:rFonts w:cs="Arial" w:hint="cs"/>
          <w:rtl/>
        </w:rPr>
        <w:t xml:space="preserve"> </w:t>
      </w:r>
      <w:r w:rsidRPr="004F7400">
        <w:rPr>
          <w:rFonts w:cs="Arial"/>
          <w:rtl/>
        </w:rPr>
        <w:t>וזהו שוטה</w:t>
      </w:r>
      <w:r>
        <w:rPr>
          <w:rFonts w:cs="Arial" w:hint="cs"/>
          <w:rtl/>
        </w:rPr>
        <w:t>,</w:t>
      </w:r>
      <w:r w:rsidRPr="004F7400">
        <w:rPr>
          <w:rFonts w:cs="Arial"/>
          <w:rtl/>
        </w:rPr>
        <w:t xml:space="preserve"> שיצא יחידי בלילה</w:t>
      </w:r>
      <w:r>
        <w:rPr>
          <w:rFonts w:cs="Arial" w:hint="cs"/>
          <w:rtl/>
        </w:rPr>
        <w:t>,</w:t>
      </w:r>
      <w:r w:rsidRPr="004F7400">
        <w:rPr>
          <w:rFonts w:cs="Arial"/>
          <w:rtl/>
        </w:rPr>
        <w:t xml:space="preserve"> והלן בב</w:t>
      </w:r>
      <w:r w:rsidRPr="004F7400">
        <w:rPr>
          <w:rFonts w:cs="Arial" w:hint="cs"/>
          <w:rtl/>
        </w:rPr>
        <w:t xml:space="preserve">ית </w:t>
      </w:r>
      <w:r w:rsidRPr="004F7400">
        <w:rPr>
          <w:rFonts w:cs="Arial"/>
          <w:rtl/>
        </w:rPr>
        <w:t>הק</w:t>
      </w:r>
      <w:r w:rsidRPr="004F7400">
        <w:rPr>
          <w:rFonts w:cs="Arial" w:hint="cs"/>
          <w:rtl/>
        </w:rPr>
        <w:t>ברות</w:t>
      </w:r>
      <w:r>
        <w:rPr>
          <w:rFonts w:cs="Arial" w:hint="cs"/>
          <w:rtl/>
        </w:rPr>
        <w:t>,</w:t>
      </w:r>
      <w:r w:rsidRPr="004F7400">
        <w:rPr>
          <w:rFonts w:cs="Arial"/>
          <w:rtl/>
        </w:rPr>
        <w:t xml:space="preserve"> והקורע כסותו</w:t>
      </w:r>
      <w:r>
        <w:rPr>
          <w:rFonts w:cs="Arial" w:hint="cs"/>
          <w:rtl/>
        </w:rPr>
        <w:t>,</w:t>
      </w:r>
      <w:r w:rsidRPr="004F7400">
        <w:rPr>
          <w:rFonts w:cs="Arial"/>
          <w:rtl/>
        </w:rPr>
        <w:t xml:space="preserve"> ומאבד מה שנותנין לו</w:t>
      </w:r>
      <w:r w:rsidRPr="004F7400">
        <w:rPr>
          <w:rFonts w:cs="Arial" w:hint="cs"/>
          <w:rtl/>
        </w:rPr>
        <w:t>,</w:t>
      </w:r>
      <w:r w:rsidRPr="004F7400">
        <w:rPr>
          <w:rFonts w:cs="Arial"/>
          <w:rtl/>
        </w:rPr>
        <w:t xml:space="preserve"> ובאחד מאלו שעושה דרך שטות נקרא שוטה</w:t>
      </w:r>
      <w:r w:rsidR="00667E9B">
        <w:rPr>
          <w:rStyle w:val="a7"/>
          <w:rFonts w:cs="Arial"/>
          <w:rtl/>
        </w:rPr>
        <w:footnoteReference w:id="48"/>
      </w:r>
      <w:r w:rsidRPr="004F7400">
        <w:rPr>
          <w:rFonts w:cs="Arial"/>
          <w:rtl/>
        </w:rPr>
        <w:t xml:space="preserve">. והרמב"ם </w:t>
      </w:r>
      <w:r w:rsidRPr="004F7400">
        <w:rPr>
          <w:rFonts w:cs="Arial" w:hint="cs"/>
          <w:sz w:val="16"/>
          <w:szCs w:val="16"/>
          <w:rtl/>
        </w:rPr>
        <w:t>(</w:t>
      </w:r>
      <w:r w:rsidRPr="004F7400">
        <w:rPr>
          <w:rFonts w:cs="Arial"/>
          <w:sz w:val="16"/>
          <w:szCs w:val="16"/>
          <w:rtl/>
        </w:rPr>
        <w:t>פ"ט מהל</w:t>
      </w:r>
      <w:r w:rsidRPr="004F7400">
        <w:rPr>
          <w:rFonts w:cs="Arial" w:hint="cs"/>
          <w:sz w:val="16"/>
          <w:szCs w:val="16"/>
          <w:rtl/>
        </w:rPr>
        <w:t>'</w:t>
      </w:r>
      <w:r w:rsidRPr="004F7400">
        <w:rPr>
          <w:rFonts w:cs="Arial"/>
          <w:sz w:val="16"/>
          <w:szCs w:val="16"/>
          <w:rtl/>
        </w:rPr>
        <w:t xml:space="preserve"> עדות ה"ט)</w:t>
      </w:r>
      <w:r w:rsidRPr="004F7400">
        <w:rPr>
          <w:rFonts w:cs="Arial" w:hint="cs"/>
          <w:rtl/>
        </w:rPr>
        <w:t xml:space="preserve"> </w:t>
      </w:r>
      <w:r w:rsidRPr="004F7400">
        <w:rPr>
          <w:rFonts w:cs="Arial"/>
          <w:rtl/>
        </w:rPr>
        <w:t>כתב</w:t>
      </w:r>
      <w:r w:rsidR="006C1643">
        <w:rPr>
          <w:rFonts w:cs="Arial" w:hint="cs"/>
          <w:rtl/>
        </w:rPr>
        <w:t>:</w:t>
      </w:r>
      <w:r w:rsidRPr="004F7400">
        <w:rPr>
          <w:rFonts w:cs="Arial"/>
          <w:rtl/>
        </w:rPr>
        <w:t xml:space="preserve"> ולא שוטה שהולך ערום ומשבר כלים וזורק אבנים בלבד</w:t>
      </w:r>
      <w:r w:rsidR="006C1643">
        <w:rPr>
          <w:rFonts w:cs="Arial" w:hint="cs"/>
          <w:rtl/>
        </w:rPr>
        <w:t>,</w:t>
      </w:r>
      <w:r w:rsidRPr="004F7400">
        <w:rPr>
          <w:rFonts w:cs="Arial"/>
          <w:rtl/>
        </w:rPr>
        <w:t xml:space="preserve"> אלא כל מי שנטרפה דעתו ונמצא דעתו משובשת</w:t>
      </w:r>
      <w:r>
        <w:rPr>
          <w:rStyle w:val="a7"/>
          <w:rFonts w:cs="Arial"/>
          <w:rtl/>
        </w:rPr>
        <w:footnoteReference w:id="49"/>
      </w:r>
      <w:r w:rsidRPr="004F7400">
        <w:rPr>
          <w:rFonts w:cs="Arial"/>
          <w:rtl/>
        </w:rPr>
        <w:t xml:space="preserve"> תמיד בדבר מן הדברים אע</w:t>
      </w:r>
      <w:r>
        <w:rPr>
          <w:rFonts w:cs="Arial" w:hint="cs"/>
          <w:rtl/>
        </w:rPr>
        <w:t>"</w:t>
      </w:r>
      <w:r w:rsidRPr="004F7400">
        <w:rPr>
          <w:rFonts w:cs="Arial"/>
          <w:rtl/>
        </w:rPr>
        <w:t>פ שהוא מדבר ושואל כענין בשאר הדברים הרי זה פסול ובכלל שוטה יחשב</w:t>
      </w:r>
      <w:r w:rsidR="00465DAD">
        <w:rPr>
          <w:rStyle w:val="a7"/>
          <w:rFonts w:cs="Arial"/>
          <w:rtl/>
        </w:rPr>
        <w:footnoteReference w:id="50"/>
      </w:r>
      <w:r w:rsidRPr="004F7400">
        <w:rPr>
          <w:rFonts w:cs="Arial" w:hint="cs"/>
          <w:rtl/>
        </w:rPr>
        <w:t>.</w:t>
      </w:r>
      <w:r>
        <w:rPr>
          <w:rFonts w:cs="Arial" w:hint="cs"/>
          <w:rtl/>
        </w:rPr>
        <w:t xml:space="preserve"> </w:t>
      </w:r>
      <w:r w:rsidRPr="00681348">
        <w:rPr>
          <w:rFonts w:cs="Arial" w:hint="cs"/>
          <w:color w:val="E36C0A" w:themeColor="accent6" w:themeShade="BF"/>
          <w:rtl/>
        </w:rPr>
        <w:t>(וכ"פ בשו"ע</w:t>
      </w:r>
      <w:r w:rsidRPr="00B85471">
        <w:rPr>
          <w:rStyle w:val="a7"/>
          <w:rFonts w:cs="Arial"/>
          <w:color w:val="000000" w:themeColor="text1"/>
          <w:rtl/>
        </w:rPr>
        <w:footnoteReference w:id="51"/>
      </w:r>
      <w:r>
        <w:rPr>
          <w:rFonts w:cs="Arial" w:hint="cs"/>
          <w:color w:val="E36C0A" w:themeColor="accent6" w:themeShade="BF"/>
          <w:sz w:val="16"/>
          <w:szCs w:val="16"/>
          <w:rtl/>
        </w:rPr>
        <w:t xml:space="preserve"> </w:t>
      </w:r>
      <w:r w:rsidRPr="000A0B8D">
        <w:rPr>
          <w:rFonts w:cs="Arial" w:hint="cs"/>
          <w:color w:val="000000" w:themeColor="text1"/>
          <w:sz w:val="16"/>
          <w:szCs w:val="16"/>
          <w:rtl/>
        </w:rPr>
        <w:t>[</w:t>
      </w:r>
      <w:r>
        <w:rPr>
          <w:rFonts w:cs="Arial" w:hint="cs"/>
          <w:color w:val="000000" w:themeColor="text1"/>
          <w:sz w:val="16"/>
          <w:szCs w:val="16"/>
          <w:rtl/>
        </w:rPr>
        <w:t>חו"מ סי' לה ס"ח</w:t>
      </w:r>
      <w:r w:rsidRPr="000A0B8D">
        <w:rPr>
          <w:rFonts w:cs="Arial" w:hint="cs"/>
          <w:color w:val="000000" w:themeColor="text1"/>
          <w:sz w:val="16"/>
          <w:szCs w:val="16"/>
          <w:rtl/>
        </w:rPr>
        <w:t>]</w:t>
      </w:r>
      <w:r w:rsidRPr="00681348">
        <w:rPr>
          <w:rFonts w:cs="Arial" w:hint="cs"/>
          <w:color w:val="E36C0A" w:themeColor="accent6" w:themeShade="BF"/>
          <w:rtl/>
        </w:rPr>
        <w:t>)</w:t>
      </w:r>
    </w:p>
    <w:p w14:paraId="1576185A" w14:textId="77777777" w:rsidR="007C0828" w:rsidRDefault="007C0828" w:rsidP="007C0828">
      <w:pPr>
        <w:pStyle w:val="ab"/>
        <w:numPr>
          <w:ilvl w:val="0"/>
          <w:numId w:val="20"/>
        </w:numPr>
        <w:rPr>
          <w:rFonts w:cs="Arial"/>
        </w:rPr>
      </w:pPr>
      <w:r w:rsidRPr="00F921C1">
        <w:rPr>
          <w:rFonts w:cs="Arial"/>
          <w:rtl/>
        </w:rPr>
        <w:t>רבינו אביגדור כהן</w:t>
      </w:r>
      <w:r>
        <w:rPr>
          <w:rFonts w:cs="Arial" w:hint="cs"/>
          <w:sz w:val="16"/>
          <w:szCs w:val="16"/>
          <w:rtl/>
        </w:rPr>
        <w:t xml:space="preserve"> (</w:t>
      </w:r>
      <w:r w:rsidRPr="00B45A35">
        <w:rPr>
          <w:rFonts w:cs="Arial" w:hint="cs"/>
          <w:sz w:val="16"/>
          <w:szCs w:val="16"/>
          <w:rtl/>
        </w:rPr>
        <w:t xml:space="preserve">כ"כ בשמו </w:t>
      </w:r>
      <w:r w:rsidRPr="00B45A35">
        <w:rPr>
          <w:rFonts w:cs="Arial"/>
          <w:sz w:val="16"/>
          <w:szCs w:val="16"/>
          <w:rtl/>
        </w:rPr>
        <w:t>מהר</w:t>
      </w:r>
      <w:r w:rsidRPr="00B45A35">
        <w:rPr>
          <w:rFonts w:cs="Arial" w:hint="cs"/>
          <w:sz w:val="16"/>
          <w:szCs w:val="16"/>
          <w:rtl/>
        </w:rPr>
        <w:t>י"ק</w:t>
      </w:r>
      <w:r w:rsidRPr="00B45A35">
        <w:rPr>
          <w:rStyle w:val="a7"/>
          <w:rFonts w:cs="Arial"/>
          <w:sz w:val="16"/>
          <w:szCs w:val="16"/>
          <w:rtl/>
        </w:rPr>
        <w:footnoteReference w:id="52"/>
      </w:r>
      <w:r w:rsidRPr="00B45A35">
        <w:rPr>
          <w:rFonts w:cs="Arial"/>
          <w:sz w:val="16"/>
          <w:szCs w:val="16"/>
          <w:rtl/>
        </w:rPr>
        <w:t xml:space="preserve"> </w:t>
      </w:r>
      <w:r>
        <w:rPr>
          <w:rFonts w:cs="Arial" w:hint="cs"/>
          <w:sz w:val="16"/>
          <w:szCs w:val="16"/>
          <w:rtl/>
        </w:rPr>
        <w:t>[</w:t>
      </w:r>
      <w:r w:rsidRPr="00813C8C">
        <w:rPr>
          <w:rFonts w:cs="Arial"/>
          <w:sz w:val="16"/>
          <w:szCs w:val="16"/>
          <w:rtl/>
        </w:rPr>
        <w:t>שורש יט</w:t>
      </w:r>
      <w:r>
        <w:rPr>
          <w:rFonts w:cs="Arial" w:hint="cs"/>
          <w:sz w:val="16"/>
          <w:szCs w:val="16"/>
          <w:rtl/>
        </w:rPr>
        <w:t>]</w:t>
      </w:r>
      <w:r w:rsidRPr="00813C8C">
        <w:rPr>
          <w:rFonts w:cs="Arial" w:hint="cs"/>
          <w:sz w:val="16"/>
          <w:szCs w:val="16"/>
          <w:rtl/>
        </w:rPr>
        <w:t>)</w:t>
      </w:r>
      <w:r>
        <w:rPr>
          <w:rFonts w:cs="Arial" w:hint="cs"/>
          <w:rtl/>
        </w:rPr>
        <w:t>-</w:t>
      </w:r>
      <w:r w:rsidRPr="00F921C1">
        <w:rPr>
          <w:rFonts w:cs="Arial"/>
          <w:rtl/>
        </w:rPr>
        <w:t xml:space="preserve"> אם לא הוחזק שוטה </w:t>
      </w:r>
      <w:r>
        <w:rPr>
          <w:rFonts w:cs="Arial" w:hint="cs"/>
          <w:rtl/>
        </w:rPr>
        <w:t xml:space="preserve">דוקא </w:t>
      </w:r>
      <w:r w:rsidRPr="00F921C1">
        <w:rPr>
          <w:rFonts w:cs="Arial"/>
          <w:rtl/>
        </w:rPr>
        <w:t>בדברים האמורים בפ</w:t>
      </w:r>
      <w:r>
        <w:rPr>
          <w:rFonts w:cs="Arial" w:hint="cs"/>
          <w:rtl/>
        </w:rPr>
        <w:t>"</w:t>
      </w:r>
      <w:r w:rsidRPr="00F921C1">
        <w:rPr>
          <w:rFonts w:cs="Arial"/>
          <w:rtl/>
        </w:rPr>
        <w:t>ק דחגיגה הרי הוא כפקח לכל דבריו.</w:t>
      </w:r>
    </w:p>
    <w:p w14:paraId="6E90F428" w14:textId="77777777" w:rsidR="007C0828" w:rsidRPr="00C75A20" w:rsidRDefault="007C0828" w:rsidP="007C0828">
      <w:pPr>
        <w:pStyle w:val="ab"/>
        <w:numPr>
          <w:ilvl w:val="0"/>
          <w:numId w:val="20"/>
        </w:numPr>
        <w:rPr>
          <w:rFonts w:cs="Arial"/>
          <w:rtl/>
        </w:rPr>
      </w:pPr>
      <w:r w:rsidRPr="00F921C1">
        <w:rPr>
          <w:rFonts w:cs="Arial"/>
          <w:rtl/>
        </w:rPr>
        <w:t>רבינו שמחה משפירא</w:t>
      </w:r>
      <w:r w:rsidRPr="00F921C1">
        <w:rPr>
          <w:rFonts w:cs="Arial" w:hint="cs"/>
          <w:sz w:val="16"/>
          <w:szCs w:val="16"/>
          <w:rtl/>
        </w:rPr>
        <w:t xml:space="preserve"> (</w:t>
      </w:r>
      <w:r>
        <w:rPr>
          <w:rFonts w:cs="Arial" w:hint="cs"/>
          <w:sz w:val="16"/>
          <w:szCs w:val="16"/>
          <w:rtl/>
        </w:rPr>
        <w:t xml:space="preserve">הובא במהר"ם </w:t>
      </w:r>
      <w:r w:rsidRPr="00705D4B">
        <w:rPr>
          <w:rFonts w:cs="Arial"/>
          <w:sz w:val="16"/>
          <w:szCs w:val="16"/>
          <w:rtl/>
        </w:rPr>
        <w:t>דפוס פראג סי' תנה</w:t>
      </w:r>
      <w:r w:rsidRPr="00F921C1">
        <w:rPr>
          <w:rFonts w:cs="Arial" w:hint="cs"/>
          <w:sz w:val="16"/>
          <w:szCs w:val="16"/>
          <w:rtl/>
        </w:rPr>
        <w:t>)</w:t>
      </w:r>
      <w:r>
        <w:rPr>
          <w:rFonts w:cs="Arial" w:hint="cs"/>
          <w:rtl/>
        </w:rPr>
        <w:t>-</w:t>
      </w:r>
      <w:r w:rsidRPr="00F921C1">
        <w:rPr>
          <w:rFonts w:cs="Arial" w:hint="cs"/>
          <w:rtl/>
        </w:rPr>
        <w:t xml:space="preserve"> ל</w:t>
      </w:r>
      <w:r w:rsidRPr="00F921C1">
        <w:rPr>
          <w:rFonts w:cs="Arial"/>
          <w:rtl/>
        </w:rPr>
        <w:t>א מחזיקינן בחזקת שוטה לגרש עד שיראו בה סימני שטות המפורשים בפ</w:t>
      </w:r>
      <w:r>
        <w:rPr>
          <w:rFonts w:cs="Arial" w:hint="cs"/>
          <w:rtl/>
        </w:rPr>
        <w:t>"</w:t>
      </w:r>
      <w:r w:rsidRPr="00F921C1">
        <w:rPr>
          <w:rFonts w:cs="Arial"/>
          <w:rtl/>
        </w:rPr>
        <w:t xml:space="preserve">ק דחגיגה </w:t>
      </w:r>
      <w:r w:rsidRPr="00813C8C">
        <w:rPr>
          <w:rFonts w:cs="Arial"/>
          <w:sz w:val="16"/>
          <w:szCs w:val="16"/>
          <w:rtl/>
        </w:rPr>
        <w:t>(ג:)</w:t>
      </w:r>
      <w:r>
        <w:rPr>
          <w:rFonts w:cs="Arial" w:hint="cs"/>
          <w:rtl/>
        </w:rPr>
        <w:t xml:space="preserve">. </w:t>
      </w:r>
      <w:r w:rsidRPr="00F921C1">
        <w:rPr>
          <w:rFonts w:cs="Arial"/>
          <w:rtl/>
        </w:rPr>
        <w:t xml:space="preserve">ובירושלמי דמסכת תרומות </w:t>
      </w:r>
      <w:r w:rsidRPr="00813C8C">
        <w:rPr>
          <w:rFonts w:cs="Arial"/>
          <w:sz w:val="16"/>
          <w:szCs w:val="16"/>
          <w:rtl/>
        </w:rPr>
        <w:t xml:space="preserve">(פ"א ה"א) </w:t>
      </w:r>
      <w:r w:rsidRPr="00F921C1">
        <w:rPr>
          <w:rFonts w:cs="Arial"/>
          <w:rtl/>
        </w:rPr>
        <w:t>משמע עד שיראו בה כולם</w:t>
      </w:r>
      <w:r>
        <w:rPr>
          <w:rFonts w:cs="Arial" w:hint="cs"/>
          <w:rtl/>
        </w:rPr>
        <w:t xml:space="preserve">, </w:t>
      </w:r>
      <w:r w:rsidRPr="00F921C1">
        <w:rPr>
          <w:rFonts w:cs="Arial"/>
          <w:rtl/>
        </w:rPr>
        <w:t>ופליג קצת אגמרא דידן</w:t>
      </w:r>
      <w:r>
        <w:rPr>
          <w:rFonts w:cs="Arial" w:hint="cs"/>
          <w:rtl/>
        </w:rPr>
        <w:t>,</w:t>
      </w:r>
      <w:r w:rsidRPr="00F921C1">
        <w:rPr>
          <w:rFonts w:cs="Arial"/>
          <w:rtl/>
        </w:rPr>
        <w:t xml:space="preserve"> ועיקר סימן</w:t>
      </w:r>
      <w:r>
        <w:rPr>
          <w:rFonts w:cs="Arial" w:hint="cs"/>
          <w:rtl/>
        </w:rPr>
        <w:t xml:space="preserve"> -</w:t>
      </w:r>
      <w:r w:rsidRPr="00F921C1">
        <w:rPr>
          <w:rFonts w:cs="Arial"/>
          <w:rtl/>
        </w:rPr>
        <w:t xml:space="preserve"> זה המאבד מה שנותנין לו</w:t>
      </w:r>
      <w:r>
        <w:rPr>
          <w:rFonts w:cs="Arial" w:hint="cs"/>
          <w:rtl/>
        </w:rPr>
        <w:t>,</w:t>
      </w:r>
      <w:r w:rsidRPr="00F921C1">
        <w:rPr>
          <w:rFonts w:cs="Arial"/>
          <w:rtl/>
        </w:rPr>
        <w:t xml:space="preserve"> דומיא שטותא יתירתא חזא ביה דהוה משחרר עבדו </w:t>
      </w:r>
      <w:r w:rsidRPr="00813C8C">
        <w:rPr>
          <w:rFonts w:cs="Arial"/>
          <w:sz w:val="16"/>
          <w:szCs w:val="16"/>
          <w:rtl/>
        </w:rPr>
        <w:t>(ב</w:t>
      </w:r>
      <w:r>
        <w:rPr>
          <w:rFonts w:cs="Arial" w:hint="cs"/>
          <w:sz w:val="16"/>
          <w:szCs w:val="16"/>
          <w:rtl/>
        </w:rPr>
        <w:t>"</w:t>
      </w:r>
      <w:r w:rsidRPr="00813C8C">
        <w:rPr>
          <w:rFonts w:cs="Arial"/>
          <w:sz w:val="16"/>
          <w:szCs w:val="16"/>
          <w:rtl/>
        </w:rPr>
        <w:t>ב קנה:)</w:t>
      </w:r>
      <w:r>
        <w:rPr>
          <w:rFonts w:cs="Arial" w:hint="cs"/>
          <w:rtl/>
        </w:rPr>
        <w:t xml:space="preserve">, </w:t>
      </w:r>
      <w:r w:rsidRPr="00F921C1">
        <w:rPr>
          <w:rFonts w:cs="Arial"/>
          <w:rtl/>
        </w:rPr>
        <w:t>ובעוד שלא ראינו סימן זה אפילו בדיקה לא צריך והרי הוא בחזקת פיקח</w:t>
      </w:r>
      <w:r>
        <w:rPr>
          <w:rStyle w:val="a7"/>
          <w:rFonts w:cs="Arial"/>
          <w:rtl/>
        </w:rPr>
        <w:footnoteReference w:id="53"/>
      </w:r>
      <w:r w:rsidRPr="00F921C1">
        <w:rPr>
          <w:rFonts w:cs="Arial" w:hint="cs"/>
          <w:rtl/>
        </w:rPr>
        <w:t>.</w:t>
      </w:r>
      <w:r>
        <w:rPr>
          <w:rFonts w:cs="Arial" w:hint="cs"/>
          <w:rtl/>
        </w:rPr>
        <w:t xml:space="preserve"> </w:t>
      </w:r>
    </w:p>
    <w:bookmarkEnd w:id="7"/>
    <w:p w14:paraId="31DC441C" w14:textId="1E30627A" w:rsidR="00BC3490" w:rsidRPr="0055465C" w:rsidRDefault="00BC3490" w:rsidP="00BC3490">
      <w:pPr>
        <w:rPr>
          <w:rFonts w:cs="Arial"/>
          <w:u w:val="single"/>
          <w:rtl/>
        </w:rPr>
      </w:pPr>
      <w:r w:rsidRPr="0055465C">
        <w:rPr>
          <w:rFonts w:cs="Arial" w:hint="cs"/>
          <w:u w:val="single"/>
          <w:rtl/>
        </w:rPr>
        <w:t xml:space="preserve">אשה </w:t>
      </w:r>
      <w:r>
        <w:rPr>
          <w:rFonts w:cs="Arial" w:hint="cs"/>
          <w:u w:val="single"/>
          <w:rtl/>
        </w:rPr>
        <w:t xml:space="preserve">עתים שוטה עתים חלומה </w:t>
      </w:r>
      <w:r w:rsidR="00A82951">
        <w:rPr>
          <w:rFonts w:cs="Arial" w:hint="cs"/>
          <w:u w:val="single"/>
          <w:rtl/>
        </w:rPr>
        <w:t>-</w:t>
      </w:r>
      <w:r>
        <w:rPr>
          <w:rFonts w:cs="Arial" w:hint="cs"/>
          <w:u w:val="single"/>
          <w:rtl/>
        </w:rPr>
        <w:t xml:space="preserve"> האם ניתן לגרשה:</w:t>
      </w:r>
    </w:p>
    <w:p w14:paraId="6A2DA961" w14:textId="08440C9A" w:rsidR="00BC3490" w:rsidRDefault="00BC3490" w:rsidP="00BC3490">
      <w:pPr>
        <w:pStyle w:val="ab"/>
        <w:numPr>
          <w:ilvl w:val="0"/>
          <w:numId w:val="18"/>
        </w:numPr>
      </w:pPr>
      <w:r w:rsidRPr="00705D4B">
        <w:rPr>
          <w:rFonts w:cs="Arial"/>
          <w:rtl/>
        </w:rPr>
        <w:t>מהר"ם</w:t>
      </w:r>
      <w:r w:rsidRPr="00705D4B">
        <w:rPr>
          <w:rFonts w:cs="Arial"/>
          <w:sz w:val="16"/>
          <w:szCs w:val="16"/>
          <w:rtl/>
        </w:rPr>
        <w:t xml:space="preserve"> </w:t>
      </w:r>
      <w:r w:rsidRPr="00705D4B">
        <w:rPr>
          <w:rFonts w:cs="Arial" w:hint="cs"/>
          <w:sz w:val="16"/>
          <w:szCs w:val="16"/>
          <w:rtl/>
        </w:rPr>
        <w:t>(</w:t>
      </w:r>
      <w:r w:rsidRPr="00705D4B">
        <w:rPr>
          <w:rFonts w:cs="Arial"/>
          <w:sz w:val="16"/>
          <w:szCs w:val="16"/>
          <w:rtl/>
        </w:rPr>
        <w:t>דפוס פראג סי' תנה</w:t>
      </w:r>
      <w:r w:rsidRPr="00705D4B">
        <w:rPr>
          <w:rFonts w:cs="Arial" w:hint="cs"/>
          <w:sz w:val="16"/>
          <w:szCs w:val="16"/>
          <w:rtl/>
        </w:rPr>
        <w:t>,</w:t>
      </w:r>
      <w:r w:rsidRPr="00705D4B">
        <w:rPr>
          <w:rFonts w:cs="Arial"/>
          <w:sz w:val="16"/>
          <w:szCs w:val="16"/>
          <w:rtl/>
        </w:rPr>
        <w:t xml:space="preserve"> ואו</w:t>
      </w:r>
      <w:r>
        <w:rPr>
          <w:rFonts w:cs="Arial" w:hint="cs"/>
          <w:sz w:val="16"/>
          <w:szCs w:val="16"/>
          <w:rtl/>
        </w:rPr>
        <w:t>"</w:t>
      </w:r>
      <w:r w:rsidRPr="00705D4B">
        <w:rPr>
          <w:rFonts w:cs="Arial"/>
          <w:sz w:val="16"/>
          <w:szCs w:val="16"/>
          <w:rtl/>
        </w:rPr>
        <w:t>ז הל' גיטין סי' תשעח</w:t>
      </w:r>
      <w:r w:rsidRPr="00705D4B">
        <w:rPr>
          <w:rFonts w:cs="Arial" w:hint="cs"/>
          <w:sz w:val="16"/>
          <w:szCs w:val="16"/>
          <w:rtl/>
        </w:rPr>
        <w:t>, הביא הב"י בשם מצאתי כתוב</w:t>
      </w:r>
      <w:r w:rsidRPr="00705D4B">
        <w:rPr>
          <w:rFonts w:cs="Arial"/>
          <w:sz w:val="16"/>
          <w:szCs w:val="16"/>
          <w:rtl/>
        </w:rPr>
        <w:t>)</w:t>
      </w:r>
      <w:r w:rsidR="00A82951">
        <w:rPr>
          <w:rFonts w:cs="Arial" w:hint="cs"/>
          <w:rtl/>
        </w:rPr>
        <w:t>-</w:t>
      </w:r>
      <w:r>
        <w:rPr>
          <w:rFonts w:cs="Arial" w:hint="cs"/>
          <w:rtl/>
        </w:rPr>
        <w:t xml:space="preserve"> </w:t>
      </w:r>
      <w:r w:rsidRPr="00705D4B">
        <w:rPr>
          <w:rFonts w:cs="Arial"/>
          <w:rtl/>
        </w:rPr>
        <w:t>אשה שהיתה רגילה להיות מטורפת חדש או חדשים ואחר כך נתרפאת לגמרי</w:t>
      </w:r>
      <w:r>
        <w:rPr>
          <w:rFonts w:cs="Arial" w:hint="cs"/>
          <w:rtl/>
        </w:rPr>
        <w:t>.</w:t>
      </w:r>
      <w:r w:rsidRPr="00705D4B">
        <w:rPr>
          <w:rFonts w:cs="Arial"/>
          <w:rtl/>
        </w:rPr>
        <w:t xml:space="preserve"> ובשעה שקבלה גיטה שאלוה אם היתה יודעת מה הוא גט</w:t>
      </w:r>
      <w:r>
        <w:rPr>
          <w:rFonts w:cs="Arial" w:hint="cs"/>
          <w:rtl/>
        </w:rPr>
        <w:t>,</w:t>
      </w:r>
      <w:r w:rsidRPr="00705D4B">
        <w:rPr>
          <w:rFonts w:cs="Arial"/>
          <w:rtl/>
        </w:rPr>
        <w:t xml:space="preserve"> והשיבה על ראשון ראשון ועל אחרון אחרון</w:t>
      </w:r>
      <w:r>
        <w:rPr>
          <w:rFonts w:cs="Arial" w:hint="cs"/>
          <w:rtl/>
        </w:rPr>
        <w:t>.</w:t>
      </w:r>
      <w:r w:rsidRPr="00705D4B">
        <w:rPr>
          <w:rFonts w:cs="Arial"/>
          <w:rtl/>
        </w:rPr>
        <w:t xml:space="preserve"> וגם מתחלה מיאנה לקבל גט שהחותמות שהחזיר לה בעלה היו ביד אמה פן תעכב אותם האם</w:t>
      </w:r>
      <w:r>
        <w:rPr>
          <w:rFonts w:cs="Arial" w:hint="cs"/>
          <w:rtl/>
        </w:rPr>
        <w:t>.</w:t>
      </w:r>
      <w:r w:rsidRPr="00705D4B">
        <w:rPr>
          <w:rFonts w:cs="Arial"/>
          <w:rtl/>
        </w:rPr>
        <w:t xml:space="preserve"> והשיב רבינו שמשון ב"ר אברהם דודאי דעת</w:t>
      </w:r>
      <w:r>
        <w:rPr>
          <w:rFonts w:cs="Arial" w:hint="cs"/>
          <w:rtl/>
        </w:rPr>
        <w:t>ה</w:t>
      </w:r>
      <w:r w:rsidRPr="00705D4B">
        <w:rPr>
          <w:rFonts w:cs="Arial"/>
          <w:rtl/>
        </w:rPr>
        <w:t xml:space="preserve"> צילותא הוה לה</w:t>
      </w:r>
      <w:r>
        <w:rPr>
          <w:rFonts w:cs="Arial" w:hint="cs"/>
          <w:rtl/>
        </w:rPr>
        <w:t>,</w:t>
      </w:r>
      <w:r w:rsidRPr="00705D4B">
        <w:rPr>
          <w:rFonts w:cs="Arial"/>
          <w:rtl/>
        </w:rPr>
        <w:t xml:space="preserve"> ואפילו </w:t>
      </w:r>
      <w:r>
        <w:rPr>
          <w:rFonts w:cs="Arial" w:hint="cs"/>
          <w:rtl/>
        </w:rPr>
        <w:t xml:space="preserve">[אינה] </w:t>
      </w:r>
      <w:r w:rsidRPr="00705D4B">
        <w:rPr>
          <w:rFonts w:cs="Arial"/>
          <w:rtl/>
        </w:rPr>
        <w:t>מבחנת בין גיטה לדבר אחר חשיבא יודעת לשמור גיטה בפרק התקבל (גיטין סד:)</w:t>
      </w:r>
      <w:r>
        <w:rPr>
          <w:rFonts w:cs="Arial" w:hint="cs"/>
          <w:rtl/>
        </w:rPr>
        <w:t>.</w:t>
      </w:r>
      <w:r w:rsidRPr="00705D4B">
        <w:rPr>
          <w:rFonts w:cs="Arial"/>
          <w:rtl/>
        </w:rPr>
        <w:t xml:space="preserve"> אלא היכא דאין יודעת לשמור גיטה </w:t>
      </w:r>
      <w:r w:rsidR="00A82951">
        <w:rPr>
          <w:rFonts w:cs="Arial" w:hint="cs"/>
          <w:rtl/>
        </w:rPr>
        <w:t>-</w:t>
      </w:r>
      <w:r>
        <w:rPr>
          <w:rFonts w:cs="Arial" w:hint="cs"/>
          <w:rtl/>
        </w:rPr>
        <w:t xml:space="preserve"> </w:t>
      </w:r>
      <w:r w:rsidRPr="00705D4B">
        <w:rPr>
          <w:rFonts w:cs="Arial"/>
          <w:rtl/>
        </w:rPr>
        <w:t>אינה מתגרשת</w:t>
      </w:r>
      <w:r>
        <w:rPr>
          <w:rFonts w:cs="Arial" w:hint="cs"/>
          <w:rtl/>
        </w:rPr>
        <w:t>,</w:t>
      </w:r>
      <w:r w:rsidRPr="00705D4B">
        <w:rPr>
          <w:rFonts w:cs="Arial"/>
          <w:rtl/>
        </w:rPr>
        <w:t xml:space="preserve"> ועתים שוטה ועתים חלומה כך הוא דינה</w:t>
      </w:r>
      <w:r>
        <w:rPr>
          <w:rFonts w:cs="Arial" w:hint="cs"/>
          <w:rtl/>
        </w:rPr>
        <w:t>,</w:t>
      </w:r>
      <w:r w:rsidRPr="00705D4B">
        <w:rPr>
          <w:rFonts w:cs="Arial"/>
          <w:rtl/>
        </w:rPr>
        <w:t xml:space="preserve"> כדמוכח פרק חרש בירושלמי (יבמות פי"ד ה"א)</w:t>
      </w:r>
      <w:r>
        <w:rPr>
          <w:rFonts w:cs="Arial" w:hint="cs"/>
          <w:rtl/>
        </w:rPr>
        <w:t>.</w:t>
      </w:r>
      <w:r w:rsidRPr="00705D4B">
        <w:rPr>
          <w:rFonts w:cs="Arial"/>
          <w:rtl/>
        </w:rPr>
        <w:t xml:space="preserve"> ואני איני רגיל להפך הגירסא</w:t>
      </w:r>
      <w:r>
        <w:rPr>
          <w:rFonts w:cs="Arial" w:hint="cs"/>
          <w:rtl/>
        </w:rPr>
        <w:t>,</w:t>
      </w:r>
      <w:r w:rsidRPr="00705D4B">
        <w:rPr>
          <w:rFonts w:cs="Arial"/>
          <w:rtl/>
        </w:rPr>
        <w:t xml:space="preserve"> אלא שדילג הסופר </w:t>
      </w:r>
      <w:r>
        <w:rPr>
          <w:rFonts w:cs="Arial" w:hint="cs"/>
          <w:rtl/>
        </w:rPr>
        <w:t>'</w:t>
      </w:r>
      <w:r w:rsidRPr="00705D4B">
        <w:rPr>
          <w:rFonts w:cs="Arial"/>
          <w:rtl/>
        </w:rPr>
        <w:t>יכולה לשמור גיטה</w:t>
      </w:r>
      <w:r>
        <w:rPr>
          <w:rFonts w:cs="Arial" w:hint="cs"/>
          <w:rtl/>
        </w:rPr>
        <w:t>'</w:t>
      </w:r>
      <w:r w:rsidRPr="00705D4B">
        <w:rPr>
          <w:rFonts w:cs="Arial"/>
          <w:rtl/>
        </w:rPr>
        <w:t xml:space="preserve"> שראה שני פעמים כתוב לפניו </w:t>
      </w:r>
      <w:r>
        <w:rPr>
          <w:rFonts w:cs="Arial" w:hint="cs"/>
          <w:rtl/>
        </w:rPr>
        <w:t>'</w:t>
      </w:r>
      <w:r w:rsidRPr="00705D4B">
        <w:rPr>
          <w:rFonts w:cs="Arial"/>
          <w:rtl/>
        </w:rPr>
        <w:t>יכולה לשמור את גיטה</w:t>
      </w:r>
      <w:r>
        <w:rPr>
          <w:rFonts w:cs="Arial" w:hint="cs"/>
          <w:rtl/>
        </w:rPr>
        <w:t>',</w:t>
      </w:r>
      <w:r w:rsidRPr="00705D4B">
        <w:rPr>
          <w:rFonts w:cs="Arial"/>
          <w:rtl/>
        </w:rPr>
        <w:t xml:space="preserve"> וחשב בלבו שאחד טעות ודילגו</w:t>
      </w:r>
      <w:r>
        <w:rPr>
          <w:rFonts w:cs="Arial" w:hint="cs"/>
          <w:rtl/>
        </w:rPr>
        <w:t>.</w:t>
      </w:r>
      <w:r w:rsidRPr="00705D4B">
        <w:rPr>
          <w:rFonts w:cs="Arial"/>
          <w:rtl/>
        </w:rPr>
        <w:t xml:space="preserve"> וכך היא הגירסא </w:t>
      </w:r>
      <w:r>
        <w:rPr>
          <w:rFonts w:cs="Arial" w:hint="cs"/>
          <w:rtl/>
        </w:rPr>
        <w:t>'</w:t>
      </w:r>
      <w:r w:rsidRPr="00705D4B">
        <w:rPr>
          <w:rFonts w:cs="Arial"/>
          <w:rtl/>
        </w:rPr>
        <w:t>מאן דאמר מפני גרירא אסור מאן דאמר מפני שאינה יכולה לשמור עתים חלומה ויכולה לשמור את גיטה</w:t>
      </w:r>
      <w:r>
        <w:rPr>
          <w:rFonts w:cs="Arial" w:hint="cs"/>
          <w:rtl/>
        </w:rPr>
        <w:t>'.</w:t>
      </w:r>
      <w:r w:rsidRPr="00705D4B">
        <w:rPr>
          <w:rFonts w:cs="Arial"/>
          <w:rtl/>
        </w:rPr>
        <w:t xml:space="preserve"> וכל הנך תרתי מילי</w:t>
      </w:r>
      <w:r>
        <w:rPr>
          <w:rFonts w:cs="Arial" w:hint="cs"/>
          <w:rtl/>
        </w:rPr>
        <w:t xml:space="preserve">, </w:t>
      </w:r>
      <w:r w:rsidRPr="00705D4B">
        <w:rPr>
          <w:rFonts w:cs="Arial"/>
          <w:rtl/>
        </w:rPr>
        <w:t>מפני גרירא אינו גט</w:t>
      </w:r>
      <w:r>
        <w:rPr>
          <w:rFonts w:cs="Arial" w:hint="cs"/>
          <w:rtl/>
        </w:rPr>
        <w:t>.</w:t>
      </w:r>
      <w:r w:rsidRPr="00705D4B">
        <w:rPr>
          <w:rFonts w:cs="Arial"/>
          <w:rtl/>
        </w:rPr>
        <w:t xml:space="preserve"> ואלו הן השלשה</w:t>
      </w:r>
      <w:r>
        <w:rPr>
          <w:rFonts w:cs="Arial" w:hint="cs"/>
          <w:rtl/>
        </w:rPr>
        <w:t>:</w:t>
      </w:r>
      <w:r w:rsidRPr="00705D4B">
        <w:rPr>
          <w:rFonts w:cs="Arial"/>
          <w:rtl/>
        </w:rPr>
        <w:t xml:space="preserve"> חדא</w:t>
      </w:r>
      <w:r>
        <w:rPr>
          <w:rFonts w:cs="Arial" w:hint="cs"/>
          <w:rtl/>
        </w:rPr>
        <w:t>,</w:t>
      </w:r>
      <w:r w:rsidRPr="00705D4B">
        <w:rPr>
          <w:rFonts w:cs="Arial"/>
          <w:rtl/>
        </w:rPr>
        <w:t xml:space="preserve"> דיודעת לשמור גיטה ואינה יודעת לשמור עצמה</w:t>
      </w:r>
      <w:r>
        <w:rPr>
          <w:rFonts w:cs="Arial" w:hint="cs"/>
          <w:rtl/>
        </w:rPr>
        <w:t>.</w:t>
      </w:r>
      <w:r w:rsidRPr="00705D4B">
        <w:rPr>
          <w:rFonts w:cs="Arial"/>
          <w:rtl/>
        </w:rPr>
        <w:t xml:space="preserve"> וחדא</w:t>
      </w:r>
      <w:r>
        <w:rPr>
          <w:rFonts w:cs="Arial" w:hint="cs"/>
          <w:rtl/>
        </w:rPr>
        <w:t>,</w:t>
      </w:r>
      <w:r w:rsidRPr="00705D4B">
        <w:rPr>
          <w:rFonts w:cs="Arial"/>
          <w:rtl/>
        </w:rPr>
        <w:t xml:space="preserve"> אין יודעת לשמור את גיטה ולא את עצמה ויש לה אב והיא קטנה ארוסה</w:t>
      </w:r>
      <w:r>
        <w:rPr>
          <w:rFonts w:cs="Arial" w:hint="cs"/>
          <w:rtl/>
        </w:rPr>
        <w:t>.</w:t>
      </w:r>
      <w:r w:rsidRPr="00705D4B">
        <w:rPr>
          <w:rFonts w:cs="Arial"/>
          <w:rtl/>
        </w:rPr>
        <w:t xml:space="preserve"> ואידך</w:t>
      </w:r>
      <w:r>
        <w:rPr>
          <w:rFonts w:cs="Arial" w:hint="cs"/>
          <w:rtl/>
        </w:rPr>
        <w:t>,</w:t>
      </w:r>
      <w:r w:rsidRPr="00705D4B">
        <w:rPr>
          <w:rFonts w:cs="Arial"/>
          <w:rtl/>
        </w:rPr>
        <w:t xml:space="preserve"> פעמים חלומה פעמים שוטה</w:t>
      </w:r>
      <w:r>
        <w:rPr>
          <w:rFonts w:cs="Arial" w:hint="cs"/>
          <w:rtl/>
        </w:rPr>
        <w:t>.</w:t>
      </w:r>
      <w:r w:rsidRPr="00705D4B">
        <w:rPr>
          <w:rFonts w:cs="Arial"/>
          <w:rtl/>
        </w:rPr>
        <w:t xml:space="preserve"> וקיימא לן דמפני גרירא</w:t>
      </w:r>
      <w:r>
        <w:rPr>
          <w:rFonts w:cs="Arial" w:hint="cs"/>
          <w:rtl/>
        </w:rPr>
        <w:t>.</w:t>
      </w:r>
      <w:r w:rsidRPr="00705D4B">
        <w:rPr>
          <w:rFonts w:cs="Arial"/>
          <w:rtl/>
        </w:rPr>
        <w:t xml:space="preserve"> דהיינו רבי יצחק ורבי ינאי שהובאו דבריהם בתלמוד (יבמות קיג:)</w:t>
      </w:r>
      <w:r>
        <w:rPr>
          <w:rFonts w:cs="Arial" w:hint="cs"/>
          <w:rtl/>
        </w:rPr>
        <w:t>.</w:t>
      </w:r>
      <w:r w:rsidRPr="00705D4B">
        <w:rPr>
          <w:rFonts w:cs="Arial"/>
          <w:rtl/>
        </w:rPr>
        <w:t xml:space="preserve"> ודברי רבי זירא לא הובאו בתלמוד לחלוק עליו</w:t>
      </w:r>
      <w:r>
        <w:rPr>
          <w:rFonts w:cs="Arial" w:hint="cs"/>
          <w:rtl/>
        </w:rPr>
        <w:t>.</w:t>
      </w:r>
      <w:r w:rsidRPr="00705D4B">
        <w:rPr>
          <w:rFonts w:cs="Arial"/>
          <w:rtl/>
        </w:rPr>
        <w:t xml:space="preserve"> והאי עובדא דאתא לידן</w:t>
      </w:r>
      <w:r>
        <w:rPr>
          <w:rFonts w:cs="Arial" w:hint="cs"/>
          <w:rtl/>
        </w:rPr>
        <w:t>,</w:t>
      </w:r>
      <w:r w:rsidRPr="00705D4B">
        <w:rPr>
          <w:rFonts w:cs="Arial"/>
          <w:rtl/>
        </w:rPr>
        <w:t xml:space="preserve"> אם עתים חלומה עתים שוטה </w:t>
      </w:r>
      <w:r w:rsidR="00A82951">
        <w:rPr>
          <w:rFonts w:cs="Arial" w:hint="cs"/>
          <w:rtl/>
        </w:rPr>
        <w:t>-</w:t>
      </w:r>
      <w:r>
        <w:rPr>
          <w:rFonts w:cs="Arial" w:hint="cs"/>
          <w:rtl/>
        </w:rPr>
        <w:t xml:space="preserve"> </w:t>
      </w:r>
      <w:r w:rsidRPr="00705D4B">
        <w:rPr>
          <w:rFonts w:cs="Arial"/>
          <w:rtl/>
        </w:rPr>
        <w:t>אינה מתגרשת</w:t>
      </w:r>
      <w:r>
        <w:rPr>
          <w:rFonts w:cs="Arial" w:hint="cs"/>
          <w:rtl/>
        </w:rPr>
        <w:t>.</w:t>
      </w:r>
      <w:r w:rsidRPr="00705D4B">
        <w:rPr>
          <w:rFonts w:cs="Arial"/>
          <w:rtl/>
        </w:rPr>
        <w:t xml:space="preserve"> אבל אם באקראי בעלמא נשתטית ונתרפאת ונשתטית ושוב נתרפאת</w:t>
      </w:r>
      <w:r>
        <w:rPr>
          <w:rFonts w:cs="Arial" w:hint="cs"/>
          <w:rtl/>
        </w:rPr>
        <w:t>,</w:t>
      </w:r>
      <w:r w:rsidRPr="00705D4B">
        <w:rPr>
          <w:rFonts w:cs="Arial"/>
          <w:rtl/>
        </w:rPr>
        <w:t xml:space="preserve"> הואיל ואין לה וסת </w:t>
      </w:r>
      <w:r w:rsidR="00A82951">
        <w:rPr>
          <w:rFonts w:cs="Arial" w:hint="cs"/>
          <w:rtl/>
        </w:rPr>
        <w:t>-</w:t>
      </w:r>
      <w:r>
        <w:rPr>
          <w:rFonts w:cs="Arial" w:hint="cs"/>
          <w:rtl/>
        </w:rPr>
        <w:t xml:space="preserve"> </w:t>
      </w:r>
      <w:r w:rsidRPr="00705D4B">
        <w:rPr>
          <w:rFonts w:cs="Arial"/>
          <w:rtl/>
        </w:rPr>
        <w:t>אין לחוש שתחזור לשטות מחמת תרי זימני</w:t>
      </w:r>
      <w:r>
        <w:rPr>
          <w:rFonts w:cs="Arial" w:hint="cs"/>
          <w:rtl/>
        </w:rPr>
        <w:t>.</w:t>
      </w:r>
      <w:r w:rsidRPr="00705D4B">
        <w:rPr>
          <w:rFonts w:cs="Arial"/>
          <w:rtl/>
        </w:rPr>
        <w:t xml:space="preserve"> וכהאי גוונא לא מקריא עתים חלומה עתים שוטה</w:t>
      </w:r>
      <w:r>
        <w:rPr>
          <w:rFonts w:cs="Arial" w:hint="cs"/>
          <w:rtl/>
        </w:rPr>
        <w:t>.</w:t>
      </w:r>
      <w:r w:rsidRPr="00705D4B">
        <w:rPr>
          <w:rFonts w:cs="Arial"/>
          <w:rtl/>
        </w:rPr>
        <w:t xml:space="preserve"> ושלום שמשון בר ר' אברהם</w:t>
      </w:r>
      <w:r>
        <w:rPr>
          <w:rStyle w:val="a7"/>
          <w:rFonts w:cs="Arial"/>
          <w:rtl/>
        </w:rPr>
        <w:footnoteReference w:id="54"/>
      </w:r>
      <w:r>
        <w:rPr>
          <w:rFonts w:cs="Arial" w:hint="cs"/>
          <w:rtl/>
        </w:rPr>
        <w:t>.</w:t>
      </w:r>
      <w:r w:rsidRPr="00705D4B">
        <w:rPr>
          <w:rFonts w:cs="Arial"/>
          <w:rtl/>
        </w:rPr>
        <w:t xml:space="preserve"> </w:t>
      </w:r>
    </w:p>
    <w:p w14:paraId="74C7EBD1" w14:textId="5EA6A44E" w:rsidR="00BC3490" w:rsidRDefault="00BC3490" w:rsidP="00BC3490">
      <w:pPr>
        <w:pStyle w:val="ab"/>
        <w:numPr>
          <w:ilvl w:val="0"/>
          <w:numId w:val="18"/>
        </w:numPr>
      </w:pPr>
      <w:r w:rsidRPr="00EC459D">
        <w:rPr>
          <w:rFonts w:cs="Arial"/>
          <w:rtl/>
        </w:rPr>
        <w:t>תוס</w:t>
      </w:r>
      <w:r>
        <w:rPr>
          <w:rFonts w:cs="Arial" w:hint="cs"/>
          <w:rtl/>
        </w:rPr>
        <w:t>'</w:t>
      </w:r>
      <w:r w:rsidRPr="00EC459D">
        <w:rPr>
          <w:rFonts w:cs="Arial"/>
          <w:rtl/>
        </w:rPr>
        <w:t xml:space="preserve"> </w:t>
      </w:r>
      <w:r w:rsidRPr="00D61B94">
        <w:rPr>
          <w:rFonts w:cs="Arial"/>
          <w:sz w:val="16"/>
          <w:szCs w:val="16"/>
          <w:rtl/>
        </w:rPr>
        <w:t>(</w:t>
      </w:r>
      <w:r w:rsidRPr="00D61B94">
        <w:rPr>
          <w:rFonts w:cs="Arial" w:hint="cs"/>
          <w:sz w:val="16"/>
          <w:szCs w:val="16"/>
          <w:rtl/>
        </w:rPr>
        <w:t>יבמות קיג: ד"ה יצתה</w:t>
      </w:r>
      <w:r w:rsidRPr="00D61B94">
        <w:rPr>
          <w:rFonts w:cs="Arial"/>
          <w:sz w:val="16"/>
          <w:szCs w:val="16"/>
          <w:rtl/>
        </w:rPr>
        <w:t>)</w:t>
      </w:r>
      <w:r w:rsidRPr="00EC459D">
        <w:rPr>
          <w:rFonts w:cs="Arial"/>
          <w:rtl/>
        </w:rPr>
        <w:t xml:space="preserve"> </w:t>
      </w:r>
      <w:r>
        <w:rPr>
          <w:rFonts w:cs="Arial" w:hint="cs"/>
          <w:rtl/>
        </w:rPr>
        <w:t xml:space="preserve">מרדכי </w:t>
      </w:r>
      <w:r>
        <w:rPr>
          <w:rFonts w:cs="Arial" w:hint="cs"/>
          <w:sz w:val="16"/>
          <w:szCs w:val="16"/>
          <w:rtl/>
        </w:rPr>
        <w:t>(גיטין סי' תיב)</w:t>
      </w:r>
      <w:r>
        <w:rPr>
          <w:rFonts w:cs="Arial" w:hint="cs"/>
          <w:rtl/>
        </w:rPr>
        <w:t xml:space="preserve"> ורא"ש</w:t>
      </w:r>
      <w:r w:rsidRPr="00EC459D">
        <w:rPr>
          <w:rFonts w:cs="Arial"/>
          <w:rtl/>
        </w:rPr>
        <w:t xml:space="preserve"> </w:t>
      </w:r>
      <w:r w:rsidRPr="00D61B94">
        <w:rPr>
          <w:rFonts w:cs="Arial" w:hint="cs"/>
          <w:sz w:val="16"/>
          <w:szCs w:val="16"/>
          <w:rtl/>
        </w:rPr>
        <w:t>(</w:t>
      </w:r>
      <w:r w:rsidRPr="00D61B94">
        <w:rPr>
          <w:rFonts w:cs="Arial"/>
          <w:sz w:val="16"/>
          <w:szCs w:val="16"/>
          <w:rtl/>
        </w:rPr>
        <w:t>ר</w:t>
      </w:r>
      <w:r w:rsidRPr="00D61B94">
        <w:rPr>
          <w:rFonts w:cs="Arial" w:hint="cs"/>
          <w:sz w:val="16"/>
          <w:szCs w:val="16"/>
          <w:rtl/>
        </w:rPr>
        <w:t>"</w:t>
      </w:r>
      <w:r w:rsidRPr="00D61B94">
        <w:rPr>
          <w:rFonts w:cs="Arial"/>
          <w:sz w:val="16"/>
          <w:szCs w:val="16"/>
          <w:rtl/>
        </w:rPr>
        <w:t>פ חרש סי' ג)</w:t>
      </w:r>
      <w:r w:rsidR="00A82951">
        <w:rPr>
          <w:rFonts w:cs="Arial" w:hint="cs"/>
          <w:rtl/>
        </w:rPr>
        <w:t>-</w:t>
      </w:r>
      <w:r w:rsidRPr="00EC459D">
        <w:rPr>
          <w:rFonts w:cs="Arial"/>
          <w:rtl/>
        </w:rPr>
        <w:t xml:space="preserve"> עתים חלומה ועתים שוטה</w:t>
      </w:r>
      <w:r>
        <w:rPr>
          <w:rFonts w:cs="Arial" w:hint="cs"/>
          <w:rtl/>
        </w:rPr>
        <w:t xml:space="preserve">, אם גירשה </w:t>
      </w:r>
      <w:r w:rsidR="00A82951">
        <w:rPr>
          <w:rFonts w:cs="Arial" w:hint="cs"/>
          <w:rtl/>
        </w:rPr>
        <w:t>-</w:t>
      </w:r>
      <w:r>
        <w:rPr>
          <w:rFonts w:cs="Arial" w:hint="cs"/>
          <w:rtl/>
        </w:rPr>
        <w:t xml:space="preserve"> בדיעבד מגורשת.</w:t>
      </w:r>
      <w:r w:rsidRPr="00EC459D">
        <w:rPr>
          <w:rFonts w:cs="Arial"/>
          <w:rtl/>
        </w:rPr>
        <w:t xml:space="preserve"> </w:t>
      </w:r>
    </w:p>
    <w:p w14:paraId="34AE9B40" w14:textId="4C58CB07" w:rsidR="00BC3490" w:rsidRPr="00642940" w:rsidRDefault="00BC3490" w:rsidP="00BC3490">
      <w:pPr>
        <w:pStyle w:val="ab"/>
        <w:numPr>
          <w:ilvl w:val="0"/>
          <w:numId w:val="18"/>
        </w:numPr>
      </w:pPr>
      <w:r>
        <w:rPr>
          <w:rFonts w:cs="Arial" w:hint="cs"/>
          <w:rtl/>
        </w:rPr>
        <w:lastRenderedPageBreak/>
        <w:t xml:space="preserve">תרוה"ד </w:t>
      </w:r>
      <w:r w:rsidRPr="00486C31">
        <w:rPr>
          <w:rFonts w:cs="Arial" w:hint="cs"/>
          <w:sz w:val="16"/>
          <w:szCs w:val="16"/>
          <w:rtl/>
        </w:rPr>
        <w:t>(</w:t>
      </w:r>
      <w:r w:rsidRPr="00486C31">
        <w:rPr>
          <w:rFonts w:cs="Arial"/>
          <w:sz w:val="16"/>
          <w:szCs w:val="16"/>
          <w:rtl/>
        </w:rPr>
        <w:t>סי</w:t>
      </w:r>
      <w:r w:rsidRPr="00486C31">
        <w:rPr>
          <w:rFonts w:cs="Arial" w:hint="cs"/>
          <w:sz w:val="16"/>
          <w:szCs w:val="16"/>
          <w:rtl/>
        </w:rPr>
        <w:t>'</w:t>
      </w:r>
      <w:r w:rsidRPr="00486C31">
        <w:rPr>
          <w:rFonts w:cs="Arial"/>
          <w:sz w:val="16"/>
          <w:szCs w:val="16"/>
          <w:rtl/>
        </w:rPr>
        <w:t xml:space="preserve"> רטו</w:t>
      </w:r>
      <w:r w:rsidRPr="00486C31">
        <w:rPr>
          <w:rFonts w:cs="Arial" w:hint="cs"/>
          <w:sz w:val="16"/>
          <w:szCs w:val="16"/>
          <w:rtl/>
        </w:rPr>
        <w:t>)</w:t>
      </w:r>
      <w:r w:rsidR="00A82951">
        <w:rPr>
          <w:rFonts w:cs="Arial" w:hint="cs"/>
          <w:rtl/>
        </w:rPr>
        <w:t>-</w:t>
      </w:r>
      <w:r>
        <w:rPr>
          <w:rFonts w:cs="Arial" w:hint="cs"/>
          <w:rtl/>
        </w:rPr>
        <w:t xml:space="preserve"> </w:t>
      </w:r>
      <w:r w:rsidRPr="00EC459D">
        <w:rPr>
          <w:rFonts w:cs="Arial"/>
          <w:rtl/>
        </w:rPr>
        <w:t>וכבר עשה החכם ונתן הגט מפני שהיה נראה לו שתשאר בחלימותה ויצא הדבר להיתר לא מהדרינן עובדא</w:t>
      </w:r>
      <w:r>
        <w:rPr>
          <w:rFonts w:cs="Arial" w:hint="cs"/>
          <w:rtl/>
        </w:rPr>
        <w:t>.</w:t>
      </w:r>
      <w:r w:rsidRPr="00486C31">
        <w:rPr>
          <w:rFonts w:hint="cs"/>
          <w:color w:val="00B0F0"/>
          <w:rtl/>
        </w:rPr>
        <w:t xml:space="preserve"> </w:t>
      </w:r>
      <w:r w:rsidRPr="002666AC">
        <w:rPr>
          <w:rFonts w:hint="cs"/>
          <w:color w:val="00B0F0"/>
          <w:rtl/>
        </w:rPr>
        <w:t>(וכ"פ הרמ</w:t>
      </w:r>
      <w:r>
        <w:rPr>
          <w:rFonts w:hint="cs"/>
          <w:color w:val="00B0F0"/>
          <w:rtl/>
        </w:rPr>
        <w:t>"א)</w:t>
      </w:r>
    </w:p>
    <w:p w14:paraId="0D3F5BFE" w14:textId="77777777" w:rsidR="000F4DF0" w:rsidRPr="007B74F1" w:rsidRDefault="000F4DF0" w:rsidP="000F4DF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DCB0B6C" w14:textId="73014A11" w:rsidR="00C71ED5" w:rsidRDefault="007B74F1" w:rsidP="003F541A">
      <w:pPr>
        <w:rPr>
          <w:rFonts w:cs="Arial"/>
          <w:rtl/>
        </w:rPr>
      </w:pPr>
      <w:r w:rsidRPr="007B74F1">
        <w:rPr>
          <w:rFonts w:cs="Arial"/>
          <w:rtl/>
        </w:rPr>
        <w:t xml:space="preserve">יכול לגרשה בלא דעתה. </w:t>
      </w:r>
      <w:r w:rsidRPr="00054A1B">
        <w:rPr>
          <w:rFonts w:cs="Arial"/>
          <w:sz w:val="18"/>
          <w:szCs w:val="18"/>
          <w:rtl/>
        </w:rPr>
        <w:t>הגה: ואפילו אין לו לשלם לה הכתובה ונדונייתה, אינה יכולה לעכב משום זה הגירושין, אלא תתגרש ותתבע אותו מה שחייב לה</w:t>
      </w:r>
      <w:r w:rsidR="00C42A38">
        <w:rPr>
          <w:rStyle w:val="a7"/>
          <w:rFonts w:cs="Arial"/>
          <w:sz w:val="18"/>
          <w:szCs w:val="18"/>
          <w:rtl/>
        </w:rPr>
        <w:footnoteReference w:id="55"/>
      </w:r>
      <w:r w:rsidRPr="00054A1B">
        <w:rPr>
          <w:rFonts w:cs="Arial"/>
          <w:sz w:val="18"/>
          <w:szCs w:val="18"/>
          <w:rtl/>
        </w:rPr>
        <w:t xml:space="preserve"> (רא"ש וריב"ש). וכל זה מדינא, אבל ר"ג החרים שלא לגרש אשה שלא מדעתה, אם לא שעברה על דת, וכמו שנתבאר לעיל סי' קט"ו. ואפי' אם רוצה ליתן לה הכתובה, אין לגרשה בזמן הזה שלא מדעתה (סמ"ק). עבר וגירשה בעל כרחה בזמן הזה ונשאת</w:t>
      </w:r>
      <w:r w:rsidR="00A72B41">
        <w:rPr>
          <w:rStyle w:val="a7"/>
          <w:rFonts w:cs="Arial"/>
          <w:sz w:val="18"/>
          <w:szCs w:val="18"/>
          <w:rtl/>
        </w:rPr>
        <w:footnoteReference w:id="56"/>
      </w:r>
      <w:r w:rsidRPr="00054A1B">
        <w:rPr>
          <w:rFonts w:cs="Arial"/>
          <w:sz w:val="18"/>
          <w:szCs w:val="18"/>
          <w:rtl/>
        </w:rPr>
        <w:t xml:space="preserve"> שוב</w:t>
      </w:r>
      <w:r w:rsidR="00386565">
        <w:rPr>
          <w:rFonts w:cs="Arial" w:hint="cs"/>
          <w:sz w:val="18"/>
          <w:szCs w:val="18"/>
          <w:rtl/>
        </w:rPr>
        <w:t>,</w:t>
      </w:r>
      <w:r w:rsidRPr="00054A1B">
        <w:rPr>
          <w:rFonts w:cs="Arial"/>
          <w:sz w:val="18"/>
          <w:szCs w:val="18"/>
          <w:rtl/>
        </w:rPr>
        <w:t xml:space="preserve"> אין האיש נקרא עבריין</w:t>
      </w:r>
      <w:r w:rsidR="00A72B41">
        <w:rPr>
          <w:rStyle w:val="a7"/>
          <w:rFonts w:cs="Arial"/>
          <w:sz w:val="18"/>
          <w:szCs w:val="18"/>
          <w:rtl/>
        </w:rPr>
        <w:footnoteReference w:id="57"/>
      </w:r>
      <w:r w:rsidRPr="00054A1B">
        <w:rPr>
          <w:rFonts w:cs="Arial"/>
          <w:sz w:val="18"/>
          <w:szCs w:val="18"/>
          <w:rtl/>
        </w:rPr>
        <w:t xml:space="preserve"> (כל בו). גירשה מדעתה, ונמצא פסול בגט, יכול אחר כך לגרשה בעל כרחה (ג"ז שם). נולדו בה מומין, ע</w:t>
      </w:r>
      <w:r w:rsidR="003F408B">
        <w:rPr>
          <w:rFonts w:cs="Arial" w:hint="cs"/>
          <w:sz w:val="18"/>
          <w:szCs w:val="18"/>
          <w:rtl/>
        </w:rPr>
        <w:t xml:space="preserve">יין </w:t>
      </w:r>
      <w:r w:rsidRPr="00054A1B">
        <w:rPr>
          <w:rFonts w:cs="Arial"/>
          <w:sz w:val="18"/>
          <w:szCs w:val="18"/>
          <w:rtl/>
        </w:rPr>
        <w:t>ל</w:t>
      </w:r>
      <w:r w:rsidR="003F408B">
        <w:rPr>
          <w:rFonts w:cs="Arial" w:hint="cs"/>
          <w:sz w:val="18"/>
          <w:szCs w:val="18"/>
          <w:rtl/>
        </w:rPr>
        <w:t>עיל</w:t>
      </w:r>
      <w:r w:rsidRPr="00054A1B">
        <w:rPr>
          <w:rFonts w:cs="Arial"/>
          <w:sz w:val="18"/>
          <w:szCs w:val="18"/>
          <w:rtl/>
        </w:rPr>
        <w:t xml:space="preserve"> סוף סימן קי"ז אם יכול לגרשה בעל כרחה. יש אומרים דבמקום מצוה יכול לגרש אשתו בעל כרחה או מתירים לו לישא שתי נשים</w:t>
      </w:r>
      <w:r w:rsidR="0040412F">
        <w:rPr>
          <w:rStyle w:val="a7"/>
          <w:rFonts w:cs="Arial"/>
          <w:sz w:val="18"/>
          <w:szCs w:val="18"/>
          <w:rtl/>
        </w:rPr>
        <w:footnoteReference w:id="58"/>
      </w:r>
      <w:r w:rsidRPr="00054A1B">
        <w:rPr>
          <w:rFonts w:cs="Arial"/>
          <w:sz w:val="18"/>
          <w:szCs w:val="18"/>
          <w:rtl/>
        </w:rPr>
        <w:t xml:space="preserve"> (מהר"ם פדוואה סי</w:t>
      </w:r>
      <w:r w:rsidR="00413DFF">
        <w:rPr>
          <w:rFonts w:cs="Arial" w:hint="cs"/>
          <w:sz w:val="18"/>
          <w:szCs w:val="18"/>
          <w:rtl/>
        </w:rPr>
        <w:t>'</w:t>
      </w:r>
      <w:r w:rsidRPr="00054A1B">
        <w:rPr>
          <w:rFonts w:cs="Arial"/>
          <w:sz w:val="18"/>
          <w:szCs w:val="18"/>
          <w:rtl/>
        </w:rPr>
        <w:t xml:space="preserve"> יג), וכמו שנתבאר לעיל סי' א'.</w:t>
      </w:r>
      <w:r w:rsidRPr="007B74F1">
        <w:rPr>
          <w:rFonts w:cs="Arial"/>
          <w:rtl/>
        </w:rPr>
        <w:t xml:space="preserve"> לפיכך קטנה מתגרשת אף על פי שאין בה דעת גמורה, אפילו אם קבל אביה קדושיה שהם דאורייתא, או חרשת שנתקדשה כשהיתה פקחת, ונתחרשה</w:t>
      </w:r>
      <w:r w:rsidR="00753AAC">
        <w:rPr>
          <w:rFonts w:cs="Arial" w:hint="cs"/>
          <w:rtl/>
        </w:rPr>
        <w:t>.</w:t>
      </w:r>
      <w:r w:rsidRPr="007B74F1">
        <w:rPr>
          <w:rFonts w:cs="Arial"/>
          <w:rtl/>
        </w:rPr>
        <w:t xml:space="preserve"> אבל אם נשתטית, ואינה יודעת לשמור עצמה, אינו מוציאה עד שתבריא, שלא ינהגו בה מנהג הפקר. לפיכך מניחה ונושא אחרת</w:t>
      </w:r>
      <w:r w:rsidR="00E82B5E">
        <w:rPr>
          <w:rStyle w:val="a7"/>
          <w:rFonts w:cs="Arial"/>
          <w:rtl/>
        </w:rPr>
        <w:footnoteReference w:id="59"/>
      </w:r>
      <w:r w:rsidR="00E24AEE">
        <w:rPr>
          <w:rFonts w:cs="Arial" w:hint="cs"/>
          <w:rtl/>
        </w:rPr>
        <w:t>,</w:t>
      </w:r>
      <w:r w:rsidRPr="007B74F1">
        <w:rPr>
          <w:rFonts w:cs="Arial"/>
          <w:rtl/>
        </w:rPr>
        <w:t xml:space="preserve"> ומאכילה ומשקה משלה. ואין מחייבים אותו בשאר כסות ועונה ואינו חייב לרפאותה </w:t>
      </w:r>
      <w:r w:rsidR="00F157E5">
        <w:rPr>
          <w:rFonts w:cs="Arial" w:hint="cs"/>
          <w:sz w:val="18"/>
          <w:szCs w:val="18"/>
          <w:rtl/>
        </w:rPr>
        <w:t xml:space="preserve">[הגה] </w:t>
      </w:r>
      <w:r w:rsidRPr="00054A1B">
        <w:rPr>
          <w:rFonts w:cs="Arial"/>
          <w:sz w:val="18"/>
          <w:szCs w:val="18"/>
          <w:rtl/>
        </w:rPr>
        <w:t>וי"א דחייב במזונותיה ורפואתה</w:t>
      </w:r>
      <w:r w:rsidR="003665D5">
        <w:rPr>
          <w:rStyle w:val="a7"/>
          <w:rFonts w:cs="Arial"/>
          <w:sz w:val="18"/>
          <w:szCs w:val="18"/>
          <w:rtl/>
        </w:rPr>
        <w:footnoteReference w:id="60"/>
      </w:r>
      <w:r w:rsidRPr="00054A1B">
        <w:rPr>
          <w:rFonts w:cs="Arial"/>
          <w:sz w:val="18"/>
          <w:szCs w:val="18"/>
          <w:rtl/>
        </w:rPr>
        <w:t xml:space="preserve"> (רשב"א רמ"ה וראב"ד), וכן פסק לעיל סי' ע' סעיף ד', וכן עיקר</w:t>
      </w:r>
      <w:r w:rsidR="003665D5">
        <w:rPr>
          <w:rStyle w:val="a7"/>
          <w:rFonts w:cs="Arial"/>
          <w:sz w:val="18"/>
          <w:szCs w:val="18"/>
          <w:rtl/>
        </w:rPr>
        <w:footnoteReference w:id="61"/>
      </w:r>
      <w:r w:rsidR="0059434D">
        <w:rPr>
          <w:rFonts w:cs="Arial" w:hint="cs"/>
          <w:rtl/>
        </w:rPr>
        <w:t>,</w:t>
      </w:r>
      <w:r w:rsidRPr="007B74F1">
        <w:rPr>
          <w:rFonts w:cs="Arial"/>
          <w:rtl/>
        </w:rPr>
        <w:t xml:space="preserve"> ולא לפדותה. ואם גירשה, מגורשת והוא שתהיה יודעת לשמור גיטה</w:t>
      </w:r>
      <w:r w:rsidR="003665D5">
        <w:rPr>
          <w:rStyle w:val="a7"/>
          <w:rFonts w:cs="Arial"/>
          <w:rtl/>
        </w:rPr>
        <w:footnoteReference w:id="62"/>
      </w:r>
      <w:r w:rsidRPr="007B74F1">
        <w:rPr>
          <w:rFonts w:cs="Arial"/>
          <w:rtl/>
        </w:rPr>
        <w:t xml:space="preserve">. </w:t>
      </w:r>
      <w:r w:rsidR="00F157E5">
        <w:rPr>
          <w:rFonts w:cs="Arial" w:hint="cs"/>
          <w:sz w:val="18"/>
          <w:szCs w:val="18"/>
          <w:rtl/>
        </w:rPr>
        <w:t xml:space="preserve">[הגה] </w:t>
      </w:r>
      <w:r w:rsidRPr="00054A1B">
        <w:rPr>
          <w:rFonts w:cs="Arial"/>
          <w:sz w:val="18"/>
          <w:szCs w:val="18"/>
          <w:rtl/>
        </w:rPr>
        <w:t xml:space="preserve">וי"א דאפי' בדיעבד אינה </w:t>
      </w:r>
      <w:r w:rsidRPr="00054A1B">
        <w:rPr>
          <w:rFonts w:cs="Arial"/>
          <w:sz w:val="18"/>
          <w:szCs w:val="18"/>
          <w:rtl/>
        </w:rPr>
        <w:lastRenderedPageBreak/>
        <w:t>מגורשת</w:t>
      </w:r>
      <w:r w:rsidR="003F541A">
        <w:rPr>
          <w:rStyle w:val="a7"/>
          <w:rFonts w:cs="Arial"/>
          <w:sz w:val="18"/>
          <w:szCs w:val="18"/>
          <w:rtl/>
        </w:rPr>
        <w:footnoteReference w:id="63"/>
      </w:r>
      <w:r w:rsidRPr="00054A1B">
        <w:rPr>
          <w:rFonts w:cs="Arial"/>
          <w:sz w:val="18"/>
          <w:szCs w:val="18"/>
          <w:rtl/>
        </w:rPr>
        <w:t xml:space="preserve"> (כן משמע במהרי"ו סי</w:t>
      </w:r>
      <w:r w:rsidR="00054A1B">
        <w:rPr>
          <w:rFonts w:cs="Arial" w:hint="cs"/>
          <w:sz w:val="18"/>
          <w:szCs w:val="18"/>
          <w:rtl/>
        </w:rPr>
        <w:t>'</w:t>
      </w:r>
      <w:r w:rsidRPr="00054A1B">
        <w:rPr>
          <w:rFonts w:cs="Arial"/>
          <w:sz w:val="18"/>
          <w:szCs w:val="18"/>
          <w:rtl/>
        </w:rPr>
        <w:t xml:space="preserve"> נב)</w:t>
      </w:r>
      <w:r w:rsidR="000364FA">
        <w:rPr>
          <w:rFonts w:cs="Arial" w:hint="cs"/>
          <w:sz w:val="18"/>
          <w:szCs w:val="18"/>
          <w:rtl/>
        </w:rPr>
        <w:t>.</w:t>
      </w:r>
      <w:r w:rsidRPr="00054A1B">
        <w:rPr>
          <w:rFonts w:cs="Arial"/>
          <w:sz w:val="18"/>
          <w:szCs w:val="18"/>
          <w:rtl/>
        </w:rPr>
        <w:t xml:space="preserve"> אבל בעתים שוטה ובעתים חלומה</w:t>
      </w:r>
      <w:r w:rsidR="008C370D">
        <w:rPr>
          <w:rStyle w:val="a7"/>
          <w:rFonts w:cs="Arial"/>
          <w:sz w:val="18"/>
          <w:szCs w:val="18"/>
          <w:rtl/>
        </w:rPr>
        <w:footnoteReference w:id="64"/>
      </w:r>
      <w:r w:rsidRPr="00054A1B">
        <w:rPr>
          <w:rFonts w:cs="Arial"/>
          <w:sz w:val="18"/>
          <w:szCs w:val="18"/>
          <w:rtl/>
        </w:rPr>
        <w:t>, וגירשה בעת חלימתה מפני שהיה נראה שתשאר כך, לא מהדרינן עובדא (</w:t>
      </w:r>
      <w:r w:rsidR="00903067">
        <w:rPr>
          <w:rFonts w:cs="Arial" w:hint="cs"/>
          <w:sz w:val="18"/>
          <w:szCs w:val="18"/>
          <w:rtl/>
        </w:rPr>
        <w:t>תרוה"ד</w:t>
      </w:r>
      <w:r w:rsidRPr="00054A1B">
        <w:rPr>
          <w:rFonts w:cs="Arial"/>
          <w:sz w:val="18"/>
          <w:szCs w:val="18"/>
          <w:rtl/>
        </w:rPr>
        <w:t>). ועיין לקמן סי' קכ"א סעיף ג'. ומוציאה מביתו ואינו חייב לחזור וליטפל בה.</w:t>
      </w:r>
      <w:r w:rsidRPr="007B74F1">
        <w:rPr>
          <w:rFonts w:cs="Arial"/>
          <w:rtl/>
        </w:rPr>
        <w:t xml:space="preserve"> </w:t>
      </w:r>
    </w:p>
    <w:p w14:paraId="58FDFECD" w14:textId="0709F1E6" w:rsidR="003F541A" w:rsidRDefault="003F541A" w:rsidP="00F72BC7">
      <w:pPr>
        <w:rPr>
          <w:rFonts w:cs="Arial"/>
          <w:rtl/>
        </w:rPr>
      </w:pPr>
      <w:r w:rsidRPr="003F541A">
        <w:rPr>
          <w:rFonts w:cs="Arial" w:hint="cs"/>
          <w:u w:val="single"/>
          <w:rtl/>
        </w:rPr>
        <w:t xml:space="preserve">האם ניתן לגרש אשה בעל כרחה </w:t>
      </w:r>
      <w:r w:rsidRPr="003F541A">
        <w:rPr>
          <w:rFonts w:cs="Arial" w:hint="cs"/>
          <w:b/>
          <w:bCs/>
          <w:u w:val="single"/>
          <w:rtl/>
        </w:rPr>
        <w:t>על תנאי</w:t>
      </w:r>
      <w:r w:rsidRPr="003F541A">
        <w:rPr>
          <w:rFonts w:cs="Arial" w:hint="cs"/>
          <w:u w:val="single"/>
          <w:rtl/>
        </w:rPr>
        <w:t>:</w:t>
      </w:r>
      <w:r w:rsidR="00F72BC7" w:rsidRPr="00F72BC7">
        <w:rPr>
          <w:rFonts w:cs="Arial"/>
          <w:rtl/>
        </w:rPr>
        <w:t xml:space="preserve"> </w:t>
      </w:r>
      <w:r w:rsidR="00F72BC7" w:rsidRPr="003F541A">
        <w:rPr>
          <w:rFonts w:cs="Arial"/>
          <w:sz w:val="16"/>
          <w:szCs w:val="16"/>
          <w:rtl/>
        </w:rPr>
        <w:t>(</w:t>
      </w:r>
      <w:r w:rsidRPr="003F541A">
        <w:rPr>
          <w:rFonts w:cs="Arial" w:hint="cs"/>
          <w:sz w:val="16"/>
          <w:szCs w:val="16"/>
          <w:rtl/>
        </w:rPr>
        <w:t>פת"ש סק"ד</w:t>
      </w:r>
      <w:r w:rsidR="00F72BC7" w:rsidRPr="003F541A">
        <w:rPr>
          <w:rFonts w:cs="Arial"/>
          <w:sz w:val="16"/>
          <w:szCs w:val="16"/>
          <w:rtl/>
        </w:rPr>
        <w:t xml:space="preserve">) </w:t>
      </w:r>
    </w:p>
    <w:p w14:paraId="249E0237" w14:textId="7803F0F4" w:rsidR="00F72BC7" w:rsidRPr="00C42A38" w:rsidRDefault="00F72BC7" w:rsidP="00A65C5F">
      <w:pPr>
        <w:pStyle w:val="ab"/>
        <w:numPr>
          <w:ilvl w:val="0"/>
          <w:numId w:val="22"/>
        </w:numPr>
        <w:rPr>
          <w:rFonts w:cs="Arial"/>
          <w:rtl/>
        </w:rPr>
      </w:pPr>
      <w:r w:rsidRPr="00C42A38">
        <w:rPr>
          <w:rFonts w:cs="Arial"/>
          <w:rtl/>
        </w:rPr>
        <w:t xml:space="preserve">ברית אברהם </w:t>
      </w:r>
      <w:r w:rsidR="003F541A" w:rsidRPr="00C42A38">
        <w:rPr>
          <w:rFonts w:cs="Arial" w:hint="cs"/>
          <w:sz w:val="16"/>
          <w:szCs w:val="16"/>
          <w:rtl/>
        </w:rPr>
        <w:t>(</w:t>
      </w:r>
      <w:r w:rsidRPr="00C42A38">
        <w:rPr>
          <w:rFonts w:cs="Arial"/>
          <w:sz w:val="16"/>
          <w:szCs w:val="16"/>
          <w:rtl/>
        </w:rPr>
        <w:t>סי' קט</w:t>
      </w:r>
      <w:r w:rsidR="003F541A" w:rsidRPr="00C42A38">
        <w:rPr>
          <w:rFonts w:cs="Arial" w:hint="cs"/>
          <w:sz w:val="16"/>
          <w:szCs w:val="16"/>
          <w:rtl/>
        </w:rPr>
        <w:t>)</w:t>
      </w:r>
      <w:r w:rsidR="00A82951">
        <w:rPr>
          <w:rFonts w:cs="Arial" w:hint="cs"/>
          <w:rtl/>
        </w:rPr>
        <w:t>-</w:t>
      </w:r>
      <w:r w:rsidR="003F541A" w:rsidRPr="00C42A38">
        <w:rPr>
          <w:rFonts w:cs="Arial"/>
          <w:rtl/>
        </w:rPr>
        <w:t xml:space="preserve"> </w:t>
      </w:r>
      <w:r w:rsidRPr="00C42A38">
        <w:rPr>
          <w:rFonts w:cs="Arial"/>
          <w:rtl/>
        </w:rPr>
        <w:t xml:space="preserve">מדברי הרא"ש </w:t>
      </w:r>
      <w:r w:rsidRPr="00C42A38">
        <w:rPr>
          <w:rFonts w:cs="Arial"/>
          <w:sz w:val="16"/>
          <w:szCs w:val="16"/>
          <w:rtl/>
        </w:rPr>
        <w:t xml:space="preserve">(פ"ב דגיטין סי' ה) </w:t>
      </w:r>
      <w:r w:rsidRPr="00C42A38">
        <w:rPr>
          <w:rFonts w:cs="Arial"/>
          <w:rtl/>
        </w:rPr>
        <w:t>בענין גט מאוחר יש ללמוד דין מחודש דהבעל אינו יכול לגרש בע"כ דהאשה על תנאי כגון מהיום אם מתי תוך ב' שנים וכה"ג</w:t>
      </w:r>
      <w:r w:rsidR="00310272">
        <w:rPr>
          <w:rFonts w:cs="Arial" w:hint="cs"/>
          <w:rtl/>
        </w:rPr>
        <w:t>,</w:t>
      </w:r>
      <w:r w:rsidRPr="00C42A38">
        <w:rPr>
          <w:rFonts w:cs="Arial"/>
          <w:rtl/>
        </w:rPr>
        <w:t xml:space="preserve"> דהא כשמגרש על תנאי הדין דלא תתיחד עמו </w:t>
      </w:r>
      <w:r w:rsidRPr="00C42A38">
        <w:rPr>
          <w:rFonts w:cs="Arial"/>
          <w:sz w:val="16"/>
          <w:szCs w:val="16"/>
          <w:rtl/>
        </w:rPr>
        <w:t>(כדלקמן סי' קמח ס"ב</w:t>
      </w:r>
      <w:r w:rsidR="003F541A" w:rsidRPr="00C42A38">
        <w:rPr>
          <w:rFonts w:cs="Arial" w:hint="cs"/>
          <w:sz w:val="16"/>
          <w:szCs w:val="16"/>
          <w:rtl/>
        </w:rPr>
        <w:t>)</w:t>
      </w:r>
      <w:r w:rsidRPr="00C42A38">
        <w:rPr>
          <w:rFonts w:cs="Arial"/>
          <w:rtl/>
        </w:rPr>
        <w:t xml:space="preserve"> וא"כ מפסדת עונתה והיא אינה מתרצת לכך</w:t>
      </w:r>
      <w:r w:rsidR="00C42A38" w:rsidRPr="00C42A38">
        <w:rPr>
          <w:rFonts w:cs="Arial" w:hint="cs"/>
          <w:rtl/>
        </w:rPr>
        <w:t>,</w:t>
      </w:r>
      <w:r w:rsidRPr="00C42A38">
        <w:rPr>
          <w:rFonts w:cs="Arial"/>
          <w:rtl/>
        </w:rPr>
        <w:t xml:space="preserve"> רק או שיגרשה לגמרי</w:t>
      </w:r>
      <w:r w:rsidR="00C42A38" w:rsidRPr="00C42A38">
        <w:rPr>
          <w:rFonts w:cs="Arial" w:hint="cs"/>
          <w:rtl/>
        </w:rPr>
        <w:t>,</w:t>
      </w:r>
      <w:r w:rsidRPr="00C42A38">
        <w:rPr>
          <w:rFonts w:cs="Arial"/>
          <w:rtl/>
        </w:rPr>
        <w:t xml:space="preserve"> או שתשב עמו</w:t>
      </w:r>
      <w:r w:rsidR="00C42A38" w:rsidRPr="00C42A38">
        <w:rPr>
          <w:rFonts w:cs="Arial" w:hint="cs"/>
          <w:rtl/>
        </w:rPr>
        <w:t>,</w:t>
      </w:r>
      <w:r w:rsidRPr="00C42A38">
        <w:rPr>
          <w:rFonts w:cs="Arial"/>
          <w:rtl/>
        </w:rPr>
        <w:t xml:space="preserve"> ואין יכול לכוף את אשתו לגרש ע"ת שתהא אגידא ביה</w:t>
      </w:r>
      <w:r w:rsidR="00C42A38" w:rsidRPr="00C42A38">
        <w:rPr>
          <w:rFonts w:cs="Arial" w:hint="cs"/>
          <w:rtl/>
        </w:rPr>
        <w:t>,</w:t>
      </w:r>
      <w:r w:rsidRPr="00C42A38">
        <w:rPr>
          <w:rFonts w:cs="Arial"/>
          <w:rtl/>
        </w:rPr>
        <w:t xml:space="preserve"> מכ"ש ממ"ש הרא"ש שם דא"י לגרשה בגט מאוחר בע"כ להראב"ד</w:t>
      </w:r>
      <w:r w:rsidR="003F541A" w:rsidRPr="00C42A38">
        <w:rPr>
          <w:rFonts w:cs="Arial" w:hint="cs"/>
          <w:rtl/>
        </w:rPr>
        <w:t>.</w:t>
      </w:r>
    </w:p>
    <w:p w14:paraId="5F734442" w14:textId="54E3938C" w:rsidR="008355EB" w:rsidRDefault="008355EB" w:rsidP="00F72BC7">
      <w:pPr>
        <w:rPr>
          <w:rFonts w:cs="Arial"/>
          <w:rtl/>
        </w:rPr>
      </w:pPr>
      <w:r w:rsidRPr="003F541A">
        <w:rPr>
          <w:rFonts w:cs="Arial" w:hint="cs"/>
          <w:u w:val="single"/>
          <w:rtl/>
        </w:rPr>
        <w:t xml:space="preserve">האם ניתן לגרש אשה בעל כרחה </w:t>
      </w:r>
      <w:r w:rsidRPr="003F541A">
        <w:rPr>
          <w:rFonts w:cs="Arial" w:hint="cs"/>
          <w:b/>
          <w:bCs/>
          <w:u w:val="single"/>
          <w:rtl/>
        </w:rPr>
        <w:t xml:space="preserve">על </w:t>
      </w:r>
      <w:r>
        <w:rPr>
          <w:rFonts w:cs="Arial" w:hint="cs"/>
          <w:b/>
          <w:bCs/>
          <w:u w:val="single"/>
          <w:rtl/>
        </w:rPr>
        <w:t>ידי שליח</w:t>
      </w:r>
      <w:r w:rsidRPr="003F541A">
        <w:rPr>
          <w:rFonts w:cs="Arial" w:hint="cs"/>
          <w:u w:val="single"/>
          <w:rtl/>
        </w:rPr>
        <w:t>:</w:t>
      </w:r>
      <w:r w:rsidRPr="00F72BC7">
        <w:rPr>
          <w:rFonts w:cs="Arial"/>
          <w:rtl/>
        </w:rPr>
        <w:t xml:space="preserve"> </w:t>
      </w:r>
      <w:r w:rsidRPr="003F541A">
        <w:rPr>
          <w:rFonts w:cs="Arial"/>
          <w:sz w:val="16"/>
          <w:szCs w:val="16"/>
          <w:rtl/>
        </w:rPr>
        <w:t>(</w:t>
      </w:r>
      <w:r w:rsidRPr="003F541A">
        <w:rPr>
          <w:rFonts w:cs="Arial" w:hint="cs"/>
          <w:sz w:val="16"/>
          <w:szCs w:val="16"/>
          <w:rtl/>
        </w:rPr>
        <w:t>פת"ש סק"</w:t>
      </w:r>
      <w:r>
        <w:rPr>
          <w:rFonts w:cs="Arial" w:hint="cs"/>
          <w:sz w:val="16"/>
          <w:szCs w:val="16"/>
          <w:rtl/>
        </w:rPr>
        <w:t>ו</w:t>
      </w:r>
      <w:r w:rsidRPr="003F541A">
        <w:rPr>
          <w:rFonts w:cs="Arial"/>
          <w:sz w:val="16"/>
          <w:szCs w:val="16"/>
          <w:rtl/>
        </w:rPr>
        <w:t xml:space="preserve">) </w:t>
      </w:r>
    </w:p>
    <w:p w14:paraId="7EDC6B0C" w14:textId="0278F491" w:rsidR="008355EB" w:rsidRDefault="00F72BC7" w:rsidP="00A65C5F">
      <w:pPr>
        <w:pStyle w:val="ab"/>
        <w:numPr>
          <w:ilvl w:val="0"/>
          <w:numId w:val="22"/>
        </w:numPr>
        <w:rPr>
          <w:rFonts w:cs="Arial"/>
        </w:rPr>
      </w:pPr>
      <w:r w:rsidRPr="008355EB">
        <w:rPr>
          <w:rFonts w:cs="Arial"/>
          <w:rtl/>
        </w:rPr>
        <w:t xml:space="preserve">נו"ב </w:t>
      </w:r>
      <w:r w:rsidR="008355EB" w:rsidRPr="008355EB">
        <w:rPr>
          <w:rFonts w:cs="Arial" w:hint="cs"/>
          <w:sz w:val="16"/>
          <w:szCs w:val="16"/>
          <w:rtl/>
        </w:rPr>
        <w:t>(</w:t>
      </w:r>
      <w:r w:rsidRPr="008355EB">
        <w:rPr>
          <w:rFonts w:cs="Arial"/>
          <w:sz w:val="16"/>
          <w:szCs w:val="16"/>
          <w:rtl/>
        </w:rPr>
        <w:t>סי' עה</w:t>
      </w:r>
      <w:r w:rsidR="008355EB" w:rsidRPr="008355EB">
        <w:rPr>
          <w:rFonts w:cs="Arial" w:hint="cs"/>
          <w:sz w:val="16"/>
          <w:szCs w:val="16"/>
          <w:rtl/>
        </w:rPr>
        <w:t>)</w:t>
      </w:r>
      <w:r w:rsidR="00A82951">
        <w:rPr>
          <w:rFonts w:cs="Arial" w:hint="cs"/>
          <w:rtl/>
        </w:rPr>
        <w:t>-</w:t>
      </w:r>
      <w:r w:rsidRPr="008355EB">
        <w:rPr>
          <w:rFonts w:cs="Arial"/>
          <w:rtl/>
        </w:rPr>
        <w:t xml:space="preserve"> מעשה באחד שגירש אשתו בעל כרחה ע"י שליח שתפסוה בעלי מלחמה להאשה באמצע הרחוב והשליח זרק הגט לחיקה והאשה צעקה ואין מושיע לה והיא לא נתרצית לקבל והשליכה הגט מחיקה.</w:t>
      </w:r>
      <w:r w:rsidR="008355EB">
        <w:rPr>
          <w:rFonts w:cs="Arial" w:hint="cs"/>
          <w:rtl/>
        </w:rPr>
        <w:t>..</w:t>
      </w:r>
      <w:r w:rsidRPr="008355EB">
        <w:rPr>
          <w:rFonts w:cs="Arial"/>
          <w:rtl/>
        </w:rPr>
        <w:t xml:space="preserve"> כיון שיש כאן עבירה חמורה לעבור על חרגמ"ה לגרש בע"כ</w:t>
      </w:r>
      <w:r w:rsidR="008355EB">
        <w:rPr>
          <w:rFonts w:cs="Arial" w:hint="cs"/>
          <w:rtl/>
        </w:rPr>
        <w:t>,</w:t>
      </w:r>
      <w:r w:rsidRPr="008355EB">
        <w:rPr>
          <w:rFonts w:cs="Arial"/>
          <w:rtl/>
        </w:rPr>
        <w:t xml:space="preserve"> א"כ אין שליח לדבר עבירה </w:t>
      </w:r>
      <w:r w:rsidR="00A82951">
        <w:rPr>
          <w:rFonts w:cs="Arial" w:hint="cs"/>
          <w:rtl/>
        </w:rPr>
        <w:t>-</w:t>
      </w:r>
      <w:r w:rsidR="008355EB">
        <w:rPr>
          <w:rFonts w:cs="Arial" w:hint="cs"/>
          <w:rtl/>
        </w:rPr>
        <w:t xml:space="preserve"> </w:t>
      </w:r>
      <w:r w:rsidRPr="008355EB">
        <w:rPr>
          <w:rFonts w:cs="Arial"/>
          <w:rtl/>
        </w:rPr>
        <w:t>ובטל מעשה השליחות לגמרי</w:t>
      </w:r>
      <w:r w:rsidR="008355EB">
        <w:rPr>
          <w:rFonts w:cs="Arial" w:hint="cs"/>
          <w:rtl/>
        </w:rPr>
        <w:t>,</w:t>
      </w:r>
      <w:r w:rsidRPr="008355EB">
        <w:rPr>
          <w:rFonts w:cs="Arial"/>
          <w:rtl/>
        </w:rPr>
        <w:t xml:space="preserve"> וכמו שנראה מדברי התוס' </w:t>
      </w:r>
      <w:r w:rsidR="008355EB">
        <w:rPr>
          <w:rFonts w:cs="Arial" w:hint="cs"/>
          <w:rtl/>
        </w:rPr>
        <w:t>(</w:t>
      </w:r>
      <w:r w:rsidRPr="008355EB">
        <w:rPr>
          <w:rFonts w:cs="Arial"/>
          <w:rtl/>
        </w:rPr>
        <w:t xml:space="preserve">ב"מ </w:t>
      </w:r>
      <w:r w:rsidR="008355EB">
        <w:rPr>
          <w:rFonts w:cs="Arial" w:hint="cs"/>
          <w:rtl/>
        </w:rPr>
        <w:t>י:</w:t>
      </w:r>
      <w:r w:rsidR="008355EB" w:rsidRPr="008355EB">
        <w:rPr>
          <w:rFonts w:cs="Arial"/>
          <w:rtl/>
        </w:rPr>
        <w:t xml:space="preserve"> </w:t>
      </w:r>
      <w:r w:rsidRPr="008355EB">
        <w:rPr>
          <w:rFonts w:cs="Arial"/>
          <w:rtl/>
        </w:rPr>
        <w:t>ד"ה דאמר</w:t>
      </w:r>
      <w:r w:rsidR="008355EB">
        <w:rPr>
          <w:rFonts w:cs="Arial" w:hint="cs"/>
          <w:rtl/>
        </w:rPr>
        <w:t>,</w:t>
      </w:r>
      <w:r w:rsidRPr="008355EB">
        <w:rPr>
          <w:rFonts w:cs="Arial"/>
          <w:rtl/>
        </w:rPr>
        <w:t xml:space="preserve"> בתירוץ השני) ולא נתגרשה בשליחות הבעל ואין כאן גירושין והיא אסורה להנשא</w:t>
      </w:r>
      <w:r w:rsidR="008355EB">
        <w:rPr>
          <w:rFonts w:cs="Arial" w:hint="cs"/>
          <w:rtl/>
        </w:rPr>
        <w:t>,</w:t>
      </w:r>
      <w:r w:rsidRPr="008355EB">
        <w:rPr>
          <w:rFonts w:cs="Arial"/>
          <w:rtl/>
        </w:rPr>
        <w:t xml:space="preserve"> והוא המגרש עודנו אישה וחייב בכל חיובי הבעל לאשתו ואסור באשה אחרת משום חרגמ"ה שלא לישא ב' נשים</w:t>
      </w:r>
      <w:r w:rsidR="008355EB">
        <w:rPr>
          <w:rStyle w:val="a7"/>
          <w:rFonts w:cs="Arial"/>
          <w:rtl/>
        </w:rPr>
        <w:footnoteReference w:id="65"/>
      </w:r>
      <w:r w:rsidRPr="008355EB">
        <w:rPr>
          <w:rFonts w:cs="Arial"/>
          <w:rtl/>
        </w:rPr>
        <w:t xml:space="preserve">. </w:t>
      </w:r>
    </w:p>
    <w:p w14:paraId="22AD19E7" w14:textId="59D68CEE" w:rsidR="008C370D" w:rsidRPr="00DB01E7" w:rsidRDefault="008C370D" w:rsidP="00A65C5F">
      <w:pPr>
        <w:pStyle w:val="ab"/>
        <w:numPr>
          <w:ilvl w:val="0"/>
          <w:numId w:val="22"/>
        </w:numPr>
        <w:rPr>
          <w:rFonts w:cs="Arial"/>
          <w:rtl/>
        </w:rPr>
      </w:pPr>
      <w:r w:rsidRPr="008355EB">
        <w:rPr>
          <w:rFonts w:cs="Arial"/>
          <w:rtl/>
        </w:rPr>
        <w:t xml:space="preserve">גט מקושר </w:t>
      </w:r>
      <w:r w:rsidRPr="006D4A68">
        <w:rPr>
          <w:rFonts w:cs="Arial" w:hint="cs"/>
          <w:sz w:val="16"/>
          <w:szCs w:val="16"/>
          <w:rtl/>
        </w:rPr>
        <w:t>(</w:t>
      </w:r>
      <w:r w:rsidRPr="006D4A68">
        <w:rPr>
          <w:rFonts w:cs="Arial"/>
          <w:sz w:val="16"/>
          <w:szCs w:val="16"/>
          <w:rtl/>
        </w:rPr>
        <w:t>סג"ר אות ר"ח</w:t>
      </w:r>
      <w:r w:rsidRPr="006D4A68">
        <w:rPr>
          <w:rFonts w:cs="Arial" w:hint="cs"/>
          <w:sz w:val="16"/>
          <w:szCs w:val="16"/>
          <w:rtl/>
        </w:rPr>
        <w:t>)</w:t>
      </w:r>
      <w:r w:rsidR="00A82951">
        <w:rPr>
          <w:rFonts w:cs="Arial" w:hint="cs"/>
          <w:rtl/>
        </w:rPr>
        <w:t>-</w:t>
      </w:r>
      <w:r w:rsidRPr="008355EB">
        <w:rPr>
          <w:rFonts w:cs="Arial"/>
          <w:rtl/>
        </w:rPr>
        <w:t xml:space="preserve"> </w:t>
      </w:r>
      <w:r>
        <w:rPr>
          <w:rFonts w:cs="Arial" w:hint="cs"/>
          <w:rtl/>
        </w:rPr>
        <w:t xml:space="preserve">הנו"ב </w:t>
      </w:r>
      <w:r w:rsidRPr="008355EB">
        <w:rPr>
          <w:rFonts w:cs="Arial"/>
          <w:rtl/>
        </w:rPr>
        <w:t>חתר להעמיד דבריו באופן רחוק אבל פשטא דמלתא ודאי מוכח מגמ' הנ"ל דשפיר מהני שליח לגרש בע"כ</w:t>
      </w:r>
      <w:r>
        <w:rPr>
          <w:rFonts w:cs="Arial" w:hint="cs"/>
          <w:rtl/>
        </w:rPr>
        <w:t>...</w:t>
      </w:r>
      <w:r w:rsidRPr="008355EB">
        <w:rPr>
          <w:rFonts w:cs="Arial"/>
          <w:rtl/>
        </w:rPr>
        <w:t xml:space="preserve"> </w:t>
      </w:r>
      <w:r>
        <w:rPr>
          <w:rFonts w:cs="Arial" w:hint="cs"/>
          <w:rtl/>
        </w:rPr>
        <w:t>ו</w:t>
      </w:r>
      <w:r w:rsidRPr="008355EB">
        <w:rPr>
          <w:rFonts w:cs="Arial"/>
          <w:rtl/>
        </w:rPr>
        <w:t xml:space="preserve">הדבר ברור </w:t>
      </w:r>
      <w:r w:rsidRPr="00FF2519">
        <w:rPr>
          <w:rFonts w:cs="Arial"/>
          <w:sz w:val="16"/>
          <w:szCs w:val="16"/>
          <w:rtl/>
        </w:rPr>
        <w:t xml:space="preserve">(לדינא דגמרא) </w:t>
      </w:r>
      <w:r w:rsidRPr="008355EB">
        <w:rPr>
          <w:rFonts w:cs="Arial"/>
          <w:rtl/>
        </w:rPr>
        <w:t>דיכול לעשות שליח אף לגרש בע"כ.</w:t>
      </w:r>
    </w:p>
    <w:p w14:paraId="3C0D2309" w14:textId="14989F32" w:rsidR="00E23743" w:rsidRPr="00E23743" w:rsidRDefault="008C370D" w:rsidP="00E23743">
      <w:pPr>
        <w:ind w:left="360"/>
        <w:rPr>
          <w:rFonts w:cs="Arial"/>
          <w:u w:val="dotted"/>
        </w:rPr>
      </w:pPr>
      <w:r>
        <w:rPr>
          <w:rFonts w:cs="Arial" w:hint="cs"/>
          <w:u w:val="dotted"/>
          <w:rtl/>
        </w:rPr>
        <w:t xml:space="preserve">לדעת הנו"ב </w:t>
      </w:r>
      <w:r w:rsidR="00A82951">
        <w:rPr>
          <w:rFonts w:cs="Arial" w:hint="cs"/>
          <w:u w:val="dotted"/>
          <w:rtl/>
        </w:rPr>
        <w:t>-</w:t>
      </w:r>
      <w:r>
        <w:rPr>
          <w:rFonts w:cs="Arial" w:hint="cs"/>
          <w:u w:val="dotted"/>
          <w:rtl/>
        </w:rPr>
        <w:t xml:space="preserve"> </w:t>
      </w:r>
      <w:r w:rsidR="00E23743" w:rsidRPr="00E23743">
        <w:rPr>
          <w:rFonts w:cs="Arial" w:hint="cs"/>
          <w:u w:val="dotted"/>
          <w:rtl/>
        </w:rPr>
        <w:t>מה הדין במקרים שמותר לגרש אשה על כרחה:</w:t>
      </w:r>
    </w:p>
    <w:p w14:paraId="2EEBCC05" w14:textId="58607F83" w:rsidR="006D4A68" w:rsidRDefault="00F72BC7" w:rsidP="00A65C5F">
      <w:pPr>
        <w:pStyle w:val="ab"/>
        <w:numPr>
          <w:ilvl w:val="0"/>
          <w:numId w:val="22"/>
        </w:numPr>
        <w:rPr>
          <w:rFonts w:cs="Arial"/>
        </w:rPr>
      </w:pPr>
      <w:r w:rsidRPr="008355EB">
        <w:rPr>
          <w:rFonts w:cs="Arial"/>
          <w:rtl/>
        </w:rPr>
        <w:t>נו"ב</w:t>
      </w:r>
      <w:r w:rsidRPr="00E23743">
        <w:rPr>
          <w:rFonts w:cs="Arial"/>
          <w:sz w:val="16"/>
          <w:szCs w:val="16"/>
          <w:rtl/>
        </w:rPr>
        <w:t xml:space="preserve"> </w:t>
      </w:r>
      <w:r w:rsidR="00E23743" w:rsidRPr="00E23743">
        <w:rPr>
          <w:rFonts w:cs="Arial" w:hint="cs"/>
          <w:sz w:val="16"/>
          <w:szCs w:val="16"/>
          <w:rtl/>
        </w:rPr>
        <w:t>(</w:t>
      </w:r>
      <w:r w:rsidRPr="00E23743">
        <w:rPr>
          <w:rFonts w:cs="Arial"/>
          <w:sz w:val="16"/>
          <w:szCs w:val="16"/>
          <w:rtl/>
        </w:rPr>
        <w:t>קמא סי' ב בד"ה ובלא"ה</w:t>
      </w:r>
      <w:r w:rsidR="00E23743" w:rsidRPr="00E23743">
        <w:rPr>
          <w:rFonts w:cs="Arial" w:hint="cs"/>
          <w:sz w:val="16"/>
          <w:szCs w:val="16"/>
          <w:rtl/>
        </w:rPr>
        <w:t>)</w:t>
      </w:r>
      <w:r w:rsidR="00A82951">
        <w:rPr>
          <w:rFonts w:cs="Arial" w:hint="cs"/>
          <w:rtl/>
        </w:rPr>
        <w:t>-</w:t>
      </w:r>
      <w:r w:rsidRPr="008355EB">
        <w:rPr>
          <w:rFonts w:cs="Arial"/>
          <w:rtl/>
        </w:rPr>
        <w:t xml:space="preserve"> נראה ל</w:t>
      </w:r>
      <w:r w:rsidR="00E23743">
        <w:rPr>
          <w:rFonts w:cs="Arial" w:hint="cs"/>
          <w:rtl/>
        </w:rPr>
        <w:t>י</w:t>
      </w:r>
      <w:r w:rsidRPr="008355EB">
        <w:rPr>
          <w:rFonts w:cs="Arial"/>
          <w:rtl/>
        </w:rPr>
        <w:t xml:space="preserve"> דין חדש מה שלא נזכר עדיין בשום פוסק לפי דברי הרא"ש בגיטין </w:t>
      </w:r>
      <w:r w:rsidR="00C64A50">
        <w:rPr>
          <w:rFonts w:cs="Arial" w:hint="cs"/>
          <w:rtl/>
        </w:rPr>
        <w:t>(</w:t>
      </w:r>
      <w:r w:rsidRPr="008355EB">
        <w:rPr>
          <w:rFonts w:cs="Arial"/>
          <w:rtl/>
        </w:rPr>
        <w:t>יא</w:t>
      </w:r>
      <w:r w:rsidR="00C64A50">
        <w:rPr>
          <w:rFonts w:cs="Arial" w:hint="cs"/>
          <w:rtl/>
        </w:rPr>
        <w:t>.)</w:t>
      </w:r>
      <w:r w:rsidRPr="008355EB">
        <w:rPr>
          <w:rFonts w:cs="Arial"/>
          <w:rtl/>
        </w:rPr>
        <w:t xml:space="preserve"> גבי תופס לב"ח שכ' דאף דבכל התורה שלוחו של אדם כמותו</w:t>
      </w:r>
      <w:r w:rsidR="00C64A50">
        <w:rPr>
          <w:rFonts w:cs="Arial" w:hint="cs"/>
          <w:rtl/>
        </w:rPr>
        <w:t>,</w:t>
      </w:r>
      <w:r w:rsidRPr="008355EB">
        <w:rPr>
          <w:rFonts w:cs="Arial"/>
          <w:rtl/>
        </w:rPr>
        <w:t xml:space="preserve"> מ"מ לאו כל כמיניה לשוויה שליח במקום שחב לאחרים</w:t>
      </w:r>
      <w:r w:rsidR="00C64A50">
        <w:rPr>
          <w:rFonts w:cs="Arial" w:hint="cs"/>
          <w:rtl/>
        </w:rPr>
        <w:t>.</w:t>
      </w:r>
      <w:r w:rsidRPr="008355EB">
        <w:rPr>
          <w:rFonts w:cs="Arial"/>
          <w:rtl/>
        </w:rPr>
        <w:t xml:space="preserve"> א"כ אף קודם חרגמ"ה ולדינא דגמ' דמגרש אדם אשתו בע"כ </w:t>
      </w:r>
      <w:r w:rsidRPr="00FF2519">
        <w:rPr>
          <w:rFonts w:cs="Arial"/>
          <w:sz w:val="16"/>
          <w:szCs w:val="16"/>
          <w:rtl/>
        </w:rPr>
        <w:t xml:space="preserve">(וה"ה אפי' בזה"ז בגווני דרשאי לגרש בע"כ וכן מבואר מדברי תשובת שיבת ציון ס"ס פ"ח ע"ש) </w:t>
      </w:r>
      <w:r w:rsidRPr="008355EB">
        <w:rPr>
          <w:rFonts w:cs="Arial"/>
          <w:rtl/>
        </w:rPr>
        <w:t>מ"מ ע"י שליח א"א לגרש בע"כ</w:t>
      </w:r>
      <w:r w:rsidR="00D20EC0">
        <w:rPr>
          <w:rFonts w:cs="Arial" w:hint="cs"/>
          <w:rtl/>
        </w:rPr>
        <w:t>,</w:t>
      </w:r>
      <w:r w:rsidRPr="008355EB">
        <w:rPr>
          <w:rFonts w:cs="Arial"/>
          <w:rtl/>
        </w:rPr>
        <w:t xml:space="preserve"> דאי אפשר לשוויה שליח לחוב להאשה</w:t>
      </w:r>
      <w:r w:rsidR="006D4A68">
        <w:rPr>
          <w:rFonts w:cs="Arial" w:hint="cs"/>
          <w:rtl/>
        </w:rPr>
        <w:t>...</w:t>
      </w:r>
      <w:r w:rsidR="006D4A68" w:rsidRPr="006D4A68">
        <w:rPr>
          <w:rFonts w:cs="Arial"/>
          <w:rtl/>
        </w:rPr>
        <w:t xml:space="preserve"> </w:t>
      </w:r>
      <w:r w:rsidR="006D4A68" w:rsidRPr="008355EB">
        <w:rPr>
          <w:rFonts w:cs="Arial"/>
          <w:rtl/>
        </w:rPr>
        <w:t>ועד כאן לא אמרתי דלא מצי מגרש בע"כ ע"י שליח אלא היכא דהגט הוא חוב להאשה</w:t>
      </w:r>
      <w:r w:rsidR="00D20EC0">
        <w:rPr>
          <w:rFonts w:cs="Arial" w:hint="cs"/>
          <w:rtl/>
        </w:rPr>
        <w:t>,</w:t>
      </w:r>
      <w:r w:rsidR="006D4A68" w:rsidRPr="008355EB">
        <w:rPr>
          <w:rFonts w:cs="Arial"/>
          <w:rtl/>
        </w:rPr>
        <w:t xml:space="preserve"> אבל היכא שאינו חוב לה</w:t>
      </w:r>
      <w:r w:rsidR="00D20EC0">
        <w:rPr>
          <w:rFonts w:cs="Arial" w:hint="cs"/>
          <w:rtl/>
        </w:rPr>
        <w:t>,</w:t>
      </w:r>
      <w:r w:rsidR="006D4A68" w:rsidRPr="008355EB">
        <w:rPr>
          <w:rFonts w:cs="Arial"/>
          <w:rtl/>
        </w:rPr>
        <w:t xml:space="preserve"> כגון ארוסה שעדיין אינה זוכה בשום דבר משל בעלה שיהיה הגט מחשב חוב </w:t>
      </w:r>
      <w:r w:rsidR="00D20EC0">
        <w:rPr>
          <w:rFonts w:cs="Arial" w:hint="cs"/>
          <w:rtl/>
        </w:rPr>
        <w:t>,</w:t>
      </w:r>
      <w:r w:rsidR="006D4A68" w:rsidRPr="008355EB">
        <w:rPr>
          <w:rFonts w:cs="Arial"/>
          <w:rtl/>
        </w:rPr>
        <w:t>ואפי' לאסרה לכהונה משכחת שאין הגט חוב לה כגון שנתגרשה מאיש אחר</w:t>
      </w:r>
      <w:r w:rsidR="00D20EC0">
        <w:rPr>
          <w:rFonts w:cs="Arial" w:hint="cs"/>
          <w:rtl/>
        </w:rPr>
        <w:t>,</w:t>
      </w:r>
      <w:r w:rsidR="006D4A68" w:rsidRPr="008355EB">
        <w:rPr>
          <w:rFonts w:cs="Arial"/>
          <w:rtl/>
        </w:rPr>
        <w:t xml:space="preserve"> וכמו כן אשה שזינתה תחת בעלה שנאסרה על בעלה והפסידה כתובה וכל תנאי כתובה ואינה מפסדת מאומה ע"י הגט ואדרבה זכות הוא שמתירה לשוק </w:t>
      </w:r>
      <w:r w:rsidR="00D20EC0">
        <w:rPr>
          <w:rFonts w:cs="Arial" w:hint="cs"/>
          <w:rtl/>
        </w:rPr>
        <w:t xml:space="preserve">- </w:t>
      </w:r>
      <w:r w:rsidR="006D4A68" w:rsidRPr="008355EB">
        <w:rPr>
          <w:rFonts w:cs="Arial"/>
          <w:rtl/>
        </w:rPr>
        <w:t>ודאי דיכול לעשות שליח לגרש בע"כ גם לדעת הרא"ש</w:t>
      </w:r>
      <w:r w:rsidR="006D4A68">
        <w:rPr>
          <w:rStyle w:val="a7"/>
          <w:rFonts w:cs="Arial"/>
          <w:rtl/>
        </w:rPr>
        <w:footnoteReference w:id="66"/>
      </w:r>
      <w:r w:rsidR="006D4A68">
        <w:rPr>
          <w:rFonts w:cs="Arial" w:hint="cs"/>
          <w:rtl/>
        </w:rPr>
        <w:t>.</w:t>
      </w:r>
      <w:r w:rsidRPr="008355EB">
        <w:rPr>
          <w:rFonts w:cs="Arial"/>
          <w:rtl/>
        </w:rPr>
        <w:t xml:space="preserve"> </w:t>
      </w:r>
    </w:p>
    <w:p w14:paraId="3048AE3D" w14:textId="3CAE6E6D" w:rsidR="00FE714F" w:rsidRPr="007B74F1" w:rsidRDefault="00FE714F" w:rsidP="00F72BC7">
      <w:pPr>
        <w:rPr>
          <w:rFonts w:cs="Arial"/>
          <w:rtl/>
        </w:rPr>
      </w:pPr>
    </w:p>
    <w:p w14:paraId="19B783C5" w14:textId="132996AA" w:rsidR="007B74F1" w:rsidRDefault="007B74F1" w:rsidP="00786DE6">
      <w:pPr>
        <w:pStyle w:val="2"/>
        <w:rPr>
          <w:rtl/>
        </w:rPr>
      </w:pPr>
      <w:r w:rsidRPr="007B74F1">
        <w:rPr>
          <w:rtl/>
        </w:rPr>
        <w:t>סעיף ז</w:t>
      </w:r>
      <w:r w:rsidR="00054A1B">
        <w:rPr>
          <w:rFonts w:hint="cs"/>
          <w:rtl/>
        </w:rPr>
        <w:t>:</w:t>
      </w:r>
      <w:r w:rsidR="00EB671A">
        <w:rPr>
          <w:rFonts w:hint="cs"/>
          <w:rtl/>
        </w:rPr>
        <w:t xml:space="preserve"> </w:t>
      </w:r>
      <w:r w:rsidR="00DE6CA2">
        <w:rPr>
          <w:rFonts w:hint="cs"/>
          <w:rtl/>
        </w:rPr>
        <w:t>מגורי</w:t>
      </w:r>
      <w:r w:rsidR="000E5BD2">
        <w:rPr>
          <w:rFonts w:hint="cs"/>
          <w:rtl/>
        </w:rPr>
        <w:t>ם ליד</w:t>
      </w:r>
      <w:r w:rsidR="00DE6CA2">
        <w:rPr>
          <w:rFonts w:hint="cs"/>
          <w:rtl/>
        </w:rPr>
        <w:t xml:space="preserve"> גרוש</w:t>
      </w:r>
      <w:r w:rsidR="000E5BD2">
        <w:rPr>
          <w:rFonts w:hint="cs"/>
          <w:rtl/>
        </w:rPr>
        <w:t>תו</w:t>
      </w:r>
      <w:r w:rsidR="00DE6CA2">
        <w:rPr>
          <w:rFonts w:hint="cs"/>
          <w:rtl/>
        </w:rPr>
        <w:t>.</w:t>
      </w:r>
    </w:p>
    <w:p w14:paraId="0EF3975A" w14:textId="785E52E5" w:rsidR="008C370D" w:rsidRDefault="00F51D6D" w:rsidP="00595EF9">
      <w:pPr>
        <w:rPr>
          <w:rFonts w:cs="Arial"/>
          <w:rtl/>
        </w:rPr>
      </w:pPr>
      <w:r w:rsidRPr="00F51D6D">
        <w:rPr>
          <w:rFonts w:cs="Arial" w:hint="cs"/>
          <w:b/>
          <w:bCs/>
          <w:rtl/>
        </w:rPr>
        <w:t xml:space="preserve">כתובות </w:t>
      </w:r>
      <w:r w:rsidRPr="00F51D6D">
        <w:rPr>
          <w:rFonts w:cs="Arial" w:hint="cs"/>
          <w:b/>
          <w:bCs/>
          <w:sz w:val="16"/>
          <w:szCs w:val="16"/>
          <w:rtl/>
        </w:rPr>
        <w:t>(ספ"ב)</w:t>
      </w:r>
      <w:r w:rsidRPr="00F51D6D">
        <w:rPr>
          <w:rFonts w:cs="Arial" w:hint="cs"/>
          <w:b/>
          <w:bCs/>
          <w:rtl/>
        </w:rPr>
        <w:t xml:space="preserve"> כז ע"ב: </w:t>
      </w:r>
      <w:r w:rsidRPr="00F51D6D">
        <w:rPr>
          <w:rFonts w:cs="Arial"/>
          <w:u w:val="double"/>
          <w:rtl/>
        </w:rPr>
        <w:t>מתני'</w:t>
      </w:r>
      <w:r>
        <w:rPr>
          <w:rFonts w:cs="Arial" w:hint="cs"/>
          <w:rtl/>
        </w:rPr>
        <w:t>:</w:t>
      </w:r>
      <w:r>
        <w:rPr>
          <w:rFonts w:cs="Arial"/>
          <w:rtl/>
        </w:rPr>
        <w:t xml:space="preserve"> </w:t>
      </w:r>
      <w:r w:rsidRPr="00595EF9">
        <w:rPr>
          <w:rFonts w:cs="Arial"/>
          <w:u w:val="single"/>
          <w:rtl/>
        </w:rPr>
        <w:t>אמר ר' זכריה בן הקצב</w:t>
      </w:r>
      <w:r>
        <w:rPr>
          <w:rFonts w:cs="Arial"/>
          <w:rtl/>
        </w:rPr>
        <w:t>: המעון הזה! לא זזה ידה מתוך ידי משעה שנכנסו עובדי כוכבים לירושלים ועד שיצאו</w:t>
      </w:r>
      <w:r w:rsidR="00595EF9">
        <w:rPr>
          <w:rFonts w:cs="Arial" w:hint="cs"/>
          <w:rtl/>
        </w:rPr>
        <w:t>.</w:t>
      </w:r>
      <w:r>
        <w:rPr>
          <w:rFonts w:cs="Arial"/>
          <w:rtl/>
        </w:rPr>
        <w:t xml:space="preserve"> </w:t>
      </w:r>
      <w:r w:rsidRPr="00595EF9">
        <w:rPr>
          <w:rFonts w:cs="Arial"/>
          <w:u w:val="single"/>
          <w:rtl/>
        </w:rPr>
        <w:t>אמרו לו</w:t>
      </w:r>
      <w:r>
        <w:rPr>
          <w:rFonts w:cs="Arial"/>
          <w:rtl/>
        </w:rPr>
        <w:t xml:space="preserve">: אין אדם מעיד על עצמו. </w:t>
      </w:r>
      <w:r w:rsidR="00595EF9">
        <w:rPr>
          <w:rFonts w:hint="cs"/>
          <w:rtl/>
        </w:rPr>
        <w:t xml:space="preserve">       </w:t>
      </w:r>
      <w:r w:rsidRPr="00595EF9">
        <w:rPr>
          <w:rFonts w:cs="Arial"/>
          <w:u w:val="double"/>
          <w:rtl/>
        </w:rPr>
        <w:t>גמ'</w:t>
      </w:r>
      <w:r w:rsidR="00595EF9">
        <w:rPr>
          <w:rFonts w:cs="Arial" w:hint="cs"/>
          <w:rtl/>
        </w:rPr>
        <w:t>:</w:t>
      </w:r>
      <w:r>
        <w:rPr>
          <w:rFonts w:cs="Arial"/>
          <w:rtl/>
        </w:rPr>
        <w:t xml:space="preserve"> תנא: ואעפ"כ ייחד לה בית בחצרו, וכשהיא </w:t>
      </w:r>
      <w:r>
        <w:rPr>
          <w:rFonts w:cs="Arial"/>
          <w:rtl/>
        </w:rPr>
        <w:lastRenderedPageBreak/>
        <w:t xml:space="preserve">יוצאה </w:t>
      </w:r>
      <w:r w:rsidR="00A82951">
        <w:rPr>
          <w:rFonts w:cs="Arial"/>
          <w:rtl/>
        </w:rPr>
        <w:t>-</w:t>
      </w:r>
      <w:r>
        <w:rPr>
          <w:rFonts w:cs="Arial"/>
          <w:rtl/>
        </w:rPr>
        <w:t xml:space="preserve"> יוצאה בראש בניה, וכשהיא נכנסת </w:t>
      </w:r>
      <w:r w:rsidR="00A82951">
        <w:rPr>
          <w:rFonts w:cs="Arial"/>
          <w:rtl/>
        </w:rPr>
        <w:t>-</w:t>
      </w:r>
      <w:r>
        <w:rPr>
          <w:rFonts w:cs="Arial"/>
          <w:rtl/>
        </w:rPr>
        <w:t xml:space="preserve"> נכנסת בסוף בניה. </w:t>
      </w:r>
      <w:r w:rsidRPr="00595EF9">
        <w:rPr>
          <w:rFonts w:cs="Arial"/>
          <w:u w:val="single"/>
          <w:rtl/>
        </w:rPr>
        <w:t>בעי אביי</w:t>
      </w:r>
      <w:r>
        <w:rPr>
          <w:rFonts w:cs="Arial"/>
          <w:rtl/>
        </w:rPr>
        <w:t>: מהו לעשות בגרושה</w:t>
      </w:r>
      <w:r w:rsidR="00CF6579">
        <w:rPr>
          <w:rStyle w:val="a7"/>
          <w:rFonts w:cs="Arial"/>
          <w:rtl/>
        </w:rPr>
        <w:footnoteReference w:id="67"/>
      </w:r>
      <w:r>
        <w:rPr>
          <w:rFonts w:cs="Arial"/>
          <w:rtl/>
        </w:rPr>
        <w:t xml:space="preserve"> כן? התם הוא דבשבויה הקילו, אבל הכא לא, או דלמא לא שנא? ת"ש, דתניא: המגרש את אשתו </w:t>
      </w:r>
      <w:r w:rsidR="00A82951">
        <w:rPr>
          <w:rFonts w:cs="Arial"/>
          <w:rtl/>
        </w:rPr>
        <w:t>-</w:t>
      </w:r>
      <w:r>
        <w:rPr>
          <w:rFonts w:cs="Arial"/>
          <w:rtl/>
        </w:rPr>
        <w:t xml:space="preserve"> לא תנשא בשכונתו</w:t>
      </w:r>
      <w:r w:rsidR="00CF6579">
        <w:rPr>
          <w:rStyle w:val="a7"/>
          <w:rFonts w:cs="Arial"/>
          <w:rtl/>
        </w:rPr>
        <w:footnoteReference w:id="68"/>
      </w:r>
      <w:r w:rsidR="004B0E36">
        <w:rPr>
          <w:rFonts w:cs="Arial" w:hint="cs"/>
          <w:rtl/>
        </w:rPr>
        <w:t>.</w:t>
      </w:r>
      <w:r>
        <w:rPr>
          <w:rFonts w:hint="cs"/>
          <w:sz w:val="14"/>
          <w:szCs w:val="14"/>
          <w:rtl/>
        </w:rPr>
        <w:t xml:space="preserve"> (כח.)</w:t>
      </w:r>
      <w:r w:rsidRPr="00F51D6D">
        <w:rPr>
          <w:rtl/>
        </w:rPr>
        <w:t xml:space="preserve"> </w:t>
      </w:r>
      <w:r w:rsidRPr="00F51D6D">
        <w:rPr>
          <w:rFonts w:cs="Arial"/>
          <w:rtl/>
        </w:rPr>
        <w:t xml:space="preserve">ואם היה כהן </w:t>
      </w:r>
      <w:r w:rsidR="00A82951">
        <w:rPr>
          <w:rFonts w:cs="Arial"/>
          <w:rtl/>
        </w:rPr>
        <w:t>-</w:t>
      </w:r>
      <w:r w:rsidRPr="00F51D6D">
        <w:rPr>
          <w:rFonts w:cs="Arial"/>
          <w:rtl/>
        </w:rPr>
        <w:t xml:space="preserve"> לא תדור עמו במבוי</w:t>
      </w:r>
      <w:r w:rsidR="00CF6579">
        <w:rPr>
          <w:rStyle w:val="a7"/>
          <w:rFonts w:cs="Arial"/>
          <w:rtl/>
        </w:rPr>
        <w:footnoteReference w:id="69"/>
      </w:r>
      <w:r w:rsidR="00595EF9">
        <w:rPr>
          <w:rFonts w:cs="Arial" w:hint="cs"/>
          <w:rtl/>
        </w:rPr>
        <w:t>.</w:t>
      </w:r>
      <w:r w:rsidRPr="00F51D6D">
        <w:rPr>
          <w:rFonts w:cs="Arial"/>
          <w:rtl/>
        </w:rPr>
        <w:t xml:space="preserve"> אם היה כפר קטן, זה היה מעשה, ואמרו: כפר קטן נידון כשכונה.</w:t>
      </w:r>
    </w:p>
    <w:p w14:paraId="75113F74" w14:textId="56EF3396" w:rsidR="003F7CFF" w:rsidRDefault="004B0E36" w:rsidP="00595EF9">
      <w:pPr>
        <w:rPr>
          <w:rtl/>
        </w:rPr>
      </w:pPr>
      <w:r w:rsidRPr="00F51D6D">
        <w:rPr>
          <w:rFonts w:cs="Arial" w:hint="cs"/>
          <w:b/>
          <w:bCs/>
          <w:rtl/>
        </w:rPr>
        <w:t xml:space="preserve">כתובות </w:t>
      </w:r>
      <w:r w:rsidRPr="00F51D6D">
        <w:rPr>
          <w:rFonts w:cs="Arial" w:hint="cs"/>
          <w:b/>
          <w:bCs/>
          <w:sz w:val="16"/>
          <w:szCs w:val="16"/>
          <w:rtl/>
        </w:rPr>
        <w:t>(ספ"ב)</w:t>
      </w:r>
      <w:r w:rsidRPr="00F51D6D">
        <w:rPr>
          <w:rFonts w:cs="Arial" w:hint="cs"/>
          <w:b/>
          <w:bCs/>
          <w:rtl/>
        </w:rPr>
        <w:t xml:space="preserve"> כז ע"ב</w:t>
      </w:r>
      <w:r>
        <w:rPr>
          <w:rFonts w:cs="Arial" w:hint="cs"/>
          <w:b/>
          <w:bCs/>
          <w:sz w:val="16"/>
          <w:szCs w:val="16"/>
          <w:rtl/>
        </w:rPr>
        <w:t xml:space="preserve"> [גיר' הרמב"ם]</w:t>
      </w:r>
      <w:r w:rsidRPr="00F51D6D">
        <w:rPr>
          <w:rFonts w:cs="Arial" w:hint="cs"/>
          <w:b/>
          <w:bCs/>
          <w:rtl/>
        </w:rPr>
        <w:t>:</w:t>
      </w:r>
      <w:r w:rsidRPr="004B0E36">
        <w:rPr>
          <w:rtl/>
        </w:rPr>
        <w:t xml:space="preserve"> </w:t>
      </w:r>
      <w:r>
        <w:rPr>
          <w:rFonts w:cs="Arial" w:hint="cs"/>
          <w:rtl/>
        </w:rPr>
        <w:t xml:space="preserve">דתניא: </w:t>
      </w:r>
      <w:r w:rsidRPr="004B0E36">
        <w:rPr>
          <w:rFonts w:cs="Arial"/>
          <w:rtl/>
        </w:rPr>
        <w:t xml:space="preserve">המגרש את אשתו </w:t>
      </w:r>
      <w:r w:rsidR="00A82951">
        <w:rPr>
          <w:rFonts w:cs="Arial" w:hint="cs"/>
          <w:rtl/>
        </w:rPr>
        <w:t>-</w:t>
      </w:r>
      <w:r>
        <w:rPr>
          <w:rFonts w:cs="Arial" w:hint="cs"/>
          <w:rtl/>
        </w:rPr>
        <w:t xml:space="preserve"> </w:t>
      </w:r>
      <w:r w:rsidRPr="004B0E36">
        <w:rPr>
          <w:rFonts w:cs="Arial"/>
          <w:rtl/>
        </w:rPr>
        <w:t>לא תדור בחצרו</w:t>
      </w:r>
      <w:r>
        <w:rPr>
          <w:rFonts w:cs="Arial" w:hint="cs"/>
          <w:rtl/>
        </w:rPr>
        <w:t>.</w:t>
      </w:r>
      <w:r w:rsidRPr="004B0E36">
        <w:rPr>
          <w:rFonts w:cs="Arial"/>
          <w:rtl/>
        </w:rPr>
        <w:t xml:space="preserve"> ואם היה כהן </w:t>
      </w:r>
      <w:r w:rsidR="00A82951">
        <w:rPr>
          <w:rFonts w:cs="Arial" w:hint="cs"/>
          <w:rtl/>
        </w:rPr>
        <w:t>-</w:t>
      </w:r>
      <w:r>
        <w:rPr>
          <w:rFonts w:cs="Arial" w:hint="cs"/>
          <w:rtl/>
        </w:rPr>
        <w:t xml:space="preserve"> </w:t>
      </w:r>
      <w:r w:rsidRPr="004B0E36">
        <w:rPr>
          <w:rFonts w:cs="Arial"/>
          <w:rtl/>
        </w:rPr>
        <w:t>לא תדור עמו במבוי</w:t>
      </w:r>
      <w:r>
        <w:rPr>
          <w:rFonts w:cs="Arial" w:hint="cs"/>
          <w:rtl/>
        </w:rPr>
        <w:t>.</w:t>
      </w:r>
      <w:r w:rsidRPr="004B0E36">
        <w:rPr>
          <w:rFonts w:cs="Arial"/>
          <w:rtl/>
        </w:rPr>
        <w:t xml:space="preserve"> </w:t>
      </w:r>
      <w:r>
        <w:rPr>
          <w:rFonts w:cs="Arial" w:hint="cs"/>
          <w:rtl/>
        </w:rPr>
        <w:t>אם היה כפר קטן,</w:t>
      </w:r>
      <w:r w:rsidRPr="004B0E36">
        <w:rPr>
          <w:rFonts w:cs="Arial"/>
          <w:rtl/>
        </w:rPr>
        <w:t xml:space="preserve"> זה היה מעשה</w:t>
      </w:r>
      <w:r>
        <w:rPr>
          <w:rFonts w:cs="Arial" w:hint="cs"/>
          <w:rtl/>
        </w:rPr>
        <w:t>,</w:t>
      </w:r>
      <w:r w:rsidRPr="004B0E36">
        <w:rPr>
          <w:rFonts w:cs="Arial"/>
          <w:rtl/>
        </w:rPr>
        <w:t xml:space="preserve"> ואמרו</w:t>
      </w:r>
      <w:r>
        <w:rPr>
          <w:rFonts w:cs="Arial" w:hint="cs"/>
          <w:rtl/>
        </w:rPr>
        <w:t>:</w:t>
      </w:r>
      <w:r w:rsidRPr="004B0E36">
        <w:rPr>
          <w:rFonts w:cs="Arial"/>
          <w:rtl/>
        </w:rPr>
        <w:t xml:space="preserve"> כפר קטן נדון כמבוי</w:t>
      </w:r>
      <w:r>
        <w:rPr>
          <w:rFonts w:cs="Arial" w:hint="cs"/>
          <w:rtl/>
        </w:rPr>
        <w:t>.</w:t>
      </w:r>
    </w:p>
    <w:p w14:paraId="2742E84B" w14:textId="047CADDD" w:rsidR="00374AA5" w:rsidRDefault="004F617F" w:rsidP="001A7237">
      <w:pPr>
        <w:rPr>
          <w:u w:val="single"/>
          <w:rtl/>
        </w:rPr>
      </w:pPr>
      <w:r w:rsidRPr="004F617F">
        <w:rPr>
          <w:rFonts w:hint="cs"/>
          <w:u w:val="single"/>
          <w:rtl/>
        </w:rPr>
        <w:t>מגורי</w:t>
      </w:r>
      <w:r w:rsidR="000E5BD2">
        <w:rPr>
          <w:rFonts w:hint="cs"/>
          <w:u w:val="single"/>
          <w:rtl/>
        </w:rPr>
        <w:t>ם ליד</w:t>
      </w:r>
      <w:r w:rsidRPr="004F617F">
        <w:rPr>
          <w:rFonts w:hint="cs"/>
          <w:u w:val="single"/>
          <w:rtl/>
        </w:rPr>
        <w:t xml:space="preserve"> גרו</w:t>
      </w:r>
      <w:r w:rsidR="000E5BD2">
        <w:rPr>
          <w:rFonts w:hint="cs"/>
          <w:u w:val="single"/>
          <w:rtl/>
        </w:rPr>
        <w:t>שתו</w:t>
      </w:r>
      <w:r w:rsidRPr="004F617F">
        <w:rPr>
          <w:rFonts w:hint="cs"/>
          <w:u w:val="single"/>
          <w:rtl/>
        </w:rPr>
        <w:t>:</w:t>
      </w:r>
    </w:p>
    <w:p w14:paraId="493AD246" w14:textId="77777777" w:rsidR="000E759C" w:rsidRDefault="000E759C" w:rsidP="000E759C">
      <w:pPr>
        <w:ind w:left="360"/>
        <w:rPr>
          <w:u w:val="dotted"/>
          <w:rtl/>
        </w:rPr>
      </w:pPr>
      <w:r>
        <w:rPr>
          <w:rFonts w:hint="cs"/>
          <w:u w:val="dotted"/>
          <w:rtl/>
        </w:rPr>
        <w:t>ישראל/כהן ליד גרושתו נשואה:</w:t>
      </w:r>
    </w:p>
    <w:p w14:paraId="70A1B2B9" w14:textId="1F5860F9" w:rsidR="000E759C" w:rsidRPr="00F865A9" w:rsidRDefault="000E759C" w:rsidP="000E759C">
      <w:pPr>
        <w:pStyle w:val="ab"/>
        <w:numPr>
          <w:ilvl w:val="0"/>
          <w:numId w:val="16"/>
        </w:numPr>
      </w:pPr>
      <w:r>
        <w:rPr>
          <w:rFonts w:cs="Arial" w:hint="cs"/>
          <w:rtl/>
        </w:rPr>
        <w:t>רא"ש</w:t>
      </w:r>
      <w:r>
        <w:rPr>
          <w:rStyle w:val="a7"/>
          <w:rFonts w:cs="Arial"/>
          <w:rtl/>
        </w:rPr>
        <w:footnoteReference w:id="70"/>
      </w:r>
      <w:r w:rsidRPr="00374AA5">
        <w:rPr>
          <w:rFonts w:cs="Arial" w:hint="cs"/>
          <w:sz w:val="16"/>
          <w:szCs w:val="16"/>
          <w:rtl/>
        </w:rPr>
        <w:t xml:space="preserve"> (כתובות פ"ב סי' לב)</w:t>
      </w:r>
      <w:r>
        <w:rPr>
          <w:rFonts w:cs="Arial" w:hint="cs"/>
          <w:rtl/>
        </w:rPr>
        <w:t xml:space="preserve"> טור</w:t>
      </w:r>
      <w:r w:rsidR="00101866" w:rsidRPr="00101866">
        <w:rPr>
          <w:rFonts w:cs="Arial" w:hint="cs"/>
          <w:rtl/>
        </w:rPr>
        <w:t xml:space="preserve"> </w:t>
      </w:r>
      <w:r w:rsidR="00101866">
        <w:rPr>
          <w:rFonts w:cs="Arial" w:hint="cs"/>
          <w:rtl/>
        </w:rPr>
        <w:t>ור"ן</w:t>
      </w:r>
      <w:r w:rsidR="00101866">
        <w:rPr>
          <w:rFonts w:cs="Arial" w:hint="cs"/>
          <w:sz w:val="14"/>
          <w:szCs w:val="14"/>
          <w:rtl/>
        </w:rPr>
        <w:t xml:space="preserve"> (</w:t>
      </w:r>
      <w:r w:rsidR="00101866" w:rsidRPr="00B24073">
        <w:rPr>
          <w:rFonts w:cs="Arial"/>
          <w:sz w:val="16"/>
          <w:szCs w:val="16"/>
          <w:rtl/>
        </w:rPr>
        <w:t>כתובות יב. ד"ה הפודה</w:t>
      </w:r>
      <w:r w:rsidR="00101866">
        <w:rPr>
          <w:rFonts w:cs="Arial" w:hint="cs"/>
          <w:sz w:val="16"/>
          <w:szCs w:val="16"/>
          <w:rtl/>
        </w:rPr>
        <w:t>)</w:t>
      </w:r>
      <w:r w:rsidR="00A82951">
        <w:rPr>
          <w:rFonts w:cs="Arial" w:hint="cs"/>
          <w:rtl/>
        </w:rPr>
        <w:t>-</w:t>
      </w:r>
      <w:r>
        <w:rPr>
          <w:rFonts w:cs="Arial" w:hint="cs"/>
          <w:rtl/>
        </w:rPr>
        <w:t xml:space="preserve"> </w:t>
      </w:r>
      <w:r w:rsidRPr="00FE714F">
        <w:rPr>
          <w:rFonts w:cs="Arial"/>
          <w:rtl/>
        </w:rPr>
        <w:t>הגרושה לא תינשא לאחר בכל אותה שכונה שדר בה המגרש</w:t>
      </w:r>
      <w:r>
        <w:rPr>
          <w:rFonts w:cs="Arial" w:hint="cs"/>
          <w:rtl/>
        </w:rPr>
        <w:t>.</w:t>
      </w:r>
      <w:r w:rsidRPr="00FE714F">
        <w:rPr>
          <w:rFonts w:cs="Arial"/>
          <w:rtl/>
        </w:rPr>
        <w:t xml:space="preserve"> ואם הכפר קטן</w:t>
      </w:r>
      <w:r>
        <w:rPr>
          <w:rFonts w:cs="Arial" w:hint="cs"/>
          <w:rtl/>
        </w:rPr>
        <w:t>,</w:t>
      </w:r>
      <w:r w:rsidRPr="00FE714F">
        <w:rPr>
          <w:rFonts w:cs="Arial"/>
          <w:rtl/>
        </w:rPr>
        <w:t xml:space="preserve"> אסורה בכל הכפר</w:t>
      </w:r>
      <w:r>
        <w:rPr>
          <w:rFonts w:cs="Arial" w:hint="cs"/>
          <w:sz w:val="16"/>
          <w:szCs w:val="16"/>
          <w:rtl/>
        </w:rPr>
        <w:t xml:space="preserve"> (ל' הטור)</w:t>
      </w:r>
      <w:r>
        <w:rPr>
          <w:rFonts w:cs="Arial" w:hint="cs"/>
          <w:rtl/>
        </w:rPr>
        <w:t>.</w:t>
      </w:r>
      <w:r w:rsidRPr="00FE714F">
        <w:rPr>
          <w:rFonts w:cs="Arial"/>
          <w:rtl/>
        </w:rPr>
        <w:t xml:space="preserve"> </w:t>
      </w:r>
    </w:p>
    <w:p w14:paraId="508C79E5" w14:textId="657E2912" w:rsidR="000E759C" w:rsidRDefault="000E759C" w:rsidP="000E759C">
      <w:pPr>
        <w:pStyle w:val="ab"/>
        <w:numPr>
          <w:ilvl w:val="0"/>
          <w:numId w:val="16"/>
        </w:numPr>
        <w:rPr>
          <w:rFonts w:cs="Arial"/>
        </w:rPr>
      </w:pPr>
      <w:r>
        <w:rPr>
          <w:rFonts w:cs="Arial" w:hint="cs"/>
          <w:rtl/>
        </w:rPr>
        <w:t>תוס'</w:t>
      </w:r>
      <w:r>
        <w:rPr>
          <w:rStyle w:val="a7"/>
          <w:rFonts w:cs="Arial"/>
          <w:rtl/>
        </w:rPr>
        <w:footnoteReference w:id="71"/>
      </w:r>
      <w:r>
        <w:rPr>
          <w:rFonts w:cs="Arial" w:hint="cs"/>
          <w:rtl/>
        </w:rPr>
        <w:t xml:space="preserve"> </w:t>
      </w:r>
      <w:r w:rsidRPr="00374AA5">
        <w:rPr>
          <w:rFonts w:cs="Arial" w:hint="cs"/>
          <w:sz w:val="16"/>
          <w:szCs w:val="16"/>
          <w:rtl/>
        </w:rPr>
        <w:t>(כח. ד"ה ואם)</w:t>
      </w:r>
      <w:r w:rsidR="00A82951">
        <w:rPr>
          <w:rFonts w:cs="Arial" w:hint="cs"/>
          <w:rtl/>
        </w:rPr>
        <w:t>-</w:t>
      </w:r>
      <w:r>
        <w:rPr>
          <w:rFonts w:cs="Arial" w:hint="cs"/>
          <w:rtl/>
        </w:rPr>
        <w:t xml:space="preserve"> </w:t>
      </w:r>
      <w:r w:rsidRPr="00374AA5">
        <w:rPr>
          <w:rFonts w:cs="Arial"/>
          <w:rtl/>
        </w:rPr>
        <w:t>אם נישאת אין צריך להרחיק אלא כדי שכונה דהיינו ג' בתים כדאמרינן בספ</w:t>
      </w:r>
      <w:r>
        <w:rPr>
          <w:rFonts w:cs="Arial" w:hint="cs"/>
          <w:rtl/>
        </w:rPr>
        <w:t>"</w:t>
      </w:r>
      <w:r w:rsidRPr="00374AA5">
        <w:rPr>
          <w:rFonts w:cs="Arial"/>
          <w:rtl/>
        </w:rPr>
        <w:t xml:space="preserve">ק דע"ז </w:t>
      </w:r>
      <w:r w:rsidR="00942ACB">
        <w:rPr>
          <w:rFonts w:cs="Arial" w:hint="cs"/>
          <w:rtl/>
        </w:rPr>
        <w:t>(</w:t>
      </w:r>
      <w:r w:rsidRPr="00374AA5">
        <w:rPr>
          <w:rFonts w:cs="Arial"/>
          <w:rtl/>
        </w:rPr>
        <w:t>כא.) דכיון דנישאת חמירא ליה אפי' לכהן.</w:t>
      </w:r>
    </w:p>
    <w:p w14:paraId="554E7E11" w14:textId="24FD84E7" w:rsidR="00B62427" w:rsidRDefault="00B62427" w:rsidP="00B62427">
      <w:pPr>
        <w:ind w:left="360"/>
        <w:rPr>
          <w:u w:val="dotted"/>
          <w:rtl/>
        </w:rPr>
      </w:pPr>
      <w:r>
        <w:rPr>
          <w:rFonts w:hint="cs"/>
          <w:u w:val="dotted"/>
          <w:rtl/>
        </w:rPr>
        <w:t>ישראל ליד גרושתו:</w:t>
      </w:r>
    </w:p>
    <w:p w14:paraId="2CE06278" w14:textId="2BD93105" w:rsidR="00F865A9" w:rsidRDefault="00F865A9" w:rsidP="00A65C5F">
      <w:pPr>
        <w:pStyle w:val="ab"/>
        <w:numPr>
          <w:ilvl w:val="0"/>
          <w:numId w:val="22"/>
        </w:numPr>
        <w:rPr>
          <w:u w:val="dotted"/>
        </w:rPr>
      </w:pPr>
      <w:r w:rsidRPr="00F865A9">
        <w:rPr>
          <w:rFonts w:cs="Arial" w:hint="cs"/>
          <w:rtl/>
        </w:rPr>
        <w:t>רא"ש</w:t>
      </w:r>
      <w:r>
        <w:rPr>
          <w:rFonts w:cs="Arial" w:hint="cs"/>
          <w:rtl/>
        </w:rPr>
        <w:t xml:space="preserve"> </w:t>
      </w:r>
      <w:r w:rsidRPr="00374AA5">
        <w:rPr>
          <w:rFonts w:cs="Arial" w:hint="cs"/>
          <w:sz w:val="16"/>
          <w:szCs w:val="16"/>
          <w:rtl/>
        </w:rPr>
        <w:t>(</w:t>
      </w:r>
      <w:r w:rsidR="000E759C">
        <w:rPr>
          <w:rFonts w:cs="Arial" w:hint="cs"/>
          <w:sz w:val="16"/>
          <w:szCs w:val="16"/>
          <w:rtl/>
        </w:rPr>
        <w:t>שם</w:t>
      </w:r>
      <w:r w:rsidR="00B24073">
        <w:rPr>
          <w:rFonts w:cs="Arial" w:hint="cs"/>
          <w:sz w:val="16"/>
          <w:szCs w:val="16"/>
          <w:rtl/>
        </w:rPr>
        <w:t>, להב' הב"י</w:t>
      </w:r>
      <w:r w:rsidRPr="00374AA5">
        <w:rPr>
          <w:rFonts w:cs="Arial" w:hint="cs"/>
          <w:sz w:val="16"/>
          <w:szCs w:val="16"/>
          <w:rtl/>
        </w:rPr>
        <w:t>)</w:t>
      </w:r>
      <w:r w:rsidR="00A82951">
        <w:rPr>
          <w:rFonts w:cs="Arial" w:hint="cs"/>
          <w:rtl/>
        </w:rPr>
        <w:t>-</w:t>
      </w:r>
      <w:r w:rsidRPr="00F865A9">
        <w:rPr>
          <w:rFonts w:cs="Arial" w:hint="cs"/>
          <w:rtl/>
        </w:rPr>
        <w:t xml:space="preserve"> </w:t>
      </w:r>
      <w:r w:rsidRPr="00F865A9">
        <w:rPr>
          <w:rFonts w:cs="Arial"/>
          <w:rtl/>
        </w:rPr>
        <w:t>ישראל שגירש את אשתו כל זמן שלא נישאת דרה עמו אפילו במבוי</w:t>
      </w:r>
      <w:r w:rsidR="00B24073">
        <w:rPr>
          <w:rStyle w:val="a7"/>
          <w:rFonts w:cs="Arial"/>
          <w:rtl/>
        </w:rPr>
        <w:footnoteReference w:id="72"/>
      </w:r>
      <w:r>
        <w:rPr>
          <w:rFonts w:cs="Arial" w:hint="cs"/>
          <w:sz w:val="16"/>
          <w:szCs w:val="16"/>
          <w:rtl/>
        </w:rPr>
        <w:t xml:space="preserve"> (ל' הב"י בשמו)</w:t>
      </w:r>
      <w:r w:rsidRPr="00F865A9">
        <w:rPr>
          <w:rFonts w:cs="Arial" w:hint="cs"/>
          <w:rtl/>
        </w:rPr>
        <w:t>.</w:t>
      </w:r>
      <w:r w:rsidR="00C16D7B" w:rsidRPr="00C16D7B">
        <w:rPr>
          <w:rFonts w:cs="Arial" w:hint="cs"/>
          <w:color w:val="E36C0A" w:themeColor="accent6" w:themeShade="BF"/>
          <w:rtl/>
        </w:rPr>
        <w:t xml:space="preserve"> </w:t>
      </w:r>
    </w:p>
    <w:p w14:paraId="3A53F803" w14:textId="271C6A3F" w:rsidR="00942ACB" w:rsidRPr="00942ACB" w:rsidRDefault="00942ACB" w:rsidP="00A65C5F">
      <w:pPr>
        <w:pStyle w:val="ab"/>
        <w:numPr>
          <w:ilvl w:val="0"/>
          <w:numId w:val="22"/>
        </w:numPr>
        <w:rPr>
          <w:rtl/>
        </w:rPr>
      </w:pPr>
      <w:r w:rsidRPr="00942ACB">
        <w:rPr>
          <w:rFonts w:hint="cs"/>
          <w:rtl/>
        </w:rPr>
        <w:t>רש"י</w:t>
      </w:r>
      <w:r>
        <w:rPr>
          <w:rFonts w:hint="cs"/>
          <w:sz w:val="16"/>
          <w:szCs w:val="16"/>
          <w:rtl/>
        </w:rPr>
        <w:t xml:space="preserve"> (כח. ד"ה לא תדור)</w:t>
      </w:r>
      <w:r w:rsidR="00A82951">
        <w:rPr>
          <w:rFonts w:hint="cs"/>
          <w:rtl/>
        </w:rPr>
        <w:t>-</w:t>
      </w:r>
      <w:r w:rsidRPr="00942ACB">
        <w:rPr>
          <w:rFonts w:hint="cs"/>
          <w:rtl/>
        </w:rPr>
        <w:t xml:space="preserve"> </w:t>
      </w:r>
      <w:r w:rsidRPr="00942ACB">
        <w:rPr>
          <w:rFonts w:cs="Arial"/>
          <w:rtl/>
        </w:rPr>
        <w:t>ישראל כל זמן שלא ניסת</w:t>
      </w:r>
      <w:r w:rsidR="00702B71">
        <w:rPr>
          <w:rFonts w:cs="Arial" w:hint="cs"/>
          <w:rtl/>
        </w:rPr>
        <w:t xml:space="preserve"> </w:t>
      </w:r>
      <w:r w:rsidR="00A82951">
        <w:rPr>
          <w:rFonts w:cs="Arial" w:hint="cs"/>
          <w:rtl/>
        </w:rPr>
        <w:t>-</w:t>
      </w:r>
      <w:r w:rsidRPr="00942ACB">
        <w:rPr>
          <w:rFonts w:cs="Arial"/>
          <w:rtl/>
        </w:rPr>
        <w:t xml:space="preserve"> תדור בשכונתו</w:t>
      </w:r>
      <w:r>
        <w:rPr>
          <w:rFonts w:hint="cs"/>
          <w:rtl/>
        </w:rPr>
        <w:t>.</w:t>
      </w:r>
    </w:p>
    <w:p w14:paraId="75BC5744" w14:textId="05CEF8C2" w:rsidR="00702B71" w:rsidRDefault="003F7CFF" w:rsidP="00A65C5F">
      <w:pPr>
        <w:pStyle w:val="ab"/>
        <w:numPr>
          <w:ilvl w:val="0"/>
          <w:numId w:val="22"/>
        </w:numPr>
        <w:rPr>
          <w:rFonts w:cs="Arial"/>
        </w:rPr>
      </w:pPr>
      <w:r>
        <w:rPr>
          <w:rFonts w:cs="Arial" w:hint="cs"/>
          <w:rtl/>
        </w:rPr>
        <w:t xml:space="preserve">רמב"ם </w:t>
      </w:r>
      <w:r>
        <w:rPr>
          <w:rFonts w:cs="Arial" w:hint="cs"/>
          <w:sz w:val="16"/>
          <w:szCs w:val="16"/>
          <w:rtl/>
        </w:rPr>
        <w:t>(פכ"א מאיסו"ב הכ"ז)</w:t>
      </w:r>
      <w:r w:rsidR="00A82951">
        <w:rPr>
          <w:rFonts w:cs="Arial" w:hint="cs"/>
          <w:rtl/>
        </w:rPr>
        <w:t>-</w:t>
      </w:r>
      <w:r>
        <w:rPr>
          <w:rFonts w:cs="Arial" w:hint="cs"/>
          <w:rtl/>
        </w:rPr>
        <w:t xml:space="preserve"> </w:t>
      </w:r>
      <w:r w:rsidRPr="003F7CFF">
        <w:rPr>
          <w:rFonts w:cs="Arial"/>
          <w:rtl/>
        </w:rPr>
        <w:t>מי שגירש את אשתו מן הנשואין לא תדור עמו בחצר שמא יבואו לידי זנות</w:t>
      </w:r>
      <w:r w:rsidR="00702B71">
        <w:rPr>
          <w:rFonts w:cs="Arial" w:hint="cs"/>
          <w:rtl/>
        </w:rPr>
        <w:t>.</w:t>
      </w:r>
      <w:r w:rsidRPr="003F7CFF">
        <w:rPr>
          <w:rFonts w:cs="Arial"/>
          <w:rtl/>
        </w:rPr>
        <w:t xml:space="preserve"> </w:t>
      </w:r>
      <w:r w:rsidR="00702B71" w:rsidRPr="00681348">
        <w:rPr>
          <w:rFonts w:cs="Arial" w:hint="cs"/>
          <w:color w:val="E36C0A" w:themeColor="accent6" w:themeShade="BF"/>
          <w:rtl/>
        </w:rPr>
        <w:t>(וכ"פ בשו"ע</w:t>
      </w:r>
      <w:r w:rsidR="00702B71">
        <w:rPr>
          <w:rFonts w:cs="Arial" w:hint="cs"/>
          <w:color w:val="E36C0A" w:themeColor="accent6" w:themeShade="BF"/>
          <w:rtl/>
        </w:rPr>
        <w:t>)</w:t>
      </w:r>
    </w:p>
    <w:p w14:paraId="63CB959F" w14:textId="77777777" w:rsidR="000E759C" w:rsidRDefault="000E759C" w:rsidP="000E759C">
      <w:pPr>
        <w:ind w:left="360"/>
        <w:rPr>
          <w:u w:val="dotted"/>
          <w:rtl/>
        </w:rPr>
      </w:pPr>
      <w:r>
        <w:rPr>
          <w:rFonts w:hint="cs"/>
          <w:u w:val="dotted"/>
          <w:rtl/>
        </w:rPr>
        <w:t>כהן ליד גרושתו:</w:t>
      </w:r>
    </w:p>
    <w:p w14:paraId="1437F14C" w14:textId="0E9CA931" w:rsidR="000E759C" w:rsidRPr="00F865A9" w:rsidRDefault="000E759C" w:rsidP="000E759C">
      <w:pPr>
        <w:pStyle w:val="ab"/>
        <w:numPr>
          <w:ilvl w:val="0"/>
          <w:numId w:val="16"/>
        </w:numPr>
        <w:rPr>
          <w:u w:val="dotted"/>
          <w:rtl/>
        </w:rPr>
      </w:pPr>
      <w:r w:rsidRPr="00F865A9">
        <w:rPr>
          <w:rFonts w:cs="Arial" w:hint="cs"/>
          <w:rtl/>
        </w:rPr>
        <w:t>רא"ש</w:t>
      </w:r>
      <w:r w:rsidRPr="00F865A9">
        <w:rPr>
          <w:rFonts w:cs="Arial" w:hint="cs"/>
          <w:sz w:val="16"/>
          <w:szCs w:val="16"/>
          <w:rtl/>
        </w:rPr>
        <w:t xml:space="preserve"> (</w:t>
      </w:r>
      <w:r>
        <w:rPr>
          <w:rFonts w:cs="Arial" w:hint="cs"/>
          <w:sz w:val="16"/>
          <w:szCs w:val="16"/>
          <w:rtl/>
        </w:rPr>
        <w:t>שם</w:t>
      </w:r>
      <w:r w:rsidRPr="00F865A9">
        <w:rPr>
          <w:rFonts w:cs="Arial" w:hint="cs"/>
          <w:sz w:val="16"/>
          <w:szCs w:val="16"/>
          <w:rtl/>
        </w:rPr>
        <w:t>)</w:t>
      </w:r>
      <w:r w:rsidR="00A82951">
        <w:rPr>
          <w:rFonts w:cs="Arial" w:hint="cs"/>
          <w:rtl/>
        </w:rPr>
        <w:t>-</w:t>
      </w:r>
      <w:r w:rsidRPr="00F865A9">
        <w:rPr>
          <w:rFonts w:cs="Arial" w:hint="cs"/>
          <w:rtl/>
        </w:rPr>
        <w:t xml:space="preserve"> </w:t>
      </w:r>
      <w:r w:rsidRPr="00F865A9">
        <w:rPr>
          <w:rFonts w:cs="Arial"/>
          <w:rtl/>
        </w:rPr>
        <w:t>כשהוא כהן ולא נישאת דאפילו יבוא עליה ליכא אלא איסור לאו</w:t>
      </w:r>
      <w:r w:rsidRPr="00F865A9">
        <w:rPr>
          <w:rFonts w:cs="Arial" w:hint="cs"/>
          <w:rtl/>
        </w:rPr>
        <w:t>,</w:t>
      </w:r>
      <w:r w:rsidRPr="00F865A9">
        <w:rPr>
          <w:rFonts w:cs="Arial"/>
          <w:rtl/>
        </w:rPr>
        <w:t xml:space="preserve"> בהרחקת מבוי סגי להו</w:t>
      </w:r>
      <w:r w:rsidRPr="00F865A9">
        <w:rPr>
          <w:rFonts w:cs="Arial" w:hint="cs"/>
          <w:sz w:val="16"/>
          <w:szCs w:val="16"/>
          <w:rtl/>
        </w:rPr>
        <w:t xml:space="preserve"> (ל' הב"י</w:t>
      </w:r>
      <w:r>
        <w:rPr>
          <w:rFonts w:cs="Arial" w:hint="cs"/>
          <w:sz w:val="16"/>
          <w:szCs w:val="16"/>
          <w:rtl/>
        </w:rPr>
        <w:t xml:space="preserve"> בשם הרא"ש</w:t>
      </w:r>
      <w:r w:rsidRPr="00F865A9">
        <w:rPr>
          <w:rFonts w:cs="Arial" w:hint="cs"/>
          <w:sz w:val="16"/>
          <w:szCs w:val="16"/>
          <w:rtl/>
        </w:rPr>
        <w:t>)</w:t>
      </w:r>
      <w:r w:rsidRPr="00F865A9">
        <w:rPr>
          <w:rFonts w:cs="Arial" w:hint="cs"/>
          <w:rtl/>
        </w:rPr>
        <w:t>.</w:t>
      </w:r>
      <w:r w:rsidR="00C16D7B" w:rsidRPr="00C16D7B">
        <w:rPr>
          <w:rFonts w:cs="Arial" w:hint="cs"/>
          <w:color w:val="E36C0A" w:themeColor="accent6" w:themeShade="BF"/>
          <w:rtl/>
        </w:rPr>
        <w:t xml:space="preserve"> </w:t>
      </w:r>
    </w:p>
    <w:p w14:paraId="4F038F5B" w14:textId="71FB90B5" w:rsidR="000E759C" w:rsidRDefault="000E759C" w:rsidP="000E759C">
      <w:pPr>
        <w:pStyle w:val="ab"/>
        <w:numPr>
          <w:ilvl w:val="0"/>
          <w:numId w:val="16"/>
        </w:numPr>
        <w:rPr>
          <w:rFonts w:cs="Arial"/>
        </w:rPr>
      </w:pPr>
      <w:r>
        <w:rPr>
          <w:rFonts w:cs="Arial" w:hint="cs"/>
          <w:rtl/>
        </w:rPr>
        <w:t xml:space="preserve">תוס' </w:t>
      </w:r>
      <w:r w:rsidRPr="00374AA5">
        <w:rPr>
          <w:rFonts w:cs="Arial" w:hint="cs"/>
          <w:sz w:val="16"/>
          <w:szCs w:val="16"/>
          <w:rtl/>
        </w:rPr>
        <w:t>(כח. ד"ה ואם)</w:t>
      </w:r>
      <w:r w:rsidR="00A82951">
        <w:rPr>
          <w:rFonts w:cs="Arial" w:hint="cs"/>
          <w:rtl/>
        </w:rPr>
        <w:t>-</w:t>
      </w:r>
      <w:r>
        <w:rPr>
          <w:rFonts w:cs="Arial" w:hint="cs"/>
          <w:rtl/>
        </w:rPr>
        <w:t xml:space="preserve"> </w:t>
      </w:r>
      <w:r w:rsidRPr="00374AA5">
        <w:rPr>
          <w:rFonts w:cs="Arial"/>
          <w:rtl/>
        </w:rPr>
        <w:t xml:space="preserve">ואם היה כהן לא תדור עמו במבוי </w:t>
      </w:r>
      <w:r w:rsidR="00A82951">
        <w:rPr>
          <w:rFonts w:cs="Arial"/>
          <w:rtl/>
        </w:rPr>
        <w:t>-</w:t>
      </w:r>
      <w:r w:rsidRPr="00374AA5">
        <w:rPr>
          <w:rFonts w:cs="Arial"/>
          <w:rtl/>
        </w:rPr>
        <w:t xml:space="preserve"> דכיון דפנויה היא קיל ליה.</w:t>
      </w:r>
    </w:p>
    <w:p w14:paraId="5A5C05A6" w14:textId="141EE82B" w:rsidR="00702B71" w:rsidRPr="00C16D7B" w:rsidRDefault="00702B71" w:rsidP="00702B71">
      <w:pPr>
        <w:pStyle w:val="ab"/>
        <w:numPr>
          <w:ilvl w:val="0"/>
          <w:numId w:val="16"/>
        </w:numPr>
        <w:rPr>
          <w:rFonts w:cs="Arial"/>
          <w:rtl/>
        </w:rPr>
      </w:pPr>
      <w:r>
        <w:rPr>
          <w:rFonts w:cs="Arial" w:hint="cs"/>
          <w:rtl/>
        </w:rPr>
        <w:t xml:space="preserve">רמב"ם </w:t>
      </w:r>
      <w:r>
        <w:rPr>
          <w:rFonts w:cs="Arial" w:hint="cs"/>
          <w:sz w:val="16"/>
          <w:szCs w:val="16"/>
          <w:rtl/>
        </w:rPr>
        <w:t>(פכ"א מאיסו"ב הכ"ז)</w:t>
      </w:r>
      <w:r w:rsidR="00A82951">
        <w:rPr>
          <w:rFonts w:cs="Arial" w:hint="cs"/>
          <w:rtl/>
        </w:rPr>
        <w:t>-</w:t>
      </w:r>
      <w:r>
        <w:rPr>
          <w:rFonts w:cs="Arial" w:hint="cs"/>
          <w:rtl/>
        </w:rPr>
        <w:t xml:space="preserve"> </w:t>
      </w:r>
      <w:r w:rsidRPr="003F7CFF">
        <w:rPr>
          <w:rFonts w:cs="Arial"/>
          <w:rtl/>
        </w:rPr>
        <w:t>ואם היה כהן לא תדור עמו במבוי, וכפר קטן נידון כמבוי.</w:t>
      </w:r>
      <w:r w:rsidRPr="00702B71">
        <w:rPr>
          <w:rFonts w:cs="Arial" w:hint="cs"/>
          <w:color w:val="E36C0A" w:themeColor="accent6" w:themeShade="BF"/>
          <w:rtl/>
        </w:rPr>
        <w:t xml:space="preserve"> </w:t>
      </w:r>
      <w:r w:rsidRPr="00681348">
        <w:rPr>
          <w:rFonts w:cs="Arial" w:hint="cs"/>
          <w:color w:val="E36C0A" w:themeColor="accent6" w:themeShade="BF"/>
          <w:rtl/>
        </w:rPr>
        <w:t>(וכ"פ בשו"ע</w:t>
      </w:r>
      <w:r>
        <w:rPr>
          <w:rFonts w:cs="Arial" w:hint="cs"/>
          <w:color w:val="E36C0A" w:themeColor="accent6" w:themeShade="BF"/>
          <w:rtl/>
        </w:rPr>
        <w:t>)</w:t>
      </w:r>
    </w:p>
    <w:p w14:paraId="51F869FF" w14:textId="2F137C0D" w:rsidR="00F865A9" w:rsidRPr="00B62427" w:rsidRDefault="00F865A9" w:rsidP="00B62427">
      <w:pPr>
        <w:ind w:left="360"/>
        <w:rPr>
          <w:u w:val="dotted"/>
        </w:rPr>
      </w:pPr>
      <w:r>
        <w:rPr>
          <w:rFonts w:hint="cs"/>
          <w:u w:val="dotted"/>
          <w:rtl/>
        </w:rPr>
        <w:t>ישראל ליד גרושתו שנישאה לאחר ונתגרשה:</w:t>
      </w:r>
    </w:p>
    <w:p w14:paraId="013DAD51" w14:textId="3C5772C8" w:rsidR="008D031E" w:rsidRPr="008D031E" w:rsidRDefault="00F865A9" w:rsidP="00DB6861">
      <w:pPr>
        <w:pStyle w:val="ab"/>
        <w:numPr>
          <w:ilvl w:val="0"/>
          <w:numId w:val="16"/>
        </w:numPr>
      </w:pPr>
      <w:r>
        <w:rPr>
          <w:rFonts w:cs="Arial" w:hint="cs"/>
          <w:rtl/>
        </w:rPr>
        <w:t>רא"ש</w:t>
      </w:r>
      <w:r>
        <w:rPr>
          <w:rStyle w:val="a7"/>
          <w:rFonts w:cs="Arial"/>
          <w:rtl/>
        </w:rPr>
        <w:footnoteReference w:id="73"/>
      </w:r>
      <w:r w:rsidRPr="00374AA5">
        <w:rPr>
          <w:rFonts w:cs="Arial" w:hint="cs"/>
          <w:sz w:val="16"/>
          <w:szCs w:val="16"/>
          <w:rtl/>
        </w:rPr>
        <w:t xml:space="preserve"> (כתובות פ"ב סי' לב)</w:t>
      </w:r>
      <w:r>
        <w:rPr>
          <w:rFonts w:cs="Arial" w:hint="cs"/>
          <w:rtl/>
        </w:rPr>
        <w:t xml:space="preserve"> וטור</w:t>
      </w:r>
      <w:r w:rsidR="00A82951">
        <w:rPr>
          <w:rFonts w:cs="Arial" w:hint="cs"/>
          <w:rtl/>
        </w:rPr>
        <w:t>-</w:t>
      </w:r>
      <w:r>
        <w:rPr>
          <w:rFonts w:cs="Arial" w:hint="cs"/>
          <w:rtl/>
        </w:rPr>
        <w:t xml:space="preserve"> </w:t>
      </w:r>
      <w:r w:rsidR="00E5139A" w:rsidRPr="00FE714F">
        <w:rPr>
          <w:rFonts w:cs="Arial"/>
          <w:rtl/>
        </w:rPr>
        <w:t xml:space="preserve">ואם גירשה השני </w:t>
      </w:r>
      <w:r w:rsidR="00E5139A" w:rsidRPr="00DB6861">
        <w:rPr>
          <w:rFonts w:cs="Arial"/>
          <w:rtl/>
        </w:rPr>
        <w:t>אז אינה אסורה לדור אלא במבוי שדר בו הראשון</w:t>
      </w:r>
      <w:r w:rsidR="00F91E7E" w:rsidRPr="00DB6861">
        <w:rPr>
          <w:rFonts w:cs="Arial" w:hint="cs"/>
          <w:rtl/>
        </w:rPr>
        <w:t>,</w:t>
      </w:r>
      <w:r w:rsidR="00E5139A" w:rsidRPr="00DB6861">
        <w:rPr>
          <w:rFonts w:cs="Arial"/>
          <w:rtl/>
        </w:rPr>
        <w:t xml:space="preserve"> אבל חוץ למבוי מותר</w:t>
      </w:r>
      <w:r w:rsidR="00A1514A" w:rsidRPr="00DB6861">
        <w:rPr>
          <w:rFonts w:cs="Arial" w:hint="cs"/>
          <w:rtl/>
        </w:rPr>
        <w:t>ת</w:t>
      </w:r>
      <w:r w:rsidR="00942ACB" w:rsidRPr="00DB6861">
        <w:rPr>
          <w:rFonts w:cs="Arial" w:hint="cs"/>
          <w:sz w:val="16"/>
          <w:szCs w:val="16"/>
          <w:rtl/>
        </w:rPr>
        <w:t xml:space="preserve"> (ל' הטור)</w:t>
      </w:r>
      <w:r w:rsidR="00A1514A" w:rsidRPr="00DB6861">
        <w:rPr>
          <w:rFonts w:cs="Arial" w:hint="cs"/>
          <w:rtl/>
        </w:rPr>
        <w:t>.</w:t>
      </w:r>
      <w:r w:rsidR="00E5139A" w:rsidRPr="00DB6861">
        <w:rPr>
          <w:rFonts w:cs="Arial"/>
          <w:rtl/>
        </w:rPr>
        <w:t xml:space="preserve"> </w:t>
      </w:r>
    </w:p>
    <w:p w14:paraId="6E2F597F" w14:textId="1F4740F0" w:rsidR="00374AA5" w:rsidRPr="00101866" w:rsidRDefault="008D031E" w:rsidP="00101866">
      <w:pPr>
        <w:pStyle w:val="ab"/>
        <w:numPr>
          <w:ilvl w:val="0"/>
          <w:numId w:val="16"/>
        </w:numPr>
        <w:rPr>
          <w:rtl/>
        </w:rPr>
      </w:pPr>
      <w:r w:rsidRPr="00EC459D">
        <w:rPr>
          <w:rFonts w:cs="Arial"/>
          <w:rtl/>
        </w:rPr>
        <w:t>ר"י</w:t>
      </w:r>
      <w:r>
        <w:rPr>
          <w:rFonts w:cs="Arial" w:hint="cs"/>
          <w:sz w:val="16"/>
          <w:szCs w:val="16"/>
          <w:rtl/>
        </w:rPr>
        <w:t xml:space="preserve"> (הביאו הר"ן [</w:t>
      </w:r>
      <w:r w:rsidRPr="00B24073">
        <w:rPr>
          <w:rFonts w:cs="Arial"/>
          <w:sz w:val="16"/>
          <w:szCs w:val="16"/>
          <w:rtl/>
        </w:rPr>
        <w:t>כתובות יב. ד"ה הפודה</w:t>
      </w:r>
      <w:r>
        <w:rPr>
          <w:rFonts w:cs="Arial" w:hint="cs"/>
          <w:sz w:val="16"/>
          <w:szCs w:val="16"/>
          <w:rtl/>
        </w:rPr>
        <w:t>])</w:t>
      </w:r>
      <w:r w:rsidR="00A82951">
        <w:rPr>
          <w:rFonts w:cs="Arial" w:hint="cs"/>
          <w:rtl/>
        </w:rPr>
        <w:t>-</w:t>
      </w:r>
      <w:r>
        <w:rPr>
          <w:rFonts w:cs="Arial" w:hint="cs"/>
          <w:rtl/>
        </w:rPr>
        <w:t xml:space="preserve"> </w:t>
      </w:r>
      <w:r w:rsidRPr="00EC459D">
        <w:rPr>
          <w:rFonts w:cs="Arial"/>
          <w:rtl/>
        </w:rPr>
        <w:t>כיון דאפילו בא עליה אינו לוקה כדאיתא בפרק עשרה יוחסין (עח.) אף במבוי רשאה לדור עמו אבל בחצר ודאי לא</w:t>
      </w:r>
      <w:r>
        <w:rPr>
          <w:rFonts w:cs="Arial" w:hint="cs"/>
          <w:rtl/>
        </w:rPr>
        <w:t>.</w:t>
      </w:r>
      <w:r w:rsidR="00EC459D" w:rsidRPr="00101866">
        <w:rPr>
          <w:rFonts w:cs="Arial"/>
          <w:rtl/>
        </w:rPr>
        <w:t xml:space="preserve"> </w:t>
      </w:r>
    </w:p>
    <w:p w14:paraId="5C4FC5A3" w14:textId="1F7C56F8" w:rsidR="00101866" w:rsidRDefault="00101866" w:rsidP="00054A1B">
      <w:pPr>
        <w:rPr>
          <w:rFonts w:cs="Arial"/>
          <w:rtl/>
        </w:rPr>
      </w:pPr>
      <w:r w:rsidRPr="00101866">
        <w:rPr>
          <w:rFonts w:cs="Arial" w:hint="cs"/>
          <w:u w:val="single"/>
          <w:rtl/>
        </w:rPr>
        <w:t xml:space="preserve">דין מבוי מפולש </w:t>
      </w:r>
      <w:r w:rsidR="00A82951">
        <w:rPr>
          <w:rFonts w:cs="Arial"/>
          <w:u w:val="single"/>
          <w:rtl/>
        </w:rPr>
        <w:t>-</w:t>
      </w:r>
      <w:r w:rsidRPr="00101866">
        <w:rPr>
          <w:rFonts w:cs="Arial" w:hint="cs"/>
          <w:u w:val="single"/>
          <w:rtl/>
        </w:rPr>
        <w:t xml:space="preserve"> לעניין מגורים כנ"ל:</w:t>
      </w:r>
    </w:p>
    <w:p w14:paraId="7A0FADDC" w14:textId="1F526125" w:rsidR="00C16D7B" w:rsidRDefault="00EC459D" w:rsidP="00A65C5F">
      <w:pPr>
        <w:pStyle w:val="ab"/>
        <w:numPr>
          <w:ilvl w:val="0"/>
          <w:numId w:val="24"/>
        </w:numPr>
        <w:rPr>
          <w:rFonts w:cs="Arial"/>
        </w:rPr>
      </w:pPr>
      <w:r w:rsidRPr="00101866">
        <w:rPr>
          <w:rFonts w:cs="Arial"/>
          <w:rtl/>
        </w:rPr>
        <w:t>רבינו יעקב דאורליינ"ש</w:t>
      </w:r>
      <w:r w:rsidR="00101866">
        <w:rPr>
          <w:rFonts w:cs="Arial" w:hint="cs"/>
          <w:sz w:val="16"/>
          <w:szCs w:val="16"/>
          <w:rtl/>
        </w:rPr>
        <w:t xml:space="preserve"> (כ"כ בשמו התוס', הביאם הר"ן [שם])</w:t>
      </w:r>
      <w:r w:rsidR="00101866" w:rsidRPr="00101866">
        <w:rPr>
          <w:rFonts w:cs="Arial" w:hint="cs"/>
          <w:rtl/>
        </w:rPr>
        <w:t xml:space="preserve"> </w:t>
      </w:r>
      <w:r w:rsidR="00101866">
        <w:rPr>
          <w:rFonts w:cs="Arial" w:hint="cs"/>
          <w:rtl/>
        </w:rPr>
        <w:t>ו</w:t>
      </w:r>
      <w:r w:rsidR="00101866" w:rsidRPr="00101866">
        <w:rPr>
          <w:rFonts w:cs="Arial"/>
          <w:rtl/>
        </w:rPr>
        <w:t>ריב"ש</w:t>
      </w:r>
      <w:r w:rsidR="00101866" w:rsidRPr="00101866">
        <w:rPr>
          <w:rFonts w:cs="Arial"/>
          <w:sz w:val="16"/>
          <w:szCs w:val="16"/>
          <w:rtl/>
        </w:rPr>
        <w:t xml:space="preserve"> </w:t>
      </w:r>
      <w:r w:rsidR="00101866" w:rsidRPr="00101866">
        <w:rPr>
          <w:rFonts w:cs="Arial" w:hint="cs"/>
          <w:sz w:val="16"/>
          <w:szCs w:val="16"/>
          <w:rtl/>
        </w:rPr>
        <w:t>(</w:t>
      </w:r>
      <w:r w:rsidR="00101866" w:rsidRPr="00101866">
        <w:rPr>
          <w:rFonts w:cs="Arial"/>
          <w:sz w:val="16"/>
          <w:szCs w:val="16"/>
          <w:rtl/>
        </w:rPr>
        <w:t>בתשו</w:t>
      </w:r>
      <w:r w:rsidR="00101866" w:rsidRPr="00101866">
        <w:rPr>
          <w:rFonts w:cs="Arial" w:hint="cs"/>
          <w:sz w:val="16"/>
          <w:szCs w:val="16"/>
          <w:rtl/>
        </w:rPr>
        <w:t>'</w:t>
      </w:r>
      <w:r w:rsidR="00101866" w:rsidRPr="00101866">
        <w:rPr>
          <w:rFonts w:cs="Arial"/>
          <w:sz w:val="16"/>
          <w:szCs w:val="16"/>
          <w:rtl/>
        </w:rPr>
        <w:t xml:space="preserve"> סי</w:t>
      </w:r>
      <w:r w:rsidR="00101866" w:rsidRPr="00101866">
        <w:rPr>
          <w:rFonts w:cs="Arial" w:hint="cs"/>
          <w:sz w:val="16"/>
          <w:szCs w:val="16"/>
          <w:rtl/>
        </w:rPr>
        <w:t>'</w:t>
      </w:r>
      <w:r w:rsidR="00101866" w:rsidRPr="00101866">
        <w:rPr>
          <w:rFonts w:cs="Arial"/>
          <w:sz w:val="16"/>
          <w:szCs w:val="16"/>
          <w:rtl/>
        </w:rPr>
        <w:t xml:space="preserve"> שס</w:t>
      </w:r>
      <w:r w:rsidR="00101866" w:rsidRPr="00101866">
        <w:rPr>
          <w:rFonts w:cs="Arial" w:hint="cs"/>
          <w:sz w:val="16"/>
          <w:szCs w:val="16"/>
          <w:rtl/>
        </w:rPr>
        <w:t>)</w:t>
      </w:r>
      <w:r w:rsidR="00A82951">
        <w:rPr>
          <w:rFonts w:cs="Arial" w:hint="cs"/>
          <w:rtl/>
        </w:rPr>
        <w:t>-</w:t>
      </w:r>
      <w:r w:rsidR="00101866">
        <w:rPr>
          <w:rFonts w:cs="Arial" w:hint="cs"/>
          <w:rtl/>
        </w:rPr>
        <w:t xml:space="preserve"> </w:t>
      </w:r>
      <w:r w:rsidRPr="00101866">
        <w:rPr>
          <w:rFonts w:cs="Arial"/>
          <w:rtl/>
        </w:rPr>
        <w:t>מבוי דשמעתין היינו מבוי סתם אבל מפולש דרבים בוקעים בו ליכא למיחש</w:t>
      </w:r>
      <w:r w:rsidR="00101866">
        <w:rPr>
          <w:rFonts w:cs="Arial" w:hint="cs"/>
          <w:sz w:val="16"/>
          <w:szCs w:val="16"/>
          <w:rtl/>
        </w:rPr>
        <w:t xml:space="preserve"> (ל' הר"ן)</w:t>
      </w:r>
      <w:r w:rsidRPr="00101866">
        <w:rPr>
          <w:rFonts w:cs="Arial"/>
          <w:rtl/>
        </w:rPr>
        <w:t xml:space="preserve">. </w:t>
      </w:r>
      <w:r w:rsidR="00E673EF" w:rsidRPr="00E673EF">
        <w:rPr>
          <w:rFonts w:cs="Arial" w:hint="cs"/>
          <w:color w:val="00B0F0"/>
          <w:rtl/>
        </w:rPr>
        <w:t>(וכ"פ הרמ"א)</w:t>
      </w:r>
    </w:p>
    <w:p w14:paraId="499F6A2B" w14:textId="13702797" w:rsidR="00C16D7B" w:rsidRPr="00C16D7B" w:rsidRDefault="00C16D7B" w:rsidP="00C16D7B">
      <w:pPr>
        <w:rPr>
          <w:rFonts w:cs="Arial"/>
          <w:u w:val="single"/>
        </w:rPr>
      </w:pPr>
      <w:r>
        <w:rPr>
          <w:rFonts w:cs="Arial" w:hint="cs"/>
          <w:u w:val="single"/>
          <w:rtl/>
        </w:rPr>
        <w:t>הכונס</w:t>
      </w:r>
      <w:r w:rsidRPr="00C16D7B">
        <w:rPr>
          <w:rFonts w:cs="Arial" w:hint="cs"/>
          <w:u w:val="single"/>
          <w:rtl/>
        </w:rPr>
        <w:t xml:space="preserve"> מינקת חברו </w:t>
      </w:r>
      <w:r w:rsidRPr="00C16D7B">
        <w:rPr>
          <w:rFonts w:cs="Arial" w:hint="cs"/>
          <w:sz w:val="16"/>
          <w:szCs w:val="16"/>
          <w:u w:val="single"/>
          <w:rtl/>
        </w:rPr>
        <w:t>(שכופין אותו להוציאה בגט)</w:t>
      </w:r>
      <w:r>
        <w:rPr>
          <w:rFonts w:cs="Arial" w:hint="cs"/>
          <w:u w:val="single"/>
          <w:rtl/>
        </w:rPr>
        <w:t xml:space="preserve"> </w:t>
      </w:r>
      <w:r w:rsidR="00A82951">
        <w:rPr>
          <w:rFonts w:cs="Arial"/>
          <w:u w:val="single"/>
          <w:rtl/>
        </w:rPr>
        <w:t>-</w:t>
      </w:r>
      <w:r>
        <w:rPr>
          <w:rFonts w:cs="Arial" w:hint="cs"/>
          <w:u w:val="single"/>
          <w:rtl/>
        </w:rPr>
        <w:t xml:space="preserve"> מה דינה לעניין מגורים כנ"ל</w:t>
      </w:r>
      <w:r w:rsidRPr="00C16D7B">
        <w:rPr>
          <w:rFonts w:cs="Arial" w:hint="cs"/>
          <w:u w:val="single"/>
          <w:rtl/>
        </w:rPr>
        <w:t>:</w:t>
      </w:r>
    </w:p>
    <w:p w14:paraId="403B10F6" w14:textId="0032E0A7" w:rsidR="00EC459D" w:rsidRDefault="00C16D7B" w:rsidP="00A65C5F">
      <w:pPr>
        <w:pStyle w:val="ab"/>
        <w:numPr>
          <w:ilvl w:val="0"/>
          <w:numId w:val="24"/>
        </w:numPr>
        <w:rPr>
          <w:rFonts w:cs="Arial"/>
        </w:rPr>
      </w:pPr>
      <w:r w:rsidRPr="00101866">
        <w:rPr>
          <w:rFonts w:cs="Arial"/>
          <w:rtl/>
        </w:rPr>
        <w:lastRenderedPageBreak/>
        <w:t>ריב"ש</w:t>
      </w:r>
      <w:r w:rsidRPr="00101866">
        <w:rPr>
          <w:rFonts w:cs="Arial"/>
          <w:sz w:val="16"/>
          <w:szCs w:val="16"/>
          <w:rtl/>
        </w:rPr>
        <w:t xml:space="preserve"> </w:t>
      </w:r>
      <w:r w:rsidRPr="00101866">
        <w:rPr>
          <w:rFonts w:cs="Arial" w:hint="cs"/>
          <w:sz w:val="16"/>
          <w:szCs w:val="16"/>
          <w:rtl/>
        </w:rPr>
        <w:t>(</w:t>
      </w:r>
      <w:r w:rsidRPr="00101866">
        <w:rPr>
          <w:rFonts w:cs="Arial"/>
          <w:sz w:val="16"/>
          <w:szCs w:val="16"/>
          <w:rtl/>
        </w:rPr>
        <w:t>בתשו</w:t>
      </w:r>
      <w:r w:rsidRPr="00101866">
        <w:rPr>
          <w:rFonts w:cs="Arial" w:hint="cs"/>
          <w:sz w:val="16"/>
          <w:szCs w:val="16"/>
          <w:rtl/>
        </w:rPr>
        <w:t>'</w:t>
      </w:r>
      <w:r w:rsidRPr="00101866">
        <w:rPr>
          <w:rFonts w:cs="Arial"/>
          <w:sz w:val="16"/>
          <w:szCs w:val="16"/>
          <w:rtl/>
        </w:rPr>
        <w:t xml:space="preserve"> סי</w:t>
      </w:r>
      <w:r w:rsidRPr="00101866">
        <w:rPr>
          <w:rFonts w:cs="Arial" w:hint="cs"/>
          <w:sz w:val="16"/>
          <w:szCs w:val="16"/>
          <w:rtl/>
        </w:rPr>
        <w:t>'</w:t>
      </w:r>
      <w:r w:rsidRPr="00101866">
        <w:rPr>
          <w:rFonts w:cs="Arial"/>
          <w:sz w:val="16"/>
          <w:szCs w:val="16"/>
          <w:rtl/>
        </w:rPr>
        <w:t xml:space="preserve"> שס</w:t>
      </w:r>
      <w:r w:rsidRPr="00101866">
        <w:rPr>
          <w:rFonts w:cs="Arial" w:hint="cs"/>
          <w:sz w:val="16"/>
          <w:szCs w:val="16"/>
          <w:rtl/>
        </w:rPr>
        <w:t>)</w:t>
      </w:r>
      <w:r w:rsidR="00A82951">
        <w:rPr>
          <w:rFonts w:cs="Arial" w:hint="cs"/>
          <w:rtl/>
        </w:rPr>
        <w:t>-</w:t>
      </w:r>
      <w:r>
        <w:rPr>
          <w:rFonts w:cs="Arial" w:hint="cs"/>
          <w:rtl/>
        </w:rPr>
        <w:t xml:space="preserve"> ה</w:t>
      </w:r>
      <w:r w:rsidR="00EC459D" w:rsidRPr="00C16D7B">
        <w:rPr>
          <w:rFonts w:cs="Arial"/>
          <w:rtl/>
        </w:rPr>
        <w:t xml:space="preserve">כונס מינקת חבירו שכופין אותו להוציאה בגט </w:t>
      </w:r>
      <w:r w:rsidR="00A82951">
        <w:rPr>
          <w:rFonts w:cs="Arial" w:hint="cs"/>
          <w:rtl/>
        </w:rPr>
        <w:t>-</w:t>
      </w:r>
      <w:r w:rsidRPr="00C16D7B">
        <w:rPr>
          <w:rFonts w:cs="Arial" w:hint="cs"/>
          <w:rtl/>
        </w:rPr>
        <w:t xml:space="preserve"> </w:t>
      </w:r>
      <w:r w:rsidR="00EC459D" w:rsidRPr="00C16D7B">
        <w:rPr>
          <w:rFonts w:cs="Arial"/>
          <w:rtl/>
        </w:rPr>
        <w:t>אסור לדור עמה במבוי דומיא דכהן שגירש</w:t>
      </w:r>
      <w:r w:rsidRPr="00C16D7B">
        <w:rPr>
          <w:rFonts w:cs="Arial" w:hint="cs"/>
          <w:rtl/>
        </w:rPr>
        <w:t>,</w:t>
      </w:r>
      <w:r w:rsidR="00EC459D" w:rsidRPr="00C16D7B">
        <w:rPr>
          <w:rFonts w:cs="Arial"/>
          <w:rtl/>
        </w:rPr>
        <w:t xml:space="preserve"> אבל אין לאסור לדור עמה בשכונתו דומיא דישראל שגירש ונישאת לאחר</w:t>
      </w:r>
      <w:r w:rsidR="002314B6" w:rsidRPr="00C16D7B">
        <w:rPr>
          <w:rFonts w:cs="Arial" w:hint="cs"/>
          <w:rtl/>
        </w:rPr>
        <w:t>.</w:t>
      </w:r>
    </w:p>
    <w:p w14:paraId="3C526AEF" w14:textId="5FEA2CC7" w:rsidR="00080C04" w:rsidRPr="00922465" w:rsidRDefault="00922465" w:rsidP="00922465">
      <w:pPr>
        <w:rPr>
          <w:rFonts w:cs="Arial"/>
          <w:u w:val="single"/>
        </w:rPr>
      </w:pPr>
      <w:r w:rsidRPr="00922465">
        <w:rPr>
          <w:rFonts w:cs="Arial" w:hint="cs"/>
          <w:u w:val="single"/>
          <w:rtl/>
        </w:rPr>
        <w:t>המ</w:t>
      </w:r>
      <w:r w:rsidRPr="00922465">
        <w:rPr>
          <w:rFonts w:cs="Arial"/>
          <w:u w:val="single"/>
          <w:rtl/>
        </w:rPr>
        <w:t xml:space="preserve">גרש </w:t>
      </w:r>
      <w:r w:rsidRPr="00922465">
        <w:rPr>
          <w:rFonts w:cs="Arial" w:hint="cs"/>
          <w:u w:val="single"/>
          <w:rtl/>
        </w:rPr>
        <w:t xml:space="preserve">אשה </w:t>
      </w:r>
      <w:r w:rsidRPr="00922465">
        <w:rPr>
          <w:rFonts w:cs="Arial"/>
          <w:u w:val="single"/>
          <w:rtl/>
        </w:rPr>
        <w:t>מחמת שהיתה אסורה</w:t>
      </w:r>
      <w:r w:rsidRPr="00922465">
        <w:rPr>
          <w:rFonts w:cs="Arial" w:hint="cs"/>
          <w:u w:val="single"/>
          <w:rtl/>
        </w:rPr>
        <w:t xml:space="preserve"> </w:t>
      </w:r>
      <w:r w:rsidR="00A82951">
        <w:rPr>
          <w:rFonts w:cs="Arial"/>
          <w:u w:val="single"/>
          <w:rtl/>
        </w:rPr>
        <w:t>-</w:t>
      </w:r>
      <w:r w:rsidRPr="00922465">
        <w:rPr>
          <w:rFonts w:cs="Arial" w:hint="cs"/>
          <w:u w:val="single"/>
          <w:rtl/>
        </w:rPr>
        <w:t xml:space="preserve"> מה דינה לעניין מגורים כנ"ל:</w:t>
      </w:r>
    </w:p>
    <w:p w14:paraId="16705E3A" w14:textId="567D9933" w:rsidR="00080C04" w:rsidRDefault="00922465" w:rsidP="00A65C5F">
      <w:pPr>
        <w:pStyle w:val="ab"/>
        <w:numPr>
          <w:ilvl w:val="0"/>
          <w:numId w:val="24"/>
        </w:numPr>
        <w:rPr>
          <w:rFonts w:cs="Arial"/>
        </w:rPr>
      </w:pPr>
      <w:r>
        <w:rPr>
          <w:rFonts w:cs="Arial" w:hint="cs"/>
          <w:rtl/>
        </w:rPr>
        <w:t xml:space="preserve">או"ז </w:t>
      </w:r>
      <w:r>
        <w:rPr>
          <w:rFonts w:cs="Arial" w:hint="cs"/>
          <w:sz w:val="16"/>
          <w:szCs w:val="16"/>
          <w:rtl/>
        </w:rPr>
        <w:t>(הל' יבום וקידושין סי' תריח)</w:t>
      </w:r>
      <w:r w:rsidR="00A82951">
        <w:rPr>
          <w:rFonts w:cs="Arial" w:hint="cs"/>
          <w:rtl/>
        </w:rPr>
        <w:t>-</w:t>
      </w:r>
      <w:r>
        <w:rPr>
          <w:rFonts w:cs="Arial" w:hint="cs"/>
          <w:rtl/>
        </w:rPr>
        <w:t xml:space="preserve"> </w:t>
      </w:r>
      <w:r w:rsidR="00080C04" w:rsidRPr="00080C04">
        <w:rPr>
          <w:rFonts w:cs="Arial"/>
          <w:rtl/>
        </w:rPr>
        <w:t>נראה בעיני דכל היכא שגירש מחמת שהיתה אסורה לו</w:t>
      </w:r>
      <w:r w:rsidR="000E2784">
        <w:rPr>
          <w:rFonts w:cs="Arial" w:hint="cs"/>
          <w:rtl/>
        </w:rPr>
        <w:t>,</w:t>
      </w:r>
      <w:r w:rsidR="00080C04" w:rsidRPr="00080C04">
        <w:rPr>
          <w:rFonts w:cs="Arial"/>
          <w:rtl/>
        </w:rPr>
        <w:t xml:space="preserve"> כגון הני דפרישית דתצא מזה ומזה וכגון אלמנ' לכה"ג גרושה וחלוצה לכהן הדיוט וכל כיוצא בהן חייבי לאוין שהקדושין תופסין בהם שאפי' גירש מן האירוסין </w:t>
      </w:r>
      <w:r w:rsidR="002B7BA5">
        <w:rPr>
          <w:rFonts w:cs="Arial" w:hint="cs"/>
          <w:rtl/>
        </w:rPr>
        <w:t xml:space="preserve">- </w:t>
      </w:r>
      <w:r w:rsidR="00080C04" w:rsidRPr="00080C04">
        <w:rPr>
          <w:rFonts w:cs="Arial"/>
          <w:rtl/>
        </w:rPr>
        <w:t>אפ"ה ה"ז לא ידור עמה לא באותו חצר ולא באותו מבוי</w:t>
      </w:r>
      <w:r w:rsidR="002B7BA5">
        <w:rPr>
          <w:rFonts w:cs="Arial" w:hint="cs"/>
          <w:rtl/>
        </w:rPr>
        <w:t>,</w:t>
      </w:r>
      <w:r w:rsidR="00080C04" w:rsidRPr="00080C04">
        <w:rPr>
          <w:rFonts w:cs="Arial"/>
          <w:rtl/>
        </w:rPr>
        <w:t xml:space="preserve"> דאמרי' בירו' דגיטין </w:t>
      </w:r>
      <w:r w:rsidR="002B7BA5">
        <w:rPr>
          <w:rFonts w:cs="Arial" w:hint="cs"/>
          <w:rtl/>
        </w:rPr>
        <w:t>(</w:t>
      </w:r>
      <w:r w:rsidR="00080C04" w:rsidRPr="00080C04">
        <w:rPr>
          <w:rFonts w:cs="Arial"/>
          <w:rtl/>
        </w:rPr>
        <w:t>פ' הזורק</w:t>
      </w:r>
      <w:r w:rsidR="002B7BA5">
        <w:rPr>
          <w:rFonts w:cs="Arial" w:hint="cs"/>
          <w:rtl/>
        </w:rPr>
        <w:t>)</w:t>
      </w:r>
      <w:r w:rsidR="00080C04" w:rsidRPr="00080C04">
        <w:rPr>
          <w:rFonts w:cs="Arial"/>
          <w:rtl/>
        </w:rPr>
        <w:t xml:space="preserve"> המגרש את אשתו לא תדור עמו לא באותו חצר ולא באותו מבוי</w:t>
      </w:r>
      <w:r>
        <w:rPr>
          <w:rFonts w:cs="Arial" w:hint="cs"/>
          <w:rtl/>
        </w:rPr>
        <w:t>.</w:t>
      </w:r>
      <w:r w:rsidRPr="00922465">
        <w:rPr>
          <w:rFonts w:cs="Arial" w:hint="cs"/>
          <w:color w:val="00B0F0"/>
          <w:rtl/>
        </w:rPr>
        <w:t xml:space="preserve"> </w:t>
      </w:r>
      <w:r w:rsidRPr="00E673EF">
        <w:rPr>
          <w:rFonts w:cs="Arial" w:hint="cs"/>
          <w:color w:val="00B0F0"/>
          <w:rtl/>
        </w:rPr>
        <w:t>(וכ"פ הרמ"א)</w:t>
      </w:r>
    </w:p>
    <w:p w14:paraId="52B8D9A4" w14:textId="77777777" w:rsidR="000F4DF0" w:rsidRPr="007B74F1" w:rsidRDefault="000F4DF0" w:rsidP="000F4DF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1D22099" w14:textId="76E45A80" w:rsidR="00054A1B" w:rsidRDefault="007B74F1" w:rsidP="006B27CF">
      <w:pPr>
        <w:rPr>
          <w:rFonts w:cs="Arial"/>
          <w:rtl/>
        </w:rPr>
      </w:pPr>
      <w:r w:rsidRPr="007B74F1">
        <w:rPr>
          <w:rFonts w:cs="Arial"/>
          <w:rtl/>
        </w:rPr>
        <w:t>מי שגירש אשתו מן הנשואין, לא תדור עמו בחצר</w:t>
      </w:r>
      <w:r w:rsidR="005F4F17">
        <w:rPr>
          <w:rStyle w:val="a7"/>
          <w:rFonts w:cs="Arial"/>
          <w:rtl/>
        </w:rPr>
        <w:footnoteReference w:id="74"/>
      </w:r>
      <w:r w:rsidRPr="007B74F1">
        <w:rPr>
          <w:rFonts w:cs="Arial"/>
          <w:rtl/>
        </w:rPr>
        <w:t xml:space="preserve">, שמא יבואו לידי זנות. ואם היה כהן, לא תדור עמו במבוי. וכפר קטן נידון כמבוי. </w:t>
      </w:r>
      <w:r w:rsidRPr="00054A1B">
        <w:rPr>
          <w:rFonts w:cs="Arial"/>
          <w:sz w:val="18"/>
          <w:szCs w:val="18"/>
          <w:rtl/>
        </w:rPr>
        <w:t>הגה: ואם נשאת לאחר, אפילו בישראל לא תדור עמו במבוי</w:t>
      </w:r>
      <w:r w:rsidR="000939D0">
        <w:rPr>
          <w:rStyle w:val="a7"/>
          <w:rFonts w:cs="Arial"/>
          <w:sz w:val="18"/>
          <w:szCs w:val="18"/>
          <w:rtl/>
        </w:rPr>
        <w:footnoteReference w:id="75"/>
      </w:r>
      <w:r w:rsidRPr="00054A1B">
        <w:rPr>
          <w:rFonts w:cs="Arial"/>
          <w:sz w:val="18"/>
          <w:szCs w:val="18"/>
          <w:rtl/>
        </w:rPr>
        <w:t xml:space="preserve"> (</w:t>
      </w:r>
      <w:r w:rsidR="00E673EF">
        <w:rPr>
          <w:rFonts w:cs="Arial" w:hint="cs"/>
          <w:sz w:val="18"/>
          <w:szCs w:val="18"/>
          <w:rtl/>
        </w:rPr>
        <w:t>ד"ע</w:t>
      </w:r>
      <w:r w:rsidRPr="00054A1B">
        <w:rPr>
          <w:rFonts w:cs="Arial"/>
          <w:sz w:val="18"/>
          <w:szCs w:val="18"/>
          <w:rtl/>
        </w:rPr>
        <w:t>). וכל זה במבוי סתום, אבל במבוי מפולש שדרך רבים עובר ביניהם, מותרים לדור (ר"ן בשם התוס</w:t>
      </w:r>
      <w:r w:rsidR="00DE75A4">
        <w:rPr>
          <w:rFonts w:cs="Arial" w:hint="cs"/>
          <w:sz w:val="18"/>
          <w:szCs w:val="18"/>
          <w:rtl/>
        </w:rPr>
        <w:t>' וריב"ש</w:t>
      </w:r>
      <w:r w:rsidRPr="00054A1B">
        <w:rPr>
          <w:rFonts w:cs="Arial"/>
          <w:sz w:val="18"/>
          <w:szCs w:val="18"/>
          <w:rtl/>
        </w:rPr>
        <w:t>)</w:t>
      </w:r>
      <w:r w:rsidR="00E673EF">
        <w:rPr>
          <w:rFonts w:cs="Arial" w:hint="cs"/>
          <w:sz w:val="18"/>
          <w:szCs w:val="18"/>
          <w:rtl/>
        </w:rPr>
        <w:t>.</w:t>
      </w:r>
      <w:r w:rsidRPr="00054A1B">
        <w:rPr>
          <w:rFonts w:cs="Arial"/>
          <w:sz w:val="18"/>
          <w:szCs w:val="18"/>
          <w:rtl/>
        </w:rPr>
        <w:t xml:space="preserve"> אם רשות רבים מפסיק בין בתיהם</w:t>
      </w:r>
      <w:r w:rsidR="00242083">
        <w:rPr>
          <w:rStyle w:val="a7"/>
          <w:rFonts w:cs="Arial"/>
          <w:sz w:val="18"/>
          <w:szCs w:val="18"/>
          <w:rtl/>
        </w:rPr>
        <w:footnoteReference w:id="76"/>
      </w:r>
      <w:r w:rsidRPr="00054A1B">
        <w:rPr>
          <w:rFonts w:cs="Arial"/>
          <w:sz w:val="18"/>
          <w:szCs w:val="18"/>
          <w:rtl/>
        </w:rPr>
        <w:t xml:space="preserve"> (הג</w:t>
      </w:r>
      <w:r w:rsidR="00A1514A">
        <w:rPr>
          <w:rFonts w:cs="Arial" w:hint="cs"/>
          <w:sz w:val="18"/>
          <w:szCs w:val="18"/>
          <w:rtl/>
        </w:rPr>
        <w:t>"</w:t>
      </w:r>
      <w:r w:rsidRPr="00054A1B">
        <w:rPr>
          <w:rFonts w:cs="Arial"/>
          <w:sz w:val="18"/>
          <w:szCs w:val="18"/>
          <w:rtl/>
        </w:rPr>
        <w:t>א פ"ב דכתובות), אפילו אין בכל העיר שום יהודי רק הם לבד, שרי</w:t>
      </w:r>
      <w:r w:rsidR="00242083">
        <w:rPr>
          <w:rStyle w:val="a7"/>
          <w:rFonts w:cs="Arial"/>
          <w:sz w:val="18"/>
          <w:szCs w:val="18"/>
          <w:rtl/>
        </w:rPr>
        <w:footnoteReference w:id="77"/>
      </w:r>
      <w:r w:rsidRPr="00054A1B">
        <w:rPr>
          <w:rFonts w:cs="Arial"/>
          <w:sz w:val="18"/>
          <w:szCs w:val="18"/>
          <w:rtl/>
        </w:rPr>
        <w:t xml:space="preserve"> (ת</w:t>
      </w:r>
      <w:r w:rsidR="00A1514A">
        <w:rPr>
          <w:rFonts w:cs="Arial" w:hint="cs"/>
          <w:sz w:val="18"/>
          <w:szCs w:val="18"/>
          <w:rtl/>
        </w:rPr>
        <w:t>רוה"ד</w:t>
      </w:r>
      <w:r w:rsidRPr="00054A1B">
        <w:rPr>
          <w:rFonts w:cs="Arial"/>
          <w:sz w:val="18"/>
          <w:szCs w:val="18"/>
          <w:rtl/>
        </w:rPr>
        <w:t xml:space="preserve"> סי</w:t>
      </w:r>
      <w:r w:rsidR="00A1514A">
        <w:rPr>
          <w:rFonts w:cs="Arial" w:hint="cs"/>
          <w:sz w:val="18"/>
          <w:szCs w:val="18"/>
          <w:rtl/>
        </w:rPr>
        <w:t>'</w:t>
      </w:r>
      <w:r w:rsidRPr="00054A1B">
        <w:rPr>
          <w:rFonts w:cs="Arial"/>
          <w:sz w:val="18"/>
          <w:szCs w:val="18"/>
          <w:rtl/>
        </w:rPr>
        <w:t xml:space="preserve"> רמג). גירשה משום שאסורה עליו, אפילו לא נשאת, אסור לדור עמה כאלו נשאת לאחר (א</w:t>
      </w:r>
      <w:r w:rsidR="00A1514A">
        <w:rPr>
          <w:rFonts w:cs="Arial" w:hint="cs"/>
          <w:sz w:val="18"/>
          <w:szCs w:val="18"/>
          <w:rtl/>
        </w:rPr>
        <w:t>ו</w:t>
      </w:r>
      <w:r w:rsidRPr="00054A1B">
        <w:rPr>
          <w:rFonts w:cs="Arial"/>
          <w:sz w:val="18"/>
          <w:szCs w:val="18"/>
          <w:rtl/>
        </w:rPr>
        <w:t>"ז).</w:t>
      </w:r>
      <w:r w:rsidRPr="007B74F1">
        <w:rPr>
          <w:rFonts w:cs="Arial"/>
          <w:rtl/>
        </w:rPr>
        <w:t xml:space="preserve"> </w:t>
      </w:r>
    </w:p>
    <w:p w14:paraId="748295C3" w14:textId="77777777" w:rsidR="00242083" w:rsidRPr="007B74F1" w:rsidRDefault="00242083" w:rsidP="00BB6442">
      <w:pPr>
        <w:rPr>
          <w:rFonts w:cs="Arial"/>
          <w:rtl/>
        </w:rPr>
      </w:pPr>
    </w:p>
    <w:p w14:paraId="26ED3013" w14:textId="4494CC8B" w:rsidR="007B74F1" w:rsidRDefault="007B74F1" w:rsidP="00786DE6">
      <w:pPr>
        <w:pStyle w:val="2"/>
        <w:rPr>
          <w:rtl/>
        </w:rPr>
      </w:pPr>
      <w:r w:rsidRPr="007B74F1">
        <w:rPr>
          <w:rtl/>
        </w:rPr>
        <w:t>סעיף ח</w:t>
      </w:r>
      <w:r w:rsidR="00054A1B">
        <w:rPr>
          <w:rFonts w:hint="cs"/>
          <w:rtl/>
        </w:rPr>
        <w:t>:</w:t>
      </w:r>
      <w:r w:rsidR="0032798B">
        <w:rPr>
          <w:rFonts w:hint="cs"/>
          <w:rtl/>
        </w:rPr>
        <w:t xml:space="preserve"> איש </w:t>
      </w:r>
      <w:r w:rsidR="0032300C">
        <w:rPr>
          <w:rFonts w:hint="cs"/>
          <w:rtl/>
        </w:rPr>
        <w:t>ש</w:t>
      </w:r>
      <w:r w:rsidR="0032798B">
        <w:rPr>
          <w:rFonts w:hint="cs"/>
          <w:rtl/>
        </w:rPr>
        <w:t>רוצה לתבוע לדין את גרושתו</w:t>
      </w:r>
      <w:r w:rsidR="0032300C">
        <w:rPr>
          <w:rFonts w:hint="cs"/>
          <w:rtl/>
        </w:rPr>
        <w:t xml:space="preserve"> מן הנשואין</w:t>
      </w:r>
      <w:r w:rsidR="0032798B">
        <w:rPr>
          <w:rFonts w:hint="cs"/>
          <w:rtl/>
        </w:rPr>
        <w:t>.</w:t>
      </w:r>
    </w:p>
    <w:p w14:paraId="75B07849" w14:textId="707DFF82" w:rsidR="003F7CFF" w:rsidRDefault="003F7CFF" w:rsidP="003F7CFF">
      <w:pPr>
        <w:rPr>
          <w:rtl/>
        </w:rPr>
      </w:pPr>
      <w:r w:rsidRPr="00F51D6D">
        <w:rPr>
          <w:rFonts w:cs="Arial" w:hint="cs"/>
          <w:b/>
          <w:bCs/>
          <w:rtl/>
        </w:rPr>
        <w:t xml:space="preserve">כתובות </w:t>
      </w:r>
      <w:r w:rsidRPr="00F51D6D">
        <w:rPr>
          <w:rFonts w:cs="Arial" w:hint="cs"/>
          <w:b/>
          <w:bCs/>
          <w:sz w:val="16"/>
          <w:szCs w:val="16"/>
          <w:rtl/>
        </w:rPr>
        <w:t>(ספ"ב)</w:t>
      </w:r>
      <w:r w:rsidRPr="00F51D6D">
        <w:rPr>
          <w:rFonts w:cs="Arial" w:hint="cs"/>
          <w:b/>
          <w:bCs/>
          <w:rtl/>
        </w:rPr>
        <w:t xml:space="preserve"> כ</w:t>
      </w:r>
      <w:r>
        <w:rPr>
          <w:rFonts w:cs="Arial" w:hint="cs"/>
          <w:b/>
          <w:bCs/>
          <w:rtl/>
        </w:rPr>
        <w:t>ח</w:t>
      </w:r>
      <w:r w:rsidR="000C2FFE">
        <w:rPr>
          <w:rStyle w:val="a7"/>
          <w:rFonts w:cs="Arial"/>
          <w:b/>
          <w:bCs/>
          <w:rtl/>
        </w:rPr>
        <w:footnoteReference w:id="78"/>
      </w:r>
      <w:r w:rsidRPr="00F51D6D">
        <w:rPr>
          <w:rFonts w:cs="Arial" w:hint="cs"/>
          <w:b/>
          <w:bCs/>
          <w:rtl/>
        </w:rPr>
        <w:t xml:space="preserve"> ע"</w:t>
      </w:r>
      <w:r>
        <w:rPr>
          <w:rFonts w:cs="Arial" w:hint="cs"/>
          <w:b/>
          <w:bCs/>
          <w:rtl/>
        </w:rPr>
        <w:t>א</w:t>
      </w:r>
      <w:r w:rsidRPr="00F51D6D">
        <w:rPr>
          <w:rFonts w:cs="Arial" w:hint="cs"/>
          <w:b/>
          <w:bCs/>
          <w:rtl/>
        </w:rPr>
        <w:t xml:space="preserve">: </w:t>
      </w:r>
      <w:r w:rsidRPr="00F51D6D">
        <w:rPr>
          <w:rFonts w:cs="Arial"/>
          <w:rtl/>
        </w:rPr>
        <w:t xml:space="preserve">ת"ר: לוה הימנה בנכסי אביה </w:t>
      </w:r>
      <w:r w:rsidR="00A82951">
        <w:rPr>
          <w:rFonts w:cs="Arial"/>
          <w:rtl/>
        </w:rPr>
        <w:t>-</w:t>
      </w:r>
      <w:r w:rsidRPr="00F51D6D">
        <w:rPr>
          <w:rFonts w:cs="Arial"/>
          <w:rtl/>
        </w:rPr>
        <w:t xml:space="preserve"> אינה נפרעת אלא ע"י אחר. </w:t>
      </w:r>
      <w:r w:rsidRPr="00595EF9">
        <w:rPr>
          <w:rFonts w:cs="Arial"/>
          <w:u w:val="single"/>
          <w:rtl/>
        </w:rPr>
        <w:t>אמר רב ששת</w:t>
      </w:r>
      <w:r w:rsidRPr="00F51D6D">
        <w:rPr>
          <w:rFonts w:cs="Arial"/>
          <w:rtl/>
        </w:rPr>
        <w:t xml:space="preserve">: ואי אתו לקמן לדינא </w:t>
      </w:r>
      <w:r w:rsidR="00A82951">
        <w:rPr>
          <w:rFonts w:cs="Arial"/>
          <w:rtl/>
        </w:rPr>
        <w:t>-</w:t>
      </w:r>
      <w:r w:rsidRPr="00F51D6D">
        <w:rPr>
          <w:rFonts w:cs="Arial"/>
          <w:rtl/>
        </w:rPr>
        <w:t xml:space="preserve"> לא מזדקקינן להו. </w:t>
      </w:r>
      <w:r w:rsidRPr="00595EF9">
        <w:rPr>
          <w:rFonts w:cs="Arial"/>
          <w:u w:val="single"/>
          <w:rtl/>
        </w:rPr>
        <w:t>רב פפא אמר</w:t>
      </w:r>
      <w:r w:rsidRPr="00F51D6D">
        <w:rPr>
          <w:rFonts w:cs="Arial"/>
          <w:rtl/>
        </w:rPr>
        <w:t xml:space="preserve">: שמותי משמתינן להו. </w:t>
      </w:r>
      <w:r w:rsidRPr="00595EF9">
        <w:rPr>
          <w:rFonts w:cs="Arial"/>
          <w:u w:val="single"/>
          <w:rtl/>
        </w:rPr>
        <w:t>רב הונא בריה דרב יהושע אמר</w:t>
      </w:r>
      <w:r w:rsidRPr="00F51D6D">
        <w:rPr>
          <w:rFonts w:cs="Arial"/>
          <w:rtl/>
        </w:rPr>
        <w:t>: נגודי נמי מנגדינן להו.</w:t>
      </w:r>
    </w:p>
    <w:p w14:paraId="38D24511" w14:textId="3D374573" w:rsidR="003F7CFF" w:rsidRPr="0032798B" w:rsidRDefault="0032798B" w:rsidP="003F7CFF">
      <w:pPr>
        <w:rPr>
          <w:u w:val="single"/>
          <w:rtl/>
        </w:rPr>
      </w:pPr>
      <w:r w:rsidRPr="0032798B">
        <w:rPr>
          <w:rFonts w:hint="cs"/>
          <w:u w:val="single"/>
          <w:rtl/>
        </w:rPr>
        <w:t xml:space="preserve">איש </w:t>
      </w:r>
      <w:r w:rsidR="0032300C">
        <w:rPr>
          <w:rFonts w:hint="cs"/>
          <w:u w:val="single"/>
          <w:rtl/>
        </w:rPr>
        <w:t>ש</w:t>
      </w:r>
      <w:r w:rsidRPr="0032798B">
        <w:rPr>
          <w:rFonts w:hint="cs"/>
          <w:u w:val="single"/>
          <w:rtl/>
        </w:rPr>
        <w:t>רוצה לתבוע לדין את גרושתו</w:t>
      </w:r>
      <w:r w:rsidR="0032300C">
        <w:rPr>
          <w:rFonts w:hint="cs"/>
          <w:u w:val="single"/>
          <w:rtl/>
        </w:rPr>
        <w:t xml:space="preserve"> מן הנשואין</w:t>
      </w:r>
      <w:r w:rsidRPr="0032798B">
        <w:rPr>
          <w:rFonts w:hint="cs"/>
          <w:u w:val="single"/>
          <w:rtl/>
        </w:rPr>
        <w:t>:</w:t>
      </w:r>
    </w:p>
    <w:p w14:paraId="5FEAC416" w14:textId="4C7C172C" w:rsidR="0032798B" w:rsidRDefault="003F7CFF" w:rsidP="00A65C5F">
      <w:pPr>
        <w:pStyle w:val="ab"/>
        <w:numPr>
          <w:ilvl w:val="0"/>
          <w:numId w:val="24"/>
        </w:numPr>
        <w:rPr>
          <w:rFonts w:cs="Arial"/>
        </w:rPr>
      </w:pPr>
      <w:r>
        <w:rPr>
          <w:rFonts w:cs="Arial" w:hint="cs"/>
          <w:rtl/>
        </w:rPr>
        <w:t xml:space="preserve">רמב"ם </w:t>
      </w:r>
      <w:r>
        <w:rPr>
          <w:rFonts w:cs="Arial" w:hint="cs"/>
          <w:sz w:val="16"/>
          <w:szCs w:val="16"/>
          <w:rtl/>
        </w:rPr>
        <w:t>(פכ"א מאיסו"ב הכ"ז)</w:t>
      </w:r>
      <w:r w:rsidR="0032798B">
        <w:rPr>
          <w:rFonts w:cs="Arial" w:hint="cs"/>
          <w:rtl/>
        </w:rPr>
        <w:t xml:space="preserve"> וטור</w:t>
      </w:r>
      <w:r w:rsidR="00A82951">
        <w:rPr>
          <w:rFonts w:cs="Arial" w:hint="cs"/>
          <w:rtl/>
        </w:rPr>
        <w:t>-</w:t>
      </w:r>
      <w:r>
        <w:rPr>
          <w:rFonts w:cs="Arial" w:hint="cs"/>
          <w:rtl/>
        </w:rPr>
        <w:t xml:space="preserve"> </w:t>
      </w:r>
      <w:r w:rsidRPr="003F7CFF">
        <w:rPr>
          <w:rFonts w:cs="Arial"/>
          <w:rtl/>
        </w:rPr>
        <w:t>היה לה מלוה אצלו</w:t>
      </w:r>
      <w:r w:rsidR="0032798B">
        <w:rPr>
          <w:rFonts w:cs="Arial" w:hint="cs"/>
          <w:rtl/>
        </w:rPr>
        <w:t>,</w:t>
      </w:r>
      <w:r w:rsidRPr="003F7CFF">
        <w:rPr>
          <w:rFonts w:cs="Arial"/>
          <w:rtl/>
        </w:rPr>
        <w:t xml:space="preserve"> עושה שליח לתובעו</w:t>
      </w:r>
      <w:r w:rsidR="0032798B">
        <w:rPr>
          <w:rFonts w:cs="Arial" w:hint="cs"/>
          <w:sz w:val="16"/>
          <w:szCs w:val="16"/>
          <w:rtl/>
        </w:rPr>
        <w:t xml:space="preserve"> (ל' הרמב"ם)</w:t>
      </w:r>
      <w:r w:rsidR="00922465">
        <w:rPr>
          <w:rFonts w:cs="Arial" w:hint="cs"/>
          <w:rtl/>
        </w:rPr>
        <w:t>.</w:t>
      </w:r>
      <w:r w:rsidRPr="003F7CFF">
        <w:rPr>
          <w:rFonts w:cs="Arial"/>
          <w:rtl/>
        </w:rPr>
        <w:t xml:space="preserve"> </w:t>
      </w:r>
      <w:r w:rsidR="006561FE" w:rsidRPr="00681348">
        <w:rPr>
          <w:rFonts w:cs="Arial" w:hint="cs"/>
          <w:color w:val="E36C0A" w:themeColor="accent6" w:themeShade="BF"/>
          <w:rtl/>
        </w:rPr>
        <w:t>(וכ"פ בשו"ע</w:t>
      </w:r>
      <w:r w:rsidR="006561FE">
        <w:rPr>
          <w:rFonts w:cs="Arial" w:hint="cs"/>
          <w:color w:val="E36C0A" w:themeColor="accent6" w:themeShade="BF"/>
          <w:rtl/>
        </w:rPr>
        <w:t>)</w:t>
      </w:r>
    </w:p>
    <w:p w14:paraId="0CE0A11E" w14:textId="5AF4E059" w:rsidR="0032798B" w:rsidRPr="0032798B" w:rsidRDefault="0032798B" w:rsidP="0032798B">
      <w:pPr>
        <w:ind w:left="360"/>
        <w:rPr>
          <w:rFonts w:cs="Arial"/>
          <w:u w:val="dotted"/>
        </w:rPr>
      </w:pPr>
      <w:r w:rsidRPr="0032798B">
        <w:rPr>
          <w:rFonts w:cs="Arial" w:hint="cs"/>
          <w:u w:val="dotted"/>
          <w:rtl/>
        </w:rPr>
        <w:t>ומה הדין אם באו לדין ביחד:</w:t>
      </w:r>
    </w:p>
    <w:p w14:paraId="6C9A4921" w14:textId="6C1E521E" w:rsidR="00BB3105" w:rsidRPr="007E6E9C" w:rsidRDefault="00BB3105" w:rsidP="00A65C5F">
      <w:pPr>
        <w:pStyle w:val="ab"/>
        <w:numPr>
          <w:ilvl w:val="0"/>
          <w:numId w:val="24"/>
        </w:numPr>
      </w:pPr>
      <w:r>
        <w:rPr>
          <w:rFonts w:cs="Arial" w:hint="cs"/>
          <w:rtl/>
        </w:rPr>
        <w:t>טור</w:t>
      </w:r>
      <w:r w:rsidR="00A82951">
        <w:rPr>
          <w:rFonts w:cs="Arial" w:hint="cs"/>
          <w:rtl/>
        </w:rPr>
        <w:t>-</w:t>
      </w:r>
      <w:r>
        <w:rPr>
          <w:rFonts w:cs="Arial" w:hint="cs"/>
          <w:rtl/>
        </w:rPr>
        <w:t xml:space="preserve"> </w:t>
      </w:r>
      <w:r w:rsidRPr="00893A69">
        <w:rPr>
          <w:rFonts w:cs="Arial"/>
          <w:rtl/>
        </w:rPr>
        <w:t>אם שניהם באין לפנינו</w:t>
      </w:r>
      <w:r w:rsidRPr="00893A69">
        <w:rPr>
          <w:rFonts w:cs="Arial" w:hint="cs"/>
          <w:rtl/>
        </w:rPr>
        <w:t>,</w:t>
      </w:r>
      <w:r w:rsidRPr="00893A69">
        <w:rPr>
          <w:rFonts w:cs="Arial"/>
          <w:rtl/>
        </w:rPr>
        <w:t xml:space="preserve"> והוא תובעה</w:t>
      </w:r>
      <w:r w:rsidR="008C4930">
        <w:rPr>
          <w:rStyle w:val="a7"/>
          <w:rFonts w:cs="Arial"/>
          <w:rtl/>
        </w:rPr>
        <w:footnoteReference w:id="79"/>
      </w:r>
      <w:r w:rsidRPr="00893A69">
        <w:rPr>
          <w:rFonts w:cs="Arial"/>
          <w:rtl/>
        </w:rPr>
        <w:t xml:space="preserve"> </w:t>
      </w:r>
      <w:r w:rsidR="00A82951">
        <w:rPr>
          <w:rFonts w:cs="Arial" w:hint="cs"/>
          <w:rtl/>
        </w:rPr>
        <w:t>-</w:t>
      </w:r>
      <w:r w:rsidRPr="00893A69">
        <w:rPr>
          <w:rFonts w:cs="Arial" w:hint="cs"/>
          <w:rtl/>
        </w:rPr>
        <w:t xml:space="preserve"> </w:t>
      </w:r>
      <w:r w:rsidRPr="00893A69">
        <w:rPr>
          <w:rFonts w:cs="Arial"/>
          <w:rtl/>
        </w:rPr>
        <w:t>משמתינן להו</w:t>
      </w:r>
      <w:r>
        <w:rPr>
          <w:rStyle w:val="a7"/>
          <w:rFonts w:cs="Arial"/>
          <w:rtl/>
        </w:rPr>
        <w:footnoteReference w:id="80"/>
      </w:r>
      <w:r w:rsidRPr="00893A69">
        <w:rPr>
          <w:rFonts w:cs="Arial" w:hint="cs"/>
          <w:rtl/>
        </w:rPr>
        <w:t>.</w:t>
      </w:r>
    </w:p>
    <w:p w14:paraId="0F9BEB5F" w14:textId="788AF6A5" w:rsidR="003F7CFF" w:rsidRDefault="0032798B" w:rsidP="00A65C5F">
      <w:pPr>
        <w:pStyle w:val="ab"/>
        <w:numPr>
          <w:ilvl w:val="0"/>
          <w:numId w:val="24"/>
        </w:numPr>
        <w:rPr>
          <w:rFonts w:cs="Arial"/>
        </w:rPr>
      </w:pPr>
      <w:r>
        <w:rPr>
          <w:rFonts w:cs="Arial" w:hint="cs"/>
          <w:rtl/>
        </w:rPr>
        <w:t xml:space="preserve">רמב"ם </w:t>
      </w:r>
      <w:r>
        <w:rPr>
          <w:rFonts w:cs="Arial" w:hint="cs"/>
          <w:sz w:val="16"/>
          <w:szCs w:val="16"/>
          <w:rtl/>
        </w:rPr>
        <w:t>(שם)</w:t>
      </w:r>
      <w:r w:rsidR="00A82951">
        <w:rPr>
          <w:rFonts w:cs="Arial" w:hint="cs"/>
          <w:rtl/>
        </w:rPr>
        <w:t>-</w:t>
      </w:r>
      <w:r>
        <w:rPr>
          <w:rFonts w:cs="Arial" w:hint="cs"/>
          <w:rtl/>
        </w:rPr>
        <w:t xml:space="preserve"> </w:t>
      </w:r>
      <w:r w:rsidR="003F7CFF" w:rsidRPr="003F7CFF">
        <w:rPr>
          <w:rFonts w:cs="Arial"/>
          <w:rtl/>
        </w:rPr>
        <w:t>וגרושה שבאה עם המגרש לדין מנדין אותן או מכין אותן מכת מרדות</w:t>
      </w:r>
      <w:r w:rsidR="00BB3105">
        <w:rPr>
          <w:rStyle w:val="a7"/>
          <w:rFonts w:cs="Arial"/>
          <w:rtl/>
        </w:rPr>
        <w:footnoteReference w:id="81"/>
      </w:r>
      <w:r w:rsidR="00893A69">
        <w:rPr>
          <w:rFonts w:cs="Arial" w:hint="cs"/>
          <w:rtl/>
        </w:rPr>
        <w:t>.</w:t>
      </w:r>
      <w:r w:rsidR="006561FE">
        <w:rPr>
          <w:rFonts w:cs="Arial" w:hint="cs"/>
          <w:color w:val="E36C0A" w:themeColor="accent6" w:themeShade="BF"/>
          <w:rtl/>
        </w:rPr>
        <w:t xml:space="preserve"> </w:t>
      </w:r>
      <w:r w:rsidR="006561FE" w:rsidRPr="00681348">
        <w:rPr>
          <w:rFonts w:cs="Arial" w:hint="cs"/>
          <w:color w:val="E36C0A" w:themeColor="accent6" w:themeShade="BF"/>
          <w:rtl/>
        </w:rPr>
        <w:t>(וכ"פ בשו"ע</w:t>
      </w:r>
      <w:r w:rsidR="006561FE" w:rsidRPr="006561FE">
        <w:rPr>
          <w:rFonts w:cs="Arial" w:hint="cs"/>
          <w:color w:val="000000" w:themeColor="text1"/>
          <w:sz w:val="16"/>
          <w:szCs w:val="16"/>
          <w:rtl/>
        </w:rPr>
        <w:t xml:space="preserve"> [</w:t>
      </w:r>
      <w:r w:rsidR="006561FE">
        <w:rPr>
          <w:rFonts w:cs="Arial" w:hint="cs"/>
          <w:color w:val="000000" w:themeColor="text1"/>
          <w:sz w:val="16"/>
          <w:szCs w:val="16"/>
          <w:rtl/>
        </w:rPr>
        <w:t>בסע' ט</w:t>
      </w:r>
      <w:r w:rsidR="006561FE" w:rsidRPr="006561FE">
        <w:rPr>
          <w:rFonts w:cs="Arial" w:hint="cs"/>
          <w:color w:val="000000" w:themeColor="text1"/>
          <w:sz w:val="16"/>
          <w:szCs w:val="16"/>
          <w:rtl/>
        </w:rPr>
        <w:t>]</w:t>
      </w:r>
      <w:r w:rsidR="006561FE">
        <w:rPr>
          <w:rFonts w:cs="Arial" w:hint="cs"/>
          <w:color w:val="E36C0A" w:themeColor="accent6" w:themeShade="BF"/>
          <w:rtl/>
        </w:rPr>
        <w:t>)</w:t>
      </w:r>
    </w:p>
    <w:p w14:paraId="27FF370B" w14:textId="2900B24F" w:rsidR="00522CC2" w:rsidRPr="00522CC2" w:rsidRDefault="00522CC2" w:rsidP="00522CC2">
      <w:pPr>
        <w:ind w:left="360"/>
        <w:rPr>
          <w:rFonts w:cs="Arial"/>
          <w:u w:val="dotted"/>
        </w:rPr>
      </w:pPr>
      <w:r w:rsidRPr="00522CC2">
        <w:rPr>
          <w:rFonts w:cs="Arial" w:hint="cs"/>
          <w:u w:val="dotted"/>
          <w:rtl/>
        </w:rPr>
        <w:lastRenderedPageBreak/>
        <w:t xml:space="preserve">האם </w:t>
      </w:r>
      <w:r w:rsidR="00265A06">
        <w:rPr>
          <w:rFonts w:cs="Arial" w:hint="cs"/>
          <w:u w:val="dotted"/>
          <w:rtl/>
        </w:rPr>
        <w:t>דינים דלעיל</w:t>
      </w:r>
      <w:r w:rsidRPr="00522CC2">
        <w:rPr>
          <w:rFonts w:cs="Arial" w:hint="cs"/>
          <w:u w:val="dotted"/>
          <w:rtl/>
        </w:rPr>
        <w:t xml:space="preserve"> </w:t>
      </w:r>
      <w:r w:rsidR="00265A06">
        <w:rPr>
          <w:rFonts w:cs="Arial" w:hint="cs"/>
          <w:u w:val="dotted"/>
          <w:rtl/>
        </w:rPr>
        <w:t xml:space="preserve">הם </w:t>
      </w:r>
      <w:r w:rsidRPr="00522CC2">
        <w:rPr>
          <w:rFonts w:cs="Arial" w:hint="cs"/>
          <w:u w:val="dotted"/>
          <w:rtl/>
        </w:rPr>
        <w:t>גם בגרושת ישראל שלא נשאת, או רק בגרושת ישראל שנשאת או גרושת כהן</w:t>
      </w:r>
      <w:r w:rsidR="00265A06">
        <w:rPr>
          <w:rFonts w:cs="Arial" w:hint="cs"/>
          <w:sz w:val="16"/>
          <w:szCs w:val="16"/>
          <w:u w:val="dotted"/>
          <w:rtl/>
        </w:rPr>
        <w:t xml:space="preserve"> (שהם בלאו)</w:t>
      </w:r>
      <w:r w:rsidRPr="00522CC2">
        <w:rPr>
          <w:rFonts w:cs="Arial" w:hint="cs"/>
          <w:u w:val="dotted"/>
          <w:rtl/>
        </w:rPr>
        <w:t>:</w:t>
      </w:r>
    </w:p>
    <w:p w14:paraId="78E16228" w14:textId="7BEBAC10" w:rsidR="00522CC2" w:rsidRPr="00BB3105" w:rsidRDefault="003A33E4" w:rsidP="00A65C5F">
      <w:pPr>
        <w:pStyle w:val="ab"/>
        <w:numPr>
          <w:ilvl w:val="0"/>
          <w:numId w:val="24"/>
        </w:numPr>
        <w:rPr>
          <w:rtl/>
        </w:rPr>
      </w:pPr>
      <w:r>
        <w:rPr>
          <w:rFonts w:cs="Arial" w:hint="cs"/>
          <w:rtl/>
        </w:rPr>
        <w:t xml:space="preserve">רש"י </w:t>
      </w:r>
      <w:r>
        <w:rPr>
          <w:rFonts w:cs="Arial" w:hint="cs"/>
          <w:sz w:val="16"/>
          <w:szCs w:val="16"/>
          <w:rtl/>
        </w:rPr>
        <w:t>(</w:t>
      </w:r>
      <w:r w:rsidR="008916FA">
        <w:rPr>
          <w:rFonts w:cs="Arial" w:hint="cs"/>
          <w:sz w:val="16"/>
          <w:szCs w:val="16"/>
          <w:rtl/>
        </w:rPr>
        <w:t xml:space="preserve">כח. </w:t>
      </w:r>
      <w:r>
        <w:rPr>
          <w:rFonts w:cs="Arial" w:hint="cs"/>
          <w:sz w:val="16"/>
          <w:szCs w:val="16"/>
          <w:rtl/>
        </w:rPr>
        <w:t xml:space="preserve">ד"ה </w:t>
      </w:r>
      <w:r w:rsidR="008916FA">
        <w:rPr>
          <w:rFonts w:cs="Arial" w:hint="cs"/>
          <w:sz w:val="16"/>
          <w:szCs w:val="16"/>
          <w:rtl/>
        </w:rPr>
        <w:t>בנכסי</w:t>
      </w:r>
      <w:r>
        <w:rPr>
          <w:rFonts w:cs="Arial" w:hint="cs"/>
          <w:sz w:val="16"/>
          <w:szCs w:val="16"/>
          <w:rtl/>
        </w:rPr>
        <w:t xml:space="preserve">) </w:t>
      </w:r>
      <w:r w:rsidR="00522CC2">
        <w:rPr>
          <w:rFonts w:cs="Arial" w:hint="cs"/>
          <w:rtl/>
        </w:rPr>
        <w:t xml:space="preserve">רא"ש </w:t>
      </w:r>
      <w:r w:rsidR="00265A06">
        <w:rPr>
          <w:rFonts w:cs="Arial" w:hint="cs"/>
          <w:rtl/>
        </w:rPr>
        <w:t xml:space="preserve">וטור </w:t>
      </w:r>
      <w:r w:rsidR="00265A06">
        <w:rPr>
          <w:rFonts w:cs="Arial" w:hint="cs"/>
          <w:sz w:val="16"/>
          <w:szCs w:val="16"/>
          <w:rtl/>
        </w:rPr>
        <w:t>(להב' הב"י</w:t>
      </w:r>
      <w:r w:rsidR="00265A06">
        <w:rPr>
          <w:rStyle w:val="a7"/>
          <w:rFonts w:cs="Arial"/>
          <w:sz w:val="16"/>
          <w:szCs w:val="16"/>
          <w:rtl/>
        </w:rPr>
        <w:footnoteReference w:id="82"/>
      </w:r>
      <w:r w:rsidR="00265A06">
        <w:rPr>
          <w:rFonts w:cs="Arial" w:hint="cs"/>
          <w:sz w:val="16"/>
          <w:szCs w:val="16"/>
          <w:rtl/>
        </w:rPr>
        <w:t>)</w:t>
      </w:r>
      <w:r w:rsidR="00A82951">
        <w:rPr>
          <w:rFonts w:cs="Arial" w:hint="cs"/>
          <w:rtl/>
        </w:rPr>
        <w:t>-</w:t>
      </w:r>
      <w:r w:rsidR="00265A06">
        <w:rPr>
          <w:rFonts w:cs="Arial" w:hint="cs"/>
          <w:rtl/>
        </w:rPr>
        <w:t xml:space="preserve"> </w:t>
      </w:r>
      <w:r w:rsidR="00265A06">
        <w:rPr>
          <w:rFonts w:hint="cs"/>
          <w:rtl/>
        </w:rPr>
        <w:t>מיירי רק באשת ישראל שנשאת ובאשת כהן אפילו לא נשאת</w:t>
      </w:r>
      <w:r w:rsidR="00BF2B51">
        <w:rPr>
          <w:rStyle w:val="a7"/>
          <w:rtl/>
        </w:rPr>
        <w:footnoteReference w:id="83"/>
      </w:r>
      <w:r w:rsidR="00265A06">
        <w:rPr>
          <w:rFonts w:hint="cs"/>
          <w:rtl/>
        </w:rPr>
        <w:t>.</w:t>
      </w:r>
    </w:p>
    <w:p w14:paraId="4A64C5E9" w14:textId="1DC74384" w:rsidR="00522CC2" w:rsidRPr="00265A06" w:rsidRDefault="00265A06" w:rsidP="00A65C5F">
      <w:pPr>
        <w:pStyle w:val="ab"/>
        <w:numPr>
          <w:ilvl w:val="0"/>
          <w:numId w:val="24"/>
        </w:numPr>
        <w:rPr>
          <w:rFonts w:cs="Arial"/>
          <w:rtl/>
        </w:rPr>
      </w:pPr>
      <w:r w:rsidRPr="00265A06">
        <w:rPr>
          <w:rFonts w:cs="Arial" w:hint="cs"/>
          <w:rtl/>
        </w:rPr>
        <w:t xml:space="preserve">רמב"ם </w:t>
      </w:r>
      <w:r w:rsidRPr="00265A06">
        <w:rPr>
          <w:rFonts w:cs="Arial" w:hint="cs"/>
          <w:sz w:val="16"/>
          <w:szCs w:val="16"/>
          <w:rtl/>
        </w:rPr>
        <w:t>(</w:t>
      </w:r>
      <w:r>
        <w:rPr>
          <w:rFonts w:cs="Arial" w:hint="cs"/>
          <w:sz w:val="16"/>
          <w:szCs w:val="16"/>
          <w:rtl/>
        </w:rPr>
        <w:t>[</w:t>
      </w:r>
      <w:r w:rsidRPr="00265A06">
        <w:rPr>
          <w:rFonts w:cs="Arial" w:hint="cs"/>
          <w:sz w:val="16"/>
          <w:szCs w:val="16"/>
          <w:rtl/>
        </w:rPr>
        <w:t>פכ"א מא"ב הכ"ז</w:t>
      </w:r>
      <w:r>
        <w:rPr>
          <w:rFonts w:cs="Arial" w:hint="cs"/>
          <w:sz w:val="16"/>
          <w:szCs w:val="16"/>
          <w:rtl/>
        </w:rPr>
        <w:t>]</w:t>
      </w:r>
      <w:r w:rsidRPr="00265A06">
        <w:rPr>
          <w:rFonts w:cs="Arial" w:hint="cs"/>
          <w:sz w:val="16"/>
          <w:szCs w:val="16"/>
          <w:rtl/>
        </w:rPr>
        <w:t xml:space="preserve"> להב' הב"י, לפי גירסת הרמב"ם בברייתא)</w:t>
      </w:r>
      <w:r w:rsidR="00A82951">
        <w:rPr>
          <w:rFonts w:cs="Arial" w:hint="cs"/>
          <w:rtl/>
        </w:rPr>
        <w:t>-</w:t>
      </w:r>
      <w:r w:rsidRPr="00265A06">
        <w:rPr>
          <w:rFonts w:cs="Arial" w:hint="cs"/>
          <w:rtl/>
        </w:rPr>
        <w:t xml:space="preserve"> </w:t>
      </w:r>
      <w:r w:rsidRPr="00265A06">
        <w:rPr>
          <w:rFonts w:cs="Arial"/>
          <w:rtl/>
        </w:rPr>
        <w:t xml:space="preserve">ברייתא דלוה הימנה </w:t>
      </w:r>
      <w:r>
        <w:rPr>
          <w:rFonts w:cs="Arial" w:hint="cs"/>
          <w:rtl/>
        </w:rPr>
        <w:t>מתפרשת</w:t>
      </w:r>
      <w:r w:rsidRPr="00265A06">
        <w:rPr>
          <w:rFonts w:cs="Arial"/>
          <w:rtl/>
        </w:rPr>
        <w:t xml:space="preserve"> בישראל המגרש אע</w:t>
      </w:r>
      <w:r>
        <w:rPr>
          <w:rFonts w:cs="Arial" w:hint="cs"/>
          <w:rtl/>
        </w:rPr>
        <w:t>"</w:t>
      </w:r>
      <w:r w:rsidRPr="00265A06">
        <w:rPr>
          <w:rFonts w:cs="Arial"/>
          <w:rtl/>
        </w:rPr>
        <w:t>פ שלא נישאת</w:t>
      </w:r>
      <w:r>
        <w:rPr>
          <w:rFonts w:cs="Arial" w:hint="cs"/>
          <w:rtl/>
        </w:rPr>
        <w:t>.</w:t>
      </w:r>
    </w:p>
    <w:p w14:paraId="74F4E06D" w14:textId="6FA78CA6" w:rsidR="00C023A5" w:rsidRPr="00054A1B" w:rsidRDefault="00C023A5" w:rsidP="00C023A5">
      <w:pPr>
        <w:rPr>
          <w:rtl/>
        </w:rPr>
      </w:pPr>
      <w:r w:rsidRPr="00C023A5">
        <w:rPr>
          <w:rFonts w:cs="Arial" w:hint="cs"/>
          <w:b/>
          <w:bCs/>
          <w:rtl/>
        </w:rPr>
        <w:t>מסכתות קטנות מסכת שמחות</w:t>
      </w:r>
      <w:r w:rsidRPr="00C023A5">
        <w:rPr>
          <w:rFonts w:cs="Arial" w:hint="cs"/>
          <w:b/>
          <w:bCs/>
          <w:sz w:val="16"/>
          <w:szCs w:val="16"/>
          <w:rtl/>
        </w:rPr>
        <w:t xml:space="preserve"> (אבל רבתי)</w:t>
      </w:r>
      <w:r w:rsidRPr="00C023A5">
        <w:rPr>
          <w:rFonts w:cs="Arial" w:hint="cs"/>
          <w:b/>
          <w:bCs/>
          <w:rtl/>
        </w:rPr>
        <w:t xml:space="preserve"> פ"ב הי"ב</w:t>
      </w:r>
      <w:r w:rsidRPr="00C023A5">
        <w:rPr>
          <w:rFonts w:cs="Arial" w:hint="cs"/>
          <w:b/>
          <w:bCs/>
          <w:sz w:val="16"/>
          <w:szCs w:val="16"/>
          <w:rtl/>
        </w:rPr>
        <w:t xml:space="preserve"> [גירסת הב"י]</w:t>
      </w:r>
      <w:r w:rsidRPr="00C023A5">
        <w:rPr>
          <w:rFonts w:cs="Arial" w:hint="cs"/>
          <w:b/>
          <w:bCs/>
          <w:rtl/>
        </w:rPr>
        <w:t>:</w:t>
      </w:r>
      <w:r w:rsidRPr="00C023A5">
        <w:rPr>
          <w:rFonts w:cs="Arial" w:hint="cs"/>
          <w:rtl/>
        </w:rPr>
        <w:t xml:space="preserve"> </w:t>
      </w:r>
      <w:r w:rsidRPr="00C023A5">
        <w:rPr>
          <w:rFonts w:cs="Arial"/>
          <w:rtl/>
        </w:rPr>
        <w:t>בית שמאי אומרים המגרש את אשתו</w:t>
      </w:r>
      <w:r w:rsidRPr="00C023A5">
        <w:rPr>
          <w:rFonts w:cs="Arial" w:hint="cs"/>
          <w:rtl/>
        </w:rPr>
        <w:t>,</w:t>
      </w:r>
      <w:r w:rsidRPr="00C023A5">
        <w:rPr>
          <w:rFonts w:cs="Arial"/>
          <w:rtl/>
        </w:rPr>
        <w:t xml:space="preserve"> לא ישרה עמה לא במבוי ולא בחצר</w:t>
      </w:r>
      <w:r w:rsidRPr="00C023A5">
        <w:rPr>
          <w:rFonts w:cs="Arial" w:hint="cs"/>
          <w:rtl/>
        </w:rPr>
        <w:t>.</w:t>
      </w:r>
      <w:r w:rsidRPr="00C023A5">
        <w:rPr>
          <w:rFonts w:cs="Arial"/>
          <w:rtl/>
        </w:rPr>
        <w:t xml:space="preserve"> אם היה מבוי של שניהם</w:t>
      </w:r>
      <w:r w:rsidRPr="00C023A5">
        <w:rPr>
          <w:rFonts w:cs="Arial" w:hint="cs"/>
          <w:rtl/>
        </w:rPr>
        <w:t xml:space="preserve"> </w:t>
      </w:r>
      <w:r w:rsidR="00A82951">
        <w:rPr>
          <w:rFonts w:cs="Arial" w:hint="cs"/>
          <w:rtl/>
        </w:rPr>
        <w:t>-</w:t>
      </w:r>
      <w:r w:rsidRPr="00C023A5">
        <w:rPr>
          <w:rFonts w:cs="Arial"/>
          <w:rtl/>
        </w:rPr>
        <w:t xml:space="preserve"> הופך פתחו לצד אחר</w:t>
      </w:r>
      <w:r w:rsidRPr="00C023A5">
        <w:rPr>
          <w:rFonts w:cs="Arial" w:hint="cs"/>
          <w:rtl/>
        </w:rPr>
        <w:t>.</w:t>
      </w:r>
      <w:r w:rsidRPr="00C023A5">
        <w:rPr>
          <w:rFonts w:cs="Arial"/>
          <w:rtl/>
        </w:rPr>
        <w:t xml:space="preserve"> ואם היתה חצר של שניהם</w:t>
      </w:r>
      <w:r w:rsidRPr="00C023A5">
        <w:rPr>
          <w:rFonts w:cs="Arial" w:hint="cs"/>
          <w:rtl/>
        </w:rPr>
        <w:t xml:space="preserve"> </w:t>
      </w:r>
      <w:r w:rsidR="00A82951">
        <w:rPr>
          <w:rFonts w:cs="Arial" w:hint="cs"/>
          <w:rtl/>
        </w:rPr>
        <w:t>-</w:t>
      </w:r>
      <w:r w:rsidRPr="00C023A5">
        <w:rPr>
          <w:rFonts w:cs="Arial"/>
          <w:rtl/>
        </w:rPr>
        <w:t xml:space="preserve"> מפנה זה מפני זה</w:t>
      </w:r>
      <w:r w:rsidRPr="00C023A5">
        <w:rPr>
          <w:rFonts w:cs="Arial" w:hint="cs"/>
          <w:rtl/>
        </w:rPr>
        <w:t>.</w:t>
      </w:r>
      <w:r w:rsidRPr="00C023A5">
        <w:rPr>
          <w:rFonts w:cs="Arial"/>
          <w:rtl/>
        </w:rPr>
        <w:t xml:space="preserve"> ומפנה אשה מפני איש</w:t>
      </w:r>
      <w:r w:rsidRPr="00C023A5">
        <w:rPr>
          <w:rFonts w:cs="Arial" w:hint="cs"/>
          <w:rtl/>
        </w:rPr>
        <w:t>.</w:t>
      </w:r>
      <w:r w:rsidRPr="00C023A5">
        <w:rPr>
          <w:rFonts w:cs="Arial"/>
          <w:rtl/>
        </w:rPr>
        <w:t xml:space="preserve"> במה דברים אמורים</w:t>
      </w:r>
      <w:r w:rsidRPr="00C023A5">
        <w:rPr>
          <w:rFonts w:cs="Arial" w:hint="cs"/>
          <w:rtl/>
        </w:rPr>
        <w:t>,</w:t>
      </w:r>
      <w:r w:rsidRPr="00C023A5">
        <w:rPr>
          <w:rFonts w:cs="Arial"/>
          <w:rtl/>
        </w:rPr>
        <w:t xml:space="preserve"> בזמן שנשאו</w:t>
      </w:r>
      <w:r w:rsidRPr="00C023A5">
        <w:rPr>
          <w:rFonts w:cs="Arial" w:hint="cs"/>
          <w:rtl/>
        </w:rPr>
        <w:t>,</w:t>
      </w:r>
      <w:r w:rsidRPr="00C023A5">
        <w:rPr>
          <w:rFonts w:cs="Arial"/>
          <w:rtl/>
        </w:rPr>
        <w:t xml:space="preserve"> והכהנת אף על פי שלא נשאו</w:t>
      </w:r>
      <w:r w:rsidRPr="00C023A5">
        <w:rPr>
          <w:rFonts w:cs="Arial" w:hint="cs"/>
          <w:rtl/>
        </w:rPr>
        <w:t>.</w:t>
      </w:r>
      <w:r w:rsidRPr="00C023A5">
        <w:rPr>
          <w:rFonts w:cs="Arial"/>
          <w:rtl/>
        </w:rPr>
        <w:t xml:space="preserve"> במה דברים אמורים מן הנישואין</w:t>
      </w:r>
      <w:r w:rsidRPr="00C023A5">
        <w:rPr>
          <w:rFonts w:cs="Arial" w:hint="cs"/>
          <w:rtl/>
        </w:rPr>
        <w:t>,</w:t>
      </w:r>
      <w:r w:rsidRPr="00C023A5">
        <w:rPr>
          <w:rFonts w:cs="Arial"/>
          <w:rtl/>
        </w:rPr>
        <w:t xml:space="preserve"> אבל מן האירוסין</w:t>
      </w:r>
      <w:r w:rsidRPr="00C023A5">
        <w:rPr>
          <w:rFonts w:cs="Arial" w:hint="cs"/>
          <w:rtl/>
        </w:rPr>
        <w:t>,</w:t>
      </w:r>
      <w:r w:rsidRPr="00C023A5">
        <w:rPr>
          <w:rFonts w:cs="Arial"/>
          <w:rtl/>
        </w:rPr>
        <w:t xml:space="preserve"> וכן החולץ ליבמתו</w:t>
      </w:r>
      <w:r w:rsidRPr="00C023A5">
        <w:rPr>
          <w:rFonts w:cs="Arial" w:hint="cs"/>
          <w:rtl/>
        </w:rPr>
        <w:t xml:space="preserve"> </w:t>
      </w:r>
      <w:r w:rsidR="00A82951">
        <w:rPr>
          <w:rFonts w:cs="Arial" w:hint="cs"/>
          <w:rtl/>
        </w:rPr>
        <w:t>-</w:t>
      </w:r>
      <w:r w:rsidRPr="00C023A5">
        <w:rPr>
          <w:rFonts w:cs="Arial"/>
          <w:rtl/>
        </w:rPr>
        <w:t xml:space="preserve"> לא יפנה מפני שאין לבו גס בה</w:t>
      </w:r>
      <w:r>
        <w:rPr>
          <w:rStyle w:val="a7"/>
          <w:rtl/>
        </w:rPr>
        <w:footnoteReference w:id="84"/>
      </w:r>
      <w:r w:rsidRPr="00C023A5">
        <w:rPr>
          <w:rFonts w:cs="Arial" w:hint="cs"/>
          <w:rtl/>
        </w:rPr>
        <w:t>.</w:t>
      </w:r>
    </w:p>
    <w:p w14:paraId="703ED11F" w14:textId="556D06C5" w:rsidR="006561FE" w:rsidRPr="006408CF" w:rsidRDefault="006408CF" w:rsidP="006561FE">
      <w:pPr>
        <w:rPr>
          <w:rFonts w:cs="Arial"/>
          <w:u w:val="single"/>
        </w:rPr>
      </w:pPr>
      <w:r w:rsidRPr="006408CF">
        <w:rPr>
          <w:rFonts w:cs="Arial"/>
          <w:u w:val="single"/>
          <w:rtl/>
        </w:rPr>
        <w:t>יבם ויבמתו אחר חליצה</w:t>
      </w:r>
      <w:r w:rsidR="00C023A5">
        <w:rPr>
          <w:rFonts w:cs="Arial" w:hint="cs"/>
          <w:u w:val="single"/>
          <w:rtl/>
        </w:rPr>
        <w:t xml:space="preserve"> </w:t>
      </w:r>
      <w:r w:rsidR="00A82951">
        <w:rPr>
          <w:rFonts w:cs="Arial"/>
          <w:u w:val="single"/>
          <w:rtl/>
        </w:rPr>
        <w:t>-</w:t>
      </w:r>
      <w:r w:rsidRPr="006408CF">
        <w:rPr>
          <w:rFonts w:cs="Arial" w:hint="cs"/>
          <w:u w:val="single"/>
          <w:rtl/>
        </w:rPr>
        <w:t xml:space="preserve"> האם מותר להם לגור בבית אחד</w:t>
      </w:r>
      <w:r w:rsidR="00C023A5">
        <w:rPr>
          <w:rFonts w:cs="Arial" w:hint="cs"/>
          <w:u w:val="single"/>
          <w:rtl/>
        </w:rPr>
        <w:t xml:space="preserve"> אם הוא גס בה</w:t>
      </w:r>
      <w:r w:rsidRPr="006408CF">
        <w:rPr>
          <w:rFonts w:cs="Arial" w:hint="cs"/>
          <w:u w:val="single"/>
          <w:rtl/>
        </w:rPr>
        <w:t>:</w:t>
      </w:r>
    </w:p>
    <w:p w14:paraId="4E153AF8" w14:textId="669E8952" w:rsidR="00810DCD" w:rsidRDefault="00EC459D" w:rsidP="00A65C5F">
      <w:pPr>
        <w:pStyle w:val="ab"/>
        <w:numPr>
          <w:ilvl w:val="0"/>
          <w:numId w:val="25"/>
        </w:numPr>
        <w:rPr>
          <w:rFonts w:cs="Arial"/>
        </w:rPr>
      </w:pPr>
      <w:r w:rsidRPr="00810DCD">
        <w:rPr>
          <w:rFonts w:cs="Arial"/>
          <w:rtl/>
        </w:rPr>
        <w:t xml:space="preserve">רשב"א </w:t>
      </w:r>
      <w:r w:rsidRPr="006561FE">
        <w:rPr>
          <w:rFonts w:cs="Arial"/>
          <w:sz w:val="16"/>
          <w:szCs w:val="16"/>
          <w:rtl/>
        </w:rPr>
        <w:t>(ח"א סי</w:t>
      </w:r>
      <w:r w:rsidR="006561FE" w:rsidRPr="006561FE">
        <w:rPr>
          <w:rFonts w:cs="Arial" w:hint="cs"/>
          <w:sz w:val="16"/>
          <w:szCs w:val="16"/>
          <w:rtl/>
        </w:rPr>
        <w:t>'</w:t>
      </w:r>
      <w:r w:rsidRPr="006561FE">
        <w:rPr>
          <w:rFonts w:cs="Arial"/>
          <w:sz w:val="16"/>
          <w:szCs w:val="16"/>
          <w:rtl/>
        </w:rPr>
        <w:t xml:space="preserve"> רט</w:t>
      </w:r>
      <w:r w:rsidR="006561FE" w:rsidRPr="006561FE">
        <w:rPr>
          <w:rFonts w:cs="Arial" w:hint="cs"/>
          <w:sz w:val="16"/>
          <w:szCs w:val="16"/>
          <w:rtl/>
        </w:rPr>
        <w:t>)</w:t>
      </w:r>
      <w:r w:rsidR="00A82951">
        <w:rPr>
          <w:rFonts w:cs="Arial" w:hint="cs"/>
          <w:rtl/>
        </w:rPr>
        <w:t>-</w:t>
      </w:r>
      <w:r w:rsidRPr="00810DCD">
        <w:rPr>
          <w:rFonts w:cs="Arial"/>
          <w:rtl/>
        </w:rPr>
        <w:t xml:space="preserve"> שאל</w:t>
      </w:r>
      <w:r w:rsidR="00D10C8C">
        <w:rPr>
          <w:rFonts w:cs="Arial" w:hint="cs"/>
          <w:rtl/>
        </w:rPr>
        <w:t>תם:</w:t>
      </w:r>
      <w:r w:rsidRPr="00810DCD">
        <w:rPr>
          <w:rFonts w:cs="Arial"/>
          <w:rtl/>
        </w:rPr>
        <w:t xml:space="preserve"> יבם ויבמתו אם מותרת לדור עמו בבית אחד ולאכול על שלחנו אחר חליצה</w:t>
      </w:r>
      <w:r w:rsidR="006561FE">
        <w:rPr>
          <w:rFonts w:cs="Arial" w:hint="cs"/>
          <w:rtl/>
        </w:rPr>
        <w:t>.</w:t>
      </w:r>
      <w:r w:rsidRPr="00810DCD">
        <w:rPr>
          <w:rFonts w:cs="Arial"/>
          <w:rtl/>
        </w:rPr>
        <w:t xml:space="preserve"> ומעשה בא לידי באחד שהיתה בת אחותו יבמתו</w:t>
      </w:r>
      <w:r w:rsidR="006561FE">
        <w:rPr>
          <w:rFonts w:cs="Arial" w:hint="cs"/>
          <w:rtl/>
        </w:rPr>
        <w:t>.</w:t>
      </w:r>
      <w:r w:rsidRPr="00810DCD">
        <w:rPr>
          <w:rFonts w:cs="Arial"/>
          <w:rtl/>
        </w:rPr>
        <w:t xml:space="preserve"> וגסו אהדדי מחמת שהיתה אוכלת על שלחנו בעוד בעלה חי</w:t>
      </w:r>
      <w:r w:rsidR="006408CF">
        <w:rPr>
          <w:rFonts w:cs="Arial" w:hint="cs"/>
          <w:rtl/>
        </w:rPr>
        <w:t>,</w:t>
      </w:r>
      <w:r w:rsidRPr="00810DCD">
        <w:rPr>
          <w:rFonts w:cs="Arial"/>
          <w:rtl/>
        </w:rPr>
        <w:t xml:space="preserve"> וכן לאחר מיתתו</w:t>
      </w:r>
      <w:r w:rsidR="006408CF">
        <w:rPr>
          <w:rFonts w:cs="Arial" w:hint="cs"/>
          <w:rtl/>
        </w:rPr>
        <w:t>.</w:t>
      </w:r>
      <w:r w:rsidRPr="00810DCD">
        <w:rPr>
          <w:rFonts w:cs="Arial"/>
          <w:rtl/>
        </w:rPr>
        <w:t xml:space="preserve"> מי הוו כארוס וארוסתו דאסור בדגיסי אהדדי</w:t>
      </w:r>
      <w:r w:rsidR="006408CF">
        <w:rPr>
          <w:rFonts w:cs="Arial" w:hint="cs"/>
          <w:rtl/>
        </w:rPr>
        <w:t>,</w:t>
      </w:r>
      <w:r w:rsidRPr="00810DCD">
        <w:rPr>
          <w:rFonts w:cs="Arial"/>
          <w:rtl/>
        </w:rPr>
        <w:t xml:space="preserve"> כדאיתא פרק האשה שנתאלמנה (כתובות כח.).</w:t>
      </w:r>
      <w:r w:rsidR="00810DCD">
        <w:rPr>
          <w:rFonts w:cs="Arial" w:hint="cs"/>
          <w:rtl/>
        </w:rPr>
        <w:t xml:space="preserve">   </w:t>
      </w:r>
      <w:r w:rsidRPr="00810DCD">
        <w:rPr>
          <w:rFonts w:cs="Arial"/>
          <w:rtl/>
        </w:rPr>
        <w:t xml:space="preserve"> תשובה</w:t>
      </w:r>
      <w:r w:rsidR="00D10C8C">
        <w:rPr>
          <w:rFonts w:cs="Arial" w:hint="cs"/>
          <w:rtl/>
        </w:rPr>
        <w:t>:</w:t>
      </w:r>
      <w:r w:rsidRPr="00810DCD">
        <w:rPr>
          <w:rFonts w:cs="Arial"/>
          <w:rtl/>
        </w:rPr>
        <w:t xml:space="preserve"> מסתברא דאסור ואע</w:t>
      </w:r>
      <w:r w:rsidR="006408CF">
        <w:rPr>
          <w:rFonts w:cs="Arial" w:hint="cs"/>
          <w:rtl/>
        </w:rPr>
        <w:t>"</w:t>
      </w:r>
      <w:r w:rsidRPr="00810DCD">
        <w:rPr>
          <w:rFonts w:cs="Arial"/>
          <w:rtl/>
        </w:rPr>
        <w:t>ג דאיכא קצת לחלק בין ארוס ליבם</w:t>
      </w:r>
      <w:r w:rsidR="006408CF">
        <w:rPr>
          <w:rFonts w:cs="Arial" w:hint="cs"/>
          <w:rtl/>
        </w:rPr>
        <w:t>,</w:t>
      </w:r>
      <w:r w:rsidRPr="00810DCD">
        <w:rPr>
          <w:rFonts w:cs="Arial"/>
          <w:rtl/>
        </w:rPr>
        <w:t xml:space="preserve"> כל דחזינן להו דגיסי אהדדי כי הני אסור</w:t>
      </w:r>
      <w:r w:rsidR="00810DCD">
        <w:rPr>
          <w:rFonts w:cs="Arial" w:hint="cs"/>
          <w:rtl/>
        </w:rPr>
        <w:t>.</w:t>
      </w:r>
    </w:p>
    <w:p w14:paraId="7BFF6027" w14:textId="4296C79F" w:rsidR="00D10C8C" w:rsidRPr="0043675D" w:rsidRDefault="0043675D" w:rsidP="00D10C8C">
      <w:pPr>
        <w:rPr>
          <w:rFonts w:cs="Arial"/>
          <w:u w:val="single"/>
          <w:rtl/>
        </w:rPr>
      </w:pPr>
      <w:r w:rsidRPr="0043675D">
        <w:rPr>
          <w:rFonts w:cs="Arial" w:hint="cs"/>
          <w:u w:val="single"/>
          <w:rtl/>
        </w:rPr>
        <w:t>ראובן גירש את אשתו, ונשאה לשמעון, ואין חוץ מהם עוד יהודים בעיר, מהו לעניין מגורים ולעניין ביקור בבית שמעון:</w:t>
      </w:r>
    </w:p>
    <w:p w14:paraId="2585CFC7" w14:textId="06B7B064" w:rsidR="002B233B" w:rsidRDefault="002B233B" w:rsidP="00A65C5F">
      <w:pPr>
        <w:pStyle w:val="ab"/>
        <w:numPr>
          <w:ilvl w:val="0"/>
          <w:numId w:val="25"/>
        </w:numPr>
        <w:rPr>
          <w:rFonts w:cs="Arial"/>
        </w:rPr>
      </w:pPr>
      <w:r>
        <w:rPr>
          <w:rFonts w:cs="Arial" w:hint="cs"/>
          <w:rtl/>
        </w:rPr>
        <w:t>תרוה"ד</w:t>
      </w:r>
      <w:r w:rsidR="00EC459D" w:rsidRPr="00810DCD">
        <w:rPr>
          <w:rFonts w:cs="Arial"/>
          <w:rtl/>
        </w:rPr>
        <w:t xml:space="preserve"> </w:t>
      </w:r>
      <w:r w:rsidRPr="002B233B">
        <w:rPr>
          <w:rFonts w:cs="Arial" w:hint="cs"/>
          <w:sz w:val="16"/>
          <w:szCs w:val="16"/>
          <w:rtl/>
        </w:rPr>
        <w:t>(</w:t>
      </w:r>
      <w:r w:rsidR="00EC459D" w:rsidRPr="002B233B">
        <w:rPr>
          <w:rFonts w:cs="Arial"/>
          <w:sz w:val="16"/>
          <w:szCs w:val="16"/>
          <w:rtl/>
        </w:rPr>
        <w:t>סי</w:t>
      </w:r>
      <w:r w:rsidRPr="002B233B">
        <w:rPr>
          <w:rFonts w:cs="Arial" w:hint="cs"/>
          <w:sz w:val="16"/>
          <w:szCs w:val="16"/>
          <w:rtl/>
        </w:rPr>
        <w:t>'</w:t>
      </w:r>
      <w:r w:rsidR="00EC459D" w:rsidRPr="002B233B">
        <w:rPr>
          <w:rFonts w:cs="Arial"/>
          <w:sz w:val="16"/>
          <w:szCs w:val="16"/>
          <w:rtl/>
        </w:rPr>
        <w:t xml:space="preserve"> רמג</w:t>
      </w:r>
      <w:r w:rsidRPr="002B233B">
        <w:rPr>
          <w:rFonts w:cs="Arial" w:hint="cs"/>
          <w:sz w:val="16"/>
          <w:szCs w:val="16"/>
          <w:rtl/>
        </w:rPr>
        <w:t>)</w:t>
      </w:r>
      <w:r w:rsidR="00A82951">
        <w:rPr>
          <w:rFonts w:cs="Arial" w:hint="cs"/>
          <w:rtl/>
        </w:rPr>
        <w:t>-</w:t>
      </w:r>
      <w:r w:rsidR="00EC459D" w:rsidRPr="00810DCD">
        <w:rPr>
          <w:rFonts w:cs="Arial"/>
          <w:rtl/>
        </w:rPr>
        <w:t xml:space="preserve"> </w:t>
      </w:r>
      <w:r w:rsidR="00D10C8C" w:rsidRPr="00D10C8C">
        <w:rPr>
          <w:rFonts w:cs="Arial"/>
          <w:rtl/>
        </w:rPr>
        <w:t>שאלה</w:t>
      </w:r>
      <w:r w:rsidR="00D10C8C">
        <w:rPr>
          <w:rFonts w:cs="Arial" w:hint="cs"/>
          <w:rtl/>
        </w:rPr>
        <w:t>:</w:t>
      </w:r>
      <w:r w:rsidR="00D10C8C" w:rsidRPr="00D10C8C">
        <w:rPr>
          <w:rFonts w:cs="Arial"/>
          <w:rtl/>
        </w:rPr>
        <w:t xml:space="preserve"> ראובן שגירש את אשתו</w:t>
      </w:r>
      <w:r w:rsidR="00D10C8C">
        <w:rPr>
          <w:rFonts w:cs="Arial" w:hint="cs"/>
          <w:rtl/>
        </w:rPr>
        <w:t>.</w:t>
      </w:r>
      <w:r w:rsidR="00D10C8C" w:rsidRPr="00D10C8C">
        <w:rPr>
          <w:rFonts w:cs="Arial"/>
          <w:rtl/>
        </w:rPr>
        <w:t xml:space="preserve"> ונשאה שמעון בעיר אחת קטנה שאין יהודים אחרים דרים שם רק אילו שניהם ובתיהם רחוקים זה מזה</w:t>
      </w:r>
      <w:r w:rsidR="00D10C8C">
        <w:rPr>
          <w:rFonts w:cs="Arial" w:hint="cs"/>
          <w:rtl/>
        </w:rPr>
        <w:t>.</w:t>
      </w:r>
      <w:r w:rsidR="00D10C8C" w:rsidRPr="00D10C8C">
        <w:rPr>
          <w:rFonts w:cs="Arial"/>
          <w:rtl/>
        </w:rPr>
        <w:t xml:space="preserve"> והרבה פעמים כשיש להם עסק ביחד נכנס ראובן לבית שמעון ושהה שם שעה אחת או שתים כפי רצונו שרי ליה למעבד הכי או לאו? </w:t>
      </w:r>
      <w:r w:rsidR="00D10C8C">
        <w:rPr>
          <w:rFonts w:cs="Arial" w:hint="cs"/>
          <w:rtl/>
        </w:rPr>
        <w:t xml:space="preserve">    </w:t>
      </w:r>
      <w:r w:rsidR="00D10C8C" w:rsidRPr="00D10C8C">
        <w:rPr>
          <w:rFonts w:cs="Arial"/>
          <w:rtl/>
        </w:rPr>
        <w:t>תשובה</w:t>
      </w:r>
      <w:r w:rsidR="00D10C8C">
        <w:rPr>
          <w:rFonts w:cs="Arial" w:hint="cs"/>
          <w:rtl/>
        </w:rPr>
        <w:t>:</w:t>
      </w:r>
      <w:r w:rsidR="00D10C8C" w:rsidRPr="00D10C8C">
        <w:rPr>
          <w:rFonts w:cs="Arial"/>
          <w:rtl/>
        </w:rPr>
        <w:t xml:space="preserve"> יראה דאין איסור בדבר במה שהם דרים בעניין זה</w:t>
      </w:r>
      <w:r w:rsidR="00D10C8C">
        <w:rPr>
          <w:rFonts w:cs="Arial" w:hint="cs"/>
          <w:rtl/>
        </w:rPr>
        <w:t>.</w:t>
      </w:r>
      <w:r w:rsidR="00D10C8C" w:rsidRPr="00D10C8C">
        <w:rPr>
          <w:rFonts w:cs="Arial"/>
          <w:rtl/>
        </w:rPr>
        <w:t xml:space="preserve"> ולא מבעיא לדברי התוס' פ"ב דכתובות </w:t>
      </w:r>
      <w:r w:rsidR="00D10C8C">
        <w:rPr>
          <w:rFonts w:cs="Arial" w:hint="cs"/>
          <w:rtl/>
        </w:rPr>
        <w:t>(</w:t>
      </w:r>
      <w:r w:rsidR="00D10C8C" w:rsidRPr="00D10C8C">
        <w:rPr>
          <w:rFonts w:cs="Arial"/>
          <w:rtl/>
        </w:rPr>
        <w:t>כח</w:t>
      </w:r>
      <w:r w:rsidR="00D10C8C">
        <w:rPr>
          <w:rFonts w:cs="Arial" w:hint="cs"/>
          <w:rtl/>
        </w:rPr>
        <w:t>.</w:t>
      </w:r>
      <w:r w:rsidR="00D10C8C" w:rsidRPr="00D10C8C">
        <w:rPr>
          <w:rFonts w:cs="Arial"/>
          <w:rtl/>
        </w:rPr>
        <w:t xml:space="preserve"> ד"ה ואם</w:t>
      </w:r>
      <w:r w:rsidR="00D10C8C">
        <w:rPr>
          <w:rFonts w:cs="Arial" w:hint="cs"/>
          <w:rtl/>
        </w:rPr>
        <w:t>)</w:t>
      </w:r>
      <w:r w:rsidR="00D10C8C" w:rsidRPr="00D10C8C">
        <w:rPr>
          <w:rFonts w:cs="Arial"/>
          <w:rtl/>
        </w:rPr>
        <w:t xml:space="preserve"> דסבירא להו דבאשת איש הקילו טפי מגרושה פנויה לבעלה כהן דאסור לדור עמה באותה מבוי, ואין איסור באשת איש אלא באותה שכונה דהיינו ג' בתים, דהכא הבתים רחוקים זה מזה הרבה יותר</w:t>
      </w:r>
      <w:r w:rsidR="00D10C8C">
        <w:rPr>
          <w:rFonts w:cs="Arial" w:hint="cs"/>
          <w:rtl/>
        </w:rPr>
        <w:t>.</w:t>
      </w:r>
      <w:r w:rsidR="00D10C8C" w:rsidRPr="00D10C8C">
        <w:rPr>
          <w:rFonts w:cs="Arial"/>
          <w:rtl/>
        </w:rPr>
        <w:t xml:space="preserve"> אלא אפי' לדברי אשירי דסבר איפכא דבאשת איש החמירו טפי ושכונה גדולה ממבוי, מ"מ אם יש ר"ה מפסיק בין הבתים שרי, והכי כתב בהגה"ה באשירי שם. וא"ת הואיל ואין בעיר הזאת רק אילו השני יהודים א"כ תהא נידון ככפר קטן כדאמרינן התם כפר קטן נידון כשכונה, ומפרשים התוס' התם הטעם משום דכפר קטן אין בני אדם מצויין ורגיל הוא אצלה, ודווקא כפר קטן אבל בכפר בינוני לא עכ"ל התוס'. וא"כ ה"נ נימא אף על גב דהרבה נכרים מצוים בעיר מ"נ לית ליה צוותא בהדייהו אלא בהדי ישראל חברים וגרע מכפר קטן</w:t>
      </w:r>
      <w:r w:rsidR="00D10C8C">
        <w:rPr>
          <w:rFonts w:cs="Arial" w:hint="cs"/>
          <w:rtl/>
        </w:rPr>
        <w:t>.</w:t>
      </w:r>
      <w:r w:rsidR="00D10C8C" w:rsidRPr="00D10C8C">
        <w:rPr>
          <w:rFonts w:cs="Arial"/>
          <w:rtl/>
        </w:rPr>
        <w:t xml:space="preserve"> וי"ל דלא אמרינן הכי</w:t>
      </w:r>
      <w:r w:rsidR="00D10C8C">
        <w:rPr>
          <w:rFonts w:cs="Arial" w:hint="cs"/>
          <w:rtl/>
        </w:rPr>
        <w:t>,</w:t>
      </w:r>
      <w:r w:rsidR="00D10C8C" w:rsidRPr="00D10C8C">
        <w:rPr>
          <w:rFonts w:cs="Arial"/>
          <w:rtl/>
        </w:rPr>
        <w:t xml:space="preserve"> דאדרבה מוכח בתלמוד בכמה דוכתי שמא יהא ישראל הדר או המתעסק עם הנכרי רגיל אצלו וילמוד ממעשיו, גבי עירוב וגבי ריבית וגבי למכור להם, וכ"ש האידנא דכל מחייתם מהן בהלואה בריבית י"ל דבכה"ג עדיף מכפר בינוני. ומה שרגיל ראובן ליכנס לביתו של שמעון בשביל עסקיו ושהה שם ב' או ג' שעות, נראה דאין קפידא</w:t>
      </w:r>
      <w:r w:rsidR="00D10C8C">
        <w:rPr>
          <w:rStyle w:val="a7"/>
          <w:rFonts w:cs="Arial"/>
          <w:rtl/>
        </w:rPr>
        <w:footnoteReference w:id="85"/>
      </w:r>
      <w:r w:rsidR="00D10C8C">
        <w:rPr>
          <w:rFonts w:cs="Arial" w:hint="cs"/>
          <w:rtl/>
        </w:rPr>
        <w:t>,</w:t>
      </w:r>
      <w:r w:rsidR="00D10C8C" w:rsidRPr="00D10C8C">
        <w:rPr>
          <w:rFonts w:cs="Arial"/>
          <w:rtl/>
        </w:rPr>
        <w:t xml:space="preserve"> דלא אשכחן שאסרו חכמים אלא בדירה של קביעות או שהן מתעסקים ביחד האיש וגרושתו שדנין זה עם זה או באיזה עסק, אבל בכה"ג בנ"ד לא. וראייה מהא דאמרינן באגדות פ' ערבי פסח</w:t>
      </w:r>
      <w:r w:rsidR="00D10C8C">
        <w:rPr>
          <w:rFonts w:cs="Arial" w:hint="cs"/>
          <w:rtl/>
        </w:rPr>
        <w:t>ים (</w:t>
      </w:r>
      <w:r w:rsidR="00D10C8C" w:rsidRPr="00D10C8C">
        <w:rPr>
          <w:rFonts w:cs="Arial"/>
          <w:rtl/>
        </w:rPr>
        <w:t>פסחים קי</w:t>
      </w:r>
      <w:r w:rsidR="00D10C8C">
        <w:rPr>
          <w:rFonts w:cs="Arial" w:hint="cs"/>
          <w:rtl/>
        </w:rPr>
        <w:t>:)</w:t>
      </w:r>
      <w:r w:rsidR="00D10C8C" w:rsidRPr="00D10C8C">
        <w:rPr>
          <w:rFonts w:cs="Arial"/>
          <w:rtl/>
        </w:rPr>
        <w:t xml:space="preserve"> ההוא גברא דגירש לדביתהו ואזלא ואינסיבא לחנוני כל יומא הוה אזיל התם ושתי חמרא וכו' עד ואפקתיה בזוגות ואיתזק. הא קמן דשרי לכנוס בביתה ולשהות שם כההיא דשתי כמה כוסות לשם דמסתמא לאו בעבריינא עסיקינן, דא"כ מאי מייתי תלמודא דאיתזק משום זוגות דילמא ההיא עבירה גרמה ליה כדקאמר תלמודא לעיל מיניה, דרבא לא חש למילתיה דאיתזק רב' בר ליואי בזוגות אמר משום דאותבה בפירקא הוה.</w:t>
      </w:r>
    </w:p>
    <w:p w14:paraId="57E7E876" w14:textId="661D2FBA" w:rsidR="008F0BEE" w:rsidRPr="008F0BEE" w:rsidRDefault="008F0BEE" w:rsidP="008F0BEE">
      <w:pPr>
        <w:rPr>
          <w:rFonts w:cs="Arial"/>
        </w:rPr>
      </w:pPr>
      <w:r w:rsidRPr="008F0BEE">
        <w:rPr>
          <w:rFonts w:cs="Arial" w:hint="cs"/>
          <w:b/>
          <w:bCs/>
          <w:rtl/>
        </w:rPr>
        <w:lastRenderedPageBreak/>
        <w:t xml:space="preserve">ירושלמי כתובות פי"א ה"ג: </w:t>
      </w:r>
      <w:r w:rsidRPr="008F0BEE">
        <w:rPr>
          <w:rFonts w:cs="Arial"/>
          <w:u w:val="single"/>
          <w:rtl/>
        </w:rPr>
        <w:t>רבי יעקב בר אחא בשם ר' יוחנן ר' הילא בשם ר' לעזר</w:t>
      </w:r>
      <w:r>
        <w:rPr>
          <w:rFonts w:cs="Arial" w:hint="cs"/>
          <w:rtl/>
        </w:rPr>
        <w:t>:</w:t>
      </w:r>
      <w:r w:rsidRPr="008F0BEE">
        <w:rPr>
          <w:rFonts w:cs="Arial"/>
          <w:rtl/>
        </w:rPr>
        <w:t xml:space="preserve"> כשם שאדם חס על כבוד אלמנתו כך חס על כבוד גרושתו</w:t>
      </w:r>
      <w:r>
        <w:rPr>
          <w:rFonts w:cs="Arial" w:hint="cs"/>
          <w:rtl/>
        </w:rPr>
        <w:t>.</w:t>
      </w:r>
      <w:r w:rsidRPr="008F0BEE">
        <w:rPr>
          <w:rFonts w:cs="Arial"/>
          <w:rtl/>
        </w:rPr>
        <w:t xml:space="preserve"> </w:t>
      </w:r>
      <w:r w:rsidRPr="008F0BEE">
        <w:rPr>
          <w:rFonts w:cs="Arial"/>
          <w:u w:val="single"/>
          <w:rtl/>
        </w:rPr>
        <w:t>דאמר ר' יעקב בר אחא בשם ר' לעזר</w:t>
      </w:r>
      <w:r>
        <w:rPr>
          <w:rFonts w:cs="Arial" w:hint="cs"/>
          <w:rtl/>
        </w:rPr>
        <w:t>:</w:t>
      </w:r>
      <w:r w:rsidRPr="008F0BEE">
        <w:rPr>
          <w:rFonts w:cs="Arial"/>
          <w:rtl/>
        </w:rPr>
        <w:t xml:space="preserve"> [ישעי' נח ז] מבשרך לא תתעלם זו גרושתו</w:t>
      </w:r>
      <w:r>
        <w:rPr>
          <w:rFonts w:cs="Arial" w:hint="cs"/>
          <w:rtl/>
        </w:rPr>
        <w:t>.</w:t>
      </w:r>
      <w:r w:rsidRPr="008F0BEE">
        <w:rPr>
          <w:rFonts w:cs="Arial"/>
          <w:rtl/>
        </w:rPr>
        <w:t xml:space="preserve"> איתתיה דר' יוסי הגלילי הוות מעיקה ליה סגין</w:t>
      </w:r>
      <w:r>
        <w:rPr>
          <w:rFonts w:cs="Arial" w:hint="cs"/>
          <w:rtl/>
        </w:rPr>
        <w:t>.</w:t>
      </w:r>
      <w:r w:rsidRPr="008F0BEE">
        <w:rPr>
          <w:rFonts w:cs="Arial"/>
          <w:rtl/>
        </w:rPr>
        <w:t xml:space="preserve"> סליק ר' לעזר בן עזריה לגביה</w:t>
      </w:r>
      <w:r>
        <w:rPr>
          <w:rFonts w:cs="Arial" w:hint="cs"/>
          <w:rtl/>
        </w:rPr>
        <w:t>,</w:t>
      </w:r>
      <w:r w:rsidRPr="008F0BEE">
        <w:rPr>
          <w:rFonts w:cs="Arial"/>
          <w:rtl/>
        </w:rPr>
        <w:t xml:space="preserve"> א"ל</w:t>
      </w:r>
      <w:r>
        <w:rPr>
          <w:rFonts w:cs="Arial" w:hint="cs"/>
          <w:rtl/>
        </w:rPr>
        <w:t>:</w:t>
      </w:r>
      <w:r w:rsidRPr="008F0BEE">
        <w:rPr>
          <w:rFonts w:cs="Arial"/>
          <w:rtl/>
        </w:rPr>
        <w:t xml:space="preserve"> ר'</w:t>
      </w:r>
      <w:r>
        <w:rPr>
          <w:rFonts w:cs="Arial" w:hint="cs"/>
          <w:rtl/>
        </w:rPr>
        <w:t>,</w:t>
      </w:r>
      <w:r w:rsidRPr="008F0BEE">
        <w:rPr>
          <w:rFonts w:cs="Arial"/>
          <w:rtl/>
        </w:rPr>
        <w:t xml:space="preserve"> שיבקה דלית היא דאיקרך</w:t>
      </w:r>
      <w:r>
        <w:rPr>
          <w:rFonts w:cs="Arial" w:hint="cs"/>
          <w:rtl/>
        </w:rPr>
        <w:t>.</w:t>
      </w:r>
      <w:r w:rsidRPr="008F0BEE">
        <w:rPr>
          <w:rFonts w:cs="Arial"/>
          <w:rtl/>
        </w:rPr>
        <w:t xml:space="preserve"> א"ל</w:t>
      </w:r>
      <w:r>
        <w:rPr>
          <w:rFonts w:cs="Arial" w:hint="cs"/>
          <w:rtl/>
        </w:rPr>
        <w:t>:</w:t>
      </w:r>
      <w:r w:rsidRPr="008F0BEE">
        <w:rPr>
          <w:rFonts w:cs="Arial"/>
          <w:rtl/>
        </w:rPr>
        <w:t xml:space="preserve"> פורנה רב עלי</w:t>
      </w:r>
      <w:r>
        <w:rPr>
          <w:rFonts w:cs="Arial" w:hint="cs"/>
          <w:rtl/>
        </w:rPr>
        <w:t>.</w:t>
      </w:r>
      <w:r w:rsidRPr="008F0BEE">
        <w:rPr>
          <w:rFonts w:cs="Arial"/>
          <w:rtl/>
        </w:rPr>
        <w:t xml:space="preserve"> א"ל</w:t>
      </w:r>
      <w:r>
        <w:rPr>
          <w:rFonts w:cs="Arial" w:hint="cs"/>
          <w:rtl/>
        </w:rPr>
        <w:t>:</w:t>
      </w:r>
      <w:r w:rsidRPr="008F0BEE">
        <w:rPr>
          <w:rFonts w:cs="Arial"/>
          <w:rtl/>
        </w:rPr>
        <w:t xml:space="preserve"> אנא יהיב לך פרנה ושבקה</w:t>
      </w:r>
      <w:r>
        <w:rPr>
          <w:rFonts w:cs="Arial" w:hint="cs"/>
          <w:rtl/>
        </w:rPr>
        <w:t>.</w:t>
      </w:r>
      <w:r w:rsidRPr="008F0BEE">
        <w:rPr>
          <w:rFonts w:cs="Arial"/>
          <w:rtl/>
        </w:rPr>
        <w:t xml:space="preserve"> יהב ליה פרנה</w:t>
      </w:r>
      <w:r>
        <w:rPr>
          <w:rFonts w:cs="Arial" w:hint="cs"/>
          <w:rtl/>
        </w:rPr>
        <w:t>,</w:t>
      </w:r>
      <w:r w:rsidRPr="008F0BEE">
        <w:rPr>
          <w:rFonts w:cs="Arial"/>
          <w:rtl/>
        </w:rPr>
        <w:t xml:space="preserve"> ושבקה</w:t>
      </w:r>
      <w:r>
        <w:rPr>
          <w:rFonts w:cs="Arial" w:hint="cs"/>
          <w:rtl/>
        </w:rPr>
        <w:t>.</w:t>
      </w:r>
      <w:r w:rsidRPr="008F0BEE">
        <w:rPr>
          <w:rFonts w:cs="Arial"/>
          <w:rtl/>
        </w:rPr>
        <w:t xml:space="preserve"> אזלת ונסיבת לטסורא דקרתא</w:t>
      </w:r>
      <w:r>
        <w:rPr>
          <w:rFonts w:cs="Arial" w:hint="cs"/>
          <w:rtl/>
        </w:rPr>
        <w:t>.</w:t>
      </w:r>
      <w:r w:rsidRPr="008F0BEE">
        <w:rPr>
          <w:rFonts w:cs="Arial"/>
          <w:rtl/>
        </w:rPr>
        <w:t xml:space="preserve"> איתנחת מן ניכסוי ואיתעביד בסגיא נהורא</w:t>
      </w:r>
      <w:r w:rsidR="00B45039">
        <w:rPr>
          <w:rFonts w:cs="Arial" w:hint="cs"/>
          <w:rtl/>
        </w:rPr>
        <w:t>,</w:t>
      </w:r>
      <w:r w:rsidRPr="008F0BEE">
        <w:rPr>
          <w:rFonts w:cs="Arial"/>
          <w:rtl/>
        </w:rPr>
        <w:t xml:space="preserve"> והוות מחזרא ליה על כל קרתא ומדברא ליה</w:t>
      </w:r>
      <w:r>
        <w:rPr>
          <w:rFonts w:cs="Arial" w:hint="cs"/>
          <w:rtl/>
        </w:rPr>
        <w:t>.</w:t>
      </w:r>
      <w:r w:rsidRPr="008F0BEE">
        <w:rPr>
          <w:rFonts w:cs="Arial"/>
          <w:rtl/>
        </w:rPr>
        <w:t xml:space="preserve"> חד זמן חזרתיה על כל קרתא ולא איתיהב ליה כלום</w:t>
      </w:r>
      <w:r>
        <w:rPr>
          <w:rFonts w:cs="Arial" w:hint="cs"/>
          <w:rtl/>
        </w:rPr>
        <w:t>.</w:t>
      </w:r>
      <w:r w:rsidRPr="008F0BEE">
        <w:rPr>
          <w:rFonts w:cs="Arial"/>
          <w:rtl/>
        </w:rPr>
        <w:t xml:space="preserve"> אמר לה</w:t>
      </w:r>
      <w:r>
        <w:rPr>
          <w:rFonts w:cs="Arial" w:hint="cs"/>
          <w:rtl/>
        </w:rPr>
        <w:t>:</w:t>
      </w:r>
      <w:r w:rsidRPr="008F0BEE">
        <w:rPr>
          <w:rFonts w:cs="Arial"/>
          <w:rtl/>
        </w:rPr>
        <w:t xml:space="preserve"> לית הכא שכונה חורין</w:t>
      </w:r>
      <w:r>
        <w:rPr>
          <w:rFonts w:cs="Arial" w:hint="cs"/>
          <w:rtl/>
        </w:rPr>
        <w:t>?</w:t>
      </w:r>
      <w:r w:rsidRPr="008F0BEE">
        <w:rPr>
          <w:rFonts w:cs="Arial"/>
          <w:rtl/>
        </w:rPr>
        <w:t xml:space="preserve"> אמרה ליה</w:t>
      </w:r>
      <w:r>
        <w:rPr>
          <w:rFonts w:cs="Arial" w:hint="cs"/>
          <w:rtl/>
        </w:rPr>
        <w:t>:</w:t>
      </w:r>
      <w:r w:rsidRPr="008F0BEE">
        <w:rPr>
          <w:rFonts w:cs="Arial"/>
          <w:rtl/>
        </w:rPr>
        <w:t xml:space="preserve"> אית הכא שכונה דמשבקי</w:t>
      </w:r>
      <w:r>
        <w:rPr>
          <w:rFonts w:cs="Arial" w:hint="cs"/>
          <w:rtl/>
        </w:rPr>
        <w:t>,</w:t>
      </w:r>
      <w:r w:rsidRPr="008F0BEE">
        <w:rPr>
          <w:rFonts w:cs="Arial"/>
          <w:rtl/>
        </w:rPr>
        <w:t xml:space="preserve"> ולית בחיילי</w:t>
      </w:r>
      <w:r w:rsidR="00A71782">
        <w:rPr>
          <w:rFonts w:cs="Arial" w:hint="cs"/>
          <w:rtl/>
        </w:rPr>
        <w:t>.</w:t>
      </w:r>
      <w:r w:rsidRPr="008F0BEE">
        <w:rPr>
          <w:rFonts w:cs="Arial"/>
          <w:rtl/>
        </w:rPr>
        <w:t xml:space="preserve"> עייל לה לתמן</w:t>
      </w:r>
      <w:r w:rsidR="00A71782">
        <w:rPr>
          <w:rFonts w:cs="Arial" w:hint="cs"/>
          <w:rtl/>
        </w:rPr>
        <w:t>,</w:t>
      </w:r>
      <w:r w:rsidRPr="008F0BEE">
        <w:rPr>
          <w:rFonts w:cs="Arial"/>
          <w:rtl/>
        </w:rPr>
        <w:t xml:space="preserve"> שרי חביט לה</w:t>
      </w:r>
      <w:r w:rsidR="00A71782">
        <w:rPr>
          <w:rFonts w:cs="Arial" w:hint="cs"/>
          <w:rtl/>
        </w:rPr>
        <w:t>.</w:t>
      </w:r>
      <w:r w:rsidRPr="008F0BEE">
        <w:rPr>
          <w:rFonts w:cs="Arial"/>
          <w:rtl/>
        </w:rPr>
        <w:t xml:space="preserve"> עבר ר' יוסי הגלילי ושמע קלון מתבזיי בשוקא</w:t>
      </w:r>
      <w:r w:rsidR="00A71782">
        <w:rPr>
          <w:rFonts w:cs="Arial" w:hint="cs"/>
          <w:rtl/>
        </w:rPr>
        <w:t>,</w:t>
      </w:r>
      <w:r w:rsidRPr="008F0BEE">
        <w:rPr>
          <w:rFonts w:cs="Arial"/>
          <w:rtl/>
        </w:rPr>
        <w:t xml:space="preserve"> נסבון ויהבון בגו חד ביתא מן דידיה</w:t>
      </w:r>
      <w:r w:rsidR="00A71782">
        <w:rPr>
          <w:rFonts w:cs="Arial" w:hint="cs"/>
          <w:rtl/>
        </w:rPr>
        <w:t>,</w:t>
      </w:r>
      <w:r w:rsidRPr="008F0BEE">
        <w:rPr>
          <w:rFonts w:cs="Arial"/>
          <w:rtl/>
        </w:rPr>
        <w:t xml:space="preserve"> והוה מסיק לון מזונין כל יומין דהוון בחיין על שם ומבשרך לא תתעלם זו גרושתו</w:t>
      </w:r>
      <w:r w:rsidR="00A71782">
        <w:rPr>
          <w:rFonts w:cs="Arial" w:hint="cs"/>
          <w:rtl/>
        </w:rPr>
        <w:t>.</w:t>
      </w:r>
      <w:r w:rsidRPr="008F0BEE">
        <w:rPr>
          <w:rFonts w:cs="Arial"/>
          <w:rtl/>
        </w:rPr>
        <w:t xml:space="preserve"> אפילו כן אציתון קלוי בליליא ושמעין קלה אמרה</w:t>
      </w:r>
      <w:r w:rsidR="00A71782">
        <w:rPr>
          <w:rFonts w:cs="Arial" w:hint="cs"/>
          <w:rtl/>
        </w:rPr>
        <w:t>:</w:t>
      </w:r>
      <w:r w:rsidRPr="008F0BEE">
        <w:rPr>
          <w:rFonts w:cs="Arial"/>
          <w:rtl/>
        </w:rPr>
        <w:t xml:space="preserve"> לא הוה טב דייה צערה לבר מן גופה ולא לגו גופה</w:t>
      </w:r>
      <w:r w:rsidR="00A71782">
        <w:rPr>
          <w:rFonts w:cs="Arial" w:hint="cs"/>
          <w:rtl/>
        </w:rPr>
        <w:t>.</w:t>
      </w:r>
    </w:p>
    <w:p w14:paraId="18825587" w14:textId="77777777" w:rsidR="000F4DF0" w:rsidRPr="007B74F1" w:rsidRDefault="000F4DF0" w:rsidP="000F4DF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45A219D" w14:textId="69EC8E3A" w:rsidR="007B74F1" w:rsidRDefault="007B74F1" w:rsidP="007B74F1">
      <w:pPr>
        <w:rPr>
          <w:rFonts w:cs="Arial"/>
          <w:rtl/>
        </w:rPr>
      </w:pPr>
      <w:r w:rsidRPr="007B74F1">
        <w:rPr>
          <w:rFonts w:cs="Arial"/>
          <w:rtl/>
        </w:rPr>
        <w:t>היה לה מלוה אצלו</w:t>
      </w:r>
      <w:r w:rsidR="00674AD4">
        <w:rPr>
          <w:rStyle w:val="a7"/>
          <w:rFonts w:cs="Arial"/>
          <w:rtl/>
        </w:rPr>
        <w:footnoteReference w:id="86"/>
      </w:r>
      <w:r w:rsidRPr="007B74F1">
        <w:rPr>
          <w:rFonts w:cs="Arial"/>
          <w:rtl/>
        </w:rPr>
        <w:t xml:space="preserve">, עושה שליח לתובעו. </w:t>
      </w:r>
      <w:r w:rsidRPr="00054A1B">
        <w:rPr>
          <w:rFonts w:cs="Arial"/>
          <w:sz w:val="18"/>
          <w:szCs w:val="18"/>
          <w:rtl/>
        </w:rPr>
        <w:t>הגה: ודוקא בכה"ג, אבל מותר ליכנס לביתה אע</w:t>
      </w:r>
      <w:r w:rsidR="00922465">
        <w:rPr>
          <w:rFonts w:cs="Arial" w:hint="cs"/>
          <w:sz w:val="18"/>
          <w:szCs w:val="18"/>
          <w:rtl/>
        </w:rPr>
        <w:t>"</w:t>
      </w:r>
      <w:r w:rsidRPr="00054A1B">
        <w:rPr>
          <w:rFonts w:cs="Arial"/>
          <w:sz w:val="18"/>
          <w:szCs w:val="18"/>
          <w:rtl/>
        </w:rPr>
        <w:t>פ שנישאת, הואיל ואינו דר שם ואינו נושא ונותן עמה (ת</w:t>
      </w:r>
      <w:r w:rsidR="00893A69">
        <w:rPr>
          <w:rFonts w:cs="Arial" w:hint="cs"/>
          <w:sz w:val="18"/>
          <w:szCs w:val="18"/>
          <w:rtl/>
        </w:rPr>
        <w:t>רו</w:t>
      </w:r>
      <w:r w:rsidRPr="00054A1B">
        <w:rPr>
          <w:rFonts w:cs="Arial"/>
          <w:sz w:val="18"/>
          <w:szCs w:val="18"/>
          <w:rtl/>
        </w:rPr>
        <w:t>ה</w:t>
      </w:r>
      <w:r w:rsidR="00893A69">
        <w:rPr>
          <w:rFonts w:cs="Arial" w:hint="cs"/>
          <w:sz w:val="18"/>
          <w:szCs w:val="18"/>
          <w:rtl/>
        </w:rPr>
        <w:t>"ד</w:t>
      </w:r>
      <w:r w:rsidRPr="00054A1B">
        <w:rPr>
          <w:rFonts w:cs="Arial"/>
          <w:sz w:val="18"/>
          <w:szCs w:val="18"/>
          <w:rtl/>
        </w:rPr>
        <w:t>). ויש חולקין</w:t>
      </w:r>
      <w:r w:rsidR="008F0BEE">
        <w:rPr>
          <w:rStyle w:val="a7"/>
          <w:rFonts w:cs="Arial"/>
          <w:sz w:val="18"/>
          <w:szCs w:val="18"/>
          <w:rtl/>
        </w:rPr>
        <w:footnoteReference w:id="87"/>
      </w:r>
      <w:r w:rsidRPr="00054A1B">
        <w:rPr>
          <w:rFonts w:cs="Arial"/>
          <w:sz w:val="18"/>
          <w:szCs w:val="18"/>
          <w:rtl/>
        </w:rPr>
        <w:t xml:space="preserve"> (ב"י). מותר לאדם לזון גרושתו, ומצוה היא יותר מבשאר עני (הגה</w:t>
      </w:r>
      <w:r w:rsidR="00922465">
        <w:rPr>
          <w:rFonts w:cs="Arial" w:hint="cs"/>
          <w:sz w:val="18"/>
          <w:szCs w:val="18"/>
          <w:rtl/>
        </w:rPr>
        <w:t>"</w:t>
      </w:r>
      <w:r w:rsidRPr="00054A1B">
        <w:rPr>
          <w:rFonts w:cs="Arial"/>
          <w:sz w:val="18"/>
          <w:szCs w:val="18"/>
          <w:rtl/>
        </w:rPr>
        <w:t>מ פכ"א מא"ב)</w:t>
      </w:r>
      <w:r w:rsidR="00922465">
        <w:rPr>
          <w:rFonts w:cs="Arial" w:hint="cs"/>
          <w:sz w:val="18"/>
          <w:szCs w:val="18"/>
          <w:rtl/>
        </w:rPr>
        <w:t>.</w:t>
      </w:r>
      <w:r w:rsidRPr="00054A1B">
        <w:rPr>
          <w:rFonts w:cs="Arial"/>
          <w:sz w:val="18"/>
          <w:szCs w:val="18"/>
          <w:rtl/>
        </w:rPr>
        <w:t xml:space="preserve"> ובלבד שלא יהא לו עסק עמה, רק יזונה על ידי שליח</w:t>
      </w:r>
      <w:r w:rsidR="00674AD4">
        <w:rPr>
          <w:rStyle w:val="a7"/>
          <w:rFonts w:cs="Arial"/>
          <w:sz w:val="18"/>
          <w:szCs w:val="18"/>
          <w:rtl/>
        </w:rPr>
        <w:footnoteReference w:id="88"/>
      </w:r>
      <w:r w:rsidRPr="00054A1B">
        <w:rPr>
          <w:rFonts w:cs="Arial"/>
          <w:sz w:val="18"/>
          <w:szCs w:val="18"/>
          <w:rtl/>
        </w:rPr>
        <w:t xml:space="preserve"> (א</w:t>
      </w:r>
      <w:r w:rsidR="00922465">
        <w:rPr>
          <w:rFonts w:cs="Arial" w:hint="cs"/>
          <w:sz w:val="18"/>
          <w:szCs w:val="18"/>
          <w:rtl/>
        </w:rPr>
        <w:t>ו</w:t>
      </w:r>
      <w:r w:rsidRPr="00054A1B">
        <w:rPr>
          <w:rFonts w:cs="Arial"/>
          <w:sz w:val="18"/>
          <w:szCs w:val="18"/>
          <w:rtl/>
        </w:rPr>
        <w:t>"ז).</w:t>
      </w:r>
      <w:r w:rsidRPr="007B74F1">
        <w:rPr>
          <w:rFonts w:cs="Arial"/>
          <w:rtl/>
        </w:rPr>
        <w:t xml:space="preserve"> </w:t>
      </w:r>
    </w:p>
    <w:p w14:paraId="34EE0122" w14:textId="77777777" w:rsidR="00922465" w:rsidRPr="00922465" w:rsidRDefault="00922465" w:rsidP="00922465">
      <w:pPr>
        <w:rPr>
          <w:rFonts w:cs="Arial"/>
          <w:rtl/>
        </w:rPr>
      </w:pPr>
    </w:p>
    <w:p w14:paraId="40C886A3" w14:textId="63DE3A48" w:rsidR="007B74F1" w:rsidRDefault="00922465" w:rsidP="00786DE6">
      <w:pPr>
        <w:pStyle w:val="2"/>
        <w:rPr>
          <w:rtl/>
        </w:rPr>
      </w:pPr>
      <w:r>
        <w:rPr>
          <w:rFonts w:hint="cs"/>
          <w:rtl/>
        </w:rPr>
        <w:t xml:space="preserve">סעיף ט: </w:t>
      </w:r>
      <w:r w:rsidR="0032798B">
        <w:rPr>
          <w:rFonts w:hint="cs"/>
          <w:rtl/>
        </w:rPr>
        <w:t>איש שבא לדין עם גרושתו</w:t>
      </w:r>
      <w:r w:rsidR="00893A69">
        <w:rPr>
          <w:rFonts w:hint="cs"/>
          <w:rtl/>
        </w:rPr>
        <w:t>.</w:t>
      </w:r>
    </w:p>
    <w:p w14:paraId="1D9C4156" w14:textId="66F9E228" w:rsidR="00054A1B" w:rsidRPr="00054A1B" w:rsidRDefault="00893A69" w:rsidP="00054A1B">
      <w:pPr>
        <w:rPr>
          <w:rtl/>
        </w:rPr>
      </w:pPr>
      <w:r>
        <w:rPr>
          <w:rFonts w:hint="cs"/>
          <w:rtl/>
        </w:rPr>
        <w:t>עיין במקורות בסעיף הקודם.</w:t>
      </w:r>
    </w:p>
    <w:p w14:paraId="5B17D390" w14:textId="77777777" w:rsidR="000F4DF0" w:rsidRPr="007B74F1" w:rsidRDefault="000F4DF0" w:rsidP="000F4DF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7E1E5C4" w14:textId="5FE71E1D" w:rsidR="007B74F1" w:rsidRDefault="007B74F1" w:rsidP="007B74F1">
      <w:pPr>
        <w:rPr>
          <w:rFonts w:cs="Arial"/>
          <w:rtl/>
        </w:rPr>
      </w:pPr>
      <w:r w:rsidRPr="007B74F1">
        <w:rPr>
          <w:rFonts w:cs="Arial"/>
          <w:rtl/>
        </w:rPr>
        <w:t>גרושה</w:t>
      </w:r>
      <w:r w:rsidR="00A71782">
        <w:rPr>
          <w:rStyle w:val="a7"/>
          <w:rFonts w:cs="Arial"/>
          <w:rtl/>
        </w:rPr>
        <w:footnoteReference w:id="89"/>
      </w:r>
      <w:r w:rsidRPr="007B74F1">
        <w:rPr>
          <w:rFonts w:cs="Arial"/>
          <w:rtl/>
        </w:rPr>
        <w:t xml:space="preserve"> שבאה עם המגרש לדין, מנדין אותם או מכין אותם מכת מרדות. </w:t>
      </w:r>
    </w:p>
    <w:p w14:paraId="5B77DF19" w14:textId="77777777" w:rsidR="00054A1B" w:rsidRPr="007B74F1" w:rsidRDefault="00054A1B" w:rsidP="007B74F1">
      <w:pPr>
        <w:rPr>
          <w:rFonts w:cs="Arial"/>
          <w:rtl/>
        </w:rPr>
      </w:pPr>
    </w:p>
    <w:p w14:paraId="60388623" w14:textId="7AE07D4C" w:rsidR="007B74F1" w:rsidRDefault="007B74F1" w:rsidP="00786DE6">
      <w:pPr>
        <w:pStyle w:val="2"/>
        <w:rPr>
          <w:rtl/>
        </w:rPr>
      </w:pPr>
      <w:r w:rsidRPr="007B74F1">
        <w:rPr>
          <w:rtl/>
        </w:rPr>
        <w:t>סעיף י</w:t>
      </w:r>
      <w:r w:rsidR="00054A1B">
        <w:rPr>
          <w:rFonts w:hint="cs"/>
          <w:rtl/>
        </w:rPr>
        <w:t>:</w:t>
      </w:r>
      <w:r w:rsidR="0032798B">
        <w:rPr>
          <w:rFonts w:hint="cs"/>
          <w:rtl/>
        </w:rPr>
        <w:t xml:space="preserve"> איש </w:t>
      </w:r>
      <w:r w:rsidR="0032300C">
        <w:rPr>
          <w:rFonts w:hint="cs"/>
          <w:rtl/>
        </w:rPr>
        <w:t>ש</w:t>
      </w:r>
      <w:r w:rsidR="0032798B">
        <w:rPr>
          <w:rFonts w:hint="cs"/>
          <w:rtl/>
        </w:rPr>
        <w:t>רוצה לתבוע לדין את גרושתו מן האירוסין.</w:t>
      </w:r>
    </w:p>
    <w:p w14:paraId="54E12E32" w14:textId="59F862AE" w:rsidR="00BB3105" w:rsidRDefault="00BB3105" w:rsidP="00BB3105">
      <w:pPr>
        <w:rPr>
          <w:rtl/>
        </w:rPr>
      </w:pPr>
      <w:r w:rsidRPr="00F51D6D">
        <w:rPr>
          <w:rFonts w:cs="Arial" w:hint="cs"/>
          <w:b/>
          <w:bCs/>
          <w:rtl/>
        </w:rPr>
        <w:t xml:space="preserve">כתובות </w:t>
      </w:r>
      <w:r w:rsidRPr="00F51D6D">
        <w:rPr>
          <w:rFonts w:cs="Arial" w:hint="cs"/>
          <w:b/>
          <w:bCs/>
          <w:sz w:val="16"/>
          <w:szCs w:val="16"/>
          <w:rtl/>
        </w:rPr>
        <w:t>(ספ"ב)</w:t>
      </w:r>
      <w:r w:rsidRPr="00F51D6D">
        <w:rPr>
          <w:rFonts w:cs="Arial" w:hint="cs"/>
          <w:b/>
          <w:bCs/>
          <w:rtl/>
        </w:rPr>
        <w:t xml:space="preserve"> כ</w:t>
      </w:r>
      <w:r>
        <w:rPr>
          <w:rFonts w:cs="Arial" w:hint="cs"/>
          <w:b/>
          <w:bCs/>
          <w:rtl/>
        </w:rPr>
        <w:t>ח</w:t>
      </w:r>
      <w:r w:rsidRPr="00F51D6D">
        <w:rPr>
          <w:rFonts w:cs="Arial" w:hint="cs"/>
          <w:b/>
          <w:bCs/>
          <w:rtl/>
        </w:rPr>
        <w:t xml:space="preserve"> ע"</w:t>
      </w:r>
      <w:r>
        <w:rPr>
          <w:rFonts w:cs="Arial" w:hint="cs"/>
          <w:b/>
          <w:bCs/>
          <w:rtl/>
        </w:rPr>
        <w:t>א</w:t>
      </w:r>
      <w:r w:rsidRPr="00F51D6D">
        <w:rPr>
          <w:rFonts w:cs="Arial" w:hint="cs"/>
          <w:b/>
          <w:bCs/>
          <w:rtl/>
        </w:rPr>
        <w:t xml:space="preserve">: </w:t>
      </w:r>
      <w:r w:rsidRPr="00F51D6D">
        <w:rPr>
          <w:rFonts w:cs="Arial"/>
          <w:rtl/>
        </w:rPr>
        <w:t xml:space="preserve">ת"ר: לוה הימנה בנכסי אביה </w:t>
      </w:r>
      <w:r w:rsidR="00A82951">
        <w:rPr>
          <w:rFonts w:cs="Arial"/>
          <w:rtl/>
        </w:rPr>
        <w:t>-</w:t>
      </w:r>
      <w:r w:rsidRPr="00F51D6D">
        <w:rPr>
          <w:rFonts w:cs="Arial"/>
          <w:rtl/>
        </w:rPr>
        <w:t xml:space="preserve"> אינה נפרעת אלא ע"י אחר.</w:t>
      </w:r>
      <w:r>
        <w:rPr>
          <w:rFonts w:cs="Arial" w:hint="cs"/>
          <w:rtl/>
        </w:rPr>
        <w:t>.</w:t>
      </w:r>
      <w:r w:rsidRPr="00F51D6D">
        <w:rPr>
          <w:rFonts w:cs="Arial"/>
          <w:rtl/>
        </w:rPr>
        <w:t xml:space="preserve">. </w:t>
      </w:r>
      <w:r w:rsidRPr="00BB3105">
        <w:rPr>
          <w:rFonts w:cs="Arial"/>
          <w:u w:val="single"/>
          <w:rtl/>
        </w:rPr>
        <w:t>אמר רב נחמן</w:t>
      </w:r>
      <w:r>
        <w:rPr>
          <w:rFonts w:cs="Arial" w:hint="cs"/>
          <w:rtl/>
        </w:rPr>
        <w:t>:</w:t>
      </w:r>
      <w:r w:rsidRPr="00F51D6D">
        <w:rPr>
          <w:rFonts w:cs="Arial"/>
          <w:rtl/>
        </w:rPr>
        <w:t xml:space="preserve"> תנא באבל רבתי: בד"א </w:t>
      </w:r>
      <w:r w:rsidR="00A82951">
        <w:rPr>
          <w:rFonts w:cs="Arial"/>
          <w:rtl/>
        </w:rPr>
        <w:t>-</w:t>
      </w:r>
      <w:r w:rsidRPr="00F51D6D">
        <w:rPr>
          <w:rFonts w:cs="Arial"/>
          <w:rtl/>
        </w:rPr>
        <w:t xml:space="preserve"> שנתגרשה מן הנשואין, אבל כשנתגרשה מן האירוסין </w:t>
      </w:r>
      <w:r w:rsidR="00A82951">
        <w:rPr>
          <w:rFonts w:cs="Arial"/>
          <w:rtl/>
        </w:rPr>
        <w:t>-</w:t>
      </w:r>
      <w:r w:rsidRPr="00F51D6D">
        <w:rPr>
          <w:rFonts w:cs="Arial"/>
          <w:rtl/>
        </w:rPr>
        <w:t xml:space="preserve"> נפרעת ע"י עצמה, שאין לבו גס בה. ההוא ארוס וארוסתו דאתו לקמיה דרבא, יתיב רב אדא בר מתנא קמיה, אוקי רבא שלוחא בינתייהו</w:t>
      </w:r>
      <w:r w:rsidR="00BA5D9F">
        <w:rPr>
          <w:rFonts w:cs="Arial" w:hint="cs"/>
          <w:rtl/>
        </w:rPr>
        <w:t>.</w:t>
      </w:r>
      <w:r w:rsidRPr="00F51D6D">
        <w:rPr>
          <w:rFonts w:cs="Arial"/>
          <w:rtl/>
        </w:rPr>
        <w:t xml:space="preserve"> </w:t>
      </w:r>
      <w:r w:rsidRPr="00BA5D9F">
        <w:rPr>
          <w:rFonts w:cs="Arial"/>
          <w:u w:val="single"/>
          <w:rtl/>
        </w:rPr>
        <w:t>א"ל רב אדא בר מתנא</w:t>
      </w:r>
      <w:r w:rsidR="00BA5D9F">
        <w:rPr>
          <w:rFonts w:cs="Arial" w:hint="cs"/>
          <w:rtl/>
        </w:rPr>
        <w:t>:</w:t>
      </w:r>
      <w:r w:rsidRPr="00F51D6D">
        <w:rPr>
          <w:rFonts w:cs="Arial"/>
          <w:rtl/>
        </w:rPr>
        <w:t xml:space="preserve"> והאמר רב נחמן תנא באבל רבתי כו'! </w:t>
      </w:r>
      <w:r w:rsidRPr="00BA5D9F">
        <w:rPr>
          <w:rFonts w:cs="Arial"/>
          <w:u w:val="single"/>
          <w:rtl/>
        </w:rPr>
        <w:t>א"ל</w:t>
      </w:r>
      <w:r w:rsidRPr="00F51D6D">
        <w:rPr>
          <w:rFonts w:cs="Arial"/>
          <w:rtl/>
        </w:rPr>
        <w:t xml:space="preserve">: קא חזינן דקא גייסי בהדדי. </w:t>
      </w:r>
      <w:r w:rsidRPr="00BA5D9F">
        <w:rPr>
          <w:rFonts w:cs="Arial"/>
          <w:u w:val="dotted"/>
          <w:rtl/>
        </w:rPr>
        <w:t>איכא דאמרי</w:t>
      </w:r>
      <w:r w:rsidRPr="00F51D6D">
        <w:rPr>
          <w:rFonts w:cs="Arial"/>
          <w:rtl/>
        </w:rPr>
        <w:t xml:space="preserve">: לא אוקי רבא שליח בינתייהו, </w:t>
      </w:r>
      <w:r w:rsidRPr="00BA5D9F">
        <w:rPr>
          <w:rFonts w:cs="Arial"/>
          <w:u w:val="single"/>
          <w:rtl/>
        </w:rPr>
        <w:t>א"ל רב אדא בר מתנא</w:t>
      </w:r>
      <w:r w:rsidRPr="00F51D6D">
        <w:rPr>
          <w:rFonts w:cs="Arial"/>
          <w:rtl/>
        </w:rPr>
        <w:t xml:space="preserve">: ניקום מר שלוחא בינתייהו! </w:t>
      </w:r>
      <w:r w:rsidRPr="00BA5D9F">
        <w:rPr>
          <w:rFonts w:cs="Arial"/>
          <w:u w:val="single"/>
          <w:rtl/>
        </w:rPr>
        <w:t>א"ל</w:t>
      </w:r>
      <w:r w:rsidR="00BA5D9F">
        <w:rPr>
          <w:rFonts w:cs="Arial" w:hint="cs"/>
          <w:rtl/>
        </w:rPr>
        <w:t>:</w:t>
      </w:r>
      <w:r w:rsidRPr="00F51D6D">
        <w:rPr>
          <w:rFonts w:cs="Arial"/>
          <w:rtl/>
        </w:rPr>
        <w:t xml:space="preserve"> והא אמר רב נחמ</w:t>
      </w:r>
      <w:r w:rsidR="00BA5D9F">
        <w:rPr>
          <w:rFonts w:cs="Arial" w:hint="cs"/>
          <w:rtl/>
        </w:rPr>
        <w:t>ן,</w:t>
      </w:r>
      <w:r w:rsidRPr="00F51D6D">
        <w:rPr>
          <w:rFonts w:cs="Arial"/>
          <w:rtl/>
        </w:rPr>
        <w:t xml:space="preserve"> תנא באבל רבתי כו'! </w:t>
      </w:r>
      <w:r w:rsidRPr="00BA5D9F">
        <w:rPr>
          <w:rFonts w:cs="Arial"/>
          <w:u w:val="single"/>
          <w:rtl/>
        </w:rPr>
        <w:t>א"ל</w:t>
      </w:r>
      <w:r w:rsidRPr="00F51D6D">
        <w:rPr>
          <w:rFonts w:cs="Arial"/>
          <w:rtl/>
        </w:rPr>
        <w:t>: ה"מ היכא דלא גייסי בהדדי, אבל הני קא חזינא להו דגייסי בהדדי.</w:t>
      </w:r>
    </w:p>
    <w:p w14:paraId="064D0C65" w14:textId="1133C3F9" w:rsidR="00BB3105" w:rsidRPr="0032300C" w:rsidRDefault="0032300C" w:rsidP="00BB3105">
      <w:pPr>
        <w:rPr>
          <w:u w:val="single"/>
          <w:rtl/>
        </w:rPr>
      </w:pPr>
      <w:r w:rsidRPr="0032300C">
        <w:rPr>
          <w:rFonts w:hint="cs"/>
          <w:u w:val="single"/>
          <w:rtl/>
        </w:rPr>
        <w:t xml:space="preserve">איש </w:t>
      </w:r>
      <w:r>
        <w:rPr>
          <w:rFonts w:hint="cs"/>
          <w:u w:val="single"/>
          <w:rtl/>
        </w:rPr>
        <w:t>ש</w:t>
      </w:r>
      <w:r w:rsidRPr="0032300C">
        <w:rPr>
          <w:rFonts w:hint="cs"/>
          <w:u w:val="single"/>
          <w:rtl/>
        </w:rPr>
        <w:t>רוצה לתבוע לדין את גרושתו מן האירוסין:</w:t>
      </w:r>
    </w:p>
    <w:p w14:paraId="7FDF28E9" w14:textId="3549DE51" w:rsidR="00BB3105" w:rsidRPr="00893A69" w:rsidRDefault="00BB3105" w:rsidP="00A65C5F">
      <w:pPr>
        <w:pStyle w:val="ab"/>
        <w:numPr>
          <w:ilvl w:val="0"/>
          <w:numId w:val="24"/>
        </w:numPr>
        <w:rPr>
          <w:rFonts w:cs="Arial"/>
          <w:rtl/>
        </w:rPr>
      </w:pPr>
      <w:r>
        <w:rPr>
          <w:rFonts w:cs="Arial" w:hint="cs"/>
          <w:rtl/>
        </w:rPr>
        <w:t xml:space="preserve">רמב"ם </w:t>
      </w:r>
      <w:r>
        <w:rPr>
          <w:rFonts w:cs="Arial" w:hint="cs"/>
          <w:sz w:val="16"/>
          <w:szCs w:val="16"/>
          <w:rtl/>
        </w:rPr>
        <w:t>(פכ"א מאיסו"ב הכ"ז)</w:t>
      </w:r>
      <w:r w:rsidR="00BF2B51">
        <w:rPr>
          <w:rFonts w:cs="Arial" w:hint="cs"/>
          <w:rtl/>
        </w:rPr>
        <w:t xml:space="preserve"> וטור</w:t>
      </w:r>
      <w:r w:rsidR="00A82951">
        <w:rPr>
          <w:rFonts w:cs="Arial" w:hint="cs"/>
          <w:rtl/>
        </w:rPr>
        <w:t>-</w:t>
      </w:r>
      <w:r>
        <w:rPr>
          <w:rFonts w:cs="Arial" w:hint="cs"/>
          <w:rtl/>
        </w:rPr>
        <w:t xml:space="preserve"> </w:t>
      </w:r>
      <w:r w:rsidRPr="003F7CFF">
        <w:rPr>
          <w:rFonts w:cs="Arial"/>
          <w:rtl/>
        </w:rPr>
        <w:t>אם נתגרשה מן האירוסין מותרת לתובעו בדין ולדור עמו</w:t>
      </w:r>
      <w:r w:rsidR="00BA5D9F">
        <w:rPr>
          <w:rFonts w:cs="Arial" w:hint="cs"/>
          <w:rtl/>
        </w:rPr>
        <w:t>.</w:t>
      </w:r>
      <w:r w:rsidRPr="003F7CFF">
        <w:rPr>
          <w:rFonts w:cs="Arial"/>
          <w:rtl/>
        </w:rPr>
        <w:t xml:space="preserve"> ואם היה לבו גס בה </w:t>
      </w:r>
      <w:r w:rsidR="00A82951">
        <w:rPr>
          <w:rFonts w:cs="Arial" w:hint="cs"/>
          <w:rtl/>
        </w:rPr>
        <w:t>-</w:t>
      </w:r>
      <w:r w:rsidR="00BA5D9F">
        <w:rPr>
          <w:rFonts w:cs="Arial" w:hint="cs"/>
          <w:rtl/>
        </w:rPr>
        <w:t xml:space="preserve"> </w:t>
      </w:r>
      <w:r w:rsidRPr="003F7CFF">
        <w:rPr>
          <w:rFonts w:cs="Arial"/>
          <w:rtl/>
        </w:rPr>
        <w:t>אף מן האירוסין אסור</w:t>
      </w:r>
      <w:r w:rsidR="0032300C">
        <w:rPr>
          <w:rFonts w:cs="Arial" w:hint="cs"/>
          <w:sz w:val="16"/>
          <w:szCs w:val="16"/>
          <w:rtl/>
        </w:rPr>
        <w:t xml:space="preserve"> (ל' הרמב"ם)</w:t>
      </w:r>
      <w:r w:rsidR="0032300C">
        <w:rPr>
          <w:rFonts w:cs="Arial" w:hint="cs"/>
          <w:rtl/>
        </w:rPr>
        <w:t>.</w:t>
      </w:r>
      <w:r w:rsidR="0032300C" w:rsidRPr="003F7CFF">
        <w:rPr>
          <w:rFonts w:cs="Arial"/>
          <w:rtl/>
        </w:rPr>
        <w:t xml:space="preserve"> </w:t>
      </w:r>
      <w:r w:rsidR="0032300C" w:rsidRPr="00681348">
        <w:rPr>
          <w:rFonts w:cs="Arial" w:hint="cs"/>
          <w:color w:val="E36C0A" w:themeColor="accent6" w:themeShade="BF"/>
          <w:rtl/>
        </w:rPr>
        <w:t>(וכ"פ בשו"ע</w:t>
      </w:r>
      <w:r w:rsidR="0032300C">
        <w:rPr>
          <w:rFonts w:cs="Arial" w:hint="cs"/>
          <w:color w:val="E36C0A" w:themeColor="accent6" w:themeShade="BF"/>
          <w:rtl/>
        </w:rPr>
        <w:t>)</w:t>
      </w:r>
    </w:p>
    <w:p w14:paraId="3C1C2C01" w14:textId="77777777" w:rsidR="000F4DF0" w:rsidRPr="007B74F1" w:rsidRDefault="000F4DF0" w:rsidP="000F4DF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37EE92B" w14:textId="2C370D5E" w:rsidR="007B74F1" w:rsidRDefault="007B74F1" w:rsidP="007B74F1">
      <w:pPr>
        <w:rPr>
          <w:rFonts w:cs="Arial"/>
          <w:rtl/>
        </w:rPr>
      </w:pPr>
      <w:r w:rsidRPr="007B74F1">
        <w:rPr>
          <w:rFonts w:cs="Arial"/>
          <w:rtl/>
        </w:rPr>
        <w:t xml:space="preserve">אם נתגרשה מן האירוסין, מותרת לתובעו לדין ולדון עמו. ואם היה לבו גס בה, אף מן האירוסין אסור. </w:t>
      </w:r>
    </w:p>
    <w:p w14:paraId="5708A40B" w14:textId="77777777" w:rsidR="00054A1B" w:rsidRPr="007B74F1" w:rsidRDefault="00054A1B" w:rsidP="007B74F1">
      <w:pPr>
        <w:rPr>
          <w:rFonts w:cs="Arial"/>
          <w:rtl/>
        </w:rPr>
      </w:pPr>
    </w:p>
    <w:p w14:paraId="66C40B82" w14:textId="470EE935" w:rsidR="007B74F1" w:rsidRDefault="007B74F1" w:rsidP="00786DE6">
      <w:pPr>
        <w:pStyle w:val="2"/>
        <w:rPr>
          <w:rtl/>
        </w:rPr>
      </w:pPr>
      <w:r w:rsidRPr="007B74F1">
        <w:rPr>
          <w:rtl/>
        </w:rPr>
        <w:lastRenderedPageBreak/>
        <w:t>סעיף יא</w:t>
      </w:r>
      <w:r w:rsidR="00054A1B">
        <w:rPr>
          <w:rFonts w:hint="cs"/>
          <w:rtl/>
        </w:rPr>
        <w:t>:</w:t>
      </w:r>
      <w:r w:rsidR="0032300C">
        <w:rPr>
          <w:rFonts w:hint="cs"/>
          <w:rtl/>
        </w:rPr>
        <w:t xml:space="preserve"> מי נדחה מפני מי. </w:t>
      </w:r>
    </w:p>
    <w:p w14:paraId="3AA9937F" w14:textId="3250A9A2" w:rsidR="0032798B" w:rsidRDefault="0032300C" w:rsidP="0032798B">
      <w:pPr>
        <w:rPr>
          <w:rtl/>
        </w:rPr>
      </w:pPr>
      <w:r w:rsidRPr="00F51D6D">
        <w:rPr>
          <w:rFonts w:cs="Arial" w:hint="cs"/>
          <w:b/>
          <w:bCs/>
          <w:rtl/>
        </w:rPr>
        <w:t xml:space="preserve">כתובות </w:t>
      </w:r>
      <w:r w:rsidRPr="00F51D6D">
        <w:rPr>
          <w:rFonts w:cs="Arial" w:hint="cs"/>
          <w:b/>
          <w:bCs/>
          <w:sz w:val="16"/>
          <w:szCs w:val="16"/>
          <w:rtl/>
        </w:rPr>
        <w:t>(ספ"ב)</w:t>
      </w:r>
      <w:r w:rsidRPr="00F51D6D">
        <w:rPr>
          <w:rFonts w:cs="Arial" w:hint="cs"/>
          <w:b/>
          <w:bCs/>
          <w:rtl/>
        </w:rPr>
        <w:t xml:space="preserve"> כ</w:t>
      </w:r>
      <w:r>
        <w:rPr>
          <w:rFonts w:cs="Arial" w:hint="cs"/>
          <w:b/>
          <w:bCs/>
          <w:rtl/>
        </w:rPr>
        <w:t>ח</w:t>
      </w:r>
      <w:r w:rsidRPr="00F51D6D">
        <w:rPr>
          <w:rFonts w:cs="Arial" w:hint="cs"/>
          <w:b/>
          <w:bCs/>
          <w:rtl/>
        </w:rPr>
        <w:t xml:space="preserve"> ע"</w:t>
      </w:r>
      <w:r>
        <w:rPr>
          <w:rFonts w:cs="Arial" w:hint="cs"/>
          <w:b/>
          <w:bCs/>
          <w:rtl/>
        </w:rPr>
        <w:t>א</w:t>
      </w:r>
      <w:r w:rsidRPr="00F51D6D">
        <w:rPr>
          <w:rFonts w:cs="Arial" w:hint="cs"/>
          <w:b/>
          <w:bCs/>
          <w:rtl/>
        </w:rPr>
        <w:t>:</w:t>
      </w:r>
      <w:r w:rsidRPr="0032300C">
        <w:rPr>
          <w:rtl/>
        </w:rPr>
        <w:t xml:space="preserve"> </w:t>
      </w:r>
      <w:r w:rsidRPr="0032300C">
        <w:rPr>
          <w:rFonts w:cs="Arial"/>
          <w:rtl/>
        </w:rPr>
        <w:t xml:space="preserve">מי נדחה מפני מי? ת"ש, דתניא: היא נדחית מפניו, ואין הוא נדחה מפניה, ואם היתה חצר שלה </w:t>
      </w:r>
      <w:r w:rsidR="00A82951">
        <w:rPr>
          <w:rFonts w:cs="Arial"/>
          <w:rtl/>
        </w:rPr>
        <w:t>-</w:t>
      </w:r>
      <w:r w:rsidRPr="0032300C">
        <w:rPr>
          <w:rFonts w:cs="Arial"/>
          <w:rtl/>
        </w:rPr>
        <w:t xml:space="preserve"> הוא נדחה מפניה. איבעיא להו: היתה חצר של שניהם, מהו? ת"ש: היא נדחית מפניו</w:t>
      </w:r>
      <w:r>
        <w:rPr>
          <w:rFonts w:cs="Arial" w:hint="cs"/>
          <w:rtl/>
        </w:rPr>
        <w:t>.</w:t>
      </w:r>
      <w:r w:rsidRPr="0032300C">
        <w:rPr>
          <w:rFonts w:cs="Arial"/>
          <w:rtl/>
        </w:rPr>
        <w:t xml:space="preserve"> במאי עסקינן? אילימא בחצר שלו, פשיטא! ואלא בחצר שלה, והתניא: אם היתה חצר שלה </w:t>
      </w:r>
      <w:r w:rsidR="00A82951">
        <w:rPr>
          <w:rFonts w:cs="Arial"/>
          <w:rtl/>
        </w:rPr>
        <w:t>-</w:t>
      </w:r>
      <w:r w:rsidRPr="0032300C">
        <w:rPr>
          <w:rFonts w:cs="Arial"/>
          <w:rtl/>
        </w:rPr>
        <w:t xml:space="preserve"> הוא נדחה מפניה! אלא לאו כי האי גוונא</w:t>
      </w:r>
      <w:r>
        <w:rPr>
          <w:rFonts w:cs="Arial" w:hint="cs"/>
          <w:rtl/>
        </w:rPr>
        <w:t>?!</w:t>
      </w:r>
      <w:r w:rsidRPr="0032300C">
        <w:rPr>
          <w:rFonts w:cs="Arial"/>
          <w:rtl/>
        </w:rPr>
        <w:t xml:space="preserve"> דלמא דאגיר מיגר. מאי הוי עלה? ת"ש: הנה ה' מטלטלך טלטלה גבר. </w:t>
      </w:r>
      <w:r w:rsidRPr="0032300C">
        <w:rPr>
          <w:rFonts w:cs="Arial"/>
          <w:u w:val="single"/>
          <w:rtl/>
        </w:rPr>
        <w:t>ואמר רב</w:t>
      </w:r>
      <w:r w:rsidRPr="0032300C">
        <w:rPr>
          <w:rFonts w:cs="Arial"/>
          <w:rtl/>
        </w:rPr>
        <w:t>: טלטולי דגברא קשין מדאיתתא.</w:t>
      </w:r>
    </w:p>
    <w:p w14:paraId="6CC75E51" w14:textId="65C9E0E0" w:rsidR="0032300C" w:rsidRPr="0032300C" w:rsidRDefault="0032300C" w:rsidP="0032798B">
      <w:pPr>
        <w:rPr>
          <w:u w:val="single"/>
          <w:rtl/>
        </w:rPr>
      </w:pPr>
      <w:r w:rsidRPr="0032300C">
        <w:rPr>
          <w:rFonts w:hint="cs"/>
          <w:u w:val="single"/>
          <w:rtl/>
        </w:rPr>
        <w:t>מי נדחה מפני מי:</w:t>
      </w:r>
    </w:p>
    <w:p w14:paraId="1838832A" w14:textId="1B9B15B9" w:rsidR="00054A1B" w:rsidRPr="0032300C" w:rsidRDefault="003F7CFF" w:rsidP="00A65C5F">
      <w:pPr>
        <w:pStyle w:val="ab"/>
        <w:numPr>
          <w:ilvl w:val="0"/>
          <w:numId w:val="24"/>
        </w:numPr>
        <w:rPr>
          <w:rFonts w:cs="Arial"/>
          <w:rtl/>
        </w:rPr>
      </w:pPr>
      <w:r>
        <w:rPr>
          <w:rFonts w:cs="Arial" w:hint="cs"/>
          <w:rtl/>
        </w:rPr>
        <w:t xml:space="preserve">רמב"ם </w:t>
      </w:r>
      <w:r>
        <w:rPr>
          <w:rFonts w:cs="Arial" w:hint="cs"/>
          <w:sz w:val="16"/>
          <w:szCs w:val="16"/>
          <w:rtl/>
        </w:rPr>
        <w:t>(פכ"א מאיסו"ב הכ"ז)</w:t>
      </w:r>
      <w:r w:rsidR="00A82951">
        <w:rPr>
          <w:rFonts w:cs="Arial" w:hint="cs"/>
          <w:rtl/>
        </w:rPr>
        <w:t>-</w:t>
      </w:r>
      <w:r>
        <w:rPr>
          <w:rFonts w:cs="Arial" w:hint="cs"/>
          <w:rtl/>
        </w:rPr>
        <w:t xml:space="preserve"> </w:t>
      </w:r>
      <w:r w:rsidRPr="003F7CFF">
        <w:rPr>
          <w:rFonts w:cs="Arial"/>
          <w:rtl/>
        </w:rPr>
        <w:t>ומי נדחה מפני מי</w:t>
      </w:r>
      <w:r w:rsidR="0032300C">
        <w:rPr>
          <w:rFonts w:cs="Arial" w:hint="cs"/>
          <w:rtl/>
        </w:rPr>
        <w:t>,</w:t>
      </w:r>
      <w:r w:rsidRPr="003F7CFF">
        <w:rPr>
          <w:rFonts w:cs="Arial"/>
          <w:rtl/>
        </w:rPr>
        <w:t xml:space="preserve"> היא נדחת מפניו</w:t>
      </w:r>
      <w:r w:rsidR="0032300C">
        <w:rPr>
          <w:rFonts w:cs="Arial" w:hint="cs"/>
          <w:rtl/>
        </w:rPr>
        <w:t>.</w:t>
      </w:r>
      <w:r w:rsidRPr="003F7CFF">
        <w:rPr>
          <w:rFonts w:cs="Arial"/>
          <w:rtl/>
        </w:rPr>
        <w:t xml:space="preserve"> ואם היתה החצר שלה הוא ידחה מפניה.</w:t>
      </w:r>
      <w:r w:rsidR="0032300C" w:rsidRPr="0032300C">
        <w:rPr>
          <w:rFonts w:cs="Arial" w:hint="cs"/>
          <w:color w:val="E36C0A" w:themeColor="accent6" w:themeShade="BF"/>
          <w:rtl/>
        </w:rPr>
        <w:t xml:space="preserve"> </w:t>
      </w:r>
      <w:r w:rsidR="0032300C" w:rsidRPr="00681348">
        <w:rPr>
          <w:rFonts w:cs="Arial" w:hint="cs"/>
          <w:color w:val="E36C0A" w:themeColor="accent6" w:themeShade="BF"/>
          <w:rtl/>
        </w:rPr>
        <w:t>(וכ"פ בשו"ע</w:t>
      </w:r>
      <w:r w:rsidR="0032300C">
        <w:rPr>
          <w:rFonts w:cs="Arial" w:hint="cs"/>
          <w:color w:val="E36C0A" w:themeColor="accent6" w:themeShade="BF"/>
          <w:rtl/>
        </w:rPr>
        <w:t>)</w:t>
      </w:r>
    </w:p>
    <w:p w14:paraId="1FD10366" w14:textId="77777777" w:rsidR="000F4DF0" w:rsidRPr="007B74F1" w:rsidRDefault="000F4DF0" w:rsidP="000F4DF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8083E71" w14:textId="2B1AF950" w:rsidR="00D27B65" w:rsidRDefault="007B74F1" w:rsidP="007B74F1">
      <w:pPr>
        <w:rPr>
          <w:rFonts w:cs="Arial"/>
          <w:rtl/>
        </w:rPr>
      </w:pPr>
      <w:r w:rsidRPr="007B74F1">
        <w:rPr>
          <w:rFonts w:cs="Arial"/>
          <w:rtl/>
        </w:rPr>
        <w:t>מי נדחה מפני מי, היא נדחית מפניו</w:t>
      </w:r>
      <w:r w:rsidR="0032300C">
        <w:rPr>
          <w:rStyle w:val="a7"/>
          <w:rFonts w:cs="Arial"/>
          <w:rtl/>
        </w:rPr>
        <w:footnoteReference w:id="90"/>
      </w:r>
      <w:r w:rsidRPr="007B74F1">
        <w:rPr>
          <w:rFonts w:cs="Arial"/>
          <w:rtl/>
        </w:rPr>
        <w:t>. ואם היה החצר שלה, הוא ידחה מפניה</w:t>
      </w:r>
      <w:r w:rsidR="00D27B65">
        <w:rPr>
          <w:rFonts w:cs="Arial" w:hint="cs"/>
          <w:rtl/>
        </w:rPr>
        <w:t>.</w:t>
      </w:r>
    </w:p>
    <w:p w14:paraId="2F639180" w14:textId="77777777" w:rsidR="00486C31" w:rsidRDefault="00486C31" w:rsidP="00486C31">
      <w:pPr>
        <w:rPr>
          <w:rFonts w:cs="Arial"/>
          <w:rtl/>
        </w:rPr>
        <w:sectPr w:rsidR="00486C31" w:rsidSect="00A347B3">
          <w:headerReference w:type="default" r:id="rId8"/>
          <w:footerReference w:type="default" r:id="rId9"/>
          <w:footnotePr>
            <w:numRestart w:val="eachSect"/>
          </w:footnotePr>
          <w:pgSz w:w="11906" w:h="16838"/>
          <w:pgMar w:top="720" w:right="1134" w:bottom="720" w:left="1134" w:header="0" w:footer="0" w:gutter="0"/>
          <w:cols w:space="720"/>
          <w:bidi/>
          <w:rtlGutter/>
          <w:docGrid w:linePitch="360"/>
        </w:sectPr>
      </w:pPr>
    </w:p>
    <w:p w14:paraId="61937AB9" w14:textId="2D07E718" w:rsidR="00486C31" w:rsidRPr="00486C31" w:rsidRDefault="00486C31" w:rsidP="00486C31">
      <w:pPr>
        <w:pStyle w:val="1"/>
        <w:rPr>
          <w:rtl/>
        </w:rPr>
      </w:pPr>
      <w:r>
        <w:rPr>
          <w:rFonts w:hint="cs"/>
          <w:rtl/>
        </w:rPr>
        <w:lastRenderedPageBreak/>
        <w:t xml:space="preserve">סימן קכ: </w:t>
      </w:r>
      <w:r w:rsidRPr="00486C31">
        <w:rPr>
          <w:rtl/>
        </w:rPr>
        <w:t xml:space="preserve">שאין לכתוב הגט אם לא שמע מפי המגרש, ובו י"א סעיפים. </w:t>
      </w:r>
    </w:p>
    <w:p w14:paraId="71D7F72D" w14:textId="7CCDC043" w:rsidR="00486C31" w:rsidRDefault="00486C31" w:rsidP="00786DE6">
      <w:pPr>
        <w:pStyle w:val="2"/>
        <w:rPr>
          <w:rtl/>
        </w:rPr>
      </w:pPr>
      <w:r w:rsidRPr="00486C31">
        <w:rPr>
          <w:rtl/>
        </w:rPr>
        <w:t>סעיף א</w:t>
      </w:r>
      <w:r w:rsidR="009209E2">
        <w:rPr>
          <w:rFonts w:hint="cs"/>
          <w:rtl/>
        </w:rPr>
        <w:t>:</w:t>
      </w:r>
      <w:r w:rsidR="00AD02AC">
        <w:rPr>
          <w:rFonts w:hint="cs"/>
          <w:rtl/>
        </w:rPr>
        <w:t xml:space="preserve"> </w:t>
      </w:r>
      <w:r w:rsidR="00C96060">
        <w:rPr>
          <w:rFonts w:hint="cs"/>
          <w:rtl/>
        </w:rPr>
        <w:t>כתיבת הגט ע"י הבעל או שלוחו, וכתיבה משל הבעל.</w:t>
      </w:r>
    </w:p>
    <w:p w14:paraId="529D655A" w14:textId="3FCDDAD9" w:rsidR="006E369D" w:rsidRPr="00AD02AC" w:rsidRDefault="00C96060" w:rsidP="006E369D">
      <w:pPr>
        <w:rPr>
          <w:u w:val="single"/>
          <w:rtl/>
        </w:rPr>
      </w:pPr>
      <w:r>
        <w:rPr>
          <w:rFonts w:hint="cs"/>
          <w:u w:val="single"/>
          <w:rtl/>
        </w:rPr>
        <w:t>כללי הלכות גיטין</w:t>
      </w:r>
      <w:r w:rsidR="00AD02AC" w:rsidRPr="00AD02AC">
        <w:rPr>
          <w:rFonts w:hint="cs"/>
          <w:u w:val="single"/>
          <w:rtl/>
        </w:rPr>
        <w:t>:</w:t>
      </w:r>
    </w:p>
    <w:p w14:paraId="73849C04" w14:textId="5008B9E6" w:rsidR="00C96060" w:rsidRDefault="00201037" w:rsidP="00A65C5F">
      <w:pPr>
        <w:pStyle w:val="ab"/>
        <w:numPr>
          <w:ilvl w:val="0"/>
          <w:numId w:val="24"/>
        </w:numPr>
      </w:pPr>
      <w:r>
        <w:rPr>
          <w:rFonts w:cs="Arial" w:hint="cs"/>
          <w:rtl/>
        </w:rPr>
        <w:t>טור</w:t>
      </w:r>
      <w:r w:rsidR="00A82951">
        <w:rPr>
          <w:rFonts w:cs="Arial" w:hint="cs"/>
          <w:rtl/>
        </w:rPr>
        <w:t>-</w:t>
      </w:r>
      <w:r>
        <w:rPr>
          <w:rFonts w:cs="Arial" w:hint="cs"/>
          <w:rtl/>
        </w:rPr>
        <w:t xml:space="preserve"> </w:t>
      </w:r>
      <w:r w:rsidRPr="00201037">
        <w:rPr>
          <w:rFonts w:cs="Arial"/>
          <w:rtl/>
        </w:rPr>
        <w:t>אין האשה מתגרש</w:t>
      </w:r>
      <w:r w:rsidR="00AD02AC">
        <w:rPr>
          <w:rFonts w:cs="Arial" w:hint="cs"/>
          <w:rtl/>
        </w:rPr>
        <w:t>ת</w:t>
      </w:r>
      <w:r w:rsidRPr="00201037">
        <w:rPr>
          <w:rFonts w:cs="Arial"/>
          <w:rtl/>
        </w:rPr>
        <w:t xml:space="preserve"> אלא בכתב</w:t>
      </w:r>
      <w:r w:rsidR="00AD02AC">
        <w:rPr>
          <w:rFonts w:cs="Arial" w:hint="cs"/>
          <w:rtl/>
        </w:rPr>
        <w:t>,</w:t>
      </w:r>
      <w:r w:rsidRPr="00201037">
        <w:rPr>
          <w:rFonts w:cs="Arial"/>
          <w:rtl/>
        </w:rPr>
        <w:t xml:space="preserve"> דכתיב וכתב לה ספר כריתו</w:t>
      </w:r>
      <w:r w:rsidR="00AD02AC">
        <w:rPr>
          <w:rFonts w:cs="Arial" w:hint="cs"/>
          <w:rtl/>
        </w:rPr>
        <w:t>ת</w:t>
      </w:r>
      <w:r w:rsidRPr="00201037">
        <w:rPr>
          <w:rFonts w:cs="Arial"/>
          <w:rtl/>
        </w:rPr>
        <w:t xml:space="preserve"> ונתן</w:t>
      </w:r>
      <w:r w:rsidR="00AD02AC">
        <w:rPr>
          <w:rFonts w:cs="Arial" w:hint="cs"/>
          <w:rtl/>
        </w:rPr>
        <w:t>.</w:t>
      </w:r>
      <w:r w:rsidRPr="00201037">
        <w:rPr>
          <w:rFonts w:cs="Arial"/>
          <w:rtl/>
        </w:rPr>
        <w:t xml:space="preserve"> שיכתוב בכתב שהוא פוטר אותה ומתירה לכל</w:t>
      </w:r>
      <w:r w:rsidR="00AD02AC">
        <w:rPr>
          <w:rFonts w:cs="Arial" w:hint="cs"/>
          <w:rtl/>
        </w:rPr>
        <w:t>.</w:t>
      </w:r>
      <w:r w:rsidRPr="00201037">
        <w:rPr>
          <w:rFonts w:cs="Arial"/>
          <w:rtl/>
        </w:rPr>
        <w:t xml:space="preserve"> ונותנו בידה</w:t>
      </w:r>
      <w:r w:rsidR="00AD02AC">
        <w:rPr>
          <w:rFonts w:cs="Arial" w:hint="cs"/>
          <w:rtl/>
        </w:rPr>
        <w:t>.</w:t>
      </w:r>
      <w:r w:rsidRPr="00201037">
        <w:rPr>
          <w:rFonts w:cs="Arial"/>
          <w:rtl/>
        </w:rPr>
        <w:t xml:space="preserve"> ואומר לה שהוא מתירה בו</w:t>
      </w:r>
      <w:r w:rsidR="00AD02AC">
        <w:rPr>
          <w:rFonts w:cs="Arial" w:hint="cs"/>
          <w:rtl/>
        </w:rPr>
        <w:t>.</w:t>
      </w:r>
      <w:r w:rsidRPr="00201037">
        <w:rPr>
          <w:rFonts w:cs="Arial"/>
          <w:rtl/>
        </w:rPr>
        <w:t xml:space="preserve"> וזהו שנקרא גט</w:t>
      </w:r>
      <w:r w:rsidR="00AD02AC">
        <w:rPr>
          <w:rFonts w:cs="Arial" w:hint="cs"/>
          <w:rtl/>
        </w:rPr>
        <w:t>.</w:t>
      </w:r>
      <w:r w:rsidRPr="00201037">
        <w:rPr>
          <w:rFonts w:cs="Arial"/>
          <w:rtl/>
        </w:rPr>
        <w:t xml:space="preserve"> וגט זה צריך שיכתבנו הבעל או יצוה לסופר לכותבו</w:t>
      </w:r>
      <w:r w:rsidR="00AD02AC">
        <w:rPr>
          <w:rFonts w:cs="Arial" w:hint="cs"/>
          <w:rtl/>
        </w:rPr>
        <w:t>.</w:t>
      </w:r>
      <w:r w:rsidR="00C96060">
        <w:rPr>
          <w:rFonts w:cs="Arial" w:hint="cs"/>
          <w:rtl/>
        </w:rPr>
        <w:t xml:space="preserve"> </w:t>
      </w:r>
      <w:r w:rsidRPr="00C96060">
        <w:rPr>
          <w:rFonts w:cs="Arial"/>
          <w:rtl/>
        </w:rPr>
        <w:t>וכותבין אותו על כל דבר</w:t>
      </w:r>
      <w:r w:rsidR="00AD02AC" w:rsidRPr="00C96060">
        <w:rPr>
          <w:rFonts w:cs="Arial" w:hint="cs"/>
          <w:rtl/>
        </w:rPr>
        <w:t>,</w:t>
      </w:r>
      <w:r w:rsidRPr="00C96060">
        <w:rPr>
          <w:rFonts w:cs="Arial"/>
          <w:rtl/>
        </w:rPr>
        <w:t xml:space="preserve"> ובלבד שיהא תלוש</w:t>
      </w:r>
      <w:r w:rsidR="00AD02AC" w:rsidRPr="00C96060">
        <w:rPr>
          <w:rFonts w:cs="Arial" w:hint="cs"/>
          <w:rtl/>
        </w:rPr>
        <w:t>.</w:t>
      </w:r>
      <w:r w:rsidRPr="00C96060">
        <w:rPr>
          <w:rFonts w:cs="Arial"/>
          <w:rtl/>
        </w:rPr>
        <w:t xml:space="preserve"> ובכל דבר שרישומו ניכר</w:t>
      </w:r>
      <w:r w:rsidR="00AD02AC" w:rsidRPr="00C96060">
        <w:rPr>
          <w:rFonts w:cs="Arial" w:hint="cs"/>
          <w:rtl/>
        </w:rPr>
        <w:t>.</w:t>
      </w:r>
      <w:r w:rsidRPr="00C96060">
        <w:rPr>
          <w:rFonts w:cs="Arial"/>
          <w:rtl/>
        </w:rPr>
        <w:t xml:space="preserve"> ושיהיה כתיבתו לשם איש המגרש והאשה המתגרשת בו</w:t>
      </w:r>
      <w:r w:rsidR="00AD02AC" w:rsidRPr="00C96060">
        <w:rPr>
          <w:rFonts w:cs="Arial" w:hint="cs"/>
          <w:rtl/>
        </w:rPr>
        <w:t>.</w:t>
      </w:r>
      <w:r w:rsidRPr="00C96060">
        <w:rPr>
          <w:rFonts w:cs="Arial"/>
          <w:rtl/>
        </w:rPr>
        <w:t xml:space="preserve"> ויחתמו בו ב' עדים כשרים</w:t>
      </w:r>
      <w:r w:rsidR="00AD02AC" w:rsidRPr="00C96060">
        <w:rPr>
          <w:rFonts w:cs="Arial" w:hint="cs"/>
          <w:rtl/>
        </w:rPr>
        <w:t>.</w:t>
      </w:r>
      <w:r w:rsidRPr="00C96060">
        <w:rPr>
          <w:rFonts w:cs="Arial"/>
          <w:rtl/>
        </w:rPr>
        <w:t xml:space="preserve"> ויתנו לה הוא או שלוחו לידה או ליד שלוחה</w:t>
      </w:r>
      <w:r w:rsidR="00AD02AC" w:rsidRPr="00C96060">
        <w:rPr>
          <w:rFonts w:cs="Arial" w:hint="cs"/>
          <w:rtl/>
        </w:rPr>
        <w:t>.</w:t>
      </w:r>
      <w:r w:rsidRPr="00C96060">
        <w:rPr>
          <w:rFonts w:cs="Arial"/>
          <w:rtl/>
        </w:rPr>
        <w:t xml:space="preserve"> ויאמר לה שנותנו לה לפטרה בו פטור גמור בלא תנאי</w:t>
      </w:r>
      <w:r w:rsidR="00AD02AC" w:rsidRPr="00C96060">
        <w:rPr>
          <w:rFonts w:cs="Arial" w:hint="cs"/>
          <w:rtl/>
        </w:rPr>
        <w:t>,</w:t>
      </w:r>
      <w:r w:rsidRPr="00C96060">
        <w:rPr>
          <w:rFonts w:cs="Arial"/>
          <w:rtl/>
        </w:rPr>
        <w:t xml:space="preserve"> או בתנאי כמו שירצה</w:t>
      </w:r>
      <w:r w:rsidR="00C96060">
        <w:rPr>
          <w:rStyle w:val="a7"/>
          <w:rFonts w:cs="Arial"/>
          <w:rtl/>
        </w:rPr>
        <w:footnoteReference w:id="91"/>
      </w:r>
      <w:r w:rsidR="00AD02AC" w:rsidRPr="00C96060">
        <w:rPr>
          <w:rFonts w:cs="Arial" w:hint="cs"/>
          <w:rtl/>
        </w:rPr>
        <w:t>.</w:t>
      </w:r>
      <w:r w:rsidRPr="00C96060">
        <w:rPr>
          <w:rFonts w:cs="Arial"/>
          <w:rtl/>
        </w:rPr>
        <w:t xml:space="preserve"> </w:t>
      </w:r>
    </w:p>
    <w:p w14:paraId="7883352D" w14:textId="71D79845" w:rsidR="00533CFD" w:rsidRPr="00C96060" w:rsidRDefault="00533CFD" w:rsidP="00533CFD">
      <w:r w:rsidRPr="00533CFD">
        <w:rPr>
          <w:rFonts w:cs="Arial" w:hint="cs"/>
          <w:b/>
          <w:bCs/>
          <w:rtl/>
        </w:rPr>
        <w:t xml:space="preserve">דברים פרק כד פסוק </w:t>
      </w:r>
      <w:r w:rsidRPr="00533CFD">
        <w:rPr>
          <w:rFonts w:cs="Arial"/>
          <w:b/>
          <w:bCs/>
          <w:rtl/>
        </w:rPr>
        <w:t>א</w:t>
      </w:r>
      <w:r w:rsidRPr="00533CFD">
        <w:rPr>
          <w:rFonts w:cs="Arial" w:hint="cs"/>
          <w:b/>
          <w:bCs/>
          <w:rtl/>
        </w:rPr>
        <w:t>:</w:t>
      </w:r>
      <w:r w:rsidRPr="00533CFD">
        <w:rPr>
          <w:rFonts w:cs="Arial"/>
          <w:rtl/>
        </w:rPr>
        <w:t xml:space="preserve"> כִּֽי־יִקַּ֥ח אִ֛ישׁ אִשָּׁ֖ה וּבְעָלָ֑הּ וְהָיָ֞ה אִם־לֹ֧א תִמְצָא־חֵ֣ן בְּעֵינָ֗יו כִּי־מָ֤צָא בָהּ֙ עֶרְוַ֣ת דָּבָ֔ר וְכָ֨תַב לָ֜הּ סֵ֤פֶר כְּרִיתֻת֙ וְנָתַ֣ן בְּיָדָ֔הּ וְשִׁלְּחָ֖הּ מִבֵּיתֽוֹ:</w:t>
      </w:r>
    </w:p>
    <w:p w14:paraId="073F0702" w14:textId="0B7C8B8A" w:rsidR="008D6656" w:rsidRDefault="00D13795" w:rsidP="00581413">
      <w:pPr>
        <w:rPr>
          <w:rtl/>
        </w:rPr>
      </w:pPr>
      <w:r w:rsidRPr="00533CFD">
        <w:rPr>
          <w:rFonts w:cs="Arial"/>
          <w:b/>
          <w:bCs/>
          <w:rtl/>
        </w:rPr>
        <w:t xml:space="preserve">קידושין </w:t>
      </w:r>
      <w:r w:rsidRPr="00533CFD">
        <w:rPr>
          <w:rFonts w:cs="Arial" w:hint="cs"/>
          <w:b/>
          <w:bCs/>
          <w:sz w:val="16"/>
          <w:szCs w:val="16"/>
          <w:rtl/>
        </w:rPr>
        <w:t>(פ"ב)</w:t>
      </w:r>
      <w:r w:rsidRPr="00533CFD">
        <w:rPr>
          <w:rFonts w:cs="Arial"/>
          <w:b/>
          <w:bCs/>
          <w:sz w:val="16"/>
          <w:szCs w:val="16"/>
          <w:rtl/>
        </w:rPr>
        <w:t xml:space="preserve"> </w:t>
      </w:r>
      <w:r w:rsidRPr="00533CFD">
        <w:rPr>
          <w:rFonts w:cs="Arial"/>
          <w:b/>
          <w:bCs/>
          <w:rtl/>
        </w:rPr>
        <w:t>מא</w:t>
      </w:r>
      <w:r w:rsidR="00CD00FA">
        <w:rPr>
          <w:rStyle w:val="a7"/>
          <w:rFonts w:cs="Arial"/>
          <w:b/>
          <w:bCs/>
          <w:rtl/>
        </w:rPr>
        <w:footnoteReference w:id="92"/>
      </w:r>
      <w:r w:rsidRPr="00533CFD">
        <w:rPr>
          <w:rFonts w:cs="Arial" w:hint="cs"/>
          <w:b/>
          <w:bCs/>
          <w:rtl/>
        </w:rPr>
        <w:t xml:space="preserve"> ע"ב</w:t>
      </w:r>
      <w:r w:rsidRPr="00533CFD">
        <w:rPr>
          <w:rFonts w:cs="Arial"/>
          <w:b/>
          <w:bCs/>
          <w:rtl/>
        </w:rPr>
        <w:t>:</w:t>
      </w:r>
      <w:r>
        <w:rPr>
          <w:rFonts w:cs="Arial" w:hint="cs"/>
          <w:rtl/>
        </w:rPr>
        <w:t xml:space="preserve"> </w:t>
      </w:r>
      <w:r w:rsidRPr="00533CFD">
        <w:rPr>
          <w:rFonts w:cs="Arial"/>
          <w:u w:val="single"/>
          <w:rtl/>
        </w:rPr>
        <w:t>דא"ר יהושע בן קרחה</w:t>
      </w:r>
      <w:r w:rsidRPr="00533CFD">
        <w:rPr>
          <w:rFonts w:cs="Arial"/>
          <w:rtl/>
        </w:rPr>
        <w:t>: מנין ששלוחו של אדם כמותו? שנאמר: ושחטו אותו כל קהל עדת ישראל בין הערבים, וכי כל הקהל כולן שוחטין? והלא אינו שוחט אלא אחד! אלא מכאן, ששלוחו של אדם כמותו.</w:t>
      </w:r>
    </w:p>
    <w:p w14:paraId="70F1DCF7" w14:textId="1DD8F0E4" w:rsidR="00C96060" w:rsidRPr="00C96060" w:rsidRDefault="00C96060" w:rsidP="00C96060">
      <w:pPr>
        <w:rPr>
          <w:u w:val="single"/>
        </w:rPr>
      </w:pPr>
      <w:r w:rsidRPr="00C96060">
        <w:rPr>
          <w:rFonts w:hint="cs"/>
          <w:u w:val="single"/>
          <w:rtl/>
        </w:rPr>
        <w:t>כתיבת הגט ע"י הבעל</w:t>
      </w:r>
      <w:r w:rsidR="002D08DE">
        <w:rPr>
          <w:rFonts w:hint="cs"/>
          <w:u w:val="single"/>
          <w:rtl/>
        </w:rPr>
        <w:t xml:space="preserve"> בעצמו,</w:t>
      </w:r>
      <w:r w:rsidRPr="00C96060">
        <w:rPr>
          <w:rFonts w:hint="cs"/>
          <w:u w:val="single"/>
          <w:rtl/>
        </w:rPr>
        <w:t xml:space="preserve"> או</w:t>
      </w:r>
      <w:r w:rsidR="002D08DE">
        <w:rPr>
          <w:rFonts w:hint="cs"/>
          <w:u w:val="single"/>
          <w:rtl/>
        </w:rPr>
        <w:t xml:space="preserve"> ע"י</w:t>
      </w:r>
      <w:r w:rsidRPr="00C96060">
        <w:rPr>
          <w:rFonts w:hint="cs"/>
          <w:u w:val="single"/>
          <w:rtl/>
        </w:rPr>
        <w:t xml:space="preserve"> שלוחו:</w:t>
      </w:r>
    </w:p>
    <w:p w14:paraId="3BB544D8" w14:textId="5205483D" w:rsidR="00D13795" w:rsidRPr="00D13795" w:rsidRDefault="00C96060" w:rsidP="00A65C5F">
      <w:pPr>
        <w:pStyle w:val="ab"/>
        <w:numPr>
          <w:ilvl w:val="0"/>
          <w:numId w:val="24"/>
        </w:numPr>
      </w:pPr>
      <w:r>
        <w:rPr>
          <w:rFonts w:cs="Arial" w:hint="cs"/>
          <w:rtl/>
        </w:rPr>
        <w:t>טור</w:t>
      </w:r>
      <w:r w:rsidR="00A82951">
        <w:rPr>
          <w:rFonts w:cs="Arial" w:hint="cs"/>
          <w:rtl/>
        </w:rPr>
        <w:t>-</w:t>
      </w:r>
      <w:r>
        <w:rPr>
          <w:rFonts w:cs="Arial" w:hint="cs"/>
          <w:rtl/>
        </w:rPr>
        <w:t xml:space="preserve"> </w:t>
      </w:r>
      <w:r w:rsidR="00201037" w:rsidRPr="00201037">
        <w:rPr>
          <w:rFonts w:cs="Arial"/>
          <w:rtl/>
        </w:rPr>
        <w:t>צריך שיכתבנו הבעל</w:t>
      </w:r>
      <w:r w:rsidR="00AD02AC">
        <w:rPr>
          <w:rFonts w:cs="Arial" w:hint="cs"/>
          <w:rtl/>
        </w:rPr>
        <w:t>,</w:t>
      </w:r>
      <w:r w:rsidR="00201037" w:rsidRPr="00201037">
        <w:rPr>
          <w:rFonts w:cs="Arial"/>
          <w:rtl/>
        </w:rPr>
        <w:t xml:space="preserve"> דכתיב וכתב לה</w:t>
      </w:r>
      <w:r w:rsidR="00AD02AC">
        <w:rPr>
          <w:rFonts w:cs="Arial" w:hint="cs"/>
          <w:rtl/>
        </w:rPr>
        <w:t>,</w:t>
      </w:r>
      <w:r w:rsidR="00201037" w:rsidRPr="00201037">
        <w:rPr>
          <w:rFonts w:cs="Arial"/>
          <w:rtl/>
        </w:rPr>
        <w:t xml:space="preserve"> או שלוחו בצוויו יכתוב</w:t>
      </w:r>
      <w:r w:rsidR="00AD02AC">
        <w:rPr>
          <w:rFonts w:cs="Arial" w:hint="cs"/>
          <w:rtl/>
        </w:rPr>
        <w:t>.</w:t>
      </w:r>
      <w:r w:rsidR="00201037" w:rsidRPr="00201037">
        <w:rPr>
          <w:rFonts w:cs="Arial"/>
          <w:rtl/>
        </w:rPr>
        <w:t xml:space="preserve"> </w:t>
      </w:r>
      <w:r w:rsidR="00682F0E" w:rsidRPr="00682F0E">
        <w:rPr>
          <w:rFonts w:hint="cs"/>
          <w:color w:val="E36C0A" w:themeColor="accent6" w:themeShade="BF"/>
          <w:rtl/>
        </w:rPr>
        <w:t>(וכ"פ בשו"ע)</w:t>
      </w:r>
    </w:p>
    <w:p w14:paraId="60474F6D" w14:textId="13C15158" w:rsidR="00D13795" w:rsidRPr="00994DAE" w:rsidRDefault="00994DAE" w:rsidP="00994DAE">
      <w:pPr>
        <w:ind w:left="360"/>
        <w:rPr>
          <w:u w:val="dotted"/>
        </w:rPr>
      </w:pPr>
      <w:r>
        <w:rPr>
          <w:rFonts w:hint="cs"/>
          <w:u w:val="dotted"/>
          <w:rtl/>
        </w:rPr>
        <w:t xml:space="preserve">כשהבעל מצוה לשליח לכתוב גט </w:t>
      </w:r>
      <w:r w:rsidR="00A82951">
        <w:rPr>
          <w:u w:val="dotted"/>
          <w:rtl/>
        </w:rPr>
        <w:t>-</w:t>
      </w:r>
      <w:r>
        <w:rPr>
          <w:rFonts w:hint="cs"/>
          <w:u w:val="dotted"/>
          <w:rtl/>
        </w:rPr>
        <w:t xml:space="preserve"> האם צריך ש</w:t>
      </w:r>
      <w:r w:rsidR="006541C4">
        <w:rPr>
          <w:rFonts w:hint="cs"/>
          <w:u w:val="dotted"/>
          <w:rtl/>
        </w:rPr>
        <w:t>השליח ימסור</w:t>
      </w:r>
      <w:r w:rsidR="006541C4">
        <w:rPr>
          <w:rFonts w:hint="cs"/>
          <w:sz w:val="16"/>
          <w:szCs w:val="16"/>
          <w:u w:val="dotted"/>
          <w:rtl/>
        </w:rPr>
        <w:t xml:space="preserve"> (היינו הקנאה)</w:t>
      </w:r>
      <w:r w:rsidR="006541C4">
        <w:rPr>
          <w:rFonts w:hint="cs"/>
          <w:u w:val="dotted"/>
          <w:rtl/>
        </w:rPr>
        <w:t xml:space="preserve"> את </w:t>
      </w:r>
      <w:r>
        <w:rPr>
          <w:rFonts w:hint="cs"/>
          <w:u w:val="dotted"/>
          <w:rtl/>
        </w:rPr>
        <w:t xml:space="preserve">הקלף הדיו והקולמוס </w:t>
      </w:r>
      <w:r w:rsidR="006541C4">
        <w:rPr>
          <w:rFonts w:hint="cs"/>
          <w:u w:val="dotted"/>
          <w:rtl/>
        </w:rPr>
        <w:t>ל</w:t>
      </w:r>
      <w:r>
        <w:rPr>
          <w:rFonts w:hint="cs"/>
          <w:u w:val="dotted"/>
          <w:rtl/>
        </w:rPr>
        <w:t>בעל</w:t>
      </w:r>
      <w:r w:rsidR="00D13795" w:rsidRPr="00994DAE">
        <w:rPr>
          <w:rFonts w:hint="cs"/>
          <w:u w:val="dotted"/>
          <w:rtl/>
        </w:rPr>
        <w:t>:</w:t>
      </w:r>
    </w:p>
    <w:p w14:paraId="6EEE5D25" w14:textId="3BB50C88" w:rsidR="00085529" w:rsidRPr="00DE3B02" w:rsidRDefault="006655B0" w:rsidP="00A65C5F">
      <w:pPr>
        <w:pStyle w:val="ab"/>
        <w:numPr>
          <w:ilvl w:val="0"/>
          <w:numId w:val="24"/>
        </w:numPr>
      </w:pPr>
      <w:r w:rsidRPr="00030323">
        <w:rPr>
          <w:rFonts w:cs="Arial"/>
          <w:rtl/>
        </w:rPr>
        <w:t>תרומה</w:t>
      </w:r>
      <w:r>
        <w:rPr>
          <w:rStyle w:val="a7"/>
          <w:rFonts w:cs="Arial"/>
          <w:rtl/>
        </w:rPr>
        <w:footnoteReference w:id="93"/>
      </w:r>
      <w:r w:rsidRPr="00030323">
        <w:rPr>
          <w:rFonts w:cs="Arial"/>
          <w:rtl/>
        </w:rPr>
        <w:t xml:space="preserve"> </w:t>
      </w:r>
      <w:r w:rsidRPr="006655B0">
        <w:rPr>
          <w:rFonts w:cs="Arial"/>
          <w:sz w:val="16"/>
          <w:szCs w:val="16"/>
          <w:rtl/>
        </w:rPr>
        <w:t>(</w:t>
      </w:r>
      <w:r w:rsidR="00CE5B57">
        <w:rPr>
          <w:rFonts w:cs="Arial" w:hint="cs"/>
          <w:sz w:val="16"/>
          <w:szCs w:val="16"/>
          <w:rtl/>
        </w:rPr>
        <w:t>סי' קי כט ע"א</w:t>
      </w:r>
      <w:r w:rsidRPr="006655B0">
        <w:rPr>
          <w:rFonts w:cs="Arial"/>
          <w:sz w:val="16"/>
          <w:szCs w:val="16"/>
          <w:rtl/>
        </w:rPr>
        <w:t>)</w:t>
      </w:r>
      <w:r>
        <w:rPr>
          <w:rFonts w:cs="Arial" w:hint="cs"/>
          <w:rtl/>
        </w:rPr>
        <w:t xml:space="preserve"> </w:t>
      </w:r>
      <w:r w:rsidR="00D13795">
        <w:rPr>
          <w:rFonts w:cs="Arial" w:hint="cs"/>
          <w:rtl/>
        </w:rPr>
        <w:t xml:space="preserve">סמ"ג </w:t>
      </w:r>
      <w:r w:rsidR="00D13795" w:rsidRPr="00D13795">
        <w:rPr>
          <w:rFonts w:cs="Arial"/>
          <w:sz w:val="16"/>
          <w:szCs w:val="16"/>
          <w:rtl/>
        </w:rPr>
        <w:t xml:space="preserve">(עשין נ קלב ע"ג) </w:t>
      </w:r>
      <w:r w:rsidR="00D13795">
        <w:rPr>
          <w:rFonts w:cs="Arial" w:hint="cs"/>
          <w:rtl/>
        </w:rPr>
        <w:t xml:space="preserve">רא"ש </w:t>
      </w:r>
      <w:r w:rsidR="00D13795">
        <w:rPr>
          <w:rFonts w:cs="Arial" w:hint="cs"/>
          <w:sz w:val="16"/>
          <w:szCs w:val="16"/>
          <w:rtl/>
        </w:rPr>
        <w:t>(סדר כתיבת הגט)</w:t>
      </w:r>
      <w:r w:rsidR="00D13795">
        <w:rPr>
          <w:rFonts w:cs="Arial" w:hint="cs"/>
          <w:rtl/>
        </w:rPr>
        <w:t xml:space="preserve"> וטור</w:t>
      </w:r>
      <w:r w:rsidR="00A82951">
        <w:rPr>
          <w:rFonts w:cs="Arial" w:hint="cs"/>
          <w:rtl/>
        </w:rPr>
        <w:t>-</w:t>
      </w:r>
      <w:r w:rsidR="00D13795">
        <w:rPr>
          <w:rFonts w:cs="Arial" w:hint="cs"/>
          <w:rtl/>
        </w:rPr>
        <w:t xml:space="preserve"> </w:t>
      </w:r>
      <w:r w:rsidR="00201037" w:rsidRPr="00D13795">
        <w:rPr>
          <w:rFonts w:cs="Arial"/>
          <w:rtl/>
        </w:rPr>
        <w:t>ואף אם שלוחו כתבו</w:t>
      </w:r>
      <w:r w:rsidR="00AD02AC" w:rsidRPr="00D13795">
        <w:rPr>
          <w:rFonts w:cs="Arial" w:hint="cs"/>
          <w:rtl/>
        </w:rPr>
        <w:t>,</w:t>
      </w:r>
      <w:r w:rsidR="00201037" w:rsidRPr="00D13795">
        <w:rPr>
          <w:rFonts w:cs="Arial"/>
          <w:rtl/>
        </w:rPr>
        <w:t xml:space="preserve"> צריך שיהא משל הבעל</w:t>
      </w:r>
      <w:r w:rsidR="001B498A">
        <w:rPr>
          <w:rFonts w:cs="Arial" w:hint="cs"/>
          <w:rtl/>
        </w:rPr>
        <w:t>.</w:t>
      </w:r>
      <w:r w:rsidR="00201037" w:rsidRPr="00D13795">
        <w:rPr>
          <w:rFonts w:cs="Arial"/>
          <w:rtl/>
        </w:rPr>
        <w:t xml:space="preserve"> לכך צריך שהסופר יתן הקלף והדיו לבעל במתנה קודם כתיבה</w:t>
      </w:r>
      <w:r w:rsidR="00DE3B02">
        <w:rPr>
          <w:rStyle w:val="a7"/>
          <w:rFonts w:cs="Arial"/>
          <w:rtl/>
        </w:rPr>
        <w:footnoteReference w:id="94"/>
      </w:r>
      <w:r w:rsidR="00D13795">
        <w:rPr>
          <w:rFonts w:cs="Arial" w:hint="cs"/>
          <w:sz w:val="16"/>
          <w:szCs w:val="16"/>
          <w:rtl/>
        </w:rPr>
        <w:t xml:space="preserve"> (ל' הטור)</w:t>
      </w:r>
      <w:r w:rsidR="00994DAE">
        <w:rPr>
          <w:rFonts w:cs="Arial" w:hint="cs"/>
          <w:rtl/>
        </w:rPr>
        <w:t xml:space="preserve">, אבל אין </w:t>
      </w:r>
      <w:r>
        <w:rPr>
          <w:rFonts w:cs="Arial" w:hint="cs"/>
          <w:rtl/>
        </w:rPr>
        <w:t>צריך</w:t>
      </w:r>
      <w:r w:rsidR="00994DAE">
        <w:rPr>
          <w:rFonts w:cs="Arial" w:hint="cs"/>
          <w:rtl/>
        </w:rPr>
        <w:t xml:space="preserve"> למסור את הקולמוס לבעל</w:t>
      </w:r>
      <w:r w:rsidR="00994DAE">
        <w:rPr>
          <w:rStyle w:val="a7"/>
          <w:rFonts w:cs="Arial"/>
          <w:rtl/>
        </w:rPr>
        <w:footnoteReference w:id="95"/>
      </w:r>
      <w:r w:rsidR="00DE3B02">
        <w:rPr>
          <w:rFonts w:cs="Arial" w:hint="cs"/>
          <w:rtl/>
        </w:rPr>
        <w:t>.</w:t>
      </w:r>
    </w:p>
    <w:p w14:paraId="76335E3B" w14:textId="6471579C" w:rsidR="00CA3755" w:rsidRDefault="00CB1284" w:rsidP="00A65C5F">
      <w:pPr>
        <w:pStyle w:val="ab"/>
        <w:numPr>
          <w:ilvl w:val="0"/>
          <w:numId w:val="24"/>
        </w:numPr>
        <w:rPr>
          <w:rFonts w:cs="Arial"/>
        </w:rPr>
      </w:pPr>
      <w:r>
        <w:rPr>
          <w:rFonts w:cs="Arial" w:hint="cs"/>
          <w:rtl/>
        </w:rPr>
        <w:t>ר"ת</w:t>
      </w:r>
      <w:r w:rsidR="00201037" w:rsidRPr="00CB1284">
        <w:rPr>
          <w:rFonts w:cs="Arial"/>
          <w:rtl/>
        </w:rPr>
        <w:t xml:space="preserve"> ב</w:t>
      </w:r>
      <w:r>
        <w:rPr>
          <w:rFonts w:cs="Arial" w:hint="cs"/>
          <w:rtl/>
        </w:rPr>
        <w:t>ה</w:t>
      </w:r>
      <w:r w:rsidR="00201037" w:rsidRPr="00CB1284">
        <w:rPr>
          <w:rFonts w:cs="Arial"/>
          <w:rtl/>
        </w:rPr>
        <w:t>עי</w:t>
      </w:r>
      <w:r>
        <w:rPr>
          <w:rFonts w:cs="Arial" w:hint="cs"/>
          <w:rtl/>
        </w:rPr>
        <w:t>"</w:t>
      </w:r>
      <w:r w:rsidR="00201037" w:rsidRPr="00CB1284">
        <w:rPr>
          <w:rFonts w:cs="Arial"/>
          <w:rtl/>
        </w:rPr>
        <w:t>ט</w:t>
      </w:r>
      <w:r>
        <w:rPr>
          <w:rFonts w:cs="Arial" w:hint="cs"/>
          <w:rtl/>
        </w:rPr>
        <w:t xml:space="preserve"> </w:t>
      </w:r>
      <w:r w:rsidR="00CA3755">
        <w:rPr>
          <w:rFonts w:cs="Arial" w:hint="cs"/>
          <w:rtl/>
        </w:rPr>
        <w:t>ו</w:t>
      </w:r>
      <w:r>
        <w:rPr>
          <w:rFonts w:cs="Arial" w:hint="cs"/>
          <w:rtl/>
        </w:rPr>
        <w:t>ר"פ</w:t>
      </w:r>
      <w:r w:rsidR="00CA3755">
        <w:rPr>
          <w:rStyle w:val="a7"/>
          <w:rFonts w:cs="Arial"/>
          <w:rtl/>
        </w:rPr>
        <w:footnoteReference w:id="96"/>
      </w:r>
      <w:r w:rsidR="00A82951">
        <w:rPr>
          <w:rFonts w:cs="Arial" w:hint="cs"/>
          <w:rtl/>
        </w:rPr>
        <w:t>-</w:t>
      </w:r>
      <w:r w:rsidR="00201037" w:rsidRPr="00CB1284">
        <w:rPr>
          <w:rFonts w:cs="Arial"/>
          <w:rtl/>
        </w:rPr>
        <w:t xml:space="preserve"> </w:t>
      </w:r>
      <w:r w:rsidR="00CA3755" w:rsidRPr="00CA3755">
        <w:rPr>
          <w:rFonts w:cs="Arial"/>
          <w:rtl/>
        </w:rPr>
        <w:t>גם הקולמוס צריך שיתן הסופר לבעל קודם הכתיבה</w:t>
      </w:r>
      <w:r w:rsidR="00CA3755">
        <w:rPr>
          <w:rFonts w:cs="Arial" w:hint="cs"/>
          <w:sz w:val="16"/>
          <w:szCs w:val="16"/>
          <w:rtl/>
        </w:rPr>
        <w:t xml:space="preserve"> (ל' הטור בשם ר"פ)</w:t>
      </w:r>
      <w:r w:rsidR="00CA3755">
        <w:rPr>
          <w:rFonts w:cs="Arial" w:hint="cs"/>
          <w:rtl/>
        </w:rPr>
        <w:t>.</w:t>
      </w:r>
      <w:r w:rsidR="00302EC4">
        <w:rPr>
          <w:rFonts w:cs="Arial" w:hint="cs"/>
          <w:rtl/>
        </w:rPr>
        <w:t xml:space="preserve"> </w:t>
      </w:r>
      <w:r w:rsidR="00302EC4" w:rsidRPr="00302EC4">
        <w:rPr>
          <w:rFonts w:cs="Arial" w:hint="cs"/>
          <w:color w:val="00B0F0"/>
          <w:rtl/>
        </w:rPr>
        <w:t>(וכ"כ הרמ"א)</w:t>
      </w:r>
    </w:p>
    <w:p w14:paraId="0B1657D7" w14:textId="4B62D128" w:rsidR="00D62C10" w:rsidRDefault="00405D4B" w:rsidP="00A65C5F">
      <w:pPr>
        <w:pStyle w:val="ab"/>
        <w:numPr>
          <w:ilvl w:val="0"/>
          <w:numId w:val="24"/>
        </w:numPr>
        <w:rPr>
          <w:rFonts w:cs="Arial"/>
        </w:rPr>
      </w:pPr>
      <w:r w:rsidRPr="00030323">
        <w:rPr>
          <w:rFonts w:cs="Arial"/>
          <w:rtl/>
        </w:rPr>
        <w:lastRenderedPageBreak/>
        <w:t>רמב"ן</w:t>
      </w:r>
      <w:r>
        <w:rPr>
          <w:rStyle w:val="a7"/>
          <w:rFonts w:cs="Arial"/>
          <w:rtl/>
        </w:rPr>
        <w:footnoteReference w:id="97"/>
      </w:r>
      <w:r w:rsidRPr="00030323">
        <w:rPr>
          <w:rFonts w:cs="Arial"/>
          <w:rtl/>
        </w:rPr>
        <w:t xml:space="preserve"> </w:t>
      </w:r>
      <w:r w:rsidRPr="00D62C10">
        <w:rPr>
          <w:rFonts w:cs="Arial" w:hint="cs"/>
          <w:sz w:val="16"/>
          <w:szCs w:val="16"/>
          <w:rtl/>
        </w:rPr>
        <w:t>(</w:t>
      </w:r>
      <w:r w:rsidRPr="00D62C10">
        <w:rPr>
          <w:rFonts w:cs="Arial"/>
          <w:sz w:val="16"/>
          <w:szCs w:val="16"/>
          <w:rtl/>
        </w:rPr>
        <w:t>פ</w:t>
      </w:r>
      <w:r w:rsidRPr="00D62C10">
        <w:rPr>
          <w:rFonts w:cs="Arial" w:hint="cs"/>
          <w:sz w:val="16"/>
          <w:szCs w:val="16"/>
          <w:rtl/>
        </w:rPr>
        <w:t>"</w:t>
      </w:r>
      <w:r w:rsidRPr="00D62C10">
        <w:rPr>
          <w:rFonts w:cs="Arial"/>
          <w:sz w:val="16"/>
          <w:szCs w:val="16"/>
          <w:rtl/>
        </w:rPr>
        <w:t xml:space="preserve">ב גיטין </w:t>
      </w:r>
      <w:r w:rsidRPr="00D62C10">
        <w:rPr>
          <w:rFonts w:cs="Arial" w:hint="cs"/>
          <w:sz w:val="16"/>
          <w:szCs w:val="16"/>
          <w:rtl/>
        </w:rPr>
        <w:t>כ.</w:t>
      </w:r>
      <w:r w:rsidRPr="00D62C10">
        <w:rPr>
          <w:rFonts w:cs="Arial"/>
          <w:sz w:val="16"/>
          <w:szCs w:val="16"/>
          <w:rtl/>
        </w:rPr>
        <w:t xml:space="preserve"> ד"ה דילמא אקנויי)</w:t>
      </w:r>
      <w:r>
        <w:rPr>
          <w:rFonts w:cs="Arial" w:hint="cs"/>
          <w:rtl/>
        </w:rPr>
        <w:t xml:space="preserve"> </w:t>
      </w:r>
      <w:r w:rsidR="0093541C">
        <w:rPr>
          <w:rFonts w:cs="Arial" w:hint="cs"/>
          <w:rtl/>
        </w:rPr>
        <w:t>ו</w:t>
      </w:r>
      <w:r>
        <w:rPr>
          <w:rFonts w:cs="Arial" w:hint="cs"/>
          <w:rtl/>
        </w:rPr>
        <w:t>רי"ו</w:t>
      </w:r>
      <w:r w:rsidRPr="00030323">
        <w:rPr>
          <w:rFonts w:cs="Arial"/>
          <w:rtl/>
        </w:rPr>
        <w:t xml:space="preserve"> </w:t>
      </w:r>
      <w:r w:rsidRPr="00405D4B">
        <w:rPr>
          <w:rFonts w:cs="Arial" w:hint="cs"/>
          <w:sz w:val="16"/>
          <w:szCs w:val="16"/>
          <w:rtl/>
        </w:rPr>
        <w:t>(</w:t>
      </w:r>
      <w:r w:rsidRPr="00405D4B">
        <w:rPr>
          <w:rFonts w:cs="Arial"/>
          <w:sz w:val="16"/>
          <w:szCs w:val="16"/>
          <w:rtl/>
        </w:rPr>
        <w:t>ח</w:t>
      </w:r>
      <w:r w:rsidRPr="00405D4B">
        <w:rPr>
          <w:rFonts w:cs="Arial" w:hint="cs"/>
          <w:sz w:val="16"/>
          <w:szCs w:val="16"/>
          <w:rtl/>
        </w:rPr>
        <w:t>"</w:t>
      </w:r>
      <w:r w:rsidRPr="00405D4B">
        <w:rPr>
          <w:rFonts w:cs="Arial"/>
          <w:sz w:val="16"/>
          <w:szCs w:val="16"/>
          <w:rtl/>
        </w:rPr>
        <w:t>ב חלק חוה נכ"ד ר</w:t>
      </w:r>
      <w:r>
        <w:rPr>
          <w:rFonts w:cs="Arial" w:hint="cs"/>
          <w:sz w:val="16"/>
          <w:szCs w:val="16"/>
          <w:rtl/>
        </w:rPr>
        <w:t>ג</w:t>
      </w:r>
      <w:r w:rsidRPr="00405D4B">
        <w:rPr>
          <w:rFonts w:cs="Arial"/>
          <w:sz w:val="16"/>
          <w:szCs w:val="16"/>
          <w:rtl/>
        </w:rPr>
        <w:t xml:space="preserve"> ע"</w:t>
      </w:r>
      <w:r>
        <w:rPr>
          <w:rFonts w:cs="Arial" w:hint="cs"/>
          <w:sz w:val="16"/>
          <w:szCs w:val="16"/>
          <w:rtl/>
        </w:rPr>
        <w:t>ד</w:t>
      </w:r>
      <w:r w:rsidRPr="00405D4B">
        <w:rPr>
          <w:rFonts w:cs="Arial"/>
          <w:sz w:val="16"/>
          <w:szCs w:val="16"/>
          <w:rtl/>
        </w:rPr>
        <w:t>)</w:t>
      </w:r>
      <w:r w:rsidR="00A82951">
        <w:rPr>
          <w:rFonts w:cs="Arial" w:hint="cs"/>
          <w:rtl/>
        </w:rPr>
        <w:t>-</w:t>
      </w:r>
      <w:r w:rsidR="00D62C10">
        <w:rPr>
          <w:rFonts w:cs="Arial" w:hint="cs"/>
          <w:rtl/>
        </w:rPr>
        <w:t xml:space="preserve"> </w:t>
      </w:r>
      <w:r w:rsidR="00DE3B02" w:rsidRPr="00405D4B">
        <w:rPr>
          <w:rFonts w:cs="Arial"/>
          <w:rtl/>
        </w:rPr>
        <w:t>הדיו והקסת והקולמוס והנייר הכל משל סופר ובכך הגט כשר ואין בו בית מיחוש, שהכל הוא מוכר לבעל באותו פשוט שנותנת היא לסופר בגט, בין קלף בין דיו בין טרחו ועמלו, ואקנויי אקניוה רבנן לבעל</w:t>
      </w:r>
      <w:r w:rsidR="0093541C">
        <w:rPr>
          <w:rFonts w:cs="Arial" w:hint="cs"/>
          <w:sz w:val="16"/>
          <w:szCs w:val="16"/>
          <w:rtl/>
        </w:rPr>
        <w:t xml:space="preserve"> (ל' </w:t>
      </w:r>
      <w:r w:rsidR="00DE3B02">
        <w:rPr>
          <w:rFonts w:cs="Arial" w:hint="cs"/>
          <w:sz w:val="16"/>
          <w:szCs w:val="16"/>
          <w:rtl/>
        </w:rPr>
        <w:t>הרמב"ן</w:t>
      </w:r>
      <w:r w:rsidR="0093541C">
        <w:rPr>
          <w:rFonts w:cs="Arial" w:hint="cs"/>
          <w:sz w:val="16"/>
          <w:szCs w:val="16"/>
          <w:rtl/>
        </w:rPr>
        <w:t>)</w:t>
      </w:r>
      <w:r w:rsidR="0093541C">
        <w:rPr>
          <w:rStyle w:val="a7"/>
          <w:rFonts w:cs="Arial"/>
          <w:rtl/>
        </w:rPr>
        <w:footnoteReference w:id="98"/>
      </w:r>
      <w:r w:rsidR="00D62C10">
        <w:rPr>
          <w:rFonts w:cs="Arial" w:hint="cs"/>
          <w:rtl/>
        </w:rPr>
        <w:t xml:space="preserve">. </w:t>
      </w:r>
    </w:p>
    <w:p w14:paraId="09667305" w14:textId="26547AE2" w:rsidR="0093541C" w:rsidRPr="0093541C" w:rsidRDefault="00DC26F6" w:rsidP="0093541C">
      <w:pPr>
        <w:ind w:left="360"/>
        <w:rPr>
          <w:rFonts w:cs="Arial"/>
          <w:u w:val="dotted"/>
        </w:rPr>
      </w:pPr>
      <w:r>
        <w:rPr>
          <w:rFonts w:cs="Arial" w:hint="cs"/>
          <w:u w:val="dotted"/>
          <w:rtl/>
        </w:rPr>
        <w:t>ל</w:t>
      </w:r>
      <w:r w:rsidR="000F31B3">
        <w:rPr>
          <w:rFonts w:cs="Arial" w:hint="cs"/>
          <w:u w:val="dotted"/>
          <w:rtl/>
        </w:rPr>
        <w:t>רמב"ן וסיעתו</w:t>
      </w:r>
      <w:r w:rsidR="0093541C" w:rsidRPr="0093541C">
        <w:rPr>
          <w:rFonts w:cs="Arial" w:hint="cs"/>
          <w:u w:val="dotted"/>
          <w:rtl/>
        </w:rPr>
        <w:t xml:space="preserve"> </w:t>
      </w:r>
      <w:r w:rsidR="00A82951">
        <w:rPr>
          <w:rFonts w:cs="Arial"/>
          <w:u w:val="dotted"/>
          <w:rtl/>
        </w:rPr>
        <w:t>-</w:t>
      </w:r>
      <w:r w:rsidR="0093541C" w:rsidRPr="0093541C">
        <w:rPr>
          <w:rFonts w:cs="Arial" w:hint="cs"/>
          <w:u w:val="dotted"/>
          <w:rtl/>
        </w:rPr>
        <w:t xml:space="preserve"> </w:t>
      </w:r>
      <w:r w:rsidR="00263A5E">
        <w:rPr>
          <w:rFonts w:cs="Arial" w:hint="cs"/>
          <w:u w:val="dotted"/>
          <w:rtl/>
        </w:rPr>
        <w:t>כש</w:t>
      </w:r>
      <w:r>
        <w:rPr>
          <w:rFonts w:cs="Arial" w:hint="cs"/>
          <w:u w:val="dotted"/>
          <w:rtl/>
        </w:rPr>
        <w:t>ה</w:t>
      </w:r>
      <w:r w:rsidR="00263A5E">
        <w:rPr>
          <w:rFonts w:cs="Arial" w:hint="cs"/>
          <w:u w:val="dotted"/>
          <w:rtl/>
        </w:rPr>
        <w:t>אש</w:t>
      </w:r>
      <w:r>
        <w:rPr>
          <w:rFonts w:cs="Arial" w:hint="cs"/>
          <w:u w:val="dotted"/>
          <w:rtl/>
        </w:rPr>
        <w:t>ה</w:t>
      </w:r>
      <w:r w:rsidR="00263A5E">
        <w:rPr>
          <w:rFonts w:cs="Arial" w:hint="cs"/>
          <w:u w:val="dotted"/>
          <w:rtl/>
        </w:rPr>
        <w:t xml:space="preserve"> כותבת את הגט משלה, האם צריכה להקנות לבעל</w:t>
      </w:r>
      <w:r w:rsidR="0093541C" w:rsidRPr="0093541C">
        <w:rPr>
          <w:rFonts w:cs="Arial" w:hint="cs"/>
          <w:u w:val="dotted"/>
          <w:rtl/>
        </w:rPr>
        <w:t>:</w:t>
      </w:r>
    </w:p>
    <w:p w14:paraId="1C6A289E" w14:textId="09D8B972" w:rsidR="001B498A" w:rsidRPr="00405D4B" w:rsidRDefault="00406E46" w:rsidP="00A65C5F">
      <w:pPr>
        <w:pStyle w:val="ab"/>
        <w:numPr>
          <w:ilvl w:val="0"/>
          <w:numId w:val="24"/>
        </w:numPr>
        <w:rPr>
          <w:rFonts w:cs="Arial"/>
        </w:rPr>
      </w:pPr>
      <w:r>
        <w:rPr>
          <w:rFonts w:cs="Arial" w:hint="cs"/>
          <w:rtl/>
        </w:rPr>
        <w:t>רש"י</w:t>
      </w:r>
      <w:r w:rsidR="00263A5E">
        <w:rPr>
          <w:rFonts w:cs="Arial" w:hint="cs"/>
          <w:rtl/>
        </w:rPr>
        <w:t xml:space="preserve"> </w:t>
      </w:r>
      <w:r w:rsidR="0093541C" w:rsidRPr="00030323">
        <w:rPr>
          <w:rFonts w:cs="Arial"/>
          <w:rtl/>
        </w:rPr>
        <w:t>רמב"ן</w:t>
      </w:r>
      <w:r w:rsidR="0093541C">
        <w:rPr>
          <w:rStyle w:val="a7"/>
          <w:rFonts w:cs="Arial"/>
          <w:rtl/>
        </w:rPr>
        <w:footnoteReference w:id="99"/>
      </w:r>
      <w:r w:rsidR="0093541C" w:rsidRPr="00030323">
        <w:rPr>
          <w:rFonts w:cs="Arial"/>
          <w:rtl/>
        </w:rPr>
        <w:t xml:space="preserve"> </w:t>
      </w:r>
      <w:r w:rsidR="00263A5E">
        <w:rPr>
          <w:rFonts w:cs="Arial" w:hint="cs"/>
          <w:rtl/>
        </w:rPr>
        <w:t xml:space="preserve">מרדכי </w:t>
      </w:r>
      <w:r w:rsidR="00263A5E" w:rsidRPr="00030323">
        <w:rPr>
          <w:rFonts w:cs="Arial"/>
          <w:rtl/>
        </w:rPr>
        <w:t>ר</w:t>
      </w:r>
      <w:r w:rsidR="00263A5E">
        <w:rPr>
          <w:rFonts w:cs="Arial" w:hint="cs"/>
          <w:rtl/>
        </w:rPr>
        <w:t>י"ו ו</w:t>
      </w:r>
      <w:r w:rsidRPr="00030323">
        <w:rPr>
          <w:rFonts w:cs="Arial"/>
          <w:rtl/>
        </w:rPr>
        <w:t>ר"ן</w:t>
      </w:r>
      <w:r w:rsidR="00263A5E">
        <w:rPr>
          <w:rStyle w:val="a7"/>
          <w:rFonts w:cs="Arial"/>
          <w:rtl/>
        </w:rPr>
        <w:footnoteReference w:id="100"/>
      </w:r>
      <w:r w:rsidR="00A82951">
        <w:rPr>
          <w:rFonts w:cs="Arial" w:hint="cs"/>
          <w:rtl/>
        </w:rPr>
        <w:t>-</w:t>
      </w:r>
      <w:r w:rsidR="0093541C">
        <w:rPr>
          <w:rFonts w:cs="Arial" w:hint="cs"/>
          <w:rtl/>
        </w:rPr>
        <w:t xml:space="preserve"> </w:t>
      </w:r>
      <w:r w:rsidR="0093541C" w:rsidRPr="00405D4B">
        <w:rPr>
          <w:rFonts w:cs="Arial"/>
          <w:rtl/>
        </w:rPr>
        <w:t>ומיהו אם היה הכל של אשה</w:t>
      </w:r>
      <w:r w:rsidR="0093541C">
        <w:rPr>
          <w:rFonts w:cs="Arial" w:hint="cs"/>
          <w:rtl/>
        </w:rPr>
        <w:t xml:space="preserve">... </w:t>
      </w:r>
      <w:r w:rsidR="00A82951">
        <w:rPr>
          <w:rFonts w:cs="Arial" w:hint="cs"/>
          <w:rtl/>
        </w:rPr>
        <w:t>-</w:t>
      </w:r>
      <w:r w:rsidR="0093541C" w:rsidRPr="00405D4B">
        <w:rPr>
          <w:rFonts w:cs="Arial"/>
          <w:rtl/>
        </w:rPr>
        <w:t xml:space="preserve"> היא צריכה ממש ליתנו לבעל או לשלוחו כדי לקנותו, ומיהו כותבת היא בשלה ומקנה ולא צריכא לאקנויי מעיקרא</w:t>
      </w:r>
      <w:r w:rsidR="0093541C">
        <w:rPr>
          <w:rFonts w:cs="Arial" w:hint="cs"/>
          <w:rtl/>
        </w:rPr>
        <w:t>...</w:t>
      </w:r>
      <w:r w:rsidR="0093541C" w:rsidRPr="00405D4B">
        <w:rPr>
          <w:rFonts w:cs="Arial"/>
          <w:rtl/>
        </w:rPr>
        <w:t xml:space="preserve"> והילכך מקנה לו הגט כתוב וחתום והוא מגרשה בו </w:t>
      </w:r>
      <w:r w:rsidR="0093541C">
        <w:rPr>
          <w:rFonts w:cs="Arial" w:hint="cs"/>
          <w:sz w:val="16"/>
          <w:szCs w:val="16"/>
          <w:rtl/>
        </w:rPr>
        <w:t>(ל' הרמב"ן)</w:t>
      </w:r>
      <w:r w:rsidR="0093541C">
        <w:rPr>
          <w:rFonts w:cs="Arial" w:hint="cs"/>
          <w:rtl/>
        </w:rPr>
        <w:t>.</w:t>
      </w:r>
      <w:r w:rsidR="00201037" w:rsidRPr="00030323">
        <w:rPr>
          <w:rFonts w:cs="Arial"/>
          <w:rtl/>
        </w:rPr>
        <w:t xml:space="preserve"> </w:t>
      </w:r>
      <w:r w:rsidR="0023267F">
        <w:rPr>
          <w:rFonts w:cs="Arial" w:hint="cs"/>
          <w:rtl/>
        </w:rPr>
        <w:t>(וכ"פ ח"מ</w:t>
      </w:r>
      <w:r w:rsidR="0023267F">
        <w:rPr>
          <w:rFonts w:cs="Arial" w:hint="cs"/>
          <w:sz w:val="16"/>
          <w:szCs w:val="16"/>
          <w:rtl/>
        </w:rPr>
        <w:t xml:space="preserve"> [סק"ג]</w:t>
      </w:r>
      <w:r w:rsidR="0023267F">
        <w:rPr>
          <w:rFonts w:cs="Arial" w:hint="cs"/>
          <w:rtl/>
        </w:rPr>
        <w:t>)</w:t>
      </w:r>
    </w:p>
    <w:p w14:paraId="4AC1AF5C" w14:textId="47A3FA95" w:rsidR="00F34DAE" w:rsidRPr="00F34DAE" w:rsidRDefault="00DC26F6" w:rsidP="00DC26F6">
      <w:pPr>
        <w:ind w:left="360"/>
        <w:rPr>
          <w:rFonts w:cs="Arial"/>
        </w:rPr>
      </w:pPr>
      <w:r>
        <w:rPr>
          <w:rFonts w:cs="Arial" w:hint="cs"/>
          <w:u w:val="dotted"/>
          <w:rtl/>
        </w:rPr>
        <w:t>לסוברים שצריך להקנות לבעל</w:t>
      </w:r>
      <w:r w:rsidRPr="0093541C">
        <w:rPr>
          <w:rFonts w:cs="Arial" w:hint="cs"/>
          <w:u w:val="dotted"/>
          <w:rtl/>
        </w:rPr>
        <w:t xml:space="preserve"> </w:t>
      </w:r>
      <w:r w:rsidR="00A82951">
        <w:rPr>
          <w:rFonts w:cs="Arial"/>
          <w:u w:val="dotted"/>
          <w:rtl/>
        </w:rPr>
        <w:t>-</w:t>
      </w:r>
      <w:r>
        <w:rPr>
          <w:rFonts w:cs="Arial" w:hint="cs"/>
          <w:u w:val="dotted"/>
          <w:rtl/>
        </w:rPr>
        <w:t xml:space="preserve"> מה הדין אם לא הקנה:</w:t>
      </w:r>
    </w:p>
    <w:p w14:paraId="4008E139" w14:textId="0762A2F7" w:rsidR="009505FE" w:rsidRPr="006C50B7" w:rsidRDefault="00AE09E8" w:rsidP="00A65C5F">
      <w:pPr>
        <w:pStyle w:val="ab"/>
        <w:numPr>
          <w:ilvl w:val="0"/>
          <w:numId w:val="24"/>
        </w:numPr>
        <w:rPr>
          <w:rFonts w:cs="Arial"/>
        </w:rPr>
      </w:pPr>
      <w:r>
        <w:rPr>
          <w:rFonts w:cs="Arial" w:hint="cs"/>
          <w:rtl/>
        </w:rPr>
        <w:t>ב"י</w:t>
      </w:r>
      <w:r w:rsidR="00A82951">
        <w:rPr>
          <w:rFonts w:cs="Arial" w:hint="cs"/>
          <w:rtl/>
        </w:rPr>
        <w:t>-</w:t>
      </w:r>
      <w:r w:rsidR="006541C4">
        <w:rPr>
          <w:rFonts w:cs="Arial" w:hint="cs"/>
          <w:rtl/>
        </w:rPr>
        <w:t xml:space="preserve"> </w:t>
      </w:r>
      <w:r w:rsidR="00201037" w:rsidRPr="00030323">
        <w:rPr>
          <w:rFonts w:cs="Arial"/>
          <w:rtl/>
        </w:rPr>
        <w:t>לדברי המצריכים להקנות</w:t>
      </w:r>
      <w:r w:rsidR="006541C4">
        <w:rPr>
          <w:rFonts w:cs="Arial" w:hint="cs"/>
          <w:rtl/>
        </w:rPr>
        <w:t>,</w:t>
      </w:r>
      <w:r w:rsidR="00201037" w:rsidRPr="00030323">
        <w:rPr>
          <w:rFonts w:cs="Arial"/>
          <w:rtl/>
        </w:rPr>
        <w:t xml:space="preserve"> אם לא הקנה הקולמוס </w:t>
      </w:r>
      <w:r w:rsidR="00A82951">
        <w:rPr>
          <w:rFonts w:cs="Arial" w:hint="cs"/>
          <w:rtl/>
        </w:rPr>
        <w:t>-</w:t>
      </w:r>
      <w:r w:rsidR="006541C4">
        <w:rPr>
          <w:rFonts w:cs="Arial" w:hint="cs"/>
          <w:rtl/>
        </w:rPr>
        <w:t xml:space="preserve"> </w:t>
      </w:r>
      <w:r w:rsidR="00201037" w:rsidRPr="00030323">
        <w:rPr>
          <w:rFonts w:cs="Arial"/>
          <w:rtl/>
        </w:rPr>
        <w:t>כשר</w:t>
      </w:r>
      <w:r w:rsidR="006541C4">
        <w:rPr>
          <w:rStyle w:val="a7"/>
          <w:rFonts w:cs="Arial"/>
          <w:rtl/>
        </w:rPr>
        <w:footnoteReference w:id="101"/>
      </w:r>
      <w:r w:rsidR="006541C4">
        <w:rPr>
          <w:rFonts w:cs="Arial" w:hint="cs"/>
          <w:rtl/>
        </w:rPr>
        <w:t xml:space="preserve">. </w:t>
      </w:r>
      <w:r w:rsidR="00201037" w:rsidRPr="006541C4">
        <w:rPr>
          <w:rFonts w:cs="Arial"/>
          <w:rtl/>
        </w:rPr>
        <w:t>מיהו היכא דלא מסר לא קלף ולא דיו</w:t>
      </w:r>
      <w:r>
        <w:rPr>
          <w:rFonts w:cs="Arial" w:hint="cs"/>
          <w:rtl/>
        </w:rPr>
        <w:t>...</w:t>
      </w:r>
      <w:r w:rsidR="00201037" w:rsidRPr="006541C4">
        <w:rPr>
          <w:rFonts w:cs="Arial"/>
          <w:rtl/>
        </w:rPr>
        <w:t xml:space="preserve"> </w:t>
      </w:r>
      <w:r>
        <w:rPr>
          <w:rStyle w:val="a7"/>
          <w:rFonts w:cs="Arial"/>
          <w:rtl/>
        </w:rPr>
        <w:footnoteReference w:id="102"/>
      </w:r>
      <w:r w:rsidR="00201037" w:rsidRPr="006541C4">
        <w:rPr>
          <w:rFonts w:cs="Arial"/>
          <w:rtl/>
        </w:rPr>
        <w:t>וגם לא נתנו אחר כך</w:t>
      </w:r>
      <w:r>
        <w:rPr>
          <w:rStyle w:val="a7"/>
          <w:rFonts w:cs="Arial"/>
          <w:rtl/>
        </w:rPr>
        <w:footnoteReference w:id="103"/>
      </w:r>
      <w:r w:rsidR="00201037" w:rsidRPr="006541C4">
        <w:rPr>
          <w:rFonts w:cs="Arial"/>
          <w:rtl/>
        </w:rPr>
        <w:t xml:space="preserve"> לבעל להיות שלו </w:t>
      </w:r>
      <w:r w:rsidR="00A82951">
        <w:rPr>
          <w:rFonts w:cs="Arial"/>
          <w:rtl/>
        </w:rPr>
        <w:t>-</w:t>
      </w:r>
      <w:r w:rsidR="006541C4">
        <w:rPr>
          <w:rFonts w:cs="Arial" w:hint="cs"/>
          <w:rtl/>
        </w:rPr>
        <w:t xml:space="preserve"> </w:t>
      </w:r>
      <w:r w:rsidR="00201037" w:rsidRPr="006541C4">
        <w:rPr>
          <w:rFonts w:cs="Arial"/>
          <w:rtl/>
        </w:rPr>
        <w:t>פסול</w:t>
      </w:r>
      <w:r w:rsidR="006541C4">
        <w:rPr>
          <w:rFonts w:cs="Arial" w:hint="cs"/>
          <w:rtl/>
        </w:rPr>
        <w:t>,</w:t>
      </w:r>
      <w:r w:rsidR="00201037" w:rsidRPr="006541C4">
        <w:rPr>
          <w:rFonts w:cs="Arial"/>
          <w:rtl/>
        </w:rPr>
        <w:t xml:space="preserve"> דהא אינו מגרשה בדבר שלו</w:t>
      </w:r>
      <w:r>
        <w:rPr>
          <w:rFonts w:cs="Arial" w:hint="cs"/>
          <w:sz w:val="16"/>
          <w:szCs w:val="16"/>
          <w:rtl/>
        </w:rPr>
        <w:t xml:space="preserve"> (ל' הב"י)</w:t>
      </w:r>
      <w:bookmarkStart w:id="8" w:name="_Ref75689651"/>
      <w:r w:rsidR="006C50B7">
        <w:rPr>
          <w:rStyle w:val="a7"/>
          <w:rFonts w:cs="Arial"/>
          <w:rtl/>
        </w:rPr>
        <w:footnoteReference w:id="104"/>
      </w:r>
      <w:bookmarkEnd w:id="8"/>
      <w:r w:rsidR="000E2A40" w:rsidRPr="006541C4">
        <w:rPr>
          <w:rFonts w:cs="Arial" w:hint="cs"/>
          <w:rtl/>
        </w:rPr>
        <w:t>.</w:t>
      </w:r>
      <w:r w:rsidR="00201037" w:rsidRPr="006C50B7">
        <w:rPr>
          <w:rFonts w:cs="Arial"/>
          <w:rtl/>
        </w:rPr>
        <w:t xml:space="preserve"> </w:t>
      </w:r>
    </w:p>
    <w:p w14:paraId="1F6F60FA" w14:textId="45D0FC1D" w:rsidR="002D08DE" w:rsidRPr="006655B0" w:rsidRDefault="006655B0" w:rsidP="006655B0">
      <w:pPr>
        <w:ind w:left="360"/>
        <w:rPr>
          <w:rFonts w:cs="Arial"/>
          <w:u w:val="dotted"/>
        </w:rPr>
      </w:pPr>
      <w:r w:rsidRPr="006655B0">
        <w:rPr>
          <w:rFonts w:cs="Arial" w:hint="cs"/>
          <w:u w:val="dotted"/>
          <w:rtl/>
        </w:rPr>
        <w:t>המנהג למעשה:</w:t>
      </w:r>
    </w:p>
    <w:p w14:paraId="5E12612D" w14:textId="652E81A4" w:rsidR="00201037" w:rsidRPr="00030323" w:rsidRDefault="002D08DE" w:rsidP="00A65C5F">
      <w:pPr>
        <w:pStyle w:val="ab"/>
        <w:numPr>
          <w:ilvl w:val="0"/>
          <w:numId w:val="24"/>
        </w:numPr>
        <w:rPr>
          <w:rFonts w:cs="Arial"/>
          <w:rtl/>
        </w:rPr>
      </w:pPr>
      <w:r>
        <w:rPr>
          <w:rFonts w:cs="Arial" w:hint="cs"/>
          <w:rtl/>
        </w:rPr>
        <w:t>ב"י</w:t>
      </w:r>
      <w:r w:rsidR="00A82951">
        <w:rPr>
          <w:rFonts w:cs="Arial" w:hint="cs"/>
          <w:rtl/>
        </w:rPr>
        <w:t>-</w:t>
      </w:r>
      <w:r>
        <w:rPr>
          <w:rFonts w:cs="Arial" w:hint="cs"/>
          <w:rtl/>
        </w:rPr>
        <w:t xml:space="preserve"> </w:t>
      </w:r>
      <w:r w:rsidR="00201037" w:rsidRPr="00030323">
        <w:rPr>
          <w:rFonts w:cs="Arial"/>
          <w:rtl/>
        </w:rPr>
        <w:t>והמנהג למסור קלף ודיו כדברי הרא"ש וסמ"ג והתרומה</w:t>
      </w:r>
      <w:r>
        <w:rPr>
          <w:rFonts w:cs="Arial" w:hint="cs"/>
          <w:rtl/>
        </w:rPr>
        <w:t>.</w:t>
      </w:r>
      <w:r w:rsidR="00201037" w:rsidRPr="00030323">
        <w:rPr>
          <w:rFonts w:cs="Arial"/>
          <w:rtl/>
        </w:rPr>
        <w:t xml:space="preserve"> אבל בקולמוס אין חוששין</w:t>
      </w:r>
      <w:r>
        <w:rPr>
          <w:rFonts w:cs="Arial" w:hint="cs"/>
          <w:rtl/>
        </w:rPr>
        <w:t>,</w:t>
      </w:r>
      <w:r w:rsidR="00201037" w:rsidRPr="00030323">
        <w:rPr>
          <w:rFonts w:cs="Arial"/>
          <w:rtl/>
        </w:rPr>
        <w:t xml:space="preserve"> כמו שהם זכרונם לברכה לא חששו</w:t>
      </w:r>
      <w:r>
        <w:rPr>
          <w:rFonts w:cs="Arial" w:hint="cs"/>
          <w:rtl/>
        </w:rPr>
        <w:t>.</w:t>
      </w:r>
      <w:r w:rsidR="00201037" w:rsidRPr="00030323">
        <w:rPr>
          <w:rFonts w:cs="Arial"/>
          <w:rtl/>
        </w:rPr>
        <w:t xml:space="preserve"> ומכל מקום טוב למסור גם הקולמוס לכתחלה</w:t>
      </w:r>
      <w:r w:rsidR="00562B5E">
        <w:rPr>
          <w:rFonts w:cs="Arial" w:hint="cs"/>
          <w:rtl/>
        </w:rPr>
        <w:t>,</w:t>
      </w:r>
      <w:r w:rsidR="00201037" w:rsidRPr="00030323">
        <w:rPr>
          <w:rFonts w:cs="Arial"/>
          <w:rtl/>
        </w:rPr>
        <w:t xml:space="preserve"> וכן אני נוהג</w:t>
      </w:r>
      <w:r w:rsidR="00BA15E7">
        <w:rPr>
          <w:rStyle w:val="a7"/>
          <w:rFonts w:cs="Arial"/>
          <w:rtl/>
        </w:rPr>
        <w:footnoteReference w:id="105"/>
      </w:r>
      <w:r w:rsidR="00201037" w:rsidRPr="00030323">
        <w:rPr>
          <w:rFonts w:cs="Arial"/>
          <w:rtl/>
        </w:rPr>
        <w:t>. וכתוב בקונטרסים (שם) והבעל יגביהם לקנות</w:t>
      </w:r>
      <w:r>
        <w:rPr>
          <w:rFonts w:cs="Arial" w:hint="cs"/>
          <w:rtl/>
        </w:rPr>
        <w:t>.</w:t>
      </w:r>
    </w:p>
    <w:p w14:paraId="4EF2E0EF" w14:textId="58BE36E8" w:rsidR="000B7689" w:rsidRPr="0000361F" w:rsidRDefault="000B7689" w:rsidP="000B7689">
      <w:pPr>
        <w:rPr>
          <w:u w:val="single"/>
          <w:rtl/>
        </w:rPr>
      </w:pPr>
      <w:r w:rsidRPr="0000361F">
        <w:rPr>
          <w:rFonts w:cs="Arial"/>
          <w:u w:val="single"/>
          <w:rtl/>
        </w:rPr>
        <w:lastRenderedPageBreak/>
        <w:t xml:space="preserve">האומר לעדים </w:t>
      </w:r>
      <w:r w:rsidRPr="0000361F">
        <w:rPr>
          <w:rFonts w:cs="Arial" w:hint="cs"/>
          <w:u w:val="single"/>
          <w:rtl/>
        </w:rPr>
        <w:t>'</w:t>
      </w:r>
      <w:r w:rsidRPr="0000361F">
        <w:rPr>
          <w:rFonts w:cs="Arial"/>
          <w:u w:val="single"/>
          <w:rtl/>
        </w:rPr>
        <w:t>כתבו גט ותנו לאשתי</w:t>
      </w:r>
      <w:r w:rsidRPr="0000361F">
        <w:rPr>
          <w:rFonts w:cs="Arial" w:hint="cs"/>
          <w:u w:val="single"/>
          <w:rtl/>
        </w:rPr>
        <w:t>'</w:t>
      </w:r>
      <w:r w:rsidRPr="0000361F">
        <w:rPr>
          <w:rFonts w:cs="Arial"/>
          <w:u w:val="single"/>
          <w:rtl/>
        </w:rPr>
        <w:t xml:space="preserve"> </w:t>
      </w:r>
      <w:r w:rsidR="00A82951">
        <w:rPr>
          <w:rFonts w:cs="Arial"/>
          <w:u w:val="single"/>
          <w:rtl/>
        </w:rPr>
        <w:t>-</w:t>
      </w:r>
      <w:r w:rsidRPr="0000361F">
        <w:rPr>
          <w:rFonts w:hint="cs"/>
          <w:u w:val="single"/>
          <w:rtl/>
        </w:rPr>
        <w:t xml:space="preserve"> האם צריכים להקנות לו את הקלף והדיו: </w:t>
      </w:r>
    </w:p>
    <w:p w14:paraId="56AC0BF0" w14:textId="1F62973F" w:rsidR="000B7689" w:rsidRPr="00201037" w:rsidRDefault="000B7689" w:rsidP="00A65C5F">
      <w:pPr>
        <w:pStyle w:val="ab"/>
        <w:numPr>
          <w:ilvl w:val="0"/>
          <w:numId w:val="24"/>
        </w:numPr>
        <w:rPr>
          <w:rtl/>
        </w:rPr>
      </w:pPr>
      <w:r w:rsidRPr="00201037">
        <w:rPr>
          <w:rFonts w:cs="Arial"/>
          <w:rtl/>
        </w:rPr>
        <w:t>רמ"ה</w:t>
      </w:r>
      <w:r>
        <w:rPr>
          <w:rFonts w:cs="Arial" w:hint="cs"/>
          <w:sz w:val="16"/>
          <w:szCs w:val="16"/>
          <w:rtl/>
        </w:rPr>
        <w:t xml:space="preserve"> (כ"כ הטור בשמו)</w:t>
      </w:r>
      <w:r w:rsidRPr="00CF4C18">
        <w:rPr>
          <w:rFonts w:cs="Arial"/>
          <w:rtl/>
        </w:rPr>
        <w:t xml:space="preserve"> </w:t>
      </w:r>
      <w:r>
        <w:rPr>
          <w:rFonts w:cs="Arial" w:hint="cs"/>
          <w:rtl/>
        </w:rPr>
        <w:t>ו</w:t>
      </w:r>
      <w:r w:rsidRPr="0000361F">
        <w:rPr>
          <w:rFonts w:cs="Arial"/>
          <w:rtl/>
        </w:rPr>
        <w:t>מרדכי</w:t>
      </w:r>
      <w:r>
        <w:rPr>
          <w:rStyle w:val="a7"/>
          <w:rFonts w:cs="Arial"/>
          <w:rtl/>
        </w:rPr>
        <w:footnoteReference w:id="106"/>
      </w:r>
      <w:r w:rsidRPr="0000361F">
        <w:rPr>
          <w:rFonts w:cs="Arial"/>
          <w:rtl/>
        </w:rPr>
        <w:t xml:space="preserve"> </w:t>
      </w:r>
      <w:r w:rsidRPr="00CF4C18">
        <w:rPr>
          <w:rFonts w:cs="Arial"/>
          <w:sz w:val="16"/>
          <w:szCs w:val="16"/>
          <w:rtl/>
        </w:rPr>
        <w:t>(</w:t>
      </w:r>
      <w:r w:rsidRPr="00CF4C18">
        <w:rPr>
          <w:rFonts w:cs="Arial" w:hint="cs"/>
          <w:sz w:val="16"/>
          <w:szCs w:val="16"/>
          <w:rtl/>
        </w:rPr>
        <w:t xml:space="preserve">גיטין </w:t>
      </w:r>
      <w:r w:rsidRPr="00CF4C18">
        <w:rPr>
          <w:rFonts w:cs="Arial"/>
          <w:sz w:val="16"/>
          <w:szCs w:val="16"/>
          <w:rtl/>
        </w:rPr>
        <w:t>סי' תיח)</w:t>
      </w:r>
      <w:r w:rsidR="00A82951">
        <w:rPr>
          <w:rFonts w:cs="Arial" w:hint="cs"/>
          <w:rtl/>
        </w:rPr>
        <w:t>-</w:t>
      </w:r>
      <w:r>
        <w:rPr>
          <w:rFonts w:cs="Arial" w:hint="cs"/>
          <w:rtl/>
        </w:rPr>
        <w:t xml:space="preserve"> </w:t>
      </w:r>
      <w:r w:rsidRPr="00201037">
        <w:rPr>
          <w:rFonts w:cs="Arial"/>
          <w:rtl/>
        </w:rPr>
        <w:t xml:space="preserve">האומר לעדים </w:t>
      </w:r>
      <w:r>
        <w:rPr>
          <w:rFonts w:cs="Arial" w:hint="cs"/>
          <w:rtl/>
        </w:rPr>
        <w:t>'</w:t>
      </w:r>
      <w:r w:rsidRPr="00201037">
        <w:rPr>
          <w:rFonts w:cs="Arial"/>
          <w:rtl/>
        </w:rPr>
        <w:t>כתבו גט ותנו לאשתי</w:t>
      </w:r>
      <w:r>
        <w:rPr>
          <w:rFonts w:cs="Arial" w:hint="cs"/>
          <w:rtl/>
        </w:rPr>
        <w:t>'</w:t>
      </w:r>
      <w:r w:rsidRPr="00201037">
        <w:rPr>
          <w:rFonts w:cs="Arial"/>
          <w:rtl/>
        </w:rPr>
        <w:t xml:space="preserve"> </w:t>
      </w:r>
      <w:r w:rsidR="00A82951">
        <w:rPr>
          <w:rFonts w:cs="Arial" w:hint="cs"/>
          <w:rtl/>
        </w:rPr>
        <w:t>-</w:t>
      </w:r>
      <w:r>
        <w:rPr>
          <w:rFonts w:cs="Arial" w:hint="cs"/>
          <w:rtl/>
        </w:rPr>
        <w:t xml:space="preserve"> </w:t>
      </w:r>
      <w:r w:rsidRPr="00201037">
        <w:rPr>
          <w:rFonts w:cs="Arial"/>
          <w:rtl/>
        </w:rPr>
        <w:t>אין צריכין לזכות לו הנייר קודם כתיבה</w:t>
      </w:r>
      <w:r>
        <w:rPr>
          <w:rFonts w:cs="Arial" w:hint="cs"/>
          <w:rtl/>
        </w:rPr>
        <w:t>.</w:t>
      </w:r>
      <w:r w:rsidRPr="00201037">
        <w:rPr>
          <w:rFonts w:cs="Arial"/>
          <w:rtl/>
        </w:rPr>
        <w:t xml:space="preserve"> אלא אע</w:t>
      </w:r>
      <w:r>
        <w:rPr>
          <w:rFonts w:cs="Arial" w:hint="cs"/>
          <w:rtl/>
        </w:rPr>
        <w:t>"</w:t>
      </w:r>
      <w:r w:rsidRPr="00201037">
        <w:rPr>
          <w:rFonts w:cs="Arial"/>
          <w:rtl/>
        </w:rPr>
        <w:t>ג דכתבו מדידהו ויהבו לה</w:t>
      </w:r>
      <w:r>
        <w:rPr>
          <w:rFonts w:cs="Arial" w:hint="cs"/>
          <w:rtl/>
        </w:rPr>
        <w:t>,</w:t>
      </w:r>
      <w:r w:rsidRPr="00201037">
        <w:rPr>
          <w:rFonts w:cs="Arial"/>
          <w:rtl/>
        </w:rPr>
        <w:t xml:space="preserve"> כיון דבשליחותו קעבדי</w:t>
      </w:r>
      <w:r>
        <w:rPr>
          <w:rFonts w:cs="Arial" w:hint="cs"/>
          <w:rtl/>
        </w:rPr>
        <w:t>,</w:t>
      </w:r>
      <w:r w:rsidRPr="00201037">
        <w:rPr>
          <w:rFonts w:cs="Arial"/>
          <w:rtl/>
        </w:rPr>
        <w:t xml:space="preserve"> מכי יהבו לה בשליחותיה דבעל</w:t>
      </w:r>
      <w:r>
        <w:rPr>
          <w:rFonts w:cs="Arial" w:hint="cs"/>
          <w:rtl/>
        </w:rPr>
        <w:t>,</w:t>
      </w:r>
      <w:r w:rsidRPr="00201037">
        <w:rPr>
          <w:rFonts w:cs="Arial"/>
          <w:rtl/>
        </w:rPr>
        <w:t xml:space="preserve"> כמאן דיהבו לבעל והדר בעל ויהיב לאתתא דמי</w:t>
      </w:r>
      <w:r>
        <w:rPr>
          <w:rFonts w:cs="Arial" w:hint="cs"/>
          <w:rtl/>
        </w:rPr>
        <w:t>.</w:t>
      </w:r>
      <w:r w:rsidRPr="00201037">
        <w:rPr>
          <w:rFonts w:cs="Arial"/>
          <w:rtl/>
        </w:rPr>
        <w:t xml:space="preserve"> דכיון דמזכה לאיתתא בשליחותיה</w:t>
      </w:r>
      <w:r>
        <w:rPr>
          <w:rFonts w:cs="Arial" w:hint="cs"/>
          <w:rtl/>
        </w:rPr>
        <w:t>,</w:t>
      </w:r>
      <w:r w:rsidRPr="00201037">
        <w:rPr>
          <w:rFonts w:cs="Arial"/>
          <w:rtl/>
        </w:rPr>
        <w:t xml:space="preserve"> אקנויי אקנו לבעל לגרושי ביה</w:t>
      </w:r>
      <w:r>
        <w:rPr>
          <w:rFonts w:cs="Arial" w:hint="cs"/>
          <w:rtl/>
        </w:rPr>
        <w:t>.</w:t>
      </w:r>
      <w:r w:rsidRPr="00201037">
        <w:rPr>
          <w:rFonts w:cs="Arial"/>
          <w:rtl/>
        </w:rPr>
        <w:t xml:space="preserve"> ונמצא זכיית הבעל וגירושי האשה באין כאחד</w:t>
      </w:r>
      <w:r>
        <w:rPr>
          <w:rStyle w:val="a7"/>
          <w:rFonts w:cs="Arial"/>
          <w:rtl/>
        </w:rPr>
        <w:footnoteReference w:id="107"/>
      </w:r>
      <w:r>
        <w:rPr>
          <w:rFonts w:cs="Arial" w:hint="cs"/>
          <w:rtl/>
        </w:rPr>
        <w:t xml:space="preserve"> </w:t>
      </w:r>
      <w:r w:rsidRPr="00CF4C18">
        <w:rPr>
          <w:rFonts w:hint="cs"/>
          <w:sz w:val="16"/>
          <w:szCs w:val="16"/>
          <w:rtl/>
        </w:rPr>
        <w:t>(ל' הטור בשם הרמ"ה)</w:t>
      </w:r>
      <w:r w:rsidR="00AC20B9">
        <w:rPr>
          <w:rStyle w:val="a7"/>
          <w:rFonts w:cs="Arial"/>
          <w:rtl/>
        </w:rPr>
        <w:footnoteReference w:id="108"/>
      </w:r>
      <w:r w:rsidRPr="00162742">
        <w:rPr>
          <w:rFonts w:cs="Arial" w:hint="cs"/>
          <w:rtl/>
        </w:rPr>
        <w:t>.</w:t>
      </w:r>
    </w:p>
    <w:p w14:paraId="0EA732B5" w14:textId="575DAB09" w:rsidR="005A67E9" w:rsidRDefault="005A67E9" w:rsidP="00201037">
      <w:pPr>
        <w:rPr>
          <w:rFonts w:cs="Arial"/>
          <w:rtl/>
        </w:rPr>
      </w:pPr>
      <w:r w:rsidRPr="005A67E9">
        <w:rPr>
          <w:rFonts w:cs="Arial" w:hint="cs"/>
          <w:b/>
          <w:bCs/>
          <w:rtl/>
        </w:rPr>
        <w:t xml:space="preserve">בבא בתרא </w:t>
      </w:r>
      <w:r w:rsidRPr="005A67E9">
        <w:rPr>
          <w:rFonts w:cs="Arial" w:hint="cs"/>
          <w:b/>
          <w:bCs/>
          <w:sz w:val="16"/>
          <w:szCs w:val="16"/>
          <w:rtl/>
        </w:rPr>
        <w:t xml:space="preserve">(פ' גט פשוט) </w:t>
      </w:r>
      <w:r w:rsidRPr="005A67E9">
        <w:rPr>
          <w:rFonts w:cs="Arial" w:hint="cs"/>
          <w:b/>
          <w:bCs/>
          <w:rtl/>
        </w:rPr>
        <w:t>קסז ע"א:</w:t>
      </w:r>
      <w:r>
        <w:rPr>
          <w:rFonts w:cs="Arial" w:hint="cs"/>
          <w:rtl/>
        </w:rPr>
        <w:t xml:space="preserve"> </w:t>
      </w:r>
      <w:r w:rsidRPr="005A67E9">
        <w:rPr>
          <w:rFonts w:cs="Arial"/>
          <w:u w:val="double"/>
          <w:rtl/>
        </w:rPr>
        <w:t>מתני'</w:t>
      </w:r>
      <w:r>
        <w:rPr>
          <w:rFonts w:cs="Arial" w:hint="cs"/>
          <w:rtl/>
        </w:rPr>
        <w:t>:</w:t>
      </w:r>
      <w:r w:rsidRPr="005A67E9">
        <w:rPr>
          <w:rFonts w:cs="Arial"/>
          <w:rtl/>
        </w:rPr>
        <w:t xml:space="preserve"> כותבין גט לאיש אף על פי שאין אשתו עמו, והשובר לאשה </w:t>
      </w:r>
      <w:r w:rsidR="00A82951">
        <w:rPr>
          <w:rFonts w:cs="Arial"/>
          <w:rtl/>
        </w:rPr>
        <w:t>-</w:t>
      </w:r>
      <w:r w:rsidRPr="005A67E9">
        <w:rPr>
          <w:rFonts w:cs="Arial"/>
          <w:rtl/>
        </w:rPr>
        <w:t xml:space="preserve"> אף על פי שאין בעלה עמה, ובלבד שיהא מכירן</w:t>
      </w:r>
      <w:r>
        <w:rPr>
          <w:rFonts w:cs="Arial" w:hint="cs"/>
          <w:rtl/>
        </w:rPr>
        <w:t>.</w:t>
      </w:r>
      <w:r w:rsidRPr="005A67E9">
        <w:rPr>
          <w:rFonts w:cs="Arial"/>
          <w:rtl/>
        </w:rPr>
        <w:t xml:space="preserve"> והבעל נותן שכר.</w:t>
      </w:r>
      <w:r>
        <w:rPr>
          <w:rFonts w:cs="Arial" w:hint="cs"/>
          <w:rtl/>
        </w:rPr>
        <w:t xml:space="preserve">..      </w:t>
      </w:r>
      <w:r w:rsidRPr="005A67E9">
        <w:rPr>
          <w:rFonts w:cs="Arial" w:hint="cs"/>
          <w:u w:val="double"/>
          <w:rtl/>
        </w:rPr>
        <w:t>גמ'</w:t>
      </w:r>
      <w:r>
        <w:rPr>
          <w:rFonts w:cs="Arial" w:hint="cs"/>
          <w:u w:val="double"/>
          <w:rtl/>
        </w:rPr>
        <w:t xml:space="preserve"> </w:t>
      </w:r>
      <w:r w:rsidRPr="005A67E9">
        <w:rPr>
          <w:rFonts w:cs="Arial" w:hint="cs"/>
          <w:sz w:val="14"/>
          <w:szCs w:val="14"/>
          <w:u w:val="double"/>
          <w:rtl/>
        </w:rPr>
        <w:t>(קסח.)</w:t>
      </w:r>
      <w:r w:rsidRPr="005A67E9">
        <w:rPr>
          <w:rFonts w:cs="Arial" w:hint="cs"/>
          <w:u w:val="double"/>
          <w:rtl/>
        </w:rPr>
        <w:t>:</w:t>
      </w:r>
      <w:r>
        <w:rPr>
          <w:rFonts w:cs="Arial" w:hint="cs"/>
          <w:rtl/>
        </w:rPr>
        <w:t xml:space="preserve"> </w:t>
      </w:r>
      <w:r w:rsidRPr="005A67E9">
        <w:rPr>
          <w:rFonts w:cs="Arial"/>
          <w:rtl/>
        </w:rPr>
        <w:t>והבעל נותן שכר וכו'. מאי טעמא? דאמר קרא: וכתב ונתן. והאידנא דלא עבדינן הכי, שדיוהו רבנן אאשה כי היכי דלא לשהייה.</w:t>
      </w:r>
    </w:p>
    <w:p w14:paraId="60C4270F" w14:textId="1E0D4311" w:rsidR="005A67E9" w:rsidRPr="00715527" w:rsidRDefault="005A67E9" w:rsidP="00715527">
      <w:pPr>
        <w:rPr>
          <w:u w:val="single"/>
        </w:rPr>
      </w:pPr>
      <w:r w:rsidRPr="00D13795">
        <w:rPr>
          <w:rFonts w:hint="cs"/>
          <w:u w:val="single"/>
          <w:rtl/>
        </w:rPr>
        <w:t>מי משלם את שכר הסופר</w:t>
      </w:r>
      <w:r>
        <w:rPr>
          <w:rFonts w:hint="cs"/>
          <w:u w:val="single"/>
          <w:rtl/>
        </w:rPr>
        <w:t xml:space="preserve"> שכותב את הגט</w:t>
      </w:r>
      <w:r w:rsidRPr="00D13795">
        <w:rPr>
          <w:rFonts w:hint="cs"/>
          <w:u w:val="single"/>
          <w:rtl/>
        </w:rPr>
        <w:t>:</w:t>
      </w:r>
    </w:p>
    <w:p w14:paraId="0226F3D6" w14:textId="3772B490" w:rsidR="00201037" w:rsidRPr="00143937" w:rsidRDefault="00715527" w:rsidP="00A65C5F">
      <w:pPr>
        <w:pStyle w:val="ab"/>
        <w:numPr>
          <w:ilvl w:val="0"/>
          <w:numId w:val="24"/>
        </w:numPr>
      </w:pPr>
      <w:r w:rsidRPr="00030323">
        <w:rPr>
          <w:rFonts w:cs="Arial"/>
          <w:rtl/>
        </w:rPr>
        <w:t>תרומה</w:t>
      </w:r>
      <w:r>
        <w:rPr>
          <w:rStyle w:val="a7"/>
          <w:rFonts w:cs="Arial"/>
          <w:rtl/>
        </w:rPr>
        <w:footnoteReference w:id="109"/>
      </w:r>
      <w:r>
        <w:rPr>
          <w:rFonts w:cs="Arial" w:hint="cs"/>
          <w:rtl/>
        </w:rPr>
        <w:t xml:space="preserve"> </w:t>
      </w:r>
      <w:r w:rsidRPr="00143937">
        <w:rPr>
          <w:rFonts w:cs="Arial"/>
          <w:rtl/>
        </w:rPr>
        <w:t>סמ"ג</w:t>
      </w:r>
      <w:r>
        <w:rPr>
          <w:rStyle w:val="a7"/>
          <w:rFonts w:cs="Arial"/>
          <w:rtl/>
        </w:rPr>
        <w:footnoteReference w:id="110"/>
      </w:r>
      <w:r>
        <w:rPr>
          <w:rFonts w:cs="Arial" w:hint="cs"/>
          <w:sz w:val="16"/>
          <w:szCs w:val="16"/>
          <w:rtl/>
        </w:rPr>
        <w:t xml:space="preserve"> </w:t>
      </w:r>
      <w:r w:rsidR="00201037" w:rsidRPr="00143937">
        <w:rPr>
          <w:rFonts w:cs="Arial"/>
          <w:rtl/>
        </w:rPr>
        <w:t xml:space="preserve">רא"ש </w:t>
      </w:r>
      <w:r>
        <w:rPr>
          <w:rFonts w:cs="Arial" w:hint="cs"/>
          <w:sz w:val="16"/>
          <w:szCs w:val="16"/>
          <w:rtl/>
        </w:rPr>
        <w:t>(סדר כתיבת הגט, הביאו הטור בס"ס קנד)</w:t>
      </w:r>
      <w:r w:rsidR="00573143">
        <w:rPr>
          <w:rFonts w:cs="Arial" w:hint="cs"/>
          <w:rtl/>
        </w:rPr>
        <w:t xml:space="preserve"> וטור</w:t>
      </w:r>
      <w:r w:rsidR="00573143" w:rsidRPr="00573143">
        <w:rPr>
          <w:rStyle w:val="a7"/>
          <w:rFonts w:cs="Arial"/>
          <w:rtl/>
        </w:rPr>
        <w:footnoteReference w:id="111"/>
      </w:r>
      <w:r w:rsidR="00A82951">
        <w:rPr>
          <w:rFonts w:cs="Arial" w:hint="cs"/>
          <w:rtl/>
        </w:rPr>
        <w:t>-</w:t>
      </w:r>
      <w:r>
        <w:rPr>
          <w:rFonts w:cs="Arial" w:hint="cs"/>
          <w:rtl/>
        </w:rPr>
        <w:t xml:space="preserve"> </w:t>
      </w:r>
      <w:r w:rsidR="00BB2282">
        <w:rPr>
          <w:rStyle w:val="a7"/>
          <w:rFonts w:cs="Arial"/>
          <w:rtl/>
        </w:rPr>
        <w:footnoteReference w:id="112"/>
      </w:r>
      <w:r w:rsidR="00493D9E">
        <w:rPr>
          <w:rFonts w:cs="Arial" w:hint="cs"/>
          <w:rtl/>
        </w:rPr>
        <w:t>ו</w:t>
      </w:r>
      <w:r w:rsidR="00201037" w:rsidRPr="00143937">
        <w:rPr>
          <w:rFonts w:cs="Arial"/>
          <w:rtl/>
        </w:rPr>
        <w:t>שכר הסופר יתן הבעל</w:t>
      </w:r>
      <w:r>
        <w:rPr>
          <w:rFonts w:cs="Arial" w:hint="cs"/>
          <w:rtl/>
        </w:rPr>
        <w:t>.</w:t>
      </w:r>
      <w:r w:rsidR="00201037" w:rsidRPr="00143937">
        <w:rPr>
          <w:rFonts w:cs="Arial"/>
          <w:rtl/>
        </w:rPr>
        <w:t xml:space="preserve"> ואם נתנ</w:t>
      </w:r>
      <w:r w:rsidR="00493D9E">
        <w:rPr>
          <w:rFonts w:cs="Arial" w:hint="cs"/>
          <w:rtl/>
        </w:rPr>
        <w:t>תו</w:t>
      </w:r>
      <w:r w:rsidR="00201037" w:rsidRPr="00143937">
        <w:rPr>
          <w:rFonts w:cs="Arial"/>
          <w:rtl/>
        </w:rPr>
        <w:t xml:space="preserve"> האשה </w:t>
      </w:r>
      <w:r w:rsidR="00A82951">
        <w:rPr>
          <w:rFonts w:cs="Arial" w:hint="cs"/>
          <w:rtl/>
        </w:rPr>
        <w:t>-</w:t>
      </w:r>
      <w:r>
        <w:rPr>
          <w:rFonts w:cs="Arial" w:hint="cs"/>
          <w:rtl/>
        </w:rPr>
        <w:t xml:space="preserve"> </w:t>
      </w:r>
      <w:r w:rsidR="00201037" w:rsidRPr="00143937">
        <w:rPr>
          <w:rFonts w:cs="Arial"/>
          <w:rtl/>
        </w:rPr>
        <w:t>הגט כשר</w:t>
      </w:r>
      <w:r w:rsidR="00493D9E">
        <w:rPr>
          <w:rFonts w:cs="Arial" w:hint="cs"/>
          <w:rtl/>
        </w:rPr>
        <w:t>, דמשום עיגונא הפקירו חכמים ממון האשה ונתנוהו לבעל והוי כאילו הבעל נתן השכר</w:t>
      </w:r>
      <w:r w:rsidR="00BB2282">
        <w:rPr>
          <w:rStyle w:val="a7"/>
          <w:rFonts w:cs="Arial"/>
          <w:rtl/>
        </w:rPr>
        <w:footnoteReference w:id="113"/>
      </w:r>
      <w:r w:rsidR="00493D9E">
        <w:rPr>
          <w:rFonts w:cs="Arial" w:hint="cs"/>
          <w:sz w:val="16"/>
          <w:szCs w:val="16"/>
          <w:rtl/>
        </w:rPr>
        <w:t xml:space="preserve"> (ל' הרא"ש)</w:t>
      </w:r>
      <w:r w:rsidR="00143937" w:rsidRPr="00715527">
        <w:rPr>
          <w:rFonts w:cs="Arial" w:hint="cs"/>
          <w:rtl/>
        </w:rPr>
        <w:t>.</w:t>
      </w:r>
      <w:r w:rsidR="008D6656" w:rsidRPr="008D6656">
        <w:rPr>
          <w:rFonts w:hint="cs"/>
          <w:color w:val="E36C0A" w:themeColor="accent6" w:themeShade="BF"/>
          <w:rtl/>
        </w:rPr>
        <w:t xml:space="preserve"> </w:t>
      </w:r>
      <w:r w:rsidR="008D6656" w:rsidRPr="00682F0E">
        <w:rPr>
          <w:rFonts w:hint="cs"/>
          <w:color w:val="E36C0A" w:themeColor="accent6" w:themeShade="BF"/>
          <w:rtl/>
        </w:rPr>
        <w:t>(וכ"פ בשו"ע)</w:t>
      </w:r>
    </w:p>
    <w:p w14:paraId="50AE1BBC" w14:textId="1612BCE5" w:rsidR="00BB2282" w:rsidRPr="00143937" w:rsidRDefault="00BB2282" w:rsidP="00A65C5F">
      <w:pPr>
        <w:pStyle w:val="ab"/>
        <w:numPr>
          <w:ilvl w:val="0"/>
          <w:numId w:val="24"/>
        </w:numPr>
      </w:pPr>
      <w:r w:rsidRPr="00143937">
        <w:rPr>
          <w:rFonts w:cs="Arial"/>
          <w:rtl/>
        </w:rPr>
        <w:t xml:space="preserve">רמב"ם </w:t>
      </w:r>
      <w:r w:rsidRPr="00BB2282">
        <w:rPr>
          <w:rFonts w:cs="Arial" w:hint="cs"/>
          <w:sz w:val="16"/>
          <w:szCs w:val="16"/>
          <w:rtl/>
        </w:rPr>
        <w:t>(</w:t>
      </w:r>
      <w:r w:rsidRPr="00BB2282">
        <w:rPr>
          <w:rFonts w:cs="Arial"/>
          <w:sz w:val="16"/>
          <w:szCs w:val="16"/>
          <w:rtl/>
        </w:rPr>
        <w:t>פ</w:t>
      </w:r>
      <w:r w:rsidRPr="00BB2282">
        <w:rPr>
          <w:rFonts w:cs="Arial" w:hint="cs"/>
          <w:sz w:val="16"/>
          <w:szCs w:val="16"/>
          <w:rtl/>
        </w:rPr>
        <w:t>"</w:t>
      </w:r>
      <w:r w:rsidRPr="00BB2282">
        <w:rPr>
          <w:rFonts w:cs="Arial"/>
          <w:sz w:val="16"/>
          <w:szCs w:val="16"/>
          <w:rtl/>
        </w:rPr>
        <w:t>ב ה"ד)</w:t>
      </w:r>
      <w:r w:rsidR="00A82951">
        <w:rPr>
          <w:rFonts w:cs="Arial" w:hint="cs"/>
          <w:rtl/>
        </w:rPr>
        <w:t>-</w:t>
      </w:r>
      <w:r w:rsidRPr="00143937">
        <w:rPr>
          <w:rFonts w:cs="Arial"/>
          <w:rtl/>
        </w:rPr>
        <w:t xml:space="preserve"> והאשה נותנת שכר הסופר בכל מקום. </w:t>
      </w:r>
    </w:p>
    <w:p w14:paraId="4F548736" w14:textId="77777777" w:rsidR="00486C31" w:rsidRPr="007B74F1" w:rsidRDefault="00486C31" w:rsidP="00486C31">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5326FBD" w14:textId="499CFE3A" w:rsidR="00486C31" w:rsidRDefault="00486C31" w:rsidP="0000361F">
      <w:pPr>
        <w:rPr>
          <w:rFonts w:cs="Arial"/>
          <w:rtl/>
        </w:rPr>
      </w:pPr>
      <w:r w:rsidRPr="00486C31">
        <w:rPr>
          <w:rFonts w:cs="Arial"/>
          <w:rtl/>
        </w:rPr>
        <w:t>הגט, צריך שיכתבנו הבעל</w:t>
      </w:r>
      <w:r w:rsidR="006A208B">
        <w:rPr>
          <w:rStyle w:val="a7"/>
          <w:rFonts w:cs="Arial"/>
          <w:rtl/>
        </w:rPr>
        <w:footnoteReference w:id="114"/>
      </w:r>
      <w:r w:rsidRPr="00486C31">
        <w:rPr>
          <w:rFonts w:cs="Arial"/>
          <w:rtl/>
        </w:rPr>
        <w:t xml:space="preserve"> או שלוחו. ואף אם שלוחו כותבו, צריך שיהיה משל הבעל</w:t>
      </w:r>
      <w:r w:rsidR="0000361F">
        <w:rPr>
          <w:rFonts w:cs="Arial" w:hint="cs"/>
          <w:rtl/>
        </w:rPr>
        <w:t>.</w:t>
      </w:r>
      <w:r w:rsidRPr="00486C31">
        <w:rPr>
          <w:rFonts w:cs="Arial"/>
          <w:rtl/>
        </w:rPr>
        <w:t xml:space="preserve"> לכך נהגו כשהבעל מצוי</w:t>
      </w:r>
      <w:r w:rsidR="0023267F">
        <w:rPr>
          <w:rStyle w:val="a7"/>
          <w:rFonts w:cs="Arial"/>
          <w:rtl/>
        </w:rPr>
        <w:footnoteReference w:id="115"/>
      </w:r>
      <w:r w:rsidRPr="00486C31">
        <w:rPr>
          <w:rFonts w:cs="Arial"/>
          <w:rtl/>
        </w:rPr>
        <w:t xml:space="preserve">, שנותן לו הסופר הקלף והדיו </w:t>
      </w:r>
      <w:r w:rsidR="000E2A40">
        <w:rPr>
          <w:rFonts w:cs="Arial" w:hint="cs"/>
          <w:sz w:val="18"/>
          <w:szCs w:val="18"/>
          <w:rtl/>
        </w:rPr>
        <w:t xml:space="preserve">[הגה] </w:t>
      </w:r>
      <w:r w:rsidRPr="000E2A40">
        <w:rPr>
          <w:rFonts w:cs="Arial"/>
          <w:sz w:val="18"/>
          <w:szCs w:val="18"/>
          <w:rtl/>
        </w:rPr>
        <w:t xml:space="preserve">ויש אומרים דאף הקולמוס </w:t>
      </w:r>
      <w:r w:rsidR="00302EC4">
        <w:rPr>
          <w:rFonts w:cs="Arial" w:hint="cs"/>
          <w:sz w:val="18"/>
          <w:szCs w:val="18"/>
          <w:rtl/>
        </w:rPr>
        <w:t xml:space="preserve">(הג"א בשם ר"ת) </w:t>
      </w:r>
      <w:r w:rsidRPr="000E2A40">
        <w:rPr>
          <w:rFonts w:cs="Arial"/>
          <w:sz w:val="18"/>
          <w:szCs w:val="18"/>
          <w:rtl/>
        </w:rPr>
        <w:t>ושאר כלי הכתיבה (</w:t>
      </w:r>
      <w:r w:rsidR="00302EC4">
        <w:rPr>
          <w:rFonts w:cs="Arial" w:hint="cs"/>
          <w:sz w:val="18"/>
          <w:szCs w:val="18"/>
          <w:rtl/>
        </w:rPr>
        <w:t>ב"ז</w:t>
      </w:r>
      <w:r w:rsidRPr="000E2A40">
        <w:rPr>
          <w:rFonts w:cs="Arial"/>
          <w:sz w:val="18"/>
          <w:szCs w:val="18"/>
          <w:rtl/>
        </w:rPr>
        <w:t xml:space="preserve">) </w:t>
      </w:r>
      <w:r w:rsidRPr="00486C31">
        <w:rPr>
          <w:rFonts w:cs="Arial"/>
          <w:rtl/>
        </w:rPr>
        <w:t>במתנה קודם כתיבה</w:t>
      </w:r>
      <w:r w:rsidR="00121280">
        <w:rPr>
          <w:rFonts w:cs="Arial" w:hint="cs"/>
          <w:rtl/>
        </w:rPr>
        <w:t>.</w:t>
      </w:r>
      <w:r w:rsidRPr="00486C31">
        <w:rPr>
          <w:rFonts w:cs="Arial"/>
          <w:rtl/>
        </w:rPr>
        <w:t xml:space="preserve"> והבעל נותן שכרו. ומפני תקנת עגונות תקנו חכמים שהאשה תתן</w:t>
      </w:r>
      <w:r w:rsidR="00D74223">
        <w:rPr>
          <w:rStyle w:val="a7"/>
          <w:rFonts w:cs="Arial"/>
          <w:rtl/>
        </w:rPr>
        <w:footnoteReference w:id="116"/>
      </w:r>
      <w:r w:rsidRPr="00486C31">
        <w:rPr>
          <w:rFonts w:cs="Arial"/>
          <w:rtl/>
        </w:rPr>
        <w:t xml:space="preserve"> שכר הסופר והקנוהו לבעל. </w:t>
      </w:r>
    </w:p>
    <w:p w14:paraId="721108DB" w14:textId="33C32C6E" w:rsidR="00DE0C3E" w:rsidRPr="00DE0C3E" w:rsidRDefault="00DE0C3E" w:rsidP="00486C31">
      <w:pPr>
        <w:rPr>
          <w:rFonts w:cs="Arial"/>
          <w:u w:val="single"/>
          <w:rtl/>
        </w:rPr>
      </w:pPr>
      <w:r w:rsidRPr="00DE0C3E">
        <w:rPr>
          <w:rFonts w:cs="Arial" w:hint="cs"/>
          <w:u w:val="single"/>
          <w:rtl/>
        </w:rPr>
        <w:lastRenderedPageBreak/>
        <w:t>סופר שכותב בחינם:</w:t>
      </w:r>
    </w:p>
    <w:p w14:paraId="618C46A2" w14:textId="5F1FDBA8" w:rsidR="00DE0C3E" w:rsidRDefault="00DE0C3E" w:rsidP="00A65C5F">
      <w:pPr>
        <w:pStyle w:val="ab"/>
        <w:numPr>
          <w:ilvl w:val="0"/>
          <w:numId w:val="24"/>
        </w:numPr>
        <w:rPr>
          <w:rFonts w:cs="Arial"/>
        </w:rPr>
      </w:pPr>
      <w:r w:rsidRPr="00DE0C3E">
        <w:rPr>
          <w:rFonts w:cs="Arial" w:hint="cs"/>
          <w:rtl/>
        </w:rPr>
        <w:t xml:space="preserve">ח"מ </w:t>
      </w:r>
      <w:r w:rsidRPr="00DE0C3E">
        <w:rPr>
          <w:rFonts w:cs="Arial" w:hint="cs"/>
          <w:sz w:val="16"/>
          <w:szCs w:val="16"/>
          <w:rtl/>
        </w:rPr>
        <w:t>(סק"ב)</w:t>
      </w:r>
      <w:r w:rsidR="00A82951">
        <w:rPr>
          <w:rFonts w:cs="Arial" w:hint="cs"/>
          <w:rtl/>
        </w:rPr>
        <w:t>-</w:t>
      </w:r>
      <w:r w:rsidRPr="00DE0C3E">
        <w:rPr>
          <w:rFonts w:cs="Arial" w:hint="cs"/>
          <w:rtl/>
        </w:rPr>
        <w:t xml:space="preserve"> </w:t>
      </w:r>
      <w:r w:rsidRPr="00DE0C3E">
        <w:rPr>
          <w:rFonts w:cs="Arial"/>
          <w:rtl/>
        </w:rPr>
        <w:t xml:space="preserve">נראה דאם הסופר כותב בחנם ואינו מקבל שכר לא ממנו ולא ממנה </w:t>
      </w:r>
      <w:r w:rsidR="00A82951">
        <w:rPr>
          <w:rFonts w:cs="Arial" w:hint="cs"/>
          <w:rtl/>
        </w:rPr>
        <w:t>-</w:t>
      </w:r>
      <w:r w:rsidR="00AC20B9">
        <w:rPr>
          <w:rFonts w:cs="Arial" w:hint="cs"/>
          <w:rtl/>
        </w:rPr>
        <w:t xml:space="preserve"> </w:t>
      </w:r>
      <w:r w:rsidRPr="00DE0C3E">
        <w:rPr>
          <w:rFonts w:cs="Arial"/>
          <w:rtl/>
        </w:rPr>
        <w:t>אין בו איסור</w:t>
      </w:r>
      <w:r w:rsidR="00AC20B9">
        <w:rPr>
          <w:rFonts w:cs="Arial" w:hint="cs"/>
          <w:rtl/>
        </w:rPr>
        <w:t>,</w:t>
      </w:r>
      <w:r w:rsidRPr="00DE0C3E">
        <w:rPr>
          <w:rFonts w:cs="Arial"/>
          <w:rtl/>
        </w:rPr>
        <w:t xml:space="preserve"> דהרשות בידו לומר הרי כאלו התקבלתי</w:t>
      </w:r>
      <w:r w:rsidRPr="00DE0C3E">
        <w:rPr>
          <w:rFonts w:cs="Arial" w:hint="cs"/>
          <w:rtl/>
        </w:rPr>
        <w:t>.</w:t>
      </w:r>
    </w:p>
    <w:p w14:paraId="5EE5692A" w14:textId="18103071" w:rsidR="00560CC3" w:rsidRDefault="00B50B71" w:rsidP="00A65C5F">
      <w:pPr>
        <w:pStyle w:val="ab"/>
        <w:numPr>
          <w:ilvl w:val="0"/>
          <w:numId w:val="24"/>
        </w:numPr>
        <w:rPr>
          <w:rFonts w:cs="Arial"/>
        </w:rPr>
      </w:pPr>
      <w:r>
        <w:rPr>
          <w:rFonts w:cs="Arial" w:hint="cs"/>
          <w:rtl/>
        </w:rPr>
        <w:t xml:space="preserve">ב"ש </w:t>
      </w:r>
      <w:r>
        <w:rPr>
          <w:rFonts w:cs="Arial" w:hint="cs"/>
          <w:sz w:val="16"/>
          <w:szCs w:val="16"/>
          <w:rtl/>
        </w:rPr>
        <w:t>(סק"ב)</w:t>
      </w:r>
      <w:r w:rsidR="00A82951">
        <w:rPr>
          <w:rFonts w:cs="Arial" w:hint="cs"/>
          <w:rtl/>
        </w:rPr>
        <w:t>-</w:t>
      </w:r>
      <w:r>
        <w:rPr>
          <w:rFonts w:cs="Arial" w:hint="cs"/>
          <w:rtl/>
        </w:rPr>
        <w:t xml:space="preserve"> </w:t>
      </w:r>
      <w:r w:rsidRPr="00B50B71">
        <w:rPr>
          <w:rFonts w:cs="Arial"/>
          <w:rtl/>
        </w:rPr>
        <w:t>אם הסופר שלוחו ליתן לה הגט</w:t>
      </w:r>
      <w:r>
        <w:rPr>
          <w:rFonts w:cs="Arial" w:hint="cs"/>
          <w:rtl/>
        </w:rPr>
        <w:t>,</w:t>
      </w:r>
      <w:r w:rsidRPr="00B50B71">
        <w:rPr>
          <w:rFonts w:cs="Arial"/>
          <w:rtl/>
        </w:rPr>
        <w:t xml:space="preserve"> וכותב בחנם</w:t>
      </w:r>
      <w:r>
        <w:rPr>
          <w:rFonts w:cs="Arial" w:hint="cs"/>
          <w:rtl/>
        </w:rPr>
        <w:t>,</w:t>
      </w:r>
      <w:r w:rsidRPr="00B50B71">
        <w:rPr>
          <w:rFonts w:cs="Arial"/>
          <w:rtl/>
        </w:rPr>
        <w:t xml:space="preserve"> אז לדעת הרמ"ה כשר אפי' לא הקנה להבעל מטעם הנ"ל</w:t>
      </w:r>
      <w:r>
        <w:rPr>
          <w:rFonts w:cs="Arial" w:hint="cs"/>
          <w:sz w:val="16"/>
          <w:szCs w:val="16"/>
          <w:rtl/>
        </w:rPr>
        <w:t xml:space="preserve"> (</w:t>
      </w:r>
      <w:r w:rsidRPr="00B50B71">
        <w:rPr>
          <w:rFonts w:cs="Arial"/>
          <w:sz w:val="16"/>
          <w:szCs w:val="16"/>
          <w:rtl/>
        </w:rPr>
        <w:t>דשאני כשצוה לכתוב וליתן אז הוא שלוחו למסור הגט ליד האשה ומה שנתן לידה הוא נותן בשליחתו אז הוי כאלו הקנה להבעל</w:t>
      </w:r>
      <w:r>
        <w:rPr>
          <w:rFonts w:cs="Arial" w:hint="cs"/>
          <w:sz w:val="16"/>
          <w:szCs w:val="16"/>
          <w:rtl/>
        </w:rPr>
        <w:t>)</w:t>
      </w:r>
      <w:r>
        <w:rPr>
          <w:rFonts w:cs="Arial" w:hint="cs"/>
          <w:rtl/>
        </w:rPr>
        <w:t>.</w:t>
      </w:r>
      <w:r w:rsidRPr="00B50B71">
        <w:rPr>
          <w:rFonts w:cs="Arial"/>
          <w:rtl/>
        </w:rPr>
        <w:t xml:space="preserve"> אבל להרמב"ן דלא ס"ל סברא זו אלא טעמו הוא דנקנה להבעל במעות</w:t>
      </w:r>
      <w:r>
        <w:rPr>
          <w:rFonts w:cs="Arial" w:hint="cs"/>
          <w:rtl/>
        </w:rPr>
        <w:t>,</w:t>
      </w:r>
      <w:r w:rsidRPr="00B50B71">
        <w:rPr>
          <w:rFonts w:cs="Arial"/>
          <w:rtl/>
        </w:rPr>
        <w:t xml:space="preserve"> א</w:t>
      </w:r>
      <w:r>
        <w:rPr>
          <w:rFonts w:cs="Arial" w:hint="cs"/>
          <w:rtl/>
        </w:rPr>
        <w:t>ם כן,</w:t>
      </w:r>
      <w:r w:rsidRPr="00B50B71">
        <w:rPr>
          <w:rFonts w:cs="Arial"/>
          <w:rtl/>
        </w:rPr>
        <w:t xml:space="preserve"> אם כותב בחנם </w:t>
      </w:r>
      <w:r w:rsidR="00A82951">
        <w:rPr>
          <w:rFonts w:cs="Arial" w:hint="cs"/>
          <w:rtl/>
        </w:rPr>
        <w:t>-</w:t>
      </w:r>
      <w:r>
        <w:rPr>
          <w:rFonts w:cs="Arial" w:hint="cs"/>
          <w:rtl/>
        </w:rPr>
        <w:t xml:space="preserve"> </w:t>
      </w:r>
      <w:r w:rsidRPr="00B50B71">
        <w:rPr>
          <w:rFonts w:cs="Arial"/>
          <w:rtl/>
        </w:rPr>
        <w:t>פסול אם לא הקנה להבעל</w:t>
      </w:r>
      <w:r>
        <w:rPr>
          <w:rFonts w:cs="Arial" w:hint="cs"/>
          <w:rtl/>
        </w:rPr>
        <w:t>.</w:t>
      </w:r>
    </w:p>
    <w:p w14:paraId="3D9F5424" w14:textId="15CAD77E" w:rsidR="00560CC3" w:rsidRPr="00560CC3" w:rsidRDefault="00560CC3" w:rsidP="00560CC3">
      <w:pPr>
        <w:rPr>
          <w:rFonts w:cs="Arial"/>
        </w:rPr>
      </w:pPr>
      <w:r w:rsidRPr="00560CC3">
        <w:rPr>
          <w:rFonts w:cs="Arial" w:hint="cs"/>
          <w:u w:val="single"/>
          <w:rtl/>
        </w:rPr>
        <w:t>גט שנכתב על דבר של הפקר:</w:t>
      </w:r>
      <w:r w:rsidR="00DE0C3E" w:rsidRPr="00560CC3">
        <w:rPr>
          <w:rFonts w:cs="Arial" w:hint="cs"/>
          <w:sz w:val="16"/>
          <w:szCs w:val="16"/>
          <w:rtl/>
        </w:rPr>
        <w:t xml:space="preserve"> </w:t>
      </w:r>
      <w:r w:rsidRPr="00560CC3">
        <w:rPr>
          <w:rFonts w:cs="Arial" w:hint="cs"/>
          <w:sz w:val="16"/>
          <w:szCs w:val="16"/>
          <w:rtl/>
        </w:rPr>
        <w:t>(פת"ש סק"א)</w:t>
      </w:r>
      <w:r w:rsidR="0054240D" w:rsidRPr="00560CC3">
        <w:rPr>
          <w:rFonts w:cs="Arial"/>
          <w:rtl/>
        </w:rPr>
        <w:t xml:space="preserve"> </w:t>
      </w:r>
    </w:p>
    <w:p w14:paraId="68C2C528" w14:textId="4F60A68E" w:rsidR="00A80CC3" w:rsidRDefault="0054240D" w:rsidP="00A65C5F">
      <w:pPr>
        <w:pStyle w:val="ab"/>
        <w:numPr>
          <w:ilvl w:val="0"/>
          <w:numId w:val="24"/>
        </w:numPr>
        <w:rPr>
          <w:rFonts w:cs="Arial"/>
        </w:rPr>
      </w:pPr>
      <w:r w:rsidRPr="00560CC3">
        <w:rPr>
          <w:rFonts w:cs="Arial"/>
          <w:rtl/>
        </w:rPr>
        <w:t xml:space="preserve">ברית אברהם </w:t>
      </w:r>
      <w:r w:rsidR="00560CC3" w:rsidRPr="00560CC3">
        <w:rPr>
          <w:rFonts w:cs="Arial" w:hint="cs"/>
          <w:sz w:val="16"/>
          <w:szCs w:val="16"/>
          <w:rtl/>
        </w:rPr>
        <w:t>(</w:t>
      </w:r>
      <w:r w:rsidRPr="00560CC3">
        <w:rPr>
          <w:rFonts w:cs="Arial"/>
          <w:sz w:val="16"/>
          <w:szCs w:val="16"/>
          <w:rtl/>
        </w:rPr>
        <w:t>חא"ח ס"ס כ"ו</w:t>
      </w:r>
      <w:r w:rsidR="00560CC3">
        <w:rPr>
          <w:rFonts w:cs="Arial" w:hint="cs"/>
          <w:sz w:val="16"/>
          <w:szCs w:val="16"/>
          <w:rtl/>
        </w:rPr>
        <w:t>,</w:t>
      </w:r>
      <w:r w:rsidRPr="00560CC3">
        <w:rPr>
          <w:rFonts w:cs="Arial"/>
          <w:sz w:val="16"/>
          <w:szCs w:val="16"/>
          <w:rtl/>
        </w:rPr>
        <w:t xml:space="preserve"> ובסי</w:t>
      </w:r>
      <w:r w:rsidR="00560CC3">
        <w:rPr>
          <w:rFonts w:cs="Arial" w:hint="cs"/>
          <w:sz w:val="16"/>
          <w:szCs w:val="16"/>
          <w:rtl/>
        </w:rPr>
        <w:t>'</w:t>
      </w:r>
      <w:r w:rsidRPr="00560CC3">
        <w:rPr>
          <w:rFonts w:cs="Arial"/>
          <w:sz w:val="16"/>
          <w:szCs w:val="16"/>
          <w:rtl/>
        </w:rPr>
        <w:t xml:space="preserve"> כז אות י"א</w:t>
      </w:r>
      <w:r w:rsidR="00560CC3">
        <w:rPr>
          <w:rFonts w:cs="Arial" w:hint="cs"/>
          <w:sz w:val="16"/>
          <w:szCs w:val="16"/>
          <w:rtl/>
        </w:rPr>
        <w:t>)</w:t>
      </w:r>
      <w:r w:rsidR="00A82951">
        <w:rPr>
          <w:rFonts w:cs="Arial" w:hint="cs"/>
          <w:rtl/>
        </w:rPr>
        <w:t>-</w:t>
      </w:r>
      <w:r w:rsidRPr="00560CC3">
        <w:rPr>
          <w:rFonts w:cs="Arial"/>
          <w:rtl/>
        </w:rPr>
        <w:t xml:space="preserve"> אם כ' הגט על דבר של הפקר ולא זכה בו הבעל</w:t>
      </w:r>
      <w:r w:rsidR="00560CC3">
        <w:rPr>
          <w:rFonts w:cs="Arial" w:hint="cs"/>
          <w:rtl/>
        </w:rPr>
        <w:t xml:space="preserve">... </w:t>
      </w:r>
      <w:r w:rsidRPr="00560CC3">
        <w:rPr>
          <w:rFonts w:cs="Arial"/>
          <w:rtl/>
        </w:rPr>
        <w:t xml:space="preserve">לפ"ד </w:t>
      </w:r>
      <w:r w:rsidR="003C6275">
        <w:rPr>
          <w:rFonts w:cs="Arial" w:hint="cs"/>
          <w:rtl/>
        </w:rPr>
        <w:t xml:space="preserve">הקונדרס </w:t>
      </w:r>
      <w:r w:rsidRPr="00560CC3">
        <w:rPr>
          <w:rFonts w:cs="Arial"/>
          <w:rtl/>
        </w:rPr>
        <w:t xml:space="preserve">שהובא בב"י סי' זה י"ל דאין קפידא רק שלא יהי' של אחרים אבל כל היכא דליכא בעלים אחרים רק של הפקר הוי שפיר </w:t>
      </w:r>
      <w:r w:rsidR="00B53B2D">
        <w:rPr>
          <w:rFonts w:cs="Arial" w:hint="cs"/>
          <w:rtl/>
        </w:rPr>
        <w:t>"</w:t>
      </w:r>
      <w:r w:rsidRPr="00560CC3">
        <w:rPr>
          <w:rFonts w:cs="Arial"/>
          <w:rtl/>
        </w:rPr>
        <w:t>ונתן</w:t>
      </w:r>
      <w:r w:rsidR="00B53B2D">
        <w:rPr>
          <w:rFonts w:cs="Arial" w:hint="cs"/>
          <w:rtl/>
        </w:rPr>
        <w:t>"</w:t>
      </w:r>
      <w:r w:rsidRPr="00560CC3">
        <w:rPr>
          <w:rFonts w:cs="Arial"/>
          <w:rtl/>
        </w:rPr>
        <w:t xml:space="preserve"> אף שאינו שלו</w:t>
      </w:r>
      <w:r w:rsidR="004B236A">
        <w:rPr>
          <w:rFonts w:cs="Arial" w:hint="cs"/>
          <w:rtl/>
        </w:rPr>
        <w:t>.</w:t>
      </w:r>
      <w:r w:rsidRPr="00560CC3">
        <w:rPr>
          <w:rFonts w:cs="Arial"/>
          <w:rtl/>
        </w:rPr>
        <w:t xml:space="preserve"> אך לפ"ד הב"י שחולק על הקונדרס</w:t>
      </w:r>
      <w:r w:rsidR="00B53B2D">
        <w:rPr>
          <w:rFonts w:cs="Arial" w:hint="cs"/>
          <w:rtl/>
        </w:rPr>
        <w:t>,</w:t>
      </w:r>
      <w:r w:rsidRPr="00560CC3">
        <w:rPr>
          <w:rFonts w:cs="Arial"/>
          <w:rtl/>
        </w:rPr>
        <w:t xml:space="preserve"> בעינן שיהא שלו ממש ולא מהני על של הפקר</w:t>
      </w:r>
      <w:r w:rsidR="004B236A">
        <w:rPr>
          <w:rFonts w:cs="Arial" w:hint="cs"/>
          <w:rtl/>
        </w:rPr>
        <w:t>.</w:t>
      </w:r>
      <w:r w:rsidRPr="00560CC3">
        <w:rPr>
          <w:rFonts w:cs="Arial"/>
          <w:rtl/>
        </w:rPr>
        <w:t xml:space="preserve"> ולדינא העיקר כהב"י</w:t>
      </w:r>
      <w:r w:rsidR="004B236A">
        <w:rPr>
          <w:rFonts w:cs="Arial" w:hint="cs"/>
          <w:rtl/>
        </w:rPr>
        <w:t>.</w:t>
      </w:r>
    </w:p>
    <w:p w14:paraId="45022BF1" w14:textId="3D7F138E" w:rsidR="00A80CC3" w:rsidRPr="00A80CC3" w:rsidRDefault="00F36F01" w:rsidP="00A80CC3">
      <w:pPr>
        <w:rPr>
          <w:rFonts w:cs="Arial"/>
        </w:rPr>
      </w:pPr>
      <w:r w:rsidRPr="00F36F01">
        <w:rPr>
          <w:rFonts w:cs="Arial"/>
          <w:u w:val="single"/>
          <w:rtl/>
        </w:rPr>
        <w:t xml:space="preserve">סופר </w:t>
      </w:r>
      <w:r>
        <w:rPr>
          <w:rFonts w:cs="Arial" w:hint="cs"/>
          <w:u w:val="single"/>
          <w:rtl/>
        </w:rPr>
        <w:t>ש</w:t>
      </w:r>
      <w:r w:rsidRPr="00F36F01">
        <w:rPr>
          <w:rFonts w:cs="Arial" w:hint="cs"/>
          <w:u w:val="single"/>
          <w:rtl/>
        </w:rPr>
        <w:t xml:space="preserve">הקנה </w:t>
      </w:r>
      <w:r w:rsidRPr="00F36F01">
        <w:rPr>
          <w:rFonts w:cs="Arial"/>
          <w:u w:val="single"/>
          <w:rtl/>
        </w:rPr>
        <w:t>קלף ודיו לבעל כ</w:t>
      </w:r>
      <w:r w:rsidRPr="00F36F01">
        <w:rPr>
          <w:rFonts w:cs="Arial" w:hint="cs"/>
          <w:u w:val="single"/>
          <w:rtl/>
        </w:rPr>
        <w:t>ראוי,</w:t>
      </w:r>
      <w:r w:rsidRPr="00F36F01">
        <w:rPr>
          <w:rFonts w:cs="Arial"/>
          <w:u w:val="single"/>
          <w:rtl/>
        </w:rPr>
        <w:t xml:space="preserve"> ואח"ז האשה</w:t>
      </w:r>
      <w:r w:rsidRPr="00F36F01">
        <w:rPr>
          <w:rFonts w:cs="Arial" w:hint="cs"/>
          <w:u w:val="single"/>
          <w:rtl/>
        </w:rPr>
        <w:t xml:space="preserve"> לא רוצה</w:t>
      </w:r>
      <w:r w:rsidRPr="00F36F01">
        <w:rPr>
          <w:rFonts w:cs="Arial"/>
          <w:u w:val="single"/>
          <w:rtl/>
        </w:rPr>
        <w:t xml:space="preserve"> לשלם לסופר</w:t>
      </w:r>
      <w:r w:rsidRPr="00F36F01">
        <w:rPr>
          <w:rFonts w:cs="Arial" w:hint="cs"/>
          <w:u w:val="single"/>
          <w:rtl/>
        </w:rPr>
        <w:t xml:space="preserve"> </w:t>
      </w:r>
      <w:r w:rsidR="00A82951">
        <w:rPr>
          <w:rFonts w:cs="Arial" w:hint="cs"/>
          <w:u w:val="single"/>
          <w:rtl/>
        </w:rPr>
        <w:t>-</w:t>
      </w:r>
      <w:r w:rsidRPr="00F36F01">
        <w:rPr>
          <w:rFonts w:cs="Arial"/>
          <w:u w:val="single"/>
          <w:rtl/>
        </w:rPr>
        <w:t xml:space="preserve"> </w:t>
      </w:r>
      <w:r w:rsidRPr="00F36F01">
        <w:rPr>
          <w:rFonts w:cs="Arial" w:hint="cs"/>
          <w:u w:val="single"/>
          <w:rtl/>
        </w:rPr>
        <w:t>האם</w:t>
      </w:r>
      <w:r w:rsidRPr="00F36F01">
        <w:rPr>
          <w:rFonts w:cs="Arial"/>
          <w:u w:val="single"/>
          <w:rtl/>
        </w:rPr>
        <w:t xml:space="preserve"> הסופר </w:t>
      </w:r>
      <w:r>
        <w:rPr>
          <w:rFonts w:cs="Arial" w:hint="cs"/>
          <w:u w:val="single"/>
          <w:rtl/>
        </w:rPr>
        <w:t xml:space="preserve">יכול </w:t>
      </w:r>
      <w:r w:rsidRPr="00F36F01">
        <w:rPr>
          <w:rFonts w:cs="Arial"/>
          <w:u w:val="single"/>
          <w:rtl/>
        </w:rPr>
        <w:t xml:space="preserve">לחזור </w:t>
      </w:r>
      <w:r>
        <w:rPr>
          <w:rFonts w:cs="Arial" w:hint="cs"/>
          <w:u w:val="single"/>
          <w:rtl/>
        </w:rPr>
        <w:t>בו</w:t>
      </w:r>
      <w:r w:rsidRPr="00F36F01">
        <w:rPr>
          <w:rFonts w:cs="Arial" w:hint="cs"/>
          <w:u w:val="single"/>
          <w:rtl/>
        </w:rPr>
        <w:t>:</w:t>
      </w:r>
      <w:r w:rsidRPr="00A80CC3">
        <w:rPr>
          <w:rFonts w:cs="Arial"/>
          <w:rtl/>
        </w:rPr>
        <w:t xml:space="preserve"> </w:t>
      </w:r>
      <w:r w:rsidR="00A80CC3" w:rsidRPr="00F36F01">
        <w:rPr>
          <w:rFonts w:cs="Arial" w:hint="cs"/>
          <w:sz w:val="16"/>
          <w:szCs w:val="16"/>
          <w:rtl/>
        </w:rPr>
        <w:t>(פת"ש סק"</w:t>
      </w:r>
      <w:r w:rsidR="0054240D" w:rsidRPr="00F36F01">
        <w:rPr>
          <w:rFonts w:cs="Arial"/>
          <w:sz w:val="16"/>
          <w:szCs w:val="16"/>
          <w:rtl/>
        </w:rPr>
        <w:t>ד)</w:t>
      </w:r>
      <w:r w:rsidR="0054240D" w:rsidRPr="00A80CC3">
        <w:rPr>
          <w:rFonts w:cs="Arial"/>
          <w:rtl/>
        </w:rPr>
        <w:t xml:space="preserve"> </w:t>
      </w:r>
    </w:p>
    <w:p w14:paraId="607D066B" w14:textId="377FF58F" w:rsidR="000E2A40" w:rsidRPr="006C45D2" w:rsidRDefault="0054240D" w:rsidP="00A65C5F">
      <w:pPr>
        <w:pStyle w:val="ab"/>
        <w:numPr>
          <w:ilvl w:val="0"/>
          <w:numId w:val="24"/>
        </w:numPr>
        <w:rPr>
          <w:rFonts w:cs="Arial"/>
          <w:rtl/>
        </w:rPr>
      </w:pPr>
      <w:r w:rsidRPr="00A80CC3">
        <w:rPr>
          <w:rFonts w:cs="Arial"/>
          <w:rtl/>
        </w:rPr>
        <w:t xml:space="preserve">ישועות יעקב </w:t>
      </w:r>
      <w:r w:rsidR="00F36F01" w:rsidRPr="00F36F01">
        <w:rPr>
          <w:rFonts w:cs="Arial" w:hint="cs"/>
          <w:sz w:val="16"/>
          <w:szCs w:val="16"/>
          <w:rtl/>
        </w:rPr>
        <w:t>(</w:t>
      </w:r>
      <w:r w:rsidRPr="00F36F01">
        <w:rPr>
          <w:rFonts w:cs="Arial"/>
          <w:sz w:val="16"/>
          <w:szCs w:val="16"/>
          <w:rtl/>
        </w:rPr>
        <w:t>סק"ד</w:t>
      </w:r>
      <w:r w:rsidR="00F36F01">
        <w:rPr>
          <w:rFonts w:cs="Arial" w:hint="cs"/>
          <w:sz w:val="16"/>
          <w:szCs w:val="16"/>
          <w:rtl/>
        </w:rPr>
        <w:t>)</w:t>
      </w:r>
      <w:r w:rsidR="00A82951">
        <w:rPr>
          <w:rFonts w:cs="Arial" w:hint="cs"/>
          <w:rtl/>
        </w:rPr>
        <w:t>-</w:t>
      </w:r>
      <w:r w:rsidR="00F36F01">
        <w:rPr>
          <w:rFonts w:cs="Arial" w:hint="cs"/>
          <w:rtl/>
        </w:rPr>
        <w:t xml:space="preserve"> </w:t>
      </w:r>
      <w:r w:rsidRPr="00A80CC3">
        <w:rPr>
          <w:rFonts w:cs="Arial"/>
          <w:rtl/>
        </w:rPr>
        <w:t>הנה יש לי מקום עיון היכא שהקנה הסופר הקלף והדיו לבעל כדרך ואח"ז אין רצון האשה לשלם להסופר שכרו</w:t>
      </w:r>
      <w:r w:rsidR="00F36F01">
        <w:rPr>
          <w:rFonts w:cs="Arial" w:hint="cs"/>
          <w:rtl/>
        </w:rPr>
        <w:t>,</w:t>
      </w:r>
      <w:r w:rsidRPr="00A80CC3">
        <w:rPr>
          <w:rFonts w:cs="Arial"/>
          <w:rtl/>
        </w:rPr>
        <w:t xml:space="preserve"> אי יכול הסופר לחזור מהקנאה זו</w:t>
      </w:r>
      <w:r w:rsidR="00F36F01">
        <w:rPr>
          <w:rFonts w:cs="Arial" w:hint="cs"/>
          <w:rtl/>
        </w:rPr>
        <w:t>,</w:t>
      </w:r>
      <w:r w:rsidRPr="00A80CC3">
        <w:rPr>
          <w:rFonts w:cs="Arial"/>
          <w:rtl/>
        </w:rPr>
        <w:t xml:space="preserve"> או נימא כיון דלא התנה ע"ז והקנה בסתם הקלף והדיו קנויין לו אף שלא נתנה לו שכר כל עיקר</w:t>
      </w:r>
      <w:r w:rsidR="00F36F01">
        <w:rPr>
          <w:rFonts w:cs="Arial" w:hint="cs"/>
          <w:rtl/>
        </w:rPr>
        <w:t>.</w:t>
      </w:r>
      <w:r w:rsidRPr="00A80CC3">
        <w:rPr>
          <w:rFonts w:cs="Arial"/>
          <w:rtl/>
        </w:rPr>
        <w:t xml:space="preserve"> ונראה לפע"ד ברור דיכול הסופר לחזור בו</w:t>
      </w:r>
      <w:r w:rsidR="00F36F01">
        <w:rPr>
          <w:rFonts w:cs="Arial" w:hint="cs"/>
          <w:rtl/>
        </w:rPr>
        <w:t>.</w:t>
      </w:r>
      <w:r w:rsidRPr="00A80CC3">
        <w:rPr>
          <w:rFonts w:cs="Arial"/>
          <w:rtl/>
        </w:rPr>
        <w:t xml:space="preserve"> והדבר דומה למברחת ולנותן מתנה ושמע שמת בנו במדה"י דאינו צריך תנאי</w:t>
      </w:r>
      <w:r w:rsidR="00F36F01">
        <w:rPr>
          <w:rFonts w:cs="Arial" w:hint="cs"/>
          <w:rtl/>
        </w:rPr>
        <w:t>,</w:t>
      </w:r>
      <w:r w:rsidRPr="00A80CC3">
        <w:rPr>
          <w:rFonts w:cs="Arial"/>
          <w:rtl/>
        </w:rPr>
        <w:t xml:space="preserve"> דסתמא דמלתא על דעת כן נותן</w:t>
      </w:r>
      <w:r w:rsidR="004F14FB">
        <w:rPr>
          <w:rFonts w:cs="Arial" w:hint="cs"/>
          <w:rtl/>
        </w:rPr>
        <w:t>,</w:t>
      </w:r>
      <w:r w:rsidRPr="00A80CC3">
        <w:rPr>
          <w:rFonts w:cs="Arial"/>
          <w:rtl/>
        </w:rPr>
        <w:t xml:space="preserve"> וה"ה בזה כו'</w:t>
      </w:r>
      <w:r w:rsidR="004F14FB">
        <w:rPr>
          <w:rFonts w:cs="Arial" w:hint="cs"/>
          <w:rtl/>
        </w:rPr>
        <w:t>.</w:t>
      </w:r>
      <w:r w:rsidRPr="00A80CC3">
        <w:rPr>
          <w:rFonts w:cs="Arial"/>
          <w:rtl/>
        </w:rPr>
        <w:t xml:space="preserve"> ובזה נתיישב על נכון הסוגיא פ"ב דגיטין דאמר יכילנא למיפסל כולהו גיטי דעלמא כו'</w:t>
      </w:r>
      <w:r w:rsidR="00F36F01">
        <w:rPr>
          <w:rFonts w:cs="Arial" w:hint="cs"/>
          <w:rtl/>
        </w:rPr>
        <w:t>.</w:t>
      </w:r>
      <w:r w:rsidRPr="00A80CC3">
        <w:rPr>
          <w:rFonts w:cs="Arial"/>
          <w:rtl/>
        </w:rPr>
        <w:t xml:space="preserve"> </w:t>
      </w:r>
    </w:p>
    <w:p w14:paraId="72FC5F17" w14:textId="77777777" w:rsidR="002676AC" w:rsidRPr="00486C31" w:rsidRDefault="002676AC" w:rsidP="0054240D">
      <w:pPr>
        <w:rPr>
          <w:rFonts w:cs="Arial"/>
          <w:rtl/>
        </w:rPr>
      </w:pPr>
    </w:p>
    <w:p w14:paraId="7AF558D5" w14:textId="0AA5C08C" w:rsidR="00486C31" w:rsidRDefault="00486C31" w:rsidP="00786DE6">
      <w:pPr>
        <w:pStyle w:val="2"/>
        <w:rPr>
          <w:rtl/>
        </w:rPr>
      </w:pPr>
      <w:r w:rsidRPr="00486C31">
        <w:rPr>
          <w:rtl/>
        </w:rPr>
        <w:t>סעיף ב</w:t>
      </w:r>
      <w:r w:rsidR="009209E2">
        <w:rPr>
          <w:rFonts w:hint="cs"/>
          <w:rtl/>
        </w:rPr>
        <w:t>:</w:t>
      </w:r>
      <w:r w:rsidR="0054240D">
        <w:rPr>
          <w:rFonts w:hint="cs"/>
          <w:rtl/>
        </w:rPr>
        <w:t xml:space="preserve"> גזל נייר וכתב בו גט.</w:t>
      </w:r>
    </w:p>
    <w:p w14:paraId="3472FDAA" w14:textId="7E56CDBF" w:rsidR="00121280" w:rsidRPr="0054240D" w:rsidRDefault="0054240D" w:rsidP="00121280">
      <w:pPr>
        <w:rPr>
          <w:u w:val="single"/>
          <w:rtl/>
        </w:rPr>
      </w:pPr>
      <w:r w:rsidRPr="0054240D">
        <w:rPr>
          <w:rFonts w:hint="cs"/>
          <w:u w:val="single"/>
          <w:rtl/>
        </w:rPr>
        <w:t>גזל נייר וכתב בו גט:</w:t>
      </w:r>
    </w:p>
    <w:p w14:paraId="0A3D8950" w14:textId="3164C20C" w:rsidR="0054240D" w:rsidRPr="0054240D" w:rsidRDefault="00B50B71" w:rsidP="00A65C5F">
      <w:pPr>
        <w:pStyle w:val="ab"/>
        <w:numPr>
          <w:ilvl w:val="0"/>
          <w:numId w:val="24"/>
        </w:numPr>
      </w:pPr>
      <w:r w:rsidRPr="00201037">
        <w:rPr>
          <w:rFonts w:cs="Arial"/>
          <w:rtl/>
        </w:rPr>
        <w:t>רמ"ה</w:t>
      </w:r>
      <w:r>
        <w:rPr>
          <w:rFonts w:cs="Arial" w:hint="cs"/>
          <w:sz w:val="16"/>
          <w:szCs w:val="16"/>
          <w:rtl/>
        </w:rPr>
        <w:t xml:space="preserve"> (כ"כ הטור בשמו)</w:t>
      </w:r>
      <w:r w:rsidR="00A82951">
        <w:rPr>
          <w:rFonts w:cs="Arial" w:hint="cs"/>
          <w:rtl/>
        </w:rPr>
        <w:t>-</w:t>
      </w:r>
      <w:r w:rsidR="006E369D">
        <w:rPr>
          <w:rFonts w:cs="Arial" w:hint="cs"/>
          <w:rtl/>
        </w:rPr>
        <w:t xml:space="preserve"> </w:t>
      </w:r>
      <w:r w:rsidR="006E369D" w:rsidRPr="00201037">
        <w:rPr>
          <w:rFonts w:cs="Arial"/>
          <w:rtl/>
        </w:rPr>
        <w:t xml:space="preserve">ואי גזל נייר וכתב ביה גיטא ויהיב לה </w:t>
      </w:r>
      <w:r w:rsidR="00A82951">
        <w:rPr>
          <w:rFonts w:cs="Arial" w:hint="cs"/>
          <w:rtl/>
        </w:rPr>
        <w:t>-</w:t>
      </w:r>
      <w:r w:rsidR="0054240D">
        <w:rPr>
          <w:rFonts w:cs="Arial" w:hint="cs"/>
          <w:rtl/>
        </w:rPr>
        <w:t xml:space="preserve"> </w:t>
      </w:r>
      <w:r w:rsidR="006E369D" w:rsidRPr="00201037">
        <w:rPr>
          <w:rFonts w:cs="Arial"/>
          <w:rtl/>
        </w:rPr>
        <w:t>כשר אפילו נתנו לה קודם יאוש</w:t>
      </w:r>
      <w:r w:rsidR="0054240D">
        <w:rPr>
          <w:rFonts w:cs="Arial" w:hint="cs"/>
          <w:rtl/>
        </w:rPr>
        <w:t>,</w:t>
      </w:r>
      <w:r w:rsidR="006E369D" w:rsidRPr="00201037">
        <w:rPr>
          <w:rFonts w:cs="Arial"/>
          <w:rtl/>
        </w:rPr>
        <w:t xml:space="preserve"> שהרי אינה חייבת להחזירו לבעלים שיש כאן שינוי שם ושינוי מעשה</w:t>
      </w:r>
      <w:r w:rsidR="002676AC">
        <w:rPr>
          <w:rStyle w:val="a7"/>
          <w:rFonts w:cs="Arial"/>
          <w:rtl/>
        </w:rPr>
        <w:footnoteReference w:id="117"/>
      </w:r>
      <w:r w:rsidR="0054240D">
        <w:rPr>
          <w:rFonts w:cs="Arial" w:hint="cs"/>
          <w:sz w:val="16"/>
          <w:szCs w:val="16"/>
          <w:rtl/>
        </w:rPr>
        <w:t xml:space="preserve"> (ל' הטור בשמו)</w:t>
      </w:r>
      <w:r w:rsidR="006E369D">
        <w:rPr>
          <w:rFonts w:cs="Arial" w:hint="cs"/>
          <w:rtl/>
        </w:rPr>
        <w:t>.</w:t>
      </w:r>
      <w:r w:rsidR="006E369D" w:rsidRPr="00201037">
        <w:rPr>
          <w:rFonts w:cs="Arial"/>
          <w:rtl/>
        </w:rPr>
        <w:t xml:space="preserve"> </w:t>
      </w:r>
      <w:r w:rsidR="0054240D" w:rsidRPr="00682F0E">
        <w:rPr>
          <w:rFonts w:hint="cs"/>
          <w:color w:val="E36C0A" w:themeColor="accent6" w:themeShade="BF"/>
          <w:rtl/>
        </w:rPr>
        <w:t>(וכ"פ בשו"ע)</w:t>
      </w:r>
    </w:p>
    <w:p w14:paraId="49BD3292" w14:textId="55C19439" w:rsidR="0054240D" w:rsidRPr="0054240D" w:rsidRDefault="0054240D" w:rsidP="0054240D">
      <w:pPr>
        <w:ind w:left="360"/>
        <w:rPr>
          <w:u w:val="dotted"/>
        </w:rPr>
      </w:pPr>
      <w:r w:rsidRPr="0054240D">
        <w:rPr>
          <w:rFonts w:hint="cs"/>
          <w:u w:val="dotted"/>
          <w:rtl/>
        </w:rPr>
        <w:t xml:space="preserve">ומה הדין אם </w:t>
      </w:r>
      <w:r>
        <w:rPr>
          <w:rFonts w:hint="cs"/>
          <w:u w:val="dotted"/>
          <w:rtl/>
        </w:rPr>
        <w:t xml:space="preserve">כבר </w:t>
      </w:r>
      <w:r w:rsidRPr="0054240D">
        <w:rPr>
          <w:rFonts w:hint="cs"/>
          <w:u w:val="dotted"/>
          <w:rtl/>
        </w:rPr>
        <w:t xml:space="preserve">כתב הסופר את הגט </w:t>
      </w:r>
      <w:r>
        <w:rPr>
          <w:rFonts w:hint="cs"/>
          <w:u w:val="dotted"/>
          <w:rtl/>
        </w:rPr>
        <w:t xml:space="preserve">על הנייר, </w:t>
      </w:r>
      <w:r w:rsidRPr="0054240D">
        <w:rPr>
          <w:rFonts w:hint="cs"/>
          <w:u w:val="dotted"/>
          <w:rtl/>
        </w:rPr>
        <w:t>ו</w:t>
      </w:r>
      <w:r>
        <w:rPr>
          <w:rFonts w:hint="cs"/>
          <w:u w:val="dotted"/>
          <w:rtl/>
        </w:rPr>
        <w:t xml:space="preserve">רק </w:t>
      </w:r>
      <w:r w:rsidRPr="0054240D">
        <w:rPr>
          <w:rFonts w:hint="cs"/>
          <w:u w:val="dotted"/>
          <w:rtl/>
        </w:rPr>
        <w:t>אז גזל הבעל את הגט ממנו וגירש בו את אשתו:</w:t>
      </w:r>
    </w:p>
    <w:p w14:paraId="47DA00F9" w14:textId="361A6010" w:rsidR="009209E2" w:rsidRPr="009209E2" w:rsidRDefault="0054240D" w:rsidP="00A65C5F">
      <w:pPr>
        <w:pStyle w:val="ab"/>
        <w:numPr>
          <w:ilvl w:val="0"/>
          <w:numId w:val="24"/>
        </w:numPr>
        <w:rPr>
          <w:rtl/>
        </w:rPr>
      </w:pPr>
      <w:r>
        <w:rPr>
          <w:rFonts w:cs="Arial" w:hint="cs"/>
          <w:rtl/>
        </w:rPr>
        <w:t>ב"י</w:t>
      </w:r>
      <w:r w:rsidR="00A82951">
        <w:rPr>
          <w:rFonts w:cs="Arial" w:hint="cs"/>
          <w:rtl/>
        </w:rPr>
        <w:t>-</w:t>
      </w:r>
      <w:r>
        <w:rPr>
          <w:rFonts w:cs="Arial" w:hint="cs"/>
          <w:rtl/>
        </w:rPr>
        <w:t xml:space="preserve"> </w:t>
      </w:r>
      <w:r w:rsidR="00BA15E7" w:rsidRPr="0054240D">
        <w:rPr>
          <w:rFonts w:cs="Arial"/>
          <w:rtl/>
        </w:rPr>
        <w:t>נראה דדוקא בגזל נייר מכשיר הרמ"ה משום דאיכא שינוי השם דמעיקרא נייר והשתא גט</w:t>
      </w:r>
      <w:r w:rsidR="00105F63">
        <w:rPr>
          <w:rFonts w:cs="Arial" w:hint="cs"/>
          <w:rtl/>
        </w:rPr>
        <w:t>,</w:t>
      </w:r>
      <w:r w:rsidR="00BA15E7" w:rsidRPr="0054240D">
        <w:rPr>
          <w:rFonts w:cs="Arial"/>
          <w:rtl/>
        </w:rPr>
        <w:t xml:space="preserve"> ואיכא שינוי מעשה בגופו של נייר</w:t>
      </w:r>
      <w:r w:rsidR="004F14FB">
        <w:rPr>
          <w:rFonts w:cs="Arial" w:hint="cs"/>
          <w:rtl/>
        </w:rPr>
        <w:t>.</w:t>
      </w:r>
      <w:r w:rsidR="00BA15E7" w:rsidRPr="0054240D">
        <w:rPr>
          <w:rFonts w:cs="Arial"/>
          <w:rtl/>
        </w:rPr>
        <w:t xml:space="preserve"> אבל אם כתב לו הסופר גט ולא פרעו וגזלו ממנו וגירש בו </w:t>
      </w:r>
      <w:r w:rsidR="004F14FB">
        <w:rPr>
          <w:rFonts w:cs="Arial" w:hint="cs"/>
          <w:rtl/>
        </w:rPr>
        <w:t xml:space="preserve">- </w:t>
      </w:r>
      <w:r w:rsidR="00BA15E7" w:rsidRPr="0054240D">
        <w:rPr>
          <w:rFonts w:cs="Arial"/>
          <w:rtl/>
        </w:rPr>
        <w:t>לא</w:t>
      </w:r>
      <w:r w:rsidR="004F14FB">
        <w:rPr>
          <w:rFonts w:cs="Arial" w:hint="cs"/>
          <w:rtl/>
        </w:rPr>
        <w:t>,</w:t>
      </w:r>
      <w:r w:rsidR="00BA15E7" w:rsidRPr="0054240D">
        <w:rPr>
          <w:rFonts w:cs="Arial"/>
          <w:rtl/>
        </w:rPr>
        <w:t xml:space="preserve"> דבעינן ונתן וליכא דמידי דלאו דידיה הוא לא שייך ביה נתינה</w:t>
      </w:r>
      <w:r w:rsidR="00B50B71" w:rsidRPr="0054240D">
        <w:rPr>
          <w:rFonts w:cs="Arial" w:hint="cs"/>
          <w:rtl/>
        </w:rPr>
        <w:t>.</w:t>
      </w:r>
      <w:r>
        <w:rPr>
          <w:rFonts w:hint="cs"/>
          <w:rtl/>
        </w:rPr>
        <w:t xml:space="preserve"> </w:t>
      </w:r>
      <w:r w:rsidRPr="0054240D">
        <w:rPr>
          <w:rFonts w:hint="cs"/>
          <w:color w:val="00B0F0"/>
          <w:rtl/>
        </w:rPr>
        <w:t>(וכ"פ הרמ"א)</w:t>
      </w:r>
    </w:p>
    <w:p w14:paraId="11643BAF" w14:textId="77777777" w:rsidR="009209E2" w:rsidRPr="007B74F1" w:rsidRDefault="009209E2" w:rsidP="009209E2">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15DE5E8" w14:textId="3A4E4EF2" w:rsidR="00486C31" w:rsidRDefault="00486C31" w:rsidP="00486C31">
      <w:pPr>
        <w:rPr>
          <w:rFonts w:cs="Arial"/>
          <w:rtl/>
        </w:rPr>
      </w:pPr>
      <w:r w:rsidRPr="00486C31">
        <w:rPr>
          <w:rFonts w:cs="Arial"/>
          <w:rtl/>
        </w:rPr>
        <w:t xml:space="preserve">גזל נייר וכתב בו גט ונתנו לה, כשר, אפילו קודם יאוש. </w:t>
      </w:r>
      <w:r w:rsidRPr="00121280">
        <w:rPr>
          <w:rFonts w:cs="Arial"/>
          <w:sz w:val="18"/>
          <w:szCs w:val="18"/>
          <w:rtl/>
        </w:rPr>
        <w:t>הגה: אבל גזל גט, כגון שכתב לו הסופר גט וגזלו ממנו ולא פרע לו</w:t>
      </w:r>
      <w:r w:rsidR="002676AC">
        <w:rPr>
          <w:rStyle w:val="a7"/>
          <w:rFonts w:cs="Arial"/>
          <w:sz w:val="18"/>
          <w:szCs w:val="18"/>
          <w:rtl/>
        </w:rPr>
        <w:footnoteReference w:id="118"/>
      </w:r>
      <w:r w:rsidRPr="00121280">
        <w:rPr>
          <w:rFonts w:cs="Arial"/>
          <w:sz w:val="18"/>
          <w:szCs w:val="18"/>
          <w:rtl/>
        </w:rPr>
        <w:t>, וגירש בו, לא הוי מגורשת (ב"י).</w:t>
      </w:r>
      <w:r w:rsidRPr="00486C31">
        <w:rPr>
          <w:rFonts w:cs="Arial"/>
          <w:rtl/>
        </w:rPr>
        <w:t xml:space="preserve"> </w:t>
      </w:r>
    </w:p>
    <w:p w14:paraId="2DC85D3E" w14:textId="77777777" w:rsidR="00980124" w:rsidRDefault="00980124" w:rsidP="0054240D">
      <w:pPr>
        <w:rPr>
          <w:rFonts w:cs="Arial"/>
          <w:rtl/>
        </w:rPr>
      </w:pPr>
      <w:r w:rsidRPr="00980124">
        <w:rPr>
          <w:rFonts w:cs="Arial" w:hint="cs"/>
          <w:u w:val="single"/>
          <w:rtl/>
        </w:rPr>
        <w:lastRenderedPageBreak/>
        <w:t>בעל שגזל את הגט מהסופר ושילם לו:</w:t>
      </w:r>
      <w:r w:rsidRPr="00980124">
        <w:rPr>
          <w:rFonts w:cs="Arial" w:hint="cs"/>
          <w:sz w:val="16"/>
          <w:szCs w:val="16"/>
          <w:rtl/>
        </w:rPr>
        <w:t xml:space="preserve"> </w:t>
      </w:r>
      <w:r w:rsidR="0054240D" w:rsidRPr="00980124">
        <w:rPr>
          <w:rFonts w:cs="Arial"/>
          <w:sz w:val="16"/>
          <w:szCs w:val="16"/>
          <w:rtl/>
        </w:rPr>
        <w:t>(</w:t>
      </w:r>
      <w:r w:rsidRPr="00980124">
        <w:rPr>
          <w:rFonts w:cs="Arial" w:hint="cs"/>
          <w:sz w:val="16"/>
          <w:szCs w:val="16"/>
          <w:rtl/>
        </w:rPr>
        <w:t>פת"ש סק"</w:t>
      </w:r>
      <w:r w:rsidR="0054240D" w:rsidRPr="00980124">
        <w:rPr>
          <w:rFonts w:cs="Arial"/>
          <w:sz w:val="16"/>
          <w:szCs w:val="16"/>
          <w:rtl/>
        </w:rPr>
        <w:t>ז)</w:t>
      </w:r>
      <w:r w:rsidR="0054240D" w:rsidRPr="0054240D">
        <w:rPr>
          <w:rFonts w:cs="Arial"/>
          <w:rtl/>
        </w:rPr>
        <w:t xml:space="preserve"> </w:t>
      </w:r>
    </w:p>
    <w:p w14:paraId="7F707FDF" w14:textId="78F0CE4A" w:rsidR="00121280" w:rsidRPr="00562895" w:rsidRDefault="0054240D" w:rsidP="00A65C5F">
      <w:pPr>
        <w:pStyle w:val="ab"/>
        <w:numPr>
          <w:ilvl w:val="0"/>
          <w:numId w:val="24"/>
        </w:numPr>
        <w:rPr>
          <w:rFonts w:cs="Arial"/>
          <w:rtl/>
        </w:rPr>
      </w:pPr>
      <w:r w:rsidRPr="00980124">
        <w:rPr>
          <w:rFonts w:cs="Arial"/>
          <w:rtl/>
        </w:rPr>
        <w:t>בית מאיר</w:t>
      </w:r>
      <w:r w:rsidR="00980124">
        <w:rPr>
          <w:rFonts w:cs="Arial" w:hint="cs"/>
          <w:sz w:val="16"/>
          <w:szCs w:val="16"/>
          <w:rtl/>
        </w:rPr>
        <w:t xml:space="preserve"> (על דברי הרמ"א כאן)</w:t>
      </w:r>
      <w:r w:rsidR="00A82951">
        <w:rPr>
          <w:rFonts w:cs="Arial" w:hint="cs"/>
          <w:rtl/>
        </w:rPr>
        <w:t>-</w:t>
      </w:r>
      <w:r w:rsidRPr="00980124">
        <w:rPr>
          <w:rFonts w:cs="Arial"/>
          <w:rtl/>
        </w:rPr>
        <w:t xml:space="preserve"> אף אם פרע</w:t>
      </w:r>
      <w:r w:rsidR="001D5910" w:rsidRPr="00980124">
        <w:rPr>
          <w:rFonts w:cs="Arial" w:hint="cs"/>
          <w:rtl/>
        </w:rPr>
        <w:t>,</w:t>
      </w:r>
      <w:r w:rsidRPr="00980124">
        <w:rPr>
          <w:rFonts w:cs="Arial"/>
          <w:rtl/>
        </w:rPr>
        <w:t xml:space="preserve"> כל שגזלו שלא מרצונו לא הוה בכלל תלוהו וזבין דהוי זבינא</w:t>
      </w:r>
      <w:r w:rsidR="001D5910" w:rsidRPr="00980124">
        <w:rPr>
          <w:rFonts w:cs="Arial" w:hint="cs"/>
          <w:rtl/>
        </w:rPr>
        <w:t>,</w:t>
      </w:r>
      <w:r w:rsidRPr="00980124">
        <w:rPr>
          <w:rFonts w:cs="Arial"/>
          <w:rtl/>
        </w:rPr>
        <w:t xml:space="preserve"> דזה דוקא באומר רוצה אני מחמת הכפיה</w:t>
      </w:r>
      <w:r w:rsidR="001D5910" w:rsidRPr="00980124">
        <w:rPr>
          <w:rFonts w:cs="Arial" w:hint="cs"/>
          <w:rtl/>
        </w:rPr>
        <w:t>,</w:t>
      </w:r>
      <w:r w:rsidRPr="00980124">
        <w:rPr>
          <w:rFonts w:cs="Arial"/>
          <w:rtl/>
        </w:rPr>
        <w:t xml:space="preserve"> אבל בגזל מה בכך שפורע כיון שהנגזל צווח ואמר איני רוצה לא הוה זבינא ומחוייב ליהדר ולא קרינן ונתן</w:t>
      </w:r>
      <w:r w:rsidR="001D5910" w:rsidRPr="00980124">
        <w:rPr>
          <w:rFonts w:cs="Arial" w:hint="cs"/>
          <w:rtl/>
        </w:rPr>
        <w:t>.</w:t>
      </w:r>
      <w:r w:rsidRPr="00980124">
        <w:rPr>
          <w:rFonts w:cs="Arial"/>
          <w:rtl/>
        </w:rPr>
        <w:t xml:space="preserve"> ואף דקיי"ל שזה חמסן דרבנן כמבואר בח"מ סי' ל"ד</w:t>
      </w:r>
      <w:r w:rsidR="001D5910" w:rsidRPr="00980124">
        <w:rPr>
          <w:rFonts w:cs="Arial" w:hint="cs"/>
          <w:rtl/>
        </w:rPr>
        <w:t>,</w:t>
      </w:r>
      <w:r w:rsidRPr="00980124">
        <w:rPr>
          <w:rFonts w:cs="Arial"/>
          <w:rtl/>
        </w:rPr>
        <w:t xml:space="preserve"> היינו משום דחמסן דקרא לא איירי אלא בגזל בחנם</w:t>
      </w:r>
      <w:r w:rsidR="00403A76">
        <w:rPr>
          <w:rFonts w:cs="Arial" w:hint="cs"/>
          <w:rtl/>
        </w:rPr>
        <w:t>,</w:t>
      </w:r>
      <w:r w:rsidRPr="00980124">
        <w:rPr>
          <w:rFonts w:cs="Arial"/>
          <w:rtl/>
        </w:rPr>
        <w:t xml:space="preserve"> אבל ודאי נלע"ד דלא קנהו כיון דלא שייך בזה אגב אונסי</w:t>
      </w:r>
      <w:r w:rsidR="00403A76">
        <w:rPr>
          <w:rFonts w:cs="Arial" w:hint="cs"/>
          <w:rtl/>
        </w:rPr>
        <w:t>ה</w:t>
      </w:r>
      <w:r w:rsidRPr="00980124">
        <w:rPr>
          <w:rFonts w:cs="Arial"/>
          <w:rtl/>
        </w:rPr>
        <w:t xml:space="preserve"> גמר ומקנה שהרי לא ברצונו גזלו והוא בדין חזרה בעינ</w:t>
      </w:r>
      <w:r w:rsidR="00707FCF">
        <w:rPr>
          <w:rFonts w:cs="Arial" w:hint="cs"/>
          <w:rtl/>
        </w:rPr>
        <w:t>ה</w:t>
      </w:r>
      <w:r w:rsidRPr="00980124">
        <w:rPr>
          <w:rFonts w:cs="Arial"/>
          <w:rtl/>
        </w:rPr>
        <w:t xml:space="preserve"> כגזלן בחנם</w:t>
      </w:r>
      <w:r w:rsidR="00403A76">
        <w:rPr>
          <w:rFonts w:cs="Arial" w:hint="cs"/>
          <w:rtl/>
        </w:rPr>
        <w:t>,</w:t>
      </w:r>
      <w:r w:rsidRPr="00980124">
        <w:rPr>
          <w:rFonts w:cs="Arial"/>
          <w:rtl/>
        </w:rPr>
        <w:t xml:space="preserve"> דכל שהגזילה בעינ</w:t>
      </w:r>
      <w:r w:rsidR="00707FCF">
        <w:rPr>
          <w:rFonts w:cs="Arial" w:hint="cs"/>
          <w:rtl/>
        </w:rPr>
        <w:t>ה</w:t>
      </w:r>
      <w:r w:rsidRPr="00980124">
        <w:rPr>
          <w:rFonts w:cs="Arial"/>
          <w:rtl/>
        </w:rPr>
        <w:t xml:space="preserve"> מחויב ליהדר ולא סגי בתשלומין</w:t>
      </w:r>
      <w:r w:rsidR="00403A76">
        <w:rPr>
          <w:rStyle w:val="a7"/>
          <w:rFonts w:cs="Arial"/>
          <w:rtl/>
        </w:rPr>
        <w:footnoteReference w:id="119"/>
      </w:r>
      <w:r w:rsidRPr="00980124">
        <w:rPr>
          <w:rFonts w:cs="Arial"/>
          <w:rtl/>
        </w:rPr>
        <w:t xml:space="preserve">. </w:t>
      </w:r>
    </w:p>
    <w:p w14:paraId="689ED0CF" w14:textId="77777777" w:rsidR="0054240D" w:rsidRPr="00486C31" w:rsidRDefault="0054240D" w:rsidP="0054240D">
      <w:pPr>
        <w:rPr>
          <w:rFonts w:cs="Arial"/>
          <w:rtl/>
        </w:rPr>
      </w:pPr>
    </w:p>
    <w:p w14:paraId="7A49B8F0" w14:textId="71B89D0A" w:rsidR="00486C31" w:rsidRDefault="00486C31" w:rsidP="00786DE6">
      <w:pPr>
        <w:pStyle w:val="2"/>
        <w:rPr>
          <w:rtl/>
        </w:rPr>
      </w:pPr>
      <w:r w:rsidRPr="00486C31">
        <w:rPr>
          <w:rtl/>
        </w:rPr>
        <w:t>סעיף ג</w:t>
      </w:r>
      <w:r w:rsidR="009209E2">
        <w:rPr>
          <w:rFonts w:hint="cs"/>
          <w:rtl/>
        </w:rPr>
        <w:t>:</w:t>
      </w:r>
      <w:r w:rsidR="006B25F1">
        <w:rPr>
          <w:rFonts w:hint="cs"/>
          <w:rtl/>
        </w:rPr>
        <w:t xml:space="preserve"> הכרת שמות האיש והאשה.</w:t>
      </w:r>
    </w:p>
    <w:p w14:paraId="7D0F8130" w14:textId="3C201639" w:rsidR="0054240D" w:rsidRDefault="0082010C" w:rsidP="0054240D">
      <w:pPr>
        <w:rPr>
          <w:rFonts w:cs="Arial"/>
          <w:rtl/>
        </w:rPr>
      </w:pPr>
      <w:r w:rsidRPr="005A67E9">
        <w:rPr>
          <w:rFonts w:cs="Arial" w:hint="cs"/>
          <w:b/>
          <w:bCs/>
          <w:rtl/>
        </w:rPr>
        <w:t xml:space="preserve">בבא בתרא </w:t>
      </w:r>
      <w:r w:rsidRPr="005A67E9">
        <w:rPr>
          <w:rFonts w:cs="Arial" w:hint="cs"/>
          <w:b/>
          <w:bCs/>
          <w:sz w:val="16"/>
          <w:szCs w:val="16"/>
          <w:rtl/>
        </w:rPr>
        <w:t xml:space="preserve">(פ' גט פשוט) </w:t>
      </w:r>
      <w:r w:rsidRPr="005A67E9">
        <w:rPr>
          <w:rFonts w:cs="Arial" w:hint="cs"/>
          <w:b/>
          <w:bCs/>
          <w:rtl/>
        </w:rPr>
        <w:t>קסז ע"א:</w:t>
      </w:r>
      <w:r>
        <w:rPr>
          <w:rFonts w:cs="Arial" w:hint="cs"/>
          <w:rtl/>
        </w:rPr>
        <w:t xml:space="preserve"> </w:t>
      </w:r>
      <w:r w:rsidRPr="005A67E9">
        <w:rPr>
          <w:rFonts w:cs="Arial"/>
          <w:u w:val="double"/>
          <w:rtl/>
        </w:rPr>
        <w:t>מתני'</w:t>
      </w:r>
      <w:r>
        <w:rPr>
          <w:rFonts w:cs="Arial" w:hint="cs"/>
          <w:rtl/>
        </w:rPr>
        <w:t>:</w:t>
      </w:r>
      <w:r w:rsidRPr="005A67E9">
        <w:rPr>
          <w:rFonts w:cs="Arial"/>
          <w:rtl/>
        </w:rPr>
        <w:t xml:space="preserve"> כותבין גט לאיש אף על פי שאין אשתו עמו, והשובר לאשה </w:t>
      </w:r>
      <w:r w:rsidR="00A82951">
        <w:rPr>
          <w:rFonts w:cs="Arial"/>
          <w:rtl/>
        </w:rPr>
        <w:t>-</w:t>
      </w:r>
      <w:r w:rsidRPr="005A67E9">
        <w:rPr>
          <w:rFonts w:cs="Arial"/>
          <w:rtl/>
        </w:rPr>
        <w:t xml:space="preserve"> אף על פי שאין בעלה עמה, ובלבד שיהא מכירן.</w:t>
      </w:r>
      <w:r>
        <w:rPr>
          <w:rFonts w:cs="Arial" w:hint="cs"/>
          <w:rtl/>
        </w:rPr>
        <w:t xml:space="preserve">..      </w:t>
      </w:r>
      <w:r w:rsidRPr="005A67E9">
        <w:rPr>
          <w:rFonts w:cs="Arial" w:hint="cs"/>
          <w:u w:val="double"/>
          <w:rtl/>
        </w:rPr>
        <w:t>גמ'</w:t>
      </w:r>
      <w:r>
        <w:rPr>
          <w:rFonts w:cs="Arial" w:hint="cs"/>
          <w:u w:val="double"/>
          <w:rtl/>
        </w:rPr>
        <w:t xml:space="preserve"> </w:t>
      </w:r>
      <w:r w:rsidRPr="005A67E9">
        <w:rPr>
          <w:rFonts w:cs="Arial" w:hint="cs"/>
          <w:sz w:val="14"/>
          <w:szCs w:val="14"/>
          <w:u w:val="double"/>
          <w:rtl/>
        </w:rPr>
        <w:t>(קס</w:t>
      </w:r>
      <w:r>
        <w:rPr>
          <w:rFonts w:cs="Arial" w:hint="cs"/>
          <w:sz w:val="14"/>
          <w:szCs w:val="14"/>
          <w:u w:val="double"/>
          <w:rtl/>
        </w:rPr>
        <w:t>ז:</w:t>
      </w:r>
      <w:r w:rsidRPr="005A67E9">
        <w:rPr>
          <w:rFonts w:cs="Arial" w:hint="cs"/>
          <w:sz w:val="14"/>
          <w:szCs w:val="14"/>
          <w:u w:val="double"/>
          <w:rtl/>
        </w:rPr>
        <w:t>)</w:t>
      </w:r>
      <w:r w:rsidRPr="005A67E9">
        <w:rPr>
          <w:rFonts w:cs="Arial" w:hint="cs"/>
          <w:u w:val="double"/>
          <w:rtl/>
        </w:rPr>
        <w:t>:</w:t>
      </w:r>
      <w:r w:rsidRPr="0082010C">
        <w:rPr>
          <w:rFonts w:cs="Arial"/>
          <w:rtl/>
        </w:rPr>
        <w:t xml:space="preserve"> מאי ובלבד שיהא מכירן? </w:t>
      </w:r>
      <w:r w:rsidRPr="0082010C">
        <w:rPr>
          <w:rFonts w:cs="Arial"/>
          <w:u w:val="single"/>
          <w:rtl/>
        </w:rPr>
        <w:t>אמר רב יהודה אמר רב</w:t>
      </w:r>
      <w:r w:rsidRPr="0082010C">
        <w:rPr>
          <w:rFonts w:cs="Arial"/>
          <w:rtl/>
        </w:rPr>
        <w:t>: ובלבד שיהא מכיר שם האיש בגט</w:t>
      </w:r>
      <w:r>
        <w:rPr>
          <w:rStyle w:val="a7"/>
          <w:rFonts w:cs="Arial"/>
          <w:rtl/>
        </w:rPr>
        <w:footnoteReference w:id="120"/>
      </w:r>
      <w:r w:rsidRPr="0082010C">
        <w:rPr>
          <w:rFonts w:cs="Arial"/>
          <w:rtl/>
        </w:rPr>
        <w:t xml:space="preserve"> ושם האשה בשובר. </w:t>
      </w:r>
      <w:r w:rsidRPr="0082010C">
        <w:rPr>
          <w:rFonts w:cs="Arial"/>
          <w:u w:val="single"/>
          <w:rtl/>
        </w:rPr>
        <w:t>יתיב רב ספרא ורב אחא בר הונא ורב הונא בר חיננא ויתיב אביי גבייהו, ויתבי וקמיבעיא להו</w:t>
      </w:r>
      <w:r w:rsidRPr="0082010C">
        <w:rPr>
          <w:rFonts w:cs="Arial"/>
          <w:rtl/>
        </w:rPr>
        <w:t xml:space="preserve">: שם האיש בגט אין, שם האשה לא? שם האשה בשובר אין, שם האיש לא? וליחוש דלמא כתב גיטא ואזיל וממטי ליה לאיתתיה דהיאך, וזמנין אזלא כתבה אשה שובר ויהבה לגברא דלאו דילה! </w:t>
      </w:r>
      <w:r w:rsidRPr="0082010C">
        <w:rPr>
          <w:rFonts w:cs="Arial"/>
          <w:u w:val="single"/>
          <w:rtl/>
        </w:rPr>
        <w:t>אמר להו אביי, הכי אמר רב</w:t>
      </w:r>
      <w:r w:rsidRPr="0082010C">
        <w:rPr>
          <w:rFonts w:cs="Arial"/>
          <w:rtl/>
        </w:rPr>
        <w:t>: שם האיש בגט, והוא הדין לשם האשה</w:t>
      </w:r>
      <w:r>
        <w:rPr>
          <w:rFonts w:cs="Arial" w:hint="cs"/>
          <w:rtl/>
        </w:rPr>
        <w:t>.</w:t>
      </w:r>
      <w:r w:rsidRPr="0082010C">
        <w:rPr>
          <w:rFonts w:cs="Arial"/>
          <w:rtl/>
        </w:rPr>
        <w:t xml:space="preserve"> שם האשה בשובר, והוא הדין לשם האיש.</w:t>
      </w:r>
      <w:r w:rsidR="00435CA8" w:rsidRPr="00435CA8">
        <w:rPr>
          <w:rtl/>
        </w:rPr>
        <w:t xml:space="preserve"> </w:t>
      </w:r>
      <w:r w:rsidR="00435CA8" w:rsidRPr="00435CA8">
        <w:rPr>
          <w:rFonts w:cs="Arial"/>
          <w:rtl/>
        </w:rPr>
        <w:t xml:space="preserve">וליחוש לשני יוסף בן שמעון הדרים בעיר אחת, דלמא כתיב גיטא ואזיל וממטי ליה לאיתתיה דהיאך! </w:t>
      </w:r>
      <w:r w:rsidR="00435CA8" w:rsidRPr="00435CA8">
        <w:rPr>
          <w:rFonts w:cs="Arial"/>
          <w:u w:val="single"/>
          <w:rtl/>
        </w:rPr>
        <w:t>אמר להו רב אחא בר הונא, הכי אמר רב</w:t>
      </w:r>
      <w:r w:rsidR="00435CA8" w:rsidRPr="00435CA8">
        <w:rPr>
          <w:rFonts w:cs="Arial"/>
          <w:rtl/>
        </w:rPr>
        <w:t xml:space="preserve">: שני יוסף בן שמעון הדרים בעיר אחת, אין מגרשין נשותיהן אלא זה בפני זה. וליחוש דלמא אזיל למתא אחריתא ומחזיק ליה לשמיה ביוסף בן שמעון, וכתיב גיטא וממטי ליה לאיתתיה דהיאך! </w:t>
      </w:r>
      <w:r w:rsidR="00435CA8" w:rsidRPr="00435CA8">
        <w:rPr>
          <w:rFonts w:cs="Arial"/>
          <w:u w:val="single"/>
          <w:rtl/>
        </w:rPr>
        <w:t>אמר להו רב הונא בר חיננא, הכי אמר רב</w:t>
      </w:r>
      <w:r w:rsidR="00435CA8" w:rsidRPr="00435CA8">
        <w:rPr>
          <w:rFonts w:cs="Arial"/>
          <w:rtl/>
        </w:rPr>
        <w:t xml:space="preserve">: כל שהוחזק שמו בעיר שלשים יום </w:t>
      </w:r>
      <w:r w:rsidR="00A82951">
        <w:rPr>
          <w:rFonts w:cs="Arial"/>
          <w:rtl/>
        </w:rPr>
        <w:t>-</w:t>
      </w:r>
      <w:r w:rsidR="00435CA8" w:rsidRPr="00435CA8">
        <w:rPr>
          <w:rFonts w:cs="Arial"/>
          <w:rtl/>
        </w:rPr>
        <w:t xml:space="preserve"> אין חוששין לו. לא איתחזק, מאי? </w:t>
      </w:r>
      <w:r w:rsidR="00435CA8" w:rsidRPr="00435CA8">
        <w:rPr>
          <w:rFonts w:cs="Arial"/>
          <w:u w:val="single"/>
          <w:rtl/>
        </w:rPr>
        <w:t>אמר אביי</w:t>
      </w:r>
      <w:r w:rsidR="00435CA8" w:rsidRPr="00435CA8">
        <w:rPr>
          <w:rFonts w:cs="Arial"/>
          <w:rtl/>
        </w:rPr>
        <w:t xml:space="preserve">: דקרו ליה ועני. </w:t>
      </w:r>
      <w:r w:rsidR="00435CA8" w:rsidRPr="00435CA8">
        <w:rPr>
          <w:rFonts w:cs="Arial"/>
          <w:u w:val="single"/>
          <w:rtl/>
        </w:rPr>
        <w:t>רב זביד אמר</w:t>
      </w:r>
      <w:r w:rsidR="00435CA8" w:rsidRPr="00435CA8">
        <w:rPr>
          <w:rFonts w:cs="Arial"/>
          <w:rtl/>
        </w:rPr>
        <w:t xml:space="preserve">: רמאה ברמאותיה זהיר. ההוא תברא דהוה חתים עלה רב ירמיה בר אבא, אתיא לקמיה ההיא איתתא, </w:t>
      </w:r>
      <w:r w:rsidR="00435CA8" w:rsidRPr="00435CA8">
        <w:rPr>
          <w:rFonts w:cs="Arial"/>
          <w:u w:val="single"/>
          <w:rtl/>
        </w:rPr>
        <w:t>אמרה ליה</w:t>
      </w:r>
      <w:r w:rsidR="00435CA8" w:rsidRPr="00435CA8">
        <w:rPr>
          <w:rFonts w:cs="Arial"/>
          <w:rtl/>
        </w:rPr>
        <w:t xml:space="preserve">: לאו אנא הואי, </w:t>
      </w:r>
      <w:r w:rsidR="00435CA8" w:rsidRPr="00435CA8">
        <w:rPr>
          <w:rFonts w:cs="Arial"/>
          <w:u w:val="single"/>
          <w:rtl/>
        </w:rPr>
        <w:t>אמר</w:t>
      </w:r>
      <w:r w:rsidR="00435CA8" w:rsidRPr="00435CA8">
        <w:rPr>
          <w:rFonts w:cs="Arial"/>
          <w:rtl/>
        </w:rPr>
        <w:t>: אנא נמי אמרי להו לאו איהי היא, ואמרו לי: מיקש הוא דקשא לה ובגר לה קלא</w:t>
      </w:r>
      <w:r w:rsidR="00C62387">
        <w:rPr>
          <w:rFonts w:cs="Arial" w:hint="cs"/>
          <w:rtl/>
        </w:rPr>
        <w:t>.</w:t>
      </w:r>
      <w:r w:rsidR="00435CA8" w:rsidRPr="00435CA8">
        <w:rPr>
          <w:rFonts w:cs="Arial"/>
          <w:rtl/>
        </w:rPr>
        <w:t xml:space="preserve"> </w:t>
      </w:r>
      <w:r w:rsidR="00435CA8" w:rsidRPr="00C62387">
        <w:rPr>
          <w:rFonts w:cs="Arial"/>
          <w:u w:val="single"/>
          <w:rtl/>
        </w:rPr>
        <w:t>אמר אביי</w:t>
      </w:r>
      <w:r w:rsidR="00C62387">
        <w:rPr>
          <w:rFonts w:cs="Arial" w:hint="cs"/>
          <w:rtl/>
        </w:rPr>
        <w:t>:</w:t>
      </w:r>
      <w:r w:rsidR="00435CA8" w:rsidRPr="00435CA8">
        <w:rPr>
          <w:rFonts w:cs="Arial"/>
          <w:rtl/>
        </w:rPr>
        <w:t xml:space="preserve"> אע</w:t>
      </w:r>
      <w:r w:rsidR="00C62387">
        <w:rPr>
          <w:rFonts w:cs="Arial" w:hint="cs"/>
          <w:rtl/>
        </w:rPr>
        <w:t>"</w:t>
      </w:r>
      <w:r w:rsidR="00435CA8" w:rsidRPr="00435CA8">
        <w:rPr>
          <w:rFonts w:cs="Arial"/>
          <w:rtl/>
        </w:rPr>
        <w:t>ג דאמור רבנן</w:t>
      </w:r>
      <w:r w:rsidR="00C62387">
        <w:rPr>
          <w:rFonts w:cs="Arial" w:hint="cs"/>
          <w:rtl/>
        </w:rPr>
        <w:t xml:space="preserve"> </w:t>
      </w:r>
      <w:r w:rsidR="00C62387">
        <w:rPr>
          <w:rFonts w:cs="Arial" w:hint="cs"/>
          <w:sz w:val="14"/>
          <w:szCs w:val="14"/>
          <w:rtl/>
        </w:rPr>
        <w:t xml:space="preserve">(קסח.) </w:t>
      </w:r>
      <w:r w:rsidR="00C62387" w:rsidRPr="00C62387">
        <w:rPr>
          <w:rFonts w:cs="Arial"/>
          <w:rtl/>
        </w:rPr>
        <w:t>כיון שהגיד שוב אינו חוזר ומגיד, צורבא מרבנן לאו אורחיה למידק. ההוא תברא דהוה חתים עליה רב ירמיה בר אבא, אמרה ליה: לאו אנא הואי, אמר לה: איברא אנת הות</w:t>
      </w:r>
      <w:r w:rsidR="00C62387">
        <w:rPr>
          <w:rFonts w:cs="Arial" w:hint="cs"/>
          <w:rtl/>
        </w:rPr>
        <w:t>.</w:t>
      </w:r>
      <w:r w:rsidR="00C62387" w:rsidRPr="00C62387">
        <w:rPr>
          <w:rFonts w:cs="Arial"/>
          <w:rtl/>
        </w:rPr>
        <w:t xml:space="preserve"> </w:t>
      </w:r>
      <w:r w:rsidR="00C62387" w:rsidRPr="00C62387">
        <w:rPr>
          <w:rFonts w:cs="Arial"/>
          <w:u w:val="single"/>
          <w:rtl/>
        </w:rPr>
        <w:t>אמר אביי</w:t>
      </w:r>
      <w:r w:rsidR="00C62387" w:rsidRPr="00C62387">
        <w:rPr>
          <w:rFonts w:cs="Arial"/>
          <w:rtl/>
        </w:rPr>
        <w:t xml:space="preserve">: אף על גב דצורבא מרבנן לאו אורחיה למידק, כיון דדק </w:t>
      </w:r>
      <w:r w:rsidR="00A82951">
        <w:rPr>
          <w:rFonts w:cs="Arial"/>
          <w:rtl/>
        </w:rPr>
        <w:t>-</w:t>
      </w:r>
      <w:r w:rsidR="00C62387" w:rsidRPr="00C62387">
        <w:rPr>
          <w:rFonts w:cs="Arial"/>
          <w:rtl/>
        </w:rPr>
        <w:t xml:space="preserve"> דק.</w:t>
      </w:r>
    </w:p>
    <w:p w14:paraId="60DB5164" w14:textId="75E0221F" w:rsidR="0082010C" w:rsidRPr="00435CA8" w:rsidRDefault="006B25F1" w:rsidP="006B25F1">
      <w:pPr>
        <w:rPr>
          <w:u w:val="single"/>
          <w:rtl/>
        </w:rPr>
      </w:pPr>
      <w:r w:rsidRPr="006B25F1">
        <w:rPr>
          <w:rFonts w:hint="cs"/>
          <w:u w:val="single"/>
          <w:rtl/>
        </w:rPr>
        <w:t>הכרת שמות האיש והאשה</w:t>
      </w:r>
      <w:r w:rsidR="00435CA8" w:rsidRPr="00435CA8">
        <w:rPr>
          <w:rFonts w:hint="cs"/>
          <w:u w:val="single"/>
          <w:rtl/>
        </w:rPr>
        <w:t>:</w:t>
      </w:r>
    </w:p>
    <w:p w14:paraId="6581DAE0" w14:textId="6B544761" w:rsidR="00C62387" w:rsidRPr="00C62387" w:rsidRDefault="006E369D" w:rsidP="00A65C5F">
      <w:pPr>
        <w:pStyle w:val="ab"/>
        <w:numPr>
          <w:ilvl w:val="0"/>
          <w:numId w:val="24"/>
        </w:numPr>
      </w:pPr>
      <w:r>
        <w:rPr>
          <w:rFonts w:cs="Arial" w:hint="cs"/>
          <w:rtl/>
        </w:rPr>
        <w:t>טור</w:t>
      </w:r>
      <w:r w:rsidR="00A82951">
        <w:rPr>
          <w:rFonts w:cs="Arial" w:hint="cs"/>
          <w:rtl/>
        </w:rPr>
        <w:t>-</w:t>
      </w:r>
      <w:r>
        <w:rPr>
          <w:rFonts w:cs="Arial" w:hint="cs"/>
          <w:rtl/>
        </w:rPr>
        <w:t xml:space="preserve"> </w:t>
      </w:r>
      <w:r w:rsidRPr="00201037">
        <w:rPr>
          <w:rFonts w:cs="Arial"/>
          <w:rtl/>
        </w:rPr>
        <w:t>וכותבין לו הגט אע</w:t>
      </w:r>
      <w:r w:rsidR="00C219D5">
        <w:rPr>
          <w:rFonts w:cs="Arial" w:hint="cs"/>
          <w:rtl/>
        </w:rPr>
        <w:t>"</w:t>
      </w:r>
      <w:r w:rsidRPr="00201037">
        <w:rPr>
          <w:rFonts w:cs="Arial"/>
          <w:rtl/>
        </w:rPr>
        <w:t>פ שאין אשתו עמו</w:t>
      </w:r>
      <w:r w:rsidR="0082010C">
        <w:rPr>
          <w:rFonts w:cs="Arial" w:hint="cs"/>
          <w:rtl/>
        </w:rPr>
        <w:t>,</w:t>
      </w:r>
      <w:r w:rsidRPr="00201037">
        <w:rPr>
          <w:rFonts w:cs="Arial"/>
          <w:rtl/>
        </w:rPr>
        <w:t xml:space="preserve"> והוא שיהיו מכירים ויודעים העדים והסופר שזהו פלוני ואשתו פלונית</w:t>
      </w:r>
      <w:r>
        <w:rPr>
          <w:rFonts w:cs="Arial" w:hint="cs"/>
          <w:rtl/>
        </w:rPr>
        <w:t>.</w:t>
      </w:r>
      <w:r w:rsidR="00BA15E7" w:rsidRPr="00435CA8">
        <w:rPr>
          <w:rFonts w:cs="Arial"/>
          <w:rtl/>
        </w:rPr>
        <w:t xml:space="preserve"> </w:t>
      </w:r>
      <w:r w:rsidR="00C74652" w:rsidRPr="00573889">
        <w:rPr>
          <w:rFonts w:hint="cs"/>
          <w:color w:val="00B0F0"/>
          <w:rtl/>
        </w:rPr>
        <w:t xml:space="preserve">(וכ"פ </w:t>
      </w:r>
      <w:r w:rsidR="00C74652">
        <w:rPr>
          <w:rFonts w:hint="cs"/>
          <w:color w:val="00B0F0"/>
          <w:rtl/>
        </w:rPr>
        <w:t>הרמ</w:t>
      </w:r>
      <w:r w:rsidR="00C74652" w:rsidRPr="00573889">
        <w:rPr>
          <w:rFonts w:hint="cs"/>
          <w:color w:val="00B0F0"/>
          <w:rtl/>
        </w:rPr>
        <w:t>"</w:t>
      </w:r>
      <w:r w:rsidR="00C74652">
        <w:rPr>
          <w:rFonts w:hint="cs"/>
          <w:color w:val="00B0F0"/>
          <w:rtl/>
        </w:rPr>
        <w:t>א</w:t>
      </w:r>
      <w:r w:rsidR="00C74652" w:rsidRPr="00573889">
        <w:rPr>
          <w:rFonts w:hint="cs"/>
          <w:color w:val="00B0F0"/>
          <w:rtl/>
        </w:rPr>
        <w:t>)</w:t>
      </w:r>
    </w:p>
    <w:p w14:paraId="4FF3B827" w14:textId="789AF3AA" w:rsidR="00C219D5" w:rsidRDefault="00C219D5" w:rsidP="00A65C5F">
      <w:pPr>
        <w:pStyle w:val="ab"/>
        <w:numPr>
          <w:ilvl w:val="0"/>
          <w:numId w:val="24"/>
        </w:numPr>
        <w:rPr>
          <w:rFonts w:cs="Arial"/>
        </w:rPr>
      </w:pPr>
      <w:r w:rsidRPr="00C219D5">
        <w:rPr>
          <w:rFonts w:cs="Arial"/>
          <w:rtl/>
        </w:rPr>
        <w:lastRenderedPageBreak/>
        <w:t xml:space="preserve">רמב"ם </w:t>
      </w:r>
      <w:r w:rsidRPr="00C219D5">
        <w:rPr>
          <w:rFonts w:cs="Arial" w:hint="cs"/>
          <w:sz w:val="16"/>
          <w:szCs w:val="16"/>
          <w:rtl/>
        </w:rPr>
        <w:t>(</w:t>
      </w:r>
      <w:r w:rsidRPr="00C219D5">
        <w:rPr>
          <w:rFonts w:cs="Arial"/>
          <w:sz w:val="16"/>
          <w:szCs w:val="16"/>
          <w:rtl/>
        </w:rPr>
        <w:t xml:space="preserve">פכ"ד ממלוה </w:t>
      </w:r>
      <w:r w:rsidRPr="00C219D5">
        <w:rPr>
          <w:rFonts w:cs="Arial" w:hint="cs"/>
          <w:sz w:val="16"/>
          <w:szCs w:val="16"/>
          <w:rtl/>
        </w:rPr>
        <w:t>ה"ג</w:t>
      </w:r>
      <w:r w:rsidR="009805C0">
        <w:rPr>
          <w:rFonts w:cs="Arial" w:hint="cs"/>
          <w:sz w:val="16"/>
          <w:szCs w:val="16"/>
          <w:rtl/>
        </w:rPr>
        <w:t>, ובפ"ב מגירושין ה"ג</w:t>
      </w:r>
      <w:r w:rsidR="009805C0">
        <w:rPr>
          <w:rStyle w:val="a7"/>
          <w:rFonts w:cs="Arial"/>
          <w:sz w:val="16"/>
          <w:szCs w:val="16"/>
          <w:rtl/>
        </w:rPr>
        <w:footnoteReference w:id="121"/>
      </w:r>
      <w:r w:rsidRPr="00C219D5">
        <w:rPr>
          <w:rFonts w:cs="Arial"/>
          <w:sz w:val="16"/>
          <w:szCs w:val="16"/>
          <w:rtl/>
        </w:rPr>
        <w:t>)</w:t>
      </w:r>
      <w:r w:rsidR="00A82951">
        <w:rPr>
          <w:rFonts w:cs="Arial" w:hint="cs"/>
          <w:rtl/>
        </w:rPr>
        <w:t>-</w:t>
      </w:r>
      <w:r w:rsidRPr="00C219D5">
        <w:rPr>
          <w:rFonts w:cs="Arial"/>
          <w:rtl/>
        </w:rPr>
        <w:t xml:space="preserve"> אחד השטרות הנכתבים לאחד שלא בפני חבירו</w:t>
      </w:r>
      <w:r w:rsidRPr="00C219D5">
        <w:rPr>
          <w:rFonts w:cs="Arial" w:hint="cs"/>
          <w:rtl/>
        </w:rPr>
        <w:t>,</w:t>
      </w:r>
      <w:r w:rsidRPr="00C219D5">
        <w:rPr>
          <w:rFonts w:cs="Arial"/>
          <w:rtl/>
        </w:rPr>
        <w:t xml:space="preserve"> ואחד השטרות שאין כותבין אותם אלא מדעת שניהם</w:t>
      </w:r>
      <w:r w:rsidRPr="00C219D5">
        <w:rPr>
          <w:rFonts w:cs="Arial" w:hint="cs"/>
          <w:rtl/>
        </w:rPr>
        <w:t>,</w:t>
      </w:r>
      <w:r w:rsidRPr="00C219D5">
        <w:rPr>
          <w:rFonts w:cs="Arial"/>
          <w:rtl/>
        </w:rPr>
        <w:t xml:space="preserve"> ושניהם עומדים</w:t>
      </w:r>
      <w:r w:rsidR="0022409D">
        <w:rPr>
          <w:rStyle w:val="a7"/>
          <w:rFonts w:cs="Arial"/>
          <w:rtl/>
        </w:rPr>
        <w:footnoteReference w:id="122"/>
      </w:r>
      <w:r w:rsidRPr="00C219D5">
        <w:rPr>
          <w:rFonts w:cs="Arial" w:hint="cs"/>
          <w:rtl/>
        </w:rPr>
        <w:t xml:space="preserve"> </w:t>
      </w:r>
      <w:r w:rsidR="00A82951">
        <w:rPr>
          <w:rFonts w:cs="Arial" w:hint="cs"/>
          <w:rtl/>
        </w:rPr>
        <w:t>-</w:t>
      </w:r>
      <w:r w:rsidRPr="00C219D5">
        <w:rPr>
          <w:rFonts w:cs="Arial"/>
          <w:rtl/>
        </w:rPr>
        <w:t xml:space="preserve"> כולם צריכים שיהיו העדים</w:t>
      </w:r>
      <w:r w:rsidR="00BD3DDF">
        <w:rPr>
          <w:rStyle w:val="a7"/>
          <w:rFonts w:cs="Arial"/>
          <w:rtl/>
        </w:rPr>
        <w:footnoteReference w:id="123"/>
      </w:r>
      <w:r w:rsidRPr="00C219D5">
        <w:rPr>
          <w:rFonts w:cs="Arial"/>
          <w:rtl/>
        </w:rPr>
        <w:t xml:space="preserve"> מכירים השמות שבשטר</w:t>
      </w:r>
      <w:r w:rsidRPr="00C219D5">
        <w:rPr>
          <w:rFonts w:cs="Arial" w:hint="cs"/>
          <w:rtl/>
        </w:rPr>
        <w:t>,</w:t>
      </w:r>
      <w:r w:rsidRPr="00C219D5">
        <w:rPr>
          <w:rFonts w:cs="Arial"/>
          <w:rtl/>
        </w:rPr>
        <w:t xml:space="preserve"> שזהו פלוני בן פלוני</w:t>
      </w:r>
      <w:r w:rsidR="005132B9">
        <w:rPr>
          <w:rStyle w:val="a7"/>
          <w:rFonts w:cs="Arial"/>
          <w:rtl/>
        </w:rPr>
        <w:footnoteReference w:id="124"/>
      </w:r>
      <w:r w:rsidRPr="00C219D5">
        <w:rPr>
          <w:rFonts w:cs="Arial" w:hint="cs"/>
          <w:rtl/>
        </w:rPr>
        <w:t>,</w:t>
      </w:r>
      <w:r w:rsidRPr="00C219D5">
        <w:rPr>
          <w:rFonts w:cs="Arial"/>
          <w:rtl/>
        </w:rPr>
        <w:t xml:space="preserve"> וזהו פלוני בר פלוני</w:t>
      </w:r>
      <w:r w:rsidRPr="00C219D5">
        <w:rPr>
          <w:rFonts w:cs="Arial" w:hint="cs"/>
          <w:rtl/>
        </w:rPr>
        <w:t>.</w:t>
      </w:r>
      <w:r w:rsidRPr="00C219D5">
        <w:rPr>
          <w:rFonts w:cs="Arial"/>
          <w:rtl/>
        </w:rPr>
        <w:t xml:space="preserve"> שמא יבואו שנים ויעשו קנוניא וישנו שמותיהם בשמות אחרים ויודה זה לזה. </w:t>
      </w:r>
      <w:r w:rsidR="00AA375B" w:rsidRPr="00C74652">
        <w:rPr>
          <w:rFonts w:hint="cs"/>
          <w:color w:val="E36C0A" w:themeColor="accent6" w:themeShade="BF"/>
          <w:rtl/>
        </w:rPr>
        <w:t>(וכ"פ בשו"ע)</w:t>
      </w:r>
    </w:p>
    <w:p w14:paraId="756EC6FF" w14:textId="4A7568B1" w:rsidR="00C219D5" w:rsidRPr="00C219D5" w:rsidRDefault="00C219D5" w:rsidP="00C219D5">
      <w:pPr>
        <w:ind w:left="360"/>
        <w:rPr>
          <w:u w:val="dotted"/>
        </w:rPr>
      </w:pPr>
      <w:r>
        <w:rPr>
          <w:rFonts w:hint="cs"/>
          <w:u w:val="dotted"/>
          <w:rtl/>
        </w:rPr>
        <w:t>מי שהוחזק שמו בעיר שלושים יום:</w:t>
      </w:r>
    </w:p>
    <w:p w14:paraId="48E0FB56" w14:textId="264BED63" w:rsidR="00C219D5" w:rsidRPr="00C219D5" w:rsidRDefault="00C219D5" w:rsidP="00A65C5F">
      <w:pPr>
        <w:pStyle w:val="ab"/>
        <w:numPr>
          <w:ilvl w:val="0"/>
          <w:numId w:val="24"/>
        </w:numPr>
        <w:rPr>
          <w:rFonts w:cs="Arial"/>
          <w:rtl/>
        </w:rPr>
      </w:pPr>
      <w:r w:rsidRPr="00C219D5">
        <w:rPr>
          <w:rFonts w:cs="Arial"/>
          <w:rtl/>
        </w:rPr>
        <w:t xml:space="preserve">רמב"ם </w:t>
      </w:r>
      <w:r w:rsidRPr="00C219D5">
        <w:rPr>
          <w:rFonts w:cs="Arial" w:hint="cs"/>
          <w:sz w:val="16"/>
          <w:szCs w:val="16"/>
          <w:rtl/>
        </w:rPr>
        <w:t>(</w:t>
      </w:r>
      <w:r w:rsidRPr="00C219D5">
        <w:rPr>
          <w:rFonts w:cs="Arial"/>
          <w:sz w:val="16"/>
          <w:szCs w:val="16"/>
          <w:rtl/>
        </w:rPr>
        <w:t xml:space="preserve">פכ"ד ממלוה </w:t>
      </w:r>
      <w:r w:rsidRPr="00C219D5">
        <w:rPr>
          <w:rFonts w:cs="Arial" w:hint="cs"/>
          <w:sz w:val="16"/>
          <w:szCs w:val="16"/>
          <w:rtl/>
        </w:rPr>
        <w:t>ה"ד</w:t>
      </w:r>
      <w:r w:rsidRPr="00C219D5">
        <w:rPr>
          <w:rFonts w:cs="Arial"/>
          <w:sz w:val="16"/>
          <w:szCs w:val="16"/>
          <w:rtl/>
        </w:rPr>
        <w:t>)</w:t>
      </w:r>
      <w:r w:rsidR="00A82951">
        <w:rPr>
          <w:rFonts w:cs="Arial" w:hint="cs"/>
          <w:rtl/>
        </w:rPr>
        <w:t>-</w:t>
      </w:r>
      <w:r w:rsidRPr="00C219D5">
        <w:rPr>
          <w:rFonts w:cs="Arial"/>
          <w:rtl/>
        </w:rPr>
        <w:t xml:space="preserve"> </w:t>
      </w:r>
      <w:r>
        <w:rPr>
          <w:rStyle w:val="a7"/>
          <w:rFonts w:cs="Arial"/>
          <w:rtl/>
        </w:rPr>
        <w:footnoteReference w:id="125"/>
      </w:r>
      <w:r w:rsidRPr="00C219D5">
        <w:rPr>
          <w:rFonts w:cs="Arial"/>
          <w:rtl/>
        </w:rPr>
        <w:t>כל מי שהוחזק שמו</w:t>
      </w:r>
      <w:r w:rsidR="005132B9">
        <w:rPr>
          <w:rStyle w:val="a7"/>
          <w:rFonts w:cs="Arial"/>
          <w:rtl/>
        </w:rPr>
        <w:footnoteReference w:id="126"/>
      </w:r>
      <w:r w:rsidRPr="00C219D5">
        <w:rPr>
          <w:rFonts w:cs="Arial"/>
          <w:rtl/>
        </w:rPr>
        <w:t xml:space="preserve"> בעיר שלשים יום</w:t>
      </w:r>
      <w:r w:rsidRPr="00C219D5">
        <w:rPr>
          <w:rFonts w:cs="Arial" w:hint="cs"/>
          <w:rtl/>
        </w:rPr>
        <w:t xml:space="preserve"> </w:t>
      </w:r>
      <w:r w:rsidR="00A82951">
        <w:rPr>
          <w:rFonts w:cs="Arial" w:hint="cs"/>
          <w:rtl/>
        </w:rPr>
        <w:t>-</w:t>
      </w:r>
      <w:r w:rsidRPr="00C219D5">
        <w:rPr>
          <w:rFonts w:cs="Arial"/>
          <w:rtl/>
        </w:rPr>
        <w:t xml:space="preserve"> אין חוששין לו שמא שם אחר יש לו והוא שינהו כדי לרמותו ולעשות קנוניא</w:t>
      </w:r>
      <w:r w:rsidRPr="00C219D5">
        <w:rPr>
          <w:rFonts w:cs="Arial" w:hint="cs"/>
          <w:rtl/>
        </w:rPr>
        <w:t>,</w:t>
      </w:r>
      <w:r w:rsidRPr="00C219D5">
        <w:rPr>
          <w:rFonts w:cs="Arial"/>
          <w:rtl/>
        </w:rPr>
        <w:t xml:space="preserve"> שאם אתה אומר כן אין לדבר סוף</w:t>
      </w:r>
      <w:r w:rsidRPr="00C219D5">
        <w:rPr>
          <w:rFonts w:cs="Arial" w:hint="cs"/>
          <w:rtl/>
        </w:rPr>
        <w:t>.</w:t>
      </w:r>
      <w:r w:rsidRPr="00C219D5">
        <w:rPr>
          <w:rFonts w:cs="Arial"/>
          <w:rtl/>
        </w:rPr>
        <w:t xml:space="preserve"> </w:t>
      </w:r>
      <w:r w:rsidR="00C74652" w:rsidRPr="00573889">
        <w:rPr>
          <w:rFonts w:hint="cs"/>
          <w:color w:val="00B0F0"/>
          <w:rtl/>
        </w:rPr>
        <w:t xml:space="preserve">(וכ"פ </w:t>
      </w:r>
      <w:r w:rsidR="00C74652">
        <w:rPr>
          <w:rFonts w:hint="cs"/>
          <w:color w:val="00B0F0"/>
          <w:rtl/>
        </w:rPr>
        <w:t>הרמ</w:t>
      </w:r>
      <w:r w:rsidR="00C74652" w:rsidRPr="00573889">
        <w:rPr>
          <w:rFonts w:hint="cs"/>
          <w:color w:val="00B0F0"/>
          <w:rtl/>
        </w:rPr>
        <w:t>"</w:t>
      </w:r>
      <w:r w:rsidR="00C74652">
        <w:rPr>
          <w:rFonts w:hint="cs"/>
          <w:color w:val="00B0F0"/>
          <w:rtl/>
        </w:rPr>
        <w:t>א</w:t>
      </w:r>
      <w:r w:rsidR="00C74652" w:rsidRPr="00573889">
        <w:rPr>
          <w:rFonts w:hint="cs"/>
          <w:color w:val="00B0F0"/>
          <w:rtl/>
        </w:rPr>
        <w:t>)</w:t>
      </w:r>
    </w:p>
    <w:p w14:paraId="21C05661" w14:textId="77777777" w:rsidR="00573889" w:rsidRPr="00C62387" w:rsidRDefault="00573889" w:rsidP="00573889">
      <w:pPr>
        <w:ind w:left="360"/>
        <w:rPr>
          <w:u w:val="dotted"/>
        </w:rPr>
      </w:pPr>
      <w:r w:rsidRPr="00C62387">
        <w:rPr>
          <w:rFonts w:hint="cs"/>
          <w:u w:val="dotted"/>
          <w:rtl/>
        </w:rPr>
        <w:t>מי כשר להעיד שזהו שמם:</w:t>
      </w:r>
    </w:p>
    <w:p w14:paraId="6ABE861A" w14:textId="0279DC22" w:rsidR="00573889" w:rsidRDefault="00573889" w:rsidP="00A65C5F">
      <w:pPr>
        <w:pStyle w:val="ab"/>
        <w:numPr>
          <w:ilvl w:val="0"/>
          <w:numId w:val="24"/>
        </w:numPr>
      </w:pPr>
      <w:r w:rsidRPr="00C62387">
        <w:rPr>
          <w:rFonts w:cs="Arial"/>
          <w:rtl/>
        </w:rPr>
        <w:t xml:space="preserve">רא"ש </w:t>
      </w:r>
      <w:r w:rsidRPr="00C62387">
        <w:rPr>
          <w:rFonts w:cs="Arial"/>
          <w:sz w:val="16"/>
          <w:szCs w:val="16"/>
          <w:rtl/>
        </w:rPr>
        <w:t>(ב"ב פ"י סי' יז)</w:t>
      </w:r>
      <w:r w:rsidR="00A82951">
        <w:rPr>
          <w:rFonts w:cs="Arial" w:hint="cs"/>
          <w:rtl/>
        </w:rPr>
        <w:t>-</w:t>
      </w:r>
      <w:r w:rsidRPr="00C62387">
        <w:rPr>
          <w:rFonts w:cs="Arial"/>
          <w:rtl/>
        </w:rPr>
        <w:t xml:space="preserve"> שמעינן מינה </w:t>
      </w:r>
      <w:r>
        <w:rPr>
          <w:rFonts w:cs="Arial" w:hint="cs"/>
          <w:sz w:val="14"/>
          <w:szCs w:val="14"/>
          <w:rtl/>
        </w:rPr>
        <w:t xml:space="preserve">{מהגמ' לעיל} </w:t>
      </w:r>
      <w:r w:rsidRPr="00C62387">
        <w:rPr>
          <w:rFonts w:cs="Arial"/>
          <w:rtl/>
        </w:rPr>
        <w:t>דלהיכר איש ואשה סומכין על פי עד אחד ואפילו קרוב ואשה</w:t>
      </w:r>
      <w:r>
        <w:rPr>
          <w:rFonts w:cs="Arial" w:hint="cs"/>
          <w:rtl/>
        </w:rPr>
        <w:t>,</w:t>
      </w:r>
      <w:r w:rsidRPr="00C62387">
        <w:rPr>
          <w:rFonts w:cs="Arial"/>
          <w:rtl/>
        </w:rPr>
        <w:t xml:space="preserve"> דמילתא דעבידא לאיגלויי הוא</w:t>
      </w:r>
      <w:r>
        <w:rPr>
          <w:rStyle w:val="a7"/>
          <w:rFonts w:cs="Arial"/>
          <w:rtl/>
        </w:rPr>
        <w:footnoteReference w:id="127"/>
      </w:r>
      <w:r>
        <w:rPr>
          <w:rFonts w:cs="Arial" w:hint="cs"/>
          <w:rtl/>
        </w:rPr>
        <w:t>.</w:t>
      </w:r>
      <w:r w:rsidRPr="00C62387">
        <w:rPr>
          <w:rFonts w:cs="Arial"/>
          <w:rtl/>
        </w:rPr>
        <w:t xml:space="preserve"> מידי דהוה ביבמות (לט:) להכיר שהוא אחיו מן האב</w:t>
      </w:r>
      <w:r w:rsidRPr="00C62387">
        <w:rPr>
          <w:rFonts w:cs="Arial" w:hint="cs"/>
          <w:rtl/>
        </w:rPr>
        <w:t>.</w:t>
      </w:r>
      <w:r w:rsidRPr="00C62387">
        <w:rPr>
          <w:rFonts w:cs="Arial"/>
          <w:rtl/>
        </w:rPr>
        <w:t xml:space="preserve"> </w:t>
      </w:r>
      <w:r w:rsidR="00C74652" w:rsidRPr="00C74652">
        <w:rPr>
          <w:rFonts w:hint="cs"/>
          <w:color w:val="E36C0A" w:themeColor="accent6" w:themeShade="BF"/>
          <w:rtl/>
        </w:rPr>
        <w:t>(וכ"פ בשו"ע)</w:t>
      </w:r>
    </w:p>
    <w:p w14:paraId="12520821" w14:textId="51EE3876" w:rsidR="00D67EDE" w:rsidRPr="00D67EDE" w:rsidRDefault="00D67EDE" w:rsidP="00D67EDE">
      <w:pPr>
        <w:rPr>
          <w:u w:val="single"/>
        </w:rPr>
      </w:pPr>
      <w:r w:rsidRPr="00D67EDE">
        <w:rPr>
          <w:rFonts w:cs="Arial"/>
          <w:u w:val="single"/>
          <w:rtl/>
        </w:rPr>
        <w:t>שני יוסף בן שמעון הדרים בעיר אחת</w:t>
      </w:r>
      <w:r w:rsidRPr="00D67EDE">
        <w:rPr>
          <w:rFonts w:hint="cs"/>
          <w:u w:val="single"/>
          <w:rtl/>
        </w:rPr>
        <w:t>, וגם שמות נשותיהם שוים:</w:t>
      </w:r>
    </w:p>
    <w:p w14:paraId="00FE3858" w14:textId="745C0A42" w:rsidR="0082010C" w:rsidRPr="00C219D5" w:rsidRDefault="009805C0" w:rsidP="00A65C5F">
      <w:pPr>
        <w:pStyle w:val="ab"/>
        <w:numPr>
          <w:ilvl w:val="0"/>
          <w:numId w:val="24"/>
        </w:numPr>
        <w:rPr>
          <w:rtl/>
        </w:rPr>
      </w:pPr>
      <w:r>
        <w:rPr>
          <w:rFonts w:cs="Arial" w:hint="cs"/>
          <w:rtl/>
        </w:rPr>
        <w:t xml:space="preserve">רמב"ם </w:t>
      </w:r>
      <w:r>
        <w:rPr>
          <w:rFonts w:cs="Arial" w:hint="cs"/>
          <w:sz w:val="16"/>
          <w:szCs w:val="16"/>
          <w:rtl/>
        </w:rPr>
        <w:t>(פ"ב מגירושין ה"ג)</w:t>
      </w:r>
      <w:r>
        <w:rPr>
          <w:rFonts w:cs="Arial" w:hint="cs"/>
          <w:rtl/>
        </w:rPr>
        <w:t xml:space="preserve"> ו</w:t>
      </w:r>
      <w:r w:rsidR="00D67EDE" w:rsidRPr="00D67EDE">
        <w:rPr>
          <w:rFonts w:cs="Arial" w:hint="cs"/>
          <w:rtl/>
        </w:rPr>
        <w:t>טור</w:t>
      </w:r>
      <w:r w:rsidR="00D67EDE" w:rsidRPr="00D67EDE">
        <w:rPr>
          <w:rFonts w:hint="cs"/>
          <w:sz w:val="16"/>
          <w:szCs w:val="16"/>
          <w:rtl/>
        </w:rPr>
        <w:t xml:space="preserve"> (אהע"ז סי' קלו)</w:t>
      </w:r>
      <w:r w:rsidR="00A82951">
        <w:rPr>
          <w:rFonts w:cs="Arial" w:hint="cs"/>
          <w:rtl/>
        </w:rPr>
        <w:t>-</w:t>
      </w:r>
      <w:r w:rsidR="00D67EDE" w:rsidRPr="00D67EDE">
        <w:rPr>
          <w:rFonts w:cs="Arial" w:hint="cs"/>
          <w:rtl/>
        </w:rPr>
        <w:t xml:space="preserve"> </w:t>
      </w:r>
      <w:r w:rsidRPr="009805C0">
        <w:rPr>
          <w:rFonts w:cs="Arial"/>
          <w:rtl/>
        </w:rPr>
        <w:t xml:space="preserve">ואם היו באותו מקום שנים ששמותיהם שוים ושמות נשותיהם שוים </w:t>
      </w:r>
      <w:r w:rsidR="00483C2A">
        <w:rPr>
          <w:rFonts w:cs="Arial" w:hint="cs"/>
          <w:rtl/>
        </w:rPr>
        <w:t xml:space="preserve">- </w:t>
      </w:r>
      <w:r w:rsidRPr="009805C0">
        <w:rPr>
          <w:rFonts w:cs="Arial"/>
          <w:rtl/>
        </w:rPr>
        <w:t>אין מגרש אחד מהם אלא במעמד חבירו</w:t>
      </w:r>
      <w:r w:rsidR="00483C2A">
        <w:rPr>
          <w:rFonts w:cs="Arial" w:hint="cs"/>
          <w:rtl/>
        </w:rPr>
        <w:t>,</w:t>
      </w:r>
      <w:r w:rsidRPr="009805C0">
        <w:rPr>
          <w:rFonts w:cs="Arial"/>
          <w:rtl/>
        </w:rPr>
        <w:t xml:space="preserve"> שמא יכתוב גט ויוליכו לאשת חבירו ויגרשנה עליו</w:t>
      </w:r>
      <w:r>
        <w:rPr>
          <w:rFonts w:cs="Arial" w:hint="cs"/>
          <w:rtl/>
        </w:rPr>
        <w:t xml:space="preserve"> </w:t>
      </w:r>
      <w:r w:rsidRPr="009805C0">
        <w:rPr>
          <w:rFonts w:hint="cs"/>
          <w:sz w:val="16"/>
          <w:szCs w:val="16"/>
          <w:rtl/>
        </w:rPr>
        <w:t>(ל' הרמב"ם)</w:t>
      </w:r>
      <w:r w:rsidR="008A0897" w:rsidRPr="00C219D5">
        <w:rPr>
          <w:rFonts w:cs="Arial" w:hint="cs"/>
          <w:rtl/>
        </w:rPr>
        <w:t>.</w:t>
      </w:r>
      <w:r w:rsidR="00C74652" w:rsidRPr="00C74652">
        <w:rPr>
          <w:rFonts w:hint="cs"/>
          <w:color w:val="E36C0A" w:themeColor="accent6" w:themeShade="BF"/>
          <w:rtl/>
        </w:rPr>
        <w:t xml:space="preserve"> (וכ"פ בשו"ע)</w:t>
      </w:r>
    </w:p>
    <w:p w14:paraId="2AFBEE61" w14:textId="3E5A4AA2" w:rsidR="00573889" w:rsidRDefault="00573889" w:rsidP="0054732E">
      <w:pPr>
        <w:rPr>
          <w:rFonts w:cs="Arial"/>
          <w:rtl/>
        </w:rPr>
      </w:pPr>
      <w:r w:rsidRPr="00573889">
        <w:rPr>
          <w:rFonts w:cs="Arial" w:hint="cs"/>
          <w:b/>
          <w:bCs/>
          <w:rtl/>
        </w:rPr>
        <w:t xml:space="preserve">גיטין </w:t>
      </w:r>
      <w:r w:rsidRPr="00573889">
        <w:rPr>
          <w:rFonts w:cs="Arial" w:hint="cs"/>
          <w:b/>
          <w:bCs/>
          <w:sz w:val="16"/>
          <w:szCs w:val="16"/>
          <w:rtl/>
        </w:rPr>
        <w:t>(פ' התקבל)</w:t>
      </w:r>
      <w:r w:rsidRPr="00573889">
        <w:rPr>
          <w:rFonts w:cs="Arial" w:hint="cs"/>
          <w:b/>
          <w:bCs/>
          <w:rtl/>
        </w:rPr>
        <w:t xml:space="preserve"> סו ע"א:</w:t>
      </w:r>
      <w:r>
        <w:rPr>
          <w:rFonts w:cs="Arial" w:hint="cs"/>
          <w:rtl/>
        </w:rPr>
        <w:t xml:space="preserve"> </w:t>
      </w:r>
      <w:r w:rsidRPr="00573889">
        <w:rPr>
          <w:rFonts w:cs="Arial"/>
          <w:u w:val="double"/>
          <w:rtl/>
        </w:rPr>
        <w:t>מתני'</w:t>
      </w:r>
      <w:r>
        <w:rPr>
          <w:rFonts w:cs="Arial" w:hint="cs"/>
          <w:rtl/>
        </w:rPr>
        <w:t>:</w:t>
      </w:r>
      <w:r w:rsidRPr="00573889">
        <w:rPr>
          <w:rFonts w:cs="Arial"/>
          <w:rtl/>
        </w:rPr>
        <w:t xml:space="preserve"> מי שהיה מושלך לבור, ואמר כל השומע את קולו</w:t>
      </w:r>
      <w:r w:rsidR="00234F2E">
        <w:rPr>
          <w:rStyle w:val="a7"/>
          <w:rFonts w:cs="Arial"/>
          <w:rtl/>
        </w:rPr>
        <w:footnoteReference w:id="128"/>
      </w:r>
      <w:r w:rsidRPr="00573889">
        <w:rPr>
          <w:rFonts w:cs="Arial"/>
          <w:rtl/>
        </w:rPr>
        <w:t xml:space="preserve"> יכתוב גט לאשתו </w:t>
      </w:r>
      <w:r w:rsidR="00A82951">
        <w:rPr>
          <w:rFonts w:cs="Arial"/>
          <w:rtl/>
        </w:rPr>
        <w:t>-</w:t>
      </w:r>
      <w:r w:rsidRPr="00573889">
        <w:rPr>
          <w:rFonts w:cs="Arial"/>
          <w:rtl/>
        </w:rPr>
        <w:t xml:space="preserve"> הרי אלו יכתבו ויתנו. </w:t>
      </w:r>
      <w:r w:rsidR="0054732E">
        <w:rPr>
          <w:rFonts w:cs="Arial" w:hint="cs"/>
          <w:rtl/>
        </w:rPr>
        <w:t xml:space="preserve">      </w:t>
      </w:r>
      <w:r w:rsidRPr="0054732E">
        <w:rPr>
          <w:rFonts w:cs="Arial"/>
          <w:u w:val="double"/>
          <w:rtl/>
        </w:rPr>
        <w:t>גמ'</w:t>
      </w:r>
      <w:r w:rsidR="0054732E">
        <w:rPr>
          <w:rFonts w:cs="Arial" w:hint="cs"/>
          <w:rtl/>
        </w:rPr>
        <w:t>:</w:t>
      </w:r>
      <w:r w:rsidRPr="00573889">
        <w:rPr>
          <w:rFonts w:cs="Arial"/>
          <w:rtl/>
        </w:rPr>
        <w:t xml:space="preserve"> וליחוש שמא שד הוא! </w:t>
      </w:r>
      <w:r w:rsidRPr="00234F2E">
        <w:rPr>
          <w:rFonts w:cs="Arial"/>
          <w:u w:val="single"/>
          <w:rtl/>
        </w:rPr>
        <w:t>א"ר יהודה</w:t>
      </w:r>
      <w:r w:rsidRPr="00573889">
        <w:rPr>
          <w:rFonts w:cs="Arial"/>
          <w:rtl/>
        </w:rPr>
        <w:t>: כשראו לו דמות אדם. אינהו נמי אידמויי אידמו! דחזו ליה בבואה</w:t>
      </w:r>
      <w:r w:rsidR="00234F2E">
        <w:rPr>
          <w:rStyle w:val="a7"/>
          <w:rFonts w:cs="Arial"/>
          <w:rtl/>
        </w:rPr>
        <w:footnoteReference w:id="129"/>
      </w:r>
      <w:r w:rsidRPr="00573889">
        <w:rPr>
          <w:rFonts w:cs="Arial"/>
          <w:rtl/>
        </w:rPr>
        <w:t xml:space="preserve">. אינהו נמי אית להו בבואה! דחזו ליה בבואה דבבואה. ודלמא אינהו נמי אית להו! </w:t>
      </w:r>
      <w:r w:rsidRPr="00234F2E">
        <w:rPr>
          <w:rFonts w:cs="Arial"/>
          <w:u w:val="single"/>
          <w:rtl/>
        </w:rPr>
        <w:t>א"ר חנינא</w:t>
      </w:r>
      <w:r w:rsidR="00234F2E">
        <w:rPr>
          <w:rFonts w:cs="Arial" w:hint="cs"/>
          <w:rtl/>
        </w:rPr>
        <w:t>:</w:t>
      </w:r>
      <w:r w:rsidRPr="00573889">
        <w:rPr>
          <w:rFonts w:cs="Arial"/>
          <w:rtl/>
        </w:rPr>
        <w:t xml:space="preserve"> לימדני יונתן בני</w:t>
      </w:r>
      <w:r w:rsidR="00234F2E">
        <w:rPr>
          <w:rFonts w:cs="Arial" w:hint="cs"/>
          <w:rtl/>
        </w:rPr>
        <w:t>,</w:t>
      </w:r>
      <w:r w:rsidRPr="00573889">
        <w:rPr>
          <w:rFonts w:cs="Arial"/>
          <w:rtl/>
        </w:rPr>
        <w:t xml:space="preserve"> בבואה </w:t>
      </w:r>
      <w:r w:rsidRPr="00573889">
        <w:rPr>
          <w:rFonts w:cs="Arial"/>
          <w:rtl/>
        </w:rPr>
        <w:lastRenderedPageBreak/>
        <w:t>אית להו, בבואה דבבואה לית להו. ודלמא צרה היא</w:t>
      </w:r>
      <w:r w:rsidR="00234F2E">
        <w:rPr>
          <w:rStyle w:val="a7"/>
          <w:rFonts w:cs="Arial"/>
          <w:rtl/>
        </w:rPr>
        <w:footnoteReference w:id="130"/>
      </w:r>
      <w:r w:rsidRPr="00573889">
        <w:rPr>
          <w:rFonts w:cs="Arial"/>
          <w:rtl/>
        </w:rPr>
        <w:t xml:space="preserve">! </w:t>
      </w:r>
      <w:r w:rsidRPr="00336245">
        <w:rPr>
          <w:rFonts w:cs="Arial"/>
          <w:u w:val="single"/>
          <w:rtl/>
        </w:rPr>
        <w:t>תנא דבי רבי ישמעאל</w:t>
      </w:r>
      <w:r w:rsidRPr="00573889">
        <w:rPr>
          <w:rFonts w:cs="Arial"/>
          <w:rtl/>
        </w:rPr>
        <w:t>: בשעת הסכנה</w:t>
      </w:r>
      <w:r w:rsidR="00234F2E">
        <w:rPr>
          <w:rStyle w:val="a7"/>
          <w:rFonts w:cs="Arial"/>
          <w:rtl/>
        </w:rPr>
        <w:footnoteReference w:id="131"/>
      </w:r>
      <w:r w:rsidRPr="00573889">
        <w:rPr>
          <w:rFonts w:cs="Arial"/>
          <w:rtl/>
        </w:rPr>
        <w:t>, כותבין ונותנין אף על פי שאין מכירין</w:t>
      </w:r>
      <w:r w:rsidR="00234F2E">
        <w:rPr>
          <w:rStyle w:val="a7"/>
          <w:rFonts w:cs="Arial"/>
          <w:rtl/>
        </w:rPr>
        <w:footnoteReference w:id="132"/>
      </w:r>
      <w:r w:rsidRPr="00573889">
        <w:rPr>
          <w:rFonts w:cs="Arial"/>
          <w:rtl/>
        </w:rPr>
        <w:t xml:space="preserve">. </w:t>
      </w:r>
    </w:p>
    <w:p w14:paraId="57FA1E20" w14:textId="4F0A8FC3" w:rsidR="009209E2" w:rsidRPr="009805C0" w:rsidRDefault="00BA15E7" w:rsidP="009805C0">
      <w:pPr>
        <w:rPr>
          <w:rFonts w:cs="Arial"/>
          <w:rtl/>
        </w:rPr>
      </w:pPr>
      <w:r w:rsidRPr="00336245">
        <w:rPr>
          <w:rFonts w:cs="Arial"/>
          <w:b/>
          <w:bCs/>
          <w:rtl/>
        </w:rPr>
        <w:t xml:space="preserve">יבמות </w:t>
      </w:r>
      <w:r w:rsidRPr="00336245">
        <w:rPr>
          <w:rFonts w:cs="Arial"/>
          <w:b/>
          <w:bCs/>
          <w:sz w:val="16"/>
          <w:szCs w:val="16"/>
          <w:rtl/>
        </w:rPr>
        <w:t>(</w:t>
      </w:r>
      <w:r w:rsidR="00336245" w:rsidRPr="00336245">
        <w:rPr>
          <w:rFonts w:cs="Arial" w:hint="cs"/>
          <w:b/>
          <w:bCs/>
          <w:sz w:val="16"/>
          <w:szCs w:val="16"/>
          <w:rtl/>
        </w:rPr>
        <w:t xml:space="preserve">פ' בתרא) </w:t>
      </w:r>
      <w:r w:rsidRPr="00336245">
        <w:rPr>
          <w:rFonts w:cs="Arial"/>
          <w:b/>
          <w:bCs/>
          <w:rtl/>
        </w:rPr>
        <w:t>קכב</w:t>
      </w:r>
      <w:r w:rsidR="00E82E77">
        <w:rPr>
          <w:rStyle w:val="a7"/>
          <w:rFonts w:cs="Arial"/>
          <w:b/>
          <w:bCs/>
          <w:rtl/>
        </w:rPr>
        <w:footnoteReference w:id="133"/>
      </w:r>
      <w:r w:rsidR="00336245" w:rsidRPr="00336245">
        <w:rPr>
          <w:rFonts w:cs="Arial" w:hint="cs"/>
          <w:b/>
          <w:bCs/>
          <w:rtl/>
        </w:rPr>
        <w:t xml:space="preserve"> ע"א:</w:t>
      </w:r>
      <w:r w:rsidR="00336245">
        <w:rPr>
          <w:rFonts w:cs="Arial" w:hint="cs"/>
          <w:rtl/>
        </w:rPr>
        <w:t xml:space="preserve"> </w:t>
      </w:r>
      <w:r w:rsidR="00336245" w:rsidRPr="00336245">
        <w:rPr>
          <w:rFonts w:cs="Arial"/>
          <w:u w:val="double"/>
          <w:rtl/>
        </w:rPr>
        <w:t>מתני'</w:t>
      </w:r>
      <w:r w:rsidR="00336245">
        <w:rPr>
          <w:rFonts w:cs="Arial" w:hint="cs"/>
          <w:rtl/>
        </w:rPr>
        <w:t>:</w:t>
      </w:r>
      <w:r w:rsidR="00336245" w:rsidRPr="00336245">
        <w:rPr>
          <w:rFonts w:cs="Arial"/>
          <w:rtl/>
        </w:rPr>
        <w:t xml:space="preserve"> מעידין לאור הנר ולאור הלבנה, ומשיאין על פי בת קול. מעשה באחד שעמד על ראש ההר ואמר: איש פלוני בן פלוני ממקום פלוני מת, הלכו ולא מצאו שם אדם, והשיאו את אשתו. ושוב מעשה בצלמון באחד שאמר: אני איש פלוני בן איש פלוני, נשכני נחש והרי אני מת, והלכו ולא הכירוהו, והלכו והשיאו את אשתו.</w:t>
      </w:r>
      <w:r w:rsidR="00336245">
        <w:rPr>
          <w:rFonts w:cs="Arial" w:hint="cs"/>
          <w:rtl/>
        </w:rPr>
        <w:t xml:space="preserve">       </w:t>
      </w:r>
      <w:r w:rsidR="00336245" w:rsidRPr="00336245">
        <w:rPr>
          <w:rFonts w:cs="Arial"/>
          <w:rtl/>
        </w:rPr>
        <w:t xml:space="preserve"> </w:t>
      </w:r>
      <w:r w:rsidR="00336245" w:rsidRPr="00336245">
        <w:rPr>
          <w:rFonts w:cs="Arial"/>
          <w:u w:val="double"/>
          <w:rtl/>
        </w:rPr>
        <w:t>גמ'</w:t>
      </w:r>
      <w:r w:rsidR="00336245">
        <w:rPr>
          <w:rFonts w:cs="Arial" w:hint="cs"/>
          <w:rtl/>
        </w:rPr>
        <w:t>:</w:t>
      </w:r>
      <w:r w:rsidR="00336245" w:rsidRPr="00336245">
        <w:rPr>
          <w:rFonts w:cs="Arial"/>
          <w:rtl/>
        </w:rPr>
        <w:t xml:space="preserve"> והלכו ולא מצאו. ודלמא שד הוה! </w:t>
      </w:r>
      <w:r w:rsidR="00336245" w:rsidRPr="00336245">
        <w:rPr>
          <w:rFonts w:cs="Arial"/>
          <w:u w:val="single"/>
          <w:rtl/>
        </w:rPr>
        <w:t>א"ר יהודה אמר רב</w:t>
      </w:r>
      <w:r w:rsidR="00336245" w:rsidRPr="00336245">
        <w:rPr>
          <w:rFonts w:cs="Arial"/>
          <w:rtl/>
        </w:rPr>
        <w:t xml:space="preserve">: שראו לו דמות אדם. אינהו נמי דמו! דחזו ליה בבואה. ואינהו נמי אית להו בבואה! דחזו ליה בבואה דבבואה. ודלמא לדידהו אית להו בבואה דבבואה! </w:t>
      </w:r>
      <w:r w:rsidR="00336245" w:rsidRPr="00336245">
        <w:rPr>
          <w:rFonts w:cs="Arial"/>
          <w:u w:val="single"/>
          <w:rtl/>
        </w:rPr>
        <w:t>אמר רבי חנינא</w:t>
      </w:r>
      <w:r w:rsidR="00336245">
        <w:rPr>
          <w:rFonts w:cs="Arial" w:hint="cs"/>
          <w:rtl/>
        </w:rPr>
        <w:t>:</w:t>
      </w:r>
      <w:r w:rsidR="00336245" w:rsidRPr="00336245">
        <w:rPr>
          <w:rFonts w:cs="Arial"/>
          <w:rtl/>
        </w:rPr>
        <w:t xml:space="preserve"> אמר לי יונתן</w:t>
      </w:r>
      <w:r w:rsidR="00336245">
        <w:rPr>
          <w:rFonts w:cs="Arial" w:hint="cs"/>
          <w:rtl/>
        </w:rPr>
        <w:t>,</w:t>
      </w:r>
      <w:r w:rsidR="00336245" w:rsidRPr="00336245">
        <w:rPr>
          <w:rFonts w:cs="Arial"/>
          <w:rtl/>
        </w:rPr>
        <w:t xml:space="preserve"> שידא</w:t>
      </w:r>
      <w:r w:rsidR="00336245">
        <w:rPr>
          <w:rFonts w:cs="Arial" w:hint="cs"/>
          <w:rtl/>
        </w:rPr>
        <w:t>,</w:t>
      </w:r>
      <w:r w:rsidR="00336245" w:rsidRPr="00336245">
        <w:rPr>
          <w:rFonts w:cs="Arial"/>
          <w:rtl/>
        </w:rPr>
        <w:t xml:space="preserve"> בבואה אית להו, בבואה דבבואה לית להו. ודלמא צרה הואי! </w:t>
      </w:r>
      <w:r w:rsidR="00336245" w:rsidRPr="00336245">
        <w:rPr>
          <w:rFonts w:cs="Arial"/>
          <w:u w:val="single"/>
          <w:rtl/>
        </w:rPr>
        <w:t>תנא דבי רבי ישמעאל</w:t>
      </w:r>
      <w:r w:rsidR="00336245" w:rsidRPr="00336245">
        <w:rPr>
          <w:rFonts w:cs="Arial"/>
          <w:rtl/>
        </w:rPr>
        <w:t>: בשעת הסכנה, כותבין ונותנין אף על פי שאין מכירין.</w:t>
      </w:r>
      <w:r w:rsidR="00336245">
        <w:rPr>
          <w:rFonts w:cs="Arial" w:hint="cs"/>
          <w:rtl/>
        </w:rPr>
        <w:t xml:space="preserve"> </w:t>
      </w:r>
      <w:r w:rsidR="00336245" w:rsidRPr="00336245">
        <w:rPr>
          <w:rFonts w:cs="Arial" w:hint="cs"/>
          <w:sz w:val="16"/>
          <w:szCs w:val="16"/>
          <w:rtl/>
        </w:rPr>
        <w:t>(</w:t>
      </w:r>
      <w:r w:rsidRPr="00336245">
        <w:rPr>
          <w:rFonts w:cs="Arial"/>
          <w:sz w:val="16"/>
          <w:szCs w:val="16"/>
          <w:rtl/>
        </w:rPr>
        <w:t>ופירש רש"י בשעת הסכנה כגון מי שהיה מושלך לבור וכו'</w:t>
      </w:r>
      <w:r w:rsidR="009805C0">
        <w:rPr>
          <w:rFonts w:cs="Arial" w:hint="cs"/>
          <w:sz w:val="16"/>
          <w:szCs w:val="16"/>
          <w:rtl/>
        </w:rPr>
        <w:t>,</w:t>
      </w:r>
      <w:r w:rsidRPr="00336245">
        <w:rPr>
          <w:rFonts w:cs="Arial"/>
          <w:sz w:val="16"/>
          <w:szCs w:val="16"/>
          <w:rtl/>
        </w:rPr>
        <w:t xml:space="preserve"> והכא נמי כשעת הסכנה דמי שאם לא תאמין לזה לא תמצא אחר ותשב עגונה</w:t>
      </w:r>
      <w:r w:rsidR="00A95729">
        <w:rPr>
          <w:rStyle w:val="a7"/>
          <w:rFonts w:cs="Arial"/>
          <w:sz w:val="16"/>
          <w:szCs w:val="16"/>
          <w:rtl/>
        </w:rPr>
        <w:footnoteReference w:id="134"/>
      </w:r>
      <w:r w:rsidR="009805C0">
        <w:rPr>
          <w:rFonts w:cs="Arial" w:hint="cs"/>
          <w:sz w:val="16"/>
          <w:szCs w:val="16"/>
          <w:rtl/>
        </w:rPr>
        <w:t>,</w:t>
      </w:r>
      <w:r w:rsidR="00336245">
        <w:rPr>
          <w:rFonts w:cs="Arial" w:hint="cs"/>
          <w:sz w:val="16"/>
          <w:szCs w:val="16"/>
          <w:rtl/>
        </w:rPr>
        <w:t xml:space="preserve"> עכ"ל</w:t>
      </w:r>
      <w:r w:rsidR="009805C0">
        <w:rPr>
          <w:rFonts w:cs="Arial" w:hint="cs"/>
          <w:sz w:val="16"/>
          <w:szCs w:val="16"/>
          <w:rtl/>
        </w:rPr>
        <w:t>.</w:t>
      </w:r>
      <w:r w:rsidR="009805C0" w:rsidRPr="009805C0">
        <w:rPr>
          <w:rFonts w:cs="Arial"/>
          <w:sz w:val="16"/>
          <w:szCs w:val="16"/>
          <w:rtl/>
        </w:rPr>
        <w:t xml:space="preserve"> והרי"ף והרא"ש לא כתבו הא דרבי ישמעאל בפרק התקבל</w:t>
      </w:r>
      <w:r w:rsidR="009805C0" w:rsidRPr="009805C0">
        <w:rPr>
          <w:rFonts w:cs="Arial" w:hint="cs"/>
          <w:sz w:val="16"/>
          <w:szCs w:val="16"/>
          <w:rtl/>
        </w:rPr>
        <w:t>,</w:t>
      </w:r>
      <w:r w:rsidR="009805C0" w:rsidRPr="009805C0">
        <w:rPr>
          <w:rFonts w:cs="Arial"/>
          <w:sz w:val="16"/>
          <w:szCs w:val="16"/>
          <w:rtl/>
        </w:rPr>
        <w:t xml:space="preserve"> לפי שסמכו על מה שכתבוה בסוף יבמות (רי"ף מו:, רא"ש פט"ז ס"ח) שהיא עולה ללמד גם על דין עדות אשה שמת בעלה</w:t>
      </w:r>
      <w:r w:rsidR="009805C0" w:rsidRPr="009805C0">
        <w:rPr>
          <w:rFonts w:cs="Arial" w:hint="cs"/>
          <w:sz w:val="16"/>
          <w:szCs w:val="16"/>
          <w:rtl/>
        </w:rPr>
        <w:t>.</w:t>
      </w:r>
      <w:r w:rsidR="009805C0" w:rsidRPr="009805C0">
        <w:rPr>
          <w:rFonts w:cs="Arial"/>
          <w:sz w:val="16"/>
          <w:szCs w:val="16"/>
          <w:rtl/>
        </w:rPr>
        <w:t xml:space="preserve"> והרמב"ם כתבו בפ</w:t>
      </w:r>
      <w:r w:rsidR="009805C0" w:rsidRPr="009805C0">
        <w:rPr>
          <w:rFonts w:cs="Arial" w:hint="cs"/>
          <w:sz w:val="16"/>
          <w:szCs w:val="16"/>
          <w:rtl/>
        </w:rPr>
        <w:t>"</w:t>
      </w:r>
      <w:r w:rsidR="009805C0" w:rsidRPr="009805C0">
        <w:rPr>
          <w:rFonts w:cs="Arial"/>
          <w:sz w:val="16"/>
          <w:szCs w:val="16"/>
          <w:rtl/>
        </w:rPr>
        <w:t>ב מהלכות גירושין (ה"ד)</w:t>
      </w:r>
      <w:r w:rsidR="00336245">
        <w:rPr>
          <w:rFonts w:cs="Arial" w:hint="cs"/>
          <w:sz w:val="16"/>
          <w:szCs w:val="16"/>
          <w:rtl/>
        </w:rPr>
        <w:t>, ב"י)</w:t>
      </w:r>
    </w:p>
    <w:p w14:paraId="484A3CA8" w14:textId="76918EAF" w:rsidR="009805C0" w:rsidRDefault="009805C0" w:rsidP="009805C0">
      <w:pPr>
        <w:rPr>
          <w:rFonts w:cs="Arial"/>
          <w:rtl/>
        </w:rPr>
      </w:pPr>
      <w:r w:rsidRPr="00C219D5">
        <w:rPr>
          <w:rFonts w:cs="Arial" w:hint="cs"/>
          <w:u w:val="single"/>
          <w:rtl/>
        </w:rPr>
        <w:t xml:space="preserve">כתיבת גט בלי להכיר שמות הבעל והאשה </w:t>
      </w:r>
      <w:r w:rsidR="00A82951">
        <w:rPr>
          <w:rFonts w:cs="Arial"/>
          <w:u w:val="single"/>
          <w:rtl/>
        </w:rPr>
        <w:t>-</w:t>
      </w:r>
      <w:r w:rsidRPr="00C219D5">
        <w:rPr>
          <w:rFonts w:cs="Arial" w:hint="cs"/>
          <w:u w:val="single"/>
          <w:rtl/>
        </w:rPr>
        <w:t xml:space="preserve"> בשעת הסכנה:</w:t>
      </w:r>
    </w:p>
    <w:p w14:paraId="6305D4BE" w14:textId="4CFB7CB5" w:rsidR="009805C0" w:rsidRDefault="009805C0" w:rsidP="00A65C5F">
      <w:pPr>
        <w:pStyle w:val="ab"/>
        <w:numPr>
          <w:ilvl w:val="0"/>
          <w:numId w:val="24"/>
        </w:numPr>
        <w:rPr>
          <w:rFonts w:cs="Arial"/>
        </w:rPr>
      </w:pPr>
      <w:r w:rsidRPr="00C219D5">
        <w:rPr>
          <w:rFonts w:cs="Arial" w:hint="cs"/>
          <w:rtl/>
        </w:rPr>
        <w:t>טור</w:t>
      </w:r>
      <w:r w:rsidR="00A82951">
        <w:rPr>
          <w:rFonts w:cs="Arial" w:hint="cs"/>
          <w:rtl/>
        </w:rPr>
        <w:t>-</w:t>
      </w:r>
      <w:r w:rsidRPr="00C219D5">
        <w:rPr>
          <w:rFonts w:cs="Arial" w:hint="cs"/>
          <w:rtl/>
        </w:rPr>
        <w:t xml:space="preserve"> </w:t>
      </w:r>
      <w:r w:rsidRPr="00C219D5">
        <w:rPr>
          <w:rFonts w:cs="Arial"/>
          <w:rtl/>
        </w:rPr>
        <w:t>בשעת הסכנה כותבים אע</w:t>
      </w:r>
      <w:r>
        <w:rPr>
          <w:rFonts w:cs="Arial" w:hint="cs"/>
          <w:rtl/>
        </w:rPr>
        <w:t>"</w:t>
      </w:r>
      <w:r w:rsidRPr="00C219D5">
        <w:rPr>
          <w:rFonts w:cs="Arial"/>
          <w:rtl/>
        </w:rPr>
        <w:t>פ שאין מכירים</w:t>
      </w:r>
      <w:r w:rsidRPr="00C219D5">
        <w:rPr>
          <w:rFonts w:cs="Arial" w:hint="cs"/>
          <w:rtl/>
        </w:rPr>
        <w:t>.</w:t>
      </w:r>
    </w:p>
    <w:p w14:paraId="6106816D" w14:textId="0712903B" w:rsidR="009805C0" w:rsidRPr="00C219D5" w:rsidRDefault="009805C0" w:rsidP="00A65C5F">
      <w:pPr>
        <w:pStyle w:val="ab"/>
        <w:numPr>
          <w:ilvl w:val="0"/>
          <w:numId w:val="24"/>
        </w:numPr>
        <w:rPr>
          <w:rFonts w:cs="Arial"/>
          <w:rtl/>
        </w:rPr>
      </w:pPr>
      <w:r>
        <w:rPr>
          <w:rFonts w:cs="Arial" w:hint="cs"/>
          <w:rtl/>
        </w:rPr>
        <w:t xml:space="preserve">רמב"ם </w:t>
      </w:r>
      <w:r>
        <w:rPr>
          <w:rFonts w:cs="Arial" w:hint="cs"/>
          <w:sz w:val="16"/>
          <w:szCs w:val="16"/>
          <w:rtl/>
        </w:rPr>
        <w:t>(פ"ב מגירושין ה"ד)</w:t>
      </w:r>
      <w:r w:rsidR="00A82951">
        <w:rPr>
          <w:rFonts w:cs="Arial" w:hint="cs"/>
          <w:rtl/>
        </w:rPr>
        <w:t>-</w:t>
      </w:r>
      <w:r>
        <w:rPr>
          <w:rFonts w:cs="Arial" w:hint="cs"/>
          <w:rtl/>
        </w:rPr>
        <w:t xml:space="preserve"> </w:t>
      </w:r>
      <w:r w:rsidRPr="009805C0">
        <w:rPr>
          <w:rFonts w:cs="Arial"/>
          <w:rtl/>
        </w:rPr>
        <w:t>בשעת הסכנה כותבין ונותנין אע</w:t>
      </w:r>
      <w:r>
        <w:rPr>
          <w:rFonts w:cs="Arial" w:hint="cs"/>
          <w:rtl/>
        </w:rPr>
        <w:t>"</w:t>
      </w:r>
      <w:r w:rsidRPr="009805C0">
        <w:rPr>
          <w:rFonts w:cs="Arial"/>
          <w:rtl/>
        </w:rPr>
        <w:t>פ שאין מכירין</w:t>
      </w:r>
      <w:r>
        <w:rPr>
          <w:rFonts w:cs="Arial" w:hint="cs"/>
          <w:rtl/>
        </w:rPr>
        <w:t>.</w:t>
      </w:r>
      <w:r w:rsidR="00C74652" w:rsidRPr="00C74652">
        <w:rPr>
          <w:rFonts w:hint="cs"/>
          <w:color w:val="E36C0A" w:themeColor="accent6" w:themeShade="BF"/>
          <w:rtl/>
        </w:rPr>
        <w:t xml:space="preserve"> (וכ"פ בשו"ע)</w:t>
      </w:r>
    </w:p>
    <w:p w14:paraId="3162985A" w14:textId="77777777" w:rsidR="009209E2" w:rsidRPr="007B74F1" w:rsidRDefault="009209E2" w:rsidP="009209E2">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834CE10" w14:textId="6B2B03CE" w:rsidR="00367D3A" w:rsidRPr="00367D3A" w:rsidRDefault="00486C31" w:rsidP="00A95729">
      <w:pPr>
        <w:rPr>
          <w:rFonts w:cs="Arial"/>
          <w:rtl/>
        </w:rPr>
      </w:pPr>
      <w:r w:rsidRPr="00486C31">
        <w:rPr>
          <w:rFonts w:cs="Arial"/>
          <w:rtl/>
        </w:rPr>
        <w:t>כותבין גט לאיש אף על פי שאין אשתו עמו</w:t>
      </w:r>
      <w:r w:rsidR="00D24FDF">
        <w:rPr>
          <w:rStyle w:val="a7"/>
          <w:rFonts w:cs="Arial"/>
          <w:rtl/>
        </w:rPr>
        <w:footnoteReference w:id="135"/>
      </w:r>
      <w:r w:rsidRPr="00486C31">
        <w:rPr>
          <w:rFonts w:cs="Arial"/>
          <w:rtl/>
        </w:rPr>
        <w:t>, והוא שיהיו העדים שחתמו בו מכירים ויודעים</w:t>
      </w:r>
      <w:r w:rsidR="00D24FDF">
        <w:rPr>
          <w:rStyle w:val="a7"/>
          <w:rFonts w:cs="Arial"/>
          <w:rtl/>
        </w:rPr>
        <w:footnoteReference w:id="136"/>
      </w:r>
      <w:r w:rsidRPr="00486C31">
        <w:rPr>
          <w:rFonts w:cs="Arial"/>
          <w:rtl/>
        </w:rPr>
        <w:t xml:space="preserve"> שזה פלוני</w:t>
      </w:r>
      <w:r w:rsidR="00A95729">
        <w:rPr>
          <w:rStyle w:val="a7"/>
          <w:rFonts w:cs="Arial"/>
          <w:rtl/>
        </w:rPr>
        <w:footnoteReference w:id="137"/>
      </w:r>
      <w:r w:rsidRPr="00486C31">
        <w:rPr>
          <w:rFonts w:cs="Arial"/>
          <w:rtl/>
        </w:rPr>
        <w:t xml:space="preserve"> ואשתו פלונית</w:t>
      </w:r>
      <w:r w:rsidR="003845A1">
        <w:rPr>
          <w:rStyle w:val="a7"/>
          <w:rFonts w:cs="Arial"/>
          <w:rtl/>
        </w:rPr>
        <w:footnoteReference w:id="138"/>
      </w:r>
      <w:r w:rsidRPr="00486C31">
        <w:rPr>
          <w:rFonts w:cs="Arial"/>
          <w:rtl/>
        </w:rPr>
        <w:t xml:space="preserve">. </w:t>
      </w:r>
      <w:r w:rsidR="00E3659C">
        <w:rPr>
          <w:rFonts w:cs="Arial" w:hint="cs"/>
          <w:sz w:val="18"/>
          <w:szCs w:val="18"/>
          <w:rtl/>
        </w:rPr>
        <w:t xml:space="preserve">[הגה] </w:t>
      </w:r>
      <w:r w:rsidRPr="00121280">
        <w:rPr>
          <w:rFonts w:cs="Arial"/>
          <w:sz w:val="18"/>
          <w:szCs w:val="18"/>
          <w:rtl/>
        </w:rPr>
        <w:t>ויש אומרים דגם הסופר צריך להכירן</w:t>
      </w:r>
      <w:r w:rsidR="003845A1">
        <w:rPr>
          <w:rStyle w:val="a7"/>
          <w:rFonts w:cs="Arial"/>
          <w:sz w:val="18"/>
          <w:szCs w:val="18"/>
          <w:rtl/>
        </w:rPr>
        <w:footnoteReference w:id="139"/>
      </w:r>
      <w:r w:rsidRPr="00121280">
        <w:rPr>
          <w:rFonts w:cs="Arial"/>
          <w:sz w:val="18"/>
          <w:szCs w:val="18"/>
          <w:rtl/>
        </w:rPr>
        <w:t xml:space="preserve"> (טור</w:t>
      </w:r>
      <w:r w:rsidR="005C1333">
        <w:rPr>
          <w:rFonts w:cs="Arial" w:hint="cs"/>
          <w:sz w:val="18"/>
          <w:szCs w:val="18"/>
          <w:rtl/>
        </w:rPr>
        <w:t>)</w:t>
      </w:r>
      <w:r w:rsidRPr="00121280">
        <w:rPr>
          <w:rFonts w:cs="Arial"/>
          <w:sz w:val="18"/>
          <w:szCs w:val="18"/>
          <w:rtl/>
        </w:rPr>
        <w:t xml:space="preserve"> וכן נ"ל. </w:t>
      </w:r>
      <w:r w:rsidRPr="00486C31">
        <w:rPr>
          <w:rFonts w:cs="Arial"/>
          <w:rtl/>
        </w:rPr>
        <w:t xml:space="preserve">והכרה זו אפילו על פי עד אחד, ואפילו על פי אשה וקרוב. </w:t>
      </w:r>
      <w:r w:rsidRPr="00121280">
        <w:rPr>
          <w:rFonts w:cs="Arial"/>
          <w:sz w:val="18"/>
          <w:szCs w:val="18"/>
          <w:rtl/>
        </w:rPr>
        <w:t>הגה: וצריך להכיר שם האיש והאשה ושם אביהם. וכל שהוחזק שלשים יום בעיר, אין חוששין להם יותר</w:t>
      </w:r>
      <w:r w:rsidR="0075588B">
        <w:rPr>
          <w:rFonts w:cs="Arial" w:hint="cs"/>
          <w:sz w:val="18"/>
          <w:szCs w:val="18"/>
          <w:rtl/>
        </w:rPr>
        <w:t xml:space="preserve"> (רמב"ם)</w:t>
      </w:r>
      <w:r w:rsidRPr="00121280">
        <w:rPr>
          <w:rFonts w:cs="Arial"/>
          <w:sz w:val="18"/>
          <w:szCs w:val="18"/>
          <w:rtl/>
        </w:rPr>
        <w:t>. ושם אביו, נהגו לכתוב על פי עצמו</w:t>
      </w:r>
      <w:r w:rsidR="003C478A">
        <w:rPr>
          <w:rStyle w:val="a7"/>
          <w:rFonts w:cs="Arial"/>
          <w:sz w:val="18"/>
          <w:szCs w:val="18"/>
          <w:rtl/>
        </w:rPr>
        <w:footnoteReference w:id="140"/>
      </w:r>
      <w:r w:rsidR="00C8319D">
        <w:rPr>
          <w:rFonts w:cs="Arial" w:hint="cs"/>
          <w:sz w:val="18"/>
          <w:szCs w:val="18"/>
          <w:rtl/>
        </w:rPr>
        <w:t xml:space="preserve"> (ב"י)</w:t>
      </w:r>
      <w:r w:rsidRPr="00121280">
        <w:rPr>
          <w:rFonts w:cs="Arial"/>
          <w:sz w:val="18"/>
          <w:szCs w:val="18"/>
          <w:rtl/>
        </w:rPr>
        <w:t>.</w:t>
      </w:r>
      <w:r w:rsidRPr="00486C31">
        <w:rPr>
          <w:rFonts w:cs="Arial"/>
          <w:rtl/>
        </w:rPr>
        <w:t xml:space="preserve"> ואם היו באותו מקום שנים ששמותיהם שוים ושמות נשותיהן שוין, אין מגרש אחד מהם אלא במעמד חבריו, שמא יכתוב גט ויוליכנו לאשת חבירו ויגרשנה עליו. ובשעת הסכנה, כותבין ונותנין אף על פי שאין מכירים. </w:t>
      </w:r>
    </w:p>
    <w:p w14:paraId="3E6B9EEE" w14:textId="76DCEAE3" w:rsidR="00AA143E" w:rsidRDefault="003770D4" w:rsidP="00367D3A">
      <w:pPr>
        <w:rPr>
          <w:rFonts w:cs="Arial"/>
          <w:rtl/>
        </w:rPr>
      </w:pPr>
      <w:r w:rsidRPr="003770D4">
        <w:rPr>
          <w:rFonts w:cs="Arial" w:hint="cs"/>
          <w:u w:val="single"/>
          <w:rtl/>
        </w:rPr>
        <w:t>האם אפשר לסמוך על הכתב כדי להכיר שם האיש והאשה:</w:t>
      </w:r>
      <w:r>
        <w:rPr>
          <w:rFonts w:cs="Arial" w:hint="cs"/>
          <w:rtl/>
        </w:rPr>
        <w:t xml:space="preserve">  </w:t>
      </w:r>
      <w:r w:rsidR="00367D3A" w:rsidRPr="003770D4">
        <w:rPr>
          <w:rFonts w:cs="Arial"/>
          <w:sz w:val="16"/>
          <w:szCs w:val="16"/>
          <w:rtl/>
        </w:rPr>
        <w:t>(</w:t>
      </w:r>
      <w:r w:rsidRPr="003770D4">
        <w:rPr>
          <w:rFonts w:cs="Arial" w:hint="cs"/>
          <w:sz w:val="16"/>
          <w:szCs w:val="16"/>
          <w:rtl/>
        </w:rPr>
        <w:t>פת"ש סק</w:t>
      </w:r>
      <w:r w:rsidR="00367D3A" w:rsidRPr="003770D4">
        <w:rPr>
          <w:rFonts w:cs="Arial"/>
          <w:sz w:val="16"/>
          <w:szCs w:val="16"/>
          <w:rtl/>
        </w:rPr>
        <w:t>י</w:t>
      </w:r>
      <w:r w:rsidRPr="003770D4">
        <w:rPr>
          <w:rFonts w:cs="Arial" w:hint="cs"/>
          <w:sz w:val="16"/>
          <w:szCs w:val="16"/>
          <w:rtl/>
        </w:rPr>
        <w:t>"</w:t>
      </w:r>
      <w:r w:rsidR="00367D3A" w:rsidRPr="003770D4">
        <w:rPr>
          <w:rFonts w:cs="Arial"/>
          <w:sz w:val="16"/>
          <w:szCs w:val="16"/>
          <w:rtl/>
        </w:rPr>
        <w:t>א)</w:t>
      </w:r>
      <w:r w:rsidR="00367D3A" w:rsidRPr="00367D3A">
        <w:rPr>
          <w:rFonts w:cs="Arial"/>
          <w:rtl/>
        </w:rPr>
        <w:t xml:space="preserve"> </w:t>
      </w:r>
    </w:p>
    <w:p w14:paraId="4F8A7618" w14:textId="6A52C1D8" w:rsidR="009F64C8" w:rsidRDefault="00367D3A" w:rsidP="00A65C5F">
      <w:pPr>
        <w:pStyle w:val="ab"/>
        <w:numPr>
          <w:ilvl w:val="0"/>
          <w:numId w:val="27"/>
        </w:numPr>
        <w:rPr>
          <w:rFonts w:cs="Arial"/>
        </w:rPr>
      </w:pPr>
      <w:r w:rsidRPr="003770D4">
        <w:rPr>
          <w:rFonts w:cs="Arial"/>
          <w:rtl/>
        </w:rPr>
        <w:t>תו"ג</w:t>
      </w:r>
      <w:r w:rsidR="003770D4" w:rsidRPr="003770D4">
        <w:rPr>
          <w:rFonts w:cs="Arial" w:hint="cs"/>
          <w:rtl/>
        </w:rPr>
        <w:t xml:space="preserve"> </w:t>
      </w:r>
      <w:r w:rsidR="003770D4" w:rsidRPr="003770D4">
        <w:rPr>
          <w:rFonts w:cs="Arial" w:hint="cs"/>
          <w:sz w:val="16"/>
          <w:szCs w:val="16"/>
          <w:rtl/>
        </w:rPr>
        <w:t>(סקי"ג)</w:t>
      </w:r>
      <w:r w:rsidR="00A82951">
        <w:rPr>
          <w:rFonts w:cs="Arial" w:hint="cs"/>
          <w:rtl/>
        </w:rPr>
        <w:t>-</w:t>
      </w:r>
      <w:r w:rsidR="00AA143E" w:rsidRPr="003770D4">
        <w:rPr>
          <w:rFonts w:cs="Arial" w:hint="cs"/>
          <w:rtl/>
        </w:rPr>
        <w:t xml:space="preserve"> </w:t>
      </w:r>
      <w:r w:rsidR="003770D4" w:rsidRPr="003770D4">
        <w:rPr>
          <w:rFonts w:cs="Arial"/>
          <w:rtl/>
        </w:rPr>
        <w:t xml:space="preserve">קצת רצו ללמוד מכאן </w:t>
      </w:r>
      <w:r w:rsidR="003770D4">
        <w:rPr>
          <w:rFonts w:cs="Arial" w:hint="cs"/>
          <w:sz w:val="16"/>
          <w:szCs w:val="16"/>
          <w:rtl/>
        </w:rPr>
        <w:t xml:space="preserve">{מדברי הרא"ש והשו"ע דסגי בעדות אשה/קרוב} </w:t>
      </w:r>
      <w:r w:rsidR="003770D4" w:rsidRPr="003770D4">
        <w:rPr>
          <w:rFonts w:cs="Arial"/>
          <w:rtl/>
        </w:rPr>
        <w:t>במעשה שאירע בא' שאמר לסופר ועדים כתבו ולשליח שיתן</w:t>
      </w:r>
      <w:r w:rsidR="003770D4">
        <w:rPr>
          <w:rFonts w:cs="Arial" w:hint="cs"/>
          <w:rtl/>
        </w:rPr>
        <w:t>.</w:t>
      </w:r>
      <w:r w:rsidR="003770D4" w:rsidRPr="003770D4">
        <w:rPr>
          <w:rFonts w:cs="Arial"/>
          <w:rtl/>
        </w:rPr>
        <w:t xml:space="preserve"> ושכחו העדים והשליח שם המגרש והאשה ומי הן ומאיזה מקום הן</w:t>
      </w:r>
      <w:r w:rsidR="003770D4">
        <w:rPr>
          <w:rFonts w:cs="Arial" w:hint="cs"/>
          <w:rtl/>
        </w:rPr>
        <w:t>.</w:t>
      </w:r>
      <w:r w:rsidR="003770D4" w:rsidRPr="003770D4">
        <w:rPr>
          <w:rFonts w:cs="Arial"/>
          <w:rtl/>
        </w:rPr>
        <w:t xml:space="preserve"> רק הסופר מצא כתוב אצלו שמם ושם מקומם. ורצו קצת לומר דהוי כמו הכרה דמהני מפי כתבם</w:t>
      </w:r>
      <w:r w:rsidR="003770D4">
        <w:rPr>
          <w:rFonts w:cs="Arial" w:hint="cs"/>
          <w:rtl/>
        </w:rPr>
        <w:t xml:space="preserve"> </w:t>
      </w:r>
      <w:r w:rsidR="00A82951">
        <w:rPr>
          <w:rFonts w:cs="Arial" w:hint="cs"/>
          <w:rtl/>
        </w:rPr>
        <w:t>-</w:t>
      </w:r>
      <w:r w:rsidR="003770D4" w:rsidRPr="003770D4">
        <w:rPr>
          <w:rFonts w:cs="Arial"/>
          <w:rtl/>
        </w:rPr>
        <w:t xml:space="preserve"> וטעות הוא, דשאני </w:t>
      </w:r>
      <w:r w:rsidR="003770D4" w:rsidRPr="003770D4">
        <w:rPr>
          <w:rFonts w:cs="Arial"/>
          <w:rtl/>
        </w:rPr>
        <w:lastRenderedPageBreak/>
        <w:t>הכא דהכרה דכאן הוא רק מדרבנן</w:t>
      </w:r>
      <w:r w:rsidR="003770D4">
        <w:rPr>
          <w:rFonts w:cs="Arial" w:hint="cs"/>
          <w:rtl/>
        </w:rPr>
        <w:t>,</w:t>
      </w:r>
      <w:r w:rsidR="003770D4" w:rsidRPr="003770D4">
        <w:rPr>
          <w:rFonts w:cs="Arial"/>
          <w:rtl/>
        </w:rPr>
        <w:t xml:space="preserve"> דמדאורייתא הבעל נאמן כמש"ל</w:t>
      </w:r>
      <w:r w:rsidR="003770D4">
        <w:rPr>
          <w:rFonts w:cs="Arial" w:hint="cs"/>
          <w:rtl/>
        </w:rPr>
        <w:t>.</w:t>
      </w:r>
      <w:r w:rsidR="003770D4" w:rsidRPr="003770D4">
        <w:rPr>
          <w:rFonts w:cs="Arial"/>
          <w:rtl/>
        </w:rPr>
        <w:t xml:space="preserve"> ועוד דהכרת שמו הוי מילתא דעבידא לאגלויי כמ"ש הרמב"ם </w:t>
      </w:r>
      <w:r w:rsidR="003770D4" w:rsidRPr="003770D4">
        <w:rPr>
          <w:rFonts w:cs="Arial" w:hint="cs"/>
          <w:sz w:val="16"/>
          <w:szCs w:val="16"/>
          <w:rtl/>
        </w:rPr>
        <w:t>(</w:t>
      </w:r>
      <w:r w:rsidR="003770D4" w:rsidRPr="003770D4">
        <w:rPr>
          <w:rFonts w:cs="Arial"/>
          <w:sz w:val="16"/>
          <w:szCs w:val="16"/>
          <w:rtl/>
        </w:rPr>
        <w:t>פ"י מיבום הל"א</w:t>
      </w:r>
      <w:r w:rsidR="003770D4" w:rsidRPr="003770D4">
        <w:rPr>
          <w:rFonts w:cs="Arial" w:hint="cs"/>
          <w:sz w:val="16"/>
          <w:szCs w:val="16"/>
          <w:rtl/>
        </w:rPr>
        <w:t>)</w:t>
      </w:r>
      <w:r w:rsidR="003770D4" w:rsidRPr="003770D4">
        <w:rPr>
          <w:rFonts w:cs="Arial"/>
          <w:rtl/>
        </w:rPr>
        <w:t xml:space="preserve"> שאפשר לידע שלא מפיהם, משא"כ כאן שא"א שיתברר הדבר רק מפי הכתב הזה</w:t>
      </w:r>
      <w:r w:rsidR="003770D4" w:rsidRPr="003770D4">
        <w:rPr>
          <w:rFonts w:cs="Arial" w:hint="cs"/>
          <w:sz w:val="16"/>
          <w:szCs w:val="16"/>
          <w:rtl/>
        </w:rPr>
        <w:t xml:space="preserve"> {ועיי"ש שהביא ראיות לזה}</w:t>
      </w:r>
      <w:r w:rsidR="003770D4" w:rsidRPr="003770D4">
        <w:rPr>
          <w:rFonts w:cs="Arial"/>
          <w:rtl/>
        </w:rPr>
        <w:t>.</w:t>
      </w:r>
      <w:r w:rsidR="003770D4" w:rsidRPr="003770D4">
        <w:rPr>
          <w:rFonts w:cs="Arial" w:hint="cs"/>
          <w:rtl/>
        </w:rPr>
        <w:t>..</w:t>
      </w:r>
      <w:r w:rsidR="003770D4" w:rsidRPr="003770D4">
        <w:rPr>
          <w:rFonts w:cs="Arial"/>
          <w:rtl/>
        </w:rPr>
        <w:t xml:space="preserve"> עוד רצו קצת ללמוד מכאן באחד ששלח בכתב לעדים כתבו ותנו</w:t>
      </w:r>
      <w:r w:rsidR="003770D4">
        <w:rPr>
          <w:rFonts w:cs="Arial" w:hint="cs"/>
          <w:rtl/>
        </w:rPr>
        <w:t>,</w:t>
      </w:r>
      <w:r w:rsidR="003770D4" w:rsidRPr="003770D4">
        <w:rPr>
          <w:rFonts w:cs="Arial"/>
          <w:rtl/>
        </w:rPr>
        <w:t xml:space="preserve"> ולא הכירו הכתב</w:t>
      </w:r>
      <w:r w:rsidR="003770D4">
        <w:rPr>
          <w:rFonts w:cs="Arial" w:hint="cs"/>
          <w:rtl/>
        </w:rPr>
        <w:t>,</w:t>
      </w:r>
      <w:r w:rsidR="003770D4" w:rsidRPr="003770D4">
        <w:rPr>
          <w:rFonts w:cs="Arial"/>
          <w:rtl/>
        </w:rPr>
        <w:t xml:space="preserve"> דסגי בע"א דדמי להכרת שמם</w:t>
      </w:r>
      <w:r w:rsidR="003770D4">
        <w:rPr>
          <w:rFonts w:cs="Arial" w:hint="cs"/>
          <w:rtl/>
        </w:rPr>
        <w:t xml:space="preserve"> </w:t>
      </w:r>
      <w:r w:rsidR="00A82951">
        <w:rPr>
          <w:rFonts w:cs="Arial" w:hint="cs"/>
          <w:rtl/>
        </w:rPr>
        <w:t>-</w:t>
      </w:r>
      <w:r w:rsidR="003770D4" w:rsidRPr="003770D4">
        <w:rPr>
          <w:rFonts w:cs="Arial"/>
          <w:rtl/>
        </w:rPr>
        <w:t xml:space="preserve"> וטעו טעות גדול, דהכרת שמו הוי מילתא דעבידא לאגלויי דכשהוחזק בעיר שמו ל</w:t>
      </w:r>
      <w:r w:rsidR="003770D4">
        <w:rPr>
          <w:rFonts w:cs="Arial" w:hint="cs"/>
          <w:rtl/>
        </w:rPr>
        <w:t>'</w:t>
      </w:r>
      <w:r w:rsidR="003770D4" w:rsidRPr="003770D4">
        <w:rPr>
          <w:rFonts w:cs="Arial"/>
          <w:rtl/>
        </w:rPr>
        <w:t xml:space="preserve"> יום הכל יודעין, משא"כ הכרת כתב, תדע דבקיום בעינן תמיד שני עדים ופשוט הוא</w:t>
      </w:r>
      <w:r w:rsidR="003770D4" w:rsidRPr="003770D4">
        <w:rPr>
          <w:rFonts w:cs="Arial" w:hint="cs"/>
          <w:rtl/>
        </w:rPr>
        <w:t>.</w:t>
      </w:r>
    </w:p>
    <w:p w14:paraId="1B01426A" w14:textId="78F721DC" w:rsidR="009F64C8" w:rsidRPr="009F64C8" w:rsidRDefault="009F64C8" w:rsidP="009F64C8">
      <w:pPr>
        <w:rPr>
          <w:rFonts w:cs="Arial"/>
        </w:rPr>
      </w:pPr>
      <w:r w:rsidRPr="003770D4">
        <w:rPr>
          <w:rFonts w:cs="Arial" w:hint="cs"/>
          <w:u w:val="single"/>
          <w:rtl/>
        </w:rPr>
        <w:t>האם אפשר לסמוך על כת</w:t>
      </w:r>
      <w:r>
        <w:rPr>
          <w:rFonts w:cs="Arial" w:hint="cs"/>
          <w:u w:val="single"/>
          <w:rtl/>
        </w:rPr>
        <w:t>ו</w:t>
      </w:r>
      <w:r w:rsidRPr="003770D4">
        <w:rPr>
          <w:rFonts w:cs="Arial" w:hint="cs"/>
          <w:u w:val="single"/>
          <w:rtl/>
        </w:rPr>
        <w:t>ב</w:t>
      </w:r>
      <w:r>
        <w:rPr>
          <w:rFonts w:cs="Arial" w:hint="cs"/>
          <w:u w:val="single"/>
          <w:rtl/>
        </w:rPr>
        <w:t>ה</w:t>
      </w:r>
      <w:r w:rsidRPr="003770D4">
        <w:rPr>
          <w:rFonts w:cs="Arial" w:hint="cs"/>
          <w:u w:val="single"/>
          <w:rtl/>
        </w:rPr>
        <w:t xml:space="preserve"> כדי להכיר שם האיש והאשה:</w:t>
      </w:r>
      <w:r>
        <w:rPr>
          <w:rFonts w:cs="Arial" w:hint="cs"/>
          <w:rtl/>
        </w:rPr>
        <w:t xml:space="preserve"> </w:t>
      </w:r>
      <w:r w:rsidRPr="003770D4">
        <w:rPr>
          <w:rFonts w:cs="Arial"/>
          <w:sz w:val="16"/>
          <w:szCs w:val="16"/>
          <w:rtl/>
        </w:rPr>
        <w:t>(</w:t>
      </w:r>
      <w:r w:rsidRPr="003770D4">
        <w:rPr>
          <w:rFonts w:cs="Arial" w:hint="cs"/>
          <w:sz w:val="16"/>
          <w:szCs w:val="16"/>
          <w:rtl/>
        </w:rPr>
        <w:t>פת"ש סק</w:t>
      </w:r>
      <w:r w:rsidRPr="003770D4">
        <w:rPr>
          <w:rFonts w:cs="Arial"/>
          <w:sz w:val="16"/>
          <w:szCs w:val="16"/>
          <w:rtl/>
        </w:rPr>
        <w:t>י</w:t>
      </w:r>
      <w:r w:rsidRPr="003770D4">
        <w:rPr>
          <w:rFonts w:cs="Arial" w:hint="cs"/>
          <w:sz w:val="16"/>
          <w:szCs w:val="16"/>
          <w:rtl/>
        </w:rPr>
        <w:t>"</w:t>
      </w:r>
      <w:r>
        <w:rPr>
          <w:rFonts w:cs="Arial" w:hint="cs"/>
          <w:sz w:val="16"/>
          <w:szCs w:val="16"/>
          <w:rtl/>
        </w:rPr>
        <w:t>ב</w:t>
      </w:r>
      <w:r w:rsidRPr="003770D4">
        <w:rPr>
          <w:rFonts w:cs="Arial"/>
          <w:sz w:val="16"/>
          <w:szCs w:val="16"/>
          <w:rtl/>
        </w:rPr>
        <w:t>)</w:t>
      </w:r>
    </w:p>
    <w:p w14:paraId="5BED3DBC" w14:textId="3BDAF606" w:rsidR="00367D3A" w:rsidRPr="003C478A" w:rsidRDefault="006C770D" w:rsidP="00A65C5F">
      <w:pPr>
        <w:pStyle w:val="ab"/>
        <w:numPr>
          <w:ilvl w:val="0"/>
          <w:numId w:val="27"/>
        </w:numPr>
        <w:rPr>
          <w:rFonts w:cs="Arial"/>
          <w:rtl/>
        </w:rPr>
      </w:pPr>
      <w:r w:rsidRPr="004D3589">
        <w:rPr>
          <w:rFonts w:cs="Arial" w:hint="cs"/>
          <w:rtl/>
        </w:rPr>
        <w:t>בית מאיר</w:t>
      </w:r>
      <w:r w:rsidRPr="006C770D">
        <w:rPr>
          <w:rFonts w:cs="Arial" w:hint="cs"/>
          <w:sz w:val="16"/>
          <w:szCs w:val="16"/>
          <w:rtl/>
        </w:rPr>
        <w:t xml:space="preserve"> </w:t>
      </w:r>
      <w:r w:rsidR="004D3589">
        <w:rPr>
          <w:rFonts w:cs="Arial" w:hint="cs"/>
          <w:sz w:val="16"/>
          <w:szCs w:val="16"/>
          <w:rtl/>
        </w:rPr>
        <w:t>(</w:t>
      </w:r>
      <w:r w:rsidRPr="006C770D">
        <w:rPr>
          <w:rFonts w:cs="Arial" w:hint="cs"/>
          <w:sz w:val="16"/>
          <w:szCs w:val="16"/>
          <w:rtl/>
        </w:rPr>
        <w:t>ד"ה הג"ה וצריך)</w:t>
      </w:r>
      <w:r w:rsidR="00A82951">
        <w:rPr>
          <w:rFonts w:cs="Arial" w:hint="cs"/>
          <w:rtl/>
        </w:rPr>
        <w:t>-</w:t>
      </w:r>
      <w:r w:rsidR="00367D3A" w:rsidRPr="009F64C8">
        <w:rPr>
          <w:rFonts w:cs="Arial"/>
          <w:rtl/>
        </w:rPr>
        <w:t xml:space="preserve"> </w:t>
      </w:r>
      <w:r w:rsidR="004D3589" w:rsidRPr="004D3589">
        <w:rPr>
          <w:rFonts w:cs="Arial"/>
          <w:rtl/>
        </w:rPr>
        <w:t xml:space="preserve">איתא בתשובת הגאון מו' מרדכי זיסקינד אב"ד ק"ק האמבורג ז"ל בסי' </w:t>
      </w:r>
      <w:r w:rsidR="004D3589">
        <w:rPr>
          <w:rFonts w:cs="Arial" w:hint="cs"/>
          <w:rtl/>
        </w:rPr>
        <w:t>כ</w:t>
      </w:r>
      <w:r w:rsidR="004D3589" w:rsidRPr="004D3589">
        <w:rPr>
          <w:rFonts w:cs="Arial"/>
          <w:rtl/>
        </w:rPr>
        <w:t>"ד דשאל השואל איש ואשה בא ומשוטטים בארץ ונתרצו להיות גט ביניהם</w:t>
      </w:r>
      <w:r w:rsidR="004D3589">
        <w:rPr>
          <w:rFonts w:cs="Arial" w:hint="cs"/>
          <w:rtl/>
        </w:rPr>
        <w:t>.</w:t>
      </w:r>
      <w:r w:rsidR="004D3589" w:rsidRPr="004D3589">
        <w:rPr>
          <w:rFonts w:cs="Arial"/>
          <w:rtl/>
        </w:rPr>
        <w:t xml:space="preserve"> והאשה הראה כתובתה לפנינו ונכתב בה שם בעלה בנימין וואלף בר יהושע</w:t>
      </w:r>
      <w:r w:rsidR="004D3589">
        <w:rPr>
          <w:rFonts w:cs="Arial" w:hint="cs"/>
          <w:rtl/>
        </w:rPr>
        <w:t>.</w:t>
      </w:r>
      <w:r w:rsidR="004D3589" w:rsidRPr="004D3589">
        <w:rPr>
          <w:rFonts w:cs="Arial"/>
          <w:rtl/>
        </w:rPr>
        <w:t xml:space="preserve"> והיה בדעתינו לכתוב הגט שם אבי הבעל ושמו כנזכר בכתובה</w:t>
      </w:r>
      <w:r w:rsidR="004D3589">
        <w:rPr>
          <w:rFonts w:cs="Arial" w:hint="cs"/>
          <w:rtl/>
        </w:rPr>
        <w:t>.</w:t>
      </w:r>
      <w:r w:rsidR="004D3589" w:rsidRPr="004D3589">
        <w:rPr>
          <w:rFonts w:cs="Arial"/>
          <w:rtl/>
        </w:rPr>
        <w:t xml:space="preserve"> וע</w:t>
      </w:r>
      <w:r w:rsidR="004D3589">
        <w:rPr>
          <w:rFonts w:cs="Arial" w:hint="cs"/>
          <w:rtl/>
        </w:rPr>
        <w:t>יין שם</w:t>
      </w:r>
      <w:r w:rsidR="004D3589" w:rsidRPr="004D3589">
        <w:rPr>
          <w:rFonts w:cs="Arial"/>
          <w:rtl/>
        </w:rPr>
        <w:t xml:space="preserve"> שלא השיב ע"ז</w:t>
      </w:r>
      <w:r w:rsidR="004D3589">
        <w:rPr>
          <w:rFonts w:cs="Arial" w:hint="cs"/>
          <w:rtl/>
        </w:rPr>
        <w:t>.</w:t>
      </w:r>
      <w:r w:rsidR="004D3589" w:rsidRPr="004D3589">
        <w:rPr>
          <w:rFonts w:cs="Arial"/>
          <w:rtl/>
        </w:rPr>
        <w:t xml:space="preserve"> ולע"ד להנראה מהענין לא היתה הכתובה מקויימת</w:t>
      </w:r>
      <w:r w:rsidR="00350128">
        <w:rPr>
          <w:rFonts w:cs="Arial" w:hint="cs"/>
          <w:rtl/>
        </w:rPr>
        <w:t>.</w:t>
      </w:r>
      <w:r w:rsidR="004D3589" w:rsidRPr="004D3589">
        <w:rPr>
          <w:rFonts w:cs="Arial"/>
          <w:rtl/>
        </w:rPr>
        <w:t xml:space="preserve"> </w:t>
      </w:r>
      <w:r w:rsidR="00367D3A" w:rsidRPr="009F64C8">
        <w:rPr>
          <w:rFonts w:cs="Arial"/>
          <w:rtl/>
        </w:rPr>
        <w:t>א"כ להמבואר בב"י וג"פ וב"ש דאפי' האיש והאשה לפנינו צריך הכרת שמם</w:t>
      </w:r>
      <w:r w:rsidR="004D3589">
        <w:rPr>
          <w:rFonts w:cs="Arial" w:hint="cs"/>
          <w:rtl/>
        </w:rPr>
        <w:t>,</w:t>
      </w:r>
      <w:r w:rsidR="00367D3A" w:rsidRPr="009F64C8">
        <w:rPr>
          <w:rFonts w:cs="Arial"/>
          <w:rtl/>
        </w:rPr>
        <w:t xml:space="preserve"> אף דהאמת דאפי' אשה וקרוב נאמנים</w:t>
      </w:r>
      <w:r w:rsidR="00F47B62">
        <w:rPr>
          <w:rFonts w:cs="Arial" w:hint="cs"/>
          <w:rtl/>
        </w:rPr>
        <w:t>,</w:t>
      </w:r>
      <w:r w:rsidR="00367D3A" w:rsidRPr="009F64C8">
        <w:rPr>
          <w:rFonts w:cs="Arial"/>
          <w:rtl/>
        </w:rPr>
        <w:t xml:space="preserve"> ולפ"ז י"ל דה"ה ע"י שטר</w:t>
      </w:r>
      <w:r>
        <w:rPr>
          <w:rStyle w:val="a7"/>
          <w:rFonts w:cs="Arial"/>
          <w:rtl/>
        </w:rPr>
        <w:footnoteReference w:id="141"/>
      </w:r>
      <w:r w:rsidR="00367D3A" w:rsidRPr="009F64C8">
        <w:rPr>
          <w:rFonts w:cs="Arial"/>
          <w:rtl/>
        </w:rPr>
        <w:t xml:space="preserve"> אפי' אינו מקויים כמו בסי' י"ז סעיף י"א</w:t>
      </w:r>
      <w:r w:rsidR="00F47B62">
        <w:rPr>
          <w:rFonts w:cs="Arial" w:hint="cs"/>
          <w:rtl/>
        </w:rPr>
        <w:t>.</w:t>
      </w:r>
      <w:r w:rsidR="00367D3A" w:rsidRPr="009F64C8">
        <w:rPr>
          <w:rFonts w:cs="Arial"/>
          <w:rtl/>
        </w:rPr>
        <w:t xml:space="preserve"> מ"מ היינו ע"י שטר היוצא מת</w:t>
      </w:r>
      <w:r w:rsidR="00F47B62">
        <w:rPr>
          <w:rFonts w:cs="Arial" w:hint="cs"/>
          <w:rtl/>
        </w:rPr>
        <w:t>חת יד</w:t>
      </w:r>
      <w:r w:rsidR="00367D3A" w:rsidRPr="009F64C8">
        <w:rPr>
          <w:rFonts w:cs="Arial"/>
          <w:rtl/>
        </w:rPr>
        <w:t xml:space="preserve"> שאינו של שניהם</w:t>
      </w:r>
      <w:r w:rsidR="00F47B62">
        <w:rPr>
          <w:rFonts w:cs="Arial" w:hint="cs"/>
          <w:rtl/>
        </w:rPr>
        <w:t>,</w:t>
      </w:r>
      <w:r w:rsidR="00367D3A" w:rsidRPr="009F64C8">
        <w:rPr>
          <w:rFonts w:cs="Arial"/>
          <w:rtl/>
        </w:rPr>
        <w:t xml:space="preserve"> אבל שטר כתובה היוצא מתחת ידה מה עדיף ממה שהיא מעידה על שמו והוא על שמה דלא מהני</w:t>
      </w:r>
      <w:r w:rsidR="00F47B62">
        <w:rPr>
          <w:rFonts w:cs="Arial" w:hint="cs"/>
          <w:rtl/>
        </w:rPr>
        <w:t>.</w:t>
      </w:r>
      <w:r w:rsidR="00367D3A" w:rsidRPr="009F64C8">
        <w:rPr>
          <w:rFonts w:cs="Arial"/>
          <w:rtl/>
        </w:rPr>
        <w:t xml:space="preserve"> לכן נראה דאורחים כאלו שאין להם שום מכיר</w:t>
      </w:r>
      <w:r w:rsidR="00F47B62">
        <w:rPr>
          <w:rFonts w:cs="Arial" w:hint="cs"/>
          <w:rtl/>
        </w:rPr>
        <w:t xml:space="preserve"> </w:t>
      </w:r>
      <w:r w:rsidR="00A82951">
        <w:rPr>
          <w:rFonts w:cs="Arial" w:hint="cs"/>
          <w:rtl/>
        </w:rPr>
        <w:t>-</w:t>
      </w:r>
      <w:r w:rsidR="00367D3A" w:rsidRPr="009F64C8">
        <w:rPr>
          <w:rFonts w:cs="Arial"/>
          <w:rtl/>
        </w:rPr>
        <w:t xml:space="preserve"> אף הכתובה לאו מידי הוא. ואף אם היא מקויימת עדיין יש לחוש שמא זה אינו אישה</w:t>
      </w:r>
      <w:r w:rsidR="00F47B62">
        <w:rPr>
          <w:rFonts w:cs="Arial" w:hint="cs"/>
          <w:rtl/>
        </w:rPr>
        <w:t>,</w:t>
      </w:r>
      <w:r w:rsidR="00367D3A" w:rsidRPr="009F64C8">
        <w:rPr>
          <w:rFonts w:cs="Arial"/>
          <w:rtl/>
        </w:rPr>
        <w:t xml:space="preserve"> והעלה שמו בשם הנכתב בכתובה כדי להוציא אשה מתחת יד בעלה</w:t>
      </w:r>
      <w:r w:rsidR="00F47B62">
        <w:rPr>
          <w:rFonts w:cs="Arial" w:hint="cs"/>
          <w:rtl/>
        </w:rPr>
        <w:t>.</w:t>
      </w:r>
      <w:r w:rsidR="00367D3A" w:rsidRPr="009F64C8">
        <w:rPr>
          <w:rFonts w:cs="Arial"/>
          <w:rtl/>
        </w:rPr>
        <w:t xml:space="preserve"> ואין להם תקנה אלא ע"י שיחזיקו עצמם ל' יום במקום הזה</w:t>
      </w:r>
      <w:r w:rsidR="00F47B62">
        <w:rPr>
          <w:rFonts w:cs="Arial" w:hint="cs"/>
          <w:rtl/>
        </w:rPr>
        <w:t>.</w:t>
      </w:r>
      <w:r w:rsidR="00367D3A" w:rsidRPr="009F64C8">
        <w:rPr>
          <w:rFonts w:cs="Arial"/>
          <w:rtl/>
        </w:rPr>
        <w:t xml:space="preserve"> ויוחזקו באיש ואשה ובשמותן באותן הל' יום וע"י חזקה זו חשוב הכרה ויוכתב הגט</w:t>
      </w:r>
      <w:r w:rsidR="009F64C8">
        <w:rPr>
          <w:rStyle w:val="a7"/>
          <w:rFonts w:cs="Arial"/>
          <w:rtl/>
        </w:rPr>
        <w:footnoteReference w:id="142"/>
      </w:r>
      <w:r w:rsidR="009F64C8">
        <w:rPr>
          <w:rFonts w:cs="Arial" w:hint="cs"/>
          <w:rtl/>
        </w:rPr>
        <w:t>.</w:t>
      </w:r>
    </w:p>
    <w:p w14:paraId="35CF37F3" w14:textId="4814711E" w:rsidR="001F23F0" w:rsidRPr="001F23F0" w:rsidRDefault="001F23F0" w:rsidP="001F23F0">
      <w:pPr>
        <w:rPr>
          <w:rFonts w:cs="Arial"/>
          <w:sz w:val="16"/>
          <w:szCs w:val="16"/>
          <w:rtl/>
        </w:rPr>
      </w:pPr>
      <w:r>
        <w:rPr>
          <w:rFonts w:cs="Arial" w:hint="cs"/>
          <w:u w:val="single"/>
          <w:rtl/>
        </w:rPr>
        <w:t>גדר 'שעת הסכנה', ו</w:t>
      </w:r>
      <w:r w:rsidRPr="001F23F0">
        <w:rPr>
          <w:rFonts w:cs="Arial"/>
          <w:u w:val="single"/>
          <w:rtl/>
        </w:rPr>
        <w:t>דין משומד שלא היו עדים המכירין שם אשתו ומאיזה מקום היא</w:t>
      </w:r>
      <w:r w:rsidRPr="001F23F0">
        <w:rPr>
          <w:rFonts w:cs="Arial" w:hint="cs"/>
          <w:u w:val="single"/>
          <w:rtl/>
        </w:rPr>
        <w:t>:</w:t>
      </w:r>
      <w:r w:rsidRPr="001F23F0">
        <w:rPr>
          <w:rFonts w:cs="Arial" w:hint="cs"/>
          <w:sz w:val="16"/>
          <w:szCs w:val="16"/>
          <w:rtl/>
        </w:rPr>
        <w:t xml:space="preserve"> </w:t>
      </w:r>
      <w:r w:rsidR="00367D3A" w:rsidRPr="001F23F0">
        <w:rPr>
          <w:rFonts w:cs="Arial"/>
          <w:sz w:val="16"/>
          <w:szCs w:val="16"/>
          <w:rtl/>
        </w:rPr>
        <w:t>(</w:t>
      </w:r>
      <w:r w:rsidRPr="001F23F0">
        <w:rPr>
          <w:rFonts w:cs="Arial" w:hint="cs"/>
          <w:sz w:val="16"/>
          <w:szCs w:val="16"/>
          <w:rtl/>
        </w:rPr>
        <w:t>פת"ש סק</w:t>
      </w:r>
      <w:r w:rsidR="00367D3A" w:rsidRPr="001F23F0">
        <w:rPr>
          <w:rFonts w:cs="Arial"/>
          <w:sz w:val="16"/>
          <w:szCs w:val="16"/>
          <w:rtl/>
        </w:rPr>
        <w:t>ט</w:t>
      </w:r>
      <w:r w:rsidRPr="001F23F0">
        <w:rPr>
          <w:rFonts w:cs="Arial" w:hint="cs"/>
          <w:sz w:val="16"/>
          <w:szCs w:val="16"/>
          <w:rtl/>
        </w:rPr>
        <w:t>"</w:t>
      </w:r>
      <w:r w:rsidR="00367D3A" w:rsidRPr="001F23F0">
        <w:rPr>
          <w:rFonts w:cs="Arial"/>
          <w:sz w:val="16"/>
          <w:szCs w:val="16"/>
          <w:rtl/>
        </w:rPr>
        <w:t>ו)</w:t>
      </w:r>
    </w:p>
    <w:p w14:paraId="6FEE1C11" w14:textId="6CB9995B" w:rsidR="00367D3A" w:rsidRPr="001F23F0" w:rsidRDefault="00367D3A" w:rsidP="00A65C5F">
      <w:pPr>
        <w:pStyle w:val="ab"/>
        <w:numPr>
          <w:ilvl w:val="0"/>
          <w:numId w:val="27"/>
        </w:numPr>
        <w:rPr>
          <w:rFonts w:cs="Arial"/>
          <w:rtl/>
        </w:rPr>
      </w:pPr>
      <w:r w:rsidRPr="001F23F0">
        <w:rPr>
          <w:rFonts w:cs="Arial"/>
          <w:rtl/>
        </w:rPr>
        <w:t>ב"ח</w:t>
      </w:r>
      <w:r w:rsidRPr="001F23F0">
        <w:rPr>
          <w:rFonts w:cs="Arial"/>
          <w:sz w:val="16"/>
          <w:szCs w:val="16"/>
          <w:rtl/>
        </w:rPr>
        <w:t xml:space="preserve"> </w:t>
      </w:r>
      <w:r w:rsidR="001F23F0" w:rsidRPr="001F23F0">
        <w:rPr>
          <w:rFonts w:cs="Arial" w:hint="cs"/>
          <w:sz w:val="16"/>
          <w:szCs w:val="16"/>
          <w:rtl/>
        </w:rPr>
        <w:t>(</w:t>
      </w:r>
      <w:r w:rsidRPr="001F23F0">
        <w:rPr>
          <w:rFonts w:cs="Arial"/>
          <w:sz w:val="16"/>
          <w:szCs w:val="16"/>
          <w:rtl/>
        </w:rPr>
        <w:t>החדשות סי' צב</w:t>
      </w:r>
      <w:r w:rsidR="001F23F0" w:rsidRPr="001F23F0">
        <w:rPr>
          <w:rFonts w:cs="Arial" w:hint="cs"/>
          <w:sz w:val="16"/>
          <w:szCs w:val="16"/>
          <w:rtl/>
        </w:rPr>
        <w:t>)</w:t>
      </w:r>
      <w:r w:rsidR="00A82951">
        <w:rPr>
          <w:rFonts w:cs="Arial" w:hint="cs"/>
          <w:rtl/>
        </w:rPr>
        <w:t>-</w:t>
      </w:r>
      <w:r w:rsidRPr="001F23F0">
        <w:rPr>
          <w:rFonts w:cs="Arial"/>
          <w:rtl/>
        </w:rPr>
        <w:t xml:space="preserve"> </w:t>
      </w:r>
      <w:r w:rsidR="001F23F0" w:rsidRPr="001F23F0">
        <w:rPr>
          <w:rFonts w:cs="Arial"/>
          <w:rtl/>
        </w:rPr>
        <w:t>הנה שאלו מאתי להכניס ראשי בדבר גט מצוה</w:t>
      </w:r>
      <w:r w:rsidR="001F23F0">
        <w:rPr>
          <w:rFonts w:cs="Arial" w:hint="cs"/>
          <w:rtl/>
        </w:rPr>
        <w:t>,</w:t>
      </w:r>
      <w:r w:rsidR="001F23F0" w:rsidRPr="001F23F0">
        <w:rPr>
          <w:rFonts w:cs="Arial"/>
          <w:rtl/>
        </w:rPr>
        <w:t xml:space="preserve"> לאשר הבעל משומד בן משומד כו' ע"י המפורסמים ברשעתם בשם קאזקי ובטורח גדול ובממון הרבה כו'</w:t>
      </w:r>
      <w:r w:rsidR="001B07DF">
        <w:rPr>
          <w:rFonts w:cs="Arial" w:hint="cs"/>
          <w:rtl/>
        </w:rPr>
        <w:t>.</w:t>
      </w:r>
      <w:r w:rsidR="001F23F0" w:rsidRPr="001F23F0">
        <w:rPr>
          <w:rFonts w:cs="Arial"/>
          <w:rtl/>
        </w:rPr>
        <w:t xml:space="preserve"> והנה הדבר הי</w:t>
      </w:r>
      <w:r w:rsidR="001B07DF">
        <w:rPr>
          <w:rFonts w:cs="Arial" w:hint="cs"/>
          <w:rtl/>
        </w:rPr>
        <w:t>ה</w:t>
      </w:r>
      <w:r w:rsidR="001F23F0" w:rsidRPr="001F23F0">
        <w:rPr>
          <w:rFonts w:cs="Arial"/>
          <w:rtl/>
        </w:rPr>
        <w:t xml:space="preserve"> קשה מאד בעיני</w:t>
      </w:r>
      <w:r w:rsidR="001B07DF">
        <w:rPr>
          <w:rFonts w:cs="Arial" w:hint="cs"/>
          <w:rtl/>
        </w:rPr>
        <w:t>,</w:t>
      </w:r>
      <w:r w:rsidR="001F23F0" w:rsidRPr="001F23F0">
        <w:rPr>
          <w:rFonts w:cs="Arial"/>
          <w:rtl/>
        </w:rPr>
        <w:t xml:space="preserve"> גם כי העיד על הבעל על ששמו דוד ושם אביו שמואל</w:t>
      </w:r>
      <w:r w:rsidR="001B07DF">
        <w:rPr>
          <w:rFonts w:cs="Arial" w:hint="cs"/>
          <w:rtl/>
        </w:rPr>
        <w:t>,</w:t>
      </w:r>
      <w:r w:rsidR="001F23F0" w:rsidRPr="001F23F0">
        <w:rPr>
          <w:rFonts w:cs="Arial"/>
          <w:rtl/>
        </w:rPr>
        <w:t xml:space="preserve"> והוא משומד בן משומד והי</w:t>
      </w:r>
      <w:r w:rsidR="001B07DF">
        <w:rPr>
          <w:rFonts w:cs="Arial" w:hint="cs"/>
          <w:rtl/>
        </w:rPr>
        <w:t>ה</w:t>
      </w:r>
      <w:r w:rsidR="001F23F0" w:rsidRPr="001F23F0">
        <w:rPr>
          <w:rFonts w:cs="Arial"/>
          <w:rtl/>
        </w:rPr>
        <w:t xml:space="preserve"> מכירו מפני שהוא מאנשי עירו</w:t>
      </w:r>
      <w:r w:rsidR="001B07DF">
        <w:rPr>
          <w:rFonts w:cs="Arial" w:hint="cs"/>
          <w:rtl/>
        </w:rPr>
        <w:t>.</w:t>
      </w:r>
      <w:r w:rsidR="001F23F0" w:rsidRPr="001F23F0">
        <w:rPr>
          <w:rFonts w:cs="Arial"/>
          <w:rtl/>
        </w:rPr>
        <w:t xml:space="preserve"> וגם העיד ששם אמו שארקא היא אחותו של הפרנס חיים ז"ל מק"ק בוטשאטש</w:t>
      </w:r>
      <w:r w:rsidR="001B07DF">
        <w:rPr>
          <w:rFonts w:cs="Arial" w:hint="cs"/>
          <w:rtl/>
        </w:rPr>
        <w:t>.</w:t>
      </w:r>
      <w:r w:rsidR="001F23F0" w:rsidRPr="001F23F0">
        <w:rPr>
          <w:rFonts w:cs="Arial"/>
          <w:rtl/>
        </w:rPr>
        <w:t xml:space="preserve"> מ"מ לא הי</w:t>
      </w:r>
      <w:r w:rsidR="001B07DF">
        <w:rPr>
          <w:rFonts w:cs="Arial" w:hint="cs"/>
          <w:rtl/>
        </w:rPr>
        <w:t>ה</w:t>
      </w:r>
      <w:r w:rsidR="001F23F0" w:rsidRPr="001F23F0">
        <w:rPr>
          <w:rFonts w:cs="Arial"/>
          <w:rtl/>
        </w:rPr>
        <w:t xml:space="preserve"> מכיר שם אשת</w:t>
      </w:r>
      <w:r w:rsidR="001B07DF">
        <w:rPr>
          <w:rFonts w:cs="Arial" w:hint="cs"/>
          <w:rtl/>
        </w:rPr>
        <w:t>ו,</w:t>
      </w:r>
      <w:r w:rsidR="001F23F0" w:rsidRPr="001F23F0">
        <w:rPr>
          <w:rFonts w:cs="Arial"/>
          <w:rtl/>
        </w:rPr>
        <w:t xml:space="preserve"> גם לא הי</w:t>
      </w:r>
      <w:r w:rsidR="001B07DF">
        <w:rPr>
          <w:rFonts w:cs="Arial" w:hint="cs"/>
          <w:rtl/>
        </w:rPr>
        <w:t>ה</w:t>
      </w:r>
      <w:r w:rsidR="001F23F0" w:rsidRPr="001F23F0">
        <w:rPr>
          <w:rFonts w:cs="Arial"/>
          <w:rtl/>
        </w:rPr>
        <w:t xml:space="preserve"> מכיר מאיזה מקום נשא אשה</w:t>
      </w:r>
      <w:r w:rsidR="001B07DF">
        <w:rPr>
          <w:rFonts w:cs="Arial" w:hint="cs"/>
          <w:rtl/>
        </w:rPr>
        <w:t>.</w:t>
      </w:r>
      <w:r w:rsidR="001F23F0" w:rsidRPr="001F23F0">
        <w:rPr>
          <w:rFonts w:cs="Arial"/>
          <w:rtl/>
        </w:rPr>
        <w:t xml:space="preserve"> ועם כל זה נסמכת במה ששנינו בשעת הסכנה כותבי</w:t>
      </w:r>
      <w:r w:rsidR="001B07DF">
        <w:rPr>
          <w:rFonts w:cs="Arial" w:hint="cs"/>
          <w:rtl/>
        </w:rPr>
        <w:t>ן</w:t>
      </w:r>
      <w:r w:rsidR="001F23F0" w:rsidRPr="001F23F0">
        <w:rPr>
          <w:rFonts w:cs="Arial"/>
          <w:rtl/>
        </w:rPr>
        <w:t xml:space="preserve"> אע</w:t>
      </w:r>
      <w:r w:rsidR="001B07DF">
        <w:rPr>
          <w:rFonts w:cs="Arial" w:hint="cs"/>
          <w:rtl/>
        </w:rPr>
        <w:t>"</w:t>
      </w:r>
      <w:r w:rsidR="001F23F0" w:rsidRPr="001F23F0">
        <w:rPr>
          <w:rFonts w:cs="Arial"/>
          <w:rtl/>
        </w:rPr>
        <w:t>פ שאין מכירין</w:t>
      </w:r>
      <w:r w:rsidR="001B07DF">
        <w:rPr>
          <w:rFonts w:cs="Arial" w:hint="cs"/>
          <w:rtl/>
        </w:rPr>
        <w:t>.</w:t>
      </w:r>
      <w:r w:rsidR="001F23F0" w:rsidRPr="001F23F0">
        <w:rPr>
          <w:rFonts w:cs="Arial"/>
          <w:rtl/>
        </w:rPr>
        <w:t xml:space="preserve"> גם שרש"י פרק התקבל פי' בשעת הסכנה כגון שמסוכן למות ואם לא עכשיו אימתי</w:t>
      </w:r>
      <w:r w:rsidR="001B07DF">
        <w:rPr>
          <w:rFonts w:cs="Arial" w:hint="cs"/>
          <w:rtl/>
        </w:rPr>
        <w:t>.</w:t>
      </w:r>
      <w:r w:rsidR="001F23F0" w:rsidRPr="001F23F0">
        <w:rPr>
          <w:rFonts w:cs="Arial"/>
          <w:rtl/>
        </w:rPr>
        <w:t xml:space="preserve"> מ"מ נראה כל היכא דאיכא למיחש שתשב עגונה כל ימי' כשעת הסכנה דמי כמו שמבואר מפרש"י גופי' בסוף יבמות</w:t>
      </w:r>
      <w:r w:rsidR="001B07DF">
        <w:rPr>
          <w:rFonts w:cs="Arial" w:hint="cs"/>
          <w:rtl/>
        </w:rPr>
        <w:t>.</w:t>
      </w:r>
      <w:r w:rsidR="001F23F0" w:rsidRPr="001F23F0">
        <w:rPr>
          <w:rFonts w:cs="Arial"/>
          <w:rtl/>
        </w:rPr>
        <w:t xml:space="preserve"> גם הרמב"ם כתב אמי שהי</w:t>
      </w:r>
      <w:r w:rsidR="001B07DF">
        <w:rPr>
          <w:rFonts w:cs="Arial" w:hint="cs"/>
          <w:rtl/>
        </w:rPr>
        <w:t>ה</w:t>
      </w:r>
      <w:r w:rsidR="001F23F0" w:rsidRPr="001F23F0">
        <w:rPr>
          <w:rFonts w:cs="Arial"/>
          <w:rtl/>
        </w:rPr>
        <w:t xml:space="preserve"> מושלך בבור גופי' שזה כשעת הסכנה וכו'</w:t>
      </w:r>
      <w:r w:rsidR="001B07DF">
        <w:rPr>
          <w:rFonts w:cs="Arial" w:hint="cs"/>
          <w:rtl/>
        </w:rPr>
        <w:t>.</w:t>
      </w:r>
      <w:r w:rsidR="001F23F0" w:rsidRPr="001F23F0">
        <w:rPr>
          <w:rFonts w:cs="Arial"/>
          <w:rtl/>
        </w:rPr>
        <w:t xml:space="preserve"> אלמא דלא מפרש מה שכתב אמי שהיה מושלך בבור בשעת הסכנה כותבין דהיינו לומר מפני שהי</w:t>
      </w:r>
      <w:r w:rsidR="001B07DF">
        <w:rPr>
          <w:rFonts w:cs="Arial" w:hint="cs"/>
          <w:rtl/>
        </w:rPr>
        <w:t>ה</w:t>
      </w:r>
      <w:r w:rsidR="001F23F0" w:rsidRPr="001F23F0">
        <w:rPr>
          <w:rFonts w:cs="Arial"/>
          <w:rtl/>
        </w:rPr>
        <w:t xml:space="preserve"> מסוכן למות</w:t>
      </w:r>
      <w:r w:rsidR="001B07DF">
        <w:rPr>
          <w:rFonts w:cs="Arial" w:hint="cs"/>
          <w:rtl/>
        </w:rPr>
        <w:t>,</w:t>
      </w:r>
      <w:r w:rsidR="001F23F0" w:rsidRPr="001F23F0">
        <w:rPr>
          <w:rFonts w:cs="Arial"/>
          <w:rtl/>
        </w:rPr>
        <w:t xml:space="preserve"> אלא נראה שהיה מפרש בשעת הסכנה כההוא דפ' במה מדליקין ובשעת הסכנה מניחה על השלחן ודיו</w:t>
      </w:r>
      <w:r w:rsidR="001B07DF">
        <w:rPr>
          <w:rFonts w:cs="Arial" w:hint="cs"/>
          <w:rtl/>
        </w:rPr>
        <w:t>.</w:t>
      </w:r>
      <w:r w:rsidR="001F23F0" w:rsidRPr="001F23F0">
        <w:rPr>
          <w:rFonts w:cs="Arial"/>
          <w:rtl/>
        </w:rPr>
        <w:t xml:space="preserve"> והיינו לומר בשעת השמד שאינם רשאים לקיים המצות מפני שהוא שעת הסכנ</w:t>
      </w:r>
      <w:r w:rsidR="001B07DF">
        <w:rPr>
          <w:rFonts w:cs="Arial" w:hint="cs"/>
          <w:rtl/>
        </w:rPr>
        <w:t>ה</w:t>
      </w:r>
      <w:r w:rsidR="001F23F0" w:rsidRPr="001F23F0">
        <w:rPr>
          <w:rFonts w:cs="Arial"/>
          <w:rtl/>
        </w:rPr>
        <w:t xml:space="preserve"> שאינן רשאין לקיי</w:t>
      </w:r>
      <w:r w:rsidR="001B07DF">
        <w:rPr>
          <w:rFonts w:cs="Arial" w:hint="cs"/>
          <w:rtl/>
        </w:rPr>
        <w:t>ם</w:t>
      </w:r>
      <w:r w:rsidR="001F23F0" w:rsidRPr="001F23F0">
        <w:rPr>
          <w:rFonts w:cs="Arial"/>
          <w:rtl/>
        </w:rPr>
        <w:t xml:space="preserve"> המצו</w:t>
      </w:r>
      <w:r w:rsidR="001B07DF">
        <w:rPr>
          <w:rFonts w:cs="Arial" w:hint="cs"/>
          <w:rtl/>
        </w:rPr>
        <w:t>ת</w:t>
      </w:r>
      <w:r w:rsidR="001F23F0" w:rsidRPr="001F23F0">
        <w:rPr>
          <w:rFonts w:cs="Arial"/>
          <w:rtl/>
        </w:rPr>
        <w:t xml:space="preserve"> אין לפרסם לחקור אחר שם האשה ושם האיש פן יודע שמקיימין המצות</w:t>
      </w:r>
      <w:r w:rsidR="00284F33">
        <w:rPr>
          <w:rFonts w:cs="Arial" w:hint="cs"/>
          <w:rtl/>
        </w:rPr>
        <w:t>,</w:t>
      </w:r>
      <w:r w:rsidR="001F23F0" w:rsidRPr="001F23F0">
        <w:rPr>
          <w:rFonts w:cs="Arial"/>
          <w:rtl/>
        </w:rPr>
        <w:t xml:space="preserve"> לכן כותבין ע"פ הבעל אע</w:t>
      </w:r>
      <w:r w:rsidR="001B07DF">
        <w:rPr>
          <w:rFonts w:cs="Arial" w:hint="cs"/>
          <w:rtl/>
        </w:rPr>
        <w:t>"</w:t>
      </w:r>
      <w:r w:rsidR="001F23F0" w:rsidRPr="001F23F0">
        <w:rPr>
          <w:rFonts w:cs="Arial"/>
          <w:rtl/>
        </w:rPr>
        <w:t>פ שאינם מכירין</w:t>
      </w:r>
      <w:r w:rsidR="00154CA7">
        <w:rPr>
          <w:rFonts w:cs="Arial" w:hint="cs"/>
          <w:rtl/>
        </w:rPr>
        <w:t>,</w:t>
      </w:r>
      <w:r w:rsidR="001F23F0" w:rsidRPr="001F23F0">
        <w:rPr>
          <w:rFonts w:cs="Arial"/>
          <w:rtl/>
        </w:rPr>
        <w:t xml:space="preserve"> ומשם למדין דכל היכא דאיכא חשש עיגון דכשעת הסכנה דמי</w:t>
      </w:r>
      <w:r w:rsidR="001B07DF">
        <w:rPr>
          <w:rFonts w:cs="Arial" w:hint="cs"/>
          <w:rtl/>
        </w:rPr>
        <w:t>.</w:t>
      </w:r>
      <w:r w:rsidR="001F23F0" w:rsidRPr="001F23F0">
        <w:rPr>
          <w:rFonts w:cs="Arial"/>
          <w:rtl/>
        </w:rPr>
        <w:t xml:space="preserve"> וא"כ כאן נמי שהדבר נחוץ כיון שהבעל משומד א"כ איכא למיחש לשמא התעיף בו עיניך ואיננו ויברח ללחום מלחמתו</w:t>
      </w:r>
      <w:r w:rsidR="001B07DF">
        <w:rPr>
          <w:rFonts w:cs="Arial" w:hint="cs"/>
          <w:rtl/>
        </w:rPr>
        <w:t>,</w:t>
      </w:r>
      <w:r w:rsidR="001F23F0" w:rsidRPr="001F23F0">
        <w:rPr>
          <w:rFonts w:cs="Arial"/>
          <w:rtl/>
        </w:rPr>
        <w:t xml:space="preserve"> כמנהגו</w:t>
      </w:r>
      <w:r w:rsidR="001B07DF">
        <w:rPr>
          <w:rFonts w:cs="Arial" w:hint="cs"/>
          <w:rtl/>
        </w:rPr>
        <w:t>,</w:t>
      </w:r>
      <w:r w:rsidR="001F23F0" w:rsidRPr="001F23F0">
        <w:rPr>
          <w:rFonts w:cs="Arial"/>
          <w:rtl/>
        </w:rPr>
        <w:t xml:space="preserve"> שזה שבתו הבית מעט</w:t>
      </w:r>
      <w:r w:rsidR="001B07DF">
        <w:rPr>
          <w:rFonts w:cs="Arial" w:hint="cs"/>
          <w:rtl/>
        </w:rPr>
        <w:t>,</w:t>
      </w:r>
      <w:r w:rsidR="001F23F0" w:rsidRPr="001F23F0">
        <w:rPr>
          <w:rFonts w:cs="Arial"/>
          <w:rtl/>
        </w:rPr>
        <w:t xml:space="preserve"> ואולי יהרג ותשב אשתו עגונה כל ימיה</w:t>
      </w:r>
      <w:r w:rsidR="001B07DF">
        <w:rPr>
          <w:rFonts w:cs="Arial" w:hint="cs"/>
          <w:rtl/>
        </w:rPr>
        <w:t>.</w:t>
      </w:r>
      <w:r w:rsidR="001F23F0" w:rsidRPr="001F23F0">
        <w:rPr>
          <w:rFonts w:cs="Arial"/>
          <w:rtl/>
        </w:rPr>
        <w:t xml:space="preserve"> ובלי ספק שמטעם זה דכשעת הסכנה דמי</w:t>
      </w:r>
      <w:r w:rsidR="001B07DF">
        <w:rPr>
          <w:rFonts w:cs="Arial" w:hint="cs"/>
          <w:rtl/>
        </w:rPr>
        <w:t>א</w:t>
      </w:r>
      <w:r w:rsidR="001F23F0" w:rsidRPr="001F23F0">
        <w:rPr>
          <w:rFonts w:cs="Arial"/>
          <w:rtl/>
        </w:rPr>
        <w:t xml:space="preserve"> כותבין גיטין ושולחין אותם מארץ תוגרמה ומארצות אחרים ואע</w:t>
      </w:r>
      <w:r w:rsidR="001B07DF">
        <w:rPr>
          <w:rFonts w:cs="Arial" w:hint="cs"/>
          <w:rtl/>
        </w:rPr>
        <w:t>"</w:t>
      </w:r>
      <w:r w:rsidR="001F23F0" w:rsidRPr="001F23F0">
        <w:rPr>
          <w:rFonts w:cs="Arial"/>
          <w:rtl/>
        </w:rPr>
        <w:t>פ שאינם מכירין במקום הכתיבה שזה המגרש הוא בעלה של האשה שבארץ אחרת</w:t>
      </w:r>
      <w:r w:rsidR="003046B1">
        <w:rPr>
          <w:rFonts w:cs="Arial" w:hint="cs"/>
          <w:rtl/>
        </w:rPr>
        <w:t>,</w:t>
      </w:r>
      <w:r w:rsidR="001F23F0" w:rsidRPr="001F23F0">
        <w:rPr>
          <w:rFonts w:cs="Arial"/>
          <w:rtl/>
        </w:rPr>
        <w:t xml:space="preserve"> וגם אין יודעין שם האשה כי אם ע"פ הבעל</w:t>
      </w:r>
      <w:r w:rsidR="003046B1">
        <w:rPr>
          <w:rFonts w:cs="Arial" w:hint="cs"/>
          <w:rtl/>
        </w:rPr>
        <w:t>.</w:t>
      </w:r>
      <w:r w:rsidR="001F23F0" w:rsidRPr="001F23F0">
        <w:rPr>
          <w:rFonts w:cs="Arial"/>
          <w:rtl/>
        </w:rPr>
        <w:t xml:space="preserve"> אלא ודאי חשבינן להו כשעת הסכנה</w:t>
      </w:r>
      <w:r w:rsidR="003046B1">
        <w:rPr>
          <w:rFonts w:cs="Arial" w:hint="cs"/>
          <w:rtl/>
        </w:rPr>
        <w:t>.</w:t>
      </w:r>
      <w:r w:rsidR="001F23F0" w:rsidRPr="001F23F0">
        <w:rPr>
          <w:rFonts w:cs="Arial"/>
          <w:rtl/>
        </w:rPr>
        <w:t xml:space="preserve"> וא"כ כאן נמי שלא היה לפנינו מי שידע שם האשה סמכינן ע"פ הבעל מפני העיגון. ואע</w:t>
      </w:r>
      <w:r w:rsidR="003046B1">
        <w:rPr>
          <w:rFonts w:cs="Arial" w:hint="cs"/>
          <w:rtl/>
        </w:rPr>
        <w:t>"</w:t>
      </w:r>
      <w:r w:rsidR="001F23F0" w:rsidRPr="001F23F0">
        <w:rPr>
          <w:rFonts w:cs="Arial"/>
          <w:rtl/>
        </w:rPr>
        <w:t>פ שהוא משומד שהרי בההוא דמי שהושלך בבור קאמרינן סתמא ובשעת הסכנה כותבין אע</w:t>
      </w:r>
      <w:r w:rsidR="003046B1">
        <w:rPr>
          <w:rFonts w:cs="Arial" w:hint="cs"/>
          <w:rtl/>
        </w:rPr>
        <w:t>"</w:t>
      </w:r>
      <w:r w:rsidR="001F23F0" w:rsidRPr="001F23F0">
        <w:rPr>
          <w:rFonts w:cs="Arial"/>
          <w:rtl/>
        </w:rPr>
        <w:t>פ שאין מכירין ולא מפליג בין משומד לשאינו משומד</w:t>
      </w:r>
      <w:r w:rsidR="003046B1">
        <w:rPr>
          <w:rFonts w:cs="Arial" w:hint="cs"/>
          <w:rtl/>
        </w:rPr>
        <w:t>.</w:t>
      </w:r>
      <w:r w:rsidR="001F23F0" w:rsidRPr="001F23F0">
        <w:rPr>
          <w:rFonts w:cs="Arial"/>
          <w:rtl/>
        </w:rPr>
        <w:t xml:space="preserve"> אלא ודאי דתקנת חכמים כך הוא</w:t>
      </w:r>
      <w:r w:rsidR="003046B1">
        <w:rPr>
          <w:rFonts w:cs="Arial" w:hint="cs"/>
          <w:rtl/>
        </w:rPr>
        <w:t>,</w:t>
      </w:r>
      <w:r w:rsidR="001F23F0" w:rsidRPr="001F23F0">
        <w:rPr>
          <w:rFonts w:cs="Arial"/>
          <w:rtl/>
        </w:rPr>
        <w:t xml:space="preserve"> ובכי הא ודאי אמרינן כל דמקדש אדעתא דרבנן מקדש</w:t>
      </w:r>
      <w:r w:rsidR="003046B1">
        <w:rPr>
          <w:rStyle w:val="a7"/>
          <w:rFonts w:cs="Arial"/>
          <w:rtl/>
        </w:rPr>
        <w:footnoteReference w:id="143"/>
      </w:r>
      <w:r w:rsidR="001F23F0" w:rsidRPr="001F23F0">
        <w:rPr>
          <w:rFonts w:cs="Arial" w:hint="cs"/>
          <w:rtl/>
        </w:rPr>
        <w:t>.</w:t>
      </w:r>
    </w:p>
    <w:p w14:paraId="55430D80" w14:textId="77777777" w:rsidR="009209E2" w:rsidRPr="00486C31" w:rsidRDefault="009209E2" w:rsidP="00486C31">
      <w:pPr>
        <w:rPr>
          <w:rFonts w:cs="Arial"/>
          <w:rtl/>
        </w:rPr>
      </w:pPr>
    </w:p>
    <w:p w14:paraId="79689FB9" w14:textId="163782F5" w:rsidR="00486C31" w:rsidRDefault="00486C31" w:rsidP="00786DE6">
      <w:pPr>
        <w:pStyle w:val="2"/>
        <w:rPr>
          <w:rtl/>
        </w:rPr>
      </w:pPr>
      <w:r w:rsidRPr="00486C31">
        <w:rPr>
          <w:rtl/>
        </w:rPr>
        <w:lastRenderedPageBreak/>
        <w:t>סעיף ד</w:t>
      </w:r>
      <w:r w:rsidR="009209E2">
        <w:rPr>
          <w:rFonts w:hint="cs"/>
          <w:rtl/>
        </w:rPr>
        <w:t>:</w:t>
      </w:r>
      <w:r w:rsidR="003046B1">
        <w:rPr>
          <w:rFonts w:hint="cs"/>
          <w:rtl/>
        </w:rPr>
        <w:t xml:space="preserve"> </w:t>
      </w:r>
      <w:r w:rsidR="00D15249">
        <w:rPr>
          <w:rFonts w:hint="cs"/>
          <w:rtl/>
        </w:rPr>
        <w:t xml:space="preserve">הסופר והעדים </w:t>
      </w:r>
      <w:r w:rsidR="003046B1">
        <w:rPr>
          <w:rFonts w:hint="cs"/>
          <w:rtl/>
        </w:rPr>
        <w:t>צרי</w:t>
      </w:r>
      <w:r w:rsidR="00D15249">
        <w:rPr>
          <w:rFonts w:hint="cs"/>
          <w:rtl/>
        </w:rPr>
        <w:t>כים לשמוע מהבעל</w:t>
      </w:r>
      <w:r w:rsidR="003046B1">
        <w:rPr>
          <w:rFonts w:hint="cs"/>
          <w:rtl/>
        </w:rPr>
        <w:t xml:space="preserve"> לכתוב </w:t>
      </w:r>
      <w:r w:rsidR="00D15249">
        <w:rPr>
          <w:rFonts w:hint="cs"/>
          <w:rtl/>
        </w:rPr>
        <w:t>ו</w:t>
      </w:r>
      <w:r w:rsidR="003046B1">
        <w:rPr>
          <w:rFonts w:hint="cs"/>
          <w:rtl/>
        </w:rPr>
        <w:t>לחתום.</w:t>
      </w:r>
    </w:p>
    <w:p w14:paraId="277CD163" w14:textId="1B409CB1" w:rsidR="00F25261" w:rsidRDefault="003046B1" w:rsidP="000C7C12">
      <w:pPr>
        <w:rPr>
          <w:rFonts w:cs="Arial"/>
          <w:rtl/>
        </w:rPr>
      </w:pPr>
      <w:r w:rsidRPr="00573889">
        <w:rPr>
          <w:rFonts w:cs="Arial" w:hint="cs"/>
          <w:b/>
          <w:bCs/>
          <w:rtl/>
        </w:rPr>
        <w:t xml:space="preserve">גיטין </w:t>
      </w:r>
      <w:r w:rsidRPr="00573889">
        <w:rPr>
          <w:rFonts w:cs="Arial" w:hint="cs"/>
          <w:b/>
          <w:bCs/>
          <w:sz w:val="16"/>
          <w:szCs w:val="16"/>
          <w:rtl/>
        </w:rPr>
        <w:t>(פ' התקבל)</w:t>
      </w:r>
      <w:r w:rsidRPr="00573889">
        <w:rPr>
          <w:rFonts w:cs="Arial" w:hint="cs"/>
          <w:b/>
          <w:bCs/>
          <w:rtl/>
        </w:rPr>
        <w:t xml:space="preserve"> סו ע"</w:t>
      </w:r>
      <w:r w:rsidR="00BD392F">
        <w:rPr>
          <w:rFonts w:cs="Arial" w:hint="cs"/>
          <w:b/>
          <w:bCs/>
          <w:rtl/>
        </w:rPr>
        <w:t>א</w:t>
      </w:r>
      <w:r w:rsidRPr="00573889">
        <w:rPr>
          <w:rFonts w:cs="Arial" w:hint="cs"/>
          <w:b/>
          <w:bCs/>
          <w:rtl/>
        </w:rPr>
        <w:t>:</w:t>
      </w:r>
      <w:r>
        <w:rPr>
          <w:rFonts w:cs="Arial" w:hint="cs"/>
          <w:rtl/>
        </w:rPr>
        <w:t xml:space="preserve"> </w:t>
      </w:r>
      <w:r w:rsidRPr="00573889">
        <w:rPr>
          <w:rFonts w:cs="Arial"/>
          <w:u w:val="double"/>
          <w:rtl/>
        </w:rPr>
        <w:t>מתני'</w:t>
      </w:r>
      <w:r>
        <w:rPr>
          <w:rFonts w:cs="Arial" w:hint="cs"/>
          <w:rtl/>
        </w:rPr>
        <w:t>:</w:t>
      </w:r>
      <w:r w:rsidRPr="00573889">
        <w:rPr>
          <w:rFonts w:cs="Arial"/>
          <w:rtl/>
        </w:rPr>
        <w:t xml:space="preserve"> </w:t>
      </w:r>
      <w:r w:rsidRPr="003046B1">
        <w:rPr>
          <w:rFonts w:cs="Arial"/>
          <w:rtl/>
        </w:rPr>
        <w:t>אמר לשנים תנו גט לאשתי</w:t>
      </w:r>
      <w:r w:rsidR="002645CB">
        <w:rPr>
          <w:rStyle w:val="a7"/>
          <w:rFonts w:cs="Arial"/>
          <w:rtl/>
        </w:rPr>
        <w:footnoteReference w:id="144"/>
      </w:r>
      <w:r w:rsidRPr="003046B1">
        <w:rPr>
          <w:rFonts w:cs="Arial"/>
          <w:rtl/>
        </w:rPr>
        <w:t>,</w:t>
      </w:r>
      <w:r w:rsidR="00BD392F" w:rsidRPr="00BD392F">
        <w:rPr>
          <w:rFonts w:cs="Arial" w:hint="cs"/>
          <w:sz w:val="14"/>
          <w:szCs w:val="14"/>
          <w:rtl/>
        </w:rPr>
        <w:t>(סו:)</w:t>
      </w:r>
      <w:r w:rsidR="00BD392F" w:rsidRPr="00BD392F">
        <w:rPr>
          <w:sz w:val="14"/>
          <w:szCs w:val="14"/>
          <w:rtl/>
        </w:rPr>
        <w:t xml:space="preserve"> </w:t>
      </w:r>
      <w:r w:rsidR="00BD392F" w:rsidRPr="00BD392F">
        <w:rPr>
          <w:rFonts w:cs="Arial"/>
          <w:rtl/>
        </w:rPr>
        <w:t>או לשלשה כתבו גט ותנו לאשתי</w:t>
      </w:r>
      <w:r w:rsidR="0054753C">
        <w:rPr>
          <w:rStyle w:val="a7"/>
          <w:rFonts w:cs="Arial"/>
          <w:rtl/>
        </w:rPr>
        <w:footnoteReference w:id="145"/>
      </w:r>
      <w:r w:rsidR="00BD392F" w:rsidRPr="00BD392F">
        <w:rPr>
          <w:rFonts w:cs="Arial"/>
          <w:rtl/>
        </w:rPr>
        <w:t xml:space="preserve"> </w:t>
      </w:r>
      <w:r w:rsidR="00A82951">
        <w:rPr>
          <w:rFonts w:cs="Arial"/>
          <w:rtl/>
        </w:rPr>
        <w:t>-</w:t>
      </w:r>
      <w:r w:rsidR="00BD392F" w:rsidRPr="00BD392F">
        <w:rPr>
          <w:rFonts w:cs="Arial"/>
          <w:rtl/>
        </w:rPr>
        <w:t xml:space="preserve"> הרי אלו יכתבו ויתנו. אמר לשלשה תנו</w:t>
      </w:r>
      <w:r w:rsidR="00C41813">
        <w:rPr>
          <w:rStyle w:val="a7"/>
          <w:rFonts w:cs="Arial"/>
          <w:rtl/>
        </w:rPr>
        <w:footnoteReference w:id="146"/>
      </w:r>
      <w:r w:rsidR="00BD392F" w:rsidRPr="00BD392F">
        <w:rPr>
          <w:rFonts w:cs="Arial"/>
          <w:rtl/>
        </w:rPr>
        <w:t xml:space="preserve"> גט לאשתי </w:t>
      </w:r>
      <w:r w:rsidR="00A82951">
        <w:rPr>
          <w:rFonts w:cs="Arial"/>
          <w:rtl/>
        </w:rPr>
        <w:t>-</w:t>
      </w:r>
      <w:r w:rsidR="00BD392F" w:rsidRPr="00BD392F">
        <w:rPr>
          <w:rFonts w:cs="Arial"/>
          <w:rtl/>
        </w:rPr>
        <w:t xml:space="preserve"> הרי אלו יאמרו</w:t>
      </w:r>
      <w:r w:rsidR="00C41813">
        <w:rPr>
          <w:rStyle w:val="a7"/>
          <w:rFonts w:cs="Arial"/>
          <w:rtl/>
        </w:rPr>
        <w:footnoteReference w:id="147"/>
      </w:r>
      <w:r w:rsidR="00BD392F" w:rsidRPr="00BD392F">
        <w:rPr>
          <w:rFonts w:cs="Arial"/>
          <w:rtl/>
        </w:rPr>
        <w:t xml:space="preserve"> לאחרים ויכתבו, מפני שעשאן ב"ד, </w:t>
      </w:r>
      <w:r w:rsidR="00BD392F" w:rsidRPr="00BD392F">
        <w:rPr>
          <w:rFonts w:cs="Arial"/>
          <w:u w:val="single"/>
          <w:rtl/>
        </w:rPr>
        <w:t>דברי ר"מ</w:t>
      </w:r>
      <w:r w:rsidR="00BD392F">
        <w:rPr>
          <w:rFonts w:cs="Arial" w:hint="cs"/>
          <w:rtl/>
        </w:rPr>
        <w:t>.</w:t>
      </w:r>
      <w:r w:rsidR="00BD392F" w:rsidRPr="00BD392F">
        <w:rPr>
          <w:rFonts w:cs="Arial"/>
          <w:rtl/>
        </w:rPr>
        <w:t xml:space="preserve"> וזו הלכה העלה רבי חנינא איש אונו מבית האסורין</w:t>
      </w:r>
      <w:r w:rsidR="00C41813">
        <w:rPr>
          <w:rStyle w:val="a7"/>
          <w:rFonts w:cs="Arial"/>
          <w:rtl/>
        </w:rPr>
        <w:footnoteReference w:id="148"/>
      </w:r>
      <w:r w:rsidR="00BD392F" w:rsidRPr="00BD392F">
        <w:rPr>
          <w:rFonts w:cs="Arial"/>
          <w:rtl/>
        </w:rPr>
        <w:t xml:space="preserve">: מקובל אני, באומר לשלשה תנו גט לאשתי </w:t>
      </w:r>
      <w:r w:rsidR="00A82951">
        <w:rPr>
          <w:rFonts w:cs="Arial"/>
          <w:rtl/>
        </w:rPr>
        <w:t>-</w:t>
      </w:r>
      <w:r w:rsidR="00BD392F" w:rsidRPr="00BD392F">
        <w:rPr>
          <w:rFonts w:cs="Arial"/>
          <w:rtl/>
        </w:rPr>
        <w:t xml:space="preserve"> שיאמרו לאחרים ויכתבו, מפני שעשאן ב"ד. </w:t>
      </w:r>
      <w:r w:rsidR="00BD392F" w:rsidRPr="00C41813">
        <w:rPr>
          <w:rFonts w:cs="Arial"/>
          <w:u w:val="single"/>
          <w:rtl/>
        </w:rPr>
        <w:t>אמר רבי יוסי</w:t>
      </w:r>
      <w:r w:rsidR="00C41813">
        <w:rPr>
          <w:rFonts w:cs="Arial" w:hint="cs"/>
          <w:rtl/>
        </w:rPr>
        <w:t>:</w:t>
      </w:r>
      <w:r w:rsidR="00BD392F" w:rsidRPr="00BD392F">
        <w:rPr>
          <w:rFonts w:cs="Arial"/>
          <w:rtl/>
        </w:rPr>
        <w:t xml:space="preserve"> נומינו לשליח</w:t>
      </w:r>
      <w:r w:rsidR="00C41813">
        <w:rPr>
          <w:rStyle w:val="a7"/>
          <w:rFonts w:cs="Arial"/>
          <w:rtl/>
        </w:rPr>
        <w:footnoteReference w:id="149"/>
      </w:r>
      <w:r w:rsidR="00A82951">
        <w:rPr>
          <w:rFonts w:cs="Arial" w:hint="cs"/>
          <w:rtl/>
        </w:rPr>
        <w:t>-</w:t>
      </w:r>
      <w:r w:rsidR="00BD392F" w:rsidRPr="00BD392F">
        <w:rPr>
          <w:rFonts w:cs="Arial"/>
          <w:rtl/>
        </w:rPr>
        <w:t xml:space="preserve"> אף אנו מקובלין, שאפי' אמר לב"ד הגדול שבירושלים תנו גט לאשתי </w:t>
      </w:r>
      <w:r w:rsidR="00A82951">
        <w:rPr>
          <w:rFonts w:cs="Arial"/>
          <w:rtl/>
        </w:rPr>
        <w:t>-</w:t>
      </w:r>
      <w:r w:rsidR="00BD392F" w:rsidRPr="00BD392F">
        <w:rPr>
          <w:rFonts w:cs="Arial"/>
          <w:rtl/>
        </w:rPr>
        <w:t xml:space="preserve"> שילמדו</w:t>
      </w:r>
      <w:r w:rsidR="00C41813">
        <w:rPr>
          <w:rStyle w:val="a7"/>
          <w:rFonts w:cs="Arial"/>
          <w:rtl/>
        </w:rPr>
        <w:footnoteReference w:id="150"/>
      </w:r>
      <w:r w:rsidR="00BD392F" w:rsidRPr="00BD392F">
        <w:rPr>
          <w:rFonts w:cs="Arial"/>
          <w:rtl/>
        </w:rPr>
        <w:t xml:space="preserve"> ויכתבו ויתנו.</w:t>
      </w:r>
      <w:r w:rsidR="00BD392F">
        <w:rPr>
          <w:rFonts w:cs="Arial" w:hint="cs"/>
          <w:rtl/>
        </w:rPr>
        <w:t>.</w:t>
      </w:r>
      <w:r w:rsidR="00BD392F" w:rsidRPr="00BD392F">
        <w:rPr>
          <w:rFonts w:cs="Arial"/>
          <w:rtl/>
        </w:rPr>
        <w:t>.</w:t>
      </w:r>
      <w:r w:rsidR="000A04D0">
        <w:rPr>
          <w:rFonts w:cs="Arial" w:hint="cs"/>
          <w:rtl/>
        </w:rPr>
        <w:t xml:space="preserve">       </w:t>
      </w:r>
      <w:r w:rsidR="000A04D0" w:rsidRPr="00F25261">
        <w:rPr>
          <w:rFonts w:cs="Arial" w:hint="cs"/>
          <w:u w:val="double"/>
          <w:rtl/>
        </w:rPr>
        <w:t>גמ</w:t>
      </w:r>
      <w:r w:rsidR="000C7C12">
        <w:rPr>
          <w:rFonts w:cs="Arial" w:hint="cs"/>
          <w:u w:val="double"/>
          <w:rtl/>
        </w:rPr>
        <w:t>'</w:t>
      </w:r>
      <w:r w:rsidR="000A04D0" w:rsidRPr="00F25261">
        <w:rPr>
          <w:rFonts w:cs="Arial" w:hint="cs"/>
          <w:u w:val="double"/>
          <w:rtl/>
        </w:rPr>
        <w:t>:</w:t>
      </w:r>
      <w:r w:rsidR="00F25261" w:rsidRPr="00F25261">
        <w:rPr>
          <w:rtl/>
        </w:rPr>
        <w:t xml:space="preserve"> </w:t>
      </w:r>
      <w:r w:rsidR="00F25261" w:rsidRPr="002645CB">
        <w:rPr>
          <w:rFonts w:cs="Arial"/>
          <w:u w:val="single"/>
          <w:rtl/>
        </w:rPr>
        <w:t>א"ר ירמיה בר אבא, שלחו ליה מבי רב לשמואל</w:t>
      </w:r>
      <w:r w:rsidR="00F25261" w:rsidRPr="00F25261">
        <w:rPr>
          <w:rFonts w:cs="Arial"/>
          <w:rtl/>
        </w:rPr>
        <w:t xml:space="preserve">: ילמדנו רבינו, אמר לשנים כתבו ותנו גט לאשתי, ואמרו לסופר וכתב וחתמו הן, מהו? </w:t>
      </w:r>
      <w:r w:rsidR="00F25261" w:rsidRPr="00C41813">
        <w:rPr>
          <w:rFonts w:cs="Arial"/>
          <w:u w:val="single"/>
          <w:rtl/>
        </w:rPr>
        <w:t>שלח להו</w:t>
      </w:r>
      <w:r w:rsidR="00F25261" w:rsidRPr="00F25261">
        <w:rPr>
          <w:rFonts w:cs="Arial"/>
          <w:rtl/>
        </w:rPr>
        <w:t>: תצא</w:t>
      </w:r>
      <w:r w:rsidR="001F7533">
        <w:rPr>
          <w:rStyle w:val="a7"/>
          <w:rFonts w:cs="Arial"/>
          <w:rtl/>
        </w:rPr>
        <w:footnoteReference w:id="151"/>
      </w:r>
      <w:r w:rsidR="00F25261" w:rsidRPr="00F25261">
        <w:rPr>
          <w:rFonts w:cs="Arial"/>
          <w:rtl/>
        </w:rPr>
        <w:t>, והדבר צריך תלמוד</w:t>
      </w:r>
      <w:r w:rsidR="009337A2">
        <w:rPr>
          <w:rStyle w:val="a7"/>
          <w:rFonts w:cs="Arial"/>
          <w:rtl/>
        </w:rPr>
        <w:footnoteReference w:id="152"/>
      </w:r>
      <w:r w:rsidR="00F25261" w:rsidRPr="00F25261">
        <w:rPr>
          <w:rFonts w:cs="Arial"/>
          <w:rtl/>
        </w:rPr>
        <w:t>. מאי הדבר צריך תלמוד</w:t>
      </w:r>
      <w:r w:rsidR="001F7533">
        <w:rPr>
          <w:rStyle w:val="a7"/>
          <w:rFonts w:cs="Arial"/>
          <w:rtl/>
        </w:rPr>
        <w:footnoteReference w:id="153"/>
      </w:r>
      <w:r w:rsidR="00F25261" w:rsidRPr="00F25261">
        <w:rPr>
          <w:rFonts w:cs="Arial"/>
          <w:rtl/>
        </w:rPr>
        <w:t>? אילימא משום דהוו להו מילי, ומספקא ליה: מילי אי מימסרן לשליח</w:t>
      </w:r>
      <w:r w:rsidR="001F7533">
        <w:rPr>
          <w:rStyle w:val="a7"/>
          <w:rFonts w:cs="Arial"/>
          <w:rtl/>
        </w:rPr>
        <w:footnoteReference w:id="154"/>
      </w:r>
      <w:r w:rsidR="00F25261" w:rsidRPr="00F25261">
        <w:rPr>
          <w:rFonts w:cs="Arial"/>
          <w:rtl/>
        </w:rPr>
        <w:t xml:space="preserve"> אי לא מימסרן</w:t>
      </w:r>
      <w:r w:rsidR="001F7533">
        <w:rPr>
          <w:rStyle w:val="a7"/>
          <w:rFonts w:cs="Arial"/>
          <w:rtl/>
        </w:rPr>
        <w:footnoteReference w:id="155"/>
      </w:r>
      <w:r w:rsidR="00F25261" w:rsidRPr="00F25261">
        <w:rPr>
          <w:rFonts w:cs="Arial"/>
          <w:rtl/>
        </w:rPr>
        <w:t xml:space="preserve"> לשליח, והאמר שמואל אמר רבי: הלכה כר' יוסי</w:t>
      </w:r>
      <w:r w:rsidR="001F7533">
        <w:rPr>
          <w:rStyle w:val="a7"/>
          <w:rFonts w:cs="Arial"/>
          <w:rtl/>
        </w:rPr>
        <w:footnoteReference w:id="156"/>
      </w:r>
      <w:r w:rsidR="00F25261" w:rsidRPr="00F25261">
        <w:rPr>
          <w:rFonts w:cs="Arial"/>
          <w:rtl/>
        </w:rPr>
        <w:t>, דאמר: מילי לא מימסרן לשליח! אלא לשמואל הא קא מיבעיא ליה: האי כתובו, אי כתב ידן</w:t>
      </w:r>
      <w:r w:rsidR="00880989">
        <w:rPr>
          <w:rStyle w:val="a7"/>
          <w:rFonts w:cs="Arial"/>
          <w:rtl/>
        </w:rPr>
        <w:footnoteReference w:id="157"/>
      </w:r>
      <w:r w:rsidR="00F25261" w:rsidRPr="00F25261">
        <w:rPr>
          <w:rFonts w:cs="Arial"/>
          <w:rtl/>
        </w:rPr>
        <w:t xml:space="preserve"> אי כתב הגט. ותיפשוט ליה ממתני': אמר לשנים תנו גט לאשתי, או לשלשה כתבו גט ותנו לאשתי </w:t>
      </w:r>
      <w:r w:rsidR="00A82951">
        <w:rPr>
          <w:rFonts w:cs="Arial"/>
          <w:rtl/>
        </w:rPr>
        <w:t>-</w:t>
      </w:r>
      <w:r w:rsidR="00F25261" w:rsidRPr="00F25261">
        <w:rPr>
          <w:rFonts w:cs="Arial"/>
          <w:rtl/>
        </w:rPr>
        <w:t xml:space="preserve"> הרי אלו יכתבו ויתנו! היא גופא קא מיבעיא ליה: כתובו, כתב ידן הוא או כתב הגט הוא. פשיטא דכתב הגט הוא! דקתני סיפא: אמר רבי יוסי, נומינו לשליח: אף אנו מקובלין, שאפי' אמר לב"ד הגדול שבירושלים תנו גט לאשתי </w:t>
      </w:r>
      <w:r w:rsidR="00A82951">
        <w:rPr>
          <w:rFonts w:cs="Arial"/>
          <w:rtl/>
        </w:rPr>
        <w:t>-</w:t>
      </w:r>
      <w:r w:rsidR="00F25261" w:rsidRPr="00F25261">
        <w:rPr>
          <w:rFonts w:cs="Arial"/>
          <w:rtl/>
        </w:rPr>
        <w:t xml:space="preserve"> שילמדו ויכתבו ויתנו לה</w:t>
      </w:r>
      <w:r w:rsidR="002A1E32">
        <w:rPr>
          <w:rFonts w:cs="Arial" w:hint="cs"/>
          <w:rtl/>
        </w:rPr>
        <w:t>!</w:t>
      </w:r>
      <w:r w:rsidR="00F25261" w:rsidRPr="00F25261">
        <w:rPr>
          <w:rFonts w:cs="Arial"/>
          <w:rtl/>
        </w:rPr>
        <w:t xml:space="preserve"> אי אמרת בשלמא כתב הגט הוא </w:t>
      </w:r>
      <w:r w:rsidR="00A82951">
        <w:rPr>
          <w:rFonts w:cs="Arial"/>
          <w:rtl/>
        </w:rPr>
        <w:t>-</w:t>
      </w:r>
      <w:r w:rsidR="00F25261" w:rsidRPr="00F25261">
        <w:rPr>
          <w:rFonts w:cs="Arial"/>
          <w:rtl/>
        </w:rPr>
        <w:t xml:space="preserve"> שפיר, אלא אי אמרת כתב ידן הוא, מי איכא בי דינא דלא ידעי מחתם חתימת ידייהו? אין, איכא בי דינא חדתא</w:t>
      </w:r>
      <w:r w:rsidR="00880989">
        <w:rPr>
          <w:rStyle w:val="a7"/>
          <w:rFonts w:cs="Arial"/>
          <w:rtl/>
        </w:rPr>
        <w:footnoteReference w:id="158"/>
      </w:r>
      <w:r w:rsidR="00F25261" w:rsidRPr="00F25261">
        <w:rPr>
          <w:rFonts w:cs="Arial"/>
          <w:rtl/>
        </w:rPr>
        <w:t xml:space="preserve">. ואי סבירא לן דהאי כתובו </w:t>
      </w:r>
      <w:r w:rsidR="00A82951">
        <w:rPr>
          <w:rFonts w:cs="Arial"/>
          <w:rtl/>
        </w:rPr>
        <w:t>-</w:t>
      </w:r>
      <w:r w:rsidR="00F25261" w:rsidRPr="00F25261">
        <w:rPr>
          <w:rFonts w:cs="Arial"/>
          <w:rtl/>
        </w:rPr>
        <w:t xml:space="preserve"> כתב ידן הוא, הא כתב הגט כשר? והאמר שמואל, אמר רבי: הלכה כר' יוסי, דאמר: מילי לא מימסרן לשליח! אמרי: אי סבירי לן דכתובו </w:t>
      </w:r>
      <w:r w:rsidR="00A82951">
        <w:rPr>
          <w:rFonts w:cs="Arial"/>
          <w:rtl/>
        </w:rPr>
        <w:t>-</w:t>
      </w:r>
      <w:r w:rsidR="00F25261" w:rsidRPr="00F25261">
        <w:rPr>
          <w:rFonts w:cs="Arial"/>
          <w:rtl/>
        </w:rPr>
        <w:t xml:space="preserve"> כתב ידן הוא, כתב הגט נעשה כאומר אמרו, ומודה ר' יוסי באומר אמרו. ומי מודה ר' יוסי באומר אמרו?</w:t>
      </w:r>
      <w:r w:rsidR="006115A9" w:rsidRPr="006115A9">
        <w:rPr>
          <w:rtl/>
        </w:rPr>
        <w:t xml:space="preserve"> </w:t>
      </w:r>
      <w:r w:rsidR="006115A9" w:rsidRPr="006115A9">
        <w:rPr>
          <w:rFonts w:cs="Arial"/>
          <w:rtl/>
        </w:rPr>
        <w:t xml:space="preserve">והתנן: כתב סופר ועד </w:t>
      </w:r>
      <w:r w:rsidR="00A82951">
        <w:rPr>
          <w:rFonts w:cs="Arial"/>
          <w:rtl/>
        </w:rPr>
        <w:t>-</w:t>
      </w:r>
      <w:r w:rsidR="006115A9" w:rsidRPr="006115A9">
        <w:rPr>
          <w:rFonts w:cs="Arial"/>
          <w:rtl/>
        </w:rPr>
        <w:t xml:space="preserve"> כשר, ואמר ר' ירמיה: חתם סופר שנינו, ואמר רב חסדא: מתני' מני? ר' יוסי היא, דאמר: מילי לא מימסרן לשליח</w:t>
      </w:r>
      <w:r w:rsidR="00170C83">
        <w:rPr>
          <w:rFonts w:cs="Arial" w:hint="cs"/>
          <w:rtl/>
        </w:rPr>
        <w:t>.</w:t>
      </w:r>
      <w:r w:rsidR="006115A9" w:rsidRPr="006115A9">
        <w:rPr>
          <w:rFonts w:cs="Arial"/>
          <w:rtl/>
        </w:rPr>
        <w:t xml:space="preserve"> ואי סלקא דעתך מודה רבי יוסי באומר אמרו, נפיק מינה חורבה, דזימנין דאמר להו לשנים</w:t>
      </w:r>
      <w:r w:rsidR="000C7C12">
        <w:rPr>
          <w:rFonts w:hint="cs"/>
          <w:sz w:val="14"/>
          <w:szCs w:val="14"/>
          <w:rtl/>
        </w:rPr>
        <w:t xml:space="preserve"> (סז.)</w:t>
      </w:r>
      <w:r w:rsidR="006115A9">
        <w:rPr>
          <w:rFonts w:hint="cs"/>
          <w:sz w:val="14"/>
          <w:szCs w:val="14"/>
          <w:rtl/>
        </w:rPr>
        <w:t xml:space="preserve"> </w:t>
      </w:r>
      <w:r w:rsidR="006115A9" w:rsidRPr="006115A9">
        <w:rPr>
          <w:rFonts w:cs="Arial"/>
          <w:rtl/>
        </w:rPr>
        <w:t>א</w:t>
      </w:r>
      <w:r w:rsidR="006115A9">
        <w:rPr>
          <w:rFonts w:cs="Arial" w:hint="cs"/>
          <w:rtl/>
        </w:rPr>
        <w:t>ִ</w:t>
      </w:r>
      <w:r w:rsidR="006115A9" w:rsidRPr="006115A9">
        <w:rPr>
          <w:rFonts w:cs="Arial"/>
          <w:rtl/>
        </w:rPr>
        <w:t>מרו לסופר ויכתוב ולפלוני ופלוני ויחתמו, ומשום כיסופא דסופר חיישי ומחתמי חד מהנך סהדי וסופר בהדייהו, ובעל לא אמר הכי! כיון דאמר מר: כשר ולא תעשה כן בישראל, לא שכיח. וליחוש דילמא אמר להו לבי תרי א</w:t>
      </w:r>
      <w:r w:rsidR="00170C83">
        <w:rPr>
          <w:rFonts w:cs="Arial" w:hint="cs"/>
          <w:rtl/>
        </w:rPr>
        <w:t>ִ</w:t>
      </w:r>
      <w:r w:rsidR="006115A9" w:rsidRPr="006115A9">
        <w:rPr>
          <w:rFonts w:cs="Arial"/>
          <w:rtl/>
        </w:rPr>
        <w:t>מרו לסופר ויכתוב ואתם חתומו, ואזלי הנך משום כיסופא דסופר ומחתמי ליה לסופר בהדי חד מינייהו, ובעל לא אמר הכי! אמרי: הא נמי כשר ולא תעשה הוא. הניחא למ"ד כשר ולא תעשה</w:t>
      </w:r>
      <w:r w:rsidR="0026249A">
        <w:rPr>
          <w:rStyle w:val="a7"/>
          <w:rFonts w:cs="Arial"/>
          <w:rtl/>
        </w:rPr>
        <w:footnoteReference w:id="159"/>
      </w:r>
      <w:r w:rsidR="006115A9" w:rsidRPr="006115A9">
        <w:rPr>
          <w:rFonts w:cs="Arial"/>
          <w:rtl/>
        </w:rPr>
        <w:t xml:space="preserve">, אלא למ"ד כשר ותעשה מאי איכא למימר? </w:t>
      </w:r>
      <w:r w:rsidR="000C7C12" w:rsidRPr="000C7C12">
        <w:rPr>
          <w:rFonts w:cs="Arial"/>
          <w:rtl/>
        </w:rPr>
        <w:t>אלא רבי יוסי תרתי אמר, ושמואל סבר לה כוותיה בחדא ופליג עליה בחדא.</w:t>
      </w:r>
      <w:r w:rsidR="00F25261" w:rsidRPr="00F25261">
        <w:rPr>
          <w:rFonts w:cs="Arial"/>
          <w:rtl/>
        </w:rPr>
        <w:t xml:space="preserve"> </w:t>
      </w:r>
      <w:r w:rsidR="000C7C12" w:rsidRPr="000C7C12">
        <w:rPr>
          <w:rFonts w:cs="Arial" w:hint="cs"/>
          <w:sz w:val="16"/>
          <w:szCs w:val="16"/>
          <w:rtl/>
        </w:rPr>
        <w:t>(</w:t>
      </w:r>
      <w:r w:rsidR="00BA15E7" w:rsidRPr="000C7C12">
        <w:rPr>
          <w:rFonts w:cs="Arial"/>
          <w:sz w:val="16"/>
          <w:szCs w:val="16"/>
          <w:rtl/>
        </w:rPr>
        <w:t>ו</w:t>
      </w:r>
      <w:r w:rsidR="000C7C12" w:rsidRPr="000C7C12">
        <w:rPr>
          <w:rFonts w:cs="Arial" w:hint="cs"/>
          <w:sz w:val="16"/>
          <w:szCs w:val="16"/>
          <w:rtl/>
        </w:rPr>
        <w:t>סיכם הב"י ד</w:t>
      </w:r>
      <w:r w:rsidR="00BA15E7" w:rsidRPr="000C7C12">
        <w:rPr>
          <w:rFonts w:cs="Arial"/>
          <w:sz w:val="16"/>
          <w:szCs w:val="16"/>
          <w:rtl/>
        </w:rPr>
        <w:t>אסיקנא בגמרא (סז.) דאפילו באומר אמרו לסופר שיכתוב ולעדים שיחתמו פליג רבי יוסי</w:t>
      </w:r>
      <w:r w:rsidR="00F25261" w:rsidRPr="000C7C12">
        <w:rPr>
          <w:rFonts w:cs="Arial" w:hint="cs"/>
          <w:sz w:val="16"/>
          <w:szCs w:val="16"/>
          <w:rtl/>
        </w:rPr>
        <w:t>.</w:t>
      </w:r>
      <w:r w:rsidR="00BA15E7" w:rsidRPr="000C7C12">
        <w:rPr>
          <w:rFonts w:cs="Arial"/>
          <w:sz w:val="16"/>
          <w:szCs w:val="16"/>
          <w:rtl/>
        </w:rPr>
        <w:t xml:space="preserve"> ואמרינן תו בגמרא דשמואל סבר לה כרבי יוסי היכא דלא אמר </w:t>
      </w:r>
      <w:r w:rsidR="00F25261" w:rsidRPr="000C7C12">
        <w:rPr>
          <w:rFonts w:cs="Arial" w:hint="cs"/>
          <w:sz w:val="16"/>
          <w:szCs w:val="16"/>
          <w:rtl/>
        </w:rPr>
        <w:t>'</w:t>
      </w:r>
      <w:r w:rsidR="00BA15E7" w:rsidRPr="000C7C12">
        <w:rPr>
          <w:rFonts w:cs="Arial"/>
          <w:sz w:val="16"/>
          <w:szCs w:val="16"/>
          <w:rtl/>
        </w:rPr>
        <w:t>אמרו</w:t>
      </w:r>
      <w:r w:rsidR="00F25261" w:rsidRPr="000C7C12">
        <w:rPr>
          <w:rFonts w:cs="Arial" w:hint="cs"/>
          <w:sz w:val="16"/>
          <w:szCs w:val="16"/>
          <w:rtl/>
        </w:rPr>
        <w:t>',</w:t>
      </w:r>
      <w:r w:rsidR="00BA15E7" w:rsidRPr="000C7C12">
        <w:rPr>
          <w:rFonts w:cs="Arial"/>
          <w:sz w:val="16"/>
          <w:szCs w:val="16"/>
          <w:rtl/>
        </w:rPr>
        <w:t xml:space="preserve"> משום דמילי לא מימסרן לשליח</w:t>
      </w:r>
      <w:r w:rsidR="00F25261" w:rsidRPr="000C7C12">
        <w:rPr>
          <w:rFonts w:cs="Arial" w:hint="cs"/>
          <w:sz w:val="16"/>
          <w:szCs w:val="16"/>
          <w:rtl/>
        </w:rPr>
        <w:t>.</w:t>
      </w:r>
      <w:r w:rsidR="00BA15E7" w:rsidRPr="000C7C12">
        <w:rPr>
          <w:rFonts w:cs="Arial"/>
          <w:sz w:val="16"/>
          <w:szCs w:val="16"/>
          <w:rtl/>
        </w:rPr>
        <w:t xml:space="preserve"> ופליג עליה באומר </w:t>
      </w:r>
      <w:r w:rsidR="00F25261" w:rsidRPr="000C7C12">
        <w:rPr>
          <w:rFonts w:cs="Arial" w:hint="cs"/>
          <w:sz w:val="16"/>
          <w:szCs w:val="16"/>
          <w:rtl/>
        </w:rPr>
        <w:t>'</w:t>
      </w:r>
      <w:r w:rsidR="00BA15E7" w:rsidRPr="000C7C12">
        <w:rPr>
          <w:rFonts w:cs="Arial"/>
          <w:sz w:val="16"/>
          <w:szCs w:val="16"/>
          <w:rtl/>
        </w:rPr>
        <w:t>אמרו לסופר שיכתוב ולעדים ויחתמו</w:t>
      </w:r>
      <w:r w:rsidR="00F25261" w:rsidRPr="000C7C12">
        <w:rPr>
          <w:rFonts w:cs="Arial" w:hint="cs"/>
          <w:sz w:val="16"/>
          <w:szCs w:val="16"/>
          <w:rtl/>
        </w:rPr>
        <w:t>'</w:t>
      </w:r>
      <w:r w:rsidR="000C7C12">
        <w:rPr>
          <w:rFonts w:cs="Arial" w:hint="cs"/>
          <w:sz w:val="16"/>
          <w:szCs w:val="16"/>
          <w:rtl/>
        </w:rPr>
        <w:t>)</w:t>
      </w:r>
      <w:r w:rsidR="00BA15E7" w:rsidRPr="00BA15E7">
        <w:rPr>
          <w:rFonts w:cs="Arial"/>
          <w:rtl/>
        </w:rPr>
        <w:t xml:space="preserve"> </w:t>
      </w:r>
    </w:p>
    <w:p w14:paraId="5FD7A3EE" w14:textId="171E2976" w:rsidR="000C7C12" w:rsidRDefault="00BA48CF" w:rsidP="00BA48CF">
      <w:pPr>
        <w:rPr>
          <w:rFonts w:cs="Arial"/>
          <w:rtl/>
        </w:rPr>
      </w:pPr>
      <w:r w:rsidRPr="00573889">
        <w:rPr>
          <w:rFonts w:cs="Arial" w:hint="cs"/>
          <w:b/>
          <w:bCs/>
          <w:rtl/>
        </w:rPr>
        <w:t xml:space="preserve">גיטין </w:t>
      </w:r>
      <w:r w:rsidRPr="00573889">
        <w:rPr>
          <w:rFonts w:cs="Arial" w:hint="cs"/>
          <w:b/>
          <w:bCs/>
          <w:sz w:val="16"/>
          <w:szCs w:val="16"/>
          <w:rtl/>
        </w:rPr>
        <w:t>(</w:t>
      </w:r>
      <w:r>
        <w:rPr>
          <w:rFonts w:cs="Arial" w:hint="cs"/>
          <w:b/>
          <w:bCs/>
          <w:sz w:val="16"/>
          <w:szCs w:val="16"/>
          <w:rtl/>
        </w:rPr>
        <w:t>פ</w:t>
      </w:r>
      <w:r w:rsidR="008D182B">
        <w:rPr>
          <w:rFonts w:cs="Arial" w:hint="cs"/>
          <w:b/>
          <w:bCs/>
          <w:sz w:val="16"/>
          <w:szCs w:val="16"/>
          <w:rtl/>
        </w:rPr>
        <w:t>'</w:t>
      </w:r>
      <w:r>
        <w:rPr>
          <w:rFonts w:cs="Arial" w:hint="cs"/>
          <w:b/>
          <w:bCs/>
          <w:sz w:val="16"/>
          <w:szCs w:val="16"/>
          <w:rtl/>
        </w:rPr>
        <w:t xml:space="preserve"> מי שאחזו</w:t>
      </w:r>
      <w:r w:rsidRPr="00573889">
        <w:rPr>
          <w:rFonts w:cs="Arial" w:hint="cs"/>
          <w:b/>
          <w:bCs/>
          <w:sz w:val="16"/>
          <w:szCs w:val="16"/>
          <w:rtl/>
        </w:rPr>
        <w:t>)</w:t>
      </w:r>
      <w:r w:rsidRPr="00573889">
        <w:rPr>
          <w:rFonts w:cs="Arial" w:hint="cs"/>
          <w:b/>
          <w:bCs/>
          <w:rtl/>
        </w:rPr>
        <w:t xml:space="preserve"> </w:t>
      </w:r>
      <w:r w:rsidR="00871B46">
        <w:rPr>
          <w:rFonts w:cs="Arial" w:hint="cs"/>
          <w:b/>
          <w:bCs/>
          <w:rtl/>
        </w:rPr>
        <w:t>עא</w:t>
      </w:r>
      <w:r w:rsidRPr="00573889">
        <w:rPr>
          <w:rFonts w:cs="Arial" w:hint="cs"/>
          <w:b/>
          <w:bCs/>
          <w:rtl/>
        </w:rPr>
        <w:t xml:space="preserve"> ע"</w:t>
      </w:r>
      <w:r w:rsidR="00871B46">
        <w:rPr>
          <w:rFonts w:cs="Arial" w:hint="cs"/>
          <w:b/>
          <w:bCs/>
          <w:rtl/>
        </w:rPr>
        <w:t>ב</w:t>
      </w:r>
      <w:r w:rsidRPr="00573889">
        <w:rPr>
          <w:rFonts w:cs="Arial" w:hint="cs"/>
          <w:b/>
          <w:bCs/>
          <w:rtl/>
        </w:rPr>
        <w:t>:</w:t>
      </w:r>
      <w:r>
        <w:rPr>
          <w:rFonts w:cs="Arial" w:hint="cs"/>
          <w:rtl/>
        </w:rPr>
        <w:t xml:space="preserve"> </w:t>
      </w:r>
      <w:r w:rsidRPr="00573889">
        <w:rPr>
          <w:rFonts w:cs="Arial"/>
          <w:u w:val="double"/>
          <w:rtl/>
        </w:rPr>
        <w:t>מתני'</w:t>
      </w:r>
      <w:r>
        <w:rPr>
          <w:rFonts w:cs="Arial" w:hint="cs"/>
          <w:rtl/>
        </w:rPr>
        <w:t>:</w:t>
      </w:r>
      <w:r w:rsidRPr="00573889">
        <w:rPr>
          <w:rFonts w:cs="Arial"/>
          <w:rtl/>
        </w:rPr>
        <w:t xml:space="preserve"> </w:t>
      </w:r>
      <w:r w:rsidRPr="00BA48CF">
        <w:rPr>
          <w:rFonts w:cs="Arial"/>
          <w:rtl/>
        </w:rPr>
        <w:t>אמרו לו</w:t>
      </w:r>
      <w:r>
        <w:rPr>
          <w:rFonts w:cs="Arial" w:hint="cs"/>
          <w:rtl/>
        </w:rPr>
        <w:t>:</w:t>
      </w:r>
      <w:r w:rsidRPr="00BA48CF">
        <w:rPr>
          <w:rFonts w:cs="Arial"/>
          <w:rtl/>
        </w:rPr>
        <w:t xml:space="preserve"> נכתוב גט לאשתך</w:t>
      </w:r>
      <w:r>
        <w:rPr>
          <w:rFonts w:cs="Arial" w:hint="cs"/>
          <w:rtl/>
        </w:rPr>
        <w:t>.</w:t>
      </w:r>
      <w:r w:rsidRPr="00BA48CF">
        <w:rPr>
          <w:rFonts w:cs="Arial"/>
          <w:rtl/>
        </w:rPr>
        <w:t xml:space="preserve"> ואמר להן</w:t>
      </w:r>
      <w:r>
        <w:rPr>
          <w:rFonts w:cs="Arial" w:hint="cs"/>
          <w:rtl/>
        </w:rPr>
        <w:t>:</w:t>
      </w:r>
      <w:r w:rsidRPr="00BA48CF">
        <w:rPr>
          <w:rFonts w:cs="Arial"/>
          <w:rtl/>
        </w:rPr>
        <w:t xml:space="preserve"> כתובו</w:t>
      </w:r>
      <w:r>
        <w:rPr>
          <w:rFonts w:cs="Arial" w:hint="cs"/>
          <w:rtl/>
        </w:rPr>
        <w:t>.</w:t>
      </w:r>
      <w:r w:rsidRPr="00BA48CF">
        <w:rPr>
          <w:rFonts w:cs="Arial"/>
          <w:rtl/>
        </w:rPr>
        <w:t xml:space="preserve"> אמרו לסופר וכתב ולעדים וחתמו, אף על פי שכתבוהו וחתמוהו ונתנוהו לו וחזר ונתנו לה </w:t>
      </w:r>
      <w:r w:rsidR="00A82951">
        <w:rPr>
          <w:rFonts w:cs="Arial"/>
          <w:rtl/>
        </w:rPr>
        <w:t>-</w:t>
      </w:r>
      <w:r w:rsidRPr="00BA48CF">
        <w:rPr>
          <w:rFonts w:cs="Arial"/>
          <w:rtl/>
        </w:rPr>
        <w:t xml:space="preserve"> הרי הגט בטל, עד שיאמר לסופר כתוב ולעדים חתומו. </w:t>
      </w:r>
      <w:r>
        <w:rPr>
          <w:rFonts w:cs="Arial" w:hint="cs"/>
          <w:rtl/>
        </w:rPr>
        <w:t xml:space="preserve">      </w:t>
      </w:r>
      <w:r w:rsidRPr="00BA48CF">
        <w:rPr>
          <w:rFonts w:cs="Arial"/>
          <w:u w:val="double"/>
          <w:rtl/>
        </w:rPr>
        <w:t>גמ'</w:t>
      </w:r>
      <w:r>
        <w:rPr>
          <w:rFonts w:cs="Arial" w:hint="cs"/>
          <w:rtl/>
        </w:rPr>
        <w:t>:</w:t>
      </w:r>
      <w:r w:rsidRPr="00BA48CF">
        <w:rPr>
          <w:rFonts w:cs="Arial"/>
          <w:rtl/>
        </w:rPr>
        <w:t xml:space="preserve"> טעמא דלא אמר תנו, הא אמר תנו </w:t>
      </w:r>
      <w:r w:rsidR="00A82951">
        <w:rPr>
          <w:rFonts w:cs="Arial"/>
          <w:rtl/>
        </w:rPr>
        <w:t>-</w:t>
      </w:r>
      <w:r w:rsidRPr="00BA48CF">
        <w:rPr>
          <w:rFonts w:cs="Arial"/>
          <w:rtl/>
        </w:rPr>
        <w:t xml:space="preserve"> נותנין</w:t>
      </w:r>
      <w:r w:rsidR="002B7183">
        <w:rPr>
          <w:rFonts w:cs="Arial" w:hint="cs"/>
          <w:rtl/>
        </w:rPr>
        <w:t>.</w:t>
      </w:r>
      <w:r w:rsidRPr="00BA48CF">
        <w:rPr>
          <w:rFonts w:cs="Arial"/>
          <w:rtl/>
        </w:rPr>
        <w:t xml:space="preserve"> מני? ר"מ היא, דאמר: מילי מימסרן לשליח</w:t>
      </w:r>
      <w:r>
        <w:rPr>
          <w:rFonts w:cs="Arial" w:hint="cs"/>
          <w:rtl/>
        </w:rPr>
        <w:t>.</w:t>
      </w:r>
      <w:r w:rsidRPr="00BA48CF">
        <w:rPr>
          <w:rFonts w:cs="Arial"/>
          <w:rtl/>
        </w:rPr>
        <w:t xml:space="preserve"> אימא סיפא: עד שיאמר לסופר כתוב ולעדים חתומו, אתאן לר' יוסי, דאמר: מילי לא מימסרן לשליח</w:t>
      </w:r>
      <w:r>
        <w:rPr>
          <w:rFonts w:cs="Arial" w:hint="cs"/>
          <w:rtl/>
        </w:rPr>
        <w:t>.</w:t>
      </w:r>
      <w:r w:rsidRPr="00BA48CF">
        <w:rPr>
          <w:rFonts w:cs="Arial"/>
          <w:rtl/>
        </w:rPr>
        <w:t xml:space="preserve"> רישא ר"מ וסיפא רבי יוסי? אין, רישא ר"מ וסיפא רבי יוסי. </w:t>
      </w:r>
      <w:r w:rsidRPr="002B7183">
        <w:rPr>
          <w:rFonts w:cs="Arial"/>
          <w:u w:val="single"/>
          <w:rtl/>
        </w:rPr>
        <w:t>אביי אמר</w:t>
      </w:r>
      <w:r w:rsidRPr="00BA48CF">
        <w:rPr>
          <w:rFonts w:cs="Arial"/>
          <w:rtl/>
        </w:rPr>
        <w:t xml:space="preserve">: כולה רבי מאיר היא, והכא במאי עסקינן </w:t>
      </w:r>
      <w:r w:rsidR="00A82951">
        <w:rPr>
          <w:rFonts w:cs="Arial"/>
          <w:rtl/>
        </w:rPr>
        <w:t>-</w:t>
      </w:r>
      <w:r w:rsidRPr="00BA48CF">
        <w:rPr>
          <w:rFonts w:cs="Arial"/>
          <w:rtl/>
        </w:rPr>
        <w:t xml:space="preserve"> דלא אמר תנו. אי הכי, עד שיאמר תנו מיבעי ליה! אלא הכא במאי עסקינן </w:t>
      </w:r>
      <w:r w:rsidR="00A82951">
        <w:rPr>
          <w:rFonts w:cs="Arial"/>
          <w:rtl/>
        </w:rPr>
        <w:t>-</w:t>
      </w:r>
      <w:r w:rsidRPr="00BA48CF">
        <w:rPr>
          <w:rFonts w:cs="Arial"/>
          <w:rtl/>
        </w:rPr>
        <w:t xml:space="preserve"> דלא אמר לבי תלתא. א"ה, עד שיאמר לשלשה מיבעי ליה! אלא כולה רבי יוסי היא, והכא במאי עסקינן </w:t>
      </w:r>
      <w:r w:rsidR="00A82951">
        <w:rPr>
          <w:rFonts w:cs="Arial"/>
          <w:rtl/>
        </w:rPr>
        <w:t>-</w:t>
      </w:r>
      <w:r w:rsidRPr="00BA48CF">
        <w:rPr>
          <w:rFonts w:cs="Arial"/>
          <w:rtl/>
        </w:rPr>
        <w:t xml:space="preserve"> דלא אמר אמרו. אי הכי עד שיאמר אמרו מיבעי ליה! ועוד, מי מודה רבי יוסי באומר אמרו? והתנן: כתב סופר ועד </w:t>
      </w:r>
      <w:r w:rsidR="00A82951">
        <w:rPr>
          <w:rFonts w:cs="Arial"/>
          <w:rtl/>
        </w:rPr>
        <w:t>-</w:t>
      </w:r>
      <w:r w:rsidRPr="00BA48CF">
        <w:rPr>
          <w:rFonts w:cs="Arial"/>
          <w:rtl/>
        </w:rPr>
        <w:t xml:space="preserve"> כשר, ואמר רבי ירמיה: חתם סופר שנינו, ואמר רב חסדא: מתניתין מני?</w:t>
      </w:r>
      <w:r w:rsidR="00871B46">
        <w:rPr>
          <w:rFonts w:hint="cs"/>
          <w:sz w:val="14"/>
          <w:szCs w:val="14"/>
          <w:rtl/>
        </w:rPr>
        <w:t xml:space="preserve"> (עב.) </w:t>
      </w:r>
      <w:r w:rsidR="00871B46" w:rsidRPr="00871B46">
        <w:rPr>
          <w:rFonts w:cs="Arial"/>
          <w:rtl/>
        </w:rPr>
        <w:t>ר' יוסי היא, דאמר: מילי לא מימסרן לשליח</w:t>
      </w:r>
      <w:r w:rsidR="00871B46">
        <w:rPr>
          <w:rFonts w:cs="Arial" w:hint="cs"/>
          <w:rtl/>
        </w:rPr>
        <w:t>.</w:t>
      </w:r>
      <w:r w:rsidR="00871B46" w:rsidRPr="00871B46">
        <w:rPr>
          <w:rFonts w:cs="Arial"/>
          <w:rtl/>
        </w:rPr>
        <w:t xml:space="preserve"> ואי ס"ד מודה ר' יוסי באומר אמרו, נפיק מינה חורבא, דזימנין דאמר להו לשנים אמרו לסופר ויכתוב ולפלוני ופלוני ויחתמו, ומשום כיסופא דסופר חיישי ומחתמי ליה, ובעל לא אמר הכי! אלא מחוורתא, רישא ר"מ וסיפא ר' יוסי. </w:t>
      </w:r>
      <w:r w:rsidR="00871B46" w:rsidRPr="00871B46">
        <w:rPr>
          <w:rFonts w:cs="Arial"/>
          <w:u w:val="single"/>
          <w:rtl/>
        </w:rPr>
        <w:t>רב אשי אמר</w:t>
      </w:r>
      <w:r w:rsidR="00871B46" w:rsidRPr="00871B46">
        <w:rPr>
          <w:rFonts w:cs="Arial"/>
          <w:rtl/>
        </w:rPr>
        <w:t xml:space="preserve">: כולה ר' יוסי היא, ולא מיבעיא קאמר, לא מבעיא היכא דלא אמר תנו, אלא אפי' </w:t>
      </w:r>
      <w:r w:rsidR="00871B46" w:rsidRPr="00871B46">
        <w:rPr>
          <w:rFonts w:cs="Arial"/>
          <w:rtl/>
        </w:rPr>
        <w:lastRenderedPageBreak/>
        <w:t xml:space="preserve">אמר תנו </w:t>
      </w:r>
      <w:r w:rsidR="00A82951">
        <w:rPr>
          <w:rFonts w:cs="Arial"/>
          <w:rtl/>
        </w:rPr>
        <w:t>-</w:t>
      </w:r>
      <w:r w:rsidR="00871B46" w:rsidRPr="00871B46">
        <w:rPr>
          <w:rFonts w:cs="Arial"/>
          <w:rtl/>
        </w:rPr>
        <w:t xml:space="preserve"> לא</w:t>
      </w:r>
      <w:r w:rsidR="00871B46">
        <w:rPr>
          <w:rFonts w:cs="Arial" w:hint="cs"/>
          <w:rtl/>
        </w:rPr>
        <w:t>.</w:t>
      </w:r>
      <w:r w:rsidR="00871B46" w:rsidRPr="00871B46">
        <w:rPr>
          <w:rFonts w:cs="Arial"/>
          <w:rtl/>
        </w:rPr>
        <w:t xml:space="preserve"> ולא מיבעיא היכא דלא אמר לבי תלתא, אלא אפי' אמר לבי תלתא </w:t>
      </w:r>
      <w:r w:rsidR="00A82951">
        <w:rPr>
          <w:rFonts w:cs="Arial"/>
          <w:rtl/>
        </w:rPr>
        <w:t>-</w:t>
      </w:r>
      <w:r w:rsidR="00871B46" w:rsidRPr="00871B46">
        <w:rPr>
          <w:rFonts w:cs="Arial"/>
          <w:rtl/>
        </w:rPr>
        <w:t xml:space="preserve"> לא</w:t>
      </w:r>
      <w:r w:rsidR="00871B46">
        <w:rPr>
          <w:rFonts w:cs="Arial" w:hint="cs"/>
          <w:rtl/>
        </w:rPr>
        <w:t>.</w:t>
      </w:r>
      <w:r w:rsidR="00871B46" w:rsidRPr="00871B46">
        <w:rPr>
          <w:rFonts w:cs="Arial"/>
          <w:rtl/>
        </w:rPr>
        <w:t xml:space="preserve"> ולא מיבעיא היכא דלא אמר אמרו, אלא אפילו אמר אמרו </w:t>
      </w:r>
      <w:r w:rsidR="00A82951">
        <w:rPr>
          <w:rFonts w:cs="Arial"/>
          <w:rtl/>
        </w:rPr>
        <w:t>-</w:t>
      </w:r>
      <w:r w:rsidR="00871B46" w:rsidRPr="00871B46">
        <w:rPr>
          <w:rFonts w:cs="Arial"/>
          <w:rtl/>
        </w:rPr>
        <w:t xml:space="preserve"> נמי לא. </w:t>
      </w:r>
      <w:r w:rsidR="00871B46" w:rsidRPr="00871B46">
        <w:rPr>
          <w:rFonts w:cs="Arial"/>
          <w:u w:val="single"/>
          <w:rtl/>
        </w:rPr>
        <w:t>תניא כוותיה דרב אשי</w:t>
      </w:r>
      <w:r w:rsidR="00871B46" w:rsidRPr="00871B46">
        <w:rPr>
          <w:rFonts w:cs="Arial"/>
          <w:rtl/>
        </w:rPr>
        <w:t xml:space="preserve">: כתב סופר לשמה וחתמו עדים לשמה, אף על פי שכתבוהו וחתמוהו ונתנוהו לו ונתנו לה </w:t>
      </w:r>
      <w:r w:rsidR="00A82951">
        <w:rPr>
          <w:rFonts w:cs="Arial"/>
          <w:rtl/>
        </w:rPr>
        <w:t>-</w:t>
      </w:r>
      <w:r w:rsidR="00871B46" w:rsidRPr="00871B46">
        <w:rPr>
          <w:rFonts w:cs="Arial"/>
          <w:rtl/>
        </w:rPr>
        <w:t xml:space="preserve"> הרי הגט בטל, עד שישמעו קולו שיאמר לסופר כתוב ולעדים חתומו</w:t>
      </w:r>
      <w:r w:rsidR="00871B46">
        <w:rPr>
          <w:rFonts w:cs="Arial" w:hint="cs"/>
          <w:rtl/>
        </w:rPr>
        <w:t>.</w:t>
      </w:r>
      <w:r w:rsidR="00871B46" w:rsidRPr="00871B46">
        <w:rPr>
          <w:rFonts w:cs="Arial"/>
          <w:rtl/>
        </w:rPr>
        <w:t xml:space="preserve"> ישמעו </w:t>
      </w:r>
      <w:r w:rsidR="00A82951">
        <w:rPr>
          <w:rFonts w:cs="Arial"/>
          <w:rtl/>
        </w:rPr>
        <w:t>-</w:t>
      </w:r>
      <w:r w:rsidR="00871B46" w:rsidRPr="00871B46">
        <w:rPr>
          <w:rFonts w:cs="Arial"/>
          <w:rtl/>
        </w:rPr>
        <w:t xml:space="preserve"> לאפוקי ממ"ד: מודה רבי יוסי באומר אמרו</w:t>
      </w:r>
      <w:r w:rsidR="00871B46">
        <w:rPr>
          <w:rFonts w:cs="Arial" w:hint="cs"/>
          <w:rtl/>
        </w:rPr>
        <w:t>.</w:t>
      </w:r>
      <w:r w:rsidR="00871B46" w:rsidRPr="00871B46">
        <w:rPr>
          <w:rFonts w:cs="Arial"/>
          <w:rtl/>
        </w:rPr>
        <w:t xml:space="preserve"> קולו </w:t>
      </w:r>
      <w:r w:rsidR="00A82951">
        <w:rPr>
          <w:rFonts w:cs="Arial"/>
          <w:rtl/>
        </w:rPr>
        <w:t>-</w:t>
      </w:r>
      <w:r w:rsidR="00871B46" w:rsidRPr="00871B46">
        <w:rPr>
          <w:rFonts w:cs="Arial"/>
          <w:rtl/>
        </w:rPr>
        <w:t xml:space="preserve"> לאפוקי מדרב כהנא אמר רב.</w:t>
      </w:r>
    </w:p>
    <w:p w14:paraId="424BF4BD" w14:textId="3AE33736" w:rsidR="009C5CB6" w:rsidRPr="00EA2A3C" w:rsidRDefault="00EA2A3C" w:rsidP="00BA48CF">
      <w:pPr>
        <w:rPr>
          <w:rFonts w:cs="Arial"/>
          <w:u w:val="single"/>
          <w:rtl/>
        </w:rPr>
      </w:pPr>
      <w:r w:rsidRPr="00EA2A3C">
        <w:rPr>
          <w:rFonts w:cs="Arial" w:hint="cs"/>
          <w:u w:val="single"/>
          <w:rtl/>
        </w:rPr>
        <w:t>כיצד נפסק:</w:t>
      </w:r>
    </w:p>
    <w:p w14:paraId="248C3941" w14:textId="7A83028D" w:rsidR="00BD392F" w:rsidRPr="005320EB" w:rsidRDefault="00BA15E7" w:rsidP="00A65C5F">
      <w:pPr>
        <w:pStyle w:val="ab"/>
        <w:numPr>
          <w:ilvl w:val="0"/>
          <w:numId w:val="27"/>
        </w:numPr>
        <w:rPr>
          <w:rFonts w:cs="Arial"/>
          <w:rtl/>
        </w:rPr>
      </w:pPr>
      <w:r w:rsidRPr="005320EB">
        <w:rPr>
          <w:rFonts w:cs="Arial"/>
          <w:rtl/>
        </w:rPr>
        <w:t xml:space="preserve">רי"ף </w:t>
      </w:r>
      <w:r w:rsidRPr="009C5CB6">
        <w:rPr>
          <w:rFonts w:cs="Arial"/>
          <w:sz w:val="16"/>
          <w:szCs w:val="16"/>
          <w:rtl/>
        </w:rPr>
        <w:t xml:space="preserve">(לג.) </w:t>
      </w:r>
      <w:r w:rsidRPr="005320EB">
        <w:rPr>
          <w:rFonts w:cs="Arial"/>
          <w:rtl/>
        </w:rPr>
        <w:t xml:space="preserve">ורא"ש </w:t>
      </w:r>
      <w:r w:rsidRPr="009C5CB6">
        <w:rPr>
          <w:rFonts w:cs="Arial"/>
          <w:sz w:val="16"/>
          <w:szCs w:val="16"/>
          <w:rtl/>
        </w:rPr>
        <w:t>(פ"ז סי' יט)</w:t>
      </w:r>
      <w:r w:rsidR="00A82951">
        <w:rPr>
          <w:rFonts w:cs="Arial" w:hint="cs"/>
          <w:rtl/>
        </w:rPr>
        <w:t>-</w:t>
      </w:r>
      <w:r w:rsidRPr="005320EB">
        <w:rPr>
          <w:rFonts w:cs="Arial"/>
          <w:rtl/>
        </w:rPr>
        <w:t xml:space="preserve"> </w:t>
      </w:r>
      <w:r w:rsidR="009C5CB6">
        <w:rPr>
          <w:rFonts w:cs="Arial" w:hint="cs"/>
          <w:rtl/>
        </w:rPr>
        <w:t xml:space="preserve">הלכתא </w:t>
      </w:r>
      <w:r w:rsidRPr="005320EB">
        <w:rPr>
          <w:rFonts w:cs="Arial"/>
          <w:rtl/>
        </w:rPr>
        <w:t>כרבי יוסי דהגט בטל ואפילו באומר א</w:t>
      </w:r>
      <w:r w:rsidR="00EA2A3C">
        <w:rPr>
          <w:rFonts w:cs="Arial" w:hint="cs"/>
          <w:rtl/>
        </w:rPr>
        <w:t>ִ</w:t>
      </w:r>
      <w:r w:rsidRPr="005320EB">
        <w:rPr>
          <w:rFonts w:cs="Arial"/>
          <w:rtl/>
        </w:rPr>
        <w:t>מרו</w:t>
      </w:r>
      <w:r w:rsidR="009C5CB6">
        <w:rPr>
          <w:rStyle w:val="a7"/>
          <w:rFonts w:cs="Arial"/>
          <w:rtl/>
        </w:rPr>
        <w:footnoteReference w:id="160"/>
      </w:r>
      <w:r w:rsidRPr="005320EB">
        <w:rPr>
          <w:rFonts w:cs="Arial"/>
          <w:rtl/>
        </w:rPr>
        <w:t xml:space="preserve">. </w:t>
      </w:r>
    </w:p>
    <w:p w14:paraId="7B00CC83" w14:textId="2E70F7E3" w:rsidR="00871B46" w:rsidRPr="009C5CB6" w:rsidRDefault="00BA15E7" w:rsidP="00A65C5F">
      <w:pPr>
        <w:pStyle w:val="ab"/>
        <w:numPr>
          <w:ilvl w:val="0"/>
          <w:numId w:val="27"/>
        </w:numPr>
        <w:rPr>
          <w:rFonts w:cs="Arial"/>
          <w:rtl/>
        </w:rPr>
      </w:pPr>
      <w:r w:rsidRPr="005320EB">
        <w:rPr>
          <w:rFonts w:cs="Arial"/>
          <w:rtl/>
        </w:rPr>
        <w:t xml:space="preserve">רמב"ם </w:t>
      </w:r>
      <w:r w:rsidR="008A1927" w:rsidRPr="009C5CB6">
        <w:rPr>
          <w:rFonts w:cs="Arial" w:hint="cs"/>
          <w:sz w:val="16"/>
          <w:szCs w:val="16"/>
          <w:rtl/>
        </w:rPr>
        <w:t>(</w:t>
      </w:r>
      <w:r w:rsidRPr="009C5CB6">
        <w:rPr>
          <w:rFonts w:cs="Arial"/>
          <w:sz w:val="16"/>
          <w:szCs w:val="16"/>
          <w:rtl/>
        </w:rPr>
        <w:t>פ</w:t>
      </w:r>
      <w:r w:rsidR="008A1927" w:rsidRPr="009C5CB6">
        <w:rPr>
          <w:rFonts w:cs="Arial" w:hint="cs"/>
          <w:sz w:val="16"/>
          <w:szCs w:val="16"/>
          <w:rtl/>
        </w:rPr>
        <w:t>"</w:t>
      </w:r>
      <w:r w:rsidRPr="009C5CB6">
        <w:rPr>
          <w:rFonts w:cs="Arial"/>
          <w:sz w:val="16"/>
          <w:szCs w:val="16"/>
          <w:rtl/>
        </w:rPr>
        <w:t>ב ה"ו</w:t>
      </w:r>
      <w:r w:rsidR="00A82951">
        <w:rPr>
          <w:rFonts w:cs="Arial" w:hint="cs"/>
          <w:sz w:val="16"/>
          <w:szCs w:val="16"/>
          <w:rtl/>
        </w:rPr>
        <w:t>-</w:t>
      </w:r>
      <w:r w:rsidRPr="009C5CB6">
        <w:rPr>
          <w:rFonts w:cs="Arial"/>
          <w:sz w:val="16"/>
          <w:szCs w:val="16"/>
          <w:rtl/>
        </w:rPr>
        <w:t>ז)</w:t>
      </w:r>
      <w:r w:rsidR="00A82951">
        <w:rPr>
          <w:rFonts w:cs="Arial" w:hint="cs"/>
          <w:rtl/>
        </w:rPr>
        <w:t>-</w:t>
      </w:r>
      <w:r w:rsidRPr="005320EB">
        <w:rPr>
          <w:rFonts w:cs="Arial"/>
          <w:rtl/>
        </w:rPr>
        <w:t xml:space="preserve"> אמר לשנים או לשלשה </w:t>
      </w:r>
      <w:r w:rsidR="00EA2A3C">
        <w:rPr>
          <w:rFonts w:cs="Arial" w:hint="cs"/>
          <w:rtl/>
        </w:rPr>
        <w:t>'</w:t>
      </w:r>
      <w:r w:rsidRPr="005320EB">
        <w:rPr>
          <w:rFonts w:cs="Arial"/>
          <w:rtl/>
        </w:rPr>
        <w:t>א</w:t>
      </w:r>
      <w:r w:rsidR="00EA2A3C">
        <w:rPr>
          <w:rFonts w:cs="Arial" w:hint="cs"/>
          <w:rtl/>
        </w:rPr>
        <w:t>ִ</w:t>
      </w:r>
      <w:r w:rsidRPr="005320EB">
        <w:rPr>
          <w:rFonts w:cs="Arial"/>
          <w:rtl/>
        </w:rPr>
        <w:t>מרו לסופר ויכתוב גט לאשתי</w:t>
      </w:r>
      <w:r w:rsidR="008A1927">
        <w:rPr>
          <w:rFonts w:cs="Arial" w:hint="cs"/>
          <w:rtl/>
        </w:rPr>
        <w:t>,</w:t>
      </w:r>
      <w:r w:rsidRPr="005320EB">
        <w:rPr>
          <w:rFonts w:cs="Arial"/>
          <w:rtl/>
        </w:rPr>
        <w:t xml:space="preserve"> וא</w:t>
      </w:r>
      <w:r w:rsidR="00EA2A3C">
        <w:rPr>
          <w:rFonts w:cs="Arial" w:hint="cs"/>
          <w:rtl/>
        </w:rPr>
        <w:t>ִ</w:t>
      </w:r>
      <w:r w:rsidRPr="005320EB">
        <w:rPr>
          <w:rFonts w:cs="Arial"/>
          <w:rtl/>
        </w:rPr>
        <w:t>מרו לעדים ויחתומו</w:t>
      </w:r>
      <w:r w:rsidR="00EA2A3C">
        <w:rPr>
          <w:rFonts w:cs="Arial" w:hint="cs"/>
          <w:rtl/>
        </w:rPr>
        <w:t>'</w:t>
      </w:r>
      <w:r w:rsidR="008A1927">
        <w:rPr>
          <w:rFonts w:cs="Arial" w:hint="cs"/>
          <w:rtl/>
        </w:rPr>
        <w:t>,</w:t>
      </w:r>
      <w:r w:rsidRPr="005320EB">
        <w:rPr>
          <w:rFonts w:cs="Arial"/>
          <w:rtl/>
        </w:rPr>
        <w:t xml:space="preserve"> וא</w:t>
      </w:r>
      <w:r w:rsidR="00EA2A3C">
        <w:rPr>
          <w:rFonts w:cs="Arial" w:hint="cs"/>
          <w:rtl/>
        </w:rPr>
        <w:t>ָ</w:t>
      </w:r>
      <w:r w:rsidRPr="005320EB">
        <w:rPr>
          <w:rFonts w:cs="Arial"/>
          <w:rtl/>
        </w:rPr>
        <w:t>מרו לסופר וכתב ולעדים וחתמ</w:t>
      </w:r>
      <w:r w:rsidR="00D82903">
        <w:rPr>
          <w:rFonts w:cs="Arial" w:hint="cs"/>
          <w:rtl/>
        </w:rPr>
        <w:t>ו</w:t>
      </w:r>
      <w:r w:rsidR="00BD0485">
        <w:rPr>
          <w:rFonts w:cs="Arial" w:hint="cs"/>
          <w:rtl/>
        </w:rPr>
        <w:t>,</w:t>
      </w:r>
      <w:r w:rsidRPr="005320EB">
        <w:rPr>
          <w:rFonts w:cs="Arial"/>
          <w:rtl/>
        </w:rPr>
        <w:t xml:space="preserve"> או שאמר לשנים </w:t>
      </w:r>
      <w:r w:rsidR="00EA2A3C">
        <w:rPr>
          <w:rFonts w:cs="Arial" w:hint="cs"/>
          <w:rtl/>
        </w:rPr>
        <w:t>'</w:t>
      </w:r>
      <w:r w:rsidRPr="005320EB">
        <w:rPr>
          <w:rFonts w:cs="Arial"/>
          <w:rtl/>
        </w:rPr>
        <w:t>א</w:t>
      </w:r>
      <w:r w:rsidR="00EA2A3C">
        <w:rPr>
          <w:rFonts w:cs="Arial" w:hint="cs"/>
          <w:rtl/>
        </w:rPr>
        <w:t>ִ</w:t>
      </w:r>
      <w:r w:rsidRPr="005320EB">
        <w:rPr>
          <w:rFonts w:cs="Arial"/>
          <w:rtl/>
        </w:rPr>
        <w:t>מרו לסופר ויכתוב גט לאשתי</w:t>
      </w:r>
      <w:r w:rsidR="008A1927">
        <w:rPr>
          <w:rFonts w:cs="Arial" w:hint="cs"/>
          <w:rtl/>
        </w:rPr>
        <w:t>,</w:t>
      </w:r>
      <w:r w:rsidRPr="005320EB">
        <w:rPr>
          <w:rFonts w:cs="Arial"/>
          <w:rtl/>
        </w:rPr>
        <w:t xml:space="preserve"> ואתם חתומו</w:t>
      </w:r>
      <w:r w:rsidR="00EA2A3C">
        <w:rPr>
          <w:rFonts w:cs="Arial" w:hint="cs"/>
          <w:rtl/>
        </w:rPr>
        <w:t>'</w:t>
      </w:r>
      <w:r w:rsidRPr="005320EB">
        <w:rPr>
          <w:rFonts w:cs="Arial"/>
          <w:rtl/>
        </w:rPr>
        <w:t xml:space="preserve"> </w:t>
      </w:r>
      <w:r w:rsidR="00A82951">
        <w:rPr>
          <w:rFonts w:cs="Arial" w:hint="cs"/>
          <w:rtl/>
        </w:rPr>
        <w:t>-</w:t>
      </w:r>
      <w:r w:rsidR="008A1927">
        <w:rPr>
          <w:rFonts w:cs="Arial" w:hint="cs"/>
          <w:rtl/>
        </w:rPr>
        <w:t xml:space="preserve"> </w:t>
      </w:r>
      <w:r w:rsidRPr="005320EB">
        <w:rPr>
          <w:rFonts w:cs="Arial"/>
          <w:rtl/>
        </w:rPr>
        <w:t>הרי זה גט פסול</w:t>
      </w:r>
      <w:r w:rsidR="008A1927">
        <w:rPr>
          <w:rFonts w:cs="Arial" w:hint="cs"/>
          <w:rtl/>
        </w:rPr>
        <w:t>,</w:t>
      </w:r>
      <w:r w:rsidRPr="005320EB">
        <w:rPr>
          <w:rFonts w:cs="Arial"/>
          <w:rtl/>
        </w:rPr>
        <w:t xml:space="preserve"> ומתיישבין בדבר זה הרבה מפני שהוא קרוב להיות בטל</w:t>
      </w:r>
      <w:r w:rsidR="00E52974">
        <w:rPr>
          <w:rStyle w:val="a7"/>
          <w:rFonts w:cs="Arial"/>
          <w:rtl/>
        </w:rPr>
        <w:footnoteReference w:id="161"/>
      </w:r>
      <w:r w:rsidR="008A1927">
        <w:rPr>
          <w:rFonts w:cs="Arial" w:hint="cs"/>
          <w:rtl/>
        </w:rPr>
        <w:t>.</w:t>
      </w:r>
      <w:r w:rsidRPr="005320EB">
        <w:rPr>
          <w:rFonts w:cs="Arial"/>
          <w:rtl/>
        </w:rPr>
        <w:t xml:space="preserve"> ומה בין פסול לבטל שכל מקום שנאמר בחיבור זה בגט שהוא בטל </w:t>
      </w:r>
      <w:r w:rsidR="00A82951">
        <w:rPr>
          <w:rFonts w:cs="Arial" w:hint="cs"/>
          <w:rtl/>
        </w:rPr>
        <w:t>-</w:t>
      </w:r>
      <w:r w:rsidR="008A1927">
        <w:rPr>
          <w:rFonts w:cs="Arial" w:hint="cs"/>
          <w:rtl/>
        </w:rPr>
        <w:t xml:space="preserve"> </w:t>
      </w:r>
      <w:r w:rsidRPr="005320EB">
        <w:rPr>
          <w:rFonts w:cs="Arial"/>
          <w:rtl/>
        </w:rPr>
        <w:t>הוא בטל מן התורה</w:t>
      </w:r>
      <w:r w:rsidR="008A1927">
        <w:rPr>
          <w:rFonts w:cs="Arial" w:hint="cs"/>
          <w:rtl/>
        </w:rPr>
        <w:t>.</w:t>
      </w:r>
      <w:r w:rsidRPr="005320EB">
        <w:rPr>
          <w:rFonts w:cs="Arial"/>
          <w:rtl/>
        </w:rPr>
        <w:t xml:space="preserve"> ובכל מקום שנאמר פסול </w:t>
      </w:r>
      <w:r w:rsidR="00A82951">
        <w:rPr>
          <w:rFonts w:cs="Arial" w:hint="cs"/>
          <w:rtl/>
        </w:rPr>
        <w:t>-</w:t>
      </w:r>
      <w:r w:rsidR="008A1927">
        <w:rPr>
          <w:rFonts w:cs="Arial" w:hint="cs"/>
          <w:rtl/>
        </w:rPr>
        <w:t xml:space="preserve"> </w:t>
      </w:r>
      <w:r w:rsidRPr="005320EB">
        <w:rPr>
          <w:rFonts w:cs="Arial"/>
          <w:rtl/>
        </w:rPr>
        <w:t>הוא פסול מדברי סופרים</w:t>
      </w:r>
      <w:r w:rsidR="008A1927" w:rsidRPr="009C5CB6">
        <w:rPr>
          <w:rFonts w:cs="Arial" w:hint="cs"/>
          <w:rtl/>
        </w:rPr>
        <w:t>.</w:t>
      </w:r>
      <w:r w:rsidR="00580FE4">
        <w:rPr>
          <w:rFonts w:cs="Arial" w:hint="cs"/>
          <w:rtl/>
        </w:rPr>
        <w:t xml:space="preserve"> </w:t>
      </w:r>
      <w:r w:rsidR="00580FE4" w:rsidRPr="00580FE4">
        <w:rPr>
          <w:rFonts w:cs="Arial" w:hint="cs"/>
          <w:color w:val="00B0F0"/>
          <w:rtl/>
        </w:rPr>
        <w:t>(וכ"פ הרמ"א)</w:t>
      </w:r>
    </w:p>
    <w:p w14:paraId="34A25AEC" w14:textId="2F204EF7" w:rsidR="00871B46" w:rsidRPr="003046B1" w:rsidRDefault="00D15249" w:rsidP="00D15249">
      <w:pPr>
        <w:rPr>
          <w:u w:val="single"/>
          <w:rtl/>
        </w:rPr>
      </w:pPr>
      <w:r w:rsidRPr="00D15249">
        <w:rPr>
          <w:rFonts w:hint="cs"/>
          <w:u w:val="single"/>
          <w:rtl/>
        </w:rPr>
        <w:t>הסופר והעדים צריכים לשמוע מהבעל לכתוב ולחתום</w:t>
      </w:r>
      <w:r w:rsidR="00871B46" w:rsidRPr="003046B1">
        <w:rPr>
          <w:rFonts w:hint="cs"/>
          <w:u w:val="single"/>
          <w:rtl/>
        </w:rPr>
        <w:t>:</w:t>
      </w:r>
    </w:p>
    <w:p w14:paraId="2BD76A1E" w14:textId="253EFBAA" w:rsidR="00871B46" w:rsidRDefault="00871B46" w:rsidP="00A65C5F">
      <w:pPr>
        <w:pStyle w:val="ab"/>
        <w:numPr>
          <w:ilvl w:val="0"/>
          <w:numId w:val="24"/>
        </w:numPr>
      </w:pPr>
      <w:r>
        <w:rPr>
          <w:rFonts w:cs="Arial" w:hint="cs"/>
          <w:rtl/>
        </w:rPr>
        <w:t>טור</w:t>
      </w:r>
      <w:r w:rsidR="00A82951">
        <w:rPr>
          <w:rFonts w:cs="Arial" w:hint="cs"/>
          <w:rtl/>
        </w:rPr>
        <w:t>-</w:t>
      </w:r>
      <w:r>
        <w:rPr>
          <w:rFonts w:cs="Arial" w:hint="cs"/>
          <w:rtl/>
        </w:rPr>
        <w:t xml:space="preserve"> </w:t>
      </w:r>
      <w:r w:rsidRPr="00201037">
        <w:rPr>
          <w:rFonts w:cs="Arial"/>
          <w:rtl/>
        </w:rPr>
        <w:t>לא יכתבנו הסופר ולא יחתמו בו העדים</w:t>
      </w:r>
      <w:r w:rsidR="00580FE4">
        <w:rPr>
          <w:rFonts w:cs="Arial" w:hint="cs"/>
          <w:rtl/>
        </w:rPr>
        <w:t>,</w:t>
      </w:r>
      <w:r w:rsidRPr="00201037">
        <w:rPr>
          <w:rFonts w:cs="Arial"/>
          <w:rtl/>
        </w:rPr>
        <w:t xml:space="preserve"> עד שיאמר להם הבעל לכתוב</w:t>
      </w:r>
      <w:r w:rsidR="009337A2">
        <w:rPr>
          <w:rStyle w:val="a7"/>
          <w:rFonts w:cs="Arial"/>
          <w:rtl/>
        </w:rPr>
        <w:footnoteReference w:id="162"/>
      </w:r>
      <w:r w:rsidRPr="00201037">
        <w:rPr>
          <w:rFonts w:cs="Arial"/>
          <w:rtl/>
        </w:rPr>
        <w:t xml:space="preserve"> ולחתום</w:t>
      </w:r>
      <w:r>
        <w:rPr>
          <w:rFonts w:cs="Arial" w:hint="cs"/>
          <w:rtl/>
        </w:rPr>
        <w:t>.</w:t>
      </w:r>
      <w:r w:rsidRPr="00201037">
        <w:rPr>
          <w:rFonts w:cs="Arial"/>
          <w:rtl/>
        </w:rPr>
        <w:t xml:space="preserve"> וכשיאמר להם הבעל יכתבו הם בעצמם</w:t>
      </w:r>
      <w:r>
        <w:rPr>
          <w:rFonts w:cs="Arial" w:hint="cs"/>
          <w:rtl/>
        </w:rPr>
        <w:t>,</w:t>
      </w:r>
      <w:r w:rsidRPr="00201037">
        <w:rPr>
          <w:rFonts w:cs="Arial"/>
          <w:rtl/>
        </w:rPr>
        <w:t xml:space="preserve"> ולא יאמרו לאחרים לכתוב ולחתום</w:t>
      </w:r>
      <w:r>
        <w:rPr>
          <w:rFonts w:cs="Arial" w:hint="cs"/>
          <w:rtl/>
        </w:rPr>
        <w:t>.</w:t>
      </w:r>
      <w:r w:rsidRPr="00201037">
        <w:rPr>
          <w:rFonts w:cs="Arial"/>
          <w:rtl/>
        </w:rPr>
        <w:t xml:space="preserve"> ואפי</w:t>
      </w:r>
      <w:r w:rsidR="009337A2">
        <w:rPr>
          <w:rFonts w:cs="Arial" w:hint="cs"/>
          <w:rtl/>
        </w:rPr>
        <w:t>לו</w:t>
      </w:r>
      <w:r w:rsidRPr="00201037">
        <w:rPr>
          <w:rFonts w:cs="Arial"/>
          <w:rtl/>
        </w:rPr>
        <w:t xml:space="preserve"> שאמר לג'</w:t>
      </w:r>
      <w:r>
        <w:rPr>
          <w:rFonts w:cs="Arial" w:hint="cs"/>
          <w:rtl/>
        </w:rPr>
        <w:t>,</w:t>
      </w:r>
      <w:r w:rsidRPr="00201037">
        <w:rPr>
          <w:rFonts w:cs="Arial"/>
          <w:rtl/>
        </w:rPr>
        <w:t xml:space="preserve"> שיש עליהם תורת ב"ד</w:t>
      </w:r>
      <w:r>
        <w:rPr>
          <w:rFonts w:cs="Arial" w:hint="cs"/>
          <w:rtl/>
        </w:rPr>
        <w:t>,</w:t>
      </w:r>
      <w:r w:rsidRPr="00201037">
        <w:rPr>
          <w:rFonts w:cs="Arial"/>
          <w:rtl/>
        </w:rPr>
        <w:t xml:space="preserve"> לכותבו ולחותמו </w:t>
      </w:r>
      <w:r w:rsidR="00A82951">
        <w:rPr>
          <w:rFonts w:cs="Arial" w:hint="cs"/>
          <w:rtl/>
        </w:rPr>
        <w:t>-</w:t>
      </w:r>
      <w:r>
        <w:rPr>
          <w:rFonts w:cs="Arial" w:hint="cs"/>
          <w:rtl/>
        </w:rPr>
        <w:t xml:space="preserve"> </w:t>
      </w:r>
      <w:r w:rsidRPr="00201037">
        <w:rPr>
          <w:rFonts w:cs="Arial"/>
          <w:rtl/>
        </w:rPr>
        <w:t>אין להם לומר לאחרים לעשותו</w:t>
      </w:r>
      <w:r>
        <w:rPr>
          <w:rFonts w:cs="Arial" w:hint="cs"/>
          <w:rtl/>
        </w:rPr>
        <w:t>.</w:t>
      </w:r>
      <w:r w:rsidRPr="00201037">
        <w:rPr>
          <w:rFonts w:cs="Arial"/>
          <w:rtl/>
        </w:rPr>
        <w:t xml:space="preserve"> ואפי</w:t>
      </w:r>
      <w:r w:rsidR="008F5620">
        <w:rPr>
          <w:rFonts w:cs="Arial" w:hint="cs"/>
          <w:rtl/>
        </w:rPr>
        <w:t>לו</w:t>
      </w:r>
      <w:r w:rsidR="009337A2">
        <w:rPr>
          <w:rStyle w:val="a7"/>
          <w:rFonts w:cs="Arial"/>
          <w:rtl/>
        </w:rPr>
        <w:footnoteReference w:id="163"/>
      </w:r>
      <w:r w:rsidRPr="00201037">
        <w:rPr>
          <w:rFonts w:cs="Arial"/>
          <w:rtl/>
        </w:rPr>
        <w:t xml:space="preserve"> אמר להם </w:t>
      </w:r>
      <w:r>
        <w:rPr>
          <w:rFonts w:cs="Arial" w:hint="cs"/>
          <w:rtl/>
        </w:rPr>
        <w:t>'</w:t>
      </w:r>
      <w:r w:rsidRPr="00201037">
        <w:rPr>
          <w:rFonts w:cs="Arial"/>
          <w:rtl/>
        </w:rPr>
        <w:t>אמרו לסופר לכתוב ולעדים לחתום</w:t>
      </w:r>
      <w:r>
        <w:rPr>
          <w:rFonts w:cs="Arial" w:hint="cs"/>
          <w:rtl/>
        </w:rPr>
        <w:t xml:space="preserve">' </w:t>
      </w:r>
      <w:r w:rsidR="00A82951">
        <w:rPr>
          <w:rFonts w:cs="Arial" w:hint="cs"/>
          <w:rtl/>
        </w:rPr>
        <w:t>-</w:t>
      </w:r>
      <w:r w:rsidRPr="00201037">
        <w:rPr>
          <w:rFonts w:cs="Arial"/>
          <w:rtl/>
        </w:rPr>
        <w:t xml:space="preserve"> לא יכתוב הסופר ולא יחתמו העדים עד שישמעו מפיו</w:t>
      </w:r>
      <w:r>
        <w:rPr>
          <w:rFonts w:cs="Arial" w:hint="cs"/>
          <w:rtl/>
        </w:rPr>
        <w:t>.</w:t>
      </w:r>
      <w:r w:rsidRPr="00201037">
        <w:rPr>
          <w:rFonts w:cs="Arial"/>
          <w:rtl/>
        </w:rPr>
        <w:t xml:space="preserve"> </w:t>
      </w:r>
      <w:r w:rsidR="00580FE4" w:rsidRPr="00580FE4">
        <w:rPr>
          <w:rFonts w:hint="cs"/>
          <w:color w:val="E36C0A" w:themeColor="accent6" w:themeShade="BF"/>
          <w:rtl/>
        </w:rPr>
        <w:t>(וכ"פ בשו"ע)</w:t>
      </w:r>
      <w:r w:rsidR="00BA15E7" w:rsidRPr="009337A2">
        <w:rPr>
          <w:rFonts w:cs="Arial"/>
          <w:rtl/>
        </w:rPr>
        <w:t xml:space="preserve"> </w:t>
      </w:r>
    </w:p>
    <w:p w14:paraId="45891D6A" w14:textId="3862FA45" w:rsidR="00513BA9" w:rsidRPr="00513BA9" w:rsidRDefault="00513BA9" w:rsidP="00513BA9">
      <w:pPr>
        <w:ind w:left="360"/>
        <w:rPr>
          <w:u w:val="single"/>
          <w:rtl/>
        </w:rPr>
      </w:pPr>
      <w:r w:rsidRPr="00513BA9">
        <w:rPr>
          <w:rFonts w:hint="cs"/>
          <w:u w:val="single"/>
          <w:rtl/>
        </w:rPr>
        <w:t xml:space="preserve">בעל שמינה שליח </w:t>
      </w:r>
      <w:r w:rsidR="00C602E9">
        <w:rPr>
          <w:rFonts w:hint="cs"/>
          <w:u w:val="single"/>
          <w:rtl/>
        </w:rPr>
        <w:t>שלא נמצא לפניו</w:t>
      </w:r>
      <w:r w:rsidRPr="00513BA9">
        <w:rPr>
          <w:rFonts w:hint="cs"/>
          <w:u w:val="single"/>
          <w:rtl/>
        </w:rPr>
        <w:t xml:space="preserve"> </w:t>
      </w:r>
      <w:r>
        <w:rPr>
          <w:rFonts w:hint="cs"/>
          <w:u w:val="single"/>
          <w:rtl/>
        </w:rPr>
        <w:t>שיתן</w:t>
      </w:r>
      <w:r w:rsidRPr="00513BA9">
        <w:rPr>
          <w:rFonts w:hint="cs"/>
          <w:u w:val="single"/>
          <w:rtl/>
        </w:rPr>
        <w:t xml:space="preserve"> גט לאשתו</w:t>
      </w:r>
      <w:r w:rsidR="00C602E9">
        <w:rPr>
          <w:rFonts w:hint="cs"/>
          <w:u w:val="single"/>
          <w:rtl/>
        </w:rPr>
        <w:t>, ואמר הבעל לאדם אחר שנמצא בפניו שילך ויודיע לו</w:t>
      </w:r>
      <w:r w:rsidRPr="00513BA9">
        <w:rPr>
          <w:rFonts w:hint="cs"/>
          <w:u w:val="single"/>
          <w:rtl/>
        </w:rPr>
        <w:t>:</w:t>
      </w:r>
    </w:p>
    <w:p w14:paraId="2A76F5B0" w14:textId="548C76DB" w:rsidR="008612EB" w:rsidRPr="008612EB" w:rsidRDefault="00BA15E7" w:rsidP="00A65C5F">
      <w:pPr>
        <w:pStyle w:val="ab"/>
        <w:numPr>
          <w:ilvl w:val="0"/>
          <w:numId w:val="24"/>
        </w:numPr>
      </w:pPr>
      <w:r w:rsidRPr="00EA6933">
        <w:rPr>
          <w:rFonts w:cs="Arial"/>
          <w:rtl/>
        </w:rPr>
        <w:t>רמב"ן</w:t>
      </w:r>
      <w:r w:rsidR="00E44C39">
        <w:rPr>
          <w:rStyle w:val="a7"/>
          <w:rFonts w:cs="Arial"/>
          <w:rtl/>
        </w:rPr>
        <w:footnoteReference w:id="164"/>
      </w:r>
      <w:r w:rsidRPr="00EA6933">
        <w:rPr>
          <w:rFonts w:cs="Arial"/>
          <w:rtl/>
        </w:rPr>
        <w:t xml:space="preserve"> </w:t>
      </w:r>
      <w:r w:rsidRPr="006115A9">
        <w:rPr>
          <w:rFonts w:cs="Arial"/>
          <w:sz w:val="16"/>
          <w:szCs w:val="16"/>
          <w:rtl/>
        </w:rPr>
        <w:t>(סו: ד"ה ואמר)</w:t>
      </w:r>
      <w:r w:rsidR="00A82951">
        <w:rPr>
          <w:rFonts w:hint="cs"/>
          <w:rtl/>
        </w:rPr>
        <w:t>-</w:t>
      </w:r>
      <w:r w:rsidR="00E44C39" w:rsidRPr="00E44C39">
        <w:rPr>
          <w:rFonts w:cs="Arial"/>
          <w:rtl/>
        </w:rPr>
        <w:t xml:space="preserve"> </w:t>
      </w:r>
      <w:r w:rsidR="00E44C39" w:rsidRPr="00EA6933">
        <w:rPr>
          <w:rFonts w:cs="Arial"/>
          <w:rtl/>
        </w:rPr>
        <w:t>אין הסופר והעדים במקום הבעל אלא כששמעו הם מפיו</w:t>
      </w:r>
      <w:r w:rsidR="00E44C39">
        <w:rPr>
          <w:rFonts w:cs="Arial" w:hint="cs"/>
          <w:rtl/>
        </w:rPr>
        <w:t>,</w:t>
      </w:r>
      <w:r w:rsidR="00E44C39" w:rsidRPr="00EA6933">
        <w:rPr>
          <w:rFonts w:cs="Arial"/>
          <w:rtl/>
        </w:rPr>
        <w:t xml:space="preserve"> וכל שלא שמעו מפיו</w:t>
      </w:r>
      <w:r w:rsidR="00E44C39">
        <w:rPr>
          <w:rFonts w:cs="Arial" w:hint="cs"/>
          <w:rtl/>
        </w:rPr>
        <w:t>,</w:t>
      </w:r>
      <w:r w:rsidR="00E44C39" w:rsidRPr="00EA6933">
        <w:rPr>
          <w:rFonts w:cs="Arial"/>
          <w:rtl/>
        </w:rPr>
        <w:t xml:space="preserve"> אפילו אינו אומר א</w:t>
      </w:r>
      <w:r w:rsidR="00E44C39">
        <w:rPr>
          <w:rFonts w:cs="Arial" w:hint="cs"/>
          <w:rtl/>
        </w:rPr>
        <w:t>ִ</w:t>
      </w:r>
      <w:r w:rsidR="00E44C39" w:rsidRPr="00EA6933">
        <w:rPr>
          <w:rFonts w:cs="Arial"/>
          <w:rtl/>
        </w:rPr>
        <w:t xml:space="preserve">מרו מדעתכם אלא שהבעל עצמו ממנה אותו שליח בכל מקום שהוא </w:t>
      </w:r>
      <w:r w:rsidR="00A82951">
        <w:rPr>
          <w:rFonts w:cs="Arial" w:hint="cs"/>
          <w:rtl/>
        </w:rPr>
        <w:t>-</w:t>
      </w:r>
      <w:r w:rsidR="00E44C39">
        <w:rPr>
          <w:rFonts w:cs="Arial" w:hint="cs"/>
          <w:rtl/>
        </w:rPr>
        <w:t xml:space="preserve"> </w:t>
      </w:r>
      <w:r w:rsidR="00E44C39" w:rsidRPr="00EA6933">
        <w:rPr>
          <w:rFonts w:cs="Arial"/>
          <w:rtl/>
        </w:rPr>
        <w:t>פסול</w:t>
      </w:r>
      <w:r w:rsidR="00D15249">
        <w:rPr>
          <w:rStyle w:val="a7"/>
          <w:rFonts w:cs="Arial"/>
          <w:rtl/>
        </w:rPr>
        <w:footnoteReference w:id="165"/>
      </w:r>
      <w:r w:rsidR="00E44C39">
        <w:rPr>
          <w:rFonts w:hint="cs"/>
          <w:sz w:val="16"/>
          <w:szCs w:val="16"/>
          <w:rtl/>
        </w:rPr>
        <w:t xml:space="preserve"> (ל' הר"ן בשם הרמב"ן)</w:t>
      </w:r>
      <w:r w:rsidR="00E44C39">
        <w:rPr>
          <w:rFonts w:hint="cs"/>
          <w:rtl/>
        </w:rPr>
        <w:t>.</w:t>
      </w:r>
      <w:r w:rsidRPr="00E44C39">
        <w:rPr>
          <w:rFonts w:cs="Arial"/>
          <w:rtl/>
        </w:rPr>
        <w:t xml:space="preserve"> </w:t>
      </w:r>
    </w:p>
    <w:p w14:paraId="42BC47AD" w14:textId="7980B686" w:rsidR="00C602E9" w:rsidRPr="00C602E9" w:rsidRDefault="00BA15E7" w:rsidP="00A65C5F">
      <w:pPr>
        <w:pStyle w:val="ab"/>
        <w:numPr>
          <w:ilvl w:val="0"/>
          <w:numId w:val="24"/>
        </w:numPr>
      </w:pPr>
      <w:r w:rsidRPr="00EA6933">
        <w:rPr>
          <w:rFonts w:cs="Arial"/>
          <w:rtl/>
        </w:rPr>
        <w:t>רא"ה</w:t>
      </w:r>
      <w:r w:rsidR="00361245">
        <w:rPr>
          <w:rFonts w:cs="Arial" w:hint="cs"/>
          <w:sz w:val="16"/>
          <w:szCs w:val="16"/>
          <w:rtl/>
        </w:rPr>
        <w:t xml:space="preserve"> (כ"כ </w:t>
      </w:r>
      <w:r w:rsidR="000545CB">
        <w:rPr>
          <w:rFonts w:cs="Arial" w:hint="cs"/>
          <w:sz w:val="16"/>
          <w:szCs w:val="16"/>
          <w:rtl/>
        </w:rPr>
        <w:t xml:space="preserve">בשמו </w:t>
      </w:r>
      <w:r w:rsidR="00361245">
        <w:rPr>
          <w:rFonts w:cs="Arial" w:hint="cs"/>
          <w:sz w:val="16"/>
          <w:szCs w:val="16"/>
          <w:rtl/>
        </w:rPr>
        <w:t>הר"ן [</w:t>
      </w:r>
      <w:r w:rsidR="00E44C39" w:rsidRPr="006115A9">
        <w:rPr>
          <w:rFonts w:cs="Arial"/>
          <w:sz w:val="16"/>
          <w:szCs w:val="16"/>
          <w:rtl/>
        </w:rPr>
        <w:t>לג. ד"ה והקשה</w:t>
      </w:r>
      <w:r w:rsidR="00361245">
        <w:rPr>
          <w:rFonts w:cs="Arial" w:hint="cs"/>
          <w:sz w:val="16"/>
          <w:szCs w:val="16"/>
          <w:rtl/>
        </w:rPr>
        <w:t>])</w:t>
      </w:r>
      <w:r w:rsidR="00A82951">
        <w:rPr>
          <w:rFonts w:cs="Arial" w:hint="cs"/>
          <w:rtl/>
        </w:rPr>
        <w:t>-</w:t>
      </w:r>
      <w:r w:rsidR="00361245">
        <w:rPr>
          <w:rFonts w:cs="Arial" w:hint="cs"/>
          <w:rtl/>
        </w:rPr>
        <w:t xml:space="preserve"> </w:t>
      </w:r>
      <w:r w:rsidRPr="00EA6933">
        <w:rPr>
          <w:rFonts w:cs="Arial"/>
          <w:rtl/>
        </w:rPr>
        <w:t>לא פליג רבי יוסי אלא באומר אמרו מדעתכם</w:t>
      </w:r>
      <w:r w:rsidR="00361245">
        <w:rPr>
          <w:rFonts w:cs="Arial" w:hint="cs"/>
          <w:rtl/>
        </w:rPr>
        <w:t>,</w:t>
      </w:r>
      <w:r w:rsidRPr="00EA6933">
        <w:rPr>
          <w:rFonts w:cs="Arial"/>
          <w:rtl/>
        </w:rPr>
        <w:t xml:space="preserve"> אבל במינה שליח שלא בפניו בכי הא ודאי לא פליג</w:t>
      </w:r>
      <w:r w:rsidR="0026249A">
        <w:rPr>
          <w:rStyle w:val="a7"/>
          <w:rFonts w:cs="Arial"/>
          <w:rtl/>
        </w:rPr>
        <w:footnoteReference w:id="166"/>
      </w:r>
      <w:r w:rsidR="00361245">
        <w:rPr>
          <w:rFonts w:cs="Arial" w:hint="cs"/>
          <w:sz w:val="16"/>
          <w:szCs w:val="16"/>
          <w:rtl/>
        </w:rPr>
        <w:t xml:space="preserve"> (ל' הר"ן בשמו)</w:t>
      </w:r>
      <w:r w:rsidRPr="00EA6933">
        <w:rPr>
          <w:rFonts w:cs="Arial"/>
          <w:rtl/>
        </w:rPr>
        <w:t xml:space="preserve">. </w:t>
      </w:r>
      <w:r w:rsidR="000545CB">
        <w:rPr>
          <w:rFonts w:hint="cs"/>
          <w:rtl/>
        </w:rPr>
        <w:t xml:space="preserve"> </w:t>
      </w:r>
    </w:p>
    <w:p w14:paraId="230DE8C5" w14:textId="57C575C9" w:rsidR="0026249A" w:rsidRPr="00C602E9" w:rsidRDefault="00C602E9" w:rsidP="00C602E9">
      <w:pPr>
        <w:ind w:left="360"/>
        <w:rPr>
          <w:u w:val="dotted"/>
        </w:rPr>
      </w:pPr>
      <w:r w:rsidRPr="00C602E9">
        <w:rPr>
          <w:rFonts w:cs="Arial" w:hint="cs"/>
          <w:u w:val="dotted"/>
          <w:rtl/>
        </w:rPr>
        <w:t>ומה הדין אם לא מינהו לשליח אלא אמר</w:t>
      </w:r>
      <w:r w:rsidR="00BA15E7" w:rsidRPr="00C602E9">
        <w:rPr>
          <w:rFonts w:cs="Arial"/>
          <w:u w:val="dotted"/>
          <w:rtl/>
        </w:rPr>
        <w:t xml:space="preserve"> </w:t>
      </w:r>
      <w:r w:rsidRPr="00C602E9">
        <w:rPr>
          <w:rFonts w:cs="Arial" w:hint="cs"/>
          <w:u w:val="dotted"/>
          <w:rtl/>
        </w:rPr>
        <w:t>'</w:t>
      </w:r>
      <w:r w:rsidRPr="00C602E9">
        <w:rPr>
          <w:rFonts w:cs="Arial"/>
          <w:u w:val="dotted"/>
          <w:rtl/>
        </w:rPr>
        <w:t>א</w:t>
      </w:r>
      <w:r w:rsidRPr="00C602E9">
        <w:rPr>
          <w:rFonts w:cs="Arial" w:hint="cs"/>
          <w:u w:val="dotted"/>
          <w:rtl/>
        </w:rPr>
        <w:t>ִ</w:t>
      </w:r>
      <w:r w:rsidRPr="00C602E9">
        <w:rPr>
          <w:rFonts w:cs="Arial"/>
          <w:u w:val="dotted"/>
          <w:rtl/>
        </w:rPr>
        <w:t>מרו לסופר פלוני ויכתוב ולפלוני ולפלוני ויחתומו</w:t>
      </w:r>
      <w:r w:rsidRPr="00C602E9">
        <w:rPr>
          <w:rFonts w:cs="Arial" w:hint="cs"/>
          <w:u w:val="dotted"/>
          <w:rtl/>
        </w:rPr>
        <w:t>'</w:t>
      </w:r>
      <w:r w:rsidRPr="00C602E9">
        <w:rPr>
          <w:rFonts w:hint="cs"/>
          <w:u w:val="dotted"/>
          <w:rtl/>
        </w:rPr>
        <w:t>:</w:t>
      </w:r>
    </w:p>
    <w:p w14:paraId="1A996A15" w14:textId="5C2C9A58" w:rsidR="009209E2" w:rsidRPr="009209E2" w:rsidRDefault="00C602E9" w:rsidP="00A65C5F">
      <w:pPr>
        <w:pStyle w:val="ab"/>
        <w:numPr>
          <w:ilvl w:val="0"/>
          <w:numId w:val="24"/>
        </w:numPr>
        <w:rPr>
          <w:rtl/>
        </w:rPr>
      </w:pPr>
      <w:r>
        <w:rPr>
          <w:rFonts w:cs="Arial" w:hint="cs"/>
          <w:rtl/>
        </w:rPr>
        <w:t>ב"י</w:t>
      </w:r>
      <w:r w:rsidR="00A82951">
        <w:rPr>
          <w:rFonts w:cs="Arial" w:hint="cs"/>
          <w:rtl/>
        </w:rPr>
        <w:t>-</w:t>
      </w:r>
      <w:r>
        <w:rPr>
          <w:rFonts w:cs="Arial" w:hint="cs"/>
          <w:rtl/>
        </w:rPr>
        <w:t xml:space="preserve"> </w:t>
      </w:r>
      <w:r w:rsidR="00BA15E7" w:rsidRPr="00EA6933">
        <w:rPr>
          <w:rFonts w:cs="Arial"/>
          <w:rtl/>
        </w:rPr>
        <w:t>נמצא דלפי דעת הר"ן כל שלא אמר א</w:t>
      </w:r>
      <w:r w:rsidR="00E44C39">
        <w:rPr>
          <w:rFonts w:cs="Arial" w:hint="cs"/>
          <w:rtl/>
        </w:rPr>
        <w:t>ִ</w:t>
      </w:r>
      <w:r w:rsidR="00BA15E7" w:rsidRPr="00EA6933">
        <w:rPr>
          <w:rFonts w:cs="Arial"/>
          <w:rtl/>
        </w:rPr>
        <w:t>מרו</w:t>
      </w:r>
      <w:r w:rsidR="00E44C39">
        <w:rPr>
          <w:rFonts w:cs="Arial" w:hint="cs"/>
          <w:rtl/>
        </w:rPr>
        <w:t>,</w:t>
      </w:r>
      <w:r w:rsidR="00BA15E7" w:rsidRPr="00EA6933">
        <w:rPr>
          <w:rFonts w:cs="Arial"/>
          <w:rtl/>
        </w:rPr>
        <w:t xml:space="preserve"> אלא מינה את הסופר פלוני לכתוב לו גט ולעדים פלוני ופלוני שיחתמו בו</w:t>
      </w:r>
      <w:r w:rsidR="00E44C39">
        <w:rPr>
          <w:rFonts w:cs="Arial" w:hint="cs"/>
          <w:rtl/>
        </w:rPr>
        <w:t>,</w:t>
      </w:r>
      <w:r w:rsidR="00BA15E7" w:rsidRPr="00EA6933">
        <w:rPr>
          <w:rFonts w:cs="Arial"/>
          <w:rtl/>
        </w:rPr>
        <w:t xml:space="preserve"> והסופר והעדים אינם מצויים עמו</w:t>
      </w:r>
      <w:r w:rsidR="00E44C39">
        <w:rPr>
          <w:rFonts w:cs="Arial" w:hint="cs"/>
          <w:rtl/>
        </w:rPr>
        <w:t xml:space="preserve"> </w:t>
      </w:r>
      <w:r w:rsidR="00A82951">
        <w:rPr>
          <w:rFonts w:cs="Arial" w:hint="cs"/>
          <w:rtl/>
        </w:rPr>
        <w:t>-</w:t>
      </w:r>
      <w:r w:rsidR="00BA15E7" w:rsidRPr="00EA6933">
        <w:rPr>
          <w:rFonts w:cs="Arial"/>
          <w:rtl/>
        </w:rPr>
        <w:t xml:space="preserve"> מודה רבי יוסי דכשר</w:t>
      </w:r>
      <w:r w:rsidR="00E44C39">
        <w:rPr>
          <w:rFonts w:cs="Arial" w:hint="cs"/>
          <w:rtl/>
        </w:rPr>
        <w:t>.</w:t>
      </w:r>
      <w:r w:rsidR="00BA15E7" w:rsidRPr="00EA6933">
        <w:rPr>
          <w:rFonts w:cs="Arial"/>
          <w:rtl/>
        </w:rPr>
        <w:t xml:space="preserve"> וכל היכא דאמר להם </w:t>
      </w:r>
      <w:r w:rsidR="00E44C39">
        <w:rPr>
          <w:rFonts w:cs="Arial" w:hint="cs"/>
          <w:rtl/>
        </w:rPr>
        <w:t>'</w:t>
      </w:r>
      <w:r w:rsidR="00BA15E7" w:rsidRPr="00EA6933">
        <w:rPr>
          <w:rFonts w:cs="Arial"/>
          <w:rtl/>
        </w:rPr>
        <w:t>א</w:t>
      </w:r>
      <w:r w:rsidR="00E44C39">
        <w:rPr>
          <w:rFonts w:cs="Arial" w:hint="cs"/>
          <w:rtl/>
        </w:rPr>
        <w:t>ִ</w:t>
      </w:r>
      <w:r w:rsidR="00BA15E7" w:rsidRPr="00EA6933">
        <w:rPr>
          <w:rFonts w:cs="Arial"/>
          <w:rtl/>
        </w:rPr>
        <w:t>מרו לסופר פלוני ויכתוב ולפלוני ולפלוני ויחתומו</w:t>
      </w:r>
      <w:r w:rsidR="00E44C39">
        <w:rPr>
          <w:rFonts w:cs="Arial" w:hint="cs"/>
          <w:rtl/>
        </w:rPr>
        <w:t xml:space="preserve">' </w:t>
      </w:r>
      <w:r w:rsidR="00A82951">
        <w:rPr>
          <w:rFonts w:cs="Arial" w:hint="cs"/>
          <w:rtl/>
        </w:rPr>
        <w:t>-</w:t>
      </w:r>
      <w:r w:rsidR="00BA15E7" w:rsidRPr="00EA6933">
        <w:rPr>
          <w:rFonts w:cs="Arial"/>
          <w:rtl/>
        </w:rPr>
        <w:t xml:space="preserve"> פסול</w:t>
      </w:r>
      <w:r w:rsidR="00E44C39">
        <w:rPr>
          <w:rFonts w:cs="Arial" w:hint="cs"/>
          <w:rtl/>
        </w:rPr>
        <w:t>,</w:t>
      </w:r>
      <w:r w:rsidR="00BA15E7" w:rsidRPr="00EA6933">
        <w:rPr>
          <w:rFonts w:cs="Arial"/>
          <w:rtl/>
        </w:rPr>
        <w:t xml:space="preserve"> דאיכא למיחש דמשום כיסופא דסופר מחתמי ליה</w:t>
      </w:r>
      <w:r w:rsidR="00E44C39">
        <w:rPr>
          <w:rFonts w:cs="Arial" w:hint="cs"/>
          <w:rtl/>
        </w:rPr>
        <w:t>.</w:t>
      </w:r>
      <w:r w:rsidR="00BA15E7" w:rsidRPr="00EA6933">
        <w:rPr>
          <w:rFonts w:cs="Arial"/>
          <w:rtl/>
        </w:rPr>
        <w:t xml:space="preserve"> ולדבריו נהי </w:t>
      </w:r>
      <w:r w:rsidR="00BA15E7" w:rsidRPr="00EA6933">
        <w:rPr>
          <w:rFonts w:cs="Arial"/>
          <w:rtl/>
        </w:rPr>
        <w:lastRenderedPageBreak/>
        <w:t>דאם החתימו עליו הסופר ועד אחר הגט בטל לרבי יוסי כיון שחתם בו מי שלא צוה הבעל</w:t>
      </w:r>
      <w:r w:rsidR="00E44C39">
        <w:rPr>
          <w:rFonts w:cs="Arial" w:hint="cs"/>
          <w:rtl/>
        </w:rPr>
        <w:t>,</w:t>
      </w:r>
      <w:r w:rsidR="00BA15E7" w:rsidRPr="00EA6933">
        <w:rPr>
          <w:rFonts w:cs="Arial"/>
          <w:rtl/>
        </w:rPr>
        <w:t xml:space="preserve"> מכל מקום אם לא שינו מצות הבעל אלא אמרו לאותו סופר וכתב ולאותם עדים וחתמו</w:t>
      </w:r>
      <w:r w:rsidR="00E44C39">
        <w:rPr>
          <w:rFonts w:cs="Arial" w:hint="cs"/>
          <w:rtl/>
        </w:rPr>
        <w:t>,</w:t>
      </w:r>
      <w:r w:rsidR="00BA15E7" w:rsidRPr="00EA6933">
        <w:rPr>
          <w:rFonts w:cs="Arial"/>
          <w:rtl/>
        </w:rPr>
        <w:t xml:space="preserve"> נהי דפסול מדרבנן הוי </w:t>
      </w:r>
      <w:r w:rsidR="00A82951">
        <w:rPr>
          <w:rFonts w:cs="Arial" w:hint="cs"/>
          <w:rtl/>
        </w:rPr>
        <w:t>-</w:t>
      </w:r>
      <w:r w:rsidR="00E44C39">
        <w:rPr>
          <w:rFonts w:cs="Arial" w:hint="cs"/>
          <w:rtl/>
        </w:rPr>
        <w:t xml:space="preserve"> </w:t>
      </w:r>
      <w:r w:rsidR="00BA15E7" w:rsidRPr="00EA6933">
        <w:rPr>
          <w:rFonts w:cs="Arial"/>
          <w:rtl/>
        </w:rPr>
        <w:t>מיהו בטל לא הוי</w:t>
      </w:r>
      <w:r w:rsidR="00E44C39">
        <w:rPr>
          <w:rFonts w:cs="Arial" w:hint="cs"/>
          <w:rtl/>
        </w:rPr>
        <w:t>,</w:t>
      </w:r>
      <w:r w:rsidR="00BA15E7" w:rsidRPr="00EA6933">
        <w:rPr>
          <w:rFonts w:cs="Arial"/>
          <w:rtl/>
        </w:rPr>
        <w:t xml:space="preserve"> דמדאורייתא כשר הוא</w:t>
      </w:r>
      <w:r w:rsidR="00E44C39">
        <w:rPr>
          <w:rFonts w:cs="Arial" w:hint="cs"/>
          <w:rtl/>
        </w:rPr>
        <w:t>,</w:t>
      </w:r>
      <w:r w:rsidR="00BA15E7" w:rsidRPr="00EA6933">
        <w:rPr>
          <w:rFonts w:cs="Arial"/>
          <w:rtl/>
        </w:rPr>
        <w:t xml:space="preserve"> אלא שפסלוהו חכמים משום דחשו לחורבה</w:t>
      </w:r>
      <w:r w:rsidR="00EA6933" w:rsidRPr="00EA6933">
        <w:rPr>
          <w:rFonts w:cs="Arial" w:hint="cs"/>
          <w:rtl/>
        </w:rPr>
        <w:t xml:space="preserve">. </w:t>
      </w:r>
      <w:r w:rsidR="00BA15E7" w:rsidRPr="00EA6933">
        <w:rPr>
          <w:rFonts w:cs="Arial"/>
          <w:rtl/>
        </w:rPr>
        <w:t>ולרמב"ן משמע דבין כך ובין כך כיון שלא שמעו מפיו בטל הוא</w:t>
      </w:r>
      <w:r w:rsidR="00E44C39">
        <w:rPr>
          <w:rFonts w:cs="Arial" w:hint="cs"/>
          <w:rtl/>
        </w:rPr>
        <w:t>,</w:t>
      </w:r>
      <w:r w:rsidR="00BA15E7" w:rsidRPr="00EA6933">
        <w:rPr>
          <w:rFonts w:cs="Arial"/>
          <w:rtl/>
        </w:rPr>
        <w:t xml:space="preserve"> דדין תורה הוא בגט דלא הוי במקום הבעל אלא אם כן שמעו מפיו</w:t>
      </w:r>
      <w:r w:rsidR="00EA6933" w:rsidRPr="00217470">
        <w:rPr>
          <w:rFonts w:cs="Arial" w:hint="cs"/>
          <w:rtl/>
        </w:rPr>
        <w:t>.</w:t>
      </w:r>
      <w:r w:rsidR="00BA15E7" w:rsidRPr="00217470">
        <w:rPr>
          <w:rFonts w:cs="Arial"/>
          <w:rtl/>
        </w:rPr>
        <w:t xml:space="preserve"> </w:t>
      </w:r>
    </w:p>
    <w:p w14:paraId="0A877170" w14:textId="77777777" w:rsidR="009209E2" w:rsidRPr="007B74F1" w:rsidRDefault="009209E2" w:rsidP="009209E2">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DC48301" w14:textId="1700F16F" w:rsidR="00486C31" w:rsidRPr="00C5704B" w:rsidRDefault="00486C31" w:rsidP="00C5704B">
      <w:pPr>
        <w:rPr>
          <w:rFonts w:cs="Arial"/>
          <w:sz w:val="18"/>
          <w:szCs w:val="18"/>
          <w:rtl/>
        </w:rPr>
      </w:pPr>
      <w:r w:rsidRPr="00486C31">
        <w:rPr>
          <w:rFonts w:cs="Arial"/>
          <w:rtl/>
        </w:rPr>
        <w:t>לא יכתבנו הסופר ולא יחתמו בו העדים, עד שיאמר להם הבעל לכתוב ולחתום</w:t>
      </w:r>
      <w:r w:rsidRPr="00121280">
        <w:rPr>
          <w:rFonts w:cs="Arial"/>
          <w:sz w:val="18"/>
          <w:szCs w:val="18"/>
          <w:rtl/>
        </w:rPr>
        <w:t xml:space="preserve">. </w:t>
      </w:r>
      <w:r w:rsidR="0018059F">
        <w:rPr>
          <w:rFonts w:cs="Arial" w:hint="cs"/>
          <w:sz w:val="18"/>
          <w:szCs w:val="18"/>
          <w:rtl/>
        </w:rPr>
        <w:t xml:space="preserve">[הגה] </w:t>
      </w:r>
      <w:r w:rsidRPr="00121280">
        <w:rPr>
          <w:rFonts w:cs="Arial"/>
          <w:sz w:val="18"/>
          <w:szCs w:val="18"/>
          <w:rtl/>
        </w:rPr>
        <w:t>ולכתחלה יאמר לסופר לפני העדים (ר"י מרגלית</w:t>
      </w:r>
      <w:r w:rsidR="004E1424" w:rsidRPr="004E1424">
        <w:rPr>
          <w:rFonts w:cs="Arial"/>
          <w:sz w:val="18"/>
          <w:szCs w:val="18"/>
          <w:rtl/>
        </w:rPr>
        <w:t xml:space="preserve"> </w:t>
      </w:r>
      <w:r w:rsidR="004E1424" w:rsidRPr="00121280">
        <w:rPr>
          <w:rFonts w:cs="Arial"/>
          <w:sz w:val="18"/>
          <w:szCs w:val="18"/>
          <w:rtl/>
        </w:rPr>
        <w:t>בסדר הגט</w:t>
      </w:r>
      <w:r w:rsidRPr="00121280">
        <w:rPr>
          <w:rFonts w:cs="Arial"/>
          <w:sz w:val="18"/>
          <w:szCs w:val="18"/>
          <w:rtl/>
        </w:rPr>
        <w:t xml:space="preserve">). </w:t>
      </w:r>
      <w:r w:rsidRPr="00486C31">
        <w:rPr>
          <w:rFonts w:cs="Arial"/>
          <w:rtl/>
        </w:rPr>
        <w:t>וכשיאמר להם הבעל, יכתבוהו הם בעצמם ולא יאמרו לאחרים לכתוב ולחתום. אפילו אמר לבית דין: תנו גט לאשתי, לא יאמרו לסופר לכתוב</w:t>
      </w:r>
      <w:r w:rsidR="005E62B5">
        <w:rPr>
          <w:rStyle w:val="a7"/>
          <w:rFonts w:cs="Arial"/>
          <w:rtl/>
        </w:rPr>
        <w:footnoteReference w:id="167"/>
      </w:r>
      <w:r w:rsidRPr="00486C31">
        <w:rPr>
          <w:rFonts w:cs="Arial"/>
          <w:rtl/>
        </w:rPr>
        <w:t xml:space="preserve"> ולעדים לחתום</w:t>
      </w:r>
      <w:r w:rsidR="00DA33F5">
        <w:rPr>
          <w:rFonts w:cs="Arial" w:hint="cs"/>
          <w:rtl/>
        </w:rPr>
        <w:t>.</w:t>
      </w:r>
      <w:r w:rsidRPr="00486C31">
        <w:rPr>
          <w:rFonts w:cs="Arial"/>
          <w:rtl/>
        </w:rPr>
        <w:t xml:space="preserve"> ואפילו אמר להם: אמרו לסופר ויכתוב ולעדים ויחתמו, לא יכתוב הסופר ולא יחתמו העדים עד שישמעו מפיו. </w:t>
      </w:r>
      <w:r w:rsidRPr="00121280">
        <w:rPr>
          <w:rFonts w:cs="Arial"/>
          <w:sz w:val="18"/>
          <w:szCs w:val="18"/>
          <w:rtl/>
        </w:rPr>
        <w:t>הגה: עבר וגירשה על ידי אומר: אמרו לסופר ויכתוב כו', הוי ספק מגורשת (</w:t>
      </w:r>
      <w:r w:rsidR="00C5704B">
        <w:rPr>
          <w:rFonts w:cs="Arial" w:hint="cs"/>
          <w:sz w:val="18"/>
          <w:szCs w:val="18"/>
          <w:rtl/>
        </w:rPr>
        <w:t>רמב"ם, וכ"כ ר"י רמ"ה רמב"ן תרומה סמ"ג מרדכי</w:t>
      </w:r>
      <w:r w:rsidRPr="00121280">
        <w:rPr>
          <w:rFonts w:cs="Arial"/>
          <w:sz w:val="18"/>
          <w:szCs w:val="18"/>
          <w:rtl/>
        </w:rPr>
        <w:t xml:space="preserve"> כל בו</w:t>
      </w:r>
      <w:r w:rsidR="00C5704B">
        <w:rPr>
          <w:rFonts w:cs="Arial" w:hint="cs"/>
          <w:sz w:val="18"/>
          <w:szCs w:val="18"/>
          <w:rtl/>
        </w:rPr>
        <w:t xml:space="preserve"> ור"ן</w:t>
      </w:r>
      <w:r w:rsidRPr="00121280">
        <w:rPr>
          <w:rFonts w:cs="Arial"/>
          <w:sz w:val="18"/>
          <w:szCs w:val="18"/>
          <w:rtl/>
        </w:rPr>
        <w:t xml:space="preserve">). </w:t>
      </w:r>
      <w:r w:rsidR="004E1424">
        <w:rPr>
          <w:rFonts w:cs="Arial" w:hint="cs"/>
          <w:sz w:val="18"/>
          <w:szCs w:val="18"/>
          <w:rtl/>
        </w:rPr>
        <w:t xml:space="preserve"> </w:t>
      </w:r>
    </w:p>
    <w:p w14:paraId="3CE3E19D" w14:textId="2E257710" w:rsidR="00C5704B" w:rsidRDefault="00C5704B" w:rsidP="00C5704B">
      <w:pPr>
        <w:rPr>
          <w:rFonts w:cs="Arial"/>
          <w:rtl/>
        </w:rPr>
      </w:pPr>
      <w:r w:rsidRPr="00C5704B">
        <w:rPr>
          <w:rFonts w:cs="Arial" w:hint="cs"/>
          <w:u w:val="single"/>
          <w:rtl/>
        </w:rPr>
        <w:t>בעל שצוה לשלוחו לומר לכל מי שירצה שיכתוב גט לשמו ולשמה:</w:t>
      </w:r>
      <w:r>
        <w:rPr>
          <w:rFonts w:cs="Arial" w:hint="cs"/>
          <w:rtl/>
        </w:rPr>
        <w:t xml:space="preserve"> </w:t>
      </w:r>
    </w:p>
    <w:p w14:paraId="2257EBD2" w14:textId="4FFD9C48" w:rsidR="00A42CB2" w:rsidRPr="00C5704B" w:rsidRDefault="00C5704B" w:rsidP="00A65C5F">
      <w:pPr>
        <w:pStyle w:val="ab"/>
        <w:numPr>
          <w:ilvl w:val="0"/>
          <w:numId w:val="24"/>
        </w:numPr>
        <w:rPr>
          <w:rFonts w:cs="Arial"/>
          <w:rtl/>
        </w:rPr>
      </w:pPr>
      <w:r>
        <w:rPr>
          <w:rFonts w:cs="Arial" w:hint="cs"/>
          <w:rtl/>
        </w:rPr>
        <w:t xml:space="preserve">פת"ש </w:t>
      </w:r>
      <w:r>
        <w:rPr>
          <w:rFonts w:cs="Arial" w:hint="cs"/>
          <w:sz w:val="16"/>
          <w:szCs w:val="16"/>
          <w:rtl/>
        </w:rPr>
        <w:t>(סקי"ז)</w:t>
      </w:r>
      <w:r w:rsidR="00A82951">
        <w:rPr>
          <w:rFonts w:cs="Arial" w:hint="cs"/>
          <w:rtl/>
        </w:rPr>
        <w:t>-</w:t>
      </w:r>
      <w:r>
        <w:rPr>
          <w:rFonts w:cs="Arial" w:hint="cs"/>
          <w:rtl/>
        </w:rPr>
        <w:t xml:space="preserve"> </w:t>
      </w:r>
      <w:r w:rsidR="00A42CB2" w:rsidRPr="00C5704B">
        <w:rPr>
          <w:rFonts w:cs="Arial"/>
          <w:rtl/>
        </w:rPr>
        <w:t>עיין בשו"ת הגאון החסיד מהר"ש זלמן זצ"ל מלאדי שהאריך הרבה בדין אמרו לסופר</w:t>
      </w:r>
      <w:r w:rsidR="00627155">
        <w:rPr>
          <w:rFonts w:cs="Arial" w:hint="cs"/>
          <w:rtl/>
        </w:rPr>
        <w:t>,</w:t>
      </w:r>
      <w:r w:rsidR="00A42CB2" w:rsidRPr="00C5704B">
        <w:rPr>
          <w:rFonts w:cs="Arial"/>
          <w:rtl/>
        </w:rPr>
        <w:t xml:space="preserve"> ומצדד להקל בנדון דידי</w:t>
      </w:r>
      <w:r w:rsidR="00627155">
        <w:rPr>
          <w:rFonts w:cs="Arial" w:hint="cs"/>
          <w:rtl/>
        </w:rPr>
        <w:t>ה</w:t>
      </w:r>
      <w:r w:rsidR="00A42CB2" w:rsidRPr="00C5704B">
        <w:rPr>
          <w:rFonts w:cs="Arial"/>
          <w:rtl/>
        </w:rPr>
        <w:t xml:space="preserve"> שכ' הגט א' מהשומעים מפי הבעל כשצוה לשלוחו לומר לכל מי שירצה שיכתוב לשמו ולשמה כו'</w:t>
      </w:r>
      <w:r w:rsidR="0048173E">
        <w:rPr>
          <w:rFonts w:cs="Arial" w:hint="cs"/>
          <w:rtl/>
        </w:rPr>
        <w:t>,</w:t>
      </w:r>
      <w:r w:rsidR="00A42CB2" w:rsidRPr="00C5704B">
        <w:rPr>
          <w:rFonts w:cs="Arial"/>
          <w:rtl/>
        </w:rPr>
        <w:t xml:space="preserve"> וסיום התשובה לא נמצא שם</w:t>
      </w:r>
      <w:r>
        <w:rPr>
          <w:rFonts w:cs="Arial" w:hint="cs"/>
          <w:rtl/>
        </w:rPr>
        <w:t>.</w:t>
      </w:r>
    </w:p>
    <w:p w14:paraId="56026BE5" w14:textId="77777777" w:rsidR="00A42CB2" w:rsidRPr="00486C31" w:rsidRDefault="00A42CB2" w:rsidP="00A42CB2">
      <w:pPr>
        <w:rPr>
          <w:rFonts w:cs="Arial"/>
          <w:rtl/>
        </w:rPr>
      </w:pPr>
    </w:p>
    <w:p w14:paraId="36E28E83" w14:textId="2511F71F" w:rsidR="00486C31" w:rsidRDefault="00486C31" w:rsidP="00786DE6">
      <w:pPr>
        <w:pStyle w:val="2"/>
        <w:rPr>
          <w:rtl/>
        </w:rPr>
      </w:pPr>
      <w:r w:rsidRPr="00486C31">
        <w:rPr>
          <w:rtl/>
        </w:rPr>
        <w:t>סעיף ה</w:t>
      </w:r>
      <w:r w:rsidR="008F1D94">
        <w:rPr>
          <w:rFonts w:hint="cs"/>
          <w:rtl/>
        </w:rPr>
        <w:t xml:space="preserve">: </w:t>
      </w:r>
      <w:r w:rsidR="00AB476E">
        <w:rPr>
          <w:rFonts w:hint="cs"/>
          <w:rtl/>
        </w:rPr>
        <w:t xml:space="preserve">ציווי בכתב. </w:t>
      </w:r>
    </w:p>
    <w:p w14:paraId="3D42268C" w14:textId="51B04859" w:rsidR="00D1348C" w:rsidRPr="00003716" w:rsidRDefault="00D1348C" w:rsidP="00003716">
      <w:pPr>
        <w:rPr>
          <w:rFonts w:cs="Arial"/>
          <w:rtl/>
        </w:rPr>
      </w:pPr>
      <w:r w:rsidRPr="00573889">
        <w:rPr>
          <w:rFonts w:cs="Arial" w:hint="cs"/>
          <w:b/>
          <w:bCs/>
          <w:rtl/>
        </w:rPr>
        <w:t xml:space="preserve">גיטין </w:t>
      </w:r>
      <w:r w:rsidRPr="00573889">
        <w:rPr>
          <w:rFonts w:cs="Arial" w:hint="cs"/>
          <w:b/>
          <w:bCs/>
          <w:sz w:val="16"/>
          <w:szCs w:val="16"/>
          <w:rtl/>
        </w:rPr>
        <w:t>(</w:t>
      </w:r>
      <w:r w:rsidR="001045FB">
        <w:rPr>
          <w:rFonts w:cs="Arial" w:hint="cs"/>
          <w:b/>
          <w:bCs/>
          <w:sz w:val="16"/>
          <w:szCs w:val="16"/>
          <w:rtl/>
        </w:rPr>
        <w:t>ר"</w:t>
      </w:r>
      <w:r>
        <w:rPr>
          <w:rFonts w:cs="Arial" w:hint="cs"/>
          <w:b/>
          <w:bCs/>
          <w:sz w:val="16"/>
          <w:szCs w:val="16"/>
          <w:rtl/>
        </w:rPr>
        <w:t>פ מי שאחזו</w:t>
      </w:r>
      <w:r w:rsidRPr="00573889">
        <w:rPr>
          <w:rFonts w:cs="Arial" w:hint="cs"/>
          <w:b/>
          <w:bCs/>
          <w:sz w:val="16"/>
          <w:szCs w:val="16"/>
          <w:rtl/>
        </w:rPr>
        <w:t>)</w:t>
      </w:r>
      <w:r w:rsidRPr="00573889">
        <w:rPr>
          <w:rFonts w:cs="Arial" w:hint="cs"/>
          <w:b/>
          <w:bCs/>
          <w:rtl/>
        </w:rPr>
        <w:t xml:space="preserve"> </w:t>
      </w:r>
      <w:r w:rsidR="00003716">
        <w:rPr>
          <w:rFonts w:cs="Arial" w:hint="cs"/>
          <w:b/>
          <w:bCs/>
          <w:rtl/>
        </w:rPr>
        <w:t>סז</w:t>
      </w:r>
      <w:r w:rsidRPr="00573889">
        <w:rPr>
          <w:rFonts w:cs="Arial" w:hint="cs"/>
          <w:b/>
          <w:bCs/>
          <w:rtl/>
        </w:rPr>
        <w:t xml:space="preserve"> ע"</w:t>
      </w:r>
      <w:r w:rsidR="00003716">
        <w:rPr>
          <w:rFonts w:cs="Arial" w:hint="cs"/>
          <w:b/>
          <w:bCs/>
          <w:rtl/>
        </w:rPr>
        <w:t>ב</w:t>
      </w:r>
      <w:r w:rsidRPr="00573889">
        <w:rPr>
          <w:rFonts w:cs="Arial" w:hint="cs"/>
          <w:b/>
          <w:bCs/>
          <w:rtl/>
        </w:rPr>
        <w:t>:</w:t>
      </w:r>
      <w:r w:rsidRPr="00D1348C">
        <w:rPr>
          <w:rtl/>
        </w:rPr>
        <w:t xml:space="preserve"> </w:t>
      </w:r>
      <w:r w:rsidR="00003716" w:rsidRPr="00003716">
        <w:rPr>
          <w:rFonts w:cs="Arial" w:hint="cs"/>
          <w:u w:val="double"/>
          <w:rtl/>
        </w:rPr>
        <w:t>מתני'</w:t>
      </w:r>
      <w:r w:rsidR="00003716">
        <w:rPr>
          <w:rFonts w:cs="Arial" w:hint="cs"/>
          <w:rtl/>
        </w:rPr>
        <w:t xml:space="preserve">:... </w:t>
      </w:r>
      <w:r w:rsidRPr="00D1348C">
        <w:rPr>
          <w:rFonts w:cs="Arial"/>
          <w:rtl/>
        </w:rPr>
        <w:t xml:space="preserve">נשתתק, ואמרו לו נכתוב גט לאשתך והרכין בראשו, בודקין אותו שלשה פעמים, אם אמר על לאו לאו ועל הן הן </w:t>
      </w:r>
      <w:r w:rsidR="00A82951">
        <w:rPr>
          <w:rFonts w:cs="Arial"/>
          <w:rtl/>
        </w:rPr>
        <w:t>-</w:t>
      </w:r>
      <w:r w:rsidRPr="00D1348C">
        <w:rPr>
          <w:rFonts w:cs="Arial"/>
          <w:rtl/>
        </w:rPr>
        <w:t xml:space="preserve"> הרי אלו יכתבו ויתנו.</w:t>
      </w:r>
      <w:r>
        <w:rPr>
          <w:rFonts w:cs="Arial" w:hint="cs"/>
          <w:rtl/>
        </w:rPr>
        <w:t xml:space="preserve">..     </w:t>
      </w:r>
      <w:r w:rsidRPr="00D1348C">
        <w:rPr>
          <w:rFonts w:cs="Arial"/>
          <w:rtl/>
        </w:rPr>
        <w:t xml:space="preserve"> </w:t>
      </w:r>
      <w:r>
        <w:rPr>
          <w:rFonts w:cs="Arial" w:hint="cs"/>
          <w:rtl/>
        </w:rPr>
        <w:t xml:space="preserve"> </w:t>
      </w:r>
      <w:r w:rsidR="00003716" w:rsidRPr="00003716">
        <w:rPr>
          <w:rFonts w:cs="Arial" w:hint="cs"/>
          <w:u w:val="double"/>
          <w:rtl/>
        </w:rPr>
        <w:t>גמ'</w:t>
      </w:r>
      <w:r w:rsidR="00003716" w:rsidRPr="00003716">
        <w:rPr>
          <w:rFonts w:cs="Arial" w:hint="cs"/>
          <w:sz w:val="14"/>
          <w:szCs w:val="14"/>
          <w:u w:val="double"/>
          <w:rtl/>
        </w:rPr>
        <w:t>(ע</w:t>
      </w:r>
      <w:r w:rsidR="00003716">
        <w:rPr>
          <w:rFonts w:cs="Arial" w:hint="cs"/>
          <w:sz w:val="14"/>
          <w:szCs w:val="14"/>
          <w:u w:val="double"/>
          <w:rtl/>
        </w:rPr>
        <w:t>:</w:t>
      </w:r>
      <w:r w:rsidR="00003716" w:rsidRPr="00003716">
        <w:rPr>
          <w:rFonts w:cs="Arial" w:hint="cs"/>
          <w:sz w:val="14"/>
          <w:szCs w:val="14"/>
          <w:u w:val="double"/>
          <w:rtl/>
        </w:rPr>
        <w:t>)</w:t>
      </w:r>
      <w:r w:rsidR="00003716" w:rsidRPr="00003716">
        <w:rPr>
          <w:rFonts w:cs="Arial" w:hint="cs"/>
          <w:u w:val="double"/>
          <w:rtl/>
        </w:rPr>
        <w:t>:</w:t>
      </w:r>
      <w:r w:rsidR="00003716">
        <w:rPr>
          <w:rFonts w:cs="Arial" w:hint="cs"/>
          <w:rtl/>
        </w:rPr>
        <w:t xml:space="preserve"> </w:t>
      </w:r>
      <w:r w:rsidR="00003716" w:rsidRPr="00003716">
        <w:rPr>
          <w:rFonts w:cs="Arial"/>
          <w:rtl/>
        </w:rPr>
        <w:t xml:space="preserve">נשתתק, ואמרו לו נכתוב גט לאשתך כו'. וליחוש דלמא שיחיא דלאו לאו נקטיה, אי נמי שיחיא דהן הן נקטיה! </w:t>
      </w:r>
      <w:r w:rsidR="00003716" w:rsidRPr="002D1568">
        <w:rPr>
          <w:rFonts w:cs="Arial"/>
          <w:u w:val="single"/>
          <w:rtl/>
        </w:rPr>
        <w:t>א"ר יוסף בר מניומי אמר רב נחמן</w:t>
      </w:r>
      <w:r w:rsidR="00003716" w:rsidRPr="00003716">
        <w:rPr>
          <w:rFonts w:cs="Arial"/>
          <w:rtl/>
        </w:rPr>
        <w:t xml:space="preserve">: דאמרינן ליה בסירוגין. וליחוש דלמא שיחיא דסירוגין נקטיה! דאמרינן ליה חד לאו ותרין הן, ותרין לאו וחד הן. </w:t>
      </w:r>
      <w:r w:rsidR="00003716" w:rsidRPr="002D1568">
        <w:rPr>
          <w:rFonts w:cs="Arial"/>
          <w:u w:val="single"/>
          <w:rtl/>
        </w:rPr>
        <w:t>דבי רבי ישמעאל תנא</w:t>
      </w:r>
      <w:r w:rsidR="00003716" w:rsidRPr="00003716">
        <w:rPr>
          <w:rFonts w:cs="Arial"/>
          <w:rtl/>
        </w:rPr>
        <w:t>: אומרים לו דברים של ימות החמה בימות הגשמים, ושל ימות הגשמים בימות החמה. מאי ניהו? אילימא גלופקרי וסדיני, ליחוש דלמא קורא אחדיה, א"נ חמה אחדיה!</w:t>
      </w:r>
      <w:r w:rsidR="00003716">
        <w:rPr>
          <w:rFonts w:hint="cs"/>
          <w:sz w:val="14"/>
          <w:szCs w:val="14"/>
          <w:rtl/>
        </w:rPr>
        <w:t xml:space="preserve"> (עא.) </w:t>
      </w:r>
      <w:r w:rsidR="00003716" w:rsidRPr="00003716">
        <w:rPr>
          <w:rFonts w:cs="Arial"/>
          <w:rtl/>
        </w:rPr>
        <w:t xml:space="preserve">אלא בפירי. </w:t>
      </w:r>
      <w:r w:rsidRPr="00D1348C">
        <w:rPr>
          <w:rFonts w:cs="Arial"/>
          <w:u w:val="single"/>
          <w:rtl/>
        </w:rPr>
        <w:t>אמר רב כהנא אמר רב</w:t>
      </w:r>
      <w:r w:rsidRPr="00D1348C">
        <w:rPr>
          <w:rFonts w:cs="Arial"/>
          <w:rtl/>
        </w:rPr>
        <w:t xml:space="preserve">: חרש שיכול לדבר מתוך הכתב, כותבין ונותנין גט לאשתו. </w:t>
      </w:r>
      <w:r w:rsidRPr="002D1568">
        <w:rPr>
          <w:rFonts w:cs="Arial"/>
          <w:u w:val="single"/>
          <w:rtl/>
        </w:rPr>
        <w:t>אמר רב יוסף</w:t>
      </w:r>
      <w:r w:rsidRPr="00D1348C">
        <w:rPr>
          <w:rFonts w:cs="Arial"/>
          <w:rtl/>
        </w:rPr>
        <w:t xml:space="preserve">: מאי קא משמע לן? תנינא: נשתתק, ואמרו לו נכתוב גט לאשתך והרכין בראשו, בודקין אותו שלשה פעמים, אם אמר על לאו לאו ועל הן הן </w:t>
      </w:r>
      <w:r w:rsidR="00A82951">
        <w:rPr>
          <w:rFonts w:cs="Arial"/>
          <w:rtl/>
        </w:rPr>
        <w:t>-</w:t>
      </w:r>
      <w:r w:rsidRPr="00D1348C">
        <w:rPr>
          <w:rFonts w:cs="Arial"/>
          <w:rtl/>
        </w:rPr>
        <w:t xml:space="preserve"> הרי אלו יכתבו ויתנו! </w:t>
      </w:r>
      <w:r w:rsidRPr="002D1568">
        <w:rPr>
          <w:rFonts w:cs="Arial"/>
          <w:u w:val="single"/>
          <w:rtl/>
        </w:rPr>
        <w:t>אמר ליה רבי זירא</w:t>
      </w:r>
      <w:r w:rsidRPr="00D1348C">
        <w:rPr>
          <w:rFonts w:cs="Arial"/>
          <w:rtl/>
        </w:rPr>
        <w:t>: אלם קאמרת? שאני אלם</w:t>
      </w:r>
      <w:r w:rsidR="00854726">
        <w:rPr>
          <w:rStyle w:val="a7"/>
          <w:rFonts w:cs="Arial"/>
          <w:rtl/>
        </w:rPr>
        <w:footnoteReference w:id="168"/>
      </w:r>
      <w:r w:rsidRPr="00D1348C">
        <w:rPr>
          <w:rFonts w:cs="Arial"/>
          <w:rtl/>
        </w:rPr>
        <w:t xml:space="preserve">, דתניא: מדבר ואינו שומע </w:t>
      </w:r>
      <w:r w:rsidR="00A82951">
        <w:rPr>
          <w:rFonts w:cs="Arial"/>
          <w:rtl/>
        </w:rPr>
        <w:t>-</w:t>
      </w:r>
      <w:r w:rsidRPr="00D1348C">
        <w:rPr>
          <w:rFonts w:cs="Arial"/>
          <w:rtl/>
        </w:rPr>
        <w:t xml:space="preserve"> זהו חרש</w:t>
      </w:r>
      <w:r w:rsidR="00F63536">
        <w:rPr>
          <w:rStyle w:val="a7"/>
          <w:rFonts w:cs="Arial"/>
          <w:rtl/>
        </w:rPr>
        <w:footnoteReference w:id="169"/>
      </w:r>
      <w:r w:rsidRPr="00D1348C">
        <w:rPr>
          <w:rFonts w:cs="Arial"/>
          <w:rtl/>
        </w:rPr>
        <w:t xml:space="preserve">, שומע ואינו מדבר </w:t>
      </w:r>
      <w:r w:rsidR="00A82951">
        <w:rPr>
          <w:rFonts w:cs="Arial"/>
          <w:rtl/>
        </w:rPr>
        <w:t>-</w:t>
      </w:r>
      <w:r w:rsidRPr="00D1348C">
        <w:rPr>
          <w:rFonts w:cs="Arial"/>
          <w:rtl/>
        </w:rPr>
        <w:t xml:space="preserve"> זהו אלם, וזה וזה הרי הן כפקחין לכל דבריהם. וממאי דמדבר ואינו שומע זהו חרש, שומע ואינו מדבר זהו אלם? דכתיב: ואני כחרש לא אשמע וכאלם לא יפתח פיו. ואי בעית אימא, כדאמרי אינשי: אישתקיל מילוליה. </w:t>
      </w:r>
      <w:r w:rsidRPr="002D1568">
        <w:rPr>
          <w:rFonts w:cs="Arial"/>
          <w:u w:val="single"/>
          <w:rtl/>
        </w:rPr>
        <w:t>אמר ר' זירא</w:t>
      </w:r>
      <w:r w:rsidRPr="00D1348C">
        <w:rPr>
          <w:rFonts w:cs="Arial"/>
          <w:rtl/>
        </w:rPr>
        <w:t xml:space="preserve">: אי קשיא לי הא קשיא לי, דתניא: אם לא יגיד </w:t>
      </w:r>
      <w:r w:rsidR="00A82951">
        <w:rPr>
          <w:rFonts w:cs="Arial"/>
          <w:rtl/>
        </w:rPr>
        <w:t>-</w:t>
      </w:r>
      <w:r w:rsidRPr="00D1348C">
        <w:rPr>
          <w:rFonts w:cs="Arial"/>
          <w:rtl/>
        </w:rPr>
        <w:t xml:space="preserve"> פרט לאלם שאינו יכול להגיד</w:t>
      </w:r>
      <w:r w:rsidR="002D1568">
        <w:rPr>
          <w:rFonts w:cs="Arial" w:hint="cs"/>
          <w:rtl/>
        </w:rPr>
        <w:t>.</w:t>
      </w:r>
      <w:r w:rsidRPr="00D1348C">
        <w:rPr>
          <w:rFonts w:cs="Arial"/>
          <w:rtl/>
        </w:rPr>
        <w:t xml:space="preserve"> אמאי? הא יכול להגיד מתוך הכתב! </w:t>
      </w:r>
      <w:r w:rsidRPr="002D1568">
        <w:rPr>
          <w:rFonts w:cs="Arial"/>
          <w:u w:val="single"/>
          <w:rtl/>
        </w:rPr>
        <w:t>אמר ליה אביי</w:t>
      </w:r>
      <w:r w:rsidRPr="00D1348C">
        <w:rPr>
          <w:rFonts w:cs="Arial"/>
          <w:rtl/>
        </w:rPr>
        <w:t xml:space="preserve">: עדות קאמרת? שאני עדות, דרחמנא אמר: מפיהם </w:t>
      </w:r>
      <w:r w:rsidR="00A82951">
        <w:rPr>
          <w:rFonts w:cs="Arial"/>
          <w:rtl/>
        </w:rPr>
        <w:t>-</w:t>
      </w:r>
      <w:r w:rsidRPr="00D1348C">
        <w:rPr>
          <w:rFonts w:cs="Arial"/>
          <w:rtl/>
        </w:rPr>
        <w:t xml:space="preserve"> ולא מפי כתבם.</w:t>
      </w:r>
      <w:r w:rsidR="002D1568">
        <w:rPr>
          <w:rFonts w:cs="Arial" w:hint="cs"/>
          <w:rtl/>
        </w:rPr>
        <w:t>.</w:t>
      </w:r>
      <w:r w:rsidRPr="00D1348C">
        <w:rPr>
          <w:rFonts w:cs="Arial"/>
          <w:rtl/>
        </w:rPr>
        <w:t xml:space="preserve">. מיתיבי: חרש, לא הלכו בו אחר רמיזותיו ואחר קפיצותיו ואחר כתב ידו אלא במטלטלין, אבל לא לגיטין! תנאי היא; דתניא, </w:t>
      </w:r>
      <w:r w:rsidRPr="002D1568">
        <w:rPr>
          <w:rFonts w:cs="Arial"/>
          <w:u w:val="single"/>
          <w:rtl/>
        </w:rPr>
        <w:t>אמר רבן שמעון בן גמליאל</w:t>
      </w:r>
      <w:r w:rsidRPr="00D1348C">
        <w:rPr>
          <w:rFonts w:cs="Arial"/>
          <w:rtl/>
        </w:rPr>
        <w:t xml:space="preserve">: במה דברים אמורים </w:t>
      </w:r>
      <w:r w:rsidR="00A82951">
        <w:rPr>
          <w:rFonts w:cs="Arial"/>
          <w:rtl/>
        </w:rPr>
        <w:t>-</w:t>
      </w:r>
      <w:r w:rsidRPr="00D1348C">
        <w:rPr>
          <w:rFonts w:cs="Arial"/>
          <w:rtl/>
        </w:rPr>
        <w:t xml:space="preserve"> בחרש מעיקרו, אבל פיקח ונתחרש </w:t>
      </w:r>
      <w:r w:rsidR="00A82951">
        <w:rPr>
          <w:rFonts w:cs="Arial"/>
          <w:rtl/>
        </w:rPr>
        <w:t>-</w:t>
      </w:r>
      <w:r w:rsidRPr="00D1348C">
        <w:rPr>
          <w:rFonts w:cs="Arial"/>
          <w:rtl/>
        </w:rPr>
        <w:t xml:space="preserve"> הוא כותב והן חותמין. וחרש מעיקרו לא? כשם שכונסה ברמיזה כך מוציאה ברמיזה! אי באשתו ה"נ, הכא במאי עסקינן </w:t>
      </w:r>
      <w:r w:rsidR="00A82951">
        <w:rPr>
          <w:rFonts w:cs="Arial"/>
          <w:rtl/>
        </w:rPr>
        <w:t>-</w:t>
      </w:r>
      <w:r w:rsidRPr="00D1348C">
        <w:rPr>
          <w:rFonts w:cs="Arial"/>
          <w:rtl/>
        </w:rPr>
        <w:t xml:space="preserve"> ביבמתו. יבמתו ממאן? אילימא דנפלה ליה מאחיו חרש, כשם שכניסתה ברמיזה כך יציאתה ברמיזה! אלא דנפלה ליה מאחיו פיקח.</w:t>
      </w:r>
      <w:r w:rsidR="002D1568">
        <w:rPr>
          <w:rFonts w:cs="Arial" w:hint="cs"/>
          <w:rtl/>
        </w:rPr>
        <w:t>..</w:t>
      </w:r>
      <w:r w:rsidRPr="00D1348C">
        <w:rPr>
          <w:rFonts w:cs="Arial"/>
          <w:rtl/>
        </w:rPr>
        <w:t xml:space="preserve"> </w:t>
      </w:r>
      <w:r w:rsidR="002D1568">
        <w:rPr>
          <w:rFonts w:cs="Arial" w:hint="cs"/>
          <w:sz w:val="14"/>
          <w:szCs w:val="14"/>
          <w:rtl/>
        </w:rPr>
        <w:t>(עא:)</w:t>
      </w:r>
      <w:r w:rsidR="002D1568" w:rsidRPr="002D1568">
        <w:rPr>
          <w:rFonts w:cs="Arial"/>
          <w:rtl/>
        </w:rPr>
        <w:t xml:space="preserve"> </w:t>
      </w:r>
      <w:r w:rsidR="002D1568" w:rsidRPr="002D1568">
        <w:rPr>
          <w:rFonts w:cs="Arial"/>
          <w:u w:val="single"/>
          <w:rtl/>
        </w:rPr>
        <w:t>אמר רבי יוחנן</w:t>
      </w:r>
      <w:r w:rsidR="002D1568" w:rsidRPr="002D1568">
        <w:rPr>
          <w:rFonts w:cs="Arial"/>
          <w:rtl/>
        </w:rPr>
        <w:t xml:space="preserve">: חלוקין עליו חביריו על רשב"ג. </w:t>
      </w:r>
      <w:r w:rsidR="002D1568" w:rsidRPr="002D1568">
        <w:rPr>
          <w:rFonts w:cs="Arial"/>
          <w:u w:val="single"/>
          <w:rtl/>
        </w:rPr>
        <w:t>אמר אביי</w:t>
      </w:r>
      <w:r w:rsidR="002D1568">
        <w:rPr>
          <w:rFonts w:cs="Arial" w:hint="cs"/>
          <w:rtl/>
        </w:rPr>
        <w:t>:</w:t>
      </w:r>
      <w:r w:rsidR="002D1568" w:rsidRPr="002D1568">
        <w:rPr>
          <w:rFonts w:cs="Arial"/>
          <w:rtl/>
        </w:rPr>
        <w:t xml:space="preserve"> אף אנן נמי תנינא: נישטת </w:t>
      </w:r>
      <w:r w:rsidR="00A82951">
        <w:rPr>
          <w:rFonts w:cs="Arial"/>
          <w:rtl/>
        </w:rPr>
        <w:t>-</w:t>
      </w:r>
      <w:r w:rsidR="002D1568" w:rsidRPr="002D1568">
        <w:rPr>
          <w:rFonts w:cs="Arial"/>
          <w:rtl/>
        </w:rPr>
        <w:t xml:space="preserve"> לא יוציא, נתחרש הוא או נשתטה </w:t>
      </w:r>
      <w:r w:rsidR="00A82951">
        <w:rPr>
          <w:rFonts w:cs="Arial"/>
          <w:rtl/>
        </w:rPr>
        <w:t>-</w:t>
      </w:r>
      <w:r w:rsidR="002D1568" w:rsidRPr="002D1568">
        <w:rPr>
          <w:rFonts w:cs="Arial"/>
          <w:rtl/>
        </w:rPr>
        <w:t xml:space="preserve"> לא יוציא עולמית; מאי עולמית? לאו אף על גב דיכול לדבר מתוך הכתב. </w:t>
      </w:r>
      <w:r w:rsidR="002D1568" w:rsidRPr="002D1568">
        <w:rPr>
          <w:rFonts w:cs="Arial"/>
          <w:u w:val="single"/>
          <w:rtl/>
        </w:rPr>
        <w:t>אמר רב פפא</w:t>
      </w:r>
      <w:r w:rsidR="002D1568" w:rsidRPr="002D1568">
        <w:rPr>
          <w:rFonts w:cs="Arial"/>
          <w:rtl/>
        </w:rPr>
        <w:t>: אי לאו דאשמועינן ר' יוחנן, הוה אמינא, רשב"ג לפרושי טעמא דת"ק הוא דאתא, ומאי עולמית? אף על גב דחזינא ליה דחריף</w:t>
      </w:r>
      <w:r w:rsidR="002D1568">
        <w:rPr>
          <w:rFonts w:cs="Arial" w:hint="cs"/>
          <w:rtl/>
        </w:rPr>
        <w:t>.</w:t>
      </w:r>
      <w:r w:rsidR="002D1568" w:rsidRPr="002D1568">
        <w:rPr>
          <w:rFonts w:cs="Arial"/>
          <w:rtl/>
        </w:rPr>
        <w:t xml:space="preserve"> אי נמי, לכדרבי יצחק, דא"ר יצחק: דבר תורה שוטה מתגרשת, מידי דהוה אפיקחת בעל כרחה, ומה טעם אמרו אינה מתגרשת? שלא ינהגו בה מנהג הפקר.</w:t>
      </w:r>
    </w:p>
    <w:p w14:paraId="1FBE3C64" w14:textId="12EBE95D" w:rsidR="00AB476E" w:rsidRDefault="00AB476E" w:rsidP="00AB476E">
      <w:pPr>
        <w:rPr>
          <w:rFonts w:cs="Arial"/>
          <w:rtl/>
        </w:rPr>
      </w:pPr>
      <w:r w:rsidRPr="00573889">
        <w:rPr>
          <w:rFonts w:cs="Arial" w:hint="cs"/>
          <w:b/>
          <w:bCs/>
          <w:rtl/>
        </w:rPr>
        <w:lastRenderedPageBreak/>
        <w:t xml:space="preserve">גיטין </w:t>
      </w:r>
      <w:r w:rsidRPr="00573889">
        <w:rPr>
          <w:rFonts w:cs="Arial" w:hint="cs"/>
          <w:b/>
          <w:bCs/>
          <w:sz w:val="16"/>
          <w:szCs w:val="16"/>
          <w:rtl/>
        </w:rPr>
        <w:t>(</w:t>
      </w:r>
      <w:r>
        <w:rPr>
          <w:rFonts w:cs="Arial" w:hint="cs"/>
          <w:b/>
          <w:bCs/>
          <w:sz w:val="16"/>
          <w:szCs w:val="16"/>
          <w:rtl/>
        </w:rPr>
        <w:t>פ' מי שאחזו</w:t>
      </w:r>
      <w:r w:rsidRPr="00573889">
        <w:rPr>
          <w:rFonts w:cs="Arial" w:hint="cs"/>
          <w:b/>
          <w:bCs/>
          <w:sz w:val="16"/>
          <w:szCs w:val="16"/>
          <w:rtl/>
        </w:rPr>
        <w:t>)</w:t>
      </w:r>
      <w:r w:rsidRPr="00573889">
        <w:rPr>
          <w:rFonts w:cs="Arial" w:hint="cs"/>
          <w:b/>
          <w:bCs/>
          <w:rtl/>
        </w:rPr>
        <w:t xml:space="preserve"> </w:t>
      </w:r>
      <w:r>
        <w:rPr>
          <w:rFonts w:cs="Arial" w:hint="cs"/>
          <w:b/>
          <w:bCs/>
          <w:rtl/>
        </w:rPr>
        <w:t>עב</w:t>
      </w:r>
      <w:r w:rsidRPr="00573889">
        <w:rPr>
          <w:rFonts w:cs="Arial" w:hint="cs"/>
          <w:b/>
          <w:bCs/>
          <w:rtl/>
        </w:rPr>
        <w:t xml:space="preserve"> ע"</w:t>
      </w:r>
      <w:r>
        <w:rPr>
          <w:rFonts w:cs="Arial" w:hint="cs"/>
          <w:b/>
          <w:bCs/>
          <w:rtl/>
        </w:rPr>
        <w:t>א</w:t>
      </w:r>
      <w:r w:rsidRPr="00573889">
        <w:rPr>
          <w:rFonts w:cs="Arial" w:hint="cs"/>
          <w:b/>
          <w:bCs/>
          <w:rtl/>
        </w:rPr>
        <w:t>:</w:t>
      </w:r>
      <w:r>
        <w:rPr>
          <w:rFonts w:cs="Arial" w:hint="cs"/>
          <w:rtl/>
        </w:rPr>
        <w:t xml:space="preserve"> </w:t>
      </w:r>
      <w:r w:rsidRPr="00871B46">
        <w:rPr>
          <w:rFonts w:cs="Arial"/>
          <w:u w:val="single"/>
          <w:rtl/>
        </w:rPr>
        <w:t>תניא כוותיה דרב אשי</w:t>
      </w:r>
      <w:r w:rsidRPr="00871B46">
        <w:rPr>
          <w:rFonts w:cs="Arial"/>
          <w:rtl/>
        </w:rPr>
        <w:t xml:space="preserve">: כתב סופר לשמה וחתמו עדים לשמה, אף על פי שכתבוהו וחתמוהו ונתנוהו לו ונתנו לה </w:t>
      </w:r>
      <w:r w:rsidR="00A82951">
        <w:rPr>
          <w:rFonts w:cs="Arial"/>
          <w:rtl/>
        </w:rPr>
        <w:t>-</w:t>
      </w:r>
      <w:r w:rsidRPr="00871B46">
        <w:rPr>
          <w:rFonts w:cs="Arial"/>
          <w:rtl/>
        </w:rPr>
        <w:t xml:space="preserve"> הרי הגט בטל, עד שישמעו קולו שיאמר לסופר כתוב ולעדים חתומו</w:t>
      </w:r>
      <w:r>
        <w:rPr>
          <w:rFonts w:cs="Arial" w:hint="cs"/>
          <w:rtl/>
        </w:rPr>
        <w:t>.</w:t>
      </w:r>
      <w:r w:rsidRPr="00871B46">
        <w:rPr>
          <w:rFonts w:cs="Arial"/>
          <w:rtl/>
        </w:rPr>
        <w:t xml:space="preserve"> ישמעו </w:t>
      </w:r>
      <w:r w:rsidR="00A82951">
        <w:rPr>
          <w:rFonts w:cs="Arial"/>
          <w:rtl/>
        </w:rPr>
        <w:t>-</w:t>
      </w:r>
      <w:r w:rsidRPr="00871B46">
        <w:rPr>
          <w:rFonts w:cs="Arial"/>
          <w:rtl/>
        </w:rPr>
        <w:t xml:space="preserve"> לאפוקי ממ"ד: מודה רבי יוסי באומר אמרו</w:t>
      </w:r>
      <w:r>
        <w:rPr>
          <w:rFonts w:cs="Arial" w:hint="cs"/>
          <w:rtl/>
        </w:rPr>
        <w:t>.</w:t>
      </w:r>
      <w:r w:rsidRPr="00871B46">
        <w:rPr>
          <w:rFonts w:cs="Arial"/>
          <w:rtl/>
        </w:rPr>
        <w:t xml:space="preserve"> קולו </w:t>
      </w:r>
      <w:r w:rsidR="00A82951">
        <w:rPr>
          <w:rFonts w:cs="Arial"/>
          <w:rtl/>
        </w:rPr>
        <w:t>-</w:t>
      </w:r>
      <w:r w:rsidRPr="00871B46">
        <w:rPr>
          <w:rFonts w:cs="Arial"/>
          <w:rtl/>
        </w:rPr>
        <w:t xml:space="preserve"> לאפוקי מדרב כהנא אמר רב</w:t>
      </w:r>
      <w:r>
        <w:rPr>
          <w:rStyle w:val="a7"/>
          <w:rFonts w:cs="Arial"/>
          <w:rtl/>
        </w:rPr>
        <w:footnoteReference w:id="170"/>
      </w:r>
      <w:r w:rsidRPr="00871B46">
        <w:rPr>
          <w:rFonts w:cs="Arial"/>
          <w:rtl/>
        </w:rPr>
        <w:t>.</w:t>
      </w:r>
      <w:r w:rsidR="00834E53" w:rsidRPr="00834E53">
        <w:rPr>
          <w:rFonts w:cs="Arial"/>
          <w:sz w:val="16"/>
          <w:szCs w:val="16"/>
          <w:rtl/>
        </w:rPr>
        <w:t xml:space="preserve"> </w:t>
      </w:r>
      <w:r w:rsidR="00834E53">
        <w:rPr>
          <w:rFonts w:cs="Arial" w:hint="cs"/>
          <w:sz w:val="16"/>
          <w:szCs w:val="16"/>
          <w:rtl/>
        </w:rPr>
        <w:t>(</w:t>
      </w:r>
      <w:r w:rsidR="00834E53" w:rsidRPr="00834E53">
        <w:rPr>
          <w:rFonts w:cs="Arial"/>
          <w:sz w:val="16"/>
          <w:szCs w:val="16"/>
          <w:rtl/>
        </w:rPr>
        <w:t>וכתבוה הרי"ף (לג.) והרא"ש בס</w:t>
      </w:r>
      <w:r w:rsidR="00B50DDC">
        <w:rPr>
          <w:rFonts w:cs="Arial" w:hint="cs"/>
          <w:sz w:val="16"/>
          <w:szCs w:val="16"/>
          <w:rtl/>
        </w:rPr>
        <w:t>"</w:t>
      </w:r>
      <w:r w:rsidR="00834E53" w:rsidRPr="00834E53">
        <w:rPr>
          <w:rFonts w:cs="Arial"/>
          <w:sz w:val="16"/>
          <w:szCs w:val="16"/>
          <w:rtl/>
        </w:rPr>
        <w:t>פ התקבל (סי' יט). ולפום סוגיין דשמעתין הוה משמע להכשיר בפיקח שכתב בכתב ידו שיכתבו גט לאשתו</w:t>
      </w:r>
      <w:r w:rsidR="00834E53" w:rsidRPr="00834E53">
        <w:rPr>
          <w:rFonts w:cs="Arial" w:hint="cs"/>
          <w:sz w:val="16"/>
          <w:szCs w:val="16"/>
          <w:rtl/>
        </w:rPr>
        <w:t>,</w:t>
      </w:r>
      <w:r w:rsidR="00834E53" w:rsidRPr="00834E53">
        <w:rPr>
          <w:rFonts w:cs="Arial"/>
          <w:sz w:val="16"/>
          <w:szCs w:val="16"/>
          <w:rtl/>
        </w:rPr>
        <w:t xml:space="preserve"> דהא לא ממעטינן אלא חרש</w:t>
      </w:r>
      <w:r w:rsidR="00834E53" w:rsidRPr="00834E53">
        <w:rPr>
          <w:rFonts w:cs="Arial" w:hint="cs"/>
          <w:sz w:val="16"/>
          <w:szCs w:val="16"/>
          <w:rtl/>
        </w:rPr>
        <w:t>,</w:t>
      </w:r>
      <w:r w:rsidR="00834E53" w:rsidRPr="00834E53">
        <w:rPr>
          <w:rFonts w:cs="Arial"/>
          <w:sz w:val="16"/>
          <w:szCs w:val="16"/>
          <w:rtl/>
        </w:rPr>
        <w:t xml:space="preserve"> ולא ממעט כתב ידו מדתני קולו</w:t>
      </w:r>
      <w:r w:rsidR="00834E53" w:rsidRPr="00834E53">
        <w:rPr>
          <w:rFonts w:cs="Arial" w:hint="cs"/>
          <w:sz w:val="16"/>
          <w:szCs w:val="16"/>
          <w:rtl/>
        </w:rPr>
        <w:t>,</w:t>
      </w:r>
      <w:r w:rsidR="00834E53" w:rsidRPr="00834E53">
        <w:rPr>
          <w:rFonts w:cs="Arial"/>
          <w:sz w:val="16"/>
          <w:szCs w:val="16"/>
          <w:rtl/>
        </w:rPr>
        <w:t xml:space="preserve"> כי היכי דלא ממעיט הרכנת ראשו דנשתתק</w:t>
      </w:r>
      <w:r w:rsidR="00834E53" w:rsidRPr="00834E53">
        <w:rPr>
          <w:rFonts w:cs="Arial" w:hint="cs"/>
          <w:sz w:val="16"/>
          <w:szCs w:val="16"/>
          <w:rtl/>
        </w:rPr>
        <w:t>.</w:t>
      </w:r>
      <w:r w:rsidR="00834E53" w:rsidRPr="00834E53">
        <w:rPr>
          <w:rFonts w:cs="Arial"/>
          <w:sz w:val="16"/>
          <w:szCs w:val="16"/>
          <w:rtl/>
        </w:rPr>
        <w:t xml:space="preserve"> דלא ממעטא ברייתא אלא דוקא חרש שכתב</w:t>
      </w:r>
      <w:r w:rsidR="00834E53" w:rsidRPr="00834E53">
        <w:rPr>
          <w:rFonts w:cs="Arial" w:hint="cs"/>
          <w:sz w:val="16"/>
          <w:szCs w:val="16"/>
          <w:rtl/>
        </w:rPr>
        <w:t>.</w:t>
      </w:r>
      <w:r w:rsidR="00834E53" w:rsidRPr="00834E53">
        <w:rPr>
          <w:rFonts w:cs="Arial"/>
          <w:sz w:val="16"/>
          <w:szCs w:val="16"/>
          <w:rtl/>
        </w:rPr>
        <w:t xml:space="preserve"> ואפילו במדבר ואינו שומע או שומע ואינו מדבר יש לדון ולהכשיר על ידי כתב ידם מדאיתא בפרק מי שאחזו (עא.) אהא דאמר רב כהנא חרש שיכול לדבר מתוך הכתב כותבין ונותנין גט לאשתו אמר רב יוסף מאי קא משמע לן תנינא נשתתק ואמרו לו נכתוב גט לאשתך והרכין בראשו בודקין אותו שלשה פעמים וכו' אמר ליה רבי זירא אלם קאמרת שאני אלם דתנינא מדבר ואינו שומע זה הוא חרש שומע ואינו מדבר זה הוא אלם וזה וזה כפיקחין לכל דבריהם</w:t>
      </w:r>
      <w:r w:rsidR="00257D72">
        <w:rPr>
          <w:rFonts w:cs="Arial" w:hint="cs"/>
          <w:sz w:val="16"/>
          <w:szCs w:val="16"/>
          <w:rtl/>
        </w:rPr>
        <w:t>.</w:t>
      </w:r>
      <w:r w:rsidR="00834E53" w:rsidRPr="00834E53">
        <w:rPr>
          <w:rFonts w:cs="Arial"/>
          <w:sz w:val="16"/>
          <w:szCs w:val="16"/>
          <w:rtl/>
        </w:rPr>
        <w:t xml:space="preserve"> ופירש רש"י (ד"ה חרש המדבר) אבל חרש דרב כהנא אינו שומע ואינו מדבר</w:t>
      </w:r>
      <w:r w:rsidR="00834E53" w:rsidRPr="00834E53">
        <w:rPr>
          <w:rFonts w:cs="Arial" w:hint="cs"/>
          <w:sz w:val="16"/>
          <w:szCs w:val="16"/>
          <w:rtl/>
        </w:rPr>
        <w:t xml:space="preserve">. </w:t>
      </w:r>
      <w:r w:rsidR="00834E53" w:rsidRPr="00834E53">
        <w:rPr>
          <w:rFonts w:cs="Arial"/>
          <w:sz w:val="16"/>
          <w:szCs w:val="16"/>
          <w:rtl/>
        </w:rPr>
        <w:t>ואפשר שזה היה דעתו של הרמב"ם שכתב בפרק שני (הט"ז</w:t>
      </w:r>
      <w:r w:rsidR="00D448B3">
        <w:rPr>
          <w:rFonts w:cs="Arial" w:hint="cs"/>
          <w:sz w:val="16"/>
          <w:szCs w:val="16"/>
          <w:rtl/>
        </w:rPr>
        <w:t>-</w:t>
      </w:r>
      <w:r w:rsidR="00834E53" w:rsidRPr="00834E53">
        <w:rPr>
          <w:rFonts w:cs="Arial"/>
          <w:sz w:val="16"/>
          <w:szCs w:val="16"/>
          <w:rtl/>
        </w:rPr>
        <w:t xml:space="preserve">יז) מי שנשתתק והרי דעתו נכונה ואמרו לו נכתוב גט לאשתך והרכין בראשו וכו' </w:t>
      </w:r>
      <w:r w:rsidR="00D448B3">
        <w:rPr>
          <w:rFonts w:cs="Arial" w:hint="cs"/>
          <w:sz w:val="16"/>
          <w:szCs w:val="16"/>
          <w:rtl/>
        </w:rPr>
        <w:t xml:space="preserve">- </w:t>
      </w:r>
      <w:r w:rsidR="00834E53" w:rsidRPr="00834E53">
        <w:rPr>
          <w:rFonts w:cs="Arial"/>
          <w:sz w:val="16"/>
          <w:szCs w:val="16"/>
          <w:rtl/>
        </w:rPr>
        <w:t>הרי אלו יכתבו ויתנו</w:t>
      </w:r>
      <w:r w:rsidR="00D448B3">
        <w:rPr>
          <w:rFonts w:cs="Arial" w:hint="cs"/>
          <w:sz w:val="16"/>
          <w:szCs w:val="16"/>
          <w:rtl/>
        </w:rPr>
        <w:t>.</w:t>
      </w:r>
      <w:r w:rsidR="00834E53" w:rsidRPr="00834E53">
        <w:rPr>
          <w:rFonts w:cs="Arial"/>
          <w:sz w:val="16"/>
          <w:szCs w:val="16"/>
          <w:rtl/>
        </w:rPr>
        <w:t xml:space="preserve"> וכן אם כתב בכתב ידו כתבו ותנו גט לאשתי </w:t>
      </w:r>
      <w:r w:rsidR="00D448B3">
        <w:rPr>
          <w:rFonts w:cs="Arial" w:hint="cs"/>
          <w:sz w:val="16"/>
          <w:szCs w:val="16"/>
          <w:rtl/>
        </w:rPr>
        <w:t xml:space="preserve">- </w:t>
      </w:r>
      <w:r w:rsidR="00834E53" w:rsidRPr="00834E53">
        <w:rPr>
          <w:rFonts w:cs="Arial"/>
          <w:sz w:val="16"/>
          <w:szCs w:val="16"/>
          <w:rtl/>
        </w:rPr>
        <w:t>הרי אלו כותבין ונותנין לה אם היתה דעתו מיושבת עליו</w:t>
      </w:r>
      <w:r w:rsidR="00D448B3">
        <w:rPr>
          <w:rFonts w:cs="Arial" w:hint="cs"/>
          <w:sz w:val="16"/>
          <w:szCs w:val="16"/>
          <w:rtl/>
        </w:rPr>
        <w:t>,</w:t>
      </w:r>
      <w:r w:rsidR="00834E53" w:rsidRPr="00834E53">
        <w:rPr>
          <w:rFonts w:cs="Arial"/>
          <w:sz w:val="16"/>
          <w:szCs w:val="16"/>
          <w:rtl/>
        </w:rPr>
        <w:t xml:space="preserve"> שאין דין מי שנשתתק כדין החרש. מי שנשא כשהוא פקח ונתחרש ואין צריך לומר נשתטה</w:t>
      </w:r>
      <w:r w:rsidR="00E57155">
        <w:rPr>
          <w:rFonts w:cs="Arial" w:hint="cs"/>
          <w:sz w:val="16"/>
          <w:szCs w:val="16"/>
          <w:rtl/>
        </w:rPr>
        <w:t xml:space="preserve"> -</w:t>
      </w:r>
      <w:r w:rsidR="00834E53" w:rsidRPr="00834E53">
        <w:rPr>
          <w:rFonts w:cs="Arial"/>
          <w:sz w:val="16"/>
          <w:szCs w:val="16"/>
          <w:rtl/>
        </w:rPr>
        <w:t xml:space="preserve"> אינו מוציא לעולם עד שיבריא</w:t>
      </w:r>
      <w:r w:rsidR="00E57155">
        <w:rPr>
          <w:rFonts w:cs="Arial" w:hint="cs"/>
          <w:sz w:val="16"/>
          <w:szCs w:val="16"/>
          <w:rtl/>
        </w:rPr>
        <w:t>,</w:t>
      </w:r>
      <w:r w:rsidR="00834E53" w:rsidRPr="00834E53">
        <w:rPr>
          <w:rFonts w:cs="Arial"/>
          <w:sz w:val="16"/>
          <w:szCs w:val="16"/>
          <w:rtl/>
        </w:rPr>
        <w:t xml:space="preserve"> ואין סומכין על רמיזת החרש ולא על כתבו אע</w:t>
      </w:r>
      <w:r w:rsidR="00E57155">
        <w:rPr>
          <w:rFonts w:cs="Arial" w:hint="cs"/>
          <w:sz w:val="16"/>
          <w:szCs w:val="16"/>
          <w:rtl/>
        </w:rPr>
        <w:t>"</w:t>
      </w:r>
      <w:r w:rsidR="00834E53" w:rsidRPr="00834E53">
        <w:rPr>
          <w:rFonts w:cs="Arial"/>
          <w:sz w:val="16"/>
          <w:szCs w:val="16"/>
          <w:rtl/>
        </w:rPr>
        <w:t>פ שדעתו נכונה ומיושבת עכ"ל. ומשמעות פשט דבריו דדוקא בחרש שאינו שומע ואינו מדבר הוא דאין סומכין על רמיזותיו ועל כתבו משום דחשבינן ליה כשוטה</w:t>
      </w:r>
      <w:r w:rsidR="00E57155">
        <w:rPr>
          <w:rFonts w:cs="Arial" w:hint="cs"/>
          <w:sz w:val="16"/>
          <w:szCs w:val="16"/>
          <w:rtl/>
        </w:rPr>
        <w:t>,</w:t>
      </w:r>
      <w:r w:rsidR="00834E53" w:rsidRPr="00834E53">
        <w:rPr>
          <w:rFonts w:cs="Arial"/>
          <w:sz w:val="16"/>
          <w:szCs w:val="16"/>
          <w:rtl/>
        </w:rPr>
        <w:t xml:space="preserve"> אבל מי שנשתתק דהיינו שומע ואינו מדבר כפיקח הוא לכל דבריו וסומכין על רמיזותיו ועל כתב ידו</w:t>
      </w:r>
      <w:r w:rsidR="00CB0F90">
        <w:rPr>
          <w:rFonts w:cs="Arial" w:hint="cs"/>
          <w:sz w:val="16"/>
          <w:szCs w:val="16"/>
          <w:rtl/>
        </w:rPr>
        <w:t>.</w:t>
      </w:r>
      <w:r w:rsidR="00834E53" w:rsidRPr="00834E53">
        <w:rPr>
          <w:rFonts w:cs="Arial"/>
          <w:sz w:val="16"/>
          <w:szCs w:val="16"/>
          <w:rtl/>
        </w:rPr>
        <w:t xml:space="preserve"> והיינו כדשני רבי זירא אלם קאמרת שאני אלם</w:t>
      </w:r>
      <w:r w:rsidR="00FD1EE9">
        <w:rPr>
          <w:rFonts w:cs="Arial" w:hint="cs"/>
          <w:sz w:val="16"/>
          <w:szCs w:val="16"/>
          <w:rtl/>
        </w:rPr>
        <w:t>, ב"י</w:t>
      </w:r>
      <w:r w:rsidR="00834E53">
        <w:rPr>
          <w:rFonts w:cs="Arial" w:hint="cs"/>
          <w:sz w:val="16"/>
          <w:szCs w:val="16"/>
          <w:rtl/>
        </w:rPr>
        <w:t>)</w:t>
      </w:r>
    </w:p>
    <w:p w14:paraId="1BF75920" w14:textId="4A388F96" w:rsidR="00834E53" w:rsidRPr="00834E53" w:rsidRDefault="00834E53" w:rsidP="00834E53">
      <w:pPr>
        <w:rPr>
          <w:u w:val="single"/>
        </w:rPr>
      </w:pPr>
      <w:r w:rsidRPr="00834E53">
        <w:rPr>
          <w:rFonts w:hint="cs"/>
          <w:u w:val="single"/>
          <w:rtl/>
        </w:rPr>
        <w:t>השומע ואינו מדבר:</w:t>
      </w:r>
    </w:p>
    <w:p w14:paraId="6E5F79AD" w14:textId="36E51176" w:rsidR="00834E53" w:rsidRDefault="005F5DFB" w:rsidP="00A65C5F">
      <w:pPr>
        <w:pStyle w:val="ab"/>
        <w:numPr>
          <w:ilvl w:val="0"/>
          <w:numId w:val="24"/>
        </w:numPr>
        <w:rPr>
          <w:rFonts w:cs="Arial"/>
        </w:rPr>
      </w:pPr>
      <w:r>
        <w:rPr>
          <w:rFonts w:cs="Arial" w:hint="cs"/>
          <w:rtl/>
        </w:rPr>
        <w:t xml:space="preserve">רמב"ם </w:t>
      </w:r>
      <w:r>
        <w:rPr>
          <w:rFonts w:cs="Arial" w:hint="cs"/>
          <w:sz w:val="16"/>
          <w:szCs w:val="16"/>
          <w:rtl/>
        </w:rPr>
        <w:t>(פ"ב מגירושין הט"ז)</w:t>
      </w:r>
      <w:r w:rsidR="00A82951">
        <w:rPr>
          <w:rFonts w:cs="Arial" w:hint="cs"/>
          <w:rtl/>
        </w:rPr>
        <w:t>-</w:t>
      </w:r>
      <w:r>
        <w:rPr>
          <w:rFonts w:cs="Arial" w:hint="cs"/>
          <w:rtl/>
        </w:rPr>
        <w:t xml:space="preserve"> </w:t>
      </w:r>
      <w:r w:rsidRPr="005F5DFB">
        <w:rPr>
          <w:rFonts w:cs="Arial"/>
          <w:rtl/>
        </w:rPr>
        <w:t>מי שנשתתק והרי דעתו נכונה</w:t>
      </w:r>
      <w:r w:rsidR="00772581">
        <w:rPr>
          <w:rFonts w:cs="Arial" w:hint="cs"/>
          <w:rtl/>
        </w:rPr>
        <w:t>,</w:t>
      </w:r>
      <w:r w:rsidRPr="005F5DFB">
        <w:rPr>
          <w:rFonts w:cs="Arial"/>
          <w:rtl/>
        </w:rPr>
        <w:t xml:space="preserve"> ואמרו לו נכתוב גט לאשתך</w:t>
      </w:r>
      <w:r w:rsidR="00772581">
        <w:rPr>
          <w:rFonts w:cs="Arial" w:hint="cs"/>
          <w:rtl/>
        </w:rPr>
        <w:t>,</w:t>
      </w:r>
      <w:r w:rsidRPr="005F5DFB">
        <w:rPr>
          <w:rFonts w:cs="Arial"/>
          <w:rtl/>
        </w:rPr>
        <w:t xml:space="preserve"> והרכין בראשו</w:t>
      </w:r>
      <w:r w:rsidR="00834E53">
        <w:rPr>
          <w:rFonts w:cs="Arial" w:hint="cs"/>
          <w:rtl/>
        </w:rPr>
        <w:t>,</w:t>
      </w:r>
      <w:r w:rsidRPr="005F5DFB">
        <w:rPr>
          <w:rFonts w:cs="Arial"/>
          <w:rtl/>
        </w:rPr>
        <w:t xml:space="preserve"> בודקין אותו שלשה פעמים בסירוגין</w:t>
      </w:r>
      <w:r w:rsidR="00834E53">
        <w:rPr>
          <w:rFonts w:cs="Arial" w:hint="cs"/>
          <w:rtl/>
        </w:rPr>
        <w:t>,</w:t>
      </w:r>
      <w:r w:rsidRPr="005F5DFB">
        <w:rPr>
          <w:rFonts w:cs="Arial"/>
          <w:rtl/>
        </w:rPr>
        <w:t xml:space="preserve"> אם אמר על לאו לאו ועל הין הין </w:t>
      </w:r>
      <w:r w:rsidR="00A82951">
        <w:rPr>
          <w:rFonts w:cs="Arial" w:hint="cs"/>
          <w:rtl/>
        </w:rPr>
        <w:t>-</w:t>
      </w:r>
      <w:r w:rsidR="00834E53">
        <w:rPr>
          <w:rFonts w:cs="Arial" w:hint="cs"/>
          <w:rtl/>
        </w:rPr>
        <w:t xml:space="preserve"> </w:t>
      </w:r>
      <w:r w:rsidRPr="005F5DFB">
        <w:rPr>
          <w:rFonts w:cs="Arial"/>
          <w:rtl/>
        </w:rPr>
        <w:t>הרי אלו יכתבו ויתנו, וצריכין לבדקו יפה יפה שמא נטרפה דעתו</w:t>
      </w:r>
      <w:r w:rsidR="00834E53">
        <w:rPr>
          <w:rFonts w:cs="Arial" w:hint="cs"/>
          <w:rtl/>
        </w:rPr>
        <w:t>.</w:t>
      </w:r>
      <w:r w:rsidRPr="005F5DFB">
        <w:rPr>
          <w:rFonts w:cs="Arial"/>
          <w:rtl/>
        </w:rPr>
        <w:t xml:space="preserve"> </w:t>
      </w:r>
      <w:r w:rsidR="000922FE" w:rsidRPr="000922FE">
        <w:rPr>
          <w:rFonts w:cs="Arial" w:hint="cs"/>
          <w:color w:val="E36C0A" w:themeColor="accent6" w:themeShade="BF"/>
          <w:rtl/>
        </w:rPr>
        <w:t xml:space="preserve">(וכ"פ בשו"ע </w:t>
      </w:r>
      <w:r w:rsidR="000922FE">
        <w:rPr>
          <w:rFonts w:cs="Arial" w:hint="cs"/>
          <w:sz w:val="16"/>
          <w:szCs w:val="16"/>
          <w:rtl/>
        </w:rPr>
        <w:t>[בסי' קכא ס"ה]</w:t>
      </w:r>
      <w:r w:rsidR="000922FE" w:rsidRPr="000922FE">
        <w:rPr>
          <w:rFonts w:cs="Arial" w:hint="cs"/>
          <w:color w:val="E36C0A" w:themeColor="accent6" w:themeShade="BF"/>
          <w:rtl/>
        </w:rPr>
        <w:t>)</w:t>
      </w:r>
    </w:p>
    <w:p w14:paraId="1D2BA845" w14:textId="1EF014E3" w:rsidR="00834E53" w:rsidRPr="00834E53" w:rsidRDefault="00834E53" w:rsidP="00834E53">
      <w:pPr>
        <w:ind w:left="360"/>
        <w:rPr>
          <w:rFonts w:cs="Arial"/>
          <w:u w:val="dotted"/>
        </w:rPr>
      </w:pPr>
      <w:r w:rsidRPr="00834E53">
        <w:rPr>
          <w:rFonts w:cs="Arial" w:hint="cs"/>
          <w:u w:val="dotted"/>
          <w:rtl/>
        </w:rPr>
        <w:t>ומה הדין אם כתב בכתב ידו:</w:t>
      </w:r>
    </w:p>
    <w:p w14:paraId="1146B953" w14:textId="616A6EF2" w:rsidR="003E463B" w:rsidRDefault="00834E53" w:rsidP="00A65C5F">
      <w:pPr>
        <w:pStyle w:val="ab"/>
        <w:numPr>
          <w:ilvl w:val="0"/>
          <w:numId w:val="24"/>
        </w:numPr>
        <w:rPr>
          <w:rFonts w:cs="Arial"/>
        </w:rPr>
      </w:pPr>
      <w:r>
        <w:rPr>
          <w:rFonts w:cs="Arial" w:hint="cs"/>
          <w:rtl/>
        </w:rPr>
        <w:t xml:space="preserve">רמב"ם </w:t>
      </w:r>
      <w:r>
        <w:rPr>
          <w:rFonts w:cs="Arial" w:hint="cs"/>
          <w:sz w:val="16"/>
          <w:szCs w:val="16"/>
          <w:rtl/>
        </w:rPr>
        <w:t>(פ"ב מגירושין הט"ז)</w:t>
      </w:r>
      <w:r w:rsidR="00E84BD6">
        <w:rPr>
          <w:rFonts w:cs="Arial" w:hint="cs"/>
          <w:rtl/>
        </w:rPr>
        <w:t xml:space="preserve"> בהעי"ט</w:t>
      </w:r>
      <w:r w:rsidR="00E84BD6">
        <w:rPr>
          <w:rStyle w:val="a7"/>
          <w:rFonts w:cs="Arial"/>
          <w:rtl/>
        </w:rPr>
        <w:footnoteReference w:id="171"/>
      </w:r>
      <w:r w:rsidR="00E84BD6">
        <w:rPr>
          <w:rFonts w:cs="Arial" w:hint="cs"/>
          <w:sz w:val="16"/>
          <w:szCs w:val="16"/>
          <w:rtl/>
        </w:rPr>
        <w:t xml:space="preserve"> </w:t>
      </w:r>
      <w:r w:rsidR="00E84BD6" w:rsidRPr="00E84BD6">
        <w:rPr>
          <w:rFonts w:cs="Arial"/>
          <w:sz w:val="16"/>
          <w:szCs w:val="16"/>
          <w:rtl/>
        </w:rPr>
        <w:t>(ח"א מאמר ז כח ע"ד)</w:t>
      </w:r>
      <w:r w:rsidR="00556A26">
        <w:rPr>
          <w:rFonts w:cs="Arial" w:hint="cs"/>
          <w:rtl/>
        </w:rPr>
        <w:t xml:space="preserve"> ורי"ו </w:t>
      </w:r>
      <w:r w:rsidR="00556A26" w:rsidRPr="00556A26">
        <w:rPr>
          <w:rFonts w:cs="Arial" w:hint="cs"/>
          <w:sz w:val="16"/>
          <w:szCs w:val="16"/>
          <w:rtl/>
        </w:rPr>
        <w:t>(</w:t>
      </w:r>
      <w:r w:rsidR="00556A26" w:rsidRPr="00556A26">
        <w:rPr>
          <w:rFonts w:cs="Arial"/>
          <w:sz w:val="16"/>
          <w:szCs w:val="16"/>
          <w:rtl/>
        </w:rPr>
        <w:t>ח</w:t>
      </w:r>
      <w:r w:rsidR="00556A26" w:rsidRPr="00556A26">
        <w:rPr>
          <w:rFonts w:cs="Arial" w:hint="cs"/>
          <w:sz w:val="16"/>
          <w:szCs w:val="16"/>
          <w:rtl/>
        </w:rPr>
        <w:t>"</w:t>
      </w:r>
      <w:r w:rsidR="00556A26" w:rsidRPr="00556A26">
        <w:rPr>
          <w:rFonts w:cs="Arial"/>
          <w:sz w:val="16"/>
          <w:szCs w:val="16"/>
          <w:rtl/>
        </w:rPr>
        <w:t>ג נכ"ד רט ע"א)</w:t>
      </w:r>
      <w:r w:rsidR="00A82951">
        <w:rPr>
          <w:rFonts w:cs="Arial" w:hint="cs"/>
          <w:rtl/>
        </w:rPr>
        <w:t>-</w:t>
      </w:r>
      <w:r>
        <w:rPr>
          <w:rFonts w:cs="Arial" w:hint="cs"/>
          <w:rtl/>
        </w:rPr>
        <w:t xml:space="preserve"> </w:t>
      </w:r>
      <w:r w:rsidR="005F5DFB" w:rsidRPr="005F5DFB">
        <w:rPr>
          <w:rFonts w:cs="Arial"/>
          <w:rtl/>
        </w:rPr>
        <w:t xml:space="preserve">וכן אם כתב בידו כתבו ותנו גט לאשתי </w:t>
      </w:r>
      <w:r w:rsidR="00003AA3">
        <w:rPr>
          <w:rFonts w:cs="Arial" w:hint="cs"/>
          <w:rtl/>
        </w:rPr>
        <w:t xml:space="preserve">- </w:t>
      </w:r>
      <w:r w:rsidR="005F5DFB" w:rsidRPr="005F5DFB">
        <w:rPr>
          <w:rFonts w:cs="Arial"/>
          <w:rtl/>
        </w:rPr>
        <w:t>הרי אלו כותבין ונותנין לה אם היתה דעתו מיושבת עליו, שאין דין מי שנשתתק כדין החרש</w:t>
      </w:r>
      <w:r w:rsidR="00E84BD6">
        <w:rPr>
          <w:rFonts w:cs="Arial" w:hint="cs"/>
          <w:sz w:val="16"/>
          <w:szCs w:val="16"/>
          <w:rtl/>
        </w:rPr>
        <w:t xml:space="preserve"> (ל' הרמב"ם)</w:t>
      </w:r>
      <w:r w:rsidR="005F5DFB" w:rsidRPr="005F5DFB">
        <w:rPr>
          <w:rFonts w:cs="Arial"/>
          <w:rtl/>
        </w:rPr>
        <w:t>.</w:t>
      </w:r>
    </w:p>
    <w:p w14:paraId="7329470F" w14:textId="6919F005" w:rsidR="00772581" w:rsidRPr="00772581" w:rsidRDefault="00520688" w:rsidP="00A65C5F">
      <w:pPr>
        <w:pStyle w:val="ab"/>
        <w:numPr>
          <w:ilvl w:val="0"/>
          <w:numId w:val="24"/>
        </w:numPr>
        <w:rPr>
          <w:rtl/>
        </w:rPr>
      </w:pPr>
      <w:r>
        <w:rPr>
          <w:rFonts w:cs="Arial" w:hint="cs"/>
          <w:rtl/>
        </w:rPr>
        <w:t>תרומה סמ"ג רשב"א מרדכי רא"ש הגה"מ סמ"ק טור ור"ן</w:t>
      </w:r>
      <w:r>
        <w:rPr>
          <w:rStyle w:val="a7"/>
          <w:rFonts w:cs="Arial"/>
          <w:rtl/>
        </w:rPr>
        <w:footnoteReference w:id="172"/>
      </w:r>
      <w:r w:rsidR="00A82951">
        <w:rPr>
          <w:rFonts w:cs="Arial" w:hint="cs"/>
          <w:rtl/>
        </w:rPr>
        <w:t>-</w:t>
      </w:r>
      <w:r w:rsidR="00772581">
        <w:rPr>
          <w:rFonts w:cs="Arial" w:hint="cs"/>
          <w:rtl/>
        </w:rPr>
        <w:t xml:space="preserve"> </w:t>
      </w:r>
      <w:r w:rsidR="00772581" w:rsidRPr="00201037">
        <w:rPr>
          <w:rFonts w:cs="Arial"/>
          <w:rtl/>
        </w:rPr>
        <w:t>ואף אם הוא חרש</w:t>
      </w:r>
      <w:r w:rsidR="00772581">
        <w:rPr>
          <w:rFonts w:cs="Arial" w:hint="cs"/>
          <w:rtl/>
        </w:rPr>
        <w:t>,</w:t>
      </w:r>
      <w:r w:rsidR="00772581" w:rsidRPr="00201037">
        <w:rPr>
          <w:rFonts w:cs="Arial"/>
          <w:rtl/>
        </w:rPr>
        <w:t xml:space="preserve"> אפי</w:t>
      </w:r>
      <w:r w:rsidR="00772581">
        <w:rPr>
          <w:rFonts w:cs="Arial" w:hint="cs"/>
          <w:rtl/>
        </w:rPr>
        <w:t>לו</w:t>
      </w:r>
      <w:r w:rsidR="00772581" w:rsidRPr="00201037">
        <w:rPr>
          <w:rFonts w:cs="Arial"/>
          <w:rtl/>
        </w:rPr>
        <w:t xml:space="preserve"> הוא שומע אלא שאינו מדבר</w:t>
      </w:r>
      <w:r w:rsidR="00772581">
        <w:rPr>
          <w:rFonts w:cs="Arial" w:hint="cs"/>
          <w:rtl/>
        </w:rPr>
        <w:t>,</w:t>
      </w:r>
      <w:r w:rsidR="00772581" w:rsidRPr="00201037">
        <w:rPr>
          <w:rFonts w:cs="Arial"/>
          <w:rtl/>
        </w:rPr>
        <w:t xml:space="preserve"> או אפי</w:t>
      </w:r>
      <w:r w:rsidR="00772581">
        <w:rPr>
          <w:rFonts w:cs="Arial" w:hint="cs"/>
          <w:rtl/>
        </w:rPr>
        <w:t>לו</w:t>
      </w:r>
      <w:r w:rsidR="00772581" w:rsidRPr="00201037">
        <w:rPr>
          <w:rFonts w:cs="Arial"/>
          <w:rtl/>
        </w:rPr>
        <w:t xml:space="preserve"> פיקח</w:t>
      </w:r>
      <w:r w:rsidR="00772581">
        <w:rPr>
          <w:rFonts w:cs="Arial" w:hint="cs"/>
          <w:rtl/>
        </w:rPr>
        <w:t>,</w:t>
      </w:r>
      <w:r w:rsidR="00772581" w:rsidRPr="00201037">
        <w:rPr>
          <w:rFonts w:cs="Arial"/>
          <w:rtl/>
        </w:rPr>
        <w:t xml:space="preserve"> וכתב להם בכתב ידו שיכתבו ויחתמו </w:t>
      </w:r>
      <w:r w:rsidR="00A82951">
        <w:rPr>
          <w:rFonts w:cs="Arial" w:hint="cs"/>
          <w:rtl/>
        </w:rPr>
        <w:t>-</w:t>
      </w:r>
      <w:r w:rsidR="00772581">
        <w:rPr>
          <w:rFonts w:cs="Arial" w:hint="cs"/>
          <w:rtl/>
        </w:rPr>
        <w:t xml:space="preserve"> </w:t>
      </w:r>
      <w:r w:rsidR="00772581" w:rsidRPr="00201037">
        <w:rPr>
          <w:rFonts w:cs="Arial"/>
          <w:rtl/>
        </w:rPr>
        <w:t>לא יעשו עד שישמעו מפיו</w:t>
      </w:r>
      <w:r w:rsidR="00772581">
        <w:rPr>
          <w:rFonts w:cs="Arial" w:hint="cs"/>
          <w:sz w:val="16"/>
          <w:szCs w:val="16"/>
          <w:rtl/>
        </w:rPr>
        <w:t xml:space="preserve"> (ל' הטור)</w:t>
      </w:r>
      <w:r w:rsidR="00772581">
        <w:rPr>
          <w:rFonts w:cs="Arial" w:hint="cs"/>
          <w:rtl/>
        </w:rPr>
        <w:t>.</w:t>
      </w:r>
      <w:r w:rsidR="00772581" w:rsidRPr="00201037">
        <w:rPr>
          <w:rFonts w:cs="Arial"/>
          <w:rtl/>
        </w:rPr>
        <w:t xml:space="preserve"> </w:t>
      </w:r>
      <w:r w:rsidR="00B734B9" w:rsidRPr="000922FE">
        <w:rPr>
          <w:rFonts w:cs="Arial" w:hint="cs"/>
          <w:color w:val="E36C0A" w:themeColor="accent6" w:themeShade="BF"/>
          <w:rtl/>
        </w:rPr>
        <w:t>(וכ"</w:t>
      </w:r>
      <w:r w:rsidR="00B734B9">
        <w:rPr>
          <w:rFonts w:cs="Arial" w:hint="cs"/>
          <w:color w:val="E36C0A" w:themeColor="accent6" w:themeShade="BF"/>
          <w:rtl/>
        </w:rPr>
        <w:t>ס</w:t>
      </w:r>
      <w:r w:rsidR="00B734B9" w:rsidRPr="000922FE">
        <w:rPr>
          <w:rFonts w:cs="Arial" w:hint="cs"/>
          <w:color w:val="E36C0A" w:themeColor="accent6" w:themeShade="BF"/>
          <w:rtl/>
        </w:rPr>
        <w:t xml:space="preserve"> בשו"ע)</w:t>
      </w:r>
    </w:p>
    <w:p w14:paraId="4802A62D" w14:textId="74DC745E" w:rsidR="00C77458" w:rsidRPr="00C77458" w:rsidRDefault="00772581" w:rsidP="00C77458">
      <w:pPr>
        <w:ind w:left="360"/>
        <w:rPr>
          <w:rFonts w:cs="Arial"/>
          <w:u w:val="dotted"/>
        </w:rPr>
      </w:pPr>
      <w:r>
        <w:rPr>
          <w:rFonts w:cs="Arial" w:hint="cs"/>
          <w:u w:val="dotted"/>
          <w:rtl/>
        </w:rPr>
        <w:t xml:space="preserve">לרמב"ם וסיעתו </w:t>
      </w:r>
      <w:r w:rsidR="00A82951">
        <w:rPr>
          <w:rFonts w:cs="Arial" w:hint="cs"/>
          <w:u w:val="dotted"/>
          <w:rtl/>
        </w:rPr>
        <w:t>-</w:t>
      </w:r>
      <w:r>
        <w:rPr>
          <w:rFonts w:cs="Arial" w:hint="cs"/>
          <w:u w:val="dotted"/>
          <w:rtl/>
        </w:rPr>
        <w:t xml:space="preserve"> </w:t>
      </w:r>
      <w:r w:rsidR="00C77458" w:rsidRPr="00C77458">
        <w:rPr>
          <w:rFonts w:cs="Arial" w:hint="cs"/>
          <w:u w:val="dotted"/>
          <w:rtl/>
        </w:rPr>
        <w:t xml:space="preserve">האם צריך בדיקה ג' פעמים </w:t>
      </w:r>
      <w:r w:rsidR="00C77458">
        <w:rPr>
          <w:rFonts w:cs="Arial" w:hint="cs"/>
          <w:u w:val="dotted"/>
          <w:rtl/>
        </w:rPr>
        <w:t xml:space="preserve">לכתיבת ידו </w:t>
      </w:r>
      <w:r w:rsidR="00C77458" w:rsidRPr="00C77458">
        <w:rPr>
          <w:rFonts w:cs="Arial" w:hint="cs"/>
          <w:sz w:val="16"/>
          <w:szCs w:val="16"/>
          <w:u w:val="dotted"/>
          <w:rtl/>
        </w:rPr>
        <w:t xml:space="preserve">(כמו </w:t>
      </w:r>
      <w:r>
        <w:rPr>
          <w:rFonts w:cs="Arial" w:hint="cs"/>
          <w:sz w:val="16"/>
          <w:szCs w:val="16"/>
          <w:u w:val="dotted"/>
          <w:rtl/>
        </w:rPr>
        <w:t>ש</w:t>
      </w:r>
      <w:r w:rsidR="00C77458">
        <w:rPr>
          <w:rFonts w:cs="Arial" w:hint="cs"/>
          <w:sz w:val="16"/>
          <w:szCs w:val="16"/>
          <w:u w:val="dotted"/>
          <w:rtl/>
        </w:rPr>
        <w:t>ב</w:t>
      </w:r>
      <w:r>
        <w:rPr>
          <w:rFonts w:cs="Arial" w:hint="cs"/>
          <w:sz w:val="16"/>
          <w:szCs w:val="16"/>
          <w:u w:val="dotted"/>
          <w:rtl/>
        </w:rPr>
        <w:t>ו</w:t>
      </w:r>
      <w:r w:rsidR="00C77458">
        <w:rPr>
          <w:rFonts w:cs="Arial" w:hint="cs"/>
          <w:sz w:val="16"/>
          <w:szCs w:val="16"/>
          <w:u w:val="dotted"/>
          <w:rtl/>
        </w:rPr>
        <w:t>דק</w:t>
      </w:r>
      <w:r>
        <w:rPr>
          <w:rFonts w:cs="Arial" w:hint="cs"/>
          <w:sz w:val="16"/>
          <w:szCs w:val="16"/>
          <w:u w:val="dotted"/>
          <w:rtl/>
        </w:rPr>
        <w:t>ים</w:t>
      </w:r>
      <w:r w:rsidR="00C77458">
        <w:rPr>
          <w:rFonts w:cs="Arial" w:hint="cs"/>
          <w:sz w:val="16"/>
          <w:szCs w:val="16"/>
          <w:u w:val="dotted"/>
          <w:rtl/>
        </w:rPr>
        <w:t xml:space="preserve"> בהרכנת ראשו)</w:t>
      </w:r>
      <w:r w:rsidR="00C77458" w:rsidRPr="00C77458">
        <w:rPr>
          <w:rFonts w:cs="Arial" w:hint="cs"/>
          <w:u w:val="dotted"/>
          <w:rtl/>
        </w:rPr>
        <w:t>:</w:t>
      </w:r>
    </w:p>
    <w:p w14:paraId="3B89817E" w14:textId="0483A7F7" w:rsidR="00BA4948" w:rsidRDefault="00BA4948" w:rsidP="00A65C5F">
      <w:pPr>
        <w:pStyle w:val="ab"/>
        <w:numPr>
          <w:ilvl w:val="0"/>
          <w:numId w:val="28"/>
        </w:numPr>
        <w:rPr>
          <w:rFonts w:cs="Arial"/>
        </w:rPr>
      </w:pPr>
      <w:r>
        <w:rPr>
          <w:rFonts w:cs="Arial" w:hint="cs"/>
          <w:rtl/>
        </w:rPr>
        <w:lastRenderedPageBreak/>
        <w:t xml:space="preserve">רמב"ם </w:t>
      </w:r>
      <w:r w:rsidRPr="003E463B">
        <w:rPr>
          <w:rFonts w:cs="Arial" w:hint="cs"/>
          <w:sz w:val="16"/>
          <w:szCs w:val="16"/>
          <w:rtl/>
        </w:rPr>
        <w:t>(להב' הב"י</w:t>
      </w:r>
      <w:r w:rsidR="00A31799">
        <w:rPr>
          <w:rStyle w:val="a7"/>
          <w:rFonts w:cs="Arial"/>
          <w:sz w:val="16"/>
          <w:szCs w:val="16"/>
          <w:rtl/>
        </w:rPr>
        <w:footnoteReference w:id="173"/>
      </w:r>
      <w:r w:rsidRPr="003E463B">
        <w:rPr>
          <w:rFonts w:cs="Arial" w:hint="cs"/>
          <w:sz w:val="16"/>
          <w:szCs w:val="16"/>
          <w:rtl/>
        </w:rPr>
        <w:t>)</w:t>
      </w:r>
      <w:r w:rsidR="00A82951">
        <w:rPr>
          <w:rFonts w:cs="Arial" w:hint="cs"/>
          <w:rtl/>
        </w:rPr>
        <w:t>-</w:t>
      </w:r>
      <w:r>
        <w:rPr>
          <w:rFonts w:cs="Arial" w:hint="cs"/>
          <w:rtl/>
        </w:rPr>
        <w:t xml:space="preserve"> </w:t>
      </w:r>
      <w:r w:rsidR="00F55C54" w:rsidRPr="006C740B">
        <w:rPr>
          <w:rFonts w:cs="Arial"/>
          <w:rtl/>
        </w:rPr>
        <w:t>אם כתב בכתב ידו כותבין ונותנין ואין צריך בדיקה</w:t>
      </w:r>
      <w:r w:rsidR="00F55C54">
        <w:rPr>
          <w:rFonts w:hint="cs"/>
          <w:sz w:val="16"/>
          <w:szCs w:val="16"/>
          <w:rtl/>
        </w:rPr>
        <w:t xml:space="preserve"> </w:t>
      </w:r>
      <w:r w:rsidR="00F55C54" w:rsidRPr="00F55C54">
        <w:rPr>
          <w:rFonts w:hint="cs"/>
          <w:sz w:val="16"/>
          <w:szCs w:val="16"/>
          <w:rtl/>
        </w:rPr>
        <w:t>(ל' הב"י)</w:t>
      </w:r>
      <w:r w:rsidR="00DB29B5">
        <w:rPr>
          <w:rStyle w:val="a7"/>
          <w:rFonts w:cs="Arial"/>
          <w:rtl/>
        </w:rPr>
        <w:footnoteReference w:id="174"/>
      </w:r>
      <w:r>
        <w:rPr>
          <w:rFonts w:cs="Arial" w:hint="cs"/>
          <w:rtl/>
        </w:rPr>
        <w:t>.</w:t>
      </w:r>
    </w:p>
    <w:p w14:paraId="76210588" w14:textId="34A0F54C" w:rsidR="00F36489" w:rsidRPr="003E463B" w:rsidRDefault="00C77458" w:rsidP="00A65C5F">
      <w:pPr>
        <w:pStyle w:val="ab"/>
        <w:numPr>
          <w:ilvl w:val="0"/>
          <w:numId w:val="28"/>
        </w:numPr>
        <w:rPr>
          <w:rFonts w:cs="Arial"/>
          <w:rtl/>
        </w:rPr>
      </w:pPr>
      <w:r>
        <w:rPr>
          <w:rFonts w:cs="Arial" w:hint="cs"/>
          <w:rtl/>
        </w:rPr>
        <w:t xml:space="preserve">ר"ן </w:t>
      </w:r>
      <w:r>
        <w:rPr>
          <w:rFonts w:cs="Arial" w:hint="cs"/>
          <w:sz w:val="16"/>
          <w:szCs w:val="16"/>
          <w:rtl/>
        </w:rPr>
        <w:t>(שם, להב' הב"י)</w:t>
      </w:r>
      <w:r w:rsidR="00A82951">
        <w:rPr>
          <w:rFonts w:cs="Arial" w:hint="cs"/>
          <w:rtl/>
        </w:rPr>
        <w:t>-</w:t>
      </w:r>
      <w:r>
        <w:rPr>
          <w:rFonts w:cs="Arial" w:hint="cs"/>
          <w:rtl/>
        </w:rPr>
        <w:t xml:space="preserve"> </w:t>
      </w:r>
      <w:r w:rsidR="00BA15E7" w:rsidRPr="003E463B">
        <w:rPr>
          <w:rFonts w:cs="Arial"/>
          <w:rtl/>
        </w:rPr>
        <w:t>לכתיבת ידו בעי נמי בדיקה כי היכי דבעי להרכנת ראשו</w:t>
      </w:r>
      <w:r>
        <w:rPr>
          <w:rFonts w:cs="Arial" w:hint="cs"/>
          <w:sz w:val="16"/>
          <w:szCs w:val="16"/>
          <w:rtl/>
        </w:rPr>
        <w:t xml:space="preserve"> (ל' הב"י בשמו)</w:t>
      </w:r>
      <w:r w:rsidR="00BA15E7" w:rsidRPr="003E463B">
        <w:rPr>
          <w:rFonts w:cs="Arial"/>
          <w:rtl/>
        </w:rPr>
        <w:t xml:space="preserve">. </w:t>
      </w:r>
    </w:p>
    <w:p w14:paraId="561627EE" w14:textId="77777777" w:rsidR="00834E53" w:rsidRPr="003E463B" w:rsidRDefault="00834E53" w:rsidP="00834E53">
      <w:pPr>
        <w:rPr>
          <w:rFonts w:cs="Arial"/>
          <w:u w:val="single"/>
          <w:rtl/>
        </w:rPr>
      </w:pPr>
      <w:r w:rsidRPr="003E463B">
        <w:rPr>
          <w:rFonts w:cs="Arial" w:hint="cs"/>
          <w:u w:val="single"/>
          <w:rtl/>
        </w:rPr>
        <w:t xml:space="preserve">המדבר ואינו שומע: </w:t>
      </w:r>
    </w:p>
    <w:p w14:paraId="2B06B8E4" w14:textId="7C390A98" w:rsidR="00834E53" w:rsidRDefault="00834E53" w:rsidP="00A65C5F">
      <w:pPr>
        <w:pStyle w:val="ab"/>
        <w:numPr>
          <w:ilvl w:val="0"/>
          <w:numId w:val="28"/>
        </w:numPr>
        <w:rPr>
          <w:rFonts w:cs="Arial"/>
        </w:rPr>
      </w:pPr>
      <w:r>
        <w:rPr>
          <w:rFonts w:cs="Arial" w:hint="cs"/>
          <w:rtl/>
        </w:rPr>
        <w:t xml:space="preserve">רמב"ם </w:t>
      </w:r>
      <w:r w:rsidRPr="003E463B">
        <w:rPr>
          <w:rFonts w:cs="Arial" w:hint="cs"/>
          <w:sz w:val="16"/>
          <w:szCs w:val="16"/>
          <w:rtl/>
        </w:rPr>
        <w:t>(להב' הב"י</w:t>
      </w:r>
      <w:r w:rsidR="0087178D">
        <w:rPr>
          <w:rFonts w:cs="Arial" w:hint="cs"/>
          <w:sz w:val="16"/>
          <w:szCs w:val="16"/>
          <w:rtl/>
        </w:rPr>
        <w:t xml:space="preserve">) </w:t>
      </w:r>
      <w:r w:rsidR="00795FC1" w:rsidRPr="0087178D">
        <w:rPr>
          <w:rFonts w:cs="Arial" w:hint="cs"/>
          <w:rtl/>
        </w:rPr>
        <w:t>וטור</w:t>
      </w:r>
      <w:r w:rsidR="00795FC1">
        <w:rPr>
          <w:rFonts w:cs="Arial" w:hint="cs"/>
          <w:sz w:val="16"/>
          <w:szCs w:val="16"/>
          <w:rtl/>
        </w:rPr>
        <w:t xml:space="preserve"> </w:t>
      </w:r>
      <w:r w:rsidR="0087178D">
        <w:rPr>
          <w:rFonts w:cs="Arial" w:hint="cs"/>
          <w:sz w:val="16"/>
          <w:szCs w:val="16"/>
          <w:rtl/>
        </w:rPr>
        <w:t>(</w:t>
      </w:r>
      <w:r w:rsidR="00795FC1">
        <w:rPr>
          <w:rFonts w:cs="Arial" w:hint="cs"/>
          <w:sz w:val="16"/>
          <w:szCs w:val="16"/>
          <w:rtl/>
        </w:rPr>
        <w:t>חו"מ סי' רלה סי"ט</w:t>
      </w:r>
      <w:r w:rsidRPr="003E463B">
        <w:rPr>
          <w:rFonts w:cs="Arial" w:hint="cs"/>
          <w:sz w:val="16"/>
          <w:szCs w:val="16"/>
          <w:rtl/>
        </w:rPr>
        <w:t>)</w:t>
      </w:r>
      <w:r w:rsidR="00A82951">
        <w:rPr>
          <w:rFonts w:cs="Arial" w:hint="cs"/>
          <w:rtl/>
        </w:rPr>
        <w:t>-</w:t>
      </w:r>
      <w:r w:rsidRPr="003E463B">
        <w:rPr>
          <w:rFonts w:cs="Arial" w:hint="cs"/>
          <w:rtl/>
        </w:rPr>
        <w:t xml:space="preserve"> </w:t>
      </w:r>
      <w:r>
        <w:rPr>
          <w:rStyle w:val="a7"/>
          <w:rFonts w:cs="Arial"/>
          <w:rtl/>
        </w:rPr>
        <w:footnoteReference w:id="175"/>
      </w:r>
      <w:r w:rsidRPr="003E463B">
        <w:rPr>
          <w:rFonts w:cs="Arial"/>
          <w:rtl/>
        </w:rPr>
        <w:t>כל שמדבר דינו כפיקח גמור</w:t>
      </w:r>
      <w:r w:rsidR="00795FC1">
        <w:rPr>
          <w:rFonts w:cs="Arial" w:hint="cs"/>
          <w:rtl/>
        </w:rPr>
        <w:t>,</w:t>
      </w:r>
      <w:r w:rsidRPr="003E463B">
        <w:rPr>
          <w:rFonts w:cs="Arial"/>
          <w:rtl/>
        </w:rPr>
        <w:t xml:space="preserve"> שהרי מתוך דיבורו ניכר אם הוא בן דעת</w:t>
      </w:r>
      <w:r>
        <w:rPr>
          <w:rStyle w:val="a7"/>
          <w:rFonts w:cs="Arial"/>
          <w:rtl/>
        </w:rPr>
        <w:footnoteReference w:id="176"/>
      </w:r>
      <w:r w:rsidRPr="003E463B">
        <w:rPr>
          <w:rFonts w:cs="Arial" w:hint="cs"/>
          <w:rtl/>
        </w:rPr>
        <w:t xml:space="preserve">. </w:t>
      </w:r>
    </w:p>
    <w:p w14:paraId="5EEFEA36" w14:textId="631037B3" w:rsidR="006C740B" w:rsidRDefault="00834E53" w:rsidP="00A65C5F">
      <w:pPr>
        <w:pStyle w:val="ab"/>
        <w:numPr>
          <w:ilvl w:val="0"/>
          <w:numId w:val="28"/>
        </w:numPr>
        <w:rPr>
          <w:rFonts w:cs="Arial"/>
        </w:rPr>
      </w:pPr>
      <w:r w:rsidRPr="003E463B">
        <w:rPr>
          <w:rFonts w:cs="Arial"/>
          <w:rtl/>
        </w:rPr>
        <w:t>ר"ן</w:t>
      </w:r>
      <w:r w:rsidR="00795FC1">
        <w:rPr>
          <w:rStyle w:val="a7"/>
          <w:rFonts w:cs="Arial"/>
          <w:rtl/>
        </w:rPr>
        <w:footnoteReference w:id="177"/>
      </w:r>
      <w:r w:rsidRPr="003E463B">
        <w:rPr>
          <w:rFonts w:cs="Arial"/>
          <w:rtl/>
        </w:rPr>
        <w:t xml:space="preserve"> </w:t>
      </w:r>
      <w:r w:rsidRPr="003E463B">
        <w:rPr>
          <w:rFonts w:cs="Arial"/>
          <w:sz w:val="16"/>
          <w:szCs w:val="16"/>
          <w:rtl/>
        </w:rPr>
        <w:t>(לג. ד"ה אמרו)</w:t>
      </w:r>
      <w:r w:rsidR="00A82951">
        <w:rPr>
          <w:rFonts w:cs="Arial" w:hint="cs"/>
          <w:rtl/>
        </w:rPr>
        <w:t>-</w:t>
      </w:r>
      <w:r w:rsidR="00795FC1">
        <w:rPr>
          <w:rFonts w:cs="Arial" w:hint="cs"/>
          <w:rtl/>
        </w:rPr>
        <w:t xml:space="preserve"> </w:t>
      </w:r>
      <w:r>
        <w:rPr>
          <w:rStyle w:val="a7"/>
          <w:rFonts w:cs="Arial"/>
          <w:rtl/>
        </w:rPr>
        <w:footnoteReference w:id="178"/>
      </w:r>
      <w:r w:rsidRPr="003E463B">
        <w:rPr>
          <w:rFonts w:cs="Arial"/>
          <w:rtl/>
        </w:rPr>
        <w:t>מדבר ואינו שומע דינו שוה לשומע ואינו מדבר</w:t>
      </w:r>
      <w:r w:rsidR="00C77458" w:rsidRPr="00A31799">
        <w:rPr>
          <w:rFonts w:cs="Arial" w:hint="cs"/>
          <w:rtl/>
        </w:rPr>
        <w:t>.</w:t>
      </w:r>
    </w:p>
    <w:p w14:paraId="65C50BF6" w14:textId="27EB4500" w:rsidR="00496C1F" w:rsidRDefault="0087178D" w:rsidP="00A65C5F">
      <w:pPr>
        <w:pStyle w:val="ab"/>
        <w:numPr>
          <w:ilvl w:val="0"/>
          <w:numId w:val="28"/>
        </w:numPr>
        <w:rPr>
          <w:rFonts w:cs="Arial"/>
        </w:rPr>
      </w:pPr>
      <w:r>
        <w:rPr>
          <w:rFonts w:cs="Arial" w:hint="cs"/>
          <w:rtl/>
        </w:rPr>
        <w:t>רמב"ם</w:t>
      </w:r>
      <w:r>
        <w:rPr>
          <w:rFonts w:cs="Arial" w:hint="cs"/>
          <w:sz w:val="16"/>
          <w:szCs w:val="16"/>
          <w:rtl/>
        </w:rPr>
        <w:t xml:space="preserve"> (להב' הטור [שם])</w:t>
      </w:r>
      <w:r w:rsidR="00A82951">
        <w:rPr>
          <w:rFonts w:cs="Arial" w:hint="cs"/>
          <w:rtl/>
        </w:rPr>
        <w:t>-</w:t>
      </w:r>
      <w:r w:rsidRPr="0087178D">
        <w:rPr>
          <w:rtl/>
        </w:rPr>
        <w:t xml:space="preserve"> </w:t>
      </w:r>
      <w:r w:rsidRPr="0087178D">
        <w:rPr>
          <w:rFonts w:cs="Arial"/>
          <w:rtl/>
        </w:rPr>
        <w:t xml:space="preserve">דין מדבר ואינו שומע </w:t>
      </w:r>
      <w:r>
        <w:rPr>
          <w:rFonts w:cs="Arial" w:hint="cs"/>
          <w:rtl/>
        </w:rPr>
        <w:t xml:space="preserve">שוה </w:t>
      </w:r>
      <w:r w:rsidRPr="0087178D">
        <w:rPr>
          <w:rFonts w:cs="Arial"/>
          <w:rtl/>
        </w:rPr>
        <w:t>לדין אינו שומע ואינו מדבר</w:t>
      </w:r>
      <w:r w:rsidR="00BA15E7" w:rsidRPr="00DB29B5">
        <w:rPr>
          <w:rFonts w:cs="Arial"/>
          <w:rtl/>
        </w:rPr>
        <w:t xml:space="preserve">. </w:t>
      </w:r>
    </w:p>
    <w:p w14:paraId="717C566B" w14:textId="192EE9A0" w:rsidR="00B16208" w:rsidRDefault="00B16208" w:rsidP="00B16208">
      <w:pPr>
        <w:rPr>
          <w:rFonts w:cs="Arial"/>
          <w:rtl/>
        </w:rPr>
      </w:pPr>
      <w:r w:rsidRPr="00B16208">
        <w:rPr>
          <w:rFonts w:cs="Arial" w:hint="cs"/>
          <w:b/>
          <w:bCs/>
          <w:rtl/>
        </w:rPr>
        <w:t>תוספתא גיטין פ"ב ה"ז</w:t>
      </w:r>
      <w:r w:rsidR="00A82951">
        <w:rPr>
          <w:rFonts w:cs="Arial" w:hint="cs"/>
          <w:b/>
          <w:bCs/>
          <w:rtl/>
        </w:rPr>
        <w:t>-</w:t>
      </w:r>
      <w:r>
        <w:rPr>
          <w:rFonts w:cs="Arial" w:hint="cs"/>
          <w:b/>
          <w:bCs/>
          <w:rtl/>
        </w:rPr>
        <w:t>ח</w:t>
      </w:r>
      <w:r w:rsidRPr="00B16208">
        <w:rPr>
          <w:rFonts w:cs="Arial" w:hint="cs"/>
          <w:b/>
          <w:bCs/>
          <w:rtl/>
        </w:rPr>
        <w:t>:</w:t>
      </w:r>
      <w:r>
        <w:rPr>
          <w:rFonts w:cs="Arial" w:hint="cs"/>
          <w:rtl/>
        </w:rPr>
        <w:t xml:space="preserve"> </w:t>
      </w:r>
      <w:r w:rsidRPr="00B16208">
        <w:rPr>
          <w:rFonts w:cs="Arial"/>
          <w:rtl/>
        </w:rPr>
        <w:t>גט אשה שכתבו שלא לשמה פסול שנ' וכתב לה לשמה</w:t>
      </w:r>
      <w:r>
        <w:rPr>
          <w:rFonts w:cs="Arial" w:hint="cs"/>
          <w:rtl/>
        </w:rPr>
        <w:t>...</w:t>
      </w:r>
      <w:r w:rsidRPr="00B16208">
        <w:rPr>
          <w:rFonts w:cs="Arial"/>
          <w:rtl/>
        </w:rPr>
        <w:t xml:space="preserve"> כתב סופר לשמה</w:t>
      </w:r>
      <w:r>
        <w:rPr>
          <w:rFonts w:cs="Arial" w:hint="cs"/>
          <w:rtl/>
        </w:rPr>
        <w:t>,</w:t>
      </w:r>
      <w:r w:rsidRPr="00B16208">
        <w:rPr>
          <w:rFonts w:cs="Arial"/>
          <w:rtl/>
        </w:rPr>
        <w:t xml:space="preserve"> וחתמו עדים לשמה</w:t>
      </w:r>
      <w:r>
        <w:rPr>
          <w:rFonts w:cs="Arial" w:hint="cs"/>
          <w:rtl/>
        </w:rPr>
        <w:t>,</w:t>
      </w:r>
      <w:r w:rsidRPr="00B16208">
        <w:rPr>
          <w:rFonts w:cs="Arial"/>
          <w:rtl/>
        </w:rPr>
        <w:t xml:space="preserve"> אף על פי שכתבוהו וחתמוהו ונתנוהו לו ונתנו לה </w:t>
      </w:r>
      <w:r w:rsidR="00A82951">
        <w:rPr>
          <w:rFonts w:cs="Arial" w:hint="cs"/>
          <w:rtl/>
        </w:rPr>
        <w:t>-</w:t>
      </w:r>
      <w:r>
        <w:rPr>
          <w:rFonts w:cs="Arial" w:hint="cs"/>
          <w:rtl/>
        </w:rPr>
        <w:t xml:space="preserve"> </w:t>
      </w:r>
      <w:r w:rsidRPr="00B16208">
        <w:rPr>
          <w:rFonts w:cs="Arial"/>
          <w:rtl/>
        </w:rPr>
        <w:t>פסול עד שיאמר לסופר כתוב ולעדים חתומו</w:t>
      </w:r>
      <w:r>
        <w:rPr>
          <w:rFonts w:cs="Arial" w:hint="cs"/>
          <w:rtl/>
        </w:rPr>
        <w:t>.</w:t>
      </w:r>
      <w:r w:rsidRPr="00B16208">
        <w:rPr>
          <w:rFonts w:cs="Arial"/>
          <w:rtl/>
        </w:rPr>
        <w:t xml:space="preserve"> ולא עוד אלא אפי' כתב בכתב ידיו לסופר כתוב</w:t>
      </w:r>
      <w:r>
        <w:rPr>
          <w:rFonts w:cs="Arial" w:hint="cs"/>
          <w:rtl/>
        </w:rPr>
        <w:t>,</w:t>
      </w:r>
      <w:r w:rsidRPr="00B16208">
        <w:rPr>
          <w:rFonts w:cs="Arial"/>
          <w:rtl/>
        </w:rPr>
        <w:t xml:space="preserve"> ולעדים חתומו</w:t>
      </w:r>
      <w:r>
        <w:rPr>
          <w:rFonts w:cs="Arial" w:hint="cs"/>
          <w:rtl/>
        </w:rPr>
        <w:t>,</w:t>
      </w:r>
      <w:r w:rsidRPr="00B16208">
        <w:rPr>
          <w:rFonts w:cs="Arial"/>
          <w:rtl/>
        </w:rPr>
        <w:t xml:space="preserve"> אף על פי שכתבוהו וחתמוהו ונתנוהו לו ונתנו לה </w:t>
      </w:r>
      <w:r w:rsidR="00A82951">
        <w:rPr>
          <w:rFonts w:cs="Arial" w:hint="cs"/>
          <w:rtl/>
        </w:rPr>
        <w:t>-</w:t>
      </w:r>
      <w:r>
        <w:rPr>
          <w:rFonts w:cs="Arial" w:hint="cs"/>
          <w:rtl/>
        </w:rPr>
        <w:t xml:space="preserve"> </w:t>
      </w:r>
      <w:r w:rsidRPr="00B16208">
        <w:rPr>
          <w:rFonts w:cs="Arial"/>
          <w:rtl/>
        </w:rPr>
        <w:t>פסול עד שישמעו את קולו שיאמר הוא לסופר כתוב ולעדים חתומו</w:t>
      </w:r>
      <w:r>
        <w:rPr>
          <w:rFonts w:cs="Arial" w:hint="cs"/>
          <w:rtl/>
        </w:rPr>
        <w:t>.</w:t>
      </w:r>
    </w:p>
    <w:p w14:paraId="68D4F44D" w14:textId="2037E3CC" w:rsidR="00906F60" w:rsidRPr="00B16208" w:rsidRDefault="00906F60" w:rsidP="00B16208">
      <w:pPr>
        <w:rPr>
          <w:rFonts w:cs="Arial"/>
          <w:rtl/>
        </w:rPr>
      </w:pPr>
      <w:r w:rsidRPr="00906F60">
        <w:rPr>
          <w:rFonts w:cs="Arial" w:hint="cs"/>
          <w:b/>
          <w:bCs/>
          <w:rtl/>
        </w:rPr>
        <w:t>ירושלמי גיטין פ"ז ה"א:</w:t>
      </w:r>
      <w:r>
        <w:rPr>
          <w:rFonts w:cs="Arial" w:hint="cs"/>
          <w:rtl/>
        </w:rPr>
        <w:t xml:space="preserve"> </w:t>
      </w:r>
      <w:r w:rsidRPr="00906F60">
        <w:rPr>
          <w:rFonts w:cs="Arial" w:hint="cs"/>
          <w:u w:val="single"/>
          <w:rtl/>
        </w:rPr>
        <w:t>אמר ר' מנא</w:t>
      </w:r>
      <w:r>
        <w:rPr>
          <w:rFonts w:cs="Arial" w:hint="cs"/>
          <w:rtl/>
        </w:rPr>
        <w:t xml:space="preserve">:... </w:t>
      </w:r>
      <w:r w:rsidRPr="00906F60">
        <w:rPr>
          <w:rFonts w:cs="Arial"/>
          <w:rtl/>
        </w:rPr>
        <w:t>היא שמיעת הקול היא הרכנת הראש.</w:t>
      </w:r>
    </w:p>
    <w:p w14:paraId="1ECA906C" w14:textId="45ADE0B7" w:rsidR="006C740B" w:rsidRDefault="006C740B" w:rsidP="00EA6827">
      <w:pPr>
        <w:rPr>
          <w:rFonts w:cs="Arial"/>
          <w:rtl/>
        </w:rPr>
      </w:pPr>
      <w:r w:rsidRPr="006C740B">
        <w:rPr>
          <w:rFonts w:cs="Arial" w:hint="cs"/>
          <w:u w:val="single"/>
          <w:rtl/>
        </w:rPr>
        <w:t>האם פיקח יכול לצ</w:t>
      </w:r>
      <w:r w:rsidR="00B16208">
        <w:rPr>
          <w:rFonts w:cs="Arial" w:hint="cs"/>
          <w:u w:val="single"/>
          <w:rtl/>
        </w:rPr>
        <w:t>ו</w:t>
      </w:r>
      <w:r w:rsidRPr="006C740B">
        <w:rPr>
          <w:rFonts w:cs="Arial" w:hint="cs"/>
          <w:u w:val="single"/>
          <w:rtl/>
        </w:rPr>
        <w:t>ות בכתב ידו לכתוב גט לאשתו:</w:t>
      </w:r>
    </w:p>
    <w:p w14:paraId="7064E3F5" w14:textId="7A3447F0" w:rsidR="00556A26" w:rsidRPr="00DB7A58" w:rsidRDefault="00556A26" w:rsidP="00A65C5F">
      <w:pPr>
        <w:pStyle w:val="ab"/>
        <w:numPr>
          <w:ilvl w:val="0"/>
          <w:numId w:val="28"/>
        </w:numPr>
        <w:rPr>
          <w:rFonts w:cs="Arial"/>
        </w:rPr>
      </w:pPr>
      <w:r>
        <w:rPr>
          <w:rFonts w:cs="Arial" w:hint="cs"/>
          <w:rtl/>
        </w:rPr>
        <w:lastRenderedPageBreak/>
        <w:t xml:space="preserve">רי"ו </w:t>
      </w:r>
      <w:r w:rsidRPr="00556A26">
        <w:rPr>
          <w:rFonts w:cs="Arial" w:hint="cs"/>
          <w:sz w:val="16"/>
          <w:szCs w:val="16"/>
          <w:rtl/>
        </w:rPr>
        <w:t>(</w:t>
      </w:r>
      <w:r w:rsidRPr="00556A26">
        <w:rPr>
          <w:rFonts w:cs="Arial"/>
          <w:sz w:val="16"/>
          <w:szCs w:val="16"/>
          <w:rtl/>
        </w:rPr>
        <w:t>ח</w:t>
      </w:r>
      <w:r w:rsidRPr="00556A26">
        <w:rPr>
          <w:rFonts w:cs="Arial" w:hint="cs"/>
          <w:sz w:val="16"/>
          <w:szCs w:val="16"/>
          <w:rtl/>
        </w:rPr>
        <w:t>"</w:t>
      </w:r>
      <w:r w:rsidRPr="00556A26">
        <w:rPr>
          <w:rFonts w:cs="Arial"/>
          <w:sz w:val="16"/>
          <w:szCs w:val="16"/>
          <w:rtl/>
        </w:rPr>
        <w:t>ג נכ"ד רט ע"א)</w:t>
      </w:r>
      <w:r w:rsidR="00A82951">
        <w:rPr>
          <w:rFonts w:cs="Arial" w:hint="cs"/>
          <w:rtl/>
        </w:rPr>
        <w:t>-</w:t>
      </w:r>
      <w:r w:rsidRPr="00AD1C34">
        <w:rPr>
          <w:rFonts w:cs="Arial"/>
          <w:rtl/>
        </w:rPr>
        <w:t xml:space="preserve"> </w:t>
      </w:r>
      <w:r>
        <w:rPr>
          <w:rStyle w:val="a7"/>
          <w:rFonts w:cs="Arial"/>
          <w:rtl/>
        </w:rPr>
        <w:footnoteReference w:id="179"/>
      </w:r>
      <w:r w:rsidRPr="00AD1C34">
        <w:rPr>
          <w:rFonts w:cs="Arial"/>
          <w:rtl/>
        </w:rPr>
        <w:t>כבר כתבתי בדין חרש מי שנשתתק ושומע כי די בכתב ידו</w:t>
      </w:r>
      <w:r w:rsidR="006D2D74">
        <w:rPr>
          <w:rFonts w:cs="Arial" w:hint="cs"/>
          <w:rtl/>
        </w:rPr>
        <w:t>,</w:t>
      </w:r>
      <w:r w:rsidRPr="00AD1C34">
        <w:rPr>
          <w:rFonts w:cs="Arial"/>
          <w:rtl/>
        </w:rPr>
        <w:t xml:space="preserve"> ודוקא בחרש אבל בפיקח לא</w:t>
      </w:r>
      <w:r>
        <w:rPr>
          <w:rFonts w:cs="Arial" w:hint="cs"/>
          <w:rtl/>
        </w:rPr>
        <w:t>,</w:t>
      </w:r>
      <w:r w:rsidRPr="00AD1C34">
        <w:rPr>
          <w:rFonts w:cs="Arial"/>
          <w:rtl/>
        </w:rPr>
        <w:t xml:space="preserve"> וכן כתבו בירושלמי </w:t>
      </w:r>
      <w:r w:rsidRPr="00556A26">
        <w:rPr>
          <w:rFonts w:cs="Arial"/>
          <w:sz w:val="16"/>
          <w:szCs w:val="16"/>
          <w:rtl/>
        </w:rPr>
        <w:t xml:space="preserve">(גיטין פ"ז ה"א) </w:t>
      </w:r>
      <w:r w:rsidRPr="00AD1C34">
        <w:rPr>
          <w:rFonts w:cs="Arial"/>
          <w:rtl/>
        </w:rPr>
        <w:t>כמו שבחרש שאינו מדבר ואינו שומע אינו מועיל כתב ידו כמו כן בפיקח</w:t>
      </w:r>
      <w:r>
        <w:rPr>
          <w:rStyle w:val="a7"/>
          <w:rFonts w:cs="Arial"/>
          <w:rtl/>
        </w:rPr>
        <w:footnoteReference w:id="180"/>
      </w:r>
      <w:r>
        <w:rPr>
          <w:rFonts w:cs="Arial" w:hint="cs"/>
          <w:rtl/>
        </w:rPr>
        <w:t>.</w:t>
      </w:r>
    </w:p>
    <w:p w14:paraId="71A9FCA8" w14:textId="12E279ED" w:rsidR="00E84BD6" w:rsidRDefault="00AD1C34" w:rsidP="00A65C5F">
      <w:pPr>
        <w:pStyle w:val="ab"/>
        <w:numPr>
          <w:ilvl w:val="0"/>
          <w:numId w:val="28"/>
        </w:numPr>
        <w:rPr>
          <w:rFonts w:cs="Arial"/>
        </w:rPr>
      </w:pPr>
      <w:r>
        <w:rPr>
          <w:rFonts w:cs="Arial" w:hint="cs"/>
          <w:rtl/>
        </w:rPr>
        <w:t xml:space="preserve">רמב"ם </w:t>
      </w:r>
      <w:r w:rsidR="00396D13">
        <w:rPr>
          <w:rFonts w:cs="Arial" w:hint="cs"/>
          <w:sz w:val="16"/>
          <w:szCs w:val="16"/>
          <w:rtl/>
        </w:rPr>
        <w:t>(להב' הב"י)</w:t>
      </w:r>
      <w:r w:rsidR="00396D13">
        <w:rPr>
          <w:rFonts w:cs="Arial" w:hint="cs"/>
          <w:rtl/>
        </w:rPr>
        <w:t xml:space="preserve"> תוס' </w:t>
      </w:r>
      <w:r w:rsidR="00396D13">
        <w:rPr>
          <w:rFonts w:cs="Arial" w:hint="cs"/>
          <w:sz w:val="16"/>
          <w:szCs w:val="16"/>
          <w:rtl/>
        </w:rPr>
        <w:t xml:space="preserve">(עב. ד"ה </w:t>
      </w:r>
      <w:r w:rsidR="00C75675">
        <w:rPr>
          <w:rFonts w:cs="Arial" w:hint="cs"/>
          <w:sz w:val="16"/>
          <w:szCs w:val="16"/>
          <w:rtl/>
        </w:rPr>
        <w:t>קולו, כ"כ הר"ן [לג. ד"ה אמרו] בשמם)</w:t>
      </w:r>
      <w:r w:rsidR="00C75675">
        <w:rPr>
          <w:rFonts w:cs="Arial" w:hint="cs"/>
          <w:rtl/>
        </w:rPr>
        <w:t xml:space="preserve"> </w:t>
      </w:r>
      <w:r>
        <w:rPr>
          <w:rFonts w:cs="Arial" w:hint="cs"/>
          <w:rtl/>
        </w:rPr>
        <w:t>ובהעי"ט</w:t>
      </w:r>
      <w:r>
        <w:rPr>
          <w:rFonts w:cs="Arial" w:hint="cs"/>
          <w:sz w:val="16"/>
          <w:szCs w:val="16"/>
          <w:rtl/>
        </w:rPr>
        <w:t xml:space="preserve"> (להב' הב"י)</w:t>
      </w:r>
      <w:r w:rsidR="00A82951">
        <w:rPr>
          <w:rFonts w:cs="Arial" w:hint="cs"/>
          <w:rtl/>
        </w:rPr>
        <w:t>-</w:t>
      </w:r>
      <w:r>
        <w:rPr>
          <w:rFonts w:cs="Arial" w:hint="cs"/>
          <w:rtl/>
        </w:rPr>
        <w:t xml:space="preserve"> כיון ד</w:t>
      </w:r>
      <w:r w:rsidRPr="006C740B">
        <w:rPr>
          <w:rFonts w:cs="Arial"/>
          <w:rtl/>
        </w:rPr>
        <w:t>מכשיר</w:t>
      </w:r>
      <w:r>
        <w:rPr>
          <w:rFonts w:cs="Arial" w:hint="cs"/>
          <w:rtl/>
        </w:rPr>
        <w:t>ינן</w:t>
      </w:r>
      <w:r w:rsidRPr="006C740B">
        <w:rPr>
          <w:rFonts w:cs="Arial"/>
          <w:rtl/>
        </w:rPr>
        <w:t xml:space="preserve"> לכתוב גט על ידי כתב ידו דמי שנשתתק</w:t>
      </w:r>
      <w:r>
        <w:rPr>
          <w:rFonts w:cs="Arial" w:hint="cs"/>
          <w:rtl/>
        </w:rPr>
        <w:t>,</w:t>
      </w:r>
      <w:r w:rsidRPr="006C740B">
        <w:rPr>
          <w:rFonts w:cs="Arial"/>
          <w:rtl/>
        </w:rPr>
        <w:t xml:space="preserve"> כל שכן על ידי כתב ידו של פיקח</w:t>
      </w:r>
      <w:r>
        <w:rPr>
          <w:rFonts w:cs="Arial" w:hint="cs"/>
          <w:sz w:val="16"/>
          <w:szCs w:val="16"/>
          <w:rtl/>
        </w:rPr>
        <w:t xml:space="preserve"> (ל' הב"י</w:t>
      </w:r>
      <w:r w:rsidRPr="00DB7A58">
        <w:rPr>
          <w:rFonts w:cs="Arial" w:hint="cs"/>
          <w:sz w:val="16"/>
          <w:szCs w:val="16"/>
          <w:rtl/>
        </w:rPr>
        <w:t>)</w:t>
      </w:r>
      <w:r w:rsidR="00D80A4D">
        <w:rPr>
          <w:rStyle w:val="a7"/>
          <w:rFonts w:cs="Arial"/>
          <w:rtl/>
        </w:rPr>
        <w:footnoteReference w:id="181"/>
      </w:r>
      <w:r w:rsidRPr="00DB7A58">
        <w:rPr>
          <w:rFonts w:cs="Arial" w:hint="cs"/>
          <w:rtl/>
        </w:rPr>
        <w:t>.</w:t>
      </w:r>
    </w:p>
    <w:p w14:paraId="44734A7F" w14:textId="3211A468" w:rsidR="00E62DED" w:rsidRPr="00D80A4D" w:rsidRDefault="0030549C" w:rsidP="00A65C5F">
      <w:pPr>
        <w:pStyle w:val="ab"/>
        <w:numPr>
          <w:ilvl w:val="0"/>
          <w:numId w:val="28"/>
        </w:numPr>
        <w:rPr>
          <w:rFonts w:cs="Arial"/>
          <w:rtl/>
        </w:rPr>
      </w:pPr>
      <w:r>
        <w:rPr>
          <w:rFonts w:cs="Arial" w:hint="cs"/>
          <w:rtl/>
        </w:rPr>
        <w:t xml:space="preserve">תרומה סמ"ג רשב"א מרדכי רא"ש </w:t>
      </w:r>
      <w:r w:rsidR="00E12C87">
        <w:rPr>
          <w:rFonts w:cs="Arial" w:hint="cs"/>
          <w:rtl/>
        </w:rPr>
        <w:t xml:space="preserve">הגה"מ </w:t>
      </w:r>
      <w:r>
        <w:rPr>
          <w:rFonts w:cs="Arial" w:hint="cs"/>
          <w:rtl/>
        </w:rPr>
        <w:t xml:space="preserve">סמ"ק </w:t>
      </w:r>
      <w:r w:rsidR="00E12C87">
        <w:rPr>
          <w:rFonts w:cs="Arial" w:hint="cs"/>
          <w:rtl/>
        </w:rPr>
        <w:t>טור ור"ן</w:t>
      </w:r>
      <w:r w:rsidR="00DB7A58">
        <w:rPr>
          <w:rStyle w:val="a7"/>
          <w:rFonts w:cs="Arial"/>
          <w:rtl/>
        </w:rPr>
        <w:footnoteReference w:id="182"/>
      </w:r>
      <w:r w:rsidR="00A82951">
        <w:rPr>
          <w:rFonts w:cs="Arial" w:hint="cs"/>
          <w:rtl/>
        </w:rPr>
        <w:t>-</w:t>
      </w:r>
      <w:r w:rsidR="00E12C87">
        <w:rPr>
          <w:rFonts w:cs="Arial" w:hint="cs"/>
          <w:rtl/>
        </w:rPr>
        <w:t xml:space="preserve"> </w:t>
      </w:r>
      <w:r w:rsidR="00E12C87">
        <w:rPr>
          <w:rStyle w:val="a7"/>
          <w:rFonts w:cs="Arial"/>
          <w:rtl/>
        </w:rPr>
        <w:footnoteReference w:id="183"/>
      </w:r>
      <w:r w:rsidR="00DB7A58">
        <w:rPr>
          <w:rFonts w:cs="Arial" w:hint="cs"/>
          <w:rtl/>
        </w:rPr>
        <w:t xml:space="preserve">יש לפסול </w:t>
      </w:r>
      <w:r w:rsidRPr="00E84BD6">
        <w:rPr>
          <w:rFonts w:cs="Arial"/>
          <w:rtl/>
        </w:rPr>
        <w:t>גט הנכתב על ידי</w:t>
      </w:r>
      <w:r w:rsidRPr="00B00D51">
        <w:rPr>
          <w:rFonts w:cs="Arial"/>
          <w:sz w:val="16"/>
          <w:szCs w:val="16"/>
          <w:rtl/>
        </w:rPr>
        <w:t xml:space="preserve"> </w:t>
      </w:r>
      <w:r w:rsidR="00B00D51">
        <w:rPr>
          <w:rFonts w:cs="Arial" w:hint="cs"/>
          <w:sz w:val="16"/>
          <w:szCs w:val="16"/>
          <w:rtl/>
        </w:rPr>
        <w:t>{</w:t>
      </w:r>
      <w:r w:rsidR="00B00D51" w:rsidRPr="00B00D51">
        <w:rPr>
          <w:rFonts w:cs="Arial" w:hint="cs"/>
          <w:sz w:val="16"/>
          <w:szCs w:val="16"/>
          <w:rtl/>
        </w:rPr>
        <w:t>כתב של}</w:t>
      </w:r>
      <w:r w:rsidR="00B00D51">
        <w:rPr>
          <w:rFonts w:cs="Arial" w:hint="cs"/>
          <w:rtl/>
        </w:rPr>
        <w:t xml:space="preserve"> </w:t>
      </w:r>
      <w:r w:rsidRPr="00E84BD6">
        <w:rPr>
          <w:rFonts w:cs="Arial"/>
          <w:rtl/>
        </w:rPr>
        <w:t>פיקח גמור</w:t>
      </w:r>
      <w:r>
        <w:rPr>
          <w:rFonts w:cs="Arial" w:hint="cs"/>
          <w:rtl/>
        </w:rPr>
        <w:t>,</w:t>
      </w:r>
      <w:r w:rsidRPr="00E84BD6">
        <w:rPr>
          <w:rFonts w:cs="Arial"/>
          <w:rtl/>
        </w:rPr>
        <w:t xml:space="preserve"> וכל שכן דמדבר ואינו שומע או שומע ואינו מדבר</w:t>
      </w:r>
      <w:r w:rsidR="00DB7A58">
        <w:rPr>
          <w:rFonts w:cs="Arial" w:hint="cs"/>
          <w:rtl/>
        </w:rPr>
        <w:t xml:space="preserve"> </w:t>
      </w:r>
      <w:r>
        <w:rPr>
          <w:rFonts w:cs="Arial" w:hint="cs"/>
          <w:sz w:val="16"/>
          <w:szCs w:val="16"/>
          <w:rtl/>
        </w:rPr>
        <w:t>(ל' הב"י בשמם)</w:t>
      </w:r>
      <w:r w:rsidR="007B09FE" w:rsidRPr="00DB7A58">
        <w:rPr>
          <w:rFonts w:cs="Arial" w:hint="cs"/>
          <w:rtl/>
        </w:rPr>
        <w:t>.</w:t>
      </w:r>
      <w:r w:rsidR="007D267E">
        <w:rPr>
          <w:rFonts w:cs="Arial" w:hint="cs"/>
          <w:rtl/>
        </w:rPr>
        <w:t xml:space="preserve"> </w:t>
      </w:r>
      <w:r w:rsidR="007D267E" w:rsidRPr="007D267E">
        <w:rPr>
          <w:rFonts w:cs="Arial" w:hint="cs"/>
          <w:color w:val="E36C0A" w:themeColor="accent6" w:themeShade="BF"/>
          <w:rtl/>
        </w:rPr>
        <w:t>(וכ"</w:t>
      </w:r>
      <w:r w:rsidR="00B734B9">
        <w:rPr>
          <w:rFonts w:cs="Arial" w:hint="cs"/>
          <w:color w:val="E36C0A" w:themeColor="accent6" w:themeShade="BF"/>
          <w:rtl/>
        </w:rPr>
        <w:t>ס</w:t>
      </w:r>
      <w:r w:rsidR="007D267E" w:rsidRPr="007D267E">
        <w:rPr>
          <w:rFonts w:cs="Arial" w:hint="cs"/>
          <w:color w:val="E36C0A" w:themeColor="accent6" w:themeShade="BF"/>
          <w:rtl/>
        </w:rPr>
        <w:t xml:space="preserve"> בשו"ע)</w:t>
      </w:r>
    </w:p>
    <w:p w14:paraId="6B29E80D" w14:textId="77777777" w:rsidR="00A243D9" w:rsidRPr="007B74F1" w:rsidRDefault="00A243D9" w:rsidP="00A243D9">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C820691" w14:textId="07392DF8" w:rsidR="00486C31" w:rsidRDefault="00486C31" w:rsidP="00486C31">
      <w:pPr>
        <w:rPr>
          <w:rFonts w:cs="Arial"/>
          <w:rtl/>
        </w:rPr>
      </w:pPr>
      <w:r w:rsidRPr="00486C31">
        <w:rPr>
          <w:rFonts w:cs="Arial"/>
          <w:rtl/>
        </w:rPr>
        <w:t>אפילו כתב בכתב ידו לסופר שיכתוב ולעדים שיחתמו, לא יכתבו ולא יחתמו עד שישמעו מפיו</w:t>
      </w:r>
      <w:r w:rsidR="007A3577">
        <w:rPr>
          <w:rStyle w:val="a7"/>
          <w:rFonts w:cs="Arial"/>
          <w:rtl/>
        </w:rPr>
        <w:footnoteReference w:id="184"/>
      </w:r>
      <w:r w:rsidR="00D80A4D">
        <w:rPr>
          <w:rFonts w:cs="Arial" w:hint="cs"/>
          <w:rtl/>
        </w:rPr>
        <w:t>.</w:t>
      </w:r>
      <w:r w:rsidRPr="00486C31">
        <w:rPr>
          <w:rFonts w:cs="Arial"/>
          <w:rtl/>
        </w:rPr>
        <w:t xml:space="preserve"> בין שהוא פקח</w:t>
      </w:r>
      <w:r w:rsidR="00D80A4D">
        <w:rPr>
          <w:rFonts w:cs="Arial" w:hint="cs"/>
          <w:rtl/>
        </w:rPr>
        <w:t>,</w:t>
      </w:r>
      <w:r w:rsidRPr="00486C31">
        <w:rPr>
          <w:rFonts w:cs="Arial"/>
          <w:rtl/>
        </w:rPr>
        <w:t xml:space="preserve"> ובין שנשתתק, בין שמדבר ואינו שומע</w:t>
      </w:r>
      <w:r w:rsidR="00D80A4D">
        <w:rPr>
          <w:rFonts w:cs="Arial" w:hint="cs"/>
          <w:rtl/>
        </w:rPr>
        <w:t>,</w:t>
      </w:r>
      <w:r w:rsidRPr="00486C31">
        <w:rPr>
          <w:rFonts w:cs="Arial"/>
          <w:rtl/>
        </w:rPr>
        <w:t xml:space="preserve"> בין שאינו שומע ולא מדבר. ויש מכשירין במי שנשתתק לכתוב ולחתום על פי כתב ידו שיכתוב לסופר: כתוב, ולעדים: חתומו, והוא שתהא דעתו מיושבת עליו. </w:t>
      </w:r>
    </w:p>
    <w:p w14:paraId="260CC8C4" w14:textId="526E96B4" w:rsidR="00C7593A" w:rsidRDefault="00C7593A" w:rsidP="00486C31">
      <w:pPr>
        <w:rPr>
          <w:rFonts w:cs="Arial"/>
          <w:rtl/>
        </w:rPr>
      </w:pPr>
      <w:r w:rsidRPr="00C7593A">
        <w:rPr>
          <w:rFonts w:cs="Arial" w:hint="cs"/>
          <w:u w:val="single"/>
          <w:rtl/>
        </w:rPr>
        <w:t>האם ניתן להקל במקום עיגון שהבעל יצווה בכתב ידו לסופר ולעדים:</w:t>
      </w:r>
      <w:r w:rsidR="00906F60" w:rsidRPr="00906F60">
        <w:rPr>
          <w:rFonts w:cs="Arial"/>
          <w:rtl/>
        </w:rPr>
        <w:t xml:space="preserve"> </w:t>
      </w:r>
      <w:r w:rsidR="00906F60" w:rsidRPr="00C7593A">
        <w:rPr>
          <w:rFonts w:cs="Arial"/>
          <w:sz w:val="16"/>
          <w:szCs w:val="16"/>
          <w:rtl/>
        </w:rPr>
        <w:t>(</w:t>
      </w:r>
      <w:r w:rsidRPr="00C7593A">
        <w:rPr>
          <w:rFonts w:cs="Arial" w:hint="cs"/>
          <w:sz w:val="16"/>
          <w:szCs w:val="16"/>
          <w:rtl/>
        </w:rPr>
        <w:t>פת"ש סק</w:t>
      </w:r>
      <w:r w:rsidR="00906F60" w:rsidRPr="00C7593A">
        <w:rPr>
          <w:rFonts w:cs="Arial"/>
          <w:sz w:val="16"/>
          <w:szCs w:val="16"/>
          <w:rtl/>
        </w:rPr>
        <w:t>י</w:t>
      </w:r>
      <w:r w:rsidRPr="00C7593A">
        <w:rPr>
          <w:rFonts w:cs="Arial" w:hint="cs"/>
          <w:sz w:val="16"/>
          <w:szCs w:val="16"/>
          <w:rtl/>
        </w:rPr>
        <w:t>"</w:t>
      </w:r>
      <w:r w:rsidR="00906F60" w:rsidRPr="00C7593A">
        <w:rPr>
          <w:rFonts w:cs="Arial"/>
          <w:sz w:val="16"/>
          <w:szCs w:val="16"/>
          <w:rtl/>
        </w:rPr>
        <w:t>ח)</w:t>
      </w:r>
      <w:r w:rsidR="00906F60" w:rsidRPr="00906F60">
        <w:rPr>
          <w:rFonts w:cs="Arial"/>
          <w:rtl/>
        </w:rPr>
        <w:t xml:space="preserve"> </w:t>
      </w:r>
    </w:p>
    <w:p w14:paraId="3A3E8482" w14:textId="0C86D187" w:rsidR="00121280" w:rsidRPr="00C7593A" w:rsidRDefault="00C7593A" w:rsidP="00A65C5F">
      <w:pPr>
        <w:pStyle w:val="ab"/>
        <w:numPr>
          <w:ilvl w:val="0"/>
          <w:numId w:val="29"/>
        </w:numPr>
        <w:rPr>
          <w:rFonts w:cs="Arial"/>
          <w:rtl/>
        </w:rPr>
      </w:pPr>
      <w:r w:rsidRPr="00C7593A">
        <w:rPr>
          <w:rFonts w:cs="Arial" w:hint="cs"/>
          <w:rtl/>
        </w:rPr>
        <w:t xml:space="preserve">פת"ש </w:t>
      </w:r>
      <w:r w:rsidRPr="00C7593A">
        <w:rPr>
          <w:rFonts w:cs="Arial" w:hint="cs"/>
          <w:sz w:val="16"/>
          <w:szCs w:val="16"/>
          <w:rtl/>
        </w:rPr>
        <w:t>(סקי"ח)</w:t>
      </w:r>
      <w:r w:rsidR="00A82951">
        <w:rPr>
          <w:rFonts w:cs="Arial" w:hint="cs"/>
          <w:rtl/>
        </w:rPr>
        <w:t>-</w:t>
      </w:r>
      <w:r w:rsidRPr="00C7593A">
        <w:rPr>
          <w:rFonts w:cs="Arial" w:hint="cs"/>
          <w:rtl/>
        </w:rPr>
        <w:t xml:space="preserve"> </w:t>
      </w:r>
      <w:r w:rsidR="00906F60" w:rsidRPr="00C7593A">
        <w:rPr>
          <w:rFonts w:cs="Arial"/>
          <w:rtl/>
        </w:rPr>
        <w:t>עבה"ט מ"ש והרד"ך והר"מ מטארני כתבו במקום עיגון יש לסמוך כו'</w:t>
      </w:r>
      <w:r>
        <w:rPr>
          <w:rFonts w:cs="Arial" w:hint="cs"/>
          <w:rtl/>
        </w:rPr>
        <w:t>.</w:t>
      </w:r>
      <w:r w:rsidR="00906F60" w:rsidRPr="00C7593A">
        <w:rPr>
          <w:rFonts w:cs="Arial"/>
          <w:rtl/>
        </w:rPr>
        <w:t xml:space="preserve"> וע' בתשו' הגאון מהרי"מ מבריסק </w:t>
      </w:r>
      <w:r>
        <w:rPr>
          <w:rFonts w:cs="Arial" w:hint="cs"/>
          <w:rtl/>
        </w:rPr>
        <w:t>(</w:t>
      </w:r>
      <w:r w:rsidR="00906F60" w:rsidRPr="00C7593A">
        <w:rPr>
          <w:rFonts w:cs="Arial"/>
          <w:rtl/>
        </w:rPr>
        <w:t>סי' לב</w:t>
      </w:r>
      <w:r>
        <w:rPr>
          <w:rFonts w:cs="Arial" w:hint="cs"/>
          <w:rtl/>
        </w:rPr>
        <w:t>)</w:t>
      </w:r>
      <w:r w:rsidR="00906F60" w:rsidRPr="00C7593A">
        <w:rPr>
          <w:rFonts w:cs="Arial"/>
          <w:rtl/>
        </w:rPr>
        <w:t xml:space="preserve"> העלה ג"כ הלכה למעשה להקל במקום עיגון גדול בדבר אשה אחת מבריסק שבעלה נסע למרחקים</w:t>
      </w:r>
      <w:r>
        <w:rPr>
          <w:rFonts w:cs="Arial" w:hint="cs"/>
          <w:rtl/>
        </w:rPr>
        <w:t>,</w:t>
      </w:r>
      <w:r w:rsidR="00906F60" w:rsidRPr="00C7593A">
        <w:rPr>
          <w:rFonts w:cs="Arial"/>
          <w:rtl/>
        </w:rPr>
        <w:t xml:space="preserve"> וע"פ רוב השתדלות השיגו מכתבים מהרב דק"ק מעץ שבעלה הוא שם</w:t>
      </w:r>
      <w:r>
        <w:rPr>
          <w:rFonts w:cs="Arial" w:hint="cs"/>
          <w:rtl/>
        </w:rPr>
        <w:t>,</w:t>
      </w:r>
      <w:r w:rsidR="00906F60" w:rsidRPr="00C7593A">
        <w:rPr>
          <w:rFonts w:cs="Arial"/>
          <w:rtl/>
        </w:rPr>
        <w:t xml:space="preserve"> ובלתי אפשר לסדר שם גט זולת שיכתוב בכ"י לבריסק לסופר ולעדים שיכתבו גט ויחתמו ויתנו לאשתו. והאריך בזה דבמקום עיגון </w:t>
      </w:r>
      <w:r w:rsidR="00906F60" w:rsidRPr="00C7593A">
        <w:rPr>
          <w:rFonts w:cs="Arial"/>
          <w:rtl/>
        </w:rPr>
        <w:lastRenderedPageBreak/>
        <w:t>גדול יש לסמוך אדברי המקילים בכת"י גם בפקח</w:t>
      </w:r>
      <w:r>
        <w:rPr>
          <w:rFonts w:cs="Arial" w:hint="cs"/>
          <w:rtl/>
        </w:rPr>
        <w:t>.</w:t>
      </w:r>
      <w:r w:rsidR="00906F60" w:rsidRPr="00C7593A">
        <w:rPr>
          <w:rFonts w:cs="Arial"/>
          <w:rtl/>
        </w:rPr>
        <w:t xml:space="preserve"> ועיקר יסודו על דברי הג"פ שהסכים הלכה למעשה שבמקום דוחק ועיגון שלא יהיה לה ח"ו תקנה כל ימיה יש לסמוך ע"ד המקילין</w:t>
      </w:r>
      <w:r w:rsidR="00E27EE3">
        <w:rPr>
          <w:rFonts w:cs="Arial" w:hint="cs"/>
          <w:rtl/>
        </w:rPr>
        <w:t>,</w:t>
      </w:r>
      <w:r w:rsidR="00906F60" w:rsidRPr="00C7593A">
        <w:rPr>
          <w:rFonts w:cs="Arial"/>
          <w:rtl/>
        </w:rPr>
        <w:t xml:space="preserve"> והביא הרבה מהראשונים ז"ל אשר לא הובאו בב"י שמקילין בזה. ועוד המציא תקנה שכתב להרב ממעץ שטרם שיכתוב הבעל בכ"י יאמר בע"פ שממנה את הסופר פלוני ועדיו פ' ופ' לכתוב ולחתום עבורו</w:t>
      </w:r>
      <w:r w:rsidR="00E27EE3">
        <w:rPr>
          <w:rFonts w:cs="Arial" w:hint="cs"/>
          <w:rtl/>
        </w:rPr>
        <w:t>,</w:t>
      </w:r>
      <w:r w:rsidR="00906F60" w:rsidRPr="00C7593A">
        <w:rPr>
          <w:rFonts w:cs="Arial"/>
          <w:rtl/>
        </w:rPr>
        <w:t xml:space="preserve"> ובזה יש לנו סעד לסמוך ע"ד הרא"ה והר"ן ס"פ האומר היכא דממנה שליח שלא בפניו דמועיל</w:t>
      </w:r>
      <w:r w:rsidR="00E27EE3">
        <w:rPr>
          <w:rFonts w:cs="Arial" w:hint="cs"/>
          <w:rtl/>
        </w:rPr>
        <w:t>,</w:t>
      </w:r>
      <w:r w:rsidR="00906F60" w:rsidRPr="00C7593A">
        <w:rPr>
          <w:rFonts w:cs="Arial"/>
          <w:rtl/>
        </w:rPr>
        <w:t xml:space="preserve"> ואין זה אומר אמרו</w:t>
      </w:r>
      <w:r w:rsidR="00E27EE3">
        <w:rPr>
          <w:rFonts w:cs="Arial" w:hint="cs"/>
          <w:rtl/>
        </w:rPr>
        <w:t>.</w:t>
      </w:r>
      <w:r w:rsidR="00906F60" w:rsidRPr="00C7593A">
        <w:rPr>
          <w:rFonts w:cs="Arial"/>
          <w:rtl/>
        </w:rPr>
        <w:t xml:space="preserve"> ואף שהב"י כ' שלא אמרו רק להלכה ולא למעשה (וכ"כ הרד"ך עח"מ ס"ק י"ב)</w:t>
      </w:r>
      <w:r w:rsidR="00E27EE3">
        <w:rPr>
          <w:rFonts w:cs="Arial" w:hint="cs"/>
          <w:rtl/>
        </w:rPr>
        <w:t>,</w:t>
      </w:r>
      <w:r w:rsidR="00906F60" w:rsidRPr="00C7593A">
        <w:rPr>
          <w:rFonts w:cs="Arial"/>
          <w:rtl/>
        </w:rPr>
        <w:t xml:space="preserve"> הנה מצאנו גדול האחרונים הרש"ל </w:t>
      </w:r>
      <w:r w:rsidR="00E27EE3">
        <w:rPr>
          <w:rFonts w:cs="Arial" w:hint="cs"/>
          <w:rtl/>
        </w:rPr>
        <w:t>(</w:t>
      </w:r>
      <w:r w:rsidR="00906F60" w:rsidRPr="00C7593A">
        <w:rPr>
          <w:rFonts w:cs="Arial"/>
          <w:rtl/>
        </w:rPr>
        <w:t>ביש"ש גיטין כ'</w:t>
      </w:r>
      <w:r w:rsidR="00E27EE3">
        <w:rPr>
          <w:rFonts w:cs="Arial" w:hint="cs"/>
          <w:rtl/>
        </w:rPr>
        <w:t>)</w:t>
      </w:r>
      <w:r w:rsidR="00906F60" w:rsidRPr="00C7593A">
        <w:rPr>
          <w:rFonts w:cs="Arial"/>
          <w:rtl/>
        </w:rPr>
        <w:t xml:space="preserve"> בפשיטות שיש לסמוך ע"ד הרא"ה והר"ן הלכה למעשה. וגם בענין אומר אמרו גופא דעת הרש"ל שם דבמקום עיגון יש להקל (וזהו ע"פ דברי התוס' גיטין דף ס"ז סוד"ה מתניתין שכתבו א"נ זמנין דתעשה כן אפי' לכתחילה כגון בשעת הדחק)</w:t>
      </w:r>
      <w:r w:rsidR="00E27EE3">
        <w:rPr>
          <w:rFonts w:cs="Arial" w:hint="cs"/>
          <w:rtl/>
        </w:rPr>
        <w:t>.</w:t>
      </w:r>
      <w:r w:rsidR="00906F60" w:rsidRPr="00C7593A">
        <w:rPr>
          <w:rFonts w:cs="Arial"/>
          <w:rtl/>
        </w:rPr>
        <w:t xml:space="preserve"> וכמה ראשונים מקילין ג"כ בזה כמו שהאריך בתשו' בית אפרים </w:t>
      </w:r>
      <w:r w:rsidR="00E27EE3">
        <w:rPr>
          <w:rFonts w:cs="Arial" w:hint="cs"/>
          <w:rtl/>
        </w:rPr>
        <w:t>(</w:t>
      </w:r>
      <w:r w:rsidR="00906F60" w:rsidRPr="00C7593A">
        <w:rPr>
          <w:rFonts w:cs="Arial"/>
          <w:rtl/>
        </w:rPr>
        <w:t>אה"ע סי' קו</w:t>
      </w:r>
      <w:r w:rsidR="00E27EE3">
        <w:rPr>
          <w:rFonts w:cs="Arial" w:hint="cs"/>
          <w:rtl/>
        </w:rPr>
        <w:t>)</w:t>
      </w:r>
      <w:r w:rsidR="00906F60" w:rsidRPr="00C7593A">
        <w:rPr>
          <w:rFonts w:cs="Arial"/>
          <w:rtl/>
        </w:rPr>
        <w:t xml:space="preserve"> וכ' שם שיש ת</w:t>
      </w:r>
      <w:r w:rsidR="00E27EE3">
        <w:rPr>
          <w:rFonts w:cs="Arial" w:hint="cs"/>
          <w:rtl/>
        </w:rPr>
        <w:t>חת ידו</w:t>
      </w:r>
      <w:r w:rsidR="00906F60" w:rsidRPr="00C7593A">
        <w:rPr>
          <w:rFonts w:cs="Arial"/>
          <w:rtl/>
        </w:rPr>
        <w:t xml:space="preserve"> תשובת הגאון מג"ש שמיקל ג"כ במקום עיגון. ומכ"ש בנ"ד שממנה השליחות בעל פה שלא בפניו שלדעת הרא"ה והר"ן לא הוי זה כאומר אמרו</w:t>
      </w:r>
      <w:r w:rsidR="00E27EE3">
        <w:rPr>
          <w:rFonts w:cs="Arial" w:hint="cs"/>
          <w:rtl/>
        </w:rPr>
        <w:t>.</w:t>
      </w:r>
      <w:r w:rsidR="00906F60" w:rsidRPr="00C7593A">
        <w:rPr>
          <w:rFonts w:cs="Arial"/>
          <w:rtl/>
        </w:rPr>
        <w:t xml:space="preserve"> והגם שהרב בעל בית אפרים סיים שמ"מ לא מלאו לבו להקל כיון שדעת הש"ע וגדולי אחרונים להחמיר בזה ולדעת כמה ראשונים יש כאן פסול דאורייתא</w:t>
      </w:r>
      <w:r w:rsidR="00E27EE3">
        <w:rPr>
          <w:rFonts w:cs="Arial" w:hint="cs"/>
          <w:rtl/>
        </w:rPr>
        <w:t>,</w:t>
      </w:r>
      <w:r w:rsidR="00906F60" w:rsidRPr="00C7593A">
        <w:rPr>
          <w:rFonts w:cs="Arial"/>
          <w:rtl/>
        </w:rPr>
        <w:t xml:space="preserve"> הנה בנ"ד שיש עוד צד להקל דעת המקילין היכא שמצוה בכתב ידו דאיש פלוני יהיה סופר שלו ופ' ופ' יהיו עדי חתימה דהרבה מקילין בזה </w:t>
      </w:r>
      <w:r w:rsidR="00A82951">
        <w:rPr>
          <w:rFonts w:cs="Arial" w:hint="cs"/>
          <w:rtl/>
        </w:rPr>
        <w:t>-</w:t>
      </w:r>
      <w:r w:rsidR="00E27EE3">
        <w:rPr>
          <w:rFonts w:cs="Arial" w:hint="cs"/>
          <w:rtl/>
        </w:rPr>
        <w:t xml:space="preserve"> </w:t>
      </w:r>
      <w:r w:rsidR="00906F60" w:rsidRPr="00C7593A">
        <w:rPr>
          <w:rFonts w:cs="Arial"/>
          <w:rtl/>
        </w:rPr>
        <w:t>בצירוף שניהם נוכל לסמוך לעשות מעשה להקל במקום עיגון</w:t>
      </w:r>
      <w:r w:rsidR="00E27EE3">
        <w:rPr>
          <w:rFonts w:cs="Arial" w:hint="cs"/>
          <w:rtl/>
        </w:rPr>
        <w:t>,</w:t>
      </w:r>
      <w:r w:rsidR="00906F60" w:rsidRPr="00C7593A">
        <w:rPr>
          <w:rFonts w:cs="Arial"/>
          <w:rtl/>
        </w:rPr>
        <w:t xml:space="preserve"> כי זולת זה לא יהיה לה תקנה לעולם ע"ש באורך (ועיין בס' בית מאיר מזה)</w:t>
      </w:r>
      <w:r w:rsidR="00E27EE3">
        <w:rPr>
          <w:rFonts w:cs="Arial" w:hint="cs"/>
          <w:rtl/>
        </w:rPr>
        <w:t>.</w:t>
      </w:r>
      <w:r w:rsidR="00906F60" w:rsidRPr="00C7593A">
        <w:rPr>
          <w:rFonts w:cs="Arial"/>
          <w:rtl/>
        </w:rPr>
        <w:t xml:space="preserve"> ולמעשה צ"ע רב בקיבוץ חכמים</w:t>
      </w:r>
      <w:r w:rsidR="00E27EE3">
        <w:rPr>
          <w:rFonts w:cs="Arial" w:hint="cs"/>
          <w:rtl/>
        </w:rPr>
        <w:t>.</w:t>
      </w:r>
    </w:p>
    <w:p w14:paraId="17521C4A" w14:textId="77777777" w:rsidR="00906F60" w:rsidRPr="00486C31" w:rsidRDefault="00906F60" w:rsidP="00486C31">
      <w:pPr>
        <w:rPr>
          <w:rFonts w:cs="Arial"/>
          <w:rtl/>
        </w:rPr>
      </w:pPr>
    </w:p>
    <w:p w14:paraId="1342AD63" w14:textId="148D2F4E" w:rsidR="00486C31" w:rsidRDefault="00486C31" w:rsidP="00786DE6">
      <w:pPr>
        <w:pStyle w:val="2"/>
        <w:rPr>
          <w:rtl/>
        </w:rPr>
      </w:pPr>
      <w:r w:rsidRPr="00486C31">
        <w:rPr>
          <w:rtl/>
        </w:rPr>
        <w:t>סעיף ו</w:t>
      </w:r>
      <w:r w:rsidR="00414972">
        <w:rPr>
          <w:rFonts w:hint="cs"/>
          <w:rtl/>
        </w:rPr>
        <w:t>: נשתתק.</w:t>
      </w:r>
    </w:p>
    <w:p w14:paraId="20B84343" w14:textId="351EF9E8" w:rsidR="00BA15E7" w:rsidRPr="00BA15E7" w:rsidRDefault="00414972" w:rsidP="00BA15E7">
      <w:pPr>
        <w:rPr>
          <w:rtl/>
        </w:rPr>
      </w:pPr>
      <w:r>
        <w:rPr>
          <w:rFonts w:hint="cs"/>
          <w:rtl/>
        </w:rPr>
        <w:t>עיין בסימן קכא סעיף ה.</w:t>
      </w:r>
    </w:p>
    <w:p w14:paraId="41B82E1D" w14:textId="77777777" w:rsidR="00A243D9" w:rsidRPr="007B74F1" w:rsidRDefault="00A243D9" w:rsidP="00A243D9">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0027819" w14:textId="0B6E3EF4" w:rsidR="00486C31" w:rsidRDefault="00486C31" w:rsidP="00486C31">
      <w:pPr>
        <w:rPr>
          <w:rFonts w:cs="Arial"/>
          <w:rtl/>
        </w:rPr>
      </w:pPr>
      <w:r w:rsidRPr="00486C31">
        <w:rPr>
          <w:rFonts w:cs="Arial"/>
          <w:rtl/>
        </w:rPr>
        <w:t xml:space="preserve">מי שנשתתק, ושאלוהו אם רוצה שיכתבו גט לאשתו, והרכין בראשו, יתבאר בסימן שאחר זה. </w:t>
      </w:r>
    </w:p>
    <w:p w14:paraId="1F71D44F" w14:textId="77777777" w:rsidR="00121280" w:rsidRPr="00486C31" w:rsidRDefault="00121280" w:rsidP="00486C31">
      <w:pPr>
        <w:rPr>
          <w:rFonts w:cs="Arial"/>
          <w:rtl/>
        </w:rPr>
      </w:pPr>
    </w:p>
    <w:p w14:paraId="79C61558" w14:textId="5984CA7E" w:rsidR="00486C31" w:rsidRDefault="00486C31" w:rsidP="00786DE6">
      <w:pPr>
        <w:pStyle w:val="2"/>
        <w:rPr>
          <w:rtl/>
        </w:rPr>
      </w:pPr>
      <w:r w:rsidRPr="00486C31">
        <w:rPr>
          <w:rtl/>
        </w:rPr>
        <w:t>סעיף ז</w:t>
      </w:r>
      <w:r w:rsidR="00414972">
        <w:rPr>
          <w:rFonts w:hint="cs"/>
          <w:rtl/>
        </w:rPr>
        <w:t>: אמר לעשרה 'כתבו גט לאשתי'</w:t>
      </w:r>
      <w:r w:rsidR="00E27EE3">
        <w:rPr>
          <w:rFonts w:hint="cs"/>
          <w:rtl/>
        </w:rPr>
        <w:t xml:space="preserve"> או </w:t>
      </w:r>
      <w:r w:rsidR="00E27EE3">
        <w:rPr>
          <w:rFonts w:cs="Arial" w:hint="cs"/>
          <w:rtl/>
        </w:rPr>
        <w:t>'</w:t>
      </w:r>
      <w:r w:rsidR="00E27EE3" w:rsidRPr="00201037">
        <w:rPr>
          <w:rFonts w:cs="Arial"/>
          <w:rtl/>
        </w:rPr>
        <w:t>כולכם כתובו</w:t>
      </w:r>
      <w:r w:rsidR="00E27EE3">
        <w:rPr>
          <w:rFonts w:cs="Arial" w:hint="cs"/>
          <w:rtl/>
        </w:rPr>
        <w:t>'</w:t>
      </w:r>
      <w:r w:rsidR="00414972">
        <w:rPr>
          <w:rFonts w:hint="cs"/>
          <w:rtl/>
        </w:rPr>
        <w:t>.</w:t>
      </w:r>
    </w:p>
    <w:p w14:paraId="56592148" w14:textId="495E3A1E" w:rsidR="00E27EE3" w:rsidRPr="00E27EE3" w:rsidRDefault="00E27EE3" w:rsidP="00E27EE3">
      <w:pPr>
        <w:rPr>
          <w:rtl/>
        </w:rPr>
      </w:pPr>
      <w:r w:rsidRPr="00522384">
        <w:rPr>
          <w:rFonts w:hint="cs"/>
          <w:b/>
          <w:bCs/>
          <w:rtl/>
        </w:rPr>
        <w:t xml:space="preserve">גיטין </w:t>
      </w:r>
      <w:r w:rsidRPr="00522384">
        <w:rPr>
          <w:rFonts w:hint="cs"/>
          <w:b/>
          <w:bCs/>
          <w:sz w:val="16"/>
          <w:szCs w:val="16"/>
          <w:rtl/>
        </w:rPr>
        <w:t>(פ' התקבל)</w:t>
      </w:r>
      <w:r w:rsidRPr="00522384">
        <w:rPr>
          <w:rFonts w:hint="cs"/>
          <w:b/>
          <w:bCs/>
          <w:rtl/>
        </w:rPr>
        <w:t xml:space="preserve"> סז ע"ב:</w:t>
      </w:r>
      <w:r>
        <w:rPr>
          <w:rFonts w:hint="cs"/>
          <w:rtl/>
        </w:rPr>
        <w:t xml:space="preserve"> </w:t>
      </w:r>
      <w:r w:rsidR="00522384" w:rsidRPr="00522384">
        <w:rPr>
          <w:rFonts w:cs="Arial"/>
          <w:rtl/>
        </w:rPr>
        <w:t xml:space="preserve">ת"ר: אמר לעשרה כתבו גט לאשתי </w:t>
      </w:r>
      <w:r w:rsidR="00A82951">
        <w:rPr>
          <w:rFonts w:cs="Arial"/>
          <w:rtl/>
        </w:rPr>
        <w:t>-</w:t>
      </w:r>
      <w:r w:rsidR="00522384" w:rsidRPr="00522384">
        <w:rPr>
          <w:rFonts w:cs="Arial"/>
          <w:rtl/>
        </w:rPr>
        <w:t xml:space="preserve"> אחד כותב על ידי כולם</w:t>
      </w:r>
      <w:r w:rsidR="00522384">
        <w:rPr>
          <w:rStyle w:val="a7"/>
          <w:rFonts w:cs="Arial"/>
          <w:rtl/>
        </w:rPr>
        <w:footnoteReference w:id="185"/>
      </w:r>
      <w:r w:rsidR="00522384">
        <w:rPr>
          <w:rFonts w:cs="Arial" w:hint="cs"/>
          <w:rtl/>
        </w:rPr>
        <w:t>.</w:t>
      </w:r>
      <w:r w:rsidR="00522384" w:rsidRPr="00522384">
        <w:rPr>
          <w:rFonts w:cs="Arial"/>
          <w:rtl/>
        </w:rPr>
        <w:t xml:space="preserve"> כולכם כתובו </w:t>
      </w:r>
      <w:r w:rsidR="00A82951">
        <w:rPr>
          <w:rFonts w:cs="Arial"/>
          <w:rtl/>
        </w:rPr>
        <w:t>-</w:t>
      </w:r>
      <w:r w:rsidR="00522384" w:rsidRPr="00522384">
        <w:rPr>
          <w:rFonts w:cs="Arial"/>
          <w:rtl/>
        </w:rPr>
        <w:t xml:space="preserve"> אחד כותב במעמד כולם</w:t>
      </w:r>
      <w:r w:rsidR="00522384">
        <w:rPr>
          <w:rFonts w:hint="cs"/>
          <w:rtl/>
        </w:rPr>
        <w:t>.</w:t>
      </w:r>
    </w:p>
    <w:p w14:paraId="0D2DC893" w14:textId="3A7B81E6" w:rsidR="00414972" w:rsidRPr="00414972" w:rsidRDefault="00414972" w:rsidP="00E27EE3">
      <w:pPr>
        <w:rPr>
          <w:u w:val="single"/>
          <w:rtl/>
        </w:rPr>
      </w:pPr>
      <w:r w:rsidRPr="00414972">
        <w:rPr>
          <w:rFonts w:hint="cs"/>
          <w:u w:val="single"/>
          <w:rtl/>
        </w:rPr>
        <w:t>אמר לעשרה 'כתבו גט לאשתי'</w:t>
      </w:r>
      <w:r w:rsidR="00E27EE3">
        <w:rPr>
          <w:rFonts w:hint="cs"/>
          <w:u w:val="single"/>
          <w:rtl/>
        </w:rPr>
        <w:t xml:space="preserve"> או </w:t>
      </w:r>
      <w:r w:rsidR="00E27EE3" w:rsidRPr="00E27EE3">
        <w:rPr>
          <w:rFonts w:hint="cs"/>
          <w:u w:val="single"/>
          <w:rtl/>
        </w:rPr>
        <w:t>'</w:t>
      </w:r>
      <w:r w:rsidR="00E27EE3" w:rsidRPr="00E27EE3">
        <w:rPr>
          <w:u w:val="single"/>
          <w:rtl/>
        </w:rPr>
        <w:t>כולכם כתובו</w:t>
      </w:r>
      <w:r w:rsidR="00E27EE3" w:rsidRPr="00E27EE3">
        <w:rPr>
          <w:rFonts w:hint="cs"/>
          <w:u w:val="single"/>
          <w:rtl/>
        </w:rPr>
        <w:t>'</w:t>
      </w:r>
      <w:r w:rsidRPr="00414972">
        <w:rPr>
          <w:rFonts w:hint="cs"/>
          <w:u w:val="single"/>
          <w:rtl/>
        </w:rPr>
        <w:t>:</w:t>
      </w:r>
    </w:p>
    <w:p w14:paraId="42942DBC" w14:textId="33712E3E" w:rsidR="006E369D" w:rsidRPr="006E369D" w:rsidRDefault="00F61E74" w:rsidP="00A65C5F">
      <w:pPr>
        <w:pStyle w:val="ab"/>
        <w:numPr>
          <w:ilvl w:val="0"/>
          <w:numId w:val="24"/>
        </w:numPr>
      </w:pPr>
      <w:r>
        <w:rPr>
          <w:rFonts w:cs="Arial" w:hint="cs"/>
          <w:rtl/>
        </w:rPr>
        <w:t xml:space="preserve">רמב"ם </w:t>
      </w:r>
      <w:r>
        <w:rPr>
          <w:rFonts w:cs="Arial" w:hint="cs"/>
          <w:sz w:val="16"/>
          <w:szCs w:val="16"/>
          <w:rtl/>
        </w:rPr>
        <w:t>(פ"ט מגירושין הכ"ו)</w:t>
      </w:r>
      <w:r>
        <w:rPr>
          <w:rFonts w:cs="Arial" w:hint="cs"/>
          <w:rtl/>
        </w:rPr>
        <w:t xml:space="preserve"> ו</w:t>
      </w:r>
      <w:r w:rsidR="006E369D">
        <w:rPr>
          <w:rFonts w:cs="Arial" w:hint="cs"/>
          <w:rtl/>
        </w:rPr>
        <w:t>טור</w:t>
      </w:r>
      <w:r w:rsidR="00A82951">
        <w:rPr>
          <w:rFonts w:cs="Arial" w:hint="cs"/>
          <w:rtl/>
        </w:rPr>
        <w:t>-</w:t>
      </w:r>
      <w:r w:rsidR="006E369D">
        <w:rPr>
          <w:rFonts w:cs="Arial" w:hint="cs"/>
          <w:rtl/>
        </w:rPr>
        <w:t xml:space="preserve"> </w:t>
      </w:r>
      <w:r w:rsidR="006E369D" w:rsidRPr="00201037">
        <w:rPr>
          <w:rFonts w:cs="Arial"/>
          <w:rtl/>
        </w:rPr>
        <w:t xml:space="preserve">אמר לעשרה </w:t>
      </w:r>
      <w:r w:rsidR="00E27EE3">
        <w:rPr>
          <w:rFonts w:cs="Arial" w:hint="cs"/>
          <w:rtl/>
        </w:rPr>
        <w:t>'</w:t>
      </w:r>
      <w:r w:rsidR="006E369D" w:rsidRPr="00201037">
        <w:rPr>
          <w:rFonts w:cs="Arial"/>
          <w:rtl/>
        </w:rPr>
        <w:t>כתבו גט לאשתי</w:t>
      </w:r>
      <w:r w:rsidR="00E27EE3">
        <w:rPr>
          <w:rFonts w:cs="Arial" w:hint="cs"/>
          <w:rtl/>
        </w:rPr>
        <w:t xml:space="preserve">' </w:t>
      </w:r>
      <w:r w:rsidR="00A82951">
        <w:rPr>
          <w:rFonts w:cs="Arial" w:hint="cs"/>
          <w:rtl/>
        </w:rPr>
        <w:t>-</w:t>
      </w:r>
      <w:r w:rsidR="006E369D" w:rsidRPr="00201037">
        <w:rPr>
          <w:rFonts w:cs="Arial"/>
          <w:rtl/>
        </w:rPr>
        <w:t xml:space="preserve"> אחד כותב ע</w:t>
      </w:r>
      <w:r w:rsidR="00E27EE3">
        <w:rPr>
          <w:rFonts w:cs="Arial" w:hint="cs"/>
          <w:rtl/>
        </w:rPr>
        <w:t>ל ידי</w:t>
      </w:r>
      <w:r w:rsidR="006E369D" w:rsidRPr="00201037">
        <w:rPr>
          <w:rFonts w:cs="Arial"/>
          <w:rtl/>
        </w:rPr>
        <w:t xml:space="preserve"> כולם</w:t>
      </w:r>
      <w:r w:rsidR="00E27EE3">
        <w:rPr>
          <w:rFonts w:cs="Arial" w:hint="cs"/>
          <w:rtl/>
        </w:rPr>
        <w:t>.</w:t>
      </w:r>
      <w:r w:rsidR="006E369D" w:rsidRPr="00201037">
        <w:rPr>
          <w:rFonts w:cs="Arial"/>
          <w:rtl/>
        </w:rPr>
        <w:t xml:space="preserve"> </w:t>
      </w:r>
      <w:r w:rsidR="00E27EE3">
        <w:rPr>
          <w:rFonts w:cs="Arial" w:hint="cs"/>
          <w:rtl/>
        </w:rPr>
        <w:t>'</w:t>
      </w:r>
      <w:r w:rsidR="006E369D" w:rsidRPr="00201037">
        <w:rPr>
          <w:rFonts w:cs="Arial"/>
          <w:rtl/>
        </w:rPr>
        <w:t>כולכם כתובו</w:t>
      </w:r>
      <w:r w:rsidR="00E27EE3">
        <w:rPr>
          <w:rFonts w:cs="Arial" w:hint="cs"/>
          <w:rtl/>
        </w:rPr>
        <w:t>'</w:t>
      </w:r>
      <w:r w:rsidR="006E369D" w:rsidRPr="00201037">
        <w:rPr>
          <w:rFonts w:cs="Arial"/>
          <w:rtl/>
        </w:rPr>
        <w:t xml:space="preserve"> </w:t>
      </w:r>
      <w:r w:rsidR="00A82951">
        <w:rPr>
          <w:rFonts w:cs="Arial" w:hint="cs"/>
          <w:rtl/>
        </w:rPr>
        <w:t>-</w:t>
      </w:r>
      <w:r w:rsidR="00E27EE3">
        <w:rPr>
          <w:rFonts w:cs="Arial" w:hint="cs"/>
          <w:rtl/>
        </w:rPr>
        <w:t xml:space="preserve"> </w:t>
      </w:r>
      <w:r w:rsidR="006E369D" w:rsidRPr="00201037">
        <w:rPr>
          <w:rFonts w:cs="Arial"/>
          <w:rtl/>
        </w:rPr>
        <w:t>אחד כותב במעמד כולם</w:t>
      </w:r>
      <w:r w:rsidR="00CF317A">
        <w:rPr>
          <w:rFonts w:cs="Arial" w:hint="cs"/>
          <w:sz w:val="16"/>
          <w:szCs w:val="16"/>
          <w:rtl/>
        </w:rPr>
        <w:t xml:space="preserve"> (ל' הטור)</w:t>
      </w:r>
      <w:r w:rsidR="006E369D">
        <w:rPr>
          <w:rFonts w:cs="Arial" w:hint="cs"/>
          <w:rtl/>
        </w:rPr>
        <w:t>.</w:t>
      </w:r>
      <w:r w:rsidR="006E369D" w:rsidRPr="00201037">
        <w:rPr>
          <w:rFonts w:cs="Arial"/>
          <w:rtl/>
        </w:rPr>
        <w:t xml:space="preserve"> </w:t>
      </w:r>
      <w:r w:rsidRPr="00F61E74">
        <w:rPr>
          <w:rFonts w:cs="Arial" w:hint="cs"/>
          <w:color w:val="E36C0A" w:themeColor="accent6" w:themeShade="BF"/>
          <w:rtl/>
        </w:rPr>
        <w:t>(וכ"פ בשו"ע)</w:t>
      </w:r>
    </w:p>
    <w:p w14:paraId="51CDDDE2" w14:textId="77777777" w:rsidR="00A243D9" w:rsidRPr="007B74F1" w:rsidRDefault="00A243D9" w:rsidP="00A243D9">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F2DCF00" w14:textId="0258C213" w:rsidR="00486C31" w:rsidRDefault="00486C31" w:rsidP="00486C31">
      <w:pPr>
        <w:rPr>
          <w:rFonts w:cs="Arial"/>
          <w:rtl/>
        </w:rPr>
      </w:pPr>
      <w:r w:rsidRPr="00486C31">
        <w:rPr>
          <w:rFonts w:cs="Arial"/>
          <w:rtl/>
        </w:rPr>
        <w:t>אמר לעשרה: כתבו גט לאשתי, אחד</w:t>
      </w:r>
      <w:r w:rsidR="00724496">
        <w:rPr>
          <w:rStyle w:val="a7"/>
          <w:rFonts w:cs="Arial"/>
          <w:rtl/>
        </w:rPr>
        <w:footnoteReference w:id="186"/>
      </w:r>
      <w:r w:rsidRPr="00486C31">
        <w:rPr>
          <w:rFonts w:cs="Arial"/>
          <w:rtl/>
        </w:rPr>
        <w:t xml:space="preserve"> כותב בשביל כולם</w:t>
      </w:r>
      <w:r w:rsidR="00724496">
        <w:rPr>
          <w:rStyle w:val="a7"/>
          <w:rFonts w:cs="Arial"/>
          <w:rtl/>
        </w:rPr>
        <w:footnoteReference w:id="187"/>
      </w:r>
      <w:r w:rsidRPr="00486C31">
        <w:rPr>
          <w:rFonts w:cs="Arial"/>
          <w:rtl/>
        </w:rPr>
        <w:t xml:space="preserve">. ואם אמר: כלכם כתובו, אחד כותב במעמד כולם. </w:t>
      </w:r>
    </w:p>
    <w:p w14:paraId="002EA590" w14:textId="77777777" w:rsidR="00121280" w:rsidRPr="00486C31" w:rsidRDefault="00121280" w:rsidP="00486C31">
      <w:pPr>
        <w:rPr>
          <w:rFonts w:cs="Arial"/>
          <w:rtl/>
        </w:rPr>
      </w:pPr>
    </w:p>
    <w:p w14:paraId="5B6B0858" w14:textId="11AEB8CE" w:rsidR="00486C31" w:rsidRDefault="00486C31" w:rsidP="00786DE6">
      <w:pPr>
        <w:pStyle w:val="2"/>
        <w:rPr>
          <w:rtl/>
        </w:rPr>
      </w:pPr>
      <w:r w:rsidRPr="00486C31">
        <w:rPr>
          <w:rtl/>
        </w:rPr>
        <w:lastRenderedPageBreak/>
        <w:t>סעיף ח</w:t>
      </w:r>
      <w:r w:rsidR="003E0C14">
        <w:rPr>
          <w:rFonts w:hint="cs"/>
          <w:rtl/>
        </w:rPr>
        <w:t xml:space="preserve">: </w:t>
      </w:r>
      <w:r w:rsidR="009E2BE2">
        <w:rPr>
          <w:rFonts w:hint="cs"/>
          <w:rtl/>
        </w:rPr>
        <w:t>א</w:t>
      </w:r>
      <w:r w:rsidR="009E2BE2" w:rsidRPr="00486C31">
        <w:rPr>
          <w:rtl/>
        </w:rPr>
        <w:t xml:space="preserve">מר לעשרה </w:t>
      </w:r>
      <w:r w:rsidR="009E2BE2">
        <w:rPr>
          <w:rFonts w:hint="cs"/>
          <w:rtl/>
        </w:rPr>
        <w:t>'</w:t>
      </w:r>
      <w:r w:rsidR="009E2BE2" w:rsidRPr="00486C31">
        <w:rPr>
          <w:rtl/>
        </w:rPr>
        <w:t>כתבו וחתמו ותנו גט לאשתי</w:t>
      </w:r>
      <w:r w:rsidR="009E2BE2">
        <w:rPr>
          <w:rFonts w:hint="cs"/>
          <w:rtl/>
        </w:rPr>
        <w:t>'.</w:t>
      </w:r>
    </w:p>
    <w:p w14:paraId="1B81111F" w14:textId="56BD40DA" w:rsidR="003E0C14" w:rsidRDefault="003E0C14" w:rsidP="003E0C14">
      <w:pPr>
        <w:rPr>
          <w:rtl/>
        </w:rPr>
      </w:pPr>
      <w:r w:rsidRPr="00522384">
        <w:rPr>
          <w:rFonts w:hint="cs"/>
          <w:b/>
          <w:bCs/>
          <w:rtl/>
        </w:rPr>
        <w:t xml:space="preserve">גיטין </w:t>
      </w:r>
      <w:r w:rsidRPr="00522384">
        <w:rPr>
          <w:rFonts w:hint="cs"/>
          <w:b/>
          <w:bCs/>
          <w:sz w:val="16"/>
          <w:szCs w:val="16"/>
          <w:rtl/>
        </w:rPr>
        <w:t>(פ' התקבל)</w:t>
      </w:r>
      <w:r w:rsidRPr="00522384">
        <w:rPr>
          <w:rFonts w:hint="cs"/>
          <w:b/>
          <w:bCs/>
          <w:rtl/>
        </w:rPr>
        <w:t xml:space="preserve"> ס</w:t>
      </w:r>
      <w:r>
        <w:rPr>
          <w:rFonts w:hint="cs"/>
          <w:b/>
          <w:bCs/>
          <w:rtl/>
        </w:rPr>
        <w:t>ו</w:t>
      </w:r>
      <w:r w:rsidRPr="00522384">
        <w:rPr>
          <w:rFonts w:hint="cs"/>
          <w:b/>
          <w:bCs/>
          <w:rtl/>
        </w:rPr>
        <w:t xml:space="preserve"> ע"ב:</w:t>
      </w:r>
      <w:r>
        <w:rPr>
          <w:rFonts w:hint="cs"/>
          <w:rtl/>
        </w:rPr>
        <w:t xml:space="preserve"> </w:t>
      </w:r>
      <w:r w:rsidRPr="003E0C14">
        <w:rPr>
          <w:rFonts w:cs="Arial" w:hint="cs"/>
          <w:u w:val="double"/>
          <w:rtl/>
        </w:rPr>
        <w:t>מתני'</w:t>
      </w:r>
      <w:r>
        <w:rPr>
          <w:rFonts w:cs="Arial" w:hint="cs"/>
          <w:rtl/>
        </w:rPr>
        <w:t xml:space="preserve">:... </w:t>
      </w:r>
      <w:r w:rsidRPr="003E0C14">
        <w:rPr>
          <w:rFonts w:cs="Arial"/>
          <w:rtl/>
        </w:rPr>
        <w:t xml:space="preserve">אמר לעשרה כתבו ותנו גט לאשתי </w:t>
      </w:r>
      <w:r w:rsidR="00A82951">
        <w:rPr>
          <w:rFonts w:cs="Arial"/>
          <w:rtl/>
        </w:rPr>
        <w:t>-</w:t>
      </w:r>
      <w:r w:rsidRPr="003E0C14">
        <w:rPr>
          <w:rFonts w:cs="Arial"/>
          <w:rtl/>
        </w:rPr>
        <w:t xml:space="preserve"> אחד כותב ושנים חותמין, כולכם כתובו </w:t>
      </w:r>
      <w:r w:rsidR="00A82951">
        <w:rPr>
          <w:rFonts w:cs="Arial"/>
          <w:rtl/>
        </w:rPr>
        <w:t>-</w:t>
      </w:r>
      <w:r w:rsidRPr="003E0C14">
        <w:rPr>
          <w:rFonts w:cs="Arial"/>
          <w:rtl/>
        </w:rPr>
        <w:t xml:space="preserve"> אחד כותב וכולם חותמין, לפיכך אם מת אחד מהן </w:t>
      </w:r>
      <w:r w:rsidR="00A82951">
        <w:rPr>
          <w:rFonts w:cs="Arial"/>
          <w:rtl/>
        </w:rPr>
        <w:t>-</w:t>
      </w:r>
      <w:r w:rsidRPr="003E0C14">
        <w:rPr>
          <w:rFonts w:cs="Arial"/>
          <w:rtl/>
        </w:rPr>
        <w:t xml:space="preserve"> הרי זה גט בטל. </w:t>
      </w:r>
      <w:r>
        <w:rPr>
          <w:rFonts w:cs="Arial" w:hint="cs"/>
          <w:rtl/>
        </w:rPr>
        <w:t xml:space="preserve">      </w:t>
      </w:r>
      <w:r w:rsidRPr="003E0C14">
        <w:rPr>
          <w:rFonts w:cs="Arial" w:hint="cs"/>
          <w:u w:val="double"/>
          <w:rtl/>
        </w:rPr>
        <w:t>גמ'</w:t>
      </w:r>
      <w:r w:rsidRPr="003E0C14">
        <w:rPr>
          <w:rFonts w:cs="Arial" w:hint="cs"/>
          <w:sz w:val="14"/>
          <w:szCs w:val="14"/>
          <w:u w:val="double"/>
          <w:rtl/>
        </w:rPr>
        <w:t>(סז:)</w:t>
      </w:r>
      <w:r w:rsidRPr="003E0C14">
        <w:rPr>
          <w:rFonts w:cs="Arial" w:hint="cs"/>
          <w:u w:val="double"/>
          <w:rtl/>
        </w:rPr>
        <w:t>:</w:t>
      </w:r>
      <w:r>
        <w:rPr>
          <w:rFonts w:cs="Arial" w:hint="cs"/>
          <w:rtl/>
        </w:rPr>
        <w:t xml:space="preserve"> </w:t>
      </w:r>
      <w:r w:rsidRPr="003E0C14">
        <w:rPr>
          <w:rFonts w:cs="Arial"/>
          <w:rtl/>
        </w:rPr>
        <w:t xml:space="preserve">אמר לעשרה כתבו גט. ת"ר: אמר לעשרה כתבו גט ותנו לאשתי </w:t>
      </w:r>
      <w:r w:rsidR="00A82951">
        <w:rPr>
          <w:rFonts w:cs="Arial"/>
          <w:rtl/>
        </w:rPr>
        <w:t>-</w:t>
      </w:r>
      <w:r w:rsidRPr="003E0C14">
        <w:rPr>
          <w:rFonts w:cs="Arial"/>
          <w:rtl/>
        </w:rPr>
        <w:t xml:space="preserve"> אחד כותב על ידי כולם, כולכם כתובו </w:t>
      </w:r>
      <w:r w:rsidR="00A82951">
        <w:rPr>
          <w:rFonts w:cs="Arial"/>
          <w:rtl/>
        </w:rPr>
        <w:t>-</w:t>
      </w:r>
      <w:r w:rsidRPr="003E0C14">
        <w:rPr>
          <w:rFonts w:cs="Arial"/>
          <w:rtl/>
        </w:rPr>
        <w:t xml:space="preserve"> אחד כותב במעמד כולם; הוליכו גט לאשתי </w:t>
      </w:r>
      <w:r w:rsidR="00A82951">
        <w:rPr>
          <w:rFonts w:cs="Arial"/>
          <w:rtl/>
        </w:rPr>
        <w:t>-</w:t>
      </w:r>
      <w:r w:rsidRPr="003E0C14">
        <w:rPr>
          <w:rFonts w:cs="Arial"/>
          <w:rtl/>
        </w:rPr>
        <w:t xml:space="preserve"> אחד מוליך ע"י כולם</w:t>
      </w:r>
      <w:r w:rsidR="00980814">
        <w:rPr>
          <w:rStyle w:val="a7"/>
          <w:rFonts w:cs="Arial"/>
          <w:rtl/>
        </w:rPr>
        <w:footnoteReference w:id="188"/>
      </w:r>
      <w:r w:rsidRPr="003E0C14">
        <w:rPr>
          <w:rFonts w:cs="Arial"/>
          <w:rtl/>
        </w:rPr>
        <w:t xml:space="preserve">, כולכם הוליכו </w:t>
      </w:r>
      <w:r w:rsidR="00A82951">
        <w:rPr>
          <w:rFonts w:cs="Arial"/>
          <w:rtl/>
        </w:rPr>
        <w:t>-</w:t>
      </w:r>
      <w:r w:rsidRPr="003E0C14">
        <w:rPr>
          <w:rFonts w:cs="Arial"/>
          <w:rtl/>
        </w:rPr>
        <w:t xml:space="preserve"> אחד מוליך במעמד כולם. </w:t>
      </w:r>
    </w:p>
    <w:p w14:paraId="01F9C988" w14:textId="4EEACB0A" w:rsidR="009E2BE2" w:rsidRPr="009E2BE2" w:rsidRDefault="009E2BE2" w:rsidP="003E0C14">
      <w:pPr>
        <w:rPr>
          <w:u w:val="single"/>
          <w:rtl/>
        </w:rPr>
      </w:pPr>
      <w:r w:rsidRPr="009E2BE2">
        <w:rPr>
          <w:rFonts w:cs="Arial" w:hint="cs"/>
          <w:u w:val="single"/>
          <w:rtl/>
        </w:rPr>
        <w:t>א</w:t>
      </w:r>
      <w:r w:rsidRPr="009E2BE2">
        <w:rPr>
          <w:rFonts w:cs="Arial"/>
          <w:u w:val="single"/>
          <w:rtl/>
        </w:rPr>
        <w:t xml:space="preserve">מר לעשרה </w:t>
      </w:r>
      <w:r w:rsidRPr="009E2BE2">
        <w:rPr>
          <w:rFonts w:cs="Arial" w:hint="cs"/>
          <w:u w:val="single"/>
          <w:rtl/>
        </w:rPr>
        <w:t>'</w:t>
      </w:r>
      <w:r w:rsidRPr="009E2BE2">
        <w:rPr>
          <w:rFonts w:cs="Arial"/>
          <w:u w:val="single"/>
          <w:rtl/>
        </w:rPr>
        <w:t>כתבו וחתמו ותנו גט לאשתי</w:t>
      </w:r>
      <w:r w:rsidRPr="009E2BE2">
        <w:rPr>
          <w:rFonts w:hint="cs"/>
          <w:u w:val="single"/>
          <w:rtl/>
        </w:rPr>
        <w:t>':</w:t>
      </w:r>
    </w:p>
    <w:p w14:paraId="0470AAFD" w14:textId="711F5CC1" w:rsidR="009E2BE2" w:rsidRPr="009E2BE2" w:rsidRDefault="00980814" w:rsidP="00A65C5F">
      <w:pPr>
        <w:pStyle w:val="ab"/>
        <w:numPr>
          <w:ilvl w:val="0"/>
          <w:numId w:val="24"/>
        </w:numPr>
      </w:pPr>
      <w:r w:rsidRPr="00201037">
        <w:rPr>
          <w:rFonts w:cs="Arial"/>
          <w:rtl/>
        </w:rPr>
        <w:t>רמב"ם</w:t>
      </w:r>
      <w:r>
        <w:rPr>
          <w:rFonts w:cs="Arial" w:hint="cs"/>
          <w:sz w:val="16"/>
          <w:szCs w:val="16"/>
          <w:rtl/>
        </w:rPr>
        <w:t xml:space="preserve"> (פ"ט מגירושין הכ"ז)</w:t>
      </w:r>
      <w:r>
        <w:rPr>
          <w:rFonts w:cs="Arial" w:hint="cs"/>
          <w:rtl/>
        </w:rPr>
        <w:t xml:space="preserve"> ו</w:t>
      </w:r>
      <w:r w:rsidR="006E369D">
        <w:rPr>
          <w:rFonts w:cs="Arial" w:hint="cs"/>
          <w:rtl/>
        </w:rPr>
        <w:t>טור</w:t>
      </w:r>
      <w:r w:rsidR="00A82951">
        <w:rPr>
          <w:rFonts w:cs="Arial" w:hint="cs"/>
          <w:rtl/>
        </w:rPr>
        <w:t>-</w:t>
      </w:r>
      <w:r w:rsidR="006E369D">
        <w:rPr>
          <w:rFonts w:cs="Arial" w:hint="cs"/>
          <w:rtl/>
        </w:rPr>
        <w:t xml:space="preserve"> </w:t>
      </w:r>
      <w:r w:rsidR="006E369D" w:rsidRPr="00201037">
        <w:rPr>
          <w:rFonts w:cs="Arial"/>
          <w:rtl/>
        </w:rPr>
        <w:t xml:space="preserve">אמר לעשרה כתבו וחתמו ותנו גט לאשתי </w:t>
      </w:r>
      <w:r w:rsidR="00A82951">
        <w:rPr>
          <w:rFonts w:cs="Arial" w:hint="cs"/>
          <w:rtl/>
        </w:rPr>
        <w:t>-</w:t>
      </w:r>
      <w:r w:rsidR="009E2BE2">
        <w:rPr>
          <w:rFonts w:cs="Arial" w:hint="cs"/>
          <w:rtl/>
        </w:rPr>
        <w:t xml:space="preserve"> </w:t>
      </w:r>
      <w:r w:rsidR="006E369D" w:rsidRPr="00201037">
        <w:rPr>
          <w:rFonts w:cs="Arial"/>
          <w:rtl/>
        </w:rPr>
        <w:t>אחד כותב</w:t>
      </w:r>
      <w:r w:rsidR="009E2BE2">
        <w:rPr>
          <w:rFonts w:cs="Arial" w:hint="cs"/>
          <w:rtl/>
        </w:rPr>
        <w:t>,</w:t>
      </w:r>
      <w:r w:rsidR="006E369D" w:rsidRPr="00201037">
        <w:rPr>
          <w:rFonts w:cs="Arial"/>
          <w:rtl/>
        </w:rPr>
        <w:t xml:space="preserve"> ושנים חותמים</w:t>
      </w:r>
      <w:r w:rsidR="009E2BE2">
        <w:rPr>
          <w:rFonts w:cs="Arial" w:hint="cs"/>
          <w:rtl/>
        </w:rPr>
        <w:t>,</w:t>
      </w:r>
      <w:r w:rsidR="006E369D" w:rsidRPr="00201037">
        <w:rPr>
          <w:rFonts w:cs="Arial"/>
          <w:rtl/>
        </w:rPr>
        <w:t xml:space="preserve"> ואחד נותן</w:t>
      </w:r>
      <w:r>
        <w:rPr>
          <w:rFonts w:cs="Arial" w:hint="cs"/>
          <w:sz w:val="16"/>
          <w:szCs w:val="16"/>
          <w:rtl/>
        </w:rPr>
        <w:t xml:space="preserve"> (ל' הטור)</w:t>
      </w:r>
      <w:r w:rsidR="009E2BE2">
        <w:rPr>
          <w:rFonts w:cs="Arial" w:hint="cs"/>
          <w:rtl/>
        </w:rPr>
        <w:t>.</w:t>
      </w:r>
      <w:r w:rsidR="006E369D" w:rsidRPr="00201037">
        <w:rPr>
          <w:rFonts w:cs="Arial"/>
          <w:rtl/>
        </w:rPr>
        <w:t xml:space="preserve"> </w:t>
      </w:r>
      <w:r w:rsidRPr="00980814">
        <w:rPr>
          <w:rFonts w:hint="cs"/>
          <w:color w:val="E36C0A" w:themeColor="accent6" w:themeShade="BF"/>
          <w:rtl/>
        </w:rPr>
        <w:t>(וכ"פ בשו"ע)</w:t>
      </w:r>
    </w:p>
    <w:p w14:paraId="7FC9EA60" w14:textId="421A1F32" w:rsidR="009E2BE2" w:rsidRPr="00980814" w:rsidRDefault="009E2BE2" w:rsidP="009E2BE2">
      <w:pPr>
        <w:ind w:left="360"/>
        <w:rPr>
          <w:u w:val="dotted"/>
        </w:rPr>
      </w:pPr>
      <w:r w:rsidRPr="00980814">
        <w:rPr>
          <w:rFonts w:hint="cs"/>
          <w:u w:val="dotted"/>
          <w:rtl/>
        </w:rPr>
        <w:t xml:space="preserve">ומה הדין אם </w:t>
      </w:r>
      <w:r w:rsidR="00980814" w:rsidRPr="00980814">
        <w:rPr>
          <w:rFonts w:hint="cs"/>
          <w:u w:val="dotted"/>
          <w:rtl/>
        </w:rPr>
        <w:t>העד שכתב את הגט גם חתם וג</w:t>
      </w:r>
      <w:r w:rsidR="00980814">
        <w:rPr>
          <w:rFonts w:hint="cs"/>
          <w:u w:val="dotted"/>
          <w:rtl/>
        </w:rPr>
        <w:t>ם</w:t>
      </w:r>
      <w:r w:rsidR="00980814" w:rsidRPr="00980814">
        <w:rPr>
          <w:rFonts w:hint="cs"/>
          <w:u w:val="dotted"/>
          <w:rtl/>
        </w:rPr>
        <w:t xml:space="preserve"> נתן:</w:t>
      </w:r>
    </w:p>
    <w:p w14:paraId="1903E899" w14:textId="6F3B15D8" w:rsidR="006E369D" w:rsidRPr="006E369D" w:rsidRDefault="006E369D" w:rsidP="00A65C5F">
      <w:pPr>
        <w:pStyle w:val="ab"/>
        <w:numPr>
          <w:ilvl w:val="0"/>
          <w:numId w:val="24"/>
        </w:numPr>
      </w:pPr>
      <w:r w:rsidRPr="00201037">
        <w:rPr>
          <w:rFonts w:cs="Arial"/>
          <w:rtl/>
        </w:rPr>
        <w:t>רמב"ם</w:t>
      </w:r>
      <w:r w:rsidR="00980814">
        <w:rPr>
          <w:rFonts w:cs="Arial" w:hint="cs"/>
          <w:sz w:val="16"/>
          <w:szCs w:val="16"/>
          <w:rtl/>
        </w:rPr>
        <w:t xml:space="preserve"> (שם)</w:t>
      </w:r>
      <w:r w:rsidR="00A82951">
        <w:rPr>
          <w:rFonts w:cs="Arial" w:hint="cs"/>
          <w:rtl/>
        </w:rPr>
        <w:t>-</w:t>
      </w:r>
      <w:r w:rsidRPr="00201037">
        <w:rPr>
          <w:rFonts w:cs="Arial"/>
          <w:rtl/>
        </w:rPr>
        <w:t xml:space="preserve"> </w:t>
      </w:r>
      <w:r w:rsidR="00980814" w:rsidRPr="00980814">
        <w:rPr>
          <w:rFonts w:cs="Arial"/>
          <w:rtl/>
        </w:rPr>
        <w:t xml:space="preserve">ואפילו היה הכותב אחד משני העדים שחתמו בו והוא השליח שנתנו לה </w:t>
      </w:r>
      <w:r w:rsidR="00E3046A">
        <w:rPr>
          <w:rFonts w:cs="Arial" w:hint="cs"/>
          <w:rtl/>
        </w:rPr>
        <w:t xml:space="preserve">- </w:t>
      </w:r>
      <w:r w:rsidR="00980814" w:rsidRPr="00980814">
        <w:rPr>
          <w:rFonts w:cs="Arial"/>
          <w:rtl/>
        </w:rPr>
        <w:t>הרי זה כשר</w:t>
      </w:r>
      <w:r w:rsidR="00980814">
        <w:rPr>
          <w:rStyle w:val="a7"/>
          <w:rFonts w:cs="Arial"/>
          <w:rtl/>
        </w:rPr>
        <w:footnoteReference w:id="189"/>
      </w:r>
      <w:r w:rsidR="00980814">
        <w:rPr>
          <w:rFonts w:cs="Arial" w:hint="cs"/>
          <w:rtl/>
        </w:rPr>
        <w:t>.</w:t>
      </w:r>
      <w:r w:rsidRPr="00201037">
        <w:rPr>
          <w:rFonts w:cs="Arial"/>
          <w:rtl/>
        </w:rPr>
        <w:t xml:space="preserve"> </w:t>
      </w:r>
    </w:p>
    <w:p w14:paraId="61C60EA7" w14:textId="77777777" w:rsidR="00A243D9" w:rsidRPr="007B74F1" w:rsidRDefault="00A243D9" w:rsidP="00A243D9">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42BED8A" w14:textId="78CD73E7" w:rsidR="00486C31" w:rsidRDefault="00486C31" w:rsidP="00486C31">
      <w:pPr>
        <w:rPr>
          <w:rFonts w:cs="Arial"/>
          <w:rtl/>
        </w:rPr>
      </w:pPr>
      <w:r w:rsidRPr="00486C31">
        <w:rPr>
          <w:rFonts w:cs="Arial"/>
          <w:rtl/>
        </w:rPr>
        <w:t>אמר לעשרה: כתבו וחתמו ותנו גט לאשתי, א</w:t>
      </w:r>
      <w:r w:rsidR="00121280">
        <w:rPr>
          <w:rFonts w:cs="Arial" w:hint="cs"/>
          <w:rtl/>
        </w:rPr>
        <w:t>חד</w:t>
      </w:r>
      <w:r w:rsidRPr="00486C31">
        <w:rPr>
          <w:rFonts w:cs="Arial"/>
          <w:rtl/>
        </w:rPr>
        <w:t xml:space="preserve"> כותב</w:t>
      </w:r>
      <w:r w:rsidR="00834792">
        <w:rPr>
          <w:rStyle w:val="a7"/>
          <w:rFonts w:cs="Arial"/>
          <w:rtl/>
        </w:rPr>
        <w:footnoteReference w:id="190"/>
      </w:r>
      <w:r w:rsidR="00121280">
        <w:rPr>
          <w:rFonts w:cs="Arial" w:hint="cs"/>
          <w:rtl/>
        </w:rPr>
        <w:t>,</w:t>
      </w:r>
      <w:r w:rsidRPr="00486C31">
        <w:rPr>
          <w:rFonts w:cs="Arial"/>
          <w:rtl/>
        </w:rPr>
        <w:t xml:space="preserve"> ושנים חותמים</w:t>
      </w:r>
      <w:r w:rsidR="00121280">
        <w:rPr>
          <w:rFonts w:cs="Arial" w:hint="cs"/>
          <w:rtl/>
        </w:rPr>
        <w:t>,</w:t>
      </w:r>
      <w:r w:rsidRPr="00486C31">
        <w:rPr>
          <w:rFonts w:cs="Arial"/>
          <w:rtl/>
        </w:rPr>
        <w:t xml:space="preserve"> ואחד נותן. </w:t>
      </w:r>
    </w:p>
    <w:p w14:paraId="623BB741" w14:textId="77777777" w:rsidR="005D4184" w:rsidRDefault="005D4184" w:rsidP="005D4184">
      <w:pPr>
        <w:rPr>
          <w:rFonts w:cs="Arial"/>
          <w:rtl/>
        </w:rPr>
      </w:pPr>
      <w:r w:rsidRPr="005D4184">
        <w:rPr>
          <w:rFonts w:cs="Arial" w:hint="cs"/>
          <w:u w:val="single"/>
          <w:rtl/>
        </w:rPr>
        <w:t>מינוי שליח להולכת הגט קודם שהגט נכתב:</w:t>
      </w:r>
      <w:r>
        <w:rPr>
          <w:rFonts w:cs="Arial" w:hint="cs"/>
          <w:rtl/>
        </w:rPr>
        <w:t xml:space="preserve"> </w:t>
      </w:r>
      <w:r w:rsidR="003B5427" w:rsidRPr="005D4184">
        <w:rPr>
          <w:rFonts w:cs="Arial"/>
          <w:sz w:val="16"/>
          <w:szCs w:val="16"/>
          <w:rtl/>
        </w:rPr>
        <w:t>(</w:t>
      </w:r>
      <w:r w:rsidRPr="005D4184">
        <w:rPr>
          <w:rFonts w:cs="Arial" w:hint="cs"/>
          <w:sz w:val="16"/>
          <w:szCs w:val="16"/>
          <w:rtl/>
        </w:rPr>
        <w:t>פת"ש סק"</w:t>
      </w:r>
      <w:r w:rsidR="003B5427" w:rsidRPr="005D4184">
        <w:rPr>
          <w:rFonts w:cs="Arial"/>
          <w:sz w:val="16"/>
          <w:szCs w:val="16"/>
          <w:rtl/>
        </w:rPr>
        <w:t>כ)</w:t>
      </w:r>
      <w:r w:rsidR="003B5427" w:rsidRPr="003B5427">
        <w:rPr>
          <w:rFonts w:cs="Arial"/>
          <w:rtl/>
        </w:rPr>
        <w:t xml:space="preserve"> </w:t>
      </w:r>
    </w:p>
    <w:p w14:paraId="1D148730" w14:textId="58FB7B50" w:rsidR="00834792" w:rsidRDefault="003B5427" w:rsidP="00A65C5F">
      <w:pPr>
        <w:pStyle w:val="ab"/>
        <w:numPr>
          <w:ilvl w:val="0"/>
          <w:numId w:val="24"/>
        </w:numPr>
        <w:rPr>
          <w:rFonts w:cs="Arial"/>
        </w:rPr>
      </w:pPr>
      <w:r w:rsidRPr="005D4184">
        <w:rPr>
          <w:rFonts w:cs="Arial"/>
          <w:rtl/>
        </w:rPr>
        <w:t xml:space="preserve">דורש לציון </w:t>
      </w:r>
      <w:r w:rsidR="005D4184" w:rsidRPr="005D4184">
        <w:rPr>
          <w:rFonts w:cs="Arial" w:hint="cs"/>
          <w:sz w:val="16"/>
          <w:szCs w:val="16"/>
          <w:rtl/>
        </w:rPr>
        <w:t>(</w:t>
      </w:r>
      <w:r w:rsidRPr="005D4184">
        <w:rPr>
          <w:rFonts w:cs="Arial"/>
          <w:sz w:val="16"/>
          <w:szCs w:val="16"/>
          <w:rtl/>
        </w:rPr>
        <w:t>דרוש יג</w:t>
      </w:r>
      <w:r w:rsidR="005D4184" w:rsidRPr="005D4184">
        <w:rPr>
          <w:rFonts w:cs="Arial" w:hint="cs"/>
          <w:sz w:val="16"/>
          <w:szCs w:val="16"/>
          <w:rtl/>
        </w:rPr>
        <w:t>)</w:t>
      </w:r>
      <w:r w:rsidR="00A82951">
        <w:rPr>
          <w:rFonts w:cs="Arial" w:hint="cs"/>
          <w:rtl/>
        </w:rPr>
        <w:t>-</w:t>
      </w:r>
      <w:r w:rsidRPr="005D4184">
        <w:rPr>
          <w:rFonts w:cs="Arial"/>
          <w:rtl/>
        </w:rPr>
        <w:t xml:space="preserve"> שיטת התוס' בנזיר </w:t>
      </w:r>
      <w:r w:rsidR="005D4184" w:rsidRPr="005D4184">
        <w:rPr>
          <w:rFonts w:cs="Arial" w:hint="cs"/>
          <w:sz w:val="16"/>
          <w:szCs w:val="16"/>
          <w:rtl/>
        </w:rPr>
        <w:t>(</w:t>
      </w:r>
      <w:r w:rsidRPr="005D4184">
        <w:rPr>
          <w:rFonts w:cs="Arial"/>
          <w:sz w:val="16"/>
          <w:szCs w:val="16"/>
          <w:rtl/>
        </w:rPr>
        <w:t>יב</w:t>
      </w:r>
      <w:r w:rsidR="005D4184" w:rsidRPr="005D4184">
        <w:rPr>
          <w:rFonts w:cs="Arial" w:hint="cs"/>
          <w:sz w:val="16"/>
          <w:szCs w:val="16"/>
          <w:rtl/>
        </w:rPr>
        <w:t>.)</w:t>
      </w:r>
      <w:r w:rsidRPr="005D4184">
        <w:rPr>
          <w:rFonts w:cs="Arial"/>
          <w:sz w:val="16"/>
          <w:szCs w:val="16"/>
          <w:rtl/>
        </w:rPr>
        <w:t xml:space="preserve"> </w:t>
      </w:r>
      <w:r w:rsidRPr="005D4184">
        <w:rPr>
          <w:rFonts w:cs="Arial"/>
          <w:rtl/>
        </w:rPr>
        <w:t>דמה שמחוסר מעשה אף שבידו לעשות מ"מ מקרי לא מצי עביד השתא ולא מצי משוי שליח</w:t>
      </w:r>
      <w:r w:rsidR="005D4184">
        <w:rPr>
          <w:rFonts w:cs="Arial" w:hint="cs"/>
          <w:rtl/>
        </w:rPr>
        <w:t>.</w:t>
      </w:r>
      <w:r w:rsidRPr="005D4184">
        <w:rPr>
          <w:rFonts w:cs="Arial"/>
          <w:rtl/>
        </w:rPr>
        <w:t xml:space="preserve"> א"כ קשה על כל הגיטין הנהוגים ע"פ הפוסקים כשהבעל נחפז לדרכו שממנה שליח להולכה קודם שיכתב הגט</w:t>
      </w:r>
      <w:r w:rsidR="005D4184">
        <w:rPr>
          <w:rFonts w:cs="Arial" w:hint="cs"/>
          <w:rtl/>
        </w:rPr>
        <w:t>,</w:t>
      </w:r>
      <w:r w:rsidRPr="005D4184">
        <w:rPr>
          <w:rFonts w:cs="Arial"/>
          <w:rtl/>
        </w:rPr>
        <w:t xml:space="preserve"> הא הוי מלתא דלא מצי עביד השתא שהרי אין הבעל בעצמו יכול ליתן הגט לאשתו שהרי עדיין לא נכתב</w:t>
      </w:r>
      <w:r w:rsidR="005D4184">
        <w:rPr>
          <w:rFonts w:cs="Arial" w:hint="cs"/>
          <w:rtl/>
        </w:rPr>
        <w:t>,</w:t>
      </w:r>
      <w:r w:rsidRPr="005D4184">
        <w:rPr>
          <w:rFonts w:cs="Arial"/>
          <w:rtl/>
        </w:rPr>
        <w:t xml:space="preserve"> ואף שבידו לכותבו מחוסר מעשה הוא</w:t>
      </w:r>
      <w:r w:rsidR="005D4184" w:rsidRPr="005D4184">
        <w:rPr>
          <w:rFonts w:cs="Arial" w:hint="cs"/>
          <w:rtl/>
        </w:rPr>
        <w:t>.</w:t>
      </w:r>
      <w:r w:rsidR="005D4184">
        <w:rPr>
          <w:rFonts w:cs="Arial" w:hint="cs"/>
          <w:rtl/>
        </w:rPr>
        <w:t>..</w:t>
      </w:r>
      <w:r w:rsidRPr="005D4184">
        <w:rPr>
          <w:rFonts w:cs="Arial"/>
          <w:rtl/>
        </w:rPr>
        <w:t xml:space="preserve"> ודבר זה מפורש בש"ס בכמה מקומות שיכול למנות שליח להולכה קודם שיכתב</w:t>
      </w:r>
      <w:r w:rsidR="005D4184">
        <w:rPr>
          <w:rStyle w:val="a7"/>
          <w:rFonts w:cs="Arial"/>
          <w:rtl/>
        </w:rPr>
        <w:footnoteReference w:id="191"/>
      </w:r>
      <w:r w:rsidR="005D4184">
        <w:rPr>
          <w:rFonts w:cs="Arial" w:hint="cs"/>
          <w:rtl/>
        </w:rPr>
        <w:t>...</w:t>
      </w:r>
    </w:p>
    <w:p w14:paraId="1AA05A78" w14:textId="763A89C8" w:rsidR="00834792" w:rsidRPr="00271ADE" w:rsidRDefault="00834792" w:rsidP="00834792">
      <w:pPr>
        <w:rPr>
          <w:rFonts w:cs="Arial"/>
          <w:sz w:val="16"/>
          <w:szCs w:val="16"/>
          <w:u w:val="single"/>
        </w:rPr>
      </w:pPr>
      <w:r w:rsidRPr="00834792">
        <w:rPr>
          <w:rFonts w:cs="Arial" w:hint="cs"/>
          <w:u w:val="single"/>
          <w:rtl/>
        </w:rPr>
        <w:t>האם הסופר/העד יכול להיות גם שליח:</w:t>
      </w:r>
      <w:r w:rsidR="00271ADE">
        <w:rPr>
          <w:rFonts w:cs="Arial" w:hint="cs"/>
          <w:rtl/>
        </w:rPr>
        <w:t xml:space="preserve"> </w:t>
      </w:r>
      <w:r w:rsidR="00271ADE" w:rsidRPr="005D4184">
        <w:rPr>
          <w:rFonts w:cs="Arial"/>
          <w:sz w:val="16"/>
          <w:szCs w:val="16"/>
          <w:rtl/>
        </w:rPr>
        <w:t>(</w:t>
      </w:r>
      <w:r w:rsidR="00271ADE" w:rsidRPr="005D4184">
        <w:rPr>
          <w:rFonts w:cs="Arial" w:hint="cs"/>
          <w:sz w:val="16"/>
          <w:szCs w:val="16"/>
          <w:rtl/>
        </w:rPr>
        <w:t>פת"ש סק</w:t>
      </w:r>
      <w:r w:rsidR="00271ADE" w:rsidRPr="005D4184">
        <w:rPr>
          <w:rFonts w:cs="Arial"/>
          <w:sz w:val="16"/>
          <w:szCs w:val="16"/>
          <w:rtl/>
        </w:rPr>
        <w:t>כ</w:t>
      </w:r>
      <w:r w:rsidR="00271ADE">
        <w:rPr>
          <w:rFonts w:cs="Arial" w:hint="cs"/>
          <w:sz w:val="16"/>
          <w:szCs w:val="16"/>
          <w:rtl/>
        </w:rPr>
        <w:t>"א</w:t>
      </w:r>
      <w:r w:rsidR="00271ADE" w:rsidRPr="005D4184">
        <w:rPr>
          <w:rFonts w:cs="Arial"/>
          <w:sz w:val="16"/>
          <w:szCs w:val="16"/>
          <w:rtl/>
        </w:rPr>
        <w:t>)</w:t>
      </w:r>
    </w:p>
    <w:p w14:paraId="0494B097" w14:textId="358A8588" w:rsidR="00834792" w:rsidRDefault="00834792" w:rsidP="00A65C5F">
      <w:pPr>
        <w:pStyle w:val="ab"/>
        <w:numPr>
          <w:ilvl w:val="0"/>
          <w:numId w:val="24"/>
        </w:numPr>
        <w:rPr>
          <w:rFonts w:cs="Arial"/>
        </w:rPr>
      </w:pPr>
      <w:r>
        <w:rPr>
          <w:rFonts w:cs="Arial" w:hint="cs"/>
          <w:rtl/>
        </w:rPr>
        <w:t xml:space="preserve">ח"מ </w:t>
      </w:r>
      <w:r>
        <w:rPr>
          <w:rFonts w:cs="Arial" w:hint="cs"/>
          <w:sz w:val="16"/>
          <w:szCs w:val="16"/>
          <w:rtl/>
        </w:rPr>
        <w:t>(סקי"ז)</w:t>
      </w:r>
      <w:r w:rsidR="00A82951">
        <w:rPr>
          <w:rFonts w:cs="Arial" w:hint="cs"/>
          <w:rtl/>
        </w:rPr>
        <w:t>-</w:t>
      </w:r>
      <w:r>
        <w:rPr>
          <w:rFonts w:cs="Arial" w:hint="cs"/>
          <w:rtl/>
        </w:rPr>
        <w:t xml:space="preserve"> </w:t>
      </w:r>
      <w:r w:rsidRPr="00834792">
        <w:rPr>
          <w:rFonts w:cs="Arial"/>
          <w:rtl/>
        </w:rPr>
        <w:t>הנותן יכול להיות הסופר או אחד מן העדים דהא הכל כשרים לשליחות הגט</w:t>
      </w:r>
      <w:r>
        <w:rPr>
          <w:rFonts w:cs="Arial" w:hint="cs"/>
          <w:rtl/>
        </w:rPr>
        <w:t>.</w:t>
      </w:r>
    </w:p>
    <w:p w14:paraId="13688E69" w14:textId="35ADFDAA" w:rsidR="00DA0FB8" w:rsidRPr="00271ADE" w:rsidRDefault="00834792" w:rsidP="00A65C5F">
      <w:pPr>
        <w:pStyle w:val="ab"/>
        <w:numPr>
          <w:ilvl w:val="0"/>
          <w:numId w:val="24"/>
        </w:numPr>
        <w:rPr>
          <w:rFonts w:cs="Arial"/>
        </w:rPr>
      </w:pPr>
      <w:r>
        <w:rPr>
          <w:rFonts w:cs="Arial" w:hint="cs"/>
          <w:rtl/>
        </w:rPr>
        <w:t xml:space="preserve">ב"ש </w:t>
      </w:r>
      <w:r w:rsidRPr="00834792">
        <w:rPr>
          <w:rFonts w:cs="Arial" w:hint="cs"/>
          <w:sz w:val="16"/>
          <w:szCs w:val="16"/>
          <w:rtl/>
        </w:rPr>
        <w:t>(סק"י)</w:t>
      </w:r>
      <w:r w:rsidR="00A82951">
        <w:rPr>
          <w:rFonts w:cs="Arial" w:hint="cs"/>
          <w:rtl/>
        </w:rPr>
        <w:t>-</w:t>
      </w:r>
      <w:r>
        <w:rPr>
          <w:rFonts w:cs="Arial" w:hint="cs"/>
          <w:rtl/>
        </w:rPr>
        <w:t xml:space="preserve"> </w:t>
      </w:r>
      <w:r w:rsidRPr="00834792">
        <w:rPr>
          <w:rFonts w:cs="Arial"/>
          <w:rtl/>
        </w:rPr>
        <w:t>השליח יכול להיות הסופר</w:t>
      </w:r>
      <w:r>
        <w:rPr>
          <w:rFonts w:cs="Arial" w:hint="cs"/>
          <w:rtl/>
        </w:rPr>
        <w:t>.</w:t>
      </w:r>
    </w:p>
    <w:p w14:paraId="3CC1AD3F" w14:textId="05E31E74" w:rsidR="00121280" w:rsidRPr="00271ADE" w:rsidRDefault="003B5427" w:rsidP="00A65C5F">
      <w:pPr>
        <w:pStyle w:val="ab"/>
        <w:numPr>
          <w:ilvl w:val="0"/>
          <w:numId w:val="24"/>
        </w:numPr>
        <w:rPr>
          <w:rFonts w:cs="Arial"/>
          <w:rtl/>
        </w:rPr>
      </w:pPr>
      <w:r w:rsidRPr="00834792">
        <w:rPr>
          <w:rFonts w:cs="Arial"/>
          <w:rtl/>
        </w:rPr>
        <w:t>מהר"י מרגליות</w:t>
      </w:r>
      <w:r w:rsidRPr="00DA0FB8">
        <w:rPr>
          <w:rFonts w:cs="Arial"/>
          <w:sz w:val="16"/>
          <w:szCs w:val="16"/>
          <w:rtl/>
        </w:rPr>
        <w:t xml:space="preserve"> </w:t>
      </w:r>
      <w:r w:rsidR="00DA0FB8" w:rsidRPr="00DA0FB8">
        <w:rPr>
          <w:rFonts w:cs="Arial" w:hint="cs"/>
          <w:sz w:val="16"/>
          <w:szCs w:val="16"/>
          <w:rtl/>
        </w:rPr>
        <w:t xml:space="preserve">(בסדר הגט </w:t>
      </w:r>
      <w:r w:rsidRPr="00DA0FB8">
        <w:rPr>
          <w:rFonts w:cs="Arial"/>
          <w:sz w:val="16"/>
          <w:szCs w:val="16"/>
          <w:rtl/>
        </w:rPr>
        <w:t>עם הגהות מהר"ם מקראקא</w:t>
      </w:r>
      <w:r w:rsidR="00DA0FB8" w:rsidRPr="00DA0FB8">
        <w:rPr>
          <w:rFonts w:cs="Arial" w:hint="cs"/>
          <w:sz w:val="16"/>
          <w:szCs w:val="16"/>
          <w:rtl/>
        </w:rPr>
        <w:t>)</w:t>
      </w:r>
      <w:r w:rsidR="00A82951">
        <w:rPr>
          <w:rFonts w:cs="Arial" w:hint="cs"/>
          <w:rtl/>
        </w:rPr>
        <w:t>-</w:t>
      </w:r>
      <w:r w:rsidRPr="00834792">
        <w:rPr>
          <w:rFonts w:cs="Arial"/>
          <w:rtl/>
        </w:rPr>
        <w:t xml:space="preserve"> </w:t>
      </w:r>
      <w:r w:rsidR="00271ADE">
        <w:rPr>
          <w:rStyle w:val="a7"/>
          <w:rFonts w:cs="Arial"/>
          <w:rtl/>
        </w:rPr>
        <w:footnoteReference w:id="192"/>
      </w:r>
      <w:r w:rsidRPr="00834792">
        <w:rPr>
          <w:rFonts w:cs="Arial"/>
          <w:rtl/>
        </w:rPr>
        <w:t>בפ"ב דגיטין אפי' אמר אני הוא עד שני פסול</w:t>
      </w:r>
      <w:r w:rsidR="00DA0FB8">
        <w:rPr>
          <w:rFonts w:cs="Arial" w:hint="cs"/>
          <w:rtl/>
        </w:rPr>
        <w:t>,</w:t>
      </w:r>
      <w:r w:rsidRPr="00834792">
        <w:rPr>
          <w:rFonts w:cs="Arial"/>
          <w:rtl/>
        </w:rPr>
        <w:t xml:space="preserve"> מכאן פסק הא"ז דאין לעשות העד שליח כלל</w:t>
      </w:r>
      <w:r w:rsidR="00DA0FB8">
        <w:rPr>
          <w:rFonts w:cs="Arial" w:hint="cs"/>
          <w:rtl/>
        </w:rPr>
        <w:t>,</w:t>
      </w:r>
      <w:r w:rsidRPr="00834792">
        <w:rPr>
          <w:rFonts w:cs="Arial"/>
          <w:rtl/>
        </w:rPr>
        <w:t xml:space="preserve"> והטעם כדמפרש או כולו בקיום הגט</w:t>
      </w:r>
      <w:r w:rsidR="00DA0FB8">
        <w:rPr>
          <w:rFonts w:cs="Arial" w:hint="cs"/>
          <w:rtl/>
        </w:rPr>
        <w:t>,</w:t>
      </w:r>
      <w:r w:rsidRPr="00834792">
        <w:rPr>
          <w:rFonts w:cs="Arial"/>
          <w:rtl/>
        </w:rPr>
        <w:t xml:space="preserve"> או כולו בתקנת חכמים</w:t>
      </w:r>
      <w:r w:rsidR="00DA0FB8">
        <w:rPr>
          <w:rFonts w:cs="Arial" w:hint="cs"/>
          <w:rtl/>
        </w:rPr>
        <w:t>,</w:t>
      </w:r>
      <w:r w:rsidRPr="00834792">
        <w:rPr>
          <w:rFonts w:cs="Arial"/>
          <w:rtl/>
        </w:rPr>
        <w:t xml:space="preserve"> והכא אומר אני חתמתי</w:t>
      </w:r>
      <w:r w:rsidR="00DA0FB8">
        <w:rPr>
          <w:rFonts w:cs="Arial" w:hint="cs"/>
          <w:rtl/>
        </w:rPr>
        <w:t>.</w:t>
      </w:r>
      <w:r w:rsidRPr="00834792">
        <w:rPr>
          <w:rFonts w:cs="Arial"/>
          <w:rtl/>
        </w:rPr>
        <w:t xml:space="preserve"> ומעתה ה"ה נמי דאין לעשות הסופר לשליח</w:t>
      </w:r>
      <w:r w:rsidR="00DA0FB8">
        <w:rPr>
          <w:rFonts w:cs="Arial" w:hint="cs"/>
          <w:rtl/>
        </w:rPr>
        <w:t>,</w:t>
      </w:r>
      <w:r w:rsidRPr="00834792">
        <w:rPr>
          <w:rFonts w:cs="Arial"/>
          <w:rtl/>
        </w:rPr>
        <w:t xml:space="preserve"> דתיקון חכמים הוא לומר בפני נכתב ובפ"נ</w:t>
      </w:r>
      <w:r w:rsidR="00DA0FB8">
        <w:rPr>
          <w:rFonts w:cs="Arial" w:hint="cs"/>
          <w:rtl/>
        </w:rPr>
        <w:t>,</w:t>
      </w:r>
      <w:r w:rsidRPr="00834792">
        <w:rPr>
          <w:rFonts w:cs="Arial"/>
          <w:rtl/>
        </w:rPr>
        <w:t xml:space="preserve"> והכא אומר אני כתבתי ולא אמר כולו בתקנת חכמים</w:t>
      </w:r>
      <w:r w:rsidR="00DA0FB8">
        <w:rPr>
          <w:rFonts w:cs="Arial" w:hint="cs"/>
          <w:rtl/>
        </w:rPr>
        <w:t>.</w:t>
      </w:r>
      <w:r w:rsidRPr="00834792">
        <w:rPr>
          <w:rFonts w:cs="Arial"/>
          <w:rtl/>
        </w:rPr>
        <w:t xml:space="preserve"> ואין להקל בלא ראיה</w:t>
      </w:r>
      <w:r w:rsidR="00271ADE">
        <w:rPr>
          <w:rStyle w:val="a7"/>
          <w:rFonts w:cs="Arial"/>
          <w:rtl/>
        </w:rPr>
        <w:footnoteReference w:id="193"/>
      </w:r>
      <w:r w:rsidR="00DA0FB8">
        <w:rPr>
          <w:rFonts w:cs="Arial" w:hint="cs"/>
          <w:rtl/>
        </w:rPr>
        <w:t>.</w:t>
      </w:r>
    </w:p>
    <w:p w14:paraId="1631C289" w14:textId="77777777" w:rsidR="00834792" w:rsidRPr="00486C31" w:rsidRDefault="00834792" w:rsidP="003B5427">
      <w:pPr>
        <w:rPr>
          <w:rFonts w:cs="Arial"/>
          <w:rtl/>
        </w:rPr>
      </w:pPr>
    </w:p>
    <w:p w14:paraId="14448B3F" w14:textId="6E9E2289" w:rsidR="00486C31" w:rsidRDefault="00486C31" w:rsidP="00786DE6">
      <w:pPr>
        <w:pStyle w:val="2"/>
        <w:rPr>
          <w:rtl/>
        </w:rPr>
      </w:pPr>
      <w:r w:rsidRPr="00486C31">
        <w:rPr>
          <w:rtl/>
        </w:rPr>
        <w:lastRenderedPageBreak/>
        <w:t>סעיף ט</w:t>
      </w:r>
      <w:r w:rsidR="00FD0EC7">
        <w:rPr>
          <w:rFonts w:hint="cs"/>
          <w:rtl/>
        </w:rPr>
        <w:t xml:space="preserve">: </w:t>
      </w:r>
      <w:r w:rsidR="009E2BE2">
        <w:rPr>
          <w:rFonts w:hint="cs"/>
          <w:rtl/>
        </w:rPr>
        <w:t>אמר לעשרה 'כולכם חתומו'.</w:t>
      </w:r>
    </w:p>
    <w:p w14:paraId="0FBAB86E" w14:textId="52414356" w:rsidR="003E0C14" w:rsidRPr="003E0C14" w:rsidRDefault="003E0C14" w:rsidP="00980814">
      <w:pPr>
        <w:rPr>
          <w:rtl/>
        </w:rPr>
      </w:pPr>
      <w:r w:rsidRPr="00522384">
        <w:rPr>
          <w:rFonts w:hint="cs"/>
          <w:b/>
          <w:bCs/>
          <w:rtl/>
        </w:rPr>
        <w:t xml:space="preserve">גיטין </w:t>
      </w:r>
      <w:r w:rsidRPr="00522384">
        <w:rPr>
          <w:rFonts w:hint="cs"/>
          <w:b/>
          <w:bCs/>
          <w:sz w:val="16"/>
          <w:szCs w:val="16"/>
          <w:rtl/>
        </w:rPr>
        <w:t>(פ' התקבל)</w:t>
      </w:r>
      <w:r w:rsidRPr="00522384">
        <w:rPr>
          <w:rFonts w:hint="cs"/>
          <w:b/>
          <w:bCs/>
          <w:rtl/>
        </w:rPr>
        <w:t xml:space="preserve"> ס</w:t>
      </w:r>
      <w:r>
        <w:rPr>
          <w:rFonts w:hint="cs"/>
          <w:b/>
          <w:bCs/>
          <w:rtl/>
        </w:rPr>
        <w:t>ו</w:t>
      </w:r>
      <w:r w:rsidRPr="00522384">
        <w:rPr>
          <w:rFonts w:hint="cs"/>
          <w:b/>
          <w:bCs/>
          <w:rtl/>
        </w:rPr>
        <w:t xml:space="preserve"> ע"ב:</w:t>
      </w:r>
      <w:r>
        <w:rPr>
          <w:rFonts w:hint="cs"/>
          <w:rtl/>
        </w:rPr>
        <w:t xml:space="preserve"> </w:t>
      </w:r>
      <w:r w:rsidRPr="003E0C14">
        <w:rPr>
          <w:rFonts w:cs="Arial" w:hint="cs"/>
          <w:u w:val="double"/>
          <w:rtl/>
        </w:rPr>
        <w:t>מתני'</w:t>
      </w:r>
      <w:r>
        <w:rPr>
          <w:rFonts w:cs="Arial" w:hint="cs"/>
          <w:rtl/>
        </w:rPr>
        <w:t xml:space="preserve">:... </w:t>
      </w:r>
      <w:r w:rsidRPr="003E0C14">
        <w:rPr>
          <w:rFonts w:cs="Arial"/>
          <w:rtl/>
        </w:rPr>
        <w:t xml:space="preserve">אמר לעשרה כתבו ותנו גט לאשתי </w:t>
      </w:r>
      <w:r w:rsidR="00A82951">
        <w:rPr>
          <w:rFonts w:cs="Arial"/>
          <w:rtl/>
        </w:rPr>
        <w:t>-</w:t>
      </w:r>
      <w:r w:rsidRPr="003E0C14">
        <w:rPr>
          <w:rFonts w:cs="Arial"/>
          <w:rtl/>
        </w:rPr>
        <w:t xml:space="preserve"> אחד כותב ושנים חותמין</w:t>
      </w:r>
      <w:r w:rsidR="00222225">
        <w:rPr>
          <w:rFonts w:cs="Arial" w:hint="cs"/>
          <w:rtl/>
        </w:rPr>
        <w:t>.</w:t>
      </w:r>
      <w:r w:rsidRPr="003E0C14">
        <w:rPr>
          <w:rFonts w:cs="Arial"/>
          <w:rtl/>
        </w:rPr>
        <w:t xml:space="preserve"> כולכם כתובו </w:t>
      </w:r>
      <w:r w:rsidR="00A82951">
        <w:rPr>
          <w:rFonts w:cs="Arial"/>
          <w:rtl/>
        </w:rPr>
        <w:t>-</w:t>
      </w:r>
      <w:r w:rsidRPr="003E0C14">
        <w:rPr>
          <w:rFonts w:cs="Arial"/>
          <w:rtl/>
        </w:rPr>
        <w:t xml:space="preserve"> אחד כותב וכולם חותמין</w:t>
      </w:r>
      <w:r w:rsidR="00222225">
        <w:rPr>
          <w:rFonts w:cs="Arial" w:hint="cs"/>
          <w:rtl/>
        </w:rPr>
        <w:t>.</w:t>
      </w:r>
      <w:r w:rsidRPr="003E0C14">
        <w:rPr>
          <w:rFonts w:cs="Arial"/>
          <w:rtl/>
        </w:rPr>
        <w:t xml:space="preserve"> לפיכך אם מת אחד מהן </w:t>
      </w:r>
      <w:r w:rsidR="00A82951">
        <w:rPr>
          <w:rFonts w:cs="Arial"/>
          <w:rtl/>
        </w:rPr>
        <w:t>-</w:t>
      </w:r>
      <w:r w:rsidRPr="003E0C14">
        <w:rPr>
          <w:rFonts w:cs="Arial"/>
          <w:rtl/>
        </w:rPr>
        <w:t xml:space="preserve"> הרי זה גט בטל. </w:t>
      </w:r>
      <w:r>
        <w:rPr>
          <w:rFonts w:cs="Arial" w:hint="cs"/>
          <w:rtl/>
        </w:rPr>
        <w:t xml:space="preserve">      </w:t>
      </w:r>
      <w:r w:rsidRPr="003E0C14">
        <w:rPr>
          <w:rFonts w:cs="Arial" w:hint="cs"/>
          <w:u w:val="double"/>
          <w:rtl/>
        </w:rPr>
        <w:t>גמ'</w:t>
      </w:r>
      <w:r w:rsidRPr="003E0C14">
        <w:rPr>
          <w:rFonts w:cs="Arial" w:hint="cs"/>
          <w:sz w:val="14"/>
          <w:szCs w:val="14"/>
          <w:u w:val="double"/>
          <w:rtl/>
        </w:rPr>
        <w:t>(סז:)</w:t>
      </w:r>
      <w:r w:rsidRPr="003E0C14">
        <w:rPr>
          <w:rFonts w:cs="Arial" w:hint="cs"/>
          <w:u w:val="double"/>
          <w:rtl/>
        </w:rPr>
        <w:t>:</w:t>
      </w:r>
      <w:r>
        <w:rPr>
          <w:rFonts w:cs="Arial" w:hint="cs"/>
          <w:rtl/>
        </w:rPr>
        <w:t xml:space="preserve"> </w:t>
      </w:r>
      <w:r w:rsidRPr="003E0C14">
        <w:rPr>
          <w:rFonts w:cs="Arial"/>
          <w:rtl/>
        </w:rPr>
        <w:t xml:space="preserve">אמר לעשרה כתבו גט. ת"ר: אמר לעשרה כתבו גט ותנו לאשתי </w:t>
      </w:r>
      <w:r w:rsidR="00A82951">
        <w:rPr>
          <w:rFonts w:cs="Arial"/>
          <w:rtl/>
        </w:rPr>
        <w:t>-</w:t>
      </w:r>
      <w:r w:rsidRPr="003E0C14">
        <w:rPr>
          <w:rFonts w:cs="Arial"/>
          <w:rtl/>
        </w:rPr>
        <w:t xml:space="preserve"> אחד כותב על ידי כולם</w:t>
      </w:r>
      <w:r w:rsidR="00222225">
        <w:rPr>
          <w:rStyle w:val="a7"/>
          <w:rFonts w:cs="Arial"/>
          <w:rtl/>
        </w:rPr>
        <w:footnoteReference w:id="194"/>
      </w:r>
      <w:r w:rsidR="00222225">
        <w:rPr>
          <w:rFonts w:cs="Arial" w:hint="cs"/>
          <w:rtl/>
        </w:rPr>
        <w:t>.</w:t>
      </w:r>
      <w:r w:rsidRPr="003E0C14">
        <w:rPr>
          <w:rFonts w:cs="Arial"/>
          <w:rtl/>
        </w:rPr>
        <w:t xml:space="preserve"> כולכם כתובו </w:t>
      </w:r>
      <w:r w:rsidR="00A82951">
        <w:rPr>
          <w:rFonts w:cs="Arial"/>
          <w:rtl/>
        </w:rPr>
        <w:t>-</w:t>
      </w:r>
      <w:r w:rsidRPr="003E0C14">
        <w:rPr>
          <w:rFonts w:cs="Arial"/>
          <w:rtl/>
        </w:rPr>
        <w:t xml:space="preserve"> אחד כותב במעמד כולם</w:t>
      </w:r>
      <w:r w:rsidR="00222225">
        <w:rPr>
          <w:rFonts w:cs="Arial" w:hint="cs"/>
          <w:rtl/>
        </w:rPr>
        <w:t>.</w:t>
      </w:r>
      <w:r w:rsidRPr="003E0C14">
        <w:rPr>
          <w:rFonts w:cs="Arial"/>
          <w:rtl/>
        </w:rPr>
        <w:t xml:space="preserve"> הוליכו גט לאשתי </w:t>
      </w:r>
      <w:r w:rsidR="00A82951">
        <w:rPr>
          <w:rFonts w:cs="Arial"/>
          <w:rtl/>
        </w:rPr>
        <w:t>-</w:t>
      </w:r>
      <w:r w:rsidRPr="003E0C14">
        <w:rPr>
          <w:rFonts w:cs="Arial"/>
          <w:rtl/>
        </w:rPr>
        <w:t xml:space="preserve"> אחד מוליך ע"י כולם</w:t>
      </w:r>
      <w:r w:rsidR="00222225">
        <w:rPr>
          <w:rFonts w:cs="Arial" w:hint="cs"/>
          <w:rtl/>
        </w:rPr>
        <w:t>.</w:t>
      </w:r>
      <w:r w:rsidRPr="003E0C14">
        <w:rPr>
          <w:rFonts w:cs="Arial"/>
          <w:rtl/>
        </w:rPr>
        <w:t xml:space="preserve"> כולכם הוליכו </w:t>
      </w:r>
      <w:r w:rsidR="00A82951">
        <w:rPr>
          <w:rFonts w:cs="Arial"/>
          <w:rtl/>
        </w:rPr>
        <w:t>-</w:t>
      </w:r>
      <w:r w:rsidRPr="003E0C14">
        <w:rPr>
          <w:rFonts w:cs="Arial"/>
          <w:rtl/>
        </w:rPr>
        <w:t xml:space="preserve"> אחד מוליך במעמד כולם. </w:t>
      </w:r>
    </w:p>
    <w:p w14:paraId="4BD82C17" w14:textId="5CC46820" w:rsidR="007D6C41" w:rsidRPr="00DE6506" w:rsidRDefault="00F14CBE" w:rsidP="00DE6506">
      <w:pPr>
        <w:spacing w:before="360" w:after="240"/>
        <w:rPr>
          <w:rFonts w:ascii="Calibri" w:eastAsia="Calibri" w:hAnsi="Calibri" w:cs="Arial"/>
          <w:rtl/>
        </w:rPr>
      </w:pPr>
      <w:r w:rsidRPr="00F14CBE">
        <w:rPr>
          <w:rFonts w:ascii="Calibri" w:eastAsia="Calibri" w:hAnsi="Calibri" w:cs="Arial"/>
          <w:b/>
          <w:bCs/>
          <w:rtl/>
        </w:rPr>
        <w:t xml:space="preserve">גיטין </w:t>
      </w:r>
      <w:r w:rsidRPr="00F14CBE">
        <w:rPr>
          <w:rFonts w:ascii="Calibri" w:eastAsia="Calibri" w:hAnsi="Calibri" w:cs="Arial"/>
          <w:b/>
          <w:bCs/>
          <w:sz w:val="16"/>
          <w:szCs w:val="16"/>
          <w:rtl/>
        </w:rPr>
        <w:t>(פ"ב)</w:t>
      </w:r>
      <w:r w:rsidRPr="00F14CBE">
        <w:rPr>
          <w:rFonts w:ascii="Calibri" w:eastAsia="Calibri" w:hAnsi="Calibri" w:cs="Arial"/>
          <w:b/>
          <w:bCs/>
          <w:rtl/>
        </w:rPr>
        <w:t xml:space="preserve"> יח</w:t>
      </w:r>
      <w:r w:rsidRPr="001D49D4">
        <w:rPr>
          <w:b/>
          <w:bCs/>
          <w:vertAlign w:val="superscript"/>
          <w:rtl/>
        </w:rPr>
        <w:footnoteReference w:id="195"/>
      </w:r>
      <w:r w:rsidRPr="00F14CBE">
        <w:rPr>
          <w:rFonts w:ascii="Calibri" w:eastAsia="Calibri" w:hAnsi="Calibri" w:cs="Arial"/>
          <w:b/>
          <w:bCs/>
          <w:rtl/>
        </w:rPr>
        <w:t xml:space="preserve"> ע"ב:</w:t>
      </w:r>
      <w:r w:rsidR="003463A0">
        <w:rPr>
          <w:rFonts w:ascii="Calibri" w:eastAsia="Calibri" w:hAnsi="Calibri" w:cs="Arial" w:hint="cs"/>
          <w:rtl/>
        </w:rPr>
        <w:t xml:space="preserve"> </w:t>
      </w:r>
      <w:r w:rsidRPr="00F14CBE">
        <w:rPr>
          <w:rFonts w:ascii="Calibri" w:eastAsia="Calibri" w:hAnsi="Calibri" w:cs="Arial"/>
          <w:rtl/>
        </w:rPr>
        <w:t>איתמר: אמר לעשרה כתבו גט לאשתי</w:t>
      </w:r>
      <w:r>
        <w:rPr>
          <w:rFonts w:ascii="Calibri" w:eastAsia="Calibri" w:hAnsi="Calibri" w:cs="Arial" w:hint="cs"/>
          <w:rtl/>
        </w:rPr>
        <w:t>.</w:t>
      </w:r>
      <w:r w:rsidRPr="00F14CBE">
        <w:rPr>
          <w:rFonts w:ascii="Calibri" w:eastAsia="Calibri" w:hAnsi="Calibri" w:cs="Arial"/>
          <w:rtl/>
        </w:rPr>
        <w:t xml:space="preserve"> </w:t>
      </w:r>
      <w:r w:rsidRPr="00F14CBE">
        <w:rPr>
          <w:rFonts w:ascii="Calibri" w:eastAsia="Calibri" w:hAnsi="Calibri" w:cs="Arial"/>
          <w:u w:val="single"/>
          <w:rtl/>
        </w:rPr>
        <w:t>אמר ר' יוחנן</w:t>
      </w:r>
      <w:r w:rsidRPr="00F14CBE">
        <w:rPr>
          <w:rFonts w:ascii="Calibri" w:eastAsia="Calibri" w:hAnsi="Calibri" w:cs="Arial"/>
          <w:rtl/>
        </w:rPr>
        <w:t>: שנים משום עדים, וכולם משום תנאי</w:t>
      </w:r>
      <w:r>
        <w:rPr>
          <w:rFonts w:ascii="Calibri" w:eastAsia="Calibri" w:hAnsi="Calibri" w:cs="Arial" w:hint="cs"/>
          <w:rtl/>
        </w:rPr>
        <w:t>.</w:t>
      </w:r>
      <w:r w:rsidRPr="00F14CBE">
        <w:rPr>
          <w:rFonts w:ascii="Calibri" w:eastAsia="Calibri" w:hAnsi="Calibri" w:cs="Arial"/>
          <w:rtl/>
        </w:rPr>
        <w:t xml:space="preserve"> </w:t>
      </w:r>
      <w:r w:rsidRPr="00F14CBE">
        <w:rPr>
          <w:rFonts w:ascii="Calibri" w:eastAsia="Calibri" w:hAnsi="Calibri" w:cs="Arial"/>
          <w:u w:val="single"/>
          <w:rtl/>
        </w:rPr>
        <w:t>וריש לקיש אמר</w:t>
      </w:r>
      <w:r w:rsidRPr="00F14CBE">
        <w:rPr>
          <w:rFonts w:ascii="Calibri" w:eastAsia="Calibri" w:hAnsi="Calibri" w:cs="Arial"/>
          <w:rtl/>
        </w:rPr>
        <w:t>: כולם משום עדים. היכי דמי? אילימא דלא אמר להו כולכם, והא תנן: אמר לעשרה כתבו גט לאשתי, אחד כותב ושנים חותמין! אלא דאמר להו כולכם. מאי בינייהו? איכא בינייהו דחתום בי תרי מינייהו ביומיה</w:t>
      </w:r>
      <w:r w:rsidR="00362946">
        <w:rPr>
          <w:rFonts w:ascii="Calibri" w:eastAsia="Calibri" w:hAnsi="Calibri" w:cs="Arial" w:hint="cs"/>
          <w:rtl/>
        </w:rPr>
        <w:t>,</w:t>
      </w:r>
      <w:r w:rsidRPr="00F14CBE">
        <w:rPr>
          <w:rFonts w:ascii="Calibri" w:eastAsia="Calibri" w:hAnsi="Calibri" w:cs="Arial"/>
          <w:rtl/>
        </w:rPr>
        <w:t xml:space="preserve"> ואינך מכאן ועד עשרה ימים</w:t>
      </w:r>
      <w:r w:rsidR="00222225">
        <w:rPr>
          <w:rFonts w:ascii="Calibri" w:eastAsia="Calibri" w:hAnsi="Calibri" w:cs="Arial" w:hint="cs"/>
          <w:rtl/>
        </w:rPr>
        <w:t>.</w:t>
      </w:r>
      <w:r w:rsidRPr="00F14CBE">
        <w:rPr>
          <w:rFonts w:ascii="Calibri" w:eastAsia="Calibri" w:hAnsi="Calibri" w:cs="Arial"/>
          <w:rtl/>
        </w:rPr>
        <w:t xml:space="preserve"> מאן דאמר משום תנאי </w:t>
      </w:r>
      <w:r w:rsidR="00A82951">
        <w:rPr>
          <w:rFonts w:ascii="Calibri" w:eastAsia="Calibri" w:hAnsi="Calibri" w:cs="Arial"/>
          <w:rtl/>
        </w:rPr>
        <w:t>-</w:t>
      </w:r>
      <w:r w:rsidRPr="00F14CBE">
        <w:rPr>
          <w:rFonts w:ascii="Calibri" w:eastAsia="Calibri" w:hAnsi="Calibri" w:cs="Arial"/>
          <w:rtl/>
        </w:rPr>
        <w:t xml:space="preserve"> כשר, ומאן דאמר משום עדים </w:t>
      </w:r>
      <w:r w:rsidR="00A82951">
        <w:rPr>
          <w:rFonts w:ascii="Calibri" w:eastAsia="Calibri" w:hAnsi="Calibri" w:cs="Arial"/>
          <w:rtl/>
        </w:rPr>
        <w:t>-</w:t>
      </w:r>
      <w:r w:rsidRPr="00F14CBE">
        <w:rPr>
          <w:rFonts w:ascii="Calibri" w:eastAsia="Calibri" w:hAnsi="Calibri" w:cs="Arial"/>
          <w:rtl/>
        </w:rPr>
        <w:t xml:space="preserve"> פסול. אי נמי: כגון שנמצא אחד מהם קרוב או פסול, למאן דאמר משום תנאי </w:t>
      </w:r>
      <w:r w:rsidR="00A82951">
        <w:rPr>
          <w:rFonts w:ascii="Calibri" w:eastAsia="Calibri" w:hAnsi="Calibri" w:cs="Arial"/>
          <w:rtl/>
        </w:rPr>
        <w:t>-</w:t>
      </w:r>
      <w:r w:rsidRPr="00F14CBE">
        <w:rPr>
          <w:rFonts w:ascii="Calibri" w:eastAsia="Calibri" w:hAnsi="Calibri" w:cs="Arial"/>
          <w:rtl/>
        </w:rPr>
        <w:t xml:space="preserve"> כשר, למאן דאמר משום עדים </w:t>
      </w:r>
      <w:r w:rsidR="00A82951">
        <w:rPr>
          <w:rFonts w:ascii="Calibri" w:eastAsia="Calibri" w:hAnsi="Calibri" w:cs="Arial"/>
          <w:rtl/>
        </w:rPr>
        <w:t>-</w:t>
      </w:r>
      <w:r w:rsidRPr="00F14CBE">
        <w:rPr>
          <w:rFonts w:ascii="Calibri" w:eastAsia="Calibri" w:hAnsi="Calibri" w:cs="Arial"/>
          <w:rtl/>
        </w:rPr>
        <w:t xml:space="preserve"> פסול.</w:t>
      </w:r>
      <w:r w:rsidR="00625AF6">
        <w:rPr>
          <w:rFonts w:ascii="Calibri" w:eastAsia="Calibri" w:hAnsi="Calibri" w:cs="Arial" w:hint="cs"/>
          <w:rtl/>
        </w:rPr>
        <w:t>..</w:t>
      </w:r>
      <w:r w:rsidRPr="00F14CBE">
        <w:rPr>
          <w:rFonts w:ascii="Calibri" w:eastAsia="Calibri" w:hAnsi="Calibri" w:cs="Arial"/>
          <w:rtl/>
        </w:rPr>
        <w:t xml:space="preserve"> ההוא דאמר להו לעשרה כתבו גט לאשתי, חתום בי תרי מינייהו ביומיה ואינך מכאן ועד עשרה ימים, אתא לקמיה דרבי יהושע בן לוי, </w:t>
      </w:r>
      <w:r w:rsidRPr="0085631F">
        <w:rPr>
          <w:rFonts w:ascii="Calibri" w:eastAsia="Calibri" w:hAnsi="Calibri" w:cs="Arial"/>
          <w:u w:val="single"/>
          <w:rtl/>
        </w:rPr>
        <w:t>אמר ליה</w:t>
      </w:r>
      <w:r w:rsidRPr="00F14CBE">
        <w:rPr>
          <w:rFonts w:ascii="Calibri" w:eastAsia="Calibri" w:hAnsi="Calibri" w:cs="Arial"/>
          <w:rtl/>
        </w:rPr>
        <w:t>:</w:t>
      </w:r>
      <w:r w:rsidR="003463A0">
        <w:rPr>
          <w:rFonts w:hint="cs"/>
          <w:sz w:val="14"/>
          <w:szCs w:val="14"/>
          <w:rtl/>
        </w:rPr>
        <w:t xml:space="preserve"> (יט.) </w:t>
      </w:r>
      <w:r w:rsidR="0085631F" w:rsidRPr="0085631F">
        <w:rPr>
          <w:rFonts w:ascii="Calibri" w:eastAsia="Calibri" w:hAnsi="Calibri" w:cs="Arial"/>
          <w:rtl/>
        </w:rPr>
        <w:t>כדאי הוא ר"ש</w:t>
      </w:r>
      <w:r w:rsidR="00DF22DF">
        <w:rPr>
          <w:rStyle w:val="a7"/>
          <w:rFonts w:ascii="Calibri" w:eastAsia="Calibri" w:hAnsi="Calibri" w:cs="Arial"/>
          <w:rtl/>
        </w:rPr>
        <w:footnoteReference w:id="196"/>
      </w:r>
      <w:r w:rsidR="0085631F" w:rsidRPr="0085631F">
        <w:rPr>
          <w:rFonts w:ascii="Calibri" w:eastAsia="Calibri" w:hAnsi="Calibri" w:cs="Arial"/>
          <w:rtl/>
        </w:rPr>
        <w:t xml:space="preserve"> לסמוך עליו בשעת הדחק</w:t>
      </w:r>
      <w:r w:rsidR="00DF22DF">
        <w:rPr>
          <w:rStyle w:val="a7"/>
          <w:rFonts w:ascii="Calibri" w:eastAsia="Calibri" w:hAnsi="Calibri" w:cs="Arial"/>
          <w:rtl/>
        </w:rPr>
        <w:footnoteReference w:id="197"/>
      </w:r>
      <w:r w:rsidR="0085631F" w:rsidRPr="0085631F">
        <w:rPr>
          <w:rFonts w:ascii="Calibri" w:eastAsia="Calibri" w:hAnsi="Calibri" w:cs="Arial"/>
          <w:rtl/>
        </w:rPr>
        <w:t>. והאמר ריש לקיש: לא הכשיר ר"ש אלא לאלתר, אבל מכאן ועד עשרה ימים לא! בההיא כרבי יוחנן סבירא ליה</w:t>
      </w:r>
      <w:r w:rsidR="007611DF">
        <w:rPr>
          <w:rStyle w:val="a7"/>
          <w:rFonts w:ascii="Calibri" w:eastAsia="Calibri" w:hAnsi="Calibri" w:cs="Arial"/>
          <w:rtl/>
        </w:rPr>
        <w:footnoteReference w:id="198"/>
      </w:r>
      <w:r w:rsidR="0085631F" w:rsidRPr="0085631F">
        <w:rPr>
          <w:rFonts w:ascii="Calibri" w:eastAsia="Calibri" w:hAnsi="Calibri" w:cs="Arial"/>
          <w:rtl/>
        </w:rPr>
        <w:t>. והאמר ר' יוחנן: שנים משום עדים, וכולן משום תנאי</w:t>
      </w:r>
      <w:r w:rsidR="007611DF">
        <w:rPr>
          <w:rStyle w:val="a7"/>
          <w:rFonts w:ascii="Calibri" w:eastAsia="Calibri" w:hAnsi="Calibri" w:cs="Arial"/>
          <w:rtl/>
        </w:rPr>
        <w:footnoteReference w:id="199"/>
      </w:r>
      <w:r w:rsidR="0085631F" w:rsidRPr="0085631F">
        <w:rPr>
          <w:rFonts w:ascii="Calibri" w:eastAsia="Calibri" w:hAnsi="Calibri" w:cs="Arial"/>
          <w:rtl/>
        </w:rPr>
        <w:t>! בההיא כריש לקיש סבירא ליה.</w:t>
      </w:r>
      <w:r w:rsidR="00DE6506">
        <w:rPr>
          <w:rFonts w:ascii="Calibri" w:eastAsia="Calibri" w:hAnsi="Calibri" w:cs="Arial" w:hint="cs"/>
          <w:rtl/>
        </w:rPr>
        <w:t xml:space="preserve"> </w:t>
      </w:r>
    </w:p>
    <w:p w14:paraId="17AA2C4E" w14:textId="48A33233" w:rsidR="00D73446" w:rsidRDefault="00D73446" w:rsidP="00BA15E7">
      <w:pPr>
        <w:rPr>
          <w:rFonts w:cs="Arial"/>
          <w:rtl/>
        </w:rPr>
      </w:pPr>
      <w:r w:rsidRPr="00D73446">
        <w:rPr>
          <w:rFonts w:ascii="Calibri" w:eastAsia="Calibri" w:hAnsi="Calibri" w:cs="Arial" w:hint="cs"/>
          <w:u w:val="single"/>
          <w:rtl/>
        </w:rPr>
        <w:t>'</w:t>
      </w:r>
      <w:r w:rsidR="00362946" w:rsidRPr="00D73446">
        <w:rPr>
          <w:rFonts w:ascii="Calibri" w:eastAsia="Calibri" w:hAnsi="Calibri" w:cs="Arial"/>
          <w:u w:val="single"/>
          <w:rtl/>
        </w:rPr>
        <w:t xml:space="preserve">אמר לעשרה כתבו </w:t>
      </w:r>
      <w:r w:rsidRPr="00D73446">
        <w:rPr>
          <w:rFonts w:ascii="Calibri" w:eastAsia="Calibri" w:hAnsi="Calibri" w:cs="Arial" w:hint="cs"/>
          <w:u w:val="single"/>
          <w:rtl/>
        </w:rPr>
        <w:t xml:space="preserve">כולכם </w:t>
      </w:r>
      <w:r w:rsidR="00362946" w:rsidRPr="00D73446">
        <w:rPr>
          <w:rFonts w:ascii="Calibri" w:eastAsia="Calibri" w:hAnsi="Calibri" w:cs="Arial"/>
          <w:u w:val="single"/>
          <w:rtl/>
        </w:rPr>
        <w:t>גט לאשתי</w:t>
      </w:r>
      <w:r w:rsidRPr="00D73446">
        <w:rPr>
          <w:rFonts w:cs="Arial" w:hint="cs"/>
          <w:u w:val="single"/>
          <w:rtl/>
        </w:rPr>
        <w:t>'</w:t>
      </w:r>
      <w:r w:rsidR="00362946" w:rsidRPr="00D73446">
        <w:rPr>
          <w:rFonts w:cs="Arial"/>
          <w:u w:val="single"/>
          <w:rtl/>
        </w:rPr>
        <w:t xml:space="preserve"> </w:t>
      </w:r>
      <w:r w:rsidR="00A82951">
        <w:rPr>
          <w:rFonts w:cs="Arial"/>
          <w:u w:val="single"/>
          <w:rtl/>
        </w:rPr>
        <w:t>-</w:t>
      </w:r>
      <w:r w:rsidRPr="00D73446">
        <w:rPr>
          <w:rFonts w:cs="Arial" w:hint="cs"/>
          <w:u w:val="single"/>
          <w:rtl/>
        </w:rPr>
        <w:t xml:space="preserve"> כולם חותמים משום עדים או רק שנים מהם:</w:t>
      </w:r>
    </w:p>
    <w:p w14:paraId="5FDB1D59" w14:textId="1DFF9FA5" w:rsidR="00D73446" w:rsidRDefault="00D73446" w:rsidP="00A65C5F">
      <w:pPr>
        <w:pStyle w:val="ab"/>
        <w:numPr>
          <w:ilvl w:val="0"/>
          <w:numId w:val="24"/>
        </w:numPr>
        <w:rPr>
          <w:rFonts w:cs="Arial"/>
        </w:rPr>
      </w:pPr>
      <w:r w:rsidRPr="00D73446">
        <w:rPr>
          <w:rFonts w:cs="Arial" w:hint="cs"/>
          <w:rtl/>
        </w:rPr>
        <w:t xml:space="preserve">רי"ף </w:t>
      </w:r>
      <w:r w:rsidRPr="00D73446">
        <w:rPr>
          <w:rFonts w:cs="Arial" w:hint="cs"/>
          <w:sz w:val="16"/>
          <w:szCs w:val="16"/>
          <w:rtl/>
        </w:rPr>
        <w:t>(ט.)</w:t>
      </w:r>
      <w:r w:rsidRPr="00D73446">
        <w:rPr>
          <w:rFonts w:cs="Arial" w:hint="cs"/>
          <w:rtl/>
        </w:rPr>
        <w:t xml:space="preserve"> רמב"ם </w:t>
      </w:r>
      <w:r w:rsidRPr="00D73446">
        <w:rPr>
          <w:rFonts w:cs="Arial" w:hint="cs"/>
          <w:sz w:val="16"/>
          <w:szCs w:val="16"/>
          <w:rtl/>
        </w:rPr>
        <w:t>(פ"ט הכ"ז)</w:t>
      </w:r>
      <w:r w:rsidR="004A75BC">
        <w:rPr>
          <w:rFonts w:cs="Arial" w:hint="cs"/>
          <w:rtl/>
        </w:rPr>
        <w:t xml:space="preserve"> וטור</w:t>
      </w:r>
      <w:r w:rsidR="00A82951">
        <w:rPr>
          <w:rFonts w:cs="Arial" w:hint="cs"/>
          <w:rtl/>
        </w:rPr>
        <w:t>-</w:t>
      </w:r>
      <w:r w:rsidRPr="00D73446">
        <w:rPr>
          <w:rFonts w:cs="Arial" w:hint="cs"/>
          <w:rtl/>
        </w:rPr>
        <w:t xml:space="preserve"> </w:t>
      </w:r>
      <w:r w:rsidR="002776DA">
        <w:rPr>
          <w:rFonts w:cs="Arial" w:hint="cs"/>
          <w:rtl/>
        </w:rPr>
        <w:t>קיי"ל כרבי יוחנן</w:t>
      </w:r>
      <w:r w:rsidR="002776DA" w:rsidRPr="002776DA">
        <w:rPr>
          <w:rStyle w:val="a7"/>
          <w:rFonts w:cs="Arial"/>
          <w:rtl/>
        </w:rPr>
        <w:footnoteReference w:id="200"/>
      </w:r>
      <w:r w:rsidR="002776DA">
        <w:rPr>
          <w:rFonts w:cs="Arial" w:hint="cs"/>
          <w:sz w:val="16"/>
          <w:szCs w:val="16"/>
          <w:rtl/>
        </w:rPr>
        <w:t xml:space="preserve"> (ל' הרי"ף)</w:t>
      </w:r>
      <w:r w:rsidR="002776DA">
        <w:rPr>
          <w:rFonts w:cs="Arial" w:hint="cs"/>
          <w:rtl/>
        </w:rPr>
        <w:t xml:space="preserve">. הילכך, </w:t>
      </w:r>
      <w:r w:rsidR="001D15A6" w:rsidRPr="001D15A6">
        <w:rPr>
          <w:rFonts w:cs="Arial"/>
          <w:rtl/>
        </w:rPr>
        <w:t>אמר לעשרה</w:t>
      </w:r>
      <w:r w:rsidR="001D15A6">
        <w:rPr>
          <w:rFonts w:cs="Arial" w:hint="cs"/>
          <w:rtl/>
        </w:rPr>
        <w:t>...</w:t>
      </w:r>
      <w:r w:rsidR="001D15A6" w:rsidRPr="001D15A6">
        <w:rPr>
          <w:rFonts w:cs="Arial"/>
          <w:rtl/>
        </w:rPr>
        <w:t xml:space="preserve"> </w:t>
      </w:r>
      <w:r w:rsidR="00197F32">
        <w:rPr>
          <w:rFonts w:cs="Arial" w:hint="cs"/>
          <w:rtl/>
        </w:rPr>
        <w:t>'</w:t>
      </w:r>
      <w:r w:rsidR="002776DA" w:rsidRPr="00D73446">
        <w:rPr>
          <w:rFonts w:cs="Arial"/>
          <w:rtl/>
        </w:rPr>
        <w:t>כולכם חתומו</w:t>
      </w:r>
      <w:r w:rsidR="00197F32">
        <w:rPr>
          <w:rFonts w:cs="Arial" w:hint="cs"/>
          <w:rtl/>
        </w:rPr>
        <w:t>'</w:t>
      </w:r>
      <w:r w:rsidR="00197F32">
        <w:rPr>
          <w:rStyle w:val="a7"/>
          <w:rFonts w:cs="Arial"/>
          <w:rtl/>
        </w:rPr>
        <w:footnoteReference w:id="201"/>
      </w:r>
      <w:r w:rsidR="002776DA" w:rsidRPr="00D73446">
        <w:rPr>
          <w:rFonts w:cs="Arial"/>
          <w:rtl/>
        </w:rPr>
        <w:t xml:space="preserve"> </w:t>
      </w:r>
      <w:r w:rsidR="00A82951">
        <w:rPr>
          <w:rFonts w:cs="Arial" w:hint="cs"/>
          <w:rtl/>
        </w:rPr>
        <w:t>-</w:t>
      </w:r>
      <w:r w:rsidR="002776DA" w:rsidRPr="00D73446">
        <w:rPr>
          <w:rFonts w:cs="Arial" w:hint="cs"/>
          <w:rtl/>
        </w:rPr>
        <w:t xml:space="preserve"> </w:t>
      </w:r>
      <w:r w:rsidRPr="00D73446">
        <w:rPr>
          <w:rFonts w:cs="Arial"/>
          <w:rtl/>
        </w:rPr>
        <w:t>כולם חותמין</w:t>
      </w:r>
      <w:r w:rsidR="00197F32">
        <w:rPr>
          <w:rFonts w:cs="Arial" w:hint="cs"/>
          <w:rtl/>
        </w:rPr>
        <w:t>.</w:t>
      </w:r>
      <w:r w:rsidR="00D267D5">
        <w:rPr>
          <w:rFonts w:cs="Arial" w:hint="cs"/>
          <w:rtl/>
        </w:rPr>
        <w:t>.</w:t>
      </w:r>
      <w:r w:rsidR="00197F32">
        <w:rPr>
          <w:rFonts w:cs="Arial" w:hint="cs"/>
          <w:rtl/>
        </w:rPr>
        <w:t>.</w:t>
      </w:r>
      <w:r w:rsidRPr="00D73446">
        <w:rPr>
          <w:rFonts w:cs="Arial"/>
          <w:rtl/>
        </w:rPr>
        <w:t xml:space="preserve"> ושנים שחותמין בתחלה הן משום עדים והשאר משום תנאי. לפיכך אם היו השאר פסולין</w:t>
      </w:r>
      <w:r w:rsidR="004A75BC">
        <w:rPr>
          <w:rFonts w:cs="Arial" w:hint="cs"/>
          <w:rtl/>
        </w:rPr>
        <w:t>,</w:t>
      </w:r>
      <w:r w:rsidRPr="00D73446">
        <w:rPr>
          <w:rFonts w:cs="Arial"/>
          <w:rtl/>
        </w:rPr>
        <w:t xml:space="preserve"> או חתמו זה היום וזה למחר אפילו לימים הרבה </w:t>
      </w:r>
      <w:r w:rsidR="00A82951">
        <w:rPr>
          <w:rFonts w:cs="Arial" w:hint="cs"/>
          <w:rtl/>
        </w:rPr>
        <w:t>-</w:t>
      </w:r>
      <w:r w:rsidR="004A75BC">
        <w:rPr>
          <w:rFonts w:cs="Arial" w:hint="cs"/>
          <w:rtl/>
        </w:rPr>
        <w:t xml:space="preserve"> </w:t>
      </w:r>
      <w:r w:rsidRPr="00D73446">
        <w:rPr>
          <w:rFonts w:cs="Arial"/>
          <w:rtl/>
        </w:rPr>
        <w:t>הרי זה כשר</w:t>
      </w:r>
      <w:r w:rsidR="002776DA">
        <w:rPr>
          <w:rFonts w:cs="Arial" w:hint="cs"/>
          <w:sz w:val="16"/>
          <w:szCs w:val="16"/>
          <w:rtl/>
        </w:rPr>
        <w:t xml:space="preserve"> (ל' הרמב"ם)</w:t>
      </w:r>
      <w:r w:rsidRPr="00D73446">
        <w:rPr>
          <w:rFonts w:cs="Arial" w:hint="cs"/>
          <w:rtl/>
        </w:rPr>
        <w:t>.</w:t>
      </w:r>
      <w:r w:rsidR="00877424" w:rsidRPr="00877424">
        <w:rPr>
          <w:rFonts w:hint="cs"/>
          <w:color w:val="E36C0A" w:themeColor="accent6" w:themeShade="BF"/>
          <w:rtl/>
        </w:rPr>
        <w:t xml:space="preserve"> (וכ"פ בשו"ע)</w:t>
      </w:r>
    </w:p>
    <w:p w14:paraId="290BDA23" w14:textId="705B839D" w:rsidR="001D15A6" w:rsidRDefault="00D73446" w:rsidP="00A65C5F">
      <w:pPr>
        <w:pStyle w:val="ab"/>
        <w:numPr>
          <w:ilvl w:val="0"/>
          <w:numId w:val="24"/>
        </w:numPr>
        <w:rPr>
          <w:rFonts w:cs="Arial"/>
        </w:rPr>
      </w:pPr>
      <w:r>
        <w:rPr>
          <w:rFonts w:cs="Arial" w:hint="cs"/>
          <w:rtl/>
        </w:rPr>
        <w:t>בה"ג</w:t>
      </w:r>
      <w:r>
        <w:rPr>
          <w:rFonts w:cs="Arial" w:hint="cs"/>
          <w:sz w:val="16"/>
          <w:szCs w:val="16"/>
          <w:rtl/>
        </w:rPr>
        <w:t xml:space="preserve"> </w:t>
      </w:r>
      <w:r w:rsidRPr="00DE6506">
        <w:rPr>
          <w:rFonts w:cs="Arial"/>
          <w:sz w:val="16"/>
          <w:szCs w:val="16"/>
          <w:rtl/>
        </w:rPr>
        <w:t>(הל' גיטין עח ע"ב</w:t>
      </w:r>
      <w:r w:rsidR="00FA4DEB">
        <w:rPr>
          <w:rFonts w:cs="Arial" w:hint="cs"/>
          <w:sz w:val="16"/>
          <w:szCs w:val="16"/>
          <w:rtl/>
        </w:rPr>
        <w:t>, כ"כ הרשב"א בשמו</w:t>
      </w:r>
      <w:r w:rsidR="00FA4DEB">
        <w:rPr>
          <w:rStyle w:val="a7"/>
          <w:rFonts w:cs="Arial"/>
          <w:sz w:val="16"/>
          <w:szCs w:val="16"/>
          <w:rtl/>
        </w:rPr>
        <w:footnoteReference w:id="202"/>
      </w:r>
      <w:r w:rsidR="00FA4DEB">
        <w:rPr>
          <w:rFonts w:cs="Arial" w:hint="cs"/>
          <w:sz w:val="16"/>
          <w:szCs w:val="16"/>
          <w:rtl/>
        </w:rPr>
        <w:t xml:space="preserve"> [יח:]</w:t>
      </w:r>
      <w:r w:rsidRPr="00DE6506">
        <w:rPr>
          <w:rFonts w:cs="Arial"/>
          <w:sz w:val="16"/>
          <w:szCs w:val="16"/>
          <w:rtl/>
        </w:rPr>
        <w:t>)</w:t>
      </w:r>
      <w:r>
        <w:rPr>
          <w:rFonts w:cs="Arial" w:hint="cs"/>
          <w:rtl/>
        </w:rPr>
        <w:t xml:space="preserve"> </w:t>
      </w:r>
      <w:r w:rsidR="00FA4DEB">
        <w:rPr>
          <w:rFonts w:cs="Arial" w:hint="cs"/>
          <w:rtl/>
        </w:rPr>
        <w:t xml:space="preserve">תוס' </w:t>
      </w:r>
      <w:r w:rsidR="00FA4DEB">
        <w:rPr>
          <w:rFonts w:cs="Arial" w:hint="cs"/>
          <w:sz w:val="16"/>
          <w:szCs w:val="16"/>
          <w:rtl/>
        </w:rPr>
        <w:t>(כ"כ בשמם רי"ו [</w:t>
      </w:r>
      <w:r w:rsidR="00FA4DEB" w:rsidRPr="00DE6506">
        <w:rPr>
          <w:rFonts w:cs="Arial"/>
          <w:sz w:val="16"/>
          <w:szCs w:val="16"/>
          <w:rtl/>
        </w:rPr>
        <w:t>נכ"ד ח"ב רג ע"ג</w:t>
      </w:r>
      <w:r w:rsidR="00FA4DEB">
        <w:rPr>
          <w:rFonts w:cs="Arial" w:hint="cs"/>
          <w:sz w:val="16"/>
          <w:szCs w:val="16"/>
          <w:rtl/>
        </w:rPr>
        <w:t xml:space="preserve">]) </w:t>
      </w:r>
      <w:r>
        <w:rPr>
          <w:rFonts w:cs="Arial" w:hint="cs"/>
          <w:rtl/>
        </w:rPr>
        <w:t xml:space="preserve">והגה"מ </w:t>
      </w:r>
      <w:r>
        <w:rPr>
          <w:rFonts w:cs="Arial" w:hint="cs"/>
          <w:sz w:val="16"/>
          <w:szCs w:val="16"/>
          <w:rtl/>
        </w:rPr>
        <w:t>(</w:t>
      </w:r>
      <w:r w:rsidRPr="00DE6506">
        <w:rPr>
          <w:rFonts w:cs="Arial"/>
          <w:sz w:val="16"/>
          <w:szCs w:val="16"/>
          <w:rtl/>
        </w:rPr>
        <w:t>פ</w:t>
      </w:r>
      <w:r w:rsidRPr="00DE6506">
        <w:rPr>
          <w:rFonts w:cs="Arial" w:hint="cs"/>
          <w:sz w:val="16"/>
          <w:szCs w:val="16"/>
          <w:rtl/>
        </w:rPr>
        <w:t>"</w:t>
      </w:r>
      <w:r w:rsidRPr="00DE6506">
        <w:rPr>
          <w:rFonts w:cs="Arial"/>
          <w:sz w:val="16"/>
          <w:szCs w:val="16"/>
          <w:rtl/>
        </w:rPr>
        <w:t>ט אות ח)</w:t>
      </w:r>
      <w:r w:rsidR="00A82951">
        <w:rPr>
          <w:rFonts w:cs="Arial" w:hint="cs"/>
          <w:rtl/>
        </w:rPr>
        <w:t>-</w:t>
      </w:r>
      <w:r>
        <w:rPr>
          <w:rFonts w:cs="Arial" w:hint="cs"/>
          <w:rtl/>
        </w:rPr>
        <w:t xml:space="preserve"> </w:t>
      </w:r>
      <w:r w:rsidR="002776DA">
        <w:rPr>
          <w:rFonts w:cs="Arial" w:hint="cs"/>
          <w:rtl/>
        </w:rPr>
        <w:t>קיי"ל כריש לקיש וכריב"ל</w:t>
      </w:r>
      <w:r w:rsidR="00EB5880" w:rsidRPr="00EB5880">
        <w:rPr>
          <w:rStyle w:val="a7"/>
          <w:rFonts w:cs="Arial"/>
          <w:rtl/>
        </w:rPr>
        <w:footnoteReference w:id="203"/>
      </w:r>
      <w:r w:rsidR="00EB5880">
        <w:rPr>
          <w:rFonts w:cs="Arial" w:hint="cs"/>
          <w:rtl/>
        </w:rPr>
        <w:t>.</w:t>
      </w:r>
      <w:r w:rsidR="00C3196C">
        <w:rPr>
          <w:rFonts w:cs="Arial" w:hint="cs"/>
          <w:rtl/>
        </w:rPr>
        <w:t xml:space="preserve"> </w:t>
      </w:r>
      <w:r w:rsidR="00C3196C" w:rsidRPr="00C3196C">
        <w:rPr>
          <w:rFonts w:cs="Arial" w:hint="cs"/>
          <w:color w:val="00B0F0"/>
          <w:rtl/>
        </w:rPr>
        <w:t>(וכ"פ הרמ"א</w:t>
      </w:r>
      <w:r w:rsidR="00C3196C" w:rsidRPr="00C3196C">
        <w:rPr>
          <w:rFonts w:cs="Arial" w:hint="cs"/>
          <w:color w:val="00B0F0"/>
          <w:sz w:val="16"/>
          <w:szCs w:val="16"/>
          <w:rtl/>
        </w:rPr>
        <w:t xml:space="preserve"> </w:t>
      </w:r>
      <w:r w:rsidR="00C3196C">
        <w:rPr>
          <w:rFonts w:cs="Arial" w:hint="cs"/>
          <w:sz w:val="16"/>
          <w:szCs w:val="16"/>
          <w:rtl/>
        </w:rPr>
        <w:t>[סע' י]</w:t>
      </w:r>
      <w:r w:rsidR="00C3196C" w:rsidRPr="00C3196C">
        <w:rPr>
          <w:rFonts w:cs="Arial" w:hint="cs"/>
          <w:color w:val="00B0F0"/>
          <w:rtl/>
        </w:rPr>
        <w:t>)</w:t>
      </w:r>
    </w:p>
    <w:p w14:paraId="08F54459" w14:textId="122F9E04" w:rsidR="00197F32" w:rsidRPr="00197F32" w:rsidRDefault="00197F32" w:rsidP="00197F32">
      <w:pPr>
        <w:rPr>
          <w:u w:val="single"/>
        </w:rPr>
      </w:pPr>
      <w:r w:rsidRPr="00197F32">
        <w:rPr>
          <w:rFonts w:hint="cs"/>
          <w:u w:val="single"/>
          <w:rtl/>
        </w:rPr>
        <w:t xml:space="preserve">מת אחד מהעדים </w:t>
      </w:r>
      <w:r>
        <w:rPr>
          <w:rFonts w:hint="cs"/>
          <w:u w:val="single"/>
          <w:rtl/>
        </w:rPr>
        <w:t>לפני שהספיק לחתום</w:t>
      </w:r>
      <w:r w:rsidRPr="00197F32">
        <w:rPr>
          <w:rFonts w:hint="cs"/>
          <w:u w:val="single"/>
          <w:rtl/>
        </w:rPr>
        <w:t>:</w:t>
      </w:r>
    </w:p>
    <w:p w14:paraId="4144361B" w14:textId="3A6B7DFC" w:rsidR="00197F32" w:rsidRPr="00197F32" w:rsidRDefault="00197F32" w:rsidP="00A65C5F">
      <w:pPr>
        <w:pStyle w:val="ab"/>
        <w:numPr>
          <w:ilvl w:val="0"/>
          <w:numId w:val="24"/>
        </w:numPr>
      </w:pPr>
      <w:r>
        <w:rPr>
          <w:rFonts w:cs="Arial" w:hint="cs"/>
          <w:rtl/>
        </w:rPr>
        <w:t>טור</w:t>
      </w:r>
      <w:r w:rsidR="00A82951">
        <w:rPr>
          <w:rFonts w:cs="Arial" w:hint="cs"/>
          <w:rtl/>
        </w:rPr>
        <w:t>-</w:t>
      </w:r>
      <w:r>
        <w:rPr>
          <w:rFonts w:cs="Arial" w:hint="cs"/>
          <w:rtl/>
        </w:rPr>
        <w:t xml:space="preserve"> </w:t>
      </w:r>
      <w:r w:rsidR="004A75BC" w:rsidRPr="00201037">
        <w:rPr>
          <w:rFonts w:cs="Arial"/>
          <w:rtl/>
        </w:rPr>
        <w:t>מת אחד קודם שחתם</w:t>
      </w:r>
      <w:r w:rsidR="00A766E9">
        <w:rPr>
          <w:rFonts w:cs="Arial" w:hint="cs"/>
          <w:rtl/>
        </w:rPr>
        <w:t>,</w:t>
      </w:r>
      <w:r w:rsidR="004A75BC">
        <w:rPr>
          <w:rFonts w:cs="Arial" w:hint="cs"/>
          <w:rtl/>
        </w:rPr>
        <w:t xml:space="preserve"> </w:t>
      </w:r>
      <w:r w:rsidR="004A75BC" w:rsidRPr="00201037">
        <w:rPr>
          <w:rFonts w:cs="Arial"/>
          <w:rtl/>
        </w:rPr>
        <w:t>ה"ז פסול</w:t>
      </w:r>
      <w:r w:rsidR="004A75BC">
        <w:rPr>
          <w:rFonts w:cs="Arial" w:hint="cs"/>
          <w:rtl/>
        </w:rPr>
        <w:t>.</w:t>
      </w:r>
      <w:r w:rsidR="004A75BC" w:rsidRPr="00201037">
        <w:rPr>
          <w:rFonts w:cs="Arial"/>
          <w:rtl/>
        </w:rPr>
        <w:t xml:space="preserve"> </w:t>
      </w:r>
    </w:p>
    <w:p w14:paraId="132334F6" w14:textId="66790968" w:rsidR="00197F32" w:rsidRPr="00197F32" w:rsidRDefault="00197F32" w:rsidP="00A65C5F">
      <w:pPr>
        <w:pStyle w:val="ab"/>
        <w:numPr>
          <w:ilvl w:val="0"/>
          <w:numId w:val="24"/>
        </w:numPr>
      </w:pPr>
      <w:r>
        <w:rPr>
          <w:rFonts w:cs="Arial" w:hint="cs"/>
          <w:rtl/>
        </w:rPr>
        <w:t>רמב"ם</w:t>
      </w:r>
      <w:r w:rsidR="00877424">
        <w:rPr>
          <w:rFonts w:cs="Arial" w:hint="cs"/>
          <w:sz w:val="16"/>
          <w:szCs w:val="16"/>
          <w:rtl/>
        </w:rPr>
        <w:t xml:space="preserve"> (שם)</w:t>
      </w:r>
      <w:r w:rsidR="00A82951">
        <w:rPr>
          <w:rFonts w:cs="Arial" w:hint="cs"/>
          <w:rtl/>
        </w:rPr>
        <w:t>-</w:t>
      </w:r>
      <w:r>
        <w:rPr>
          <w:rFonts w:cs="Arial" w:hint="cs"/>
          <w:rtl/>
        </w:rPr>
        <w:t xml:space="preserve"> </w:t>
      </w:r>
      <w:r w:rsidRPr="00197F32">
        <w:rPr>
          <w:rFonts w:cs="Arial"/>
          <w:rtl/>
        </w:rPr>
        <w:t>מת אחד מהן קודם חתימה</w:t>
      </w:r>
      <w:r w:rsidR="00A766E9">
        <w:rPr>
          <w:rFonts w:cs="Arial" w:hint="cs"/>
          <w:rtl/>
        </w:rPr>
        <w:t>,</w:t>
      </w:r>
      <w:r w:rsidR="00877424">
        <w:rPr>
          <w:rFonts w:cs="Arial" w:hint="cs"/>
          <w:rtl/>
        </w:rPr>
        <w:t xml:space="preserve"> </w:t>
      </w:r>
      <w:r w:rsidRPr="00197F32">
        <w:rPr>
          <w:rFonts w:cs="Arial"/>
          <w:rtl/>
        </w:rPr>
        <w:t>הרי זה גט בטל</w:t>
      </w:r>
      <w:r>
        <w:rPr>
          <w:rFonts w:cs="Arial" w:hint="cs"/>
          <w:rtl/>
        </w:rPr>
        <w:t>.</w:t>
      </w:r>
      <w:r w:rsidRPr="00197F32">
        <w:rPr>
          <w:rFonts w:cs="Arial"/>
          <w:rtl/>
        </w:rPr>
        <w:t xml:space="preserve"> </w:t>
      </w:r>
      <w:r w:rsidR="00877424" w:rsidRPr="00877424">
        <w:rPr>
          <w:rFonts w:hint="cs"/>
          <w:color w:val="E36C0A" w:themeColor="accent6" w:themeShade="BF"/>
          <w:rtl/>
        </w:rPr>
        <w:t>(וכ"פ בשו"ע)</w:t>
      </w:r>
    </w:p>
    <w:p w14:paraId="778EF0C1" w14:textId="4CBD61CC" w:rsidR="00B71287" w:rsidRPr="00B71287" w:rsidRDefault="00B71287" w:rsidP="00B71287">
      <w:pPr>
        <w:rPr>
          <w:rFonts w:cs="Arial"/>
        </w:rPr>
      </w:pPr>
      <w:r w:rsidRPr="00F14CBE">
        <w:rPr>
          <w:rFonts w:ascii="Calibri" w:eastAsia="Calibri" w:hAnsi="Calibri" w:cs="Arial"/>
          <w:b/>
          <w:bCs/>
          <w:rtl/>
        </w:rPr>
        <w:t xml:space="preserve">גיטין </w:t>
      </w:r>
      <w:r w:rsidRPr="00F14CBE">
        <w:rPr>
          <w:rFonts w:ascii="Calibri" w:eastAsia="Calibri" w:hAnsi="Calibri" w:cs="Arial"/>
          <w:b/>
          <w:bCs/>
          <w:sz w:val="16"/>
          <w:szCs w:val="16"/>
          <w:rtl/>
        </w:rPr>
        <w:t>(פ"</w:t>
      </w:r>
      <w:r>
        <w:rPr>
          <w:rFonts w:ascii="Calibri" w:eastAsia="Calibri" w:hAnsi="Calibri" w:cs="Arial" w:hint="cs"/>
          <w:b/>
          <w:bCs/>
          <w:sz w:val="16"/>
          <w:szCs w:val="16"/>
          <w:rtl/>
        </w:rPr>
        <w:t>ק</w:t>
      </w:r>
      <w:r w:rsidRPr="00F14CBE">
        <w:rPr>
          <w:rFonts w:ascii="Calibri" w:eastAsia="Calibri" w:hAnsi="Calibri" w:cs="Arial"/>
          <w:b/>
          <w:bCs/>
          <w:sz w:val="16"/>
          <w:szCs w:val="16"/>
          <w:rtl/>
        </w:rPr>
        <w:t>)</w:t>
      </w:r>
      <w:r w:rsidRPr="00F14CBE">
        <w:rPr>
          <w:rFonts w:ascii="Calibri" w:eastAsia="Calibri" w:hAnsi="Calibri" w:cs="Arial"/>
          <w:b/>
          <w:bCs/>
          <w:rtl/>
        </w:rPr>
        <w:t xml:space="preserve"> </w:t>
      </w:r>
      <w:r>
        <w:rPr>
          <w:rFonts w:ascii="Calibri" w:eastAsia="Calibri" w:hAnsi="Calibri" w:cs="Arial" w:hint="cs"/>
          <w:b/>
          <w:bCs/>
          <w:rtl/>
        </w:rPr>
        <w:t>י</w:t>
      </w:r>
      <w:r w:rsidR="0065687E">
        <w:rPr>
          <w:rStyle w:val="a7"/>
          <w:rFonts w:ascii="Calibri" w:eastAsia="Calibri" w:hAnsi="Calibri" w:cs="Arial"/>
          <w:b/>
          <w:bCs/>
          <w:rtl/>
        </w:rPr>
        <w:footnoteReference w:id="204"/>
      </w:r>
      <w:r>
        <w:rPr>
          <w:rFonts w:ascii="Calibri" w:eastAsia="Calibri" w:hAnsi="Calibri" w:cs="Arial" w:hint="cs"/>
          <w:b/>
          <w:bCs/>
          <w:rtl/>
        </w:rPr>
        <w:t xml:space="preserve"> </w:t>
      </w:r>
      <w:r w:rsidRPr="00F14CBE">
        <w:rPr>
          <w:rFonts w:ascii="Calibri" w:eastAsia="Calibri" w:hAnsi="Calibri" w:cs="Arial"/>
          <w:b/>
          <w:bCs/>
          <w:rtl/>
        </w:rPr>
        <w:t>ע"ב:</w:t>
      </w:r>
      <w:r>
        <w:rPr>
          <w:rFonts w:ascii="Calibri" w:eastAsia="Calibri" w:hAnsi="Calibri" w:cs="Arial" w:hint="cs"/>
          <w:rtl/>
        </w:rPr>
        <w:t xml:space="preserve"> </w:t>
      </w:r>
      <w:r w:rsidRPr="00B71287">
        <w:rPr>
          <w:rFonts w:cs="Arial"/>
          <w:u w:val="single"/>
          <w:rtl/>
        </w:rPr>
        <w:t>א"ר פפא</w:t>
      </w:r>
      <w:r>
        <w:rPr>
          <w:rFonts w:cs="Arial" w:hint="cs"/>
          <w:rtl/>
        </w:rPr>
        <w:t>:</w:t>
      </w:r>
      <w:r w:rsidRPr="00B71287">
        <w:rPr>
          <w:rFonts w:cs="Arial"/>
          <w:rtl/>
        </w:rPr>
        <w:t xml:space="preserve"> זאת אומרת</w:t>
      </w:r>
      <w:r>
        <w:rPr>
          <w:rFonts w:cs="Arial" w:hint="cs"/>
          <w:rtl/>
        </w:rPr>
        <w:t>,</w:t>
      </w:r>
      <w:r w:rsidRPr="00B71287">
        <w:rPr>
          <w:rFonts w:cs="Arial"/>
          <w:rtl/>
        </w:rPr>
        <w:t xml:space="preserve"> עדי הגט אין חותמין זה בלא זה. מאי טעמא? </w:t>
      </w:r>
      <w:r w:rsidRPr="00B71287">
        <w:rPr>
          <w:rFonts w:cs="Arial"/>
          <w:u w:val="single"/>
          <w:rtl/>
        </w:rPr>
        <w:t>אמר רב אשי</w:t>
      </w:r>
      <w:r w:rsidRPr="00B71287">
        <w:rPr>
          <w:rFonts w:cs="Arial"/>
          <w:rtl/>
        </w:rPr>
        <w:t>: גזירה משום כולכם.</w:t>
      </w:r>
      <w:r w:rsidR="00EC166A">
        <w:rPr>
          <w:rFonts w:cs="Arial" w:hint="cs"/>
          <w:rtl/>
        </w:rPr>
        <w:t xml:space="preserve"> </w:t>
      </w:r>
      <w:r w:rsidR="00EC166A" w:rsidRPr="00EC166A">
        <w:rPr>
          <w:rFonts w:cs="Arial" w:hint="cs"/>
          <w:sz w:val="16"/>
          <w:szCs w:val="16"/>
          <w:rtl/>
        </w:rPr>
        <w:t xml:space="preserve">(הראב"ד והרמב"ן פירשו דגזירה משום 'כולכם עדים'. ולכן אם אמר הבעל 'כולכם חתומו' </w:t>
      </w:r>
      <w:r w:rsidR="00A82951">
        <w:rPr>
          <w:rFonts w:cs="Arial"/>
          <w:sz w:val="16"/>
          <w:szCs w:val="16"/>
          <w:rtl/>
        </w:rPr>
        <w:t>-</w:t>
      </w:r>
      <w:r w:rsidR="00EC166A" w:rsidRPr="00EC166A">
        <w:rPr>
          <w:rFonts w:cs="Arial" w:hint="cs"/>
          <w:sz w:val="16"/>
          <w:szCs w:val="16"/>
          <w:rtl/>
        </w:rPr>
        <w:t xml:space="preserve"> לא צריכים עדי התנאי לחתום בפני ב' עדי העדות. והתוס' והרמב"ם פירשו דגזירה משום 'כולכם חתומו'. משמע ד</w:t>
      </w:r>
      <w:r w:rsidR="0014657B">
        <w:rPr>
          <w:rFonts w:cs="Arial" w:hint="cs"/>
          <w:sz w:val="16"/>
          <w:szCs w:val="16"/>
          <w:rtl/>
        </w:rPr>
        <w:t>כשאמר הבעל '</w:t>
      </w:r>
      <w:r w:rsidR="00EC166A" w:rsidRPr="00EC166A">
        <w:rPr>
          <w:rFonts w:cs="Arial" w:hint="cs"/>
          <w:sz w:val="16"/>
          <w:szCs w:val="16"/>
          <w:rtl/>
        </w:rPr>
        <w:t>כלכם חתומו</w:t>
      </w:r>
      <w:r w:rsidR="0014657B">
        <w:rPr>
          <w:rFonts w:cs="Arial" w:hint="cs"/>
          <w:sz w:val="16"/>
          <w:szCs w:val="16"/>
          <w:rtl/>
        </w:rPr>
        <w:t>'</w:t>
      </w:r>
      <w:r w:rsidR="00EC166A" w:rsidRPr="00EC166A">
        <w:rPr>
          <w:rFonts w:cs="Arial" w:hint="cs"/>
          <w:sz w:val="16"/>
          <w:szCs w:val="16"/>
          <w:rtl/>
        </w:rPr>
        <w:t xml:space="preserve"> צריכים עדי התנאי לחתום במעמד כולם)</w:t>
      </w:r>
      <w:r w:rsidR="004F2E8D">
        <w:rPr>
          <w:rFonts w:cs="Arial" w:hint="cs"/>
          <w:rtl/>
        </w:rPr>
        <w:t xml:space="preserve"> </w:t>
      </w:r>
    </w:p>
    <w:p w14:paraId="03A73C4B" w14:textId="5BB16940" w:rsidR="001D15A6" w:rsidRPr="00B71287" w:rsidRDefault="007F3597" w:rsidP="00B71287">
      <w:pPr>
        <w:rPr>
          <w:rFonts w:cs="Arial"/>
          <w:u w:val="single"/>
        </w:rPr>
      </w:pPr>
      <w:r w:rsidRPr="00B71287">
        <w:rPr>
          <w:rFonts w:cs="Arial" w:hint="cs"/>
          <w:u w:val="single"/>
          <w:rtl/>
        </w:rPr>
        <w:lastRenderedPageBreak/>
        <w:t>למ"ד משום תנאי</w:t>
      </w:r>
      <w:r w:rsidR="0014657B">
        <w:rPr>
          <w:rFonts w:cs="Arial" w:hint="cs"/>
          <w:sz w:val="16"/>
          <w:szCs w:val="16"/>
          <w:u w:val="single"/>
          <w:rtl/>
        </w:rPr>
        <w:t xml:space="preserve"> (ר' יוחנן)</w:t>
      </w:r>
      <w:r w:rsidRPr="00B71287">
        <w:rPr>
          <w:rFonts w:cs="Arial" w:hint="cs"/>
          <w:u w:val="single"/>
          <w:rtl/>
        </w:rPr>
        <w:t xml:space="preserve"> </w:t>
      </w:r>
      <w:r w:rsidR="00A82951">
        <w:rPr>
          <w:rFonts w:cs="Arial"/>
          <w:u w:val="single"/>
          <w:rtl/>
        </w:rPr>
        <w:t>-</w:t>
      </w:r>
      <w:r w:rsidRPr="00B71287">
        <w:rPr>
          <w:rFonts w:cs="Arial" w:hint="cs"/>
          <w:u w:val="single"/>
          <w:rtl/>
        </w:rPr>
        <w:t xml:space="preserve"> האם </w:t>
      </w:r>
      <w:r w:rsidR="00A21118" w:rsidRPr="00B71287">
        <w:rPr>
          <w:rFonts w:cs="Arial" w:hint="cs"/>
          <w:u w:val="single"/>
          <w:rtl/>
        </w:rPr>
        <w:t xml:space="preserve">עדי </w:t>
      </w:r>
      <w:r w:rsidR="00B97962" w:rsidRPr="00B71287">
        <w:rPr>
          <w:rFonts w:cs="Arial" w:hint="cs"/>
          <w:u w:val="single"/>
          <w:rtl/>
        </w:rPr>
        <w:t>ה</w:t>
      </w:r>
      <w:r w:rsidR="00A21118" w:rsidRPr="00B71287">
        <w:rPr>
          <w:rFonts w:cs="Arial" w:hint="cs"/>
          <w:u w:val="single"/>
          <w:rtl/>
        </w:rPr>
        <w:t xml:space="preserve">תנאי צריכים לחתום </w:t>
      </w:r>
      <w:r w:rsidR="00A21118" w:rsidRPr="00B71287">
        <w:rPr>
          <w:rFonts w:cs="Arial" w:hint="cs"/>
          <w:b/>
          <w:bCs/>
          <w:u w:val="single"/>
          <w:rtl/>
        </w:rPr>
        <w:t>בפני</w:t>
      </w:r>
      <w:r w:rsidR="00A21118" w:rsidRPr="00B71287">
        <w:rPr>
          <w:rFonts w:cs="Arial" w:hint="cs"/>
          <w:u w:val="single"/>
          <w:rtl/>
        </w:rPr>
        <w:t xml:space="preserve"> </w:t>
      </w:r>
      <w:r w:rsidR="00B97962" w:rsidRPr="00B71287">
        <w:rPr>
          <w:rFonts w:cs="Arial" w:hint="cs"/>
          <w:u w:val="single"/>
          <w:rtl/>
        </w:rPr>
        <w:t xml:space="preserve">שני </w:t>
      </w:r>
      <w:r w:rsidR="00A21118" w:rsidRPr="00B71287">
        <w:rPr>
          <w:rFonts w:cs="Arial" w:hint="cs"/>
          <w:u w:val="single"/>
          <w:rtl/>
        </w:rPr>
        <w:t xml:space="preserve">עדי </w:t>
      </w:r>
      <w:r w:rsidR="00B97962" w:rsidRPr="00B71287">
        <w:rPr>
          <w:rFonts w:cs="Arial" w:hint="cs"/>
          <w:u w:val="single"/>
          <w:rtl/>
        </w:rPr>
        <w:t>ה</w:t>
      </w:r>
      <w:r w:rsidR="00A21118" w:rsidRPr="00B71287">
        <w:rPr>
          <w:rFonts w:cs="Arial" w:hint="cs"/>
          <w:u w:val="single"/>
          <w:rtl/>
        </w:rPr>
        <w:t>עדות:</w:t>
      </w:r>
    </w:p>
    <w:p w14:paraId="6AF1315C" w14:textId="3E42723A" w:rsidR="001D15A6" w:rsidRDefault="00BA15E7" w:rsidP="00A65C5F">
      <w:pPr>
        <w:pStyle w:val="ab"/>
        <w:numPr>
          <w:ilvl w:val="0"/>
          <w:numId w:val="24"/>
        </w:numPr>
        <w:rPr>
          <w:rFonts w:cs="Arial"/>
        </w:rPr>
      </w:pPr>
      <w:r w:rsidRPr="001D15A6">
        <w:rPr>
          <w:rFonts w:cs="Arial"/>
          <w:rtl/>
        </w:rPr>
        <w:t>תוס</w:t>
      </w:r>
      <w:r w:rsidR="00B97962">
        <w:rPr>
          <w:rFonts w:cs="Arial" w:hint="cs"/>
          <w:rtl/>
        </w:rPr>
        <w:t>'</w:t>
      </w:r>
      <w:r w:rsidRPr="001D15A6">
        <w:rPr>
          <w:rFonts w:cs="Arial"/>
          <w:rtl/>
        </w:rPr>
        <w:t xml:space="preserve"> </w:t>
      </w:r>
      <w:r w:rsidRPr="00B97962">
        <w:rPr>
          <w:rFonts w:cs="Arial"/>
          <w:sz w:val="16"/>
          <w:szCs w:val="16"/>
          <w:rtl/>
        </w:rPr>
        <w:t>(יח: ד"ה ואינך)</w:t>
      </w:r>
      <w:r w:rsidR="00EC166A">
        <w:rPr>
          <w:rFonts w:cs="Arial" w:hint="cs"/>
          <w:rtl/>
        </w:rPr>
        <w:t xml:space="preserve"> רמב"ם</w:t>
      </w:r>
      <w:r w:rsidR="00EC166A">
        <w:rPr>
          <w:rStyle w:val="a7"/>
          <w:rFonts w:cs="Arial"/>
          <w:rtl/>
        </w:rPr>
        <w:footnoteReference w:id="205"/>
      </w:r>
      <w:r w:rsidR="00EC166A">
        <w:rPr>
          <w:rFonts w:cs="Arial" w:hint="cs"/>
          <w:sz w:val="16"/>
          <w:szCs w:val="16"/>
          <w:rtl/>
        </w:rPr>
        <w:t xml:space="preserve"> (פ"ט ה"ט)</w:t>
      </w:r>
      <w:r w:rsidR="00682E99">
        <w:rPr>
          <w:rFonts w:cs="Arial" w:hint="cs"/>
          <w:rtl/>
        </w:rPr>
        <w:t xml:space="preserve"> ור"ן</w:t>
      </w:r>
      <w:r w:rsidR="00682E99" w:rsidRPr="00682E99">
        <w:rPr>
          <w:rFonts w:cs="Arial" w:hint="cs"/>
          <w:sz w:val="16"/>
          <w:szCs w:val="16"/>
          <w:rtl/>
        </w:rPr>
        <w:t xml:space="preserve"> </w:t>
      </w:r>
      <w:r w:rsidR="00682E99" w:rsidRPr="00682E99">
        <w:rPr>
          <w:rFonts w:cs="Arial"/>
          <w:sz w:val="16"/>
          <w:szCs w:val="16"/>
          <w:rtl/>
        </w:rPr>
        <w:t>(לג: ד"ה מתני')</w:t>
      </w:r>
      <w:r w:rsidR="00625AF6">
        <w:rPr>
          <w:rStyle w:val="a7"/>
          <w:rFonts w:cs="Arial"/>
          <w:rtl/>
        </w:rPr>
        <w:footnoteReference w:id="206"/>
      </w:r>
      <w:r w:rsidR="00A82951">
        <w:rPr>
          <w:rFonts w:cs="Arial" w:hint="cs"/>
          <w:rtl/>
        </w:rPr>
        <w:t>-</w:t>
      </w:r>
      <w:r w:rsidRPr="001D15A6">
        <w:rPr>
          <w:rFonts w:cs="Arial"/>
          <w:rtl/>
        </w:rPr>
        <w:t xml:space="preserve"> ואינך מכאן עד עשרה ימים ובמעמד כולן</w:t>
      </w:r>
      <w:r w:rsidR="007C1C73">
        <w:rPr>
          <w:rStyle w:val="a7"/>
          <w:rFonts w:cs="Arial"/>
          <w:rtl/>
        </w:rPr>
        <w:footnoteReference w:id="207"/>
      </w:r>
      <w:r w:rsidR="00231F3C">
        <w:rPr>
          <w:rFonts w:cs="Arial" w:hint="cs"/>
          <w:rtl/>
        </w:rPr>
        <w:t>,</w:t>
      </w:r>
      <w:r w:rsidRPr="001D15A6">
        <w:rPr>
          <w:rFonts w:cs="Arial"/>
          <w:rtl/>
        </w:rPr>
        <w:t xml:space="preserve"> כדאמרינן בפ</w:t>
      </w:r>
      <w:r w:rsidR="002776DA" w:rsidRPr="001D15A6">
        <w:rPr>
          <w:rFonts w:cs="Arial" w:hint="cs"/>
          <w:rtl/>
        </w:rPr>
        <w:t>"</w:t>
      </w:r>
      <w:r w:rsidRPr="001D15A6">
        <w:rPr>
          <w:rFonts w:cs="Arial"/>
          <w:rtl/>
        </w:rPr>
        <w:t>ק (י:) דעדי הגט אין חותמין זה בלא זה</w:t>
      </w:r>
      <w:r w:rsidR="00B97962">
        <w:rPr>
          <w:rFonts w:cs="Arial" w:hint="cs"/>
          <w:sz w:val="16"/>
          <w:szCs w:val="16"/>
          <w:rtl/>
        </w:rPr>
        <w:t xml:space="preserve"> (ל' התוס')</w:t>
      </w:r>
      <w:r w:rsidR="007D6C41" w:rsidRPr="001D15A6">
        <w:rPr>
          <w:rFonts w:cs="Arial" w:hint="cs"/>
          <w:rtl/>
        </w:rPr>
        <w:t>.</w:t>
      </w:r>
      <w:r w:rsidRPr="001D15A6">
        <w:rPr>
          <w:rFonts w:cs="Arial"/>
          <w:rtl/>
        </w:rPr>
        <w:t xml:space="preserve"> </w:t>
      </w:r>
      <w:r w:rsidR="00877424" w:rsidRPr="00877424">
        <w:rPr>
          <w:rFonts w:hint="cs"/>
          <w:color w:val="E36C0A" w:themeColor="accent6" w:themeShade="BF"/>
          <w:rtl/>
        </w:rPr>
        <w:t>(וכ"פ בשו"ע)</w:t>
      </w:r>
    </w:p>
    <w:p w14:paraId="31841A59" w14:textId="2EAFDCCF" w:rsidR="00A22454" w:rsidRDefault="00A21118" w:rsidP="00A65C5F">
      <w:pPr>
        <w:pStyle w:val="ab"/>
        <w:numPr>
          <w:ilvl w:val="0"/>
          <w:numId w:val="24"/>
        </w:numPr>
        <w:rPr>
          <w:rFonts w:cs="Arial"/>
        </w:rPr>
      </w:pPr>
      <w:r>
        <w:rPr>
          <w:rFonts w:cs="Arial" w:hint="cs"/>
          <w:rtl/>
        </w:rPr>
        <w:t xml:space="preserve">ראב"ד </w:t>
      </w:r>
      <w:r>
        <w:rPr>
          <w:rFonts w:cs="Arial" w:hint="cs"/>
          <w:sz w:val="16"/>
          <w:szCs w:val="16"/>
          <w:rtl/>
        </w:rPr>
        <w:t>(כ"כ הרשב"א בשמו [</w:t>
      </w:r>
      <w:r w:rsidRPr="00A21118">
        <w:rPr>
          <w:rFonts w:cs="Arial" w:hint="cs"/>
          <w:sz w:val="16"/>
          <w:szCs w:val="16"/>
          <w:rtl/>
        </w:rPr>
        <w:t>י:</w:t>
      </w:r>
      <w:r w:rsidRPr="00A21118">
        <w:rPr>
          <w:rFonts w:cs="Arial"/>
          <w:sz w:val="16"/>
          <w:szCs w:val="16"/>
          <w:rtl/>
        </w:rPr>
        <w:t xml:space="preserve"> ד"ה וגזרה</w:t>
      </w:r>
      <w:r>
        <w:rPr>
          <w:rFonts w:cs="Arial" w:hint="cs"/>
          <w:sz w:val="16"/>
          <w:szCs w:val="16"/>
          <w:rtl/>
        </w:rPr>
        <w:t>])</w:t>
      </w:r>
      <w:r w:rsidR="00B97962" w:rsidRPr="00B97962">
        <w:rPr>
          <w:rFonts w:cs="Arial"/>
          <w:rtl/>
        </w:rPr>
        <w:t xml:space="preserve"> </w:t>
      </w:r>
      <w:r w:rsidR="00B97962">
        <w:rPr>
          <w:rFonts w:cs="Arial"/>
          <w:rtl/>
        </w:rPr>
        <w:t>רמב"ן</w:t>
      </w:r>
      <w:r w:rsidR="00B97962" w:rsidRPr="00B97962">
        <w:rPr>
          <w:rFonts w:cs="Arial"/>
          <w:sz w:val="16"/>
          <w:szCs w:val="16"/>
          <w:rtl/>
        </w:rPr>
        <w:t xml:space="preserve"> (י: ד"ה זאת אומרת</w:t>
      </w:r>
      <w:r w:rsidR="00B71287">
        <w:rPr>
          <w:rFonts w:cs="Arial" w:hint="cs"/>
          <w:sz w:val="16"/>
          <w:szCs w:val="16"/>
          <w:rtl/>
        </w:rPr>
        <w:t>,</w:t>
      </w:r>
      <w:r w:rsidR="00B97962" w:rsidRPr="00B97962">
        <w:rPr>
          <w:rFonts w:cs="Arial"/>
          <w:sz w:val="16"/>
          <w:szCs w:val="16"/>
          <w:rtl/>
        </w:rPr>
        <w:t xml:space="preserve"> ובמל</w:t>
      </w:r>
      <w:r w:rsidR="0014657B">
        <w:rPr>
          <w:rFonts w:cs="Arial" w:hint="cs"/>
          <w:sz w:val="16"/>
          <w:szCs w:val="16"/>
          <w:rtl/>
        </w:rPr>
        <w:t>חמות</w:t>
      </w:r>
      <w:r w:rsidR="00B97962" w:rsidRPr="00B97962">
        <w:rPr>
          <w:rFonts w:cs="Arial"/>
          <w:sz w:val="16"/>
          <w:szCs w:val="16"/>
          <w:rtl/>
        </w:rPr>
        <w:t xml:space="preserve"> ג:</w:t>
      </w:r>
      <w:r w:rsidR="00B97962" w:rsidRPr="00B97962">
        <w:rPr>
          <w:rFonts w:cs="Arial" w:hint="cs"/>
          <w:sz w:val="16"/>
          <w:szCs w:val="16"/>
          <w:rtl/>
        </w:rPr>
        <w:t>, הביאו הר"ן [ג:]</w:t>
      </w:r>
      <w:r w:rsidR="00B97962" w:rsidRPr="00B97962">
        <w:rPr>
          <w:rFonts w:cs="Arial"/>
          <w:sz w:val="16"/>
          <w:szCs w:val="16"/>
          <w:rtl/>
        </w:rPr>
        <w:t>)</w:t>
      </w:r>
      <w:r w:rsidR="0014657B">
        <w:rPr>
          <w:rFonts w:cs="Arial" w:hint="cs"/>
          <w:rtl/>
        </w:rPr>
        <w:t xml:space="preserve"> ורי"ו</w:t>
      </w:r>
      <w:r w:rsidR="0014657B">
        <w:rPr>
          <w:rStyle w:val="a7"/>
          <w:rFonts w:cs="Arial"/>
          <w:rtl/>
        </w:rPr>
        <w:footnoteReference w:id="208"/>
      </w:r>
      <w:r w:rsidR="0014657B">
        <w:rPr>
          <w:rFonts w:cs="Arial" w:hint="cs"/>
          <w:sz w:val="16"/>
          <w:szCs w:val="16"/>
          <w:rtl/>
        </w:rPr>
        <w:t xml:space="preserve"> (שם)</w:t>
      </w:r>
      <w:r w:rsidR="00A82951">
        <w:rPr>
          <w:rFonts w:cs="Arial" w:hint="cs"/>
          <w:rtl/>
        </w:rPr>
        <w:t>-</w:t>
      </w:r>
      <w:r>
        <w:rPr>
          <w:rFonts w:cs="Arial" w:hint="cs"/>
          <w:rtl/>
        </w:rPr>
        <w:t xml:space="preserve"> </w:t>
      </w:r>
      <w:r w:rsidRPr="00A21118">
        <w:rPr>
          <w:rFonts w:cs="Arial"/>
          <w:rtl/>
        </w:rPr>
        <w:t>תרי מינייהו חתמי ביומיה ובמעמד כולם</w:t>
      </w:r>
      <w:r>
        <w:rPr>
          <w:rFonts w:cs="Arial" w:hint="cs"/>
          <w:rtl/>
        </w:rPr>
        <w:t>,</w:t>
      </w:r>
      <w:r w:rsidRPr="00A21118">
        <w:rPr>
          <w:rFonts w:cs="Arial"/>
          <w:rtl/>
        </w:rPr>
        <w:t xml:space="preserve"> ואינך כולהו מכאן ועד עשרה ימים ואפילו זה שלא בפני זה</w:t>
      </w:r>
      <w:r>
        <w:rPr>
          <w:rFonts w:cs="Arial" w:hint="cs"/>
          <w:rtl/>
        </w:rPr>
        <w:t>,</w:t>
      </w:r>
      <w:r w:rsidRPr="00A21118">
        <w:rPr>
          <w:rFonts w:cs="Arial"/>
          <w:rtl/>
        </w:rPr>
        <w:t xml:space="preserve"> דכולהו משום תנאי נינהו ומקיים תנאיה ואזיל</w:t>
      </w:r>
      <w:r>
        <w:rPr>
          <w:rFonts w:cs="Arial" w:hint="cs"/>
          <w:rtl/>
        </w:rPr>
        <w:t>.</w:t>
      </w:r>
      <w:r w:rsidRPr="00A21118">
        <w:rPr>
          <w:rFonts w:cs="Arial"/>
          <w:rtl/>
        </w:rPr>
        <w:t xml:space="preserve"> ואי לא </w:t>
      </w:r>
      <w:r w:rsidR="00A82951">
        <w:rPr>
          <w:rFonts w:cs="Arial" w:hint="cs"/>
          <w:rtl/>
        </w:rPr>
        <w:t>-</w:t>
      </w:r>
      <w:r>
        <w:rPr>
          <w:rFonts w:cs="Arial" w:hint="cs"/>
          <w:rtl/>
        </w:rPr>
        <w:t xml:space="preserve"> </w:t>
      </w:r>
      <w:r w:rsidRPr="00A21118">
        <w:rPr>
          <w:rFonts w:cs="Arial"/>
          <w:rtl/>
        </w:rPr>
        <w:t>איהי ואיהו יחושו לעצמן כשאר כל התנאין</w:t>
      </w:r>
      <w:r>
        <w:rPr>
          <w:rStyle w:val="a7"/>
          <w:rFonts w:cs="Arial"/>
          <w:rtl/>
        </w:rPr>
        <w:footnoteReference w:id="209"/>
      </w:r>
      <w:r w:rsidR="00B97962">
        <w:rPr>
          <w:rFonts w:cs="Arial" w:hint="cs"/>
          <w:sz w:val="16"/>
          <w:szCs w:val="16"/>
          <w:rtl/>
        </w:rPr>
        <w:t xml:space="preserve"> (ל' הרשב"א בשמו)</w:t>
      </w:r>
      <w:r>
        <w:rPr>
          <w:rFonts w:cs="Arial" w:hint="cs"/>
          <w:rtl/>
        </w:rPr>
        <w:t>.</w:t>
      </w:r>
      <w:r w:rsidRPr="00A21118">
        <w:rPr>
          <w:rFonts w:cs="Arial"/>
          <w:rtl/>
        </w:rPr>
        <w:t xml:space="preserve"> </w:t>
      </w:r>
    </w:p>
    <w:p w14:paraId="21F52270" w14:textId="669992B4" w:rsidR="00A22454" w:rsidRPr="00A22454" w:rsidRDefault="00A22454" w:rsidP="00A22454">
      <w:pPr>
        <w:rPr>
          <w:rFonts w:cs="Arial"/>
          <w:u w:val="single"/>
        </w:rPr>
      </w:pPr>
      <w:r w:rsidRPr="00A22454">
        <w:rPr>
          <w:rFonts w:cs="Arial" w:hint="cs"/>
          <w:u w:val="single"/>
          <w:rtl/>
        </w:rPr>
        <w:t xml:space="preserve">עדי תנאי שחתמו </w:t>
      </w:r>
      <w:r w:rsidR="00846A5C">
        <w:rPr>
          <w:rFonts w:cs="Arial" w:hint="cs"/>
          <w:u w:val="single"/>
          <w:rtl/>
        </w:rPr>
        <w:t>לאחר ש</w:t>
      </w:r>
      <w:r w:rsidRPr="00A22454">
        <w:rPr>
          <w:rFonts w:cs="Arial" w:hint="cs"/>
          <w:u w:val="single"/>
          <w:rtl/>
        </w:rPr>
        <w:t xml:space="preserve">נתן הבעל את הגט: </w:t>
      </w:r>
    </w:p>
    <w:p w14:paraId="5053BB47" w14:textId="0D2A73F0" w:rsidR="00BA15E7" w:rsidRDefault="00BA15E7" w:rsidP="00A65C5F">
      <w:pPr>
        <w:pStyle w:val="ab"/>
        <w:numPr>
          <w:ilvl w:val="0"/>
          <w:numId w:val="24"/>
        </w:numPr>
        <w:rPr>
          <w:rFonts w:cs="Arial"/>
        </w:rPr>
      </w:pPr>
      <w:r w:rsidRPr="00A22454">
        <w:rPr>
          <w:rFonts w:cs="Arial"/>
          <w:rtl/>
        </w:rPr>
        <w:t xml:space="preserve">ר"ן </w:t>
      </w:r>
      <w:r w:rsidR="00A22454" w:rsidRPr="00A22454">
        <w:rPr>
          <w:rFonts w:cs="Arial" w:hint="cs"/>
          <w:sz w:val="16"/>
          <w:szCs w:val="16"/>
          <w:rtl/>
        </w:rPr>
        <w:t>(</w:t>
      </w:r>
      <w:r w:rsidRPr="00A22454">
        <w:rPr>
          <w:rFonts w:cs="Arial"/>
          <w:sz w:val="16"/>
          <w:szCs w:val="16"/>
          <w:rtl/>
        </w:rPr>
        <w:t>גיטין ג: ד"ה והלכתא)</w:t>
      </w:r>
      <w:r w:rsidR="00A82951">
        <w:rPr>
          <w:rFonts w:cs="Arial" w:hint="cs"/>
          <w:rtl/>
        </w:rPr>
        <w:t>-</w:t>
      </w:r>
      <w:r w:rsidRPr="00A22454">
        <w:rPr>
          <w:rFonts w:cs="Arial"/>
          <w:rtl/>
        </w:rPr>
        <w:t xml:space="preserve"> הא דאין עידי הגט חותמין אלא זה בפני זה</w:t>
      </w:r>
      <w:r w:rsidR="00A22454">
        <w:rPr>
          <w:rFonts w:cs="Arial" w:hint="cs"/>
          <w:rtl/>
        </w:rPr>
        <w:t xml:space="preserve">, </w:t>
      </w:r>
      <w:r w:rsidRPr="00A22454">
        <w:rPr>
          <w:rFonts w:cs="Arial"/>
          <w:rtl/>
        </w:rPr>
        <w:t xml:space="preserve">כיון דאינך משום תנאי אפילו חתמו אחר שנישאת </w:t>
      </w:r>
      <w:r w:rsidR="00A82951">
        <w:rPr>
          <w:rFonts w:cs="Arial" w:hint="cs"/>
          <w:rtl/>
        </w:rPr>
        <w:t>-</w:t>
      </w:r>
      <w:r w:rsidR="00A22454">
        <w:rPr>
          <w:rFonts w:cs="Arial" w:hint="cs"/>
          <w:rtl/>
        </w:rPr>
        <w:t xml:space="preserve"> </w:t>
      </w:r>
      <w:r w:rsidRPr="00A22454">
        <w:rPr>
          <w:rFonts w:cs="Arial"/>
          <w:rtl/>
        </w:rPr>
        <w:t>נתקיים התנאי וכשר</w:t>
      </w:r>
      <w:r w:rsidR="00A22454">
        <w:rPr>
          <w:rFonts w:cs="Arial" w:hint="cs"/>
          <w:rtl/>
        </w:rPr>
        <w:t>.</w:t>
      </w:r>
      <w:r w:rsidRPr="00A22454">
        <w:rPr>
          <w:rFonts w:cs="Arial"/>
          <w:rtl/>
        </w:rPr>
        <w:t xml:space="preserve"> והיינו בדיעבד</w:t>
      </w:r>
      <w:r w:rsidR="00A22454">
        <w:rPr>
          <w:rFonts w:cs="Arial" w:hint="cs"/>
          <w:rtl/>
        </w:rPr>
        <w:t>,</w:t>
      </w:r>
      <w:r w:rsidRPr="00A22454">
        <w:rPr>
          <w:rFonts w:cs="Arial"/>
          <w:rtl/>
        </w:rPr>
        <w:t xml:space="preserve"> אבל לכתחלה כל שלא חתמו כולן </w:t>
      </w:r>
      <w:r w:rsidR="00A82951">
        <w:rPr>
          <w:rFonts w:cs="Arial" w:hint="cs"/>
          <w:rtl/>
        </w:rPr>
        <w:t>-</w:t>
      </w:r>
      <w:r w:rsidR="00A22454">
        <w:rPr>
          <w:rFonts w:cs="Arial" w:hint="cs"/>
          <w:rtl/>
        </w:rPr>
        <w:t xml:space="preserve"> </w:t>
      </w:r>
      <w:r w:rsidRPr="00A22454">
        <w:rPr>
          <w:rFonts w:cs="Arial"/>
          <w:rtl/>
        </w:rPr>
        <w:t>פסול</w:t>
      </w:r>
      <w:r w:rsidR="00A22454" w:rsidRPr="00A22454">
        <w:rPr>
          <w:rFonts w:cs="Arial" w:hint="cs"/>
          <w:rtl/>
        </w:rPr>
        <w:t>.</w:t>
      </w:r>
      <w:r w:rsidR="00877424" w:rsidRPr="00877424">
        <w:rPr>
          <w:rFonts w:hint="cs"/>
          <w:color w:val="E36C0A" w:themeColor="accent6" w:themeShade="BF"/>
          <w:rtl/>
        </w:rPr>
        <w:t xml:space="preserve"> (וכ"פ בשו"ע)</w:t>
      </w:r>
      <w:r w:rsidR="00846A5C">
        <w:rPr>
          <w:rFonts w:hint="cs"/>
          <w:color w:val="E36C0A" w:themeColor="accent6" w:themeShade="BF"/>
          <w:rtl/>
        </w:rPr>
        <w:t xml:space="preserve"> </w:t>
      </w:r>
      <w:r w:rsidR="00877424" w:rsidRPr="00877424">
        <w:rPr>
          <w:rFonts w:cs="Arial" w:hint="cs"/>
          <w:color w:val="00B0F0"/>
          <w:rtl/>
        </w:rPr>
        <w:t>(וכ"פ הרמ"א)</w:t>
      </w:r>
    </w:p>
    <w:p w14:paraId="6801D1B9" w14:textId="35FAC7FD" w:rsidR="00CA2CD5" w:rsidRDefault="00CA2CD5" w:rsidP="00CA2CD5">
      <w:pPr>
        <w:rPr>
          <w:b/>
          <w:bCs/>
          <w:rtl/>
        </w:rPr>
      </w:pPr>
      <w:r w:rsidRPr="001D49D4">
        <w:rPr>
          <w:b/>
          <w:bCs/>
          <w:rtl/>
        </w:rPr>
        <w:t>תוספתא גיטין</w:t>
      </w:r>
      <w:r w:rsidRPr="001D49D4">
        <w:rPr>
          <w:b/>
          <w:bCs/>
          <w:sz w:val="16"/>
          <w:szCs w:val="16"/>
          <w:rtl/>
        </w:rPr>
        <w:t xml:space="preserve"> (ליברמן)</w:t>
      </w:r>
      <w:r w:rsidRPr="001D49D4">
        <w:rPr>
          <w:b/>
          <w:bCs/>
          <w:rtl/>
        </w:rPr>
        <w:t xml:space="preserve"> פ"ז הי"א: </w:t>
      </w:r>
      <w:r w:rsidRPr="001D49D4">
        <w:rPr>
          <w:rtl/>
        </w:rPr>
        <w:t>גט שחתמו עליו חמשה עדים ונמצאו שלשה הראשונים פסולין</w:t>
      </w:r>
      <w:r w:rsidR="00462D2C">
        <w:rPr>
          <w:rFonts w:hint="cs"/>
          <w:rtl/>
        </w:rPr>
        <w:t xml:space="preserve"> </w:t>
      </w:r>
      <w:r w:rsidR="00A82951">
        <w:rPr>
          <w:rFonts w:hint="cs"/>
          <w:rtl/>
        </w:rPr>
        <w:t>-</w:t>
      </w:r>
      <w:r w:rsidRPr="001D49D4">
        <w:rPr>
          <w:rtl/>
        </w:rPr>
        <w:t xml:space="preserve"> תתקיים עדות בשאר עדים</w:t>
      </w:r>
      <w:r>
        <w:rPr>
          <w:rFonts w:hint="cs"/>
          <w:rtl/>
        </w:rPr>
        <w:t>.</w:t>
      </w:r>
    </w:p>
    <w:p w14:paraId="0271385D" w14:textId="7DAF7559" w:rsidR="00CA2CD5" w:rsidRPr="00AF73FF" w:rsidRDefault="00CA2CD5" w:rsidP="00CA2CD5">
      <w:pPr>
        <w:spacing w:before="360" w:after="240"/>
        <w:rPr>
          <w:rFonts w:ascii="Calibri" w:eastAsia="Calibri" w:hAnsi="Calibri" w:cs="Arial"/>
          <w:sz w:val="16"/>
          <w:szCs w:val="16"/>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גט פשוט)</w:t>
      </w:r>
      <w:r w:rsidRPr="001D49D4">
        <w:rPr>
          <w:rFonts w:ascii="Calibri" w:eastAsia="Calibri" w:hAnsi="Calibri" w:cs="Arial"/>
          <w:b/>
          <w:bCs/>
          <w:rtl/>
        </w:rPr>
        <w:t xml:space="preserve"> קסב</w:t>
      </w:r>
      <w:r w:rsidRPr="001D49D4">
        <w:rPr>
          <w:rFonts w:ascii="Calibri" w:eastAsia="Calibri" w:hAnsi="Calibri" w:cs="Arial"/>
          <w:b/>
          <w:bCs/>
          <w:vertAlign w:val="superscript"/>
          <w:rtl/>
        </w:rPr>
        <w:footnoteReference w:id="210"/>
      </w:r>
      <w:r w:rsidRPr="001D49D4">
        <w:rPr>
          <w:rFonts w:ascii="Calibri" w:eastAsia="Calibri" w:hAnsi="Calibri" w:cs="Arial"/>
          <w:b/>
          <w:bCs/>
          <w:rtl/>
        </w:rPr>
        <w:t xml:space="preserve"> ע"</w:t>
      </w:r>
      <w:r w:rsidR="008B4699">
        <w:rPr>
          <w:rFonts w:ascii="Calibri" w:eastAsia="Calibri" w:hAnsi="Calibri" w:cs="Arial" w:hint="cs"/>
          <w:b/>
          <w:bCs/>
          <w:rtl/>
        </w:rPr>
        <w:t>ב</w:t>
      </w:r>
      <w:r w:rsidRPr="001D49D4">
        <w:rPr>
          <w:rFonts w:ascii="Calibri" w:eastAsia="Calibri" w:hAnsi="Calibri" w:cs="Arial"/>
          <w:b/>
          <w:bCs/>
          <w:rtl/>
        </w:rPr>
        <w:t>:</w:t>
      </w:r>
      <w:r w:rsidRPr="001D49D4">
        <w:rPr>
          <w:rFonts w:ascii="Calibri" w:eastAsia="Calibri" w:hAnsi="Calibri" w:cs="Arial"/>
          <w:rtl/>
        </w:rPr>
        <w:t xml:space="preserve"> ת"ש דתניא: הרחיק את העדים שני שיטין מן הכתב </w:t>
      </w:r>
      <w:r w:rsidR="00A82951">
        <w:rPr>
          <w:rFonts w:ascii="Calibri" w:eastAsia="Calibri" w:hAnsi="Calibri" w:cs="Arial"/>
          <w:rtl/>
        </w:rPr>
        <w:t>-</w:t>
      </w:r>
      <w:r w:rsidRPr="001D49D4">
        <w:rPr>
          <w:rFonts w:ascii="Calibri" w:eastAsia="Calibri" w:hAnsi="Calibri" w:cs="Arial"/>
          <w:rtl/>
        </w:rPr>
        <w:t xml:space="preserve"> פסול, פחות מכאן </w:t>
      </w:r>
      <w:r w:rsidR="00A82951">
        <w:rPr>
          <w:rFonts w:ascii="Calibri" w:eastAsia="Calibri" w:hAnsi="Calibri" w:cs="Arial" w:hint="cs"/>
          <w:rtl/>
        </w:rPr>
        <w:t>-</w:t>
      </w:r>
      <w:r w:rsidRPr="001D49D4">
        <w:rPr>
          <w:rFonts w:ascii="Calibri" w:eastAsia="Calibri" w:hAnsi="Calibri" w:cs="Arial"/>
          <w:rtl/>
        </w:rPr>
        <w:t xml:space="preserve"> כשר. היו ארבעה וחמשה עדים חתומין על השטר [ונמצא אחד מהן קרוב או פסול]</w:t>
      </w:r>
      <w:r w:rsidRPr="001D49D4">
        <w:rPr>
          <w:rFonts w:ascii="Calibri" w:eastAsia="Calibri" w:hAnsi="Calibri" w:cs="Arial"/>
          <w:vertAlign w:val="superscript"/>
          <w:rtl/>
        </w:rPr>
        <w:footnoteReference w:id="211"/>
      </w:r>
      <w:r w:rsidRPr="001D49D4">
        <w:rPr>
          <w:rFonts w:ascii="Calibri" w:eastAsia="Calibri" w:hAnsi="Calibri" w:cs="Arial"/>
          <w:rtl/>
        </w:rPr>
        <w:t xml:space="preserve"> </w:t>
      </w:r>
      <w:r w:rsidR="00A82951">
        <w:rPr>
          <w:rFonts w:ascii="Calibri" w:eastAsia="Calibri" w:hAnsi="Calibri" w:cs="Arial"/>
          <w:rtl/>
        </w:rPr>
        <w:t>-</w:t>
      </w:r>
      <w:r w:rsidRPr="001D49D4">
        <w:rPr>
          <w:rFonts w:ascii="Calibri" w:eastAsia="Calibri" w:hAnsi="Calibri" w:cs="Arial"/>
          <w:rtl/>
        </w:rPr>
        <w:t xml:space="preserve"> תתקיים עדות בשאר. מסייע ליה לחזקיה, </w:t>
      </w:r>
      <w:r w:rsidRPr="001D49D4">
        <w:rPr>
          <w:rFonts w:ascii="Calibri" w:eastAsia="Calibri" w:hAnsi="Calibri" w:cs="Arial"/>
          <w:u w:val="single"/>
          <w:rtl/>
        </w:rPr>
        <w:t>דאמר חזקיה</w:t>
      </w:r>
      <w:r w:rsidRPr="001D49D4">
        <w:rPr>
          <w:rFonts w:ascii="Calibri" w:eastAsia="Calibri" w:hAnsi="Calibri" w:cs="Arial"/>
          <w:rtl/>
        </w:rPr>
        <w:t xml:space="preserve">: מלאהו בקרובים </w:t>
      </w:r>
      <w:r w:rsidR="00A82951">
        <w:rPr>
          <w:rFonts w:ascii="Calibri" w:eastAsia="Calibri" w:hAnsi="Calibri" w:cs="Arial" w:hint="cs"/>
          <w:rtl/>
        </w:rPr>
        <w:t>-</w:t>
      </w:r>
      <w:r w:rsidRPr="001D49D4">
        <w:rPr>
          <w:rFonts w:ascii="Calibri" w:eastAsia="Calibri" w:hAnsi="Calibri" w:cs="Arial"/>
          <w:rtl/>
        </w:rPr>
        <w:t xml:space="preserve"> כשר. ואל תתמה, שהרי אויר סוכה פוסל בשלשה, סכך פסול פוסל בארבעה.</w:t>
      </w:r>
    </w:p>
    <w:p w14:paraId="70774308" w14:textId="4CAB33EF" w:rsidR="00C00EB8" w:rsidRDefault="00C00EB8" w:rsidP="00C00EB8">
      <w:pPr>
        <w:rPr>
          <w:rtl/>
        </w:rPr>
      </w:pPr>
      <w:r w:rsidRPr="00F14CBE">
        <w:rPr>
          <w:rFonts w:ascii="Calibri" w:eastAsia="Calibri" w:hAnsi="Calibri" w:cs="Arial"/>
          <w:b/>
          <w:bCs/>
          <w:rtl/>
        </w:rPr>
        <w:t xml:space="preserve">גיטין </w:t>
      </w:r>
      <w:r w:rsidRPr="00F14CBE">
        <w:rPr>
          <w:rFonts w:ascii="Calibri" w:eastAsia="Calibri" w:hAnsi="Calibri" w:cs="Arial"/>
          <w:b/>
          <w:bCs/>
          <w:sz w:val="16"/>
          <w:szCs w:val="16"/>
          <w:rtl/>
        </w:rPr>
        <w:t>(פ"ב)</w:t>
      </w:r>
      <w:r w:rsidRPr="00F14CBE">
        <w:rPr>
          <w:rFonts w:ascii="Calibri" w:eastAsia="Calibri" w:hAnsi="Calibri" w:cs="Arial"/>
          <w:b/>
          <w:bCs/>
          <w:rtl/>
        </w:rPr>
        <w:t xml:space="preserve"> יח</w:t>
      </w:r>
      <w:r w:rsidRPr="001D49D4">
        <w:rPr>
          <w:b/>
          <w:bCs/>
          <w:vertAlign w:val="superscript"/>
          <w:rtl/>
        </w:rPr>
        <w:footnoteReference w:id="212"/>
      </w:r>
      <w:r w:rsidRPr="00F14CBE">
        <w:rPr>
          <w:rFonts w:ascii="Calibri" w:eastAsia="Calibri" w:hAnsi="Calibri" w:cs="Arial"/>
          <w:b/>
          <w:bCs/>
          <w:rtl/>
        </w:rPr>
        <w:t xml:space="preserve"> ע"ב:</w:t>
      </w:r>
      <w:r>
        <w:rPr>
          <w:rFonts w:ascii="Calibri" w:eastAsia="Calibri" w:hAnsi="Calibri" w:cs="Arial" w:hint="cs"/>
          <w:rtl/>
        </w:rPr>
        <w:t xml:space="preserve"> </w:t>
      </w:r>
      <w:r w:rsidRPr="00F14CBE">
        <w:rPr>
          <w:rFonts w:ascii="Calibri" w:eastAsia="Calibri" w:hAnsi="Calibri" w:cs="Arial"/>
          <w:rtl/>
        </w:rPr>
        <w:t>איתמר: אמר לעשרה כתבו גט לאשתי</w:t>
      </w:r>
      <w:r>
        <w:rPr>
          <w:rFonts w:ascii="Calibri" w:eastAsia="Calibri" w:hAnsi="Calibri" w:cs="Arial" w:hint="cs"/>
          <w:rtl/>
        </w:rPr>
        <w:t>.</w:t>
      </w:r>
      <w:r w:rsidRPr="00F14CBE">
        <w:rPr>
          <w:rFonts w:ascii="Calibri" w:eastAsia="Calibri" w:hAnsi="Calibri" w:cs="Arial"/>
          <w:rtl/>
        </w:rPr>
        <w:t xml:space="preserve"> </w:t>
      </w:r>
      <w:r w:rsidRPr="00F14CBE">
        <w:rPr>
          <w:rFonts w:ascii="Calibri" w:eastAsia="Calibri" w:hAnsi="Calibri" w:cs="Arial"/>
          <w:u w:val="single"/>
          <w:rtl/>
        </w:rPr>
        <w:t>אמר ר' יוחנן</w:t>
      </w:r>
      <w:r w:rsidRPr="00F14CBE">
        <w:rPr>
          <w:rFonts w:ascii="Calibri" w:eastAsia="Calibri" w:hAnsi="Calibri" w:cs="Arial"/>
          <w:rtl/>
        </w:rPr>
        <w:t>: שנים משום עדים, וכולם משום תנאי</w:t>
      </w:r>
      <w:r>
        <w:rPr>
          <w:rFonts w:ascii="Calibri" w:eastAsia="Calibri" w:hAnsi="Calibri" w:cs="Arial" w:hint="cs"/>
          <w:rtl/>
        </w:rPr>
        <w:t>.</w:t>
      </w:r>
      <w:r w:rsidRPr="00F14CBE">
        <w:rPr>
          <w:rFonts w:ascii="Calibri" w:eastAsia="Calibri" w:hAnsi="Calibri" w:cs="Arial"/>
          <w:rtl/>
        </w:rPr>
        <w:t xml:space="preserve"> </w:t>
      </w:r>
      <w:r w:rsidRPr="00F14CBE">
        <w:rPr>
          <w:rFonts w:ascii="Calibri" w:eastAsia="Calibri" w:hAnsi="Calibri" w:cs="Arial"/>
          <w:u w:val="single"/>
          <w:rtl/>
        </w:rPr>
        <w:t>וריש לקיש אמר</w:t>
      </w:r>
      <w:r w:rsidRPr="00F14CBE">
        <w:rPr>
          <w:rFonts w:ascii="Calibri" w:eastAsia="Calibri" w:hAnsi="Calibri" w:cs="Arial"/>
          <w:rtl/>
        </w:rPr>
        <w:t>: כולם משום עדים.</w:t>
      </w:r>
      <w:r>
        <w:rPr>
          <w:rFonts w:ascii="Calibri" w:eastAsia="Calibri" w:hAnsi="Calibri" w:cs="Arial" w:hint="cs"/>
          <w:rtl/>
        </w:rPr>
        <w:t>..</w:t>
      </w:r>
      <w:r w:rsidRPr="00F14CBE">
        <w:rPr>
          <w:rFonts w:ascii="Calibri" w:eastAsia="Calibri" w:hAnsi="Calibri" w:cs="Arial"/>
          <w:rtl/>
        </w:rPr>
        <w:t xml:space="preserve"> מאי בינייהו?</w:t>
      </w:r>
      <w:r>
        <w:rPr>
          <w:rFonts w:ascii="Calibri" w:eastAsia="Calibri" w:hAnsi="Calibri" w:cs="Arial" w:hint="cs"/>
          <w:rtl/>
        </w:rPr>
        <w:t>...</w:t>
      </w:r>
      <w:r w:rsidRPr="00F14CBE">
        <w:rPr>
          <w:rFonts w:ascii="Calibri" w:eastAsia="Calibri" w:hAnsi="Calibri" w:cs="Arial"/>
          <w:rtl/>
        </w:rPr>
        <w:t xml:space="preserve"> אי נמי: כגון שנמצא אחד מהם קרוב או פסול, למאן דאמר משום תנאי </w:t>
      </w:r>
      <w:r w:rsidR="00A82951">
        <w:rPr>
          <w:rFonts w:ascii="Calibri" w:eastAsia="Calibri" w:hAnsi="Calibri" w:cs="Arial"/>
          <w:rtl/>
        </w:rPr>
        <w:t>-</w:t>
      </w:r>
      <w:r w:rsidRPr="00F14CBE">
        <w:rPr>
          <w:rFonts w:ascii="Calibri" w:eastAsia="Calibri" w:hAnsi="Calibri" w:cs="Arial"/>
          <w:rtl/>
        </w:rPr>
        <w:t xml:space="preserve"> כשר, למאן דאמר משום עדים </w:t>
      </w:r>
      <w:r w:rsidR="00A82951">
        <w:rPr>
          <w:rFonts w:ascii="Calibri" w:eastAsia="Calibri" w:hAnsi="Calibri" w:cs="Arial"/>
          <w:rtl/>
        </w:rPr>
        <w:t>-</w:t>
      </w:r>
      <w:r w:rsidRPr="00F14CBE">
        <w:rPr>
          <w:rFonts w:ascii="Calibri" w:eastAsia="Calibri" w:hAnsi="Calibri" w:cs="Arial"/>
          <w:rtl/>
        </w:rPr>
        <w:t xml:space="preserve"> פסול. אי חתום בתחילה</w:t>
      </w:r>
      <w:r w:rsidRPr="001D49D4">
        <w:rPr>
          <w:vertAlign w:val="superscript"/>
          <w:rtl/>
        </w:rPr>
        <w:footnoteReference w:id="213"/>
      </w:r>
      <w:r w:rsidRPr="00F14CBE">
        <w:rPr>
          <w:rFonts w:ascii="Calibri" w:eastAsia="Calibri" w:hAnsi="Calibri" w:cs="Arial"/>
          <w:rtl/>
        </w:rPr>
        <w:t xml:space="preserve"> קרוב או פסול, </w:t>
      </w:r>
      <w:r w:rsidRPr="007D6C41">
        <w:rPr>
          <w:rFonts w:ascii="Calibri" w:eastAsia="Calibri" w:hAnsi="Calibri" w:cs="Arial"/>
          <w:u w:val="single"/>
          <w:rtl/>
        </w:rPr>
        <w:t>אמרי לה</w:t>
      </w:r>
      <w:r w:rsidRPr="00F14CBE">
        <w:rPr>
          <w:rFonts w:ascii="Calibri" w:eastAsia="Calibri" w:hAnsi="Calibri" w:cs="Arial"/>
          <w:rtl/>
        </w:rPr>
        <w:t>: כשר</w:t>
      </w:r>
      <w:r w:rsidRPr="001D49D4">
        <w:rPr>
          <w:vertAlign w:val="superscript"/>
          <w:rtl/>
        </w:rPr>
        <w:footnoteReference w:id="214"/>
      </w:r>
      <w:r>
        <w:rPr>
          <w:rFonts w:ascii="Calibri" w:eastAsia="Calibri" w:hAnsi="Calibri" w:cs="Arial" w:hint="cs"/>
          <w:rtl/>
        </w:rPr>
        <w:t>.</w:t>
      </w:r>
      <w:r w:rsidRPr="00F14CBE">
        <w:rPr>
          <w:rFonts w:ascii="Calibri" w:eastAsia="Calibri" w:hAnsi="Calibri" w:cs="Arial"/>
          <w:rtl/>
        </w:rPr>
        <w:t xml:space="preserve"> </w:t>
      </w:r>
      <w:r w:rsidRPr="007D6C41">
        <w:rPr>
          <w:rFonts w:ascii="Calibri" w:eastAsia="Calibri" w:hAnsi="Calibri" w:cs="Arial"/>
          <w:u w:val="single"/>
          <w:rtl/>
        </w:rPr>
        <w:t>ואמרי לה</w:t>
      </w:r>
      <w:r w:rsidRPr="00F14CBE">
        <w:rPr>
          <w:rFonts w:ascii="Calibri" w:eastAsia="Calibri" w:hAnsi="Calibri" w:cs="Arial"/>
          <w:rtl/>
        </w:rPr>
        <w:t>: פסול</w:t>
      </w:r>
      <w:r>
        <w:rPr>
          <w:rStyle w:val="a7"/>
          <w:rFonts w:ascii="Calibri" w:eastAsia="Calibri" w:hAnsi="Calibri" w:cs="Arial"/>
          <w:rtl/>
        </w:rPr>
        <w:footnoteReference w:id="215"/>
      </w:r>
      <w:r w:rsidRPr="00F14CBE">
        <w:rPr>
          <w:rFonts w:ascii="Calibri" w:eastAsia="Calibri" w:hAnsi="Calibri" w:cs="Arial"/>
          <w:rtl/>
        </w:rPr>
        <w:t>. אמרי לה כשר, ת</w:t>
      </w:r>
      <w:r>
        <w:rPr>
          <w:rFonts w:ascii="Calibri" w:eastAsia="Calibri" w:hAnsi="Calibri" w:cs="Arial" w:hint="cs"/>
          <w:rtl/>
        </w:rPr>
        <w:t>ְ</w:t>
      </w:r>
      <w:r w:rsidRPr="00F14CBE">
        <w:rPr>
          <w:rFonts w:ascii="Calibri" w:eastAsia="Calibri" w:hAnsi="Calibri" w:cs="Arial"/>
          <w:rtl/>
        </w:rPr>
        <w:t>נ</w:t>
      </w:r>
      <w:r>
        <w:rPr>
          <w:rFonts w:ascii="Calibri" w:eastAsia="Calibri" w:hAnsi="Calibri" w:cs="Arial" w:hint="cs"/>
          <w:rtl/>
        </w:rPr>
        <w:t>ָ</w:t>
      </w:r>
      <w:r w:rsidRPr="00F14CBE">
        <w:rPr>
          <w:rFonts w:ascii="Calibri" w:eastAsia="Calibri" w:hAnsi="Calibri" w:cs="Arial"/>
          <w:rtl/>
        </w:rPr>
        <w:t>אי הוא</w:t>
      </w:r>
      <w:r>
        <w:rPr>
          <w:rFonts w:ascii="Calibri" w:eastAsia="Calibri" w:hAnsi="Calibri" w:cs="Arial" w:hint="cs"/>
          <w:rtl/>
        </w:rPr>
        <w:t>.</w:t>
      </w:r>
      <w:r w:rsidRPr="00F14CBE">
        <w:rPr>
          <w:rFonts w:ascii="Calibri" w:eastAsia="Calibri" w:hAnsi="Calibri" w:cs="Arial"/>
          <w:rtl/>
        </w:rPr>
        <w:t xml:space="preserve"> אמרי לה פסול, אתי לאיחלופי בשטרות דעלמא</w:t>
      </w:r>
      <w:r w:rsidRPr="001D49D4">
        <w:rPr>
          <w:vertAlign w:val="superscript"/>
          <w:rtl/>
        </w:rPr>
        <w:footnoteReference w:id="216"/>
      </w:r>
      <w:r w:rsidRPr="00F14CBE">
        <w:rPr>
          <w:rFonts w:ascii="Calibri" w:eastAsia="Calibri" w:hAnsi="Calibri" w:cs="Arial"/>
          <w:rtl/>
        </w:rPr>
        <w:t>.</w:t>
      </w:r>
    </w:p>
    <w:p w14:paraId="741C7E0A" w14:textId="6783C3E6" w:rsidR="00CD5FB0" w:rsidRPr="001D32D1" w:rsidRDefault="00D24170" w:rsidP="001D32D1">
      <w:pPr>
        <w:rPr>
          <w:u w:val="single"/>
        </w:rPr>
      </w:pPr>
      <w:r>
        <w:rPr>
          <w:rFonts w:cs="Arial" w:hint="cs"/>
          <w:u w:val="single"/>
          <w:rtl/>
        </w:rPr>
        <w:t xml:space="preserve">כיצד יש לפרש את </w:t>
      </w:r>
      <w:r w:rsidR="00CA2CD5">
        <w:rPr>
          <w:rFonts w:cs="Arial" w:hint="cs"/>
          <w:u w:val="single"/>
          <w:rtl/>
        </w:rPr>
        <w:t>דברי הגמרא</w:t>
      </w:r>
      <w:r w:rsidR="001D32D1" w:rsidRPr="001D32D1">
        <w:rPr>
          <w:rFonts w:cs="Arial" w:hint="cs"/>
          <w:u w:val="single"/>
          <w:rtl/>
        </w:rPr>
        <w:t xml:space="preserve"> 'אי חתום בתחילה קרוב או פסול</w:t>
      </w:r>
      <w:r w:rsidR="00CA2CD5">
        <w:rPr>
          <w:rFonts w:cs="Arial" w:hint="cs"/>
          <w:u w:val="single"/>
          <w:rtl/>
        </w:rPr>
        <w:t>, אמרי לה כשר, ואמרי לה פסול</w:t>
      </w:r>
      <w:r w:rsidR="001D32D1" w:rsidRPr="001D32D1">
        <w:rPr>
          <w:rFonts w:cs="Arial" w:hint="cs"/>
          <w:u w:val="single"/>
          <w:rtl/>
        </w:rPr>
        <w:t>'</w:t>
      </w:r>
      <w:r w:rsidR="006468B3" w:rsidRPr="001D32D1">
        <w:rPr>
          <w:rFonts w:cs="Arial" w:hint="cs"/>
          <w:u w:val="single"/>
          <w:rtl/>
        </w:rPr>
        <w:t>:</w:t>
      </w:r>
    </w:p>
    <w:p w14:paraId="72626C34" w14:textId="57E306C9" w:rsidR="004F500C" w:rsidRDefault="009206F1" w:rsidP="00A65C5F">
      <w:pPr>
        <w:pStyle w:val="ab"/>
        <w:numPr>
          <w:ilvl w:val="0"/>
          <w:numId w:val="24"/>
        </w:numPr>
      </w:pPr>
      <w:r>
        <w:rPr>
          <w:rFonts w:cs="Arial" w:hint="cs"/>
          <w:rtl/>
        </w:rPr>
        <w:t xml:space="preserve">בה"ג </w:t>
      </w:r>
      <w:r>
        <w:rPr>
          <w:rFonts w:cs="Arial" w:hint="cs"/>
          <w:sz w:val="16"/>
          <w:szCs w:val="16"/>
          <w:rtl/>
        </w:rPr>
        <w:t>(בתוס' [שם])</w:t>
      </w:r>
      <w:r>
        <w:rPr>
          <w:rFonts w:cs="Arial" w:hint="cs"/>
          <w:rtl/>
        </w:rPr>
        <w:t xml:space="preserve"> </w:t>
      </w:r>
      <w:r w:rsidR="00024D8F">
        <w:rPr>
          <w:rFonts w:cs="Arial" w:hint="cs"/>
          <w:rtl/>
        </w:rPr>
        <w:t xml:space="preserve">תוס' בשם </w:t>
      </w:r>
      <w:r w:rsidR="00BA15E7" w:rsidRPr="009F6A8D">
        <w:rPr>
          <w:rFonts w:cs="Arial"/>
          <w:rtl/>
        </w:rPr>
        <w:t>ר</w:t>
      </w:r>
      <w:r w:rsidR="00CD204A">
        <w:rPr>
          <w:rFonts w:cs="Arial" w:hint="cs"/>
          <w:rtl/>
        </w:rPr>
        <w:t>"</w:t>
      </w:r>
      <w:r w:rsidR="00BA15E7" w:rsidRPr="009F6A8D">
        <w:rPr>
          <w:rFonts w:cs="Arial"/>
          <w:rtl/>
        </w:rPr>
        <w:t xml:space="preserve">ת </w:t>
      </w:r>
      <w:r w:rsidR="00BA15E7" w:rsidRPr="00802F6A">
        <w:rPr>
          <w:rFonts w:cs="Arial"/>
          <w:sz w:val="16"/>
          <w:szCs w:val="16"/>
          <w:rtl/>
        </w:rPr>
        <w:t>(</w:t>
      </w:r>
      <w:r w:rsidR="00024D8F">
        <w:rPr>
          <w:rFonts w:cs="Arial" w:hint="cs"/>
          <w:sz w:val="16"/>
          <w:szCs w:val="16"/>
          <w:rtl/>
        </w:rPr>
        <w:t>גיטין</w:t>
      </w:r>
      <w:r w:rsidR="00BA15E7" w:rsidRPr="00802F6A">
        <w:rPr>
          <w:rFonts w:cs="Arial"/>
          <w:sz w:val="16"/>
          <w:szCs w:val="16"/>
          <w:rtl/>
        </w:rPr>
        <w:t xml:space="preserve"> יח: </w:t>
      </w:r>
      <w:r w:rsidR="00024D8F">
        <w:rPr>
          <w:rFonts w:cs="Arial" w:hint="cs"/>
          <w:sz w:val="16"/>
          <w:szCs w:val="16"/>
          <w:rtl/>
        </w:rPr>
        <w:t>תו</w:t>
      </w:r>
      <w:r w:rsidR="00BA15E7" w:rsidRPr="00802F6A">
        <w:rPr>
          <w:rFonts w:cs="Arial"/>
          <w:sz w:val="16"/>
          <w:szCs w:val="16"/>
          <w:rtl/>
        </w:rPr>
        <w:t>ד"ה אמרי)</w:t>
      </w:r>
      <w:r w:rsidR="00CD204A" w:rsidRPr="00802F6A">
        <w:rPr>
          <w:rFonts w:cs="Arial"/>
          <w:sz w:val="16"/>
          <w:szCs w:val="16"/>
          <w:rtl/>
        </w:rPr>
        <w:t xml:space="preserve"> </w:t>
      </w:r>
      <w:r w:rsidR="00CD204A">
        <w:rPr>
          <w:rFonts w:cs="Arial" w:hint="cs"/>
          <w:rtl/>
        </w:rPr>
        <w:t>ו</w:t>
      </w:r>
      <w:r w:rsidR="00CD204A" w:rsidRPr="009F6A8D">
        <w:rPr>
          <w:rFonts w:cs="Arial"/>
          <w:rtl/>
        </w:rPr>
        <w:t xml:space="preserve">ר"ן </w:t>
      </w:r>
      <w:r w:rsidR="00CD204A" w:rsidRPr="00802F6A">
        <w:rPr>
          <w:rFonts w:cs="Arial"/>
          <w:sz w:val="16"/>
          <w:szCs w:val="16"/>
          <w:rtl/>
        </w:rPr>
        <w:t>(ט. סוד"ה ואמרי לה פסול)</w:t>
      </w:r>
      <w:r w:rsidR="00A82951">
        <w:rPr>
          <w:rFonts w:cs="Arial" w:hint="cs"/>
          <w:rtl/>
        </w:rPr>
        <w:t>-</w:t>
      </w:r>
      <w:r w:rsidR="00CD204A">
        <w:rPr>
          <w:rFonts w:cs="Arial" w:hint="cs"/>
          <w:rtl/>
        </w:rPr>
        <w:t xml:space="preserve"> </w:t>
      </w:r>
      <w:r w:rsidR="00BA15E7" w:rsidRPr="009F6A8D">
        <w:rPr>
          <w:rFonts w:cs="Arial"/>
          <w:rtl/>
        </w:rPr>
        <w:t>אפילו מאן דמכשר הכא לא מכשר אלא בתחלה</w:t>
      </w:r>
      <w:r w:rsidR="009F6A8D" w:rsidRPr="009F6A8D">
        <w:rPr>
          <w:rFonts w:cs="Arial" w:hint="cs"/>
          <w:rtl/>
        </w:rPr>
        <w:t>,</w:t>
      </w:r>
      <w:r w:rsidR="00BA15E7" w:rsidRPr="009F6A8D">
        <w:rPr>
          <w:rFonts w:cs="Arial"/>
          <w:rtl/>
        </w:rPr>
        <w:t xml:space="preserve"> אבל באמצע או בסוף פסול לכולי עלמא</w:t>
      </w:r>
      <w:r w:rsidR="00CC7658" w:rsidRPr="009F6A8D">
        <w:rPr>
          <w:rFonts w:cs="Arial" w:hint="cs"/>
          <w:rtl/>
        </w:rPr>
        <w:t>,</w:t>
      </w:r>
      <w:r w:rsidR="00BA15E7" w:rsidRPr="009F6A8D">
        <w:rPr>
          <w:rFonts w:cs="Arial"/>
          <w:rtl/>
        </w:rPr>
        <w:t xml:space="preserve"> בין בגט בין בשאר שטרות כדמשמע פרק גט פשוט (ב"ב קסג:)</w:t>
      </w:r>
      <w:r w:rsidR="00802F6A">
        <w:rPr>
          <w:rFonts w:cs="Arial" w:hint="cs"/>
          <w:sz w:val="16"/>
          <w:szCs w:val="16"/>
          <w:rtl/>
        </w:rPr>
        <w:t xml:space="preserve"> (ל' הב"י בשם ר"ת)</w:t>
      </w:r>
      <w:r w:rsidR="001E3DF7" w:rsidRPr="00802F6A">
        <w:rPr>
          <w:rFonts w:cs="Arial" w:hint="cs"/>
          <w:rtl/>
        </w:rPr>
        <w:t>.</w:t>
      </w:r>
    </w:p>
    <w:p w14:paraId="2E66C8F4" w14:textId="70C63D69" w:rsidR="00226148" w:rsidRPr="004F500C" w:rsidRDefault="00226148" w:rsidP="00A65C5F">
      <w:pPr>
        <w:pStyle w:val="ab"/>
        <w:numPr>
          <w:ilvl w:val="0"/>
          <w:numId w:val="24"/>
        </w:numPr>
      </w:pPr>
      <w:r w:rsidRPr="00CD204A">
        <w:rPr>
          <w:rFonts w:cs="Arial"/>
          <w:rtl/>
        </w:rPr>
        <w:lastRenderedPageBreak/>
        <w:t>רא"ש</w:t>
      </w:r>
      <w:r w:rsidR="00623557">
        <w:rPr>
          <w:rStyle w:val="a7"/>
          <w:rFonts w:cs="Arial"/>
          <w:rtl/>
        </w:rPr>
        <w:footnoteReference w:id="217"/>
      </w:r>
      <w:r w:rsidRPr="00CD204A">
        <w:rPr>
          <w:rFonts w:cs="Arial"/>
          <w:rtl/>
        </w:rPr>
        <w:t xml:space="preserve"> </w:t>
      </w:r>
      <w:r w:rsidRPr="00226148">
        <w:rPr>
          <w:rFonts w:cs="Arial"/>
          <w:sz w:val="16"/>
          <w:szCs w:val="16"/>
          <w:rtl/>
        </w:rPr>
        <w:t>(פ"ב דגיטין ס"ח)</w:t>
      </w:r>
      <w:r w:rsidR="00A82951">
        <w:rPr>
          <w:rFonts w:cs="Arial" w:hint="cs"/>
          <w:rtl/>
        </w:rPr>
        <w:t>-</w:t>
      </w:r>
      <w:r w:rsidRPr="00CD204A">
        <w:rPr>
          <w:rFonts w:cs="Arial"/>
          <w:rtl/>
        </w:rPr>
        <w:t xml:space="preserve"> </w:t>
      </w:r>
      <w:r w:rsidR="00AD34B7">
        <w:rPr>
          <w:rFonts w:cs="Arial" w:hint="cs"/>
          <w:rtl/>
        </w:rPr>
        <w:t xml:space="preserve">אפילו </w:t>
      </w:r>
      <w:r w:rsidRPr="009F6A8D">
        <w:rPr>
          <w:rFonts w:cs="Arial"/>
          <w:rtl/>
        </w:rPr>
        <w:t xml:space="preserve">מאן דמכשר הכא לא מכשר אלא בתחלה </w:t>
      </w:r>
      <w:r>
        <w:rPr>
          <w:rFonts w:cs="Arial" w:hint="cs"/>
          <w:rtl/>
        </w:rPr>
        <w:t>ו</w:t>
      </w:r>
      <w:r w:rsidRPr="009F6A8D">
        <w:rPr>
          <w:rFonts w:cs="Arial"/>
          <w:rtl/>
        </w:rPr>
        <w:t>באמצע</w:t>
      </w:r>
      <w:r>
        <w:rPr>
          <w:rStyle w:val="a7"/>
          <w:rFonts w:cs="Arial"/>
          <w:rtl/>
        </w:rPr>
        <w:footnoteReference w:id="218"/>
      </w:r>
      <w:r>
        <w:rPr>
          <w:rFonts w:cs="Arial" w:hint="cs"/>
          <w:rtl/>
        </w:rPr>
        <w:t>,</w:t>
      </w:r>
      <w:r w:rsidRPr="009F6A8D">
        <w:rPr>
          <w:rFonts w:cs="Arial"/>
          <w:rtl/>
        </w:rPr>
        <w:t xml:space="preserve"> </w:t>
      </w:r>
      <w:r>
        <w:rPr>
          <w:rFonts w:cs="Arial" w:hint="cs"/>
          <w:rtl/>
        </w:rPr>
        <w:t>אבל</w:t>
      </w:r>
      <w:r w:rsidRPr="009F6A8D">
        <w:rPr>
          <w:rFonts w:cs="Arial"/>
          <w:rtl/>
        </w:rPr>
        <w:t xml:space="preserve"> בסוף פסול לכולי עלמא</w:t>
      </w:r>
      <w:r w:rsidRPr="009F6A8D">
        <w:rPr>
          <w:rFonts w:cs="Arial" w:hint="cs"/>
          <w:rtl/>
        </w:rPr>
        <w:t>,</w:t>
      </w:r>
      <w:r w:rsidRPr="009F6A8D">
        <w:rPr>
          <w:rFonts w:cs="Arial"/>
          <w:rtl/>
        </w:rPr>
        <w:t xml:space="preserve"> בין בגט בין בשאר שטרות</w:t>
      </w:r>
      <w:r>
        <w:rPr>
          <w:rFonts w:cs="Arial" w:hint="cs"/>
          <w:rtl/>
        </w:rPr>
        <w:t>.</w:t>
      </w:r>
    </w:p>
    <w:p w14:paraId="59036818" w14:textId="6D2746EC" w:rsidR="00226148" w:rsidRDefault="00F405CC" w:rsidP="00A65C5F">
      <w:pPr>
        <w:pStyle w:val="ab"/>
        <w:numPr>
          <w:ilvl w:val="0"/>
          <w:numId w:val="24"/>
        </w:numPr>
      </w:pPr>
      <w:r>
        <w:rPr>
          <w:rFonts w:cs="Arial" w:hint="cs"/>
          <w:rtl/>
        </w:rPr>
        <w:t xml:space="preserve">רב </w:t>
      </w:r>
      <w:r w:rsidRPr="00F405CC">
        <w:rPr>
          <w:rFonts w:cs="Arial" w:hint="cs"/>
          <w:rtl/>
        </w:rPr>
        <w:t>האי</w:t>
      </w:r>
      <w:r>
        <w:rPr>
          <w:rFonts w:cs="Arial" w:hint="cs"/>
          <w:rtl/>
        </w:rPr>
        <w:t xml:space="preserve"> </w:t>
      </w:r>
      <w:r>
        <w:rPr>
          <w:rFonts w:cs="Arial" w:hint="cs"/>
          <w:sz w:val="16"/>
          <w:szCs w:val="16"/>
          <w:rtl/>
        </w:rPr>
        <w:t>(כ"כ הרמב"ן בשמו)</w:t>
      </w:r>
      <w:r>
        <w:rPr>
          <w:rFonts w:cs="Arial" w:hint="cs"/>
          <w:rtl/>
        </w:rPr>
        <w:t xml:space="preserve"> </w:t>
      </w:r>
      <w:r w:rsidRPr="004F500C">
        <w:rPr>
          <w:rFonts w:cs="Arial"/>
          <w:rtl/>
        </w:rPr>
        <w:t xml:space="preserve">רמב"ם </w:t>
      </w:r>
      <w:r w:rsidRPr="00F405CC">
        <w:rPr>
          <w:rFonts w:cs="Arial" w:hint="cs"/>
          <w:sz w:val="16"/>
          <w:szCs w:val="16"/>
          <w:rtl/>
        </w:rPr>
        <w:t>(</w:t>
      </w:r>
      <w:r w:rsidRPr="00F405CC">
        <w:rPr>
          <w:rFonts w:cs="Arial"/>
          <w:sz w:val="16"/>
          <w:szCs w:val="16"/>
          <w:rtl/>
        </w:rPr>
        <w:t>פ</w:t>
      </w:r>
      <w:r w:rsidRPr="00F405CC">
        <w:rPr>
          <w:rFonts w:cs="Arial" w:hint="cs"/>
          <w:sz w:val="16"/>
          <w:szCs w:val="16"/>
          <w:rtl/>
        </w:rPr>
        <w:t>"</w:t>
      </w:r>
      <w:r w:rsidRPr="00F405CC">
        <w:rPr>
          <w:rFonts w:cs="Arial"/>
          <w:sz w:val="16"/>
          <w:szCs w:val="16"/>
          <w:rtl/>
        </w:rPr>
        <w:t>ה מעדות ה</w:t>
      </w:r>
      <w:r w:rsidRPr="00F405CC">
        <w:rPr>
          <w:rFonts w:cs="Arial" w:hint="cs"/>
          <w:sz w:val="16"/>
          <w:szCs w:val="16"/>
          <w:rtl/>
        </w:rPr>
        <w:t>"</w:t>
      </w:r>
      <w:r w:rsidRPr="00F405CC">
        <w:rPr>
          <w:rFonts w:cs="Arial"/>
          <w:sz w:val="16"/>
          <w:szCs w:val="16"/>
          <w:rtl/>
        </w:rPr>
        <w:t>ו</w:t>
      </w:r>
      <w:r w:rsidR="00A82951">
        <w:rPr>
          <w:rFonts w:cs="Arial"/>
          <w:sz w:val="16"/>
          <w:szCs w:val="16"/>
          <w:rtl/>
        </w:rPr>
        <w:t>-</w:t>
      </w:r>
      <w:r w:rsidRPr="00F405CC">
        <w:rPr>
          <w:rFonts w:cs="Arial"/>
          <w:sz w:val="16"/>
          <w:szCs w:val="16"/>
          <w:rtl/>
        </w:rPr>
        <w:t>ז</w:t>
      </w:r>
      <w:r w:rsidR="006615C2">
        <w:rPr>
          <w:rFonts w:cs="Arial" w:hint="cs"/>
          <w:sz w:val="16"/>
          <w:szCs w:val="16"/>
          <w:rtl/>
        </w:rPr>
        <w:t>, ופ"ט מגירושין הכ"ז</w:t>
      </w:r>
      <w:r w:rsidRPr="00F405CC">
        <w:rPr>
          <w:rFonts w:cs="Arial"/>
          <w:sz w:val="16"/>
          <w:szCs w:val="16"/>
          <w:rtl/>
        </w:rPr>
        <w:t>)</w:t>
      </w:r>
      <w:r>
        <w:rPr>
          <w:rFonts w:cs="Arial" w:hint="cs"/>
          <w:sz w:val="16"/>
          <w:szCs w:val="16"/>
          <w:rtl/>
        </w:rPr>
        <w:t xml:space="preserve"> </w:t>
      </w:r>
      <w:r>
        <w:rPr>
          <w:rFonts w:cs="Arial" w:hint="cs"/>
          <w:rtl/>
        </w:rPr>
        <w:t>ו</w:t>
      </w:r>
      <w:r w:rsidR="00BA15E7" w:rsidRPr="00F405CC">
        <w:rPr>
          <w:rFonts w:cs="Arial"/>
          <w:rtl/>
        </w:rPr>
        <w:t>רמב</w:t>
      </w:r>
      <w:r w:rsidR="00BA15E7" w:rsidRPr="004F500C">
        <w:rPr>
          <w:rFonts w:cs="Arial"/>
          <w:rtl/>
        </w:rPr>
        <w:t xml:space="preserve">"ן </w:t>
      </w:r>
      <w:r w:rsidR="00BA15E7" w:rsidRPr="00A910D3">
        <w:rPr>
          <w:rFonts w:cs="Arial"/>
          <w:sz w:val="16"/>
          <w:szCs w:val="16"/>
          <w:rtl/>
        </w:rPr>
        <w:t>(ב"ב קסב: ד"ה מילאהו)</w:t>
      </w:r>
      <w:r w:rsidR="00A82951">
        <w:rPr>
          <w:rFonts w:cs="Arial" w:hint="cs"/>
          <w:rtl/>
        </w:rPr>
        <w:t>-</w:t>
      </w:r>
      <w:r w:rsidRPr="00F405CC">
        <w:rPr>
          <w:rFonts w:cs="Arial" w:hint="cs"/>
          <w:rtl/>
        </w:rPr>
        <w:t xml:space="preserve"> </w:t>
      </w:r>
      <w:r w:rsidR="00AD34B7">
        <w:rPr>
          <w:rFonts w:cs="Arial" w:hint="cs"/>
          <w:rtl/>
        </w:rPr>
        <w:t>מאן</w:t>
      </w:r>
      <w:r w:rsidR="00BA15E7" w:rsidRPr="00F405CC">
        <w:rPr>
          <w:rFonts w:cs="Arial"/>
          <w:rtl/>
        </w:rPr>
        <w:t xml:space="preserve"> </w:t>
      </w:r>
      <w:r w:rsidR="00AD34B7">
        <w:rPr>
          <w:rFonts w:cs="Arial" w:hint="cs"/>
          <w:rtl/>
        </w:rPr>
        <w:t>ד</w:t>
      </w:r>
      <w:r w:rsidR="00BA15E7" w:rsidRPr="00F405CC">
        <w:rPr>
          <w:rFonts w:cs="Arial"/>
          <w:rtl/>
        </w:rPr>
        <w:t xml:space="preserve">מכשר </w:t>
      </w:r>
      <w:r w:rsidR="001D32D1">
        <w:rPr>
          <w:rFonts w:cs="Arial" w:hint="cs"/>
          <w:rtl/>
        </w:rPr>
        <w:t>ב</w:t>
      </w:r>
      <w:r w:rsidR="00BA15E7" w:rsidRPr="00F405CC">
        <w:rPr>
          <w:rFonts w:cs="Arial"/>
          <w:rtl/>
        </w:rPr>
        <w:t xml:space="preserve">מילאהו בקרובים </w:t>
      </w:r>
      <w:r w:rsidR="00A82951">
        <w:rPr>
          <w:rFonts w:cs="Arial" w:hint="cs"/>
          <w:rtl/>
        </w:rPr>
        <w:t>-</w:t>
      </w:r>
      <w:r w:rsidRPr="00F405CC">
        <w:rPr>
          <w:rFonts w:cs="Arial" w:hint="cs"/>
        </w:rPr>
        <w:t xml:space="preserve"> </w:t>
      </w:r>
      <w:r w:rsidR="00BA15E7" w:rsidRPr="00F405CC">
        <w:rPr>
          <w:rFonts w:cs="Arial"/>
          <w:rtl/>
        </w:rPr>
        <w:t>בשנים הראשונים הוא</w:t>
      </w:r>
      <w:r>
        <w:rPr>
          <w:rStyle w:val="a7"/>
          <w:rFonts w:cs="Arial"/>
          <w:rtl/>
        </w:rPr>
        <w:footnoteReference w:id="219"/>
      </w:r>
      <w:r w:rsidR="00BF2D41">
        <w:rPr>
          <w:rFonts w:cs="Arial" w:hint="cs"/>
          <w:rtl/>
        </w:rPr>
        <w:t>.</w:t>
      </w:r>
      <w:r w:rsidR="00BA15E7" w:rsidRPr="00F405CC">
        <w:rPr>
          <w:rFonts w:cs="Arial"/>
          <w:rtl/>
        </w:rPr>
        <w:t xml:space="preserve"> וכל שכן בסוף שכשרים</w:t>
      </w:r>
      <w:r w:rsidR="003F67BE">
        <w:rPr>
          <w:rFonts w:cs="Arial" w:hint="cs"/>
          <w:rtl/>
        </w:rPr>
        <w:t>,</w:t>
      </w:r>
      <w:r w:rsidR="00BA15E7" w:rsidRPr="00F405CC">
        <w:rPr>
          <w:rFonts w:cs="Arial"/>
          <w:rtl/>
        </w:rPr>
        <w:t xml:space="preserve"> דאיכא למימר בתר דחתמי כשרים אתו פסולים וחתמי</w:t>
      </w:r>
      <w:r>
        <w:rPr>
          <w:rFonts w:cs="Arial" w:hint="cs"/>
          <w:sz w:val="16"/>
          <w:szCs w:val="16"/>
          <w:rtl/>
        </w:rPr>
        <w:t xml:space="preserve"> (ל' הרמב"ן)</w:t>
      </w:r>
      <w:r w:rsidR="00DE221D" w:rsidRPr="00F405CC">
        <w:rPr>
          <w:rFonts w:cs="Arial" w:hint="cs"/>
          <w:rtl/>
        </w:rPr>
        <w:t>.</w:t>
      </w:r>
      <w:r w:rsidR="00BA15E7" w:rsidRPr="007B6165">
        <w:rPr>
          <w:rFonts w:cs="Arial"/>
          <w:rtl/>
        </w:rPr>
        <w:t xml:space="preserve"> </w:t>
      </w:r>
    </w:p>
    <w:p w14:paraId="5ED988A8" w14:textId="190F8809" w:rsidR="00D24170" w:rsidRDefault="00D24170" w:rsidP="00A65C5F">
      <w:pPr>
        <w:pStyle w:val="ab"/>
        <w:numPr>
          <w:ilvl w:val="0"/>
          <w:numId w:val="24"/>
        </w:numPr>
      </w:pPr>
      <w:r w:rsidRPr="00201037">
        <w:rPr>
          <w:rFonts w:cs="Arial"/>
          <w:rtl/>
        </w:rPr>
        <w:t xml:space="preserve">רמ"ה </w:t>
      </w:r>
      <w:r w:rsidRPr="005E6A5D">
        <w:rPr>
          <w:rFonts w:cs="Arial"/>
          <w:sz w:val="16"/>
          <w:szCs w:val="16"/>
          <w:rtl/>
        </w:rPr>
        <w:t>(חידושי הרמ"ה ח"א עמו' קיג</w:t>
      </w:r>
      <w:r>
        <w:rPr>
          <w:rFonts w:cs="Arial" w:hint="cs"/>
          <w:sz w:val="16"/>
          <w:szCs w:val="16"/>
          <w:rtl/>
        </w:rPr>
        <w:t>, כ"כ הטור בשמו)</w:t>
      </w:r>
      <w:r w:rsidR="00A82951">
        <w:rPr>
          <w:rFonts w:cs="Arial" w:hint="cs"/>
          <w:rtl/>
        </w:rPr>
        <w:t>-</w:t>
      </w:r>
      <w:r>
        <w:rPr>
          <w:rFonts w:cs="Arial" w:hint="cs"/>
          <w:rtl/>
        </w:rPr>
        <w:t xml:space="preserve"> </w:t>
      </w:r>
      <w:r w:rsidRPr="00201037">
        <w:rPr>
          <w:rFonts w:cs="Arial"/>
          <w:rtl/>
        </w:rPr>
        <w:t>לכתחילה אין לקרוב או פסול לחתום עמהם</w:t>
      </w:r>
      <w:r>
        <w:rPr>
          <w:rFonts w:cs="Arial" w:hint="cs"/>
          <w:rtl/>
        </w:rPr>
        <w:t>,</w:t>
      </w:r>
      <w:r w:rsidRPr="00201037">
        <w:rPr>
          <w:rFonts w:cs="Arial"/>
          <w:rtl/>
        </w:rPr>
        <w:t xml:space="preserve"> אפי' חותם בסוף</w:t>
      </w:r>
      <w:r>
        <w:rPr>
          <w:rFonts w:cs="Arial" w:hint="cs"/>
          <w:rtl/>
        </w:rPr>
        <w:t>,</w:t>
      </w:r>
      <w:r w:rsidRPr="00201037">
        <w:rPr>
          <w:rFonts w:cs="Arial"/>
          <w:rtl/>
        </w:rPr>
        <w:t xml:space="preserve"> אפי' חתמו שנים הראשונים ביומיה והקרוב או פסול אחר כך</w:t>
      </w:r>
      <w:r>
        <w:rPr>
          <w:rFonts w:cs="Arial" w:hint="cs"/>
          <w:rtl/>
        </w:rPr>
        <w:t>.</w:t>
      </w:r>
      <w:r w:rsidRPr="00201037">
        <w:rPr>
          <w:rFonts w:cs="Arial"/>
          <w:rtl/>
        </w:rPr>
        <w:t xml:space="preserve"> ואי חתום</w:t>
      </w:r>
      <w:r>
        <w:rPr>
          <w:rFonts w:cs="Arial" w:hint="cs"/>
          <w:rtl/>
        </w:rPr>
        <w:t>,</w:t>
      </w:r>
      <w:r w:rsidRPr="00201037">
        <w:rPr>
          <w:rFonts w:cs="Arial"/>
          <w:rtl/>
        </w:rPr>
        <w:t xml:space="preserve"> בדיעבד בתר דחתימו תרי כשרי </w:t>
      </w:r>
      <w:r w:rsidR="00A82951">
        <w:rPr>
          <w:rFonts w:cs="Arial"/>
          <w:rtl/>
        </w:rPr>
        <w:t>-</w:t>
      </w:r>
      <w:r>
        <w:rPr>
          <w:rFonts w:cs="Arial" w:hint="cs"/>
          <w:rtl/>
        </w:rPr>
        <w:t xml:space="preserve"> </w:t>
      </w:r>
      <w:r w:rsidRPr="00201037">
        <w:rPr>
          <w:rFonts w:cs="Arial"/>
          <w:rtl/>
        </w:rPr>
        <w:t>כשר</w:t>
      </w:r>
      <w:r>
        <w:rPr>
          <w:rFonts w:cs="Arial" w:hint="cs"/>
          <w:rtl/>
        </w:rPr>
        <w:t>,</w:t>
      </w:r>
      <w:r w:rsidRPr="00201037">
        <w:rPr>
          <w:rFonts w:cs="Arial"/>
          <w:rtl/>
        </w:rPr>
        <w:t xml:space="preserve"> והיא דחתימי הנך תרי ביומיה</w:t>
      </w:r>
      <w:r>
        <w:rPr>
          <w:rStyle w:val="a7"/>
          <w:rFonts w:cs="Arial"/>
          <w:rtl/>
        </w:rPr>
        <w:footnoteReference w:id="220"/>
      </w:r>
      <w:r>
        <w:rPr>
          <w:rFonts w:cs="Arial" w:hint="cs"/>
          <w:rtl/>
        </w:rPr>
        <w:t>.</w:t>
      </w:r>
    </w:p>
    <w:p w14:paraId="2E6775B9" w14:textId="1FF0DDFB" w:rsidR="001D32D1" w:rsidRDefault="001D32D1" w:rsidP="001D32D1">
      <w:pPr>
        <w:rPr>
          <w:rFonts w:cs="Arial"/>
          <w:rtl/>
        </w:rPr>
      </w:pPr>
      <w:r>
        <w:rPr>
          <w:rFonts w:cs="Arial" w:hint="cs"/>
          <w:u w:val="single"/>
          <w:rtl/>
        </w:rPr>
        <w:t xml:space="preserve">'אי חתום בתחילה קרוב או פסול, אמרי לה כשר, ואמרי לה פסול' </w:t>
      </w:r>
      <w:r w:rsidR="00A82951">
        <w:rPr>
          <w:rFonts w:cs="Arial"/>
          <w:u w:val="single"/>
          <w:rtl/>
        </w:rPr>
        <w:t>-</w:t>
      </w:r>
      <w:r>
        <w:rPr>
          <w:rFonts w:cs="Arial" w:hint="cs"/>
          <w:u w:val="single"/>
          <w:rtl/>
        </w:rPr>
        <w:t xml:space="preserve"> כיצד נפסק</w:t>
      </w:r>
      <w:r w:rsidR="003309ED">
        <w:rPr>
          <w:rFonts w:cs="Arial" w:hint="cs"/>
          <w:u w:val="single"/>
          <w:rtl/>
        </w:rPr>
        <w:t xml:space="preserve"> למעשה</w:t>
      </w:r>
      <w:r>
        <w:rPr>
          <w:rFonts w:cs="Arial" w:hint="cs"/>
          <w:u w:val="single"/>
          <w:rtl/>
        </w:rPr>
        <w:t>:</w:t>
      </w:r>
      <w:r w:rsidRPr="00B80392">
        <w:rPr>
          <w:rFonts w:cs="Arial" w:hint="cs"/>
          <w:rtl/>
        </w:rPr>
        <w:t xml:space="preserve"> </w:t>
      </w:r>
    </w:p>
    <w:p w14:paraId="42E7E32D" w14:textId="1D00E02D" w:rsidR="00092C67" w:rsidRPr="00092C67" w:rsidRDefault="001D32D1" w:rsidP="00A65C5F">
      <w:pPr>
        <w:pStyle w:val="ab"/>
        <w:numPr>
          <w:ilvl w:val="0"/>
          <w:numId w:val="24"/>
        </w:numPr>
      </w:pPr>
      <w:r w:rsidRPr="009F6A8D">
        <w:rPr>
          <w:rFonts w:cs="Arial"/>
          <w:rtl/>
        </w:rPr>
        <w:t>ר</w:t>
      </w:r>
      <w:r>
        <w:rPr>
          <w:rFonts w:cs="Arial" w:hint="cs"/>
          <w:rtl/>
        </w:rPr>
        <w:t>"</w:t>
      </w:r>
      <w:r w:rsidRPr="009F6A8D">
        <w:rPr>
          <w:rFonts w:cs="Arial"/>
          <w:rtl/>
        </w:rPr>
        <w:t xml:space="preserve">ת </w:t>
      </w:r>
      <w:r w:rsidRPr="00802F6A">
        <w:rPr>
          <w:rFonts w:cs="Arial"/>
          <w:sz w:val="16"/>
          <w:szCs w:val="16"/>
          <w:rtl/>
        </w:rPr>
        <w:t>(</w:t>
      </w:r>
      <w:r w:rsidR="006615C2">
        <w:rPr>
          <w:rFonts w:cs="Arial" w:hint="cs"/>
          <w:sz w:val="16"/>
          <w:szCs w:val="16"/>
          <w:rtl/>
        </w:rPr>
        <w:t>שם</w:t>
      </w:r>
      <w:r w:rsidRPr="00802F6A">
        <w:rPr>
          <w:rFonts w:cs="Arial"/>
          <w:sz w:val="16"/>
          <w:szCs w:val="16"/>
          <w:rtl/>
        </w:rPr>
        <w:t xml:space="preserve">) </w:t>
      </w:r>
      <w:r w:rsidRPr="00AD34B7">
        <w:rPr>
          <w:rFonts w:cs="Arial" w:hint="cs"/>
          <w:rtl/>
        </w:rPr>
        <w:t>רמב"ם</w:t>
      </w:r>
      <w:r w:rsidRPr="00AD34B7">
        <w:rPr>
          <w:rFonts w:cs="Arial" w:hint="cs"/>
          <w:sz w:val="16"/>
          <w:szCs w:val="16"/>
          <w:rtl/>
        </w:rPr>
        <w:t xml:space="preserve"> (</w:t>
      </w:r>
      <w:r w:rsidR="006615C2">
        <w:rPr>
          <w:rFonts w:cs="Arial" w:hint="cs"/>
          <w:sz w:val="16"/>
          <w:szCs w:val="16"/>
          <w:rtl/>
        </w:rPr>
        <w:t>שם</w:t>
      </w:r>
      <w:r w:rsidRPr="00AD34B7">
        <w:rPr>
          <w:rFonts w:cs="Arial" w:hint="cs"/>
          <w:sz w:val="16"/>
          <w:szCs w:val="16"/>
          <w:rtl/>
        </w:rPr>
        <w:t>)</w:t>
      </w:r>
      <w:r>
        <w:rPr>
          <w:rFonts w:cs="Arial" w:hint="cs"/>
          <w:rtl/>
        </w:rPr>
        <w:t xml:space="preserve"> </w:t>
      </w:r>
      <w:r w:rsidRPr="00AD34B7">
        <w:rPr>
          <w:rFonts w:cs="Arial" w:hint="cs"/>
          <w:rtl/>
        </w:rPr>
        <w:t>טור</w:t>
      </w:r>
      <w:r>
        <w:rPr>
          <w:rFonts w:cs="Arial" w:hint="cs"/>
          <w:rtl/>
        </w:rPr>
        <w:t xml:space="preserve"> ו</w:t>
      </w:r>
      <w:r w:rsidRPr="009F6A8D">
        <w:rPr>
          <w:rFonts w:cs="Arial"/>
          <w:rtl/>
        </w:rPr>
        <w:t xml:space="preserve">ר"ן </w:t>
      </w:r>
      <w:r w:rsidRPr="00802F6A">
        <w:rPr>
          <w:rFonts w:cs="Arial"/>
          <w:sz w:val="16"/>
          <w:szCs w:val="16"/>
          <w:rtl/>
        </w:rPr>
        <w:t>(</w:t>
      </w:r>
      <w:r w:rsidR="006615C2">
        <w:rPr>
          <w:rFonts w:cs="Arial" w:hint="cs"/>
          <w:sz w:val="16"/>
          <w:szCs w:val="16"/>
          <w:rtl/>
        </w:rPr>
        <w:t>שם</w:t>
      </w:r>
      <w:r w:rsidRPr="00802F6A">
        <w:rPr>
          <w:rFonts w:cs="Arial"/>
          <w:sz w:val="16"/>
          <w:szCs w:val="16"/>
          <w:rtl/>
        </w:rPr>
        <w:t>)</w:t>
      </w:r>
      <w:r w:rsidR="00A82951">
        <w:rPr>
          <w:rFonts w:cs="Arial" w:hint="cs"/>
          <w:rtl/>
        </w:rPr>
        <w:t>-</w:t>
      </w:r>
      <w:r w:rsidRPr="00AD34B7">
        <w:rPr>
          <w:rFonts w:cs="Arial" w:hint="cs"/>
          <w:rtl/>
        </w:rPr>
        <w:t xml:space="preserve"> </w:t>
      </w:r>
      <w:r w:rsidRPr="00AD34B7">
        <w:rPr>
          <w:rFonts w:cs="Arial"/>
          <w:rtl/>
        </w:rPr>
        <w:t xml:space="preserve">היה אחד משנים הראשונים פסול </w:t>
      </w:r>
      <w:r w:rsidR="00A82951">
        <w:rPr>
          <w:rFonts w:cs="Arial" w:hint="cs"/>
          <w:rtl/>
        </w:rPr>
        <w:t>-</w:t>
      </w:r>
      <w:r w:rsidRPr="00AD34B7">
        <w:rPr>
          <w:rFonts w:cs="Arial" w:hint="cs"/>
          <w:rtl/>
        </w:rPr>
        <w:t xml:space="preserve"> </w:t>
      </w:r>
      <w:r w:rsidRPr="00AD34B7">
        <w:rPr>
          <w:rFonts w:cs="Arial"/>
          <w:rtl/>
        </w:rPr>
        <w:t>הרי זה גט פסול</w:t>
      </w:r>
      <w:r>
        <w:rPr>
          <w:rStyle w:val="a7"/>
          <w:rFonts w:cs="Arial"/>
          <w:rtl/>
        </w:rPr>
        <w:footnoteReference w:id="221"/>
      </w:r>
      <w:r>
        <w:rPr>
          <w:rFonts w:hint="cs"/>
          <w:sz w:val="16"/>
          <w:szCs w:val="16"/>
          <w:rtl/>
        </w:rPr>
        <w:t xml:space="preserve"> </w:t>
      </w:r>
      <w:r w:rsidRPr="00AD34B7">
        <w:rPr>
          <w:rFonts w:hint="cs"/>
          <w:sz w:val="16"/>
          <w:szCs w:val="16"/>
          <w:rtl/>
        </w:rPr>
        <w:t>(ל' הרמב"ם</w:t>
      </w:r>
      <w:r>
        <w:rPr>
          <w:rFonts w:hint="cs"/>
          <w:sz w:val="16"/>
          <w:szCs w:val="16"/>
          <w:rtl/>
        </w:rPr>
        <w:t>)</w:t>
      </w:r>
      <w:r w:rsidR="006615C2">
        <w:rPr>
          <w:rStyle w:val="a7"/>
          <w:rFonts w:cs="Arial"/>
          <w:rtl/>
        </w:rPr>
        <w:footnoteReference w:id="222"/>
      </w:r>
      <w:r w:rsidR="00B3322B">
        <w:rPr>
          <w:rFonts w:hint="cs"/>
          <w:rtl/>
        </w:rPr>
        <w:t>.</w:t>
      </w:r>
    </w:p>
    <w:p w14:paraId="6A609497" w14:textId="0AF2E8C2" w:rsidR="00E82544" w:rsidRPr="00E82544" w:rsidRDefault="001D32D1" w:rsidP="00E82544">
      <w:pPr>
        <w:ind w:left="360"/>
        <w:rPr>
          <w:u w:val="dotted"/>
        </w:rPr>
      </w:pPr>
      <w:r>
        <w:rPr>
          <w:rFonts w:hint="cs"/>
          <w:u w:val="dotted"/>
          <w:rtl/>
        </w:rPr>
        <w:t>ו</w:t>
      </w:r>
      <w:r w:rsidR="00E82544" w:rsidRPr="00E82544">
        <w:rPr>
          <w:rFonts w:hint="cs"/>
          <w:u w:val="dotted"/>
          <w:rtl/>
        </w:rPr>
        <w:t xml:space="preserve">מה </w:t>
      </w:r>
      <w:r>
        <w:rPr>
          <w:rFonts w:hint="cs"/>
          <w:u w:val="dotted"/>
          <w:rtl/>
        </w:rPr>
        <w:t>ה</w:t>
      </w:r>
      <w:r w:rsidR="00E82544" w:rsidRPr="00E82544">
        <w:rPr>
          <w:rFonts w:hint="cs"/>
          <w:u w:val="dotted"/>
          <w:rtl/>
        </w:rPr>
        <w:t xml:space="preserve">דין </w:t>
      </w:r>
      <w:r>
        <w:rPr>
          <w:rFonts w:hint="cs"/>
          <w:u w:val="dotted"/>
          <w:rtl/>
        </w:rPr>
        <w:t xml:space="preserve">אם חתמו </w:t>
      </w:r>
      <w:r>
        <w:rPr>
          <w:rFonts w:hint="cs"/>
          <w:sz w:val="16"/>
          <w:szCs w:val="16"/>
          <w:u w:val="dotted"/>
          <w:rtl/>
        </w:rPr>
        <w:t>(</w:t>
      </w:r>
      <w:r w:rsidR="005B7E9F">
        <w:rPr>
          <w:rFonts w:hint="cs"/>
          <w:sz w:val="16"/>
          <w:szCs w:val="16"/>
          <w:u w:val="dotted"/>
          <w:rtl/>
        </w:rPr>
        <w:t xml:space="preserve">הקרוב או </w:t>
      </w:r>
      <w:r>
        <w:rPr>
          <w:rFonts w:hint="cs"/>
          <w:sz w:val="16"/>
          <w:szCs w:val="16"/>
          <w:u w:val="dotted"/>
          <w:rtl/>
        </w:rPr>
        <w:t>הפסול)</w:t>
      </w:r>
      <w:r>
        <w:rPr>
          <w:rFonts w:hint="cs"/>
          <w:u w:val="dotted"/>
          <w:rtl/>
        </w:rPr>
        <w:t xml:space="preserve"> באמצע או בסוף:</w:t>
      </w:r>
    </w:p>
    <w:p w14:paraId="4692A6CA" w14:textId="72787DD3" w:rsidR="00E82544" w:rsidRDefault="006615C2" w:rsidP="00A65C5F">
      <w:pPr>
        <w:pStyle w:val="ab"/>
        <w:numPr>
          <w:ilvl w:val="0"/>
          <w:numId w:val="24"/>
        </w:numPr>
      </w:pPr>
      <w:r>
        <w:rPr>
          <w:rFonts w:cs="Arial" w:hint="cs"/>
          <w:rtl/>
        </w:rPr>
        <w:t xml:space="preserve">בה"ג </w:t>
      </w:r>
      <w:r>
        <w:rPr>
          <w:rFonts w:cs="Arial" w:hint="cs"/>
          <w:sz w:val="16"/>
          <w:szCs w:val="16"/>
          <w:rtl/>
        </w:rPr>
        <w:t>(שם)</w:t>
      </w:r>
      <w:r>
        <w:rPr>
          <w:rFonts w:cs="Arial" w:hint="cs"/>
          <w:rtl/>
        </w:rPr>
        <w:t xml:space="preserve"> </w:t>
      </w:r>
      <w:r w:rsidR="00BF2D41">
        <w:rPr>
          <w:rFonts w:cs="Arial" w:hint="cs"/>
          <w:rtl/>
        </w:rPr>
        <w:t xml:space="preserve">תוס' בשם </w:t>
      </w:r>
      <w:r w:rsidR="00E82544">
        <w:rPr>
          <w:rFonts w:cs="Arial" w:hint="cs"/>
          <w:rtl/>
        </w:rPr>
        <w:t xml:space="preserve">ר"ת </w:t>
      </w:r>
      <w:r w:rsidR="00E82544">
        <w:rPr>
          <w:rFonts w:cs="Arial" w:hint="cs"/>
          <w:sz w:val="16"/>
          <w:szCs w:val="16"/>
          <w:rtl/>
        </w:rPr>
        <w:t>(שם)</w:t>
      </w:r>
      <w:r>
        <w:rPr>
          <w:rFonts w:cs="Arial" w:hint="cs"/>
          <w:rtl/>
        </w:rPr>
        <w:t xml:space="preserve"> ור"ן </w:t>
      </w:r>
      <w:r>
        <w:rPr>
          <w:rFonts w:cs="Arial" w:hint="cs"/>
          <w:sz w:val="16"/>
          <w:szCs w:val="16"/>
          <w:rtl/>
        </w:rPr>
        <w:t>(שם)</w:t>
      </w:r>
      <w:r w:rsidR="00A82951">
        <w:rPr>
          <w:rFonts w:cs="Arial" w:hint="cs"/>
          <w:rtl/>
        </w:rPr>
        <w:t>-</w:t>
      </w:r>
      <w:r w:rsidR="00E82544">
        <w:rPr>
          <w:rFonts w:cs="Arial" w:hint="cs"/>
          <w:rtl/>
        </w:rPr>
        <w:t xml:space="preserve"> </w:t>
      </w:r>
      <w:r w:rsidR="00E82544" w:rsidRPr="00BB4063">
        <w:rPr>
          <w:rFonts w:cs="Arial"/>
          <w:rtl/>
        </w:rPr>
        <w:t xml:space="preserve">בגט בכל מקום שיהיה חתום פסול או קרוב </w:t>
      </w:r>
      <w:r w:rsidR="00A82951">
        <w:rPr>
          <w:rFonts w:cs="Arial" w:hint="cs"/>
          <w:rtl/>
        </w:rPr>
        <w:t>-</w:t>
      </w:r>
      <w:r w:rsidR="00E82544" w:rsidRPr="00BB4063">
        <w:rPr>
          <w:rFonts w:cs="Arial" w:hint="cs"/>
          <w:rtl/>
        </w:rPr>
        <w:t xml:space="preserve"> </w:t>
      </w:r>
      <w:r w:rsidR="00E82544" w:rsidRPr="00BB4063">
        <w:rPr>
          <w:rFonts w:cs="Arial"/>
          <w:rtl/>
        </w:rPr>
        <w:t>הוא פסול</w:t>
      </w:r>
      <w:r w:rsidR="00E82544">
        <w:rPr>
          <w:rStyle w:val="a7"/>
          <w:rFonts w:cs="Arial"/>
          <w:rtl/>
        </w:rPr>
        <w:footnoteReference w:id="223"/>
      </w:r>
      <w:r w:rsidR="00E82544">
        <w:rPr>
          <w:rFonts w:cs="Arial" w:hint="cs"/>
          <w:sz w:val="16"/>
          <w:szCs w:val="16"/>
          <w:rtl/>
        </w:rPr>
        <w:t xml:space="preserve"> (ל' הב"י בשם ר"ת)</w:t>
      </w:r>
      <w:r w:rsidR="005B7E9F">
        <w:rPr>
          <w:rStyle w:val="a7"/>
          <w:rFonts w:cs="Arial"/>
          <w:rtl/>
        </w:rPr>
        <w:footnoteReference w:id="224"/>
      </w:r>
      <w:r w:rsidR="00E82544" w:rsidRPr="00BB4063">
        <w:rPr>
          <w:rFonts w:cs="Arial" w:hint="cs"/>
          <w:rtl/>
        </w:rPr>
        <w:t>.</w:t>
      </w:r>
      <w:r w:rsidR="00E82544" w:rsidRPr="00BB4063">
        <w:rPr>
          <w:rFonts w:cs="Arial"/>
          <w:rtl/>
        </w:rPr>
        <w:t xml:space="preserve"> </w:t>
      </w:r>
    </w:p>
    <w:p w14:paraId="741966CE" w14:textId="3193FC54" w:rsidR="00D04124" w:rsidRDefault="00D04124" w:rsidP="00A65C5F">
      <w:pPr>
        <w:pStyle w:val="ab"/>
        <w:numPr>
          <w:ilvl w:val="0"/>
          <w:numId w:val="24"/>
        </w:numPr>
        <w:rPr>
          <w:rFonts w:cs="Arial"/>
        </w:rPr>
      </w:pPr>
      <w:r>
        <w:rPr>
          <w:rFonts w:cs="Arial" w:hint="cs"/>
          <w:rtl/>
        </w:rPr>
        <w:lastRenderedPageBreak/>
        <w:t xml:space="preserve">רב </w:t>
      </w:r>
      <w:r w:rsidRPr="00F405CC">
        <w:rPr>
          <w:rFonts w:cs="Arial" w:hint="cs"/>
          <w:rtl/>
        </w:rPr>
        <w:t>האי</w:t>
      </w:r>
      <w:r>
        <w:rPr>
          <w:rFonts w:cs="Arial" w:hint="cs"/>
          <w:rtl/>
        </w:rPr>
        <w:t xml:space="preserve"> </w:t>
      </w:r>
      <w:r>
        <w:rPr>
          <w:rFonts w:cs="Arial" w:hint="cs"/>
          <w:sz w:val="16"/>
          <w:szCs w:val="16"/>
          <w:rtl/>
        </w:rPr>
        <w:t>(שם)</w:t>
      </w:r>
      <w:r>
        <w:rPr>
          <w:rFonts w:cs="Arial" w:hint="cs"/>
          <w:rtl/>
        </w:rPr>
        <w:t xml:space="preserve"> </w:t>
      </w:r>
      <w:r w:rsidR="00844201">
        <w:rPr>
          <w:rFonts w:cs="Arial" w:hint="cs"/>
          <w:rtl/>
        </w:rPr>
        <w:t>ר"ת</w:t>
      </w:r>
      <w:r w:rsidR="00844201">
        <w:rPr>
          <w:rStyle w:val="a7"/>
          <w:rFonts w:cs="Arial"/>
          <w:rtl/>
        </w:rPr>
        <w:footnoteReference w:id="225"/>
      </w:r>
      <w:r w:rsidR="00844201">
        <w:rPr>
          <w:rFonts w:cs="Arial" w:hint="cs"/>
          <w:rtl/>
        </w:rPr>
        <w:t xml:space="preserve"> </w:t>
      </w:r>
      <w:r w:rsidR="00844201">
        <w:rPr>
          <w:rFonts w:cs="Arial" w:hint="cs"/>
          <w:sz w:val="16"/>
          <w:szCs w:val="16"/>
          <w:rtl/>
        </w:rPr>
        <w:t>(ספר הישר סי' קי, ובגיטין</w:t>
      </w:r>
      <w:r w:rsidR="00844201" w:rsidRPr="00802F6A">
        <w:rPr>
          <w:rFonts w:cs="Arial"/>
          <w:sz w:val="16"/>
          <w:szCs w:val="16"/>
          <w:rtl/>
        </w:rPr>
        <w:t xml:space="preserve"> יח: ד"ה אמרי</w:t>
      </w:r>
      <w:r w:rsidR="00844201">
        <w:rPr>
          <w:rFonts w:cs="Arial" w:hint="cs"/>
          <w:sz w:val="16"/>
          <w:szCs w:val="16"/>
          <w:rtl/>
        </w:rPr>
        <w:t xml:space="preserve">) </w:t>
      </w:r>
      <w:r w:rsidRPr="004F500C">
        <w:rPr>
          <w:rFonts w:cs="Arial"/>
          <w:rtl/>
        </w:rPr>
        <w:t xml:space="preserve">רמב"ם </w:t>
      </w:r>
      <w:r w:rsidRPr="00F405CC">
        <w:rPr>
          <w:rFonts w:cs="Arial" w:hint="cs"/>
          <w:sz w:val="16"/>
          <w:szCs w:val="16"/>
          <w:rtl/>
        </w:rPr>
        <w:t>(</w:t>
      </w:r>
      <w:r>
        <w:rPr>
          <w:rFonts w:cs="Arial" w:hint="cs"/>
          <w:sz w:val="16"/>
          <w:szCs w:val="16"/>
          <w:rtl/>
        </w:rPr>
        <w:t>שם</w:t>
      </w:r>
      <w:r w:rsidRPr="00F405CC">
        <w:rPr>
          <w:rFonts w:cs="Arial"/>
          <w:sz w:val="16"/>
          <w:szCs w:val="16"/>
          <w:rtl/>
        </w:rPr>
        <w:t>)</w:t>
      </w:r>
      <w:r>
        <w:rPr>
          <w:rFonts w:cs="Arial" w:hint="cs"/>
          <w:sz w:val="16"/>
          <w:szCs w:val="16"/>
          <w:rtl/>
        </w:rPr>
        <w:t xml:space="preserve"> </w:t>
      </w:r>
      <w:r w:rsidRPr="00F405CC">
        <w:rPr>
          <w:rFonts w:cs="Arial"/>
          <w:rtl/>
        </w:rPr>
        <w:t>רמב</w:t>
      </w:r>
      <w:r w:rsidRPr="004F500C">
        <w:rPr>
          <w:rFonts w:cs="Arial"/>
          <w:rtl/>
        </w:rPr>
        <w:t xml:space="preserve">"ן </w:t>
      </w:r>
      <w:r w:rsidRPr="00A910D3">
        <w:rPr>
          <w:rFonts w:cs="Arial"/>
          <w:sz w:val="16"/>
          <w:szCs w:val="16"/>
          <w:rtl/>
        </w:rPr>
        <w:t>(</w:t>
      </w:r>
      <w:r>
        <w:rPr>
          <w:rFonts w:cs="Arial" w:hint="cs"/>
          <w:sz w:val="16"/>
          <w:szCs w:val="16"/>
          <w:rtl/>
        </w:rPr>
        <w:t>שם</w:t>
      </w:r>
      <w:r w:rsidRPr="00A910D3">
        <w:rPr>
          <w:rFonts w:cs="Arial"/>
          <w:sz w:val="16"/>
          <w:szCs w:val="16"/>
          <w:rtl/>
        </w:rPr>
        <w:t>)</w:t>
      </w:r>
      <w:r w:rsidR="00844201">
        <w:rPr>
          <w:rFonts w:cs="Arial" w:hint="cs"/>
          <w:rtl/>
        </w:rPr>
        <w:t xml:space="preserve"> </w:t>
      </w:r>
      <w:r w:rsidR="00F553AB">
        <w:rPr>
          <w:rFonts w:cs="Arial" w:hint="cs"/>
          <w:rtl/>
        </w:rPr>
        <w:t>ו</w:t>
      </w:r>
      <w:r w:rsidR="00844201">
        <w:rPr>
          <w:rFonts w:cs="Arial" w:hint="cs"/>
          <w:rtl/>
        </w:rPr>
        <w:t xml:space="preserve">רא"ש </w:t>
      </w:r>
      <w:r w:rsidR="00844201">
        <w:rPr>
          <w:rFonts w:cs="Arial" w:hint="cs"/>
          <w:sz w:val="16"/>
          <w:szCs w:val="16"/>
          <w:rtl/>
        </w:rPr>
        <w:t>(תוס' רא"ש יח: ד"ה אמרי)</w:t>
      </w:r>
      <w:r w:rsidR="00A82951">
        <w:rPr>
          <w:rFonts w:cs="Arial" w:hint="cs"/>
          <w:rtl/>
        </w:rPr>
        <w:t>-</w:t>
      </w:r>
      <w:r w:rsidRPr="00F405CC">
        <w:rPr>
          <w:rFonts w:cs="Arial" w:hint="cs"/>
          <w:rtl/>
        </w:rPr>
        <w:t xml:space="preserve"> </w:t>
      </w:r>
      <w:r w:rsidR="006615C2">
        <w:rPr>
          <w:rFonts w:cs="Arial" w:hint="cs"/>
          <w:rtl/>
        </w:rPr>
        <w:t>אם חתמו בסוף</w:t>
      </w:r>
      <w:r w:rsidR="00D779ED">
        <w:rPr>
          <w:rStyle w:val="a7"/>
          <w:rFonts w:cs="Arial"/>
          <w:rtl/>
        </w:rPr>
        <w:footnoteReference w:id="226"/>
      </w:r>
      <w:r w:rsidR="006615C2">
        <w:rPr>
          <w:rFonts w:cs="Arial" w:hint="cs"/>
          <w:rtl/>
        </w:rPr>
        <w:t xml:space="preserve"> </w:t>
      </w:r>
      <w:r w:rsidR="00A82951">
        <w:rPr>
          <w:rFonts w:cs="Arial"/>
          <w:rtl/>
        </w:rPr>
        <w:t>-</w:t>
      </w:r>
      <w:r w:rsidR="006615C2">
        <w:rPr>
          <w:rFonts w:cs="Arial" w:hint="cs"/>
          <w:rtl/>
        </w:rPr>
        <w:t xml:space="preserve"> כשר</w:t>
      </w:r>
      <w:r w:rsidR="006615C2">
        <w:rPr>
          <w:rStyle w:val="a7"/>
          <w:rFonts w:cs="Arial"/>
          <w:rtl/>
        </w:rPr>
        <w:footnoteReference w:id="227"/>
      </w:r>
      <w:r w:rsidR="006615C2">
        <w:rPr>
          <w:rFonts w:cs="Arial" w:hint="cs"/>
          <w:rtl/>
        </w:rPr>
        <w:t>.</w:t>
      </w:r>
      <w:r w:rsidR="005B7E9F">
        <w:rPr>
          <w:rFonts w:cs="Arial" w:hint="cs"/>
          <w:rtl/>
        </w:rPr>
        <w:t xml:space="preserve"> </w:t>
      </w:r>
    </w:p>
    <w:p w14:paraId="654C46E1" w14:textId="77777777" w:rsidR="00E82544" w:rsidRPr="000A1874" w:rsidRDefault="00E82544" w:rsidP="00E82544">
      <w:pPr>
        <w:ind w:left="360"/>
        <w:rPr>
          <w:rFonts w:cs="Arial"/>
          <w:u w:val="dotted"/>
          <w:rtl/>
        </w:rPr>
      </w:pPr>
      <w:r w:rsidRPr="000A1874">
        <w:rPr>
          <w:rFonts w:cs="Arial" w:hint="cs"/>
          <w:u w:val="dotted"/>
          <w:rtl/>
        </w:rPr>
        <w:t>ומה הדין חתמו הכשרים למטה ואח"כ חתמו הפסולים למעלה:</w:t>
      </w:r>
    </w:p>
    <w:p w14:paraId="3A4816BB" w14:textId="0AC06F10" w:rsidR="00E82544" w:rsidRDefault="00E82544" w:rsidP="00A65C5F">
      <w:pPr>
        <w:pStyle w:val="ab"/>
        <w:numPr>
          <w:ilvl w:val="0"/>
          <w:numId w:val="24"/>
        </w:numPr>
      </w:pPr>
      <w:r>
        <w:rPr>
          <w:rFonts w:cs="Arial" w:hint="cs"/>
          <w:rtl/>
        </w:rPr>
        <w:t xml:space="preserve">טור ור"ן </w:t>
      </w:r>
      <w:r>
        <w:rPr>
          <w:rFonts w:cs="Arial" w:hint="cs"/>
          <w:sz w:val="16"/>
          <w:szCs w:val="16"/>
          <w:rtl/>
        </w:rPr>
        <w:t>(</w:t>
      </w:r>
      <w:r w:rsidRPr="003D64C8">
        <w:rPr>
          <w:rFonts w:cs="Arial"/>
          <w:sz w:val="16"/>
          <w:szCs w:val="16"/>
          <w:rtl/>
        </w:rPr>
        <w:t xml:space="preserve">ט. ד"ה </w:t>
      </w:r>
      <w:r w:rsidRPr="003D64C8">
        <w:rPr>
          <w:rFonts w:cs="Arial" w:hint="cs"/>
          <w:sz w:val="16"/>
          <w:szCs w:val="16"/>
          <w:rtl/>
        </w:rPr>
        <w:t>וא"ת ובשטרות</w:t>
      </w:r>
      <w:r>
        <w:rPr>
          <w:rFonts w:cs="Arial" w:hint="cs"/>
          <w:sz w:val="16"/>
          <w:szCs w:val="16"/>
          <w:rtl/>
        </w:rPr>
        <w:t>)</w:t>
      </w:r>
      <w:r w:rsidR="00A82951">
        <w:rPr>
          <w:rFonts w:cs="Arial" w:hint="cs"/>
          <w:rtl/>
        </w:rPr>
        <w:t>-</w:t>
      </w:r>
      <w:r>
        <w:rPr>
          <w:rFonts w:cs="Arial" w:hint="cs"/>
          <w:rtl/>
        </w:rPr>
        <w:t xml:space="preserve"> </w:t>
      </w:r>
      <w:r w:rsidRPr="00201037">
        <w:rPr>
          <w:rFonts w:cs="Arial"/>
          <w:rtl/>
        </w:rPr>
        <w:t xml:space="preserve">היה א' מהשנים הראשונים פסול </w:t>
      </w:r>
      <w:r w:rsidR="00A82951">
        <w:rPr>
          <w:rFonts w:cs="Arial" w:hint="cs"/>
          <w:rtl/>
        </w:rPr>
        <w:t>-</w:t>
      </w:r>
      <w:r>
        <w:rPr>
          <w:rFonts w:cs="Arial" w:hint="cs"/>
          <w:rtl/>
        </w:rPr>
        <w:t xml:space="preserve"> </w:t>
      </w:r>
      <w:r w:rsidRPr="00201037">
        <w:rPr>
          <w:rFonts w:cs="Arial"/>
          <w:rtl/>
        </w:rPr>
        <w:t>ה"ז פסול</w:t>
      </w:r>
      <w:r>
        <w:rPr>
          <w:rFonts w:cs="Arial" w:hint="cs"/>
          <w:rtl/>
        </w:rPr>
        <w:t>,</w:t>
      </w:r>
      <w:r w:rsidRPr="00201037">
        <w:rPr>
          <w:rFonts w:cs="Arial"/>
          <w:rtl/>
        </w:rPr>
        <w:t xml:space="preserve"> ודוקא שחתם קודם שחתמו האחרים</w:t>
      </w:r>
      <w:r>
        <w:rPr>
          <w:rFonts w:cs="Arial" w:hint="cs"/>
          <w:rtl/>
        </w:rPr>
        <w:t>.</w:t>
      </w:r>
      <w:r w:rsidRPr="00201037">
        <w:rPr>
          <w:rFonts w:cs="Arial"/>
          <w:rtl/>
        </w:rPr>
        <w:t xml:space="preserve"> אבל חתמו האחרים למטה תחלה</w:t>
      </w:r>
      <w:r>
        <w:rPr>
          <w:rFonts w:cs="Arial" w:hint="cs"/>
          <w:rtl/>
        </w:rPr>
        <w:t>,</w:t>
      </w:r>
      <w:r w:rsidRPr="00201037">
        <w:rPr>
          <w:rFonts w:cs="Arial"/>
          <w:rtl/>
        </w:rPr>
        <w:t xml:space="preserve"> ואח"כ חתם פסול למעלה</w:t>
      </w:r>
      <w:r>
        <w:rPr>
          <w:rFonts w:cs="Arial" w:hint="cs"/>
          <w:rtl/>
        </w:rPr>
        <w:t xml:space="preserve"> </w:t>
      </w:r>
      <w:r w:rsidR="00A82951">
        <w:rPr>
          <w:rFonts w:cs="Arial" w:hint="cs"/>
          <w:rtl/>
        </w:rPr>
        <w:t>-</w:t>
      </w:r>
      <w:r w:rsidRPr="00201037">
        <w:rPr>
          <w:rFonts w:cs="Arial"/>
          <w:rtl/>
        </w:rPr>
        <w:t xml:space="preserve"> כשר בתחתונים הכשרים</w:t>
      </w:r>
      <w:r>
        <w:rPr>
          <w:rStyle w:val="a7"/>
          <w:rFonts w:cs="Arial"/>
          <w:rtl/>
        </w:rPr>
        <w:footnoteReference w:id="228"/>
      </w:r>
      <w:r>
        <w:rPr>
          <w:rFonts w:cs="Arial" w:hint="cs"/>
          <w:sz w:val="16"/>
          <w:szCs w:val="16"/>
          <w:rtl/>
        </w:rPr>
        <w:t xml:space="preserve"> (ל' הטור)</w:t>
      </w:r>
      <w:r>
        <w:rPr>
          <w:rFonts w:hint="cs"/>
          <w:rtl/>
        </w:rPr>
        <w:t>.</w:t>
      </w:r>
    </w:p>
    <w:p w14:paraId="4EDCB431" w14:textId="05A75BD7" w:rsidR="00F9083F" w:rsidRPr="00226148" w:rsidRDefault="00F9083F" w:rsidP="00F9083F">
      <w:pPr>
        <w:ind w:left="360"/>
        <w:rPr>
          <w:u w:val="dotted"/>
        </w:rPr>
      </w:pPr>
      <w:r>
        <w:rPr>
          <w:rFonts w:hint="cs"/>
          <w:u w:val="dotted"/>
          <w:rtl/>
        </w:rPr>
        <w:t xml:space="preserve">לרמב"ם וסיעתו </w:t>
      </w:r>
      <w:r w:rsidR="00A82951">
        <w:rPr>
          <w:u w:val="dotted"/>
          <w:rtl/>
        </w:rPr>
        <w:t>-</w:t>
      </w:r>
      <w:r>
        <w:rPr>
          <w:rFonts w:hint="cs"/>
          <w:u w:val="dotted"/>
          <w:rtl/>
        </w:rPr>
        <w:t xml:space="preserve"> מה הדין אם </w:t>
      </w:r>
      <w:r w:rsidRPr="00226148">
        <w:rPr>
          <w:rFonts w:hint="cs"/>
          <w:u w:val="dotted"/>
          <w:rtl/>
        </w:rPr>
        <w:t>היו כולם חתומים בשיטה אחת ושני הראשונים כשרים:</w:t>
      </w:r>
    </w:p>
    <w:p w14:paraId="03F98AB4" w14:textId="0117C746" w:rsidR="00F9083F" w:rsidRPr="00300644" w:rsidRDefault="00F9083F" w:rsidP="00A65C5F">
      <w:pPr>
        <w:pStyle w:val="ab"/>
        <w:numPr>
          <w:ilvl w:val="0"/>
          <w:numId w:val="24"/>
        </w:numPr>
      </w:pPr>
      <w:r>
        <w:rPr>
          <w:rFonts w:cs="Arial" w:hint="cs"/>
          <w:rtl/>
        </w:rPr>
        <w:t>ב"י</w:t>
      </w:r>
      <w:r w:rsidR="00A82951">
        <w:rPr>
          <w:rFonts w:cs="Arial" w:hint="cs"/>
          <w:rtl/>
        </w:rPr>
        <w:t>-</w:t>
      </w:r>
      <w:r>
        <w:rPr>
          <w:rFonts w:cs="Arial" w:hint="cs"/>
          <w:rtl/>
        </w:rPr>
        <w:t xml:space="preserve"> </w:t>
      </w:r>
      <w:r w:rsidRPr="004F500C">
        <w:rPr>
          <w:rFonts w:cs="Arial"/>
          <w:rtl/>
        </w:rPr>
        <w:t xml:space="preserve">משמע לי דלדעת הרמב"ם אפילו היו כולם חתומים בשיטה אחת אם שני הראשונים כשרים הגט כשר דתו לא אתי לאיחלופי דשפיר מיקרי תחלה </w:t>
      </w:r>
      <w:r w:rsidR="003E63C1">
        <w:rPr>
          <w:rFonts w:cs="Arial" w:hint="cs"/>
          <w:rtl/>
        </w:rPr>
        <w:t>אע"</w:t>
      </w:r>
      <w:r w:rsidRPr="004F500C">
        <w:rPr>
          <w:rFonts w:cs="Arial"/>
          <w:rtl/>
        </w:rPr>
        <w:t xml:space="preserve">פ שכולם בשיטה אחת. </w:t>
      </w:r>
    </w:p>
    <w:p w14:paraId="40BC6BFC" w14:textId="0978D178" w:rsidR="00226148" w:rsidRPr="00F405CC" w:rsidRDefault="003E63C1" w:rsidP="00226148">
      <w:pPr>
        <w:ind w:left="360"/>
        <w:rPr>
          <w:u w:val="dotted"/>
        </w:rPr>
      </w:pPr>
      <w:r>
        <w:rPr>
          <w:rFonts w:hint="cs"/>
          <w:u w:val="dotted"/>
          <w:rtl/>
        </w:rPr>
        <w:t xml:space="preserve">לרמב"ם וסיעתו </w:t>
      </w:r>
      <w:r w:rsidR="00A82951">
        <w:rPr>
          <w:u w:val="dotted"/>
          <w:rtl/>
        </w:rPr>
        <w:t>-</w:t>
      </w:r>
      <w:r>
        <w:rPr>
          <w:rFonts w:hint="cs"/>
          <w:u w:val="dotted"/>
          <w:rtl/>
        </w:rPr>
        <w:t xml:space="preserve"> מה הדין אם </w:t>
      </w:r>
      <w:r w:rsidR="00226148" w:rsidRPr="00F405CC">
        <w:rPr>
          <w:rFonts w:hint="cs"/>
          <w:u w:val="dotted"/>
          <w:rtl/>
        </w:rPr>
        <w:t>חתמו מסורגים:</w:t>
      </w:r>
    </w:p>
    <w:p w14:paraId="17877D4A" w14:textId="1E854C97" w:rsidR="00226148" w:rsidRPr="00DE221D" w:rsidRDefault="00226148" w:rsidP="00A65C5F">
      <w:pPr>
        <w:pStyle w:val="ab"/>
        <w:numPr>
          <w:ilvl w:val="0"/>
          <w:numId w:val="24"/>
        </w:numPr>
      </w:pPr>
      <w:r>
        <w:rPr>
          <w:rFonts w:cs="Arial" w:hint="cs"/>
          <w:rtl/>
        </w:rPr>
        <w:t xml:space="preserve">רב האי </w:t>
      </w:r>
      <w:r w:rsidRPr="00F405CC">
        <w:rPr>
          <w:rFonts w:cs="Arial"/>
          <w:sz w:val="16"/>
          <w:szCs w:val="16"/>
          <w:rtl/>
        </w:rPr>
        <w:t>(תשובות הגאונים סי' ע עמו' קיב)</w:t>
      </w:r>
      <w:r w:rsidR="00A82951">
        <w:rPr>
          <w:rFonts w:cs="Arial" w:hint="cs"/>
          <w:rtl/>
        </w:rPr>
        <w:t>-</w:t>
      </w:r>
      <w:r>
        <w:rPr>
          <w:rFonts w:cs="Arial" w:hint="cs"/>
          <w:rtl/>
        </w:rPr>
        <w:t xml:space="preserve"> </w:t>
      </w:r>
      <w:r w:rsidRPr="004F500C">
        <w:rPr>
          <w:rFonts w:cs="Arial"/>
          <w:rtl/>
        </w:rPr>
        <w:t>אם היו מסורגים</w:t>
      </w:r>
      <w:r w:rsidR="003E63C1">
        <w:rPr>
          <w:rFonts w:cs="Arial" w:hint="cs"/>
          <w:rtl/>
        </w:rPr>
        <w:t>,</w:t>
      </w:r>
      <w:r w:rsidRPr="004F500C">
        <w:rPr>
          <w:rFonts w:cs="Arial"/>
          <w:rtl/>
        </w:rPr>
        <w:t xml:space="preserve"> כגון כשר ופסול וכשר </w:t>
      </w:r>
      <w:r w:rsidR="00A82951">
        <w:rPr>
          <w:rFonts w:cs="Arial" w:hint="cs"/>
          <w:rtl/>
        </w:rPr>
        <w:t>-</w:t>
      </w:r>
      <w:r>
        <w:rPr>
          <w:rFonts w:cs="Arial" w:hint="cs"/>
          <w:rtl/>
        </w:rPr>
        <w:t xml:space="preserve"> </w:t>
      </w:r>
      <w:r w:rsidRPr="004F500C">
        <w:rPr>
          <w:rFonts w:cs="Arial"/>
          <w:rtl/>
        </w:rPr>
        <w:t>פסול</w:t>
      </w:r>
      <w:r>
        <w:rPr>
          <w:rFonts w:cs="Arial" w:hint="cs"/>
          <w:rtl/>
        </w:rPr>
        <w:t>,</w:t>
      </w:r>
      <w:r w:rsidRPr="004F500C">
        <w:rPr>
          <w:rFonts w:cs="Arial"/>
          <w:rtl/>
        </w:rPr>
        <w:t xml:space="preserve"> חיישינן (גיטין י:) דילמא סהדא בתרא רווחא שביק למאן דקשיש מיניה ואתא פסול וחתם</w:t>
      </w:r>
      <w:r>
        <w:rPr>
          <w:rFonts w:cs="Arial" w:hint="cs"/>
          <w:rtl/>
        </w:rPr>
        <w:t>.</w:t>
      </w:r>
      <w:r w:rsidRPr="004F500C">
        <w:rPr>
          <w:rFonts w:cs="Arial"/>
          <w:rtl/>
        </w:rPr>
        <w:t xml:space="preserve"> ודילמא כיון דמעיקרא חתם חד כשר ואין צריך אלא לעד אחד למה הניח זה השני החלק</w:t>
      </w:r>
      <w:r w:rsidR="003E63C1">
        <w:rPr>
          <w:rFonts w:cs="Arial" w:hint="cs"/>
          <w:rtl/>
        </w:rPr>
        <w:t>,</w:t>
      </w:r>
      <w:r w:rsidRPr="004F500C">
        <w:rPr>
          <w:rFonts w:cs="Arial"/>
          <w:rtl/>
        </w:rPr>
        <w:t xml:space="preserve"> מסתמא החתימו לזה הפסול לפניו ולאסהודי אתא</w:t>
      </w:r>
      <w:r>
        <w:rPr>
          <w:rStyle w:val="a7"/>
          <w:rFonts w:cs="Arial"/>
          <w:rtl/>
        </w:rPr>
        <w:footnoteReference w:id="229"/>
      </w:r>
      <w:r>
        <w:rPr>
          <w:rFonts w:cs="Arial" w:hint="cs"/>
          <w:rtl/>
        </w:rPr>
        <w:t>.</w:t>
      </w:r>
      <w:r w:rsidR="003E63C1">
        <w:rPr>
          <w:rFonts w:cs="Arial" w:hint="cs"/>
          <w:rtl/>
        </w:rPr>
        <w:t xml:space="preserve"> </w:t>
      </w:r>
      <w:r w:rsidRPr="004F500C">
        <w:rPr>
          <w:rFonts w:cs="Arial"/>
          <w:rtl/>
        </w:rPr>
        <w:t xml:space="preserve"> </w:t>
      </w:r>
    </w:p>
    <w:p w14:paraId="69D0A369" w14:textId="77777777" w:rsidR="00A910D3" w:rsidRPr="00AA48FD" w:rsidRDefault="00A910D3" w:rsidP="00A910D3">
      <w:pPr>
        <w:ind w:left="360"/>
        <w:rPr>
          <w:u w:val="dotted"/>
        </w:rPr>
      </w:pPr>
      <w:r w:rsidRPr="00AA48FD">
        <w:rPr>
          <w:rFonts w:hint="cs"/>
          <w:u w:val="dotted"/>
          <w:rtl/>
        </w:rPr>
        <w:t xml:space="preserve">ומה הדין אם לא אמר </w:t>
      </w:r>
      <w:r>
        <w:rPr>
          <w:rFonts w:hint="cs"/>
          <w:u w:val="dotted"/>
          <w:rtl/>
        </w:rPr>
        <w:t>'</w:t>
      </w:r>
      <w:r w:rsidRPr="00AA48FD">
        <w:rPr>
          <w:rFonts w:hint="cs"/>
          <w:u w:val="dotted"/>
          <w:rtl/>
        </w:rPr>
        <w:t>כולכם</w:t>
      </w:r>
      <w:r>
        <w:rPr>
          <w:rFonts w:hint="cs"/>
          <w:u w:val="dotted"/>
          <w:rtl/>
        </w:rPr>
        <w:t>'</w:t>
      </w:r>
      <w:r w:rsidRPr="00AA48FD">
        <w:rPr>
          <w:rFonts w:hint="cs"/>
          <w:u w:val="dotted"/>
          <w:rtl/>
        </w:rPr>
        <w:t>:</w:t>
      </w:r>
    </w:p>
    <w:p w14:paraId="0419E87C" w14:textId="5278D105" w:rsidR="00A910D3" w:rsidRPr="008706BD" w:rsidRDefault="00F378E1" w:rsidP="00A65C5F">
      <w:pPr>
        <w:pStyle w:val="ab"/>
        <w:numPr>
          <w:ilvl w:val="0"/>
          <w:numId w:val="24"/>
        </w:numPr>
      </w:pPr>
      <w:r>
        <w:rPr>
          <w:rFonts w:cs="Arial" w:hint="cs"/>
          <w:rtl/>
        </w:rPr>
        <w:t>רמב"ם רא"ש ור"</w:t>
      </w:r>
      <w:r w:rsidRPr="00F378E1">
        <w:rPr>
          <w:rFonts w:cs="Arial" w:hint="cs"/>
          <w:rtl/>
        </w:rPr>
        <w:t>ן</w:t>
      </w:r>
      <w:r>
        <w:rPr>
          <w:rFonts w:cs="Arial" w:hint="cs"/>
          <w:rtl/>
        </w:rPr>
        <w:t xml:space="preserve"> </w:t>
      </w:r>
      <w:r>
        <w:rPr>
          <w:rFonts w:cs="Arial" w:hint="cs"/>
          <w:sz w:val="16"/>
          <w:szCs w:val="16"/>
          <w:rtl/>
        </w:rPr>
        <w:t>(להב' הב"י)</w:t>
      </w:r>
      <w:r w:rsidR="00A82951">
        <w:rPr>
          <w:rFonts w:cs="Arial" w:hint="cs"/>
          <w:rtl/>
        </w:rPr>
        <w:t>-</w:t>
      </w:r>
      <w:r w:rsidR="00A910D3">
        <w:rPr>
          <w:rFonts w:cs="Arial" w:hint="cs"/>
          <w:rtl/>
        </w:rPr>
        <w:t xml:space="preserve"> </w:t>
      </w:r>
      <w:r w:rsidR="00A910D3" w:rsidRPr="004F500C">
        <w:rPr>
          <w:rFonts w:cs="Arial"/>
          <w:rtl/>
        </w:rPr>
        <w:t>משמע לי דמאן דפסל בחתם תחלה קרוב או פסול</w:t>
      </w:r>
      <w:r w:rsidR="00A910D3">
        <w:rPr>
          <w:rFonts w:cs="Arial" w:hint="cs"/>
          <w:rtl/>
        </w:rPr>
        <w:t>,</w:t>
      </w:r>
      <w:r w:rsidR="00A910D3" w:rsidRPr="004F500C">
        <w:rPr>
          <w:rFonts w:cs="Arial"/>
          <w:rtl/>
        </w:rPr>
        <w:t xml:space="preserve"> היינו דוקא באומר כולכם</w:t>
      </w:r>
      <w:r w:rsidR="00A910D3">
        <w:rPr>
          <w:rFonts w:cs="Arial" w:hint="cs"/>
          <w:rtl/>
        </w:rPr>
        <w:t>,</w:t>
      </w:r>
      <w:r w:rsidR="00A910D3" w:rsidRPr="004F500C">
        <w:rPr>
          <w:rFonts w:cs="Arial"/>
          <w:rtl/>
        </w:rPr>
        <w:t xml:space="preserve"> דהא אפלוגתא דרבי יוחנן וריש לקיש באומר כולכם איתמר דין חתם בתחלה קרוב או פסול</w:t>
      </w:r>
      <w:r w:rsidR="00A910D3">
        <w:rPr>
          <w:rFonts w:cs="Arial" w:hint="cs"/>
          <w:rtl/>
        </w:rPr>
        <w:t>.</w:t>
      </w:r>
      <w:r w:rsidR="00A910D3" w:rsidRPr="004F500C">
        <w:rPr>
          <w:rFonts w:cs="Arial"/>
          <w:rtl/>
        </w:rPr>
        <w:t xml:space="preserve"> אבל כי לא אמר כולכם</w:t>
      </w:r>
      <w:r w:rsidR="00331BBC">
        <w:rPr>
          <w:rFonts w:cs="Arial" w:hint="cs"/>
          <w:rtl/>
        </w:rPr>
        <w:t>,</w:t>
      </w:r>
      <w:r w:rsidR="00A910D3" w:rsidRPr="004F500C">
        <w:rPr>
          <w:rFonts w:cs="Arial"/>
          <w:rtl/>
        </w:rPr>
        <w:t xml:space="preserve"> אפילו חתם תחלה </w:t>
      </w:r>
      <w:r w:rsidR="00A82951">
        <w:rPr>
          <w:rFonts w:cs="Arial" w:hint="cs"/>
          <w:rtl/>
        </w:rPr>
        <w:t>-</w:t>
      </w:r>
      <w:r w:rsidR="00A910D3">
        <w:rPr>
          <w:rFonts w:cs="Arial" w:hint="cs"/>
          <w:rtl/>
        </w:rPr>
        <w:t xml:space="preserve"> </w:t>
      </w:r>
      <w:r w:rsidR="00A910D3" w:rsidRPr="004F500C">
        <w:rPr>
          <w:rFonts w:cs="Arial"/>
          <w:rtl/>
        </w:rPr>
        <w:t>כשר לכולי עלמא</w:t>
      </w:r>
      <w:r w:rsidR="00331BBC">
        <w:rPr>
          <w:rStyle w:val="a7"/>
          <w:rFonts w:cs="Arial"/>
          <w:rtl/>
        </w:rPr>
        <w:footnoteReference w:id="230"/>
      </w:r>
      <w:r>
        <w:rPr>
          <w:rFonts w:cs="Arial" w:hint="cs"/>
          <w:sz w:val="16"/>
          <w:szCs w:val="16"/>
          <w:rtl/>
        </w:rPr>
        <w:t xml:space="preserve"> (ל' הב"י)</w:t>
      </w:r>
      <w:r w:rsidR="00A910D3" w:rsidRPr="00AA48FD">
        <w:rPr>
          <w:rFonts w:cs="Arial"/>
          <w:rtl/>
        </w:rPr>
        <w:t xml:space="preserve">. </w:t>
      </w:r>
    </w:p>
    <w:p w14:paraId="70F8A1C1" w14:textId="12C2EDF3" w:rsidR="00A910D3" w:rsidRDefault="00331BBC" w:rsidP="00A65C5F">
      <w:pPr>
        <w:pStyle w:val="ab"/>
        <w:numPr>
          <w:ilvl w:val="0"/>
          <w:numId w:val="24"/>
        </w:numPr>
      </w:pPr>
      <w:r w:rsidRPr="00331BBC">
        <w:rPr>
          <w:rFonts w:cs="Arial" w:hint="cs"/>
          <w:rtl/>
        </w:rPr>
        <w:t>תוס'</w:t>
      </w:r>
      <w:r>
        <w:rPr>
          <w:rFonts w:cs="Arial" w:hint="cs"/>
          <w:rtl/>
        </w:rPr>
        <w:t xml:space="preserve"> </w:t>
      </w:r>
      <w:r>
        <w:rPr>
          <w:rFonts w:cs="Arial" w:hint="cs"/>
          <w:sz w:val="16"/>
          <w:szCs w:val="16"/>
          <w:rtl/>
        </w:rPr>
        <w:t>(להב' הב"י)</w:t>
      </w:r>
      <w:r w:rsidR="00A82951">
        <w:rPr>
          <w:rFonts w:cs="Arial" w:hint="cs"/>
          <w:rtl/>
        </w:rPr>
        <w:t>-</w:t>
      </w:r>
      <w:r>
        <w:rPr>
          <w:rFonts w:cs="Arial" w:hint="cs"/>
          <w:rtl/>
        </w:rPr>
        <w:t xml:space="preserve"> בין אמר כולכם ובין לא אמר </w:t>
      </w:r>
      <w:r w:rsidR="00A82951">
        <w:rPr>
          <w:rFonts w:cs="Arial"/>
          <w:rtl/>
        </w:rPr>
        <w:t>-</w:t>
      </w:r>
      <w:r>
        <w:rPr>
          <w:rFonts w:cs="Arial" w:hint="cs"/>
          <w:rtl/>
        </w:rPr>
        <w:t xml:space="preserve"> פסול הגט אי חתם קרוב או פסול</w:t>
      </w:r>
      <w:r w:rsidR="00A910D3">
        <w:rPr>
          <w:rFonts w:cs="Arial" w:hint="cs"/>
          <w:rtl/>
        </w:rPr>
        <w:t>.</w:t>
      </w:r>
    </w:p>
    <w:p w14:paraId="6475C57E" w14:textId="4050F962" w:rsidR="00F9083F" w:rsidRPr="00E82544" w:rsidRDefault="00F9083F" w:rsidP="00F9083F">
      <w:pPr>
        <w:rPr>
          <w:u w:val="single"/>
        </w:rPr>
      </w:pPr>
      <w:r w:rsidRPr="00E82544">
        <w:rPr>
          <w:rFonts w:hint="cs"/>
          <w:u w:val="single"/>
          <w:rtl/>
        </w:rPr>
        <w:t xml:space="preserve">אמר לעדים רבים 'כולכם חתומו' </w:t>
      </w:r>
      <w:r w:rsidR="00A82951">
        <w:rPr>
          <w:u w:val="single"/>
          <w:rtl/>
        </w:rPr>
        <w:t>-</w:t>
      </w:r>
      <w:r w:rsidRPr="00E82544">
        <w:rPr>
          <w:rFonts w:hint="cs"/>
          <w:u w:val="single"/>
          <w:rtl/>
        </w:rPr>
        <w:t xml:space="preserve"> </w:t>
      </w:r>
      <w:r w:rsidRPr="0046674E">
        <w:rPr>
          <w:rFonts w:hint="cs"/>
          <w:b/>
          <w:bCs/>
          <w:u w:val="single"/>
          <w:rtl/>
        </w:rPr>
        <w:t>בשאר שטרות</w:t>
      </w:r>
      <w:r w:rsidRPr="00E82544">
        <w:rPr>
          <w:rFonts w:hint="cs"/>
          <w:u w:val="single"/>
          <w:rtl/>
        </w:rPr>
        <w:t>:</w:t>
      </w:r>
    </w:p>
    <w:p w14:paraId="15264EB7" w14:textId="6CEBECBF" w:rsidR="00F9083F" w:rsidRDefault="00F9083F" w:rsidP="00A65C5F">
      <w:pPr>
        <w:pStyle w:val="ab"/>
        <w:numPr>
          <w:ilvl w:val="0"/>
          <w:numId w:val="24"/>
        </w:numPr>
      </w:pPr>
      <w:r w:rsidRPr="004F500C">
        <w:rPr>
          <w:rFonts w:cs="Arial"/>
          <w:rtl/>
        </w:rPr>
        <w:t xml:space="preserve">ראב"ד </w:t>
      </w:r>
      <w:r w:rsidRPr="0046674E">
        <w:rPr>
          <w:rFonts w:cs="Arial"/>
          <w:sz w:val="16"/>
          <w:szCs w:val="16"/>
          <w:rtl/>
        </w:rPr>
        <w:t>(</w:t>
      </w:r>
      <w:r w:rsidR="0046674E">
        <w:rPr>
          <w:rFonts w:cs="Arial" w:hint="cs"/>
          <w:sz w:val="16"/>
          <w:szCs w:val="16"/>
          <w:rtl/>
        </w:rPr>
        <w:t>גירושין פ"ט הכ"ז</w:t>
      </w:r>
      <w:r w:rsidR="0046674E" w:rsidRPr="0046674E">
        <w:rPr>
          <w:rFonts w:cs="Arial" w:hint="cs"/>
          <w:sz w:val="16"/>
          <w:szCs w:val="16"/>
          <w:rtl/>
        </w:rPr>
        <w:t xml:space="preserve"> בהשגות</w:t>
      </w:r>
      <w:r w:rsidRPr="0046674E">
        <w:rPr>
          <w:rFonts w:cs="Arial"/>
          <w:sz w:val="16"/>
          <w:szCs w:val="16"/>
          <w:rtl/>
        </w:rPr>
        <w:t>)</w:t>
      </w:r>
      <w:r w:rsidR="00A82951">
        <w:rPr>
          <w:rFonts w:cs="Arial" w:hint="cs"/>
          <w:rtl/>
        </w:rPr>
        <w:t>-</w:t>
      </w:r>
      <w:r w:rsidR="0046674E">
        <w:rPr>
          <w:rFonts w:cs="Arial" w:hint="cs"/>
          <w:rtl/>
        </w:rPr>
        <w:t xml:space="preserve"> </w:t>
      </w:r>
      <w:r w:rsidRPr="004F500C">
        <w:rPr>
          <w:rFonts w:cs="Arial"/>
          <w:rtl/>
        </w:rPr>
        <w:t xml:space="preserve">אולי יאמר </w:t>
      </w:r>
      <w:r w:rsidR="0046674E">
        <w:rPr>
          <w:rFonts w:cs="Arial" w:hint="cs"/>
          <w:sz w:val="16"/>
          <w:szCs w:val="16"/>
          <w:rtl/>
        </w:rPr>
        <w:t>{הרמב"ם}</w:t>
      </w:r>
      <w:r w:rsidR="0046674E">
        <w:rPr>
          <w:rFonts w:cs="Arial" w:hint="cs"/>
          <w:rtl/>
        </w:rPr>
        <w:t xml:space="preserve"> </w:t>
      </w:r>
      <w:r w:rsidRPr="004F500C">
        <w:rPr>
          <w:rFonts w:cs="Arial"/>
          <w:rtl/>
        </w:rPr>
        <w:t xml:space="preserve">דשאר שטרות אם יאמר לעדים רבים </w:t>
      </w:r>
      <w:r w:rsidR="00DF7686">
        <w:rPr>
          <w:rFonts w:cs="Arial" w:hint="cs"/>
          <w:rtl/>
        </w:rPr>
        <w:t>'</w:t>
      </w:r>
      <w:r w:rsidRPr="004F500C">
        <w:rPr>
          <w:rFonts w:cs="Arial"/>
          <w:rtl/>
        </w:rPr>
        <w:t>כולכם חתומו</w:t>
      </w:r>
      <w:r w:rsidR="00DF7686">
        <w:rPr>
          <w:rFonts w:cs="Arial" w:hint="cs"/>
          <w:rtl/>
        </w:rPr>
        <w:t>',</w:t>
      </w:r>
      <w:r w:rsidRPr="004F500C">
        <w:rPr>
          <w:rFonts w:cs="Arial"/>
          <w:rtl/>
        </w:rPr>
        <w:t xml:space="preserve"> אפילו אחד מהם פסול </w:t>
      </w:r>
      <w:r w:rsidR="00A82951">
        <w:rPr>
          <w:rFonts w:cs="Arial" w:hint="cs"/>
          <w:rtl/>
        </w:rPr>
        <w:t>-</w:t>
      </w:r>
      <w:r w:rsidR="0046674E">
        <w:rPr>
          <w:rFonts w:cs="Arial" w:hint="cs"/>
          <w:rtl/>
        </w:rPr>
        <w:t xml:space="preserve"> </w:t>
      </w:r>
      <w:r w:rsidRPr="004F500C">
        <w:rPr>
          <w:rFonts w:cs="Arial"/>
          <w:rtl/>
        </w:rPr>
        <w:t>הכל בטל</w:t>
      </w:r>
      <w:r w:rsidR="0046674E">
        <w:rPr>
          <w:rFonts w:cs="Arial" w:hint="cs"/>
          <w:rtl/>
        </w:rPr>
        <w:t>,</w:t>
      </w:r>
      <w:r w:rsidRPr="004F500C">
        <w:rPr>
          <w:rFonts w:cs="Arial"/>
          <w:rtl/>
        </w:rPr>
        <w:t xml:space="preserve"> שאין אומרים בשאר עדויות שהשאר משום תנאי</w:t>
      </w:r>
      <w:r w:rsidR="0046674E">
        <w:rPr>
          <w:rFonts w:cs="Arial" w:hint="cs"/>
          <w:rtl/>
        </w:rPr>
        <w:t>,</w:t>
      </w:r>
      <w:r w:rsidRPr="004F500C">
        <w:rPr>
          <w:rFonts w:cs="Arial"/>
          <w:rtl/>
        </w:rPr>
        <w:t xml:space="preserve"> שאין זה דומה למילאהו בקרובים הואיל וזימן </w:t>
      </w:r>
      <w:r w:rsidR="00DF7686">
        <w:rPr>
          <w:rFonts w:cs="Arial" w:hint="cs"/>
          <w:rtl/>
        </w:rPr>
        <w:t xml:space="preserve">את </w:t>
      </w:r>
      <w:r w:rsidRPr="004F500C">
        <w:rPr>
          <w:rFonts w:cs="Arial"/>
          <w:rtl/>
        </w:rPr>
        <w:t>כולם לעדות</w:t>
      </w:r>
      <w:r w:rsidR="0046674E">
        <w:rPr>
          <w:rStyle w:val="a7"/>
          <w:rtl/>
        </w:rPr>
        <w:footnoteReference w:id="231"/>
      </w:r>
      <w:r>
        <w:rPr>
          <w:rFonts w:hint="cs"/>
          <w:rtl/>
        </w:rPr>
        <w:t>.</w:t>
      </w:r>
      <w:r w:rsidRPr="006468B3">
        <w:rPr>
          <w:rFonts w:cs="Arial"/>
          <w:rtl/>
        </w:rPr>
        <w:t xml:space="preserve"> </w:t>
      </w:r>
    </w:p>
    <w:p w14:paraId="4E555890" w14:textId="659BE27F" w:rsidR="00DC3109" w:rsidRDefault="00DC3109" w:rsidP="00DC3109">
      <w:pPr>
        <w:rPr>
          <w:rtl/>
        </w:rPr>
      </w:pPr>
      <w:r w:rsidRPr="00522384">
        <w:rPr>
          <w:rFonts w:hint="cs"/>
          <w:b/>
          <w:bCs/>
          <w:rtl/>
        </w:rPr>
        <w:lastRenderedPageBreak/>
        <w:t xml:space="preserve">גיטין </w:t>
      </w:r>
      <w:r w:rsidRPr="00522384">
        <w:rPr>
          <w:rFonts w:hint="cs"/>
          <w:b/>
          <w:bCs/>
          <w:sz w:val="16"/>
          <w:szCs w:val="16"/>
          <w:rtl/>
        </w:rPr>
        <w:t>(פ' התקבל)</w:t>
      </w:r>
      <w:r w:rsidRPr="00522384">
        <w:rPr>
          <w:rFonts w:hint="cs"/>
          <w:b/>
          <w:bCs/>
          <w:rtl/>
        </w:rPr>
        <w:t xml:space="preserve"> ס</w:t>
      </w:r>
      <w:r w:rsidR="00043DA1">
        <w:rPr>
          <w:rFonts w:hint="cs"/>
          <w:b/>
          <w:bCs/>
          <w:rtl/>
        </w:rPr>
        <w:t>ז</w:t>
      </w:r>
      <w:r w:rsidRPr="00522384">
        <w:rPr>
          <w:rFonts w:hint="cs"/>
          <w:b/>
          <w:bCs/>
          <w:rtl/>
        </w:rPr>
        <w:t xml:space="preserve"> ע"ב:</w:t>
      </w:r>
      <w:r>
        <w:rPr>
          <w:rFonts w:hint="cs"/>
          <w:rtl/>
        </w:rPr>
        <w:t xml:space="preserve"> </w:t>
      </w:r>
      <w:r w:rsidRPr="003E0C14">
        <w:rPr>
          <w:rFonts w:cs="Arial"/>
          <w:rtl/>
        </w:rPr>
        <w:t>אמר לעשרה כתבו גט.</w:t>
      </w:r>
      <w:r w:rsidR="00043DA1">
        <w:rPr>
          <w:rFonts w:cs="Arial" w:hint="cs"/>
          <w:rtl/>
        </w:rPr>
        <w:t xml:space="preserve">.. </w:t>
      </w:r>
      <w:r w:rsidRPr="003E0C14">
        <w:rPr>
          <w:rFonts w:cs="Arial"/>
          <w:rtl/>
        </w:rPr>
        <w:t>איבעיא להו: מנה אותן, מהו</w:t>
      </w:r>
      <w:r w:rsidR="00043DA1">
        <w:rPr>
          <w:rStyle w:val="a7"/>
          <w:rFonts w:cs="Arial"/>
          <w:rtl/>
        </w:rPr>
        <w:footnoteReference w:id="232"/>
      </w:r>
      <w:r w:rsidRPr="003E0C14">
        <w:rPr>
          <w:rFonts w:cs="Arial"/>
          <w:rtl/>
        </w:rPr>
        <w:t xml:space="preserve">? </w:t>
      </w:r>
      <w:r w:rsidRPr="00043DA1">
        <w:rPr>
          <w:rFonts w:cs="Arial"/>
          <w:u w:val="single"/>
          <w:rtl/>
        </w:rPr>
        <w:t>רב הונא אמר</w:t>
      </w:r>
      <w:r w:rsidRPr="003E0C14">
        <w:rPr>
          <w:rFonts w:cs="Arial"/>
          <w:rtl/>
        </w:rPr>
        <w:t xml:space="preserve">: מנה </w:t>
      </w:r>
      <w:r w:rsidR="00A82951">
        <w:rPr>
          <w:rFonts w:cs="Arial"/>
          <w:rtl/>
        </w:rPr>
        <w:t>-</w:t>
      </w:r>
      <w:r w:rsidRPr="003E0C14">
        <w:rPr>
          <w:rFonts w:cs="Arial"/>
          <w:rtl/>
        </w:rPr>
        <w:t xml:space="preserve"> אינו ככולכם, </w:t>
      </w:r>
      <w:r w:rsidRPr="00043DA1">
        <w:rPr>
          <w:rFonts w:cs="Arial"/>
          <w:u w:val="single"/>
          <w:rtl/>
        </w:rPr>
        <w:t>ר' יוחנן משום ר' אלעזר דמן רומה אמר</w:t>
      </w:r>
      <w:r w:rsidRPr="003E0C14">
        <w:rPr>
          <w:rFonts w:cs="Arial"/>
          <w:rtl/>
        </w:rPr>
        <w:t xml:space="preserve">: מנה </w:t>
      </w:r>
      <w:r w:rsidR="00A82951">
        <w:rPr>
          <w:rFonts w:cs="Arial"/>
          <w:rtl/>
        </w:rPr>
        <w:t>-</w:t>
      </w:r>
      <w:r w:rsidRPr="003E0C14">
        <w:rPr>
          <w:rFonts w:cs="Arial"/>
          <w:rtl/>
        </w:rPr>
        <w:t xml:space="preserve"> הרי הוא ככולכם. </w:t>
      </w:r>
      <w:r w:rsidRPr="00043DA1">
        <w:rPr>
          <w:rFonts w:cs="Arial"/>
          <w:u w:val="single"/>
          <w:rtl/>
        </w:rPr>
        <w:t>אמר רב פפא</w:t>
      </w:r>
      <w:r w:rsidR="00043DA1">
        <w:rPr>
          <w:rFonts w:cs="Arial" w:hint="cs"/>
          <w:rtl/>
        </w:rPr>
        <w:t>:</w:t>
      </w:r>
      <w:r w:rsidRPr="003E0C14">
        <w:rPr>
          <w:rFonts w:cs="Arial"/>
          <w:rtl/>
        </w:rPr>
        <w:t xml:space="preserve"> ולא פליגי</w:t>
      </w:r>
      <w:r w:rsidR="00043DA1">
        <w:rPr>
          <w:rFonts w:cs="Arial" w:hint="cs"/>
          <w:rtl/>
        </w:rPr>
        <w:t>,</w:t>
      </w:r>
      <w:r w:rsidRPr="003E0C14">
        <w:rPr>
          <w:rFonts w:cs="Arial"/>
          <w:rtl/>
        </w:rPr>
        <w:t xml:space="preserve"> הא דמנה כולהו, והא דמנה מקצתייהו. אמרי לה להאי גיסא</w:t>
      </w:r>
      <w:r w:rsidR="00015D6E">
        <w:rPr>
          <w:rStyle w:val="a7"/>
          <w:rFonts w:cs="Arial"/>
          <w:rtl/>
        </w:rPr>
        <w:footnoteReference w:id="233"/>
      </w:r>
      <w:r w:rsidRPr="003E0C14">
        <w:rPr>
          <w:rFonts w:cs="Arial"/>
          <w:rtl/>
        </w:rPr>
        <w:t>, ואמרי לה להאי גיסא</w:t>
      </w:r>
      <w:r w:rsidR="00015D6E">
        <w:rPr>
          <w:rStyle w:val="a7"/>
          <w:rFonts w:cs="Arial"/>
          <w:rtl/>
        </w:rPr>
        <w:footnoteReference w:id="234"/>
      </w:r>
      <w:r w:rsidR="00043DA1">
        <w:rPr>
          <w:rFonts w:cs="Arial" w:hint="cs"/>
          <w:rtl/>
        </w:rPr>
        <w:t>.</w:t>
      </w:r>
      <w:r w:rsidR="00775EE4">
        <w:rPr>
          <w:rFonts w:cs="Arial" w:hint="cs"/>
          <w:sz w:val="16"/>
          <w:szCs w:val="16"/>
          <w:rtl/>
        </w:rPr>
        <w:t xml:space="preserve"> </w:t>
      </w:r>
      <w:r w:rsidR="005B68DB" w:rsidRPr="005B68DB">
        <w:rPr>
          <w:rFonts w:cs="Arial" w:hint="cs"/>
          <w:sz w:val="16"/>
          <w:szCs w:val="16"/>
          <w:rtl/>
        </w:rPr>
        <w:t>(</w:t>
      </w:r>
      <w:r w:rsidR="005B68DB" w:rsidRPr="005B68DB">
        <w:rPr>
          <w:rFonts w:cs="Arial"/>
          <w:sz w:val="16"/>
          <w:szCs w:val="16"/>
          <w:rtl/>
        </w:rPr>
        <w:t>וכתב הרא"ש (פ"ז סכ"א) דכיון דאיכא תרי לישני הוי מנה ככולכם</w:t>
      </w:r>
      <w:r w:rsidR="005B68DB" w:rsidRPr="005B68DB">
        <w:rPr>
          <w:rFonts w:cs="Arial" w:hint="cs"/>
          <w:sz w:val="16"/>
          <w:szCs w:val="16"/>
          <w:rtl/>
        </w:rPr>
        <w:t>.</w:t>
      </w:r>
      <w:r w:rsidR="005B68DB" w:rsidRPr="005B68DB">
        <w:rPr>
          <w:rFonts w:cs="Arial"/>
          <w:sz w:val="16"/>
          <w:szCs w:val="16"/>
          <w:rtl/>
        </w:rPr>
        <w:t xml:space="preserve"> וכן דעת העיטור (ח"א מאמר שביעי כח ע"ד)</w:t>
      </w:r>
      <w:r w:rsidR="005B68DB" w:rsidRPr="005B68DB">
        <w:rPr>
          <w:rFonts w:cs="Arial" w:hint="cs"/>
          <w:sz w:val="16"/>
          <w:szCs w:val="16"/>
          <w:rtl/>
        </w:rPr>
        <w:t>,</w:t>
      </w:r>
      <w:r w:rsidR="005B68DB" w:rsidRPr="005B68DB">
        <w:rPr>
          <w:rFonts w:cs="Arial"/>
          <w:sz w:val="16"/>
          <w:szCs w:val="16"/>
          <w:rtl/>
        </w:rPr>
        <w:t xml:space="preserve"> וכן כתב רבינו ירוחם (נכ"ד ח"ג רי ע"א)</w:t>
      </w:r>
      <w:r w:rsidR="005B68DB" w:rsidRPr="005B68DB">
        <w:rPr>
          <w:rFonts w:cs="Arial" w:hint="cs"/>
          <w:sz w:val="16"/>
          <w:szCs w:val="16"/>
          <w:rtl/>
        </w:rPr>
        <w:t>,</w:t>
      </w:r>
      <w:r w:rsidR="005B68DB" w:rsidRPr="005B68DB">
        <w:rPr>
          <w:rFonts w:cs="Arial"/>
          <w:sz w:val="16"/>
          <w:szCs w:val="16"/>
          <w:rtl/>
        </w:rPr>
        <w:t xml:space="preserve"> וכך הם דברי רבינו</w:t>
      </w:r>
      <w:r w:rsidR="005B68DB">
        <w:rPr>
          <w:rFonts w:cs="Arial" w:hint="cs"/>
          <w:sz w:val="16"/>
          <w:szCs w:val="16"/>
          <w:rtl/>
        </w:rPr>
        <w:t>, ב"י)</w:t>
      </w:r>
    </w:p>
    <w:p w14:paraId="6CA21137" w14:textId="6A1A6C53" w:rsidR="00775EE4" w:rsidRDefault="00775EE4" w:rsidP="00DC3109">
      <w:pPr>
        <w:rPr>
          <w:rtl/>
        </w:rPr>
      </w:pPr>
      <w:r>
        <w:rPr>
          <w:rFonts w:cs="Arial" w:hint="cs"/>
          <w:b/>
          <w:bCs/>
          <w:rtl/>
        </w:rPr>
        <w:t xml:space="preserve">ירושלמי גיטין פ"ו ה"ז: </w:t>
      </w:r>
      <w:r w:rsidRPr="00775EE4">
        <w:rPr>
          <w:rFonts w:cs="Arial"/>
          <w:u w:val="single"/>
          <w:rtl/>
        </w:rPr>
        <w:t>רבי יוחנן בשם רבי אלעזר דמן רומא</w:t>
      </w:r>
      <w:r>
        <w:rPr>
          <w:rFonts w:cs="Arial" w:hint="cs"/>
          <w:rtl/>
        </w:rPr>
        <w:t>:</w:t>
      </w:r>
      <w:r w:rsidRPr="00775EE4">
        <w:rPr>
          <w:rFonts w:cs="Arial"/>
          <w:rtl/>
        </w:rPr>
        <w:t xml:space="preserve"> המונה כאומר כולכם</w:t>
      </w:r>
      <w:r>
        <w:rPr>
          <w:rFonts w:hint="cs"/>
          <w:rtl/>
        </w:rPr>
        <w:t>.</w:t>
      </w:r>
    </w:p>
    <w:p w14:paraId="13BC89AE" w14:textId="12FAFC60" w:rsidR="00043DA1" w:rsidRPr="00043DA1" w:rsidRDefault="00043DA1" w:rsidP="00DC3109">
      <w:pPr>
        <w:rPr>
          <w:u w:val="single"/>
        </w:rPr>
      </w:pPr>
      <w:r w:rsidRPr="00043DA1">
        <w:rPr>
          <w:rFonts w:hint="cs"/>
          <w:u w:val="single"/>
          <w:rtl/>
        </w:rPr>
        <w:t>מנה את העדים שרוצה שיחתמו על הגט:</w:t>
      </w:r>
    </w:p>
    <w:p w14:paraId="03CE1BDF" w14:textId="77777777" w:rsidR="00FB198D" w:rsidRPr="005B68DB" w:rsidRDefault="00FB198D" w:rsidP="00FB198D">
      <w:pPr>
        <w:pStyle w:val="ab"/>
        <w:numPr>
          <w:ilvl w:val="0"/>
          <w:numId w:val="24"/>
        </w:numPr>
        <w:rPr>
          <w:rFonts w:cs="Arial"/>
          <w:rtl/>
        </w:rPr>
      </w:pPr>
      <w:r w:rsidRPr="00D73446">
        <w:rPr>
          <w:rFonts w:cs="Arial" w:hint="cs"/>
          <w:rtl/>
        </w:rPr>
        <w:t xml:space="preserve">רמב"ם </w:t>
      </w:r>
      <w:r w:rsidRPr="00D73446">
        <w:rPr>
          <w:rFonts w:cs="Arial" w:hint="cs"/>
          <w:sz w:val="16"/>
          <w:szCs w:val="16"/>
          <w:rtl/>
        </w:rPr>
        <w:t>(פ"ט הכ"ז)</w:t>
      </w:r>
      <w:r>
        <w:rPr>
          <w:rFonts w:cs="Arial" w:hint="cs"/>
          <w:rtl/>
        </w:rPr>
        <w:t>-</w:t>
      </w:r>
      <w:r w:rsidRPr="00D73446">
        <w:rPr>
          <w:rFonts w:cs="Arial" w:hint="cs"/>
          <w:rtl/>
        </w:rPr>
        <w:t xml:space="preserve"> </w:t>
      </w:r>
      <w:r w:rsidRPr="001D15A6">
        <w:rPr>
          <w:rFonts w:cs="Arial"/>
          <w:rtl/>
        </w:rPr>
        <w:t>אמר לעשרה</w:t>
      </w:r>
      <w:r>
        <w:rPr>
          <w:rFonts w:cs="Arial" w:hint="cs"/>
          <w:rtl/>
        </w:rPr>
        <w:t>...</w:t>
      </w:r>
      <w:r w:rsidRPr="001D15A6">
        <w:rPr>
          <w:rFonts w:cs="Arial"/>
          <w:rtl/>
        </w:rPr>
        <w:t xml:space="preserve"> </w:t>
      </w:r>
      <w:r>
        <w:rPr>
          <w:rFonts w:cs="Arial" w:hint="cs"/>
          <w:rtl/>
        </w:rPr>
        <w:t>'</w:t>
      </w:r>
      <w:r w:rsidRPr="00D73446">
        <w:rPr>
          <w:rFonts w:cs="Arial"/>
          <w:rtl/>
        </w:rPr>
        <w:t>כולכם חתומו</w:t>
      </w:r>
      <w:r>
        <w:rPr>
          <w:rFonts w:cs="Arial" w:hint="cs"/>
          <w:rtl/>
        </w:rPr>
        <w:t>'</w:t>
      </w:r>
      <w:r w:rsidRPr="00D73446">
        <w:rPr>
          <w:rFonts w:cs="Arial"/>
          <w:rtl/>
        </w:rPr>
        <w:t xml:space="preserve"> </w:t>
      </w:r>
      <w:r>
        <w:rPr>
          <w:rFonts w:cs="Arial" w:hint="cs"/>
          <w:rtl/>
        </w:rPr>
        <w:t>-</w:t>
      </w:r>
      <w:r w:rsidRPr="00D73446">
        <w:rPr>
          <w:rFonts w:cs="Arial" w:hint="cs"/>
          <w:rtl/>
        </w:rPr>
        <w:t xml:space="preserve"> </w:t>
      </w:r>
      <w:r w:rsidRPr="00D73446">
        <w:rPr>
          <w:rFonts w:cs="Arial"/>
          <w:rtl/>
        </w:rPr>
        <w:t>כולם חותמין</w:t>
      </w:r>
      <w:r>
        <w:rPr>
          <w:rFonts w:cs="Arial" w:hint="cs"/>
          <w:rtl/>
        </w:rPr>
        <w:t>.</w:t>
      </w:r>
      <w:r w:rsidRPr="00D73446">
        <w:rPr>
          <w:rFonts w:cs="Arial"/>
          <w:rtl/>
        </w:rPr>
        <w:t xml:space="preserve"> ואם מנאן</w:t>
      </w:r>
      <w:r>
        <w:rPr>
          <w:rFonts w:cs="Arial" w:hint="cs"/>
          <w:rtl/>
        </w:rPr>
        <w:t>,</w:t>
      </w:r>
      <w:r w:rsidRPr="00D73446">
        <w:rPr>
          <w:rFonts w:cs="Arial"/>
          <w:rtl/>
        </w:rPr>
        <w:t xml:space="preserve"> בין שמנה כולם</w:t>
      </w:r>
      <w:r>
        <w:rPr>
          <w:rFonts w:cs="Arial" w:hint="cs"/>
          <w:rtl/>
        </w:rPr>
        <w:t>,</w:t>
      </w:r>
      <w:r w:rsidRPr="00D73446">
        <w:rPr>
          <w:rFonts w:cs="Arial"/>
          <w:rtl/>
        </w:rPr>
        <w:t xml:space="preserve"> בין שמנה מקצתן</w:t>
      </w:r>
      <w:r>
        <w:rPr>
          <w:rFonts w:cs="Arial" w:hint="cs"/>
          <w:rtl/>
        </w:rPr>
        <w:t>,</w:t>
      </w:r>
      <w:r w:rsidRPr="00D73446">
        <w:rPr>
          <w:rFonts w:cs="Arial"/>
          <w:rtl/>
        </w:rPr>
        <w:t xml:space="preserve"> ואמר להן חתומו</w:t>
      </w:r>
      <w:r>
        <w:rPr>
          <w:rFonts w:cs="Arial" w:hint="cs"/>
          <w:rtl/>
        </w:rPr>
        <w:t xml:space="preserve"> -</w:t>
      </w:r>
      <w:r w:rsidRPr="00D73446">
        <w:rPr>
          <w:rFonts w:cs="Arial"/>
          <w:rtl/>
        </w:rPr>
        <w:t xml:space="preserve"> הרי זה כאומר כולכם חתומו</w:t>
      </w:r>
      <w:r>
        <w:rPr>
          <w:rStyle w:val="a7"/>
          <w:rFonts w:cs="Arial"/>
          <w:rtl/>
        </w:rPr>
        <w:footnoteReference w:id="235"/>
      </w:r>
      <w:r>
        <w:rPr>
          <w:rFonts w:cs="Arial" w:hint="cs"/>
          <w:rtl/>
        </w:rPr>
        <w:t>...</w:t>
      </w:r>
      <w:r w:rsidRPr="00D73446">
        <w:rPr>
          <w:rFonts w:cs="Arial"/>
          <w:rtl/>
        </w:rPr>
        <w:t xml:space="preserve"> </w:t>
      </w:r>
      <w:r>
        <w:rPr>
          <w:rFonts w:cs="Arial" w:hint="cs"/>
          <w:sz w:val="16"/>
          <w:szCs w:val="16"/>
          <w:rtl/>
        </w:rPr>
        <w:t>(ל' הרמב"ם)</w:t>
      </w:r>
      <w:r>
        <w:rPr>
          <w:rStyle w:val="a7"/>
          <w:rFonts w:cs="Arial"/>
          <w:rtl/>
        </w:rPr>
        <w:footnoteReference w:id="236"/>
      </w:r>
      <w:r>
        <w:rPr>
          <w:rFonts w:cs="Arial" w:hint="cs"/>
          <w:rtl/>
        </w:rPr>
        <w:t>.</w:t>
      </w:r>
      <w:r w:rsidRPr="00E816AE">
        <w:rPr>
          <w:rFonts w:cs="Arial"/>
          <w:color w:val="E36C0A" w:themeColor="accent6" w:themeShade="BF"/>
          <w:rtl/>
        </w:rPr>
        <w:t xml:space="preserve"> </w:t>
      </w:r>
      <w:r w:rsidRPr="00E816AE">
        <w:rPr>
          <w:rFonts w:cs="Arial" w:hint="cs"/>
          <w:color w:val="E36C0A" w:themeColor="accent6" w:themeShade="BF"/>
          <w:rtl/>
        </w:rPr>
        <w:t>(וכ"פ בשו"ע)</w:t>
      </w:r>
    </w:p>
    <w:p w14:paraId="21057B4D" w14:textId="1BF57070" w:rsidR="00DC3109" w:rsidRPr="006E369D" w:rsidRDefault="00DC3109" w:rsidP="00A65C5F">
      <w:pPr>
        <w:pStyle w:val="ab"/>
        <w:numPr>
          <w:ilvl w:val="0"/>
          <w:numId w:val="24"/>
        </w:numPr>
      </w:pPr>
      <w:r>
        <w:rPr>
          <w:rFonts w:cs="Arial" w:hint="cs"/>
          <w:rtl/>
        </w:rPr>
        <w:t>טור</w:t>
      </w:r>
      <w:r w:rsidR="00A82951">
        <w:rPr>
          <w:rFonts w:cs="Arial" w:hint="cs"/>
          <w:rtl/>
        </w:rPr>
        <w:t>-</w:t>
      </w:r>
      <w:r>
        <w:rPr>
          <w:rFonts w:cs="Arial" w:hint="cs"/>
          <w:rtl/>
        </w:rPr>
        <w:t xml:space="preserve"> </w:t>
      </w:r>
      <w:r w:rsidRPr="00201037">
        <w:rPr>
          <w:rFonts w:cs="Arial"/>
          <w:rtl/>
        </w:rPr>
        <w:t>מנאם</w:t>
      </w:r>
      <w:r>
        <w:rPr>
          <w:rFonts w:cs="Arial" w:hint="cs"/>
          <w:rtl/>
        </w:rPr>
        <w:t>,</w:t>
      </w:r>
      <w:r w:rsidRPr="00201037">
        <w:rPr>
          <w:rFonts w:cs="Arial"/>
          <w:rtl/>
        </w:rPr>
        <w:t xml:space="preserve"> שאמר אבג"ד יחתמו גט לאשתי</w:t>
      </w:r>
      <w:r>
        <w:rPr>
          <w:rFonts w:cs="Arial" w:hint="cs"/>
          <w:rtl/>
        </w:rPr>
        <w:t>,</w:t>
      </w:r>
      <w:r w:rsidRPr="00201037">
        <w:rPr>
          <w:rFonts w:cs="Arial"/>
          <w:rtl/>
        </w:rPr>
        <w:t xml:space="preserve"> ולא אמר </w:t>
      </w:r>
      <w:r>
        <w:rPr>
          <w:rFonts w:cs="Arial" w:hint="cs"/>
          <w:rtl/>
        </w:rPr>
        <w:t>'</w:t>
      </w:r>
      <w:r w:rsidRPr="00201037">
        <w:rPr>
          <w:rFonts w:cs="Arial"/>
          <w:rtl/>
        </w:rPr>
        <w:t>כולכם</w:t>
      </w:r>
      <w:r>
        <w:rPr>
          <w:rFonts w:cs="Arial" w:hint="cs"/>
          <w:rtl/>
        </w:rPr>
        <w:t>'</w:t>
      </w:r>
      <w:r w:rsidRPr="00201037">
        <w:rPr>
          <w:rFonts w:cs="Arial"/>
          <w:rtl/>
        </w:rPr>
        <w:t xml:space="preserve"> </w:t>
      </w:r>
      <w:r w:rsidR="00A82951">
        <w:rPr>
          <w:rFonts w:cs="Arial" w:hint="cs"/>
          <w:rtl/>
        </w:rPr>
        <w:t>-</w:t>
      </w:r>
      <w:r>
        <w:rPr>
          <w:rFonts w:cs="Arial" w:hint="cs"/>
          <w:rtl/>
        </w:rPr>
        <w:t xml:space="preserve"> </w:t>
      </w:r>
      <w:r w:rsidRPr="00201037">
        <w:rPr>
          <w:rFonts w:cs="Arial"/>
          <w:rtl/>
        </w:rPr>
        <w:t>כולם יחתמו בו בחשבון שמנה</w:t>
      </w:r>
      <w:r>
        <w:rPr>
          <w:rFonts w:cs="Arial" w:hint="cs"/>
          <w:rtl/>
        </w:rPr>
        <w:t>,</w:t>
      </w:r>
      <w:r w:rsidRPr="00201037">
        <w:rPr>
          <w:rFonts w:cs="Arial"/>
          <w:rtl/>
        </w:rPr>
        <w:t xml:space="preserve"> בין אם היה שם יותר מחשבון שמנה</w:t>
      </w:r>
      <w:r>
        <w:rPr>
          <w:rFonts w:cs="Arial" w:hint="cs"/>
          <w:rtl/>
        </w:rPr>
        <w:t>,</w:t>
      </w:r>
      <w:r w:rsidRPr="00201037">
        <w:rPr>
          <w:rFonts w:cs="Arial"/>
          <w:rtl/>
        </w:rPr>
        <w:t xml:space="preserve"> בין לא היה שם יותר מחשבון שמנה</w:t>
      </w:r>
      <w:r>
        <w:rPr>
          <w:rFonts w:cs="Arial" w:hint="cs"/>
          <w:rtl/>
        </w:rPr>
        <w:t>.</w:t>
      </w:r>
      <w:r w:rsidRPr="00201037">
        <w:rPr>
          <w:rFonts w:cs="Arial"/>
          <w:rtl/>
        </w:rPr>
        <w:t xml:space="preserve"> </w:t>
      </w:r>
      <w:r w:rsidR="00EF5C87">
        <w:rPr>
          <w:rFonts w:hint="cs"/>
          <w:rtl/>
        </w:rPr>
        <w:t xml:space="preserve"> </w:t>
      </w:r>
    </w:p>
    <w:p w14:paraId="062CF78F" w14:textId="77777777" w:rsidR="00A243D9" w:rsidRPr="007B74F1" w:rsidRDefault="00A243D9" w:rsidP="00A243D9">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49EA7A3" w14:textId="37D43D64" w:rsidR="00486C31" w:rsidRDefault="00486C31" w:rsidP="00486C31">
      <w:pPr>
        <w:rPr>
          <w:rFonts w:cs="Arial"/>
          <w:rtl/>
        </w:rPr>
      </w:pPr>
      <w:r w:rsidRPr="00486C31">
        <w:rPr>
          <w:rFonts w:cs="Arial"/>
          <w:rtl/>
        </w:rPr>
        <w:t>אמר: כלכם חתמו, או שמנאם</w:t>
      </w:r>
      <w:r w:rsidR="00271ADE">
        <w:rPr>
          <w:rStyle w:val="a7"/>
          <w:rFonts w:cs="Arial"/>
          <w:rtl/>
        </w:rPr>
        <w:footnoteReference w:id="237"/>
      </w:r>
      <w:r w:rsidRPr="00486C31">
        <w:rPr>
          <w:rFonts w:cs="Arial"/>
          <w:rtl/>
        </w:rPr>
        <w:t>, בין שמנה כולם ובין שמנה מקצתם ואמר להם חתמו</w:t>
      </w:r>
      <w:r w:rsidR="007720BF">
        <w:rPr>
          <w:rFonts w:cs="Arial" w:hint="cs"/>
          <w:rtl/>
        </w:rPr>
        <w:t>,</w:t>
      </w:r>
      <w:r w:rsidRPr="00486C31">
        <w:rPr>
          <w:rFonts w:cs="Arial"/>
          <w:rtl/>
        </w:rPr>
        <w:t xml:space="preserve"> הרי זה כאומר כולכם חתמו, וכולם צריכין לחתום בו. ושנים שחותמים בו תחלה הם משום עדים, וצריך שלא יהא שום אחד מהם פסול</w:t>
      </w:r>
      <w:r w:rsidR="00121280">
        <w:rPr>
          <w:rFonts w:cs="Arial" w:hint="cs"/>
          <w:rtl/>
        </w:rPr>
        <w:t>.</w:t>
      </w:r>
      <w:r w:rsidRPr="00486C31">
        <w:rPr>
          <w:rFonts w:cs="Arial"/>
          <w:rtl/>
        </w:rPr>
        <w:t xml:space="preserve"> והאחרים משום תנאי</w:t>
      </w:r>
      <w:r w:rsidR="00C3196C">
        <w:rPr>
          <w:rFonts w:cs="Arial" w:hint="cs"/>
          <w:rtl/>
        </w:rPr>
        <w:t>.</w:t>
      </w:r>
      <w:r w:rsidRPr="00486C31">
        <w:rPr>
          <w:rFonts w:cs="Arial"/>
          <w:rtl/>
        </w:rPr>
        <w:t xml:space="preserve"> לפיכך אם היו השאר פסולים, או שחתמו זה היום וזה למחר או לאחר כמה ימים, כשר, והוא שיחתמו כל אחד בפני כולם</w:t>
      </w:r>
      <w:r w:rsidR="00121280">
        <w:rPr>
          <w:rFonts w:cs="Arial" w:hint="cs"/>
          <w:rtl/>
        </w:rPr>
        <w:t>.</w:t>
      </w:r>
      <w:r w:rsidRPr="00486C31">
        <w:rPr>
          <w:rFonts w:cs="Arial"/>
          <w:rtl/>
        </w:rPr>
        <w:t xml:space="preserve"> ואפילו חתמו השאר אחר נתינת הגט, </w:t>
      </w:r>
      <w:r w:rsidR="002F1478">
        <w:rPr>
          <w:rFonts w:cs="Arial" w:hint="cs"/>
          <w:sz w:val="18"/>
          <w:szCs w:val="18"/>
          <w:rtl/>
        </w:rPr>
        <w:t xml:space="preserve">[הגה] </w:t>
      </w:r>
      <w:r w:rsidRPr="00121280">
        <w:rPr>
          <w:rFonts w:cs="Arial"/>
          <w:sz w:val="18"/>
          <w:szCs w:val="18"/>
          <w:rtl/>
        </w:rPr>
        <w:t>ואפילו אחר שנשאה</w:t>
      </w:r>
      <w:r w:rsidR="007C1C73">
        <w:rPr>
          <w:rStyle w:val="a7"/>
          <w:rFonts w:cs="Arial"/>
          <w:sz w:val="18"/>
          <w:szCs w:val="18"/>
          <w:rtl/>
        </w:rPr>
        <w:footnoteReference w:id="238"/>
      </w:r>
      <w:r w:rsidRPr="00121280">
        <w:rPr>
          <w:rFonts w:cs="Arial"/>
          <w:sz w:val="18"/>
          <w:szCs w:val="18"/>
          <w:rtl/>
        </w:rPr>
        <w:t xml:space="preserve"> (ר"ן)</w:t>
      </w:r>
      <w:r w:rsidRPr="00486C31">
        <w:rPr>
          <w:rFonts w:cs="Arial"/>
          <w:rtl/>
        </w:rPr>
        <w:t>, כשר. ואם מת אחד מהם קודם</w:t>
      </w:r>
      <w:r w:rsidR="007C1C73">
        <w:rPr>
          <w:rStyle w:val="a7"/>
          <w:rFonts w:cs="Arial"/>
          <w:rtl/>
        </w:rPr>
        <w:footnoteReference w:id="239"/>
      </w:r>
      <w:r w:rsidRPr="00486C31">
        <w:rPr>
          <w:rFonts w:cs="Arial"/>
          <w:rtl/>
        </w:rPr>
        <w:t xml:space="preserve"> חתימה, הרי הגט בטל </w:t>
      </w:r>
      <w:r w:rsidR="00D74307">
        <w:rPr>
          <w:rFonts w:cs="Arial" w:hint="cs"/>
          <w:sz w:val="18"/>
          <w:szCs w:val="18"/>
          <w:rtl/>
        </w:rPr>
        <w:t xml:space="preserve">[הגה] </w:t>
      </w:r>
      <w:r w:rsidRPr="00C3196C">
        <w:rPr>
          <w:rFonts w:cs="Arial"/>
          <w:sz w:val="18"/>
          <w:szCs w:val="18"/>
          <w:rtl/>
        </w:rPr>
        <w:t>עיין לקמן בסמוך</w:t>
      </w:r>
      <w:r w:rsidR="00D74307">
        <w:rPr>
          <w:rStyle w:val="a7"/>
          <w:rFonts w:cs="Arial"/>
          <w:sz w:val="18"/>
          <w:szCs w:val="18"/>
          <w:rtl/>
        </w:rPr>
        <w:footnoteReference w:id="240"/>
      </w:r>
      <w:r w:rsidRPr="00486C31">
        <w:rPr>
          <w:rFonts w:cs="Arial"/>
          <w:rtl/>
        </w:rPr>
        <w:t xml:space="preserve">. </w:t>
      </w:r>
    </w:p>
    <w:p w14:paraId="3A5718FF" w14:textId="77777777" w:rsidR="006D318A" w:rsidRPr="00C00EFA" w:rsidRDefault="006D318A" w:rsidP="00486C31">
      <w:pPr>
        <w:rPr>
          <w:rFonts w:cs="Arial"/>
          <w:rtl/>
        </w:rPr>
      </w:pPr>
    </w:p>
    <w:p w14:paraId="7591D115" w14:textId="6A2C2959" w:rsidR="00486C31" w:rsidRDefault="00486C31" w:rsidP="00786DE6">
      <w:pPr>
        <w:pStyle w:val="2"/>
        <w:rPr>
          <w:rtl/>
        </w:rPr>
      </w:pPr>
      <w:r w:rsidRPr="00486C31">
        <w:rPr>
          <w:rtl/>
        </w:rPr>
        <w:lastRenderedPageBreak/>
        <w:t>סעיף י</w:t>
      </w:r>
      <w:r w:rsidR="00C3196C">
        <w:rPr>
          <w:rFonts w:hint="cs"/>
          <w:rtl/>
        </w:rPr>
        <w:t>: אמר 'חתמו כולכם משום עדים'.</w:t>
      </w:r>
    </w:p>
    <w:p w14:paraId="3B3B3218" w14:textId="17DD0F8D" w:rsidR="008959EA" w:rsidRPr="008959EA" w:rsidRDefault="008959EA" w:rsidP="008959EA">
      <w:pPr>
        <w:rPr>
          <w:rtl/>
        </w:rPr>
      </w:pPr>
      <w:r w:rsidRPr="008959EA">
        <w:rPr>
          <w:rFonts w:cs="Arial" w:hint="cs"/>
          <w:b/>
          <w:bCs/>
          <w:rtl/>
        </w:rPr>
        <w:t xml:space="preserve">מכות </w:t>
      </w:r>
      <w:r w:rsidRPr="008959EA">
        <w:rPr>
          <w:rFonts w:cs="Arial" w:hint="cs"/>
          <w:b/>
          <w:bCs/>
          <w:sz w:val="16"/>
          <w:szCs w:val="16"/>
          <w:rtl/>
        </w:rPr>
        <w:t xml:space="preserve">(פ"ק) </w:t>
      </w:r>
      <w:r w:rsidRPr="008959EA">
        <w:rPr>
          <w:rFonts w:cs="Arial" w:hint="cs"/>
          <w:b/>
          <w:bCs/>
          <w:rtl/>
        </w:rPr>
        <w:t xml:space="preserve">ה ע"ב: </w:t>
      </w:r>
      <w:r w:rsidRPr="008959EA">
        <w:rPr>
          <w:rFonts w:cs="Arial"/>
          <w:rtl/>
        </w:rPr>
        <w:t xml:space="preserve">ומה שנים, נמצא אחד מהן קרוב או פסול </w:t>
      </w:r>
      <w:r w:rsidR="00A82951">
        <w:rPr>
          <w:rFonts w:cs="Arial"/>
          <w:rtl/>
        </w:rPr>
        <w:t>-</w:t>
      </w:r>
      <w:r w:rsidRPr="008959EA">
        <w:rPr>
          <w:rFonts w:cs="Arial"/>
          <w:rtl/>
        </w:rPr>
        <w:t xml:space="preserve"> עדותן בטלה, אף שלשה, נמצא אחד מהן קרוב או פסול </w:t>
      </w:r>
      <w:r w:rsidR="00A82951">
        <w:rPr>
          <w:rFonts w:cs="Arial"/>
          <w:rtl/>
        </w:rPr>
        <w:t>-</w:t>
      </w:r>
      <w:r w:rsidRPr="008959EA">
        <w:rPr>
          <w:rFonts w:cs="Arial"/>
          <w:rtl/>
        </w:rPr>
        <w:t xml:space="preserve"> עדותן בטלה; מנין אפי' מאה? ת"ל: עדים.</w:t>
      </w:r>
    </w:p>
    <w:p w14:paraId="1364B275" w14:textId="72464DDD" w:rsidR="008959EA" w:rsidRPr="008959EA" w:rsidRDefault="008959EA" w:rsidP="008959EA">
      <w:pPr>
        <w:rPr>
          <w:rtl/>
        </w:rPr>
      </w:pPr>
      <w:r w:rsidRPr="00F14CBE">
        <w:rPr>
          <w:rFonts w:ascii="Calibri" w:eastAsia="Calibri" w:hAnsi="Calibri" w:cs="Arial"/>
          <w:b/>
          <w:bCs/>
          <w:rtl/>
        </w:rPr>
        <w:t xml:space="preserve">גיטין </w:t>
      </w:r>
      <w:r w:rsidRPr="00F14CBE">
        <w:rPr>
          <w:rFonts w:ascii="Calibri" w:eastAsia="Calibri" w:hAnsi="Calibri" w:cs="Arial"/>
          <w:b/>
          <w:bCs/>
          <w:sz w:val="16"/>
          <w:szCs w:val="16"/>
          <w:rtl/>
        </w:rPr>
        <w:t>(פ"ב)</w:t>
      </w:r>
      <w:r w:rsidRPr="00F14CBE">
        <w:rPr>
          <w:rFonts w:ascii="Calibri" w:eastAsia="Calibri" w:hAnsi="Calibri" w:cs="Arial"/>
          <w:b/>
          <w:bCs/>
          <w:rtl/>
        </w:rPr>
        <w:t xml:space="preserve"> יח</w:t>
      </w:r>
      <w:r w:rsidRPr="001D49D4">
        <w:rPr>
          <w:b/>
          <w:bCs/>
          <w:vertAlign w:val="superscript"/>
          <w:rtl/>
        </w:rPr>
        <w:footnoteReference w:id="241"/>
      </w:r>
      <w:r w:rsidRPr="00F14CBE">
        <w:rPr>
          <w:rFonts w:ascii="Calibri" w:eastAsia="Calibri" w:hAnsi="Calibri" w:cs="Arial"/>
          <w:b/>
          <w:bCs/>
          <w:rtl/>
        </w:rPr>
        <w:t xml:space="preserve"> ע"ב:</w:t>
      </w:r>
      <w:r>
        <w:rPr>
          <w:rFonts w:ascii="Calibri" w:eastAsia="Calibri" w:hAnsi="Calibri" w:cs="Arial" w:hint="cs"/>
          <w:rtl/>
        </w:rPr>
        <w:t xml:space="preserve"> </w:t>
      </w:r>
      <w:r w:rsidRPr="00F14CBE">
        <w:rPr>
          <w:rFonts w:ascii="Calibri" w:eastAsia="Calibri" w:hAnsi="Calibri" w:cs="Arial"/>
          <w:rtl/>
        </w:rPr>
        <w:t>איתמר: אמר לעשרה כתבו גט לאשתי</w:t>
      </w:r>
      <w:r>
        <w:rPr>
          <w:rFonts w:ascii="Calibri" w:eastAsia="Calibri" w:hAnsi="Calibri" w:cs="Arial" w:hint="cs"/>
          <w:rtl/>
        </w:rPr>
        <w:t>.</w:t>
      </w:r>
      <w:r w:rsidRPr="00F14CBE">
        <w:rPr>
          <w:rFonts w:ascii="Calibri" w:eastAsia="Calibri" w:hAnsi="Calibri" w:cs="Arial"/>
          <w:rtl/>
        </w:rPr>
        <w:t xml:space="preserve"> </w:t>
      </w:r>
      <w:r w:rsidRPr="00F14CBE">
        <w:rPr>
          <w:rFonts w:ascii="Calibri" w:eastAsia="Calibri" w:hAnsi="Calibri" w:cs="Arial"/>
          <w:u w:val="single"/>
          <w:rtl/>
        </w:rPr>
        <w:t>אמר ר' יוחנן</w:t>
      </w:r>
      <w:r w:rsidRPr="00F14CBE">
        <w:rPr>
          <w:rFonts w:ascii="Calibri" w:eastAsia="Calibri" w:hAnsi="Calibri" w:cs="Arial"/>
          <w:rtl/>
        </w:rPr>
        <w:t>: שנים משום עדים, וכולם משום תנאי</w:t>
      </w:r>
      <w:r>
        <w:rPr>
          <w:rFonts w:ascii="Calibri" w:eastAsia="Calibri" w:hAnsi="Calibri" w:cs="Arial" w:hint="cs"/>
          <w:rtl/>
        </w:rPr>
        <w:t>.</w:t>
      </w:r>
      <w:r w:rsidRPr="00F14CBE">
        <w:rPr>
          <w:rFonts w:ascii="Calibri" w:eastAsia="Calibri" w:hAnsi="Calibri" w:cs="Arial"/>
          <w:rtl/>
        </w:rPr>
        <w:t xml:space="preserve"> </w:t>
      </w:r>
      <w:r w:rsidRPr="00F14CBE">
        <w:rPr>
          <w:rFonts w:ascii="Calibri" w:eastAsia="Calibri" w:hAnsi="Calibri" w:cs="Arial"/>
          <w:u w:val="single"/>
          <w:rtl/>
        </w:rPr>
        <w:t>וריש לקיש אמר</w:t>
      </w:r>
      <w:r w:rsidRPr="00F14CBE">
        <w:rPr>
          <w:rFonts w:ascii="Calibri" w:eastAsia="Calibri" w:hAnsi="Calibri" w:cs="Arial"/>
          <w:rtl/>
        </w:rPr>
        <w:t>: כולם משום עדים. היכי דמי? אילימא דלא אמר להו כולכם, והא תנן: אמר לעשרה כתבו גט לאשתי, אחד כותב ושנים חותמין! אלא דאמר להו כולכם. מאי בינייהו? איכא בינייהו דחתום בי תרי מינייהו ביומיה</w:t>
      </w:r>
      <w:r>
        <w:rPr>
          <w:rFonts w:ascii="Calibri" w:eastAsia="Calibri" w:hAnsi="Calibri" w:cs="Arial" w:hint="cs"/>
          <w:rtl/>
        </w:rPr>
        <w:t>,</w:t>
      </w:r>
      <w:r w:rsidRPr="00F14CBE">
        <w:rPr>
          <w:rFonts w:ascii="Calibri" w:eastAsia="Calibri" w:hAnsi="Calibri" w:cs="Arial"/>
          <w:rtl/>
        </w:rPr>
        <w:t xml:space="preserve"> ואינך מכאן ועד עשרה ימים</w:t>
      </w:r>
      <w:r>
        <w:rPr>
          <w:rFonts w:ascii="Calibri" w:eastAsia="Calibri" w:hAnsi="Calibri" w:cs="Arial" w:hint="cs"/>
          <w:rtl/>
        </w:rPr>
        <w:t>.</w:t>
      </w:r>
      <w:r w:rsidRPr="00F14CBE">
        <w:rPr>
          <w:rFonts w:ascii="Calibri" w:eastAsia="Calibri" w:hAnsi="Calibri" w:cs="Arial"/>
          <w:rtl/>
        </w:rPr>
        <w:t xml:space="preserve"> מאן דאמר משום תנאי </w:t>
      </w:r>
      <w:r w:rsidR="00A82951">
        <w:rPr>
          <w:rFonts w:ascii="Calibri" w:eastAsia="Calibri" w:hAnsi="Calibri" w:cs="Arial"/>
          <w:rtl/>
        </w:rPr>
        <w:t>-</w:t>
      </w:r>
      <w:r w:rsidRPr="00F14CBE">
        <w:rPr>
          <w:rFonts w:ascii="Calibri" w:eastAsia="Calibri" w:hAnsi="Calibri" w:cs="Arial"/>
          <w:rtl/>
        </w:rPr>
        <w:t xml:space="preserve"> כשר, ומאן דאמר משום עדים </w:t>
      </w:r>
      <w:r w:rsidR="00A82951">
        <w:rPr>
          <w:rFonts w:ascii="Calibri" w:eastAsia="Calibri" w:hAnsi="Calibri" w:cs="Arial"/>
          <w:rtl/>
        </w:rPr>
        <w:t>-</w:t>
      </w:r>
      <w:r w:rsidRPr="00F14CBE">
        <w:rPr>
          <w:rFonts w:ascii="Calibri" w:eastAsia="Calibri" w:hAnsi="Calibri" w:cs="Arial"/>
          <w:rtl/>
        </w:rPr>
        <w:t xml:space="preserve"> פסול. אי נמי: כגון שנמצא אחד מהם קרוב או פסול, למאן דאמר משום תנאי </w:t>
      </w:r>
      <w:r w:rsidR="00A82951">
        <w:rPr>
          <w:rFonts w:ascii="Calibri" w:eastAsia="Calibri" w:hAnsi="Calibri" w:cs="Arial"/>
          <w:rtl/>
        </w:rPr>
        <w:t>-</w:t>
      </w:r>
      <w:r w:rsidRPr="00F14CBE">
        <w:rPr>
          <w:rFonts w:ascii="Calibri" w:eastAsia="Calibri" w:hAnsi="Calibri" w:cs="Arial"/>
          <w:rtl/>
        </w:rPr>
        <w:t xml:space="preserve"> כשר, למאן דאמר משום עדים </w:t>
      </w:r>
      <w:r w:rsidR="00A82951">
        <w:rPr>
          <w:rFonts w:ascii="Calibri" w:eastAsia="Calibri" w:hAnsi="Calibri" w:cs="Arial"/>
          <w:rtl/>
        </w:rPr>
        <w:t>-</w:t>
      </w:r>
      <w:r w:rsidRPr="00F14CBE">
        <w:rPr>
          <w:rFonts w:ascii="Calibri" w:eastAsia="Calibri" w:hAnsi="Calibri" w:cs="Arial"/>
          <w:rtl/>
        </w:rPr>
        <w:t xml:space="preserve"> פסול.</w:t>
      </w:r>
      <w:r>
        <w:rPr>
          <w:rFonts w:ascii="Calibri" w:eastAsia="Calibri" w:hAnsi="Calibri" w:cs="Arial" w:hint="cs"/>
          <w:rtl/>
        </w:rPr>
        <w:t>..</w:t>
      </w:r>
      <w:r w:rsidRPr="008959EA">
        <w:rPr>
          <w:rFonts w:cs="Arial"/>
          <w:sz w:val="16"/>
          <w:szCs w:val="16"/>
          <w:rtl/>
        </w:rPr>
        <w:t xml:space="preserve"> </w:t>
      </w:r>
      <w:r>
        <w:rPr>
          <w:rFonts w:cs="Arial" w:hint="cs"/>
          <w:sz w:val="16"/>
          <w:szCs w:val="16"/>
          <w:rtl/>
        </w:rPr>
        <w:t>(</w:t>
      </w:r>
      <w:r w:rsidRPr="008959EA">
        <w:rPr>
          <w:rFonts w:cs="Arial"/>
          <w:sz w:val="16"/>
          <w:szCs w:val="16"/>
          <w:rtl/>
        </w:rPr>
        <w:t>ועד כאן לא פליג רבי יוחנן אריש לקיש אלא משום דסבירא ליה דאינך משום תנאי</w:t>
      </w:r>
      <w:r w:rsidRPr="008959EA">
        <w:rPr>
          <w:rFonts w:cs="Arial" w:hint="cs"/>
          <w:sz w:val="16"/>
          <w:szCs w:val="16"/>
          <w:rtl/>
        </w:rPr>
        <w:t>,</w:t>
      </w:r>
      <w:r w:rsidRPr="008959EA">
        <w:rPr>
          <w:rFonts w:cs="Arial"/>
          <w:sz w:val="16"/>
          <w:szCs w:val="16"/>
          <w:rtl/>
        </w:rPr>
        <w:t xml:space="preserve"> הא היכא דשוינהו עדים בהדיא </w:t>
      </w:r>
      <w:r w:rsidR="00A82951">
        <w:rPr>
          <w:rFonts w:cs="Arial" w:hint="cs"/>
          <w:sz w:val="16"/>
          <w:szCs w:val="16"/>
          <w:rtl/>
        </w:rPr>
        <w:t>-</w:t>
      </w:r>
      <w:r w:rsidRPr="008959EA">
        <w:rPr>
          <w:rFonts w:cs="Arial" w:hint="cs"/>
          <w:sz w:val="16"/>
          <w:szCs w:val="16"/>
          <w:rtl/>
        </w:rPr>
        <w:t xml:space="preserve"> </w:t>
      </w:r>
      <w:r w:rsidRPr="008959EA">
        <w:rPr>
          <w:rFonts w:cs="Arial"/>
          <w:sz w:val="16"/>
          <w:szCs w:val="16"/>
          <w:rtl/>
        </w:rPr>
        <w:t>מודה רבי יוחנן דצריכים כולהו למיחתם ביומיה</w:t>
      </w:r>
      <w:r w:rsidRPr="008959EA">
        <w:rPr>
          <w:rFonts w:cs="Arial" w:hint="cs"/>
          <w:sz w:val="16"/>
          <w:szCs w:val="16"/>
          <w:rtl/>
        </w:rPr>
        <w:t>.</w:t>
      </w:r>
      <w:r w:rsidRPr="008959EA">
        <w:rPr>
          <w:rFonts w:cs="Arial"/>
          <w:sz w:val="16"/>
          <w:szCs w:val="16"/>
          <w:rtl/>
        </w:rPr>
        <w:t xml:space="preserve"> וכן אם נמצא אחד מהם קרוב או פסול</w:t>
      </w:r>
      <w:r w:rsidRPr="008959EA">
        <w:rPr>
          <w:rFonts w:cs="Arial" w:hint="cs"/>
          <w:sz w:val="16"/>
          <w:szCs w:val="16"/>
          <w:rtl/>
        </w:rPr>
        <w:t xml:space="preserve"> </w:t>
      </w:r>
      <w:r w:rsidR="00A82951">
        <w:rPr>
          <w:rFonts w:cs="Arial" w:hint="cs"/>
          <w:sz w:val="16"/>
          <w:szCs w:val="16"/>
          <w:rtl/>
        </w:rPr>
        <w:t>-</w:t>
      </w:r>
      <w:r w:rsidRPr="008959EA">
        <w:rPr>
          <w:rFonts w:cs="Arial"/>
          <w:sz w:val="16"/>
          <w:szCs w:val="16"/>
          <w:rtl/>
        </w:rPr>
        <w:t xml:space="preserve"> מודה דעדות כולם בטילה כדתנן בפרק קמא דמכות (ה:)</w:t>
      </w:r>
      <w:r w:rsidRPr="008959EA">
        <w:rPr>
          <w:rFonts w:cs="Arial" w:hint="cs"/>
          <w:sz w:val="16"/>
          <w:szCs w:val="16"/>
          <w:rtl/>
        </w:rPr>
        <w:t>, ב"י)</w:t>
      </w:r>
    </w:p>
    <w:p w14:paraId="576A5C29" w14:textId="2AAA40BD" w:rsidR="00C3196C" w:rsidRPr="00C3196C" w:rsidRDefault="00C3196C" w:rsidP="00C3196C">
      <w:pPr>
        <w:rPr>
          <w:u w:val="single"/>
          <w:rtl/>
        </w:rPr>
      </w:pPr>
      <w:r w:rsidRPr="00C3196C">
        <w:rPr>
          <w:rFonts w:hint="cs"/>
          <w:u w:val="single"/>
          <w:rtl/>
        </w:rPr>
        <w:t>אמר 'חתמו כולכם משום עדים':</w:t>
      </w:r>
    </w:p>
    <w:p w14:paraId="31D8E080" w14:textId="3A535B75" w:rsidR="001A13B5" w:rsidRPr="001A13B5" w:rsidRDefault="006E369D" w:rsidP="00A65C5F">
      <w:pPr>
        <w:pStyle w:val="ab"/>
        <w:numPr>
          <w:ilvl w:val="0"/>
          <w:numId w:val="24"/>
        </w:numPr>
      </w:pPr>
      <w:r>
        <w:rPr>
          <w:rFonts w:cs="Arial" w:hint="cs"/>
          <w:rtl/>
        </w:rPr>
        <w:t>טור</w:t>
      </w:r>
      <w:r w:rsidR="00A82951">
        <w:rPr>
          <w:rFonts w:cs="Arial" w:hint="cs"/>
          <w:rtl/>
        </w:rPr>
        <w:t>-</w:t>
      </w:r>
      <w:r>
        <w:rPr>
          <w:rFonts w:cs="Arial" w:hint="cs"/>
          <w:rtl/>
        </w:rPr>
        <w:t xml:space="preserve"> </w:t>
      </w:r>
      <w:r w:rsidRPr="00201037">
        <w:rPr>
          <w:rFonts w:cs="Arial"/>
          <w:rtl/>
        </w:rPr>
        <w:t xml:space="preserve">ואי אמר </w:t>
      </w:r>
      <w:r w:rsidR="00C3196C">
        <w:rPr>
          <w:rFonts w:cs="Arial" w:hint="cs"/>
          <w:rtl/>
        </w:rPr>
        <w:t>'</w:t>
      </w:r>
      <w:r w:rsidRPr="00201037">
        <w:rPr>
          <w:rFonts w:cs="Arial"/>
          <w:rtl/>
        </w:rPr>
        <w:t>כולכם משום עדים</w:t>
      </w:r>
      <w:r w:rsidR="00C3196C">
        <w:rPr>
          <w:rFonts w:cs="Arial" w:hint="cs"/>
          <w:rtl/>
        </w:rPr>
        <w:t xml:space="preserve">' </w:t>
      </w:r>
      <w:r w:rsidR="00A82951">
        <w:rPr>
          <w:rFonts w:cs="Arial" w:hint="cs"/>
          <w:rtl/>
        </w:rPr>
        <w:t>-</w:t>
      </w:r>
      <w:r w:rsidRPr="00201037">
        <w:rPr>
          <w:rFonts w:cs="Arial"/>
          <w:rtl/>
        </w:rPr>
        <w:t xml:space="preserve"> לא מתכשר עד דהוו כולם כשרים וחתימי ביומיה</w:t>
      </w:r>
      <w:r w:rsidR="00C3196C">
        <w:rPr>
          <w:rFonts w:cs="Arial" w:hint="cs"/>
          <w:rtl/>
        </w:rPr>
        <w:t>.</w:t>
      </w:r>
      <w:r w:rsidRPr="00201037">
        <w:rPr>
          <w:rFonts w:cs="Arial"/>
          <w:rtl/>
        </w:rPr>
        <w:t xml:space="preserve"> </w:t>
      </w:r>
      <w:r w:rsidR="001A13B5" w:rsidRPr="00E816AE">
        <w:rPr>
          <w:rFonts w:cs="Arial" w:hint="cs"/>
          <w:color w:val="E36C0A" w:themeColor="accent6" w:themeShade="BF"/>
          <w:rtl/>
        </w:rPr>
        <w:t>(וכ"פ בשו"ע)</w:t>
      </w:r>
    </w:p>
    <w:p w14:paraId="45FF9EEC" w14:textId="5DB2DD19" w:rsidR="008959EA" w:rsidRPr="001A13B5" w:rsidRDefault="008959EA" w:rsidP="001A13B5">
      <w:pPr>
        <w:ind w:left="360"/>
        <w:rPr>
          <w:u w:val="dotted"/>
          <w:rtl/>
        </w:rPr>
      </w:pPr>
      <w:r w:rsidRPr="001A13B5">
        <w:rPr>
          <w:rFonts w:cs="Arial" w:hint="cs"/>
          <w:u w:val="dotted"/>
          <w:rtl/>
        </w:rPr>
        <w:t xml:space="preserve">ומה הדין </w:t>
      </w:r>
      <w:r w:rsidR="00BA15E7" w:rsidRPr="001A13B5">
        <w:rPr>
          <w:rFonts w:cs="Arial"/>
          <w:u w:val="dotted"/>
          <w:rtl/>
        </w:rPr>
        <w:t>אם חתם הפסול ונתנו לה בעדי מסירה</w:t>
      </w:r>
      <w:r w:rsidRPr="001A13B5">
        <w:rPr>
          <w:rFonts w:cs="Arial" w:hint="cs"/>
          <w:u w:val="dotted"/>
          <w:rtl/>
        </w:rPr>
        <w:t>:</w:t>
      </w:r>
    </w:p>
    <w:p w14:paraId="3A742CD8" w14:textId="2727712F" w:rsidR="001A13B5" w:rsidRPr="001A13B5" w:rsidRDefault="00BA15E7" w:rsidP="00A65C5F">
      <w:pPr>
        <w:pStyle w:val="ab"/>
        <w:numPr>
          <w:ilvl w:val="0"/>
          <w:numId w:val="24"/>
        </w:numPr>
      </w:pPr>
      <w:r w:rsidRPr="008959EA">
        <w:rPr>
          <w:rFonts w:cs="Arial"/>
          <w:rtl/>
        </w:rPr>
        <w:t xml:space="preserve">רמב"ם </w:t>
      </w:r>
      <w:r w:rsidR="001A13B5" w:rsidRPr="001A13B5">
        <w:rPr>
          <w:rFonts w:cs="Arial" w:hint="cs"/>
          <w:sz w:val="16"/>
          <w:szCs w:val="16"/>
          <w:rtl/>
        </w:rPr>
        <w:t xml:space="preserve">(פ"ג </w:t>
      </w:r>
      <w:r w:rsidRPr="001A13B5">
        <w:rPr>
          <w:rFonts w:cs="Arial"/>
          <w:sz w:val="16"/>
          <w:szCs w:val="16"/>
          <w:rtl/>
        </w:rPr>
        <w:t>ה"ח)</w:t>
      </w:r>
      <w:r w:rsidR="00A82951">
        <w:rPr>
          <w:rFonts w:cs="Arial" w:hint="cs"/>
          <w:rtl/>
        </w:rPr>
        <w:t>-</w:t>
      </w:r>
      <w:r w:rsidR="001A13B5">
        <w:rPr>
          <w:rFonts w:cs="Arial" w:hint="cs"/>
          <w:rtl/>
        </w:rPr>
        <w:t xml:space="preserve"> </w:t>
      </w:r>
      <w:r w:rsidR="001A13B5" w:rsidRPr="001A13B5">
        <w:rPr>
          <w:rFonts w:cs="Arial"/>
          <w:rtl/>
        </w:rPr>
        <w:t>סופר שכתב הגט לשמו ולשמה כהלכתו</w:t>
      </w:r>
      <w:r w:rsidR="001A13B5">
        <w:rPr>
          <w:rFonts w:cs="Arial" w:hint="cs"/>
          <w:rtl/>
        </w:rPr>
        <w:t>...</w:t>
      </w:r>
      <w:r w:rsidR="001A13B5" w:rsidRPr="001A13B5">
        <w:rPr>
          <w:rFonts w:cs="Arial"/>
          <w:rtl/>
        </w:rPr>
        <w:t xml:space="preserve"> יש מי שאומר שאם חתמו העדים שלא לשמה הואיל והוא כמזוייף מתוכו הרי זה גט בטל, וכן אם היה אחד מעדיו פסול או שהיה בו עד אחד בלבד כשר אע</w:t>
      </w:r>
      <w:r w:rsidR="002129CE">
        <w:rPr>
          <w:rFonts w:cs="Arial" w:hint="cs"/>
          <w:rtl/>
        </w:rPr>
        <w:t>"</w:t>
      </w:r>
      <w:r w:rsidR="001A13B5" w:rsidRPr="001A13B5">
        <w:rPr>
          <w:rFonts w:cs="Arial"/>
          <w:rtl/>
        </w:rPr>
        <w:t>פ שנמסר בעדים הרי זה גט בטל, ולא יראה לי דבר זה אלא כמזוייף לא מזוייף ודאי</w:t>
      </w:r>
      <w:r w:rsidR="004E0CC5">
        <w:rPr>
          <w:rFonts w:cs="Arial" w:hint="cs"/>
          <w:rtl/>
        </w:rPr>
        <w:t>,</w:t>
      </w:r>
      <w:r w:rsidR="001A13B5" w:rsidRPr="001A13B5">
        <w:rPr>
          <w:rFonts w:cs="Arial"/>
          <w:rtl/>
        </w:rPr>
        <w:t xml:space="preserve"> והואיל ונמסר בעדים כשרים </w:t>
      </w:r>
      <w:r w:rsidR="00E31E3A">
        <w:rPr>
          <w:rFonts w:cs="Arial" w:hint="cs"/>
          <w:rtl/>
        </w:rPr>
        <w:t xml:space="preserve">- </w:t>
      </w:r>
      <w:r w:rsidR="001A13B5" w:rsidRPr="001A13B5">
        <w:rPr>
          <w:rFonts w:cs="Arial"/>
          <w:rtl/>
        </w:rPr>
        <w:t xml:space="preserve">הרי זה פסול מדבריהם. </w:t>
      </w:r>
    </w:p>
    <w:p w14:paraId="0621E917" w14:textId="77777777" w:rsidR="00A243D9" w:rsidRPr="007B74F1" w:rsidRDefault="00A243D9" w:rsidP="00A243D9">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60F0DA8" w14:textId="404D4912" w:rsidR="00486C31" w:rsidRDefault="00486C31" w:rsidP="00486C31">
      <w:pPr>
        <w:rPr>
          <w:rFonts w:cs="Arial"/>
          <w:rtl/>
        </w:rPr>
      </w:pPr>
      <w:r w:rsidRPr="00486C31">
        <w:rPr>
          <w:rFonts w:cs="Arial"/>
          <w:rtl/>
        </w:rPr>
        <w:t>ואם אמר: כולכם חתמו משום עדים, צריך שיהיו כולם כשרים ושיחתמו כולם בו ביום. וי</w:t>
      </w:r>
      <w:r w:rsidR="0019391C">
        <w:rPr>
          <w:rFonts w:cs="Arial" w:hint="cs"/>
          <w:rtl/>
        </w:rPr>
        <w:t xml:space="preserve">ש </w:t>
      </w:r>
      <w:r w:rsidRPr="00486C31">
        <w:rPr>
          <w:rFonts w:cs="Arial"/>
          <w:rtl/>
        </w:rPr>
        <w:t>א</w:t>
      </w:r>
      <w:r w:rsidR="0019391C">
        <w:rPr>
          <w:rFonts w:cs="Arial" w:hint="cs"/>
          <w:rtl/>
        </w:rPr>
        <w:t>ומרים</w:t>
      </w:r>
      <w:r w:rsidRPr="00486C31">
        <w:rPr>
          <w:rFonts w:cs="Arial"/>
          <w:rtl/>
        </w:rPr>
        <w:t xml:space="preserve"> שאפילו אמר סתם: כלכם חתמו, דינו כמפרש ואומר: כלכם חתמו משום עדים, </w:t>
      </w:r>
      <w:r w:rsidR="0019391C" w:rsidRPr="0019391C">
        <w:rPr>
          <w:rFonts w:cs="Arial" w:hint="cs"/>
          <w:sz w:val="18"/>
          <w:szCs w:val="18"/>
          <w:rtl/>
        </w:rPr>
        <w:t xml:space="preserve">[הגה] </w:t>
      </w:r>
      <w:r w:rsidRPr="0019391C">
        <w:rPr>
          <w:rFonts w:cs="Arial"/>
          <w:sz w:val="18"/>
          <w:szCs w:val="18"/>
          <w:rtl/>
        </w:rPr>
        <w:t>ונראה לי דיש להחמיר כסברא זו</w:t>
      </w:r>
      <w:r w:rsidR="00D74307">
        <w:rPr>
          <w:rStyle w:val="a7"/>
          <w:rFonts w:cs="Arial"/>
          <w:sz w:val="18"/>
          <w:szCs w:val="18"/>
          <w:rtl/>
        </w:rPr>
        <w:footnoteReference w:id="242"/>
      </w:r>
      <w:r w:rsidRPr="0019391C">
        <w:rPr>
          <w:rFonts w:cs="Arial"/>
          <w:sz w:val="18"/>
          <w:szCs w:val="18"/>
          <w:rtl/>
        </w:rPr>
        <w:t>.</w:t>
      </w:r>
      <w:r w:rsidRPr="00486C31">
        <w:rPr>
          <w:rFonts w:cs="Arial"/>
          <w:rtl/>
        </w:rPr>
        <w:t xml:space="preserve"> </w:t>
      </w:r>
    </w:p>
    <w:p w14:paraId="14939B02" w14:textId="77777777" w:rsidR="0019391C" w:rsidRPr="00486C31" w:rsidRDefault="0019391C" w:rsidP="00486C31">
      <w:pPr>
        <w:rPr>
          <w:rFonts w:cs="Arial"/>
          <w:rtl/>
        </w:rPr>
      </w:pPr>
    </w:p>
    <w:p w14:paraId="3A8BF020" w14:textId="143666CD" w:rsidR="00486C31" w:rsidRDefault="00486C31" w:rsidP="00786DE6">
      <w:pPr>
        <w:pStyle w:val="2"/>
        <w:rPr>
          <w:rtl/>
        </w:rPr>
      </w:pPr>
      <w:r w:rsidRPr="00486C31">
        <w:rPr>
          <w:rtl/>
        </w:rPr>
        <w:t>סעיף יא</w:t>
      </w:r>
      <w:r w:rsidR="008B2C2E">
        <w:rPr>
          <w:rFonts w:hint="cs"/>
          <w:rtl/>
        </w:rPr>
        <w:t xml:space="preserve">: </w:t>
      </w:r>
      <w:r w:rsidR="001355D1">
        <w:rPr>
          <w:rFonts w:hint="cs"/>
          <w:rtl/>
        </w:rPr>
        <w:t>תקנת חכמים לבעל שמצוה על הגט בפני רבים.</w:t>
      </w:r>
    </w:p>
    <w:p w14:paraId="08C8219A" w14:textId="62B56BCF" w:rsidR="003E0C14" w:rsidRPr="003E0C14" w:rsidRDefault="003E0C14" w:rsidP="003E0C14">
      <w:pPr>
        <w:rPr>
          <w:rtl/>
        </w:rPr>
      </w:pPr>
      <w:r w:rsidRPr="00522384">
        <w:rPr>
          <w:rFonts w:hint="cs"/>
          <w:b/>
          <w:bCs/>
          <w:rtl/>
        </w:rPr>
        <w:t xml:space="preserve">גיטין </w:t>
      </w:r>
      <w:r w:rsidRPr="00522384">
        <w:rPr>
          <w:rFonts w:hint="cs"/>
          <w:b/>
          <w:bCs/>
          <w:sz w:val="16"/>
          <w:szCs w:val="16"/>
          <w:rtl/>
        </w:rPr>
        <w:t>(פ' התקבל)</w:t>
      </w:r>
      <w:r w:rsidRPr="00522384">
        <w:rPr>
          <w:rFonts w:hint="cs"/>
          <w:b/>
          <w:bCs/>
          <w:rtl/>
        </w:rPr>
        <w:t xml:space="preserve"> ס</w:t>
      </w:r>
      <w:r w:rsidR="008B2C2E">
        <w:rPr>
          <w:rFonts w:hint="cs"/>
          <w:b/>
          <w:bCs/>
          <w:rtl/>
        </w:rPr>
        <w:t>ז</w:t>
      </w:r>
      <w:r w:rsidRPr="00522384">
        <w:rPr>
          <w:rFonts w:hint="cs"/>
          <w:b/>
          <w:bCs/>
          <w:rtl/>
        </w:rPr>
        <w:t xml:space="preserve"> ע"ב:</w:t>
      </w:r>
      <w:r>
        <w:rPr>
          <w:rFonts w:hint="cs"/>
          <w:rtl/>
        </w:rPr>
        <w:t xml:space="preserve"> </w:t>
      </w:r>
      <w:r w:rsidRPr="002E1C51">
        <w:rPr>
          <w:rFonts w:cs="Arial"/>
          <w:u w:val="single"/>
          <w:rtl/>
        </w:rPr>
        <w:t>אתקין רב יהודה</w:t>
      </w:r>
      <w:r w:rsidR="002E1C51">
        <w:rPr>
          <w:rFonts w:cs="Arial" w:hint="cs"/>
          <w:rtl/>
        </w:rPr>
        <w:t xml:space="preserve">: </w:t>
      </w:r>
      <w:r w:rsidRPr="002E1C51">
        <w:rPr>
          <w:rFonts w:cs="Arial"/>
          <w:rtl/>
        </w:rPr>
        <w:t>בגיטא דכולכם</w:t>
      </w:r>
      <w:r w:rsidR="008A58FE">
        <w:rPr>
          <w:rStyle w:val="a7"/>
          <w:rFonts w:cs="Arial"/>
          <w:rtl/>
        </w:rPr>
        <w:footnoteReference w:id="243"/>
      </w:r>
      <w:r w:rsidR="00CE6C1B">
        <w:rPr>
          <w:rFonts w:cs="Arial" w:hint="cs"/>
          <w:rtl/>
        </w:rPr>
        <w:t xml:space="preserve"> </w:t>
      </w:r>
      <w:r w:rsidR="00A82951">
        <w:rPr>
          <w:rFonts w:cs="Arial" w:hint="cs"/>
          <w:rtl/>
        </w:rPr>
        <w:t>-</w:t>
      </w:r>
      <w:r w:rsidRPr="003E0C14">
        <w:rPr>
          <w:rFonts w:cs="Arial"/>
          <w:rtl/>
        </w:rPr>
        <w:t xml:space="preserve"> כתובו</w:t>
      </w:r>
      <w:r w:rsidR="002E1C51">
        <w:rPr>
          <w:rFonts w:cs="Arial" w:hint="cs"/>
          <w:rtl/>
        </w:rPr>
        <w:t xml:space="preserve"> </w:t>
      </w:r>
      <w:r w:rsidRPr="003E0C14">
        <w:rPr>
          <w:rFonts w:cs="Arial"/>
          <w:rtl/>
        </w:rPr>
        <w:t>או כולכון או כל חד וחד מינכון, חתומו</w:t>
      </w:r>
      <w:r w:rsidR="002E1C51">
        <w:rPr>
          <w:rFonts w:cs="Arial" w:hint="cs"/>
          <w:rtl/>
        </w:rPr>
        <w:t xml:space="preserve"> </w:t>
      </w:r>
      <w:r w:rsidRPr="003E0C14">
        <w:rPr>
          <w:rFonts w:cs="Arial"/>
          <w:rtl/>
        </w:rPr>
        <w:t xml:space="preserve">או כולכון או כל תרי מינכון, אובילו או כולכון או כל חד וחד מינכון. </w:t>
      </w:r>
      <w:r w:rsidRPr="002E1C51">
        <w:rPr>
          <w:rFonts w:cs="Arial"/>
          <w:u w:val="single"/>
          <w:rtl/>
        </w:rPr>
        <w:t>אמר רבא</w:t>
      </w:r>
      <w:r w:rsidRPr="003E0C14">
        <w:rPr>
          <w:rFonts w:cs="Arial"/>
          <w:rtl/>
        </w:rPr>
        <w:t xml:space="preserve">: זימנין דגאיז ליה לדיבוריה, ואמר כולכון ולא אמר כל חד מינכון, ואתי לאיפסולי! </w:t>
      </w:r>
      <w:r w:rsidRPr="002E1C51">
        <w:rPr>
          <w:rFonts w:cs="Arial"/>
          <w:u w:val="single"/>
          <w:rtl/>
        </w:rPr>
        <w:t>אלא אמר רבא</w:t>
      </w:r>
      <w:r w:rsidRPr="003E0C14">
        <w:rPr>
          <w:rFonts w:cs="Arial"/>
          <w:rtl/>
        </w:rPr>
        <w:t xml:space="preserve">: כתובו כל חד מינכון, חתומו כל תרי מינכון, אובילו כל חד מינכון. </w:t>
      </w:r>
    </w:p>
    <w:p w14:paraId="4FD3BB60" w14:textId="1D3E4E42" w:rsidR="003E0C14" w:rsidRPr="005A3CAC" w:rsidRDefault="005A3CAC" w:rsidP="003E0C14">
      <w:pPr>
        <w:rPr>
          <w:u w:val="single"/>
          <w:rtl/>
        </w:rPr>
      </w:pPr>
      <w:r w:rsidRPr="005A3CAC">
        <w:rPr>
          <w:rFonts w:hint="cs"/>
          <w:u w:val="single"/>
          <w:rtl/>
        </w:rPr>
        <w:t>מה תיקנו חכמים לכתוב בגט שאדם ציוה לכותבו במעמד רבים:</w:t>
      </w:r>
    </w:p>
    <w:p w14:paraId="4E1A7239" w14:textId="474280DC" w:rsidR="005A3CAC" w:rsidRDefault="005A3CAC" w:rsidP="00A65C5F">
      <w:pPr>
        <w:pStyle w:val="ab"/>
        <w:numPr>
          <w:ilvl w:val="0"/>
          <w:numId w:val="24"/>
        </w:numPr>
      </w:pPr>
      <w:r>
        <w:rPr>
          <w:rFonts w:cs="Arial" w:hint="cs"/>
          <w:rtl/>
        </w:rPr>
        <w:t>(</w:t>
      </w:r>
      <w:r w:rsidR="006E369D" w:rsidRPr="00201037">
        <w:rPr>
          <w:rFonts w:cs="Arial"/>
          <w:rtl/>
        </w:rPr>
        <w:t>רש"י</w:t>
      </w:r>
      <w:r>
        <w:rPr>
          <w:rFonts w:cs="Arial" w:hint="cs"/>
          <w:sz w:val="16"/>
          <w:szCs w:val="16"/>
          <w:rtl/>
        </w:rPr>
        <w:t xml:space="preserve"> להב' הטור</w:t>
      </w:r>
      <w:r>
        <w:rPr>
          <w:rFonts w:cs="Arial" w:hint="cs"/>
          <w:rtl/>
        </w:rPr>
        <w:t>)</w:t>
      </w:r>
      <w:r w:rsidR="00A82951">
        <w:rPr>
          <w:rFonts w:cs="Arial" w:hint="cs"/>
          <w:rtl/>
        </w:rPr>
        <w:t>-</w:t>
      </w:r>
      <w:r w:rsidR="006E369D" w:rsidRPr="00201037">
        <w:rPr>
          <w:rFonts w:cs="Arial"/>
          <w:rtl/>
        </w:rPr>
        <w:t xml:space="preserve"> תיקון חכמים בגט</w:t>
      </w:r>
      <w:r>
        <w:rPr>
          <w:rFonts w:cs="Arial" w:hint="cs"/>
          <w:rtl/>
        </w:rPr>
        <w:t>,</w:t>
      </w:r>
      <w:r w:rsidR="006E369D" w:rsidRPr="00201037">
        <w:rPr>
          <w:rFonts w:cs="Arial"/>
          <w:rtl/>
        </w:rPr>
        <w:t xml:space="preserve"> שאדם מצוה לכתוב במעמד רבים</w:t>
      </w:r>
      <w:r>
        <w:rPr>
          <w:rFonts w:cs="Arial" w:hint="cs"/>
          <w:rtl/>
        </w:rPr>
        <w:t>,</w:t>
      </w:r>
      <w:r w:rsidR="006E369D" w:rsidRPr="00201037">
        <w:rPr>
          <w:rFonts w:cs="Arial"/>
          <w:rtl/>
        </w:rPr>
        <w:t xml:space="preserve"> שיכתבו בפירוש שכך אמר כתבו כל א' מכם</w:t>
      </w:r>
      <w:r>
        <w:rPr>
          <w:rFonts w:cs="Arial" w:hint="cs"/>
          <w:rtl/>
        </w:rPr>
        <w:t>,</w:t>
      </w:r>
      <w:r w:rsidR="006E369D" w:rsidRPr="00201037">
        <w:rPr>
          <w:rFonts w:cs="Arial"/>
          <w:rtl/>
        </w:rPr>
        <w:t xml:space="preserve"> שלא יטעו לומר שצוה לכולם</w:t>
      </w:r>
      <w:r w:rsidR="008A58FE">
        <w:rPr>
          <w:rStyle w:val="a7"/>
          <w:rFonts w:cs="Arial"/>
          <w:rtl/>
        </w:rPr>
        <w:footnoteReference w:id="244"/>
      </w:r>
      <w:r w:rsidR="00A85EF3">
        <w:rPr>
          <w:rFonts w:cs="Arial" w:hint="cs"/>
          <w:sz w:val="16"/>
          <w:szCs w:val="16"/>
          <w:rtl/>
        </w:rPr>
        <w:t xml:space="preserve"> (ל' הטור בשם רש"י)</w:t>
      </w:r>
      <w:r w:rsidR="002E1C51">
        <w:rPr>
          <w:rFonts w:cs="Arial" w:hint="cs"/>
          <w:rtl/>
        </w:rPr>
        <w:t>.</w:t>
      </w:r>
      <w:r w:rsidR="006E369D" w:rsidRPr="00201037">
        <w:rPr>
          <w:rFonts w:cs="Arial"/>
          <w:rtl/>
        </w:rPr>
        <w:t xml:space="preserve"> </w:t>
      </w:r>
    </w:p>
    <w:p w14:paraId="2A92CBEC" w14:textId="522FA729" w:rsidR="008A58FE" w:rsidRPr="005A3CAC" w:rsidRDefault="008A58FE" w:rsidP="00A65C5F">
      <w:pPr>
        <w:pStyle w:val="ab"/>
        <w:numPr>
          <w:ilvl w:val="0"/>
          <w:numId w:val="24"/>
        </w:numPr>
        <w:rPr>
          <w:rtl/>
        </w:rPr>
      </w:pPr>
      <w:r>
        <w:rPr>
          <w:rFonts w:cs="Arial" w:hint="cs"/>
          <w:rtl/>
        </w:rPr>
        <w:lastRenderedPageBreak/>
        <w:t>(</w:t>
      </w:r>
      <w:r w:rsidRPr="00201037">
        <w:rPr>
          <w:rFonts w:cs="Arial"/>
          <w:rtl/>
        </w:rPr>
        <w:t>רש"י</w:t>
      </w:r>
      <w:r>
        <w:rPr>
          <w:rFonts w:cs="Arial" w:hint="cs"/>
          <w:sz w:val="16"/>
          <w:szCs w:val="16"/>
          <w:rtl/>
        </w:rPr>
        <w:t xml:space="preserve"> להב' הב"י</w:t>
      </w:r>
      <w:r>
        <w:rPr>
          <w:rFonts w:cs="Arial" w:hint="cs"/>
          <w:rtl/>
        </w:rPr>
        <w:t xml:space="preserve">) </w:t>
      </w:r>
      <w:r w:rsidRPr="005A3CAC">
        <w:rPr>
          <w:rFonts w:cs="Arial"/>
          <w:rtl/>
        </w:rPr>
        <w:t>רמב"ם</w:t>
      </w:r>
      <w:r>
        <w:rPr>
          <w:rStyle w:val="a7"/>
          <w:rFonts w:cs="Arial"/>
          <w:rtl/>
        </w:rPr>
        <w:footnoteReference w:id="245"/>
      </w:r>
      <w:r w:rsidRPr="005A3CAC">
        <w:rPr>
          <w:rFonts w:cs="Arial"/>
          <w:rtl/>
        </w:rPr>
        <w:t xml:space="preserve"> </w:t>
      </w:r>
      <w:r w:rsidRPr="008A58FE">
        <w:rPr>
          <w:rFonts w:cs="Arial" w:hint="cs"/>
          <w:sz w:val="16"/>
          <w:szCs w:val="16"/>
          <w:rtl/>
        </w:rPr>
        <w:t>(</w:t>
      </w:r>
      <w:r w:rsidRPr="008A58FE">
        <w:rPr>
          <w:rFonts w:cs="Arial"/>
          <w:sz w:val="16"/>
          <w:szCs w:val="16"/>
          <w:rtl/>
        </w:rPr>
        <w:t>פ</w:t>
      </w:r>
      <w:r w:rsidRPr="008A58FE">
        <w:rPr>
          <w:rFonts w:cs="Arial" w:hint="cs"/>
          <w:sz w:val="16"/>
          <w:szCs w:val="16"/>
          <w:rtl/>
        </w:rPr>
        <w:t>"</w:t>
      </w:r>
      <w:r w:rsidRPr="008A58FE">
        <w:rPr>
          <w:rFonts w:cs="Arial"/>
          <w:sz w:val="16"/>
          <w:szCs w:val="16"/>
          <w:rtl/>
        </w:rPr>
        <w:t>ט הכ"ח)</w:t>
      </w:r>
      <w:r>
        <w:rPr>
          <w:rFonts w:cs="Arial" w:hint="cs"/>
          <w:rtl/>
        </w:rPr>
        <w:t xml:space="preserve"> ו</w:t>
      </w:r>
      <w:r w:rsidRPr="005A3CAC">
        <w:rPr>
          <w:rFonts w:cs="Arial"/>
          <w:rtl/>
        </w:rPr>
        <w:t xml:space="preserve">ר"ן </w:t>
      </w:r>
      <w:r w:rsidRPr="008A58FE">
        <w:rPr>
          <w:rFonts w:cs="Arial"/>
          <w:sz w:val="16"/>
          <w:szCs w:val="16"/>
          <w:rtl/>
        </w:rPr>
        <w:t>(לג: ד"ה והשתא)</w:t>
      </w:r>
      <w:r w:rsidR="00A82951">
        <w:rPr>
          <w:rFonts w:cs="Arial" w:hint="cs"/>
          <w:rtl/>
        </w:rPr>
        <w:t>-</w:t>
      </w:r>
      <w:r w:rsidRPr="005A3CAC">
        <w:rPr>
          <w:rFonts w:cs="Arial"/>
          <w:rtl/>
        </w:rPr>
        <w:t xml:space="preserve"> בגיטא דכולכם</w:t>
      </w:r>
      <w:r w:rsidRPr="005A3CAC">
        <w:rPr>
          <w:rFonts w:cs="Arial" w:hint="cs"/>
          <w:rtl/>
        </w:rPr>
        <w:t>,</w:t>
      </w:r>
      <w:r w:rsidRPr="005A3CAC">
        <w:rPr>
          <w:rFonts w:cs="Arial"/>
          <w:rtl/>
        </w:rPr>
        <w:t xml:space="preserve"> כלומר בגט שאדם אומר במעמד רבים</w:t>
      </w:r>
      <w:r w:rsidRPr="005A3CAC">
        <w:rPr>
          <w:rFonts w:cs="Arial" w:hint="cs"/>
          <w:rtl/>
        </w:rPr>
        <w:t>,</w:t>
      </w:r>
      <w:r w:rsidRPr="005A3CAC">
        <w:rPr>
          <w:rFonts w:cs="Arial"/>
          <w:rtl/>
        </w:rPr>
        <w:t xml:space="preserve"> שלא יאמר כתבו או הוליכו בלבד</w:t>
      </w:r>
      <w:r w:rsidRPr="005A3CAC">
        <w:rPr>
          <w:rFonts w:cs="Arial" w:hint="cs"/>
          <w:rtl/>
        </w:rPr>
        <w:t>,</w:t>
      </w:r>
      <w:r w:rsidRPr="005A3CAC">
        <w:rPr>
          <w:rFonts w:cs="Arial"/>
          <w:rtl/>
        </w:rPr>
        <w:t xml:space="preserve"> שיש לחוש שמא יאמר </w:t>
      </w:r>
      <w:r w:rsidRPr="005A3CAC">
        <w:rPr>
          <w:rFonts w:cs="Arial" w:hint="cs"/>
          <w:rtl/>
        </w:rPr>
        <w:t>'</w:t>
      </w:r>
      <w:r w:rsidRPr="005A3CAC">
        <w:rPr>
          <w:rFonts w:cs="Arial"/>
          <w:rtl/>
        </w:rPr>
        <w:t>כולכם</w:t>
      </w:r>
      <w:r w:rsidRPr="005A3CAC">
        <w:rPr>
          <w:rFonts w:cs="Arial" w:hint="cs"/>
          <w:rtl/>
        </w:rPr>
        <w:t>'</w:t>
      </w:r>
      <w:r w:rsidRPr="005A3CAC">
        <w:rPr>
          <w:rFonts w:cs="Arial"/>
          <w:rtl/>
        </w:rPr>
        <w:t xml:space="preserve"> ולא יחתמו כולם ונמצא גט בטל</w:t>
      </w:r>
      <w:r>
        <w:rPr>
          <w:rFonts w:cs="Arial" w:hint="cs"/>
          <w:rtl/>
        </w:rPr>
        <w:t>,</w:t>
      </w:r>
      <w:r w:rsidRPr="005A3CAC">
        <w:rPr>
          <w:rFonts w:cs="Arial"/>
          <w:rtl/>
        </w:rPr>
        <w:t xml:space="preserve"> אלא כך יאמר </w:t>
      </w:r>
      <w:r>
        <w:rPr>
          <w:rFonts w:cs="Arial" w:hint="cs"/>
          <w:rtl/>
        </w:rPr>
        <w:t>'</w:t>
      </w:r>
      <w:r w:rsidRPr="005A3CAC">
        <w:rPr>
          <w:rFonts w:cs="Arial"/>
          <w:rtl/>
        </w:rPr>
        <w:t>כתבו כל חד מנכון</w:t>
      </w:r>
      <w:r>
        <w:rPr>
          <w:rFonts w:cs="Arial" w:hint="cs"/>
          <w:rtl/>
        </w:rPr>
        <w:t>'</w:t>
      </w:r>
      <w:r>
        <w:rPr>
          <w:rFonts w:cs="Arial" w:hint="cs"/>
          <w:sz w:val="16"/>
          <w:szCs w:val="16"/>
          <w:rtl/>
        </w:rPr>
        <w:t xml:space="preserve"> (ל' הר"ן)</w:t>
      </w:r>
      <w:r w:rsidRPr="005A3CAC">
        <w:rPr>
          <w:rFonts w:cs="Arial" w:hint="cs"/>
          <w:rtl/>
        </w:rPr>
        <w:t>.</w:t>
      </w:r>
      <w:r w:rsidRPr="005A3CAC">
        <w:rPr>
          <w:rFonts w:cs="Arial"/>
          <w:rtl/>
        </w:rPr>
        <w:t xml:space="preserve"> </w:t>
      </w:r>
      <w:r w:rsidR="001355D1" w:rsidRPr="001355D1">
        <w:rPr>
          <w:rFonts w:hint="cs"/>
          <w:color w:val="E36C0A" w:themeColor="accent6" w:themeShade="BF"/>
          <w:rtl/>
        </w:rPr>
        <w:t>(וכ"פ בשו"ע)</w:t>
      </w:r>
    </w:p>
    <w:p w14:paraId="1A43036D" w14:textId="4F8D635E" w:rsidR="003D1374" w:rsidRPr="003D1374" w:rsidRDefault="003D1374" w:rsidP="00A65C5F">
      <w:pPr>
        <w:pStyle w:val="ab"/>
        <w:numPr>
          <w:ilvl w:val="0"/>
          <w:numId w:val="24"/>
        </w:numPr>
        <w:rPr>
          <w:rFonts w:cs="Arial"/>
          <w:rtl/>
        </w:rPr>
      </w:pPr>
      <w:r w:rsidRPr="003D1374">
        <w:rPr>
          <w:rFonts w:cs="Arial"/>
          <w:rtl/>
        </w:rPr>
        <w:t>ר</w:t>
      </w:r>
      <w:r w:rsidRPr="003D1374">
        <w:rPr>
          <w:rFonts w:cs="Arial" w:hint="cs"/>
          <w:rtl/>
        </w:rPr>
        <w:t>י"ו</w:t>
      </w:r>
      <w:r w:rsidRPr="003D1374">
        <w:rPr>
          <w:rFonts w:cs="Arial"/>
          <w:sz w:val="16"/>
          <w:szCs w:val="16"/>
          <w:rtl/>
        </w:rPr>
        <w:t xml:space="preserve"> </w:t>
      </w:r>
      <w:r w:rsidRPr="003D1374">
        <w:rPr>
          <w:rFonts w:cs="Arial" w:hint="cs"/>
          <w:sz w:val="16"/>
          <w:szCs w:val="16"/>
          <w:rtl/>
        </w:rPr>
        <w:t>(</w:t>
      </w:r>
      <w:r w:rsidRPr="003D1374">
        <w:rPr>
          <w:rFonts w:cs="Arial"/>
          <w:sz w:val="16"/>
          <w:szCs w:val="16"/>
          <w:rtl/>
        </w:rPr>
        <w:t>ח</w:t>
      </w:r>
      <w:r w:rsidRPr="003D1374">
        <w:rPr>
          <w:rFonts w:cs="Arial" w:hint="cs"/>
          <w:sz w:val="16"/>
          <w:szCs w:val="16"/>
          <w:rtl/>
        </w:rPr>
        <w:t>"</w:t>
      </w:r>
      <w:r w:rsidRPr="003D1374">
        <w:rPr>
          <w:rFonts w:cs="Arial"/>
          <w:sz w:val="16"/>
          <w:szCs w:val="16"/>
          <w:rtl/>
        </w:rPr>
        <w:t>ג נכ"ד רי ע"א)</w:t>
      </w:r>
      <w:r w:rsidR="00A82951">
        <w:rPr>
          <w:rFonts w:cs="Arial" w:hint="cs"/>
          <w:rtl/>
        </w:rPr>
        <w:t>-</w:t>
      </w:r>
      <w:r w:rsidRPr="003D1374">
        <w:rPr>
          <w:rFonts w:cs="Arial" w:hint="cs"/>
          <w:rtl/>
        </w:rPr>
        <w:t xml:space="preserve"> </w:t>
      </w:r>
      <w:r w:rsidRPr="003D1374">
        <w:rPr>
          <w:rFonts w:cs="Arial"/>
          <w:rtl/>
        </w:rPr>
        <w:t xml:space="preserve">והשתא תקינו רבנן בגיטא שאם אמר </w:t>
      </w:r>
      <w:r>
        <w:rPr>
          <w:rFonts w:cs="Arial" w:hint="cs"/>
          <w:rtl/>
        </w:rPr>
        <w:t>'</w:t>
      </w:r>
      <w:r w:rsidRPr="003D1374">
        <w:rPr>
          <w:rFonts w:cs="Arial"/>
          <w:rtl/>
        </w:rPr>
        <w:t>כולכם כתובו</w:t>
      </w:r>
      <w:r>
        <w:rPr>
          <w:rFonts w:cs="Arial" w:hint="cs"/>
          <w:rtl/>
        </w:rPr>
        <w:t xml:space="preserve">' </w:t>
      </w:r>
      <w:r w:rsidR="00A82951">
        <w:rPr>
          <w:rFonts w:cs="Arial" w:hint="cs"/>
          <w:rtl/>
        </w:rPr>
        <w:t>-</w:t>
      </w:r>
      <w:r w:rsidRPr="003D1374">
        <w:rPr>
          <w:rFonts w:cs="Arial"/>
          <w:rtl/>
        </w:rPr>
        <w:t xml:space="preserve"> שרוצה לומר </w:t>
      </w:r>
      <w:r>
        <w:rPr>
          <w:rFonts w:cs="Arial" w:hint="cs"/>
          <w:rtl/>
        </w:rPr>
        <w:t>'</w:t>
      </w:r>
      <w:r w:rsidRPr="003D1374">
        <w:rPr>
          <w:rFonts w:cs="Arial"/>
          <w:rtl/>
        </w:rPr>
        <w:t>שום אחד מכם</w:t>
      </w:r>
      <w:r>
        <w:rPr>
          <w:rFonts w:cs="Arial" w:hint="cs"/>
          <w:rtl/>
        </w:rPr>
        <w:t>'.</w:t>
      </w:r>
      <w:r w:rsidRPr="003D1374">
        <w:rPr>
          <w:rFonts w:cs="Arial"/>
          <w:rtl/>
        </w:rPr>
        <w:t xml:space="preserve"> וכן אם אמר </w:t>
      </w:r>
      <w:r>
        <w:rPr>
          <w:rFonts w:cs="Arial" w:hint="cs"/>
          <w:rtl/>
        </w:rPr>
        <w:t>'</w:t>
      </w:r>
      <w:r w:rsidRPr="003D1374">
        <w:rPr>
          <w:rFonts w:cs="Arial"/>
          <w:rtl/>
        </w:rPr>
        <w:t>כולכם חתומו</w:t>
      </w:r>
      <w:r>
        <w:rPr>
          <w:rFonts w:cs="Arial" w:hint="cs"/>
          <w:rtl/>
        </w:rPr>
        <w:t xml:space="preserve">' </w:t>
      </w:r>
      <w:r w:rsidR="00A82951">
        <w:rPr>
          <w:rFonts w:cs="Arial" w:hint="cs"/>
          <w:rtl/>
        </w:rPr>
        <w:t>-</w:t>
      </w:r>
      <w:r w:rsidRPr="003D1374">
        <w:rPr>
          <w:rFonts w:cs="Arial"/>
          <w:rtl/>
        </w:rPr>
        <w:t xml:space="preserve"> שרוצה לומר </w:t>
      </w:r>
      <w:r>
        <w:rPr>
          <w:rFonts w:cs="Arial" w:hint="cs"/>
          <w:rtl/>
        </w:rPr>
        <w:t>'</w:t>
      </w:r>
      <w:r w:rsidRPr="003D1374">
        <w:rPr>
          <w:rFonts w:cs="Arial"/>
          <w:rtl/>
        </w:rPr>
        <w:t>כל שנים מכם</w:t>
      </w:r>
      <w:r>
        <w:rPr>
          <w:rFonts w:cs="Arial" w:hint="cs"/>
          <w:rtl/>
        </w:rPr>
        <w:t>'.</w:t>
      </w:r>
      <w:r w:rsidRPr="003D1374">
        <w:rPr>
          <w:rFonts w:cs="Arial"/>
          <w:rtl/>
        </w:rPr>
        <w:t xml:space="preserve"> וכן אם אמר </w:t>
      </w:r>
      <w:r>
        <w:rPr>
          <w:rFonts w:cs="Arial" w:hint="cs"/>
          <w:rtl/>
        </w:rPr>
        <w:t>'</w:t>
      </w:r>
      <w:r w:rsidRPr="003D1374">
        <w:rPr>
          <w:rFonts w:cs="Arial"/>
          <w:rtl/>
        </w:rPr>
        <w:t>כולכם הוליכו</w:t>
      </w:r>
      <w:r>
        <w:rPr>
          <w:rFonts w:cs="Arial" w:hint="cs"/>
          <w:rtl/>
        </w:rPr>
        <w:t>'</w:t>
      </w:r>
      <w:r w:rsidRPr="003D1374">
        <w:rPr>
          <w:rFonts w:cs="Arial"/>
          <w:rtl/>
        </w:rPr>
        <w:t xml:space="preserve"> </w:t>
      </w:r>
      <w:r w:rsidR="00A82951">
        <w:rPr>
          <w:rFonts w:cs="Arial" w:hint="cs"/>
          <w:rtl/>
        </w:rPr>
        <w:t>-</w:t>
      </w:r>
      <w:r>
        <w:rPr>
          <w:rFonts w:cs="Arial" w:hint="cs"/>
          <w:rtl/>
        </w:rPr>
        <w:t xml:space="preserve"> </w:t>
      </w:r>
      <w:r w:rsidRPr="003D1374">
        <w:rPr>
          <w:rFonts w:cs="Arial"/>
          <w:rtl/>
        </w:rPr>
        <w:t xml:space="preserve">רוצה לומר </w:t>
      </w:r>
      <w:r>
        <w:rPr>
          <w:rFonts w:cs="Arial" w:hint="cs"/>
          <w:rtl/>
        </w:rPr>
        <w:t>'</w:t>
      </w:r>
      <w:r w:rsidRPr="003D1374">
        <w:rPr>
          <w:rFonts w:cs="Arial"/>
          <w:rtl/>
        </w:rPr>
        <w:t>כל אחד מכם</w:t>
      </w:r>
      <w:r>
        <w:rPr>
          <w:rFonts w:cs="Arial" w:hint="cs"/>
          <w:rtl/>
        </w:rPr>
        <w:t>'</w:t>
      </w:r>
      <w:r>
        <w:rPr>
          <w:rStyle w:val="a7"/>
          <w:rFonts w:cs="Arial"/>
          <w:rtl/>
        </w:rPr>
        <w:footnoteReference w:id="246"/>
      </w:r>
      <w:r w:rsidRPr="003D1374">
        <w:rPr>
          <w:rFonts w:cs="Arial" w:hint="cs"/>
          <w:rtl/>
        </w:rPr>
        <w:t>.</w:t>
      </w:r>
    </w:p>
    <w:p w14:paraId="17E730A3" w14:textId="26C91E04" w:rsidR="003D1374" w:rsidRDefault="003D1374" w:rsidP="00A65C5F">
      <w:pPr>
        <w:pStyle w:val="ab"/>
        <w:numPr>
          <w:ilvl w:val="0"/>
          <w:numId w:val="24"/>
        </w:numPr>
        <w:rPr>
          <w:rtl/>
        </w:rPr>
      </w:pPr>
      <w:r w:rsidRPr="003D1374">
        <w:rPr>
          <w:rFonts w:cs="Arial"/>
          <w:rtl/>
        </w:rPr>
        <w:t xml:space="preserve">רא"ש </w:t>
      </w:r>
      <w:r w:rsidRPr="003D1374">
        <w:rPr>
          <w:rFonts w:cs="Arial"/>
          <w:sz w:val="16"/>
          <w:szCs w:val="16"/>
          <w:rtl/>
        </w:rPr>
        <w:t>(פ"ז סכ"א)</w:t>
      </w:r>
      <w:r w:rsidR="00A82951">
        <w:rPr>
          <w:rFonts w:cs="Arial" w:hint="cs"/>
          <w:rtl/>
        </w:rPr>
        <w:t>-</w:t>
      </w:r>
      <w:r>
        <w:rPr>
          <w:rFonts w:cs="Arial" w:hint="cs"/>
          <w:rtl/>
        </w:rPr>
        <w:t xml:space="preserve"> </w:t>
      </w:r>
      <w:r w:rsidRPr="003D1374">
        <w:rPr>
          <w:rFonts w:cs="Arial"/>
          <w:rtl/>
        </w:rPr>
        <w:t>והשתא תקון רבנן בגיטא דכולכם כתובו או כולכם או כל חד מינכון חתומו או כולכם או תרין מינכון</w:t>
      </w:r>
      <w:r>
        <w:rPr>
          <w:rStyle w:val="a7"/>
          <w:rFonts w:cs="Arial"/>
          <w:rtl/>
        </w:rPr>
        <w:footnoteReference w:id="247"/>
      </w:r>
      <w:r>
        <w:rPr>
          <w:rFonts w:cs="Arial" w:hint="cs"/>
          <w:rtl/>
        </w:rPr>
        <w:t>.</w:t>
      </w:r>
      <w:r w:rsidRPr="003D1374">
        <w:rPr>
          <w:rFonts w:cs="Arial"/>
          <w:rtl/>
        </w:rPr>
        <w:t xml:space="preserve"> </w:t>
      </w:r>
    </w:p>
    <w:p w14:paraId="5A4B2676" w14:textId="46E10E18" w:rsidR="005A3CAC" w:rsidRPr="005A3CAC" w:rsidRDefault="005A3CAC" w:rsidP="005A3CAC">
      <w:pPr>
        <w:ind w:left="360"/>
        <w:rPr>
          <w:u w:val="dotted"/>
        </w:rPr>
      </w:pPr>
      <w:r w:rsidRPr="005A3CAC">
        <w:rPr>
          <w:rFonts w:hint="cs"/>
          <w:u w:val="dotted"/>
          <w:rtl/>
        </w:rPr>
        <w:t xml:space="preserve">ומה הדין אם אמר סתם </w:t>
      </w:r>
      <w:r w:rsidR="00477CF5">
        <w:rPr>
          <w:rFonts w:hint="cs"/>
          <w:u w:val="dotted"/>
          <w:rtl/>
        </w:rPr>
        <w:t>בפני רבים 'כתבו גט'</w:t>
      </w:r>
      <w:r w:rsidR="00477CF5">
        <w:rPr>
          <w:rFonts w:hint="cs"/>
          <w:sz w:val="16"/>
          <w:szCs w:val="16"/>
          <w:u w:val="dotted"/>
          <w:rtl/>
        </w:rPr>
        <w:t xml:space="preserve"> (ולא אמר 'כולכם')</w:t>
      </w:r>
      <w:r w:rsidRPr="005A3CAC">
        <w:rPr>
          <w:rFonts w:hint="cs"/>
          <w:u w:val="dotted"/>
          <w:rtl/>
        </w:rPr>
        <w:t>:</w:t>
      </w:r>
    </w:p>
    <w:p w14:paraId="5AE5E6FA" w14:textId="1B3E6B4F" w:rsidR="009F4814" w:rsidRPr="009F4814" w:rsidRDefault="006E369D" w:rsidP="00A65C5F">
      <w:pPr>
        <w:pStyle w:val="ab"/>
        <w:numPr>
          <w:ilvl w:val="0"/>
          <w:numId w:val="24"/>
        </w:numPr>
      </w:pPr>
      <w:r w:rsidRPr="00201037">
        <w:rPr>
          <w:rFonts w:cs="Arial"/>
          <w:rtl/>
        </w:rPr>
        <w:t>גאון</w:t>
      </w:r>
      <w:r w:rsidR="005A3CAC">
        <w:rPr>
          <w:rFonts w:cs="Arial" w:hint="cs"/>
          <w:sz w:val="16"/>
          <w:szCs w:val="16"/>
          <w:rtl/>
        </w:rPr>
        <w:t xml:space="preserve"> (כ"כ</w:t>
      </w:r>
      <w:r w:rsidR="008351F1">
        <w:rPr>
          <w:rFonts w:cs="Arial" w:hint="cs"/>
          <w:sz w:val="16"/>
          <w:szCs w:val="16"/>
          <w:rtl/>
        </w:rPr>
        <w:t xml:space="preserve"> בשמו בהעי"ט [מאמר ז דף כח טור ד]</w:t>
      </w:r>
      <w:r w:rsidR="005A3CAC">
        <w:rPr>
          <w:rFonts w:cs="Arial" w:hint="cs"/>
          <w:sz w:val="16"/>
          <w:szCs w:val="16"/>
          <w:rtl/>
        </w:rPr>
        <w:t xml:space="preserve"> </w:t>
      </w:r>
      <w:r w:rsidR="008351F1">
        <w:rPr>
          <w:rFonts w:cs="Arial" w:hint="cs"/>
          <w:sz w:val="16"/>
          <w:szCs w:val="16"/>
          <w:rtl/>
        </w:rPr>
        <w:t>ו</w:t>
      </w:r>
      <w:r w:rsidR="005A3CAC">
        <w:rPr>
          <w:rFonts w:cs="Arial" w:hint="cs"/>
          <w:sz w:val="16"/>
          <w:szCs w:val="16"/>
          <w:rtl/>
        </w:rPr>
        <w:t>הטור)</w:t>
      </w:r>
      <w:r w:rsidR="00A82951">
        <w:rPr>
          <w:rFonts w:cs="Arial" w:hint="cs"/>
          <w:rtl/>
        </w:rPr>
        <w:t>-</w:t>
      </w:r>
      <w:r w:rsidR="005A3CAC">
        <w:rPr>
          <w:rFonts w:cs="Arial" w:hint="cs"/>
          <w:rtl/>
        </w:rPr>
        <w:t xml:space="preserve"> </w:t>
      </w:r>
      <w:r w:rsidR="008351F1" w:rsidRPr="008351F1">
        <w:rPr>
          <w:rFonts w:cs="Arial"/>
          <w:rtl/>
        </w:rPr>
        <w:t xml:space="preserve">בתר תקנה אי אמר סתם ולא אמר כולכם </w:t>
      </w:r>
      <w:r w:rsidR="00A82951">
        <w:rPr>
          <w:rFonts w:cs="Arial"/>
          <w:rtl/>
        </w:rPr>
        <w:t>-</w:t>
      </w:r>
      <w:r w:rsidR="009F4814">
        <w:rPr>
          <w:rFonts w:cs="Arial" w:hint="cs"/>
          <w:rtl/>
        </w:rPr>
        <w:t xml:space="preserve"> </w:t>
      </w:r>
      <w:r w:rsidR="008351F1" w:rsidRPr="008351F1">
        <w:rPr>
          <w:rFonts w:cs="Arial"/>
          <w:rtl/>
        </w:rPr>
        <w:t>אע</w:t>
      </w:r>
      <w:r w:rsidR="009F4814">
        <w:rPr>
          <w:rFonts w:cs="Arial" w:hint="cs"/>
          <w:rtl/>
        </w:rPr>
        <w:t>"</w:t>
      </w:r>
      <w:r w:rsidR="008351F1" w:rsidRPr="008351F1">
        <w:rPr>
          <w:rFonts w:cs="Arial"/>
          <w:rtl/>
        </w:rPr>
        <w:t>פ שאינו במעמד כולן כשר</w:t>
      </w:r>
      <w:r w:rsidR="009F4814">
        <w:rPr>
          <w:rStyle w:val="a7"/>
          <w:rFonts w:cs="Arial"/>
          <w:rtl/>
        </w:rPr>
        <w:footnoteReference w:id="248"/>
      </w:r>
      <w:r w:rsidR="008351F1" w:rsidRPr="008351F1">
        <w:rPr>
          <w:rFonts w:cs="Arial"/>
          <w:rtl/>
        </w:rPr>
        <w:t>. וכן חתומו סתם</w:t>
      </w:r>
      <w:r w:rsidR="009F4814">
        <w:rPr>
          <w:rFonts w:cs="Arial" w:hint="cs"/>
          <w:rtl/>
        </w:rPr>
        <w:t xml:space="preserve"> </w:t>
      </w:r>
      <w:r w:rsidR="00A82951">
        <w:rPr>
          <w:rFonts w:cs="Arial" w:hint="cs"/>
          <w:rtl/>
        </w:rPr>
        <w:t>-</w:t>
      </w:r>
      <w:r w:rsidR="008351F1" w:rsidRPr="008351F1">
        <w:rPr>
          <w:rFonts w:cs="Arial"/>
          <w:rtl/>
        </w:rPr>
        <w:t xml:space="preserve"> אין עליהן לחתום אלא שנים</w:t>
      </w:r>
      <w:r w:rsidR="009F4814">
        <w:rPr>
          <w:rFonts w:cs="Arial" w:hint="cs"/>
          <w:rtl/>
        </w:rPr>
        <w:t>,</w:t>
      </w:r>
      <w:r w:rsidR="008351F1" w:rsidRPr="008351F1">
        <w:rPr>
          <w:rFonts w:cs="Arial"/>
          <w:rtl/>
        </w:rPr>
        <w:t xml:space="preserve"> וכן הוליכו</w:t>
      </w:r>
      <w:r w:rsidR="009F4814">
        <w:rPr>
          <w:rFonts w:cs="Arial" w:hint="cs"/>
          <w:rtl/>
        </w:rPr>
        <w:t>,</w:t>
      </w:r>
      <w:r w:rsidR="008351F1" w:rsidRPr="008351F1">
        <w:rPr>
          <w:rFonts w:cs="Arial"/>
          <w:rtl/>
        </w:rPr>
        <w:t xml:space="preserve"> עד דאמר כולכם כתובו וכולכם חתומו</w:t>
      </w:r>
      <w:r w:rsidR="009F4814">
        <w:rPr>
          <w:rFonts w:cs="Arial" w:hint="cs"/>
          <w:rtl/>
        </w:rPr>
        <w:t>.</w:t>
      </w:r>
      <w:r w:rsidR="008351F1" w:rsidRPr="008351F1">
        <w:rPr>
          <w:rFonts w:cs="Arial"/>
          <w:rtl/>
        </w:rPr>
        <w:t xml:space="preserve"> והאי דאתקון</w:t>
      </w:r>
      <w:r w:rsidR="009F4814">
        <w:rPr>
          <w:rFonts w:cs="Arial" w:hint="cs"/>
          <w:rtl/>
        </w:rPr>
        <w:t>,</w:t>
      </w:r>
      <w:r w:rsidR="008351F1" w:rsidRPr="008351F1">
        <w:rPr>
          <w:rFonts w:cs="Arial"/>
          <w:rtl/>
        </w:rPr>
        <w:t xml:space="preserve"> עצה טובה קמ"ל כדי שלא יהא מחלוקת</w:t>
      </w:r>
      <w:r w:rsidR="009F4814">
        <w:rPr>
          <w:rFonts w:cs="Arial" w:hint="cs"/>
          <w:sz w:val="16"/>
          <w:szCs w:val="16"/>
          <w:rtl/>
        </w:rPr>
        <w:t xml:space="preserve"> (ל' בהעי"ט בשמו)</w:t>
      </w:r>
      <w:r w:rsidR="008351F1">
        <w:rPr>
          <w:rFonts w:cs="Arial" w:hint="cs"/>
          <w:rtl/>
        </w:rPr>
        <w:t>.</w:t>
      </w:r>
      <w:r w:rsidR="001355D1">
        <w:rPr>
          <w:rFonts w:hint="cs"/>
          <w:rtl/>
        </w:rPr>
        <w:t xml:space="preserve"> (וכ"פ ח"מ </w:t>
      </w:r>
      <w:r w:rsidR="001355D1">
        <w:rPr>
          <w:rFonts w:hint="cs"/>
          <w:sz w:val="16"/>
          <w:szCs w:val="16"/>
          <w:rtl/>
        </w:rPr>
        <w:t>[סקכ"ז]</w:t>
      </w:r>
      <w:r w:rsidR="001355D1">
        <w:rPr>
          <w:rFonts w:hint="cs"/>
          <w:rtl/>
        </w:rPr>
        <w:t>)</w:t>
      </w:r>
    </w:p>
    <w:p w14:paraId="297435DC" w14:textId="66BCA688" w:rsidR="009F4814" w:rsidRPr="001355D1" w:rsidRDefault="001355D1" w:rsidP="009F4814">
      <w:pPr>
        <w:rPr>
          <w:u w:val="single"/>
        </w:rPr>
      </w:pPr>
      <w:r w:rsidRPr="001355D1">
        <w:rPr>
          <w:rFonts w:hint="cs"/>
          <w:u w:val="single"/>
          <w:rtl/>
        </w:rPr>
        <w:t xml:space="preserve">נתינת גט </w:t>
      </w:r>
      <w:r w:rsidR="00A82951">
        <w:rPr>
          <w:u w:val="single"/>
          <w:rtl/>
        </w:rPr>
        <w:t>-</w:t>
      </w:r>
      <w:r w:rsidRPr="001355D1">
        <w:rPr>
          <w:rFonts w:hint="cs"/>
          <w:u w:val="single"/>
          <w:rtl/>
        </w:rPr>
        <w:t xml:space="preserve"> רק בפני מומחים:</w:t>
      </w:r>
    </w:p>
    <w:p w14:paraId="0EF313B7" w14:textId="517B7962" w:rsidR="001355D1" w:rsidRPr="001355D1" w:rsidRDefault="00BA15E7" w:rsidP="00A65C5F">
      <w:pPr>
        <w:pStyle w:val="ab"/>
        <w:numPr>
          <w:ilvl w:val="0"/>
          <w:numId w:val="24"/>
        </w:numPr>
      </w:pPr>
      <w:r w:rsidRPr="009F4814">
        <w:rPr>
          <w:rFonts w:cs="Arial"/>
          <w:rtl/>
        </w:rPr>
        <w:t xml:space="preserve">ריב"ש </w:t>
      </w:r>
      <w:r w:rsidR="001355D1" w:rsidRPr="001355D1">
        <w:rPr>
          <w:rFonts w:cs="Arial" w:hint="cs"/>
          <w:sz w:val="16"/>
          <w:szCs w:val="16"/>
          <w:rtl/>
        </w:rPr>
        <w:t>(</w:t>
      </w:r>
      <w:r w:rsidRPr="001355D1">
        <w:rPr>
          <w:rFonts w:cs="Arial"/>
          <w:sz w:val="16"/>
          <w:szCs w:val="16"/>
          <w:rtl/>
        </w:rPr>
        <w:t>סי</w:t>
      </w:r>
      <w:r w:rsidR="001355D1" w:rsidRPr="001355D1">
        <w:rPr>
          <w:rFonts w:cs="Arial" w:hint="cs"/>
          <w:sz w:val="16"/>
          <w:szCs w:val="16"/>
          <w:rtl/>
        </w:rPr>
        <w:t>'</w:t>
      </w:r>
      <w:r w:rsidRPr="001355D1">
        <w:rPr>
          <w:rFonts w:cs="Arial"/>
          <w:sz w:val="16"/>
          <w:szCs w:val="16"/>
          <w:rtl/>
        </w:rPr>
        <w:t xml:space="preserve"> שפט</w:t>
      </w:r>
      <w:r w:rsidR="001355D1" w:rsidRPr="001355D1">
        <w:rPr>
          <w:rFonts w:cs="Arial" w:hint="cs"/>
          <w:sz w:val="16"/>
          <w:szCs w:val="16"/>
          <w:rtl/>
        </w:rPr>
        <w:t>)</w:t>
      </w:r>
      <w:r w:rsidR="00A82951">
        <w:rPr>
          <w:rFonts w:cs="Arial" w:hint="cs"/>
          <w:rtl/>
        </w:rPr>
        <w:t>-</w:t>
      </w:r>
      <w:r w:rsidRPr="009F4814">
        <w:rPr>
          <w:rFonts w:cs="Arial"/>
          <w:rtl/>
        </w:rPr>
        <w:t xml:space="preserve"> מעיד אני על רבותי הר"ר פרץ הכהן והר"ר נסים שמעולם לא הניחו שינתן גט זולתי לפניהם</w:t>
      </w:r>
      <w:r w:rsidR="001355D1">
        <w:rPr>
          <w:rFonts w:cs="Arial" w:hint="cs"/>
          <w:rtl/>
        </w:rPr>
        <w:t>.</w:t>
      </w:r>
      <w:r w:rsidRPr="009F4814">
        <w:rPr>
          <w:rFonts w:cs="Arial"/>
          <w:rtl/>
        </w:rPr>
        <w:t xml:space="preserve"> לפי שרוב מצויים אצל גיטין אינם מומחים ולא בקיאים בדקדוקי הגט</w:t>
      </w:r>
      <w:r w:rsidR="001355D1">
        <w:rPr>
          <w:rFonts w:cs="Arial" w:hint="cs"/>
          <w:rtl/>
        </w:rPr>
        <w:t>.</w:t>
      </w:r>
      <w:r w:rsidRPr="009F4814">
        <w:rPr>
          <w:rFonts w:cs="Arial"/>
          <w:rtl/>
        </w:rPr>
        <w:t xml:space="preserve"> גם בזמן רז"ל היו ממנים אחד מהם על הגיטין</w:t>
      </w:r>
      <w:r w:rsidR="001355D1">
        <w:rPr>
          <w:rFonts w:cs="Arial" w:hint="cs"/>
          <w:rtl/>
        </w:rPr>
        <w:t>,</w:t>
      </w:r>
      <w:r w:rsidRPr="009F4814">
        <w:rPr>
          <w:rFonts w:cs="Arial"/>
          <w:rtl/>
        </w:rPr>
        <w:t xml:space="preserve"> כדאיתא בריש גיטין (ה:) אתא לקמיה רב אחאי דהוה ממונה אגיטי. </w:t>
      </w:r>
    </w:p>
    <w:p w14:paraId="663AD848" w14:textId="61EA824E" w:rsidR="00BA15E7" w:rsidRPr="00BA15E7" w:rsidRDefault="00BA15E7" w:rsidP="00A65C5F">
      <w:pPr>
        <w:pStyle w:val="ab"/>
        <w:numPr>
          <w:ilvl w:val="0"/>
          <w:numId w:val="24"/>
        </w:numPr>
        <w:rPr>
          <w:rtl/>
        </w:rPr>
      </w:pPr>
      <w:r w:rsidRPr="009F4814">
        <w:rPr>
          <w:rFonts w:cs="Arial"/>
          <w:rtl/>
        </w:rPr>
        <w:t>רא"ש</w:t>
      </w:r>
      <w:r w:rsidRPr="001355D1">
        <w:rPr>
          <w:rFonts w:cs="Arial"/>
          <w:sz w:val="16"/>
          <w:szCs w:val="16"/>
          <w:rtl/>
        </w:rPr>
        <w:t xml:space="preserve"> </w:t>
      </w:r>
      <w:r w:rsidR="001355D1" w:rsidRPr="001355D1">
        <w:rPr>
          <w:rFonts w:cs="Arial" w:hint="cs"/>
          <w:sz w:val="16"/>
          <w:szCs w:val="16"/>
          <w:rtl/>
        </w:rPr>
        <w:t>(</w:t>
      </w:r>
      <w:r w:rsidRPr="001355D1">
        <w:rPr>
          <w:rFonts w:cs="Arial"/>
          <w:sz w:val="16"/>
          <w:szCs w:val="16"/>
          <w:rtl/>
        </w:rPr>
        <w:t>כלל מה סי</w:t>
      </w:r>
      <w:r w:rsidR="001355D1" w:rsidRPr="001355D1">
        <w:rPr>
          <w:rFonts w:cs="Arial" w:hint="cs"/>
          <w:sz w:val="16"/>
          <w:szCs w:val="16"/>
          <w:rtl/>
        </w:rPr>
        <w:t>'</w:t>
      </w:r>
      <w:r w:rsidRPr="001355D1">
        <w:rPr>
          <w:rFonts w:cs="Arial"/>
          <w:sz w:val="16"/>
          <w:szCs w:val="16"/>
          <w:rtl/>
        </w:rPr>
        <w:t xml:space="preserve"> </w:t>
      </w:r>
      <w:r w:rsidR="001355D1" w:rsidRPr="001355D1">
        <w:rPr>
          <w:rFonts w:cs="Arial" w:hint="cs"/>
          <w:sz w:val="16"/>
          <w:szCs w:val="16"/>
          <w:rtl/>
        </w:rPr>
        <w:t>טז)</w:t>
      </w:r>
      <w:r w:rsidR="00A82951">
        <w:rPr>
          <w:rFonts w:cs="Arial" w:hint="cs"/>
          <w:rtl/>
        </w:rPr>
        <w:t>-</w:t>
      </w:r>
      <w:r w:rsidRPr="009F4814">
        <w:rPr>
          <w:rFonts w:cs="Arial"/>
          <w:rtl/>
        </w:rPr>
        <w:t xml:space="preserve"> על הגט שניתן בפני עדים שאינם יודעים בטיב גיטין</w:t>
      </w:r>
      <w:r w:rsidR="003D2A51">
        <w:rPr>
          <w:rFonts w:cs="Arial" w:hint="cs"/>
          <w:rtl/>
        </w:rPr>
        <w:t>,</w:t>
      </w:r>
      <w:r w:rsidRPr="009F4814">
        <w:rPr>
          <w:rFonts w:cs="Arial"/>
          <w:rtl/>
        </w:rPr>
        <w:t xml:space="preserve"> דע כי הדבר קשה עד מאוד כי מרבים ממזרים בישראל</w:t>
      </w:r>
      <w:r w:rsidR="003D2A51">
        <w:rPr>
          <w:rFonts w:cs="Arial" w:hint="cs"/>
          <w:rtl/>
        </w:rPr>
        <w:t>,</w:t>
      </w:r>
      <w:r w:rsidRPr="009F4814">
        <w:rPr>
          <w:rFonts w:cs="Arial"/>
          <w:rtl/>
        </w:rPr>
        <w:t xml:space="preserve"> ואם באנו לפסול למפרע קשה הדבר מאד</w:t>
      </w:r>
      <w:r w:rsidR="003D2A51">
        <w:rPr>
          <w:rFonts w:cs="Arial" w:hint="cs"/>
          <w:rtl/>
        </w:rPr>
        <w:t>.</w:t>
      </w:r>
      <w:r w:rsidRPr="009F4814">
        <w:rPr>
          <w:rFonts w:cs="Arial"/>
          <w:rtl/>
        </w:rPr>
        <w:t xml:space="preserve"> אבל מכאן ולהבא טוב לפרסם ולהכריז שלא ישתדל אדם בנתינתו אלא הבקיאים בהם</w:t>
      </w:r>
      <w:r w:rsidR="001355D1">
        <w:rPr>
          <w:rFonts w:cs="Arial" w:hint="cs"/>
          <w:rtl/>
        </w:rPr>
        <w:t>.</w:t>
      </w:r>
    </w:p>
    <w:p w14:paraId="5DF7DD69" w14:textId="77777777" w:rsidR="00A243D9" w:rsidRPr="007B74F1" w:rsidRDefault="00A243D9" w:rsidP="00A243D9">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5F561D3" w14:textId="660D0B91" w:rsidR="00486C31" w:rsidRDefault="00486C31" w:rsidP="00486C31">
      <w:pPr>
        <w:rPr>
          <w:rFonts w:cs="Arial"/>
          <w:rtl/>
        </w:rPr>
      </w:pPr>
      <w:r w:rsidRPr="00486C31">
        <w:rPr>
          <w:rFonts w:cs="Arial"/>
          <w:rtl/>
        </w:rPr>
        <w:t>תיקנו חכמים שהאומר לרבים לכתוב גט או לחתום או להוליך גט לאשתו</w:t>
      </w:r>
      <w:r w:rsidR="0019391C">
        <w:rPr>
          <w:rFonts w:cs="Arial" w:hint="cs"/>
          <w:rtl/>
        </w:rPr>
        <w:t>,</w:t>
      </w:r>
      <w:r w:rsidRPr="00486C31">
        <w:rPr>
          <w:rFonts w:cs="Arial"/>
          <w:rtl/>
        </w:rPr>
        <w:t xml:space="preserve"> אם לכתיבה, אומר להם: כל אחד מכם יכתוב גט לאשתי</w:t>
      </w:r>
      <w:r w:rsidR="0019391C">
        <w:rPr>
          <w:rFonts w:cs="Arial" w:hint="cs"/>
          <w:rtl/>
        </w:rPr>
        <w:t>.</w:t>
      </w:r>
      <w:r w:rsidRPr="00486C31">
        <w:rPr>
          <w:rFonts w:cs="Arial"/>
          <w:rtl/>
        </w:rPr>
        <w:t xml:space="preserve"> וכן להולכה: כל אחד מכם יוליך</w:t>
      </w:r>
      <w:r w:rsidR="0019391C">
        <w:rPr>
          <w:rFonts w:cs="Arial" w:hint="cs"/>
          <w:rtl/>
        </w:rPr>
        <w:t>.</w:t>
      </w:r>
      <w:r w:rsidRPr="00486C31">
        <w:rPr>
          <w:rFonts w:cs="Arial"/>
          <w:rtl/>
        </w:rPr>
        <w:t xml:space="preserve"> ואם לחתימה, יאמר להם: כל שנים מכם יחתמו בגט זה.</w:t>
      </w:r>
    </w:p>
    <w:p w14:paraId="6BF7BC0E" w14:textId="77777777" w:rsidR="00486C31" w:rsidRDefault="00486C31" w:rsidP="00486C31">
      <w:pPr>
        <w:pStyle w:val="1"/>
        <w:rPr>
          <w:rtl/>
        </w:rPr>
        <w:sectPr w:rsidR="00486C31" w:rsidSect="00A347B3">
          <w:headerReference w:type="default" r:id="rId10"/>
          <w:footnotePr>
            <w:numRestart w:val="eachSect"/>
          </w:footnotePr>
          <w:pgSz w:w="11906" w:h="16838"/>
          <w:pgMar w:top="720" w:right="1134" w:bottom="720" w:left="1134" w:header="0" w:footer="0" w:gutter="0"/>
          <w:cols w:space="720"/>
          <w:bidi/>
          <w:rtlGutter/>
          <w:docGrid w:linePitch="360"/>
        </w:sectPr>
      </w:pPr>
    </w:p>
    <w:p w14:paraId="724207D3" w14:textId="6C9A067C" w:rsidR="00486C31" w:rsidRPr="00486C31" w:rsidRDefault="00486C31" w:rsidP="00486C31">
      <w:pPr>
        <w:pStyle w:val="1"/>
        <w:rPr>
          <w:rtl/>
        </w:rPr>
      </w:pPr>
      <w:r>
        <w:rPr>
          <w:rFonts w:hint="cs"/>
          <w:rtl/>
        </w:rPr>
        <w:lastRenderedPageBreak/>
        <w:t xml:space="preserve">סימן קכא: </w:t>
      </w:r>
      <w:r w:rsidRPr="00486C31">
        <w:rPr>
          <w:rtl/>
        </w:rPr>
        <w:t xml:space="preserve">צריך להיות בדעתו מכתיבה עד נתינה, ובו ח' סעיפים. </w:t>
      </w:r>
    </w:p>
    <w:p w14:paraId="6A330D61" w14:textId="16827A4B" w:rsidR="00486C31" w:rsidRDefault="00486C31" w:rsidP="00786DE6">
      <w:pPr>
        <w:pStyle w:val="2"/>
        <w:rPr>
          <w:rtl/>
        </w:rPr>
      </w:pPr>
      <w:r w:rsidRPr="00486C31">
        <w:rPr>
          <w:rtl/>
        </w:rPr>
        <w:t>סעיף א</w:t>
      </w:r>
      <w:r w:rsidR="0019391C">
        <w:rPr>
          <w:rFonts w:hint="cs"/>
          <w:rtl/>
        </w:rPr>
        <w:t>:</w:t>
      </w:r>
      <w:r w:rsidR="00B40EE7">
        <w:rPr>
          <w:rFonts w:hint="cs"/>
          <w:rtl/>
        </w:rPr>
        <w:t xml:space="preserve"> ציוה לכתוב גט מתוך רוח רעה או שכרות.</w:t>
      </w:r>
    </w:p>
    <w:p w14:paraId="0ECD1C93" w14:textId="713D9F88" w:rsidR="00BE2DBA" w:rsidRDefault="001045FB" w:rsidP="00BE2DBA">
      <w:pPr>
        <w:rPr>
          <w:rtl/>
        </w:rPr>
      </w:pPr>
      <w:r w:rsidRPr="00573889">
        <w:rPr>
          <w:rFonts w:cs="Arial" w:hint="cs"/>
          <w:b/>
          <w:bCs/>
          <w:rtl/>
        </w:rPr>
        <w:t xml:space="preserve">גיטין </w:t>
      </w:r>
      <w:r w:rsidRPr="00573889">
        <w:rPr>
          <w:rFonts w:cs="Arial" w:hint="cs"/>
          <w:b/>
          <w:bCs/>
          <w:sz w:val="16"/>
          <w:szCs w:val="16"/>
          <w:rtl/>
        </w:rPr>
        <w:t>(</w:t>
      </w:r>
      <w:r w:rsidR="009E31A1">
        <w:rPr>
          <w:rFonts w:cs="Arial" w:hint="cs"/>
          <w:b/>
          <w:bCs/>
          <w:sz w:val="16"/>
          <w:szCs w:val="16"/>
          <w:rtl/>
        </w:rPr>
        <w:t>ר"</w:t>
      </w:r>
      <w:r>
        <w:rPr>
          <w:rFonts w:cs="Arial" w:hint="cs"/>
          <w:b/>
          <w:bCs/>
          <w:sz w:val="16"/>
          <w:szCs w:val="16"/>
          <w:rtl/>
        </w:rPr>
        <w:t>פ מי שאחזו</w:t>
      </w:r>
      <w:r w:rsidRPr="00573889">
        <w:rPr>
          <w:rFonts w:cs="Arial" w:hint="cs"/>
          <w:b/>
          <w:bCs/>
          <w:sz w:val="16"/>
          <w:szCs w:val="16"/>
          <w:rtl/>
        </w:rPr>
        <w:t>)</w:t>
      </w:r>
      <w:r w:rsidRPr="00573889">
        <w:rPr>
          <w:rFonts w:cs="Arial" w:hint="cs"/>
          <w:b/>
          <w:bCs/>
          <w:rtl/>
        </w:rPr>
        <w:t xml:space="preserve"> </w:t>
      </w:r>
      <w:r>
        <w:rPr>
          <w:rFonts w:cs="Arial" w:hint="cs"/>
          <w:b/>
          <w:bCs/>
          <w:rtl/>
        </w:rPr>
        <w:t>סז</w:t>
      </w:r>
      <w:r w:rsidRPr="00573889">
        <w:rPr>
          <w:rFonts w:cs="Arial" w:hint="cs"/>
          <w:b/>
          <w:bCs/>
          <w:rtl/>
        </w:rPr>
        <w:t xml:space="preserve"> ע"</w:t>
      </w:r>
      <w:r>
        <w:rPr>
          <w:rFonts w:cs="Arial" w:hint="cs"/>
          <w:b/>
          <w:bCs/>
          <w:rtl/>
        </w:rPr>
        <w:t>ב</w:t>
      </w:r>
      <w:r w:rsidRPr="00573889">
        <w:rPr>
          <w:rFonts w:cs="Arial" w:hint="cs"/>
          <w:b/>
          <w:bCs/>
          <w:rtl/>
        </w:rPr>
        <w:t>:</w:t>
      </w:r>
      <w:r w:rsidRPr="00D1348C">
        <w:rPr>
          <w:rtl/>
        </w:rPr>
        <w:t xml:space="preserve"> </w:t>
      </w:r>
      <w:r w:rsidRPr="00003716">
        <w:rPr>
          <w:rFonts w:cs="Arial" w:hint="cs"/>
          <w:u w:val="double"/>
          <w:rtl/>
        </w:rPr>
        <w:t>מתני'</w:t>
      </w:r>
      <w:r>
        <w:rPr>
          <w:rFonts w:cs="Arial" w:hint="cs"/>
          <w:rtl/>
        </w:rPr>
        <w:t>:</w:t>
      </w:r>
      <w:r w:rsidR="009E31A1" w:rsidRPr="009E31A1">
        <w:rPr>
          <w:rFonts w:cs="Arial"/>
          <w:rtl/>
        </w:rPr>
        <w:t xml:space="preserve"> מי שאחזו קורדייקוס</w:t>
      </w:r>
      <w:r w:rsidR="009E31A1">
        <w:rPr>
          <w:rStyle w:val="a7"/>
          <w:rFonts w:cs="Arial"/>
          <w:rtl/>
        </w:rPr>
        <w:footnoteReference w:id="249"/>
      </w:r>
      <w:r w:rsidR="009E31A1" w:rsidRPr="009E31A1">
        <w:rPr>
          <w:rFonts w:cs="Arial"/>
          <w:rtl/>
        </w:rPr>
        <w:t xml:space="preserve">, ואמר כתבו גט לאשתי </w:t>
      </w:r>
      <w:r w:rsidR="00A82951">
        <w:rPr>
          <w:rFonts w:cs="Arial"/>
          <w:rtl/>
        </w:rPr>
        <w:t>-</w:t>
      </w:r>
      <w:r w:rsidR="009E31A1" w:rsidRPr="009E31A1">
        <w:rPr>
          <w:rFonts w:cs="Arial"/>
          <w:rtl/>
        </w:rPr>
        <w:t xml:space="preserve"> לא אמר כלום</w:t>
      </w:r>
      <w:r w:rsidR="00F36AB5">
        <w:rPr>
          <w:rStyle w:val="a7"/>
          <w:rFonts w:cs="Arial"/>
          <w:rtl/>
        </w:rPr>
        <w:footnoteReference w:id="250"/>
      </w:r>
      <w:r w:rsidR="009E31A1" w:rsidRPr="009E31A1">
        <w:rPr>
          <w:rFonts w:cs="Arial"/>
          <w:rtl/>
        </w:rPr>
        <w:t xml:space="preserve">. אמר כתבו גט לאשתי ואחזו קורדייקוס, וחזר ואמר לא תכתבנו </w:t>
      </w:r>
      <w:r w:rsidR="00A82951">
        <w:rPr>
          <w:rFonts w:cs="Arial"/>
          <w:rtl/>
        </w:rPr>
        <w:t>-</w:t>
      </w:r>
      <w:r w:rsidR="009E31A1" w:rsidRPr="009E31A1">
        <w:rPr>
          <w:rFonts w:cs="Arial"/>
          <w:rtl/>
        </w:rPr>
        <w:t xml:space="preserve"> אין דבריו האחרונים כלום</w:t>
      </w:r>
      <w:r w:rsidR="00F36AB5">
        <w:rPr>
          <w:rStyle w:val="a7"/>
          <w:rFonts w:cs="Arial"/>
          <w:rtl/>
        </w:rPr>
        <w:footnoteReference w:id="251"/>
      </w:r>
      <w:r w:rsidR="009E31A1" w:rsidRPr="009E31A1">
        <w:rPr>
          <w:rFonts w:cs="Arial"/>
          <w:rtl/>
        </w:rPr>
        <w:t>.</w:t>
      </w:r>
      <w:r w:rsidR="008B42FF">
        <w:rPr>
          <w:rFonts w:hint="cs"/>
          <w:rtl/>
        </w:rPr>
        <w:t xml:space="preserve">    </w:t>
      </w:r>
      <w:r w:rsidR="008B42FF">
        <w:rPr>
          <w:rFonts w:cs="Arial" w:hint="cs"/>
          <w:rtl/>
        </w:rPr>
        <w:t xml:space="preserve">   </w:t>
      </w:r>
      <w:r w:rsidR="008B42FF" w:rsidRPr="008B42FF">
        <w:rPr>
          <w:rFonts w:cs="Arial" w:hint="cs"/>
          <w:u w:val="double"/>
          <w:rtl/>
        </w:rPr>
        <w:t>גמ'</w:t>
      </w:r>
      <w:r w:rsidR="008B42FF">
        <w:rPr>
          <w:rFonts w:cs="Arial" w:hint="cs"/>
          <w:sz w:val="14"/>
          <w:szCs w:val="14"/>
          <w:u w:val="double"/>
          <w:rtl/>
        </w:rPr>
        <w:t>(ע:)</w:t>
      </w:r>
      <w:r w:rsidR="008B42FF" w:rsidRPr="008B42FF">
        <w:rPr>
          <w:rFonts w:cs="Arial" w:hint="cs"/>
          <w:u w:val="double"/>
          <w:rtl/>
        </w:rPr>
        <w:t>:</w:t>
      </w:r>
      <w:r w:rsidR="008B42FF">
        <w:rPr>
          <w:rFonts w:cs="Arial" w:hint="cs"/>
          <w:rtl/>
        </w:rPr>
        <w:t xml:space="preserve"> </w:t>
      </w:r>
      <w:r w:rsidR="008B42FF" w:rsidRPr="008B42FF">
        <w:rPr>
          <w:rFonts w:cs="Arial"/>
          <w:rtl/>
        </w:rPr>
        <w:t xml:space="preserve">אמר כתבו גט לאשתי ואחזו קורדייקוס, וחזר ואמר אל תכתבו </w:t>
      </w:r>
      <w:r w:rsidR="00A82951">
        <w:rPr>
          <w:rFonts w:cs="Arial"/>
          <w:rtl/>
        </w:rPr>
        <w:t>-</w:t>
      </w:r>
      <w:r w:rsidR="008B42FF" w:rsidRPr="008B42FF">
        <w:rPr>
          <w:rFonts w:cs="Arial"/>
          <w:rtl/>
        </w:rPr>
        <w:t xml:space="preserve"> אין דבריו האחרונים כלום. </w:t>
      </w:r>
      <w:r w:rsidR="008B42FF" w:rsidRPr="008B42FF">
        <w:rPr>
          <w:rFonts w:cs="Arial"/>
          <w:u w:val="single"/>
          <w:rtl/>
        </w:rPr>
        <w:t>אר"ש בן לקיש</w:t>
      </w:r>
      <w:r w:rsidR="008B42FF" w:rsidRPr="008B42FF">
        <w:rPr>
          <w:rFonts w:cs="Arial"/>
          <w:rtl/>
        </w:rPr>
        <w:t>: כותבין ונותנין גט לאלתר</w:t>
      </w:r>
      <w:r w:rsidR="008B42FF">
        <w:rPr>
          <w:rFonts w:cs="Arial" w:hint="cs"/>
          <w:rtl/>
        </w:rPr>
        <w:t>.</w:t>
      </w:r>
      <w:r w:rsidR="008B42FF" w:rsidRPr="008B42FF">
        <w:rPr>
          <w:rFonts w:cs="Arial"/>
          <w:rtl/>
        </w:rPr>
        <w:t xml:space="preserve"> </w:t>
      </w:r>
      <w:r w:rsidR="008B42FF" w:rsidRPr="008B42FF">
        <w:rPr>
          <w:rFonts w:cs="Arial"/>
          <w:u w:val="single"/>
          <w:rtl/>
        </w:rPr>
        <w:t>ור' יוחנן אמר</w:t>
      </w:r>
      <w:r w:rsidR="008B42FF" w:rsidRPr="008B42FF">
        <w:rPr>
          <w:rFonts w:cs="Arial"/>
          <w:rtl/>
        </w:rPr>
        <w:t>: אין כותבין אלא לכשישתפה. מ"ט דר"ל? דקתני: אין בדבריו האחרונים כלום. ור' יוחנן? אמר לך: אין בדבריו האחרונים כלום, דלכי מתציל לא צריך למיהדר אימלוכי ביה, ולעולם אין כותבין אלא לכשישתפה.</w:t>
      </w:r>
      <w:r w:rsidR="00B40EE7" w:rsidRPr="00B40EE7">
        <w:rPr>
          <w:rtl/>
        </w:rPr>
        <w:t xml:space="preserve"> </w:t>
      </w:r>
      <w:r w:rsidR="00B40EE7" w:rsidRPr="00B40EE7">
        <w:rPr>
          <w:rFonts w:cs="Arial"/>
          <w:rtl/>
        </w:rPr>
        <w:t>במאי קמיפלגי? ר"ל מדמי ליה לישן, ור' יוחנן מדמי ליה לשוטה. ור' יוחנן נמי לידמיה לישן! ישן לא מחוסר מעשה, האי מחוסר מעשה. ור"ל נמי נידמייה לשוטה! שוטה לא סמיה בידן, האי סמיה בידן, בישרא סומקא אגומרי וחמרא מרקא.</w:t>
      </w:r>
      <w:r w:rsidR="005D337D">
        <w:rPr>
          <w:rFonts w:hint="cs"/>
          <w:rtl/>
        </w:rPr>
        <w:t xml:space="preserve"> </w:t>
      </w:r>
    </w:p>
    <w:p w14:paraId="36B4DBFB" w14:textId="41DDCDDD" w:rsidR="009E31A1" w:rsidRPr="00CC6E36" w:rsidRDefault="00B40EE7" w:rsidP="00BE2DBA">
      <w:pPr>
        <w:rPr>
          <w:u w:val="single"/>
          <w:rtl/>
        </w:rPr>
      </w:pPr>
      <w:r>
        <w:rPr>
          <w:rFonts w:cs="Arial" w:hint="cs"/>
          <w:u w:val="single"/>
          <w:rtl/>
        </w:rPr>
        <w:t xml:space="preserve">ציוה לכתוב גט מתוך </w:t>
      </w:r>
      <w:r w:rsidRPr="002C713E">
        <w:rPr>
          <w:rFonts w:cs="Arial" w:hint="cs"/>
          <w:b/>
          <w:bCs/>
          <w:u w:val="single"/>
          <w:rtl/>
        </w:rPr>
        <w:t>רוח רעה</w:t>
      </w:r>
      <w:r w:rsidR="00CC6E36" w:rsidRPr="00CC6E36">
        <w:rPr>
          <w:rFonts w:hint="cs"/>
          <w:u w:val="single"/>
          <w:rtl/>
        </w:rPr>
        <w:t>:</w:t>
      </w:r>
    </w:p>
    <w:p w14:paraId="572977F5" w14:textId="2FF262D2" w:rsidR="009E31A1" w:rsidRDefault="00CA6298" w:rsidP="00A65C5F">
      <w:pPr>
        <w:pStyle w:val="ab"/>
        <w:numPr>
          <w:ilvl w:val="0"/>
          <w:numId w:val="30"/>
        </w:numPr>
      </w:pPr>
      <w:r>
        <w:rPr>
          <w:rFonts w:cs="Arial" w:hint="cs"/>
          <w:rtl/>
          <w:lang w:val="he-IL"/>
        </w:rPr>
        <mc:AlternateContent>
          <mc:Choice Requires="aink">
            <w:drawing>
              <wp:anchor distT="0" distB="0" distL="114300" distR="114300" simplePos="0" relativeHeight="251658240" behindDoc="0" locked="0" layoutInCell="1" allowOverlap="1" wp14:anchorId="2F7048FE" wp14:editId="477451A9">
                <wp:simplePos x="0" y="0"/>
                <wp:positionH relativeFrom="column">
                  <wp:posOffset>4375444</wp:posOffset>
                </wp:positionH>
                <wp:positionV relativeFrom="paragraph">
                  <wp:posOffset>197068</wp:posOffset>
                </wp:positionV>
                <wp:extent cx="360" cy="360"/>
                <wp:effectExtent l="0" t="0" r="0" b="0"/>
                <wp:wrapNone/>
                <wp:docPr id="9" name="דיו 9"/>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drawing>
              <wp:anchor distT="0" distB="0" distL="114300" distR="114300" simplePos="0" relativeHeight="251663360" behindDoc="0" locked="0" layoutInCell="1" allowOverlap="1" wp14:anchorId="2F7048FE" wp14:editId="477451A9">
                <wp:simplePos x="0" y="0"/>
                <wp:positionH relativeFrom="column">
                  <wp:posOffset>4375444</wp:posOffset>
                </wp:positionH>
                <wp:positionV relativeFrom="paragraph">
                  <wp:posOffset>197068</wp:posOffset>
                </wp:positionV>
                <wp:extent cx="360" cy="360"/>
                <wp:effectExtent l="0" t="0" r="0" b="0"/>
                <wp:wrapNone/>
                <wp:docPr id="9" name="דיו 9"/>
                <wp:cNvGraphicFramePr/>
                <a:graphic xmlns:a="http://schemas.openxmlformats.org/drawingml/2006/main">
                  <a:graphicData uri="http://schemas.openxmlformats.org/drawingml/2006/picture">
                    <pic:pic xmlns:pic="http://schemas.openxmlformats.org/drawingml/2006/picture">
                      <pic:nvPicPr>
                        <pic:cNvPr id="9" name="דיו 9"/>
                        <pic:cNvPicPr/>
                      </pic:nvPicPr>
                      <pic:blipFill>
                        <a:blip r:embed="rId12"/>
                        <a:stretch>
                          <a:fillRect/>
                        </a:stretch>
                      </pic:blipFill>
                      <pic:spPr>
                        <a:xfrm>
                          <a:off x="0" y="0"/>
                          <a:ext cx="18000" cy="108000"/>
                        </a:xfrm>
                        <a:prstGeom prst="rect">
                          <a:avLst/>
                        </a:prstGeom>
                      </pic:spPr>
                    </pic:pic>
                  </a:graphicData>
                </a:graphic>
              </wp:anchor>
            </w:drawing>
          </mc:Fallback>
        </mc:AlternateContent>
      </w:r>
      <w:r w:rsidR="00CC6E36">
        <w:rPr>
          <w:rFonts w:cs="Arial" w:hint="cs"/>
          <w:rtl/>
        </w:rPr>
        <w:t xml:space="preserve">רמב"ם </w:t>
      </w:r>
      <w:r w:rsidR="00CC6E36">
        <w:rPr>
          <w:rFonts w:cs="Arial" w:hint="cs"/>
          <w:sz w:val="16"/>
          <w:szCs w:val="16"/>
          <w:rtl/>
        </w:rPr>
        <w:t>(פ"ב הי"ד)</w:t>
      </w:r>
      <w:r w:rsidR="00CC6E36" w:rsidRPr="00BE2DBA">
        <w:rPr>
          <w:rFonts w:cs="Arial" w:hint="cs"/>
          <w:rtl/>
        </w:rPr>
        <w:t xml:space="preserve"> </w:t>
      </w:r>
      <w:r w:rsidR="00CC6E36">
        <w:rPr>
          <w:rFonts w:cs="Arial" w:hint="cs"/>
          <w:rtl/>
        </w:rPr>
        <w:t>ו</w:t>
      </w:r>
      <w:r w:rsidR="00BE2DBA" w:rsidRPr="00BE2DBA">
        <w:rPr>
          <w:rFonts w:cs="Arial" w:hint="cs"/>
          <w:rtl/>
        </w:rPr>
        <w:t>טור</w:t>
      </w:r>
      <w:r w:rsidR="00A82951">
        <w:rPr>
          <w:rFonts w:cs="Arial" w:hint="cs"/>
          <w:rtl/>
        </w:rPr>
        <w:t>-</w:t>
      </w:r>
      <w:r w:rsidR="00BE2DBA" w:rsidRPr="00BE2DBA">
        <w:rPr>
          <w:rFonts w:cs="Arial" w:hint="cs"/>
          <w:rtl/>
        </w:rPr>
        <w:t xml:space="preserve"> </w:t>
      </w:r>
      <w:r w:rsidR="00BE2DBA" w:rsidRPr="00BE2DBA">
        <w:rPr>
          <w:rFonts w:cs="Arial"/>
          <w:rtl/>
        </w:rPr>
        <w:t>צריך שיהיה בדעתו בשעה שמצווה לכתו</w:t>
      </w:r>
      <w:r w:rsidR="001045FB">
        <w:rPr>
          <w:rFonts w:cs="Arial" w:hint="cs"/>
          <w:rtl/>
        </w:rPr>
        <w:t>ב</w:t>
      </w:r>
      <w:r w:rsidR="00BE2DBA" w:rsidRPr="00BE2DBA">
        <w:rPr>
          <w:rFonts w:cs="Arial"/>
          <w:rtl/>
        </w:rPr>
        <w:t xml:space="preserve"> הגט</w:t>
      </w:r>
      <w:r w:rsidR="001045FB">
        <w:rPr>
          <w:rFonts w:cs="Arial" w:hint="cs"/>
          <w:rtl/>
        </w:rPr>
        <w:t>.</w:t>
      </w:r>
      <w:r w:rsidR="00BE2DBA" w:rsidRPr="00BE2DBA">
        <w:rPr>
          <w:rFonts w:cs="Arial"/>
          <w:rtl/>
        </w:rPr>
        <w:t xml:space="preserve"> לפיכך אחזו רוח רעה בשעה שמצווה לכתו</w:t>
      </w:r>
      <w:r w:rsidR="001045FB">
        <w:rPr>
          <w:rFonts w:cs="Arial" w:hint="cs"/>
          <w:rtl/>
        </w:rPr>
        <w:t xml:space="preserve">ב </w:t>
      </w:r>
      <w:r w:rsidR="00A82951">
        <w:rPr>
          <w:rFonts w:cs="Arial" w:hint="cs"/>
          <w:rtl/>
        </w:rPr>
        <w:t>-</w:t>
      </w:r>
      <w:r w:rsidR="00BE2DBA" w:rsidRPr="00BE2DBA">
        <w:rPr>
          <w:rFonts w:cs="Arial"/>
          <w:rtl/>
        </w:rPr>
        <w:t xml:space="preserve"> אין כותבין אותו אפילו לכשיבריא</w:t>
      </w:r>
      <w:r w:rsidR="00CC6E36">
        <w:rPr>
          <w:rFonts w:cs="Arial" w:hint="cs"/>
          <w:sz w:val="16"/>
          <w:szCs w:val="16"/>
          <w:rtl/>
        </w:rPr>
        <w:t xml:space="preserve"> (ל' הטור)</w:t>
      </w:r>
      <w:r w:rsidR="008B42FF">
        <w:rPr>
          <w:rFonts w:cs="Arial" w:hint="cs"/>
          <w:rtl/>
        </w:rPr>
        <w:t>.</w:t>
      </w:r>
      <w:r w:rsidR="00BE2DBA" w:rsidRPr="00BE2DBA">
        <w:rPr>
          <w:rFonts w:cs="Arial"/>
          <w:rtl/>
        </w:rPr>
        <w:t xml:space="preserve"> </w:t>
      </w:r>
      <w:r w:rsidR="00B44CFF" w:rsidRPr="00B44CFF">
        <w:rPr>
          <w:rFonts w:hint="cs"/>
          <w:color w:val="E36C0A" w:themeColor="accent6" w:themeShade="BF"/>
          <w:rtl/>
        </w:rPr>
        <w:t>(וכ"פ בשו"ע)</w:t>
      </w:r>
    </w:p>
    <w:p w14:paraId="448F2ABF" w14:textId="4ECC0C84" w:rsidR="002C713E" w:rsidRDefault="00011799" w:rsidP="002C713E">
      <w:r w:rsidRPr="00011799">
        <w:rPr>
          <w:rFonts w:cs="Arial" w:hint="cs"/>
          <w:b/>
          <w:bCs/>
          <w:rtl/>
        </w:rPr>
        <w:t xml:space="preserve">ערובין </w:t>
      </w:r>
      <w:r>
        <w:rPr>
          <w:rFonts w:cs="Arial" w:hint="cs"/>
          <w:b/>
          <w:bCs/>
          <w:sz w:val="16"/>
          <w:szCs w:val="16"/>
          <w:rtl/>
        </w:rPr>
        <w:t xml:space="preserve">(פ' הדר) </w:t>
      </w:r>
      <w:r w:rsidRPr="00011799">
        <w:rPr>
          <w:rFonts w:cs="Arial" w:hint="cs"/>
          <w:b/>
          <w:bCs/>
          <w:rtl/>
        </w:rPr>
        <w:t>ס</w:t>
      </w:r>
      <w:r>
        <w:rPr>
          <w:rFonts w:cs="Arial" w:hint="cs"/>
          <w:b/>
          <w:bCs/>
          <w:rtl/>
        </w:rPr>
        <w:t>ד</w:t>
      </w:r>
      <w:r w:rsidRPr="00011799">
        <w:rPr>
          <w:rFonts w:cs="Arial" w:hint="cs"/>
          <w:b/>
          <w:bCs/>
          <w:rtl/>
        </w:rPr>
        <w:t xml:space="preserve"> ע"</w:t>
      </w:r>
      <w:r>
        <w:rPr>
          <w:rFonts w:cs="Arial" w:hint="cs"/>
          <w:b/>
          <w:bCs/>
          <w:rtl/>
        </w:rPr>
        <w:t>ב</w:t>
      </w:r>
      <w:r w:rsidRPr="00011799">
        <w:rPr>
          <w:rFonts w:cs="Arial" w:hint="cs"/>
          <w:b/>
          <w:bCs/>
          <w:rtl/>
        </w:rPr>
        <w:t xml:space="preserve">: </w:t>
      </w:r>
      <w:r w:rsidRPr="00011799">
        <w:rPr>
          <w:rFonts w:cs="Arial"/>
          <w:u w:val="single"/>
          <w:rtl/>
        </w:rPr>
        <w:t>אמר רב ששת משום רבי אלעזר בן עזריה</w:t>
      </w:r>
      <w:r w:rsidRPr="00011799">
        <w:rPr>
          <w:rFonts w:cs="Arial"/>
          <w:rtl/>
        </w:rPr>
        <w:t xml:space="preserve">: </w:t>
      </w:r>
      <w:r>
        <w:rPr>
          <w:rFonts w:cs="Arial" w:hint="cs"/>
          <w:sz w:val="14"/>
          <w:szCs w:val="14"/>
          <w:rtl/>
        </w:rPr>
        <w:t xml:space="preserve">(סה.) </w:t>
      </w:r>
      <w:r w:rsidR="002C713E" w:rsidRPr="002C713E">
        <w:rPr>
          <w:rFonts w:cs="Arial"/>
          <w:rtl/>
        </w:rPr>
        <w:t xml:space="preserve">יכול אני לפטור את כל העולם כולו מן הדין מיום שחרב בית המקדש ועד עכשיו, שנאמר: לכן שמעי נא זאת עניה ושכרת ולא מיין. מיתיבי: שיכור מקחו מקח וממכרו ממכר, עבר עבירה שיש בה מיתה </w:t>
      </w:r>
      <w:r w:rsidR="00A82951">
        <w:rPr>
          <w:rFonts w:cs="Arial"/>
          <w:rtl/>
        </w:rPr>
        <w:t>-</w:t>
      </w:r>
      <w:r w:rsidR="002C713E" w:rsidRPr="002C713E">
        <w:rPr>
          <w:rFonts w:cs="Arial"/>
          <w:rtl/>
        </w:rPr>
        <w:t xml:space="preserve"> ממיתין אותו, מלקות </w:t>
      </w:r>
      <w:r w:rsidR="00A82951">
        <w:rPr>
          <w:rFonts w:cs="Arial"/>
          <w:rtl/>
        </w:rPr>
        <w:t>-</w:t>
      </w:r>
      <w:r w:rsidR="002C713E" w:rsidRPr="002C713E">
        <w:rPr>
          <w:rFonts w:cs="Arial"/>
          <w:rtl/>
        </w:rPr>
        <w:t xml:space="preserve"> מלקין אותו, כללו של דבר: הרי הוא כפיקח לכל דבריו, אלא שפטור מן התפלה. מאי יכולני לפטור דקאמר</w:t>
      </w:r>
      <w:r>
        <w:rPr>
          <w:rFonts w:cs="Arial" w:hint="cs"/>
          <w:rtl/>
        </w:rPr>
        <w:t>?</w:t>
      </w:r>
      <w:r w:rsidR="002C713E" w:rsidRPr="002C713E">
        <w:rPr>
          <w:rFonts w:cs="Arial"/>
          <w:rtl/>
        </w:rPr>
        <w:t xml:space="preserve"> נמי מדין תפלה. </w:t>
      </w:r>
      <w:r w:rsidR="002C713E" w:rsidRPr="00011799">
        <w:rPr>
          <w:rFonts w:cs="Arial"/>
          <w:u w:val="single"/>
          <w:rtl/>
        </w:rPr>
        <w:t>אמר רבי חנינא</w:t>
      </w:r>
      <w:r w:rsidR="002C713E" w:rsidRPr="002C713E">
        <w:rPr>
          <w:rFonts w:cs="Arial"/>
          <w:rtl/>
        </w:rPr>
        <w:t xml:space="preserve">: לא שנו אלא שלא הגיע לשכרותו של לוט, אבל הגיע לשכרותו של לוט </w:t>
      </w:r>
      <w:r w:rsidR="00A82951">
        <w:rPr>
          <w:rFonts w:cs="Arial"/>
          <w:rtl/>
        </w:rPr>
        <w:t>-</w:t>
      </w:r>
      <w:r w:rsidR="002C713E" w:rsidRPr="002C713E">
        <w:rPr>
          <w:rFonts w:cs="Arial"/>
          <w:rtl/>
        </w:rPr>
        <w:t xml:space="preserve"> פטור מכולם.</w:t>
      </w:r>
    </w:p>
    <w:p w14:paraId="6EB40AF3" w14:textId="15D6FB8A" w:rsidR="00CC6E36" w:rsidRPr="002C713E" w:rsidRDefault="00B40EE7" w:rsidP="002C713E">
      <w:pPr>
        <w:rPr>
          <w:u w:val="single"/>
        </w:rPr>
      </w:pPr>
      <w:r w:rsidRPr="002C713E">
        <w:rPr>
          <w:rFonts w:hint="cs"/>
          <w:u w:val="single"/>
          <w:rtl/>
        </w:rPr>
        <w:t>ציוה</w:t>
      </w:r>
      <w:r w:rsidR="002C713E">
        <w:rPr>
          <w:rFonts w:hint="cs"/>
          <w:u w:val="single"/>
          <w:rtl/>
        </w:rPr>
        <w:t xml:space="preserve"> לכתוב גט</w:t>
      </w:r>
      <w:r w:rsidRPr="002C713E">
        <w:rPr>
          <w:rFonts w:hint="cs"/>
          <w:u w:val="single"/>
          <w:rtl/>
        </w:rPr>
        <w:t xml:space="preserve"> מתוך </w:t>
      </w:r>
      <w:r w:rsidRPr="002C713E">
        <w:rPr>
          <w:rFonts w:hint="cs"/>
          <w:b/>
          <w:bCs/>
          <w:u w:val="single"/>
          <w:rtl/>
        </w:rPr>
        <w:t>שכרות</w:t>
      </w:r>
      <w:r w:rsidR="00CC6E36" w:rsidRPr="002C713E">
        <w:rPr>
          <w:rFonts w:hint="cs"/>
          <w:u w:val="single"/>
          <w:rtl/>
        </w:rPr>
        <w:t>:</w:t>
      </w:r>
    </w:p>
    <w:p w14:paraId="6B5AC851" w14:textId="549046D5" w:rsidR="00CA6298" w:rsidRPr="00CA6298" w:rsidRDefault="00BE2DBA" w:rsidP="00A65C5F">
      <w:pPr>
        <w:pStyle w:val="ab"/>
        <w:numPr>
          <w:ilvl w:val="0"/>
          <w:numId w:val="30"/>
        </w:numPr>
      </w:pPr>
      <w:r w:rsidRPr="00BE2DBA">
        <w:rPr>
          <w:rFonts w:cs="Arial"/>
          <w:rtl/>
        </w:rPr>
        <w:t xml:space="preserve">רמב"ם </w:t>
      </w:r>
      <w:r w:rsidR="008B42FF">
        <w:rPr>
          <w:rFonts w:cs="Arial" w:hint="cs"/>
          <w:sz w:val="16"/>
          <w:szCs w:val="16"/>
          <w:rtl/>
        </w:rPr>
        <w:t>(</w:t>
      </w:r>
      <w:r w:rsidR="00410E34">
        <w:rPr>
          <w:rFonts w:cs="Arial" w:hint="cs"/>
          <w:sz w:val="16"/>
          <w:szCs w:val="16"/>
          <w:rtl/>
        </w:rPr>
        <w:t>שם</w:t>
      </w:r>
      <w:r w:rsidR="008B42FF">
        <w:rPr>
          <w:rFonts w:cs="Arial" w:hint="cs"/>
          <w:sz w:val="16"/>
          <w:szCs w:val="16"/>
          <w:rtl/>
        </w:rPr>
        <w:t xml:space="preserve">, </w:t>
      </w:r>
      <w:r w:rsidR="00410E34">
        <w:rPr>
          <w:rFonts w:cs="Arial" w:hint="cs"/>
          <w:sz w:val="16"/>
          <w:szCs w:val="16"/>
          <w:rtl/>
        </w:rPr>
        <w:t xml:space="preserve">לגירסת </w:t>
      </w:r>
      <w:r w:rsidR="008B42FF">
        <w:rPr>
          <w:rFonts w:cs="Arial" w:hint="cs"/>
          <w:sz w:val="16"/>
          <w:szCs w:val="16"/>
          <w:rtl/>
        </w:rPr>
        <w:t>הטור)</w:t>
      </w:r>
      <w:r w:rsidR="00A82951">
        <w:rPr>
          <w:rFonts w:cs="Arial" w:hint="cs"/>
          <w:rtl/>
        </w:rPr>
        <w:t>-</w:t>
      </w:r>
      <w:r w:rsidR="008B42FF">
        <w:rPr>
          <w:rFonts w:cs="Arial" w:hint="cs"/>
          <w:rtl/>
        </w:rPr>
        <w:t xml:space="preserve"> </w:t>
      </w:r>
      <w:r w:rsidRPr="00BE2DBA">
        <w:rPr>
          <w:rFonts w:cs="Arial"/>
          <w:rtl/>
        </w:rPr>
        <w:t xml:space="preserve">וכן השכור שהגיע לשכרותו של לוט ואמר כתבו </w:t>
      </w:r>
      <w:r w:rsidR="00A82951">
        <w:rPr>
          <w:rFonts w:cs="Arial" w:hint="cs"/>
          <w:rtl/>
        </w:rPr>
        <w:t>-</w:t>
      </w:r>
      <w:r w:rsidR="001045FB">
        <w:rPr>
          <w:rFonts w:cs="Arial" w:hint="cs"/>
          <w:rtl/>
        </w:rPr>
        <w:t xml:space="preserve"> </w:t>
      </w:r>
      <w:r w:rsidRPr="00BE2DBA">
        <w:rPr>
          <w:rFonts w:cs="Arial"/>
          <w:rtl/>
        </w:rPr>
        <w:t>אין כותבין</w:t>
      </w:r>
      <w:r w:rsidR="001045FB">
        <w:rPr>
          <w:rFonts w:cs="Arial" w:hint="cs"/>
          <w:rtl/>
        </w:rPr>
        <w:t>.</w:t>
      </w:r>
      <w:r w:rsidRPr="00BE2DBA">
        <w:rPr>
          <w:rFonts w:cs="Arial"/>
          <w:rtl/>
        </w:rPr>
        <w:t xml:space="preserve"> היה הדבר ספק אם הגיע לשכרותו של לוט </w:t>
      </w:r>
      <w:r w:rsidR="00A82951">
        <w:rPr>
          <w:rFonts w:cs="Arial" w:hint="cs"/>
          <w:rtl/>
        </w:rPr>
        <w:t>-</w:t>
      </w:r>
      <w:r w:rsidR="001045FB">
        <w:rPr>
          <w:rFonts w:cs="Arial" w:hint="cs"/>
          <w:rtl/>
        </w:rPr>
        <w:t xml:space="preserve"> </w:t>
      </w:r>
      <w:r w:rsidRPr="00BE2DBA">
        <w:rPr>
          <w:rFonts w:cs="Arial"/>
          <w:rtl/>
        </w:rPr>
        <w:t>הרי זה ספק</w:t>
      </w:r>
      <w:r w:rsidR="00624B55">
        <w:rPr>
          <w:rFonts w:cs="Arial" w:hint="cs"/>
          <w:rtl/>
        </w:rPr>
        <w:t>.</w:t>
      </w:r>
      <w:r w:rsidRPr="00BE2DBA">
        <w:rPr>
          <w:rFonts w:cs="Arial"/>
          <w:rtl/>
        </w:rPr>
        <w:t xml:space="preserve"> </w:t>
      </w:r>
    </w:p>
    <w:p w14:paraId="0859DE99" w14:textId="48CB5C67" w:rsidR="005E486B" w:rsidRPr="0019391C" w:rsidRDefault="00CA6298" w:rsidP="00A65C5F">
      <w:pPr>
        <w:pStyle w:val="ab"/>
        <w:numPr>
          <w:ilvl w:val="0"/>
          <w:numId w:val="30"/>
        </w:numPr>
        <w:rPr>
          <w:rtl/>
        </w:rPr>
      </w:pPr>
      <w:r w:rsidRPr="00BE2DBA">
        <w:rPr>
          <w:rFonts w:cs="Arial"/>
          <w:rtl/>
        </w:rPr>
        <w:t xml:space="preserve">רמב"ם </w:t>
      </w:r>
      <w:r>
        <w:rPr>
          <w:rFonts w:cs="Arial" w:hint="cs"/>
          <w:sz w:val="16"/>
          <w:szCs w:val="16"/>
          <w:rtl/>
        </w:rPr>
        <w:t>(</w:t>
      </w:r>
      <w:r w:rsidR="00410E34">
        <w:rPr>
          <w:rFonts w:cs="Arial" w:hint="cs"/>
          <w:sz w:val="16"/>
          <w:szCs w:val="16"/>
          <w:rtl/>
        </w:rPr>
        <w:t>שם</w:t>
      </w:r>
      <w:r>
        <w:rPr>
          <w:rFonts w:cs="Arial" w:hint="cs"/>
          <w:sz w:val="16"/>
          <w:szCs w:val="16"/>
          <w:rtl/>
        </w:rPr>
        <w:t xml:space="preserve">, </w:t>
      </w:r>
      <w:r w:rsidR="00410E34">
        <w:rPr>
          <w:rFonts w:cs="Arial" w:hint="cs"/>
          <w:sz w:val="16"/>
          <w:szCs w:val="16"/>
          <w:rtl/>
        </w:rPr>
        <w:t>לגירסת הב"י ולגירסתנו</w:t>
      </w:r>
      <w:r>
        <w:rPr>
          <w:rFonts w:cs="Arial" w:hint="cs"/>
          <w:sz w:val="16"/>
          <w:szCs w:val="16"/>
          <w:rtl/>
        </w:rPr>
        <w:t>)</w:t>
      </w:r>
      <w:r w:rsidR="00A82951">
        <w:rPr>
          <w:rFonts w:cs="Arial" w:hint="cs"/>
          <w:rtl/>
        </w:rPr>
        <w:t>-</w:t>
      </w:r>
      <w:r>
        <w:rPr>
          <w:rFonts w:cs="Arial" w:hint="cs"/>
          <w:rtl/>
        </w:rPr>
        <w:t xml:space="preserve"> </w:t>
      </w:r>
      <w:r w:rsidR="005E486B" w:rsidRPr="00CA6298">
        <w:rPr>
          <w:rFonts w:cs="Arial"/>
          <w:rtl/>
        </w:rPr>
        <w:t xml:space="preserve">וכן השכור שהגיע לשכרותו של לוט ואמר כתבו </w:t>
      </w:r>
      <w:r w:rsidR="00A82951">
        <w:rPr>
          <w:rFonts w:cs="Arial" w:hint="cs"/>
          <w:rtl/>
        </w:rPr>
        <w:t>-</w:t>
      </w:r>
      <w:r>
        <w:rPr>
          <w:rFonts w:cs="Arial" w:hint="cs"/>
          <w:rtl/>
        </w:rPr>
        <w:t xml:space="preserve"> </w:t>
      </w:r>
      <w:r w:rsidR="005E486B" w:rsidRPr="00CA6298">
        <w:rPr>
          <w:rFonts w:cs="Arial"/>
          <w:rtl/>
        </w:rPr>
        <w:t>אין כותבין</w:t>
      </w:r>
      <w:r>
        <w:rPr>
          <w:rFonts w:cs="Arial" w:hint="cs"/>
          <w:rtl/>
        </w:rPr>
        <w:t>.</w:t>
      </w:r>
      <w:r w:rsidR="005E486B" w:rsidRPr="00CA6298">
        <w:rPr>
          <w:rFonts w:cs="Arial"/>
          <w:rtl/>
        </w:rPr>
        <w:t xml:space="preserve"> ואם לא הגיע</w:t>
      </w:r>
      <w:r w:rsidR="00732AD5">
        <w:rPr>
          <w:rStyle w:val="a7"/>
          <w:rFonts w:cs="Arial"/>
          <w:rtl/>
        </w:rPr>
        <w:footnoteReference w:id="252"/>
      </w:r>
      <w:r w:rsidR="005E486B" w:rsidRPr="00CA6298">
        <w:rPr>
          <w:rFonts w:cs="Arial"/>
          <w:rtl/>
        </w:rPr>
        <w:t xml:space="preserve"> </w:t>
      </w:r>
      <w:r w:rsidR="00A82951">
        <w:rPr>
          <w:rFonts w:cs="Arial" w:hint="cs"/>
          <w:rtl/>
        </w:rPr>
        <w:t>-</w:t>
      </w:r>
      <w:r>
        <w:rPr>
          <w:rFonts w:cs="Arial" w:hint="cs"/>
          <w:rtl/>
        </w:rPr>
        <w:t xml:space="preserve"> </w:t>
      </w:r>
      <w:r w:rsidR="005E486B" w:rsidRPr="00CA6298">
        <w:rPr>
          <w:rFonts w:cs="Arial"/>
          <w:rtl/>
        </w:rPr>
        <w:t>הרי זה ספק</w:t>
      </w:r>
      <w:r w:rsidR="00732AD5">
        <w:rPr>
          <w:rStyle w:val="a7"/>
          <w:rFonts w:cs="Arial"/>
          <w:rtl/>
        </w:rPr>
        <w:footnoteReference w:id="253"/>
      </w:r>
      <w:r w:rsidRPr="00410E34">
        <w:rPr>
          <w:rFonts w:cs="Arial" w:hint="cs"/>
          <w:rtl/>
        </w:rPr>
        <w:t>.</w:t>
      </w:r>
      <w:r w:rsidR="005E486B" w:rsidRPr="00410E34">
        <w:rPr>
          <w:rFonts w:cs="Arial"/>
          <w:rtl/>
        </w:rPr>
        <w:t xml:space="preserve"> </w:t>
      </w:r>
      <w:r w:rsidR="00B44CFF" w:rsidRPr="00B44CFF">
        <w:rPr>
          <w:rFonts w:hint="cs"/>
          <w:color w:val="E36C0A" w:themeColor="accent6" w:themeShade="BF"/>
          <w:rtl/>
        </w:rPr>
        <w:t>(וכ"פ בשו"ע)</w:t>
      </w:r>
    </w:p>
    <w:p w14:paraId="78D3F4BC" w14:textId="77777777" w:rsidR="00486C31" w:rsidRPr="007B74F1" w:rsidRDefault="00486C31" w:rsidP="00486C31">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3953973" w14:textId="031C1913" w:rsidR="00486C31" w:rsidRDefault="00486C31" w:rsidP="00486C31">
      <w:pPr>
        <w:rPr>
          <w:rFonts w:cs="Arial"/>
          <w:rtl/>
        </w:rPr>
      </w:pPr>
      <w:r w:rsidRPr="00486C31">
        <w:rPr>
          <w:rFonts w:cs="Arial"/>
          <w:rtl/>
        </w:rPr>
        <w:t>צריך שיהיה בדעתו בשעה שמצוה לכתבו. לפיכך אם אחזו רוח רעה בשעה שמצוה לכתבו, אין כותבין</w:t>
      </w:r>
      <w:r w:rsidR="00B44CFF">
        <w:rPr>
          <w:rStyle w:val="a7"/>
          <w:rFonts w:cs="Arial"/>
          <w:rtl/>
        </w:rPr>
        <w:footnoteReference w:id="254"/>
      </w:r>
      <w:r w:rsidRPr="00486C31">
        <w:rPr>
          <w:rFonts w:cs="Arial"/>
          <w:rtl/>
        </w:rPr>
        <w:t xml:space="preserve"> אותו אפילו לכשיבריא. וכן השיכור, שהגיע לשכרותו של לוט, ואמר: כתבו, אין כותבין. ואם לא הגיע, הרי זה ספק</w:t>
      </w:r>
      <w:r w:rsidR="002C713E">
        <w:rPr>
          <w:rStyle w:val="a7"/>
          <w:rFonts w:cs="Arial"/>
          <w:rtl/>
        </w:rPr>
        <w:footnoteReference w:id="255"/>
      </w:r>
      <w:r w:rsidRPr="00486C31">
        <w:rPr>
          <w:rFonts w:cs="Arial"/>
          <w:rtl/>
        </w:rPr>
        <w:t xml:space="preserve">. </w:t>
      </w:r>
    </w:p>
    <w:p w14:paraId="07B7CC21" w14:textId="77777777" w:rsidR="007D267E" w:rsidRPr="00486C31" w:rsidRDefault="007D267E" w:rsidP="00486C31">
      <w:pPr>
        <w:rPr>
          <w:rFonts w:cs="Arial"/>
          <w:rtl/>
        </w:rPr>
      </w:pPr>
    </w:p>
    <w:p w14:paraId="4EC9CA3E" w14:textId="703AC27A" w:rsidR="00486C31" w:rsidRDefault="00486C31" w:rsidP="00786DE6">
      <w:pPr>
        <w:pStyle w:val="2"/>
        <w:rPr>
          <w:rtl/>
        </w:rPr>
      </w:pPr>
      <w:r w:rsidRPr="00486C31">
        <w:rPr>
          <w:rtl/>
        </w:rPr>
        <w:t>סעיף ב</w:t>
      </w:r>
      <w:r w:rsidR="005E486B">
        <w:rPr>
          <w:rFonts w:hint="cs"/>
          <w:rtl/>
        </w:rPr>
        <w:t>:</w:t>
      </w:r>
      <w:r w:rsidR="00F741EA" w:rsidRPr="00F741EA">
        <w:rPr>
          <w:rFonts w:hint="cs"/>
          <w:rtl/>
        </w:rPr>
        <w:t xml:space="preserve"> </w:t>
      </w:r>
      <w:r w:rsidR="00F741EA">
        <w:rPr>
          <w:rFonts w:hint="cs"/>
          <w:rtl/>
        </w:rPr>
        <w:t>ציוה לכתוב גט כשהיה בריא, ואח"כ אחזו החולי.</w:t>
      </w:r>
    </w:p>
    <w:p w14:paraId="5E271DD7" w14:textId="1BA968EA" w:rsidR="001237BF" w:rsidRDefault="001237BF" w:rsidP="001237BF">
      <w:pPr>
        <w:rPr>
          <w:rtl/>
        </w:rPr>
      </w:pPr>
      <w:r w:rsidRPr="00573889">
        <w:rPr>
          <w:rFonts w:cs="Arial" w:hint="cs"/>
          <w:b/>
          <w:bCs/>
          <w:rtl/>
        </w:rPr>
        <w:t xml:space="preserve">גיטין </w:t>
      </w:r>
      <w:r w:rsidRPr="00573889">
        <w:rPr>
          <w:rFonts w:cs="Arial" w:hint="cs"/>
          <w:b/>
          <w:bCs/>
          <w:sz w:val="16"/>
          <w:szCs w:val="16"/>
          <w:rtl/>
        </w:rPr>
        <w:t>(</w:t>
      </w:r>
      <w:r>
        <w:rPr>
          <w:rFonts w:cs="Arial" w:hint="cs"/>
          <w:b/>
          <w:bCs/>
          <w:sz w:val="16"/>
          <w:szCs w:val="16"/>
          <w:rtl/>
        </w:rPr>
        <w:t>ר"פ מי שאחזו</w:t>
      </w:r>
      <w:r w:rsidRPr="00573889">
        <w:rPr>
          <w:rFonts w:cs="Arial" w:hint="cs"/>
          <w:b/>
          <w:bCs/>
          <w:sz w:val="16"/>
          <w:szCs w:val="16"/>
          <w:rtl/>
        </w:rPr>
        <w:t>)</w:t>
      </w:r>
      <w:r w:rsidRPr="00573889">
        <w:rPr>
          <w:rFonts w:cs="Arial" w:hint="cs"/>
          <w:b/>
          <w:bCs/>
          <w:rtl/>
        </w:rPr>
        <w:t xml:space="preserve"> </w:t>
      </w:r>
      <w:r>
        <w:rPr>
          <w:rFonts w:cs="Arial" w:hint="cs"/>
          <w:b/>
          <w:bCs/>
          <w:rtl/>
        </w:rPr>
        <w:t>סז</w:t>
      </w:r>
      <w:r w:rsidRPr="00573889">
        <w:rPr>
          <w:rFonts w:cs="Arial" w:hint="cs"/>
          <w:b/>
          <w:bCs/>
          <w:rtl/>
        </w:rPr>
        <w:t xml:space="preserve"> ע"</w:t>
      </w:r>
      <w:r>
        <w:rPr>
          <w:rFonts w:cs="Arial" w:hint="cs"/>
          <w:b/>
          <w:bCs/>
          <w:rtl/>
        </w:rPr>
        <w:t>ב</w:t>
      </w:r>
      <w:r w:rsidRPr="00573889">
        <w:rPr>
          <w:rFonts w:cs="Arial" w:hint="cs"/>
          <w:b/>
          <w:bCs/>
          <w:rtl/>
        </w:rPr>
        <w:t>:</w:t>
      </w:r>
      <w:r w:rsidRPr="00D1348C">
        <w:rPr>
          <w:rtl/>
        </w:rPr>
        <w:t xml:space="preserve"> </w:t>
      </w:r>
      <w:r w:rsidRPr="00003716">
        <w:rPr>
          <w:rFonts w:cs="Arial" w:hint="cs"/>
          <w:u w:val="double"/>
          <w:rtl/>
        </w:rPr>
        <w:t>מתני'</w:t>
      </w:r>
      <w:r>
        <w:rPr>
          <w:rFonts w:cs="Arial" w:hint="cs"/>
          <w:rtl/>
        </w:rPr>
        <w:t>:</w:t>
      </w:r>
      <w:r w:rsidRPr="009E31A1">
        <w:rPr>
          <w:rFonts w:cs="Arial"/>
          <w:rtl/>
        </w:rPr>
        <w:t xml:space="preserve"> מי שאחזו קורדייקוס</w:t>
      </w:r>
      <w:r>
        <w:rPr>
          <w:rStyle w:val="a7"/>
          <w:rFonts w:cs="Arial"/>
          <w:rtl/>
        </w:rPr>
        <w:footnoteReference w:id="256"/>
      </w:r>
      <w:r w:rsidRPr="009E31A1">
        <w:rPr>
          <w:rFonts w:cs="Arial"/>
          <w:rtl/>
        </w:rPr>
        <w:t xml:space="preserve">, ואמר כתבו גט לאשתי </w:t>
      </w:r>
      <w:r w:rsidR="00A82951">
        <w:rPr>
          <w:rFonts w:cs="Arial"/>
          <w:rtl/>
        </w:rPr>
        <w:t>-</w:t>
      </w:r>
      <w:r w:rsidRPr="009E31A1">
        <w:rPr>
          <w:rFonts w:cs="Arial"/>
          <w:rtl/>
        </w:rPr>
        <w:t xml:space="preserve"> לא אמר כלום</w:t>
      </w:r>
      <w:r>
        <w:rPr>
          <w:rStyle w:val="a7"/>
          <w:rFonts w:cs="Arial"/>
          <w:rtl/>
        </w:rPr>
        <w:footnoteReference w:id="257"/>
      </w:r>
      <w:r w:rsidRPr="009E31A1">
        <w:rPr>
          <w:rFonts w:cs="Arial"/>
          <w:rtl/>
        </w:rPr>
        <w:t xml:space="preserve">. אמר כתבו גט לאשתי ואחזו קורדייקוס, וחזר ואמר לא תכתבנו </w:t>
      </w:r>
      <w:r w:rsidR="00A82951">
        <w:rPr>
          <w:rFonts w:cs="Arial"/>
          <w:rtl/>
        </w:rPr>
        <w:t>-</w:t>
      </w:r>
      <w:r w:rsidRPr="009E31A1">
        <w:rPr>
          <w:rFonts w:cs="Arial"/>
          <w:rtl/>
        </w:rPr>
        <w:t xml:space="preserve"> אין דבריו האחרונים כלום</w:t>
      </w:r>
      <w:r>
        <w:rPr>
          <w:rStyle w:val="a7"/>
          <w:rFonts w:cs="Arial"/>
          <w:rtl/>
        </w:rPr>
        <w:footnoteReference w:id="258"/>
      </w:r>
      <w:r w:rsidRPr="009E31A1">
        <w:rPr>
          <w:rFonts w:cs="Arial"/>
          <w:rtl/>
        </w:rPr>
        <w:t>.</w:t>
      </w:r>
      <w:r>
        <w:rPr>
          <w:rFonts w:hint="cs"/>
          <w:rtl/>
        </w:rPr>
        <w:t xml:space="preserve">    </w:t>
      </w:r>
      <w:r>
        <w:rPr>
          <w:rFonts w:cs="Arial" w:hint="cs"/>
          <w:rtl/>
        </w:rPr>
        <w:t xml:space="preserve">   </w:t>
      </w:r>
      <w:r w:rsidRPr="008B42FF">
        <w:rPr>
          <w:rFonts w:cs="Arial" w:hint="cs"/>
          <w:u w:val="double"/>
          <w:rtl/>
        </w:rPr>
        <w:t>גמ'</w:t>
      </w:r>
      <w:r>
        <w:rPr>
          <w:rFonts w:cs="Arial" w:hint="cs"/>
          <w:sz w:val="14"/>
          <w:szCs w:val="14"/>
          <w:u w:val="double"/>
          <w:rtl/>
        </w:rPr>
        <w:t>(ע:)</w:t>
      </w:r>
      <w:r w:rsidRPr="008B42FF">
        <w:rPr>
          <w:rFonts w:cs="Arial" w:hint="cs"/>
          <w:u w:val="double"/>
          <w:rtl/>
        </w:rPr>
        <w:t>:</w:t>
      </w:r>
      <w:r>
        <w:rPr>
          <w:rFonts w:cs="Arial" w:hint="cs"/>
          <w:rtl/>
        </w:rPr>
        <w:t xml:space="preserve"> </w:t>
      </w:r>
      <w:r w:rsidRPr="008B42FF">
        <w:rPr>
          <w:rFonts w:cs="Arial"/>
          <w:rtl/>
        </w:rPr>
        <w:t xml:space="preserve">אמר כתבו גט לאשתי ואחזו קורדייקוס, וחזר ואמר אל תכתבו </w:t>
      </w:r>
      <w:r w:rsidR="00A82951">
        <w:rPr>
          <w:rFonts w:cs="Arial"/>
          <w:rtl/>
        </w:rPr>
        <w:t>-</w:t>
      </w:r>
      <w:r w:rsidRPr="008B42FF">
        <w:rPr>
          <w:rFonts w:cs="Arial"/>
          <w:rtl/>
        </w:rPr>
        <w:t xml:space="preserve"> אין דבריו האחרונים כלום. </w:t>
      </w:r>
      <w:r w:rsidRPr="008B42FF">
        <w:rPr>
          <w:rFonts w:cs="Arial"/>
          <w:u w:val="single"/>
          <w:rtl/>
        </w:rPr>
        <w:t>אר"ש בן לקיש</w:t>
      </w:r>
      <w:r w:rsidRPr="008B42FF">
        <w:rPr>
          <w:rFonts w:cs="Arial"/>
          <w:rtl/>
        </w:rPr>
        <w:t>: כותבין ונותנין גט לאלתר</w:t>
      </w:r>
      <w:r w:rsidR="00EB6247">
        <w:rPr>
          <w:rStyle w:val="a7"/>
          <w:rFonts w:cs="Arial"/>
          <w:rtl/>
        </w:rPr>
        <w:footnoteReference w:id="259"/>
      </w:r>
      <w:r>
        <w:rPr>
          <w:rFonts w:cs="Arial" w:hint="cs"/>
          <w:rtl/>
        </w:rPr>
        <w:t>.</w:t>
      </w:r>
      <w:r w:rsidRPr="008B42FF">
        <w:rPr>
          <w:rFonts w:cs="Arial"/>
          <w:rtl/>
        </w:rPr>
        <w:t xml:space="preserve"> </w:t>
      </w:r>
      <w:r w:rsidRPr="008B42FF">
        <w:rPr>
          <w:rFonts w:cs="Arial"/>
          <w:u w:val="single"/>
          <w:rtl/>
        </w:rPr>
        <w:t>ור' יוחנן אמר</w:t>
      </w:r>
      <w:r w:rsidRPr="008B42FF">
        <w:rPr>
          <w:rFonts w:cs="Arial"/>
          <w:rtl/>
        </w:rPr>
        <w:t>: אין כותבין אלא לכשישתפה. מ"ט דר"ל? דקתני: אין בדבריו האחרונים כלום. ור' יוחנן? אמר לך: אין בדבריו האחרונים כלום, דלכי מתציל לא צריך למיהדר אימלוכי ביה, ולעולם אין כותבין אלא לכשישתפה.</w:t>
      </w:r>
      <w:r w:rsidRPr="00B40EE7">
        <w:rPr>
          <w:rtl/>
        </w:rPr>
        <w:t xml:space="preserve"> </w:t>
      </w:r>
      <w:r w:rsidRPr="00B40EE7">
        <w:rPr>
          <w:rFonts w:cs="Arial"/>
          <w:rtl/>
        </w:rPr>
        <w:t>במאי קמיפלגי? ר"ל מדמי ליה לישן, ור' יוחנן מדמי ליה לשוטה. ור' יוחנן נמי לידמיה לישן! ישן לא מחוסר מעשה, האי מחוסר מעשה</w:t>
      </w:r>
      <w:r w:rsidR="00EB6247">
        <w:rPr>
          <w:rStyle w:val="a7"/>
          <w:rFonts w:cs="Arial"/>
          <w:rtl/>
        </w:rPr>
        <w:footnoteReference w:id="260"/>
      </w:r>
      <w:r w:rsidRPr="00B40EE7">
        <w:rPr>
          <w:rFonts w:cs="Arial"/>
          <w:rtl/>
        </w:rPr>
        <w:t>. ור"ל נמי נידמייה לשוטה! שוטה לא סמיה בידן</w:t>
      </w:r>
      <w:r w:rsidR="00EB6247">
        <w:rPr>
          <w:rStyle w:val="a7"/>
          <w:rFonts w:cs="Arial"/>
          <w:rtl/>
        </w:rPr>
        <w:footnoteReference w:id="261"/>
      </w:r>
      <w:r w:rsidRPr="00B40EE7">
        <w:rPr>
          <w:rFonts w:cs="Arial"/>
          <w:rtl/>
        </w:rPr>
        <w:t>, האי סמיה בידן, בישרא סומקא אגומרי וחמרא מרקא.</w:t>
      </w:r>
      <w:r w:rsidR="00F741EA" w:rsidRPr="00F741EA">
        <w:rPr>
          <w:rFonts w:cs="Arial"/>
          <w:sz w:val="16"/>
          <w:szCs w:val="16"/>
          <w:rtl/>
        </w:rPr>
        <w:t xml:space="preserve"> </w:t>
      </w:r>
      <w:r w:rsidR="00F741EA">
        <w:rPr>
          <w:rFonts w:cs="Arial" w:hint="cs"/>
          <w:sz w:val="16"/>
          <w:szCs w:val="16"/>
          <w:rtl/>
        </w:rPr>
        <w:t>(</w:t>
      </w:r>
      <w:r w:rsidR="00F741EA" w:rsidRPr="00F741EA">
        <w:rPr>
          <w:rFonts w:cs="Arial"/>
          <w:sz w:val="16"/>
          <w:szCs w:val="16"/>
          <w:rtl/>
        </w:rPr>
        <w:t>וידוע (תוס' ע"ז עא. ד"ה רב אשי) דהלכה כרבי יוחנן</w:t>
      </w:r>
      <w:r w:rsidR="00F741EA" w:rsidRPr="00F741EA">
        <w:rPr>
          <w:rFonts w:cs="Arial" w:hint="cs"/>
          <w:sz w:val="16"/>
          <w:szCs w:val="16"/>
          <w:rtl/>
        </w:rPr>
        <w:t>, ב"י)</w:t>
      </w:r>
    </w:p>
    <w:p w14:paraId="77D803ED" w14:textId="43C665D3" w:rsidR="002F62CF" w:rsidRPr="00F741EA" w:rsidRDefault="00F741EA" w:rsidP="002F62CF">
      <w:pPr>
        <w:rPr>
          <w:u w:val="single"/>
          <w:rtl/>
        </w:rPr>
      </w:pPr>
      <w:r w:rsidRPr="00F741EA">
        <w:rPr>
          <w:rFonts w:hint="cs"/>
          <w:u w:val="single"/>
          <w:rtl/>
        </w:rPr>
        <w:t>ציוה לכתוב גט כשהיה בריא, ואח"כ אחזו החולי:</w:t>
      </w:r>
    </w:p>
    <w:p w14:paraId="3EA04629" w14:textId="3DE0D2A3" w:rsidR="00F741EA" w:rsidRPr="00F741EA" w:rsidRDefault="00624B55" w:rsidP="00A65C5F">
      <w:pPr>
        <w:pStyle w:val="ab"/>
        <w:numPr>
          <w:ilvl w:val="0"/>
          <w:numId w:val="30"/>
        </w:numPr>
      </w:pPr>
      <w:r>
        <w:rPr>
          <w:rFonts w:cs="Arial" w:hint="cs"/>
          <w:rtl/>
        </w:rPr>
        <w:t>טור</w:t>
      </w:r>
      <w:r w:rsidR="00A82951">
        <w:rPr>
          <w:rFonts w:cs="Arial" w:hint="cs"/>
          <w:rtl/>
        </w:rPr>
        <w:t>-</w:t>
      </w:r>
      <w:r>
        <w:rPr>
          <w:rFonts w:cs="Arial" w:hint="cs"/>
          <w:rtl/>
        </w:rPr>
        <w:t xml:space="preserve"> </w:t>
      </w:r>
      <w:r w:rsidRPr="00BE2DBA">
        <w:rPr>
          <w:rFonts w:cs="Arial"/>
          <w:rtl/>
        </w:rPr>
        <w:t>היה בריא בשעה שצוה לכותבו</w:t>
      </w:r>
      <w:r w:rsidR="004D75BF">
        <w:rPr>
          <w:rFonts w:cs="Arial" w:hint="cs"/>
          <w:rtl/>
        </w:rPr>
        <w:t>,</w:t>
      </w:r>
      <w:r w:rsidRPr="00BE2DBA">
        <w:rPr>
          <w:rFonts w:cs="Arial"/>
          <w:rtl/>
        </w:rPr>
        <w:t xml:space="preserve"> ואח"כ אחזו החולי </w:t>
      </w:r>
      <w:r w:rsidR="00A82951">
        <w:rPr>
          <w:rFonts w:cs="Arial" w:hint="cs"/>
          <w:rtl/>
        </w:rPr>
        <w:t>-</w:t>
      </w:r>
      <w:r w:rsidR="00E6326D">
        <w:rPr>
          <w:rFonts w:cs="Arial" w:hint="cs"/>
          <w:rtl/>
        </w:rPr>
        <w:t xml:space="preserve"> </w:t>
      </w:r>
      <w:r w:rsidRPr="00BE2DBA">
        <w:rPr>
          <w:rFonts w:cs="Arial"/>
          <w:rtl/>
        </w:rPr>
        <w:t>אין כותבין אותו בעודו בחליו</w:t>
      </w:r>
      <w:r w:rsidR="00E6326D">
        <w:rPr>
          <w:rFonts w:cs="Arial" w:hint="cs"/>
          <w:rtl/>
        </w:rPr>
        <w:t>.</w:t>
      </w:r>
      <w:r w:rsidRPr="00BE2DBA">
        <w:rPr>
          <w:rFonts w:cs="Arial"/>
          <w:rtl/>
        </w:rPr>
        <w:t xml:space="preserve"> ואם כתבו ונתנוהו בחליו </w:t>
      </w:r>
      <w:r w:rsidR="00A82951">
        <w:rPr>
          <w:rFonts w:cs="Arial" w:hint="cs"/>
          <w:rtl/>
        </w:rPr>
        <w:t>-</w:t>
      </w:r>
      <w:r w:rsidR="00E6326D">
        <w:rPr>
          <w:rFonts w:cs="Arial" w:hint="cs"/>
          <w:rtl/>
        </w:rPr>
        <w:t xml:space="preserve"> </w:t>
      </w:r>
      <w:r w:rsidRPr="00BE2DBA">
        <w:rPr>
          <w:rFonts w:cs="Arial"/>
          <w:rtl/>
        </w:rPr>
        <w:t>אינו כלום</w:t>
      </w:r>
      <w:r w:rsidR="00E6326D">
        <w:rPr>
          <w:rFonts w:cs="Arial" w:hint="cs"/>
          <w:rtl/>
        </w:rPr>
        <w:t>,</w:t>
      </w:r>
      <w:r w:rsidRPr="00BE2DBA">
        <w:rPr>
          <w:rFonts w:cs="Arial"/>
          <w:rtl/>
        </w:rPr>
        <w:t xml:space="preserve"> לא שנא מת מתוך החולי</w:t>
      </w:r>
      <w:r w:rsidR="00E6326D">
        <w:rPr>
          <w:rFonts w:cs="Arial" w:hint="cs"/>
          <w:rtl/>
        </w:rPr>
        <w:t>,</w:t>
      </w:r>
      <w:r w:rsidRPr="00BE2DBA">
        <w:rPr>
          <w:rFonts w:cs="Arial"/>
          <w:rtl/>
        </w:rPr>
        <w:t xml:space="preserve"> לא שנא נתרפא</w:t>
      </w:r>
      <w:r w:rsidR="00E6326D">
        <w:rPr>
          <w:rFonts w:cs="Arial" w:hint="cs"/>
          <w:rtl/>
        </w:rPr>
        <w:t>.</w:t>
      </w:r>
      <w:r w:rsidRPr="00BE2DBA">
        <w:rPr>
          <w:rFonts w:cs="Arial"/>
          <w:rtl/>
        </w:rPr>
        <w:t xml:space="preserve"> אבל לכשיתרפא </w:t>
      </w:r>
      <w:r w:rsidR="00A82951">
        <w:rPr>
          <w:rFonts w:cs="Arial" w:hint="cs"/>
          <w:rtl/>
        </w:rPr>
        <w:t>-</w:t>
      </w:r>
      <w:r w:rsidR="00E6326D">
        <w:rPr>
          <w:rFonts w:cs="Arial" w:hint="cs"/>
          <w:rtl/>
        </w:rPr>
        <w:t xml:space="preserve"> </w:t>
      </w:r>
      <w:r w:rsidRPr="00BE2DBA">
        <w:rPr>
          <w:rFonts w:cs="Arial"/>
          <w:rtl/>
        </w:rPr>
        <w:t>כותבין</w:t>
      </w:r>
      <w:r w:rsidR="00E6326D">
        <w:rPr>
          <w:rFonts w:cs="Arial" w:hint="cs"/>
          <w:rtl/>
        </w:rPr>
        <w:t>,</w:t>
      </w:r>
      <w:r w:rsidRPr="00BE2DBA">
        <w:rPr>
          <w:rFonts w:cs="Arial"/>
          <w:rtl/>
        </w:rPr>
        <w:t xml:space="preserve"> אפי</w:t>
      </w:r>
      <w:r w:rsidR="00E6326D">
        <w:rPr>
          <w:rFonts w:cs="Arial" w:hint="cs"/>
          <w:rtl/>
        </w:rPr>
        <w:t>לו</w:t>
      </w:r>
      <w:r w:rsidRPr="00BE2DBA">
        <w:rPr>
          <w:rFonts w:cs="Arial"/>
          <w:rtl/>
        </w:rPr>
        <w:t xml:space="preserve"> אם בחליו מיחה מלכותבו</w:t>
      </w:r>
      <w:r w:rsidR="00E6326D">
        <w:rPr>
          <w:rFonts w:cs="Arial" w:hint="cs"/>
          <w:rtl/>
        </w:rPr>
        <w:t>,</w:t>
      </w:r>
      <w:r w:rsidRPr="00BE2DBA">
        <w:rPr>
          <w:rFonts w:cs="Arial"/>
          <w:rtl/>
        </w:rPr>
        <w:t xml:space="preserve"> אין באותו מיחוי כלום</w:t>
      </w:r>
      <w:r w:rsidR="00E6326D">
        <w:rPr>
          <w:rFonts w:cs="Arial" w:hint="cs"/>
          <w:rtl/>
        </w:rPr>
        <w:t>,</w:t>
      </w:r>
      <w:r w:rsidRPr="00BE2DBA">
        <w:rPr>
          <w:rFonts w:cs="Arial"/>
          <w:rtl/>
        </w:rPr>
        <w:t xml:space="preserve"> ונותנין אותו לכשיתרפא</w:t>
      </w:r>
      <w:r w:rsidR="00E6326D">
        <w:rPr>
          <w:rFonts w:cs="Arial" w:hint="cs"/>
          <w:rtl/>
        </w:rPr>
        <w:t>,</w:t>
      </w:r>
      <w:r w:rsidRPr="00BE2DBA">
        <w:rPr>
          <w:rFonts w:cs="Arial"/>
          <w:rtl/>
        </w:rPr>
        <w:t xml:space="preserve"> וא"צ לימלך בו פעם שנית</w:t>
      </w:r>
      <w:r>
        <w:rPr>
          <w:rFonts w:cs="Arial" w:hint="cs"/>
          <w:rtl/>
        </w:rPr>
        <w:t>.</w:t>
      </w:r>
      <w:r w:rsidRPr="00BE2DBA">
        <w:rPr>
          <w:rFonts w:cs="Arial"/>
          <w:rtl/>
        </w:rPr>
        <w:t xml:space="preserve"> </w:t>
      </w:r>
      <w:r w:rsidR="00D4576C">
        <w:rPr>
          <w:rFonts w:hint="cs"/>
          <w:rtl/>
        </w:rPr>
        <w:t>(וכ"פ שלט"ג</w:t>
      </w:r>
      <w:r w:rsidR="00D4576C">
        <w:rPr>
          <w:rStyle w:val="a7"/>
          <w:rtl/>
        </w:rPr>
        <w:footnoteReference w:id="262"/>
      </w:r>
      <w:r w:rsidR="00D4576C">
        <w:rPr>
          <w:rFonts w:hint="cs"/>
          <w:rtl/>
        </w:rPr>
        <w:t>)</w:t>
      </w:r>
    </w:p>
    <w:p w14:paraId="68AFB2A1" w14:textId="243AC9F8" w:rsidR="005E486B" w:rsidRPr="005E486B" w:rsidRDefault="005E486B" w:rsidP="00A65C5F">
      <w:pPr>
        <w:pStyle w:val="ab"/>
        <w:numPr>
          <w:ilvl w:val="0"/>
          <w:numId w:val="30"/>
        </w:numPr>
        <w:rPr>
          <w:rtl/>
        </w:rPr>
      </w:pPr>
      <w:r w:rsidRPr="00F741EA">
        <w:rPr>
          <w:rFonts w:cs="Arial"/>
          <w:rtl/>
        </w:rPr>
        <w:t>רמב"ם</w:t>
      </w:r>
      <w:r w:rsidRPr="00F741EA">
        <w:rPr>
          <w:rFonts w:cs="Arial"/>
          <w:sz w:val="16"/>
          <w:szCs w:val="16"/>
          <w:rtl/>
        </w:rPr>
        <w:t xml:space="preserve"> </w:t>
      </w:r>
      <w:r w:rsidR="00F741EA" w:rsidRPr="00F741EA">
        <w:rPr>
          <w:rFonts w:cs="Arial" w:hint="cs"/>
          <w:sz w:val="16"/>
          <w:szCs w:val="16"/>
          <w:rtl/>
        </w:rPr>
        <w:t>(</w:t>
      </w:r>
      <w:r w:rsidRPr="00F741EA">
        <w:rPr>
          <w:rFonts w:cs="Arial"/>
          <w:sz w:val="16"/>
          <w:szCs w:val="16"/>
          <w:rtl/>
        </w:rPr>
        <w:t>פ</w:t>
      </w:r>
      <w:r w:rsidR="00F741EA" w:rsidRPr="00F741EA">
        <w:rPr>
          <w:rFonts w:cs="Arial" w:hint="cs"/>
          <w:sz w:val="16"/>
          <w:szCs w:val="16"/>
          <w:rtl/>
        </w:rPr>
        <w:t>"</w:t>
      </w:r>
      <w:r w:rsidRPr="00F741EA">
        <w:rPr>
          <w:rFonts w:cs="Arial"/>
          <w:sz w:val="16"/>
          <w:szCs w:val="16"/>
          <w:rtl/>
        </w:rPr>
        <w:t>ב</w:t>
      </w:r>
      <w:r w:rsidR="00F741EA" w:rsidRPr="00F741EA">
        <w:rPr>
          <w:rFonts w:cs="Arial" w:hint="cs"/>
          <w:sz w:val="16"/>
          <w:szCs w:val="16"/>
          <w:rtl/>
        </w:rPr>
        <w:t xml:space="preserve"> </w:t>
      </w:r>
      <w:r w:rsidRPr="00F741EA">
        <w:rPr>
          <w:rFonts w:cs="Arial"/>
          <w:sz w:val="16"/>
          <w:szCs w:val="16"/>
          <w:rtl/>
        </w:rPr>
        <w:t>הט"ו)</w:t>
      </w:r>
      <w:r w:rsidR="00A82951">
        <w:rPr>
          <w:rFonts w:cs="Arial" w:hint="cs"/>
          <w:rtl/>
        </w:rPr>
        <w:t>-</w:t>
      </w:r>
      <w:r w:rsidRPr="00F741EA">
        <w:rPr>
          <w:rFonts w:cs="Arial"/>
          <w:rtl/>
        </w:rPr>
        <w:t xml:space="preserve"> </w:t>
      </w:r>
      <w:r w:rsidR="00F741EA" w:rsidRPr="00F741EA">
        <w:rPr>
          <w:rFonts w:cs="Arial"/>
          <w:rtl/>
        </w:rPr>
        <w:t>אמר כשהוא בריא כתבו גט ותנו לאשתי</w:t>
      </w:r>
      <w:r w:rsidR="00AD2284">
        <w:rPr>
          <w:rFonts w:cs="Arial" w:hint="cs"/>
          <w:rtl/>
        </w:rPr>
        <w:t>,</w:t>
      </w:r>
      <w:r w:rsidR="00F741EA" w:rsidRPr="00F741EA">
        <w:rPr>
          <w:rFonts w:cs="Arial"/>
          <w:rtl/>
        </w:rPr>
        <w:t xml:space="preserve"> ואחר כך נבעת </w:t>
      </w:r>
      <w:r w:rsidR="00A82951">
        <w:rPr>
          <w:rFonts w:cs="Arial" w:hint="cs"/>
          <w:rtl/>
        </w:rPr>
        <w:t>-</w:t>
      </w:r>
      <w:r w:rsidR="00AD2284">
        <w:rPr>
          <w:rFonts w:cs="Arial" w:hint="cs"/>
          <w:rtl/>
        </w:rPr>
        <w:t xml:space="preserve"> </w:t>
      </w:r>
      <w:r w:rsidR="00F741EA" w:rsidRPr="00F741EA">
        <w:rPr>
          <w:rFonts w:cs="Arial"/>
          <w:rtl/>
        </w:rPr>
        <w:t>ממתינין עד שיבריא וכותבין ונותנין לה, ואין צריך לחזור ולהמלך בו אחר שהבריא</w:t>
      </w:r>
      <w:r w:rsidR="00AD2284">
        <w:rPr>
          <w:rFonts w:cs="Arial" w:hint="cs"/>
          <w:rtl/>
        </w:rPr>
        <w:t>.</w:t>
      </w:r>
      <w:r w:rsidR="00F741EA" w:rsidRPr="00F741EA">
        <w:rPr>
          <w:rFonts w:cs="Arial"/>
          <w:rtl/>
        </w:rPr>
        <w:t xml:space="preserve"> ואם כתבו ונתנו קודם שיבריא </w:t>
      </w:r>
      <w:r w:rsidR="00A82951">
        <w:rPr>
          <w:rFonts w:cs="Arial" w:hint="cs"/>
          <w:rtl/>
        </w:rPr>
        <w:t>-</w:t>
      </w:r>
      <w:r w:rsidR="00AD2284">
        <w:rPr>
          <w:rFonts w:cs="Arial" w:hint="cs"/>
          <w:rtl/>
        </w:rPr>
        <w:t xml:space="preserve"> </w:t>
      </w:r>
      <w:r w:rsidR="00F741EA" w:rsidRPr="00F741EA">
        <w:rPr>
          <w:rFonts w:cs="Arial"/>
          <w:rtl/>
        </w:rPr>
        <w:t>הרי זה פסול</w:t>
      </w:r>
      <w:r w:rsidR="00C53505">
        <w:rPr>
          <w:rStyle w:val="a7"/>
          <w:rFonts w:cs="Arial"/>
          <w:rtl/>
        </w:rPr>
        <w:footnoteReference w:id="263"/>
      </w:r>
      <w:r w:rsidR="00C53505" w:rsidRPr="00C53505">
        <w:rPr>
          <w:rFonts w:cs="Arial" w:hint="cs"/>
          <w:rtl/>
        </w:rPr>
        <w:t>.</w:t>
      </w:r>
      <w:r w:rsidR="00D4576C">
        <w:rPr>
          <w:rFonts w:hint="cs"/>
          <w:rtl/>
        </w:rPr>
        <w:t xml:space="preserve"> (וכ"פ ב"ח ח"מ </w:t>
      </w:r>
      <w:r w:rsidR="00D4576C">
        <w:rPr>
          <w:rFonts w:hint="cs"/>
          <w:sz w:val="16"/>
          <w:szCs w:val="16"/>
          <w:rtl/>
        </w:rPr>
        <w:t xml:space="preserve">[סק"ב] </w:t>
      </w:r>
      <w:r w:rsidR="00D4576C">
        <w:rPr>
          <w:rFonts w:hint="cs"/>
          <w:rtl/>
        </w:rPr>
        <w:t>וב"ש</w:t>
      </w:r>
      <w:r w:rsidR="00D4576C">
        <w:rPr>
          <w:rFonts w:hint="cs"/>
          <w:sz w:val="16"/>
          <w:szCs w:val="16"/>
          <w:rtl/>
        </w:rPr>
        <w:t xml:space="preserve"> [סק"ג]</w:t>
      </w:r>
      <w:r w:rsidR="00D4576C">
        <w:rPr>
          <w:rFonts w:hint="cs"/>
          <w:rtl/>
        </w:rPr>
        <w:t>)</w:t>
      </w:r>
      <w:r w:rsidR="00EB6247">
        <w:rPr>
          <w:rFonts w:hint="cs"/>
          <w:rtl/>
        </w:rPr>
        <w:t xml:space="preserve"> </w:t>
      </w:r>
    </w:p>
    <w:p w14:paraId="08F5FEFB" w14:textId="77777777" w:rsidR="00A243D9" w:rsidRPr="007B74F1" w:rsidRDefault="00A243D9" w:rsidP="00A243D9">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E6081B8" w14:textId="32024F7D" w:rsidR="00486C31" w:rsidRDefault="00486C31" w:rsidP="00486C31">
      <w:pPr>
        <w:rPr>
          <w:rFonts w:cs="Arial"/>
          <w:rtl/>
        </w:rPr>
      </w:pPr>
      <w:r w:rsidRPr="00486C31">
        <w:rPr>
          <w:rFonts w:cs="Arial"/>
          <w:rtl/>
        </w:rPr>
        <w:t>היה בריא בשעה שצוה לכותבו, ואח</w:t>
      </w:r>
      <w:r w:rsidR="00C53505">
        <w:rPr>
          <w:rFonts w:cs="Arial" w:hint="cs"/>
          <w:rtl/>
        </w:rPr>
        <w:t xml:space="preserve">ר </w:t>
      </w:r>
      <w:r w:rsidRPr="00486C31">
        <w:rPr>
          <w:rFonts w:cs="Arial"/>
          <w:rtl/>
        </w:rPr>
        <w:t>כ</w:t>
      </w:r>
      <w:r w:rsidR="00C53505">
        <w:rPr>
          <w:rFonts w:cs="Arial" w:hint="cs"/>
          <w:rtl/>
        </w:rPr>
        <w:t>ך</w:t>
      </w:r>
      <w:r w:rsidRPr="00486C31">
        <w:rPr>
          <w:rFonts w:cs="Arial"/>
          <w:rtl/>
        </w:rPr>
        <w:t xml:space="preserve"> אחזו החולי, אין כותבין אותו בעודו בחליו. ואם כתבוהו ונתנוהו קודם שיבריא, אם הוא חולי דסמיה בידן, הרי זה פסול</w:t>
      </w:r>
      <w:r w:rsidR="00D05D58">
        <w:rPr>
          <w:rStyle w:val="a7"/>
          <w:rFonts w:cs="Arial"/>
          <w:rtl/>
        </w:rPr>
        <w:footnoteReference w:id="264"/>
      </w:r>
      <w:r w:rsidR="00C53505">
        <w:rPr>
          <w:rFonts w:cs="Arial" w:hint="cs"/>
          <w:rtl/>
        </w:rPr>
        <w:t>.</w:t>
      </w:r>
      <w:r w:rsidRPr="00486C31">
        <w:rPr>
          <w:rFonts w:cs="Arial"/>
          <w:rtl/>
        </w:rPr>
        <w:t xml:space="preserve"> ואם לאו, אינו גט. </w:t>
      </w:r>
      <w:r w:rsidRPr="007D267E">
        <w:rPr>
          <w:rFonts w:cs="Arial"/>
          <w:sz w:val="18"/>
          <w:szCs w:val="18"/>
          <w:rtl/>
        </w:rPr>
        <w:t>הגה: אבל לאחר שנתרפא, כותבין ונותנין, אפילו מיחה בחליו שלא ליתנו (טור).</w:t>
      </w:r>
      <w:r w:rsidRPr="00486C31">
        <w:rPr>
          <w:rFonts w:cs="Arial"/>
          <w:rtl/>
        </w:rPr>
        <w:t xml:space="preserve"> </w:t>
      </w:r>
    </w:p>
    <w:p w14:paraId="044F9FA3" w14:textId="77777777" w:rsidR="007D267E" w:rsidRPr="00486C31" w:rsidRDefault="007D267E" w:rsidP="00486C31">
      <w:pPr>
        <w:rPr>
          <w:rFonts w:cs="Arial"/>
          <w:rtl/>
        </w:rPr>
      </w:pPr>
    </w:p>
    <w:p w14:paraId="475D377A" w14:textId="452C3E54" w:rsidR="00486C31" w:rsidRDefault="00486C31" w:rsidP="00786DE6">
      <w:pPr>
        <w:pStyle w:val="2"/>
        <w:rPr>
          <w:rtl/>
        </w:rPr>
      </w:pPr>
      <w:r w:rsidRPr="00486C31">
        <w:rPr>
          <w:rtl/>
        </w:rPr>
        <w:t>סעיף ג</w:t>
      </w:r>
      <w:r w:rsidR="005E486B">
        <w:rPr>
          <w:rFonts w:hint="cs"/>
          <w:rtl/>
        </w:rPr>
        <w:t>:</w:t>
      </w:r>
      <w:r w:rsidR="005F7018">
        <w:rPr>
          <w:rFonts w:hint="cs"/>
          <w:rtl/>
        </w:rPr>
        <w:t xml:space="preserve"> עתים חלים עתים שוטה שגירש בשעת חלימותו.</w:t>
      </w:r>
    </w:p>
    <w:p w14:paraId="6F500E0C" w14:textId="4C9F63EF" w:rsidR="00D3389A" w:rsidRPr="005F7018" w:rsidRDefault="005F7018" w:rsidP="00D3389A">
      <w:pPr>
        <w:rPr>
          <w:u w:val="single"/>
          <w:rtl/>
        </w:rPr>
      </w:pPr>
      <w:r w:rsidRPr="005F7018">
        <w:rPr>
          <w:rFonts w:hint="cs"/>
          <w:u w:val="single"/>
          <w:rtl/>
        </w:rPr>
        <w:t>עתים חלים עתים שוטה שגירש בשעת חלימותו:</w:t>
      </w:r>
    </w:p>
    <w:p w14:paraId="2496008E" w14:textId="2272DC19" w:rsidR="002A42F3" w:rsidRPr="002A42F3" w:rsidRDefault="005E486B" w:rsidP="00A65C5F">
      <w:pPr>
        <w:pStyle w:val="ab"/>
        <w:numPr>
          <w:ilvl w:val="0"/>
          <w:numId w:val="31"/>
        </w:numPr>
      </w:pPr>
      <w:r w:rsidRPr="009A52B0">
        <w:rPr>
          <w:rFonts w:cs="Arial"/>
          <w:rtl/>
        </w:rPr>
        <w:t xml:space="preserve">רשב"א </w:t>
      </w:r>
      <w:r w:rsidRPr="009A52B0">
        <w:rPr>
          <w:rFonts w:cs="Arial"/>
          <w:sz w:val="16"/>
          <w:szCs w:val="16"/>
          <w:rtl/>
        </w:rPr>
        <w:t>(ח"ד סי' רא</w:t>
      </w:r>
      <w:r w:rsidR="009A52B0" w:rsidRPr="009A52B0">
        <w:rPr>
          <w:rFonts w:cs="Arial" w:hint="cs"/>
          <w:sz w:val="16"/>
          <w:szCs w:val="16"/>
          <w:rtl/>
        </w:rPr>
        <w:t>)</w:t>
      </w:r>
      <w:r w:rsidR="00A82951">
        <w:rPr>
          <w:rFonts w:cs="Arial" w:hint="cs"/>
          <w:rtl/>
        </w:rPr>
        <w:t>-</w:t>
      </w:r>
      <w:r w:rsidRPr="009A52B0">
        <w:rPr>
          <w:rFonts w:cs="Arial"/>
          <w:rtl/>
        </w:rPr>
        <w:t xml:space="preserve"> </w:t>
      </w:r>
      <w:r w:rsidR="005869E6">
        <w:rPr>
          <w:rFonts w:cs="Arial" w:hint="cs"/>
          <w:rtl/>
        </w:rPr>
        <w:t xml:space="preserve">שאלת: </w:t>
      </w:r>
      <w:r w:rsidRPr="009A52B0">
        <w:rPr>
          <w:rFonts w:cs="Arial"/>
          <w:rtl/>
        </w:rPr>
        <w:t>הא דאמר רבא (ר"ה כח.)</w:t>
      </w:r>
      <w:r w:rsidR="009A52B0">
        <w:rPr>
          <w:rFonts w:cs="Arial" w:hint="cs"/>
          <w:rtl/>
        </w:rPr>
        <w:t>,</w:t>
      </w:r>
      <w:r w:rsidRPr="009A52B0">
        <w:rPr>
          <w:rFonts w:cs="Arial"/>
          <w:rtl/>
        </w:rPr>
        <w:t xml:space="preserve"> עתים חלים עתים שוטה כשהוא חלים הרי הוא כפקח לכל דבריו</w:t>
      </w:r>
      <w:r w:rsidR="003877BB">
        <w:rPr>
          <w:rFonts w:cs="Arial" w:hint="cs"/>
          <w:rtl/>
        </w:rPr>
        <w:t>,</w:t>
      </w:r>
      <w:r w:rsidR="009A52B0">
        <w:rPr>
          <w:rFonts w:cs="Arial" w:hint="cs"/>
          <w:rtl/>
        </w:rPr>
        <w:t xml:space="preserve"> </w:t>
      </w:r>
      <w:r w:rsidRPr="009A52B0">
        <w:rPr>
          <w:rFonts w:cs="Arial"/>
          <w:rtl/>
        </w:rPr>
        <w:t>קיימא לן כוותיה ואם גירש בשעה שהוא חלים</w:t>
      </w:r>
      <w:r w:rsidR="00E73F0D">
        <w:rPr>
          <w:rFonts w:cs="Arial" w:hint="cs"/>
          <w:rtl/>
        </w:rPr>
        <w:t xml:space="preserve"> </w:t>
      </w:r>
      <w:r w:rsidRPr="009A52B0">
        <w:rPr>
          <w:rFonts w:cs="Arial"/>
          <w:rtl/>
        </w:rPr>
        <w:t>גיטו גט</w:t>
      </w:r>
      <w:r w:rsidR="009A52B0">
        <w:rPr>
          <w:rFonts w:cs="Arial" w:hint="cs"/>
          <w:rtl/>
        </w:rPr>
        <w:t>,</w:t>
      </w:r>
      <w:r w:rsidRPr="009A52B0">
        <w:rPr>
          <w:rFonts w:cs="Arial"/>
          <w:rtl/>
        </w:rPr>
        <w:t xml:space="preserve"> או לא קיי</w:t>
      </w:r>
      <w:r w:rsidR="00D47234">
        <w:rPr>
          <w:rFonts w:cs="Arial" w:hint="cs"/>
          <w:rtl/>
        </w:rPr>
        <w:t>"</w:t>
      </w:r>
      <w:r w:rsidRPr="009A52B0">
        <w:rPr>
          <w:rFonts w:cs="Arial"/>
          <w:rtl/>
        </w:rPr>
        <w:t>ל כוותיה ואין גיטו גט עד שישתפה</w:t>
      </w:r>
      <w:r w:rsidR="009A52B0">
        <w:rPr>
          <w:rFonts w:cs="Arial" w:hint="cs"/>
          <w:rtl/>
        </w:rPr>
        <w:t>.</w:t>
      </w:r>
      <w:r w:rsidRPr="009A52B0">
        <w:rPr>
          <w:rFonts w:cs="Arial"/>
          <w:rtl/>
        </w:rPr>
        <w:t xml:space="preserve"> ואיסתפקא לי הא משום דמשמע בירושלמי (גיטין פ"ז ה"א) דרבי יוחנן דאמר גבי אחזו קורדייקוס לכשישתפה פליג עליה</w:t>
      </w:r>
      <w:r w:rsidR="009A52B0">
        <w:rPr>
          <w:rFonts w:cs="Arial" w:hint="cs"/>
          <w:rtl/>
        </w:rPr>
        <w:t xml:space="preserve">.   </w:t>
      </w:r>
      <w:r w:rsidRPr="009A52B0">
        <w:rPr>
          <w:rFonts w:cs="Arial"/>
          <w:rtl/>
        </w:rPr>
        <w:t xml:space="preserve"> תשובה</w:t>
      </w:r>
      <w:r w:rsidR="009A52B0">
        <w:rPr>
          <w:rFonts w:cs="Arial" w:hint="cs"/>
          <w:rtl/>
        </w:rPr>
        <w:t>:</w:t>
      </w:r>
      <w:r w:rsidRPr="009A52B0">
        <w:rPr>
          <w:rFonts w:cs="Arial"/>
          <w:rtl/>
        </w:rPr>
        <w:t xml:space="preserve"> איברא מסתברא דעתים חלים ועתים שוטה</w:t>
      </w:r>
      <w:r w:rsidR="00D47234">
        <w:rPr>
          <w:rFonts w:cs="Arial" w:hint="cs"/>
          <w:rtl/>
        </w:rPr>
        <w:t>,</w:t>
      </w:r>
      <w:r w:rsidRPr="009A52B0">
        <w:rPr>
          <w:rFonts w:cs="Arial"/>
          <w:rtl/>
        </w:rPr>
        <w:t xml:space="preserve"> בשעה שהוא חלים הרי הוא כפקח לכל דבריו</w:t>
      </w:r>
      <w:r w:rsidR="009A52B0">
        <w:rPr>
          <w:rFonts w:cs="Arial" w:hint="cs"/>
          <w:rtl/>
        </w:rPr>
        <w:t>,</w:t>
      </w:r>
      <w:r w:rsidRPr="009A52B0">
        <w:rPr>
          <w:rFonts w:cs="Arial"/>
          <w:rtl/>
        </w:rPr>
        <w:t xml:space="preserve"> ודרבי יוחנן לא פליגא</w:t>
      </w:r>
      <w:r w:rsidR="009A52B0">
        <w:rPr>
          <w:rFonts w:cs="Arial" w:hint="cs"/>
          <w:rtl/>
        </w:rPr>
        <w:t>,</w:t>
      </w:r>
      <w:r w:rsidRPr="009A52B0">
        <w:rPr>
          <w:rFonts w:cs="Arial"/>
          <w:rtl/>
        </w:rPr>
        <w:t xml:space="preserve"> וכדבעינן למיכתב</w:t>
      </w:r>
      <w:r w:rsidR="009A52B0">
        <w:rPr>
          <w:rFonts w:cs="Arial" w:hint="cs"/>
          <w:rtl/>
        </w:rPr>
        <w:t>.</w:t>
      </w:r>
      <w:r w:rsidRPr="009A52B0">
        <w:rPr>
          <w:rFonts w:cs="Arial"/>
          <w:rtl/>
        </w:rPr>
        <w:t xml:space="preserve"> ואפילו למאי דסבירא לך דפליגא</w:t>
      </w:r>
      <w:r w:rsidR="005869E6">
        <w:rPr>
          <w:rFonts w:cs="Arial" w:hint="cs"/>
          <w:rtl/>
        </w:rPr>
        <w:t>,</w:t>
      </w:r>
      <w:r w:rsidRPr="009A52B0">
        <w:rPr>
          <w:rFonts w:cs="Arial"/>
          <w:rtl/>
        </w:rPr>
        <w:t xml:space="preserve"> אם איתא הא</w:t>
      </w:r>
      <w:r w:rsidR="005869E6">
        <w:rPr>
          <w:rFonts w:cs="Arial" w:hint="cs"/>
          <w:rtl/>
        </w:rPr>
        <w:t xml:space="preserve"> </w:t>
      </w:r>
      <w:r w:rsidR="00A82951">
        <w:rPr>
          <w:rFonts w:cs="Arial" w:hint="cs"/>
          <w:rtl/>
        </w:rPr>
        <w:t>-</w:t>
      </w:r>
      <w:r w:rsidRPr="009A52B0">
        <w:rPr>
          <w:rFonts w:cs="Arial"/>
          <w:rtl/>
        </w:rPr>
        <w:t xml:space="preserve"> קיימא לן כרבא</w:t>
      </w:r>
      <w:r w:rsidR="005869E6">
        <w:rPr>
          <w:rFonts w:cs="Arial" w:hint="cs"/>
          <w:rtl/>
        </w:rPr>
        <w:t>,</w:t>
      </w:r>
      <w:r w:rsidRPr="009A52B0">
        <w:rPr>
          <w:rFonts w:cs="Arial"/>
          <w:rtl/>
        </w:rPr>
        <w:t xml:space="preserve"> דבתרא הוא</w:t>
      </w:r>
      <w:r w:rsidR="005869E6">
        <w:rPr>
          <w:rFonts w:cs="Arial" w:hint="cs"/>
          <w:rtl/>
        </w:rPr>
        <w:t>.</w:t>
      </w:r>
      <w:r w:rsidRPr="009A52B0">
        <w:rPr>
          <w:rFonts w:cs="Arial"/>
          <w:rtl/>
        </w:rPr>
        <w:t xml:space="preserve"> וכן פסק הרמב"ם בפכ"ט מהלכות מכירה (ה"ה)</w:t>
      </w:r>
      <w:r w:rsidR="005869E6">
        <w:rPr>
          <w:rFonts w:cs="Arial" w:hint="cs"/>
          <w:rtl/>
        </w:rPr>
        <w:t>,</w:t>
      </w:r>
      <w:r w:rsidRPr="009A52B0">
        <w:rPr>
          <w:rFonts w:cs="Arial"/>
          <w:rtl/>
        </w:rPr>
        <w:t xml:space="preserve"> וכן פסק רבינו האי (בספר המקח והממכר שער ג הדרך השביעי עמו' כא)</w:t>
      </w:r>
      <w:r w:rsidR="009A52B0">
        <w:rPr>
          <w:rFonts w:cs="Arial" w:hint="cs"/>
          <w:rtl/>
        </w:rPr>
        <w:t>,</w:t>
      </w:r>
      <w:r w:rsidRPr="009A52B0">
        <w:rPr>
          <w:rFonts w:cs="Arial"/>
          <w:rtl/>
        </w:rPr>
        <w:t xml:space="preserve"> ובודאי דהכין הלכתא מההיא דבר שטיא דפ</w:t>
      </w:r>
      <w:r w:rsidR="009A52B0">
        <w:rPr>
          <w:rFonts w:cs="Arial" w:hint="cs"/>
          <w:rtl/>
        </w:rPr>
        <w:t>"</w:t>
      </w:r>
      <w:r w:rsidRPr="009A52B0">
        <w:rPr>
          <w:rFonts w:cs="Arial"/>
          <w:rtl/>
        </w:rPr>
        <w:t>ב דכתובות (כ.)</w:t>
      </w:r>
      <w:r w:rsidR="003877BB">
        <w:rPr>
          <w:rStyle w:val="a7"/>
          <w:rFonts w:cs="Arial"/>
          <w:rtl/>
        </w:rPr>
        <w:footnoteReference w:id="265"/>
      </w:r>
      <w:r w:rsidRPr="009A52B0">
        <w:rPr>
          <w:rFonts w:cs="Arial"/>
          <w:rtl/>
        </w:rPr>
        <w:t xml:space="preserve">. </w:t>
      </w:r>
      <w:r w:rsidR="002A42F3" w:rsidRPr="00544E63">
        <w:rPr>
          <w:rFonts w:hint="cs"/>
          <w:color w:val="E36C0A" w:themeColor="accent6" w:themeShade="BF"/>
          <w:rtl/>
        </w:rPr>
        <w:t>(וכ"פ בשו"ע</w:t>
      </w:r>
      <w:r w:rsidR="002A42F3">
        <w:rPr>
          <w:rFonts w:hint="cs"/>
          <w:color w:val="E36C0A" w:themeColor="accent6" w:themeShade="BF"/>
          <w:rtl/>
        </w:rPr>
        <w:t>)</w:t>
      </w:r>
    </w:p>
    <w:p w14:paraId="100FAA58" w14:textId="1BF13635" w:rsidR="002A42F3" w:rsidRPr="002A42F3" w:rsidRDefault="002A42F3" w:rsidP="002A42F3">
      <w:pPr>
        <w:ind w:left="360"/>
        <w:rPr>
          <w:u w:val="dotted"/>
        </w:rPr>
      </w:pPr>
      <w:r w:rsidRPr="002A42F3">
        <w:rPr>
          <w:rFonts w:hint="cs"/>
          <w:u w:val="dotted"/>
          <w:rtl/>
        </w:rPr>
        <w:t>ומה הדין אם כשהוא חלים הוא לא שפוי לגמרי:</w:t>
      </w:r>
    </w:p>
    <w:p w14:paraId="1CFF665F" w14:textId="4A7A9C77" w:rsidR="005E486B" w:rsidRPr="005E486B" w:rsidRDefault="002A42F3" w:rsidP="00A65C5F">
      <w:pPr>
        <w:pStyle w:val="ab"/>
        <w:numPr>
          <w:ilvl w:val="0"/>
          <w:numId w:val="31"/>
        </w:numPr>
        <w:rPr>
          <w:rtl/>
        </w:rPr>
      </w:pPr>
      <w:r>
        <w:rPr>
          <w:rFonts w:cs="Arial" w:hint="cs"/>
          <w:rtl/>
        </w:rPr>
        <w:t xml:space="preserve">רשב"א </w:t>
      </w:r>
      <w:r w:rsidR="005E486B" w:rsidRPr="002A42F3">
        <w:rPr>
          <w:rFonts w:cs="Arial"/>
          <w:sz w:val="16"/>
          <w:szCs w:val="16"/>
          <w:rtl/>
        </w:rPr>
        <w:t>(ח"א סי' תשסה)</w:t>
      </w:r>
      <w:r w:rsidR="00A82951">
        <w:rPr>
          <w:rFonts w:cs="Arial" w:hint="cs"/>
          <w:rtl/>
        </w:rPr>
        <w:t>-</w:t>
      </w:r>
      <w:r w:rsidR="005E486B" w:rsidRPr="009A52B0">
        <w:rPr>
          <w:rFonts w:cs="Arial"/>
          <w:rtl/>
        </w:rPr>
        <w:t xml:space="preserve"> ומסתברא דאפילו חלים בעלמא שאינו שפוי לגמרי</w:t>
      </w:r>
      <w:r w:rsidR="005F7018">
        <w:rPr>
          <w:rFonts w:cs="Arial" w:hint="cs"/>
          <w:rtl/>
        </w:rPr>
        <w:t xml:space="preserve"> </w:t>
      </w:r>
      <w:r w:rsidR="00A82951">
        <w:rPr>
          <w:rFonts w:cs="Arial" w:hint="cs"/>
          <w:rtl/>
        </w:rPr>
        <w:t>-</w:t>
      </w:r>
      <w:r w:rsidR="005E486B" w:rsidRPr="009A52B0">
        <w:rPr>
          <w:rFonts w:cs="Arial"/>
          <w:rtl/>
        </w:rPr>
        <w:t xml:space="preserve"> הרי הוא כפקח</w:t>
      </w:r>
      <w:r w:rsidR="005F7018">
        <w:rPr>
          <w:rFonts w:cs="Arial" w:hint="cs"/>
          <w:rtl/>
        </w:rPr>
        <w:t>,</w:t>
      </w:r>
      <w:r w:rsidR="005E486B" w:rsidRPr="009A52B0">
        <w:rPr>
          <w:rFonts w:cs="Arial"/>
          <w:rtl/>
        </w:rPr>
        <w:t xml:space="preserve"> כסתמא דמילתא דקא אמרי כשהוא חלים הרי הוא כפקח לכל דבריו</w:t>
      </w:r>
      <w:r w:rsidR="005F7018">
        <w:rPr>
          <w:rFonts w:cs="Arial" w:hint="cs"/>
          <w:rtl/>
        </w:rPr>
        <w:t>,</w:t>
      </w:r>
      <w:r w:rsidR="005E486B" w:rsidRPr="009A52B0">
        <w:rPr>
          <w:rFonts w:cs="Arial"/>
          <w:rtl/>
        </w:rPr>
        <w:t xml:space="preserve"> לא בבדיקה כנשתתק</w:t>
      </w:r>
      <w:r w:rsidR="005F7018">
        <w:rPr>
          <w:rFonts w:cs="Arial" w:hint="cs"/>
          <w:rtl/>
        </w:rPr>
        <w:t>,</w:t>
      </w:r>
      <w:r w:rsidR="005E486B" w:rsidRPr="009A52B0">
        <w:rPr>
          <w:rFonts w:cs="Arial"/>
          <w:rtl/>
        </w:rPr>
        <w:t xml:space="preserve"> אלא שהוא חלים שהוא מדבר בעניניו ואינו קורע בגדיו ואינו לן בבית הקברות ואינו יוצא בלילה ואינו מאבד מה שנותנין לו</w:t>
      </w:r>
      <w:r w:rsidR="005F7018">
        <w:rPr>
          <w:rFonts w:cs="Arial" w:hint="cs"/>
          <w:rtl/>
        </w:rPr>
        <w:t>,</w:t>
      </w:r>
      <w:r w:rsidR="005E486B" w:rsidRPr="009A52B0">
        <w:rPr>
          <w:rFonts w:cs="Arial"/>
          <w:rtl/>
        </w:rPr>
        <w:t xml:space="preserve"> שהם סימני שוטה כדאיתא בירושלמי דגיטין (שם) ובתרומות (פ"א ה"א)</w:t>
      </w:r>
      <w:r w:rsidR="005F7018">
        <w:rPr>
          <w:rFonts w:cs="Arial" w:hint="cs"/>
          <w:rtl/>
        </w:rPr>
        <w:t>,</w:t>
      </w:r>
      <w:r w:rsidR="005E486B" w:rsidRPr="009A52B0">
        <w:rPr>
          <w:rFonts w:cs="Arial"/>
          <w:rtl/>
        </w:rPr>
        <w:t xml:space="preserve"> ואע</w:t>
      </w:r>
      <w:r w:rsidR="005F7018">
        <w:rPr>
          <w:rFonts w:cs="Arial" w:hint="cs"/>
          <w:rtl/>
        </w:rPr>
        <w:t>"</w:t>
      </w:r>
      <w:r w:rsidR="005E486B" w:rsidRPr="009A52B0">
        <w:rPr>
          <w:rFonts w:cs="Arial"/>
          <w:rtl/>
        </w:rPr>
        <w:t>פ שהוא תשש ועדיין סימני חליו ניכרים בגופו שלא נתרפא לגמרי</w:t>
      </w:r>
      <w:r w:rsidR="005F7018">
        <w:rPr>
          <w:rFonts w:cs="Arial" w:hint="cs"/>
          <w:rtl/>
        </w:rPr>
        <w:t>,</w:t>
      </w:r>
      <w:r w:rsidR="005E486B" w:rsidRPr="009A52B0">
        <w:rPr>
          <w:rFonts w:cs="Arial"/>
          <w:rtl/>
        </w:rPr>
        <w:t xml:space="preserve"> אלא כאדם המתחזק מחליו</w:t>
      </w:r>
      <w:r w:rsidR="005F7018">
        <w:rPr>
          <w:rFonts w:cs="Arial" w:hint="cs"/>
          <w:rtl/>
        </w:rPr>
        <w:t>,</w:t>
      </w:r>
      <w:r w:rsidR="005E486B" w:rsidRPr="009A52B0">
        <w:rPr>
          <w:rFonts w:cs="Arial"/>
          <w:rtl/>
        </w:rPr>
        <w:t xml:space="preserve"> אפילו הכי בשעת חלימתו הרי הוא כפקח לשעתו</w:t>
      </w:r>
      <w:r w:rsidR="005A31BB">
        <w:rPr>
          <w:rStyle w:val="a7"/>
          <w:rFonts w:cs="Arial"/>
          <w:rtl/>
        </w:rPr>
        <w:footnoteReference w:id="266"/>
      </w:r>
      <w:r w:rsidR="005F7018" w:rsidRPr="005A31BB">
        <w:rPr>
          <w:rFonts w:cs="Arial" w:hint="cs"/>
          <w:rtl/>
        </w:rPr>
        <w:t>.</w:t>
      </w:r>
      <w:r w:rsidR="00C261C3">
        <w:rPr>
          <w:rFonts w:hint="cs"/>
          <w:rtl/>
        </w:rPr>
        <w:t xml:space="preserve"> </w:t>
      </w:r>
      <w:r w:rsidR="00C261C3" w:rsidRPr="00544E63">
        <w:rPr>
          <w:rFonts w:hint="cs"/>
          <w:color w:val="E36C0A" w:themeColor="accent6" w:themeShade="BF"/>
          <w:rtl/>
        </w:rPr>
        <w:t>(וכ"פ בשו"ע</w:t>
      </w:r>
      <w:r w:rsidR="00C261C3">
        <w:rPr>
          <w:rFonts w:hint="cs"/>
          <w:color w:val="E36C0A" w:themeColor="accent6" w:themeShade="BF"/>
          <w:rtl/>
        </w:rPr>
        <w:t>)</w:t>
      </w:r>
    </w:p>
    <w:p w14:paraId="582AF866" w14:textId="77777777" w:rsidR="00C944CE" w:rsidRPr="007B74F1" w:rsidRDefault="00C944CE" w:rsidP="00C944C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B9E8B12" w14:textId="4A2F8E49" w:rsidR="00486C31" w:rsidRDefault="00486C31" w:rsidP="00C261C3">
      <w:pPr>
        <w:rPr>
          <w:rFonts w:cs="Arial"/>
          <w:rtl/>
        </w:rPr>
      </w:pPr>
      <w:r w:rsidRPr="00486C31">
        <w:rPr>
          <w:rFonts w:cs="Arial"/>
          <w:rtl/>
        </w:rPr>
        <w:t>מי שהוא עתים חלים</w:t>
      </w:r>
      <w:r w:rsidR="00024D8F">
        <w:rPr>
          <w:rStyle w:val="a7"/>
          <w:rFonts w:cs="Arial"/>
          <w:rtl/>
        </w:rPr>
        <w:footnoteReference w:id="267"/>
      </w:r>
      <w:r w:rsidRPr="00486C31">
        <w:rPr>
          <w:rFonts w:cs="Arial"/>
          <w:rtl/>
        </w:rPr>
        <w:t xml:space="preserve"> עתים שוטה, כשהוא חלים, הרי הוא כפקח לכל דבריו</w:t>
      </w:r>
      <w:r w:rsidR="005F7018">
        <w:rPr>
          <w:rFonts w:cs="Arial" w:hint="cs"/>
          <w:rtl/>
        </w:rPr>
        <w:t>,</w:t>
      </w:r>
      <w:r w:rsidRPr="00486C31">
        <w:rPr>
          <w:rFonts w:cs="Arial"/>
          <w:rtl/>
        </w:rPr>
        <w:t xml:space="preserve"> ואם גירש באותה שעה גטו גט. ואפילו חלים בעלמא, שאינו שפוי לגמרי</w:t>
      </w:r>
      <w:r w:rsidR="005F7018">
        <w:rPr>
          <w:rFonts w:cs="Arial" w:hint="cs"/>
          <w:rtl/>
        </w:rPr>
        <w:t>.</w:t>
      </w:r>
      <w:r w:rsidRPr="00486C31">
        <w:rPr>
          <w:rFonts w:cs="Arial"/>
          <w:rtl/>
        </w:rPr>
        <w:t xml:space="preserve"> </w:t>
      </w:r>
      <w:r w:rsidR="005F7018">
        <w:rPr>
          <w:rFonts w:cs="Arial" w:hint="cs"/>
          <w:sz w:val="18"/>
          <w:szCs w:val="18"/>
          <w:rtl/>
        </w:rPr>
        <w:t xml:space="preserve">[הגה] </w:t>
      </w:r>
      <w:r w:rsidRPr="005F7018">
        <w:rPr>
          <w:rFonts w:cs="Arial"/>
          <w:sz w:val="18"/>
          <w:szCs w:val="18"/>
          <w:rtl/>
        </w:rPr>
        <w:t>וע"ל סי' קי"ט סעיף ו</w:t>
      </w:r>
      <w:r w:rsidRPr="00486C31">
        <w:rPr>
          <w:rFonts w:cs="Arial"/>
          <w:rtl/>
        </w:rPr>
        <w:t xml:space="preserve">. </w:t>
      </w:r>
    </w:p>
    <w:p w14:paraId="4874C1B9" w14:textId="35178831" w:rsidR="0038333D" w:rsidRPr="0038333D" w:rsidRDefault="0038333D" w:rsidP="0038333D">
      <w:pPr>
        <w:rPr>
          <w:rFonts w:cs="Arial"/>
        </w:rPr>
      </w:pPr>
      <w:r w:rsidRPr="0038333D">
        <w:rPr>
          <w:rFonts w:cs="Arial" w:hint="cs"/>
          <w:u w:val="single"/>
          <w:rtl/>
        </w:rPr>
        <w:t xml:space="preserve">עתים חלים עתים שוטה </w:t>
      </w:r>
      <w:r w:rsidR="00A82951">
        <w:rPr>
          <w:rFonts w:cs="Arial"/>
          <w:u w:val="single"/>
          <w:rtl/>
        </w:rPr>
        <w:t>-</w:t>
      </w:r>
      <w:r w:rsidRPr="0038333D">
        <w:rPr>
          <w:rFonts w:cs="Arial" w:hint="cs"/>
          <w:u w:val="single"/>
          <w:rtl/>
        </w:rPr>
        <w:t xml:space="preserve"> האם כדי להקרא כך צריך שיהיה לו </w:t>
      </w:r>
      <w:r w:rsidRPr="0038333D">
        <w:rPr>
          <w:rFonts w:cs="Arial" w:hint="cs"/>
          <w:b/>
          <w:bCs/>
          <w:u w:val="single"/>
          <w:rtl/>
        </w:rPr>
        <w:t>זמן ידוע</w:t>
      </w:r>
      <w:r w:rsidRPr="0038333D">
        <w:rPr>
          <w:rFonts w:cs="Arial" w:hint="cs"/>
          <w:u w:val="single"/>
          <w:rtl/>
        </w:rPr>
        <w:t xml:space="preserve"> שהוא בחלימותו:</w:t>
      </w:r>
      <w:r>
        <w:rPr>
          <w:rFonts w:cs="Arial" w:hint="cs"/>
          <w:rtl/>
        </w:rPr>
        <w:t xml:space="preserve"> </w:t>
      </w:r>
      <w:r w:rsidR="00740679" w:rsidRPr="0038333D">
        <w:rPr>
          <w:rFonts w:cs="Arial"/>
          <w:sz w:val="16"/>
          <w:szCs w:val="16"/>
          <w:rtl/>
        </w:rPr>
        <w:t>(</w:t>
      </w:r>
      <w:r w:rsidR="0052704B" w:rsidRPr="0038333D">
        <w:rPr>
          <w:rFonts w:cs="Arial" w:hint="cs"/>
          <w:sz w:val="16"/>
          <w:szCs w:val="16"/>
          <w:rtl/>
        </w:rPr>
        <w:t>פת"ש סק"</w:t>
      </w:r>
      <w:r w:rsidR="00740679" w:rsidRPr="0038333D">
        <w:rPr>
          <w:rFonts w:cs="Arial"/>
          <w:sz w:val="16"/>
          <w:szCs w:val="16"/>
          <w:rtl/>
        </w:rPr>
        <w:t>ב)</w:t>
      </w:r>
      <w:r w:rsidR="00740679" w:rsidRPr="0038333D">
        <w:rPr>
          <w:rFonts w:cs="Arial"/>
          <w:rtl/>
        </w:rPr>
        <w:t xml:space="preserve"> </w:t>
      </w:r>
    </w:p>
    <w:p w14:paraId="3779F4D6" w14:textId="656C010C" w:rsidR="0038333D" w:rsidRDefault="0038333D" w:rsidP="00A65C5F">
      <w:pPr>
        <w:pStyle w:val="ab"/>
        <w:numPr>
          <w:ilvl w:val="0"/>
          <w:numId w:val="31"/>
        </w:numPr>
        <w:rPr>
          <w:rFonts w:cs="Arial"/>
        </w:rPr>
      </w:pPr>
      <w:r>
        <w:rPr>
          <w:rFonts w:cs="Arial" w:hint="cs"/>
          <w:rtl/>
        </w:rPr>
        <w:t xml:space="preserve">ב"ש </w:t>
      </w:r>
      <w:r w:rsidRPr="0038333D">
        <w:rPr>
          <w:rFonts w:cs="Arial" w:hint="cs"/>
          <w:sz w:val="16"/>
          <w:szCs w:val="16"/>
          <w:rtl/>
        </w:rPr>
        <w:t>(סק"ד)</w:t>
      </w:r>
      <w:r w:rsidR="00A82951">
        <w:rPr>
          <w:rFonts w:cs="Arial" w:hint="cs"/>
          <w:rtl/>
        </w:rPr>
        <w:t>-</w:t>
      </w:r>
      <w:r>
        <w:rPr>
          <w:rFonts w:cs="Arial" w:hint="cs"/>
          <w:rtl/>
        </w:rPr>
        <w:t xml:space="preserve"> </w:t>
      </w:r>
      <w:r w:rsidRPr="0038333D">
        <w:rPr>
          <w:rFonts w:cs="Arial"/>
          <w:rtl/>
        </w:rPr>
        <w:t>עתים חלים וכו'</w:t>
      </w:r>
      <w:r>
        <w:rPr>
          <w:rFonts w:cs="Arial" w:hint="cs"/>
          <w:rtl/>
        </w:rPr>
        <w:t xml:space="preserve"> </w:t>
      </w:r>
      <w:r w:rsidRPr="00024D8F">
        <w:rPr>
          <w:rFonts w:cs="Arial"/>
          <w:rtl/>
        </w:rPr>
        <w:t>היינו כשידוע הזמן כשהוא חלים</w:t>
      </w:r>
      <w:r w:rsidR="00F31E57">
        <w:rPr>
          <w:rStyle w:val="a7"/>
          <w:rFonts w:cs="Arial"/>
          <w:rtl/>
        </w:rPr>
        <w:footnoteReference w:id="268"/>
      </w:r>
      <w:r>
        <w:rPr>
          <w:rFonts w:cs="Arial" w:hint="cs"/>
          <w:rtl/>
        </w:rPr>
        <w:t>,</w:t>
      </w:r>
      <w:r w:rsidRPr="00024D8F">
        <w:rPr>
          <w:rFonts w:cs="Arial"/>
          <w:rtl/>
        </w:rPr>
        <w:t xml:space="preserve"> אז דינו כפקח</w:t>
      </w:r>
      <w:r w:rsidR="00F31E57">
        <w:rPr>
          <w:rStyle w:val="a7"/>
          <w:rFonts w:cs="Arial"/>
          <w:rtl/>
        </w:rPr>
        <w:footnoteReference w:id="269"/>
      </w:r>
      <w:r>
        <w:rPr>
          <w:rFonts w:cs="Arial" w:hint="cs"/>
          <w:rtl/>
        </w:rPr>
        <w:t>.</w:t>
      </w:r>
      <w:r w:rsidR="00740679" w:rsidRPr="0038333D">
        <w:rPr>
          <w:rFonts w:cs="Arial"/>
          <w:rtl/>
        </w:rPr>
        <w:t xml:space="preserve"> </w:t>
      </w:r>
    </w:p>
    <w:p w14:paraId="585E9827" w14:textId="3C5A8D42" w:rsidR="0052704B" w:rsidRPr="00D255FE" w:rsidRDefault="00A8308A" w:rsidP="00A65C5F">
      <w:pPr>
        <w:pStyle w:val="ab"/>
        <w:numPr>
          <w:ilvl w:val="0"/>
          <w:numId w:val="31"/>
        </w:numPr>
        <w:rPr>
          <w:rFonts w:cs="Arial"/>
          <w:rtl/>
        </w:rPr>
      </w:pPr>
      <w:r w:rsidRPr="0038333D">
        <w:rPr>
          <w:rFonts w:cs="Arial"/>
          <w:rtl/>
        </w:rPr>
        <w:t>חת</w:t>
      </w:r>
      <w:r>
        <w:rPr>
          <w:rFonts w:cs="Arial" w:hint="cs"/>
          <w:rtl/>
        </w:rPr>
        <w:t>"</w:t>
      </w:r>
      <w:r w:rsidRPr="0038333D">
        <w:rPr>
          <w:rFonts w:cs="Arial"/>
          <w:rtl/>
        </w:rPr>
        <w:t xml:space="preserve">ס </w:t>
      </w:r>
      <w:r w:rsidRPr="00A8308A">
        <w:rPr>
          <w:rFonts w:cs="Arial" w:hint="cs"/>
          <w:sz w:val="16"/>
          <w:szCs w:val="16"/>
          <w:rtl/>
        </w:rPr>
        <w:t>(</w:t>
      </w:r>
      <w:r w:rsidRPr="00A8308A">
        <w:rPr>
          <w:rFonts w:cs="Arial"/>
          <w:sz w:val="16"/>
          <w:szCs w:val="16"/>
          <w:rtl/>
        </w:rPr>
        <w:t>חיו"ד סי' ז</w:t>
      </w:r>
      <w:r w:rsidRPr="00A8308A">
        <w:rPr>
          <w:rFonts w:cs="Arial" w:hint="cs"/>
          <w:sz w:val="16"/>
          <w:szCs w:val="16"/>
          <w:rtl/>
        </w:rPr>
        <w:t>)</w:t>
      </w:r>
      <w:r w:rsidR="00A82951">
        <w:rPr>
          <w:rFonts w:cs="Arial" w:hint="cs"/>
          <w:rtl/>
        </w:rPr>
        <w:t>-</w:t>
      </w:r>
      <w:r>
        <w:rPr>
          <w:rFonts w:cs="Arial" w:hint="cs"/>
          <w:rtl/>
        </w:rPr>
        <w:t xml:space="preserve"> </w:t>
      </w:r>
      <w:r>
        <w:rPr>
          <w:rStyle w:val="a7"/>
          <w:rFonts w:cs="Arial"/>
          <w:rtl/>
        </w:rPr>
        <w:footnoteReference w:id="270"/>
      </w:r>
      <w:r w:rsidR="00740679" w:rsidRPr="0038333D">
        <w:rPr>
          <w:rFonts w:cs="Arial"/>
          <w:rtl/>
        </w:rPr>
        <w:t xml:space="preserve">אין ספק </w:t>
      </w:r>
      <w:r w:rsidR="00A51D31" w:rsidRPr="0038333D">
        <w:rPr>
          <w:rFonts w:cs="Arial" w:hint="cs"/>
          <w:rtl/>
        </w:rPr>
        <w:t>ש</w:t>
      </w:r>
      <w:r w:rsidR="00740679" w:rsidRPr="0038333D">
        <w:rPr>
          <w:rFonts w:cs="Arial"/>
          <w:rtl/>
        </w:rPr>
        <w:t>העושה שליח או מגרש בעצמו צריך שיהיה שפוי ממש</w:t>
      </w:r>
      <w:r w:rsidR="00A51D31" w:rsidRPr="0038333D">
        <w:rPr>
          <w:rFonts w:cs="Arial" w:hint="cs"/>
          <w:rtl/>
        </w:rPr>
        <w:t>,</w:t>
      </w:r>
      <w:r w:rsidR="00740679" w:rsidRPr="0038333D">
        <w:rPr>
          <w:rFonts w:cs="Arial"/>
          <w:rtl/>
        </w:rPr>
        <w:t xml:space="preserve"> ק"ו מעדות</w:t>
      </w:r>
      <w:r w:rsidR="00A51D31" w:rsidRPr="0038333D">
        <w:rPr>
          <w:rFonts w:cs="Arial" w:hint="cs"/>
          <w:rtl/>
        </w:rPr>
        <w:t>.</w:t>
      </w:r>
      <w:r w:rsidR="00740679" w:rsidRPr="0038333D">
        <w:rPr>
          <w:rFonts w:cs="Arial"/>
          <w:rtl/>
        </w:rPr>
        <w:t xml:space="preserve"> וסגי נמי בחלים אפי' אין לו וסת וזמן ידוע לחלימותו</w:t>
      </w:r>
      <w:r w:rsidR="00A51D31" w:rsidRPr="0038333D">
        <w:rPr>
          <w:rFonts w:cs="Arial" w:hint="cs"/>
          <w:rtl/>
        </w:rPr>
        <w:t>.</w:t>
      </w:r>
      <w:r w:rsidR="00740679" w:rsidRPr="0038333D">
        <w:rPr>
          <w:rFonts w:cs="Arial"/>
          <w:rtl/>
        </w:rPr>
        <w:t xml:space="preserve"> אך הכא </w:t>
      </w:r>
      <w:r w:rsidR="00C5307D">
        <w:rPr>
          <w:rFonts w:cs="Arial" w:hint="cs"/>
          <w:sz w:val="16"/>
          <w:szCs w:val="16"/>
          <w:rtl/>
        </w:rPr>
        <w:t>{בשו"ע ובב"ש}</w:t>
      </w:r>
      <w:r w:rsidR="00C5307D">
        <w:rPr>
          <w:rFonts w:cs="Arial" w:hint="cs"/>
          <w:rtl/>
        </w:rPr>
        <w:t xml:space="preserve"> </w:t>
      </w:r>
      <w:r w:rsidR="00740679" w:rsidRPr="0038333D">
        <w:rPr>
          <w:rFonts w:cs="Arial"/>
          <w:rtl/>
        </w:rPr>
        <w:t>מיירי במי שכ' או ציוה לכתוב בחלימותו</w:t>
      </w:r>
      <w:r w:rsidR="00A51D31" w:rsidRPr="0038333D">
        <w:rPr>
          <w:rFonts w:cs="Arial" w:hint="cs"/>
          <w:rtl/>
        </w:rPr>
        <w:t>,</w:t>
      </w:r>
      <w:r w:rsidR="00740679" w:rsidRPr="0038333D">
        <w:rPr>
          <w:rFonts w:cs="Arial"/>
          <w:rtl/>
        </w:rPr>
        <w:t xml:space="preserve"> ושלחו למקום אחר</w:t>
      </w:r>
      <w:r w:rsidR="00A51D31" w:rsidRPr="0038333D">
        <w:rPr>
          <w:rFonts w:cs="Arial" w:hint="cs"/>
          <w:rtl/>
        </w:rPr>
        <w:t>,</w:t>
      </w:r>
      <w:r w:rsidR="00740679" w:rsidRPr="0038333D">
        <w:rPr>
          <w:rFonts w:cs="Arial"/>
          <w:rtl/>
        </w:rPr>
        <w:t xml:space="preserve"> שצריך המוסרו לידע שבשעה שנותן הגט לידה הבעל הוא בחלימותו במקום שהוא שם</w:t>
      </w:r>
      <w:r w:rsidR="00A51D31" w:rsidRPr="0038333D">
        <w:rPr>
          <w:rFonts w:cs="Arial" w:hint="cs"/>
          <w:rtl/>
        </w:rPr>
        <w:t>.</w:t>
      </w:r>
      <w:r w:rsidR="00740679" w:rsidRPr="0038333D">
        <w:rPr>
          <w:rFonts w:cs="Arial"/>
          <w:rtl/>
        </w:rPr>
        <w:t xml:space="preserve"> והיינו במי שיש לו וסת לשטותו ולא הגיע וסתו וידע השליח שעתה הבעל הוא חלים</w:t>
      </w:r>
      <w:r w:rsidR="00A51D31" w:rsidRPr="0038333D">
        <w:rPr>
          <w:rFonts w:cs="Arial" w:hint="cs"/>
          <w:rtl/>
        </w:rPr>
        <w:t>,</w:t>
      </w:r>
      <w:r w:rsidR="00740679" w:rsidRPr="0038333D">
        <w:rPr>
          <w:rFonts w:cs="Arial"/>
          <w:rtl/>
        </w:rPr>
        <w:t xml:space="preserve"> ונותנו לאשה בשליחותו</w:t>
      </w:r>
      <w:r w:rsidR="00A51D31" w:rsidRPr="0038333D">
        <w:rPr>
          <w:rFonts w:cs="Arial" w:hint="cs"/>
          <w:rtl/>
        </w:rPr>
        <w:t>,</w:t>
      </w:r>
      <w:r w:rsidR="00740679" w:rsidRPr="0038333D">
        <w:rPr>
          <w:rFonts w:cs="Arial"/>
          <w:rtl/>
        </w:rPr>
        <w:t xml:space="preserve"> ולזה א"צ שיהיה הבעל באותו שעה חלים ממש אלא שכבר התחיל להבריא ולחזור לשכלו סגי למסור הגט כיון שכבר היה בדעתו שלימה כשציוה לכתוב וליתן</w:t>
      </w:r>
      <w:r w:rsidR="00D255FE">
        <w:rPr>
          <w:rStyle w:val="a7"/>
          <w:rFonts w:cs="Arial"/>
          <w:rtl/>
        </w:rPr>
        <w:footnoteReference w:id="271"/>
      </w:r>
      <w:r w:rsidR="00740679" w:rsidRPr="00D255FE">
        <w:rPr>
          <w:rFonts w:cs="Arial"/>
          <w:rtl/>
        </w:rPr>
        <w:t xml:space="preserve">. </w:t>
      </w:r>
    </w:p>
    <w:p w14:paraId="00CA2490" w14:textId="3F8F658D" w:rsidR="00180813" w:rsidRDefault="00180813" w:rsidP="00A65C5F">
      <w:pPr>
        <w:pStyle w:val="ab"/>
        <w:numPr>
          <w:ilvl w:val="0"/>
          <w:numId w:val="31"/>
        </w:numPr>
        <w:rPr>
          <w:rFonts w:cs="Arial"/>
        </w:rPr>
      </w:pPr>
      <w:r>
        <w:rPr>
          <w:rFonts w:cs="Arial" w:hint="cs"/>
          <w:rtl/>
        </w:rPr>
        <w:lastRenderedPageBreak/>
        <w:t>מהרי"מ מבריסק</w:t>
      </w:r>
      <w:r>
        <w:rPr>
          <w:rStyle w:val="a7"/>
          <w:rFonts w:cs="Arial"/>
          <w:rtl/>
        </w:rPr>
        <w:footnoteReference w:id="272"/>
      </w:r>
      <w:r>
        <w:rPr>
          <w:rFonts w:cs="Arial" w:hint="cs"/>
          <w:rtl/>
        </w:rPr>
        <w:t xml:space="preserve"> </w:t>
      </w:r>
      <w:r>
        <w:rPr>
          <w:rFonts w:cs="Arial" w:hint="cs"/>
          <w:sz w:val="16"/>
          <w:szCs w:val="16"/>
          <w:rtl/>
        </w:rPr>
        <w:t>(סי' ל)</w:t>
      </w:r>
      <w:r w:rsidR="00A82951">
        <w:rPr>
          <w:rFonts w:cs="Arial" w:hint="cs"/>
          <w:rtl/>
        </w:rPr>
        <w:t>-</w:t>
      </w:r>
      <w:r>
        <w:rPr>
          <w:rFonts w:cs="Arial" w:hint="cs"/>
          <w:rtl/>
        </w:rPr>
        <w:t xml:space="preserve"> גם אם אין לו וסת קבוע אפשר לבדוק אותו ולא חיישינן שיתקלקל. </w:t>
      </w:r>
      <w:r w:rsidR="00740679" w:rsidRPr="00180813">
        <w:rPr>
          <w:rFonts w:cs="Arial"/>
          <w:rtl/>
        </w:rPr>
        <w:t xml:space="preserve"> </w:t>
      </w:r>
    </w:p>
    <w:p w14:paraId="2F1C6520" w14:textId="73E8A52F" w:rsidR="00953E7B" w:rsidRPr="00953E7B" w:rsidRDefault="00953E7B" w:rsidP="00953E7B">
      <w:pPr>
        <w:rPr>
          <w:rFonts w:cs="Arial"/>
          <w:u w:val="single"/>
        </w:rPr>
      </w:pPr>
      <w:r w:rsidRPr="00953E7B">
        <w:rPr>
          <w:rFonts w:cs="Arial" w:hint="cs"/>
          <w:u w:val="single"/>
          <w:rtl/>
        </w:rPr>
        <w:t xml:space="preserve">מי שנפל מהגג ונחלה בחולי מרה שחורה </w:t>
      </w:r>
      <w:r w:rsidR="00A82951">
        <w:rPr>
          <w:rFonts w:cs="Arial"/>
          <w:u w:val="single"/>
          <w:rtl/>
        </w:rPr>
        <w:t>-</w:t>
      </w:r>
      <w:r w:rsidRPr="00953E7B">
        <w:rPr>
          <w:rFonts w:cs="Arial" w:hint="cs"/>
          <w:u w:val="single"/>
          <w:rtl/>
        </w:rPr>
        <w:t xml:space="preserve"> האם חשיב שוטה:</w:t>
      </w:r>
      <w:r>
        <w:rPr>
          <w:rFonts w:cs="Arial" w:hint="cs"/>
          <w:rtl/>
        </w:rPr>
        <w:t xml:space="preserve"> </w:t>
      </w:r>
      <w:r w:rsidRPr="0038333D">
        <w:rPr>
          <w:rFonts w:cs="Arial"/>
          <w:sz w:val="16"/>
          <w:szCs w:val="16"/>
          <w:rtl/>
        </w:rPr>
        <w:t>(</w:t>
      </w:r>
      <w:r w:rsidRPr="0038333D">
        <w:rPr>
          <w:rFonts w:cs="Arial" w:hint="cs"/>
          <w:sz w:val="16"/>
          <w:szCs w:val="16"/>
          <w:rtl/>
        </w:rPr>
        <w:t>פת"ש סק"</w:t>
      </w:r>
      <w:r w:rsidRPr="0038333D">
        <w:rPr>
          <w:rFonts w:cs="Arial"/>
          <w:sz w:val="16"/>
          <w:szCs w:val="16"/>
          <w:rtl/>
        </w:rPr>
        <w:t>ב)</w:t>
      </w:r>
    </w:p>
    <w:p w14:paraId="4ACF80E4" w14:textId="79170D89" w:rsidR="0075453E" w:rsidRDefault="00953E7B" w:rsidP="00A65C5F">
      <w:pPr>
        <w:pStyle w:val="ab"/>
        <w:numPr>
          <w:ilvl w:val="0"/>
          <w:numId w:val="31"/>
        </w:numPr>
        <w:rPr>
          <w:rFonts w:cs="Arial"/>
        </w:rPr>
      </w:pPr>
      <w:r>
        <w:rPr>
          <w:rFonts w:cs="Arial" w:hint="cs"/>
          <w:rtl/>
        </w:rPr>
        <w:t xml:space="preserve">מהרי"מ מבריסק </w:t>
      </w:r>
      <w:r>
        <w:rPr>
          <w:rFonts w:cs="Arial" w:hint="cs"/>
          <w:sz w:val="16"/>
          <w:szCs w:val="16"/>
          <w:rtl/>
        </w:rPr>
        <w:t>(סי' ל)</w:t>
      </w:r>
      <w:r w:rsidR="00A82951">
        <w:rPr>
          <w:rFonts w:cs="Arial" w:hint="cs"/>
          <w:rtl/>
        </w:rPr>
        <w:t>-</w:t>
      </w:r>
      <w:r>
        <w:rPr>
          <w:rFonts w:cs="Arial" w:hint="cs"/>
          <w:rtl/>
        </w:rPr>
        <w:t xml:space="preserve"> </w:t>
      </w:r>
      <w:r w:rsidR="00740679" w:rsidRPr="0038333D">
        <w:rPr>
          <w:rFonts w:cs="Arial"/>
          <w:rtl/>
        </w:rPr>
        <w:t>מעשה באחד שנפל מן הגג ונחלה לערך שנה ואח"כ הבריא רק לא רצה לעמוד ממיטתו ואח"כ עמד והלך ועשה מלאכה ואח"כ לא רצה לעשות שום מלאכה ולא היה שפוי בשלימות ולפעמים לא היה מדבר כלל וגם לא ביקש שיתנו לו לאכול אפי' כמה ימים רק אם היו נותנים לו היה אוכל ונהג כן זמן רב ואח"כ נתרצה ליתן ג"פ לאשתו וסידרו לו הגט ועל כל השאלות שצריך לשאול לבעל השיב על הכל כהוגן ובשעת הנתינה אמר הכל מלה במלה כדברי המסדר כו' כ</w:t>
      </w:r>
      <w:r w:rsidR="009E4FA9">
        <w:rPr>
          <w:rFonts w:cs="Arial" w:hint="cs"/>
          <w:rtl/>
        </w:rPr>
        <w:t xml:space="preserve">לל של </w:t>
      </w:r>
      <w:r w:rsidR="00740679" w:rsidRPr="0038333D">
        <w:rPr>
          <w:rFonts w:cs="Arial"/>
          <w:rtl/>
        </w:rPr>
        <w:t>ד</w:t>
      </w:r>
      <w:r w:rsidR="009E4FA9">
        <w:rPr>
          <w:rFonts w:cs="Arial" w:hint="cs"/>
          <w:rtl/>
        </w:rPr>
        <w:t>בר</w:t>
      </w:r>
      <w:r w:rsidR="00740679" w:rsidRPr="0038333D">
        <w:rPr>
          <w:rFonts w:cs="Arial"/>
          <w:rtl/>
        </w:rPr>
        <w:t xml:space="preserve"> סימני שוטה לא היה עליו מעולם רק ענין מרה שחורה שלא היה מדבר ולא משיב רק בשעת כתיבה ונתינה השיב הכל כהוגן וביום מחר גמגם קצת בבוקר ולאחר חצות חזר לדבר ולהשיב כהוגן. </w:t>
      </w:r>
      <w:r w:rsidR="009E4FA9">
        <w:rPr>
          <w:rFonts w:cs="Arial" w:hint="cs"/>
          <w:rtl/>
        </w:rPr>
        <w:t xml:space="preserve">    תשובה:</w:t>
      </w:r>
      <w:r w:rsidR="00740679" w:rsidRPr="0038333D">
        <w:rPr>
          <w:rFonts w:cs="Arial"/>
          <w:rtl/>
        </w:rPr>
        <w:t xml:space="preserve"> הנה מצד שנפל מן הגג אין כאן בית מיחוש</w:t>
      </w:r>
      <w:r w:rsidR="00F36ED5">
        <w:rPr>
          <w:rFonts w:cs="Arial" w:hint="cs"/>
          <w:rtl/>
        </w:rPr>
        <w:t>,</w:t>
      </w:r>
      <w:r w:rsidR="00740679" w:rsidRPr="0038333D">
        <w:rPr>
          <w:rFonts w:cs="Arial"/>
          <w:rtl/>
        </w:rPr>
        <w:t xml:space="preserve"> אף דמבואר בס"ס זה דנפל מן הגג צריך בדיקה</w:t>
      </w:r>
      <w:r w:rsidR="00F36ED5">
        <w:rPr>
          <w:rFonts w:cs="Arial" w:hint="cs"/>
          <w:rtl/>
        </w:rPr>
        <w:t>,</w:t>
      </w:r>
      <w:r w:rsidR="00740679" w:rsidRPr="0038333D">
        <w:rPr>
          <w:rFonts w:cs="Arial"/>
          <w:rtl/>
        </w:rPr>
        <w:t xml:space="preserve"> היינו כשנשתתק</w:t>
      </w:r>
      <w:r w:rsidR="00F36ED5">
        <w:rPr>
          <w:rFonts w:cs="Arial" w:hint="cs"/>
          <w:rtl/>
        </w:rPr>
        <w:t>,</w:t>
      </w:r>
      <w:r w:rsidR="00740679" w:rsidRPr="0038333D">
        <w:rPr>
          <w:rFonts w:cs="Arial"/>
          <w:rtl/>
        </w:rPr>
        <w:t xml:space="preserve"> אבל כשהוא מדבר בכל ענינים אין חשש כלל. אבל מה דיש לחוש בזה כיון דמקודם לא היה שפוי בדעתו ולא היה אוכל ושותה והיה יושב בטל</w:t>
      </w:r>
      <w:r w:rsidR="00F36ED5">
        <w:rPr>
          <w:rFonts w:cs="Arial" w:hint="cs"/>
          <w:rtl/>
        </w:rPr>
        <w:t>,</w:t>
      </w:r>
      <w:r w:rsidR="00740679" w:rsidRPr="0038333D">
        <w:rPr>
          <w:rFonts w:cs="Arial"/>
          <w:rtl/>
        </w:rPr>
        <w:t xml:space="preserve"> אף שבזמן הגט היה צלול בדעתו מ"מ כיון דלא ידעינן בבירור העת שהוא חלים לא מצי לגרש כלל כמבואר מדברי הב"ש סק"ד דבע</w:t>
      </w:r>
      <w:r w:rsidR="00F36ED5">
        <w:rPr>
          <w:rFonts w:cs="Arial" w:hint="cs"/>
          <w:rtl/>
        </w:rPr>
        <w:t>יתים חלים</w:t>
      </w:r>
      <w:r w:rsidR="00740679" w:rsidRPr="0038333D">
        <w:rPr>
          <w:rFonts w:cs="Arial"/>
          <w:rtl/>
        </w:rPr>
        <w:t xml:space="preserve"> וע"ש אם לא ידעינן בבירור העת שהוא חלים אפי' בדיקה אינו מועיל.</w:t>
      </w:r>
      <w:r w:rsidR="00F36ED5">
        <w:rPr>
          <w:rFonts w:cs="Arial" w:hint="cs"/>
          <w:rtl/>
        </w:rPr>
        <w:t>.. ו</w:t>
      </w:r>
      <w:r w:rsidR="00740679" w:rsidRPr="0038333D">
        <w:rPr>
          <w:rFonts w:cs="Arial"/>
          <w:rtl/>
        </w:rPr>
        <w:t>במקום עיגון יש לצדד להקל ולהתירה ע"י גט זה</w:t>
      </w:r>
      <w:r w:rsidR="00D255FE">
        <w:rPr>
          <w:rFonts w:cs="Arial" w:hint="cs"/>
          <w:rtl/>
        </w:rPr>
        <w:t>.</w:t>
      </w:r>
      <w:r w:rsidR="00740679" w:rsidRPr="0038333D">
        <w:rPr>
          <w:rFonts w:cs="Arial"/>
          <w:rtl/>
        </w:rPr>
        <w:t xml:space="preserve"> חדא</w:t>
      </w:r>
      <w:r w:rsidR="00D255FE">
        <w:rPr>
          <w:rFonts w:cs="Arial" w:hint="cs"/>
          <w:rtl/>
        </w:rPr>
        <w:t>,</w:t>
      </w:r>
      <w:r w:rsidR="00740679" w:rsidRPr="0038333D">
        <w:rPr>
          <w:rFonts w:cs="Arial"/>
          <w:rtl/>
        </w:rPr>
        <w:t xml:space="preserve"> שדברי הב"ש הנ"ל אינם מוסכמים</w:t>
      </w:r>
      <w:r w:rsidR="00D255FE">
        <w:rPr>
          <w:rFonts w:cs="Arial" w:hint="cs"/>
          <w:rtl/>
        </w:rPr>
        <w:t>,</w:t>
      </w:r>
      <w:r w:rsidR="00740679" w:rsidRPr="0038333D">
        <w:rPr>
          <w:rFonts w:cs="Arial"/>
          <w:rtl/>
        </w:rPr>
        <w:t xml:space="preserve"> ודעת כמה גדולי הפוסקים דבע"ח וע</w:t>
      </w:r>
      <w:r w:rsidR="00D255FE">
        <w:rPr>
          <w:rFonts w:cs="Arial" w:hint="cs"/>
          <w:rtl/>
        </w:rPr>
        <w:t>יתים שוטה</w:t>
      </w:r>
      <w:r w:rsidR="00740679" w:rsidRPr="0038333D">
        <w:rPr>
          <w:rFonts w:cs="Arial"/>
          <w:rtl/>
        </w:rPr>
        <w:t xml:space="preserve"> מועיל בדיקה (כמובא לעיל)</w:t>
      </w:r>
      <w:r w:rsidR="00D255FE">
        <w:rPr>
          <w:rFonts w:cs="Arial" w:hint="cs"/>
          <w:rtl/>
        </w:rPr>
        <w:t>,</w:t>
      </w:r>
      <w:r w:rsidR="00740679" w:rsidRPr="0038333D">
        <w:rPr>
          <w:rFonts w:cs="Arial"/>
          <w:rtl/>
        </w:rPr>
        <w:t xml:space="preserve"> וא"כ בנ"ד אף שלא היה ממש בדיקה המבואר בש"ס ובש"ע ס"ה מ"מ י"ל כיון שנהגו עכשיו בסדר הגט שנתרבה השאלות ותשובות וביטול מודעי וביטול כל התנאים הוי כמו בדיקה המבואר בש"ס</w:t>
      </w:r>
      <w:r w:rsidR="00D255FE">
        <w:rPr>
          <w:rFonts w:cs="Arial" w:hint="cs"/>
          <w:rtl/>
        </w:rPr>
        <w:t>,</w:t>
      </w:r>
      <w:r w:rsidR="00740679" w:rsidRPr="0038333D">
        <w:rPr>
          <w:rFonts w:cs="Arial"/>
          <w:rtl/>
        </w:rPr>
        <w:t xml:space="preserve"> דלדעת הרמב"ם הובא בב"י הך בדיקה דש"ס הוא לאו דוקא. ועוד יש לצרף דעת רבינו אביגדור הובא במרדכי ובמהרי"ק דדוקא הני סימני שוטה האמורים בפ"ק דחגיגה ולא בדבר אחר. ועוד דכבר אירע עובדא כזו בדורות שלפנינו ונדפס ע"ז שני ספרים אור הישר ואור ישראל וגאוני פפ"ד פסלו גט כזה</w:t>
      </w:r>
      <w:r w:rsidR="00D255FE">
        <w:rPr>
          <w:rFonts w:cs="Arial" w:hint="cs"/>
          <w:rtl/>
        </w:rPr>
        <w:t>,</w:t>
      </w:r>
      <w:r w:rsidR="00740679" w:rsidRPr="0038333D">
        <w:rPr>
          <w:rFonts w:cs="Arial"/>
          <w:rtl/>
        </w:rPr>
        <w:t xml:space="preserve"> והגדולים אשר במדינה כולם חלקו עליהם</w:t>
      </w:r>
      <w:r w:rsidR="00D255FE">
        <w:rPr>
          <w:rFonts w:cs="Arial" w:hint="cs"/>
          <w:rtl/>
        </w:rPr>
        <w:t>.</w:t>
      </w:r>
      <w:r w:rsidR="00740679" w:rsidRPr="0038333D">
        <w:rPr>
          <w:rFonts w:cs="Arial"/>
          <w:rtl/>
        </w:rPr>
        <w:t xml:space="preserve"> והועתק מקצת דבריהם בתשו' בית אפרים סי' פ"ט</w:t>
      </w:r>
      <w:r w:rsidR="00D255FE">
        <w:rPr>
          <w:rFonts w:cs="Arial" w:hint="cs"/>
          <w:rtl/>
        </w:rPr>
        <w:t>.</w:t>
      </w:r>
      <w:r w:rsidR="00740679" w:rsidRPr="0038333D">
        <w:rPr>
          <w:rFonts w:cs="Arial"/>
          <w:rtl/>
        </w:rPr>
        <w:t xml:space="preserve"> ונזכר שם בשם גאון אחד שהביא ראיה מדברי רש"י בחגיגה </w:t>
      </w:r>
      <w:r w:rsidR="00D255FE">
        <w:rPr>
          <w:rFonts w:cs="Arial" w:hint="cs"/>
          <w:rtl/>
        </w:rPr>
        <w:t>(</w:t>
      </w:r>
      <w:r w:rsidR="00740679" w:rsidRPr="0038333D">
        <w:rPr>
          <w:rFonts w:cs="Arial"/>
          <w:rtl/>
        </w:rPr>
        <w:t>ג</w:t>
      </w:r>
      <w:r w:rsidR="00D255FE">
        <w:rPr>
          <w:rFonts w:cs="Arial" w:hint="cs"/>
          <w:rtl/>
        </w:rPr>
        <w:t>:)</w:t>
      </w:r>
      <w:r w:rsidR="00740679" w:rsidRPr="0038333D">
        <w:rPr>
          <w:rFonts w:cs="Arial"/>
          <w:rtl/>
        </w:rPr>
        <w:t xml:space="preserve"> דחולי מרה שחורה לא יחשב בכלל שוטה דאינו נוגע למוח שבראשו רק הוא ע"י תגבורת המרה</w:t>
      </w:r>
      <w:r>
        <w:rPr>
          <w:rFonts w:cs="Arial" w:hint="cs"/>
          <w:rtl/>
        </w:rPr>
        <w:t>.</w:t>
      </w:r>
      <w:r w:rsidR="00740679" w:rsidRPr="0038333D">
        <w:rPr>
          <w:rFonts w:cs="Arial"/>
          <w:rtl/>
        </w:rPr>
        <w:t xml:space="preserve"> וגם כ' שם דאף לדעת הרמב"ם דס"ל דהני סימני שוטה לאו דוקא</w:t>
      </w:r>
      <w:r>
        <w:rPr>
          <w:rFonts w:cs="Arial" w:hint="cs"/>
          <w:rtl/>
        </w:rPr>
        <w:t>,</w:t>
      </w:r>
      <w:r w:rsidR="00740679" w:rsidRPr="0038333D">
        <w:rPr>
          <w:rFonts w:cs="Arial"/>
          <w:rtl/>
        </w:rPr>
        <w:t xml:space="preserve"> היינו בשעושה איזה מעשה שטות בידים</w:t>
      </w:r>
      <w:r>
        <w:rPr>
          <w:rFonts w:cs="Arial" w:hint="cs"/>
          <w:rtl/>
        </w:rPr>
        <w:t>,</w:t>
      </w:r>
      <w:r w:rsidR="00740679" w:rsidRPr="0038333D">
        <w:rPr>
          <w:rFonts w:cs="Arial"/>
          <w:rtl/>
        </w:rPr>
        <w:t xml:space="preserve"> אבל אם הוא רק מדבר דברים של שטות אינו נחשב כשוטה. ועוד דכבר צדדנו דנראה דעת הרמב"ם והרשב"א דבע"ח וע</w:t>
      </w:r>
      <w:r>
        <w:rPr>
          <w:rFonts w:cs="Arial" w:hint="cs"/>
          <w:rtl/>
        </w:rPr>
        <w:t>יתים שוטה</w:t>
      </w:r>
      <w:r w:rsidR="00740679" w:rsidRPr="0038333D">
        <w:rPr>
          <w:rFonts w:cs="Arial"/>
          <w:rtl/>
        </w:rPr>
        <w:t xml:space="preserve"> בעת שנראה שהוא חלים לא חיישינן כלל לספק שוטה אף דאין לו זמן קבוע ע"ז (ר"ל דאף בדיקה אין צריך)</w:t>
      </w:r>
      <w:r>
        <w:rPr>
          <w:rFonts w:cs="Arial" w:hint="cs"/>
          <w:rtl/>
        </w:rPr>
        <w:t>,</w:t>
      </w:r>
      <w:r w:rsidR="00740679" w:rsidRPr="0038333D">
        <w:rPr>
          <w:rFonts w:cs="Arial"/>
          <w:rtl/>
        </w:rPr>
        <w:t xml:space="preserve"> והכא בנ"ד בעת סידור הגט היה נראה לכל שהוא חלים.</w:t>
      </w:r>
      <w:r>
        <w:rPr>
          <w:rFonts w:cs="Arial" w:hint="cs"/>
          <w:rtl/>
        </w:rPr>
        <w:t xml:space="preserve">.. </w:t>
      </w:r>
      <w:r w:rsidR="00740679" w:rsidRPr="0038333D">
        <w:rPr>
          <w:rFonts w:cs="Arial"/>
          <w:rtl/>
        </w:rPr>
        <w:t>כ</w:t>
      </w:r>
      <w:r>
        <w:rPr>
          <w:rFonts w:cs="Arial" w:hint="cs"/>
          <w:rtl/>
        </w:rPr>
        <w:t xml:space="preserve">ל </w:t>
      </w:r>
      <w:r w:rsidR="00740679" w:rsidRPr="0038333D">
        <w:rPr>
          <w:rFonts w:cs="Arial"/>
          <w:rtl/>
        </w:rPr>
        <w:t>ז</w:t>
      </w:r>
      <w:r>
        <w:rPr>
          <w:rFonts w:cs="Arial" w:hint="cs"/>
          <w:rtl/>
        </w:rPr>
        <w:t>ה</w:t>
      </w:r>
      <w:r w:rsidR="00740679" w:rsidRPr="0038333D">
        <w:rPr>
          <w:rFonts w:cs="Arial"/>
          <w:rtl/>
        </w:rPr>
        <w:t xml:space="preserve"> צדדנו במקום עיגון</w:t>
      </w:r>
      <w:r>
        <w:rPr>
          <w:rFonts w:cs="Arial" w:hint="cs"/>
          <w:rtl/>
        </w:rPr>
        <w:t>,</w:t>
      </w:r>
      <w:r w:rsidR="00740679" w:rsidRPr="0038333D">
        <w:rPr>
          <w:rFonts w:cs="Arial"/>
          <w:rtl/>
        </w:rPr>
        <w:t xml:space="preserve"> אך מחמת חומר הענין לא ראיתי להגיד דעתי בהחלט להתיר עד שיסכימו עוד שני גדולי ישראל</w:t>
      </w:r>
      <w:r>
        <w:rPr>
          <w:rStyle w:val="a7"/>
          <w:rFonts w:cs="Arial"/>
          <w:rtl/>
        </w:rPr>
        <w:footnoteReference w:id="273"/>
      </w:r>
      <w:r>
        <w:rPr>
          <w:rFonts w:cs="Arial" w:hint="cs"/>
          <w:rtl/>
        </w:rPr>
        <w:t>.</w:t>
      </w:r>
    </w:p>
    <w:p w14:paraId="306C131C" w14:textId="43CF351B" w:rsidR="00953E7B" w:rsidRPr="00953E7B" w:rsidRDefault="00953E7B" w:rsidP="00953E7B">
      <w:pPr>
        <w:rPr>
          <w:rFonts w:cs="Arial"/>
        </w:rPr>
      </w:pPr>
      <w:r w:rsidRPr="00953E7B">
        <w:rPr>
          <w:rFonts w:cs="Arial"/>
          <w:u w:val="single"/>
          <w:rtl/>
        </w:rPr>
        <w:t xml:space="preserve">המבוהלים והנחפזים בדעתם והפתאים </w:t>
      </w:r>
      <w:r w:rsidRPr="00953E7B">
        <w:rPr>
          <w:rFonts w:cs="Arial" w:hint="cs"/>
          <w:sz w:val="16"/>
          <w:szCs w:val="16"/>
          <w:u w:val="single"/>
          <w:rtl/>
        </w:rPr>
        <w:t>(</w:t>
      </w:r>
      <w:r w:rsidRPr="00953E7B">
        <w:rPr>
          <w:rFonts w:cs="Arial"/>
          <w:sz w:val="16"/>
          <w:szCs w:val="16"/>
          <w:u w:val="single"/>
          <w:rtl/>
        </w:rPr>
        <w:t>שהמה בכלל השוטים לענין עדות</w:t>
      </w:r>
      <w:r w:rsidRPr="00953E7B">
        <w:rPr>
          <w:rFonts w:cs="Arial" w:hint="cs"/>
          <w:sz w:val="16"/>
          <w:szCs w:val="16"/>
          <w:u w:val="single"/>
          <w:rtl/>
        </w:rPr>
        <w:t xml:space="preserve">) </w:t>
      </w:r>
      <w:r w:rsidR="00DB1F7F">
        <w:rPr>
          <w:rFonts w:cs="Arial" w:hint="cs"/>
          <w:u w:val="single"/>
          <w:rtl/>
        </w:rPr>
        <w:t xml:space="preserve">- </w:t>
      </w:r>
      <w:r w:rsidRPr="00953E7B">
        <w:rPr>
          <w:rFonts w:cs="Arial" w:hint="cs"/>
          <w:u w:val="single"/>
          <w:rtl/>
        </w:rPr>
        <w:t>מה דינם לעניין גיטין:</w:t>
      </w:r>
      <w:r w:rsidRPr="00953E7B">
        <w:rPr>
          <w:rFonts w:cs="Arial"/>
          <w:rtl/>
        </w:rPr>
        <w:t xml:space="preserve"> </w:t>
      </w:r>
      <w:r w:rsidR="00740679" w:rsidRPr="00953E7B">
        <w:rPr>
          <w:rFonts w:cs="Arial"/>
          <w:sz w:val="16"/>
          <w:szCs w:val="16"/>
          <w:rtl/>
        </w:rPr>
        <w:t>(</w:t>
      </w:r>
      <w:r w:rsidRPr="00953E7B">
        <w:rPr>
          <w:rFonts w:cs="Arial" w:hint="cs"/>
          <w:sz w:val="16"/>
          <w:szCs w:val="16"/>
          <w:rtl/>
        </w:rPr>
        <w:t>פת"ש סק"</w:t>
      </w:r>
      <w:r w:rsidR="00740679" w:rsidRPr="00953E7B">
        <w:rPr>
          <w:rFonts w:cs="Arial"/>
          <w:sz w:val="16"/>
          <w:szCs w:val="16"/>
          <w:rtl/>
        </w:rPr>
        <w:t>ג)</w:t>
      </w:r>
      <w:r w:rsidR="00740679" w:rsidRPr="00953E7B">
        <w:rPr>
          <w:rFonts w:cs="Arial"/>
          <w:rtl/>
        </w:rPr>
        <w:t xml:space="preserve"> </w:t>
      </w:r>
    </w:p>
    <w:p w14:paraId="48D7519E" w14:textId="5D5EC355" w:rsidR="007D267E" w:rsidRPr="00EF4277" w:rsidRDefault="00740679" w:rsidP="00A65C5F">
      <w:pPr>
        <w:pStyle w:val="ab"/>
        <w:numPr>
          <w:ilvl w:val="0"/>
          <w:numId w:val="31"/>
        </w:numPr>
        <w:rPr>
          <w:rFonts w:cs="Arial"/>
          <w:rtl/>
        </w:rPr>
      </w:pPr>
      <w:r w:rsidRPr="0075453E">
        <w:rPr>
          <w:rFonts w:cs="Arial"/>
          <w:rtl/>
        </w:rPr>
        <w:lastRenderedPageBreak/>
        <w:t xml:space="preserve">ברית אברהם </w:t>
      </w:r>
      <w:r w:rsidR="00E30D93" w:rsidRPr="00E30D93">
        <w:rPr>
          <w:rFonts w:cs="Arial" w:hint="cs"/>
          <w:sz w:val="16"/>
          <w:szCs w:val="16"/>
          <w:rtl/>
        </w:rPr>
        <w:t>(</w:t>
      </w:r>
      <w:r w:rsidRPr="00E30D93">
        <w:rPr>
          <w:rFonts w:cs="Arial"/>
          <w:sz w:val="16"/>
          <w:szCs w:val="16"/>
          <w:rtl/>
        </w:rPr>
        <w:t>סי' עו אות א</w:t>
      </w:r>
      <w:r w:rsidR="00E30D93" w:rsidRPr="00E30D93">
        <w:rPr>
          <w:rFonts w:cs="Arial" w:hint="cs"/>
          <w:sz w:val="16"/>
          <w:szCs w:val="16"/>
          <w:rtl/>
        </w:rPr>
        <w:t>)</w:t>
      </w:r>
      <w:r w:rsidR="00A82951">
        <w:rPr>
          <w:rFonts w:cs="Arial" w:hint="cs"/>
          <w:rtl/>
        </w:rPr>
        <w:t>-</w:t>
      </w:r>
      <w:r w:rsidR="00E30D93">
        <w:rPr>
          <w:rFonts w:cs="Arial" w:hint="cs"/>
          <w:rtl/>
        </w:rPr>
        <w:t xml:space="preserve"> כתב </w:t>
      </w:r>
      <w:r w:rsidRPr="0075453E">
        <w:rPr>
          <w:rFonts w:cs="Arial"/>
          <w:rtl/>
        </w:rPr>
        <w:t xml:space="preserve">מהרי"ט </w:t>
      </w:r>
      <w:r w:rsidR="00E30D93">
        <w:rPr>
          <w:rFonts w:cs="Arial" w:hint="cs"/>
          <w:rtl/>
        </w:rPr>
        <w:t>ד</w:t>
      </w:r>
      <w:r w:rsidRPr="0075453E">
        <w:rPr>
          <w:rFonts w:cs="Arial"/>
          <w:rtl/>
        </w:rPr>
        <w:t xml:space="preserve">המבוהלים והנחפזים בדעתם והפתאים שהמה בכלל השוטים לענין עדות </w:t>
      </w:r>
      <w:r w:rsidR="00E30D93" w:rsidRPr="00E30D93">
        <w:rPr>
          <w:rFonts w:cs="Arial" w:hint="cs"/>
          <w:sz w:val="16"/>
          <w:szCs w:val="16"/>
          <w:rtl/>
        </w:rPr>
        <w:t>(</w:t>
      </w:r>
      <w:r w:rsidRPr="00E30D93">
        <w:rPr>
          <w:rFonts w:cs="Arial"/>
          <w:sz w:val="16"/>
          <w:szCs w:val="16"/>
          <w:rtl/>
        </w:rPr>
        <w:t>כמבואר ברמב"ם פ"ט מעדות</w:t>
      </w:r>
      <w:r w:rsidR="00E30D93" w:rsidRPr="00E30D93">
        <w:rPr>
          <w:rFonts w:cs="Arial" w:hint="cs"/>
          <w:sz w:val="16"/>
          <w:szCs w:val="16"/>
          <w:rtl/>
        </w:rPr>
        <w:t>,</w:t>
      </w:r>
      <w:r w:rsidRPr="00E30D93">
        <w:rPr>
          <w:rFonts w:cs="Arial"/>
          <w:sz w:val="16"/>
          <w:szCs w:val="16"/>
          <w:rtl/>
        </w:rPr>
        <w:t xml:space="preserve"> ובש</w:t>
      </w:r>
      <w:r w:rsidR="00E30D93" w:rsidRPr="00E30D93">
        <w:rPr>
          <w:rFonts w:cs="Arial" w:hint="cs"/>
          <w:sz w:val="16"/>
          <w:szCs w:val="16"/>
          <w:rtl/>
        </w:rPr>
        <w:t>ו</w:t>
      </w:r>
      <w:r w:rsidRPr="00E30D93">
        <w:rPr>
          <w:rFonts w:cs="Arial"/>
          <w:sz w:val="16"/>
          <w:szCs w:val="16"/>
          <w:rtl/>
        </w:rPr>
        <w:t>"ע ח</w:t>
      </w:r>
      <w:r w:rsidR="00E30D93" w:rsidRPr="00E30D93">
        <w:rPr>
          <w:rFonts w:cs="Arial" w:hint="cs"/>
          <w:sz w:val="16"/>
          <w:szCs w:val="16"/>
          <w:rtl/>
        </w:rPr>
        <w:t>ו</w:t>
      </w:r>
      <w:r w:rsidRPr="00E30D93">
        <w:rPr>
          <w:rFonts w:cs="Arial"/>
          <w:sz w:val="16"/>
          <w:szCs w:val="16"/>
          <w:rtl/>
        </w:rPr>
        <w:t>"מ סי' לה ס"ב</w:t>
      </w:r>
      <w:r w:rsidR="00E30D93" w:rsidRPr="00E30D93">
        <w:rPr>
          <w:rFonts w:cs="Arial" w:hint="cs"/>
          <w:sz w:val="16"/>
          <w:szCs w:val="16"/>
          <w:rtl/>
        </w:rPr>
        <w:t>)</w:t>
      </w:r>
      <w:r w:rsidR="00EF4277">
        <w:rPr>
          <w:rFonts w:cs="Arial" w:hint="cs"/>
          <w:rtl/>
        </w:rPr>
        <w:t xml:space="preserve">, </w:t>
      </w:r>
      <w:r w:rsidRPr="0075453E">
        <w:rPr>
          <w:rFonts w:cs="Arial"/>
          <w:rtl/>
        </w:rPr>
        <w:t xml:space="preserve">מ"מ לענין מקח וממכר וגיטין וקדושין </w:t>
      </w:r>
      <w:r w:rsidR="00A82951">
        <w:rPr>
          <w:rFonts w:cs="Arial" w:hint="cs"/>
          <w:rtl/>
        </w:rPr>
        <w:t>-</w:t>
      </w:r>
      <w:r w:rsidR="00EF4277">
        <w:rPr>
          <w:rFonts w:cs="Arial" w:hint="cs"/>
          <w:rtl/>
        </w:rPr>
        <w:t xml:space="preserve"> </w:t>
      </w:r>
      <w:r w:rsidRPr="0075453E">
        <w:rPr>
          <w:rFonts w:cs="Arial"/>
          <w:rtl/>
        </w:rPr>
        <w:t>הוו כפקחים</w:t>
      </w:r>
      <w:r w:rsidR="00EF4277">
        <w:rPr>
          <w:rFonts w:cs="Arial" w:hint="cs"/>
          <w:rtl/>
        </w:rPr>
        <w:t>,</w:t>
      </w:r>
      <w:r w:rsidRPr="0075453E">
        <w:rPr>
          <w:rFonts w:cs="Arial"/>
          <w:rtl/>
        </w:rPr>
        <w:t xml:space="preserve"> ורק לענין עדות נחשבים כשוטים</w:t>
      </w:r>
      <w:r w:rsidR="00EF4277">
        <w:rPr>
          <w:rStyle w:val="a7"/>
          <w:rFonts w:cs="Arial"/>
          <w:rtl/>
        </w:rPr>
        <w:footnoteReference w:id="274"/>
      </w:r>
      <w:r w:rsidR="00333891" w:rsidRPr="00EF4277">
        <w:rPr>
          <w:rFonts w:cs="Arial" w:hint="cs"/>
          <w:rtl/>
        </w:rPr>
        <w:t>.</w:t>
      </w:r>
    </w:p>
    <w:p w14:paraId="0894BDBD" w14:textId="77777777" w:rsidR="0075453E" w:rsidRPr="00486C31" w:rsidRDefault="0075453E" w:rsidP="00740679">
      <w:pPr>
        <w:rPr>
          <w:rFonts w:cs="Arial"/>
          <w:rtl/>
        </w:rPr>
      </w:pPr>
    </w:p>
    <w:p w14:paraId="753416D8" w14:textId="2252E7E4" w:rsidR="00486C31" w:rsidRDefault="00486C31" w:rsidP="00786DE6">
      <w:pPr>
        <w:pStyle w:val="2"/>
        <w:rPr>
          <w:rtl/>
        </w:rPr>
      </w:pPr>
      <w:r w:rsidRPr="00486C31">
        <w:rPr>
          <w:rtl/>
        </w:rPr>
        <w:t>סעיף ד</w:t>
      </w:r>
      <w:r w:rsidR="005E486B">
        <w:rPr>
          <w:rFonts w:hint="cs"/>
          <w:rtl/>
        </w:rPr>
        <w:t>:</w:t>
      </w:r>
      <w:r w:rsidR="00EF4277">
        <w:rPr>
          <w:rFonts w:hint="cs"/>
          <w:rtl/>
        </w:rPr>
        <w:t xml:space="preserve"> שכיב מרע שמצווה לכתוב גט לאשתו.</w:t>
      </w:r>
    </w:p>
    <w:p w14:paraId="6196EAF2" w14:textId="2E9B5681" w:rsidR="00EF4277" w:rsidRPr="00D61C23" w:rsidRDefault="00D61C23" w:rsidP="009846C2">
      <w:pPr>
        <w:rPr>
          <w:rFonts w:cs="Arial"/>
          <w:rtl/>
        </w:rPr>
      </w:pPr>
      <w:r w:rsidRPr="00573889">
        <w:rPr>
          <w:rFonts w:cs="Arial" w:hint="cs"/>
          <w:b/>
          <w:bCs/>
          <w:rtl/>
        </w:rPr>
        <w:t xml:space="preserve">גיטין </w:t>
      </w:r>
      <w:r w:rsidRPr="00573889">
        <w:rPr>
          <w:rFonts w:cs="Arial" w:hint="cs"/>
          <w:b/>
          <w:bCs/>
          <w:sz w:val="16"/>
          <w:szCs w:val="16"/>
          <w:rtl/>
        </w:rPr>
        <w:t>(</w:t>
      </w:r>
      <w:r>
        <w:rPr>
          <w:rFonts w:cs="Arial" w:hint="cs"/>
          <w:b/>
          <w:bCs/>
          <w:sz w:val="16"/>
          <w:szCs w:val="16"/>
          <w:rtl/>
        </w:rPr>
        <w:t>ר"פ מי שאחזו</w:t>
      </w:r>
      <w:r w:rsidRPr="00573889">
        <w:rPr>
          <w:rFonts w:cs="Arial" w:hint="cs"/>
          <w:b/>
          <w:bCs/>
          <w:sz w:val="16"/>
          <w:szCs w:val="16"/>
          <w:rtl/>
        </w:rPr>
        <w:t>)</w:t>
      </w:r>
      <w:r w:rsidRPr="00573889">
        <w:rPr>
          <w:rFonts w:cs="Arial" w:hint="cs"/>
          <w:b/>
          <w:bCs/>
          <w:rtl/>
        </w:rPr>
        <w:t xml:space="preserve"> </w:t>
      </w:r>
      <w:r>
        <w:rPr>
          <w:rFonts w:cs="Arial" w:hint="cs"/>
          <w:b/>
          <w:bCs/>
          <w:rtl/>
        </w:rPr>
        <w:t>ע</w:t>
      </w:r>
      <w:r w:rsidRPr="00573889">
        <w:rPr>
          <w:rFonts w:cs="Arial" w:hint="cs"/>
          <w:b/>
          <w:bCs/>
          <w:rtl/>
        </w:rPr>
        <w:t xml:space="preserve"> ע"</w:t>
      </w:r>
      <w:r>
        <w:rPr>
          <w:rFonts w:cs="Arial" w:hint="cs"/>
          <w:b/>
          <w:bCs/>
          <w:rtl/>
        </w:rPr>
        <w:t>ב</w:t>
      </w:r>
      <w:r w:rsidRPr="00573889">
        <w:rPr>
          <w:rFonts w:cs="Arial" w:hint="cs"/>
          <w:b/>
          <w:bCs/>
          <w:rtl/>
        </w:rPr>
        <w:t>:</w:t>
      </w:r>
      <w:r w:rsidRPr="00D1348C">
        <w:rPr>
          <w:rtl/>
        </w:rPr>
        <w:t xml:space="preserve"> </w:t>
      </w:r>
      <w:r w:rsidR="009846C2" w:rsidRPr="008B42FF">
        <w:rPr>
          <w:rFonts w:cs="Arial"/>
          <w:rtl/>
        </w:rPr>
        <w:t xml:space="preserve">אמר כתבו גט לאשתי ואחזו קורדייקוס, וחזר ואמר אל תכתבו </w:t>
      </w:r>
      <w:r w:rsidR="00A82951">
        <w:rPr>
          <w:rFonts w:cs="Arial"/>
          <w:rtl/>
        </w:rPr>
        <w:t>-</w:t>
      </w:r>
      <w:r w:rsidR="009846C2" w:rsidRPr="008B42FF">
        <w:rPr>
          <w:rFonts w:cs="Arial"/>
          <w:rtl/>
        </w:rPr>
        <w:t xml:space="preserve"> אין דבריו האחרונים כלום. </w:t>
      </w:r>
      <w:r w:rsidR="009846C2" w:rsidRPr="008B42FF">
        <w:rPr>
          <w:rFonts w:cs="Arial"/>
          <w:u w:val="single"/>
          <w:rtl/>
        </w:rPr>
        <w:t>אר"ש בן לקיש</w:t>
      </w:r>
      <w:r w:rsidR="009846C2" w:rsidRPr="008B42FF">
        <w:rPr>
          <w:rFonts w:cs="Arial"/>
          <w:rtl/>
        </w:rPr>
        <w:t>: כותבין ונותנין גט לאלת</w:t>
      </w:r>
      <w:r w:rsidR="009846C2">
        <w:rPr>
          <w:rFonts w:cs="Arial" w:hint="cs"/>
          <w:rtl/>
        </w:rPr>
        <w:t>ר.</w:t>
      </w:r>
      <w:r w:rsidR="009846C2" w:rsidRPr="008B42FF">
        <w:rPr>
          <w:rFonts w:cs="Arial"/>
          <w:rtl/>
        </w:rPr>
        <w:t xml:space="preserve"> </w:t>
      </w:r>
      <w:r w:rsidR="009846C2" w:rsidRPr="008B42FF">
        <w:rPr>
          <w:rFonts w:cs="Arial"/>
          <w:u w:val="single"/>
          <w:rtl/>
        </w:rPr>
        <w:t>ור' יוחנן אמר</w:t>
      </w:r>
      <w:r w:rsidR="009846C2" w:rsidRPr="008B42FF">
        <w:rPr>
          <w:rFonts w:cs="Arial"/>
          <w:rtl/>
        </w:rPr>
        <w:t>: אין כותבין אלא לכשישתפה.</w:t>
      </w:r>
      <w:r w:rsidR="009846C2">
        <w:rPr>
          <w:rFonts w:cs="Arial" w:hint="cs"/>
          <w:rtl/>
        </w:rPr>
        <w:t>..</w:t>
      </w:r>
      <w:r w:rsidR="009846C2" w:rsidRPr="008B42FF">
        <w:rPr>
          <w:rFonts w:cs="Arial"/>
          <w:rtl/>
        </w:rPr>
        <w:t xml:space="preserve"> </w:t>
      </w:r>
      <w:r w:rsidRPr="00D61C23">
        <w:rPr>
          <w:rFonts w:cs="Arial"/>
          <w:rtl/>
        </w:rPr>
        <w:t xml:space="preserve">ומי אמר ר' יוחנן הכי? </w:t>
      </w:r>
      <w:r w:rsidRPr="009846C2">
        <w:rPr>
          <w:rFonts w:cs="Arial"/>
          <w:u w:val="single"/>
          <w:rtl/>
        </w:rPr>
        <w:t>והאמר רב יהודה אמר שמואל</w:t>
      </w:r>
      <w:r w:rsidRPr="00D61C23">
        <w:rPr>
          <w:rFonts w:cs="Arial"/>
          <w:rtl/>
        </w:rPr>
        <w:t xml:space="preserve">: שחט בו שנים או רוב שנים, ורמז ואמר כתבו גט לאשתי </w:t>
      </w:r>
      <w:r w:rsidR="00A82951">
        <w:rPr>
          <w:rFonts w:cs="Arial"/>
          <w:rtl/>
        </w:rPr>
        <w:t>-</w:t>
      </w:r>
      <w:r w:rsidRPr="00D61C23">
        <w:rPr>
          <w:rFonts w:cs="Arial"/>
          <w:rtl/>
        </w:rPr>
        <w:t xml:space="preserve"> הרי אלו יכתבו ויתנו, ותניא: ראוהו מגויד</w:t>
      </w:r>
      <w:r w:rsidR="009846C2">
        <w:rPr>
          <w:rStyle w:val="a7"/>
          <w:rFonts w:cs="Arial"/>
          <w:rtl/>
        </w:rPr>
        <w:footnoteReference w:id="275"/>
      </w:r>
      <w:r w:rsidRPr="00D61C23">
        <w:rPr>
          <w:rFonts w:cs="Arial"/>
          <w:rtl/>
        </w:rPr>
        <w:t xml:space="preserve"> או צלוב על הצליבה, ורמז ואמר כתבו גט לאשתי </w:t>
      </w:r>
      <w:r w:rsidR="00A82951">
        <w:rPr>
          <w:rFonts w:cs="Arial"/>
          <w:rtl/>
        </w:rPr>
        <w:t>-</w:t>
      </w:r>
      <w:r w:rsidRPr="00D61C23">
        <w:rPr>
          <w:rFonts w:cs="Arial"/>
          <w:rtl/>
        </w:rPr>
        <w:t xml:space="preserve"> הרי אלו יכתבו ויתנו! הכי השתא</w:t>
      </w:r>
      <w:r w:rsidR="009846C2">
        <w:rPr>
          <w:rFonts w:cs="Arial" w:hint="cs"/>
          <w:rtl/>
        </w:rPr>
        <w:t>?</w:t>
      </w:r>
      <w:r w:rsidRPr="00D61C23">
        <w:rPr>
          <w:rFonts w:cs="Arial"/>
          <w:rtl/>
        </w:rPr>
        <w:t xml:space="preserve"> התם דעתא צילותא היא</w:t>
      </w:r>
      <w:r w:rsidR="009846C2">
        <w:rPr>
          <w:rStyle w:val="a7"/>
          <w:rFonts w:cs="Arial"/>
          <w:rtl/>
        </w:rPr>
        <w:footnoteReference w:id="276"/>
      </w:r>
      <w:r w:rsidRPr="00D61C23">
        <w:rPr>
          <w:rFonts w:cs="Arial"/>
          <w:rtl/>
        </w:rPr>
        <w:t>, וכחישותא הוא דאתחילה ביה, הכא דעתא שגישתא</w:t>
      </w:r>
      <w:r w:rsidR="009846C2">
        <w:rPr>
          <w:rStyle w:val="a7"/>
          <w:rFonts w:cs="Arial"/>
          <w:rtl/>
        </w:rPr>
        <w:footnoteReference w:id="277"/>
      </w:r>
      <w:r w:rsidRPr="00D61C23">
        <w:rPr>
          <w:rFonts w:cs="Arial"/>
          <w:rtl/>
        </w:rPr>
        <w:t xml:space="preserve"> היא. </w:t>
      </w:r>
    </w:p>
    <w:p w14:paraId="176A7E78" w14:textId="477C588F" w:rsidR="00D44C95" w:rsidRPr="00EF4277" w:rsidRDefault="00EF4277" w:rsidP="00D44C95">
      <w:pPr>
        <w:rPr>
          <w:u w:val="single"/>
          <w:rtl/>
        </w:rPr>
      </w:pPr>
      <w:r w:rsidRPr="00EF4277">
        <w:rPr>
          <w:rFonts w:hint="cs"/>
          <w:u w:val="single"/>
          <w:rtl/>
        </w:rPr>
        <w:t>שכיב מרע שמצווה לכתוב גט לאשתו</w:t>
      </w:r>
      <w:r>
        <w:rPr>
          <w:rFonts w:hint="cs"/>
          <w:u w:val="single"/>
          <w:rtl/>
        </w:rPr>
        <w:t xml:space="preserve"> </w:t>
      </w:r>
      <w:r w:rsidR="00270F1F">
        <w:rPr>
          <w:rFonts w:hint="cs"/>
          <w:sz w:val="16"/>
          <w:szCs w:val="16"/>
          <w:u w:val="single"/>
          <w:rtl/>
        </w:rPr>
        <w:t>(כדי לפטור אחיו מייבום)</w:t>
      </w:r>
      <w:r w:rsidR="00270F1F">
        <w:rPr>
          <w:rFonts w:hint="cs"/>
          <w:u w:val="single"/>
          <w:rtl/>
        </w:rPr>
        <w:t xml:space="preserve"> </w:t>
      </w:r>
      <w:r w:rsidR="00A82951">
        <w:rPr>
          <w:u w:val="single"/>
          <w:rtl/>
        </w:rPr>
        <w:t>-</w:t>
      </w:r>
      <w:r>
        <w:rPr>
          <w:rFonts w:hint="cs"/>
          <w:u w:val="single"/>
          <w:rtl/>
        </w:rPr>
        <w:t xml:space="preserve"> האם צריך לדקדק בו </w:t>
      </w:r>
      <w:r w:rsidR="00C000EF">
        <w:rPr>
          <w:rFonts w:hint="cs"/>
          <w:u w:val="single"/>
          <w:rtl/>
        </w:rPr>
        <w:t>שהיה</w:t>
      </w:r>
      <w:r>
        <w:rPr>
          <w:rFonts w:hint="cs"/>
          <w:u w:val="single"/>
          <w:rtl/>
        </w:rPr>
        <w:t xml:space="preserve"> שפוי בדעתו בשעת הכתיבה</w:t>
      </w:r>
      <w:r w:rsidRPr="00EF4277">
        <w:rPr>
          <w:rFonts w:hint="cs"/>
          <w:u w:val="single"/>
          <w:rtl/>
        </w:rPr>
        <w:t>:</w:t>
      </w:r>
    </w:p>
    <w:p w14:paraId="7467723E" w14:textId="20B0E090" w:rsidR="00EF4277" w:rsidRPr="00EF4277" w:rsidRDefault="00153E73" w:rsidP="00A65C5F">
      <w:pPr>
        <w:pStyle w:val="ab"/>
        <w:numPr>
          <w:ilvl w:val="0"/>
          <w:numId w:val="30"/>
        </w:numPr>
      </w:pPr>
      <w:r>
        <w:rPr>
          <w:rFonts w:cs="Arial" w:hint="cs"/>
          <w:rtl/>
        </w:rPr>
        <w:t>ר"י</w:t>
      </w:r>
      <w:r w:rsidR="00166EFE">
        <w:rPr>
          <w:rFonts w:cs="Arial" w:hint="cs"/>
          <w:rtl/>
        </w:rPr>
        <w:t xml:space="preserve"> </w:t>
      </w:r>
      <w:r w:rsidR="00166EFE">
        <w:rPr>
          <w:rFonts w:cs="Arial" w:hint="cs"/>
          <w:sz w:val="16"/>
          <w:szCs w:val="16"/>
          <w:rtl/>
        </w:rPr>
        <w:t>(</w:t>
      </w:r>
      <w:r>
        <w:rPr>
          <w:rFonts w:cs="Arial" w:hint="cs"/>
          <w:sz w:val="16"/>
          <w:szCs w:val="16"/>
          <w:rtl/>
        </w:rPr>
        <w:t xml:space="preserve">בתוס' ע: </w:t>
      </w:r>
      <w:r w:rsidR="00166EFE">
        <w:rPr>
          <w:rFonts w:cs="Arial" w:hint="cs"/>
          <w:sz w:val="16"/>
          <w:szCs w:val="16"/>
          <w:rtl/>
        </w:rPr>
        <w:t>ד"ה התם)</w:t>
      </w:r>
      <w:r w:rsidR="00166EFE">
        <w:rPr>
          <w:rFonts w:cs="Arial" w:hint="cs"/>
          <w:rtl/>
        </w:rPr>
        <w:t xml:space="preserve"> </w:t>
      </w:r>
      <w:r w:rsidR="001A280F" w:rsidRPr="004A69A4">
        <w:rPr>
          <w:rFonts w:cs="Arial"/>
          <w:rtl/>
        </w:rPr>
        <w:t>רא"ש</w:t>
      </w:r>
      <w:r w:rsidR="001A280F">
        <w:rPr>
          <w:rFonts w:cs="Arial" w:hint="cs"/>
          <w:sz w:val="16"/>
          <w:szCs w:val="16"/>
          <w:rtl/>
        </w:rPr>
        <w:t xml:space="preserve"> (סדר הגט)</w:t>
      </w:r>
      <w:r w:rsidR="001A280F">
        <w:rPr>
          <w:rFonts w:cs="Arial" w:hint="cs"/>
          <w:rtl/>
        </w:rPr>
        <w:t xml:space="preserve"> </w:t>
      </w:r>
      <w:r w:rsidR="00EF4277">
        <w:rPr>
          <w:rFonts w:cs="Arial" w:hint="cs"/>
          <w:rtl/>
        </w:rPr>
        <w:t>ו</w:t>
      </w:r>
      <w:r w:rsidR="00624B55">
        <w:rPr>
          <w:rFonts w:cs="Arial" w:hint="cs"/>
          <w:rtl/>
        </w:rPr>
        <w:t>טור</w:t>
      </w:r>
      <w:r w:rsidR="00A82951">
        <w:rPr>
          <w:rFonts w:cs="Arial" w:hint="cs"/>
          <w:rtl/>
        </w:rPr>
        <w:t>-</w:t>
      </w:r>
      <w:r w:rsidR="00624B55">
        <w:rPr>
          <w:rFonts w:cs="Arial" w:hint="cs"/>
          <w:rtl/>
        </w:rPr>
        <w:t xml:space="preserve"> </w:t>
      </w:r>
      <w:r w:rsidR="00624B55" w:rsidRPr="00BE2DBA">
        <w:rPr>
          <w:rFonts w:cs="Arial"/>
          <w:rtl/>
        </w:rPr>
        <w:t xml:space="preserve">שכיב מרע שמצווה לכתוב גט לאשתו </w:t>
      </w:r>
      <w:r w:rsidR="00A82951">
        <w:rPr>
          <w:rFonts w:cs="Arial" w:hint="cs"/>
          <w:rtl/>
        </w:rPr>
        <w:t>-</w:t>
      </w:r>
      <w:r w:rsidR="000A6295">
        <w:rPr>
          <w:rFonts w:cs="Arial" w:hint="cs"/>
          <w:rtl/>
        </w:rPr>
        <w:t xml:space="preserve"> </w:t>
      </w:r>
      <w:r w:rsidR="00624B55" w:rsidRPr="00BE2DBA">
        <w:rPr>
          <w:rFonts w:cs="Arial"/>
          <w:rtl/>
        </w:rPr>
        <w:t>צריך לדקדק</w:t>
      </w:r>
      <w:r w:rsidR="001A280F">
        <w:rPr>
          <w:rStyle w:val="a7"/>
          <w:rFonts w:cs="Arial"/>
          <w:rtl/>
        </w:rPr>
        <w:footnoteReference w:id="278"/>
      </w:r>
      <w:r w:rsidR="00624B55" w:rsidRPr="00BE2DBA">
        <w:rPr>
          <w:rFonts w:cs="Arial"/>
          <w:rtl/>
        </w:rPr>
        <w:t xml:space="preserve"> בו שהיה שפוי בדעתו בשעת כתיבה</w:t>
      </w:r>
      <w:r w:rsidR="00166EFE">
        <w:rPr>
          <w:rFonts w:cs="Arial" w:hint="cs"/>
          <w:sz w:val="16"/>
          <w:szCs w:val="16"/>
          <w:rtl/>
        </w:rPr>
        <w:t xml:space="preserve"> (ל' הטור)</w:t>
      </w:r>
      <w:r w:rsidR="00EF4277">
        <w:rPr>
          <w:rFonts w:cs="Arial" w:hint="cs"/>
          <w:rtl/>
        </w:rPr>
        <w:t>.</w:t>
      </w:r>
      <w:r w:rsidR="00624B55" w:rsidRPr="00BE2DBA">
        <w:rPr>
          <w:rFonts w:cs="Arial"/>
          <w:rtl/>
        </w:rPr>
        <w:t xml:space="preserve"> </w:t>
      </w:r>
      <w:r w:rsidR="00166EFE" w:rsidRPr="00544E63">
        <w:rPr>
          <w:rFonts w:hint="cs"/>
          <w:color w:val="E36C0A" w:themeColor="accent6" w:themeShade="BF"/>
          <w:rtl/>
        </w:rPr>
        <w:t>(וכ"פ בשו"ע</w:t>
      </w:r>
      <w:r w:rsidR="00166EFE">
        <w:rPr>
          <w:rFonts w:hint="cs"/>
          <w:color w:val="E36C0A" w:themeColor="accent6" w:themeShade="BF"/>
          <w:rtl/>
        </w:rPr>
        <w:t>)</w:t>
      </w:r>
    </w:p>
    <w:p w14:paraId="606E4C6C" w14:textId="69C0A564" w:rsidR="001A280F" w:rsidRDefault="001A280F" w:rsidP="00A65C5F">
      <w:pPr>
        <w:pStyle w:val="ab"/>
        <w:numPr>
          <w:ilvl w:val="0"/>
          <w:numId w:val="30"/>
        </w:numPr>
      </w:pPr>
      <w:r>
        <w:rPr>
          <w:rFonts w:cs="Arial" w:hint="cs"/>
          <w:rtl/>
        </w:rPr>
        <w:t>בהעי"ט</w:t>
      </w:r>
      <w:r w:rsidR="006241D9">
        <w:rPr>
          <w:rStyle w:val="a7"/>
          <w:rFonts w:cs="Arial"/>
          <w:rtl/>
        </w:rPr>
        <w:footnoteReference w:id="279"/>
      </w:r>
      <w:r w:rsidRPr="001A280F">
        <w:rPr>
          <w:rFonts w:cs="Arial" w:hint="cs"/>
          <w:sz w:val="16"/>
          <w:szCs w:val="16"/>
          <w:rtl/>
        </w:rPr>
        <w:t xml:space="preserve"> (</w:t>
      </w:r>
      <w:r w:rsidRPr="001A280F">
        <w:rPr>
          <w:rFonts w:cs="Arial"/>
          <w:sz w:val="16"/>
          <w:szCs w:val="16"/>
          <w:rtl/>
        </w:rPr>
        <w:t xml:space="preserve">מאמר </w:t>
      </w:r>
      <w:r w:rsidRPr="001A280F">
        <w:rPr>
          <w:rFonts w:cs="Arial" w:hint="cs"/>
          <w:sz w:val="16"/>
          <w:szCs w:val="16"/>
          <w:rtl/>
        </w:rPr>
        <w:t>ז</w:t>
      </w:r>
      <w:r w:rsidRPr="001A280F">
        <w:rPr>
          <w:rFonts w:cs="Arial"/>
          <w:sz w:val="16"/>
          <w:szCs w:val="16"/>
          <w:rtl/>
        </w:rPr>
        <w:t xml:space="preserve"> כט ע"א)</w:t>
      </w:r>
      <w:r w:rsidR="00A82951">
        <w:rPr>
          <w:rFonts w:cs="Arial" w:hint="cs"/>
          <w:rtl/>
        </w:rPr>
        <w:t>-</w:t>
      </w:r>
      <w:r>
        <w:rPr>
          <w:rFonts w:cs="Arial"/>
          <w:rtl/>
        </w:rPr>
        <w:t xml:space="preserve"> </w:t>
      </w:r>
      <w:r w:rsidR="006241D9" w:rsidRPr="006241D9">
        <w:rPr>
          <w:rFonts w:cs="Arial"/>
          <w:rtl/>
        </w:rPr>
        <w:t>אין צריך</w:t>
      </w:r>
      <w:r w:rsidR="006241D9">
        <w:rPr>
          <w:rFonts w:cs="Arial" w:hint="cs"/>
          <w:rtl/>
        </w:rPr>
        <w:t>,</w:t>
      </w:r>
      <w:r w:rsidR="006241D9" w:rsidRPr="006241D9">
        <w:rPr>
          <w:rFonts w:cs="Arial"/>
          <w:rtl/>
        </w:rPr>
        <w:t xml:space="preserve"> אלא כיון שצוה לכתוב </w:t>
      </w:r>
      <w:r w:rsidR="00A82951">
        <w:rPr>
          <w:rFonts w:cs="Arial" w:hint="cs"/>
          <w:rtl/>
        </w:rPr>
        <w:t>-</w:t>
      </w:r>
      <w:r w:rsidR="002A55CE">
        <w:rPr>
          <w:rFonts w:cs="Arial" w:hint="cs"/>
          <w:rtl/>
        </w:rPr>
        <w:t xml:space="preserve"> </w:t>
      </w:r>
      <w:r w:rsidR="006241D9" w:rsidRPr="006241D9">
        <w:rPr>
          <w:rFonts w:cs="Arial"/>
          <w:rtl/>
        </w:rPr>
        <w:t>כותבין אפי' אם נשתתק</w:t>
      </w:r>
      <w:r w:rsidR="009D77D8">
        <w:rPr>
          <w:rStyle w:val="a7"/>
          <w:rFonts w:cs="Arial"/>
          <w:rtl/>
        </w:rPr>
        <w:footnoteReference w:id="280"/>
      </w:r>
      <w:r w:rsidR="006241D9">
        <w:rPr>
          <w:rFonts w:cs="Arial" w:hint="cs"/>
          <w:sz w:val="16"/>
          <w:szCs w:val="16"/>
          <w:rtl/>
        </w:rPr>
        <w:t xml:space="preserve"> (ל' הטור בשמו)</w:t>
      </w:r>
      <w:r w:rsidR="006241D9">
        <w:rPr>
          <w:rStyle w:val="a7"/>
          <w:rFonts w:cs="Arial"/>
          <w:rtl/>
        </w:rPr>
        <w:footnoteReference w:id="281"/>
      </w:r>
      <w:r>
        <w:rPr>
          <w:rFonts w:cs="Arial" w:hint="cs"/>
          <w:rtl/>
        </w:rPr>
        <w:t>.</w:t>
      </w:r>
      <w:r>
        <w:rPr>
          <w:rFonts w:cs="Arial"/>
          <w:rtl/>
        </w:rPr>
        <w:t xml:space="preserve"> </w:t>
      </w:r>
    </w:p>
    <w:p w14:paraId="32C97F85" w14:textId="09646C7F" w:rsidR="00A91A71" w:rsidRPr="00A91A71" w:rsidRDefault="007E34A6" w:rsidP="00A91A71">
      <w:pPr>
        <w:ind w:left="360"/>
        <w:rPr>
          <w:u w:val="dotted"/>
        </w:rPr>
      </w:pPr>
      <w:r>
        <w:rPr>
          <w:rFonts w:hint="cs"/>
          <w:u w:val="dotted"/>
          <w:rtl/>
        </w:rPr>
        <w:t xml:space="preserve">לתוס' וסיעתו - </w:t>
      </w:r>
      <w:r w:rsidR="00A91A71" w:rsidRPr="00A91A71">
        <w:rPr>
          <w:rFonts w:hint="cs"/>
          <w:u w:val="dotted"/>
          <w:rtl/>
        </w:rPr>
        <w:t>מה הדין אם נתקלקל בין כתיבה לנתינה</w:t>
      </w:r>
      <w:r w:rsidR="005713FF">
        <w:rPr>
          <w:rFonts w:hint="cs"/>
          <w:u w:val="dotted"/>
          <w:rtl/>
        </w:rPr>
        <w:t>, ובנתינה עצמה היה פקח</w:t>
      </w:r>
      <w:r w:rsidR="00A91A71" w:rsidRPr="00A91A71">
        <w:rPr>
          <w:rFonts w:hint="cs"/>
          <w:u w:val="dotted"/>
          <w:rtl/>
        </w:rPr>
        <w:t>:</w:t>
      </w:r>
    </w:p>
    <w:p w14:paraId="5CCB694A" w14:textId="2CF6D90D" w:rsidR="004A69A4" w:rsidRPr="004A69A4" w:rsidRDefault="005E486B" w:rsidP="00A65C5F">
      <w:pPr>
        <w:pStyle w:val="ab"/>
        <w:numPr>
          <w:ilvl w:val="0"/>
          <w:numId w:val="30"/>
        </w:numPr>
      </w:pPr>
      <w:r w:rsidRPr="00A647F7">
        <w:rPr>
          <w:rFonts w:cs="Arial"/>
          <w:rtl/>
        </w:rPr>
        <w:t>תוס</w:t>
      </w:r>
      <w:r w:rsidR="00A647F7" w:rsidRPr="00A647F7">
        <w:rPr>
          <w:rFonts w:cs="Arial" w:hint="cs"/>
          <w:rtl/>
        </w:rPr>
        <w:t>'</w:t>
      </w:r>
      <w:r w:rsidRPr="00A647F7">
        <w:rPr>
          <w:rFonts w:cs="Arial"/>
          <w:sz w:val="16"/>
          <w:szCs w:val="16"/>
          <w:rtl/>
        </w:rPr>
        <w:t xml:space="preserve"> (ד"ה התם)</w:t>
      </w:r>
      <w:r w:rsidR="00A82951">
        <w:rPr>
          <w:rFonts w:cs="Arial" w:hint="cs"/>
          <w:rtl/>
        </w:rPr>
        <w:t>-</w:t>
      </w:r>
      <w:r w:rsidR="00A647F7">
        <w:rPr>
          <w:rFonts w:cs="Arial" w:hint="cs"/>
          <w:rtl/>
        </w:rPr>
        <w:t xml:space="preserve"> </w:t>
      </w:r>
      <w:r w:rsidRPr="00A647F7">
        <w:rPr>
          <w:rFonts w:cs="Arial"/>
          <w:rtl/>
        </w:rPr>
        <w:t>בגט שכיב מרע אומר ר"י דצריך ליזהר שלא יתקלקל בין כתיבה לנתינה</w:t>
      </w:r>
      <w:r w:rsidR="00D87A03">
        <w:rPr>
          <w:rFonts w:cs="Arial" w:hint="cs"/>
          <w:rtl/>
        </w:rPr>
        <w:t>,</w:t>
      </w:r>
      <w:r w:rsidRPr="00A647F7">
        <w:rPr>
          <w:rFonts w:cs="Arial"/>
          <w:rtl/>
        </w:rPr>
        <w:t xml:space="preserve"> דאם נתקלקל בנתיים אפילו נתפקח לבסוף אינו מועיל</w:t>
      </w:r>
      <w:r w:rsidR="00A647F7">
        <w:rPr>
          <w:rStyle w:val="a7"/>
          <w:rFonts w:cs="Arial"/>
          <w:rtl/>
        </w:rPr>
        <w:footnoteReference w:id="282"/>
      </w:r>
      <w:r w:rsidR="00640C87" w:rsidRPr="00A647F7">
        <w:rPr>
          <w:rFonts w:cs="Arial" w:hint="cs"/>
          <w:rtl/>
        </w:rPr>
        <w:t>.</w:t>
      </w:r>
      <w:r w:rsidRPr="00A647F7">
        <w:rPr>
          <w:rFonts w:cs="Arial"/>
          <w:rtl/>
        </w:rPr>
        <w:t xml:space="preserve"> ופעמים ששכיב מרע אינו בדעתו</w:t>
      </w:r>
      <w:r w:rsidR="00640C87" w:rsidRPr="00A647F7">
        <w:rPr>
          <w:rFonts w:cs="Arial" w:hint="cs"/>
          <w:rtl/>
        </w:rPr>
        <w:t>,</w:t>
      </w:r>
      <w:r w:rsidRPr="00A647F7">
        <w:rPr>
          <w:rFonts w:cs="Arial"/>
          <w:rtl/>
        </w:rPr>
        <w:t xml:space="preserve"> ומספקא אי חשבינן ליה כשוטה או שמא תונבא בעלמא הוא דנקטיה וכישן דמי. </w:t>
      </w:r>
    </w:p>
    <w:p w14:paraId="24D3A068" w14:textId="3FEF2BEF" w:rsidR="004A69A4" w:rsidRPr="004A69A4" w:rsidRDefault="005E486B" w:rsidP="00A65C5F">
      <w:pPr>
        <w:pStyle w:val="ab"/>
        <w:numPr>
          <w:ilvl w:val="0"/>
          <w:numId w:val="30"/>
        </w:numPr>
      </w:pPr>
      <w:r w:rsidRPr="004A69A4">
        <w:rPr>
          <w:rFonts w:cs="Arial"/>
          <w:rtl/>
        </w:rPr>
        <w:lastRenderedPageBreak/>
        <w:t>רא"ש</w:t>
      </w:r>
      <w:r w:rsidR="004A69A4">
        <w:rPr>
          <w:rFonts w:cs="Arial" w:hint="cs"/>
          <w:sz w:val="16"/>
          <w:szCs w:val="16"/>
          <w:rtl/>
        </w:rPr>
        <w:t xml:space="preserve"> (סדר הגט)</w:t>
      </w:r>
      <w:r w:rsidR="00A82951">
        <w:rPr>
          <w:rFonts w:cs="Arial" w:hint="cs"/>
          <w:rtl/>
        </w:rPr>
        <w:t>-</w:t>
      </w:r>
      <w:r w:rsidRPr="004A69A4">
        <w:rPr>
          <w:rFonts w:cs="Arial"/>
          <w:rtl/>
        </w:rPr>
        <w:t xml:space="preserve"> ואם שכיב מרע מצוה לכתוב גט יזהר הסופר שיהיה החולה שפוי ומיושב בדעתו מתחלת כתיבת הגט עד גמר </w:t>
      </w:r>
      <w:r w:rsidR="003103E6">
        <w:rPr>
          <w:rFonts w:cs="Arial" w:hint="cs"/>
          <w:rtl/>
        </w:rPr>
        <w:t>[</w:t>
      </w:r>
      <w:r w:rsidRPr="004A69A4">
        <w:rPr>
          <w:rFonts w:cs="Arial"/>
          <w:rtl/>
        </w:rPr>
        <w:t>נתינתו</w:t>
      </w:r>
      <w:r w:rsidR="003103E6">
        <w:rPr>
          <w:rFonts w:cs="Arial" w:hint="cs"/>
          <w:rtl/>
        </w:rPr>
        <w:t>]</w:t>
      </w:r>
      <w:r w:rsidR="004A69A4">
        <w:rPr>
          <w:rStyle w:val="a7"/>
          <w:rFonts w:cs="Arial"/>
          <w:rtl/>
        </w:rPr>
        <w:footnoteReference w:id="283"/>
      </w:r>
      <w:r w:rsidR="000A6295">
        <w:rPr>
          <w:rFonts w:cs="Arial" w:hint="cs"/>
          <w:rtl/>
        </w:rPr>
        <w:t>,</w:t>
      </w:r>
      <w:r w:rsidRPr="004A69A4">
        <w:rPr>
          <w:rFonts w:cs="Arial"/>
          <w:rtl/>
        </w:rPr>
        <w:t xml:space="preserve"> שאם תטרף דעתו בנתיים אע</w:t>
      </w:r>
      <w:r w:rsidR="004A69A4">
        <w:rPr>
          <w:rFonts w:cs="Arial" w:hint="cs"/>
          <w:rtl/>
        </w:rPr>
        <w:t>"</w:t>
      </w:r>
      <w:r w:rsidRPr="004A69A4">
        <w:rPr>
          <w:rFonts w:cs="Arial"/>
          <w:rtl/>
        </w:rPr>
        <w:t xml:space="preserve">פ שתחזור דעתו עליו </w:t>
      </w:r>
      <w:r w:rsidR="00A82951">
        <w:rPr>
          <w:rFonts w:cs="Arial" w:hint="cs"/>
          <w:rtl/>
        </w:rPr>
        <w:t>-</w:t>
      </w:r>
      <w:r w:rsidR="004A69A4">
        <w:rPr>
          <w:rFonts w:cs="Arial" w:hint="cs"/>
          <w:rtl/>
        </w:rPr>
        <w:t xml:space="preserve"> </w:t>
      </w:r>
      <w:r w:rsidRPr="004A69A4">
        <w:rPr>
          <w:rFonts w:cs="Arial"/>
          <w:rtl/>
        </w:rPr>
        <w:t>הגט פסול</w:t>
      </w:r>
      <w:r w:rsidR="00A33148" w:rsidRPr="004A69A4">
        <w:rPr>
          <w:rFonts w:cs="Arial" w:hint="cs"/>
          <w:rtl/>
        </w:rPr>
        <w:t>.</w:t>
      </w:r>
      <w:r w:rsidRPr="004A69A4">
        <w:rPr>
          <w:rFonts w:cs="Arial"/>
          <w:rtl/>
        </w:rPr>
        <w:t xml:space="preserve"> </w:t>
      </w:r>
    </w:p>
    <w:p w14:paraId="34B26776" w14:textId="6FDA8395" w:rsidR="005E486B" w:rsidRPr="005E486B" w:rsidRDefault="005E486B" w:rsidP="00A65C5F">
      <w:pPr>
        <w:pStyle w:val="ab"/>
        <w:numPr>
          <w:ilvl w:val="0"/>
          <w:numId w:val="30"/>
        </w:numPr>
        <w:rPr>
          <w:rtl/>
        </w:rPr>
      </w:pPr>
      <w:r w:rsidRPr="004A69A4">
        <w:rPr>
          <w:rFonts w:cs="Arial"/>
          <w:rtl/>
        </w:rPr>
        <w:t xml:space="preserve">רשב"א </w:t>
      </w:r>
      <w:r w:rsidR="00D04A75">
        <w:rPr>
          <w:rFonts w:cs="Arial" w:hint="cs"/>
          <w:sz w:val="16"/>
          <w:szCs w:val="16"/>
          <w:rtl/>
        </w:rPr>
        <w:t>(</w:t>
      </w:r>
      <w:r w:rsidR="00CA74A0">
        <w:rPr>
          <w:rFonts w:cs="Arial" w:hint="cs"/>
          <w:sz w:val="16"/>
          <w:szCs w:val="16"/>
          <w:rtl/>
        </w:rPr>
        <w:t>ע: ד"ה ירושלמי</w:t>
      </w:r>
      <w:r w:rsidR="00D04A75">
        <w:rPr>
          <w:rFonts w:cs="Arial" w:hint="cs"/>
          <w:sz w:val="16"/>
          <w:szCs w:val="16"/>
          <w:rtl/>
        </w:rPr>
        <w:t xml:space="preserve">) </w:t>
      </w:r>
      <w:r w:rsidRPr="004A69A4">
        <w:rPr>
          <w:rFonts w:cs="Arial"/>
          <w:rtl/>
        </w:rPr>
        <w:t>ור"ן</w:t>
      </w:r>
      <w:r w:rsidR="00F30D75">
        <w:rPr>
          <w:rFonts w:cs="Arial" w:hint="cs"/>
          <w:sz w:val="16"/>
          <w:szCs w:val="16"/>
          <w:rtl/>
        </w:rPr>
        <w:t xml:space="preserve"> (כ"כ הב"י בשמ</w:t>
      </w:r>
      <w:r w:rsidR="00507CCF">
        <w:rPr>
          <w:rFonts w:cs="Arial" w:hint="cs"/>
          <w:sz w:val="16"/>
          <w:szCs w:val="16"/>
          <w:rtl/>
        </w:rPr>
        <w:t>ו</w:t>
      </w:r>
      <w:r w:rsidR="00F30D75">
        <w:rPr>
          <w:rFonts w:cs="Arial" w:hint="cs"/>
          <w:sz w:val="16"/>
          <w:szCs w:val="16"/>
          <w:rtl/>
        </w:rPr>
        <w:t>)</w:t>
      </w:r>
      <w:r w:rsidR="00A82951">
        <w:rPr>
          <w:rFonts w:cs="Arial" w:hint="cs"/>
          <w:rtl/>
        </w:rPr>
        <w:t>-</w:t>
      </w:r>
      <w:r w:rsidR="00F30D75">
        <w:rPr>
          <w:rFonts w:cs="Arial" w:hint="cs"/>
          <w:rtl/>
        </w:rPr>
        <w:t xml:space="preserve"> </w:t>
      </w:r>
      <w:r w:rsidR="00CA74A0" w:rsidRPr="00CA74A0">
        <w:rPr>
          <w:rFonts w:cs="Arial"/>
          <w:rtl/>
        </w:rPr>
        <w:t>ירושלמי</w:t>
      </w:r>
      <w:r w:rsidR="00B17361">
        <w:rPr>
          <w:rFonts w:cs="Arial" w:hint="cs"/>
          <w:rtl/>
        </w:rPr>
        <w:t xml:space="preserve"> (פ"ז ה"א)</w:t>
      </w:r>
      <w:r w:rsidR="00CA74A0" w:rsidRPr="00CA74A0">
        <w:rPr>
          <w:rFonts w:cs="Arial"/>
          <w:rtl/>
        </w:rPr>
        <w:t xml:space="preserve"> נתן לה את גיטה ואמר לא יהא גט אלא למחר ונעשה קורדיקוס כפלוגתא דר' יוחנן ורשב"ל ע"כ, ומכאן נראה דאפילו כתבוהו בעודו שפוי ונעשה קורדיקוס בשעת נתינה לגירושין פסול לר' יוחנן, וא"כ חולה צריך בדיקה בין בשעת כתיבה בין בשעת נתינה</w:t>
      </w:r>
      <w:r w:rsidR="00F30D75">
        <w:rPr>
          <w:rStyle w:val="a7"/>
          <w:rFonts w:cs="Arial"/>
          <w:rtl/>
        </w:rPr>
        <w:footnoteReference w:id="284"/>
      </w:r>
      <w:r w:rsidR="00D87A03">
        <w:rPr>
          <w:rFonts w:cs="Arial" w:hint="cs"/>
          <w:sz w:val="16"/>
          <w:szCs w:val="16"/>
          <w:rtl/>
        </w:rPr>
        <w:t xml:space="preserve"> (ל' הרשב"א)</w:t>
      </w:r>
      <w:r w:rsidR="004A69A4" w:rsidRPr="00F30D75">
        <w:rPr>
          <w:rFonts w:cs="Arial" w:hint="cs"/>
          <w:rtl/>
        </w:rPr>
        <w:t>.</w:t>
      </w:r>
      <w:r w:rsidRPr="00F30D75">
        <w:rPr>
          <w:rFonts w:cs="Arial"/>
          <w:rtl/>
        </w:rPr>
        <w:t xml:space="preserve"> </w:t>
      </w:r>
      <w:r w:rsidR="00166EFE" w:rsidRPr="00544E63">
        <w:rPr>
          <w:rFonts w:hint="cs"/>
          <w:color w:val="E36C0A" w:themeColor="accent6" w:themeShade="BF"/>
          <w:rtl/>
        </w:rPr>
        <w:t>(וכ"פ בשו"ע</w:t>
      </w:r>
      <w:r w:rsidR="00166EFE">
        <w:rPr>
          <w:rFonts w:hint="cs"/>
          <w:color w:val="E36C0A" w:themeColor="accent6" w:themeShade="BF"/>
          <w:rtl/>
        </w:rPr>
        <w:t>)</w:t>
      </w:r>
    </w:p>
    <w:p w14:paraId="64EDE9E0" w14:textId="129BE844" w:rsidR="00166EFE" w:rsidRPr="0065681E" w:rsidRDefault="00685F79" w:rsidP="0065681E">
      <w:pPr>
        <w:ind w:left="720"/>
        <w:rPr>
          <w:u w:val="wave"/>
        </w:rPr>
      </w:pPr>
      <w:r w:rsidRPr="0065681E">
        <w:rPr>
          <w:rFonts w:hint="cs"/>
          <w:u w:val="wave"/>
          <w:rtl/>
        </w:rPr>
        <w:t>ו</w:t>
      </w:r>
      <w:r w:rsidR="00166EFE" w:rsidRPr="0065681E">
        <w:rPr>
          <w:rFonts w:hint="cs"/>
          <w:u w:val="wave"/>
          <w:rtl/>
        </w:rPr>
        <w:t>מה הדין</w:t>
      </w:r>
      <w:r w:rsidR="0065681E" w:rsidRPr="0065681E">
        <w:rPr>
          <w:rFonts w:hint="cs"/>
          <w:u w:val="wave"/>
          <w:rtl/>
        </w:rPr>
        <w:t xml:space="preserve"> אם</w:t>
      </w:r>
      <w:r w:rsidR="00166EFE" w:rsidRPr="0065681E">
        <w:rPr>
          <w:rFonts w:hint="cs"/>
          <w:u w:val="wave"/>
          <w:rtl/>
        </w:rPr>
        <w:t xml:space="preserve"> </w:t>
      </w:r>
      <w:r w:rsidR="00662803" w:rsidRPr="0065681E">
        <w:rPr>
          <w:rFonts w:hint="cs"/>
          <w:u w:val="wave"/>
          <w:rtl/>
        </w:rPr>
        <w:t xml:space="preserve">ציוה השכיב מרע מתוך בוריו והלכו לכתוב ולא בדקו אח"כ אם </w:t>
      </w:r>
      <w:r w:rsidRPr="0065681E">
        <w:rPr>
          <w:rFonts w:hint="cs"/>
          <w:u w:val="wave"/>
          <w:rtl/>
        </w:rPr>
        <w:t>נתקלקל</w:t>
      </w:r>
      <w:r w:rsidR="00166EFE" w:rsidRPr="0065681E">
        <w:rPr>
          <w:rFonts w:hint="cs"/>
          <w:u w:val="wave"/>
          <w:rtl/>
        </w:rPr>
        <w:t xml:space="preserve">: </w:t>
      </w:r>
    </w:p>
    <w:p w14:paraId="66098012" w14:textId="2B694A81" w:rsidR="00823E67" w:rsidRPr="00823E67" w:rsidRDefault="00166EFE" w:rsidP="00A65C5F">
      <w:pPr>
        <w:pStyle w:val="ab"/>
        <w:numPr>
          <w:ilvl w:val="0"/>
          <w:numId w:val="30"/>
        </w:numPr>
      </w:pPr>
      <w:r>
        <w:rPr>
          <w:rFonts w:cs="Arial" w:hint="cs"/>
          <w:rtl/>
        </w:rPr>
        <w:t>ב"י</w:t>
      </w:r>
      <w:r w:rsidR="00A82951">
        <w:rPr>
          <w:rFonts w:cs="Arial" w:hint="cs"/>
          <w:rtl/>
        </w:rPr>
        <w:t>-</w:t>
      </w:r>
      <w:r>
        <w:rPr>
          <w:rFonts w:cs="Arial" w:hint="cs"/>
          <w:rtl/>
        </w:rPr>
        <w:t xml:space="preserve"> </w:t>
      </w:r>
      <w:r>
        <w:rPr>
          <w:rFonts w:cs="Arial"/>
          <w:rtl/>
        </w:rPr>
        <w:t>אפשר דהיכא שלא בדקו השכיב מרע וכתבו הגט על פיו בדיעבד מודים התוספות והרא"ש דכשר</w:t>
      </w:r>
      <w:r w:rsidR="009D0176">
        <w:rPr>
          <w:rFonts w:cs="Arial" w:hint="cs"/>
          <w:rtl/>
        </w:rPr>
        <w:t>,</w:t>
      </w:r>
      <w:r>
        <w:rPr>
          <w:rFonts w:cs="Arial"/>
          <w:rtl/>
        </w:rPr>
        <w:t xml:space="preserve"> דטוב ליזהר לכתחלה משמע</w:t>
      </w:r>
      <w:r>
        <w:rPr>
          <w:rStyle w:val="a7"/>
          <w:rFonts w:cs="Arial"/>
          <w:rtl/>
        </w:rPr>
        <w:footnoteReference w:id="285"/>
      </w:r>
      <w:r>
        <w:rPr>
          <w:rFonts w:cs="Arial"/>
          <w:rtl/>
        </w:rPr>
        <w:t>. ואפשר דאפילו בנשתתק מתוך חליו ולא בדקוהו מודים דכשר בדיעבד היכא דלא אפשר</w:t>
      </w:r>
      <w:r>
        <w:rPr>
          <w:rFonts w:cs="Arial" w:hint="cs"/>
          <w:rtl/>
        </w:rPr>
        <w:t>,</w:t>
      </w:r>
      <w:r>
        <w:rPr>
          <w:rFonts w:cs="Arial"/>
          <w:rtl/>
        </w:rPr>
        <w:t xml:space="preserve"> כעובדא דבעל העיטור</w:t>
      </w:r>
      <w:r>
        <w:rPr>
          <w:rFonts w:cs="Arial" w:hint="cs"/>
          <w:rtl/>
        </w:rPr>
        <w:t>.</w:t>
      </w:r>
      <w:r>
        <w:rPr>
          <w:rFonts w:cs="Arial"/>
          <w:rtl/>
        </w:rPr>
        <w:t xml:space="preserve"> ומיהו בנשתתק מתוך בוריו משמע דאפילו בעל העיטור מודה דבעי בדיקה</w:t>
      </w:r>
      <w:r>
        <w:rPr>
          <w:rFonts w:cs="Arial" w:hint="cs"/>
          <w:rtl/>
        </w:rPr>
        <w:t>,</w:t>
      </w:r>
      <w:r>
        <w:rPr>
          <w:rFonts w:cs="Arial"/>
          <w:rtl/>
        </w:rPr>
        <w:t xml:space="preserve"> ואם לא בדקוהו נראה דמידי ספיקא לא נפקא</w:t>
      </w:r>
      <w:r w:rsidR="002736DB">
        <w:rPr>
          <w:rStyle w:val="a7"/>
          <w:rFonts w:cs="Arial"/>
          <w:rtl/>
        </w:rPr>
        <w:footnoteReference w:id="286"/>
      </w:r>
      <w:r>
        <w:rPr>
          <w:rFonts w:cs="Arial"/>
          <w:rtl/>
        </w:rPr>
        <w:t xml:space="preserve">. </w:t>
      </w:r>
    </w:p>
    <w:p w14:paraId="58B776F5" w14:textId="674BD0F1" w:rsidR="00823E67" w:rsidRPr="00823E67" w:rsidRDefault="00823E67" w:rsidP="00823E67">
      <w:pPr>
        <w:rPr>
          <w:u w:val="single"/>
        </w:rPr>
      </w:pPr>
      <w:r w:rsidRPr="00823E67">
        <w:rPr>
          <w:rFonts w:cs="Arial"/>
          <w:u w:val="single"/>
          <w:rtl/>
        </w:rPr>
        <w:t>נתברר לנו שהיה מטורף בשעת ציווי</w:t>
      </w:r>
      <w:r>
        <w:rPr>
          <w:rFonts w:cs="Arial" w:hint="cs"/>
          <w:u w:val="single"/>
          <w:rtl/>
        </w:rPr>
        <w:t>/כתיבה/חתימה/נתינה</w:t>
      </w:r>
      <w:r w:rsidRPr="00823E67">
        <w:rPr>
          <w:rFonts w:hint="cs"/>
          <w:u w:val="single"/>
          <w:rtl/>
        </w:rPr>
        <w:t>:</w:t>
      </w:r>
    </w:p>
    <w:p w14:paraId="741D9D94" w14:textId="70A62284" w:rsidR="00C64574" w:rsidRPr="00C64574" w:rsidRDefault="00823E67" w:rsidP="00A65C5F">
      <w:pPr>
        <w:pStyle w:val="ab"/>
        <w:numPr>
          <w:ilvl w:val="0"/>
          <w:numId w:val="30"/>
        </w:numPr>
      </w:pPr>
      <w:r>
        <w:rPr>
          <w:rFonts w:cs="Arial" w:hint="cs"/>
          <w:rtl/>
        </w:rPr>
        <w:t>ב"י</w:t>
      </w:r>
      <w:r w:rsidR="00A82951">
        <w:rPr>
          <w:rFonts w:cs="Arial" w:hint="cs"/>
          <w:rtl/>
        </w:rPr>
        <w:t>-</w:t>
      </w:r>
      <w:r>
        <w:rPr>
          <w:rFonts w:cs="Arial" w:hint="cs"/>
          <w:rtl/>
        </w:rPr>
        <w:t xml:space="preserve"> </w:t>
      </w:r>
      <w:r>
        <w:rPr>
          <w:rFonts w:cs="Arial"/>
          <w:rtl/>
        </w:rPr>
        <w:t xml:space="preserve">והיכא שנתברר לנו שהיה מטורף בשעת ציווי או בשעת כתיבה וחתימה </w:t>
      </w:r>
      <w:r w:rsidR="00A82951">
        <w:rPr>
          <w:rFonts w:cs="Arial" w:hint="cs"/>
          <w:rtl/>
        </w:rPr>
        <w:t>-</w:t>
      </w:r>
      <w:r>
        <w:rPr>
          <w:rFonts w:cs="Arial" w:hint="cs"/>
          <w:rtl/>
        </w:rPr>
        <w:t xml:space="preserve"> </w:t>
      </w:r>
      <w:r>
        <w:rPr>
          <w:rFonts w:cs="Arial"/>
          <w:rtl/>
        </w:rPr>
        <w:t>בטל הוא לכולי עלמא</w:t>
      </w:r>
      <w:r w:rsidR="003D3BC2">
        <w:rPr>
          <w:rStyle w:val="a7"/>
          <w:rFonts w:cs="Arial"/>
          <w:rtl/>
        </w:rPr>
        <w:footnoteReference w:id="287"/>
      </w:r>
      <w:r>
        <w:rPr>
          <w:rFonts w:cs="Arial" w:hint="cs"/>
          <w:rtl/>
        </w:rPr>
        <w:t>.</w:t>
      </w:r>
      <w:r>
        <w:rPr>
          <w:rFonts w:cs="Arial"/>
          <w:rtl/>
        </w:rPr>
        <w:t xml:space="preserve"> </w:t>
      </w:r>
      <w:r w:rsidR="00166EFE">
        <w:rPr>
          <w:rFonts w:cs="Arial"/>
          <w:rtl/>
        </w:rPr>
        <w:t>ונראה דהוא הדין להיה מטורף בשעת נתינה לדברי המצריכים לבודקו בשעת נתינה</w:t>
      </w:r>
      <w:r w:rsidR="00166EFE">
        <w:rPr>
          <w:rFonts w:cs="Arial" w:hint="cs"/>
          <w:rtl/>
        </w:rPr>
        <w:t>.</w:t>
      </w:r>
      <w:r w:rsidR="00166EFE">
        <w:rPr>
          <w:rFonts w:cs="Arial"/>
          <w:rtl/>
        </w:rPr>
        <w:t xml:space="preserve"> מיהו לדברי התוספות שכתב הרשב"א שאין צריך </w:t>
      </w:r>
      <w:r w:rsidR="00A82951">
        <w:rPr>
          <w:rFonts w:cs="Arial" w:hint="cs"/>
          <w:rtl/>
        </w:rPr>
        <w:t>-</w:t>
      </w:r>
      <w:r w:rsidR="00166EFE">
        <w:rPr>
          <w:rFonts w:cs="Arial" w:hint="cs"/>
          <w:rtl/>
        </w:rPr>
        <w:t xml:space="preserve"> </w:t>
      </w:r>
      <w:r w:rsidR="00166EFE">
        <w:rPr>
          <w:rFonts w:cs="Arial"/>
          <w:rtl/>
        </w:rPr>
        <w:t>צריך עיון</w:t>
      </w:r>
      <w:r w:rsidR="00166EFE">
        <w:rPr>
          <w:rFonts w:cs="Arial" w:hint="cs"/>
          <w:rtl/>
        </w:rPr>
        <w:t>.</w:t>
      </w:r>
      <w:r w:rsidR="00166EFE">
        <w:rPr>
          <w:rFonts w:cs="Arial"/>
          <w:rtl/>
        </w:rPr>
        <w:t xml:space="preserve"> </w:t>
      </w:r>
    </w:p>
    <w:p w14:paraId="5794BF16" w14:textId="329027AE" w:rsidR="00C64574" w:rsidRPr="00C64574" w:rsidRDefault="00C64574" w:rsidP="00C64574">
      <w:pPr>
        <w:rPr>
          <w:u w:val="single"/>
        </w:rPr>
      </w:pPr>
      <w:r w:rsidRPr="00C64574">
        <w:rPr>
          <w:rFonts w:cs="Arial"/>
          <w:u w:val="single"/>
          <w:rtl/>
        </w:rPr>
        <w:t>התחילו לכתבו כשהיה שפוי</w:t>
      </w:r>
      <w:r w:rsidRPr="00C64574">
        <w:rPr>
          <w:rFonts w:cs="Arial" w:hint="cs"/>
          <w:u w:val="single"/>
          <w:rtl/>
        </w:rPr>
        <w:t>,</w:t>
      </w:r>
      <w:r w:rsidRPr="00C64574">
        <w:rPr>
          <w:rFonts w:cs="Arial"/>
          <w:u w:val="single"/>
          <w:rtl/>
        </w:rPr>
        <w:t xml:space="preserve"> ונתקלקל</w:t>
      </w:r>
      <w:r w:rsidRPr="00C64574">
        <w:rPr>
          <w:rFonts w:cs="Arial" w:hint="cs"/>
          <w:u w:val="single"/>
          <w:rtl/>
        </w:rPr>
        <w:t>,</w:t>
      </w:r>
      <w:r w:rsidRPr="00C64574">
        <w:rPr>
          <w:rFonts w:cs="Arial"/>
          <w:u w:val="single"/>
          <w:rtl/>
        </w:rPr>
        <w:t xml:space="preserve"> וחזר ונשתפה</w:t>
      </w:r>
      <w:r w:rsidRPr="00C64574">
        <w:rPr>
          <w:rFonts w:cs="Arial" w:hint="cs"/>
          <w:u w:val="single"/>
          <w:rtl/>
        </w:rPr>
        <w:t>:</w:t>
      </w:r>
    </w:p>
    <w:p w14:paraId="16321C48" w14:textId="4CCD9D71" w:rsidR="00166EFE" w:rsidRDefault="00C64574" w:rsidP="00A65C5F">
      <w:pPr>
        <w:pStyle w:val="ab"/>
        <w:numPr>
          <w:ilvl w:val="0"/>
          <w:numId w:val="30"/>
        </w:numPr>
      </w:pPr>
      <w:r>
        <w:rPr>
          <w:rFonts w:cs="Arial" w:hint="cs"/>
          <w:rtl/>
        </w:rPr>
        <w:t>ב"י</w:t>
      </w:r>
      <w:r w:rsidR="00A82951">
        <w:rPr>
          <w:rFonts w:cs="Arial" w:hint="cs"/>
          <w:rtl/>
        </w:rPr>
        <w:t>-</w:t>
      </w:r>
      <w:r>
        <w:rPr>
          <w:rFonts w:cs="Arial" w:hint="cs"/>
          <w:rtl/>
        </w:rPr>
        <w:t xml:space="preserve"> </w:t>
      </w:r>
      <w:r w:rsidR="00166EFE">
        <w:rPr>
          <w:rFonts w:cs="Arial"/>
          <w:rtl/>
        </w:rPr>
        <w:t>ולענין אם התחילו לכתבו כשהיה שפוי</w:t>
      </w:r>
      <w:r w:rsidR="00166EFE">
        <w:rPr>
          <w:rFonts w:cs="Arial" w:hint="cs"/>
          <w:rtl/>
        </w:rPr>
        <w:t>,</w:t>
      </w:r>
      <w:r w:rsidR="00166EFE">
        <w:rPr>
          <w:rFonts w:cs="Arial"/>
          <w:rtl/>
        </w:rPr>
        <w:t xml:space="preserve"> ונתקלקל והניחו מלכתוב</w:t>
      </w:r>
      <w:r w:rsidR="00166EFE">
        <w:rPr>
          <w:rFonts w:cs="Arial" w:hint="cs"/>
          <w:rtl/>
        </w:rPr>
        <w:t>,</w:t>
      </w:r>
      <w:r w:rsidR="00166EFE">
        <w:rPr>
          <w:rFonts w:cs="Arial"/>
          <w:rtl/>
        </w:rPr>
        <w:t xml:space="preserve"> וחזר ונשתפה וגמרו הכתיבה</w:t>
      </w:r>
      <w:r w:rsidR="00166EFE">
        <w:rPr>
          <w:rFonts w:cs="Arial" w:hint="cs"/>
          <w:rtl/>
        </w:rPr>
        <w:t>,</w:t>
      </w:r>
      <w:r w:rsidR="00166EFE">
        <w:rPr>
          <w:rFonts w:cs="Arial"/>
          <w:rtl/>
        </w:rPr>
        <w:t xml:space="preserve"> נראה לי דלפי מה שהוכחתי בתחלת דבור זה דשטותו אינו מבטל לא דברים ולא מעשים הראשונים הכא נמי דכוותיה אע</w:t>
      </w:r>
      <w:r w:rsidR="00166EFE">
        <w:rPr>
          <w:rFonts w:cs="Arial" w:hint="cs"/>
          <w:rtl/>
        </w:rPr>
        <w:t>"</w:t>
      </w:r>
      <w:r w:rsidR="00166EFE">
        <w:rPr>
          <w:rFonts w:cs="Arial"/>
          <w:rtl/>
        </w:rPr>
        <w:t xml:space="preserve">פ שנתקלקל עתה מה שכתבו בעודו שפוי </w:t>
      </w:r>
      <w:r w:rsidR="00A82951">
        <w:rPr>
          <w:rFonts w:cs="Arial" w:hint="cs"/>
          <w:rtl/>
        </w:rPr>
        <w:t>-</w:t>
      </w:r>
      <w:r w:rsidR="00166EFE">
        <w:rPr>
          <w:rFonts w:cs="Arial" w:hint="cs"/>
          <w:rtl/>
        </w:rPr>
        <w:t xml:space="preserve"> </w:t>
      </w:r>
      <w:r w:rsidR="00166EFE">
        <w:rPr>
          <w:rFonts w:cs="Arial"/>
          <w:rtl/>
        </w:rPr>
        <w:t>כשר הוא וחוזר וגומר לכשישתפה</w:t>
      </w:r>
      <w:r w:rsidR="009B5222">
        <w:rPr>
          <w:rStyle w:val="a7"/>
          <w:rFonts w:cs="Arial"/>
          <w:rtl/>
        </w:rPr>
        <w:footnoteReference w:id="288"/>
      </w:r>
      <w:r w:rsidR="00166EFE">
        <w:rPr>
          <w:rFonts w:cs="Arial" w:hint="cs"/>
          <w:rtl/>
        </w:rPr>
        <w:t>.</w:t>
      </w:r>
    </w:p>
    <w:p w14:paraId="03883DAC" w14:textId="77777777" w:rsidR="00C944CE" w:rsidRPr="007B74F1" w:rsidRDefault="00C944CE" w:rsidP="00C944C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A5D42BE" w14:textId="0762E51B" w:rsidR="00486C31" w:rsidRDefault="00486C31" w:rsidP="00486C31">
      <w:pPr>
        <w:rPr>
          <w:rFonts w:cs="Arial"/>
          <w:rtl/>
        </w:rPr>
      </w:pPr>
      <w:r w:rsidRPr="00486C31">
        <w:rPr>
          <w:rFonts w:cs="Arial"/>
          <w:rtl/>
        </w:rPr>
        <w:t xml:space="preserve">שכיב מרע שמצוה לכתוב גט, צריך לדקדק בו שיהא שפוי בשעת כתיבה ובשעת נתינה. </w:t>
      </w:r>
      <w:r w:rsidRPr="007D267E">
        <w:rPr>
          <w:rFonts w:cs="Arial"/>
          <w:sz w:val="18"/>
          <w:szCs w:val="18"/>
          <w:rtl/>
        </w:rPr>
        <w:t>הגה: ואין צריך בדיקה כמו נשתתק, אלא בודקין אותו קצת לראות אם דעתו מיושבת עליו (ב"י).</w:t>
      </w:r>
      <w:r w:rsidRPr="00486C31">
        <w:rPr>
          <w:rFonts w:cs="Arial"/>
          <w:rtl/>
        </w:rPr>
        <w:t xml:space="preserve"> </w:t>
      </w:r>
    </w:p>
    <w:p w14:paraId="77FBF3F4" w14:textId="77777777" w:rsidR="007D267E" w:rsidRPr="00486C31" w:rsidRDefault="007D267E" w:rsidP="00486C31">
      <w:pPr>
        <w:rPr>
          <w:rFonts w:cs="Arial"/>
          <w:rtl/>
        </w:rPr>
      </w:pPr>
    </w:p>
    <w:p w14:paraId="16D670FB" w14:textId="075C79E3" w:rsidR="00486C31" w:rsidRDefault="00486C31" w:rsidP="00786DE6">
      <w:pPr>
        <w:pStyle w:val="2"/>
        <w:rPr>
          <w:rtl/>
        </w:rPr>
      </w:pPr>
      <w:r w:rsidRPr="00486C31">
        <w:rPr>
          <w:rtl/>
        </w:rPr>
        <w:lastRenderedPageBreak/>
        <w:t>סעיף ה</w:t>
      </w:r>
      <w:r w:rsidR="002736DB">
        <w:rPr>
          <w:rFonts w:hint="cs"/>
          <w:rtl/>
        </w:rPr>
        <w:t>:</w:t>
      </w:r>
      <w:r w:rsidR="00091836">
        <w:rPr>
          <w:rFonts w:hint="cs"/>
          <w:rtl/>
        </w:rPr>
        <w:t xml:space="preserve"> נשתתק.</w:t>
      </w:r>
    </w:p>
    <w:p w14:paraId="625A451F" w14:textId="1D9CAE6B" w:rsidR="00E023DF" w:rsidRDefault="0065171F" w:rsidP="0065171F">
      <w:pPr>
        <w:rPr>
          <w:rFonts w:cs="Arial"/>
          <w:rtl/>
        </w:rPr>
      </w:pPr>
      <w:r w:rsidRPr="00573889">
        <w:rPr>
          <w:rFonts w:cs="Arial" w:hint="cs"/>
          <w:b/>
          <w:bCs/>
          <w:rtl/>
        </w:rPr>
        <w:t xml:space="preserve">גיטין </w:t>
      </w:r>
      <w:r w:rsidRPr="00573889">
        <w:rPr>
          <w:rFonts w:cs="Arial" w:hint="cs"/>
          <w:b/>
          <w:bCs/>
          <w:sz w:val="16"/>
          <w:szCs w:val="16"/>
          <w:rtl/>
        </w:rPr>
        <w:t>(</w:t>
      </w:r>
      <w:r>
        <w:rPr>
          <w:rFonts w:cs="Arial" w:hint="cs"/>
          <w:b/>
          <w:bCs/>
          <w:sz w:val="16"/>
          <w:szCs w:val="16"/>
          <w:rtl/>
        </w:rPr>
        <w:t>ר"פ מי שאחזו</w:t>
      </w:r>
      <w:r w:rsidRPr="00573889">
        <w:rPr>
          <w:rFonts w:cs="Arial" w:hint="cs"/>
          <w:b/>
          <w:bCs/>
          <w:sz w:val="16"/>
          <w:szCs w:val="16"/>
          <w:rtl/>
        </w:rPr>
        <w:t>)</w:t>
      </w:r>
      <w:r w:rsidRPr="00573889">
        <w:rPr>
          <w:rFonts w:cs="Arial" w:hint="cs"/>
          <w:b/>
          <w:bCs/>
          <w:rtl/>
        </w:rPr>
        <w:t xml:space="preserve"> </w:t>
      </w:r>
      <w:r>
        <w:rPr>
          <w:rFonts w:cs="Arial" w:hint="cs"/>
          <w:b/>
          <w:bCs/>
          <w:rtl/>
        </w:rPr>
        <w:t>סז</w:t>
      </w:r>
      <w:r w:rsidRPr="00573889">
        <w:rPr>
          <w:rFonts w:cs="Arial" w:hint="cs"/>
          <w:b/>
          <w:bCs/>
          <w:rtl/>
        </w:rPr>
        <w:t xml:space="preserve"> ע"</w:t>
      </w:r>
      <w:r>
        <w:rPr>
          <w:rFonts w:cs="Arial" w:hint="cs"/>
          <w:b/>
          <w:bCs/>
          <w:rtl/>
        </w:rPr>
        <w:t>ב</w:t>
      </w:r>
      <w:r w:rsidRPr="00573889">
        <w:rPr>
          <w:rFonts w:cs="Arial" w:hint="cs"/>
          <w:b/>
          <w:bCs/>
          <w:rtl/>
        </w:rPr>
        <w:t>:</w:t>
      </w:r>
      <w:r w:rsidRPr="00D1348C">
        <w:rPr>
          <w:rtl/>
        </w:rPr>
        <w:t xml:space="preserve"> </w:t>
      </w:r>
      <w:r w:rsidRPr="00003716">
        <w:rPr>
          <w:rFonts w:cs="Arial" w:hint="cs"/>
          <w:u w:val="double"/>
          <w:rtl/>
        </w:rPr>
        <w:t>מתני'</w:t>
      </w:r>
      <w:r>
        <w:rPr>
          <w:rFonts w:cs="Arial" w:hint="cs"/>
          <w:rtl/>
        </w:rPr>
        <w:t xml:space="preserve">:... </w:t>
      </w:r>
      <w:r w:rsidRPr="00D1348C">
        <w:rPr>
          <w:rFonts w:cs="Arial"/>
          <w:rtl/>
        </w:rPr>
        <w:t xml:space="preserve">נשתתק, ואמרו לו נכתוב גט לאשתך והרכין בראשו, בודקין אותו שלשה פעמים, אם אמר על לאו לאו ועל הן הן </w:t>
      </w:r>
      <w:r w:rsidR="00A82951">
        <w:rPr>
          <w:rFonts w:cs="Arial"/>
          <w:rtl/>
        </w:rPr>
        <w:t>-</w:t>
      </w:r>
      <w:r w:rsidRPr="00D1348C">
        <w:rPr>
          <w:rFonts w:cs="Arial"/>
          <w:rtl/>
        </w:rPr>
        <w:t xml:space="preserve"> הרי אלו יכתבו ויתנו</w:t>
      </w:r>
      <w:r w:rsidR="001E1EEA">
        <w:rPr>
          <w:rStyle w:val="a7"/>
          <w:rFonts w:cs="Arial"/>
          <w:rtl/>
        </w:rPr>
        <w:footnoteReference w:id="289"/>
      </w:r>
      <w:r w:rsidRPr="00D1348C">
        <w:rPr>
          <w:rFonts w:cs="Arial"/>
          <w:rtl/>
        </w:rPr>
        <w:t>.</w:t>
      </w:r>
      <w:r>
        <w:rPr>
          <w:rFonts w:cs="Arial" w:hint="cs"/>
          <w:rtl/>
        </w:rPr>
        <w:t xml:space="preserve">..     </w:t>
      </w:r>
      <w:r w:rsidRPr="00D1348C">
        <w:rPr>
          <w:rFonts w:cs="Arial"/>
          <w:rtl/>
        </w:rPr>
        <w:t xml:space="preserve"> </w:t>
      </w:r>
      <w:r>
        <w:rPr>
          <w:rFonts w:cs="Arial" w:hint="cs"/>
          <w:rtl/>
        </w:rPr>
        <w:t xml:space="preserve"> </w:t>
      </w:r>
      <w:r w:rsidRPr="00003716">
        <w:rPr>
          <w:rFonts w:cs="Arial" w:hint="cs"/>
          <w:u w:val="double"/>
          <w:rtl/>
        </w:rPr>
        <w:t>גמ'</w:t>
      </w:r>
      <w:r w:rsidRPr="00003716">
        <w:rPr>
          <w:rFonts w:cs="Arial" w:hint="cs"/>
          <w:sz w:val="14"/>
          <w:szCs w:val="14"/>
          <w:u w:val="double"/>
          <w:rtl/>
        </w:rPr>
        <w:t>(ע</w:t>
      </w:r>
      <w:r>
        <w:rPr>
          <w:rFonts w:cs="Arial" w:hint="cs"/>
          <w:sz w:val="14"/>
          <w:szCs w:val="14"/>
          <w:u w:val="double"/>
          <w:rtl/>
        </w:rPr>
        <w:t>:</w:t>
      </w:r>
      <w:r w:rsidRPr="00003716">
        <w:rPr>
          <w:rFonts w:cs="Arial" w:hint="cs"/>
          <w:sz w:val="14"/>
          <w:szCs w:val="14"/>
          <w:u w:val="double"/>
          <w:rtl/>
        </w:rPr>
        <w:t>)</w:t>
      </w:r>
      <w:r w:rsidRPr="00003716">
        <w:rPr>
          <w:rFonts w:cs="Arial" w:hint="cs"/>
          <w:u w:val="double"/>
          <w:rtl/>
        </w:rPr>
        <w:t>:</w:t>
      </w:r>
      <w:r>
        <w:rPr>
          <w:rFonts w:cs="Arial" w:hint="cs"/>
          <w:rtl/>
        </w:rPr>
        <w:t xml:space="preserve"> </w:t>
      </w:r>
      <w:r w:rsidRPr="00003716">
        <w:rPr>
          <w:rFonts w:cs="Arial"/>
          <w:rtl/>
        </w:rPr>
        <w:t>נשתתק, ואמרו לו נכתוב גט לאשתך כו'. וליחוש דלמא שיחיא דלאו לאו נקטיה</w:t>
      </w:r>
      <w:r w:rsidR="00DA273E">
        <w:rPr>
          <w:rStyle w:val="a7"/>
          <w:rFonts w:cs="Arial"/>
          <w:rtl/>
        </w:rPr>
        <w:footnoteReference w:id="290"/>
      </w:r>
      <w:r w:rsidRPr="00003716">
        <w:rPr>
          <w:rFonts w:cs="Arial"/>
          <w:rtl/>
        </w:rPr>
        <w:t xml:space="preserve">, אי נמי שיחיא דהן הן נקטיה! </w:t>
      </w:r>
      <w:r w:rsidRPr="002D1568">
        <w:rPr>
          <w:rFonts w:cs="Arial"/>
          <w:u w:val="single"/>
          <w:rtl/>
        </w:rPr>
        <w:t>א"ר יוסף בר מניומי אמר רב נחמן</w:t>
      </w:r>
      <w:r w:rsidRPr="00003716">
        <w:rPr>
          <w:rFonts w:cs="Arial"/>
          <w:rtl/>
        </w:rPr>
        <w:t>: דאמרינן ליה בסירוגין</w:t>
      </w:r>
      <w:r w:rsidR="00DA273E">
        <w:rPr>
          <w:rStyle w:val="a7"/>
          <w:rFonts w:cs="Arial"/>
          <w:rtl/>
        </w:rPr>
        <w:footnoteReference w:id="291"/>
      </w:r>
      <w:r w:rsidRPr="00003716">
        <w:rPr>
          <w:rFonts w:cs="Arial"/>
          <w:rtl/>
        </w:rPr>
        <w:t>. וליחוש דלמא שיחיא דסירוגין נקטיה! דאמרינן ליה חד לאו ותרין הן, ותרין לאו וחד הן</w:t>
      </w:r>
      <w:r w:rsidR="00DA273E">
        <w:rPr>
          <w:rStyle w:val="a7"/>
          <w:rFonts w:cs="Arial"/>
          <w:rtl/>
        </w:rPr>
        <w:footnoteReference w:id="292"/>
      </w:r>
      <w:r w:rsidRPr="00003716">
        <w:rPr>
          <w:rFonts w:cs="Arial"/>
          <w:rtl/>
        </w:rPr>
        <w:t xml:space="preserve">. </w:t>
      </w:r>
      <w:r w:rsidRPr="002D1568">
        <w:rPr>
          <w:rFonts w:cs="Arial"/>
          <w:u w:val="single"/>
          <w:rtl/>
        </w:rPr>
        <w:t>דבי רבי ישמעאל תנא</w:t>
      </w:r>
      <w:r w:rsidRPr="00003716">
        <w:rPr>
          <w:rFonts w:cs="Arial"/>
          <w:rtl/>
        </w:rPr>
        <w:t>: אומרים לו דברים של ימות החמה בימות הגשמים, ושל ימות הגשמים בימות החמה. מאי ניהו? אילימא גלופקרי וסדיני, ליחוש</w:t>
      </w:r>
      <w:r w:rsidR="00CE0653">
        <w:rPr>
          <w:rStyle w:val="a7"/>
          <w:rFonts w:cs="Arial"/>
          <w:rtl/>
        </w:rPr>
        <w:footnoteReference w:id="293"/>
      </w:r>
      <w:r w:rsidRPr="00003716">
        <w:rPr>
          <w:rFonts w:cs="Arial"/>
          <w:rtl/>
        </w:rPr>
        <w:t xml:space="preserve"> דלמא קורא אחדיה, א"נ חמה אחדיה!</w:t>
      </w:r>
      <w:r>
        <w:rPr>
          <w:rFonts w:hint="cs"/>
          <w:sz w:val="14"/>
          <w:szCs w:val="14"/>
          <w:rtl/>
        </w:rPr>
        <w:t xml:space="preserve"> (עא.) </w:t>
      </w:r>
      <w:r w:rsidRPr="00003716">
        <w:rPr>
          <w:rFonts w:cs="Arial"/>
          <w:rtl/>
        </w:rPr>
        <w:t>אלא בפירי</w:t>
      </w:r>
      <w:r w:rsidR="00E023DF">
        <w:rPr>
          <w:rStyle w:val="a7"/>
          <w:rFonts w:cs="Arial"/>
          <w:rtl/>
        </w:rPr>
        <w:footnoteReference w:id="294"/>
      </w:r>
      <w:r w:rsidRPr="00003716">
        <w:rPr>
          <w:rFonts w:cs="Arial"/>
          <w:rtl/>
        </w:rPr>
        <w:t>.</w:t>
      </w:r>
    </w:p>
    <w:p w14:paraId="17394A9F" w14:textId="075ECF16" w:rsidR="00737D83" w:rsidRDefault="00737D83" w:rsidP="00737D83">
      <w:pPr>
        <w:rPr>
          <w:rFonts w:cs="Arial"/>
          <w:rtl/>
        </w:rPr>
      </w:pPr>
      <w:r w:rsidRPr="00906F60">
        <w:rPr>
          <w:rFonts w:cs="Arial" w:hint="cs"/>
          <w:b/>
          <w:bCs/>
          <w:rtl/>
        </w:rPr>
        <w:t>ירושלמי גיטין פ"ז ה"א:</w:t>
      </w:r>
      <w:r>
        <w:rPr>
          <w:rFonts w:cs="Arial" w:hint="cs"/>
          <w:rtl/>
        </w:rPr>
        <w:t xml:space="preserve"> </w:t>
      </w:r>
      <w:r w:rsidRPr="00737D83">
        <w:rPr>
          <w:rFonts w:cs="Arial"/>
          <w:rtl/>
        </w:rPr>
        <w:t>ובלבד במסרגין לו. נכתוב גט לאשתך והוא אומר הין. לאמך והוא אומר לאו. לאשתך והוא אומר הין. לבתך והוא אומר לאו. לאשתך והוא אומר הין. לאחותיך והוא אומר לאו</w:t>
      </w:r>
      <w:r w:rsidR="008441BE">
        <w:rPr>
          <w:rStyle w:val="a7"/>
          <w:rFonts w:cs="Arial"/>
          <w:rtl/>
        </w:rPr>
        <w:footnoteReference w:id="295"/>
      </w:r>
      <w:r w:rsidRPr="00737D83">
        <w:rPr>
          <w:rFonts w:cs="Arial"/>
          <w:rtl/>
        </w:rPr>
        <w:t>.</w:t>
      </w:r>
      <w:r w:rsidR="00D74CA8" w:rsidRPr="00D74CA8">
        <w:rPr>
          <w:rtl/>
        </w:rPr>
        <w:t xml:space="preserve"> </w:t>
      </w:r>
    </w:p>
    <w:p w14:paraId="5A3627BF" w14:textId="0571E994" w:rsidR="00990894" w:rsidRPr="00990894" w:rsidRDefault="00990894" w:rsidP="00990894">
      <w:pPr>
        <w:rPr>
          <w:u w:val="single"/>
        </w:rPr>
      </w:pPr>
      <w:r w:rsidRPr="00990894">
        <w:rPr>
          <w:rFonts w:hint="cs"/>
          <w:u w:val="single"/>
          <w:rtl/>
        </w:rPr>
        <w:t xml:space="preserve">האם רבי ישמעאל </w:t>
      </w:r>
      <w:r w:rsidR="00FF5D29">
        <w:rPr>
          <w:rFonts w:hint="cs"/>
          <w:u w:val="single"/>
          <w:rtl/>
        </w:rPr>
        <w:t>בא לחלוק</w:t>
      </w:r>
      <w:r w:rsidRPr="00990894">
        <w:rPr>
          <w:rFonts w:hint="cs"/>
          <w:u w:val="single"/>
          <w:rtl/>
        </w:rPr>
        <w:t xml:space="preserve"> על רב נחמן</w:t>
      </w:r>
      <w:r w:rsidR="00FF5D29">
        <w:rPr>
          <w:rFonts w:hint="cs"/>
          <w:u w:val="single"/>
          <w:rtl/>
        </w:rPr>
        <w:t xml:space="preserve"> או להוסיף עליו</w:t>
      </w:r>
      <w:r w:rsidRPr="00990894">
        <w:rPr>
          <w:rFonts w:hint="cs"/>
          <w:u w:val="single"/>
          <w:rtl/>
        </w:rPr>
        <w:t>:</w:t>
      </w:r>
    </w:p>
    <w:p w14:paraId="0F0686F9" w14:textId="77548D58" w:rsidR="00E023DF" w:rsidRPr="00C76007" w:rsidRDefault="00990894" w:rsidP="00A65C5F">
      <w:pPr>
        <w:pStyle w:val="ab"/>
        <w:numPr>
          <w:ilvl w:val="0"/>
          <w:numId w:val="30"/>
        </w:numPr>
        <w:rPr>
          <w:rFonts w:cs="Arial"/>
          <w:rtl/>
        </w:rPr>
      </w:pPr>
      <w:r w:rsidRPr="00990894">
        <w:rPr>
          <w:rFonts w:cs="Arial" w:hint="cs"/>
          <w:rtl/>
        </w:rPr>
        <w:t xml:space="preserve">רי"ף </w:t>
      </w:r>
      <w:r w:rsidR="00FF5D29" w:rsidRPr="00FF5D29">
        <w:rPr>
          <w:rFonts w:cs="Arial"/>
          <w:sz w:val="16"/>
          <w:szCs w:val="16"/>
          <w:rtl/>
        </w:rPr>
        <w:t xml:space="preserve">(לד.) </w:t>
      </w:r>
      <w:r w:rsidRPr="00990894">
        <w:rPr>
          <w:rFonts w:cs="Arial" w:hint="cs"/>
          <w:rtl/>
        </w:rPr>
        <w:t>רא"ש</w:t>
      </w:r>
      <w:r w:rsidR="00FF5D29">
        <w:rPr>
          <w:rFonts w:cs="Arial" w:hint="cs"/>
          <w:rtl/>
        </w:rPr>
        <w:t xml:space="preserve"> </w:t>
      </w:r>
      <w:r w:rsidR="00FF5D29" w:rsidRPr="00FF5D29">
        <w:rPr>
          <w:rFonts w:cs="Arial"/>
          <w:sz w:val="16"/>
          <w:szCs w:val="16"/>
          <w:rtl/>
        </w:rPr>
        <w:t>(פ"ו ס"ב</w:t>
      </w:r>
      <w:r w:rsidR="005575D4">
        <w:rPr>
          <w:rFonts w:cs="Arial" w:hint="cs"/>
          <w:sz w:val="16"/>
          <w:szCs w:val="16"/>
          <w:rtl/>
        </w:rPr>
        <w:t>, ובתוספותיו ע: ד"ה דברים</w:t>
      </w:r>
      <w:r w:rsidR="00FF5D29" w:rsidRPr="00FF5D29">
        <w:rPr>
          <w:rFonts w:cs="Arial"/>
          <w:sz w:val="16"/>
          <w:szCs w:val="16"/>
          <w:rtl/>
        </w:rPr>
        <w:t>)</w:t>
      </w:r>
      <w:r w:rsidR="005132F0">
        <w:rPr>
          <w:rFonts w:cs="Arial" w:hint="cs"/>
          <w:rtl/>
        </w:rPr>
        <w:t xml:space="preserve"> וטור</w:t>
      </w:r>
      <w:r w:rsidR="005132F0">
        <w:rPr>
          <w:rStyle w:val="a7"/>
          <w:rFonts w:cs="Arial"/>
          <w:rtl/>
        </w:rPr>
        <w:footnoteReference w:id="296"/>
      </w:r>
      <w:r w:rsidR="00A82951">
        <w:rPr>
          <w:rFonts w:cs="Arial" w:hint="cs"/>
          <w:rtl/>
        </w:rPr>
        <w:t>-</w:t>
      </w:r>
      <w:r w:rsidR="00C76007">
        <w:rPr>
          <w:rFonts w:cs="Arial" w:hint="cs"/>
          <w:rtl/>
        </w:rPr>
        <w:t xml:space="preserve"> </w:t>
      </w:r>
      <w:r w:rsidR="00C76007">
        <w:rPr>
          <w:rStyle w:val="a7"/>
          <w:rFonts w:cs="Arial"/>
          <w:rtl/>
        </w:rPr>
        <w:footnoteReference w:id="297"/>
      </w:r>
      <w:r w:rsidR="005E486B" w:rsidRPr="00C76007">
        <w:rPr>
          <w:rFonts w:cs="Arial"/>
          <w:rtl/>
        </w:rPr>
        <w:t>לא פליג רבי ישמעאל אמאי דפריש רב נחמן אמתניתין</w:t>
      </w:r>
      <w:r w:rsidR="00C76007">
        <w:rPr>
          <w:rFonts w:cs="Arial" w:hint="cs"/>
          <w:rtl/>
        </w:rPr>
        <w:t>,</w:t>
      </w:r>
      <w:r w:rsidR="005E486B" w:rsidRPr="00C76007">
        <w:rPr>
          <w:rFonts w:cs="Arial"/>
          <w:rtl/>
        </w:rPr>
        <w:t xml:space="preserve"> אלא דרב נחמן אתא לפרושי דבדקינן ליה בסירוגין ובחד לאו ותרין הן וכו'</w:t>
      </w:r>
      <w:r w:rsidR="00FF5D29" w:rsidRPr="00C76007">
        <w:rPr>
          <w:rFonts w:cs="Arial" w:hint="cs"/>
          <w:rtl/>
        </w:rPr>
        <w:t>...</w:t>
      </w:r>
      <w:r w:rsidR="005E486B" w:rsidRPr="00C76007">
        <w:rPr>
          <w:rFonts w:cs="Arial"/>
          <w:rtl/>
        </w:rPr>
        <w:t xml:space="preserve"> ורבי ישמעאל אתא למימר דבדקינן ליה בפירי וכיוצא בהם</w:t>
      </w:r>
      <w:r w:rsidR="00C76007" w:rsidRPr="00C76007">
        <w:rPr>
          <w:rFonts w:cs="Arial" w:hint="cs"/>
          <w:rtl/>
        </w:rPr>
        <w:t>...</w:t>
      </w:r>
      <w:r w:rsidR="005E486B" w:rsidRPr="00C76007">
        <w:rPr>
          <w:rFonts w:cs="Arial"/>
          <w:rtl/>
        </w:rPr>
        <w:t xml:space="preserve"> ואם כן בעינן לבודקו בפירות וכיוצא</w:t>
      </w:r>
      <w:r w:rsidR="005132F0">
        <w:rPr>
          <w:rStyle w:val="a7"/>
          <w:rFonts w:cs="Arial"/>
          <w:rtl/>
        </w:rPr>
        <w:footnoteReference w:id="298"/>
      </w:r>
      <w:r w:rsidR="005E486B" w:rsidRPr="00C76007">
        <w:rPr>
          <w:rFonts w:cs="Arial"/>
          <w:rtl/>
        </w:rPr>
        <w:t xml:space="preserve"> חד לאו ותרין הן וכו'</w:t>
      </w:r>
      <w:r w:rsidR="00C76007" w:rsidRPr="00C76007">
        <w:rPr>
          <w:rFonts w:cs="Arial" w:hint="cs"/>
          <w:sz w:val="16"/>
          <w:szCs w:val="16"/>
          <w:rtl/>
        </w:rPr>
        <w:t xml:space="preserve"> (ל' הב"י בשם</w:t>
      </w:r>
      <w:r w:rsidR="005132F0">
        <w:rPr>
          <w:rFonts w:cs="Arial" w:hint="cs"/>
          <w:sz w:val="16"/>
          <w:szCs w:val="16"/>
          <w:rtl/>
        </w:rPr>
        <w:t xml:space="preserve"> הרי"ף והרא"ש</w:t>
      </w:r>
      <w:r w:rsidR="00C76007" w:rsidRPr="00C76007">
        <w:rPr>
          <w:rFonts w:cs="Arial" w:hint="cs"/>
          <w:sz w:val="16"/>
          <w:szCs w:val="16"/>
          <w:rtl/>
        </w:rPr>
        <w:t>)</w:t>
      </w:r>
      <w:r w:rsidR="00CE0653">
        <w:rPr>
          <w:rFonts w:cs="Arial" w:hint="cs"/>
          <w:rtl/>
        </w:rPr>
        <w:t>.</w:t>
      </w:r>
      <w:r w:rsidR="009D77D8">
        <w:rPr>
          <w:rFonts w:cs="Arial" w:hint="cs"/>
          <w:rtl/>
        </w:rPr>
        <w:t xml:space="preserve"> </w:t>
      </w:r>
    </w:p>
    <w:p w14:paraId="4FFB7E42" w14:textId="27E4C6B7" w:rsidR="00990894" w:rsidRPr="00C76007" w:rsidRDefault="005575D4" w:rsidP="00A65C5F">
      <w:pPr>
        <w:pStyle w:val="ab"/>
        <w:numPr>
          <w:ilvl w:val="0"/>
          <w:numId w:val="30"/>
        </w:numPr>
        <w:rPr>
          <w:rFonts w:cs="Arial"/>
          <w:rtl/>
        </w:rPr>
      </w:pPr>
      <w:r>
        <w:rPr>
          <w:rFonts w:cs="Arial" w:hint="cs"/>
          <w:rtl/>
        </w:rPr>
        <w:t>ראב"ן</w:t>
      </w:r>
      <w:r>
        <w:rPr>
          <w:rStyle w:val="a7"/>
          <w:rFonts w:cs="Arial"/>
          <w:rtl/>
        </w:rPr>
        <w:footnoteReference w:id="299"/>
      </w:r>
      <w:r>
        <w:rPr>
          <w:rFonts w:cs="Arial" w:hint="cs"/>
          <w:rtl/>
        </w:rPr>
        <w:t xml:space="preserve"> </w:t>
      </w:r>
      <w:r>
        <w:rPr>
          <w:rFonts w:cs="Arial" w:hint="cs"/>
          <w:sz w:val="16"/>
          <w:szCs w:val="16"/>
          <w:rtl/>
        </w:rPr>
        <w:t xml:space="preserve">(גיטין ד"ה נשתתק ואמרו) </w:t>
      </w:r>
      <w:r w:rsidRPr="00990894">
        <w:rPr>
          <w:rFonts w:cs="Arial" w:hint="cs"/>
          <w:rtl/>
        </w:rPr>
        <w:t>תוס'</w:t>
      </w:r>
      <w:r>
        <w:rPr>
          <w:rFonts w:cs="Arial" w:hint="cs"/>
          <w:rtl/>
        </w:rPr>
        <w:t xml:space="preserve"> </w:t>
      </w:r>
      <w:r w:rsidRPr="00C76007">
        <w:rPr>
          <w:rFonts w:cs="Arial"/>
          <w:sz w:val="16"/>
          <w:szCs w:val="16"/>
          <w:rtl/>
        </w:rPr>
        <w:t>(ע: ד"ה דבי</w:t>
      </w:r>
      <w:r>
        <w:rPr>
          <w:rFonts w:cs="Arial" w:hint="cs"/>
          <w:sz w:val="16"/>
          <w:szCs w:val="16"/>
          <w:rtl/>
        </w:rPr>
        <w:t xml:space="preserve"> רבי ישמעאל תנא</w:t>
      </w:r>
      <w:r w:rsidRPr="00C76007">
        <w:rPr>
          <w:rFonts w:cs="Arial"/>
          <w:sz w:val="16"/>
          <w:szCs w:val="16"/>
          <w:rtl/>
        </w:rPr>
        <w:t>)</w:t>
      </w:r>
      <w:r>
        <w:rPr>
          <w:rFonts w:cs="Arial" w:hint="cs"/>
          <w:rtl/>
        </w:rPr>
        <w:t xml:space="preserve"> </w:t>
      </w:r>
      <w:r w:rsidRPr="00990894">
        <w:rPr>
          <w:rFonts w:cs="Arial"/>
          <w:rtl/>
        </w:rPr>
        <w:t>סמ"ק</w:t>
      </w:r>
      <w:r w:rsidR="00A71734">
        <w:rPr>
          <w:rStyle w:val="a7"/>
          <w:rFonts w:cs="Arial"/>
          <w:rtl/>
        </w:rPr>
        <w:footnoteReference w:id="300"/>
      </w:r>
      <w:r w:rsidRPr="00990894">
        <w:rPr>
          <w:rFonts w:cs="Arial"/>
          <w:rtl/>
        </w:rPr>
        <w:t xml:space="preserve"> </w:t>
      </w:r>
      <w:r w:rsidRPr="00877805">
        <w:rPr>
          <w:rFonts w:cs="Arial"/>
          <w:sz w:val="16"/>
          <w:szCs w:val="16"/>
          <w:rtl/>
        </w:rPr>
        <w:t>(סי' קפד נט ע"א)</w:t>
      </w:r>
      <w:r>
        <w:rPr>
          <w:rFonts w:cs="Arial" w:hint="cs"/>
          <w:rtl/>
        </w:rPr>
        <w:t xml:space="preserve"> ורי"ו</w:t>
      </w:r>
      <w:r w:rsidRPr="00990894">
        <w:rPr>
          <w:rFonts w:cs="Arial"/>
          <w:rtl/>
        </w:rPr>
        <w:t xml:space="preserve"> </w:t>
      </w:r>
      <w:r w:rsidRPr="00C76007">
        <w:rPr>
          <w:rFonts w:cs="Arial" w:hint="cs"/>
          <w:sz w:val="16"/>
          <w:szCs w:val="16"/>
          <w:rtl/>
        </w:rPr>
        <w:t>(</w:t>
      </w:r>
      <w:r w:rsidRPr="00C76007">
        <w:rPr>
          <w:rFonts w:cs="Arial"/>
          <w:sz w:val="16"/>
          <w:szCs w:val="16"/>
          <w:rtl/>
        </w:rPr>
        <w:t>ח</w:t>
      </w:r>
      <w:r w:rsidRPr="00C76007">
        <w:rPr>
          <w:rFonts w:cs="Arial" w:hint="cs"/>
          <w:sz w:val="16"/>
          <w:szCs w:val="16"/>
          <w:rtl/>
        </w:rPr>
        <w:t>"</w:t>
      </w:r>
      <w:r w:rsidRPr="00C76007">
        <w:rPr>
          <w:rFonts w:cs="Arial"/>
          <w:sz w:val="16"/>
          <w:szCs w:val="16"/>
          <w:rtl/>
        </w:rPr>
        <w:t>ו נכ"ד ריב ע"ג</w:t>
      </w:r>
      <w:r>
        <w:rPr>
          <w:rStyle w:val="a7"/>
          <w:rFonts w:cs="Arial"/>
          <w:sz w:val="16"/>
          <w:szCs w:val="16"/>
          <w:rtl/>
        </w:rPr>
        <w:footnoteReference w:id="301"/>
      </w:r>
      <w:r w:rsidRPr="00C76007">
        <w:rPr>
          <w:rFonts w:cs="Arial"/>
          <w:sz w:val="16"/>
          <w:szCs w:val="16"/>
          <w:rtl/>
        </w:rPr>
        <w:t>)</w:t>
      </w:r>
      <w:r w:rsidR="00A82951">
        <w:rPr>
          <w:rFonts w:cs="Arial" w:hint="cs"/>
          <w:rtl/>
        </w:rPr>
        <w:t>-</w:t>
      </w:r>
      <w:r w:rsidR="00990894" w:rsidRPr="00990894">
        <w:rPr>
          <w:rFonts w:cs="Arial" w:hint="cs"/>
          <w:rtl/>
        </w:rPr>
        <w:t xml:space="preserve"> </w:t>
      </w:r>
      <w:r w:rsidR="00C76007" w:rsidRPr="00C76007">
        <w:rPr>
          <w:rFonts w:cs="Arial"/>
          <w:rtl/>
        </w:rPr>
        <w:t>אין נראה לומר דפליגי</w:t>
      </w:r>
      <w:r w:rsidR="00C76007">
        <w:rPr>
          <w:rFonts w:cs="Arial" w:hint="cs"/>
          <w:rtl/>
        </w:rPr>
        <w:t>,</w:t>
      </w:r>
      <w:r w:rsidR="00C76007" w:rsidRPr="00C76007">
        <w:rPr>
          <w:rFonts w:cs="Arial"/>
          <w:rtl/>
        </w:rPr>
        <w:t xml:space="preserve"> דבדיקה דמתני' למה לא תועיל</w:t>
      </w:r>
      <w:r w:rsidR="00C76007">
        <w:rPr>
          <w:rFonts w:cs="Arial" w:hint="cs"/>
          <w:rtl/>
        </w:rPr>
        <w:t>,</w:t>
      </w:r>
      <w:r w:rsidR="00C76007" w:rsidRPr="00C76007">
        <w:rPr>
          <w:rFonts w:cs="Arial"/>
          <w:rtl/>
        </w:rPr>
        <w:t xml:space="preserve"> אלא דקתני בדיקה עדיפא טפי דליכא למימר ביה </w:t>
      </w:r>
      <w:r w:rsidR="00C76007" w:rsidRPr="00C76007">
        <w:rPr>
          <w:rFonts w:cs="Arial"/>
          <w:rtl/>
        </w:rPr>
        <w:lastRenderedPageBreak/>
        <w:t>דשיחיא דלאו לאו או דהן הן נקטיה</w:t>
      </w:r>
      <w:r w:rsidR="00C76007">
        <w:rPr>
          <w:rFonts w:cs="Arial" w:hint="cs"/>
          <w:rtl/>
        </w:rPr>
        <w:t>,</w:t>
      </w:r>
      <w:r w:rsidR="00C76007" w:rsidRPr="00C76007">
        <w:rPr>
          <w:rFonts w:cs="Arial"/>
          <w:rtl/>
        </w:rPr>
        <w:t xml:space="preserve"> שהיא חכמה גדולה כיון שאינו טועה בין ימות החמה לימות הגשמים</w:t>
      </w:r>
      <w:r w:rsidR="00C76007">
        <w:rPr>
          <w:rFonts w:cs="Arial" w:hint="cs"/>
          <w:rtl/>
        </w:rPr>
        <w:t>,</w:t>
      </w:r>
      <w:r w:rsidR="00C76007" w:rsidRPr="00C76007">
        <w:rPr>
          <w:rFonts w:cs="Arial"/>
          <w:rtl/>
        </w:rPr>
        <w:t xml:space="preserve"> אפילו בעינן שלשה לאו ושלשה הן</w:t>
      </w:r>
      <w:r w:rsidR="007403BE">
        <w:rPr>
          <w:rStyle w:val="a7"/>
          <w:rFonts w:cs="Arial"/>
          <w:rtl/>
        </w:rPr>
        <w:footnoteReference w:id="302"/>
      </w:r>
      <w:r w:rsidR="00C76007" w:rsidRPr="00C76007">
        <w:rPr>
          <w:rFonts w:cs="Arial"/>
          <w:rtl/>
        </w:rPr>
        <w:t xml:space="preserve"> סירוגין לא בעי</w:t>
      </w:r>
      <w:r w:rsidR="007403BE">
        <w:rPr>
          <w:rStyle w:val="a7"/>
          <w:rFonts w:cs="Arial"/>
          <w:rtl/>
        </w:rPr>
        <w:footnoteReference w:id="303"/>
      </w:r>
      <w:r w:rsidR="00A71734">
        <w:rPr>
          <w:rFonts w:cs="Arial" w:hint="cs"/>
          <w:sz w:val="16"/>
          <w:szCs w:val="16"/>
          <w:rtl/>
        </w:rPr>
        <w:t xml:space="preserve"> (ל' התוס')</w:t>
      </w:r>
      <w:r w:rsidR="00FF5D29">
        <w:rPr>
          <w:rFonts w:cs="Arial" w:hint="cs"/>
          <w:rtl/>
        </w:rPr>
        <w:t>.</w:t>
      </w:r>
      <w:r w:rsidR="005E486B" w:rsidRPr="00C76007">
        <w:rPr>
          <w:rFonts w:cs="Arial"/>
          <w:rtl/>
        </w:rPr>
        <w:t xml:space="preserve"> </w:t>
      </w:r>
    </w:p>
    <w:p w14:paraId="6671D01D" w14:textId="631A96EC" w:rsidR="005132F0" w:rsidRDefault="00D74CA8" w:rsidP="00A65C5F">
      <w:pPr>
        <w:pStyle w:val="ab"/>
        <w:numPr>
          <w:ilvl w:val="0"/>
          <w:numId w:val="30"/>
        </w:numPr>
        <w:rPr>
          <w:rFonts w:cs="Arial"/>
        </w:rPr>
      </w:pPr>
      <w:r>
        <w:rPr>
          <w:rFonts w:cs="Arial" w:hint="cs"/>
          <w:rtl/>
        </w:rPr>
        <w:t xml:space="preserve">ר"י </w:t>
      </w:r>
      <w:r w:rsidRPr="00D74CA8">
        <w:rPr>
          <w:rFonts w:cs="Arial" w:hint="cs"/>
          <w:sz w:val="16"/>
          <w:szCs w:val="16"/>
          <w:rtl/>
        </w:rPr>
        <w:t>(כ"כ בשמו ה</w:t>
      </w:r>
      <w:r w:rsidR="005E486B" w:rsidRPr="00D74CA8">
        <w:rPr>
          <w:rFonts w:cs="Arial"/>
          <w:sz w:val="16"/>
          <w:szCs w:val="16"/>
          <w:rtl/>
        </w:rPr>
        <w:t>מרדכי</w:t>
      </w:r>
      <w:r w:rsidRPr="00D74CA8">
        <w:rPr>
          <w:rFonts w:cs="Arial" w:hint="cs"/>
          <w:sz w:val="16"/>
          <w:szCs w:val="16"/>
          <w:rtl/>
        </w:rPr>
        <w:t xml:space="preserve"> [</w:t>
      </w:r>
      <w:r w:rsidR="005E486B" w:rsidRPr="00D74CA8">
        <w:rPr>
          <w:rFonts w:cs="Arial"/>
          <w:sz w:val="16"/>
          <w:szCs w:val="16"/>
          <w:rtl/>
        </w:rPr>
        <w:t>סי' תכב</w:t>
      </w:r>
      <w:r w:rsidRPr="00D74CA8">
        <w:rPr>
          <w:rFonts w:cs="Arial" w:hint="cs"/>
          <w:sz w:val="16"/>
          <w:szCs w:val="16"/>
          <w:rtl/>
        </w:rPr>
        <w:t>]</w:t>
      </w:r>
      <w:r w:rsidR="005E486B" w:rsidRPr="00D74CA8">
        <w:rPr>
          <w:rFonts w:cs="Arial"/>
          <w:sz w:val="16"/>
          <w:szCs w:val="16"/>
          <w:rtl/>
        </w:rPr>
        <w:t>)</w:t>
      </w:r>
      <w:r w:rsidR="00A82951">
        <w:rPr>
          <w:rFonts w:cs="Arial" w:hint="cs"/>
          <w:rtl/>
        </w:rPr>
        <w:t>-</w:t>
      </w:r>
      <w:r w:rsidR="005E486B" w:rsidRPr="00990894">
        <w:rPr>
          <w:rFonts w:cs="Arial"/>
          <w:rtl/>
        </w:rPr>
        <w:t xml:space="preserve"> </w:t>
      </w:r>
      <w:r w:rsidRPr="00D74CA8">
        <w:rPr>
          <w:rFonts w:cs="Arial"/>
          <w:rtl/>
        </w:rPr>
        <w:t>דבי רבי ישמעאל אבדיקה דמתני' פליג</w:t>
      </w:r>
      <w:r>
        <w:rPr>
          <w:rFonts w:cs="Arial" w:hint="cs"/>
          <w:rtl/>
        </w:rPr>
        <w:t>.</w:t>
      </w:r>
      <w:r w:rsidRPr="00D74CA8">
        <w:rPr>
          <w:rFonts w:cs="Arial"/>
          <w:rtl/>
        </w:rPr>
        <w:t xml:space="preserve"> דמתני' מצריך לבדוק בענין הגט כדמפרש בירושלמי כיצד בודקין לאו והן אומרים לו נכתוב גט לאשתך כו' כדלעיל</w:t>
      </w:r>
      <w:r>
        <w:rPr>
          <w:rFonts w:cs="Arial" w:hint="cs"/>
          <w:rtl/>
        </w:rPr>
        <w:t>.</w:t>
      </w:r>
      <w:r w:rsidRPr="00D74CA8">
        <w:rPr>
          <w:rFonts w:cs="Arial"/>
          <w:rtl/>
        </w:rPr>
        <w:t xml:space="preserve"> וא"ת למה לי בדיקה אחרת והלא בדיקה דמתני' טובה היא</w:t>
      </w:r>
      <w:r>
        <w:rPr>
          <w:rFonts w:cs="Arial" w:hint="cs"/>
          <w:rtl/>
        </w:rPr>
        <w:t>.</w:t>
      </w:r>
      <w:r w:rsidRPr="00D74CA8">
        <w:rPr>
          <w:rFonts w:cs="Arial"/>
          <w:rtl/>
        </w:rPr>
        <w:t xml:space="preserve"> ויש לומר דר' ישמעאל עדיף טפי דאין לומר שיחיא דהן ולאו נקטיה כיון שאין טועה כלל בין ימות החמה לימות הגשמים</w:t>
      </w:r>
      <w:r>
        <w:rPr>
          <w:rFonts w:cs="Arial" w:hint="cs"/>
          <w:rtl/>
        </w:rPr>
        <w:t>.</w:t>
      </w:r>
      <w:r w:rsidRPr="00D74CA8">
        <w:rPr>
          <w:rFonts w:cs="Arial"/>
          <w:rtl/>
        </w:rPr>
        <w:t xml:space="preserve"> ואפילו בעי שלשה לאו ושלשה הן</w:t>
      </w:r>
      <w:r>
        <w:rPr>
          <w:rFonts w:cs="Arial" w:hint="cs"/>
          <w:rtl/>
        </w:rPr>
        <w:t>,</w:t>
      </w:r>
      <w:r w:rsidRPr="00D74CA8">
        <w:rPr>
          <w:rFonts w:cs="Arial"/>
          <w:rtl/>
        </w:rPr>
        <w:t xml:space="preserve"> סרוגין לא בעי</w:t>
      </w:r>
      <w:r w:rsidR="003249D3">
        <w:rPr>
          <w:rStyle w:val="a7"/>
          <w:rFonts w:cs="Arial"/>
          <w:rtl/>
        </w:rPr>
        <w:footnoteReference w:id="304"/>
      </w:r>
      <w:r w:rsidR="007B1602" w:rsidRPr="003249D3">
        <w:rPr>
          <w:rFonts w:cs="Arial" w:hint="cs"/>
          <w:rtl/>
        </w:rPr>
        <w:t>.</w:t>
      </w:r>
      <w:r w:rsidR="0077345D" w:rsidRPr="005132F0">
        <w:rPr>
          <w:rFonts w:cs="Arial"/>
          <w:rtl/>
        </w:rPr>
        <w:t xml:space="preserve"> </w:t>
      </w:r>
    </w:p>
    <w:p w14:paraId="07386876" w14:textId="273F7EAE" w:rsidR="005E486B" w:rsidRPr="00357C30" w:rsidRDefault="005E486B" w:rsidP="00A65C5F">
      <w:pPr>
        <w:pStyle w:val="ab"/>
        <w:numPr>
          <w:ilvl w:val="0"/>
          <w:numId w:val="30"/>
        </w:numPr>
        <w:rPr>
          <w:rFonts w:cs="Arial"/>
          <w:rtl/>
        </w:rPr>
      </w:pPr>
      <w:r w:rsidRPr="005132F0">
        <w:rPr>
          <w:rFonts w:cs="Arial"/>
          <w:rtl/>
        </w:rPr>
        <w:t>רמב"ם</w:t>
      </w:r>
      <w:r w:rsidRPr="005132F0">
        <w:rPr>
          <w:rFonts w:cs="Arial"/>
          <w:sz w:val="16"/>
          <w:szCs w:val="16"/>
          <w:rtl/>
        </w:rPr>
        <w:t xml:space="preserve"> </w:t>
      </w:r>
      <w:r w:rsidR="005132F0" w:rsidRPr="005132F0">
        <w:rPr>
          <w:rFonts w:cs="Arial" w:hint="cs"/>
          <w:sz w:val="16"/>
          <w:szCs w:val="16"/>
          <w:rtl/>
        </w:rPr>
        <w:t>(</w:t>
      </w:r>
      <w:r w:rsidRPr="005132F0">
        <w:rPr>
          <w:rFonts w:cs="Arial"/>
          <w:sz w:val="16"/>
          <w:szCs w:val="16"/>
          <w:rtl/>
        </w:rPr>
        <w:t>פ</w:t>
      </w:r>
      <w:r w:rsidR="005132F0" w:rsidRPr="005132F0">
        <w:rPr>
          <w:rFonts w:cs="Arial" w:hint="cs"/>
          <w:sz w:val="16"/>
          <w:szCs w:val="16"/>
          <w:rtl/>
        </w:rPr>
        <w:t>"</w:t>
      </w:r>
      <w:r w:rsidRPr="005132F0">
        <w:rPr>
          <w:rFonts w:cs="Arial"/>
          <w:sz w:val="16"/>
          <w:szCs w:val="16"/>
          <w:rtl/>
        </w:rPr>
        <w:t>ב הט"ז)</w:t>
      </w:r>
      <w:r w:rsidR="00A82951">
        <w:rPr>
          <w:rFonts w:cs="Arial" w:hint="cs"/>
          <w:rtl/>
        </w:rPr>
        <w:t>-</w:t>
      </w:r>
      <w:r w:rsidRPr="005132F0">
        <w:rPr>
          <w:rFonts w:cs="Arial"/>
          <w:rtl/>
        </w:rPr>
        <w:t xml:space="preserve"> מי שנשתתק והרי דעתו נכונה ואמרו לו נכתוב גט לאשתך והרכין בראשו בודקין אותו שלשה</w:t>
      </w:r>
      <w:r w:rsidR="00FA6C5F">
        <w:rPr>
          <w:rStyle w:val="a7"/>
          <w:rFonts w:cs="Arial"/>
          <w:rtl/>
        </w:rPr>
        <w:footnoteReference w:id="305"/>
      </w:r>
      <w:r w:rsidRPr="005132F0">
        <w:rPr>
          <w:rFonts w:cs="Arial"/>
          <w:rtl/>
        </w:rPr>
        <w:t xml:space="preserve"> פעמים בסירוגין</w:t>
      </w:r>
      <w:r w:rsidR="00885B0A">
        <w:rPr>
          <w:rFonts w:cs="Arial" w:hint="cs"/>
          <w:rtl/>
        </w:rPr>
        <w:t>,</w:t>
      </w:r>
      <w:r w:rsidRPr="005132F0">
        <w:rPr>
          <w:rFonts w:cs="Arial"/>
          <w:rtl/>
        </w:rPr>
        <w:t xml:space="preserve"> אם אמר להם על לאו לאו ועל הן הן הרי אלו יכתבו ויתנו</w:t>
      </w:r>
      <w:r w:rsidR="00357C30">
        <w:rPr>
          <w:rStyle w:val="a7"/>
          <w:rFonts w:cs="Arial"/>
          <w:rtl/>
        </w:rPr>
        <w:footnoteReference w:id="306"/>
      </w:r>
      <w:r w:rsidR="00885B0A">
        <w:rPr>
          <w:rFonts w:cs="Arial" w:hint="cs"/>
          <w:rtl/>
        </w:rPr>
        <w:t>.</w:t>
      </w:r>
      <w:r w:rsidRPr="005132F0">
        <w:rPr>
          <w:rFonts w:cs="Arial"/>
          <w:rtl/>
        </w:rPr>
        <w:t xml:space="preserve"> וצריכים לבדקו יפה יפה שמא נטרפה דעתו</w:t>
      </w:r>
      <w:r w:rsidR="00357C30">
        <w:rPr>
          <w:rStyle w:val="a7"/>
          <w:rFonts w:cs="Arial"/>
          <w:rtl/>
        </w:rPr>
        <w:footnoteReference w:id="307"/>
      </w:r>
      <w:r w:rsidRPr="005132F0">
        <w:rPr>
          <w:rFonts w:cs="Arial"/>
          <w:rtl/>
        </w:rPr>
        <w:t>.</w:t>
      </w:r>
      <w:r w:rsidR="008811BF">
        <w:rPr>
          <w:rFonts w:cs="Arial" w:hint="cs"/>
          <w:rtl/>
        </w:rPr>
        <w:t xml:space="preserve"> </w:t>
      </w:r>
    </w:p>
    <w:p w14:paraId="6A1A615E" w14:textId="4DDB49B0" w:rsidR="00ED604A" w:rsidRPr="00B86581" w:rsidRDefault="00ED604A" w:rsidP="00B86581">
      <w:pPr>
        <w:ind w:left="360"/>
        <w:rPr>
          <w:u w:val="dotted"/>
        </w:rPr>
      </w:pPr>
      <w:r w:rsidRPr="00B86581">
        <w:rPr>
          <w:rFonts w:hint="cs"/>
          <w:u w:val="dotted"/>
          <w:rtl/>
        </w:rPr>
        <w:t xml:space="preserve">למעשה </w:t>
      </w:r>
      <w:r w:rsidR="00A82951" w:rsidRPr="00B86581">
        <w:rPr>
          <w:rFonts w:hint="cs"/>
          <w:u w:val="dotted"/>
          <w:rtl/>
        </w:rPr>
        <w:t>-</w:t>
      </w:r>
      <w:r w:rsidRPr="00B86581">
        <w:rPr>
          <w:rFonts w:hint="cs"/>
          <w:u w:val="dotted"/>
          <w:rtl/>
        </w:rPr>
        <w:t xml:space="preserve"> כיצד בודקין מי שנשתתק:</w:t>
      </w:r>
    </w:p>
    <w:p w14:paraId="11164FE8" w14:textId="6EB02801" w:rsidR="00ED604A" w:rsidRPr="00C76007" w:rsidRDefault="00ED604A" w:rsidP="00A65C5F">
      <w:pPr>
        <w:pStyle w:val="ab"/>
        <w:numPr>
          <w:ilvl w:val="0"/>
          <w:numId w:val="30"/>
        </w:numPr>
        <w:rPr>
          <w:rFonts w:cs="Arial"/>
          <w:rtl/>
        </w:rPr>
      </w:pPr>
      <w:r w:rsidRPr="00990894">
        <w:rPr>
          <w:rFonts w:cs="Arial" w:hint="cs"/>
          <w:rtl/>
        </w:rPr>
        <w:t xml:space="preserve">רי"ף </w:t>
      </w:r>
      <w:r w:rsidRPr="00FF5D29">
        <w:rPr>
          <w:rFonts w:cs="Arial"/>
          <w:sz w:val="16"/>
          <w:szCs w:val="16"/>
          <w:rtl/>
        </w:rPr>
        <w:t>(</w:t>
      </w:r>
      <w:r w:rsidR="00D34E55">
        <w:rPr>
          <w:rFonts w:cs="Arial" w:hint="cs"/>
          <w:sz w:val="16"/>
          <w:szCs w:val="16"/>
          <w:rtl/>
        </w:rPr>
        <w:t>שם</w:t>
      </w:r>
      <w:r w:rsidRPr="00FF5D29">
        <w:rPr>
          <w:rFonts w:cs="Arial"/>
          <w:sz w:val="16"/>
          <w:szCs w:val="16"/>
          <w:rtl/>
        </w:rPr>
        <w:t xml:space="preserve">) </w:t>
      </w:r>
      <w:r w:rsidRPr="00990894">
        <w:rPr>
          <w:rFonts w:cs="Arial" w:hint="cs"/>
          <w:rtl/>
        </w:rPr>
        <w:t>רא"ש</w:t>
      </w:r>
      <w:r>
        <w:rPr>
          <w:rFonts w:cs="Arial" w:hint="cs"/>
          <w:rtl/>
        </w:rPr>
        <w:t xml:space="preserve"> </w:t>
      </w:r>
      <w:r w:rsidRPr="00FF5D29">
        <w:rPr>
          <w:rFonts w:cs="Arial"/>
          <w:sz w:val="16"/>
          <w:szCs w:val="16"/>
          <w:rtl/>
        </w:rPr>
        <w:t>(</w:t>
      </w:r>
      <w:r w:rsidR="00D34E55">
        <w:rPr>
          <w:rFonts w:cs="Arial" w:hint="cs"/>
          <w:sz w:val="16"/>
          <w:szCs w:val="16"/>
          <w:rtl/>
        </w:rPr>
        <w:t>שם</w:t>
      </w:r>
      <w:r w:rsidRPr="00FF5D29">
        <w:rPr>
          <w:rFonts w:cs="Arial"/>
          <w:sz w:val="16"/>
          <w:szCs w:val="16"/>
          <w:rtl/>
        </w:rPr>
        <w:t>)</w:t>
      </w:r>
      <w:r>
        <w:rPr>
          <w:rFonts w:cs="Arial" w:hint="cs"/>
          <w:rtl/>
        </w:rPr>
        <w:t xml:space="preserve"> וטור</w:t>
      </w:r>
      <w:r w:rsidR="00A82951">
        <w:rPr>
          <w:rFonts w:cs="Arial" w:hint="cs"/>
          <w:rtl/>
        </w:rPr>
        <w:t>-</w:t>
      </w:r>
      <w:r>
        <w:rPr>
          <w:rFonts w:cs="Arial" w:hint="cs"/>
          <w:rtl/>
        </w:rPr>
        <w:t xml:space="preserve"> </w:t>
      </w:r>
      <w:r w:rsidRPr="00BE2DBA">
        <w:rPr>
          <w:rFonts w:cs="Arial"/>
          <w:rtl/>
        </w:rPr>
        <w:t>מי שנשתתק ושאלוהו אם ירצה שיכתבו גט לאשתו</w:t>
      </w:r>
      <w:r>
        <w:rPr>
          <w:rFonts w:cs="Arial" w:hint="cs"/>
          <w:rtl/>
        </w:rPr>
        <w:t>,</w:t>
      </w:r>
      <w:r w:rsidRPr="00BE2DBA">
        <w:rPr>
          <w:rFonts w:cs="Arial"/>
          <w:rtl/>
        </w:rPr>
        <w:t xml:space="preserve"> והרכין בראשו לומר הן</w:t>
      </w:r>
      <w:r>
        <w:rPr>
          <w:rFonts w:cs="Arial" w:hint="cs"/>
          <w:rtl/>
        </w:rPr>
        <w:t>.</w:t>
      </w:r>
      <w:r w:rsidRPr="00BE2DBA">
        <w:rPr>
          <w:rFonts w:cs="Arial"/>
          <w:rtl/>
        </w:rPr>
        <w:t xml:space="preserve"> בודקין אותו בדברים אחרים ששואלין אותו דבר שראוי להשיב עליו</w:t>
      </w:r>
      <w:r>
        <w:rPr>
          <w:rFonts w:cs="Arial" w:hint="cs"/>
          <w:rtl/>
        </w:rPr>
        <w:t>.</w:t>
      </w:r>
      <w:r w:rsidRPr="00BE2DBA">
        <w:rPr>
          <w:rFonts w:cs="Arial"/>
          <w:rtl/>
        </w:rPr>
        <w:t xml:space="preserve"> אם רואין שדעתו מיושבת עליו</w:t>
      </w:r>
      <w:r>
        <w:rPr>
          <w:rFonts w:cs="Arial" w:hint="cs"/>
          <w:rtl/>
        </w:rPr>
        <w:t>,</w:t>
      </w:r>
      <w:r w:rsidRPr="00BE2DBA">
        <w:rPr>
          <w:rFonts w:cs="Arial"/>
          <w:rtl/>
        </w:rPr>
        <w:t xml:space="preserve"> שרומז על תשובת לאו הרכנה כדרך בני אדם על לאו</w:t>
      </w:r>
      <w:r>
        <w:rPr>
          <w:rFonts w:cs="Arial" w:hint="cs"/>
          <w:rtl/>
        </w:rPr>
        <w:t>,</w:t>
      </w:r>
      <w:r w:rsidRPr="00BE2DBA">
        <w:rPr>
          <w:rFonts w:cs="Arial"/>
          <w:rtl/>
        </w:rPr>
        <w:t xml:space="preserve"> ועל הן הרכנת הן</w:t>
      </w:r>
      <w:r>
        <w:rPr>
          <w:rFonts w:cs="Arial" w:hint="cs"/>
          <w:rtl/>
        </w:rPr>
        <w:t>,</w:t>
      </w:r>
      <w:r w:rsidRPr="00BE2DBA">
        <w:rPr>
          <w:rFonts w:cs="Arial"/>
          <w:rtl/>
        </w:rPr>
        <w:t xml:space="preserve"> ג"פ בכל אחד </w:t>
      </w:r>
      <w:r w:rsidR="00A82951">
        <w:rPr>
          <w:rFonts w:cs="Arial" w:hint="cs"/>
          <w:rtl/>
        </w:rPr>
        <w:t>-</w:t>
      </w:r>
      <w:r>
        <w:rPr>
          <w:rFonts w:cs="Arial" w:hint="cs"/>
          <w:rtl/>
        </w:rPr>
        <w:t xml:space="preserve"> </w:t>
      </w:r>
      <w:r w:rsidRPr="00BE2DBA">
        <w:rPr>
          <w:rFonts w:cs="Arial"/>
          <w:rtl/>
        </w:rPr>
        <w:t>כותבין ונותנין</w:t>
      </w:r>
      <w:r>
        <w:rPr>
          <w:rFonts w:cs="Arial" w:hint="cs"/>
          <w:rtl/>
        </w:rPr>
        <w:t>.</w:t>
      </w:r>
      <w:r w:rsidRPr="00BE2DBA">
        <w:rPr>
          <w:rFonts w:cs="Arial"/>
          <w:rtl/>
        </w:rPr>
        <w:t xml:space="preserve"> ולא יבדקו ג"פ הן או ג"פ לאו זה אחר זה</w:t>
      </w:r>
      <w:r>
        <w:rPr>
          <w:rFonts w:cs="Arial" w:hint="cs"/>
          <w:rtl/>
        </w:rPr>
        <w:t>,</w:t>
      </w:r>
      <w:r w:rsidRPr="00BE2DBA">
        <w:rPr>
          <w:rFonts w:cs="Arial"/>
          <w:rtl/>
        </w:rPr>
        <w:t xml:space="preserve"> אלא חד הן ותרין לאו</w:t>
      </w:r>
      <w:r>
        <w:rPr>
          <w:rFonts w:cs="Arial" w:hint="cs"/>
          <w:rtl/>
        </w:rPr>
        <w:t>,</w:t>
      </w:r>
      <w:r w:rsidRPr="00BE2DBA">
        <w:rPr>
          <w:rFonts w:cs="Arial"/>
          <w:rtl/>
        </w:rPr>
        <w:t xml:space="preserve"> ותרין הן וחד לאו</w:t>
      </w:r>
      <w:r>
        <w:rPr>
          <w:rFonts w:cs="Arial" w:hint="cs"/>
          <w:rtl/>
        </w:rPr>
        <w:t>.</w:t>
      </w:r>
      <w:r w:rsidRPr="00BE2DBA">
        <w:rPr>
          <w:rFonts w:cs="Arial"/>
          <w:rtl/>
        </w:rPr>
        <w:t xml:space="preserve"> ולא יבדקוהו בדברים הנמצאים באותו הזמן</w:t>
      </w:r>
      <w:r>
        <w:rPr>
          <w:rFonts w:cs="Arial" w:hint="cs"/>
          <w:rtl/>
        </w:rPr>
        <w:t>,</w:t>
      </w:r>
      <w:r w:rsidRPr="00BE2DBA">
        <w:rPr>
          <w:rFonts w:cs="Arial"/>
          <w:rtl/>
        </w:rPr>
        <w:t xml:space="preserve"> אלא בקיץ שואלין אותו אם רוצה בפירות של החורף</w:t>
      </w:r>
      <w:r>
        <w:rPr>
          <w:rFonts w:cs="Arial" w:hint="cs"/>
          <w:rtl/>
        </w:rPr>
        <w:t>,</w:t>
      </w:r>
      <w:r w:rsidRPr="00BE2DBA">
        <w:rPr>
          <w:rFonts w:cs="Arial"/>
          <w:rtl/>
        </w:rPr>
        <w:t xml:space="preserve"> ובחורף אם רוצה בפירות של הקיץ</w:t>
      </w:r>
      <w:r>
        <w:rPr>
          <w:rFonts w:cs="Arial" w:hint="cs"/>
          <w:rtl/>
        </w:rPr>
        <w:t>.</w:t>
      </w:r>
      <w:r w:rsidRPr="00BE2DBA">
        <w:rPr>
          <w:rFonts w:cs="Arial"/>
          <w:rtl/>
        </w:rPr>
        <w:t xml:space="preserve"> אם ישיב הן</w:t>
      </w:r>
      <w:r>
        <w:rPr>
          <w:rFonts w:cs="Arial" w:hint="cs"/>
          <w:rtl/>
        </w:rPr>
        <w:t>,</w:t>
      </w:r>
      <w:r w:rsidRPr="00BE2DBA">
        <w:rPr>
          <w:rFonts w:cs="Arial"/>
          <w:rtl/>
        </w:rPr>
        <w:t xml:space="preserve"> ודאי שוטה הוא</w:t>
      </w:r>
      <w:r>
        <w:rPr>
          <w:rFonts w:cs="Arial" w:hint="cs"/>
          <w:rtl/>
        </w:rPr>
        <w:t>.</w:t>
      </w:r>
      <w:r w:rsidRPr="00BE2DBA">
        <w:rPr>
          <w:rFonts w:cs="Arial"/>
          <w:rtl/>
        </w:rPr>
        <w:t xml:space="preserve"> ואם ישיב לאו</w:t>
      </w:r>
      <w:r>
        <w:rPr>
          <w:rFonts w:cs="Arial" w:hint="cs"/>
          <w:rtl/>
        </w:rPr>
        <w:t>,</w:t>
      </w:r>
      <w:r w:rsidRPr="00BE2DBA">
        <w:rPr>
          <w:rFonts w:cs="Arial"/>
          <w:rtl/>
        </w:rPr>
        <w:t xml:space="preserve"> פקח הוא</w:t>
      </w:r>
      <w:r>
        <w:rPr>
          <w:rFonts w:cs="Arial" w:hint="cs"/>
          <w:rtl/>
        </w:rPr>
        <w:t>.</w:t>
      </w:r>
      <w:r w:rsidRPr="00BE2DBA">
        <w:rPr>
          <w:rFonts w:cs="Arial"/>
          <w:rtl/>
        </w:rPr>
        <w:t xml:space="preserve"> אבל אם שאלוהו בקיץ אם רוצה ללבוש בגדים חמים הראויין לחורף</w:t>
      </w:r>
      <w:r>
        <w:rPr>
          <w:rFonts w:cs="Arial" w:hint="cs"/>
          <w:rtl/>
        </w:rPr>
        <w:t>,</w:t>
      </w:r>
      <w:r w:rsidRPr="00BE2DBA">
        <w:rPr>
          <w:rFonts w:cs="Arial"/>
          <w:rtl/>
        </w:rPr>
        <w:t xml:space="preserve"> ומשיב הן</w:t>
      </w:r>
      <w:r>
        <w:rPr>
          <w:rFonts w:cs="Arial" w:hint="cs"/>
          <w:rtl/>
        </w:rPr>
        <w:t>,</w:t>
      </w:r>
      <w:r w:rsidRPr="00BE2DBA">
        <w:rPr>
          <w:rFonts w:cs="Arial"/>
          <w:rtl/>
        </w:rPr>
        <w:t xml:space="preserve"> אינו בחזקת שוטה</w:t>
      </w:r>
      <w:r>
        <w:rPr>
          <w:rFonts w:cs="Arial" w:hint="cs"/>
          <w:rtl/>
        </w:rPr>
        <w:t>,</w:t>
      </w:r>
      <w:r w:rsidRPr="00BE2DBA">
        <w:rPr>
          <w:rFonts w:cs="Arial"/>
          <w:rtl/>
        </w:rPr>
        <w:t xml:space="preserve"> דשמא אחזו קור</w:t>
      </w:r>
      <w:r>
        <w:rPr>
          <w:rFonts w:cs="Arial" w:hint="cs"/>
          <w:rtl/>
        </w:rPr>
        <w:t>.</w:t>
      </w:r>
      <w:r w:rsidRPr="00BE2DBA">
        <w:rPr>
          <w:rFonts w:cs="Arial"/>
          <w:rtl/>
        </w:rPr>
        <w:t xml:space="preserve"> וכן אם משיב הן בחורף על בגדי הקיץ</w:t>
      </w:r>
      <w:r>
        <w:rPr>
          <w:rFonts w:cs="Arial" w:hint="cs"/>
          <w:rtl/>
        </w:rPr>
        <w:t>,</w:t>
      </w:r>
      <w:r w:rsidRPr="00BE2DBA">
        <w:rPr>
          <w:rFonts w:cs="Arial"/>
          <w:rtl/>
        </w:rPr>
        <w:t xml:space="preserve"> יש לתלות שמא אחזו חום</w:t>
      </w:r>
      <w:r>
        <w:rPr>
          <w:rFonts w:cs="Arial" w:hint="cs"/>
          <w:rtl/>
        </w:rPr>
        <w:t xml:space="preserve"> </w:t>
      </w:r>
      <w:r w:rsidR="00A82951">
        <w:rPr>
          <w:rFonts w:cs="Arial" w:hint="cs"/>
          <w:rtl/>
        </w:rPr>
        <w:t>-</w:t>
      </w:r>
      <w:r w:rsidRPr="00BE2DBA">
        <w:rPr>
          <w:rFonts w:cs="Arial"/>
          <w:rtl/>
        </w:rPr>
        <w:t xml:space="preserve"> והוי ספק מגורשת</w:t>
      </w:r>
      <w:r>
        <w:rPr>
          <w:rFonts w:cs="Arial" w:hint="cs"/>
          <w:sz w:val="16"/>
          <w:szCs w:val="16"/>
          <w:rtl/>
        </w:rPr>
        <w:t xml:space="preserve"> (ל' הטור)</w:t>
      </w:r>
      <w:r>
        <w:rPr>
          <w:rFonts w:cs="Arial" w:hint="cs"/>
          <w:rtl/>
        </w:rPr>
        <w:t>.</w:t>
      </w:r>
    </w:p>
    <w:p w14:paraId="20043B52" w14:textId="313698E8" w:rsidR="00ED604A" w:rsidRPr="00C76007" w:rsidRDefault="00ED604A" w:rsidP="00A65C5F">
      <w:pPr>
        <w:pStyle w:val="ab"/>
        <w:numPr>
          <w:ilvl w:val="0"/>
          <w:numId w:val="30"/>
        </w:numPr>
        <w:rPr>
          <w:rFonts w:cs="Arial"/>
          <w:rtl/>
        </w:rPr>
      </w:pPr>
      <w:r>
        <w:rPr>
          <w:rFonts w:cs="Arial" w:hint="cs"/>
          <w:rtl/>
        </w:rPr>
        <w:t xml:space="preserve">ראב"ן </w:t>
      </w:r>
      <w:r>
        <w:rPr>
          <w:rFonts w:cs="Arial" w:hint="cs"/>
          <w:sz w:val="16"/>
          <w:szCs w:val="16"/>
          <w:rtl/>
        </w:rPr>
        <w:t xml:space="preserve">(שם) </w:t>
      </w:r>
      <w:r w:rsidRPr="00990894">
        <w:rPr>
          <w:rFonts w:cs="Arial"/>
          <w:rtl/>
        </w:rPr>
        <w:t xml:space="preserve">סמ"ק </w:t>
      </w:r>
      <w:r w:rsidRPr="00877805">
        <w:rPr>
          <w:rFonts w:cs="Arial"/>
          <w:sz w:val="16"/>
          <w:szCs w:val="16"/>
          <w:rtl/>
        </w:rPr>
        <w:t>(</w:t>
      </w:r>
      <w:r>
        <w:rPr>
          <w:rFonts w:cs="Arial" w:hint="cs"/>
          <w:sz w:val="16"/>
          <w:szCs w:val="16"/>
          <w:rtl/>
        </w:rPr>
        <w:t>שם</w:t>
      </w:r>
      <w:r w:rsidRPr="00877805">
        <w:rPr>
          <w:rFonts w:cs="Arial"/>
          <w:sz w:val="16"/>
          <w:szCs w:val="16"/>
          <w:rtl/>
        </w:rPr>
        <w:t>)</w:t>
      </w:r>
      <w:r>
        <w:rPr>
          <w:rFonts w:cs="Arial" w:hint="cs"/>
          <w:rtl/>
        </w:rPr>
        <w:t xml:space="preserve"> ורי"ו</w:t>
      </w:r>
      <w:r w:rsidRPr="00990894">
        <w:rPr>
          <w:rFonts w:cs="Arial"/>
          <w:rtl/>
        </w:rPr>
        <w:t xml:space="preserve"> </w:t>
      </w:r>
      <w:r w:rsidRPr="00C76007">
        <w:rPr>
          <w:rFonts w:cs="Arial" w:hint="cs"/>
          <w:sz w:val="16"/>
          <w:szCs w:val="16"/>
          <w:rtl/>
        </w:rPr>
        <w:t>(</w:t>
      </w:r>
      <w:r>
        <w:rPr>
          <w:rFonts w:cs="Arial" w:hint="cs"/>
          <w:sz w:val="16"/>
          <w:szCs w:val="16"/>
          <w:rtl/>
        </w:rPr>
        <w:t>שם</w:t>
      </w:r>
      <w:r w:rsidRPr="00C76007">
        <w:rPr>
          <w:rFonts w:cs="Arial"/>
          <w:sz w:val="16"/>
          <w:szCs w:val="16"/>
          <w:rtl/>
        </w:rPr>
        <w:t>)</w:t>
      </w:r>
      <w:r w:rsidR="00A82951">
        <w:rPr>
          <w:rFonts w:cs="Arial" w:hint="cs"/>
          <w:rtl/>
        </w:rPr>
        <w:t>-</w:t>
      </w:r>
      <w:r w:rsidRPr="00990894">
        <w:rPr>
          <w:rFonts w:cs="Arial" w:hint="cs"/>
          <w:rtl/>
        </w:rPr>
        <w:t xml:space="preserve"> </w:t>
      </w:r>
      <w:r w:rsidRPr="007B1602">
        <w:rPr>
          <w:rFonts w:cs="Arial"/>
          <w:rtl/>
        </w:rPr>
        <w:t>נשתתק ואמרו לו נכתוב גט לאשתך והרכין בראשו בודקין אותו בשני דברים של לאו וחד הן</w:t>
      </w:r>
      <w:r w:rsidR="00AE1231">
        <w:rPr>
          <w:rFonts w:cs="Arial" w:hint="cs"/>
          <w:rtl/>
        </w:rPr>
        <w:t>,</w:t>
      </w:r>
      <w:r w:rsidRPr="007B1602">
        <w:rPr>
          <w:rFonts w:cs="Arial"/>
          <w:rtl/>
        </w:rPr>
        <w:t xml:space="preserve"> אם הרכין שני פעמים בענין לאו וחד הרכנה דהן</w:t>
      </w:r>
      <w:r w:rsidR="00AE1231">
        <w:rPr>
          <w:rFonts w:cs="Arial" w:hint="cs"/>
          <w:rtl/>
        </w:rPr>
        <w:t>,</w:t>
      </w:r>
      <w:r w:rsidRPr="007B1602">
        <w:rPr>
          <w:rFonts w:cs="Arial"/>
          <w:rtl/>
        </w:rPr>
        <w:t xml:space="preserve"> או ב' ה</w:t>
      </w:r>
      <w:r w:rsidR="00285B8E">
        <w:rPr>
          <w:rFonts w:cs="Arial" w:hint="cs"/>
          <w:rtl/>
        </w:rPr>
        <w:t>ן</w:t>
      </w:r>
      <w:r w:rsidRPr="007B1602">
        <w:rPr>
          <w:rFonts w:cs="Arial"/>
          <w:rtl/>
        </w:rPr>
        <w:t xml:space="preserve"> וחד לאו, או בודקין אותו בפירות ושואלין אותו בימות החמה על פירות של ימות הגשמים או בימות הגשמים על פירות של ימה"ח והוא מרכין בענין חכמה שיבינו שדברים שאינם בעולם שואלין לו וכותבין הגט</w:t>
      </w:r>
      <w:r>
        <w:rPr>
          <w:rFonts w:cs="Arial" w:hint="cs"/>
          <w:sz w:val="16"/>
          <w:szCs w:val="16"/>
          <w:rtl/>
        </w:rPr>
        <w:t xml:space="preserve"> (ל' ראב"ן)</w:t>
      </w:r>
      <w:r>
        <w:rPr>
          <w:rFonts w:cs="Arial" w:hint="cs"/>
          <w:rtl/>
        </w:rPr>
        <w:t>.</w:t>
      </w:r>
      <w:r w:rsidRPr="00C76007">
        <w:rPr>
          <w:rFonts w:cs="Arial"/>
          <w:rtl/>
        </w:rPr>
        <w:t xml:space="preserve"> </w:t>
      </w:r>
    </w:p>
    <w:p w14:paraId="5D646991" w14:textId="67C1AB1A" w:rsidR="00ED604A" w:rsidRDefault="00ED604A" w:rsidP="00A65C5F">
      <w:pPr>
        <w:pStyle w:val="ab"/>
        <w:numPr>
          <w:ilvl w:val="0"/>
          <w:numId w:val="30"/>
        </w:numPr>
        <w:rPr>
          <w:rFonts w:cs="Arial"/>
        </w:rPr>
      </w:pPr>
      <w:r>
        <w:rPr>
          <w:rFonts w:cs="Arial" w:hint="cs"/>
          <w:rtl/>
        </w:rPr>
        <w:t xml:space="preserve">ר"י </w:t>
      </w:r>
      <w:r w:rsidRPr="00D74CA8">
        <w:rPr>
          <w:rFonts w:cs="Arial" w:hint="cs"/>
          <w:sz w:val="16"/>
          <w:szCs w:val="16"/>
          <w:rtl/>
        </w:rPr>
        <w:t>(כ"כ בשמו ה</w:t>
      </w:r>
      <w:r w:rsidRPr="00D74CA8">
        <w:rPr>
          <w:rFonts w:cs="Arial"/>
          <w:sz w:val="16"/>
          <w:szCs w:val="16"/>
          <w:rtl/>
        </w:rPr>
        <w:t>מרדכי</w:t>
      </w:r>
      <w:r w:rsidRPr="00D74CA8">
        <w:rPr>
          <w:rFonts w:cs="Arial" w:hint="cs"/>
          <w:sz w:val="16"/>
          <w:szCs w:val="16"/>
          <w:rtl/>
        </w:rPr>
        <w:t xml:space="preserve"> [</w:t>
      </w:r>
      <w:r w:rsidRPr="00D74CA8">
        <w:rPr>
          <w:rFonts w:cs="Arial"/>
          <w:sz w:val="16"/>
          <w:szCs w:val="16"/>
          <w:rtl/>
        </w:rPr>
        <w:t>סי' תכב</w:t>
      </w:r>
      <w:r w:rsidRPr="00D74CA8">
        <w:rPr>
          <w:rFonts w:cs="Arial" w:hint="cs"/>
          <w:sz w:val="16"/>
          <w:szCs w:val="16"/>
          <w:rtl/>
        </w:rPr>
        <w:t>]</w:t>
      </w:r>
      <w:r w:rsidRPr="00D74CA8">
        <w:rPr>
          <w:rFonts w:cs="Arial"/>
          <w:sz w:val="16"/>
          <w:szCs w:val="16"/>
          <w:rtl/>
        </w:rPr>
        <w:t>)</w:t>
      </w:r>
      <w:r w:rsidR="00A82951">
        <w:rPr>
          <w:rFonts w:cs="Arial" w:hint="cs"/>
          <w:rtl/>
        </w:rPr>
        <w:t>-</w:t>
      </w:r>
      <w:r w:rsidRPr="00990894">
        <w:rPr>
          <w:rFonts w:cs="Arial"/>
          <w:rtl/>
        </w:rPr>
        <w:t xml:space="preserve"> </w:t>
      </w:r>
      <w:r w:rsidRPr="007B1602">
        <w:rPr>
          <w:rFonts w:cs="Arial"/>
          <w:rtl/>
        </w:rPr>
        <w:t>כל בדיקה מהניא</w:t>
      </w:r>
      <w:r>
        <w:rPr>
          <w:rFonts w:cs="Arial" w:hint="cs"/>
          <w:rtl/>
        </w:rPr>
        <w:t>,</w:t>
      </w:r>
      <w:r w:rsidRPr="007B1602">
        <w:rPr>
          <w:rFonts w:cs="Arial"/>
          <w:rtl/>
        </w:rPr>
        <w:t xml:space="preserve"> ואפילו בבדיקת פירי בעי שלשה לאו ושלשה הן</w:t>
      </w:r>
      <w:r>
        <w:rPr>
          <w:rFonts w:cs="Arial" w:hint="cs"/>
          <w:rtl/>
        </w:rPr>
        <w:t>,</w:t>
      </w:r>
      <w:r w:rsidRPr="007B1602">
        <w:rPr>
          <w:rFonts w:cs="Arial"/>
          <w:rtl/>
        </w:rPr>
        <w:t xml:space="preserve"> ובסירוגין</w:t>
      </w:r>
      <w:r>
        <w:rPr>
          <w:rFonts w:cs="Arial" w:hint="cs"/>
          <w:sz w:val="16"/>
          <w:szCs w:val="16"/>
          <w:rtl/>
        </w:rPr>
        <w:t xml:space="preserve"> (ל' הב"י בשמו)</w:t>
      </w:r>
      <w:r w:rsidRPr="003249D3">
        <w:rPr>
          <w:rFonts w:cs="Arial" w:hint="cs"/>
          <w:rtl/>
        </w:rPr>
        <w:t>.</w:t>
      </w:r>
      <w:r w:rsidRPr="005132F0">
        <w:rPr>
          <w:rFonts w:cs="Arial"/>
          <w:rtl/>
        </w:rPr>
        <w:t xml:space="preserve"> </w:t>
      </w:r>
    </w:p>
    <w:p w14:paraId="56A674E9" w14:textId="0AB4BB29" w:rsidR="00D34E55" w:rsidRDefault="00ED604A" w:rsidP="00A65C5F">
      <w:pPr>
        <w:pStyle w:val="ab"/>
        <w:numPr>
          <w:ilvl w:val="0"/>
          <w:numId w:val="30"/>
        </w:numPr>
        <w:rPr>
          <w:rFonts w:cs="Arial"/>
        </w:rPr>
      </w:pPr>
      <w:r w:rsidRPr="005132F0">
        <w:rPr>
          <w:rFonts w:cs="Arial"/>
          <w:rtl/>
        </w:rPr>
        <w:t>רמב"ם</w:t>
      </w:r>
      <w:r w:rsidRPr="005132F0">
        <w:rPr>
          <w:rFonts w:cs="Arial"/>
          <w:sz w:val="16"/>
          <w:szCs w:val="16"/>
          <w:rtl/>
        </w:rPr>
        <w:t xml:space="preserve"> </w:t>
      </w:r>
      <w:r w:rsidRPr="005132F0">
        <w:rPr>
          <w:rFonts w:cs="Arial" w:hint="cs"/>
          <w:sz w:val="16"/>
          <w:szCs w:val="16"/>
          <w:rtl/>
        </w:rPr>
        <w:t>(</w:t>
      </w:r>
      <w:r w:rsidRPr="005132F0">
        <w:rPr>
          <w:rFonts w:cs="Arial"/>
          <w:sz w:val="16"/>
          <w:szCs w:val="16"/>
          <w:rtl/>
        </w:rPr>
        <w:t>פ</w:t>
      </w:r>
      <w:r w:rsidRPr="005132F0">
        <w:rPr>
          <w:rFonts w:cs="Arial" w:hint="cs"/>
          <w:sz w:val="16"/>
          <w:szCs w:val="16"/>
          <w:rtl/>
        </w:rPr>
        <w:t>"</w:t>
      </w:r>
      <w:r w:rsidRPr="005132F0">
        <w:rPr>
          <w:rFonts w:cs="Arial"/>
          <w:sz w:val="16"/>
          <w:szCs w:val="16"/>
          <w:rtl/>
        </w:rPr>
        <w:t>ב הט"ז)</w:t>
      </w:r>
      <w:r w:rsidR="00A82951">
        <w:rPr>
          <w:rFonts w:cs="Arial" w:hint="cs"/>
          <w:rtl/>
        </w:rPr>
        <w:t>-</w:t>
      </w:r>
      <w:r w:rsidRPr="005132F0">
        <w:rPr>
          <w:rFonts w:cs="Arial"/>
          <w:rtl/>
        </w:rPr>
        <w:t xml:space="preserve"> מי שנשתתק והרי דעתו נכונה ואמרו לו נכתוב גט לאשתך והרכין בראשו בודקין אותו שלשה פעמים בסירוגין</w:t>
      </w:r>
      <w:r>
        <w:rPr>
          <w:rFonts w:cs="Arial" w:hint="cs"/>
          <w:rtl/>
        </w:rPr>
        <w:t>,</w:t>
      </w:r>
      <w:r w:rsidRPr="005132F0">
        <w:rPr>
          <w:rFonts w:cs="Arial"/>
          <w:rtl/>
        </w:rPr>
        <w:t xml:space="preserve"> אם אמר להם על לאו לאו ועל הן הן</w:t>
      </w:r>
      <w:r w:rsidR="00A02A5C">
        <w:rPr>
          <w:rFonts w:cs="Arial" w:hint="cs"/>
          <w:rtl/>
        </w:rPr>
        <w:t xml:space="preserve"> -</w:t>
      </w:r>
      <w:r w:rsidRPr="005132F0">
        <w:rPr>
          <w:rFonts w:cs="Arial"/>
          <w:rtl/>
        </w:rPr>
        <w:t xml:space="preserve"> הרי אלו יכתבו ויתנו</w:t>
      </w:r>
      <w:r>
        <w:rPr>
          <w:rFonts w:cs="Arial" w:hint="cs"/>
          <w:rtl/>
        </w:rPr>
        <w:t>.</w:t>
      </w:r>
      <w:r w:rsidRPr="005132F0">
        <w:rPr>
          <w:rFonts w:cs="Arial"/>
          <w:rtl/>
        </w:rPr>
        <w:t xml:space="preserve"> וצריכים לבדקו יפה יפה שמא נטרפה דעתו.</w:t>
      </w:r>
      <w:r w:rsidR="00B86581" w:rsidRPr="00B86581">
        <w:rPr>
          <w:rFonts w:hint="cs"/>
          <w:color w:val="E36C0A" w:themeColor="accent6" w:themeShade="BF"/>
          <w:rtl/>
        </w:rPr>
        <w:t xml:space="preserve"> </w:t>
      </w:r>
      <w:r w:rsidR="00B86581" w:rsidRPr="00544E63">
        <w:rPr>
          <w:rFonts w:hint="cs"/>
          <w:color w:val="E36C0A" w:themeColor="accent6" w:themeShade="BF"/>
          <w:rtl/>
        </w:rPr>
        <w:t>(וכ"פ בשו"ע</w:t>
      </w:r>
      <w:r w:rsidR="00B86581">
        <w:rPr>
          <w:rFonts w:hint="cs"/>
          <w:color w:val="E36C0A" w:themeColor="accent6" w:themeShade="BF"/>
          <w:rtl/>
        </w:rPr>
        <w:t>)</w:t>
      </w:r>
      <w:r w:rsidR="00375AC9">
        <w:rPr>
          <w:rFonts w:cs="Arial" w:hint="cs"/>
          <w:rtl/>
        </w:rPr>
        <w:t xml:space="preserve"> </w:t>
      </w:r>
    </w:p>
    <w:p w14:paraId="09AD5CD2" w14:textId="5F5299F3" w:rsidR="00D34E55" w:rsidRPr="00D34E55" w:rsidRDefault="00D34E55" w:rsidP="00D34E55">
      <w:pPr>
        <w:ind w:left="360"/>
        <w:rPr>
          <w:rFonts w:cs="Arial"/>
          <w:u w:val="dotted"/>
        </w:rPr>
      </w:pPr>
      <w:r w:rsidRPr="00D34E55">
        <w:rPr>
          <w:rFonts w:cs="Arial" w:hint="cs"/>
          <w:u w:val="dotted"/>
          <w:rtl/>
        </w:rPr>
        <w:t>ומה הדין אם לא בדקוהו כלל ונתנו גט לאשתו:</w:t>
      </w:r>
    </w:p>
    <w:p w14:paraId="7D6E2926" w14:textId="6C016BF0" w:rsidR="00834F52" w:rsidRDefault="00D34E55" w:rsidP="00A65C5F">
      <w:pPr>
        <w:pStyle w:val="ab"/>
        <w:numPr>
          <w:ilvl w:val="0"/>
          <w:numId w:val="30"/>
        </w:numPr>
        <w:rPr>
          <w:rFonts w:cs="Arial"/>
        </w:rPr>
      </w:pPr>
      <w:r>
        <w:rPr>
          <w:rFonts w:cs="Arial" w:hint="cs"/>
          <w:rtl/>
        </w:rPr>
        <w:t>ב"י</w:t>
      </w:r>
      <w:r w:rsidR="00A82951">
        <w:rPr>
          <w:rFonts w:cs="Arial" w:hint="cs"/>
          <w:rtl/>
        </w:rPr>
        <w:t>-</w:t>
      </w:r>
      <w:r>
        <w:rPr>
          <w:rFonts w:cs="Arial" w:hint="cs"/>
          <w:rtl/>
        </w:rPr>
        <w:t xml:space="preserve"> </w:t>
      </w:r>
      <w:r w:rsidR="005E486B" w:rsidRPr="00D34E55">
        <w:rPr>
          <w:rFonts w:cs="Arial"/>
          <w:rtl/>
        </w:rPr>
        <w:t>היכא שלא בדקוהו כלל וכתבו גט על פי הרכנתו ונתנוהו לה</w:t>
      </w:r>
      <w:r w:rsidR="00834F52">
        <w:rPr>
          <w:rFonts w:cs="Arial" w:hint="cs"/>
          <w:rtl/>
        </w:rPr>
        <w:t>,</w:t>
      </w:r>
      <w:r w:rsidR="005E486B" w:rsidRPr="00D34E55">
        <w:rPr>
          <w:rFonts w:cs="Arial"/>
          <w:rtl/>
        </w:rPr>
        <w:t xml:space="preserve"> יש לדקדק</w:t>
      </w:r>
      <w:r w:rsidR="00834F52">
        <w:rPr>
          <w:rFonts w:cs="Arial" w:hint="cs"/>
          <w:rtl/>
        </w:rPr>
        <w:t>.</w:t>
      </w:r>
      <w:r w:rsidR="005E486B" w:rsidRPr="00D34E55">
        <w:rPr>
          <w:rFonts w:cs="Arial"/>
          <w:rtl/>
        </w:rPr>
        <w:t xml:space="preserve"> ונראה דחשבינן לה ספק מגורשת</w:t>
      </w:r>
      <w:r w:rsidR="00B77815">
        <w:rPr>
          <w:rStyle w:val="a7"/>
          <w:rFonts w:cs="Arial"/>
          <w:rtl/>
        </w:rPr>
        <w:footnoteReference w:id="308"/>
      </w:r>
      <w:r>
        <w:rPr>
          <w:rFonts w:cs="Arial" w:hint="cs"/>
          <w:rtl/>
        </w:rPr>
        <w:t>.</w:t>
      </w:r>
    </w:p>
    <w:p w14:paraId="29D53900" w14:textId="4DB80981" w:rsidR="00834F52" w:rsidRDefault="00834F52" w:rsidP="00834F52">
      <w:pPr>
        <w:rPr>
          <w:rFonts w:cs="Arial"/>
          <w:rtl/>
        </w:rPr>
      </w:pPr>
      <w:r w:rsidRPr="00906F60">
        <w:rPr>
          <w:rFonts w:cs="Arial" w:hint="cs"/>
          <w:b/>
          <w:bCs/>
          <w:rtl/>
        </w:rPr>
        <w:t>ירושלמי גיטין פ"ז ה"א:</w:t>
      </w:r>
      <w:r>
        <w:rPr>
          <w:rFonts w:cs="Arial" w:hint="cs"/>
          <w:rtl/>
        </w:rPr>
        <w:t xml:space="preserve"> </w:t>
      </w:r>
      <w:r w:rsidRPr="00834F52">
        <w:rPr>
          <w:rFonts w:cs="Arial"/>
          <w:rtl/>
        </w:rPr>
        <w:t>ותני כן</w:t>
      </w:r>
      <w:r w:rsidR="002134FD">
        <w:rPr>
          <w:rFonts w:cs="Arial" w:hint="cs"/>
          <w:rtl/>
        </w:rPr>
        <w:t>:</w:t>
      </w:r>
      <w:r w:rsidRPr="00834F52">
        <w:rPr>
          <w:rFonts w:cs="Arial"/>
          <w:rtl/>
        </w:rPr>
        <w:t xml:space="preserve"> במה דברים אמורים</w:t>
      </w:r>
      <w:r w:rsidR="002134FD">
        <w:rPr>
          <w:rStyle w:val="a7"/>
          <w:rFonts w:cs="Arial"/>
          <w:rtl/>
        </w:rPr>
        <w:footnoteReference w:id="309"/>
      </w:r>
      <w:r w:rsidR="002134FD">
        <w:rPr>
          <w:rFonts w:cs="Arial" w:hint="cs"/>
          <w:rtl/>
        </w:rPr>
        <w:t>,</w:t>
      </w:r>
      <w:r w:rsidRPr="00834F52">
        <w:rPr>
          <w:rFonts w:cs="Arial"/>
          <w:rtl/>
        </w:rPr>
        <w:t xml:space="preserve"> בזמן שנשתתק מתוך בוריו. אבל אם נשתתק מתוך חולייו</w:t>
      </w:r>
      <w:r w:rsidR="002134FD">
        <w:rPr>
          <w:rFonts w:cs="Arial" w:hint="cs"/>
          <w:rtl/>
        </w:rPr>
        <w:t>,</w:t>
      </w:r>
      <w:r w:rsidRPr="00834F52">
        <w:rPr>
          <w:rFonts w:cs="Arial"/>
          <w:rtl/>
        </w:rPr>
        <w:t xml:space="preserve"> דייו פעם אחת. </w:t>
      </w:r>
    </w:p>
    <w:p w14:paraId="28517354" w14:textId="5FA70F25" w:rsidR="002134FD" w:rsidRDefault="008222D1" w:rsidP="00834F52">
      <w:pPr>
        <w:rPr>
          <w:rFonts w:cs="Arial"/>
          <w:rtl/>
        </w:rPr>
      </w:pPr>
      <w:r w:rsidRPr="008222D1">
        <w:rPr>
          <w:rFonts w:cs="Arial" w:hint="cs"/>
          <w:b/>
          <w:bCs/>
          <w:rtl/>
        </w:rPr>
        <w:lastRenderedPageBreak/>
        <w:t>תוספתא גיטין פ"ה ה"א:</w:t>
      </w:r>
      <w:r>
        <w:rPr>
          <w:rFonts w:cs="Arial" w:hint="cs"/>
          <w:rtl/>
        </w:rPr>
        <w:t xml:space="preserve"> </w:t>
      </w:r>
      <w:r w:rsidR="002134FD" w:rsidRPr="002134FD">
        <w:rPr>
          <w:rFonts w:cs="Arial"/>
          <w:rtl/>
        </w:rPr>
        <w:t>היה חולה ומשותק</w:t>
      </w:r>
      <w:r w:rsidR="002134FD">
        <w:rPr>
          <w:rFonts w:cs="Arial" w:hint="cs"/>
          <w:rtl/>
        </w:rPr>
        <w:t>,</w:t>
      </w:r>
      <w:r w:rsidR="002134FD" w:rsidRPr="002134FD">
        <w:rPr>
          <w:rFonts w:cs="Arial"/>
          <w:rtl/>
        </w:rPr>
        <w:t xml:space="preserve"> אמרו לו נכתוב גט לאשתך</w:t>
      </w:r>
      <w:r w:rsidR="002134FD">
        <w:rPr>
          <w:rFonts w:cs="Arial" w:hint="cs"/>
          <w:rtl/>
        </w:rPr>
        <w:t>,</w:t>
      </w:r>
      <w:r w:rsidR="002134FD" w:rsidRPr="002134FD">
        <w:rPr>
          <w:rFonts w:cs="Arial"/>
          <w:rtl/>
        </w:rPr>
        <w:t xml:space="preserve"> הרכין בראשו</w:t>
      </w:r>
      <w:r w:rsidR="002134FD">
        <w:rPr>
          <w:rFonts w:cs="Arial" w:hint="cs"/>
          <w:rtl/>
        </w:rPr>
        <w:t>,</w:t>
      </w:r>
      <w:r w:rsidR="002134FD" w:rsidRPr="002134FD">
        <w:rPr>
          <w:rFonts w:cs="Arial"/>
          <w:rtl/>
        </w:rPr>
        <w:t xml:space="preserve"> בודקין אותו שלשה פעמים</w:t>
      </w:r>
      <w:r w:rsidR="002134FD">
        <w:rPr>
          <w:rFonts w:cs="Arial" w:hint="cs"/>
          <w:rtl/>
        </w:rPr>
        <w:t>,</w:t>
      </w:r>
      <w:r w:rsidR="002134FD" w:rsidRPr="002134FD">
        <w:rPr>
          <w:rFonts w:cs="Arial"/>
          <w:rtl/>
        </w:rPr>
        <w:t xml:space="preserve"> אם אמ</w:t>
      </w:r>
      <w:r w:rsidR="002134FD">
        <w:rPr>
          <w:rFonts w:cs="Arial" w:hint="cs"/>
          <w:rtl/>
        </w:rPr>
        <w:t>ר</w:t>
      </w:r>
      <w:r w:rsidR="002134FD" w:rsidRPr="002134FD">
        <w:rPr>
          <w:rFonts w:cs="Arial"/>
          <w:rtl/>
        </w:rPr>
        <w:t xml:space="preserve"> על ליו ליו ועל הן הן </w:t>
      </w:r>
      <w:r w:rsidR="00A82951">
        <w:rPr>
          <w:rFonts w:cs="Arial" w:hint="cs"/>
          <w:rtl/>
        </w:rPr>
        <w:t>-</w:t>
      </w:r>
      <w:r w:rsidR="002134FD">
        <w:rPr>
          <w:rFonts w:cs="Arial" w:hint="cs"/>
          <w:rtl/>
        </w:rPr>
        <w:t xml:space="preserve"> </w:t>
      </w:r>
      <w:r w:rsidR="002134FD" w:rsidRPr="002134FD">
        <w:rPr>
          <w:rFonts w:cs="Arial"/>
          <w:rtl/>
        </w:rPr>
        <w:t>דבריו קיימין</w:t>
      </w:r>
      <w:r w:rsidR="002134FD">
        <w:rPr>
          <w:rFonts w:cs="Arial" w:hint="cs"/>
          <w:rtl/>
        </w:rPr>
        <w:t>.</w:t>
      </w:r>
    </w:p>
    <w:p w14:paraId="1DFE59CA" w14:textId="42FAD2E2" w:rsidR="00834F52" w:rsidRPr="00834F52" w:rsidRDefault="008222D1" w:rsidP="00834F52">
      <w:pPr>
        <w:rPr>
          <w:rFonts w:cs="Arial"/>
          <w:u w:val="single"/>
        </w:rPr>
      </w:pPr>
      <w:r>
        <w:rPr>
          <w:rFonts w:cs="Arial" w:hint="cs"/>
          <w:u w:val="single"/>
          <w:rtl/>
        </w:rPr>
        <w:t xml:space="preserve">האם יש הבדל בבדיקה אם </w:t>
      </w:r>
      <w:r w:rsidR="00834F52" w:rsidRPr="00834F52">
        <w:rPr>
          <w:rFonts w:cs="Arial" w:hint="cs"/>
          <w:u w:val="single"/>
          <w:rtl/>
        </w:rPr>
        <w:t>נשתתק מתוך חוליו</w:t>
      </w:r>
      <w:r>
        <w:rPr>
          <w:rFonts w:cs="Arial" w:hint="cs"/>
          <w:u w:val="single"/>
          <w:rtl/>
        </w:rPr>
        <w:t xml:space="preserve"> או מתוך </w:t>
      </w:r>
      <w:r w:rsidR="00834F52" w:rsidRPr="00834F52">
        <w:rPr>
          <w:rFonts w:cs="Arial" w:hint="cs"/>
          <w:u w:val="single"/>
          <w:rtl/>
        </w:rPr>
        <w:t>בוריו:</w:t>
      </w:r>
    </w:p>
    <w:p w14:paraId="2B37786C" w14:textId="508CD7AE" w:rsidR="00357C30" w:rsidRPr="00834F52" w:rsidRDefault="005E486B" w:rsidP="00A65C5F">
      <w:pPr>
        <w:pStyle w:val="ab"/>
        <w:numPr>
          <w:ilvl w:val="0"/>
          <w:numId w:val="30"/>
        </w:numPr>
        <w:rPr>
          <w:rFonts w:cs="Arial"/>
          <w:rtl/>
        </w:rPr>
      </w:pPr>
      <w:r w:rsidRPr="00834F52">
        <w:rPr>
          <w:rFonts w:cs="Arial"/>
          <w:rtl/>
        </w:rPr>
        <w:t xml:space="preserve">ר"ן </w:t>
      </w:r>
      <w:r w:rsidRPr="008222D1">
        <w:rPr>
          <w:rFonts w:cs="Arial"/>
          <w:sz w:val="16"/>
          <w:szCs w:val="16"/>
          <w:rtl/>
        </w:rPr>
        <w:t>(לד. דיבור ראשון)</w:t>
      </w:r>
      <w:r w:rsidR="00A82951">
        <w:rPr>
          <w:rFonts w:cs="Arial" w:hint="cs"/>
          <w:rtl/>
        </w:rPr>
        <w:t>-</w:t>
      </w:r>
      <w:r w:rsidRPr="00834F52">
        <w:rPr>
          <w:rFonts w:cs="Arial"/>
          <w:rtl/>
        </w:rPr>
        <w:t xml:space="preserve"> אמרינן בירושלמי </w:t>
      </w:r>
      <w:r w:rsidRPr="009D77D8">
        <w:rPr>
          <w:rFonts w:cs="Arial"/>
          <w:sz w:val="16"/>
          <w:szCs w:val="16"/>
          <w:rtl/>
        </w:rPr>
        <w:t xml:space="preserve">(פ"ז דגיטין ה"א) </w:t>
      </w:r>
      <w:r w:rsidRPr="00834F52">
        <w:rPr>
          <w:rFonts w:cs="Arial"/>
          <w:rtl/>
        </w:rPr>
        <w:t>דמתניתין בנשתתק מתוך בוריו</w:t>
      </w:r>
      <w:r w:rsidR="003C4250">
        <w:rPr>
          <w:rFonts w:cs="Arial" w:hint="cs"/>
          <w:rtl/>
        </w:rPr>
        <w:t>,</w:t>
      </w:r>
      <w:r w:rsidRPr="00834F52">
        <w:rPr>
          <w:rFonts w:cs="Arial"/>
          <w:rtl/>
        </w:rPr>
        <w:t xml:space="preserve"> אבל אם נשתתק מתוך חליו דיו פעם אחת</w:t>
      </w:r>
      <w:r w:rsidR="003C4250">
        <w:rPr>
          <w:rFonts w:cs="Arial" w:hint="cs"/>
          <w:rtl/>
        </w:rPr>
        <w:t>.</w:t>
      </w:r>
      <w:r w:rsidRPr="00834F52">
        <w:rPr>
          <w:rFonts w:cs="Arial"/>
          <w:rtl/>
        </w:rPr>
        <w:t xml:space="preserve"> אלא שמן התוספתא </w:t>
      </w:r>
      <w:r w:rsidRPr="009D77D8">
        <w:rPr>
          <w:rFonts w:cs="Arial"/>
          <w:sz w:val="16"/>
          <w:szCs w:val="16"/>
          <w:rtl/>
        </w:rPr>
        <w:t xml:space="preserve">(פ"ה דגיטין ה"א) </w:t>
      </w:r>
      <w:r w:rsidRPr="00834F52">
        <w:rPr>
          <w:rFonts w:cs="Arial"/>
          <w:rtl/>
        </w:rPr>
        <w:t>נראה שאפילו בנשתתק מתוך חליו בעי בדיקה שלשה פעמים</w:t>
      </w:r>
      <w:r w:rsidR="008222D1">
        <w:rPr>
          <w:rStyle w:val="a7"/>
          <w:rFonts w:cs="Arial"/>
          <w:rtl/>
        </w:rPr>
        <w:footnoteReference w:id="310"/>
      </w:r>
      <w:r w:rsidR="00834F52" w:rsidRPr="00834F52">
        <w:rPr>
          <w:rFonts w:cs="Arial" w:hint="cs"/>
          <w:rtl/>
        </w:rPr>
        <w:t>.</w:t>
      </w:r>
    </w:p>
    <w:p w14:paraId="6043A3FF" w14:textId="77777777" w:rsidR="00A243D9" w:rsidRPr="007B74F1" w:rsidRDefault="00A243D9" w:rsidP="00A243D9">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BB90D9F" w14:textId="5075452B" w:rsidR="00486C31" w:rsidRDefault="00486C31" w:rsidP="00486C31">
      <w:pPr>
        <w:rPr>
          <w:rFonts w:cs="Arial"/>
          <w:rtl/>
        </w:rPr>
      </w:pPr>
      <w:r w:rsidRPr="00486C31">
        <w:rPr>
          <w:rFonts w:cs="Arial"/>
          <w:rtl/>
        </w:rPr>
        <w:t>מי שנשתתק, ושאלוהו אם רוצה שיכתבו גט לאשתו, והרכין בראשו</w:t>
      </w:r>
      <w:r w:rsidR="008629D2">
        <w:rPr>
          <w:rStyle w:val="a7"/>
          <w:rFonts w:cs="Arial"/>
          <w:rtl/>
        </w:rPr>
        <w:footnoteReference w:id="311"/>
      </w:r>
      <w:r w:rsidRPr="00486C31">
        <w:rPr>
          <w:rFonts w:cs="Arial"/>
          <w:rtl/>
        </w:rPr>
        <w:t xml:space="preserve"> לומר הן, בודקין אותו בדברים אחרים בסירוגין, חד הן ותרין לאו</w:t>
      </w:r>
      <w:r w:rsidR="008629D2">
        <w:rPr>
          <w:rStyle w:val="a7"/>
          <w:rFonts w:cs="Arial"/>
          <w:rtl/>
        </w:rPr>
        <w:footnoteReference w:id="312"/>
      </w:r>
      <w:r w:rsidRPr="00486C31">
        <w:rPr>
          <w:rFonts w:cs="Arial"/>
          <w:rtl/>
        </w:rPr>
        <w:t>, חד לאו ותרין הן</w:t>
      </w:r>
      <w:r w:rsidR="009D77D8">
        <w:rPr>
          <w:rFonts w:cs="Arial" w:hint="cs"/>
          <w:rtl/>
        </w:rPr>
        <w:t>.</w:t>
      </w:r>
      <w:r w:rsidRPr="00486C31">
        <w:rPr>
          <w:rFonts w:cs="Arial"/>
          <w:rtl/>
        </w:rPr>
        <w:t xml:space="preserve"> אם הרכין בראשו על לאו לאו ועל הן הן, הרי אלו יכתבו ויתנו. </w:t>
      </w:r>
      <w:r w:rsidRPr="007D267E">
        <w:rPr>
          <w:rFonts w:cs="Arial"/>
          <w:sz w:val="18"/>
          <w:szCs w:val="18"/>
          <w:rtl/>
        </w:rPr>
        <w:t>הגה: וי"א דבודקין אותו על ידי פירות</w:t>
      </w:r>
      <w:r w:rsidR="008629D2">
        <w:rPr>
          <w:rStyle w:val="a7"/>
          <w:rFonts w:cs="Arial"/>
          <w:sz w:val="18"/>
          <w:szCs w:val="18"/>
          <w:rtl/>
        </w:rPr>
        <w:footnoteReference w:id="313"/>
      </w:r>
      <w:r w:rsidRPr="007D267E">
        <w:rPr>
          <w:rFonts w:cs="Arial"/>
          <w:sz w:val="18"/>
          <w:szCs w:val="18"/>
          <w:rtl/>
        </w:rPr>
        <w:t xml:space="preserve"> שאינם נמצאים אלא בקיץ ושואלין אותו בימות החורף (טור) אם רוצה שילקטו לו מן האילן</w:t>
      </w:r>
      <w:r w:rsidR="009D77D8">
        <w:rPr>
          <w:rFonts w:cs="Arial" w:hint="cs"/>
          <w:sz w:val="18"/>
          <w:szCs w:val="18"/>
          <w:rtl/>
        </w:rPr>
        <w:t xml:space="preserve"> </w:t>
      </w:r>
      <w:r w:rsidR="009D77D8" w:rsidRPr="007D267E">
        <w:rPr>
          <w:rFonts w:cs="Arial"/>
          <w:sz w:val="18"/>
          <w:szCs w:val="18"/>
          <w:rtl/>
        </w:rPr>
        <w:t>(תוס')</w:t>
      </w:r>
      <w:r w:rsidRPr="007D267E">
        <w:rPr>
          <w:rFonts w:cs="Arial"/>
          <w:sz w:val="18"/>
          <w:szCs w:val="18"/>
          <w:rtl/>
        </w:rPr>
        <w:t xml:space="preserve">, או להיפך. </w:t>
      </w:r>
    </w:p>
    <w:p w14:paraId="59FB5FE8" w14:textId="77777777" w:rsidR="007D267E" w:rsidRPr="00486C31" w:rsidRDefault="007D267E" w:rsidP="00486C31">
      <w:pPr>
        <w:rPr>
          <w:rFonts w:cs="Arial"/>
          <w:rtl/>
        </w:rPr>
      </w:pPr>
    </w:p>
    <w:p w14:paraId="454C6EB1" w14:textId="4FB3DF42" w:rsidR="00486C31" w:rsidRDefault="00486C31" w:rsidP="00786DE6">
      <w:pPr>
        <w:pStyle w:val="2"/>
        <w:rPr>
          <w:rtl/>
        </w:rPr>
      </w:pPr>
      <w:r w:rsidRPr="00486C31">
        <w:rPr>
          <w:rtl/>
        </w:rPr>
        <w:t>סעיף ו</w:t>
      </w:r>
      <w:r w:rsidR="00B32D0D">
        <w:rPr>
          <w:rFonts w:hint="cs"/>
          <w:rtl/>
        </w:rPr>
        <w:t>:</w:t>
      </w:r>
      <w:r w:rsidR="0044592A">
        <w:rPr>
          <w:rFonts w:hint="cs"/>
          <w:rtl/>
        </w:rPr>
        <w:t xml:space="preserve"> חרש </w:t>
      </w:r>
      <w:r w:rsidR="00211758">
        <w:rPr>
          <w:rFonts w:hint="cs"/>
          <w:rtl/>
        </w:rPr>
        <w:t>גמור</w:t>
      </w:r>
      <w:r w:rsidR="0044592A">
        <w:rPr>
          <w:rFonts w:hint="cs"/>
          <w:rtl/>
        </w:rPr>
        <w:t>.</w:t>
      </w:r>
    </w:p>
    <w:p w14:paraId="12133EFF" w14:textId="556E0C89" w:rsidR="00B32D0D" w:rsidRPr="00003716" w:rsidRDefault="00B32D0D" w:rsidP="007C0CD3">
      <w:pPr>
        <w:rPr>
          <w:rFonts w:cs="Arial"/>
          <w:rtl/>
        </w:rPr>
      </w:pPr>
      <w:r w:rsidRPr="00573889">
        <w:rPr>
          <w:rFonts w:cs="Arial" w:hint="cs"/>
          <w:b/>
          <w:bCs/>
          <w:rtl/>
        </w:rPr>
        <w:t xml:space="preserve">גיטין </w:t>
      </w:r>
      <w:r w:rsidRPr="00573889">
        <w:rPr>
          <w:rFonts w:cs="Arial" w:hint="cs"/>
          <w:b/>
          <w:bCs/>
          <w:sz w:val="16"/>
          <w:szCs w:val="16"/>
          <w:rtl/>
        </w:rPr>
        <w:t>(</w:t>
      </w:r>
      <w:r>
        <w:rPr>
          <w:rFonts w:cs="Arial" w:hint="cs"/>
          <w:b/>
          <w:bCs/>
          <w:sz w:val="16"/>
          <w:szCs w:val="16"/>
          <w:rtl/>
        </w:rPr>
        <w:t>ר"פ מי שאחזו</w:t>
      </w:r>
      <w:r w:rsidRPr="00573889">
        <w:rPr>
          <w:rFonts w:cs="Arial" w:hint="cs"/>
          <w:b/>
          <w:bCs/>
          <w:sz w:val="16"/>
          <w:szCs w:val="16"/>
          <w:rtl/>
        </w:rPr>
        <w:t>)</w:t>
      </w:r>
      <w:r w:rsidRPr="00573889">
        <w:rPr>
          <w:rFonts w:cs="Arial" w:hint="cs"/>
          <w:b/>
          <w:bCs/>
          <w:rtl/>
        </w:rPr>
        <w:t xml:space="preserve"> </w:t>
      </w:r>
      <w:r>
        <w:rPr>
          <w:rFonts w:cs="Arial" w:hint="cs"/>
          <w:b/>
          <w:bCs/>
          <w:rtl/>
        </w:rPr>
        <w:t>סז</w:t>
      </w:r>
      <w:r w:rsidRPr="00573889">
        <w:rPr>
          <w:rFonts w:cs="Arial" w:hint="cs"/>
          <w:b/>
          <w:bCs/>
          <w:rtl/>
        </w:rPr>
        <w:t xml:space="preserve"> ע"</w:t>
      </w:r>
      <w:r>
        <w:rPr>
          <w:rFonts w:cs="Arial" w:hint="cs"/>
          <w:b/>
          <w:bCs/>
          <w:rtl/>
        </w:rPr>
        <w:t>ב</w:t>
      </w:r>
      <w:r w:rsidRPr="00573889">
        <w:rPr>
          <w:rFonts w:cs="Arial" w:hint="cs"/>
          <w:b/>
          <w:bCs/>
          <w:rtl/>
        </w:rPr>
        <w:t>:</w:t>
      </w:r>
      <w:r w:rsidRPr="00D1348C">
        <w:rPr>
          <w:rtl/>
        </w:rPr>
        <w:t xml:space="preserve"> </w:t>
      </w:r>
      <w:r w:rsidRPr="00003716">
        <w:rPr>
          <w:rFonts w:cs="Arial" w:hint="cs"/>
          <w:u w:val="double"/>
          <w:rtl/>
        </w:rPr>
        <w:t>מתני'</w:t>
      </w:r>
      <w:r>
        <w:rPr>
          <w:rFonts w:cs="Arial" w:hint="cs"/>
          <w:rtl/>
        </w:rPr>
        <w:t xml:space="preserve">:... </w:t>
      </w:r>
      <w:r w:rsidRPr="00D1348C">
        <w:rPr>
          <w:rFonts w:cs="Arial"/>
          <w:rtl/>
        </w:rPr>
        <w:t xml:space="preserve">נשתתק, ואמרו לו נכתוב גט לאשתך והרכין בראשו, בודקין אותו שלשה פעמים, אם אמר על לאו לאו ועל הן הן </w:t>
      </w:r>
      <w:r w:rsidR="00A82951">
        <w:rPr>
          <w:rFonts w:cs="Arial"/>
          <w:rtl/>
        </w:rPr>
        <w:t>-</w:t>
      </w:r>
      <w:r w:rsidRPr="00D1348C">
        <w:rPr>
          <w:rFonts w:cs="Arial"/>
          <w:rtl/>
        </w:rPr>
        <w:t xml:space="preserve"> הרי אלו יכתבו ויתנו.</w:t>
      </w:r>
      <w:r>
        <w:rPr>
          <w:rFonts w:cs="Arial" w:hint="cs"/>
          <w:rtl/>
        </w:rPr>
        <w:t xml:space="preserve">..     </w:t>
      </w:r>
      <w:r w:rsidRPr="00D1348C">
        <w:rPr>
          <w:rFonts w:cs="Arial"/>
          <w:rtl/>
        </w:rPr>
        <w:t xml:space="preserve"> </w:t>
      </w:r>
      <w:r>
        <w:rPr>
          <w:rFonts w:cs="Arial" w:hint="cs"/>
          <w:rtl/>
        </w:rPr>
        <w:t xml:space="preserve"> </w:t>
      </w:r>
      <w:r w:rsidRPr="00003716">
        <w:rPr>
          <w:rFonts w:cs="Arial" w:hint="cs"/>
          <w:u w:val="double"/>
          <w:rtl/>
        </w:rPr>
        <w:t>גמ'</w:t>
      </w:r>
      <w:r w:rsidRPr="00003716">
        <w:rPr>
          <w:rFonts w:cs="Arial" w:hint="cs"/>
          <w:sz w:val="14"/>
          <w:szCs w:val="14"/>
          <w:u w:val="double"/>
          <w:rtl/>
        </w:rPr>
        <w:t>(ע</w:t>
      </w:r>
      <w:r w:rsidR="007C0CD3">
        <w:rPr>
          <w:rFonts w:cs="Arial" w:hint="cs"/>
          <w:sz w:val="14"/>
          <w:szCs w:val="14"/>
          <w:u w:val="double"/>
          <w:rtl/>
        </w:rPr>
        <w:t>א.</w:t>
      </w:r>
      <w:r w:rsidRPr="00003716">
        <w:rPr>
          <w:rFonts w:cs="Arial" w:hint="cs"/>
          <w:sz w:val="14"/>
          <w:szCs w:val="14"/>
          <w:u w:val="double"/>
          <w:rtl/>
        </w:rPr>
        <w:t>)</w:t>
      </w:r>
      <w:r w:rsidRPr="00003716">
        <w:rPr>
          <w:rFonts w:cs="Arial" w:hint="cs"/>
          <w:u w:val="double"/>
          <w:rtl/>
        </w:rPr>
        <w:t>:</w:t>
      </w:r>
      <w:r w:rsidR="007C0CD3">
        <w:rPr>
          <w:rFonts w:cs="Arial" w:hint="cs"/>
          <w:rtl/>
        </w:rPr>
        <w:t xml:space="preserve"> </w:t>
      </w:r>
      <w:r w:rsidRPr="00D1348C">
        <w:rPr>
          <w:rFonts w:cs="Arial"/>
          <w:u w:val="single"/>
          <w:rtl/>
        </w:rPr>
        <w:t>אמר רב כהנא אמר רב</w:t>
      </w:r>
      <w:r w:rsidRPr="00D1348C">
        <w:rPr>
          <w:rFonts w:cs="Arial"/>
          <w:rtl/>
        </w:rPr>
        <w:t xml:space="preserve">: חרש שיכול לדבר מתוך הכתב, כותבין ונותנין גט לאשתו. </w:t>
      </w:r>
      <w:r w:rsidRPr="002D1568">
        <w:rPr>
          <w:rFonts w:cs="Arial"/>
          <w:u w:val="single"/>
          <w:rtl/>
        </w:rPr>
        <w:t>אמר רב יוסף</w:t>
      </w:r>
      <w:r w:rsidRPr="00D1348C">
        <w:rPr>
          <w:rFonts w:cs="Arial"/>
          <w:rtl/>
        </w:rPr>
        <w:t xml:space="preserve">: מאי קא משמע לן? תנינא: נשתתק, ואמרו לו נכתוב גט לאשתך והרכין בראשו, בודקין אותו שלשה פעמים, אם אמר על לאו לאו ועל הן הן </w:t>
      </w:r>
      <w:r w:rsidR="00A82951">
        <w:rPr>
          <w:rFonts w:cs="Arial"/>
          <w:rtl/>
        </w:rPr>
        <w:t>-</w:t>
      </w:r>
      <w:r w:rsidRPr="00D1348C">
        <w:rPr>
          <w:rFonts w:cs="Arial"/>
          <w:rtl/>
        </w:rPr>
        <w:t xml:space="preserve"> הרי אלו יכתבו ויתנו! </w:t>
      </w:r>
      <w:r w:rsidRPr="002D1568">
        <w:rPr>
          <w:rFonts w:cs="Arial"/>
          <w:u w:val="single"/>
          <w:rtl/>
        </w:rPr>
        <w:t>אמר ליה רבי זירא</w:t>
      </w:r>
      <w:r w:rsidRPr="00D1348C">
        <w:rPr>
          <w:rFonts w:cs="Arial"/>
          <w:rtl/>
        </w:rPr>
        <w:t>: אלם קאמרת? שאני אלם</w:t>
      </w:r>
      <w:r>
        <w:rPr>
          <w:rStyle w:val="a7"/>
          <w:rFonts w:cs="Arial"/>
          <w:rtl/>
        </w:rPr>
        <w:footnoteReference w:id="314"/>
      </w:r>
      <w:r w:rsidRPr="00D1348C">
        <w:rPr>
          <w:rFonts w:cs="Arial"/>
          <w:rtl/>
        </w:rPr>
        <w:t xml:space="preserve">, דתניא: מדבר ואינו שומע </w:t>
      </w:r>
      <w:r w:rsidR="00A82951">
        <w:rPr>
          <w:rFonts w:cs="Arial"/>
          <w:rtl/>
        </w:rPr>
        <w:t>-</w:t>
      </w:r>
      <w:r w:rsidRPr="00D1348C">
        <w:rPr>
          <w:rFonts w:cs="Arial"/>
          <w:rtl/>
        </w:rPr>
        <w:t xml:space="preserve"> זהו חרש</w:t>
      </w:r>
      <w:r>
        <w:rPr>
          <w:rStyle w:val="a7"/>
          <w:rFonts w:cs="Arial"/>
          <w:rtl/>
        </w:rPr>
        <w:footnoteReference w:id="315"/>
      </w:r>
      <w:r w:rsidRPr="00D1348C">
        <w:rPr>
          <w:rFonts w:cs="Arial"/>
          <w:rtl/>
        </w:rPr>
        <w:t xml:space="preserve">, שומע ואינו מדבר </w:t>
      </w:r>
      <w:r w:rsidR="00A82951">
        <w:rPr>
          <w:rFonts w:cs="Arial"/>
          <w:rtl/>
        </w:rPr>
        <w:t>-</w:t>
      </w:r>
      <w:r w:rsidRPr="00D1348C">
        <w:rPr>
          <w:rFonts w:cs="Arial"/>
          <w:rtl/>
        </w:rPr>
        <w:t xml:space="preserve"> זהו אלם, וזה וזה הרי הן כפקחין לכל דבריהם. וממאי דמדבר ואינו שומע זהו חרש, שומע ואינו מדבר זהו אלם? דכתיב: ואני כחרש לא אשמע וכאלם לא יפתח פיו. ואי בעית אימא, כדאמרי אינשי: אישתקיל מילוליה.</w:t>
      </w:r>
      <w:r>
        <w:rPr>
          <w:rFonts w:cs="Arial" w:hint="cs"/>
          <w:rtl/>
        </w:rPr>
        <w:t>.</w:t>
      </w:r>
      <w:r w:rsidRPr="00D1348C">
        <w:rPr>
          <w:rFonts w:cs="Arial"/>
          <w:rtl/>
        </w:rPr>
        <w:t xml:space="preserve">. מיתיבי: חרש, לא הלכו בו אחר רמיזותיו ואחר קפיצותיו ואחר כתב ידו אלא במטלטלין, אבל לא לגיטין! תנאי היא; דתניא, </w:t>
      </w:r>
      <w:r w:rsidRPr="002D1568">
        <w:rPr>
          <w:rFonts w:cs="Arial"/>
          <w:u w:val="single"/>
          <w:rtl/>
        </w:rPr>
        <w:t>אמר רבן שמעון בן גמליאל</w:t>
      </w:r>
      <w:r w:rsidRPr="00D1348C">
        <w:rPr>
          <w:rFonts w:cs="Arial"/>
          <w:rtl/>
        </w:rPr>
        <w:t xml:space="preserve">: במה דברים אמורים </w:t>
      </w:r>
      <w:r w:rsidR="00A82951">
        <w:rPr>
          <w:rFonts w:cs="Arial"/>
          <w:rtl/>
        </w:rPr>
        <w:t>-</w:t>
      </w:r>
      <w:r w:rsidRPr="00D1348C">
        <w:rPr>
          <w:rFonts w:cs="Arial"/>
          <w:rtl/>
        </w:rPr>
        <w:t xml:space="preserve"> בחרש מעיקרו, אבל פיקח ונתחרש </w:t>
      </w:r>
      <w:r w:rsidR="00A82951">
        <w:rPr>
          <w:rFonts w:cs="Arial"/>
          <w:rtl/>
        </w:rPr>
        <w:t>-</w:t>
      </w:r>
      <w:r w:rsidRPr="00D1348C">
        <w:rPr>
          <w:rFonts w:cs="Arial"/>
          <w:rtl/>
        </w:rPr>
        <w:t xml:space="preserve"> הוא כותב והן חותמין. וחרש מעיקרו לא? כשם שכונסה ברמיזה כך מוציאה ברמיזה! אי באשתו ה"נ, הכא במאי עסקינן </w:t>
      </w:r>
      <w:r w:rsidR="00A82951">
        <w:rPr>
          <w:rFonts w:cs="Arial"/>
          <w:rtl/>
        </w:rPr>
        <w:t>-</w:t>
      </w:r>
      <w:r w:rsidRPr="00D1348C">
        <w:rPr>
          <w:rFonts w:cs="Arial"/>
          <w:rtl/>
        </w:rPr>
        <w:t xml:space="preserve"> ביבמתו. יבמתו ממאן? אילימא דנפלה ליה מאחיו חרש, כשם שכניסתה ברמיזה כך יציאתה ברמיזה! אלא דנפלה ליה מאחיו פיקח</w:t>
      </w:r>
      <w:r w:rsidRPr="002D1568">
        <w:rPr>
          <w:rFonts w:cs="Arial"/>
          <w:rtl/>
        </w:rPr>
        <w:t>.</w:t>
      </w:r>
    </w:p>
    <w:p w14:paraId="26C3BB10" w14:textId="31721565" w:rsidR="00B32D0D" w:rsidRPr="003E463B" w:rsidRDefault="00A45FC0" w:rsidP="00B32D0D">
      <w:pPr>
        <w:rPr>
          <w:rFonts w:cs="Arial"/>
          <w:u w:val="single"/>
          <w:rtl/>
        </w:rPr>
      </w:pPr>
      <w:r>
        <w:rPr>
          <w:rFonts w:hint="cs"/>
          <w:u w:val="single"/>
          <w:rtl/>
        </w:rPr>
        <w:t xml:space="preserve">חרש </w:t>
      </w:r>
      <w:r w:rsidR="00A82951">
        <w:rPr>
          <w:rFonts w:hint="cs"/>
          <w:u w:val="single"/>
          <w:rtl/>
        </w:rPr>
        <w:t>-</w:t>
      </w:r>
      <w:r>
        <w:rPr>
          <w:rFonts w:hint="cs"/>
          <w:u w:val="single"/>
          <w:rtl/>
        </w:rPr>
        <w:t xml:space="preserve"> </w:t>
      </w:r>
      <w:r w:rsidR="00B32D0D" w:rsidRPr="003E463B">
        <w:rPr>
          <w:rFonts w:cs="Arial" w:hint="cs"/>
          <w:u w:val="single"/>
          <w:rtl/>
        </w:rPr>
        <w:t xml:space="preserve">המדבר ואינו שומע: </w:t>
      </w:r>
    </w:p>
    <w:p w14:paraId="3DEC1BEB" w14:textId="27CAC340" w:rsidR="00B32D0D" w:rsidRDefault="000A4A09" w:rsidP="00A65C5F">
      <w:pPr>
        <w:pStyle w:val="ab"/>
        <w:numPr>
          <w:ilvl w:val="0"/>
          <w:numId w:val="28"/>
        </w:numPr>
        <w:rPr>
          <w:rFonts w:cs="Arial"/>
        </w:rPr>
      </w:pPr>
      <w:r>
        <w:rPr>
          <w:rFonts w:cs="Arial" w:hint="cs"/>
          <w:rtl/>
        </w:rPr>
        <w:t>(</w:t>
      </w:r>
      <w:r w:rsidR="00B32D0D">
        <w:rPr>
          <w:rFonts w:cs="Arial" w:hint="cs"/>
          <w:rtl/>
        </w:rPr>
        <w:t xml:space="preserve">רמב"ם </w:t>
      </w:r>
      <w:r w:rsidR="00B32D0D" w:rsidRPr="003E463B">
        <w:rPr>
          <w:rFonts w:cs="Arial" w:hint="cs"/>
          <w:sz w:val="16"/>
          <w:szCs w:val="16"/>
          <w:rtl/>
        </w:rPr>
        <w:t>להב' הב"י</w:t>
      </w:r>
      <w:r>
        <w:rPr>
          <w:rFonts w:cs="Arial" w:hint="cs"/>
          <w:rtl/>
        </w:rPr>
        <w:t xml:space="preserve">) </w:t>
      </w:r>
      <w:r w:rsidR="00B32D0D" w:rsidRPr="0087178D">
        <w:rPr>
          <w:rFonts w:cs="Arial" w:hint="cs"/>
          <w:rtl/>
        </w:rPr>
        <w:t>וטור</w:t>
      </w:r>
      <w:r w:rsidR="00B32D0D">
        <w:rPr>
          <w:rFonts w:cs="Arial" w:hint="cs"/>
          <w:sz w:val="16"/>
          <w:szCs w:val="16"/>
          <w:rtl/>
        </w:rPr>
        <w:t xml:space="preserve"> (חו"מ סי' רלה סי"ט</w:t>
      </w:r>
      <w:r w:rsidR="00B32D0D" w:rsidRPr="003E463B">
        <w:rPr>
          <w:rFonts w:cs="Arial" w:hint="cs"/>
          <w:sz w:val="16"/>
          <w:szCs w:val="16"/>
          <w:rtl/>
        </w:rPr>
        <w:t>)</w:t>
      </w:r>
      <w:r w:rsidR="00A82951">
        <w:rPr>
          <w:rFonts w:cs="Arial" w:hint="cs"/>
          <w:rtl/>
        </w:rPr>
        <w:t>-</w:t>
      </w:r>
      <w:r w:rsidR="00B32D0D" w:rsidRPr="003E463B">
        <w:rPr>
          <w:rFonts w:cs="Arial" w:hint="cs"/>
          <w:rtl/>
        </w:rPr>
        <w:t xml:space="preserve"> </w:t>
      </w:r>
      <w:r w:rsidR="00B32D0D">
        <w:rPr>
          <w:rStyle w:val="a7"/>
          <w:rFonts w:cs="Arial"/>
          <w:rtl/>
        </w:rPr>
        <w:footnoteReference w:id="316"/>
      </w:r>
      <w:r w:rsidR="00B32D0D" w:rsidRPr="003E463B">
        <w:rPr>
          <w:rFonts w:cs="Arial"/>
          <w:rtl/>
        </w:rPr>
        <w:t>כל שמדבר דינו כפיקח גמור</w:t>
      </w:r>
      <w:r w:rsidR="00B32D0D">
        <w:rPr>
          <w:rFonts w:cs="Arial" w:hint="cs"/>
          <w:rtl/>
        </w:rPr>
        <w:t>,</w:t>
      </w:r>
      <w:r w:rsidR="00B32D0D" w:rsidRPr="003E463B">
        <w:rPr>
          <w:rFonts w:cs="Arial"/>
          <w:rtl/>
        </w:rPr>
        <w:t xml:space="preserve"> שהרי מתוך דיבורו ניכר אם הוא בן דעת</w:t>
      </w:r>
      <w:r w:rsidR="00B32D0D">
        <w:rPr>
          <w:rStyle w:val="a7"/>
          <w:rFonts w:cs="Arial"/>
          <w:rtl/>
        </w:rPr>
        <w:footnoteReference w:id="317"/>
      </w:r>
      <w:r w:rsidR="004743C9">
        <w:rPr>
          <w:rFonts w:cs="Arial" w:hint="cs"/>
          <w:sz w:val="16"/>
          <w:szCs w:val="16"/>
          <w:rtl/>
        </w:rPr>
        <w:t xml:space="preserve"> (ל' הב"י)</w:t>
      </w:r>
      <w:r w:rsidR="00B32D0D" w:rsidRPr="003E463B">
        <w:rPr>
          <w:rFonts w:cs="Arial" w:hint="cs"/>
          <w:rtl/>
        </w:rPr>
        <w:t xml:space="preserve">. </w:t>
      </w:r>
    </w:p>
    <w:p w14:paraId="25F7EEAC" w14:textId="72D91F96" w:rsidR="00B32D0D" w:rsidRDefault="00B32D0D" w:rsidP="00A65C5F">
      <w:pPr>
        <w:pStyle w:val="ab"/>
        <w:numPr>
          <w:ilvl w:val="0"/>
          <w:numId w:val="28"/>
        </w:numPr>
        <w:rPr>
          <w:rFonts w:cs="Arial"/>
        </w:rPr>
      </w:pPr>
      <w:r w:rsidRPr="003E463B">
        <w:rPr>
          <w:rFonts w:cs="Arial"/>
          <w:rtl/>
        </w:rPr>
        <w:t>ר"ן</w:t>
      </w:r>
      <w:r>
        <w:rPr>
          <w:rStyle w:val="a7"/>
          <w:rFonts w:cs="Arial"/>
          <w:rtl/>
        </w:rPr>
        <w:footnoteReference w:id="318"/>
      </w:r>
      <w:r w:rsidRPr="003E463B">
        <w:rPr>
          <w:rFonts w:cs="Arial"/>
          <w:rtl/>
        </w:rPr>
        <w:t xml:space="preserve"> </w:t>
      </w:r>
      <w:r w:rsidRPr="003E463B">
        <w:rPr>
          <w:rFonts w:cs="Arial"/>
          <w:sz w:val="16"/>
          <w:szCs w:val="16"/>
          <w:rtl/>
        </w:rPr>
        <w:t>(לג. ד"ה אמרו)</w:t>
      </w:r>
      <w:r w:rsidR="00A82951">
        <w:rPr>
          <w:rFonts w:cs="Arial" w:hint="cs"/>
          <w:rtl/>
        </w:rPr>
        <w:t>-</w:t>
      </w:r>
      <w:r>
        <w:rPr>
          <w:rFonts w:cs="Arial" w:hint="cs"/>
          <w:rtl/>
        </w:rPr>
        <w:t xml:space="preserve"> </w:t>
      </w:r>
      <w:r>
        <w:rPr>
          <w:rStyle w:val="a7"/>
          <w:rFonts w:cs="Arial"/>
          <w:rtl/>
        </w:rPr>
        <w:footnoteReference w:id="319"/>
      </w:r>
      <w:r w:rsidRPr="003E463B">
        <w:rPr>
          <w:rFonts w:cs="Arial"/>
          <w:rtl/>
        </w:rPr>
        <w:t>מדבר ואינו שומע דינו שוה לשומע ואינו מדבר</w:t>
      </w:r>
      <w:r w:rsidRPr="00A31799">
        <w:rPr>
          <w:rFonts w:cs="Arial" w:hint="cs"/>
          <w:rtl/>
        </w:rPr>
        <w:t>.</w:t>
      </w:r>
    </w:p>
    <w:p w14:paraId="338C1055" w14:textId="50083AF0" w:rsidR="00B32D0D" w:rsidRPr="0065171F" w:rsidRDefault="000A4A09" w:rsidP="00A65C5F">
      <w:pPr>
        <w:pStyle w:val="ab"/>
        <w:numPr>
          <w:ilvl w:val="0"/>
          <w:numId w:val="28"/>
        </w:numPr>
        <w:rPr>
          <w:rFonts w:cs="Arial"/>
          <w:rtl/>
        </w:rPr>
      </w:pPr>
      <w:r>
        <w:rPr>
          <w:rFonts w:cs="Arial" w:hint="cs"/>
          <w:rtl/>
        </w:rPr>
        <w:lastRenderedPageBreak/>
        <w:t>(</w:t>
      </w:r>
      <w:r w:rsidR="00B32D0D">
        <w:rPr>
          <w:rFonts w:cs="Arial" w:hint="cs"/>
          <w:rtl/>
        </w:rPr>
        <w:t>רמב"ם</w:t>
      </w:r>
      <w:r w:rsidR="00B32D0D">
        <w:rPr>
          <w:rFonts w:cs="Arial" w:hint="cs"/>
          <w:sz w:val="16"/>
          <w:szCs w:val="16"/>
          <w:rtl/>
        </w:rPr>
        <w:t xml:space="preserve"> להב' הטור [שם]</w:t>
      </w:r>
      <w:r>
        <w:rPr>
          <w:rFonts w:cs="Arial" w:hint="cs"/>
          <w:rtl/>
        </w:rPr>
        <w:t>)</w:t>
      </w:r>
      <w:r w:rsidR="00A82951">
        <w:rPr>
          <w:rFonts w:cs="Arial" w:hint="cs"/>
          <w:rtl/>
        </w:rPr>
        <w:t>-</w:t>
      </w:r>
      <w:r w:rsidR="00B32D0D" w:rsidRPr="0087178D">
        <w:rPr>
          <w:rtl/>
        </w:rPr>
        <w:t xml:space="preserve"> </w:t>
      </w:r>
      <w:r w:rsidR="00B32D0D" w:rsidRPr="0087178D">
        <w:rPr>
          <w:rFonts w:cs="Arial"/>
          <w:rtl/>
        </w:rPr>
        <w:t xml:space="preserve">דין מדבר ואינו שומע </w:t>
      </w:r>
      <w:r w:rsidR="00B32D0D">
        <w:rPr>
          <w:rFonts w:cs="Arial" w:hint="cs"/>
          <w:rtl/>
        </w:rPr>
        <w:t xml:space="preserve">שוה </w:t>
      </w:r>
      <w:r w:rsidR="00B32D0D" w:rsidRPr="0087178D">
        <w:rPr>
          <w:rFonts w:cs="Arial"/>
          <w:rtl/>
        </w:rPr>
        <w:t>לדין אינו שומע ואינו מדבר</w:t>
      </w:r>
      <w:r w:rsidR="00B32D0D" w:rsidRPr="00DB29B5">
        <w:rPr>
          <w:rFonts w:cs="Arial"/>
          <w:rtl/>
        </w:rPr>
        <w:t xml:space="preserve">. </w:t>
      </w:r>
    </w:p>
    <w:p w14:paraId="716EF486" w14:textId="6E40B7E4" w:rsidR="00462391" w:rsidRPr="00462391" w:rsidRDefault="00462391" w:rsidP="00462391">
      <w:pPr>
        <w:rPr>
          <w:rFonts w:cs="Arial"/>
          <w:rtl/>
        </w:rPr>
      </w:pPr>
      <w:r w:rsidRPr="00462391">
        <w:rPr>
          <w:rFonts w:cs="Arial"/>
          <w:b/>
          <w:bCs/>
          <w:rtl/>
        </w:rPr>
        <w:t xml:space="preserve">יבמות </w:t>
      </w:r>
      <w:r w:rsidRPr="00462391">
        <w:rPr>
          <w:rFonts w:cs="Arial" w:hint="cs"/>
          <w:b/>
          <w:bCs/>
          <w:sz w:val="16"/>
          <w:szCs w:val="16"/>
          <w:rtl/>
        </w:rPr>
        <w:t>(</w:t>
      </w:r>
      <w:r w:rsidRPr="00462391">
        <w:rPr>
          <w:rFonts w:cs="Arial"/>
          <w:b/>
          <w:bCs/>
          <w:sz w:val="16"/>
          <w:szCs w:val="16"/>
          <w:rtl/>
        </w:rPr>
        <w:t>ר</w:t>
      </w:r>
      <w:r w:rsidRPr="00462391">
        <w:rPr>
          <w:rFonts w:cs="Arial" w:hint="cs"/>
          <w:b/>
          <w:bCs/>
          <w:sz w:val="16"/>
          <w:szCs w:val="16"/>
          <w:rtl/>
        </w:rPr>
        <w:t>"פ</w:t>
      </w:r>
      <w:r w:rsidRPr="00462391">
        <w:rPr>
          <w:rFonts w:cs="Arial"/>
          <w:b/>
          <w:bCs/>
          <w:sz w:val="16"/>
          <w:szCs w:val="16"/>
          <w:rtl/>
        </w:rPr>
        <w:t xml:space="preserve"> חרש</w:t>
      </w:r>
      <w:r w:rsidRPr="00462391">
        <w:rPr>
          <w:rFonts w:cs="Arial" w:hint="cs"/>
          <w:b/>
          <w:bCs/>
          <w:sz w:val="16"/>
          <w:szCs w:val="16"/>
          <w:rtl/>
        </w:rPr>
        <w:t>)</w:t>
      </w:r>
      <w:r w:rsidRPr="00462391">
        <w:rPr>
          <w:rFonts w:cs="Arial"/>
          <w:b/>
          <w:bCs/>
          <w:rtl/>
        </w:rPr>
        <w:t xml:space="preserve"> קיב</w:t>
      </w:r>
      <w:r w:rsidRPr="00462391">
        <w:rPr>
          <w:rFonts w:cs="Arial" w:hint="cs"/>
          <w:b/>
          <w:bCs/>
          <w:rtl/>
        </w:rPr>
        <w:t xml:space="preserve"> ע"ב</w:t>
      </w:r>
      <w:r w:rsidRPr="00462391">
        <w:rPr>
          <w:rFonts w:cs="Arial"/>
          <w:b/>
          <w:bCs/>
          <w:rtl/>
        </w:rPr>
        <w:t>:</w:t>
      </w:r>
      <w:r w:rsidRPr="00462391">
        <w:rPr>
          <w:rFonts w:cs="Arial"/>
          <w:rtl/>
        </w:rPr>
        <w:t xml:space="preserve"> </w:t>
      </w:r>
      <w:r w:rsidRPr="00462391">
        <w:rPr>
          <w:rFonts w:cs="Arial" w:hint="cs"/>
          <w:u w:val="double"/>
          <w:rtl/>
        </w:rPr>
        <w:t>מתני'</w:t>
      </w:r>
      <w:r w:rsidRPr="00462391">
        <w:rPr>
          <w:rFonts w:cs="Arial" w:hint="cs"/>
          <w:rtl/>
        </w:rPr>
        <w:t xml:space="preserve">: </w:t>
      </w:r>
      <w:r w:rsidRPr="00462391">
        <w:rPr>
          <w:rFonts w:cs="Arial"/>
          <w:rtl/>
        </w:rPr>
        <w:t xml:space="preserve">חרש שנשא פקחת, ופקח שנשא חרשת, אם רצה להוציא </w:t>
      </w:r>
      <w:r w:rsidR="00A82951">
        <w:rPr>
          <w:rFonts w:cs="Arial"/>
          <w:rtl/>
        </w:rPr>
        <w:t>-</w:t>
      </w:r>
      <w:r w:rsidRPr="00462391">
        <w:rPr>
          <w:rFonts w:cs="Arial"/>
          <w:rtl/>
        </w:rPr>
        <w:t xml:space="preserve"> יוציא, ואם רצה לקיים </w:t>
      </w:r>
      <w:r w:rsidR="00A82951">
        <w:rPr>
          <w:rFonts w:cs="Arial"/>
          <w:rtl/>
        </w:rPr>
        <w:t>-</w:t>
      </w:r>
      <w:r w:rsidRPr="00462391">
        <w:rPr>
          <w:rFonts w:cs="Arial"/>
          <w:rtl/>
        </w:rPr>
        <w:t xml:space="preserve"> יקיים</w:t>
      </w:r>
      <w:r w:rsidRPr="00462391">
        <w:rPr>
          <w:rFonts w:cs="Arial" w:hint="cs"/>
          <w:rtl/>
        </w:rPr>
        <w:t>.</w:t>
      </w:r>
      <w:r w:rsidRPr="00462391">
        <w:rPr>
          <w:rFonts w:cs="Arial"/>
          <w:rtl/>
        </w:rPr>
        <w:t xml:space="preserve"> כשם שהוא כונס ברמיזה, כך הוא מוציא ברמיזה. פקח שנשא פקחת ונתחרשה, אם רצה </w:t>
      </w:r>
      <w:r w:rsidR="00A82951">
        <w:rPr>
          <w:rFonts w:cs="Arial"/>
          <w:rtl/>
        </w:rPr>
        <w:t>-</w:t>
      </w:r>
      <w:r w:rsidRPr="00462391">
        <w:rPr>
          <w:rFonts w:cs="Arial"/>
          <w:rtl/>
        </w:rPr>
        <w:t xml:space="preserve"> יוציא, ואם רצה </w:t>
      </w:r>
      <w:r w:rsidR="00A82951">
        <w:rPr>
          <w:rFonts w:cs="Arial"/>
          <w:rtl/>
        </w:rPr>
        <w:t>-</w:t>
      </w:r>
      <w:r w:rsidRPr="00462391">
        <w:rPr>
          <w:rFonts w:cs="Arial"/>
          <w:rtl/>
        </w:rPr>
        <w:t xml:space="preserve"> יקיים, נשתטית </w:t>
      </w:r>
      <w:r w:rsidR="00A82951">
        <w:rPr>
          <w:rFonts w:cs="Arial"/>
          <w:rtl/>
        </w:rPr>
        <w:t>-</w:t>
      </w:r>
      <w:r w:rsidRPr="00462391">
        <w:rPr>
          <w:rFonts w:cs="Arial"/>
          <w:rtl/>
        </w:rPr>
        <w:t xml:space="preserve"> לא יוציא, נתחרש הוא</w:t>
      </w:r>
      <w:r>
        <w:rPr>
          <w:rStyle w:val="a7"/>
          <w:rFonts w:cs="Arial"/>
          <w:rtl/>
        </w:rPr>
        <w:footnoteReference w:id="320"/>
      </w:r>
      <w:r w:rsidRPr="00462391">
        <w:rPr>
          <w:rFonts w:cs="Arial"/>
          <w:rtl/>
        </w:rPr>
        <w:t xml:space="preserve"> או נשתטה </w:t>
      </w:r>
      <w:r w:rsidR="00A82951">
        <w:rPr>
          <w:rFonts w:cs="Arial"/>
          <w:rtl/>
        </w:rPr>
        <w:t>-</w:t>
      </w:r>
      <w:r w:rsidRPr="00462391">
        <w:rPr>
          <w:rFonts w:cs="Arial"/>
          <w:rtl/>
        </w:rPr>
        <w:t xml:space="preserve"> אינו מוציאה עולמית</w:t>
      </w:r>
      <w:r>
        <w:rPr>
          <w:rStyle w:val="a7"/>
          <w:rFonts w:cs="Arial"/>
          <w:rtl/>
        </w:rPr>
        <w:footnoteReference w:id="321"/>
      </w:r>
      <w:r w:rsidRPr="00462391">
        <w:rPr>
          <w:rFonts w:cs="Arial"/>
          <w:rtl/>
        </w:rPr>
        <w:t xml:space="preserve">. ב' אחין חרשין נשואין לב' אחיות חרשות, או לשתי אחיות פקחות, או לשתי אחיות אחת חרשת ואחת פקחת, או ב' אחיות חרשות נשואין לשני אחין פקחין, או לשני אחין חרשין, או לשני אחין אחד חרש ואחד פקח </w:t>
      </w:r>
      <w:r w:rsidR="00A82951">
        <w:rPr>
          <w:rFonts w:cs="Arial"/>
          <w:rtl/>
        </w:rPr>
        <w:t>-</w:t>
      </w:r>
      <w:r w:rsidRPr="00462391">
        <w:rPr>
          <w:rFonts w:cs="Arial"/>
          <w:rtl/>
        </w:rPr>
        <w:t xml:space="preserve"> הרי אלו פטורין מן החליצה ומן הייבום</w:t>
      </w:r>
      <w:r>
        <w:rPr>
          <w:rStyle w:val="a7"/>
          <w:rFonts w:cs="Arial"/>
          <w:rtl/>
        </w:rPr>
        <w:footnoteReference w:id="322"/>
      </w:r>
      <w:r w:rsidRPr="00462391">
        <w:rPr>
          <w:rFonts w:cs="Arial" w:hint="cs"/>
          <w:rtl/>
        </w:rPr>
        <w:t>.</w:t>
      </w:r>
      <w:r w:rsidRPr="00462391">
        <w:rPr>
          <w:rFonts w:cs="Arial"/>
          <w:rtl/>
        </w:rPr>
        <w:t xml:space="preserve"> ואם היו נכריות </w:t>
      </w:r>
      <w:r w:rsidR="00A82951">
        <w:rPr>
          <w:rFonts w:cs="Arial"/>
          <w:rtl/>
        </w:rPr>
        <w:t>-</w:t>
      </w:r>
      <w:r w:rsidRPr="00462391">
        <w:rPr>
          <w:rFonts w:cs="Arial"/>
          <w:rtl/>
        </w:rPr>
        <w:t xml:space="preserve"> יכנוסו, ואם רצו להוציא </w:t>
      </w:r>
      <w:r w:rsidR="00A82951">
        <w:rPr>
          <w:rFonts w:cs="Arial"/>
          <w:rtl/>
        </w:rPr>
        <w:t>-</w:t>
      </w:r>
      <w:r w:rsidRPr="00462391">
        <w:rPr>
          <w:rFonts w:cs="Arial"/>
          <w:rtl/>
        </w:rPr>
        <w:t xml:space="preserve"> יוציאו.</w:t>
      </w:r>
      <w:r w:rsidRPr="00462391">
        <w:rPr>
          <w:rFonts w:cs="Arial" w:hint="cs"/>
          <w:rtl/>
        </w:rPr>
        <w:t>..</w:t>
      </w:r>
      <w:r w:rsidRPr="00462391">
        <w:rPr>
          <w:rFonts w:cs="Arial"/>
          <w:rtl/>
        </w:rPr>
        <w:t xml:space="preserve"> שני אחין </w:t>
      </w:r>
      <w:r w:rsidR="00A82951">
        <w:rPr>
          <w:rFonts w:cs="Arial"/>
          <w:rtl/>
        </w:rPr>
        <w:t>-</w:t>
      </w:r>
      <w:r w:rsidRPr="00462391">
        <w:rPr>
          <w:rFonts w:cs="Arial"/>
          <w:rtl/>
        </w:rPr>
        <w:t xml:space="preserve"> אחד חרש ואחד פקח, נשואין לשתי נכריות פקחות, מת חרש בעל פקחת, מה יעשה פקח בעל פקחת? או חולץ או מייבם</w:t>
      </w:r>
      <w:r w:rsidRPr="00462391">
        <w:rPr>
          <w:rFonts w:cs="Arial" w:hint="cs"/>
          <w:rtl/>
        </w:rPr>
        <w:t>.</w:t>
      </w:r>
      <w:r w:rsidRPr="00462391">
        <w:rPr>
          <w:rFonts w:cs="Arial"/>
          <w:rtl/>
        </w:rPr>
        <w:t xml:space="preserve"> מת פקח בעל פקחת, מה יעשה חרש בעל פקחת</w:t>
      </w:r>
      <w:r>
        <w:rPr>
          <w:rStyle w:val="a7"/>
          <w:rFonts w:cs="Arial"/>
          <w:rtl/>
        </w:rPr>
        <w:footnoteReference w:id="323"/>
      </w:r>
      <w:r w:rsidRPr="00462391">
        <w:rPr>
          <w:rFonts w:cs="Arial"/>
          <w:rtl/>
        </w:rPr>
        <w:t>? כונס ואינו מוציא לעולם</w:t>
      </w:r>
      <w:r>
        <w:rPr>
          <w:rStyle w:val="a7"/>
          <w:rFonts w:cs="Arial"/>
          <w:rtl/>
        </w:rPr>
        <w:footnoteReference w:id="324"/>
      </w:r>
      <w:r w:rsidRPr="00462391">
        <w:rPr>
          <w:rFonts w:cs="Arial"/>
          <w:rtl/>
        </w:rPr>
        <w:t xml:space="preserve">. </w:t>
      </w:r>
    </w:p>
    <w:p w14:paraId="63E2A9A3" w14:textId="18C2F8C3" w:rsidR="00B32D0D" w:rsidRPr="0044592A" w:rsidRDefault="0044592A" w:rsidP="00B32D0D">
      <w:pPr>
        <w:rPr>
          <w:u w:val="single"/>
          <w:rtl/>
        </w:rPr>
      </w:pPr>
      <w:r w:rsidRPr="0044592A">
        <w:rPr>
          <w:rFonts w:hint="cs"/>
          <w:u w:val="single"/>
          <w:rtl/>
        </w:rPr>
        <w:t xml:space="preserve">חרש </w:t>
      </w:r>
      <w:r w:rsidR="00A82951">
        <w:rPr>
          <w:u w:val="single"/>
          <w:rtl/>
        </w:rPr>
        <w:t>-</w:t>
      </w:r>
      <w:r w:rsidRPr="0044592A">
        <w:rPr>
          <w:rFonts w:hint="cs"/>
          <w:u w:val="single"/>
          <w:rtl/>
        </w:rPr>
        <w:t xml:space="preserve"> שאינו שומע ואינו מדבר:</w:t>
      </w:r>
    </w:p>
    <w:p w14:paraId="6E826A28" w14:textId="467A5C00" w:rsidR="00624B55" w:rsidRPr="00624B55" w:rsidRDefault="00624B55" w:rsidP="00A65C5F">
      <w:pPr>
        <w:pStyle w:val="ab"/>
        <w:numPr>
          <w:ilvl w:val="0"/>
          <w:numId w:val="30"/>
        </w:numPr>
      </w:pPr>
      <w:r>
        <w:rPr>
          <w:rFonts w:cs="Arial" w:hint="cs"/>
          <w:rtl/>
        </w:rPr>
        <w:t>טור</w:t>
      </w:r>
      <w:r w:rsidR="00A82951">
        <w:rPr>
          <w:rFonts w:cs="Arial" w:hint="cs"/>
          <w:rtl/>
        </w:rPr>
        <w:t>-</w:t>
      </w:r>
      <w:r>
        <w:rPr>
          <w:rFonts w:cs="Arial" w:hint="cs"/>
          <w:rtl/>
        </w:rPr>
        <w:t xml:space="preserve"> </w:t>
      </w:r>
      <w:r w:rsidRPr="00BE2DBA">
        <w:rPr>
          <w:rFonts w:cs="Arial"/>
          <w:rtl/>
        </w:rPr>
        <w:t>ודוקא בשנשתתק או אלם השומע ואינו מדבר סומכין על רמיזתו להוציא</w:t>
      </w:r>
      <w:r w:rsidR="00AF55DD">
        <w:rPr>
          <w:rFonts w:cs="Arial" w:hint="cs"/>
          <w:rtl/>
        </w:rPr>
        <w:t>,</w:t>
      </w:r>
      <w:r w:rsidRPr="00BE2DBA">
        <w:rPr>
          <w:rFonts w:cs="Arial"/>
          <w:rtl/>
        </w:rPr>
        <w:t xml:space="preserve"> אבל חרש שאינו שומע ואינו מדבר </w:t>
      </w:r>
      <w:r w:rsidR="00A82951">
        <w:rPr>
          <w:rFonts w:cs="Arial" w:hint="cs"/>
          <w:rtl/>
        </w:rPr>
        <w:t>-</w:t>
      </w:r>
      <w:r w:rsidR="00AF55DD">
        <w:rPr>
          <w:rFonts w:cs="Arial" w:hint="cs"/>
          <w:rtl/>
        </w:rPr>
        <w:t xml:space="preserve"> </w:t>
      </w:r>
      <w:r w:rsidRPr="00BE2DBA">
        <w:rPr>
          <w:rFonts w:cs="Arial"/>
          <w:rtl/>
        </w:rPr>
        <w:t>אינו מוציא את אשתו ברמיזה</w:t>
      </w:r>
      <w:r w:rsidR="00AF55DD">
        <w:rPr>
          <w:rFonts w:cs="Arial" w:hint="cs"/>
          <w:rtl/>
        </w:rPr>
        <w:t>.</w:t>
      </w:r>
      <w:r w:rsidRPr="00BE2DBA">
        <w:rPr>
          <w:rFonts w:cs="Arial"/>
          <w:rtl/>
        </w:rPr>
        <w:t xml:space="preserve"> במה דברים אמורים</w:t>
      </w:r>
      <w:r w:rsidR="00AF55DD">
        <w:rPr>
          <w:rFonts w:cs="Arial" w:hint="cs"/>
          <w:rtl/>
        </w:rPr>
        <w:t>,</w:t>
      </w:r>
      <w:r w:rsidRPr="00BE2DBA">
        <w:rPr>
          <w:rFonts w:cs="Arial"/>
          <w:rtl/>
        </w:rPr>
        <w:t xml:space="preserve"> שנשאה כשהיה פיקח ונשתטה או נתחרש</w:t>
      </w:r>
      <w:r w:rsidR="00AF55DD">
        <w:rPr>
          <w:rFonts w:cs="Arial" w:hint="cs"/>
          <w:rtl/>
        </w:rPr>
        <w:t>,</w:t>
      </w:r>
      <w:r w:rsidRPr="00BE2DBA">
        <w:rPr>
          <w:rFonts w:cs="Arial"/>
          <w:rtl/>
        </w:rPr>
        <w:t xml:space="preserve"> או שנפלה לו יבמה מאחיו</w:t>
      </w:r>
      <w:r w:rsidR="00D533F3">
        <w:rPr>
          <w:rFonts w:cs="Arial" w:hint="cs"/>
          <w:rtl/>
        </w:rPr>
        <w:t xml:space="preserve"> [פקח]</w:t>
      </w:r>
      <w:r w:rsidR="00AF55DD">
        <w:rPr>
          <w:rFonts w:cs="Arial" w:hint="cs"/>
          <w:rtl/>
        </w:rPr>
        <w:t>.</w:t>
      </w:r>
      <w:r w:rsidRPr="00BE2DBA">
        <w:rPr>
          <w:rFonts w:cs="Arial"/>
          <w:rtl/>
        </w:rPr>
        <w:t xml:space="preserve"> אבל נשאה כשהוא חרש</w:t>
      </w:r>
      <w:r w:rsidR="00AF55DD">
        <w:rPr>
          <w:rFonts w:cs="Arial" w:hint="cs"/>
          <w:rtl/>
        </w:rPr>
        <w:t>,</w:t>
      </w:r>
      <w:r w:rsidRPr="00BE2DBA">
        <w:rPr>
          <w:rFonts w:cs="Arial"/>
          <w:rtl/>
        </w:rPr>
        <w:t xml:space="preserve"> אפי' היא פקחת </w:t>
      </w:r>
      <w:r w:rsidR="00A82951">
        <w:rPr>
          <w:rFonts w:cs="Arial" w:hint="cs"/>
          <w:rtl/>
        </w:rPr>
        <w:t>-</w:t>
      </w:r>
      <w:r w:rsidR="00AF55DD">
        <w:rPr>
          <w:rFonts w:cs="Arial" w:hint="cs"/>
          <w:rtl/>
        </w:rPr>
        <w:t xml:space="preserve"> </w:t>
      </w:r>
      <w:r w:rsidRPr="00BE2DBA">
        <w:rPr>
          <w:rFonts w:cs="Arial"/>
          <w:rtl/>
        </w:rPr>
        <w:t>מוציא ברמיזה</w:t>
      </w:r>
      <w:r>
        <w:rPr>
          <w:rFonts w:cs="Arial" w:hint="cs"/>
          <w:rtl/>
        </w:rPr>
        <w:t>.</w:t>
      </w:r>
      <w:r w:rsidRPr="00BE2DBA">
        <w:rPr>
          <w:rFonts w:cs="Arial"/>
          <w:rtl/>
        </w:rPr>
        <w:t xml:space="preserve"> </w:t>
      </w:r>
      <w:r w:rsidR="0044592A" w:rsidRPr="000922FE">
        <w:rPr>
          <w:rFonts w:cs="Arial" w:hint="cs"/>
          <w:color w:val="E36C0A" w:themeColor="accent6" w:themeShade="BF"/>
          <w:rtl/>
        </w:rPr>
        <w:t>(וכ"פ בשו"ע</w:t>
      </w:r>
      <w:r w:rsidR="0044592A">
        <w:rPr>
          <w:rFonts w:cs="Arial" w:hint="cs"/>
          <w:color w:val="E36C0A" w:themeColor="accent6" w:themeShade="BF"/>
          <w:rtl/>
        </w:rPr>
        <w:t>)</w:t>
      </w:r>
    </w:p>
    <w:p w14:paraId="194D807F" w14:textId="32F94716" w:rsidR="006E1A09" w:rsidRDefault="002F74FE" w:rsidP="006E1A09">
      <w:pPr>
        <w:rPr>
          <w:rFonts w:cs="Arial"/>
          <w:rtl/>
        </w:rPr>
      </w:pPr>
      <w:r w:rsidRPr="002F74FE">
        <w:rPr>
          <w:rFonts w:cs="Arial" w:hint="cs"/>
          <w:b/>
          <w:bCs/>
          <w:rtl/>
        </w:rPr>
        <w:t xml:space="preserve">גיטין </w:t>
      </w:r>
      <w:r>
        <w:rPr>
          <w:rFonts w:cs="Arial" w:hint="cs"/>
          <w:b/>
          <w:bCs/>
          <w:sz w:val="16"/>
          <w:szCs w:val="16"/>
          <w:rtl/>
        </w:rPr>
        <w:t xml:space="preserve">(פ' הניזקין) </w:t>
      </w:r>
      <w:r w:rsidRPr="002F74FE">
        <w:rPr>
          <w:rFonts w:cs="Arial" w:hint="cs"/>
          <w:b/>
          <w:bCs/>
          <w:rtl/>
        </w:rPr>
        <w:t xml:space="preserve">נט ע"א: </w:t>
      </w:r>
      <w:r w:rsidRPr="002F74FE">
        <w:rPr>
          <w:rFonts w:cs="Arial"/>
          <w:u w:val="double"/>
          <w:rtl/>
        </w:rPr>
        <w:t>מתני'</w:t>
      </w:r>
      <w:r>
        <w:rPr>
          <w:rFonts w:cs="Arial" w:hint="cs"/>
          <w:rtl/>
        </w:rPr>
        <w:t>:</w:t>
      </w:r>
      <w:r w:rsidRPr="002F74FE">
        <w:rPr>
          <w:rFonts w:cs="Arial"/>
          <w:rtl/>
        </w:rPr>
        <w:t xml:space="preserve"> חרש רומז</w:t>
      </w:r>
      <w:r>
        <w:rPr>
          <w:rStyle w:val="a7"/>
          <w:rFonts w:cs="Arial"/>
          <w:rtl/>
        </w:rPr>
        <w:footnoteReference w:id="325"/>
      </w:r>
      <w:r w:rsidRPr="002F74FE">
        <w:rPr>
          <w:rFonts w:cs="Arial"/>
          <w:rtl/>
        </w:rPr>
        <w:t xml:space="preserve"> ונרמז, </w:t>
      </w:r>
      <w:r w:rsidRPr="002F74FE">
        <w:rPr>
          <w:rFonts w:cs="Arial"/>
          <w:u w:val="single"/>
          <w:rtl/>
        </w:rPr>
        <w:t>ובן בתירא אומר</w:t>
      </w:r>
      <w:r w:rsidRPr="002F74FE">
        <w:rPr>
          <w:rFonts w:cs="Arial"/>
          <w:rtl/>
        </w:rPr>
        <w:t>: קופץ</w:t>
      </w:r>
      <w:r>
        <w:rPr>
          <w:rStyle w:val="a7"/>
          <w:rFonts w:cs="Arial"/>
          <w:rtl/>
        </w:rPr>
        <w:footnoteReference w:id="326"/>
      </w:r>
      <w:r w:rsidRPr="002F74FE">
        <w:rPr>
          <w:rFonts w:cs="Arial"/>
          <w:rtl/>
        </w:rPr>
        <w:t xml:space="preserve"> ונקפץ במטלטלין.</w:t>
      </w:r>
      <w:r w:rsidR="00DB18A9">
        <w:rPr>
          <w:rFonts w:cs="Arial" w:hint="cs"/>
          <w:rtl/>
        </w:rPr>
        <w:t>..</w:t>
      </w:r>
      <w:r w:rsidR="00DB18A9" w:rsidRPr="00DB18A9">
        <w:rPr>
          <w:rtl/>
        </w:rPr>
        <w:t xml:space="preserve"> </w:t>
      </w:r>
      <w:r w:rsidR="00DB18A9">
        <w:rPr>
          <w:rFonts w:hint="cs"/>
          <w:rtl/>
        </w:rPr>
        <w:t xml:space="preserve">     </w:t>
      </w:r>
      <w:r w:rsidR="00DB18A9" w:rsidRPr="00DB18A9">
        <w:rPr>
          <w:rFonts w:cs="Arial"/>
          <w:u w:val="double"/>
          <w:rtl/>
        </w:rPr>
        <w:t>גמ'</w:t>
      </w:r>
      <w:r w:rsidR="00DB18A9">
        <w:rPr>
          <w:rFonts w:cs="Arial" w:hint="cs"/>
          <w:rtl/>
        </w:rPr>
        <w:t>:</w:t>
      </w:r>
      <w:r w:rsidR="00DB18A9" w:rsidRPr="00DB18A9">
        <w:rPr>
          <w:rFonts w:cs="Arial"/>
          <w:rtl/>
        </w:rPr>
        <w:t xml:space="preserve"> </w:t>
      </w:r>
      <w:r w:rsidR="00DB18A9" w:rsidRPr="00DB18A9">
        <w:rPr>
          <w:rFonts w:cs="Arial"/>
          <w:u w:val="single"/>
          <w:rtl/>
        </w:rPr>
        <w:t>א"ר נחמן</w:t>
      </w:r>
      <w:r w:rsidR="00DB18A9" w:rsidRPr="00DB18A9">
        <w:rPr>
          <w:rFonts w:cs="Arial"/>
          <w:rtl/>
        </w:rPr>
        <w:t xml:space="preserve">: מחלוקת </w:t>
      </w:r>
      <w:r w:rsidR="00A82951">
        <w:rPr>
          <w:rFonts w:cs="Arial"/>
          <w:rtl/>
        </w:rPr>
        <w:t>-</w:t>
      </w:r>
      <w:r w:rsidR="00DB18A9" w:rsidRPr="00DB18A9">
        <w:rPr>
          <w:rFonts w:cs="Arial"/>
          <w:rtl/>
        </w:rPr>
        <w:t xml:space="preserve"> במטלטלין, אבל בגיטין </w:t>
      </w:r>
      <w:r w:rsidR="00A82951">
        <w:rPr>
          <w:rFonts w:cs="Arial"/>
          <w:rtl/>
        </w:rPr>
        <w:t>-</w:t>
      </w:r>
      <w:r w:rsidR="00DB18A9" w:rsidRPr="00DB18A9">
        <w:rPr>
          <w:rFonts w:cs="Arial"/>
          <w:rtl/>
        </w:rPr>
        <w:t xml:space="preserve"> דברי הכל ברמיזה. פשיטא, במטלטלין תנן! מהו דתימא אף במטלטלין, קמ"ל. </w:t>
      </w:r>
      <w:r w:rsidR="00DB18A9" w:rsidRPr="00DB18A9">
        <w:rPr>
          <w:rFonts w:cs="Arial"/>
          <w:u w:val="dotted"/>
          <w:rtl/>
        </w:rPr>
        <w:t>איכא דאמרי</w:t>
      </w:r>
      <w:r w:rsidR="00DB18A9" w:rsidRPr="00DB18A9">
        <w:rPr>
          <w:rFonts w:cs="Arial"/>
          <w:rtl/>
        </w:rPr>
        <w:t xml:space="preserve">, </w:t>
      </w:r>
      <w:r w:rsidR="00DB18A9" w:rsidRPr="00DB18A9">
        <w:rPr>
          <w:rFonts w:cs="Arial"/>
          <w:u w:val="single"/>
          <w:rtl/>
        </w:rPr>
        <w:t>א"ר נחמן</w:t>
      </w:r>
      <w:r w:rsidR="00DB18A9" w:rsidRPr="00DB18A9">
        <w:rPr>
          <w:rFonts w:cs="Arial"/>
          <w:rtl/>
        </w:rPr>
        <w:t>: כמחלוקת במטלטלין כך מחלוקת בגיטין. והאנן במטלטלין תנן! אימא: אף במטלטלין.</w:t>
      </w:r>
      <w:r w:rsidR="006E1A09">
        <w:rPr>
          <w:rFonts w:cs="Arial" w:hint="cs"/>
          <w:rtl/>
        </w:rPr>
        <w:t xml:space="preserve"> </w:t>
      </w:r>
    </w:p>
    <w:p w14:paraId="5234A296" w14:textId="74C1DDC2" w:rsidR="008433DA" w:rsidRDefault="008433DA" w:rsidP="006E1A09">
      <w:pPr>
        <w:rPr>
          <w:rFonts w:cs="Arial"/>
          <w:rtl/>
        </w:rPr>
      </w:pPr>
      <w:r w:rsidRPr="008433DA">
        <w:rPr>
          <w:rFonts w:cs="Arial" w:hint="cs"/>
          <w:b/>
          <w:bCs/>
          <w:rtl/>
        </w:rPr>
        <w:t xml:space="preserve">ירושלמי גיטין פ"ה ה"ח: </w:t>
      </w:r>
      <w:r w:rsidRPr="008433DA">
        <w:rPr>
          <w:rFonts w:cs="Arial"/>
          <w:u w:val="double"/>
          <w:rtl/>
        </w:rPr>
        <w:t>מתני'</w:t>
      </w:r>
      <w:r>
        <w:rPr>
          <w:rFonts w:cs="Arial" w:hint="cs"/>
          <w:rtl/>
        </w:rPr>
        <w:t>:</w:t>
      </w:r>
      <w:r w:rsidRPr="008433DA">
        <w:rPr>
          <w:rFonts w:cs="Arial"/>
          <w:rtl/>
        </w:rPr>
        <w:t xml:space="preserve"> חרש רומז ונרמז</w:t>
      </w:r>
      <w:r>
        <w:rPr>
          <w:rFonts w:cs="Arial" w:hint="cs"/>
          <w:rtl/>
        </w:rPr>
        <w:t>.</w:t>
      </w:r>
      <w:r w:rsidRPr="008433DA">
        <w:rPr>
          <w:rFonts w:cs="Arial"/>
          <w:rtl/>
        </w:rPr>
        <w:t xml:space="preserve"> </w:t>
      </w:r>
      <w:r w:rsidRPr="008433DA">
        <w:rPr>
          <w:rFonts w:cs="Arial"/>
          <w:u w:val="single"/>
          <w:rtl/>
        </w:rPr>
        <w:t>בן בתירה אומר</w:t>
      </w:r>
      <w:r>
        <w:rPr>
          <w:rFonts w:cs="Arial" w:hint="cs"/>
          <w:rtl/>
        </w:rPr>
        <w:t>:</w:t>
      </w:r>
      <w:r w:rsidRPr="008433DA">
        <w:rPr>
          <w:rFonts w:cs="Arial"/>
          <w:rtl/>
        </w:rPr>
        <w:t xml:space="preserve"> קופץ ונקפץ במטלטלין</w:t>
      </w:r>
      <w:r>
        <w:rPr>
          <w:rFonts w:cs="Arial" w:hint="cs"/>
          <w:rtl/>
        </w:rPr>
        <w:t xml:space="preserve">...    </w:t>
      </w:r>
      <w:r w:rsidRPr="008433DA">
        <w:rPr>
          <w:rFonts w:cs="Arial"/>
          <w:rtl/>
        </w:rPr>
        <w:t xml:space="preserve"> </w:t>
      </w:r>
      <w:r>
        <w:rPr>
          <w:rFonts w:cs="Arial" w:hint="cs"/>
          <w:rtl/>
        </w:rPr>
        <w:t xml:space="preserve"> </w:t>
      </w:r>
      <w:r w:rsidRPr="008433DA">
        <w:rPr>
          <w:rFonts w:cs="Arial"/>
          <w:u w:val="double"/>
          <w:rtl/>
        </w:rPr>
        <w:t>גמ'</w:t>
      </w:r>
      <w:r>
        <w:rPr>
          <w:rFonts w:cs="Arial" w:hint="cs"/>
          <w:rtl/>
        </w:rPr>
        <w:t>:</w:t>
      </w:r>
      <w:r w:rsidRPr="008433DA">
        <w:rPr>
          <w:rFonts w:cs="Arial"/>
          <w:rtl/>
        </w:rPr>
        <w:t xml:space="preserve"> </w:t>
      </w:r>
      <w:r w:rsidRPr="008433DA">
        <w:rPr>
          <w:rFonts w:cs="Arial"/>
          <w:u w:val="single"/>
          <w:rtl/>
        </w:rPr>
        <w:t>בן בתירה אומר</w:t>
      </w:r>
      <w:r>
        <w:rPr>
          <w:rFonts w:cs="Arial" w:hint="cs"/>
          <w:rtl/>
        </w:rPr>
        <w:t>:</w:t>
      </w:r>
      <w:r w:rsidRPr="008433DA">
        <w:rPr>
          <w:rFonts w:cs="Arial"/>
          <w:rtl/>
        </w:rPr>
        <w:t xml:space="preserve"> קופץ ונקפץ שוכר ומשתכר</w:t>
      </w:r>
      <w:r>
        <w:rPr>
          <w:rStyle w:val="a7"/>
          <w:rFonts w:cs="Arial"/>
          <w:rtl/>
        </w:rPr>
        <w:footnoteReference w:id="327"/>
      </w:r>
      <w:r w:rsidRPr="008433DA">
        <w:rPr>
          <w:rFonts w:cs="Arial"/>
          <w:rtl/>
        </w:rPr>
        <w:t>.</w:t>
      </w:r>
    </w:p>
    <w:p w14:paraId="7B783DC8" w14:textId="6B952637" w:rsidR="006E1A09" w:rsidRDefault="006E1A09" w:rsidP="006E1A09">
      <w:pPr>
        <w:rPr>
          <w:rFonts w:cs="Arial"/>
          <w:rtl/>
        </w:rPr>
      </w:pPr>
      <w:r>
        <w:rPr>
          <w:rFonts w:cs="Arial" w:hint="cs"/>
          <w:u w:val="single"/>
          <w:rtl/>
        </w:rPr>
        <w:t xml:space="preserve">האם </w:t>
      </w:r>
      <w:r w:rsidRPr="006E1A09">
        <w:rPr>
          <w:rFonts w:cs="Arial" w:hint="cs"/>
          <w:u w:val="single"/>
          <w:rtl/>
        </w:rPr>
        <w:t>קפיצה כרמיזה:</w:t>
      </w:r>
    </w:p>
    <w:p w14:paraId="26C9516A" w14:textId="5C757B04" w:rsidR="0089668C" w:rsidRDefault="006E1A09" w:rsidP="00A65C5F">
      <w:pPr>
        <w:pStyle w:val="ab"/>
        <w:numPr>
          <w:ilvl w:val="0"/>
          <w:numId w:val="30"/>
        </w:numPr>
        <w:rPr>
          <w:rFonts w:cs="Arial"/>
        </w:rPr>
      </w:pPr>
      <w:r>
        <w:rPr>
          <w:rFonts w:cs="Arial" w:hint="cs"/>
          <w:rtl/>
        </w:rPr>
        <w:t xml:space="preserve">רי"ף </w:t>
      </w:r>
      <w:r w:rsidR="0089668C">
        <w:rPr>
          <w:rFonts w:cs="Arial" w:hint="cs"/>
          <w:sz w:val="16"/>
          <w:szCs w:val="16"/>
          <w:rtl/>
        </w:rPr>
        <w:t>(גיטין לד.)</w:t>
      </w:r>
      <w:r w:rsidR="00A82951">
        <w:rPr>
          <w:rFonts w:cs="Arial" w:hint="cs"/>
          <w:rtl/>
        </w:rPr>
        <w:t>-</w:t>
      </w:r>
      <w:r w:rsidR="0089668C">
        <w:rPr>
          <w:rFonts w:cs="Arial" w:hint="cs"/>
          <w:rtl/>
        </w:rPr>
        <w:t xml:space="preserve"> חרש </w:t>
      </w:r>
      <w:r w:rsidR="000E5E32">
        <w:rPr>
          <w:rFonts w:cs="Arial" w:hint="cs"/>
          <w:rtl/>
        </w:rPr>
        <w:t>יכול לגרש גם בקפיצה</w:t>
      </w:r>
      <w:r w:rsidR="0089668C">
        <w:rPr>
          <w:rStyle w:val="a7"/>
          <w:rFonts w:cs="Arial"/>
          <w:rtl/>
        </w:rPr>
        <w:footnoteReference w:id="328"/>
      </w:r>
      <w:r w:rsidR="0089668C">
        <w:rPr>
          <w:rFonts w:cs="Arial" w:hint="cs"/>
          <w:rtl/>
        </w:rPr>
        <w:t xml:space="preserve">. </w:t>
      </w:r>
    </w:p>
    <w:p w14:paraId="6E4E4E2B" w14:textId="0A7D81DD" w:rsidR="008318E2" w:rsidRDefault="00432C51" w:rsidP="00A65C5F">
      <w:pPr>
        <w:pStyle w:val="ab"/>
        <w:numPr>
          <w:ilvl w:val="0"/>
          <w:numId w:val="30"/>
        </w:numPr>
        <w:rPr>
          <w:rFonts w:cs="Arial"/>
        </w:rPr>
      </w:pPr>
      <w:r>
        <w:rPr>
          <w:rFonts w:cs="Arial" w:hint="cs"/>
          <w:rtl/>
        </w:rPr>
        <w:t xml:space="preserve">ר"ח </w:t>
      </w:r>
      <w:r>
        <w:rPr>
          <w:rFonts w:cs="Arial" w:hint="cs"/>
          <w:sz w:val="16"/>
          <w:szCs w:val="16"/>
          <w:rtl/>
        </w:rPr>
        <w:t>(כ"כ בהעי"ט בשמו)</w:t>
      </w:r>
      <w:r>
        <w:rPr>
          <w:rFonts w:cs="Arial" w:hint="cs"/>
          <w:rtl/>
        </w:rPr>
        <w:t xml:space="preserve"> </w:t>
      </w:r>
      <w:r w:rsidR="009C0F75" w:rsidRPr="006E1A09">
        <w:rPr>
          <w:rFonts w:cs="Arial"/>
          <w:rtl/>
        </w:rPr>
        <w:t>רמב"ם</w:t>
      </w:r>
      <w:r w:rsidR="009C0F75">
        <w:rPr>
          <w:rStyle w:val="a7"/>
          <w:rFonts w:cs="Arial"/>
          <w:rtl/>
        </w:rPr>
        <w:footnoteReference w:id="329"/>
      </w:r>
      <w:r w:rsidR="009C0F75" w:rsidRPr="006E1A09">
        <w:rPr>
          <w:rFonts w:cs="Arial"/>
          <w:rtl/>
        </w:rPr>
        <w:t xml:space="preserve"> </w:t>
      </w:r>
      <w:r w:rsidR="009C0F75" w:rsidRPr="009C0F75">
        <w:rPr>
          <w:rFonts w:cs="Arial" w:hint="cs"/>
          <w:sz w:val="16"/>
          <w:szCs w:val="16"/>
          <w:rtl/>
        </w:rPr>
        <w:t>(</w:t>
      </w:r>
      <w:r w:rsidR="009C0F75" w:rsidRPr="009C0F75">
        <w:rPr>
          <w:rFonts w:cs="Arial"/>
          <w:sz w:val="16"/>
          <w:szCs w:val="16"/>
          <w:rtl/>
        </w:rPr>
        <w:t>פ</w:t>
      </w:r>
      <w:r w:rsidR="009C0F75" w:rsidRPr="009C0F75">
        <w:rPr>
          <w:rFonts w:cs="Arial" w:hint="cs"/>
          <w:sz w:val="16"/>
          <w:szCs w:val="16"/>
          <w:rtl/>
        </w:rPr>
        <w:t>"</w:t>
      </w:r>
      <w:r w:rsidR="009C0F75" w:rsidRPr="009C0F75">
        <w:rPr>
          <w:rFonts w:cs="Arial"/>
          <w:sz w:val="16"/>
          <w:szCs w:val="16"/>
          <w:rtl/>
        </w:rPr>
        <w:t>ב הי"ז)</w:t>
      </w:r>
      <w:r w:rsidR="009C0F75">
        <w:rPr>
          <w:rFonts w:cs="Arial" w:hint="cs"/>
          <w:rtl/>
        </w:rPr>
        <w:t xml:space="preserve"> ו</w:t>
      </w:r>
      <w:r w:rsidR="0089668C">
        <w:rPr>
          <w:rFonts w:cs="Arial" w:hint="cs"/>
          <w:rtl/>
        </w:rPr>
        <w:t xml:space="preserve">רא"ש </w:t>
      </w:r>
      <w:r w:rsidR="0089668C" w:rsidRPr="0089668C">
        <w:rPr>
          <w:rFonts w:cs="Arial" w:hint="cs"/>
          <w:sz w:val="16"/>
          <w:szCs w:val="16"/>
          <w:rtl/>
        </w:rPr>
        <w:t>(פ"ה סי"ח)</w:t>
      </w:r>
      <w:r w:rsidR="00A82951">
        <w:rPr>
          <w:rFonts w:cs="Arial" w:hint="cs"/>
          <w:rtl/>
        </w:rPr>
        <w:t>-</w:t>
      </w:r>
      <w:r w:rsidR="0089668C">
        <w:rPr>
          <w:rFonts w:cs="Arial" w:hint="cs"/>
          <w:rtl/>
        </w:rPr>
        <w:t xml:space="preserve"> חרש לא יכול לגרש בקפיצה.</w:t>
      </w:r>
      <w:r w:rsidR="005E486B" w:rsidRPr="0089668C">
        <w:rPr>
          <w:rFonts w:cs="Arial"/>
          <w:rtl/>
        </w:rPr>
        <w:t xml:space="preserve"> </w:t>
      </w:r>
    </w:p>
    <w:p w14:paraId="6BE317E8" w14:textId="6EC11C4C" w:rsidR="009C0F75" w:rsidRDefault="005E486B" w:rsidP="00A65C5F">
      <w:pPr>
        <w:pStyle w:val="ab"/>
        <w:numPr>
          <w:ilvl w:val="0"/>
          <w:numId w:val="30"/>
        </w:numPr>
        <w:rPr>
          <w:rFonts w:cs="Arial"/>
        </w:rPr>
      </w:pPr>
      <w:r w:rsidRPr="006E1A09">
        <w:rPr>
          <w:rFonts w:cs="Arial"/>
          <w:rtl/>
        </w:rPr>
        <w:t>בהעי</w:t>
      </w:r>
      <w:r w:rsidR="0089668C">
        <w:rPr>
          <w:rFonts w:cs="Arial" w:hint="cs"/>
          <w:rtl/>
        </w:rPr>
        <w:t>"</w:t>
      </w:r>
      <w:r w:rsidRPr="006E1A09">
        <w:rPr>
          <w:rFonts w:cs="Arial"/>
          <w:rtl/>
        </w:rPr>
        <w:t xml:space="preserve">ט </w:t>
      </w:r>
      <w:r w:rsidR="0089668C" w:rsidRPr="007A1397">
        <w:rPr>
          <w:rFonts w:cs="Arial" w:hint="cs"/>
          <w:sz w:val="16"/>
          <w:szCs w:val="16"/>
          <w:rtl/>
        </w:rPr>
        <w:t>(</w:t>
      </w:r>
      <w:r w:rsidRPr="007A1397">
        <w:rPr>
          <w:rFonts w:cs="Arial"/>
          <w:sz w:val="16"/>
          <w:szCs w:val="16"/>
          <w:rtl/>
        </w:rPr>
        <w:t>מאמר שביעי ח"א כט ע"ג)</w:t>
      </w:r>
      <w:r w:rsidR="00A82951">
        <w:rPr>
          <w:rFonts w:cs="Arial" w:hint="cs"/>
          <w:rtl/>
        </w:rPr>
        <w:t>-</w:t>
      </w:r>
      <w:r w:rsidRPr="006E1A09">
        <w:rPr>
          <w:rFonts w:cs="Arial"/>
          <w:rtl/>
        </w:rPr>
        <w:t xml:space="preserve"> </w:t>
      </w:r>
      <w:r w:rsidR="007A1397">
        <w:rPr>
          <w:rStyle w:val="a7"/>
          <w:rFonts w:cs="Arial"/>
          <w:rtl/>
        </w:rPr>
        <w:footnoteReference w:id="330"/>
      </w:r>
      <w:r w:rsidRPr="006E1A09">
        <w:rPr>
          <w:rFonts w:cs="Arial"/>
          <w:rtl/>
        </w:rPr>
        <w:t>בקפיצה מגורשת כלישנא בתרא אליבא דבן בתירא</w:t>
      </w:r>
      <w:r w:rsidR="00C636AE">
        <w:rPr>
          <w:rFonts w:cs="Arial" w:hint="cs"/>
          <w:rtl/>
        </w:rPr>
        <w:t>.</w:t>
      </w:r>
      <w:r w:rsidRPr="006E1A09">
        <w:rPr>
          <w:rFonts w:cs="Arial"/>
          <w:rtl/>
        </w:rPr>
        <w:t xml:space="preserve"> ומסתברא לן כרבינו חננאל דאמר בשל תורה הלך אחר המחמיר (ע"ז ז.)</w:t>
      </w:r>
      <w:r w:rsidR="00C636AE">
        <w:rPr>
          <w:rFonts w:cs="Arial" w:hint="cs"/>
          <w:rtl/>
        </w:rPr>
        <w:t>.</w:t>
      </w:r>
      <w:r w:rsidRPr="006E1A09">
        <w:rPr>
          <w:rFonts w:cs="Arial"/>
          <w:rtl/>
        </w:rPr>
        <w:t xml:space="preserve"> ואית דמפרשי קפיצה יותר מן הרמיזה ירושלמי (גיטין פ"ה ה"ח) קופץ ונקפץ שוור ומשתוור</w:t>
      </w:r>
      <w:r w:rsidR="00C636AE">
        <w:rPr>
          <w:rFonts w:cs="Arial" w:hint="cs"/>
          <w:rtl/>
        </w:rPr>
        <w:t>,</w:t>
      </w:r>
      <w:r w:rsidRPr="006E1A09">
        <w:rPr>
          <w:rFonts w:cs="Arial"/>
          <w:rtl/>
        </w:rPr>
        <w:t xml:space="preserve"> קופץ ונקפץ ממקום למקום</w:t>
      </w:r>
      <w:r w:rsidR="007A1397">
        <w:rPr>
          <w:rStyle w:val="a7"/>
          <w:rFonts w:cs="Arial"/>
          <w:rtl/>
        </w:rPr>
        <w:footnoteReference w:id="331"/>
      </w:r>
      <w:r w:rsidR="00432C51" w:rsidRPr="007A1397">
        <w:rPr>
          <w:rFonts w:cs="Arial" w:hint="cs"/>
          <w:rtl/>
        </w:rPr>
        <w:t>.</w:t>
      </w:r>
      <w:r w:rsidRPr="007A1397">
        <w:rPr>
          <w:rFonts w:cs="Arial"/>
          <w:rtl/>
        </w:rPr>
        <w:t xml:space="preserve"> </w:t>
      </w:r>
    </w:p>
    <w:p w14:paraId="0DF6363A" w14:textId="77777777" w:rsidR="001356EE" w:rsidRDefault="001356EE" w:rsidP="001356EE">
      <w:pPr>
        <w:rPr>
          <w:rFonts w:cs="Arial"/>
          <w:rtl/>
        </w:rPr>
      </w:pPr>
      <w:r w:rsidRPr="000C5B70">
        <w:rPr>
          <w:rFonts w:cs="Arial" w:hint="cs"/>
          <w:u w:val="single"/>
          <w:rtl/>
        </w:rPr>
        <w:t xml:space="preserve">האם אלם מעיקרו צריך בדיקה </w:t>
      </w:r>
      <w:r w:rsidRPr="003A09E0">
        <w:rPr>
          <w:rFonts w:cs="Arial" w:hint="cs"/>
          <w:sz w:val="16"/>
          <w:szCs w:val="16"/>
          <w:u w:val="single"/>
          <w:rtl/>
        </w:rPr>
        <w:t>(כמו נשתתק</w:t>
      </w:r>
      <w:r>
        <w:rPr>
          <w:rFonts w:cs="Arial" w:hint="cs"/>
          <w:sz w:val="16"/>
          <w:szCs w:val="16"/>
          <w:u w:val="single"/>
          <w:rtl/>
        </w:rPr>
        <w:t>)</w:t>
      </w:r>
      <w:r w:rsidRPr="000C5B70">
        <w:rPr>
          <w:rFonts w:cs="Arial" w:hint="cs"/>
          <w:u w:val="single"/>
          <w:rtl/>
        </w:rPr>
        <w:t>:</w:t>
      </w:r>
    </w:p>
    <w:p w14:paraId="398AFF8D" w14:textId="7FD02436" w:rsidR="001356EE" w:rsidRPr="000C5B70" w:rsidRDefault="001356EE" w:rsidP="00A65C5F">
      <w:pPr>
        <w:pStyle w:val="ab"/>
        <w:numPr>
          <w:ilvl w:val="0"/>
          <w:numId w:val="30"/>
        </w:numPr>
        <w:rPr>
          <w:rFonts w:cs="Arial"/>
          <w:rtl/>
        </w:rPr>
      </w:pPr>
      <w:r>
        <w:rPr>
          <w:rFonts w:cs="Arial" w:hint="cs"/>
          <w:rtl/>
        </w:rPr>
        <w:lastRenderedPageBreak/>
        <w:t>ב"י</w:t>
      </w:r>
      <w:r w:rsidR="00A82951">
        <w:rPr>
          <w:rFonts w:cs="Arial" w:hint="cs"/>
          <w:rtl/>
        </w:rPr>
        <w:t>-</w:t>
      </w:r>
      <w:r>
        <w:rPr>
          <w:rFonts w:cs="Arial" w:hint="cs"/>
          <w:rtl/>
        </w:rPr>
        <w:t xml:space="preserve"> </w:t>
      </w:r>
      <w:r w:rsidRPr="000C5B70">
        <w:rPr>
          <w:rFonts w:cs="Arial"/>
          <w:rtl/>
        </w:rPr>
        <w:t>לכאורה נראה לי דאלם מעיקרו אינו צריך בדיקה</w:t>
      </w:r>
      <w:r>
        <w:rPr>
          <w:rFonts w:cs="Arial" w:hint="cs"/>
          <w:rtl/>
        </w:rPr>
        <w:t>.</w:t>
      </w:r>
      <w:r w:rsidRPr="000C5B70">
        <w:rPr>
          <w:rFonts w:cs="Arial"/>
          <w:rtl/>
        </w:rPr>
        <w:t xml:space="preserve"> דכשם שכנסה ברמיזה</w:t>
      </w:r>
      <w:r>
        <w:rPr>
          <w:rFonts w:cs="Arial" w:hint="cs"/>
          <w:rtl/>
        </w:rPr>
        <w:t>,</w:t>
      </w:r>
      <w:r w:rsidRPr="000C5B70">
        <w:rPr>
          <w:rFonts w:cs="Arial"/>
          <w:rtl/>
        </w:rPr>
        <w:t xml:space="preserve"> כך מוציא ברמיזה</w:t>
      </w:r>
      <w:r>
        <w:rPr>
          <w:rFonts w:cs="Arial" w:hint="cs"/>
          <w:rtl/>
        </w:rPr>
        <w:t>,</w:t>
      </w:r>
      <w:r w:rsidRPr="000C5B70">
        <w:rPr>
          <w:rFonts w:cs="Arial"/>
          <w:rtl/>
        </w:rPr>
        <w:t xml:space="preserve"> דומיא דנשאה כשהוא חרש</w:t>
      </w:r>
      <w:r>
        <w:rPr>
          <w:rFonts w:cs="Arial" w:hint="cs"/>
          <w:rtl/>
        </w:rPr>
        <w:t xml:space="preserve">... </w:t>
      </w:r>
      <w:r w:rsidRPr="000C5B70">
        <w:rPr>
          <w:rFonts w:cs="Arial"/>
          <w:rtl/>
        </w:rPr>
        <w:t>ומדברי רבינו אין להכריע דבעי בדיקה</w:t>
      </w:r>
      <w:r w:rsidRPr="000C5B70">
        <w:rPr>
          <w:rFonts w:cs="Arial" w:hint="cs"/>
          <w:rtl/>
        </w:rPr>
        <w:t>,</w:t>
      </w:r>
      <w:r w:rsidRPr="000C5B70">
        <w:rPr>
          <w:rFonts w:cs="Arial"/>
          <w:rtl/>
        </w:rPr>
        <w:t xml:space="preserve"> שאפשר שמה שהשוהו לנשתתק היינו לסמוך על רמיזתו</w:t>
      </w:r>
      <w:r w:rsidRPr="000C5B70">
        <w:rPr>
          <w:rFonts w:cs="Arial" w:hint="cs"/>
          <w:rtl/>
        </w:rPr>
        <w:t>,</w:t>
      </w:r>
      <w:r w:rsidRPr="000C5B70">
        <w:rPr>
          <w:rFonts w:cs="Arial"/>
          <w:rtl/>
        </w:rPr>
        <w:t xml:space="preserve"> לא לענין שצריך לבודקו</w:t>
      </w:r>
      <w:r>
        <w:rPr>
          <w:rFonts w:cs="Arial" w:hint="cs"/>
          <w:rtl/>
        </w:rPr>
        <w:t>.</w:t>
      </w:r>
      <w:r w:rsidRPr="000C5B70">
        <w:rPr>
          <w:rFonts w:cs="Arial"/>
          <w:rtl/>
        </w:rPr>
        <w:t xml:space="preserve"> ומצאתי להרשב"א (עא. ד"ה הא דפריק) שכתב אהאי דאמר רבי זירא אלם קאמרת וכו' דלרבי זירא אלם נמי אינו מגרש אלא בבדיקה כשנשתתק</w:t>
      </w:r>
      <w:r w:rsidR="00DE196E">
        <w:rPr>
          <w:rFonts w:cs="Arial" w:hint="cs"/>
          <w:rtl/>
        </w:rPr>
        <w:t>.</w:t>
      </w:r>
      <w:r w:rsidRPr="000C5B70">
        <w:rPr>
          <w:rFonts w:cs="Arial"/>
          <w:rtl/>
        </w:rPr>
        <w:t xml:space="preserve"> ולא עוד אלא דאפשר דפקח ונשתתק טפי עדיף מאלם מעיקרו</w:t>
      </w:r>
      <w:r w:rsidR="00DE196E">
        <w:rPr>
          <w:rFonts w:cs="Arial" w:hint="cs"/>
          <w:rtl/>
        </w:rPr>
        <w:t>,</w:t>
      </w:r>
      <w:r w:rsidRPr="000C5B70">
        <w:rPr>
          <w:rFonts w:cs="Arial"/>
          <w:rtl/>
        </w:rPr>
        <w:t xml:space="preserve"> כרבן שמעון בן גמליאל דבסמוך דעדיף ליה טפי פקח ונתחרש מחרש מעיקרו</w:t>
      </w:r>
      <w:r w:rsidR="00DE196E">
        <w:rPr>
          <w:rFonts w:cs="Arial" w:hint="cs"/>
          <w:rtl/>
        </w:rPr>
        <w:t>,</w:t>
      </w:r>
      <w:r w:rsidRPr="000C5B70">
        <w:rPr>
          <w:rFonts w:cs="Arial"/>
          <w:rtl/>
        </w:rPr>
        <w:t xml:space="preserve"> וצריך עיון </w:t>
      </w:r>
      <w:r>
        <w:rPr>
          <w:rFonts w:cs="Arial" w:hint="cs"/>
          <w:rtl/>
        </w:rPr>
        <w:t>עכ"ל</w:t>
      </w:r>
      <w:r w:rsidRPr="000C5B70">
        <w:rPr>
          <w:rFonts w:cs="Arial"/>
          <w:rtl/>
        </w:rPr>
        <w:t>. ורבינו שכתב דאלם נמי סומכין על רמיזתו</w:t>
      </w:r>
      <w:r>
        <w:rPr>
          <w:rFonts w:cs="Arial" w:hint="cs"/>
          <w:rtl/>
        </w:rPr>
        <w:t>,</w:t>
      </w:r>
      <w:r w:rsidRPr="000C5B70">
        <w:rPr>
          <w:rFonts w:cs="Arial"/>
          <w:rtl/>
        </w:rPr>
        <w:t xml:space="preserve"> משמע דפשיטא ליה דלא עדיף נשתתק מאלם מעיקרו</w:t>
      </w:r>
      <w:r>
        <w:rPr>
          <w:rFonts w:cs="Arial" w:hint="cs"/>
          <w:rtl/>
        </w:rPr>
        <w:t>.</w:t>
      </w:r>
      <w:r w:rsidRPr="000C5B70">
        <w:rPr>
          <w:rFonts w:cs="Arial"/>
          <w:rtl/>
        </w:rPr>
        <w:t xml:space="preserve"> וטעמיה מדלא אידכר שאינו יכול לגרש ברמיזה אלא חרש</w:t>
      </w:r>
      <w:r>
        <w:rPr>
          <w:rFonts w:cs="Arial" w:hint="cs"/>
          <w:rtl/>
        </w:rPr>
        <w:t>,</w:t>
      </w:r>
      <w:r w:rsidRPr="000C5B70">
        <w:rPr>
          <w:rFonts w:cs="Arial"/>
          <w:rtl/>
        </w:rPr>
        <w:t xml:space="preserve"> וחרש שדברו בו חכמים אינו שומע ואינו מדבר (תרומות פ"א מ"ב)</w:t>
      </w:r>
      <w:r>
        <w:rPr>
          <w:rFonts w:cs="Arial" w:hint="cs"/>
          <w:rtl/>
        </w:rPr>
        <w:t>,</w:t>
      </w:r>
      <w:r w:rsidRPr="000C5B70">
        <w:rPr>
          <w:rFonts w:cs="Arial"/>
          <w:rtl/>
        </w:rPr>
        <w:t xml:space="preserve"> ואם איתא אלם מיבעי ליה למימר דהוי חידושא טפי</w:t>
      </w:r>
      <w:r>
        <w:rPr>
          <w:rFonts w:cs="Arial" w:hint="cs"/>
          <w:rtl/>
        </w:rPr>
        <w:t>.</w:t>
      </w:r>
      <w:r w:rsidRPr="000C5B70">
        <w:rPr>
          <w:rFonts w:cs="Arial"/>
          <w:rtl/>
        </w:rPr>
        <w:t xml:space="preserve"> מיהו לענין אי בעי בדיקה</w:t>
      </w:r>
      <w:r>
        <w:rPr>
          <w:rFonts w:cs="Arial" w:hint="cs"/>
          <w:rtl/>
        </w:rPr>
        <w:t>,</w:t>
      </w:r>
      <w:r w:rsidRPr="000C5B70">
        <w:rPr>
          <w:rFonts w:cs="Arial"/>
          <w:rtl/>
        </w:rPr>
        <w:t xml:space="preserve"> אפשר דכהרשב"א סבירא ליה דלא עדיף מנשתתק</w:t>
      </w:r>
      <w:r>
        <w:rPr>
          <w:rFonts w:cs="Arial" w:hint="cs"/>
          <w:rtl/>
        </w:rPr>
        <w:t>.</w:t>
      </w:r>
      <w:r w:rsidRPr="000C5B70">
        <w:rPr>
          <w:rFonts w:cs="Arial"/>
          <w:rtl/>
        </w:rPr>
        <w:t xml:space="preserve"> מיהו מה שהקשיתי על זה צריך ישוב</w:t>
      </w:r>
      <w:r>
        <w:rPr>
          <w:rFonts w:cs="Arial" w:hint="cs"/>
          <w:rtl/>
        </w:rPr>
        <w:t>.</w:t>
      </w:r>
      <w:r w:rsidRPr="000C5B70">
        <w:rPr>
          <w:rFonts w:cs="Arial"/>
          <w:rtl/>
        </w:rPr>
        <w:t xml:space="preserve"> </w:t>
      </w:r>
    </w:p>
    <w:p w14:paraId="6AFEC3C1" w14:textId="0162AC7A" w:rsidR="000E5E32" w:rsidRPr="000E5E32" w:rsidRDefault="000E5E32" w:rsidP="000E5E32">
      <w:pPr>
        <w:rPr>
          <w:rFonts w:cs="Arial"/>
          <w:u w:val="single"/>
        </w:rPr>
      </w:pPr>
      <w:r w:rsidRPr="000E5E32">
        <w:rPr>
          <w:rFonts w:cs="Arial" w:hint="cs"/>
          <w:u w:val="single"/>
          <w:rtl/>
        </w:rPr>
        <w:t xml:space="preserve">האם חרש </w:t>
      </w:r>
      <w:r w:rsidR="00211758">
        <w:rPr>
          <w:rFonts w:cs="Arial" w:hint="cs"/>
          <w:u w:val="single"/>
          <w:rtl/>
        </w:rPr>
        <w:t xml:space="preserve">גמור </w:t>
      </w:r>
      <w:r w:rsidRPr="000E5E32">
        <w:rPr>
          <w:rFonts w:cs="Arial" w:hint="cs"/>
          <w:u w:val="single"/>
          <w:rtl/>
        </w:rPr>
        <w:t xml:space="preserve">צריך בדיקה </w:t>
      </w:r>
      <w:r w:rsidRPr="000E5E32">
        <w:rPr>
          <w:rFonts w:cs="Arial" w:hint="cs"/>
          <w:sz w:val="16"/>
          <w:szCs w:val="16"/>
          <w:u w:val="single"/>
          <w:rtl/>
        </w:rPr>
        <w:t>(כמו בנשתתק)</w:t>
      </w:r>
      <w:r w:rsidRPr="000E5E32">
        <w:rPr>
          <w:rFonts w:cs="Arial" w:hint="cs"/>
          <w:u w:val="single"/>
          <w:rtl/>
        </w:rPr>
        <w:t>:</w:t>
      </w:r>
    </w:p>
    <w:p w14:paraId="611C1587" w14:textId="21D83D46" w:rsidR="000E5E32" w:rsidRDefault="000E5E32" w:rsidP="00A65C5F">
      <w:pPr>
        <w:pStyle w:val="ab"/>
        <w:numPr>
          <w:ilvl w:val="0"/>
          <w:numId w:val="30"/>
        </w:numPr>
        <w:rPr>
          <w:rFonts w:cs="Arial"/>
        </w:rPr>
      </w:pPr>
      <w:r>
        <w:rPr>
          <w:rFonts w:cs="Arial" w:hint="cs"/>
          <w:rtl/>
        </w:rPr>
        <w:t>ב"י</w:t>
      </w:r>
      <w:r w:rsidR="00A82951">
        <w:rPr>
          <w:rFonts w:cs="Arial" w:hint="cs"/>
          <w:rtl/>
        </w:rPr>
        <w:t>-</w:t>
      </w:r>
      <w:r>
        <w:rPr>
          <w:rFonts w:cs="Arial" w:hint="cs"/>
          <w:rtl/>
        </w:rPr>
        <w:t xml:space="preserve"> </w:t>
      </w:r>
      <w:r w:rsidR="005E486B" w:rsidRPr="006E1A09">
        <w:rPr>
          <w:rFonts w:cs="Arial"/>
          <w:rtl/>
        </w:rPr>
        <w:t>מפשט משניות דפרק חרש והניזקין נראה שחרש גמור שנשא כשהוא חרש</w:t>
      </w:r>
      <w:r w:rsidR="00211758">
        <w:rPr>
          <w:rFonts w:cs="Arial" w:hint="cs"/>
          <w:rtl/>
        </w:rPr>
        <w:t xml:space="preserve"> </w:t>
      </w:r>
      <w:r w:rsidR="00A82951">
        <w:rPr>
          <w:rFonts w:cs="Arial" w:hint="cs"/>
          <w:rtl/>
        </w:rPr>
        <w:t>-</w:t>
      </w:r>
      <w:r w:rsidR="005E486B" w:rsidRPr="006E1A09">
        <w:rPr>
          <w:rFonts w:cs="Arial"/>
          <w:rtl/>
        </w:rPr>
        <w:t xml:space="preserve"> ברמיזה סגי ליה לגרש ואינו צריך בדיקה</w:t>
      </w:r>
      <w:r>
        <w:rPr>
          <w:rFonts w:cs="Arial" w:hint="cs"/>
          <w:rtl/>
        </w:rPr>
        <w:t>.</w:t>
      </w:r>
      <w:r w:rsidR="005E486B" w:rsidRPr="006E1A09">
        <w:rPr>
          <w:rFonts w:cs="Arial"/>
          <w:rtl/>
        </w:rPr>
        <w:t xml:space="preserve"> דבדיקתו אינה מוציאה אותו מחזקת דעתא שגישתא</w:t>
      </w:r>
      <w:r>
        <w:rPr>
          <w:rFonts w:cs="Arial" w:hint="cs"/>
          <w:rtl/>
        </w:rPr>
        <w:t>.</w:t>
      </w:r>
      <w:r w:rsidR="005E486B" w:rsidRPr="006E1A09">
        <w:rPr>
          <w:rFonts w:cs="Arial"/>
          <w:rtl/>
        </w:rPr>
        <w:t xml:space="preserve"> דהא אם נשאה כשהוא פקח ונתחרש</w:t>
      </w:r>
      <w:r w:rsidR="00211758">
        <w:rPr>
          <w:rFonts w:cs="Arial" w:hint="cs"/>
          <w:rtl/>
        </w:rPr>
        <w:t>,</w:t>
      </w:r>
      <w:r w:rsidR="005E486B" w:rsidRPr="006E1A09">
        <w:rPr>
          <w:rFonts w:cs="Arial"/>
          <w:rtl/>
        </w:rPr>
        <w:t xml:space="preserve"> אינו מגרש אפילו על ידי בדיקה</w:t>
      </w:r>
      <w:r>
        <w:rPr>
          <w:rFonts w:cs="Arial" w:hint="cs"/>
          <w:rtl/>
        </w:rPr>
        <w:t>.</w:t>
      </w:r>
      <w:r w:rsidR="005E486B" w:rsidRPr="006E1A09">
        <w:rPr>
          <w:rFonts w:cs="Arial"/>
          <w:rtl/>
        </w:rPr>
        <w:t xml:space="preserve"> והיכא דנשאה כשהוא חרש משום הכי שרינן ליה לגרש אע</w:t>
      </w:r>
      <w:r>
        <w:rPr>
          <w:rFonts w:cs="Arial" w:hint="cs"/>
          <w:rtl/>
        </w:rPr>
        <w:t>"</w:t>
      </w:r>
      <w:r w:rsidR="005E486B" w:rsidRPr="006E1A09">
        <w:rPr>
          <w:rFonts w:cs="Arial"/>
          <w:rtl/>
        </w:rPr>
        <w:t>ג דדעתיה שגישתא</w:t>
      </w:r>
      <w:r>
        <w:rPr>
          <w:rFonts w:cs="Arial" w:hint="cs"/>
          <w:rtl/>
        </w:rPr>
        <w:t>,</w:t>
      </w:r>
      <w:r w:rsidR="005E486B" w:rsidRPr="006E1A09">
        <w:rPr>
          <w:rFonts w:cs="Arial"/>
          <w:rtl/>
        </w:rPr>
        <w:t xml:space="preserve"> דכשם שכנס ברמיזה ולא היו קידושין גמורים כך מוציא ברמיזה</w:t>
      </w:r>
      <w:r>
        <w:rPr>
          <w:rFonts w:cs="Arial" w:hint="cs"/>
          <w:rtl/>
        </w:rPr>
        <w:t>.</w:t>
      </w:r>
      <w:r w:rsidR="005E486B" w:rsidRPr="006E1A09">
        <w:rPr>
          <w:rFonts w:cs="Arial"/>
          <w:rtl/>
        </w:rPr>
        <w:t xml:space="preserve"> וכן משמע לכאורה מדברי הפוסקים מדלא הזכירו בדיקה אלא בנשתתק. אבל מצאתי לרבינו ירוחם שכתב </w:t>
      </w:r>
      <w:r>
        <w:rPr>
          <w:rFonts w:cs="Arial" w:hint="cs"/>
          <w:rtl/>
        </w:rPr>
        <w:t>(</w:t>
      </w:r>
      <w:r w:rsidR="005E486B" w:rsidRPr="006E1A09">
        <w:rPr>
          <w:rFonts w:cs="Arial"/>
          <w:rtl/>
        </w:rPr>
        <w:t>ח</w:t>
      </w:r>
      <w:r>
        <w:rPr>
          <w:rFonts w:cs="Arial" w:hint="cs"/>
          <w:rtl/>
        </w:rPr>
        <w:t>"</w:t>
      </w:r>
      <w:r w:rsidR="005E486B" w:rsidRPr="006E1A09">
        <w:rPr>
          <w:rFonts w:cs="Arial"/>
          <w:rtl/>
        </w:rPr>
        <w:t>ו נכ"ד ריב ע"ג) שגם החרש צריך בדיקה כדין מי שנשתתק</w:t>
      </w:r>
      <w:r w:rsidR="00211758">
        <w:rPr>
          <w:rFonts w:cs="Arial" w:hint="cs"/>
          <w:rtl/>
        </w:rPr>
        <w:t>.</w:t>
      </w:r>
      <w:r w:rsidR="005E486B" w:rsidRPr="006E1A09">
        <w:rPr>
          <w:rFonts w:cs="Arial"/>
          <w:rtl/>
        </w:rPr>
        <w:t xml:space="preserve"> ולמה שכתבתי בסמוך (ד"ה ודוקא) דלהרשב"א בעי בדיקה אפשר דגם חרש בעי בדיקה</w:t>
      </w:r>
      <w:r>
        <w:rPr>
          <w:rFonts w:cs="Arial" w:hint="cs"/>
          <w:rtl/>
        </w:rPr>
        <w:t>.</w:t>
      </w:r>
    </w:p>
    <w:p w14:paraId="066D5D1F" w14:textId="7925F192" w:rsidR="000E5E32" w:rsidRPr="00856AC9" w:rsidRDefault="00856AC9" w:rsidP="000E5E32">
      <w:pPr>
        <w:rPr>
          <w:rFonts w:cs="Arial"/>
          <w:u w:val="single"/>
        </w:rPr>
      </w:pPr>
      <w:r w:rsidRPr="00856AC9">
        <w:rPr>
          <w:rFonts w:cs="Arial" w:hint="cs"/>
          <w:u w:val="single"/>
          <w:rtl/>
        </w:rPr>
        <w:t>דין אדם כבד שמיעה:</w:t>
      </w:r>
    </w:p>
    <w:p w14:paraId="5641A47F" w14:textId="75BD43D6" w:rsidR="009808AD" w:rsidRPr="000E5E32" w:rsidRDefault="005E486B" w:rsidP="00A65C5F">
      <w:pPr>
        <w:pStyle w:val="ab"/>
        <w:numPr>
          <w:ilvl w:val="0"/>
          <w:numId w:val="30"/>
        </w:numPr>
        <w:rPr>
          <w:rFonts w:cs="Arial"/>
          <w:rtl/>
        </w:rPr>
      </w:pPr>
      <w:r w:rsidRPr="000E5E32">
        <w:rPr>
          <w:rFonts w:cs="Arial"/>
          <w:rtl/>
        </w:rPr>
        <w:t xml:space="preserve">רא"ש </w:t>
      </w:r>
      <w:r w:rsidR="000E5E32" w:rsidRPr="000E5E32">
        <w:rPr>
          <w:rFonts w:cs="Arial" w:hint="cs"/>
          <w:sz w:val="16"/>
          <w:szCs w:val="16"/>
          <w:rtl/>
        </w:rPr>
        <w:t>(</w:t>
      </w:r>
      <w:r w:rsidRPr="000E5E32">
        <w:rPr>
          <w:rFonts w:cs="Arial"/>
          <w:sz w:val="16"/>
          <w:szCs w:val="16"/>
          <w:rtl/>
        </w:rPr>
        <w:t>סוף כלל פה סי' יג</w:t>
      </w:r>
      <w:r w:rsidR="000E5E32" w:rsidRPr="000E5E32">
        <w:rPr>
          <w:rFonts w:cs="Arial" w:hint="cs"/>
          <w:sz w:val="16"/>
          <w:szCs w:val="16"/>
          <w:rtl/>
        </w:rPr>
        <w:t>, הביאו הטור בחו"מ סי' רלה</w:t>
      </w:r>
      <w:r w:rsidRPr="000E5E32">
        <w:rPr>
          <w:rFonts w:cs="Arial"/>
          <w:sz w:val="16"/>
          <w:szCs w:val="16"/>
          <w:rtl/>
        </w:rPr>
        <w:t>)</w:t>
      </w:r>
      <w:r w:rsidR="00A82951">
        <w:rPr>
          <w:rFonts w:cs="Arial" w:hint="cs"/>
          <w:rtl/>
        </w:rPr>
        <w:t>-</w:t>
      </w:r>
      <w:r w:rsidRPr="000E5E32">
        <w:rPr>
          <w:rFonts w:cs="Arial"/>
          <w:rtl/>
        </w:rPr>
        <w:t xml:space="preserve"> וששאלת מי שהוא חרש ונושא ונותן יפה</w:t>
      </w:r>
      <w:r w:rsidR="00856AC9">
        <w:rPr>
          <w:rFonts w:cs="Arial" w:hint="cs"/>
          <w:rtl/>
        </w:rPr>
        <w:t>,</w:t>
      </w:r>
      <w:r w:rsidRPr="000E5E32">
        <w:rPr>
          <w:rFonts w:cs="Arial"/>
          <w:rtl/>
        </w:rPr>
        <w:t xml:space="preserve"> ומבין כשמדברים עמו בקול רם</w:t>
      </w:r>
      <w:r w:rsidR="00856AC9">
        <w:rPr>
          <w:rFonts w:cs="Arial" w:hint="cs"/>
          <w:rtl/>
        </w:rPr>
        <w:t>,</w:t>
      </w:r>
      <w:r w:rsidRPr="000E5E32">
        <w:rPr>
          <w:rFonts w:cs="Arial"/>
          <w:rtl/>
        </w:rPr>
        <w:t xml:space="preserve"> אע</w:t>
      </w:r>
      <w:r w:rsidR="00856AC9">
        <w:rPr>
          <w:rFonts w:cs="Arial" w:hint="cs"/>
          <w:rtl/>
        </w:rPr>
        <w:t>"</w:t>
      </w:r>
      <w:r w:rsidRPr="000E5E32">
        <w:rPr>
          <w:rFonts w:cs="Arial"/>
          <w:rtl/>
        </w:rPr>
        <w:t>פ שדעתו אינה מיושבת עליו כל כך</w:t>
      </w:r>
      <w:r w:rsidR="00F53498">
        <w:rPr>
          <w:rFonts w:cs="Arial" w:hint="cs"/>
          <w:rtl/>
        </w:rPr>
        <w:t xml:space="preserve">, </w:t>
      </w:r>
      <w:r w:rsidR="00856AC9">
        <w:rPr>
          <w:rFonts w:cs="Arial" w:hint="cs"/>
          <w:rtl/>
        </w:rPr>
        <w:t>ה</w:t>
      </w:r>
      <w:r w:rsidRPr="000E5E32">
        <w:rPr>
          <w:rFonts w:cs="Arial"/>
          <w:rtl/>
        </w:rPr>
        <w:t>אם יכול לעשות מחילה או למכור או להקדיש</w:t>
      </w:r>
      <w:r w:rsidR="00856AC9">
        <w:rPr>
          <w:rFonts w:cs="Arial" w:hint="cs"/>
          <w:rtl/>
        </w:rPr>
        <w:t>.</w:t>
      </w:r>
      <w:r w:rsidRPr="000E5E32">
        <w:rPr>
          <w:rFonts w:cs="Arial"/>
          <w:rtl/>
        </w:rPr>
        <w:t xml:space="preserve"> דע כי כל מקום שהזכירו חרש אצל שוטה וקטן היינו שאינו מדבר ואינו שומע כלל</w:t>
      </w:r>
      <w:r w:rsidR="00856AC9">
        <w:rPr>
          <w:rFonts w:cs="Arial" w:hint="cs"/>
          <w:rtl/>
        </w:rPr>
        <w:t>,</w:t>
      </w:r>
      <w:r w:rsidRPr="000E5E32">
        <w:rPr>
          <w:rFonts w:cs="Arial"/>
          <w:rtl/>
        </w:rPr>
        <w:t xml:space="preserve"> וכך היה ממעי אמו</w:t>
      </w:r>
      <w:r w:rsidR="00856AC9">
        <w:rPr>
          <w:rFonts w:cs="Arial" w:hint="cs"/>
          <w:rtl/>
        </w:rPr>
        <w:t>.</w:t>
      </w:r>
      <w:r w:rsidRPr="000E5E32">
        <w:rPr>
          <w:rFonts w:cs="Arial"/>
          <w:rtl/>
        </w:rPr>
        <w:t xml:space="preserve"> אבל אם שומע כשמדברים עמו בקול רם </w:t>
      </w:r>
      <w:r w:rsidR="00A82951">
        <w:rPr>
          <w:rFonts w:cs="Arial" w:hint="cs"/>
          <w:rtl/>
        </w:rPr>
        <w:t>-</w:t>
      </w:r>
      <w:r w:rsidR="00856AC9">
        <w:rPr>
          <w:rFonts w:cs="Arial" w:hint="cs"/>
          <w:rtl/>
        </w:rPr>
        <w:t xml:space="preserve"> </w:t>
      </w:r>
      <w:r w:rsidRPr="000E5E32">
        <w:rPr>
          <w:rFonts w:cs="Arial"/>
          <w:rtl/>
        </w:rPr>
        <w:t>אינו חרש אלא שכבדו אזניו משמוע והרי הוא כמי שאינו מדבר</w:t>
      </w:r>
      <w:r w:rsidR="000E5E32">
        <w:rPr>
          <w:rFonts w:cs="Arial" w:hint="cs"/>
          <w:rtl/>
        </w:rPr>
        <w:t>.</w:t>
      </w:r>
      <w:r w:rsidRPr="000E5E32">
        <w:rPr>
          <w:rFonts w:cs="Arial"/>
          <w:rtl/>
        </w:rPr>
        <w:t xml:space="preserve"> </w:t>
      </w:r>
    </w:p>
    <w:p w14:paraId="51F57EA4" w14:textId="40E54055" w:rsidR="00AF38C8" w:rsidRPr="00AF38C8" w:rsidRDefault="00AF38C8" w:rsidP="005E486B">
      <w:pPr>
        <w:rPr>
          <w:rFonts w:cs="Arial"/>
          <w:u w:val="single"/>
          <w:rtl/>
        </w:rPr>
      </w:pPr>
      <w:r w:rsidRPr="00AF38C8">
        <w:rPr>
          <w:rFonts w:cs="Arial"/>
          <w:u w:val="single"/>
          <w:rtl/>
        </w:rPr>
        <w:t>נשאה כשהוא שוטה</w:t>
      </w:r>
      <w:r>
        <w:rPr>
          <w:rFonts w:cs="Arial" w:hint="cs"/>
          <w:u w:val="single"/>
          <w:rtl/>
        </w:rPr>
        <w:t>,</w:t>
      </w:r>
      <w:r w:rsidRPr="00AF38C8">
        <w:rPr>
          <w:rFonts w:cs="Arial"/>
          <w:u w:val="single"/>
          <w:rtl/>
        </w:rPr>
        <w:t xml:space="preserve"> ונשתפה</w:t>
      </w:r>
      <w:r>
        <w:rPr>
          <w:rFonts w:cs="Arial" w:hint="cs"/>
          <w:u w:val="single"/>
          <w:rtl/>
        </w:rPr>
        <w:t>,</w:t>
      </w:r>
      <w:r w:rsidRPr="00AF38C8">
        <w:rPr>
          <w:rFonts w:cs="Arial"/>
          <w:u w:val="single"/>
          <w:rtl/>
        </w:rPr>
        <w:t xml:space="preserve"> וחזר ונשתטה</w:t>
      </w:r>
      <w:r w:rsidRPr="00AF38C8">
        <w:rPr>
          <w:rFonts w:cs="Arial" w:hint="cs"/>
          <w:u w:val="single"/>
          <w:rtl/>
        </w:rPr>
        <w:t>:</w:t>
      </w:r>
      <w:r w:rsidRPr="00AF38C8">
        <w:rPr>
          <w:rFonts w:cs="Arial"/>
          <w:u w:val="single"/>
          <w:rtl/>
        </w:rPr>
        <w:t xml:space="preserve"> </w:t>
      </w:r>
    </w:p>
    <w:p w14:paraId="12C58A62" w14:textId="785CDD4E" w:rsidR="00856AC9" w:rsidRPr="00AF38C8" w:rsidRDefault="00AF38C8" w:rsidP="00A65C5F">
      <w:pPr>
        <w:pStyle w:val="ab"/>
        <w:numPr>
          <w:ilvl w:val="0"/>
          <w:numId w:val="30"/>
        </w:numPr>
        <w:rPr>
          <w:rFonts w:cs="Arial"/>
          <w:rtl/>
        </w:rPr>
      </w:pPr>
      <w:r w:rsidRPr="00AF38C8">
        <w:rPr>
          <w:rFonts w:cs="Arial" w:hint="cs"/>
          <w:rtl/>
        </w:rPr>
        <w:t>ב"י</w:t>
      </w:r>
      <w:r w:rsidR="00A82951">
        <w:rPr>
          <w:rFonts w:cs="Arial" w:hint="cs"/>
          <w:rtl/>
        </w:rPr>
        <w:t>-</w:t>
      </w:r>
      <w:r w:rsidRPr="00AF38C8">
        <w:rPr>
          <w:rFonts w:cs="Arial" w:hint="cs"/>
          <w:rtl/>
        </w:rPr>
        <w:t xml:space="preserve"> </w:t>
      </w:r>
      <w:r w:rsidR="005E486B" w:rsidRPr="00AF38C8">
        <w:rPr>
          <w:rFonts w:cs="Arial"/>
          <w:rtl/>
        </w:rPr>
        <w:t>שוטה שנשא אין קידושיו קידושין דלא תקינו ליה רבנן נישואין כדאיתא בריש פרק חרש והילכך אין אשתו צריכה גט</w:t>
      </w:r>
      <w:r w:rsidR="00F53498">
        <w:rPr>
          <w:rFonts w:cs="Arial" w:hint="cs"/>
          <w:rtl/>
        </w:rPr>
        <w:t>,</w:t>
      </w:r>
      <w:r w:rsidR="005E486B" w:rsidRPr="00AF38C8">
        <w:rPr>
          <w:rFonts w:cs="Arial"/>
          <w:rtl/>
        </w:rPr>
        <w:t xml:space="preserve"> והוא שנשאה אחר שנשתטה</w:t>
      </w:r>
      <w:r w:rsidR="00D46B77" w:rsidRPr="00AF38C8">
        <w:rPr>
          <w:rFonts w:cs="Arial" w:hint="cs"/>
          <w:rtl/>
        </w:rPr>
        <w:t>.</w:t>
      </w:r>
      <w:r w:rsidR="005E486B" w:rsidRPr="00AF38C8">
        <w:rPr>
          <w:rFonts w:cs="Arial"/>
          <w:rtl/>
        </w:rPr>
        <w:t xml:space="preserve"> מיהו היכא דנשאה כשהוא שוטה</w:t>
      </w:r>
      <w:r w:rsidR="00F53498">
        <w:rPr>
          <w:rFonts w:cs="Arial" w:hint="cs"/>
          <w:rtl/>
        </w:rPr>
        <w:t>,</w:t>
      </w:r>
      <w:r w:rsidR="005E486B" w:rsidRPr="00AF38C8">
        <w:rPr>
          <w:rFonts w:cs="Arial"/>
          <w:rtl/>
        </w:rPr>
        <w:t xml:space="preserve"> ונשתפה</w:t>
      </w:r>
      <w:r w:rsidR="00F53498">
        <w:rPr>
          <w:rFonts w:cs="Arial" w:hint="cs"/>
          <w:rtl/>
        </w:rPr>
        <w:t>,</w:t>
      </w:r>
      <w:r w:rsidR="005E486B" w:rsidRPr="00AF38C8">
        <w:rPr>
          <w:rFonts w:cs="Arial"/>
          <w:rtl/>
        </w:rPr>
        <w:t xml:space="preserve"> וחזר ונשתטה</w:t>
      </w:r>
      <w:r w:rsidR="00C66691">
        <w:rPr>
          <w:rFonts w:cs="Arial" w:hint="cs"/>
          <w:rtl/>
        </w:rPr>
        <w:t xml:space="preserve"> -</w:t>
      </w:r>
      <w:r w:rsidR="005E486B" w:rsidRPr="00AF38C8">
        <w:rPr>
          <w:rFonts w:cs="Arial"/>
          <w:rtl/>
        </w:rPr>
        <w:t xml:space="preserve"> אפשר דאיכא למיחש שמא כשהיה שפוי בעל לשם קידושין</w:t>
      </w:r>
      <w:r w:rsidR="002D6227">
        <w:rPr>
          <w:rStyle w:val="a7"/>
          <w:rFonts w:cs="Arial"/>
          <w:rtl/>
        </w:rPr>
        <w:footnoteReference w:id="332"/>
      </w:r>
      <w:r w:rsidR="00856AC9" w:rsidRPr="00AF38C8">
        <w:rPr>
          <w:rFonts w:cs="Arial" w:hint="cs"/>
          <w:rtl/>
        </w:rPr>
        <w:t>.</w:t>
      </w:r>
    </w:p>
    <w:p w14:paraId="7361420E" w14:textId="38E2262B" w:rsidR="00093880" w:rsidRDefault="00093880" w:rsidP="005E486B">
      <w:pPr>
        <w:rPr>
          <w:rFonts w:cs="Arial"/>
          <w:rtl/>
        </w:rPr>
      </w:pPr>
      <w:r w:rsidRPr="00462391">
        <w:rPr>
          <w:rFonts w:cs="Arial"/>
          <w:b/>
          <w:bCs/>
          <w:rtl/>
        </w:rPr>
        <w:t xml:space="preserve">יבמות </w:t>
      </w:r>
      <w:r w:rsidRPr="00462391">
        <w:rPr>
          <w:rFonts w:cs="Arial" w:hint="cs"/>
          <w:b/>
          <w:bCs/>
          <w:sz w:val="16"/>
          <w:szCs w:val="16"/>
          <w:rtl/>
        </w:rPr>
        <w:t>(</w:t>
      </w:r>
      <w:r w:rsidRPr="00462391">
        <w:rPr>
          <w:rFonts w:cs="Arial"/>
          <w:b/>
          <w:bCs/>
          <w:sz w:val="16"/>
          <w:szCs w:val="16"/>
          <w:rtl/>
        </w:rPr>
        <w:t>ר</w:t>
      </w:r>
      <w:r w:rsidRPr="00462391">
        <w:rPr>
          <w:rFonts w:cs="Arial" w:hint="cs"/>
          <w:b/>
          <w:bCs/>
          <w:sz w:val="16"/>
          <w:szCs w:val="16"/>
          <w:rtl/>
        </w:rPr>
        <w:t>"פ</w:t>
      </w:r>
      <w:r w:rsidRPr="00462391">
        <w:rPr>
          <w:rFonts w:cs="Arial"/>
          <w:b/>
          <w:bCs/>
          <w:sz w:val="16"/>
          <w:szCs w:val="16"/>
          <w:rtl/>
        </w:rPr>
        <w:t xml:space="preserve"> חרש</w:t>
      </w:r>
      <w:r w:rsidRPr="00462391">
        <w:rPr>
          <w:rFonts w:cs="Arial" w:hint="cs"/>
          <w:b/>
          <w:bCs/>
          <w:sz w:val="16"/>
          <w:szCs w:val="16"/>
          <w:rtl/>
        </w:rPr>
        <w:t>)</w:t>
      </w:r>
      <w:r w:rsidRPr="00462391">
        <w:rPr>
          <w:rFonts w:cs="Arial"/>
          <w:b/>
          <w:bCs/>
          <w:rtl/>
        </w:rPr>
        <w:t xml:space="preserve"> קי</w:t>
      </w:r>
      <w:r>
        <w:rPr>
          <w:rFonts w:cs="Arial" w:hint="cs"/>
          <w:b/>
          <w:bCs/>
          <w:rtl/>
        </w:rPr>
        <w:t>ג</w:t>
      </w:r>
      <w:r w:rsidRPr="00462391">
        <w:rPr>
          <w:rFonts w:cs="Arial" w:hint="cs"/>
          <w:b/>
          <w:bCs/>
          <w:rtl/>
        </w:rPr>
        <w:t xml:space="preserve"> ע"</w:t>
      </w:r>
      <w:r>
        <w:rPr>
          <w:rFonts w:cs="Arial" w:hint="cs"/>
          <w:b/>
          <w:bCs/>
          <w:rtl/>
        </w:rPr>
        <w:t>א</w:t>
      </w:r>
      <w:r w:rsidRPr="00462391">
        <w:rPr>
          <w:rFonts w:cs="Arial"/>
          <w:b/>
          <w:bCs/>
          <w:rtl/>
        </w:rPr>
        <w:t>:</w:t>
      </w:r>
      <w:r w:rsidRPr="00462391">
        <w:rPr>
          <w:rFonts w:cs="Arial"/>
          <w:rtl/>
        </w:rPr>
        <w:t xml:space="preserve"> </w:t>
      </w:r>
      <w:r w:rsidRPr="00093880">
        <w:rPr>
          <w:rFonts w:cs="Arial"/>
          <w:rtl/>
        </w:rPr>
        <w:t xml:space="preserve">דתניא, </w:t>
      </w:r>
      <w:r w:rsidRPr="001C702B">
        <w:rPr>
          <w:rFonts w:cs="Arial"/>
          <w:u w:val="single"/>
          <w:rtl/>
        </w:rPr>
        <w:t>ר' יצחק אומר משום רבי אלעזר</w:t>
      </w:r>
      <w:r w:rsidRPr="00093880">
        <w:rPr>
          <w:rFonts w:cs="Arial"/>
          <w:rtl/>
        </w:rPr>
        <w:t>: תרומת חרש לא תצא לחולין, מפני שהוא ספק.</w:t>
      </w:r>
      <w:r>
        <w:rPr>
          <w:rFonts w:cs="Arial" w:hint="cs"/>
          <w:rtl/>
        </w:rPr>
        <w:t>..</w:t>
      </w:r>
      <w:r w:rsidRPr="00093880">
        <w:rPr>
          <w:rFonts w:cs="Arial"/>
          <w:rtl/>
        </w:rPr>
        <w:t xml:space="preserve"> </w:t>
      </w:r>
      <w:r w:rsidRPr="00093880">
        <w:rPr>
          <w:rFonts w:cs="Arial"/>
          <w:u w:val="single"/>
          <w:rtl/>
        </w:rPr>
        <w:t>בעא רב אשי</w:t>
      </w:r>
      <w:r w:rsidRPr="00093880">
        <w:rPr>
          <w:rFonts w:cs="Arial"/>
          <w:rtl/>
        </w:rPr>
        <w:t>: מ"ט דר' אלעזר? מיפשט פשיטא לי' דחרש דעתא קלישתא</w:t>
      </w:r>
      <w:r w:rsidR="007E7191">
        <w:rPr>
          <w:rStyle w:val="a7"/>
          <w:rFonts w:cs="Arial"/>
          <w:rtl/>
        </w:rPr>
        <w:footnoteReference w:id="333"/>
      </w:r>
      <w:r w:rsidRPr="00093880">
        <w:rPr>
          <w:rFonts w:cs="Arial"/>
          <w:rtl/>
        </w:rPr>
        <w:t xml:space="preserve"> הוא, ומיהו מספקא לי' אי דעתא צילותא </w:t>
      </w:r>
      <w:r>
        <w:rPr>
          <w:rFonts w:cs="Arial" w:hint="cs"/>
          <w:sz w:val="14"/>
          <w:szCs w:val="14"/>
          <w:rtl/>
        </w:rPr>
        <w:t xml:space="preserve">(קיד.) </w:t>
      </w:r>
      <w:r w:rsidRPr="00093880">
        <w:rPr>
          <w:rFonts w:cs="Arial"/>
          <w:rtl/>
        </w:rPr>
        <w:t>אי לאו דעתא צילותא, ולעולם חדא דעתא הוא</w:t>
      </w:r>
      <w:r w:rsidR="001C702B">
        <w:rPr>
          <w:rFonts w:cs="Arial" w:hint="cs"/>
          <w:rtl/>
        </w:rPr>
        <w:t>.</w:t>
      </w:r>
      <w:r w:rsidRPr="00093880">
        <w:rPr>
          <w:rFonts w:cs="Arial"/>
          <w:rtl/>
        </w:rPr>
        <w:t xml:space="preserve"> או דלמא פשיטא ליה דדעתיה קלישתא ולאו דעתא צילותא הוא, והכא היינו טעמא, כיון דעתים חלים ועתים שוטה? למאי נפקא מינה? להוציא אשתו בגט, אי אמרת חדא דעתא הוא </w:t>
      </w:r>
      <w:r w:rsidR="00A82951">
        <w:rPr>
          <w:rFonts w:cs="Arial"/>
          <w:rtl/>
        </w:rPr>
        <w:t>-</w:t>
      </w:r>
      <w:r w:rsidRPr="00093880">
        <w:rPr>
          <w:rFonts w:cs="Arial"/>
          <w:rtl/>
        </w:rPr>
        <w:t xml:space="preserve"> כקדושין כך גירושין, ואי אמרת עתים חלים ועתים שוטה </w:t>
      </w:r>
      <w:r w:rsidR="00A82951">
        <w:rPr>
          <w:rFonts w:cs="Arial"/>
          <w:rtl/>
        </w:rPr>
        <w:t>-</w:t>
      </w:r>
      <w:r w:rsidRPr="00093880">
        <w:rPr>
          <w:rFonts w:cs="Arial"/>
          <w:rtl/>
        </w:rPr>
        <w:t xml:space="preserve"> קדושי מצי מקדש, גרושי לא מצי מגרש, מאי? תיקו.</w:t>
      </w:r>
    </w:p>
    <w:p w14:paraId="64587FA6" w14:textId="77777777" w:rsidR="00E95218" w:rsidRDefault="00E95218" w:rsidP="00E95218">
      <w:pPr>
        <w:rPr>
          <w:rFonts w:cs="Arial"/>
          <w:rtl/>
        </w:rPr>
      </w:pPr>
      <w:r w:rsidRPr="00093880">
        <w:rPr>
          <w:rFonts w:cs="Arial" w:hint="cs"/>
          <w:u w:val="single"/>
          <w:rtl/>
        </w:rPr>
        <w:t>דין מי שדעתו חלושה או משובשת:</w:t>
      </w:r>
    </w:p>
    <w:p w14:paraId="7B306C6B" w14:textId="2DEF54E4" w:rsidR="00093880" w:rsidRPr="00E95218" w:rsidRDefault="00E95218" w:rsidP="00A65C5F">
      <w:pPr>
        <w:pStyle w:val="ab"/>
        <w:numPr>
          <w:ilvl w:val="0"/>
          <w:numId w:val="30"/>
        </w:numPr>
        <w:rPr>
          <w:rFonts w:cs="Arial"/>
          <w:rtl/>
        </w:rPr>
      </w:pPr>
      <w:r w:rsidRPr="00E95218">
        <w:rPr>
          <w:rFonts w:cs="Arial" w:hint="cs"/>
          <w:rtl/>
        </w:rPr>
        <w:t>ב"י</w:t>
      </w:r>
      <w:r w:rsidR="00A82951">
        <w:rPr>
          <w:rFonts w:cs="Arial" w:hint="cs"/>
          <w:rtl/>
        </w:rPr>
        <w:t>-</w:t>
      </w:r>
      <w:r w:rsidRPr="00E95218">
        <w:rPr>
          <w:rFonts w:cs="Arial" w:hint="cs"/>
          <w:rtl/>
        </w:rPr>
        <w:t xml:space="preserve"> </w:t>
      </w:r>
      <w:r w:rsidR="005E486B" w:rsidRPr="00E95218">
        <w:rPr>
          <w:rFonts w:cs="Arial"/>
          <w:rtl/>
        </w:rPr>
        <w:t xml:space="preserve">משמע מהכא </w:t>
      </w:r>
      <w:r w:rsidRPr="00E95218">
        <w:rPr>
          <w:rFonts w:cs="Arial" w:hint="cs"/>
          <w:sz w:val="16"/>
          <w:szCs w:val="16"/>
          <w:rtl/>
        </w:rPr>
        <w:t xml:space="preserve">(יבמות קיג.) </w:t>
      </w:r>
      <w:r w:rsidR="005E486B" w:rsidRPr="00E95218">
        <w:rPr>
          <w:rFonts w:cs="Arial"/>
          <w:rtl/>
        </w:rPr>
        <w:t>שמי שדעתו צלולה ומבין ומשיג הדברים על בוריין אע</w:t>
      </w:r>
      <w:r>
        <w:rPr>
          <w:rFonts w:cs="Arial" w:hint="cs"/>
          <w:rtl/>
        </w:rPr>
        <w:t>"</w:t>
      </w:r>
      <w:r w:rsidR="005E486B" w:rsidRPr="00E95218">
        <w:rPr>
          <w:rFonts w:cs="Arial"/>
          <w:rtl/>
        </w:rPr>
        <w:t xml:space="preserve">פ שדלה וחלושה </w:t>
      </w:r>
      <w:r w:rsidR="00A82951">
        <w:rPr>
          <w:rFonts w:cs="Arial" w:hint="cs"/>
          <w:rtl/>
        </w:rPr>
        <w:t>-</w:t>
      </w:r>
      <w:r>
        <w:rPr>
          <w:rFonts w:cs="Arial" w:hint="cs"/>
          <w:rtl/>
        </w:rPr>
        <w:t xml:space="preserve"> </w:t>
      </w:r>
      <w:r w:rsidR="005E486B" w:rsidRPr="00E95218">
        <w:rPr>
          <w:rFonts w:cs="Arial"/>
          <w:rtl/>
        </w:rPr>
        <w:t>קידושיו קידושין גמורים</w:t>
      </w:r>
      <w:r>
        <w:rPr>
          <w:rFonts w:cs="Arial" w:hint="cs"/>
          <w:rtl/>
        </w:rPr>
        <w:t>,</w:t>
      </w:r>
      <w:r w:rsidR="005E486B" w:rsidRPr="00E95218">
        <w:rPr>
          <w:rFonts w:cs="Arial"/>
          <w:rtl/>
        </w:rPr>
        <w:t xml:space="preserve"> וכן גירושיו</w:t>
      </w:r>
      <w:r>
        <w:rPr>
          <w:rFonts w:cs="Arial" w:hint="cs"/>
          <w:rtl/>
        </w:rPr>
        <w:t>.</w:t>
      </w:r>
      <w:r w:rsidR="005E486B" w:rsidRPr="00E95218">
        <w:rPr>
          <w:rFonts w:cs="Arial"/>
          <w:rtl/>
        </w:rPr>
        <w:t xml:space="preserve"> ואם דעתו משובשת שאינו משיג שום דבר על בוריו </w:t>
      </w:r>
      <w:r w:rsidR="00A82951">
        <w:rPr>
          <w:rFonts w:cs="Arial" w:hint="cs"/>
          <w:rtl/>
        </w:rPr>
        <w:t>-</w:t>
      </w:r>
      <w:r>
        <w:rPr>
          <w:rFonts w:cs="Arial" w:hint="cs"/>
          <w:rtl/>
        </w:rPr>
        <w:t xml:space="preserve"> </w:t>
      </w:r>
      <w:r w:rsidR="005E486B" w:rsidRPr="00E95218">
        <w:rPr>
          <w:rFonts w:cs="Arial"/>
          <w:rtl/>
        </w:rPr>
        <w:t>אין קידושיו ולא גירושיו כלום</w:t>
      </w:r>
      <w:r>
        <w:rPr>
          <w:rFonts w:cs="Arial" w:hint="cs"/>
          <w:rtl/>
        </w:rPr>
        <w:t>.</w:t>
      </w:r>
      <w:r w:rsidR="005E486B" w:rsidRPr="00E95218">
        <w:rPr>
          <w:rFonts w:cs="Arial"/>
          <w:rtl/>
        </w:rPr>
        <w:t xml:space="preserve"> וכן כתב רבינו ירוחם </w:t>
      </w:r>
      <w:r>
        <w:rPr>
          <w:rFonts w:cs="Arial" w:hint="cs"/>
          <w:rtl/>
        </w:rPr>
        <w:t>(</w:t>
      </w:r>
      <w:r w:rsidR="005E486B" w:rsidRPr="00E95218">
        <w:rPr>
          <w:rFonts w:cs="Arial"/>
          <w:rtl/>
        </w:rPr>
        <w:t>נכ</w:t>
      </w:r>
      <w:r>
        <w:rPr>
          <w:rFonts w:cs="Arial" w:hint="cs"/>
          <w:rtl/>
        </w:rPr>
        <w:t>"</w:t>
      </w:r>
      <w:r w:rsidR="005E486B" w:rsidRPr="00E95218">
        <w:rPr>
          <w:rFonts w:cs="Arial"/>
          <w:rtl/>
        </w:rPr>
        <w:t>ב ח</w:t>
      </w:r>
      <w:r>
        <w:rPr>
          <w:rFonts w:cs="Arial" w:hint="cs"/>
          <w:rtl/>
        </w:rPr>
        <w:t>"</w:t>
      </w:r>
      <w:r w:rsidR="005E486B" w:rsidRPr="00E95218">
        <w:rPr>
          <w:rFonts w:cs="Arial"/>
          <w:rtl/>
        </w:rPr>
        <w:t>ה קצ ע"ד) בשם הרמ"ה</w:t>
      </w:r>
      <w:r>
        <w:rPr>
          <w:rFonts w:cs="Arial" w:hint="cs"/>
          <w:rtl/>
        </w:rPr>
        <w:t>.</w:t>
      </w:r>
    </w:p>
    <w:p w14:paraId="7646664A" w14:textId="401678A5" w:rsidR="000E5E32" w:rsidRPr="000E5E32" w:rsidRDefault="000E5E32" w:rsidP="000E5E32">
      <w:pPr>
        <w:rPr>
          <w:rFonts w:cs="Arial"/>
          <w:rtl/>
        </w:rPr>
      </w:pPr>
      <w:r w:rsidRPr="009808AD">
        <w:rPr>
          <w:rFonts w:cs="Arial"/>
          <w:b/>
          <w:bCs/>
          <w:rtl/>
        </w:rPr>
        <w:t>ירושלמי יבמות פי"ד ה"א</w:t>
      </w:r>
      <w:r w:rsidRPr="009808AD">
        <w:rPr>
          <w:rFonts w:cs="Arial" w:hint="cs"/>
          <w:b/>
          <w:bCs/>
          <w:rtl/>
        </w:rPr>
        <w:t>:</w:t>
      </w:r>
      <w:r>
        <w:rPr>
          <w:rFonts w:cs="Arial"/>
          <w:rtl/>
        </w:rPr>
        <w:t xml:space="preserve"> </w:t>
      </w:r>
      <w:r w:rsidRPr="009808AD">
        <w:rPr>
          <w:rFonts w:cs="Arial"/>
          <w:u w:val="double"/>
          <w:rtl/>
        </w:rPr>
        <w:t>מתני'</w:t>
      </w:r>
      <w:r>
        <w:rPr>
          <w:rFonts w:cs="Arial" w:hint="cs"/>
          <w:rtl/>
        </w:rPr>
        <w:t xml:space="preserve">: </w:t>
      </w:r>
      <w:r w:rsidRPr="009808AD">
        <w:rPr>
          <w:rFonts w:cs="Arial"/>
          <w:rtl/>
        </w:rPr>
        <w:t>חרש שנשא פיקחת</w:t>
      </w:r>
      <w:r>
        <w:rPr>
          <w:rFonts w:cs="Arial" w:hint="cs"/>
          <w:rtl/>
        </w:rPr>
        <w:t>,</w:t>
      </w:r>
      <w:r w:rsidRPr="009808AD">
        <w:rPr>
          <w:rFonts w:cs="Arial"/>
          <w:rtl/>
        </w:rPr>
        <w:t xml:space="preserve"> פיקח שנשא חרשת</w:t>
      </w:r>
      <w:r>
        <w:rPr>
          <w:rFonts w:cs="Arial" w:hint="cs"/>
          <w:rtl/>
        </w:rPr>
        <w:t>,</w:t>
      </w:r>
      <w:r w:rsidRPr="009808AD">
        <w:rPr>
          <w:rFonts w:cs="Arial"/>
          <w:rtl/>
        </w:rPr>
        <w:t xml:space="preserve"> אם רצה להוציא</w:t>
      </w:r>
      <w:r>
        <w:rPr>
          <w:rFonts w:cs="Arial" w:hint="cs"/>
          <w:rtl/>
        </w:rPr>
        <w:t xml:space="preserve"> </w:t>
      </w:r>
      <w:r w:rsidR="00A82951">
        <w:rPr>
          <w:rFonts w:cs="Arial" w:hint="cs"/>
          <w:rtl/>
        </w:rPr>
        <w:t>-</w:t>
      </w:r>
      <w:r w:rsidRPr="009808AD">
        <w:rPr>
          <w:rFonts w:cs="Arial"/>
          <w:rtl/>
        </w:rPr>
        <w:t xml:space="preserve"> יוציא</w:t>
      </w:r>
      <w:r>
        <w:rPr>
          <w:rFonts w:cs="Arial" w:hint="cs"/>
          <w:rtl/>
        </w:rPr>
        <w:t>.</w:t>
      </w:r>
      <w:r w:rsidRPr="009808AD">
        <w:rPr>
          <w:rFonts w:cs="Arial"/>
          <w:rtl/>
        </w:rPr>
        <w:t xml:space="preserve"> אם רצה לקיים </w:t>
      </w:r>
      <w:r w:rsidR="00A82951">
        <w:rPr>
          <w:rFonts w:cs="Arial" w:hint="cs"/>
          <w:rtl/>
        </w:rPr>
        <w:t>-</w:t>
      </w:r>
      <w:r>
        <w:rPr>
          <w:rFonts w:cs="Arial" w:hint="cs"/>
          <w:rtl/>
        </w:rPr>
        <w:t xml:space="preserve"> </w:t>
      </w:r>
      <w:r w:rsidRPr="009808AD">
        <w:rPr>
          <w:rFonts w:cs="Arial"/>
          <w:rtl/>
        </w:rPr>
        <w:t>יקיים. כשם שהוא כונס ברמיזה כך הוא מוציא ברמיזה</w:t>
      </w:r>
      <w:r>
        <w:rPr>
          <w:rFonts w:cs="Arial" w:hint="cs"/>
          <w:rtl/>
        </w:rPr>
        <w:t xml:space="preserve">...    </w:t>
      </w:r>
      <w:r w:rsidRPr="009808AD">
        <w:rPr>
          <w:rFonts w:cs="Arial"/>
          <w:rtl/>
        </w:rPr>
        <w:t xml:space="preserve"> </w:t>
      </w:r>
      <w:r w:rsidRPr="009808AD">
        <w:rPr>
          <w:rFonts w:cs="Arial"/>
          <w:u w:val="double"/>
          <w:rtl/>
        </w:rPr>
        <w:t>גמ'</w:t>
      </w:r>
      <w:r>
        <w:rPr>
          <w:rFonts w:cs="Arial" w:hint="cs"/>
          <w:rtl/>
        </w:rPr>
        <w:t>:</w:t>
      </w:r>
      <w:r w:rsidRPr="009808AD">
        <w:rPr>
          <w:rFonts w:cs="Arial"/>
          <w:rtl/>
        </w:rPr>
        <w:t xml:space="preserve"> כיצד הוא עושה רומז והוא נותן לה גיטה.</w:t>
      </w:r>
      <w:r>
        <w:rPr>
          <w:rFonts w:cs="Arial" w:hint="cs"/>
          <w:rtl/>
        </w:rPr>
        <w:t>.</w:t>
      </w:r>
      <w:r w:rsidRPr="009808AD">
        <w:rPr>
          <w:rFonts w:cs="Arial"/>
          <w:rtl/>
        </w:rPr>
        <w:t>. מתניתא בשקידשה בכסף</w:t>
      </w:r>
      <w:r>
        <w:rPr>
          <w:rFonts w:cs="Arial" w:hint="cs"/>
          <w:rtl/>
        </w:rPr>
        <w:t>,</w:t>
      </w:r>
      <w:r w:rsidRPr="009808AD">
        <w:rPr>
          <w:rFonts w:cs="Arial"/>
          <w:rtl/>
        </w:rPr>
        <w:t xml:space="preserve"> אבל אם קידשה בבעילה </w:t>
      </w:r>
      <w:r w:rsidR="00A82951">
        <w:rPr>
          <w:rFonts w:cs="Arial" w:hint="cs"/>
          <w:rtl/>
        </w:rPr>
        <w:t>-</w:t>
      </w:r>
      <w:r>
        <w:rPr>
          <w:rFonts w:cs="Arial" w:hint="cs"/>
          <w:rtl/>
        </w:rPr>
        <w:t xml:space="preserve"> </w:t>
      </w:r>
      <w:r w:rsidRPr="009808AD">
        <w:rPr>
          <w:rFonts w:cs="Arial"/>
          <w:rtl/>
        </w:rPr>
        <w:t xml:space="preserve">קידושיו מעשה וגירושיו אינו מעשה. </w:t>
      </w:r>
      <w:r w:rsidRPr="009808AD">
        <w:rPr>
          <w:rFonts w:cs="Arial" w:hint="cs"/>
          <w:sz w:val="16"/>
          <w:szCs w:val="16"/>
          <w:rtl/>
        </w:rPr>
        <w:t>(</w:t>
      </w:r>
      <w:r w:rsidRPr="009808AD">
        <w:rPr>
          <w:rFonts w:cs="Arial"/>
          <w:sz w:val="16"/>
          <w:szCs w:val="16"/>
          <w:rtl/>
        </w:rPr>
        <w:t>וכתבו בעל נמוק</w:t>
      </w:r>
      <w:r>
        <w:rPr>
          <w:rFonts w:cs="Arial" w:hint="cs"/>
          <w:sz w:val="16"/>
          <w:szCs w:val="16"/>
          <w:rtl/>
        </w:rPr>
        <w:t>"</w:t>
      </w:r>
      <w:r w:rsidRPr="009808AD">
        <w:rPr>
          <w:rFonts w:cs="Arial"/>
          <w:sz w:val="16"/>
          <w:szCs w:val="16"/>
          <w:rtl/>
        </w:rPr>
        <w:t>י (יבמות מא. ד"ה חרש) אבל לא ראיתי לאחד מהפוסקים שכתב כן</w:t>
      </w:r>
      <w:r>
        <w:rPr>
          <w:rFonts w:cs="Arial" w:hint="cs"/>
          <w:sz w:val="16"/>
          <w:szCs w:val="16"/>
          <w:rtl/>
        </w:rPr>
        <w:t>, ב"י)</w:t>
      </w:r>
    </w:p>
    <w:p w14:paraId="1DF74C0C" w14:textId="77777777" w:rsidR="00A243D9" w:rsidRPr="007B74F1" w:rsidRDefault="00A243D9" w:rsidP="00A243D9">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203F65A7" w14:textId="2BD82662" w:rsidR="00486C31" w:rsidRDefault="00486C31" w:rsidP="00486C31">
      <w:pPr>
        <w:rPr>
          <w:rFonts w:cs="Arial"/>
          <w:rtl/>
        </w:rPr>
      </w:pPr>
      <w:r w:rsidRPr="00486C31">
        <w:rPr>
          <w:rFonts w:cs="Arial"/>
          <w:rtl/>
        </w:rPr>
        <w:t>ודוקא כשנשתתק, או אילם השומע ואינו מדבר</w:t>
      </w:r>
      <w:r w:rsidR="00211758">
        <w:rPr>
          <w:rStyle w:val="a7"/>
          <w:rFonts w:cs="Arial"/>
          <w:rtl/>
        </w:rPr>
        <w:footnoteReference w:id="334"/>
      </w:r>
      <w:r w:rsidRPr="00486C31">
        <w:rPr>
          <w:rFonts w:cs="Arial"/>
          <w:rtl/>
        </w:rPr>
        <w:t>, סומכין על רמיזתו להוציא. אבל חרש שאינו שומע ואינו מדבר, אינו מוציא את אשתו ברמיזה אם נשאת כשהיה פקח או שנפלה לו יבמה מאחיו פקח. אבל אם נשא אשה כשהוא חרש, אפילו היא פקחת, מוציא ברמיזה</w:t>
      </w:r>
      <w:r w:rsidR="00211758">
        <w:rPr>
          <w:rStyle w:val="a7"/>
          <w:rFonts w:cs="Arial"/>
          <w:rtl/>
        </w:rPr>
        <w:footnoteReference w:id="335"/>
      </w:r>
      <w:r w:rsidRPr="00486C31">
        <w:rPr>
          <w:rFonts w:cs="Arial"/>
          <w:rtl/>
        </w:rPr>
        <w:t xml:space="preserve">. </w:t>
      </w:r>
      <w:r w:rsidR="00875A5C">
        <w:rPr>
          <w:rFonts w:cs="Arial" w:hint="cs"/>
          <w:sz w:val="18"/>
          <w:szCs w:val="18"/>
          <w:rtl/>
        </w:rPr>
        <w:t xml:space="preserve">[הגה] </w:t>
      </w:r>
      <w:r w:rsidRPr="0044592A">
        <w:rPr>
          <w:rFonts w:cs="Arial"/>
          <w:sz w:val="18"/>
          <w:szCs w:val="18"/>
          <w:rtl/>
        </w:rPr>
        <w:t>ועיין בח"ה סי' רל"ה סעיף י"ט</w:t>
      </w:r>
      <w:r w:rsidRPr="00486C31">
        <w:rPr>
          <w:rFonts w:cs="Arial"/>
          <w:rtl/>
        </w:rPr>
        <w:t xml:space="preserve">. </w:t>
      </w:r>
    </w:p>
    <w:p w14:paraId="5CE4CF7A" w14:textId="1C464C13" w:rsidR="00B32D0D" w:rsidRPr="002D6227" w:rsidRDefault="002D6227" w:rsidP="00486C31">
      <w:pPr>
        <w:rPr>
          <w:rFonts w:cs="Arial"/>
          <w:u w:val="single"/>
          <w:rtl/>
        </w:rPr>
      </w:pPr>
      <w:r w:rsidRPr="002D6227">
        <w:rPr>
          <w:rFonts w:cs="Arial" w:hint="cs"/>
          <w:u w:val="single"/>
          <w:rtl/>
        </w:rPr>
        <w:t xml:space="preserve">מי שכנס בכתיבת יד/בקפיצה </w:t>
      </w:r>
      <w:r w:rsidR="00A82951">
        <w:rPr>
          <w:rFonts w:cs="Arial"/>
          <w:u w:val="single"/>
          <w:rtl/>
        </w:rPr>
        <w:t>-</w:t>
      </w:r>
      <w:r w:rsidRPr="002D6227">
        <w:rPr>
          <w:rFonts w:cs="Arial" w:hint="cs"/>
          <w:u w:val="single"/>
          <w:rtl/>
        </w:rPr>
        <w:t xml:space="preserve"> מהו שיגרש בכתיבת יד/קפיצה </w:t>
      </w:r>
      <w:r w:rsidRPr="002D6227">
        <w:rPr>
          <w:rFonts w:cs="Arial" w:hint="cs"/>
          <w:b/>
          <w:bCs/>
          <w:u w:val="single"/>
          <w:rtl/>
        </w:rPr>
        <w:t>לכו"ע</w:t>
      </w:r>
      <w:r w:rsidRPr="002D6227">
        <w:rPr>
          <w:rFonts w:cs="Arial" w:hint="cs"/>
          <w:u w:val="single"/>
          <w:rtl/>
        </w:rPr>
        <w:t>:</w:t>
      </w:r>
    </w:p>
    <w:p w14:paraId="4496F7CE" w14:textId="7C2A25F6" w:rsidR="002D6227" w:rsidRDefault="002D6227" w:rsidP="00A65C5F">
      <w:pPr>
        <w:pStyle w:val="ab"/>
        <w:numPr>
          <w:ilvl w:val="0"/>
          <w:numId w:val="30"/>
        </w:numPr>
        <w:rPr>
          <w:rFonts w:cs="Arial"/>
        </w:rPr>
      </w:pPr>
      <w:r w:rsidRPr="002D6227">
        <w:rPr>
          <w:rFonts w:cs="Arial" w:hint="cs"/>
          <w:rtl/>
        </w:rPr>
        <w:t xml:space="preserve">ב"ש </w:t>
      </w:r>
      <w:r w:rsidRPr="002D6227">
        <w:rPr>
          <w:rFonts w:cs="Arial" w:hint="cs"/>
          <w:sz w:val="16"/>
          <w:szCs w:val="16"/>
          <w:rtl/>
        </w:rPr>
        <w:t>(סק"ט)</w:t>
      </w:r>
      <w:r w:rsidR="00A82951">
        <w:rPr>
          <w:rFonts w:cs="Arial" w:hint="cs"/>
          <w:rtl/>
        </w:rPr>
        <w:t>-</w:t>
      </w:r>
      <w:r w:rsidRPr="002D6227">
        <w:rPr>
          <w:rFonts w:cs="Arial"/>
          <w:rtl/>
        </w:rPr>
        <w:t xml:space="preserve"> אם כנס ע"י כת"י י"ל כשם שכנס ע"י כת"י כן מגרש</w:t>
      </w:r>
      <w:r>
        <w:rPr>
          <w:rFonts w:cs="Arial" w:hint="cs"/>
          <w:rtl/>
        </w:rPr>
        <w:t>,</w:t>
      </w:r>
      <w:r w:rsidRPr="002D6227">
        <w:rPr>
          <w:rFonts w:cs="Arial"/>
          <w:rtl/>
        </w:rPr>
        <w:t xml:space="preserve"> וכן אם כנס ע"י קפיצה מגרש ע"י קפיצה</w:t>
      </w:r>
      <w:r w:rsidRPr="002D6227">
        <w:rPr>
          <w:rFonts w:cs="Arial" w:hint="cs"/>
          <w:rtl/>
        </w:rPr>
        <w:t>.</w:t>
      </w:r>
    </w:p>
    <w:p w14:paraId="1886CC8F" w14:textId="19957BDB" w:rsidR="00113D26" w:rsidRPr="002D6227" w:rsidRDefault="00113D26" w:rsidP="00A65C5F">
      <w:pPr>
        <w:pStyle w:val="ab"/>
        <w:numPr>
          <w:ilvl w:val="0"/>
          <w:numId w:val="30"/>
        </w:numPr>
        <w:rPr>
          <w:rFonts w:cs="Arial"/>
          <w:rtl/>
        </w:rPr>
      </w:pPr>
      <w:r w:rsidRPr="002D6227">
        <w:rPr>
          <w:rFonts w:cs="Arial"/>
          <w:rtl/>
        </w:rPr>
        <w:t>תו"ג</w:t>
      </w:r>
      <w:r>
        <w:rPr>
          <w:rFonts w:cs="Arial" w:hint="cs"/>
          <w:sz w:val="16"/>
          <w:szCs w:val="16"/>
          <w:rtl/>
        </w:rPr>
        <w:t xml:space="preserve"> (כ"כ הפת"ש בשמו [סק"ז])</w:t>
      </w:r>
      <w:r w:rsidR="00A82951">
        <w:rPr>
          <w:rFonts w:cs="Arial" w:hint="cs"/>
          <w:rtl/>
        </w:rPr>
        <w:t>-</w:t>
      </w:r>
      <w:r>
        <w:rPr>
          <w:rFonts w:cs="Arial" w:hint="cs"/>
          <w:rtl/>
        </w:rPr>
        <w:t xml:space="preserve"> </w:t>
      </w:r>
      <w:r w:rsidRPr="002D6227">
        <w:rPr>
          <w:rFonts w:cs="Arial"/>
          <w:rtl/>
        </w:rPr>
        <w:t>אפי' אם קידש ע"י כת"י אינו יכול לגרש ע"י כת"י</w:t>
      </w:r>
      <w:r>
        <w:rPr>
          <w:rFonts w:cs="Arial" w:hint="cs"/>
          <w:rtl/>
        </w:rPr>
        <w:t>,</w:t>
      </w:r>
      <w:r w:rsidRPr="002D6227">
        <w:rPr>
          <w:rFonts w:cs="Arial"/>
          <w:rtl/>
        </w:rPr>
        <w:t xml:space="preserve"> רק ברמיזה.</w:t>
      </w:r>
      <w:r>
        <w:rPr>
          <w:rFonts w:cs="Arial" w:hint="cs"/>
          <w:rtl/>
        </w:rPr>
        <w:t>..</w:t>
      </w:r>
      <w:r w:rsidRPr="002D6227">
        <w:rPr>
          <w:rFonts w:cs="Arial"/>
          <w:rtl/>
        </w:rPr>
        <w:t xml:space="preserve"> וכן אם כנס ע"י קפיצה</w:t>
      </w:r>
      <w:r>
        <w:rPr>
          <w:rFonts w:cs="Arial" w:hint="cs"/>
          <w:rtl/>
        </w:rPr>
        <w:t>.</w:t>
      </w:r>
    </w:p>
    <w:p w14:paraId="14FFD4F0" w14:textId="0E7A6486" w:rsidR="005E4AA8" w:rsidRDefault="005E4AA8" w:rsidP="005E4AA8">
      <w:pPr>
        <w:rPr>
          <w:rFonts w:cs="Arial"/>
          <w:rtl/>
        </w:rPr>
      </w:pPr>
      <w:r w:rsidRPr="005E4AA8">
        <w:rPr>
          <w:rFonts w:cs="Arial" w:hint="cs"/>
          <w:u w:val="single"/>
          <w:rtl/>
        </w:rPr>
        <w:t>חרש גמור</w:t>
      </w:r>
      <w:r>
        <w:rPr>
          <w:rFonts w:cs="Arial" w:hint="cs"/>
          <w:u w:val="single"/>
          <w:rtl/>
        </w:rPr>
        <w:t xml:space="preserve"> או </w:t>
      </w:r>
      <w:r w:rsidRPr="005E4AA8">
        <w:rPr>
          <w:rFonts w:cs="Arial" w:hint="cs"/>
          <w:u w:val="single"/>
          <w:rtl/>
        </w:rPr>
        <w:t>שוטה גמור שנתנו גט ע</w:t>
      </w:r>
      <w:r>
        <w:rPr>
          <w:rFonts w:cs="Arial" w:hint="cs"/>
          <w:u w:val="single"/>
          <w:rtl/>
        </w:rPr>
        <w:t>"</w:t>
      </w:r>
      <w:r w:rsidRPr="005E4AA8">
        <w:rPr>
          <w:rFonts w:cs="Arial" w:hint="cs"/>
          <w:u w:val="single"/>
          <w:rtl/>
        </w:rPr>
        <w:t>פ ב</w:t>
      </w:r>
      <w:r>
        <w:rPr>
          <w:rFonts w:cs="Arial" w:hint="cs"/>
          <w:u w:val="single"/>
          <w:rtl/>
        </w:rPr>
        <w:t>"</w:t>
      </w:r>
      <w:r w:rsidRPr="005E4AA8">
        <w:rPr>
          <w:rFonts w:cs="Arial" w:hint="cs"/>
          <w:u w:val="single"/>
          <w:rtl/>
        </w:rPr>
        <w:t xml:space="preserve">ד, וקיבלה קידושין מאחר </w:t>
      </w:r>
      <w:r w:rsidR="00A82951">
        <w:rPr>
          <w:rFonts w:cs="Arial"/>
          <w:u w:val="single"/>
          <w:rtl/>
        </w:rPr>
        <w:t>-</w:t>
      </w:r>
      <w:r w:rsidRPr="005E4AA8">
        <w:rPr>
          <w:rFonts w:cs="Arial" w:hint="cs"/>
          <w:u w:val="single"/>
          <w:rtl/>
        </w:rPr>
        <w:t xml:space="preserve"> האם חוששין ל</w:t>
      </w:r>
      <w:r>
        <w:rPr>
          <w:rFonts w:cs="Arial" w:hint="cs"/>
          <w:u w:val="single"/>
          <w:rtl/>
        </w:rPr>
        <w:t>קידושין</w:t>
      </w:r>
      <w:r w:rsidRPr="005E4AA8">
        <w:rPr>
          <w:rFonts w:cs="Arial" w:hint="cs"/>
          <w:u w:val="single"/>
          <w:rtl/>
        </w:rPr>
        <w:t>:</w:t>
      </w:r>
      <w:r>
        <w:rPr>
          <w:rFonts w:cs="Arial" w:hint="cs"/>
          <w:sz w:val="16"/>
          <w:szCs w:val="16"/>
          <w:rtl/>
        </w:rPr>
        <w:t xml:space="preserve">  </w:t>
      </w:r>
      <w:r w:rsidRPr="005E4AA8">
        <w:rPr>
          <w:rFonts w:cs="Arial" w:hint="cs"/>
          <w:sz w:val="16"/>
          <w:szCs w:val="16"/>
          <w:rtl/>
        </w:rPr>
        <w:t>(פת"ש סק"ה)</w:t>
      </w:r>
    </w:p>
    <w:p w14:paraId="505BA886" w14:textId="774D7D4E" w:rsidR="005E4AA8" w:rsidRDefault="005E4AA8" w:rsidP="00A65C5F">
      <w:pPr>
        <w:pStyle w:val="ab"/>
        <w:numPr>
          <w:ilvl w:val="0"/>
          <w:numId w:val="30"/>
        </w:numPr>
        <w:rPr>
          <w:rFonts w:cs="Arial"/>
        </w:rPr>
      </w:pPr>
      <w:r w:rsidRPr="005E4AA8">
        <w:rPr>
          <w:rFonts w:cs="Arial" w:hint="cs"/>
          <w:rtl/>
        </w:rPr>
        <w:t xml:space="preserve">פת"ש </w:t>
      </w:r>
      <w:r w:rsidRPr="005E4AA8">
        <w:rPr>
          <w:rFonts w:cs="Arial" w:hint="cs"/>
          <w:sz w:val="16"/>
          <w:szCs w:val="16"/>
          <w:rtl/>
        </w:rPr>
        <w:t>(סק"ה)</w:t>
      </w:r>
      <w:r w:rsidR="00A82951">
        <w:rPr>
          <w:rFonts w:cs="Arial" w:hint="cs"/>
          <w:rtl/>
        </w:rPr>
        <w:t>-</w:t>
      </w:r>
      <w:r w:rsidRPr="005E4AA8">
        <w:rPr>
          <w:rFonts w:cs="Arial" w:hint="cs"/>
          <w:rtl/>
        </w:rPr>
        <w:t xml:space="preserve"> </w:t>
      </w:r>
      <w:r w:rsidR="002D6227" w:rsidRPr="005E4AA8">
        <w:rPr>
          <w:rFonts w:cs="Arial"/>
          <w:rtl/>
        </w:rPr>
        <w:t xml:space="preserve">מסתימת הש"ס והפוסקים משמע דגם חרש גמור וה"ה שוטה גמור </w:t>
      </w:r>
      <w:r w:rsidR="00703BE1">
        <w:rPr>
          <w:rFonts w:cs="Arial" w:hint="cs"/>
          <w:rtl/>
        </w:rPr>
        <w:t xml:space="preserve">- </w:t>
      </w:r>
      <w:r w:rsidR="002D6227" w:rsidRPr="005E4AA8">
        <w:rPr>
          <w:rFonts w:cs="Arial"/>
          <w:rtl/>
        </w:rPr>
        <w:t>אינו גט כלל</w:t>
      </w:r>
      <w:r w:rsidR="00703BE1">
        <w:rPr>
          <w:rFonts w:cs="Arial" w:hint="cs"/>
          <w:rtl/>
        </w:rPr>
        <w:t>,</w:t>
      </w:r>
      <w:r w:rsidR="002D6227" w:rsidRPr="005E4AA8">
        <w:rPr>
          <w:rFonts w:cs="Arial"/>
          <w:rtl/>
        </w:rPr>
        <w:t xml:space="preserve"> ואין חוששין לו אף לחומרא דאם פשטה ידה וקיבלה קדושין מאחר אינה צריכה גט משני. </w:t>
      </w:r>
    </w:p>
    <w:p w14:paraId="065C3C4E" w14:textId="3D863476" w:rsidR="002D6227" w:rsidRPr="005E4AA8" w:rsidRDefault="005E4AA8" w:rsidP="00A65C5F">
      <w:pPr>
        <w:pStyle w:val="ab"/>
        <w:numPr>
          <w:ilvl w:val="0"/>
          <w:numId w:val="30"/>
        </w:numPr>
        <w:rPr>
          <w:rFonts w:cs="Arial"/>
          <w:rtl/>
        </w:rPr>
      </w:pPr>
      <w:r>
        <w:rPr>
          <w:rFonts w:cs="Arial" w:hint="cs"/>
          <w:rtl/>
        </w:rPr>
        <w:t>חכם אחד</w:t>
      </w:r>
      <w:r w:rsidR="002D6227" w:rsidRPr="005E4AA8">
        <w:rPr>
          <w:rFonts w:cs="Arial"/>
          <w:rtl/>
        </w:rPr>
        <w:t xml:space="preserve"> </w:t>
      </w:r>
      <w:r w:rsidRPr="005E4AA8">
        <w:rPr>
          <w:rFonts w:cs="Arial" w:hint="cs"/>
          <w:sz w:val="16"/>
          <w:szCs w:val="16"/>
          <w:rtl/>
        </w:rPr>
        <w:t>(</w:t>
      </w:r>
      <w:r>
        <w:rPr>
          <w:rFonts w:cs="Arial" w:hint="cs"/>
          <w:sz w:val="16"/>
          <w:szCs w:val="16"/>
          <w:rtl/>
        </w:rPr>
        <w:t xml:space="preserve">הביאו בספר ישועות יעקב </w:t>
      </w:r>
      <w:r w:rsidR="002D6227" w:rsidRPr="005E4AA8">
        <w:rPr>
          <w:rFonts w:cs="Arial"/>
          <w:sz w:val="16"/>
          <w:szCs w:val="16"/>
          <w:rtl/>
        </w:rPr>
        <w:t>סק"ד</w:t>
      </w:r>
      <w:r>
        <w:rPr>
          <w:rFonts w:cs="Arial" w:hint="cs"/>
          <w:sz w:val="16"/>
          <w:szCs w:val="16"/>
          <w:rtl/>
        </w:rPr>
        <w:t>)</w:t>
      </w:r>
      <w:r w:rsidR="00A82951">
        <w:rPr>
          <w:rFonts w:cs="Arial" w:hint="cs"/>
          <w:rtl/>
        </w:rPr>
        <w:t>-</w:t>
      </w:r>
      <w:r>
        <w:rPr>
          <w:rFonts w:cs="Arial" w:hint="cs"/>
          <w:rtl/>
        </w:rPr>
        <w:t xml:space="preserve"> </w:t>
      </w:r>
      <w:r w:rsidR="002D6227" w:rsidRPr="005E4AA8">
        <w:rPr>
          <w:rFonts w:cs="Arial"/>
          <w:rtl/>
        </w:rPr>
        <w:t>אף חרש גמור או שוטה גמור שגירש בב"ד והב"ד הודיעו לו ענין הגט ע"פ סדר הגט שבידינו יהיה מועיל ע"פ דברי הירושלמי ריש מס' תרומות דאמר התם דמתני' בגיטין כ"ב הכל כשירין לכתוב את הגט אפי' חש"ו אתיא כר"י בן ריב"ב דאמר חש"ו שקידש בינו לבין עצמו אין קדושיו קדושין ובינו לבין אחרים קדושיו קדושין יעו"ש וכתב דאף שאין להחליט הדבר להתירה לשוק ע"י גט זה מ"מ ספיקא הוי ויש להחמיר להצריכה גט משני</w:t>
      </w:r>
      <w:r w:rsidR="00113D26">
        <w:rPr>
          <w:rStyle w:val="a7"/>
          <w:rFonts w:cs="Arial"/>
          <w:rtl/>
        </w:rPr>
        <w:footnoteReference w:id="336"/>
      </w:r>
      <w:r>
        <w:rPr>
          <w:rFonts w:cs="Arial" w:hint="cs"/>
          <w:rtl/>
        </w:rPr>
        <w:t>.</w:t>
      </w:r>
    </w:p>
    <w:p w14:paraId="32B33982" w14:textId="421E1F22" w:rsidR="00223B62" w:rsidRPr="00223B62" w:rsidRDefault="002D6227" w:rsidP="002D6227">
      <w:pPr>
        <w:rPr>
          <w:rFonts w:cs="Arial"/>
          <w:u w:val="single"/>
          <w:rtl/>
        </w:rPr>
      </w:pPr>
      <w:r w:rsidRPr="00223B62">
        <w:rPr>
          <w:rFonts w:cs="Arial"/>
          <w:u w:val="single"/>
          <w:rtl/>
        </w:rPr>
        <w:t>עדי חתימה אלמים</w:t>
      </w:r>
      <w:r w:rsidR="00223B62">
        <w:rPr>
          <w:rFonts w:cs="Arial" w:hint="cs"/>
          <w:u w:val="single"/>
          <w:rtl/>
        </w:rPr>
        <w:t>:</w:t>
      </w:r>
      <w:r w:rsidR="00223B62">
        <w:rPr>
          <w:rFonts w:cs="Arial" w:hint="cs"/>
          <w:sz w:val="16"/>
          <w:szCs w:val="16"/>
          <w:rtl/>
        </w:rPr>
        <w:t xml:space="preserve">  </w:t>
      </w:r>
      <w:r w:rsidR="00223B62" w:rsidRPr="005E4AA8">
        <w:rPr>
          <w:rFonts w:cs="Arial" w:hint="cs"/>
          <w:sz w:val="16"/>
          <w:szCs w:val="16"/>
          <w:rtl/>
        </w:rPr>
        <w:t>(פת"ש סק"</w:t>
      </w:r>
      <w:r w:rsidR="00223B62">
        <w:rPr>
          <w:rFonts w:cs="Arial" w:hint="cs"/>
          <w:sz w:val="16"/>
          <w:szCs w:val="16"/>
          <w:rtl/>
        </w:rPr>
        <w:t>ז</w:t>
      </w:r>
      <w:r w:rsidR="00223B62" w:rsidRPr="005E4AA8">
        <w:rPr>
          <w:rFonts w:cs="Arial" w:hint="cs"/>
          <w:sz w:val="16"/>
          <w:szCs w:val="16"/>
          <w:rtl/>
        </w:rPr>
        <w:t>)</w:t>
      </w:r>
    </w:p>
    <w:p w14:paraId="41D0B430" w14:textId="2A01A6A5" w:rsidR="00223B62" w:rsidRPr="00223B62" w:rsidRDefault="00223B62" w:rsidP="00A65C5F">
      <w:pPr>
        <w:pStyle w:val="ab"/>
        <w:numPr>
          <w:ilvl w:val="0"/>
          <w:numId w:val="32"/>
        </w:numPr>
        <w:rPr>
          <w:rFonts w:cs="Arial"/>
          <w:rtl/>
        </w:rPr>
      </w:pPr>
      <w:r w:rsidRPr="00223B62">
        <w:rPr>
          <w:rFonts w:cs="Arial"/>
          <w:rtl/>
        </w:rPr>
        <w:t>תו"ג</w:t>
      </w:r>
      <w:r w:rsidRPr="00223B62">
        <w:rPr>
          <w:rFonts w:cs="Arial" w:hint="cs"/>
          <w:sz w:val="16"/>
          <w:szCs w:val="16"/>
          <w:rtl/>
        </w:rPr>
        <w:t xml:space="preserve"> (כ"כ הפת"ש בשמו [סק"ז])</w:t>
      </w:r>
      <w:r w:rsidR="00A82951">
        <w:rPr>
          <w:rFonts w:cs="Arial" w:hint="cs"/>
          <w:rtl/>
        </w:rPr>
        <w:t>-</w:t>
      </w:r>
      <w:r w:rsidRPr="00223B62">
        <w:rPr>
          <w:rFonts w:cs="Arial" w:hint="cs"/>
          <w:rtl/>
        </w:rPr>
        <w:t xml:space="preserve"> </w:t>
      </w:r>
      <w:r w:rsidR="002D6227" w:rsidRPr="00223B62">
        <w:rPr>
          <w:rFonts w:cs="Arial"/>
          <w:rtl/>
        </w:rPr>
        <w:t xml:space="preserve">לפמ"ש הש"ך </w:t>
      </w:r>
      <w:r>
        <w:rPr>
          <w:rFonts w:cs="Arial" w:hint="cs"/>
          <w:rtl/>
        </w:rPr>
        <w:t>(</w:t>
      </w:r>
      <w:r w:rsidR="002D6227" w:rsidRPr="00223B62">
        <w:rPr>
          <w:rFonts w:cs="Arial"/>
          <w:rtl/>
        </w:rPr>
        <w:t>ח</w:t>
      </w:r>
      <w:r>
        <w:rPr>
          <w:rFonts w:cs="Arial" w:hint="cs"/>
          <w:rtl/>
        </w:rPr>
        <w:t>ו</w:t>
      </w:r>
      <w:r w:rsidR="002D6227" w:rsidRPr="00223B62">
        <w:rPr>
          <w:rFonts w:cs="Arial"/>
          <w:rtl/>
        </w:rPr>
        <w:t>"מ סי' מ"ו סל"ו</w:t>
      </w:r>
      <w:r>
        <w:rPr>
          <w:rFonts w:cs="Arial" w:hint="cs"/>
          <w:rtl/>
        </w:rPr>
        <w:t>)</w:t>
      </w:r>
      <w:r w:rsidR="002D6227" w:rsidRPr="00223B62">
        <w:rPr>
          <w:rFonts w:cs="Arial"/>
          <w:rtl/>
        </w:rPr>
        <w:t xml:space="preserve"> דאלם יכול לחתום עצמו בשטר לדעת ר"י דאינו מחלק במפי כתבם בין אלם לאינו אלם יע"ש א"כ ה"נ יכולים לחתום בגט. </w:t>
      </w:r>
    </w:p>
    <w:p w14:paraId="06BAA5B7" w14:textId="77777777" w:rsidR="00223B62" w:rsidRDefault="00223B62" w:rsidP="002D6227">
      <w:pPr>
        <w:rPr>
          <w:rFonts w:cs="Arial"/>
          <w:rtl/>
        </w:rPr>
      </w:pPr>
      <w:r w:rsidRPr="00223B62">
        <w:rPr>
          <w:rFonts w:cs="Arial" w:hint="cs"/>
          <w:u w:val="single"/>
          <w:rtl/>
        </w:rPr>
        <w:t>טופס גט חרש:</w:t>
      </w:r>
    </w:p>
    <w:p w14:paraId="624A3070" w14:textId="64982E95" w:rsidR="002D6227" w:rsidRPr="00EE1623" w:rsidRDefault="00223B62" w:rsidP="00A65C5F">
      <w:pPr>
        <w:pStyle w:val="ab"/>
        <w:numPr>
          <w:ilvl w:val="0"/>
          <w:numId w:val="32"/>
        </w:numPr>
        <w:rPr>
          <w:rFonts w:cs="Arial"/>
          <w:rtl/>
        </w:rPr>
      </w:pPr>
      <w:r w:rsidRPr="00223B62">
        <w:rPr>
          <w:rFonts w:cs="Arial" w:hint="cs"/>
          <w:rtl/>
        </w:rPr>
        <w:t xml:space="preserve">רי"ו </w:t>
      </w:r>
      <w:r w:rsidRPr="00223B62">
        <w:rPr>
          <w:rFonts w:cs="Arial" w:hint="cs"/>
          <w:sz w:val="16"/>
          <w:szCs w:val="16"/>
          <w:rtl/>
        </w:rPr>
        <w:t>(תא"ו</w:t>
      </w:r>
      <w:r w:rsidRPr="00223B62">
        <w:rPr>
          <w:rFonts w:cs="Arial"/>
          <w:sz w:val="16"/>
          <w:szCs w:val="16"/>
          <w:rtl/>
        </w:rPr>
        <w:t xml:space="preserve"> נכ</w:t>
      </w:r>
      <w:r w:rsidRPr="00223B62">
        <w:rPr>
          <w:rFonts w:cs="Arial" w:hint="cs"/>
          <w:sz w:val="16"/>
          <w:szCs w:val="16"/>
          <w:rtl/>
        </w:rPr>
        <w:t>"</w:t>
      </w:r>
      <w:r w:rsidRPr="00223B62">
        <w:rPr>
          <w:rFonts w:cs="Arial"/>
          <w:sz w:val="16"/>
          <w:szCs w:val="16"/>
          <w:rtl/>
        </w:rPr>
        <w:t>ד ח</w:t>
      </w:r>
      <w:r w:rsidRPr="00223B62">
        <w:rPr>
          <w:rFonts w:cs="Arial" w:hint="cs"/>
          <w:sz w:val="16"/>
          <w:szCs w:val="16"/>
          <w:rtl/>
        </w:rPr>
        <w:t>"</w:t>
      </w:r>
      <w:r w:rsidRPr="00223B62">
        <w:rPr>
          <w:rFonts w:cs="Arial"/>
          <w:sz w:val="16"/>
          <w:szCs w:val="16"/>
          <w:rtl/>
        </w:rPr>
        <w:t>ו ריב טור ג</w:t>
      </w:r>
      <w:r>
        <w:rPr>
          <w:rFonts w:cs="Arial" w:hint="cs"/>
          <w:sz w:val="16"/>
          <w:szCs w:val="16"/>
          <w:rtl/>
        </w:rPr>
        <w:t>, הב"י ציין לדבריו</w:t>
      </w:r>
      <w:r w:rsidRPr="00223B62">
        <w:rPr>
          <w:rFonts w:cs="Arial" w:hint="cs"/>
          <w:sz w:val="16"/>
          <w:szCs w:val="16"/>
          <w:rtl/>
        </w:rPr>
        <w:t>)</w:t>
      </w:r>
      <w:r w:rsidR="00A82951">
        <w:rPr>
          <w:rFonts w:cs="Arial" w:hint="cs"/>
          <w:rtl/>
        </w:rPr>
        <w:t>-</w:t>
      </w:r>
      <w:r w:rsidRPr="00223B62">
        <w:rPr>
          <w:rFonts w:cs="Arial" w:hint="cs"/>
          <w:rtl/>
        </w:rPr>
        <w:t xml:space="preserve"> </w:t>
      </w:r>
      <w:r w:rsidRPr="00223B62">
        <w:rPr>
          <w:rFonts w:cs="Arial"/>
          <w:rtl/>
        </w:rPr>
        <w:t>טופס גט חרש כפי שכתב בעל העטור וכן נמצא בשם הגאונים</w:t>
      </w:r>
      <w:r w:rsidR="00C013A5">
        <w:rPr>
          <w:rFonts w:cs="Arial" w:hint="cs"/>
          <w:rtl/>
        </w:rPr>
        <w:t>:</w:t>
      </w:r>
      <w:r w:rsidRPr="00223B62">
        <w:rPr>
          <w:rFonts w:cs="Arial"/>
          <w:rtl/>
        </w:rPr>
        <w:t xml:space="preserve"> בכך וכך וכו' אנחנא בי דינא דחתימי לתתא במותב תלתא כחדא הוינא כד אתא קדמנא פלוני בר פלוני ורמזנא ליה ורמז להוציא פלונית בת פלוני דאינסבא ליה ברמיזה ומדרמז לנא כתבנא לה גיטא דנא למהוי מגורשת גמורה ותהא רשאה ושלטאה בנפשה למהך להתנסבא לכל גבר די תיצבייין ואנש לא ימחא בידה מן יומא דנן ולעלם ודן די יהוי לה גט פיטורין ואגרת שבוקין וספר תירוכין כתקנתא דרבנן והרי את מותרת לכל אדם</w:t>
      </w:r>
      <w:r w:rsidR="00EE1623">
        <w:rPr>
          <w:rStyle w:val="a7"/>
          <w:rFonts w:cs="Arial"/>
          <w:rtl/>
        </w:rPr>
        <w:footnoteReference w:id="337"/>
      </w:r>
      <w:r w:rsidRPr="00223B62">
        <w:rPr>
          <w:rFonts w:cs="Arial"/>
          <w:rtl/>
        </w:rPr>
        <w:t>.</w:t>
      </w:r>
    </w:p>
    <w:p w14:paraId="3D577213" w14:textId="77777777" w:rsidR="002D6227" w:rsidRPr="00486C31" w:rsidRDefault="002D6227" w:rsidP="002D6227">
      <w:pPr>
        <w:rPr>
          <w:rFonts w:cs="Arial"/>
          <w:rtl/>
        </w:rPr>
      </w:pPr>
    </w:p>
    <w:p w14:paraId="3B2B79FB" w14:textId="53AF12EC" w:rsidR="00486C31" w:rsidRDefault="00486C31" w:rsidP="00786DE6">
      <w:pPr>
        <w:pStyle w:val="2"/>
        <w:rPr>
          <w:rtl/>
        </w:rPr>
      </w:pPr>
      <w:r w:rsidRPr="00486C31">
        <w:rPr>
          <w:rtl/>
        </w:rPr>
        <w:t>סעיף ז</w:t>
      </w:r>
      <w:r w:rsidR="005E486B">
        <w:rPr>
          <w:rFonts w:hint="cs"/>
          <w:rtl/>
        </w:rPr>
        <w:t>:</w:t>
      </w:r>
      <w:r w:rsidR="001356EE">
        <w:rPr>
          <w:rFonts w:hint="cs"/>
          <w:rtl/>
        </w:rPr>
        <w:t xml:space="preserve"> גוסס.</w:t>
      </w:r>
    </w:p>
    <w:p w14:paraId="7E75D799" w14:textId="342E395A" w:rsidR="002170D8" w:rsidRPr="002170D8" w:rsidRDefault="00902BBB" w:rsidP="002170D8">
      <w:pPr>
        <w:rPr>
          <w:rtl/>
        </w:rPr>
      </w:pPr>
      <w:r>
        <w:rPr>
          <w:rFonts w:cs="Arial" w:hint="cs"/>
          <w:b/>
          <w:bCs/>
          <w:rtl/>
        </w:rPr>
        <w:t xml:space="preserve">מסכת </w:t>
      </w:r>
      <w:r w:rsidR="002170D8" w:rsidRPr="002170D8">
        <w:rPr>
          <w:rFonts w:cs="Arial" w:hint="cs"/>
          <w:b/>
          <w:bCs/>
          <w:rtl/>
        </w:rPr>
        <w:t xml:space="preserve">שמחות פ"א ה"א: </w:t>
      </w:r>
      <w:r w:rsidR="002170D8" w:rsidRPr="002170D8">
        <w:rPr>
          <w:rFonts w:cs="Arial"/>
          <w:rtl/>
        </w:rPr>
        <w:t>הגוסס הרי הוא כחי לכל דבר, זוקק ליבום ופוטר מן היבום, ומאכיל תרומה ופוסל מן התרומה, ונוחל ומנחיל, פירש ממנו אבר כאבר מן החי, בשר כבשר מן החי, וזורקין על ידו דם חטאתו ודם אשמו, עד שעה שימות.</w:t>
      </w:r>
    </w:p>
    <w:p w14:paraId="2111CB8A" w14:textId="51F874C2" w:rsidR="00B33125" w:rsidRPr="006F27FD" w:rsidRDefault="00B33125" w:rsidP="00B33125">
      <w:pPr>
        <w:rPr>
          <w:sz w:val="16"/>
          <w:szCs w:val="16"/>
          <w:rtl/>
        </w:rPr>
      </w:pPr>
      <w:r w:rsidRPr="00B33125">
        <w:rPr>
          <w:rFonts w:cs="Arial" w:hint="cs"/>
          <w:b/>
          <w:bCs/>
          <w:rtl/>
        </w:rPr>
        <w:t>קידושין</w:t>
      </w:r>
      <w:r>
        <w:rPr>
          <w:rFonts w:cs="Arial" w:hint="cs"/>
          <w:b/>
          <w:bCs/>
          <w:sz w:val="16"/>
          <w:szCs w:val="16"/>
          <w:rtl/>
        </w:rPr>
        <w:t xml:space="preserve"> (פ' עשרה יוחסין)</w:t>
      </w:r>
      <w:r w:rsidRPr="00B33125">
        <w:rPr>
          <w:rFonts w:cs="Arial" w:hint="cs"/>
          <w:b/>
          <w:bCs/>
          <w:rtl/>
        </w:rPr>
        <w:t xml:space="preserve"> עח</w:t>
      </w:r>
      <w:r w:rsidR="005E4AD3">
        <w:rPr>
          <w:rStyle w:val="a7"/>
          <w:rFonts w:cs="Arial"/>
          <w:b/>
          <w:bCs/>
          <w:rtl/>
        </w:rPr>
        <w:footnoteReference w:id="338"/>
      </w:r>
      <w:r w:rsidRPr="00B33125">
        <w:rPr>
          <w:rFonts w:cs="Arial" w:hint="cs"/>
          <w:b/>
          <w:bCs/>
          <w:rtl/>
        </w:rPr>
        <w:t xml:space="preserve"> ע"ב: </w:t>
      </w:r>
      <w:r w:rsidRPr="00B33125">
        <w:rPr>
          <w:rFonts w:cs="Arial"/>
          <w:u w:val="double"/>
          <w:rtl/>
        </w:rPr>
        <w:t>מתני'</w:t>
      </w:r>
      <w:r>
        <w:rPr>
          <w:rFonts w:cs="Arial" w:hint="cs"/>
          <w:rtl/>
        </w:rPr>
        <w:t>:</w:t>
      </w:r>
      <w:r>
        <w:rPr>
          <w:rFonts w:cs="Arial"/>
          <w:rtl/>
        </w:rPr>
        <w:t xml:space="preserve"> האומר בני זה ממזר </w:t>
      </w:r>
      <w:r w:rsidR="00A82951">
        <w:rPr>
          <w:rFonts w:cs="Arial"/>
          <w:rtl/>
        </w:rPr>
        <w:t>-</w:t>
      </w:r>
      <w:r>
        <w:rPr>
          <w:rFonts w:cs="Arial"/>
          <w:rtl/>
        </w:rPr>
        <w:t xml:space="preserve"> אינו נאמן</w:t>
      </w:r>
      <w:r>
        <w:rPr>
          <w:rFonts w:cs="Arial" w:hint="cs"/>
          <w:rtl/>
        </w:rPr>
        <w:t>.</w:t>
      </w:r>
      <w:r>
        <w:rPr>
          <w:rFonts w:cs="Arial"/>
          <w:rtl/>
        </w:rPr>
        <w:t xml:space="preserve"> ואפילו שניהם מודים על העובר שבמעיה ממזר הוא </w:t>
      </w:r>
      <w:r w:rsidR="00A82951">
        <w:rPr>
          <w:rFonts w:cs="Arial"/>
          <w:rtl/>
        </w:rPr>
        <w:t>-</w:t>
      </w:r>
      <w:r>
        <w:rPr>
          <w:rFonts w:cs="Arial"/>
          <w:rtl/>
        </w:rPr>
        <w:t xml:space="preserve"> אינם נאמנים</w:t>
      </w:r>
      <w:r>
        <w:rPr>
          <w:rFonts w:cs="Arial" w:hint="cs"/>
          <w:rtl/>
        </w:rPr>
        <w:t>.</w:t>
      </w:r>
      <w:r>
        <w:rPr>
          <w:rFonts w:cs="Arial"/>
          <w:rtl/>
        </w:rPr>
        <w:t xml:space="preserve"> </w:t>
      </w:r>
      <w:r w:rsidRPr="00B33125">
        <w:rPr>
          <w:rFonts w:cs="Arial"/>
          <w:u w:val="single"/>
          <w:rtl/>
        </w:rPr>
        <w:t>רבי יהודה אומר</w:t>
      </w:r>
      <w:r>
        <w:rPr>
          <w:rFonts w:cs="Arial"/>
          <w:rtl/>
        </w:rPr>
        <w:t xml:space="preserve">: נאמנים. </w:t>
      </w:r>
      <w:r>
        <w:rPr>
          <w:rFonts w:hint="cs"/>
          <w:rtl/>
        </w:rPr>
        <w:t xml:space="preserve">      </w:t>
      </w:r>
      <w:r w:rsidRPr="00B33125">
        <w:rPr>
          <w:rFonts w:cs="Arial"/>
          <w:u w:val="double"/>
          <w:rtl/>
        </w:rPr>
        <w:t>גמ'</w:t>
      </w:r>
      <w:r>
        <w:rPr>
          <w:rFonts w:cs="Arial" w:hint="cs"/>
          <w:rtl/>
        </w:rPr>
        <w:t>:</w:t>
      </w:r>
      <w:r>
        <w:rPr>
          <w:rFonts w:hint="cs"/>
          <w:rtl/>
        </w:rPr>
        <w:t xml:space="preserve"> </w:t>
      </w:r>
      <w:r>
        <w:rPr>
          <w:rFonts w:cs="Arial"/>
          <w:rtl/>
        </w:rPr>
        <w:t>רבי יהודה אומר: נאמנים. כדתניא: יכיר</w:t>
      </w:r>
      <w:r>
        <w:rPr>
          <w:rStyle w:val="a7"/>
          <w:rFonts w:cs="Arial"/>
          <w:rtl/>
        </w:rPr>
        <w:footnoteReference w:id="339"/>
      </w:r>
      <w:r>
        <w:rPr>
          <w:rFonts w:cs="Arial"/>
          <w:rtl/>
        </w:rPr>
        <w:t xml:space="preserve"> </w:t>
      </w:r>
      <w:r w:rsidR="00A82951">
        <w:rPr>
          <w:rFonts w:cs="Arial"/>
          <w:rtl/>
        </w:rPr>
        <w:t>-</w:t>
      </w:r>
      <w:r>
        <w:rPr>
          <w:rFonts w:cs="Arial"/>
          <w:rtl/>
        </w:rPr>
        <w:t xml:space="preserve"> יכירנו לאחרים</w:t>
      </w:r>
      <w:r>
        <w:rPr>
          <w:rFonts w:cs="Arial" w:hint="cs"/>
          <w:rtl/>
        </w:rPr>
        <w:t>.</w:t>
      </w:r>
      <w:r>
        <w:rPr>
          <w:rFonts w:cs="Arial"/>
          <w:rtl/>
        </w:rPr>
        <w:t xml:space="preserve"> </w:t>
      </w:r>
      <w:r w:rsidRPr="00B33125">
        <w:rPr>
          <w:rFonts w:cs="Arial"/>
          <w:u w:val="single"/>
          <w:rtl/>
        </w:rPr>
        <w:t>מכאן אמר רבי יהודה</w:t>
      </w:r>
      <w:r>
        <w:rPr>
          <w:rFonts w:cs="Arial"/>
          <w:rtl/>
        </w:rPr>
        <w:t>: נאמן אדם לומר זה בני בכור</w:t>
      </w:r>
      <w:r>
        <w:rPr>
          <w:rFonts w:cs="Arial" w:hint="cs"/>
          <w:rtl/>
        </w:rPr>
        <w:t>.</w:t>
      </w:r>
      <w:r>
        <w:rPr>
          <w:rFonts w:cs="Arial"/>
          <w:rtl/>
        </w:rPr>
        <w:t xml:space="preserve"> וכשם שנאמן אדם לומר זה בני בכור, כך נאמן אדם לומר זה בן גרושה וזה בן חלוצה</w:t>
      </w:r>
      <w:r>
        <w:rPr>
          <w:rFonts w:cs="Arial" w:hint="cs"/>
          <w:rtl/>
        </w:rPr>
        <w:t>.</w:t>
      </w:r>
      <w:r>
        <w:rPr>
          <w:rFonts w:cs="Arial"/>
          <w:rtl/>
        </w:rPr>
        <w:t xml:space="preserve"> </w:t>
      </w:r>
      <w:r w:rsidRPr="00B33125">
        <w:rPr>
          <w:rFonts w:cs="Arial"/>
          <w:u w:val="single"/>
          <w:rtl/>
        </w:rPr>
        <w:t>וחכמים אומרים</w:t>
      </w:r>
      <w:r>
        <w:rPr>
          <w:rFonts w:cs="Arial"/>
          <w:rtl/>
        </w:rPr>
        <w:t>: אינו נאמן</w:t>
      </w:r>
      <w:r>
        <w:rPr>
          <w:rStyle w:val="a7"/>
          <w:rFonts w:cs="Arial"/>
          <w:rtl/>
        </w:rPr>
        <w:footnoteReference w:id="340"/>
      </w:r>
      <w:r>
        <w:rPr>
          <w:rFonts w:cs="Arial"/>
          <w:rtl/>
        </w:rPr>
        <w:t xml:space="preserve">. </w:t>
      </w:r>
      <w:r w:rsidRPr="00B33125">
        <w:rPr>
          <w:rFonts w:cs="Arial"/>
          <w:u w:val="single"/>
          <w:rtl/>
        </w:rPr>
        <w:t>אמר ליה רב נחמן בר יצחק לרבא</w:t>
      </w:r>
      <w:r>
        <w:rPr>
          <w:rFonts w:cs="Arial"/>
          <w:rtl/>
        </w:rPr>
        <w:t>: בשלמא לרבי יהודה, היינו דכתיב יכיר, אלא לרבנן יכיר למה לי? בצריך הכירא</w:t>
      </w:r>
      <w:r w:rsidR="006F27FD">
        <w:rPr>
          <w:rStyle w:val="a7"/>
          <w:rFonts w:cs="Arial"/>
          <w:rtl/>
        </w:rPr>
        <w:footnoteReference w:id="341"/>
      </w:r>
      <w:r>
        <w:rPr>
          <w:rFonts w:cs="Arial"/>
          <w:rtl/>
        </w:rPr>
        <w:t>. למאי הלכתא? לתת לו פי שנים. פשיטא, למה לי קרא? מגו דאי בעי מיתבא ליה</w:t>
      </w:r>
      <w:r w:rsidR="006F27FD">
        <w:rPr>
          <w:rStyle w:val="a7"/>
          <w:rFonts w:cs="Arial"/>
          <w:rtl/>
        </w:rPr>
        <w:footnoteReference w:id="342"/>
      </w:r>
      <w:r>
        <w:rPr>
          <w:rFonts w:cs="Arial"/>
          <w:rtl/>
        </w:rPr>
        <w:t xml:space="preserve"> מתנה מי לא יהבי ליה? בנכסים שנפלו לאחר מיכן</w:t>
      </w:r>
      <w:r w:rsidR="006F27FD">
        <w:rPr>
          <w:rStyle w:val="a7"/>
          <w:rFonts w:cs="Arial"/>
          <w:rtl/>
        </w:rPr>
        <w:footnoteReference w:id="343"/>
      </w:r>
      <w:r>
        <w:rPr>
          <w:rFonts w:cs="Arial"/>
          <w:rtl/>
        </w:rPr>
        <w:t>. ולרבי מאיר, דאמר: אדם מקנה דבר שלא בא לעולם, יכיר למה לי? שנפלו לו כשהוא גוסס</w:t>
      </w:r>
      <w:r w:rsidR="006F27FD">
        <w:rPr>
          <w:rStyle w:val="a7"/>
          <w:rFonts w:cs="Arial"/>
          <w:rtl/>
        </w:rPr>
        <w:footnoteReference w:id="344"/>
      </w:r>
      <w:r>
        <w:rPr>
          <w:rFonts w:cs="Arial"/>
          <w:rtl/>
        </w:rPr>
        <w:t>.</w:t>
      </w:r>
      <w:r w:rsidR="006F27FD">
        <w:rPr>
          <w:rFonts w:hint="cs"/>
          <w:sz w:val="16"/>
          <w:szCs w:val="16"/>
          <w:rtl/>
        </w:rPr>
        <w:t xml:space="preserve"> (וכתבו התוס' (ד"ה לא צריכא) ד</w:t>
      </w:r>
      <w:r w:rsidR="006F27FD" w:rsidRPr="006F27FD">
        <w:rPr>
          <w:rFonts w:cs="Arial"/>
          <w:sz w:val="16"/>
          <w:szCs w:val="16"/>
          <w:rtl/>
        </w:rPr>
        <w:t>משמע מתוך פירוש</w:t>
      </w:r>
      <w:r w:rsidR="006F27FD">
        <w:rPr>
          <w:rFonts w:cs="Arial" w:hint="cs"/>
          <w:sz w:val="16"/>
          <w:szCs w:val="16"/>
          <w:rtl/>
        </w:rPr>
        <w:t xml:space="preserve"> רש"י</w:t>
      </w:r>
      <w:r w:rsidR="006F27FD" w:rsidRPr="006F27FD">
        <w:rPr>
          <w:rFonts w:cs="Arial"/>
          <w:sz w:val="16"/>
          <w:szCs w:val="16"/>
          <w:rtl/>
        </w:rPr>
        <w:t xml:space="preserve"> דנתינה דגוסס אינה כלום</w:t>
      </w:r>
      <w:r w:rsidR="006F27FD">
        <w:rPr>
          <w:rFonts w:cs="Arial" w:hint="cs"/>
          <w:sz w:val="16"/>
          <w:szCs w:val="16"/>
          <w:rtl/>
        </w:rPr>
        <w:t>.</w:t>
      </w:r>
      <w:r w:rsidR="006F27FD" w:rsidRPr="006F27FD">
        <w:rPr>
          <w:rFonts w:cs="Arial"/>
          <w:sz w:val="16"/>
          <w:szCs w:val="16"/>
          <w:rtl/>
        </w:rPr>
        <w:t xml:space="preserve"> וכמו כן יש מדקדקים דגוסס שרמז לכתוב גט לאשתו אין כותבין</w:t>
      </w:r>
      <w:r w:rsidR="00914BA0">
        <w:rPr>
          <w:rFonts w:cs="Arial" w:hint="cs"/>
          <w:sz w:val="16"/>
          <w:szCs w:val="16"/>
          <w:rtl/>
        </w:rPr>
        <w:t>,</w:t>
      </w:r>
      <w:r w:rsidR="006F27FD" w:rsidRPr="006F27FD">
        <w:rPr>
          <w:rFonts w:cs="Arial"/>
          <w:sz w:val="16"/>
          <w:szCs w:val="16"/>
          <w:rtl/>
        </w:rPr>
        <w:t xml:space="preserve"> דגוסס אין מעשיו כלום</w:t>
      </w:r>
      <w:r w:rsidR="00914BA0">
        <w:rPr>
          <w:rFonts w:cs="Arial" w:hint="cs"/>
          <w:sz w:val="16"/>
          <w:szCs w:val="16"/>
          <w:rtl/>
        </w:rPr>
        <w:t>.</w:t>
      </w:r>
      <w:r w:rsidR="006F27FD" w:rsidRPr="006F27FD">
        <w:rPr>
          <w:rFonts w:cs="Arial"/>
          <w:sz w:val="16"/>
          <w:szCs w:val="16"/>
          <w:rtl/>
        </w:rPr>
        <w:t xml:space="preserve"> וקשה דבמסכת שמחות (פ"א) אמרינן הגוסס הרי הוא כחי לכל דבריו נדרו נדר והקדשו הקדש</w:t>
      </w:r>
      <w:r w:rsidR="00914BA0">
        <w:rPr>
          <w:rFonts w:cs="Arial" w:hint="cs"/>
          <w:sz w:val="16"/>
          <w:szCs w:val="16"/>
          <w:rtl/>
        </w:rPr>
        <w:t>.</w:t>
      </w:r>
      <w:r w:rsidR="006F27FD" w:rsidRPr="006F27FD">
        <w:rPr>
          <w:rFonts w:cs="Arial"/>
          <w:sz w:val="16"/>
          <w:szCs w:val="16"/>
          <w:rtl/>
        </w:rPr>
        <w:t xml:space="preserve"> ומיהו ההיא יש לדחות</w:t>
      </w:r>
      <w:r w:rsidR="00914BA0">
        <w:rPr>
          <w:rFonts w:cs="Arial" w:hint="cs"/>
          <w:sz w:val="16"/>
          <w:szCs w:val="16"/>
          <w:rtl/>
        </w:rPr>
        <w:t>,</w:t>
      </w:r>
      <w:r w:rsidR="006F27FD" w:rsidRPr="006F27FD">
        <w:rPr>
          <w:rFonts w:cs="Arial"/>
          <w:sz w:val="16"/>
          <w:szCs w:val="16"/>
          <w:rtl/>
        </w:rPr>
        <w:t xml:space="preserve"> דהתם היינו דוקא בנדר והקדש</w:t>
      </w:r>
      <w:r w:rsidR="00914BA0">
        <w:rPr>
          <w:rFonts w:cs="Arial" w:hint="cs"/>
          <w:sz w:val="16"/>
          <w:szCs w:val="16"/>
          <w:rtl/>
        </w:rPr>
        <w:t>,</w:t>
      </w:r>
      <w:r w:rsidR="006F27FD" w:rsidRPr="006F27FD">
        <w:rPr>
          <w:rFonts w:cs="Arial"/>
          <w:sz w:val="16"/>
          <w:szCs w:val="16"/>
          <w:rtl/>
        </w:rPr>
        <w:t xml:space="preserve"> דאמירתו לגבוה כמסירתו להדיוט</w:t>
      </w:r>
      <w:r w:rsidR="00914BA0">
        <w:rPr>
          <w:rFonts w:cs="Arial" w:hint="cs"/>
          <w:sz w:val="16"/>
          <w:szCs w:val="16"/>
          <w:rtl/>
        </w:rPr>
        <w:t>,</w:t>
      </w:r>
      <w:r w:rsidR="006F27FD" w:rsidRPr="006F27FD">
        <w:rPr>
          <w:rFonts w:cs="Arial"/>
          <w:sz w:val="16"/>
          <w:szCs w:val="16"/>
          <w:rtl/>
        </w:rPr>
        <w:t xml:space="preserve"> אבל בעלמא לא</w:t>
      </w:r>
      <w:r w:rsidR="00914BA0">
        <w:rPr>
          <w:rFonts w:cs="Arial" w:hint="cs"/>
          <w:sz w:val="16"/>
          <w:szCs w:val="16"/>
          <w:rtl/>
        </w:rPr>
        <w:t>.</w:t>
      </w:r>
      <w:r w:rsidR="006F27FD" w:rsidRPr="006F27FD">
        <w:rPr>
          <w:rFonts w:cs="Arial"/>
          <w:sz w:val="16"/>
          <w:szCs w:val="16"/>
          <w:rtl/>
        </w:rPr>
        <w:t xml:space="preserve"> ומ"מ קשה דאמרי' בפ' מי שאחזו (גיטין ע:) שחט בו שנים או רוב שנים ורמז ואמר כתבו ותנו גט לאשתי יכתבו ויתנו</w:t>
      </w:r>
      <w:r w:rsidR="00914BA0">
        <w:rPr>
          <w:rFonts w:cs="Arial" w:hint="cs"/>
          <w:sz w:val="16"/>
          <w:szCs w:val="16"/>
          <w:rtl/>
        </w:rPr>
        <w:t>.</w:t>
      </w:r>
      <w:r w:rsidR="006F27FD" w:rsidRPr="006F27FD">
        <w:rPr>
          <w:rFonts w:cs="Arial"/>
          <w:sz w:val="16"/>
          <w:szCs w:val="16"/>
          <w:rtl/>
        </w:rPr>
        <w:t xml:space="preserve"> ואין לך גוסס גדול מזה שבודאי ימות</w:t>
      </w:r>
      <w:r w:rsidR="00914BA0">
        <w:rPr>
          <w:rFonts w:cs="Arial" w:hint="cs"/>
          <w:sz w:val="16"/>
          <w:szCs w:val="16"/>
          <w:rtl/>
        </w:rPr>
        <w:t>.</w:t>
      </w:r>
      <w:r w:rsidR="006F27FD" w:rsidRPr="006F27FD">
        <w:rPr>
          <w:rFonts w:cs="Arial"/>
          <w:sz w:val="16"/>
          <w:szCs w:val="16"/>
          <w:rtl/>
        </w:rPr>
        <w:t xml:space="preserve"> ובפרק כל הגט (שם כח.) נמי אמרינן המביא גט ממדינת הים והניחו זקן או חולה</w:t>
      </w:r>
      <w:r w:rsidR="00914BA0">
        <w:rPr>
          <w:rFonts w:cs="Arial" w:hint="cs"/>
          <w:sz w:val="16"/>
          <w:szCs w:val="16"/>
          <w:rtl/>
        </w:rPr>
        <w:t>,</w:t>
      </w:r>
      <w:r w:rsidR="006F27FD" w:rsidRPr="006F27FD">
        <w:rPr>
          <w:rFonts w:cs="Arial"/>
          <w:sz w:val="16"/>
          <w:szCs w:val="16"/>
          <w:rtl/>
        </w:rPr>
        <w:t xml:space="preserve"> נותנו בחזקת שהוא קיים</w:t>
      </w:r>
      <w:r w:rsidR="00914BA0">
        <w:rPr>
          <w:rFonts w:cs="Arial" w:hint="cs"/>
          <w:sz w:val="16"/>
          <w:szCs w:val="16"/>
          <w:rtl/>
        </w:rPr>
        <w:t>.</w:t>
      </w:r>
      <w:r w:rsidR="006F27FD" w:rsidRPr="006F27FD">
        <w:rPr>
          <w:rFonts w:cs="Arial"/>
          <w:sz w:val="16"/>
          <w:szCs w:val="16"/>
          <w:rtl/>
        </w:rPr>
        <w:t xml:space="preserve"> ודייק בגמרא אמר רבא לא שנו אלא שהניחו בחזקת שהוא חולה</w:t>
      </w:r>
      <w:r w:rsidR="00914BA0">
        <w:rPr>
          <w:rFonts w:cs="Arial" w:hint="cs"/>
          <w:sz w:val="16"/>
          <w:szCs w:val="16"/>
          <w:rtl/>
        </w:rPr>
        <w:t>,</w:t>
      </w:r>
      <w:r w:rsidR="006F27FD" w:rsidRPr="006F27FD">
        <w:rPr>
          <w:rFonts w:cs="Arial"/>
          <w:sz w:val="16"/>
          <w:szCs w:val="16"/>
          <w:rtl/>
        </w:rPr>
        <w:t xml:space="preserve"> אבל הניחו בחזקת שהוא גוסס לא יתנו</w:t>
      </w:r>
      <w:r w:rsidR="00914BA0">
        <w:rPr>
          <w:rFonts w:cs="Arial" w:hint="cs"/>
          <w:sz w:val="16"/>
          <w:szCs w:val="16"/>
          <w:rtl/>
        </w:rPr>
        <w:t>,</w:t>
      </w:r>
      <w:r w:rsidR="006F27FD" w:rsidRPr="006F27FD">
        <w:rPr>
          <w:rFonts w:cs="Arial"/>
          <w:sz w:val="16"/>
          <w:szCs w:val="16"/>
          <w:rtl/>
        </w:rPr>
        <w:t xml:space="preserve"> דחיישינן שמא מת</w:t>
      </w:r>
      <w:r w:rsidR="00914BA0">
        <w:rPr>
          <w:rFonts w:cs="Arial" w:hint="cs"/>
          <w:sz w:val="16"/>
          <w:szCs w:val="16"/>
          <w:rtl/>
        </w:rPr>
        <w:t>.</w:t>
      </w:r>
      <w:r w:rsidR="006F27FD" w:rsidRPr="006F27FD">
        <w:rPr>
          <w:rFonts w:cs="Arial"/>
          <w:sz w:val="16"/>
          <w:szCs w:val="16"/>
          <w:rtl/>
        </w:rPr>
        <w:t xml:space="preserve"> משמע הא אי ידעינן בודאי שעדיין הוא גוסס נותנו בחזקת שהוא קיים והוי גט</w:t>
      </w:r>
      <w:r w:rsidR="00914BA0">
        <w:rPr>
          <w:rFonts w:cs="Arial" w:hint="cs"/>
          <w:sz w:val="16"/>
          <w:szCs w:val="16"/>
          <w:rtl/>
        </w:rPr>
        <w:t>.</w:t>
      </w:r>
      <w:r w:rsidR="006F27FD" w:rsidRPr="006F27FD">
        <w:rPr>
          <w:rFonts w:cs="Arial"/>
          <w:sz w:val="16"/>
          <w:szCs w:val="16"/>
          <w:rtl/>
        </w:rPr>
        <w:t xml:space="preserve"> אלמא דגוסס כל דבריו קיימין</w:t>
      </w:r>
      <w:r w:rsidR="00914BA0">
        <w:rPr>
          <w:rFonts w:cs="Arial" w:hint="cs"/>
          <w:sz w:val="16"/>
          <w:szCs w:val="16"/>
          <w:rtl/>
        </w:rPr>
        <w:t>.</w:t>
      </w:r>
      <w:r w:rsidR="006F27FD" w:rsidRPr="006F27FD">
        <w:rPr>
          <w:rFonts w:cs="Arial"/>
          <w:sz w:val="16"/>
          <w:szCs w:val="16"/>
          <w:rtl/>
        </w:rPr>
        <w:t xml:space="preserve"> לכן נ"ל דודאי גוסס דבריו קיימין</w:t>
      </w:r>
      <w:r w:rsidR="00914BA0">
        <w:rPr>
          <w:rFonts w:cs="Arial" w:hint="cs"/>
          <w:sz w:val="16"/>
          <w:szCs w:val="16"/>
          <w:rtl/>
        </w:rPr>
        <w:t>.</w:t>
      </w:r>
      <w:r w:rsidR="006F27FD" w:rsidRPr="006F27FD">
        <w:rPr>
          <w:rFonts w:cs="Arial"/>
          <w:sz w:val="16"/>
          <w:szCs w:val="16"/>
          <w:rtl/>
        </w:rPr>
        <w:t xml:space="preserve"> והכא גבי מתנה היינו טעמא דמתנתו אינה כלום משום דמסתמא גוסס אינו יכול לדבר</w:t>
      </w:r>
      <w:r w:rsidR="00914BA0">
        <w:rPr>
          <w:rFonts w:cs="Arial" w:hint="cs"/>
          <w:sz w:val="16"/>
          <w:szCs w:val="16"/>
          <w:rtl/>
        </w:rPr>
        <w:t>,</w:t>
      </w:r>
      <w:r w:rsidR="006F27FD" w:rsidRPr="006F27FD">
        <w:rPr>
          <w:rFonts w:cs="Arial"/>
          <w:sz w:val="16"/>
          <w:szCs w:val="16"/>
          <w:rtl/>
        </w:rPr>
        <w:t xml:space="preserve"> אבל אם היה מדבר פשיטא דדבריו קיימין</w:t>
      </w:r>
      <w:r w:rsidR="00914BA0">
        <w:rPr>
          <w:rFonts w:cs="Arial" w:hint="cs"/>
          <w:sz w:val="16"/>
          <w:szCs w:val="16"/>
          <w:rtl/>
        </w:rPr>
        <w:t>.</w:t>
      </w:r>
      <w:r w:rsidR="006F27FD" w:rsidRPr="006F27FD">
        <w:rPr>
          <w:rFonts w:cs="Arial"/>
          <w:sz w:val="16"/>
          <w:szCs w:val="16"/>
          <w:rtl/>
        </w:rPr>
        <w:t xml:space="preserve"> והא דנקט גוסס ולא נקט חולה שנשתתק</w:t>
      </w:r>
      <w:r w:rsidR="00914BA0">
        <w:rPr>
          <w:rFonts w:cs="Arial" w:hint="cs"/>
          <w:sz w:val="16"/>
          <w:szCs w:val="16"/>
          <w:rtl/>
        </w:rPr>
        <w:t>,</w:t>
      </w:r>
      <w:r w:rsidR="006F27FD" w:rsidRPr="006F27FD">
        <w:rPr>
          <w:rFonts w:cs="Arial"/>
          <w:sz w:val="16"/>
          <w:szCs w:val="16"/>
          <w:rtl/>
        </w:rPr>
        <w:t xml:space="preserve"> משום דמסתמא יתרפא ואז יהא בידו להקנות</w:t>
      </w:r>
      <w:r w:rsidR="00914BA0">
        <w:rPr>
          <w:rFonts w:cs="Arial" w:hint="cs"/>
          <w:sz w:val="16"/>
          <w:szCs w:val="16"/>
          <w:rtl/>
        </w:rPr>
        <w:t>,</w:t>
      </w:r>
      <w:r w:rsidR="006F27FD" w:rsidRPr="006F27FD">
        <w:rPr>
          <w:rFonts w:cs="Arial"/>
          <w:sz w:val="16"/>
          <w:szCs w:val="16"/>
          <w:rtl/>
        </w:rPr>
        <w:t xml:space="preserve"> אבל גוסס אין רגילות שיתרפא</w:t>
      </w:r>
      <w:r w:rsidR="00914BA0">
        <w:rPr>
          <w:rFonts w:cs="Arial" w:hint="cs"/>
          <w:sz w:val="16"/>
          <w:szCs w:val="16"/>
          <w:rtl/>
        </w:rPr>
        <w:t>.</w:t>
      </w:r>
      <w:r w:rsidR="006F27FD" w:rsidRPr="006F27FD">
        <w:rPr>
          <w:rFonts w:cs="Arial"/>
          <w:sz w:val="16"/>
          <w:szCs w:val="16"/>
          <w:rtl/>
        </w:rPr>
        <w:t xml:space="preserve"> וחולה נמי שנשתתק והרכין בראשו דבריו קיימין</w:t>
      </w:r>
      <w:r w:rsidR="006F27FD">
        <w:rPr>
          <w:rFonts w:cs="Arial" w:hint="cs"/>
          <w:sz w:val="16"/>
          <w:szCs w:val="16"/>
          <w:rtl/>
        </w:rPr>
        <w:t>)</w:t>
      </w:r>
    </w:p>
    <w:p w14:paraId="70D8DA58" w14:textId="064339AC" w:rsidR="001356EE" w:rsidRPr="001356EE" w:rsidRDefault="001356EE" w:rsidP="001356EE">
      <w:pPr>
        <w:rPr>
          <w:u w:val="single"/>
          <w:rtl/>
        </w:rPr>
      </w:pPr>
      <w:r w:rsidRPr="001356EE">
        <w:rPr>
          <w:rFonts w:hint="cs"/>
          <w:u w:val="single"/>
          <w:rtl/>
        </w:rPr>
        <w:t>גוסס</w:t>
      </w:r>
      <w:r w:rsidR="002170D8">
        <w:rPr>
          <w:rFonts w:hint="cs"/>
          <w:u w:val="single"/>
          <w:rtl/>
        </w:rPr>
        <w:t xml:space="preserve"> שציוה ליתן גט לאשתו</w:t>
      </w:r>
      <w:r w:rsidRPr="001356EE">
        <w:rPr>
          <w:rFonts w:hint="cs"/>
          <w:u w:val="single"/>
          <w:rtl/>
        </w:rPr>
        <w:t>:</w:t>
      </w:r>
    </w:p>
    <w:p w14:paraId="55A53999" w14:textId="2D655F8F" w:rsidR="00A06362" w:rsidRPr="00A06362" w:rsidRDefault="00C46395" w:rsidP="00A65C5F">
      <w:pPr>
        <w:pStyle w:val="ab"/>
        <w:numPr>
          <w:ilvl w:val="0"/>
          <w:numId w:val="30"/>
        </w:numPr>
      </w:pPr>
      <w:r>
        <w:rPr>
          <w:rFonts w:cs="Arial" w:hint="cs"/>
          <w:rtl/>
        </w:rPr>
        <w:t xml:space="preserve">ר"ח </w:t>
      </w:r>
      <w:r>
        <w:rPr>
          <w:rFonts w:cs="Arial" w:hint="cs"/>
          <w:sz w:val="16"/>
          <w:szCs w:val="16"/>
          <w:rtl/>
        </w:rPr>
        <w:t>(כ"כ הטור בשמו)</w:t>
      </w:r>
      <w:r>
        <w:rPr>
          <w:rFonts w:cs="Arial" w:hint="cs"/>
          <w:rtl/>
        </w:rPr>
        <w:t xml:space="preserve"> ו</w:t>
      </w:r>
      <w:r w:rsidR="00624B55" w:rsidRPr="00BE2DBA">
        <w:rPr>
          <w:rFonts w:cs="Arial"/>
          <w:rtl/>
        </w:rPr>
        <w:t>רש"י</w:t>
      </w:r>
      <w:r>
        <w:rPr>
          <w:rFonts w:cs="Arial" w:hint="cs"/>
          <w:rtl/>
        </w:rPr>
        <w:t xml:space="preserve"> </w:t>
      </w:r>
      <w:r w:rsidRPr="00C46395">
        <w:rPr>
          <w:rFonts w:cs="Arial"/>
          <w:sz w:val="16"/>
          <w:szCs w:val="16"/>
          <w:rtl/>
        </w:rPr>
        <w:t>(</w:t>
      </w:r>
      <w:r>
        <w:rPr>
          <w:rFonts w:cs="Arial" w:hint="cs"/>
          <w:sz w:val="16"/>
          <w:szCs w:val="16"/>
          <w:rtl/>
        </w:rPr>
        <w:t xml:space="preserve">קידושין עח: </w:t>
      </w:r>
      <w:r w:rsidRPr="00C46395">
        <w:rPr>
          <w:rFonts w:cs="Arial"/>
          <w:sz w:val="16"/>
          <w:szCs w:val="16"/>
          <w:rtl/>
        </w:rPr>
        <w:t>ד"ה כשהוא גוסס</w:t>
      </w:r>
      <w:r w:rsidR="00914BA0">
        <w:rPr>
          <w:rFonts w:cs="Arial" w:hint="cs"/>
          <w:sz w:val="16"/>
          <w:szCs w:val="16"/>
          <w:rtl/>
        </w:rPr>
        <w:t xml:space="preserve">, </w:t>
      </w:r>
      <w:r w:rsidR="000B38EB">
        <w:rPr>
          <w:rFonts w:cs="Arial" w:hint="cs"/>
          <w:sz w:val="16"/>
          <w:szCs w:val="16"/>
          <w:rtl/>
        </w:rPr>
        <w:t>ו</w:t>
      </w:r>
      <w:r w:rsidR="00914BA0">
        <w:rPr>
          <w:rFonts w:cs="Arial" w:hint="cs"/>
          <w:sz w:val="16"/>
          <w:szCs w:val="16"/>
          <w:rtl/>
        </w:rPr>
        <w:t>כ"כ הטור בשמו</w:t>
      </w:r>
      <w:r w:rsidRPr="00C46395">
        <w:rPr>
          <w:rFonts w:cs="Arial"/>
          <w:sz w:val="16"/>
          <w:szCs w:val="16"/>
          <w:rtl/>
        </w:rPr>
        <w:t>)</w:t>
      </w:r>
      <w:r w:rsidR="00A82951">
        <w:rPr>
          <w:rFonts w:cs="Arial" w:hint="cs"/>
          <w:rtl/>
        </w:rPr>
        <w:t>-</w:t>
      </w:r>
      <w:r>
        <w:rPr>
          <w:rFonts w:cs="Arial" w:hint="cs"/>
          <w:rtl/>
        </w:rPr>
        <w:t xml:space="preserve"> </w:t>
      </w:r>
      <w:r w:rsidR="00624B55" w:rsidRPr="00BE2DBA">
        <w:rPr>
          <w:rFonts w:cs="Arial"/>
          <w:rtl/>
        </w:rPr>
        <w:t>הוא חשוב כמת ואינו מוציא את אשתו</w:t>
      </w:r>
      <w:r>
        <w:rPr>
          <w:rFonts w:cs="Arial" w:hint="cs"/>
          <w:rtl/>
        </w:rPr>
        <w:t>.</w:t>
      </w:r>
      <w:r w:rsidR="00624B55" w:rsidRPr="00BE2DBA">
        <w:rPr>
          <w:rFonts w:cs="Arial"/>
          <w:rtl/>
        </w:rPr>
        <w:t xml:space="preserve"> </w:t>
      </w:r>
    </w:p>
    <w:p w14:paraId="62B8FD66" w14:textId="5377E591" w:rsidR="00B33125" w:rsidRPr="00B33125" w:rsidRDefault="00914BA0" w:rsidP="00A65C5F">
      <w:pPr>
        <w:pStyle w:val="ab"/>
        <w:numPr>
          <w:ilvl w:val="0"/>
          <w:numId w:val="30"/>
        </w:numPr>
      </w:pPr>
      <w:r>
        <w:rPr>
          <w:rFonts w:cs="Arial" w:hint="cs"/>
          <w:rtl/>
        </w:rPr>
        <w:t>תוס'</w:t>
      </w:r>
      <w:r w:rsidR="00624B55" w:rsidRPr="00BE2DBA">
        <w:rPr>
          <w:rFonts w:cs="Arial"/>
          <w:rtl/>
        </w:rPr>
        <w:t xml:space="preserve"> </w:t>
      </w:r>
      <w:r w:rsidR="00C46395" w:rsidRPr="00C46395">
        <w:rPr>
          <w:rFonts w:cs="Arial"/>
          <w:sz w:val="16"/>
          <w:szCs w:val="16"/>
          <w:rtl/>
        </w:rPr>
        <w:t>(</w:t>
      </w:r>
      <w:r w:rsidR="00C46395">
        <w:rPr>
          <w:rFonts w:cs="Arial" w:hint="cs"/>
          <w:sz w:val="16"/>
          <w:szCs w:val="16"/>
          <w:rtl/>
        </w:rPr>
        <w:t xml:space="preserve">קידושין עח: </w:t>
      </w:r>
      <w:r w:rsidR="00C46395" w:rsidRPr="00C46395">
        <w:rPr>
          <w:rFonts w:cs="Arial"/>
          <w:sz w:val="16"/>
          <w:szCs w:val="16"/>
          <w:rtl/>
        </w:rPr>
        <w:t>ד"ה לא צריכא)</w:t>
      </w:r>
      <w:r w:rsidR="00C46395" w:rsidRPr="00C46395">
        <w:rPr>
          <w:rFonts w:cs="Arial"/>
          <w:rtl/>
        </w:rPr>
        <w:t xml:space="preserve"> </w:t>
      </w:r>
      <w:r w:rsidR="00C46395" w:rsidRPr="005E486B">
        <w:rPr>
          <w:rFonts w:cs="Arial"/>
          <w:rtl/>
        </w:rPr>
        <w:t>רשב"ם</w:t>
      </w:r>
      <w:r w:rsidR="00C46395">
        <w:rPr>
          <w:rStyle w:val="a7"/>
          <w:rFonts w:cs="Arial"/>
          <w:rtl/>
        </w:rPr>
        <w:footnoteReference w:id="345"/>
      </w:r>
      <w:r w:rsidR="00C46395" w:rsidRPr="005E486B">
        <w:rPr>
          <w:rFonts w:cs="Arial"/>
          <w:rtl/>
        </w:rPr>
        <w:t xml:space="preserve"> </w:t>
      </w:r>
      <w:r w:rsidR="00C46395" w:rsidRPr="00C46395">
        <w:rPr>
          <w:rFonts w:cs="Arial"/>
          <w:sz w:val="16"/>
          <w:szCs w:val="16"/>
          <w:rtl/>
        </w:rPr>
        <w:t>(</w:t>
      </w:r>
      <w:r w:rsidR="00C46395">
        <w:rPr>
          <w:rFonts w:cs="Arial" w:hint="cs"/>
          <w:sz w:val="16"/>
          <w:szCs w:val="16"/>
          <w:rtl/>
        </w:rPr>
        <w:t xml:space="preserve">ב"ב קכז: </w:t>
      </w:r>
      <w:r w:rsidR="00C46395" w:rsidRPr="00C46395">
        <w:rPr>
          <w:rFonts w:cs="Arial"/>
          <w:sz w:val="16"/>
          <w:szCs w:val="16"/>
          <w:rtl/>
        </w:rPr>
        <w:t>ד"ה בנכסים שנפלו לו)</w:t>
      </w:r>
      <w:r w:rsidR="00C46395">
        <w:rPr>
          <w:rFonts w:cs="Arial" w:hint="cs"/>
          <w:rtl/>
        </w:rPr>
        <w:t xml:space="preserve"> </w:t>
      </w:r>
      <w:r w:rsidR="00B33125">
        <w:rPr>
          <w:rFonts w:cs="Arial" w:hint="cs"/>
          <w:rtl/>
        </w:rPr>
        <w:t>ו</w:t>
      </w:r>
      <w:r w:rsidR="00C46395" w:rsidRPr="005E486B">
        <w:rPr>
          <w:rFonts w:cs="Arial"/>
          <w:rtl/>
        </w:rPr>
        <w:t xml:space="preserve">רא"ש </w:t>
      </w:r>
      <w:r w:rsidR="00C46395" w:rsidRPr="00C46395">
        <w:rPr>
          <w:rFonts w:cs="Arial"/>
          <w:sz w:val="16"/>
          <w:szCs w:val="16"/>
          <w:rtl/>
        </w:rPr>
        <w:t>(קידושין פ"ד סט"ז)</w:t>
      </w:r>
      <w:r w:rsidR="00B33125">
        <w:rPr>
          <w:rStyle w:val="a7"/>
          <w:rFonts w:cs="Arial"/>
          <w:rtl/>
        </w:rPr>
        <w:footnoteReference w:id="346"/>
      </w:r>
      <w:r w:rsidR="00A82951">
        <w:rPr>
          <w:rFonts w:cs="Arial" w:hint="cs"/>
          <w:rtl/>
        </w:rPr>
        <w:t>-</w:t>
      </w:r>
      <w:r w:rsidR="00C46395">
        <w:rPr>
          <w:rFonts w:cs="Arial" w:hint="cs"/>
          <w:rtl/>
        </w:rPr>
        <w:t xml:space="preserve"> </w:t>
      </w:r>
      <w:r w:rsidR="00624B55" w:rsidRPr="00BE2DBA">
        <w:rPr>
          <w:rFonts w:cs="Arial"/>
          <w:rtl/>
        </w:rPr>
        <w:t>חשוב כחי ויכול לגרש</w:t>
      </w:r>
      <w:r w:rsidR="00C46395">
        <w:rPr>
          <w:rFonts w:cs="Arial" w:hint="cs"/>
          <w:rtl/>
        </w:rPr>
        <w:t>.</w:t>
      </w:r>
      <w:r w:rsidR="00624B55" w:rsidRPr="00BE2DBA">
        <w:rPr>
          <w:rFonts w:cs="Arial"/>
          <w:rtl/>
        </w:rPr>
        <w:t xml:space="preserve"> </w:t>
      </w:r>
      <w:r w:rsidR="007D43B5" w:rsidRPr="007D43B5">
        <w:rPr>
          <w:rFonts w:cs="Arial" w:hint="cs"/>
          <w:color w:val="E36C0A" w:themeColor="accent6" w:themeShade="BF"/>
          <w:rtl/>
        </w:rPr>
        <w:t>(וכ"פ בשו"ע)</w:t>
      </w:r>
    </w:p>
    <w:p w14:paraId="7D9D1DC7" w14:textId="3DEAF372" w:rsidR="00B33125" w:rsidRPr="00B33125" w:rsidRDefault="00B33125" w:rsidP="00B33125">
      <w:pPr>
        <w:ind w:left="360"/>
        <w:rPr>
          <w:u w:val="dotted"/>
        </w:rPr>
      </w:pPr>
      <w:r w:rsidRPr="00B33125">
        <w:rPr>
          <w:rFonts w:hint="cs"/>
          <w:u w:val="dotted"/>
          <w:rtl/>
        </w:rPr>
        <w:t>ל</w:t>
      </w:r>
      <w:r w:rsidR="00914BA0">
        <w:rPr>
          <w:rFonts w:hint="cs"/>
          <w:u w:val="dotted"/>
          <w:rtl/>
        </w:rPr>
        <w:t>תוס'</w:t>
      </w:r>
      <w:r w:rsidRPr="00B33125">
        <w:rPr>
          <w:rFonts w:hint="cs"/>
          <w:u w:val="dotted"/>
          <w:rtl/>
        </w:rPr>
        <w:t xml:space="preserve"> וסיעתו </w:t>
      </w:r>
      <w:r w:rsidR="00A82951">
        <w:rPr>
          <w:rFonts w:hint="cs"/>
          <w:u w:val="dotted"/>
          <w:rtl/>
        </w:rPr>
        <w:t>-</w:t>
      </w:r>
      <w:r w:rsidRPr="00B33125">
        <w:rPr>
          <w:rFonts w:hint="cs"/>
          <w:u w:val="dotted"/>
          <w:rtl/>
        </w:rPr>
        <w:t xml:space="preserve"> האם הגוסס יכ</w:t>
      </w:r>
      <w:r w:rsidR="004E2029">
        <w:rPr>
          <w:rFonts w:hint="cs"/>
          <w:u w:val="dotted"/>
          <w:rtl/>
        </w:rPr>
        <w:t>ו</w:t>
      </w:r>
      <w:r w:rsidRPr="00B33125">
        <w:rPr>
          <w:rFonts w:hint="cs"/>
          <w:u w:val="dotted"/>
          <w:rtl/>
        </w:rPr>
        <w:t>ל ל</w:t>
      </w:r>
      <w:r w:rsidR="004E2029">
        <w:rPr>
          <w:rFonts w:hint="cs"/>
          <w:u w:val="dotted"/>
          <w:rtl/>
        </w:rPr>
        <w:t>גרש ברמיזה</w:t>
      </w:r>
      <w:r w:rsidRPr="00B33125">
        <w:rPr>
          <w:rFonts w:hint="cs"/>
          <w:u w:val="dotted"/>
          <w:rtl/>
        </w:rPr>
        <w:t>:</w:t>
      </w:r>
    </w:p>
    <w:p w14:paraId="3FE79195" w14:textId="51FEE67E" w:rsidR="002170D8" w:rsidRPr="002170D8" w:rsidRDefault="005E486B" w:rsidP="00A65C5F">
      <w:pPr>
        <w:pStyle w:val="ab"/>
        <w:numPr>
          <w:ilvl w:val="0"/>
          <w:numId w:val="30"/>
        </w:numPr>
      </w:pPr>
      <w:r w:rsidRPr="00B33125">
        <w:rPr>
          <w:rFonts w:cs="Arial"/>
          <w:rtl/>
        </w:rPr>
        <w:t xml:space="preserve">סמ"ג </w:t>
      </w:r>
      <w:r w:rsidR="00CB5A2E">
        <w:rPr>
          <w:rFonts w:cs="Arial" w:hint="cs"/>
          <w:rtl/>
        </w:rPr>
        <w:t xml:space="preserve">מרדכי </w:t>
      </w:r>
      <w:r w:rsidRPr="00B33125">
        <w:rPr>
          <w:rFonts w:cs="Arial"/>
          <w:rtl/>
        </w:rPr>
        <w:t>וסמ"ק</w:t>
      </w:r>
      <w:r w:rsidR="00CB5A2E">
        <w:rPr>
          <w:rFonts w:cs="Arial" w:hint="cs"/>
          <w:sz w:val="16"/>
          <w:szCs w:val="16"/>
          <w:rtl/>
        </w:rPr>
        <w:t xml:space="preserve"> (כ"כ הב"י שמשמע מדבריהם)</w:t>
      </w:r>
      <w:r w:rsidR="00A82951">
        <w:rPr>
          <w:rFonts w:cs="Arial" w:hint="cs"/>
          <w:rtl/>
        </w:rPr>
        <w:t>-</w:t>
      </w:r>
      <w:r w:rsidR="00CB5A2E">
        <w:rPr>
          <w:rFonts w:cs="Arial" w:hint="cs"/>
          <w:rtl/>
        </w:rPr>
        <w:t xml:space="preserve"> </w:t>
      </w:r>
      <w:r w:rsidRPr="00B33125">
        <w:rPr>
          <w:rFonts w:cs="Arial"/>
          <w:rtl/>
        </w:rPr>
        <w:t>כי אמרינן דיכול לגרש היינו במדבר דוקא</w:t>
      </w:r>
      <w:r w:rsidR="004E2029">
        <w:rPr>
          <w:rFonts w:cs="Arial" w:hint="cs"/>
          <w:rtl/>
        </w:rPr>
        <w:t>,</w:t>
      </w:r>
      <w:r w:rsidRPr="00B33125">
        <w:rPr>
          <w:rFonts w:cs="Arial"/>
          <w:rtl/>
        </w:rPr>
        <w:t xml:space="preserve"> אבל אם אינו מדבר לא</w:t>
      </w:r>
      <w:r w:rsidR="007D43B5">
        <w:rPr>
          <w:rStyle w:val="a7"/>
          <w:rFonts w:cs="Arial"/>
          <w:rtl/>
        </w:rPr>
        <w:footnoteReference w:id="347"/>
      </w:r>
      <w:r w:rsidR="00D75947">
        <w:rPr>
          <w:rFonts w:cs="Arial" w:hint="cs"/>
          <w:sz w:val="16"/>
          <w:szCs w:val="16"/>
          <w:rtl/>
        </w:rPr>
        <w:t xml:space="preserve"> </w:t>
      </w:r>
      <w:r w:rsidR="007D43B5">
        <w:rPr>
          <w:rFonts w:cs="Arial" w:hint="cs"/>
          <w:sz w:val="16"/>
          <w:szCs w:val="16"/>
          <w:rtl/>
        </w:rPr>
        <w:t>(ל' הב"י בשמם)</w:t>
      </w:r>
      <w:r w:rsidR="00C46395" w:rsidRPr="00B33125">
        <w:rPr>
          <w:rFonts w:cs="Arial" w:hint="cs"/>
          <w:rtl/>
        </w:rPr>
        <w:t>.</w:t>
      </w:r>
      <w:r w:rsidRPr="00B33125">
        <w:rPr>
          <w:rFonts w:cs="Arial"/>
          <w:rtl/>
        </w:rPr>
        <w:t xml:space="preserve"> </w:t>
      </w:r>
      <w:r w:rsidR="007D43B5" w:rsidRPr="007D43B5">
        <w:rPr>
          <w:rFonts w:hint="cs"/>
          <w:color w:val="00B0F0"/>
          <w:rtl/>
        </w:rPr>
        <w:t>(וכ"פ הרמ"א)</w:t>
      </w:r>
    </w:p>
    <w:p w14:paraId="11D2BB48" w14:textId="312FF6CA" w:rsidR="005E486B" w:rsidRPr="005E486B" w:rsidRDefault="00CB5A2E" w:rsidP="00A65C5F">
      <w:pPr>
        <w:pStyle w:val="ab"/>
        <w:numPr>
          <w:ilvl w:val="0"/>
          <w:numId w:val="30"/>
        </w:numPr>
        <w:rPr>
          <w:rtl/>
        </w:rPr>
      </w:pPr>
      <w:r>
        <w:rPr>
          <w:rFonts w:cs="Arial" w:hint="cs"/>
          <w:rtl/>
        </w:rPr>
        <w:lastRenderedPageBreak/>
        <w:t xml:space="preserve">תוס' </w:t>
      </w:r>
      <w:r w:rsidRPr="007D43B5">
        <w:rPr>
          <w:rFonts w:cs="Arial" w:hint="cs"/>
          <w:sz w:val="16"/>
          <w:szCs w:val="16"/>
          <w:rtl/>
        </w:rPr>
        <w:t>(</w:t>
      </w:r>
      <w:r w:rsidR="007D43B5">
        <w:rPr>
          <w:rFonts w:cs="Arial" w:hint="cs"/>
          <w:sz w:val="16"/>
          <w:szCs w:val="16"/>
          <w:rtl/>
        </w:rPr>
        <w:t xml:space="preserve">שם, </w:t>
      </w:r>
      <w:r w:rsidRPr="007D43B5">
        <w:rPr>
          <w:rFonts w:cs="Arial" w:hint="cs"/>
          <w:sz w:val="16"/>
          <w:szCs w:val="16"/>
          <w:rtl/>
        </w:rPr>
        <w:t>להב' הב"י)</w:t>
      </w:r>
      <w:r>
        <w:rPr>
          <w:rFonts w:cs="Arial" w:hint="cs"/>
          <w:rtl/>
        </w:rPr>
        <w:t xml:space="preserve"> רי"ו </w:t>
      </w:r>
      <w:r w:rsidR="007D43B5" w:rsidRPr="007D43B5">
        <w:rPr>
          <w:rFonts w:cs="Arial"/>
          <w:sz w:val="16"/>
          <w:szCs w:val="16"/>
          <w:rtl/>
        </w:rPr>
        <w:t>(נכ"ד ח"ד</w:t>
      </w:r>
      <w:r w:rsidR="007D43B5">
        <w:rPr>
          <w:rFonts w:cs="Arial" w:hint="cs"/>
          <w:sz w:val="16"/>
          <w:szCs w:val="16"/>
          <w:rtl/>
        </w:rPr>
        <w:t xml:space="preserve"> </w:t>
      </w:r>
      <w:r w:rsidR="007D43B5" w:rsidRPr="007D43B5">
        <w:rPr>
          <w:rFonts w:cs="Arial"/>
          <w:sz w:val="16"/>
          <w:szCs w:val="16"/>
          <w:rtl/>
        </w:rPr>
        <w:t>שם רי ע"א</w:t>
      </w:r>
      <w:r w:rsidR="007D43B5">
        <w:rPr>
          <w:rFonts w:cs="Arial" w:hint="cs"/>
          <w:sz w:val="16"/>
          <w:szCs w:val="16"/>
          <w:rtl/>
        </w:rPr>
        <w:t>, וב</w:t>
      </w:r>
      <w:r w:rsidR="007D43B5" w:rsidRPr="007D43B5">
        <w:rPr>
          <w:rFonts w:cs="Arial"/>
          <w:sz w:val="16"/>
          <w:szCs w:val="16"/>
          <w:rtl/>
        </w:rPr>
        <w:t>ח</w:t>
      </w:r>
      <w:r w:rsidR="007D43B5">
        <w:rPr>
          <w:rFonts w:cs="Arial" w:hint="cs"/>
          <w:sz w:val="16"/>
          <w:szCs w:val="16"/>
          <w:rtl/>
        </w:rPr>
        <w:t xml:space="preserve">לק </w:t>
      </w:r>
      <w:r w:rsidR="007D43B5" w:rsidRPr="007D43B5">
        <w:rPr>
          <w:rFonts w:cs="Arial"/>
          <w:sz w:val="16"/>
          <w:szCs w:val="16"/>
          <w:rtl/>
        </w:rPr>
        <w:t>א</w:t>
      </w:r>
      <w:r w:rsidR="007D43B5">
        <w:rPr>
          <w:rFonts w:cs="Arial" w:hint="cs"/>
          <w:sz w:val="16"/>
          <w:szCs w:val="16"/>
          <w:rtl/>
        </w:rPr>
        <w:t>'</w:t>
      </w:r>
      <w:r w:rsidR="007D43B5" w:rsidRPr="007D43B5">
        <w:rPr>
          <w:rFonts w:cs="Arial"/>
          <w:sz w:val="16"/>
          <w:szCs w:val="16"/>
          <w:rtl/>
        </w:rPr>
        <w:t xml:space="preserve"> סח ע"ב) </w:t>
      </w:r>
      <w:r w:rsidR="007D43B5">
        <w:rPr>
          <w:rFonts w:cs="Arial" w:hint="cs"/>
          <w:rtl/>
        </w:rPr>
        <w:t>וב"י</w:t>
      </w:r>
      <w:r w:rsidR="00A82951">
        <w:rPr>
          <w:rFonts w:cs="Arial" w:hint="cs"/>
          <w:rtl/>
        </w:rPr>
        <w:t>-</w:t>
      </w:r>
      <w:r w:rsidR="007D43B5">
        <w:rPr>
          <w:rFonts w:cs="Arial" w:hint="cs"/>
          <w:rtl/>
        </w:rPr>
        <w:t xml:space="preserve"> </w:t>
      </w:r>
      <w:r w:rsidR="007D43B5" w:rsidRPr="007D43B5">
        <w:rPr>
          <w:rFonts w:cs="Arial"/>
          <w:rtl/>
        </w:rPr>
        <w:t>רמיזה חשיבא כדיבור בין לגט בין למתנה</w:t>
      </w:r>
      <w:r w:rsidR="007D43B5">
        <w:rPr>
          <w:rFonts w:cs="Arial" w:hint="cs"/>
          <w:sz w:val="16"/>
          <w:szCs w:val="16"/>
          <w:rtl/>
        </w:rPr>
        <w:t xml:space="preserve"> (ל' הב"י)</w:t>
      </w:r>
      <w:r w:rsidR="007D43B5">
        <w:rPr>
          <w:rFonts w:cs="Arial" w:hint="cs"/>
          <w:rtl/>
        </w:rPr>
        <w:t>.</w:t>
      </w:r>
      <w:r w:rsidR="007D43B5" w:rsidRPr="00B33125">
        <w:rPr>
          <w:rFonts w:cs="Arial"/>
          <w:rtl/>
        </w:rPr>
        <w:t xml:space="preserve"> </w:t>
      </w:r>
    </w:p>
    <w:p w14:paraId="332D3D1B" w14:textId="77777777" w:rsidR="00A243D9" w:rsidRPr="007B74F1" w:rsidRDefault="00A243D9" w:rsidP="00A243D9">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DF36283" w14:textId="070C1FF8" w:rsidR="00486C31" w:rsidRDefault="00486C31" w:rsidP="00486C31">
      <w:pPr>
        <w:rPr>
          <w:rFonts w:cs="Arial"/>
          <w:rtl/>
        </w:rPr>
      </w:pPr>
      <w:r w:rsidRPr="00486C31">
        <w:rPr>
          <w:rFonts w:cs="Arial"/>
          <w:rtl/>
        </w:rPr>
        <w:t xml:space="preserve">גוסס, הרי הוא כחי ויכול לגרש. </w:t>
      </w:r>
      <w:r w:rsidRPr="007D267E">
        <w:rPr>
          <w:rFonts w:cs="Arial"/>
          <w:sz w:val="18"/>
          <w:szCs w:val="18"/>
          <w:rtl/>
        </w:rPr>
        <w:t>הגה: וי"א דוקא גוסס שמדבר, אבל אינו מדבר, לא</w:t>
      </w:r>
      <w:r w:rsidR="00F549B6">
        <w:rPr>
          <w:rStyle w:val="a7"/>
          <w:rFonts w:cs="Arial"/>
          <w:sz w:val="18"/>
          <w:szCs w:val="18"/>
          <w:rtl/>
        </w:rPr>
        <w:footnoteReference w:id="348"/>
      </w:r>
      <w:r w:rsidRPr="007D267E">
        <w:rPr>
          <w:rFonts w:cs="Arial"/>
          <w:sz w:val="18"/>
          <w:szCs w:val="18"/>
          <w:rtl/>
        </w:rPr>
        <w:t xml:space="preserve"> (סמ"ג והמרדכי)</w:t>
      </w:r>
      <w:r w:rsidR="00A06362">
        <w:rPr>
          <w:rFonts w:cs="Arial" w:hint="cs"/>
          <w:sz w:val="18"/>
          <w:szCs w:val="18"/>
          <w:rtl/>
        </w:rPr>
        <w:t>.</w:t>
      </w:r>
      <w:r w:rsidRPr="007D267E">
        <w:rPr>
          <w:rFonts w:cs="Arial"/>
          <w:sz w:val="18"/>
          <w:szCs w:val="18"/>
          <w:rtl/>
        </w:rPr>
        <w:t xml:space="preserve"> ויש להחמיר.</w:t>
      </w:r>
      <w:r w:rsidRPr="00486C31">
        <w:rPr>
          <w:rFonts w:cs="Arial"/>
          <w:rtl/>
        </w:rPr>
        <w:t xml:space="preserve"> </w:t>
      </w:r>
    </w:p>
    <w:p w14:paraId="25ADA047" w14:textId="281F6D26" w:rsidR="00B75DD6" w:rsidRDefault="00B75DD6" w:rsidP="00486C31">
      <w:pPr>
        <w:rPr>
          <w:rFonts w:cs="Arial"/>
          <w:rtl/>
        </w:rPr>
      </w:pPr>
      <w:r w:rsidRPr="00B75DD6">
        <w:rPr>
          <w:rFonts w:cs="Arial" w:hint="cs"/>
          <w:u w:val="single"/>
          <w:rtl/>
        </w:rPr>
        <w:t xml:space="preserve">שכיב מרע שציוה לכתוב גט, ואשתקיל מלוליה, וענה ברמיזה </w:t>
      </w:r>
      <w:r w:rsidR="00A82951">
        <w:rPr>
          <w:rFonts w:cs="Arial"/>
          <w:u w:val="single"/>
          <w:rtl/>
        </w:rPr>
        <w:t>-</w:t>
      </w:r>
      <w:r w:rsidRPr="00B75DD6">
        <w:rPr>
          <w:rFonts w:cs="Arial" w:hint="cs"/>
          <w:u w:val="single"/>
          <w:rtl/>
        </w:rPr>
        <w:t xml:space="preserve"> האם גם לד</w:t>
      </w:r>
      <w:r>
        <w:rPr>
          <w:rFonts w:cs="Arial" w:hint="cs"/>
          <w:u w:val="single"/>
          <w:rtl/>
        </w:rPr>
        <w:t>'</w:t>
      </w:r>
      <w:r w:rsidRPr="00B75DD6">
        <w:rPr>
          <w:rFonts w:cs="Arial" w:hint="cs"/>
          <w:u w:val="single"/>
          <w:rtl/>
        </w:rPr>
        <w:t xml:space="preserve"> הרמ"א יש להקל כשיש ספק</w:t>
      </w:r>
      <w:r>
        <w:rPr>
          <w:rFonts w:cs="Arial" w:hint="cs"/>
          <w:u w:val="single"/>
          <w:rtl/>
        </w:rPr>
        <w:t>:</w:t>
      </w:r>
      <w:r>
        <w:rPr>
          <w:rFonts w:cs="Arial" w:hint="cs"/>
          <w:rtl/>
        </w:rPr>
        <w:t xml:space="preserve"> </w:t>
      </w:r>
      <w:r w:rsidR="00F549B6" w:rsidRPr="00B75DD6">
        <w:rPr>
          <w:rFonts w:cs="Arial"/>
          <w:sz w:val="16"/>
          <w:szCs w:val="16"/>
          <w:rtl/>
        </w:rPr>
        <w:t>(</w:t>
      </w:r>
      <w:r w:rsidRPr="00B75DD6">
        <w:rPr>
          <w:rFonts w:cs="Arial" w:hint="cs"/>
          <w:sz w:val="16"/>
          <w:szCs w:val="16"/>
          <w:rtl/>
        </w:rPr>
        <w:t>פת"ש סק"</w:t>
      </w:r>
      <w:r w:rsidR="00F549B6" w:rsidRPr="00B75DD6">
        <w:rPr>
          <w:rFonts w:cs="Arial"/>
          <w:sz w:val="16"/>
          <w:szCs w:val="16"/>
          <w:rtl/>
        </w:rPr>
        <w:t>ט)</w:t>
      </w:r>
    </w:p>
    <w:p w14:paraId="2E2F6E50" w14:textId="6C676A62" w:rsidR="007D267E" w:rsidRDefault="00F549B6" w:rsidP="00A65C5F">
      <w:pPr>
        <w:pStyle w:val="ab"/>
        <w:numPr>
          <w:ilvl w:val="0"/>
          <w:numId w:val="33"/>
        </w:numPr>
        <w:rPr>
          <w:rFonts w:cs="Arial"/>
        </w:rPr>
      </w:pPr>
      <w:r w:rsidRPr="00B75DD6">
        <w:rPr>
          <w:rFonts w:cs="Arial"/>
          <w:rtl/>
        </w:rPr>
        <w:t xml:space="preserve">פרי תבואה </w:t>
      </w:r>
      <w:r w:rsidR="00B75DD6" w:rsidRPr="00B75DD6">
        <w:rPr>
          <w:rFonts w:cs="Arial" w:hint="cs"/>
          <w:sz w:val="16"/>
          <w:szCs w:val="16"/>
          <w:rtl/>
        </w:rPr>
        <w:t>(</w:t>
      </w:r>
      <w:r w:rsidRPr="00B75DD6">
        <w:rPr>
          <w:rFonts w:cs="Arial"/>
          <w:sz w:val="16"/>
          <w:szCs w:val="16"/>
          <w:rtl/>
        </w:rPr>
        <w:t>סי</w:t>
      </w:r>
      <w:r w:rsidR="00B75DD6" w:rsidRPr="00B75DD6">
        <w:rPr>
          <w:rFonts w:cs="Arial" w:hint="cs"/>
          <w:sz w:val="16"/>
          <w:szCs w:val="16"/>
          <w:rtl/>
        </w:rPr>
        <w:t>'</w:t>
      </w:r>
      <w:r w:rsidRPr="00B75DD6">
        <w:rPr>
          <w:rFonts w:cs="Arial"/>
          <w:sz w:val="16"/>
          <w:szCs w:val="16"/>
          <w:rtl/>
        </w:rPr>
        <w:t xml:space="preserve"> כא</w:t>
      </w:r>
      <w:r w:rsidR="00B75DD6" w:rsidRPr="00B75DD6">
        <w:rPr>
          <w:rFonts w:cs="Arial" w:hint="cs"/>
          <w:sz w:val="16"/>
          <w:szCs w:val="16"/>
          <w:rtl/>
        </w:rPr>
        <w:t>)</w:t>
      </w:r>
      <w:r w:rsidR="00A82951">
        <w:rPr>
          <w:rFonts w:cs="Arial" w:hint="cs"/>
          <w:rtl/>
        </w:rPr>
        <w:t>-</w:t>
      </w:r>
      <w:r w:rsidRPr="00B75DD6">
        <w:rPr>
          <w:rFonts w:cs="Arial"/>
          <w:rtl/>
        </w:rPr>
        <w:t xml:space="preserve"> בשכ"מ שציוה לכתוב גט לאשתו לפוטרה מיבום וסידר אמירתו לסופר לכתוב ולעדים לחתום וקודם הנתינה הוכבד עליו חליו ואשתקיל מלוליה והרכין בראשו לעשות כדברי הרב המסדר ליתן הגט לאשתו ונתנו לה ואח"ז היה חי כמו חצי שעה ונשאל מה דין האשה אי דמיא נ"ד למה שהחמיר הרמ"א בגוסס שא"י לדבר דאפי' בדיקה לא מהני ליה לפי מה שפירשו הח"מ והב"ש דזה גרע מנשחט בו שנים דשם נשחט מתוך בוריו ודעתו צילתא ובגוסס מתוך חוליו כשניטל ממנו הדבור י"ל דאין דעתו צלולה או דילמא שאני נ"ד שלא היה ודאי גוסס באותה שעה שהרי לא נראה בו סימני גוסס שהזכיר הרמ"א ז"ל.</w:t>
      </w:r>
      <w:r w:rsidR="00F162ED">
        <w:rPr>
          <w:rFonts w:cs="Arial" w:hint="cs"/>
          <w:rtl/>
        </w:rPr>
        <w:t>..</w:t>
      </w:r>
      <w:r w:rsidRPr="00B75DD6">
        <w:rPr>
          <w:rFonts w:cs="Arial"/>
          <w:rtl/>
        </w:rPr>
        <w:t xml:space="preserve"> יש להקל מטעם זה שלא היה ודאי גוסס בשעה דאשתקיל מלוליה והרכין ליתן גט</w:t>
      </w:r>
      <w:r w:rsidR="00F162ED">
        <w:rPr>
          <w:rFonts w:cs="Arial" w:hint="cs"/>
          <w:rtl/>
        </w:rPr>
        <w:t>,</w:t>
      </w:r>
      <w:r w:rsidRPr="00B75DD6">
        <w:rPr>
          <w:rFonts w:cs="Arial"/>
          <w:rtl/>
        </w:rPr>
        <w:t xml:space="preserve"> והרי יש כאן ס"ס היינו ספק דפלוגתא לצרף לספיקא דגוף הענין דשמא זה לא היה גוסס. ואף דאשה זו בחזקת זקוקה ליבם היתה וס"ל להט"ז ביו"ד ס"ס ק"י דהיכא שהס"ס סותר להחזקה עצמה אין הס"ס מועיל במקום אתחזיק</w:t>
      </w:r>
      <w:r w:rsidRPr="00B75DD6">
        <w:rPr>
          <w:rFonts w:cs="Arial" w:hint="cs"/>
          <w:rtl/>
        </w:rPr>
        <w:t>.</w:t>
      </w:r>
      <w:r w:rsidRPr="00B75DD6">
        <w:rPr>
          <w:rFonts w:cs="Arial"/>
          <w:rtl/>
        </w:rPr>
        <w:t xml:space="preserve"> מ"מ בנ"ד גם הט"ז מודה דכאן לא מחמת הס"ס אנו באים לגרע כח חזקת האיסור אלא ע"י חידוש מעשה הגט ממילא הורע כח החזקה ועל מעשה הגט אנו באים לידון בס"ס זו שהי' כדינו ואז החזקה ממילא לא תוסף כחה (זה צ"ע מדברי הט"ז שם שכ' ודומה לזה האשה שהיא בחזקת א"א ונולדו אח"כ ספיקות בגירושין כו' ע"ש. ועמ"ש מענין זה לעיל סי' יז סע</w:t>
      </w:r>
      <w:r w:rsidR="003A15A0">
        <w:rPr>
          <w:rFonts w:cs="Arial" w:hint="cs"/>
          <w:rtl/>
        </w:rPr>
        <w:t>'</w:t>
      </w:r>
      <w:r w:rsidRPr="00B75DD6">
        <w:rPr>
          <w:rFonts w:cs="Arial"/>
          <w:rtl/>
        </w:rPr>
        <w:t xml:space="preserve"> טו סקע"א)</w:t>
      </w:r>
      <w:r w:rsidR="00F162ED">
        <w:rPr>
          <w:rFonts w:cs="Arial" w:hint="cs"/>
          <w:rtl/>
        </w:rPr>
        <w:t>.</w:t>
      </w:r>
      <w:r w:rsidRPr="00B75DD6">
        <w:rPr>
          <w:rFonts w:cs="Arial"/>
          <w:rtl/>
        </w:rPr>
        <w:t xml:space="preserve"> ועוד דבנ"ד לא הוי אתחזיק איסורא כלל דנגד חזקת האיסור יש חזקת היתר חזקת חיות וצלילת דעת. ואף דהט"ז </w:t>
      </w:r>
      <w:r w:rsidR="00F162ED">
        <w:rPr>
          <w:rFonts w:cs="Arial" w:hint="cs"/>
          <w:rtl/>
        </w:rPr>
        <w:t>(</w:t>
      </w:r>
      <w:r w:rsidRPr="00B75DD6">
        <w:rPr>
          <w:rFonts w:cs="Arial"/>
          <w:rtl/>
        </w:rPr>
        <w:t>י</w:t>
      </w:r>
      <w:r w:rsidR="00F162ED">
        <w:rPr>
          <w:rFonts w:cs="Arial" w:hint="cs"/>
          <w:rtl/>
        </w:rPr>
        <w:t>ו</w:t>
      </w:r>
      <w:r w:rsidRPr="00B75DD6">
        <w:rPr>
          <w:rFonts w:cs="Arial"/>
          <w:rtl/>
        </w:rPr>
        <w:t>"ד סי' שצז</w:t>
      </w:r>
      <w:r w:rsidR="00F162ED">
        <w:rPr>
          <w:rFonts w:cs="Arial" w:hint="cs"/>
          <w:rtl/>
        </w:rPr>
        <w:t>)</w:t>
      </w:r>
      <w:r w:rsidRPr="00B75DD6">
        <w:rPr>
          <w:rFonts w:cs="Arial"/>
          <w:rtl/>
        </w:rPr>
        <w:t xml:space="preserve"> דעתו דהיכא דעתה כבר מת יותר אית לן למיזל בתר חזקה דהשתא לומר כבר מת מקודם ואע</w:t>
      </w:r>
      <w:r w:rsidR="00F162ED">
        <w:rPr>
          <w:rFonts w:cs="Arial" w:hint="cs"/>
          <w:rtl/>
        </w:rPr>
        <w:t>"</w:t>
      </w:r>
      <w:r w:rsidRPr="00B75DD6">
        <w:rPr>
          <w:rFonts w:cs="Arial"/>
          <w:rtl/>
        </w:rPr>
        <w:t xml:space="preserve">ג דבכל דוכתא קיי"ל חזקה קמייתא עדיפא מדהשתא כמו במקוה ובגבינות שאני מיתה דכל חי עומד למות כו' הנה הט"ז בעצמו בתשובה הנדפסת בשו"ת גאוני בתראי </w:t>
      </w:r>
      <w:r w:rsidR="00F162ED">
        <w:rPr>
          <w:rFonts w:cs="Arial" w:hint="cs"/>
          <w:rtl/>
        </w:rPr>
        <w:t>(</w:t>
      </w:r>
      <w:r w:rsidRPr="00B75DD6">
        <w:rPr>
          <w:rFonts w:cs="Arial"/>
          <w:rtl/>
        </w:rPr>
        <w:t>סי' ז</w:t>
      </w:r>
      <w:r w:rsidR="00F162ED">
        <w:rPr>
          <w:rFonts w:cs="Arial" w:hint="cs"/>
          <w:rtl/>
        </w:rPr>
        <w:t>)</w:t>
      </w:r>
      <w:r w:rsidRPr="00B75DD6">
        <w:rPr>
          <w:rFonts w:cs="Arial"/>
          <w:rtl/>
        </w:rPr>
        <w:t xml:space="preserve"> חזר בו וסובר דגם בכה"ג אזלי' בתר חזקה קמייתא כו'. ושוב כתב דאכתי הייתי חושש בדין זה לפ"ד הש"ך </w:t>
      </w:r>
      <w:r w:rsidR="00F162ED">
        <w:rPr>
          <w:rFonts w:cs="Arial" w:hint="cs"/>
          <w:rtl/>
        </w:rPr>
        <w:t>(</w:t>
      </w:r>
      <w:r w:rsidRPr="00B75DD6">
        <w:rPr>
          <w:rFonts w:cs="Arial"/>
          <w:rtl/>
        </w:rPr>
        <w:t>נה"כ סי' שצז שם</w:t>
      </w:r>
      <w:r w:rsidR="00F162ED">
        <w:rPr>
          <w:rFonts w:cs="Arial" w:hint="cs"/>
          <w:rtl/>
        </w:rPr>
        <w:t>)</w:t>
      </w:r>
      <w:r w:rsidRPr="00B75DD6">
        <w:rPr>
          <w:rFonts w:cs="Arial"/>
          <w:rtl/>
        </w:rPr>
        <w:t xml:space="preserve"> דהיכא שיש זמן ידוע לתלות ולומר שבזמן זה נפסק כח החזקה קמייתא והתחילה ריעותא לא אזלי' בתר חזקה קמייתא רק בתר חזקה דהשתא מאותו זמן הידוע א"כ בנ"ד אולי הפסקת כח הדבור בגסיסה תליא וכמ"ש התוס' </w:t>
      </w:r>
      <w:r w:rsidR="005742A0">
        <w:rPr>
          <w:rFonts w:cs="Arial" w:hint="cs"/>
          <w:rtl/>
        </w:rPr>
        <w:t>(</w:t>
      </w:r>
      <w:r w:rsidRPr="00B75DD6">
        <w:rPr>
          <w:rFonts w:cs="Arial"/>
          <w:rtl/>
        </w:rPr>
        <w:t>קדושין עח</w:t>
      </w:r>
      <w:r w:rsidR="005742A0">
        <w:rPr>
          <w:rFonts w:cs="Arial" w:hint="cs"/>
          <w:rtl/>
        </w:rPr>
        <w:t>:)</w:t>
      </w:r>
      <w:r w:rsidRPr="00B75DD6">
        <w:rPr>
          <w:rFonts w:cs="Arial"/>
          <w:rtl/>
        </w:rPr>
        <w:t xml:space="preserve"> והר"ן בפ' מי שאחזו דלהכי נקט שנפלו לו כשהוא גוסס משום דמסתמא גוסס א"י לדבר וא"כ יש זמן ידוע לתלות שמעת שנשתתק נעשה גוסס ובכה"ג לא אזלינן בתר החזקה קמייתא והדר הדין דיש להחמיר לחוש לדעת רמ"א דאולי לא היה שפוי בדעתו ולא מהני ליה אפי' בדיקה</w:t>
      </w:r>
      <w:r w:rsidR="00B75DD6" w:rsidRPr="00B75DD6">
        <w:rPr>
          <w:rFonts w:cs="Arial" w:hint="cs"/>
          <w:rtl/>
        </w:rPr>
        <w:t>.</w:t>
      </w:r>
      <w:r w:rsidRPr="00B75DD6">
        <w:rPr>
          <w:rFonts w:cs="Arial"/>
          <w:rtl/>
        </w:rPr>
        <w:t xml:space="preserve"> ועוד הייתי חוכך דאולי גם הפסק כל הדבור כאחד מסימני גוסס יחשב ע"פ דברי התוס' ור"ן הנ"ל ולא מקרי ספק גוסס. אך מצאתי להפ"י בקדושין שם שהכריע דעיקר כוונת התוס' הוא דסתם גוסס א"י לדבר מחמת שנטרפה דעתו</w:t>
      </w:r>
      <w:r w:rsidR="00B75DD6" w:rsidRPr="00B75DD6">
        <w:rPr>
          <w:rFonts w:cs="Arial" w:hint="cs"/>
          <w:rtl/>
        </w:rPr>
        <w:t>.</w:t>
      </w:r>
      <w:r w:rsidRPr="00B75DD6">
        <w:rPr>
          <w:rFonts w:cs="Arial"/>
          <w:rtl/>
        </w:rPr>
        <w:t xml:space="preserve"> </w:t>
      </w:r>
      <w:r w:rsidRPr="00B75DD6">
        <w:rPr>
          <w:rFonts w:cs="Arial"/>
          <w:rtl/>
        </w:rPr>
        <w:lastRenderedPageBreak/>
        <w:t>ומעתה בנ"ד שלא התחיל בו טריפת דעת בעת ההרכנה</w:t>
      </w:r>
      <w:r w:rsidR="003A15A0">
        <w:rPr>
          <w:rFonts w:cs="Arial" w:hint="cs"/>
          <w:rtl/>
        </w:rPr>
        <w:t>,</w:t>
      </w:r>
      <w:r w:rsidRPr="00B75DD6">
        <w:rPr>
          <w:rFonts w:cs="Arial"/>
          <w:rtl/>
        </w:rPr>
        <w:t xml:space="preserve"> שהרי ע"י הבדיקה שהוא היה שפוי בעת ההרכנה אחר שנשתתק אנו באים להתיר</w:t>
      </w:r>
      <w:r w:rsidR="003A15A0">
        <w:rPr>
          <w:rFonts w:cs="Arial" w:hint="cs"/>
          <w:rtl/>
        </w:rPr>
        <w:t>,</w:t>
      </w:r>
      <w:r w:rsidRPr="00B75DD6">
        <w:rPr>
          <w:rFonts w:cs="Arial"/>
          <w:rtl/>
        </w:rPr>
        <w:t xml:space="preserve"> אין מקום לחשש זה</w:t>
      </w:r>
      <w:r w:rsidR="00B75DD6" w:rsidRPr="00B75DD6">
        <w:rPr>
          <w:rFonts w:cs="Arial" w:hint="cs"/>
          <w:rtl/>
        </w:rPr>
        <w:t>.</w:t>
      </w:r>
    </w:p>
    <w:p w14:paraId="0215412B" w14:textId="77777777" w:rsidR="003A15A0" w:rsidRPr="003A15A0" w:rsidRDefault="003A15A0" w:rsidP="003A15A0">
      <w:pPr>
        <w:rPr>
          <w:rFonts w:cs="Arial"/>
          <w:rtl/>
        </w:rPr>
      </w:pPr>
    </w:p>
    <w:p w14:paraId="4D16E447" w14:textId="5ABF905C" w:rsidR="00486C31" w:rsidRDefault="00486C31" w:rsidP="00786DE6">
      <w:pPr>
        <w:pStyle w:val="2"/>
        <w:rPr>
          <w:rtl/>
        </w:rPr>
      </w:pPr>
      <w:r w:rsidRPr="00486C31">
        <w:rPr>
          <w:rtl/>
        </w:rPr>
        <w:t>סעיף ח</w:t>
      </w:r>
      <w:r w:rsidR="007D267E">
        <w:rPr>
          <w:rFonts w:hint="cs"/>
          <w:rtl/>
        </w:rPr>
        <w:t>:</w:t>
      </w:r>
      <w:r w:rsidR="00B75DD6">
        <w:rPr>
          <w:rFonts w:hint="cs"/>
          <w:rtl/>
        </w:rPr>
        <w:t xml:space="preserve"> מי שהולך למות מיד מחמת מכה.</w:t>
      </w:r>
    </w:p>
    <w:p w14:paraId="5CEF2794" w14:textId="7DBB133B" w:rsidR="00B71499" w:rsidRDefault="00B71499" w:rsidP="00B71499">
      <w:pPr>
        <w:rPr>
          <w:rtl/>
        </w:rPr>
      </w:pPr>
      <w:r>
        <w:rPr>
          <w:rFonts w:cs="Arial" w:hint="cs"/>
          <w:b/>
          <w:bCs/>
          <w:rtl/>
        </w:rPr>
        <w:t>גיטין</w:t>
      </w:r>
      <w:r w:rsidRPr="00462391">
        <w:rPr>
          <w:rFonts w:cs="Arial"/>
          <w:b/>
          <w:bCs/>
          <w:rtl/>
        </w:rPr>
        <w:t xml:space="preserve"> </w:t>
      </w:r>
      <w:r w:rsidRPr="00462391">
        <w:rPr>
          <w:rFonts w:cs="Arial" w:hint="cs"/>
          <w:b/>
          <w:bCs/>
          <w:sz w:val="16"/>
          <w:szCs w:val="16"/>
          <w:rtl/>
        </w:rPr>
        <w:t>(פ</w:t>
      </w:r>
      <w:r>
        <w:rPr>
          <w:rFonts w:cs="Arial" w:hint="cs"/>
          <w:b/>
          <w:bCs/>
          <w:sz w:val="16"/>
          <w:szCs w:val="16"/>
          <w:rtl/>
        </w:rPr>
        <w:t>'</w:t>
      </w:r>
      <w:r w:rsidRPr="00462391">
        <w:rPr>
          <w:rFonts w:cs="Arial"/>
          <w:b/>
          <w:bCs/>
          <w:sz w:val="16"/>
          <w:szCs w:val="16"/>
          <w:rtl/>
        </w:rPr>
        <w:t xml:space="preserve"> </w:t>
      </w:r>
      <w:r>
        <w:rPr>
          <w:rFonts w:cs="Arial" w:hint="cs"/>
          <w:b/>
          <w:bCs/>
          <w:sz w:val="16"/>
          <w:szCs w:val="16"/>
          <w:rtl/>
        </w:rPr>
        <w:t>מי שאחזו</w:t>
      </w:r>
      <w:r w:rsidRPr="00462391">
        <w:rPr>
          <w:rFonts w:cs="Arial" w:hint="cs"/>
          <w:b/>
          <w:bCs/>
          <w:sz w:val="16"/>
          <w:szCs w:val="16"/>
          <w:rtl/>
        </w:rPr>
        <w:t>)</w:t>
      </w:r>
      <w:r w:rsidRPr="00462391">
        <w:rPr>
          <w:rFonts w:cs="Arial"/>
          <w:b/>
          <w:bCs/>
          <w:rtl/>
        </w:rPr>
        <w:t xml:space="preserve"> </w:t>
      </w:r>
      <w:r>
        <w:rPr>
          <w:rFonts w:cs="Arial" w:hint="cs"/>
          <w:b/>
          <w:bCs/>
          <w:rtl/>
        </w:rPr>
        <w:t>ע</w:t>
      </w:r>
      <w:r w:rsidRPr="00462391">
        <w:rPr>
          <w:rFonts w:cs="Arial" w:hint="cs"/>
          <w:b/>
          <w:bCs/>
          <w:rtl/>
        </w:rPr>
        <w:t xml:space="preserve"> ע"</w:t>
      </w:r>
      <w:r>
        <w:rPr>
          <w:rFonts w:cs="Arial" w:hint="cs"/>
          <w:b/>
          <w:bCs/>
          <w:rtl/>
        </w:rPr>
        <w:t>ב</w:t>
      </w:r>
      <w:r w:rsidR="00211228">
        <w:rPr>
          <w:rStyle w:val="a7"/>
          <w:rFonts w:cs="Arial"/>
          <w:b/>
          <w:bCs/>
          <w:rtl/>
        </w:rPr>
        <w:footnoteReference w:id="349"/>
      </w:r>
      <w:r w:rsidRPr="00462391">
        <w:rPr>
          <w:rFonts w:cs="Arial"/>
          <w:b/>
          <w:bCs/>
          <w:rtl/>
        </w:rPr>
        <w:t>:</w:t>
      </w:r>
      <w:r w:rsidRPr="00462391">
        <w:rPr>
          <w:rFonts w:cs="Arial"/>
          <w:rtl/>
        </w:rPr>
        <w:t xml:space="preserve"> </w:t>
      </w:r>
      <w:r w:rsidRPr="00B71499">
        <w:rPr>
          <w:rFonts w:cs="Arial"/>
          <w:rtl/>
        </w:rPr>
        <w:t>אמר כתבו גט לאשתי ואחזו קורדייקוס</w:t>
      </w:r>
      <w:r>
        <w:rPr>
          <w:rFonts w:cs="Arial" w:hint="cs"/>
          <w:rtl/>
        </w:rPr>
        <w:t xml:space="preserve">... </w:t>
      </w:r>
      <w:r w:rsidRPr="00B71499">
        <w:rPr>
          <w:rFonts w:cs="Arial"/>
          <w:rtl/>
        </w:rPr>
        <w:t>ור' יוחנן אמר: אין כותבין אלא לכשישתפה.</w:t>
      </w:r>
      <w:r>
        <w:rPr>
          <w:rFonts w:cs="Arial" w:hint="cs"/>
          <w:rtl/>
        </w:rPr>
        <w:t>..</w:t>
      </w:r>
      <w:r w:rsidRPr="00B71499">
        <w:rPr>
          <w:rFonts w:cs="Arial"/>
          <w:rtl/>
        </w:rPr>
        <w:t xml:space="preserve"> ור' יוחנן מדמי ליה לשוטה.</w:t>
      </w:r>
      <w:r>
        <w:rPr>
          <w:rFonts w:cs="Arial" w:hint="cs"/>
          <w:rtl/>
        </w:rPr>
        <w:t>.</w:t>
      </w:r>
      <w:r w:rsidRPr="00B71499">
        <w:rPr>
          <w:rFonts w:cs="Arial"/>
          <w:rtl/>
        </w:rPr>
        <w:t xml:space="preserve">. ומי אמר ר' יוחנן הכי? </w:t>
      </w:r>
      <w:r w:rsidRPr="00B71499">
        <w:rPr>
          <w:rFonts w:cs="Arial"/>
          <w:u w:val="single"/>
          <w:rtl/>
        </w:rPr>
        <w:t>והאמר רב יהודה אמר שמואל</w:t>
      </w:r>
      <w:r w:rsidRPr="00B71499">
        <w:rPr>
          <w:rFonts w:cs="Arial"/>
          <w:rtl/>
        </w:rPr>
        <w:t xml:space="preserve">: שחט בו שנים או רוב שנים, ורמז ואמר כתבו גט לאשתי </w:t>
      </w:r>
      <w:r w:rsidR="00A82951">
        <w:rPr>
          <w:rFonts w:cs="Arial"/>
          <w:rtl/>
        </w:rPr>
        <w:t>-</w:t>
      </w:r>
      <w:r w:rsidRPr="00B71499">
        <w:rPr>
          <w:rFonts w:cs="Arial"/>
          <w:rtl/>
        </w:rPr>
        <w:t xml:space="preserve"> הרי אלו יכתבו ויתנו</w:t>
      </w:r>
      <w:r>
        <w:rPr>
          <w:rFonts w:cs="Arial" w:hint="cs"/>
          <w:rtl/>
        </w:rPr>
        <w:t>.</w:t>
      </w:r>
      <w:r w:rsidRPr="00B71499">
        <w:rPr>
          <w:rFonts w:cs="Arial"/>
          <w:rtl/>
        </w:rPr>
        <w:t xml:space="preserve"> ותניא: ראוהו מגויד או צלוב על הצליבה, ורמז ואמר כתבו גט לאשתי </w:t>
      </w:r>
      <w:r w:rsidR="00A82951">
        <w:rPr>
          <w:rFonts w:cs="Arial"/>
          <w:rtl/>
        </w:rPr>
        <w:t>-</w:t>
      </w:r>
      <w:r w:rsidRPr="00B71499">
        <w:rPr>
          <w:rFonts w:cs="Arial"/>
          <w:rtl/>
        </w:rPr>
        <w:t xml:space="preserve"> הרי אלו יכתבו ויתנו! הכי השתא, התם דעתא צילותא היא, וכחישותא הוא דאתחילה ביה, הכא דעתא שגישתא היא.</w:t>
      </w:r>
    </w:p>
    <w:p w14:paraId="2A578D83" w14:textId="26A5DE50" w:rsidR="001D2006" w:rsidRDefault="001D2006" w:rsidP="00B71499">
      <w:pPr>
        <w:rPr>
          <w:rtl/>
        </w:rPr>
      </w:pPr>
      <w:r>
        <w:rPr>
          <w:rFonts w:cs="Arial" w:hint="cs"/>
          <w:b/>
          <w:bCs/>
          <w:rtl/>
        </w:rPr>
        <w:t>תוספתא גיטין פ"ד ה"ח:</w:t>
      </w:r>
      <w:r>
        <w:rPr>
          <w:rFonts w:cs="Arial" w:hint="cs"/>
          <w:rtl/>
        </w:rPr>
        <w:t xml:space="preserve">... </w:t>
      </w:r>
      <w:r w:rsidRPr="001D2006">
        <w:rPr>
          <w:rFonts w:cs="Arial"/>
          <w:rtl/>
        </w:rPr>
        <w:t>בארי שאמ</w:t>
      </w:r>
      <w:r>
        <w:rPr>
          <w:rFonts w:cs="Arial" w:hint="cs"/>
          <w:rtl/>
        </w:rPr>
        <w:t>ר</w:t>
      </w:r>
      <w:r w:rsidRPr="001D2006">
        <w:rPr>
          <w:rFonts w:cs="Arial"/>
          <w:rtl/>
        </w:rPr>
        <w:t xml:space="preserve"> כתבו גט לאשתי</w:t>
      </w:r>
      <w:r w:rsidR="000C68EA">
        <w:rPr>
          <w:rFonts w:cs="Arial" w:hint="cs"/>
          <w:rtl/>
        </w:rPr>
        <w:t>,</w:t>
      </w:r>
      <w:r w:rsidRPr="001D2006">
        <w:rPr>
          <w:rFonts w:cs="Arial"/>
          <w:rtl/>
        </w:rPr>
        <w:t xml:space="preserve"> ועלה לראש הגג ונפל </w:t>
      </w:r>
      <w:r w:rsidR="000C68EA">
        <w:rPr>
          <w:rFonts w:cs="Arial" w:hint="cs"/>
          <w:rtl/>
        </w:rPr>
        <w:t xml:space="preserve">- </w:t>
      </w:r>
      <w:r w:rsidRPr="001D2006">
        <w:rPr>
          <w:rFonts w:cs="Arial"/>
          <w:rtl/>
        </w:rPr>
        <w:t>כותבין ונותנין לה כל זמן שיש בו נשמה</w:t>
      </w:r>
      <w:r>
        <w:rPr>
          <w:rFonts w:hint="cs"/>
          <w:rtl/>
        </w:rPr>
        <w:t>.</w:t>
      </w:r>
      <w:r w:rsidRPr="001D2006">
        <w:rPr>
          <w:rtl/>
        </w:rPr>
        <w:t xml:space="preserve"> </w:t>
      </w:r>
      <w:r w:rsidRPr="001D2006">
        <w:rPr>
          <w:rFonts w:cs="Arial"/>
          <w:u w:val="single"/>
          <w:rtl/>
        </w:rPr>
        <w:t>רבן שמעון בן גמליאל או</w:t>
      </w:r>
      <w:r w:rsidRPr="001D2006">
        <w:rPr>
          <w:rFonts w:cs="Arial" w:hint="cs"/>
          <w:u w:val="single"/>
          <w:rtl/>
        </w:rPr>
        <w:t>מר</w:t>
      </w:r>
      <w:r>
        <w:rPr>
          <w:rFonts w:cs="Arial" w:hint="cs"/>
          <w:rtl/>
        </w:rPr>
        <w:t>:</w:t>
      </w:r>
      <w:r w:rsidRPr="001D2006">
        <w:rPr>
          <w:rFonts w:cs="Arial"/>
          <w:rtl/>
        </w:rPr>
        <w:t xml:space="preserve"> אם מעצמו נפל </w:t>
      </w:r>
      <w:r w:rsidR="000C68EA">
        <w:rPr>
          <w:rFonts w:cs="Arial" w:hint="cs"/>
          <w:rtl/>
        </w:rPr>
        <w:t xml:space="preserve">- </w:t>
      </w:r>
      <w:r w:rsidRPr="001D2006">
        <w:rPr>
          <w:rFonts w:cs="Arial"/>
          <w:rtl/>
        </w:rPr>
        <w:t>הרי זה גט</w:t>
      </w:r>
      <w:r w:rsidR="000C68EA">
        <w:rPr>
          <w:rFonts w:cs="Arial" w:hint="cs"/>
          <w:rtl/>
        </w:rPr>
        <w:t>.</w:t>
      </w:r>
      <w:r w:rsidRPr="001D2006">
        <w:rPr>
          <w:rFonts w:cs="Arial"/>
          <w:rtl/>
        </w:rPr>
        <w:t xml:space="preserve"> אם לאחר זמן נפל </w:t>
      </w:r>
      <w:r w:rsidR="000C68EA">
        <w:rPr>
          <w:rFonts w:cs="Arial" w:hint="cs"/>
          <w:rtl/>
        </w:rPr>
        <w:t xml:space="preserve">- </w:t>
      </w:r>
      <w:r w:rsidRPr="001D2006">
        <w:rPr>
          <w:rFonts w:cs="Arial"/>
          <w:rtl/>
        </w:rPr>
        <w:t>כותבין ואין נותנין</w:t>
      </w:r>
      <w:r w:rsidR="000C68EA">
        <w:rPr>
          <w:rFonts w:cs="Arial" w:hint="cs"/>
          <w:rtl/>
        </w:rPr>
        <w:t>,</w:t>
      </w:r>
      <w:r w:rsidRPr="001D2006">
        <w:rPr>
          <w:rFonts w:cs="Arial"/>
          <w:rtl/>
        </w:rPr>
        <w:t xml:space="preserve"> שאני אומ' הרוח דחפתו</w:t>
      </w:r>
      <w:r>
        <w:rPr>
          <w:rFonts w:hint="cs"/>
          <w:rtl/>
        </w:rPr>
        <w:t>.</w:t>
      </w:r>
    </w:p>
    <w:p w14:paraId="6E7D409B" w14:textId="3447A977" w:rsidR="001D2006" w:rsidRPr="00B71499" w:rsidRDefault="001D2006" w:rsidP="00B71499">
      <w:pPr>
        <w:rPr>
          <w:rtl/>
        </w:rPr>
      </w:pPr>
      <w:r>
        <w:rPr>
          <w:rFonts w:cs="Arial" w:hint="cs"/>
          <w:b/>
          <w:bCs/>
          <w:rtl/>
        </w:rPr>
        <w:t xml:space="preserve">תוספתא גיטין פ"ה ה"א: </w:t>
      </w:r>
      <w:r w:rsidRPr="001D2006">
        <w:rPr>
          <w:rFonts w:cs="Arial"/>
          <w:rtl/>
        </w:rPr>
        <w:t xml:space="preserve">היה צלוב ומגוייד ורמז לכתוב גט לאשתו </w:t>
      </w:r>
      <w:r w:rsidR="000C68EA">
        <w:rPr>
          <w:rFonts w:cs="Arial" w:hint="cs"/>
          <w:rtl/>
        </w:rPr>
        <w:t xml:space="preserve">- </w:t>
      </w:r>
      <w:r w:rsidRPr="001D2006">
        <w:rPr>
          <w:rFonts w:cs="Arial"/>
          <w:rtl/>
        </w:rPr>
        <w:t>כותבין ונותנין לה כל זמן שיש בו נשמה</w:t>
      </w:r>
      <w:r>
        <w:rPr>
          <w:rFonts w:cs="Arial" w:hint="cs"/>
          <w:rtl/>
        </w:rPr>
        <w:t>.</w:t>
      </w:r>
      <w:r w:rsidRPr="001D2006">
        <w:rPr>
          <w:rFonts w:cs="Arial"/>
          <w:rtl/>
        </w:rPr>
        <w:t xml:space="preserve"> היה חולה ומשותק</w:t>
      </w:r>
      <w:r w:rsidR="000C68EA">
        <w:rPr>
          <w:rFonts w:cs="Arial" w:hint="cs"/>
          <w:rtl/>
        </w:rPr>
        <w:t>,</w:t>
      </w:r>
      <w:r w:rsidRPr="001D2006">
        <w:rPr>
          <w:rFonts w:cs="Arial"/>
          <w:rtl/>
        </w:rPr>
        <w:t xml:space="preserve"> אמרו לו נכתוב גט לאשתך</w:t>
      </w:r>
      <w:r>
        <w:rPr>
          <w:rFonts w:cs="Arial" w:hint="cs"/>
          <w:rtl/>
        </w:rPr>
        <w:t>,</w:t>
      </w:r>
      <w:r w:rsidRPr="001D2006">
        <w:rPr>
          <w:rFonts w:cs="Arial"/>
          <w:rtl/>
        </w:rPr>
        <w:t xml:space="preserve"> הרכין בראשו</w:t>
      </w:r>
      <w:r>
        <w:rPr>
          <w:rFonts w:cs="Arial" w:hint="cs"/>
          <w:rtl/>
        </w:rPr>
        <w:t>,</w:t>
      </w:r>
      <w:r w:rsidRPr="001D2006">
        <w:rPr>
          <w:rFonts w:cs="Arial"/>
          <w:rtl/>
        </w:rPr>
        <w:t xml:space="preserve"> בודקין אותו שלשה פעמים אם אמ</w:t>
      </w:r>
      <w:r>
        <w:rPr>
          <w:rFonts w:cs="Arial" w:hint="cs"/>
          <w:rtl/>
        </w:rPr>
        <w:t>ר</w:t>
      </w:r>
      <w:r w:rsidRPr="001D2006">
        <w:rPr>
          <w:rFonts w:cs="Arial"/>
          <w:rtl/>
        </w:rPr>
        <w:t xml:space="preserve"> על ליו ליו ועל הן הן </w:t>
      </w:r>
      <w:r w:rsidR="000C68EA">
        <w:rPr>
          <w:rFonts w:cs="Arial" w:hint="cs"/>
          <w:rtl/>
        </w:rPr>
        <w:t xml:space="preserve">- </w:t>
      </w:r>
      <w:r w:rsidRPr="001D2006">
        <w:rPr>
          <w:rFonts w:cs="Arial"/>
          <w:rtl/>
        </w:rPr>
        <w:t>דבריו קיימין</w:t>
      </w:r>
      <w:r>
        <w:rPr>
          <w:rFonts w:cs="Arial" w:hint="cs"/>
          <w:rtl/>
        </w:rPr>
        <w:t>...</w:t>
      </w:r>
    </w:p>
    <w:p w14:paraId="2B85F445" w14:textId="3342FDD2" w:rsidR="00B75DD6" w:rsidRPr="00B75DD6" w:rsidRDefault="00B75DD6" w:rsidP="00B75DD6">
      <w:pPr>
        <w:rPr>
          <w:u w:val="single"/>
          <w:rtl/>
        </w:rPr>
      </w:pPr>
      <w:r w:rsidRPr="00B75DD6">
        <w:rPr>
          <w:rFonts w:hint="cs"/>
          <w:u w:val="single"/>
          <w:rtl/>
        </w:rPr>
        <w:t xml:space="preserve">מי שהולך למות מיד מחמת מכה </w:t>
      </w:r>
      <w:r w:rsidR="00A82951">
        <w:rPr>
          <w:u w:val="single"/>
          <w:rtl/>
        </w:rPr>
        <w:t>-</w:t>
      </w:r>
      <w:r w:rsidRPr="00B75DD6">
        <w:rPr>
          <w:rFonts w:hint="cs"/>
          <w:u w:val="single"/>
          <w:rtl/>
        </w:rPr>
        <w:t xml:space="preserve"> ואמר כתבו גט לאשתי:</w:t>
      </w:r>
    </w:p>
    <w:p w14:paraId="4B85BBC2" w14:textId="6EF39B41" w:rsidR="00211228" w:rsidRPr="00211228" w:rsidRDefault="00624B55" w:rsidP="00A65C5F">
      <w:pPr>
        <w:pStyle w:val="ab"/>
        <w:numPr>
          <w:ilvl w:val="0"/>
          <w:numId w:val="30"/>
        </w:numPr>
      </w:pPr>
      <w:r>
        <w:rPr>
          <w:rFonts w:cs="Arial" w:hint="cs"/>
          <w:rtl/>
        </w:rPr>
        <w:t>טור</w:t>
      </w:r>
      <w:r w:rsidR="00A82951">
        <w:rPr>
          <w:rFonts w:cs="Arial" w:hint="cs"/>
          <w:rtl/>
        </w:rPr>
        <w:t>-</w:t>
      </w:r>
      <w:r>
        <w:rPr>
          <w:rFonts w:cs="Arial" w:hint="cs"/>
          <w:rtl/>
        </w:rPr>
        <w:t xml:space="preserve"> </w:t>
      </w:r>
      <w:r w:rsidRPr="00BE2DBA">
        <w:rPr>
          <w:rFonts w:cs="Arial"/>
          <w:rtl/>
        </w:rPr>
        <w:t>שחטו בו שנים או רוב שנים</w:t>
      </w:r>
      <w:r w:rsidR="00BB5171">
        <w:rPr>
          <w:rFonts w:cs="Arial" w:hint="cs"/>
          <w:rtl/>
        </w:rPr>
        <w:t>,</w:t>
      </w:r>
      <w:r w:rsidRPr="00BE2DBA">
        <w:rPr>
          <w:rFonts w:cs="Arial"/>
          <w:rtl/>
        </w:rPr>
        <w:t xml:space="preserve"> וכן ראוהו מגוייד או צלוב והחיה אוכלת בו</w:t>
      </w:r>
      <w:r w:rsidR="00BB5171">
        <w:rPr>
          <w:rFonts w:cs="Arial" w:hint="cs"/>
          <w:rtl/>
        </w:rPr>
        <w:t>,</w:t>
      </w:r>
      <w:r w:rsidRPr="00BE2DBA">
        <w:rPr>
          <w:rFonts w:cs="Arial"/>
          <w:rtl/>
        </w:rPr>
        <w:t xml:space="preserve"> ורמז ואמר כתבו גט לאשתי </w:t>
      </w:r>
      <w:r w:rsidR="00BB5171">
        <w:rPr>
          <w:rFonts w:cs="Arial" w:hint="cs"/>
          <w:rtl/>
        </w:rPr>
        <w:t xml:space="preserve">- </w:t>
      </w:r>
      <w:r w:rsidRPr="00BE2DBA">
        <w:rPr>
          <w:rFonts w:cs="Arial"/>
          <w:rtl/>
        </w:rPr>
        <w:t>כותבין ונותנין כל עוד שנשמתו בו אע</w:t>
      </w:r>
      <w:r w:rsidR="00BB5171">
        <w:rPr>
          <w:rFonts w:cs="Arial" w:hint="cs"/>
          <w:rtl/>
        </w:rPr>
        <w:t>"</w:t>
      </w:r>
      <w:r w:rsidRPr="00BE2DBA">
        <w:rPr>
          <w:rFonts w:cs="Arial"/>
          <w:rtl/>
        </w:rPr>
        <w:t>פ שבודאי ימות מהמכה</w:t>
      </w:r>
      <w:r>
        <w:rPr>
          <w:rFonts w:cs="Arial" w:hint="cs"/>
          <w:rtl/>
        </w:rPr>
        <w:t>.</w:t>
      </w:r>
      <w:r w:rsidR="00211228" w:rsidRPr="00211228">
        <w:rPr>
          <w:rFonts w:cs="Arial" w:hint="cs"/>
          <w:color w:val="E36C0A" w:themeColor="accent6" w:themeShade="BF"/>
          <w:rtl/>
        </w:rPr>
        <w:t xml:space="preserve"> </w:t>
      </w:r>
      <w:r w:rsidR="00211228" w:rsidRPr="007D43B5">
        <w:rPr>
          <w:rFonts w:cs="Arial" w:hint="cs"/>
          <w:color w:val="E36C0A" w:themeColor="accent6" w:themeShade="BF"/>
          <w:rtl/>
        </w:rPr>
        <w:t>(וכ"פ בשו"ע)</w:t>
      </w:r>
    </w:p>
    <w:p w14:paraId="40CBE8AE" w14:textId="6E9EE97E" w:rsidR="00211228" w:rsidRPr="00211228" w:rsidRDefault="00211228" w:rsidP="00211228">
      <w:pPr>
        <w:ind w:left="360"/>
        <w:rPr>
          <w:u w:val="dotted"/>
        </w:rPr>
      </w:pPr>
      <w:r w:rsidRPr="00211228">
        <w:rPr>
          <w:rFonts w:hint="cs"/>
          <w:u w:val="dotted"/>
          <w:rtl/>
        </w:rPr>
        <w:t>האם צריך לבודקו:</w:t>
      </w:r>
    </w:p>
    <w:p w14:paraId="10630D32" w14:textId="1297F225" w:rsidR="00211228" w:rsidRPr="00211228" w:rsidRDefault="00211228" w:rsidP="00A65C5F">
      <w:pPr>
        <w:pStyle w:val="ab"/>
        <w:numPr>
          <w:ilvl w:val="0"/>
          <w:numId w:val="30"/>
        </w:numPr>
      </w:pPr>
      <w:r>
        <w:rPr>
          <w:rFonts w:cs="Arial" w:hint="cs"/>
          <w:rtl/>
        </w:rPr>
        <w:t>תוס'</w:t>
      </w:r>
      <w:r w:rsidR="005E486B" w:rsidRPr="00211228">
        <w:rPr>
          <w:rFonts w:cs="Arial"/>
          <w:rtl/>
        </w:rPr>
        <w:t xml:space="preserve"> </w:t>
      </w:r>
      <w:r w:rsidR="005E486B" w:rsidRPr="00211228">
        <w:rPr>
          <w:rFonts w:cs="Arial"/>
          <w:sz w:val="16"/>
          <w:szCs w:val="16"/>
          <w:rtl/>
        </w:rPr>
        <w:t>(גיטין ע: ד"ה ורמז)</w:t>
      </w:r>
      <w:r w:rsidR="00A82951">
        <w:rPr>
          <w:rFonts w:cs="Arial" w:hint="cs"/>
          <w:rtl/>
        </w:rPr>
        <w:t>-</w:t>
      </w:r>
      <w:r w:rsidR="005E486B" w:rsidRPr="00211228">
        <w:rPr>
          <w:rFonts w:cs="Arial"/>
          <w:rtl/>
        </w:rPr>
        <w:t xml:space="preserve"> ורמז ואמר כתבו גט לאשתי כגון שאמרו לו נכתוב גט לאשתך והרכין בראשו</w:t>
      </w:r>
      <w:r w:rsidR="00BB5171">
        <w:rPr>
          <w:rFonts w:cs="Arial" w:hint="cs"/>
          <w:rtl/>
        </w:rPr>
        <w:t>,</w:t>
      </w:r>
      <w:r w:rsidR="005E486B" w:rsidRPr="00211228">
        <w:rPr>
          <w:rFonts w:cs="Arial"/>
          <w:rtl/>
        </w:rPr>
        <w:t xml:space="preserve"> ושמא אין צריך לבדקו משום דאית ביה דעתא צילתא</w:t>
      </w:r>
      <w:r>
        <w:rPr>
          <w:rStyle w:val="a7"/>
          <w:rFonts w:cs="Arial"/>
          <w:rtl/>
        </w:rPr>
        <w:footnoteReference w:id="350"/>
      </w:r>
      <w:r>
        <w:rPr>
          <w:rFonts w:cs="Arial" w:hint="cs"/>
          <w:rtl/>
        </w:rPr>
        <w:t>.</w:t>
      </w:r>
    </w:p>
    <w:p w14:paraId="62C6CF4E" w14:textId="298796DA" w:rsidR="00211228" w:rsidRPr="00211228" w:rsidRDefault="00211228" w:rsidP="00A65C5F">
      <w:pPr>
        <w:pStyle w:val="ab"/>
        <w:numPr>
          <w:ilvl w:val="0"/>
          <w:numId w:val="30"/>
        </w:numPr>
      </w:pPr>
      <w:r>
        <w:rPr>
          <w:rFonts w:cs="Arial" w:hint="cs"/>
          <w:rtl/>
        </w:rPr>
        <w:t xml:space="preserve">רי"ו </w:t>
      </w:r>
      <w:r w:rsidRPr="00211228">
        <w:rPr>
          <w:rFonts w:cs="Arial" w:hint="cs"/>
          <w:sz w:val="16"/>
          <w:szCs w:val="16"/>
          <w:rtl/>
        </w:rPr>
        <w:t>(</w:t>
      </w:r>
      <w:r w:rsidR="005E486B" w:rsidRPr="00211228">
        <w:rPr>
          <w:rFonts w:cs="Arial"/>
          <w:sz w:val="16"/>
          <w:szCs w:val="16"/>
          <w:rtl/>
        </w:rPr>
        <w:t>ח</w:t>
      </w:r>
      <w:r w:rsidRPr="00211228">
        <w:rPr>
          <w:rFonts w:cs="Arial" w:hint="cs"/>
          <w:sz w:val="16"/>
          <w:szCs w:val="16"/>
          <w:rtl/>
        </w:rPr>
        <w:t>"ד</w:t>
      </w:r>
      <w:r w:rsidR="005E486B" w:rsidRPr="00211228">
        <w:rPr>
          <w:rFonts w:cs="Arial"/>
          <w:sz w:val="16"/>
          <w:szCs w:val="16"/>
          <w:rtl/>
        </w:rPr>
        <w:t xml:space="preserve"> נכ"ד רי ע"ג)</w:t>
      </w:r>
      <w:r w:rsidR="00A82951">
        <w:rPr>
          <w:rFonts w:cs="Arial" w:hint="cs"/>
          <w:rtl/>
        </w:rPr>
        <w:t>-</w:t>
      </w:r>
      <w:r w:rsidR="005E486B" w:rsidRPr="00211228">
        <w:rPr>
          <w:rFonts w:cs="Arial"/>
          <w:rtl/>
        </w:rPr>
        <w:t xml:space="preserve"> אינו צריך בדיקה. </w:t>
      </w:r>
    </w:p>
    <w:p w14:paraId="2B99F2D3" w14:textId="59467BEF" w:rsidR="007D267E" w:rsidRPr="007D267E" w:rsidRDefault="005E486B" w:rsidP="00A65C5F">
      <w:pPr>
        <w:pStyle w:val="ab"/>
        <w:numPr>
          <w:ilvl w:val="0"/>
          <w:numId w:val="30"/>
        </w:numPr>
        <w:rPr>
          <w:rtl/>
        </w:rPr>
      </w:pPr>
      <w:r w:rsidRPr="00211228">
        <w:rPr>
          <w:rFonts w:cs="Arial"/>
          <w:rtl/>
        </w:rPr>
        <w:t>ר"ן</w:t>
      </w:r>
      <w:r w:rsidRPr="00211228">
        <w:rPr>
          <w:rFonts w:cs="Arial"/>
          <w:sz w:val="16"/>
          <w:szCs w:val="16"/>
          <w:rtl/>
        </w:rPr>
        <w:t xml:space="preserve"> </w:t>
      </w:r>
      <w:r w:rsidR="00211228" w:rsidRPr="00211228">
        <w:rPr>
          <w:rFonts w:cs="Arial" w:hint="cs"/>
          <w:sz w:val="16"/>
          <w:szCs w:val="16"/>
          <w:rtl/>
        </w:rPr>
        <w:t>(ר"פ</w:t>
      </w:r>
      <w:r w:rsidRPr="00211228">
        <w:rPr>
          <w:rFonts w:cs="Arial"/>
          <w:sz w:val="16"/>
          <w:szCs w:val="16"/>
          <w:rtl/>
        </w:rPr>
        <w:t xml:space="preserve"> מי שאחזו לד. דיבור ראשון)</w:t>
      </w:r>
      <w:r w:rsidR="00A82951">
        <w:rPr>
          <w:rFonts w:cs="Arial" w:hint="cs"/>
          <w:rtl/>
        </w:rPr>
        <w:t>-</w:t>
      </w:r>
      <w:r w:rsidRPr="00211228">
        <w:rPr>
          <w:rFonts w:cs="Arial"/>
          <w:rtl/>
        </w:rPr>
        <w:t xml:space="preserve"> </w:t>
      </w:r>
      <w:r w:rsidR="00211228">
        <w:rPr>
          <w:rFonts w:cs="Arial" w:hint="cs"/>
          <w:rtl/>
        </w:rPr>
        <w:t>אני</w:t>
      </w:r>
      <w:r w:rsidRPr="00211228">
        <w:rPr>
          <w:rFonts w:cs="Arial"/>
          <w:rtl/>
        </w:rPr>
        <w:t xml:space="preserve"> חוכך להחמיר להצריך בדיקה בכל נשתתק</w:t>
      </w:r>
      <w:r w:rsidR="00211228">
        <w:rPr>
          <w:rFonts w:cs="Arial" w:hint="cs"/>
          <w:rtl/>
        </w:rPr>
        <w:t>,</w:t>
      </w:r>
      <w:r w:rsidRPr="00211228">
        <w:rPr>
          <w:rFonts w:cs="Arial"/>
          <w:rtl/>
        </w:rPr>
        <w:t xml:space="preserve"> אפילו בשחט בו רוב שנים</w:t>
      </w:r>
      <w:r w:rsidR="00211228">
        <w:rPr>
          <w:rFonts w:cs="Arial" w:hint="cs"/>
          <w:rtl/>
        </w:rPr>
        <w:t>.</w:t>
      </w:r>
      <w:r w:rsidRPr="00211228">
        <w:rPr>
          <w:rFonts w:cs="Arial"/>
          <w:rtl/>
        </w:rPr>
        <w:t xml:space="preserve"> ודמי לנשתתק מתוך חליו דלדברי הירושלמי (גיטין פ"ז ה"א) אינו צריך בדיקה אלא פעם אחת</w:t>
      </w:r>
      <w:r w:rsidR="00211228">
        <w:rPr>
          <w:rFonts w:cs="Arial" w:hint="cs"/>
          <w:rtl/>
        </w:rPr>
        <w:t>.</w:t>
      </w:r>
      <w:r w:rsidRPr="00211228">
        <w:rPr>
          <w:rFonts w:cs="Arial"/>
          <w:rtl/>
        </w:rPr>
        <w:t xml:space="preserve"> אלא שמן התוספתא (גיטין פ"ה ה"א) נראה שצריך בדיקה שלשה פעמים</w:t>
      </w:r>
      <w:r w:rsidR="00211228">
        <w:rPr>
          <w:rFonts w:cs="Arial" w:hint="cs"/>
          <w:rtl/>
        </w:rPr>
        <w:t xml:space="preserve">... </w:t>
      </w:r>
      <w:r w:rsidRPr="00211228">
        <w:rPr>
          <w:rFonts w:cs="Arial"/>
          <w:rtl/>
        </w:rPr>
        <w:t>ובנפל מן הגג תניא בתוספתא (שם) דכותבין ונותנין כל זמן שיש בו נשמה</w:t>
      </w:r>
      <w:r w:rsidR="00211228" w:rsidRPr="00211228">
        <w:rPr>
          <w:rFonts w:cs="Arial" w:hint="cs"/>
          <w:rtl/>
        </w:rPr>
        <w:t>.</w:t>
      </w:r>
      <w:r w:rsidRPr="00211228">
        <w:rPr>
          <w:rFonts w:cs="Arial"/>
          <w:rtl/>
        </w:rPr>
        <w:t xml:space="preserve"> ואיכא מאן דאמר דאפילו לדעת הירושלמי בעי בדיקה שלשה פעמים</w:t>
      </w:r>
      <w:r w:rsidR="00211228" w:rsidRPr="00211228">
        <w:rPr>
          <w:rFonts w:cs="Arial" w:hint="cs"/>
          <w:rtl/>
        </w:rPr>
        <w:t>,</w:t>
      </w:r>
      <w:r w:rsidRPr="00211228">
        <w:rPr>
          <w:rFonts w:cs="Arial"/>
          <w:rtl/>
        </w:rPr>
        <w:t xml:space="preserve"> דהוי כנשתתק מתוך בוריו</w:t>
      </w:r>
      <w:r w:rsidR="00211228" w:rsidRPr="00211228">
        <w:rPr>
          <w:rFonts w:cs="Arial" w:hint="cs"/>
          <w:rtl/>
        </w:rPr>
        <w:t>,</w:t>
      </w:r>
      <w:r w:rsidRPr="00211228">
        <w:rPr>
          <w:rFonts w:cs="Arial"/>
          <w:rtl/>
        </w:rPr>
        <w:t xml:space="preserve"> שהרי יש לחוש שמתוך הנפילה נטרפה דעתו עליו</w:t>
      </w:r>
      <w:r w:rsidR="007E5192">
        <w:rPr>
          <w:rStyle w:val="a7"/>
          <w:rFonts w:cs="Arial"/>
          <w:rtl/>
        </w:rPr>
        <w:footnoteReference w:id="351"/>
      </w:r>
      <w:r w:rsidR="00211228" w:rsidRPr="00211228">
        <w:rPr>
          <w:rFonts w:cs="Arial" w:hint="cs"/>
          <w:rtl/>
        </w:rPr>
        <w:t>.</w:t>
      </w:r>
      <w:r w:rsidR="00211228">
        <w:rPr>
          <w:rFonts w:hint="cs"/>
          <w:rtl/>
        </w:rPr>
        <w:t xml:space="preserve"> </w:t>
      </w:r>
      <w:r w:rsidR="00211228" w:rsidRPr="007D43B5">
        <w:rPr>
          <w:rFonts w:hint="cs"/>
          <w:color w:val="00B0F0"/>
          <w:rtl/>
        </w:rPr>
        <w:t>(וכ"פ הרמ"א)</w:t>
      </w:r>
    </w:p>
    <w:p w14:paraId="698DF8FE" w14:textId="77777777" w:rsidR="00A243D9" w:rsidRPr="007B74F1" w:rsidRDefault="00A243D9" w:rsidP="00A243D9">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BDB5F6D" w14:textId="4C688C0B" w:rsidR="00486C31" w:rsidRDefault="00486C31" w:rsidP="00486C31">
      <w:pPr>
        <w:rPr>
          <w:rFonts w:cs="Arial"/>
          <w:rtl/>
        </w:rPr>
      </w:pPr>
      <w:r w:rsidRPr="00486C31">
        <w:rPr>
          <w:rFonts w:cs="Arial"/>
          <w:rtl/>
        </w:rPr>
        <w:t>שחטו בו שנים או רוב שנים, וכן אם היה מגוייד או צלוב והחיה אוכלת בו, ורמז ואמר: כתבו גט לאשתי, כותבין ונותנין כל עוד שנשמתו בו. והוא הדין לנפל מן הגג</w:t>
      </w:r>
      <w:r w:rsidR="00A06362">
        <w:rPr>
          <w:rFonts w:cs="Arial" w:hint="cs"/>
          <w:rtl/>
        </w:rPr>
        <w:t>.</w:t>
      </w:r>
      <w:r w:rsidRPr="00486C31">
        <w:rPr>
          <w:rFonts w:cs="Arial"/>
          <w:rtl/>
        </w:rPr>
        <w:t xml:space="preserve"> </w:t>
      </w:r>
      <w:r w:rsidR="001D2006">
        <w:rPr>
          <w:rFonts w:cs="Arial" w:hint="cs"/>
          <w:sz w:val="18"/>
          <w:szCs w:val="18"/>
          <w:rtl/>
        </w:rPr>
        <w:t xml:space="preserve">[הגה] </w:t>
      </w:r>
      <w:r w:rsidRPr="00A06362">
        <w:rPr>
          <w:rFonts w:cs="Arial"/>
          <w:sz w:val="18"/>
          <w:szCs w:val="18"/>
          <w:rtl/>
        </w:rPr>
        <w:t>מיהו</w:t>
      </w:r>
      <w:r w:rsidR="00211228">
        <w:rPr>
          <w:rFonts w:cs="Arial" w:hint="cs"/>
          <w:sz w:val="18"/>
          <w:szCs w:val="18"/>
          <w:rtl/>
        </w:rPr>
        <w:t xml:space="preserve"> </w:t>
      </w:r>
      <w:r w:rsidRPr="00A06362">
        <w:rPr>
          <w:rFonts w:cs="Arial"/>
          <w:sz w:val="18"/>
          <w:szCs w:val="18"/>
          <w:rtl/>
        </w:rPr>
        <w:t>צריך בדיקה ג' פעמים</w:t>
      </w:r>
      <w:r w:rsidR="001B1C6A">
        <w:rPr>
          <w:rStyle w:val="a7"/>
          <w:rFonts w:cs="Arial"/>
          <w:sz w:val="18"/>
          <w:szCs w:val="18"/>
          <w:rtl/>
        </w:rPr>
        <w:footnoteReference w:id="352"/>
      </w:r>
      <w:r w:rsidRPr="00A06362">
        <w:rPr>
          <w:rFonts w:cs="Arial"/>
          <w:sz w:val="18"/>
          <w:szCs w:val="18"/>
          <w:rtl/>
        </w:rPr>
        <w:t xml:space="preserve"> כשנשתתק (ר"ן)</w:t>
      </w:r>
      <w:r w:rsidRPr="00486C31">
        <w:rPr>
          <w:rFonts w:cs="Arial"/>
          <w:rtl/>
        </w:rPr>
        <w:t>.</w:t>
      </w:r>
    </w:p>
    <w:p w14:paraId="6EA116A1" w14:textId="77777777" w:rsidR="00677A75" w:rsidRDefault="00677A75" w:rsidP="00677A75">
      <w:pPr>
        <w:pStyle w:val="1"/>
        <w:rPr>
          <w:rtl/>
        </w:rPr>
        <w:sectPr w:rsidR="00677A75" w:rsidSect="00A347B3">
          <w:headerReference w:type="default" r:id="rId13"/>
          <w:footnotePr>
            <w:numRestart w:val="eachSect"/>
          </w:footnotePr>
          <w:pgSz w:w="11906" w:h="16838"/>
          <w:pgMar w:top="720" w:right="1134" w:bottom="720" w:left="1134" w:header="0" w:footer="0" w:gutter="0"/>
          <w:cols w:space="720"/>
          <w:bidi/>
          <w:rtlGutter/>
          <w:docGrid w:linePitch="360"/>
        </w:sectPr>
      </w:pPr>
    </w:p>
    <w:p w14:paraId="2886FC20" w14:textId="0397B901" w:rsidR="00677A75" w:rsidRPr="00677A75" w:rsidRDefault="0023267F" w:rsidP="00677A75">
      <w:pPr>
        <w:pStyle w:val="1"/>
        <w:rPr>
          <w:rtl/>
        </w:rPr>
      </w:pPr>
      <w:r>
        <w:rPr>
          <w:rFonts w:hint="cs"/>
          <w:rtl/>
        </w:rPr>
        <w:lastRenderedPageBreak/>
        <w:t xml:space="preserve">סימן </w:t>
      </w:r>
      <w:r w:rsidR="00677A75">
        <w:rPr>
          <w:rFonts w:hint="cs"/>
          <w:rtl/>
        </w:rPr>
        <w:t xml:space="preserve">קכב: </w:t>
      </w:r>
      <w:r w:rsidR="00677A75" w:rsidRPr="00677A75">
        <w:rPr>
          <w:rtl/>
        </w:rPr>
        <w:t xml:space="preserve">אמר לכתוב הגט וטעה או נאבד, ובו ב' סעיפים. </w:t>
      </w:r>
    </w:p>
    <w:p w14:paraId="5D831511" w14:textId="20358F14" w:rsidR="00677A75" w:rsidRDefault="00677A75" w:rsidP="00786DE6">
      <w:pPr>
        <w:pStyle w:val="2"/>
        <w:rPr>
          <w:rtl/>
        </w:rPr>
      </w:pPr>
      <w:r w:rsidRPr="00677A75">
        <w:rPr>
          <w:rtl/>
        </w:rPr>
        <w:t>סעיף א</w:t>
      </w:r>
      <w:r w:rsidR="007D267E">
        <w:rPr>
          <w:rFonts w:hint="cs"/>
          <w:rtl/>
        </w:rPr>
        <w:t>:</w:t>
      </w:r>
      <w:r w:rsidR="00472986">
        <w:rPr>
          <w:rFonts w:hint="cs"/>
          <w:rtl/>
        </w:rPr>
        <w:t xml:space="preserve"> צוה לכתוב גט, וטעו</w:t>
      </w:r>
      <w:r w:rsidR="00D67F6D">
        <w:rPr>
          <w:rFonts w:hint="cs"/>
          <w:rtl/>
        </w:rPr>
        <w:t xml:space="preserve"> או </w:t>
      </w:r>
      <w:r w:rsidR="00472986">
        <w:rPr>
          <w:rFonts w:hint="cs"/>
          <w:rtl/>
        </w:rPr>
        <w:t>נאבד.</w:t>
      </w:r>
    </w:p>
    <w:p w14:paraId="18805092" w14:textId="77777777" w:rsidR="00787B33" w:rsidRDefault="00787B33" w:rsidP="00787B33">
      <w:pPr>
        <w:rPr>
          <w:rFonts w:cs="Arial"/>
          <w:rtl/>
        </w:rPr>
      </w:pPr>
      <w:r w:rsidRPr="00757690">
        <w:rPr>
          <w:rFonts w:cs="Arial" w:hint="cs"/>
          <w:b/>
          <w:bCs/>
          <w:rtl/>
        </w:rPr>
        <w:t xml:space="preserve">גיטין </w:t>
      </w:r>
      <w:r w:rsidRPr="00757690">
        <w:rPr>
          <w:rFonts w:cs="Arial" w:hint="cs"/>
          <w:b/>
          <w:bCs/>
          <w:sz w:val="16"/>
          <w:szCs w:val="16"/>
          <w:rtl/>
        </w:rPr>
        <w:t>(ר"פ התקבל)</w:t>
      </w:r>
      <w:r w:rsidRPr="00757690">
        <w:rPr>
          <w:rFonts w:cs="Arial" w:hint="cs"/>
          <w:b/>
          <w:bCs/>
          <w:rtl/>
        </w:rPr>
        <w:t xml:space="preserve"> סג ע"ב: </w:t>
      </w:r>
      <w:r w:rsidRPr="00757690">
        <w:rPr>
          <w:rFonts w:cs="Arial"/>
          <w:rtl/>
        </w:rPr>
        <w:t xml:space="preserve">ההיא דהוו קרו לה נפאתה, אזול סהדי כתוב תפאתה, </w:t>
      </w:r>
      <w:r w:rsidRPr="00757690">
        <w:rPr>
          <w:rFonts w:cs="Arial"/>
          <w:u w:val="single"/>
          <w:rtl/>
        </w:rPr>
        <w:t>אמר רב יצחק בר שמואל בר מרתא משמיה דרב</w:t>
      </w:r>
      <w:r w:rsidRPr="00757690">
        <w:rPr>
          <w:rFonts w:cs="Arial"/>
          <w:rtl/>
        </w:rPr>
        <w:t xml:space="preserve">: עשו עדים שליחותן. </w:t>
      </w:r>
      <w:r w:rsidRPr="00757690">
        <w:rPr>
          <w:rFonts w:cs="Arial"/>
          <w:u w:val="single"/>
          <w:rtl/>
        </w:rPr>
        <w:t>מתקיף לה רבה</w:t>
      </w:r>
      <w:r w:rsidRPr="00757690">
        <w:rPr>
          <w:rFonts w:cs="Arial"/>
          <w:rtl/>
        </w:rPr>
        <w:t>: מי קאמר להו כתובו חספא והבו לה</w:t>
      </w:r>
      <w:r>
        <w:rPr>
          <w:rStyle w:val="a7"/>
          <w:rFonts w:cs="Arial"/>
          <w:rtl/>
        </w:rPr>
        <w:footnoteReference w:id="353"/>
      </w:r>
      <w:r w:rsidRPr="00757690">
        <w:rPr>
          <w:rFonts w:cs="Arial"/>
          <w:rtl/>
        </w:rPr>
        <w:t xml:space="preserve">? </w:t>
      </w:r>
      <w:r w:rsidRPr="00757690">
        <w:rPr>
          <w:rFonts w:cs="Arial"/>
          <w:u w:val="single"/>
          <w:rtl/>
        </w:rPr>
        <w:t>אלא אמר רבה</w:t>
      </w:r>
      <w:r w:rsidRPr="00757690">
        <w:rPr>
          <w:rFonts w:cs="Arial"/>
          <w:rtl/>
        </w:rPr>
        <w:t xml:space="preserve">: ודאי אי כתוב סהדי גיטא מעליא ואבד, עשו עדים שליחותן. </w:t>
      </w:r>
      <w:r w:rsidRPr="00757690">
        <w:rPr>
          <w:rFonts w:cs="Arial"/>
          <w:u w:val="single"/>
          <w:rtl/>
        </w:rPr>
        <w:t>מתקיף לה רב נחמן</w:t>
      </w:r>
      <w:r w:rsidRPr="00757690">
        <w:rPr>
          <w:rFonts w:cs="Arial"/>
          <w:rtl/>
        </w:rPr>
        <w:t xml:space="preserve">: מי קאמר להו כתבו ואנחוה בכיסייכו? </w:t>
      </w:r>
      <w:r w:rsidRPr="00757690">
        <w:rPr>
          <w:rFonts w:cs="Arial"/>
          <w:u w:val="single"/>
          <w:rtl/>
        </w:rPr>
        <w:t>אלא אמר רב נחמן</w:t>
      </w:r>
      <w:r w:rsidRPr="00757690">
        <w:rPr>
          <w:rFonts w:cs="Arial"/>
          <w:rtl/>
        </w:rPr>
        <w:t>: כותבין ונותנין אפי' מאה פעמים.</w:t>
      </w:r>
      <w:r w:rsidRPr="00787B33">
        <w:rPr>
          <w:rFonts w:cs="Arial"/>
          <w:sz w:val="16"/>
          <w:szCs w:val="16"/>
          <w:rtl/>
        </w:rPr>
        <w:t xml:space="preserve"> </w:t>
      </w:r>
    </w:p>
    <w:p w14:paraId="04D7B973" w14:textId="03C2294C" w:rsidR="00472986" w:rsidRPr="00472986" w:rsidRDefault="00472986" w:rsidP="00472986">
      <w:pPr>
        <w:rPr>
          <w:u w:val="single"/>
          <w:rtl/>
        </w:rPr>
      </w:pPr>
      <w:r w:rsidRPr="00472986">
        <w:rPr>
          <w:rFonts w:hint="cs"/>
          <w:u w:val="single"/>
          <w:rtl/>
        </w:rPr>
        <w:t xml:space="preserve">צוה לעדים לכתוב גט, וטעו/נאבד </w:t>
      </w:r>
      <w:r w:rsidR="00A82951">
        <w:rPr>
          <w:u w:val="single"/>
          <w:rtl/>
        </w:rPr>
        <w:t>-</w:t>
      </w:r>
      <w:r w:rsidRPr="00472986">
        <w:rPr>
          <w:rFonts w:hint="cs"/>
          <w:u w:val="single"/>
          <w:rtl/>
        </w:rPr>
        <w:t xml:space="preserve"> האם יכולים לכתוב </w:t>
      </w:r>
      <w:r>
        <w:rPr>
          <w:rFonts w:hint="cs"/>
          <w:u w:val="single"/>
          <w:rtl/>
        </w:rPr>
        <w:t xml:space="preserve">וליתן </w:t>
      </w:r>
      <w:r w:rsidRPr="00472986">
        <w:rPr>
          <w:rFonts w:hint="cs"/>
          <w:u w:val="single"/>
          <w:rtl/>
        </w:rPr>
        <w:t>גט אחר:</w:t>
      </w:r>
    </w:p>
    <w:p w14:paraId="07E9E28E" w14:textId="7723E5C7" w:rsidR="00472986" w:rsidRDefault="00400EED" w:rsidP="00A65C5F">
      <w:pPr>
        <w:pStyle w:val="ab"/>
        <w:numPr>
          <w:ilvl w:val="0"/>
          <w:numId w:val="34"/>
        </w:numPr>
      </w:pPr>
      <w:r>
        <w:rPr>
          <w:rFonts w:hint="cs"/>
          <w:rtl/>
        </w:rPr>
        <w:t>טור</w:t>
      </w:r>
      <w:r w:rsidR="00A82951">
        <w:rPr>
          <w:rFonts w:hint="cs"/>
          <w:rtl/>
        </w:rPr>
        <w:t>-</w:t>
      </w:r>
      <w:r>
        <w:rPr>
          <w:rFonts w:hint="cs"/>
          <w:rtl/>
        </w:rPr>
        <w:t xml:space="preserve"> </w:t>
      </w:r>
      <w:r w:rsidRPr="00400EED">
        <w:rPr>
          <w:rFonts w:cs="Arial"/>
          <w:rtl/>
        </w:rPr>
        <w:t>אמר לעדים לכתוב הגט ולחתום וליתנו לה</w:t>
      </w:r>
      <w:r w:rsidR="00472986">
        <w:rPr>
          <w:rFonts w:cs="Arial" w:hint="cs"/>
          <w:rtl/>
        </w:rPr>
        <w:t>,</w:t>
      </w:r>
      <w:r w:rsidRPr="00400EED">
        <w:rPr>
          <w:rFonts w:cs="Arial"/>
          <w:rtl/>
        </w:rPr>
        <w:t xml:space="preserve"> וטעו בכתיבתן</w:t>
      </w:r>
      <w:r w:rsidR="00472986">
        <w:rPr>
          <w:rFonts w:cs="Arial" w:hint="cs"/>
          <w:rtl/>
        </w:rPr>
        <w:t>,</w:t>
      </w:r>
      <w:r w:rsidRPr="00400EED">
        <w:rPr>
          <w:rFonts w:cs="Arial"/>
          <w:rtl/>
        </w:rPr>
        <w:t xml:space="preserve"> או שכתבוהו ונאבד</w:t>
      </w:r>
      <w:r w:rsidR="00AB7A50">
        <w:rPr>
          <w:rStyle w:val="a7"/>
          <w:rFonts w:cs="Arial"/>
          <w:rtl/>
        </w:rPr>
        <w:footnoteReference w:id="354"/>
      </w:r>
      <w:r w:rsidRPr="00400EED">
        <w:rPr>
          <w:rFonts w:cs="Arial"/>
          <w:rtl/>
        </w:rPr>
        <w:t xml:space="preserve"> </w:t>
      </w:r>
      <w:r w:rsidR="00A82951">
        <w:rPr>
          <w:rFonts w:cs="Arial" w:hint="cs"/>
          <w:rtl/>
        </w:rPr>
        <w:t>-</w:t>
      </w:r>
      <w:r w:rsidR="00472986">
        <w:rPr>
          <w:rFonts w:cs="Arial" w:hint="cs"/>
          <w:rtl/>
        </w:rPr>
        <w:t xml:space="preserve"> </w:t>
      </w:r>
      <w:r w:rsidRPr="00400EED">
        <w:rPr>
          <w:rFonts w:cs="Arial"/>
          <w:rtl/>
        </w:rPr>
        <w:t>יכולין לכתוב אחר</w:t>
      </w:r>
      <w:r w:rsidR="00472986">
        <w:rPr>
          <w:rFonts w:cs="Arial" w:hint="cs"/>
          <w:rtl/>
        </w:rPr>
        <w:t>,</w:t>
      </w:r>
      <w:r w:rsidRPr="00400EED">
        <w:rPr>
          <w:rFonts w:cs="Arial"/>
          <w:rtl/>
        </w:rPr>
        <w:t xml:space="preserve"> ולא אמרינן שלא עשאן שלוחין אלא לגט אחד</w:t>
      </w:r>
      <w:r w:rsidR="00472986">
        <w:rPr>
          <w:rFonts w:cs="Arial" w:hint="cs"/>
          <w:rtl/>
        </w:rPr>
        <w:t>.</w:t>
      </w:r>
      <w:r w:rsidRPr="00400EED">
        <w:rPr>
          <w:rFonts w:cs="Arial"/>
          <w:rtl/>
        </w:rPr>
        <w:t xml:space="preserve"> </w:t>
      </w:r>
    </w:p>
    <w:p w14:paraId="71872847" w14:textId="79284D64" w:rsidR="004E5063" w:rsidRPr="00472986" w:rsidRDefault="004E5063" w:rsidP="00A65C5F">
      <w:pPr>
        <w:pStyle w:val="ab"/>
        <w:numPr>
          <w:ilvl w:val="0"/>
          <w:numId w:val="34"/>
        </w:numPr>
      </w:pPr>
      <w:r>
        <w:rPr>
          <w:rFonts w:hint="cs"/>
          <w:rtl/>
        </w:rPr>
        <w:t xml:space="preserve">רמב"ם </w:t>
      </w:r>
      <w:r>
        <w:rPr>
          <w:rFonts w:cs="Arial" w:hint="cs"/>
          <w:sz w:val="16"/>
          <w:szCs w:val="16"/>
          <w:rtl/>
        </w:rPr>
        <w:t>(פ"ב מגירושין ה"ח)</w:t>
      </w:r>
      <w:r w:rsidR="00A82951">
        <w:rPr>
          <w:rFonts w:cs="Arial" w:hint="cs"/>
          <w:rtl/>
        </w:rPr>
        <w:t>-</w:t>
      </w:r>
      <w:r>
        <w:rPr>
          <w:rFonts w:cs="Arial" w:hint="cs"/>
          <w:rtl/>
        </w:rPr>
        <w:t xml:space="preserve"> </w:t>
      </w:r>
      <w:r w:rsidRPr="004E5063">
        <w:rPr>
          <w:rFonts w:cs="Arial"/>
          <w:rtl/>
        </w:rPr>
        <w:t>אמר לאחרים לכתוב גט ולחתום בו וליתנו לאשתו</w:t>
      </w:r>
      <w:r w:rsidR="00CD54C8">
        <w:rPr>
          <w:rFonts w:cs="Arial" w:hint="cs"/>
          <w:rtl/>
        </w:rPr>
        <w:t>,</w:t>
      </w:r>
      <w:r w:rsidRPr="004E5063">
        <w:rPr>
          <w:rFonts w:cs="Arial"/>
          <w:rtl/>
        </w:rPr>
        <w:t xml:space="preserve"> וכתבו וחתמו ונתנו לה ונמצא הגט בטל או פסול</w:t>
      </w:r>
      <w:r>
        <w:rPr>
          <w:rStyle w:val="a7"/>
          <w:rFonts w:cs="Arial"/>
          <w:rtl/>
        </w:rPr>
        <w:footnoteReference w:id="355"/>
      </w:r>
      <w:r w:rsidRPr="004E5063">
        <w:rPr>
          <w:rFonts w:cs="Arial"/>
          <w:rtl/>
        </w:rPr>
        <w:t xml:space="preserve"> </w:t>
      </w:r>
      <w:r w:rsidR="00A82951">
        <w:rPr>
          <w:rFonts w:cs="Arial" w:hint="cs"/>
          <w:rtl/>
        </w:rPr>
        <w:t>-</w:t>
      </w:r>
      <w:r>
        <w:rPr>
          <w:rFonts w:cs="Arial" w:hint="cs"/>
          <w:rtl/>
        </w:rPr>
        <w:t xml:space="preserve"> </w:t>
      </w:r>
      <w:r w:rsidRPr="004E5063">
        <w:rPr>
          <w:rFonts w:cs="Arial"/>
          <w:rtl/>
        </w:rPr>
        <w:t>הרי אלו כותבין אחר ואפילו מאה עד שיגיע לידה גט כשר.</w:t>
      </w:r>
    </w:p>
    <w:p w14:paraId="2E937C55" w14:textId="3A3791FF" w:rsidR="00472986" w:rsidRPr="00472986" w:rsidRDefault="00472986" w:rsidP="00472986">
      <w:pPr>
        <w:ind w:left="360"/>
        <w:rPr>
          <w:u w:val="dotted"/>
        </w:rPr>
      </w:pPr>
      <w:r w:rsidRPr="00472986">
        <w:rPr>
          <w:rFonts w:hint="cs"/>
          <w:u w:val="dotted"/>
          <w:rtl/>
        </w:rPr>
        <w:t xml:space="preserve">ומה הדין אם יש </w:t>
      </w:r>
      <w:r w:rsidR="00246526">
        <w:rPr>
          <w:rFonts w:hint="cs"/>
          <w:u w:val="dotted"/>
          <w:rtl/>
        </w:rPr>
        <w:t>פקפוק בכשרות ה</w:t>
      </w:r>
      <w:r w:rsidR="00757690">
        <w:rPr>
          <w:rFonts w:hint="cs"/>
          <w:u w:val="dotted"/>
          <w:rtl/>
        </w:rPr>
        <w:t xml:space="preserve">גט כשר מחמת </w:t>
      </w:r>
      <w:r w:rsidR="00757690" w:rsidRPr="00787B33">
        <w:rPr>
          <w:rFonts w:hint="cs"/>
          <w:b/>
          <w:bCs/>
          <w:u w:val="dotted"/>
          <w:rtl/>
        </w:rPr>
        <w:t>חומרות</w:t>
      </w:r>
      <w:r w:rsidR="00757690">
        <w:rPr>
          <w:rFonts w:hint="cs"/>
          <w:u w:val="dotted"/>
          <w:rtl/>
        </w:rPr>
        <w:t xml:space="preserve"> </w:t>
      </w:r>
      <w:r w:rsidR="00757690" w:rsidRPr="00787B33">
        <w:rPr>
          <w:rFonts w:hint="cs"/>
          <w:b/>
          <w:bCs/>
          <w:u w:val="dotted"/>
          <w:rtl/>
        </w:rPr>
        <w:t>שנהגו</w:t>
      </w:r>
      <w:r w:rsidR="00246526">
        <w:rPr>
          <w:rFonts w:hint="cs"/>
          <w:u w:val="dotted"/>
          <w:rtl/>
        </w:rPr>
        <w:t xml:space="preserve"> וכדו'</w:t>
      </w:r>
      <w:r w:rsidRPr="00472986">
        <w:rPr>
          <w:rFonts w:hint="cs"/>
          <w:u w:val="dotted"/>
          <w:rtl/>
        </w:rPr>
        <w:t>:</w:t>
      </w:r>
    </w:p>
    <w:p w14:paraId="0073DFBF" w14:textId="42EC3DAA" w:rsidR="00795A90" w:rsidRDefault="00795A90" w:rsidP="00A65C5F">
      <w:pPr>
        <w:pStyle w:val="ab"/>
        <w:numPr>
          <w:ilvl w:val="0"/>
          <w:numId w:val="34"/>
        </w:numPr>
      </w:pPr>
      <w:r>
        <w:rPr>
          <w:rFonts w:cs="Arial" w:hint="cs"/>
          <w:rtl/>
        </w:rPr>
        <w:t xml:space="preserve">ר"י </w:t>
      </w:r>
      <w:r>
        <w:rPr>
          <w:rFonts w:cs="Arial" w:hint="cs"/>
          <w:sz w:val="16"/>
          <w:szCs w:val="16"/>
          <w:rtl/>
        </w:rPr>
        <w:t>(בתוס' סג: ד"ה כותבין)</w:t>
      </w:r>
      <w:r>
        <w:rPr>
          <w:rFonts w:cs="Arial" w:hint="cs"/>
          <w:rtl/>
        </w:rPr>
        <w:t xml:space="preserve"> </w:t>
      </w:r>
      <w:r w:rsidR="004A6A1A">
        <w:rPr>
          <w:rFonts w:cs="Arial" w:hint="cs"/>
          <w:rtl/>
        </w:rPr>
        <w:t xml:space="preserve">ספר התרומה </w:t>
      </w:r>
      <w:r w:rsidR="004A6A1A">
        <w:rPr>
          <w:rFonts w:cs="Arial" w:hint="cs"/>
          <w:sz w:val="16"/>
          <w:szCs w:val="16"/>
          <w:rtl/>
        </w:rPr>
        <w:t>(</w:t>
      </w:r>
      <w:r w:rsidR="004A6A1A" w:rsidRPr="00E04596">
        <w:rPr>
          <w:rFonts w:cs="Arial"/>
          <w:sz w:val="16"/>
          <w:szCs w:val="16"/>
          <w:rtl/>
        </w:rPr>
        <w:t>סי' קיח)</w:t>
      </w:r>
      <w:r w:rsidR="004A6A1A">
        <w:rPr>
          <w:rFonts w:cs="Arial" w:hint="cs"/>
          <w:sz w:val="16"/>
          <w:szCs w:val="16"/>
          <w:rtl/>
        </w:rPr>
        <w:t xml:space="preserve"> </w:t>
      </w:r>
      <w:r w:rsidR="00472986">
        <w:rPr>
          <w:rFonts w:cs="Arial" w:hint="cs"/>
          <w:rtl/>
        </w:rPr>
        <w:t>רא"ש</w:t>
      </w:r>
      <w:r w:rsidR="00472986">
        <w:rPr>
          <w:rFonts w:cs="Arial" w:hint="cs"/>
          <w:sz w:val="16"/>
          <w:szCs w:val="16"/>
          <w:rtl/>
        </w:rPr>
        <w:t xml:space="preserve"> (</w:t>
      </w:r>
      <w:r w:rsidR="004E5063" w:rsidRPr="004E5063">
        <w:rPr>
          <w:rFonts w:cs="Arial"/>
          <w:sz w:val="16"/>
          <w:szCs w:val="16"/>
          <w:rtl/>
        </w:rPr>
        <w:t>פ"ז ס"ו</w:t>
      </w:r>
      <w:r w:rsidR="004E5063">
        <w:rPr>
          <w:rFonts w:cs="Arial" w:hint="cs"/>
          <w:sz w:val="16"/>
          <w:szCs w:val="16"/>
          <w:rtl/>
        </w:rPr>
        <w:t xml:space="preserve">, </w:t>
      </w:r>
      <w:r w:rsidR="00472986">
        <w:rPr>
          <w:rFonts w:cs="Arial" w:hint="cs"/>
          <w:sz w:val="16"/>
          <w:szCs w:val="16"/>
          <w:rtl/>
        </w:rPr>
        <w:t>כ"כ הטור בשמו)</w:t>
      </w:r>
      <w:r>
        <w:rPr>
          <w:rFonts w:cs="Arial" w:hint="cs"/>
          <w:rtl/>
        </w:rPr>
        <w:t xml:space="preserve"> ור"ן </w:t>
      </w:r>
      <w:r>
        <w:rPr>
          <w:rFonts w:cs="Arial" w:hint="cs"/>
          <w:sz w:val="16"/>
          <w:szCs w:val="16"/>
          <w:rtl/>
        </w:rPr>
        <w:t>(גיטין כט. מדפה"ר ד"ה אלא)</w:t>
      </w:r>
      <w:r w:rsidR="00A82951">
        <w:rPr>
          <w:rFonts w:cs="Arial" w:hint="cs"/>
          <w:rtl/>
        </w:rPr>
        <w:t>-</w:t>
      </w:r>
      <w:r w:rsidR="00472986">
        <w:rPr>
          <w:rFonts w:cs="Arial" w:hint="cs"/>
          <w:rtl/>
        </w:rPr>
        <w:t xml:space="preserve"> </w:t>
      </w:r>
      <w:r w:rsidR="00400EED" w:rsidRPr="00400EED">
        <w:rPr>
          <w:rFonts w:cs="Arial"/>
          <w:rtl/>
        </w:rPr>
        <w:t xml:space="preserve">מיהו אם לא נאבד ומסופקין אם הוא כשר אם לאו מכמה חומרות שנהגו להחמיר ואין להם שורש ועיקר מן התורה </w:t>
      </w:r>
      <w:r w:rsidR="00A82951">
        <w:rPr>
          <w:rFonts w:cs="Arial" w:hint="cs"/>
          <w:rtl/>
        </w:rPr>
        <w:t>-</w:t>
      </w:r>
      <w:r w:rsidR="00757690">
        <w:rPr>
          <w:rFonts w:cs="Arial" w:hint="cs"/>
          <w:rtl/>
        </w:rPr>
        <w:t xml:space="preserve"> </w:t>
      </w:r>
      <w:r w:rsidR="00400EED" w:rsidRPr="00400EED">
        <w:rPr>
          <w:rFonts w:cs="Arial"/>
          <w:rtl/>
        </w:rPr>
        <w:t>הרי עשו שליחותן אם הוא כשר</w:t>
      </w:r>
      <w:r>
        <w:rPr>
          <w:rFonts w:cs="Arial" w:hint="cs"/>
          <w:rtl/>
        </w:rPr>
        <w:t xml:space="preserve"> </w:t>
      </w:r>
      <w:r>
        <w:rPr>
          <w:rFonts w:cs="Arial" w:hint="cs"/>
          <w:sz w:val="16"/>
          <w:szCs w:val="16"/>
          <w:rtl/>
        </w:rPr>
        <w:t>(ל' הטור בשם הרא"ש)</w:t>
      </w:r>
      <w:r w:rsidR="00472986">
        <w:rPr>
          <w:rFonts w:cs="Arial" w:hint="cs"/>
          <w:rtl/>
        </w:rPr>
        <w:t>.</w:t>
      </w:r>
      <w:r w:rsidR="00400EED" w:rsidRPr="00400EED">
        <w:rPr>
          <w:rFonts w:cs="Arial"/>
          <w:rtl/>
        </w:rPr>
        <w:t xml:space="preserve"> </w:t>
      </w:r>
    </w:p>
    <w:p w14:paraId="7BA2C406" w14:textId="0600499F" w:rsidR="00246526" w:rsidRPr="00246526" w:rsidRDefault="00246526" w:rsidP="00A65C5F">
      <w:pPr>
        <w:pStyle w:val="ab"/>
        <w:numPr>
          <w:ilvl w:val="0"/>
          <w:numId w:val="34"/>
        </w:numPr>
        <w:rPr>
          <w:rFonts w:cs="Arial"/>
        </w:rPr>
      </w:pPr>
      <w:r w:rsidRPr="00246526">
        <w:rPr>
          <w:rFonts w:cs="Arial"/>
          <w:rtl/>
        </w:rPr>
        <w:t>רשב"א</w:t>
      </w:r>
      <w:r>
        <w:rPr>
          <w:rFonts w:cs="Arial" w:hint="cs"/>
          <w:rtl/>
        </w:rPr>
        <w:t xml:space="preserve"> </w:t>
      </w:r>
      <w:r w:rsidRPr="00246526">
        <w:rPr>
          <w:rFonts w:cs="Arial" w:hint="cs"/>
          <w:sz w:val="16"/>
          <w:szCs w:val="16"/>
          <w:rtl/>
        </w:rPr>
        <w:t>(</w:t>
      </w:r>
      <w:r w:rsidRPr="00246526">
        <w:rPr>
          <w:rFonts w:cs="Arial"/>
          <w:sz w:val="16"/>
          <w:szCs w:val="16"/>
          <w:rtl/>
        </w:rPr>
        <w:t>החדשות</w:t>
      </w:r>
      <w:r w:rsidR="00D65CB8">
        <w:rPr>
          <w:rStyle w:val="a7"/>
          <w:rFonts w:cs="Arial"/>
          <w:rtl/>
        </w:rPr>
        <w:footnoteReference w:id="356"/>
      </w:r>
      <w:r w:rsidRPr="00246526">
        <w:rPr>
          <w:rFonts w:cs="Arial"/>
          <w:sz w:val="16"/>
          <w:szCs w:val="16"/>
          <w:rtl/>
        </w:rPr>
        <w:t xml:space="preserve"> מכתב יד סי</w:t>
      </w:r>
      <w:r w:rsidRPr="00246526">
        <w:rPr>
          <w:rFonts w:cs="Arial" w:hint="cs"/>
          <w:sz w:val="16"/>
          <w:szCs w:val="16"/>
          <w:rtl/>
        </w:rPr>
        <w:t>'</w:t>
      </w:r>
      <w:r w:rsidRPr="00246526">
        <w:rPr>
          <w:rFonts w:cs="Arial"/>
          <w:sz w:val="16"/>
          <w:szCs w:val="16"/>
          <w:rtl/>
        </w:rPr>
        <w:t xml:space="preserve"> רט</w:t>
      </w:r>
      <w:r w:rsidR="00D65CB8">
        <w:rPr>
          <w:rFonts w:cs="Arial" w:hint="cs"/>
          <w:sz w:val="16"/>
          <w:szCs w:val="16"/>
          <w:rtl/>
        </w:rPr>
        <w:t>, ובמיוחסות סי' קמה</w:t>
      </w:r>
      <w:r w:rsidRPr="00246526">
        <w:rPr>
          <w:rFonts w:cs="Arial" w:hint="cs"/>
          <w:sz w:val="16"/>
          <w:szCs w:val="16"/>
          <w:rtl/>
        </w:rPr>
        <w:t>)</w:t>
      </w:r>
      <w:r w:rsidR="00A82951">
        <w:rPr>
          <w:rFonts w:cs="Arial" w:hint="cs"/>
          <w:rtl/>
        </w:rPr>
        <w:t>-</w:t>
      </w:r>
      <w:r w:rsidRPr="00246526">
        <w:rPr>
          <w:rFonts w:cs="Arial"/>
          <w:rtl/>
        </w:rPr>
        <w:t xml:space="preserve"> אם אמר להם שיכתבו גט לארוסתו שבאושקה ולא אמר להם שיכתבו בו דהוית אנתתי אלא שהם טעו וכתבו כן </w:t>
      </w:r>
      <w:r w:rsidR="00A82951">
        <w:rPr>
          <w:rFonts w:cs="Arial" w:hint="cs"/>
          <w:rtl/>
        </w:rPr>
        <w:t>-</w:t>
      </w:r>
      <w:r>
        <w:rPr>
          <w:rFonts w:cs="Arial" w:hint="cs"/>
          <w:rtl/>
        </w:rPr>
        <w:t xml:space="preserve"> </w:t>
      </w:r>
      <w:r w:rsidRPr="00246526">
        <w:rPr>
          <w:rFonts w:cs="Arial"/>
          <w:rtl/>
        </w:rPr>
        <w:t>הגט כשר.</w:t>
      </w:r>
      <w:r w:rsidR="006A5C0E">
        <w:rPr>
          <w:rFonts w:cs="Arial" w:hint="cs"/>
          <w:rtl/>
        </w:rPr>
        <w:t>.</w:t>
      </w:r>
      <w:r w:rsidRPr="00246526">
        <w:rPr>
          <w:rFonts w:cs="Arial"/>
          <w:rtl/>
        </w:rPr>
        <w:t>. ומכל מקום אם העדים רוצים לכתוב גט אחר מספק</w:t>
      </w:r>
      <w:r>
        <w:rPr>
          <w:rFonts w:cs="Arial" w:hint="cs"/>
          <w:rtl/>
        </w:rPr>
        <w:t xml:space="preserve"> </w:t>
      </w:r>
      <w:r w:rsidR="00A82951">
        <w:rPr>
          <w:rFonts w:cs="Arial" w:hint="cs"/>
          <w:rtl/>
        </w:rPr>
        <w:t>-</w:t>
      </w:r>
      <w:r w:rsidRPr="00246526">
        <w:rPr>
          <w:rFonts w:cs="Arial"/>
          <w:rtl/>
        </w:rPr>
        <w:t xml:space="preserve"> יכולין ואין צריכין ליטול רשות מהבעל, וכההיא דנפאתא וטפאתא, שהבעל צוה לכתוב גט כשר. ומיהו אם יכתבו גט אחר, צריך שיתנו לה את שניהם ותתגרש בכשר שבהם ממה נפשך. אבל לא השני לבדו, שאם תמצא לומר שהראשון כשר, כבר עשו הסופר והעדים שליחותם ואינן יכולין לעשות שליחות אחרת</w:t>
      </w:r>
      <w:r w:rsidR="004A6A1A">
        <w:rPr>
          <w:rStyle w:val="a7"/>
          <w:rFonts w:cs="Arial"/>
          <w:rtl/>
        </w:rPr>
        <w:footnoteReference w:id="357"/>
      </w:r>
      <w:r w:rsidR="005677E8">
        <w:rPr>
          <w:rFonts w:cs="Arial" w:hint="cs"/>
          <w:sz w:val="16"/>
          <w:szCs w:val="16"/>
          <w:rtl/>
        </w:rPr>
        <w:t xml:space="preserve"> (ל' הרשב"א </w:t>
      </w:r>
      <w:r w:rsidR="00291B05">
        <w:rPr>
          <w:rFonts w:cs="Arial" w:hint="cs"/>
          <w:sz w:val="16"/>
          <w:szCs w:val="16"/>
          <w:rtl/>
        </w:rPr>
        <w:t>בשו"ת החדשות)</w:t>
      </w:r>
      <w:r w:rsidRPr="00246526">
        <w:rPr>
          <w:rFonts w:cs="Arial" w:hint="cs"/>
          <w:rtl/>
        </w:rPr>
        <w:t>.</w:t>
      </w:r>
    </w:p>
    <w:p w14:paraId="1E7BAFD8" w14:textId="705552C3" w:rsidR="00795A90" w:rsidRPr="00795A90" w:rsidRDefault="00795A90" w:rsidP="00795A90">
      <w:pPr>
        <w:ind w:left="360"/>
        <w:rPr>
          <w:u w:val="dotted"/>
        </w:rPr>
      </w:pPr>
      <w:r>
        <w:rPr>
          <w:rFonts w:hint="cs"/>
          <w:u w:val="dotted"/>
          <w:rtl/>
        </w:rPr>
        <w:t xml:space="preserve">האם </w:t>
      </w:r>
      <w:r w:rsidR="00E10517">
        <w:rPr>
          <w:rFonts w:hint="cs"/>
          <w:u w:val="dotted"/>
          <w:rtl/>
        </w:rPr>
        <w:t>הבעל יכול</w:t>
      </w:r>
      <w:r>
        <w:rPr>
          <w:rFonts w:hint="cs"/>
          <w:u w:val="dotted"/>
          <w:rtl/>
        </w:rPr>
        <w:t xml:space="preserve"> </w:t>
      </w:r>
      <w:r w:rsidRPr="00795A90">
        <w:rPr>
          <w:rFonts w:hint="cs"/>
          <w:u w:val="dotted"/>
          <w:rtl/>
        </w:rPr>
        <w:t>ל</w:t>
      </w:r>
      <w:r w:rsidR="00E10517">
        <w:rPr>
          <w:rFonts w:hint="cs"/>
          <w:u w:val="dotted"/>
          <w:rtl/>
        </w:rPr>
        <w:t>ומר לעדים ולסופר דברים מסויימים</w:t>
      </w:r>
      <w:r w:rsidRPr="00795A90">
        <w:rPr>
          <w:rFonts w:hint="cs"/>
          <w:u w:val="dotted"/>
          <w:rtl/>
        </w:rPr>
        <w:t xml:space="preserve"> כדי להנצל מספקות אלו:</w:t>
      </w:r>
    </w:p>
    <w:p w14:paraId="4AAE3E33" w14:textId="46BCCF3F" w:rsidR="00E04596" w:rsidRDefault="00795A90" w:rsidP="00A65C5F">
      <w:pPr>
        <w:pStyle w:val="ab"/>
        <w:numPr>
          <w:ilvl w:val="0"/>
          <w:numId w:val="34"/>
        </w:numPr>
      </w:pPr>
      <w:r>
        <w:rPr>
          <w:rFonts w:cs="Arial" w:hint="cs"/>
          <w:rtl/>
        </w:rPr>
        <w:lastRenderedPageBreak/>
        <w:t xml:space="preserve">ר"י </w:t>
      </w:r>
      <w:r>
        <w:rPr>
          <w:rFonts w:cs="Arial" w:hint="cs"/>
          <w:sz w:val="16"/>
          <w:szCs w:val="16"/>
          <w:rtl/>
        </w:rPr>
        <w:t>(שם)</w:t>
      </w:r>
      <w:r>
        <w:rPr>
          <w:rFonts w:cs="Arial" w:hint="cs"/>
          <w:rtl/>
        </w:rPr>
        <w:t xml:space="preserve"> רא"ש</w:t>
      </w:r>
      <w:r>
        <w:rPr>
          <w:rFonts w:cs="Arial" w:hint="cs"/>
          <w:sz w:val="16"/>
          <w:szCs w:val="16"/>
          <w:rtl/>
        </w:rPr>
        <w:t xml:space="preserve"> (</w:t>
      </w:r>
      <w:r w:rsidRPr="004E5063">
        <w:rPr>
          <w:rFonts w:cs="Arial"/>
          <w:sz w:val="16"/>
          <w:szCs w:val="16"/>
          <w:rtl/>
        </w:rPr>
        <w:t>פ"ז ס"ו</w:t>
      </w:r>
      <w:r>
        <w:rPr>
          <w:rFonts w:cs="Arial" w:hint="cs"/>
          <w:sz w:val="16"/>
          <w:szCs w:val="16"/>
          <w:rtl/>
        </w:rPr>
        <w:t>, כ"כ הטור בשמו)</w:t>
      </w:r>
      <w:r>
        <w:rPr>
          <w:rFonts w:cs="Arial" w:hint="cs"/>
          <w:rtl/>
        </w:rPr>
        <w:t xml:space="preserve"> ור"ן </w:t>
      </w:r>
      <w:r>
        <w:rPr>
          <w:rFonts w:cs="Arial" w:hint="cs"/>
          <w:sz w:val="16"/>
          <w:szCs w:val="16"/>
          <w:rtl/>
        </w:rPr>
        <w:t>(שם)</w:t>
      </w:r>
      <w:r w:rsidR="00A82951">
        <w:rPr>
          <w:rFonts w:cs="Arial" w:hint="cs"/>
          <w:rtl/>
        </w:rPr>
        <w:t>-</w:t>
      </w:r>
      <w:r>
        <w:rPr>
          <w:rFonts w:cs="Arial" w:hint="cs"/>
          <w:rtl/>
        </w:rPr>
        <w:t xml:space="preserve"> </w:t>
      </w:r>
      <w:r w:rsidR="00400EED" w:rsidRPr="00400EED">
        <w:rPr>
          <w:rFonts w:cs="Arial"/>
          <w:rtl/>
        </w:rPr>
        <w:t>לפיכך טוב להנהיג שיאמר הבעל לעדים ולסופר</w:t>
      </w:r>
      <w:r w:rsidR="00291B05">
        <w:rPr>
          <w:rStyle w:val="a7"/>
          <w:rFonts w:cs="Arial"/>
          <w:rtl/>
        </w:rPr>
        <w:footnoteReference w:id="358"/>
      </w:r>
      <w:r w:rsidR="00400EED" w:rsidRPr="00400EED">
        <w:rPr>
          <w:rFonts w:cs="Arial"/>
          <w:rtl/>
        </w:rPr>
        <w:t xml:space="preserve"> לכתוב ולחתום עד שיהא הגט כשר לפי דעתם</w:t>
      </w:r>
      <w:r w:rsidR="00882BD6">
        <w:rPr>
          <w:rStyle w:val="a7"/>
          <w:rFonts w:cs="Arial"/>
          <w:rtl/>
        </w:rPr>
        <w:footnoteReference w:id="359"/>
      </w:r>
      <w:r w:rsidR="00400EED" w:rsidRPr="00400EED">
        <w:rPr>
          <w:rFonts w:cs="Arial"/>
          <w:rtl/>
        </w:rPr>
        <w:t xml:space="preserve"> בלא שום פקפוק</w:t>
      </w:r>
      <w:r w:rsidR="00882BD6">
        <w:rPr>
          <w:rStyle w:val="a7"/>
          <w:rFonts w:cs="Arial"/>
          <w:rtl/>
        </w:rPr>
        <w:footnoteReference w:id="360"/>
      </w:r>
      <w:r w:rsidR="00787B33">
        <w:rPr>
          <w:rFonts w:cs="Arial" w:hint="cs"/>
          <w:sz w:val="16"/>
          <w:szCs w:val="16"/>
          <w:rtl/>
        </w:rPr>
        <w:t xml:space="preserve"> (ל' הטור בשם הרא"ש)</w:t>
      </w:r>
      <w:r w:rsidR="00472986">
        <w:rPr>
          <w:rFonts w:cs="Arial" w:hint="cs"/>
          <w:rtl/>
        </w:rPr>
        <w:t>.</w:t>
      </w:r>
    </w:p>
    <w:p w14:paraId="60936725" w14:textId="206364D9" w:rsidR="00E10517" w:rsidRPr="00E10517" w:rsidRDefault="00795A90" w:rsidP="00A65C5F">
      <w:pPr>
        <w:pStyle w:val="ab"/>
        <w:numPr>
          <w:ilvl w:val="0"/>
          <w:numId w:val="34"/>
        </w:numPr>
      </w:pPr>
      <w:r w:rsidRPr="00E04596">
        <w:rPr>
          <w:rFonts w:cs="Arial"/>
          <w:rtl/>
        </w:rPr>
        <w:t xml:space="preserve">קונדריסים </w:t>
      </w:r>
      <w:r w:rsidRPr="00E10517">
        <w:rPr>
          <w:rFonts w:cs="Arial"/>
          <w:sz w:val="16"/>
          <w:szCs w:val="16"/>
          <w:rtl/>
        </w:rPr>
        <w:t>(סי' ד סעי' א)</w:t>
      </w:r>
      <w:r w:rsidR="00A82951">
        <w:rPr>
          <w:rFonts w:cs="Arial" w:hint="cs"/>
          <w:rtl/>
        </w:rPr>
        <w:t>-</w:t>
      </w:r>
      <w:r w:rsidR="00E10517">
        <w:rPr>
          <w:rFonts w:cs="Arial" w:hint="cs"/>
          <w:rtl/>
        </w:rPr>
        <w:t xml:space="preserve"> </w:t>
      </w:r>
      <w:r w:rsidRPr="00E04596">
        <w:rPr>
          <w:rFonts w:cs="Arial"/>
          <w:rtl/>
        </w:rPr>
        <w:t>נמצא כתוב בשם רבינו יחיאל ור"י קלצון שאין לעשות כן משום דתלי בפלוגתא אי יש ברירה מדאורייתא או לא</w:t>
      </w:r>
      <w:r>
        <w:rPr>
          <w:rFonts w:cs="Arial" w:hint="cs"/>
          <w:rtl/>
        </w:rPr>
        <w:t>.</w:t>
      </w:r>
      <w:r w:rsidRPr="00E04596">
        <w:rPr>
          <w:rFonts w:cs="Arial"/>
          <w:rtl/>
        </w:rPr>
        <w:t xml:space="preserve"> ור"י לטעמיה דפסק </w:t>
      </w:r>
      <w:r w:rsidRPr="00E10517">
        <w:rPr>
          <w:rFonts w:cs="Arial"/>
          <w:sz w:val="16"/>
          <w:szCs w:val="16"/>
          <w:rtl/>
        </w:rPr>
        <w:t>(נדרים מו: תוד"ה אמר</w:t>
      </w:r>
      <w:r w:rsidR="00E10517">
        <w:rPr>
          <w:rFonts w:cs="Arial" w:hint="cs"/>
          <w:sz w:val="16"/>
          <w:szCs w:val="16"/>
          <w:rtl/>
        </w:rPr>
        <w:t>,</w:t>
      </w:r>
      <w:r w:rsidRPr="00E10517">
        <w:rPr>
          <w:rFonts w:cs="Arial"/>
          <w:sz w:val="16"/>
          <w:szCs w:val="16"/>
          <w:rtl/>
        </w:rPr>
        <w:t xml:space="preserve"> ובר"ן שם מה: ד"ה ואיכא) </w:t>
      </w:r>
      <w:r w:rsidRPr="00E04596">
        <w:rPr>
          <w:rFonts w:cs="Arial"/>
          <w:rtl/>
        </w:rPr>
        <w:t>יש ברירה אפילו מדאורייתא</w:t>
      </w:r>
      <w:r w:rsidR="00E10517">
        <w:rPr>
          <w:rFonts w:cs="Arial" w:hint="cs"/>
          <w:rtl/>
        </w:rPr>
        <w:t>,</w:t>
      </w:r>
      <w:r w:rsidRPr="00E04596">
        <w:rPr>
          <w:rFonts w:cs="Arial"/>
          <w:rtl/>
        </w:rPr>
        <w:t xml:space="preserve"> לכן די שיאמר לסופר ולעדים שיכתבו ויחתמו כל כך שירצה הרב</w:t>
      </w:r>
      <w:r>
        <w:rPr>
          <w:rFonts w:cs="Arial" w:hint="cs"/>
          <w:rtl/>
        </w:rPr>
        <w:t>.</w:t>
      </w:r>
      <w:r w:rsidRPr="00E04596">
        <w:rPr>
          <w:rFonts w:cs="Arial"/>
          <w:rtl/>
        </w:rPr>
        <w:t xml:space="preserve"> אבל לר</w:t>
      </w:r>
      <w:r w:rsidR="00E10517">
        <w:rPr>
          <w:rFonts w:cs="Arial" w:hint="cs"/>
          <w:rtl/>
        </w:rPr>
        <w:t>"</w:t>
      </w:r>
      <w:r w:rsidRPr="00E04596">
        <w:rPr>
          <w:rFonts w:cs="Arial"/>
          <w:rtl/>
        </w:rPr>
        <w:t xml:space="preserve">ת </w:t>
      </w:r>
      <w:r w:rsidRPr="00E10517">
        <w:rPr>
          <w:rFonts w:cs="Arial"/>
          <w:sz w:val="16"/>
          <w:szCs w:val="16"/>
          <w:rtl/>
        </w:rPr>
        <w:t>(ספר הישר</w:t>
      </w:r>
      <w:r w:rsidR="00E10517">
        <w:rPr>
          <w:rFonts w:cs="Arial" w:hint="cs"/>
          <w:sz w:val="16"/>
          <w:szCs w:val="16"/>
          <w:rtl/>
        </w:rPr>
        <w:t>,</w:t>
      </w:r>
      <w:r w:rsidRPr="00E10517">
        <w:rPr>
          <w:rFonts w:cs="Arial"/>
          <w:sz w:val="16"/>
          <w:szCs w:val="16"/>
          <w:rtl/>
        </w:rPr>
        <w:t xml:space="preserve"> חידושים סי' קיד) </w:t>
      </w:r>
      <w:r w:rsidRPr="00E04596">
        <w:rPr>
          <w:rFonts w:cs="Arial"/>
          <w:rtl/>
        </w:rPr>
        <w:t xml:space="preserve">דאין הלכה כרבי אליעזר בן יעקב </w:t>
      </w:r>
      <w:r w:rsidRPr="00E10517">
        <w:rPr>
          <w:rFonts w:cs="Arial"/>
          <w:sz w:val="16"/>
          <w:szCs w:val="16"/>
          <w:rtl/>
        </w:rPr>
        <w:t xml:space="preserve">(ב"ק נא:) </w:t>
      </w:r>
      <w:r w:rsidRPr="00E04596">
        <w:rPr>
          <w:rFonts w:cs="Arial"/>
          <w:rtl/>
        </w:rPr>
        <w:t>יש לחוש</w:t>
      </w:r>
      <w:r>
        <w:rPr>
          <w:rFonts w:cs="Arial" w:hint="cs"/>
          <w:rtl/>
        </w:rPr>
        <w:t>,</w:t>
      </w:r>
      <w:r w:rsidRPr="00E04596">
        <w:rPr>
          <w:rFonts w:cs="Arial"/>
          <w:rtl/>
        </w:rPr>
        <w:t xml:space="preserve"> לכן יש לבעל לחזור ולצוות לעדים בכל פעם</w:t>
      </w:r>
      <w:r w:rsidR="00E10517">
        <w:rPr>
          <w:rStyle w:val="a7"/>
          <w:rFonts w:cs="Arial"/>
          <w:rtl/>
        </w:rPr>
        <w:footnoteReference w:id="361"/>
      </w:r>
      <w:r w:rsidRPr="00E04596">
        <w:rPr>
          <w:rFonts w:cs="Arial"/>
          <w:rtl/>
        </w:rPr>
        <w:t xml:space="preserve">. </w:t>
      </w:r>
    </w:p>
    <w:p w14:paraId="15D79135" w14:textId="5234800B" w:rsidR="004A6A1A" w:rsidRDefault="00E10517" w:rsidP="00A65C5F">
      <w:pPr>
        <w:pStyle w:val="ab"/>
        <w:numPr>
          <w:ilvl w:val="1"/>
          <w:numId w:val="34"/>
        </w:numPr>
      </w:pPr>
      <w:r>
        <w:rPr>
          <w:rFonts w:cs="Arial" w:hint="cs"/>
          <w:rtl/>
        </w:rPr>
        <w:t>ב"י</w:t>
      </w:r>
      <w:r w:rsidR="00A82951">
        <w:rPr>
          <w:rFonts w:cs="Arial" w:hint="cs"/>
          <w:rtl/>
        </w:rPr>
        <w:t>-</w:t>
      </w:r>
      <w:r>
        <w:rPr>
          <w:rFonts w:cs="Arial" w:hint="cs"/>
          <w:rtl/>
        </w:rPr>
        <w:t xml:space="preserve"> </w:t>
      </w:r>
      <w:r w:rsidR="00795A90" w:rsidRPr="00E04596">
        <w:rPr>
          <w:rFonts w:cs="Arial"/>
          <w:rtl/>
        </w:rPr>
        <w:t>ואע</w:t>
      </w:r>
      <w:r>
        <w:rPr>
          <w:rFonts w:cs="Arial" w:hint="cs"/>
          <w:rtl/>
        </w:rPr>
        <w:t>"</w:t>
      </w:r>
      <w:r w:rsidR="00795A90" w:rsidRPr="00E04596">
        <w:rPr>
          <w:rFonts w:cs="Arial"/>
          <w:rtl/>
        </w:rPr>
        <w:t>פ שהפוסקים סתמו דבריהם כדברי ר"י נראה לי שאם הבעל מצוי בעיר</w:t>
      </w:r>
      <w:r w:rsidR="00882BD6">
        <w:rPr>
          <w:rFonts w:cs="Arial" w:hint="cs"/>
          <w:rtl/>
        </w:rPr>
        <w:t xml:space="preserve"> </w:t>
      </w:r>
      <w:r w:rsidR="00A82951">
        <w:rPr>
          <w:rFonts w:cs="Arial" w:hint="cs"/>
          <w:rtl/>
        </w:rPr>
        <w:t>-</w:t>
      </w:r>
      <w:r w:rsidR="00795A90" w:rsidRPr="00E04596">
        <w:rPr>
          <w:rFonts w:cs="Arial"/>
          <w:rtl/>
        </w:rPr>
        <w:t xml:space="preserve"> טוב שיחזור ויצוה בכל פעם למיחש לדברי רבינו תם היכא דאפשר</w:t>
      </w:r>
      <w:r w:rsidR="00795A90">
        <w:rPr>
          <w:rStyle w:val="a7"/>
          <w:rFonts w:cs="Arial"/>
          <w:rtl/>
        </w:rPr>
        <w:footnoteReference w:id="362"/>
      </w:r>
      <w:r w:rsidR="00795A90">
        <w:rPr>
          <w:rFonts w:cs="Arial" w:hint="cs"/>
          <w:rtl/>
        </w:rPr>
        <w:t>.</w:t>
      </w:r>
      <w:r w:rsidR="004A6A1A">
        <w:rPr>
          <w:rFonts w:cs="Arial" w:hint="cs"/>
          <w:rtl/>
        </w:rPr>
        <w:t xml:space="preserve">.. </w:t>
      </w:r>
      <w:r w:rsidR="00400EED" w:rsidRPr="004A6A1A">
        <w:rPr>
          <w:rFonts w:cs="Arial"/>
          <w:rtl/>
        </w:rPr>
        <w:t xml:space="preserve">ומתוך תשובות </w:t>
      </w:r>
      <w:r w:rsidR="004A6A1A">
        <w:rPr>
          <w:rFonts w:cs="Arial" w:hint="cs"/>
          <w:rtl/>
        </w:rPr>
        <w:t xml:space="preserve">אלו </w:t>
      </w:r>
      <w:r w:rsidR="004A6A1A" w:rsidRPr="004A6A1A">
        <w:rPr>
          <w:rFonts w:cs="Arial" w:hint="cs"/>
          <w:sz w:val="16"/>
          <w:szCs w:val="16"/>
          <w:rtl/>
        </w:rPr>
        <w:t>{היינו תשובות הרשב"א הנ"ל}</w:t>
      </w:r>
      <w:r w:rsidR="00400EED" w:rsidRPr="004A6A1A">
        <w:rPr>
          <w:rFonts w:cs="Arial"/>
          <w:rtl/>
        </w:rPr>
        <w:t xml:space="preserve"> למדנו שמה שכתב בספר התרומה שצריך לומר </w:t>
      </w:r>
      <w:r w:rsidR="005A03BB" w:rsidRPr="004A6A1A">
        <w:rPr>
          <w:rFonts w:cs="Arial" w:hint="cs"/>
          <w:rtl/>
        </w:rPr>
        <w:t>'</w:t>
      </w:r>
      <w:r w:rsidR="00400EED" w:rsidRPr="004A6A1A">
        <w:rPr>
          <w:rFonts w:cs="Arial"/>
          <w:rtl/>
        </w:rPr>
        <w:t>שאם יחפוץ לעשות הרבה גיטין מחמת ספק וליתנם כולם שיוכל לעשותם</w:t>
      </w:r>
      <w:r w:rsidR="005A03BB" w:rsidRPr="004A6A1A">
        <w:rPr>
          <w:rFonts w:cs="Arial" w:hint="cs"/>
          <w:rtl/>
        </w:rPr>
        <w:t>'</w:t>
      </w:r>
      <w:r w:rsidR="00400EED" w:rsidRPr="004A6A1A">
        <w:rPr>
          <w:rFonts w:cs="Arial"/>
          <w:rtl/>
        </w:rPr>
        <w:t xml:space="preserve"> </w:t>
      </w:r>
      <w:r w:rsidR="00400EED" w:rsidRPr="004A6A1A">
        <w:rPr>
          <w:rFonts w:cs="Arial"/>
          <w:sz w:val="16"/>
          <w:szCs w:val="16"/>
          <w:rtl/>
        </w:rPr>
        <w:t xml:space="preserve">[עכ"ל] </w:t>
      </w:r>
      <w:r w:rsidR="00A82951">
        <w:rPr>
          <w:rFonts w:cs="Arial" w:hint="cs"/>
          <w:rtl/>
        </w:rPr>
        <w:t>-</w:t>
      </w:r>
      <w:r w:rsidR="005A03BB" w:rsidRPr="004A6A1A">
        <w:rPr>
          <w:rFonts w:cs="Arial" w:hint="cs"/>
          <w:rtl/>
        </w:rPr>
        <w:t xml:space="preserve"> </w:t>
      </w:r>
      <w:r w:rsidR="00400EED" w:rsidRPr="004A6A1A">
        <w:rPr>
          <w:rFonts w:cs="Arial"/>
          <w:rtl/>
        </w:rPr>
        <w:t>תוספת ומותר גמור הוא</w:t>
      </w:r>
      <w:r w:rsidR="005A03BB" w:rsidRPr="004A6A1A">
        <w:rPr>
          <w:rFonts w:cs="Arial" w:hint="cs"/>
          <w:rtl/>
        </w:rPr>
        <w:t>,</w:t>
      </w:r>
      <w:r w:rsidR="00400EED" w:rsidRPr="004A6A1A">
        <w:rPr>
          <w:rFonts w:cs="Arial"/>
          <w:rtl/>
        </w:rPr>
        <w:t xml:space="preserve"> דהא אפילו בלא שיאמר הבעל הרשות ביד הסופר והעדים לכתוב ולחתום כמה גיטין וליתנם לה כולם</w:t>
      </w:r>
      <w:r w:rsidR="004A6A1A">
        <w:rPr>
          <w:rFonts w:cs="Arial" w:hint="cs"/>
          <w:rtl/>
        </w:rPr>
        <w:t>,</w:t>
      </w:r>
      <w:r w:rsidR="00400EED" w:rsidRPr="004A6A1A">
        <w:rPr>
          <w:rFonts w:cs="Arial"/>
          <w:rtl/>
        </w:rPr>
        <w:t xml:space="preserve"> והיא תתגרש בכשר מהם</w:t>
      </w:r>
      <w:r w:rsidR="005A03BB" w:rsidRPr="004A6A1A">
        <w:rPr>
          <w:rFonts w:cs="Arial" w:hint="cs"/>
          <w:rtl/>
        </w:rPr>
        <w:t>.</w:t>
      </w:r>
      <w:r w:rsidR="00400EED" w:rsidRPr="004A6A1A">
        <w:rPr>
          <w:rFonts w:cs="Arial"/>
          <w:rtl/>
        </w:rPr>
        <w:t xml:space="preserve"> ולא הוצרכנו לאמירת הבעל אלא לשלא נצטרך ליזהר שלא יאבד אחד מהם</w:t>
      </w:r>
      <w:r w:rsidR="005A03BB" w:rsidRPr="004A6A1A">
        <w:rPr>
          <w:rFonts w:cs="Arial" w:hint="cs"/>
          <w:rtl/>
        </w:rPr>
        <w:t>,</w:t>
      </w:r>
      <w:r w:rsidR="00400EED" w:rsidRPr="004A6A1A">
        <w:rPr>
          <w:rFonts w:cs="Arial"/>
          <w:rtl/>
        </w:rPr>
        <w:t xml:space="preserve"> ולפיכך כתבו התוספות והפוסקים </w:t>
      </w:r>
      <w:r w:rsidR="004A6A1A">
        <w:rPr>
          <w:rFonts w:cs="Arial" w:hint="cs"/>
          <w:rtl/>
        </w:rPr>
        <w:t>'</w:t>
      </w:r>
      <w:r w:rsidR="00400EED" w:rsidRPr="004A6A1A">
        <w:rPr>
          <w:rFonts w:cs="Arial"/>
          <w:rtl/>
        </w:rPr>
        <w:t>טוב להנהיג שיאמר הבעל לעדים ולסופר לכתוב ולחתום עד שיהא הגט כשר לדעתם</w:t>
      </w:r>
      <w:r w:rsidR="004A6A1A">
        <w:rPr>
          <w:rFonts w:cs="Arial" w:hint="cs"/>
          <w:rtl/>
        </w:rPr>
        <w:t>...</w:t>
      </w:r>
      <w:r w:rsidR="00400EED" w:rsidRPr="004A6A1A">
        <w:rPr>
          <w:rFonts w:cs="Arial"/>
          <w:rtl/>
        </w:rPr>
        <w:t>'</w:t>
      </w:r>
      <w:r w:rsidR="005A03BB" w:rsidRPr="004A6A1A">
        <w:rPr>
          <w:rFonts w:cs="Arial" w:hint="cs"/>
          <w:rtl/>
        </w:rPr>
        <w:t>,</w:t>
      </w:r>
      <w:r w:rsidR="00400EED" w:rsidRPr="004A6A1A">
        <w:rPr>
          <w:rFonts w:cs="Arial"/>
          <w:rtl/>
        </w:rPr>
        <w:t xml:space="preserve"> כלומר לשופרא דמילתא טוב להנהיג כן</w:t>
      </w:r>
      <w:r w:rsidR="005A03BB" w:rsidRPr="004A6A1A">
        <w:rPr>
          <w:rFonts w:cs="Arial" w:hint="cs"/>
          <w:rtl/>
        </w:rPr>
        <w:t>,</w:t>
      </w:r>
      <w:r w:rsidR="00400EED" w:rsidRPr="004A6A1A">
        <w:rPr>
          <w:rFonts w:cs="Arial"/>
          <w:rtl/>
        </w:rPr>
        <w:t xml:space="preserve"> לשלא יצטרכו לתת לה שניהם</w:t>
      </w:r>
      <w:r w:rsidR="005A03BB" w:rsidRPr="004A6A1A">
        <w:rPr>
          <w:rFonts w:cs="Arial" w:hint="cs"/>
          <w:rtl/>
        </w:rPr>
        <w:t>,</w:t>
      </w:r>
      <w:r w:rsidR="00400EED" w:rsidRPr="004A6A1A">
        <w:rPr>
          <w:rFonts w:cs="Arial"/>
          <w:rtl/>
        </w:rPr>
        <w:t xml:space="preserve"> אבל אין עיכוב בדבר</w:t>
      </w:r>
      <w:r w:rsidR="005A03BB" w:rsidRPr="004A6A1A">
        <w:rPr>
          <w:rFonts w:cs="Arial" w:hint="cs"/>
          <w:rtl/>
        </w:rPr>
        <w:t>,</w:t>
      </w:r>
      <w:r w:rsidR="00400EED" w:rsidRPr="004A6A1A">
        <w:rPr>
          <w:rFonts w:cs="Arial"/>
          <w:rtl/>
        </w:rPr>
        <w:t xml:space="preserve"> לפי שאם לא יאמר כן תתגרש על ידי נתינת שניהם</w:t>
      </w:r>
      <w:r w:rsidR="005A03BB" w:rsidRPr="004A6A1A">
        <w:rPr>
          <w:rFonts w:cs="Arial" w:hint="cs"/>
          <w:rtl/>
        </w:rPr>
        <w:t>.</w:t>
      </w:r>
      <w:r w:rsidR="00400EED" w:rsidRPr="004A6A1A">
        <w:rPr>
          <w:rFonts w:cs="Arial"/>
          <w:rtl/>
        </w:rPr>
        <w:t xml:space="preserve"> ונראה לי דמשום הכי לא כתבו הגהות התוספת הזה וגם סמ"ג לא הזכירו</w:t>
      </w:r>
      <w:r w:rsidR="005A03BB" w:rsidRPr="004A6A1A">
        <w:rPr>
          <w:rFonts w:cs="Arial" w:hint="cs"/>
          <w:rtl/>
        </w:rPr>
        <w:t>.</w:t>
      </w:r>
      <w:r w:rsidR="00016D8F">
        <w:rPr>
          <w:rFonts w:hint="cs"/>
          <w:rtl/>
        </w:rPr>
        <w:t xml:space="preserve"> </w:t>
      </w:r>
      <w:r w:rsidR="00016D8F" w:rsidRPr="00016D8F">
        <w:rPr>
          <w:rFonts w:hint="cs"/>
          <w:color w:val="00B0F0"/>
          <w:rtl/>
        </w:rPr>
        <w:t>(וכ"פ הרמ"א)</w:t>
      </w:r>
    </w:p>
    <w:p w14:paraId="48CB041F" w14:textId="67B857C2" w:rsidR="004A6A1A" w:rsidRPr="004A6A1A" w:rsidRDefault="004A6A1A" w:rsidP="004A6A1A">
      <w:pPr>
        <w:rPr>
          <w:u w:val="single"/>
        </w:rPr>
      </w:pPr>
      <w:r w:rsidRPr="004A6A1A">
        <w:rPr>
          <w:rFonts w:hint="cs"/>
          <w:u w:val="single"/>
          <w:rtl/>
        </w:rPr>
        <w:t xml:space="preserve">גט שלא נגמר לגמרי </w:t>
      </w:r>
      <w:r w:rsidR="00A82951">
        <w:rPr>
          <w:u w:val="single"/>
          <w:rtl/>
        </w:rPr>
        <w:t>-</w:t>
      </w:r>
      <w:r w:rsidRPr="004A6A1A">
        <w:rPr>
          <w:rFonts w:hint="cs"/>
          <w:u w:val="single"/>
          <w:rtl/>
        </w:rPr>
        <w:t xml:space="preserve"> האם אמרינן 'כבר עשו שליחותן':</w:t>
      </w:r>
    </w:p>
    <w:p w14:paraId="3F1A3E00" w14:textId="2C570A42" w:rsidR="00400EED" w:rsidRPr="001E3F4C" w:rsidRDefault="00400EED" w:rsidP="00A65C5F">
      <w:pPr>
        <w:pStyle w:val="ab"/>
        <w:numPr>
          <w:ilvl w:val="0"/>
          <w:numId w:val="35"/>
        </w:numPr>
      </w:pPr>
      <w:r w:rsidRPr="004A6A1A">
        <w:rPr>
          <w:rFonts w:cs="Arial"/>
          <w:rtl/>
        </w:rPr>
        <w:t>תשב</w:t>
      </w:r>
      <w:r w:rsidR="004A6A1A">
        <w:rPr>
          <w:rFonts w:cs="Arial" w:hint="cs"/>
          <w:rtl/>
        </w:rPr>
        <w:t>"</w:t>
      </w:r>
      <w:r w:rsidRPr="004A6A1A">
        <w:rPr>
          <w:rFonts w:cs="Arial"/>
          <w:rtl/>
        </w:rPr>
        <w:t xml:space="preserve">ץ </w:t>
      </w:r>
      <w:r w:rsidR="004A6A1A" w:rsidRPr="004A6A1A">
        <w:rPr>
          <w:rFonts w:cs="Arial" w:hint="cs"/>
          <w:sz w:val="16"/>
          <w:szCs w:val="16"/>
          <w:rtl/>
        </w:rPr>
        <w:t>(</w:t>
      </w:r>
      <w:r w:rsidRPr="004A6A1A">
        <w:rPr>
          <w:rFonts w:cs="Arial"/>
          <w:sz w:val="16"/>
          <w:szCs w:val="16"/>
          <w:rtl/>
        </w:rPr>
        <w:t>ח"א סי' כ ד"ה ואחר שנתבאר)</w:t>
      </w:r>
      <w:r w:rsidR="00A82951">
        <w:rPr>
          <w:rFonts w:cs="Arial" w:hint="cs"/>
          <w:rtl/>
        </w:rPr>
        <w:t>-</w:t>
      </w:r>
      <w:r w:rsidRPr="004A6A1A">
        <w:rPr>
          <w:rFonts w:cs="Arial"/>
          <w:rtl/>
        </w:rPr>
        <w:t xml:space="preserve"> שמא נאמר דלא אמרינן דעשו שליחותן אלא כשנכתב ונחתם</w:t>
      </w:r>
      <w:r w:rsidR="001E3F4C">
        <w:rPr>
          <w:rFonts w:cs="Arial" w:hint="cs"/>
          <w:rtl/>
        </w:rPr>
        <w:t>,</w:t>
      </w:r>
      <w:r w:rsidRPr="004A6A1A">
        <w:rPr>
          <w:rFonts w:cs="Arial"/>
          <w:rtl/>
        </w:rPr>
        <w:t xml:space="preserve"> אבל אם עדיין לא נחתם </w:t>
      </w:r>
      <w:r w:rsidR="00A82951">
        <w:rPr>
          <w:rFonts w:cs="Arial" w:hint="cs"/>
          <w:rtl/>
        </w:rPr>
        <w:t>-</w:t>
      </w:r>
      <w:r w:rsidR="001E3F4C">
        <w:rPr>
          <w:rFonts w:cs="Arial" w:hint="cs"/>
          <w:rtl/>
        </w:rPr>
        <w:t xml:space="preserve"> </w:t>
      </w:r>
      <w:r w:rsidRPr="004A6A1A">
        <w:rPr>
          <w:rFonts w:cs="Arial"/>
          <w:rtl/>
        </w:rPr>
        <w:t>לא נגמר הענין וכותבין אפילו מאה שלא עשו שליחותן</w:t>
      </w:r>
      <w:r w:rsidR="00F95936">
        <w:rPr>
          <w:rStyle w:val="a7"/>
          <w:rFonts w:cs="Arial"/>
          <w:rtl/>
        </w:rPr>
        <w:footnoteReference w:id="363"/>
      </w:r>
      <w:r w:rsidR="001E3F4C">
        <w:rPr>
          <w:rFonts w:cs="Arial" w:hint="cs"/>
          <w:rtl/>
        </w:rPr>
        <w:t>.</w:t>
      </w:r>
      <w:r w:rsidRPr="004A6A1A">
        <w:rPr>
          <w:rFonts w:cs="Arial"/>
          <w:rtl/>
        </w:rPr>
        <w:t xml:space="preserve"> ואפילו חתם בו עד אחד</w:t>
      </w:r>
      <w:r w:rsidR="001E3F4C">
        <w:rPr>
          <w:rFonts w:cs="Arial" w:hint="cs"/>
          <w:rtl/>
        </w:rPr>
        <w:t>,</w:t>
      </w:r>
      <w:r w:rsidRPr="004A6A1A">
        <w:rPr>
          <w:rFonts w:cs="Arial"/>
          <w:rtl/>
        </w:rPr>
        <w:t xml:space="preserve"> כיון שלא חתם השני </w:t>
      </w:r>
      <w:r w:rsidR="00A82951">
        <w:rPr>
          <w:rFonts w:cs="Arial" w:hint="cs"/>
          <w:rtl/>
        </w:rPr>
        <w:t>-</w:t>
      </w:r>
      <w:r w:rsidR="001E3F4C">
        <w:rPr>
          <w:rFonts w:cs="Arial" w:hint="cs"/>
          <w:rtl/>
        </w:rPr>
        <w:t xml:space="preserve"> </w:t>
      </w:r>
      <w:r w:rsidRPr="004A6A1A">
        <w:rPr>
          <w:rFonts w:cs="Arial"/>
          <w:rtl/>
        </w:rPr>
        <w:t>לא נגמר הענין.</w:t>
      </w:r>
      <w:r w:rsidR="001E3F4C">
        <w:rPr>
          <w:rFonts w:cs="Arial" w:hint="cs"/>
          <w:rtl/>
        </w:rPr>
        <w:t>..</w:t>
      </w:r>
      <w:r w:rsidRPr="004A6A1A">
        <w:rPr>
          <w:rFonts w:cs="Arial"/>
          <w:rtl/>
        </w:rPr>
        <w:t xml:space="preserve"> עוד יש להקל ולומר שכיון שאמר </w:t>
      </w:r>
      <w:r w:rsidR="001E3F4C">
        <w:rPr>
          <w:rFonts w:cs="Arial" w:hint="cs"/>
          <w:rtl/>
        </w:rPr>
        <w:t>'</w:t>
      </w:r>
      <w:r w:rsidRPr="004A6A1A">
        <w:rPr>
          <w:rFonts w:cs="Arial"/>
          <w:rtl/>
        </w:rPr>
        <w:t>כתבו מאחד עד מאה עד שיצא אחד כשר כהוגן וכתיקון חז"ל</w:t>
      </w:r>
      <w:r w:rsidR="001E3F4C">
        <w:rPr>
          <w:rFonts w:cs="Arial" w:hint="cs"/>
          <w:rtl/>
        </w:rPr>
        <w:t>'</w:t>
      </w:r>
      <w:r w:rsidRPr="004A6A1A">
        <w:rPr>
          <w:rFonts w:cs="Arial"/>
          <w:rtl/>
        </w:rPr>
        <w:t xml:space="preserve"> </w:t>
      </w:r>
      <w:r w:rsidR="00A82951">
        <w:rPr>
          <w:rFonts w:cs="Arial" w:hint="cs"/>
          <w:rtl/>
        </w:rPr>
        <w:t>-</w:t>
      </w:r>
      <w:r w:rsidR="001E3F4C">
        <w:rPr>
          <w:rFonts w:cs="Arial" w:hint="cs"/>
          <w:rtl/>
        </w:rPr>
        <w:t xml:space="preserve"> </w:t>
      </w:r>
      <w:r w:rsidRPr="004A6A1A">
        <w:rPr>
          <w:rFonts w:cs="Arial"/>
          <w:rtl/>
        </w:rPr>
        <w:t>דעתו היה עד שיזדמן להם כשר לפי דעתם</w:t>
      </w:r>
      <w:r w:rsidR="001E3F4C">
        <w:rPr>
          <w:rFonts w:cs="Arial" w:hint="cs"/>
          <w:rtl/>
        </w:rPr>
        <w:t>.</w:t>
      </w:r>
      <w:r w:rsidRPr="004A6A1A">
        <w:rPr>
          <w:rFonts w:cs="Arial"/>
          <w:rtl/>
        </w:rPr>
        <w:t xml:space="preserve"> ומה שאמר </w:t>
      </w:r>
      <w:r w:rsidR="001E3F4C">
        <w:rPr>
          <w:rFonts w:cs="Arial" w:hint="cs"/>
          <w:rtl/>
        </w:rPr>
        <w:t>'</w:t>
      </w:r>
      <w:r w:rsidRPr="004A6A1A">
        <w:rPr>
          <w:rFonts w:cs="Arial"/>
          <w:rtl/>
        </w:rPr>
        <w:t>כתיקון חכמים</w:t>
      </w:r>
      <w:r w:rsidR="001E3F4C">
        <w:rPr>
          <w:rFonts w:cs="Arial" w:hint="cs"/>
          <w:rtl/>
        </w:rPr>
        <w:t>'</w:t>
      </w:r>
      <w:r w:rsidRPr="004A6A1A">
        <w:rPr>
          <w:rFonts w:cs="Arial"/>
          <w:rtl/>
        </w:rPr>
        <w:t xml:space="preserve"> </w:t>
      </w:r>
      <w:r w:rsidR="00A82951">
        <w:rPr>
          <w:rFonts w:cs="Arial" w:hint="cs"/>
          <w:rtl/>
        </w:rPr>
        <w:t>-</w:t>
      </w:r>
      <w:r w:rsidR="001E3F4C">
        <w:rPr>
          <w:rFonts w:cs="Arial" w:hint="cs"/>
          <w:rtl/>
        </w:rPr>
        <w:t xml:space="preserve"> </w:t>
      </w:r>
      <w:r w:rsidRPr="004A6A1A">
        <w:rPr>
          <w:rFonts w:cs="Arial"/>
          <w:rtl/>
        </w:rPr>
        <w:t>לפי דעתם אמר</w:t>
      </w:r>
      <w:r w:rsidR="001E3F4C">
        <w:rPr>
          <w:rFonts w:cs="Arial" w:hint="cs"/>
          <w:rtl/>
        </w:rPr>
        <w:t>,</w:t>
      </w:r>
      <w:r w:rsidRPr="004A6A1A">
        <w:rPr>
          <w:rFonts w:cs="Arial"/>
          <w:rtl/>
        </w:rPr>
        <w:t xml:space="preserve"> דאדעתייהו קא מגרש כיון שאין שם מורה דעה אלא הם</w:t>
      </w:r>
      <w:r w:rsidR="004A6A1A" w:rsidRPr="004A6A1A">
        <w:rPr>
          <w:rFonts w:cs="Arial" w:hint="cs"/>
          <w:rtl/>
        </w:rPr>
        <w:t>.</w:t>
      </w:r>
    </w:p>
    <w:p w14:paraId="73143B8E" w14:textId="796EFA2D" w:rsidR="001E3F4C" w:rsidRPr="001E3F4C" w:rsidRDefault="001E3F4C" w:rsidP="001E3F4C">
      <w:r w:rsidRPr="001E3F4C">
        <w:rPr>
          <w:rFonts w:cs="Arial" w:hint="cs"/>
          <w:u w:val="single"/>
          <w:rtl/>
        </w:rPr>
        <w:t>האם הסופר יכול לעשות תיקוני</w:t>
      </w:r>
      <w:r>
        <w:rPr>
          <w:rFonts w:cs="Arial" w:hint="cs"/>
          <w:u w:val="single"/>
          <w:rtl/>
        </w:rPr>
        <w:t>ם</w:t>
      </w:r>
      <w:r w:rsidRPr="001E3F4C">
        <w:rPr>
          <w:rFonts w:cs="Arial" w:hint="cs"/>
          <w:u w:val="single"/>
          <w:rtl/>
        </w:rPr>
        <w:t xml:space="preserve"> באותיות לאחר שהרב ראה את הגט:</w:t>
      </w:r>
      <w:r w:rsidRPr="001E3F4C">
        <w:rPr>
          <w:rFonts w:cs="Arial" w:hint="cs"/>
          <w:sz w:val="16"/>
          <w:szCs w:val="16"/>
          <w:rtl/>
        </w:rPr>
        <w:t xml:space="preserve"> </w:t>
      </w:r>
      <w:r w:rsidRPr="001E3F4C">
        <w:rPr>
          <w:rFonts w:cs="Arial"/>
          <w:sz w:val="16"/>
          <w:szCs w:val="16"/>
          <w:rtl/>
        </w:rPr>
        <w:t>(</w:t>
      </w:r>
      <w:r w:rsidRPr="001E3F4C">
        <w:rPr>
          <w:rFonts w:cs="Arial" w:hint="cs"/>
          <w:sz w:val="16"/>
          <w:szCs w:val="16"/>
          <w:rtl/>
        </w:rPr>
        <w:t xml:space="preserve">דרכ"מ אות </w:t>
      </w:r>
      <w:r w:rsidRPr="001E3F4C">
        <w:rPr>
          <w:rFonts w:cs="Arial"/>
          <w:sz w:val="16"/>
          <w:szCs w:val="16"/>
          <w:rtl/>
        </w:rPr>
        <w:t>ג)</w:t>
      </w:r>
      <w:r w:rsidRPr="001E3F4C">
        <w:rPr>
          <w:rFonts w:cs="Arial"/>
          <w:rtl/>
        </w:rPr>
        <w:t xml:space="preserve"> </w:t>
      </w:r>
    </w:p>
    <w:p w14:paraId="3BD475F7" w14:textId="6FE394DB" w:rsidR="001E3F4C" w:rsidRPr="007D267E" w:rsidRDefault="001E3F4C" w:rsidP="00A65C5F">
      <w:pPr>
        <w:pStyle w:val="ab"/>
        <w:numPr>
          <w:ilvl w:val="0"/>
          <w:numId w:val="35"/>
        </w:numPr>
        <w:rPr>
          <w:rtl/>
        </w:rPr>
      </w:pPr>
      <w:r w:rsidRPr="00400EED">
        <w:rPr>
          <w:rFonts w:cs="Arial"/>
          <w:rtl/>
        </w:rPr>
        <w:t xml:space="preserve">סדר גיטין </w:t>
      </w:r>
      <w:r w:rsidRPr="001E3F4C">
        <w:rPr>
          <w:rFonts w:cs="Arial" w:hint="cs"/>
          <w:sz w:val="16"/>
          <w:szCs w:val="16"/>
          <w:rtl/>
        </w:rPr>
        <w:t>(</w:t>
      </w:r>
      <w:r w:rsidRPr="001E3F4C">
        <w:rPr>
          <w:rFonts w:cs="Arial"/>
          <w:sz w:val="16"/>
          <w:szCs w:val="16"/>
          <w:rtl/>
        </w:rPr>
        <w:t>סי</w:t>
      </w:r>
      <w:r>
        <w:rPr>
          <w:rFonts w:cs="Arial" w:hint="cs"/>
          <w:sz w:val="16"/>
          <w:szCs w:val="16"/>
          <w:rtl/>
        </w:rPr>
        <w:t>'</w:t>
      </w:r>
      <w:r w:rsidRPr="001E3F4C">
        <w:rPr>
          <w:rFonts w:cs="Arial"/>
          <w:sz w:val="16"/>
          <w:szCs w:val="16"/>
          <w:rtl/>
        </w:rPr>
        <w:t xml:space="preserve"> ט</w:t>
      </w:r>
      <w:r>
        <w:rPr>
          <w:rFonts w:cs="Arial" w:hint="cs"/>
          <w:sz w:val="16"/>
          <w:szCs w:val="16"/>
          <w:rtl/>
        </w:rPr>
        <w:t>)</w:t>
      </w:r>
      <w:r w:rsidR="00A82951">
        <w:rPr>
          <w:rFonts w:cs="Arial" w:hint="cs"/>
          <w:rtl/>
        </w:rPr>
        <w:t>-</w:t>
      </w:r>
      <w:r w:rsidRPr="00400EED">
        <w:rPr>
          <w:rFonts w:cs="Arial"/>
          <w:rtl/>
        </w:rPr>
        <w:t xml:space="preserve"> ויזהר הסופר לאחר שראה הרב הגט שאם היה לו שום חיסור בגט כגון למשוך אות או שאר אותיות שנטשטשו ואין רישומן ניכר </w:t>
      </w:r>
      <w:r w:rsidR="00A82951">
        <w:rPr>
          <w:rFonts w:cs="Arial" w:hint="cs"/>
          <w:rtl/>
        </w:rPr>
        <w:t>-</w:t>
      </w:r>
      <w:r w:rsidR="00016D8F">
        <w:rPr>
          <w:rFonts w:cs="Arial" w:hint="cs"/>
          <w:rtl/>
        </w:rPr>
        <w:t xml:space="preserve"> </w:t>
      </w:r>
      <w:r w:rsidRPr="00400EED">
        <w:rPr>
          <w:rFonts w:cs="Arial"/>
          <w:rtl/>
        </w:rPr>
        <w:t>שלא יעשה בלתי רשות הרב</w:t>
      </w:r>
      <w:r w:rsidR="00016D8F">
        <w:rPr>
          <w:rFonts w:cs="Arial" w:hint="cs"/>
          <w:rtl/>
        </w:rPr>
        <w:t>.</w:t>
      </w:r>
      <w:r w:rsidRPr="00400EED">
        <w:rPr>
          <w:rFonts w:cs="Arial"/>
          <w:rtl/>
        </w:rPr>
        <w:t xml:space="preserve"> דשמא כשר הוא לדעת הרב</w:t>
      </w:r>
      <w:r w:rsidR="00016D8F">
        <w:rPr>
          <w:rFonts w:cs="Arial" w:hint="cs"/>
          <w:rtl/>
        </w:rPr>
        <w:t>,</w:t>
      </w:r>
      <w:r w:rsidRPr="00400EED">
        <w:rPr>
          <w:rFonts w:cs="Arial"/>
          <w:rtl/>
        </w:rPr>
        <w:t xml:space="preserve"> וכבר עשה הסופר שליחותו</w:t>
      </w:r>
      <w:r w:rsidR="00C17039">
        <w:rPr>
          <w:rStyle w:val="a7"/>
          <w:rFonts w:cs="Arial"/>
          <w:rtl/>
        </w:rPr>
        <w:footnoteReference w:id="364"/>
      </w:r>
      <w:r w:rsidR="00C17039">
        <w:rPr>
          <w:rFonts w:cs="Arial" w:hint="cs"/>
          <w:rtl/>
        </w:rPr>
        <w:t>.</w:t>
      </w:r>
      <w:r w:rsidRPr="00400EED">
        <w:rPr>
          <w:rFonts w:cs="Arial"/>
          <w:rtl/>
        </w:rPr>
        <w:t xml:space="preserve"> ובקצת טופסי גיטין</w:t>
      </w:r>
      <w:r w:rsidR="00016D8F">
        <w:rPr>
          <w:rFonts w:cs="Arial" w:hint="cs"/>
          <w:sz w:val="16"/>
          <w:szCs w:val="16"/>
          <w:rtl/>
        </w:rPr>
        <w:t xml:space="preserve"> {כתוב}</w:t>
      </w:r>
      <w:r w:rsidRPr="00400EED">
        <w:rPr>
          <w:rFonts w:cs="Arial"/>
          <w:rtl/>
        </w:rPr>
        <w:t xml:space="preserve"> שיאמר לו בתחלה לסופר שיהא כשר בעיני הרב ולמי שמראה אותו </w:t>
      </w:r>
      <w:r w:rsidRPr="00C17039">
        <w:rPr>
          <w:rFonts w:cs="Arial"/>
          <w:b/>
          <w:bCs/>
          <w:rtl/>
        </w:rPr>
        <w:t>או לך</w:t>
      </w:r>
      <w:r w:rsidR="003F367C">
        <w:rPr>
          <w:rStyle w:val="a7"/>
          <w:rFonts w:cs="Arial"/>
          <w:rtl/>
        </w:rPr>
        <w:footnoteReference w:id="365"/>
      </w:r>
      <w:r>
        <w:rPr>
          <w:rFonts w:hint="cs"/>
          <w:rtl/>
        </w:rPr>
        <w:t>.</w:t>
      </w:r>
    </w:p>
    <w:p w14:paraId="2CA264CD" w14:textId="77777777" w:rsidR="00677A75" w:rsidRPr="007B74F1" w:rsidRDefault="00677A75" w:rsidP="00677A7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8CC04EC" w14:textId="16AF5458" w:rsidR="00677A75" w:rsidRDefault="00677A75" w:rsidP="00677A75">
      <w:pPr>
        <w:rPr>
          <w:rFonts w:cs="Arial"/>
          <w:rtl/>
        </w:rPr>
      </w:pPr>
      <w:r w:rsidRPr="00677A75">
        <w:rPr>
          <w:rFonts w:cs="Arial"/>
          <w:rtl/>
        </w:rPr>
        <w:t>אמר לסופר ולעדים לכתוב ולחתום וליתן גט לאשתו, וכתבו וחתמו ונתנו לה, ונמצא פסול או שכתבוהו ונאבד</w:t>
      </w:r>
      <w:r w:rsidR="003F6669">
        <w:rPr>
          <w:rStyle w:val="a7"/>
          <w:rFonts w:cs="Arial"/>
          <w:rtl/>
        </w:rPr>
        <w:footnoteReference w:id="366"/>
      </w:r>
      <w:r w:rsidRPr="00677A75">
        <w:rPr>
          <w:rFonts w:cs="Arial"/>
          <w:rtl/>
        </w:rPr>
        <w:t xml:space="preserve">, יכולים לכתוב גט אחר. ואם לא נאבד, והם מסופקים אם הוא כשר מכמה חומרות שנהגו להחמיר, הרי עשו שליחותם וצריך </w:t>
      </w:r>
      <w:r w:rsidRPr="00677A75">
        <w:rPr>
          <w:rFonts w:cs="Arial"/>
          <w:rtl/>
        </w:rPr>
        <w:lastRenderedPageBreak/>
        <w:t xml:space="preserve">לחזור הבעל לומר להם לכתוב ולחתום. </w:t>
      </w:r>
      <w:r w:rsidRPr="007D267E">
        <w:rPr>
          <w:rFonts w:cs="Arial"/>
          <w:sz w:val="18"/>
          <w:szCs w:val="18"/>
          <w:rtl/>
        </w:rPr>
        <w:t>הגה: ואם העדים רוצים לכתוב אחר וליתן לה שניהם</w:t>
      </w:r>
      <w:r w:rsidR="00C27C61">
        <w:rPr>
          <w:rStyle w:val="a7"/>
          <w:rFonts w:cs="Arial"/>
          <w:sz w:val="18"/>
          <w:szCs w:val="18"/>
          <w:rtl/>
        </w:rPr>
        <w:footnoteReference w:id="367"/>
      </w:r>
      <w:r w:rsidRPr="007D267E">
        <w:rPr>
          <w:rFonts w:cs="Arial"/>
          <w:sz w:val="18"/>
          <w:szCs w:val="18"/>
          <w:rtl/>
        </w:rPr>
        <w:t>, הרשות בידם</w:t>
      </w:r>
      <w:r w:rsidR="003F367C">
        <w:rPr>
          <w:rStyle w:val="a7"/>
          <w:rFonts w:cs="Arial"/>
          <w:sz w:val="18"/>
          <w:szCs w:val="18"/>
          <w:rtl/>
        </w:rPr>
        <w:footnoteReference w:id="368"/>
      </w:r>
      <w:r w:rsidRPr="007D267E">
        <w:rPr>
          <w:rFonts w:cs="Arial"/>
          <w:sz w:val="18"/>
          <w:szCs w:val="18"/>
          <w:rtl/>
        </w:rPr>
        <w:t xml:space="preserve"> ואין צריכים לשאול לבעל (רשב"א). </w:t>
      </w:r>
      <w:r w:rsidRPr="00016D8F">
        <w:rPr>
          <w:rFonts w:cs="Arial"/>
          <w:rtl/>
        </w:rPr>
        <w:t xml:space="preserve">לכן אם הבעל הולך מהעיר, יאמר שהוא נותן להם רשות לכתוב ולחתום גט מאחד עד מאה עד שיהא א' כשר בין בכתיבה בין בחתימה לדעת הרב שבעיר בלי שום פקפוק. </w:t>
      </w:r>
      <w:r w:rsidRPr="007D267E">
        <w:rPr>
          <w:rFonts w:cs="Arial"/>
          <w:sz w:val="18"/>
          <w:szCs w:val="18"/>
          <w:rtl/>
        </w:rPr>
        <w:t>הגה: ולכל מי שמראה אותו (סדר גיטין). אבל אם הבעל בעיר, אין לסמוך על זה</w:t>
      </w:r>
      <w:r w:rsidR="007A7EA9">
        <w:rPr>
          <w:rStyle w:val="a7"/>
          <w:rFonts w:cs="Arial"/>
          <w:sz w:val="18"/>
          <w:szCs w:val="18"/>
          <w:rtl/>
        </w:rPr>
        <w:footnoteReference w:id="369"/>
      </w:r>
      <w:r w:rsidRPr="007D267E">
        <w:rPr>
          <w:rFonts w:cs="Arial"/>
          <w:sz w:val="18"/>
          <w:szCs w:val="18"/>
          <w:rtl/>
        </w:rPr>
        <w:t xml:space="preserve"> ויש לבעל לחזור ולצוות כל פעם לעדים ולסופר</w:t>
      </w:r>
      <w:r w:rsidR="007A7EA9">
        <w:rPr>
          <w:rStyle w:val="a7"/>
          <w:rFonts w:cs="Arial"/>
          <w:sz w:val="18"/>
          <w:szCs w:val="18"/>
          <w:rtl/>
        </w:rPr>
        <w:footnoteReference w:id="370"/>
      </w:r>
      <w:r w:rsidRPr="007D267E">
        <w:rPr>
          <w:rFonts w:cs="Arial"/>
          <w:sz w:val="18"/>
          <w:szCs w:val="18"/>
          <w:rtl/>
        </w:rPr>
        <w:t xml:space="preserve"> (ב"י). וכן נוהגין שחוזר ומצוה כמו בראשונה, גם מקנה להם הקלף והדיו אם לא נשאר לסופר ממה שהקנה לו בראשונה (כן נמצא בסדר גיטין). י"א הא דאמרינן עשו עדים וסופר שליחותן צריך לחזור ולצוות, היינו דוקא אם כבר נחתם, ונפסל</w:t>
      </w:r>
      <w:r w:rsidR="00016D8F">
        <w:rPr>
          <w:rFonts w:cs="Arial" w:hint="cs"/>
          <w:sz w:val="18"/>
          <w:szCs w:val="18"/>
          <w:rtl/>
        </w:rPr>
        <w:t>.</w:t>
      </w:r>
      <w:r w:rsidRPr="007D267E">
        <w:rPr>
          <w:rFonts w:cs="Arial"/>
          <w:sz w:val="18"/>
          <w:szCs w:val="18"/>
          <w:rtl/>
        </w:rPr>
        <w:t xml:space="preserve"> אבל אם עדיין לא נחתם, יכולין לכתוב אחר ואין הבעל צריך לצוות (רשב"ץ), אבל נהגו להחמיר בכל ענין</w:t>
      </w:r>
      <w:r w:rsidR="003F367C">
        <w:rPr>
          <w:rStyle w:val="a7"/>
          <w:rFonts w:cs="Arial"/>
          <w:sz w:val="18"/>
          <w:szCs w:val="18"/>
          <w:rtl/>
        </w:rPr>
        <w:footnoteReference w:id="371"/>
      </w:r>
      <w:r w:rsidRPr="007D267E">
        <w:rPr>
          <w:rFonts w:cs="Arial"/>
          <w:sz w:val="18"/>
          <w:szCs w:val="18"/>
          <w:rtl/>
        </w:rPr>
        <w:t>.</w:t>
      </w:r>
      <w:r w:rsidRPr="00677A75">
        <w:rPr>
          <w:rFonts w:cs="Arial"/>
          <w:rtl/>
        </w:rPr>
        <w:t xml:space="preserve"> </w:t>
      </w:r>
    </w:p>
    <w:p w14:paraId="5C3DD0A7" w14:textId="275531EE" w:rsidR="002867A9" w:rsidRPr="002867A9" w:rsidRDefault="002867A9" w:rsidP="002867A9">
      <w:pPr>
        <w:rPr>
          <w:rFonts w:cs="Arial"/>
          <w:u w:val="single"/>
          <w:rtl/>
        </w:rPr>
      </w:pPr>
      <w:r w:rsidRPr="002867A9">
        <w:rPr>
          <w:rFonts w:cs="Arial" w:hint="cs"/>
          <w:u w:val="single"/>
          <w:rtl/>
        </w:rPr>
        <w:t>בעל ש</w:t>
      </w:r>
      <w:r>
        <w:rPr>
          <w:rFonts w:cs="Arial" w:hint="cs"/>
          <w:u w:val="single"/>
          <w:rtl/>
        </w:rPr>
        <w:t>צוה</w:t>
      </w:r>
      <w:r w:rsidRPr="002867A9">
        <w:rPr>
          <w:rFonts w:cs="Arial" w:hint="cs"/>
          <w:u w:val="single"/>
          <w:rtl/>
        </w:rPr>
        <w:t xml:space="preserve"> </w:t>
      </w:r>
      <w:r>
        <w:rPr>
          <w:rFonts w:cs="Arial" w:hint="cs"/>
          <w:u w:val="single"/>
          <w:rtl/>
        </w:rPr>
        <w:t>ל</w:t>
      </w:r>
      <w:r w:rsidRPr="002867A9">
        <w:rPr>
          <w:rFonts w:cs="Arial" w:hint="cs"/>
          <w:u w:val="single"/>
          <w:rtl/>
        </w:rPr>
        <w:t>אחד לכתוב, ו</w:t>
      </w:r>
      <w:r>
        <w:rPr>
          <w:rFonts w:cs="Arial" w:hint="cs"/>
          <w:u w:val="single"/>
          <w:rtl/>
        </w:rPr>
        <w:t>ל</w:t>
      </w:r>
      <w:r w:rsidRPr="002867A9">
        <w:rPr>
          <w:rFonts w:cs="Arial" w:hint="cs"/>
          <w:u w:val="single"/>
          <w:rtl/>
        </w:rPr>
        <w:t>שני</w:t>
      </w:r>
      <w:r>
        <w:rPr>
          <w:rFonts w:cs="Arial" w:hint="cs"/>
          <w:u w:val="single"/>
          <w:rtl/>
        </w:rPr>
        <w:t>ם</w:t>
      </w:r>
      <w:r w:rsidRPr="002867A9">
        <w:rPr>
          <w:rFonts w:cs="Arial" w:hint="cs"/>
          <w:u w:val="single"/>
          <w:rtl/>
        </w:rPr>
        <w:t xml:space="preserve"> לחתום, ו</w:t>
      </w:r>
      <w:r>
        <w:rPr>
          <w:rFonts w:cs="Arial" w:hint="cs"/>
          <w:u w:val="single"/>
          <w:rtl/>
        </w:rPr>
        <w:t>ל</w:t>
      </w:r>
      <w:r w:rsidRPr="002867A9">
        <w:rPr>
          <w:rFonts w:cs="Arial" w:hint="cs"/>
          <w:u w:val="single"/>
          <w:rtl/>
        </w:rPr>
        <w:t xml:space="preserve">אחד להיות שליח ליתן לאשה </w:t>
      </w:r>
      <w:r w:rsidR="00A82951">
        <w:rPr>
          <w:rFonts w:cs="Arial"/>
          <w:u w:val="single"/>
          <w:rtl/>
        </w:rPr>
        <w:t>-</w:t>
      </w:r>
      <w:r w:rsidRPr="002867A9">
        <w:rPr>
          <w:rFonts w:cs="Arial" w:hint="cs"/>
          <w:u w:val="single"/>
          <w:rtl/>
        </w:rPr>
        <w:t xml:space="preserve"> ואחר שסיים הסופר לכתוב נאבד בגט:</w:t>
      </w:r>
    </w:p>
    <w:p w14:paraId="091058CD" w14:textId="707E49D1" w:rsidR="002867A9" w:rsidRDefault="002867A9" w:rsidP="00A65C5F">
      <w:pPr>
        <w:pStyle w:val="ab"/>
        <w:numPr>
          <w:ilvl w:val="0"/>
          <w:numId w:val="35"/>
        </w:numPr>
        <w:rPr>
          <w:rFonts w:cs="Arial"/>
        </w:rPr>
      </w:pPr>
      <w:r w:rsidRPr="002867A9">
        <w:rPr>
          <w:rFonts w:cs="Arial"/>
          <w:rtl/>
        </w:rPr>
        <w:t xml:space="preserve">תו"ג </w:t>
      </w:r>
      <w:r>
        <w:rPr>
          <w:rFonts w:cs="Arial" w:hint="cs"/>
          <w:sz w:val="16"/>
          <w:szCs w:val="16"/>
          <w:rtl/>
        </w:rPr>
        <w:t xml:space="preserve"> (כ"כ הפת"ש [סק"א] בשמו)</w:t>
      </w:r>
      <w:r w:rsidR="00A82951">
        <w:rPr>
          <w:rFonts w:cs="Arial" w:hint="cs"/>
          <w:rtl/>
        </w:rPr>
        <w:t>-</w:t>
      </w:r>
      <w:r>
        <w:rPr>
          <w:rFonts w:cs="Arial" w:hint="cs"/>
          <w:rtl/>
        </w:rPr>
        <w:t xml:space="preserve"> </w:t>
      </w:r>
      <w:r w:rsidRPr="002867A9">
        <w:rPr>
          <w:rFonts w:cs="Arial"/>
          <w:rtl/>
        </w:rPr>
        <w:t>נראה דדוק</w:t>
      </w:r>
      <w:r>
        <w:rPr>
          <w:rFonts w:cs="Arial" w:hint="cs"/>
          <w:rtl/>
        </w:rPr>
        <w:t>א</w:t>
      </w:r>
      <w:r w:rsidRPr="002867A9">
        <w:rPr>
          <w:rFonts w:cs="Arial"/>
          <w:rtl/>
        </w:rPr>
        <w:t xml:space="preserve"> בכה"ג שעשאן שלוחים על כתיבה ונתינה אז אם נאבד יכולים לכתוב גט אחר כיון שלא גמרו שליחות הנתינה</w:t>
      </w:r>
      <w:r>
        <w:rPr>
          <w:rFonts w:cs="Arial" w:hint="cs"/>
          <w:rtl/>
        </w:rPr>
        <w:t>.</w:t>
      </w:r>
      <w:r w:rsidRPr="002867A9">
        <w:rPr>
          <w:rFonts w:cs="Arial"/>
          <w:rtl/>
        </w:rPr>
        <w:t xml:space="preserve"> אבל אם עשה להסופר שליח רק על הכתיבה לבד שאמר לו כתוב גט לאשתי</w:t>
      </w:r>
      <w:r>
        <w:rPr>
          <w:rFonts w:cs="Arial" w:hint="cs"/>
          <w:rtl/>
        </w:rPr>
        <w:t>,</w:t>
      </w:r>
      <w:r w:rsidRPr="002867A9">
        <w:rPr>
          <w:rFonts w:cs="Arial"/>
          <w:rtl/>
        </w:rPr>
        <w:t xml:space="preserve"> ולשני עדים עשאם שלוחים ואמר להם שיקחו מהסופר בעצמם ויחתמו אותו הגט</w:t>
      </w:r>
      <w:r>
        <w:rPr>
          <w:rFonts w:cs="Arial" w:hint="cs"/>
          <w:rtl/>
        </w:rPr>
        <w:t>,</w:t>
      </w:r>
      <w:r w:rsidRPr="002867A9">
        <w:rPr>
          <w:rFonts w:cs="Arial"/>
          <w:rtl/>
        </w:rPr>
        <w:t xml:space="preserve"> ולאיש אחר עשה שליח להולכה </w:t>
      </w:r>
      <w:r w:rsidR="00A82951">
        <w:rPr>
          <w:rFonts w:cs="Arial" w:hint="cs"/>
          <w:rtl/>
        </w:rPr>
        <w:t>-</w:t>
      </w:r>
      <w:r>
        <w:rPr>
          <w:rFonts w:cs="Arial" w:hint="cs"/>
          <w:rtl/>
        </w:rPr>
        <w:t xml:space="preserve"> </w:t>
      </w:r>
      <w:r w:rsidRPr="002867A9">
        <w:rPr>
          <w:rFonts w:cs="Arial"/>
          <w:rtl/>
        </w:rPr>
        <w:t>אז תיכף אחר שכתבו הסופר אמרי</w:t>
      </w:r>
      <w:r>
        <w:rPr>
          <w:rFonts w:cs="Arial" w:hint="cs"/>
          <w:rtl/>
        </w:rPr>
        <w:t>נן</w:t>
      </w:r>
      <w:r w:rsidRPr="002867A9">
        <w:rPr>
          <w:rFonts w:cs="Arial"/>
          <w:rtl/>
        </w:rPr>
        <w:t xml:space="preserve"> שכבר עשה שליחותו אם נאבד</w:t>
      </w:r>
      <w:r>
        <w:rPr>
          <w:rFonts w:cs="Arial" w:hint="cs"/>
          <w:rtl/>
        </w:rPr>
        <w:t>.</w:t>
      </w:r>
      <w:r w:rsidRPr="002867A9">
        <w:rPr>
          <w:rFonts w:cs="Arial"/>
          <w:rtl/>
        </w:rPr>
        <w:t xml:space="preserve"> וכ"כ הג"פ</w:t>
      </w:r>
      <w:r w:rsidRPr="002867A9">
        <w:rPr>
          <w:rFonts w:cs="Arial"/>
          <w:sz w:val="16"/>
          <w:szCs w:val="16"/>
          <w:rtl/>
        </w:rPr>
        <w:t xml:space="preserve"> (ע' בס</w:t>
      </w:r>
      <w:r>
        <w:rPr>
          <w:rFonts w:cs="Arial" w:hint="cs"/>
          <w:sz w:val="16"/>
          <w:szCs w:val="16"/>
          <w:rtl/>
        </w:rPr>
        <w:t>פר</w:t>
      </w:r>
      <w:r w:rsidRPr="002867A9">
        <w:rPr>
          <w:rFonts w:cs="Arial"/>
          <w:sz w:val="16"/>
          <w:szCs w:val="16"/>
          <w:rtl/>
        </w:rPr>
        <w:t xml:space="preserve"> ב</w:t>
      </w:r>
      <w:r>
        <w:rPr>
          <w:rFonts w:cs="Arial" w:hint="cs"/>
          <w:sz w:val="16"/>
          <w:szCs w:val="16"/>
          <w:rtl/>
        </w:rPr>
        <w:t xml:space="preserve">ית </w:t>
      </w:r>
      <w:r w:rsidRPr="002867A9">
        <w:rPr>
          <w:rFonts w:cs="Arial"/>
          <w:sz w:val="16"/>
          <w:szCs w:val="16"/>
          <w:rtl/>
        </w:rPr>
        <w:t>מ</w:t>
      </w:r>
      <w:r>
        <w:rPr>
          <w:rFonts w:cs="Arial" w:hint="cs"/>
          <w:sz w:val="16"/>
          <w:szCs w:val="16"/>
          <w:rtl/>
        </w:rPr>
        <w:t>איר</w:t>
      </w:r>
      <w:r w:rsidRPr="002867A9">
        <w:rPr>
          <w:rFonts w:cs="Arial"/>
          <w:sz w:val="16"/>
          <w:szCs w:val="16"/>
          <w:rtl/>
        </w:rPr>
        <w:t>)</w:t>
      </w:r>
      <w:r w:rsidRPr="002867A9">
        <w:rPr>
          <w:rFonts w:cs="Arial"/>
          <w:rtl/>
        </w:rPr>
        <w:t xml:space="preserve">. </w:t>
      </w:r>
    </w:p>
    <w:p w14:paraId="329928C0" w14:textId="024EF98D" w:rsidR="002867A9" w:rsidRPr="002867A9" w:rsidRDefault="002867A9" w:rsidP="002867A9">
      <w:pPr>
        <w:rPr>
          <w:rFonts w:cs="Arial"/>
          <w:u w:val="single"/>
        </w:rPr>
      </w:pPr>
      <w:r w:rsidRPr="002867A9">
        <w:rPr>
          <w:rFonts w:cs="Arial" w:hint="cs"/>
          <w:u w:val="single"/>
          <w:rtl/>
        </w:rPr>
        <w:t>לאחר שציוה הבעל לכתוב גט נודע ש</w:t>
      </w:r>
      <w:r w:rsidR="00621A03">
        <w:rPr>
          <w:rFonts w:cs="Arial" w:hint="cs"/>
          <w:u w:val="single"/>
          <w:rtl/>
        </w:rPr>
        <w:t xml:space="preserve">הבעל </w:t>
      </w:r>
      <w:r w:rsidRPr="002867A9">
        <w:rPr>
          <w:rFonts w:cs="Arial" w:hint="cs"/>
          <w:u w:val="single"/>
          <w:rtl/>
        </w:rPr>
        <w:t>שינה</w:t>
      </w:r>
      <w:r>
        <w:rPr>
          <w:rFonts w:cs="Arial" w:hint="cs"/>
          <w:u w:val="single"/>
          <w:rtl/>
        </w:rPr>
        <w:t xml:space="preserve"> את</w:t>
      </w:r>
      <w:r w:rsidRPr="002867A9">
        <w:rPr>
          <w:rFonts w:cs="Arial" w:hint="cs"/>
          <w:u w:val="single"/>
          <w:rtl/>
        </w:rPr>
        <w:t xml:space="preserve"> שמו:</w:t>
      </w:r>
    </w:p>
    <w:p w14:paraId="34569C08" w14:textId="4B114F58" w:rsidR="00303815" w:rsidRDefault="002867A9" w:rsidP="00A65C5F">
      <w:pPr>
        <w:pStyle w:val="ab"/>
        <w:numPr>
          <w:ilvl w:val="0"/>
          <w:numId w:val="35"/>
        </w:numPr>
        <w:rPr>
          <w:rFonts w:cs="Arial"/>
        </w:rPr>
      </w:pPr>
      <w:r w:rsidRPr="002867A9">
        <w:rPr>
          <w:rFonts w:cs="Arial"/>
          <w:rtl/>
        </w:rPr>
        <w:t>ג"פ</w:t>
      </w:r>
      <w:r w:rsidR="00303815">
        <w:rPr>
          <w:rFonts w:cs="Arial" w:hint="cs"/>
          <w:sz w:val="16"/>
          <w:szCs w:val="16"/>
          <w:rtl/>
        </w:rPr>
        <w:t xml:space="preserve"> (כ"כ הפת"ש [סק"א] בשמו)</w:t>
      </w:r>
      <w:r w:rsidR="00A82951">
        <w:rPr>
          <w:rFonts w:cs="Arial" w:hint="cs"/>
          <w:rtl/>
        </w:rPr>
        <w:t>-</w:t>
      </w:r>
      <w:r>
        <w:rPr>
          <w:rFonts w:cs="Arial" w:hint="cs"/>
          <w:rtl/>
        </w:rPr>
        <w:t xml:space="preserve"> </w:t>
      </w:r>
      <w:r w:rsidRPr="002867A9">
        <w:rPr>
          <w:rFonts w:cs="Arial"/>
          <w:rtl/>
        </w:rPr>
        <w:t xml:space="preserve">אם נתוודע שהבעל בעצמו שינה שמו דאז ניכר שלא עשאן שלוחים ליתן גט כשר </w:t>
      </w:r>
      <w:r w:rsidR="00621A03">
        <w:rPr>
          <w:rFonts w:cs="Arial" w:hint="cs"/>
          <w:rtl/>
        </w:rPr>
        <w:t xml:space="preserve">- </w:t>
      </w:r>
      <w:r w:rsidRPr="002867A9">
        <w:rPr>
          <w:rFonts w:cs="Arial"/>
          <w:rtl/>
        </w:rPr>
        <w:t>אין להם לכתוב אחר</w:t>
      </w:r>
      <w:r>
        <w:rPr>
          <w:rFonts w:cs="Arial" w:hint="cs"/>
          <w:rtl/>
        </w:rPr>
        <w:t>,</w:t>
      </w:r>
      <w:r w:rsidRPr="002867A9">
        <w:rPr>
          <w:rFonts w:cs="Arial"/>
          <w:rtl/>
        </w:rPr>
        <w:t xml:space="preserve"> והוא פשוט</w:t>
      </w:r>
      <w:r>
        <w:rPr>
          <w:rFonts w:cs="Arial" w:hint="cs"/>
          <w:rtl/>
        </w:rPr>
        <w:t>.</w:t>
      </w:r>
    </w:p>
    <w:p w14:paraId="6E7B141F" w14:textId="503F69D2" w:rsidR="00303815" w:rsidRPr="00303815" w:rsidRDefault="00303815" w:rsidP="00303815">
      <w:pPr>
        <w:rPr>
          <w:rFonts w:cs="Arial"/>
          <w:u w:val="single"/>
        </w:rPr>
      </w:pPr>
      <w:r w:rsidRPr="00303815">
        <w:rPr>
          <w:rFonts w:cs="Arial" w:hint="cs"/>
          <w:u w:val="single"/>
          <w:rtl/>
        </w:rPr>
        <w:t xml:space="preserve">שליחי הבעל שנתנו לאשה גט פסול מדרבנן </w:t>
      </w:r>
      <w:r w:rsidR="00A82951">
        <w:rPr>
          <w:rFonts w:cs="Arial"/>
          <w:u w:val="single"/>
          <w:rtl/>
        </w:rPr>
        <w:t>-</w:t>
      </w:r>
      <w:r w:rsidRPr="00303815">
        <w:rPr>
          <w:rFonts w:cs="Arial" w:hint="cs"/>
          <w:u w:val="single"/>
          <w:rtl/>
        </w:rPr>
        <w:t xml:space="preserve"> האם הגט </w:t>
      </w:r>
      <w:r w:rsidR="00621A03">
        <w:rPr>
          <w:rFonts w:cs="Arial" w:hint="cs"/>
          <w:u w:val="single"/>
          <w:rtl/>
        </w:rPr>
        <w:t>בטל</w:t>
      </w:r>
      <w:r w:rsidRPr="00303815">
        <w:rPr>
          <w:rFonts w:cs="Arial" w:hint="cs"/>
          <w:u w:val="single"/>
          <w:rtl/>
        </w:rPr>
        <w:t xml:space="preserve"> מדאורייתא</w:t>
      </w:r>
      <w:r w:rsidR="009B40A3">
        <w:rPr>
          <w:rFonts w:cs="Arial" w:hint="cs"/>
          <w:sz w:val="16"/>
          <w:szCs w:val="16"/>
          <w:u w:val="single"/>
          <w:rtl/>
        </w:rPr>
        <w:t xml:space="preserve"> (דהרי לא עשו שליחותן)</w:t>
      </w:r>
      <w:r w:rsidRPr="00303815">
        <w:rPr>
          <w:rFonts w:cs="Arial" w:hint="cs"/>
          <w:u w:val="single"/>
          <w:rtl/>
        </w:rPr>
        <w:t>:</w:t>
      </w:r>
      <w:r w:rsidRPr="00303815">
        <w:rPr>
          <w:rFonts w:cs="Arial"/>
          <w:rtl/>
        </w:rPr>
        <w:t xml:space="preserve"> </w:t>
      </w:r>
      <w:r w:rsidRPr="00303815">
        <w:rPr>
          <w:rFonts w:cs="Arial"/>
          <w:sz w:val="16"/>
          <w:szCs w:val="16"/>
          <w:rtl/>
        </w:rPr>
        <w:t>(</w:t>
      </w:r>
      <w:r w:rsidRPr="00303815">
        <w:rPr>
          <w:rFonts w:cs="Arial" w:hint="cs"/>
          <w:sz w:val="16"/>
          <w:szCs w:val="16"/>
          <w:rtl/>
        </w:rPr>
        <w:t>פת"ש סק"</w:t>
      </w:r>
      <w:r w:rsidRPr="00303815">
        <w:rPr>
          <w:rFonts w:cs="Arial"/>
          <w:sz w:val="16"/>
          <w:szCs w:val="16"/>
          <w:rtl/>
        </w:rPr>
        <w:t>ב)</w:t>
      </w:r>
    </w:p>
    <w:p w14:paraId="4D663F67" w14:textId="4D14D23F" w:rsidR="00303815" w:rsidRDefault="002867A9" w:rsidP="00A65C5F">
      <w:pPr>
        <w:pStyle w:val="ab"/>
        <w:numPr>
          <w:ilvl w:val="0"/>
          <w:numId w:val="35"/>
        </w:numPr>
        <w:rPr>
          <w:rFonts w:cs="Arial"/>
        </w:rPr>
      </w:pPr>
      <w:r w:rsidRPr="00303815">
        <w:rPr>
          <w:rFonts w:cs="Arial"/>
          <w:rtl/>
        </w:rPr>
        <w:t>ג"פ</w:t>
      </w:r>
      <w:r w:rsidR="00303815">
        <w:rPr>
          <w:rFonts w:cs="Arial" w:hint="cs"/>
          <w:rtl/>
        </w:rPr>
        <w:t xml:space="preserve"> </w:t>
      </w:r>
      <w:r w:rsidR="00303815" w:rsidRPr="00303815">
        <w:rPr>
          <w:rFonts w:cs="Arial" w:hint="cs"/>
          <w:sz w:val="16"/>
          <w:szCs w:val="16"/>
          <w:rtl/>
        </w:rPr>
        <w:t>(כ"כ בשמו הפת"ש [סק"ב])</w:t>
      </w:r>
      <w:r w:rsidR="00A82951">
        <w:rPr>
          <w:rFonts w:cs="Arial" w:hint="cs"/>
          <w:rtl/>
        </w:rPr>
        <w:t>-</w:t>
      </w:r>
      <w:r w:rsidRPr="00303815">
        <w:rPr>
          <w:rFonts w:cs="Arial"/>
          <w:rtl/>
        </w:rPr>
        <w:t xml:space="preserve"> י</w:t>
      </w:r>
      <w:r w:rsidR="00303815">
        <w:rPr>
          <w:rFonts w:cs="Arial" w:hint="cs"/>
          <w:rtl/>
        </w:rPr>
        <w:t xml:space="preserve">ש </w:t>
      </w:r>
      <w:r w:rsidRPr="00303815">
        <w:rPr>
          <w:rFonts w:cs="Arial"/>
          <w:rtl/>
        </w:rPr>
        <w:t>ל</w:t>
      </w:r>
      <w:r w:rsidR="00303815">
        <w:rPr>
          <w:rFonts w:cs="Arial" w:hint="cs"/>
          <w:rtl/>
        </w:rPr>
        <w:t>ומר</w:t>
      </w:r>
      <w:r w:rsidRPr="00303815">
        <w:rPr>
          <w:rFonts w:cs="Arial"/>
          <w:rtl/>
        </w:rPr>
        <w:t xml:space="preserve"> </w:t>
      </w:r>
      <w:r w:rsidR="00303815">
        <w:rPr>
          <w:rFonts w:cs="Arial" w:hint="cs"/>
          <w:rtl/>
        </w:rPr>
        <w:t>ד</w:t>
      </w:r>
      <w:r w:rsidRPr="00303815">
        <w:rPr>
          <w:rFonts w:cs="Arial"/>
          <w:rtl/>
        </w:rPr>
        <w:t>אם נתנו הגט שהוא פסול מדרבנן</w:t>
      </w:r>
      <w:r w:rsidR="00303815">
        <w:rPr>
          <w:rFonts w:cs="Arial" w:hint="cs"/>
          <w:rtl/>
        </w:rPr>
        <w:t xml:space="preserve"> </w:t>
      </w:r>
      <w:r w:rsidR="00A82951">
        <w:rPr>
          <w:rFonts w:cs="Arial" w:hint="cs"/>
          <w:rtl/>
        </w:rPr>
        <w:t>-</w:t>
      </w:r>
      <w:r w:rsidRPr="00303815">
        <w:rPr>
          <w:rFonts w:cs="Arial"/>
          <w:rtl/>
        </w:rPr>
        <w:t xml:space="preserve"> שהגט בטל מדאוריי</w:t>
      </w:r>
      <w:r w:rsidR="00303815">
        <w:rPr>
          <w:rFonts w:cs="Arial" w:hint="cs"/>
          <w:rtl/>
        </w:rPr>
        <w:t>תא,</w:t>
      </w:r>
      <w:r w:rsidRPr="00303815">
        <w:rPr>
          <w:rFonts w:cs="Arial"/>
          <w:rtl/>
        </w:rPr>
        <w:t xml:space="preserve"> דהא מה</w:t>
      </w:r>
      <w:r w:rsidR="00303815">
        <w:rPr>
          <w:rFonts w:cs="Arial" w:hint="cs"/>
          <w:rtl/>
        </w:rPr>
        <w:t xml:space="preserve">אי </w:t>
      </w:r>
      <w:r w:rsidRPr="00303815">
        <w:rPr>
          <w:rFonts w:cs="Arial"/>
          <w:rtl/>
        </w:rPr>
        <w:t>ט</w:t>
      </w:r>
      <w:r w:rsidR="00303815">
        <w:rPr>
          <w:rFonts w:cs="Arial" w:hint="cs"/>
          <w:rtl/>
        </w:rPr>
        <w:t>עמא</w:t>
      </w:r>
      <w:r w:rsidRPr="00303815">
        <w:rPr>
          <w:rFonts w:cs="Arial"/>
          <w:rtl/>
        </w:rPr>
        <w:t xml:space="preserve"> אמרינן דכשהוא פסול מדרבנן לא עשו שליחותן</w:t>
      </w:r>
      <w:r w:rsidR="00303815">
        <w:rPr>
          <w:rFonts w:cs="Arial" w:hint="cs"/>
          <w:rtl/>
        </w:rPr>
        <w:t>,</w:t>
      </w:r>
      <w:r w:rsidRPr="00303815">
        <w:rPr>
          <w:rFonts w:cs="Arial"/>
          <w:rtl/>
        </w:rPr>
        <w:t xml:space="preserve"> והוי כאילו נכתב שלא בשליחות שהגט בטל מדאוריי</w:t>
      </w:r>
      <w:r w:rsidR="00303815">
        <w:rPr>
          <w:rFonts w:cs="Arial" w:hint="cs"/>
          <w:rtl/>
        </w:rPr>
        <w:t>תא</w:t>
      </w:r>
      <w:r w:rsidRPr="00303815">
        <w:rPr>
          <w:rFonts w:cs="Arial"/>
          <w:rtl/>
        </w:rPr>
        <w:t xml:space="preserve">. </w:t>
      </w:r>
    </w:p>
    <w:p w14:paraId="49ABA612" w14:textId="0E110499" w:rsidR="002867A9" w:rsidRPr="003F6669" w:rsidRDefault="002867A9" w:rsidP="00A65C5F">
      <w:pPr>
        <w:pStyle w:val="ab"/>
        <w:numPr>
          <w:ilvl w:val="0"/>
          <w:numId w:val="35"/>
        </w:numPr>
        <w:rPr>
          <w:rFonts w:cs="Arial"/>
          <w:rtl/>
        </w:rPr>
      </w:pPr>
      <w:r w:rsidRPr="00303815">
        <w:rPr>
          <w:rFonts w:cs="Arial"/>
          <w:rtl/>
        </w:rPr>
        <w:t xml:space="preserve">תו"ג </w:t>
      </w:r>
      <w:r w:rsidR="00303815" w:rsidRPr="00303815">
        <w:rPr>
          <w:rFonts w:cs="Arial" w:hint="cs"/>
          <w:sz w:val="16"/>
          <w:szCs w:val="16"/>
          <w:rtl/>
        </w:rPr>
        <w:t>(כ"כ בשמו הפת"ש [סק"ב])</w:t>
      </w:r>
      <w:r w:rsidR="00A82951">
        <w:rPr>
          <w:rFonts w:cs="Arial" w:hint="cs"/>
          <w:rtl/>
        </w:rPr>
        <w:t>-</w:t>
      </w:r>
      <w:r w:rsidR="00303815" w:rsidRPr="00303815">
        <w:rPr>
          <w:rFonts w:cs="Arial"/>
          <w:rtl/>
        </w:rPr>
        <w:t xml:space="preserve"> </w:t>
      </w:r>
      <w:r w:rsidRPr="00303815">
        <w:rPr>
          <w:rFonts w:cs="Arial"/>
          <w:rtl/>
        </w:rPr>
        <w:t>לפי דברי</w:t>
      </w:r>
      <w:r w:rsidR="00303815">
        <w:rPr>
          <w:rFonts w:cs="Arial" w:hint="cs"/>
          <w:rtl/>
        </w:rPr>
        <w:t xml:space="preserve"> הג"פ</w:t>
      </w:r>
      <w:r w:rsidRPr="00303815">
        <w:rPr>
          <w:rFonts w:cs="Arial"/>
          <w:rtl/>
        </w:rPr>
        <w:t xml:space="preserve"> אם אמר כפי הנוסח הנהוג דהיינו </w:t>
      </w:r>
      <w:r w:rsidR="00303815">
        <w:rPr>
          <w:rFonts w:cs="Arial" w:hint="cs"/>
          <w:rtl/>
        </w:rPr>
        <w:t>'</w:t>
      </w:r>
      <w:r w:rsidRPr="00303815">
        <w:rPr>
          <w:rFonts w:cs="Arial"/>
          <w:rtl/>
        </w:rPr>
        <w:t>עד שיהי</w:t>
      </w:r>
      <w:r w:rsidR="00303815">
        <w:rPr>
          <w:rFonts w:cs="Arial" w:hint="cs"/>
          <w:rtl/>
        </w:rPr>
        <w:t>ה</w:t>
      </w:r>
      <w:r w:rsidRPr="00303815">
        <w:rPr>
          <w:rFonts w:cs="Arial"/>
          <w:rtl/>
        </w:rPr>
        <w:t xml:space="preserve"> כשר בלי שום פקפוק</w:t>
      </w:r>
      <w:r w:rsidR="00303815">
        <w:rPr>
          <w:rFonts w:cs="Arial" w:hint="cs"/>
          <w:rtl/>
        </w:rPr>
        <w:t>',</w:t>
      </w:r>
      <w:r w:rsidRPr="00303815">
        <w:rPr>
          <w:rFonts w:cs="Arial"/>
          <w:rtl/>
        </w:rPr>
        <w:t xml:space="preserve"> ואם הי</w:t>
      </w:r>
      <w:r w:rsidR="00303815">
        <w:rPr>
          <w:rFonts w:cs="Arial" w:hint="cs"/>
          <w:rtl/>
        </w:rPr>
        <w:t>ה</w:t>
      </w:r>
      <w:r w:rsidRPr="00303815">
        <w:rPr>
          <w:rFonts w:cs="Arial"/>
          <w:rtl/>
        </w:rPr>
        <w:t xml:space="preserve"> איזה פקפוק וגירשו בו</w:t>
      </w:r>
      <w:r w:rsidR="00303815">
        <w:rPr>
          <w:rFonts w:cs="Arial" w:hint="cs"/>
          <w:rtl/>
        </w:rPr>
        <w:t>,</w:t>
      </w:r>
      <w:r w:rsidRPr="00303815">
        <w:rPr>
          <w:rFonts w:cs="Arial"/>
          <w:rtl/>
        </w:rPr>
        <w:t xml:space="preserve"> הוא ג"כ בטל מדאוריית</w:t>
      </w:r>
      <w:r w:rsidR="00303815">
        <w:rPr>
          <w:rFonts w:cs="Arial" w:hint="cs"/>
          <w:rtl/>
        </w:rPr>
        <w:t xml:space="preserve">א </w:t>
      </w:r>
      <w:r w:rsidR="00A82951">
        <w:rPr>
          <w:rFonts w:cs="Arial"/>
          <w:rtl/>
        </w:rPr>
        <w:t>-</w:t>
      </w:r>
      <w:r w:rsidRPr="00303815">
        <w:rPr>
          <w:rFonts w:cs="Arial"/>
          <w:rtl/>
        </w:rPr>
        <w:t xml:space="preserve"> וא</w:t>
      </w:r>
      <w:r w:rsidR="00303815">
        <w:rPr>
          <w:rFonts w:cs="Arial" w:hint="cs"/>
          <w:rtl/>
        </w:rPr>
        <w:t xml:space="preserve">י </w:t>
      </w:r>
      <w:r w:rsidRPr="00303815">
        <w:rPr>
          <w:rFonts w:cs="Arial"/>
          <w:rtl/>
        </w:rPr>
        <w:t>א</w:t>
      </w:r>
      <w:r w:rsidR="00303815">
        <w:rPr>
          <w:rFonts w:cs="Arial" w:hint="cs"/>
          <w:rtl/>
        </w:rPr>
        <w:t>פשר</w:t>
      </w:r>
      <w:r w:rsidRPr="00303815">
        <w:rPr>
          <w:rFonts w:cs="Arial"/>
          <w:rtl/>
        </w:rPr>
        <w:t xml:space="preserve"> לו</w:t>
      </w:r>
      <w:r w:rsidR="00303815">
        <w:rPr>
          <w:rFonts w:cs="Arial" w:hint="cs"/>
          <w:rtl/>
        </w:rPr>
        <w:t>מר</w:t>
      </w:r>
      <w:r w:rsidRPr="00303815">
        <w:rPr>
          <w:rFonts w:cs="Arial"/>
          <w:rtl/>
        </w:rPr>
        <w:t xml:space="preserve"> כן כלל</w:t>
      </w:r>
      <w:r w:rsidR="00303815">
        <w:rPr>
          <w:rFonts w:cs="Arial" w:hint="cs"/>
          <w:rtl/>
        </w:rPr>
        <w:t>,</w:t>
      </w:r>
      <w:r w:rsidRPr="00303815">
        <w:rPr>
          <w:rFonts w:cs="Arial"/>
          <w:rtl/>
        </w:rPr>
        <w:t xml:space="preserve"> מדסתמו הפוסקים ולא כתבו דין מחודש כזה</w:t>
      </w:r>
      <w:r w:rsidR="00303815">
        <w:rPr>
          <w:rFonts w:cs="Arial" w:hint="cs"/>
          <w:rtl/>
        </w:rPr>
        <w:t>.</w:t>
      </w:r>
      <w:r w:rsidRPr="00303815">
        <w:rPr>
          <w:rFonts w:cs="Arial"/>
          <w:rtl/>
        </w:rPr>
        <w:t xml:space="preserve"> לכן נראה דלא אמרי</w:t>
      </w:r>
      <w:r w:rsidR="00303815">
        <w:rPr>
          <w:rFonts w:cs="Arial" w:hint="cs"/>
          <w:rtl/>
        </w:rPr>
        <w:t>נן</w:t>
      </w:r>
      <w:r w:rsidRPr="00303815">
        <w:rPr>
          <w:rFonts w:cs="Arial"/>
          <w:rtl/>
        </w:rPr>
        <w:t xml:space="preserve"> דכוונת הבעל הי</w:t>
      </w:r>
      <w:r w:rsidR="00303815">
        <w:rPr>
          <w:rFonts w:cs="Arial" w:hint="cs"/>
          <w:rtl/>
        </w:rPr>
        <w:t>ה</w:t>
      </w:r>
      <w:r w:rsidRPr="00303815">
        <w:rPr>
          <w:rFonts w:cs="Arial"/>
          <w:rtl/>
        </w:rPr>
        <w:t xml:space="preserve"> שלא לעשותן שלוחים כלל כשיכתבו גט פסול</w:t>
      </w:r>
      <w:r w:rsidR="00303815">
        <w:rPr>
          <w:rFonts w:cs="Arial" w:hint="cs"/>
          <w:rtl/>
        </w:rPr>
        <w:t>,</w:t>
      </w:r>
      <w:r w:rsidRPr="00303815">
        <w:rPr>
          <w:rFonts w:cs="Arial"/>
          <w:rtl/>
        </w:rPr>
        <w:t xml:space="preserve"> רק דאמרינן שבודאי כוונת הבעל הי</w:t>
      </w:r>
      <w:r w:rsidR="00303815">
        <w:rPr>
          <w:rFonts w:cs="Arial" w:hint="cs"/>
          <w:rtl/>
        </w:rPr>
        <w:t>ה</w:t>
      </w:r>
      <w:r w:rsidRPr="00303815">
        <w:rPr>
          <w:rFonts w:cs="Arial"/>
          <w:rtl/>
        </w:rPr>
        <w:t xml:space="preserve"> שיהיו שלוחין תמיד</w:t>
      </w:r>
      <w:r w:rsidR="00303815">
        <w:rPr>
          <w:rFonts w:cs="Arial" w:hint="cs"/>
          <w:rtl/>
        </w:rPr>
        <w:t>,</w:t>
      </w:r>
      <w:r w:rsidRPr="00303815">
        <w:rPr>
          <w:rFonts w:cs="Arial"/>
          <w:rtl/>
        </w:rPr>
        <w:t xml:space="preserve"> ויהיו תמיד כהבעל עד שיגיע גט כשר לידה</w:t>
      </w:r>
      <w:r w:rsidR="00303815">
        <w:rPr>
          <w:rFonts w:cs="Arial" w:hint="cs"/>
          <w:rtl/>
        </w:rPr>
        <w:t xml:space="preserve">. </w:t>
      </w:r>
      <w:r w:rsidRPr="00303815">
        <w:rPr>
          <w:rFonts w:cs="Arial"/>
          <w:rtl/>
        </w:rPr>
        <w:t>ונמצא שלעולם הם עומדים במקום הבעל</w:t>
      </w:r>
      <w:r w:rsidR="00303815">
        <w:rPr>
          <w:rFonts w:cs="Arial" w:hint="cs"/>
          <w:rtl/>
        </w:rPr>
        <w:t>,</w:t>
      </w:r>
      <w:r w:rsidRPr="00303815">
        <w:rPr>
          <w:rFonts w:cs="Arial"/>
          <w:rtl/>
        </w:rPr>
        <w:t xml:space="preserve"> הן כשכתבו ונתנו הגט הפסול</w:t>
      </w:r>
      <w:r w:rsidR="00303815">
        <w:rPr>
          <w:rFonts w:cs="Arial" w:hint="cs"/>
          <w:rtl/>
        </w:rPr>
        <w:t>,</w:t>
      </w:r>
      <w:r w:rsidRPr="00303815">
        <w:rPr>
          <w:rFonts w:cs="Arial"/>
          <w:rtl/>
        </w:rPr>
        <w:t xml:space="preserve"> הן אח"כ כשכתבו </w:t>
      </w:r>
      <w:r w:rsidRPr="00303815">
        <w:rPr>
          <w:rFonts w:cs="Arial"/>
          <w:rtl/>
        </w:rPr>
        <w:lastRenderedPageBreak/>
        <w:t>ונתנו הגט הכשר</w:t>
      </w:r>
      <w:r w:rsidR="00303815">
        <w:rPr>
          <w:rFonts w:cs="Arial" w:hint="cs"/>
          <w:rtl/>
        </w:rPr>
        <w:t>.</w:t>
      </w:r>
      <w:r w:rsidRPr="00303815">
        <w:rPr>
          <w:rFonts w:cs="Arial"/>
          <w:rtl/>
        </w:rPr>
        <w:t xml:space="preserve"> וכמו באם הבעל נותן הגט שהוא פסול מדרבנן היא מגורשת מדאוריית</w:t>
      </w:r>
      <w:r w:rsidR="003F6669">
        <w:rPr>
          <w:rFonts w:cs="Arial" w:hint="cs"/>
          <w:rtl/>
        </w:rPr>
        <w:t>א</w:t>
      </w:r>
      <w:r w:rsidRPr="00303815">
        <w:rPr>
          <w:rFonts w:cs="Arial"/>
          <w:rtl/>
        </w:rPr>
        <w:t xml:space="preserve"> ופסול מדרבנן</w:t>
      </w:r>
      <w:r w:rsidR="003F6669">
        <w:rPr>
          <w:rFonts w:cs="Arial" w:hint="cs"/>
          <w:rtl/>
        </w:rPr>
        <w:t>,</w:t>
      </w:r>
      <w:r w:rsidRPr="00303815">
        <w:rPr>
          <w:rFonts w:cs="Arial"/>
          <w:rtl/>
        </w:rPr>
        <w:t xml:space="preserve"> וכשנותן אח"כ גט שהוא כשר לגמרי נתגרשה לגמרי</w:t>
      </w:r>
      <w:r w:rsidR="003F6669">
        <w:rPr>
          <w:rFonts w:cs="Arial" w:hint="cs"/>
          <w:rtl/>
        </w:rPr>
        <w:t>,</w:t>
      </w:r>
      <w:r w:rsidRPr="00303815">
        <w:rPr>
          <w:rFonts w:cs="Arial"/>
          <w:rtl/>
        </w:rPr>
        <w:t xml:space="preserve"> ה"נ הדין בשליח שלו</w:t>
      </w:r>
      <w:r w:rsidR="003F6669">
        <w:rPr>
          <w:rFonts w:cs="Arial" w:hint="cs"/>
          <w:rtl/>
        </w:rPr>
        <w:t>,</w:t>
      </w:r>
      <w:r w:rsidRPr="00303815">
        <w:rPr>
          <w:rFonts w:cs="Arial"/>
          <w:rtl/>
        </w:rPr>
        <w:t xml:space="preserve"> כנ"ל ברור</w:t>
      </w:r>
      <w:r w:rsidR="003F6669">
        <w:rPr>
          <w:rStyle w:val="a7"/>
          <w:rFonts w:cs="Arial"/>
          <w:rtl/>
        </w:rPr>
        <w:footnoteReference w:id="372"/>
      </w:r>
      <w:r w:rsidR="003F6669">
        <w:rPr>
          <w:rFonts w:cs="Arial" w:hint="cs"/>
          <w:rtl/>
        </w:rPr>
        <w:t>.</w:t>
      </w:r>
    </w:p>
    <w:p w14:paraId="083B0364" w14:textId="77777777" w:rsidR="003F6669" w:rsidRDefault="003F6669" w:rsidP="002867A9">
      <w:pPr>
        <w:rPr>
          <w:rFonts w:cs="Arial"/>
          <w:rtl/>
        </w:rPr>
      </w:pPr>
      <w:r w:rsidRPr="003F6669">
        <w:rPr>
          <w:rFonts w:cs="Arial" w:hint="cs"/>
          <w:u w:val="single"/>
          <w:rtl/>
        </w:rPr>
        <w:t>האם שליחי הבעל יכולים לקרוע את הגט המסופק ובכך יכולו להמשיך להיות שליחים לכתוב גט אחר:</w:t>
      </w:r>
      <w:r>
        <w:rPr>
          <w:rFonts w:cs="Arial" w:hint="cs"/>
          <w:rtl/>
        </w:rPr>
        <w:t xml:space="preserve"> </w:t>
      </w:r>
      <w:r w:rsidR="002867A9" w:rsidRPr="003F6669">
        <w:rPr>
          <w:rFonts w:cs="Arial"/>
          <w:sz w:val="16"/>
          <w:szCs w:val="16"/>
          <w:rtl/>
        </w:rPr>
        <w:t>(</w:t>
      </w:r>
      <w:r w:rsidRPr="003F6669">
        <w:rPr>
          <w:rFonts w:cs="Arial" w:hint="cs"/>
          <w:sz w:val="16"/>
          <w:szCs w:val="16"/>
          <w:rtl/>
        </w:rPr>
        <w:t>פת"ש סק"</w:t>
      </w:r>
      <w:r w:rsidR="002867A9" w:rsidRPr="003F6669">
        <w:rPr>
          <w:rFonts w:cs="Arial"/>
          <w:sz w:val="16"/>
          <w:szCs w:val="16"/>
          <w:rtl/>
        </w:rPr>
        <w:t>ד)</w:t>
      </w:r>
      <w:r w:rsidR="002867A9" w:rsidRPr="002867A9">
        <w:rPr>
          <w:rFonts w:cs="Arial"/>
          <w:rtl/>
        </w:rPr>
        <w:t xml:space="preserve"> </w:t>
      </w:r>
    </w:p>
    <w:p w14:paraId="3987DA53" w14:textId="3D8CC75B" w:rsidR="00C27C61" w:rsidRDefault="002867A9" w:rsidP="00A65C5F">
      <w:pPr>
        <w:pStyle w:val="ab"/>
        <w:numPr>
          <w:ilvl w:val="0"/>
          <w:numId w:val="36"/>
        </w:numPr>
        <w:rPr>
          <w:rFonts w:cs="Arial"/>
        </w:rPr>
      </w:pPr>
      <w:r w:rsidRPr="003F6669">
        <w:rPr>
          <w:rFonts w:cs="Arial"/>
          <w:rtl/>
        </w:rPr>
        <w:t>תו"ג</w:t>
      </w:r>
      <w:r w:rsidR="00A82951">
        <w:rPr>
          <w:rFonts w:cs="Arial" w:hint="cs"/>
          <w:rtl/>
        </w:rPr>
        <w:t>-</w:t>
      </w:r>
      <w:r w:rsidRPr="003F6669">
        <w:rPr>
          <w:rFonts w:cs="Arial"/>
          <w:rtl/>
        </w:rPr>
        <w:t xml:space="preserve"> לכאורה תמוה</w:t>
      </w:r>
      <w:r w:rsidR="009B40A3">
        <w:rPr>
          <w:rFonts w:cs="Arial" w:hint="cs"/>
          <w:rtl/>
        </w:rPr>
        <w:t>,</w:t>
      </w:r>
      <w:r w:rsidRPr="003F6669">
        <w:rPr>
          <w:rFonts w:cs="Arial"/>
          <w:rtl/>
        </w:rPr>
        <w:t xml:space="preserve"> דיקרעו אותו הגט דאז הוי כנאבד שיכולין לכתוב גט אחר</w:t>
      </w:r>
      <w:r w:rsidR="003F6669">
        <w:rPr>
          <w:rFonts w:cs="Arial" w:hint="cs"/>
          <w:rtl/>
        </w:rPr>
        <w:t>,</w:t>
      </w:r>
      <w:r w:rsidRPr="003F6669">
        <w:rPr>
          <w:rFonts w:cs="Arial"/>
          <w:rtl/>
        </w:rPr>
        <w:t xml:space="preserve"> וכן הקשה בג"פ</w:t>
      </w:r>
      <w:r w:rsidR="003F6669">
        <w:rPr>
          <w:rFonts w:cs="Arial" w:hint="cs"/>
          <w:rtl/>
        </w:rPr>
        <w:t>.</w:t>
      </w:r>
      <w:r w:rsidRPr="003F6669">
        <w:rPr>
          <w:rFonts w:cs="Arial"/>
          <w:rtl/>
        </w:rPr>
        <w:t xml:space="preserve"> לכן נראה דהם בעצמם אין יכולין לקרוע הגט דהוי כמבטלין שליחותן </w:t>
      </w:r>
      <w:r w:rsidRPr="003F6669">
        <w:rPr>
          <w:rFonts w:cs="Arial"/>
          <w:sz w:val="16"/>
          <w:szCs w:val="16"/>
          <w:rtl/>
        </w:rPr>
        <w:t>(עמ"ש לקמן ס"ס קנד בסה"ג סעי' צא סקמ"ג)</w:t>
      </w:r>
      <w:r w:rsidR="009B40A3">
        <w:rPr>
          <w:rFonts w:cs="Arial" w:hint="cs"/>
          <w:rtl/>
        </w:rPr>
        <w:t xml:space="preserve">, </w:t>
      </w:r>
      <w:r w:rsidRPr="003F6669">
        <w:rPr>
          <w:rFonts w:cs="Arial"/>
          <w:rtl/>
        </w:rPr>
        <w:t>ודוק</w:t>
      </w:r>
      <w:r w:rsidR="003F6669">
        <w:rPr>
          <w:rFonts w:cs="Arial" w:hint="cs"/>
          <w:rtl/>
        </w:rPr>
        <w:t>א</w:t>
      </w:r>
      <w:r w:rsidRPr="003F6669">
        <w:rPr>
          <w:rFonts w:cs="Arial"/>
          <w:rtl/>
        </w:rPr>
        <w:t xml:space="preserve"> כשנאבד מעצמו יכולין לכתוב אחר</w:t>
      </w:r>
      <w:r w:rsidR="009B40A3">
        <w:rPr>
          <w:rFonts w:cs="Arial" w:hint="cs"/>
          <w:rtl/>
        </w:rPr>
        <w:t>.</w:t>
      </w:r>
      <w:r w:rsidRPr="003F6669">
        <w:rPr>
          <w:rFonts w:cs="Arial"/>
          <w:rtl/>
        </w:rPr>
        <w:t xml:space="preserve"> וכן אם קרע אחר שלא מדעתן יכולין לכתוב אחר</w:t>
      </w:r>
      <w:r w:rsidR="003F6669">
        <w:rPr>
          <w:rStyle w:val="a7"/>
          <w:rFonts w:cs="Arial"/>
          <w:rtl/>
        </w:rPr>
        <w:footnoteReference w:id="373"/>
      </w:r>
      <w:r w:rsidRPr="003F6669">
        <w:rPr>
          <w:rFonts w:cs="Arial"/>
          <w:rtl/>
        </w:rPr>
        <w:t>.</w:t>
      </w:r>
    </w:p>
    <w:p w14:paraId="4F1FD01D" w14:textId="1D9E14BF" w:rsidR="00C27C61" w:rsidRPr="00C27C61" w:rsidRDefault="00C27C61" w:rsidP="00C27C61">
      <w:pPr>
        <w:rPr>
          <w:rFonts w:cs="Arial"/>
        </w:rPr>
      </w:pPr>
      <w:r w:rsidRPr="00C27C61">
        <w:rPr>
          <w:rFonts w:cs="Arial" w:hint="cs"/>
          <w:u w:val="single"/>
          <w:rtl/>
        </w:rPr>
        <w:t>הא</w:t>
      </w:r>
      <w:r w:rsidR="009B40A3">
        <w:rPr>
          <w:rFonts w:cs="Arial" w:hint="cs"/>
          <w:u w:val="single"/>
          <w:rtl/>
        </w:rPr>
        <w:t>ם</w:t>
      </w:r>
      <w:r w:rsidRPr="00C27C61">
        <w:rPr>
          <w:rFonts w:cs="Arial" w:hint="cs"/>
          <w:u w:val="single"/>
          <w:rtl/>
        </w:rPr>
        <w:t xml:space="preserve"> בספק מחמת חסרון ידיעה אמרינן כבר עשו שליחותן:</w:t>
      </w:r>
      <w:r>
        <w:rPr>
          <w:rFonts w:cs="Arial" w:hint="cs"/>
          <w:rtl/>
        </w:rPr>
        <w:t xml:space="preserve"> </w:t>
      </w:r>
    </w:p>
    <w:p w14:paraId="2B6C1AEF" w14:textId="03CCFF42" w:rsidR="002867A9" w:rsidRPr="003F6669" w:rsidRDefault="00C27C61" w:rsidP="00A65C5F">
      <w:pPr>
        <w:pStyle w:val="ab"/>
        <w:numPr>
          <w:ilvl w:val="0"/>
          <w:numId w:val="36"/>
        </w:numPr>
        <w:rPr>
          <w:rFonts w:cs="Arial"/>
          <w:rtl/>
        </w:rPr>
      </w:pPr>
      <w:r>
        <w:rPr>
          <w:rFonts w:cs="Arial" w:hint="cs"/>
          <w:rtl/>
        </w:rPr>
        <w:t xml:space="preserve">פת"ש </w:t>
      </w:r>
      <w:r>
        <w:rPr>
          <w:rFonts w:cs="Arial" w:hint="cs"/>
          <w:sz w:val="16"/>
          <w:szCs w:val="16"/>
          <w:rtl/>
        </w:rPr>
        <w:t>(סק"ה)</w:t>
      </w:r>
      <w:r w:rsidR="00A82951">
        <w:rPr>
          <w:rFonts w:cs="Arial" w:hint="cs"/>
          <w:rtl/>
        </w:rPr>
        <w:t>-</w:t>
      </w:r>
      <w:r>
        <w:rPr>
          <w:rFonts w:cs="Arial" w:hint="cs"/>
          <w:rtl/>
        </w:rPr>
        <w:t xml:space="preserve"> </w:t>
      </w:r>
      <w:r w:rsidR="002867A9" w:rsidRPr="003F6669">
        <w:rPr>
          <w:rFonts w:cs="Arial"/>
          <w:rtl/>
        </w:rPr>
        <w:t>ע</w:t>
      </w:r>
      <w:r>
        <w:rPr>
          <w:rFonts w:cs="Arial" w:hint="cs"/>
          <w:rtl/>
        </w:rPr>
        <w:t>י</w:t>
      </w:r>
      <w:r w:rsidR="002867A9" w:rsidRPr="003F6669">
        <w:rPr>
          <w:rFonts w:cs="Arial"/>
          <w:rtl/>
        </w:rPr>
        <w:t xml:space="preserve">' בס' תו"ג שהביא דברי הש"ך </w:t>
      </w:r>
      <w:r>
        <w:rPr>
          <w:rFonts w:cs="Arial" w:hint="cs"/>
          <w:rtl/>
        </w:rPr>
        <w:t>בחו"מ (</w:t>
      </w:r>
      <w:r w:rsidR="002867A9" w:rsidRPr="003F6669">
        <w:rPr>
          <w:rFonts w:cs="Arial"/>
          <w:rtl/>
        </w:rPr>
        <w:t>סי' מט סק"ו</w:t>
      </w:r>
      <w:r>
        <w:rPr>
          <w:rFonts w:cs="Arial" w:hint="cs"/>
          <w:rtl/>
        </w:rPr>
        <w:t>)</w:t>
      </w:r>
      <w:r w:rsidR="002867A9" w:rsidRPr="003F6669">
        <w:rPr>
          <w:rFonts w:cs="Arial"/>
          <w:rtl/>
        </w:rPr>
        <w:t xml:space="preserve"> דמבואר שם דה"ה אם אינו ספק מכח חומר</w:t>
      </w:r>
      <w:r>
        <w:rPr>
          <w:rFonts w:cs="Arial" w:hint="cs"/>
          <w:rtl/>
        </w:rPr>
        <w:t>א</w:t>
      </w:r>
      <w:r w:rsidR="002867A9" w:rsidRPr="003F6669">
        <w:rPr>
          <w:rFonts w:cs="Arial"/>
          <w:rtl/>
        </w:rPr>
        <w:t xml:space="preserve"> רק מחמת ספק דאוריית</w:t>
      </w:r>
      <w:r>
        <w:rPr>
          <w:rFonts w:cs="Arial" w:hint="cs"/>
          <w:rtl/>
        </w:rPr>
        <w:t>א,</w:t>
      </w:r>
      <w:r w:rsidR="002867A9" w:rsidRPr="003F6669">
        <w:rPr>
          <w:rFonts w:cs="Arial"/>
          <w:rtl/>
        </w:rPr>
        <w:t xml:space="preserve"> כיון דאינו ודאי פסול אמרי</w:t>
      </w:r>
      <w:r>
        <w:rPr>
          <w:rFonts w:cs="Arial" w:hint="cs"/>
          <w:rtl/>
        </w:rPr>
        <w:t>נן</w:t>
      </w:r>
      <w:r w:rsidR="002867A9" w:rsidRPr="003F6669">
        <w:rPr>
          <w:rFonts w:cs="Arial"/>
          <w:rtl/>
        </w:rPr>
        <w:t xml:space="preserve"> דעשו שליחותן</w:t>
      </w:r>
      <w:r>
        <w:rPr>
          <w:rFonts w:cs="Arial" w:hint="cs"/>
          <w:rtl/>
        </w:rPr>
        <w:t>.</w:t>
      </w:r>
      <w:r w:rsidR="002867A9" w:rsidRPr="003F6669">
        <w:rPr>
          <w:rFonts w:cs="Arial"/>
          <w:rtl/>
        </w:rPr>
        <w:t xml:space="preserve"> ובס' קצה"ח שם השיג עליו דודאי ספק דאורי</w:t>
      </w:r>
      <w:r>
        <w:rPr>
          <w:rFonts w:cs="Arial" w:hint="cs"/>
          <w:rtl/>
        </w:rPr>
        <w:t>יתא</w:t>
      </w:r>
      <w:r w:rsidR="002867A9" w:rsidRPr="003F6669">
        <w:rPr>
          <w:rFonts w:cs="Arial"/>
          <w:rtl/>
        </w:rPr>
        <w:t xml:space="preserve"> גרע מפסול דרבנן. והוא ז"ל כתב ליישב דברי הש"ך דיש לחלק דודאי ספק שהניחו חכמי הש"ס בספק והוא ספק לכל הדור</w:t>
      </w:r>
      <w:r>
        <w:rPr>
          <w:rFonts w:cs="Arial" w:hint="cs"/>
          <w:rtl/>
        </w:rPr>
        <w:t>,</w:t>
      </w:r>
      <w:r w:rsidR="002867A9" w:rsidRPr="003F6669">
        <w:rPr>
          <w:rFonts w:cs="Arial"/>
          <w:rtl/>
        </w:rPr>
        <w:t xml:space="preserve"> ודאי דגרע מפסול דרבנן</w:t>
      </w:r>
      <w:r>
        <w:rPr>
          <w:rFonts w:cs="Arial" w:hint="cs"/>
          <w:rtl/>
        </w:rPr>
        <w:t>.</w:t>
      </w:r>
      <w:r w:rsidR="002867A9" w:rsidRPr="003F6669">
        <w:rPr>
          <w:rFonts w:cs="Arial"/>
          <w:rtl/>
        </w:rPr>
        <w:t xml:space="preserve"> משא"כ ספק שהוא רק ספק לחכם שבעיר שאין הספק כולל כל הדור</w:t>
      </w:r>
      <w:r>
        <w:rPr>
          <w:rFonts w:cs="Arial" w:hint="cs"/>
          <w:rtl/>
        </w:rPr>
        <w:t>,</w:t>
      </w:r>
      <w:r w:rsidR="002867A9" w:rsidRPr="003F6669">
        <w:rPr>
          <w:rFonts w:cs="Arial"/>
          <w:rtl/>
        </w:rPr>
        <w:t xml:space="preserve"> הוי ספק חסרון ידיעה</w:t>
      </w:r>
      <w:r w:rsidR="00314C64">
        <w:rPr>
          <w:rFonts w:cs="Arial" w:hint="cs"/>
          <w:rtl/>
        </w:rPr>
        <w:t>,</w:t>
      </w:r>
      <w:r w:rsidR="002867A9" w:rsidRPr="003F6669">
        <w:rPr>
          <w:rFonts w:cs="Arial"/>
          <w:rtl/>
        </w:rPr>
        <w:t xml:space="preserve"> דאם הוא ספק לזה אפשר לחכם גדול ממנו לא יהי</w:t>
      </w:r>
      <w:r>
        <w:rPr>
          <w:rFonts w:cs="Arial" w:hint="cs"/>
          <w:rtl/>
        </w:rPr>
        <w:t>ה</w:t>
      </w:r>
      <w:r w:rsidR="002867A9" w:rsidRPr="003F6669">
        <w:rPr>
          <w:rFonts w:cs="Arial"/>
          <w:rtl/>
        </w:rPr>
        <w:t xml:space="preserve"> ספק כלל בזה</w:t>
      </w:r>
      <w:r w:rsidR="00314C64">
        <w:rPr>
          <w:rFonts w:cs="Arial" w:hint="cs"/>
          <w:rtl/>
        </w:rPr>
        <w:t>,</w:t>
      </w:r>
      <w:r w:rsidR="002867A9" w:rsidRPr="003F6669">
        <w:rPr>
          <w:rFonts w:cs="Arial"/>
          <w:rtl/>
        </w:rPr>
        <w:t xml:space="preserve"> אמרי' דעשו עדים שליחותן</w:t>
      </w:r>
      <w:r w:rsidR="00314C64">
        <w:rPr>
          <w:rFonts w:cs="Arial" w:hint="cs"/>
          <w:rtl/>
        </w:rPr>
        <w:t>.</w:t>
      </w:r>
      <w:r w:rsidR="002867A9" w:rsidRPr="003F6669">
        <w:rPr>
          <w:rFonts w:cs="Arial"/>
          <w:rtl/>
        </w:rPr>
        <w:t xml:space="preserve"> כנ"ל ברור</w:t>
      </w:r>
      <w:r>
        <w:rPr>
          <w:rFonts w:cs="Arial" w:hint="cs"/>
          <w:rtl/>
        </w:rPr>
        <w:t>.</w:t>
      </w:r>
    </w:p>
    <w:p w14:paraId="793E4209" w14:textId="77777777" w:rsidR="00C17039" w:rsidRPr="00677A75" w:rsidRDefault="00C17039" w:rsidP="002867A9">
      <w:pPr>
        <w:rPr>
          <w:rFonts w:cs="Arial"/>
          <w:rtl/>
        </w:rPr>
      </w:pPr>
    </w:p>
    <w:p w14:paraId="15E579C0" w14:textId="1B9DCB7A" w:rsidR="00677A75" w:rsidRDefault="00677A75" w:rsidP="00786DE6">
      <w:pPr>
        <w:pStyle w:val="2"/>
        <w:rPr>
          <w:rtl/>
        </w:rPr>
      </w:pPr>
      <w:r w:rsidRPr="00677A75">
        <w:rPr>
          <w:rtl/>
        </w:rPr>
        <w:t>סעיף ב</w:t>
      </w:r>
      <w:r w:rsidR="00400EED">
        <w:rPr>
          <w:rFonts w:hint="cs"/>
          <w:rtl/>
        </w:rPr>
        <w:t>:</w:t>
      </w:r>
      <w:r w:rsidR="00D67F6D" w:rsidRPr="00D67F6D">
        <w:rPr>
          <w:rFonts w:cs="Arial" w:hint="cs"/>
          <w:rtl/>
        </w:rPr>
        <w:t xml:space="preserve"> </w:t>
      </w:r>
      <w:r w:rsidR="00D67F6D">
        <w:rPr>
          <w:rFonts w:cs="Arial" w:hint="cs"/>
          <w:rtl/>
        </w:rPr>
        <w:t>אמר '</w:t>
      </w:r>
      <w:r w:rsidR="00D67F6D" w:rsidRPr="00400EED">
        <w:rPr>
          <w:rFonts w:cs="Arial"/>
          <w:rtl/>
        </w:rPr>
        <w:t>כתבו וחתמו ותנו לשליח</w:t>
      </w:r>
      <w:r w:rsidR="00D67F6D">
        <w:rPr>
          <w:rFonts w:cs="Arial" w:hint="cs"/>
          <w:rtl/>
        </w:rPr>
        <w:t>'</w:t>
      </w:r>
      <w:r w:rsidR="00981074">
        <w:rPr>
          <w:rFonts w:hint="cs"/>
          <w:rtl/>
        </w:rPr>
        <w:t>, וכתבו וחתמו, ונמצא פסול/בטל או</w:t>
      </w:r>
      <w:r w:rsidR="00D67F6D">
        <w:rPr>
          <w:rFonts w:hint="cs"/>
          <w:rtl/>
        </w:rPr>
        <w:t xml:space="preserve"> </w:t>
      </w:r>
      <w:r w:rsidR="00981074">
        <w:rPr>
          <w:rFonts w:hint="cs"/>
          <w:rtl/>
        </w:rPr>
        <w:t>ש</w:t>
      </w:r>
      <w:r w:rsidR="00D67F6D">
        <w:rPr>
          <w:rFonts w:hint="cs"/>
          <w:rtl/>
        </w:rPr>
        <w:t>נאבד.</w:t>
      </w:r>
    </w:p>
    <w:p w14:paraId="21A32E78" w14:textId="77777777" w:rsidR="004D2859" w:rsidRPr="000273FC" w:rsidRDefault="004D2859" w:rsidP="004D2859">
      <w:pPr>
        <w:rPr>
          <w:rtl/>
        </w:rPr>
      </w:pPr>
      <w:r w:rsidRPr="00757690">
        <w:rPr>
          <w:rFonts w:cs="Arial" w:hint="cs"/>
          <w:b/>
          <w:bCs/>
          <w:rtl/>
        </w:rPr>
        <w:t xml:space="preserve">גיטין </w:t>
      </w:r>
      <w:r w:rsidRPr="00757690">
        <w:rPr>
          <w:rFonts w:cs="Arial" w:hint="cs"/>
          <w:b/>
          <w:bCs/>
          <w:sz w:val="16"/>
          <w:szCs w:val="16"/>
          <w:rtl/>
        </w:rPr>
        <w:t>(ר"פ התקבל)</w:t>
      </w:r>
      <w:r w:rsidRPr="00757690">
        <w:rPr>
          <w:rFonts w:cs="Arial" w:hint="cs"/>
          <w:b/>
          <w:bCs/>
          <w:rtl/>
        </w:rPr>
        <w:t xml:space="preserve"> סג ע"ב:</w:t>
      </w:r>
      <w:r w:rsidRPr="003E557A">
        <w:rPr>
          <w:rFonts w:cs="Arial"/>
          <w:rtl/>
        </w:rPr>
        <w:t xml:space="preserve"> </w:t>
      </w:r>
      <w:r w:rsidRPr="003E557A">
        <w:rPr>
          <w:rFonts w:cs="Arial"/>
          <w:u w:val="single"/>
          <w:rtl/>
        </w:rPr>
        <w:t>בעא מיניה רבא מרב נחמן</w:t>
      </w:r>
      <w:r w:rsidRPr="003E557A">
        <w:rPr>
          <w:rFonts w:cs="Arial"/>
          <w:rtl/>
        </w:rPr>
        <w:t>: כתבו ותנו לשליח</w:t>
      </w:r>
      <w:r>
        <w:rPr>
          <w:rStyle w:val="a7"/>
          <w:rFonts w:cs="Arial"/>
          <w:rtl/>
        </w:rPr>
        <w:footnoteReference w:id="374"/>
      </w:r>
      <w:r w:rsidRPr="003E557A">
        <w:rPr>
          <w:rFonts w:cs="Arial"/>
          <w:rtl/>
        </w:rPr>
        <w:t>, מהו? סלוקי סליק להו, או דילמא</w:t>
      </w:r>
      <w:r>
        <w:rPr>
          <w:rStyle w:val="a7"/>
          <w:rFonts w:cs="Arial"/>
          <w:rtl/>
        </w:rPr>
        <w:footnoteReference w:id="375"/>
      </w:r>
      <w:r w:rsidRPr="003E557A">
        <w:rPr>
          <w:rFonts w:cs="Arial"/>
          <w:rtl/>
        </w:rPr>
        <w:t xml:space="preserve"> לטירחא דידהו חייש? </w:t>
      </w:r>
      <w:r w:rsidRPr="003E557A">
        <w:rPr>
          <w:rFonts w:cs="Arial"/>
          <w:u w:val="single"/>
          <w:rtl/>
        </w:rPr>
        <w:t>א"ל רבינא לרב אשי</w:t>
      </w:r>
      <w:r w:rsidRPr="003E557A">
        <w:rPr>
          <w:rFonts w:cs="Arial"/>
          <w:rtl/>
        </w:rPr>
        <w:t>: ויוליך לה, מהו</w:t>
      </w:r>
      <w:r>
        <w:rPr>
          <w:rStyle w:val="a7"/>
          <w:rFonts w:cs="Arial"/>
          <w:rtl/>
        </w:rPr>
        <w:footnoteReference w:id="376"/>
      </w:r>
      <w:r w:rsidRPr="003E557A">
        <w:rPr>
          <w:rFonts w:cs="Arial"/>
          <w:rtl/>
        </w:rPr>
        <w:t>? תיקו.</w:t>
      </w:r>
      <w:r>
        <w:rPr>
          <w:rFonts w:hint="cs"/>
          <w:rtl/>
        </w:rPr>
        <w:t xml:space="preserve"> </w:t>
      </w:r>
      <w:r w:rsidRPr="000273FC">
        <w:rPr>
          <w:rFonts w:hint="cs"/>
          <w:sz w:val="16"/>
          <w:szCs w:val="16"/>
          <w:rtl/>
        </w:rPr>
        <w:t>(</w:t>
      </w:r>
      <w:r>
        <w:rPr>
          <w:rFonts w:cs="Arial" w:hint="cs"/>
          <w:sz w:val="16"/>
          <w:szCs w:val="16"/>
          <w:rtl/>
        </w:rPr>
        <w:t xml:space="preserve">כך פירש רש"י. אך </w:t>
      </w:r>
      <w:r w:rsidRPr="000273FC">
        <w:rPr>
          <w:rFonts w:cs="Arial"/>
          <w:sz w:val="16"/>
          <w:szCs w:val="16"/>
          <w:rtl/>
        </w:rPr>
        <w:t>הרי"ף (כט.) פירש בעיות אלו לענין אם יכולין העדים להיות שלוחין להולכה</w:t>
      </w:r>
      <w:r>
        <w:rPr>
          <w:rFonts w:cs="Arial" w:hint="cs"/>
          <w:sz w:val="16"/>
          <w:szCs w:val="16"/>
          <w:rtl/>
        </w:rPr>
        <w:t xml:space="preserve">. וכדברי רש"י כתב גם </w:t>
      </w:r>
      <w:r w:rsidRPr="000273FC">
        <w:rPr>
          <w:rFonts w:cs="Arial" w:hint="cs"/>
          <w:sz w:val="16"/>
          <w:szCs w:val="16"/>
          <w:rtl/>
        </w:rPr>
        <w:t>ב</w:t>
      </w:r>
      <w:r w:rsidRPr="000273FC">
        <w:rPr>
          <w:rFonts w:cs="Arial"/>
          <w:sz w:val="16"/>
          <w:szCs w:val="16"/>
          <w:rtl/>
        </w:rPr>
        <w:t>העי</w:t>
      </w:r>
      <w:r w:rsidRPr="000273FC">
        <w:rPr>
          <w:rFonts w:cs="Arial" w:hint="cs"/>
          <w:sz w:val="16"/>
          <w:szCs w:val="16"/>
          <w:rtl/>
        </w:rPr>
        <w:t>"</w:t>
      </w:r>
      <w:r w:rsidRPr="000273FC">
        <w:rPr>
          <w:rFonts w:cs="Arial"/>
          <w:sz w:val="16"/>
          <w:szCs w:val="16"/>
          <w:rtl/>
        </w:rPr>
        <w:t xml:space="preserve">ט (ח"א במאמר שביעי כח ע"ב) </w:t>
      </w:r>
      <w:r>
        <w:rPr>
          <w:rFonts w:cs="Arial" w:hint="cs"/>
          <w:sz w:val="16"/>
          <w:szCs w:val="16"/>
          <w:rtl/>
        </w:rPr>
        <w:t>ש</w:t>
      </w:r>
      <w:r w:rsidRPr="000273FC">
        <w:rPr>
          <w:rFonts w:cs="Arial"/>
          <w:sz w:val="16"/>
          <w:szCs w:val="16"/>
          <w:rtl/>
        </w:rPr>
        <w:t>פירש דבנאבד מיבעיא ליה</w:t>
      </w:r>
      <w:r w:rsidRPr="000273FC">
        <w:rPr>
          <w:rFonts w:cs="Arial" w:hint="cs"/>
          <w:sz w:val="16"/>
          <w:szCs w:val="16"/>
          <w:rtl/>
        </w:rPr>
        <w:t>,</w:t>
      </w:r>
      <w:r w:rsidRPr="000273FC">
        <w:rPr>
          <w:rFonts w:cs="Arial"/>
          <w:sz w:val="16"/>
          <w:szCs w:val="16"/>
          <w:rtl/>
        </w:rPr>
        <w:t xml:space="preserve"> ו</w:t>
      </w:r>
      <w:r w:rsidRPr="000273FC">
        <w:rPr>
          <w:rFonts w:cs="Arial" w:hint="cs"/>
          <w:sz w:val="16"/>
          <w:szCs w:val="16"/>
          <w:rtl/>
        </w:rPr>
        <w:t xml:space="preserve">כתב </w:t>
      </w:r>
      <w:r w:rsidRPr="000273FC">
        <w:rPr>
          <w:rFonts w:cs="Arial"/>
          <w:sz w:val="16"/>
          <w:szCs w:val="16"/>
          <w:rtl/>
        </w:rPr>
        <w:t xml:space="preserve">שגם הרי"ף בתשובה פירש כפירוש רש"י. גם דעת הרמב"ם </w:t>
      </w:r>
      <w:r w:rsidRPr="000273FC">
        <w:rPr>
          <w:rFonts w:cs="Arial" w:hint="cs"/>
          <w:sz w:val="16"/>
          <w:szCs w:val="16"/>
          <w:rtl/>
        </w:rPr>
        <w:t>(</w:t>
      </w:r>
      <w:r w:rsidRPr="000273FC">
        <w:rPr>
          <w:rFonts w:cs="Arial"/>
          <w:sz w:val="16"/>
          <w:szCs w:val="16"/>
          <w:rtl/>
        </w:rPr>
        <w:t>פ</w:t>
      </w:r>
      <w:r w:rsidRPr="000273FC">
        <w:rPr>
          <w:rFonts w:cs="Arial" w:hint="cs"/>
          <w:sz w:val="16"/>
          <w:szCs w:val="16"/>
          <w:rtl/>
        </w:rPr>
        <w:t>"</w:t>
      </w:r>
      <w:r w:rsidRPr="000273FC">
        <w:rPr>
          <w:rFonts w:cs="Arial"/>
          <w:sz w:val="16"/>
          <w:szCs w:val="16"/>
          <w:rtl/>
        </w:rPr>
        <w:t>ב ה"ט) שלא לפרש בעיות אלו כהרי"ף</w:t>
      </w:r>
      <w:r>
        <w:rPr>
          <w:rFonts w:cs="Arial" w:hint="cs"/>
          <w:sz w:val="16"/>
          <w:szCs w:val="16"/>
          <w:rtl/>
        </w:rPr>
        <w:t>,</w:t>
      </w:r>
      <w:r w:rsidRPr="000273FC">
        <w:rPr>
          <w:rFonts w:cs="Arial"/>
          <w:sz w:val="16"/>
          <w:szCs w:val="16"/>
          <w:rtl/>
        </w:rPr>
        <w:t xml:space="preserve"> אלא דקאי אעובדא דבסמוך דכתיב טפתא במקום נפתא</w:t>
      </w:r>
      <w:r>
        <w:rPr>
          <w:rFonts w:cs="Arial" w:hint="cs"/>
          <w:sz w:val="16"/>
          <w:szCs w:val="16"/>
          <w:rtl/>
        </w:rPr>
        <w:t>,</w:t>
      </w:r>
      <w:r w:rsidRPr="000273FC">
        <w:rPr>
          <w:rFonts w:cs="Arial"/>
          <w:sz w:val="16"/>
          <w:szCs w:val="16"/>
          <w:rtl/>
        </w:rPr>
        <w:t xml:space="preserve"> דהיינו נמצא הגט בטל או פסול</w:t>
      </w:r>
      <w:r>
        <w:rPr>
          <w:rFonts w:cs="Arial" w:hint="cs"/>
          <w:sz w:val="16"/>
          <w:szCs w:val="16"/>
          <w:rtl/>
        </w:rPr>
        <w:t>)</w:t>
      </w:r>
    </w:p>
    <w:p w14:paraId="5FAE9D34" w14:textId="5972E3E5" w:rsidR="0062037A" w:rsidRPr="00D67F6D" w:rsidRDefault="00D67F6D" w:rsidP="0062037A">
      <w:pPr>
        <w:rPr>
          <w:u w:val="single"/>
          <w:rtl/>
        </w:rPr>
      </w:pPr>
      <w:r w:rsidRPr="00D67F6D">
        <w:rPr>
          <w:rFonts w:cs="Arial" w:hint="cs"/>
          <w:u w:val="single"/>
          <w:rtl/>
        </w:rPr>
        <w:t>אמר לסופר ולעדים '</w:t>
      </w:r>
      <w:r w:rsidRPr="00D67F6D">
        <w:rPr>
          <w:rFonts w:cs="Arial"/>
          <w:u w:val="single"/>
          <w:rtl/>
        </w:rPr>
        <w:t>כתבו וחתמו ותנו לשליח</w:t>
      </w:r>
      <w:r w:rsidRPr="00D67F6D">
        <w:rPr>
          <w:rFonts w:cs="Arial" w:hint="cs"/>
          <w:u w:val="single"/>
          <w:rtl/>
        </w:rPr>
        <w:t>'</w:t>
      </w:r>
      <w:r w:rsidRPr="00D67F6D">
        <w:rPr>
          <w:rFonts w:hint="cs"/>
          <w:u w:val="single"/>
          <w:rtl/>
        </w:rPr>
        <w:t xml:space="preserve"> </w:t>
      </w:r>
      <w:r w:rsidRPr="00981074">
        <w:rPr>
          <w:rFonts w:hint="cs"/>
          <w:b/>
          <w:bCs/>
          <w:u w:val="single"/>
          <w:rtl/>
        </w:rPr>
        <w:t>ונאבד</w:t>
      </w:r>
      <w:r w:rsidRPr="00D67F6D">
        <w:rPr>
          <w:rFonts w:hint="cs"/>
          <w:u w:val="single"/>
          <w:rtl/>
        </w:rPr>
        <w:t xml:space="preserve"> מיד השליח </w:t>
      </w:r>
      <w:r w:rsidR="00A82951">
        <w:rPr>
          <w:u w:val="single"/>
          <w:rtl/>
        </w:rPr>
        <w:t>-</w:t>
      </w:r>
      <w:r w:rsidRPr="00D67F6D">
        <w:rPr>
          <w:rFonts w:hint="cs"/>
          <w:u w:val="single"/>
          <w:rtl/>
        </w:rPr>
        <w:t xml:space="preserve"> האם עשו שליחותן:</w:t>
      </w:r>
    </w:p>
    <w:p w14:paraId="4F2B9000" w14:textId="135C6881" w:rsidR="004D2859" w:rsidRDefault="00472986" w:rsidP="00A65C5F">
      <w:pPr>
        <w:pStyle w:val="ab"/>
        <w:numPr>
          <w:ilvl w:val="0"/>
          <w:numId w:val="34"/>
        </w:numPr>
      </w:pPr>
      <w:r>
        <w:rPr>
          <w:rFonts w:hint="cs"/>
          <w:rtl/>
        </w:rPr>
        <w:t>טור</w:t>
      </w:r>
      <w:r w:rsidR="00A82951">
        <w:rPr>
          <w:rFonts w:hint="cs"/>
          <w:rtl/>
        </w:rPr>
        <w:t>-</w:t>
      </w:r>
      <w:r>
        <w:rPr>
          <w:rFonts w:cs="Arial" w:hint="cs"/>
          <w:rtl/>
        </w:rPr>
        <w:t xml:space="preserve"> </w:t>
      </w:r>
      <w:r w:rsidRPr="00400EED">
        <w:rPr>
          <w:rFonts w:cs="Arial"/>
          <w:rtl/>
        </w:rPr>
        <w:t xml:space="preserve">אמר לסופר ולעדים </w:t>
      </w:r>
      <w:r w:rsidR="00D67F6D">
        <w:rPr>
          <w:rFonts w:cs="Arial" w:hint="cs"/>
          <w:rtl/>
        </w:rPr>
        <w:t>'</w:t>
      </w:r>
      <w:r w:rsidRPr="00400EED">
        <w:rPr>
          <w:rFonts w:cs="Arial"/>
          <w:rtl/>
        </w:rPr>
        <w:t>כתבו וחתמו ותנו לשליח</w:t>
      </w:r>
      <w:r w:rsidR="00D67F6D">
        <w:rPr>
          <w:rFonts w:cs="Arial" w:hint="cs"/>
          <w:rtl/>
        </w:rPr>
        <w:t>',</w:t>
      </w:r>
      <w:r w:rsidRPr="00400EED">
        <w:rPr>
          <w:rFonts w:cs="Arial"/>
          <w:rtl/>
        </w:rPr>
        <w:t xml:space="preserve"> ונאבד מיד השליח</w:t>
      </w:r>
      <w:r w:rsidR="00D67F6D">
        <w:rPr>
          <w:rFonts w:cs="Arial" w:hint="cs"/>
          <w:rtl/>
        </w:rPr>
        <w:t xml:space="preserve"> </w:t>
      </w:r>
      <w:r w:rsidR="00A82951">
        <w:rPr>
          <w:rFonts w:cs="Arial" w:hint="cs"/>
          <w:rtl/>
        </w:rPr>
        <w:t>-</w:t>
      </w:r>
      <w:r w:rsidRPr="00400EED">
        <w:rPr>
          <w:rFonts w:cs="Arial"/>
          <w:rtl/>
        </w:rPr>
        <w:t xml:space="preserve"> בהא ודאי לא עשאם שלוחים אלא להגיע ליד השליח</w:t>
      </w:r>
      <w:r w:rsidR="00BB01C3">
        <w:rPr>
          <w:rFonts w:cs="Arial" w:hint="cs"/>
          <w:rtl/>
        </w:rPr>
        <w:t>,</w:t>
      </w:r>
      <w:r w:rsidRPr="00400EED">
        <w:rPr>
          <w:rFonts w:cs="Arial"/>
          <w:rtl/>
        </w:rPr>
        <w:t xml:space="preserve"> ואינן יכולין לכתוב גט אחר</w:t>
      </w:r>
      <w:r w:rsidR="00D67F6D">
        <w:rPr>
          <w:rFonts w:cs="Arial" w:hint="cs"/>
          <w:rtl/>
        </w:rPr>
        <w:t>.</w:t>
      </w:r>
      <w:r w:rsidRPr="00400EED">
        <w:rPr>
          <w:rFonts w:cs="Arial"/>
          <w:rtl/>
        </w:rPr>
        <w:t xml:space="preserve"> אפי</w:t>
      </w:r>
      <w:r w:rsidR="00BB01C3">
        <w:rPr>
          <w:rFonts w:cs="Arial" w:hint="cs"/>
          <w:rtl/>
        </w:rPr>
        <w:t>לו</w:t>
      </w:r>
      <w:r w:rsidRPr="00400EED">
        <w:rPr>
          <w:rFonts w:cs="Arial"/>
          <w:rtl/>
        </w:rPr>
        <w:t xml:space="preserve"> אם אמר </w:t>
      </w:r>
      <w:r w:rsidR="00D67F6D">
        <w:rPr>
          <w:rFonts w:cs="Arial" w:hint="cs"/>
          <w:rtl/>
        </w:rPr>
        <w:t>'</w:t>
      </w:r>
      <w:r w:rsidRPr="00400EED">
        <w:rPr>
          <w:rFonts w:cs="Arial"/>
          <w:rtl/>
        </w:rPr>
        <w:t>כתבוהו ותנוהו ליד השליח ויוליך</w:t>
      </w:r>
      <w:r w:rsidR="00D67F6D">
        <w:rPr>
          <w:rFonts w:cs="Arial" w:hint="cs"/>
          <w:rtl/>
        </w:rPr>
        <w:t>'</w:t>
      </w:r>
      <w:r w:rsidRPr="00400EED">
        <w:rPr>
          <w:rFonts w:cs="Arial"/>
          <w:rtl/>
        </w:rPr>
        <w:t xml:space="preserve"> לא אמרינן שעשאן שלוחין עד שיוליך</w:t>
      </w:r>
      <w:r w:rsidR="00D67F6D">
        <w:rPr>
          <w:rFonts w:cs="Arial" w:hint="cs"/>
          <w:rtl/>
        </w:rPr>
        <w:t>,</w:t>
      </w:r>
      <w:r w:rsidRPr="00400EED">
        <w:rPr>
          <w:rFonts w:cs="Arial"/>
          <w:rtl/>
        </w:rPr>
        <w:t xml:space="preserve"> אלא מיד כשנתנוהו ליד השליח עשו שליחותו ואין כותבין גט אחר עד שישאלוהו</w:t>
      </w:r>
      <w:r w:rsidR="00D67F6D">
        <w:rPr>
          <w:rFonts w:cs="Arial" w:hint="cs"/>
          <w:rtl/>
        </w:rPr>
        <w:t>.</w:t>
      </w:r>
      <w:r w:rsidRPr="00400EED">
        <w:rPr>
          <w:rFonts w:cs="Arial"/>
          <w:rtl/>
        </w:rPr>
        <w:t xml:space="preserve"> ואם כתבו אחר ונתגרשה בו </w:t>
      </w:r>
      <w:r w:rsidR="00A82951">
        <w:rPr>
          <w:rFonts w:cs="Arial" w:hint="cs"/>
          <w:rtl/>
        </w:rPr>
        <w:t>-</w:t>
      </w:r>
      <w:r w:rsidR="00D67F6D">
        <w:rPr>
          <w:rFonts w:cs="Arial" w:hint="cs"/>
          <w:rtl/>
        </w:rPr>
        <w:t xml:space="preserve"> </w:t>
      </w:r>
      <w:r w:rsidRPr="00400EED">
        <w:rPr>
          <w:rFonts w:cs="Arial"/>
          <w:rtl/>
        </w:rPr>
        <w:t>הרי זו ספק מגורשת</w:t>
      </w:r>
      <w:r w:rsidR="001B5E8B">
        <w:rPr>
          <w:rStyle w:val="a7"/>
          <w:rFonts w:cs="Arial"/>
          <w:rtl/>
        </w:rPr>
        <w:footnoteReference w:id="377"/>
      </w:r>
      <w:r w:rsidR="00D67F6D">
        <w:rPr>
          <w:rFonts w:cs="Arial" w:hint="cs"/>
          <w:rtl/>
        </w:rPr>
        <w:t>.</w:t>
      </w:r>
      <w:r w:rsidRPr="00400EED">
        <w:rPr>
          <w:rFonts w:cs="Arial"/>
          <w:rtl/>
        </w:rPr>
        <w:t xml:space="preserve"> </w:t>
      </w:r>
      <w:r w:rsidR="008846B3" w:rsidRPr="008846B3">
        <w:rPr>
          <w:rFonts w:hint="cs"/>
          <w:color w:val="00B0F0"/>
          <w:rtl/>
        </w:rPr>
        <w:t>(וכ"כ הרמ"א)</w:t>
      </w:r>
    </w:p>
    <w:p w14:paraId="45828577" w14:textId="44E6EB70" w:rsidR="00B14C37" w:rsidRDefault="00B14C37" w:rsidP="00A65C5F">
      <w:pPr>
        <w:pStyle w:val="ab"/>
        <w:numPr>
          <w:ilvl w:val="0"/>
          <w:numId w:val="34"/>
        </w:numPr>
      </w:pPr>
      <w:r>
        <w:rPr>
          <w:rFonts w:hint="cs"/>
          <w:rtl/>
        </w:rPr>
        <w:t>רמב"ם</w:t>
      </w:r>
      <w:r>
        <w:rPr>
          <w:rFonts w:hint="cs"/>
          <w:sz w:val="16"/>
          <w:szCs w:val="16"/>
          <w:rtl/>
        </w:rPr>
        <w:t xml:space="preserve"> (</w:t>
      </w:r>
      <w:r w:rsidR="00B008B2">
        <w:rPr>
          <w:rFonts w:hint="cs"/>
          <w:sz w:val="16"/>
          <w:szCs w:val="16"/>
          <w:rtl/>
        </w:rPr>
        <w:t xml:space="preserve">שם, </w:t>
      </w:r>
      <w:r>
        <w:rPr>
          <w:rFonts w:hint="cs"/>
          <w:sz w:val="16"/>
          <w:szCs w:val="16"/>
          <w:rtl/>
        </w:rPr>
        <w:t>להב' הב"י)</w:t>
      </w:r>
      <w:r w:rsidR="00A82951">
        <w:rPr>
          <w:rFonts w:hint="cs"/>
          <w:rtl/>
        </w:rPr>
        <w:t>-</w:t>
      </w:r>
      <w:r w:rsidRPr="00B14C37">
        <w:rPr>
          <w:rFonts w:cs="Arial"/>
          <w:rtl/>
        </w:rPr>
        <w:t xml:space="preserve"> </w:t>
      </w:r>
      <w:r w:rsidRPr="008B165B">
        <w:rPr>
          <w:rFonts w:cs="Arial"/>
          <w:rtl/>
        </w:rPr>
        <w:t>היכא דכתבו גט מעליא ונתנו לשליח</w:t>
      </w:r>
      <w:r w:rsidRPr="008B165B">
        <w:rPr>
          <w:rFonts w:cs="Arial" w:hint="cs"/>
          <w:rtl/>
        </w:rPr>
        <w:t>,</w:t>
      </w:r>
      <w:r w:rsidRPr="008B165B">
        <w:rPr>
          <w:rFonts w:cs="Arial"/>
          <w:rtl/>
        </w:rPr>
        <w:t xml:space="preserve"> אפילו לא אמר </w:t>
      </w:r>
      <w:r w:rsidRPr="008B165B">
        <w:rPr>
          <w:rFonts w:cs="Arial" w:hint="cs"/>
          <w:rtl/>
        </w:rPr>
        <w:t>'</w:t>
      </w:r>
      <w:r w:rsidRPr="008B165B">
        <w:rPr>
          <w:rFonts w:cs="Arial"/>
          <w:rtl/>
        </w:rPr>
        <w:t>ויוליך</w:t>
      </w:r>
      <w:r w:rsidRPr="008B165B">
        <w:rPr>
          <w:rFonts w:cs="Arial" w:hint="cs"/>
          <w:rtl/>
        </w:rPr>
        <w:t>'</w:t>
      </w:r>
      <w:r w:rsidRPr="008B165B">
        <w:rPr>
          <w:rFonts w:cs="Arial"/>
          <w:rtl/>
        </w:rPr>
        <w:t xml:space="preserve"> </w:t>
      </w:r>
      <w:r w:rsidR="00A82951">
        <w:rPr>
          <w:rFonts w:cs="Arial" w:hint="cs"/>
          <w:rtl/>
        </w:rPr>
        <w:t>-</w:t>
      </w:r>
      <w:r>
        <w:rPr>
          <w:rFonts w:cs="Arial" w:hint="cs"/>
          <w:rtl/>
        </w:rPr>
        <w:t xml:space="preserve"> </w:t>
      </w:r>
      <w:r w:rsidRPr="008B165B">
        <w:rPr>
          <w:rFonts w:cs="Arial"/>
          <w:rtl/>
        </w:rPr>
        <w:t>פשיטא ודאי דעשו שליחותן</w:t>
      </w:r>
      <w:r>
        <w:rPr>
          <w:rFonts w:cs="Arial" w:hint="cs"/>
          <w:rtl/>
        </w:rPr>
        <w:t>,</w:t>
      </w:r>
      <w:r w:rsidRPr="008B165B">
        <w:rPr>
          <w:rFonts w:cs="Arial"/>
          <w:rtl/>
        </w:rPr>
        <w:t xml:space="preserve"> ושוב אין כותבין ונותנין</w:t>
      </w:r>
      <w:r w:rsidR="008D2A8C">
        <w:rPr>
          <w:rStyle w:val="a7"/>
          <w:rFonts w:cs="Arial"/>
          <w:rtl/>
        </w:rPr>
        <w:footnoteReference w:id="378"/>
      </w:r>
      <w:r>
        <w:rPr>
          <w:rFonts w:cs="Arial" w:hint="cs"/>
          <w:sz w:val="16"/>
          <w:szCs w:val="16"/>
          <w:rtl/>
        </w:rPr>
        <w:t xml:space="preserve"> (ל' הב"י בשמו)</w:t>
      </w:r>
      <w:r>
        <w:rPr>
          <w:rFonts w:cs="Arial" w:hint="cs"/>
          <w:rtl/>
        </w:rPr>
        <w:t>.</w:t>
      </w:r>
      <w:r w:rsidR="008846B3">
        <w:rPr>
          <w:rFonts w:hint="cs"/>
          <w:rtl/>
        </w:rPr>
        <w:t xml:space="preserve"> </w:t>
      </w:r>
    </w:p>
    <w:p w14:paraId="64437CE3" w14:textId="57623D9B" w:rsidR="004D2859" w:rsidRPr="008B165B" w:rsidRDefault="004D2859" w:rsidP="004D2859">
      <w:pPr>
        <w:ind w:left="360"/>
        <w:rPr>
          <w:u w:val="dotted"/>
        </w:rPr>
      </w:pPr>
      <w:r w:rsidRPr="008B165B">
        <w:rPr>
          <w:rFonts w:hint="cs"/>
          <w:u w:val="dotted"/>
          <w:rtl/>
        </w:rPr>
        <w:t xml:space="preserve">ומה הדין אם </w:t>
      </w:r>
      <w:r w:rsidR="008B165B" w:rsidRPr="008B165B">
        <w:rPr>
          <w:rFonts w:cs="Arial"/>
          <w:u w:val="dotted"/>
          <w:rtl/>
        </w:rPr>
        <w:t xml:space="preserve">כתבו גט </w:t>
      </w:r>
      <w:r w:rsidR="00D03B05" w:rsidRPr="00981074">
        <w:rPr>
          <w:rFonts w:cs="Arial" w:hint="cs"/>
          <w:b/>
          <w:bCs/>
          <w:u w:val="dotted"/>
          <w:rtl/>
        </w:rPr>
        <w:t xml:space="preserve">בטל או </w:t>
      </w:r>
      <w:r w:rsidR="008B165B" w:rsidRPr="00981074">
        <w:rPr>
          <w:rFonts w:cs="Arial"/>
          <w:b/>
          <w:bCs/>
          <w:u w:val="dotted"/>
          <w:rtl/>
        </w:rPr>
        <w:t>פסול</w:t>
      </w:r>
      <w:r w:rsidR="008B165B" w:rsidRPr="008B165B">
        <w:rPr>
          <w:rFonts w:cs="Arial"/>
          <w:u w:val="dotted"/>
          <w:rtl/>
        </w:rPr>
        <w:t xml:space="preserve"> ונתנו לשליח</w:t>
      </w:r>
      <w:r w:rsidR="008B165B" w:rsidRPr="008B165B">
        <w:rPr>
          <w:rFonts w:hint="cs"/>
          <w:u w:val="dotted"/>
          <w:rtl/>
        </w:rPr>
        <w:t>:</w:t>
      </w:r>
    </w:p>
    <w:p w14:paraId="242D3803" w14:textId="31B0B18C" w:rsidR="00B14C37" w:rsidRDefault="00B14C37" w:rsidP="00A65C5F">
      <w:pPr>
        <w:pStyle w:val="ab"/>
        <w:numPr>
          <w:ilvl w:val="0"/>
          <w:numId w:val="34"/>
        </w:numPr>
      </w:pPr>
      <w:r>
        <w:rPr>
          <w:rFonts w:cs="Arial" w:hint="cs"/>
          <w:rtl/>
        </w:rPr>
        <w:t xml:space="preserve">רמב"ם </w:t>
      </w:r>
      <w:r>
        <w:rPr>
          <w:rFonts w:cs="Arial" w:hint="cs"/>
          <w:sz w:val="16"/>
          <w:szCs w:val="16"/>
          <w:rtl/>
        </w:rPr>
        <w:t>(פ"ב מגירושין ה"ט)</w:t>
      </w:r>
      <w:r w:rsidR="00E41A94">
        <w:rPr>
          <w:rStyle w:val="a7"/>
          <w:rFonts w:cs="Arial"/>
          <w:rtl/>
        </w:rPr>
        <w:footnoteReference w:id="379"/>
      </w:r>
      <w:r w:rsidR="00A82951">
        <w:rPr>
          <w:rFonts w:cs="Arial" w:hint="cs"/>
          <w:rtl/>
        </w:rPr>
        <w:t>-</w:t>
      </w:r>
      <w:r>
        <w:rPr>
          <w:rFonts w:cs="Arial" w:hint="cs"/>
          <w:rtl/>
        </w:rPr>
        <w:t xml:space="preserve"> </w:t>
      </w:r>
      <w:r w:rsidRPr="00D03B05">
        <w:rPr>
          <w:rFonts w:cs="Arial"/>
          <w:rtl/>
        </w:rPr>
        <w:t xml:space="preserve">אמר להם הבעל </w:t>
      </w:r>
      <w:r>
        <w:rPr>
          <w:rFonts w:cs="Arial" w:hint="cs"/>
          <w:rtl/>
        </w:rPr>
        <w:t>'</w:t>
      </w:r>
      <w:r w:rsidRPr="00D03B05">
        <w:rPr>
          <w:rFonts w:cs="Arial"/>
          <w:rtl/>
        </w:rPr>
        <w:t>כתבו וחתמו ותנו לשליח להוליך לה</w:t>
      </w:r>
      <w:r>
        <w:rPr>
          <w:rFonts w:cs="Arial" w:hint="cs"/>
          <w:rtl/>
        </w:rPr>
        <w:t>',</w:t>
      </w:r>
      <w:r w:rsidRPr="00D03B05">
        <w:rPr>
          <w:rFonts w:cs="Arial"/>
          <w:rtl/>
        </w:rPr>
        <w:t xml:space="preserve"> וכתבו וחתמו ונתנו לשליח ונמצא הגט בטל או פסול </w:t>
      </w:r>
      <w:r w:rsidR="00A82951">
        <w:rPr>
          <w:rFonts w:cs="Arial" w:hint="cs"/>
          <w:rtl/>
        </w:rPr>
        <w:t>-</w:t>
      </w:r>
      <w:r>
        <w:rPr>
          <w:rFonts w:cs="Arial" w:hint="cs"/>
          <w:rtl/>
        </w:rPr>
        <w:t xml:space="preserve"> </w:t>
      </w:r>
      <w:r w:rsidRPr="00D03B05">
        <w:rPr>
          <w:rFonts w:cs="Arial"/>
          <w:rtl/>
        </w:rPr>
        <w:t>אין כותבין אחר עד שימלכו בבעל</w:t>
      </w:r>
      <w:r>
        <w:rPr>
          <w:rFonts w:cs="Arial" w:hint="cs"/>
          <w:rtl/>
        </w:rPr>
        <w:t>.</w:t>
      </w:r>
      <w:r w:rsidRPr="00D03B05">
        <w:rPr>
          <w:rFonts w:cs="Arial"/>
          <w:rtl/>
        </w:rPr>
        <w:t xml:space="preserve"> שהרי לא עשה אותו שלוחים לגירושין</w:t>
      </w:r>
      <w:r>
        <w:rPr>
          <w:rFonts w:cs="Arial" w:hint="cs"/>
          <w:rtl/>
        </w:rPr>
        <w:t>,</w:t>
      </w:r>
      <w:r w:rsidRPr="00D03B05">
        <w:rPr>
          <w:rFonts w:cs="Arial"/>
          <w:rtl/>
        </w:rPr>
        <w:t xml:space="preserve"> ושמא </w:t>
      </w:r>
      <w:r w:rsidRPr="00D03B05">
        <w:rPr>
          <w:rFonts w:cs="Arial"/>
          <w:rtl/>
        </w:rPr>
        <w:lastRenderedPageBreak/>
        <w:t>לא רצה אלא שיכתבו ויתנו לשליח בלבד ולא ישאר להם בו מעשה אחר והרי כתבו ונתנו</w:t>
      </w:r>
      <w:r>
        <w:rPr>
          <w:rStyle w:val="a7"/>
          <w:rFonts w:cs="Arial"/>
          <w:rtl/>
        </w:rPr>
        <w:footnoteReference w:id="380"/>
      </w:r>
      <w:r>
        <w:rPr>
          <w:rFonts w:cs="Arial" w:hint="cs"/>
          <w:rtl/>
        </w:rPr>
        <w:t>.</w:t>
      </w:r>
      <w:r w:rsidRPr="00D03B05">
        <w:rPr>
          <w:rFonts w:cs="Arial"/>
          <w:rtl/>
        </w:rPr>
        <w:t xml:space="preserve"> לפיכך לא יכתבו אחר</w:t>
      </w:r>
      <w:r>
        <w:rPr>
          <w:rFonts w:cs="Arial" w:hint="cs"/>
          <w:rtl/>
        </w:rPr>
        <w:t>.</w:t>
      </w:r>
      <w:r w:rsidRPr="00D03B05">
        <w:rPr>
          <w:rFonts w:cs="Arial"/>
          <w:rtl/>
        </w:rPr>
        <w:t xml:space="preserve"> ואם כתבו גט אחר כשר ונתנוהו לשליח ונתנו לה </w:t>
      </w:r>
      <w:r w:rsidR="00A82951">
        <w:rPr>
          <w:rFonts w:cs="Arial" w:hint="cs"/>
          <w:rtl/>
        </w:rPr>
        <w:t>-</w:t>
      </w:r>
      <w:r>
        <w:rPr>
          <w:rFonts w:cs="Arial" w:hint="cs"/>
          <w:rtl/>
        </w:rPr>
        <w:t xml:space="preserve"> </w:t>
      </w:r>
      <w:r w:rsidRPr="00D03B05">
        <w:rPr>
          <w:rFonts w:cs="Arial"/>
          <w:rtl/>
        </w:rPr>
        <w:t>הרי זו ספק מגורשת</w:t>
      </w:r>
      <w:r w:rsidR="00E41A94">
        <w:rPr>
          <w:rStyle w:val="a7"/>
          <w:rFonts w:cs="Arial"/>
          <w:rtl/>
        </w:rPr>
        <w:footnoteReference w:id="381"/>
      </w:r>
      <w:r w:rsidRPr="00D03B05">
        <w:rPr>
          <w:rFonts w:cs="Arial"/>
          <w:rtl/>
        </w:rPr>
        <w:t>.</w:t>
      </w:r>
      <w:r w:rsidR="008846B3">
        <w:rPr>
          <w:rFonts w:cs="Arial" w:hint="cs"/>
          <w:rtl/>
        </w:rPr>
        <w:t xml:space="preserve"> </w:t>
      </w:r>
      <w:r w:rsidR="008846B3" w:rsidRPr="007D43B5">
        <w:rPr>
          <w:rFonts w:cs="Arial" w:hint="cs"/>
          <w:color w:val="E36C0A" w:themeColor="accent6" w:themeShade="BF"/>
          <w:rtl/>
        </w:rPr>
        <w:t>(וכ"פ בשו"ע)</w:t>
      </w:r>
    </w:p>
    <w:p w14:paraId="3396BF31" w14:textId="5287E49D" w:rsidR="00400EED" w:rsidRPr="00400EED" w:rsidRDefault="008B165B" w:rsidP="00A65C5F">
      <w:pPr>
        <w:pStyle w:val="ab"/>
        <w:numPr>
          <w:ilvl w:val="0"/>
          <w:numId w:val="34"/>
        </w:numPr>
        <w:rPr>
          <w:rtl/>
        </w:rPr>
      </w:pPr>
      <w:r>
        <w:rPr>
          <w:rFonts w:cs="Arial" w:hint="cs"/>
          <w:rtl/>
        </w:rPr>
        <w:t xml:space="preserve">רש"י </w:t>
      </w:r>
      <w:r>
        <w:rPr>
          <w:rFonts w:cs="Arial" w:hint="cs"/>
          <w:sz w:val="16"/>
          <w:szCs w:val="16"/>
          <w:rtl/>
        </w:rPr>
        <w:t>(להב' הב"י</w:t>
      </w:r>
      <w:r w:rsidRPr="008B165B">
        <w:rPr>
          <w:rStyle w:val="a7"/>
          <w:rFonts w:cs="Arial"/>
          <w:rtl/>
        </w:rPr>
        <w:footnoteReference w:id="382"/>
      </w:r>
      <w:r>
        <w:rPr>
          <w:rFonts w:cs="Arial" w:hint="cs"/>
          <w:sz w:val="16"/>
          <w:szCs w:val="16"/>
          <w:rtl/>
        </w:rPr>
        <w:t>)</w:t>
      </w:r>
      <w:r>
        <w:rPr>
          <w:rFonts w:cs="Arial" w:hint="cs"/>
          <w:rtl/>
        </w:rPr>
        <w:t xml:space="preserve"> ו</w:t>
      </w:r>
      <w:r w:rsidR="004D2859">
        <w:rPr>
          <w:rFonts w:cs="Arial" w:hint="cs"/>
          <w:rtl/>
        </w:rPr>
        <w:t>טור</w:t>
      </w:r>
      <w:r w:rsidR="00A82951">
        <w:rPr>
          <w:rFonts w:cs="Arial" w:hint="cs"/>
          <w:rtl/>
        </w:rPr>
        <w:t>-</w:t>
      </w:r>
      <w:r w:rsidR="004D2859">
        <w:rPr>
          <w:rFonts w:cs="Arial" w:hint="cs"/>
          <w:rtl/>
        </w:rPr>
        <w:t xml:space="preserve"> </w:t>
      </w:r>
      <w:r w:rsidR="00472986" w:rsidRPr="00400EED">
        <w:rPr>
          <w:rFonts w:cs="Arial"/>
          <w:rtl/>
        </w:rPr>
        <w:t xml:space="preserve">אבל אם כתבו גט פסול ונתנו לשליח </w:t>
      </w:r>
      <w:r w:rsidR="00A82951">
        <w:rPr>
          <w:rFonts w:cs="Arial" w:hint="cs"/>
          <w:rtl/>
        </w:rPr>
        <w:t>-</w:t>
      </w:r>
      <w:r w:rsidR="00D67F6D">
        <w:rPr>
          <w:rFonts w:cs="Arial" w:hint="cs"/>
          <w:rtl/>
        </w:rPr>
        <w:t xml:space="preserve"> </w:t>
      </w:r>
      <w:r w:rsidR="00472986" w:rsidRPr="00400EED">
        <w:rPr>
          <w:rFonts w:cs="Arial"/>
          <w:rtl/>
        </w:rPr>
        <w:t>ודאי יכולין לכתוב אחר</w:t>
      </w:r>
      <w:r w:rsidR="00B14C37">
        <w:rPr>
          <w:rStyle w:val="a7"/>
          <w:rFonts w:cs="Arial"/>
          <w:rtl/>
        </w:rPr>
        <w:footnoteReference w:id="383"/>
      </w:r>
      <w:r>
        <w:rPr>
          <w:rFonts w:cs="Arial" w:hint="cs"/>
          <w:sz w:val="16"/>
          <w:szCs w:val="16"/>
          <w:rtl/>
        </w:rPr>
        <w:t xml:space="preserve"> (ל' הטור)</w:t>
      </w:r>
      <w:r w:rsidR="00472986">
        <w:rPr>
          <w:rFonts w:cs="Arial" w:hint="cs"/>
          <w:rtl/>
        </w:rPr>
        <w:t>.</w:t>
      </w:r>
      <w:r w:rsidR="00400EED" w:rsidRPr="00B14C37">
        <w:rPr>
          <w:rFonts w:cs="Arial"/>
          <w:rtl/>
        </w:rPr>
        <w:t xml:space="preserve"> </w:t>
      </w:r>
      <w:r w:rsidR="008846B3" w:rsidRPr="008846B3">
        <w:rPr>
          <w:rFonts w:hint="cs"/>
          <w:color w:val="00B0F0"/>
          <w:rtl/>
        </w:rPr>
        <w:t>(וכ"כ הרמ"א)</w:t>
      </w:r>
    </w:p>
    <w:p w14:paraId="6D01C9E9" w14:textId="77777777" w:rsidR="00677A75" w:rsidRPr="007B74F1" w:rsidRDefault="00677A75" w:rsidP="00677A7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57003B4" w14:textId="016F0A83" w:rsidR="00677A75" w:rsidRDefault="00677A75" w:rsidP="00677A75">
      <w:pPr>
        <w:rPr>
          <w:rFonts w:cs="Arial"/>
          <w:rtl/>
        </w:rPr>
      </w:pPr>
      <w:r w:rsidRPr="00677A75">
        <w:rPr>
          <w:rFonts w:cs="Arial"/>
          <w:rtl/>
        </w:rPr>
        <w:t>אמר להם: כתבו וחתמו ותנו לשליח ויוליך לה</w:t>
      </w:r>
      <w:r w:rsidR="00981074">
        <w:rPr>
          <w:rStyle w:val="a7"/>
          <w:rFonts w:cs="Arial"/>
          <w:rtl/>
        </w:rPr>
        <w:footnoteReference w:id="384"/>
      </w:r>
      <w:r w:rsidRPr="00677A75">
        <w:rPr>
          <w:rFonts w:cs="Arial"/>
          <w:rtl/>
        </w:rPr>
        <w:t xml:space="preserve">, וכתבו ונתנו לשליח ונמצא הגט פסול או בטל, אין כותבין גט אחר עד שימלכו בבעל. ואם לא נמלכו בו וכתבו גט אחר כשר ונתנוהו לשליח ונתנו לה, הרי זו ספק מגורשת. </w:t>
      </w:r>
      <w:r w:rsidRPr="007E5192">
        <w:rPr>
          <w:rFonts w:cs="Arial"/>
          <w:sz w:val="18"/>
          <w:szCs w:val="18"/>
          <w:rtl/>
        </w:rPr>
        <w:t>הגה: וי"א דכל שנמצא הגט בטל או פסול כותבין גט אחר, אלא שאם נאבד מיד השליח דינו כמו שנתבאר (טור). וכל זה שאמר להם לכתוב וליתן, אבל נתן לשליח גט להוליכו ונמצא פסול, פשיטא שאינן יכולין לכתוב אחר בלא רשות שלו (רשב"א).</w:t>
      </w:r>
    </w:p>
    <w:p w14:paraId="272B256A" w14:textId="77777777" w:rsidR="00E02557" w:rsidRDefault="00E02557" w:rsidP="00981074">
      <w:pPr>
        <w:rPr>
          <w:rFonts w:cs="Arial"/>
          <w:rtl/>
        </w:rPr>
      </w:pPr>
      <w:r w:rsidRPr="00E02557">
        <w:rPr>
          <w:rFonts w:cs="Arial"/>
          <w:u w:val="single"/>
          <w:rtl/>
        </w:rPr>
        <w:t>אמר להם כתבו וחתמו גט לאשתי ועשו שליח להוליך לה</w:t>
      </w:r>
      <w:r w:rsidRPr="00E02557">
        <w:rPr>
          <w:rFonts w:cs="Arial" w:hint="cs"/>
          <w:u w:val="single"/>
          <w:rtl/>
        </w:rPr>
        <w:t>:</w:t>
      </w:r>
      <w:r w:rsidRPr="00981074">
        <w:rPr>
          <w:rFonts w:cs="Arial"/>
          <w:rtl/>
        </w:rPr>
        <w:t xml:space="preserve"> </w:t>
      </w:r>
      <w:r w:rsidR="00981074" w:rsidRPr="00E02557">
        <w:rPr>
          <w:rFonts w:cs="Arial"/>
          <w:sz w:val="16"/>
          <w:szCs w:val="16"/>
          <w:rtl/>
        </w:rPr>
        <w:t>(</w:t>
      </w:r>
      <w:r w:rsidRPr="00E02557">
        <w:rPr>
          <w:rFonts w:cs="Arial" w:hint="cs"/>
          <w:sz w:val="16"/>
          <w:szCs w:val="16"/>
          <w:rtl/>
        </w:rPr>
        <w:t>פת"ש סק"</w:t>
      </w:r>
      <w:r w:rsidR="00981074" w:rsidRPr="00E02557">
        <w:rPr>
          <w:rFonts w:cs="Arial"/>
          <w:sz w:val="16"/>
          <w:szCs w:val="16"/>
          <w:rtl/>
        </w:rPr>
        <w:t>י)</w:t>
      </w:r>
      <w:r w:rsidR="00981074" w:rsidRPr="00981074">
        <w:rPr>
          <w:rFonts w:cs="Arial"/>
          <w:rtl/>
        </w:rPr>
        <w:t xml:space="preserve"> </w:t>
      </w:r>
    </w:p>
    <w:p w14:paraId="6D803718" w14:textId="2C67BB1C" w:rsidR="00981074" w:rsidRDefault="00E02557" w:rsidP="00A65C5F">
      <w:pPr>
        <w:pStyle w:val="ab"/>
        <w:numPr>
          <w:ilvl w:val="0"/>
          <w:numId w:val="37"/>
        </w:numPr>
        <w:rPr>
          <w:rFonts w:cs="Arial"/>
        </w:rPr>
      </w:pPr>
      <w:r w:rsidRPr="00E02557">
        <w:rPr>
          <w:rFonts w:cs="Arial"/>
          <w:rtl/>
        </w:rPr>
        <w:t xml:space="preserve">רדב"ז </w:t>
      </w:r>
      <w:r>
        <w:rPr>
          <w:rFonts w:cs="Arial" w:hint="cs"/>
          <w:sz w:val="16"/>
          <w:szCs w:val="16"/>
          <w:rtl/>
        </w:rPr>
        <w:t>(</w:t>
      </w:r>
      <w:r w:rsidRPr="00E02557">
        <w:rPr>
          <w:rFonts w:cs="Arial"/>
          <w:sz w:val="16"/>
          <w:szCs w:val="16"/>
          <w:rtl/>
        </w:rPr>
        <w:t>ח"ד סי' רעו</w:t>
      </w:r>
      <w:r w:rsidRPr="00E02557">
        <w:rPr>
          <w:rFonts w:cs="Arial" w:hint="cs"/>
          <w:sz w:val="16"/>
          <w:szCs w:val="16"/>
          <w:rtl/>
        </w:rPr>
        <w:t>)</w:t>
      </w:r>
      <w:r w:rsidR="00A82951">
        <w:rPr>
          <w:rFonts w:cs="Arial" w:hint="cs"/>
          <w:rtl/>
        </w:rPr>
        <w:t>-</w:t>
      </w:r>
      <w:r w:rsidRPr="00E02557">
        <w:rPr>
          <w:rFonts w:cs="Arial"/>
          <w:rtl/>
        </w:rPr>
        <w:t xml:space="preserve"> </w:t>
      </w:r>
      <w:r w:rsidR="001A54EB" w:rsidRPr="001A54EB">
        <w:rPr>
          <w:rFonts w:cs="Arial"/>
          <w:rtl/>
        </w:rPr>
        <w:t xml:space="preserve">אם אמר להם </w:t>
      </w:r>
      <w:r w:rsidR="001A54EB">
        <w:rPr>
          <w:rFonts w:cs="Arial" w:hint="cs"/>
          <w:rtl/>
        </w:rPr>
        <w:t>'</w:t>
      </w:r>
      <w:r w:rsidR="001A54EB" w:rsidRPr="001A54EB">
        <w:rPr>
          <w:rFonts w:cs="Arial"/>
          <w:rtl/>
        </w:rPr>
        <w:t>כתבו וחתמו גט לאשתי ועשו שליח להוליך לה</w:t>
      </w:r>
      <w:r w:rsidR="001A54EB">
        <w:rPr>
          <w:rFonts w:cs="Arial" w:hint="cs"/>
          <w:rtl/>
        </w:rPr>
        <w:t>'</w:t>
      </w:r>
      <w:r w:rsidR="001A54EB" w:rsidRPr="001A54EB">
        <w:rPr>
          <w:rFonts w:cs="Arial"/>
          <w:rtl/>
        </w:rPr>
        <w:t xml:space="preserve"> או </w:t>
      </w:r>
      <w:r w:rsidR="001A54EB">
        <w:rPr>
          <w:rFonts w:cs="Arial" w:hint="cs"/>
          <w:rtl/>
        </w:rPr>
        <w:t>'</w:t>
      </w:r>
      <w:r w:rsidR="001A54EB" w:rsidRPr="001A54EB">
        <w:rPr>
          <w:rFonts w:cs="Arial"/>
          <w:rtl/>
        </w:rPr>
        <w:t>כתבו וחתמו ושלחו גט לאשתי</w:t>
      </w:r>
      <w:r w:rsidR="001A54EB">
        <w:rPr>
          <w:rFonts w:cs="Arial" w:hint="cs"/>
          <w:rtl/>
        </w:rPr>
        <w:t>'</w:t>
      </w:r>
      <w:r w:rsidR="001A54EB" w:rsidRPr="001A54EB">
        <w:rPr>
          <w:rFonts w:cs="Arial"/>
          <w:rtl/>
        </w:rPr>
        <w:t xml:space="preserve"> בהא ודאי לא סלוקינהו</w:t>
      </w:r>
      <w:r w:rsidR="001A54EB">
        <w:rPr>
          <w:rFonts w:cs="Arial" w:hint="cs"/>
          <w:rtl/>
        </w:rPr>
        <w:t>,</w:t>
      </w:r>
      <w:r w:rsidR="001A54EB" w:rsidRPr="001A54EB">
        <w:rPr>
          <w:rFonts w:cs="Arial"/>
          <w:rtl/>
        </w:rPr>
        <w:t xml:space="preserve"> ואם נאבד מיד השליח </w:t>
      </w:r>
      <w:r w:rsidR="00A82951">
        <w:rPr>
          <w:rFonts w:cs="Arial" w:hint="cs"/>
          <w:rtl/>
        </w:rPr>
        <w:t>-</w:t>
      </w:r>
      <w:r w:rsidR="001A54EB">
        <w:rPr>
          <w:rFonts w:cs="Arial" w:hint="cs"/>
          <w:rtl/>
        </w:rPr>
        <w:t xml:space="preserve"> </w:t>
      </w:r>
      <w:r w:rsidR="001A54EB" w:rsidRPr="001A54EB">
        <w:rPr>
          <w:rFonts w:cs="Arial"/>
          <w:rtl/>
        </w:rPr>
        <w:t>כותבין אחר ושולחין לה</w:t>
      </w:r>
      <w:r w:rsidR="001A54EB">
        <w:rPr>
          <w:rFonts w:cs="Arial" w:hint="cs"/>
          <w:rtl/>
        </w:rPr>
        <w:t>,</w:t>
      </w:r>
      <w:r w:rsidR="001A54EB" w:rsidRPr="001A54EB">
        <w:rPr>
          <w:rFonts w:cs="Arial"/>
          <w:rtl/>
        </w:rPr>
        <w:t xml:space="preserve"> דהא עד דמטא גט לידה שוינהו שלוחין. ומשום הכי הוצרך רש"י לכתוב עלה דהך דלעיל דקא מיבעיא לן כתבו ותנו </w:t>
      </w:r>
      <w:r w:rsidR="001A54EB">
        <w:rPr>
          <w:rFonts w:cs="Arial" w:hint="cs"/>
          <w:rtl/>
        </w:rPr>
        <w:t>'</w:t>
      </w:r>
      <w:r w:rsidR="001A54EB" w:rsidRPr="001A54EB">
        <w:rPr>
          <w:rFonts w:cs="Arial"/>
          <w:rtl/>
        </w:rPr>
        <w:t>לשליח שלי שמניתי</w:t>
      </w:r>
      <w:r w:rsidR="001A54EB">
        <w:rPr>
          <w:rFonts w:cs="Arial" w:hint="cs"/>
          <w:rtl/>
        </w:rPr>
        <w:t>'</w:t>
      </w:r>
      <w:r w:rsidR="001A54EB" w:rsidRPr="001A54EB">
        <w:rPr>
          <w:rFonts w:cs="Arial"/>
          <w:rtl/>
        </w:rPr>
        <w:t xml:space="preserve"> עד כאן. משמע דמשום הכי מספקא ליה אי סלוקי סלוקינהו אבל אם אמר להם למנות שליח להולכה לא סלקינהו</w:t>
      </w:r>
      <w:r w:rsidR="008E4F0F">
        <w:rPr>
          <w:rStyle w:val="a7"/>
          <w:rFonts w:cs="Arial"/>
          <w:rtl/>
        </w:rPr>
        <w:footnoteReference w:id="385"/>
      </w:r>
      <w:r w:rsidR="00981074" w:rsidRPr="00E02557">
        <w:rPr>
          <w:rFonts w:cs="Arial"/>
          <w:rtl/>
        </w:rPr>
        <w:t xml:space="preserve">. </w:t>
      </w:r>
    </w:p>
    <w:p w14:paraId="059AFFAE" w14:textId="60BDF34D" w:rsidR="00DA1205" w:rsidRPr="00DA1205" w:rsidRDefault="00DA1205" w:rsidP="00DA1205">
      <w:pPr>
        <w:rPr>
          <w:rFonts w:cs="Arial"/>
          <w:u w:val="single"/>
        </w:rPr>
      </w:pPr>
      <w:r>
        <w:rPr>
          <w:rFonts w:cs="Arial" w:hint="cs"/>
          <w:u w:val="single"/>
          <w:rtl/>
        </w:rPr>
        <w:t>אמר להם כתבו וחתמו ותנו, ו</w:t>
      </w:r>
      <w:r w:rsidRPr="00DA1205">
        <w:rPr>
          <w:rFonts w:cs="Arial"/>
          <w:u w:val="single"/>
          <w:rtl/>
        </w:rPr>
        <w:t>נאבד הגט או נשרף אחר שהגיע הגט ליד האשה</w:t>
      </w:r>
      <w:r w:rsidR="00012E4B">
        <w:rPr>
          <w:rFonts w:cs="Arial" w:hint="cs"/>
          <w:sz w:val="16"/>
          <w:szCs w:val="16"/>
          <w:u w:val="single"/>
          <w:rtl/>
        </w:rPr>
        <w:t xml:space="preserve"> (והיא רוצה גט לראיה)</w:t>
      </w:r>
      <w:r>
        <w:rPr>
          <w:rFonts w:cs="Arial" w:hint="cs"/>
          <w:u w:val="single"/>
          <w:rtl/>
        </w:rPr>
        <w:t>:</w:t>
      </w:r>
      <w:r w:rsidRPr="00981074">
        <w:rPr>
          <w:rFonts w:cs="Arial"/>
          <w:rtl/>
        </w:rPr>
        <w:t xml:space="preserve"> </w:t>
      </w:r>
      <w:r w:rsidRPr="00E02557">
        <w:rPr>
          <w:rFonts w:cs="Arial"/>
          <w:sz w:val="16"/>
          <w:szCs w:val="16"/>
          <w:rtl/>
        </w:rPr>
        <w:t>(</w:t>
      </w:r>
      <w:r w:rsidRPr="00E02557">
        <w:rPr>
          <w:rFonts w:cs="Arial" w:hint="cs"/>
          <w:sz w:val="16"/>
          <w:szCs w:val="16"/>
          <w:rtl/>
        </w:rPr>
        <w:t>פת"ש סק</w:t>
      </w:r>
      <w:r w:rsidRPr="00E02557">
        <w:rPr>
          <w:rFonts w:cs="Arial"/>
          <w:sz w:val="16"/>
          <w:szCs w:val="16"/>
          <w:rtl/>
        </w:rPr>
        <w:t>י</w:t>
      </w:r>
      <w:r>
        <w:rPr>
          <w:rFonts w:cs="Arial" w:hint="cs"/>
          <w:sz w:val="16"/>
          <w:szCs w:val="16"/>
          <w:rtl/>
        </w:rPr>
        <w:t>"א</w:t>
      </w:r>
      <w:r w:rsidRPr="00E02557">
        <w:rPr>
          <w:rFonts w:cs="Arial"/>
          <w:sz w:val="16"/>
          <w:szCs w:val="16"/>
          <w:rtl/>
        </w:rPr>
        <w:t>)</w:t>
      </w:r>
    </w:p>
    <w:p w14:paraId="2C41F376" w14:textId="3090FA9A" w:rsidR="00677A75" w:rsidRPr="00DA1205" w:rsidRDefault="00DA1205" w:rsidP="00A65C5F">
      <w:pPr>
        <w:pStyle w:val="ab"/>
        <w:numPr>
          <w:ilvl w:val="0"/>
          <w:numId w:val="37"/>
        </w:numPr>
        <w:rPr>
          <w:rFonts w:cs="Arial"/>
          <w:rtl/>
        </w:rPr>
        <w:sectPr w:rsidR="00677A75" w:rsidRPr="00DA1205" w:rsidSect="00A347B3">
          <w:headerReference w:type="default" r:id="rId14"/>
          <w:footnotePr>
            <w:numRestart w:val="eachSect"/>
          </w:footnotePr>
          <w:pgSz w:w="11906" w:h="16838"/>
          <w:pgMar w:top="720" w:right="1134" w:bottom="720" w:left="1134" w:header="0" w:footer="0" w:gutter="0"/>
          <w:cols w:space="720"/>
          <w:bidi/>
          <w:rtlGutter/>
          <w:docGrid w:linePitch="360"/>
        </w:sectPr>
      </w:pPr>
      <w:r w:rsidRPr="00E02557">
        <w:rPr>
          <w:rFonts w:cs="Arial"/>
          <w:rtl/>
        </w:rPr>
        <w:t xml:space="preserve">רדב"ז </w:t>
      </w:r>
      <w:r>
        <w:rPr>
          <w:rFonts w:cs="Arial" w:hint="cs"/>
          <w:sz w:val="16"/>
          <w:szCs w:val="16"/>
          <w:rtl/>
        </w:rPr>
        <w:t>(</w:t>
      </w:r>
      <w:r w:rsidRPr="00E02557">
        <w:rPr>
          <w:rFonts w:cs="Arial"/>
          <w:sz w:val="16"/>
          <w:szCs w:val="16"/>
          <w:rtl/>
        </w:rPr>
        <w:t>ח"ד סי' רעו</w:t>
      </w:r>
      <w:r w:rsidRPr="00E02557">
        <w:rPr>
          <w:rFonts w:cs="Arial" w:hint="cs"/>
          <w:sz w:val="16"/>
          <w:szCs w:val="16"/>
          <w:rtl/>
        </w:rPr>
        <w:t>)</w:t>
      </w:r>
      <w:r w:rsidR="00A82951">
        <w:rPr>
          <w:rFonts w:cs="Arial" w:hint="cs"/>
          <w:rtl/>
        </w:rPr>
        <w:t>-</w:t>
      </w:r>
      <w:r w:rsidRPr="00E02557">
        <w:rPr>
          <w:rFonts w:cs="Arial"/>
          <w:rtl/>
        </w:rPr>
        <w:t xml:space="preserve"> </w:t>
      </w:r>
      <w:r w:rsidR="001A54EB" w:rsidRPr="001A54EB">
        <w:rPr>
          <w:rFonts w:cs="Arial"/>
          <w:rtl/>
        </w:rPr>
        <w:t>אם נאבד הגט או נשרף אחר שהגיע הגט ליד האשה</w:t>
      </w:r>
      <w:r w:rsidR="001A54EB">
        <w:rPr>
          <w:rFonts w:cs="Arial" w:hint="cs"/>
          <w:rtl/>
        </w:rPr>
        <w:t>,</w:t>
      </w:r>
      <w:r w:rsidR="001A54EB" w:rsidRPr="001A54EB">
        <w:rPr>
          <w:rFonts w:cs="Arial"/>
          <w:rtl/>
        </w:rPr>
        <w:t xml:space="preserve"> ואיהי בעיא גטא לאנסובי </w:t>
      </w:r>
      <w:r w:rsidR="00A82951">
        <w:rPr>
          <w:rFonts w:cs="Arial" w:hint="cs"/>
          <w:rtl/>
        </w:rPr>
        <w:t>-</w:t>
      </w:r>
      <w:r w:rsidR="001A54EB">
        <w:rPr>
          <w:rFonts w:cs="Arial" w:hint="cs"/>
          <w:rtl/>
        </w:rPr>
        <w:t xml:space="preserve"> </w:t>
      </w:r>
      <w:r w:rsidR="001A54EB" w:rsidRPr="001A54EB">
        <w:rPr>
          <w:rFonts w:cs="Arial"/>
          <w:rtl/>
        </w:rPr>
        <w:t>לית להו רשותא לסהדי למכתב לה גטא אחרינא שכבר עשו שליחותן</w:t>
      </w:r>
      <w:r>
        <w:rPr>
          <w:rFonts w:cs="Arial" w:hint="cs"/>
          <w:rtl/>
        </w:rPr>
        <w:t>.</w:t>
      </w:r>
      <w:r w:rsidR="001A54EB" w:rsidRPr="001A54EB">
        <w:rPr>
          <w:rFonts w:cs="Arial"/>
          <w:rtl/>
        </w:rPr>
        <w:t xml:space="preserve"> ואי איכא סהדי שנמסר בידה גט כשר</w:t>
      </w:r>
      <w:r>
        <w:rPr>
          <w:rFonts w:cs="Arial" w:hint="cs"/>
          <w:rtl/>
        </w:rPr>
        <w:t xml:space="preserve"> </w:t>
      </w:r>
      <w:r w:rsidR="00A82951">
        <w:rPr>
          <w:rFonts w:cs="Arial" w:hint="cs"/>
          <w:rtl/>
        </w:rPr>
        <w:t>-</w:t>
      </w:r>
      <w:r w:rsidR="001A54EB" w:rsidRPr="001A54EB">
        <w:rPr>
          <w:rFonts w:cs="Arial"/>
          <w:rtl/>
        </w:rPr>
        <w:t xml:space="preserve"> ליזלו וליסהדי קמי בי דינא וליכתבו לה בי דינא</w:t>
      </w:r>
      <w:r>
        <w:rPr>
          <w:rFonts w:cs="Arial" w:hint="cs"/>
          <w:rtl/>
        </w:rPr>
        <w:t xml:space="preserve"> </w:t>
      </w:r>
      <w:r w:rsidR="001A54EB" w:rsidRPr="001A54EB">
        <w:rPr>
          <w:rFonts w:cs="Arial"/>
          <w:rtl/>
        </w:rPr>
        <w:t>מעשה ב"ד ונקטא ליה בידה לראיה לאינסובי</w:t>
      </w:r>
      <w:r>
        <w:rPr>
          <w:rFonts w:cs="Arial" w:hint="cs"/>
          <w:rtl/>
        </w:rPr>
        <w:t>.</w:t>
      </w:r>
      <w:r w:rsidR="001A54EB" w:rsidRPr="001A54EB">
        <w:rPr>
          <w:rFonts w:cs="Arial"/>
          <w:rtl/>
        </w:rPr>
        <w:t xml:space="preserve"> ואי ליכא סהדי דידעי דגט כשר נמסר בידה</w:t>
      </w:r>
      <w:r>
        <w:rPr>
          <w:rFonts w:cs="Arial" w:hint="cs"/>
          <w:rtl/>
        </w:rPr>
        <w:t>,</w:t>
      </w:r>
      <w:r w:rsidR="001A54EB" w:rsidRPr="001A54EB">
        <w:rPr>
          <w:rFonts w:cs="Arial"/>
          <w:rtl/>
        </w:rPr>
        <w:t xml:space="preserve"> לית לה תקנתא עד דנטלי רשותא מהבעל זמנא אחריתי. וא"ת ליכתבו לה הנך סהדי גופייהו גטא אחריתי ממה נפשך אי גט כשר הוה הא איגרשה לה והשתא לא מידי יהבי לה</w:t>
      </w:r>
      <w:r>
        <w:rPr>
          <w:rFonts w:cs="Arial" w:hint="cs"/>
          <w:rtl/>
        </w:rPr>
        <w:t>,</w:t>
      </w:r>
      <w:r w:rsidR="001A54EB" w:rsidRPr="001A54EB">
        <w:rPr>
          <w:rFonts w:cs="Arial"/>
          <w:rtl/>
        </w:rPr>
        <w:t xml:space="preserve"> ואי גט פסול הוה אכתי לא עבוד שליחותייהו ומאי פסידא. וי"ל אי איתא דקמא גט כשר הוה</w:t>
      </w:r>
      <w:r>
        <w:rPr>
          <w:rFonts w:cs="Arial" w:hint="cs"/>
          <w:rtl/>
        </w:rPr>
        <w:t>,</w:t>
      </w:r>
      <w:r w:rsidR="001A54EB" w:rsidRPr="001A54EB">
        <w:rPr>
          <w:rFonts w:cs="Arial"/>
          <w:rtl/>
        </w:rPr>
        <w:t xml:space="preserve"> אי כתבו גט אחר הויא לה עדות שקר שכבר עשו שליחותן</w:t>
      </w:r>
      <w:r>
        <w:rPr>
          <w:rFonts w:cs="Arial" w:hint="cs"/>
          <w:rtl/>
        </w:rPr>
        <w:t>.</w:t>
      </w:r>
      <w:r w:rsidR="001A54EB" w:rsidRPr="001A54EB">
        <w:rPr>
          <w:rFonts w:cs="Arial"/>
          <w:rtl/>
        </w:rPr>
        <w:t xml:space="preserve"> הא למה זה דומה לעדים שראו שגירש פלוני את אשתו והלכו והעידו שמת בעלה</w:t>
      </w:r>
      <w:r w:rsidR="00E44BB9">
        <w:rPr>
          <w:rFonts w:cs="Arial" w:hint="cs"/>
          <w:rtl/>
        </w:rPr>
        <w:t>,</w:t>
      </w:r>
      <w:r w:rsidR="001A54EB" w:rsidRPr="001A54EB">
        <w:rPr>
          <w:rFonts w:cs="Arial"/>
          <w:rtl/>
        </w:rPr>
        <w:t xml:space="preserve"> </w:t>
      </w:r>
      <w:r w:rsidR="001A54EB" w:rsidRPr="001A54EB">
        <w:rPr>
          <w:rFonts w:cs="Arial"/>
          <w:rtl/>
        </w:rPr>
        <w:lastRenderedPageBreak/>
        <w:t>או שראו שמת והעידו שגירשה</w:t>
      </w:r>
      <w:r>
        <w:rPr>
          <w:rFonts w:cs="Arial" w:hint="cs"/>
          <w:rtl/>
        </w:rPr>
        <w:t>,</w:t>
      </w:r>
      <w:r w:rsidR="001A54EB" w:rsidRPr="001A54EB">
        <w:rPr>
          <w:rFonts w:cs="Arial"/>
          <w:rtl/>
        </w:rPr>
        <w:t xml:space="preserve"> דעברי על לא תענה</w:t>
      </w:r>
      <w:r w:rsidR="00E44BB9">
        <w:rPr>
          <w:rFonts w:cs="Arial" w:hint="cs"/>
          <w:rtl/>
        </w:rPr>
        <w:t>,</w:t>
      </w:r>
      <w:r w:rsidR="001A54EB" w:rsidRPr="001A54EB">
        <w:rPr>
          <w:rFonts w:cs="Arial"/>
          <w:rtl/>
        </w:rPr>
        <w:t xml:space="preserve"> אי נמי על מדבר שקר תרחק</w:t>
      </w:r>
      <w:r w:rsidR="00E44BB9">
        <w:rPr>
          <w:rFonts w:cs="Arial" w:hint="cs"/>
          <w:rtl/>
        </w:rPr>
        <w:t>.</w:t>
      </w:r>
      <w:r w:rsidR="001A54EB" w:rsidRPr="001A54EB">
        <w:rPr>
          <w:rFonts w:cs="Arial"/>
          <w:rtl/>
        </w:rPr>
        <w:t xml:space="preserve"> וכ</w:t>
      </w:r>
      <w:r w:rsidR="00E44BB9">
        <w:rPr>
          <w:rFonts w:cs="Arial" w:hint="cs"/>
          <w:rtl/>
        </w:rPr>
        <w:t>"</w:t>
      </w:r>
      <w:r w:rsidR="001A54EB" w:rsidRPr="001A54EB">
        <w:rPr>
          <w:rFonts w:cs="Arial"/>
          <w:rtl/>
        </w:rPr>
        <w:t xml:space="preserve">כ הריטב"א ז"ל בפרק התקבל עיין שם. </w:t>
      </w:r>
    </w:p>
    <w:p w14:paraId="17BF95C4" w14:textId="34EE1254" w:rsidR="00677A75" w:rsidRPr="00677A75" w:rsidRDefault="00677A75" w:rsidP="00677A75">
      <w:pPr>
        <w:pStyle w:val="1"/>
        <w:rPr>
          <w:rtl/>
        </w:rPr>
      </w:pPr>
      <w:r>
        <w:rPr>
          <w:rFonts w:hint="cs"/>
          <w:rtl/>
        </w:rPr>
        <w:lastRenderedPageBreak/>
        <w:t xml:space="preserve">סימן קכג: </w:t>
      </w:r>
      <w:r w:rsidRPr="00677A75">
        <w:rPr>
          <w:rtl/>
        </w:rPr>
        <w:t xml:space="preserve">מי ראוי לכתוב הגט, ונכתב וניתן בשבת, ובו ה' סעיפים. </w:t>
      </w:r>
    </w:p>
    <w:p w14:paraId="2BE13B19" w14:textId="5238843D" w:rsidR="00677A75" w:rsidRDefault="00677A75" w:rsidP="00786DE6">
      <w:pPr>
        <w:pStyle w:val="2"/>
        <w:rPr>
          <w:rtl/>
        </w:rPr>
      </w:pPr>
      <w:r w:rsidRPr="00677A75">
        <w:rPr>
          <w:rtl/>
        </w:rPr>
        <w:t>סעיף א</w:t>
      </w:r>
      <w:r w:rsidR="00FC3511">
        <w:rPr>
          <w:rFonts w:hint="cs"/>
          <w:rtl/>
        </w:rPr>
        <w:t>:</w:t>
      </w:r>
      <w:r w:rsidR="00FC3511" w:rsidRPr="00FC3511">
        <w:rPr>
          <w:rFonts w:hint="cs"/>
          <w:rtl/>
        </w:rPr>
        <w:t xml:space="preserve"> </w:t>
      </w:r>
      <w:r w:rsidR="00FC3511">
        <w:rPr>
          <w:rFonts w:hint="cs"/>
          <w:rtl/>
        </w:rPr>
        <w:t xml:space="preserve">מי </w:t>
      </w:r>
      <w:r w:rsidR="00A94644">
        <w:rPr>
          <w:rFonts w:hint="cs"/>
          <w:rtl/>
        </w:rPr>
        <w:t>ראוי</w:t>
      </w:r>
      <w:r w:rsidR="00FC3511">
        <w:rPr>
          <w:rFonts w:hint="cs"/>
          <w:rtl/>
        </w:rPr>
        <w:t xml:space="preserve"> לכתוב את הגט.</w:t>
      </w:r>
    </w:p>
    <w:p w14:paraId="3B8F2E7A" w14:textId="21FDB108" w:rsidR="00CF422A" w:rsidRDefault="00CF422A" w:rsidP="00CF422A">
      <w:pPr>
        <w:rPr>
          <w:rtl/>
        </w:rPr>
      </w:pPr>
      <w:r w:rsidRPr="00CF422A">
        <w:rPr>
          <w:rFonts w:cs="Arial" w:hint="cs"/>
          <w:b/>
          <w:bCs/>
          <w:rtl/>
        </w:rPr>
        <w:t xml:space="preserve">גיטין </w:t>
      </w:r>
      <w:r w:rsidRPr="00CF422A">
        <w:rPr>
          <w:rFonts w:cs="Arial" w:hint="cs"/>
          <w:b/>
          <w:bCs/>
          <w:sz w:val="16"/>
          <w:szCs w:val="16"/>
          <w:rtl/>
        </w:rPr>
        <w:t>(פ"ב)</w:t>
      </w:r>
      <w:r w:rsidRPr="00CF422A">
        <w:rPr>
          <w:rFonts w:cs="Arial" w:hint="cs"/>
          <w:b/>
          <w:bCs/>
          <w:rtl/>
        </w:rPr>
        <w:t xml:space="preserve"> כב</w:t>
      </w:r>
      <w:r w:rsidR="00F129AF">
        <w:rPr>
          <w:rStyle w:val="a7"/>
          <w:rFonts w:cs="Arial"/>
          <w:b/>
          <w:bCs/>
          <w:rtl/>
        </w:rPr>
        <w:footnoteReference w:id="386"/>
      </w:r>
      <w:r w:rsidRPr="00CF422A">
        <w:rPr>
          <w:rFonts w:cs="Arial" w:hint="cs"/>
          <w:b/>
          <w:bCs/>
          <w:rtl/>
        </w:rPr>
        <w:t xml:space="preserve"> ע"ב: </w:t>
      </w:r>
      <w:r w:rsidRPr="00CF422A">
        <w:rPr>
          <w:rFonts w:cs="Arial"/>
          <w:u w:val="double"/>
          <w:rtl/>
        </w:rPr>
        <w:t>מתני'</w:t>
      </w:r>
      <w:r>
        <w:rPr>
          <w:rFonts w:cs="Arial" w:hint="cs"/>
          <w:rtl/>
        </w:rPr>
        <w:t>:</w:t>
      </w:r>
      <w:r w:rsidRPr="00CF422A">
        <w:rPr>
          <w:rFonts w:cs="Arial"/>
          <w:rtl/>
        </w:rPr>
        <w:t xml:space="preserve"> הכל כשרין לכתוב את הגט, אפי' חרש, שוטה וקטן. האשה כותבת את גיטה, והאיש כותב את שוברו, שאין קיום הגט אלא בחותמיו.</w:t>
      </w:r>
      <w:r w:rsidRPr="00CF422A">
        <w:rPr>
          <w:rtl/>
        </w:rPr>
        <w:t xml:space="preserve"> </w:t>
      </w:r>
      <w:r>
        <w:rPr>
          <w:rFonts w:cs="Arial" w:hint="cs"/>
          <w:rtl/>
        </w:rPr>
        <w:t xml:space="preserve">      </w:t>
      </w:r>
      <w:r w:rsidRPr="00CF422A">
        <w:rPr>
          <w:rFonts w:cs="Arial"/>
          <w:u w:val="double"/>
          <w:rtl/>
        </w:rPr>
        <w:t>גמ'</w:t>
      </w:r>
      <w:r>
        <w:rPr>
          <w:rFonts w:cs="Arial" w:hint="cs"/>
          <w:rtl/>
        </w:rPr>
        <w:t>:</w:t>
      </w:r>
      <w:r w:rsidRPr="00CF422A">
        <w:rPr>
          <w:rFonts w:cs="Arial"/>
          <w:rtl/>
        </w:rPr>
        <w:t xml:space="preserve"> והא לאו בני דיעה נינהו! </w:t>
      </w:r>
      <w:r w:rsidRPr="00CF422A">
        <w:rPr>
          <w:rFonts w:cs="Arial"/>
          <w:u w:val="single"/>
          <w:rtl/>
        </w:rPr>
        <w:t>אמר רב הונא</w:t>
      </w:r>
      <w:r w:rsidRPr="00CF422A">
        <w:rPr>
          <w:rFonts w:cs="Arial"/>
          <w:rtl/>
        </w:rPr>
        <w:t>:</w:t>
      </w:r>
      <w:r>
        <w:rPr>
          <w:rFonts w:hint="cs"/>
          <w:sz w:val="14"/>
          <w:szCs w:val="14"/>
          <w:rtl/>
        </w:rPr>
        <w:t xml:space="preserve"> (כג.) </w:t>
      </w:r>
      <w:r w:rsidRPr="00CF422A">
        <w:rPr>
          <w:rFonts w:cs="Arial"/>
          <w:rtl/>
        </w:rPr>
        <w:t xml:space="preserve">והוא שהיה גדול עומד על גביו. </w:t>
      </w:r>
      <w:r w:rsidRPr="00C13F71">
        <w:rPr>
          <w:rFonts w:cs="Arial"/>
          <w:u w:val="single"/>
          <w:rtl/>
        </w:rPr>
        <w:t>א"ל רב נחמן</w:t>
      </w:r>
      <w:r w:rsidRPr="00CF422A">
        <w:rPr>
          <w:rFonts w:cs="Arial"/>
          <w:rtl/>
        </w:rPr>
        <w:t xml:space="preserve">: אלא מעתה, עובד כוכבים וישראל עומד על גביו הכי נמי דכשר! וכי תימא ה"נ, והתניא: עובד כוכבים </w:t>
      </w:r>
      <w:r w:rsidR="00A82951">
        <w:rPr>
          <w:rFonts w:cs="Arial"/>
          <w:rtl/>
        </w:rPr>
        <w:t>-</w:t>
      </w:r>
      <w:r w:rsidRPr="00CF422A">
        <w:rPr>
          <w:rFonts w:cs="Arial"/>
          <w:rtl/>
        </w:rPr>
        <w:t xml:space="preserve"> פסול! עובד כוכבים לדעתיה דנפשיה עבד. </w:t>
      </w:r>
      <w:r w:rsidRPr="00C13F71">
        <w:rPr>
          <w:rFonts w:cs="Arial"/>
          <w:u w:val="single"/>
          <w:rtl/>
        </w:rPr>
        <w:t>הדר אמר רב נחמן</w:t>
      </w:r>
      <w:r w:rsidRPr="00CF422A">
        <w:rPr>
          <w:rFonts w:cs="Arial"/>
          <w:rtl/>
        </w:rPr>
        <w:t xml:space="preserve">: לאו מילתא היא דאמרי, דמדקא פסיל ליה לעובד כוכבים לענין הבאה, מכלל דלענין כתיבה כשר. והתניא: עובד כוכבים </w:t>
      </w:r>
      <w:r w:rsidR="00A82951">
        <w:rPr>
          <w:rFonts w:cs="Arial"/>
          <w:rtl/>
        </w:rPr>
        <w:t>-</w:t>
      </w:r>
      <w:r w:rsidRPr="00CF422A">
        <w:rPr>
          <w:rFonts w:cs="Arial"/>
          <w:rtl/>
        </w:rPr>
        <w:t xml:space="preserve"> פסול! ההיא ר"א היא, דאמר: עדי מסירה כרתי, ובעינן כתיבה לשמה, והא ודאי עובד כוכבים אדעתיה דנפשיה קעביד. </w:t>
      </w:r>
      <w:r w:rsidRPr="00C13F71">
        <w:rPr>
          <w:rFonts w:cs="Arial"/>
          <w:u w:val="single"/>
          <w:rtl/>
        </w:rPr>
        <w:t>אמר רב נחמן</w:t>
      </w:r>
      <w:r w:rsidR="00C13F71">
        <w:rPr>
          <w:rFonts w:cs="Arial" w:hint="cs"/>
          <w:rtl/>
        </w:rPr>
        <w:t>:</w:t>
      </w:r>
      <w:r w:rsidRPr="00CF422A">
        <w:rPr>
          <w:rFonts w:cs="Arial"/>
          <w:rtl/>
        </w:rPr>
        <w:t xml:space="preserve"> אומר היה ר"מ</w:t>
      </w:r>
      <w:r w:rsidR="00C13F71">
        <w:rPr>
          <w:rFonts w:cs="Arial" w:hint="cs"/>
          <w:rtl/>
        </w:rPr>
        <w:t>:</w:t>
      </w:r>
      <w:r w:rsidRPr="00CF422A">
        <w:rPr>
          <w:rFonts w:cs="Arial"/>
          <w:rtl/>
        </w:rPr>
        <w:t xml:space="preserve"> אפי' מצאו באשפה, חתמו ונתנו לה </w:t>
      </w:r>
      <w:r w:rsidR="00A82951">
        <w:rPr>
          <w:rFonts w:cs="Arial"/>
          <w:rtl/>
        </w:rPr>
        <w:t>-</w:t>
      </w:r>
      <w:r w:rsidRPr="00CF422A">
        <w:rPr>
          <w:rFonts w:cs="Arial"/>
          <w:rtl/>
        </w:rPr>
        <w:t xml:space="preserve"> כשר. </w:t>
      </w:r>
      <w:r w:rsidRPr="00C13F71">
        <w:rPr>
          <w:rFonts w:cs="Arial"/>
          <w:u w:val="single"/>
          <w:rtl/>
        </w:rPr>
        <w:t>איתיביה רבא לרב נחמן</w:t>
      </w:r>
      <w:r w:rsidRPr="00CF422A">
        <w:rPr>
          <w:rFonts w:cs="Arial"/>
          <w:rtl/>
        </w:rPr>
        <w:t xml:space="preserve">: וכתב לה </w:t>
      </w:r>
      <w:r w:rsidR="00A82951">
        <w:rPr>
          <w:rFonts w:cs="Arial"/>
          <w:rtl/>
        </w:rPr>
        <w:t>-</w:t>
      </w:r>
      <w:r w:rsidRPr="00CF422A">
        <w:rPr>
          <w:rFonts w:cs="Arial"/>
          <w:rtl/>
        </w:rPr>
        <w:t xml:space="preserve"> לשמה</w:t>
      </w:r>
      <w:r w:rsidR="00C13F71">
        <w:rPr>
          <w:rFonts w:cs="Arial" w:hint="cs"/>
          <w:rtl/>
        </w:rPr>
        <w:t>.</w:t>
      </w:r>
      <w:r w:rsidRPr="00CF422A">
        <w:rPr>
          <w:rFonts w:cs="Arial"/>
          <w:rtl/>
        </w:rPr>
        <w:t xml:space="preserve"> מאי לאו כתיבת הגט! לא, חתימת עדים. </w:t>
      </w:r>
      <w:r w:rsidRPr="00C13F71">
        <w:rPr>
          <w:rFonts w:cs="Arial"/>
          <w:u w:val="single"/>
          <w:rtl/>
        </w:rPr>
        <w:t>איתיביה רבא</w:t>
      </w:r>
      <w:r w:rsidRPr="00CF422A">
        <w:rPr>
          <w:rFonts w:cs="Arial"/>
          <w:rtl/>
        </w:rPr>
        <w:t xml:space="preserve">: כל גט שנכתב שלא לשום אשה </w:t>
      </w:r>
      <w:r w:rsidR="00A82951">
        <w:rPr>
          <w:rFonts w:cs="Arial"/>
          <w:rtl/>
        </w:rPr>
        <w:t>-</w:t>
      </w:r>
      <w:r w:rsidRPr="00CF422A">
        <w:rPr>
          <w:rFonts w:cs="Arial"/>
          <w:rtl/>
        </w:rPr>
        <w:t xml:space="preserve"> פסול! אימא: שנחתם שלא לשום אשה </w:t>
      </w:r>
      <w:r w:rsidR="00A82951">
        <w:rPr>
          <w:rFonts w:cs="Arial"/>
          <w:rtl/>
        </w:rPr>
        <w:t>-</w:t>
      </w:r>
      <w:r w:rsidRPr="00CF422A">
        <w:rPr>
          <w:rFonts w:cs="Arial"/>
          <w:rtl/>
        </w:rPr>
        <w:t xml:space="preserve"> פסול. איתיביה: כשהוא כותבו </w:t>
      </w:r>
      <w:r w:rsidR="00A82951">
        <w:rPr>
          <w:rFonts w:cs="Arial"/>
          <w:rtl/>
        </w:rPr>
        <w:t>-</w:t>
      </w:r>
      <w:r w:rsidRPr="00CF422A">
        <w:rPr>
          <w:rFonts w:cs="Arial"/>
          <w:rtl/>
        </w:rPr>
        <w:t xml:space="preserve"> כאילו כותבו לשמה</w:t>
      </w:r>
      <w:r w:rsidR="00C13F71">
        <w:rPr>
          <w:rFonts w:cs="Arial" w:hint="cs"/>
          <w:rtl/>
        </w:rPr>
        <w:t>.</w:t>
      </w:r>
      <w:r w:rsidRPr="00CF422A">
        <w:rPr>
          <w:rFonts w:cs="Arial"/>
          <w:rtl/>
        </w:rPr>
        <w:t xml:space="preserve"> מאי לאו כשהוא כותבו לתורף לשמה </w:t>
      </w:r>
      <w:r w:rsidR="00A82951">
        <w:rPr>
          <w:rFonts w:cs="Arial"/>
          <w:rtl/>
        </w:rPr>
        <w:t>-</w:t>
      </w:r>
      <w:r w:rsidRPr="00CF422A">
        <w:rPr>
          <w:rFonts w:cs="Arial"/>
          <w:rtl/>
        </w:rPr>
        <w:t xml:space="preserve"> כאילו כותבו לטופס לשמה! לא, כשהוא חותמו לשמה </w:t>
      </w:r>
      <w:r w:rsidR="00A82951">
        <w:rPr>
          <w:rFonts w:cs="Arial"/>
          <w:rtl/>
        </w:rPr>
        <w:t>-</w:t>
      </w:r>
      <w:r w:rsidRPr="00CF422A">
        <w:rPr>
          <w:rFonts w:cs="Arial"/>
          <w:rtl/>
        </w:rPr>
        <w:t xml:space="preserve"> כאילו כותבו לשמה. ואיבעית אימא: הני מתני' מני? ר"א היא, דאמר: עדי מסירה כרתי. </w:t>
      </w:r>
      <w:r w:rsidRPr="00C13F71">
        <w:rPr>
          <w:rFonts w:cs="Arial"/>
          <w:u w:val="single"/>
          <w:rtl/>
        </w:rPr>
        <w:t>ורב יהודה אמר שמואל</w:t>
      </w:r>
      <w:r w:rsidRPr="00CF422A">
        <w:rPr>
          <w:rFonts w:cs="Arial"/>
          <w:rtl/>
        </w:rPr>
        <w:t>: והוא ששייר מקום התורף</w:t>
      </w:r>
      <w:r w:rsidR="00C13F71">
        <w:rPr>
          <w:rFonts w:cs="Arial" w:hint="cs"/>
          <w:rtl/>
        </w:rPr>
        <w:t>.</w:t>
      </w:r>
      <w:r w:rsidRPr="00CF422A">
        <w:rPr>
          <w:rFonts w:cs="Arial"/>
          <w:rtl/>
        </w:rPr>
        <w:t xml:space="preserve"> </w:t>
      </w:r>
      <w:r w:rsidRPr="00C13F71">
        <w:rPr>
          <w:rFonts w:cs="Arial"/>
          <w:u w:val="single"/>
          <w:rtl/>
        </w:rPr>
        <w:t>וכן א"ר חגא משמיה דעולא</w:t>
      </w:r>
      <w:r w:rsidRPr="00CF422A">
        <w:rPr>
          <w:rFonts w:cs="Arial"/>
          <w:rtl/>
        </w:rPr>
        <w:t xml:space="preserve">: והוא ששייר מקום התורף, ור"א היא. </w:t>
      </w:r>
      <w:r w:rsidRPr="00C13F71">
        <w:rPr>
          <w:rFonts w:cs="Arial"/>
          <w:u w:val="single"/>
          <w:rtl/>
        </w:rPr>
        <w:t>ורבי זריקא אמר רבי יוחנן</w:t>
      </w:r>
      <w:r w:rsidRPr="00CF422A">
        <w:rPr>
          <w:rFonts w:cs="Arial"/>
          <w:rtl/>
        </w:rPr>
        <w:t xml:space="preserve">: אינה תורה. מאי אינה תורה? </w:t>
      </w:r>
      <w:r w:rsidRPr="00C13F71">
        <w:rPr>
          <w:rFonts w:cs="Arial"/>
          <w:u w:val="single"/>
          <w:rtl/>
        </w:rPr>
        <w:t>אמר רבי אבא</w:t>
      </w:r>
      <w:r w:rsidRPr="00CF422A">
        <w:rPr>
          <w:rFonts w:cs="Arial"/>
          <w:rtl/>
        </w:rPr>
        <w:t>: כאן הודיעך</w:t>
      </w:r>
      <w:r w:rsidR="00C262B2">
        <w:rPr>
          <w:rStyle w:val="a7"/>
          <w:rFonts w:cs="Arial"/>
          <w:rtl/>
        </w:rPr>
        <w:footnoteReference w:id="387"/>
      </w:r>
      <w:r w:rsidRPr="00CF422A">
        <w:rPr>
          <w:rFonts w:cs="Arial"/>
          <w:rtl/>
        </w:rPr>
        <w:t xml:space="preserve"> שאין כח לשמה, ור"מ היא, דאמר: עדי חתימה כרתי. </w:t>
      </w:r>
      <w:r w:rsidRPr="00C13F71">
        <w:rPr>
          <w:rFonts w:cs="Arial"/>
          <w:u w:val="single"/>
          <w:rtl/>
        </w:rPr>
        <w:t>והאמר רבה בר בר חנה אמר רבי יוחנן</w:t>
      </w:r>
      <w:r w:rsidRPr="00CF422A">
        <w:rPr>
          <w:rFonts w:cs="Arial"/>
          <w:rtl/>
        </w:rPr>
        <w:t>: ר"א היא! אמוראי נינהו ואליבא דר' יוחנן.</w:t>
      </w:r>
    </w:p>
    <w:p w14:paraId="6192C46D" w14:textId="76EB315A" w:rsidR="00064860" w:rsidRPr="00C13F71" w:rsidRDefault="00B16C73" w:rsidP="00E44BB9">
      <w:pPr>
        <w:rPr>
          <w:rFonts w:cs="Arial"/>
          <w:u w:val="single"/>
          <w:rtl/>
        </w:rPr>
      </w:pPr>
      <w:r>
        <w:rPr>
          <w:rFonts w:cs="Arial" w:hint="cs"/>
          <w:u w:val="single"/>
          <w:rtl/>
        </w:rPr>
        <w:t>כיצד יש לפרש את דברי רב הונא ואת דברי רב יהודה:</w:t>
      </w:r>
      <w:r w:rsidR="00E44BB9" w:rsidRPr="00C13F71">
        <w:rPr>
          <w:rFonts w:cs="Arial"/>
          <w:u w:val="single"/>
          <w:rtl/>
        </w:rPr>
        <w:t xml:space="preserve"> </w:t>
      </w:r>
    </w:p>
    <w:p w14:paraId="63444653" w14:textId="2DCE3464" w:rsidR="00064860" w:rsidRPr="00995F55" w:rsidRDefault="00995F55" w:rsidP="00A65C5F">
      <w:pPr>
        <w:pStyle w:val="ab"/>
        <w:numPr>
          <w:ilvl w:val="0"/>
          <w:numId w:val="37"/>
        </w:numPr>
        <w:rPr>
          <w:rFonts w:cs="Arial"/>
          <w:rtl/>
        </w:rPr>
      </w:pPr>
      <w:r>
        <w:rPr>
          <w:rFonts w:cs="Arial" w:hint="cs"/>
          <w:rtl/>
        </w:rPr>
        <w:t>רי"ף</w:t>
      </w:r>
      <w:r>
        <w:rPr>
          <w:rStyle w:val="a7"/>
          <w:rFonts w:cs="Arial"/>
          <w:rtl/>
        </w:rPr>
        <w:footnoteReference w:id="388"/>
      </w:r>
      <w:r>
        <w:rPr>
          <w:rFonts w:cs="Arial" w:hint="cs"/>
          <w:rtl/>
        </w:rPr>
        <w:t xml:space="preserve"> </w:t>
      </w:r>
      <w:r>
        <w:rPr>
          <w:rFonts w:cs="Arial" w:hint="cs"/>
          <w:sz w:val="16"/>
          <w:szCs w:val="16"/>
          <w:rtl/>
        </w:rPr>
        <w:t>(להב' הרא"ש)</w:t>
      </w:r>
      <w:r>
        <w:rPr>
          <w:rFonts w:cs="Arial" w:hint="cs"/>
          <w:rtl/>
        </w:rPr>
        <w:t xml:space="preserve"> ו</w:t>
      </w:r>
      <w:r w:rsidRPr="00995F55">
        <w:rPr>
          <w:rFonts w:cs="Arial"/>
          <w:rtl/>
        </w:rPr>
        <w:t>רמב"ם</w:t>
      </w:r>
      <w:r w:rsidRPr="00995F55">
        <w:rPr>
          <w:rFonts w:cs="Arial"/>
          <w:sz w:val="16"/>
          <w:szCs w:val="16"/>
          <w:rtl/>
        </w:rPr>
        <w:t xml:space="preserve"> </w:t>
      </w:r>
      <w:r w:rsidRPr="00995F55">
        <w:rPr>
          <w:rFonts w:cs="Arial" w:hint="cs"/>
          <w:sz w:val="16"/>
          <w:szCs w:val="16"/>
          <w:rtl/>
        </w:rPr>
        <w:t>(</w:t>
      </w:r>
      <w:r w:rsidRPr="00995F55">
        <w:rPr>
          <w:rFonts w:cs="Arial"/>
          <w:sz w:val="16"/>
          <w:szCs w:val="16"/>
          <w:rtl/>
        </w:rPr>
        <w:t>פ</w:t>
      </w:r>
      <w:r w:rsidRPr="00995F55">
        <w:rPr>
          <w:rFonts w:cs="Arial" w:hint="cs"/>
          <w:sz w:val="16"/>
          <w:szCs w:val="16"/>
          <w:rtl/>
        </w:rPr>
        <w:t xml:space="preserve">"ג </w:t>
      </w:r>
      <w:r w:rsidRPr="00995F55">
        <w:rPr>
          <w:rFonts w:cs="Arial"/>
          <w:sz w:val="16"/>
          <w:szCs w:val="16"/>
          <w:rtl/>
        </w:rPr>
        <w:t>הי"ח)</w:t>
      </w:r>
      <w:r w:rsidR="00A82951">
        <w:rPr>
          <w:rFonts w:cs="Arial" w:hint="cs"/>
          <w:rtl/>
        </w:rPr>
        <w:t>-</w:t>
      </w:r>
      <w:r w:rsidRPr="00995F55">
        <w:rPr>
          <w:rFonts w:cs="Arial" w:hint="cs"/>
          <w:rtl/>
        </w:rPr>
        <w:t xml:space="preserve"> </w:t>
      </w:r>
      <w:r w:rsidR="00E44BB9" w:rsidRPr="00995F55">
        <w:rPr>
          <w:rFonts w:cs="Arial"/>
          <w:rtl/>
        </w:rPr>
        <w:t>תרתי בעינן</w:t>
      </w:r>
      <w:r w:rsidR="00330FF0" w:rsidRPr="00995F55">
        <w:rPr>
          <w:rFonts w:cs="Arial" w:hint="cs"/>
          <w:rtl/>
        </w:rPr>
        <w:t>,</w:t>
      </w:r>
      <w:r w:rsidR="00E44BB9" w:rsidRPr="00995F55">
        <w:rPr>
          <w:rFonts w:cs="Arial"/>
          <w:rtl/>
        </w:rPr>
        <w:t xml:space="preserve"> שיור מקום התורף</w:t>
      </w:r>
      <w:r w:rsidR="00330FF0" w:rsidRPr="00995F55">
        <w:rPr>
          <w:rFonts w:cs="Arial" w:hint="cs"/>
          <w:rtl/>
        </w:rPr>
        <w:t>,</w:t>
      </w:r>
      <w:r w:rsidR="00E44BB9" w:rsidRPr="00995F55">
        <w:rPr>
          <w:rFonts w:cs="Arial"/>
          <w:rtl/>
        </w:rPr>
        <w:t xml:space="preserve"> וגדול עומד על גביו לטופס</w:t>
      </w:r>
      <w:r w:rsidR="00B16C73">
        <w:rPr>
          <w:rFonts w:cs="Arial" w:hint="cs"/>
          <w:rtl/>
        </w:rPr>
        <w:t>,</w:t>
      </w:r>
      <w:r w:rsidR="00E44BB9" w:rsidRPr="00995F55">
        <w:rPr>
          <w:rFonts w:cs="Arial"/>
          <w:rtl/>
        </w:rPr>
        <w:t xml:space="preserve"> דרב הונא ורב יהודה לא פליגי</w:t>
      </w:r>
      <w:r w:rsidR="00B16C73">
        <w:rPr>
          <w:rFonts w:cs="Arial" w:hint="cs"/>
          <w:rtl/>
        </w:rPr>
        <w:t>.</w:t>
      </w:r>
      <w:r w:rsidR="00E44BB9" w:rsidRPr="00995F55">
        <w:rPr>
          <w:rFonts w:cs="Arial"/>
          <w:rtl/>
        </w:rPr>
        <w:t xml:space="preserve"> דרב הונא שאמר והוא שגדול עומד על גביו לא מכשר אלא בטופס</w:t>
      </w:r>
      <w:r w:rsidR="00330FF0" w:rsidRPr="00995F55">
        <w:rPr>
          <w:rFonts w:cs="Arial" w:hint="cs"/>
          <w:rtl/>
        </w:rPr>
        <w:t>,</w:t>
      </w:r>
      <w:r w:rsidR="00E44BB9" w:rsidRPr="00995F55">
        <w:rPr>
          <w:rFonts w:cs="Arial"/>
          <w:rtl/>
        </w:rPr>
        <w:t xml:space="preserve"> אבל בתורף אפילו גדול עומד על גביו לא</w:t>
      </w:r>
      <w:r w:rsidR="00330FF0" w:rsidRPr="00995F55">
        <w:rPr>
          <w:rFonts w:cs="Arial" w:hint="cs"/>
          <w:rtl/>
        </w:rPr>
        <w:t>.</w:t>
      </w:r>
      <w:r w:rsidR="00E44BB9" w:rsidRPr="00995F55">
        <w:rPr>
          <w:rFonts w:cs="Arial"/>
          <w:rtl/>
        </w:rPr>
        <w:t xml:space="preserve"> ורב יהודה דמכשר בשייר מקום התורף</w:t>
      </w:r>
      <w:r w:rsidR="00330FF0" w:rsidRPr="00995F55">
        <w:rPr>
          <w:rFonts w:cs="Arial" w:hint="cs"/>
          <w:rtl/>
        </w:rPr>
        <w:t>,</w:t>
      </w:r>
      <w:r w:rsidR="00E44BB9" w:rsidRPr="00995F55">
        <w:rPr>
          <w:rFonts w:cs="Arial"/>
          <w:rtl/>
        </w:rPr>
        <w:t xml:space="preserve"> היינו דוקא כשגדול עומד על גביו בכתיבת הטופס</w:t>
      </w:r>
      <w:r w:rsidR="00330FF0" w:rsidRPr="00995F55">
        <w:rPr>
          <w:rFonts w:cs="Arial" w:hint="cs"/>
          <w:rtl/>
        </w:rPr>
        <w:t>,</w:t>
      </w:r>
      <w:r w:rsidR="00E44BB9" w:rsidRPr="00995F55">
        <w:rPr>
          <w:rFonts w:cs="Arial"/>
          <w:rtl/>
        </w:rPr>
        <w:t xml:space="preserve"> אבל אם אין גדול עומד על גביו אפילו טופס נמי לא</w:t>
      </w:r>
      <w:r w:rsidR="00910990">
        <w:rPr>
          <w:rFonts w:cs="Arial" w:hint="cs"/>
          <w:sz w:val="16"/>
          <w:szCs w:val="16"/>
          <w:rtl/>
        </w:rPr>
        <w:t xml:space="preserve"> (ל' הב"י)</w:t>
      </w:r>
      <w:r w:rsidR="00330FF0" w:rsidRPr="00995F55">
        <w:rPr>
          <w:rFonts w:cs="Arial" w:hint="cs"/>
          <w:rtl/>
        </w:rPr>
        <w:t>.</w:t>
      </w:r>
      <w:r w:rsidR="00E44BB9" w:rsidRPr="00995F55">
        <w:rPr>
          <w:rFonts w:cs="Arial"/>
          <w:rtl/>
        </w:rPr>
        <w:t xml:space="preserve"> </w:t>
      </w:r>
    </w:p>
    <w:p w14:paraId="49361DC7" w14:textId="11706123" w:rsidR="00064860" w:rsidRPr="00995F55" w:rsidRDefault="00995F55" w:rsidP="00A65C5F">
      <w:pPr>
        <w:pStyle w:val="ab"/>
        <w:numPr>
          <w:ilvl w:val="0"/>
          <w:numId w:val="37"/>
        </w:numPr>
        <w:rPr>
          <w:rFonts w:cs="Arial"/>
          <w:rtl/>
        </w:rPr>
      </w:pPr>
      <w:r>
        <w:rPr>
          <w:rFonts w:cs="Arial" w:hint="cs"/>
          <w:rtl/>
        </w:rPr>
        <w:t>רי"ף</w:t>
      </w:r>
      <w:r>
        <w:rPr>
          <w:rStyle w:val="a7"/>
          <w:rFonts w:cs="Arial"/>
          <w:rtl/>
        </w:rPr>
        <w:footnoteReference w:id="389"/>
      </w:r>
      <w:r>
        <w:rPr>
          <w:rFonts w:cs="Arial" w:hint="cs"/>
          <w:rtl/>
        </w:rPr>
        <w:t xml:space="preserve"> </w:t>
      </w:r>
      <w:r>
        <w:rPr>
          <w:rFonts w:cs="Arial" w:hint="cs"/>
          <w:sz w:val="16"/>
          <w:szCs w:val="16"/>
          <w:rtl/>
        </w:rPr>
        <w:t>(להב' בהעי"ט)</w:t>
      </w:r>
      <w:r w:rsidR="00A82951">
        <w:rPr>
          <w:rFonts w:cs="Arial" w:hint="cs"/>
          <w:rtl/>
        </w:rPr>
        <w:t>-</w:t>
      </w:r>
      <w:r>
        <w:rPr>
          <w:rFonts w:cs="Arial" w:hint="cs"/>
          <w:rtl/>
        </w:rPr>
        <w:t xml:space="preserve"> </w:t>
      </w:r>
      <w:r w:rsidR="00E44BB9" w:rsidRPr="00995F55">
        <w:rPr>
          <w:rFonts w:cs="Arial"/>
          <w:rtl/>
        </w:rPr>
        <w:t>בחדא מינייהו סגי</w:t>
      </w:r>
      <w:r w:rsidR="00286275">
        <w:rPr>
          <w:rFonts w:cs="Arial" w:hint="cs"/>
          <w:rtl/>
        </w:rPr>
        <w:t>,</w:t>
      </w:r>
      <w:r w:rsidR="00E44BB9" w:rsidRPr="00995F55">
        <w:rPr>
          <w:rFonts w:cs="Arial"/>
          <w:rtl/>
        </w:rPr>
        <w:t xml:space="preserve"> או בשייר מקום התורף</w:t>
      </w:r>
      <w:r w:rsidR="00286275">
        <w:rPr>
          <w:rFonts w:cs="Arial" w:hint="cs"/>
          <w:rtl/>
        </w:rPr>
        <w:t>,</w:t>
      </w:r>
      <w:r w:rsidR="00E44BB9" w:rsidRPr="00995F55">
        <w:rPr>
          <w:rFonts w:cs="Arial"/>
          <w:rtl/>
        </w:rPr>
        <w:t xml:space="preserve"> או בגדול עומד על גביו</w:t>
      </w:r>
      <w:r w:rsidR="00286275">
        <w:rPr>
          <w:rFonts w:cs="Arial" w:hint="cs"/>
          <w:rtl/>
        </w:rPr>
        <w:t>.</w:t>
      </w:r>
      <w:r w:rsidR="00E44BB9" w:rsidRPr="00995F55">
        <w:rPr>
          <w:rFonts w:cs="Arial"/>
          <w:rtl/>
        </w:rPr>
        <w:t xml:space="preserve"> ורב הונא ורב יהודה לא פליגי לענין דינא</w:t>
      </w:r>
      <w:r w:rsidR="00286275">
        <w:rPr>
          <w:rFonts w:cs="Arial" w:hint="cs"/>
          <w:rtl/>
        </w:rPr>
        <w:t>.</w:t>
      </w:r>
      <w:r w:rsidR="00E44BB9" w:rsidRPr="00995F55">
        <w:rPr>
          <w:rFonts w:cs="Arial"/>
          <w:rtl/>
        </w:rPr>
        <w:t xml:space="preserve"> דרב הונא דמוקי לה בגדול עומד על גביו</w:t>
      </w:r>
      <w:r w:rsidR="00286275">
        <w:rPr>
          <w:rFonts w:cs="Arial" w:hint="cs"/>
          <w:rtl/>
        </w:rPr>
        <w:t>,</w:t>
      </w:r>
      <w:r w:rsidR="00E44BB9" w:rsidRPr="00995F55">
        <w:rPr>
          <w:rFonts w:cs="Arial"/>
          <w:rtl/>
        </w:rPr>
        <w:t xml:space="preserve"> היינו בכותב תורף</w:t>
      </w:r>
      <w:r w:rsidR="00286275">
        <w:rPr>
          <w:rFonts w:cs="Arial" w:hint="cs"/>
          <w:rtl/>
        </w:rPr>
        <w:t>,</w:t>
      </w:r>
      <w:r w:rsidR="00E44BB9" w:rsidRPr="00995F55">
        <w:rPr>
          <w:rFonts w:cs="Arial"/>
          <w:rtl/>
        </w:rPr>
        <w:t xml:space="preserve"> אבל אם שייר מקום תורף אפילו אין גדול עומד על גביו כשר</w:t>
      </w:r>
      <w:r w:rsidR="00286275">
        <w:rPr>
          <w:rFonts w:cs="Arial" w:hint="cs"/>
          <w:rtl/>
        </w:rPr>
        <w:t>.</w:t>
      </w:r>
      <w:r w:rsidR="00E44BB9" w:rsidRPr="00995F55">
        <w:rPr>
          <w:rFonts w:cs="Arial"/>
          <w:rtl/>
        </w:rPr>
        <w:t xml:space="preserve"> ורב יהודה דמוקי לה בשייר מקום תורף</w:t>
      </w:r>
      <w:r w:rsidR="00286275">
        <w:rPr>
          <w:rFonts w:cs="Arial" w:hint="cs"/>
          <w:rtl/>
        </w:rPr>
        <w:t>,</w:t>
      </w:r>
      <w:r w:rsidR="00E44BB9" w:rsidRPr="00995F55">
        <w:rPr>
          <w:rFonts w:cs="Arial"/>
          <w:rtl/>
        </w:rPr>
        <w:t xml:space="preserve"> היינו באין גדול עומד על גביו</w:t>
      </w:r>
      <w:r w:rsidR="00286275">
        <w:rPr>
          <w:rFonts w:cs="Arial" w:hint="cs"/>
          <w:rtl/>
        </w:rPr>
        <w:t>,</w:t>
      </w:r>
      <w:r w:rsidR="00E44BB9" w:rsidRPr="00995F55">
        <w:rPr>
          <w:rFonts w:cs="Arial"/>
          <w:rtl/>
        </w:rPr>
        <w:t xml:space="preserve"> אבל אם היה גדול עומד על גביו אפילו לא שייר מקום תורף כשר</w:t>
      </w:r>
      <w:r w:rsidR="00910990">
        <w:rPr>
          <w:rFonts w:cs="Arial" w:hint="cs"/>
          <w:sz w:val="16"/>
          <w:szCs w:val="16"/>
          <w:rtl/>
        </w:rPr>
        <w:t xml:space="preserve"> (ל' הב"י)</w:t>
      </w:r>
      <w:r w:rsidRPr="00995F55">
        <w:rPr>
          <w:rFonts w:cs="Arial" w:hint="cs"/>
          <w:rtl/>
        </w:rPr>
        <w:t>.</w:t>
      </w:r>
    </w:p>
    <w:p w14:paraId="4F8D7A7E" w14:textId="24B141B4" w:rsidR="00286275" w:rsidRDefault="00286275" w:rsidP="00A65C5F">
      <w:pPr>
        <w:pStyle w:val="ab"/>
        <w:numPr>
          <w:ilvl w:val="0"/>
          <w:numId w:val="37"/>
        </w:numPr>
        <w:rPr>
          <w:rFonts w:cs="Arial"/>
        </w:rPr>
      </w:pPr>
      <w:r w:rsidRPr="00995F55">
        <w:rPr>
          <w:rFonts w:cs="Arial"/>
          <w:rtl/>
        </w:rPr>
        <w:t>רש"י</w:t>
      </w:r>
      <w:r w:rsidR="00910990">
        <w:rPr>
          <w:rFonts w:cs="Arial" w:hint="cs"/>
          <w:sz w:val="16"/>
          <w:szCs w:val="16"/>
          <w:rtl/>
        </w:rPr>
        <w:t xml:space="preserve"> (כ"כ הב"י בשמו)</w:t>
      </w:r>
      <w:r w:rsidR="00A82951">
        <w:rPr>
          <w:rFonts w:cs="Arial" w:hint="cs"/>
          <w:rtl/>
        </w:rPr>
        <w:t>-</w:t>
      </w:r>
      <w:r>
        <w:rPr>
          <w:rFonts w:cs="Arial" w:hint="cs"/>
          <w:rtl/>
        </w:rPr>
        <w:t xml:space="preserve"> </w:t>
      </w:r>
      <w:r w:rsidR="00E44BB9" w:rsidRPr="00995F55">
        <w:rPr>
          <w:rFonts w:cs="Arial"/>
          <w:rtl/>
        </w:rPr>
        <w:t>רב הונא ורב יהודה פליגי</w:t>
      </w:r>
      <w:r>
        <w:rPr>
          <w:rFonts w:cs="Arial" w:hint="cs"/>
          <w:rtl/>
        </w:rPr>
        <w:t>,</w:t>
      </w:r>
      <w:r w:rsidR="00E44BB9" w:rsidRPr="00995F55">
        <w:rPr>
          <w:rFonts w:cs="Arial"/>
          <w:rtl/>
        </w:rPr>
        <w:t xml:space="preserve"> דלרב הונא אפילו תורף כותבין בגדול עומד על גביו</w:t>
      </w:r>
      <w:r>
        <w:rPr>
          <w:rFonts w:cs="Arial" w:hint="cs"/>
          <w:rtl/>
        </w:rPr>
        <w:t>.</w:t>
      </w:r>
      <w:r w:rsidR="00E44BB9" w:rsidRPr="00995F55">
        <w:rPr>
          <w:rFonts w:cs="Arial"/>
          <w:rtl/>
        </w:rPr>
        <w:t xml:space="preserve"> ולרב יהודה אפילו גדול עומד על גביו אין כותבין תורף</w:t>
      </w:r>
      <w:r>
        <w:rPr>
          <w:rFonts w:cs="Arial" w:hint="cs"/>
          <w:rtl/>
        </w:rPr>
        <w:t>,</w:t>
      </w:r>
      <w:r w:rsidR="00E44BB9" w:rsidRPr="00995F55">
        <w:rPr>
          <w:rFonts w:cs="Arial"/>
          <w:rtl/>
        </w:rPr>
        <w:t xml:space="preserve"> אבל טופס כותבין אפילו אין גדול עומד על גביו</w:t>
      </w:r>
      <w:r w:rsidR="00910990">
        <w:rPr>
          <w:rFonts w:cs="Arial" w:hint="cs"/>
          <w:sz w:val="16"/>
          <w:szCs w:val="16"/>
          <w:rtl/>
        </w:rPr>
        <w:t xml:space="preserve"> (ל' הב"י)</w:t>
      </w:r>
      <w:r w:rsidR="00F26A57">
        <w:rPr>
          <w:rStyle w:val="a7"/>
          <w:rFonts w:cs="Arial"/>
          <w:rtl/>
        </w:rPr>
        <w:footnoteReference w:id="390"/>
      </w:r>
      <w:r w:rsidR="00995F55">
        <w:rPr>
          <w:rFonts w:cs="Arial" w:hint="cs"/>
          <w:rtl/>
        </w:rPr>
        <w:t>.</w:t>
      </w:r>
      <w:r w:rsidR="00E44BB9" w:rsidRPr="00995F55">
        <w:rPr>
          <w:rFonts w:cs="Arial"/>
          <w:rtl/>
        </w:rPr>
        <w:t xml:space="preserve"> </w:t>
      </w:r>
    </w:p>
    <w:p w14:paraId="76322DE0" w14:textId="41D7FE82" w:rsidR="00910990" w:rsidRPr="00F26A57" w:rsidRDefault="00910990" w:rsidP="00A65C5F">
      <w:pPr>
        <w:pStyle w:val="ab"/>
        <w:numPr>
          <w:ilvl w:val="0"/>
          <w:numId w:val="37"/>
        </w:numPr>
        <w:rPr>
          <w:rFonts w:cs="Arial"/>
          <w:rtl/>
        </w:rPr>
      </w:pPr>
      <w:r>
        <w:rPr>
          <w:rFonts w:cs="Arial" w:hint="cs"/>
          <w:rtl/>
        </w:rPr>
        <w:t>ר"י</w:t>
      </w:r>
      <w:r w:rsidR="00B54F4B" w:rsidRPr="00B54F4B">
        <w:rPr>
          <w:rFonts w:cs="Arial"/>
          <w:rtl/>
        </w:rPr>
        <w:t xml:space="preserve"> </w:t>
      </w:r>
      <w:r w:rsidR="00B54F4B" w:rsidRPr="00B54F4B">
        <w:rPr>
          <w:rFonts w:cs="Arial" w:hint="cs"/>
          <w:sz w:val="16"/>
          <w:szCs w:val="16"/>
          <w:rtl/>
        </w:rPr>
        <w:t xml:space="preserve">(כ"כ </w:t>
      </w:r>
      <w:r w:rsidR="00B54F4B" w:rsidRPr="00B54F4B">
        <w:rPr>
          <w:rFonts w:cs="Arial"/>
          <w:sz w:val="16"/>
          <w:szCs w:val="16"/>
          <w:rtl/>
        </w:rPr>
        <w:t xml:space="preserve">הרא"ש </w:t>
      </w:r>
      <w:r w:rsidR="00B54F4B" w:rsidRPr="00B54F4B">
        <w:rPr>
          <w:rFonts w:cs="Arial" w:hint="cs"/>
          <w:sz w:val="16"/>
          <w:szCs w:val="16"/>
          <w:rtl/>
        </w:rPr>
        <w:t>[</w:t>
      </w:r>
      <w:r w:rsidR="00B54F4B" w:rsidRPr="00B54F4B">
        <w:rPr>
          <w:rFonts w:cs="Arial"/>
          <w:sz w:val="16"/>
          <w:szCs w:val="16"/>
          <w:rtl/>
        </w:rPr>
        <w:t>סכ"ה</w:t>
      </w:r>
      <w:r w:rsidR="00B54F4B" w:rsidRPr="00B54F4B">
        <w:rPr>
          <w:rFonts w:cs="Arial" w:hint="cs"/>
          <w:sz w:val="16"/>
          <w:szCs w:val="16"/>
          <w:rtl/>
        </w:rPr>
        <w:t>] בשמו</w:t>
      </w:r>
      <w:r w:rsidR="00B54F4B" w:rsidRPr="00B54F4B">
        <w:rPr>
          <w:rFonts w:cs="Arial"/>
          <w:sz w:val="16"/>
          <w:szCs w:val="16"/>
          <w:rtl/>
        </w:rPr>
        <w:t>)</w:t>
      </w:r>
      <w:r w:rsidR="00A82951">
        <w:rPr>
          <w:rFonts w:cs="Arial" w:hint="cs"/>
          <w:rtl/>
        </w:rPr>
        <w:t>-</w:t>
      </w:r>
      <w:r>
        <w:rPr>
          <w:rFonts w:cs="Arial" w:hint="cs"/>
          <w:rtl/>
        </w:rPr>
        <w:t xml:space="preserve"> </w:t>
      </w:r>
      <w:r w:rsidR="00F26A57">
        <w:rPr>
          <w:rStyle w:val="a7"/>
          <w:rFonts w:cs="Arial"/>
          <w:rtl/>
        </w:rPr>
        <w:footnoteReference w:id="391"/>
      </w:r>
      <w:r w:rsidRPr="00910990">
        <w:rPr>
          <w:rFonts w:cs="Arial"/>
          <w:rtl/>
        </w:rPr>
        <w:t>אם כתבו תורף אפילו גדול עומד על גביו</w:t>
      </w:r>
      <w:r w:rsidRPr="00910990">
        <w:rPr>
          <w:rFonts w:cs="Arial" w:hint="cs"/>
          <w:rtl/>
        </w:rPr>
        <w:t xml:space="preserve"> </w:t>
      </w:r>
      <w:r w:rsidR="00A82951">
        <w:rPr>
          <w:rFonts w:cs="Arial" w:hint="cs"/>
          <w:rtl/>
        </w:rPr>
        <w:t>-</w:t>
      </w:r>
      <w:r w:rsidRPr="00910990">
        <w:rPr>
          <w:rFonts w:cs="Arial"/>
          <w:rtl/>
        </w:rPr>
        <w:t xml:space="preserve"> בטל הוא</w:t>
      </w:r>
      <w:r w:rsidRPr="00910990">
        <w:rPr>
          <w:rFonts w:cs="Arial" w:hint="cs"/>
          <w:rtl/>
        </w:rPr>
        <w:t>.</w:t>
      </w:r>
      <w:r w:rsidRPr="00910990">
        <w:rPr>
          <w:rFonts w:cs="Arial"/>
          <w:rtl/>
        </w:rPr>
        <w:t xml:space="preserve"> ואם כתבו טופס </w:t>
      </w:r>
      <w:r w:rsidR="00A82951">
        <w:rPr>
          <w:rFonts w:cs="Arial" w:hint="cs"/>
          <w:rtl/>
        </w:rPr>
        <w:t>-</w:t>
      </w:r>
      <w:r w:rsidRPr="00910990">
        <w:rPr>
          <w:rFonts w:cs="Arial" w:hint="cs"/>
          <w:rtl/>
        </w:rPr>
        <w:t xml:space="preserve"> </w:t>
      </w:r>
      <w:r w:rsidRPr="00910990">
        <w:rPr>
          <w:rFonts w:cs="Arial"/>
          <w:rtl/>
        </w:rPr>
        <w:t>פסול</w:t>
      </w:r>
      <w:r w:rsidRPr="00910990">
        <w:rPr>
          <w:rFonts w:cs="Arial" w:hint="cs"/>
          <w:rtl/>
        </w:rPr>
        <w:t>,</w:t>
      </w:r>
      <w:r w:rsidRPr="00910990">
        <w:rPr>
          <w:rFonts w:cs="Arial"/>
          <w:rtl/>
        </w:rPr>
        <w:t xml:space="preserve"> דאע</w:t>
      </w:r>
      <w:r w:rsidRPr="00910990">
        <w:rPr>
          <w:rFonts w:cs="Arial" w:hint="cs"/>
          <w:rtl/>
        </w:rPr>
        <w:t>"</w:t>
      </w:r>
      <w:r w:rsidRPr="00910990">
        <w:rPr>
          <w:rFonts w:cs="Arial"/>
          <w:rtl/>
        </w:rPr>
        <w:t>פ שנכתב הטופס שלא בשליחות הבעל לא מיבטיל בהכי</w:t>
      </w:r>
      <w:r w:rsidRPr="00910990">
        <w:rPr>
          <w:rFonts w:cs="Arial" w:hint="cs"/>
          <w:rtl/>
        </w:rPr>
        <w:t>,</w:t>
      </w:r>
      <w:r w:rsidRPr="00910990">
        <w:rPr>
          <w:rFonts w:cs="Arial"/>
          <w:rtl/>
        </w:rPr>
        <w:t xml:space="preserve"> וראיה מכותב טופסי גיטין</w:t>
      </w:r>
      <w:r w:rsidR="00F26A57">
        <w:rPr>
          <w:rFonts w:cs="Arial" w:hint="cs"/>
          <w:sz w:val="16"/>
          <w:szCs w:val="16"/>
          <w:rtl/>
        </w:rPr>
        <w:t xml:space="preserve"> (ל' הב"י)</w:t>
      </w:r>
      <w:r w:rsidR="00B54F4B">
        <w:rPr>
          <w:rStyle w:val="a7"/>
          <w:rFonts w:cs="Arial"/>
          <w:rtl/>
        </w:rPr>
        <w:footnoteReference w:id="392"/>
      </w:r>
      <w:r w:rsidRPr="00910990">
        <w:rPr>
          <w:rFonts w:cs="Arial" w:hint="cs"/>
          <w:rtl/>
        </w:rPr>
        <w:t>.</w:t>
      </w:r>
      <w:r w:rsidRPr="00910990">
        <w:rPr>
          <w:rFonts w:cs="Arial"/>
          <w:rtl/>
        </w:rPr>
        <w:t xml:space="preserve"> </w:t>
      </w:r>
      <w:r w:rsidRPr="00F26A57">
        <w:rPr>
          <w:rFonts w:cs="Arial"/>
          <w:rtl/>
        </w:rPr>
        <w:t xml:space="preserve"> </w:t>
      </w:r>
    </w:p>
    <w:p w14:paraId="41CECD5F" w14:textId="6D6ECE02" w:rsidR="00B16C73" w:rsidRPr="00B16C73" w:rsidRDefault="00D040B5" w:rsidP="00B16C73">
      <w:pPr>
        <w:ind w:left="360"/>
        <w:rPr>
          <w:rFonts w:cs="Arial"/>
          <w:u w:val="dotted"/>
        </w:rPr>
      </w:pPr>
      <w:r>
        <w:rPr>
          <w:rFonts w:cs="Arial" w:hint="cs"/>
          <w:u w:val="dotted"/>
          <w:rtl/>
        </w:rPr>
        <w:t>לסוברים שרב הונא ורב יהודה פליגי</w:t>
      </w:r>
      <w:r w:rsidR="00316A3B">
        <w:rPr>
          <w:rFonts w:cs="Arial" w:hint="cs"/>
          <w:sz w:val="16"/>
          <w:szCs w:val="16"/>
          <w:u w:val="dotted"/>
          <w:rtl/>
        </w:rPr>
        <w:t xml:space="preserve"> (רש"י וסיעתו)</w:t>
      </w:r>
      <w:r>
        <w:rPr>
          <w:rFonts w:cs="Arial" w:hint="cs"/>
          <w:u w:val="dotted"/>
          <w:rtl/>
        </w:rPr>
        <w:t xml:space="preserve"> </w:t>
      </w:r>
      <w:r w:rsidR="00A82951">
        <w:rPr>
          <w:rFonts w:cs="Arial" w:hint="cs"/>
          <w:u w:val="dotted"/>
          <w:rtl/>
        </w:rPr>
        <w:t>-</w:t>
      </w:r>
      <w:r>
        <w:rPr>
          <w:rFonts w:cs="Arial" w:hint="cs"/>
          <w:u w:val="dotted"/>
          <w:rtl/>
        </w:rPr>
        <w:t xml:space="preserve"> </w:t>
      </w:r>
      <w:r w:rsidR="00B16C73" w:rsidRPr="00B16C73">
        <w:rPr>
          <w:rFonts w:cs="Arial" w:hint="cs"/>
          <w:u w:val="dotted"/>
          <w:rtl/>
        </w:rPr>
        <w:t>כיצד נפסק:</w:t>
      </w:r>
    </w:p>
    <w:p w14:paraId="6F904CFB" w14:textId="71DBF3B2" w:rsidR="00B16C73" w:rsidRPr="007A53C1" w:rsidRDefault="007A53C1" w:rsidP="00A65C5F">
      <w:pPr>
        <w:pStyle w:val="ab"/>
        <w:numPr>
          <w:ilvl w:val="0"/>
          <w:numId w:val="37"/>
        </w:numPr>
        <w:rPr>
          <w:rFonts w:cs="Arial"/>
        </w:rPr>
      </w:pPr>
      <w:r>
        <w:rPr>
          <w:rFonts w:cs="Arial" w:hint="cs"/>
          <w:rtl/>
        </w:rPr>
        <w:t>בה"ג</w:t>
      </w:r>
      <w:r w:rsidRPr="00995F55">
        <w:rPr>
          <w:rFonts w:cs="Arial"/>
          <w:rtl/>
        </w:rPr>
        <w:t xml:space="preserve"> </w:t>
      </w:r>
      <w:r w:rsidRPr="007A53C1">
        <w:rPr>
          <w:rFonts w:cs="Arial"/>
          <w:sz w:val="16"/>
          <w:szCs w:val="16"/>
          <w:rtl/>
        </w:rPr>
        <w:t>(ה' גיטין מז ע"ג</w:t>
      </w:r>
      <w:r w:rsidRPr="007A53C1">
        <w:rPr>
          <w:rFonts w:cs="Arial" w:hint="cs"/>
          <w:sz w:val="16"/>
          <w:szCs w:val="16"/>
          <w:rtl/>
        </w:rPr>
        <w:t>, כ"כ הרשב"א בשמו [</w:t>
      </w:r>
      <w:r w:rsidRPr="007A53C1">
        <w:rPr>
          <w:rFonts w:cs="Arial"/>
          <w:sz w:val="16"/>
          <w:szCs w:val="16"/>
          <w:rtl/>
        </w:rPr>
        <w:t>כג. ד"ה ומיהו</w:t>
      </w:r>
      <w:r w:rsidRPr="007A53C1">
        <w:rPr>
          <w:rFonts w:cs="Arial" w:hint="cs"/>
          <w:sz w:val="16"/>
          <w:szCs w:val="16"/>
          <w:rtl/>
        </w:rPr>
        <w:t>]</w:t>
      </w:r>
      <w:r w:rsidRPr="007A53C1">
        <w:rPr>
          <w:rFonts w:cs="Arial"/>
          <w:sz w:val="16"/>
          <w:szCs w:val="16"/>
          <w:rtl/>
        </w:rPr>
        <w:t>)</w:t>
      </w:r>
      <w:r w:rsidRPr="007A53C1">
        <w:rPr>
          <w:rFonts w:cs="Arial" w:hint="cs"/>
          <w:sz w:val="16"/>
          <w:szCs w:val="16"/>
          <w:rtl/>
        </w:rPr>
        <w:t xml:space="preserve"> </w:t>
      </w:r>
      <w:r w:rsidR="00B16C73" w:rsidRPr="00995F55">
        <w:rPr>
          <w:rFonts w:cs="Arial"/>
          <w:rtl/>
        </w:rPr>
        <w:t xml:space="preserve">תרומה </w:t>
      </w:r>
      <w:r w:rsidR="00B16C73" w:rsidRPr="007A53C1">
        <w:rPr>
          <w:rFonts w:cs="Arial"/>
          <w:sz w:val="16"/>
          <w:szCs w:val="16"/>
          <w:rtl/>
        </w:rPr>
        <w:t>(סי' קיט ל ע"א)</w:t>
      </w:r>
      <w:r w:rsidR="00B16C73" w:rsidRPr="007A53C1">
        <w:rPr>
          <w:rFonts w:cs="Arial" w:hint="cs"/>
          <w:sz w:val="16"/>
          <w:szCs w:val="16"/>
          <w:rtl/>
        </w:rPr>
        <w:t xml:space="preserve"> </w:t>
      </w:r>
      <w:r w:rsidR="00F26A57">
        <w:rPr>
          <w:rFonts w:cs="Arial" w:hint="cs"/>
          <w:rtl/>
        </w:rPr>
        <w:t>ו</w:t>
      </w:r>
      <w:r w:rsidR="00E44BB9" w:rsidRPr="00995F55">
        <w:rPr>
          <w:rFonts w:cs="Arial"/>
          <w:rtl/>
        </w:rPr>
        <w:t xml:space="preserve">סמ"ג </w:t>
      </w:r>
      <w:r w:rsidR="00E44BB9" w:rsidRPr="007A53C1">
        <w:rPr>
          <w:rFonts w:cs="Arial"/>
          <w:sz w:val="16"/>
          <w:szCs w:val="16"/>
          <w:rtl/>
        </w:rPr>
        <w:t>(עשין נ קל ע"א)</w:t>
      </w:r>
      <w:r w:rsidR="00A82951">
        <w:rPr>
          <w:rFonts w:cs="Arial" w:hint="cs"/>
          <w:rtl/>
        </w:rPr>
        <w:t>-</w:t>
      </w:r>
      <w:r w:rsidR="00E44BB9" w:rsidRPr="00995F55">
        <w:rPr>
          <w:rFonts w:cs="Arial"/>
          <w:rtl/>
        </w:rPr>
        <w:t xml:space="preserve"> כרב הונא</w:t>
      </w:r>
      <w:r w:rsidR="00286275">
        <w:rPr>
          <w:rFonts w:cs="Arial" w:hint="cs"/>
          <w:rtl/>
        </w:rPr>
        <w:t>.</w:t>
      </w:r>
      <w:r w:rsidR="00E44BB9" w:rsidRPr="00995F55">
        <w:rPr>
          <w:rFonts w:cs="Arial"/>
          <w:rtl/>
        </w:rPr>
        <w:t xml:space="preserve"> </w:t>
      </w:r>
      <w:r w:rsidRPr="007A53C1">
        <w:rPr>
          <w:rFonts w:cs="Arial" w:hint="cs"/>
          <w:rtl/>
        </w:rPr>
        <w:t>הילכך</w:t>
      </w:r>
      <w:r>
        <w:rPr>
          <w:rFonts w:cs="Arial" w:hint="cs"/>
          <w:rtl/>
        </w:rPr>
        <w:t>,</w:t>
      </w:r>
      <w:r w:rsidRPr="007A53C1">
        <w:rPr>
          <w:rFonts w:cs="Arial" w:hint="cs"/>
          <w:rtl/>
        </w:rPr>
        <w:t xml:space="preserve"> </w:t>
      </w:r>
      <w:r w:rsidR="00E44BB9" w:rsidRPr="007A53C1">
        <w:rPr>
          <w:rFonts w:cs="Arial"/>
          <w:rtl/>
        </w:rPr>
        <w:t xml:space="preserve">תורף בגדול עומד על גביו </w:t>
      </w:r>
      <w:r w:rsidR="00A82951">
        <w:rPr>
          <w:rFonts w:cs="Arial" w:hint="cs"/>
          <w:rtl/>
        </w:rPr>
        <w:t>-</w:t>
      </w:r>
      <w:r>
        <w:rPr>
          <w:rFonts w:cs="Arial" w:hint="cs"/>
          <w:rtl/>
        </w:rPr>
        <w:t xml:space="preserve"> </w:t>
      </w:r>
      <w:r w:rsidR="00E44BB9" w:rsidRPr="007A53C1">
        <w:rPr>
          <w:rFonts w:cs="Arial"/>
          <w:rtl/>
        </w:rPr>
        <w:t>כותבין לכתחילה</w:t>
      </w:r>
      <w:r>
        <w:rPr>
          <w:rFonts w:cs="Arial" w:hint="cs"/>
          <w:rtl/>
        </w:rPr>
        <w:t>.</w:t>
      </w:r>
      <w:r w:rsidR="00E44BB9" w:rsidRPr="007A53C1">
        <w:rPr>
          <w:rFonts w:cs="Arial"/>
          <w:rtl/>
        </w:rPr>
        <w:t xml:space="preserve"> ואם כתבו בלא עומד על גביו </w:t>
      </w:r>
      <w:r w:rsidR="00A82951">
        <w:rPr>
          <w:rFonts w:cs="Arial" w:hint="cs"/>
          <w:rtl/>
        </w:rPr>
        <w:t>-</w:t>
      </w:r>
      <w:r>
        <w:rPr>
          <w:rFonts w:cs="Arial" w:hint="cs"/>
          <w:rtl/>
        </w:rPr>
        <w:t xml:space="preserve"> </w:t>
      </w:r>
      <w:r w:rsidR="00E44BB9" w:rsidRPr="007A53C1">
        <w:rPr>
          <w:rFonts w:cs="Arial"/>
          <w:rtl/>
        </w:rPr>
        <w:t>בטל</w:t>
      </w:r>
      <w:r>
        <w:rPr>
          <w:rFonts w:cs="Arial" w:hint="cs"/>
          <w:rtl/>
        </w:rPr>
        <w:t>.</w:t>
      </w:r>
      <w:r w:rsidR="00E44BB9" w:rsidRPr="007A53C1">
        <w:rPr>
          <w:rFonts w:cs="Arial"/>
          <w:rtl/>
        </w:rPr>
        <w:t xml:space="preserve"> ואם כתבו טופס ואין גדול עומד על גביו </w:t>
      </w:r>
      <w:r w:rsidR="00A82951">
        <w:rPr>
          <w:rFonts w:cs="Arial" w:hint="cs"/>
          <w:rtl/>
        </w:rPr>
        <w:t>-</w:t>
      </w:r>
      <w:r>
        <w:rPr>
          <w:rFonts w:cs="Arial" w:hint="cs"/>
          <w:rtl/>
        </w:rPr>
        <w:t xml:space="preserve"> </w:t>
      </w:r>
      <w:r w:rsidR="00E44BB9" w:rsidRPr="007A53C1">
        <w:rPr>
          <w:rFonts w:cs="Arial"/>
          <w:rtl/>
        </w:rPr>
        <w:t>ס</w:t>
      </w:r>
      <w:r>
        <w:rPr>
          <w:rFonts w:cs="Arial" w:hint="cs"/>
          <w:rtl/>
        </w:rPr>
        <w:t>פ</w:t>
      </w:r>
      <w:r w:rsidR="00E44BB9" w:rsidRPr="007A53C1">
        <w:rPr>
          <w:rFonts w:cs="Arial"/>
          <w:rtl/>
        </w:rPr>
        <w:t>ק אי מכשירינן ליה בדיעבד</w:t>
      </w:r>
      <w:r>
        <w:rPr>
          <w:rFonts w:cs="Arial" w:hint="cs"/>
          <w:rtl/>
        </w:rPr>
        <w:t>,</w:t>
      </w:r>
      <w:r w:rsidR="00E44BB9" w:rsidRPr="007A53C1">
        <w:rPr>
          <w:rFonts w:cs="Arial"/>
          <w:rtl/>
        </w:rPr>
        <w:t xml:space="preserve"> והרשב"א (שם) כתב שהיה נראה לו להכשיר בדיעבד אלא שראה להרמב"ן (בספר הזכות על רי"ף יא.) שפסל</w:t>
      </w:r>
      <w:r>
        <w:rPr>
          <w:rFonts w:cs="Arial" w:hint="cs"/>
          <w:sz w:val="16"/>
          <w:szCs w:val="16"/>
          <w:rtl/>
        </w:rPr>
        <w:t xml:space="preserve"> (ל' הב"י בשם הה"מ)</w:t>
      </w:r>
      <w:r w:rsidR="00E44BB9" w:rsidRPr="007A53C1">
        <w:rPr>
          <w:rFonts w:cs="Arial"/>
          <w:rtl/>
        </w:rPr>
        <w:t xml:space="preserve">. </w:t>
      </w:r>
    </w:p>
    <w:p w14:paraId="27E2E143" w14:textId="52269B9A" w:rsidR="00064860" w:rsidRPr="00B54F4B" w:rsidRDefault="007A53C1" w:rsidP="00A65C5F">
      <w:pPr>
        <w:pStyle w:val="ab"/>
        <w:numPr>
          <w:ilvl w:val="0"/>
          <w:numId w:val="37"/>
        </w:numPr>
        <w:rPr>
          <w:rFonts w:cs="Arial"/>
          <w:rtl/>
        </w:rPr>
      </w:pPr>
      <w:r>
        <w:rPr>
          <w:rFonts w:cs="Arial" w:hint="cs"/>
          <w:rtl/>
        </w:rPr>
        <w:lastRenderedPageBreak/>
        <w:t xml:space="preserve">יש פוסקים </w:t>
      </w:r>
      <w:r>
        <w:rPr>
          <w:rFonts w:cs="Arial" w:hint="cs"/>
          <w:sz w:val="16"/>
          <w:szCs w:val="16"/>
          <w:rtl/>
        </w:rPr>
        <w:t xml:space="preserve">(כ"כ הה"מ </w:t>
      </w:r>
      <w:r w:rsidR="00BC3485">
        <w:rPr>
          <w:rFonts w:cs="Arial" w:hint="cs"/>
          <w:sz w:val="16"/>
          <w:szCs w:val="16"/>
          <w:rtl/>
        </w:rPr>
        <w:t xml:space="preserve">[פ"ג הט"ו] </w:t>
      </w:r>
      <w:r>
        <w:rPr>
          <w:rFonts w:cs="Arial" w:hint="cs"/>
          <w:sz w:val="16"/>
          <w:szCs w:val="16"/>
          <w:rtl/>
        </w:rPr>
        <w:t>בשמם)</w:t>
      </w:r>
      <w:r w:rsidR="00A82951">
        <w:rPr>
          <w:rFonts w:cs="Arial" w:hint="cs"/>
          <w:rtl/>
        </w:rPr>
        <w:t>-</w:t>
      </w:r>
      <w:r>
        <w:rPr>
          <w:rFonts w:cs="Arial" w:hint="cs"/>
          <w:rtl/>
        </w:rPr>
        <w:t xml:space="preserve"> הלכה</w:t>
      </w:r>
      <w:r w:rsidR="00E44BB9" w:rsidRPr="00995F55">
        <w:rPr>
          <w:rFonts w:cs="Arial"/>
          <w:rtl/>
        </w:rPr>
        <w:t xml:space="preserve"> כרב יהודה</w:t>
      </w:r>
      <w:r>
        <w:rPr>
          <w:rFonts w:cs="Arial" w:hint="cs"/>
          <w:rtl/>
        </w:rPr>
        <w:t>. הילכך</w:t>
      </w:r>
      <w:r w:rsidR="00E44BB9" w:rsidRPr="00995F55">
        <w:rPr>
          <w:rFonts w:cs="Arial"/>
          <w:rtl/>
        </w:rPr>
        <w:t xml:space="preserve"> טופס כותבין לכתחילה אפילו אין גדול עומד על גביו</w:t>
      </w:r>
      <w:r>
        <w:rPr>
          <w:rFonts w:cs="Arial" w:hint="cs"/>
          <w:rtl/>
        </w:rPr>
        <w:t>.</w:t>
      </w:r>
      <w:r w:rsidR="00E44BB9" w:rsidRPr="00995F55">
        <w:rPr>
          <w:rFonts w:cs="Arial"/>
          <w:rtl/>
        </w:rPr>
        <w:t xml:space="preserve"> ותורף אם כתבוהו אפילו גדול עומד על גביו </w:t>
      </w:r>
      <w:r w:rsidR="00A82951">
        <w:rPr>
          <w:rFonts w:cs="Arial" w:hint="cs"/>
          <w:rtl/>
        </w:rPr>
        <w:t>-</w:t>
      </w:r>
      <w:r>
        <w:rPr>
          <w:rFonts w:cs="Arial" w:hint="cs"/>
          <w:rtl/>
        </w:rPr>
        <w:t xml:space="preserve"> </w:t>
      </w:r>
      <w:r w:rsidR="00E44BB9" w:rsidRPr="00995F55">
        <w:rPr>
          <w:rFonts w:cs="Arial"/>
          <w:rtl/>
        </w:rPr>
        <w:t>הגט בטל</w:t>
      </w:r>
      <w:r w:rsidR="00910990" w:rsidRPr="00B54F4B">
        <w:rPr>
          <w:rFonts w:cs="Arial" w:hint="cs"/>
          <w:rtl/>
        </w:rPr>
        <w:t>.</w:t>
      </w:r>
    </w:p>
    <w:p w14:paraId="6ED37B97" w14:textId="5BA435FA" w:rsidR="009E5644" w:rsidRDefault="009E5644" w:rsidP="009E5644">
      <w:pPr>
        <w:rPr>
          <w:rFonts w:cs="Arial"/>
          <w:rtl/>
        </w:rPr>
      </w:pPr>
      <w:r w:rsidRPr="009E5644">
        <w:rPr>
          <w:rFonts w:cs="Arial" w:hint="cs"/>
          <w:b/>
          <w:bCs/>
          <w:rtl/>
        </w:rPr>
        <w:t xml:space="preserve">גיטין </w:t>
      </w:r>
      <w:r w:rsidRPr="009E5644">
        <w:rPr>
          <w:rFonts w:cs="Arial" w:hint="cs"/>
          <w:b/>
          <w:bCs/>
          <w:sz w:val="16"/>
          <w:szCs w:val="16"/>
          <w:rtl/>
        </w:rPr>
        <w:t>(</w:t>
      </w:r>
      <w:r w:rsidRPr="009E5644">
        <w:rPr>
          <w:rFonts w:cs="Arial"/>
          <w:b/>
          <w:bCs/>
          <w:sz w:val="16"/>
          <w:szCs w:val="16"/>
          <w:rtl/>
        </w:rPr>
        <w:t>פ</w:t>
      </w:r>
      <w:r w:rsidRPr="009E5644">
        <w:rPr>
          <w:rFonts w:cs="Arial" w:hint="cs"/>
          <w:b/>
          <w:bCs/>
          <w:sz w:val="16"/>
          <w:szCs w:val="16"/>
          <w:rtl/>
        </w:rPr>
        <w:t>'</w:t>
      </w:r>
      <w:r w:rsidRPr="009E5644">
        <w:rPr>
          <w:rFonts w:cs="Arial"/>
          <w:b/>
          <w:bCs/>
          <w:sz w:val="16"/>
          <w:szCs w:val="16"/>
          <w:rtl/>
        </w:rPr>
        <w:t xml:space="preserve"> כל הגט</w:t>
      </w:r>
      <w:r w:rsidRPr="009E5644">
        <w:rPr>
          <w:rFonts w:cs="Arial" w:hint="cs"/>
          <w:b/>
          <w:bCs/>
          <w:sz w:val="16"/>
          <w:szCs w:val="16"/>
          <w:rtl/>
        </w:rPr>
        <w:t xml:space="preserve">) </w:t>
      </w:r>
      <w:r w:rsidRPr="009E5644">
        <w:rPr>
          <w:rFonts w:cs="Arial"/>
          <w:b/>
          <w:bCs/>
          <w:rtl/>
        </w:rPr>
        <w:t>כו</w:t>
      </w:r>
      <w:r w:rsidR="00F44803">
        <w:rPr>
          <w:rStyle w:val="a7"/>
          <w:rFonts w:cs="Arial"/>
          <w:b/>
          <w:bCs/>
          <w:rtl/>
        </w:rPr>
        <w:footnoteReference w:id="393"/>
      </w:r>
      <w:r w:rsidRPr="009E5644">
        <w:rPr>
          <w:rFonts w:cs="Arial" w:hint="cs"/>
          <w:b/>
          <w:bCs/>
          <w:rtl/>
        </w:rPr>
        <w:t xml:space="preserve"> ע"א:</w:t>
      </w:r>
      <w:r w:rsidRPr="001C08AD">
        <w:rPr>
          <w:rFonts w:hint="cs"/>
          <w:rtl/>
        </w:rPr>
        <w:t xml:space="preserve"> </w:t>
      </w:r>
      <w:r w:rsidRPr="009E5644">
        <w:rPr>
          <w:rFonts w:cs="Arial" w:hint="cs"/>
          <w:u w:val="double"/>
          <w:rtl/>
        </w:rPr>
        <w:t>מתני</w:t>
      </w:r>
      <w:r w:rsidRPr="009E5644">
        <w:rPr>
          <w:rFonts w:cs="Arial"/>
          <w:u w:val="double"/>
          <w:rtl/>
        </w:rPr>
        <w:t>'</w:t>
      </w:r>
      <w:r w:rsidRPr="009E5644">
        <w:rPr>
          <w:rFonts w:cs="Arial" w:hint="cs"/>
          <w:rtl/>
        </w:rPr>
        <w:t>:</w:t>
      </w:r>
      <w:r w:rsidRPr="009E5644">
        <w:rPr>
          <w:rFonts w:cs="Arial"/>
          <w:rtl/>
        </w:rPr>
        <w:t xml:space="preserve"> </w:t>
      </w:r>
      <w:r w:rsidRPr="009E5644">
        <w:rPr>
          <w:rFonts w:cs="Arial" w:hint="cs"/>
          <w:rtl/>
        </w:rPr>
        <w:t>הכותב</w:t>
      </w:r>
      <w:r w:rsidRPr="009E5644">
        <w:rPr>
          <w:rFonts w:cs="Arial"/>
          <w:rtl/>
        </w:rPr>
        <w:t xml:space="preserve"> </w:t>
      </w:r>
      <w:r w:rsidRPr="009E5644">
        <w:rPr>
          <w:rFonts w:cs="Arial" w:hint="cs"/>
          <w:rtl/>
        </w:rPr>
        <w:t>טופסי</w:t>
      </w:r>
      <w:r w:rsidRPr="009E5644">
        <w:rPr>
          <w:rFonts w:cs="Arial"/>
          <w:rtl/>
        </w:rPr>
        <w:t xml:space="preserve"> </w:t>
      </w:r>
      <w:r w:rsidRPr="009E5644">
        <w:rPr>
          <w:rFonts w:cs="Arial" w:hint="cs"/>
          <w:rtl/>
        </w:rPr>
        <w:t>גיטין</w:t>
      </w:r>
      <w:r w:rsidRPr="009E5644">
        <w:rPr>
          <w:rFonts w:cs="Arial"/>
          <w:rtl/>
        </w:rPr>
        <w:t xml:space="preserve"> </w:t>
      </w:r>
      <w:r w:rsidR="00A82951">
        <w:rPr>
          <w:rFonts w:cs="Arial"/>
          <w:rtl/>
        </w:rPr>
        <w:t>-</w:t>
      </w:r>
      <w:r w:rsidRPr="009E5644">
        <w:rPr>
          <w:rFonts w:cs="Arial"/>
          <w:rtl/>
        </w:rPr>
        <w:t xml:space="preserve"> </w:t>
      </w:r>
      <w:r w:rsidRPr="009E5644">
        <w:rPr>
          <w:rFonts w:cs="Arial" w:hint="cs"/>
          <w:rtl/>
        </w:rPr>
        <w:t>צריך</w:t>
      </w:r>
      <w:r w:rsidRPr="009E5644">
        <w:rPr>
          <w:rFonts w:cs="Arial"/>
          <w:rtl/>
        </w:rPr>
        <w:t xml:space="preserve"> </w:t>
      </w:r>
      <w:r w:rsidRPr="009E5644">
        <w:rPr>
          <w:rFonts w:cs="Arial" w:hint="cs"/>
          <w:rtl/>
        </w:rPr>
        <w:t>שיניח</w:t>
      </w:r>
      <w:r w:rsidRPr="009E5644">
        <w:rPr>
          <w:rFonts w:cs="Arial"/>
          <w:rtl/>
        </w:rPr>
        <w:t xml:space="preserve"> </w:t>
      </w:r>
      <w:r w:rsidRPr="009E5644">
        <w:rPr>
          <w:rFonts w:cs="Arial" w:hint="cs"/>
          <w:rtl/>
        </w:rPr>
        <w:t>מקום</w:t>
      </w:r>
      <w:r w:rsidRPr="009E5644">
        <w:rPr>
          <w:rFonts w:cs="Arial"/>
          <w:rtl/>
        </w:rPr>
        <w:t xml:space="preserve"> </w:t>
      </w:r>
      <w:r w:rsidRPr="009E5644">
        <w:rPr>
          <w:rFonts w:cs="Arial" w:hint="cs"/>
          <w:rtl/>
        </w:rPr>
        <w:t>האיש</w:t>
      </w:r>
      <w:r w:rsidRPr="009E5644">
        <w:rPr>
          <w:rFonts w:cs="Arial"/>
          <w:rtl/>
        </w:rPr>
        <w:t xml:space="preserve">, </w:t>
      </w:r>
      <w:r w:rsidRPr="009E5644">
        <w:rPr>
          <w:rFonts w:cs="Arial" w:hint="cs"/>
          <w:rtl/>
        </w:rPr>
        <w:t>ומקום</w:t>
      </w:r>
      <w:r w:rsidRPr="009E5644">
        <w:rPr>
          <w:rFonts w:cs="Arial"/>
          <w:rtl/>
        </w:rPr>
        <w:t xml:space="preserve"> </w:t>
      </w:r>
      <w:r w:rsidRPr="009E5644">
        <w:rPr>
          <w:rFonts w:cs="Arial" w:hint="cs"/>
          <w:rtl/>
        </w:rPr>
        <w:t>האשה</w:t>
      </w:r>
      <w:r w:rsidRPr="009E5644">
        <w:rPr>
          <w:rFonts w:cs="Arial"/>
          <w:rtl/>
        </w:rPr>
        <w:t xml:space="preserve">, </w:t>
      </w:r>
      <w:r w:rsidRPr="009E5644">
        <w:rPr>
          <w:rFonts w:cs="Arial" w:hint="cs"/>
          <w:rtl/>
        </w:rPr>
        <w:t>ומקום</w:t>
      </w:r>
      <w:r w:rsidRPr="009E5644">
        <w:rPr>
          <w:rFonts w:cs="Arial"/>
          <w:rtl/>
        </w:rPr>
        <w:t xml:space="preserve"> </w:t>
      </w:r>
      <w:r w:rsidRPr="009E5644">
        <w:rPr>
          <w:rFonts w:cs="Arial" w:hint="cs"/>
          <w:rtl/>
        </w:rPr>
        <w:t>הזמן...</w:t>
      </w:r>
      <w:r w:rsidRPr="009E5644">
        <w:rPr>
          <w:rFonts w:cs="Arial"/>
          <w:rtl/>
        </w:rPr>
        <w:t xml:space="preserve"> </w:t>
      </w:r>
      <w:r w:rsidRPr="009E5644">
        <w:rPr>
          <w:rFonts w:cs="Arial" w:hint="cs"/>
          <w:rtl/>
        </w:rPr>
        <w:t>מפני</w:t>
      </w:r>
      <w:r w:rsidRPr="009E5644">
        <w:rPr>
          <w:rFonts w:cs="Arial"/>
          <w:rtl/>
        </w:rPr>
        <w:t xml:space="preserve"> </w:t>
      </w:r>
      <w:r w:rsidRPr="009E5644">
        <w:rPr>
          <w:rFonts w:cs="Arial" w:hint="cs"/>
          <w:rtl/>
        </w:rPr>
        <w:t>התקנה..</w:t>
      </w:r>
      <w:r w:rsidRPr="009E5644">
        <w:rPr>
          <w:rFonts w:cs="Arial"/>
          <w:rtl/>
        </w:rPr>
        <w:t xml:space="preserve">. </w:t>
      </w:r>
      <w:r w:rsidRPr="009E5644">
        <w:rPr>
          <w:rFonts w:cs="Arial" w:hint="cs"/>
          <w:rtl/>
        </w:rPr>
        <w:t xml:space="preserve">       </w:t>
      </w:r>
      <w:r w:rsidRPr="009E5644">
        <w:rPr>
          <w:rFonts w:cs="Arial" w:hint="cs"/>
          <w:u w:val="double"/>
          <w:rtl/>
        </w:rPr>
        <w:t>גמ</w:t>
      </w:r>
      <w:r w:rsidRPr="009E5644">
        <w:rPr>
          <w:rFonts w:cs="Arial"/>
          <w:u w:val="double"/>
          <w:rtl/>
        </w:rPr>
        <w:t>'</w:t>
      </w:r>
      <w:r w:rsidRPr="009E5644">
        <w:rPr>
          <w:rFonts w:cs="Arial" w:hint="cs"/>
          <w:rtl/>
        </w:rPr>
        <w:t>:</w:t>
      </w:r>
      <w:r w:rsidRPr="009E5644">
        <w:rPr>
          <w:rFonts w:cs="Arial"/>
          <w:rtl/>
        </w:rPr>
        <w:t xml:space="preserve"> </w:t>
      </w:r>
      <w:r w:rsidRPr="009E5644">
        <w:rPr>
          <w:rFonts w:cs="Arial" w:hint="cs"/>
          <w:u w:val="single"/>
          <w:rtl/>
        </w:rPr>
        <w:t>אמר</w:t>
      </w:r>
      <w:r w:rsidRPr="009E5644">
        <w:rPr>
          <w:rFonts w:cs="Arial"/>
          <w:u w:val="single"/>
          <w:rtl/>
        </w:rPr>
        <w:t xml:space="preserve"> </w:t>
      </w:r>
      <w:r w:rsidRPr="009E5644">
        <w:rPr>
          <w:rFonts w:cs="Arial" w:hint="cs"/>
          <w:u w:val="single"/>
          <w:rtl/>
        </w:rPr>
        <w:t>רב</w:t>
      </w:r>
      <w:r w:rsidRPr="009E5644">
        <w:rPr>
          <w:rFonts w:cs="Arial"/>
          <w:u w:val="single"/>
          <w:rtl/>
        </w:rPr>
        <w:t xml:space="preserve"> </w:t>
      </w:r>
      <w:r w:rsidRPr="009E5644">
        <w:rPr>
          <w:rFonts w:cs="Arial" w:hint="cs"/>
          <w:u w:val="single"/>
          <w:rtl/>
        </w:rPr>
        <w:t>יהודה</w:t>
      </w:r>
      <w:r w:rsidRPr="009E5644">
        <w:rPr>
          <w:rFonts w:cs="Arial"/>
          <w:u w:val="single"/>
          <w:rtl/>
        </w:rPr>
        <w:t xml:space="preserve"> </w:t>
      </w:r>
      <w:r w:rsidRPr="009E5644">
        <w:rPr>
          <w:rFonts w:cs="Arial" w:hint="cs"/>
          <w:u w:val="single"/>
          <w:rtl/>
        </w:rPr>
        <w:t>אמר</w:t>
      </w:r>
      <w:r w:rsidRPr="009E5644">
        <w:rPr>
          <w:rFonts w:cs="Arial"/>
          <w:u w:val="single"/>
          <w:rtl/>
        </w:rPr>
        <w:t xml:space="preserve"> </w:t>
      </w:r>
      <w:r w:rsidRPr="009E5644">
        <w:rPr>
          <w:rFonts w:cs="Arial" w:hint="cs"/>
          <w:u w:val="single"/>
          <w:rtl/>
        </w:rPr>
        <w:t>שמואל</w:t>
      </w:r>
      <w:r w:rsidRPr="009E5644">
        <w:rPr>
          <w:rFonts w:cs="Arial"/>
          <w:rtl/>
        </w:rPr>
        <w:t xml:space="preserve">: </w:t>
      </w:r>
      <w:r w:rsidRPr="009E5644">
        <w:rPr>
          <w:rFonts w:cs="Arial" w:hint="cs"/>
          <w:rtl/>
        </w:rPr>
        <w:t>צריך</w:t>
      </w:r>
      <w:r w:rsidRPr="009E5644">
        <w:rPr>
          <w:rFonts w:cs="Arial"/>
          <w:rtl/>
        </w:rPr>
        <w:t xml:space="preserve"> </w:t>
      </w:r>
      <w:r w:rsidRPr="009E5644">
        <w:rPr>
          <w:rFonts w:cs="Arial" w:hint="cs"/>
          <w:rtl/>
        </w:rPr>
        <w:t>שיניח</w:t>
      </w:r>
      <w:r w:rsidRPr="009E5644">
        <w:rPr>
          <w:rFonts w:cs="Arial"/>
          <w:rtl/>
        </w:rPr>
        <w:t xml:space="preserve"> </w:t>
      </w:r>
      <w:r w:rsidRPr="009E5644">
        <w:rPr>
          <w:rFonts w:cs="Arial" w:hint="cs"/>
          <w:rtl/>
        </w:rPr>
        <w:t>אף</w:t>
      </w:r>
      <w:r w:rsidRPr="009E5644">
        <w:rPr>
          <w:rFonts w:cs="Arial"/>
          <w:rtl/>
        </w:rPr>
        <w:t xml:space="preserve"> </w:t>
      </w:r>
      <w:r w:rsidRPr="009E5644">
        <w:rPr>
          <w:rFonts w:cs="Arial" w:hint="cs"/>
          <w:rtl/>
        </w:rPr>
        <w:t>מקום</w:t>
      </w:r>
      <w:r w:rsidRPr="009E5644">
        <w:rPr>
          <w:rFonts w:cs="Arial"/>
          <w:rtl/>
        </w:rPr>
        <w:t xml:space="preserve"> </w:t>
      </w:r>
      <w:r w:rsidRPr="009E5644">
        <w:rPr>
          <w:rFonts w:cs="Arial" w:hint="cs"/>
          <w:rtl/>
        </w:rPr>
        <w:t>הרי</w:t>
      </w:r>
      <w:r w:rsidRPr="009E5644">
        <w:rPr>
          <w:rFonts w:cs="Arial"/>
          <w:rtl/>
        </w:rPr>
        <w:t xml:space="preserve"> </w:t>
      </w:r>
      <w:r w:rsidRPr="009E5644">
        <w:rPr>
          <w:rFonts w:cs="Arial" w:hint="cs"/>
          <w:rtl/>
        </w:rPr>
        <w:t>את</w:t>
      </w:r>
      <w:r w:rsidRPr="009E5644">
        <w:rPr>
          <w:rFonts w:cs="Arial"/>
          <w:rtl/>
        </w:rPr>
        <w:t xml:space="preserve"> </w:t>
      </w:r>
      <w:r w:rsidRPr="009E5644">
        <w:rPr>
          <w:rFonts w:cs="Arial" w:hint="cs"/>
          <w:rtl/>
        </w:rPr>
        <w:t>מותרת</w:t>
      </w:r>
      <w:r w:rsidRPr="009E5644">
        <w:rPr>
          <w:rFonts w:cs="Arial"/>
          <w:rtl/>
        </w:rPr>
        <w:t xml:space="preserve"> </w:t>
      </w:r>
      <w:r w:rsidRPr="009E5644">
        <w:rPr>
          <w:rFonts w:cs="Arial" w:hint="cs"/>
          <w:rtl/>
        </w:rPr>
        <w:t>לכל</w:t>
      </w:r>
      <w:r w:rsidRPr="009E5644">
        <w:rPr>
          <w:rFonts w:cs="Arial"/>
          <w:rtl/>
        </w:rPr>
        <w:t xml:space="preserve"> </w:t>
      </w:r>
      <w:r w:rsidRPr="009E5644">
        <w:rPr>
          <w:rFonts w:cs="Arial" w:hint="cs"/>
          <w:rtl/>
        </w:rPr>
        <w:t>אדם</w:t>
      </w:r>
      <w:r w:rsidRPr="009E5644">
        <w:rPr>
          <w:rFonts w:cs="Arial"/>
          <w:rtl/>
        </w:rPr>
        <w:t xml:space="preserve">, </w:t>
      </w:r>
      <w:r w:rsidRPr="009E5644">
        <w:rPr>
          <w:rFonts w:cs="Arial" w:hint="cs"/>
          <w:rtl/>
        </w:rPr>
        <w:t>ור</w:t>
      </w:r>
      <w:r w:rsidRPr="009E5644">
        <w:rPr>
          <w:rFonts w:cs="Arial"/>
          <w:rtl/>
        </w:rPr>
        <w:t xml:space="preserve">' </w:t>
      </w:r>
      <w:r w:rsidRPr="009E5644">
        <w:rPr>
          <w:rFonts w:cs="Arial" w:hint="cs"/>
          <w:rtl/>
        </w:rPr>
        <w:t>אלעזר</w:t>
      </w:r>
      <w:r w:rsidRPr="009E5644">
        <w:rPr>
          <w:rFonts w:cs="Arial"/>
          <w:rtl/>
        </w:rPr>
        <w:t xml:space="preserve"> </w:t>
      </w:r>
      <w:r w:rsidRPr="009E5644">
        <w:rPr>
          <w:rFonts w:cs="Arial" w:hint="cs"/>
          <w:rtl/>
        </w:rPr>
        <w:t>היא</w:t>
      </w:r>
      <w:r w:rsidRPr="009E5644">
        <w:rPr>
          <w:rFonts w:cs="Arial"/>
          <w:rtl/>
        </w:rPr>
        <w:t xml:space="preserve">, </w:t>
      </w:r>
      <w:r w:rsidRPr="009E5644">
        <w:rPr>
          <w:rFonts w:cs="Arial" w:hint="cs"/>
          <w:rtl/>
        </w:rPr>
        <w:t>דאמר</w:t>
      </w:r>
      <w:r w:rsidRPr="009E5644">
        <w:rPr>
          <w:rFonts w:cs="Arial"/>
          <w:rtl/>
        </w:rPr>
        <w:t xml:space="preserve">: </w:t>
      </w:r>
      <w:r w:rsidRPr="009E5644">
        <w:rPr>
          <w:rFonts w:cs="Arial" w:hint="cs"/>
          <w:rtl/>
        </w:rPr>
        <w:t>עדי</w:t>
      </w:r>
      <w:r w:rsidRPr="009E5644">
        <w:rPr>
          <w:rFonts w:cs="Arial"/>
          <w:rtl/>
        </w:rPr>
        <w:t xml:space="preserve"> </w:t>
      </w:r>
      <w:r w:rsidRPr="009E5644">
        <w:rPr>
          <w:rFonts w:cs="Arial" w:hint="cs"/>
          <w:rtl/>
        </w:rPr>
        <w:t>מסירה</w:t>
      </w:r>
      <w:r w:rsidRPr="009E5644">
        <w:rPr>
          <w:rFonts w:cs="Arial"/>
          <w:rtl/>
        </w:rPr>
        <w:t xml:space="preserve"> </w:t>
      </w:r>
      <w:r w:rsidRPr="009E5644">
        <w:rPr>
          <w:rFonts w:cs="Arial" w:hint="cs"/>
          <w:rtl/>
        </w:rPr>
        <w:t>כרתי</w:t>
      </w:r>
      <w:r w:rsidRPr="009E5644">
        <w:rPr>
          <w:rFonts w:cs="Arial"/>
          <w:rtl/>
        </w:rPr>
        <w:t xml:space="preserve">, </w:t>
      </w:r>
      <w:r w:rsidRPr="009E5644">
        <w:rPr>
          <w:rFonts w:cs="Arial" w:hint="cs"/>
          <w:rtl/>
        </w:rPr>
        <w:t>ובעינן</w:t>
      </w:r>
      <w:r w:rsidRPr="009E5644">
        <w:rPr>
          <w:rFonts w:cs="Arial"/>
          <w:rtl/>
        </w:rPr>
        <w:t xml:space="preserve"> </w:t>
      </w:r>
      <w:r w:rsidRPr="009E5644">
        <w:rPr>
          <w:rFonts w:cs="Arial" w:hint="cs"/>
          <w:rtl/>
        </w:rPr>
        <w:t>כתיבה</w:t>
      </w:r>
      <w:r w:rsidRPr="009E5644">
        <w:rPr>
          <w:rFonts w:cs="Arial"/>
          <w:rtl/>
        </w:rPr>
        <w:t xml:space="preserve"> </w:t>
      </w:r>
      <w:r w:rsidRPr="009E5644">
        <w:rPr>
          <w:rFonts w:cs="Arial" w:hint="cs"/>
          <w:rtl/>
        </w:rPr>
        <w:t>לשמה</w:t>
      </w:r>
      <w:r w:rsidRPr="009E5644">
        <w:rPr>
          <w:rFonts w:cs="Arial"/>
          <w:rtl/>
        </w:rPr>
        <w:t>..</w:t>
      </w:r>
      <w:r w:rsidRPr="009E5644">
        <w:rPr>
          <w:rFonts w:cs="Arial" w:hint="cs"/>
          <w:rtl/>
        </w:rPr>
        <w:t>.</w:t>
      </w:r>
      <w:r w:rsidRPr="009E5644">
        <w:rPr>
          <w:rFonts w:cs="Arial"/>
          <w:rtl/>
        </w:rPr>
        <w:t xml:space="preserve"> </w:t>
      </w:r>
      <w:r w:rsidRPr="009E5644">
        <w:rPr>
          <w:rFonts w:cs="Arial" w:hint="cs"/>
          <w:rtl/>
        </w:rPr>
        <w:t>מפני</w:t>
      </w:r>
      <w:r w:rsidRPr="009E5644">
        <w:rPr>
          <w:rFonts w:cs="Arial"/>
          <w:rtl/>
        </w:rPr>
        <w:t xml:space="preserve"> </w:t>
      </w:r>
      <w:r w:rsidRPr="009E5644">
        <w:rPr>
          <w:rFonts w:cs="Arial" w:hint="cs"/>
          <w:rtl/>
        </w:rPr>
        <w:t>התקנה</w:t>
      </w:r>
      <w:r w:rsidRPr="009E5644">
        <w:rPr>
          <w:rFonts w:cs="Arial"/>
          <w:rtl/>
        </w:rPr>
        <w:t xml:space="preserve">. </w:t>
      </w:r>
      <w:r w:rsidRPr="009E5644">
        <w:rPr>
          <w:rFonts w:cs="Arial" w:hint="cs"/>
          <w:rtl/>
        </w:rPr>
        <w:t>מאי</w:t>
      </w:r>
      <w:r w:rsidRPr="009E5644">
        <w:rPr>
          <w:rFonts w:cs="Arial"/>
          <w:rtl/>
        </w:rPr>
        <w:t xml:space="preserve"> </w:t>
      </w:r>
      <w:r w:rsidRPr="009E5644">
        <w:rPr>
          <w:rFonts w:cs="Arial" w:hint="cs"/>
          <w:rtl/>
        </w:rPr>
        <w:t>תקנה</w:t>
      </w:r>
      <w:r w:rsidRPr="009E5644">
        <w:rPr>
          <w:rFonts w:cs="Arial"/>
          <w:rtl/>
        </w:rPr>
        <w:t xml:space="preserve">? </w:t>
      </w:r>
      <w:r w:rsidRPr="009E5644">
        <w:rPr>
          <w:rFonts w:cs="Arial" w:hint="cs"/>
          <w:u w:val="single"/>
          <w:rtl/>
        </w:rPr>
        <w:t>אמר</w:t>
      </w:r>
      <w:r w:rsidRPr="009E5644">
        <w:rPr>
          <w:rFonts w:cs="Arial"/>
          <w:u w:val="single"/>
          <w:rtl/>
        </w:rPr>
        <w:t xml:space="preserve"> </w:t>
      </w:r>
      <w:r w:rsidRPr="009E5644">
        <w:rPr>
          <w:rFonts w:cs="Arial" w:hint="cs"/>
          <w:u w:val="single"/>
          <w:rtl/>
        </w:rPr>
        <w:t>ר</w:t>
      </w:r>
      <w:r w:rsidRPr="009E5644">
        <w:rPr>
          <w:rFonts w:cs="Arial"/>
          <w:u w:val="single"/>
          <w:rtl/>
        </w:rPr>
        <w:t xml:space="preserve">' </w:t>
      </w:r>
      <w:r w:rsidRPr="009E5644">
        <w:rPr>
          <w:rFonts w:cs="Arial" w:hint="cs"/>
          <w:u w:val="single"/>
          <w:rtl/>
        </w:rPr>
        <w:t>יונתן</w:t>
      </w:r>
      <w:r w:rsidRPr="009E5644">
        <w:rPr>
          <w:rFonts w:cs="Arial"/>
          <w:rtl/>
        </w:rPr>
        <w:t xml:space="preserve">: </w:t>
      </w:r>
      <w:r w:rsidRPr="009E5644">
        <w:rPr>
          <w:rFonts w:cs="Arial" w:hint="cs"/>
          <w:rtl/>
        </w:rPr>
        <w:t>מפני</w:t>
      </w:r>
      <w:r w:rsidRPr="009E5644">
        <w:rPr>
          <w:rFonts w:cs="Arial"/>
          <w:rtl/>
        </w:rPr>
        <w:t xml:space="preserve"> </w:t>
      </w:r>
      <w:r w:rsidRPr="009E5644">
        <w:rPr>
          <w:rFonts w:cs="Arial" w:hint="cs"/>
          <w:rtl/>
        </w:rPr>
        <w:t>תקנת</w:t>
      </w:r>
      <w:r w:rsidRPr="009E5644">
        <w:rPr>
          <w:rFonts w:cs="Arial"/>
          <w:rtl/>
        </w:rPr>
        <w:t xml:space="preserve"> </w:t>
      </w:r>
      <w:r w:rsidRPr="009E5644">
        <w:rPr>
          <w:rFonts w:cs="Arial" w:hint="cs"/>
          <w:rtl/>
        </w:rPr>
        <w:t>סופר</w:t>
      </w:r>
      <w:r w:rsidRPr="009E5644">
        <w:rPr>
          <w:rFonts w:cs="Arial"/>
          <w:rtl/>
        </w:rPr>
        <w:t xml:space="preserve">, </w:t>
      </w:r>
      <w:r w:rsidRPr="009E5644">
        <w:rPr>
          <w:rFonts w:cs="Arial" w:hint="cs"/>
          <w:rtl/>
        </w:rPr>
        <w:t>ור</w:t>
      </w:r>
      <w:r w:rsidRPr="009E5644">
        <w:rPr>
          <w:rFonts w:cs="Arial"/>
          <w:rtl/>
        </w:rPr>
        <w:t>"</w:t>
      </w:r>
      <w:r w:rsidRPr="009E5644">
        <w:rPr>
          <w:rFonts w:cs="Arial" w:hint="cs"/>
          <w:rtl/>
        </w:rPr>
        <w:t>א</w:t>
      </w:r>
      <w:r w:rsidRPr="009E5644">
        <w:rPr>
          <w:rFonts w:cs="Arial"/>
          <w:rtl/>
        </w:rPr>
        <w:t xml:space="preserve"> </w:t>
      </w:r>
      <w:r w:rsidRPr="009E5644">
        <w:rPr>
          <w:rFonts w:cs="Arial" w:hint="cs"/>
          <w:rtl/>
        </w:rPr>
        <w:t>היא</w:t>
      </w:r>
      <w:r w:rsidRPr="009E5644">
        <w:rPr>
          <w:rFonts w:cs="Arial"/>
          <w:rtl/>
        </w:rPr>
        <w:t xml:space="preserve">, </w:t>
      </w:r>
      <w:r w:rsidRPr="009E5644">
        <w:rPr>
          <w:rFonts w:cs="Arial" w:hint="cs"/>
          <w:rtl/>
        </w:rPr>
        <w:t>דאמר</w:t>
      </w:r>
      <w:r w:rsidRPr="009E5644">
        <w:rPr>
          <w:rFonts w:cs="Arial"/>
          <w:rtl/>
        </w:rPr>
        <w:t xml:space="preserve">: </w:t>
      </w:r>
      <w:r w:rsidRPr="009E5644">
        <w:rPr>
          <w:rFonts w:cs="Arial" w:hint="cs"/>
          <w:rtl/>
        </w:rPr>
        <w:t>עדי</w:t>
      </w:r>
      <w:r w:rsidRPr="009E5644">
        <w:rPr>
          <w:rFonts w:cs="Arial"/>
          <w:rtl/>
        </w:rPr>
        <w:t xml:space="preserve"> </w:t>
      </w:r>
      <w:r w:rsidRPr="009E5644">
        <w:rPr>
          <w:rFonts w:cs="Arial" w:hint="cs"/>
          <w:rtl/>
        </w:rPr>
        <w:t>מסירה</w:t>
      </w:r>
      <w:r w:rsidRPr="009E5644">
        <w:rPr>
          <w:rFonts w:cs="Arial"/>
          <w:rtl/>
        </w:rPr>
        <w:t xml:space="preserve"> </w:t>
      </w:r>
      <w:r w:rsidRPr="009E5644">
        <w:rPr>
          <w:rFonts w:cs="Arial" w:hint="cs"/>
          <w:rtl/>
        </w:rPr>
        <w:t>כרתי</w:t>
      </w:r>
      <w:r w:rsidRPr="009E5644">
        <w:rPr>
          <w:rFonts w:cs="Arial"/>
          <w:rtl/>
        </w:rPr>
        <w:t xml:space="preserve">, </w:t>
      </w:r>
      <w:r w:rsidRPr="009E5644">
        <w:rPr>
          <w:rFonts w:cs="Arial" w:hint="cs"/>
          <w:rtl/>
        </w:rPr>
        <w:t>ובדין</w:t>
      </w:r>
      <w:r w:rsidRPr="009E5644">
        <w:rPr>
          <w:rFonts w:cs="Arial"/>
          <w:rtl/>
        </w:rPr>
        <w:t xml:space="preserve"> </w:t>
      </w:r>
      <w:r w:rsidRPr="009E5644">
        <w:rPr>
          <w:rFonts w:cs="Arial" w:hint="cs"/>
          <w:rtl/>
        </w:rPr>
        <w:t>הוא</w:t>
      </w:r>
      <w:r w:rsidRPr="009E5644">
        <w:rPr>
          <w:rFonts w:cs="Arial"/>
          <w:rtl/>
        </w:rPr>
        <w:t xml:space="preserve"> </w:t>
      </w:r>
      <w:r w:rsidRPr="009E5644">
        <w:rPr>
          <w:rFonts w:cs="Arial" w:hint="cs"/>
          <w:rtl/>
        </w:rPr>
        <w:t>דאפי</w:t>
      </w:r>
      <w:r w:rsidRPr="009E5644">
        <w:rPr>
          <w:rFonts w:cs="Arial"/>
          <w:rtl/>
        </w:rPr>
        <w:t xml:space="preserve">' </w:t>
      </w:r>
      <w:r w:rsidRPr="009E5644">
        <w:rPr>
          <w:rFonts w:cs="Arial" w:hint="cs"/>
          <w:rtl/>
        </w:rPr>
        <w:t>טופס</w:t>
      </w:r>
      <w:r w:rsidRPr="009E5644">
        <w:rPr>
          <w:rFonts w:cs="Arial"/>
          <w:rtl/>
        </w:rPr>
        <w:t xml:space="preserve"> </w:t>
      </w:r>
      <w:r w:rsidRPr="009E5644">
        <w:rPr>
          <w:rFonts w:cs="Arial" w:hint="cs"/>
          <w:rtl/>
        </w:rPr>
        <w:t>נמי</w:t>
      </w:r>
      <w:r w:rsidRPr="009E5644">
        <w:rPr>
          <w:rFonts w:cs="Arial"/>
          <w:rtl/>
        </w:rPr>
        <w:t xml:space="preserve"> </w:t>
      </w:r>
      <w:r w:rsidRPr="009E5644">
        <w:rPr>
          <w:rFonts w:cs="Arial" w:hint="cs"/>
          <w:rtl/>
        </w:rPr>
        <w:t>לא</w:t>
      </w:r>
      <w:r w:rsidRPr="009E5644">
        <w:rPr>
          <w:rFonts w:cs="Arial"/>
          <w:rtl/>
        </w:rPr>
        <w:t xml:space="preserve"> </w:t>
      </w:r>
      <w:r w:rsidRPr="009E5644">
        <w:rPr>
          <w:rFonts w:cs="Arial" w:hint="cs"/>
          <w:rtl/>
        </w:rPr>
        <w:t>לכתוב</w:t>
      </w:r>
      <w:r w:rsidRPr="009E5644">
        <w:rPr>
          <w:rFonts w:cs="Arial"/>
          <w:rtl/>
        </w:rPr>
        <w:t xml:space="preserve">, </w:t>
      </w:r>
      <w:r w:rsidRPr="009E5644">
        <w:rPr>
          <w:rFonts w:cs="Arial" w:hint="cs"/>
          <w:rtl/>
        </w:rPr>
        <w:t>ומשום</w:t>
      </w:r>
      <w:r w:rsidRPr="009E5644">
        <w:rPr>
          <w:rFonts w:cs="Arial"/>
          <w:rtl/>
        </w:rPr>
        <w:t xml:space="preserve"> </w:t>
      </w:r>
      <w:r w:rsidRPr="009E5644">
        <w:rPr>
          <w:rFonts w:cs="Arial" w:hint="cs"/>
          <w:rtl/>
        </w:rPr>
        <w:t>תקנת</w:t>
      </w:r>
      <w:r w:rsidRPr="009E5644">
        <w:rPr>
          <w:rFonts w:cs="Arial"/>
          <w:rtl/>
        </w:rPr>
        <w:t xml:space="preserve"> </w:t>
      </w:r>
      <w:r w:rsidRPr="009E5644">
        <w:rPr>
          <w:rFonts w:cs="Arial" w:hint="cs"/>
          <w:rtl/>
        </w:rPr>
        <w:t>סופרים</w:t>
      </w:r>
      <w:r w:rsidRPr="009E5644">
        <w:rPr>
          <w:rFonts w:cs="Arial"/>
          <w:rtl/>
        </w:rPr>
        <w:t xml:space="preserve"> </w:t>
      </w:r>
      <w:r w:rsidRPr="009E5644">
        <w:rPr>
          <w:rFonts w:cs="Arial" w:hint="cs"/>
          <w:rtl/>
        </w:rPr>
        <w:t>שרו</w:t>
      </w:r>
      <w:r w:rsidRPr="009E5644">
        <w:rPr>
          <w:rFonts w:cs="Arial"/>
          <w:rtl/>
        </w:rPr>
        <w:t xml:space="preserve"> </w:t>
      </w:r>
      <w:r w:rsidRPr="009E5644">
        <w:rPr>
          <w:rFonts w:cs="Arial" w:hint="cs"/>
          <w:rtl/>
        </w:rPr>
        <w:t xml:space="preserve">רבנן. </w:t>
      </w:r>
      <w:r w:rsidRPr="009E5644">
        <w:rPr>
          <w:rFonts w:cs="Arial" w:hint="cs"/>
          <w:sz w:val="16"/>
          <w:szCs w:val="16"/>
          <w:rtl/>
        </w:rPr>
        <w:t>(</w:t>
      </w:r>
      <w:r w:rsidRPr="009E5644">
        <w:rPr>
          <w:rFonts w:cs="Arial"/>
          <w:sz w:val="16"/>
          <w:szCs w:val="16"/>
          <w:rtl/>
        </w:rPr>
        <w:t>מכל מקום יש לעיין כיון דכתיבת זמן בגט ליתיה אלא מדרבנן (גיטין יז.)</w:t>
      </w:r>
      <w:r w:rsidR="00316A3B">
        <w:rPr>
          <w:rFonts w:cs="Arial" w:hint="cs"/>
          <w:sz w:val="16"/>
          <w:szCs w:val="16"/>
          <w:rtl/>
        </w:rPr>
        <w:t>,</w:t>
      </w:r>
      <w:r w:rsidRPr="009E5644">
        <w:rPr>
          <w:rFonts w:cs="Arial"/>
          <w:sz w:val="16"/>
          <w:szCs w:val="16"/>
          <w:rtl/>
        </w:rPr>
        <w:t xml:space="preserve"> כל ששאר התורף נכתב כהלכתו </w:t>
      </w:r>
      <w:r w:rsidR="00A82951">
        <w:rPr>
          <w:rFonts w:cs="Arial" w:hint="cs"/>
          <w:sz w:val="16"/>
          <w:szCs w:val="16"/>
          <w:rtl/>
        </w:rPr>
        <w:t>-</w:t>
      </w:r>
      <w:r w:rsidR="00316A3B">
        <w:rPr>
          <w:rFonts w:cs="Arial" w:hint="cs"/>
          <w:sz w:val="16"/>
          <w:szCs w:val="16"/>
          <w:rtl/>
        </w:rPr>
        <w:t xml:space="preserve"> </w:t>
      </w:r>
      <w:r w:rsidRPr="009E5644">
        <w:rPr>
          <w:rFonts w:cs="Arial"/>
          <w:sz w:val="16"/>
          <w:szCs w:val="16"/>
          <w:rtl/>
        </w:rPr>
        <w:t>זמן לא יהא לו אלא דין טופס</w:t>
      </w:r>
      <w:r w:rsidR="00316A3B">
        <w:rPr>
          <w:rFonts w:cs="Arial" w:hint="cs"/>
          <w:sz w:val="16"/>
          <w:szCs w:val="16"/>
          <w:rtl/>
        </w:rPr>
        <w:t>,</w:t>
      </w:r>
      <w:r w:rsidRPr="009E5644">
        <w:rPr>
          <w:rFonts w:cs="Arial"/>
          <w:sz w:val="16"/>
          <w:szCs w:val="16"/>
          <w:rtl/>
        </w:rPr>
        <w:t xml:space="preserve"> וצ"ע. ואפשר דאלמוה כאילו היא של תורה</w:t>
      </w:r>
      <w:r w:rsidRPr="009E5644">
        <w:rPr>
          <w:rFonts w:cs="Arial" w:hint="cs"/>
          <w:sz w:val="16"/>
          <w:szCs w:val="16"/>
          <w:rtl/>
        </w:rPr>
        <w:t>,</w:t>
      </w:r>
      <w:r w:rsidRPr="009E5644">
        <w:rPr>
          <w:rFonts w:cs="Arial"/>
          <w:sz w:val="16"/>
          <w:szCs w:val="16"/>
          <w:rtl/>
        </w:rPr>
        <w:t xml:space="preserve"> כדאשכחן במוקדם לדעת הרא"ש</w:t>
      </w:r>
      <w:r w:rsidRPr="009E5644">
        <w:rPr>
          <w:rFonts w:cs="Arial" w:hint="cs"/>
          <w:sz w:val="16"/>
          <w:szCs w:val="16"/>
          <w:rtl/>
        </w:rPr>
        <w:t>,</w:t>
      </w:r>
      <w:r w:rsidRPr="009E5644">
        <w:rPr>
          <w:rFonts w:cs="Arial"/>
          <w:sz w:val="16"/>
          <w:szCs w:val="16"/>
          <w:rtl/>
        </w:rPr>
        <w:t xml:space="preserve"> וכמו שכתבתי בסימן קכ"ז (יט: ד"ה וכתב)</w:t>
      </w:r>
      <w:r w:rsidRPr="009E5644">
        <w:rPr>
          <w:rFonts w:cs="Arial" w:hint="cs"/>
          <w:sz w:val="16"/>
          <w:szCs w:val="16"/>
          <w:rtl/>
        </w:rPr>
        <w:t>, ב"י)</w:t>
      </w:r>
    </w:p>
    <w:p w14:paraId="23EE7240" w14:textId="76B92182" w:rsidR="009B2D8B" w:rsidRPr="00C10E81" w:rsidRDefault="009B2D8B" w:rsidP="00C10E81">
      <w:pPr>
        <w:rPr>
          <w:rFonts w:cs="Arial"/>
          <w:sz w:val="16"/>
          <w:szCs w:val="16"/>
          <w:rtl/>
        </w:rPr>
      </w:pPr>
      <w:r w:rsidRPr="00F155DF">
        <w:rPr>
          <w:rFonts w:cs="Arial" w:hint="cs"/>
          <w:b/>
          <w:bCs/>
          <w:rtl/>
        </w:rPr>
        <w:t xml:space="preserve">ירושלמי גיטין פ"ג ה"ב: </w:t>
      </w:r>
      <w:r w:rsidRPr="00F155DF">
        <w:rPr>
          <w:rFonts w:cs="Arial" w:hint="cs"/>
          <w:u w:val="single"/>
          <w:rtl/>
        </w:rPr>
        <w:t>רבי</w:t>
      </w:r>
      <w:r w:rsidRPr="00F155DF">
        <w:rPr>
          <w:rFonts w:cs="Arial"/>
          <w:u w:val="single"/>
          <w:rtl/>
        </w:rPr>
        <w:t xml:space="preserve"> </w:t>
      </w:r>
      <w:r w:rsidRPr="00F155DF">
        <w:rPr>
          <w:rFonts w:cs="Arial" w:hint="cs"/>
          <w:u w:val="single"/>
          <w:rtl/>
        </w:rPr>
        <w:t>ירמיה</w:t>
      </w:r>
      <w:r w:rsidRPr="00F155DF">
        <w:rPr>
          <w:rFonts w:cs="Arial"/>
          <w:u w:val="single"/>
          <w:rtl/>
        </w:rPr>
        <w:t xml:space="preserve"> </w:t>
      </w:r>
      <w:r w:rsidRPr="00F155DF">
        <w:rPr>
          <w:rFonts w:cs="Arial" w:hint="cs"/>
          <w:u w:val="single"/>
          <w:rtl/>
        </w:rPr>
        <w:t>בשם</w:t>
      </w:r>
      <w:r w:rsidRPr="00F155DF">
        <w:rPr>
          <w:rFonts w:cs="Arial"/>
          <w:u w:val="single"/>
          <w:rtl/>
        </w:rPr>
        <w:t xml:space="preserve"> </w:t>
      </w:r>
      <w:r w:rsidRPr="00F155DF">
        <w:rPr>
          <w:rFonts w:cs="Arial" w:hint="cs"/>
          <w:u w:val="single"/>
          <w:rtl/>
        </w:rPr>
        <w:t>ר</w:t>
      </w:r>
      <w:r w:rsidRPr="00F155DF">
        <w:rPr>
          <w:rFonts w:cs="Arial"/>
          <w:u w:val="single"/>
          <w:rtl/>
        </w:rPr>
        <w:t xml:space="preserve">' </w:t>
      </w:r>
      <w:r w:rsidRPr="00F155DF">
        <w:rPr>
          <w:rFonts w:cs="Arial" w:hint="cs"/>
          <w:u w:val="single"/>
          <w:rtl/>
        </w:rPr>
        <w:t>זעירה</w:t>
      </w:r>
      <w:r w:rsidRPr="00F155DF">
        <w:rPr>
          <w:rFonts w:cs="Arial" w:hint="cs"/>
          <w:rtl/>
        </w:rPr>
        <w:t>:</w:t>
      </w:r>
      <w:r w:rsidRPr="00F155DF">
        <w:rPr>
          <w:rFonts w:cs="Arial"/>
          <w:rtl/>
        </w:rPr>
        <w:t xml:space="preserve"> </w:t>
      </w:r>
      <w:r w:rsidRPr="00F155DF">
        <w:rPr>
          <w:rFonts w:cs="Arial" w:hint="cs"/>
          <w:rtl/>
        </w:rPr>
        <w:t>מפסולו</w:t>
      </w:r>
      <w:r w:rsidRPr="00F155DF">
        <w:rPr>
          <w:rFonts w:cs="Arial"/>
          <w:rtl/>
        </w:rPr>
        <w:t xml:space="preserve"> </w:t>
      </w:r>
      <w:r w:rsidRPr="00F155DF">
        <w:rPr>
          <w:rFonts w:cs="Arial" w:hint="cs"/>
          <w:rtl/>
        </w:rPr>
        <w:t>את</w:t>
      </w:r>
      <w:r w:rsidRPr="00F155DF">
        <w:rPr>
          <w:rFonts w:cs="Arial"/>
          <w:rtl/>
        </w:rPr>
        <w:t xml:space="preserve"> </w:t>
      </w:r>
      <w:r w:rsidRPr="00F155DF">
        <w:rPr>
          <w:rFonts w:cs="Arial" w:hint="cs"/>
          <w:rtl/>
        </w:rPr>
        <w:t>למד</w:t>
      </w:r>
      <w:r w:rsidRPr="00F155DF">
        <w:rPr>
          <w:rFonts w:cs="Arial"/>
          <w:rtl/>
        </w:rPr>
        <w:t xml:space="preserve"> </w:t>
      </w:r>
      <w:r w:rsidRPr="00F155DF">
        <w:rPr>
          <w:rFonts w:cs="Arial" w:hint="cs"/>
          <w:rtl/>
        </w:rPr>
        <w:t>הכשירו.</w:t>
      </w:r>
      <w:r w:rsidRPr="00F155DF">
        <w:rPr>
          <w:rFonts w:cs="Arial"/>
          <w:rtl/>
        </w:rPr>
        <w:t xml:space="preserve"> </w:t>
      </w:r>
      <w:r w:rsidRPr="00F155DF">
        <w:rPr>
          <w:rFonts w:cs="Arial" w:hint="cs"/>
          <w:rtl/>
        </w:rPr>
        <w:t>אילו</w:t>
      </w:r>
      <w:r w:rsidRPr="00F155DF">
        <w:rPr>
          <w:rFonts w:cs="Arial"/>
          <w:rtl/>
        </w:rPr>
        <w:t xml:space="preserve"> </w:t>
      </w:r>
      <w:r w:rsidRPr="00F155DF">
        <w:rPr>
          <w:rFonts w:cs="Arial" w:hint="cs"/>
          <w:rtl/>
        </w:rPr>
        <w:t>כתב</w:t>
      </w:r>
      <w:r w:rsidRPr="00F155DF">
        <w:rPr>
          <w:rFonts w:cs="Arial"/>
          <w:rtl/>
        </w:rPr>
        <w:t xml:space="preserve"> </w:t>
      </w:r>
      <w:r w:rsidRPr="00F155DF">
        <w:rPr>
          <w:rFonts w:cs="Arial" w:hint="cs"/>
          <w:rtl/>
        </w:rPr>
        <w:t>כולו</w:t>
      </w:r>
      <w:r w:rsidRPr="00F155DF">
        <w:rPr>
          <w:rFonts w:cs="Arial"/>
          <w:rtl/>
        </w:rPr>
        <w:t xml:space="preserve"> </w:t>
      </w:r>
      <w:r w:rsidRPr="00F155DF">
        <w:rPr>
          <w:rFonts w:cs="Arial" w:hint="cs"/>
          <w:rtl/>
        </w:rPr>
        <w:t>לשמה</w:t>
      </w:r>
      <w:r w:rsidRPr="00F155DF">
        <w:rPr>
          <w:rFonts w:cs="Arial"/>
          <w:rtl/>
        </w:rPr>
        <w:t xml:space="preserve"> </w:t>
      </w:r>
      <w:r w:rsidRPr="00F155DF">
        <w:rPr>
          <w:rFonts w:cs="Arial" w:hint="cs"/>
          <w:rtl/>
        </w:rPr>
        <w:t>ושם</w:t>
      </w:r>
      <w:r w:rsidRPr="00F155DF">
        <w:rPr>
          <w:rFonts w:cs="Arial"/>
          <w:rtl/>
        </w:rPr>
        <w:t xml:space="preserve"> </w:t>
      </w:r>
      <w:r w:rsidRPr="00F155DF">
        <w:rPr>
          <w:rFonts w:cs="Arial" w:hint="cs"/>
          <w:rtl/>
        </w:rPr>
        <w:t>האיש</w:t>
      </w:r>
      <w:r w:rsidRPr="00F155DF">
        <w:rPr>
          <w:rFonts w:cs="Arial"/>
          <w:rtl/>
        </w:rPr>
        <w:t xml:space="preserve"> </w:t>
      </w:r>
      <w:r w:rsidRPr="00F155DF">
        <w:rPr>
          <w:rFonts w:cs="Arial" w:hint="cs"/>
          <w:rtl/>
        </w:rPr>
        <w:t>ושם</w:t>
      </w:r>
      <w:r w:rsidRPr="00F155DF">
        <w:rPr>
          <w:rFonts w:cs="Arial"/>
          <w:rtl/>
        </w:rPr>
        <w:t xml:space="preserve"> </w:t>
      </w:r>
      <w:r w:rsidRPr="00F155DF">
        <w:rPr>
          <w:rFonts w:cs="Arial" w:hint="cs"/>
          <w:rtl/>
        </w:rPr>
        <w:t>האשה</w:t>
      </w:r>
      <w:r w:rsidRPr="00F155DF">
        <w:rPr>
          <w:rFonts w:cs="Arial"/>
          <w:rtl/>
        </w:rPr>
        <w:t xml:space="preserve"> </w:t>
      </w:r>
      <w:r w:rsidRPr="00F155DF">
        <w:rPr>
          <w:rFonts w:cs="Arial" w:hint="cs"/>
          <w:rtl/>
        </w:rPr>
        <w:t>שלא</w:t>
      </w:r>
      <w:r w:rsidRPr="00F155DF">
        <w:rPr>
          <w:rFonts w:cs="Arial"/>
          <w:rtl/>
        </w:rPr>
        <w:t xml:space="preserve"> </w:t>
      </w:r>
      <w:r w:rsidRPr="00F155DF">
        <w:rPr>
          <w:rFonts w:cs="Arial" w:hint="cs"/>
          <w:rtl/>
        </w:rPr>
        <w:t>לשמה</w:t>
      </w:r>
      <w:r w:rsidRPr="00F155DF">
        <w:rPr>
          <w:rFonts w:cs="Arial"/>
          <w:rtl/>
        </w:rPr>
        <w:t xml:space="preserve"> </w:t>
      </w:r>
      <w:r w:rsidR="00A82951">
        <w:rPr>
          <w:rFonts w:cs="Arial" w:hint="cs"/>
          <w:rtl/>
        </w:rPr>
        <w:t>-</w:t>
      </w:r>
      <w:r w:rsidRPr="00F155DF">
        <w:rPr>
          <w:rFonts w:cs="Arial" w:hint="cs"/>
          <w:rtl/>
        </w:rPr>
        <w:t xml:space="preserve"> שמא</w:t>
      </w:r>
      <w:r w:rsidRPr="00F155DF">
        <w:rPr>
          <w:rFonts w:cs="Arial"/>
          <w:rtl/>
        </w:rPr>
        <w:t xml:space="preserve"> </w:t>
      </w:r>
      <w:r w:rsidRPr="00F155DF">
        <w:rPr>
          <w:rFonts w:cs="Arial" w:hint="cs"/>
          <w:rtl/>
        </w:rPr>
        <w:t>אינו</w:t>
      </w:r>
      <w:r w:rsidRPr="00F155DF">
        <w:rPr>
          <w:rFonts w:cs="Arial"/>
          <w:rtl/>
        </w:rPr>
        <w:t xml:space="preserve"> </w:t>
      </w:r>
      <w:r w:rsidRPr="00F155DF">
        <w:rPr>
          <w:rFonts w:cs="Arial" w:hint="cs"/>
          <w:rtl/>
        </w:rPr>
        <w:t>פסול</w:t>
      </w:r>
      <w:r w:rsidRPr="00F155DF">
        <w:rPr>
          <w:rFonts w:cs="Arial"/>
          <w:rtl/>
        </w:rPr>
        <w:t xml:space="preserve">. </w:t>
      </w:r>
      <w:r w:rsidRPr="00F155DF">
        <w:rPr>
          <w:rFonts w:cs="Arial" w:hint="cs"/>
          <w:rtl/>
        </w:rPr>
        <w:t>ודכוותה</w:t>
      </w:r>
      <w:r w:rsidRPr="00F155DF">
        <w:rPr>
          <w:rFonts w:cs="Arial"/>
          <w:rtl/>
        </w:rPr>
        <w:t xml:space="preserve"> </w:t>
      </w:r>
      <w:r w:rsidRPr="00F155DF">
        <w:rPr>
          <w:rFonts w:cs="Arial" w:hint="cs"/>
          <w:rtl/>
        </w:rPr>
        <w:t>כתב</w:t>
      </w:r>
      <w:r w:rsidRPr="00F155DF">
        <w:rPr>
          <w:rFonts w:cs="Arial"/>
          <w:rtl/>
        </w:rPr>
        <w:t xml:space="preserve"> </w:t>
      </w:r>
      <w:r w:rsidRPr="00F155DF">
        <w:rPr>
          <w:rFonts w:cs="Arial" w:hint="cs"/>
          <w:rtl/>
        </w:rPr>
        <w:t>כולו</w:t>
      </w:r>
      <w:r w:rsidRPr="00F155DF">
        <w:rPr>
          <w:rFonts w:cs="Arial"/>
          <w:rtl/>
        </w:rPr>
        <w:t xml:space="preserve"> </w:t>
      </w:r>
      <w:r w:rsidRPr="00F155DF">
        <w:rPr>
          <w:rFonts w:cs="Arial" w:hint="cs"/>
          <w:rtl/>
        </w:rPr>
        <w:t>שלא</w:t>
      </w:r>
      <w:r w:rsidRPr="00F155DF">
        <w:rPr>
          <w:rFonts w:cs="Arial"/>
          <w:rtl/>
        </w:rPr>
        <w:t xml:space="preserve"> </w:t>
      </w:r>
      <w:r w:rsidRPr="00F155DF">
        <w:rPr>
          <w:rFonts w:cs="Arial" w:hint="cs"/>
          <w:rtl/>
        </w:rPr>
        <w:t>לשמה,</w:t>
      </w:r>
      <w:r w:rsidRPr="00F155DF">
        <w:rPr>
          <w:rFonts w:cs="Arial"/>
          <w:rtl/>
        </w:rPr>
        <w:t xml:space="preserve"> </w:t>
      </w:r>
      <w:r w:rsidRPr="00F155DF">
        <w:rPr>
          <w:rFonts w:cs="Arial" w:hint="cs"/>
          <w:rtl/>
        </w:rPr>
        <w:t>ושם</w:t>
      </w:r>
      <w:r w:rsidRPr="00F155DF">
        <w:rPr>
          <w:rFonts w:cs="Arial"/>
          <w:rtl/>
        </w:rPr>
        <w:t xml:space="preserve"> </w:t>
      </w:r>
      <w:r w:rsidRPr="00F155DF">
        <w:rPr>
          <w:rFonts w:cs="Arial" w:hint="cs"/>
          <w:rtl/>
        </w:rPr>
        <w:t>האיש</w:t>
      </w:r>
      <w:r w:rsidRPr="00F155DF">
        <w:rPr>
          <w:rFonts w:cs="Arial"/>
          <w:rtl/>
        </w:rPr>
        <w:t xml:space="preserve"> </w:t>
      </w:r>
      <w:r w:rsidRPr="00F155DF">
        <w:rPr>
          <w:rFonts w:cs="Arial" w:hint="cs"/>
          <w:rtl/>
        </w:rPr>
        <w:t>ושם</w:t>
      </w:r>
      <w:r w:rsidRPr="00F155DF">
        <w:rPr>
          <w:rFonts w:cs="Arial"/>
          <w:rtl/>
        </w:rPr>
        <w:t xml:space="preserve"> </w:t>
      </w:r>
      <w:r w:rsidRPr="00F155DF">
        <w:rPr>
          <w:rFonts w:cs="Arial" w:hint="cs"/>
          <w:rtl/>
        </w:rPr>
        <w:t>האשה</w:t>
      </w:r>
      <w:r w:rsidRPr="00F155DF">
        <w:rPr>
          <w:rFonts w:cs="Arial"/>
          <w:rtl/>
        </w:rPr>
        <w:t xml:space="preserve"> </w:t>
      </w:r>
      <w:r w:rsidRPr="00F155DF">
        <w:rPr>
          <w:rFonts w:cs="Arial" w:hint="cs"/>
          <w:rtl/>
        </w:rPr>
        <w:t>לשמה</w:t>
      </w:r>
      <w:r w:rsidRPr="00F155DF">
        <w:rPr>
          <w:rFonts w:cs="Arial"/>
          <w:rtl/>
        </w:rPr>
        <w:t xml:space="preserve"> </w:t>
      </w:r>
      <w:r w:rsidR="00A82951">
        <w:rPr>
          <w:rFonts w:cs="Arial" w:hint="cs"/>
          <w:rtl/>
        </w:rPr>
        <w:t>-</w:t>
      </w:r>
      <w:r w:rsidRPr="00F155DF">
        <w:rPr>
          <w:rFonts w:cs="Arial" w:hint="cs"/>
          <w:rtl/>
        </w:rPr>
        <w:t xml:space="preserve"> כשר</w:t>
      </w:r>
      <w:r w:rsidRPr="00F155DF">
        <w:rPr>
          <w:rFonts w:cs="Arial"/>
          <w:rtl/>
        </w:rPr>
        <w:t xml:space="preserve">. </w:t>
      </w:r>
      <w:r w:rsidRPr="00F155DF">
        <w:rPr>
          <w:rFonts w:cs="Arial" w:hint="cs"/>
          <w:sz w:val="16"/>
          <w:szCs w:val="16"/>
          <w:rtl/>
        </w:rPr>
        <w:t>(ו</w:t>
      </w:r>
      <w:r w:rsidRPr="00F155DF">
        <w:rPr>
          <w:rFonts w:cs="Arial"/>
          <w:sz w:val="16"/>
          <w:szCs w:val="16"/>
          <w:rtl/>
        </w:rPr>
        <w:t>כתב בהג</w:t>
      </w:r>
      <w:r w:rsidRPr="00F155DF">
        <w:rPr>
          <w:rFonts w:cs="Arial" w:hint="cs"/>
          <w:sz w:val="16"/>
          <w:szCs w:val="16"/>
          <w:rtl/>
        </w:rPr>
        <w:t>"</w:t>
      </w:r>
      <w:r w:rsidRPr="00F155DF">
        <w:rPr>
          <w:rFonts w:cs="Arial"/>
          <w:sz w:val="16"/>
          <w:szCs w:val="16"/>
          <w:rtl/>
        </w:rPr>
        <w:t xml:space="preserve">א </w:t>
      </w:r>
      <w:r w:rsidRPr="00F155DF">
        <w:rPr>
          <w:rFonts w:cs="Arial" w:hint="cs"/>
          <w:sz w:val="16"/>
          <w:szCs w:val="16"/>
          <w:rtl/>
        </w:rPr>
        <w:t>(</w:t>
      </w:r>
      <w:r w:rsidRPr="00F155DF">
        <w:rPr>
          <w:rFonts w:cs="Arial"/>
          <w:sz w:val="16"/>
          <w:szCs w:val="16"/>
          <w:rtl/>
        </w:rPr>
        <w:t>פ</w:t>
      </w:r>
      <w:r w:rsidRPr="00F155DF">
        <w:rPr>
          <w:rFonts w:cs="Arial" w:hint="cs"/>
          <w:sz w:val="16"/>
          <w:szCs w:val="16"/>
          <w:rtl/>
        </w:rPr>
        <w:t>"</w:t>
      </w:r>
      <w:r w:rsidRPr="00F155DF">
        <w:rPr>
          <w:rFonts w:cs="Arial"/>
          <w:sz w:val="16"/>
          <w:szCs w:val="16"/>
          <w:rtl/>
        </w:rPr>
        <w:t>ב דגיטין סי' יז)</w:t>
      </w:r>
      <w:r w:rsidRPr="00F155DF">
        <w:rPr>
          <w:rFonts w:cs="Arial" w:hint="cs"/>
          <w:sz w:val="16"/>
          <w:szCs w:val="16"/>
          <w:rtl/>
        </w:rPr>
        <w:t xml:space="preserve"> ירושלמי זה, וכתב ד</w:t>
      </w:r>
      <w:r w:rsidRPr="00F155DF">
        <w:rPr>
          <w:rFonts w:cs="Arial"/>
          <w:sz w:val="16"/>
          <w:szCs w:val="16"/>
          <w:rtl/>
        </w:rPr>
        <w:t xml:space="preserve">משמע אפילו כתב </w:t>
      </w:r>
      <w:r w:rsidRPr="00F155DF">
        <w:rPr>
          <w:rFonts w:cs="Arial" w:hint="cs"/>
          <w:sz w:val="16"/>
          <w:szCs w:val="16"/>
          <w:rtl/>
        </w:rPr>
        <w:t>'</w:t>
      </w:r>
      <w:r w:rsidRPr="00F155DF">
        <w:rPr>
          <w:rFonts w:cs="Arial"/>
          <w:sz w:val="16"/>
          <w:szCs w:val="16"/>
          <w:rtl/>
        </w:rPr>
        <w:t>הרי את מותרת לכל אדם</w:t>
      </w:r>
      <w:r w:rsidRPr="00F155DF">
        <w:rPr>
          <w:rFonts w:cs="Arial" w:hint="cs"/>
          <w:sz w:val="16"/>
          <w:szCs w:val="16"/>
          <w:rtl/>
        </w:rPr>
        <w:t>'</w:t>
      </w:r>
      <w:r w:rsidRPr="00F155DF">
        <w:rPr>
          <w:rFonts w:cs="Arial"/>
          <w:sz w:val="16"/>
          <w:szCs w:val="16"/>
          <w:rtl/>
        </w:rPr>
        <w:t xml:space="preserve"> שלא לשמה כשר</w:t>
      </w:r>
      <w:r w:rsidRPr="00F155DF">
        <w:rPr>
          <w:rFonts w:cs="Arial" w:hint="cs"/>
          <w:sz w:val="16"/>
          <w:szCs w:val="16"/>
          <w:rtl/>
        </w:rPr>
        <w:t>.</w:t>
      </w:r>
      <w:r w:rsidRPr="00F155DF">
        <w:rPr>
          <w:rFonts w:cs="Arial"/>
          <w:sz w:val="16"/>
          <w:szCs w:val="16"/>
          <w:rtl/>
        </w:rPr>
        <w:t xml:space="preserve"> ופליג אדשמואל דפ</w:t>
      </w:r>
      <w:r>
        <w:rPr>
          <w:rFonts w:cs="Arial" w:hint="cs"/>
          <w:sz w:val="16"/>
          <w:szCs w:val="16"/>
          <w:rtl/>
        </w:rPr>
        <w:t>'</w:t>
      </w:r>
      <w:r w:rsidRPr="00F155DF">
        <w:rPr>
          <w:rFonts w:cs="Arial"/>
          <w:sz w:val="16"/>
          <w:szCs w:val="16"/>
          <w:rtl/>
        </w:rPr>
        <w:t xml:space="preserve"> כל הגט (שם) דלדידיה גם הרי את מותרת לכל אדם צריך לכתוב לשמה</w:t>
      </w:r>
      <w:r w:rsidRPr="00F155DF">
        <w:rPr>
          <w:rFonts w:cs="Arial" w:hint="cs"/>
          <w:sz w:val="16"/>
          <w:szCs w:val="16"/>
          <w:rtl/>
        </w:rPr>
        <w:t>,</w:t>
      </w:r>
      <w:r w:rsidRPr="00F155DF">
        <w:rPr>
          <w:rFonts w:cs="Arial"/>
          <w:sz w:val="16"/>
          <w:szCs w:val="16"/>
          <w:rtl/>
        </w:rPr>
        <w:t xml:space="preserve"> מאור זרוע</w:t>
      </w:r>
      <w:r w:rsidRPr="00F155DF">
        <w:rPr>
          <w:rFonts w:cs="Arial" w:hint="cs"/>
          <w:sz w:val="16"/>
          <w:szCs w:val="16"/>
          <w:rtl/>
        </w:rPr>
        <w:t>.</w:t>
      </w:r>
      <w:r w:rsidRPr="00F155DF">
        <w:rPr>
          <w:rFonts w:cs="Arial"/>
          <w:sz w:val="16"/>
          <w:szCs w:val="16"/>
          <w:rtl/>
        </w:rPr>
        <w:t xml:space="preserve"> עכ"ל. ודבר פשוט הוא דלא קיי</w:t>
      </w:r>
      <w:r w:rsidR="00C10E81">
        <w:rPr>
          <w:rFonts w:cs="Arial" w:hint="cs"/>
          <w:sz w:val="16"/>
          <w:szCs w:val="16"/>
          <w:rtl/>
        </w:rPr>
        <w:t>"</w:t>
      </w:r>
      <w:r w:rsidRPr="00F155DF">
        <w:rPr>
          <w:rFonts w:cs="Arial"/>
          <w:sz w:val="16"/>
          <w:szCs w:val="16"/>
          <w:rtl/>
        </w:rPr>
        <w:t>ל כירושלמי במקום גמרא דילן</w:t>
      </w:r>
      <w:r w:rsidRPr="00F155DF">
        <w:rPr>
          <w:rFonts w:cs="Arial" w:hint="cs"/>
          <w:sz w:val="16"/>
          <w:szCs w:val="16"/>
          <w:rtl/>
        </w:rPr>
        <w:t>.</w:t>
      </w:r>
      <w:r w:rsidRPr="00F155DF">
        <w:rPr>
          <w:rFonts w:cs="Arial"/>
          <w:sz w:val="16"/>
          <w:szCs w:val="16"/>
          <w:rtl/>
        </w:rPr>
        <w:t xml:space="preserve"> ומיהו לפי מה שאכתוב בסי</w:t>
      </w:r>
      <w:r>
        <w:rPr>
          <w:rFonts w:cs="Arial" w:hint="cs"/>
          <w:sz w:val="16"/>
          <w:szCs w:val="16"/>
          <w:rtl/>
        </w:rPr>
        <w:t>'</w:t>
      </w:r>
      <w:r w:rsidRPr="00F155DF">
        <w:rPr>
          <w:rFonts w:cs="Arial"/>
          <w:sz w:val="16"/>
          <w:szCs w:val="16"/>
          <w:rtl/>
        </w:rPr>
        <w:t xml:space="preserve"> קכו (ד"ה והרי) שבטופסי הראשונים לא היה כתוב </w:t>
      </w:r>
      <w:r w:rsidR="00C10E81">
        <w:rPr>
          <w:rFonts w:cs="Arial" w:hint="cs"/>
          <w:sz w:val="16"/>
          <w:szCs w:val="16"/>
          <w:rtl/>
        </w:rPr>
        <w:t>'</w:t>
      </w:r>
      <w:r w:rsidRPr="00F155DF">
        <w:rPr>
          <w:rFonts w:cs="Arial"/>
          <w:sz w:val="16"/>
          <w:szCs w:val="16"/>
          <w:rtl/>
        </w:rPr>
        <w:t>הרי את מותרת לכל אדם</w:t>
      </w:r>
      <w:r w:rsidR="00C10E81">
        <w:rPr>
          <w:rFonts w:cs="Arial" w:hint="cs"/>
          <w:sz w:val="16"/>
          <w:szCs w:val="16"/>
          <w:rtl/>
        </w:rPr>
        <w:t>'</w:t>
      </w:r>
      <w:r w:rsidRPr="00F155DF">
        <w:rPr>
          <w:rFonts w:cs="Arial" w:hint="cs"/>
          <w:sz w:val="16"/>
          <w:szCs w:val="16"/>
          <w:rtl/>
        </w:rPr>
        <w:t>,</w:t>
      </w:r>
      <w:r w:rsidRPr="00F155DF">
        <w:rPr>
          <w:rFonts w:cs="Arial"/>
          <w:sz w:val="16"/>
          <w:szCs w:val="16"/>
          <w:rtl/>
        </w:rPr>
        <w:t xml:space="preserve"> יש לחוש לדברי הירושלמי להחמיר אם נתגרשה בגט זה ופשטה ידה וקיבלה קידושין מאחר</w:t>
      </w:r>
      <w:r w:rsidRPr="00F155DF">
        <w:rPr>
          <w:rFonts w:cs="Arial" w:hint="cs"/>
          <w:sz w:val="16"/>
          <w:szCs w:val="16"/>
          <w:rtl/>
        </w:rPr>
        <w:t>, ב"י)</w:t>
      </w:r>
    </w:p>
    <w:p w14:paraId="4C2F1B1A" w14:textId="77777777" w:rsidR="00D93233" w:rsidRPr="00552A46" w:rsidRDefault="00D93233" w:rsidP="00D93233">
      <w:pPr>
        <w:rPr>
          <w:u w:val="single"/>
        </w:rPr>
      </w:pPr>
      <w:r>
        <w:rPr>
          <w:rFonts w:hint="cs"/>
          <w:u w:val="single"/>
          <w:rtl/>
        </w:rPr>
        <w:t>מי יכול לכתוב גט</w:t>
      </w:r>
      <w:r w:rsidRPr="00552A46">
        <w:rPr>
          <w:rFonts w:hint="cs"/>
          <w:u w:val="single"/>
          <w:rtl/>
        </w:rPr>
        <w:t>:</w:t>
      </w:r>
    </w:p>
    <w:p w14:paraId="67FB180F" w14:textId="49D01DB5" w:rsidR="00C00CBE" w:rsidRPr="00C00CBE" w:rsidRDefault="00D93233" w:rsidP="00A65C5F">
      <w:pPr>
        <w:pStyle w:val="ab"/>
        <w:numPr>
          <w:ilvl w:val="0"/>
          <w:numId w:val="37"/>
        </w:numPr>
      </w:pPr>
      <w:r w:rsidRPr="004F0972">
        <w:rPr>
          <w:rFonts w:cs="Arial"/>
          <w:rtl/>
        </w:rPr>
        <w:t xml:space="preserve">רמב"ם </w:t>
      </w:r>
      <w:r w:rsidRPr="004F0972">
        <w:rPr>
          <w:rFonts w:cs="Arial"/>
          <w:sz w:val="16"/>
          <w:szCs w:val="16"/>
          <w:rtl/>
        </w:rPr>
        <w:t>(פ"ג ה</w:t>
      </w:r>
      <w:r>
        <w:rPr>
          <w:rFonts w:cs="Arial" w:hint="cs"/>
          <w:sz w:val="16"/>
          <w:szCs w:val="16"/>
          <w:rtl/>
        </w:rPr>
        <w:t>ט</w:t>
      </w:r>
      <w:r w:rsidRPr="004F0972">
        <w:rPr>
          <w:rFonts w:cs="Arial"/>
          <w:sz w:val="16"/>
          <w:szCs w:val="16"/>
          <w:rtl/>
        </w:rPr>
        <w:t>"</w:t>
      </w:r>
      <w:r>
        <w:rPr>
          <w:rFonts w:cs="Arial" w:hint="cs"/>
          <w:sz w:val="16"/>
          <w:szCs w:val="16"/>
          <w:rtl/>
        </w:rPr>
        <w:t>ו</w:t>
      </w:r>
      <w:r w:rsidRPr="004F0972">
        <w:rPr>
          <w:rFonts w:cs="Arial"/>
          <w:sz w:val="16"/>
          <w:szCs w:val="16"/>
          <w:rtl/>
        </w:rPr>
        <w:t>)</w:t>
      </w:r>
      <w:r w:rsidR="00C00CBE" w:rsidRPr="00C00CBE">
        <w:rPr>
          <w:rFonts w:cs="Arial" w:hint="cs"/>
          <w:rtl/>
        </w:rPr>
        <w:t xml:space="preserve"> </w:t>
      </w:r>
      <w:r w:rsidR="00C00CBE">
        <w:rPr>
          <w:rFonts w:cs="Arial" w:hint="cs"/>
          <w:rtl/>
        </w:rPr>
        <w:t xml:space="preserve">רא"ש </w:t>
      </w:r>
      <w:r w:rsidR="00C00CBE">
        <w:rPr>
          <w:rFonts w:cs="Arial" w:hint="cs"/>
          <w:sz w:val="16"/>
          <w:szCs w:val="16"/>
          <w:rtl/>
        </w:rPr>
        <w:t>(כ"כ הטור בשמו)</w:t>
      </w:r>
      <w:r w:rsidR="00C00CBE">
        <w:rPr>
          <w:rFonts w:cs="Arial" w:hint="cs"/>
          <w:rtl/>
        </w:rPr>
        <w:t xml:space="preserve"> וטור</w:t>
      </w:r>
      <w:r w:rsidR="00A82951">
        <w:rPr>
          <w:rFonts w:cs="Arial" w:hint="cs"/>
          <w:rtl/>
        </w:rPr>
        <w:t>-</w:t>
      </w:r>
      <w:r>
        <w:rPr>
          <w:rFonts w:cs="Arial" w:hint="cs"/>
          <w:rtl/>
        </w:rPr>
        <w:t xml:space="preserve"> </w:t>
      </w:r>
      <w:r w:rsidRPr="00BE7829">
        <w:rPr>
          <w:rFonts w:cs="Arial" w:hint="cs"/>
          <w:rtl/>
        </w:rPr>
        <w:t>הכל</w:t>
      </w:r>
      <w:r w:rsidRPr="00BE7829">
        <w:rPr>
          <w:rFonts w:cs="Arial"/>
          <w:rtl/>
        </w:rPr>
        <w:t xml:space="preserve"> </w:t>
      </w:r>
      <w:r w:rsidRPr="00BE7829">
        <w:rPr>
          <w:rFonts w:cs="Arial" w:hint="cs"/>
          <w:rtl/>
        </w:rPr>
        <w:t>כשרין</w:t>
      </w:r>
      <w:r w:rsidRPr="00BE7829">
        <w:rPr>
          <w:rFonts w:cs="Arial"/>
          <w:rtl/>
        </w:rPr>
        <w:t xml:space="preserve"> </w:t>
      </w:r>
      <w:r w:rsidRPr="00BE7829">
        <w:rPr>
          <w:rFonts w:cs="Arial" w:hint="cs"/>
          <w:rtl/>
        </w:rPr>
        <w:t>לכתוב</w:t>
      </w:r>
      <w:r w:rsidRPr="00BE7829">
        <w:rPr>
          <w:rFonts w:cs="Arial"/>
          <w:rtl/>
        </w:rPr>
        <w:t xml:space="preserve"> </w:t>
      </w:r>
      <w:r w:rsidRPr="00BE7829">
        <w:rPr>
          <w:rFonts w:cs="Arial" w:hint="cs"/>
          <w:rtl/>
        </w:rPr>
        <w:t>את</w:t>
      </w:r>
      <w:r w:rsidRPr="00BE7829">
        <w:rPr>
          <w:rFonts w:cs="Arial"/>
          <w:rtl/>
        </w:rPr>
        <w:t xml:space="preserve"> </w:t>
      </w:r>
      <w:r w:rsidRPr="00BE7829">
        <w:rPr>
          <w:rFonts w:cs="Arial" w:hint="cs"/>
          <w:rtl/>
        </w:rPr>
        <w:t>הגט</w:t>
      </w:r>
      <w:r w:rsidRPr="00BE7829">
        <w:rPr>
          <w:rFonts w:cs="Arial"/>
          <w:rtl/>
        </w:rPr>
        <w:t xml:space="preserve"> </w:t>
      </w:r>
      <w:r w:rsidRPr="00BE7829">
        <w:rPr>
          <w:rFonts w:cs="Arial" w:hint="cs"/>
          <w:rtl/>
        </w:rPr>
        <w:t>חוץ</w:t>
      </w:r>
      <w:r w:rsidRPr="00BE7829">
        <w:rPr>
          <w:rFonts w:cs="Arial"/>
          <w:rtl/>
        </w:rPr>
        <w:t xml:space="preserve"> </w:t>
      </w:r>
      <w:r w:rsidRPr="00BE7829">
        <w:rPr>
          <w:rFonts w:cs="Arial" w:hint="cs"/>
          <w:rtl/>
        </w:rPr>
        <w:t>מחמשה</w:t>
      </w:r>
      <w:r w:rsidRPr="00BE7829">
        <w:rPr>
          <w:rFonts w:cs="Arial"/>
          <w:rtl/>
        </w:rPr>
        <w:t xml:space="preserve">, </w:t>
      </w:r>
      <w:r w:rsidRPr="00BE7829">
        <w:rPr>
          <w:rFonts w:cs="Arial" w:hint="cs"/>
          <w:rtl/>
        </w:rPr>
        <w:t>גוי</w:t>
      </w:r>
      <w:r w:rsidRPr="00BE7829">
        <w:rPr>
          <w:rFonts w:cs="Arial"/>
          <w:rtl/>
        </w:rPr>
        <w:t xml:space="preserve"> </w:t>
      </w:r>
      <w:r w:rsidRPr="00BE7829">
        <w:rPr>
          <w:rFonts w:cs="Arial" w:hint="cs"/>
          <w:rtl/>
        </w:rPr>
        <w:t>ועבד</w:t>
      </w:r>
      <w:r w:rsidR="00702BAA">
        <w:rPr>
          <w:rStyle w:val="a7"/>
          <w:rFonts w:cs="Arial"/>
          <w:rtl/>
        </w:rPr>
        <w:footnoteReference w:id="394"/>
      </w:r>
      <w:r w:rsidRPr="00BE7829">
        <w:rPr>
          <w:rFonts w:cs="Arial"/>
          <w:rtl/>
        </w:rPr>
        <w:t xml:space="preserve"> </w:t>
      </w:r>
      <w:r w:rsidRPr="00BE7829">
        <w:rPr>
          <w:rFonts w:cs="Arial" w:hint="cs"/>
          <w:rtl/>
        </w:rPr>
        <w:t>וחרש</w:t>
      </w:r>
      <w:r w:rsidRPr="00BE7829">
        <w:rPr>
          <w:rFonts w:cs="Arial"/>
          <w:rtl/>
        </w:rPr>
        <w:t xml:space="preserve"> </w:t>
      </w:r>
      <w:r w:rsidRPr="00BE7829">
        <w:rPr>
          <w:rFonts w:cs="Arial" w:hint="cs"/>
          <w:rtl/>
        </w:rPr>
        <w:t>ושוטה</w:t>
      </w:r>
      <w:r w:rsidRPr="00BE7829">
        <w:rPr>
          <w:rFonts w:cs="Arial"/>
          <w:rtl/>
        </w:rPr>
        <w:t xml:space="preserve"> </w:t>
      </w:r>
      <w:r w:rsidRPr="00BE7829">
        <w:rPr>
          <w:rFonts w:cs="Arial" w:hint="cs"/>
          <w:rtl/>
        </w:rPr>
        <w:t>וקטן</w:t>
      </w:r>
      <w:r w:rsidR="00C00CBE">
        <w:rPr>
          <w:rFonts w:cs="Arial" w:hint="cs"/>
          <w:rtl/>
        </w:rPr>
        <w:t xml:space="preserve"> </w:t>
      </w:r>
      <w:r w:rsidR="00C00CBE">
        <w:rPr>
          <w:rFonts w:cs="Arial" w:hint="cs"/>
          <w:sz w:val="16"/>
          <w:szCs w:val="16"/>
          <w:rtl/>
        </w:rPr>
        <w:t>(ל' הרמב"ם)</w:t>
      </w:r>
      <w:r w:rsidR="007311B0">
        <w:rPr>
          <w:rStyle w:val="a7"/>
          <w:rFonts w:cs="Arial"/>
          <w:rtl/>
        </w:rPr>
        <w:footnoteReference w:id="395"/>
      </w:r>
      <w:r>
        <w:rPr>
          <w:rFonts w:cs="Arial" w:hint="cs"/>
          <w:rtl/>
        </w:rPr>
        <w:t>.</w:t>
      </w:r>
      <w:r w:rsidRPr="00BE7829">
        <w:rPr>
          <w:rFonts w:cs="Arial"/>
          <w:rtl/>
        </w:rPr>
        <w:t xml:space="preserve"> </w:t>
      </w:r>
      <w:r w:rsidR="00980020" w:rsidRPr="007D43B5">
        <w:rPr>
          <w:rFonts w:cs="Arial" w:hint="cs"/>
          <w:color w:val="E36C0A" w:themeColor="accent6" w:themeShade="BF"/>
          <w:rtl/>
        </w:rPr>
        <w:t>(וכ"פ בשו"ע)</w:t>
      </w:r>
    </w:p>
    <w:p w14:paraId="1B5C0D2D" w14:textId="10B98BD0" w:rsidR="00C00CBE" w:rsidRDefault="00C00CBE" w:rsidP="00A65C5F">
      <w:pPr>
        <w:pStyle w:val="ab"/>
        <w:numPr>
          <w:ilvl w:val="0"/>
          <w:numId w:val="37"/>
        </w:numPr>
        <w:rPr>
          <w:rFonts w:cs="Arial"/>
        </w:rPr>
      </w:pPr>
      <w:r>
        <w:rPr>
          <w:rFonts w:cs="Arial" w:hint="cs"/>
          <w:rtl/>
        </w:rPr>
        <w:t xml:space="preserve">רמב"ן </w:t>
      </w:r>
      <w:r w:rsidRPr="00086DAE">
        <w:rPr>
          <w:rFonts w:cs="Arial"/>
          <w:sz w:val="16"/>
          <w:szCs w:val="16"/>
          <w:rtl/>
        </w:rPr>
        <w:t>(בהשמטות למס' גיטין כג. ד"ה דבי)</w:t>
      </w:r>
      <w:r w:rsidRPr="00086DAE">
        <w:rPr>
          <w:rFonts w:cs="Arial"/>
          <w:rtl/>
        </w:rPr>
        <w:t xml:space="preserve"> </w:t>
      </w:r>
      <w:r>
        <w:rPr>
          <w:rFonts w:cs="Arial" w:hint="cs"/>
          <w:rtl/>
        </w:rPr>
        <w:t>ו</w:t>
      </w:r>
      <w:r w:rsidRPr="004F0972">
        <w:rPr>
          <w:rFonts w:cs="Arial"/>
          <w:rtl/>
        </w:rPr>
        <w:t xml:space="preserve">רשב"א </w:t>
      </w:r>
      <w:r w:rsidRPr="00086DAE">
        <w:rPr>
          <w:rFonts w:cs="Arial"/>
          <w:sz w:val="16"/>
          <w:szCs w:val="16"/>
          <w:rtl/>
        </w:rPr>
        <w:t>(גיטין כג. ד"ה אלא מעתה)</w:t>
      </w:r>
      <w:r w:rsidR="00A82951">
        <w:rPr>
          <w:rFonts w:cs="Arial" w:hint="cs"/>
          <w:rtl/>
        </w:rPr>
        <w:t>-</w:t>
      </w:r>
      <w:r>
        <w:rPr>
          <w:rFonts w:cs="Arial" w:hint="cs"/>
          <w:rtl/>
        </w:rPr>
        <w:t xml:space="preserve"> עבד</w:t>
      </w:r>
      <w:r w:rsidRPr="004F0972">
        <w:rPr>
          <w:rFonts w:cs="Arial"/>
          <w:rtl/>
        </w:rPr>
        <w:t xml:space="preserve"> כשר לכתיבה כישראל</w:t>
      </w:r>
      <w:r>
        <w:rPr>
          <w:rFonts w:cs="Arial" w:hint="cs"/>
          <w:rtl/>
        </w:rPr>
        <w:t xml:space="preserve">, </w:t>
      </w:r>
      <w:r w:rsidRPr="004F0972">
        <w:rPr>
          <w:rFonts w:cs="Arial"/>
          <w:rtl/>
        </w:rPr>
        <w:t>דלגבי כתיבה לא קפדינן אבני כריתות</w:t>
      </w:r>
      <w:r>
        <w:rPr>
          <w:rStyle w:val="a7"/>
          <w:rFonts w:cs="Arial"/>
          <w:rtl/>
        </w:rPr>
        <w:footnoteReference w:id="396"/>
      </w:r>
      <w:r w:rsidRPr="004F0972">
        <w:rPr>
          <w:rFonts w:cs="Arial" w:hint="cs"/>
          <w:rtl/>
        </w:rPr>
        <w:t>.</w:t>
      </w:r>
      <w:r w:rsidRPr="004F0972">
        <w:rPr>
          <w:rFonts w:cs="Arial"/>
          <w:rtl/>
        </w:rPr>
        <w:t xml:space="preserve"> </w:t>
      </w:r>
    </w:p>
    <w:p w14:paraId="185305BA" w14:textId="669CB8CA" w:rsidR="00C00CBE" w:rsidRPr="00702BAA" w:rsidRDefault="00C00CBE" w:rsidP="00C00CBE">
      <w:pPr>
        <w:ind w:left="360"/>
        <w:rPr>
          <w:rFonts w:cs="Arial"/>
          <w:u w:val="dotted"/>
        </w:rPr>
      </w:pPr>
      <w:r w:rsidRPr="00702BAA">
        <w:rPr>
          <w:rFonts w:cs="Arial" w:hint="cs"/>
          <w:u w:val="dotted"/>
          <w:rtl/>
        </w:rPr>
        <w:t>ומה הדין</w:t>
      </w:r>
      <w:r w:rsidR="00702BAA">
        <w:rPr>
          <w:rFonts w:cs="Arial" w:hint="cs"/>
          <w:u w:val="dotted"/>
          <w:rtl/>
        </w:rPr>
        <w:t xml:space="preserve"> אם</w:t>
      </w:r>
      <w:r w:rsidR="00702BAA" w:rsidRPr="00702BAA">
        <w:rPr>
          <w:rFonts w:cs="Arial" w:hint="cs"/>
          <w:u w:val="dotted"/>
          <w:rtl/>
        </w:rPr>
        <w:t xml:space="preserve"> כתבו את כל הגט</w:t>
      </w:r>
      <w:r w:rsidR="00702BAA">
        <w:rPr>
          <w:rFonts w:cs="Arial" w:hint="cs"/>
          <w:sz w:val="16"/>
          <w:szCs w:val="16"/>
          <w:u w:val="dotted"/>
          <w:rtl/>
        </w:rPr>
        <w:t xml:space="preserve"> (טופס וטורף)</w:t>
      </w:r>
      <w:r w:rsidR="00702BAA" w:rsidRPr="00702BAA">
        <w:rPr>
          <w:rFonts w:cs="Arial" w:hint="cs"/>
          <w:u w:val="dotted"/>
          <w:rtl/>
        </w:rPr>
        <w:t>:</w:t>
      </w:r>
    </w:p>
    <w:p w14:paraId="3289EE2A" w14:textId="7DCC89F6" w:rsidR="00D93233" w:rsidRDefault="00702BAA" w:rsidP="00A65C5F">
      <w:pPr>
        <w:pStyle w:val="ab"/>
        <w:numPr>
          <w:ilvl w:val="0"/>
          <w:numId w:val="37"/>
        </w:numPr>
      </w:pPr>
      <w:r w:rsidRPr="004F0972">
        <w:rPr>
          <w:rFonts w:cs="Arial"/>
          <w:rtl/>
        </w:rPr>
        <w:t xml:space="preserve">רמב"ם </w:t>
      </w:r>
      <w:r w:rsidRPr="004F0972">
        <w:rPr>
          <w:rFonts w:cs="Arial"/>
          <w:sz w:val="16"/>
          <w:szCs w:val="16"/>
          <w:rtl/>
        </w:rPr>
        <w:t>(פ"ג ה</w:t>
      </w:r>
      <w:r>
        <w:rPr>
          <w:rFonts w:cs="Arial" w:hint="cs"/>
          <w:sz w:val="16"/>
          <w:szCs w:val="16"/>
          <w:rtl/>
        </w:rPr>
        <w:t>ט</w:t>
      </w:r>
      <w:r w:rsidRPr="004F0972">
        <w:rPr>
          <w:rFonts w:cs="Arial"/>
          <w:sz w:val="16"/>
          <w:szCs w:val="16"/>
          <w:rtl/>
        </w:rPr>
        <w:t>"</w:t>
      </w:r>
      <w:r>
        <w:rPr>
          <w:rFonts w:cs="Arial" w:hint="cs"/>
          <w:sz w:val="16"/>
          <w:szCs w:val="16"/>
          <w:rtl/>
        </w:rPr>
        <w:t>ז</w:t>
      </w:r>
      <w:r w:rsidRPr="004F0972">
        <w:rPr>
          <w:rFonts w:cs="Arial"/>
          <w:sz w:val="16"/>
          <w:szCs w:val="16"/>
          <w:rtl/>
        </w:rPr>
        <w:t>)</w:t>
      </w:r>
      <w:r w:rsidR="00A82951">
        <w:rPr>
          <w:rFonts w:cs="Arial" w:hint="cs"/>
          <w:rtl/>
        </w:rPr>
        <w:t>-</w:t>
      </w:r>
      <w:r>
        <w:rPr>
          <w:rFonts w:cs="Arial" w:hint="cs"/>
          <w:rtl/>
        </w:rPr>
        <w:t xml:space="preserve"> </w:t>
      </w:r>
      <w:r w:rsidR="00D93233" w:rsidRPr="00BE7829">
        <w:rPr>
          <w:rFonts w:cs="Arial" w:hint="cs"/>
          <w:rtl/>
        </w:rPr>
        <w:t>ואם</w:t>
      </w:r>
      <w:r w:rsidR="00D93233" w:rsidRPr="00BE7829">
        <w:rPr>
          <w:rFonts w:cs="Arial"/>
          <w:rtl/>
        </w:rPr>
        <w:t xml:space="preserve"> </w:t>
      </w:r>
      <w:r w:rsidR="00D93233" w:rsidRPr="00BE7829">
        <w:rPr>
          <w:rFonts w:cs="Arial" w:hint="cs"/>
          <w:rtl/>
        </w:rPr>
        <w:t>כתב</w:t>
      </w:r>
      <w:r w:rsidR="00D93233" w:rsidRPr="00BE7829">
        <w:rPr>
          <w:rFonts w:cs="Arial"/>
          <w:rtl/>
        </w:rPr>
        <w:t xml:space="preserve"> </w:t>
      </w:r>
      <w:r w:rsidR="00D93233" w:rsidRPr="00BE7829">
        <w:rPr>
          <w:rFonts w:cs="Arial" w:hint="cs"/>
          <w:rtl/>
        </w:rPr>
        <w:t>הגט</w:t>
      </w:r>
      <w:r w:rsidR="00D93233" w:rsidRPr="00BE7829">
        <w:rPr>
          <w:rFonts w:cs="Arial"/>
          <w:rtl/>
        </w:rPr>
        <w:t xml:space="preserve"> </w:t>
      </w:r>
      <w:r w:rsidR="00D93233" w:rsidRPr="00BE7829">
        <w:rPr>
          <w:rFonts w:cs="Arial" w:hint="cs"/>
          <w:rtl/>
        </w:rPr>
        <w:t>אחד</w:t>
      </w:r>
      <w:r w:rsidR="00D93233" w:rsidRPr="00BE7829">
        <w:rPr>
          <w:rFonts w:cs="Arial"/>
          <w:rtl/>
        </w:rPr>
        <w:t xml:space="preserve"> </w:t>
      </w:r>
      <w:r w:rsidR="00D93233" w:rsidRPr="00BE7829">
        <w:rPr>
          <w:rFonts w:cs="Arial" w:hint="cs"/>
          <w:rtl/>
        </w:rPr>
        <w:t>מחמשה</w:t>
      </w:r>
      <w:r w:rsidR="00D93233" w:rsidRPr="00BE7829">
        <w:rPr>
          <w:rFonts w:cs="Arial"/>
          <w:rtl/>
        </w:rPr>
        <w:t xml:space="preserve"> </w:t>
      </w:r>
      <w:r w:rsidR="00D93233" w:rsidRPr="00BE7829">
        <w:rPr>
          <w:rFonts w:cs="Arial" w:hint="cs"/>
          <w:rtl/>
        </w:rPr>
        <w:t>אלו</w:t>
      </w:r>
      <w:r w:rsidR="00D93233" w:rsidRPr="00BE7829">
        <w:rPr>
          <w:rFonts w:cs="Arial"/>
          <w:rtl/>
        </w:rPr>
        <w:t xml:space="preserve"> </w:t>
      </w:r>
      <w:r w:rsidR="00A82951">
        <w:rPr>
          <w:rFonts w:cs="Arial" w:hint="cs"/>
          <w:rtl/>
        </w:rPr>
        <w:t>-</w:t>
      </w:r>
      <w:r w:rsidR="00C10E81">
        <w:rPr>
          <w:rFonts w:cs="Arial" w:hint="cs"/>
          <w:rtl/>
        </w:rPr>
        <w:t xml:space="preserve"> </w:t>
      </w:r>
      <w:r w:rsidR="00D93233" w:rsidRPr="00BE7829">
        <w:rPr>
          <w:rFonts w:cs="Arial" w:hint="cs"/>
          <w:rtl/>
        </w:rPr>
        <w:t>אינו</w:t>
      </w:r>
      <w:r w:rsidR="00D93233" w:rsidRPr="00BE7829">
        <w:rPr>
          <w:rFonts w:cs="Arial"/>
          <w:rtl/>
        </w:rPr>
        <w:t xml:space="preserve"> </w:t>
      </w:r>
      <w:r w:rsidR="00D93233" w:rsidRPr="00BE7829">
        <w:rPr>
          <w:rFonts w:cs="Arial" w:hint="cs"/>
          <w:rtl/>
        </w:rPr>
        <w:t>גט</w:t>
      </w:r>
      <w:r w:rsidR="00C10E81">
        <w:rPr>
          <w:rFonts w:cs="Arial" w:hint="cs"/>
          <w:rtl/>
        </w:rPr>
        <w:t>,</w:t>
      </w:r>
      <w:r w:rsidR="00D93233" w:rsidRPr="00BE7829">
        <w:rPr>
          <w:rFonts w:cs="Arial"/>
          <w:rtl/>
        </w:rPr>
        <w:t xml:space="preserve"> </w:t>
      </w:r>
      <w:r w:rsidR="00D93233" w:rsidRPr="00BE7829">
        <w:rPr>
          <w:rFonts w:cs="Arial" w:hint="cs"/>
          <w:rtl/>
        </w:rPr>
        <w:t>אע</w:t>
      </w:r>
      <w:r w:rsidR="007311B0">
        <w:rPr>
          <w:rFonts w:cs="Arial" w:hint="cs"/>
          <w:rtl/>
        </w:rPr>
        <w:t>"</w:t>
      </w:r>
      <w:r w:rsidR="00D93233" w:rsidRPr="00BE7829">
        <w:rPr>
          <w:rFonts w:cs="Arial" w:hint="cs"/>
          <w:rtl/>
        </w:rPr>
        <w:t>פ</w:t>
      </w:r>
      <w:r w:rsidR="00D93233" w:rsidRPr="00BE7829">
        <w:rPr>
          <w:rFonts w:cs="Arial"/>
          <w:rtl/>
        </w:rPr>
        <w:t xml:space="preserve"> </w:t>
      </w:r>
      <w:r w:rsidR="00D93233" w:rsidRPr="00BE7829">
        <w:rPr>
          <w:rFonts w:cs="Arial" w:hint="cs"/>
          <w:rtl/>
        </w:rPr>
        <w:t>שחתמו</w:t>
      </w:r>
      <w:r w:rsidR="00D93233" w:rsidRPr="00BE7829">
        <w:rPr>
          <w:rFonts w:cs="Arial"/>
          <w:rtl/>
        </w:rPr>
        <w:t xml:space="preserve"> </w:t>
      </w:r>
      <w:r w:rsidR="00D93233" w:rsidRPr="00BE7829">
        <w:rPr>
          <w:rFonts w:cs="Arial" w:hint="cs"/>
          <w:rtl/>
        </w:rPr>
        <w:t>בו</w:t>
      </w:r>
      <w:r w:rsidR="00D93233" w:rsidRPr="00BE7829">
        <w:rPr>
          <w:rFonts w:cs="Arial"/>
          <w:rtl/>
        </w:rPr>
        <w:t xml:space="preserve"> </w:t>
      </w:r>
      <w:r w:rsidR="00D93233" w:rsidRPr="00BE7829">
        <w:rPr>
          <w:rFonts w:cs="Arial" w:hint="cs"/>
          <w:rtl/>
        </w:rPr>
        <w:t>עדים</w:t>
      </w:r>
      <w:r w:rsidR="00D93233" w:rsidRPr="00BE7829">
        <w:rPr>
          <w:rFonts w:cs="Arial"/>
          <w:rtl/>
        </w:rPr>
        <w:t xml:space="preserve"> </w:t>
      </w:r>
      <w:r w:rsidR="00D93233" w:rsidRPr="00BE7829">
        <w:rPr>
          <w:rFonts w:cs="Arial" w:hint="cs"/>
          <w:rtl/>
        </w:rPr>
        <w:t>כשרים</w:t>
      </w:r>
      <w:r w:rsidR="00D93233" w:rsidRPr="00BE7829">
        <w:rPr>
          <w:rFonts w:cs="Arial"/>
          <w:rtl/>
        </w:rPr>
        <w:t xml:space="preserve"> </w:t>
      </w:r>
      <w:r w:rsidR="00D93233" w:rsidRPr="00BE7829">
        <w:rPr>
          <w:rFonts w:cs="Arial" w:hint="cs"/>
          <w:rtl/>
        </w:rPr>
        <w:t>ונמסר</w:t>
      </w:r>
      <w:r w:rsidR="00D93233" w:rsidRPr="00BE7829">
        <w:rPr>
          <w:rFonts w:cs="Arial"/>
          <w:rtl/>
        </w:rPr>
        <w:t xml:space="preserve"> </w:t>
      </w:r>
      <w:r w:rsidR="00D93233" w:rsidRPr="00BE7829">
        <w:rPr>
          <w:rFonts w:cs="Arial" w:hint="cs"/>
          <w:rtl/>
        </w:rPr>
        <w:t>לה</w:t>
      </w:r>
      <w:r w:rsidR="00D93233" w:rsidRPr="00BE7829">
        <w:rPr>
          <w:rFonts w:cs="Arial"/>
          <w:rtl/>
        </w:rPr>
        <w:t xml:space="preserve"> </w:t>
      </w:r>
      <w:r w:rsidR="00D93233" w:rsidRPr="00BE7829">
        <w:rPr>
          <w:rFonts w:cs="Arial" w:hint="cs"/>
          <w:rtl/>
        </w:rPr>
        <w:t>בכשרים</w:t>
      </w:r>
      <w:r w:rsidR="00D93233" w:rsidRPr="00BE7829">
        <w:rPr>
          <w:rFonts w:cs="Arial"/>
          <w:rtl/>
        </w:rPr>
        <w:t>.</w:t>
      </w:r>
      <w:r w:rsidR="007311B0">
        <w:rPr>
          <w:rFonts w:hint="cs"/>
          <w:rtl/>
        </w:rPr>
        <w:t xml:space="preserve"> </w:t>
      </w:r>
      <w:r w:rsidR="007311B0" w:rsidRPr="007D43B5">
        <w:rPr>
          <w:rFonts w:cs="Arial" w:hint="cs"/>
          <w:color w:val="E36C0A" w:themeColor="accent6" w:themeShade="BF"/>
          <w:rtl/>
        </w:rPr>
        <w:t>(וכ"פ בשו"ע</w:t>
      </w:r>
      <w:r w:rsidR="00980020">
        <w:rPr>
          <w:rFonts w:cs="Arial" w:hint="cs"/>
          <w:color w:val="E36C0A" w:themeColor="accent6" w:themeShade="BF"/>
          <w:sz w:val="16"/>
          <w:szCs w:val="16"/>
          <w:rtl/>
        </w:rPr>
        <w:t xml:space="preserve"> </w:t>
      </w:r>
      <w:r w:rsidR="00980020" w:rsidRPr="00980020">
        <w:rPr>
          <w:rFonts w:cs="Arial" w:hint="cs"/>
          <w:color w:val="000000" w:themeColor="text1"/>
          <w:sz w:val="16"/>
          <w:szCs w:val="16"/>
          <w:rtl/>
        </w:rPr>
        <w:t>[</w:t>
      </w:r>
      <w:r w:rsidR="00980020">
        <w:rPr>
          <w:rFonts w:cs="Arial" w:hint="cs"/>
          <w:color w:val="000000" w:themeColor="text1"/>
          <w:sz w:val="16"/>
          <w:szCs w:val="16"/>
          <w:rtl/>
        </w:rPr>
        <w:t>סע' ג</w:t>
      </w:r>
      <w:r w:rsidR="00980020" w:rsidRPr="00980020">
        <w:rPr>
          <w:rFonts w:cs="Arial" w:hint="cs"/>
          <w:color w:val="000000" w:themeColor="text1"/>
          <w:sz w:val="16"/>
          <w:szCs w:val="16"/>
          <w:rtl/>
        </w:rPr>
        <w:t>]</w:t>
      </w:r>
      <w:r w:rsidR="007311B0" w:rsidRPr="007D43B5">
        <w:rPr>
          <w:rFonts w:cs="Arial" w:hint="cs"/>
          <w:color w:val="E36C0A" w:themeColor="accent6" w:themeShade="BF"/>
          <w:rtl/>
        </w:rPr>
        <w:t>)</w:t>
      </w:r>
    </w:p>
    <w:p w14:paraId="17068BA4" w14:textId="5FA559FA" w:rsidR="00980020" w:rsidRPr="00980020" w:rsidRDefault="00980020" w:rsidP="00A65C5F">
      <w:pPr>
        <w:pStyle w:val="ab"/>
        <w:numPr>
          <w:ilvl w:val="0"/>
          <w:numId w:val="37"/>
        </w:numPr>
        <w:rPr>
          <w:rFonts w:cs="Arial"/>
        </w:rPr>
      </w:pPr>
      <w:r w:rsidRPr="008C6D29">
        <w:rPr>
          <w:rFonts w:cs="Arial"/>
          <w:rtl/>
        </w:rPr>
        <w:t>הה</w:t>
      </w:r>
      <w:r>
        <w:rPr>
          <w:rFonts w:cs="Arial" w:hint="cs"/>
          <w:rtl/>
        </w:rPr>
        <w:t>"</w:t>
      </w:r>
      <w:r w:rsidRPr="008C6D29">
        <w:rPr>
          <w:rFonts w:cs="Arial"/>
          <w:rtl/>
        </w:rPr>
        <w:t xml:space="preserve">מ </w:t>
      </w:r>
      <w:r w:rsidRPr="00002CE3">
        <w:rPr>
          <w:rFonts w:cs="Arial" w:hint="cs"/>
          <w:sz w:val="16"/>
          <w:szCs w:val="16"/>
          <w:rtl/>
        </w:rPr>
        <w:t>(</w:t>
      </w:r>
      <w:r w:rsidRPr="00002CE3">
        <w:rPr>
          <w:rFonts w:cs="Arial"/>
          <w:sz w:val="16"/>
          <w:szCs w:val="16"/>
          <w:rtl/>
        </w:rPr>
        <w:t>פ</w:t>
      </w:r>
      <w:r w:rsidRPr="00002CE3">
        <w:rPr>
          <w:rFonts w:cs="Arial" w:hint="cs"/>
          <w:sz w:val="16"/>
          <w:szCs w:val="16"/>
          <w:rtl/>
        </w:rPr>
        <w:t>"</w:t>
      </w:r>
      <w:r w:rsidRPr="00002CE3">
        <w:rPr>
          <w:rFonts w:cs="Arial"/>
          <w:sz w:val="16"/>
          <w:szCs w:val="16"/>
          <w:rtl/>
        </w:rPr>
        <w:t>ג שם</w:t>
      </w:r>
      <w:r w:rsidRPr="00002CE3">
        <w:rPr>
          <w:rFonts w:cs="Arial" w:hint="cs"/>
          <w:sz w:val="16"/>
          <w:szCs w:val="16"/>
          <w:rtl/>
        </w:rPr>
        <w:t>)</w:t>
      </w:r>
      <w:r w:rsidR="00A82951">
        <w:rPr>
          <w:rFonts w:cs="Arial" w:hint="cs"/>
          <w:rtl/>
        </w:rPr>
        <w:t>-</w:t>
      </w:r>
      <w:r w:rsidRPr="008C6D29">
        <w:rPr>
          <w:rFonts w:cs="Arial"/>
          <w:rtl/>
        </w:rPr>
        <w:t xml:space="preserve"> לפוסקים כרב הונא אם כתב תורף יש לומר שהוא פסול ובטל אע</w:t>
      </w:r>
      <w:r>
        <w:rPr>
          <w:rFonts w:cs="Arial" w:hint="cs"/>
          <w:rtl/>
        </w:rPr>
        <w:t>"</w:t>
      </w:r>
      <w:r w:rsidRPr="008C6D29">
        <w:rPr>
          <w:rFonts w:cs="Arial"/>
          <w:rtl/>
        </w:rPr>
        <w:t>פ שישראל עומד על גביו</w:t>
      </w:r>
      <w:r>
        <w:rPr>
          <w:rStyle w:val="a7"/>
          <w:rFonts w:cs="Arial"/>
          <w:rtl/>
        </w:rPr>
        <w:footnoteReference w:id="397"/>
      </w:r>
      <w:r w:rsidRPr="004F0972">
        <w:rPr>
          <w:rFonts w:cs="Arial" w:hint="cs"/>
          <w:rtl/>
        </w:rPr>
        <w:t>.</w:t>
      </w:r>
    </w:p>
    <w:p w14:paraId="09EB419B" w14:textId="2B0DE878" w:rsidR="00D93233" w:rsidRPr="00D93233" w:rsidRDefault="00D93233" w:rsidP="00D93233">
      <w:pPr>
        <w:ind w:left="360"/>
        <w:rPr>
          <w:u w:val="dotted"/>
        </w:rPr>
      </w:pPr>
      <w:r w:rsidRPr="00D93233">
        <w:rPr>
          <w:rFonts w:hint="cs"/>
          <w:u w:val="dotted"/>
          <w:rtl/>
        </w:rPr>
        <w:t xml:space="preserve">ומה הדין </w:t>
      </w:r>
      <w:r w:rsidR="00702BAA">
        <w:rPr>
          <w:rFonts w:hint="cs"/>
          <w:u w:val="dotted"/>
          <w:rtl/>
        </w:rPr>
        <w:t xml:space="preserve">לגבי </w:t>
      </w:r>
      <w:r w:rsidRPr="00D93233">
        <w:rPr>
          <w:rFonts w:hint="cs"/>
          <w:u w:val="dotted"/>
          <w:rtl/>
        </w:rPr>
        <w:t xml:space="preserve">כתיבת </w:t>
      </w:r>
      <w:r w:rsidR="00702BAA">
        <w:rPr>
          <w:rFonts w:hint="cs"/>
          <w:u w:val="dotted"/>
          <w:rtl/>
        </w:rPr>
        <w:t>ה</w:t>
      </w:r>
      <w:r w:rsidRPr="00D93233">
        <w:rPr>
          <w:rFonts w:hint="cs"/>
          <w:u w:val="dotted"/>
          <w:rtl/>
        </w:rPr>
        <w:t>טופס</w:t>
      </w:r>
      <w:r>
        <w:rPr>
          <w:rFonts w:hint="cs"/>
          <w:u w:val="dotted"/>
          <w:rtl/>
        </w:rPr>
        <w:t xml:space="preserve"> </w:t>
      </w:r>
      <w:r w:rsidRPr="00D93233">
        <w:rPr>
          <w:rFonts w:hint="cs"/>
          <w:u w:val="dotted"/>
          <w:rtl/>
        </w:rPr>
        <w:t xml:space="preserve">בלבד: </w:t>
      </w:r>
    </w:p>
    <w:p w14:paraId="462F7F60" w14:textId="078FEDAA" w:rsidR="00D93233" w:rsidRPr="00CF422A" w:rsidRDefault="00664866" w:rsidP="00A65C5F">
      <w:pPr>
        <w:pStyle w:val="ab"/>
        <w:numPr>
          <w:ilvl w:val="0"/>
          <w:numId w:val="37"/>
        </w:numPr>
      </w:pPr>
      <w:r>
        <w:rPr>
          <w:rFonts w:cs="Arial" w:hint="cs"/>
          <w:rtl/>
        </w:rPr>
        <w:t xml:space="preserve">רא"ש </w:t>
      </w:r>
      <w:r>
        <w:rPr>
          <w:rFonts w:cs="Arial" w:hint="cs"/>
          <w:sz w:val="16"/>
          <w:szCs w:val="16"/>
          <w:rtl/>
        </w:rPr>
        <w:t>(כ"כ הטור בשמו)</w:t>
      </w:r>
      <w:r>
        <w:rPr>
          <w:rFonts w:cs="Arial" w:hint="cs"/>
          <w:rtl/>
        </w:rPr>
        <w:t xml:space="preserve"> ו</w:t>
      </w:r>
      <w:r w:rsidR="00D93233">
        <w:rPr>
          <w:rFonts w:cs="Arial" w:hint="cs"/>
          <w:rtl/>
        </w:rPr>
        <w:t>טור</w:t>
      </w:r>
      <w:r w:rsidR="00A82951">
        <w:rPr>
          <w:rFonts w:cs="Arial" w:hint="cs"/>
          <w:rtl/>
        </w:rPr>
        <w:t>-</w:t>
      </w:r>
      <w:r w:rsidR="00D93233">
        <w:rPr>
          <w:rFonts w:cs="Arial" w:hint="cs"/>
          <w:rtl/>
        </w:rPr>
        <w:t xml:space="preserve"> </w:t>
      </w:r>
      <w:r w:rsidR="00D93233" w:rsidRPr="00FC3511">
        <w:rPr>
          <w:rFonts w:cs="Arial"/>
          <w:rtl/>
        </w:rPr>
        <w:t>חש"ו יכולין לכתוב הטופס</w:t>
      </w:r>
      <w:r w:rsidR="00D93233" w:rsidRPr="00FC3511">
        <w:rPr>
          <w:rFonts w:cs="Arial" w:hint="cs"/>
          <w:rtl/>
        </w:rPr>
        <w:t>,</w:t>
      </w:r>
      <w:r w:rsidR="00D93233" w:rsidRPr="00FC3511">
        <w:rPr>
          <w:rFonts w:cs="Arial"/>
          <w:rtl/>
        </w:rPr>
        <w:t xml:space="preserve"> ויעמוד פיקח גדול על גביו ויאמר לו לכתוב לשמו</w:t>
      </w:r>
      <w:r w:rsidR="00D93233" w:rsidRPr="00FC3511">
        <w:rPr>
          <w:rFonts w:cs="Arial" w:hint="cs"/>
          <w:rtl/>
        </w:rPr>
        <w:t>,</w:t>
      </w:r>
      <w:r w:rsidR="00D93233" w:rsidRPr="00FC3511">
        <w:rPr>
          <w:rFonts w:cs="Arial"/>
          <w:rtl/>
        </w:rPr>
        <w:t xml:space="preserve"> ויניחו מקום התורף</w:t>
      </w:r>
      <w:r w:rsidR="00D93233">
        <w:rPr>
          <w:rFonts w:cs="Arial" w:hint="cs"/>
          <w:rtl/>
        </w:rPr>
        <w:t>,</w:t>
      </w:r>
      <w:r w:rsidR="00D93233" w:rsidRPr="00FC3511">
        <w:rPr>
          <w:rFonts w:cs="Arial"/>
          <w:rtl/>
        </w:rPr>
        <w:t xml:space="preserve"> שהוא מקום האיש והאשה ומקום הזמן ומקום </w:t>
      </w:r>
      <w:r w:rsidR="00D93233">
        <w:rPr>
          <w:rFonts w:cs="Arial" w:hint="cs"/>
          <w:rtl/>
        </w:rPr>
        <w:t>'</w:t>
      </w:r>
      <w:r w:rsidR="00D93233" w:rsidRPr="00FC3511">
        <w:rPr>
          <w:rFonts w:cs="Arial"/>
          <w:rtl/>
        </w:rPr>
        <w:t>הרי את מותרת לכל אדם</w:t>
      </w:r>
      <w:r w:rsidR="00D93233">
        <w:rPr>
          <w:rFonts w:cs="Arial" w:hint="cs"/>
          <w:rtl/>
        </w:rPr>
        <w:t>',</w:t>
      </w:r>
      <w:r w:rsidR="00D93233" w:rsidRPr="00FC3511">
        <w:rPr>
          <w:rFonts w:cs="Arial"/>
          <w:rtl/>
        </w:rPr>
        <w:t xml:space="preserve"> שיכתבנו גדול פיקח</w:t>
      </w:r>
      <w:r w:rsidR="00D93233" w:rsidRPr="00FC3511">
        <w:rPr>
          <w:rFonts w:cs="Arial" w:hint="cs"/>
          <w:rtl/>
        </w:rPr>
        <w:t>.</w:t>
      </w:r>
      <w:r w:rsidR="00D93233" w:rsidRPr="00FC3511">
        <w:rPr>
          <w:rFonts w:cs="Arial"/>
          <w:rtl/>
        </w:rPr>
        <w:t xml:space="preserve"> אבל אם אין גדול עומד על גביו</w:t>
      </w:r>
      <w:r w:rsidR="00D93233">
        <w:rPr>
          <w:rFonts w:cs="Arial" w:hint="cs"/>
          <w:rtl/>
        </w:rPr>
        <w:t>,</w:t>
      </w:r>
      <w:r w:rsidR="00D93233" w:rsidRPr="00FC3511">
        <w:rPr>
          <w:rFonts w:cs="Arial"/>
          <w:rtl/>
        </w:rPr>
        <w:t xml:space="preserve"> לא יכתוב אפי' הטופס</w:t>
      </w:r>
      <w:r w:rsidR="00D93233" w:rsidRPr="00FC3511">
        <w:rPr>
          <w:rFonts w:cs="Arial" w:hint="cs"/>
          <w:rtl/>
        </w:rPr>
        <w:t>.</w:t>
      </w:r>
      <w:r w:rsidR="00D93233" w:rsidRPr="00FC3511">
        <w:rPr>
          <w:rFonts w:cs="Arial"/>
          <w:rtl/>
        </w:rPr>
        <w:t xml:space="preserve"> והתורף לא יכתוב אפי' אם גדול עומד על גביו</w:t>
      </w:r>
      <w:r w:rsidR="00D93233" w:rsidRPr="00FC3511">
        <w:rPr>
          <w:rFonts w:cs="Arial" w:hint="cs"/>
          <w:rtl/>
        </w:rPr>
        <w:t>.</w:t>
      </w:r>
      <w:r w:rsidR="00D93233" w:rsidRPr="00FC3511">
        <w:rPr>
          <w:rFonts w:cs="Arial"/>
          <w:rtl/>
        </w:rPr>
        <w:t xml:space="preserve"> אבל </w:t>
      </w:r>
      <w:r w:rsidR="00D93233" w:rsidRPr="00FC3511">
        <w:rPr>
          <w:rFonts w:cs="Arial" w:hint="cs"/>
          <w:rtl/>
        </w:rPr>
        <w:t>גוי</w:t>
      </w:r>
      <w:r w:rsidR="00D93233" w:rsidRPr="00FC3511">
        <w:rPr>
          <w:rFonts w:cs="Arial"/>
          <w:rtl/>
        </w:rPr>
        <w:t xml:space="preserve"> ועבד לא יכתוב אפילו טופס אפילו אם ישראל עומד על גביו</w:t>
      </w:r>
      <w:r w:rsidR="00D93233">
        <w:rPr>
          <w:rStyle w:val="a7"/>
          <w:rFonts w:cs="Arial"/>
          <w:rtl/>
        </w:rPr>
        <w:footnoteReference w:id="398"/>
      </w:r>
      <w:r w:rsidR="00D93233">
        <w:rPr>
          <w:rFonts w:cs="Arial" w:hint="cs"/>
          <w:sz w:val="16"/>
          <w:szCs w:val="16"/>
          <w:rtl/>
        </w:rPr>
        <w:t xml:space="preserve"> (ל' הטור)</w:t>
      </w:r>
      <w:r w:rsidR="00D93233" w:rsidRPr="00FC3511">
        <w:rPr>
          <w:rFonts w:cs="Arial" w:hint="cs"/>
          <w:rtl/>
        </w:rPr>
        <w:t>.</w:t>
      </w:r>
    </w:p>
    <w:p w14:paraId="69F1D8F2" w14:textId="10FECB4E" w:rsidR="00D93233" w:rsidRPr="00FC3511" w:rsidRDefault="00D93233" w:rsidP="00A65C5F">
      <w:pPr>
        <w:pStyle w:val="ab"/>
        <w:numPr>
          <w:ilvl w:val="0"/>
          <w:numId w:val="37"/>
        </w:numPr>
      </w:pPr>
      <w:r w:rsidRPr="004F0972">
        <w:rPr>
          <w:rFonts w:cs="Arial"/>
          <w:rtl/>
        </w:rPr>
        <w:t xml:space="preserve">רמב"ם </w:t>
      </w:r>
      <w:r w:rsidRPr="004F0972">
        <w:rPr>
          <w:rFonts w:cs="Arial"/>
          <w:sz w:val="16"/>
          <w:szCs w:val="16"/>
          <w:rtl/>
        </w:rPr>
        <w:t>(פ"ג ה</w:t>
      </w:r>
      <w:r w:rsidR="007311B0">
        <w:rPr>
          <w:rFonts w:cs="Arial" w:hint="cs"/>
          <w:sz w:val="16"/>
          <w:szCs w:val="16"/>
          <w:rtl/>
        </w:rPr>
        <w:t>י"ז</w:t>
      </w:r>
      <w:r w:rsidR="00A82951">
        <w:rPr>
          <w:rFonts w:cs="Arial" w:hint="cs"/>
          <w:sz w:val="16"/>
          <w:szCs w:val="16"/>
          <w:rtl/>
        </w:rPr>
        <w:t>-</w:t>
      </w:r>
      <w:r>
        <w:rPr>
          <w:rFonts w:cs="Arial" w:hint="cs"/>
          <w:sz w:val="16"/>
          <w:szCs w:val="16"/>
          <w:rtl/>
        </w:rPr>
        <w:t>יח</w:t>
      </w:r>
      <w:r w:rsidRPr="004F0972">
        <w:rPr>
          <w:rFonts w:cs="Arial"/>
          <w:sz w:val="16"/>
          <w:szCs w:val="16"/>
          <w:rtl/>
        </w:rPr>
        <w:t>)</w:t>
      </w:r>
      <w:r w:rsidR="00A82951">
        <w:rPr>
          <w:rFonts w:cs="Arial" w:hint="cs"/>
          <w:rtl/>
        </w:rPr>
        <w:t>-</w:t>
      </w:r>
      <w:r w:rsidRPr="00BE7829">
        <w:rPr>
          <w:rFonts w:cs="Arial"/>
          <w:rtl/>
        </w:rPr>
        <w:t xml:space="preserve"> </w:t>
      </w:r>
      <w:r w:rsidRPr="00F46B10">
        <w:rPr>
          <w:rFonts w:cs="Arial"/>
          <w:rtl/>
        </w:rPr>
        <w:t>כתב אחד מן החמשה טופס הגט והניח מקום התורף</w:t>
      </w:r>
      <w:r>
        <w:rPr>
          <w:rFonts w:cs="Arial" w:hint="cs"/>
          <w:rtl/>
        </w:rPr>
        <w:t>,</w:t>
      </w:r>
      <w:r w:rsidRPr="00F46B10">
        <w:rPr>
          <w:rFonts w:cs="Arial"/>
          <w:rtl/>
        </w:rPr>
        <w:t xml:space="preserve"> שהוא מקום האיש ומקום האשה ומקום הזמן ומקום הרי את מותרת לכל אדם</w:t>
      </w:r>
      <w:r>
        <w:rPr>
          <w:rFonts w:cs="Arial" w:hint="cs"/>
          <w:rtl/>
        </w:rPr>
        <w:t>,</w:t>
      </w:r>
      <w:r w:rsidRPr="00F46B10">
        <w:rPr>
          <w:rFonts w:cs="Arial"/>
          <w:rtl/>
        </w:rPr>
        <w:t xml:space="preserve"> וכתבן הפקח הגדול הישראלי לשמו </w:t>
      </w:r>
      <w:r w:rsidR="00A82951">
        <w:rPr>
          <w:rFonts w:cs="Arial" w:hint="cs"/>
          <w:rtl/>
        </w:rPr>
        <w:t>-</w:t>
      </w:r>
      <w:r>
        <w:rPr>
          <w:rFonts w:cs="Arial" w:hint="cs"/>
          <w:rtl/>
        </w:rPr>
        <w:t xml:space="preserve"> </w:t>
      </w:r>
      <w:r w:rsidRPr="00F46B10">
        <w:rPr>
          <w:rFonts w:cs="Arial"/>
          <w:rtl/>
        </w:rPr>
        <w:t>הרי זה גט כשר</w:t>
      </w:r>
      <w:r>
        <w:rPr>
          <w:rStyle w:val="a7"/>
          <w:rFonts w:cs="Arial"/>
          <w:rtl/>
        </w:rPr>
        <w:footnoteReference w:id="399"/>
      </w:r>
      <w:r w:rsidRPr="00F46B10">
        <w:rPr>
          <w:rFonts w:cs="Arial"/>
          <w:rtl/>
        </w:rPr>
        <w:t>.</w:t>
      </w:r>
      <w:r w:rsidRPr="009F684E">
        <w:rPr>
          <w:rtl/>
        </w:rPr>
        <w:t xml:space="preserve"> </w:t>
      </w:r>
      <w:r w:rsidRPr="009F684E">
        <w:rPr>
          <w:rFonts w:cs="Arial"/>
          <w:rtl/>
        </w:rPr>
        <w:t>מותר להניח חרש שוטה וקטן לכתוב טופס הגט לכתחלה</w:t>
      </w:r>
      <w:r>
        <w:rPr>
          <w:rFonts w:cs="Arial" w:hint="cs"/>
          <w:rtl/>
        </w:rPr>
        <w:t>,</w:t>
      </w:r>
      <w:r w:rsidRPr="009F684E">
        <w:rPr>
          <w:rFonts w:cs="Arial"/>
          <w:rtl/>
        </w:rPr>
        <w:t xml:space="preserve"> והוא שיהיה גדול עומד על גבן</w:t>
      </w:r>
      <w:r>
        <w:rPr>
          <w:rFonts w:cs="Arial" w:hint="cs"/>
          <w:rtl/>
        </w:rPr>
        <w:t>.</w:t>
      </w:r>
      <w:r w:rsidRPr="009F684E">
        <w:rPr>
          <w:rFonts w:cs="Arial"/>
          <w:rtl/>
        </w:rPr>
        <w:t xml:space="preserve"> אבל הגוי והעבד אין כותבין הטופס לכתחלה ואפילו ישראל עומד על גבן, שלא התירו לכתוב טופסי גיטין שלא לשמה לכתחלה אלא מפני תקנת סופר כמו שביארנו.</w:t>
      </w:r>
      <w:r w:rsidRPr="007033DA">
        <w:rPr>
          <w:rFonts w:hint="cs"/>
          <w:color w:val="E36C0A" w:themeColor="accent6" w:themeShade="BF"/>
          <w:rtl/>
        </w:rPr>
        <w:t xml:space="preserve"> </w:t>
      </w:r>
      <w:r w:rsidR="00980020" w:rsidRPr="007D43B5">
        <w:rPr>
          <w:rFonts w:cs="Arial" w:hint="cs"/>
          <w:color w:val="E36C0A" w:themeColor="accent6" w:themeShade="BF"/>
          <w:rtl/>
        </w:rPr>
        <w:t>(וכ"פ בשו"ע</w:t>
      </w:r>
      <w:r w:rsidR="00980020">
        <w:rPr>
          <w:rFonts w:cs="Arial" w:hint="cs"/>
          <w:color w:val="E36C0A" w:themeColor="accent6" w:themeShade="BF"/>
          <w:sz w:val="16"/>
          <w:szCs w:val="16"/>
          <w:rtl/>
        </w:rPr>
        <w:t xml:space="preserve"> </w:t>
      </w:r>
      <w:r w:rsidR="00980020" w:rsidRPr="00980020">
        <w:rPr>
          <w:rFonts w:cs="Arial" w:hint="cs"/>
          <w:color w:val="000000" w:themeColor="text1"/>
          <w:sz w:val="16"/>
          <w:szCs w:val="16"/>
          <w:rtl/>
        </w:rPr>
        <w:t>[</w:t>
      </w:r>
      <w:r w:rsidR="00980020">
        <w:rPr>
          <w:rFonts w:cs="Arial" w:hint="cs"/>
          <w:color w:val="000000" w:themeColor="text1"/>
          <w:sz w:val="16"/>
          <w:szCs w:val="16"/>
          <w:rtl/>
        </w:rPr>
        <w:t>סע' ג</w:t>
      </w:r>
      <w:r w:rsidR="00A82951">
        <w:rPr>
          <w:rFonts w:cs="Arial" w:hint="cs"/>
          <w:color w:val="000000" w:themeColor="text1"/>
          <w:sz w:val="16"/>
          <w:szCs w:val="16"/>
          <w:rtl/>
        </w:rPr>
        <w:t>-</w:t>
      </w:r>
      <w:r w:rsidR="00980020">
        <w:rPr>
          <w:rFonts w:cs="Arial" w:hint="cs"/>
          <w:color w:val="000000" w:themeColor="text1"/>
          <w:sz w:val="16"/>
          <w:szCs w:val="16"/>
          <w:rtl/>
        </w:rPr>
        <w:t>ד</w:t>
      </w:r>
      <w:r w:rsidR="00980020" w:rsidRPr="00980020">
        <w:rPr>
          <w:rFonts w:cs="Arial" w:hint="cs"/>
          <w:color w:val="000000" w:themeColor="text1"/>
          <w:sz w:val="16"/>
          <w:szCs w:val="16"/>
          <w:rtl/>
        </w:rPr>
        <w:t>]</w:t>
      </w:r>
      <w:r w:rsidR="00980020" w:rsidRPr="007D43B5">
        <w:rPr>
          <w:rFonts w:cs="Arial" w:hint="cs"/>
          <w:color w:val="E36C0A" w:themeColor="accent6" w:themeShade="BF"/>
          <w:rtl/>
        </w:rPr>
        <w:t>)</w:t>
      </w:r>
    </w:p>
    <w:p w14:paraId="6AE1DD15" w14:textId="00690EFA" w:rsidR="007311B0" w:rsidRDefault="007311B0" w:rsidP="00A65C5F">
      <w:pPr>
        <w:pStyle w:val="ab"/>
        <w:numPr>
          <w:ilvl w:val="0"/>
          <w:numId w:val="37"/>
        </w:numPr>
        <w:rPr>
          <w:rFonts w:cs="Arial"/>
        </w:rPr>
      </w:pPr>
      <w:r w:rsidRPr="00CF422A">
        <w:rPr>
          <w:rFonts w:cs="Arial"/>
          <w:rtl/>
        </w:rPr>
        <w:lastRenderedPageBreak/>
        <w:t>ר"י</w:t>
      </w:r>
      <w:r>
        <w:rPr>
          <w:rFonts w:cs="Arial" w:hint="cs"/>
          <w:sz w:val="16"/>
          <w:szCs w:val="16"/>
          <w:rtl/>
        </w:rPr>
        <w:t xml:space="preserve"> (כ"כ </w:t>
      </w:r>
      <w:r w:rsidR="00633566">
        <w:rPr>
          <w:rFonts w:cs="Arial" w:hint="cs"/>
          <w:sz w:val="16"/>
          <w:szCs w:val="16"/>
          <w:rtl/>
        </w:rPr>
        <w:t>בשמו הטור והב"י</w:t>
      </w:r>
      <w:r>
        <w:rPr>
          <w:rFonts w:cs="Arial" w:hint="cs"/>
          <w:sz w:val="16"/>
          <w:szCs w:val="16"/>
          <w:rtl/>
        </w:rPr>
        <w:t>)</w:t>
      </w:r>
      <w:r w:rsidR="00A82951">
        <w:rPr>
          <w:rFonts w:cs="Arial" w:hint="cs"/>
          <w:rtl/>
        </w:rPr>
        <w:t>-</w:t>
      </w:r>
      <w:r w:rsidRPr="00CF422A">
        <w:rPr>
          <w:rFonts w:cs="Arial"/>
          <w:rtl/>
        </w:rPr>
        <w:t xml:space="preserve"> חש"ו </w:t>
      </w:r>
      <w:r>
        <w:rPr>
          <w:rFonts w:cs="Arial" w:hint="cs"/>
          <w:rtl/>
        </w:rPr>
        <w:t xml:space="preserve">שכתבו </w:t>
      </w:r>
      <w:r w:rsidR="00633566">
        <w:rPr>
          <w:rFonts w:cs="Arial" w:hint="cs"/>
          <w:rtl/>
        </w:rPr>
        <w:t xml:space="preserve">טופס </w:t>
      </w:r>
      <w:r>
        <w:rPr>
          <w:rFonts w:cs="Arial" w:hint="cs"/>
          <w:rtl/>
        </w:rPr>
        <w:t xml:space="preserve">גט, </w:t>
      </w:r>
      <w:r w:rsidRPr="00CF422A">
        <w:rPr>
          <w:rFonts w:cs="Arial"/>
          <w:rtl/>
        </w:rPr>
        <w:t>אפי' גדול עומד על גביו</w:t>
      </w:r>
      <w:r>
        <w:rPr>
          <w:rFonts w:cs="Arial" w:hint="cs"/>
          <w:rtl/>
        </w:rPr>
        <w:t xml:space="preserve"> </w:t>
      </w:r>
      <w:r w:rsidR="00A82951">
        <w:rPr>
          <w:rFonts w:cs="Arial" w:hint="cs"/>
          <w:rtl/>
        </w:rPr>
        <w:t>-</w:t>
      </w:r>
      <w:r>
        <w:rPr>
          <w:rFonts w:cs="Arial" w:hint="cs"/>
          <w:rtl/>
        </w:rPr>
        <w:t xml:space="preserve"> פסול.</w:t>
      </w:r>
      <w:r w:rsidRPr="007311B0">
        <w:rPr>
          <w:rFonts w:cs="Arial" w:hint="cs"/>
          <w:rtl/>
        </w:rPr>
        <w:t xml:space="preserve"> </w:t>
      </w:r>
      <w:r w:rsidR="00664866" w:rsidRPr="00664866">
        <w:rPr>
          <w:rFonts w:cs="Arial" w:hint="cs"/>
          <w:color w:val="00B0F0"/>
          <w:rtl/>
        </w:rPr>
        <w:t xml:space="preserve">(וכ"כ הרמ"א </w:t>
      </w:r>
      <w:r w:rsidR="00664866">
        <w:rPr>
          <w:rFonts w:cs="Arial" w:hint="cs"/>
          <w:sz w:val="16"/>
          <w:szCs w:val="16"/>
          <w:rtl/>
        </w:rPr>
        <w:t>[סע' ג]</w:t>
      </w:r>
      <w:r w:rsidR="00664866" w:rsidRPr="00664866">
        <w:rPr>
          <w:rFonts w:cs="Arial" w:hint="cs"/>
          <w:color w:val="00B0F0"/>
          <w:rtl/>
        </w:rPr>
        <w:t>)</w:t>
      </w:r>
    </w:p>
    <w:p w14:paraId="4A38377D" w14:textId="6ADBB5A4" w:rsidR="00980020" w:rsidRDefault="00D93233" w:rsidP="00A65C5F">
      <w:pPr>
        <w:pStyle w:val="ab"/>
        <w:numPr>
          <w:ilvl w:val="0"/>
          <w:numId w:val="39"/>
        </w:numPr>
        <w:rPr>
          <w:rFonts w:cs="Arial"/>
        </w:rPr>
      </w:pPr>
      <w:r w:rsidRPr="008C6D29">
        <w:rPr>
          <w:rFonts w:cs="Arial"/>
          <w:rtl/>
        </w:rPr>
        <w:t>הה</w:t>
      </w:r>
      <w:r>
        <w:rPr>
          <w:rFonts w:cs="Arial" w:hint="cs"/>
          <w:rtl/>
        </w:rPr>
        <w:t>"</w:t>
      </w:r>
      <w:r w:rsidRPr="008C6D29">
        <w:rPr>
          <w:rFonts w:cs="Arial"/>
          <w:rtl/>
        </w:rPr>
        <w:t xml:space="preserve">מ </w:t>
      </w:r>
      <w:r w:rsidRPr="00002CE3">
        <w:rPr>
          <w:rFonts w:cs="Arial" w:hint="cs"/>
          <w:sz w:val="16"/>
          <w:szCs w:val="16"/>
          <w:rtl/>
        </w:rPr>
        <w:t>(</w:t>
      </w:r>
      <w:r w:rsidRPr="00002CE3">
        <w:rPr>
          <w:rFonts w:cs="Arial"/>
          <w:sz w:val="16"/>
          <w:szCs w:val="16"/>
          <w:rtl/>
        </w:rPr>
        <w:t>פ</w:t>
      </w:r>
      <w:r w:rsidRPr="00002CE3">
        <w:rPr>
          <w:rFonts w:cs="Arial" w:hint="cs"/>
          <w:sz w:val="16"/>
          <w:szCs w:val="16"/>
          <w:rtl/>
        </w:rPr>
        <w:t>"</w:t>
      </w:r>
      <w:r w:rsidRPr="00002CE3">
        <w:rPr>
          <w:rFonts w:cs="Arial"/>
          <w:sz w:val="16"/>
          <w:szCs w:val="16"/>
          <w:rtl/>
        </w:rPr>
        <w:t>ג שם</w:t>
      </w:r>
      <w:r w:rsidRPr="00002CE3">
        <w:rPr>
          <w:rFonts w:cs="Arial" w:hint="cs"/>
          <w:sz w:val="16"/>
          <w:szCs w:val="16"/>
          <w:rtl/>
        </w:rPr>
        <w:t>)</w:t>
      </w:r>
      <w:r w:rsidR="00A82951">
        <w:rPr>
          <w:rFonts w:cs="Arial" w:hint="cs"/>
          <w:rtl/>
        </w:rPr>
        <w:t>-</w:t>
      </w:r>
      <w:r w:rsidRPr="008C6D29">
        <w:rPr>
          <w:rFonts w:cs="Arial"/>
          <w:rtl/>
        </w:rPr>
        <w:t xml:space="preserve"> לפוסקים כרב הונא איכא לספוקי אם מכשרינן בדיעבד היכא דכתב נכרי טופס</w:t>
      </w:r>
      <w:r w:rsidRPr="008C6D29">
        <w:rPr>
          <w:rFonts w:cs="Arial" w:hint="cs"/>
          <w:rtl/>
        </w:rPr>
        <w:t>.</w:t>
      </w:r>
      <w:r>
        <w:rPr>
          <w:rFonts w:cs="Arial" w:hint="cs"/>
          <w:rtl/>
        </w:rPr>
        <w:t>.</w:t>
      </w:r>
      <w:r w:rsidRPr="008C6D29">
        <w:rPr>
          <w:rFonts w:cs="Arial" w:hint="cs"/>
          <w:rtl/>
        </w:rPr>
        <w:t>.</w:t>
      </w:r>
      <w:r w:rsidRPr="008C6D29">
        <w:rPr>
          <w:rFonts w:cs="Arial"/>
          <w:rtl/>
        </w:rPr>
        <w:t xml:space="preserve"> ולפוסקים כרב יהודה דין הנכרי כדין חרש שוטה וקטן</w:t>
      </w:r>
      <w:r w:rsidR="00324FDC">
        <w:rPr>
          <w:rFonts w:cs="Arial" w:hint="cs"/>
          <w:rtl/>
        </w:rPr>
        <w:t>,</w:t>
      </w:r>
      <w:r w:rsidRPr="008C6D29">
        <w:rPr>
          <w:rFonts w:cs="Arial"/>
          <w:rtl/>
        </w:rPr>
        <w:t xml:space="preserve"> ויש לומר שהוא פסול לכתחלה אפילו טופס</w:t>
      </w:r>
      <w:r>
        <w:rPr>
          <w:rStyle w:val="a7"/>
          <w:rFonts w:cs="Arial"/>
          <w:rtl/>
        </w:rPr>
        <w:footnoteReference w:id="400"/>
      </w:r>
      <w:r w:rsidRPr="008C6D29">
        <w:rPr>
          <w:rFonts w:cs="Arial"/>
          <w:rtl/>
        </w:rPr>
        <w:t xml:space="preserve">. </w:t>
      </w:r>
    </w:p>
    <w:p w14:paraId="5926CAA6" w14:textId="77777777" w:rsidR="00B16C73" w:rsidRPr="00FC3511" w:rsidRDefault="00B16C73" w:rsidP="00B16C73">
      <w:pPr>
        <w:rPr>
          <w:u w:val="single"/>
        </w:rPr>
      </w:pPr>
      <w:r w:rsidRPr="00FC3511">
        <w:rPr>
          <w:rFonts w:hint="cs"/>
          <w:u w:val="single"/>
          <w:rtl/>
        </w:rPr>
        <w:t xml:space="preserve">האם האשה </w:t>
      </w:r>
      <w:r w:rsidRPr="00FC3511">
        <w:rPr>
          <w:rFonts w:hint="cs"/>
          <w:sz w:val="16"/>
          <w:szCs w:val="16"/>
          <w:u w:val="single"/>
          <w:rtl/>
        </w:rPr>
        <w:t>(שמתגרשת בגט זה</w:t>
      </w:r>
      <w:r>
        <w:rPr>
          <w:rFonts w:hint="cs"/>
          <w:sz w:val="16"/>
          <w:szCs w:val="16"/>
          <w:u w:val="single"/>
          <w:rtl/>
        </w:rPr>
        <w:t>)</w:t>
      </w:r>
      <w:r w:rsidRPr="00FC3511">
        <w:rPr>
          <w:rFonts w:hint="cs"/>
          <w:sz w:val="16"/>
          <w:szCs w:val="16"/>
          <w:u w:val="single"/>
          <w:rtl/>
        </w:rPr>
        <w:t xml:space="preserve"> </w:t>
      </w:r>
      <w:r w:rsidRPr="00FC3511">
        <w:rPr>
          <w:rFonts w:hint="cs"/>
          <w:u w:val="single"/>
          <w:rtl/>
        </w:rPr>
        <w:t>יכולה לכתוב את הגט:</w:t>
      </w:r>
    </w:p>
    <w:p w14:paraId="0C60B28D" w14:textId="68431D5C" w:rsidR="00EF213D" w:rsidRDefault="00B16C73" w:rsidP="00A65C5F">
      <w:pPr>
        <w:pStyle w:val="ab"/>
        <w:numPr>
          <w:ilvl w:val="0"/>
          <w:numId w:val="37"/>
        </w:numPr>
      </w:pPr>
      <w:r>
        <w:rPr>
          <w:rFonts w:cs="Arial" w:hint="cs"/>
          <w:rtl/>
        </w:rPr>
        <w:t>טור</w:t>
      </w:r>
      <w:r w:rsidR="00A82951">
        <w:rPr>
          <w:rFonts w:cs="Arial" w:hint="cs"/>
          <w:rtl/>
        </w:rPr>
        <w:t>-</w:t>
      </w:r>
      <w:r>
        <w:rPr>
          <w:rFonts w:cs="Arial" w:hint="cs"/>
          <w:rtl/>
        </w:rPr>
        <w:t xml:space="preserve"> </w:t>
      </w:r>
      <w:r w:rsidRPr="00FC3511">
        <w:rPr>
          <w:rFonts w:cs="Arial"/>
          <w:rtl/>
        </w:rPr>
        <w:t>אפילו האשה בעצמה כותבת גיטה</w:t>
      </w:r>
      <w:r w:rsidRPr="00FC3511">
        <w:rPr>
          <w:rFonts w:cs="Arial" w:hint="cs"/>
          <w:rtl/>
        </w:rPr>
        <w:t>,</w:t>
      </w:r>
      <w:r w:rsidRPr="00FC3511">
        <w:rPr>
          <w:rFonts w:cs="Arial"/>
          <w:rtl/>
        </w:rPr>
        <w:t xml:space="preserve"> ומקנה אותו לבעלה</w:t>
      </w:r>
      <w:r>
        <w:rPr>
          <w:rStyle w:val="a7"/>
          <w:rFonts w:cs="Arial"/>
          <w:rtl/>
        </w:rPr>
        <w:footnoteReference w:id="401"/>
      </w:r>
      <w:r w:rsidRPr="00FC3511">
        <w:rPr>
          <w:rFonts w:cs="Arial" w:hint="cs"/>
          <w:rtl/>
        </w:rPr>
        <w:t>,</w:t>
      </w:r>
      <w:r w:rsidRPr="00FC3511">
        <w:rPr>
          <w:rFonts w:cs="Arial"/>
          <w:rtl/>
        </w:rPr>
        <w:t xml:space="preserve"> וחוזר ונותנו לה</w:t>
      </w:r>
      <w:r w:rsidRPr="00FC3511">
        <w:rPr>
          <w:rFonts w:cs="Arial" w:hint="cs"/>
          <w:rtl/>
        </w:rPr>
        <w:t>.</w:t>
      </w:r>
      <w:r w:rsidRPr="00FC3511">
        <w:rPr>
          <w:rFonts w:cs="Arial"/>
          <w:rtl/>
        </w:rPr>
        <w:t xml:space="preserve"> וכתב הרמ"ה </w:t>
      </w:r>
      <w:r w:rsidRPr="00FC3511">
        <w:rPr>
          <w:rFonts w:cs="Arial"/>
          <w:sz w:val="16"/>
          <w:szCs w:val="16"/>
          <w:rtl/>
        </w:rPr>
        <w:t>(חידושי הרמ"ה כב: ד"ה מתני' הכל)</w:t>
      </w:r>
      <w:r w:rsidRPr="00FC3511">
        <w:rPr>
          <w:rFonts w:cs="Arial" w:hint="cs"/>
          <w:sz w:val="16"/>
          <w:szCs w:val="16"/>
          <w:rtl/>
        </w:rPr>
        <w:t xml:space="preserve"> </w:t>
      </w:r>
      <w:r w:rsidRPr="00FC3511">
        <w:rPr>
          <w:rFonts w:cs="Arial"/>
          <w:rtl/>
        </w:rPr>
        <w:t>ודוקא שיאמר לה הבעל תחילה לכותבו</w:t>
      </w:r>
      <w:r w:rsidRPr="00FC3511">
        <w:rPr>
          <w:rFonts w:cs="Arial" w:hint="cs"/>
          <w:rtl/>
        </w:rPr>
        <w:t>,</w:t>
      </w:r>
      <w:r w:rsidRPr="00FC3511">
        <w:rPr>
          <w:rFonts w:cs="Arial"/>
          <w:rtl/>
        </w:rPr>
        <w:t xml:space="preserve"> שצריך שיכתבנו הוא או שלוחו</w:t>
      </w:r>
      <w:r w:rsidRPr="00FC3511">
        <w:rPr>
          <w:rFonts w:cs="Arial" w:hint="cs"/>
          <w:rtl/>
        </w:rPr>
        <w:t>,</w:t>
      </w:r>
      <w:r w:rsidRPr="00FC3511">
        <w:rPr>
          <w:rFonts w:cs="Arial"/>
          <w:rtl/>
        </w:rPr>
        <w:t xml:space="preserve"> דאי לאו הכי אינו כלום אפילו ריח הגט אין בו</w:t>
      </w:r>
      <w:r>
        <w:rPr>
          <w:rStyle w:val="a7"/>
          <w:rFonts w:cs="Arial"/>
          <w:rtl/>
        </w:rPr>
        <w:footnoteReference w:id="402"/>
      </w:r>
      <w:r w:rsidRPr="00FC3511">
        <w:rPr>
          <w:rFonts w:cs="Arial" w:hint="cs"/>
          <w:rtl/>
        </w:rPr>
        <w:t>.</w:t>
      </w:r>
      <w:r w:rsidR="00E44BB9" w:rsidRPr="00F155DF">
        <w:rPr>
          <w:rFonts w:cs="Arial"/>
          <w:rtl/>
        </w:rPr>
        <w:t xml:space="preserve"> </w:t>
      </w:r>
      <w:r w:rsidR="009B2D8B" w:rsidRPr="009B2D8B">
        <w:rPr>
          <w:rFonts w:hint="cs"/>
          <w:color w:val="E36C0A" w:themeColor="accent6" w:themeShade="BF"/>
          <w:rtl/>
        </w:rPr>
        <w:t>(וכ"פ בשו"ע)</w:t>
      </w:r>
    </w:p>
    <w:p w14:paraId="4B4A4BCE" w14:textId="71931680" w:rsidR="009B2D8B" w:rsidRDefault="009B2D8B" w:rsidP="00E44BB9">
      <w:pPr>
        <w:rPr>
          <w:rFonts w:cs="Arial"/>
          <w:rtl/>
        </w:rPr>
      </w:pPr>
      <w:r w:rsidRPr="009B2D8B">
        <w:rPr>
          <w:rFonts w:cs="Arial" w:hint="cs"/>
          <w:u w:val="single"/>
          <w:rtl/>
        </w:rPr>
        <w:t xml:space="preserve">האם הבעל יכול </w:t>
      </w:r>
      <w:r w:rsidR="00871730">
        <w:rPr>
          <w:rFonts w:cs="Arial" w:hint="cs"/>
          <w:u w:val="single"/>
          <w:rtl/>
        </w:rPr>
        <w:t xml:space="preserve">לכתוב את הגט, או </w:t>
      </w:r>
      <w:r w:rsidRPr="009B2D8B">
        <w:rPr>
          <w:rFonts w:cs="Arial" w:hint="cs"/>
          <w:u w:val="single"/>
          <w:rtl/>
        </w:rPr>
        <w:t>לומר לסופר מה לכתוב בגט:</w:t>
      </w:r>
    </w:p>
    <w:p w14:paraId="270E9B0C" w14:textId="74CE8F79" w:rsidR="009B2D8B" w:rsidRDefault="00E44BB9" w:rsidP="00A65C5F">
      <w:pPr>
        <w:pStyle w:val="ab"/>
        <w:numPr>
          <w:ilvl w:val="0"/>
          <w:numId w:val="37"/>
        </w:numPr>
        <w:rPr>
          <w:rFonts w:cs="Arial"/>
        </w:rPr>
      </w:pPr>
      <w:r w:rsidRPr="009B2D8B">
        <w:rPr>
          <w:rFonts w:cs="Arial"/>
          <w:rtl/>
        </w:rPr>
        <w:t xml:space="preserve">קונדריסין </w:t>
      </w:r>
      <w:r w:rsidRPr="009B2D8B">
        <w:rPr>
          <w:rFonts w:cs="Arial"/>
          <w:sz w:val="16"/>
          <w:szCs w:val="16"/>
          <w:rtl/>
        </w:rPr>
        <w:t>(סי' ד סעי' ו)</w:t>
      </w:r>
      <w:r w:rsidR="00A82951">
        <w:rPr>
          <w:rFonts w:cs="Arial" w:hint="cs"/>
          <w:rtl/>
        </w:rPr>
        <w:t>-</w:t>
      </w:r>
      <w:r w:rsidR="00C04FE3" w:rsidRPr="009B2D8B">
        <w:rPr>
          <w:rFonts w:cs="Arial" w:hint="cs"/>
          <w:rtl/>
        </w:rPr>
        <w:t xml:space="preserve"> </w:t>
      </w:r>
      <w:r w:rsidRPr="009B2D8B">
        <w:rPr>
          <w:rFonts w:cs="Arial"/>
          <w:rtl/>
        </w:rPr>
        <w:t xml:space="preserve">יש לדקדק מלשון תשובה דהרשב"א </w:t>
      </w:r>
      <w:r w:rsidRPr="009B2D8B">
        <w:rPr>
          <w:rFonts w:cs="Arial"/>
          <w:sz w:val="16"/>
          <w:szCs w:val="16"/>
          <w:rtl/>
        </w:rPr>
        <w:t>(ח"א סי' אלף קסג, י. ד"ה שלחו)</w:t>
      </w:r>
      <w:r w:rsidRPr="009B2D8B">
        <w:rPr>
          <w:rFonts w:cs="Arial"/>
          <w:rtl/>
        </w:rPr>
        <w:t xml:space="preserve"> שאין להניח לכתוב הגט לבעל</w:t>
      </w:r>
      <w:r w:rsidR="00871730">
        <w:rPr>
          <w:rFonts w:cs="Arial" w:hint="cs"/>
          <w:rtl/>
        </w:rPr>
        <w:t>.</w:t>
      </w:r>
      <w:r w:rsidRPr="009B2D8B">
        <w:rPr>
          <w:rFonts w:cs="Arial"/>
          <w:rtl/>
        </w:rPr>
        <w:t xml:space="preserve"> וגם שלא יאמר הבעל לסופר שיכתוב כך או לא יכתוב</w:t>
      </w:r>
      <w:r w:rsidR="00C04FE3" w:rsidRPr="009B2D8B">
        <w:rPr>
          <w:rFonts w:cs="Arial" w:hint="cs"/>
          <w:rtl/>
        </w:rPr>
        <w:t>,</w:t>
      </w:r>
      <w:r w:rsidRPr="009B2D8B">
        <w:rPr>
          <w:rFonts w:cs="Arial"/>
          <w:rtl/>
        </w:rPr>
        <w:t xml:space="preserve"> רק יאמר לו בסתם </w:t>
      </w:r>
      <w:r w:rsidR="00C04FE3" w:rsidRPr="009B2D8B">
        <w:rPr>
          <w:rFonts w:cs="Arial" w:hint="cs"/>
          <w:rtl/>
        </w:rPr>
        <w:t>'</w:t>
      </w:r>
      <w:r w:rsidRPr="009B2D8B">
        <w:rPr>
          <w:rFonts w:cs="Arial"/>
          <w:rtl/>
        </w:rPr>
        <w:t>כתוב גט כשר</w:t>
      </w:r>
      <w:r w:rsidR="00C04FE3" w:rsidRPr="009B2D8B">
        <w:rPr>
          <w:rFonts w:cs="Arial" w:hint="cs"/>
          <w:rtl/>
        </w:rPr>
        <w:t>'</w:t>
      </w:r>
      <w:r w:rsidR="00C04FE3">
        <w:rPr>
          <w:rStyle w:val="a7"/>
          <w:rFonts w:cs="Arial"/>
          <w:rtl/>
        </w:rPr>
        <w:footnoteReference w:id="403"/>
      </w:r>
      <w:r w:rsidRPr="009B2D8B">
        <w:rPr>
          <w:rFonts w:cs="Arial"/>
          <w:rtl/>
        </w:rPr>
        <w:t xml:space="preserve">. </w:t>
      </w:r>
      <w:r w:rsidR="009B2D8B" w:rsidRPr="00FC3511">
        <w:rPr>
          <w:rFonts w:hint="cs"/>
          <w:color w:val="00B0F0"/>
          <w:rtl/>
        </w:rPr>
        <w:t>(וכ"פ הרמ"א)</w:t>
      </w:r>
    </w:p>
    <w:p w14:paraId="30344244" w14:textId="05726BDC" w:rsidR="009B2D8B" w:rsidRPr="009B2D8B" w:rsidRDefault="009B2D8B" w:rsidP="009B2D8B">
      <w:pPr>
        <w:rPr>
          <w:rFonts w:cs="Arial"/>
          <w:u w:val="single"/>
        </w:rPr>
      </w:pPr>
      <w:r w:rsidRPr="009B2D8B">
        <w:rPr>
          <w:rFonts w:cs="Arial" w:hint="cs"/>
          <w:u w:val="single"/>
          <w:rtl/>
        </w:rPr>
        <w:t>האם צריך לחפש סופר שאינו קרוב לאשה:</w:t>
      </w:r>
    </w:p>
    <w:p w14:paraId="6F16877A" w14:textId="7A9A1E5D" w:rsidR="00E44BB9" w:rsidRPr="009B2D8B" w:rsidRDefault="00E44BB9" w:rsidP="00A65C5F">
      <w:pPr>
        <w:pStyle w:val="ab"/>
        <w:numPr>
          <w:ilvl w:val="0"/>
          <w:numId w:val="37"/>
        </w:numPr>
        <w:rPr>
          <w:rFonts w:cs="Arial"/>
          <w:rtl/>
        </w:rPr>
      </w:pPr>
      <w:r w:rsidRPr="009B2D8B">
        <w:rPr>
          <w:rFonts w:cs="Arial"/>
          <w:rtl/>
        </w:rPr>
        <w:t>מהרי"ק</w:t>
      </w:r>
      <w:r w:rsidRPr="009B2D8B">
        <w:rPr>
          <w:rFonts w:cs="Arial"/>
          <w:sz w:val="16"/>
          <w:szCs w:val="16"/>
          <w:rtl/>
        </w:rPr>
        <w:t xml:space="preserve"> </w:t>
      </w:r>
      <w:r w:rsidR="009B2D8B" w:rsidRPr="009B2D8B">
        <w:rPr>
          <w:rFonts w:cs="Arial" w:hint="cs"/>
          <w:sz w:val="16"/>
          <w:szCs w:val="16"/>
          <w:rtl/>
        </w:rPr>
        <w:t>(</w:t>
      </w:r>
      <w:r w:rsidRPr="009B2D8B">
        <w:rPr>
          <w:rFonts w:cs="Arial"/>
          <w:sz w:val="16"/>
          <w:szCs w:val="16"/>
          <w:rtl/>
        </w:rPr>
        <w:t>שורש קו</w:t>
      </w:r>
      <w:r w:rsidR="009B2D8B" w:rsidRPr="009B2D8B">
        <w:rPr>
          <w:rFonts w:cs="Arial" w:hint="cs"/>
          <w:sz w:val="16"/>
          <w:szCs w:val="16"/>
          <w:rtl/>
        </w:rPr>
        <w:t>)</w:t>
      </w:r>
      <w:r w:rsidR="00A82951">
        <w:rPr>
          <w:rFonts w:cs="Arial" w:hint="cs"/>
          <w:rtl/>
        </w:rPr>
        <w:t>-</w:t>
      </w:r>
      <w:r w:rsidRPr="009B2D8B">
        <w:rPr>
          <w:rFonts w:cs="Arial"/>
          <w:rtl/>
        </w:rPr>
        <w:t xml:space="preserve"> אם ימצא סופר שלא יהא קרוב לאשה</w:t>
      </w:r>
      <w:r w:rsidR="009B2D8B">
        <w:rPr>
          <w:rFonts w:cs="Arial" w:hint="cs"/>
          <w:rtl/>
        </w:rPr>
        <w:t>,</w:t>
      </w:r>
      <w:r w:rsidRPr="009B2D8B">
        <w:rPr>
          <w:rFonts w:cs="Arial"/>
          <w:rtl/>
        </w:rPr>
        <w:t xml:space="preserve"> יותר טוב הוא</w:t>
      </w:r>
      <w:r w:rsidR="009B2D8B">
        <w:rPr>
          <w:rFonts w:cs="Arial" w:hint="cs"/>
          <w:rtl/>
        </w:rPr>
        <w:t>.</w:t>
      </w:r>
      <w:r w:rsidRPr="009B2D8B">
        <w:rPr>
          <w:rFonts w:cs="Arial"/>
          <w:rtl/>
        </w:rPr>
        <w:t xml:space="preserve"> כי היכי דלא ליתי להחתימו בעדים</w:t>
      </w:r>
      <w:r w:rsidR="009B2D8B">
        <w:rPr>
          <w:rFonts w:cs="Arial" w:hint="cs"/>
          <w:rtl/>
        </w:rPr>
        <w:t>.</w:t>
      </w:r>
      <w:r w:rsidRPr="009B2D8B">
        <w:rPr>
          <w:rFonts w:cs="Arial"/>
          <w:rtl/>
        </w:rPr>
        <w:t xml:space="preserve"> ומהיות טוב אל יקרא וכו'</w:t>
      </w:r>
      <w:r w:rsidR="009B2D8B">
        <w:rPr>
          <w:rFonts w:cs="Arial" w:hint="cs"/>
          <w:rtl/>
        </w:rPr>
        <w:t>.</w:t>
      </w:r>
      <w:r w:rsidRPr="009B2D8B">
        <w:rPr>
          <w:rFonts w:cs="Arial"/>
          <w:rtl/>
        </w:rPr>
        <w:t xml:space="preserve"> אבל היכא דלא אפשר אין קפידא כלל</w:t>
      </w:r>
      <w:r w:rsidR="009B2D8B">
        <w:rPr>
          <w:rStyle w:val="a7"/>
          <w:rFonts w:cs="Arial"/>
          <w:rtl/>
        </w:rPr>
        <w:footnoteReference w:id="404"/>
      </w:r>
      <w:r w:rsidR="009B2D8B">
        <w:rPr>
          <w:rFonts w:cs="Arial" w:hint="cs"/>
          <w:rtl/>
        </w:rPr>
        <w:t xml:space="preserve">. </w:t>
      </w:r>
      <w:r w:rsidR="009B2D8B" w:rsidRPr="00FC3511">
        <w:rPr>
          <w:rFonts w:hint="cs"/>
          <w:color w:val="00B0F0"/>
          <w:rtl/>
        </w:rPr>
        <w:t>(וכ"</w:t>
      </w:r>
      <w:r w:rsidR="009B2D8B">
        <w:rPr>
          <w:rFonts w:hint="cs"/>
          <w:color w:val="00B0F0"/>
          <w:rtl/>
        </w:rPr>
        <w:t>כ</w:t>
      </w:r>
      <w:r w:rsidR="009B2D8B" w:rsidRPr="00FC3511">
        <w:rPr>
          <w:rFonts w:hint="cs"/>
          <w:color w:val="00B0F0"/>
          <w:rtl/>
        </w:rPr>
        <w:t xml:space="preserve"> הרמ"א)</w:t>
      </w:r>
    </w:p>
    <w:p w14:paraId="2E3B88B9" w14:textId="6E38C0C4" w:rsidR="00A828E8" w:rsidRPr="00A828E8" w:rsidRDefault="00A828E8" w:rsidP="00E44BB9">
      <w:pPr>
        <w:rPr>
          <w:sz w:val="16"/>
          <w:szCs w:val="16"/>
          <w:rtl/>
        </w:rPr>
      </w:pPr>
      <w:r w:rsidRPr="00A828E8">
        <w:rPr>
          <w:rFonts w:hint="cs"/>
          <w:u w:val="single"/>
          <w:rtl/>
        </w:rPr>
        <w:t>באיזה יד יכתוב הסופר את הגט:</w:t>
      </w:r>
      <w:r>
        <w:rPr>
          <w:rFonts w:hint="cs"/>
          <w:rtl/>
        </w:rPr>
        <w:t xml:space="preserve"> </w:t>
      </w:r>
      <w:r>
        <w:rPr>
          <w:rFonts w:hint="cs"/>
          <w:sz w:val="16"/>
          <w:szCs w:val="16"/>
          <w:rtl/>
        </w:rPr>
        <w:t>(דרכ"מ אות א)</w:t>
      </w:r>
    </w:p>
    <w:p w14:paraId="202233DD" w14:textId="47069F52" w:rsidR="00A828E8" w:rsidRPr="00E44BB9" w:rsidRDefault="00A828E8" w:rsidP="00A65C5F">
      <w:pPr>
        <w:pStyle w:val="ab"/>
        <w:numPr>
          <w:ilvl w:val="0"/>
          <w:numId w:val="38"/>
        </w:numPr>
        <w:rPr>
          <w:rtl/>
        </w:rPr>
      </w:pPr>
      <w:r w:rsidRPr="00FC3511">
        <w:rPr>
          <w:rFonts w:cs="Arial"/>
          <w:rtl/>
        </w:rPr>
        <w:t>תיקון ישן</w:t>
      </w:r>
      <w:r w:rsidRPr="00FC3511">
        <w:rPr>
          <w:rFonts w:cs="Arial" w:hint="cs"/>
          <w:sz w:val="16"/>
          <w:szCs w:val="16"/>
          <w:rtl/>
        </w:rPr>
        <w:t xml:space="preserve"> (כן מצא הדרכ"מ</w:t>
      </w:r>
      <w:r w:rsidR="00FC3511" w:rsidRPr="00FC3511">
        <w:rPr>
          <w:rFonts w:cs="Arial" w:hint="cs"/>
          <w:sz w:val="16"/>
          <w:szCs w:val="16"/>
          <w:rtl/>
        </w:rPr>
        <w:t xml:space="preserve"> [אות א]</w:t>
      </w:r>
      <w:r w:rsidRPr="00FC3511">
        <w:rPr>
          <w:rFonts w:cs="Arial" w:hint="cs"/>
          <w:sz w:val="16"/>
          <w:szCs w:val="16"/>
          <w:rtl/>
        </w:rPr>
        <w:t xml:space="preserve"> כתוב)</w:t>
      </w:r>
      <w:r w:rsidR="00A82951">
        <w:rPr>
          <w:rFonts w:cs="Arial" w:hint="cs"/>
          <w:rtl/>
        </w:rPr>
        <w:t>-</w:t>
      </w:r>
      <w:r w:rsidRPr="00FC3511">
        <w:rPr>
          <w:rFonts w:cs="Arial" w:hint="cs"/>
          <w:rtl/>
        </w:rPr>
        <w:t xml:space="preserve"> </w:t>
      </w:r>
      <w:r w:rsidRPr="00FC3511">
        <w:rPr>
          <w:rFonts w:cs="Arial"/>
          <w:rtl/>
        </w:rPr>
        <w:t>הסופר יכתוב בידו הימנית</w:t>
      </w:r>
      <w:r w:rsidR="00571DB4">
        <w:rPr>
          <w:rFonts w:cs="Arial" w:hint="cs"/>
          <w:rtl/>
        </w:rPr>
        <w:t xml:space="preserve">, </w:t>
      </w:r>
      <w:r w:rsidRPr="00FC3511">
        <w:rPr>
          <w:rFonts w:cs="Arial"/>
          <w:rtl/>
        </w:rPr>
        <w:t>ואם הוא איטר יד ימינו יכתוב בידו השמאלית</w:t>
      </w:r>
      <w:r w:rsidRPr="00FC3511">
        <w:rPr>
          <w:rFonts w:cs="Arial" w:hint="cs"/>
          <w:rtl/>
        </w:rPr>
        <w:t>.</w:t>
      </w:r>
      <w:r w:rsidR="00FC3511">
        <w:rPr>
          <w:rFonts w:hint="cs"/>
          <w:rtl/>
        </w:rPr>
        <w:t xml:space="preserve"> </w:t>
      </w:r>
      <w:r w:rsidR="00FC3511" w:rsidRPr="00FC3511">
        <w:rPr>
          <w:rFonts w:hint="cs"/>
          <w:color w:val="00B0F0"/>
          <w:rtl/>
        </w:rPr>
        <w:t>(וכ"פ הרמ"א)</w:t>
      </w:r>
    </w:p>
    <w:p w14:paraId="78ABEDBF" w14:textId="77777777" w:rsidR="00677A75" w:rsidRPr="007B74F1" w:rsidRDefault="00677A75" w:rsidP="00677A7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AA4FF14" w14:textId="4FDB47D8" w:rsidR="00677A75" w:rsidRDefault="00677A75" w:rsidP="00677A75">
      <w:pPr>
        <w:rPr>
          <w:rFonts w:cs="Arial"/>
          <w:rtl/>
        </w:rPr>
      </w:pPr>
      <w:r w:rsidRPr="00677A75">
        <w:rPr>
          <w:rFonts w:cs="Arial"/>
          <w:rtl/>
        </w:rPr>
        <w:t xml:space="preserve">הכל כשרים לכתוב הגט, חוץ מחמשה: </w:t>
      </w:r>
      <w:r w:rsidR="0068356A">
        <w:rPr>
          <w:rFonts w:cs="Arial" w:hint="cs"/>
          <w:rtl/>
        </w:rPr>
        <w:t>גוי</w:t>
      </w:r>
      <w:r w:rsidRPr="00677A75">
        <w:rPr>
          <w:rFonts w:cs="Arial"/>
          <w:rtl/>
        </w:rPr>
        <w:t xml:space="preserve"> ועבד וחרש ושוטה וקטן. אפילו האשה בעצמה, אם אמר לה הבעל לכתבו, יכולה לכתבו</w:t>
      </w:r>
      <w:r w:rsidR="009B2D8B">
        <w:rPr>
          <w:rFonts w:cs="Arial" w:hint="cs"/>
          <w:rtl/>
        </w:rPr>
        <w:t>,</w:t>
      </w:r>
      <w:r w:rsidRPr="00677A75">
        <w:rPr>
          <w:rFonts w:cs="Arial"/>
          <w:rtl/>
        </w:rPr>
        <w:t xml:space="preserve"> ותקנה אותו לבעל</w:t>
      </w:r>
      <w:r w:rsidR="009B2D8B">
        <w:rPr>
          <w:rFonts w:cs="Arial" w:hint="cs"/>
          <w:rtl/>
        </w:rPr>
        <w:t>,</w:t>
      </w:r>
      <w:r w:rsidRPr="00677A75">
        <w:rPr>
          <w:rFonts w:cs="Arial"/>
          <w:rtl/>
        </w:rPr>
        <w:t xml:space="preserve"> וחוזר ונותנו לה. </w:t>
      </w:r>
      <w:r w:rsidRPr="00E44BB9">
        <w:rPr>
          <w:rFonts w:cs="Arial"/>
          <w:sz w:val="18"/>
          <w:szCs w:val="18"/>
          <w:rtl/>
        </w:rPr>
        <w:t>הגה: והבעל לכתחלה לא יכתוב הגט בעצמו</w:t>
      </w:r>
      <w:r w:rsidR="00871730">
        <w:rPr>
          <w:rStyle w:val="a7"/>
          <w:rFonts w:cs="Arial"/>
          <w:sz w:val="18"/>
          <w:szCs w:val="18"/>
          <w:rtl/>
        </w:rPr>
        <w:footnoteReference w:id="405"/>
      </w:r>
      <w:r w:rsidRPr="00E44BB9">
        <w:rPr>
          <w:rFonts w:cs="Arial"/>
          <w:sz w:val="18"/>
          <w:szCs w:val="18"/>
          <w:rtl/>
        </w:rPr>
        <w:t>, גם לא יצוה לסופר כיצד יכתוב, אלא אומר לו סתם לכתוב (קונטרסים). וי"א דיש להחמיר שגם קרוב לא יכתוב לכתחלה, היכא דאפשר באחר (מהרי"ק). ולכתחלה יכתוב הסופר בידו הימנית</w:t>
      </w:r>
      <w:r w:rsidR="00FC3511">
        <w:rPr>
          <w:rFonts w:cs="Arial" w:hint="cs"/>
          <w:sz w:val="18"/>
          <w:szCs w:val="18"/>
          <w:rtl/>
        </w:rPr>
        <w:t>.</w:t>
      </w:r>
      <w:r w:rsidRPr="00E44BB9">
        <w:rPr>
          <w:rFonts w:cs="Arial"/>
          <w:sz w:val="18"/>
          <w:szCs w:val="18"/>
          <w:rtl/>
        </w:rPr>
        <w:t xml:space="preserve"> ואם הוא אטר יד, יכתוב בשמאלו (תקון ישן).</w:t>
      </w:r>
      <w:r w:rsidRPr="00677A75">
        <w:rPr>
          <w:rFonts w:cs="Arial"/>
          <w:rtl/>
        </w:rPr>
        <w:t xml:space="preserve"> </w:t>
      </w:r>
    </w:p>
    <w:p w14:paraId="4853EF70" w14:textId="18F33A41" w:rsidR="00E44BB9" w:rsidRPr="001235CC" w:rsidRDefault="001235CC" w:rsidP="00677A75">
      <w:pPr>
        <w:rPr>
          <w:rFonts w:cs="Arial"/>
          <w:u w:val="single"/>
          <w:rtl/>
        </w:rPr>
      </w:pPr>
      <w:r w:rsidRPr="001235CC">
        <w:rPr>
          <w:rFonts w:cs="Arial" w:hint="cs"/>
          <w:u w:val="single"/>
          <w:rtl/>
        </w:rPr>
        <w:t>מי שאינו שולט בשתי ידיו וכתב גט בשמאלו:</w:t>
      </w:r>
    </w:p>
    <w:p w14:paraId="1E298F37" w14:textId="2CE6BBFB" w:rsidR="001235CC" w:rsidRDefault="001235CC" w:rsidP="00A65C5F">
      <w:pPr>
        <w:pStyle w:val="ab"/>
        <w:numPr>
          <w:ilvl w:val="0"/>
          <w:numId w:val="38"/>
        </w:numPr>
        <w:rPr>
          <w:rFonts w:cs="Arial"/>
        </w:rPr>
      </w:pPr>
      <w:r w:rsidRPr="001235CC">
        <w:rPr>
          <w:rFonts w:cs="Arial" w:hint="cs"/>
          <w:rtl/>
        </w:rPr>
        <w:t xml:space="preserve">ח"מ </w:t>
      </w:r>
      <w:r w:rsidRPr="001235CC">
        <w:rPr>
          <w:rFonts w:cs="Arial" w:hint="cs"/>
          <w:sz w:val="16"/>
          <w:szCs w:val="16"/>
          <w:rtl/>
        </w:rPr>
        <w:t>(סק"ה)</w:t>
      </w:r>
      <w:r w:rsidR="00A82951">
        <w:rPr>
          <w:rFonts w:cs="Arial" w:hint="cs"/>
          <w:rtl/>
        </w:rPr>
        <w:t>-</w:t>
      </w:r>
      <w:r>
        <w:rPr>
          <w:rFonts w:cs="Arial" w:hint="cs"/>
          <w:rtl/>
        </w:rPr>
        <w:t xml:space="preserve"> </w:t>
      </w:r>
      <w:r w:rsidRPr="001235CC">
        <w:rPr>
          <w:rFonts w:cs="Arial"/>
          <w:rtl/>
        </w:rPr>
        <w:t>בדיעבד כשר הגט אם כתב בשמאל אף שאינו שולט בשתי ידיו</w:t>
      </w:r>
      <w:r>
        <w:rPr>
          <w:rFonts w:cs="Arial" w:hint="cs"/>
          <w:rtl/>
        </w:rPr>
        <w:t>.</w:t>
      </w:r>
      <w:r w:rsidRPr="001235CC">
        <w:rPr>
          <w:rFonts w:cs="Arial"/>
          <w:rtl/>
        </w:rPr>
        <w:t xml:space="preserve"> </w:t>
      </w:r>
      <w:r>
        <w:rPr>
          <w:rFonts w:cs="Arial" w:hint="cs"/>
          <w:rtl/>
        </w:rPr>
        <w:t>ד</w:t>
      </w:r>
      <w:r w:rsidRPr="001235CC">
        <w:rPr>
          <w:rFonts w:cs="Arial"/>
          <w:rtl/>
        </w:rPr>
        <w:t>אע</w:t>
      </w:r>
      <w:r w:rsidRPr="001235CC">
        <w:rPr>
          <w:rFonts w:cs="Arial" w:hint="cs"/>
          <w:rtl/>
        </w:rPr>
        <w:t>"</w:t>
      </w:r>
      <w:r w:rsidRPr="001235CC">
        <w:rPr>
          <w:rFonts w:cs="Arial"/>
          <w:rtl/>
        </w:rPr>
        <w:t>ג דלענין שבת כתב בשמאלו לאו כתב היא</w:t>
      </w:r>
      <w:r>
        <w:rPr>
          <w:rFonts w:cs="Arial" w:hint="cs"/>
          <w:rtl/>
        </w:rPr>
        <w:t>,</w:t>
      </w:r>
      <w:r w:rsidRPr="001235CC">
        <w:rPr>
          <w:rFonts w:cs="Arial"/>
          <w:rtl/>
        </w:rPr>
        <w:t xml:space="preserve"> ובגמרא מדמה גט לשבת לענין כתב ע"ג כתב</w:t>
      </w:r>
      <w:r>
        <w:rPr>
          <w:rFonts w:cs="Arial" w:hint="cs"/>
          <w:rtl/>
        </w:rPr>
        <w:t>,</w:t>
      </w:r>
      <w:r w:rsidRPr="001235CC">
        <w:rPr>
          <w:rFonts w:cs="Arial"/>
          <w:rtl/>
        </w:rPr>
        <w:t xml:space="preserve"> אפשר לומר דלאו לכל מילי מדמינן לשבת</w:t>
      </w:r>
      <w:r>
        <w:rPr>
          <w:rFonts w:cs="Arial" w:hint="cs"/>
          <w:rtl/>
        </w:rPr>
        <w:t>.</w:t>
      </w:r>
      <w:r w:rsidRPr="001235CC">
        <w:rPr>
          <w:rFonts w:cs="Arial"/>
          <w:rtl/>
        </w:rPr>
        <w:t xml:space="preserve"> דבשבת בעינן מלאכת מחשבת דומיא דמשכן</w:t>
      </w:r>
      <w:r>
        <w:rPr>
          <w:rFonts w:cs="Arial" w:hint="cs"/>
          <w:rtl/>
        </w:rPr>
        <w:t>,</w:t>
      </w:r>
      <w:r w:rsidRPr="001235CC">
        <w:rPr>
          <w:rFonts w:cs="Arial"/>
          <w:rtl/>
        </w:rPr>
        <w:t xml:space="preserve"> ע"כ כל שכתב כלאחר ידו או בשמאלו לאו מלאכת מחשבת היא</w:t>
      </w:r>
      <w:r>
        <w:rPr>
          <w:rFonts w:cs="Arial" w:hint="cs"/>
          <w:rtl/>
        </w:rPr>
        <w:t>,</w:t>
      </w:r>
      <w:r w:rsidRPr="001235CC">
        <w:rPr>
          <w:rFonts w:cs="Arial"/>
          <w:rtl/>
        </w:rPr>
        <w:t xml:space="preserve"> אבל מ"מ כתב מיקרי לענין גט</w:t>
      </w:r>
      <w:r w:rsidRPr="001235CC">
        <w:rPr>
          <w:rFonts w:cs="Arial" w:hint="cs"/>
          <w:rtl/>
        </w:rPr>
        <w:t>.</w:t>
      </w:r>
      <w:r>
        <w:rPr>
          <w:rFonts w:hint="cs"/>
          <w:rtl/>
        </w:rPr>
        <w:t xml:space="preserve"> </w:t>
      </w:r>
    </w:p>
    <w:p w14:paraId="460E972B" w14:textId="4873DF15" w:rsidR="001235CC" w:rsidRDefault="001235CC" w:rsidP="00A65C5F">
      <w:pPr>
        <w:pStyle w:val="ab"/>
        <w:numPr>
          <w:ilvl w:val="0"/>
          <w:numId w:val="38"/>
        </w:numPr>
        <w:rPr>
          <w:rFonts w:cs="Arial"/>
        </w:rPr>
      </w:pPr>
      <w:r w:rsidRPr="001235CC">
        <w:rPr>
          <w:rFonts w:cs="Arial" w:hint="cs"/>
          <w:rtl/>
        </w:rPr>
        <w:lastRenderedPageBreak/>
        <w:t xml:space="preserve">ב"ש </w:t>
      </w:r>
      <w:r w:rsidRPr="001235CC">
        <w:rPr>
          <w:rFonts w:cs="Arial" w:hint="cs"/>
          <w:sz w:val="16"/>
          <w:szCs w:val="16"/>
          <w:rtl/>
        </w:rPr>
        <w:t>(סק"ד)</w:t>
      </w:r>
      <w:r w:rsidR="00A82951">
        <w:rPr>
          <w:rFonts w:cs="Arial" w:hint="cs"/>
          <w:rtl/>
        </w:rPr>
        <w:t>-</w:t>
      </w:r>
      <w:r w:rsidRPr="001235CC">
        <w:rPr>
          <w:rFonts w:cs="Arial" w:hint="cs"/>
          <w:rtl/>
        </w:rPr>
        <w:t xml:space="preserve"> </w:t>
      </w:r>
      <w:r w:rsidRPr="001235CC">
        <w:rPr>
          <w:rFonts w:cs="Arial"/>
          <w:rtl/>
        </w:rPr>
        <w:t xml:space="preserve">עיין ב"י </w:t>
      </w:r>
      <w:r>
        <w:rPr>
          <w:rFonts w:cs="Arial" w:hint="cs"/>
          <w:rtl/>
        </w:rPr>
        <w:t>(</w:t>
      </w:r>
      <w:r w:rsidRPr="001235CC">
        <w:rPr>
          <w:rFonts w:cs="Arial"/>
          <w:rtl/>
        </w:rPr>
        <w:t>א</w:t>
      </w:r>
      <w:r>
        <w:rPr>
          <w:rFonts w:cs="Arial" w:hint="cs"/>
          <w:rtl/>
        </w:rPr>
        <w:t>ו</w:t>
      </w:r>
      <w:r w:rsidRPr="001235CC">
        <w:rPr>
          <w:rFonts w:cs="Arial"/>
          <w:rtl/>
        </w:rPr>
        <w:t>"ח סי' לב</w:t>
      </w:r>
      <w:r>
        <w:rPr>
          <w:rFonts w:cs="Arial" w:hint="cs"/>
          <w:rtl/>
        </w:rPr>
        <w:t>)</w:t>
      </w:r>
      <w:r w:rsidRPr="001235CC">
        <w:rPr>
          <w:rFonts w:cs="Arial"/>
          <w:rtl/>
        </w:rPr>
        <w:t xml:space="preserve"> שהביא דברי התרומ</w:t>
      </w:r>
      <w:r>
        <w:rPr>
          <w:rFonts w:cs="Arial" w:hint="cs"/>
          <w:rtl/>
        </w:rPr>
        <w:t>ה</w:t>
      </w:r>
      <w:r w:rsidRPr="001235CC">
        <w:rPr>
          <w:rFonts w:cs="Arial"/>
          <w:rtl/>
        </w:rPr>
        <w:t xml:space="preserve"> שלמד משבת לענין תפילין ספר תורה מזוזות דבכולהו כתיב כתיבה ופוסל אפילו בדיעבד אם כתב ביד שמאלית</w:t>
      </w:r>
      <w:r>
        <w:rPr>
          <w:rFonts w:cs="Arial" w:hint="cs"/>
          <w:rtl/>
        </w:rPr>
        <w:t>,</w:t>
      </w:r>
      <w:r w:rsidRPr="001235CC">
        <w:rPr>
          <w:rFonts w:cs="Arial"/>
          <w:rtl/>
        </w:rPr>
        <w:t xml:space="preserve"> וכן כתוב בשם הגמיי'</w:t>
      </w:r>
      <w:r>
        <w:rPr>
          <w:rFonts w:cs="Arial" w:hint="cs"/>
          <w:rtl/>
        </w:rPr>
        <w:t>.</w:t>
      </w:r>
      <w:r w:rsidRPr="001235CC">
        <w:rPr>
          <w:rFonts w:cs="Arial"/>
          <w:rtl/>
        </w:rPr>
        <w:t xml:space="preserve"> ומ"ש בש"ע שם דכשר אם אי אפשר למצוא אחרים</w:t>
      </w:r>
      <w:r>
        <w:rPr>
          <w:rFonts w:cs="Arial" w:hint="cs"/>
          <w:rtl/>
        </w:rPr>
        <w:t>,</w:t>
      </w:r>
      <w:r w:rsidRPr="001235CC">
        <w:rPr>
          <w:rFonts w:cs="Arial"/>
          <w:rtl/>
        </w:rPr>
        <w:t xml:space="preserve"> משום דמביא שם דהרא"ש והסמ"ג לא כתבו דפסול בדיעבד</w:t>
      </w:r>
      <w:r>
        <w:rPr>
          <w:rFonts w:cs="Arial" w:hint="cs"/>
          <w:rtl/>
        </w:rPr>
        <w:t>,</w:t>
      </w:r>
      <w:r w:rsidRPr="001235CC">
        <w:rPr>
          <w:rFonts w:cs="Arial"/>
          <w:rtl/>
        </w:rPr>
        <w:t xml:space="preserve"> מ"ה מחלק שם בין אם אפשר למצוא אחרים בין אם א"א</w:t>
      </w:r>
      <w:r>
        <w:rPr>
          <w:rFonts w:cs="Arial" w:hint="cs"/>
          <w:rtl/>
        </w:rPr>
        <w:t>.</w:t>
      </w:r>
      <w:r w:rsidRPr="001235CC">
        <w:rPr>
          <w:rFonts w:cs="Arial"/>
          <w:rtl/>
        </w:rPr>
        <w:t xml:space="preserve"> מ"מ נראה אפי' אם א"א</w:t>
      </w:r>
      <w:r>
        <w:rPr>
          <w:rFonts w:cs="Arial" w:hint="cs"/>
          <w:rtl/>
        </w:rPr>
        <w:t xml:space="preserve"> </w:t>
      </w:r>
      <w:r w:rsidR="00A82951">
        <w:rPr>
          <w:rFonts w:cs="Arial" w:hint="cs"/>
          <w:rtl/>
        </w:rPr>
        <w:t>-</w:t>
      </w:r>
      <w:r w:rsidRPr="001235CC">
        <w:rPr>
          <w:rFonts w:cs="Arial"/>
          <w:rtl/>
        </w:rPr>
        <w:t xml:space="preserve"> מניח בלא ברכה כי ספק ברכות להקל</w:t>
      </w:r>
      <w:r>
        <w:rPr>
          <w:rFonts w:cs="Arial" w:hint="cs"/>
          <w:rtl/>
        </w:rPr>
        <w:t>,</w:t>
      </w:r>
      <w:r w:rsidRPr="001235CC">
        <w:rPr>
          <w:rFonts w:cs="Arial"/>
          <w:rtl/>
        </w:rPr>
        <w:t xml:space="preserve"> ולא כלבוש שכ' שם דמברך עליהם</w:t>
      </w:r>
      <w:r>
        <w:rPr>
          <w:rFonts w:cs="Arial" w:hint="cs"/>
          <w:rtl/>
        </w:rPr>
        <w:t>.</w:t>
      </w:r>
      <w:r w:rsidRPr="001235CC">
        <w:rPr>
          <w:rFonts w:cs="Arial"/>
          <w:rtl/>
        </w:rPr>
        <w:t xml:space="preserve"> נשמע דפליגו בזה הפוסקים</w:t>
      </w:r>
      <w:r>
        <w:rPr>
          <w:rFonts w:cs="Arial" w:hint="cs"/>
          <w:rtl/>
        </w:rPr>
        <w:t>.</w:t>
      </w:r>
      <w:r w:rsidRPr="001235CC">
        <w:rPr>
          <w:rFonts w:cs="Arial"/>
          <w:rtl/>
        </w:rPr>
        <w:t xml:space="preserve"> ודעת המכשירים לא מצינו בהדיא</w:t>
      </w:r>
      <w:r>
        <w:rPr>
          <w:rFonts w:cs="Arial" w:hint="cs"/>
          <w:rtl/>
        </w:rPr>
        <w:t>.</w:t>
      </w:r>
      <w:r w:rsidRPr="001235CC">
        <w:rPr>
          <w:rFonts w:cs="Arial"/>
          <w:rtl/>
        </w:rPr>
        <w:t xml:space="preserve"> לפ"ז משמע בגט אפילו בדיעבד פסול</w:t>
      </w:r>
      <w:r>
        <w:rPr>
          <w:rFonts w:cs="Arial" w:hint="cs"/>
          <w:rtl/>
        </w:rPr>
        <w:t>.</w:t>
      </w:r>
      <w:r w:rsidRPr="001235CC">
        <w:rPr>
          <w:rFonts w:cs="Arial"/>
          <w:rtl/>
        </w:rPr>
        <w:t xml:space="preserve"> מיהו י"ל גט שאני דאין למידים לענין גט כמ"ש בסי' קנ"ה לענין דיו</w:t>
      </w:r>
      <w:r>
        <w:rPr>
          <w:rFonts w:cs="Arial" w:hint="cs"/>
          <w:rtl/>
        </w:rPr>
        <w:t>,</w:t>
      </w:r>
      <w:r w:rsidRPr="001235CC">
        <w:rPr>
          <w:rFonts w:cs="Arial"/>
          <w:rtl/>
        </w:rPr>
        <w:t xml:space="preserve"> וכמ"ש בהרא"ש פ"ב דגיטין בסוגיא דמעורה, ומ"מ נראה דאינו כשר אלא במקום עיגון או בדיעבד דכבר ניתן</w:t>
      </w:r>
      <w:r>
        <w:rPr>
          <w:rFonts w:cs="Arial" w:hint="cs"/>
          <w:rtl/>
        </w:rPr>
        <w:t>,</w:t>
      </w:r>
      <w:r w:rsidRPr="001235CC">
        <w:rPr>
          <w:rFonts w:cs="Arial"/>
          <w:rtl/>
        </w:rPr>
        <w:t xml:space="preserve"> כמו גבי שרטוט והקיף גויל וכתב אשורית בסימן קכ"ו</w:t>
      </w:r>
      <w:r w:rsidRPr="001235CC">
        <w:rPr>
          <w:rFonts w:cs="Arial" w:hint="cs"/>
          <w:rtl/>
        </w:rPr>
        <w:t>.</w:t>
      </w:r>
    </w:p>
    <w:p w14:paraId="187A251E" w14:textId="77777777" w:rsidR="001235CC" w:rsidRPr="001235CC" w:rsidRDefault="001235CC" w:rsidP="001235CC">
      <w:pPr>
        <w:rPr>
          <w:rFonts w:cs="Arial"/>
          <w:rtl/>
        </w:rPr>
      </w:pPr>
    </w:p>
    <w:p w14:paraId="26DA89AB" w14:textId="11A44FDA" w:rsidR="00677A75" w:rsidRDefault="00677A75" w:rsidP="00786DE6">
      <w:pPr>
        <w:pStyle w:val="2"/>
        <w:rPr>
          <w:rtl/>
        </w:rPr>
      </w:pPr>
      <w:r w:rsidRPr="00677A75">
        <w:rPr>
          <w:rtl/>
        </w:rPr>
        <w:t>סעיף ב</w:t>
      </w:r>
      <w:r w:rsidR="00E44BB9">
        <w:rPr>
          <w:rFonts w:hint="cs"/>
          <w:rtl/>
        </w:rPr>
        <w:t>:</w:t>
      </w:r>
      <w:r w:rsidR="00E10C84">
        <w:rPr>
          <w:rFonts w:hint="cs"/>
          <w:rtl/>
        </w:rPr>
        <w:t xml:space="preserve"> ישראל שהמיר או מחלל שבת בפרהסיא.</w:t>
      </w:r>
    </w:p>
    <w:p w14:paraId="67980B26" w14:textId="665AD332" w:rsidR="00E10C84" w:rsidRPr="00E10C84" w:rsidRDefault="00E10C84" w:rsidP="00E10C84">
      <w:pPr>
        <w:rPr>
          <w:u w:val="single"/>
          <w:rtl/>
        </w:rPr>
      </w:pPr>
      <w:r w:rsidRPr="00E10C84">
        <w:rPr>
          <w:rFonts w:hint="cs"/>
          <w:u w:val="single"/>
          <w:rtl/>
        </w:rPr>
        <w:t xml:space="preserve">ישראל שהמיר או מחלל שבת בפרהסיא </w:t>
      </w:r>
      <w:r w:rsidR="00A82951">
        <w:rPr>
          <w:u w:val="single"/>
          <w:rtl/>
        </w:rPr>
        <w:t>-</w:t>
      </w:r>
      <w:r w:rsidRPr="00E10C84">
        <w:rPr>
          <w:rFonts w:hint="cs"/>
          <w:u w:val="single"/>
          <w:rtl/>
        </w:rPr>
        <w:t xml:space="preserve"> האם יכול לכתוב גט</w:t>
      </w:r>
      <w:r>
        <w:rPr>
          <w:rFonts w:hint="cs"/>
          <w:u w:val="single"/>
          <w:rtl/>
        </w:rPr>
        <w:t>:</w:t>
      </w:r>
    </w:p>
    <w:p w14:paraId="4A65E66B" w14:textId="1D79FD62" w:rsidR="00E44BB9" w:rsidRPr="00E10C84" w:rsidRDefault="00E10C84" w:rsidP="00A65C5F">
      <w:pPr>
        <w:pStyle w:val="ab"/>
        <w:numPr>
          <w:ilvl w:val="0"/>
          <w:numId w:val="38"/>
        </w:numPr>
        <w:rPr>
          <w:rtl/>
        </w:rPr>
      </w:pPr>
      <w:r w:rsidRPr="00E10C84">
        <w:rPr>
          <w:rFonts w:cs="Arial" w:hint="cs"/>
          <w:rtl/>
        </w:rPr>
        <w:t xml:space="preserve">רמב"ם </w:t>
      </w:r>
      <w:r w:rsidRPr="00E10C84">
        <w:rPr>
          <w:rFonts w:cs="Arial" w:hint="cs"/>
          <w:sz w:val="16"/>
          <w:szCs w:val="16"/>
          <w:rtl/>
        </w:rPr>
        <w:t xml:space="preserve">(פ"ג הט"ו) </w:t>
      </w:r>
      <w:r w:rsidRPr="00E10C84">
        <w:rPr>
          <w:rFonts w:cs="Arial" w:hint="cs"/>
          <w:rtl/>
        </w:rPr>
        <w:t>וטור</w:t>
      </w:r>
      <w:r w:rsidR="00A82951">
        <w:rPr>
          <w:rFonts w:cs="Arial" w:hint="cs"/>
          <w:rtl/>
        </w:rPr>
        <w:t>-</w:t>
      </w:r>
      <w:r w:rsidRPr="00E10C84">
        <w:rPr>
          <w:rFonts w:cs="Arial" w:hint="cs"/>
          <w:rtl/>
        </w:rPr>
        <w:t xml:space="preserve"> </w:t>
      </w:r>
      <w:r w:rsidRPr="00E10C84">
        <w:rPr>
          <w:rFonts w:cs="Arial"/>
          <w:rtl/>
        </w:rPr>
        <w:t>ישראל מומר לע</w:t>
      </w:r>
      <w:r w:rsidRPr="00E10C84">
        <w:rPr>
          <w:rFonts w:cs="Arial" w:hint="cs"/>
          <w:rtl/>
        </w:rPr>
        <w:t>בודה זרה</w:t>
      </w:r>
      <w:r w:rsidRPr="00E10C84">
        <w:rPr>
          <w:rFonts w:cs="Arial"/>
          <w:rtl/>
        </w:rPr>
        <w:t xml:space="preserve"> או לחלל שבת בפרהסיא</w:t>
      </w:r>
      <w:r w:rsidRPr="00E10C84">
        <w:rPr>
          <w:rFonts w:cs="Arial" w:hint="cs"/>
          <w:rtl/>
        </w:rPr>
        <w:t>,</w:t>
      </w:r>
      <w:r w:rsidRPr="00E10C84">
        <w:rPr>
          <w:rFonts w:cs="Arial"/>
          <w:rtl/>
        </w:rPr>
        <w:t xml:space="preserve"> דינו </w:t>
      </w:r>
      <w:r w:rsidRPr="00E10C84">
        <w:rPr>
          <w:rFonts w:cs="Arial" w:hint="cs"/>
          <w:rtl/>
        </w:rPr>
        <w:t>כגוי</w:t>
      </w:r>
      <w:r>
        <w:rPr>
          <w:rStyle w:val="a7"/>
          <w:rFonts w:cs="Arial"/>
          <w:rtl/>
        </w:rPr>
        <w:footnoteReference w:id="406"/>
      </w:r>
      <w:r w:rsidRPr="00E10C84">
        <w:rPr>
          <w:rFonts w:cs="Arial" w:hint="cs"/>
          <w:rtl/>
        </w:rPr>
        <w:t>.</w:t>
      </w:r>
      <w:r>
        <w:rPr>
          <w:rFonts w:hint="cs"/>
          <w:rtl/>
        </w:rPr>
        <w:t xml:space="preserve"> </w:t>
      </w:r>
      <w:r w:rsidRPr="00E10C84">
        <w:rPr>
          <w:rFonts w:hint="cs"/>
          <w:color w:val="E36C0A" w:themeColor="accent6" w:themeShade="BF"/>
          <w:rtl/>
        </w:rPr>
        <w:t>(וכ"פ בשו"ע)</w:t>
      </w:r>
    </w:p>
    <w:p w14:paraId="76CCAD32" w14:textId="77777777" w:rsidR="00677A75" w:rsidRPr="007B74F1" w:rsidRDefault="00677A75" w:rsidP="00677A7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8E03213" w14:textId="4CD51BE0" w:rsidR="00677A75" w:rsidRDefault="00677A75" w:rsidP="00677A75">
      <w:pPr>
        <w:rPr>
          <w:rFonts w:cs="Arial"/>
          <w:rtl/>
        </w:rPr>
      </w:pPr>
      <w:r w:rsidRPr="00677A75">
        <w:rPr>
          <w:rFonts w:cs="Arial"/>
          <w:rtl/>
        </w:rPr>
        <w:t xml:space="preserve">ישראל שהמיר, או שהוא מחלל שבתות בפרהסיא, הרי הוא </w:t>
      </w:r>
      <w:r w:rsidR="00E10C84">
        <w:rPr>
          <w:rFonts w:cs="Arial" w:hint="cs"/>
          <w:rtl/>
        </w:rPr>
        <w:t>כגוי</w:t>
      </w:r>
      <w:r w:rsidRPr="00677A75">
        <w:rPr>
          <w:rFonts w:cs="Arial"/>
          <w:rtl/>
        </w:rPr>
        <w:t xml:space="preserve"> לכל דבריו. </w:t>
      </w:r>
    </w:p>
    <w:p w14:paraId="7E9435AE" w14:textId="44BE0E62" w:rsidR="00E44BB9" w:rsidRPr="007E1623" w:rsidRDefault="007E1623" w:rsidP="00677A75">
      <w:pPr>
        <w:rPr>
          <w:rFonts w:cs="Arial"/>
          <w:u w:val="single"/>
          <w:rtl/>
        </w:rPr>
      </w:pPr>
      <w:r w:rsidRPr="007E1623">
        <w:rPr>
          <w:rFonts w:cs="Arial" w:hint="cs"/>
          <w:u w:val="single"/>
          <w:rtl/>
        </w:rPr>
        <w:t>האם מוסר יכול לכתוב גט:</w:t>
      </w:r>
    </w:p>
    <w:p w14:paraId="4A3AACDA" w14:textId="2FB19A77" w:rsidR="007E1623" w:rsidRPr="007E1623" w:rsidRDefault="007E1623" w:rsidP="00A65C5F">
      <w:pPr>
        <w:pStyle w:val="ab"/>
        <w:numPr>
          <w:ilvl w:val="0"/>
          <w:numId w:val="38"/>
        </w:numPr>
        <w:rPr>
          <w:rFonts w:cs="Arial"/>
          <w:rtl/>
        </w:rPr>
      </w:pPr>
      <w:r w:rsidRPr="007E1623">
        <w:rPr>
          <w:rFonts w:cs="Arial" w:hint="cs"/>
          <w:rtl/>
        </w:rPr>
        <w:t>פת"ש</w:t>
      </w:r>
      <w:r w:rsidRPr="007E1623">
        <w:rPr>
          <w:rFonts w:cs="Arial" w:hint="cs"/>
          <w:sz w:val="16"/>
          <w:szCs w:val="16"/>
          <w:rtl/>
        </w:rPr>
        <w:t xml:space="preserve"> (סק"ב)</w:t>
      </w:r>
      <w:r w:rsidR="00A82951">
        <w:rPr>
          <w:rFonts w:cs="Arial" w:hint="cs"/>
          <w:rtl/>
        </w:rPr>
        <w:t>-</w:t>
      </w:r>
      <w:r w:rsidRPr="007E1623">
        <w:rPr>
          <w:rFonts w:cs="Arial" w:hint="cs"/>
          <w:rtl/>
        </w:rPr>
        <w:t xml:space="preserve"> </w:t>
      </w:r>
      <w:r w:rsidRPr="007E1623">
        <w:rPr>
          <w:rFonts w:cs="Arial"/>
          <w:rtl/>
        </w:rPr>
        <w:t>עיין בס' ג"פ בענין מוסר שקר ומלשין בשקר שכתב הגט</w:t>
      </w:r>
      <w:r>
        <w:rPr>
          <w:rFonts w:cs="Arial" w:hint="cs"/>
          <w:rtl/>
        </w:rPr>
        <w:t>...</w:t>
      </w:r>
      <w:r w:rsidRPr="007E1623">
        <w:rPr>
          <w:rFonts w:cs="Arial"/>
          <w:rtl/>
        </w:rPr>
        <w:t xml:space="preserve"> ועיין בספר ישועות יעקב סק"ט שכ' דלענין גט כ"ע מודים דאסור לכתוב</w:t>
      </w:r>
      <w:r w:rsidR="003817AD">
        <w:rPr>
          <w:rFonts w:cs="Arial" w:hint="cs"/>
          <w:rtl/>
        </w:rPr>
        <w:t>.</w:t>
      </w:r>
      <w:r w:rsidRPr="007E1623">
        <w:rPr>
          <w:rFonts w:cs="Arial"/>
          <w:rtl/>
        </w:rPr>
        <w:t xml:space="preserve"> ומהראוי לדקדק בזה מאד</w:t>
      </w:r>
      <w:r w:rsidR="003817AD">
        <w:rPr>
          <w:rFonts w:cs="Arial" w:hint="cs"/>
          <w:rtl/>
        </w:rPr>
        <w:t>,</w:t>
      </w:r>
      <w:r w:rsidRPr="007E1623">
        <w:rPr>
          <w:rFonts w:cs="Arial"/>
          <w:rtl/>
        </w:rPr>
        <w:t xml:space="preserve"> כי בעו"ה שכיח הדבר ונעשה להם כהיתר</w:t>
      </w:r>
      <w:r>
        <w:rPr>
          <w:rFonts w:cs="Arial" w:hint="cs"/>
          <w:rtl/>
        </w:rPr>
        <w:t>.</w:t>
      </w:r>
    </w:p>
    <w:p w14:paraId="320C11F6" w14:textId="77777777" w:rsidR="007E1623" w:rsidRPr="00677A75" w:rsidRDefault="007E1623" w:rsidP="00677A75">
      <w:pPr>
        <w:rPr>
          <w:rFonts w:cs="Arial"/>
          <w:rtl/>
        </w:rPr>
      </w:pPr>
    </w:p>
    <w:p w14:paraId="3BEDCB49" w14:textId="0C6CA37F" w:rsidR="00677A75" w:rsidRDefault="00677A75" w:rsidP="00786DE6">
      <w:pPr>
        <w:pStyle w:val="2"/>
        <w:rPr>
          <w:rtl/>
        </w:rPr>
      </w:pPr>
      <w:r w:rsidRPr="00677A75">
        <w:rPr>
          <w:rtl/>
        </w:rPr>
        <w:t>סעיף ג</w:t>
      </w:r>
      <w:r w:rsidR="00EF213D">
        <w:rPr>
          <w:rFonts w:hint="cs"/>
          <w:rtl/>
        </w:rPr>
        <w:t>: כתיבת טופס הגט ע"י חמשת הפסולים.</w:t>
      </w:r>
    </w:p>
    <w:p w14:paraId="0BBF55E0" w14:textId="37989778" w:rsidR="00EF213D" w:rsidRPr="00EF213D" w:rsidRDefault="00664866" w:rsidP="00EF213D">
      <w:pPr>
        <w:rPr>
          <w:rtl/>
        </w:rPr>
      </w:pPr>
      <w:r>
        <w:rPr>
          <w:rFonts w:hint="cs"/>
          <w:rtl/>
        </w:rPr>
        <w:t>עיין במקורות בסעיף א.</w:t>
      </w:r>
    </w:p>
    <w:p w14:paraId="251D5E43" w14:textId="77777777" w:rsidR="00677A75" w:rsidRPr="007B74F1" w:rsidRDefault="00677A75" w:rsidP="00677A7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C9C74D4" w14:textId="2E9C5B41" w:rsidR="00677A75" w:rsidRDefault="00677A75" w:rsidP="00677A75">
      <w:pPr>
        <w:rPr>
          <w:rFonts w:cs="Arial"/>
          <w:rtl/>
        </w:rPr>
      </w:pPr>
      <w:r w:rsidRPr="00677A75">
        <w:rPr>
          <w:rFonts w:cs="Arial"/>
          <w:rtl/>
        </w:rPr>
        <w:t>כתב הגט אחד מאלו החמשה, אינו גט</w:t>
      </w:r>
      <w:r w:rsidR="007E1623">
        <w:rPr>
          <w:rStyle w:val="a7"/>
          <w:rFonts w:cs="Arial"/>
          <w:rtl/>
        </w:rPr>
        <w:footnoteReference w:id="407"/>
      </w:r>
      <w:r w:rsidR="007E1623">
        <w:rPr>
          <w:rFonts w:cs="Arial" w:hint="cs"/>
          <w:rtl/>
        </w:rPr>
        <w:t>,</w:t>
      </w:r>
      <w:r w:rsidRPr="00677A75">
        <w:rPr>
          <w:rFonts w:cs="Arial"/>
          <w:rtl/>
        </w:rPr>
        <w:t xml:space="preserve"> אף על פי שחתמו בו עדים כשרים ונמסר לה בכשרים. ב</w:t>
      </w:r>
      <w:r w:rsidR="00EF213D">
        <w:rPr>
          <w:rFonts w:cs="Arial" w:hint="cs"/>
          <w:rtl/>
        </w:rPr>
        <w:t>מה דברים אמורים</w:t>
      </w:r>
      <w:r w:rsidRPr="00677A75">
        <w:rPr>
          <w:rFonts w:cs="Arial"/>
          <w:rtl/>
        </w:rPr>
        <w:t>, כשכתב התורף</w:t>
      </w:r>
      <w:r w:rsidR="00583517">
        <w:rPr>
          <w:rStyle w:val="a7"/>
          <w:rFonts w:cs="Arial"/>
          <w:rtl/>
        </w:rPr>
        <w:footnoteReference w:id="408"/>
      </w:r>
      <w:r w:rsidR="00406AA6">
        <w:rPr>
          <w:rFonts w:cs="Arial" w:hint="cs"/>
          <w:rtl/>
        </w:rPr>
        <w:t>,</w:t>
      </w:r>
      <w:r w:rsidRPr="00677A75">
        <w:rPr>
          <w:rFonts w:cs="Arial"/>
          <w:rtl/>
        </w:rPr>
        <w:t xml:space="preserve"> אבל אם לא כתב אלא הטופס, והניח מקום התורף שהוא מקום האיש והאשה והזמן והרי את מותרת לכל אדם, וכתבו הפקח הגדול הישראלי לשמו, הרי זה גט כשר</w:t>
      </w:r>
      <w:r w:rsidR="007A2A36">
        <w:rPr>
          <w:rStyle w:val="a7"/>
          <w:rFonts w:cs="Arial"/>
          <w:rtl/>
        </w:rPr>
        <w:footnoteReference w:id="409"/>
      </w:r>
      <w:r w:rsidRPr="00677A75">
        <w:rPr>
          <w:rFonts w:cs="Arial"/>
          <w:rtl/>
        </w:rPr>
        <w:t xml:space="preserve">. </w:t>
      </w:r>
      <w:r w:rsidR="00EF213D">
        <w:rPr>
          <w:rFonts w:cs="Arial" w:hint="cs"/>
          <w:sz w:val="18"/>
          <w:szCs w:val="18"/>
          <w:rtl/>
        </w:rPr>
        <w:t xml:space="preserve">[הגה] </w:t>
      </w:r>
      <w:r w:rsidRPr="00E44BB9">
        <w:rPr>
          <w:rFonts w:cs="Arial"/>
          <w:sz w:val="18"/>
          <w:szCs w:val="18"/>
          <w:rtl/>
        </w:rPr>
        <w:t>וי"א דאפילו בכי האי גוונא פסול מדרבנן</w:t>
      </w:r>
      <w:r w:rsidR="00583517">
        <w:rPr>
          <w:rStyle w:val="a7"/>
          <w:rFonts w:cs="Arial"/>
          <w:sz w:val="18"/>
          <w:szCs w:val="18"/>
          <w:rtl/>
        </w:rPr>
        <w:footnoteReference w:id="410"/>
      </w:r>
      <w:r w:rsidRPr="00E44BB9">
        <w:rPr>
          <w:rFonts w:cs="Arial"/>
          <w:sz w:val="18"/>
          <w:szCs w:val="18"/>
          <w:rtl/>
        </w:rPr>
        <w:t xml:space="preserve"> (ר"י).</w:t>
      </w:r>
      <w:r w:rsidRPr="00677A75">
        <w:rPr>
          <w:rFonts w:cs="Arial"/>
          <w:rtl/>
        </w:rPr>
        <w:t xml:space="preserve"> </w:t>
      </w:r>
    </w:p>
    <w:p w14:paraId="1D547B9F" w14:textId="77777777" w:rsidR="00E44BB9" w:rsidRPr="00677A75" w:rsidRDefault="00E44BB9" w:rsidP="00677A75">
      <w:pPr>
        <w:rPr>
          <w:rFonts w:cs="Arial"/>
          <w:rtl/>
        </w:rPr>
      </w:pPr>
    </w:p>
    <w:p w14:paraId="093AC388" w14:textId="086E20A0" w:rsidR="00677A75" w:rsidRDefault="00677A75" w:rsidP="00786DE6">
      <w:pPr>
        <w:pStyle w:val="2"/>
        <w:rPr>
          <w:rtl/>
        </w:rPr>
      </w:pPr>
      <w:r w:rsidRPr="00677A75">
        <w:rPr>
          <w:rtl/>
        </w:rPr>
        <w:t>סעיף ד</w:t>
      </w:r>
      <w:r w:rsidR="00EF213D">
        <w:rPr>
          <w:rFonts w:hint="cs"/>
          <w:rtl/>
        </w:rPr>
        <w:t>: חרש שוטה וקטן.</w:t>
      </w:r>
    </w:p>
    <w:p w14:paraId="03E64A3C" w14:textId="7430CBDB" w:rsidR="00664866" w:rsidRPr="00664866" w:rsidRDefault="00664866" w:rsidP="00664866">
      <w:pPr>
        <w:rPr>
          <w:rtl/>
        </w:rPr>
      </w:pPr>
      <w:r>
        <w:rPr>
          <w:rFonts w:hint="cs"/>
          <w:rtl/>
        </w:rPr>
        <w:t xml:space="preserve">עיין במקורות בסעיף א. </w:t>
      </w:r>
    </w:p>
    <w:p w14:paraId="72B5F6FF" w14:textId="77777777" w:rsidR="00677A75" w:rsidRPr="007B74F1" w:rsidRDefault="00677A75" w:rsidP="00677A7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2E6BFC11" w14:textId="428FE020" w:rsidR="00677A75" w:rsidRDefault="00677A75" w:rsidP="00677A75">
      <w:pPr>
        <w:rPr>
          <w:rFonts w:cs="Arial"/>
          <w:rtl/>
        </w:rPr>
      </w:pPr>
      <w:r w:rsidRPr="00677A75">
        <w:rPr>
          <w:rFonts w:cs="Arial"/>
          <w:rtl/>
        </w:rPr>
        <w:t xml:space="preserve">מותר להניח חרש שוטה וקטן לכתוב טופס הגט לכתחילה, והוא שיהיה גדול הפקח עומד על גבן. אבל </w:t>
      </w:r>
      <w:r w:rsidR="00E44BB9">
        <w:rPr>
          <w:rFonts w:cs="Arial" w:hint="cs"/>
          <w:rtl/>
        </w:rPr>
        <w:t>הגוי</w:t>
      </w:r>
      <w:r w:rsidRPr="00677A75">
        <w:rPr>
          <w:rFonts w:cs="Arial"/>
          <w:rtl/>
        </w:rPr>
        <w:t xml:space="preserve"> והעבד אין כותבין טופס לכתחלה ואפילו ישראל עומד על גבן. </w:t>
      </w:r>
    </w:p>
    <w:p w14:paraId="24960B29" w14:textId="77777777" w:rsidR="00E44BB9" w:rsidRPr="00677A75" w:rsidRDefault="00E44BB9" w:rsidP="00677A75">
      <w:pPr>
        <w:rPr>
          <w:rFonts w:cs="Arial"/>
          <w:rtl/>
        </w:rPr>
      </w:pPr>
    </w:p>
    <w:p w14:paraId="7FB1F2D6" w14:textId="4C0C1BB8" w:rsidR="00677A75" w:rsidRDefault="00677A75" w:rsidP="00786DE6">
      <w:pPr>
        <w:pStyle w:val="2"/>
        <w:rPr>
          <w:rtl/>
        </w:rPr>
      </w:pPr>
      <w:r w:rsidRPr="00677A75">
        <w:rPr>
          <w:rtl/>
        </w:rPr>
        <w:t>סעיף ה</w:t>
      </w:r>
      <w:r w:rsidR="00EF213D">
        <w:rPr>
          <w:rFonts w:hint="cs"/>
          <w:rtl/>
        </w:rPr>
        <w:t xml:space="preserve">: </w:t>
      </w:r>
      <w:r w:rsidR="00764738" w:rsidRPr="00677A75">
        <w:rPr>
          <w:rtl/>
        </w:rPr>
        <w:t>הכותב גט בשבת או ביום הכפורים</w:t>
      </w:r>
      <w:r w:rsidR="00764738">
        <w:rPr>
          <w:rFonts w:hint="cs"/>
          <w:rtl/>
        </w:rPr>
        <w:t>.</w:t>
      </w:r>
    </w:p>
    <w:p w14:paraId="11DA12C1" w14:textId="26FEF29D" w:rsidR="00240662" w:rsidRPr="00764738" w:rsidRDefault="00764738" w:rsidP="00240662">
      <w:pPr>
        <w:rPr>
          <w:u w:val="single"/>
          <w:rtl/>
        </w:rPr>
      </w:pPr>
      <w:r w:rsidRPr="00764738">
        <w:rPr>
          <w:rFonts w:cs="Arial"/>
          <w:u w:val="single"/>
          <w:rtl/>
        </w:rPr>
        <w:t>הכותב גט בשבת או ביום הכפורים</w:t>
      </w:r>
      <w:r w:rsidRPr="00764738">
        <w:rPr>
          <w:rFonts w:hint="cs"/>
          <w:u w:val="single"/>
          <w:rtl/>
        </w:rPr>
        <w:t>:</w:t>
      </w:r>
    </w:p>
    <w:p w14:paraId="208BA790" w14:textId="51AB3799" w:rsidR="001B68AC" w:rsidRPr="001B68AC" w:rsidRDefault="00E44BB9" w:rsidP="00A65C5F">
      <w:pPr>
        <w:pStyle w:val="ab"/>
        <w:numPr>
          <w:ilvl w:val="0"/>
          <w:numId w:val="37"/>
        </w:numPr>
      </w:pPr>
      <w:r w:rsidRPr="00E44BB9">
        <w:rPr>
          <w:rFonts w:cs="Arial"/>
          <w:rtl/>
        </w:rPr>
        <w:t xml:space="preserve">רמב"ם </w:t>
      </w:r>
      <w:r w:rsidR="001B68AC">
        <w:rPr>
          <w:rFonts w:cs="Arial" w:hint="cs"/>
          <w:sz w:val="16"/>
          <w:szCs w:val="16"/>
          <w:rtl/>
        </w:rPr>
        <w:t>(</w:t>
      </w:r>
      <w:r w:rsidR="004B1479">
        <w:rPr>
          <w:rFonts w:cs="Arial" w:hint="cs"/>
          <w:sz w:val="16"/>
          <w:szCs w:val="16"/>
          <w:rtl/>
        </w:rPr>
        <w:t>פ"ג מגירושין הי"ט</w:t>
      </w:r>
      <w:r w:rsidR="001B68AC">
        <w:rPr>
          <w:rFonts w:cs="Arial" w:hint="cs"/>
          <w:sz w:val="16"/>
          <w:szCs w:val="16"/>
          <w:rtl/>
        </w:rPr>
        <w:t>, לגי' הטור)</w:t>
      </w:r>
      <w:r w:rsidR="00A82951">
        <w:rPr>
          <w:rFonts w:cs="Arial" w:hint="cs"/>
          <w:rtl/>
        </w:rPr>
        <w:t>-</w:t>
      </w:r>
      <w:r w:rsidR="001B68AC">
        <w:rPr>
          <w:rFonts w:cs="Arial" w:hint="cs"/>
          <w:rtl/>
        </w:rPr>
        <w:t xml:space="preserve"> </w:t>
      </w:r>
      <w:r w:rsidRPr="00E44BB9">
        <w:rPr>
          <w:rFonts w:cs="Arial"/>
          <w:rtl/>
        </w:rPr>
        <w:t>כתב גט בשבת או בי</w:t>
      </w:r>
      <w:r w:rsidR="001B68AC">
        <w:rPr>
          <w:rFonts w:cs="Arial" w:hint="cs"/>
          <w:rtl/>
        </w:rPr>
        <w:t>ום הכפורים</w:t>
      </w:r>
      <w:r w:rsidRPr="00E44BB9">
        <w:rPr>
          <w:rFonts w:cs="Arial"/>
          <w:rtl/>
        </w:rPr>
        <w:t xml:space="preserve"> בשוגג ונתנו לה </w:t>
      </w:r>
      <w:r w:rsidR="00A82951">
        <w:rPr>
          <w:rFonts w:cs="Arial"/>
          <w:rtl/>
        </w:rPr>
        <w:t>-</w:t>
      </w:r>
      <w:r w:rsidR="007B05F8">
        <w:rPr>
          <w:rFonts w:cs="Arial" w:hint="cs"/>
          <w:rtl/>
        </w:rPr>
        <w:t xml:space="preserve"> </w:t>
      </w:r>
      <w:r w:rsidRPr="00E44BB9">
        <w:rPr>
          <w:rFonts w:cs="Arial"/>
          <w:rtl/>
        </w:rPr>
        <w:t>ה</w:t>
      </w:r>
      <w:r w:rsidR="001B68AC">
        <w:rPr>
          <w:rFonts w:cs="Arial" w:hint="cs"/>
          <w:rtl/>
        </w:rPr>
        <w:t>רי זו</w:t>
      </w:r>
      <w:r w:rsidRPr="00E44BB9">
        <w:rPr>
          <w:rFonts w:cs="Arial"/>
          <w:rtl/>
        </w:rPr>
        <w:t xml:space="preserve"> מגורשת</w:t>
      </w:r>
      <w:r w:rsidR="007B05F8">
        <w:rPr>
          <w:rFonts w:cs="Arial" w:hint="cs"/>
          <w:rtl/>
        </w:rPr>
        <w:t>.</w:t>
      </w:r>
      <w:r w:rsidRPr="00E44BB9">
        <w:rPr>
          <w:rFonts w:cs="Arial"/>
          <w:rtl/>
        </w:rPr>
        <w:t xml:space="preserve"> כתבו וחתמו בזדון </w:t>
      </w:r>
      <w:r w:rsidRPr="004B1479">
        <w:rPr>
          <w:rFonts w:cs="Arial"/>
          <w:b/>
          <w:bCs/>
          <w:rtl/>
        </w:rPr>
        <w:t>בי</w:t>
      </w:r>
      <w:r w:rsidR="001B68AC" w:rsidRPr="004B1479">
        <w:rPr>
          <w:rFonts w:cs="Arial" w:hint="cs"/>
          <w:b/>
          <w:bCs/>
          <w:rtl/>
        </w:rPr>
        <w:t xml:space="preserve">ום </w:t>
      </w:r>
      <w:r w:rsidRPr="004B1479">
        <w:rPr>
          <w:rFonts w:cs="Arial"/>
          <w:b/>
          <w:bCs/>
          <w:rtl/>
        </w:rPr>
        <w:t>ט</w:t>
      </w:r>
      <w:r w:rsidR="001B68AC" w:rsidRPr="004B1479">
        <w:rPr>
          <w:rFonts w:cs="Arial" w:hint="cs"/>
          <w:b/>
          <w:bCs/>
          <w:rtl/>
        </w:rPr>
        <w:t>וב</w:t>
      </w:r>
      <w:r w:rsidRPr="00E44BB9">
        <w:rPr>
          <w:rFonts w:cs="Arial"/>
          <w:rtl/>
        </w:rPr>
        <w:t xml:space="preserve"> </w:t>
      </w:r>
      <w:r w:rsidR="00A82951">
        <w:rPr>
          <w:rFonts w:cs="Arial" w:hint="cs"/>
          <w:rtl/>
        </w:rPr>
        <w:t>-</w:t>
      </w:r>
      <w:r w:rsidR="007B05F8">
        <w:rPr>
          <w:rFonts w:cs="Arial" w:hint="cs"/>
          <w:rtl/>
        </w:rPr>
        <w:t xml:space="preserve"> </w:t>
      </w:r>
      <w:r w:rsidRPr="00E44BB9">
        <w:rPr>
          <w:rFonts w:cs="Arial"/>
          <w:rtl/>
        </w:rPr>
        <w:t>אינה מגורשת</w:t>
      </w:r>
      <w:r w:rsidR="007B05F8">
        <w:rPr>
          <w:rFonts w:cs="Arial" w:hint="cs"/>
          <w:rtl/>
        </w:rPr>
        <w:t>,</w:t>
      </w:r>
      <w:r w:rsidRPr="00E44BB9">
        <w:rPr>
          <w:rFonts w:cs="Arial"/>
          <w:rtl/>
        </w:rPr>
        <w:t xml:space="preserve"> שהרי העדים פסולים מן התורה</w:t>
      </w:r>
      <w:r>
        <w:rPr>
          <w:rFonts w:cs="Arial" w:hint="cs"/>
          <w:rtl/>
        </w:rPr>
        <w:t xml:space="preserve">. </w:t>
      </w:r>
      <w:r w:rsidRPr="00E44BB9">
        <w:rPr>
          <w:rFonts w:cs="Arial"/>
          <w:rtl/>
        </w:rPr>
        <w:t xml:space="preserve">כתבו </w:t>
      </w:r>
      <w:r w:rsidRPr="004B1479">
        <w:rPr>
          <w:rFonts w:cs="Arial"/>
          <w:b/>
          <w:bCs/>
          <w:rtl/>
        </w:rPr>
        <w:t>וחתמו</w:t>
      </w:r>
      <w:r w:rsidRPr="00E44BB9">
        <w:rPr>
          <w:rFonts w:cs="Arial"/>
          <w:rtl/>
        </w:rPr>
        <w:t xml:space="preserve"> בזדון ביום טוב ונתנו לה בפני עדים כשרים </w:t>
      </w:r>
      <w:r w:rsidR="00A82951">
        <w:rPr>
          <w:rFonts w:cs="Arial" w:hint="cs"/>
          <w:rtl/>
        </w:rPr>
        <w:t>-</w:t>
      </w:r>
      <w:r w:rsidR="007B05F8">
        <w:rPr>
          <w:rFonts w:cs="Arial" w:hint="cs"/>
          <w:rtl/>
        </w:rPr>
        <w:t xml:space="preserve"> </w:t>
      </w:r>
      <w:r w:rsidRPr="00E44BB9">
        <w:rPr>
          <w:rFonts w:cs="Arial"/>
          <w:rtl/>
        </w:rPr>
        <w:t>הרי זה גט פסול</w:t>
      </w:r>
      <w:r w:rsidR="001B68AC">
        <w:rPr>
          <w:rStyle w:val="a7"/>
          <w:rFonts w:cs="Arial"/>
          <w:rtl/>
        </w:rPr>
        <w:footnoteReference w:id="411"/>
      </w:r>
      <w:r w:rsidRPr="001B68AC">
        <w:rPr>
          <w:rFonts w:cs="Arial"/>
          <w:rtl/>
        </w:rPr>
        <w:t xml:space="preserve">. </w:t>
      </w:r>
    </w:p>
    <w:p w14:paraId="755821FF" w14:textId="44755E5E" w:rsidR="00E44BB9" w:rsidRPr="004B1479" w:rsidRDefault="001B68AC" w:rsidP="00A65C5F">
      <w:pPr>
        <w:pStyle w:val="ab"/>
        <w:numPr>
          <w:ilvl w:val="0"/>
          <w:numId w:val="37"/>
        </w:numPr>
        <w:rPr>
          <w:rtl/>
        </w:rPr>
      </w:pPr>
      <w:r>
        <w:rPr>
          <w:rFonts w:cs="Arial" w:hint="cs"/>
          <w:rtl/>
        </w:rPr>
        <w:t xml:space="preserve">רמב"ם </w:t>
      </w:r>
      <w:r>
        <w:rPr>
          <w:rFonts w:cs="Arial" w:hint="cs"/>
          <w:sz w:val="16"/>
          <w:szCs w:val="16"/>
          <w:rtl/>
        </w:rPr>
        <w:t>(פ"ג מגירושין הי"ט, לגי' הב"י)</w:t>
      </w:r>
      <w:r w:rsidR="00A82951">
        <w:rPr>
          <w:rFonts w:cs="Arial" w:hint="cs"/>
          <w:rtl/>
        </w:rPr>
        <w:t>-</w:t>
      </w:r>
      <w:r w:rsidRPr="007B05F8">
        <w:rPr>
          <w:rtl/>
        </w:rPr>
        <w:t xml:space="preserve"> </w:t>
      </w:r>
      <w:r>
        <w:rPr>
          <w:rStyle w:val="a7"/>
          <w:rFonts w:cs="Arial"/>
          <w:rtl/>
        </w:rPr>
        <w:footnoteReference w:id="412"/>
      </w:r>
      <w:r w:rsidR="00E44BB9" w:rsidRPr="001B68AC">
        <w:rPr>
          <w:rFonts w:cs="Arial"/>
          <w:rtl/>
        </w:rPr>
        <w:t>הכותב גט בשבת</w:t>
      </w:r>
      <w:r w:rsidR="005179E5" w:rsidRPr="001B68AC">
        <w:rPr>
          <w:rFonts w:cs="Arial" w:hint="cs"/>
          <w:rtl/>
        </w:rPr>
        <w:t xml:space="preserve"> </w:t>
      </w:r>
      <w:r w:rsidR="00E44BB9" w:rsidRPr="001B68AC">
        <w:rPr>
          <w:rFonts w:cs="Arial"/>
          <w:rtl/>
        </w:rPr>
        <w:t xml:space="preserve">או ביום הכפורים בשגגה ונתנו לה </w:t>
      </w:r>
      <w:r w:rsidR="00A82951">
        <w:rPr>
          <w:rFonts w:cs="Arial" w:hint="cs"/>
          <w:rtl/>
        </w:rPr>
        <w:t>-</w:t>
      </w:r>
      <w:r w:rsidR="005179E5" w:rsidRPr="001B68AC">
        <w:rPr>
          <w:rFonts w:cs="Arial" w:hint="cs"/>
          <w:rtl/>
        </w:rPr>
        <w:t xml:space="preserve"> </w:t>
      </w:r>
      <w:r w:rsidR="00E44BB9" w:rsidRPr="001B68AC">
        <w:rPr>
          <w:rFonts w:cs="Arial"/>
          <w:rtl/>
        </w:rPr>
        <w:t>הרי זו מגורשת</w:t>
      </w:r>
      <w:r w:rsidR="005179E5" w:rsidRPr="001B68AC">
        <w:rPr>
          <w:rFonts w:cs="Arial" w:hint="cs"/>
          <w:rtl/>
        </w:rPr>
        <w:t>.</w:t>
      </w:r>
      <w:r w:rsidR="00E44BB9" w:rsidRPr="001B68AC">
        <w:rPr>
          <w:rFonts w:cs="Arial"/>
          <w:rtl/>
        </w:rPr>
        <w:t xml:space="preserve"> כתבו וחתמו </w:t>
      </w:r>
      <w:r w:rsidR="00E44BB9" w:rsidRPr="004B1479">
        <w:rPr>
          <w:rFonts w:cs="Arial"/>
          <w:b/>
          <w:bCs/>
          <w:rtl/>
        </w:rPr>
        <w:t>בו ביום</w:t>
      </w:r>
      <w:r w:rsidR="00E44BB9" w:rsidRPr="001B68AC">
        <w:rPr>
          <w:rFonts w:cs="Arial"/>
          <w:rtl/>
        </w:rPr>
        <w:t xml:space="preserve"> בזדון </w:t>
      </w:r>
      <w:r w:rsidR="00A82951">
        <w:rPr>
          <w:rFonts w:cs="Arial" w:hint="cs"/>
          <w:rtl/>
        </w:rPr>
        <w:t>-</w:t>
      </w:r>
      <w:r w:rsidR="005179E5" w:rsidRPr="001B68AC">
        <w:rPr>
          <w:rFonts w:cs="Arial" w:hint="cs"/>
          <w:rtl/>
        </w:rPr>
        <w:t xml:space="preserve"> </w:t>
      </w:r>
      <w:r w:rsidR="00E44BB9" w:rsidRPr="001B68AC">
        <w:rPr>
          <w:rFonts w:cs="Arial"/>
          <w:rtl/>
        </w:rPr>
        <w:t>אינה מגורשת</w:t>
      </w:r>
      <w:r w:rsidR="005179E5" w:rsidRPr="001B68AC">
        <w:rPr>
          <w:rFonts w:cs="Arial" w:hint="cs"/>
          <w:rtl/>
        </w:rPr>
        <w:t>,</w:t>
      </w:r>
      <w:r w:rsidR="00E44BB9" w:rsidRPr="001B68AC">
        <w:rPr>
          <w:rFonts w:cs="Arial"/>
          <w:rtl/>
        </w:rPr>
        <w:t xml:space="preserve"> שהרי העדים פסולים מן התורה</w:t>
      </w:r>
      <w:r w:rsidR="005179E5" w:rsidRPr="001B68AC">
        <w:rPr>
          <w:rFonts w:cs="Arial" w:hint="cs"/>
          <w:rtl/>
        </w:rPr>
        <w:t>.</w:t>
      </w:r>
      <w:r w:rsidR="00E44BB9" w:rsidRPr="001B68AC">
        <w:rPr>
          <w:rFonts w:cs="Arial"/>
          <w:rtl/>
        </w:rPr>
        <w:t xml:space="preserve"> כתבו ביום טוב בזדון ונמסר לה בפני עדים כשרים ביום טוב </w:t>
      </w:r>
      <w:r w:rsidR="00A82951">
        <w:rPr>
          <w:rFonts w:cs="Arial" w:hint="cs"/>
          <w:rtl/>
        </w:rPr>
        <w:t>-</w:t>
      </w:r>
      <w:r w:rsidR="005179E5" w:rsidRPr="001B68AC">
        <w:rPr>
          <w:rFonts w:cs="Arial" w:hint="cs"/>
          <w:rtl/>
        </w:rPr>
        <w:t xml:space="preserve"> </w:t>
      </w:r>
      <w:r w:rsidR="00E44BB9" w:rsidRPr="001B68AC">
        <w:rPr>
          <w:rFonts w:cs="Arial"/>
          <w:rtl/>
        </w:rPr>
        <w:t>הרי זה פסול</w:t>
      </w:r>
      <w:r w:rsidR="004B1479">
        <w:rPr>
          <w:rStyle w:val="a7"/>
          <w:rFonts w:cs="Arial"/>
          <w:rtl/>
        </w:rPr>
        <w:footnoteReference w:id="413"/>
      </w:r>
      <w:r w:rsidRPr="004B1479">
        <w:rPr>
          <w:rFonts w:cs="Arial" w:hint="cs"/>
          <w:rtl/>
        </w:rPr>
        <w:t>.</w:t>
      </w:r>
    </w:p>
    <w:p w14:paraId="57E9BA9F" w14:textId="229BE26E" w:rsidR="00764738" w:rsidRDefault="00706941" w:rsidP="00E44BB9">
      <w:pPr>
        <w:rPr>
          <w:rFonts w:cs="Arial"/>
          <w:rtl/>
        </w:rPr>
      </w:pPr>
      <w:r w:rsidRPr="00706941">
        <w:rPr>
          <w:rFonts w:cs="Arial" w:hint="cs"/>
          <w:b/>
          <w:bCs/>
          <w:u w:val="single"/>
          <w:rtl/>
        </w:rPr>
        <w:t>נתינת</w:t>
      </w:r>
      <w:r w:rsidR="00764738" w:rsidRPr="00764738">
        <w:rPr>
          <w:rFonts w:cs="Arial" w:hint="cs"/>
          <w:u w:val="single"/>
          <w:rtl/>
        </w:rPr>
        <w:t xml:space="preserve"> גט בלילה:</w:t>
      </w:r>
      <w:r w:rsidR="00764738">
        <w:rPr>
          <w:rFonts w:cs="Arial" w:hint="cs"/>
          <w:rtl/>
        </w:rPr>
        <w:t xml:space="preserve"> </w:t>
      </w:r>
      <w:r w:rsidR="004745BE">
        <w:rPr>
          <w:rFonts w:cs="Arial" w:hint="cs"/>
          <w:sz w:val="16"/>
          <w:szCs w:val="16"/>
          <w:rtl/>
        </w:rPr>
        <w:t xml:space="preserve">(דרכ"מ [סי' קכג </w:t>
      </w:r>
      <w:r w:rsidR="004745BE" w:rsidRPr="00764738">
        <w:rPr>
          <w:rFonts w:cs="Arial" w:hint="cs"/>
          <w:sz w:val="16"/>
          <w:szCs w:val="16"/>
          <w:rtl/>
        </w:rPr>
        <w:t xml:space="preserve">אות </w:t>
      </w:r>
      <w:r w:rsidR="004745BE" w:rsidRPr="00764738">
        <w:rPr>
          <w:rFonts w:cs="Arial"/>
          <w:sz w:val="16"/>
          <w:szCs w:val="16"/>
          <w:rtl/>
        </w:rPr>
        <w:t>ג</w:t>
      </w:r>
      <w:r w:rsidR="004745BE">
        <w:rPr>
          <w:rFonts w:cs="Arial" w:hint="cs"/>
          <w:sz w:val="16"/>
          <w:szCs w:val="16"/>
          <w:rtl/>
        </w:rPr>
        <w:t>, וסי' קמב אות ה] וב"י [סי' קלו])</w:t>
      </w:r>
    </w:p>
    <w:p w14:paraId="4D289F9B" w14:textId="7E4FA211" w:rsidR="00084FB5" w:rsidRPr="00764738" w:rsidRDefault="004745BE" w:rsidP="00A65C5F">
      <w:pPr>
        <w:pStyle w:val="ab"/>
        <w:numPr>
          <w:ilvl w:val="0"/>
          <w:numId w:val="40"/>
        </w:numPr>
        <w:rPr>
          <w:rFonts w:cs="Arial"/>
          <w:rtl/>
        </w:rPr>
      </w:pPr>
      <w:r>
        <w:rPr>
          <w:rFonts w:cs="Arial" w:hint="cs"/>
          <w:rtl/>
        </w:rPr>
        <w:t xml:space="preserve">תוס' </w:t>
      </w:r>
      <w:r>
        <w:rPr>
          <w:rFonts w:cs="Arial" w:hint="cs"/>
          <w:sz w:val="16"/>
          <w:szCs w:val="16"/>
          <w:rtl/>
        </w:rPr>
        <w:t>(סנהדרין מד. ד"ה חיישינן שמא)</w:t>
      </w:r>
      <w:r>
        <w:rPr>
          <w:rFonts w:cs="Arial" w:hint="cs"/>
          <w:rtl/>
        </w:rPr>
        <w:t xml:space="preserve"> </w:t>
      </w:r>
      <w:r w:rsidR="00084FB5" w:rsidRPr="00764738">
        <w:rPr>
          <w:rFonts w:cs="Arial"/>
          <w:rtl/>
        </w:rPr>
        <w:t xml:space="preserve">מרדכי </w:t>
      </w:r>
      <w:r w:rsidR="00084FB5" w:rsidRPr="00764738">
        <w:rPr>
          <w:rFonts w:cs="Arial" w:hint="cs"/>
          <w:sz w:val="16"/>
          <w:szCs w:val="16"/>
          <w:rtl/>
        </w:rPr>
        <w:t>(</w:t>
      </w:r>
      <w:r w:rsidR="00084FB5" w:rsidRPr="00764738">
        <w:rPr>
          <w:rFonts w:cs="Arial"/>
          <w:sz w:val="16"/>
          <w:szCs w:val="16"/>
          <w:rtl/>
        </w:rPr>
        <w:t>יבמות סי' פו)</w:t>
      </w:r>
      <w:r w:rsidR="00084FB5">
        <w:rPr>
          <w:rFonts w:cs="Arial" w:hint="cs"/>
          <w:rtl/>
        </w:rPr>
        <w:t xml:space="preserve"> ו</w:t>
      </w:r>
      <w:r w:rsidR="00084FB5" w:rsidRPr="00764738">
        <w:rPr>
          <w:rFonts w:cs="Arial"/>
          <w:rtl/>
        </w:rPr>
        <w:t>הגמ</w:t>
      </w:r>
      <w:r w:rsidR="00084FB5">
        <w:rPr>
          <w:rFonts w:cs="Arial" w:hint="cs"/>
          <w:rtl/>
        </w:rPr>
        <w:t>"</w:t>
      </w:r>
      <w:r w:rsidR="00084FB5" w:rsidRPr="00764738">
        <w:rPr>
          <w:rFonts w:cs="Arial"/>
          <w:rtl/>
        </w:rPr>
        <w:t>ר</w:t>
      </w:r>
      <w:r w:rsidR="00E162AE">
        <w:rPr>
          <w:rStyle w:val="a7"/>
          <w:rFonts w:cs="Arial"/>
          <w:rtl/>
        </w:rPr>
        <w:footnoteReference w:id="414"/>
      </w:r>
      <w:r w:rsidR="00084FB5" w:rsidRPr="00764738">
        <w:rPr>
          <w:rFonts w:cs="Arial"/>
          <w:rtl/>
        </w:rPr>
        <w:t xml:space="preserve"> </w:t>
      </w:r>
      <w:r w:rsidR="00084FB5" w:rsidRPr="00084FB5">
        <w:rPr>
          <w:rFonts w:cs="Arial" w:hint="cs"/>
          <w:sz w:val="16"/>
          <w:szCs w:val="16"/>
          <w:rtl/>
        </w:rPr>
        <w:t>(</w:t>
      </w:r>
      <w:r w:rsidR="00084FB5" w:rsidRPr="00084FB5">
        <w:rPr>
          <w:rFonts w:cs="Arial"/>
          <w:sz w:val="16"/>
          <w:szCs w:val="16"/>
          <w:rtl/>
        </w:rPr>
        <w:t>גיטין סוף סי' תסז)</w:t>
      </w:r>
      <w:r w:rsidR="00A82951">
        <w:rPr>
          <w:rFonts w:cs="Arial" w:hint="cs"/>
          <w:rtl/>
        </w:rPr>
        <w:t>-</w:t>
      </w:r>
      <w:r w:rsidR="00084FB5">
        <w:rPr>
          <w:rFonts w:cs="Arial" w:hint="cs"/>
          <w:rtl/>
        </w:rPr>
        <w:t xml:space="preserve"> </w:t>
      </w:r>
      <w:r>
        <w:rPr>
          <w:rFonts w:cs="Arial" w:hint="cs"/>
          <w:rtl/>
        </w:rPr>
        <w:t>אשה מתגרשת בלילה</w:t>
      </w:r>
      <w:r>
        <w:rPr>
          <w:rFonts w:cs="Arial" w:hint="cs"/>
          <w:sz w:val="16"/>
          <w:szCs w:val="16"/>
          <w:rtl/>
        </w:rPr>
        <w:t xml:space="preserve"> (ל' התוס')</w:t>
      </w:r>
      <w:r w:rsidR="00084FB5">
        <w:rPr>
          <w:rStyle w:val="a7"/>
          <w:rFonts w:cs="Arial"/>
          <w:rtl/>
        </w:rPr>
        <w:footnoteReference w:id="415"/>
      </w:r>
      <w:r w:rsidR="00084FB5" w:rsidRPr="00764738">
        <w:rPr>
          <w:rFonts w:cs="Arial"/>
          <w:rtl/>
        </w:rPr>
        <w:t>.</w:t>
      </w:r>
    </w:p>
    <w:p w14:paraId="504A36C3" w14:textId="2B0CC23E" w:rsidR="003236EA" w:rsidRDefault="003236EA" w:rsidP="00A65C5F">
      <w:pPr>
        <w:pStyle w:val="ab"/>
        <w:numPr>
          <w:ilvl w:val="0"/>
          <w:numId w:val="40"/>
        </w:numPr>
        <w:rPr>
          <w:rFonts w:cs="Arial"/>
        </w:rPr>
      </w:pPr>
      <w:r>
        <w:rPr>
          <w:rFonts w:cs="Arial" w:hint="cs"/>
          <w:rtl/>
        </w:rPr>
        <w:t>או"ז</w:t>
      </w:r>
      <w:r w:rsidR="00706941">
        <w:rPr>
          <w:rStyle w:val="a7"/>
          <w:rFonts w:cs="Arial"/>
          <w:rtl/>
        </w:rPr>
        <w:footnoteReference w:id="416"/>
      </w:r>
      <w:r w:rsidR="00706941">
        <w:rPr>
          <w:rFonts w:cs="Arial" w:hint="cs"/>
          <w:sz w:val="16"/>
          <w:szCs w:val="16"/>
          <w:rtl/>
        </w:rPr>
        <w:t xml:space="preserve"> (ח"א סי' תשמה)</w:t>
      </w:r>
      <w:r w:rsidR="00A82951">
        <w:rPr>
          <w:rFonts w:cs="Arial" w:hint="cs"/>
          <w:rtl/>
        </w:rPr>
        <w:t>-</w:t>
      </w:r>
      <w:r>
        <w:rPr>
          <w:rFonts w:cs="Arial" w:hint="cs"/>
          <w:rtl/>
        </w:rPr>
        <w:t xml:space="preserve"> </w:t>
      </w:r>
      <w:r w:rsidRPr="003236EA">
        <w:rPr>
          <w:rFonts w:cs="Arial"/>
          <w:rtl/>
        </w:rPr>
        <w:t>נראה בעיני אשה שקבלה גיטא בליליא ל"ש מידו לידה ל"ש מיד שלוחו ל"ש באותה מדינה ל"ש בבא ממדינת הים אחרת</w:t>
      </w:r>
      <w:r w:rsidR="00F66A52">
        <w:rPr>
          <w:rFonts w:cs="Arial" w:hint="cs"/>
          <w:rtl/>
        </w:rPr>
        <w:t xml:space="preserve"> -</w:t>
      </w:r>
      <w:r w:rsidRPr="003236EA">
        <w:rPr>
          <w:rFonts w:cs="Arial"/>
          <w:rtl/>
        </w:rPr>
        <w:t xml:space="preserve"> לאו כלום הוא ואינה מגורשת כלל.</w:t>
      </w:r>
      <w:r w:rsidR="006E4A64">
        <w:rPr>
          <w:rFonts w:cs="Arial" w:hint="cs"/>
          <w:rtl/>
        </w:rPr>
        <w:t>..</w:t>
      </w:r>
      <w:r w:rsidRPr="003236EA">
        <w:rPr>
          <w:rFonts w:cs="Arial"/>
          <w:rtl/>
        </w:rPr>
        <w:t xml:space="preserve"> ודבר זה לא כתבתי לסמוך עלי בשעת מעשה עד שאשמע דעת רבותי מה יאמרו</w:t>
      </w:r>
      <w:r w:rsidR="00EC7C77">
        <w:rPr>
          <w:rFonts w:cs="Arial" w:hint="cs"/>
          <w:rtl/>
        </w:rPr>
        <w:t>,</w:t>
      </w:r>
      <w:r w:rsidRPr="003236EA">
        <w:rPr>
          <w:rFonts w:cs="Arial"/>
          <w:rtl/>
        </w:rPr>
        <w:t xml:space="preserve"> אע</w:t>
      </w:r>
      <w:r w:rsidR="006E4A64">
        <w:rPr>
          <w:rFonts w:cs="Arial" w:hint="cs"/>
          <w:rtl/>
        </w:rPr>
        <w:t>"</w:t>
      </w:r>
      <w:r w:rsidRPr="003236EA">
        <w:rPr>
          <w:rFonts w:cs="Arial"/>
          <w:rtl/>
        </w:rPr>
        <w:t>פ שנראה בעיני כמו שהוכחתי מחליצה מדכתיב ביה משפט</w:t>
      </w:r>
      <w:r w:rsidRPr="006E4A64">
        <w:rPr>
          <w:rFonts w:cs="Arial"/>
          <w:rtl/>
        </w:rPr>
        <w:t xml:space="preserve">. </w:t>
      </w:r>
    </w:p>
    <w:p w14:paraId="50F575E1" w14:textId="5F89411C" w:rsidR="00FF3F81" w:rsidRDefault="00FF3F81" w:rsidP="00A65C5F">
      <w:pPr>
        <w:pStyle w:val="ab"/>
        <w:numPr>
          <w:ilvl w:val="0"/>
          <w:numId w:val="40"/>
        </w:numPr>
        <w:rPr>
          <w:rFonts w:cs="Arial"/>
        </w:rPr>
      </w:pPr>
      <w:r w:rsidRPr="00764738">
        <w:rPr>
          <w:rFonts w:cs="Arial"/>
          <w:rtl/>
        </w:rPr>
        <w:t xml:space="preserve">מהר"י מינץ </w:t>
      </w:r>
      <w:r w:rsidRPr="00084FB5">
        <w:rPr>
          <w:rFonts w:cs="Arial" w:hint="cs"/>
          <w:sz w:val="16"/>
          <w:szCs w:val="16"/>
          <w:rtl/>
        </w:rPr>
        <w:t>(</w:t>
      </w:r>
      <w:r w:rsidRPr="00084FB5">
        <w:rPr>
          <w:rFonts w:cs="Arial"/>
          <w:sz w:val="16"/>
          <w:szCs w:val="16"/>
          <w:rtl/>
        </w:rPr>
        <w:t>סדר הגט סי' נז</w:t>
      </w:r>
      <w:r>
        <w:rPr>
          <w:rFonts w:cs="Arial" w:hint="cs"/>
          <w:sz w:val="16"/>
          <w:szCs w:val="16"/>
          <w:rtl/>
        </w:rPr>
        <w:t>, ובס' ע</w:t>
      </w:r>
      <w:r w:rsidRPr="00084FB5">
        <w:rPr>
          <w:rFonts w:cs="Arial"/>
          <w:sz w:val="16"/>
          <w:szCs w:val="16"/>
          <w:rtl/>
        </w:rPr>
        <w:t>)</w:t>
      </w:r>
      <w:r>
        <w:rPr>
          <w:rFonts w:cs="Arial" w:hint="cs"/>
          <w:rtl/>
        </w:rPr>
        <w:t>-</w:t>
      </w:r>
      <w:r w:rsidRPr="00764738">
        <w:rPr>
          <w:rFonts w:cs="Arial"/>
          <w:rtl/>
        </w:rPr>
        <w:t xml:space="preserve"> אם נתגרשה בלילה הגט פסול.</w:t>
      </w:r>
      <w:r w:rsidR="00095F7E" w:rsidRPr="00095F7E">
        <w:rPr>
          <w:rFonts w:cs="Arial" w:hint="cs"/>
          <w:color w:val="00B0F0"/>
          <w:rtl/>
        </w:rPr>
        <w:t xml:space="preserve"> </w:t>
      </w:r>
    </w:p>
    <w:p w14:paraId="754928C7" w14:textId="3CC20097" w:rsidR="00F43A58" w:rsidRPr="00F43A58" w:rsidRDefault="00F43A58" w:rsidP="00F43A58">
      <w:pPr>
        <w:pStyle w:val="ab"/>
        <w:numPr>
          <w:ilvl w:val="1"/>
          <w:numId w:val="40"/>
        </w:numPr>
      </w:pPr>
      <w:r>
        <w:rPr>
          <w:rFonts w:cs="Arial"/>
          <w:rtl/>
        </w:rPr>
        <w:lastRenderedPageBreak/>
        <w:t xml:space="preserve">בנימין זאב </w:t>
      </w:r>
      <w:r>
        <w:rPr>
          <w:rFonts w:cs="Arial"/>
          <w:sz w:val="16"/>
          <w:szCs w:val="16"/>
          <w:rtl/>
        </w:rPr>
        <w:t>(סי' קכב)</w:t>
      </w:r>
      <w:r>
        <w:rPr>
          <w:rFonts w:cs="Arial"/>
          <w:rtl/>
        </w:rPr>
        <w:t>- לכתחלה יתנהו לה ביום.</w:t>
      </w:r>
      <w:r w:rsidRPr="009767B9">
        <w:rPr>
          <w:rFonts w:cs="Arial" w:hint="cs"/>
          <w:color w:val="E36C0A" w:themeColor="accent6" w:themeShade="BF"/>
          <w:rtl/>
        </w:rPr>
        <w:t xml:space="preserve"> </w:t>
      </w:r>
      <w:r w:rsidR="009767B9" w:rsidRPr="009767B9">
        <w:rPr>
          <w:rFonts w:cs="Arial" w:hint="cs"/>
          <w:color w:val="E36C0A" w:themeColor="accent6" w:themeShade="BF"/>
          <w:rtl/>
        </w:rPr>
        <w:t>(וכ"פ השו"ע</w:t>
      </w:r>
      <w:r w:rsidR="009767B9">
        <w:rPr>
          <w:rFonts w:cs="Arial" w:hint="cs"/>
          <w:color w:val="E36C0A" w:themeColor="accent6" w:themeShade="BF"/>
          <w:sz w:val="16"/>
          <w:szCs w:val="16"/>
          <w:rtl/>
        </w:rPr>
        <w:t xml:space="preserve"> </w:t>
      </w:r>
      <w:r w:rsidR="009767B9" w:rsidRPr="009767B9">
        <w:rPr>
          <w:rFonts w:cs="Arial" w:hint="cs"/>
          <w:color w:val="000000" w:themeColor="text1"/>
          <w:sz w:val="16"/>
          <w:szCs w:val="16"/>
          <w:rtl/>
        </w:rPr>
        <w:t>[</w:t>
      </w:r>
      <w:r w:rsidR="00983401">
        <w:rPr>
          <w:rFonts w:cs="Arial" w:hint="cs"/>
          <w:color w:val="000000" w:themeColor="text1"/>
          <w:sz w:val="16"/>
          <w:szCs w:val="16"/>
          <w:rtl/>
        </w:rPr>
        <w:t>סדר הגט ספ"ח</w:t>
      </w:r>
      <w:r w:rsidR="009767B9" w:rsidRPr="009767B9">
        <w:rPr>
          <w:rFonts w:cs="Arial" w:hint="cs"/>
          <w:color w:val="000000" w:themeColor="text1"/>
          <w:sz w:val="16"/>
          <w:szCs w:val="16"/>
          <w:rtl/>
        </w:rPr>
        <w:t>]</w:t>
      </w:r>
      <w:r w:rsidR="009767B9" w:rsidRPr="009767B9">
        <w:rPr>
          <w:rFonts w:cs="Arial" w:hint="cs"/>
          <w:color w:val="E36C0A" w:themeColor="accent6" w:themeShade="BF"/>
          <w:rtl/>
        </w:rPr>
        <w:t>)</w:t>
      </w:r>
      <w:r w:rsidRPr="00646BFD">
        <w:rPr>
          <w:rFonts w:cs="Arial" w:hint="cs"/>
          <w:color w:val="00B0F0"/>
          <w:rtl/>
        </w:rPr>
        <w:t>(וכ"</w:t>
      </w:r>
      <w:r>
        <w:rPr>
          <w:rFonts w:cs="Arial" w:hint="cs"/>
          <w:color w:val="00B0F0"/>
          <w:rtl/>
        </w:rPr>
        <w:t>פ</w:t>
      </w:r>
      <w:r w:rsidRPr="00646BFD">
        <w:rPr>
          <w:rFonts w:cs="Arial" w:hint="cs"/>
          <w:color w:val="00B0F0"/>
          <w:rtl/>
        </w:rPr>
        <w:t xml:space="preserve"> הרמ"א</w:t>
      </w:r>
      <w:r>
        <w:rPr>
          <w:rFonts w:cs="Arial" w:hint="cs"/>
          <w:color w:val="00B0F0"/>
          <w:sz w:val="16"/>
          <w:szCs w:val="16"/>
          <w:rtl/>
        </w:rPr>
        <w:t xml:space="preserve"> </w:t>
      </w:r>
      <w:r w:rsidRPr="00F43A58">
        <w:rPr>
          <w:rFonts w:cs="Arial" w:hint="cs"/>
          <w:color w:val="000000" w:themeColor="text1"/>
          <w:sz w:val="16"/>
          <w:szCs w:val="16"/>
          <w:rtl/>
        </w:rPr>
        <w:t>[</w:t>
      </w:r>
      <w:r>
        <w:rPr>
          <w:rFonts w:cs="Arial" w:hint="cs"/>
          <w:color w:val="000000" w:themeColor="text1"/>
          <w:sz w:val="16"/>
          <w:szCs w:val="16"/>
          <w:rtl/>
        </w:rPr>
        <w:t xml:space="preserve">סי' קמב </w:t>
      </w:r>
      <w:r w:rsidR="00C440FC">
        <w:rPr>
          <w:rFonts w:cs="Arial" w:hint="cs"/>
          <w:color w:val="000000" w:themeColor="text1"/>
          <w:sz w:val="16"/>
          <w:szCs w:val="16"/>
          <w:rtl/>
        </w:rPr>
        <w:t>ס"ה</w:t>
      </w:r>
      <w:r w:rsidRPr="00F43A58">
        <w:rPr>
          <w:rFonts w:cs="Arial" w:hint="cs"/>
          <w:color w:val="000000" w:themeColor="text1"/>
          <w:sz w:val="16"/>
          <w:szCs w:val="16"/>
          <w:rtl/>
        </w:rPr>
        <w:t>]</w:t>
      </w:r>
      <w:r w:rsidRPr="00646BFD">
        <w:rPr>
          <w:rFonts w:cs="Arial" w:hint="cs"/>
          <w:color w:val="00B0F0"/>
          <w:rtl/>
        </w:rPr>
        <w:t>)</w:t>
      </w:r>
    </w:p>
    <w:p w14:paraId="72F886C6" w14:textId="37141C6D" w:rsidR="00FF3F81" w:rsidRPr="00FF3F81" w:rsidRDefault="00FF3F81" w:rsidP="00FF3F81">
      <w:pPr>
        <w:ind w:left="360"/>
        <w:rPr>
          <w:rFonts w:cs="Arial"/>
          <w:u w:val="dotted"/>
        </w:rPr>
      </w:pPr>
      <w:r w:rsidRPr="00FF3F81">
        <w:rPr>
          <w:rFonts w:cs="Arial" w:hint="cs"/>
          <w:u w:val="dotted"/>
          <w:rtl/>
        </w:rPr>
        <w:t xml:space="preserve">לאו"ז </w:t>
      </w:r>
      <w:r>
        <w:rPr>
          <w:rFonts w:cs="Arial" w:hint="cs"/>
          <w:u w:val="dotted"/>
          <w:rtl/>
        </w:rPr>
        <w:t xml:space="preserve">ומהר"י מינץ </w:t>
      </w:r>
      <w:r w:rsidRPr="00FF3F81">
        <w:rPr>
          <w:rFonts w:cs="Arial" w:hint="cs"/>
          <w:u w:val="dotted"/>
          <w:rtl/>
        </w:rPr>
        <w:t>- מה הדין אם עדיין יום אבל הקהל התפללו כבר ערבית:</w:t>
      </w:r>
    </w:p>
    <w:p w14:paraId="5DBA3B45" w14:textId="63BB351A" w:rsidR="00EB0C12" w:rsidRDefault="00764738" w:rsidP="00A65C5F">
      <w:pPr>
        <w:pStyle w:val="ab"/>
        <w:numPr>
          <w:ilvl w:val="0"/>
          <w:numId w:val="40"/>
        </w:numPr>
        <w:rPr>
          <w:rFonts w:cs="Arial"/>
        </w:rPr>
      </w:pPr>
      <w:r>
        <w:rPr>
          <w:rFonts w:cs="Arial" w:hint="cs"/>
          <w:rtl/>
        </w:rPr>
        <w:t>תרוה"ד</w:t>
      </w:r>
      <w:r w:rsidR="001B68AC" w:rsidRPr="00764738">
        <w:rPr>
          <w:rFonts w:cs="Arial"/>
          <w:rtl/>
        </w:rPr>
        <w:t xml:space="preserve"> </w:t>
      </w:r>
      <w:r w:rsidRPr="00764738">
        <w:rPr>
          <w:rFonts w:cs="Arial" w:hint="cs"/>
          <w:sz w:val="16"/>
          <w:szCs w:val="16"/>
          <w:rtl/>
        </w:rPr>
        <w:t>(</w:t>
      </w:r>
      <w:r w:rsidR="001B68AC" w:rsidRPr="00764738">
        <w:rPr>
          <w:rFonts w:cs="Arial"/>
          <w:sz w:val="16"/>
          <w:szCs w:val="16"/>
          <w:rtl/>
        </w:rPr>
        <w:t>סי</w:t>
      </w:r>
      <w:r w:rsidRPr="00764738">
        <w:rPr>
          <w:rFonts w:cs="Arial" w:hint="cs"/>
          <w:sz w:val="16"/>
          <w:szCs w:val="16"/>
          <w:rtl/>
        </w:rPr>
        <w:t>'</w:t>
      </w:r>
      <w:r w:rsidR="001B68AC" w:rsidRPr="00764738">
        <w:rPr>
          <w:rFonts w:cs="Arial"/>
          <w:sz w:val="16"/>
          <w:szCs w:val="16"/>
          <w:rtl/>
        </w:rPr>
        <w:t xml:space="preserve"> רמח</w:t>
      </w:r>
      <w:r w:rsidRPr="00764738">
        <w:rPr>
          <w:rFonts w:cs="Arial" w:hint="cs"/>
          <w:sz w:val="16"/>
          <w:szCs w:val="16"/>
          <w:rtl/>
        </w:rPr>
        <w:t>)</w:t>
      </w:r>
      <w:r w:rsidR="00A82951">
        <w:rPr>
          <w:rFonts w:cs="Arial" w:hint="cs"/>
          <w:rtl/>
        </w:rPr>
        <w:t>-</w:t>
      </w:r>
      <w:r w:rsidR="001B68AC" w:rsidRPr="00764738">
        <w:rPr>
          <w:rFonts w:cs="Arial"/>
          <w:rtl/>
        </w:rPr>
        <w:t xml:space="preserve"> </w:t>
      </w:r>
      <w:r w:rsidR="00706941">
        <w:rPr>
          <w:rStyle w:val="a7"/>
          <w:rFonts w:cs="Arial"/>
          <w:rtl/>
        </w:rPr>
        <w:footnoteReference w:id="417"/>
      </w:r>
      <w:r w:rsidR="00EB0C12" w:rsidRPr="00EB0C12">
        <w:rPr>
          <w:rFonts w:cs="Arial"/>
          <w:rtl/>
        </w:rPr>
        <w:t>וכן ראיתי אחד מהגדולים שפסל גט שנתן לאחר שהתפללו קהל ערבית אע</w:t>
      </w:r>
      <w:r w:rsidR="00706941">
        <w:rPr>
          <w:rFonts w:cs="Arial" w:hint="cs"/>
          <w:rtl/>
        </w:rPr>
        <w:t>"</w:t>
      </w:r>
      <w:r w:rsidR="00EB0C12" w:rsidRPr="00EB0C12">
        <w:rPr>
          <w:rFonts w:cs="Arial"/>
          <w:rtl/>
        </w:rPr>
        <w:t>פ שהיה עודנו יום דיי. וכן כתב לי אחד מן הגדולים בתשובה שגדול אחד רבו פסל גט שנתן לאחר ערבית</w:t>
      </w:r>
      <w:r w:rsidR="00084FB5">
        <w:rPr>
          <w:rFonts w:cs="Arial" w:hint="cs"/>
          <w:rtl/>
        </w:rPr>
        <w:t>,</w:t>
      </w:r>
      <w:r w:rsidR="00EB0C12" w:rsidRPr="00EB0C12">
        <w:rPr>
          <w:rFonts w:cs="Arial"/>
          <w:rtl/>
        </w:rPr>
        <w:t xml:space="preserve"> והטעם משום דכתב בתשובת א</w:t>
      </w:r>
      <w:r w:rsidR="00706941">
        <w:rPr>
          <w:rFonts w:cs="Arial" w:hint="cs"/>
          <w:rtl/>
        </w:rPr>
        <w:t>ו</w:t>
      </w:r>
      <w:r w:rsidR="00EB0C12" w:rsidRPr="00EB0C12">
        <w:rPr>
          <w:rFonts w:cs="Arial"/>
          <w:rtl/>
        </w:rPr>
        <w:t>"ז</w:t>
      </w:r>
      <w:r w:rsidR="00706941">
        <w:rPr>
          <w:rFonts w:cs="Arial" w:hint="cs"/>
          <w:rtl/>
        </w:rPr>
        <w:t xml:space="preserve"> </w:t>
      </w:r>
      <w:r w:rsidR="00706941" w:rsidRPr="00706941">
        <w:rPr>
          <w:rFonts w:cs="Arial" w:hint="cs"/>
          <w:sz w:val="16"/>
          <w:szCs w:val="16"/>
          <w:rtl/>
        </w:rPr>
        <w:t>(סי' תשמה)</w:t>
      </w:r>
      <w:r w:rsidR="00EB0C12" w:rsidRPr="00EB0C12">
        <w:rPr>
          <w:rFonts w:cs="Arial"/>
          <w:rtl/>
        </w:rPr>
        <w:t xml:space="preserve"> דאשה שקבלה גיטה בלילה אינה מגורשת</w:t>
      </w:r>
      <w:r w:rsidR="00F53251">
        <w:rPr>
          <w:rStyle w:val="a7"/>
          <w:rFonts w:cs="Arial"/>
          <w:rtl/>
        </w:rPr>
        <w:footnoteReference w:id="418"/>
      </w:r>
      <w:r w:rsidR="00706941">
        <w:rPr>
          <w:rFonts w:cs="Arial" w:hint="cs"/>
          <w:rtl/>
        </w:rPr>
        <w:t>.</w:t>
      </w:r>
      <w:r w:rsidR="00646BFD">
        <w:rPr>
          <w:rFonts w:cs="Arial" w:hint="cs"/>
          <w:rtl/>
        </w:rPr>
        <w:t xml:space="preserve"> </w:t>
      </w:r>
    </w:p>
    <w:p w14:paraId="348C2151" w14:textId="799D7E10" w:rsidR="00764738" w:rsidRPr="00F53251" w:rsidRDefault="001B68AC" w:rsidP="00A65C5F">
      <w:pPr>
        <w:pStyle w:val="ab"/>
        <w:numPr>
          <w:ilvl w:val="0"/>
          <w:numId w:val="40"/>
        </w:numPr>
        <w:rPr>
          <w:rFonts w:cs="Arial"/>
        </w:rPr>
      </w:pPr>
      <w:r w:rsidRPr="00764738">
        <w:rPr>
          <w:rFonts w:cs="Arial"/>
          <w:rtl/>
        </w:rPr>
        <w:t xml:space="preserve">מהר"י מינץ </w:t>
      </w:r>
      <w:r w:rsidR="00084FB5" w:rsidRPr="00084FB5">
        <w:rPr>
          <w:rFonts w:cs="Arial" w:hint="cs"/>
          <w:sz w:val="16"/>
          <w:szCs w:val="16"/>
          <w:rtl/>
        </w:rPr>
        <w:t>(</w:t>
      </w:r>
      <w:r w:rsidRPr="00084FB5">
        <w:rPr>
          <w:rFonts w:cs="Arial"/>
          <w:sz w:val="16"/>
          <w:szCs w:val="16"/>
          <w:rtl/>
        </w:rPr>
        <w:t>סדר הגט סי' נז</w:t>
      </w:r>
      <w:r w:rsidR="00D918DF">
        <w:rPr>
          <w:rFonts w:cs="Arial" w:hint="cs"/>
          <w:sz w:val="16"/>
          <w:szCs w:val="16"/>
          <w:rtl/>
        </w:rPr>
        <w:t>, ובס' ע</w:t>
      </w:r>
      <w:r w:rsidRPr="00084FB5">
        <w:rPr>
          <w:rFonts w:cs="Arial"/>
          <w:sz w:val="16"/>
          <w:szCs w:val="16"/>
          <w:rtl/>
        </w:rPr>
        <w:t>)</w:t>
      </w:r>
      <w:r w:rsidR="00A82951">
        <w:rPr>
          <w:rFonts w:cs="Arial" w:hint="cs"/>
          <w:rtl/>
        </w:rPr>
        <w:t>-</w:t>
      </w:r>
      <w:r w:rsidRPr="00764738">
        <w:rPr>
          <w:rFonts w:cs="Arial"/>
          <w:rtl/>
        </w:rPr>
        <w:t xml:space="preserve"> אם נתגרשה בלילה הגט פסול.</w:t>
      </w:r>
      <w:r w:rsidRPr="00084FB5">
        <w:rPr>
          <w:rFonts w:cs="Arial"/>
          <w:sz w:val="16"/>
          <w:szCs w:val="16"/>
          <w:rtl/>
        </w:rPr>
        <w:t xml:space="preserve"> </w:t>
      </w:r>
      <w:r w:rsidR="00D918DF">
        <w:rPr>
          <w:rFonts w:cs="Arial" w:hint="cs"/>
          <w:sz w:val="16"/>
          <w:szCs w:val="16"/>
          <w:rtl/>
        </w:rPr>
        <w:t>{</w:t>
      </w:r>
      <w:r w:rsidRPr="00084FB5">
        <w:rPr>
          <w:rFonts w:cs="Arial"/>
          <w:sz w:val="16"/>
          <w:szCs w:val="16"/>
          <w:rtl/>
        </w:rPr>
        <w:t>ו</w:t>
      </w:r>
      <w:r w:rsidR="00084FB5" w:rsidRPr="00084FB5">
        <w:rPr>
          <w:rFonts w:cs="Arial" w:hint="cs"/>
          <w:sz w:val="16"/>
          <w:szCs w:val="16"/>
          <w:rtl/>
        </w:rPr>
        <w:t>הוסיף</w:t>
      </w:r>
      <w:r w:rsidRPr="00084FB5">
        <w:rPr>
          <w:rFonts w:cs="Arial"/>
          <w:sz w:val="16"/>
          <w:szCs w:val="16"/>
          <w:rtl/>
        </w:rPr>
        <w:t xml:space="preserve"> </w:t>
      </w:r>
      <w:r w:rsidR="00D918DF">
        <w:rPr>
          <w:rFonts w:cs="Arial" w:hint="cs"/>
          <w:sz w:val="16"/>
          <w:szCs w:val="16"/>
          <w:rtl/>
        </w:rPr>
        <w:t>ב</w:t>
      </w:r>
      <w:r w:rsidRPr="00084FB5">
        <w:rPr>
          <w:rFonts w:cs="Arial"/>
          <w:sz w:val="16"/>
          <w:szCs w:val="16"/>
          <w:rtl/>
        </w:rPr>
        <w:t>סי' ע</w:t>
      </w:r>
      <w:r w:rsidR="00D918DF">
        <w:rPr>
          <w:rFonts w:cs="Arial" w:hint="cs"/>
          <w:sz w:val="16"/>
          <w:szCs w:val="16"/>
          <w:rtl/>
        </w:rPr>
        <w:t>}</w:t>
      </w:r>
      <w:r w:rsidRPr="00084FB5">
        <w:rPr>
          <w:rFonts w:cs="Arial"/>
          <w:sz w:val="16"/>
          <w:szCs w:val="16"/>
          <w:rtl/>
        </w:rPr>
        <w:t xml:space="preserve"> </w:t>
      </w:r>
      <w:r w:rsidR="00084FB5">
        <w:rPr>
          <w:rFonts w:cs="Arial" w:hint="cs"/>
          <w:rtl/>
        </w:rPr>
        <w:t>ו</w:t>
      </w:r>
      <w:r w:rsidRPr="00764738">
        <w:rPr>
          <w:rFonts w:cs="Arial"/>
          <w:rtl/>
        </w:rPr>
        <w:t>הוא הדין קודם מנחה משתחשך דבעינן יום ולא לילה</w:t>
      </w:r>
      <w:r w:rsidR="00084FB5">
        <w:rPr>
          <w:rFonts w:cs="Arial" w:hint="cs"/>
          <w:rtl/>
        </w:rPr>
        <w:t>,</w:t>
      </w:r>
      <w:r w:rsidRPr="00764738">
        <w:rPr>
          <w:rFonts w:cs="Arial"/>
          <w:rtl/>
        </w:rPr>
        <w:t xml:space="preserve"> כן כתב מהר"ן מאיגרא</w:t>
      </w:r>
      <w:r w:rsidR="00084FB5">
        <w:rPr>
          <w:rFonts w:cs="Arial" w:hint="cs"/>
          <w:rtl/>
        </w:rPr>
        <w:t>...</w:t>
      </w:r>
      <w:r w:rsidRPr="00764738">
        <w:rPr>
          <w:rFonts w:cs="Arial"/>
          <w:rtl/>
        </w:rPr>
        <w:t xml:space="preserve"> וכתב מהר"י מולין </w:t>
      </w:r>
      <w:r w:rsidRPr="00084FB5">
        <w:rPr>
          <w:rFonts w:cs="Arial"/>
          <w:sz w:val="16"/>
          <w:szCs w:val="16"/>
          <w:rtl/>
        </w:rPr>
        <w:t xml:space="preserve">(שו"ת מהרי"ל החדשות סי' צה) </w:t>
      </w:r>
      <w:r w:rsidRPr="00764738">
        <w:rPr>
          <w:rFonts w:cs="Arial"/>
          <w:rtl/>
        </w:rPr>
        <w:t xml:space="preserve">דכשהתפללו הקהל אע"ג דאיהו לא התפלל ועדיין היום גדול אפ"ה אין לתת גט. </w:t>
      </w:r>
    </w:p>
    <w:p w14:paraId="49D1797D" w14:textId="77777777" w:rsidR="00677A75" w:rsidRPr="007B74F1" w:rsidRDefault="00677A75" w:rsidP="00677A7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EC18499" w14:textId="3B1F15AE" w:rsidR="00677A75" w:rsidRDefault="00677A75" w:rsidP="00677A75">
      <w:pPr>
        <w:rPr>
          <w:rFonts w:cs="Arial"/>
          <w:rtl/>
        </w:rPr>
      </w:pPr>
      <w:r w:rsidRPr="00677A75">
        <w:rPr>
          <w:rFonts w:cs="Arial"/>
          <w:rtl/>
        </w:rPr>
        <w:t>הכותב גט בשבת או ביום הכפורים, בשוגג, ונתנו לה, הרי זו מגורשת. כתבו וחתמו בזדון בו ביום או ביום טוב</w:t>
      </w:r>
      <w:r w:rsidR="00646BFD">
        <w:rPr>
          <w:rStyle w:val="a7"/>
          <w:rFonts w:cs="Arial"/>
          <w:rtl/>
        </w:rPr>
        <w:footnoteReference w:id="419"/>
      </w:r>
      <w:r w:rsidRPr="00677A75">
        <w:rPr>
          <w:rFonts w:cs="Arial"/>
          <w:rtl/>
        </w:rPr>
        <w:t>, ונתנו לה, אינה מגורשת, שהרי העדים פסולים מן התורה. כתבו ביום טוב בזדון, ונמסר לה בפני עדים כשרים, הרי זה גט פסול</w:t>
      </w:r>
      <w:r w:rsidR="00646BFD">
        <w:rPr>
          <w:rStyle w:val="a7"/>
          <w:rFonts w:cs="Arial"/>
          <w:rtl/>
        </w:rPr>
        <w:footnoteReference w:id="420"/>
      </w:r>
      <w:r w:rsidRPr="00677A75">
        <w:rPr>
          <w:rFonts w:cs="Arial"/>
          <w:rtl/>
        </w:rPr>
        <w:t xml:space="preserve">. </w:t>
      </w:r>
      <w:r w:rsidRPr="00E44BB9">
        <w:rPr>
          <w:rFonts w:cs="Arial"/>
          <w:sz w:val="18"/>
          <w:szCs w:val="18"/>
          <w:rtl/>
        </w:rPr>
        <w:t>הגה: אבל כתבו בזדון ביום הכפורים ושבת, הרי זה בטל מדאורייתא</w:t>
      </w:r>
      <w:r w:rsidR="00D145D5">
        <w:rPr>
          <w:rStyle w:val="a7"/>
          <w:rFonts w:cs="Arial"/>
          <w:sz w:val="18"/>
          <w:szCs w:val="18"/>
          <w:rtl/>
        </w:rPr>
        <w:footnoteReference w:id="421"/>
      </w:r>
      <w:r w:rsidRPr="00E44BB9">
        <w:rPr>
          <w:rFonts w:cs="Arial"/>
          <w:sz w:val="18"/>
          <w:szCs w:val="18"/>
          <w:rtl/>
        </w:rPr>
        <w:t xml:space="preserve"> (כן דקדק הב"י). ואין לגרש בלילה, ואם גירש בלילה י"א דהוי גט פסול (ר"י מינץ). ולכן לאחר שהתפללו הקהל ערבית אע</w:t>
      </w:r>
      <w:r w:rsidR="00D918DF">
        <w:rPr>
          <w:rFonts w:cs="Arial" w:hint="cs"/>
          <w:sz w:val="18"/>
          <w:szCs w:val="18"/>
          <w:rtl/>
        </w:rPr>
        <w:t>"</w:t>
      </w:r>
      <w:r w:rsidRPr="00E44BB9">
        <w:rPr>
          <w:rFonts w:cs="Arial"/>
          <w:sz w:val="18"/>
          <w:szCs w:val="18"/>
          <w:rtl/>
        </w:rPr>
        <w:t>פ שעדיין היום גדול, אין לגרש (ת</w:t>
      </w:r>
      <w:r w:rsidR="00E162AE">
        <w:rPr>
          <w:rFonts w:cs="Arial" w:hint="cs"/>
          <w:sz w:val="18"/>
          <w:szCs w:val="18"/>
          <w:rtl/>
        </w:rPr>
        <w:t>רוה"ד</w:t>
      </w:r>
      <w:r w:rsidRPr="00E44BB9">
        <w:rPr>
          <w:rFonts w:cs="Arial"/>
          <w:sz w:val="18"/>
          <w:szCs w:val="18"/>
          <w:rtl/>
        </w:rPr>
        <w:t>). ועיין לקמן סוף סימן קנ"ד סעיף פ"ח ופ"ט.</w:t>
      </w:r>
    </w:p>
    <w:p w14:paraId="13B76DD4" w14:textId="77777777" w:rsidR="00C77C34" w:rsidRDefault="00C77C34" w:rsidP="00C77C34">
      <w:pPr>
        <w:pStyle w:val="1"/>
        <w:rPr>
          <w:rtl/>
        </w:rPr>
        <w:sectPr w:rsidR="00C77C34" w:rsidSect="00A347B3">
          <w:headerReference w:type="default" r:id="rId15"/>
          <w:footnotePr>
            <w:numRestart w:val="eachSect"/>
          </w:footnotePr>
          <w:pgSz w:w="11906" w:h="16838"/>
          <w:pgMar w:top="720" w:right="1134" w:bottom="720" w:left="1134" w:header="0" w:footer="0" w:gutter="0"/>
          <w:cols w:space="720"/>
          <w:bidi/>
          <w:rtlGutter/>
          <w:docGrid w:linePitch="360"/>
        </w:sectPr>
      </w:pPr>
    </w:p>
    <w:p w14:paraId="41AA929F" w14:textId="707D5875" w:rsidR="00C77C34" w:rsidRPr="00C77C34" w:rsidRDefault="00C77C34" w:rsidP="00C77C34">
      <w:pPr>
        <w:pStyle w:val="1"/>
        <w:rPr>
          <w:rtl/>
        </w:rPr>
      </w:pPr>
      <w:r>
        <w:rPr>
          <w:rFonts w:hint="cs"/>
          <w:rtl/>
        </w:rPr>
        <w:lastRenderedPageBreak/>
        <w:t xml:space="preserve">סימן קכד: </w:t>
      </w:r>
      <w:r w:rsidRPr="00C77C34">
        <w:rPr>
          <w:rtl/>
        </w:rPr>
        <w:t xml:space="preserve">על מה נכתב הגט, ובו ט' סעיפים. </w:t>
      </w:r>
    </w:p>
    <w:p w14:paraId="47C7A279" w14:textId="46643B72" w:rsidR="00C77C34" w:rsidRDefault="00C77C34" w:rsidP="00786DE6">
      <w:pPr>
        <w:pStyle w:val="2"/>
        <w:rPr>
          <w:rtl/>
        </w:rPr>
      </w:pPr>
      <w:r w:rsidRPr="00C77C34">
        <w:rPr>
          <w:rtl/>
        </w:rPr>
        <w:t>סעיף א</w:t>
      </w:r>
      <w:r w:rsidR="00493295">
        <w:rPr>
          <w:rFonts w:hint="cs"/>
          <w:rtl/>
        </w:rPr>
        <w:t>:</w:t>
      </w:r>
      <w:r w:rsidR="00AB4A3D">
        <w:rPr>
          <w:rFonts w:hint="cs"/>
          <w:rtl/>
        </w:rPr>
        <w:t xml:space="preserve"> גט על איסורי הנאה.</w:t>
      </w:r>
    </w:p>
    <w:p w14:paraId="0E659BB0" w14:textId="6E8B2D0C" w:rsidR="00D8236F" w:rsidRDefault="00D8236F" w:rsidP="00D8236F">
      <w:pPr>
        <w:rPr>
          <w:rFonts w:cs="Arial"/>
          <w:rtl/>
        </w:rPr>
      </w:pPr>
      <w:r w:rsidRPr="00AB4A3D">
        <w:rPr>
          <w:rFonts w:cs="Arial" w:hint="cs"/>
          <w:b/>
          <w:bCs/>
          <w:rtl/>
        </w:rPr>
        <w:t xml:space="preserve">גיטין </w:t>
      </w:r>
      <w:r w:rsidRPr="00AB4A3D">
        <w:rPr>
          <w:rFonts w:cs="Arial" w:hint="cs"/>
          <w:b/>
          <w:bCs/>
          <w:sz w:val="16"/>
          <w:szCs w:val="16"/>
          <w:rtl/>
        </w:rPr>
        <w:t>(פ"ב)</w:t>
      </w:r>
      <w:r w:rsidRPr="00AB4A3D">
        <w:rPr>
          <w:rFonts w:cs="Arial" w:hint="cs"/>
          <w:b/>
          <w:bCs/>
          <w:rtl/>
        </w:rPr>
        <w:t xml:space="preserve"> כ ע"א: </w:t>
      </w:r>
      <w:r w:rsidRPr="00F020B4">
        <w:rPr>
          <w:rFonts w:cs="Arial"/>
          <w:u w:val="single"/>
          <w:rtl/>
        </w:rPr>
        <w:t>שלחו מתם</w:t>
      </w:r>
      <w:r w:rsidRPr="00AB4A3D">
        <w:rPr>
          <w:rFonts w:cs="Arial"/>
          <w:rtl/>
        </w:rPr>
        <w:t xml:space="preserve">: כתבו על איסורי הנאה </w:t>
      </w:r>
      <w:r w:rsidR="00A82951">
        <w:rPr>
          <w:rFonts w:cs="Arial"/>
          <w:rtl/>
        </w:rPr>
        <w:t>-</w:t>
      </w:r>
      <w:r w:rsidRPr="00AB4A3D">
        <w:rPr>
          <w:rFonts w:cs="Arial"/>
          <w:rtl/>
        </w:rPr>
        <w:t xml:space="preserve"> כשר.</w:t>
      </w:r>
      <w:r w:rsidRPr="00D8236F">
        <w:rPr>
          <w:rtl/>
        </w:rPr>
        <w:t xml:space="preserve"> </w:t>
      </w:r>
      <w:r w:rsidRPr="00D8236F">
        <w:rPr>
          <w:rFonts w:cs="Arial"/>
          <w:u w:val="single"/>
          <w:rtl/>
        </w:rPr>
        <w:t>אמר רב אשי</w:t>
      </w:r>
      <w:r>
        <w:rPr>
          <w:rFonts w:cs="Arial" w:hint="cs"/>
          <w:rtl/>
        </w:rPr>
        <w:t>:</w:t>
      </w:r>
      <w:r w:rsidRPr="00D8236F">
        <w:rPr>
          <w:rFonts w:cs="Arial"/>
          <w:rtl/>
        </w:rPr>
        <w:t xml:space="preserve"> אף אנן נמי תנינא: על העלה של זית! דילמא שאני עלה של זית, דחזי לאיצטרופי</w:t>
      </w:r>
      <w:r w:rsidRPr="00AB4A3D">
        <w:rPr>
          <w:rFonts w:cs="Arial"/>
          <w:rtl/>
        </w:rPr>
        <w:t xml:space="preserve">. תניא, </w:t>
      </w:r>
      <w:r w:rsidRPr="00F020B4">
        <w:rPr>
          <w:rFonts w:cs="Arial"/>
          <w:u w:val="single"/>
          <w:rtl/>
        </w:rPr>
        <w:t>רבי אומר</w:t>
      </w:r>
      <w:r w:rsidRPr="00AB4A3D">
        <w:rPr>
          <w:rFonts w:cs="Arial"/>
          <w:rtl/>
        </w:rPr>
        <w:t xml:space="preserve">: כתבו על איסורי הנאה </w:t>
      </w:r>
      <w:r w:rsidR="00A82951">
        <w:rPr>
          <w:rFonts w:cs="Arial"/>
          <w:rtl/>
        </w:rPr>
        <w:t>-</w:t>
      </w:r>
      <w:r w:rsidRPr="00AB4A3D">
        <w:rPr>
          <w:rFonts w:cs="Arial"/>
          <w:rtl/>
        </w:rPr>
        <w:t xml:space="preserve"> כשר. נפק לוי דרשה משמיה דרבי ולא קלסוה, משמיה דרבים וקלסוה. אלמא הלכתא כותיה. </w:t>
      </w:r>
    </w:p>
    <w:p w14:paraId="74E8ED54" w14:textId="504BC8F0" w:rsidR="00AB4A3D" w:rsidRPr="00AB4A3D" w:rsidRDefault="00AB4A3D" w:rsidP="00AB4A3D">
      <w:pPr>
        <w:rPr>
          <w:u w:val="single"/>
          <w:rtl/>
        </w:rPr>
      </w:pPr>
      <w:r w:rsidRPr="00AB4A3D">
        <w:rPr>
          <w:rFonts w:hint="cs"/>
          <w:u w:val="single"/>
          <w:rtl/>
        </w:rPr>
        <w:t>גט שנכתב על איסורי הנאה:</w:t>
      </w:r>
    </w:p>
    <w:p w14:paraId="47E42732" w14:textId="3E7FF135" w:rsidR="00D8236F" w:rsidRDefault="00EA0E0F" w:rsidP="00A65C5F">
      <w:pPr>
        <w:pStyle w:val="ab"/>
        <w:numPr>
          <w:ilvl w:val="0"/>
          <w:numId w:val="41"/>
        </w:numPr>
      </w:pPr>
      <w:r>
        <w:rPr>
          <w:rFonts w:cs="Arial" w:hint="cs"/>
          <w:rtl/>
        </w:rPr>
        <w:t xml:space="preserve">רמב"ם </w:t>
      </w:r>
      <w:r>
        <w:rPr>
          <w:rFonts w:cs="Arial" w:hint="cs"/>
          <w:sz w:val="16"/>
          <w:szCs w:val="16"/>
          <w:rtl/>
        </w:rPr>
        <w:t>(פ"ד מגירושין ה"ב)</w:t>
      </w:r>
      <w:r>
        <w:rPr>
          <w:rFonts w:cs="Arial" w:hint="cs"/>
          <w:rtl/>
        </w:rPr>
        <w:t xml:space="preserve"> ו</w:t>
      </w:r>
      <w:r w:rsidR="008A0338" w:rsidRPr="00FE510D">
        <w:rPr>
          <w:rFonts w:cs="Arial" w:hint="cs"/>
          <w:rtl/>
        </w:rPr>
        <w:t>טור</w:t>
      </w:r>
      <w:r w:rsidR="00A82951">
        <w:rPr>
          <w:rFonts w:cs="Arial" w:hint="cs"/>
          <w:rtl/>
        </w:rPr>
        <w:t>-</w:t>
      </w:r>
      <w:r w:rsidR="008A0338" w:rsidRPr="00FE510D">
        <w:rPr>
          <w:rFonts w:cs="Arial" w:hint="cs"/>
          <w:rtl/>
        </w:rPr>
        <w:t xml:space="preserve"> </w:t>
      </w:r>
      <w:r w:rsidR="008A0338" w:rsidRPr="00FE510D">
        <w:rPr>
          <w:rFonts w:cs="Arial"/>
          <w:rtl/>
        </w:rPr>
        <w:t>על כל דבר תלוש כותבין הגט</w:t>
      </w:r>
      <w:r w:rsidR="00AB4A3D">
        <w:rPr>
          <w:rFonts w:cs="Arial" w:hint="cs"/>
          <w:rtl/>
        </w:rPr>
        <w:t>,</w:t>
      </w:r>
      <w:r w:rsidR="008A0338" w:rsidRPr="00FE510D">
        <w:rPr>
          <w:rFonts w:cs="Arial"/>
          <w:rtl/>
        </w:rPr>
        <w:t xml:space="preserve"> אפילו על איסור הנאה</w:t>
      </w:r>
      <w:r w:rsidR="00F1697C">
        <w:rPr>
          <w:rFonts w:cs="Arial" w:hint="cs"/>
          <w:sz w:val="16"/>
          <w:szCs w:val="16"/>
          <w:rtl/>
        </w:rPr>
        <w:t xml:space="preserve"> (ל' הטור)</w:t>
      </w:r>
      <w:r w:rsidR="008A0338">
        <w:rPr>
          <w:rFonts w:cs="Arial" w:hint="cs"/>
          <w:rtl/>
        </w:rPr>
        <w:t>.</w:t>
      </w:r>
      <w:r w:rsidR="00F020B4">
        <w:rPr>
          <w:rFonts w:hint="cs"/>
          <w:rtl/>
        </w:rPr>
        <w:t xml:space="preserve"> </w:t>
      </w:r>
    </w:p>
    <w:p w14:paraId="22FA282C" w14:textId="5CCE31A6" w:rsidR="00F1697C" w:rsidRPr="00D8236F" w:rsidRDefault="00F1697C" w:rsidP="00A65C5F">
      <w:pPr>
        <w:pStyle w:val="ab"/>
        <w:numPr>
          <w:ilvl w:val="0"/>
          <w:numId w:val="41"/>
        </w:numPr>
      </w:pPr>
      <w:r>
        <w:rPr>
          <w:rFonts w:cs="Arial" w:hint="cs"/>
          <w:rtl/>
        </w:rPr>
        <w:t xml:space="preserve">תוס' </w:t>
      </w:r>
      <w:r>
        <w:rPr>
          <w:rFonts w:cs="Arial" w:hint="cs"/>
          <w:sz w:val="16"/>
          <w:szCs w:val="16"/>
          <w:rtl/>
        </w:rPr>
        <w:t>(כ: ד"ה בכתובת קעקע)</w:t>
      </w:r>
      <w:r w:rsidR="00A82951">
        <w:rPr>
          <w:rFonts w:cs="Arial" w:hint="cs"/>
          <w:rtl/>
        </w:rPr>
        <w:t>-</w:t>
      </w:r>
      <w:r>
        <w:rPr>
          <w:rFonts w:cs="Arial" w:hint="cs"/>
          <w:rtl/>
        </w:rPr>
        <w:t xml:space="preserve"> </w:t>
      </w:r>
      <w:r w:rsidRPr="00F1697C">
        <w:rPr>
          <w:rFonts w:cs="Arial"/>
          <w:rtl/>
        </w:rPr>
        <w:t>כתבו על איסורי הנאה כשר אע</w:t>
      </w:r>
      <w:r>
        <w:rPr>
          <w:rFonts w:cs="Arial" w:hint="cs"/>
          <w:rtl/>
        </w:rPr>
        <w:t>"</w:t>
      </w:r>
      <w:r w:rsidRPr="00F1697C">
        <w:rPr>
          <w:rFonts w:cs="Arial"/>
          <w:rtl/>
        </w:rPr>
        <w:t>ג דאסור לכתוב דהא מיתהני באיסורי הנאה</w:t>
      </w:r>
      <w:r w:rsidR="009D4669">
        <w:rPr>
          <w:rStyle w:val="a7"/>
          <w:rFonts w:cs="Arial"/>
          <w:rtl/>
        </w:rPr>
        <w:footnoteReference w:id="422"/>
      </w:r>
      <w:r>
        <w:rPr>
          <w:rFonts w:hint="cs"/>
          <w:rtl/>
        </w:rPr>
        <w:t>.</w:t>
      </w:r>
      <w:r w:rsidRPr="00F1697C">
        <w:rPr>
          <w:rFonts w:hint="cs"/>
          <w:color w:val="E36C0A" w:themeColor="accent6" w:themeShade="BF"/>
          <w:rtl/>
        </w:rPr>
        <w:t xml:space="preserve"> </w:t>
      </w:r>
      <w:r w:rsidRPr="00F020B4">
        <w:rPr>
          <w:rFonts w:hint="cs"/>
          <w:color w:val="E36C0A" w:themeColor="accent6" w:themeShade="BF"/>
          <w:rtl/>
        </w:rPr>
        <w:t>(וכ"פ בשו"ע)</w:t>
      </w:r>
    </w:p>
    <w:p w14:paraId="721B32C8" w14:textId="5A0749DB" w:rsidR="00D8236F" w:rsidRPr="00D8236F" w:rsidRDefault="00D8236F" w:rsidP="00D8236F">
      <w:pPr>
        <w:ind w:left="360"/>
        <w:rPr>
          <w:u w:val="dotted"/>
        </w:rPr>
      </w:pPr>
      <w:r w:rsidRPr="00D8236F">
        <w:rPr>
          <w:rFonts w:hint="cs"/>
          <w:u w:val="dotted"/>
          <w:rtl/>
        </w:rPr>
        <w:t>האם מדובר בכל איסורי ה</w:t>
      </w:r>
      <w:r>
        <w:rPr>
          <w:rFonts w:hint="cs"/>
          <w:u w:val="dotted"/>
          <w:rtl/>
        </w:rPr>
        <w:t>ה</w:t>
      </w:r>
      <w:r w:rsidRPr="00D8236F">
        <w:rPr>
          <w:rFonts w:hint="cs"/>
          <w:u w:val="dotted"/>
          <w:rtl/>
        </w:rPr>
        <w:t>נאה:</w:t>
      </w:r>
    </w:p>
    <w:p w14:paraId="05E1A05A" w14:textId="3C45BC25" w:rsidR="00FE510D" w:rsidRPr="00493295" w:rsidRDefault="00FE510D" w:rsidP="00A65C5F">
      <w:pPr>
        <w:pStyle w:val="ab"/>
        <w:numPr>
          <w:ilvl w:val="0"/>
          <w:numId w:val="41"/>
        </w:numPr>
        <w:rPr>
          <w:rtl/>
        </w:rPr>
      </w:pPr>
      <w:r w:rsidRPr="00D8236F">
        <w:rPr>
          <w:rFonts w:cs="Arial"/>
          <w:rtl/>
        </w:rPr>
        <w:t xml:space="preserve">ר"ן </w:t>
      </w:r>
      <w:r w:rsidRPr="00D8236F">
        <w:rPr>
          <w:rFonts w:cs="Arial"/>
          <w:sz w:val="16"/>
          <w:szCs w:val="16"/>
          <w:rtl/>
        </w:rPr>
        <w:t>(י. ד"ה שלחו)</w:t>
      </w:r>
      <w:r w:rsidR="00A82951">
        <w:rPr>
          <w:rFonts w:cs="Arial" w:hint="cs"/>
          <w:rtl/>
        </w:rPr>
        <w:t>-</w:t>
      </w:r>
      <w:r w:rsidRPr="00D8236F">
        <w:rPr>
          <w:rFonts w:cs="Arial"/>
          <w:rtl/>
        </w:rPr>
        <w:t xml:space="preserve"> בכל איסורי הנאה קאמרינן</w:t>
      </w:r>
      <w:r w:rsidR="00D8236F" w:rsidRPr="00D8236F">
        <w:rPr>
          <w:rFonts w:cs="Arial" w:hint="cs"/>
          <w:rtl/>
        </w:rPr>
        <w:t>.</w:t>
      </w:r>
      <w:r w:rsidRPr="00D8236F">
        <w:rPr>
          <w:rFonts w:cs="Arial"/>
          <w:rtl/>
        </w:rPr>
        <w:t xml:space="preserve"> ואע</w:t>
      </w:r>
      <w:r w:rsidR="00D8236F" w:rsidRPr="00D8236F">
        <w:rPr>
          <w:rFonts w:cs="Arial" w:hint="cs"/>
          <w:rtl/>
        </w:rPr>
        <w:t>"</w:t>
      </w:r>
      <w:r w:rsidRPr="00D8236F">
        <w:rPr>
          <w:rFonts w:cs="Arial"/>
          <w:rtl/>
        </w:rPr>
        <w:t xml:space="preserve">ג דכתותי מכתת שיעורייהו </w:t>
      </w:r>
      <w:r w:rsidRPr="00D8236F">
        <w:rPr>
          <w:rFonts w:cs="Arial"/>
          <w:sz w:val="16"/>
          <w:szCs w:val="16"/>
          <w:rtl/>
        </w:rPr>
        <w:t xml:space="preserve">(חולין פט:) </w:t>
      </w:r>
      <w:r w:rsidRPr="00D8236F">
        <w:rPr>
          <w:rFonts w:cs="Arial"/>
          <w:rtl/>
        </w:rPr>
        <w:t>לא אמרינן לה אלא במידי דבעי שיעור</w:t>
      </w:r>
      <w:r w:rsidR="00D8236F" w:rsidRPr="00D8236F">
        <w:rPr>
          <w:rFonts w:cs="Arial" w:hint="cs"/>
          <w:rtl/>
        </w:rPr>
        <w:t>,</w:t>
      </w:r>
      <w:r w:rsidRPr="00D8236F">
        <w:rPr>
          <w:rFonts w:cs="Arial"/>
          <w:rtl/>
        </w:rPr>
        <w:t xml:space="preserve"> כשופר ולולב</w:t>
      </w:r>
      <w:r w:rsidR="00D8236F" w:rsidRPr="00D8236F">
        <w:rPr>
          <w:rFonts w:cs="Arial" w:hint="cs"/>
          <w:rtl/>
        </w:rPr>
        <w:t>.</w:t>
      </w:r>
      <w:r w:rsidRPr="00D8236F">
        <w:rPr>
          <w:rFonts w:cs="Arial"/>
          <w:rtl/>
        </w:rPr>
        <w:t xml:space="preserve"> ומיהו באותם שצריכים להתבער מן העולם למאן דאמר </w:t>
      </w:r>
      <w:r w:rsidRPr="00D8236F">
        <w:rPr>
          <w:rFonts w:cs="Arial"/>
          <w:sz w:val="16"/>
          <w:szCs w:val="16"/>
          <w:rtl/>
        </w:rPr>
        <w:t xml:space="preserve">(מנחות קב:) </w:t>
      </w:r>
      <w:r w:rsidRPr="00D8236F">
        <w:rPr>
          <w:rFonts w:cs="Arial"/>
          <w:rtl/>
        </w:rPr>
        <w:t>כל העומד לשרוף כשרוף דמי משמע דלא הוי גט דכמאן דליתנהו דמי</w:t>
      </w:r>
      <w:r w:rsidR="00D8236F" w:rsidRPr="00D8236F">
        <w:rPr>
          <w:rFonts w:cs="Arial" w:hint="cs"/>
          <w:rtl/>
        </w:rPr>
        <w:t>.</w:t>
      </w:r>
      <w:r w:rsidR="00F020B4">
        <w:rPr>
          <w:rFonts w:hint="cs"/>
          <w:rtl/>
        </w:rPr>
        <w:t xml:space="preserve"> </w:t>
      </w:r>
      <w:r w:rsidR="00F020B4" w:rsidRPr="00F020B4">
        <w:rPr>
          <w:rFonts w:hint="cs"/>
          <w:color w:val="00B0F0"/>
          <w:rtl/>
        </w:rPr>
        <w:t>(וכ"פ הרמ"א)</w:t>
      </w:r>
    </w:p>
    <w:p w14:paraId="07A59B07"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0B0C516" w14:textId="14BEC3F9" w:rsidR="00C77C34" w:rsidRDefault="00C77C34" w:rsidP="00C77C34">
      <w:pPr>
        <w:rPr>
          <w:rFonts w:cs="Arial"/>
          <w:rtl/>
        </w:rPr>
      </w:pPr>
      <w:r w:rsidRPr="00C77C34">
        <w:rPr>
          <w:rFonts w:cs="Arial"/>
          <w:rtl/>
        </w:rPr>
        <w:t>גט שכתבו על איסורי הנאה, כשר.</w:t>
      </w:r>
      <w:r w:rsidRPr="008A0338">
        <w:rPr>
          <w:rFonts w:cs="Arial"/>
          <w:sz w:val="18"/>
          <w:szCs w:val="18"/>
          <w:rtl/>
        </w:rPr>
        <w:t xml:space="preserve"> </w:t>
      </w:r>
      <w:r w:rsidR="008A0338">
        <w:rPr>
          <w:rFonts w:cs="Arial" w:hint="cs"/>
          <w:sz w:val="18"/>
          <w:szCs w:val="18"/>
          <w:rtl/>
        </w:rPr>
        <w:t xml:space="preserve">[הגה] </w:t>
      </w:r>
      <w:r w:rsidRPr="008A0338">
        <w:rPr>
          <w:rFonts w:cs="Arial"/>
          <w:sz w:val="18"/>
          <w:szCs w:val="18"/>
          <w:rtl/>
        </w:rPr>
        <w:t>מיהו בדבר שצריך ביעור מן העולם וצריך שריפה, אם כתב עליו הגט, בטל (ר"ן).</w:t>
      </w:r>
      <w:r w:rsidRPr="00C77C34">
        <w:rPr>
          <w:rFonts w:cs="Arial"/>
          <w:rtl/>
        </w:rPr>
        <w:t xml:space="preserve"> </w:t>
      </w:r>
    </w:p>
    <w:p w14:paraId="52AA2F32" w14:textId="77777777" w:rsidR="008A0338" w:rsidRPr="00C77C34" w:rsidRDefault="008A0338" w:rsidP="00C77C34">
      <w:pPr>
        <w:rPr>
          <w:rFonts w:cs="Arial"/>
          <w:rtl/>
        </w:rPr>
      </w:pPr>
    </w:p>
    <w:p w14:paraId="2885C19F" w14:textId="1E911E6A" w:rsidR="00C77C34" w:rsidRDefault="00C77C34" w:rsidP="00786DE6">
      <w:pPr>
        <w:pStyle w:val="2"/>
        <w:rPr>
          <w:rtl/>
        </w:rPr>
      </w:pPr>
      <w:r w:rsidRPr="00C77C34">
        <w:rPr>
          <w:rtl/>
        </w:rPr>
        <w:t>סעיף ב</w:t>
      </w:r>
      <w:r w:rsidR="00AB4A3D">
        <w:rPr>
          <w:rFonts w:hint="cs"/>
          <w:rtl/>
        </w:rPr>
        <w:t>:</w:t>
      </w:r>
      <w:r w:rsidR="000E3051">
        <w:rPr>
          <w:rFonts w:hint="cs"/>
          <w:rtl/>
        </w:rPr>
        <w:t xml:space="preserve"> גט על דבר שיכול להזדייף.</w:t>
      </w:r>
    </w:p>
    <w:p w14:paraId="0DB106A2" w14:textId="32958EC3" w:rsidR="00AB4A3D" w:rsidRDefault="009726C1" w:rsidP="00AB4A3D">
      <w:pPr>
        <w:rPr>
          <w:rtl/>
        </w:rPr>
      </w:pPr>
      <w:r w:rsidRPr="00AB4A3D">
        <w:rPr>
          <w:rFonts w:cs="Arial" w:hint="cs"/>
          <w:b/>
          <w:bCs/>
          <w:rtl/>
        </w:rPr>
        <w:t xml:space="preserve">גיטין </w:t>
      </w:r>
      <w:r w:rsidRPr="00AB4A3D">
        <w:rPr>
          <w:rFonts w:cs="Arial" w:hint="cs"/>
          <w:b/>
          <w:bCs/>
          <w:sz w:val="16"/>
          <w:szCs w:val="16"/>
          <w:rtl/>
        </w:rPr>
        <w:t>(פ"ב)</w:t>
      </w:r>
      <w:r w:rsidRPr="00AB4A3D">
        <w:rPr>
          <w:rFonts w:cs="Arial" w:hint="cs"/>
          <w:b/>
          <w:bCs/>
          <w:rtl/>
        </w:rPr>
        <w:t xml:space="preserve"> </w:t>
      </w:r>
      <w:r>
        <w:rPr>
          <w:rFonts w:cs="Arial" w:hint="cs"/>
          <w:b/>
          <w:bCs/>
          <w:rtl/>
        </w:rPr>
        <w:t>יט</w:t>
      </w:r>
      <w:r w:rsidRPr="00AB4A3D">
        <w:rPr>
          <w:rFonts w:cs="Arial" w:hint="cs"/>
          <w:b/>
          <w:bCs/>
          <w:rtl/>
        </w:rPr>
        <w:t xml:space="preserve"> ע"א:</w:t>
      </w:r>
      <w:r>
        <w:rPr>
          <w:rFonts w:cs="Arial" w:hint="cs"/>
          <w:rtl/>
        </w:rPr>
        <w:t xml:space="preserve"> </w:t>
      </w:r>
      <w:r w:rsidRPr="009726C1">
        <w:rPr>
          <w:rFonts w:cs="Arial"/>
          <w:u w:val="double"/>
          <w:rtl/>
        </w:rPr>
        <w:t>מתני'</w:t>
      </w:r>
      <w:r>
        <w:rPr>
          <w:rFonts w:cs="Arial" w:hint="cs"/>
          <w:rtl/>
        </w:rPr>
        <w:t>:..</w:t>
      </w:r>
      <w:r w:rsidRPr="009726C1">
        <w:rPr>
          <w:rFonts w:cs="Arial"/>
          <w:rtl/>
        </w:rPr>
        <w:t>. על הכל כותבין, על העלה של זית, ועל הקרן של פרה ונותן לה את הפרה, על יד של עבד ונותן לה את העבד</w:t>
      </w:r>
      <w:r>
        <w:rPr>
          <w:rFonts w:cs="Arial" w:hint="cs"/>
          <w:rtl/>
        </w:rPr>
        <w:t>.</w:t>
      </w:r>
      <w:r w:rsidRPr="009726C1">
        <w:rPr>
          <w:rFonts w:cs="Arial"/>
          <w:rtl/>
        </w:rPr>
        <w:t xml:space="preserve"> </w:t>
      </w:r>
      <w:r w:rsidRPr="009726C1">
        <w:rPr>
          <w:rFonts w:cs="Arial"/>
          <w:u w:val="single"/>
          <w:rtl/>
        </w:rPr>
        <w:t>רבי יוסי הגלילי אומר</w:t>
      </w:r>
      <w:r w:rsidRPr="009726C1">
        <w:rPr>
          <w:rFonts w:cs="Arial"/>
          <w:rtl/>
        </w:rPr>
        <w:t>: אין כותבין לא על דבר שיש בו רוח חיים, ולא על האוכלים.</w:t>
      </w:r>
    </w:p>
    <w:p w14:paraId="2E928D2E" w14:textId="5ACAF849" w:rsidR="0093212B" w:rsidRPr="0093212B" w:rsidRDefault="0093212B" w:rsidP="00AB4A3D">
      <w:pPr>
        <w:rPr>
          <w:u w:val="single"/>
          <w:rtl/>
        </w:rPr>
      </w:pPr>
      <w:r w:rsidRPr="0093212B">
        <w:rPr>
          <w:rFonts w:hint="cs"/>
          <w:u w:val="single"/>
          <w:rtl/>
        </w:rPr>
        <w:t>כתיבת גט על דבר שיכול להזדייף:</w:t>
      </w:r>
    </w:p>
    <w:p w14:paraId="22DF1181" w14:textId="18032A40" w:rsidR="00131C4C" w:rsidRPr="00131C4C" w:rsidRDefault="00131C4C" w:rsidP="00A65C5F">
      <w:pPr>
        <w:pStyle w:val="ab"/>
        <w:numPr>
          <w:ilvl w:val="0"/>
          <w:numId w:val="41"/>
        </w:numPr>
      </w:pPr>
      <w:r>
        <w:rPr>
          <w:rFonts w:cs="Arial" w:hint="cs"/>
          <w:rtl/>
        </w:rPr>
        <w:t xml:space="preserve">רמב"ם </w:t>
      </w:r>
      <w:r>
        <w:rPr>
          <w:rFonts w:cs="Arial" w:hint="cs"/>
          <w:sz w:val="16"/>
          <w:szCs w:val="16"/>
          <w:rtl/>
        </w:rPr>
        <w:t>(פ"ד מגירושין ה"ב</w:t>
      </w:r>
      <w:r w:rsidR="00A82951">
        <w:rPr>
          <w:rFonts w:cs="Arial" w:hint="cs"/>
          <w:sz w:val="16"/>
          <w:szCs w:val="16"/>
          <w:rtl/>
        </w:rPr>
        <w:t>-</w:t>
      </w:r>
      <w:r>
        <w:rPr>
          <w:rFonts w:cs="Arial" w:hint="cs"/>
          <w:sz w:val="16"/>
          <w:szCs w:val="16"/>
          <w:rtl/>
        </w:rPr>
        <w:t>ג)</w:t>
      </w:r>
      <w:r w:rsidR="00A82951">
        <w:rPr>
          <w:rFonts w:cs="Arial" w:hint="cs"/>
          <w:rtl/>
        </w:rPr>
        <w:t>-</w:t>
      </w:r>
      <w:r>
        <w:rPr>
          <w:rFonts w:cs="Arial" w:hint="cs"/>
          <w:rtl/>
        </w:rPr>
        <w:t xml:space="preserve"> </w:t>
      </w:r>
      <w:r w:rsidRPr="00131C4C">
        <w:rPr>
          <w:rFonts w:cs="Arial"/>
          <w:rtl/>
        </w:rPr>
        <w:t>כותבין על דבר שיכול להזדייף</w:t>
      </w:r>
      <w:r w:rsidR="00375502">
        <w:rPr>
          <w:rFonts w:cs="Arial" w:hint="cs"/>
          <w:rtl/>
        </w:rPr>
        <w:t>,</w:t>
      </w:r>
      <w:r w:rsidRPr="00131C4C">
        <w:rPr>
          <w:rFonts w:cs="Arial"/>
          <w:rtl/>
        </w:rPr>
        <w:t xml:space="preserve"> והוא שיתנו לה בעידי מסירה</w:t>
      </w:r>
      <w:r>
        <w:rPr>
          <w:rFonts w:cs="Arial" w:hint="cs"/>
          <w:rtl/>
        </w:rPr>
        <w:t>.</w:t>
      </w:r>
      <w:r w:rsidRPr="00131C4C">
        <w:rPr>
          <w:rFonts w:cs="Arial"/>
          <w:rtl/>
        </w:rPr>
        <w:t xml:space="preserve"> כיצד</w:t>
      </w:r>
      <w:r w:rsidR="00C6481B">
        <w:rPr>
          <w:rFonts w:cs="Arial" w:hint="cs"/>
          <w:rtl/>
        </w:rPr>
        <w:t>,</w:t>
      </w:r>
      <w:r w:rsidRPr="00131C4C">
        <w:rPr>
          <w:rFonts w:cs="Arial"/>
          <w:rtl/>
        </w:rPr>
        <w:t xml:space="preserve"> כותב על הנייר המחוק ועל הדפתרא ועל החרס ועל העלין ועל ידו של עבד ועל קרן של פרה</w:t>
      </w:r>
      <w:r w:rsidR="00B25286">
        <w:rPr>
          <w:rFonts w:cs="Arial" w:hint="cs"/>
          <w:rtl/>
        </w:rPr>
        <w:t>,</w:t>
      </w:r>
      <w:r w:rsidRPr="00131C4C">
        <w:rPr>
          <w:rFonts w:cs="Arial"/>
          <w:rtl/>
        </w:rPr>
        <w:t xml:space="preserve"> ומוסר לה העבד והפרה או הנייר המחוק והדפתרא וכיוצא בו בפני עדים. </w:t>
      </w:r>
      <w:r w:rsidR="00375502" w:rsidRPr="00375502">
        <w:rPr>
          <w:rFonts w:hint="cs"/>
          <w:color w:val="E36C0A" w:themeColor="accent6" w:themeShade="BF"/>
          <w:rtl/>
        </w:rPr>
        <w:t>(וכ"פ בשו"ע)</w:t>
      </w:r>
    </w:p>
    <w:p w14:paraId="6390A8DE" w14:textId="69AD86EA" w:rsidR="0002217D" w:rsidRDefault="008A0338" w:rsidP="00A65C5F">
      <w:pPr>
        <w:pStyle w:val="ab"/>
        <w:numPr>
          <w:ilvl w:val="0"/>
          <w:numId w:val="41"/>
        </w:numPr>
      </w:pPr>
      <w:r w:rsidRPr="00FE510D">
        <w:rPr>
          <w:rFonts w:cs="Arial" w:hint="cs"/>
          <w:rtl/>
        </w:rPr>
        <w:t>טור</w:t>
      </w:r>
      <w:r w:rsidR="00A82951">
        <w:rPr>
          <w:rFonts w:cs="Arial" w:hint="cs"/>
          <w:rtl/>
        </w:rPr>
        <w:t>-</w:t>
      </w:r>
      <w:r w:rsidRPr="00FE510D">
        <w:rPr>
          <w:rFonts w:cs="Arial" w:hint="cs"/>
          <w:rtl/>
        </w:rPr>
        <w:t xml:space="preserve"> </w:t>
      </w:r>
      <w:r w:rsidRPr="00FE510D">
        <w:rPr>
          <w:rFonts w:cs="Arial"/>
          <w:rtl/>
        </w:rPr>
        <w:t>על כל דבר תלוש כותבין הגט</w:t>
      </w:r>
      <w:r w:rsidR="00AB4A3D">
        <w:rPr>
          <w:rFonts w:cs="Arial" w:hint="cs"/>
          <w:rtl/>
        </w:rPr>
        <w:t>...</w:t>
      </w:r>
      <w:r w:rsidRPr="00FE510D">
        <w:rPr>
          <w:rFonts w:cs="Arial"/>
          <w:rtl/>
        </w:rPr>
        <w:t xml:space="preserve"> אפילו על עלה של זית</w:t>
      </w:r>
      <w:r w:rsidR="00820E56">
        <w:rPr>
          <w:rFonts w:cs="Arial" w:hint="cs"/>
          <w:rtl/>
        </w:rPr>
        <w:t>,</w:t>
      </w:r>
      <w:r w:rsidRPr="00FE510D">
        <w:rPr>
          <w:rFonts w:cs="Arial"/>
          <w:rtl/>
        </w:rPr>
        <w:t xml:space="preserve"> אע</w:t>
      </w:r>
      <w:r w:rsidR="00AB4A3D">
        <w:rPr>
          <w:rFonts w:cs="Arial" w:hint="cs"/>
          <w:rtl/>
        </w:rPr>
        <w:t>"</w:t>
      </w:r>
      <w:r w:rsidRPr="00FE510D">
        <w:rPr>
          <w:rFonts w:cs="Arial"/>
          <w:rtl/>
        </w:rPr>
        <w:t>פ שהוא דבר המזדייף</w:t>
      </w:r>
      <w:r w:rsidR="00002F53">
        <w:rPr>
          <w:rFonts w:cs="Arial" w:hint="cs"/>
          <w:rtl/>
        </w:rPr>
        <w:t xml:space="preserve"> </w:t>
      </w:r>
      <w:r w:rsidRPr="00FE510D">
        <w:rPr>
          <w:rFonts w:cs="Arial"/>
          <w:rtl/>
        </w:rPr>
        <w:t>כשר</w:t>
      </w:r>
      <w:r w:rsidR="00820E56">
        <w:rPr>
          <w:rFonts w:cs="Arial" w:hint="cs"/>
          <w:rtl/>
        </w:rPr>
        <w:t>,</w:t>
      </w:r>
      <w:r w:rsidRPr="00FE510D">
        <w:rPr>
          <w:rFonts w:cs="Arial"/>
          <w:rtl/>
        </w:rPr>
        <w:t xml:space="preserve"> אפי' לזמן מרובה</w:t>
      </w:r>
      <w:r w:rsidR="00AB4A3D">
        <w:rPr>
          <w:rFonts w:cs="Arial" w:hint="cs"/>
          <w:rtl/>
        </w:rPr>
        <w:t>,</w:t>
      </w:r>
      <w:r w:rsidRPr="00FE510D">
        <w:rPr>
          <w:rFonts w:cs="Arial"/>
          <w:rtl/>
        </w:rPr>
        <w:t xml:space="preserve"> ולא חיישינן שמא היה בו תנאי ונמחק</w:t>
      </w:r>
      <w:r w:rsidR="00002F53">
        <w:rPr>
          <w:rStyle w:val="a7"/>
          <w:rFonts w:cs="Arial"/>
          <w:rtl/>
        </w:rPr>
        <w:footnoteReference w:id="423"/>
      </w:r>
      <w:r w:rsidR="00002F53">
        <w:rPr>
          <w:rFonts w:cs="Arial" w:hint="cs"/>
          <w:rtl/>
        </w:rPr>
        <w:t>,</w:t>
      </w:r>
      <w:r w:rsidRPr="00FE510D">
        <w:rPr>
          <w:rFonts w:cs="Arial"/>
          <w:rtl/>
        </w:rPr>
        <w:t xml:space="preserve"> והוא שיהיו עדי מסירה לפנינו</w:t>
      </w:r>
      <w:r w:rsidR="009726C1">
        <w:rPr>
          <w:rFonts w:cs="Arial" w:hint="cs"/>
          <w:rtl/>
        </w:rPr>
        <w:t>.</w:t>
      </w:r>
      <w:r w:rsidRPr="00FE510D">
        <w:rPr>
          <w:rFonts w:cs="Arial"/>
          <w:rtl/>
        </w:rPr>
        <w:t xml:space="preserve"> אבל בעדי חתימה</w:t>
      </w:r>
      <w:r w:rsidR="00215339">
        <w:rPr>
          <w:rStyle w:val="a7"/>
          <w:rFonts w:cs="Arial"/>
          <w:rtl/>
        </w:rPr>
        <w:footnoteReference w:id="424"/>
      </w:r>
      <w:r w:rsidRPr="00FE510D">
        <w:rPr>
          <w:rFonts w:cs="Arial"/>
          <w:rtl/>
        </w:rPr>
        <w:t xml:space="preserve"> אפי' הם לפנינו פסול</w:t>
      </w:r>
      <w:r w:rsidR="00215339">
        <w:rPr>
          <w:rStyle w:val="a7"/>
          <w:rFonts w:cs="Arial"/>
          <w:rtl/>
        </w:rPr>
        <w:footnoteReference w:id="425"/>
      </w:r>
      <w:r w:rsidR="009726C1">
        <w:rPr>
          <w:rFonts w:cs="Arial" w:hint="cs"/>
          <w:rtl/>
        </w:rPr>
        <w:t>.</w:t>
      </w:r>
      <w:r w:rsidRPr="00FE510D">
        <w:rPr>
          <w:rFonts w:cs="Arial"/>
          <w:rtl/>
        </w:rPr>
        <w:t xml:space="preserve"> אבל בדבר שאינו מזדייף </w:t>
      </w:r>
      <w:r w:rsidR="00A82951">
        <w:rPr>
          <w:rFonts w:cs="Arial" w:hint="cs"/>
          <w:rtl/>
        </w:rPr>
        <w:t>-</w:t>
      </w:r>
      <w:r w:rsidR="00A40E85">
        <w:rPr>
          <w:rFonts w:cs="Arial" w:hint="cs"/>
          <w:rtl/>
        </w:rPr>
        <w:t xml:space="preserve"> </w:t>
      </w:r>
      <w:r w:rsidRPr="00FE510D">
        <w:rPr>
          <w:rFonts w:cs="Arial"/>
          <w:rtl/>
        </w:rPr>
        <w:t>כשר בעדי חתימה לחוד</w:t>
      </w:r>
      <w:r w:rsidR="00002F53">
        <w:rPr>
          <w:rFonts w:cs="Arial" w:hint="cs"/>
          <w:rtl/>
        </w:rPr>
        <w:t>.</w:t>
      </w:r>
      <w:r w:rsidRPr="00FE510D">
        <w:rPr>
          <w:rFonts w:cs="Arial"/>
          <w:rtl/>
        </w:rPr>
        <w:t xml:space="preserve"> </w:t>
      </w:r>
      <w:r w:rsidRPr="008D5E33">
        <w:rPr>
          <w:rFonts w:cs="Arial"/>
          <w:rtl/>
        </w:rPr>
        <w:t xml:space="preserve">וכותבים אותו על יד העבד וקרן הפרה </w:t>
      </w:r>
      <w:r w:rsidRPr="008D5E33">
        <w:rPr>
          <w:rFonts w:cs="Arial"/>
          <w:rtl/>
        </w:rPr>
        <w:lastRenderedPageBreak/>
        <w:t>ונותנין לה העבד והפרה</w:t>
      </w:r>
      <w:r w:rsidR="00002F53" w:rsidRPr="008D5E33">
        <w:rPr>
          <w:rFonts w:cs="Arial" w:hint="cs"/>
          <w:rtl/>
        </w:rPr>
        <w:t>,</w:t>
      </w:r>
      <w:r w:rsidRPr="008D5E33">
        <w:rPr>
          <w:rFonts w:cs="Arial"/>
          <w:rtl/>
        </w:rPr>
        <w:t xml:space="preserve"> והוא שיהיה בעידי מסירה</w:t>
      </w:r>
      <w:r w:rsidR="00002F53" w:rsidRPr="008D5E33">
        <w:rPr>
          <w:rFonts w:cs="Arial" w:hint="cs"/>
          <w:rtl/>
        </w:rPr>
        <w:t>.</w:t>
      </w:r>
      <w:r w:rsidRPr="008D5E33">
        <w:rPr>
          <w:rFonts w:cs="Arial"/>
          <w:rtl/>
        </w:rPr>
        <w:t xml:space="preserve"> אבל לא יחתוך יד העבד וקרן הפרה ויתן לה דבעינן שלא יהא מחוסר אלא כתיבה ונתינה</w:t>
      </w:r>
      <w:r w:rsidR="00002F53" w:rsidRPr="008D5E33">
        <w:rPr>
          <w:rFonts w:cs="Arial" w:hint="cs"/>
          <w:rtl/>
        </w:rPr>
        <w:t>,</w:t>
      </w:r>
      <w:r w:rsidRPr="008D5E33">
        <w:rPr>
          <w:rFonts w:cs="Arial"/>
          <w:rtl/>
        </w:rPr>
        <w:t xml:space="preserve"> יצא זה שמחוסר כתיבה קציצה ונתינה</w:t>
      </w:r>
      <w:r w:rsidRPr="008D5E33">
        <w:rPr>
          <w:rFonts w:cs="Arial" w:hint="cs"/>
          <w:rtl/>
        </w:rPr>
        <w:t>.</w:t>
      </w:r>
      <w:r w:rsidRPr="008D5E33">
        <w:rPr>
          <w:rFonts w:cs="Arial"/>
          <w:rtl/>
        </w:rPr>
        <w:t xml:space="preserve"> </w:t>
      </w:r>
    </w:p>
    <w:p w14:paraId="597727B9" w14:textId="0AEE0B2C" w:rsidR="0002217D" w:rsidRDefault="0002217D" w:rsidP="0002217D">
      <w:r w:rsidRPr="0002217D">
        <w:rPr>
          <w:rFonts w:cs="Arial" w:hint="cs"/>
          <w:b/>
          <w:bCs/>
          <w:rtl/>
        </w:rPr>
        <w:t>תוספתא גיטין פ"ב ה"ג:</w:t>
      </w:r>
      <w:r>
        <w:rPr>
          <w:rFonts w:cs="Arial" w:hint="cs"/>
          <w:rtl/>
        </w:rPr>
        <w:t xml:space="preserve"> </w:t>
      </w:r>
      <w:r w:rsidRPr="0002217D">
        <w:rPr>
          <w:rFonts w:cs="Arial"/>
          <w:rtl/>
        </w:rPr>
        <w:t>כתב</w:t>
      </w:r>
      <w:r>
        <w:rPr>
          <w:rFonts w:cs="Arial" w:hint="cs"/>
          <w:rtl/>
        </w:rPr>
        <w:t>...</w:t>
      </w:r>
      <w:r w:rsidRPr="0002217D">
        <w:rPr>
          <w:rFonts w:cs="Arial"/>
          <w:rtl/>
        </w:rPr>
        <w:t xml:space="preserve"> על עלי זית</w:t>
      </w:r>
      <w:r>
        <w:rPr>
          <w:rFonts w:cs="Arial" w:hint="cs"/>
          <w:rtl/>
        </w:rPr>
        <w:t>,</w:t>
      </w:r>
      <w:r w:rsidRPr="0002217D">
        <w:rPr>
          <w:rFonts w:cs="Arial"/>
          <w:rtl/>
        </w:rPr>
        <w:t xml:space="preserve"> על עלי דלעת</w:t>
      </w:r>
      <w:r>
        <w:rPr>
          <w:rFonts w:cs="Arial" w:hint="cs"/>
          <w:rtl/>
        </w:rPr>
        <w:t>,</w:t>
      </w:r>
      <w:r w:rsidRPr="0002217D">
        <w:rPr>
          <w:rFonts w:cs="Arial"/>
          <w:rtl/>
        </w:rPr>
        <w:t xml:space="preserve"> על עלי חרוב</w:t>
      </w:r>
      <w:r>
        <w:rPr>
          <w:rFonts w:cs="Arial" w:hint="cs"/>
          <w:rtl/>
        </w:rPr>
        <w:t>,</w:t>
      </w:r>
      <w:r w:rsidRPr="0002217D">
        <w:rPr>
          <w:rFonts w:cs="Arial"/>
          <w:rtl/>
        </w:rPr>
        <w:t xml:space="preserve"> על כל דבר שהוא של קיימא </w:t>
      </w:r>
      <w:r w:rsidR="00A82951">
        <w:rPr>
          <w:rFonts w:cs="Arial" w:hint="cs"/>
          <w:rtl/>
        </w:rPr>
        <w:t>-</w:t>
      </w:r>
      <w:r>
        <w:rPr>
          <w:rFonts w:cs="Arial" w:hint="cs"/>
          <w:rtl/>
        </w:rPr>
        <w:t xml:space="preserve"> </w:t>
      </w:r>
      <w:r w:rsidRPr="0002217D">
        <w:rPr>
          <w:rFonts w:cs="Arial"/>
          <w:rtl/>
        </w:rPr>
        <w:t>כשר</w:t>
      </w:r>
      <w:r>
        <w:rPr>
          <w:rFonts w:cs="Arial" w:hint="cs"/>
          <w:rtl/>
        </w:rPr>
        <w:t>.</w:t>
      </w:r>
      <w:r w:rsidRPr="0002217D">
        <w:rPr>
          <w:rFonts w:cs="Arial"/>
          <w:rtl/>
        </w:rPr>
        <w:t xml:space="preserve"> על עלי חזרין</w:t>
      </w:r>
      <w:r>
        <w:rPr>
          <w:rFonts w:cs="Arial" w:hint="cs"/>
          <w:rtl/>
        </w:rPr>
        <w:t>,</w:t>
      </w:r>
      <w:r w:rsidRPr="0002217D">
        <w:rPr>
          <w:rFonts w:cs="Arial"/>
          <w:rtl/>
        </w:rPr>
        <w:t xml:space="preserve"> על עלי בצלים</w:t>
      </w:r>
      <w:r>
        <w:rPr>
          <w:rFonts w:cs="Arial" w:hint="cs"/>
          <w:rtl/>
        </w:rPr>
        <w:t>,</w:t>
      </w:r>
      <w:r w:rsidRPr="0002217D">
        <w:rPr>
          <w:rFonts w:cs="Arial"/>
          <w:rtl/>
        </w:rPr>
        <w:t xml:space="preserve"> על עלי כריין</w:t>
      </w:r>
      <w:r>
        <w:rPr>
          <w:rFonts w:cs="Arial" w:hint="cs"/>
          <w:rtl/>
        </w:rPr>
        <w:t>,</w:t>
      </w:r>
      <w:r w:rsidRPr="0002217D">
        <w:rPr>
          <w:rFonts w:cs="Arial"/>
          <w:rtl/>
        </w:rPr>
        <w:t xml:space="preserve"> על עלי ירקות</w:t>
      </w:r>
      <w:r>
        <w:rPr>
          <w:rFonts w:cs="Arial" w:hint="cs"/>
          <w:rtl/>
        </w:rPr>
        <w:t>,</w:t>
      </w:r>
      <w:r w:rsidRPr="0002217D">
        <w:rPr>
          <w:rFonts w:cs="Arial"/>
          <w:rtl/>
        </w:rPr>
        <w:t xml:space="preserve"> על כל דבר שאינו של קיימא </w:t>
      </w:r>
      <w:r w:rsidR="00A82951">
        <w:rPr>
          <w:rFonts w:cs="Arial" w:hint="cs"/>
          <w:rtl/>
        </w:rPr>
        <w:t>-</w:t>
      </w:r>
      <w:r>
        <w:rPr>
          <w:rFonts w:cs="Arial" w:hint="cs"/>
          <w:rtl/>
        </w:rPr>
        <w:t xml:space="preserve"> </w:t>
      </w:r>
      <w:r w:rsidRPr="0002217D">
        <w:rPr>
          <w:rFonts w:cs="Arial"/>
          <w:rtl/>
        </w:rPr>
        <w:t>פסול</w:t>
      </w:r>
      <w:r>
        <w:rPr>
          <w:rFonts w:cs="Arial" w:hint="cs"/>
          <w:rtl/>
        </w:rPr>
        <w:t>.</w:t>
      </w:r>
      <w:r w:rsidRPr="0002217D">
        <w:rPr>
          <w:rFonts w:cs="Arial"/>
          <w:rtl/>
        </w:rPr>
        <w:t xml:space="preserve"> זה הכלל</w:t>
      </w:r>
      <w:r>
        <w:rPr>
          <w:rFonts w:cs="Arial" w:hint="cs"/>
          <w:rtl/>
        </w:rPr>
        <w:t>,</w:t>
      </w:r>
      <w:r w:rsidRPr="0002217D">
        <w:rPr>
          <w:rFonts w:cs="Arial"/>
          <w:rtl/>
        </w:rPr>
        <w:t xml:space="preserve"> כתב דבר שהוא של קיימא על גבי דבר שאינו של קיימא</w:t>
      </w:r>
      <w:r>
        <w:rPr>
          <w:rFonts w:cs="Arial" w:hint="cs"/>
          <w:rtl/>
        </w:rPr>
        <w:t>,</w:t>
      </w:r>
      <w:r w:rsidRPr="0002217D">
        <w:rPr>
          <w:rFonts w:cs="Arial"/>
          <w:rtl/>
        </w:rPr>
        <w:t xml:space="preserve"> או דבר שאינו של קיימא על גבי דבר שהוא של קיימא </w:t>
      </w:r>
      <w:r w:rsidR="00A82951">
        <w:rPr>
          <w:rFonts w:cs="Arial" w:hint="cs"/>
          <w:rtl/>
        </w:rPr>
        <w:t>-</w:t>
      </w:r>
      <w:r>
        <w:rPr>
          <w:rFonts w:cs="Arial" w:hint="cs"/>
          <w:rtl/>
        </w:rPr>
        <w:t xml:space="preserve"> </w:t>
      </w:r>
      <w:r w:rsidRPr="0002217D">
        <w:rPr>
          <w:rFonts w:cs="Arial"/>
          <w:rtl/>
        </w:rPr>
        <w:t>פסול</w:t>
      </w:r>
      <w:r>
        <w:rPr>
          <w:rFonts w:cs="Arial" w:hint="cs"/>
          <w:rtl/>
        </w:rPr>
        <w:t>,</w:t>
      </w:r>
      <w:r w:rsidRPr="0002217D">
        <w:rPr>
          <w:rFonts w:cs="Arial"/>
          <w:rtl/>
        </w:rPr>
        <w:t xml:space="preserve"> עד שיכתוב בדבר שהוא של קיימא על דבר שהוא של קיימא</w:t>
      </w:r>
      <w:r w:rsidR="008D0052">
        <w:rPr>
          <w:rFonts w:hint="cs"/>
          <w:rtl/>
        </w:rPr>
        <w:t>.</w:t>
      </w:r>
    </w:p>
    <w:p w14:paraId="23495729" w14:textId="7D5C2E3A" w:rsidR="0002217D" w:rsidRPr="0002217D" w:rsidRDefault="0002217D" w:rsidP="0002217D">
      <w:pPr>
        <w:rPr>
          <w:u w:val="single"/>
        </w:rPr>
      </w:pPr>
      <w:r w:rsidRPr="0002217D">
        <w:rPr>
          <w:rFonts w:hint="cs"/>
          <w:u w:val="single"/>
          <w:rtl/>
        </w:rPr>
        <w:t>האם אפשר לכתוב על דבר שאינו מתקיים:</w:t>
      </w:r>
    </w:p>
    <w:p w14:paraId="4D79BD34" w14:textId="59560A01" w:rsidR="00FE510D" w:rsidRDefault="0002217D" w:rsidP="00A65C5F">
      <w:pPr>
        <w:pStyle w:val="ab"/>
        <w:numPr>
          <w:ilvl w:val="0"/>
          <w:numId w:val="41"/>
        </w:numPr>
      </w:pPr>
      <w:r>
        <w:rPr>
          <w:rFonts w:cs="Arial" w:hint="cs"/>
          <w:rtl/>
        </w:rPr>
        <w:t xml:space="preserve">תוס' </w:t>
      </w:r>
      <w:r w:rsidRPr="0002217D">
        <w:rPr>
          <w:rFonts w:cs="Arial" w:hint="cs"/>
          <w:sz w:val="16"/>
          <w:szCs w:val="16"/>
          <w:rtl/>
        </w:rPr>
        <w:t>(</w:t>
      </w:r>
      <w:r w:rsidR="00FE3685">
        <w:rPr>
          <w:rFonts w:cs="Arial" w:hint="cs"/>
          <w:sz w:val="16"/>
          <w:szCs w:val="16"/>
          <w:rtl/>
        </w:rPr>
        <w:t>כא:</w:t>
      </w:r>
      <w:r w:rsidRPr="0002217D">
        <w:rPr>
          <w:rFonts w:cs="Arial" w:hint="cs"/>
          <w:sz w:val="16"/>
          <w:szCs w:val="16"/>
          <w:rtl/>
        </w:rPr>
        <w:t xml:space="preserve"> ד"ה על</w:t>
      </w:r>
      <w:r w:rsidR="00FE3685">
        <w:rPr>
          <w:rFonts w:cs="Arial" w:hint="cs"/>
          <w:sz w:val="16"/>
          <w:szCs w:val="16"/>
          <w:rtl/>
        </w:rPr>
        <w:t xml:space="preserve"> עלה</w:t>
      </w:r>
      <w:r w:rsidRPr="0002217D">
        <w:rPr>
          <w:rFonts w:cs="Arial" w:hint="cs"/>
          <w:sz w:val="16"/>
          <w:szCs w:val="16"/>
          <w:rtl/>
        </w:rPr>
        <w:t xml:space="preserve">) </w:t>
      </w:r>
      <w:r>
        <w:rPr>
          <w:rFonts w:cs="Arial" w:hint="cs"/>
          <w:rtl/>
        </w:rPr>
        <w:t xml:space="preserve">רי"ו </w:t>
      </w:r>
      <w:r w:rsidRPr="0002217D">
        <w:rPr>
          <w:rFonts w:cs="Arial" w:hint="cs"/>
          <w:sz w:val="16"/>
          <w:szCs w:val="16"/>
          <w:rtl/>
        </w:rPr>
        <w:t xml:space="preserve">(ח"ב נכ"ד רד ע"א) </w:t>
      </w:r>
      <w:r>
        <w:rPr>
          <w:rFonts w:cs="Arial" w:hint="cs"/>
          <w:rtl/>
        </w:rPr>
        <w:t>ו</w:t>
      </w:r>
      <w:r w:rsidR="00FE510D" w:rsidRPr="0002217D">
        <w:rPr>
          <w:rFonts w:cs="Arial"/>
          <w:rtl/>
        </w:rPr>
        <w:t>ר"ן</w:t>
      </w:r>
      <w:r w:rsidR="00FE3685">
        <w:rPr>
          <w:rStyle w:val="a7"/>
          <w:rFonts w:cs="Arial"/>
          <w:rtl/>
        </w:rPr>
        <w:footnoteReference w:id="426"/>
      </w:r>
      <w:r w:rsidR="00FE510D" w:rsidRPr="0002217D">
        <w:rPr>
          <w:rFonts w:cs="Arial"/>
          <w:rtl/>
        </w:rPr>
        <w:t xml:space="preserve"> </w:t>
      </w:r>
      <w:r w:rsidR="00FE510D" w:rsidRPr="0002217D">
        <w:rPr>
          <w:rFonts w:cs="Arial"/>
          <w:sz w:val="16"/>
          <w:szCs w:val="16"/>
          <w:rtl/>
        </w:rPr>
        <w:t>(ט. ד"ה על)</w:t>
      </w:r>
      <w:r w:rsidR="00A82951">
        <w:rPr>
          <w:rFonts w:cs="Arial" w:hint="cs"/>
          <w:rtl/>
        </w:rPr>
        <w:t>-</w:t>
      </w:r>
      <w:r w:rsidR="00FE510D" w:rsidRPr="0002217D">
        <w:rPr>
          <w:rFonts w:cs="Arial"/>
          <w:rtl/>
        </w:rPr>
        <w:t xml:space="preserve"> </w:t>
      </w:r>
      <w:r w:rsidR="00FE3685" w:rsidRPr="00FE3685">
        <w:rPr>
          <w:rFonts w:cs="Arial"/>
          <w:rtl/>
        </w:rPr>
        <w:t>דוקא עלה של זית וכיוצא בו דמתקיים</w:t>
      </w:r>
      <w:r w:rsidR="00131C4C">
        <w:rPr>
          <w:rFonts w:cs="Arial" w:hint="cs"/>
          <w:rtl/>
        </w:rPr>
        <w:t>,</w:t>
      </w:r>
      <w:r w:rsidR="00FE3685" w:rsidRPr="00FE3685">
        <w:rPr>
          <w:rFonts w:cs="Arial"/>
          <w:rtl/>
        </w:rPr>
        <w:t xml:space="preserve"> כדתניא בתוספתא על עלה של זית וחרוב ודלעת וכל דבר שהוא של קיימא כשר</w:t>
      </w:r>
      <w:r w:rsidR="00131C4C">
        <w:rPr>
          <w:rFonts w:cs="Arial" w:hint="cs"/>
          <w:rtl/>
        </w:rPr>
        <w:t>.</w:t>
      </w:r>
      <w:r w:rsidR="00FE3685" w:rsidRPr="00FE3685">
        <w:rPr>
          <w:rFonts w:cs="Arial"/>
          <w:rtl/>
        </w:rPr>
        <w:t xml:space="preserve"> אבל עלה של כרישין ובצלים ועלה ורדים ועלה ירקות וכל דבר שאינו של קיימא </w:t>
      </w:r>
      <w:r w:rsidR="00A82951">
        <w:rPr>
          <w:rFonts w:cs="Arial" w:hint="cs"/>
          <w:rtl/>
        </w:rPr>
        <w:t>-</w:t>
      </w:r>
      <w:r w:rsidR="00131C4C">
        <w:rPr>
          <w:rFonts w:cs="Arial" w:hint="cs"/>
          <w:rtl/>
        </w:rPr>
        <w:t xml:space="preserve"> </w:t>
      </w:r>
      <w:r w:rsidR="00FE3685" w:rsidRPr="00FE3685">
        <w:rPr>
          <w:rFonts w:cs="Arial"/>
          <w:rtl/>
        </w:rPr>
        <w:t>פסול</w:t>
      </w:r>
      <w:r w:rsidR="00FE3685">
        <w:rPr>
          <w:rFonts w:hint="cs"/>
          <w:sz w:val="16"/>
          <w:szCs w:val="16"/>
          <w:rtl/>
        </w:rPr>
        <w:t xml:space="preserve"> </w:t>
      </w:r>
      <w:r w:rsidR="00FE3685" w:rsidRPr="00FE3685">
        <w:rPr>
          <w:rFonts w:hint="cs"/>
          <w:sz w:val="16"/>
          <w:szCs w:val="16"/>
          <w:rtl/>
        </w:rPr>
        <w:t>(ל' התוס')</w:t>
      </w:r>
      <w:r w:rsidR="00EA0E0F" w:rsidRPr="00131C4C">
        <w:rPr>
          <w:rStyle w:val="a7"/>
          <w:rtl/>
        </w:rPr>
        <w:footnoteReference w:id="427"/>
      </w:r>
      <w:r w:rsidR="0039180B" w:rsidRPr="00EA0E0F">
        <w:rPr>
          <w:rFonts w:cs="Arial" w:hint="cs"/>
          <w:rtl/>
        </w:rPr>
        <w:t>.</w:t>
      </w:r>
      <w:r w:rsidR="00DB6E52" w:rsidRPr="00DB6E52">
        <w:rPr>
          <w:rFonts w:cs="Arial" w:hint="cs"/>
          <w:color w:val="00B0F0"/>
          <w:rtl/>
        </w:rPr>
        <w:t xml:space="preserve"> (וכ"כ הרמ"א)</w:t>
      </w:r>
      <w:r w:rsidR="00EA0E0F" w:rsidRPr="00EA0E0F">
        <w:rPr>
          <w:rFonts w:cs="Arial" w:hint="cs"/>
          <w:rtl/>
        </w:rPr>
        <w:t xml:space="preserve"> </w:t>
      </w:r>
      <w:r w:rsidR="00A40E85">
        <w:rPr>
          <w:rFonts w:hint="cs"/>
          <w:rtl/>
        </w:rPr>
        <w:t>(וכ"פ הפר"ח</w:t>
      </w:r>
      <w:r w:rsidR="00A40E85">
        <w:rPr>
          <w:rFonts w:hint="cs"/>
          <w:sz w:val="16"/>
          <w:szCs w:val="16"/>
          <w:rtl/>
        </w:rPr>
        <w:t xml:space="preserve"> [סק"ו]</w:t>
      </w:r>
      <w:r w:rsidR="00A40E85">
        <w:rPr>
          <w:rFonts w:hint="cs"/>
          <w:rtl/>
        </w:rPr>
        <w:t>)</w:t>
      </w:r>
    </w:p>
    <w:p w14:paraId="44B8EA4A" w14:textId="092EBF78" w:rsidR="00131C4C" w:rsidRDefault="00131C4C" w:rsidP="00A65C5F">
      <w:pPr>
        <w:pStyle w:val="ab"/>
        <w:numPr>
          <w:ilvl w:val="0"/>
          <w:numId w:val="41"/>
        </w:numPr>
        <w:rPr>
          <w:rtl/>
        </w:rPr>
      </w:pPr>
      <w:r>
        <w:rPr>
          <w:rFonts w:cs="Arial" w:hint="cs"/>
          <w:rtl/>
        </w:rPr>
        <w:t xml:space="preserve">רמב"ם </w:t>
      </w:r>
      <w:r>
        <w:rPr>
          <w:rFonts w:cs="Arial" w:hint="cs"/>
          <w:sz w:val="16"/>
          <w:szCs w:val="16"/>
          <w:rtl/>
        </w:rPr>
        <w:t>(פ"ד מגירושין ה"ב</w:t>
      </w:r>
      <w:r w:rsidR="00A82951">
        <w:rPr>
          <w:rFonts w:cs="Arial" w:hint="cs"/>
          <w:sz w:val="16"/>
          <w:szCs w:val="16"/>
          <w:rtl/>
        </w:rPr>
        <w:t>-</w:t>
      </w:r>
      <w:r>
        <w:rPr>
          <w:rFonts w:cs="Arial" w:hint="cs"/>
          <w:sz w:val="16"/>
          <w:szCs w:val="16"/>
          <w:rtl/>
        </w:rPr>
        <w:t>ג)</w:t>
      </w:r>
      <w:r w:rsidR="00A82951">
        <w:rPr>
          <w:rFonts w:cs="Arial" w:hint="cs"/>
          <w:rtl/>
        </w:rPr>
        <w:t>-</w:t>
      </w:r>
      <w:r>
        <w:rPr>
          <w:rFonts w:cs="Arial" w:hint="cs"/>
          <w:rtl/>
        </w:rPr>
        <w:t xml:space="preserve"> </w:t>
      </w:r>
      <w:r w:rsidRPr="00131C4C">
        <w:rPr>
          <w:rFonts w:cs="Arial"/>
          <w:rtl/>
        </w:rPr>
        <w:t>כותבין על דבר שיכול להזדייף והוא שיתנו לה בעידי מסירה</w:t>
      </w:r>
      <w:r>
        <w:rPr>
          <w:rFonts w:cs="Arial" w:hint="cs"/>
          <w:rtl/>
        </w:rPr>
        <w:t>.</w:t>
      </w:r>
      <w:r w:rsidRPr="00131C4C">
        <w:rPr>
          <w:rFonts w:cs="Arial"/>
          <w:rtl/>
        </w:rPr>
        <w:t xml:space="preserve"> כיצד</w:t>
      </w:r>
      <w:r w:rsidR="00A40E85">
        <w:rPr>
          <w:rFonts w:cs="Arial" w:hint="cs"/>
          <w:rtl/>
        </w:rPr>
        <w:t>,</w:t>
      </w:r>
      <w:r w:rsidRPr="00131C4C">
        <w:rPr>
          <w:rFonts w:cs="Arial"/>
          <w:rtl/>
        </w:rPr>
        <w:t xml:space="preserve"> כותב על הנייר המחוק ועל הדפתרא ועל החרס ועל העלין</w:t>
      </w:r>
      <w:r w:rsidR="00A40E85">
        <w:rPr>
          <w:rStyle w:val="a7"/>
          <w:rFonts w:cs="Arial"/>
          <w:rtl/>
        </w:rPr>
        <w:footnoteReference w:id="428"/>
      </w:r>
      <w:r>
        <w:rPr>
          <w:rFonts w:hint="cs"/>
          <w:rtl/>
        </w:rPr>
        <w:t>.</w:t>
      </w:r>
      <w:r w:rsidR="00375502">
        <w:rPr>
          <w:rFonts w:hint="cs"/>
          <w:color w:val="E36C0A" w:themeColor="accent6" w:themeShade="BF"/>
          <w:rtl/>
        </w:rPr>
        <w:t xml:space="preserve"> </w:t>
      </w:r>
      <w:r w:rsidR="00375502" w:rsidRPr="00375502">
        <w:rPr>
          <w:rFonts w:hint="cs"/>
          <w:color w:val="E36C0A" w:themeColor="accent6" w:themeShade="BF"/>
          <w:rtl/>
        </w:rPr>
        <w:t>(וכ"פ בשו"ע)</w:t>
      </w:r>
    </w:p>
    <w:p w14:paraId="317B0BFC" w14:textId="64638182" w:rsidR="00D0543A" w:rsidRDefault="00E1198F" w:rsidP="00587317">
      <w:pPr>
        <w:rPr>
          <w:rFonts w:cs="Arial"/>
          <w:rtl/>
        </w:rPr>
      </w:pPr>
      <w:r w:rsidRPr="00AB4A3D">
        <w:rPr>
          <w:rFonts w:cs="Arial" w:hint="cs"/>
          <w:b/>
          <w:bCs/>
          <w:rtl/>
        </w:rPr>
        <w:t xml:space="preserve">גיטין </w:t>
      </w:r>
      <w:r w:rsidRPr="00AB4A3D">
        <w:rPr>
          <w:rFonts w:cs="Arial" w:hint="cs"/>
          <w:b/>
          <w:bCs/>
          <w:sz w:val="16"/>
          <w:szCs w:val="16"/>
          <w:rtl/>
        </w:rPr>
        <w:t>(פ"ב)</w:t>
      </w:r>
      <w:r w:rsidRPr="00AB4A3D">
        <w:rPr>
          <w:rFonts w:cs="Arial" w:hint="cs"/>
          <w:b/>
          <w:bCs/>
          <w:rtl/>
        </w:rPr>
        <w:t xml:space="preserve"> </w:t>
      </w:r>
      <w:r>
        <w:rPr>
          <w:rFonts w:cs="Arial" w:hint="cs"/>
          <w:b/>
          <w:bCs/>
          <w:rtl/>
        </w:rPr>
        <w:t>כא</w:t>
      </w:r>
      <w:r w:rsidRPr="00AB4A3D">
        <w:rPr>
          <w:rFonts w:cs="Arial" w:hint="cs"/>
          <w:b/>
          <w:bCs/>
          <w:rtl/>
        </w:rPr>
        <w:t xml:space="preserve"> ע"</w:t>
      </w:r>
      <w:r>
        <w:rPr>
          <w:rFonts w:cs="Arial" w:hint="cs"/>
          <w:b/>
          <w:bCs/>
          <w:rtl/>
        </w:rPr>
        <w:t>ב</w:t>
      </w:r>
      <w:r w:rsidRPr="00AB4A3D">
        <w:rPr>
          <w:rFonts w:cs="Arial" w:hint="cs"/>
          <w:b/>
          <w:bCs/>
          <w:rtl/>
        </w:rPr>
        <w:t>:</w:t>
      </w:r>
      <w:r>
        <w:rPr>
          <w:rFonts w:cs="Arial" w:hint="cs"/>
          <w:rtl/>
        </w:rPr>
        <w:t xml:space="preserve"> </w:t>
      </w:r>
      <w:r w:rsidRPr="009726C1">
        <w:rPr>
          <w:rFonts w:cs="Arial"/>
          <w:u w:val="double"/>
          <w:rtl/>
        </w:rPr>
        <w:t>מתני'</w:t>
      </w:r>
      <w:r>
        <w:rPr>
          <w:rFonts w:cs="Arial" w:hint="cs"/>
          <w:rtl/>
        </w:rPr>
        <w:t>:...</w:t>
      </w:r>
      <w:r w:rsidRPr="00E1198F">
        <w:rPr>
          <w:rFonts w:cs="Arial"/>
          <w:rtl/>
        </w:rPr>
        <w:t xml:space="preserve"> </w:t>
      </w:r>
      <w:r w:rsidRPr="00D0543A">
        <w:rPr>
          <w:rFonts w:cs="Arial"/>
          <w:u w:val="single"/>
          <w:rtl/>
        </w:rPr>
        <w:t>ר' יהודה בן בתירא אומר</w:t>
      </w:r>
      <w:r w:rsidRPr="00E1198F">
        <w:rPr>
          <w:rFonts w:cs="Arial"/>
          <w:rtl/>
        </w:rPr>
        <w:t>: אין כותבין לא על הנייר המחוק ולא על הדיפתרא, מפני שהוא יכול להזדייף</w:t>
      </w:r>
      <w:r w:rsidR="00D0543A">
        <w:rPr>
          <w:rFonts w:cs="Arial" w:hint="cs"/>
          <w:rtl/>
        </w:rPr>
        <w:t>.</w:t>
      </w:r>
      <w:r w:rsidRPr="00E1198F">
        <w:rPr>
          <w:rFonts w:cs="Arial"/>
          <w:rtl/>
        </w:rPr>
        <w:t xml:space="preserve"> </w:t>
      </w:r>
      <w:r w:rsidRPr="00D0543A">
        <w:rPr>
          <w:rFonts w:cs="Arial"/>
          <w:u w:val="single"/>
          <w:rtl/>
        </w:rPr>
        <w:t>וחכמים</w:t>
      </w:r>
      <w:r w:rsidRPr="00E1198F">
        <w:rPr>
          <w:rFonts w:cs="Arial"/>
          <w:rtl/>
        </w:rPr>
        <w:t xml:space="preserve"> מכשירין. </w:t>
      </w:r>
      <w:r w:rsidR="00D0543A">
        <w:rPr>
          <w:rFonts w:cs="Arial" w:hint="cs"/>
          <w:rtl/>
        </w:rPr>
        <w:t xml:space="preserve">       </w:t>
      </w:r>
      <w:r w:rsidRPr="00D0543A">
        <w:rPr>
          <w:rFonts w:cs="Arial"/>
          <w:u w:val="double"/>
          <w:rtl/>
        </w:rPr>
        <w:t>גמ'</w:t>
      </w:r>
      <w:r w:rsidRPr="00D0543A">
        <w:rPr>
          <w:rFonts w:cs="Arial" w:hint="cs"/>
          <w:sz w:val="14"/>
          <w:szCs w:val="14"/>
          <w:u w:val="double"/>
          <w:rtl/>
        </w:rPr>
        <w:t>(כב.)</w:t>
      </w:r>
      <w:r w:rsidRPr="00D0543A">
        <w:rPr>
          <w:rFonts w:cs="Arial" w:hint="cs"/>
          <w:u w:val="double"/>
          <w:rtl/>
        </w:rPr>
        <w:t>:</w:t>
      </w:r>
      <w:r w:rsidRPr="00E1198F">
        <w:rPr>
          <w:rFonts w:cs="Arial"/>
          <w:rtl/>
        </w:rPr>
        <w:t xml:space="preserve"> וחכמים מכשירין. מאן חכמים? </w:t>
      </w:r>
      <w:r w:rsidRPr="00D0543A">
        <w:rPr>
          <w:rFonts w:cs="Arial"/>
          <w:u w:val="single"/>
          <w:rtl/>
        </w:rPr>
        <w:t>אמר רבי אלעזר</w:t>
      </w:r>
      <w:r w:rsidRPr="00E1198F">
        <w:rPr>
          <w:rFonts w:cs="Arial"/>
          <w:rtl/>
        </w:rPr>
        <w:t>:</w:t>
      </w:r>
      <w:r w:rsidR="00D0543A">
        <w:rPr>
          <w:rFonts w:cs="Arial" w:hint="cs"/>
          <w:sz w:val="14"/>
          <w:szCs w:val="14"/>
          <w:rtl/>
        </w:rPr>
        <w:t xml:space="preserve"> (כב:) </w:t>
      </w:r>
      <w:r w:rsidR="00D0543A" w:rsidRPr="00D0543A">
        <w:rPr>
          <w:rFonts w:cs="Arial"/>
          <w:rtl/>
        </w:rPr>
        <w:t>ר' אלעזר היא</w:t>
      </w:r>
      <w:r w:rsidR="0049007A">
        <w:rPr>
          <w:rStyle w:val="a7"/>
          <w:rFonts w:cs="Arial"/>
          <w:rtl/>
        </w:rPr>
        <w:footnoteReference w:id="429"/>
      </w:r>
      <w:r w:rsidR="00D0543A" w:rsidRPr="00D0543A">
        <w:rPr>
          <w:rFonts w:cs="Arial"/>
          <w:rtl/>
        </w:rPr>
        <w:t xml:space="preserve">, דאמר: עדי מסירה כרתי. </w:t>
      </w:r>
      <w:r w:rsidR="00D0543A" w:rsidRPr="00587317">
        <w:rPr>
          <w:rFonts w:cs="Arial"/>
          <w:u w:val="single"/>
          <w:rtl/>
        </w:rPr>
        <w:t>ואמר ר"א</w:t>
      </w:r>
      <w:r w:rsidR="00D0543A" w:rsidRPr="00D0543A">
        <w:rPr>
          <w:rFonts w:cs="Arial"/>
          <w:rtl/>
        </w:rPr>
        <w:t xml:space="preserve">: לא הכשיר ר"א אלא לאלתר, אבל מכאן עד עשרה ימים </w:t>
      </w:r>
      <w:r w:rsidR="00A82951">
        <w:rPr>
          <w:rFonts w:cs="Arial"/>
          <w:rtl/>
        </w:rPr>
        <w:t>-</w:t>
      </w:r>
      <w:r w:rsidR="00D0543A" w:rsidRPr="00D0543A">
        <w:rPr>
          <w:rFonts w:cs="Arial"/>
          <w:rtl/>
        </w:rPr>
        <w:t xml:space="preserve"> לא, חיישי' דילמא הוה ביה תנאה וזייפתיה</w:t>
      </w:r>
      <w:r w:rsidR="00215339">
        <w:rPr>
          <w:rFonts w:cs="Arial" w:hint="cs"/>
          <w:rtl/>
        </w:rPr>
        <w:t>.</w:t>
      </w:r>
      <w:r w:rsidR="00D0543A" w:rsidRPr="00D0543A">
        <w:rPr>
          <w:rFonts w:cs="Arial"/>
          <w:rtl/>
        </w:rPr>
        <w:t xml:space="preserve"> </w:t>
      </w:r>
      <w:r w:rsidR="00D0543A" w:rsidRPr="00587317">
        <w:rPr>
          <w:rFonts w:cs="Arial"/>
          <w:u w:val="single"/>
          <w:rtl/>
        </w:rPr>
        <w:t>ור' יוחנן אמר</w:t>
      </w:r>
      <w:r w:rsidR="00D0543A" w:rsidRPr="00D0543A">
        <w:rPr>
          <w:rFonts w:cs="Arial"/>
          <w:rtl/>
        </w:rPr>
        <w:t>: אפי' מכאן עד עשרה ימים, דאם איתא דהוה ביה תנאי, מידכר דכירי.</w:t>
      </w:r>
      <w:r w:rsidR="00587317">
        <w:rPr>
          <w:rFonts w:cs="Arial" w:hint="cs"/>
          <w:rtl/>
        </w:rPr>
        <w:t xml:space="preserve"> </w:t>
      </w:r>
      <w:r w:rsidR="00587317" w:rsidRPr="00587317">
        <w:rPr>
          <w:rFonts w:cs="Arial" w:hint="cs"/>
          <w:sz w:val="16"/>
          <w:szCs w:val="16"/>
          <w:rtl/>
        </w:rPr>
        <w:t>(</w:t>
      </w:r>
      <w:r w:rsidR="00FE510D" w:rsidRPr="00587317">
        <w:rPr>
          <w:rFonts w:cs="Arial"/>
          <w:sz w:val="16"/>
          <w:szCs w:val="16"/>
          <w:rtl/>
        </w:rPr>
        <w:t>ופסקו הרא"ש (סכ"ד) והרשב"א (ד"ה ר"א) כרבי יוחנן</w:t>
      </w:r>
      <w:r w:rsidR="00587317" w:rsidRPr="00587317">
        <w:rPr>
          <w:rFonts w:cs="Arial" w:hint="cs"/>
          <w:sz w:val="16"/>
          <w:szCs w:val="16"/>
          <w:rtl/>
        </w:rPr>
        <w:t>.</w:t>
      </w:r>
      <w:r w:rsidR="00FE510D" w:rsidRPr="00587317">
        <w:rPr>
          <w:rFonts w:cs="Arial"/>
          <w:sz w:val="16"/>
          <w:szCs w:val="16"/>
          <w:rtl/>
        </w:rPr>
        <w:t xml:space="preserve"> והרי"ף לא הזכיר מחלוקת זה</w:t>
      </w:r>
      <w:r w:rsidR="00587317">
        <w:rPr>
          <w:rFonts w:cs="Arial" w:hint="cs"/>
          <w:sz w:val="16"/>
          <w:szCs w:val="16"/>
          <w:rtl/>
        </w:rPr>
        <w:t>,</w:t>
      </w:r>
      <w:r w:rsidR="00FE510D" w:rsidRPr="00587317">
        <w:rPr>
          <w:rFonts w:cs="Arial"/>
          <w:sz w:val="16"/>
          <w:szCs w:val="16"/>
          <w:rtl/>
        </w:rPr>
        <w:t xml:space="preserve"> ומשמע דכרבי יוחנן נמי סבירא ליה</w:t>
      </w:r>
      <w:r w:rsidR="00587317" w:rsidRPr="00587317">
        <w:rPr>
          <w:rFonts w:cs="Arial" w:hint="cs"/>
          <w:sz w:val="16"/>
          <w:szCs w:val="16"/>
          <w:rtl/>
        </w:rPr>
        <w:t>,</w:t>
      </w:r>
      <w:r w:rsidR="00FE510D" w:rsidRPr="00587317">
        <w:rPr>
          <w:rFonts w:cs="Arial"/>
          <w:sz w:val="16"/>
          <w:szCs w:val="16"/>
          <w:rtl/>
        </w:rPr>
        <w:t xml:space="preserve"> ולפיכך כתב (י:) סתם מתניתין וחכמים מכשירין</w:t>
      </w:r>
      <w:r w:rsidR="00587317" w:rsidRPr="00587317">
        <w:rPr>
          <w:rFonts w:cs="Arial" w:hint="cs"/>
          <w:sz w:val="16"/>
          <w:szCs w:val="16"/>
          <w:rtl/>
        </w:rPr>
        <w:t>.</w:t>
      </w:r>
      <w:r w:rsidR="00FE510D" w:rsidRPr="00587317">
        <w:rPr>
          <w:rFonts w:cs="Arial"/>
          <w:sz w:val="16"/>
          <w:szCs w:val="16"/>
          <w:rtl/>
        </w:rPr>
        <w:t xml:space="preserve"> ומכשירין</w:t>
      </w:r>
      <w:r w:rsidR="00587317" w:rsidRPr="00587317">
        <w:rPr>
          <w:rFonts w:cs="Arial" w:hint="cs"/>
          <w:sz w:val="16"/>
          <w:szCs w:val="16"/>
          <w:rtl/>
        </w:rPr>
        <w:t xml:space="preserve"> </w:t>
      </w:r>
      <w:r w:rsidR="00A82951">
        <w:rPr>
          <w:rFonts w:cs="Arial" w:hint="cs"/>
          <w:sz w:val="16"/>
          <w:szCs w:val="16"/>
          <w:rtl/>
        </w:rPr>
        <w:t>-</w:t>
      </w:r>
      <w:r w:rsidR="00FE510D" w:rsidRPr="00587317">
        <w:rPr>
          <w:rFonts w:cs="Arial"/>
          <w:sz w:val="16"/>
          <w:szCs w:val="16"/>
          <w:rtl/>
        </w:rPr>
        <w:t xml:space="preserve"> לעולם משמע</w:t>
      </w:r>
      <w:r w:rsidR="00587317" w:rsidRPr="00587317">
        <w:rPr>
          <w:rFonts w:cs="Arial" w:hint="cs"/>
          <w:sz w:val="16"/>
          <w:szCs w:val="16"/>
          <w:rtl/>
        </w:rPr>
        <w:t>.</w:t>
      </w:r>
      <w:r w:rsidR="00FE510D" w:rsidRPr="00587317">
        <w:rPr>
          <w:rFonts w:cs="Arial"/>
          <w:sz w:val="16"/>
          <w:szCs w:val="16"/>
          <w:rtl/>
        </w:rPr>
        <w:t xml:space="preserve"> וגם הרמב"ם בפ</w:t>
      </w:r>
      <w:r w:rsidR="00587317" w:rsidRPr="00587317">
        <w:rPr>
          <w:rFonts w:cs="Arial" w:hint="cs"/>
          <w:sz w:val="16"/>
          <w:szCs w:val="16"/>
          <w:rtl/>
        </w:rPr>
        <w:t>"</w:t>
      </w:r>
      <w:r w:rsidR="00FE510D" w:rsidRPr="00587317">
        <w:rPr>
          <w:rFonts w:cs="Arial"/>
          <w:sz w:val="16"/>
          <w:szCs w:val="16"/>
          <w:rtl/>
        </w:rPr>
        <w:t>ד (ה"ב) הכשיר סתם</w:t>
      </w:r>
      <w:r w:rsidR="00587317" w:rsidRPr="00587317">
        <w:rPr>
          <w:rFonts w:cs="Arial" w:hint="cs"/>
          <w:sz w:val="16"/>
          <w:szCs w:val="16"/>
          <w:rtl/>
        </w:rPr>
        <w:t>,</w:t>
      </w:r>
      <w:r w:rsidR="00FE510D" w:rsidRPr="00587317">
        <w:rPr>
          <w:rFonts w:cs="Arial"/>
          <w:sz w:val="16"/>
          <w:szCs w:val="16"/>
          <w:rtl/>
        </w:rPr>
        <w:t xml:space="preserve"> וכתב הה</w:t>
      </w:r>
      <w:r w:rsidR="00587317">
        <w:rPr>
          <w:rFonts w:cs="Arial" w:hint="cs"/>
          <w:sz w:val="16"/>
          <w:szCs w:val="16"/>
          <w:rtl/>
        </w:rPr>
        <w:t>"</w:t>
      </w:r>
      <w:r w:rsidR="00FE510D" w:rsidRPr="00587317">
        <w:rPr>
          <w:rFonts w:cs="Arial"/>
          <w:sz w:val="16"/>
          <w:szCs w:val="16"/>
          <w:rtl/>
        </w:rPr>
        <w:t>מ דהיינו משום דסבר כרבי יוחנן</w:t>
      </w:r>
      <w:r w:rsidR="00587317">
        <w:rPr>
          <w:rFonts w:cs="Arial" w:hint="cs"/>
          <w:sz w:val="16"/>
          <w:szCs w:val="16"/>
          <w:rtl/>
        </w:rPr>
        <w:t>, ב"י)</w:t>
      </w:r>
    </w:p>
    <w:p w14:paraId="27DA8B8E" w14:textId="59DFD62D" w:rsidR="002F6CCF" w:rsidRDefault="00FE510D" w:rsidP="00FE510D">
      <w:pPr>
        <w:rPr>
          <w:rFonts w:cs="Arial"/>
          <w:rtl/>
        </w:rPr>
      </w:pPr>
      <w:r w:rsidRPr="002F6CCF">
        <w:rPr>
          <w:rFonts w:cs="Arial"/>
          <w:u w:val="single"/>
          <w:rtl/>
        </w:rPr>
        <w:t xml:space="preserve">נייר המחוק השנוי במשנתינו </w:t>
      </w:r>
      <w:r w:rsidR="00A82951">
        <w:rPr>
          <w:rFonts w:cs="Arial"/>
          <w:u w:val="single"/>
          <w:rtl/>
        </w:rPr>
        <w:t>-</w:t>
      </w:r>
      <w:r w:rsidR="002F6CCF" w:rsidRPr="002F6CCF">
        <w:rPr>
          <w:rFonts w:cs="Arial" w:hint="cs"/>
          <w:u w:val="single"/>
          <w:rtl/>
        </w:rPr>
        <w:t xml:space="preserve"> ב</w:t>
      </w:r>
      <w:r w:rsidR="00144576">
        <w:rPr>
          <w:rFonts w:cs="Arial" w:hint="cs"/>
          <w:u w:val="single"/>
          <w:rtl/>
        </w:rPr>
        <w:t>מה מדובר</w:t>
      </w:r>
      <w:r w:rsidR="002F6CCF" w:rsidRPr="002F6CCF">
        <w:rPr>
          <w:rFonts w:cs="Arial" w:hint="cs"/>
          <w:u w:val="single"/>
          <w:rtl/>
        </w:rPr>
        <w:t>:</w:t>
      </w:r>
    </w:p>
    <w:p w14:paraId="1D1632DC" w14:textId="4C19AD35" w:rsidR="002F6CCF" w:rsidRDefault="00FE510D" w:rsidP="00A65C5F">
      <w:pPr>
        <w:pStyle w:val="ab"/>
        <w:numPr>
          <w:ilvl w:val="0"/>
          <w:numId w:val="42"/>
        </w:numPr>
        <w:rPr>
          <w:rFonts w:cs="Arial"/>
        </w:rPr>
      </w:pPr>
      <w:r w:rsidRPr="002F6CCF">
        <w:rPr>
          <w:rFonts w:cs="Arial"/>
          <w:rtl/>
        </w:rPr>
        <w:t xml:space="preserve">רש"י </w:t>
      </w:r>
      <w:r w:rsidR="002F6CCF" w:rsidRPr="002F6CCF">
        <w:rPr>
          <w:rFonts w:cs="Arial" w:hint="cs"/>
          <w:sz w:val="16"/>
          <w:szCs w:val="16"/>
          <w:rtl/>
        </w:rPr>
        <w:t>(ד"ה נייר המחוק)</w:t>
      </w:r>
      <w:r w:rsidR="00144576">
        <w:rPr>
          <w:rFonts w:cs="Arial" w:hint="cs"/>
          <w:rtl/>
        </w:rPr>
        <w:t xml:space="preserve"> ובהעי"ט </w:t>
      </w:r>
      <w:r w:rsidR="00144576" w:rsidRPr="00144576">
        <w:rPr>
          <w:rFonts w:cs="Arial" w:hint="cs"/>
          <w:sz w:val="16"/>
          <w:szCs w:val="16"/>
          <w:rtl/>
        </w:rPr>
        <w:t>(</w:t>
      </w:r>
      <w:r w:rsidR="00144576" w:rsidRPr="00144576">
        <w:rPr>
          <w:rFonts w:cs="Arial"/>
          <w:sz w:val="16"/>
          <w:szCs w:val="16"/>
          <w:rtl/>
        </w:rPr>
        <w:t>מאמר ז ח"א כו ע"ד)</w:t>
      </w:r>
      <w:r w:rsidR="00A82951">
        <w:rPr>
          <w:rFonts w:cs="Arial" w:hint="cs"/>
          <w:rtl/>
        </w:rPr>
        <w:t>-</w:t>
      </w:r>
      <w:r w:rsidR="002F6CCF" w:rsidRPr="002F6CCF">
        <w:rPr>
          <w:rFonts w:cs="Arial" w:hint="cs"/>
          <w:rtl/>
        </w:rPr>
        <w:t xml:space="preserve"> </w:t>
      </w:r>
      <w:r w:rsidR="002F6CCF" w:rsidRPr="002F6CCF">
        <w:rPr>
          <w:rFonts w:cs="Arial"/>
          <w:rtl/>
        </w:rPr>
        <w:t>יכול לחזור ולמוחקו עד העדים ולכותבו ויעביר תנאי שהיה בו ולא מוכחא מילתא דהא עדים נמי על המחק חתומים</w:t>
      </w:r>
      <w:r w:rsidR="00144576">
        <w:rPr>
          <w:rFonts w:cs="Arial" w:hint="cs"/>
          <w:sz w:val="16"/>
          <w:szCs w:val="16"/>
          <w:rtl/>
        </w:rPr>
        <w:t xml:space="preserve"> (ל' רש"י)</w:t>
      </w:r>
      <w:r w:rsidR="00144576">
        <w:rPr>
          <w:rStyle w:val="a7"/>
          <w:rFonts w:cs="Arial"/>
          <w:rtl/>
        </w:rPr>
        <w:footnoteReference w:id="430"/>
      </w:r>
      <w:r w:rsidR="00543BB2" w:rsidRPr="002F6CCF">
        <w:rPr>
          <w:rFonts w:cs="Arial" w:hint="cs"/>
          <w:rtl/>
        </w:rPr>
        <w:t>.</w:t>
      </w:r>
      <w:r w:rsidRPr="002F6CCF">
        <w:rPr>
          <w:rFonts w:cs="Arial"/>
          <w:rtl/>
        </w:rPr>
        <w:t xml:space="preserve"> </w:t>
      </w:r>
    </w:p>
    <w:p w14:paraId="3B64ED2A" w14:textId="6DFCF057" w:rsidR="00144576" w:rsidRDefault="00144576" w:rsidP="00A65C5F">
      <w:pPr>
        <w:pStyle w:val="ab"/>
        <w:numPr>
          <w:ilvl w:val="0"/>
          <w:numId w:val="42"/>
        </w:numPr>
        <w:rPr>
          <w:rFonts w:cs="Arial"/>
        </w:rPr>
      </w:pPr>
      <w:r w:rsidRPr="002F6CCF">
        <w:rPr>
          <w:rFonts w:cs="Arial"/>
          <w:rtl/>
        </w:rPr>
        <w:t xml:space="preserve">מרדכי </w:t>
      </w:r>
      <w:r w:rsidRPr="00144576">
        <w:rPr>
          <w:rFonts w:cs="Arial"/>
          <w:sz w:val="16"/>
          <w:szCs w:val="16"/>
          <w:rtl/>
        </w:rPr>
        <w:t>(סי' שנג)</w:t>
      </w:r>
      <w:r w:rsidRPr="00144576">
        <w:rPr>
          <w:rFonts w:cs="Arial" w:hint="cs"/>
          <w:sz w:val="16"/>
          <w:szCs w:val="16"/>
          <w:rtl/>
        </w:rPr>
        <w:t xml:space="preserve"> </w:t>
      </w:r>
      <w:r w:rsidR="00D47611">
        <w:rPr>
          <w:rFonts w:cs="Arial" w:hint="cs"/>
          <w:rtl/>
        </w:rPr>
        <w:t>ו</w:t>
      </w:r>
      <w:r w:rsidRPr="002F6CCF">
        <w:rPr>
          <w:rFonts w:cs="Arial"/>
          <w:rtl/>
        </w:rPr>
        <w:t xml:space="preserve">רא"ש </w:t>
      </w:r>
      <w:r w:rsidRPr="00144576">
        <w:rPr>
          <w:rFonts w:cs="Arial"/>
          <w:sz w:val="16"/>
          <w:szCs w:val="16"/>
          <w:rtl/>
        </w:rPr>
        <w:t>(סכ"ג)</w:t>
      </w:r>
      <w:r w:rsidRPr="00144576">
        <w:rPr>
          <w:rStyle w:val="a7"/>
          <w:rFonts w:cs="Arial"/>
          <w:rtl/>
        </w:rPr>
        <w:footnoteReference w:id="431"/>
      </w:r>
      <w:r w:rsidR="00A82951">
        <w:rPr>
          <w:rFonts w:cs="Arial" w:hint="cs"/>
          <w:rtl/>
        </w:rPr>
        <w:t>-</w:t>
      </w:r>
      <w:r>
        <w:rPr>
          <w:rFonts w:cs="Arial" w:hint="cs"/>
          <w:rtl/>
        </w:rPr>
        <w:t xml:space="preserve"> </w:t>
      </w:r>
      <w:r w:rsidR="00FE510D" w:rsidRPr="002F6CCF">
        <w:rPr>
          <w:rFonts w:cs="Arial"/>
          <w:rtl/>
        </w:rPr>
        <w:t>מתניתין בעדים על המחק</w:t>
      </w:r>
      <w:r>
        <w:rPr>
          <w:rFonts w:cs="Arial" w:hint="cs"/>
          <w:rtl/>
        </w:rPr>
        <w:t>,</w:t>
      </w:r>
      <w:r w:rsidR="00FE510D" w:rsidRPr="002F6CCF">
        <w:rPr>
          <w:rFonts w:cs="Arial"/>
          <w:rtl/>
        </w:rPr>
        <w:t xml:space="preserve"> וכתב הגט שלא על המחק</w:t>
      </w:r>
      <w:r>
        <w:rPr>
          <w:rFonts w:cs="Arial" w:hint="cs"/>
          <w:rtl/>
        </w:rPr>
        <w:t>,</w:t>
      </w:r>
      <w:r w:rsidR="00FE510D" w:rsidRPr="002F6CCF">
        <w:rPr>
          <w:rFonts w:cs="Arial"/>
          <w:rtl/>
        </w:rPr>
        <w:t xml:space="preserve"> דהשתא ימחוק הכתב ויכתוב מה שירצה</w:t>
      </w:r>
      <w:r>
        <w:rPr>
          <w:rFonts w:cs="Arial" w:hint="cs"/>
          <w:rtl/>
        </w:rPr>
        <w:t>,</w:t>
      </w:r>
      <w:r w:rsidR="00FE510D" w:rsidRPr="002F6CCF">
        <w:rPr>
          <w:rFonts w:cs="Arial"/>
          <w:rtl/>
        </w:rPr>
        <w:t xml:space="preserve"> ויהיו הוא ועדיו על המחק</w:t>
      </w:r>
      <w:r>
        <w:rPr>
          <w:rFonts w:cs="Arial" w:hint="cs"/>
          <w:rtl/>
        </w:rPr>
        <w:t>,</w:t>
      </w:r>
      <w:r w:rsidR="00FE510D" w:rsidRPr="002F6CCF">
        <w:rPr>
          <w:rFonts w:cs="Arial"/>
          <w:rtl/>
        </w:rPr>
        <w:t xml:space="preserve"> וכשר</w:t>
      </w:r>
      <w:r>
        <w:rPr>
          <w:rFonts w:cs="Arial" w:hint="cs"/>
          <w:sz w:val="16"/>
          <w:szCs w:val="16"/>
          <w:rtl/>
        </w:rPr>
        <w:t xml:space="preserve"> (ל' הב"י בשם הרא"ש)</w:t>
      </w:r>
      <w:r w:rsidR="002F6CCF">
        <w:rPr>
          <w:rStyle w:val="a7"/>
          <w:rFonts w:cs="Arial"/>
          <w:rtl/>
        </w:rPr>
        <w:footnoteReference w:id="432"/>
      </w:r>
      <w:r w:rsidR="00543BB2" w:rsidRPr="00144576">
        <w:rPr>
          <w:rFonts w:cs="Arial" w:hint="cs"/>
          <w:rtl/>
        </w:rPr>
        <w:t>.</w:t>
      </w:r>
      <w:r w:rsidR="00FE510D" w:rsidRPr="00144576">
        <w:rPr>
          <w:rFonts w:cs="Arial"/>
          <w:rtl/>
        </w:rPr>
        <w:t xml:space="preserve"> </w:t>
      </w:r>
    </w:p>
    <w:p w14:paraId="2E79540B" w14:textId="2A350F6F" w:rsidR="00D47611" w:rsidRDefault="00706E53" w:rsidP="00A65C5F">
      <w:pPr>
        <w:pStyle w:val="ab"/>
        <w:numPr>
          <w:ilvl w:val="0"/>
          <w:numId w:val="42"/>
        </w:numPr>
        <w:rPr>
          <w:rFonts w:cs="Arial"/>
        </w:rPr>
      </w:pPr>
      <w:r>
        <w:rPr>
          <w:rFonts w:cs="Arial" w:hint="cs"/>
          <w:rtl/>
        </w:rPr>
        <w:t xml:space="preserve">רמב"ן </w:t>
      </w:r>
      <w:r>
        <w:rPr>
          <w:rFonts w:cs="Arial" w:hint="cs"/>
          <w:sz w:val="16"/>
          <w:szCs w:val="16"/>
          <w:rtl/>
        </w:rPr>
        <w:t>(</w:t>
      </w:r>
      <w:r w:rsidR="00BE5BBF">
        <w:rPr>
          <w:rFonts w:cs="Arial" w:hint="cs"/>
          <w:sz w:val="16"/>
          <w:szCs w:val="16"/>
          <w:rtl/>
        </w:rPr>
        <w:t>כא: מתני'</w:t>
      </w:r>
      <w:r>
        <w:rPr>
          <w:rFonts w:cs="Arial" w:hint="cs"/>
          <w:sz w:val="16"/>
          <w:szCs w:val="16"/>
          <w:rtl/>
        </w:rPr>
        <w:t>)</w:t>
      </w:r>
      <w:r>
        <w:rPr>
          <w:rFonts w:cs="Arial" w:hint="cs"/>
          <w:rtl/>
        </w:rPr>
        <w:t xml:space="preserve"> </w:t>
      </w:r>
      <w:r w:rsidRPr="002F6CCF">
        <w:rPr>
          <w:rFonts w:cs="Arial"/>
          <w:rtl/>
        </w:rPr>
        <w:t xml:space="preserve">רשב"א </w:t>
      </w:r>
      <w:r w:rsidRPr="00144576">
        <w:rPr>
          <w:rFonts w:cs="Arial"/>
          <w:sz w:val="16"/>
          <w:szCs w:val="16"/>
          <w:rtl/>
        </w:rPr>
        <w:t>(כא: ד"ה לא)</w:t>
      </w:r>
      <w:r w:rsidRPr="00144576">
        <w:rPr>
          <w:rFonts w:cs="Arial" w:hint="cs"/>
          <w:sz w:val="16"/>
          <w:szCs w:val="16"/>
          <w:rtl/>
        </w:rPr>
        <w:t xml:space="preserve"> </w:t>
      </w:r>
      <w:r w:rsidR="00D47611">
        <w:rPr>
          <w:rFonts w:cs="Arial" w:hint="cs"/>
          <w:rtl/>
        </w:rPr>
        <w:t>ו</w:t>
      </w:r>
      <w:r w:rsidR="00D47611" w:rsidRPr="002F6CCF">
        <w:rPr>
          <w:rFonts w:cs="Arial"/>
          <w:rtl/>
        </w:rPr>
        <w:t xml:space="preserve">ר"ן </w:t>
      </w:r>
      <w:r w:rsidR="00D47611" w:rsidRPr="00144576">
        <w:rPr>
          <w:rFonts w:cs="Arial"/>
          <w:sz w:val="16"/>
          <w:szCs w:val="16"/>
          <w:rtl/>
        </w:rPr>
        <w:t>(י: דיבור ראשון)</w:t>
      </w:r>
      <w:r w:rsidR="00D47611">
        <w:rPr>
          <w:rFonts w:cs="Arial" w:hint="cs"/>
          <w:rtl/>
        </w:rPr>
        <w:t xml:space="preserve">- </w:t>
      </w:r>
      <w:r w:rsidR="00D47611" w:rsidRPr="00D47611">
        <w:rPr>
          <w:rFonts w:cs="Arial"/>
          <w:rtl/>
        </w:rPr>
        <w:t>מתני' בהוא על המחק ועדיו על הנייר שהוא פסול ואין לו תקנה כדמפרש בפ' גט פשוט</w:t>
      </w:r>
      <w:r w:rsidR="00BE5BBF">
        <w:rPr>
          <w:rFonts w:cs="Arial" w:hint="cs"/>
          <w:sz w:val="16"/>
          <w:szCs w:val="16"/>
          <w:rtl/>
        </w:rPr>
        <w:t xml:space="preserve"> (ל' הרמב"ן)</w:t>
      </w:r>
      <w:r w:rsidR="00D47611">
        <w:rPr>
          <w:rFonts w:cs="Arial" w:hint="cs"/>
          <w:rtl/>
        </w:rPr>
        <w:t>.</w:t>
      </w:r>
    </w:p>
    <w:p w14:paraId="3D57CB7D" w14:textId="2660ADF6" w:rsidR="00FE510D" w:rsidRPr="00144576" w:rsidRDefault="00144576" w:rsidP="00A65C5F">
      <w:pPr>
        <w:pStyle w:val="ab"/>
        <w:numPr>
          <w:ilvl w:val="1"/>
          <w:numId w:val="42"/>
        </w:numPr>
        <w:rPr>
          <w:rFonts w:cs="Arial"/>
          <w:rtl/>
        </w:rPr>
      </w:pPr>
      <w:r w:rsidRPr="00144576">
        <w:rPr>
          <w:rFonts w:cs="Arial" w:hint="cs"/>
          <w:rtl/>
        </w:rPr>
        <w:t>ב"י</w:t>
      </w:r>
      <w:r w:rsidR="00A82951">
        <w:rPr>
          <w:rFonts w:cs="Arial" w:hint="cs"/>
          <w:rtl/>
        </w:rPr>
        <w:t>-</w:t>
      </w:r>
      <w:r w:rsidRPr="00144576">
        <w:rPr>
          <w:rFonts w:cs="Arial" w:hint="cs"/>
          <w:rtl/>
        </w:rPr>
        <w:t xml:space="preserve"> </w:t>
      </w:r>
      <w:r w:rsidR="00FE510D" w:rsidRPr="00144576">
        <w:rPr>
          <w:rFonts w:cs="Arial"/>
          <w:rtl/>
        </w:rPr>
        <w:t>נמצא דבהוא ועדיו על המחק כשר אפילו לתנא קמא לכולי עלמא זולתי רש"י והעיטור</w:t>
      </w:r>
      <w:r>
        <w:rPr>
          <w:rFonts w:cs="Arial" w:hint="cs"/>
          <w:rtl/>
        </w:rPr>
        <w:t>.</w:t>
      </w:r>
      <w:r w:rsidR="00FE510D" w:rsidRPr="00144576">
        <w:rPr>
          <w:rFonts w:cs="Arial"/>
          <w:rtl/>
        </w:rPr>
        <w:t xml:space="preserve"> ובהוא על המחק ועדיו על הנייר</w:t>
      </w:r>
      <w:r>
        <w:rPr>
          <w:rFonts w:cs="Arial" w:hint="cs"/>
          <w:rtl/>
        </w:rPr>
        <w:t>,</w:t>
      </w:r>
      <w:r w:rsidR="00FE510D" w:rsidRPr="00144576">
        <w:rPr>
          <w:rFonts w:cs="Arial"/>
          <w:rtl/>
        </w:rPr>
        <w:t xml:space="preserve"> או הוא על הנייר ועדיו על המחק</w:t>
      </w:r>
      <w:r>
        <w:rPr>
          <w:rFonts w:cs="Arial" w:hint="cs"/>
          <w:rtl/>
        </w:rPr>
        <w:t xml:space="preserve"> </w:t>
      </w:r>
      <w:r w:rsidR="00A82951">
        <w:rPr>
          <w:rFonts w:cs="Arial" w:hint="cs"/>
          <w:rtl/>
        </w:rPr>
        <w:t>-</w:t>
      </w:r>
      <w:r>
        <w:rPr>
          <w:rFonts w:cs="Arial" w:hint="cs"/>
          <w:rtl/>
        </w:rPr>
        <w:t xml:space="preserve"> </w:t>
      </w:r>
      <w:r w:rsidR="00FE510D" w:rsidRPr="00144576">
        <w:rPr>
          <w:rFonts w:cs="Arial"/>
          <w:rtl/>
        </w:rPr>
        <w:t>לכולי עלמא כשר בעדי מסירה לדעת חכמים</w:t>
      </w:r>
      <w:r>
        <w:rPr>
          <w:rFonts w:cs="Arial" w:hint="cs"/>
          <w:rtl/>
        </w:rPr>
        <w:t>.</w:t>
      </w:r>
      <w:r w:rsidR="00FE510D" w:rsidRPr="00144576">
        <w:rPr>
          <w:rFonts w:cs="Arial"/>
          <w:rtl/>
        </w:rPr>
        <w:t xml:space="preserve"> דליכא בינייהו אלא הוא ועדיו על המחק</w:t>
      </w:r>
      <w:r>
        <w:rPr>
          <w:rFonts w:cs="Arial" w:hint="cs"/>
          <w:rtl/>
        </w:rPr>
        <w:t>,</w:t>
      </w:r>
      <w:r w:rsidR="00FE510D" w:rsidRPr="00144576">
        <w:rPr>
          <w:rFonts w:cs="Arial"/>
          <w:rtl/>
        </w:rPr>
        <w:t xml:space="preserve"> דלרש"י והעיטור בעינן עדי מסירה להכשירו</w:t>
      </w:r>
      <w:r>
        <w:rPr>
          <w:rFonts w:cs="Arial" w:hint="cs"/>
          <w:rtl/>
        </w:rPr>
        <w:t>,</w:t>
      </w:r>
      <w:r w:rsidR="00FE510D" w:rsidRPr="00144576">
        <w:rPr>
          <w:rFonts w:cs="Arial"/>
          <w:rtl/>
        </w:rPr>
        <w:t xml:space="preserve"> ולשאר </w:t>
      </w:r>
      <w:r w:rsidR="00FE510D" w:rsidRPr="00144576">
        <w:rPr>
          <w:rFonts w:cs="Arial"/>
          <w:rtl/>
        </w:rPr>
        <w:lastRenderedPageBreak/>
        <w:t>מפרשים לא בעינן</w:t>
      </w:r>
      <w:r>
        <w:rPr>
          <w:rFonts w:cs="Arial" w:hint="cs"/>
          <w:rtl/>
        </w:rPr>
        <w:t>.</w:t>
      </w:r>
      <w:r w:rsidR="00FE510D" w:rsidRPr="00144576">
        <w:rPr>
          <w:rFonts w:cs="Arial"/>
          <w:rtl/>
        </w:rPr>
        <w:t xml:space="preserve"> אבל כל היכא דאיכא עדי מסירה</w:t>
      </w:r>
      <w:r>
        <w:rPr>
          <w:rFonts w:cs="Arial" w:hint="cs"/>
          <w:rtl/>
        </w:rPr>
        <w:t>,</w:t>
      </w:r>
      <w:r w:rsidR="00FE510D" w:rsidRPr="00144576">
        <w:rPr>
          <w:rFonts w:cs="Arial"/>
          <w:rtl/>
        </w:rPr>
        <w:t xml:space="preserve"> פשיטא דבכל גוונא כשר אפילו לדעת רש"י והעיטור</w:t>
      </w:r>
      <w:r w:rsidR="00543BB2" w:rsidRPr="00144576">
        <w:rPr>
          <w:rFonts w:cs="Arial" w:hint="cs"/>
          <w:rtl/>
        </w:rPr>
        <w:t>.</w:t>
      </w:r>
    </w:p>
    <w:p w14:paraId="189DEB73" w14:textId="5BD1323D" w:rsidR="00B1795E" w:rsidRDefault="008D5E33" w:rsidP="00375502">
      <w:pPr>
        <w:rPr>
          <w:rFonts w:cs="Arial"/>
          <w:rtl/>
        </w:rPr>
      </w:pPr>
      <w:r w:rsidRPr="00AB4A3D">
        <w:rPr>
          <w:rFonts w:cs="Arial" w:hint="cs"/>
          <w:b/>
          <w:bCs/>
          <w:rtl/>
        </w:rPr>
        <w:t xml:space="preserve">גיטין </w:t>
      </w:r>
      <w:r w:rsidRPr="00AB4A3D">
        <w:rPr>
          <w:rFonts w:cs="Arial" w:hint="cs"/>
          <w:b/>
          <w:bCs/>
          <w:sz w:val="16"/>
          <w:szCs w:val="16"/>
          <w:rtl/>
        </w:rPr>
        <w:t>(פ"ב)</w:t>
      </w:r>
      <w:r w:rsidRPr="00AB4A3D">
        <w:rPr>
          <w:rFonts w:cs="Arial" w:hint="cs"/>
          <w:b/>
          <w:bCs/>
          <w:rtl/>
        </w:rPr>
        <w:t xml:space="preserve"> </w:t>
      </w:r>
      <w:r>
        <w:rPr>
          <w:rFonts w:cs="Arial" w:hint="cs"/>
          <w:b/>
          <w:bCs/>
          <w:rtl/>
        </w:rPr>
        <w:t>יט</w:t>
      </w:r>
      <w:r w:rsidRPr="00AB4A3D">
        <w:rPr>
          <w:rFonts w:cs="Arial" w:hint="cs"/>
          <w:b/>
          <w:bCs/>
          <w:rtl/>
        </w:rPr>
        <w:t xml:space="preserve"> ע"א:</w:t>
      </w:r>
      <w:r>
        <w:rPr>
          <w:rFonts w:cs="Arial" w:hint="cs"/>
          <w:rtl/>
        </w:rPr>
        <w:t xml:space="preserve"> </w:t>
      </w:r>
      <w:r w:rsidRPr="009726C1">
        <w:rPr>
          <w:rFonts w:cs="Arial"/>
          <w:u w:val="double"/>
          <w:rtl/>
        </w:rPr>
        <w:t>מתני'</w:t>
      </w:r>
      <w:r>
        <w:rPr>
          <w:rFonts w:cs="Arial" w:hint="cs"/>
          <w:rtl/>
        </w:rPr>
        <w:t>:..</w:t>
      </w:r>
      <w:r w:rsidRPr="009726C1">
        <w:rPr>
          <w:rFonts w:cs="Arial"/>
          <w:rtl/>
        </w:rPr>
        <w:t>. על הכל כותבין, על העלה של זית, ועל הקרן של פרה ונותן לה את הפרה, על יד של עבד ונותן לה את העבד</w:t>
      </w:r>
      <w:r>
        <w:rPr>
          <w:rFonts w:cs="Arial" w:hint="cs"/>
          <w:rtl/>
        </w:rPr>
        <w:t xml:space="preserve">.        </w:t>
      </w:r>
      <w:r w:rsidRPr="009726C1">
        <w:rPr>
          <w:rFonts w:cs="Arial"/>
          <w:rtl/>
        </w:rPr>
        <w:t xml:space="preserve"> </w:t>
      </w:r>
      <w:r w:rsidRPr="008D5E33">
        <w:rPr>
          <w:rFonts w:cs="Arial" w:hint="cs"/>
          <w:u w:val="double"/>
          <w:rtl/>
        </w:rPr>
        <w:t>גמ'</w:t>
      </w:r>
      <w:r w:rsidRPr="008D5E33">
        <w:rPr>
          <w:rFonts w:cs="Arial" w:hint="cs"/>
          <w:sz w:val="14"/>
          <w:szCs w:val="14"/>
          <w:u w:val="double"/>
          <w:rtl/>
        </w:rPr>
        <w:t>(כא.)</w:t>
      </w:r>
      <w:r w:rsidRPr="008D5E33">
        <w:rPr>
          <w:rFonts w:cs="Arial" w:hint="cs"/>
          <w:u w:val="double"/>
          <w:rtl/>
        </w:rPr>
        <w:t>:</w:t>
      </w:r>
      <w:r>
        <w:rPr>
          <w:rFonts w:cs="Arial" w:hint="cs"/>
          <w:rtl/>
        </w:rPr>
        <w:t xml:space="preserve"> </w:t>
      </w:r>
      <w:r w:rsidR="00A645FB" w:rsidRPr="00A645FB">
        <w:rPr>
          <w:rFonts w:cs="Arial"/>
          <w:rtl/>
        </w:rPr>
        <w:t xml:space="preserve">על העלה של זית וכו'. בשלמא יד דעבד </w:t>
      </w:r>
      <w:r w:rsidR="00A82951">
        <w:rPr>
          <w:rFonts w:cs="Arial" w:hint="cs"/>
          <w:rtl/>
        </w:rPr>
        <w:t>-</w:t>
      </w:r>
      <w:r w:rsidR="00A645FB">
        <w:rPr>
          <w:rFonts w:cs="Arial" w:hint="cs"/>
          <w:sz w:val="14"/>
          <w:szCs w:val="14"/>
          <w:rtl/>
        </w:rPr>
        <w:t xml:space="preserve"> (כא:) </w:t>
      </w:r>
      <w:r w:rsidR="00A645FB" w:rsidRPr="00A645FB">
        <w:rPr>
          <w:rFonts w:cs="Arial"/>
          <w:rtl/>
        </w:rPr>
        <w:t>לא אפשר למקצייה</w:t>
      </w:r>
      <w:r w:rsidR="00A645FB">
        <w:rPr>
          <w:rStyle w:val="a7"/>
          <w:rFonts w:cs="Arial"/>
          <w:rtl/>
        </w:rPr>
        <w:footnoteReference w:id="433"/>
      </w:r>
      <w:r w:rsidR="00A645FB" w:rsidRPr="00A645FB">
        <w:rPr>
          <w:rFonts w:cs="Arial"/>
          <w:rtl/>
        </w:rPr>
        <w:t xml:space="preserve">, אלא קרן של פרה </w:t>
      </w:r>
      <w:r w:rsidR="00A82951">
        <w:rPr>
          <w:rFonts w:cs="Arial"/>
          <w:rtl/>
        </w:rPr>
        <w:t>-</w:t>
      </w:r>
      <w:r w:rsidR="00A645FB" w:rsidRPr="00A645FB">
        <w:rPr>
          <w:rFonts w:cs="Arial"/>
          <w:rtl/>
        </w:rPr>
        <w:t xml:space="preserve"> ליקצייה וליתביה לה! אמר קרא: וכתב ונתן לה, מי שאינו מחוסר אלא כתיבה ונתינה, יצא זה שמחוסר כתיבה, קציצה, ונתינה.</w:t>
      </w:r>
      <w:r w:rsidR="002132B3">
        <w:rPr>
          <w:rFonts w:cs="Arial" w:hint="cs"/>
          <w:rtl/>
        </w:rPr>
        <w:t xml:space="preserve"> </w:t>
      </w:r>
    </w:p>
    <w:p w14:paraId="73B8330D" w14:textId="5842614B" w:rsidR="00DB6E52" w:rsidRDefault="007B18F2" w:rsidP="00FE510D">
      <w:pPr>
        <w:rPr>
          <w:rFonts w:cs="Arial"/>
          <w:u w:val="single"/>
          <w:rtl/>
        </w:rPr>
      </w:pPr>
      <w:r>
        <w:rPr>
          <w:rFonts w:cs="Arial" w:hint="cs"/>
          <w:u w:val="single"/>
          <w:rtl/>
        </w:rPr>
        <w:t xml:space="preserve">קציצה לאחר כתיבת הגט </w:t>
      </w:r>
      <w:r w:rsidR="00A82951">
        <w:rPr>
          <w:rFonts w:cs="Arial"/>
          <w:u w:val="single"/>
          <w:rtl/>
        </w:rPr>
        <w:t>-</w:t>
      </w:r>
      <w:r>
        <w:rPr>
          <w:rFonts w:cs="Arial" w:hint="cs"/>
          <w:u w:val="single"/>
          <w:rtl/>
        </w:rPr>
        <w:t xml:space="preserve"> בדבר מחובר</w:t>
      </w:r>
      <w:r w:rsidRPr="007B18F2">
        <w:rPr>
          <w:rFonts w:cs="Arial" w:hint="cs"/>
          <w:u w:val="single"/>
          <w:rtl/>
        </w:rPr>
        <w:t xml:space="preserve"> לגוף/לאדמה </w:t>
      </w:r>
      <w:r>
        <w:rPr>
          <w:rFonts w:cs="Arial" w:hint="cs"/>
          <w:sz w:val="16"/>
          <w:szCs w:val="16"/>
          <w:u w:val="single"/>
          <w:rtl/>
        </w:rPr>
        <w:t>(לגבי דבר התלוש עיין בסעיף הבא)</w:t>
      </w:r>
      <w:r w:rsidR="00DB6E52">
        <w:rPr>
          <w:rFonts w:cs="Arial" w:hint="cs"/>
          <w:u w:val="single"/>
          <w:rtl/>
        </w:rPr>
        <w:t>:</w:t>
      </w:r>
    </w:p>
    <w:p w14:paraId="46EFA6D0" w14:textId="698796E3" w:rsidR="00DB6E52" w:rsidRDefault="00DB6E52" w:rsidP="00A65C5F">
      <w:pPr>
        <w:pStyle w:val="ab"/>
        <w:numPr>
          <w:ilvl w:val="0"/>
          <w:numId w:val="45"/>
        </w:numPr>
        <w:rPr>
          <w:rFonts w:cs="Arial"/>
        </w:rPr>
      </w:pPr>
      <w:r w:rsidRPr="00DB6E52">
        <w:rPr>
          <w:rFonts w:cs="Arial" w:hint="cs"/>
          <w:rtl/>
        </w:rPr>
        <w:t xml:space="preserve">רמב"ם </w:t>
      </w:r>
      <w:r w:rsidRPr="00DB6E52">
        <w:rPr>
          <w:rFonts w:cs="Arial" w:hint="cs"/>
          <w:sz w:val="16"/>
          <w:szCs w:val="16"/>
          <w:rtl/>
        </w:rPr>
        <w:t>(פ"א ה"ו)</w:t>
      </w:r>
      <w:r w:rsidR="00A82951">
        <w:rPr>
          <w:rFonts w:cs="Arial" w:hint="cs"/>
          <w:rtl/>
        </w:rPr>
        <w:t>-</w:t>
      </w:r>
      <w:r w:rsidRPr="00DB6E52">
        <w:rPr>
          <w:rFonts w:cs="Arial" w:hint="cs"/>
          <w:rtl/>
        </w:rPr>
        <w:t xml:space="preserve"> </w:t>
      </w:r>
      <w:r w:rsidRPr="00DB6E52">
        <w:rPr>
          <w:rFonts w:cs="Arial"/>
          <w:rtl/>
        </w:rPr>
        <w:t>ומנין שלא יהיה מחוסר מעשה אחר כתיבתו, שנא</w:t>
      </w:r>
      <w:r w:rsidR="007B18F2">
        <w:rPr>
          <w:rFonts w:cs="Arial" w:hint="cs"/>
          <w:rtl/>
        </w:rPr>
        <w:t>מר</w:t>
      </w:r>
      <w:r w:rsidRPr="00DB6E52">
        <w:rPr>
          <w:rFonts w:cs="Arial"/>
          <w:rtl/>
        </w:rPr>
        <w:t xml:space="preserve"> וכתב ונתן</w:t>
      </w:r>
      <w:r w:rsidR="007B18F2">
        <w:rPr>
          <w:rFonts w:cs="Arial" w:hint="cs"/>
          <w:rtl/>
        </w:rPr>
        <w:t>,</w:t>
      </w:r>
      <w:r w:rsidRPr="00DB6E52">
        <w:rPr>
          <w:rFonts w:cs="Arial"/>
          <w:rtl/>
        </w:rPr>
        <w:t xml:space="preserve"> מי שאינו מחוסר אלא כתיבה ונתינה</w:t>
      </w:r>
      <w:r w:rsidR="007B18F2">
        <w:rPr>
          <w:rFonts w:cs="Arial" w:hint="cs"/>
          <w:rtl/>
        </w:rPr>
        <w:t xml:space="preserve"> </w:t>
      </w:r>
      <w:r w:rsidR="00A82951">
        <w:rPr>
          <w:rFonts w:cs="Arial" w:hint="cs"/>
          <w:rtl/>
        </w:rPr>
        <w:t>-</w:t>
      </w:r>
      <w:r w:rsidRPr="00DB6E52">
        <w:rPr>
          <w:rFonts w:cs="Arial"/>
          <w:rtl/>
        </w:rPr>
        <w:t xml:space="preserve"> הוא הגט הכשר</w:t>
      </w:r>
      <w:r w:rsidR="007B18F2">
        <w:rPr>
          <w:rFonts w:cs="Arial" w:hint="cs"/>
          <w:rtl/>
        </w:rPr>
        <w:t>.</w:t>
      </w:r>
      <w:r w:rsidRPr="00DB6E52">
        <w:rPr>
          <w:rFonts w:cs="Arial"/>
          <w:rtl/>
        </w:rPr>
        <w:t xml:space="preserve"> יצא דבר שמחוסר קציצה אחר הכתיבה</w:t>
      </w:r>
      <w:r w:rsidR="007B18F2">
        <w:rPr>
          <w:rFonts w:cs="Arial" w:hint="cs"/>
          <w:rtl/>
        </w:rPr>
        <w:t>.</w:t>
      </w:r>
      <w:r w:rsidRPr="00DB6E52">
        <w:rPr>
          <w:rFonts w:cs="Arial"/>
          <w:rtl/>
        </w:rPr>
        <w:t xml:space="preserve"> לפיכך אם כתב גט על קרן הפרה </w:t>
      </w:r>
      <w:r w:rsidR="00A82951">
        <w:rPr>
          <w:rFonts w:cs="Arial" w:hint="cs"/>
          <w:rtl/>
        </w:rPr>
        <w:t>-</w:t>
      </w:r>
      <w:r w:rsidR="007B18F2">
        <w:rPr>
          <w:rFonts w:cs="Arial" w:hint="cs"/>
          <w:rtl/>
        </w:rPr>
        <w:t xml:space="preserve"> </w:t>
      </w:r>
      <w:r w:rsidRPr="00DB6E52">
        <w:rPr>
          <w:rFonts w:cs="Arial"/>
          <w:rtl/>
        </w:rPr>
        <w:t>נותן לה את הפרה</w:t>
      </w:r>
      <w:r>
        <w:rPr>
          <w:rFonts w:cs="Arial" w:hint="cs"/>
          <w:rtl/>
        </w:rPr>
        <w:t>.</w:t>
      </w:r>
      <w:r w:rsidRPr="00DB6E52">
        <w:rPr>
          <w:rFonts w:cs="Arial"/>
          <w:rtl/>
        </w:rPr>
        <w:t xml:space="preserve"> ואם חתך הקרן אחר שכתב ונתנו לה </w:t>
      </w:r>
      <w:r w:rsidR="00A82951">
        <w:rPr>
          <w:rFonts w:cs="Arial" w:hint="cs"/>
          <w:rtl/>
        </w:rPr>
        <w:t>-</w:t>
      </w:r>
      <w:r w:rsidR="007B18F2">
        <w:rPr>
          <w:rFonts w:cs="Arial" w:hint="cs"/>
          <w:rtl/>
        </w:rPr>
        <w:t xml:space="preserve"> </w:t>
      </w:r>
      <w:r w:rsidRPr="00DB6E52">
        <w:rPr>
          <w:rFonts w:cs="Arial"/>
          <w:rtl/>
        </w:rPr>
        <w:t>אינו גט</w:t>
      </w:r>
      <w:r w:rsidR="007B18F2">
        <w:rPr>
          <w:rFonts w:cs="Arial" w:hint="cs"/>
          <w:rtl/>
        </w:rPr>
        <w:t>.</w:t>
      </w:r>
      <w:r w:rsidRPr="00DB6E52">
        <w:rPr>
          <w:rFonts w:cs="Arial"/>
          <w:rtl/>
        </w:rPr>
        <w:t xml:space="preserve"> וכן אם כתב במחובר אע</w:t>
      </w:r>
      <w:r>
        <w:rPr>
          <w:rFonts w:cs="Arial" w:hint="cs"/>
          <w:rtl/>
        </w:rPr>
        <w:t>"</w:t>
      </w:r>
      <w:r w:rsidRPr="00DB6E52">
        <w:rPr>
          <w:rFonts w:cs="Arial"/>
          <w:rtl/>
        </w:rPr>
        <w:t>פ שחתמו בו העדים אחר שתלשו ונתנו לה</w:t>
      </w:r>
      <w:r>
        <w:rPr>
          <w:rFonts w:cs="Arial" w:hint="cs"/>
          <w:rtl/>
        </w:rPr>
        <w:t xml:space="preserve"> </w:t>
      </w:r>
      <w:r w:rsidR="00A82951">
        <w:rPr>
          <w:rFonts w:cs="Arial" w:hint="cs"/>
          <w:rtl/>
        </w:rPr>
        <w:t>-</w:t>
      </w:r>
      <w:r w:rsidRPr="00DB6E52">
        <w:rPr>
          <w:rFonts w:cs="Arial"/>
          <w:rtl/>
        </w:rPr>
        <w:t xml:space="preserve"> אינו גט</w:t>
      </w:r>
      <w:r>
        <w:rPr>
          <w:rStyle w:val="a7"/>
          <w:rFonts w:cs="Arial"/>
          <w:rtl/>
        </w:rPr>
        <w:footnoteReference w:id="434"/>
      </w:r>
      <w:r w:rsidRPr="00DB6E52">
        <w:rPr>
          <w:rFonts w:cs="Arial"/>
          <w:rtl/>
        </w:rPr>
        <w:t xml:space="preserve">. </w:t>
      </w:r>
      <w:r w:rsidRPr="00375502">
        <w:rPr>
          <w:rFonts w:hint="cs"/>
          <w:color w:val="E36C0A" w:themeColor="accent6" w:themeShade="BF"/>
          <w:rtl/>
        </w:rPr>
        <w:t>(וכ"פ בשו"ע)</w:t>
      </w:r>
    </w:p>
    <w:p w14:paraId="196A5978" w14:textId="35E2D65A" w:rsidR="007D0719" w:rsidRPr="00DB6E52" w:rsidRDefault="00375502" w:rsidP="00DB6E52">
      <w:pPr>
        <w:ind w:left="360"/>
        <w:rPr>
          <w:rFonts w:cs="Arial"/>
          <w:u w:val="dotted"/>
          <w:rtl/>
        </w:rPr>
      </w:pPr>
      <w:r w:rsidRPr="00DB6E52">
        <w:rPr>
          <w:rFonts w:cs="Arial" w:hint="cs"/>
          <w:u w:val="dotted"/>
          <w:rtl/>
        </w:rPr>
        <w:t xml:space="preserve">האם צריך לפרש שנותן לה את </w:t>
      </w:r>
      <w:r w:rsidR="00DB6E52">
        <w:rPr>
          <w:rFonts w:cs="Arial" w:hint="cs"/>
          <w:u w:val="dotted"/>
          <w:rtl/>
        </w:rPr>
        <w:t>הפרה</w:t>
      </w:r>
      <w:r w:rsidR="00DB6E52">
        <w:rPr>
          <w:rFonts w:cs="Arial" w:hint="cs"/>
          <w:sz w:val="16"/>
          <w:szCs w:val="16"/>
          <w:u w:val="dotted"/>
          <w:rtl/>
        </w:rPr>
        <w:t xml:space="preserve"> (או העבד)</w:t>
      </w:r>
      <w:r w:rsidR="007D0719" w:rsidRPr="00DB6E52">
        <w:rPr>
          <w:rFonts w:cs="Arial" w:hint="cs"/>
          <w:u w:val="dotted"/>
          <w:rtl/>
        </w:rPr>
        <w:t>:</w:t>
      </w:r>
    </w:p>
    <w:p w14:paraId="4C72BD92" w14:textId="52B5866F" w:rsidR="007D0719" w:rsidRDefault="00FE510D" w:rsidP="00A65C5F">
      <w:pPr>
        <w:pStyle w:val="ab"/>
        <w:numPr>
          <w:ilvl w:val="0"/>
          <w:numId w:val="43"/>
        </w:numPr>
        <w:rPr>
          <w:rFonts w:cs="Arial"/>
        </w:rPr>
      </w:pPr>
      <w:r w:rsidRPr="007D0719">
        <w:rPr>
          <w:rFonts w:cs="Arial"/>
          <w:rtl/>
        </w:rPr>
        <w:t xml:space="preserve">רמ"ה </w:t>
      </w:r>
      <w:r w:rsidRPr="007D0719">
        <w:rPr>
          <w:rFonts w:cs="Arial"/>
          <w:sz w:val="16"/>
          <w:szCs w:val="16"/>
          <w:rtl/>
        </w:rPr>
        <w:t>(חידושי הרמ"ה גיטין ח"א כא. ד"ה כתבו</w:t>
      </w:r>
      <w:r w:rsidR="007D0719" w:rsidRPr="007D0719">
        <w:rPr>
          <w:rFonts w:cs="Arial" w:hint="cs"/>
          <w:sz w:val="16"/>
          <w:szCs w:val="16"/>
          <w:rtl/>
        </w:rPr>
        <w:t xml:space="preserve">, כ"כ </w:t>
      </w:r>
      <w:r w:rsidR="007D0719" w:rsidRPr="007D0719">
        <w:rPr>
          <w:rFonts w:cs="Arial"/>
          <w:sz w:val="16"/>
          <w:szCs w:val="16"/>
          <w:rtl/>
        </w:rPr>
        <w:t>ר"ן (ט. ד"ה על)</w:t>
      </w:r>
      <w:r w:rsidR="007D0719" w:rsidRPr="007D0719">
        <w:rPr>
          <w:rFonts w:cs="Arial" w:hint="cs"/>
          <w:sz w:val="16"/>
          <w:szCs w:val="16"/>
          <w:rtl/>
        </w:rPr>
        <w:t xml:space="preserve"> בשמו</w:t>
      </w:r>
      <w:r w:rsidRPr="007D0719">
        <w:rPr>
          <w:rFonts w:cs="Arial"/>
          <w:sz w:val="16"/>
          <w:szCs w:val="16"/>
          <w:rtl/>
        </w:rPr>
        <w:t>)</w:t>
      </w:r>
      <w:r w:rsidR="00A82951">
        <w:rPr>
          <w:rFonts w:cs="Arial" w:hint="cs"/>
          <w:rtl/>
        </w:rPr>
        <w:t>-</w:t>
      </w:r>
      <w:r w:rsidRPr="007D0719">
        <w:rPr>
          <w:rFonts w:cs="Arial"/>
          <w:rtl/>
        </w:rPr>
        <w:t xml:space="preserve"> צריך שיתן העבד והפרה בפירוש</w:t>
      </w:r>
      <w:r w:rsidR="00B1795E" w:rsidRPr="007D0719">
        <w:rPr>
          <w:rFonts w:cs="Arial" w:hint="cs"/>
          <w:rtl/>
        </w:rPr>
        <w:t>.</w:t>
      </w:r>
      <w:r w:rsidRPr="007D0719">
        <w:rPr>
          <w:rFonts w:cs="Arial"/>
          <w:rtl/>
        </w:rPr>
        <w:t xml:space="preserve"> הא בנותן לה ואומר הרי זה גיטך סתמא אינו במשמע שנתן לה כלום</w:t>
      </w:r>
      <w:r w:rsidR="00375502">
        <w:rPr>
          <w:rFonts w:cs="Arial" w:hint="cs"/>
          <w:rtl/>
        </w:rPr>
        <w:t>,</w:t>
      </w:r>
      <w:r w:rsidRPr="007D0719">
        <w:rPr>
          <w:rFonts w:cs="Arial"/>
          <w:rtl/>
        </w:rPr>
        <w:t xml:space="preserve"> והגט בטל.</w:t>
      </w:r>
    </w:p>
    <w:p w14:paraId="7D5F1898" w14:textId="4E798AAF" w:rsidR="007D0719" w:rsidRDefault="00FE510D" w:rsidP="00A65C5F">
      <w:pPr>
        <w:pStyle w:val="ab"/>
        <w:numPr>
          <w:ilvl w:val="0"/>
          <w:numId w:val="43"/>
        </w:numPr>
        <w:rPr>
          <w:rFonts w:cs="Arial"/>
        </w:rPr>
      </w:pPr>
      <w:r w:rsidRPr="007D0719">
        <w:rPr>
          <w:rFonts w:cs="Arial"/>
          <w:rtl/>
        </w:rPr>
        <w:t xml:space="preserve">רשב"א </w:t>
      </w:r>
      <w:r w:rsidRPr="007D0719">
        <w:rPr>
          <w:rFonts w:cs="Arial"/>
          <w:sz w:val="16"/>
          <w:szCs w:val="16"/>
          <w:rtl/>
        </w:rPr>
        <w:t>(כא. ד"ה על)</w:t>
      </w:r>
      <w:r w:rsidR="00A82951">
        <w:rPr>
          <w:rFonts w:cs="Arial" w:hint="cs"/>
          <w:rtl/>
        </w:rPr>
        <w:t>-</w:t>
      </w:r>
      <w:r w:rsidRPr="007D0719">
        <w:rPr>
          <w:rFonts w:cs="Arial"/>
          <w:rtl/>
        </w:rPr>
        <w:t xml:space="preserve"> פירוש </w:t>
      </w:r>
      <w:r w:rsidR="007D0719">
        <w:rPr>
          <w:rFonts w:cs="Arial" w:hint="cs"/>
          <w:rtl/>
        </w:rPr>
        <w:t>'</w:t>
      </w:r>
      <w:r w:rsidRPr="007D0719">
        <w:rPr>
          <w:rFonts w:cs="Arial"/>
          <w:rtl/>
        </w:rPr>
        <w:t>ונותן לה</w:t>
      </w:r>
      <w:r w:rsidR="007D0719">
        <w:rPr>
          <w:rFonts w:cs="Arial" w:hint="cs"/>
          <w:rtl/>
        </w:rPr>
        <w:t>'</w:t>
      </w:r>
      <w:r w:rsidRPr="007D0719">
        <w:rPr>
          <w:rFonts w:cs="Arial"/>
          <w:rtl/>
        </w:rPr>
        <w:t xml:space="preserve"> </w:t>
      </w:r>
      <w:r w:rsidR="00A82951">
        <w:rPr>
          <w:rFonts w:cs="Arial" w:hint="cs"/>
          <w:rtl/>
        </w:rPr>
        <w:t>-</w:t>
      </w:r>
      <w:r w:rsidR="007D0719">
        <w:rPr>
          <w:rFonts w:cs="Arial" w:hint="cs"/>
          <w:rtl/>
        </w:rPr>
        <w:t xml:space="preserve"> </w:t>
      </w:r>
      <w:r w:rsidRPr="007D0719">
        <w:rPr>
          <w:rFonts w:cs="Arial"/>
          <w:rtl/>
        </w:rPr>
        <w:t>בפירוש</w:t>
      </w:r>
      <w:r w:rsidR="00DD62D1">
        <w:rPr>
          <w:rFonts w:cs="Arial" w:hint="cs"/>
          <w:rtl/>
        </w:rPr>
        <w:t>,</w:t>
      </w:r>
      <w:r w:rsidRPr="007D0719">
        <w:rPr>
          <w:rFonts w:cs="Arial"/>
          <w:rtl/>
        </w:rPr>
        <w:t xml:space="preserve"> כולה פרה וכוליה עבד</w:t>
      </w:r>
      <w:r w:rsidR="007D0719">
        <w:rPr>
          <w:rFonts w:cs="Arial" w:hint="cs"/>
          <w:rtl/>
        </w:rPr>
        <w:t>.</w:t>
      </w:r>
      <w:r w:rsidRPr="007D0719">
        <w:rPr>
          <w:rFonts w:cs="Arial"/>
          <w:rtl/>
        </w:rPr>
        <w:t xml:space="preserve"> הא נותן לה פרה ועבד סתם </w:t>
      </w:r>
      <w:r w:rsidR="00A82951">
        <w:rPr>
          <w:rFonts w:cs="Arial" w:hint="cs"/>
          <w:rtl/>
        </w:rPr>
        <w:t>-</w:t>
      </w:r>
      <w:r w:rsidR="007D0719">
        <w:rPr>
          <w:rFonts w:cs="Arial" w:hint="cs"/>
          <w:rtl/>
        </w:rPr>
        <w:t xml:space="preserve"> </w:t>
      </w:r>
      <w:r w:rsidRPr="007D0719">
        <w:rPr>
          <w:rFonts w:cs="Arial"/>
          <w:rtl/>
        </w:rPr>
        <w:t>פסול</w:t>
      </w:r>
      <w:r w:rsidR="00DD62D1">
        <w:rPr>
          <w:rFonts w:cs="Arial" w:hint="cs"/>
          <w:rtl/>
        </w:rPr>
        <w:t>,</w:t>
      </w:r>
      <w:r w:rsidRPr="007D0719">
        <w:rPr>
          <w:rFonts w:cs="Arial"/>
          <w:rtl/>
        </w:rPr>
        <w:t xml:space="preserve"> דמסתמא הפרה והעבד משויירין לו דלא בטילי לגבי גט</w:t>
      </w:r>
      <w:r w:rsidR="007D0719">
        <w:rPr>
          <w:rFonts w:cs="Arial" w:hint="cs"/>
          <w:rtl/>
        </w:rPr>
        <w:t>.</w:t>
      </w:r>
      <w:r w:rsidRPr="007D0719">
        <w:rPr>
          <w:rFonts w:cs="Arial"/>
          <w:rtl/>
        </w:rPr>
        <w:t xml:space="preserve"> אלא דבירושלמי (פ"ב ה"ג יב.) לא משמע הכי אלא כל שנתן לה סתם הכל שלה. </w:t>
      </w:r>
    </w:p>
    <w:p w14:paraId="259C8A26" w14:textId="5692203C" w:rsidR="00B1795E" w:rsidRPr="007D0719" w:rsidRDefault="007D0719" w:rsidP="00A65C5F">
      <w:pPr>
        <w:pStyle w:val="ab"/>
        <w:numPr>
          <w:ilvl w:val="0"/>
          <w:numId w:val="43"/>
        </w:numPr>
        <w:rPr>
          <w:rFonts w:cs="Arial"/>
          <w:rtl/>
        </w:rPr>
      </w:pPr>
      <w:r>
        <w:rPr>
          <w:rFonts w:cs="Arial" w:hint="cs"/>
          <w:rtl/>
        </w:rPr>
        <w:t>רי"ו</w:t>
      </w:r>
      <w:r w:rsidR="00FE510D" w:rsidRPr="007D0719">
        <w:rPr>
          <w:rFonts w:cs="Arial"/>
          <w:rtl/>
        </w:rPr>
        <w:t xml:space="preserve"> </w:t>
      </w:r>
      <w:r w:rsidR="00B1795E" w:rsidRPr="007D0719">
        <w:rPr>
          <w:rFonts w:cs="Arial" w:hint="cs"/>
          <w:sz w:val="16"/>
          <w:szCs w:val="16"/>
          <w:rtl/>
        </w:rPr>
        <w:t>(</w:t>
      </w:r>
      <w:r w:rsidR="00FE510D" w:rsidRPr="007D0719">
        <w:rPr>
          <w:rFonts w:cs="Arial"/>
          <w:sz w:val="16"/>
          <w:szCs w:val="16"/>
          <w:rtl/>
        </w:rPr>
        <w:t>ח</w:t>
      </w:r>
      <w:r w:rsidR="00B1795E" w:rsidRPr="007D0719">
        <w:rPr>
          <w:rFonts w:cs="Arial" w:hint="cs"/>
          <w:sz w:val="16"/>
          <w:szCs w:val="16"/>
          <w:rtl/>
        </w:rPr>
        <w:t>"</w:t>
      </w:r>
      <w:r w:rsidR="00FE510D" w:rsidRPr="007D0719">
        <w:rPr>
          <w:rFonts w:cs="Arial"/>
          <w:sz w:val="16"/>
          <w:szCs w:val="16"/>
          <w:rtl/>
        </w:rPr>
        <w:t>ב נכ"ד רד ע"א)</w:t>
      </w:r>
      <w:r w:rsidR="00A82951">
        <w:rPr>
          <w:rFonts w:cs="Arial" w:hint="cs"/>
          <w:rtl/>
        </w:rPr>
        <w:t>-</w:t>
      </w:r>
      <w:r w:rsidR="00FE510D" w:rsidRPr="007D0719">
        <w:rPr>
          <w:rFonts w:cs="Arial"/>
          <w:rtl/>
        </w:rPr>
        <w:t xml:space="preserve"> כותב הגט על יד העבד וכו' ונותן לה את העבד ובכפות</w:t>
      </w:r>
      <w:r>
        <w:rPr>
          <w:rFonts w:cs="Arial" w:hint="cs"/>
          <w:rtl/>
        </w:rPr>
        <w:t>,</w:t>
      </w:r>
      <w:r w:rsidR="00FE510D" w:rsidRPr="007D0719">
        <w:rPr>
          <w:rFonts w:cs="Arial"/>
          <w:rtl/>
        </w:rPr>
        <w:t xml:space="preserve"> כמו שפירשתי בנתינת הגט</w:t>
      </w:r>
      <w:r>
        <w:rPr>
          <w:rStyle w:val="a7"/>
          <w:rFonts w:cs="Arial"/>
          <w:rtl/>
        </w:rPr>
        <w:footnoteReference w:id="435"/>
      </w:r>
      <w:r>
        <w:rPr>
          <w:rFonts w:cs="Arial" w:hint="cs"/>
          <w:rtl/>
        </w:rPr>
        <w:t>.</w:t>
      </w:r>
    </w:p>
    <w:p w14:paraId="376D00F5" w14:textId="449B666E" w:rsidR="00690E70" w:rsidRDefault="00690E70" w:rsidP="00FE510D">
      <w:pPr>
        <w:rPr>
          <w:rFonts w:cs="Arial"/>
          <w:rtl/>
        </w:rPr>
      </w:pPr>
      <w:r w:rsidRPr="00690E70">
        <w:rPr>
          <w:rFonts w:cs="Arial" w:hint="cs"/>
          <w:u w:val="single"/>
          <w:rtl/>
        </w:rPr>
        <w:t>עם מה ועל מה צריך לכתוב גט לכתחילה:</w:t>
      </w:r>
      <w:r>
        <w:rPr>
          <w:rFonts w:cs="Arial" w:hint="cs"/>
          <w:rtl/>
        </w:rPr>
        <w:t xml:space="preserve"> </w:t>
      </w:r>
    </w:p>
    <w:p w14:paraId="4305026F" w14:textId="54D866FC" w:rsidR="00543BB2" w:rsidRPr="00FE510D" w:rsidRDefault="00690E70" w:rsidP="00FC4629">
      <w:pPr>
        <w:pStyle w:val="ab"/>
        <w:numPr>
          <w:ilvl w:val="0"/>
          <w:numId w:val="44"/>
        </w:numPr>
        <w:rPr>
          <w:rtl/>
        </w:rPr>
      </w:pPr>
      <w:r w:rsidRPr="00F84F7A">
        <w:rPr>
          <w:rFonts w:cs="Arial" w:hint="cs"/>
          <w:rtl/>
        </w:rPr>
        <w:t xml:space="preserve">דרכ"מ </w:t>
      </w:r>
      <w:r w:rsidRPr="00F84F7A">
        <w:rPr>
          <w:rFonts w:cs="Arial" w:hint="cs"/>
          <w:sz w:val="16"/>
          <w:szCs w:val="16"/>
          <w:rtl/>
        </w:rPr>
        <w:t>(אות א)</w:t>
      </w:r>
      <w:r w:rsidR="00A82951">
        <w:rPr>
          <w:rFonts w:cs="Arial" w:hint="cs"/>
          <w:rtl/>
        </w:rPr>
        <w:t>-</w:t>
      </w:r>
      <w:r w:rsidRPr="00F84F7A">
        <w:rPr>
          <w:rFonts w:cs="Arial" w:hint="cs"/>
          <w:rtl/>
        </w:rPr>
        <w:t xml:space="preserve"> </w:t>
      </w:r>
      <w:r w:rsidR="00543BB2" w:rsidRPr="00F84F7A">
        <w:rPr>
          <w:rFonts w:cs="Arial"/>
          <w:rtl/>
        </w:rPr>
        <w:t>כתב בסדר גיטין (סי' א</w:t>
      </w:r>
      <w:r w:rsidR="00A82951">
        <w:rPr>
          <w:rFonts w:cs="Arial"/>
          <w:rtl/>
        </w:rPr>
        <w:t>-</w:t>
      </w:r>
      <w:r w:rsidR="00543BB2" w:rsidRPr="00F84F7A">
        <w:rPr>
          <w:rFonts w:cs="Arial"/>
          <w:rtl/>
        </w:rPr>
        <w:t>ב) וכותבין על קלף ובדיו</w:t>
      </w:r>
      <w:r w:rsidR="00F84F7A">
        <w:rPr>
          <w:rFonts w:cs="Arial" w:hint="cs"/>
          <w:rtl/>
        </w:rPr>
        <w:t>,</w:t>
      </w:r>
      <w:r w:rsidR="00543BB2" w:rsidRPr="00F84F7A">
        <w:rPr>
          <w:rFonts w:cs="Arial"/>
          <w:rtl/>
        </w:rPr>
        <w:t xml:space="preserve"> והקלף יהא מתוקן כקלף לספר תורה תפילין ומזוזות</w:t>
      </w:r>
      <w:r w:rsidR="00F84F7A">
        <w:rPr>
          <w:rFonts w:cs="Arial" w:hint="cs"/>
          <w:rtl/>
        </w:rPr>
        <w:t>,</w:t>
      </w:r>
      <w:r w:rsidR="00543BB2" w:rsidRPr="00F84F7A">
        <w:rPr>
          <w:rFonts w:cs="Arial"/>
          <w:rtl/>
        </w:rPr>
        <w:t xml:space="preserve"> אכן אין צריך עיבוד לשמו</w:t>
      </w:r>
      <w:r w:rsidR="00F84F7A">
        <w:rPr>
          <w:rFonts w:cs="Arial" w:hint="cs"/>
          <w:rtl/>
        </w:rPr>
        <w:t>.</w:t>
      </w:r>
      <w:r w:rsidR="00543BB2" w:rsidRPr="00F84F7A">
        <w:rPr>
          <w:rFonts w:cs="Arial"/>
          <w:rtl/>
        </w:rPr>
        <w:t xml:space="preserve"> עכ"ל. וכל זה אינו אלא לכתחלה לחומרא בעלמא לעשות על צד הטוב לכתחילה</w:t>
      </w:r>
      <w:r w:rsidR="00F84F7A">
        <w:rPr>
          <w:rFonts w:cs="Arial" w:hint="cs"/>
          <w:rtl/>
        </w:rPr>
        <w:t>,</w:t>
      </w:r>
      <w:r w:rsidR="00543BB2" w:rsidRPr="00F84F7A">
        <w:rPr>
          <w:rFonts w:cs="Arial"/>
          <w:rtl/>
        </w:rPr>
        <w:t xml:space="preserve"> אבל אין עיכוב בדבר זה. וכן כתב שם סימן ל"ב (ס"ב) וז</w:t>
      </w:r>
      <w:r w:rsidR="00FC4629">
        <w:rPr>
          <w:rFonts w:cs="Arial" w:hint="cs"/>
          <w:rtl/>
        </w:rPr>
        <w:t>"ל</w:t>
      </w:r>
      <w:r w:rsidR="00FC4629" w:rsidRPr="00FC4629">
        <w:rPr>
          <w:rFonts w:cs="Arial" w:hint="cs"/>
          <w:rtl/>
        </w:rPr>
        <w:t>:</w:t>
      </w:r>
      <w:r w:rsidR="00543BB2" w:rsidRPr="00FC4629">
        <w:rPr>
          <w:rFonts w:cs="Arial"/>
          <w:rtl/>
        </w:rPr>
        <w:t xml:space="preserve"> אני ראיתי גט הנכתב על נייר הנקרא פאפיר בל"א שבא מקושטנטינא לק"ק קראקא לפני מה"ר פרץ ושאר לומדים</w:t>
      </w:r>
      <w:r w:rsidR="008F37F8">
        <w:rPr>
          <w:rFonts w:cs="Arial" w:hint="cs"/>
          <w:rtl/>
        </w:rPr>
        <w:t>,</w:t>
      </w:r>
      <w:r w:rsidR="00543BB2" w:rsidRPr="00FC4629">
        <w:rPr>
          <w:rFonts w:cs="Arial"/>
          <w:rtl/>
        </w:rPr>
        <w:t xml:space="preserve"> גם לא היה נכתב בכתיבה תמה כאשר אנחנו מצריכים לכתוב</w:t>
      </w:r>
      <w:r w:rsidR="00F84F7A" w:rsidRPr="00FC4629">
        <w:rPr>
          <w:rFonts w:cs="Arial" w:hint="cs"/>
          <w:rtl/>
        </w:rPr>
        <w:t>.</w:t>
      </w:r>
      <w:r w:rsidR="00543BB2" w:rsidRPr="00FC4629">
        <w:rPr>
          <w:rFonts w:cs="Arial"/>
          <w:rtl/>
        </w:rPr>
        <w:t xml:space="preserve"> עכ"ל. וכל זה פשוט</w:t>
      </w:r>
      <w:r>
        <w:rPr>
          <w:rFonts w:hint="cs"/>
          <w:rtl/>
        </w:rPr>
        <w:t>.</w:t>
      </w:r>
      <w:r w:rsidR="00727D41">
        <w:rPr>
          <w:rFonts w:hint="cs"/>
          <w:rtl/>
        </w:rPr>
        <w:t xml:space="preserve"> </w:t>
      </w:r>
      <w:r w:rsidR="00727D41" w:rsidRPr="00FC4629">
        <w:rPr>
          <w:rFonts w:hint="cs"/>
          <w:color w:val="00B0F0"/>
          <w:rtl/>
        </w:rPr>
        <w:t>(וכ"פ בהג"ה)</w:t>
      </w:r>
    </w:p>
    <w:p w14:paraId="469ED169" w14:textId="77777777" w:rsidR="00312668" w:rsidRPr="00312668" w:rsidRDefault="00312668" w:rsidP="00312668">
      <w:pPr>
        <w:rPr>
          <w:rFonts w:cs="Arial"/>
          <w:rtl/>
        </w:rPr>
      </w:pPr>
      <w:r w:rsidRPr="00312668">
        <w:rPr>
          <w:rFonts w:cs="Arial" w:hint="cs"/>
          <w:b/>
          <w:bCs/>
          <w:rtl/>
        </w:rPr>
        <w:t xml:space="preserve">גיטין </w:t>
      </w:r>
      <w:r w:rsidRPr="00312668">
        <w:rPr>
          <w:rFonts w:cs="Arial" w:hint="cs"/>
          <w:b/>
          <w:bCs/>
          <w:sz w:val="16"/>
          <w:szCs w:val="16"/>
          <w:rtl/>
        </w:rPr>
        <w:t>(פ"ב)</w:t>
      </w:r>
      <w:r w:rsidRPr="00312668">
        <w:rPr>
          <w:rFonts w:cs="Arial" w:hint="cs"/>
          <w:b/>
          <w:bCs/>
          <w:rtl/>
        </w:rPr>
        <w:t xml:space="preserve"> כ ע"ב:</w:t>
      </w:r>
      <w:r w:rsidRPr="00312668">
        <w:rPr>
          <w:rFonts w:cs="Arial" w:hint="cs"/>
          <w:rtl/>
        </w:rPr>
        <w:t xml:space="preserve"> </w:t>
      </w:r>
      <w:r w:rsidRPr="00312668">
        <w:rPr>
          <w:rFonts w:cs="Arial"/>
          <w:u w:val="single"/>
          <w:rtl/>
        </w:rPr>
        <w:t>בעי רמי בר חמא</w:t>
      </w:r>
      <w:r w:rsidRPr="00312668">
        <w:rPr>
          <w:rFonts w:cs="Arial"/>
          <w:rtl/>
        </w:rPr>
        <w:t xml:space="preserve">: היו מוחזקים בעבד שהוא שלו וגט כתוב על ידו, והרי הוא יוצא מתחת ידה, מהו? מי אמרינן אקנויי אקני לה, או דלמא הוא מנפשיה עייל? </w:t>
      </w:r>
      <w:r w:rsidRPr="00312668">
        <w:rPr>
          <w:rFonts w:cs="Arial"/>
          <w:u w:val="single"/>
          <w:rtl/>
        </w:rPr>
        <w:t>אמר רבא</w:t>
      </w:r>
      <w:r w:rsidRPr="00312668">
        <w:rPr>
          <w:rFonts w:cs="Arial"/>
          <w:rtl/>
        </w:rPr>
        <w:t>: ותיפוק ליה, דכתב שיכול להזדייף הוא</w:t>
      </w:r>
      <w:r>
        <w:rPr>
          <w:rStyle w:val="a7"/>
          <w:rFonts w:cs="Arial"/>
          <w:rtl/>
        </w:rPr>
        <w:footnoteReference w:id="436"/>
      </w:r>
      <w:r w:rsidRPr="00312668">
        <w:rPr>
          <w:rFonts w:cs="Arial"/>
          <w:rtl/>
        </w:rPr>
        <w:t>! ולרבא, קשיא מתניתין: על היד של עבד! בשלמא מתני' לרבא לא קשיא, בעדי מסירה</w:t>
      </w:r>
      <w:r>
        <w:rPr>
          <w:rStyle w:val="a7"/>
          <w:rFonts w:cs="Arial"/>
          <w:rtl/>
        </w:rPr>
        <w:footnoteReference w:id="437"/>
      </w:r>
      <w:r w:rsidRPr="00312668">
        <w:rPr>
          <w:rFonts w:cs="Arial"/>
          <w:rtl/>
        </w:rPr>
        <w:t>, ורבי אלעזר היא, אלא לרמי בר חמא קשיא! לרמי בר חמא נמי לא קשיא, בכתובת קעקע. השתא דאתית להכי, מתניתין (לרבא) נמי לא תיקשי, בכתובת קעקע. מאי הוי עלה? תא שמע, דאמר ריש לקיש: הגודרות</w:t>
      </w:r>
      <w:r>
        <w:rPr>
          <w:rStyle w:val="a7"/>
          <w:rFonts w:cs="Arial"/>
          <w:rtl/>
        </w:rPr>
        <w:footnoteReference w:id="438"/>
      </w:r>
      <w:r w:rsidRPr="00312668">
        <w:rPr>
          <w:rFonts w:cs="Arial"/>
          <w:rtl/>
        </w:rPr>
        <w:t xml:space="preserve"> אין להן חזקה</w:t>
      </w:r>
      <w:r>
        <w:rPr>
          <w:rStyle w:val="a7"/>
          <w:rFonts w:cs="Arial"/>
          <w:rtl/>
        </w:rPr>
        <w:footnoteReference w:id="439"/>
      </w:r>
      <w:r w:rsidRPr="00312668">
        <w:rPr>
          <w:rFonts w:cs="Arial"/>
          <w:rtl/>
        </w:rPr>
        <w:t>.</w:t>
      </w:r>
      <w:r w:rsidRPr="00312668">
        <w:rPr>
          <w:rFonts w:cs="Arial" w:hint="cs"/>
          <w:rtl/>
        </w:rPr>
        <w:t xml:space="preserve"> </w:t>
      </w:r>
      <w:r w:rsidRPr="00312668">
        <w:rPr>
          <w:rFonts w:cs="Arial" w:hint="cs"/>
          <w:sz w:val="16"/>
          <w:szCs w:val="16"/>
          <w:rtl/>
        </w:rPr>
        <w:t>(</w:t>
      </w:r>
      <w:r w:rsidRPr="00312668">
        <w:rPr>
          <w:rFonts w:cs="Arial"/>
          <w:sz w:val="16"/>
          <w:szCs w:val="16"/>
          <w:rtl/>
        </w:rPr>
        <w:t>ואם כן מתניתין דמכשרא ביד של עבד וקרן</w:t>
      </w:r>
      <w:r w:rsidRPr="00312668">
        <w:rPr>
          <w:rFonts w:cs="Arial" w:hint="cs"/>
          <w:sz w:val="16"/>
          <w:szCs w:val="16"/>
          <w:rtl/>
        </w:rPr>
        <w:t>,</w:t>
      </w:r>
      <w:r w:rsidRPr="00312668">
        <w:rPr>
          <w:rFonts w:cs="Arial"/>
          <w:sz w:val="16"/>
          <w:szCs w:val="16"/>
          <w:rtl/>
        </w:rPr>
        <w:t xml:space="preserve"> בחד מתרי גווני היא</w:t>
      </w:r>
      <w:r w:rsidRPr="00312668">
        <w:rPr>
          <w:rFonts w:cs="Arial" w:hint="cs"/>
          <w:sz w:val="16"/>
          <w:szCs w:val="16"/>
          <w:rtl/>
        </w:rPr>
        <w:t>:</w:t>
      </w:r>
      <w:r w:rsidRPr="00312668">
        <w:rPr>
          <w:rFonts w:cs="Arial"/>
          <w:sz w:val="16"/>
          <w:szCs w:val="16"/>
          <w:rtl/>
        </w:rPr>
        <w:t xml:space="preserve"> או בעדי מסירה שבאים לפנינו ומעידים שבפניהם נמסר והם קראוהו ולא היה בו תנאי</w:t>
      </w:r>
      <w:r w:rsidRPr="00312668">
        <w:rPr>
          <w:rFonts w:cs="Arial" w:hint="cs"/>
          <w:sz w:val="16"/>
          <w:szCs w:val="16"/>
          <w:rtl/>
        </w:rPr>
        <w:t>.</w:t>
      </w:r>
      <w:r w:rsidRPr="00312668">
        <w:rPr>
          <w:rFonts w:cs="Arial"/>
          <w:sz w:val="16"/>
          <w:szCs w:val="16"/>
          <w:rtl/>
        </w:rPr>
        <w:t xml:space="preserve"> או בשכתוב על יד העבד בכתובת קעקע</w:t>
      </w:r>
      <w:r w:rsidRPr="00312668">
        <w:rPr>
          <w:rFonts w:cs="Arial" w:hint="cs"/>
          <w:sz w:val="16"/>
          <w:szCs w:val="16"/>
          <w:rtl/>
        </w:rPr>
        <w:t>,</w:t>
      </w:r>
      <w:r w:rsidRPr="00312668">
        <w:rPr>
          <w:rFonts w:cs="Arial"/>
          <w:sz w:val="16"/>
          <w:szCs w:val="16"/>
          <w:rtl/>
        </w:rPr>
        <w:t xml:space="preserve"> וכן חקוק על הקרן של פרה</w:t>
      </w:r>
      <w:r w:rsidRPr="00312668">
        <w:rPr>
          <w:rFonts w:cs="Arial" w:hint="cs"/>
          <w:sz w:val="16"/>
          <w:szCs w:val="16"/>
          <w:rtl/>
        </w:rPr>
        <w:t>,</w:t>
      </w:r>
      <w:r w:rsidRPr="00312668">
        <w:rPr>
          <w:rFonts w:cs="Arial"/>
          <w:sz w:val="16"/>
          <w:szCs w:val="16"/>
          <w:rtl/>
        </w:rPr>
        <w:t xml:space="preserve"> דאינו יכול להזדייף</w:t>
      </w:r>
      <w:r w:rsidRPr="00312668">
        <w:rPr>
          <w:rFonts w:cs="Arial" w:hint="cs"/>
          <w:sz w:val="16"/>
          <w:szCs w:val="16"/>
          <w:rtl/>
        </w:rPr>
        <w:t>,</w:t>
      </w:r>
      <w:r w:rsidRPr="00312668">
        <w:rPr>
          <w:rFonts w:cs="Arial"/>
          <w:sz w:val="16"/>
          <w:szCs w:val="16"/>
          <w:rtl/>
        </w:rPr>
        <w:t xml:space="preserve"> ואז כשר אפילו אין באין עדי מסירה לפנינו כשאר גיטין הכתובין על דבר שאינו יכול להזדייף</w:t>
      </w:r>
      <w:r w:rsidRPr="00312668">
        <w:rPr>
          <w:rFonts w:cs="Arial" w:hint="cs"/>
          <w:sz w:val="16"/>
          <w:szCs w:val="16"/>
          <w:rtl/>
        </w:rPr>
        <w:t>.</w:t>
      </w:r>
      <w:r w:rsidRPr="00312668">
        <w:rPr>
          <w:rFonts w:cs="Arial"/>
          <w:sz w:val="16"/>
          <w:szCs w:val="16"/>
          <w:rtl/>
        </w:rPr>
        <w:t xml:space="preserve"> אלא דהיכא דמוחזקים בעבד ובפרה שהם שלו צריך עדי מסירה משום דהגודרות אין להן חזקה</w:t>
      </w:r>
      <w:r w:rsidRPr="00312668">
        <w:rPr>
          <w:rFonts w:cs="Arial" w:hint="cs"/>
          <w:sz w:val="16"/>
          <w:szCs w:val="16"/>
          <w:rtl/>
        </w:rPr>
        <w:t>.</w:t>
      </w:r>
      <w:r w:rsidRPr="00312668">
        <w:rPr>
          <w:rFonts w:cs="Arial"/>
          <w:sz w:val="16"/>
          <w:szCs w:val="16"/>
          <w:rtl/>
        </w:rPr>
        <w:t xml:space="preserve"> ולפיכך כיון שמעידים שראו שנמסר לה אע</w:t>
      </w:r>
      <w:r w:rsidRPr="00312668">
        <w:rPr>
          <w:rFonts w:cs="Arial" w:hint="cs"/>
          <w:sz w:val="16"/>
          <w:szCs w:val="16"/>
          <w:rtl/>
        </w:rPr>
        <w:t>"</w:t>
      </w:r>
      <w:r w:rsidRPr="00312668">
        <w:rPr>
          <w:rFonts w:cs="Arial"/>
          <w:sz w:val="16"/>
          <w:szCs w:val="16"/>
          <w:rtl/>
        </w:rPr>
        <w:t>פ שלא קראוהו כשר</w:t>
      </w:r>
      <w:r w:rsidRPr="00312668">
        <w:rPr>
          <w:rFonts w:cs="Arial" w:hint="cs"/>
          <w:sz w:val="16"/>
          <w:szCs w:val="16"/>
          <w:rtl/>
        </w:rPr>
        <w:t>.</w:t>
      </w:r>
      <w:r w:rsidRPr="00312668">
        <w:rPr>
          <w:rFonts w:cs="Arial"/>
          <w:sz w:val="16"/>
          <w:szCs w:val="16"/>
          <w:rtl/>
        </w:rPr>
        <w:t xml:space="preserve"> אבל אם לא היו מוחזקים בו שהם שלו</w:t>
      </w:r>
      <w:r w:rsidRPr="00312668">
        <w:rPr>
          <w:rFonts w:cs="Arial" w:hint="cs"/>
          <w:sz w:val="16"/>
          <w:szCs w:val="16"/>
          <w:rtl/>
        </w:rPr>
        <w:t>,</w:t>
      </w:r>
      <w:r w:rsidRPr="00312668">
        <w:rPr>
          <w:rFonts w:cs="Arial"/>
          <w:sz w:val="16"/>
          <w:szCs w:val="16"/>
          <w:rtl/>
        </w:rPr>
        <w:t xml:space="preserve"> כשר בלא שיבואו לפנינו עדי מסירה מאחר דאינו יכול להזדייף</w:t>
      </w:r>
      <w:r w:rsidRPr="00312668">
        <w:rPr>
          <w:rFonts w:cs="Arial" w:hint="cs"/>
          <w:sz w:val="16"/>
          <w:szCs w:val="16"/>
          <w:rtl/>
        </w:rPr>
        <w:t>.</w:t>
      </w:r>
      <w:r w:rsidRPr="00312668">
        <w:rPr>
          <w:rFonts w:cs="Arial"/>
          <w:sz w:val="16"/>
          <w:szCs w:val="16"/>
          <w:rtl/>
        </w:rPr>
        <w:t xml:space="preserve"> ורבינו כתב סתם </w:t>
      </w:r>
      <w:r w:rsidRPr="00312668">
        <w:rPr>
          <w:rFonts w:cs="Arial" w:hint="cs"/>
          <w:sz w:val="16"/>
          <w:szCs w:val="16"/>
          <w:rtl/>
        </w:rPr>
        <w:t>'</w:t>
      </w:r>
      <w:r w:rsidRPr="00312668">
        <w:rPr>
          <w:rFonts w:cs="Arial"/>
          <w:sz w:val="16"/>
          <w:szCs w:val="16"/>
          <w:rtl/>
        </w:rPr>
        <w:t>והוא שיהיה בעדי מסירה</w:t>
      </w:r>
      <w:r w:rsidRPr="00312668">
        <w:rPr>
          <w:rFonts w:cs="Arial" w:hint="cs"/>
          <w:sz w:val="16"/>
          <w:szCs w:val="16"/>
          <w:rtl/>
        </w:rPr>
        <w:t>'</w:t>
      </w:r>
      <w:r w:rsidRPr="00312668">
        <w:rPr>
          <w:rFonts w:cs="Arial"/>
          <w:sz w:val="16"/>
          <w:szCs w:val="16"/>
          <w:rtl/>
        </w:rPr>
        <w:t xml:space="preserve"> משום דמוקי למתניתין בכתב שיכול להזדייף כפשטא וכדמשמע לן מעיקרא אליבא דרבא. ודין היה כתוב בכתובת קעקע ומוחזקין בו שהוא שלו או אין מוחזקין כתבו לקמן בסימן זה</w:t>
      </w:r>
      <w:r w:rsidRPr="00312668">
        <w:rPr>
          <w:rFonts w:cs="Arial" w:hint="cs"/>
          <w:sz w:val="16"/>
          <w:szCs w:val="16"/>
          <w:rtl/>
        </w:rPr>
        <w:t>, ב"י)</w:t>
      </w:r>
    </w:p>
    <w:p w14:paraId="7739050D"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2E61C86E" w14:textId="7C09619B" w:rsidR="00C77C34" w:rsidRDefault="00C77C34" w:rsidP="00C77C34">
      <w:pPr>
        <w:rPr>
          <w:rFonts w:cs="Arial"/>
          <w:rtl/>
        </w:rPr>
      </w:pPr>
      <w:r w:rsidRPr="00C77C34">
        <w:rPr>
          <w:rFonts w:cs="Arial"/>
          <w:rtl/>
        </w:rPr>
        <w:t>כותבין הגט על דבר שיכול להזדייף, והוא שיתננו לה בעדי מסירה</w:t>
      </w:r>
      <w:r w:rsidR="006D7DE7">
        <w:rPr>
          <w:rStyle w:val="a7"/>
          <w:rFonts w:cs="Arial"/>
          <w:rtl/>
        </w:rPr>
        <w:footnoteReference w:id="440"/>
      </w:r>
      <w:r w:rsidRPr="00C77C34">
        <w:rPr>
          <w:rFonts w:cs="Arial"/>
          <w:rtl/>
        </w:rPr>
        <w:t>. כיצד, כותב על הנייר המחוק ועל הדפתרא ועל החרס ועל העלין ועל יד העבד ועל קרן הפרה, ומוסר לה העבד והפרה או שאר דברים בפני עדים. אבל לא יחתוך יד העבד וקרן הפרה ויתן לה</w:t>
      </w:r>
      <w:r w:rsidR="00375502">
        <w:rPr>
          <w:rFonts w:cs="Arial" w:hint="cs"/>
          <w:rtl/>
        </w:rPr>
        <w:t>.</w:t>
      </w:r>
      <w:r w:rsidRPr="00C77C34">
        <w:rPr>
          <w:rFonts w:cs="Arial"/>
          <w:rtl/>
        </w:rPr>
        <w:t xml:space="preserve"> ואם כתב וחתך ונתן לה, אינו גט, משום דבעינן שלא תהא קציצה בין כתיבה לנתינה. </w:t>
      </w:r>
      <w:r w:rsidRPr="008A0338">
        <w:rPr>
          <w:rFonts w:cs="Arial"/>
          <w:sz w:val="18"/>
          <w:szCs w:val="18"/>
          <w:rtl/>
        </w:rPr>
        <w:t>הגה: וכותבין על כל דבר תלוש</w:t>
      </w:r>
      <w:r w:rsidR="00F85BC3">
        <w:rPr>
          <w:rStyle w:val="a7"/>
          <w:rFonts w:cs="Arial"/>
          <w:sz w:val="18"/>
          <w:szCs w:val="18"/>
          <w:rtl/>
        </w:rPr>
        <w:footnoteReference w:id="441"/>
      </w:r>
      <w:r w:rsidRPr="008A0338">
        <w:rPr>
          <w:rFonts w:cs="Arial"/>
          <w:sz w:val="18"/>
          <w:szCs w:val="18"/>
          <w:rtl/>
        </w:rPr>
        <w:t xml:space="preserve"> (טור)</w:t>
      </w:r>
      <w:r w:rsidR="001703C8">
        <w:rPr>
          <w:rFonts w:cs="Arial" w:hint="cs"/>
          <w:sz w:val="18"/>
          <w:szCs w:val="18"/>
          <w:rtl/>
        </w:rPr>
        <w:t>.</w:t>
      </w:r>
      <w:r w:rsidRPr="008A0338">
        <w:rPr>
          <w:rFonts w:cs="Arial"/>
          <w:sz w:val="18"/>
          <w:szCs w:val="18"/>
          <w:rtl/>
        </w:rPr>
        <w:t xml:space="preserve"> וי"א דוקא בדבר שהוא של קיימא, אבל אם כתב בעלה של בצלים או ירקות וכדומה לזה, פסול (ר"ן). ולכתחלה יש לכותבו על קלף מתוקן לספר תורה תפילין ומזוזות, אבל לא בעינן מעובד לשמו</w:t>
      </w:r>
      <w:r w:rsidR="001F62F4">
        <w:rPr>
          <w:rFonts w:cs="Arial" w:hint="cs"/>
          <w:sz w:val="18"/>
          <w:szCs w:val="18"/>
          <w:rtl/>
        </w:rPr>
        <w:t>.</w:t>
      </w:r>
      <w:r w:rsidRPr="008A0338">
        <w:rPr>
          <w:rFonts w:cs="Arial"/>
          <w:sz w:val="18"/>
          <w:szCs w:val="18"/>
          <w:rtl/>
        </w:rPr>
        <w:t xml:space="preserve"> אבל אין עכוב בדבר זה (כמ"ש בסדר גיטין)</w:t>
      </w:r>
      <w:r w:rsidR="001703C8">
        <w:rPr>
          <w:rFonts w:cs="Arial" w:hint="cs"/>
          <w:sz w:val="18"/>
          <w:szCs w:val="18"/>
          <w:rtl/>
        </w:rPr>
        <w:t>.</w:t>
      </w:r>
      <w:r w:rsidRPr="008A0338">
        <w:rPr>
          <w:rFonts w:cs="Arial"/>
          <w:sz w:val="18"/>
          <w:szCs w:val="18"/>
          <w:rtl/>
        </w:rPr>
        <w:t xml:space="preserve"> ואפילו אם נכתב על נייר שקורין פפי"ר, בכל כתב, כשר (גם זה שם, וע"ל ריש סימן קכ"ו).</w:t>
      </w:r>
      <w:r w:rsidRPr="00C77C34">
        <w:rPr>
          <w:rFonts w:cs="Arial"/>
          <w:rtl/>
        </w:rPr>
        <w:t xml:space="preserve"> </w:t>
      </w:r>
    </w:p>
    <w:p w14:paraId="726ACB4E" w14:textId="77777777" w:rsidR="008A0A60" w:rsidRDefault="008A0A60" w:rsidP="00C77C34">
      <w:pPr>
        <w:rPr>
          <w:rFonts w:cs="Arial"/>
          <w:rtl/>
        </w:rPr>
      </w:pPr>
      <w:r w:rsidRPr="008A0A60">
        <w:rPr>
          <w:rFonts w:cs="Arial" w:hint="cs"/>
          <w:u w:val="single"/>
          <w:rtl/>
        </w:rPr>
        <w:t>האם אפשר לכתוב גט על נייר לכתחילה:</w:t>
      </w:r>
      <w:r>
        <w:rPr>
          <w:rFonts w:cs="Arial" w:hint="cs"/>
          <w:rtl/>
        </w:rPr>
        <w:t xml:space="preserve"> </w:t>
      </w:r>
    </w:p>
    <w:p w14:paraId="5FF38840" w14:textId="52200107" w:rsidR="00FE510D" w:rsidRPr="008A0A60" w:rsidRDefault="008A0A60" w:rsidP="00A65C5F">
      <w:pPr>
        <w:pStyle w:val="ab"/>
        <w:numPr>
          <w:ilvl w:val="0"/>
          <w:numId w:val="44"/>
        </w:numPr>
        <w:rPr>
          <w:rFonts w:cs="Arial"/>
          <w:rtl/>
        </w:rPr>
      </w:pPr>
      <w:r w:rsidRPr="008A0A60">
        <w:rPr>
          <w:rFonts w:cs="Arial" w:hint="cs"/>
          <w:rtl/>
        </w:rPr>
        <w:t xml:space="preserve">פת"ש </w:t>
      </w:r>
      <w:r w:rsidR="00F85BC3" w:rsidRPr="008A0A60">
        <w:rPr>
          <w:rFonts w:cs="Arial"/>
          <w:sz w:val="16"/>
          <w:szCs w:val="16"/>
          <w:rtl/>
        </w:rPr>
        <w:t>(</w:t>
      </w:r>
      <w:r w:rsidRPr="008A0A60">
        <w:rPr>
          <w:rFonts w:cs="Arial" w:hint="cs"/>
          <w:sz w:val="16"/>
          <w:szCs w:val="16"/>
          <w:rtl/>
        </w:rPr>
        <w:t>סק"</w:t>
      </w:r>
      <w:r w:rsidR="00F85BC3" w:rsidRPr="008A0A60">
        <w:rPr>
          <w:rFonts w:cs="Arial"/>
          <w:sz w:val="16"/>
          <w:szCs w:val="16"/>
          <w:rtl/>
        </w:rPr>
        <w:t>ז)</w:t>
      </w:r>
      <w:r w:rsidR="00A82951">
        <w:rPr>
          <w:rFonts w:cs="Arial" w:hint="cs"/>
          <w:rtl/>
        </w:rPr>
        <w:t>-</w:t>
      </w:r>
      <w:r w:rsidR="00F85BC3" w:rsidRPr="008A0A60">
        <w:rPr>
          <w:rFonts w:cs="Arial"/>
          <w:rtl/>
        </w:rPr>
        <w:t xml:space="preserve"> ע' בתשובת מהר"ם לובלין </w:t>
      </w:r>
      <w:r w:rsidRPr="008A0A60">
        <w:rPr>
          <w:rFonts w:cs="Arial" w:hint="cs"/>
          <w:rtl/>
        </w:rPr>
        <w:t>(</w:t>
      </w:r>
      <w:r w:rsidR="00F85BC3" w:rsidRPr="008A0A60">
        <w:rPr>
          <w:rFonts w:cs="Arial"/>
          <w:rtl/>
        </w:rPr>
        <w:t>ס"ס קא</w:t>
      </w:r>
      <w:r w:rsidRPr="008A0A60">
        <w:rPr>
          <w:rFonts w:cs="Arial" w:hint="cs"/>
          <w:rtl/>
        </w:rPr>
        <w:t>)</w:t>
      </w:r>
      <w:r w:rsidR="00F85BC3" w:rsidRPr="008A0A60">
        <w:rPr>
          <w:rFonts w:cs="Arial"/>
          <w:rtl/>
        </w:rPr>
        <w:t xml:space="preserve"> שכ' </w:t>
      </w:r>
      <w:r w:rsidR="000A0F5A">
        <w:rPr>
          <w:rFonts w:cs="Arial"/>
          <w:rtl/>
        </w:rPr>
        <w:t>וז"ל:</w:t>
      </w:r>
      <w:r w:rsidR="00F85BC3" w:rsidRPr="008A0A60">
        <w:rPr>
          <w:rFonts w:cs="Arial"/>
          <w:rtl/>
        </w:rPr>
        <w:t xml:space="preserve"> ופליאה בעיני על כ"ת שהוגד לי שכתב אותו הגט על נייר</w:t>
      </w:r>
      <w:r w:rsidR="00C77592">
        <w:rPr>
          <w:rFonts w:cs="Arial" w:hint="cs"/>
          <w:rtl/>
        </w:rPr>
        <w:t>,</w:t>
      </w:r>
      <w:r w:rsidR="00F85BC3" w:rsidRPr="008A0A60">
        <w:rPr>
          <w:rFonts w:cs="Arial"/>
          <w:rtl/>
        </w:rPr>
        <w:t xml:space="preserve"> מה שאין נוהגין כן במדינתנו עכ"ל</w:t>
      </w:r>
      <w:r>
        <w:rPr>
          <w:rFonts w:cs="Arial" w:hint="cs"/>
          <w:rtl/>
        </w:rPr>
        <w:t>.</w:t>
      </w:r>
      <w:r w:rsidR="00F85BC3" w:rsidRPr="008A0A60">
        <w:rPr>
          <w:rFonts w:cs="Arial"/>
          <w:rtl/>
        </w:rPr>
        <w:t xml:space="preserve"> ועיין בס' ג"פ שכ' על דברי הרמ"א הנ"ל </w:t>
      </w:r>
      <w:r w:rsidR="000A0F5A">
        <w:rPr>
          <w:rFonts w:cs="Arial"/>
          <w:rtl/>
        </w:rPr>
        <w:t>וז"ל:</w:t>
      </w:r>
      <w:r w:rsidR="00F85BC3" w:rsidRPr="008A0A60">
        <w:rPr>
          <w:rFonts w:cs="Arial"/>
          <w:rtl/>
        </w:rPr>
        <w:t xml:space="preserve"> הנה ברור שדעת מור"ם דלכתחילה (ע"צ היותר טוב) יש לכותבו על קלף או גויל</w:t>
      </w:r>
      <w:r>
        <w:rPr>
          <w:rFonts w:cs="Arial" w:hint="cs"/>
          <w:rtl/>
        </w:rPr>
        <w:t>,</w:t>
      </w:r>
      <w:r w:rsidR="00F85BC3" w:rsidRPr="008A0A60">
        <w:rPr>
          <w:rFonts w:cs="Arial"/>
          <w:rtl/>
        </w:rPr>
        <w:t xml:space="preserve"> וכן ראיתי בס' מנהיר ע"ח (הוא תשובת מהרמ"ל הנ"ל) כו'</w:t>
      </w:r>
      <w:r>
        <w:rPr>
          <w:rFonts w:cs="Arial" w:hint="cs"/>
          <w:rtl/>
        </w:rPr>
        <w:t>,</w:t>
      </w:r>
      <w:r w:rsidR="00F85BC3" w:rsidRPr="008A0A60">
        <w:rPr>
          <w:rFonts w:cs="Arial"/>
          <w:rtl/>
        </w:rPr>
        <w:t xml:space="preserve"> ואנו לא ראינו ולא שמענו מי שחשש בזה אפי' לכתחלה</w:t>
      </w:r>
      <w:r w:rsidR="00C77592">
        <w:rPr>
          <w:rFonts w:cs="Arial" w:hint="cs"/>
          <w:rtl/>
        </w:rPr>
        <w:t>,</w:t>
      </w:r>
      <w:r w:rsidR="00F85BC3" w:rsidRPr="008A0A60">
        <w:rPr>
          <w:rFonts w:cs="Arial"/>
          <w:rtl/>
        </w:rPr>
        <w:t xml:space="preserve"> והמנהג פשוט פה ירושלים ת"ו ובכל א"י וגיטין הבאים ממ"ה שהם כתובים על נייר שלנו שקורין פאפיר</w:t>
      </w:r>
      <w:r>
        <w:rPr>
          <w:rFonts w:cs="Arial" w:hint="cs"/>
          <w:rtl/>
        </w:rPr>
        <w:t>,</w:t>
      </w:r>
      <w:r w:rsidR="00F85BC3" w:rsidRPr="008A0A60">
        <w:rPr>
          <w:rFonts w:cs="Arial"/>
          <w:rtl/>
        </w:rPr>
        <w:t xml:space="preserve"> וכן העיד הב"ח סימן קכ"ו שכל הגיטין הבאים מסאלוניקי וממצרים ויתר מקומות תוגרמה אין נכתבים על קלף</w:t>
      </w:r>
      <w:r w:rsidR="00706724">
        <w:rPr>
          <w:rFonts w:cs="Arial" w:hint="cs"/>
          <w:rtl/>
        </w:rPr>
        <w:t>.</w:t>
      </w:r>
      <w:r w:rsidR="00F85BC3" w:rsidRPr="008A0A60">
        <w:rPr>
          <w:rFonts w:cs="Arial"/>
          <w:rtl/>
        </w:rPr>
        <w:t xml:space="preserve"> והני ניירות שלנו אינם יכולים להזדייף</w:t>
      </w:r>
      <w:r w:rsidR="00706724">
        <w:rPr>
          <w:rFonts w:cs="Arial" w:hint="cs"/>
          <w:rtl/>
        </w:rPr>
        <w:t>,</w:t>
      </w:r>
      <w:r w:rsidR="00F85BC3" w:rsidRPr="008A0A60">
        <w:rPr>
          <w:rFonts w:cs="Arial"/>
          <w:rtl/>
        </w:rPr>
        <w:t xml:space="preserve"> דאם יהיה שום אות או תיבה כתובה על המחק מיד הוא נרגש וניכר לעיני כל רואיו</w:t>
      </w:r>
      <w:r w:rsidR="00706724">
        <w:rPr>
          <w:rFonts w:cs="Arial" w:hint="cs"/>
          <w:rtl/>
        </w:rPr>
        <w:t>,</w:t>
      </w:r>
      <w:r w:rsidR="00F85BC3" w:rsidRPr="008A0A60">
        <w:rPr>
          <w:rFonts w:cs="Arial"/>
          <w:rtl/>
        </w:rPr>
        <w:t xml:space="preserve"> ולכן יש להתיר גיטין הכתובים על הנייר כמו גיטין הכתובים על קלפים העפוצים</w:t>
      </w:r>
      <w:r w:rsidR="006A6058">
        <w:rPr>
          <w:rStyle w:val="a7"/>
          <w:rFonts w:cs="Arial"/>
          <w:rtl/>
        </w:rPr>
        <w:footnoteReference w:id="442"/>
      </w:r>
      <w:r w:rsidR="00706724">
        <w:rPr>
          <w:rFonts w:cs="Arial" w:hint="cs"/>
          <w:rtl/>
        </w:rPr>
        <w:t>,</w:t>
      </w:r>
      <w:r w:rsidR="00F85BC3" w:rsidRPr="008A0A60">
        <w:rPr>
          <w:rFonts w:cs="Arial"/>
          <w:rtl/>
        </w:rPr>
        <w:t xml:space="preserve"> וא"צ להביא עדי מסירה לפנינו אלא בעדי קיום סגי</w:t>
      </w:r>
      <w:r w:rsidR="00706724">
        <w:rPr>
          <w:rFonts w:cs="Arial" w:hint="cs"/>
          <w:rtl/>
        </w:rPr>
        <w:t>,</w:t>
      </w:r>
      <w:r w:rsidR="00F85BC3" w:rsidRPr="008A0A60">
        <w:rPr>
          <w:rFonts w:cs="Arial"/>
          <w:rtl/>
        </w:rPr>
        <w:t xml:space="preserve"> וזה ברור עכ"ל. גם הט"ז כתב </w:t>
      </w:r>
      <w:r>
        <w:rPr>
          <w:rFonts w:cs="Arial" w:hint="cs"/>
          <w:rtl/>
        </w:rPr>
        <w:t>(</w:t>
      </w:r>
      <w:r w:rsidR="00F85BC3" w:rsidRPr="008A0A60">
        <w:rPr>
          <w:rFonts w:cs="Arial"/>
          <w:rtl/>
        </w:rPr>
        <w:t>סק</w:t>
      </w:r>
      <w:r>
        <w:rPr>
          <w:rFonts w:cs="Arial" w:hint="cs"/>
          <w:rtl/>
        </w:rPr>
        <w:t>"</w:t>
      </w:r>
      <w:r w:rsidR="00F85BC3" w:rsidRPr="008A0A60">
        <w:rPr>
          <w:rFonts w:cs="Arial"/>
          <w:rtl/>
        </w:rPr>
        <w:t>ז</w:t>
      </w:r>
      <w:r>
        <w:rPr>
          <w:rFonts w:cs="Arial" w:hint="cs"/>
          <w:rtl/>
        </w:rPr>
        <w:t>)</w:t>
      </w:r>
      <w:r w:rsidR="00F85BC3" w:rsidRPr="008A0A60">
        <w:rPr>
          <w:rFonts w:cs="Arial"/>
          <w:rtl/>
        </w:rPr>
        <w:t xml:space="preserve"> </w:t>
      </w:r>
      <w:r w:rsidR="000A0F5A">
        <w:rPr>
          <w:rFonts w:cs="Arial"/>
          <w:rtl/>
        </w:rPr>
        <w:t>וז"ל:</w:t>
      </w:r>
      <w:r w:rsidR="00F85BC3" w:rsidRPr="008A0A60">
        <w:rPr>
          <w:rFonts w:cs="Arial"/>
          <w:rtl/>
        </w:rPr>
        <w:t xml:space="preserve"> לפי הנראה יותר כשר לכתוב על פאפיר</w:t>
      </w:r>
      <w:r w:rsidR="00706724">
        <w:rPr>
          <w:rFonts w:cs="Arial" w:hint="cs"/>
          <w:rtl/>
        </w:rPr>
        <w:t>,</w:t>
      </w:r>
      <w:r w:rsidR="00F85BC3" w:rsidRPr="008A0A60">
        <w:rPr>
          <w:rFonts w:cs="Arial"/>
          <w:rtl/>
        </w:rPr>
        <w:t xml:space="preserve"> שקלף שלנו אפשר להזדייף יותר לגרור ממנו כי חזק ועב הוא</w:t>
      </w:r>
      <w:r w:rsidR="00706724">
        <w:rPr>
          <w:rFonts w:cs="Arial" w:hint="cs"/>
          <w:rtl/>
        </w:rPr>
        <w:t>,</w:t>
      </w:r>
      <w:r w:rsidR="00F85BC3" w:rsidRPr="008A0A60">
        <w:rPr>
          <w:rFonts w:cs="Arial"/>
          <w:rtl/>
        </w:rPr>
        <w:t xml:space="preserve"> משא"כ בנייר שא"א כלל לגרור בו שלא יהא נראה הגירור</w:t>
      </w:r>
      <w:r w:rsidR="00706724">
        <w:rPr>
          <w:rFonts w:cs="Arial" w:hint="cs"/>
          <w:rtl/>
        </w:rPr>
        <w:t>.</w:t>
      </w:r>
      <w:r w:rsidR="00F85BC3" w:rsidRPr="008A0A60">
        <w:rPr>
          <w:rFonts w:cs="Arial"/>
          <w:rtl/>
        </w:rPr>
        <w:t xml:space="preserve"> ואף שהיה המנהג בארצות אלו לכתוב על קלף</w:t>
      </w:r>
      <w:r w:rsidR="00706724">
        <w:rPr>
          <w:rFonts w:cs="Arial" w:hint="cs"/>
          <w:rtl/>
        </w:rPr>
        <w:t>,</w:t>
      </w:r>
      <w:r w:rsidR="00F85BC3" w:rsidRPr="008A0A60">
        <w:rPr>
          <w:rFonts w:cs="Arial"/>
          <w:rtl/>
        </w:rPr>
        <w:t xml:space="preserve"> מ"מ בשעת הגזירות במדינות וואלין ואקריינא שהוצרכו הרבה לתת גט מצוה ולא היה מצוי קלף הורגלו לכתוב על פאפי"ר</w:t>
      </w:r>
      <w:r w:rsidR="00706724">
        <w:rPr>
          <w:rFonts w:cs="Arial" w:hint="cs"/>
          <w:rtl/>
        </w:rPr>
        <w:t>,</w:t>
      </w:r>
      <w:r w:rsidR="00F85BC3" w:rsidRPr="008A0A60">
        <w:rPr>
          <w:rFonts w:cs="Arial"/>
          <w:rtl/>
        </w:rPr>
        <w:t xml:space="preserve"> ומשם התפשט גם לשאר מקומות עכ"ל. גם בס' ישועות יעקב כתב בזה</w:t>
      </w:r>
      <w:r w:rsidR="00706724">
        <w:rPr>
          <w:rFonts w:cs="Arial" w:hint="cs"/>
          <w:rtl/>
        </w:rPr>
        <w:t>:</w:t>
      </w:r>
      <w:r w:rsidR="00F85BC3" w:rsidRPr="008A0A60">
        <w:rPr>
          <w:rFonts w:cs="Arial"/>
          <w:rtl/>
        </w:rPr>
        <w:t xml:space="preserve"> זה ימים רבים נתפשט המנהג לכתוב על הנייר אף במקום שקלף מצוי</w:t>
      </w:r>
      <w:r w:rsidR="00706724">
        <w:rPr>
          <w:rFonts w:cs="Arial" w:hint="cs"/>
          <w:rtl/>
        </w:rPr>
        <w:t>,</w:t>
      </w:r>
      <w:r w:rsidR="00F85BC3" w:rsidRPr="008A0A60">
        <w:rPr>
          <w:rFonts w:cs="Arial"/>
          <w:rtl/>
        </w:rPr>
        <w:t xml:space="preserve"> ואין שום דחק בדבר</w:t>
      </w:r>
      <w:r w:rsidR="00706724">
        <w:rPr>
          <w:rFonts w:cs="Arial" w:hint="cs"/>
          <w:rtl/>
        </w:rPr>
        <w:t>,</w:t>
      </w:r>
      <w:r w:rsidR="00F85BC3" w:rsidRPr="008A0A60">
        <w:rPr>
          <w:rFonts w:cs="Arial"/>
          <w:rtl/>
        </w:rPr>
        <w:t xml:space="preserve"> והיה בדעתי למחות ומצאתי להט"ז שיותר טוב לכתוב על הנייר מעל הקלף כו'</w:t>
      </w:r>
      <w:r w:rsidR="00706724">
        <w:rPr>
          <w:rFonts w:cs="Arial" w:hint="cs"/>
          <w:rtl/>
        </w:rPr>
        <w:t>,</w:t>
      </w:r>
      <w:r w:rsidR="00F85BC3" w:rsidRPr="008A0A60">
        <w:rPr>
          <w:rFonts w:cs="Arial"/>
          <w:rtl/>
        </w:rPr>
        <w:t xml:space="preserve"> גלל כן לא מחיתי בידם עכ"ל. ובס' גט מקושר </w:t>
      </w:r>
      <w:r>
        <w:rPr>
          <w:rFonts w:cs="Arial" w:hint="cs"/>
          <w:rtl/>
        </w:rPr>
        <w:t>(</w:t>
      </w:r>
      <w:r w:rsidR="00F85BC3" w:rsidRPr="008A0A60">
        <w:rPr>
          <w:rFonts w:cs="Arial"/>
          <w:rtl/>
        </w:rPr>
        <w:t>ק"א סוף אות ו</w:t>
      </w:r>
      <w:r>
        <w:rPr>
          <w:rFonts w:cs="Arial" w:hint="cs"/>
          <w:rtl/>
        </w:rPr>
        <w:t>)</w:t>
      </w:r>
      <w:r w:rsidR="00F85BC3" w:rsidRPr="008A0A60">
        <w:rPr>
          <w:rFonts w:cs="Arial"/>
          <w:rtl/>
        </w:rPr>
        <w:t xml:space="preserve"> כ' דנראה לו נכון מנהג של עכשיו לכתוב על נייר שקורין פאפיר שהגרירה ניכרת יותר מעל הקלף ע"ש</w:t>
      </w:r>
      <w:r>
        <w:rPr>
          <w:rFonts w:cs="Arial" w:hint="cs"/>
          <w:rtl/>
        </w:rPr>
        <w:t>.</w:t>
      </w:r>
      <w:r w:rsidR="00F85BC3" w:rsidRPr="008A0A60">
        <w:rPr>
          <w:rFonts w:cs="Arial"/>
          <w:rtl/>
        </w:rPr>
        <w:t xml:space="preserve"> וע"ל סי' ק"ל סק"</w:t>
      </w:r>
      <w:r w:rsidRPr="008A0A60">
        <w:rPr>
          <w:rFonts w:cs="Arial" w:hint="cs"/>
          <w:rtl/>
        </w:rPr>
        <w:t>ו.</w:t>
      </w:r>
    </w:p>
    <w:p w14:paraId="2B635DB5" w14:textId="77777777" w:rsidR="00F85BC3" w:rsidRPr="00C77C34" w:rsidRDefault="00F85BC3" w:rsidP="00C77C34">
      <w:pPr>
        <w:rPr>
          <w:rFonts w:cs="Arial"/>
          <w:rtl/>
        </w:rPr>
      </w:pPr>
    </w:p>
    <w:p w14:paraId="7852EB5D" w14:textId="56A53DA5" w:rsidR="00C77C34" w:rsidRDefault="00C77C34" w:rsidP="00786DE6">
      <w:pPr>
        <w:pStyle w:val="2"/>
        <w:rPr>
          <w:rtl/>
        </w:rPr>
      </w:pPr>
      <w:r w:rsidRPr="00C77C34">
        <w:rPr>
          <w:rtl/>
        </w:rPr>
        <w:t>סעיף ג</w:t>
      </w:r>
      <w:r w:rsidR="002F541D">
        <w:rPr>
          <w:rFonts w:hint="cs"/>
          <w:rtl/>
        </w:rPr>
        <w:t xml:space="preserve">: </w:t>
      </w:r>
      <w:r w:rsidR="00CD2508">
        <w:rPr>
          <w:rFonts w:hint="cs"/>
          <w:rtl/>
        </w:rPr>
        <w:t>קציצה לאחר כתיבה בדבר תלוש.</w:t>
      </w:r>
    </w:p>
    <w:p w14:paraId="7C6C3BDA" w14:textId="536D2BCE" w:rsidR="002F541D" w:rsidRDefault="002F541D" w:rsidP="002F541D">
      <w:pPr>
        <w:rPr>
          <w:rFonts w:cs="Arial"/>
          <w:rtl/>
        </w:rPr>
      </w:pPr>
      <w:r w:rsidRPr="00AB4A3D">
        <w:rPr>
          <w:rFonts w:cs="Arial" w:hint="cs"/>
          <w:b/>
          <w:bCs/>
          <w:rtl/>
        </w:rPr>
        <w:t xml:space="preserve">גיטין </w:t>
      </w:r>
      <w:r w:rsidRPr="00AB4A3D">
        <w:rPr>
          <w:rFonts w:cs="Arial" w:hint="cs"/>
          <w:b/>
          <w:bCs/>
          <w:sz w:val="16"/>
          <w:szCs w:val="16"/>
          <w:rtl/>
        </w:rPr>
        <w:t>(פ"ב)</w:t>
      </w:r>
      <w:r w:rsidRPr="00AB4A3D">
        <w:rPr>
          <w:rFonts w:cs="Arial" w:hint="cs"/>
          <w:b/>
          <w:bCs/>
          <w:rtl/>
        </w:rPr>
        <w:t xml:space="preserve"> </w:t>
      </w:r>
      <w:r>
        <w:rPr>
          <w:rFonts w:cs="Arial" w:hint="cs"/>
          <w:b/>
          <w:bCs/>
          <w:rtl/>
        </w:rPr>
        <w:t>יט</w:t>
      </w:r>
      <w:r w:rsidRPr="00AB4A3D">
        <w:rPr>
          <w:rFonts w:cs="Arial" w:hint="cs"/>
          <w:b/>
          <w:bCs/>
          <w:rtl/>
        </w:rPr>
        <w:t xml:space="preserve"> ע"א:</w:t>
      </w:r>
      <w:r>
        <w:rPr>
          <w:rFonts w:cs="Arial" w:hint="cs"/>
          <w:rtl/>
        </w:rPr>
        <w:t xml:space="preserve"> </w:t>
      </w:r>
      <w:r w:rsidRPr="009726C1">
        <w:rPr>
          <w:rFonts w:cs="Arial"/>
          <w:u w:val="double"/>
          <w:rtl/>
        </w:rPr>
        <w:t>מתני'</w:t>
      </w:r>
      <w:r>
        <w:rPr>
          <w:rFonts w:cs="Arial" w:hint="cs"/>
          <w:rtl/>
        </w:rPr>
        <w:t>:..</w:t>
      </w:r>
      <w:r w:rsidRPr="009726C1">
        <w:rPr>
          <w:rFonts w:cs="Arial"/>
          <w:rtl/>
        </w:rPr>
        <w:t>. על הכל כותבין, על העלה של זית, ועל הקרן של פרה ונותן לה את הפרה, על יד של עבד ונותן לה את העבד</w:t>
      </w:r>
      <w:r>
        <w:rPr>
          <w:rFonts w:cs="Arial" w:hint="cs"/>
          <w:rtl/>
        </w:rPr>
        <w:t xml:space="preserve">.        </w:t>
      </w:r>
      <w:r w:rsidRPr="009726C1">
        <w:rPr>
          <w:rFonts w:cs="Arial"/>
          <w:rtl/>
        </w:rPr>
        <w:t xml:space="preserve"> </w:t>
      </w:r>
      <w:r w:rsidRPr="008D5E33">
        <w:rPr>
          <w:rFonts w:cs="Arial" w:hint="cs"/>
          <w:u w:val="double"/>
          <w:rtl/>
        </w:rPr>
        <w:t>גמ'</w:t>
      </w:r>
      <w:r w:rsidRPr="008D5E33">
        <w:rPr>
          <w:rFonts w:cs="Arial" w:hint="cs"/>
          <w:sz w:val="14"/>
          <w:szCs w:val="14"/>
          <w:u w:val="double"/>
          <w:rtl/>
        </w:rPr>
        <w:t>(כא.)</w:t>
      </w:r>
      <w:r w:rsidRPr="008D5E33">
        <w:rPr>
          <w:rFonts w:cs="Arial" w:hint="cs"/>
          <w:u w:val="double"/>
          <w:rtl/>
        </w:rPr>
        <w:t>:</w:t>
      </w:r>
      <w:r>
        <w:rPr>
          <w:rFonts w:cs="Arial" w:hint="cs"/>
          <w:rtl/>
        </w:rPr>
        <w:t xml:space="preserve"> </w:t>
      </w:r>
      <w:r w:rsidRPr="00A645FB">
        <w:rPr>
          <w:rFonts w:cs="Arial"/>
          <w:rtl/>
        </w:rPr>
        <w:t xml:space="preserve">על העלה של זית וכו'. בשלמא יד דעבד </w:t>
      </w:r>
      <w:r w:rsidR="00A82951">
        <w:rPr>
          <w:rFonts w:cs="Arial" w:hint="cs"/>
          <w:rtl/>
        </w:rPr>
        <w:t>-</w:t>
      </w:r>
      <w:r>
        <w:rPr>
          <w:rFonts w:cs="Arial" w:hint="cs"/>
          <w:sz w:val="14"/>
          <w:szCs w:val="14"/>
          <w:rtl/>
        </w:rPr>
        <w:t xml:space="preserve"> (כא:) </w:t>
      </w:r>
      <w:r w:rsidRPr="00A645FB">
        <w:rPr>
          <w:rFonts w:cs="Arial"/>
          <w:rtl/>
        </w:rPr>
        <w:t>לא אפשר למקצייה</w:t>
      </w:r>
      <w:r>
        <w:rPr>
          <w:rStyle w:val="a7"/>
          <w:rFonts w:cs="Arial"/>
          <w:rtl/>
        </w:rPr>
        <w:footnoteReference w:id="443"/>
      </w:r>
      <w:r w:rsidRPr="00A645FB">
        <w:rPr>
          <w:rFonts w:cs="Arial"/>
          <w:rtl/>
        </w:rPr>
        <w:t xml:space="preserve">, אלא קרן של פרה </w:t>
      </w:r>
      <w:r w:rsidR="00A82951">
        <w:rPr>
          <w:rFonts w:cs="Arial"/>
          <w:rtl/>
        </w:rPr>
        <w:t>-</w:t>
      </w:r>
      <w:r w:rsidRPr="00A645FB">
        <w:rPr>
          <w:rFonts w:cs="Arial"/>
          <w:rtl/>
        </w:rPr>
        <w:t xml:space="preserve"> ליקצייה וליתביה לה! אמר קרא: וכתב ונתן לה, מי שאינו מחוסר אלא כתיבה ונתינה, יצא זה שמחוסר כתיבה, קציצה, ונתינה.</w:t>
      </w:r>
      <w:r>
        <w:rPr>
          <w:rFonts w:cs="Arial" w:hint="cs"/>
          <w:rtl/>
        </w:rPr>
        <w:t xml:space="preserve"> </w:t>
      </w:r>
    </w:p>
    <w:p w14:paraId="72CC4B38" w14:textId="298E6E54" w:rsidR="007B18F2" w:rsidRPr="001771F0" w:rsidRDefault="00CD2508" w:rsidP="001771F0">
      <w:pPr>
        <w:rPr>
          <w:rFonts w:cs="Arial"/>
          <w:u w:val="single"/>
        </w:rPr>
      </w:pPr>
      <w:r w:rsidRPr="00CD2508">
        <w:rPr>
          <w:rFonts w:cs="Arial" w:hint="cs"/>
          <w:u w:val="single"/>
          <w:rtl/>
        </w:rPr>
        <w:t>קציצ</w:t>
      </w:r>
      <w:r w:rsidR="007B18F2">
        <w:rPr>
          <w:rFonts w:cs="Arial" w:hint="cs"/>
          <w:u w:val="single"/>
          <w:rtl/>
        </w:rPr>
        <w:t>ה</w:t>
      </w:r>
      <w:r w:rsidRPr="00CD2508">
        <w:rPr>
          <w:rFonts w:cs="Arial" w:hint="cs"/>
          <w:u w:val="single"/>
          <w:rtl/>
        </w:rPr>
        <w:t xml:space="preserve"> לאחר כתיב</w:t>
      </w:r>
      <w:r w:rsidR="007B18F2">
        <w:rPr>
          <w:rFonts w:cs="Arial" w:hint="cs"/>
          <w:u w:val="single"/>
          <w:rtl/>
        </w:rPr>
        <w:t xml:space="preserve">ת גט </w:t>
      </w:r>
      <w:r w:rsidR="00A82951">
        <w:rPr>
          <w:rFonts w:cs="Arial" w:hint="cs"/>
          <w:u w:val="single"/>
          <w:rtl/>
        </w:rPr>
        <w:t>-</w:t>
      </w:r>
      <w:r w:rsidR="007B18F2">
        <w:rPr>
          <w:rFonts w:cs="Arial" w:hint="cs"/>
          <w:u w:val="single"/>
          <w:rtl/>
        </w:rPr>
        <w:t xml:space="preserve"> בדבר</w:t>
      </w:r>
      <w:r w:rsidRPr="00CD2508">
        <w:rPr>
          <w:rFonts w:cs="Arial" w:hint="cs"/>
          <w:u w:val="single"/>
          <w:rtl/>
        </w:rPr>
        <w:t xml:space="preserve"> תלוש:</w:t>
      </w:r>
    </w:p>
    <w:p w14:paraId="46BB6E02" w14:textId="1C905A93" w:rsidR="00D5068B" w:rsidRDefault="007B18F2" w:rsidP="00A65C5F">
      <w:pPr>
        <w:pStyle w:val="ab"/>
        <w:numPr>
          <w:ilvl w:val="0"/>
          <w:numId w:val="44"/>
        </w:numPr>
      </w:pPr>
      <w:r>
        <w:rPr>
          <w:rFonts w:cs="Arial" w:hint="cs"/>
          <w:rtl/>
        </w:rPr>
        <w:lastRenderedPageBreak/>
        <w:t>רשב"ם</w:t>
      </w:r>
      <w:r w:rsidR="001771F0">
        <w:rPr>
          <w:rFonts w:cs="Arial" w:hint="cs"/>
          <w:rtl/>
        </w:rPr>
        <w:t xml:space="preserve"> </w:t>
      </w:r>
      <w:r w:rsidR="001771F0" w:rsidRPr="00CD2508">
        <w:rPr>
          <w:rFonts w:cs="Arial" w:hint="cs"/>
          <w:sz w:val="16"/>
          <w:szCs w:val="16"/>
          <w:rtl/>
        </w:rPr>
        <w:t>(</w:t>
      </w:r>
      <w:r w:rsidR="001771F0">
        <w:rPr>
          <w:rFonts w:cs="Arial" w:hint="cs"/>
          <w:sz w:val="16"/>
          <w:szCs w:val="16"/>
          <w:rtl/>
        </w:rPr>
        <w:t>כ"כ בשמו התוס' [</w:t>
      </w:r>
      <w:r w:rsidR="001771F0" w:rsidRPr="00CD2508">
        <w:rPr>
          <w:rFonts w:cs="Arial" w:hint="cs"/>
          <w:sz w:val="16"/>
          <w:szCs w:val="16"/>
          <w:rtl/>
        </w:rPr>
        <w:t>כא: ד"ה יצא זה</w:t>
      </w:r>
      <w:r w:rsidR="001771F0">
        <w:rPr>
          <w:rFonts w:cs="Arial" w:hint="cs"/>
          <w:sz w:val="16"/>
          <w:szCs w:val="16"/>
          <w:rtl/>
        </w:rPr>
        <w:t>]</w:t>
      </w:r>
      <w:r w:rsidR="001771F0" w:rsidRPr="00CD2508">
        <w:rPr>
          <w:rFonts w:cs="Arial" w:hint="cs"/>
          <w:sz w:val="16"/>
          <w:szCs w:val="16"/>
          <w:rtl/>
        </w:rPr>
        <w:t>)</w:t>
      </w:r>
      <w:r w:rsidR="00CE23F7">
        <w:rPr>
          <w:rFonts w:cs="Arial" w:hint="cs"/>
          <w:rtl/>
        </w:rPr>
        <w:t xml:space="preserve"> </w:t>
      </w:r>
      <w:r w:rsidR="00AD5A89">
        <w:rPr>
          <w:rFonts w:cs="Arial" w:hint="cs"/>
          <w:rtl/>
        </w:rPr>
        <w:t>רבנו שמעיה</w:t>
      </w:r>
      <w:r w:rsidR="00AD5A89">
        <w:rPr>
          <w:rStyle w:val="a7"/>
          <w:rFonts w:cs="Arial"/>
          <w:rtl/>
        </w:rPr>
        <w:footnoteReference w:id="444"/>
      </w:r>
      <w:r w:rsidR="00AD5A89">
        <w:rPr>
          <w:rFonts w:cs="Arial" w:hint="cs"/>
          <w:rtl/>
        </w:rPr>
        <w:t xml:space="preserve"> </w:t>
      </w:r>
      <w:r w:rsidR="00AD5A89">
        <w:rPr>
          <w:rFonts w:cs="Arial" w:hint="cs"/>
          <w:sz w:val="16"/>
          <w:szCs w:val="16"/>
          <w:rtl/>
        </w:rPr>
        <w:t xml:space="preserve">(כ"כ התוס' </w:t>
      </w:r>
      <w:r w:rsidR="000C7A12">
        <w:rPr>
          <w:rFonts w:cs="Arial" w:hint="cs"/>
          <w:sz w:val="16"/>
          <w:szCs w:val="16"/>
          <w:rtl/>
        </w:rPr>
        <w:t>שם</w:t>
      </w:r>
      <w:r w:rsidR="00AD5A89">
        <w:rPr>
          <w:rFonts w:cs="Arial" w:hint="cs"/>
          <w:sz w:val="16"/>
          <w:szCs w:val="16"/>
          <w:rtl/>
        </w:rPr>
        <w:t xml:space="preserve"> בשמו) </w:t>
      </w:r>
      <w:r w:rsidR="00856703">
        <w:rPr>
          <w:rFonts w:cs="Arial" w:hint="cs"/>
          <w:rtl/>
        </w:rPr>
        <w:t>ו</w:t>
      </w:r>
      <w:r w:rsidR="00CE23F7">
        <w:rPr>
          <w:rFonts w:cs="Arial" w:hint="cs"/>
          <w:rtl/>
        </w:rPr>
        <w:t>בהעי"ט</w:t>
      </w:r>
      <w:r w:rsidR="00EA3689">
        <w:rPr>
          <w:rFonts w:cs="Arial" w:hint="cs"/>
          <w:sz w:val="16"/>
          <w:szCs w:val="16"/>
          <w:rtl/>
        </w:rPr>
        <w:t xml:space="preserve"> (</w:t>
      </w:r>
      <w:r w:rsidR="000C7A12" w:rsidRPr="000C7A12">
        <w:rPr>
          <w:rFonts w:cs="Arial"/>
          <w:sz w:val="16"/>
          <w:szCs w:val="16"/>
          <w:rtl/>
        </w:rPr>
        <w:t>מאמר ז ח"א כו ע"ב</w:t>
      </w:r>
      <w:r w:rsidR="000C7A12">
        <w:rPr>
          <w:rFonts w:cs="Arial" w:hint="cs"/>
          <w:sz w:val="16"/>
          <w:szCs w:val="16"/>
          <w:rtl/>
        </w:rPr>
        <w:t>, הביאו</w:t>
      </w:r>
      <w:r w:rsidR="00EA3689">
        <w:rPr>
          <w:rFonts w:cs="Arial" w:hint="cs"/>
          <w:sz w:val="16"/>
          <w:szCs w:val="16"/>
          <w:rtl/>
        </w:rPr>
        <w:t xml:space="preserve"> הטור)</w:t>
      </w:r>
      <w:r w:rsidR="00A82951">
        <w:rPr>
          <w:rFonts w:cs="Arial" w:hint="cs"/>
          <w:rtl/>
        </w:rPr>
        <w:t>-</w:t>
      </w:r>
      <w:r w:rsidR="002F541D" w:rsidRPr="00CD2508">
        <w:rPr>
          <w:rFonts w:cs="Arial"/>
          <w:rtl/>
        </w:rPr>
        <w:t xml:space="preserve"> דוקא בבעלי חיים או במחובר לקרקע שעוקר דבר מגידולו חשיב מחוסר קציצה</w:t>
      </w:r>
      <w:r w:rsidR="001771F0">
        <w:rPr>
          <w:rStyle w:val="a7"/>
          <w:rFonts w:cs="Arial"/>
          <w:rtl/>
        </w:rPr>
        <w:footnoteReference w:id="445"/>
      </w:r>
      <w:r w:rsidR="00CE23F7">
        <w:rPr>
          <w:rFonts w:cs="Arial" w:hint="cs"/>
          <w:sz w:val="16"/>
          <w:szCs w:val="16"/>
          <w:rtl/>
        </w:rPr>
        <w:t xml:space="preserve"> (ל' התוס' בשם רשב"ם)</w:t>
      </w:r>
      <w:r w:rsidR="00D5068B" w:rsidRPr="001771F0">
        <w:rPr>
          <w:rFonts w:cs="Arial" w:hint="cs"/>
          <w:rtl/>
        </w:rPr>
        <w:t>.</w:t>
      </w:r>
      <w:r w:rsidR="002F541D" w:rsidRPr="001771F0">
        <w:rPr>
          <w:rFonts w:cs="Arial"/>
          <w:rtl/>
        </w:rPr>
        <w:t xml:space="preserve"> </w:t>
      </w:r>
    </w:p>
    <w:p w14:paraId="57662339" w14:textId="36317C6B" w:rsidR="00D5068B" w:rsidRDefault="002F541D" w:rsidP="00A65C5F">
      <w:pPr>
        <w:pStyle w:val="ab"/>
        <w:numPr>
          <w:ilvl w:val="0"/>
          <w:numId w:val="44"/>
        </w:numPr>
      </w:pPr>
      <w:r w:rsidRPr="00CD2508">
        <w:rPr>
          <w:rFonts w:cs="Arial"/>
          <w:rtl/>
        </w:rPr>
        <w:t>בה"ג ר"ת</w:t>
      </w:r>
      <w:r w:rsidR="001771F0">
        <w:rPr>
          <w:rFonts w:cs="Arial" w:hint="cs"/>
          <w:sz w:val="16"/>
          <w:szCs w:val="16"/>
          <w:rtl/>
        </w:rPr>
        <w:t xml:space="preserve"> </w:t>
      </w:r>
      <w:r w:rsidR="001771F0" w:rsidRPr="00CD2508">
        <w:rPr>
          <w:rFonts w:cs="Arial" w:hint="cs"/>
          <w:sz w:val="16"/>
          <w:szCs w:val="16"/>
          <w:rtl/>
        </w:rPr>
        <w:t>(</w:t>
      </w:r>
      <w:r w:rsidR="001771F0">
        <w:rPr>
          <w:rFonts w:cs="Arial" w:hint="cs"/>
          <w:sz w:val="16"/>
          <w:szCs w:val="16"/>
          <w:rtl/>
        </w:rPr>
        <w:t>כ"כ התוס'</w:t>
      </w:r>
      <w:r w:rsidR="000C7A12">
        <w:rPr>
          <w:rFonts w:cs="Arial" w:hint="cs"/>
          <w:sz w:val="16"/>
          <w:szCs w:val="16"/>
          <w:rtl/>
        </w:rPr>
        <w:t xml:space="preserve"> [</w:t>
      </w:r>
      <w:r w:rsidR="001771F0">
        <w:rPr>
          <w:rFonts w:cs="Arial" w:hint="cs"/>
          <w:sz w:val="16"/>
          <w:szCs w:val="16"/>
          <w:rtl/>
        </w:rPr>
        <w:t>שם</w:t>
      </w:r>
      <w:r w:rsidR="000C7A12">
        <w:rPr>
          <w:rFonts w:cs="Arial" w:hint="cs"/>
          <w:sz w:val="16"/>
          <w:szCs w:val="16"/>
          <w:rtl/>
        </w:rPr>
        <w:t xml:space="preserve">] </w:t>
      </w:r>
      <w:r w:rsidR="00EA3689">
        <w:rPr>
          <w:rFonts w:cs="Arial" w:hint="cs"/>
          <w:sz w:val="16"/>
          <w:szCs w:val="16"/>
          <w:rtl/>
        </w:rPr>
        <w:t>בשמם</w:t>
      </w:r>
      <w:r w:rsidR="001771F0" w:rsidRPr="00CD2508">
        <w:rPr>
          <w:rFonts w:cs="Arial" w:hint="cs"/>
          <w:sz w:val="16"/>
          <w:szCs w:val="16"/>
          <w:rtl/>
        </w:rPr>
        <w:t>)</w:t>
      </w:r>
      <w:r w:rsidR="002415CB">
        <w:rPr>
          <w:rFonts w:cs="Arial" w:hint="cs"/>
          <w:rtl/>
        </w:rPr>
        <w:t xml:space="preserve"> </w:t>
      </w:r>
      <w:r w:rsidR="002415CB">
        <w:rPr>
          <w:rFonts w:hint="cs"/>
          <w:rtl/>
        </w:rPr>
        <w:t xml:space="preserve">רא"ש </w:t>
      </w:r>
      <w:r w:rsidR="002415CB" w:rsidRPr="002415CB">
        <w:rPr>
          <w:rFonts w:hint="cs"/>
          <w:sz w:val="16"/>
          <w:szCs w:val="16"/>
          <w:rtl/>
        </w:rPr>
        <w:t>(פ"ב סי' כב</w:t>
      </w:r>
      <w:r w:rsidR="00EA3689">
        <w:rPr>
          <w:rFonts w:hint="cs"/>
          <w:sz w:val="16"/>
          <w:szCs w:val="16"/>
          <w:rtl/>
        </w:rPr>
        <w:t>, כ"כ הטור בשמו</w:t>
      </w:r>
      <w:r w:rsidR="002415CB" w:rsidRPr="002415CB">
        <w:rPr>
          <w:rFonts w:hint="cs"/>
          <w:sz w:val="16"/>
          <w:szCs w:val="16"/>
          <w:rtl/>
        </w:rPr>
        <w:t>)</w:t>
      </w:r>
      <w:r w:rsidR="00A82951">
        <w:rPr>
          <w:rFonts w:cs="Arial" w:hint="cs"/>
          <w:rtl/>
        </w:rPr>
        <w:t>-</w:t>
      </w:r>
      <w:r w:rsidR="001771F0">
        <w:rPr>
          <w:rFonts w:cs="Arial" w:hint="cs"/>
          <w:rtl/>
        </w:rPr>
        <w:t xml:space="preserve"> אם קצץ לאחר כתיבה </w:t>
      </w:r>
      <w:r w:rsidR="00A82951">
        <w:rPr>
          <w:rFonts w:cs="Arial"/>
          <w:rtl/>
        </w:rPr>
        <w:t>-</w:t>
      </w:r>
      <w:r w:rsidR="001771F0">
        <w:rPr>
          <w:rFonts w:cs="Arial" w:hint="cs"/>
          <w:rtl/>
        </w:rPr>
        <w:t xml:space="preserve"> פסול אף בדבר התלוש</w:t>
      </w:r>
      <w:r w:rsidR="00CE23F7">
        <w:rPr>
          <w:rStyle w:val="a7"/>
          <w:rFonts w:cs="Arial"/>
          <w:rtl/>
        </w:rPr>
        <w:footnoteReference w:id="446"/>
      </w:r>
      <w:r w:rsidR="00D5068B" w:rsidRPr="00CE23F7">
        <w:rPr>
          <w:rFonts w:cs="Arial" w:hint="cs"/>
          <w:rtl/>
        </w:rPr>
        <w:t>.</w:t>
      </w:r>
      <w:r w:rsidRPr="00CE23F7">
        <w:rPr>
          <w:rFonts w:cs="Arial"/>
          <w:rtl/>
        </w:rPr>
        <w:t xml:space="preserve"> </w:t>
      </w:r>
      <w:r w:rsidR="006249AD" w:rsidRPr="00DD1DEB">
        <w:rPr>
          <w:rFonts w:hint="cs"/>
          <w:color w:val="00B0F0"/>
          <w:rtl/>
        </w:rPr>
        <w:t>(וכ"פ הרמ"א)</w:t>
      </w:r>
    </w:p>
    <w:p w14:paraId="69EBC79D" w14:textId="13675DEB" w:rsidR="00CE23F7" w:rsidRPr="00CE23F7" w:rsidRDefault="006C4633" w:rsidP="00CE23F7">
      <w:pPr>
        <w:ind w:left="360"/>
        <w:rPr>
          <w:u w:val="dotted"/>
        </w:rPr>
      </w:pPr>
      <w:r>
        <w:rPr>
          <w:rFonts w:hint="cs"/>
          <w:u w:val="dotted"/>
          <w:rtl/>
        </w:rPr>
        <w:t xml:space="preserve">לאוסרים </w:t>
      </w:r>
      <w:r w:rsidRPr="006C4633">
        <w:rPr>
          <w:rFonts w:hint="cs"/>
          <w:sz w:val="16"/>
          <w:szCs w:val="16"/>
          <w:u w:val="dotted"/>
          <w:rtl/>
        </w:rPr>
        <w:t>(</w:t>
      </w:r>
      <w:r w:rsidR="00CE23F7" w:rsidRPr="006C4633">
        <w:rPr>
          <w:rFonts w:hint="cs"/>
          <w:sz w:val="16"/>
          <w:szCs w:val="16"/>
          <w:u w:val="dotted"/>
          <w:rtl/>
        </w:rPr>
        <w:t>ר"ת וסיעתו</w:t>
      </w:r>
      <w:r>
        <w:rPr>
          <w:rFonts w:hint="cs"/>
          <w:sz w:val="16"/>
          <w:szCs w:val="16"/>
          <w:u w:val="dotted"/>
          <w:rtl/>
        </w:rPr>
        <w:t>)</w:t>
      </w:r>
      <w:r w:rsidR="00CE23F7" w:rsidRPr="00CE23F7">
        <w:rPr>
          <w:rFonts w:hint="cs"/>
          <w:u w:val="dotted"/>
          <w:rtl/>
        </w:rPr>
        <w:t xml:space="preserve"> </w:t>
      </w:r>
      <w:r w:rsidR="00A82951">
        <w:rPr>
          <w:rFonts w:hint="cs"/>
          <w:u w:val="dotted"/>
          <w:rtl/>
        </w:rPr>
        <w:t>-</w:t>
      </w:r>
      <w:r w:rsidR="00CE23F7" w:rsidRPr="00CE23F7">
        <w:rPr>
          <w:rFonts w:hint="cs"/>
          <w:u w:val="dotted"/>
          <w:rtl/>
        </w:rPr>
        <w:t xml:space="preserve"> מה הדין אם חותך חלקים קטנים</w:t>
      </w:r>
      <w:r w:rsidR="000C7A12">
        <w:rPr>
          <w:rFonts w:hint="cs"/>
          <w:sz w:val="16"/>
          <w:szCs w:val="16"/>
          <w:u w:val="dotted"/>
          <w:rtl/>
        </w:rPr>
        <w:t xml:space="preserve"> </w:t>
      </w:r>
      <w:r w:rsidR="00CE23F7" w:rsidRPr="00CE23F7">
        <w:rPr>
          <w:rFonts w:hint="cs"/>
          <w:u w:val="dotted"/>
          <w:rtl/>
        </w:rPr>
        <w:t>מהגט ליופי:</w:t>
      </w:r>
    </w:p>
    <w:p w14:paraId="43751D24" w14:textId="0DBA1E53" w:rsidR="00E3141B" w:rsidRPr="00E3141B" w:rsidRDefault="00CE23F7" w:rsidP="00A65C5F">
      <w:pPr>
        <w:pStyle w:val="ab"/>
        <w:numPr>
          <w:ilvl w:val="0"/>
          <w:numId w:val="44"/>
        </w:numPr>
      </w:pPr>
      <w:r>
        <w:rPr>
          <w:rFonts w:cs="Arial" w:hint="cs"/>
          <w:rtl/>
        </w:rPr>
        <w:t>תוס'</w:t>
      </w:r>
      <w:r>
        <w:rPr>
          <w:rFonts w:cs="Arial" w:hint="cs"/>
          <w:sz w:val="16"/>
          <w:szCs w:val="16"/>
          <w:rtl/>
        </w:rPr>
        <w:t xml:space="preserve"> (שם)</w:t>
      </w:r>
      <w:r w:rsidR="002415CB">
        <w:rPr>
          <w:rFonts w:cs="Arial" w:hint="cs"/>
          <w:rtl/>
        </w:rPr>
        <w:t xml:space="preserve"> ו</w:t>
      </w:r>
      <w:r w:rsidR="002415CB">
        <w:rPr>
          <w:rFonts w:hint="cs"/>
          <w:rtl/>
        </w:rPr>
        <w:t xml:space="preserve">רא"ש </w:t>
      </w:r>
      <w:r w:rsidR="002415CB" w:rsidRPr="002415CB">
        <w:rPr>
          <w:rFonts w:hint="cs"/>
          <w:sz w:val="16"/>
          <w:szCs w:val="16"/>
          <w:rtl/>
        </w:rPr>
        <w:t>(</w:t>
      </w:r>
      <w:r w:rsidR="002415CB">
        <w:rPr>
          <w:rFonts w:hint="cs"/>
          <w:sz w:val="16"/>
          <w:szCs w:val="16"/>
          <w:rtl/>
        </w:rPr>
        <w:t>שם</w:t>
      </w:r>
      <w:r w:rsidR="002415CB" w:rsidRPr="002415CB">
        <w:rPr>
          <w:rFonts w:hint="cs"/>
          <w:sz w:val="16"/>
          <w:szCs w:val="16"/>
          <w:rtl/>
        </w:rPr>
        <w:t>)</w:t>
      </w:r>
      <w:r w:rsidR="00A82951">
        <w:rPr>
          <w:rFonts w:cs="Arial" w:hint="cs"/>
          <w:rtl/>
        </w:rPr>
        <w:t>-</w:t>
      </w:r>
      <w:r>
        <w:rPr>
          <w:rFonts w:cs="Arial" w:hint="cs"/>
          <w:rtl/>
        </w:rPr>
        <w:t xml:space="preserve"> </w:t>
      </w:r>
      <w:r w:rsidR="002F541D" w:rsidRPr="00CD2508">
        <w:rPr>
          <w:rFonts w:cs="Arial"/>
          <w:rtl/>
        </w:rPr>
        <w:t>לר"ת דוקא נחתך מקלף גדול חשיב מחוסר קציצה</w:t>
      </w:r>
      <w:r>
        <w:rPr>
          <w:rFonts w:cs="Arial" w:hint="cs"/>
          <w:rtl/>
        </w:rPr>
        <w:t>,</w:t>
      </w:r>
      <w:r w:rsidR="002F541D" w:rsidRPr="00CD2508">
        <w:rPr>
          <w:rFonts w:cs="Arial"/>
          <w:rtl/>
        </w:rPr>
        <w:t xml:space="preserve"> אבל חותך מן הגט דבר מועט כמו שעושין לייפותו</w:t>
      </w:r>
      <w:r>
        <w:rPr>
          <w:rFonts w:cs="Arial" w:hint="cs"/>
          <w:rtl/>
        </w:rPr>
        <w:t xml:space="preserve"> </w:t>
      </w:r>
      <w:r w:rsidR="00A82951">
        <w:rPr>
          <w:rFonts w:cs="Arial" w:hint="cs"/>
          <w:rtl/>
        </w:rPr>
        <w:t>-</w:t>
      </w:r>
      <w:r w:rsidR="002F541D" w:rsidRPr="00CD2508">
        <w:rPr>
          <w:rFonts w:cs="Arial"/>
          <w:rtl/>
        </w:rPr>
        <w:t xml:space="preserve"> לא חשיב בהכי מחוסר קציצה</w:t>
      </w:r>
      <w:r w:rsidR="00EE378F">
        <w:rPr>
          <w:rStyle w:val="a7"/>
          <w:rFonts w:cs="Arial"/>
          <w:rtl/>
        </w:rPr>
        <w:footnoteReference w:id="447"/>
      </w:r>
      <w:r w:rsidR="002F541D" w:rsidRPr="00CD2508">
        <w:rPr>
          <w:rFonts w:cs="Arial"/>
          <w:rtl/>
        </w:rPr>
        <w:t xml:space="preserve"> </w:t>
      </w:r>
      <w:r w:rsidR="002415CB">
        <w:rPr>
          <w:rFonts w:cs="Arial" w:hint="cs"/>
          <w:sz w:val="16"/>
          <w:szCs w:val="16"/>
          <w:rtl/>
        </w:rPr>
        <w:t>(ל' התוס')</w:t>
      </w:r>
      <w:r w:rsidR="00E3141B">
        <w:rPr>
          <w:rStyle w:val="a7"/>
          <w:rFonts w:cs="Arial"/>
          <w:rtl/>
        </w:rPr>
        <w:footnoteReference w:id="448"/>
      </w:r>
      <w:r w:rsidR="00E3141B" w:rsidRPr="00EE378F">
        <w:rPr>
          <w:rFonts w:cs="Arial"/>
          <w:rtl/>
        </w:rPr>
        <w:t xml:space="preserve">. </w:t>
      </w:r>
      <w:r w:rsidR="00DD1DEB" w:rsidRPr="00DD1DEB">
        <w:rPr>
          <w:rFonts w:hint="cs"/>
          <w:color w:val="00B0F0"/>
          <w:rtl/>
        </w:rPr>
        <w:t>(וכ"פ הרמ"א)</w:t>
      </w:r>
    </w:p>
    <w:p w14:paraId="40FD70C5" w14:textId="428ED6D4" w:rsidR="00E3141B" w:rsidRDefault="00DD1DEB" w:rsidP="00A65C5F">
      <w:pPr>
        <w:pStyle w:val="ab"/>
        <w:numPr>
          <w:ilvl w:val="0"/>
          <w:numId w:val="44"/>
        </w:numPr>
        <w:rPr>
          <w:rtl/>
        </w:rPr>
      </w:pPr>
      <w:r>
        <w:rPr>
          <w:rFonts w:cs="Arial" w:hint="cs"/>
          <w:rtl/>
        </w:rPr>
        <w:t>ספר</w:t>
      </w:r>
      <w:r w:rsidR="00E3141B" w:rsidRPr="00E3141B">
        <w:rPr>
          <w:rFonts w:cs="Arial"/>
          <w:rtl/>
        </w:rPr>
        <w:t xml:space="preserve"> התרומה </w:t>
      </w:r>
      <w:r w:rsidR="00E3141B" w:rsidRPr="00EE378F">
        <w:rPr>
          <w:rFonts w:cs="Arial"/>
          <w:sz w:val="16"/>
          <w:szCs w:val="16"/>
          <w:rtl/>
        </w:rPr>
        <w:t>(סי' קי וקיא כט ע"ג)</w:t>
      </w:r>
      <w:r w:rsidR="00A82951">
        <w:rPr>
          <w:rFonts w:cs="Arial" w:hint="cs"/>
          <w:rtl/>
        </w:rPr>
        <w:t>-</w:t>
      </w:r>
      <w:r w:rsidR="00E3141B" w:rsidRPr="00E3141B">
        <w:rPr>
          <w:rFonts w:cs="Arial"/>
          <w:rtl/>
        </w:rPr>
        <w:t xml:space="preserve"> ואע</w:t>
      </w:r>
      <w:r w:rsidR="00E3141B">
        <w:rPr>
          <w:rFonts w:cs="Arial" w:hint="cs"/>
          <w:rtl/>
        </w:rPr>
        <w:t>"</w:t>
      </w:r>
      <w:r w:rsidR="00E3141B" w:rsidRPr="00E3141B">
        <w:rPr>
          <w:rFonts w:cs="Arial"/>
          <w:rtl/>
        </w:rPr>
        <w:t>פ שפירשתי שאם חתך מן הנייר לאחר שנכתב הגט שפסול מטעם מחוסר קציצה</w:t>
      </w:r>
      <w:r w:rsidR="00E3141B">
        <w:rPr>
          <w:rFonts w:cs="Arial" w:hint="cs"/>
          <w:rtl/>
        </w:rPr>
        <w:t>,</w:t>
      </w:r>
      <w:r w:rsidR="00E3141B" w:rsidRPr="00E3141B">
        <w:rPr>
          <w:rFonts w:cs="Arial"/>
          <w:rtl/>
        </w:rPr>
        <w:t xml:space="preserve"> נראה דוקא כי חותך הרבה יותר מכתיבת הגט</w:t>
      </w:r>
      <w:r w:rsidR="00E3141B">
        <w:rPr>
          <w:rFonts w:cs="Arial" w:hint="cs"/>
          <w:rtl/>
        </w:rPr>
        <w:t>,</w:t>
      </w:r>
      <w:r w:rsidR="00E3141B" w:rsidRPr="00E3141B">
        <w:rPr>
          <w:rFonts w:cs="Arial"/>
          <w:rtl/>
        </w:rPr>
        <w:t xml:space="preserve"> דמה שחותך הוא עיקר</w:t>
      </w:r>
      <w:r w:rsidR="00E3141B">
        <w:rPr>
          <w:rFonts w:cs="Arial" w:hint="cs"/>
          <w:rtl/>
        </w:rPr>
        <w:t>,</w:t>
      </w:r>
      <w:r w:rsidR="00E3141B" w:rsidRPr="00E3141B">
        <w:rPr>
          <w:rFonts w:cs="Arial"/>
          <w:rtl/>
        </w:rPr>
        <w:t xml:space="preserve"> אבל לחתוך מעט יכול להיות דכשר</w:t>
      </w:r>
      <w:r w:rsidR="00E3141B">
        <w:rPr>
          <w:rFonts w:cs="Arial" w:hint="cs"/>
          <w:rtl/>
        </w:rPr>
        <w:t>.</w:t>
      </w:r>
      <w:r w:rsidR="00E3141B" w:rsidRPr="00E3141B">
        <w:rPr>
          <w:rFonts w:cs="Arial"/>
          <w:rtl/>
        </w:rPr>
        <w:t xml:space="preserve"> הילכך צריך לקצץ ולחתוך הקלף קודם כתיבת הגט כמו שדעתו שישאר קלף גדול לאחר הכתיבה</w:t>
      </w:r>
      <w:r w:rsidR="000C7A12">
        <w:rPr>
          <w:rStyle w:val="a7"/>
          <w:rFonts w:cs="Arial"/>
          <w:rtl/>
        </w:rPr>
        <w:footnoteReference w:id="449"/>
      </w:r>
      <w:r w:rsidR="00E3141B" w:rsidRPr="00E3141B">
        <w:rPr>
          <w:rFonts w:cs="Arial"/>
          <w:rtl/>
        </w:rPr>
        <w:t>.</w:t>
      </w:r>
    </w:p>
    <w:p w14:paraId="7CBE2379" w14:textId="2E3CF998" w:rsidR="006C4633" w:rsidRPr="006C4633" w:rsidRDefault="006C4633" w:rsidP="006C4633">
      <w:pPr>
        <w:rPr>
          <w:u w:val="single"/>
        </w:rPr>
      </w:pPr>
      <w:r w:rsidRPr="006C4633">
        <w:rPr>
          <w:rFonts w:hint="cs"/>
          <w:u w:val="single"/>
          <w:rtl/>
        </w:rPr>
        <w:t>כיצד יש לעשות לכתחילה:</w:t>
      </w:r>
    </w:p>
    <w:p w14:paraId="498815FB" w14:textId="7ABE866F" w:rsidR="006C4633" w:rsidRPr="006C4633" w:rsidRDefault="006C4633" w:rsidP="00A65C5F">
      <w:pPr>
        <w:pStyle w:val="ab"/>
        <w:numPr>
          <w:ilvl w:val="0"/>
          <w:numId w:val="44"/>
        </w:numPr>
      </w:pPr>
      <w:r>
        <w:rPr>
          <w:rFonts w:cs="Arial" w:hint="cs"/>
          <w:rtl/>
        </w:rPr>
        <w:t xml:space="preserve">רא"ש </w:t>
      </w:r>
      <w:r w:rsidRPr="006C4633">
        <w:rPr>
          <w:rFonts w:cs="Arial" w:hint="cs"/>
          <w:sz w:val="16"/>
          <w:szCs w:val="16"/>
          <w:rtl/>
        </w:rPr>
        <w:t>(</w:t>
      </w:r>
      <w:r w:rsidR="008A0338" w:rsidRPr="006C4633">
        <w:rPr>
          <w:rFonts w:cs="Arial"/>
          <w:sz w:val="16"/>
          <w:szCs w:val="16"/>
          <w:rtl/>
        </w:rPr>
        <w:t>בסדר כתיבת הגט</w:t>
      </w:r>
      <w:r>
        <w:rPr>
          <w:rFonts w:cs="Arial" w:hint="cs"/>
          <w:sz w:val="16"/>
          <w:szCs w:val="16"/>
          <w:rtl/>
        </w:rPr>
        <w:t>)</w:t>
      </w:r>
      <w:r w:rsidR="00A82951">
        <w:rPr>
          <w:rFonts w:cs="Arial" w:hint="cs"/>
          <w:rtl/>
        </w:rPr>
        <w:t>-</w:t>
      </w:r>
      <w:r w:rsidR="008A0338" w:rsidRPr="002415CB">
        <w:rPr>
          <w:rFonts w:cs="Arial"/>
          <w:rtl/>
        </w:rPr>
        <w:t xml:space="preserve"> ויחתוך הסופר הקלף למדת הגט שלא יצטרך לחתוך עוד ממנו</w:t>
      </w:r>
      <w:r w:rsidR="00EE378F">
        <w:rPr>
          <w:rStyle w:val="a7"/>
          <w:rFonts w:cs="Arial"/>
          <w:rtl/>
        </w:rPr>
        <w:footnoteReference w:id="450"/>
      </w:r>
      <w:r w:rsidR="002F541D" w:rsidRPr="002415CB">
        <w:rPr>
          <w:rFonts w:cs="Arial" w:hint="cs"/>
          <w:rtl/>
        </w:rPr>
        <w:t>.</w:t>
      </w:r>
      <w:r w:rsidR="008A0338" w:rsidRPr="002415CB">
        <w:rPr>
          <w:rFonts w:cs="Arial"/>
          <w:rtl/>
        </w:rPr>
        <w:t xml:space="preserve"> </w:t>
      </w:r>
      <w:r w:rsidR="00DD1DEB" w:rsidRPr="00DD1DEB">
        <w:rPr>
          <w:rFonts w:hint="cs"/>
          <w:color w:val="E36C0A" w:themeColor="accent6" w:themeShade="BF"/>
          <w:rtl/>
        </w:rPr>
        <w:t>(וכ"פ בשו"ע)</w:t>
      </w:r>
    </w:p>
    <w:p w14:paraId="5B26B02A" w14:textId="50D6BD12" w:rsidR="006C4633" w:rsidRPr="006C4633" w:rsidRDefault="006C4633" w:rsidP="006C4633">
      <w:pPr>
        <w:ind w:left="360"/>
        <w:rPr>
          <w:u w:val="dotted"/>
        </w:rPr>
      </w:pPr>
      <w:r w:rsidRPr="006C4633">
        <w:rPr>
          <w:rFonts w:hint="cs"/>
          <w:u w:val="dotted"/>
          <w:rtl/>
        </w:rPr>
        <w:t>ומה הדין אם טעה וכתב קצת ואז נזכר שלא חתך:</w:t>
      </w:r>
    </w:p>
    <w:p w14:paraId="173C491B" w14:textId="13B0B845" w:rsidR="002F541D" w:rsidRDefault="00DD1DEB" w:rsidP="00A65C5F">
      <w:pPr>
        <w:pStyle w:val="ab"/>
        <w:numPr>
          <w:ilvl w:val="0"/>
          <w:numId w:val="44"/>
        </w:numPr>
      </w:pPr>
      <w:r>
        <w:rPr>
          <w:rFonts w:cs="Arial" w:hint="cs"/>
          <w:rtl/>
        </w:rPr>
        <w:t>ספר</w:t>
      </w:r>
      <w:r w:rsidR="00EA3689">
        <w:rPr>
          <w:rFonts w:cs="Arial"/>
          <w:rtl/>
        </w:rPr>
        <w:t xml:space="preserve"> התרומה</w:t>
      </w:r>
      <w:r w:rsidR="00EA3689" w:rsidRPr="00EA3689">
        <w:rPr>
          <w:rFonts w:cs="Arial"/>
          <w:sz w:val="16"/>
          <w:szCs w:val="16"/>
          <w:rtl/>
        </w:rPr>
        <w:t xml:space="preserve"> (סי' קיא</w:t>
      </w:r>
      <w:r w:rsidR="00EA3689" w:rsidRPr="00EA3689">
        <w:rPr>
          <w:rFonts w:cs="Arial" w:hint="cs"/>
          <w:sz w:val="16"/>
          <w:szCs w:val="16"/>
          <w:rtl/>
        </w:rPr>
        <w:t>,</w:t>
      </w:r>
      <w:r w:rsidR="00EA3689" w:rsidRPr="00EA3689">
        <w:rPr>
          <w:rFonts w:cs="Arial"/>
          <w:sz w:val="16"/>
          <w:szCs w:val="16"/>
          <w:rtl/>
        </w:rPr>
        <w:t xml:space="preserve"> </w:t>
      </w:r>
      <w:r w:rsidR="00EA3689" w:rsidRPr="00EA3689">
        <w:rPr>
          <w:rFonts w:cs="Arial" w:hint="cs"/>
          <w:sz w:val="16"/>
          <w:szCs w:val="16"/>
          <w:rtl/>
        </w:rPr>
        <w:t>הביאוהו הג"א [פ"ב</w:t>
      </w:r>
      <w:r w:rsidR="00EA3689" w:rsidRPr="00EA3689">
        <w:rPr>
          <w:rFonts w:cs="Arial"/>
          <w:sz w:val="16"/>
          <w:szCs w:val="16"/>
          <w:rtl/>
        </w:rPr>
        <w:t xml:space="preserve"> סכ"ב</w:t>
      </w:r>
      <w:r w:rsidR="00EA3689" w:rsidRPr="00EA3689">
        <w:rPr>
          <w:rFonts w:cs="Arial" w:hint="cs"/>
          <w:sz w:val="16"/>
          <w:szCs w:val="16"/>
          <w:rtl/>
        </w:rPr>
        <w:t>]</w:t>
      </w:r>
      <w:r w:rsidR="00EA3689" w:rsidRPr="00EA3689">
        <w:rPr>
          <w:rFonts w:cs="Arial"/>
          <w:sz w:val="16"/>
          <w:szCs w:val="16"/>
          <w:rtl/>
        </w:rPr>
        <w:t xml:space="preserve"> והגה</w:t>
      </w:r>
      <w:r w:rsidR="00EA3689" w:rsidRPr="00EA3689">
        <w:rPr>
          <w:rFonts w:cs="Arial" w:hint="cs"/>
          <w:sz w:val="16"/>
          <w:szCs w:val="16"/>
          <w:rtl/>
        </w:rPr>
        <w:t>"מ</w:t>
      </w:r>
      <w:r w:rsidR="00EA3689" w:rsidRPr="00EA3689">
        <w:rPr>
          <w:rFonts w:cs="Arial"/>
          <w:sz w:val="16"/>
          <w:szCs w:val="16"/>
          <w:rtl/>
        </w:rPr>
        <w:t xml:space="preserve"> </w:t>
      </w:r>
      <w:r w:rsidR="00EA3689" w:rsidRPr="00EA3689">
        <w:rPr>
          <w:rFonts w:cs="Arial" w:hint="cs"/>
          <w:sz w:val="16"/>
          <w:szCs w:val="16"/>
          <w:rtl/>
        </w:rPr>
        <w:t>[</w:t>
      </w:r>
      <w:r w:rsidR="00EA3689" w:rsidRPr="00EA3689">
        <w:rPr>
          <w:rFonts w:cs="Arial"/>
          <w:sz w:val="16"/>
          <w:szCs w:val="16"/>
          <w:rtl/>
        </w:rPr>
        <w:t>פ</w:t>
      </w:r>
      <w:r w:rsidR="00EA3689" w:rsidRPr="00EA3689">
        <w:rPr>
          <w:rFonts w:cs="Arial" w:hint="cs"/>
          <w:sz w:val="16"/>
          <w:szCs w:val="16"/>
          <w:rtl/>
        </w:rPr>
        <w:t>"</w:t>
      </w:r>
      <w:r w:rsidR="00EA3689" w:rsidRPr="00EA3689">
        <w:rPr>
          <w:rFonts w:cs="Arial"/>
          <w:sz w:val="16"/>
          <w:szCs w:val="16"/>
          <w:rtl/>
        </w:rPr>
        <w:t>א אות א</w:t>
      </w:r>
      <w:r w:rsidR="00EA3689" w:rsidRPr="00EA3689">
        <w:rPr>
          <w:rFonts w:cs="Arial" w:hint="cs"/>
          <w:sz w:val="16"/>
          <w:szCs w:val="16"/>
          <w:rtl/>
        </w:rPr>
        <w:t>]</w:t>
      </w:r>
      <w:r w:rsidR="00EA3689" w:rsidRPr="00EA3689">
        <w:rPr>
          <w:rFonts w:cs="Arial"/>
          <w:sz w:val="16"/>
          <w:szCs w:val="16"/>
          <w:rtl/>
        </w:rPr>
        <w:t>)</w:t>
      </w:r>
      <w:r w:rsidR="00EA3689">
        <w:rPr>
          <w:rFonts w:cs="Arial" w:hint="cs"/>
          <w:rtl/>
        </w:rPr>
        <w:t xml:space="preserve"> ו</w:t>
      </w:r>
      <w:r w:rsidR="006C4633">
        <w:rPr>
          <w:rFonts w:cs="Arial" w:hint="cs"/>
          <w:rtl/>
        </w:rPr>
        <w:t>טור</w:t>
      </w:r>
      <w:r w:rsidR="00A82951">
        <w:rPr>
          <w:rFonts w:cs="Arial" w:hint="cs"/>
          <w:rtl/>
        </w:rPr>
        <w:t>-</w:t>
      </w:r>
      <w:r w:rsidR="006C4633">
        <w:rPr>
          <w:rFonts w:cs="Arial" w:hint="cs"/>
          <w:rtl/>
        </w:rPr>
        <w:t xml:space="preserve"> </w:t>
      </w:r>
      <w:r w:rsidR="008A0338" w:rsidRPr="002415CB">
        <w:rPr>
          <w:rFonts w:cs="Arial"/>
          <w:rtl/>
        </w:rPr>
        <w:t xml:space="preserve">לפיכך </w:t>
      </w:r>
      <w:r w:rsidR="006C4633">
        <w:rPr>
          <w:rFonts w:cs="Arial" w:hint="cs"/>
          <w:sz w:val="16"/>
          <w:szCs w:val="16"/>
          <w:rtl/>
        </w:rPr>
        <w:t xml:space="preserve">{היינו </w:t>
      </w:r>
      <w:r w:rsidR="00EA3689">
        <w:rPr>
          <w:rFonts w:cs="Arial" w:hint="cs"/>
          <w:sz w:val="16"/>
          <w:szCs w:val="16"/>
          <w:rtl/>
        </w:rPr>
        <w:t>כיון דלכתחילה יש לעשות כנ"ל</w:t>
      </w:r>
      <w:r w:rsidR="006C4633">
        <w:rPr>
          <w:rFonts w:cs="Arial" w:hint="cs"/>
          <w:sz w:val="16"/>
          <w:szCs w:val="16"/>
          <w:rtl/>
        </w:rPr>
        <w:t xml:space="preserve">} </w:t>
      </w:r>
      <w:r w:rsidR="008A0338" w:rsidRPr="002415CB">
        <w:rPr>
          <w:rFonts w:cs="Arial"/>
          <w:rtl/>
        </w:rPr>
        <w:t>אם טעה הסופר בגט לאחר שכתב קצתו</w:t>
      </w:r>
      <w:r w:rsidR="005A488C">
        <w:rPr>
          <w:rFonts w:cs="Arial" w:hint="cs"/>
          <w:rtl/>
        </w:rPr>
        <w:t>,</w:t>
      </w:r>
      <w:r w:rsidR="008A0338" w:rsidRPr="002415CB">
        <w:rPr>
          <w:rFonts w:cs="Arial"/>
          <w:rtl/>
        </w:rPr>
        <w:t xml:space="preserve"> ומתחיל באותה הקלף</w:t>
      </w:r>
      <w:r w:rsidR="005A488C">
        <w:rPr>
          <w:rFonts w:cs="Arial" w:hint="cs"/>
          <w:rtl/>
        </w:rPr>
        <w:t>,</w:t>
      </w:r>
      <w:r w:rsidR="008A0338" w:rsidRPr="002415CB">
        <w:rPr>
          <w:rFonts w:cs="Arial"/>
          <w:rtl/>
        </w:rPr>
        <w:t xml:space="preserve"> יחתוך תחילה המיעוט שכתב</w:t>
      </w:r>
      <w:r w:rsidR="00EA3689">
        <w:rPr>
          <w:rFonts w:cs="Arial" w:hint="cs"/>
          <w:sz w:val="16"/>
          <w:szCs w:val="16"/>
          <w:rtl/>
        </w:rPr>
        <w:t xml:space="preserve"> (ל' הטור)</w:t>
      </w:r>
      <w:r w:rsidR="002F541D" w:rsidRPr="002415CB">
        <w:rPr>
          <w:rFonts w:cs="Arial" w:hint="cs"/>
          <w:rtl/>
        </w:rPr>
        <w:t>.</w:t>
      </w:r>
      <w:r w:rsidR="008A0338" w:rsidRPr="002415CB">
        <w:rPr>
          <w:rFonts w:cs="Arial"/>
          <w:rtl/>
        </w:rPr>
        <w:t xml:space="preserve"> </w:t>
      </w:r>
      <w:r w:rsidRPr="00DD1DEB">
        <w:rPr>
          <w:rFonts w:hint="cs"/>
          <w:color w:val="E36C0A" w:themeColor="accent6" w:themeShade="BF"/>
          <w:rtl/>
        </w:rPr>
        <w:t>(וכ"פ בשו"ע)</w:t>
      </w:r>
    </w:p>
    <w:p w14:paraId="28E3379F" w14:textId="18CFDC5C" w:rsidR="006C4633" w:rsidRPr="00EA3689" w:rsidRDefault="00EA3689" w:rsidP="00EA3689">
      <w:pPr>
        <w:rPr>
          <w:u w:val="single"/>
        </w:rPr>
      </w:pPr>
      <w:r w:rsidRPr="00EA3689">
        <w:rPr>
          <w:rFonts w:cs="Arial"/>
          <w:u w:val="single"/>
          <w:rtl/>
        </w:rPr>
        <w:t>כתב</w:t>
      </w:r>
      <w:r w:rsidRPr="00EA3689">
        <w:rPr>
          <w:rFonts w:cs="Arial" w:hint="cs"/>
          <w:u w:val="single"/>
          <w:rtl/>
        </w:rPr>
        <w:t xml:space="preserve"> הגט</w:t>
      </w:r>
      <w:r w:rsidRPr="00EA3689">
        <w:rPr>
          <w:rFonts w:cs="Arial"/>
          <w:u w:val="single"/>
          <w:rtl/>
        </w:rPr>
        <w:t xml:space="preserve"> על ספר שיש </w:t>
      </w:r>
      <w:r w:rsidRPr="00EA3689">
        <w:rPr>
          <w:rFonts w:cs="Arial" w:hint="cs"/>
          <w:u w:val="single"/>
          <w:rtl/>
        </w:rPr>
        <w:t xml:space="preserve">בו </w:t>
      </w:r>
      <w:r w:rsidRPr="00EA3689">
        <w:rPr>
          <w:rFonts w:cs="Arial"/>
          <w:u w:val="single"/>
          <w:rtl/>
        </w:rPr>
        <w:t>ענינים אחרים</w:t>
      </w:r>
      <w:r w:rsidRPr="00EA3689">
        <w:rPr>
          <w:rFonts w:hint="cs"/>
          <w:u w:val="single"/>
          <w:rtl/>
        </w:rPr>
        <w:t xml:space="preserve"> בתוכו:</w:t>
      </w:r>
    </w:p>
    <w:p w14:paraId="50E55BD7" w14:textId="2B66FC87" w:rsidR="008A0338" w:rsidRDefault="00EA3689" w:rsidP="00A65C5F">
      <w:pPr>
        <w:pStyle w:val="ab"/>
        <w:numPr>
          <w:ilvl w:val="0"/>
          <w:numId w:val="41"/>
        </w:numPr>
      </w:pPr>
      <w:r>
        <w:rPr>
          <w:rFonts w:cs="Arial" w:hint="cs"/>
          <w:rtl/>
        </w:rPr>
        <w:t>בהעי"ט</w:t>
      </w:r>
      <w:r>
        <w:rPr>
          <w:rFonts w:cs="Arial" w:hint="cs"/>
          <w:sz w:val="16"/>
          <w:szCs w:val="16"/>
          <w:rtl/>
        </w:rPr>
        <w:t xml:space="preserve"> </w:t>
      </w:r>
      <w:r w:rsidRPr="00EA3689">
        <w:rPr>
          <w:rFonts w:cs="Arial" w:hint="cs"/>
          <w:sz w:val="16"/>
          <w:szCs w:val="16"/>
          <w:rtl/>
        </w:rPr>
        <w:t>(</w:t>
      </w:r>
      <w:r w:rsidRPr="00EA3689">
        <w:rPr>
          <w:rFonts w:cs="Arial"/>
          <w:sz w:val="16"/>
          <w:szCs w:val="16"/>
          <w:rtl/>
        </w:rPr>
        <w:t>מאמר ז שם ע"ג</w:t>
      </w:r>
      <w:r>
        <w:rPr>
          <w:rFonts w:cs="Arial" w:hint="cs"/>
          <w:sz w:val="16"/>
          <w:szCs w:val="16"/>
          <w:rtl/>
        </w:rPr>
        <w:t>, כ"כ הטור בשמו)</w:t>
      </w:r>
      <w:r w:rsidR="00A82951">
        <w:rPr>
          <w:rFonts w:cs="Arial" w:hint="cs"/>
          <w:rtl/>
        </w:rPr>
        <w:t>-</w:t>
      </w:r>
      <w:r w:rsidR="008A0338" w:rsidRPr="00FE510D">
        <w:rPr>
          <w:rFonts w:cs="Arial"/>
          <w:rtl/>
        </w:rPr>
        <w:t xml:space="preserve"> כתבו על ספר אע</w:t>
      </w:r>
      <w:r>
        <w:rPr>
          <w:rFonts w:cs="Arial" w:hint="cs"/>
          <w:rtl/>
        </w:rPr>
        <w:t>"</w:t>
      </w:r>
      <w:r w:rsidR="008A0338" w:rsidRPr="00FE510D">
        <w:rPr>
          <w:rFonts w:cs="Arial"/>
          <w:rtl/>
        </w:rPr>
        <w:t xml:space="preserve">פ שיש ענינים אחרים בתוכו ונתן לה הכל </w:t>
      </w:r>
      <w:r w:rsidR="00A82951">
        <w:rPr>
          <w:rFonts w:cs="Arial" w:hint="cs"/>
          <w:rtl/>
        </w:rPr>
        <w:t>-</w:t>
      </w:r>
      <w:r w:rsidR="002F541D">
        <w:rPr>
          <w:rFonts w:cs="Arial" w:hint="cs"/>
          <w:rtl/>
        </w:rPr>
        <w:t xml:space="preserve"> </w:t>
      </w:r>
      <w:r w:rsidR="008A0338" w:rsidRPr="00FE510D">
        <w:rPr>
          <w:rFonts w:cs="Arial"/>
          <w:rtl/>
        </w:rPr>
        <w:t>כשר</w:t>
      </w:r>
      <w:r>
        <w:rPr>
          <w:rStyle w:val="a7"/>
          <w:rFonts w:cs="Arial"/>
          <w:rtl/>
        </w:rPr>
        <w:footnoteReference w:id="451"/>
      </w:r>
      <w:r w:rsidR="008A0338">
        <w:rPr>
          <w:rFonts w:cs="Arial" w:hint="cs"/>
          <w:rtl/>
        </w:rPr>
        <w:t>.</w:t>
      </w:r>
      <w:r w:rsidR="008A0338" w:rsidRPr="00FE510D">
        <w:rPr>
          <w:rFonts w:cs="Arial"/>
          <w:rtl/>
        </w:rPr>
        <w:t xml:space="preserve"> </w:t>
      </w:r>
      <w:r w:rsidR="00DD1DEB" w:rsidRPr="00DD1DEB">
        <w:rPr>
          <w:rFonts w:hint="cs"/>
          <w:color w:val="00B0F0"/>
          <w:rtl/>
        </w:rPr>
        <w:t>(וכ"פ הרמ"א)</w:t>
      </w:r>
    </w:p>
    <w:p w14:paraId="0A66A45C" w14:textId="4D37A374" w:rsidR="00F67E23" w:rsidRPr="00F67E23" w:rsidRDefault="00F67E23" w:rsidP="00F67E23">
      <w:pPr>
        <w:rPr>
          <w:u w:val="single"/>
        </w:rPr>
      </w:pPr>
      <w:r w:rsidRPr="00F67E23">
        <w:rPr>
          <w:rFonts w:hint="cs"/>
          <w:u w:val="single"/>
          <w:rtl/>
        </w:rPr>
        <w:t>חתיכת הגט קודם השרטוט:</w:t>
      </w:r>
      <w:r>
        <w:rPr>
          <w:rFonts w:cs="Arial" w:hint="cs"/>
          <w:rtl/>
        </w:rPr>
        <w:t xml:space="preserve"> </w:t>
      </w:r>
      <w:r w:rsidRPr="00F67E23">
        <w:rPr>
          <w:rFonts w:cs="Arial" w:hint="cs"/>
          <w:sz w:val="16"/>
          <w:szCs w:val="16"/>
          <w:rtl/>
        </w:rPr>
        <w:t>(</w:t>
      </w:r>
      <w:r w:rsidR="000C7A12" w:rsidRPr="00F67E23">
        <w:rPr>
          <w:rFonts w:cs="Arial" w:hint="cs"/>
          <w:sz w:val="16"/>
          <w:szCs w:val="16"/>
          <w:rtl/>
        </w:rPr>
        <w:t xml:space="preserve">דרכ"מ אות ב) </w:t>
      </w:r>
    </w:p>
    <w:p w14:paraId="1337619D" w14:textId="1DE9C8C6" w:rsidR="000C7A12" w:rsidRPr="008A0338" w:rsidRDefault="000C7A12" w:rsidP="00A65C5F">
      <w:pPr>
        <w:pStyle w:val="ab"/>
        <w:numPr>
          <w:ilvl w:val="0"/>
          <w:numId w:val="41"/>
        </w:numPr>
      </w:pPr>
      <w:r w:rsidRPr="00FE510D">
        <w:rPr>
          <w:rFonts w:cs="Arial"/>
          <w:rtl/>
        </w:rPr>
        <w:t xml:space="preserve">סדר גיטין </w:t>
      </w:r>
      <w:r w:rsidR="00F67E23" w:rsidRPr="00F67E23">
        <w:rPr>
          <w:rFonts w:cs="Arial" w:hint="cs"/>
          <w:sz w:val="16"/>
          <w:szCs w:val="16"/>
          <w:rtl/>
        </w:rPr>
        <w:t>(</w:t>
      </w:r>
      <w:r w:rsidRPr="00F67E23">
        <w:rPr>
          <w:rFonts w:cs="Arial"/>
          <w:sz w:val="16"/>
          <w:szCs w:val="16"/>
          <w:rtl/>
        </w:rPr>
        <w:t>סי' ד סעיף א)</w:t>
      </w:r>
      <w:r w:rsidR="00A82951">
        <w:rPr>
          <w:rFonts w:cs="Arial" w:hint="cs"/>
          <w:rtl/>
        </w:rPr>
        <w:t>-</w:t>
      </w:r>
      <w:r w:rsidRPr="00FE510D">
        <w:rPr>
          <w:rFonts w:cs="Arial"/>
          <w:rtl/>
        </w:rPr>
        <w:t xml:space="preserve"> דגם אותם נקבים שעושה במחוגה לשרטט על ידן יחתוך קודם הכתיבה.</w:t>
      </w:r>
      <w:r w:rsidR="00F67E23">
        <w:rPr>
          <w:rFonts w:cs="Arial" w:hint="cs"/>
          <w:rtl/>
        </w:rPr>
        <w:t>..</w:t>
      </w:r>
      <w:r w:rsidRPr="00FE510D">
        <w:rPr>
          <w:rFonts w:cs="Arial"/>
          <w:rtl/>
        </w:rPr>
        <w:t xml:space="preserve"> </w:t>
      </w:r>
      <w:r w:rsidR="00F67E23">
        <w:rPr>
          <w:rFonts w:cs="Arial" w:hint="cs"/>
          <w:rtl/>
        </w:rPr>
        <w:t>ו</w:t>
      </w:r>
      <w:r w:rsidRPr="00FE510D">
        <w:rPr>
          <w:rFonts w:cs="Arial"/>
          <w:rtl/>
        </w:rPr>
        <w:t>יחתוך מדת שיעורו קודם שיתחיל לשרטט</w:t>
      </w:r>
      <w:r w:rsidR="00754C72">
        <w:rPr>
          <w:rFonts w:cs="Arial" w:hint="cs"/>
          <w:rtl/>
        </w:rPr>
        <w:t>,</w:t>
      </w:r>
      <w:r w:rsidRPr="00FE510D">
        <w:rPr>
          <w:rFonts w:cs="Arial"/>
          <w:rtl/>
        </w:rPr>
        <w:t xml:space="preserve"> דשרטוט בכלל הכתיבה הוא</w:t>
      </w:r>
      <w:r w:rsidR="00754C72">
        <w:rPr>
          <w:rFonts w:cs="Arial" w:hint="cs"/>
          <w:rtl/>
        </w:rPr>
        <w:t>,</w:t>
      </w:r>
      <w:r w:rsidRPr="00FE510D">
        <w:rPr>
          <w:rFonts w:cs="Arial"/>
          <w:rtl/>
        </w:rPr>
        <w:t xml:space="preserve"> ולכן לא יהא מחוסר דבר אחר השרטוט</w:t>
      </w:r>
      <w:r w:rsidR="00F67E23">
        <w:rPr>
          <w:rFonts w:cs="Arial" w:hint="cs"/>
          <w:rtl/>
        </w:rPr>
        <w:t>.</w:t>
      </w:r>
      <w:r w:rsidR="00DD1DEB">
        <w:rPr>
          <w:rFonts w:hint="cs"/>
          <w:rtl/>
        </w:rPr>
        <w:t xml:space="preserve"> </w:t>
      </w:r>
      <w:r w:rsidR="00DD1DEB" w:rsidRPr="00DD1DEB">
        <w:rPr>
          <w:rFonts w:hint="cs"/>
          <w:color w:val="00B0F0"/>
          <w:rtl/>
        </w:rPr>
        <w:t>(וכ"פ הרמ"א)</w:t>
      </w:r>
    </w:p>
    <w:p w14:paraId="6183B5B0"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01C52F6" w14:textId="19FB3EEE" w:rsidR="00C77C34" w:rsidRDefault="00C77C34" w:rsidP="00C77C34">
      <w:pPr>
        <w:rPr>
          <w:rFonts w:cs="Arial"/>
          <w:rtl/>
        </w:rPr>
      </w:pPr>
      <w:r w:rsidRPr="00C77C34">
        <w:rPr>
          <w:rFonts w:cs="Arial"/>
          <w:rtl/>
        </w:rPr>
        <w:lastRenderedPageBreak/>
        <w:t>טוב לחתוך הנייר למדת הגט, שלא יצטרך לחתוך ממנו אחר כתיבה</w:t>
      </w:r>
      <w:r w:rsidR="006249AD">
        <w:rPr>
          <w:rStyle w:val="a7"/>
          <w:rFonts w:cs="Arial"/>
          <w:rtl/>
        </w:rPr>
        <w:footnoteReference w:id="452"/>
      </w:r>
      <w:r w:rsidRPr="00C77C34">
        <w:rPr>
          <w:rFonts w:cs="Arial"/>
          <w:rtl/>
        </w:rPr>
        <w:t xml:space="preserve">. ואם טעה הסופר לאחר שכתב קצתו ורוצה להתחיל באותו נייר עצמו, יחתוך תחילה המועט שכתב. </w:t>
      </w:r>
      <w:r w:rsidRPr="008A0338">
        <w:rPr>
          <w:rFonts w:cs="Arial"/>
          <w:sz w:val="18"/>
          <w:szCs w:val="18"/>
          <w:rtl/>
        </w:rPr>
        <w:t>הגה: ואם כתבו על נייר גדול, וחתכו לאחר הכתיבה</w:t>
      </w:r>
      <w:r w:rsidR="006249AD">
        <w:rPr>
          <w:rStyle w:val="a7"/>
          <w:rFonts w:cs="Arial"/>
          <w:sz w:val="18"/>
          <w:szCs w:val="18"/>
          <w:rtl/>
        </w:rPr>
        <w:footnoteReference w:id="453"/>
      </w:r>
      <w:r w:rsidRPr="008A0338">
        <w:rPr>
          <w:rFonts w:cs="Arial"/>
          <w:sz w:val="18"/>
          <w:szCs w:val="18"/>
          <w:rtl/>
        </w:rPr>
        <w:t xml:space="preserve"> קודם הנתינה, פסול</w:t>
      </w:r>
      <w:r w:rsidR="006249AD">
        <w:rPr>
          <w:rStyle w:val="a7"/>
          <w:rFonts w:cs="Arial"/>
          <w:sz w:val="18"/>
          <w:szCs w:val="18"/>
          <w:rtl/>
        </w:rPr>
        <w:footnoteReference w:id="454"/>
      </w:r>
      <w:r w:rsidR="006249AD">
        <w:rPr>
          <w:rFonts w:cs="Arial" w:hint="cs"/>
          <w:sz w:val="18"/>
          <w:szCs w:val="18"/>
          <w:rtl/>
        </w:rPr>
        <w:t xml:space="preserve"> (ר"ת ורא"ש)</w:t>
      </w:r>
      <w:r w:rsidRPr="008A0338">
        <w:rPr>
          <w:rFonts w:cs="Arial"/>
          <w:sz w:val="18"/>
          <w:szCs w:val="18"/>
          <w:rtl/>
        </w:rPr>
        <w:t>. אבל אם חתך ממנו מעט, כדי לייפותו, לא מיקרי קציצה (</w:t>
      </w:r>
      <w:r w:rsidR="00DD1DEB">
        <w:rPr>
          <w:rFonts w:cs="Arial" w:hint="cs"/>
          <w:sz w:val="18"/>
          <w:szCs w:val="18"/>
          <w:rtl/>
        </w:rPr>
        <w:t>ר"ת ו</w:t>
      </w:r>
      <w:r w:rsidRPr="008A0338">
        <w:rPr>
          <w:rFonts w:cs="Arial"/>
          <w:sz w:val="18"/>
          <w:szCs w:val="18"/>
          <w:rtl/>
        </w:rPr>
        <w:t>רא"ש). וכל שלא חתך ממנו הרבה יותר מכתיבת הגט, הוי כלייפותו (כ</w:t>
      </w:r>
      <w:r w:rsidR="00DD1DEB">
        <w:rPr>
          <w:rFonts w:cs="Arial" w:hint="cs"/>
          <w:sz w:val="18"/>
          <w:szCs w:val="18"/>
          <w:rtl/>
        </w:rPr>
        <w:t>"</w:t>
      </w:r>
      <w:r w:rsidRPr="008A0338">
        <w:rPr>
          <w:rFonts w:cs="Arial"/>
          <w:sz w:val="18"/>
          <w:szCs w:val="18"/>
          <w:rtl/>
        </w:rPr>
        <w:t>מ בספר התרומ</w:t>
      </w:r>
      <w:r w:rsidR="00DD1DEB">
        <w:rPr>
          <w:rFonts w:cs="Arial" w:hint="cs"/>
          <w:sz w:val="18"/>
          <w:szCs w:val="18"/>
          <w:rtl/>
        </w:rPr>
        <w:t>ה</w:t>
      </w:r>
      <w:r w:rsidRPr="008A0338">
        <w:rPr>
          <w:rFonts w:cs="Arial"/>
          <w:sz w:val="18"/>
          <w:szCs w:val="18"/>
          <w:rtl/>
        </w:rPr>
        <w:t>). אבל לכתחלה חותכין ממנו הכל קודם הכתיבה</w:t>
      </w:r>
      <w:r w:rsidR="00754C72">
        <w:rPr>
          <w:rFonts w:cs="Arial" w:hint="cs"/>
          <w:sz w:val="18"/>
          <w:szCs w:val="18"/>
          <w:rtl/>
        </w:rPr>
        <w:t xml:space="preserve"> (רא"ש)</w:t>
      </w:r>
      <w:r w:rsidRPr="008A0338">
        <w:rPr>
          <w:rFonts w:cs="Arial"/>
          <w:sz w:val="18"/>
          <w:szCs w:val="18"/>
          <w:rtl/>
        </w:rPr>
        <w:t>, אפילו הנקבים שעושין כדי לשרטט על ידן, ושאר הדברים, יחתוך הכל קודם השרטוט, דהשרטוט צורך כתיבה הוא (סדר גיטין). כתבו על ספר, אע</w:t>
      </w:r>
      <w:r w:rsidR="00F67E23">
        <w:rPr>
          <w:rFonts w:cs="Arial" w:hint="cs"/>
          <w:sz w:val="18"/>
          <w:szCs w:val="18"/>
          <w:rtl/>
        </w:rPr>
        <w:t>"</w:t>
      </w:r>
      <w:r w:rsidRPr="008A0338">
        <w:rPr>
          <w:rFonts w:cs="Arial"/>
          <w:sz w:val="18"/>
          <w:szCs w:val="18"/>
          <w:rtl/>
        </w:rPr>
        <w:t>פ שיש בו ענינים אחרים, ונתן לה הכל, כשר (טור בשם העיטור).</w:t>
      </w:r>
      <w:r w:rsidRPr="00C77C34">
        <w:rPr>
          <w:rFonts w:cs="Arial"/>
          <w:rtl/>
        </w:rPr>
        <w:t xml:space="preserve"> </w:t>
      </w:r>
    </w:p>
    <w:p w14:paraId="62D2C59B" w14:textId="77777777" w:rsidR="00584E96" w:rsidRPr="00C77C34" w:rsidRDefault="00584E96" w:rsidP="006249AD">
      <w:pPr>
        <w:rPr>
          <w:rFonts w:cs="Arial"/>
          <w:rtl/>
        </w:rPr>
      </w:pPr>
    </w:p>
    <w:p w14:paraId="79A76AB9" w14:textId="3DA7EAB6" w:rsidR="00C77C34" w:rsidRDefault="00C77C34" w:rsidP="00786DE6">
      <w:pPr>
        <w:pStyle w:val="2"/>
        <w:rPr>
          <w:rtl/>
        </w:rPr>
      </w:pPr>
      <w:r w:rsidRPr="00C77C34">
        <w:rPr>
          <w:rtl/>
        </w:rPr>
        <w:t>סעיף ד</w:t>
      </w:r>
      <w:r w:rsidR="00584E96">
        <w:rPr>
          <w:rFonts w:hint="cs"/>
          <w:rtl/>
        </w:rPr>
        <w:t>:</w:t>
      </w:r>
      <w:r w:rsidR="007428F1">
        <w:rPr>
          <w:rFonts w:hint="cs"/>
          <w:rtl/>
        </w:rPr>
        <w:t xml:space="preserve"> גט על דבר מחובר.</w:t>
      </w:r>
    </w:p>
    <w:p w14:paraId="558D58CC" w14:textId="533E30DA" w:rsidR="00D33DB8" w:rsidRDefault="00D33DB8" w:rsidP="00D33DB8">
      <w:pPr>
        <w:rPr>
          <w:rFonts w:cs="Arial"/>
          <w:rtl/>
        </w:rPr>
      </w:pPr>
      <w:r w:rsidRPr="00AB4A3D">
        <w:rPr>
          <w:rFonts w:cs="Arial" w:hint="cs"/>
          <w:b/>
          <w:bCs/>
          <w:rtl/>
        </w:rPr>
        <w:t xml:space="preserve">גיטין </w:t>
      </w:r>
      <w:r w:rsidRPr="00AB4A3D">
        <w:rPr>
          <w:rFonts w:cs="Arial" w:hint="cs"/>
          <w:b/>
          <w:bCs/>
          <w:sz w:val="16"/>
          <w:szCs w:val="16"/>
          <w:rtl/>
        </w:rPr>
        <w:t>(פ"ב)</w:t>
      </w:r>
      <w:r w:rsidRPr="00AB4A3D">
        <w:rPr>
          <w:rFonts w:cs="Arial" w:hint="cs"/>
          <w:b/>
          <w:bCs/>
          <w:rtl/>
        </w:rPr>
        <w:t xml:space="preserve"> </w:t>
      </w:r>
      <w:r>
        <w:rPr>
          <w:rFonts w:cs="Arial" w:hint="cs"/>
          <w:b/>
          <w:bCs/>
          <w:rtl/>
        </w:rPr>
        <w:t>כא</w:t>
      </w:r>
      <w:r w:rsidRPr="00AB4A3D">
        <w:rPr>
          <w:rFonts w:cs="Arial" w:hint="cs"/>
          <w:b/>
          <w:bCs/>
          <w:rtl/>
        </w:rPr>
        <w:t xml:space="preserve"> ע"</w:t>
      </w:r>
      <w:r>
        <w:rPr>
          <w:rFonts w:cs="Arial" w:hint="cs"/>
          <w:b/>
          <w:bCs/>
          <w:rtl/>
        </w:rPr>
        <w:t>ב</w:t>
      </w:r>
      <w:r w:rsidRPr="00AB4A3D">
        <w:rPr>
          <w:rFonts w:cs="Arial" w:hint="cs"/>
          <w:b/>
          <w:bCs/>
          <w:rtl/>
        </w:rPr>
        <w:t>:</w:t>
      </w:r>
      <w:r>
        <w:rPr>
          <w:rFonts w:cs="Arial" w:hint="cs"/>
          <w:rtl/>
        </w:rPr>
        <w:t xml:space="preserve"> </w:t>
      </w:r>
      <w:r w:rsidRPr="009726C1">
        <w:rPr>
          <w:rFonts w:cs="Arial"/>
          <w:u w:val="double"/>
          <w:rtl/>
        </w:rPr>
        <w:t>מתני'</w:t>
      </w:r>
      <w:r>
        <w:rPr>
          <w:rFonts w:cs="Arial" w:hint="cs"/>
          <w:rtl/>
        </w:rPr>
        <w:t>:</w:t>
      </w:r>
      <w:r w:rsidRPr="00611698">
        <w:rPr>
          <w:rFonts w:cs="Arial"/>
          <w:rtl/>
        </w:rPr>
        <w:t xml:space="preserve"> אין כותבין במחובר לקרקע</w:t>
      </w:r>
      <w:r>
        <w:rPr>
          <w:rStyle w:val="a7"/>
          <w:rFonts w:cs="Arial"/>
          <w:rtl/>
        </w:rPr>
        <w:footnoteReference w:id="455"/>
      </w:r>
      <w:r w:rsidRPr="00611698">
        <w:rPr>
          <w:rFonts w:cs="Arial"/>
          <w:rtl/>
        </w:rPr>
        <w:t xml:space="preserve">. כתבו במחובר, תלשו וחתמו ונתנו לה </w:t>
      </w:r>
      <w:r w:rsidR="00A82951">
        <w:rPr>
          <w:rFonts w:cs="Arial" w:hint="cs"/>
          <w:rtl/>
        </w:rPr>
        <w:t>-</w:t>
      </w:r>
      <w:r w:rsidRPr="00611698">
        <w:rPr>
          <w:rFonts w:cs="Arial"/>
          <w:rtl/>
        </w:rPr>
        <w:t xml:space="preserve"> כשר</w:t>
      </w:r>
      <w:r>
        <w:rPr>
          <w:rFonts w:cs="Arial" w:hint="cs"/>
          <w:rtl/>
        </w:rPr>
        <w:t>.</w:t>
      </w:r>
      <w:r w:rsidRPr="00611698">
        <w:rPr>
          <w:rFonts w:cs="Arial"/>
          <w:rtl/>
        </w:rPr>
        <w:t xml:space="preserve"> </w:t>
      </w:r>
      <w:r w:rsidRPr="00E27933">
        <w:rPr>
          <w:rFonts w:cs="Arial"/>
          <w:u w:val="single"/>
          <w:rtl/>
        </w:rPr>
        <w:t>רבי יהודה</w:t>
      </w:r>
      <w:r w:rsidRPr="00611698">
        <w:rPr>
          <w:rFonts w:cs="Arial"/>
          <w:rtl/>
        </w:rPr>
        <w:t xml:space="preserve"> פוסל, עד שתהא כתיבתו וחתימתו בתלוש.</w:t>
      </w:r>
      <w:r w:rsidRPr="00D07A00">
        <w:rPr>
          <w:rFonts w:cs="Arial"/>
          <w:rtl/>
        </w:rPr>
        <w:t xml:space="preserve"> </w:t>
      </w:r>
      <w:r>
        <w:rPr>
          <w:rFonts w:cs="Arial" w:hint="cs"/>
          <w:rtl/>
        </w:rPr>
        <w:t xml:space="preserve">      </w:t>
      </w:r>
      <w:r w:rsidRPr="00D07A00">
        <w:rPr>
          <w:rFonts w:cs="Arial"/>
          <w:u w:val="double"/>
          <w:rtl/>
        </w:rPr>
        <w:t>גמ'</w:t>
      </w:r>
      <w:r>
        <w:rPr>
          <w:rFonts w:cs="Arial" w:hint="cs"/>
          <w:rtl/>
        </w:rPr>
        <w:t>:</w:t>
      </w:r>
      <w:r w:rsidRPr="00D07A00">
        <w:rPr>
          <w:rFonts w:cs="Arial"/>
          <w:rtl/>
        </w:rPr>
        <w:t xml:space="preserve"> כתבו על המחובר, והאמרת רישא: אין כותבין</w:t>
      </w:r>
      <w:r>
        <w:rPr>
          <w:rStyle w:val="a7"/>
          <w:rFonts w:cs="Arial"/>
          <w:rtl/>
        </w:rPr>
        <w:footnoteReference w:id="456"/>
      </w:r>
      <w:r w:rsidRPr="00D07A00">
        <w:rPr>
          <w:rFonts w:cs="Arial"/>
          <w:rtl/>
        </w:rPr>
        <w:t xml:space="preserve">! </w:t>
      </w:r>
      <w:r w:rsidRPr="00D252B1">
        <w:rPr>
          <w:rFonts w:cs="Arial"/>
          <w:u w:val="single"/>
          <w:rtl/>
        </w:rPr>
        <w:t>אמר רב יהודה אמר שמואל</w:t>
      </w:r>
      <w:r w:rsidRPr="00D07A00">
        <w:rPr>
          <w:rFonts w:cs="Arial"/>
          <w:rtl/>
        </w:rPr>
        <w:t>: והוא ששייר מקום התורף</w:t>
      </w:r>
      <w:r>
        <w:rPr>
          <w:rFonts w:cs="Arial" w:hint="cs"/>
          <w:rtl/>
        </w:rPr>
        <w:t>.</w:t>
      </w:r>
      <w:r w:rsidRPr="00D07A00">
        <w:rPr>
          <w:rFonts w:cs="Arial"/>
          <w:rtl/>
        </w:rPr>
        <w:t xml:space="preserve"> </w:t>
      </w:r>
      <w:r w:rsidRPr="00D252B1">
        <w:rPr>
          <w:rFonts w:cs="Arial"/>
          <w:u w:val="single"/>
          <w:rtl/>
        </w:rPr>
        <w:t>וכן אמר ר' אלעזר א"ר אושעיא</w:t>
      </w:r>
      <w:r w:rsidRPr="00D07A00">
        <w:rPr>
          <w:rFonts w:cs="Arial"/>
          <w:rtl/>
        </w:rPr>
        <w:t>: והוא ששייר מקום התורף</w:t>
      </w:r>
      <w:r>
        <w:rPr>
          <w:rFonts w:cs="Arial" w:hint="cs"/>
          <w:rtl/>
        </w:rPr>
        <w:t>.</w:t>
      </w:r>
      <w:r w:rsidRPr="00D07A00">
        <w:rPr>
          <w:rFonts w:cs="Arial"/>
          <w:rtl/>
        </w:rPr>
        <w:t xml:space="preserve"> </w:t>
      </w:r>
      <w:r w:rsidRPr="00D252B1">
        <w:rPr>
          <w:rFonts w:cs="Arial"/>
          <w:u w:val="single"/>
          <w:rtl/>
        </w:rPr>
        <w:t>וכן אמר רבה בר בר חנה א"ר יוחנן</w:t>
      </w:r>
      <w:r w:rsidRPr="00D07A00">
        <w:rPr>
          <w:rFonts w:cs="Arial"/>
          <w:rtl/>
        </w:rPr>
        <w:t>: והוא ששייר מקום התורף</w:t>
      </w:r>
      <w:r>
        <w:rPr>
          <w:rFonts w:cs="Arial" w:hint="cs"/>
          <w:rtl/>
        </w:rPr>
        <w:t>,</w:t>
      </w:r>
      <w:r w:rsidRPr="00D07A00">
        <w:rPr>
          <w:rFonts w:cs="Arial"/>
          <w:rtl/>
        </w:rPr>
        <w:t xml:space="preserve"> ור' אלעזר היא, דאמר: עדי מסירה כרתי</w:t>
      </w:r>
      <w:r>
        <w:rPr>
          <w:rFonts w:cs="Arial" w:hint="cs"/>
          <w:rtl/>
        </w:rPr>
        <w:t>.</w:t>
      </w:r>
      <w:r w:rsidRPr="00D07A00">
        <w:rPr>
          <w:rFonts w:cs="Arial"/>
          <w:rtl/>
        </w:rPr>
        <w:t xml:space="preserve"> וה"ק: אין כותבין טופס שמא יכתוב תורף, כתבו לטופס ותלשו, כתבו לתורף ונתנו לה </w:t>
      </w:r>
      <w:r w:rsidR="00A82951">
        <w:rPr>
          <w:rFonts w:cs="Arial"/>
          <w:rtl/>
        </w:rPr>
        <w:t>-</w:t>
      </w:r>
      <w:r w:rsidRPr="00D07A00">
        <w:rPr>
          <w:rFonts w:cs="Arial"/>
          <w:rtl/>
        </w:rPr>
        <w:t xml:space="preserve"> כשר. </w:t>
      </w:r>
      <w:r w:rsidRPr="00D252B1">
        <w:rPr>
          <w:rFonts w:cs="Arial"/>
          <w:u w:val="single"/>
          <w:rtl/>
        </w:rPr>
        <w:t>וריש לקיש אמר</w:t>
      </w:r>
      <w:r w:rsidRPr="00D07A00">
        <w:rPr>
          <w:rFonts w:cs="Arial"/>
          <w:rtl/>
        </w:rPr>
        <w:t xml:space="preserve">: חתמו שנינו, ורבי מאיר היא, דאמר: עדי חתימה כרתי, והכי קאמר: אין כותבין תורף גזירה שמא יחתום, כתבו לתורף, תלשו, חתמו ונתנו לה </w:t>
      </w:r>
      <w:r w:rsidR="00A82951">
        <w:rPr>
          <w:rFonts w:cs="Arial"/>
          <w:rtl/>
        </w:rPr>
        <w:t>-</w:t>
      </w:r>
      <w:r w:rsidRPr="00D07A00">
        <w:rPr>
          <w:rFonts w:cs="Arial"/>
          <w:rtl/>
        </w:rPr>
        <w:t xml:space="preserve"> כשר.</w:t>
      </w:r>
      <w:r>
        <w:rPr>
          <w:rFonts w:cs="Arial" w:hint="cs"/>
          <w:rtl/>
        </w:rPr>
        <w:t xml:space="preserve"> </w:t>
      </w:r>
      <w:r>
        <w:rPr>
          <w:rFonts w:cs="Arial" w:hint="cs"/>
          <w:sz w:val="16"/>
          <w:szCs w:val="16"/>
          <w:rtl/>
        </w:rPr>
        <w:t>(</w:t>
      </w:r>
      <w:r w:rsidRPr="002B2814">
        <w:rPr>
          <w:rFonts w:cs="Arial" w:hint="cs"/>
          <w:sz w:val="16"/>
          <w:szCs w:val="16"/>
          <w:rtl/>
        </w:rPr>
        <w:t xml:space="preserve">והשמיטו הרי"ף ושאר הראשונים את דברי ריש לקיש. </w:t>
      </w:r>
      <w:r w:rsidRPr="002B2814">
        <w:rPr>
          <w:rFonts w:cs="Arial"/>
          <w:sz w:val="16"/>
          <w:szCs w:val="16"/>
          <w:rtl/>
        </w:rPr>
        <w:t xml:space="preserve">וכתב הרשב"א (שם ד"ה כתבו) </w:t>
      </w:r>
      <w:r w:rsidRPr="002B2814">
        <w:rPr>
          <w:rFonts w:cs="Arial" w:hint="cs"/>
          <w:sz w:val="16"/>
          <w:szCs w:val="16"/>
          <w:rtl/>
        </w:rPr>
        <w:t>ד</w:t>
      </w:r>
      <w:r w:rsidRPr="002B2814">
        <w:rPr>
          <w:rFonts w:cs="Arial"/>
          <w:sz w:val="16"/>
          <w:szCs w:val="16"/>
          <w:rtl/>
        </w:rPr>
        <w:t>אע</w:t>
      </w:r>
      <w:r w:rsidRPr="002B2814">
        <w:rPr>
          <w:rFonts w:cs="Arial" w:hint="cs"/>
          <w:sz w:val="16"/>
          <w:szCs w:val="16"/>
          <w:rtl/>
        </w:rPr>
        <w:t>"</w:t>
      </w:r>
      <w:r w:rsidRPr="002B2814">
        <w:rPr>
          <w:rFonts w:cs="Arial"/>
          <w:sz w:val="16"/>
          <w:szCs w:val="16"/>
          <w:rtl/>
        </w:rPr>
        <w:t>ג דחתמו שנינו</w:t>
      </w:r>
      <w:r w:rsidRPr="002B2814">
        <w:rPr>
          <w:rFonts w:cs="Arial" w:hint="cs"/>
          <w:sz w:val="16"/>
          <w:szCs w:val="16"/>
          <w:rtl/>
        </w:rPr>
        <w:t>,</w:t>
      </w:r>
      <w:r w:rsidRPr="002B2814">
        <w:rPr>
          <w:rFonts w:cs="Arial"/>
          <w:sz w:val="16"/>
          <w:szCs w:val="16"/>
          <w:rtl/>
        </w:rPr>
        <w:t xml:space="preserve"> חתמו דהכא היינו השלימו</w:t>
      </w:r>
      <w:r w:rsidRPr="002B2814">
        <w:rPr>
          <w:rFonts w:cs="Arial" w:hint="cs"/>
          <w:sz w:val="16"/>
          <w:szCs w:val="16"/>
          <w:rtl/>
        </w:rPr>
        <w:t>,</w:t>
      </w:r>
      <w:r w:rsidRPr="002B2814">
        <w:rPr>
          <w:rFonts w:cs="Arial"/>
          <w:sz w:val="16"/>
          <w:szCs w:val="16"/>
          <w:rtl/>
        </w:rPr>
        <w:t xml:space="preserve"> מלשון חותם תכנית (יחזקאל כח יב)</w:t>
      </w:r>
      <w:r w:rsidR="009B05DB">
        <w:rPr>
          <w:rFonts w:cs="Arial" w:hint="cs"/>
          <w:sz w:val="16"/>
          <w:szCs w:val="16"/>
          <w:rtl/>
        </w:rPr>
        <w:t>, ב"י</w:t>
      </w:r>
      <w:r>
        <w:rPr>
          <w:rFonts w:cs="Arial" w:hint="cs"/>
          <w:sz w:val="16"/>
          <w:szCs w:val="16"/>
          <w:rtl/>
        </w:rPr>
        <w:t>)</w:t>
      </w:r>
    </w:p>
    <w:p w14:paraId="2A94678C" w14:textId="225EB4A2" w:rsidR="00D33DB8" w:rsidRPr="00D33DB8" w:rsidRDefault="00D33DB8" w:rsidP="00D33DB8">
      <w:pPr>
        <w:rPr>
          <w:rFonts w:cs="Arial"/>
          <w:rtl/>
        </w:rPr>
      </w:pPr>
      <w:r w:rsidRPr="00D07A00">
        <w:rPr>
          <w:rFonts w:cs="Arial" w:hint="cs"/>
          <w:b/>
          <w:bCs/>
          <w:rtl/>
        </w:rPr>
        <w:t xml:space="preserve">ירושלמי גיטין פ"ב ה"ג: </w:t>
      </w:r>
      <w:r w:rsidRPr="00D07A00">
        <w:rPr>
          <w:rFonts w:cs="Arial"/>
          <w:rtl/>
        </w:rPr>
        <w:t>מה טעמא דרבנין</w:t>
      </w:r>
      <w:r>
        <w:rPr>
          <w:rFonts w:cs="Arial" w:hint="cs"/>
          <w:rtl/>
        </w:rPr>
        <w:t>?</w:t>
      </w:r>
      <w:r w:rsidRPr="00D07A00">
        <w:rPr>
          <w:rFonts w:cs="Arial"/>
          <w:rtl/>
        </w:rPr>
        <w:t xml:space="preserve"> </w:t>
      </w:r>
      <w:r>
        <w:rPr>
          <w:rFonts w:cs="Arial" w:hint="cs"/>
          <w:rtl/>
        </w:rPr>
        <w:t>'</w:t>
      </w:r>
      <w:r w:rsidRPr="00D07A00">
        <w:rPr>
          <w:rFonts w:cs="Arial"/>
          <w:rtl/>
        </w:rPr>
        <w:t>ספר</w:t>
      </w:r>
      <w:r>
        <w:rPr>
          <w:rFonts w:cs="Arial" w:hint="cs"/>
          <w:rtl/>
        </w:rPr>
        <w:t>',</w:t>
      </w:r>
      <w:r w:rsidRPr="00D07A00">
        <w:rPr>
          <w:rFonts w:cs="Arial"/>
          <w:rtl/>
        </w:rPr>
        <w:t xml:space="preserve"> מה ספר שהוא בתלוש </w:t>
      </w:r>
      <w:r w:rsidR="00A82951">
        <w:rPr>
          <w:rFonts w:cs="Arial" w:hint="cs"/>
          <w:rtl/>
        </w:rPr>
        <w:t>-</w:t>
      </w:r>
      <w:r>
        <w:rPr>
          <w:rFonts w:cs="Arial" w:hint="cs"/>
          <w:rtl/>
        </w:rPr>
        <w:t xml:space="preserve"> </w:t>
      </w:r>
      <w:r w:rsidRPr="00D07A00">
        <w:rPr>
          <w:rFonts w:cs="Arial"/>
          <w:rtl/>
        </w:rPr>
        <w:t>אף כל דבר שהוא בתלוש.</w:t>
      </w:r>
    </w:p>
    <w:p w14:paraId="7B695CF6" w14:textId="484E97B8" w:rsidR="00584E96" w:rsidRPr="007428F1" w:rsidRDefault="007428F1" w:rsidP="00584E96">
      <w:pPr>
        <w:rPr>
          <w:u w:val="single"/>
          <w:rtl/>
        </w:rPr>
      </w:pPr>
      <w:r w:rsidRPr="007428F1">
        <w:rPr>
          <w:rFonts w:hint="cs"/>
          <w:u w:val="single"/>
          <w:rtl/>
        </w:rPr>
        <w:t>כתיבת גט על דבר מחובר:</w:t>
      </w:r>
    </w:p>
    <w:p w14:paraId="35B755C9" w14:textId="2A16F4D7" w:rsidR="00584E96" w:rsidRDefault="008A0338" w:rsidP="00A65C5F">
      <w:pPr>
        <w:pStyle w:val="ab"/>
        <w:numPr>
          <w:ilvl w:val="0"/>
          <w:numId w:val="41"/>
        </w:numPr>
      </w:pPr>
      <w:r>
        <w:rPr>
          <w:rFonts w:cs="Arial" w:hint="cs"/>
          <w:rtl/>
        </w:rPr>
        <w:t>טור</w:t>
      </w:r>
      <w:r w:rsidR="00A82951">
        <w:rPr>
          <w:rFonts w:cs="Arial" w:hint="cs"/>
          <w:rtl/>
        </w:rPr>
        <w:t>-</w:t>
      </w:r>
      <w:r>
        <w:rPr>
          <w:rFonts w:cs="Arial" w:hint="cs"/>
          <w:rtl/>
        </w:rPr>
        <w:t xml:space="preserve"> </w:t>
      </w:r>
      <w:r w:rsidRPr="00FE510D">
        <w:rPr>
          <w:rFonts w:cs="Arial"/>
          <w:rtl/>
        </w:rPr>
        <w:t>אין כותבין אותו על המחובר אפילו יתן לה המחובר כמו שהוא</w:t>
      </w:r>
      <w:r w:rsidR="00584E96">
        <w:rPr>
          <w:rFonts w:cs="Arial" w:hint="cs"/>
          <w:rtl/>
        </w:rPr>
        <w:t>,</w:t>
      </w:r>
      <w:r w:rsidRPr="00FE510D">
        <w:rPr>
          <w:rFonts w:cs="Arial"/>
          <w:rtl/>
        </w:rPr>
        <w:t xml:space="preserve"> דבעינן ונתן בידה</w:t>
      </w:r>
      <w:r w:rsidR="00584E96">
        <w:rPr>
          <w:rFonts w:cs="Arial" w:hint="cs"/>
          <w:rtl/>
        </w:rPr>
        <w:t>.</w:t>
      </w:r>
      <w:r w:rsidRPr="00FE510D">
        <w:rPr>
          <w:rFonts w:cs="Arial"/>
          <w:rtl/>
        </w:rPr>
        <w:t xml:space="preserve"> </w:t>
      </w:r>
      <w:r w:rsidR="00545877" w:rsidRPr="00DD1DEB">
        <w:rPr>
          <w:rFonts w:hint="cs"/>
          <w:color w:val="E36C0A" w:themeColor="accent6" w:themeShade="BF"/>
          <w:rtl/>
        </w:rPr>
        <w:t>(וכ"פ בשו"ע)</w:t>
      </w:r>
    </w:p>
    <w:p w14:paraId="44724F97" w14:textId="7821D770" w:rsidR="00611698" w:rsidRPr="00611698" w:rsidRDefault="00611698" w:rsidP="00611698">
      <w:pPr>
        <w:ind w:left="360"/>
        <w:rPr>
          <w:u w:val="dotted"/>
        </w:rPr>
      </w:pPr>
      <w:r w:rsidRPr="00611698">
        <w:rPr>
          <w:rFonts w:hint="cs"/>
          <w:u w:val="dotted"/>
          <w:rtl/>
        </w:rPr>
        <w:t>ומה הדין אם כתב את הטופס במחובר ואת ה</w:t>
      </w:r>
      <w:r>
        <w:rPr>
          <w:rFonts w:hint="cs"/>
          <w:u w:val="dotted"/>
          <w:rtl/>
        </w:rPr>
        <w:t>ת</w:t>
      </w:r>
      <w:r w:rsidRPr="00611698">
        <w:rPr>
          <w:rFonts w:hint="cs"/>
          <w:u w:val="dotted"/>
          <w:rtl/>
        </w:rPr>
        <w:t>ורף בתלוש:</w:t>
      </w:r>
    </w:p>
    <w:p w14:paraId="00123A4C" w14:textId="2CA83B3A" w:rsidR="00584E96" w:rsidRPr="00584E96" w:rsidRDefault="00D33DB8" w:rsidP="00A65C5F">
      <w:pPr>
        <w:pStyle w:val="ab"/>
        <w:numPr>
          <w:ilvl w:val="0"/>
          <w:numId w:val="41"/>
        </w:numPr>
      </w:pPr>
      <w:r>
        <w:rPr>
          <w:rFonts w:cs="Arial"/>
          <w:rtl/>
        </w:rPr>
        <w:t xml:space="preserve">רי"ף </w:t>
      </w:r>
      <w:r w:rsidRPr="00D33DB8">
        <w:rPr>
          <w:rFonts w:cs="Arial"/>
          <w:sz w:val="16"/>
          <w:szCs w:val="16"/>
          <w:rtl/>
        </w:rPr>
        <w:t xml:space="preserve">(י:) </w:t>
      </w:r>
      <w:r>
        <w:rPr>
          <w:rFonts w:cs="Arial"/>
          <w:rtl/>
        </w:rPr>
        <w:t xml:space="preserve">רמב"ם </w:t>
      </w:r>
      <w:r w:rsidRPr="00D33DB8">
        <w:rPr>
          <w:rFonts w:cs="Arial" w:hint="cs"/>
          <w:sz w:val="16"/>
          <w:szCs w:val="16"/>
          <w:rtl/>
        </w:rPr>
        <w:t>(</w:t>
      </w:r>
      <w:r w:rsidRPr="00D33DB8">
        <w:rPr>
          <w:rFonts w:cs="Arial"/>
          <w:sz w:val="16"/>
          <w:szCs w:val="16"/>
          <w:rtl/>
        </w:rPr>
        <w:t>פ</w:t>
      </w:r>
      <w:r w:rsidRPr="00D33DB8">
        <w:rPr>
          <w:rFonts w:cs="Arial" w:hint="cs"/>
          <w:sz w:val="16"/>
          <w:szCs w:val="16"/>
          <w:rtl/>
        </w:rPr>
        <w:t>"</w:t>
      </w:r>
      <w:r w:rsidRPr="00D33DB8">
        <w:rPr>
          <w:rFonts w:cs="Arial"/>
          <w:sz w:val="16"/>
          <w:szCs w:val="16"/>
          <w:rtl/>
        </w:rPr>
        <w:t xml:space="preserve">א ה"ז) </w:t>
      </w:r>
      <w:r>
        <w:rPr>
          <w:rFonts w:cs="Arial"/>
          <w:rtl/>
        </w:rPr>
        <w:t xml:space="preserve">רא"ש </w:t>
      </w:r>
      <w:r w:rsidRPr="00D33DB8">
        <w:rPr>
          <w:rFonts w:cs="Arial"/>
          <w:sz w:val="16"/>
          <w:szCs w:val="16"/>
          <w:rtl/>
        </w:rPr>
        <w:t>(</w:t>
      </w:r>
      <w:r>
        <w:rPr>
          <w:rFonts w:cs="Arial" w:hint="cs"/>
          <w:sz w:val="16"/>
          <w:szCs w:val="16"/>
          <w:rtl/>
        </w:rPr>
        <w:t>פ"ב סכ"ג</w:t>
      </w:r>
      <w:r w:rsidRPr="00D33DB8">
        <w:rPr>
          <w:rFonts w:cs="Arial"/>
          <w:sz w:val="16"/>
          <w:szCs w:val="16"/>
          <w:rtl/>
        </w:rPr>
        <w:t>)</w:t>
      </w:r>
      <w:r>
        <w:rPr>
          <w:rFonts w:cs="Arial" w:hint="cs"/>
          <w:rtl/>
        </w:rPr>
        <w:t xml:space="preserve"> ו</w:t>
      </w:r>
      <w:r w:rsidR="00584E96">
        <w:rPr>
          <w:rFonts w:cs="Arial" w:hint="cs"/>
          <w:rtl/>
        </w:rPr>
        <w:t>טור</w:t>
      </w:r>
      <w:r w:rsidR="00A82951">
        <w:rPr>
          <w:rFonts w:cs="Arial" w:hint="cs"/>
          <w:rtl/>
        </w:rPr>
        <w:t>-</w:t>
      </w:r>
      <w:r w:rsidR="00584E96">
        <w:rPr>
          <w:rFonts w:cs="Arial" w:hint="cs"/>
          <w:rtl/>
        </w:rPr>
        <w:t xml:space="preserve"> </w:t>
      </w:r>
      <w:r w:rsidR="008A0338" w:rsidRPr="00FE510D">
        <w:rPr>
          <w:rFonts w:cs="Arial"/>
          <w:rtl/>
        </w:rPr>
        <w:t xml:space="preserve">כתב הטופס במחובר ותלשו והשלים עליו התורף </w:t>
      </w:r>
      <w:r w:rsidR="00A82951">
        <w:rPr>
          <w:rFonts w:cs="Arial" w:hint="cs"/>
          <w:rtl/>
        </w:rPr>
        <w:t>-</w:t>
      </w:r>
      <w:r w:rsidR="007428F1">
        <w:rPr>
          <w:rFonts w:cs="Arial" w:hint="cs"/>
          <w:rtl/>
        </w:rPr>
        <w:t xml:space="preserve"> </w:t>
      </w:r>
      <w:r w:rsidR="008A0338" w:rsidRPr="00FE510D">
        <w:rPr>
          <w:rFonts w:cs="Arial"/>
          <w:rtl/>
        </w:rPr>
        <w:t>כשר</w:t>
      </w:r>
      <w:r w:rsidR="007428F1">
        <w:rPr>
          <w:rFonts w:cs="Arial" w:hint="cs"/>
          <w:rtl/>
        </w:rPr>
        <w:t>,</w:t>
      </w:r>
      <w:r w:rsidR="008A0338" w:rsidRPr="00FE510D">
        <w:rPr>
          <w:rFonts w:cs="Arial"/>
          <w:rtl/>
        </w:rPr>
        <w:t xml:space="preserve"> אבל אם כתב גם התורף במחובר </w:t>
      </w:r>
      <w:r w:rsidR="00A82951">
        <w:rPr>
          <w:rFonts w:cs="Arial" w:hint="cs"/>
          <w:rtl/>
        </w:rPr>
        <w:t>-</w:t>
      </w:r>
      <w:r w:rsidR="007428F1">
        <w:rPr>
          <w:rFonts w:cs="Arial" w:hint="cs"/>
          <w:rtl/>
        </w:rPr>
        <w:t xml:space="preserve"> </w:t>
      </w:r>
      <w:r w:rsidR="008A0338" w:rsidRPr="00FE510D">
        <w:rPr>
          <w:rFonts w:cs="Arial"/>
          <w:rtl/>
        </w:rPr>
        <w:t>אפי' בדיעבד פסול</w:t>
      </w:r>
      <w:r w:rsidR="002B2814">
        <w:rPr>
          <w:rStyle w:val="a7"/>
          <w:rFonts w:cs="Arial"/>
          <w:rtl/>
        </w:rPr>
        <w:footnoteReference w:id="457"/>
      </w:r>
      <w:r>
        <w:rPr>
          <w:rFonts w:cs="Arial" w:hint="cs"/>
          <w:sz w:val="16"/>
          <w:szCs w:val="16"/>
          <w:rtl/>
        </w:rPr>
        <w:t xml:space="preserve"> (ל' הטור)</w:t>
      </w:r>
      <w:r w:rsidR="007428F1">
        <w:rPr>
          <w:rFonts w:cs="Arial" w:hint="cs"/>
          <w:rtl/>
        </w:rPr>
        <w:t>.</w:t>
      </w:r>
      <w:r w:rsidR="008A0338" w:rsidRPr="00FE510D">
        <w:rPr>
          <w:rFonts w:cs="Arial"/>
          <w:rtl/>
        </w:rPr>
        <w:t xml:space="preserve"> </w:t>
      </w:r>
      <w:r w:rsidR="00545877" w:rsidRPr="00DD1DEB">
        <w:rPr>
          <w:rFonts w:hint="cs"/>
          <w:color w:val="E36C0A" w:themeColor="accent6" w:themeShade="BF"/>
          <w:rtl/>
        </w:rPr>
        <w:t>(וכ"פ בשו"ע</w:t>
      </w:r>
      <w:r w:rsidR="00545877">
        <w:rPr>
          <w:rFonts w:hint="cs"/>
          <w:color w:val="E36C0A" w:themeColor="accent6" w:themeShade="BF"/>
          <w:sz w:val="16"/>
          <w:szCs w:val="16"/>
          <w:rtl/>
        </w:rPr>
        <w:t xml:space="preserve"> </w:t>
      </w:r>
      <w:r w:rsidR="00545877" w:rsidRPr="00545877">
        <w:rPr>
          <w:rFonts w:hint="cs"/>
          <w:color w:val="000000" w:themeColor="text1"/>
          <w:sz w:val="16"/>
          <w:szCs w:val="16"/>
          <w:rtl/>
        </w:rPr>
        <w:t>[בסע' ה]</w:t>
      </w:r>
      <w:r w:rsidR="00545877" w:rsidRPr="00DD1DEB">
        <w:rPr>
          <w:rFonts w:hint="cs"/>
          <w:color w:val="E36C0A" w:themeColor="accent6" w:themeShade="BF"/>
          <w:rtl/>
        </w:rPr>
        <w:t>)</w:t>
      </w:r>
    </w:p>
    <w:p w14:paraId="47F430E7" w14:textId="6A66D0DF" w:rsidR="007428F1" w:rsidRDefault="008A0338" w:rsidP="00A65C5F">
      <w:pPr>
        <w:pStyle w:val="ab"/>
        <w:numPr>
          <w:ilvl w:val="0"/>
          <w:numId w:val="41"/>
        </w:numPr>
      </w:pPr>
      <w:r w:rsidRPr="00FE510D">
        <w:rPr>
          <w:rFonts w:cs="Arial"/>
          <w:rtl/>
        </w:rPr>
        <w:t>רמ"ה</w:t>
      </w:r>
      <w:r w:rsidR="002B2814">
        <w:rPr>
          <w:rFonts w:cs="Arial" w:hint="cs"/>
          <w:rtl/>
        </w:rPr>
        <w:t xml:space="preserve"> </w:t>
      </w:r>
      <w:r w:rsidR="002B2814" w:rsidRPr="002B2814">
        <w:rPr>
          <w:rFonts w:cs="Arial"/>
          <w:sz w:val="16"/>
          <w:szCs w:val="16"/>
          <w:rtl/>
        </w:rPr>
        <w:t>(חידושי הרמ"ה גיטין ח"א כא: ד"ה כ"כ)</w:t>
      </w:r>
      <w:r w:rsidR="00A82951">
        <w:rPr>
          <w:rFonts w:cs="Arial" w:hint="cs"/>
          <w:rtl/>
        </w:rPr>
        <w:t>-</w:t>
      </w:r>
      <w:r w:rsidRPr="00FE510D">
        <w:rPr>
          <w:rFonts w:cs="Arial"/>
          <w:rtl/>
        </w:rPr>
        <w:t xml:space="preserve"> פסול עד שיכתוב כולו בתלוש</w:t>
      </w:r>
      <w:r w:rsidR="00ED224B">
        <w:rPr>
          <w:rFonts w:cs="Arial" w:hint="cs"/>
          <w:rtl/>
        </w:rPr>
        <w:t xml:space="preserve">, </w:t>
      </w:r>
      <w:r w:rsidR="00ED224B" w:rsidRPr="00FE510D">
        <w:rPr>
          <w:rFonts w:cs="Arial"/>
          <w:rtl/>
        </w:rPr>
        <w:t>כרבי יהודה</w:t>
      </w:r>
      <w:r w:rsidR="00ED224B">
        <w:rPr>
          <w:rStyle w:val="a7"/>
          <w:rFonts w:cs="Arial"/>
          <w:rtl/>
        </w:rPr>
        <w:footnoteReference w:id="458"/>
      </w:r>
      <w:r w:rsidR="00ED224B">
        <w:rPr>
          <w:rFonts w:cs="Arial" w:hint="cs"/>
          <w:rtl/>
        </w:rPr>
        <w:t>.</w:t>
      </w:r>
      <w:r w:rsidRPr="00FE510D">
        <w:rPr>
          <w:rFonts w:cs="Arial"/>
          <w:rtl/>
        </w:rPr>
        <w:t xml:space="preserve"> </w:t>
      </w:r>
    </w:p>
    <w:p w14:paraId="214D6464" w14:textId="30505D50" w:rsidR="003C1D91" w:rsidRPr="003C1D91" w:rsidRDefault="003C1D91" w:rsidP="003C1D91">
      <w:pPr>
        <w:rPr>
          <w:rFonts w:cs="Arial"/>
        </w:rPr>
      </w:pPr>
      <w:r w:rsidRPr="003C1D91">
        <w:rPr>
          <w:rFonts w:cs="Arial" w:hint="cs"/>
          <w:b/>
          <w:bCs/>
          <w:rtl/>
        </w:rPr>
        <w:t xml:space="preserve">חולין </w:t>
      </w:r>
      <w:r w:rsidRPr="003C1D91">
        <w:rPr>
          <w:rFonts w:cs="Arial" w:hint="cs"/>
          <w:b/>
          <w:bCs/>
          <w:sz w:val="16"/>
          <w:szCs w:val="16"/>
          <w:rtl/>
        </w:rPr>
        <w:t xml:space="preserve">(פ"ק) </w:t>
      </w:r>
      <w:r w:rsidRPr="003C1D91">
        <w:rPr>
          <w:rFonts w:cs="Arial" w:hint="cs"/>
          <w:b/>
          <w:bCs/>
          <w:rtl/>
        </w:rPr>
        <w:t>טו ע"ב:</w:t>
      </w:r>
      <w:r w:rsidRPr="003C1D91">
        <w:rPr>
          <w:rFonts w:cs="Arial" w:hint="cs"/>
          <w:rtl/>
        </w:rPr>
        <w:t xml:space="preserve"> </w:t>
      </w:r>
      <w:r w:rsidRPr="003C1D91">
        <w:rPr>
          <w:rFonts w:cs="Arial"/>
          <w:u w:val="double"/>
          <w:rtl/>
        </w:rPr>
        <w:t>מתני'</w:t>
      </w:r>
      <w:r w:rsidRPr="003C1D91">
        <w:rPr>
          <w:rFonts w:cs="Arial" w:hint="cs"/>
          <w:rtl/>
        </w:rPr>
        <w:t>:</w:t>
      </w:r>
      <w:r w:rsidRPr="003C1D91">
        <w:rPr>
          <w:rFonts w:cs="Arial"/>
          <w:rtl/>
        </w:rPr>
        <w:t xml:space="preserve"> השוחט במגל יד, בצור, ובקנה </w:t>
      </w:r>
      <w:r w:rsidR="00A82951">
        <w:rPr>
          <w:rFonts w:cs="Arial"/>
          <w:rtl/>
        </w:rPr>
        <w:t>-</w:t>
      </w:r>
      <w:r w:rsidRPr="003C1D91">
        <w:rPr>
          <w:rFonts w:cs="Arial"/>
          <w:rtl/>
        </w:rPr>
        <w:t xml:space="preserve"> שחיטתו כשרה.</w:t>
      </w:r>
      <w:r w:rsidRPr="003C1D91">
        <w:rPr>
          <w:rFonts w:cs="Arial" w:hint="cs"/>
          <w:rtl/>
        </w:rPr>
        <w:t xml:space="preserve">..       </w:t>
      </w:r>
      <w:r w:rsidRPr="003C1D91">
        <w:rPr>
          <w:rFonts w:cs="Arial"/>
          <w:rtl/>
        </w:rPr>
        <w:t xml:space="preserve"> </w:t>
      </w:r>
      <w:r w:rsidRPr="003C1D91">
        <w:rPr>
          <w:rFonts w:cs="Arial"/>
          <w:u w:val="double"/>
          <w:rtl/>
        </w:rPr>
        <w:t>גמ'</w:t>
      </w:r>
      <w:r w:rsidRPr="003C1D91">
        <w:rPr>
          <w:rFonts w:cs="Arial" w:hint="cs"/>
          <w:rtl/>
        </w:rPr>
        <w:t>:</w:t>
      </w:r>
      <w:r w:rsidRPr="003C1D91">
        <w:rPr>
          <w:rFonts w:cs="Arial"/>
          <w:rtl/>
        </w:rPr>
        <w:t xml:space="preserve"> השוחט </w:t>
      </w:r>
      <w:r w:rsidR="00A82951">
        <w:rPr>
          <w:rFonts w:cs="Arial"/>
          <w:rtl/>
        </w:rPr>
        <w:t>-</w:t>
      </w:r>
      <w:r w:rsidRPr="003C1D91">
        <w:rPr>
          <w:rFonts w:cs="Arial"/>
          <w:rtl/>
        </w:rPr>
        <w:t xml:space="preserve"> דיעבד אין, לכתחלה לא</w:t>
      </w:r>
      <w:r w:rsidRPr="003C1D91">
        <w:rPr>
          <w:rFonts w:cs="Arial" w:hint="cs"/>
          <w:rtl/>
        </w:rPr>
        <w:t>?</w:t>
      </w:r>
      <w:r w:rsidRPr="003C1D91">
        <w:rPr>
          <w:rFonts w:cs="Arial"/>
          <w:rtl/>
        </w:rPr>
        <w:t xml:space="preserve"> בשלמא במגל יד, דלמא אתי למעבד באידך גיסא, אלא צור וקנה לכתחלה לא? ורמינהי, בכל שוחטין; בין בצור, בין בזכוכית, בין בקרומית של קנה! לא קשיא: כאן בתלוש, כאן במחובר, דאמר רב כהנא: השוחט במחובר לקרקע </w:t>
      </w:r>
      <w:r w:rsidR="00A82951">
        <w:rPr>
          <w:rFonts w:cs="Arial"/>
          <w:rtl/>
        </w:rPr>
        <w:t>-</w:t>
      </w:r>
      <w:r w:rsidRPr="003C1D91">
        <w:rPr>
          <w:rFonts w:cs="Arial"/>
          <w:rtl/>
        </w:rPr>
        <w:t xml:space="preserve"> רבי פוסל</w:t>
      </w:r>
      <w:r w:rsidRPr="003C1D91">
        <w:rPr>
          <w:rFonts w:cs="Arial" w:hint="cs"/>
          <w:rtl/>
        </w:rPr>
        <w:t>,</w:t>
      </w:r>
      <w:r w:rsidRPr="003C1D91">
        <w:rPr>
          <w:rFonts w:cs="Arial"/>
          <w:rtl/>
        </w:rPr>
        <w:t xml:space="preserve"> ור' חייא מכשיר</w:t>
      </w:r>
      <w:r w:rsidRPr="003C1D91">
        <w:rPr>
          <w:rFonts w:cs="Arial" w:hint="cs"/>
          <w:rtl/>
        </w:rPr>
        <w:t>...</w:t>
      </w:r>
      <w:r w:rsidRPr="003C1D91">
        <w:rPr>
          <w:rFonts w:cs="Arial"/>
          <w:rtl/>
        </w:rPr>
        <w:t xml:space="preserve"> ומתניתין דקתני השוחט </w:t>
      </w:r>
      <w:r w:rsidR="00A82951">
        <w:rPr>
          <w:rFonts w:cs="Arial"/>
          <w:rtl/>
        </w:rPr>
        <w:t>-</w:t>
      </w:r>
      <w:r w:rsidRPr="003C1D91">
        <w:rPr>
          <w:rFonts w:cs="Arial"/>
          <w:rtl/>
        </w:rPr>
        <w:t xml:space="preserve"> רבי היא. קשיא דרבי אדרבי! לא קשיא: כאן במחובר מעיקרו, כאן בתלוש ולבסוף חיברו. ומנא תימרא דשני לן בין מחובר מעיקרו לתלוש ולבסוף חיברו? דתניא: השוחט במוכני </w:t>
      </w:r>
      <w:r w:rsidR="00A82951">
        <w:rPr>
          <w:rFonts w:cs="Arial"/>
          <w:rtl/>
        </w:rPr>
        <w:t>-</w:t>
      </w:r>
      <w:r w:rsidRPr="003C1D91">
        <w:rPr>
          <w:rFonts w:cs="Arial"/>
          <w:rtl/>
        </w:rPr>
        <w:t xml:space="preserve"> </w:t>
      </w:r>
      <w:r w:rsidRPr="003C1D91">
        <w:rPr>
          <w:rFonts w:cs="Arial"/>
          <w:rtl/>
        </w:rPr>
        <w:lastRenderedPageBreak/>
        <w:t xml:space="preserve">שחיטתו כשרה, במחובר לקרקע </w:t>
      </w:r>
      <w:r w:rsidR="00A82951">
        <w:rPr>
          <w:rFonts w:cs="Arial"/>
          <w:rtl/>
        </w:rPr>
        <w:t>-</w:t>
      </w:r>
      <w:r w:rsidRPr="003C1D91">
        <w:rPr>
          <w:rFonts w:cs="Arial"/>
          <w:rtl/>
        </w:rPr>
        <w:t xml:space="preserve"> שחיטתו כשרה, נעץ סכין בכותל ושחט בה </w:t>
      </w:r>
      <w:r w:rsidR="00A82951">
        <w:rPr>
          <w:rFonts w:cs="Arial"/>
          <w:rtl/>
        </w:rPr>
        <w:t>-</w:t>
      </w:r>
      <w:r w:rsidRPr="003C1D91">
        <w:rPr>
          <w:rFonts w:cs="Arial"/>
          <w:rtl/>
        </w:rPr>
        <w:t xml:space="preserve"> שחיטתו כשרה, היה צור יוצא מן הכותל או קנה עולה מאליו ושחט בו </w:t>
      </w:r>
      <w:r w:rsidR="00A82951">
        <w:rPr>
          <w:rFonts w:cs="Arial"/>
          <w:rtl/>
        </w:rPr>
        <w:t>-</w:t>
      </w:r>
      <w:r w:rsidRPr="003C1D91">
        <w:rPr>
          <w:rFonts w:cs="Arial"/>
          <w:rtl/>
        </w:rPr>
        <w:t xml:space="preserve"> שחיטתו פסולה</w:t>
      </w:r>
      <w:r w:rsidRPr="003C1D91">
        <w:rPr>
          <w:rFonts w:cs="Arial" w:hint="cs"/>
          <w:rtl/>
        </w:rPr>
        <w:t>.</w:t>
      </w:r>
      <w:r w:rsidRPr="003C1D91">
        <w:rPr>
          <w:rFonts w:cs="Arial" w:hint="cs"/>
          <w:sz w:val="14"/>
          <w:szCs w:val="14"/>
          <w:rtl/>
        </w:rPr>
        <w:t xml:space="preserve"> (טז.) </w:t>
      </w:r>
      <w:r w:rsidRPr="003C1D91">
        <w:rPr>
          <w:rFonts w:cs="Arial"/>
          <w:rtl/>
        </w:rPr>
        <w:t>קשיין אהדדי! אלא לאו ש"מ: שאני בין מחובר מעיקרו לתלוש ולבסוף חברו, ש"מ.</w:t>
      </w:r>
    </w:p>
    <w:p w14:paraId="0D8BD595" w14:textId="57E34A6D" w:rsidR="007428F1" w:rsidRPr="003C1D91" w:rsidRDefault="00503BC0" w:rsidP="003C1D91">
      <w:pPr>
        <w:rPr>
          <w:u w:val="single"/>
        </w:rPr>
      </w:pPr>
      <w:r>
        <w:rPr>
          <w:rFonts w:hint="cs"/>
          <w:u w:val="single"/>
          <w:rtl/>
        </w:rPr>
        <w:t>לרמ"ה</w:t>
      </w:r>
      <w:r>
        <w:rPr>
          <w:rFonts w:hint="cs"/>
          <w:sz w:val="16"/>
          <w:szCs w:val="16"/>
          <w:u w:val="single"/>
          <w:rtl/>
        </w:rPr>
        <w:t xml:space="preserve"> (שפוסל</w:t>
      </w:r>
      <w:r w:rsidR="00C15D79">
        <w:rPr>
          <w:rFonts w:hint="cs"/>
          <w:sz w:val="16"/>
          <w:szCs w:val="16"/>
          <w:u w:val="single"/>
          <w:rtl/>
        </w:rPr>
        <w:t xml:space="preserve"> עד שיכתב ויחתם בתלוש)</w:t>
      </w:r>
      <w:r>
        <w:rPr>
          <w:rFonts w:hint="cs"/>
          <w:u w:val="single"/>
          <w:rtl/>
        </w:rPr>
        <w:t xml:space="preserve"> </w:t>
      </w:r>
      <w:r w:rsidR="00A82951">
        <w:rPr>
          <w:u w:val="single"/>
          <w:rtl/>
        </w:rPr>
        <w:t>-</w:t>
      </w:r>
      <w:r>
        <w:rPr>
          <w:rFonts w:hint="cs"/>
          <w:u w:val="single"/>
          <w:rtl/>
        </w:rPr>
        <w:t xml:space="preserve"> מה הדין אם </w:t>
      </w:r>
      <w:r w:rsidR="007428F1" w:rsidRPr="003C1D91">
        <w:rPr>
          <w:rFonts w:hint="cs"/>
          <w:u w:val="single"/>
          <w:rtl/>
        </w:rPr>
        <w:t xml:space="preserve">כתב </w:t>
      </w:r>
      <w:r w:rsidR="003C1D91">
        <w:rPr>
          <w:rFonts w:hint="cs"/>
          <w:u w:val="single"/>
          <w:rtl/>
        </w:rPr>
        <w:t xml:space="preserve">גט </w:t>
      </w:r>
      <w:r w:rsidR="007428F1" w:rsidRPr="003C1D91">
        <w:rPr>
          <w:rFonts w:hint="cs"/>
          <w:u w:val="single"/>
          <w:rtl/>
        </w:rPr>
        <w:t xml:space="preserve">על </w:t>
      </w:r>
      <w:r w:rsidR="003C1D91">
        <w:rPr>
          <w:rFonts w:hint="cs"/>
          <w:u w:val="single"/>
          <w:rtl/>
        </w:rPr>
        <w:t xml:space="preserve">דבר </w:t>
      </w:r>
      <w:r w:rsidR="007428F1" w:rsidRPr="003C1D91">
        <w:rPr>
          <w:rFonts w:hint="cs"/>
          <w:u w:val="single"/>
          <w:rtl/>
        </w:rPr>
        <w:t>תלוש ולבסוף חיברו:</w:t>
      </w:r>
    </w:p>
    <w:p w14:paraId="6036D89A" w14:textId="4AE10301" w:rsidR="003C1D91" w:rsidRDefault="00ED224B" w:rsidP="00C15D79">
      <w:pPr>
        <w:pStyle w:val="ab"/>
        <w:numPr>
          <w:ilvl w:val="0"/>
          <w:numId w:val="41"/>
        </w:numPr>
      </w:pPr>
      <w:r>
        <w:rPr>
          <w:rFonts w:cs="Arial" w:hint="cs"/>
          <w:rtl/>
        </w:rPr>
        <w:t>רמ"ה</w:t>
      </w:r>
      <w:r w:rsidR="00CD2394">
        <w:rPr>
          <w:rFonts w:cs="Arial" w:hint="cs"/>
          <w:sz w:val="16"/>
          <w:szCs w:val="16"/>
          <w:rtl/>
        </w:rPr>
        <w:t xml:space="preserve"> (שם)</w:t>
      </w:r>
      <w:r w:rsidR="00A82951">
        <w:rPr>
          <w:rFonts w:cs="Arial" w:hint="cs"/>
          <w:rtl/>
        </w:rPr>
        <w:t>-</w:t>
      </w:r>
      <w:r w:rsidR="008A0338" w:rsidRPr="00FE510D">
        <w:rPr>
          <w:rFonts w:cs="Arial"/>
          <w:rtl/>
        </w:rPr>
        <w:t xml:space="preserve"> כל היכא דפסלינן מחובר</w:t>
      </w:r>
      <w:r w:rsidR="00736179">
        <w:rPr>
          <w:rFonts w:cs="Arial" w:hint="cs"/>
          <w:rtl/>
        </w:rPr>
        <w:t>,</w:t>
      </w:r>
      <w:r w:rsidR="008A0338" w:rsidRPr="00FE510D">
        <w:rPr>
          <w:rFonts w:cs="Arial"/>
          <w:rtl/>
        </w:rPr>
        <w:t xml:space="preserve"> אפי' תלוש ולבסוף חברו</w:t>
      </w:r>
      <w:r w:rsidR="007428F1">
        <w:rPr>
          <w:rFonts w:cs="Arial" w:hint="cs"/>
          <w:rtl/>
        </w:rPr>
        <w:t xml:space="preserve"> </w:t>
      </w:r>
      <w:r w:rsidR="006C45C3">
        <w:rPr>
          <w:rFonts w:cs="Arial" w:hint="cs"/>
          <w:rtl/>
        </w:rPr>
        <w:t xml:space="preserve">- </w:t>
      </w:r>
      <w:r w:rsidR="008A0338" w:rsidRPr="00FE510D">
        <w:rPr>
          <w:rFonts w:cs="Arial"/>
          <w:rtl/>
        </w:rPr>
        <w:t>פסול</w:t>
      </w:r>
      <w:r w:rsidR="00BD0F91">
        <w:rPr>
          <w:rStyle w:val="a7"/>
          <w:rFonts w:cs="Arial"/>
          <w:rtl/>
        </w:rPr>
        <w:footnoteReference w:id="459"/>
      </w:r>
      <w:r w:rsidR="00736179">
        <w:rPr>
          <w:rFonts w:cs="Arial" w:hint="cs"/>
          <w:rtl/>
        </w:rPr>
        <w:t>.</w:t>
      </w:r>
      <w:r w:rsidR="008A0338" w:rsidRPr="00FE510D">
        <w:rPr>
          <w:rFonts w:cs="Arial"/>
          <w:rtl/>
        </w:rPr>
        <w:t xml:space="preserve"> ואפילו כתבו </w:t>
      </w:r>
      <w:r w:rsidR="008A0338" w:rsidRPr="00C15D79">
        <w:rPr>
          <w:rFonts w:cs="Arial"/>
          <w:b/>
          <w:bCs/>
          <w:rtl/>
        </w:rPr>
        <w:t>וחתמו</w:t>
      </w:r>
      <w:r w:rsidR="008A0338" w:rsidRPr="00FE510D">
        <w:rPr>
          <w:rFonts w:cs="Arial"/>
          <w:rtl/>
        </w:rPr>
        <w:t xml:space="preserve"> בתלוש</w:t>
      </w:r>
      <w:r w:rsidR="00C15D79">
        <w:rPr>
          <w:rFonts w:cs="Arial" w:hint="cs"/>
          <w:rtl/>
        </w:rPr>
        <w:t>,</w:t>
      </w:r>
      <w:r w:rsidR="008A0338" w:rsidRPr="00FE510D">
        <w:rPr>
          <w:rFonts w:cs="Arial"/>
          <w:rtl/>
        </w:rPr>
        <w:t xml:space="preserve"> ואחר חתימתו חזר וחברו ואח"כ תלשו ונתנו לה </w:t>
      </w:r>
      <w:r w:rsidR="00A82951">
        <w:rPr>
          <w:rFonts w:cs="Arial" w:hint="cs"/>
          <w:rtl/>
        </w:rPr>
        <w:t>-</w:t>
      </w:r>
      <w:r w:rsidR="007428F1">
        <w:rPr>
          <w:rFonts w:cs="Arial" w:hint="cs"/>
          <w:rtl/>
        </w:rPr>
        <w:t xml:space="preserve"> </w:t>
      </w:r>
      <w:r w:rsidR="008A0338" w:rsidRPr="00FE510D">
        <w:rPr>
          <w:rFonts w:cs="Arial"/>
          <w:rtl/>
        </w:rPr>
        <w:t>פסול</w:t>
      </w:r>
      <w:r w:rsidR="00BD0F91">
        <w:rPr>
          <w:rStyle w:val="a7"/>
          <w:rFonts w:cs="Arial"/>
          <w:rtl/>
        </w:rPr>
        <w:footnoteReference w:id="460"/>
      </w:r>
      <w:r w:rsidR="007428F1">
        <w:rPr>
          <w:rFonts w:cs="Arial" w:hint="cs"/>
          <w:rtl/>
        </w:rPr>
        <w:t>.</w:t>
      </w:r>
      <w:r w:rsidR="008A0338" w:rsidRPr="00FE510D">
        <w:rPr>
          <w:rFonts w:cs="Arial"/>
          <w:rtl/>
        </w:rPr>
        <w:t xml:space="preserve"> ולא מיבעיא אם אשרוש אחר כתיבה וחתימה</w:t>
      </w:r>
      <w:r w:rsidR="007428F1">
        <w:rPr>
          <w:rFonts w:cs="Arial" w:hint="cs"/>
          <w:rtl/>
        </w:rPr>
        <w:t>,</w:t>
      </w:r>
      <w:r w:rsidR="008A0338" w:rsidRPr="00FE510D">
        <w:rPr>
          <w:rFonts w:cs="Arial"/>
          <w:rtl/>
        </w:rPr>
        <w:t xml:space="preserve"> אלא אפי' לא אשרוש נמי פסול</w:t>
      </w:r>
      <w:r w:rsidR="007428F1">
        <w:rPr>
          <w:rFonts w:cs="Arial" w:hint="cs"/>
          <w:rtl/>
        </w:rPr>
        <w:t>,</w:t>
      </w:r>
      <w:r w:rsidR="008A0338" w:rsidRPr="00FE510D">
        <w:rPr>
          <w:rFonts w:cs="Arial"/>
          <w:rtl/>
        </w:rPr>
        <w:t xml:space="preserve"> כיון דמחוסר מעשה מקמי נתינה דבעינן וכתב ונתן שלא יהא מחוסר מעשה משעת כתיבה עד שעת נתינה</w:t>
      </w:r>
      <w:r w:rsidR="007428F1">
        <w:rPr>
          <w:rFonts w:cs="Arial" w:hint="cs"/>
          <w:rtl/>
        </w:rPr>
        <w:t>.</w:t>
      </w:r>
      <w:r w:rsidR="008A0338" w:rsidRPr="00FE510D">
        <w:rPr>
          <w:rFonts w:cs="Arial"/>
          <w:rtl/>
        </w:rPr>
        <w:t xml:space="preserve"> </w:t>
      </w:r>
    </w:p>
    <w:p w14:paraId="28376D57" w14:textId="18E2ADF4" w:rsidR="00BD0F91" w:rsidRDefault="00BD0F91" w:rsidP="00611698">
      <w:pPr>
        <w:rPr>
          <w:u w:val="single"/>
          <w:rtl/>
        </w:rPr>
      </w:pPr>
      <w:r w:rsidRPr="00AB4A3D">
        <w:rPr>
          <w:rFonts w:cs="Arial" w:hint="cs"/>
          <w:b/>
          <w:bCs/>
          <w:rtl/>
        </w:rPr>
        <w:t xml:space="preserve">גיטין </w:t>
      </w:r>
      <w:r w:rsidRPr="00AB4A3D">
        <w:rPr>
          <w:rFonts w:cs="Arial" w:hint="cs"/>
          <w:b/>
          <w:bCs/>
          <w:sz w:val="16"/>
          <w:szCs w:val="16"/>
          <w:rtl/>
        </w:rPr>
        <w:t>(פ"ב)</w:t>
      </w:r>
      <w:r w:rsidRPr="00AB4A3D">
        <w:rPr>
          <w:rFonts w:cs="Arial" w:hint="cs"/>
          <w:b/>
          <w:bCs/>
          <w:rtl/>
        </w:rPr>
        <w:t xml:space="preserve"> </w:t>
      </w:r>
      <w:r>
        <w:rPr>
          <w:rFonts w:cs="Arial" w:hint="cs"/>
          <w:b/>
          <w:bCs/>
          <w:rtl/>
        </w:rPr>
        <w:t>כא</w:t>
      </w:r>
      <w:r w:rsidRPr="00AB4A3D">
        <w:rPr>
          <w:rFonts w:cs="Arial" w:hint="cs"/>
          <w:b/>
          <w:bCs/>
          <w:rtl/>
        </w:rPr>
        <w:t xml:space="preserve"> ע"</w:t>
      </w:r>
      <w:r>
        <w:rPr>
          <w:rFonts w:cs="Arial" w:hint="cs"/>
          <w:b/>
          <w:bCs/>
          <w:rtl/>
        </w:rPr>
        <w:t>ב</w:t>
      </w:r>
      <w:r w:rsidRPr="00AB4A3D">
        <w:rPr>
          <w:rFonts w:cs="Arial" w:hint="cs"/>
          <w:b/>
          <w:bCs/>
          <w:rtl/>
        </w:rPr>
        <w:t>:</w:t>
      </w:r>
      <w:r>
        <w:rPr>
          <w:rFonts w:cs="Arial" w:hint="cs"/>
          <w:rtl/>
        </w:rPr>
        <w:t xml:space="preserve"> </w:t>
      </w:r>
      <w:r w:rsidR="00B13C7E" w:rsidRPr="00B13C7E">
        <w:rPr>
          <w:rFonts w:cs="Arial"/>
          <w:rtl/>
        </w:rPr>
        <w:t xml:space="preserve">כתבו על חרס של עציץ נקוב </w:t>
      </w:r>
      <w:r w:rsidR="00A82951">
        <w:rPr>
          <w:rFonts w:cs="Arial"/>
          <w:rtl/>
        </w:rPr>
        <w:t>-</w:t>
      </w:r>
      <w:r w:rsidR="00B13C7E" w:rsidRPr="00B13C7E">
        <w:rPr>
          <w:rFonts w:cs="Arial"/>
          <w:rtl/>
        </w:rPr>
        <w:t xml:space="preserve"> כשר, דשקיל ליה</w:t>
      </w:r>
      <w:r w:rsidR="00B13C7E">
        <w:rPr>
          <w:rStyle w:val="a7"/>
          <w:rFonts w:cs="Arial"/>
          <w:rtl/>
        </w:rPr>
        <w:footnoteReference w:id="461"/>
      </w:r>
      <w:r w:rsidR="00B13C7E" w:rsidRPr="00B13C7E">
        <w:rPr>
          <w:rFonts w:cs="Arial"/>
          <w:rtl/>
        </w:rPr>
        <w:t xml:space="preserve"> ויהיב ליה ניהלה. </w:t>
      </w:r>
    </w:p>
    <w:p w14:paraId="42F8F7DD" w14:textId="1689315D" w:rsidR="00611698" w:rsidRPr="00ED224B" w:rsidRDefault="00611698" w:rsidP="00611698">
      <w:pPr>
        <w:rPr>
          <w:u w:val="single"/>
        </w:rPr>
      </w:pPr>
      <w:r w:rsidRPr="00ED224B">
        <w:rPr>
          <w:rFonts w:hint="cs"/>
          <w:u w:val="single"/>
          <w:rtl/>
        </w:rPr>
        <w:t xml:space="preserve">כתיבת גט על </w:t>
      </w:r>
      <w:r w:rsidRPr="00ED224B">
        <w:rPr>
          <w:rFonts w:hint="cs"/>
          <w:b/>
          <w:bCs/>
          <w:u w:val="single"/>
          <w:rtl/>
        </w:rPr>
        <w:t>חרס</w:t>
      </w:r>
      <w:r w:rsidRPr="00ED224B">
        <w:rPr>
          <w:rFonts w:hint="cs"/>
          <w:u w:val="single"/>
          <w:rtl/>
        </w:rPr>
        <w:t xml:space="preserve"> של עציץ</w:t>
      </w:r>
      <w:r>
        <w:rPr>
          <w:rFonts w:hint="cs"/>
          <w:u w:val="single"/>
          <w:rtl/>
        </w:rPr>
        <w:t xml:space="preserve"> נקוב</w:t>
      </w:r>
      <w:r w:rsidRPr="00ED224B">
        <w:rPr>
          <w:rFonts w:hint="cs"/>
          <w:u w:val="single"/>
          <w:rtl/>
        </w:rPr>
        <w:t>:</w:t>
      </w:r>
    </w:p>
    <w:p w14:paraId="6449B239" w14:textId="3A952EB3" w:rsidR="00611698" w:rsidRDefault="00611698" w:rsidP="00611698">
      <w:pPr>
        <w:pStyle w:val="ab"/>
        <w:numPr>
          <w:ilvl w:val="0"/>
          <w:numId w:val="41"/>
        </w:numPr>
      </w:pPr>
      <w:r>
        <w:rPr>
          <w:rFonts w:cs="Arial" w:hint="cs"/>
          <w:rtl/>
        </w:rPr>
        <w:t>טור</w:t>
      </w:r>
      <w:r w:rsidR="00A82951">
        <w:rPr>
          <w:rFonts w:cs="Arial" w:hint="cs"/>
          <w:rtl/>
        </w:rPr>
        <w:t>-</w:t>
      </w:r>
      <w:r>
        <w:rPr>
          <w:rFonts w:cs="Arial" w:hint="cs"/>
          <w:rtl/>
        </w:rPr>
        <w:t xml:space="preserve"> </w:t>
      </w:r>
      <w:r w:rsidRPr="00FE510D">
        <w:rPr>
          <w:rFonts w:cs="Arial"/>
          <w:rtl/>
        </w:rPr>
        <w:t xml:space="preserve">כתבו על חרס של עציץ נקוב </w:t>
      </w:r>
      <w:r w:rsidR="00A82951">
        <w:rPr>
          <w:rFonts w:cs="Arial" w:hint="cs"/>
          <w:rtl/>
        </w:rPr>
        <w:t>-</w:t>
      </w:r>
      <w:r>
        <w:rPr>
          <w:rFonts w:cs="Arial" w:hint="cs"/>
          <w:rtl/>
        </w:rPr>
        <w:t xml:space="preserve"> </w:t>
      </w:r>
      <w:r w:rsidRPr="00FE510D">
        <w:rPr>
          <w:rFonts w:cs="Arial"/>
          <w:rtl/>
        </w:rPr>
        <w:t>כשר</w:t>
      </w:r>
      <w:r>
        <w:rPr>
          <w:rFonts w:cs="Arial" w:hint="cs"/>
          <w:rtl/>
        </w:rPr>
        <w:t>,</w:t>
      </w:r>
      <w:r w:rsidRPr="00FE510D">
        <w:rPr>
          <w:rFonts w:cs="Arial"/>
          <w:rtl/>
        </w:rPr>
        <w:t xml:space="preserve"> ויתן לה החרס כמו שהוא</w:t>
      </w:r>
      <w:r>
        <w:rPr>
          <w:rFonts w:cs="Arial" w:hint="cs"/>
          <w:rtl/>
        </w:rPr>
        <w:t>,</w:t>
      </w:r>
      <w:r w:rsidRPr="00FE510D">
        <w:rPr>
          <w:rFonts w:cs="Arial"/>
          <w:rtl/>
        </w:rPr>
        <w:t xml:space="preserve"> ולא חיישינן שמא יקטום שבר ממנו ויתן לה</w:t>
      </w:r>
      <w:r>
        <w:rPr>
          <w:rFonts w:cs="Arial" w:hint="cs"/>
          <w:rtl/>
        </w:rPr>
        <w:t>.</w:t>
      </w:r>
      <w:r w:rsidRPr="00FE510D">
        <w:rPr>
          <w:rFonts w:cs="Arial"/>
          <w:rtl/>
        </w:rPr>
        <w:t xml:space="preserve"> והוא שיהיו עדי מסירה לפנינו</w:t>
      </w:r>
      <w:r>
        <w:rPr>
          <w:rFonts w:cs="Arial" w:hint="cs"/>
          <w:rtl/>
        </w:rPr>
        <w:t>,</w:t>
      </w:r>
      <w:r w:rsidRPr="00FE510D">
        <w:rPr>
          <w:rFonts w:cs="Arial"/>
          <w:rtl/>
        </w:rPr>
        <w:t xml:space="preserve"> שחרס דבר המזדייף הוא</w:t>
      </w:r>
      <w:r w:rsidR="0051678E">
        <w:rPr>
          <w:rStyle w:val="a7"/>
          <w:rFonts w:cs="Arial"/>
          <w:rtl/>
        </w:rPr>
        <w:footnoteReference w:id="462"/>
      </w:r>
      <w:r>
        <w:rPr>
          <w:rFonts w:cs="Arial" w:hint="cs"/>
          <w:rtl/>
        </w:rPr>
        <w:t>.</w:t>
      </w:r>
      <w:r w:rsidRPr="00FE510D">
        <w:rPr>
          <w:rFonts w:cs="Arial"/>
          <w:rtl/>
        </w:rPr>
        <w:t xml:space="preserve"> </w:t>
      </w:r>
      <w:r w:rsidR="00D575D3" w:rsidRPr="00DD1DEB">
        <w:rPr>
          <w:rFonts w:hint="cs"/>
          <w:color w:val="E36C0A" w:themeColor="accent6" w:themeShade="BF"/>
          <w:rtl/>
        </w:rPr>
        <w:t>(וכ"פ בשו"ע)</w:t>
      </w:r>
    </w:p>
    <w:p w14:paraId="36A67F7C" w14:textId="3BA6615C" w:rsidR="00B13C7E" w:rsidRPr="00B13C7E" w:rsidRDefault="00B13C7E" w:rsidP="00B13C7E">
      <w:pPr>
        <w:rPr>
          <w:u w:val="single"/>
          <w:rtl/>
        </w:rPr>
      </w:pPr>
      <w:r w:rsidRPr="00B13C7E">
        <w:rPr>
          <w:rFonts w:cs="Arial" w:hint="cs"/>
          <w:b/>
          <w:bCs/>
          <w:rtl/>
        </w:rPr>
        <w:t xml:space="preserve">גיטין </w:t>
      </w:r>
      <w:r w:rsidRPr="00B13C7E">
        <w:rPr>
          <w:rFonts w:cs="Arial" w:hint="cs"/>
          <w:b/>
          <w:bCs/>
          <w:sz w:val="16"/>
          <w:szCs w:val="16"/>
          <w:rtl/>
        </w:rPr>
        <w:t>(פ"ב)</w:t>
      </w:r>
      <w:r w:rsidRPr="00B13C7E">
        <w:rPr>
          <w:rFonts w:cs="Arial" w:hint="cs"/>
          <w:b/>
          <w:bCs/>
          <w:rtl/>
        </w:rPr>
        <w:t xml:space="preserve"> כא ע"ב:</w:t>
      </w:r>
      <w:r w:rsidRPr="00B13C7E">
        <w:rPr>
          <w:rFonts w:cs="Arial" w:hint="cs"/>
          <w:rtl/>
        </w:rPr>
        <w:t xml:space="preserve"> </w:t>
      </w:r>
      <w:r w:rsidRPr="00B13C7E">
        <w:rPr>
          <w:rFonts w:cs="Arial"/>
          <w:rtl/>
        </w:rPr>
        <w:t>כתבו</w:t>
      </w:r>
      <w:r w:rsidR="0051678E">
        <w:rPr>
          <w:rFonts w:cs="Arial" w:hint="cs"/>
          <w:rtl/>
        </w:rPr>
        <w:t xml:space="preserve">... </w:t>
      </w:r>
      <w:r w:rsidRPr="00B13C7E">
        <w:rPr>
          <w:rFonts w:cs="Arial"/>
          <w:rtl/>
        </w:rPr>
        <w:t>על עלה של עציץ נקוב</w:t>
      </w:r>
      <w:r w:rsidR="0051678E">
        <w:rPr>
          <w:rFonts w:cs="Arial" w:hint="cs"/>
          <w:rtl/>
        </w:rPr>
        <w:t>,</w:t>
      </w:r>
      <w:r w:rsidRPr="00B13C7E">
        <w:rPr>
          <w:rFonts w:cs="Arial"/>
          <w:rtl/>
        </w:rPr>
        <w:t xml:space="preserve"> </w:t>
      </w:r>
      <w:r w:rsidRPr="0051678E">
        <w:rPr>
          <w:rFonts w:cs="Arial"/>
          <w:u w:val="single"/>
          <w:rtl/>
        </w:rPr>
        <w:t>אביי אמר</w:t>
      </w:r>
      <w:r w:rsidRPr="00B13C7E">
        <w:rPr>
          <w:rFonts w:cs="Arial"/>
          <w:rtl/>
        </w:rPr>
        <w:t>: כשר</w:t>
      </w:r>
      <w:r w:rsidR="0051678E">
        <w:rPr>
          <w:rFonts w:cs="Arial" w:hint="cs"/>
          <w:rtl/>
        </w:rPr>
        <w:t>.</w:t>
      </w:r>
      <w:r w:rsidRPr="00B13C7E">
        <w:rPr>
          <w:rFonts w:cs="Arial"/>
          <w:rtl/>
        </w:rPr>
        <w:t xml:space="preserve"> </w:t>
      </w:r>
      <w:r w:rsidRPr="0051678E">
        <w:rPr>
          <w:rFonts w:cs="Arial"/>
          <w:u w:val="single"/>
          <w:rtl/>
        </w:rPr>
        <w:t>ורבא אמר</w:t>
      </w:r>
      <w:r w:rsidRPr="00B13C7E">
        <w:rPr>
          <w:rFonts w:cs="Arial"/>
          <w:rtl/>
        </w:rPr>
        <w:t>: פסול. אביי אמר כשר,</w:t>
      </w:r>
      <w:r w:rsidR="0051678E">
        <w:rPr>
          <w:rFonts w:hint="cs"/>
          <w:sz w:val="14"/>
          <w:szCs w:val="14"/>
          <w:rtl/>
        </w:rPr>
        <w:t xml:space="preserve"> (כב.) </w:t>
      </w:r>
      <w:r w:rsidRPr="00B13C7E">
        <w:rPr>
          <w:rFonts w:cs="Arial"/>
          <w:rtl/>
        </w:rPr>
        <w:t>דשקיל ליה ויהיב ליה ניהלה</w:t>
      </w:r>
      <w:r w:rsidRPr="00B13C7E">
        <w:rPr>
          <w:rFonts w:cs="Arial" w:hint="cs"/>
          <w:rtl/>
        </w:rPr>
        <w:t>.</w:t>
      </w:r>
      <w:r w:rsidRPr="00B13C7E">
        <w:rPr>
          <w:rFonts w:cs="Arial"/>
          <w:rtl/>
        </w:rPr>
        <w:t xml:space="preserve"> רבא אמר פסול, גזרה שמא יקטום. </w:t>
      </w:r>
      <w:r w:rsidR="009B76DF">
        <w:rPr>
          <w:rFonts w:cs="Arial" w:hint="cs"/>
          <w:sz w:val="16"/>
          <w:szCs w:val="16"/>
          <w:rtl/>
        </w:rPr>
        <w:t>(</w:t>
      </w:r>
      <w:r w:rsidR="009B76DF" w:rsidRPr="009B76DF">
        <w:rPr>
          <w:rFonts w:cs="Arial"/>
          <w:sz w:val="16"/>
          <w:szCs w:val="16"/>
          <w:rtl/>
        </w:rPr>
        <w:t>וידוע (רי"ף ב"מ כ.) דהלכה כרבא</w:t>
      </w:r>
      <w:r w:rsidR="009B76DF">
        <w:rPr>
          <w:rFonts w:cs="Arial" w:hint="cs"/>
          <w:sz w:val="16"/>
          <w:szCs w:val="16"/>
          <w:rtl/>
        </w:rPr>
        <w:t>, ב"י)</w:t>
      </w:r>
    </w:p>
    <w:p w14:paraId="7A4725D8" w14:textId="77777777" w:rsidR="00611698" w:rsidRPr="00ED224B" w:rsidRDefault="00611698" w:rsidP="00611698">
      <w:r w:rsidRPr="00ED224B">
        <w:rPr>
          <w:rFonts w:hint="cs"/>
          <w:u w:val="single"/>
          <w:rtl/>
        </w:rPr>
        <w:t xml:space="preserve">כתיבת גט על </w:t>
      </w:r>
      <w:r w:rsidRPr="00ED224B">
        <w:rPr>
          <w:rFonts w:hint="cs"/>
          <w:b/>
          <w:bCs/>
          <w:u w:val="single"/>
          <w:rtl/>
        </w:rPr>
        <w:t>עלה</w:t>
      </w:r>
      <w:r w:rsidRPr="00ED224B">
        <w:rPr>
          <w:rFonts w:hint="cs"/>
          <w:u w:val="single"/>
          <w:rtl/>
        </w:rPr>
        <w:t xml:space="preserve"> של עציץ</w:t>
      </w:r>
      <w:r>
        <w:rPr>
          <w:rFonts w:hint="cs"/>
          <w:u w:val="single"/>
          <w:rtl/>
        </w:rPr>
        <w:t xml:space="preserve"> נקוב</w:t>
      </w:r>
      <w:r w:rsidRPr="00ED224B">
        <w:rPr>
          <w:rFonts w:hint="cs"/>
          <w:u w:val="single"/>
          <w:rtl/>
        </w:rPr>
        <w:t>:</w:t>
      </w:r>
    </w:p>
    <w:p w14:paraId="1683DA50" w14:textId="12245DF5" w:rsidR="00611698" w:rsidRDefault="001E4FBC" w:rsidP="00611698">
      <w:pPr>
        <w:pStyle w:val="ab"/>
        <w:numPr>
          <w:ilvl w:val="0"/>
          <w:numId w:val="41"/>
        </w:numPr>
      </w:pPr>
      <w:r>
        <w:rPr>
          <w:rFonts w:cs="Arial" w:hint="cs"/>
          <w:rtl/>
        </w:rPr>
        <w:t xml:space="preserve">רמב"ם </w:t>
      </w:r>
      <w:r w:rsidRPr="001E4FBC">
        <w:rPr>
          <w:rFonts w:cs="Arial" w:hint="cs"/>
          <w:sz w:val="16"/>
          <w:szCs w:val="16"/>
          <w:rtl/>
        </w:rPr>
        <w:t>(</w:t>
      </w:r>
      <w:r w:rsidRPr="001E4FBC">
        <w:rPr>
          <w:rFonts w:cs="Arial"/>
          <w:sz w:val="16"/>
          <w:szCs w:val="16"/>
          <w:rtl/>
        </w:rPr>
        <w:t>פ</w:t>
      </w:r>
      <w:r w:rsidRPr="001E4FBC">
        <w:rPr>
          <w:rFonts w:cs="Arial" w:hint="cs"/>
          <w:sz w:val="16"/>
          <w:szCs w:val="16"/>
          <w:rtl/>
        </w:rPr>
        <w:t>"</w:t>
      </w:r>
      <w:r w:rsidRPr="001E4FBC">
        <w:rPr>
          <w:rFonts w:cs="Arial"/>
          <w:sz w:val="16"/>
          <w:szCs w:val="16"/>
          <w:rtl/>
        </w:rPr>
        <w:t>א ה"ח)</w:t>
      </w:r>
      <w:r>
        <w:rPr>
          <w:rFonts w:cs="Arial" w:hint="cs"/>
          <w:rtl/>
        </w:rPr>
        <w:t xml:space="preserve"> ו</w:t>
      </w:r>
      <w:r w:rsidR="00611698">
        <w:rPr>
          <w:rFonts w:cs="Arial" w:hint="cs"/>
          <w:rtl/>
        </w:rPr>
        <w:t>טור</w:t>
      </w:r>
      <w:r w:rsidR="00A82951">
        <w:rPr>
          <w:rFonts w:cs="Arial" w:hint="cs"/>
          <w:rtl/>
        </w:rPr>
        <w:t>-</w:t>
      </w:r>
      <w:r w:rsidR="00611698">
        <w:rPr>
          <w:rFonts w:cs="Arial" w:hint="cs"/>
          <w:rtl/>
        </w:rPr>
        <w:t xml:space="preserve"> </w:t>
      </w:r>
      <w:r w:rsidR="00611698" w:rsidRPr="00FE510D">
        <w:rPr>
          <w:rFonts w:cs="Arial"/>
          <w:rtl/>
        </w:rPr>
        <w:t xml:space="preserve">כתבו על עלה של עציץ נקוב </w:t>
      </w:r>
      <w:r w:rsidR="00A82951">
        <w:rPr>
          <w:rFonts w:cs="Arial" w:hint="cs"/>
          <w:rtl/>
        </w:rPr>
        <w:t>-</w:t>
      </w:r>
      <w:r w:rsidR="00611698">
        <w:rPr>
          <w:rFonts w:cs="Arial" w:hint="cs"/>
          <w:rtl/>
        </w:rPr>
        <w:t xml:space="preserve"> </w:t>
      </w:r>
      <w:r w:rsidR="00611698" w:rsidRPr="00FE510D">
        <w:rPr>
          <w:rFonts w:cs="Arial"/>
          <w:rtl/>
        </w:rPr>
        <w:t>פסול</w:t>
      </w:r>
      <w:r w:rsidR="00611698">
        <w:rPr>
          <w:rFonts w:cs="Arial" w:hint="cs"/>
          <w:rtl/>
        </w:rPr>
        <w:t>,</w:t>
      </w:r>
      <w:r w:rsidR="00611698" w:rsidRPr="00FE510D">
        <w:rPr>
          <w:rFonts w:cs="Arial"/>
          <w:rtl/>
        </w:rPr>
        <w:t xml:space="preserve"> שמא יקטום ויתן לה</w:t>
      </w:r>
      <w:r>
        <w:rPr>
          <w:rFonts w:cs="Arial" w:hint="cs"/>
          <w:sz w:val="16"/>
          <w:szCs w:val="16"/>
          <w:rtl/>
        </w:rPr>
        <w:t xml:space="preserve"> (ל' הטור)</w:t>
      </w:r>
      <w:r w:rsidR="00611698">
        <w:rPr>
          <w:rFonts w:cs="Arial" w:hint="cs"/>
          <w:rtl/>
        </w:rPr>
        <w:t>.</w:t>
      </w:r>
      <w:r w:rsidR="00611698" w:rsidRPr="00FE510D">
        <w:rPr>
          <w:rFonts w:cs="Arial"/>
          <w:rtl/>
        </w:rPr>
        <w:t xml:space="preserve"> </w:t>
      </w:r>
      <w:r w:rsidR="00545877" w:rsidRPr="00DD1DEB">
        <w:rPr>
          <w:rFonts w:hint="cs"/>
          <w:color w:val="E36C0A" w:themeColor="accent6" w:themeShade="BF"/>
          <w:rtl/>
        </w:rPr>
        <w:t>(וכ"פ בשו"ע)</w:t>
      </w:r>
    </w:p>
    <w:p w14:paraId="590C78C1" w14:textId="145134A3" w:rsidR="001E4FBC" w:rsidRPr="001E4FBC" w:rsidRDefault="00D16C0D" w:rsidP="00D16C0D">
      <w:pPr>
        <w:pStyle w:val="ab"/>
        <w:numPr>
          <w:ilvl w:val="0"/>
          <w:numId w:val="41"/>
        </w:numPr>
      </w:pPr>
      <w:r>
        <w:rPr>
          <w:rFonts w:cs="Arial" w:hint="cs"/>
          <w:rtl/>
        </w:rPr>
        <w:t xml:space="preserve">בהעי"ט </w:t>
      </w:r>
      <w:r w:rsidRPr="00D16C0D">
        <w:rPr>
          <w:rFonts w:cs="Arial" w:hint="cs"/>
          <w:sz w:val="16"/>
          <w:szCs w:val="16"/>
          <w:rtl/>
        </w:rPr>
        <w:t>(</w:t>
      </w:r>
      <w:r w:rsidRPr="00D16C0D">
        <w:rPr>
          <w:rFonts w:cs="Arial"/>
          <w:sz w:val="16"/>
          <w:szCs w:val="16"/>
          <w:rtl/>
        </w:rPr>
        <w:t>מאמר ז</w:t>
      </w:r>
      <w:r w:rsidRPr="00D16C0D">
        <w:rPr>
          <w:rFonts w:cs="Arial" w:hint="cs"/>
          <w:sz w:val="16"/>
          <w:szCs w:val="16"/>
          <w:rtl/>
        </w:rPr>
        <w:t>)</w:t>
      </w:r>
      <w:r w:rsidR="00A82951">
        <w:rPr>
          <w:rFonts w:cs="Arial" w:hint="cs"/>
          <w:rtl/>
        </w:rPr>
        <w:t>-</w:t>
      </w:r>
      <w:r w:rsidRPr="00D16C0D">
        <w:rPr>
          <w:rFonts w:cs="Arial"/>
          <w:rtl/>
        </w:rPr>
        <w:t xml:space="preserve"> כתבו על עלה של עציץ נקוב דפסל רבא גזירה שמא יקטום מסתברא שאם נתנו לה </w:t>
      </w:r>
      <w:r w:rsidR="00A82951">
        <w:rPr>
          <w:rFonts w:cs="Arial" w:hint="cs"/>
          <w:rtl/>
        </w:rPr>
        <w:t>-</w:t>
      </w:r>
      <w:r w:rsidR="001E4FBC">
        <w:rPr>
          <w:rFonts w:cs="Arial" w:hint="cs"/>
          <w:rtl/>
        </w:rPr>
        <w:t xml:space="preserve"> </w:t>
      </w:r>
      <w:r w:rsidRPr="00D16C0D">
        <w:rPr>
          <w:rFonts w:cs="Arial"/>
          <w:rtl/>
        </w:rPr>
        <w:t>כשר</w:t>
      </w:r>
      <w:r w:rsidR="001E4FBC">
        <w:rPr>
          <w:rStyle w:val="a7"/>
          <w:rFonts w:cs="Arial"/>
          <w:rtl/>
        </w:rPr>
        <w:footnoteReference w:id="463"/>
      </w:r>
      <w:r w:rsidRPr="00D16C0D">
        <w:rPr>
          <w:rFonts w:cs="Arial" w:hint="cs"/>
          <w:rtl/>
        </w:rPr>
        <w:t>.</w:t>
      </w:r>
    </w:p>
    <w:p w14:paraId="5B5AF8DE" w14:textId="77777777" w:rsidR="00611698" w:rsidRPr="00ED224B" w:rsidRDefault="00611698" w:rsidP="00611698">
      <w:pPr>
        <w:ind w:left="360"/>
        <w:rPr>
          <w:u w:val="dotted"/>
        </w:rPr>
      </w:pPr>
      <w:r w:rsidRPr="00ED224B">
        <w:rPr>
          <w:rFonts w:hint="cs"/>
          <w:u w:val="dotted"/>
          <w:rtl/>
        </w:rPr>
        <w:t xml:space="preserve">ומה הדין אם </w:t>
      </w:r>
      <w:r>
        <w:rPr>
          <w:rFonts w:hint="cs"/>
          <w:u w:val="dotted"/>
          <w:rtl/>
        </w:rPr>
        <w:t xml:space="preserve">העציץ </w:t>
      </w:r>
      <w:r w:rsidRPr="00ED224B">
        <w:rPr>
          <w:rFonts w:hint="cs"/>
          <w:u w:val="dotted"/>
          <w:rtl/>
        </w:rPr>
        <w:t>אינו נקוב:</w:t>
      </w:r>
    </w:p>
    <w:p w14:paraId="4C0A3344" w14:textId="5EE45938" w:rsidR="00611698" w:rsidRPr="00ED224B" w:rsidRDefault="004D19CA" w:rsidP="00611698">
      <w:pPr>
        <w:pStyle w:val="ab"/>
        <w:numPr>
          <w:ilvl w:val="0"/>
          <w:numId w:val="41"/>
        </w:numPr>
      </w:pPr>
      <w:r>
        <w:rPr>
          <w:rFonts w:cs="Arial" w:hint="cs"/>
          <w:rtl/>
        </w:rPr>
        <w:t>רשב"ם</w:t>
      </w:r>
      <w:r>
        <w:rPr>
          <w:rStyle w:val="a7"/>
          <w:rFonts w:cs="Arial"/>
          <w:rtl/>
        </w:rPr>
        <w:footnoteReference w:id="464"/>
      </w:r>
      <w:r>
        <w:rPr>
          <w:rFonts w:cs="Arial" w:hint="cs"/>
          <w:rtl/>
        </w:rPr>
        <w:t xml:space="preserve"> </w:t>
      </w:r>
      <w:r w:rsidRPr="00CD2508">
        <w:rPr>
          <w:rFonts w:cs="Arial" w:hint="cs"/>
          <w:sz w:val="16"/>
          <w:szCs w:val="16"/>
          <w:rtl/>
        </w:rPr>
        <w:t>(</w:t>
      </w:r>
      <w:r>
        <w:rPr>
          <w:rFonts w:cs="Arial" w:hint="cs"/>
          <w:sz w:val="16"/>
          <w:szCs w:val="16"/>
          <w:rtl/>
        </w:rPr>
        <w:t>כ"כ בשמו התוס' [</w:t>
      </w:r>
      <w:r w:rsidRPr="00CD2508">
        <w:rPr>
          <w:rFonts w:cs="Arial" w:hint="cs"/>
          <w:sz w:val="16"/>
          <w:szCs w:val="16"/>
          <w:rtl/>
        </w:rPr>
        <w:t>כא: ד"ה יצא זה</w:t>
      </w:r>
      <w:r>
        <w:rPr>
          <w:rFonts w:cs="Arial" w:hint="cs"/>
          <w:sz w:val="16"/>
          <w:szCs w:val="16"/>
          <w:rtl/>
        </w:rPr>
        <w:t>]</w:t>
      </w:r>
      <w:r w:rsidRPr="00CD2508">
        <w:rPr>
          <w:rFonts w:cs="Arial" w:hint="cs"/>
          <w:sz w:val="16"/>
          <w:szCs w:val="16"/>
          <w:rtl/>
        </w:rPr>
        <w:t>)</w:t>
      </w:r>
      <w:r>
        <w:rPr>
          <w:rFonts w:cs="Arial" w:hint="cs"/>
          <w:rtl/>
        </w:rPr>
        <w:t xml:space="preserve"> </w:t>
      </w:r>
      <w:r w:rsidR="007275C2">
        <w:rPr>
          <w:rFonts w:cs="Arial" w:hint="cs"/>
          <w:rtl/>
        </w:rPr>
        <w:t xml:space="preserve">רבנו שמעיה </w:t>
      </w:r>
      <w:r w:rsidR="007275C2">
        <w:rPr>
          <w:rFonts w:cs="Arial" w:hint="cs"/>
          <w:sz w:val="16"/>
          <w:szCs w:val="16"/>
          <w:rtl/>
        </w:rPr>
        <w:t xml:space="preserve">(כ"כ התוס' [שם] בשמו) </w:t>
      </w:r>
      <w:r>
        <w:rPr>
          <w:rFonts w:cs="Arial" w:hint="cs"/>
          <w:rtl/>
        </w:rPr>
        <w:t>ו</w:t>
      </w:r>
      <w:r w:rsidR="00611698">
        <w:rPr>
          <w:rFonts w:cs="Arial" w:hint="cs"/>
          <w:rtl/>
        </w:rPr>
        <w:t>בהעי"ט</w:t>
      </w:r>
      <w:r w:rsidR="00420431">
        <w:rPr>
          <w:rFonts w:cs="Arial" w:hint="cs"/>
          <w:sz w:val="16"/>
          <w:szCs w:val="16"/>
          <w:rtl/>
        </w:rPr>
        <w:t xml:space="preserve"> (כ"כ הטור בשמו)</w:t>
      </w:r>
      <w:r w:rsidR="00A82951">
        <w:rPr>
          <w:rFonts w:cs="Arial" w:hint="cs"/>
          <w:rtl/>
        </w:rPr>
        <w:t>-</w:t>
      </w:r>
      <w:r w:rsidR="00611698" w:rsidRPr="00FE510D">
        <w:rPr>
          <w:rFonts w:cs="Arial"/>
          <w:rtl/>
        </w:rPr>
        <w:t xml:space="preserve"> כשאינו נקוב כשר אפי' אם קוטם ונותן לה</w:t>
      </w:r>
      <w:r>
        <w:rPr>
          <w:rFonts w:cs="Arial" w:hint="cs"/>
          <w:sz w:val="16"/>
          <w:szCs w:val="16"/>
          <w:rtl/>
        </w:rPr>
        <w:t xml:space="preserve"> (ל' הטור בשם בהעי"ט)</w:t>
      </w:r>
      <w:r w:rsidR="00611698">
        <w:rPr>
          <w:rFonts w:cs="Arial" w:hint="cs"/>
          <w:rtl/>
        </w:rPr>
        <w:t>.</w:t>
      </w:r>
      <w:r w:rsidR="00611698" w:rsidRPr="00FE510D">
        <w:rPr>
          <w:rFonts w:cs="Arial"/>
          <w:rtl/>
        </w:rPr>
        <w:t xml:space="preserve"> </w:t>
      </w:r>
    </w:p>
    <w:p w14:paraId="5EFAC44F" w14:textId="406C39E3" w:rsidR="00567FC4" w:rsidRPr="000C19E9" w:rsidRDefault="00611698" w:rsidP="004D19CA">
      <w:pPr>
        <w:pStyle w:val="ab"/>
        <w:numPr>
          <w:ilvl w:val="0"/>
          <w:numId w:val="41"/>
        </w:numPr>
        <w:rPr>
          <w:rtl/>
        </w:rPr>
      </w:pPr>
      <w:r>
        <w:rPr>
          <w:rFonts w:cs="Arial" w:hint="cs"/>
          <w:rtl/>
        </w:rPr>
        <w:t>בה"ג ור"ת</w:t>
      </w:r>
      <w:r w:rsidR="00567FC4">
        <w:rPr>
          <w:rFonts w:cs="Arial" w:hint="cs"/>
          <w:rtl/>
        </w:rPr>
        <w:t xml:space="preserve"> </w:t>
      </w:r>
      <w:r w:rsidR="00567FC4" w:rsidRPr="00567FC4">
        <w:rPr>
          <w:rFonts w:cs="Arial" w:hint="cs"/>
          <w:sz w:val="16"/>
          <w:szCs w:val="16"/>
          <w:rtl/>
        </w:rPr>
        <w:t xml:space="preserve">(כ"כ </w:t>
      </w:r>
      <w:r w:rsidR="00AC7F77">
        <w:rPr>
          <w:rFonts w:cs="Arial" w:hint="cs"/>
          <w:sz w:val="16"/>
          <w:szCs w:val="16"/>
          <w:rtl/>
        </w:rPr>
        <w:t xml:space="preserve">בשמם תוס' [כא:] </w:t>
      </w:r>
      <w:r w:rsidR="00567FC4" w:rsidRPr="00567FC4">
        <w:rPr>
          <w:rFonts w:cs="Arial" w:hint="cs"/>
          <w:sz w:val="16"/>
          <w:szCs w:val="16"/>
          <w:rtl/>
        </w:rPr>
        <w:t xml:space="preserve">רא"ש [סכ"ב] </w:t>
      </w:r>
      <w:r w:rsidR="00AC7F77">
        <w:rPr>
          <w:rFonts w:cs="Arial" w:hint="cs"/>
          <w:sz w:val="16"/>
          <w:szCs w:val="16"/>
          <w:rtl/>
        </w:rPr>
        <w:t>ו</w:t>
      </w:r>
      <w:r w:rsidR="00567FC4" w:rsidRPr="00567FC4">
        <w:rPr>
          <w:rFonts w:cs="Arial" w:hint="cs"/>
          <w:sz w:val="16"/>
          <w:szCs w:val="16"/>
          <w:rtl/>
        </w:rPr>
        <w:t>טור)</w:t>
      </w:r>
      <w:r w:rsidR="00A82951">
        <w:rPr>
          <w:rFonts w:cs="Arial" w:hint="cs"/>
          <w:rtl/>
        </w:rPr>
        <w:t>-</w:t>
      </w:r>
      <w:r>
        <w:rPr>
          <w:rFonts w:cs="Arial" w:hint="cs"/>
          <w:rtl/>
        </w:rPr>
        <w:t xml:space="preserve"> </w:t>
      </w:r>
      <w:r w:rsidRPr="00FE510D">
        <w:rPr>
          <w:rFonts w:cs="Arial"/>
          <w:rtl/>
        </w:rPr>
        <w:t>פסול</w:t>
      </w:r>
      <w:r w:rsidR="00567FC4">
        <w:rPr>
          <w:rStyle w:val="a7"/>
          <w:rFonts w:cs="Arial"/>
          <w:rtl/>
        </w:rPr>
        <w:footnoteReference w:id="465"/>
      </w:r>
      <w:r w:rsidR="00AC7F77">
        <w:rPr>
          <w:rFonts w:cs="Arial" w:hint="cs"/>
          <w:rtl/>
        </w:rPr>
        <w:t>,</w:t>
      </w:r>
      <w:r w:rsidRPr="00FE510D">
        <w:rPr>
          <w:rFonts w:cs="Arial"/>
          <w:rtl/>
        </w:rPr>
        <w:t xml:space="preserve"> </w:t>
      </w:r>
      <w:r w:rsidR="002A0DF9">
        <w:rPr>
          <w:rFonts w:cs="Arial" w:hint="cs"/>
          <w:rtl/>
        </w:rPr>
        <w:t>'ד</w:t>
      </w:r>
      <w:r w:rsidR="002A0DF9" w:rsidRPr="002A0DF9">
        <w:rPr>
          <w:rFonts w:cs="Arial"/>
          <w:rtl/>
        </w:rPr>
        <w:t>לאו דוקא נקט עלה של עציץ נקוב</w:t>
      </w:r>
      <w:r w:rsidR="00567FC4">
        <w:rPr>
          <w:rFonts w:cs="Arial" w:hint="cs"/>
          <w:rtl/>
        </w:rPr>
        <w:t>,</w:t>
      </w:r>
      <w:r w:rsidR="002A0DF9" w:rsidRPr="002A0DF9">
        <w:rPr>
          <w:rFonts w:cs="Arial"/>
          <w:rtl/>
        </w:rPr>
        <w:t xml:space="preserve"> דהוא הדין כשאינו נקוב</w:t>
      </w:r>
      <w:r w:rsidR="002A0DF9">
        <w:rPr>
          <w:rFonts w:cs="Arial" w:hint="cs"/>
          <w:rtl/>
        </w:rPr>
        <w:t>,</w:t>
      </w:r>
      <w:r w:rsidR="002A0DF9" w:rsidRPr="002A0DF9">
        <w:rPr>
          <w:rFonts w:cs="Arial"/>
          <w:rtl/>
        </w:rPr>
        <w:t xml:space="preserve"> אלא משום רבותא דאביי נקטיה דאפילו בנקוב מכשיר</w:t>
      </w:r>
      <w:r w:rsidR="002A0DF9">
        <w:rPr>
          <w:rFonts w:cs="Arial" w:hint="cs"/>
          <w:rtl/>
        </w:rPr>
        <w:t>'</w:t>
      </w:r>
      <w:r w:rsidR="00567FC4">
        <w:rPr>
          <w:rStyle w:val="a7"/>
          <w:rFonts w:cs="Arial"/>
          <w:rtl/>
        </w:rPr>
        <w:footnoteReference w:id="466"/>
      </w:r>
      <w:r w:rsidR="002A0DF9">
        <w:rPr>
          <w:rFonts w:cs="Arial" w:hint="cs"/>
          <w:sz w:val="16"/>
          <w:szCs w:val="16"/>
          <w:rtl/>
        </w:rPr>
        <w:t xml:space="preserve"> (ל' התוס' בשם ר"ת)</w:t>
      </w:r>
      <w:r w:rsidR="002A0DF9">
        <w:rPr>
          <w:rFonts w:hint="cs"/>
          <w:rtl/>
        </w:rPr>
        <w:t>.</w:t>
      </w:r>
      <w:r w:rsidR="00FE510D" w:rsidRPr="004D19CA">
        <w:rPr>
          <w:rFonts w:cs="Arial"/>
          <w:rtl/>
        </w:rPr>
        <w:t xml:space="preserve"> </w:t>
      </w:r>
    </w:p>
    <w:p w14:paraId="14DE056B"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26B646BA" w14:textId="1A9B49B2" w:rsidR="00C77C34" w:rsidRDefault="00C77C34" w:rsidP="00C77C34">
      <w:pPr>
        <w:rPr>
          <w:rFonts w:cs="Arial"/>
          <w:rtl/>
        </w:rPr>
      </w:pPr>
      <w:r w:rsidRPr="00C77C34">
        <w:rPr>
          <w:rFonts w:cs="Arial"/>
          <w:rtl/>
        </w:rPr>
        <w:t>אין כותבין גט במחובר, אפי</w:t>
      </w:r>
      <w:r w:rsidR="00605302">
        <w:rPr>
          <w:rFonts w:cs="Arial" w:hint="cs"/>
          <w:rtl/>
        </w:rPr>
        <w:t>לו</w:t>
      </w:r>
      <w:r w:rsidRPr="00C77C34">
        <w:rPr>
          <w:rFonts w:cs="Arial"/>
          <w:rtl/>
        </w:rPr>
        <w:t xml:space="preserve"> יתן לה המחובר כמו שהוא, דבעינן ונתן בידה. ואפילו חתמו העדים אחר שתלשו, ואח</w:t>
      </w:r>
      <w:r w:rsidR="00545877">
        <w:rPr>
          <w:rFonts w:cs="Arial" w:hint="cs"/>
          <w:rtl/>
        </w:rPr>
        <w:t>ר כך</w:t>
      </w:r>
      <w:r w:rsidRPr="00C77C34">
        <w:rPr>
          <w:rFonts w:cs="Arial"/>
          <w:rtl/>
        </w:rPr>
        <w:t xml:space="preserve"> נתנו לה, אינו גט. ואם כתבו על העלה הזרוע בעציץ נקוב, אף על פי שנתן לה העציץ כולו</w:t>
      </w:r>
      <w:r w:rsidR="004423AB">
        <w:rPr>
          <w:rStyle w:val="a7"/>
          <w:rFonts w:cs="Arial"/>
          <w:rtl/>
        </w:rPr>
        <w:footnoteReference w:id="467"/>
      </w:r>
      <w:r w:rsidRPr="00C77C34">
        <w:rPr>
          <w:rFonts w:cs="Arial"/>
          <w:rtl/>
        </w:rPr>
        <w:t>, פסול, שמא יקטום</w:t>
      </w:r>
      <w:r w:rsidR="004423AB">
        <w:rPr>
          <w:rStyle w:val="a7"/>
          <w:rFonts w:cs="Arial"/>
          <w:rtl/>
        </w:rPr>
        <w:footnoteReference w:id="468"/>
      </w:r>
      <w:r w:rsidRPr="00C77C34">
        <w:rPr>
          <w:rFonts w:cs="Arial"/>
          <w:rtl/>
        </w:rPr>
        <w:t xml:space="preserve">. </w:t>
      </w:r>
      <w:r w:rsidRPr="006D7DE7">
        <w:rPr>
          <w:rFonts w:cs="Arial"/>
          <w:sz w:val="18"/>
          <w:szCs w:val="18"/>
          <w:rtl/>
        </w:rPr>
        <w:t>הגה: וה"ה בעציץ שאינו נקוב</w:t>
      </w:r>
      <w:r w:rsidR="00D575D3">
        <w:rPr>
          <w:rFonts w:cs="Arial" w:hint="cs"/>
          <w:sz w:val="18"/>
          <w:szCs w:val="18"/>
          <w:rtl/>
        </w:rPr>
        <w:t xml:space="preserve"> (ר"ת לד' הטור)</w:t>
      </w:r>
      <w:r w:rsidR="00605302">
        <w:rPr>
          <w:rFonts w:cs="Arial" w:hint="cs"/>
          <w:sz w:val="18"/>
          <w:szCs w:val="18"/>
          <w:rtl/>
        </w:rPr>
        <w:t>.</w:t>
      </w:r>
      <w:r w:rsidRPr="006D7DE7">
        <w:rPr>
          <w:rFonts w:cs="Arial"/>
          <w:sz w:val="18"/>
          <w:szCs w:val="18"/>
          <w:rtl/>
        </w:rPr>
        <w:t xml:space="preserve"> וי"א דכשאינו נקוב לא גזרינן שמא יקטום</w:t>
      </w:r>
      <w:r w:rsidR="009C5222">
        <w:rPr>
          <w:rStyle w:val="a7"/>
          <w:rFonts w:cs="Arial"/>
          <w:sz w:val="18"/>
          <w:szCs w:val="18"/>
          <w:rtl/>
        </w:rPr>
        <w:footnoteReference w:id="469"/>
      </w:r>
      <w:r w:rsidRPr="006D7DE7">
        <w:rPr>
          <w:rFonts w:cs="Arial"/>
          <w:sz w:val="18"/>
          <w:szCs w:val="18"/>
          <w:rtl/>
        </w:rPr>
        <w:t xml:space="preserve"> (</w:t>
      </w:r>
      <w:r w:rsidR="004423AB">
        <w:rPr>
          <w:rFonts w:cs="Arial" w:hint="cs"/>
          <w:sz w:val="18"/>
          <w:szCs w:val="18"/>
          <w:rtl/>
        </w:rPr>
        <w:t>ר"ת לד' הרשב"א בסברא ב'</w:t>
      </w:r>
      <w:r w:rsidRPr="006D7DE7">
        <w:rPr>
          <w:rFonts w:cs="Arial"/>
          <w:sz w:val="18"/>
          <w:szCs w:val="18"/>
          <w:rtl/>
        </w:rPr>
        <w:t>).</w:t>
      </w:r>
      <w:r w:rsidRPr="00C77C34">
        <w:rPr>
          <w:rFonts w:cs="Arial"/>
          <w:rtl/>
        </w:rPr>
        <w:t xml:space="preserve"> אבל כותב הוא על חרסו של עציץ ונותן לה, והוא שיהיה עדי מסירה לפנינו</w:t>
      </w:r>
      <w:r w:rsidR="006D7DE7">
        <w:rPr>
          <w:rFonts w:cs="Arial" w:hint="cs"/>
          <w:rtl/>
        </w:rPr>
        <w:t>,</w:t>
      </w:r>
      <w:r w:rsidRPr="00C77C34">
        <w:rPr>
          <w:rFonts w:cs="Arial"/>
          <w:rtl/>
        </w:rPr>
        <w:t xml:space="preserve"> שחרס דבר המזדייף הוא. </w:t>
      </w:r>
    </w:p>
    <w:p w14:paraId="229D80DF" w14:textId="77777777" w:rsidR="00FE510D" w:rsidRPr="00C77C34" w:rsidRDefault="00FE510D" w:rsidP="00C77C34">
      <w:pPr>
        <w:rPr>
          <w:rFonts w:cs="Arial"/>
          <w:rtl/>
        </w:rPr>
      </w:pPr>
    </w:p>
    <w:p w14:paraId="39C40970" w14:textId="3BDF490A" w:rsidR="00C77C34" w:rsidRDefault="00C77C34" w:rsidP="00786DE6">
      <w:pPr>
        <w:pStyle w:val="2"/>
        <w:rPr>
          <w:rtl/>
        </w:rPr>
      </w:pPr>
      <w:r w:rsidRPr="00C77C34">
        <w:rPr>
          <w:rtl/>
        </w:rPr>
        <w:t>סעיף ה</w:t>
      </w:r>
      <w:r w:rsidR="00545877">
        <w:rPr>
          <w:rFonts w:hint="cs"/>
          <w:rtl/>
        </w:rPr>
        <w:t xml:space="preserve">: טופס הגט </w:t>
      </w:r>
      <w:r w:rsidR="00D575D3">
        <w:rPr>
          <w:rFonts w:hint="cs"/>
          <w:rtl/>
        </w:rPr>
        <w:t xml:space="preserve">על דבר </w:t>
      </w:r>
      <w:r w:rsidR="00545877">
        <w:rPr>
          <w:rFonts w:hint="cs"/>
          <w:rtl/>
        </w:rPr>
        <w:t>מחובר.</w:t>
      </w:r>
    </w:p>
    <w:p w14:paraId="31C1ACCC" w14:textId="343A032B" w:rsidR="00545877" w:rsidRPr="00545877" w:rsidRDefault="00545877" w:rsidP="00545877">
      <w:pPr>
        <w:rPr>
          <w:rtl/>
        </w:rPr>
      </w:pPr>
      <w:r>
        <w:rPr>
          <w:rFonts w:hint="cs"/>
          <w:rtl/>
        </w:rPr>
        <w:t>עיין במקורות בסעיף ד.</w:t>
      </w:r>
    </w:p>
    <w:p w14:paraId="2482A39A"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0AAEC8C" w14:textId="027F8CA6" w:rsidR="00C77C34" w:rsidRDefault="00C77C34" w:rsidP="00C77C34">
      <w:pPr>
        <w:rPr>
          <w:rFonts w:cs="Arial"/>
          <w:rtl/>
        </w:rPr>
      </w:pPr>
      <w:r w:rsidRPr="00C77C34">
        <w:rPr>
          <w:rFonts w:cs="Arial"/>
          <w:rtl/>
        </w:rPr>
        <w:t>אין כותבין במחובר, אפילו טופס</w:t>
      </w:r>
      <w:r w:rsidR="002B55A2">
        <w:rPr>
          <w:rStyle w:val="a7"/>
          <w:rFonts w:cs="Arial"/>
          <w:rtl/>
        </w:rPr>
        <w:footnoteReference w:id="470"/>
      </w:r>
      <w:r w:rsidRPr="00C77C34">
        <w:rPr>
          <w:rFonts w:cs="Arial"/>
          <w:rtl/>
        </w:rPr>
        <w:t>. כתב הטופס במחובר, ותלשו</w:t>
      </w:r>
      <w:r w:rsidR="009C5222">
        <w:rPr>
          <w:rFonts w:cs="Arial" w:hint="cs"/>
          <w:rtl/>
        </w:rPr>
        <w:t>,</w:t>
      </w:r>
      <w:r w:rsidRPr="00C77C34">
        <w:rPr>
          <w:rFonts w:cs="Arial"/>
          <w:rtl/>
        </w:rPr>
        <w:t xml:space="preserve"> ואח</w:t>
      </w:r>
      <w:r w:rsidR="00545877">
        <w:rPr>
          <w:rFonts w:cs="Arial" w:hint="cs"/>
          <w:rtl/>
        </w:rPr>
        <w:t xml:space="preserve">ר </w:t>
      </w:r>
      <w:r w:rsidRPr="00C77C34">
        <w:rPr>
          <w:rFonts w:cs="Arial"/>
          <w:rtl/>
        </w:rPr>
        <w:t>כ</w:t>
      </w:r>
      <w:r w:rsidR="00545877">
        <w:rPr>
          <w:rFonts w:cs="Arial" w:hint="cs"/>
          <w:rtl/>
        </w:rPr>
        <w:t>ך</w:t>
      </w:r>
      <w:r w:rsidRPr="00C77C34">
        <w:rPr>
          <w:rFonts w:cs="Arial"/>
          <w:rtl/>
        </w:rPr>
        <w:t xml:space="preserve"> כתב התורף, וחתמו ונתנו לה, כשר. </w:t>
      </w:r>
    </w:p>
    <w:p w14:paraId="3EEC2AF3" w14:textId="77777777" w:rsidR="00FE510D" w:rsidRPr="00C77C34" w:rsidRDefault="00FE510D" w:rsidP="00C77C34">
      <w:pPr>
        <w:rPr>
          <w:rFonts w:cs="Arial"/>
          <w:rtl/>
        </w:rPr>
      </w:pPr>
    </w:p>
    <w:p w14:paraId="28418F0D" w14:textId="3A779CFA" w:rsidR="00C77C34" w:rsidRDefault="00C77C34" w:rsidP="00786DE6">
      <w:pPr>
        <w:pStyle w:val="2"/>
        <w:rPr>
          <w:rtl/>
        </w:rPr>
      </w:pPr>
      <w:r w:rsidRPr="00C77C34">
        <w:rPr>
          <w:rtl/>
        </w:rPr>
        <w:t>סעיף ו</w:t>
      </w:r>
      <w:r w:rsidR="002B55A2">
        <w:rPr>
          <w:rFonts w:hint="cs"/>
          <w:rtl/>
        </w:rPr>
        <w:t xml:space="preserve">: </w:t>
      </w:r>
      <w:r w:rsidR="003F27D7">
        <w:rPr>
          <w:rFonts w:hint="cs"/>
          <w:rtl/>
        </w:rPr>
        <w:t>גט חקוק על עבד בכתובת קעקע.</w:t>
      </w:r>
    </w:p>
    <w:p w14:paraId="77B9E7E7" w14:textId="29511B0C" w:rsidR="00E42F29" w:rsidRDefault="00E42F29" w:rsidP="00E42F29">
      <w:pPr>
        <w:rPr>
          <w:rFonts w:cs="Arial"/>
          <w:rtl/>
        </w:rPr>
      </w:pPr>
      <w:r w:rsidRPr="00312668">
        <w:rPr>
          <w:rFonts w:cs="Arial" w:hint="cs"/>
          <w:b/>
          <w:bCs/>
          <w:rtl/>
        </w:rPr>
        <w:t xml:space="preserve">גיטין </w:t>
      </w:r>
      <w:r w:rsidRPr="00312668">
        <w:rPr>
          <w:rFonts w:cs="Arial" w:hint="cs"/>
          <w:b/>
          <w:bCs/>
          <w:sz w:val="16"/>
          <w:szCs w:val="16"/>
          <w:rtl/>
        </w:rPr>
        <w:t>(פ"ב)</w:t>
      </w:r>
      <w:r w:rsidRPr="00312668">
        <w:rPr>
          <w:rFonts w:cs="Arial" w:hint="cs"/>
          <w:b/>
          <w:bCs/>
          <w:rtl/>
        </w:rPr>
        <w:t xml:space="preserve"> כ</w:t>
      </w:r>
      <w:r w:rsidR="00A13D01">
        <w:rPr>
          <w:rStyle w:val="a7"/>
          <w:rFonts w:cs="Arial"/>
          <w:b/>
          <w:bCs/>
          <w:rtl/>
        </w:rPr>
        <w:footnoteReference w:id="471"/>
      </w:r>
      <w:r w:rsidRPr="00312668">
        <w:rPr>
          <w:rFonts w:cs="Arial" w:hint="cs"/>
          <w:b/>
          <w:bCs/>
          <w:rtl/>
        </w:rPr>
        <w:t xml:space="preserve"> ע"ב:</w:t>
      </w:r>
      <w:r w:rsidRPr="00312668">
        <w:rPr>
          <w:rFonts w:cs="Arial" w:hint="cs"/>
          <w:rtl/>
        </w:rPr>
        <w:t xml:space="preserve"> </w:t>
      </w:r>
      <w:r w:rsidRPr="00312668">
        <w:rPr>
          <w:rFonts w:cs="Arial"/>
          <w:u w:val="single"/>
          <w:rtl/>
        </w:rPr>
        <w:t>בעי רמי בר חמא</w:t>
      </w:r>
      <w:r w:rsidRPr="00312668">
        <w:rPr>
          <w:rFonts w:cs="Arial"/>
          <w:rtl/>
        </w:rPr>
        <w:t xml:space="preserve">: היו מוחזקים בעבד שהוא שלו וגט כתוב על ידו, והרי הוא יוצא מתחת ידה, מהו? מי אמרינן אקנויי אקני לה, או דלמא הוא מנפשיה עייל? </w:t>
      </w:r>
      <w:r w:rsidRPr="00312668">
        <w:rPr>
          <w:rFonts w:cs="Arial"/>
          <w:u w:val="single"/>
          <w:rtl/>
        </w:rPr>
        <w:t>אמר רבא</w:t>
      </w:r>
      <w:r w:rsidRPr="00312668">
        <w:rPr>
          <w:rFonts w:cs="Arial"/>
          <w:rtl/>
        </w:rPr>
        <w:t>: ותיפוק ליה, דכתב שיכול להזדייף הוא</w:t>
      </w:r>
      <w:r>
        <w:rPr>
          <w:rStyle w:val="a7"/>
          <w:rFonts w:cs="Arial"/>
          <w:rtl/>
        </w:rPr>
        <w:footnoteReference w:id="472"/>
      </w:r>
      <w:r w:rsidRPr="00312668">
        <w:rPr>
          <w:rFonts w:cs="Arial"/>
          <w:rtl/>
        </w:rPr>
        <w:t>! ולרבא, קשיא מתניתין: על היד של עבד! בשלמא מתני' לרבא לא קשיא, בעדי מסירה</w:t>
      </w:r>
      <w:r>
        <w:rPr>
          <w:rStyle w:val="a7"/>
          <w:rFonts w:cs="Arial"/>
          <w:rtl/>
        </w:rPr>
        <w:footnoteReference w:id="473"/>
      </w:r>
      <w:r w:rsidRPr="00312668">
        <w:rPr>
          <w:rFonts w:cs="Arial"/>
          <w:rtl/>
        </w:rPr>
        <w:t>, ורבי אלעזר היא, אלא לרמי בר חמא קשיא</w:t>
      </w:r>
      <w:r>
        <w:rPr>
          <w:rStyle w:val="a7"/>
          <w:rFonts w:cs="Arial"/>
          <w:rtl/>
        </w:rPr>
        <w:footnoteReference w:id="474"/>
      </w:r>
      <w:r w:rsidRPr="00312668">
        <w:rPr>
          <w:rFonts w:cs="Arial"/>
          <w:rtl/>
        </w:rPr>
        <w:t>! לרמי בר חמא נמי לא קשיא, בכתובת קעקע. השתא דאתית להכי, מתניתין (לרבא) נמי לא תיקשי, בכתובת קעקע. מאי הוי עלה? תא שמע, דאמר ריש לקיש: הגודרות</w:t>
      </w:r>
      <w:r>
        <w:rPr>
          <w:rStyle w:val="a7"/>
          <w:rFonts w:cs="Arial"/>
          <w:rtl/>
        </w:rPr>
        <w:footnoteReference w:id="475"/>
      </w:r>
      <w:r w:rsidRPr="00312668">
        <w:rPr>
          <w:rFonts w:cs="Arial"/>
          <w:rtl/>
        </w:rPr>
        <w:t xml:space="preserve"> אין להן חזקה</w:t>
      </w:r>
      <w:r>
        <w:rPr>
          <w:rStyle w:val="a7"/>
          <w:rFonts w:cs="Arial"/>
          <w:rtl/>
        </w:rPr>
        <w:footnoteReference w:id="476"/>
      </w:r>
      <w:r w:rsidRPr="00312668">
        <w:rPr>
          <w:rFonts w:cs="Arial"/>
          <w:rtl/>
        </w:rPr>
        <w:t>.</w:t>
      </w:r>
    </w:p>
    <w:p w14:paraId="4802B7B2" w14:textId="33E45758" w:rsidR="003F27D7" w:rsidRPr="003F27D7" w:rsidRDefault="003F27D7" w:rsidP="003F27D7">
      <w:pPr>
        <w:rPr>
          <w:u w:val="single"/>
          <w:rtl/>
        </w:rPr>
      </w:pPr>
      <w:r w:rsidRPr="003F27D7">
        <w:rPr>
          <w:rFonts w:hint="cs"/>
          <w:u w:val="single"/>
          <w:rtl/>
        </w:rPr>
        <w:t>גט חקוק על עבד בכתובת קעקע:</w:t>
      </w:r>
    </w:p>
    <w:p w14:paraId="03F4EA51" w14:textId="2E48E689" w:rsidR="00E42F29" w:rsidRDefault="00E42F29" w:rsidP="00E42F29">
      <w:pPr>
        <w:pStyle w:val="ab"/>
        <w:numPr>
          <w:ilvl w:val="0"/>
          <w:numId w:val="41"/>
        </w:numPr>
      </w:pPr>
      <w:r>
        <w:rPr>
          <w:rFonts w:cs="Arial" w:hint="cs"/>
          <w:rtl/>
        </w:rPr>
        <w:t xml:space="preserve">רמב"ם </w:t>
      </w:r>
      <w:r>
        <w:rPr>
          <w:rFonts w:cs="Arial" w:hint="cs"/>
          <w:sz w:val="16"/>
          <w:szCs w:val="16"/>
          <w:rtl/>
        </w:rPr>
        <w:t>(פ"ד ה"ד)</w:t>
      </w:r>
      <w:r>
        <w:rPr>
          <w:rFonts w:cs="Arial" w:hint="cs"/>
          <w:rtl/>
        </w:rPr>
        <w:t xml:space="preserve"> וטור</w:t>
      </w:r>
      <w:r w:rsidR="00A82951">
        <w:rPr>
          <w:rFonts w:cs="Arial" w:hint="cs"/>
          <w:rtl/>
        </w:rPr>
        <w:t>-</w:t>
      </w:r>
      <w:r>
        <w:rPr>
          <w:rFonts w:cs="Arial" w:hint="cs"/>
          <w:rtl/>
        </w:rPr>
        <w:t xml:space="preserve"> </w:t>
      </w:r>
      <w:r w:rsidRPr="0051777D">
        <w:rPr>
          <w:rFonts w:cs="Arial"/>
          <w:rtl/>
        </w:rPr>
        <w:t>היה הגט חקוק על ידו של עבד בכתובת קעקע</w:t>
      </w:r>
      <w:r w:rsidR="00054689">
        <w:rPr>
          <w:rFonts w:cs="Arial" w:hint="cs"/>
          <w:rtl/>
        </w:rPr>
        <w:t>,</w:t>
      </w:r>
      <w:r w:rsidRPr="0051777D">
        <w:rPr>
          <w:rFonts w:cs="Arial"/>
          <w:rtl/>
        </w:rPr>
        <w:t xml:space="preserve"> והיה יוצא מתחת ידה</w:t>
      </w:r>
      <w:r w:rsidR="00054689">
        <w:rPr>
          <w:rFonts w:cs="Arial" w:hint="cs"/>
          <w:rtl/>
        </w:rPr>
        <w:t>,</w:t>
      </w:r>
      <w:r w:rsidRPr="0051777D">
        <w:rPr>
          <w:rFonts w:cs="Arial"/>
          <w:rtl/>
        </w:rPr>
        <w:t xml:space="preserve"> והיו העדים חקוקים על ידו </w:t>
      </w:r>
      <w:r w:rsidR="00A82951">
        <w:rPr>
          <w:rFonts w:cs="Arial" w:hint="cs"/>
          <w:rtl/>
        </w:rPr>
        <w:t>-</w:t>
      </w:r>
      <w:r>
        <w:rPr>
          <w:rFonts w:cs="Arial" w:hint="cs"/>
          <w:rtl/>
        </w:rPr>
        <w:t xml:space="preserve"> </w:t>
      </w:r>
      <w:r w:rsidRPr="0051777D">
        <w:rPr>
          <w:rFonts w:cs="Arial"/>
          <w:rtl/>
        </w:rPr>
        <w:t>הרי זו מגורשת אע</w:t>
      </w:r>
      <w:r w:rsidR="00352CAE">
        <w:rPr>
          <w:rFonts w:cs="Arial" w:hint="cs"/>
          <w:rtl/>
        </w:rPr>
        <w:t>"פ</w:t>
      </w:r>
      <w:r w:rsidRPr="0051777D">
        <w:rPr>
          <w:rFonts w:cs="Arial"/>
          <w:rtl/>
        </w:rPr>
        <w:t xml:space="preserve"> שאין לה עידי מסירה</w:t>
      </w:r>
      <w:r>
        <w:rPr>
          <w:rStyle w:val="a7"/>
          <w:rFonts w:cs="Arial"/>
          <w:rtl/>
        </w:rPr>
        <w:footnoteReference w:id="477"/>
      </w:r>
      <w:r w:rsidRPr="0051777D">
        <w:rPr>
          <w:rFonts w:cs="Arial"/>
          <w:rtl/>
        </w:rPr>
        <w:t>, שהרי אין יכול להזדייף</w:t>
      </w:r>
      <w:r>
        <w:rPr>
          <w:rFonts w:cs="Arial" w:hint="cs"/>
          <w:sz w:val="16"/>
          <w:szCs w:val="16"/>
          <w:rtl/>
        </w:rPr>
        <w:t xml:space="preserve"> (ל' הרמב"ם)</w:t>
      </w:r>
      <w:r>
        <w:rPr>
          <w:rFonts w:cs="Arial" w:hint="cs"/>
          <w:rtl/>
        </w:rPr>
        <w:t>.</w:t>
      </w:r>
      <w:r>
        <w:rPr>
          <w:rFonts w:hint="cs"/>
          <w:rtl/>
        </w:rPr>
        <w:t xml:space="preserve"> </w:t>
      </w:r>
      <w:r w:rsidR="00EE7D29" w:rsidRPr="00DD1DEB">
        <w:rPr>
          <w:rFonts w:hint="cs"/>
          <w:color w:val="E36C0A" w:themeColor="accent6" w:themeShade="BF"/>
          <w:rtl/>
        </w:rPr>
        <w:t>(וכ"פ בשו"ע)</w:t>
      </w:r>
    </w:p>
    <w:p w14:paraId="67DAA799" w14:textId="18D39E94" w:rsidR="00E42F29" w:rsidRPr="00E42F29" w:rsidRDefault="00E42F29" w:rsidP="00E42F29">
      <w:pPr>
        <w:ind w:left="360"/>
        <w:rPr>
          <w:u w:val="dotted"/>
        </w:rPr>
      </w:pPr>
      <w:r w:rsidRPr="00E42F29">
        <w:rPr>
          <w:rFonts w:hint="cs"/>
          <w:u w:val="dotted"/>
          <w:rtl/>
        </w:rPr>
        <w:t>ומה הדין אם היו מוחזקים בעבד שהוא שלו:</w:t>
      </w:r>
    </w:p>
    <w:p w14:paraId="7524AC75" w14:textId="4FFB7EBF" w:rsidR="00054689" w:rsidRPr="004F4D56" w:rsidRDefault="00054689" w:rsidP="00054689">
      <w:pPr>
        <w:pStyle w:val="ab"/>
        <w:numPr>
          <w:ilvl w:val="0"/>
          <w:numId w:val="41"/>
        </w:numPr>
      </w:pPr>
      <w:r>
        <w:rPr>
          <w:rFonts w:cs="Arial" w:hint="cs"/>
          <w:rtl/>
        </w:rPr>
        <w:lastRenderedPageBreak/>
        <w:t xml:space="preserve">רמב"ם </w:t>
      </w:r>
      <w:r>
        <w:rPr>
          <w:rFonts w:cs="Arial" w:hint="cs"/>
          <w:sz w:val="16"/>
          <w:szCs w:val="16"/>
          <w:rtl/>
        </w:rPr>
        <w:t>(פ"ד ה"ד)</w:t>
      </w:r>
      <w:r>
        <w:rPr>
          <w:rFonts w:cs="Arial" w:hint="cs"/>
          <w:rtl/>
        </w:rPr>
        <w:t xml:space="preserve"> ורמ"ה </w:t>
      </w:r>
      <w:r>
        <w:rPr>
          <w:rFonts w:cs="Arial" w:hint="cs"/>
          <w:sz w:val="16"/>
          <w:szCs w:val="16"/>
          <w:rtl/>
        </w:rPr>
        <w:t>(כ"כ הטור בשמו)</w:t>
      </w:r>
      <w:r>
        <w:rPr>
          <w:rFonts w:cs="Arial" w:hint="cs"/>
          <w:rtl/>
        </w:rPr>
        <w:t xml:space="preserve">- </w:t>
      </w:r>
      <w:r w:rsidRPr="0051777D">
        <w:rPr>
          <w:rFonts w:cs="Arial"/>
          <w:rtl/>
        </w:rPr>
        <w:t>אפילו היו מוחזקין בעבד שהוא שלו וגט חקוק על ידו</w:t>
      </w:r>
      <w:r>
        <w:rPr>
          <w:rFonts w:cs="Arial" w:hint="cs"/>
          <w:rtl/>
        </w:rPr>
        <w:t>,</w:t>
      </w:r>
      <w:r w:rsidRPr="0051777D">
        <w:rPr>
          <w:rFonts w:cs="Arial"/>
          <w:rtl/>
        </w:rPr>
        <w:t xml:space="preserve"> והוא יוצא מתחת ידה והיא אומרת בעדים נמסר לי </w:t>
      </w:r>
      <w:r>
        <w:rPr>
          <w:rFonts w:cs="Arial" w:hint="cs"/>
          <w:rtl/>
        </w:rPr>
        <w:t xml:space="preserve">- </w:t>
      </w:r>
      <w:r w:rsidRPr="0051777D">
        <w:rPr>
          <w:rFonts w:cs="Arial"/>
          <w:rtl/>
        </w:rPr>
        <w:t>הרי זו ספק מגורשת</w:t>
      </w:r>
      <w:r>
        <w:rPr>
          <w:rStyle w:val="a7"/>
          <w:rFonts w:cs="Arial"/>
          <w:rtl/>
        </w:rPr>
        <w:footnoteReference w:id="478"/>
      </w:r>
      <w:r w:rsidRPr="0051777D">
        <w:rPr>
          <w:rFonts w:cs="Arial"/>
          <w:rtl/>
        </w:rPr>
        <w:t xml:space="preserve"> שמא מעצמו נכנס לה, שהגודרות אין להן חזקה</w:t>
      </w:r>
      <w:r>
        <w:rPr>
          <w:rStyle w:val="a7"/>
          <w:rFonts w:cs="Arial"/>
          <w:rtl/>
        </w:rPr>
        <w:footnoteReference w:id="479"/>
      </w:r>
      <w:r>
        <w:rPr>
          <w:rFonts w:cs="Arial" w:hint="cs"/>
          <w:sz w:val="16"/>
          <w:szCs w:val="16"/>
          <w:rtl/>
        </w:rPr>
        <w:t xml:space="preserve"> (ל' הרמב"ם)</w:t>
      </w:r>
      <w:r w:rsidRPr="0051777D">
        <w:rPr>
          <w:rFonts w:cs="Arial"/>
          <w:rtl/>
        </w:rPr>
        <w:t xml:space="preserve">. </w:t>
      </w:r>
      <w:r w:rsidRPr="00DD1DEB">
        <w:rPr>
          <w:rFonts w:hint="cs"/>
          <w:color w:val="E36C0A" w:themeColor="accent6" w:themeShade="BF"/>
          <w:rtl/>
        </w:rPr>
        <w:t>(וכ"פ בשו"ע)</w:t>
      </w:r>
    </w:p>
    <w:p w14:paraId="574B24E9" w14:textId="3DC0CEF1" w:rsidR="0051777D" w:rsidRPr="0051777D" w:rsidRDefault="008A0338" w:rsidP="00A65C5F">
      <w:pPr>
        <w:pStyle w:val="ab"/>
        <w:numPr>
          <w:ilvl w:val="0"/>
          <w:numId w:val="41"/>
        </w:numPr>
      </w:pPr>
      <w:r>
        <w:rPr>
          <w:rFonts w:cs="Arial" w:hint="cs"/>
          <w:rtl/>
        </w:rPr>
        <w:t>טור</w:t>
      </w:r>
      <w:r w:rsidR="00A82951">
        <w:rPr>
          <w:rFonts w:cs="Arial" w:hint="cs"/>
          <w:rtl/>
        </w:rPr>
        <w:t>-</w:t>
      </w:r>
      <w:r>
        <w:rPr>
          <w:rFonts w:cs="Arial" w:hint="cs"/>
          <w:rtl/>
        </w:rPr>
        <w:t xml:space="preserve"> </w:t>
      </w:r>
      <w:r w:rsidRPr="00FE510D">
        <w:rPr>
          <w:rFonts w:cs="Arial"/>
          <w:rtl/>
        </w:rPr>
        <w:t>עבד שהוחזקו בו שהוא שלו וגט חקוק עליו</w:t>
      </w:r>
      <w:r w:rsidR="00054689">
        <w:rPr>
          <w:rFonts w:cs="Arial" w:hint="cs"/>
          <w:rtl/>
        </w:rPr>
        <w:t>,</w:t>
      </w:r>
      <w:r w:rsidRPr="00FE510D">
        <w:rPr>
          <w:rFonts w:cs="Arial"/>
          <w:rtl/>
        </w:rPr>
        <w:t xml:space="preserve"> והיא מוחזקת בו ואומרת שמסרו לה בעדי מסירה להתגרש בו </w:t>
      </w:r>
      <w:r w:rsidR="00A82951">
        <w:rPr>
          <w:rFonts w:cs="Arial" w:hint="cs"/>
          <w:rtl/>
        </w:rPr>
        <w:t>-</w:t>
      </w:r>
      <w:r w:rsidR="003F27D7">
        <w:rPr>
          <w:rFonts w:cs="Arial" w:hint="cs"/>
          <w:rtl/>
        </w:rPr>
        <w:t xml:space="preserve"> </w:t>
      </w:r>
      <w:r w:rsidRPr="00FE510D">
        <w:rPr>
          <w:rFonts w:cs="Arial"/>
          <w:rtl/>
        </w:rPr>
        <w:t>פסול אפי' העדים חקוקים בכתובת קעקע בענין שאינו יכול להזדייף</w:t>
      </w:r>
      <w:r w:rsidR="003F27D7">
        <w:rPr>
          <w:rFonts w:cs="Arial" w:hint="cs"/>
          <w:rtl/>
        </w:rPr>
        <w:t>,</w:t>
      </w:r>
      <w:r w:rsidRPr="00FE510D">
        <w:rPr>
          <w:rFonts w:cs="Arial"/>
          <w:rtl/>
        </w:rPr>
        <w:t xml:space="preserve"> לפי שאינה נאמנת</w:t>
      </w:r>
      <w:r w:rsidR="003F27D7">
        <w:rPr>
          <w:rFonts w:cs="Arial" w:hint="cs"/>
          <w:rtl/>
        </w:rPr>
        <w:t>,</w:t>
      </w:r>
      <w:r w:rsidRPr="00FE510D">
        <w:rPr>
          <w:rFonts w:cs="Arial"/>
          <w:rtl/>
        </w:rPr>
        <w:t xml:space="preserve"> דשמא עכשיו נכנס לרשותה</w:t>
      </w:r>
      <w:r w:rsidR="003F27D7">
        <w:rPr>
          <w:rFonts w:cs="Arial" w:hint="cs"/>
          <w:rtl/>
        </w:rPr>
        <w:t>.</w:t>
      </w:r>
      <w:r w:rsidRPr="00FE510D">
        <w:rPr>
          <w:rFonts w:cs="Arial"/>
          <w:rtl/>
        </w:rPr>
        <w:t xml:space="preserve"> </w:t>
      </w:r>
    </w:p>
    <w:p w14:paraId="6EC520A1" w14:textId="385CE3C0" w:rsidR="004F4D56" w:rsidRPr="004F4D56" w:rsidRDefault="004F4D56" w:rsidP="004F4D56">
      <w:pPr>
        <w:ind w:left="720"/>
        <w:rPr>
          <w:u w:val="wave"/>
        </w:rPr>
      </w:pPr>
      <w:r w:rsidRPr="004F4D56">
        <w:rPr>
          <w:rFonts w:hint="cs"/>
          <w:u w:val="wave"/>
          <w:rtl/>
        </w:rPr>
        <w:t>ומה הדין במקום שיש חזקה לעבד במקום שנמצא בו:</w:t>
      </w:r>
    </w:p>
    <w:p w14:paraId="5BE5A58D" w14:textId="6A657E65" w:rsidR="00FE510D" w:rsidRDefault="004F4D56" w:rsidP="004F4D56">
      <w:pPr>
        <w:pStyle w:val="ab"/>
        <w:numPr>
          <w:ilvl w:val="0"/>
          <w:numId w:val="41"/>
        </w:numPr>
      </w:pPr>
      <w:r>
        <w:rPr>
          <w:rFonts w:cs="Arial" w:hint="cs"/>
          <w:rtl/>
        </w:rPr>
        <w:t>ב"י</w:t>
      </w:r>
      <w:r w:rsidR="00A82951">
        <w:rPr>
          <w:rFonts w:cs="Arial" w:hint="cs"/>
          <w:rtl/>
        </w:rPr>
        <w:t>-</w:t>
      </w:r>
      <w:r>
        <w:rPr>
          <w:rFonts w:cs="Arial" w:hint="cs"/>
          <w:rtl/>
        </w:rPr>
        <w:t xml:space="preserve"> </w:t>
      </w:r>
      <w:r w:rsidR="00FE510D" w:rsidRPr="004F4D56">
        <w:rPr>
          <w:rFonts w:cs="Arial"/>
          <w:rtl/>
        </w:rPr>
        <w:t>ודע דהא דאמרינן שאם היו מוחזקין בעבד שהוא שלו דהויא ספק מגורשת</w:t>
      </w:r>
      <w:r w:rsidR="00054689">
        <w:rPr>
          <w:rFonts w:cs="Arial" w:hint="cs"/>
          <w:rtl/>
        </w:rPr>
        <w:t xml:space="preserve"> -</w:t>
      </w:r>
      <w:r w:rsidR="00FE510D" w:rsidRPr="004F4D56">
        <w:rPr>
          <w:rFonts w:cs="Arial"/>
          <w:rtl/>
        </w:rPr>
        <w:t xml:space="preserve"> היינו דוקא בעבד גדול</w:t>
      </w:r>
      <w:r>
        <w:rPr>
          <w:rFonts w:cs="Arial" w:hint="cs"/>
          <w:rtl/>
        </w:rPr>
        <w:t>,</w:t>
      </w:r>
      <w:r w:rsidR="00FE510D" w:rsidRPr="004F4D56">
        <w:rPr>
          <w:rFonts w:cs="Arial"/>
          <w:rtl/>
        </w:rPr>
        <w:t xml:space="preserve"> אבל אם היה קטן ומוטל בעריסה אם כתוב בכתובת קעקע </w:t>
      </w:r>
      <w:r w:rsidR="00A82951">
        <w:rPr>
          <w:rFonts w:cs="Arial" w:hint="cs"/>
          <w:rtl/>
        </w:rPr>
        <w:t>-</w:t>
      </w:r>
      <w:r>
        <w:rPr>
          <w:rFonts w:cs="Arial" w:hint="cs"/>
          <w:rtl/>
        </w:rPr>
        <w:t xml:space="preserve"> </w:t>
      </w:r>
      <w:r w:rsidR="00FE510D" w:rsidRPr="004F4D56">
        <w:rPr>
          <w:rFonts w:cs="Arial"/>
          <w:rtl/>
        </w:rPr>
        <w:t>מגורשת גמורה הויא אע</w:t>
      </w:r>
      <w:r>
        <w:rPr>
          <w:rFonts w:cs="Arial" w:hint="cs"/>
          <w:rtl/>
        </w:rPr>
        <w:t>"</w:t>
      </w:r>
      <w:r w:rsidR="00FE510D" w:rsidRPr="004F4D56">
        <w:rPr>
          <w:rFonts w:cs="Arial"/>
          <w:rtl/>
        </w:rPr>
        <w:t>פ שמוחזקין בו שהוא שלו</w:t>
      </w:r>
      <w:r>
        <w:rPr>
          <w:rFonts w:cs="Arial" w:hint="cs"/>
          <w:rtl/>
        </w:rPr>
        <w:t>,</w:t>
      </w:r>
      <w:r w:rsidR="00FE510D" w:rsidRPr="004F4D56">
        <w:rPr>
          <w:rFonts w:cs="Arial"/>
          <w:rtl/>
        </w:rPr>
        <w:t xml:space="preserve"> דלאלתר הויא חזקה כדאמר רבא בריש חזקת הבתים (לו.). וכן אם היה העבד אצלה ג' שנים מזמן הכתוב בגט ולא מיחה בה </w:t>
      </w:r>
      <w:r w:rsidR="00A82951">
        <w:rPr>
          <w:rFonts w:cs="Arial" w:hint="cs"/>
          <w:rtl/>
        </w:rPr>
        <w:t>-</w:t>
      </w:r>
      <w:r>
        <w:rPr>
          <w:rFonts w:cs="Arial" w:hint="cs"/>
          <w:rtl/>
        </w:rPr>
        <w:t xml:space="preserve"> </w:t>
      </w:r>
      <w:r w:rsidR="00FE510D" w:rsidRPr="004F4D56">
        <w:rPr>
          <w:rFonts w:cs="Arial"/>
          <w:rtl/>
        </w:rPr>
        <w:t>משמע לכאורה דמגורשת גמורה הויא אם כתוב הגט בכתובת קעקע</w:t>
      </w:r>
      <w:r>
        <w:rPr>
          <w:rFonts w:cs="Arial" w:hint="cs"/>
          <w:rtl/>
        </w:rPr>
        <w:t>,</w:t>
      </w:r>
      <w:r w:rsidR="00FE510D" w:rsidRPr="004F4D56">
        <w:rPr>
          <w:rFonts w:cs="Arial"/>
          <w:rtl/>
        </w:rPr>
        <w:t xml:space="preserve"> דאחר ג' שנים יש להם חזקה כדאיתא התם</w:t>
      </w:r>
      <w:r>
        <w:rPr>
          <w:rFonts w:cs="Arial" w:hint="cs"/>
          <w:rtl/>
        </w:rPr>
        <w:t>,</w:t>
      </w:r>
      <w:r w:rsidR="00FE510D" w:rsidRPr="004F4D56">
        <w:rPr>
          <w:rFonts w:cs="Arial"/>
          <w:rtl/>
        </w:rPr>
        <w:t xml:space="preserve"> שמה שהיה העבד אצלה קודם זמן הכתוב בגט אינו עולה לג' שנים דאין לאשה חזקה על נכסי בעלה כדאיתא בפרק חזקת (מב.). ואם תאמר אם כן אפילו שהה אצלה ג' שנים מזמן הכתוב בגט ליחוש דילמא כתב ליתן ולא נתן לה לשם גירושין ומשום דאשתו היא לא מיחה בה ואין לאשה חזקה בנכסי בעלה</w:t>
      </w:r>
      <w:r w:rsidR="00742525">
        <w:rPr>
          <w:rStyle w:val="a7"/>
          <w:rFonts w:cs="Arial"/>
          <w:rtl/>
        </w:rPr>
        <w:footnoteReference w:id="480"/>
      </w:r>
      <w:r>
        <w:rPr>
          <w:rFonts w:cs="Arial" w:hint="cs"/>
          <w:rtl/>
        </w:rPr>
        <w:t>,</w:t>
      </w:r>
      <w:r w:rsidR="00FE510D" w:rsidRPr="004F4D56">
        <w:rPr>
          <w:rFonts w:cs="Arial"/>
          <w:rtl/>
        </w:rPr>
        <w:t xml:space="preserve"> י"ל דלא מקדים אינש פורענותא לנפשיה כדאיתא בפ</w:t>
      </w:r>
      <w:r w:rsidR="00EE7D29">
        <w:rPr>
          <w:rFonts w:cs="Arial" w:hint="cs"/>
          <w:rtl/>
        </w:rPr>
        <w:t>"</w:t>
      </w:r>
      <w:r w:rsidR="00FE510D" w:rsidRPr="004F4D56">
        <w:rPr>
          <w:rFonts w:cs="Arial"/>
          <w:rtl/>
        </w:rPr>
        <w:t>ב דגיטין (יח.) כנ"ל.</w:t>
      </w:r>
      <w:r w:rsidR="00EE7D29">
        <w:rPr>
          <w:rFonts w:cs="Arial" w:hint="cs"/>
          <w:rtl/>
        </w:rPr>
        <w:t>..</w:t>
      </w:r>
      <w:r w:rsidR="00FE510D" w:rsidRPr="004F4D56">
        <w:rPr>
          <w:rFonts w:cs="Arial"/>
          <w:rtl/>
        </w:rPr>
        <w:t xml:space="preserve"> ונראה לי דהוא הדין אם העבד היה מסור לשומר דלאלתר הויא ודאי מגורשת כנ"ל</w:t>
      </w:r>
      <w:r w:rsidR="00EE7D29">
        <w:rPr>
          <w:rFonts w:hint="cs"/>
          <w:rtl/>
        </w:rPr>
        <w:t xml:space="preserve">. </w:t>
      </w:r>
      <w:r w:rsidR="00EE7D29" w:rsidRPr="00EE7D29">
        <w:rPr>
          <w:rFonts w:hint="cs"/>
          <w:color w:val="00B0F0"/>
          <w:rtl/>
        </w:rPr>
        <w:t>(וכ"פ הרמ"א)</w:t>
      </w:r>
    </w:p>
    <w:p w14:paraId="447A67F1" w14:textId="4F33D690" w:rsidR="00EE7D29" w:rsidRPr="00EE7D29" w:rsidRDefault="00EE7D29" w:rsidP="00EE7D29">
      <w:pPr>
        <w:ind w:left="360"/>
        <w:rPr>
          <w:u w:val="dotted"/>
        </w:rPr>
      </w:pPr>
      <w:r w:rsidRPr="00EE7D29">
        <w:rPr>
          <w:rFonts w:hint="cs"/>
          <w:u w:val="dotted"/>
          <w:rtl/>
        </w:rPr>
        <w:t xml:space="preserve">האם דין </w:t>
      </w:r>
      <w:r>
        <w:rPr>
          <w:rFonts w:hint="cs"/>
          <w:u w:val="dotted"/>
          <w:rtl/>
        </w:rPr>
        <w:t>פרה</w:t>
      </w:r>
      <w:r w:rsidRPr="00EE7D29">
        <w:rPr>
          <w:rFonts w:hint="cs"/>
          <w:u w:val="dotted"/>
          <w:rtl/>
        </w:rPr>
        <w:t xml:space="preserve"> שווה בכל הנ"ל לדין עבד:</w:t>
      </w:r>
    </w:p>
    <w:p w14:paraId="5BF6D965" w14:textId="1E965461" w:rsidR="00EE7D29" w:rsidRPr="004F4D56" w:rsidRDefault="00EE7D29" w:rsidP="004F4D56">
      <w:pPr>
        <w:pStyle w:val="ab"/>
        <w:numPr>
          <w:ilvl w:val="0"/>
          <w:numId w:val="41"/>
        </w:numPr>
        <w:rPr>
          <w:rtl/>
        </w:rPr>
      </w:pPr>
      <w:r>
        <w:rPr>
          <w:rFonts w:cs="Arial" w:hint="cs"/>
          <w:rtl/>
        </w:rPr>
        <w:t>ב"י</w:t>
      </w:r>
      <w:r w:rsidR="00A82951">
        <w:rPr>
          <w:rFonts w:cs="Arial" w:hint="cs"/>
          <w:rtl/>
        </w:rPr>
        <w:t>-</w:t>
      </w:r>
      <w:r>
        <w:rPr>
          <w:rFonts w:cs="Arial" w:hint="cs"/>
          <w:rtl/>
        </w:rPr>
        <w:t xml:space="preserve"> </w:t>
      </w:r>
      <w:r w:rsidRPr="004F4D56">
        <w:rPr>
          <w:rFonts w:cs="Arial"/>
          <w:rtl/>
        </w:rPr>
        <w:t>הא דבעי רמי בר חמא בהיו מוחזקין בעבד שהוא שלו</w:t>
      </w:r>
      <w:r w:rsidR="00315F96">
        <w:rPr>
          <w:rFonts w:cs="Arial" w:hint="cs"/>
          <w:rtl/>
        </w:rPr>
        <w:t>,</w:t>
      </w:r>
      <w:r w:rsidRPr="004F4D56">
        <w:rPr>
          <w:rFonts w:cs="Arial"/>
          <w:rtl/>
        </w:rPr>
        <w:t xml:space="preserve"> הוא הדין דשייך למיבעיא אם היו מוחזקין בפרה שהיא שלו</w:t>
      </w:r>
      <w:r>
        <w:rPr>
          <w:rFonts w:cs="Arial" w:hint="cs"/>
          <w:rtl/>
        </w:rPr>
        <w:t>,</w:t>
      </w:r>
      <w:r w:rsidRPr="004F4D56">
        <w:rPr>
          <w:rFonts w:cs="Arial"/>
          <w:rtl/>
        </w:rPr>
        <w:t xml:space="preserve"> וכי היכי דאסיקנא בעבד דהויא ספק מגורשת </w:t>
      </w:r>
      <w:r w:rsidR="00315F96">
        <w:rPr>
          <w:rFonts w:cs="Arial" w:hint="cs"/>
          <w:rtl/>
        </w:rPr>
        <w:t xml:space="preserve">- </w:t>
      </w:r>
      <w:r w:rsidRPr="004F4D56">
        <w:rPr>
          <w:rFonts w:cs="Arial"/>
          <w:rtl/>
        </w:rPr>
        <w:t>הוא הדין לפרה</w:t>
      </w:r>
      <w:r w:rsidR="00315F96">
        <w:rPr>
          <w:rFonts w:cs="Arial" w:hint="cs"/>
          <w:rtl/>
        </w:rPr>
        <w:t>,</w:t>
      </w:r>
      <w:r w:rsidRPr="004F4D56">
        <w:rPr>
          <w:rFonts w:cs="Arial"/>
          <w:rtl/>
        </w:rPr>
        <w:t xml:space="preserve"> וכדאמר ריש לקיש הגודרות אין להם חזקה</w:t>
      </w:r>
      <w:r w:rsidRPr="004F4D56">
        <w:rPr>
          <w:rFonts w:cs="Arial" w:hint="cs"/>
          <w:rtl/>
        </w:rPr>
        <w:t>.</w:t>
      </w:r>
      <w:r w:rsidRPr="004F4D56">
        <w:rPr>
          <w:rFonts w:cs="Arial"/>
          <w:rtl/>
        </w:rPr>
        <w:t xml:space="preserve"> מיהו היכא דמסירי חיותא לרועה</w:t>
      </w:r>
      <w:r w:rsidR="00315F96">
        <w:rPr>
          <w:rFonts w:cs="Arial" w:hint="cs"/>
          <w:rtl/>
        </w:rPr>
        <w:t>,</w:t>
      </w:r>
      <w:r w:rsidRPr="004F4D56">
        <w:rPr>
          <w:rFonts w:cs="Arial"/>
          <w:rtl/>
        </w:rPr>
        <w:t xml:space="preserve"> לאלתר הויא חזקה כדאיתא בפרק חזקת (לו.)</w:t>
      </w:r>
      <w:r w:rsidR="00315F96">
        <w:rPr>
          <w:rFonts w:cs="Arial" w:hint="cs"/>
          <w:rtl/>
        </w:rPr>
        <w:t>,</w:t>
      </w:r>
      <w:r w:rsidRPr="004F4D56">
        <w:rPr>
          <w:rFonts w:cs="Arial"/>
          <w:rtl/>
        </w:rPr>
        <w:t xml:space="preserve"> ואם כן הויא ודאי מגורשת.</w:t>
      </w:r>
    </w:p>
    <w:p w14:paraId="42B2541B" w14:textId="07F463E3" w:rsidR="004F4D56" w:rsidRDefault="004F4D56" w:rsidP="00FE510D">
      <w:pPr>
        <w:rPr>
          <w:rFonts w:cs="Arial"/>
          <w:rtl/>
        </w:rPr>
      </w:pPr>
      <w:r>
        <w:rPr>
          <w:rFonts w:cs="Arial" w:hint="cs"/>
          <w:u w:val="single"/>
          <w:rtl/>
        </w:rPr>
        <w:t>בעל ש</w:t>
      </w:r>
      <w:r w:rsidRPr="004F4D56">
        <w:rPr>
          <w:rFonts w:cs="Arial"/>
          <w:u w:val="single"/>
          <w:rtl/>
        </w:rPr>
        <w:t xml:space="preserve">כתב הגט על יד </w:t>
      </w:r>
      <w:r w:rsidRPr="004F4D56">
        <w:rPr>
          <w:rFonts w:cs="Arial" w:hint="cs"/>
          <w:u w:val="single"/>
          <w:rtl/>
        </w:rPr>
        <w:t>האשה:</w:t>
      </w:r>
      <w:r>
        <w:rPr>
          <w:rFonts w:cs="Arial" w:hint="cs"/>
          <w:rtl/>
        </w:rPr>
        <w:t xml:space="preserve"> </w:t>
      </w:r>
      <w:r w:rsidRPr="004F4D56">
        <w:rPr>
          <w:rFonts w:cs="Arial"/>
          <w:sz w:val="16"/>
          <w:szCs w:val="16"/>
          <w:rtl/>
        </w:rPr>
        <w:t>(</w:t>
      </w:r>
      <w:r w:rsidRPr="004F4D56">
        <w:rPr>
          <w:rFonts w:cs="Arial" w:hint="cs"/>
          <w:sz w:val="16"/>
          <w:szCs w:val="16"/>
          <w:rtl/>
        </w:rPr>
        <w:t xml:space="preserve">דרכ"מ אות </w:t>
      </w:r>
      <w:r w:rsidRPr="004F4D56">
        <w:rPr>
          <w:rFonts w:cs="Arial"/>
          <w:sz w:val="16"/>
          <w:szCs w:val="16"/>
          <w:rtl/>
        </w:rPr>
        <w:t>ג)</w:t>
      </w:r>
      <w:r>
        <w:rPr>
          <w:rFonts w:cs="Arial"/>
          <w:rtl/>
        </w:rPr>
        <w:t xml:space="preserve"> </w:t>
      </w:r>
    </w:p>
    <w:p w14:paraId="3363277E" w14:textId="2720865F" w:rsidR="004F4D56" w:rsidRPr="00FE510D" w:rsidRDefault="004F4D56" w:rsidP="004F4D56">
      <w:pPr>
        <w:pStyle w:val="ab"/>
        <w:numPr>
          <w:ilvl w:val="0"/>
          <w:numId w:val="46"/>
        </w:numPr>
        <w:rPr>
          <w:rtl/>
        </w:rPr>
      </w:pPr>
      <w:r w:rsidRPr="004F4D56">
        <w:rPr>
          <w:rFonts w:cs="Arial"/>
          <w:rtl/>
        </w:rPr>
        <w:t xml:space="preserve">אור זרוע </w:t>
      </w:r>
      <w:r w:rsidRPr="004F4D56">
        <w:rPr>
          <w:rFonts w:cs="Arial"/>
          <w:sz w:val="16"/>
          <w:szCs w:val="16"/>
          <w:rtl/>
        </w:rPr>
        <w:t>(הל' גיטין סי' תשיז)</w:t>
      </w:r>
      <w:r w:rsidR="00A82951">
        <w:rPr>
          <w:rFonts w:cs="Arial" w:hint="cs"/>
          <w:rtl/>
        </w:rPr>
        <w:t>-</w:t>
      </w:r>
      <w:r w:rsidRPr="004F4D56">
        <w:rPr>
          <w:rFonts w:cs="Arial"/>
          <w:rtl/>
        </w:rPr>
        <w:t xml:space="preserve"> אם כתב הגט על יד עצמה </w:t>
      </w:r>
      <w:r w:rsidR="00A82951">
        <w:rPr>
          <w:rFonts w:cs="Arial" w:hint="cs"/>
          <w:rtl/>
        </w:rPr>
        <w:t>-</w:t>
      </w:r>
      <w:r w:rsidR="00EE7D29">
        <w:rPr>
          <w:rFonts w:cs="Arial" w:hint="cs"/>
          <w:rtl/>
        </w:rPr>
        <w:t xml:space="preserve"> </w:t>
      </w:r>
      <w:r w:rsidRPr="004F4D56">
        <w:rPr>
          <w:rFonts w:cs="Arial"/>
          <w:rtl/>
        </w:rPr>
        <w:t>אינה מגורשת</w:t>
      </w:r>
      <w:r w:rsidR="00EE7D29">
        <w:rPr>
          <w:rFonts w:cs="Arial" w:hint="cs"/>
          <w:rtl/>
        </w:rPr>
        <w:t>,</w:t>
      </w:r>
      <w:r w:rsidRPr="004F4D56">
        <w:rPr>
          <w:rFonts w:cs="Arial"/>
          <w:rtl/>
        </w:rPr>
        <w:t xml:space="preserve"> משום דאינו נותן לה שום דבר ובעינן וכתב ונתן</w:t>
      </w:r>
      <w:r w:rsidRPr="004F4D56">
        <w:rPr>
          <w:rFonts w:cs="Arial" w:hint="cs"/>
          <w:rtl/>
        </w:rPr>
        <w:t>.</w:t>
      </w:r>
      <w:r w:rsidR="00EE7D29">
        <w:rPr>
          <w:rFonts w:hint="cs"/>
          <w:rtl/>
        </w:rPr>
        <w:t xml:space="preserve"> (וכ"פ ח"מ</w:t>
      </w:r>
      <w:r w:rsidR="00EE7D29">
        <w:rPr>
          <w:rFonts w:hint="cs"/>
          <w:sz w:val="16"/>
          <w:szCs w:val="16"/>
          <w:rtl/>
        </w:rPr>
        <w:t xml:space="preserve"> [סקי"ז]</w:t>
      </w:r>
      <w:r w:rsidR="00EE7D29">
        <w:rPr>
          <w:rFonts w:hint="cs"/>
          <w:rtl/>
        </w:rPr>
        <w:t>)</w:t>
      </w:r>
    </w:p>
    <w:p w14:paraId="42CB1A98"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619B78B" w14:textId="082FD10D" w:rsidR="00C77C34" w:rsidRDefault="00C77C34" w:rsidP="00C77C34">
      <w:pPr>
        <w:rPr>
          <w:rFonts w:cs="Arial"/>
          <w:rtl/>
        </w:rPr>
      </w:pPr>
      <w:r w:rsidRPr="00C77C34">
        <w:rPr>
          <w:rFonts w:cs="Arial"/>
          <w:rtl/>
        </w:rPr>
        <w:t>היה הגט חקוק על ידו של עבד בכתיבת קעקע</w:t>
      </w:r>
      <w:r w:rsidR="009D2BBB">
        <w:rPr>
          <w:rStyle w:val="a7"/>
          <w:rFonts w:cs="Arial"/>
          <w:rtl/>
        </w:rPr>
        <w:footnoteReference w:id="481"/>
      </w:r>
      <w:r w:rsidR="00315F96">
        <w:rPr>
          <w:rFonts w:cs="Arial" w:hint="cs"/>
          <w:rtl/>
        </w:rPr>
        <w:t>,</w:t>
      </w:r>
      <w:r w:rsidRPr="00C77C34">
        <w:rPr>
          <w:rFonts w:cs="Arial"/>
          <w:rtl/>
        </w:rPr>
        <w:t xml:space="preserve"> והיה יוצא מתחת ידה והיו העדים חקוקים על ידו, הרי זו מגורשת אף על פי שאין שם עדי מסירה</w:t>
      </w:r>
      <w:r w:rsidR="00742525">
        <w:rPr>
          <w:rStyle w:val="a7"/>
          <w:rFonts w:cs="Arial"/>
          <w:rtl/>
        </w:rPr>
        <w:footnoteReference w:id="482"/>
      </w:r>
      <w:r w:rsidRPr="00C77C34">
        <w:rPr>
          <w:rFonts w:cs="Arial"/>
          <w:rtl/>
        </w:rPr>
        <w:t xml:space="preserve">, שהרי אינו יכול להזדייף. ואם היו מוחזקים בעבד שהוא שלו, וגט חקוק על ידו והוא יוצא מתחת ידה, והיא אומרת: בעדים נמסר לי, הרי זו ספק מגורשת, שמא מעצמו נכנס לה, שהגודרות אין להם חזקה. </w:t>
      </w:r>
      <w:r w:rsidRPr="00545877">
        <w:rPr>
          <w:rFonts w:cs="Arial"/>
          <w:sz w:val="18"/>
          <w:szCs w:val="18"/>
          <w:rtl/>
        </w:rPr>
        <w:t>הגה: ודוקא במקום שאין להם חזקה, אבל במקום שיש להם חזקה, מגורשת (ב"י ועיין בח</w:t>
      </w:r>
      <w:r w:rsidR="00545877">
        <w:rPr>
          <w:rFonts w:cs="Arial" w:hint="cs"/>
          <w:sz w:val="18"/>
          <w:szCs w:val="18"/>
          <w:rtl/>
        </w:rPr>
        <w:t xml:space="preserve">ו"מ </w:t>
      </w:r>
      <w:r w:rsidRPr="00545877">
        <w:rPr>
          <w:rFonts w:cs="Arial"/>
          <w:sz w:val="18"/>
          <w:szCs w:val="18"/>
          <w:rtl/>
        </w:rPr>
        <w:t>בדיני חזקות).</w:t>
      </w:r>
      <w:r w:rsidRPr="00C77C34">
        <w:rPr>
          <w:rFonts w:cs="Arial"/>
          <w:rtl/>
        </w:rPr>
        <w:t xml:space="preserve"> </w:t>
      </w:r>
    </w:p>
    <w:p w14:paraId="05A2B80B" w14:textId="77777777" w:rsidR="009D2BBB" w:rsidRDefault="009D2BBB" w:rsidP="00C77C34">
      <w:pPr>
        <w:rPr>
          <w:rFonts w:cs="Arial"/>
          <w:rtl/>
        </w:rPr>
      </w:pPr>
    </w:p>
    <w:p w14:paraId="61FA1B8A" w14:textId="77777777" w:rsidR="00FE510D" w:rsidRPr="00C77C34" w:rsidRDefault="00FE510D" w:rsidP="00C77C34">
      <w:pPr>
        <w:rPr>
          <w:rFonts w:cs="Arial"/>
          <w:rtl/>
        </w:rPr>
      </w:pPr>
    </w:p>
    <w:p w14:paraId="53A336D2" w14:textId="441F9F46" w:rsidR="00C77C34" w:rsidRDefault="00C77C34" w:rsidP="00786DE6">
      <w:pPr>
        <w:pStyle w:val="2"/>
        <w:rPr>
          <w:rtl/>
        </w:rPr>
      </w:pPr>
      <w:r w:rsidRPr="00C77C34">
        <w:rPr>
          <w:rtl/>
        </w:rPr>
        <w:t>סעיף ז</w:t>
      </w:r>
      <w:r w:rsidR="00742525">
        <w:rPr>
          <w:rFonts w:hint="cs"/>
          <w:rtl/>
        </w:rPr>
        <w:t xml:space="preserve">: </w:t>
      </w:r>
      <w:r w:rsidR="000877D0">
        <w:rPr>
          <w:rFonts w:hint="cs"/>
          <w:rtl/>
        </w:rPr>
        <w:t>גט חקוק על טבלה שלה.</w:t>
      </w:r>
    </w:p>
    <w:p w14:paraId="0C2E21FD" w14:textId="0A6BE293" w:rsidR="00C563E9" w:rsidRPr="00C563E9" w:rsidRDefault="00C563E9" w:rsidP="00C563E9">
      <w:pPr>
        <w:rPr>
          <w:rtl/>
        </w:rPr>
      </w:pPr>
      <w:r w:rsidRPr="00312668">
        <w:rPr>
          <w:rFonts w:cs="Arial" w:hint="cs"/>
          <w:b/>
          <w:bCs/>
          <w:rtl/>
        </w:rPr>
        <w:t xml:space="preserve">גיטין </w:t>
      </w:r>
      <w:r w:rsidRPr="00312668">
        <w:rPr>
          <w:rFonts w:cs="Arial" w:hint="cs"/>
          <w:b/>
          <w:bCs/>
          <w:sz w:val="16"/>
          <w:szCs w:val="16"/>
          <w:rtl/>
        </w:rPr>
        <w:t>(פ"ב)</w:t>
      </w:r>
      <w:r w:rsidRPr="00312668">
        <w:rPr>
          <w:rFonts w:cs="Arial" w:hint="cs"/>
          <w:b/>
          <w:bCs/>
          <w:rtl/>
        </w:rPr>
        <w:t xml:space="preserve"> כ ע"ב:</w:t>
      </w:r>
      <w:r w:rsidRPr="00312668">
        <w:rPr>
          <w:rFonts w:cs="Arial" w:hint="cs"/>
          <w:rtl/>
        </w:rPr>
        <w:t xml:space="preserve"> </w:t>
      </w:r>
      <w:r w:rsidRPr="00312668">
        <w:rPr>
          <w:rFonts w:cs="Arial"/>
          <w:u w:val="single"/>
          <w:rtl/>
        </w:rPr>
        <w:t>בעי רמי בר חמא</w:t>
      </w:r>
      <w:r w:rsidRPr="00312668">
        <w:rPr>
          <w:rFonts w:cs="Arial"/>
          <w:rtl/>
        </w:rPr>
        <w:t>: היו</w:t>
      </w:r>
      <w:r w:rsidRPr="00C563E9">
        <w:rPr>
          <w:rtl/>
        </w:rPr>
        <w:t xml:space="preserve"> </w:t>
      </w:r>
      <w:r w:rsidRPr="00C563E9">
        <w:rPr>
          <w:rFonts w:cs="Arial"/>
          <w:rtl/>
        </w:rPr>
        <w:t xml:space="preserve">מוחזקין בטבלא שהיא שלה וגט כתוב עליה, והרי היא יוצאה מתחת </w:t>
      </w:r>
      <w:r w:rsidR="004A46D1">
        <w:rPr>
          <w:rStyle w:val="a7"/>
          <w:rFonts w:cs="Arial"/>
          <w:rtl/>
        </w:rPr>
        <w:footnoteReference w:id="483"/>
      </w:r>
      <w:r w:rsidR="004A46D1">
        <w:rPr>
          <w:rFonts w:cs="Arial" w:hint="cs"/>
          <w:rtl/>
        </w:rPr>
        <w:t>[</w:t>
      </w:r>
      <w:r w:rsidRPr="00C563E9">
        <w:rPr>
          <w:rFonts w:cs="Arial"/>
          <w:rtl/>
        </w:rPr>
        <w:t>ידו</w:t>
      </w:r>
      <w:r w:rsidR="004A46D1">
        <w:rPr>
          <w:rFonts w:cs="Arial" w:hint="cs"/>
          <w:rtl/>
        </w:rPr>
        <w:t>]</w:t>
      </w:r>
      <w:r w:rsidRPr="00C563E9">
        <w:rPr>
          <w:rFonts w:cs="Arial"/>
          <w:rtl/>
        </w:rPr>
        <w:t>, מהו? מי אמרינן אקנויי אקניתא ליה, או דלמא (אשה) לא ידעה לאקנויי?</w:t>
      </w:r>
      <w:r>
        <w:rPr>
          <w:rFonts w:cs="Arial" w:hint="cs"/>
          <w:rtl/>
        </w:rPr>
        <w:t>...</w:t>
      </w:r>
      <w:r w:rsidRPr="00C563E9">
        <w:rPr>
          <w:rtl/>
        </w:rPr>
        <w:t xml:space="preserve"> </w:t>
      </w:r>
      <w:r>
        <w:rPr>
          <w:rFonts w:hint="cs"/>
          <w:sz w:val="14"/>
          <w:szCs w:val="14"/>
          <w:rtl/>
        </w:rPr>
        <w:t xml:space="preserve">(כא.) </w:t>
      </w:r>
      <w:r w:rsidRPr="00C563E9">
        <w:rPr>
          <w:rFonts w:cs="Arial"/>
          <w:u w:val="single"/>
          <w:rtl/>
        </w:rPr>
        <w:t>אלא אמר רב אשי</w:t>
      </w:r>
      <w:r>
        <w:rPr>
          <w:rFonts w:cs="Arial" w:hint="cs"/>
          <w:rtl/>
        </w:rPr>
        <w:t>:</w:t>
      </w:r>
      <w:r w:rsidRPr="00C563E9">
        <w:rPr>
          <w:rFonts w:cs="Arial"/>
          <w:rtl/>
        </w:rPr>
        <w:t xml:space="preserve"> מהכא</w:t>
      </w:r>
      <w:r>
        <w:rPr>
          <w:rFonts w:cs="Arial" w:hint="cs"/>
          <w:rtl/>
        </w:rPr>
        <w:t>:</w:t>
      </w:r>
      <w:r w:rsidRPr="00C563E9">
        <w:rPr>
          <w:rFonts w:cs="Arial"/>
          <w:rtl/>
        </w:rPr>
        <w:t xml:space="preserve"> אשה כותבת את גיטה</w:t>
      </w:r>
      <w:r>
        <w:rPr>
          <w:rStyle w:val="a7"/>
          <w:rFonts w:cs="Arial"/>
          <w:rtl/>
        </w:rPr>
        <w:footnoteReference w:id="484"/>
      </w:r>
      <w:r w:rsidRPr="00C563E9">
        <w:rPr>
          <w:rFonts w:cs="Arial"/>
          <w:rtl/>
        </w:rPr>
        <w:t>, והאיש כותב את שוברו</w:t>
      </w:r>
      <w:r>
        <w:rPr>
          <w:rStyle w:val="a7"/>
          <w:rFonts w:cs="Arial"/>
          <w:rtl/>
        </w:rPr>
        <w:footnoteReference w:id="485"/>
      </w:r>
      <w:r w:rsidRPr="00C563E9">
        <w:rPr>
          <w:rFonts w:cs="Arial"/>
          <w:rtl/>
        </w:rPr>
        <w:t>, שאין קיום הגט אלא בחותמיו.</w:t>
      </w:r>
    </w:p>
    <w:p w14:paraId="028EDF74" w14:textId="47B2F196" w:rsidR="000877D0" w:rsidRPr="000877D0" w:rsidRDefault="000877D0" w:rsidP="000877D0">
      <w:pPr>
        <w:rPr>
          <w:u w:val="single"/>
          <w:rtl/>
        </w:rPr>
      </w:pPr>
      <w:r w:rsidRPr="000877D0">
        <w:rPr>
          <w:rFonts w:hint="cs"/>
          <w:u w:val="single"/>
          <w:rtl/>
        </w:rPr>
        <w:t>גט חקוק על טבלה שלה:</w:t>
      </w:r>
    </w:p>
    <w:p w14:paraId="7A3A49D4" w14:textId="3A7EA2F9" w:rsidR="005C4245" w:rsidRPr="005C4245" w:rsidRDefault="004A46D1" w:rsidP="00A65C5F">
      <w:pPr>
        <w:pStyle w:val="ab"/>
        <w:numPr>
          <w:ilvl w:val="0"/>
          <w:numId w:val="41"/>
        </w:numPr>
      </w:pPr>
      <w:r>
        <w:rPr>
          <w:rFonts w:cs="Arial" w:hint="cs"/>
          <w:rtl/>
        </w:rPr>
        <w:t>רמב"ם</w:t>
      </w:r>
      <w:r>
        <w:rPr>
          <w:rStyle w:val="a7"/>
          <w:rFonts w:cs="Arial"/>
          <w:rtl/>
        </w:rPr>
        <w:footnoteReference w:id="486"/>
      </w:r>
      <w:r>
        <w:rPr>
          <w:rFonts w:cs="Arial" w:hint="cs"/>
          <w:rtl/>
        </w:rPr>
        <w:t xml:space="preserve"> </w:t>
      </w:r>
      <w:r>
        <w:rPr>
          <w:rFonts w:cs="Arial" w:hint="cs"/>
          <w:sz w:val="16"/>
          <w:szCs w:val="16"/>
          <w:rtl/>
        </w:rPr>
        <w:t xml:space="preserve">(פ"ד ה"ה) </w:t>
      </w:r>
      <w:r>
        <w:rPr>
          <w:rFonts w:cs="Arial" w:hint="cs"/>
          <w:rtl/>
        </w:rPr>
        <w:t>ו</w:t>
      </w:r>
      <w:r w:rsidR="008A0338">
        <w:rPr>
          <w:rFonts w:cs="Arial" w:hint="cs"/>
          <w:rtl/>
        </w:rPr>
        <w:t>טור</w:t>
      </w:r>
      <w:r w:rsidR="00A82951">
        <w:rPr>
          <w:rFonts w:cs="Arial" w:hint="cs"/>
          <w:rtl/>
        </w:rPr>
        <w:t>-</w:t>
      </w:r>
      <w:r w:rsidR="008A0338">
        <w:rPr>
          <w:rFonts w:cs="Arial" w:hint="cs"/>
          <w:rtl/>
        </w:rPr>
        <w:t xml:space="preserve"> </w:t>
      </w:r>
      <w:r w:rsidR="008A0338" w:rsidRPr="00FE510D">
        <w:rPr>
          <w:rFonts w:cs="Arial"/>
          <w:rtl/>
        </w:rPr>
        <w:t>אם הגט חקוק על טבלא שהיה ידוע שהוא שלה ויוצא מתחת ידה</w:t>
      </w:r>
      <w:r w:rsidR="00C563E9">
        <w:rPr>
          <w:rFonts w:cs="Arial" w:hint="cs"/>
          <w:rtl/>
        </w:rPr>
        <w:t>,</w:t>
      </w:r>
      <w:r w:rsidR="008A0338" w:rsidRPr="00FE510D">
        <w:rPr>
          <w:rFonts w:cs="Arial"/>
          <w:rtl/>
        </w:rPr>
        <w:t xml:space="preserve"> ואומרת שנתנתו לו וחזר ונתנו לה</w:t>
      </w:r>
      <w:r w:rsidR="00C563E9">
        <w:rPr>
          <w:rFonts w:cs="Arial" w:hint="cs"/>
          <w:rtl/>
        </w:rPr>
        <w:t>,</w:t>
      </w:r>
      <w:r w:rsidR="008A0338" w:rsidRPr="00FE510D">
        <w:rPr>
          <w:rFonts w:cs="Arial"/>
          <w:rtl/>
        </w:rPr>
        <w:t xml:space="preserve"> ומביאה עדי מסירה </w:t>
      </w:r>
      <w:r w:rsidR="00A82951">
        <w:rPr>
          <w:rFonts w:cs="Arial" w:hint="cs"/>
          <w:rtl/>
        </w:rPr>
        <w:t>-</w:t>
      </w:r>
      <w:r w:rsidR="00C563E9">
        <w:rPr>
          <w:rFonts w:cs="Arial" w:hint="cs"/>
          <w:rtl/>
        </w:rPr>
        <w:t xml:space="preserve"> </w:t>
      </w:r>
      <w:r w:rsidR="008A0338" w:rsidRPr="00FE510D">
        <w:rPr>
          <w:rFonts w:cs="Arial"/>
          <w:rtl/>
        </w:rPr>
        <w:t>הרי זו מגורשת</w:t>
      </w:r>
      <w:r w:rsidR="00C563E9">
        <w:rPr>
          <w:rFonts w:cs="Arial" w:hint="cs"/>
          <w:rtl/>
        </w:rPr>
        <w:t>,</w:t>
      </w:r>
      <w:r w:rsidR="008A0338" w:rsidRPr="00FE510D">
        <w:rPr>
          <w:rFonts w:cs="Arial"/>
          <w:rtl/>
        </w:rPr>
        <w:t xml:space="preserve"> דודאי אקנויי אקני ליה</w:t>
      </w:r>
      <w:r w:rsidR="00C563E9">
        <w:rPr>
          <w:rFonts w:cs="Arial" w:hint="cs"/>
          <w:rtl/>
        </w:rPr>
        <w:t>.</w:t>
      </w:r>
      <w:r w:rsidR="008A0338" w:rsidRPr="00FE510D">
        <w:rPr>
          <w:rFonts w:cs="Arial"/>
          <w:rtl/>
        </w:rPr>
        <w:t xml:space="preserve"> ואם העדים חקוקים בענין שאינו יכול להזדייף </w:t>
      </w:r>
      <w:r w:rsidR="00A82951">
        <w:rPr>
          <w:rFonts w:cs="Arial" w:hint="cs"/>
          <w:rtl/>
        </w:rPr>
        <w:t>-</w:t>
      </w:r>
      <w:r w:rsidR="00C563E9">
        <w:rPr>
          <w:rFonts w:cs="Arial" w:hint="cs"/>
          <w:rtl/>
        </w:rPr>
        <w:t xml:space="preserve"> </w:t>
      </w:r>
      <w:r w:rsidR="008A0338" w:rsidRPr="00FE510D">
        <w:rPr>
          <w:rFonts w:cs="Arial"/>
          <w:rtl/>
        </w:rPr>
        <w:t>אפי' אין עדי מסירה לפנינו מגורשת</w:t>
      </w:r>
      <w:r>
        <w:rPr>
          <w:rFonts w:cs="Arial" w:hint="cs"/>
          <w:sz w:val="16"/>
          <w:szCs w:val="16"/>
          <w:rtl/>
        </w:rPr>
        <w:t xml:space="preserve"> (ל' הטור)</w:t>
      </w:r>
      <w:r w:rsidR="005C4245">
        <w:rPr>
          <w:rFonts w:cs="Arial" w:hint="cs"/>
          <w:rtl/>
        </w:rPr>
        <w:t>.</w:t>
      </w:r>
      <w:r w:rsidR="008A0338" w:rsidRPr="00FE510D">
        <w:rPr>
          <w:rFonts w:cs="Arial"/>
          <w:rtl/>
        </w:rPr>
        <w:t xml:space="preserve"> </w:t>
      </w:r>
      <w:r w:rsidR="000877D0" w:rsidRPr="00DD1DEB">
        <w:rPr>
          <w:rFonts w:hint="cs"/>
          <w:color w:val="E36C0A" w:themeColor="accent6" w:themeShade="BF"/>
          <w:rtl/>
        </w:rPr>
        <w:t>(וכ"פ בשו"ע)</w:t>
      </w:r>
    </w:p>
    <w:p w14:paraId="04C81649"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77B02B6" w14:textId="101018A5" w:rsidR="00C77C34" w:rsidRDefault="00C77C34" w:rsidP="00C77C34">
      <w:pPr>
        <w:rPr>
          <w:rFonts w:cs="Arial"/>
          <w:rtl/>
        </w:rPr>
      </w:pPr>
      <w:r w:rsidRPr="00C77C34">
        <w:rPr>
          <w:rFonts w:cs="Arial"/>
          <w:rtl/>
        </w:rPr>
        <w:t>היה הגט חקוק על הטבלה, והעדים עליו, והוא יוצא מתחת ידה, ואומרת שנתנתו לו וחזר ונתנו לה, אף על פי שהם מוחזקים בטבלה שהיא שלה, הרי זו מגורשת, שהאשה עצמה כותבת את גיטה</w:t>
      </w:r>
      <w:r w:rsidR="00583BD7">
        <w:rPr>
          <w:rStyle w:val="a7"/>
          <w:rFonts w:cs="Arial"/>
          <w:rtl/>
        </w:rPr>
        <w:footnoteReference w:id="487"/>
      </w:r>
      <w:r w:rsidRPr="00C77C34">
        <w:rPr>
          <w:rFonts w:cs="Arial"/>
          <w:rtl/>
        </w:rPr>
        <w:t xml:space="preserve">. </w:t>
      </w:r>
    </w:p>
    <w:p w14:paraId="7DF3ADBA" w14:textId="77777777" w:rsidR="00FE510D" w:rsidRPr="00C77C34" w:rsidRDefault="00FE510D" w:rsidP="00C77C34">
      <w:pPr>
        <w:rPr>
          <w:rFonts w:cs="Arial"/>
          <w:rtl/>
        </w:rPr>
      </w:pPr>
    </w:p>
    <w:p w14:paraId="0523D397" w14:textId="403BB8CA" w:rsidR="00C77C34" w:rsidRDefault="00C77C34" w:rsidP="00786DE6">
      <w:pPr>
        <w:pStyle w:val="2"/>
        <w:rPr>
          <w:rtl/>
        </w:rPr>
      </w:pPr>
      <w:r w:rsidRPr="00C77C34">
        <w:rPr>
          <w:rtl/>
        </w:rPr>
        <w:t>סעיף ח</w:t>
      </w:r>
      <w:r w:rsidR="000877D0">
        <w:rPr>
          <w:rFonts w:hint="cs"/>
          <w:rtl/>
        </w:rPr>
        <w:t>: גט על טס זהב, ותיפרע ממנו כתובתה.</w:t>
      </w:r>
    </w:p>
    <w:p w14:paraId="4E2CEBD5" w14:textId="477CE3D9" w:rsidR="00C563E9" w:rsidRPr="00C563E9" w:rsidRDefault="00C563E9" w:rsidP="00C563E9">
      <w:pPr>
        <w:rPr>
          <w:rtl/>
        </w:rPr>
      </w:pPr>
      <w:r w:rsidRPr="00312668">
        <w:rPr>
          <w:rFonts w:cs="Arial" w:hint="cs"/>
          <w:b/>
          <w:bCs/>
          <w:rtl/>
        </w:rPr>
        <w:t xml:space="preserve">גיטין </w:t>
      </w:r>
      <w:r w:rsidRPr="00312668">
        <w:rPr>
          <w:rFonts w:cs="Arial" w:hint="cs"/>
          <w:b/>
          <w:bCs/>
          <w:sz w:val="16"/>
          <w:szCs w:val="16"/>
          <w:rtl/>
        </w:rPr>
        <w:t>(פ"ב)</w:t>
      </w:r>
      <w:r w:rsidRPr="00312668">
        <w:rPr>
          <w:rFonts w:cs="Arial" w:hint="cs"/>
          <w:b/>
          <w:bCs/>
          <w:rtl/>
        </w:rPr>
        <w:t xml:space="preserve"> כ ע"ב:</w:t>
      </w:r>
      <w:r w:rsidRPr="00312668">
        <w:rPr>
          <w:rFonts w:cs="Arial" w:hint="cs"/>
          <w:rtl/>
        </w:rPr>
        <w:t xml:space="preserve"> </w:t>
      </w:r>
      <w:r w:rsidR="00B905F4" w:rsidRPr="00B905F4">
        <w:rPr>
          <w:rFonts w:cs="Arial"/>
          <w:u w:val="single"/>
          <w:rtl/>
        </w:rPr>
        <w:t>בעא מיניה רבא מרב נחמן</w:t>
      </w:r>
      <w:r w:rsidR="00B905F4" w:rsidRPr="00B905F4">
        <w:rPr>
          <w:rFonts w:cs="Arial"/>
          <w:rtl/>
        </w:rPr>
        <w:t xml:space="preserve">: כתב לה גט על טס של זהב, ואמר לה התקבלי גיטך והתקבלי כתובתך, מהו? </w:t>
      </w:r>
      <w:r w:rsidR="00B905F4" w:rsidRPr="00B905F4">
        <w:rPr>
          <w:rFonts w:cs="Arial"/>
          <w:u w:val="single"/>
          <w:rtl/>
        </w:rPr>
        <w:t>אמר ליה</w:t>
      </w:r>
      <w:r w:rsidR="00B905F4" w:rsidRPr="00B905F4">
        <w:rPr>
          <w:rFonts w:cs="Arial"/>
          <w:rtl/>
        </w:rPr>
        <w:t xml:space="preserve">: נתקבלה גיטה ונתקבלה כתובתה. איתיביה: התקבלי גיטך והשאר לכתובתך </w:t>
      </w:r>
      <w:r w:rsidR="00A82951">
        <w:rPr>
          <w:rFonts w:cs="Arial"/>
          <w:rtl/>
        </w:rPr>
        <w:t>-</w:t>
      </w:r>
      <w:r w:rsidR="00B905F4" w:rsidRPr="00B905F4">
        <w:rPr>
          <w:rFonts w:cs="Arial"/>
          <w:rtl/>
        </w:rPr>
        <w:t xml:space="preserve"> נתקבלה גיטה והשאר לכתובתה</w:t>
      </w:r>
      <w:r w:rsidR="005C343F">
        <w:rPr>
          <w:rFonts w:cs="Arial" w:hint="cs"/>
          <w:rtl/>
        </w:rPr>
        <w:t>.</w:t>
      </w:r>
      <w:r w:rsidR="00B905F4" w:rsidRPr="00B905F4">
        <w:rPr>
          <w:rFonts w:cs="Arial"/>
          <w:rtl/>
        </w:rPr>
        <w:t xml:space="preserve"> טעמא דאיכא שאר, הא ליכא שאר </w:t>
      </w:r>
      <w:r w:rsidR="00A82951">
        <w:rPr>
          <w:rFonts w:cs="Arial"/>
          <w:rtl/>
        </w:rPr>
        <w:t>-</w:t>
      </w:r>
      <w:r w:rsidR="00B905F4" w:rsidRPr="00B905F4">
        <w:rPr>
          <w:rFonts w:cs="Arial"/>
          <w:rtl/>
        </w:rPr>
        <w:t xml:space="preserve"> לא</w:t>
      </w:r>
      <w:r w:rsidR="005C343F">
        <w:rPr>
          <w:rStyle w:val="a7"/>
          <w:rFonts w:cs="Arial"/>
          <w:rtl/>
        </w:rPr>
        <w:footnoteReference w:id="488"/>
      </w:r>
      <w:r w:rsidR="00B905F4" w:rsidRPr="00B905F4">
        <w:rPr>
          <w:rFonts w:cs="Arial"/>
          <w:rtl/>
        </w:rPr>
        <w:t>! הוא הדין אף על גב דליכא שאר, והא קמ"ל, דאע"ג דאיכא שאר, אי אמר לה</w:t>
      </w:r>
      <w:r w:rsidR="005C343F">
        <w:rPr>
          <w:rStyle w:val="a7"/>
          <w:rFonts w:cs="Arial"/>
          <w:rtl/>
        </w:rPr>
        <w:footnoteReference w:id="489"/>
      </w:r>
      <w:r w:rsidR="00B905F4" w:rsidRPr="00B905F4">
        <w:rPr>
          <w:rFonts w:cs="Arial"/>
          <w:rtl/>
        </w:rPr>
        <w:t xml:space="preserve"> </w:t>
      </w:r>
      <w:r w:rsidR="00A82951">
        <w:rPr>
          <w:rFonts w:cs="Arial"/>
          <w:rtl/>
        </w:rPr>
        <w:t>-</w:t>
      </w:r>
      <w:r w:rsidR="00B905F4" w:rsidRPr="00B905F4">
        <w:rPr>
          <w:rFonts w:cs="Arial"/>
          <w:rtl/>
        </w:rPr>
        <w:t xml:space="preserve"> אין, אי לא </w:t>
      </w:r>
      <w:r w:rsidR="00A82951">
        <w:rPr>
          <w:rFonts w:cs="Arial"/>
          <w:rtl/>
        </w:rPr>
        <w:t>-</w:t>
      </w:r>
      <w:r w:rsidR="00B905F4" w:rsidRPr="00B905F4">
        <w:rPr>
          <w:rFonts w:cs="Arial"/>
          <w:rtl/>
        </w:rPr>
        <w:t xml:space="preserve"> לא, מאי טעמא? אוירא</w:t>
      </w:r>
      <w:r w:rsidR="005C343F">
        <w:rPr>
          <w:rStyle w:val="a7"/>
          <w:rFonts w:cs="Arial"/>
          <w:rtl/>
        </w:rPr>
        <w:footnoteReference w:id="490"/>
      </w:r>
      <w:r w:rsidR="00B905F4" w:rsidRPr="00B905F4">
        <w:rPr>
          <w:rFonts w:cs="Arial"/>
          <w:rtl/>
        </w:rPr>
        <w:t xml:space="preserve"> דמגילתא הוא.</w:t>
      </w:r>
    </w:p>
    <w:p w14:paraId="51681ECC" w14:textId="00942EED" w:rsidR="000877D0" w:rsidRPr="000877D0" w:rsidRDefault="005C343F" w:rsidP="005C343F">
      <w:pPr>
        <w:rPr>
          <w:u w:val="single"/>
          <w:rtl/>
        </w:rPr>
      </w:pPr>
      <w:r>
        <w:rPr>
          <w:rFonts w:hint="cs"/>
          <w:u w:val="single"/>
          <w:rtl/>
        </w:rPr>
        <w:t>כתב ה</w:t>
      </w:r>
      <w:r w:rsidR="000877D0" w:rsidRPr="000877D0">
        <w:rPr>
          <w:rFonts w:hint="cs"/>
          <w:u w:val="single"/>
          <w:rtl/>
        </w:rPr>
        <w:t>גט על טס זהב,</w:t>
      </w:r>
      <w:r>
        <w:rPr>
          <w:rFonts w:hint="cs"/>
          <w:u w:val="single"/>
          <w:rtl/>
        </w:rPr>
        <w:t xml:space="preserve"> ואמר לה '</w:t>
      </w:r>
      <w:r w:rsidRPr="005C343F">
        <w:rPr>
          <w:u w:val="single"/>
          <w:rtl/>
        </w:rPr>
        <w:t>התקבלי גיטך והתקבלי כתובתך</w:t>
      </w:r>
      <w:r>
        <w:rPr>
          <w:rFonts w:hint="cs"/>
          <w:u w:val="single"/>
          <w:rtl/>
        </w:rPr>
        <w:t>'</w:t>
      </w:r>
      <w:r w:rsidR="000877D0" w:rsidRPr="000877D0">
        <w:rPr>
          <w:rFonts w:hint="cs"/>
          <w:u w:val="single"/>
          <w:rtl/>
        </w:rPr>
        <w:t>:</w:t>
      </w:r>
    </w:p>
    <w:p w14:paraId="578FBC31" w14:textId="584F2FA0" w:rsidR="00D03B07" w:rsidRPr="00D03B07" w:rsidRDefault="005C4245" w:rsidP="00A65C5F">
      <w:pPr>
        <w:pStyle w:val="ab"/>
        <w:numPr>
          <w:ilvl w:val="0"/>
          <w:numId w:val="41"/>
        </w:numPr>
      </w:pPr>
      <w:r>
        <w:rPr>
          <w:rFonts w:cs="Arial" w:hint="cs"/>
          <w:rtl/>
        </w:rPr>
        <w:t>טור</w:t>
      </w:r>
      <w:r w:rsidR="00A82951">
        <w:rPr>
          <w:rFonts w:cs="Arial" w:hint="cs"/>
          <w:rtl/>
        </w:rPr>
        <w:t>-</w:t>
      </w:r>
      <w:r>
        <w:rPr>
          <w:rFonts w:cs="Arial" w:hint="cs"/>
          <w:rtl/>
        </w:rPr>
        <w:t xml:space="preserve"> </w:t>
      </w:r>
      <w:r w:rsidRPr="00FE510D">
        <w:rPr>
          <w:rFonts w:cs="Arial"/>
          <w:rtl/>
        </w:rPr>
        <w:t xml:space="preserve">כתבו על טס של זהב ואמר הרי זה גיטך ותתפרע בזהב שבו בכתובה </w:t>
      </w:r>
      <w:r w:rsidR="00A82951">
        <w:rPr>
          <w:rFonts w:cs="Arial" w:hint="cs"/>
          <w:rtl/>
        </w:rPr>
        <w:t>-</w:t>
      </w:r>
      <w:r w:rsidR="000877D0">
        <w:rPr>
          <w:rFonts w:cs="Arial" w:hint="cs"/>
          <w:rtl/>
        </w:rPr>
        <w:t xml:space="preserve"> </w:t>
      </w:r>
      <w:r w:rsidRPr="00FE510D">
        <w:rPr>
          <w:rFonts w:cs="Arial"/>
          <w:rtl/>
        </w:rPr>
        <w:t>נתקבלה גיטה וכתובתה</w:t>
      </w:r>
      <w:r w:rsidR="000877D0">
        <w:rPr>
          <w:rFonts w:cs="Arial" w:hint="cs"/>
          <w:rtl/>
        </w:rPr>
        <w:t>.</w:t>
      </w:r>
      <w:r w:rsidR="00D03B07" w:rsidRPr="00D03B07">
        <w:rPr>
          <w:rtl/>
        </w:rPr>
        <w:t xml:space="preserve"> </w:t>
      </w:r>
    </w:p>
    <w:p w14:paraId="5BDC12F7" w14:textId="079F797D" w:rsidR="005C343F" w:rsidRPr="005C343F" w:rsidRDefault="00D03B07" w:rsidP="005C343F">
      <w:pPr>
        <w:pStyle w:val="ab"/>
        <w:numPr>
          <w:ilvl w:val="0"/>
          <w:numId w:val="41"/>
        </w:numPr>
      </w:pPr>
      <w:r>
        <w:rPr>
          <w:rFonts w:cs="Arial" w:hint="cs"/>
          <w:rtl/>
        </w:rPr>
        <w:t xml:space="preserve">רמב"ם </w:t>
      </w:r>
      <w:r>
        <w:rPr>
          <w:rFonts w:cs="Arial" w:hint="cs"/>
          <w:sz w:val="16"/>
          <w:szCs w:val="16"/>
          <w:rtl/>
        </w:rPr>
        <w:t>(פ"ח הט"ו)</w:t>
      </w:r>
      <w:r w:rsidR="00A82951">
        <w:rPr>
          <w:rFonts w:cs="Arial" w:hint="cs"/>
          <w:rtl/>
        </w:rPr>
        <w:t>-</w:t>
      </w:r>
      <w:r>
        <w:rPr>
          <w:rFonts w:cs="Arial" w:hint="cs"/>
          <w:rtl/>
        </w:rPr>
        <w:t xml:space="preserve"> </w:t>
      </w:r>
      <w:r w:rsidRPr="00D03B07">
        <w:rPr>
          <w:rFonts w:cs="Arial"/>
          <w:rtl/>
        </w:rPr>
        <w:t>חקק הגט על טס של זהב ונתנו לה ואמר לה הרי זה גיטיך וכתובתיך</w:t>
      </w:r>
      <w:r w:rsidR="005C343F">
        <w:rPr>
          <w:rFonts w:cs="Arial" w:hint="cs"/>
          <w:rtl/>
        </w:rPr>
        <w:t xml:space="preserve"> </w:t>
      </w:r>
      <w:r w:rsidR="00A82951">
        <w:rPr>
          <w:rFonts w:cs="Arial" w:hint="cs"/>
          <w:rtl/>
        </w:rPr>
        <w:t>-</w:t>
      </w:r>
      <w:r w:rsidRPr="00D03B07">
        <w:rPr>
          <w:rFonts w:cs="Arial"/>
          <w:rtl/>
        </w:rPr>
        <w:t xml:space="preserve"> כשר</w:t>
      </w:r>
      <w:r w:rsidR="00583BD7">
        <w:rPr>
          <w:rStyle w:val="a7"/>
          <w:rFonts w:cs="Arial"/>
          <w:rtl/>
        </w:rPr>
        <w:footnoteReference w:id="491"/>
      </w:r>
      <w:r w:rsidRPr="00D03B07">
        <w:rPr>
          <w:rFonts w:cs="Arial"/>
          <w:rtl/>
        </w:rPr>
        <w:t xml:space="preserve"> ונתקבלה כתובתה אם יש בטס כדי כתובתה</w:t>
      </w:r>
      <w:r w:rsidR="005C343F">
        <w:rPr>
          <w:rFonts w:cs="Arial" w:hint="cs"/>
          <w:rtl/>
        </w:rPr>
        <w:t>.</w:t>
      </w:r>
      <w:r w:rsidRPr="00D03B07">
        <w:rPr>
          <w:rFonts w:cs="Arial"/>
          <w:rtl/>
        </w:rPr>
        <w:t xml:space="preserve"> ואם אין בו</w:t>
      </w:r>
      <w:r w:rsidR="005C343F">
        <w:rPr>
          <w:rFonts w:cs="Arial" w:hint="cs"/>
          <w:rtl/>
        </w:rPr>
        <w:t>,</w:t>
      </w:r>
      <w:r w:rsidRPr="00D03B07">
        <w:rPr>
          <w:rFonts w:cs="Arial"/>
          <w:rtl/>
        </w:rPr>
        <w:t xml:space="preserve"> ישלים לה כתובתה.</w:t>
      </w:r>
      <w:r w:rsidR="000877D0" w:rsidRPr="000877D0">
        <w:rPr>
          <w:rFonts w:hint="cs"/>
          <w:color w:val="E36C0A" w:themeColor="accent6" w:themeShade="BF"/>
          <w:rtl/>
        </w:rPr>
        <w:t xml:space="preserve"> </w:t>
      </w:r>
      <w:r w:rsidR="000877D0" w:rsidRPr="00DD1DEB">
        <w:rPr>
          <w:rFonts w:hint="cs"/>
          <w:color w:val="E36C0A" w:themeColor="accent6" w:themeShade="BF"/>
          <w:rtl/>
        </w:rPr>
        <w:t>(וכ"פ בשו"ע)</w:t>
      </w:r>
    </w:p>
    <w:p w14:paraId="6A0E159E" w14:textId="14A2611C" w:rsidR="005C343F" w:rsidRPr="005C343F" w:rsidRDefault="005C343F" w:rsidP="005C343F">
      <w:pPr>
        <w:ind w:left="360"/>
        <w:rPr>
          <w:u w:val="dotted"/>
        </w:rPr>
      </w:pPr>
      <w:r w:rsidRPr="005C343F">
        <w:rPr>
          <w:rFonts w:hint="cs"/>
          <w:u w:val="dotted"/>
          <w:rtl/>
        </w:rPr>
        <w:t xml:space="preserve">ומה הדין אם לא אמר לה </w:t>
      </w:r>
      <w:r>
        <w:rPr>
          <w:rFonts w:hint="cs"/>
          <w:u w:val="dotted"/>
          <w:rtl/>
        </w:rPr>
        <w:t>'התקבלי כתובתך'</w:t>
      </w:r>
      <w:r w:rsidRPr="005C343F">
        <w:rPr>
          <w:rFonts w:hint="cs"/>
          <w:u w:val="dotted"/>
          <w:rtl/>
        </w:rPr>
        <w:t>:</w:t>
      </w:r>
    </w:p>
    <w:p w14:paraId="65B0F220" w14:textId="157420F4" w:rsidR="00FE510D" w:rsidRPr="00FE510D" w:rsidRDefault="005C343F" w:rsidP="00583BD7">
      <w:pPr>
        <w:pStyle w:val="ab"/>
        <w:numPr>
          <w:ilvl w:val="0"/>
          <w:numId w:val="41"/>
        </w:numPr>
        <w:rPr>
          <w:rtl/>
        </w:rPr>
      </w:pPr>
      <w:r>
        <w:rPr>
          <w:rFonts w:cs="Arial" w:hint="cs"/>
          <w:rtl/>
        </w:rPr>
        <w:t>ב"י</w:t>
      </w:r>
      <w:r w:rsidR="00A82951">
        <w:rPr>
          <w:rFonts w:cs="Arial" w:hint="cs"/>
          <w:rtl/>
        </w:rPr>
        <w:t>-</w:t>
      </w:r>
      <w:r>
        <w:rPr>
          <w:rFonts w:cs="Arial" w:hint="cs"/>
          <w:rtl/>
        </w:rPr>
        <w:t xml:space="preserve"> </w:t>
      </w:r>
      <w:r w:rsidR="00FE510D" w:rsidRPr="005C343F">
        <w:rPr>
          <w:rFonts w:cs="Arial"/>
          <w:rtl/>
        </w:rPr>
        <w:t xml:space="preserve">מוכח בגמרא שאם נתן הטס סתם ואמר לה התקבלי גיטך </w:t>
      </w:r>
      <w:r w:rsidR="00A82951">
        <w:rPr>
          <w:rFonts w:cs="Arial" w:hint="cs"/>
          <w:rtl/>
        </w:rPr>
        <w:t>-</w:t>
      </w:r>
      <w:r>
        <w:rPr>
          <w:rFonts w:cs="Arial" w:hint="cs"/>
          <w:rtl/>
        </w:rPr>
        <w:t xml:space="preserve"> </w:t>
      </w:r>
      <w:r w:rsidR="00FE510D" w:rsidRPr="005C343F">
        <w:rPr>
          <w:rFonts w:cs="Arial"/>
          <w:rtl/>
        </w:rPr>
        <w:t>אפילו הגיליון הוא שלה ואינו נכנס בפרעון כתובתה</w:t>
      </w:r>
      <w:r>
        <w:rPr>
          <w:rFonts w:cs="Arial" w:hint="cs"/>
          <w:rtl/>
        </w:rPr>
        <w:t>,</w:t>
      </w:r>
      <w:r w:rsidR="00FE510D" w:rsidRPr="005C343F">
        <w:rPr>
          <w:rFonts w:cs="Arial"/>
          <w:rtl/>
        </w:rPr>
        <w:t xml:space="preserve"> משום דאוירא דמגילתא הוא ובטל לגבי הגט</w:t>
      </w:r>
      <w:r w:rsidRPr="005C343F">
        <w:rPr>
          <w:rFonts w:cs="Arial" w:hint="cs"/>
          <w:rtl/>
        </w:rPr>
        <w:t>.</w:t>
      </w:r>
      <w:r w:rsidR="00FE510D" w:rsidRPr="005C343F">
        <w:rPr>
          <w:rFonts w:cs="Arial"/>
          <w:rtl/>
        </w:rPr>
        <w:t xml:space="preserve"> וכן כתב הר"ן (י. דיבור ראשון). </w:t>
      </w:r>
      <w:r w:rsidR="00583BD7" w:rsidRPr="00EE7D29">
        <w:rPr>
          <w:rFonts w:hint="cs"/>
          <w:color w:val="00B0F0"/>
          <w:rtl/>
        </w:rPr>
        <w:t>(וכ"פ הרמ"א)</w:t>
      </w:r>
    </w:p>
    <w:p w14:paraId="0B0B9290"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A7908AB" w14:textId="53B54882" w:rsidR="00C77C34" w:rsidRDefault="00C77C34" w:rsidP="00C77C34">
      <w:pPr>
        <w:rPr>
          <w:rFonts w:cs="Arial"/>
          <w:rtl/>
        </w:rPr>
      </w:pPr>
      <w:r w:rsidRPr="00C77C34">
        <w:rPr>
          <w:rFonts w:cs="Arial"/>
          <w:rtl/>
        </w:rPr>
        <w:lastRenderedPageBreak/>
        <w:t xml:space="preserve">חקק הגט על טס של זהב ונתנו לה ואמר לה: הרי זה גיטך וכתובתיך, הרי זו מגורשת ונתקבלה כתובתה בכדי שווי הטס. </w:t>
      </w:r>
      <w:r w:rsidRPr="00D03B07">
        <w:rPr>
          <w:rFonts w:cs="Arial"/>
          <w:sz w:val="18"/>
          <w:szCs w:val="18"/>
          <w:rtl/>
        </w:rPr>
        <w:t>הגה: אבל נתן לה סתם, הרי הכל שלה מכח נתינת הגט וצריך ליתן לה כתובתה משלם (גמ' וכ"כ הר"ן).</w:t>
      </w:r>
      <w:r w:rsidRPr="00C77C34">
        <w:rPr>
          <w:rFonts w:cs="Arial"/>
          <w:rtl/>
        </w:rPr>
        <w:t xml:space="preserve"> </w:t>
      </w:r>
    </w:p>
    <w:p w14:paraId="7E523A58" w14:textId="77777777" w:rsidR="00FE510D" w:rsidRPr="00C77C34" w:rsidRDefault="00FE510D" w:rsidP="00C77C34">
      <w:pPr>
        <w:rPr>
          <w:rFonts w:cs="Arial"/>
          <w:rtl/>
        </w:rPr>
      </w:pPr>
    </w:p>
    <w:p w14:paraId="204E6688" w14:textId="14BAD56A" w:rsidR="00C77C34" w:rsidRDefault="00C77C34" w:rsidP="00786DE6">
      <w:pPr>
        <w:pStyle w:val="2"/>
        <w:rPr>
          <w:rtl/>
        </w:rPr>
      </w:pPr>
      <w:r w:rsidRPr="00C77C34">
        <w:rPr>
          <w:rtl/>
        </w:rPr>
        <w:t>סעיף ט</w:t>
      </w:r>
      <w:r w:rsidR="000877D0">
        <w:rPr>
          <w:rFonts w:hint="cs"/>
          <w:rtl/>
        </w:rPr>
        <w:t xml:space="preserve">: נתינת הגט לאחר ייבוש הדיו. </w:t>
      </w:r>
    </w:p>
    <w:p w14:paraId="58AC7FE9" w14:textId="1DC10EEA" w:rsidR="000877D0" w:rsidRPr="000877D0" w:rsidRDefault="000877D0" w:rsidP="000877D0">
      <w:pPr>
        <w:rPr>
          <w:u w:val="single"/>
        </w:rPr>
      </w:pPr>
      <w:r w:rsidRPr="000877D0">
        <w:rPr>
          <w:rFonts w:hint="cs"/>
          <w:u w:val="single"/>
          <w:rtl/>
        </w:rPr>
        <w:t>נתינת הגט לאחר ייבוש הדיו:</w:t>
      </w:r>
    </w:p>
    <w:p w14:paraId="3DFA0ED4" w14:textId="49F2B75B" w:rsidR="00235732" w:rsidRPr="00FE510D" w:rsidRDefault="00FE510D" w:rsidP="00235732">
      <w:pPr>
        <w:pStyle w:val="ab"/>
        <w:numPr>
          <w:ilvl w:val="0"/>
          <w:numId w:val="41"/>
        </w:numPr>
        <w:rPr>
          <w:rtl/>
        </w:rPr>
      </w:pPr>
      <w:r w:rsidRPr="003E78AA">
        <w:rPr>
          <w:rFonts w:cs="Arial"/>
          <w:rtl/>
        </w:rPr>
        <w:t xml:space="preserve">בעל התרומה </w:t>
      </w:r>
      <w:r w:rsidR="003E78AA" w:rsidRPr="003E78AA">
        <w:rPr>
          <w:rFonts w:cs="Arial" w:hint="cs"/>
          <w:sz w:val="16"/>
          <w:szCs w:val="16"/>
          <w:rtl/>
        </w:rPr>
        <w:t>(</w:t>
      </w:r>
      <w:r w:rsidRPr="003E78AA">
        <w:rPr>
          <w:rFonts w:cs="Arial"/>
          <w:sz w:val="16"/>
          <w:szCs w:val="16"/>
          <w:rtl/>
        </w:rPr>
        <w:t>סי</w:t>
      </w:r>
      <w:r w:rsidR="003E78AA" w:rsidRPr="003E78AA">
        <w:rPr>
          <w:rFonts w:cs="Arial" w:hint="cs"/>
          <w:sz w:val="16"/>
          <w:szCs w:val="16"/>
          <w:rtl/>
        </w:rPr>
        <w:t>'</w:t>
      </w:r>
      <w:r w:rsidRPr="003E78AA">
        <w:rPr>
          <w:rFonts w:cs="Arial"/>
          <w:sz w:val="16"/>
          <w:szCs w:val="16"/>
          <w:rtl/>
        </w:rPr>
        <w:t xml:space="preserve"> קלא לא ע"ב)</w:t>
      </w:r>
      <w:r w:rsidR="00A82951">
        <w:rPr>
          <w:rFonts w:cs="Arial" w:hint="cs"/>
          <w:rtl/>
        </w:rPr>
        <w:t>-</w:t>
      </w:r>
      <w:r w:rsidR="003E78AA">
        <w:rPr>
          <w:rFonts w:cs="Arial" w:hint="cs"/>
          <w:rtl/>
        </w:rPr>
        <w:t xml:space="preserve"> </w:t>
      </w:r>
      <w:r w:rsidRPr="003E78AA">
        <w:rPr>
          <w:rFonts w:cs="Arial"/>
          <w:rtl/>
        </w:rPr>
        <w:t>לא יתננו לה עד שתתייבש הכתיבה והחתימה יפה</w:t>
      </w:r>
      <w:r w:rsidR="00BB03A9">
        <w:rPr>
          <w:rFonts w:cs="Arial" w:hint="cs"/>
          <w:rtl/>
        </w:rPr>
        <w:t>,</w:t>
      </w:r>
      <w:r w:rsidRPr="003E78AA">
        <w:rPr>
          <w:rFonts w:cs="Arial"/>
          <w:rtl/>
        </w:rPr>
        <w:t xml:space="preserve"> פן יהא קרוי כתב שיכול להזדייף</w:t>
      </w:r>
      <w:r>
        <w:rPr>
          <w:rStyle w:val="a7"/>
          <w:rFonts w:cs="Arial"/>
          <w:rtl/>
        </w:rPr>
        <w:footnoteReference w:id="492"/>
      </w:r>
      <w:r w:rsidR="000877D0">
        <w:rPr>
          <w:rFonts w:cs="Arial" w:hint="cs"/>
          <w:rtl/>
        </w:rPr>
        <w:t xml:space="preserve">. </w:t>
      </w:r>
      <w:r w:rsidR="000877D0" w:rsidRPr="00DD1DEB">
        <w:rPr>
          <w:rFonts w:hint="cs"/>
          <w:color w:val="E36C0A" w:themeColor="accent6" w:themeShade="BF"/>
          <w:rtl/>
        </w:rPr>
        <w:t>(וכ"פ בשו"ע)</w:t>
      </w:r>
    </w:p>
    <w:p w14:paraId="56025FF3"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F61B037" w14:textId="0DF8A309" w:rsidR="00C77C34" w:rsidRDefault="00C77C34" w:rsidP="00C77C34">
      <w:pPr>
        <w:rPr>
          <w:rFonts w:cs="Arial"/>
          <w:rtl/>
        </w:rPr>
      </w:pPr>
      <w:r w:rsidRPr="00C77C34">
        <w:rPr>
          <w:rFonts w:cs="Arial"/>
          <w:rtl/>
        </w:rPr>
        <w:t>לא יתננו</w:t>
      </w:r>
      <w:r w:rsidR="00E9419D">
        <w:rPr>
          <w:rStyle w:val="a7"/>
          <w:rFonts w:cs="Arial"/>
          <w:rtl/>
        </w:rPr>
        <w:footnoteReference w:id="493"/>
      </w:r>
      <w:r w:rsidRPr="00C77C34">
        <w:rPr>
          <w:rFonts w:cs="Arial"/>
          <w:rtl/>
        </w:rPr>
        <w:t xml:space="preserve"> לה עד שתתייבש הכתיבה והחתימה יפה, פן</w:t>
      </w:r>
      <w:r w:rsidR="00AF4AED">
        <w:rPr>
          <w:rStyle w:val="a7"/>
          <w:rFonts w:cs="Arial"/>
          <w:rtl/>
        </w:rPr>
        <w:footnoteReference w:id="494"/>
      </w:r>
      <w:r w:rsidRPr="00C77C34">
        <w:rPr>
          <w:rFonts w:cs="Arial"/>
          <w:rtl/>
        </w:rPr>
        <w:t xml:space="preserve"> יהא קרוי כתב שיכול להזדייף</w:t>
      </w:r>
      <w:r w:rsidR="00235732">
        <w:rPr>
          <w:rStyle w:val="a7"/>
          <w:rFonts w:cs="Arial"/>
          <w:rtl/>
        </w:rPr>
        <w:footnoteReference w:id="495"/>
      </w:r>
      <w:r w:rsidRPr="00C77C34">
        <w:rPr>
          <w:rFonts w:cs="Arial"/>
          <w:rtl/>
        </w:rPr>
        <w:t>.</w:t>
      </w:r>
    </w:p>
    <w:p w14:paraId="5C332F03" w14:textId="77777777" w:rsidR="00935CBA" w:rsidRDefault="00935CBA" w:rsidP="005928A6">
      <w:pPr>
        <w:rPr>
          <w:rFonts w:cs="Arial"/>
          <w:rtl/>
        </w:rPr>
      </w:pPr>
      <w:r w:rsidRPr="00935CBA">
        <w:rPr>
          <w:rFonts w:cs="Arial" w:hint="cs"/>
          <w:u w:val="single"/>
          <w:rtl/>
        </w:rPr>
        <w:t>מי שזרק עפר או עפרות זהב על הדיו הלח כדי לייבשו:</w:t>
      </w:r>
      <w:r w:rsidRPr="00935CBA">
        <w:rPr>
          <w:rFonts w:cs="Arial" w:hint="cs"/>
          <w:sz w:val="16"/>
          <w:szCs w:val="16"/>
          <w:rtl/>
        </w:rPr>
        <w:t xml:space="preserve"> </w:t>
      </w:r>
      <w:r w:rsidR="005928A6" w:rsidRPr="00935CBA">
        <w:rPr>
          <w:rFonts w:cs="Arial"/>
          <w:sz w:val="16"/>
          <w:szCs w:val="16"/>
          <w:rtl/>
        </w:rPr>
        <w:t>(</w:t>
      </w:r>
      <w:r w:rsidRPr="00935CBA">
        <w:rPr>
          <w:rFonts w:cs="Arial" w:hint="cs"/>
          <w:sz w:val="16"/>
          <w:szCs w:val="16"/>
          <w:rtl/>
        </w:rPr>
        <w:t>פת"ש סק</w:t>
      </w:r>
      <w:r w:rsidR="005928A6" w:rsidRPr="00935CBA">
        <w:rPr>
          <w:rFonts w:cs="Arial"/>
          <w:sz w:val="16"/>
          <w:szCs w:val="16"/>
          <w:rtl/>
        </w:rPr>
        <w:t>ט</w:t>
      </w:r>
      <w:r w:rsidRPr="00935CBA">
        <w:rPr>
          <w:rFonts w:cs="Arial" w:hint="cs"/>
          <w:sz w:val="16"/>
          <w:szCs w:val="16"/>
          <w:rtl/>
        </w:rPr>
        <w:t>"</w:t>
      </w:r>
      <w:r w:rsidR="005928A6" w:rsidRPr="00935CBA">
        <w:rPr>
          <w:rFonts w:cs="Arial"/>
          <w:sz w:val="16"/>
          <w:szCs w:val="16"/>
          <w:rtl/>
        </w:rPr>
        <w:t>ז)</w:t>
      </w:r>
    </w:p>
    <w:p w14:paraId="6B00A961" w14:textId="05F39574" w:rsidR="00935CBA" w:rsidRDefault="005928A6" w:rsidP="00935CBA">
      <w:pPr>
        <w:pStyle w:val="ab"/>
        <w:numPr>
          <w:ilvl w:val="0"/>
          <w:numId w:val="41"/>
        </w:numPr>
        <w:rPr>
          <w:rFonts w:cs="Arial"/>
        </w:rPr>
      </w:pPr>
      <w:r w:rsidRPr="00935CBA">
        <w:rPr>
          <w:rFonts w:cs="Arial"/>
          <w:rtl/>
        </w:rPr>
        <w:t>ג"פ</w:t>
      </w:r>
      <w:r w:rsidR="00A82951">
        <w:rPr>
          <w:rFonts w:cs="Arial" w:hint="cs"/>
          <w:rtl/>
        </w:rPr>
        <w:t>-</w:t>
      </w:r>
      <w:r w:rsidR="00935CBA">
        <w:rPr>
          <w:rFonts w:cs="Arial" w:hint="cs"/>
          <w:rtl/>
        </w:rPr>
        <w:t xml:space="preserve"> </w:t>
      </w:r>
      <w:r w:rsidRPr="00935CBA">
        <w:rPr>
          <w:rFonts w:cs="Arial"/>
          <w:rtl/>
        </w:rPr>
        <w:t>אם השליך עפר על הגט כדי לנגב האותיות או עפרות זהב נראה דיש להחמיר</w:t>
      </w:r>
      <w:r w:rsidR="000A780D">
        <w:rPr>
          <w:rFonts w:cs="Arial" w:hint="cs"/>
          <w:rtl/>
        </w:rPr>
        <w:t>,</w:t>
      </w:r>
      <w:r w:rsidRPr="00935CBA">
        <w:rPr>
          <w:rFonts w:cs="Arial"/>
          <w:rtl/>
        </w:rPr>
        <w:t xml:space="preserve"> משום דאותו עפר מבטל כתב הראשון והוי ככתב ע"ג כתב</w:t>
      </w:r>
      <w:r w:rsidR="000A780D">
        <w:rPr>
          <w:rFonts w:cs="Arial" w:hint="cs"/>
          <w:rtl/>
        </w:rPr>
        <w:t>,</w:t>
      </w:r>
      <w:r w:rsidRPr="00935CBA">
        <w:rPr>
          <w:rFonts w:cs="Arial"/>
          <w:rtl/>
        </w:rPr>
        <w:t xml:space="preserve"> כגון דיו ע"ג סיקרא דאזלינן להחמיר דכתב עליון אינו כתב כדמוכח פ"ב דגיטין </w:t>
      </w:r>
      <w:r w:rsidR="000A780D">
        <w:rPr>
          <w:rFonts w:cs="Arial" w:hint="cs"/>
          <w:rtl/>
        </w:rPr>
        <w:t>(</w:t>
      </w:r>
      <w:r w:rsidRPr="00935CBA">
        <w:rPr>
          <w:rFonts w:cs="Arial"/>
          <w:rtl/>
        </w:rPr>
        <w:t>יט</w:t>
      </w:r>
      <w:r w:rsidR="000A780D">
        <w:rPr>
          <w:rFonts w:cs="Arial" w:hint="cs"/>
          <w:rtl/>
        </w:rPr>
        <w:t>.),</w:t>
      </w:r>
      <w:r w:rsidRPr="00935CBA">
        <w:rPr>
          <w:rFonts w:cs="Arial"/>
          <w:rtl/>
        </w:rPr>
        <w:t xml:space="preserve"> וכה"ג בס"ת ותפילין דזרק עפרות זהב ע"ג האותיות פסולין. ואם חזר וגרר עפרות זהב ונשארו האותיות עשויות כבראשונה צ"ע</w:t>
      </w:r>
      <w:r w:rsidR="00935CBA">
        <w:rPr>
          <w:rStyle w:val="a7"/>
          <w:rFonts w:cs="Arial"/>
          <w:rtl/>
        </w:rPr>
        <w:footnoteReference w:id="496"/>
      </w:r>
      <w:r w:rsidRPr="00935CBA">
        <w:rPr>
          <w:rFonts w:cs="Arial"/>
          <w:rtl/>
        </w:rPr>
        <w:t xml:space="preserve"> אי הוי כשר</w:t>
      </w:r>
      <w:r w:rsidR="000A780D">
        <w:rPr>
          <w:rFonts w:cs="Arial" w:hint="cs"/>
          <w:rtl/>
        </w:rPr>
        <w:t>,</w:t>
      </w:r>
      <w:r w:rsidRPr="00935CBA">
        <w:rPr>
          <w:rFonts w:cs="Arial"/>
          <w:rtl/>
        </w:rPr>
        <w:t xml:space="preserve"> דאפשר דדמיא לחק תוכות כו'</w:t>
      </w:r>
      <w:r w:rsidR="000A780D">
        <w:rPr>
          <w:rFonts w:cs="Arial" w:hint="cs"/>
          <w:rtl/>
        </w:rPr>
        <w:t>.</w:t>
      </w:r>
      <w:r w:rsidRPr="00935CBA">
        <w:rPr>
          <w:rFonts w:cs="Arial"/>
          <w:rtl/>
        </w:rPr>
        <w:t xml:space="preserve"> ולכן אם השעה דחוקה ורוצה למהר לתת הגט והאותיות לחות יקריב הגט נגד חום האש לייבש אותו ולא יתן עליו עפר לנגבו. </w:t>
      </w:r>
    </w:p>
    <w:p w14:paraId="0D414E4A" w14:textId="1A0758E9" w:rsidR="005928A6" w:rsidRPr="00935CBA" w:rsidRDefault="005928A6" w:rsidP="00935CBA">
      <w:pPr>
        <w:pStyle w:val="ab"/>
        <w:numPr>
          <w:ilvl w:val="0"/>
          <w:numId w:val="41"/>
        </w:numPr>
        <w:rPr>
          <w:rFonts w:cs="Arial"/>
          <w:rtl/>
        </w:rPr>
      </w:pPr>
      <w:r w:rsidRPr="00935CBA">
        <w:rPr>
          <w:rFonts w:cs="Arial"/>
          <w:rtl/>
        </w:rPr>
        <w:t xml:space="preserve">גט מקושר </w:t>
      </w:r>
      <w:r w:rsidR="00935CBA" w:rsidRPr="00935CBA">
        <w:rPr>
          <w:rFonts w:cs="Arial" w:hint="cs"/>
          <w:sz w:val="16"/>
          <w:szCs w:val="16"/>
          <w:rtl/>
        </w:rPr>
        <w:t>(</w:t>
      </w:r>
      <w:r w:rsidRPr="00935CBA">
        <w:rPr>
          <w:rFonts w:cs="Arial"/>
          <w:sz w:val="16"/>
          <w:szCs w:val="16"/>
          <w:rtl/>
        </w:rPr>
        <w:t>קו"א אות ט</w:t>
      </w:r>
      <w:r w:rsidR="00935CBA" w:rsidRPr="00935CBA">
        <w:rPr>
          <w:rFonts w:cs="Arial" w:hint="cs"/>
          <w:sz w:val="16"/>
          <w:szCs w:val="16"/>
          <w:rtl/>
        </w:rPr>
        <w:t>)</w:t>
      </w:r>
      <w:r w:rsidR="00A82951">
        <w:rPr>
          <w:rFonts w:cs="Arial" w:hint="cs"/>
          <w:rtl/>
        </w:rPr>
        <w:t>-</w:t>
      </w:r>
      <w:r w:rsidRPr="00935CBA">
        <w:rPr>
          <w:rFonts w:cs="Arial"/>
          <w:rtl/>
        </w:rPr>
        <w:t xml:space="preserve"> אם זרק חול על הגט לנגב האותיות </w:t>
      </w:r>
      <w:r w:rsidR="00A82951">
        <w:rPr>
          <w:rFonts w:cs="Arial" w:hint="cs"/>
          <w:rtl/>
        </w:rPr>
        <w:t>-</w:t>
      </w:r>
      <w:r w:rsidR="00935CBA">
        <w:rPr>
          <w:rFonts w:cs="Arial" w:hint="cs"/>
          <w:rtl/>
        </w:rPr>
        <w:t xml:space="preserve"> </w:t>
      </w:r>
      <w:r w:rsidRPr="00935CBA">
        <w:rPr>
          <w:rFonts w:cs="Arial"/>
          <w:rtl/>
        </w:rPr>
        <w:t>הוא כשר ואין מקום להחמיר בזה</w:t>
      </w:r>
      <w:r w:rsidR="00935CBA">
        <w:rPr>
          <w:rFonts w:cs="Arial" w:hint="cs"/>
          <w:rtl/>
        </w:rPr>
        <w:t>.</w:t>
      </w:r>
      <w:r w:rsidRPr="00935CBA">
        <w:rPr>
          <w:rFonts w:cs="Arial"/>
          <w:rtl/>
        </w:rPr>
        <w:t xml:space="preserve"> דמ"ש הג"פ דהוי כתב ע"ג כתב כמו דיו ע"ג סיקר</w:t>
      </w:r>
      <w:r w:rsidR="00935CBA">
        <w:rPr>
          <w:rFonts w:cs="Arial" w:hint="cs"/>
          <w:rtl/>
        </w:rPr>
        <w:t>א,</w:t>
      </w:r>
      <w:r w:rsidRPr="00935CBA">
        <w:rPr>
          <w:rFonts w:cs="Arial"/>
          <w:rtl/>
        </w:rPr>
        <w:t xml:space="preserve"> ז</w:t>
      </w:r>
      <w:r w:rsidR="00935CBA">
        <w:rPr>
          <w:rFonts w:cs="Arial" w:hint="cs"/>
          <w:rtl/>
        </w:rPr>
        <w:t xml:space="preserve">ה </w:t>
      </w:r>
      <w:r w:rsidRPr="00935CBA">
        <w:rPr>
          <w:rFonts w:cs="Arial"/>
          <w:rtl/>
        </w:rPr>
        <w:t>א</w:t>
      </w:r>
      <w:r w:rsidR="00935CBA">
        <w:rPr>
          <w:rFonts w:cs="Arial" w:hint="cs"/>
          <w:rtl/>
        </w:rPr>
        <w:t>ינו.</w:t>
      </w:r>
      <w:r w:rsidRPr="00935CBA">
        <w:rPr>
          <w:rFonts w:cs="Arial"/>
          <w:rtl/>
        </w:rPr>
        <w:t xml:space="preserve"> דבשלמא דיו העביר צורת הסיקרא ובאו פנים חדשות</w:t>
      </w:r>
      <w:r w:rsidR="003E5B9B">
        <w:rPr>
          <w:rFonts w:cs="Arial" w:hint="cs"/>
          <w:rtl/>
        </w:rPr>
        <w:t>,</w:t>
      </w:r>
      <w:r w:rsidRPr="00935CBA">
        <w:rPr>
          <w:rFonts w:cs="Arial"/>
          <w:rtl/>
        </w:rPr>
        <w:t xml:space="preserve"> אבל החול אינו כ' כלל שאינו דבר המתקיים וגרע טובא מדיו ע"ג דיו דלאו כלום הוא (עמ"ש בזה לקמן סי' קכ"ה ס"ד ס"ק)</w:t>
      </w:r>
      <w:r w:rsidR="00935CBA">
        <w:rPr>
          <w:rFonts w:cs="Arial" w:hint="cs"/>
          <w:rtl/>
        </w:rPr>
        <w:t xml:space="preserve">. </w:t>
      </w:r>
      <w:r w:rsidRPr="00935CBA">
        <w:rPr>
          <w:rFonts w:cs="Arial"/>
          <w:rtl/>
        </w:rPr>
        <w:t>ועוד שאפי' כשהחול על הגט מ"מ ניכרים האותיות שבדיו ואין כאן העברה כלל כו'</w:t>
      </w:r>
      <w:r w:rsidR="00935CBA">
        <w:rPr>
          <w:rFonts w:cs="Arial" w:hint="cs"/>
          <w:rtl/>
        </w:rPr>
        <w:t>.</w:t>
      </w:r>
      <w:r w:rsidRPr="00935CBA">
        <w:rPr>
          <w:rFonts w:cs="Arial"/>
          <w:rtl/>
        </w:rPr>
        <w:t xml:space="preserve"> ואפי' בזרק עפרות זהב ונדבק הזהב באותיות עד שאינו נראה אלא תמונת הזהב על האותיות ולא העביר הזהב ג"כ לא ברירא לפסול אם הוא בענין שאפשר להעביר הזהב וישאר כתב התחתון</w:t>
      </w:r>
      <w:r w:rsidR="00935CBA">
        <w:rPr>
          <w:rFonts w:cs="Arial" w:hint="cs"/>
          <w:rtl/>
        </w:rPr>
        <w:t>.</w:t>
      </w:r>
      <w:r w:rsidRPr="00935CBA">
        <w:rPr>
          <w:rFonts w:cs="Arial"/>
          <w:rtl/>
        </w:rPr>
        <w:t xml:space="preserve"> ולא דמי לתפילין ומזוזות שצריך דוקא להעביר הזהב</w:t>
      </w:r>
      <w:r w:rsidR="00935CBA">
        <w:rPr>
          <w:rFonts w:cs="Arial" w:hint="cs"/>
          <w:rtl/>
        </w:rPr>
        <w:t>,</w:t>
      </w:r>
      <w:r w:rsidRPr="00935CBA">
        <w:rPr>
          <w:rFonts w:cs="Arial"/>
          <w:rtl/>
        </w:rPr>
        <w:t xml:space="preserve"> דשאני התם כיון שצריך דיו הלל"מ בעינן שתהא נראית הכתיבה בדיו</w:t>
      </w:r>
      <w:r w:rsidR="00935CBA">
        <w:rPr>
          <w:rFonts w:cs="Arial" w:hint="cs"/>
          <w:rtl/>
        </w:rPr>
        <w:t>.</w:t>
      </w:r>
      <w:r w:rsidRPr="00935CBA">
        <w:rPr>
          <w:rFonts w:cs="Arial"/>
          <w:rtl/>
        </w:rPr>
        <w:t xml:space="preserve"> אבל בגט דאפי' בכל דבר המתקיים כשר ואין הזהב של מעלה פוסלו רק שלא נעשה בדרך כתיבה או שלא נכתב כתב העליון לשמה</w:t>
      </w:r>
      <w:r w:rsidR="00935CBA">
        <w:rPr>
          <w:rFonts w:cs="Arial" w:hint="cs"/>
          <w:rtl/>
        </w:rPr>
        <w:t>,</w:t>
      </w:r>
      <w:r w:rsidRPr="00935CBA">
        <w:rPr>
          <w:rFonts w:cs="Arial"/>
          <w:rtl/>
        </w:rPr>
        <w:t xml:space="preserve"> י"ל דאף בלא העבירו כל שאפשר להעבירו אמרינן כל הראוי לבילה כו'</w:t>
      </w:r>
      <w:r w:rsidR="00935CBA">
        <w:rPr>
          <w:rFonts w:cs="Arial" w:hint="cs"/>
          <w:rtl/>
        </w:rPr>
        <w:t>,</w:t>
      </w:r>
      <w:r w:rsidRPr="00935CBA">
        <w:rPr>
          <w:rFonts w:cs="Arial"/>
          <w:rtl/>
        </w:rPr>
        <w:t xml:space="preserve"> אלא דבזה אכתי צ"ע</w:t>
      </w:r>
      <w:r w:rsidR="00935CBA">
        <w:rPr>
          <w:rFonts w:cs="Arial" w:hint="cs"/>
          <w:rtl/>
        </w:rPr>
        <w:t>.</w:t>
      </w:r>
      <w:r w:rsidRPr="00935CBA">
        <w:rPr>
          <w:rFonts w:cs="Arial"/>
          <w:rtl/>
        </w:rPr>
        <w:t xml:space="preserve"> אבל בהעביר הזהב כיון דפסק מרן להכשיר אפי' בתפילין ומזוזות כ"ש בגט דיש להכשיר מאחר דיש לדונו להכשיר </w:t>
      </w:r>
      <w:r w:rsidRPr="00935CBA">
        <w:rPr>
          <w:rFonts w:cs="Arial"/>
          <w:rtl/>
        </w:rPr>
        <w:lastRenderedPageBreak/>
        <w:t>אפי' כשהזהב עליו</w:t>
      </w:r>
      <w:r w:rsidR="00935CBA">
        <w:rPr>
          <w:rFonts w:cs="Arial" w:hint="cs"/>
          <w:rtl/>
        </w:rPr>
        <w:t>.</w:t>
      </w:r>
      <w:r w:rsidRPr="00935CBA">
        <w:rPr>
          <w:rFonts w:cs="Arial"/>
          <w:rtl/>
        </w:rPr>
        <w:t xml:space="preserve"> וכ"ש בזרק חול על הגט שמעולם לא קבלו האותיות מראה אחרת שאין מקום להחמיר בזה</w:t>
      </w:r>
      <w:r w:rsidR="00935CBA">
        <w:rPr>
          <w:rFonts w:cs="Arial" w:hint="cs"/>
          <w:rtl/>
        </w:rPr>
        <w:t>.</w:t>
      </w:r>
    </w:p>
    <w:p w14:paraId="711FEABD" w14:textId="77777777" w:rsidR="00C77C34" w:rsidRDefault="00C77C34" w:rsidP="00C77C34">
      <w:pPr>
        <w:pStyle w:val="1"/>
        <w:rPr>
          <w:rtl/>
        </w:rPr>
        <w:sectPr w:rsidR="00C77C34" w:rsidSect="00A347B3">
          <w:headerReference w:type="default" r:id="rId16"/>
          <w:footnotePr>
            <w:numRestart w:val="eachSect"/>
          </w:footnotePr>
          <w:pgSz w:w="11906" w:h="16838"/>
          <w:pgMar w:top="720" w:right="1134" w:bottom="720" w:left="1134" w:header="0" w:footer="0" w:gutter="0"/>
          <w:cols w:space="720"/>
          <w:bidi/>
          <w:rtlGutter/>
          <w:docGrid w:linePitch="360"/>
        </w:sectPr>
      </w:pPr>
    </w:p>
    <w:p w14:paraId="36868BCC" w14:textId="26965AA3" w:rsidR="00C77C34" w:rsidRPr="00C77C34" w:rsidRDefault="00C77C34" w:rsidP="00C77C34">
      <w:pPr>
        <w:pStyle w:val="1"/>
        <w:rPr>
          <w:rtl/>
        </w:rPr>
      </w:pPr>
      <w:r>
        <w:rPr>
          <w:rFonts w:hint="cs"/>
          <w:rtl/>
        </w:rPr>
        <w:lastRenderedPageBreak/>
        <w:t xml:space="preserve">סימן קכה: </w:t>
      </w:r>
      <w:r w:rsidRPr="00C77C34">
        <w:rPr>
          <w:rtl/>
        </w:rPr>
        <w:t xml:space="preserve">במה נכתב הגט, ותיקון הכתיבה והקלף, ובו כ"ג סעיפים. </w:t>
      </w:r>
    </w:p>
    <w:p w14:paraId="753B91C6" w14:textId="7B69EB81" w:rsidR="00DD4A1B" w:rsidRPr="00DD4A1B" w:rsidRDefault="00C77C34" w:rsidP="00786DE6">
      <w:pPr>
        <w:pStyle w:val="2"/>
        <w:rPr>
          <w:rtl/>
        </w:rPr>
      </w:pPr>
      <w:r w:rsidRPr="00C77C34">
        <w:rPr>
          <w:rtl/>
        </w:rPr>
        <w:t>סעיף א</w:t>
      </w:r>
      <w:r w:rsidR="00AF4AED">
        <w:rPr>
          <w:rFonts w:hint="cs"/>
          <w:rtl/>
        </w:rPr>
        <w:t xml:space="preserve">: </w:t>
      </w:r>
      <w:r w:rsidR="00D830B5">
        <w:rPr>
          <w:rFonts w:hint="cs"/>
          <w:rtl/>
        </w:rPr>
        <w:t>כתיבה בדבר שרישומו ניכר.</w:t>
      </w:r>
    </w:p>
    <w:p w14:paraId="4E3D08CC" w14:textId="3F7C4150" w:rsidR="00B4027B" w:rsidRDefault="00B4027B" w:rsidP="009E11D0">
      <w:pPr>
        <w:rPr>
          <w:rFonts w:cs="Arial"/>
          <w:rtl/>
        </w:rPr>
      </w:pPr>
      <w:r w:rsidRPr="00312668">
        <w:rPr>
          <w:rFonts w:cs="Arial" w:hint="cs"/>
          <w:b/>
          <w:bCs/>
          <w:rtl/>
        </w:rPr>
        <w:t xml:space="preserve">גיטין </w:t>
      </w:r>
      <w:r w:rsidRPr="00312668">
        <w:rPr>
          <w:rFonts w:cs="Arial" w:hint="cs"/>
          <w:b/>
          <w:bCs/>
          <w:sz w:val="16"/>
          <w:szCs w:val="16"/>
          <w:rtl/>
        </w:rPr>
        <w:t>(פ"ב)</w:t>
      </w:r>
      <w:r w:rsidRPr="00312668">
        <w:rPr>
          <w:rFonts w:cs="Arial" w:hint="cs"/>
          <w:b/>
          <w:bCs/>
          <w:rtl/>
        </w:rPr>
        <w:t xml:space="preserve"> </w:t>
      </w:r>
      <w:r>
        <w:rPr>
          <w:rFonts w:cs="Arial" w:hint="cs"/>
          <w:b/>
          <w:bCs/>
          <w:rtl/>
        </w:rPr>
        <w:t>יט</w:t>
      </w:r>
      <w:r w:rsidRPr="00312668">
        <w:rPr>
          <w:rFonts w:cs="Arial" w:hint="cs"/>
          <w:b/>
          <w:bCs/>
          <w:rtl/>
        </w:rPr>
        <w:t xml:space="preserve"> ע"</w:t>
      </w:r>
      <w:r>
        <w:rPr>
          <w:rFonts w:cs="Arial" w:hint="cs"/>
          <w:b/>
          <w:bCs/>
          <w:rtl/>
        </w:rPr>
        <w:t>א</w:t>
      </w:r>
      <w:r w:rsidRPr="00312668">
        <w:rPr>
          <w:rFonts w:cs="Arial" w:hint="cs"/>
          <w:b/>
          <w:bCs/>
          <w:rtl/>
        </w:rPr>
        <w:t>:</w:t>
      </w:r>
      <w:r w:rsidRPr="00312668">
        <w:rPr>
          <w:rFonts w:cs="Arial" w:hint="cs"/>
          <w:rtl/>
        </w:rPr>
        <w:t xml:space="preserve"> </w:t>
      </w:r>
      <w:r w:rsidRPr="00B4027B">
        <w:rPr>
          <w:rFonts w:cs="Arial"/>
          <w:u w:val="double"/>
          <w:rtl/>
        </w:rPr>
        <w:t>מתני'</w:t>
      </w:r>
      <w:r>
        <w:rPr>
          <w:rFonts w:cs="Arial" w:hint="cs"/>
          <w:rtl/>
        </w:rPr>
        <w:t>:</w:t>
      </w:r>
      <w:r w:rsidRPr="00B4027B">
        <w:rPr>
          <w:rFonts w:cs="Arial"/>
          <w:rtl/>
        </w:rPr>
        <w:t xml:space="preserve"> בכל כותבים, בדיו, בסם, בסיקרא</w:t>
      </w:r>
      <w:r w:rsidR="00F30C8C">
        <w:rPr>
          <w:rStyle w:val="a7"/>
          <w:rFonts w:cs="Arial"/>
          <w:rtl/>
        </w:rPr>
        <w:footnoteReference w:id="497"/>
      </w:r>
      <w:r w:rsidRPr="00B4027B">
        <w:rPr>
          <w:rFonts w:cs="Arial"/>
          <w:rtl/>
        </w:rPr>
        <w:t>, ובקומוס</w:t>
      </w:r>
      <w:r w:rsidR="00F30C8C">
        <w:rPr>
          <w:rStyle w:val="a7"/>
          <w:rFonts w:cs="Arial"/>
          <w:rtl/>
        </w:rPr>
        <w:footnoteReference w:id="498"/>
      </w:r>
      <w:r w:rsidRPr="00B4027B">
        <w:rPr>
          <w:rFonts w:cs="Arial"/>
          <w:rtl/>
        </w:rPr>
        <w:t>, ובקנקנתום</w:t>
      </w:r>
      <w:r w:rsidR="00F30C8C">
        <w:rPr>
          <w:rStyle w:val="a7"/>
          <w:rFonts w:cs="Arial"/>
          <w:rtl/>
        </w:rPr>
        <w:footnoteReference w:id="499"/>
      </w:r>
      <w:r w:rsidRPr="00B4027B">
        <w:rPr>
          <w:rFonts w:cs="Arial"/>
          <w:rtl/>
        </w:rPr>
        <w:t>, ובכל דבר שהוא של קיימא. אין כותבין לא במשקין ולא במי פירות, ולא בכל דבר שאינו מתקיים.</w:t>
      </w:r>
      <w:r>
        <w:rPr>
          <w:rFonts w:cs="Arial" w:hint="cs"/>
          <w:rtl/>
        </w:rPr>
        <w:t xml:space="preserve">..      </w:t>
      </w:r>
      <w:r w:rsidRPr="00B4027B">
        <w:rPr>
          <w:rFonts w:cs="Arial" w:hint="cs"/>
          <w:u w:val="double"/>
          <w:rtl/>
        </w:rPr>
        <w:t>גמ'</w:t>
      </w:r>
      <w:r>
        <w:rPr>
          <w:rFonts w:cs="Arial" w:hint="cs"/>
          <w:rtl/>
        </w:rPr>
        <w:t>:</w:t>
      </w:r>
      <w:r w:rsidRPr="00B4027B">
        <w:rPr>
          <w:rFonts w:cs="Arial"/>
          <w:rtl/>
        </w:rPr>
        <w:t xml:space="preserve"> דיו </w:t>
      </w:r>
      <w:r w:rsidR="00A82951">
        <w:rPr>
          <w:rFonts w:cs="Arial"/>
          <w:rtl/>
        </w:rPr>
        <w:t>-</w:t>
      </w:r>
      <w:r w:rsidRPr="00B4027B">
        <w:rPr>
          <w:rFonts w:cs="Arial"/>
          <w:rtl/>
        </w:rPr>
        <w:t xml:space="preserve"> דיותא. סם </w:t>
      </w:r>
      <w:r w:rsidR="00A82951">
        <w:rPr>
          <w:rFonts w:cs="Arial"/>
          <w:rtl/>
        </w:rPr>
        <w:t>-</w:t>
      </w:r>
      <w:r w:rsidRPr="00B4027B">
        <w:rPr>
          <w:rFonts w:cs="Arial"/>
          <w:rtl/>
        </w:rPr>
        <w:t xml:space="preserve"> סמא. סיקרא </w:t>
      </w:r>
      <w:r w:rsidR="00A82951">
        <w:rPr>
          <w:rFonts w:cs="Arial"/>
          <w:rtl/>
        </w:rPr>
        <w:t>-</w:t>
      </w:r>
      <w:r w:rsidRPr="00B4027B">
        <w:rPr>
          <w:rFonts w:cs="Arial"/>
          <w:rtl/>
        </w:rPr>
        <w:t xml:space="preserve"> אמר רבה בר בר חנה: סקרתא שמה. קומוס </w:t>
      </w:r>
      <w:r w:rsidR="00A82951">
        <w:rPr>
          <w:rFonts w:cs="Arial"/>
          <w:rtl/>
        </w:rPr>
        <w:t>-</w:t>
      </w:r>
      <w:r w:rsidRPr="00B4027B">
        <w:rPr>
          <w:rFonts w:cs="Arial"/>
          <w:rtl/>
        </w:rPr>
        <w:t xml:space="preserve"> קומא. קנקנתום </w:t>
      </w:r>
      <w:r w:rsidR="00A82951">
        <w:rPr>
          <w:rFonts w:cs="Arial"/>
          <w:rtl/>
        </w:rPr>
        <w:t>-</w:t>
      </w:r>
      <w:r w:rsidRPr="00B4027B">
        <w:rPr>
          <w:rFonts w:cs="Arial"/>
          <w:rtl/>
        </w:rPr>
        <w:t xml:space="preserve"> אמר רבה בר בר חנה אמר שמואל: חרתא דאושכפי. ובכל דבר שהוא מתקיים וכו'. לאתויי מאי? לאתויי הא דתני ר' חנינא: כתבו במי טריא</w:t>
      </w:r>
      <w:r w:rsidR="004526A5">
        <w:rPr>
          <w:rStyle w:val="a7"/>
          <w:rFonts w:cs="Arial"/>
          <w:rtl/>
        </w:rPr>
        <w:footnoteReference w:id="500"/>
      </w:r>
      <w:r w:rsidRPr="00B4027B">
        <w:rPr>
          <w:rFonts w:cs="Arial"/>
          <w:rtl/>
        </w:rPr>
        <w:t xml:space="preserve"> ואפצא </w:t>
      </w:r>
      <w:r w:rsidR="00A82951">
        <w:rPr>
          <w:rFonts w:cs="Arial"/>
          <w:rtl/>
        </w:rPr>
        <w:t>-</w:t>
      </w:r>
      <w:r w:rsidRPr="00B4027B">
        <w:rPr>
          <w:rFonts w:cs="Arial"/>
          <w:rtl/>
        </w:rPr>
        <w:t xml:space="preserve"> כשר. </w:t>
      </w:r>
      <w:r w:rsidRPr="002E2120">
        <w:rPr>
          <w:rFonts w:cs="Arial"/>
          <w:u w:val="single"/>
          <w:rtl/>
        </w:rPr>
        <w:t>תני ר' חייא</w:t>
      </w:r>
      <w:r w:rsidRPr="00B4027B">
        <w:rPr>
          <w:rFonts w:cs="Arial"/>
          <w:rtl/>
        </w:rPr>
        <w:t>: כתבו באבר</w:t>
      </w:r>
      <w:r w:rsidR="004526A5">
        <w:rPr>
          <w:rStyle w:val="a7"/>
          <w:rFonts w:cs="Arial"/>
          <w:rtl/>
        </w:rPr>
        <w:footnoteReference w:id="501"/>
      </w:r>
      <w:r w:rsidRPr="00B4027B">
        <w:rPr>
          <w:rFonts w:cs="Arial"/>
          <w:rtl/>
        </w:rPr>
        <w:t>, בשחור</w:t>
      </w:r>
      <w:r w:rsidR="004526A5">
        <w:rPr>
          <w:rStyle w:val="a7"/>
          <w:rFonts w:cs="Arial"/>
          <w:rtl/>
        </w:rPr>
        <w:footnoteReference w:id="502"/>
      </w:r>
      <w:r w:rsidRPr="00B4027B">
        <w:rPr>
          <w:rFonts w:cs="Arial"/>
          <w:rtl/>
        </w:rPr>
        <w:t xml:space="preserve">, ובשיחור </w:t>
      </w:r>
      <w:r w:rsidR="00A82951">
        <w:rPr>
          <w:rFonts w:cs="Arial"/>
          <w:rtl/>
        </w:rPr>
        <w:t>-</w:t>
      </w:r>
      <w:r w:rsidRPr="00B4027B">
        <w:rPr>
          <w:rFonts w:cs="Arial"/>
          <w:rtl/>
        </w:rPr>
        <w:t xml:space="preserve"> כשר.</w:t>
      </w:r>
      <w:r w:rsidR="002E2120" w:rsidRPr="002E2120">
        <w:rPr>
          <w:rtl/>
        </w:rPr>
        <w:t xml:space="preserve"> </w:t>
      </w:r>
      <w:r w:rsidR="002E2120" w:rsidRPr="002E2120">
        <w:rPr>
          <w:rFonts w:cs="Arial"/>
          <w:rtl/>
        </w:rPr>
        <w:t xml:space="preserve">איתמר: המעביר דיו על גבי סיקרא בשבת, רבי יוחנן וריש לקיש דאמרי תרוייהו: חייב שתים, אחת משום כותב ואחת משום מוחק. דיו ע"ג דיו, סיקרא על גבי סיקרא </w:t>
      </w:r>
      <w:r w:rsidR="00A82951">
        <w:rPr>
          <w:rFonts w:cs="Arial"/>
          <w:rtl/>
        </w:rPr>
        <w:t>-</w:t>
      </w:r>
      <w:r w:rsidR="002E2120" w:rsidRPr="002E2120">
        <w:rPr>
          <w:rFonts w:cs="Arial"/>
          <w:rtl/>
        </w:rPr>
        <w:t xml:space="preserve"> פטור. סיקרא ע"ג דיו, אמרי לה: חייב, ואמרי לה: פטור. אמרי לה חייב, מוחק הוא; אמרי לה פטור, מקלקל הוא</w:t>
      </w:r>
      <w:r w:rsidRPr="00B4027B">
        <w:rPr>
          <w:rFonts w:cs="Arial"/>
          <w:rtl/>
        </w:rPr>
        <w:t xml:space="preserve">. </w:t>
      </w:r>
      <w:r w:rsidRPr="002E2120">
        <w:rPr>
          <w:rFonts w:cs="Arial"/>
          <w:u w:val="single"/>
          <w:rtl/>
        </w:rPr>
        <w:t>בעא מיניה ריש לקיש מר' יוחנן</w:t>
      </w:r>
      <w:r w:rsidRPr="00B4027B">
        <w:rPr>
          <w:rFonts w:cs="Arial"/>
          <w:rtl/>
        </w:rPr>
        <w:t xml:space="preserve">: עדים שאין יודעים לחתום, מהו שיכתבו להם בסיקרא ויחתמו? כתב עליון כתב, או אינו כתב? </w:t>
      </w:r>
      <w:r w:rsidRPr="002E2120">
        <w:rPr>
          <w:rFonts w:cs="Arial"/>
          <w:u w:val="single"/>
          <w:rtl/>
        </w:rPr>
        <w:t>א"ל</w:t>
      </w:r>
      <w:r w:rsidRPr="00B4027B">
        <w:rPr>
          <w:rFonts w:cs="Arial"/>
          <w:rtl/>
        </w:rPr>
        <w:t xml:space="preserve">: אינו כתב. </w:t>
      </w:r>
      <w:r w:rsidRPr="002E2120">
        <w:rPr>
          <w:rFonts w:cs="Arial"/>
          <w:u w:val="single"/>
          <w:rtl/>
        </w:rPr>
        <w:t>א"ל</w:t>
      </w:r>
      <w:r w:rsidRPr="00B4027B">
        <w:rPr>
          <w:rFonts w:cs="Arial"/>
          <w:rtl/>
        </w:rPr>
        <w:t xml:space="preserve">: והלא לימדתנו רבינו, כתב עליון כתב לענין שבת! א"ל: וכי מפני שאנו מדמין נעשה מעשה? איתמר: עדים שאין יודעים לחתום, </w:t>
      </w:r>
      <w:r w:rsidRPr="002E2120">
        <w:rPr>
          <w:rFonts w:cs="Arial"/>
          <w:u w:val="single"/>
          <w:rtl/>
        </w:rPr>
        <w:t>רב אמר</w:t>
      </w:r>
      <w:r w:rsidRPr="00B4027B">
        <w:rPr>
          <w:rFonts w:cs="Arial"/>
          <w:rtl/>
        </w:rPr>
        <w:t xml:space="preserve">: מקרעין להם נייר חלק וממלאים את הקרעים דיו, </w:t>
      </w:r>
      <w:r w:rsidRPr="002E2120">
        <w:rPr>
          <w:rFonts w:cs="Arial"/>
          <w:u w:val="single"/>
          <w:rtl/>
        </w:rPr>
        <w:t>ושמואל אמר</w:t>
      </w:r>
      <w:r w:rsidRPr="00B4027B">
        <w:rPr>
          <w:rFonts w:cs="Arial"/>
          <w:rtl/>
        </w:rPr>
        <w:t xml:space="preserve">: באבר. באבר סלקא דעתך? והתני רבי חייא: כתבו באבר, בשחור, ובשיחור </w:t>
      </w:r>
      <w:r w:rsidR="00A82951">
        <w:rPr>
          <w:rFonts w:cs="Arial"/>
          <w:rtl/>
        </w:rPr>
        <w:t>-</w:t>
      </w:r>
      <w:r w:rsidRPr="00B4027B">
        <w:rPr>
          <w:rFonts w:cs="Arial"/>
          <w:rtl/>
        </w:rPr>
        <w:t xml:space="preserve"> כשר! לא קשיא: הא באברא</w:t>
      </w:r>
      <w:r w:rsidR="00F30C8C">
        <w:rPr>
          <w:rStyle w:val="a7"/>
          <w:rFonts w:cs="Arial"/>
          <w:rtl/>
        </w:rPr>
        <w:footnoteReference w:id="503"/>
      </w:r>
      <w:r w:rsidRPr="00B4027B">
        <w:rPr>
          <w:rFonts w:cs="Arial"/>
          <w:rtl/>
        </w:rPr>
        <w:t>, הא במיא דאברא</w:t>
      </w:r>
      <w:r w:rsidR="004526A5">
        <w:rPr>
          <w:rStyle w:val="a7"/>
          <w:rFonts w:cs="Arial"/>
          <w:rtl/>
        </w:rPr>
        <w:footnoteReference w:id="504"/>
      </w:r>
      <w:r w:rsidRPr="00B4027B">
        <w:rPr>
          <w:rFonts w:cs="Arial"/>
          <w:rtl/>
        </w:rPr>
        <w:t xml:space="preserve">. </w:t>
      </w:r>
      <w:r w:rsidRPr="002E2120">
        <w:rPr>
          <w:rFonts w:cs="Arial"/>
          <w:u w:val="single"/>
          <w:rtl/>
        </w:rPr>
        <w:t>רבי אבהו אמר</w:t>
      </w:r>
      <w:r w:rsidRPr="00B4027B">
        <w:rPr>
          <w:rFonts w:cs="Arial"/>
          <w:rtl/>
        </w:rPr>
        <w:t xml:space="preserve">: במי מילין. והתני רבי חנינא: כתבו במי טריא ואפצא </w:t>
      </w:r>
      <w:r w:rsidR="00A82951">
        <w:rPr>
          <w:rFonts w:cs="Arial"/>
          <w:rtl/>
        </w:rPr>
        <w:t>-</w:t>
      </w:r>
      <w:r w:rsidRPr="00B4027B">
        <w:rPr>
          <w:rFonts w:cs="Arial"/>
          <w:rtl/>
        </w:rPr>
        <w:t xml:space="preserve"> כשר! ל"ק: הא דאפיץ, הא דלא אפיץ, שאין מי מילין ע"ג מי מילין. </w:t>
      </w:r>
      <w:r w:rsidRPr="002E2120">
        <w:rPr>
          <w:rFonts w:cs="Arial"/>
          <w:u w:val="single"/>
          <w:rtl/>
        </w:rPr>
        <w:t>רב פפא אמר</w:t>
      </w:r>
      <w:r w:rsidRPr="00B4027B">
        <w:rPr>
          <w:rFonts w:cs="Arial"/>
          <w:rtl/>
        </w:rPr>
        <w:t xml:space="preserve">: ברוק. </w:t>
      </w:r>
      <w:r w:rsidRPr="002E2120">
        <w:rPr>
          <w:rFonts w:cs="Arial"/>
          <w:u w:val="single"/>
          <w:rtl/>
        </w:rPr>
        <w:t>וכן אורי ליה רב פפא לפפא תוראה</w:t>
      </w:r>
      <w:r w:rsidRPr="00B4027B">
        <w:rPr>
          <w:rFonts w:cs="Arial"/>
          <w:rtl/>
        </w:rPr>
        <w:t>: ברוק. וה"מ בגיטין, אבל בשטרות לא, דההוא דעבד עובדא בשאר שטרות, ונגדיה רב כהנא</w:t>
      </w:r>
      <w:r w:rsidR="004526A5">
        <w:rPr>
          <w:rFonts w:cs="Arial" w:hint="cs"/>
          <w:rtl/>
        </w:rPr>
        <w:t>.</w:t>
      </w:r>
      <w:r w:rsidR="001626F4" w:rsidRPr="001626F4">
        <w:rPr>
          <w:rFonts w:cs="Arial"/>
          <w:rtl/>
        </w:rPr>
        <w:t xml:space="preserve"> </w:t>
      </w:r>
    </w:p>
    <w:p w14:paraId="28BF6E64" w14:textId="612BCC71" w:rsidR="00D830B5" w:rsidRPr="00D830B5" w:rsidRDefault="00D830B5" w:rsidP="009E11D0">
      <w:pPr>
        <w:rPr>
          <w:rFonts w:cs="Arial"/>
          <w:u w:val="single"/>
          <w:rtl/>
        </w:rPr>
      </w:pPr>
      <w:r w:rsidRPr="00D830B5">
        <w:rPr>
          <w:rFonts w:cs="Arial" w:hint="cs"/>
          <w:u w:val="single"/>
          <w:rtl/>
        </w:rPr>
        <w:t>כתיבת הגט בדבר שרישומו ניכר:</w:t>
      </w:r>
    </w:p>
    <w:p w14:paraId="43789271" w14:textId="035C46A9" w:rsidR="009E11D0" w:rsidRDefault="009E11D0" w:rsidP="009E11D0">
      <w:pPr>
        <w:pStyle w:val="ab"/>
        <w:numPr>
          <w:ilvl w:val="0"/>
          <w:numId w:val="48"/>
        </w:numPr>
      </w:pPr>
      <w:r>
        <w:rPr>
          <w:rFonts w:cs="Arial" w:hint="cs"/>
          <w:rtl/>
        </w:rPr>
        <w:t>טור</w:t>
      </w:r>
      <w:r w:rsidR="00A82951">
        <w:rPr>
          <w:rFonts w:cs="Arial" w:hint="cs"/>
          <w:rtl/>
        </w:rPr>
        <w:t>-</w:t>
      </w:r>
      <w:r>
        <w:rPr>
          <w:rFonts w:cs="Arial" w:hint="cs"/>
          <w:rtl/>
        </w:rPr>
        <w:t xml:space="preserve"> </w:t>
      </w:r>
      <w:r w:rsidRPr="002D5E7F">
        <w:rPr>
          <w:rFonts w:cs="Arial"/>
          <w:rtl/>
        </w:rPr>
        <w:t>כותבין הגט בכל דבר שרישומו ניכר</w:t>
      </w:r>
      <w:r w:rsidR="003E5B9B">
        <w:rPr>
          <w:rFonts w:cs="Arial" w:hint="cs"/>
          <w:rtl/>
        </w:rPr>
        <w:t>,</w:t>
      </w:r>
      <w:r w:rsidRPr="002D5E7F">
        <w:rPr>
          <w:rFonts w:cs="Arial"/>
          <w:rtl/>
        </w:rPr>
        <w:t xml:space="preserve"> בדיו בסם בסיקר</w:t>
      </w:r>
      <w:r>
        <w:rPr>
          <w:rFonts w:cs="Arial" w:hint="cs"/>
          <w:rtl/>
        </w:rPr>
        <w:t>א</w:t>
      </w:r>
      <w:r w:rsidRPr="002D5E7F">
        <w:rPr>
          <w:rFonts w:cs="Arial"/>
          <w:rtl/>
        </w:rPr>
        <w:t xml:space="preserve"> בקומוס ובקנקנתום</w:t>
      </w:r>
      <w:r>
        <w:rPr>
          <w:rFonts w:cs="Arial" w:hint="cs"/>
          <w:rtl/>
        </w:rPr>
        <w:t>,</w:t>
      </w:r>
      <w:r w:rsidRPr="002D5E7F">
        <w:rPr>
          <w:rFonts w:cs="Arial"/>
          <w:rtl/>
        </w:rPr>
        <w:t xml:space="preserve"> באבר בשחור ובשיחור</w:t>
      </w:r>
      <w:r>
        <w:rPr>
          <w:rFonts w:cs="Arial" w:hint="cs"/>
          <w:rtl/>
        </w:rPr>
        <w:t>.</w:t>
      </w:r>
      <w:r w:rsidRPr="002D5E7F">
        <w:rPr>
          <w:rFonts w:cs="Arial"/>
          <w:rtl/>
        </w:rPr>
        <w:t xml:space="preserve"> פי' באבר </w:t>
      </w:r>
      <w:r w:rsidR="00A82951">
        <w:rPr>
          <w:rFonts w:cs="Arial" w:hint="cs"/>
          <w:rtl/>
        </w:rPr>
        <w:t>-</w:t>
      </w:r>
      <w:r>
        <w:rPr>
          <w:rFonts w:cs="Arial" w:hint="cs"/>
          <w:rtl/>
        </w:rPr>
        <w:t xml:space="preserve"> </w:t>
      </w:r>
      <w:r w:rsidRPr="002D5E7F">
        <w:rPr>
          <w:rFonts w:cs="Arial"/>
          <w:rtl/>
        </w:rPr>
        <w:t>חתוכי אבר מעורבים במים</w:t>
      </w:r>
      <w:r>
        <w:rPr>
          <w:rFonts w:cs="Arial" w:hint="cs"/>
          <w:rtl/>
        </w:rPr>
        <w:t>.</w:t>
      </w:r>
      <w:r w:rsidRPr="002D5E7F">
        <w:rPr>
          <w:rFonts w:cs="Arial"/>
          <w:rtl/>
        </w:rPr>
        <w:t xml:space="preserve"> שחור </w:t>
      </w:r>
      <w:r w:rsidR="00A82951">
        <w:rPr>
          <w:rFonts w:cs="Arial" w:hint="cs"/>
          <w:rtl/>
        </w:rPr>
        <w:t>-</w:t>
      </w:r>
      <w:r>
        <w:rPr>
          <w:rFonts w:cs="Arial" w:hint="cs"/>
          <w:rtl/>
        </w:rPr>
        <w:t xml:space="preserve"> </w:t>
      </w:r>
      <w:r w:rsidRPr="002D5E7F">
        <w:rPr>
          <w:rFonts w:cs="Arial"/>
          <w:rtl/>
        </w:rPr>
        <w:t>פחמים מעורבים במים</w:t>
      </w:r>
      <w:r>
        <w:rPr>
          <w:rStyle w:val="a7"/>
          <w:rFonts w:cs="Arial"/>
          <w:rtl/>
        </w:rPr>
        <w:footnoteReference w:id="505"/>
      </w:r>
      <w:r>
        <w:rPr>
          <w:rFonts w:cs="Arial" w:hint="cs"/>
          <w:rtl/>
        </w:rPr>
        <w:t>.</w:t>
      </w:r>
      <w:r w:rsidRPr="002D5E7F">
        <w:rPr>
          <w:rFonts w:cs="Arial"/>
          <w:rtl/>
        </w:rPr>
        <w:t xml:space="preserve"> שיחור</w:t>
      </w:r>
      <w:r>
        <w:rPr>
          <w:rFonts w:cs="Arial" w:hint="cs"/>
          <w:rtl/>
        </w:rPr>
        <w:t xml:space="preserve"> </w:t>
      </w:r>
      <w:r w:rsidR="00A82951">
        <w:rPr>
          <w:rFonts w:cs="Arial" w:hint="cs"/>
          <w:rtl/>
        </w:rPr>
        <w:t>-</w:t>
      </w:r>
      <w:r w:rsidRPr="002D5E7F">
        <w:rPr>
          <w:rFonts w:cs="Arial"/>
          <w:rtl/>
        </w:rPr>
        <w:t xml:space="preserve"> אירמנטי</w:t>
      </w:r>
      <w:r>
        <w:rPr>
          <w:rFonts w:cs="Arial" w:hint="cs"/>
          <w:rtl/>
        </w:rPr>
        <w:t>.</w:t>
      </w:r>
      <w:r w:rsidR="001E3509">
        <w:rPr>
          <w:rFonts w:cs="Arial" w:hint="cs"/>
          <w:rtl/>
        </w:rPr>
        <w:t>..</w:t>
      </w:r>
      <w:r w:rsidR="001E3509" w:rsidRPr="001E3509">
        <w:rPr>
          <w:rFonts w:cs="Arial"/>
          <w:rtl/>
        </w:rPr>
        <w:t xml:space="preserve"> </w:t>
      </w:r>
      <w:r w:rsidR="001E3509" w:rsidRPr="002D5E7F">
        <w:rPr>
          <w:rFonts w:cs="Arial"/>
          <w:rtl/>
        </w:rPr>
        <w:t>אין כותבין במי פירות</w:t>
      </w:r>
      <w:r w:rsidR="001E3509">
        <w:rPr>
          <w:rFonts w:cs="Arial" w:hint="cs"/>
          <w:rtl/>
        </w:rPr>
        <w:t>.</w:t>
      </w:r>
    </w:p>
    <w:p w14:paraId="23DFEAE2" w14:textId="359E2758" w:rsidR="001626F4" w:rsidRDefault="009E11D0" w:rsidP="009E11D0">
      <w:pPr>
        <w:pStyle w:val="ab"/>
        <w:numPr>
          <w:ilvl w:val="0"/>
          <w:numId w:val="48"/>
        </w:numPr>
        <w:rPr>
          <w:rtl/>
        </w:rPr>
      </w:pPr>
      <w:r>
        <w:rPr>
          <w:rFonts w:cs="Arial" w:hint="cs"/>
          <w:rtl/>
        </w:rPr>
        <w:t>רמב"ם</w:t>
      </w:r>
      <w:r>
        <w:rPr>
          <w:rFonts w:cs="Arial" w:hint="cs"/>
          <w:sz w:val="16"/>
          <w:szCs w:val="16"/>
          <w:rtl/>
        </w:rPr>
        <w:t xml:space="preserve"> (פ"ד ה"א)</w:t>
      </w:r>
      <w:r w:rsidR="00A82951">
        <w:rPr>
          <w:rFonts w:cs="Arial" w:hint="cs"/>
          <w:rtl/>
        </w:rPr>
        <w:t>-</w:t>
      </w:r>
      <w:r>
        <w:rPr>
          <w:rFonts w:cs="Arial" w:hint="cs"/>
          <w:rtl/>
        </w:rPr>
        <w:t xml:space="preserve"> </w:t>
      </w:r>
      <w:r w:rsidRPr="009E11D0">
        <w:rPr>
          <w:rFonts w:cs="Arial"/>
          <w:rtl/>
        </w:rPr>
        <w:t>אין כותבין את הגט אלא בדבר שרישומו עומד</w:t>
      </w:r>
      <w:r w:rsidR="00F50E43">
        <w:rPr>
          <w:rFonts w:cs="Arial" w:hint="cs"/>
          <w:rtl/>
        </w:rPr>
        <w:t>,</w:t>
      </w:r>
      <w:r w:rsidRPr="009E11D0">
        <w:rPr>
          <w:rFonts w:cs="Arial"/>
          <w:rtl/>
        </w:rPr>
        <w:t xml:space="preserve"> כגון דיו וסקרא וקומוס וקלקנתוס וכיוצא בהן</w:t>
      </w:r>
      <w:r w:rsidR="00D830B5">
        <w:rPr>
          <w:rFonts w:cs="Arial" w:hint="cs"/>
          <w:rtl/>
        </w:rPr>
        <w:t>.</w:t>
      </w:r>
      <w:r w:rsidRPr="009E11D0">
        <w:rPr>
          <w:rFonts w:cs="Arial"/>
          <w:rtl/>
        </w:rPr>
        <w:t xml:space="preserve"> אבל אם כתבו בדבר שאינו עומד</w:t>
      </w:r>
      <w:r w:rsidR="00F50E43">
        <w:rPr>
          <w:rFonts w:cs="Arial" w:hint="cs"/>
          <w:rtl/>
        </w:rPr>
        <w:t>,</w:t>
      </w:r>
      <w:r w:rsidRPr="009E11D0">
        <w:rPr>
          <w:rFonts w:cs="Arial"/>
          <w:rtl/>
        </w:rPr>
        <w:t xml:space="preserve"> כגון משקין ומי פירות וכיוצא בהן</w:t>
      </w:r>
      <w:r w:rsidR="00D830B5">
        <w:rPr>
          <w:rFonts w:cs="Arial" w:hint="cs"/>
          <w:rtl/>
        </w:rPr>
        <w:t xml:space="preserve"> </w:t>
      </w:r>
      <w:r w:rsidR="00A82951">
        <w:rPr>
          <w:rFonts w:cs="Arial" w:hint="cs"/>
          <w:rtl/>
        </w:rPr>
        <w:t>-</w:t>
      </w:r>
      <w:r w:rsidRPr="009E11D0">
        <w:rPr>
          <w:rFonts w:cs="Arial"/>
          <w:rtl/>
        </w:rPr>
        <w:t xml:space="preserve"> אינו גט</w:t>
      </w:r>
      <w:r w:rsidR="00D830B5">
        <w:rPr>
          <w:rFonts w:cs="Arial" w:hint="cs"/>
          <w:rtl/>
        </w:rPr>
        <w:t>.</w:t>
      </w:r>
      <w:r w:rsidRPr="009E11D0">
        <w:rPr>
          <w:rFonts w:cs="Arial"/>
          <w:rtl/>
        </w:rPr>
        <w:t xml:space="preserve"> כתבו באבר בשחור ובשיחור </w:t>
      </w:r>
      <w:r w:rsidR="00A82951">
        <w:rPr>
          <w:rFonts w:cs="Arial" w:hint="cs"/>
          <w:rtl/>
        </w:rPr>
        <w:t>-</w:t>
      </w:r>
      <w:r w:rsidR="00D830B5">
        <w:rPr>
          <w:rFonts w:cs="Arial" w:hint="cs"/>
          <w:rtl/>
        </w:rPr>
        <w:t xml:space="preserve"> </w:t>
      </w:r>
      <w:r w:rsidRPr="009E11D0">
        <w:rPr>
          <w:rFonts w:cs="Arial"/>
          <w:rtl/>
        </w:rPr>
        <w:t>כשר ואין כותבין בהן</w:t>
      </w:r>
      <w:r w:rsidR="004A45EA">
        <w:rPr>
          <w:rStyle w:val="a7"/>
          <w:rFonts w:cs="Arial"/>
          <w:rtl/>
        </w:rPr>
        <w:footnoteReference w:id="506"/>
      </w:r>
      <w:r w:rsidRPr="009E11D0">
        <w:rPr>
          <w:rFonts w:cs="Arial"/>
          <w:rtl/>
        </w:rPr>
        <w:t xml:space="preserve"> לכתחלה</w:t>
      </w:r>
      <w:r w:rsidR="004A45EA">
        <w:rPr>
          <w:rStyle w:val="a7"/>
          <w:rFonts w:cs="Arial"/>
          <w:rtl/>
        </w:rPr>
        <w:footnoteReference w:id="507"/>
      </w:r>
      <w:r w:rsidR="004A45EA">
        <w:rPr>
          <w:rFonts w:cs="Arial" w:hint="cs"/>
          <w:sz w:val="16"/>
          <w:szCs w:val="16"/>
          <w:rtl/>
        </w:rPr>
        <w:t xml:space="preserve"> (ל' הרמב"ם)</w:t>
      </w:r>
      <w:r w:rsidRPr="009E11D0">
        <w:rPr>
          <w:rFonts w:cs="Arial" w:hint="cs"/>
          <w:rtl/>
        </w:rPr>
        <w:t>.</w:t>
      </w:r>
      <w:r w:rsidR="00D830B5">
        <w:rPr>
          <w:rFonts w:hint="cs"/>
          <w:rtl/>
        </w:rPr>
        <w:t xml:space="preserve"> </w:t>
      </w:r>
      <w:r w:rsidR="00D830B5" w:rsidRPr="00D830B5">
        <w:rPr>
          <w:rFonts w:hint="cs"/>
          <w:color w:val="E36C0A" w:themeColor="accent6" w:themeShade="BF"/>
          <w:rtl/>
        </w:rPr>
        <w:t>(וכ"פ בשו"ע</w:t>
      </w:r>
      <w:r w:rsidR="00D830B5" w:rsidRPr="00D830B5">
        <w:rPr>
          <w:rFonts w:hint="cs"/>
          <w:color w:val="E36C0A" w:themeColor="accent6" w:themeShade="BF"/>
          <w:sz w:val="16"/>
          <w:szCs w:val="16"/>
          <w:rtl/>
        </w:rPr>
        <w:t xml:space="preserve"> </w:t>
      </w:r>
      <w:r w:rsidR="00D830B5">
        <w:rPr>
          <w:rFonts w:hint="cs"/>
          <w:sz w:val="16"/>
          <w:szCs w:val="16"/>
          <w:rtl/>
        </w:rPr>
        <w:t>[כאן ובסע' ב]</w:t>
      </w:r>
      <w:r w:rsidR="00D830B5" w:rsidRPr="00D830B5">
        <w:rPr>
          <w:rFonts w:hint="cs"/>
          <w:color w:val="E36C0A" w:themeColor="accent6" w:themeShade="BF"/>
          <w:rtl/>
        </w:rPr>
        <w:t>)</w:t>
      </w:r>
    </w:p>
    <w:p w14:paraId="3427CB9D"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41B44523" w14:textId="07D7343E" w:rsidR="00C77C34" w:rsidRDefault="00C77C34" w:rsidP="00C77C34">
      <w:pPr>
        <w:rPr>
          <w:rFonts w:cs="Arial"/>
          <w:rtl/>
        </w:rPr>
      </w:pPr>
      <w:r w:rsidRPr="00C77C34">
        <w:rPr>
          <w:rFonts w:cs="Arial"/>
          <w:rtl/>
        </w:rPr>
        <w:t>אין כותבין את הגט אלא בדבר שרישומו עומד, כגון דיו וסיקרא וקומס וקנקנתום וכיוצא בהם</w:t>
      </w:r>
      <w:r w:rsidR="00D830B5">
        <w:rPr>
          <w:rFonts w:cs="Arial" w:hint="cs"/>
          <w:rtl/>
        </w:rPr>
        <w:t>.</w:t>
      </w:r>
      <w:r w:rsidRPr="00C77C34">
        <w:rPr>
          <w:rFonts w:cs="Arial"/>
          <w:rtl/>
        </w:rPr>
        <w:t xml:space="preserve"> אבל אם כתבו בדבר שאינו עומד, כגון משקין ומי פירות וכיוצא בהם, אינו גט. </w:t>
      </w:r>
    </w:p>
    <w:p w14:paraId="259BCD55" w14:textId="77777777" w:rsidR="00AF4AED" w:rsidRPr="00C77C34" w:rsidRDefault="00AF4AED" w:rsidP="00C77C34">
      <w:pPr>
        <w:rPr>
          <w:rFonts w:cs="Arial"/>
          <w:rtl/>
        </w:rPr>
      </w:pPr>
    </w:p>
    <w:p w14:paraId="3BCD17CC" w14:textId="52DD74A7" w:rsidR="00C77C34" w:rsidRDefault="00C77C34" w:rsidP="00786DE6">
      <w:pPr>
        <w:pStyle w:val="2"/>
        <w:rPr>
          <w:rtl/>
        </w:rPr>
      </w:pPr>
      <w:r w:rsidRPr="00C77C34">
        <w:rPr>
          <w:rtl/>
        </w:rPr>
        <w:t>סעיף ב</w:t>
      </w:r>
      <w:r w:rsidR="00AF4AED">
        <w:rPr>
          <w:rFonts w:hint="cs"/>
          <w:rtl/>
        </w:rPr>
        <w:t xml:space="preserve">: </w:t>
      </w:r>
      <w:r w:rsidR="005F1E31">
        <w:rPr>
          <w:rFonts w:hint="cs"/>
          <w:rtl/>
        </w:rPr>
        <w:t>כתיבה בדיעבד ולכתחילה.</w:t>
      </w:r>
    </w:p>
    <w:p w14:paraId="0E20082F" w14:textId="59FCF634" w:rsidR="00F50E43" w:rsidRPr="00F50E43" w:rsidRDefault="00F50E43" w:rsidP="00F50E43">
      <w:pPr>
        <w:rPr>
          <w:rtl/>
        </w:rPr>
      </w:pPr>
      <w:r>
        <w:rPr>
          <w:rFonts w:hint="cs"/>
          <w:rtl/>
        </w:rPr>
        <w:t>עיין במקורות בסעיף א.</w:t>
      </w:r>
    </w:p>
    <w:p w14:paraId="13B58B64" w14:textId="54E9FD95" w:rsidR="00F11606" w:rsidRDefault="00F11606" w:rsidP="001626F4">
      <w:pPr>
        <w:rPr>
          <w:rFonts w:cs="Arial"/>
          <w:rtl/>
        </w:rPr>
      </w:pPr>
      <w:r w:rsidRPr="00F11606">
        <w:rPr>
          <w:rFonts w:cs="Arial" w:hint="cs"/>
          <w:u w:val="single"/>
          <w:rtl/>
        </w:rPr>
        <w:t xml:space="preserve">כתיבת הגט וקריאתו </w:t>
      </w:r>
      <w:r w:rsidR="00A82951">
        <w:rPr>
          <w:rFonts w:cs="Arial" w:hint="cs"/>
          <w:u w:val="single"/>
          <w:rtl/>
        </w:rPr>
        <w:t>-</w:t>
      </w:r>
      <w:r w:rsidRPr="00F11606">
        <w:rPr>
          <w:rFonts w:cs="Arial" w:hint="cs"/>
          <w:u w:val="single"/>
          <w:rtl/>
        </w:rPr>
        <w:t xml:space="preserve"> לכתחילה:</w:t>
      </w:r>
      <w:r w:rsidR="005F1E31">
        <w:rPr>
          <w:rFonts w:cs="Arial" w:hint="cs"/>
          <w:sz w:val="16"/>
          <w:szCs w:val="16"/>
          <w:rtl/>
        </w:rPr>
        <w:t xml:space="preserve">  </w:t>
      </w:r>
      <w:r w:rsidR="00281F2F" w:rsidRPr="00F11606">
        <w:rPr>
          <w:rFonts w:cs="Arial"/>
          <w:sz w:val="16"/>
          <w:szCs w:val="16"/>
          <w:rtl/>
        </w:rPr>
        <w:t>(</w:t>
      </w:r>
      <w:r w:rsidRPr="00F11606">
        <w:rPr>
          <w:rFonts w:cs="Arial" w:hint="cs"/>
          <w:sz w:val="16"/>
          <w:szCs w:val="16"/>
          <w:rtl/>
        </w:rPr>
        <w:t xml:space="preserve">דרכ"מ אות </w:t>
      </w:r>
      <w:r w:rsidR="00281F2F" w:rsidRPr="00F11606">
        <w:rPr>
          <w:rFonts w:cs="Arial"/>
          <w:sz w:val="16"/>
          <w:szCs w:val="16"/>
          <w:rtl/>
        </w:rPr>
        <w:t>א)</w:t>
      </w:r>
      <w:r w:rsidR="00281F2F" w:rsidRPr="001626F4">
        <w:rPr>
          <w:rFonts w:cs="Arial"/>
          <w:rtl/>
        </w:rPr>
        <w:t xml:space="preserve"> </w:t>
      </w:r>
    </w:p>
    <w:p w14:paraId="00EE4E59" w14:textId="28537A3F" w:rsidR="001626F4" w:rsidRDefault="00281F2F" w:rsidP="00F11606">
      <w:pPr>
        <w:pStyle w:val="ab"/>
        <w:numPr>
          <w:ilvl w:val="0"/>
          <w:numId w:val="49"/>
        </w:numPr>
        <w:rPr>
          <w:rtl/>
        </w:rPr>
      </w:pPr>
      <w:r w:rsidRPr="00F11606">
        <w:rPr>
          <w:rFonts w:cs="Arial"/>
          <w:rtl/>
        </w:rPr>
        <w:t>סדר גיטין</w:t>
      </w:r>
      <w:r w:rsidRPr="005F1E31">
        <w:rPr>
          <w:rFonts w:cs="Arial"/>
          <w:sz w:val="16"/>
          <w:szCs w:val="16"/>
          <w:rtl/>
        </w:rPr>
        <w:t xml:space="preserve"> (סי' ב</w:t>
      </w:r>
      <w:r w:rsidR="005F1E31" w:rsidRPr="005F1E31">
        <w:rPr>
          <w:rFonts w:cs="Arial" w:hint="cs"/>
          <w:sz w:val="16"/>
          <w:szCs w:val="16"/>
          <w:rtl/>
        </w:rPr>
        <w:t xml:space="preserve"> וסי' ח</w:t>
      </w:r>
      <w:r w:rsidRPr="005F1E31">
        <w:rPr>
          <w:rFonts w:cs="Arial"/>
          <w:sz w:val="16"/>
          <w:szCs w:val="16"/>
          <w:rtl/>
        </w:rPr>
        <w:t>)</w:t>
      </w:r>
      <w:r w:rsidR="00A82951">
        <w:rPr>
          <w:rFonts w:cs="Arial" w:hint="cs"/>
          <w:rtl/>
        </w:rPr>
        <w:t>-</w:t>
      </w:r>
      <w:r w:rsidRPr="00F11606">
        <w:rPr>
          <w:rFonts w:cs="Arial"/>
          <w:rtl/>
        </w:rPr>
        <w:t xml:space="preserve"> לכתחלה אין לכתוב גט אלא בדיו מבושלת יפה כדי שיתקיים וידבקו האותיות היטב שלא יהיה כתב הראוי להזדייף</w:t>
      </w:r>
      <w:r w:rsidR="00F11606">
        <w:rPr>
          <w:rFonts w:cs="Arial" w:hint="cs"/>
          <w:rtl/>
        </w:rPr>
        <w:t>..</w:t>
      </w:r>
      <w:r w:rsidRPr="00F11606">
        <w:rPr>
          <w:rFonts w:cs="Arial"/>
          <w:rtl/>
        </w:rPr>
        <w:t xml:space="preserve">. </w:t>
      </w:r>
      <w:r w:rsidR="00F11606" w:rsidRPr="005F1E31">
        <w:rPr>
          <w:rFonts w:cs="Arial" w:hint="cs"/>
          <w:sz w:val="16"/>
          <w:szCs w:val="16"/>
          <w:rtl/>
        </w:rPr>
        <w:t xml:space="preserve">(וכתב </w:t>
      </w:r>
      <w:r w:rsidRPr="005F1E31">
        <w:rPr>
          <w:rFonts w:cs="Arial"/>
          <w:sz w:val="16"/>
          <w:szCs w:val="16"/>
          <w:rtl/>
        </w:rPr>
        <w:t xml:space="preserve">עוד שם </w:t>
      </w:r>
      <w:r w:rsidR="005F1E31">
        <w:rPr>
          <w:rFonts w:cs="Arial" w:hint="cs"/>
          <w:sz w:val="16"/>
          <w:szCs w:val="16"/>
          <w:rtl/>
        </w:rPr>
        <w:t>[</w:t>
      </w:r>
      <w:r w:rsidRPr="005F1E31">
        <w:rPr>
          <w:rFonts w:cs="Arial"/>
          <w:sz w:val="16"/>
          <w:szCs w:val="16"/>
          <w:rtl/>
        </w:rPr>
        <w:t>סי</w:t>
      </w:r>
      <w:r w:rsidR="00F11606" w:rsidRPr="005F1E31">
        <w:rPr>
          <w:rFonts w:cs="Arial" w:hint="cs"/>
          <w:sz w:val="16"/>
          <w:szCs w:val="16"/>
          <w:rtl/>
        </w:rPr>
        <w:t>'</w:t>
      </w:r>
      <w:r w:rsidRPr="005F1E31">
        <w:rPr>
          <w:rFonts w:cs="Arial"/>
          <w:sz w:val="16"/>
          <w:szCs w:val="16"/>
          <w:rtl/>
        </w:rPr>
        <w:t xml:space="preserve"> ח סע</w:t>
      </w:r>
      <w:r w:rsidR="00F11606" w:rsidRPr="005F1E31">
        <w:rPr>
          <w:rFonts w:cs="Arial" w:hint="cs"/>
          <w:sz w:val="16"/>
          <w:szCs w:val="16"/>
          <w:rtl/>
        </w:rPr>
        <w:t>'</w:t>
      </w:r>
      <w:r w:rsidRPr="005F1E31">
        <w:rPr>
          <w:rFonts w:cs="Arial"/>
          <w:sz w:val="16"/>
          <w:szCs w:val="16"/>
          <w:rtl/>
        </w:rPr>
        <w:t xml:space="preserve"> ב</w:t>
      </w:r>
      <w:r w:rsidR="005F1E31">
        <w:rPr>
          <w:rFonts w:cs="Arial" w:hint="cs"/>
          <w:sz w:val="16"/>
          <w:szCs w:val="16"/>
          <w:rtl/>
        </w:rPr>
        <w:t xml:space="preserve">] </w:t>
      </w:r>
      <w:r w:rsidR="00A82951">
        <w:rPr>
          <w:rFonts w:cs="Arial" w:hint="cs"/>
          <w:sz w:val="16"/>
          <w:szCs w:val="16"/>
          <w:rtl/>
        </w:rPr>
        <w:t>-</w:t>
      </w:r>
      <w:r w:rsidRPr="005F1E31">
        <w:rPr>
          <w:rFonts w:cs="Arial"/>
          <w:sz w:val="16"/>
          <w:szCs w:val="16"/>
          <w:rtl/>
        </w:rPr>
        <w:t>)</w:t>
      </w:r>
      <w:r w:rsidRPr="00F11606">
        <w:rPr>
          <w:rFonts w:cs="Arial"/>
          <w:rtl/>
        </w:rPr>
        <w:t xml:space="preserve"> ואם אחר מקרא לו התיבות או האותיות אז מכל מקום יקרא הוא בעצמו קודם שיכתוב</w:t>
      </w:r>
      <w:r w:rsidR="00F50E43">
        <w:rPr>
          <w:rFonts w:cs="Arial" w:hint="cs"/>
          <w:rtl/>
        </w:rPr>
        <w:t>,</w:t>
      </w:r>
      <w:r w:rsidRPr="00F11606">
        <w:rPr>
          <w:rFonts w:cs="Arial"/>
          <w:rtl/>
        </w:rPr>
        <w:t xml:space="preserve"> דומיא דכתיבת תפילין</w:t>
      </w:r>
      <w:r w:rsidR="005F1E31">
        <w:rPr>
          <w:rStyle w:val="a7"/>
          <w:rFonts w:cs="Arial"/>
          <w:rtl/>
        </w:rPr>
        <w:footnoteReference w:id="508"/>
      </w:r>
      <w:r w:rsidRPr="00F11606">
        <w:rPr>
          <w:rFonts w:cs="Arial" w:hint="cs"/>
          <w:rtl/>
        </w:rPr>
        <w:t>.</w:t>
      </w:r>
      <w:r w:rsidR="005F1E31">
        <w:rPr>
          <w:rFonts w:hint="cs"/>
          <w:rtl/>
        </w:rPr>
        <w:t xml:space="preserve"> </w:t>
      </w:r>
      <w:r w:rsidR="005F1E31" w:rsidRPr="005F1E31">
        <w:rPr>
          <w:rFonts w:hint="cs"/>
          <w:color w:val="00B0F0"/>
          <w:rtl/>
        </w:rPr>
        <w:t>(וכ"כ הרמ"א)</w:t>
      </w:r>
    </w:p>
    <w:p w14:paraId="75BB13CF"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616BCE8" w14:textId="01DB1ECD" w:rsidR="00C77C34" w:rsidRDefault="00C77C34" w:rsidP="00C77C34">
      <w:pPr>
        <w:rPr>
          <w:rFonts w:cs="Arial"/>
          <w:rtl/>
        </w:rPr>
      </w:pPr>
      <w:r w:rsidRPr="00C77C34">
        <w:rPr>
          <w:rFonts w:cs="Arial"/>
          <w:rtl/>
        </w:rPr>
        <w:t xml:space="preserve">כתבו בדיעבד באבר, בשחור, בשיחור, כשר. </w:t>
      </w:r>
      <w:r w:rsidRPr="00AF4AED">
        <w:rPr>
          <w:rFonts w:cs="Arial"/>
          <w:sz w:val="18"/>
          <w:szCs w:val="18"/>
          <w:rtl/>
        </w:rPr>
        <w:t>הגה: יש אומרים הא דבאבר כשר היינו חתוכי אבר מעורבים במים (הטור והרא"ש)</w:t>
      </w:r>
      <w:r w:rsidR="00281F2F">
        <w:rPr>
          <w:rFonts w:cs="Arial" w:hint="cs"/>
          <w:sz w:val="18"/>
          <w:szCs w:val="18"/>
          <w:rtl/>
        </w:rPr>
        <w:t>.</w:t>
      </w:r>
      <w:r w:rsidRPr="00AF4AED">
        <w:rPr>
          <w:rFonts w:cs="Arial"/>
          <w:sz w:val="18"/>
          <w:szCs w:val="18"/>
          <w:rtl/>
        </w:rPr>
        <w:t xml:space="preserve"> אבל אם כתב באבר עצמו, פסול</w:t>
      </w:r>
      <w:r w:rsidR="008A6BA6">
        <w:rPr>
          <w:rStyle w:val="a7"/>
          <w:rFonts w:cs="Arial"/>
          <w:sz w:val="18"/>
          <w:szCs w:val="18"/>
          <w:rtl/>
        </w:rPr>
        <w:footnoteReference w:id="509"/>
      </w:r>
      <w:r w:rsidRPr="00AF4AED">
        <w:rPr>
          <w:rFonts w:cs="Arial"/>
          <w:sz w:val="18"/>
          <w:szCs w:val="18"/>
          <w:rtl/>
        </w:rPr>
        <w:t>, ויש לחוש לזה. ולכתחלה נוהגין לכתבו בדיו טובה כמו שכותבין ספרים (סדר גיטין), ואין לשנות. ויש מחמירין עוד לומר דהסופר יקרא כל אות תחלה קודם שיכתוב, כמו בספרים (ג"ז שם).</w:t>
      </w:r>
      <w:r w:rsidRPr="00C77C34">
        <w:rPr>
          <w:rFonts w:cs="Arial"/>
          <w:rtl/>
        </w:rPr>
        <w:t xml:space="preserve"> </w:t>
      </w:r>
    </w:p>
    <w:p w14:paraId="396F9DE5" w14:textId="77777777" w:rsidR="00AF4AED" w:rsidRPr="00C77C34" w:rsidRDefault="00AF4AED" w:rsidP="00C77C34">
      <w:pPr>
        <w:rPr>
          <w:rFonts w:cs="Arial"/>
          <w:rtl/>
        </w:rPr>
      </w:pPr>
    </w:p>
    <w:p w14:paraId="7159FB47" w14:textId="1AC35806" w:rsidR="00C77C34" w:rsidRDefault="00C77C34" w:rsidP="00786DE6">
      <w:pPr>
        <w:pStyle w:val="2"/>
        <w:rPr>
          <w:rtl/>
        </w:rPr>
      </w:pPr>
      <w:r w:rsidRPr="00C77C34">
        <w:rPr>
          <w:rtl/>
        </w:rPr>
        <w:t>סעיף ג</w:t>
      </w:r>
      <w:r w:rsidR="00AF4AED">
        <w:rPr>
          <w:rFonts w:hint="cs"/>
          <w:rtl/>
        </w:rPr>
        <w:t>:</w:t>
      </w:r>
      <w:r w:rsidR="004E4E1C">
        <w:rPr>
          <w:rFonts w:hint="cs"/>
          <w:rtl/>
        </w:rPr>
        <w:t xml:space="preserve"> כתיבה במי עפצים.</w:t>
      </w:r>
    </w:p>
    <w:p w14:paraId="5314A80F" w14:textId="2FC73C0F" w:rsidR="004E4E1C" w:rsidRPr="004E4E1C" w:rsidRDefault="004E4E1C" w:rsidP="004E4E1C">
      <w:pPr>
        <w:rPr>
          <w:rtl/>
        </w:rPr>
      </w:pPr>
      <w:r w:rsidRPr="00312668">
        <w:rPr>
          <w:rFonts w:cs="Arial" w:hint="cs"/>
          <w:b/>
          <w:bCs/>
          <w:rtl/>
        </w:rPr>
        <w:t xml:space="preserve">גיטין </w:t>
      </w:r>
      <w:r w:rsidRPr="00312668">
        <w:rPr>
          <w:rFonts w:cs="Arial" w:hint="cs"/>
          <w:b/>
          <w:bCs/>
          <w:sz w:val="16"/>
          <w:szCs w:val="16"/>
          <w:rtl/>
        </w:rPr>
        <w:t>(פ"ב)</w:t>
      </w:r>
      <w:r w:rsidRPr="00312668">
        <w:rPr>
          <w:rFonts w:cs="Arial" w:hint="cs"/>
          <w:b/>
          <w:bCs/>
          <w:rtl/>
        </w:rPr>
        <w:t xml:space="preserve"> </w:t>
      </w:r>
      <w:r>
        <w:rPr>
          <w:rFonts w:cs="Arial" w:hint="cs"/>
          <w:b/>
          <w:bCs/>
          <w:rtl/>
        </w:rPr>
        <w:t>יט</w:t>
      </w:r>
      <w:r w:rsidRPr="00312668">
        <w:rPr>
          <w:rFonts w:cs="Arial" w:hint="cs"/>
          <w:b/>
          <w:bCs/>
          <w:rtl/>
        </w:rPr>
        <w:t xml:space="preserve"> ע"</w:t>
      </w:r>
      <w:r>
        <w:rPr>
          <w:rFonts w:cs="Arial" w:hint="cs"/>
          <w:b/>
          <w:bCs/>
          <w:rtl/>
        </w:rPr>
        <w:t>א</w:t>
      </w:r>
      <w:r w:rsidRPr="00312668">
        <w:rPr>
          <w:rFonts w:cs="Arial" w:hint="cs"/>
          <w:b/>
          <w:bCs/>
          <w:rtl/>
        </w:rPr>
        <w:t>:</w:t>
      </w:r>
      <w:r w:rsidRPr="00312668">
        <w:rPr>
          <w:rFonts w:cs="Arial" w:hint="cs"/>
          <w:rtl/>
        </w:rPr>
        <w:t xml:space="preserve"> </w:t>
      </w:r>
      <w:r w:rsidRPr="00B4027B">
        <w:rPr>
          <w:rFonts w:cs="Arial"/>
          <w:u w:val="double"/>
          <w:rtl/>
        </w:rPr>
        <w:t>מתני'</w:t>
      </w:r>
      <w:r>
        <w:rPr>
          <w:rFonts w:cs="Arial" w:hint="cs"/>
          <w:rtl/>
        </w:rPr>
        <w:t>:</w:t>
      </w:r>
      <w:r w:rsidRPr="00B4027B">
        <w:rPr>
          <w:rFonts w:cs="Arial"/>
          <w:rtl/>
        </w:rPr>
        <w:t xml:space="preserve"> בכל כותבים, בדיו, בסם, בסיקרא</w:t>
      </w:r>
      <w:r>
        <w:rPr>
          <w:rStyle w:val="a7"/>
          <w:rFonts w:cs="Arial"/>
          <w:rtl/>
        </w:rPr>
        <w:footnoteReference w:id="510"/>
      </w:r>
      <w:r w:rsidRPr="00B4027B">
        <w:rPr>
          <w:rFonts w:cs="Arial"/>
          <w:rtl/>
        </w:rPr>
        <w:t>, ובקומוס</w:t>
      </w:r>
      <w:r>
        <w:rPr>
          <w:rStyle w:val="a7"/>
          <w:rFonts w:cs="Arial"/>
          <w:rtl/>
        </w:rPr>
        <w:footnoteReference w:id="511"/>
      </w:r>
      <w:r w:rsidRPr="00B4027B">
        <w:rPr>
          <w:rFonts w:cs="Arial"/>
          <w:rtl/>
        </w:rPr>
        <w:t>, ובקנקנתום</w:t>
      </w:r>
      <w:r>
        <w:rPr>
          <w:rStyle w:val="a7"/>
          <w:rFonts w:cs="Arial"/>
          <w:rtl/>
        </w:rPr>
        <w:footnoteReference w:id="512"/>
      </w:r>
      <w:r w:rsidRPr="00B4027B">
        <w:rPr>
          <w:rFonts w:cs="Arial"/>
          <w:rtl/>
        </w:rPr>
        <w:t>, ובכל דבר שהוא של קיימא. אין כותבין לא במשקין ולא במי פירות, ולא בכל דבר שאינו מתקיים.</w:t>
      </w:r>
      <w:r>
        <w:rPr>
          <w:rFonts w:cs="Arial" w:hint="cs"/>
          <w:rtl/>
        </w:rPr>
        <w:t xml:space="preserve">..      </w:t>
      </w:r>
      <w:r w:rsidRPr="00B4027B">
        <w:rPr>
          <w:rFonts w:cs="Arial" w:hint="cs"/>
          <w:u w:val="double"/>
          <w:rtl/>
        </w:rPr>
        <w:t>גמ'</w:t>
      </w:r>
      <w:r>
        <w:rPr>
          <w:rFonts w:cs="Arial" w:hint="cs"/>
          <w:rtl/>
        </w:rPr>
        <w:t>:</w:t>
      </w:r>
      <w:r w:rsidRPr="00B4027B">
        <w:rPr>
          <w:rFonts w:cs="Arial"/>
          <w:rtl/>
        </w:rPr>
        <w:t xml:space="preserve"> ובכל דבר שהוא מתקיים וכו'. לאתויי מאי? לאתויי הא דתני ר' חנינא: כתבו במי טריא</w:t>
      </w:r>
      <w:r>
        <w:rPr>
          <w:rStyle w:val="a7"/>
          <w:rFonts w:cs="Arial"/>
          <w:rtl/>
        </w:rPr>
        <w:footnoteReference w:id="513"/>
      </w:r>
      <w:r w:rsidRPr="00B4027B">
        <w:rPr>
          <w:rFonts w:cs="Arial"/>
          <w:rtl/>
        </w:rPr>
        <w:t xml:space="preserve"> ואפצא </w:t>
      </w:r>
      <w:r w:rsidR="00A82951">
        <w:rPr>
          <w:rFonts w:cs="Arial"/>
          <w:rtl/>
        </w:rPr>
        <w:t>-</w:t>
      </w:r>
      <w:r w:rsidRPr="00B4027B">
        <w:rPr>
          <w:rFonts w:cs="Arial"/>
          <w:rtl/>
        </w:rPr>
        <w:t xml:space="preserve"> כשר.</w:t>
      </w:r>
      <w:r>
        <w:rPr>
          <w:rFonts w:cs="Arial" w:hint="cs"/>
          <w:rtl/>
        </w:rPr>
        <w:t>..</w:t>
      </w:r>
      <w:r w:rsidRPr="00B4027B">
        <w:rPr>
          <w:rFonts w:cs="Arial"/>
          <w:rtl/>
        </w:rPr>
        <w:t xml:space="preserve"> איתמר: עדים שאין יודעים לחתום</w:t>
      </w:r>
      <w:r>
        <w:rPr>
          <w:rFonts w:cs="Arial" w:hint="cs"/>
          <w:rtl/>
        </w:rPr>
        <w:t>..</w:t>
      </w:r>
      <w:r w:rsidRPr="00B4027B">
        <w:rPr>
          <w:rFonts w:cs="Arial"/>
          <w:rtl/>
        </w:rPr>
        <w:t xml:space="preserve">. </w:t>
      </w:r>
      <w:r w:rsidRPr="002E2120">
        <w:rPr>
          <w:rFonts w:cs="Arial"/>
          <w:u w:val="single"/>
          <w:rtl/>
        </w:rPr>
        <w:t>רבי אבהו אמר</w:t>
      </w:r>
      <w:r w:rsidRPr="00B4027B">
        <w:rPr>
          <w:rFonts w:cs="Arial"/>
          <w:rtl/>
        </w:rPr>
        <w:t>: במי מילין</w:t>
      </w:r>
      <w:r w:rsidR="001E3509">
        <w:rPr>
          <w:rStyle w:val="a7"/>
          <w:rFonts w:cs="Arial"/>
          <w:rtl/>
        </w:rPr>
        <w:footnoteReference w:id="514"/>
      </w:r>
      <w:r w:rsidRPr="00B4027B">
        <w:rPr>
          <w:rFonts w:cs="Arial"/>
          <w:rtl/>
        </w:rPr>
        <w:t xml:space="preserve">. והתני רבי חנינא: כתבו במי טריא ואפצא </w:t>
      </w:r>
      <w:r w:rsidR="00A82951">
        <w:rPr>
          <w:rFonts w:cs="Arial"/>
          <w:rtl/>
        </w:rPr>
        <w:t>-</w:t>
      </w:r>
      <w:r w:rsidRPr="00B4027B">
        <w:rPr>
          <w:rFonts w:cs="Arial"/>
          <w:rtl/>
        </w:rPr>
        <w:t xml:space="preserve"> כשר! ל"ק: הא דאפיץ</w:t>
      </w:r>
      <w:r w:rsidR="001E3509">
        <w:rPr>
          <w:rStyle w:val="a7"/>
          <w:rFonts w:cs="Arial"/>
          <w:rtl/>
        </w:rPr>
        <w:footnoteReference w:id="515"/>
      </w:r>
      <w:r w:rsidRPr="00B4027B">
        <w:rPr>
          <w:rFonts w:cs="Arial"/>
          <w:rtl/>
        </w:rPr>
        <w:t xml:space="preserve">, הא דלא אפיץ, שאין מי מילין ע"ג מי מילין. </w:t>
      </w:r>
    </w:p>
    <w:p w14:paraId="4424096D" w14:textId="6A8360BF" w:rsidR="004E4E1C" w:rsidRPr="004E4E1C" w:rsidRDefault="004E4E1C" w:rsidP="004E4E1C">
      <w:pPr>
        <w:rPr>
          <w:u w:val="single"/>
          <w:rtl/>
        </w:rPr>
      </w:pPr>
      <w:r w:rsidRPr="004E4E1C">
        <w:rPr>
          <w:rFonts w:hint="cs"/>
          <w:u w:val="single"/>
          <w:rtl/>
        </w:rPr>
        <w:t>כתיב</w:t>
      </w:r>
      <w:r>
        <w:rPr>
          <w:rFonts w:hint="cs"/>
          <w:u w:val="single"/>
          <w:rtl/>
        </w:rPr>
        <w:t>ת הגט</w:t>
      </w:r>
      <w:r w:rsidRPr="004E4E1C">
        <w:rPr>
          <w:rFonts w:hint="cs"/>
          <w:u w:val="single"/>
          <w:rtl/>
        </w:rPr>
        <w:t xml:space="preserve"> במי עפצים:</w:t>
      </w:r>
    </w:p>
    <w:p w14:paraId="078E4E7A" w14:textId="7537EB4C" w:rsidR="00ED1C3A" w:rsidRDefault="00ED1C3A" w:rsidP="00ED1C3A">
      <w:pPr>
        <w:pStyle w:val="ab"/>
        <w:numPr>
          <w:ilvl w:val="0"/>
          <w:numId w:val="48"/>
        </w:numPr>
      </w:pPr>
      <w:r>
        <w:rPr>
          <w:rFonts w:cs="Arial" w:hint="cs"/>
          <w:rtl/>
        </w:rPr>
        <w:t>טור</w:t>
      </w:r>
      <w:r w:rsidR="00A82951">
        <w:rPr>
          <w:rFonts w:cs="Arial" w:hint="cs"/>
          <w:rtl/>
        </w:rPr>
        <w:t>-</w:t>
      </w:r>
      <w:r>
        <w:rPr>
          <w:rFonts w:cs="Arial" w:hint="cs"/>
          <w:rtl/>
        </w:rPr>
        <w:t xml:space="preserve"> </w:t>
      </w:r>
      <w:r w:rsidRPr="002D5E7F">
        <w:rPr>
          <w:rFonts w:cs="Arial"/>
          <w:rtl/>
        </w:rPr>
        <w:t>וכותבין אותו במי עפצים</w:t>
      </w:r>
      <w:r w:rsidR="001E3509">
        <w:rPr>
          <w:rFonts w:cs="Arial" w:hint="cs"/>
          <w:rtl/>
        </w:rPr>
        <w:t>,</w:t>
      </w:r>
      <w:r w:rsidRPr="002D5E7F">
        <w:rPr>
          <w:rFonts w:cs="Arial"/>
          <w:rtl/>
        </w:rPr>
        <w:t xml:space="preserve"> והוא שלא יהיה הקלף מעופץ</w:t>
      </w:r>
      <w:r w:rsidR="001E3509">
        <w:rPr>
          <w:rFonts w:cs="Arial" w:hint="cs"/>
          <w:rtl/>
        </w:rPr>
        <w:t>.</w:t>
      </w:r>
      <w:r w:rsidRPr="002D5E7F">
        <w:rPr>
          <w:rFonts w:cs="Arial"/>
          <w:rtl/>
        </w:rPr>
        <w:t xml:space="preserve"> אבל אם הוא מעופץ </w:t>
      </w:r>
      <w:r w:rsidR="00A82951">
        <w:rPr>
          <w:rFonts w:cs="Arial" w:hint="cs"/>
          <w:rtl/>
        </w:rPr>
        <w:t>-</w:t>
      </w:r>
      <w:r w:rsidR="001E3509">
        <w:rPr>
          <w:rFonts w:cs="Arial" w:hint="cs"/>
          <w:rtl/>
        </w:rPr>
        <w:t xml:space="preserve"> </w:t>
      </w:r>
      <w:r w:rsidRPr="002D5E7F">
        <w:rPr>
          <w:rFonts w:cs="Arial"/>
          <w:rtl/>
        </w:rPr>
        <w:t>לא</w:t>
      </w:r>
      <w:r w:rsidR="001E3509">
        <w:rPr>
          <w:rFonts w:cs="Arial" w:hint="cs"/>
          <w:rtl/>
        </w:rPr>
        <w:t>,</w:t>
      </w:r>
      <w:r w:rsidRPr="002D5E7F">
        <w:rPr>
          <w:rFonts w:cs="Arial"/>
          <w:rtl/>
        </w:rPr>
        <w:t xml:space="preserve"> שאין מי עפצים ניכר על קלף מעופץ</w:t>
      </w:r>
      <w:r>
        <w:rPr>
          <w:rFonts w:cs="Arial" w:hint="cs"/>
          <w:rtl/>
        </w:rPr>
        <w:t>.</w:t>
      </w:r>
      <w:r w:rsidRPr="002D5E7F">
        <w:rPr>
          <w:rFonts w:cs="Arial"/>
          <w:rtl/>
        </w:rPr>
        <w:t xml:space="preserve"> </w:t>
      </w:r>
    </w:p>
    <w:p w14:paraId="1604E2DE" w14:textId="66C18CFB" w:rsidR="001E3509" w:rsidRPr="00ED1C3A" w:rsidRDefault="001E3509" w:rsidP="00ED1C3A">
      <w:pPr>
        <w:pStyle w:val="ab"/>
        <w:numPr>
          <w:ilvl w:val="0"/>
          <w:numId w:val="48"/>
        </w:numPr>
      </w:pPr>
      <w:r w:rsidRPr="003E2ADE">
        <w:rPr>
          <w:rFonts w:cs="Arial"/>
          <w:rtl/>
        </w:rPr>
        <w:t xml:space="preserve">רמב"ם </w:t>
      </w:r>
      <w:r w:rsidRPr="001E3509">
        <w:rPr>
          <w:rFonts w:cs="Arial" w:hint="cs"/>
          <w:sz w:val="16"/>
          <w:szCs w:val="16"/>
          <w:rtl/>
        </w:rPr>
        <w:t>(</w:t>
      </w:r>
      <w:r w:rsidRPr="001E3509">
        <w:rPr>
          <w:rFonts w:cs="Arial"/>
          <w:sz w:val="16"/>
          <w:szCs w:val="16"/>
          <w:rtl/>
        </w:rPr>
        <w:t>פ</w:t>
      </w:r>
      <w:r w:rsidRPr="001E3509">
        <w:rPr>
          <w:rFonts w:cs="Arial" w:hint="cs"/>
          <w:sz w:val="16"/>
          <w:szCs w:val="16"/>
          <w:rtl/>
        </w:rPr>
        <w:t>"</w:t>
      </w:r>
      <w:r w:rsidRPr="001E3509">
        <w:rPr>
          <w:rFonts w:cs="Arial"/>
          <w:sz w:val="16"/>
          <w:szCs w:val="16"/>
          <w:rtl/>
        </w:rPr>
        <w:t>ד ה"ב)</w:t>
      </w:r>
      <w:r w:rsidR="00A82951">
        <w:rPr>
          <w:rFonts w:cs="Arial" w:hint="cs"/>
          <w:rtl/>
        </w:rPr>
        <w:t>-</w:t>
      </w:r>
      <w:r>
        <w:rPr>
          <w:rFonts w:cs="Arial" w:hint="cs"/>
          <w:rtl/>
        </w:rPr>
        <w:t xml:space="preserve"> </w:t>
      </w:r>
      <w:r w:rsidRPr="001E3509">
        <w:rPr>
          <w:rFonts w:cs="Arial"/>
          <w:rtl/>
        </w:rPr>
        <w:t>כותבין במי עפצא לכתחלה על גבי הנייר והעור וכיוצא בהן</w:t>
      </w:r>
      <w:r w:rsidR="00F50E43">
        <w:rPr>
          <w:rFonts w:cs="Arial" w:hint="cs"/>
          <w:rtl/>
        </w:rPr>
        <w:t>,</w:t>
      </w:r>
      <w:r w:rsidRPr="001E3509">
        <w:rPr>
          <w:rFonts w:cs="Arial"/>
          <w:rtl/>
        </w:rPr>
        <w:t xml:space="preserve"> אבל לא על גבי מגילה עפוצה מפני שאינו ניכר</w:t>
      </w:r>
      <w:r w:rsidR="00F50E43">
        <w:rPr>
          <w:rFonts w:cs="Arial" w:hint="cs"/>
          <w:rtl/>
        </w:rPr>
        <w:t>.</w:t>
      </w:r>
      <w:r w:rsidRPr="001E3509">
        <w:rPr>
          <w:rFonts w:cs="Arial"/>
          <w:rtl/>
        </w:rPr>
        <w:t xml:space="preserve"> ואם כתב </w:t>
      </w:r>
      <w:r w:rsidR="00F50E43">
        <w:rPr>
          <w:rFonts w:cs="Arial" w:hint="cs"/>
          <w:rtl/>
        </w:rPr>
        <w:t xml:space="preserve">- </w:t>
      </w:r>
      <w:r w:rsidRPr="001E3509">
        <w:rPr>
          <w:rFonts w:cs="Arial"/>
          <w:rtl/>
        </w:rPr>
        <w:t>אינו גט</w:t>
      </w:r>
      <w:r w:rsidR="00F50E43">
        <w:rPr>
          <w:rFonts w:cs="Arial" w:hint="cs"/>
          <w:rtl/>
        </w:rPr>
        <w:t>.</w:t>
      </w:r>
      <w:r w:rsidRPr="001E3509">
        <w:rPr>
          <w:rFonts w:cs="Arial"/>
          <w:rtl/>
        </w:rPr>
        <w:t xml:space="preserve"> וכן כל כיוצא בו.</w:t>
      </w:r>
      <w:r w:rsidR="007E0B5C" w:rsidRPr="007E0B5C">
        <w:rPr>
          <w:rFonts w:hint="cs"/>
          <w:color w:val="E36C0A" w:themeColor="accent6" w:themeShade="BF"/>
          <w:rtl/>
        </w:rPr>
        <w:t xml:space="preserve"> </w:t>
      </w:r>
      <w:r w:rsidR="007E0B5C" w:rsidRPr="00DD1DEB">
        <w:rPr>
          <w:rFonts w:hint="cs"/>
          <w:color w:val="E36C0A" w:themeColor="accent6" w:themeShade="BF"/>
          <w:rtl/>
        </w:rPr>
        <w:t>(וכ"פ בשו"ע)</w:t>
      </w:r>
    </w:p>
    <w:p w14:paraId="24F3DADF"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409BB52" w14:textId="24ED6298" w:rsidR="00C77C34" w:rsidRDefault="00C77C34" w:rsidP="00C77C34">
      <w:pPr>
        <w:rPr>
          <w:rFonts w:cs="Arial"/>
          <w:rtl/>
        </w:rPr>
      </w:pPr>
      <w:r w:rsidRPr="00C77C34">
        <w:rPr>
          <w:rFonts w:cs="Arial"/>
          <w:rtl/>
        </w:rPr>
        <w:t>כותבין אותו במי עפצים, והוא שלא יהיה הקלף מעופץ, מפני שאין מי עפצים ניכר בו. ואם כתב, אינו גט</w:t>
      </w:r>
      <w:r w:rsidR="004E4E1C">
        <w:rPr>
          <w:rFonts w:cs="Arial" w:hint="cs"/>
          <w:rtl/>
        </w:rPr>
        <w:t>.</w:t>
      </w:r>
      <w:r w:rsidRPr="00C77C34">
        <w:rPr>
          <w:rFonts w:cs="Arial"/>
          <w:rtl/>
        </w:rPr>
        <w:t xml:space="preserve"> וכן כל כיוצא בו. </w:t>
      </w:r>
    </w:p>
    <w:p w14:paraId="79EA8698" w14:textId="77777777" w:rsidR="00AF4AED" w:rsidRPr="00C77C34" w:rsidRDefault="00AF4AED" w:rsidP="00C77C34">
      <w:pPr>
        <w:rPr>
          <w:rFonts w:cs="Arial"/>
          <w:rtl/>
        </w:rPr>
      </w:pPr>
    </w:p>
    <w:p w14:paraId="2463FB41" w14:textId="5E92E7C2" w:rsidR="00C77C34" w:rsidRDefault="00C77C34" w:rsidP="00786DE6">
      <w:pPr>
        <w:pStyle w:val="2"/>
        <w:rPr>
          <w:rtl/>
        </w:rPr>
      </w:pPr>
      <w:r w:rsidRPr="00C77C34">
        <w:rPr>
          <w:rtl/>
        </w:rPr>
        <w:t>סעיף ד</w:t>
      </w:r>
      <w:r w:rsidR="00AF4AED">
        <w:rPr>
          <w:rFonts w:hint="cs"/>
          <w:rtl/>
        </w:rPr>
        <w:t>:</w:t>
      </w:r>
      <w:r w:rsidR="007E0B5C">
        <w:rPr>
          <w:rFonts w:hint="cs"/>
          <w:rtl/>
        </w:rPr>
        <w:t xml:space="preserve"> </w:t>
      </w:r>
      <w:r w:rsidR="000009E7">
        <w:rPr>
          <w:rFonts w:hint="cs"/>
          <w:rtl/>
        </w:rPr>
        <w:t>חקיקת הכתב.</w:t>
      </w:r>
    </w:p>
    <w:p w14:paraId="171B0B3B" w14:textId="28439644" w:rsidR="00262F37" w:rsidRDefault="00262F37" w:rsidP="00262F37">
      <w:pPr>
        <w:rPr>
          <w:rtl/>
        </w:rPr>
      </w:pPr>
      <w:r w:rsidRPr="00312668">
        <w:rPr>
          <w:rFonts w:cs="Arial" w:hint="cs"/>
          <w:b/>
          <w:bCs/>
          <w:rtl/>
        </w:rPr>
        <w:t xml:space="preserve">גיטין </w:t>
      </w:r>
      <w:r w:rsidRPr="00312668">
        <w:rPr>
          <w:rFonts w:cs="Arial" w:hint="cs"/>
          <w:b/>
          <w:bCs/>
          <w:sz w:val="16"/>
          <w:szCs w:val="16"/>
          <w:rtl/>
        </w:rPr>
        <w:t>(פ"ב)</w:t>
      </w:r>
      <w:r w:rsidRPr="00312668">
        <w:rPr>
          <w:rFonts w:cs="Arial" w:hint="cs"/>
          <w:b/>
          <w:bCs/>
          <w:rtl/>
        </w:rPr>
        <w:t xml:space="preserve"> </w:t>
      </w:r>
      <w:r>
        <w:rPr>
          <w:rFonts w:cs="Arial" w:hint="cs"/>
          <w:b/>
          <w:bCs/>
          <w:rtl/>
        </w:rPr>
        <w:t>כ</w:t>
      </w:r>
      <w:r w:rsidRPr="00312668">
        <w:rPr>
          <w:rFonts w:cs="Arial" w:hint="cs"/>
          <w:b/>
          <w:bCs/>
          <w:rtl/>
        </w:rPr>
        <w:t xml:space="preserve"> ע"</w:t>
      </w:r>
      <w:r>
        <w:rPr>
          <w:rFonts w:cs="Arial" w:hint="cs"/>
          <w:b/>
          <w:bCs/>
          <w:rtl/>
        </w:rPr>
        <w:t>א</w:t>
      </w:r>
      <w:r w:rsidRPr="00312668">
        <w:rPr>
          <w:rFonts w:cs="Arial" w:hint="cs"/>
          <w:b/>
          <w:bCs/>
          <w:rtl/>
        </w:rPr>
        <w:t>:</w:t>
      </w:r>
      <w:r w:rsidRPr="00312668">
        <w:rPr>
          <w:rFonts w:cs="Arial" w:hint="cs"/>
          <w:rtl/>
        </w:rPr>
        <w:t xml:space="preserve"> </w:t>
      </w:r>
      <w:r w:rsidR="00172B29" w:rsidRPr="00172B29">
        <w:rPr>
          <w:rFonts w:cs="Arial"/>
          <w:rtl/>
        </w:rPr>
        <w:t xml:space="preserve">תנו רבנן: וכתב </w:t>
      </w:r>
      <w:r w:rsidR="00A82951">
        <w:rPr>
          <w:rFonts w:cs="Arial"/>
          <w:rtl/>
        </w:rPr>
        <w:t>-</w:t>
      </w:r>
      <w:r w:rsidR="00172B29" w:rsidRPr="00172B29">
        <w:rPr>
          <w:rFonts w:cs="Arial"/>
          <w:rtl/>
        </w:rPr>
        <w:t xml:space="preserve"> ולא חקק</w:t>
      </w:r>
      <w:r w:rsidR="00172B29">
        <w:rPr>
          <w:rStyle w:val="a7"/>
          <w:rFonts w:cs="Arial"/>
          <w:rtl/>
        </w:rPr>
        <w:footnoteReference w:id="516"/>
      </w:r>
      <w:r w:rsidR="00172B29" w:rsidRPr="00172B29">
        <w:rPr>
          <w:rFonts w:cs="Arial"/>
          <w:rtl/>
        </w:rPr>
        <w:t>. למימרא, דחקיקה לאו כתיבה היא, ורמינהו: עבד שיצא בכתב שעל גבי טבלא</w:t>
      </w:r>
      <w:r w:rsidR="00172B29">
        <w:rPr>
          <w:rStyle w:val="a7"/>
          <w:rFonts w:cs="Arial"/>
          <w:rtl/>
        </w:rPr>
        <w:footnoteReference w:id="517"/>
      </w:r>
      <w:r w:rsidR="00172B29" w:rsidRPr="00172B29">
        <w:rPr>
          <w:rFonts w:cs="Arial"/>
          <w:rtl/>
        </w:rPr>
        <w:t xml:space="preserve"> ופינקס</w:t>
      </w:r>
      <w:r w:rsidR="00172B29">
        <w:rPr>
          <w:rStyle w:val="a7"/>
          <w:rFonts w:cs="Arial"/>
          <w:rtl/>
        </w:rPr>
        <w:footnoteReference w:id="518"/>
      </w:r>
      <w:r w:rsidR="00172B29" w:rsidRPr="00172B29">
        <w:rPr>
          <w:rFonts w:cs="Arial"/>
          <w:rtl/>
        </w:rPr>
        <w:t xml:space="preserve"> </w:t>
      </w:r>
      <w:r w:rsidR="00A82951">
        <w:rPr>
          <w:rFonts w:cs="Arial"/>
          <w:rtl/>
        </w:rPr>
        <w:t>-</w:t>
      </w:r>
      <w:r w:rsidR="00172B29" w:rsidRPr="00172B29">
        <w:rPr>
          <w:rFonts w:cs="Arial"/>
          <w:rtl/>
        </w:rPr>
        <w:t xml:space="preserve"> יצא לחירות, אבל לא בכתב שעל גבי כיפא</w:t>
      </w:r>
      <w:r w:rsidR="00172B29">
        <w:rPr>
          <w:rStyle w:val="a7"/>
          <w:rFonts w:cs="Arial"/>
          <w:rtl/>
        </w:rPr>
        <w:footnoteReference w:id="519"/>
      </w:r>
      <w:r w:rsidR="00172B29" w:rsidRPr="00172B29">
        <w:rPr>
          <w:rFonts w:cs="Arial"/>
          <w:rtl/>
        </w:rPr>
        <w:t xml:space="preserve"> ואנדוכתרי</w:t>
      </w:r>
      <w:r w:rsidR="00172B29">
        <w:rPr>
          <w:rStyle w:val="a7"/>
          <w:rFonts w:cs="Arial"/>
          <w:rtl/>
        </w:rPr>
        <w:footnoteReference w:id="520"/>
      </w:r>
      <w:r w:rsidR="00172B29" w:rsidRPr="00172B29">
        <w:rPr>
          <w:rFonts w:cs="Arial"/>
          <w:rtl/>
        </w:rPr>
        <w:t xml:space="preserve">! </w:t>
      </w:r>
      <w:r w:rsidR="00172B29" w:rsidRPr="0030671A">
        <w:rPr>
          <w:rFonts w:cs="Arial"/>
          <w:u w:val="single"/>
          <w:rtl/>
        </w:rPr>
        <w:t>אמר עולא אמר רבי אלעזר</w:t>
      </w:r>
      <w:r w:rsidR="0030671A">
        <w:rPr>
          <w:rFonts w:cs="Arial" w:hint="cs"/>
          <w:rtl/>
        </w:rPr>
        <w:t>:</w:t>
      </w:r>
      <w:r w:rsidR="00172B29" w:rsidRPr="00172B29">
        <w:rPr>
          <w:rFonts w:cs="Arial"/>
          <w:rtl/>
        </w:rPr>
        <w:t xml:space="preserve"> לא קשיא</w:t>
      </w:r>
      <w:r w:rsidR="0030671A">
        <w:rPr>
          <w:rFonts w:cs="Arial" w:hint="cs"/>
          <w:rtl/>
        </w:rPr>
        <w:t>,</w:t>
      </w:r>
      <w:r w:rsidR="00172B29" w:rsidRPr="00172B29">
        <w:rPr>
          <w:rFonts w:cs="Arial"/>
          <w:rtl/>
        </w:rPr>
        <w:t xml:space="preserve"> הא דחק תוכות</w:t>
      </w:r>
      <w:r w:rsidR="0030671A">
        <w:rPr>
          <w:rStyle w:val="a7"/>
          <w:rFonts w:cs="Arial"/>
          <w:rtl/>
        </w:rPr>
        <w:footnoteReference w:id="521"/>
      </w:r>
      <w:r w:rsidR="00172B29" w:rsidRPr="00172B29">
        <w:rPr>
          <w:rFonts w:cs="Arial"/>
          <w:rtl/>
        </w:rPr>
        <w:t>, הא דחק יריכות</w:t>
      </w:r>
      <w:r w:rsidR="0030671A">
        <w:rPr>
          <w:rStyle w:val="a7"/>
          <w:rFonts w:cs="Arial"/>
          <w:rtl/>
        </w:rPr>
        <w:footnoteReference w:id="522"/>
      </w:r>
      <w:r w:rsidR="00172B29" w:rsidRPr="00172B29">
        <w:rPr>
          <w:rFonts w:cs="Arial"/>
          <w:rtl/>
        </w:rPr>
        <w:t>.</w:t>
      </w:r>
      <w:r w:rsidR="00172B29" w:rsidRPr="00172B29">
        <w:rPr>
          <w:rtl/>
        </w:rPr>
        <w:t xml:space="preserve"> </w:t>
      </w:r>
      <w:r w:rsidR="00172B29" w:rsidRPr="00172B29">
        <w:rPr>
          <w:rFonts w:cs="Arial"/>
          <w:rtl/>
        </w:rPr>
        <w:t>ותוכות לא? ורמינהו: לא היה כתבו</w:t>
      </w:r>
      <w:r w:rsidR="0030671A">
        <w:rPr>
          <w:rStyle w:val="a7"/>
          <w:rFonts w:cs="Arial"/>
          <w:rtl/>
        </w:rPr>
        <w:footnoteReference w:id="523"/>
      </w:r>
      <w:r w:rsidR="00172B29" w:rsidRPr="00172B29">
        <w:rPr>
          <w:rFonts w:cs="Arial"/>
          <w:rtl/>
        </w:rPr>
        <w:t xml:space="preserve"> שוקע, אלא בולט כדינרי זהב</w:t>
      </w:r>
      <w:r w:rsidR="0030671A">
        <w:rPr>
          <w:rFonts w:cs="Arial" w:hint="cs"/>
          <w:rtl/>
        </w:rPr>
        <w:t>.</w:t>
      </w:r>
      <w:r w:rsidR="00172B29" w:rsidRPr="00172B29">
        <w:rPr>
          <w:rFonts w:cs="Arial"/>
          <w:rtl/>
        </w:rPr>
        <w:t xml:space="preserve"> והא דינרי זהב תוכות הן</w:t>
      </w:r>
      <w:r w:rsidR="0030671A">
        <w:rPr>
          <w:rStyle w:val="a7"/>
          <w:rFonts w:cs="Arial"/>
          <w:rtl/>
        </w:rPr>
        <w:footnoteReference w:id="524"/>
      </w:r>
      <w:r w:rsidR="00172B29" w:rsidRPr="00172B29">
        <w:rPr>
          <w:rFonts w:cs="Arial"/>
          <w:rtl/>
        </w:rPr>
        <w:t xml:space="preserve">! כדינרי זהב ולא כדינרי זהב, כדינרי זהב </w:t>
      </w:r>
      <w:r w:rsidR="00A82951">
        <w:rPr>
          <w:rFonts w:cs="Arial"/>
          <w:rtl/>
        </w:rPr>
        <w:t>-</w:t>
      </w:r>
      <w:r w:rsidR="00172B29" w:rsidRPr="00172B29">
        <w:rPr>
          <w:rFonts w:cs="Arial"/>
          <w:rtl/>
        </w:rPr>
        <w:t xml:space="preserve"> דבולט, ולא כדינרי זהב </w:t>
      </w:r>
      <w:r w:rsidR="00A82951">
        <w:rPr>
          <w:rFonts w:cs="Arial"/>
          <w:rtl/>
        </w:rPr>
        <w:t>-</w:t>
      </w:r>
      <w:r w:rsidR="00172B29" w:rsidRPr="00172B29">
        <w:rPr>
          <w:rFonts w:cs="Arial"/>
          <w:rtl/>
        </w:rPr>
        <w:t xml:space="preserve"> דאילו התם תוכות, הכא יריכות</w:t>
      </w:r>
      <w:r w:rsidR="0030671A">
        <w:rPr>
          <w:rStyle w:val="a7"/>
          <w:rFonts w:cs="Arial"/>
          <w:rtl/>
        </w:rPr>
        <w:footnoteReference w:id="525"/>
      </w:r>
      <w:r w:rsidR="00172B29" w:rsidRPr="00172B29">
        <w:rPr>
          <w:rFonts w:cs="Arial"/>
          <w:rtl/>
        </w:rPr>
        <w:t xml:space="preserve">. </w:t>
      </w:r>
      <w:r w:rsidR="00172B29" w:rsidRPr="0030671A">
        <w:rPr>
          <w:rFonts w:cs="Arial"/>
          <w:u w:val="single"/>
          <w:rtl/>
        </w:rPr>
        <w:t>אמר ליה רבינא לרב אשי</w:t>
      </w:r>
      <w:r w:rsidR="00172B29" w:rsidRPr="00172B29">
        <w:rPr>
          <w:rFonts w:cs="Arial"/>
          <w:rtl/>
        </w:rPr>
        <w:t>: רושמא</w:t>
      </w:r>
      <w:r w:rsidR="0030671A">
        <w:rPr>
          <w:rStyle w:val="a7"/>
          <w:rFonts w:cs="Arial"/>
          <w:rtl/>
        </w:rPr>
        <w:footnoteReference w:id="526"/>
      </w:r>
      <w:r w:rsidR="00172B29" w:rsidRPr="00172B29">
        <w:rPr>
          <w:rFonts w:cs="Arial"/>
          <w:rtl/>
        </w:rPr>
        <w:t>, מיחרץ חריץ</w:t>
      </w:r>
      <w:r w:rsidR="0030671A">
        <w:rPr>
          <w:rStyle w:val="a7"/>
          <w:rFonts w:cs="Arial"/>
          <w:rtl/>
        </w:rPr>
        <w:footnoteReference w:id="527"/>
      </w:r>
      <w:r w:rsidR="00172B29" w:rsidRPr="00172B29">
        <w:rPr>
          <w:rFonts w:cs="Arial"/>
          <w:rtl/>
        </w:rPr>
        <w:t xml:space="preserve"> או כנופי מכניף</w:t>
      </w:r>
      <w:r w:rsidR="009C52E0">
        <w:rPr>
          <w:rStyle w:val="a7"/>
          <w:rFonts w:cs="Arial"/>
          <w:rtl/>
        </w:rPr>
        <w:footnoteReference w:id="528"/>
      </w:r>
      <w:r w:rsidR="00172B29" w:rsidRPr="00172B29">
        <w:rPr>
          <w:rFonts w:cs="Arial"/>
          <w:rtl/>
        </w:rPr>
        <w:t xml:space="preserve">? </w:t>
      </w:r>
      <w:r w:rsidR="00172B29" w:rsidRPr="0030671A">
        <w:rPr>
          <w:rFonts w:cs="Arial"/>
          <w:u w:val="single"/>
          <w:rtl/>
        </w:rPr>
        <w:t>אמר ליה</w:t>
      </w:r>
      <w:r w:rsidR="00172B29" w:rsidRPr="00172B29">
        <w:rPr>
          <w:rFonts w:cs="Arial"/>
          <w:rtl/>
        </w:rPr>
        <w:t>: מיחרץ חריץ. איתיביה: לא היה כתבו שוקע, אלא בולט כדינרי זהב</w:t>
      </w:r>
      <w:r w:rsidR="009C52E0">
        <w:rPr>
          <w:rFonts w:cs="Arial" w:hint="cs"/>
          <w:rtl/>
        </w:rPr>
        <w:t>.</w:t>
      </w:r>
      <w:r w:rsidR="00172B29" w:rsidRPr="00172B29">
        <w:rPr>
          <w:rFonts w:cs="Arial"/>
          <w:rtl/>
        </w:rPr>
        <w:t xml:space="preserve"> ואי סלקא דעתך מיחרץ חריץ,</w:t>
      </w:r>
      <w:r w:rsidR="00172B29" w:rsidRPr="00172B29">
        <w:rPr>
          <w:rtl/>
        </w:rPr>
        <w:t xml:space="preserve"> </w:t>
      </w:r>
      <w:r w:rsidR="00172B29">
        <w:rPr>
          <w:rFonts w:hint="cs"/>
          <w:sz w:val="14"/>
          <w:szCs w:val="14"/>
          <w:rtl/>
        </w:rPr>
        <w:t xml:space="preserve">(כ:) </w:t>
      </w:r>
      <w:r w:rsidR="00172B29" w:rsidRPr="00172B29">
        <w:rPr>
          <w:rFonts w:cs="Arial"/>
          <w:rtl/>
        </w:rPr>
        <w:t>הא בעינא מכתב</w:t>
      </w:r>
      <w:r w:rsidR="009C52E0">
        <w:rPr>
          <w:rStyle w:val="a7"/>
          <w:rFonts w:cs="Arial"/>
          <w:rtl/>
        </w:rPr>
        <w:footnoteReference w:id="529"/>
      </w:r>
      <w:r w:rsidR="00172B29" w:rsidRPr="00172B29">
        <w:rPr>
          <w:rFonts w:cs="Arial"/>
          <w:rtl/>
        </w:rPr>
        <w:t xml:space="preserve"> וליכא! כדינרי זהב ולא כדינרי זהב, כדינרי זהב </w:t>
      </w:r>
      <w:r w:rsidR="00A82951">
        <w:rPr>
          <w:rFonts w:cs="Arial"/>
          <w:rtl/>
        </w:rPr>
        <w:t>-</w:t>
      </w:r>
      <w:r w:rsidR="00172B29" w:rsidRPr="00172B29">
        <w:rPr>
          <w:rFonts w:cs="Arial"/>
          <w:rtl/>
        </w:rPr>
        <w:t xml:space="preserve"> דבולט, ולא כדינרי זהב </w:t>
      </w:r>
      <w:r w:rsidR="00A82951">
        <w:rPr>
          <w:rFonts w:cs="Arial"/>
          <w:rtl/>
        </w:rPr>
        <w:t>-</w:t>
      </w:r>
      <w:r w:rsidR="00172B29" w:rsidRPr="00172B29">
        <w:rPr>
          <w:rFonts w:cs="Arial"/>
          <w:rtl/>
        </w:rPr>
        <w:t xml:space="preserve"> דאילו התם מגואי</w:t>
      </w:r>
      <w:r w:rsidR="009C52E0">
        <w:rPr>
          <w:rStyle w:val="a7"/>
          <w:rFonts w:cs="Arial"/>
          <w:rtl/>
        </w:rPr>
        <w:footnoteReference w:id="530"/>
      </w:r>
      <w:r w:rsidR="00172B29" w:rsidRPr="00172B29">
        <w:rPr>
          <w:rFonts w:cs="Arial"/>
          <w:rtl/>
        </w:rPr>
        <w:t>, והכא מאבראי.</w:t>
      </w:r>
    </w:p>
    <w:p w14:paraId="00395098" w14:textId="0940C8F2" w:rsidR="000009E7" w:rsidRPr="000009E7" w:rsidRDefault="000009E7" w:rsidP="00262F37">
      <w:pPr>
        <w:rPr>
          <w:u w:val="single"/>
          <w:rtl/>
        </w:rPr>
      </w:pPr>
      <w:r w:rsidRPr="000009E7">
        <w:rPr>
          <w:rFonts w:hint="cs"/>
          <w:u w:val="single"/>
          <w:rtl/>
        </w:rPr>
        <w:t>כתיבת גט ע"י חקיקה:</w:t>
      </w:r>
    </w:p>
    <w:p w14:paraId="61810EF6" w14:textId="0A90C27F" w:rsidR="00262F37" w:rsidRPr="00262F37" w:rsidRDefault="00ED1C3A" w:rsidP="00ED1C3A">
      <w:pPr>
        <w:pStyle w:val="ab"/>
        <w:numPr>
          <w:ilvl w:val="0"/>
          <w:numId w:val="48"/>
        </w:numPr>
      </w:pPr>
      <w:r>
        <w:rPr>
          <w:rFonts w:cs="Arial" w:hint="cs"/>
          <w:rtl/>
        </w:rPr>
        <w:t>טור</w:t>
      </w:r>
      <w:r w:rsidR="00A82951">
        <w:rPr>
          <w:rFonts w:cs="Arial" w:hint="cs"/>
          <w:rtl/>
        </w:rPr>
        <w:t>-</w:t>
      </w:r>
      <w:r>
        <w:rPr>
          <w:rFonts w:cs="Arial" w:hint="cs"/>
          <w:rtl/>
        </w:rPr>
        <w:t xml:space="preserve"> </w:t>
      </w:r>
      <w:r w:rsidRPr="002D5E7F">
        <w:rPr>
          <w:rFonts w:cs="Arial"/>
          <w:rtl/>
        </w:rPr>
        <w:t>חקקו על הטבלא</w:t>
      </w:r>
      <w:r w:rsidR="00262F37">
        <w:rPr>
          <w:rFonts w:cs="Arial" w:hint="cs"/>
          <w:rtl/>
        </w:rPr>
        <w:t>,</w:t>
      </w:r>
      <w:r w:rsidRPr="002D5E7F">
        <w:rPr>
          <w:rFonts w:cs="Arial"/>
          <w:rtl/>
        </w:rPr>
        <w:t xml:space="preserve"> חקק ירך האותיות שנמצא הכתב שוקע </w:t>
      </w:r>
      <w:r w:rsidR="00A82951">
        <w:rPr>
          <w:rFonts w:cs="Arial" w:hint="cs"/>
          <w:rtl/>
        </w:rPr>
        <w:t>-</w:t>
      </w:r>
      <w:r w:rsidR="00262F37">
        <w:rPr>
          <w:rFonts w:cs="Arial" w:hint="cs"/>
          <w:rtl/>
        </w:rPr>
        <w:t xml:space="preserve"> </w:t>
      </w:r>
      <w:r w:rsidRPr="002D5E7F">
        <w:rPr>
          <w:rFonts w:cs="Arial"/>
          <w:rtl/>
        </w:rPr>
        <w:t>כשר</w:t>
      </w:r>
      <w:r w:rsidR="00262F37">
        <w:rPr>
          <w:rFonts w:cs="Arial" w:hint="cs"/>
          <w:rtl/>
        </w:rPr>
        <w:t>.</w:t>
      </w:r>
      <w:r w:rsidRPr="002D5E7F">
        <w:rPr>
          <w:rFonts w:cs="Arial"/>
          <w:rtl/>
        </w:rPr>
        <w:t xml:space="preserve"> חקק תוכו וסביבותיו ונמצא הכתב בולט </w:t>
      </w:r>
      <w:r w:rsidR="00A82951">
        <w:rPr>
          <w:rFonts w:cs="Arial" w:hint="cs"/>
          <w:rtl/>
        </w:rPr>
        <w:t>-</w:t>
      </w:r>
      <w:r w:rsidR="00262F37">
        <w:rPr>
          <w:rFonts w:cs="Arial" w:hint="cs"/>
          <w:rtl/>
        </w:rPr>
        <w:t xml:space="preserve"> </w:t>
      </w:r>
      <w:r w:rsidRPr="002D5E7F">
        <w:rPr>
          <w:rFonts w:cs="Arial"/>
          <w:rtl/>
        </w:rPr>
        <w:t>פסול</w:t>
      </w:r>
      <w:r w:rsidR="00262F37">
        <w:rPr>
          <w:rFonts w:cs="Arial" w:hint="cs"/>
          <w:rtl/>
        </w:rPr>
        <w:t>.</w:t>
      </w:r>
      <w:r w:rsidRPr="002D5E7F">
        <w:rPr>
          <w:rFonts w:cs="Arial"/>
          <w:rtl/>
        </w:rPr>
        <w:t xml:space="preserve"> חקק הגט בחותם והכה בו על הטס עד שנראי</w:t>
      </w:r>
      <w:r w:rsidR="00262F37">
        <w:rPr>
          <w:rFonts w:cs="Arial" w:hint="cs"/>
          <w:rtl/>
        </w:rPr>
        <w:t>ת</w:t>
      </w:r>
      <w:r w:rsidRPr="002D5E7F">
        <w:rPr>
          <w:rFonts w:cs="Arial"/>
          <w:rtl/>
        </w:rPr>
        <w:t xml:space="preserve"> כתיבת הגט בהם </w:t>
      </w:r>
      <w:r w:rsidR="00A82951">
        <w:rPr>
          <w:rFonts w:cs="Arial" w:hint="cs"/>
          <w:rtl/>
        </w:rPr>
        <w:t>-</w:t>
      </w:r>
      <w:r w:rsidR="00262F37">
        <w:rPr>
          <w:rFonts w:cs="Arial" w:hint="cs"/>
          <w:rtl/>
        </w:rPr>
        <w:t xml:space="preserve"> </w:t>
      </w:r>
      <w:r w:rsidRPr="002D5E7F">
        <w:rPr>
          <w:rFonts w:cs="Arial"/>
          <w:rtl/>
        </w:rPr>
        <w:t>פסול</w:t>
      </w:r>
      <w:r w:rsidR="00262F37">
        <w:rPr>
          <w:rFonts w:cs="Arial" w:hint="cs"/>
          <w:rtl/>
        </w:rPr>
        <w:t>.</w:t>
      </w:r>
      <w:r w:rsidRPr="002D5E7F">
        <w:rPr>
          <w:rFonts w:cs="Arial"/>
          <w:rtl/>
        </w:rPr>
        <w:t xml:space="preserve"> </w:t>
      </w:r>
    </w:p>
    <w:p w14:paraId="4189CDFA" w14:textId="72EF98A3" w:rsidR="000009E7" w:rsidRPr="000009E7" w:rsidRDefault="00ED1C3A" w:rsidP="00ED1C3A">
      <w:pPr>
        <w:pStyle w:val="ab"/>
        <w:numPr>
          <w:ilvl w:val="0"/>
          <w:numId w:val="48"/>
        </w:numPr>
      </w:pPr>
      <w:r w:rsidRPr="002D5E7F">
        <w:rPr>
          <w:rFonts w:cs="Arial"/>
          <w:rtl/>
        </w:rPr>
        <w:t xml:space="preserve">רמב"ם </w:t>
      </w:r>
      <w:r w:rsidR="00262F37" w:rsidRPr="00262F37">
        <w:rPr>
          <w:rFonts w:cs="Arial"/>
          <w:sz w:val="16"/>
          <w:szCs w:val="16"/>
          <w:rtl/>
        </w:rPr>
        <w:t>(פ"ד ה"ו</w:t>
      </w:r>
      <w:r w:rsidR="000009E7">
        <w:rPr>
          <w:rFonts w:cs="Arial" w:hint="cs"/>
          <w:sz w:val="16"/>
          <w:szCs w:val="16"/>
          <w:rtl/>
        </w:rPr>
        <w:t>, הביאו הטור לאחר דבריו</w:t>
      </w:r>
      <w:r w:rsidR="00262F37" w:rsidRPr="00262F37">
        <w:rPr>
          <w:rFonts w:cs="Arial"/>
          <w:sz w:val="16"/>
          <w:szCs w:val="16"/>
          <w:rtl/>
        </w:rPr>
        <w:t>)</w:t>
      </w:r>
      <w:r w:rsidR="00A82951">
        <w:rPr>
          <w:rFonts w:cs="Arial" w:hint="cs"/>
          <w:rtl/>
        </w:rPr>
        <w:t>-</w:t>
      </w:r>
      <w:r w:rsidR="00262F37">
        <w:rPr>
          <w:rFonts w:cs="Arial" w:hint="cs"/>
          <w:rtl/>
        </w:rPr>
        <w:t xml:space="preserve"> </w:t>
      </w:r>
      <w:r w:rsidR="000009E7" w:rsidRPr="000009E7">
        <w:rPr>
          <w:rFonts w:cs="Arial"/>
          <w:rtl/>
        </w:rPr>
        <w:t>חקק הגט על הלוח או על האבן או על טס של מתכת</w:t>
      </w:r>
      <w:r w:rsidR="00BB59B1">
        <w:rPr>
          <w:rFonts w:cs="Arial" w:hint="cs"/>
          <w:rtl/>
        </w:rPr>
        <w:t>,</w:t>
      </w:r>
      <w:r w:rsidR="000009E7" w:rsidRPr="000009E7">
        <w:rPr>
          <w:rFonts w:cs="Arial"/>
          <w:rtl/>
        </w:rPr>
        <w:t xml:space="preserve"> אם חפר ירכי האותיות </w:t>
      </w:r>
      <w:r w:rsidR="00A82951">
        <w:rPr>
          <w:rFonts w:cs="Arial" w:hint="cs"/>
          <w:rtl/>
        </w:rPr>
        <w:t>-</w:t>
      </w:r>
      <w:r w:rsidR="00BB59B1">
        <w:rPr>
          <w:rFonts w:cs="Arial" w:hint="cs"/>
          <w:rtl/>
        </w:rPr>
        <w:t xml:space="preserve"> </w:t>
      </w:r>
      <w:r w:rsidR="000009E7" w:rsidRPr="000009E7">
        <w:rPr>
          <w:rFonts w:cs="Arial"/>
          <w:rtl/>
        </w:rPr>
        <w:t xml:space="preserve">כשר, שזה כתב הוא, הרי הוא אומר </w:t>
      </w:r>
      <w:r w:rsidR="000009E7">
        <w:rPr>
          <w:rFonts w:cs="Arial" w:hint="cs"/>
          <w:rtl/>
        </w:rPr>
        <w:t>(</w:t>
      </w:r>
      <w:r w:rsidR="000009E7" w:rsidRPr="000009E7">
        <w:rPr>
          <w:rFonts w:cs="Arial"/>
          <w:rtl/>
        </w:rPr>
        <w:t>ירמיהו יז</w:t>
      </w:r>
      <w:r w:rsidR="000009E7">
        <w:rPr>
          <w:rFonts w:cs="Arial" w:hint="cs"/>
          <w:rtl/>
        </w:rPr>
        <w:t>)</w:t>
      </w:r>
      <w:r w:rsidR="000009E7" w:rsidRPr="000009E7">
        <w:rPr>
          <w:rFonts w:cs="Arial"/>
          <w:rtl/>
        </w:rPr>
        <w:t xml:space="preserve"> כתובה בעט ברזל</w:t>
      </w:r>
      <w:r w:rsidR="00BB59B1">
        <w:rPr>
          <w:rFonts w:cs="Arial" w:hint="cs"/>
          <w:rtl/>
        </w:rPr>
        <w:t>,</w:t>
      </w:r>
      <w:r w:rsidR="000009E7" w:rsidRPr="000009E7">
        <w:rPr>
          <w:rFonts w:cs="Arial"/>
          <w:rtl/>
        </w:rPr>
        <w:t xml:space="preserve"> כלומר שהוא חופר</w:t>
      </w:r>
      <w:r w:rsidR="00BB59B1">
        <w:rPr>
          <w:rFonts w:cs="Arial" w:hint="cs"/>
          <w:rtl/>
        </w:rPr>
        <w:t>.</w:t>
      </w:r>
      <w:r w:rsidR="000009E7" w:rsidRPr="000009E7">
        <w:rPr>
          <w:rFonts w:cs="Arial"/>
          <w:rtl/>
        </w:rPr>
        <w:t xml:space="preserve"> וכן אם חקק הירכות מאחורי הטס עד שבלטו בפני הטס</w:t>
      </w:r>
      <w:r w:rsidR="00BB59B1">
        <w:rPr>
          <w:rFonts w:cs="Arial" w:hint="cs"/>
          <w:rtl/>
        </w:rPr>
        <w:t>.</w:t>
      </w:r>
      <w:r w:rsidR="000009E7" w:rsidRPr="000009E7">
        <w:rPr>
          <w:rFonts w:cs="Arial"/>
          <w:rtl/>
        </w:rPr>
        <w:t xml:space="preserve"> אבל אם חפר תוך האות עד שיראו הירכות גבוהות מכאן ומכאן</w:t>
      </w:r>
      <w:r w:rsidR="00BB59B1">
        <w:rPr>
          <w:rFonts w:cs="Arial" w:hint="cs"/>
          <w:rtl/>
        </w:rPr>
        <w:t>,</w:t>
      </w:r>
      <w:r w:rsidR="000009E7" w:rsidRPr="000009E7">
        <w:rPr>
          <w:rFonts w:cs="Arial"/>
          <w:rtl/>
        </w:rPr>
        <w:t xml:space="preserve"> ככתב דינרי הזהב שהכתב בולט </w:t>
      </w:r>
      <w:r w:rsidR="00A82951">
        <w:rPr>
          <w:rFonts w:cs="Arial" w:hint="cs"/>
          <w:rtl/>
        </w:rPr>
        <w:t>-</w:t>
      </w:r>
      <w:r w:rsidR="00BB59B1">
        <w:rPr>
          <w:rFonts w:cs="Arial" w:hint="cs"/>
          <w:rtl/>
        </w:rPr>
        <w:t xml:space="preserve"> </w:t>
      </w:r>
      <w:r w:rsidR="000009E7" w:rsidRPr="000009E7">
        <w:rPr>
          <w:rFonts w:cs="Arial"/>
          <w:rtl/>
        </w:rPr>
        <w:t>אינו גט</w:t>
      </w:r>
      <w:r w:rsidR="00BB59B1">
        <w:rPr>
          <w:rFonts w:cs="Arial" w:hint="cs"/>
          <w:rtl/>
        </w:rPr>
        <w:t>,</w:t>
      </w:r>
      <w:r w:rsidR="000009E7" w:rsidRPr="000009E7">
        <w:rPr>
          <w:rFonts w:cs="Arial"/>
          <w:rtl/>
        </w:rPr>
        <w:t xml:space="preserve"> שאין זה כתב.</w:t>
      </w:r>
      <w:r w:rsidR="00BB59B1" w:rsidRPr="00BB59B1">
        <w:rPr>
          <w:rFonts w:hint="cs"/>
          <w:color w:val="E36C0A" w:themeColor="accent6" w:themeShade="BF"/>
          <w:rtl/>
        </w:rPr>
        <w:t xml:space="preserve"> </w:t>
      </w:r>
      <w:r w:rsidR="00BB59B1" w:rsidRPr="00DD1DEB">
        <w:rPr>
          <w:rFonts w:hint="cs"/>
          <w:color w:val="E36C0A" w:themeColor="accent6" w:themeShade="BF"/>
          <w:rtl/>
        </w:rPr>
        <w:t>(וכ"פ בשו"ע)</w:t>
      </w:r>
    </w:p>
    <w:p w14:paraId="29F8D456" w14:textId="77777777" w:rsidR="00763CE6" w:rsidRPr="00763CE6" w:rsidRDefault="00763CE6" w:rsidP="00763CE6">
      <w:pPr>
        <w:rPr>
          <w:rFonts w:cs="Arial"/>
          <w:u w:val="single"/>
          <w:rtl/>
        </w:rPr>
      </w:pPr>
      <w:r w:rsidRPr="00763CE6">
        <w:rPr>
          <w:rFonts w:hint="cs"/>
          <w:u w:val="single"/>
          <w:rtl/>
        </w:rPr>
        <w:t xml:space="preserve">באיזה קולמוס </w:t>
      </w:r>
      <w:r>
        <w:rPr>
          <w:rFonts w:hint="cs"/>
          <w:u w:val="single"/>
          <w:rtl/>
        </w:rPr>
        <w:t>ראוי</w:t>
      </w:r>
      <w:r w:rsidRPr="00763CE6">
        <w:rPr>
          <w:rFonts w:hint="cs"/>
          <w:u w:val="single"/>
          <w:rtl/>
        </w:rPr>
        <w:t xml:space="preserve"> לכתוב</w:t>
      </w:r>
      <w:r w:rsidRPr="00763CE6">
        <w:rPr>
          <w:rFonts w:cs="Arial"/>
          <w:u w:val="single"/>
          <w:rtl/>
        </w:rPr>
        <w:t xml:space="preserve"> </w:t>
      </w:r>
      <w:r w:rsidRPr="00763CE6">
        <w:rPr>
          <w:rFonts w:cs="Arial" w:hint="cs"/>
          <w:u w:val="single"/>
          <w:rtl/>
        </w:rPr>
        <w:t>את הגט:</w:t>
      </w:r>
    </w:p>
    <w:p w14:paraId="49F6BD7C" w14:textId="004F6AF9" w:rsidR="00763CE6" w:rsidRPr="0004431B" w:rsidRDefault="00763CE6" w:rsidP="00763CE6">
      <w:pPr>
        <w:pStyle w:val="ab"/>
        <w:numPr>
          <w:ilvl w:val="0"/>
          <w:numId w:val="48"/>
        </w:numPr>
      </w:pPr>
      <w:r w:rsidRPr="0004431B">
        <w:rPr>
          <w:rFonts w:cs="Arial"/>
          <w:rtl/>
        </w:rPr>
        <w:t xml:space="preserve">סדר גיטין </w:t>
      </w:r>
      <w:r w:rsidRPr="0004431B">
        <w:rPr>
          <w:rFonts w:cs="Arial" w:hint="cs"/>
          <w:sz w:val="16"/>
          <w:szCs w:val="16"/>
          <w:rtl/>
        </w:rPr>
        <w:t>(</w:t>
      </w:r>
      <w:r w:rsidRPr="0004431B">
        <w:rPr>
          <w:rFonts w:cs="Arial"/>
          <w:sz w:val="16"/>
          <w:szCs w:val="16"/>
          <w:rtl/>
        </w:rPr>
        <w:t>סי</w:t>
      </w:r>
      <w:r w:rsidRPr="0004431B">
        <w:rPr>
          <w:rFonts w:cs="Arial" w:hint="cs"/>
          <w:sz w:val="16"/>
          <w:szCs w:val="16"/>
          <w:rtl/>
        </w:rPr>
        <w:t>'</w:t>
      </w:r>
      <w:r w:rsidRPr="0004431B">
        <w:rPr>
          <w:rFonts w:cs="Arial"/>
          <w:sz w:val="16"/>
          <w:szCs w:val="16"/>
          <w:rtl/>
        </w:rPr>
        <w:t xml:space="preserve"> ג</w:t>
      </w:r>
      <w:r>
        <w:rPr>
          <w:rFonts w:cs="Arial" w:hint="cs"/>
          <w:sz w:val="16"/>
          <w:szCs w:val="16"/>
          <w:rtl/>
        </w:rPr>
        <w:t>, הביאו הדרכ"מ [אות ב]</w:t>
      </w:r>
      <w:r w:rsidRPr="0004431B">
        <w:rPr>
          <w:rFonts w:cs="Arial" w:hint="cs"/>
          <w:sz w:val="16"/>
          <w:szCs w:val="16"/>
          <w:rtl/>
        </w:rPr>
        <w:t>)</w:t>
      </w:r>
      <w:r w:rsidR="00A82951">
        <w:rPr>
          <w:rFonts w:cs="Arial" w:hint="cs"/>
          <w:rtl/>
        </w:rPr>
        <w:t>-</w:t>
      </w:r>
      <w:r w:rsidRPr="0004431B">
        <w:rPr>
          <w:rFonts w:cs="Arial"/>
          <w:rtl/>
        </w:rPr>
        <w:t xml:space="preserve"> הקולמוס שכותבין בו נהגו לכתוב בקנה ולא בברזל</w:t>
      </w:r>
      <w:r>
        <w:rPr>
          <w:rFonts w:cs="Arial" w:hint="cs"/>
          <w:rtl/>
        </w:rPr>
        <w:t>,</w:t>
      </w:r>
      <w:r w:rsidRPr="0004431B">
        <w:rPr>
          <w:rFonts w:cs="Arial"/>
          <w:rtl/>
        </w:rPr>
        <w:t xml:space="preserve"> דכתיב וכתב ולא וחקק, אע</w:t>
      </w:r>
      <w:r w:rsidR="00C8650A">
        <w:rPr>
          <w:rFonts w:cs="Arial" w:hint="cs"/>
          <w:rtl/>
        </w:rPr>
        <w:t>"</w:t>
      </w:r>
      <w:r w:rsidRPr="0004431B">
        <w:rPr>
          <w:rFonts w:cs="Arial"/>
          <w:rtl/>
        </w:rPr>
        <w:t>ג דחק יריכות מותר מכל מקום לכתחלה טוב שלא לחקוק כל</w:t>
      </w:r>
      <w:r>
        <w:rPr>
          <w:rFonts w:cs="Arial" w:hint="cs"/>
          <w:rtl/>
        </w:rPr>
        <w:t>ל</w:t>
      </w:r>
      <w:r w:rsidRPr="0004431B">
        <w:rPr>
          <w:rFonts w:cs="Arial"/>
          <w:rtl/>
        </w:rPr>
        <w:t xml:space="preserve">. </w:t>
      </w:r>
    </w:p>
    <w:p w14:paraId="19D01A83" w14:textId="01C78C15" w:rsidR="00763CE6" w:rsidRPr="00763CE6" w:rsidRDefault="00763CE6" w:rsidP="00763CE6">
      <w:pPr>
        <w:pStyle w:val="ab"/>
        <w:numPr>
          <w:ilvl w:val="0"/>
          <w:numId w:val="48"/>
        </w:numPr>
        <w:rPr>
          <w:rtl/>
        </w:rPr>
      </w:pPr>
      <w:r w:rsidRPr="00763CE6">
        <w:rPr>
          <w:rFonts w:cs="Arial"/>
          <w:rtl/>
        </w:rPr>
        <w:t xml:space="preserve">מרדכי </w:t>
      </w:r>
      <w:r w:rsidRPr="00763CE6">
        <w:rPr>
          <w:rFonts w:cs="Arial" w:hint="cs"/>
          <w:sz w:val="16"/>
          <w:szCs w:val="16"/>
          <w:rtl/>
        </w:rPr>
        <w:t>(</w:t>
      </w:r>
      <w:r w:rsidRPr="00763CE6">
        <w:rPr>
          <w:rFonts w:cs="Arial"/>
          <w:sz w:val="16"/>
          <w:szCs w:val="16"/>
          <w:rtl/>
        </w:rPr>
        <w:t>פ</w:t>
      </w:r>
      <w:r w:rsidRPr="00763CE6">
        <w:rPr>
          <w:rFonts w:cs="Arial" w:hint="cs"/>
          <w:sz w:val="16"/>
          <w:szCs w:val="16"/>
          <w:rtl/>
        </w:rPr>
        <w:t>"</w:t>
      </w:r>
      <w:r w:rsidRPr="00763CE6">
        <w:rPr>
          <w:rFonts w:cs="Arial"/>
          <w:sz w:val="16"/>
          <w:szCs w:val="16"/>
          <w:rtl/>
        </w:rPr>
        <w:t>ק דגיטין סי' שכז בהגהה</w:t>
      </w:r>
      <w:r w:rsidRPr="00763CE6">
        <w:rPr>
          <w:rFonts w:cs="Arial" w:hint="cs"/>
          <w:sz w:val="16"/>
          <w:szCs w:val="16"/>
          <w:rtl/>
        </w:rPr>
        <w:t>)</w:t>
      </w:r>
      <w:r w:rsidR="00A82951">
        <w:rPr>
          <w:rFonts w:cs="Arial" w:hint="cs"/>
          <w:rtl/>
        </w:rPr>
        <w:t>-</w:t>
      </w:r>
      <w:r w:rsidRPr="00763CE6">
        <w:rPr>
          <w:rFonts w:cs="Arial"/>
          <w:rtl/>
        </w:rPr>
        <w:t xml:space="preserve"> מדברי רבינו</w:t>
      </w:r>
      <w:r w:rsidR="00C8650A">
        <w:rPr>
          <w:rFonts w:cs="Arial" w:hint="cs"/>
          <w:rtl/>
        </w:rPr>
        <w:t xml:space="preserve"> </w:t>
      </w:r>
      <w:r w:rsidRPr="00763CE6">
        <w:rPr>
          <w:rFonts w:cs="Arial"/>
          <w:rtl/>
        </w:rPr>
        <w:t>שמשון משאנץ משמע שאין כותבין גט או ס"ת בקולמוס של כנף</w:t>
      </w:r>
      <w:r w:rsidRPr="00763CE6">
        <w:rPr>
          <w:rFonts w:cs="Arial" w:hint="cs"/>
          <w:rtl/>
        </w:rPr>
        <w:t>,</w:t>
      </w:r>
      <w:r w:rsidRPr="00763CE6">
        <w:rPr>
          <w:rFonts w:cs="Arial"/>
          <w:rtl/>
        </w:rPr>
        <w:t xml:space="preserve"> שפי</w:t>
      </w:r>
      <w:r w:rsidRPr="00763CE6">
        <w:rPr>
          <w:rFonts w:cs="Arial" w:hint="cs"/>
          <w:rtl/>
        </w:rPr>
        <w:t>רש</w:t>
      </w:r>
      <w:r w:rsidRPr="00763CE6">
        <w:rPr>
          <w:rFonts w:cs="Arial"/>
          <w:rtl/>
        </w:rPr>
        <w:t xml:space="preserve"> מסרגלין בקנה וכו' </w:t>
      </w:r>
      <w:r w:rsidRPr="00763CE6">
        <w:rPr>
          <w:rFonts w:cs="Arial"/>
          <w:sz w:val="16"/>
          <w:szCs w:val="16"/>
          <w:rtl/>
        </w:rPr>
        <w:t>(מס' סופרים פ"א ה"א)</w:t>
      </w:r>
      <w:r w:rsidRPr="00763CE6">
        <w:rPr>
          <w:rFonts w:cs="Arial" w:hint="cs"/>
          <w:rtl/>
        </w:rPr>
        <w:t xml:space="preserve"> </w:t>
      </w:r>
      <w:r w:rsidR="00A82951">
        <w:rPr>
          <w:rFonts w:cs="Arial" w:hint="cs"/>
          <w:rtl/>
        </w:rPr>
        <w:t>-</w:t>
      </w:r>
      <w:r w:rsidRPr="00763CE6">
        <w:rPr>
          <w:rFonts w:cs="Arial" w:hint="cs"/>
          <w:rtl/>
        </w:rPr>
        <w:t xml:space="preserve"> </w:t>
      </w:r>
      <w:r w:rsidRPr="00763CE6">
        <w:rPr>
          <w:rFonts w:cs="Arial"/>
          <w:rtl/>
        </w:rPr>
        <w:t>מזיינין בקולמוס של קנה</w:t>
      </w:r>
      <w:r w:rsidRPr="00763CE6">
        <w:rPr>
          <w:rFonts w:cs="Arial" w:hint="cs"/>
          <w:rtl/>
        </w:rPr>
        <w:t>,</w:t>
      </w:r>
      <w:r w:rsidRPr="00763CE6">
        <w:rPr>
          <w:rFonts w:cs="Arial"/>
          <w:rtl/>
        </w:rPr>
        <w:t xml:space="preserve"> לאפוקי קולמוס של נוצה</w:t>
      </w:r>
      <w:r>
        <w:rPr>
          <w:rStyle w:val="a7"/>
          <w:rFonts w:cs="Arial"/>
          <w:rtl/>
        </w:rPr>
        <w:footnoteReference w:id="531"/>
      </w:r>
      <w:r w:rsidRPr="00763CE6">
        <w:rPr>
          <w:rFonts w:cs="Arial" w:hint="cs"/>
          <w:rtl/>
        </w:rPr>
        <w:t>.</w:t>
      </w:r>
    </w:p>
    <w:p w14:paraId="3A205B6D"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AAAA483" w14:textId="1211CA50" w:rsidR="00C77C34" w:rsidRDefault="00C77C34" w:rsidP="00C77C34">
      <w:pPr>
        <w:rPr>
          <w:rFonts w:cs="Arial"/>
          <w:rtl/>
        </w:rPr>
      </w:pPr>
      <w:r w:rsidRPr="00C77C34">
        <w:rPr>
          <w:rFonts w:cs="Arial"/>
          <w:rtl/>
        </w:rPr>
        <w:t xml:space="preserve">חקק גט על הלוח או על האבן או על טס של מתכת, אם חפר יריכי האותיות, כשר. וכן אם חקק יריכי האותיות מאחורי הטס עד שבלטו בפני הטס. אבל אם חפר תוך האות עד שיראו היריכות גבוהות מכאן ומכאן, או שהכה על פני הטס כחותם עד שנמצאו האותיות בולטות כדרך שעושין דינרי זהב, אינו גט. </w:t>
      </w:r>
      <w:r w:rsidRPr="00AF4AED">
        <w:rPr>
          <w:rFonts w:cs="Arial"/>
          <w:sz w:val="18"/>
          <w:szCs w:val="18"/>
          <w:rtl/>
        </w:rPr>
        <w:t xml:space="preserve">הגה: י"א דלכתחילה יש להחמיר שלא לכתוב בקולמוס </w:t>
      </w:r>
      <w:r w:rsidRPr="00AF4AED">
        <w:rPr>
          <w:rFonts w:cs="Arial"/>
          <w:sz w:val="18"/>
          <w:szCs w:val="18"/>
          <w:rtl/>
        </w:rPr>
        <w:lastRenderedPageBreak/>
        <w:t>של ברזל, שלא לבא לידי חקיקה (סדר גיטין). ועיין לקמן סימן זה סעיף כ"ב. ולא מקרי חק תוכות אלא כשכל האות נעשה כך, אבל אם צריך עדיין לתקן שיהיה אות, כשר (ת</w:t>
      </w:r>
      <w:r w:rsidR="0004431B">
        <w:rPr>
          <w:rFonts w:cs="Arial" w:hint="cs"/>
          <w:sz w:val="18"/>
          <w:szCs w:val="18"/>
          <w:rtl/>
        </w:rPr>
        <w:t>רו</w:t>
      </w:r>
      <w:r w:rsidRPr="00AF4AED">
        <w:rPr>
          <w:rFonts w:cs="Arial"/>
          <w:sz w:val="18"/>
          <w:szCs w:val="18"/>
          <w:rtl/>
        </w:rPr>
        <w:t>ה</w:t>
      </w:r>
      <w:r w:rsidR="0004431B">
        <w:rPr>
          <w:rFonts w:cs="Arial" w:hint="cs"/>
          <w:sz w:val="18"/>
          <w:szCs w:val="18"/>
          <w:rtl/>
        </w:rPr>
        <w:t>"ד</w:t>
      </w:r>
      <w:r w:rsidRPr="00AF4AED">
        <w:rPr>
          <w:rFonts w:cs="Arial"/>
          <w:sz w:val="18"/>
          <w:szCs w:val="18"/>
          <w:rtl/>
        </w:rPr>
        <w:t xml:space="preserve"> סי</w:t>
      </w:r>
      <w:r w:rsidR="0004431B">
        <w:rPr>
          <w:rFonts w:cs="Arial" w:hint="cs"/>
          <w:sz w:val="18"/>
          <w:szCs w:val="18"/>
          <w:rtl/>
        </w:rPr>
        <w:t>'</w:t>
      </w:r>
      <w:r w:rsidRPr="00AF4AED">
        <w:rPr>
          <w:rFonts w:cs="Arial"/>
          <w:sz w:val="18"/>
          <w:szCs w:val="18"/>
          <w:rtl/>
        </w:rPr>
        <w:t xml:space="preserve"> רכח). </w:t>
      </w:r>
    </w:p>
    <w:p w14:paraId="0826EC29" w14:textId="77777777" w:rsidR="00AF4AED" w:rsidRPr="00C77C34" w:rsidRDefault="00AF4AED" w:rsidP="00C77C34">
      <w:pPr>
        <w:rPr>
          <w:rFonts w:cs="Arial"/>
          <w:rtl/>
        </w:rPr>
      </w:pPr>
    </w:p>
    <w:p w14:paraId="6F75FC65" w14:textId="4AA4CEA6" w:rsidR="00C77C34" w:rsidRDefault="00C77C34" w:rsidP="00786DE6">
      <w:pPr>
        <w:pStyle w:val="2"/>
        <w:rPr>
          <w:rtl/>
        </w:rPr>
      </w:pPr>
      <w:r w:rsidRPr="00C77C34">
        <w:rPr>
          <w:rtl/>
        </w:rPr>
        <w:t>סעיף ה</w:t>
      </w:r>
      <w:r w:rsidR="00AF4AED">
        <w:rPr>
          <w:rFonts w:hint="cs"/>
          <w:rtl/>
        </w:rPr>
        <w:t>:</w:t>
      </w:r>
      <w:r w:rsidR="00BB59B1" w:rsidRPr="00BB59B1">
        <w:rPr>
          <w:rFonts w:hint="cs"/>
          <w:rtl/>
        </w:rPr>
        <w:t xml:space="preserve"> המקרע או הרושם על העור</w:t>
      </w:r>
      <w:r w:rsidR="00BB59B1">
        <w:rPr>
          <w:rFonts w:hint="cs"/>
          <w:rtl/>
        </w:rPr>
        <w:t>.</w:t>
      </w:r>
    </w:p>
    <w:p w14:paraId="49743A07" w14:textId="06877EFC" w:rsidR="00BB59B1" w:rsidRDefault="00BB59B1" w:rsidP="00BB59B1">
      <w:pPr>
        <w:rPr>
          <w:rtl/>
        </w:rPr>
      </w:pPr>
      <w:r>
        <w:rPr>
          <w:rFonts w:cs="Arial" w:hint="cs"/>
          <w:b/>
          <w:bCs/>
          <w:rtl/>
        </w:rPr>
        <w:t xml:space="preserve">ירושלמי גיטין פ"ב ה"ג: </w:t>
      </w:r>
      <w:r w:rsidRPr="00021672">
        <w:rPr>
          <w:rFonts w:cs="Arial"/>
          <w:rtl/>
        </w:rPr>
        <w:t xml:space="preserve">הקורע על העור כתבנית כתב </w:t>
      </w:r>
      <w:r w:rsidR="00A82951">
        <w:rPr>
          <w:rFonts w:cs="Arial" w:hint="cs"/>
          <w:rtl/>
        </w:rPr>
        <w:t>-</w:t>
      </w:r>
      <w:r>
        <w:rPr>
          <w:rFonts w:cs="Arial" w:hint="cs"/>
          <w:rtl/>
        </w:rPr>
        <w:t xml:space="preserve"> </w:t>
      </w:r>
      <w:r w:rsidRPr="00021672">
        <w:rPr>
          <w:rFonts w:cs="Arial"/>
          <w:rtl/>
        </w:rPr>
        <w:t xml:space="preserve">כשר. הרושם על העור כתבני' כתב </w:t>
      </w:r>
      <w:r w:rsidR="00A82951">
        <w:rPr>
          <w:rFonts w:cs="Arial" w:hint="cs"/>
          <w:rtl/>
        </w:rPr>
        <w:t>-</w:t>
      </w:r>
      <w:r>
        <w:rPr>
          <w:rFonts w:cs="Arial" w:hint="cs"/>
          <w:rtl/>
        </w:rPr>
        <w:t xml:space="preserve"> </w:t>
      </w:r>
      <w:r w:rsidRPr="00021672">
        <w:rPr>
          <w:rFonts w:cs="Arial"/>
          <w:rtl/>
        </w:rPr>
        <w:t>פסול.</w:t>
      </w:r>
    </w:p>
    <w:p w14:paraId="0AE2FBAF" w14:textId="0BEB20CB" w:rsidR="00BB59B1" w:rsidRPr="00262F37" w:rsidRDefault="00BB59B1" w:rsidP="00BB59B1">
      <w:pPr>
        <w:rPr>
          <w:rtl/>
        </w:rPr>
      </w:pPr>
      <w:r>
        <w:rPr>
          <w:rFonts w:cs="Arial" w:hint="cs"/>
          <w:b/>
          <w:bCs/>
          <w:rtl/>
        </w:rPr>
        <w:t>תוספתא גיטין פ"ב ה"ד:</w:t>
      </w:r>
      <w:r>
        <w:rPr>
          <w:rFonts w:cs="Arial" w:hint="cs"/>
          <w:rtl/>
        </w:rPr>
        <w:t xml:space="preserve"> </w:t>
      </w:r>
      <w:r w:rsidRPr="00021672">
        <w:rPr>
          <w:rFonts w:cs="Arial"/>
          <w:rtl/>
        </w:rPr>
        <w:t xml:space="preserve">המקרע על העור כתבנית כתב </w:t>
      </w:r>
      <w:r w:rsidR="00A82951">
        <w:rPr>
          <w:rFonts w:cs="Arial" w:hint="cs"/>
          <w:rtl/>
        </w:rPr>
        <w:t>-</w:t>
      </w:r>
      <w:r>
        <w:rPr>
          <w:rFonts w:cs="Arial" w:hint="cs"/>
          <w:rtl/>
        </w:rPr>
        <w:t xml:space="preserve"> </w:t>
      </w:r>
      <w:r w:rsidRPr="00021672">
        <w:rPr>
          <w:rFonts w:cs="Arial"/>
          <w:rtl/>
        </w:rPr>
        <w:t>פסול</w:t>
      </w:r>
      <w:r>
        <w:rPr>
          <w:rFonts w:cs="Arial" w:hint="cs"/>
          <w:rtl/>
        </w:rPr>
        <w:t>.</w:t>
      </w:r>
      <w:r w:rsidRPr="00021672">
        <w:rPr>
          <w:rFonts w:cs="Arial"/>
          <w:rtl/>
        </w:rPr>
        <w:t xml:space="preserve"> הרושם על העור כתבנית כתב </w:t>
      </w:r>
      <w:r w:rsidR="00A82951">
        <w:rPr>
          <w:rFonts w:cs="Arial" w:hint="cs"/>
          <w:rtl/>
        </w:rPr>
        <w:t>-</w:t>
      </w:r>
      <w:r>
        <w:rPr>
          <w:rFonts w:cs="Arial" w:hint="cs"/>
          <w:rtl/>
        </w:rPr>
        <w:t xml:space="preserve"> </w:t>
      </w:r>
      <w:r w:rsidRPr="00021672">
        <w:rPr>
          <w:rFonts w:cs="Arial"/>
          <w:rtl/>
        </w:rPr>
        <w:t>כשר</w:t>
      </w:r>
      <w:r>
        <w:rPr>
          <w:rFonts w:hint="cs"/>
          <w:rtl/>
        </w:rPr>
        <w:t>.</w:t>
      </w:r>
    </w:p>
    <w:p w14:paraId="40DE1395" w14:textId="77777777" w:rsidR="00BB59B1" w:rsidRPr="000009E7" w:rsidRDefault="00BB59B1" w:rsidP="00BB59B1">
      <w:pPr>
        <w:rPr>
          <w:u w:val="single"/>
        </w:rPr>
      </w:pPr>
      <w:r w:rsidRPr="00BB59B1">
        <w:rPr>
          <w:rFonts w:hint="cs"/>
          <w:u w:val="single"/>
          <w:rtl/>
        </w:rPr>
        <w:t>המקרע או הרושם על העור</w:t>
      </w:r>
      <w:r w:rsidRPr="000009E7">
        <w:rPr>
          <w:rFonts w:hint="cs"/>
          <w:u w:val="single"/>
          <w:rtl/>
        </w:rPr>
        <w:t>:</w:t>
      </w:r>
    </w:p>
    <w:p w14:paraId="5C946656" w14:textId="6364E849" w:rsidR="00AF4AED" w:rsidRPr="00BB59B1" w:rsidRDefault="00BB59B1" w:rsidP="00BB59B1">
      <w:pPr>
        <w:pStyle w:val="ab"/>
        <w:numPr>
          <w:ilvl w:val="0"/>
          <w:numId w:val="48"/>
        </w:numPr>
        <w:rPr>
          <w:rtl/>
        </w:rPr>
      </w:pPr>
      <w:r w:rsidRPr="002D5E7F">
        <w:rPr>
          <w:rFonts w:cs="Arial"/>
          <w:rtl/>
        </w:rPr>
        <w:t xml:space="preserve">רמב"ם </w:t>
      </w:r>
      <w:r w:rsidRPr="00262F37">
        <w:rPr>
          <w:rFonts w:cs="Arial"/>
          <w:sz w:val="16"/>
          <w:szCs w:val="16"/>
          <w:rtl/>
        </w:rPr>
        <w:t>(פ"ד ה"</w:t>
      </w:r>
      <w:r>
        <w:rPr>
          <w:rFonts w:cs="Arial" w:hint="cs"/>
          <w:sz w:val="16"/>
          <w:szCs w:val="16"/>
          <w:rtl/>
        </w:rPr>
        <w:t>ז, הביאו הטור</w:t>
      </w:r>
      <w:r w:rsidRPr="00262F37">
        <w:rPr>
          <w:rFonts w:cs="Arial"/>
          <w:sz w:val="16"/>
          <w:szCs w:val="16"/>
          <w:rtl/>
        </w:rPr>
        <w:t>)</w:t>
      </w:r>
      <w:r w:rsidR="00A82951">
        <w:rPr>
          <w:rFonts w:cs="Arial" w:hint="cs"/>
          <w:rtl/>
        </w:rPr>
        <w:t>-</w:t>
      </w:r>
      <w:r>
        <w:rPr>
          <w:rFonts w:cs="Arial" w:hint="cs"/>
          <w:rtl/>
        </w:rPr>
        <w:t xml:space="preserve"> </w:t>
      </w:r>
      <w:r w:rsidRPr="000009E7">
        <w:rPr>
          <w:rFonts w:cs="Arial"/>
          <w:rtl/>
        </w:rPr>
        <w:t>המקרע על העור תבנית כתב</w:t>
      </w:r>
      <w:r>
        <w:rPr>
          <w:rFonts w:cs="Arial" w:hint="cs"/>
          <w:rtl/>
        </w:rPr>
        <w:t>,</w:t>
      </w:r>
      <w:r w:rsidRPr="000009E7">
        <w:rPr>
          <w:rFonts w:cs="Arial"/>
          <w:rtl/>
        </w:rPr>
        <w:t xml:space="preserve"> או שרשם על העור תבנית כתב</w:t>
      </w:r>
      <w:r>
        <w:rPr>
          <w:rFonts w:cs="Arial" w:hint="cs"/>
          <w:rtl/>
        </w:rPr>
        <w:t xml:space="preserve"> </w:t>
      </w:r>
      <w:r w:rsidR="00A82951">
        <w:rPr>
          <w:rFonts w:cs="Arial" w:hint="cs"/>
          <w:rtl/>
        </w:rPr>
        <w:t>-</w:t>
      </w:r>
      <w:r w:rsidRPr="000009E7">
        <w:rPr>
          <w:rFonts w:cs="Arial"/>
          <w:rtl/>
        </w:rPr>
        <w:t xml:space="preserve"> הרי זה כשר</w:t>
      </w:r>
      <w:r>
        <w:rPr>
          <w:rStyle w:val="a7"/>
          <w:rtl/>
        </w:rPr>
        <w:footnoteReference w:id="532"/>
      </w:r>
      <w:r w:rsidRPr="0004431B">
        <w:rPr>
          <w:rFonts w:cs="Arial" w:hint="cs"/>
          <w:rtl/>
        </w:rPr>
        <w:t>.</w:t>
      </w:r>
    </w:p>
    <w:p w14:paraId="06604A34"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C60A17C" w14:textId="4335FDB9" w:rsidR="00C77C34" w:rsidRDefault="00C77C34" w:rsidP="00C77C34">
      <w:pPr>
        <w:rPr>
          <w:rFonts w:cs="Arial"/>
          <w:rtl/>
        </w:rPr>
      </w:pPr>
      <w:r w:rsidRPr="00C77C34">
        <w:rPr>
          <w:rFonts w:cs="Arial"/>
          <w:rtl/>
        </w:rPr>
        <w:t>הקורע על העור תבנית כתב, כשר. אבל הרושם על העור תבנית כתב, פסול. ויש אומרים בהפך</w:t>
      </w:r>
      <w:r w:rsidR="00C8650A">
        <w:rPr>
          <w:rFonts w:cs="Arial" w:hint="cs"/>
          <w:rtl/>
        </w:rPr>
        <w:t>.</w:t>
      </w:r>
      <w:r w:rsidRPr="00C77C34">
        <w:rPr>
          <w:rFonts w:cs="Arial"/>
          <w:rtl/>
        </w:rPr>
        <w:t xml:space="preserve"> ויש מי שמכשיר בשניהם. </w:t>
      </w:r>
    </w:p>
    <w:p w14:paraId="1F43F690" w14:textId="77777777" w:rsidR="00AF4AED" w:rsidRPr="00C77C34" w:rsidRDefault="00AF4AED" w:rsidP="00C77C34">
      <w:pPr>
        <w:rPr>
          <w:rFonts w:cs="Arial"/>
          <w:rtl/>
        </w:rPr>
      </w:pPr>
    </w:p>
    <w:p w14:paraId="421FD003" w14:textId="29DFE14E" w:rsidR="00C77C34" w:rsidRDefault="00C77C34" w:rsidP="00786DE6">
      <w:pPr>
        <w:pStyle w:val="2"/>
        <w:rPr>
          <w:rtl/>
        </w:rPr>
      </w:pPr>
      <w:r w:rsidRPr="00C77C34">
        <w:rPr>
          <w:rtl/>
        </w:rPr>
        <w:t>סעיף ו</w:t>
      </w:r>
      <w:r w:rsidR="00AF4AED">
        <w:rPr>
          <w:rFonts w:hint="cs"/>
          <w:rtl/>
        </w:rPr>
        <w:t>:</w:t>
      </w:r>
      <w:r w:rsidR="00BB59B1">
        <w:rPr>
          <w:rFonts w:hint="cs"/>
          <w:rtl/>
        </w:rPr>
        <w:t xml:space="preserve"> אותיות מוקפות גויל.</w:t>
      </w:r>
      <w:r w:rsidR="001C7948">
        <w:rPr>
          <w:rFonts w:hint="cs"/>
          <w:rtl/>
        </w:rPr>
        <w:t xml:space="preserve"> ואותיות דבוקות.</w:t>
      </w:r>
    </w:p>
    <w:p w14:paraId="53C76D68" w14:textId="2745644D" w:rsidR="0080389F" w:rsidRPr="0080389F" w:rsidRDefault="0080389F" w:rsidP="0080389F">
      <w:pPr>
        <w:rPr>
          <w:rtl/>
        </w:rPr>
      </w:pPr>
      <w:r w:rsidRPr="0080389F">
        <w:rPr>
          <w:rFonts w:cs="Arial" w:hint="cs"/>
          <w:b/>
          <w:bCs/>
          <w:rtl/>
        </w:rPr>
        <w:t xml:space="preserve">גיטין </w:t>
      </w:r>
      <w:r>
        <w:rPr>
          <w:rFonts w:cs="Arial" w:hint="cs"/>
          <w:b/>
          <w:bCs/>
          <w:sz w:val="16"/>
          <w:szCs w:val="16"/>
          <w:rtl/>
        </w:rPr>
        <w:t xml:space="preserve">(פ"ב) </w:t>
      </w:r>
      <w:r w:rsidRPr="0080389F">
        <w:rPr>
          <w:rFonts w:cs="Arial" w:hint="cs"/>
          <w:b/>
          <w:bCs/>
          <w:rtl/>
        </w:rPr>
        <w:t>כ ע"ב:</w:t>
      </w:r>
      <w:r w:rsidRPr="0080389F">
        <w:rPr>
          <w:rtl/>
        </w:rPr>
        <w:t xml:space="preserve"> </w:t>
      </w:r>
      <w:r w:rsidRPr="0080389F">
        <w:rPr>
          <w:rFonts w:cs="Arial"/>
          <w:rtl/>
        </w:rPr>
        <w:t xml:space="preserve">ת"ר: הרי זה גיטך והנייר שלי </w:t>
      </w:r>
      <w:r w:rsidR="00A82951">
        <w:rPr>
          <w:rFonts w:cs="Arial"/>
          <w:rtl/>
        </w:rPr>
        <w:t>-</w:t>
      </w:r>
      <w:r w:rsidRPr="0080389F">
        <w:rPr>
          <w:rFonts w:cs="Arial"/>
          <w:rtl/>
        </w:rPr>
        <w:t xml:space="preserve"> אינה מגורשת</w:t>
      </w:r>
      <w:r>
        <w:rPr>
          <w:rFonts w:cs="Arial" w:hint="cs"/>
          <w:rtl/>
        </w:rPr>
        <w:t xml:space="preserve">... </w:t>
      </w:r>
      <w:r w:rsidRPr="0080389F">
        <w:rPr>
          <w:rFonts w:cs="Arial"/>
          <w:u w:val="single"/>
          <w:rtl/>
        </w:rPr>
        <w:t>בעי רב פפא</w:t>
      </w:r>
      <w:r w:rsidRPr="0080389F">
        <w:rPr>
          <w:rFonts w:cs="Arial"/>
          <w:rtl/>
        </w:rPr>
        <w:t>: בין שיטה לשיטה</w:t>
      </w:r>
      <w:r>
        <w:rPr>
          <w:rStyle w:val="a7"/>
          <w:rFonts w:cs="Arial"/>
          <w:rtl/>
        </w:rPr>
        <w:footnoteReference w:id="533"/>
      </w:r>
      <w:r w:rsidRPr="0080389F">
        <w:rPr>
          <w:rFonts w:cs="Arial"/>
          <w:rtl/>
        </w:rPr>
        <w:t xml:space="preserve"> ובין תיבה לתיבה, מאי? תיקו. ותיפוק ליה, דספר אחד אמר רחמנא </w:t>
      </w:r>
      <w:r w:rsidR="00A82951">
        <w:rPr>
          <w:rFonts w:cs="Arial"/>
          <w:rtl/>
        </w:rPr>
        <w:t>-</w:t>
      </w:r>
      <w:r w:rsidRPr="0080389F">
        <w:rPr>
          <w:rFonts w:cs="Arial"/>
          <w:rtl/>
        </w:rPr>
        <w:t xml:space="preserve"> ולא שנים ושלשה ספרים! לא צריכא דמעורה</w:t>
      </w:r>
      <w:r>
        <w:rPr>
          <w:rStyle w:val="a7"/>
          <w:rFonts w:cs="Arial"/>
          <w:rtl/>
        </w:rPr>
        <w:footnoteReference w:id="534"/>
      </w:r>
      <w:r w:rsidRPr="0080389F">
        <w:rPr>
          <w:rFonts w:cs="Arial"/>
          <w:rtl/>
        </w:rPr>
        <w:t>.</w:t>
      </w:r>
      <w:r w:rsidRPr="0080389F">
        <w:rPr>
          <w:rtl/>
        </w:rPr>
        <w:t xml:space="preserve"> </w:t>
      </w:r>
      <w:r w:rsidRPr="0080389F">
        <w:rPr>
          <w:rFonts w:cs="Arial" w:hint="cs"/>
          <w:sz w:val="16"/>
          <w:szCs w:val="16"/>
          <w:rtl/>
        </w:rPr>
        <w:t>(</w:t>
      </w:r>
      <w:r w:rsidRPr="0080389F">
        <w:rPr>
          <w:rFonts w:cs="Arial"/>
          <w:sz w:val="16"/>
          <w:szCs w:val="16"/>
          <w:rtl/>
        </w:rPr>
        <w:t>מכאן מדקדק ר' יצחק בר מרדכי דאין צריך בגט שתהא כל אות ואות מוקפת גויל מארבע רוחותיה</w:t>
      </w:r>
      <w:r w:rsidR="00F4663E">
        <w:rPr>
          <w:rFonts w:cs="Arial" w:hint="cs"/>
          <w:sz w:val="16"/>
          <w:szCs w:val="16"/>
          <w:rtl/>
        </w:rPr>
        <w:t>,</w:t>
      </w:r>
      <w:r w:rsidRPr="0080389F">
        <w:rPr>
          <w:rFonts w:cs="Arial"/>
          <w:sz w:val="16"/>
          <w:szCs w:val="16"/>
          <w:rtl/>
        </w:rPr>
        <w:t xml:space="preserve"> כדאמר הכא דמעורה</w:t>
      </w:r>
      <w:r w:rsidR="00F4663E">
        <w:rPr>
          <w:rFonts w:cs="Arial" w:hint="cs"/>
          <w:sz w:val="16"/>
          <w:szCs w:val="16"/>
          <w:rtl/>
        </w:rPr>
        <w:t>.</w:t>
      </w:r>
      <w:r w:rsidRPr="0080389F">
        <w:rPr>
          <w:rFonts w:cs="Arial"/>
          <w:sz w:val="16"/>
          <w:szCs w:val="16"/>
          <w:rtl/>
        </w:rPr>
        <w:t xml:space="preserve"> ור"י אומר דאין מכאן ראיה</w:t>
      </w:r>
      <w:r w:rsidR="00F4663E">
        <w:rPr>
          <w:rFonts w:cs="Arial" w:hint="cs"/>
          <w:sz w:val="16"/>
          <w:szCs w:val="16"/>
          <w:rtl/>
        </w:rPr>
        <w:t>,</w:t>
      </w:r>
      <w:r w:rsidRPr="0080389F">
        <w:rPr>
          <w:rFonts w:cs="Arial"/>
          <w:sz w:val="16"/>
          <w:szCs w:val="16"/>
          <w:rtl/>
        </w:rPr>
        <w:t xml:space="preserve"> דהא דקאמר דמעורה היינו רגל ך' של שיטה עליונה בט' של שיטה שתחתיה</w:t>
      </w:r>
      <w:r w:rsidR="00F4663E">
        <w:rPr>
          <w:rFonts w:cs="Arial" w:hint="cs"/>
          <w:sz w:val="16"/>
          <w:szCs w:val="16"/>
          <w:rtl/>
        </w:rPr>
        <w:t>,</w:t>
      </w:r>
      <w:r w:rsidRPr="0080389F">
        <w:rPr>
          <w:rFonts w:cs="Arial"/>
          <w:sz w:val="16"/>
          <w:szCs w:val="16"/>
          <w:rtl/>
        </w:rPr>
        <w:t xml:space="preserve"> או ראש ל' בה' או בח' שלמעלה הימנה</w:t>
      </w:r>
      <w:r w:rsidR="00F4663E">
        <w:rPr>
          <w:rFonts w:cs="Arial" w:hint="cs"/>
          <w:sz w:val="16"/>
          <w:szCs w:val="16"/>
          <w:rtl/>
        </w:rPr>
        <w:t>.</w:t>
      </w:r>
      <w:r w:rsidRPr="0080389F">
        <w:rPr>
          <w:rFonts w:cs="Arial"/>
          <w:sz w:val="16"/>
          <w:szCs w:val="16"/>
          <w:rtl/>
        </w:rPr>
        <w:t xml:space="preserve"> ומ"מ נראה לר"י דאין צריך ראיה להכשיר</w:t>
      </w:r>
      <w:r w:rsidR="00F4663E">
        <w:rPr>
          <w:rFonts w:cs="Arial" w:hint="cs"/>
          <w:sz w:val="16"/>
          <w:szCs w:val="16"/>
          <w:rtl/>
        </w:rPr>
        <w:t>,</w:t>
      </w:r>
      <w:r w:rsidRPr="0080389F">
        <w:rPr>
          <w:rFonts w:cs="Arial"/>
          <w:sz w:val="16"/>
          <w:szCs w:val="16"/>
          <w:rtl/>
        </w:rPr>
        <w:t xml:space="preserve"> דדוקא בס"ת תפילין ומזוזות בעינן שיהו האותיות מוקפות גויל כדאמר בפרק הקומץ (מנחות לד.) משום דכתיב בהו וכתבתם כתיבה תמה</w:t>
      </w:r>
      <w:r w:rsidR="00F4663E">
        <w:rPr>
          <w:rFonts w:cs="Arial" w:hint="cs"/>
          <w:sz w:val="16"/>
          <w:szCs w:val="16"/>
          <w:rtl/>
        </w:rPr>
        <w:t>.</w:t>
      </w:r>
      <w:r w:rsidRPr="0080389F">
        <w:rPr>
          <w:rFonts w:cs="Arial"/>
          <w:sz w:val="16"/>
          <w:szCs w:val="16"/>
          <w:rtl/>
        </w:rPr>
        <w:t xml:space="preserve"> אבל בגט ליכא קפידא</w:t>
      </w:r>
      <w:r w:rsidR="00F4663E">
        <w:rPr>
          <w:rStyle w:val="a7"/>
          <w:rFonts w:cs="Arial"/>
          <w:sz w:val="16"/>
          <w:szCs w:val="16"/>
          <w:rtl/>
        </w:rPr>
        <w:footnoteReference w:id="535"/>
      </w:r>
      <w:r w:rsidR="00F4663E">
        <w:rPr>
          <w:rFonts w:cs="Arial" w:hint="cs"/>
          <w:sz w:val="16"/>
          <w:szCs w:val="16"/>
          <w:rtl/>
        </w:rPr>
        <w:t>,</w:t>
      </w:r>
      <w:r w:rsidRPr="0080389F">
        <w:rPr>
          <w:rFonts w:cs="Arial"/>
          <w:sz w:val="16"/>
          <w:szCs w:val="16"/>
          <w:rtl/>
        </w:rPr>
        <w:t xml:space="preserve"> דאפי' ספר ודיו לא בעינן בגט</w:t>
      </w:r>
      <w:r w:rsidR="00F4663E">
        <w:rPr>
          <w:rFonts w:cs="Arial" w:hint="cs"/>
          <w:sz w:val="16"/>
          <w:szCs w:val="16"/>
          <w:rtl/>
        </w:rPr>
        <w:t>.</w:t>
      </w:r>
      <w:r w:rsidRPr="0080389F">
        <w:rPr>
          <w:rFonts w:cs="Arial"/>
          <w:sz w:val="16"/>
          <w:szCs w:val="16"/>
          <w:rtl/>
        </w:rPr>
        <w:t xml:space="preserve"> ד</w:t>
      </w:r>
      <w:r w:rsidR="00F4663E">
        <w:rPr>
          <w:rFonts w:cs="Arial" w:hint="cs"/>
          <w:sz w:val="16"/>
          <w:szCs w:val="16"/>
          <w:rtl/>
        </w:rPr>
        <w:t>'</w:t>
      </w:r>
      <w:r w:rsidRPr="0080389F">
        <w:rPr>
          <w:rFonts w:cs="Arial"/>
          <w:sz w:val="16"/>
          <w:szCs w:val="16"/>
          <w:rtl/>
        </w:rPr>
        <w:t>ספר</w:t>
      </w:r>
      <w:r w:rsidR="00F4663E">
        <w:rPr>
          <w:rFonts w:cs="Arial" w:hint="cs"/>
          <w:sz w:val="16"/>
          <w:szCs w:val="16"/>
          <w:rtl/>
        </w:rPr>
        <w:t>'</w:t>
      </w:r>
      <w:r w:rsidRPr="0080389F">
        <w:rPr>
          <w:rFonts w:cs="Arial"/>
          <w:sz w:val="16"/>
          <w:szCs w:val="16"/>
          <w:rtl/>
        </w:rPr>
        <w:t xml:space="preserve"> דכתב בגט </w:t>
      </w:r>
      <w:r w:rsidR="00A82951">
        <w:rPr>
          <w:rFonts w:cs="Arial" w:hint="cs"/>
          <w:sz w:val="16"/>
          <w:szCs w:val="16"/>
          <w:rtl/>
        </w:rPr>
        <w:t>-</w:t>
      </w:r>
      <w:r w:rsidR="00F4663E">
        <w:rPr>
          <w:rFonts w:cs="Arial" w:hint="cs"/>
          <w:sz w:val="16"/>
          <w:szCs w:val="16"/>
          <w:rtl/>
        </w:rPr>
        <w:t xml:space="preserve"> </w:t>
      </w:r>
      <w:r w:rsidRPr="0080389F">
        <w:rPr>
          <w:rFonts w:cs="Arial"/>
          <w:sz w:val="16"/>
          <w:szCs w:val="16"/>
          <w:rtl/>
        </w:rPr>
        <w:t>לספירת דברים הוא דאתא (לקמן כא:)</w:t>
      </w:r>
      <w:r>
        <w:rPr>
          <w:rFonts w:cs="Arial" w:hint="cs"/>
          <w:sz w:val="16"/>
          <w:szCs w:val="16"/>
          <w:rtl/>
        </w:rPr>
        <w:t xml:space="preserve">, תוס' </w:t>
      </w:r>
      <w:r w:rsidR="00F4663E">
        <w:rPr>
          <w:rFonts w:cs="Arial" w:hint="cs"/>
          <w:sz w:val="16"/>
          <w:szCs w:val="16"/>
          <w:rtl/>
        </w:rPr>
        <w:t>(ד"ה לא צריכא))</w:t>
      </w:r>
      <w:r w:rsidRPr="0080389F">
        <w:rPr>
          <w:rFonts w:cs="Arial"/>
          <w:sz w:val="16"/>
          <w:szCs w:val="16"/>
          <w:rtl/>
        </w:rPr>
        <w:t>.</w:t>
      </w:r>
    </w:p>
    <w:p w14:paraId="0573C111" w14:textId="725FA3DA" w:rsidR="00BB59B1" w:rsidRPr="00BB59B1" w:rsidRDefault="00BB59B1" w:rsidP="00BB59B1">
      <w:pPr>
        <w:rPr>
          <w:u w:val="single"/>
          <w:rtl/>
        </w:rPr>
      </w:pPr>
      <w:r w:rsidRPr="00BB59B1">
        <w:rPr>
          <w:rFonts w:hint="cs"/>
          <w:u w:val="single"/>
          <w:rtl/>
        </w:rPr>
        <w:t>אותיות מוקפות גויל:</w:t>
      </w:r>
    </w:p>
    <w:p w14:paraId="6C43C342" w14:textId="1E966000" w:rsidR="00997EFF" w:rsidRPr="00997EFF" w:rsidRDefault="00857ECF" w:rsidP="00997EFF">
      <w:pPr>
        <w:pStyle w:val="ab"/>
        <w:numPr>
          <w:ilvl w:val="0"/>
          <w:numId w:val="47"/>
        </w:numPr>
      </w:pPr>
      <w:r w:rsidRPr="00997EFF">
        <w:rPr>
          <w:rFonts w:cs="Arial"/>
          <w:rtl/>
        </w:rPr>
        <w:t xml:space="preserve">בעל התרומה </w:t>
      </w:r>
      <w:r w:rsidRPr="00997EFF">
        <w:rPr>
          <w:rFonts w:cs="Arial"/>
          <w:sz w:val="16"/>
          <w:szCs w:val="16"/>
          <w:rtl/>
        </w:rPr>
        <w:t xml:space="preserve">(סי' קיג) </w:t>
      </w:r>
      <w:r w:rsidRPr="00997EFF">
        <w:rPr>
          <w:rFonts w:cs="Arial"/>
          <w:rtl/>
        </w:rPr>
        <w:t xml:space="preserve">סמ"ג </w:t>
      </w:r>
      <w:r w:rsidRPr="00997EFF">
        <w:rPr>
          <w:rFonts w:cs="Arial"/>
          <w:sz w:val="16"/>
          <w:szCs w:val="16"/>
          <w:rtl/>
        </w:rPr>
        <w:t xml:space="preserve">(עשין נ) </w:t>
      </w:r>
      <w:r w:rsidRPr="00997EFF">
        <w:rPr>
          <w:rFonts w:cs="Arial"/>
          <w:rtl/>
        </w:rPr>
        <w:t xml:space="preserve">סמ"ק </w:t>
      </w:r>
      <w:r w:rsidRPr="00997EFF">
        <w:rPr>
          <w:rFonts w:cs="Arial"/>
          <w:sz w:val="16"/>
          <w:szCs w:val="16"/>
          <w:rtl/>
        </w:rPr>
        <w:t xml:space="preserve">(סי' קפד) </w:t>
      </w:r>
      <w:r w:rsidRPr="00997EFF">
        <w:rPr>
          <w:rFonts w:cs="Arial"/>
          <w:rtl/>
        </w:rPr>
        <w:t xml:space="preserve">כל בו </w:t>
      </w:r>
      <w:r w:rsidRPr="00997EFF">
        <w:rPr>
          <w:rFonts w:cs="Arial"/>
          <w:sz w:val="16"/>
          <w:szCs w:val="16"/>
          <w:rtl/>
        </w:rPr>
        <w:t xml:space="preserve">(סי' עו מו ע"ג) </w:t>
      </w:r>
      <w:r w:rsidR="00881CF4">
        <w:rPr>
          <w:rFonts w:cs="Arial" w:hint="cs"/>
          <w:rtl/>
        </w:rPr>
        <w:t>ו</w:t>
      </w:r>
      <w:r w:rsidRPr="00997EFF">
        <w:rPr>
          <w:rFonts w:cs="Arial"/>
          <w:rtl/>
        </w:rPr>
        <w:t>רא"ש</w:t>
      </w:r>
      <w:r>
        <w:rPr>
          <w:rStyle w:val="a7"/>
          <w:rFonts w:cs="Arial"/>
          <w:rtl/>
        </w:rPr>
        <w:footnoteReference w:id="536"/>
      </w:r>
      <w:r w:rsidRPr="00997EFF">
        <w:rPr>
          <w:rFonts w:cs="Arial"/>
          <w:rtl/>
        </w:rPr>
        <w:t xml:space="preserve"> </w:t>
      </w:r>
      <w:r w:rsidRPr="00997EFF">
        <w:rPr>
          <w:rFonts w:cs="Arial" w:hint="cs"/>
          <w:sz w:val="16"/>
          <w:szCs w:val="16"/>
          <w:rtl/>
        </w:rPr>
        <w:t>(</w:t>
      </w:r>
      <w:r w:rsidRPr="00997EFF">
        <w:rPr>
          <w:rFonts w:cs="Arial"/>
          <w:sz w:val="16"/>
          <w:szCs w:val="16"/>
          <w:rtl/>
        </w:rPr>
        <w:t>כלל מה סי' יג)</w:t>
      </w:r>
      <w:r w:rsidR="00997EFF">
        <w:rPr>
          <w:rStyle w:val="a7"/>
          <w:rFonts w:cs="Arial"/>
          <w:rtl/>
        </w:rPr>
        <w:footnoteReference w:id="537"/>
      </w:r>
      <w:r w:rsidR="00A82951">
        <w:rPr>
          <w:rFonts w:cs="Arial" w:hint="cs"/>
          <w:rtl/>
        </w:rPr>
        <w:t>-</w:t>
      </w:r>
      <w:r w:rsidRPr="00997EFF">
        <w:rPr>
          <w:rFonts w:cs="Arial" w:hint="cs"/>
          <w:rtl/>
        </w:rPr>
        <w:t xml:space="preserve"> </w:t>
      </w:r>
      <w:r w:rsidR="003E2ADE" w:rsidRPr="00997EFF">
        <w:rPr>
          <w:rFonts w:cs="Arial"/>
          <w:rtl/>
        </w:rPr>
        <w:t>פס</w:t>
      </w:r>
      <w:r w:rsidRPr="00997EFF">
        <w:rPr>
          <w:rFonts w:cs="Arial" w:hint="cs"/>
          <w:rtl/>
        </w:rPr>
        <w:t>ו</w:t>
      </w:r>
      <w:r w:rsidR="003E2ADE" w:rsidRPr="00997EFF">
        <w:rPr>
          <w:rFonts w:cs="Arial"/>
          <w:rtl/>
        </w:rPr>
        <w:t>ל לכתחלה</w:t>
      </w:r>
      <w:r w:rsidR="003B1821">
        <w:rPr>
          <w:rStyle w:val="a7"/>
          <w:rFonts w:cs="Arial"/>
          <w:rtl/>
        </w:rPr>
        <w:footnoteReference w:id="538"/>
      </w:r>
      <w:r w:rsidRPr="00997EFF">
        <w:rPr>
          <w:rFonts w:cs="Arial" w:hint="cs"/>
          <w:rtl/>
        </w:rPr>
        <w:t>,</w:t>
      </w:r>
      <w:r w:rsidR="003E2ADE" w:rsidRPr="00997EFF">
        <w:rPr>
          <w:rFonts w:cs="Arial"/>
          <w:rtl/>
        </w:rPr>
        <w:t xml:space="preserve"> כלומר כל זמן שלא ניתן</w:t>
      </w:r>
      <w:r w:rsidR="00881CF4">
        <w:rPr>
          <w:rFonts w:cs="Arial" w:hint="cs"/>
          <w:rtl/>
        </w:rPr>
        <w:t>.</w:t>
      </w:r>
      <w:r w:rsidR="003E2ADE" w:rsidRPr="00997EFF">
        <w:rPr>
          <w:rFonts w:cs="Arial"/>
          <w:rtl/>
        </w:rPr>
        <w:t xml:space="preserve"> מיהו היכא דניתן </w:t>
      </w:r>
      <w:r w:rsidR="00A82951">
        <w:rPr>
          <w:rFonts w:cs="Arial" w:hint="cs"/>
          <w:rtl/>
        </w:rPr>
        <w:t>-</w:t>
      </w:r>
      <w:r w:rsidRPr="00997EFF">
        <w:rPr>
          <w:rFonts w:cs="Arial" w:hint="cs"/>
          <w:rtl/>
        </w:rPr>
        <w:t xml:space="preserve"> </w:t>
      </w:r>
      <w:r w:rsidR="003E2ADE" w:rsidRPr="00997EFF">
        <w:rPr>
          <w:rFonts w:cs="Arial"/>
          <w:rtl/>
        </w:rPr>
        <w:t>כשר</w:t>
      </w:r>
      <w:r w:rsidR="00997EFF" w:rsidRPr="00997EFF">
        <w:rPr>
          <w:rFonts w:cs="Arial" w:hint="cs"/>
          <w:sz w:val="16"/>
          <w:szCs w:val="16"/>
          <w:rtl/>
        </w:rPr>
        <w:t xml:space="preserve"> (ל' הב"י בשמם)</w:t>
      </w:r>
      <w:r w:rsidR="00997EFF" w:rsidRPr="00997EFF">
        <w:rPr>
          <w:rFonts w:cs="Arial" w:hint="cs"/>
          <w:rtl/>
        </w:rPr>
        <w:t>.</w:t>
      </w:r>
      <w:r w:rsidR="003E2ADE" w:rsidRPr="00997EFF">
        <w:rPr>
          <w:rFonts w:cs="Arial"/>
          <w:rtl/>
        </w:rPr>
        <w:t xml:space="preserve"> </w:t>
      </w:r>
    </w:p>
    <w:p w14:paraId="719758DB" w14:textId="7E2D93BA" w:rsidR="003E2ADE" w:rsidRDefault="00F4663E" w:rsidP="00F4663E">
      <w:pPr>
        <w:pStyle w:val="ab"/>
        <w:numPr>
          <w:ilvl w:val="0"/>
          <w:numId w:val="47"/>
        </w:numPr>
        <w:rPr>
          <w:rtl/>
        </w:rPr>
      </w:pPr>
      <w:r>
        <w:rPr>
          <w:rFonts w:cs="Arial" w:hint="cs"/>
          <w:rtl/>
        </w:rPr>
        <w:t xml:space="preserve">ריב"ם </w:t>
      </w:r>
      <w:r>
        <w:rPr>
          <w:rFonts w:cs="Arial" w:hint="cs"/>
          <w:sz w:val="16"/>
          <w:szCs w:val="16"/>
          <w:rtl/>
        </w:rPr>
        <w:t>(בתוס' כ: ד"ה לא צריכא)</w:t>
      </w:r>
      <w:r>
        <w:rPr>
          <w:rFonts w:cs="Arial" w:hint="cs"/>
          <w:rtl/>
        </w:rPr>
        <w:t xml:space="preserve"> </w:t>
      </w:r>
      <w:r w:rsidR="003B1821" w:rsidRPr="003B1821">
        <w:rPr>
          <w:rFonts w:cs="Arial"/>
          <w:rtl/>
        </w:rPr>
        <w:t>רמב"ם</w:t>
      </w:r>
      <w:r w:rsidR="003B1821">
        <w:rPr>
          <w:rFonts w:cs="Arial" w:hint="cs"/>
          <w:sz w:val="16"/>
          <w:szCs w:val="16"/>
          <w:rtl/>
        </w:rPr>
        <w:t xml:space="preserve"> (כ"כ בשמו הה"מ [פ"ד ה"י])</w:t>
      </w:r>
      <w:r w:rsidR="003B1821" w:rsidRPr="003B1821">
        <w:rPr>
          <w:rFonts w:cs="Arial"/>
          <w:rtl/>
        </w:rPr>
        <w:t xml:space="preserve"> ורמב"ן </w:t>
      </w:r>
      <w:r w:rsidR="003B1821" w:rsidRPr="003B1821">
        <w:rPr>
          <w:rFonts w:cs="Arial"/>
          <w:sz w:val="16"/>
          <w:szCs w:val="16"/>
          <w:rtl/>
        </w:rPr>
        <w:t>(כ. ד"ה לא)</w:t>
      </w:r>
      <w:r w:rsidR="00A82951">
        <w:rPr>
          <w:rFonts w:cs="Arial" w:hint="cs"/>
          <w:rtl/>
        </w:rPr>
        <w:t>-</w:t>
      </w:r>
      <w:r w:rsidR="003B1821">
        <w:rPr>
          <w:rFonts w:cs="Arial" w:hint="cs"/>
          <w:rtl/>
        </w:rPr>
        <w:t xml:space="preserve"> </w:t>
      </w:r>
      <w:r w:rsidR="003E2ADE" w:rsidRPr="003B1821">
        <w:rPr>
          <w:rFonts w:cs="Arial"/>
          <w:rtl/>
        </w:rPr>
        <w:t>אין קפידא בדבר ואפילו לכתחלה</w:t>
      </w:r>
      <w:r w:rsidR="003B1821">
        <w:rPr>
          <w:rStyle w:val="a7"/>
          <w:rFonts w:cs="Arial"/>
          <w:rtl/>
        </w:rPr>
        <w:footnoteReference w:id="539"/>
      </w:r>
      <w:r>
        <w:rPr>
          <w:rFonts w:cs="Arial" w:hint="cs"/>
          <w:rtl/>
        </w:rPr>
        <w:t>.</w:t>
      </w:r>
    </w:p>
    <w:p w14:paraId="5D4BA432" w14:textId="6AEC1406" w:rsidR="00F17642" w:rsidRPr="003B1821" w:rsidRDefault="00F17642" w:rsidP="00F17642">
      <w:pPr>
        <w:pStyle w:val="ab"/>
        <w:numPr>
          <w:ilvl w:val="0"/>
          <w:numId w:val="47"/>
        </w:numPr>
      </w:pPr>
      <w:r w:rsidRPr="00997EFF">
        <w:rPr>
          <w:rFonts w:cs="Arial"/>
          <w:rtl/>
        </w:rPr>
        <w:t>או</w:t>
      </w:r>
      <w:r>
        <w:rPr>
          <w:rFonts w:cs="Arial" w:hint="cs"/>
          <w:rtl/>
        </w:rPr>
        <w:t>"</w:t>
      </w:r>
      <w:r w:rsidRPr="00997EFF">
        <w:rPr>
          <w:rFonts w:cs="Arial"/>
          <w:rtl/>
        </w:rPr>
        <w:t xml:space="preserve">ז </w:t>
      </w:r>
      <w:r w:rsidRPr="00997EFF">
        <w:rPr>
          <w:rFonts w:cs="Arial"/>
          <w:sz w:val="16"/>
          <w:szCs w:val="16"/>
          <w:rtl/>
        </w:rPr>
        <w:t>(הל' גיטין סוס"י תשטו</w:t>
      </w:r>
      <w:r>
        <w:rPr>
          <w:rFonts w:cs="Arial" w:hint="cs"/>
          <w:sz w:val="16"/>
          <w:szCs w:val="16"/>
          <w:rtl/>
        </w:rPr>
        <w:t>, וכ"כ בשמו ר"י מינץ [סדר הגט סי' פח]</w:t>
      </w:r>
      <w:r w:rsidRPr="00997EFF">
        <w:rPr>
          <w:rFonts w:cs="Arial"/>
          <w:sz w:val="16"/>
          <w:szCs w:val="16"/>
          <w:rtl/>
        </w:rPr>
        <w:t>)</w:t>
      </w:r>
      <w:r w:rsidR="00A82951">
        <w:rPr>
          <w:rFonts w:cs="Arial" w:hint="cs"/>
          <w:rtl/>
        </w:rPr>
        <w:t>-</w:t>
      </w:r>
      <w:r w:rsidRPr="00997EFF">
        <w:rPr>
          <w:rFonts w:cs="Arial"/>
          <w:rtl/>
        </w:rPr>
        <w:t xml:space="preserve"> </w:t>
      </w:r>
      <w:r w:rsidRPr="00F17642">
        <w:rPr>
          <w:rFonts w:cs="Arial"/>
          <w:rtl/>
        </w:rPr>
        <w:t>ולעולם כל אות שאין גויל מקיף אותה אינה קרויה אות ופסולה כדאיתא בהקומץ רבה. ואין לחלק ולומר דדוקא בתפילין בעינן שתהא אות מוקפת גויל אבל לא בגט דהא כתיבה כתובה בו ואין זו כתיבה. ומעשה בא לפני מורי אב"י העזרי זצ"ל בגט שלא הקיף גויל את האות ופסלו</w:t>
      </w:r>
      <w:r>
        <w:rPr>
          <w:rStyle w:val="a7"/>
          <w:rFonts w:cs="Arial"/>
          <w:rtl/>
        </w:rPr>
        <w:footnoteReference w:id="540"/>
      </w:r>
      <w:r w:rsidRPr="00997EFF">
        <w:rPr>
          <w:rFonts w:cs="Arial"/>
          <w:rtl/>
        </w:rPr>
        <w:t>.</w:t>
      </w:r>
    </w:p>
    <w:p w14:paraId="38042C12" w14:textId="34F9A206" w:rsidR="00C271EC" w:rsidRDefault="00C271EC" w:rsidP="00C271EC">
      <w:pPr>
        <w:pStyle w:val="ab"/>
        <w:numPr>
          <w:ilvl w:val="0"/>
          <w:numId w:val="47"/>
        </w:numPr>
      </w:pPr>
      <w:r>
        <w:rPr>
          <w:rFonts w:cs="Arial" w:hint="cs"/>
          <w:rtl/>
        </w:rPr>
        <w:lastRenderedPageBreak/>
        <w:t xml:space="preserve">רא"ש </w:t>
      </w:r>
      <w:r>
        <w:rPr>
          <w:rFonts w:cs="Arial" w:hint="cs"/>
          <w:sz w:val="16"/>
          <w:szCs w:val="16"/>
          <w:rtl/>
        </w:rPr>
        <w:t>(פ"ב סי' יט)</w:t>
      </w:r>
      <w:r>
        <w:rPr>
          <w:rFonts w:cs="Arial" w:hint="cs"/>
          <w:rtl/>
        </w:rPr>
        <w:t xml:space="preserve"> טור ורי"ו </w:t>
      </w:r>
      <w:r w:rsidRPr="00C271EC">
        <w:rPr>
          <w:rFonts w:cs="Arial" w:hint="cs"/>
          <w:sz w:val="16"/>
          <w:szCs w:val="16"/>
          <w:rtl/>
        </w:rPr>
        <w:t>(</w:t>
      </w:r>
      <w:r w:rsidRPr="00C271EC">
        <w:rPr>
          <w:rFonts w:cs="Arial"/>
          <w:sz w:val="16"/>
          <w:szCs w:val="16"/>
          <w:rtl/>
        </w:rPr>
        <w:t>ח</w:t>
      </w:r>
      <w:r w:rsidRPr="00C271EC">
        <w:rPr>
          <w:rFonts w:cs="Arial" w:hint="cs"/>
          <w:sz w:val="16"/>
          <w:szCs w:val="16"/>
          <w:rtl/>
        </w:rPr>
        <w:t>"</w:t>
      </w:r>
      <w:r w:rsidRPr="00C271EC">
        <w:rPr>
          <w:rFonts w:cs="Arial"/>
          <w:sz w:val="16"/>
          <w:szCs w:val="16"/>
          <w:rtl/>
        </w:rPr>
        <w:t>ב נכ"ד רד ע"א)</w:t>
      </w:r>
      <w:r w:rsidR="00A82951">
        <w:rPr>
          <w:rFonts w:cs="Arial" w:hint="cs"/>
          <w:rtl/>
        </w:rPr>
        <w:t>-</w:t>
      </w:r>
      <w:r>
        <w:rPr>
          <w:rFonts w:cs="Arial" w:hint="cs"/>
          <w:rtl/>
        </w:rPr>
        <w:t xml:space="preserve"> </w:t>
      </w:r>
      <w:r w:rsidRPr="002D5E7F">
        <w:rPr>
          <w:rFonts w:cs="Arial"/>
          <w:rtl/>
        </w:rPr>
        <w:t>אין צריך שיהיו האותיות מוקפים גויל</w:t>
      </w:r>
      <w:r w:rsidR="00C8650A">
        <w:rPr>
          <w:rFonts w:cs="Arial" w:hint="cs"/>
          <w:rtl/>
        </w:rPr>
        <w:t>.</w:t>
      </w:r>
      <w:r w:rsidRPr="002D5E7F">
        <w:rPr>
          <w:rFonts w:cs="Arial"/>
          <w:rtl/>
        </w:rPr>
        <w:t xml:space="preserve"> ומ"מ נהגו להחמיר לעשות מוקף גויל</w:t>
      </w:r>
      <w:r w:rsidR="00694729">
        <w:rPr>
          <w:rStyle w:val="a7"/>
          <w:rFonts w:cs="Arial"/>
          <w:rtl/>
        </w:rPr>
        <w:footnoteReference w:id="541"/>
      </w:r>
      <w:r>
        <w:rPr>
          <w:rFonts w:cs="Arial" w:hint="cs"/>
          <w:sz w:val="16"/>
          <w:szCs w:val="16"/>
          <w:rtl/>
        </w:rPr>
        <w:t xml:space="preserve"> (ל' הטור)</w:t>
      </w:r>
      <w:r>
        <w:rPr>
          <w:rFonts w:cs="Arial" w:hint="cs"/>
          <w:rtl/>
        </w:rPr>
        <w:t>.</w:t>
      </w:r>
      <w:r w:rsidRPr="002D5E7F">
        <w:rPr>
          <w:rFonts w:cs="Arial"/>
          <w:rtl/>
        </w:rPr>
        <w:t xml:space="preserve"> </w:t>
      </w:r>
      <w:r w:rsidRPr="00C271EC">
        <w:rPr>
          <w:rFonts w:hint="cs"/>
          <w:color w:val="E36C0A" w:themeColor="accent6" w:themeShade="BF"/>
          <w:rtl/>
        </w:rPr>
        <w:t>(וכ"פ בשו"ע)</w:t>
      </w:r>
    </w:p>
    <w:p w14:paraId="18F4A2D6" w14:textId="4FE83A6D" w:rsidR="00C271EC" w:rsidRPr="00DD7488" w:rsidRDefault="00DD7488" w:rsidP="00C271EC">
      <w:pPr>
        <w:rPr>
          <w:u w:val="single"/>
        </w:rPr>
      </w:pPr>
      <w:r w:rsidRPr="00DD7488">
        <w:rPr>
          <w:rFonts w:hint="cs"/>
          <w:u w:val="single"/>
          <w:rtl/>
        </w:rPr>
        <w:t xml:space="preserve">גט שיש בו אותיות דבוקות </w:t>
      </w:r>
      <w:r w:rsidR="00A82951">
        <w:rPr>
          <w:u w:val="single"/>
          <w:rtl/>
        </w:rPr>
        <w:t>-</w:t>
      </w:r>
      <w:r w:rsidRPr="00DD7488">
        <w:rPr>
          <w:rFonts w:hint="cs"/>
          <w:u w:val="single"/>
          <w:rtl/>
        </w:rPr>
        <w:t xml:space="preserve"> האם יכול לגרר את הדיו שבניהן:</w:t>
      </w:r>
    </w:p>
    <w:p w14:paraId="22255BCB" w14:textId="448EE285" w:rsidR="00425162" w:rsidRDefault="00DD7488" w:rsidP="00425162">
      <w:pPr>
        <w:pStyle w:val="ab"/>
        <w:numPr>
          <w:ilvl w:val="0"/>
          <w:numId w:val="47"/>
        </w:numPr>
        <w:rPr>
          <w:rFonts w:cs="Arial"/>
        </w:rPr>
      </w:pPr>
      <w:r w:rsidRPr="003E2ADE">
        <w:rPr>
          <w:rFonts w:cs="Arial"/>
          <w:rtl/>
        </w:rPr>
        <w:t xml:space="preserve">מרדכי </w:t>
      </w:r>
      <w:r w:rsidRPr="00DD7488">
        <w:rPr>
          <w:rFonts w:cs="Arial"/>
          <w:sz w:val="16"/>
          <w:szCs w:val="16"/>
          <w:rtl/>
        </w:rPr>
        <w:t>(סי' שדמ)</w:t>
      </w:r>
      <w:r>
        <w:rPr>
          <w:rFonts w:cs="Arial" w:hint="cs"/>
          <w:rtl/>
        </w:rPr>
        <w:t xml:space="preserve"> </w:t>
      </w:r>
      <w:r w:rsidRPr="003E2ADE">
        <w:rPr>
          <w:rFonts w:cs="Arial"/>
          <w:rtl/>
        </w:rPr>
        <w:t xml:space="preserve">רא"ש </w:t>
      </w:r>
      <w:r w:rsidRPr="00DD7488">
        <w:rPr>
          <w:rFonts w:cs="Arial" w:hint="cs"/>
          <w:sz w:val="16"/>
          <w:szCs w:val="16"/>
          <w:rtl/>
        </w:rPr>
        <w:t>(</w:t>
      </w:r>
      <w:r w:rsidRPr="00DD7488">
        <w:rPr>
          <w:rFonts w:cs="Arial"/>
          <w:sz w:val="16"/>
          <w:szCs w:val="16"/>
          <w:rtl/>
        </w:rPr>
        <w:t>פ</w:t>
      </w:r>
      <w:r w:rsidRPr="00DD7488">
        <w:rPr>
          <w:rFonts w:cs="Arial" w:hint="cs"/>
          <w:sz w:val="16"/>
          <w:szCs w:val="16"/>
          <w:rtl/>
        </w:rPr>
        <w:t>"</w:t>
      </w:r>
      <w:r w:rsidRPr="00DD7488">
        <w:rPr>
          <w:rFonts w:cs="Arial"/>
          <w:sz w:val="16"/>
          <w:szCs w:val="16"/>
          <w:rtl/>
        </w:rPr>
        <w:t xml:space="preserve">ב דגיטין סי' יט) </w:t>
      </w:r>
      <w:r>
        <w:rPr>
          <w:rFonts w:cs="Arial" w:hint="cs"/>
          <w:rtl/>
        </w:rPr>
        <w:t>ו</w:t>
      </w:r>
      <w:r w:rsidR="00BB59B1" w:rsidRPr="00BB59B1">
        <w:rPr>
          <w:rFonts w:cs="Arial" w:hint="cs"/>
          <w:rtl/>
        </w:rPr>
        <w:t>טור</w:t>
      </w:r>
      <w:r w:rsidR="00A82951">
        <w:rPr>
          <w:rFonts w:cs="Arial" w:hint="cs"/>
          <w:rtl/>
        </w:rPr>
        <w:t>-</w:t>
      </w:r>
      <w:r w:rsidR="00BB59B1" w:rsidRPr="00BB59B1">
        <w:rPr>
          <w:rFonts w:cs="Arial" w:hint="cs"/>
          <w:rtl/>
        </w:rPr>
        <w:t xml:space="preserve"> </w:t>
      </w:r>
      <w:r w:rsidR="00BB59B1" w:rsidRPr="00BB59B1">
        <w:rPr>
          <w:rFonts w:cs="Arial"/>
          <w:rtl/>
        </w:rPr>
        <w:t>ואם יש בו אותיות דבוקים יכול לגרר הדיו שביניהן להבדילם</w:t>
      </w:r>
      <w:r>
        <w:rPr>
          <w:rStyle w:val="a7"/>
          <w:rFonts w:cs="Arial"/>
          <w:rtl/>
        </w:rPr>
        <w:footnoteReference w:id="542"/>
      </w:r>
      <w:r>
        <w:rPr>
          <w:rFonts w:cs="Arial" w:hint="cs"/>
          <w:sz w:val="16"/>
          <w:szCs w:val="16"/>
          <w:rtl/>
        </w:rPr>
        <w:t xml:space="preserve"> (ל' הטור)</w:t>
      </w:r>
      <w:r w:rsidR="003E2ADE" w:rsidRPr="00DD7488">
        <w:rPr>
          <w:rFonts w:cs="Arial"/>
          <w:rtl/>
        </w:rPr>
        <w:t xml:space="preserve">. </w:t>
      </w:r>
      <w:r w:rsidR="001C7948" w:rsidRPr="00C271EC">
        <w:rPr>
          <w:rFonts w:hint="cs"/>
          <w:color w:val="E36C0A" w:themeColor="accent6" w:themeShade="BF"/>
          <w:rtl/>
        </w:rPr>
        <w:t>(וכ"פ בשו"ע)</w:t>
      </w:r>
    </w:p>
    <w:p w14:paraId="2B2E2C4D" w14:textId="2C38E80B" w:rsidR="00285E6E" w:rsidRDefault="00285E6E" w:rsidP="00425162">
      <w:pPr>
        <w:pStyle w:val="ab"/>
        <w:numPr>
          <w:ilvl w:val="0"/>
          <w:numId w:val="47"/>
        </w:numPr>
        <w:rPr>
          <w:rFonts w:cs="Arial"/>
        </w:rPr>
      </w:pPr>
      <w:r w:rsidRPr="003E2ADE">
        <w:rPr>
          <w:rFonts w:cs="Arial"/>
          <w:rtl/>
        </w:rPr>
        <w:t>מהרי</w:t>
      </w:r>
      <w:r>
        <w:rPr>
          <w:rFonts w:cs="Arial" w:hint="cs"/>
          <w:rtl/>
        </w:rPr>
        <w:t>"ו</w:t>
      </w:r>
      <w:r w:rsidRPr="003E2ADE">
        <w:rPr>
          <w:rFonts w:cs="Arial"/>
          <w:rtl/>
        </w:rPr>
        <w:t xml:space="preserve"> </w:t>
      </w:r>
      <w:r w:rsidRPr="00285E6E">
        <w:rPr>
          <w:rFonts w:cs="Arial" w:hint="cs"/>
          <w:sz w:val="16"/>
          <w:szCs w:val="16"/>
          <w:rtl/>
        </w:rPr>
        <w:t>(</w:t>
      </w:r>
      <w:r w:rsidRPr="00285E6E">
        <w:rPr>
          <w:rFonts w:cs="Arial"/>
          <w:sz w:val="16"/>
          <w:szCs w:val="16"/>
          <w:rtl/>
        </w:rPr>
        <w:t>סי</w:t>
      </w:r>
      <w:r w:rsidRPr="00285E6E">
        <w:rPr>
          <w:rFonts w:cs="Arial" w:hint="cs"/>
          <w:sz w:val="16"/>
          <w:szCs w:val="16"/>
          <w:rtl/>
        </w:rPr>
        <w:t>'</w:t>
      </w:r>
      <w:r w:rsidRPr="00285E6E">
        <w:rPr>
          <w:rFonts w:cs="Arial"/>
          <w:sz w:val="16"/>
          <w:szCs w:val="16"/>
          <w:rtl/>
        </w:rPr>
        <w:t xml:space="preserve"> כז</w:t>
      </w:r>
      <w:r>
        <w:rPr>
          <w:rFonts w:cs="Arial" w:hint="cs"/>
          <w:sz w:val="16"/>
          <w:szCs w:val="16"/>
          <w:rtl/>
        </w:rPr>
        <w:t>, כ"כ הדרכ"מ [אות ד] בשמו</w:t>
      </w:r>
      <w:r w:rsidRPr="00285E6E">
        <w:rPr>
          <w:rFonts w:cs="Arial" w:hint="cs"/>
          <w:sz w:val="16"/>
          <w:szCs w:val="16"/>
          <w:rtl/>
        </w:rPr>
        <w:t>)</w:t>
      </w:r>
      <w:r w:rsidR="00A82951">
        <w:rPr>
          <w:rFonts w:cs="Arial" w:hint="cs"/>
          <w:rtl/>
        </w:rPr>
        <w:t>-</w:t>
      </w:r>
      <w:r w:rsidRPr="003E2ADE">
        <w:rPr>
          <w:rFonts w:cs="Arial"/>
          <w:rtl/>
        </w:rPr>
        <w:t xml:space="preserve"> אם הוא בדבר שנשתנה הלשון ממשמעותו והוא בתורף </w:t>
      </w:r>
      <w:r w:rsidR="00A82951">
        <w:rPr>
          <w:rFonts w:cs="Arial" w:hint="cs"/>
          <w:rtl/>
        </w:rPr>
        <w:t>-</w:t>
      </w:r>
      <w:r>
        <w:rPr>
          <w:rFonts w:cs="Arial" w:hint="cs"/>
          <w:rtl/>
        </w:rPr>
        <w:t xml:space="preserve"> </w:t>
      </w:r>
      <w:r w:rsidRPr="003E2ADE">
        <w:rPr>
          <w:rFonts w:cs="Arial"/>
          <w:rtl/>
        </w:rPr>
        <w:t>נפסל הגט בדיעבד בכה</w:t>
      </w:r>
      <w:r>
        <w:rPr>
          <w:rFonts w:cs="Arial" w:hint="cs"/>
          <w:rtl/>
        </w:rPr>
        <w:t>"</w:t>
      </w:r>
      <w:r w:rsidRPr="003E2ADE">
        <w:rPr>
          <w:rFonts w:cs="Arial"/>
          <w:rtl/>
        </w:rPr>
        <w:t>ג</w:t>
      </w:r>
      <w:r>
        <w:rPr>
          <w:rFonts w:cs="Arial" w:hint="cs"/>
          <w:rtl/>
        </w:rPr>
        <w:t>.</w:t>
      </w:r>
    </w:p>
    <w:p w14:paraId="1017617E" w14:textId="168044BC" w:rsidR="00554726" w:rsidRPr="001C7948" w:rsidRDefault="00554726" w:rsidP="001C7948">
      <w:pPr>
        <w:pStyle w:val="ab"/>
        <w:numPr>
          <w:ilvl w:val="0"/>
          <w:numId w:val="47"/>
        </w:numPr>
        <w:rPr>
          <w:rFonts w:cs="Arial"/>
        </w:rPr>
      </w:pPr>
      <w:r w:rsidRPr="003E2ADE">
        <w:rPr>
          <w:rFonts w:cs="Arial"/>
          <w:rtl/>
        </w:rPr>
        <w:t xml:space="preserve">סדר גיטין </w:t>
      </w:r>
      <w:r w:rsidRPr="00554726">
        <w:rPr>
          <w:rFonts w:cs="Arial" w:hint="cs"/>
          <w:sz w:val="16"/>
          <w:szCs w:val="16"/>
          <w:rtl/>
        </w:rPr>
        <w:t>(</w:t>
      </w:r>
      <w:r w:rsidRPr="00554726">
        <w:rPr>
          <w:rFonts w:cs="Arial"/>
          <w:sz w:val="16"/>
          <w:szCs w:val="16"/>
          <w:rtl/>
        </w:rPr>
        <w:t>סי</w:t>
      </w:r>
      <w:r w:rsidRPr="00554726">
        <w:rPr>
          <w:rFonts w:cs="Arial" w:hint="cs"/>
          <w:sz w:val="16"/>
          <w:szCs w:val="16"/>
          <w:rtl/>
        </w:rPr>
        <w:t>'</w:t>
      </w:r>
      <w:r w:rsidRPr="00554726">
        <w:rPr>
          <w:rFonts w:cs="Arial"/>
          <w:sz w:val="16"/>
          <w:szCs w:val="16"/>
          <w:rtl/>
        </w:rPr>
        <w:t xml:space="preserve"> י סע</w:t>
      </w:r>
      <w:r w:rsidRPr="00554726">
        <w:rPr>
          <w:rFonts w:cs="Arial" w:hint="cs"/>
          <w:sz w:val="16"/>
          <w:szCs w:val="16"/>
          <w:rtl/>
        </w:rPr>
        <w:t>'</w:t>
      </w:r>
      <w:r w:rsidRPr="00554726">
        <w:rPr>
          <w:rFonts w:cs="Arial"/>
          <w:sz w:val="16"/>
          <w:szCs w:val="16"/>
          <w:rtl/>
        </w:rPr>
        <w:t xml:space="preserve"> א)</w:t>
      </w:r>
      <w:r w:rsidR="00A82951">
        <w:rPr>
          <w:rFonts w:cs="Arial" w:hint="cs"/>
          <w:rtl/>
        </w:rPr>
        <w:t>-</w:t>
      </w:r>
      <w:r w:rsidRPr="003E2ADE">
        <w:rPr>
          <w:rFonts w:cs="Arial"/>
          <w:rtl/>
        </w:rPr>
        <w:t xml:space="preserve"> אין להפריד האותיות כשהן דבוקות</w:t>
      </w:r>
      <w:r>
        <w:rPr>
          <w:rFonts w:cs="Arial" w:hint="cs"/>
          <w:rtl/>
        </w:rPr>
        <w:t>.</w:t>
      </w:r>
      <w:r w:rsidRPr="003E2ADE">
        <w:rPr>
          <w:rFonts w:cs="Arial"/>
          <w:rtl/>
        </w:rPr>
        <w:t xml:space="preserve"> </w:t>
      </w:r>
      <w:r w:rsidR="00884180" w:rsidRPr="00B62357">
        <w:rPr>
          <w:rFonts w:cs="Arial" w:hint="cs"/>
          <w:color w:val="00B0F0"/>
          <w:rtl/>
        </w:rPr>
        <w:t>(וכ"</w:t>
      </w:r>
      <w:r w:rsidR="00884180">
        <w:rPr>
          <w:rFonts w:cs="Arial" w:hint="cs"/>
          <w:color w:val="00B0F0"/>
          <w:rtl/>
        </w:rPr>
        <w:t>פ</w:t>
      </w:r>
      <w:r w:rsidR="00884180" w:rsidRPr="00B62357">
        <w:rPr>
          <w:rFonts w:cs="Arial" w:hint="cs"/>
          <w:color w:val="00B0F0"/>
          <w:rtl/>
        </w:rPr>
        <w:t xml:space="preserve"> הרמ"א)</w:t>
      </w:r>
    </w:p>
    <w:p w14:paraId="2C5DEA08" w14:textId="181B33ED" w:rsidR="00425162" w:rsidRPr="00425162" w:rsidRDefault="00285E6E" w:rsidP="00425162">
      <w:pPr>
        <w:ind w:left="360"/>
        <w:rPr>
          <w:rFonts w:cs="Arial"/>
          <w:u w:val="dotted"/>
        </w:rPr>
      </w:pPr>
      <w:r>
        <w:rPr>
          <w:rFonts w:cs="Arial" w:hint="cs"/>
          <w:u w:val="dotted"/>
          <w:rtl/>
        </w:rPr>
        <w:t xml:space="preserve">לרא"ש וסיעתו </w:t>
      </w:r>
      <w:r w:rsidR="00A82951">
        <w:rPr>
          <w:rFonts w:cs="Arial" w:hint="cs"/>
          <w:u w:val="dotted"/>
          <w:rtl/>
        </w:rPr>
        <w:t>-</w:t>
      </w:r>
      <w:r>
        <w:rPr>
          <w:rFonts w:cs="Arial" w:hint="cs"/>
          <w:u w:val="dotted"/>
          <w:rtl/>
        </w:rPr>
        <w:t xml:space="preserve"> </w:t>
      </w:r>
      <w:r w:rsidR="00425162" w:rsidRPr="00425162">
        <w:rPr>
          <w:rFonts w:cs="Arial" w:hint="cs"/>
          <w:u w:val="dotted"/>
          <w:rtl/>
        </w:rPr>
        <w:t>האם עדיף לכתוב גט אחר או שבגרירה שרי בכל אופן:</w:t>
      </w:r>
    </w:p>
    <w:p w14:paraId="19F0E7F6" w14:textId="5A67111C" w:rsidR="00425162" w:rsidRPr="008F1E8B" w:rsidRDefault="003E2ADE" w:rsidP="008F1E8B">
      <w:pPr>
        <w:pStyle w:val="ab"/>
        <w:numPr>
          <w:ilvl w:val="0"/>
          <w:numId w:val="47"/>
        </w:numPr>
        <w:rPr>
          <w:rFonts w:cs="Arial"/>
        </w:rPr>
      </w:pPr>
      <w:r w:rsidRPr="00425162">
        <w:rPr>
          <w:rFonts w:cs="Arial"/>
          <w:rtl/>
        </w:rPr>
        <w:t xml:space="preserve">רא"ש </w:t>
      </w:r>
      <w:r w:rsidRPr="00425162">
        <w:rPr>
          <w:rFonts w:cs="Arial"/>
          <w:sz w:val="16"/>
          <w:szCs w:val="16"/>
          <w:rtl/>
        </w:rPr>
        <w:t>(</w:t>
      </w:r>
      <w:r w:rsidR="00425162" w:rsidRPr="00425162">
        <w:rPr>
          <w:rFonts w:cs="Arial" w:hint="cs"/>
          <w:sz w:val="16"/>
          <w:szCs w:val="16"/>
          <w:rtl/>
        </w:rPr>
        <w:t>כלל מה סי' יג</w:t>
      </w:r>
      <w:r w:rsidRPr="00425162">
        <w:rPr>
          <w:rFonts w:cs="Arial"/>
          <w:sz w:val="16"/>
          <w:szCs w:val="16"/>
          <w:rtl/>
        </w:rPr>
        <w:t>)</w:t>
      </w:r>
      <w:r w:rsidR="00A82951">
        <w:rPr>
          <w:rFonts w:cs="Arial" w:hint="cs"/>
          <w:rtl/>
        </w:rPr>
        <w:t>-</w:t>
      </w:r>
      <w:r w:rsidRPr="00425162">
        <w:rPr>
          <w:rFonts w:cs="Arial"/>
          <w:rtl/>
        </w:rPr>
        <w:t xml:space="preserve"> </w:t>
      </w:r>
      <w:r w:rsidR="00285E6E" w:rsidRPr="00285E6E">
        <w:rPr>
          <w:rFonts w:cs="Arial"/>
          <w:rtl/>
        </w:rPr>
        <w:t xml:space="preserve">וגט שאינו משורטט בי"ב שיטות או שלא נכתב בכתיבה אשורית מרובעת או שדבוקות האותיות </w:t>
      </w:r>
      <w:r w:rsidR="00A870F3">
        <w:rPr>
          <w:rFonts w:cs="Arial" w:hint="cs"/>
          <w:rtl/>
        </w:rPr>
        <w:t xml:space="preserve">- </w:t>
      </w:r>
      <w:r w:rsidR="00285E6E" w:rsidRPr="00285E6E">
        <w:rPr>
          <w:rFonts w:cs="Arial"/>
          <w:rtl/>
        </w:rPr>
        <w:t>פוסלין בארצנו, וכך היו עושין בצרפת</w:t>
      </w:r>
      <w:r w:rsidR="00A870F3">
        <w:rPr>
          <w:rFonts w:cs="Arial" w:hint="cs"/>
          <w:rtl/>
        </w:rPr>
        <w:t>.</w:t>
      </w:r>
      <w:r w:rsidR="00285E6E" w:rsidRPr="00285E6E">
        <w:rPr>
          <w:rFonts w:cs="Arial"/>
          <w:rtl/>
        </w:rPr>
        <w:t xml:space="preserve"> אבל במקום עיגון שבא מארץ רחוקה ואין שיירות מצויות להביא אחר לא הייתי פוסלו</w:t>
      </w:r>
      <w:r w:rsidR="00425162">
        <w:rPr>
          <w:rStyle w:val="a7"/>
          <w:rFonts w:cs="Arial"/>
          <w:rtl/>
        </w:rPr>
        <w:footnoteReference w:id="543"/>
      </w:r>
      <w:r w:rsidRPr="008F1E8B">
        <w:rPr>
          <w:rFonts w:cs="Arial"/>
          <w:rtl/>
        </w:rPr>
        <w:t xml:space="preserve">. </w:t>
      </w:r>
    </w:p>
    <w:p w14:paraId="3793DF1B" w14:textId="00315CCC" w:rsidR="00AF4AED" w:rsidRPr="001C7948" w:rsidRDefault="00554726" w:rsidP="001C7948">
      <w:pPr>
        <w:pStyle w:val="ab"/>
        <w:numPr>
          <w:ilvl w:val="0"/>
          <w:numId w:val="47"/>
        </w:numPr>
        <w:rPr>
          <w:rFonts w:cs="Arial"/>
          <w:rtl/>
        </w:rPr>
      </w:pPr>
      <w:r w:rsidRPr="003E2ADE">
        <w:rPr>
          <w:rFonts w:cs="Arial"/>
          <w:rtl/>
        </w:rPr>
        <w:t xml:space="preserve">מהר"ם פאדו"ה </w:t>
      </w:r>
      <w:r w:rsidRPr="00554726">
        <w:rPr>
          <w:rFonts w:cs="Arial"/>
          <w:sz w:val="16"/>
          <w:szCs w:val="16"/>
          <w:rtl/>
        </w:rPr>
        <w:t>(סי' קכד)</w:t>
      </w:r>
      <w:r w:rsidR="00A82951">
        <w:rPr>
          <w:rFonts w:cs="Arial" w:hint="cs"/>
          <w:rtl/>
        </w:rPr>
        <w:t>-</w:t>
      </w:r>
      <w:r w:rsidRPr="003E2ADE">
        <w:rPr>
          <w:rFonts w:cs="Arial"/>
          <w:rtl/>
        </w:rPr>
        <w:t xml:space="preserve"> פעם אחד נגע א' למטה בכ' וצ</w:t>
      </w:r>
      <w:r w:rsidR="001C7948">
        <w:rPr>
          <w:rFonts w:cs="Arial" w:hint="cs"/>
          <w:rtl/>
        </w:rPr>
        <w:t>יותי</w:t>
      </w:r>
      <w:r w:rsidRPr="003E2ADE">
        <w:rPr>
          <w:rFonts w:cs="Arial"/>
          <w:rtl/>
        </w:rPr>
        <w:t xml:space="preserve"> להפרידן קודם שיחתמו העדים</w:t>
      </w:r>
      <w:r>
        <w:rPr>
          <w:rStyle w:val="a7"/>
          <w:rFonts w:cs="Arial"/>
          <w:rtl/>
        </w:rPr>
        <w:footnoteReference w:id="544"/>
      </w:r>
      <w:r w:rsidRPr="003E2ADE">
        <w:rPr>
          <w:rFonts w:cs="Arial"/>
          <w:rtl/>
        </w:rPr>
        <w:t>.</w:t>
      </w:r>
      <w:r w:rsidR="00B62357">
        <w:rPr>
          <w:rFonts w:cs="Arial" w:hint="cs"/>
          <w:rtl/>
        </w:rPr>
        <w:t xml:space="preserve"> </w:t>
      </w:r>
      <w:r w:rsidR="00B62357" w:rsidRPr="00B62357">
        <w:rPr>
          <w:rFonts w:cs="Arial" w:hint="cs"/>
          <w:color w:val="00B0F0"/>
          <w:rtl/>
        </w:rPr>
        <w:t>(וכ"כ הרמ"א</w:t>
      </w:r>
      <w:r w:rsidR="00B62357" w:rsidRPr="00B62357">
        <w:rPr>
          <w:rFonts w:cs="Arial" w:hint="cs"/>
          <w:color w:val="00B0F0"/>
          <w:sz w:val="16"/>
          <w:szCs w:val="16"/>
          <w:rtl/>
        </w:rPr>
        <w:t xml:space="preserve"> </w:t>
      </w:r>
      <w:r w:rsidR="00B62357">
        <w:rPr>
          <w:rFonts w:cs="Arial" w:hint="cs"/>
          <w:sz w:val="16"/>
          <w:szCs w:val="16"/>
          <w:rtl/>
        </w:rPr>
        <w:t>[סע' יב]</w:t>
      </w:r>
      <w:r w:rsidR="00B62357" w:rsidRPr="00B62357">
        <w:rPr>
          <w:rFonts w:cs="Arial" w:hint="cs"/>
          <w:color w:val="00B0F0"/>
          <w:rtl/>
        </w:rPr>
        <w:t>)</w:t>
      </w:r>
    </w:p>
    <w:p w14:paraId="43B6E985"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888A46D" w14:textId="51D99CD7" w:rsidR="0040280A" w:rsidRDefault="00C77C34" w:rsidP="0040280A">
      <w:pPr>
        <w:rPr>
          <w:rFonts w:cs="Arial"/>
          <w:sz w:val="18"/>
          <w:szCs w:val="18"/>
          <w:rtl/>
        </w:rPr>
      </w:pPr>
      <w:r w:rsidRPr="00C77C34">
        <w:rPr>
          <w:rFonts w:cs="Arial"/>
          <w:rtl/>
        </w:rPr>
        <w:t>נהגו להחמיר שיהיו האותיות מוקפות גויל</w:t>
      </w:r>
      <w:r w:rsidR="00B463CA">
        <w:rPr>
          <w:rStyle w:val="a7"/>
          <w:rFonts w:cs="Arial"/>
          <w:rtl/>
        </w:rPr>
        <w:footnoteReference w:id="545"/>
      </w:r>
      <w:r w:rsidR="00881CF4">
        <w:rPr>
          <w:rFonts w:cs="Arial" w:hint="cs"/>
          <w:rtl/>
        </w:rPr>
        <w:t>.</w:t>
      </w:r>
      <w:r w:rsidRPr="00C77C34">
        <w:rPr>
          <w:rFonts w:cs="Arial"/>
          <w:rtl/>
        </w:rPr>
        <w:t xml:space="preserve"> ואם יש בו אותיות דבוקות יגרור ביניהם להפרידם</w:t>
      </w:r>
      <w:r w:rsidR="00B463CA">
        <w:rPr>
          <w:rStyle w:val="a7"/>
          <w:rFonts w:cs="Arial"/>
          <w:rtl/>
        </w:rPr>
        <w:footnoteReference w:id="546"/>
      </w:r>
      <w:r w:rsidRPr="00C77C34">
        <w:rPr>
          <w:rFonts w:cs="Arial"/>
          <w:rtl/>
        </w:rPr>
        <w:t xml:space="preserve">. </w:t>
      </w:r>
      <w:r w:rsidRPr="00AF4AED">
        <w:rPr>
          <w:rFonts w:cs="Arial"/>
          <w:sz w:val="18"/>
          <w:szCs w:val="18"/>
          <w:rtl/>
        </w:rPr>
        <w:t>הגה: וי"א דאין להפריד האותיות אם נוגעים</w:t>
      </w:r>
      <w:r w:rsidR="00A738C0">
        <w:rPr>
          <w:rStyle w:val="a7"/>
          <w:rFonts w:cs="Arial"/>
          <w:sz w:val="18"/>
          <w:szCs w:val="18"/>
          <w:rtl/>
        </w:rPr>
        <w:footnoteReference w:id="547"/>
      </w:r>
      <w:r w:rsidRPr="00AF4AED">
        <w:rPr>
          <w:rFonts w:cs="Arial"/>
          <w:sz w:val="18"/>
          <w:szCs w:val="18"/>
          <w:rtl/>
        </w:rPr>
        <w:t xml:space="preserve"> (כן הוא בסדר גיטין), וכן נוהגין. ויש מקילין בשעת הדחק</w:t>
      </w:r>
      <w:r w:rsidR="00473EF0">
        <w:rPr>
          <w:rStyle w:val="a7"/>
          <w:rFonts w:cs="Arial"/>
          <w:sz w:val="18"/>
          <w:szCs w:val="18"/>
          <w:rtl/>
        </w:rPr>
        <w:footnoteReference w:id="548"/>
      </w:r>
      <w:r w:rsidRPr="00AF4AED">
        <w:rPr>
          <w:rFonts w:cs="Arial"/>
          <w:sz w:val="18"/>
          <w:szCs w:val="18"/>
          <w:rtl/>
        </w:rPr>
        <w:t xml:space="preserve"> (תשובת הרא"ש) לתקן קודם שיחתמו העדים (מהר</w:t>
      </w:r>
      <w:r w:rsidR="00884180">
        <w:rPr>
          <w:rFonts w:cs="Arial" w:hint="cs"/>
          <w:sz w:val="18"/>
          <w:szCs w:val="18"/>
          <w:rtl/>
        </w:rPr>
        <w:t>"ם</w:t>
      </w:r>
      <w:r w:rsidRPr="00AF4AED">
        <w:rPr>
          <w:rFonts w:cs="Arial"/>
          <w:sz w:val="18"/>
          <w:szCs w:val="18"/>
          <w:rtl/>
        </w:rPr>
        <w:t xml:space="preserve"> פאדו</w:t>
      </w:r>
      <w:r w:rsidR="00884180">
        <w:rPr>
          <w:rFonts w:cs="Arial" w:hint="cs"/>
          <w:sz w:val="18"/>
          <w:szCs w:val="18"/>
          <w:rtl/>
        </w:rPr>
        <w:t>ו"</w:t>
      </w:r>
      <w:r w:rsidRPr="00AF4AED">
        <w:rPr>
          <w:rFonts w:cs="Arial"/>
          <w:sz w:val="18"/>
          <w:szCs w:val="18"/>
          <w:rtl/>
        </w:rPr>
        <w:t xml:space="preserve">ה) כשהבעל מצוה לתקן (ב"י לדעת הרא"ש). </w:t>
      </w:r>
    </w:p>
    <w:p w14:paraId="68FFA16C" w14:textId="42CBE2E6" w:rsidR="0040280A" w:rsidRPr="007721F0" w:rsidRDefault="0040280A" w:rsidP="0040280A">
      <w:pPr>
        <w:rPr>
          <w:rFonts w:cs="Arial"/>
          <w:sz w:val="16"/>
          <w:szCs w:val="16"/>
          <w:rtl/>
        </w:rPr>
      </w:pPr>
      <w:r w:rsidRPr="0040280A">
        <w:rPr>
          <w:rFonts w:cs="Arial" w:hint="cs"/>
          <w:u w:val="single"/>
          <w:rtl/>
        </w:rPr>
        <w:lastRenderedPageBreak/>
        <w:t>דיבוק בטופס הגט ואין תינוק יכול לקרותו:</w:t>
      </w:r>
      <w:r w:rsidR="007721F0">
        <w:rPr>
          <w:rFonts w:cs="Arial" w:hint="cs"/>
          <w:sz w:val="16"/>
          <w:szCs w:val="16"/>
          <w:rtl/>
        </w:rPr>
        <w:t xml:space="preserve">  (פת"ש סק"ז)</w:t>
      </w:r>
    </w:p>
    <w:p w14:paraId="68609C2E" w14:textId="2531514E" w:rsidR="0040280A" w:rsidRDefault="0040280A" w:rsidP="0040280A">
      <w:pPr>
        <w:pStyle w:val="ab"/>
        <w:numPr>
          <w:ilvl w:val="0"/>
          <w:numId w:val="46"/>
        </w:numPr>
        <w:rPr>
          <w:rFonts w:cs="Arial"/>
        </w:rPr>
      </w:pPr>
      <w:r w:rsidRPr="0040280A">
        <w:rPr>
          <w:rFonts w:cs="Arial"/>
          <w:rtl/>
        </w:rPr>
        <w:t>מהר"ם לובלין</w:t>
      </w:r>
      <w:r w:rsidRPr="0040280A">
        <w:rPr>
          <w:rFonts w:cs="Arial"/>
          <w:sz w:val="16"/>
          <w:szCs w:val="16"/>
          <w:rtl/>
        </w:rPr>
        <w:t xml:space="preserve"> </w:t>
      </w:r>
      <w:r w:rsidRPr="0040280A">
        <w:rPr>
          <w:rFonts w:cs="Arial" w:hint="cs"/>
          <w:sz w:val="16"/>
          <w:szCs w:val="16"/>
          <w:rtl/>
        </w:rPr>
        <w:t>(</w:t>
      </w:r>
      <w:r w:rsidRPr="0040280A">
        <w:rPr>
          <w:rFonts w:cs="Arial"/>
          <w:sz w:val="16"/>
          <w:szCs w:val="16"/>
          <w:rtl/>
        </w:rPr>
        <w:t>סי' קא</w:t>
      </w:r>
      <w:r w:rsidRPr="0040280A">
        <w:rPr>
          <w:rFonts w:cs="Arial" w:hint="cs"/>
          <w:sz w:val="16"/>
          <w:szCs w:val="16"/>
          <w:rtl/>
        </w:rPr>
        <w:t>)</w:t>
      </w:r>
      <w:r w:rsidR="00A82951">
        <w:rPr>
          <w:rFonts w:cs="Arial" w:hint="cs"/>
          <w:rtl/>
        </w:rPr>
        <w:t>-</w:t>
      </w:r>
      <w:r w:rsidRPr="0040280A">
        <w:rPr>
          <w:rFonts w:cs="Arial"/>
          <w:rtl/>
        </w:rPr>
        <w:t xml:space="preserve"> אודות הגט שניתן כבר ונמצא בו דבקות אותיות ד' בה' מתיבת דהוית</w:t>
      </w:r>
      <w:r>
        <w:rPr>
          <w:rFonts w:cs="Arial" w:hint="cs"/>
          <w:rtl/>
        </w:rPr>
        <w:t>...</w:t>
      </w:r>
      <w:r w:rsidRPr="0040280A">
        <w:rPr>
          <w:rFonts w:cs="Arial"/>
          <w:rtl/>
        </w:rPr>
        <w:t xml:space="preserve"> מאחר דרוב הפוסקים מכשירים אחר הנתינה א"צ להחמיר לחוש לסברת הא"ז וראבי"ה שהובא בסדר גט דהר"י מינץ </w:t>
      </w:r>
      <w:r w:rsidR="006F51F6">
        <w:rPr>
          <w:rFonts w:cs="Arial" w:hint="cs"/>
          <w:rtl/>
        </w:rPr>
        <w:t>(</w:t>
      </w:r>
      <w:r w:rsidRPr="0040280A">
        <w:rPr>
          <w:rFonts w:cs="Arial"/>
          <w:rtl/>
        </w:rPr>
        <w:t>סי' פח</w:t>
      </w:r>
      <w:r w:rsidR="006F51F6">
        <w:rPr>
          <w:rFonts w:cs="Arial" w:hint="cs"/>
          <w:rtl/>
        </w:rPr>
        <w:t>)</w:t>
      </w:r>
      <w:r w:rsidRPr="0040280A">
        <w:rPr>
          <w:rFonts w:cs="Arial"/>
          <w:rtl/>
        </w:rPr>
        <w:t xml:space="preserve"> דמבואר שם דפסול גם אחר הנתינה</w:t>
      </w:r>
      <w:r>
        <w:rPr>
          <w:rFonts w:cs="Arial" w:hint="cs"/>
          <w:rtl/>
        </w:rPr>
        <w:t>,</w:t>
      </w:r>
      <w:r w:rsidRPr="0040280A">
        <w:rPr>
          <w:rFonts w:cs="Arial"/>
          <w:rtl/>
        </w:rPr>
        <w:t xml:space="preserve"> כי הם מיעוטא דמיעוטא נגד רוב הפוסקים כו'</w:t>
      </w:r>
      <w:r>
        <w:rPr>
          <w:rFonts w:cs="Arial" w:hint="cs"/>
          <w:rtl/>
        </w:rPr>
        <w:t>,</w:t>
      </w:r>
      <w:r w:rsidRPr="0040280A">
        <w:rPr>
          <w:rFonts w:cs="Arial"/>
          <w:rtl/>
        </w:rPr>
        <w:t xml:space="preserve"> אך בתנאי דתינוק דל</w:t>
      </w:r>
      <w:r w:rsidR="006F51F6">
        <w:rPr>
          <w:rFonts w:cs="Arial" w:hint="cs"/>
          <w:rtl/>
        </w:rPr>
        <w:t xml:space="preserve">א </w:t>
      </w:r>
      <w:r w:rsidRPr="0040280A">
        <w:rPr>
          <w:rFonts w:cs="Arial"/>
          <w:rtl/>
        </w:rPr>
        <w:t>ח</w:t>
      </w:r>
      <w:r w:rsidR="006F51F6">
        <w:rPr>
          <w:rFonts w:cs="Arial" w:hint="cs"/>
          <w:rtl/>
        </w:rPr>
        <w:t>כים</w:t>
      </w:r>
      <w:r w:rsidRPr="0040280A">
        <w:rPr>
          <w:rFonts w:cs="Arial"/>
          <w:rtl/>
        </w:rPr>
        <w:t xml:space="preserve"> ול</w:t>
      </w:r>
      <w:r w:rsidR="006F51F6">
        <w:rPr>
          <w:rFonts w:cs="Arial" w:hint="cs"/>
          <w:rtl/>
        </w:rPr>
        <w:t xml:space="preserve">א </w:t>
      </w:r>
      <w:r w:rsidRPr="0040280A">
        <w:rPr>
          <w:rFonts w:cs="Arial"/>
          <w:rtl/>
        </w:rPr>
        <w:t>ט</w:t>
      </w:r>
      <w:r w:rsidR="006F51F6">
        <w:rPr>
          <w:rFonts w:cs="Arial" w:hint="cs"/>
          <w:rtl/>
        </w:rPr>
        <w:t>יפש</w:t>
      </w:r>
      <w:r w:rsidRPr="0040280A">
        <w:rPr>
          <w:rFonts w:cs="Arial"/>
          <w:rtl/>
        </w:rPr>
        <w:t xml:space="preserve"> קורא אותו</w:t>
      </w:r>
      <w:r w:rsidR="006F51F6">
        <w:rPr>
          <w:rFonts w:cs="Arial" w:hint="cs"/>
          <w:rtl/>
        </w:rPr>
        <w:t>,</w:t>
      </w:r>
      <w:r w:rsidRPr="0040280A">
        <w:rPr>
          <w:rFonts w:cs="Arial"/>
          <w:rtl/>
        </w:rPr>
        <w:t xml:space="preserve"> שאם אינו קורא אותו פשיטא שיש להצריך גט אחר ופסול הוא</w:t>
      </w:r>
      <w:r>
        <w:rPr>
          <w:rFonts w:cs="Arial" w:hint="cs"/>
          <w:rtl/>
        </w:rPr>
        <w:t>.</w:t>
      </w:r>
    </w:p>
    <w:p w14:paraId="22517075" w14:textId="453EF723" w:rsidR="00694729" w:rsidRDefault="0040280A" w:rsidP="0040280A">
      <w:pPr>
        <w:pStyle w:val="ab"/>
        <w:numPr>
          <w:ilvl w:val="0"/>
          <w:numId w:val="46"/>
        </w:numPr>
        <w:rPr>
          <w:rFonts w:cs="Arial"/>
        </w:rPr>
      </w:pPr>
      <w:r w:rsidRPr="0040280A">
        <w:rPr>
          <w:rFonts w:cs="Arial"/>
          <w:rtl/>
        </w:rPr>
        <w:t xml:space="preserve">ג"פ </w:t>
      </w:r>
      <w:r w:rsidRPr="0040280A">
        <w:rPr>
          <w:rFonts w:cs="Arial" w:hint="cs"/>
          <w:sz w:val="16"/>
          <w:szCs w:val="16"/>
          <w:rtl/>
        </w:rPr>
        <w:t>(</w:t>
      </w:r>
      <w:r w:rsidRPr="0040280A">
        <w:rPr>
          <w:rFonts w:cs="Arial"/>
          <w:sz w:val="16"/>
          <w:szCs w:val="16"/>
          <w:rtl/>
        </w:rPr>
        <w:t>סקכ"א</w:t>
      </w:r>
      <w:r w:rsidRPr="0040280A">
        <w:rPr>
          <w:rFonts w:cs="Arial" w:hint="cs"/>
          <w:sz w:val="16"/>
          <w:szCs w:val="16"/>
          <w:rtl/>
        </w:rPr>
        <w:t>)</w:t>
      </w:r>
      <w:r w:rsidR="00A82951">
        <w:rPr>
          <w:rFonts w:cs="Arial" w:hint="cs"/>
          <w:rtl/>
        </w:rPr>
        <w:t>-</w:t>
      </w:r>
      <w:r w:rsidRPr="0040280A">
        <w:rPr>
          <w:rFonts w:cs="Arial"/>
          <w:rtl/>
        </w:rPr>
        <w:t xml:space="preserve"> </w:t>
      </w:r>
      <w:r>
        <w:rPr>
          <w:rFonts w:cs="Arial" w:hint="cs"/>
          <w:rtl/>
        </w:rPr>
        <w:t>י</w:t>
      </w:r>
      <w:r w:rsidRPr="0040280A">
        <w:rPr>
          <w:rFonts w:cs="Arial"/>
          <w:rtl/>
        </w:rPr>
        <w:t>ש</w:t>
      </w:r>
      <w:r>
        <w:rPr>
          <w:rFonts w:cs="Arial" w:hint="cs"/>
          <w:rtl/>
        </w:rPr>
        <w:t xml:space="preserve"> ל</w:t>
      </w:r>
      <w:r w:rsidRPr="0040280A">
        <w:rPr>
          <w:rFonts w:cs="Arial"/>
          <w:rtl/>
        </w:rPr>
        <w:t>תמ</w:t>
      </w:r>
      <w:r>
        <w:rPr>
          <w:rFonts w:cs="Arial" w:hint="cs"/>
          <w:rtl/>
        </w:rPr>
        <w:t>ו</w:t>
      </w:r>
      <w:r w:rsidRPr="0040280A">
        <w:rPr>
          <w:rFonts w:cs="Arial"/>
          <w:rtl/>
        </w:rPr>
        <w:t>ה על</w:t>
      </w:r>
      <w:r>
        <w:rPr>
          <w:rFonts w:cs="Arial" w:hint="cs"/>
          <w:rtl/>
        </w:rPr>
        <w:t xml:space="preserve"> דברי מהר"ם מלובלין</w:t>
      </w:r>
      <w:r w:rsidRPr="0040280A">
        <w:rPr>
          <w:rFonts w:cs="Arial"/>
          <w:rtl/>
        </w:rPr>
        <w:t xml:space="preserve"> דהא תיבת דהוית היא מן הטופס ואפילו דילג תיבה זו לגמרי לא שינה משמעות הגירושין ולא איכפת לן בדיעבד אחר נתינה כמ"ש בסי' קכ"ו סעיף מ"ט (ושם בסעיף ל"ה בהגה)</w:t>
      </w:r>
      <w:r w:rsidR="006F51F6">
        <w:rPr>
          <w:rFonts w:cs="Arial" w:hint="cs"/>
          <w:rtl/>
        </w:rPr>
        <w:t>,</w:t>
      </w:r>
      <w:r w:rsidRPr="0040280A">
        <w:rPr>
          <w:rFonts w:cs="Arial"/>
          <w:rtl/>
        </w:rPr>
        <w:t xml:space="preserve"> כ"ש דאין לפוסלו אחר נתינה משום דיבוק אע</w:t>
      </w:r>
      <w:r w:rsidR="006F51F6">
        <w:rPr>
          <w:rFonts w:cs="Arial" w:hint="cs"/>
          <w:rtl/>
        </w:rPr>
        <w:t>"</w:t>
      </w:r>
      <w:r w:rsidRPr="0040280A">
        <w:rPr>
          <w:rFonts w:cs="Arial"/>
          <w:rtl/>
        </w:rPr>
        <w:t>ג דתינוק אינו יכול לקרותה</w:t>
      </w:r>
      <w:r w:rsidR="00694729">
        <w:rPr>
          <w:rFonts w:cs="Arial" w:hint="cs"/>
          <w:rtl/>
        </w:rPr>
        <w:t>.</w:t>
      </w:r>
      <w:r w:rsidRPr="0040280A">
        <w:rPr>
          <w:rFonts w:cs="Arial"/>
          <w:rtl/>
        </w:rPr>
        <w:t xml:space="preserve"> </w:t>
      </w:r>
    </w:p>
    <w:p w14:paraId="158D96F8" w14:textId="21E2A7B4" w:rsidR="00694729" w:rsidRPr="00694729" w:rsidRDefault="007721F0" w:rsidP="00694729">
      <w:pPr>
        <w:rPr>
          <w:rFonts w:cs="Arial"/>
        </w:rPr>
      </w:pPr>
      <w:r w:rsidRPr="007721F0">
        <w:rPr>
          <w:rFonts w:cs="Arial" w:hint="cs"/>
          <w:u w:val="single"/>
          <w:rtl/>
        </w:rPr>
        <w:t xml:space="preserve">גט שנפל למים והאותיות עדיין ניכרות אך יש סביבן </w:t>
      </w:r>
      <w:r>
        <w:rPr>
          <w:rFonts w:cs="Arial" w:hint="cs"/>
          <w:u w:val="single"/>
          <w:rtl/>
        </w:rPr>
        <w:t xml:space="preserve">כמין </w:t>
      </w:r>
      <w:r w:rsidRPr="007721F0">
        <w:rPr>
          <w:rFonts w:cs="Arial" w:hint="cs"/>
          <w:u w:val="single"/>
          <w:rtl/>
        </w:rPr>
        <w:t>הילה של דיו מטושטש:</w:t>
      </w:r>
      <w:r>
        <w:rPr>
          <w:rFonts w:cs="Arial" w:hint="cs"/>
          <w:rtl/>
        </w:rPr>
        <w:t xml:space="preserve"> </w:t>
      </w:r>
      <w:r>
        <w:rPr>
          <w:rFonts w:cs="Arial" w:hint="cs"/>
          <w:sz w:val="16"/>
          <w:szCs w:val="16"/>
          <w:rtl/>
        </w:rPr>
        <w:t>(פת"ש סק"ז)</w:t>
      </w:r>
    </w:p>
    <w:p w14:paraId="2D8ADD06" w14:textId="4BD60468" w:rsidR="007721F0" w:rsidRDefault="0040280A" w:rsidP="0040280A">
      <w:pPr>
        <w:pStyle w:val="ab"/>
        <w:numPr>
          <w:ilvl w:val="0"/>
          <w:numId w:val="46"/>
        </w:numPr>
        <w:rPr>
          <w:rFonts w:cs="Arial"/>
        </w:rPr>
      </w:pPr>
      <w:r w:rsidRPr="0040280A">
        <w:rPr>
          <w:rFonts w:cs="Arial"/>
          <w:rtl/>
        </w:rPr>
        <w:t xml:space="preserve">נו"ב </w:t>
      </w:r>
      <w:r w:rsidR="00694729" w:rsidRPr="00694729">
        <w:rPr>
          <w:rFonts w:cs="Arial" w:hint="cs"/>
          <w:sz w:val="16"/>
          <w:szCs w:val="16"/>
          <w:rtl/>
        </w:rPr>
        <w:t>(</w:t>
      </w:r>
      <w:r w:rsidRPr="00694729">
        <w:rPr>
          <w:rFonts w:cs="Arial"/>
          <w:sz w:val="16"/>
          <w:szCs w:val="16"/>
          <w:rtl/>
        </w:rPr>
        <w:t>סי' פה</w:t>
      </w:r>
      <w:r w:rsidR="00694729">
        <w:rPr>
          <w:rFonts w:cs="Arial" w:hint="cs"/>
          <w:sz w:val="16"/>
          <w:szCs w:val="16"/>
          <w:rtl/>
        </w:rPr>
        <w:t>)</w:t>
      </w:r>
      <w:r w:rsidR="00A82951">
        <w:rPr>
          <w:rFonts w:cs="Arial" w:hint="cs"/>
          <w:rtl/>
        </w:rPr>
        <w:t>-</w:t>
      </w:r>
      <w:r w:rsidRPr="0040280A">
        <w:rPr>
          <w:rFonts w:cs="Arial"/>
          <w:rtl/>
        </w:rPr>
        <w:t xml:space="preserve"> על דבר הגט שהובא ממקום רחוק ע"י שליח</w:t>
      </w:r>
      <w:r w:rsidR="00694729">
        <w:rPr>
          <w:rFonts w:cs="Arial" w:hint="cs"/>
          <w:rtl/>
        </w:rPr>
        <w:t>,</w:t>
      </w:r>
      <w:r w:rsidRPr="0040280A">
        <w:rPr>
          <w:rFonts w:cs="Arial"/>
          <w:rtl/>
        </w:rPr>
        <w:t xml:space="preserve"> ומחמת שנפל למים נטשטשו כמה אותיות</w:t>
      </w:r>
      <w:r w:rsidR="00694729">
        <w:rPr>
          <w:rFonts w:cs="Arial" w:hint="cs"/>
          <w:rtl/>
        </w:rPr>
        <w:t>,</w:t>
      </w:r>
      <w:r w:rsidRPr="0040280A">
        <w:rPr>
          <w:rFonts w:cs="Arial"/>
          <w:rtl/>
        </w:rPr>
        <w:t xml:space="preserve"> והדיו נתפשט רשומו חוץ להאותיות</w:t>
      </w:r>
      <w:r w:rsidR="00694729">
        <w:rPr>
          <w:rFonts w:cs="Arial" w:hint="cs"/>
          <w:rtl/>
        </w:rPr>
        <w:t>,</w:t>
      </w:r>
      <w:r w:rsidRPr="0040280A">
        <w:rPr>
          <w:rFonts w:cs="Arial"/>
          <w:rtl/>
        </w:rPr>
        <w:t xml:space="preserve"> בין האותיות</w:t>
      </w:r>
      <w:r w:rsidR="006F51F6">
        <w:rPr>
          <w:rFonts w:cs="Arial" w:hint="cs"/>
          <w:rtl/>
        </w:rPr>
        <w:t>,</w:t>
      </w:r>
      <w:r w:rsidRPr="0040280A">
        <w:rPr>
          <w:rFonts w:cs="Arial"/>
          <w:rtl/>
        </w:rPr>
        <w:t xml:space="preserve"> ובחלק שבין שטה לשטה</w:t>
      </w:r>
      <w:r w:rsidR="006F51F6">
        <w:rPr>
          <w:rFonts w:cs="Arial" w:hint="cs"/>
          <w:rtl/>
        </w:rPr>
        <w:t>,</w:t>
      </w:r>
      <w:r w:rsidRPr="0040280A">
        <w:rPr>
          <w:rFonts w:cs="Arial"/>
          <w:rtl/>
        </w:rPr>
        <w:t xml:space="preserve"> באופן שגם חוץ להאותיות הקלף שחור אלא שעכ"פ האותיות ניכרים</w:t>
      </w:r>
      <w:r w:rsidR="00694729">
        <w:rPr>
          <w:rFonts w:cs="Arial" w:hint="cs"/>
          <w:rtl/>
        </w:rPr>
        <w:t>,</w:t>
      </w:r>
      <w:r w:rsidRPr="0040280A">
        <w:rPr>
          <w:rFonts w:cs="Arial"/>
          <w:rtl/>
        </w:rPr>
        <w:t xml:space="preserve"> כי גוף האות שחור מאד ומה שחוץ להאות הוא דיהה הרבה</w:t>
      </w:r>
      <w:r w:rsidR="00694729">
        <w:rPr>
          <w:rFonts w:cs="Arial" w:hint="cs"/>
          <w:rtl/>
        </w:rPr>
        <w:t>,</w:t>
      </w:r>
      <w:r w:rsidRPr="0040280A">
        <w:rPr>
          <w:rFonts w:cs="Arial"/>
          <w:rtl/>
        </w:rPr>
        <w:t xml:space="preserve"> </w:t>
      </w:r>
      <w:r w:rsidR="00694729">
        <w:rPr>
          <w:rFonts w:cs="Arial" w:hint="cs"/>
          <w:rtl/>
        </w:rPr>
        <w:t>ה</w:t>
      </w:r>
      <w:r w:rsidRPr="0040280A">
        <w:rPr>
          <w:rFonts w:cs="Arial"/>
          <w:rtl/>
        </w:rPr>
        <w:t>אם לפסול גט כזה מחמת קלקול האותיות ומחמת אינו מוקף גויל.</w:t>
      </w:r>
      <w:r w:rsidR="00694729">
        <w:rPr>
          <w:rFonts w:cs="Arial" w:hint="cs"/>
          <w:rtl/>
        </w:rPr>
        <w:t>..</w:t>
      </w:r>
      <w:r w:rsidRPr="0040280A">
        <w:rPr>
          <w:rFonts w:cs="Arial"/>
          <w:rtl/>
        </w:rPr>
        <w:t xml:space="preserve"> הא ודאי דכתב ע"ג כתב</w:t>
      </w:r>
      <w:r w:rsidR="00694729">
        <w:rPr>
          <w:rFonts w:cs="Arial" w:hint="cs"/>
          <w:rtl/>
        </w:rPr>
        <w:t>,</w:t>
      </w:r>
      <w:r w:rsidRPr="0040280A">
        <w:rPr>
          <w:rFonts w:cs="Arial"/>
          <w:rtl/>
        </w:rPr>
        <w:t xml:space="preserve"> אפי' כתב שני משחיר טפי </w:t>
      </w:r>
      <w:r w:rsidR="00A82951">
        <w:rPr>
          <w:rFonts w:cs="Arial" w:hint="cs"/>
          <w:rtl/>
        </w:rPr>
        <w:t>-</w:t>
      </w:r>
      <w:r w:rsidR="00694729">
        <w:rPr>
          <w:rFonts w:cs="Arial" w:hint="cs"/>
          <w:rtl/>
        </w:rPr>
        <w:t xml:space="preserve"> </w:t>
      </w:r>
      <w:r w:rsidRPr="0040280A">
        <w:rPr>
          <w:rFonts w:cs="Arial"/>
          <w:rtl/>
        </w:rPr>
        <w:t>לא מהני</w:t>
      </w:r>
      <w:r w:rsidR="00694729">
        <w:rPr>
          <w:rFonts w:cs="Arial" w:hint="cs"/>
          <w:rtl/>
        </w:rPr>
        <w:t>,</w:t>
      </w:r>
      <w:r w:rsidRPr="0040280A">
        <w:rPr>
          <w:rFonts w:cs="Arial"/>
          <w:rtl/>
        </w:rPr>
        <w:t xml:space="preserve"> אבל אני מסופק אם נפל דיו על קלף חלק ונשא</w:t>
      </w:r>
      <w:r w:rsidR="00694729">
        <w:rPr>
          <w:rFonts w:cs="Arial" w:hint="cs"/>
          <w:rtl/>
        </w:rPr>
        <w:t>ר</w:t>
      </w:r>
      <w:r w:rsidRPr="0040280A">
        <w:rPr>
          <w:rFonts w:cs="Arial"/>
          <w:rtl/>
        </w:rPr>
        <w:t xml:space="preserve"> הקלף שחור</w:t>
      </w:r>
      <w:r w:rsidR="00694729">
        <w:rPr>
          <w:rFonts w:cs="Arial" w:hint="cs"/>
          <w:rtl/>
        </w:rPr>
        <w:t>,</w:t>
      </w:r>
      <w:r w:rsidRPr="0040280A">
        <w:rPr>
          <w:rFonts w:cs="Arial"/>
          <w:rtl/>
        </w:rPr>
        <w:t xml:space="preserve"> ואח"כ כתב במקום הזה בדיו המשחיר יותר באופן שהאותיות ניכרים היטב אם זה מקרי כתב או לא</w:t>
      </w:r>
      <w:r w:rsidR="00694729">
        <w:rPr>
          <w:rFonts w:cs="Arial" w:hint="cs"/>
          <w:rtl/>
        </w:rPr>
        <w:t>.</w:t>
      </w:r>
      <w:r w:rsidRPr="0040280A">
        <w:rPr>
          <w:rFonts w:cs="Arial"/>
          <w:rtl/>
        </w:rPr>
        <w:t xml:space="preserve"> ונראה שדבר זה שנוי במחלוקת בין רש"י ור"ת בגיטין </w:t>
      </w:r>
      <w:r w:rsidR="00694729">
        <w:rPr>
          <w:rFonts w:cs="Arial" w:hint="cs"/>
          <w:rtl/>
        </w:rPr>
        <w:t>(</w:t>
      </w:r>
      <w:r w:rsidRPr="0040280A">
        <w:rPr>
          <w:rFonts w:cs="Arial"/>
          <w:rtl/>
        </w:rPr>
        <w:t>יט</w:t>
      </w:r>
      <w:r w:rsidR="00694729">
        <w:rPr>
          <w:rFonts w:cs="Arial" w:hint="cs"/>
          <w:rtl/>
        </w:rPr>
        <w:t>.).</w:t>
      </w:r>
      <w:r w:rsidRPr="0040280A">
        <w:rPr>
          <w:rFonts w:cs="Arial"/>
          <w:rtl/>
        </w:rPr>
        <w:t xml:space="preserve"> דרש"י פי' בד"ה הא דעפיצן שהרי מראה הקלפים כמראה הכתב ואינו ניכר (גם בש"ע לעיל סעי' ג' כתב כלשון הזה)</w:t>
      </w:r>
      <w:r w:rsidR="007721F0">
        <w:rPr>
          <w:rFonts w:cs="Arial" w:hint="cs"/>
          <w:rtl/>
        </w:rPr>
        <w:t>.</w:t>
      </w:r>
      <w:r w:rsidRPr="0040280A">
        <w:rPr>
          <w:rFonts w:cs="Arial"/>
          <w:rtl/>
        </w:rPr>
        <w:t xml:space="preserve"> משמע דאם היה ניכר שפיר מיחשב כתב</w:t>
      </w:r>
      <w:r w:rsidR="007721F0">
        <w:rPr>
          <w:rFonts w:cs="Arial" w:hint="cs"/>
          <w:rtl/>
        </w:rPr>
        <w:t>.</w:t>
      </w:r>
      <w:r w:rsidRPr="0040280A">
        <w:rPr>
          <w:rFonts w:cs="Arial"/>
          <w:rtl/>
        </w:rPr>
        <w:t xml:space="preserve"> אבל ר"ת </w:t>
      </w:r>
      <w:r w:rsidR="006F51F6">
        <w:rPr>
          <w:rFonts w:cs="Arial" w:hint="cs"/>
          <w:rtl/>
        </w:rPr>
        <w:t>(</w:t>
      </w:r>
      <w:r w:rsidRPr="0040280A">
        <w:rPr>
          <w:rFonts w:cs="Arial"/>
          <w:rtl/>
        </w:rPr>
        <w:t>שם בתוס' ד"ה דיותא</w:t>
      </w:r>
      <w:r w:rsidR="006F51F6">
        <w:rPr>
          <w:rFonts w:cs="Arial" w:hint="cs"/>
          <w:rtl/>
        </w:rPr>
        <w:t>)</w:t>
      </w:r>
      <w:r w:rsidRPr="0040280A">
        <w:rPr>
          <w:rFonts w:cs="Arial"/>
          <w:rtl/>
        </w:rPr>
        <w:t xml:space="preserve"> כתב דדיו אין עושים מעפצים דהיכא כתבינן ס"ת ע"ג קלף שהוא מעופץ ע"ש</w:t>
      </w:r>
      <w:r w:rsidR="007721F0">
        <w:rPr>
          <w:rFonts w:cs="Arial" w:hint="cs"/>
          <w:rtl/>
        </w:rPr>
        <w:t>.</w:t>
      </w:r>
      <w:r w:rsidRPr="0040280A">
        <w:rPr>
          <w:rFonts w:cs="Arial"/>
          <w:rtl/>
        </w:rPr>
        <w:t xml:space="preserve"> והא ודאי שדיו שעשוי ממי עפצים (עם קנקנתום) ניכר הוא על הקלף מעופץ ואפ"ה לא מהני לר"ת. וכיון דבדין זה לא קיי"ל כר"ת כמבואר בטור </w:t>
      </w:r>
      <w:r w:rsidR="006F51F6">
        <w:rPr>
          <w:rFonts w:cs="Arial" w:hint="cs"/>
          <w:rtl/>
        </w:rPr>
        <w:t>(</w:t>
      </w:r>
      <w:r w:rsidRPr="0040280A">
        <w:rPr>
          <w:rFonts w:cs="Arial"/>
          <w:rtl/>
        </w:rPr>
        <w:t>יו"ד סי' רעא</w:t>
      </w:r>
      <w:r w:rsidR="006F51F6">
        <w:rPr>
          <w:rFonts w:cs="Arial" w:hint="cs"/>
          <w:rtl/>
        </w:rPr>
        <w:t>)</w:t>
      </w:r>
      <w:r w:rsidRPr="0040280A">
        <w:rPr>
          <w:rFonts w:cs="Arial"/>
          <w:rtl/>
        </w:rPr>
        <w:t xml:space="preserve"> ובב"י </w:t>
      </w:r>
      <w:r w:rsidR="006F51F6">
        <w:rPr>
          <w:rFonts w:cs="Arial" w:hint="cs"/>
          <w:rtl/>
        </w:rPr>
        <w:t>(</w:t>
      </w:r>
      <w:r w:rsidRPr="0040280A">
        <w:rPr>
          <w:rFonts w:cs="Arial"/>
          <w:rtl/>
        </w:rPr>
        <w:t>שם</w:t>
      </w:r>
      <w:r w:rsidR="006F51F6">
        <w:rPr>
          <w:rFonts w:cs="Arial" w:hint="cs"/>
          <w:rtl/>
        </w:rPr>
        <w:t>),</w:t>
      </w:r>
      <w:r w:rsidRPr="0040280A">
        <w:rPr>
          <w:rFonts w:cs="Arial"/>
          <w:rtl/>
        </w:rPr>
        <w:t xml:space="preserve"> מוכח דאם משחיר יותר וניכר על הקלף מחשב כתב. ועוד נראה שזה מבואר בש"ע </w:t>
      </w:r>
      <w:r w:rsidR="006F51F6">
        <w:rPr>
          <w:rFonts w:cs="Arial" w:hint="cs"/>
          <w:rtl/>
        </w:rPr>
        <w:t>(</w:t>
      </w:r>
      <w:r w:rsidRPr="0040280A">
        <w:rPr>
          <w:rFonts w:cs="Arial"/>
          <w:rtl/>
        </w:rPr>
        <w:t>סי' קכה ס"ח</w:t>
      </w:r>
      <w:r w:rsidR="006F51F6">
        <w:rPr>
          <w:rFonts w:cs="Arial" w:hint="cs"/>
          <w:rtl/>
        </w:rPr>
        <w:t>)</w:t>
      </w:r>
      <w:r w:rsidRPr="0040280A">
        <w:rPr>
          <w:rFonts w:cs="Arial"/>
          <w:rtl/>
        </w:rPr>
        <w:t xml:space="preserve"> בהגה שכ' רמ"א ויש מחמירין אפי' אם האות ניכר כו' (עמ"ש שם)</w:t>
      </w:r>
      <w:r w:rsidR="006F51F6">
        <w:rPr>
          <w:rFonts w:cs="Arial" w:hint="cs"/>
          <w:rtl/>
        </w:rPr>
        <w:t>.</w:t>
      </w:r>
      <w:r w:rsidRPr="0040280A">
        <w:rPr>
          <w:rFonts w:cs="Arial"/>
          <w:rtl/>
        </w:rPr>
        <w:t xml:space="preserve"> וכיון שלפי דברי השואל יש כאן בנ"ד עיגון גדול שהבעל במדינה רחוקה ואין שיירות מצויות ורעש מלחמה </w:t>
      </w:r>
      <w:r w:rsidR="00A82951">
        <w:rPr>
          <w:rFonts w:cs="Arial" w:hint="cs"/>
          <w:rtl/>
        </w:rPr>
        <w:t>-</w:t>
      </w:r>
      <w:r w:rsidR="007721F0">
        <w:rPr>
          <w:rFonts w:cs="Arial" w:hint="cs"/>
          <w:rtl/>
        </w:rPr>
        <w:t xml:space="preserve"> </w:t>
      </w:r>
      <w:r w:rsidRPr="0040280A">
        <w:rPr>
          <w:rFonts w:cs="Arial"/>
          <w:rtl/>
        </w:rPr>
        <w:t>לכן שפיר פסק הרב השואל להכשיר הגט ואין חשש מחמת היקף גויל ולא משום קלקול האותיות</w:t>
      </w:r>
      <w:r w:rsidR="007721F0">
        <w:rPr>
          <w:rFonts w:cs="Arial" w:hint="cs"/>
          <w:rtl/>
        </w:rPr>
        <w:t>,</w:t>
      </w:r>
      <w:r w:rsidRPr="0040280A">
        <w:rPr>
          <w:rFonts w:cs="Arial"/>
          <w:rtl/>
        </w:rPr>
        <w:t xml:space="preserve"> ובלבד לעיין היטב שיהיה עכ"פ כל התורף כל אות בבואה שלו קיימת. </w:t>
      </w:r>
    </w:p>
    <w:p w14:paraId="20785C20" w14:textId="34F257C0" w:rsidR="007721F0" w:rsidRPr="007721F0" w:rsidRDefault="007721F0" w:rsidP="007721F0">
      <w:pPr>
        <w:rPr>
          <w:rFonts w:cs="Arial"/>
          <w:u w:val="single"/>
        </w:rPr>
      </w:pPr>
      <w:r w:rsidRPr="007721F0">
        <w:rPr>
          <w:rFonts w:cs="Arial" w:hint="cs"/>
          <w:u w:val="single"/>
          <w:rtl/>
        </w:rPr>
        <w:t>חיבור בין אותיות בגלל לכלוך ב</w:t>
      </w:r>
      <w:r>
        <w:rPr>
          <w:rFonts w:cs="Arial" w:hint="cs"/>
          <w:u w:val="single"/>
          <w:rtl/>
        </w:rPr>
        <w:t>גוף ה</w:t>
      </w:r>
      <w:r w:rsidRPr="007721F0">
        <w:rPr>
          <w:rFonts w:cs="Arial" w:hint="cs"/>
          <w:u w:val="single"/>
          <w:rtl/>
        </w:rPr>
        <w:t>נייר:</w:t>
      </w:r>
      <w:r>
        <w:rPr>
          <w:rFonts w:cs="Arial" w:hint="cs"/>
          <w:sz w:val="16"/>
          <w:szCs w:val="16"/>
          <w:rtl/>
        </w:rPr>
        <w:t xml:space="preserve"> (פת"ש סק"ז)</w:t>
      </w:r>
    </w:p>
    <w:p w14:paraId="1067955F" w14:textId="70B0DE9A" w:rsidR="006F2DCB" w:rsidRDefault="0040280A" w:rsidP="006F2DCB">
      <w:pPr>
        <w:pStyle w:val="ab"/>
        <w:numPr>
          <w:ilvl w:val="0"/>
          <w:numId w:val="46"/>
        </w:numPr>
        <w:rPr>
          <w:rFonts w:cs="Arial"/>
        </w:rPr>
      </w:pPr>
      <w:r w:rsidRPr="0040280A">
        <w:rPr>
          <w:rFonts w:cs="Arial"/>
          <w:rtl/>
        </w:rPr>
        <w:t xml:space="preserve">נו"ב </w:t>
      </w:r>
      <w:r w:rsidR="006F2DCB" w:rsidRPr="006F2DCB">
        <w:rPr>
          <w:rFonts w:cs="Arial" w:hint="cs"/>
          <w:sz w:val="16"/>
          <w:szCs w:val="16"/>
          <w:rtl/>
        </w:rPr>
        <w:t>(</w:t>
      </w:r>
      <w:r w:rsidRPr="006F2DCB">
        <w:rPr>
          <w:rFonts w:cs="Arial"/>
          <w:sz w:val="16"/>
          <w:szCs w:val="16"/>
          <w:rtl/>
        </w:rPr>
        <w:t>תניינא סי' קיג</w:t>
      </w:r>
      <w:r w:rsidR="006F2DCB" w:rsidRPr="006F2DCB">
        <w:rPr>
          <w:rFonts w:cs="Arial" w:hint="cs"/>
          <w:sz w:val="16"/>
          <w:szCs w:val="16"/>
          <w:rtl/>
        </w:rPr>
        <w:t>)</w:t>
      </w:r>
      <w:r w:rsidR="00A82951">
        <w:rPr>
          <w:rFonts w:cs="Arial" w:hint="cs"/>
          <w:rtl/>
        </w:rPr>
        <w:t>-</w:t>
      </w:r>
      <w:r w:rsidRPr="0040280A">
        <w:rPr>
          <w:rFonts w:cs="Arial"/>
          <w:rtl/>
        </w:rPr>
        <w:t xml:space="preserve"> בדבר הגט שבתיבת היום נמשך כעין קו דק ומחבר ראש הוי"ו למ"ם סתומה</w:t>
      </w:r>
      <w:r w:rsidR="006F51F6">
        <w:rPr>
          <w:rFonts w:cs="Arial" w:hint="cs"/>
          <w:rtl/>
        </w:rPr>
        <w:t>,</w:t>
      </w:r>
      <w:r w:rsidRPr="0040280A">
        <w:rPr>
          <w:rFonts w:cs="Arial"/>
          <w:rtl/>
        </w:rPr>
        <w:t xml:space="preserve"> ואמנם ניכר שאינו מן הדיו רק מפסולת הנייר </w:t>
      </w:r>
      <w:r w:rsidR="00A82951">
        <w:rPr>
          <w:rFonts w:cs="Arial" w:hint="cs"/>
          <w:rtl/>
        </w:rPr>
        <w:t>-</w:t>
      </w:r>
      <w:r w:rsidRPr="0040280A">
        <w:rPr>
          <w:rFonts w:cs="Arial"/>
          <w:rtl/>
        </w:rPr>
        <w:t xml:space="preserve"> לא ידעתי בזה שום חשש</w:t>
      </w:r>
      <w:r w:rsidR="006F2DCB">
        <w:rPr>
          <w:rFonts w:cs="Arial" w:hint="cs"/>
          <w:rtl/>
        </w:rPr>
        <w:t>,</w:t>
      </w:r>
      <w:r w:rsidRPr="0040280A">
        <w:rPr>
          <w:rFonts w:cs="Arial"/>
          <w:rtl/>
        </w:rPr>
        <w:t xml:space="preserve"> כיון שהקו הזה אינו דיו רק מן הנייר בעצמו</w:t>
      </w:r>
      <w:r w:rsidR="006F2DCB">
        <w:rPr>
          <w:rFonts w:cs="Arial" w:hint="cs"/>
          <w:rtl/>
        </w:rPr>
        <w:t>.</w:t>
      </w:r>
      <w:r w:rsidRPr="0040280A">
        <w:rPr>
          <w:rFonts w:cs="Arial"/>
          <w:rtl/>
        </w:rPr>
        <w:t xml:space="preserve"> ולמיחש שמא לא מועיל כתב עליו ששחור בלא"ה ולהיות כדיו ע"ג דיו ע</w:t>
      </w:r>
      <w:r w:rsidR="00D326FB">
        <w:rPr>
          <w:rFonts w:cs="Arial" w:hint="cs"/>
          <w:rtl/>
        </w:rPr>
        <w:t>י</w:t>
      </w:r>
      <w:r w:rsidRPr="0040280A">
        <w:rPr>
          <w:rFonts w:cs="Arial"/>
          <w:rtl/>
        </w:rPr>
        <w:t xml:space="preserve">' בחבורי נו"ב </w:t>
      </w:r>
      <w:r w:rsidR="00D326FB">
        <w:rPr>
          <w:rFonts w:cs="Arial" w:hint="cs"/>
          <w:rtl/>
        </w:rPr>
        <w:t>(</w:t>
      </w:r>
      <w:r w:rsidRPr="0040280A">
        <w:rPr>
          <w:rFonts w:cs="Arial"/>
          <w:rtl/>
        </w:rPr>
        <w:t>סי' פה</w:t>
      </w:r>
      <w:r w:rsidR="00D326FB">
        <w:rPr>
          <w:rFonts w:cs="Arial" w:hint="cs"/>
          <w:rtl/>
        </w:rPr>
        <w:t>)</w:t>
      </w:r>
      <w:r w:rsidRPr="0040280A">
        <w:rPr>
          <w:rFonts w:cs="Arial"/>
          <w:rtl/>
        </w:rPr>
        <w:t xml:space="preserve"> ותראה שאין זה חשש</w:t>
      </w:r>
      <w:r w:rsidR="006F2DCB">
        <w:rPr>
          <w:rFonts w:cs="Arial" w:hint="cs"/>
          <w:rtl/>
        </w:rPr>
        <w:t>.</w:t>
      </w:r>
    </w:p>
    <w:p w14:paraId="7C8200C6" w14:textId="7542D16F" w:rsidR="006F2DCB" w:rsidRPr="006F2DCB" w:rsidRDefault="00D326FB" w:rsidP="006F2DCB">
      <w:pPr>
        <w:rPr>
          <w:rFonts w:cs="Arial"/>
          <w:u w:val="single"/>
        </w:rPr>
      </w:pPr>
      <w:r>
        <w:rPr>
          <w:rFonts w:cs="Arial" w:hint="cs"/>
          <w:u w:val="single"/>
          <w:rtl/>
        </w:rPr>
        <w:t xml:space="preserve">חלקי </w:t>
      </w:r>
      <w:r w:rsidR="006F2DCB" w:rsidRPr="006F2DCB">
        <w:rPr>
          <w:rFonts w:cs="Arial" w:hint="cs"/>
          <w:u w:val="single"/>
          <w:rtl/>
        </w:rPr>
        <w:t>אות שדבוק</w:t>
      </w:r>
      <w:r>
        <w:rPr>
          <w:rFonts w:cs="Arial" w:hint="cs"/>
          <w:u w:val="single"/>
          <w:rtl/>
        </w:rPr>
        <w:t>ים</w:t>
      </w:r>
      <w:r w:rsidR="006F2DCB" w:rsidRPr="006F2DCB">
        <w:rPr>
          <w:rFonts w:cs="Arial" w:hint="cs"/>
          <w:u w:val="single"/>
          <w:rtl/>
        </w:rPr>
        <w:t xml:space="preserve"> ל</w:t>
      </w:r>
      <w:r>
        <w:rPr>
          <w:rFonts w:cs="Arial" w:hint="cs"/>
          <w:u w:val="single"/>
          <w:rtl/>
        </w:rPr>
        <w:t>אות בעוד מקומות</w:t>
      </w:r>
      <w:r w:rsidR="006F2DCB" w:rsidRPr="006F2DCB">
        <w:rPr>
          <w:rFonts w:cs="Arial" w:hint="cs"/>
          <w:u w:val="single"/>
          <w:rtl/>
        </w:rPr>
        <w:t>:</w:t>
      </w:r>
      <w:r w:rsidR="006F2DCB" w:rsidRPr="006F2DCB">
        <w:rPr>
          <w:rFonts w:cs="Arial" w:hint="cs"/>
          <w:sz w:val="16"/>
          <w:szCs w:val="16"/>
          <w:rtl/>
        </w:rPr>
        <w:t xml:space="preserve"> </w:t>
      </w:r>
      <w:r w:rsidR="006F2DCB">
        <w:rPr>
          <w:rFonts w:cs="Arial" w:hint="cs"/>
          <w:sz w:val="16"/>
          <w:szCs w:val="16"/>
          <w:rtl/>
        </w:rPr>
        <w:t>(פת"ש סק"ח)</w:t>
      </w:r>
    </w:p>
    <w:p w14:paraId="1F90245F" w14:textId="7C666009" w:rsidR="0040280A" w:rsidRPr="006F2DCB" w:rsidRDefault="0040280A" w:rsidP="006F2DCB">
      <w:pPr>
        <w:pStyle w:val="ab"/>
        <w:numPr>
          <w:ilvl w:val="0"/>
          <w:numId w:val="46"/>
        </w:numPr>
        <w:rPr>
          <w:rFonts w:cs="Arial"/>
          <w:rtl/>
        </w:rPr>
      </w:pPr>
      <w:r w:rsidRPr="006F2DCB">
        <w:rPr>
          <w:rFonts w:cs="Arial"/>
          <w:rtl/>
        </w:rPr>
        <w:t xml:space="preserve">ג"פ </w:t>
      </w:r>
      <w:r w:rsidR="006F2DCB" w:rsidRPr="006F2DCB">
        <w:rPr>
          <w:rFonts w:cs="Arial" w:hint="cs"/>
          <w:sz w:val="16"/>
          <w:szCs w:val="16"/>
          <w:rtl/>
        </w:rPr>
        <w:t>(</w:t>
      </w:r>
      <w:r w:rsidRPr="006F2DCB">
        <w:rPr>
          <w:rFonts w:cs="Arial"/>
          <w:sz w:val="16"/>
          <w:szCs w:val="16"/>
          <w:rtl/>
        </w:rPr>
        <w:t>סקכ"ד</w:t>
      </w:r>
      <w:r w:rsidR="006F2DCB" w:rsidRPr="006F2DCB">
        <w:rPr>
          <w:rFonts w:cs="Arial" w:hint="cs"/>
          <w:sz w:val="16"/>
          <w:szCs w:val="16"/>
          <w:rtl/>
        </w:rPr>
        <w:t>)</w:t>
      </w:r>
      <w:r w:rsidR="00A82951">
        <w:rPr>
          <w:rFonts w:cs="Arial" w:hint="cs"/>
          <w:rtl/>
        </w:rPr>
        <w:t>-</w:t>
      </w:r>
      <w:r w:rsidRPr="006F2DCB">
        <w:rPr>
          <w:rFonts w:cs="Arial"/>
          <w:rtl/>
        </w:rPr>
        <w:t xml:space="preserve"> </w:t>
      </w:r>
      <w:r w:rsidR="006F2DCB" w:rsidRPr="006F2DCB">
        <w:rPr>
          <w:rFonts w:cs="Arial"/>
          <w:rtl/>
        </w:rPr>
        <w:t xml:space="preserve">בענין דיבוק האל"ף והפ"א וצדי"ן ושיני"ן שנדבקו היודי"ן שלהם לאותיות עצמן במקום אחר מלבד מקום דיבוקן, ונשאל רלב"ח </w:t>
      </w:r>
      <w:r w:rsidR="006F2DCB">
        <w:rPr>
          <w:rFonts w:cs="Arial" w:hint="cs"/>
          <w:rtl/>
        </w:rPr>
        <w:t>(</w:t>
      </w:r>
      <w:r w:rsidR="006F2DCB" w:rsidRPr="006F2DCB">
        <w:rPr>
          <w:rFonts w:cs="Arial"/>
          <w:rtl/>
        </w:rPr>
        <w:t>סי' א</w:t>
      </w:r>
      <w:r w:rsidR="006F2DCB">
        <w:rPr>
          <w:rFonts w:cs="Arial" w:hint="cs"/>
          <w:rtl/>
        </w:rPr>
        <w:t>)</w:t>
      </w:r>
      <w:r w:rsidR="006F2DCB" w:rsidRPr="006F2DCB">
        <w:rPr>
          <w:rFonts w:cs="Arial"/>
          <w:rtl/>
        </w:rPr>
        <w:t xml:space="preserve"> לענין ס"ת והשיב בשם ה"ר מנחם שכתב בקרית ספר </w:t>
      </w:r>
      <w:r w:rsidR="000A0F5A">
        <w:rPr>
          <w:rFonts w:cs="Arial"/>
          <w:rtl/>
        </w:rPr>
        <w:t>וז"ל:</w:t>
      </w:r>
      <w:r w:rsidR="006F2DCB" w:rsidRPr="006F2DCB">
        <w:rPr>
          <w:rFonts w:cs="Arial"/>
          <w:rtl/>
        </w:rPr>
        <w:t xml:space="preserve"> ודוקא כשנדבקה באות אחרת</w:t>
      </w:r>
      <w:r w:rsidR="006F2DCB">
        <w:rPr>
          <w:rFonts w:cs="Arial" w:hint="cs"/>
          <w:rtl/>
        </w:rPr>
        <w:t>,</w:t>
      </w:r>
      <w:r w:rsidR="006F2DCB" w:rsidRPr="006F2DCB">
        <w:rPr>
          <w:rFonts w:cs="Arial"/>
          <w:rtl/>
        </w:rPr>
        <w:t xml:space="preserve"> אבל אם דבוקה בעצמה כל שלא נפסדה צורת האות כשרה ע"כ</w:t>
      </w:r>
      <w:r w:rsidR="006F2DCB">
        <w:rPr>
          <w:rFonts w:cs="Arial" w:hint="cs"/>
          <w:rtl/>
        </w:rPr>
        <w:t>.</w:t>
      </w:r>
      <w:r w:rsidR="006F2DCB" w:rsidRPr="006F2DCB">
        <w:rPr>
          <w:rFonts w:cs="Arial"/>
          <w:rtl/>
        </w:rPr>
        <w:t xml:space="preserve"> וכן נראה מדברי הרמב"ם</w:t>
      </w:r>
      <w:r w:rsidR="006F2DCB">
        <w:rPr>
          <w:rFonts w:cs="Arial" w:hint="cs"/>
          <w:rtl/>
        </w:rPr>
        <w:t xml:space="preserve"> ז"ל</w:t>
      </w:r>
      <w:r w:rsidR="006F2DCB" w:rsidRPr="006F2DCB">
        <w:rPr>
          <w:rFonts w:cs="Arial"/>
          <w:rtl/>
        </w:rPr>
        <w:t xml:space="preserve"> </w:t>
      </w:r>
      <w:r w:rsidR="006F2DCB">
        <w:rPr>
          <w:rFonts w:cs="Arial" w:hint="cs"/>
          <w:rtl/>
        </w:rPr>
        <w:t>(הל' ס"ת פ"ז ה"ט)</w:t>
      </w:r>
      <w:r w:rsidR="006F2DCB" w:rsidRPr="006F2DCB">
        <w:rPr>
          <w:rFonts w:cs="Arial"/>
          <w:rtl/>
        </w:rPr>
        <w:t>. ומ"מ מסיק רלב"ח שם דצריך תיקון</w:t>
      </w:r>
      <w:r w:rsidR="006F2DCB">
        <w:rPr>
          <w:rFonts w:cs="Arial" w:hint="cs"/>
          <w:rtl/>
        </w:rPr>
        <w:t>.</w:t>
      </w:r>
      <w:r w:rsidR="006F2DCB" w:rsidRPr="006F2DCB">
        <w:rPr>
          <w:rFonts w:cs="Arial"/>
          <w:rtl/>
        </w:rPr>
        <w:t xml:space="preserve"> גם כתב שם כי יש קצת דבוקים אפילו שיהיו מאות של עצמה משנים קצת צורת האות כמו אם נדבק רגל הקו"ף וכן אם נדבק ראש האמצעי של השי"ן למעלה או יו"ד הפ"א למטה (וה"ה ראשי העי"ן או הצד"י) הרי נשאר חלק שבפנים סתום מכל צדדיו וצורתם בלוחות לא היתה כן</w:t>
      </w:r>
      <w:r w:rsidR="006F2DCB">
        <w:rPr>
          <w:rFonts w:cs="Arial" w:hint="cs"/>
          <w:rtl/>
        </w:rPr>
        <w:t>,</w:t>
      </w:r>
      <w:r w:rsidR="006F2DCB" w:rsidRPr="006F2DCB">
        <w:rPr>
          <w:rFonts w:cs="Arial"/>
          <w:rtl/>
        </w:rPr>
        <w:t xml:space="preserve"> שאם כן הרי הם בנס כמו מ"ם וסמ"ך</w:t>
      </w:r>
      <w:r w:rsidR="006F2DCB">
        <w:rPr>
          <w:rFonts w:cs="Arial" w:hint="cs"/>
          <w:rtl/>
        </w:rPr>
        <w:t>,</w:t>
      </w:r>
      <w:r w:rsidR="006F2DCB" w:rsidRPr="006F2DCB">
        <w:rPr>
          <w:rFonts w:cs="Arial"/>
          <w:rtl/>
        </w:rPr>
        <w:t xml:space="preserve"> וצריכה תיקון</w:t>
      </w:r>
      <w:r w:rsidR="006F2DCB">
        <w:rPr>
          <w:rFonts w:cs="Arial" w:hint="cs"/>
          <w:rtl/>
        </w:rPr>
        <w:t>.</w:t>
      </w:r>
      <w:r w:rsidR="006F2DCB" w:rsidRPr="006F2DCB">
        <w:rPr>
          <w:rFonts w:cs="Arial"/>
          <w:rtl/>
        </w:rPr>
        <w:t xml:space="preserve"> ולא בגרירה לבד</w:t>
      </w:r>
      <w:r w:rsidR="006F2DCB">
        <w:rPr>
          <w:rFonts w:cs="Arial" w:hint="cs"/>
          <w:rtl/>
        </w:rPr>
        <w:t>,</w:t>
      </w:r>
      <w:r w:rsidR="006F2DCB" w:rsidRPr="006F2DCB">
        <w:rPr>
          <w:rFonts w:cs="Arial"/>
          <w:rtl/>
        </w:rPr>
        <w:t xml:space="preserve"> אלא שיגרור קצת מהאות באופן שלא ישאר שמה עליה ויכתבנה אח</w:t>
      </w:r>
      <w:r w:rsidR="00D326FB">
        <w:rPr>
          <w:rFonts w:cs="Arial" w:hint="cs"/>
          <w:rtl/>
        </w:rPr>
        <w:t>"</w:t>
      </w:r>
      <w:r w:rsidR="006F2DCB" w:rsidRPr="006F2DCB">
        <w:rPr>
          <w:rFonts w:cs="Arial"/>
          <w:rtl/>
        </w:rPr>
        <w:t>כ כי היכי דלא להוי חק תוכות</w:t>
      </w:r>
      <w:r w:rsidR="006F2DCB">
        <w:rPr>
          <w:rStyle w:val="a7"/>
          <w:rFonts w:cs="Arial"/>
          <w:rtl/>
        </w:rPr>
        <w:footnoteReference w:id="549"/>
      </w:r>
      <w:r w:rsidR="006F2DCB" w:rsidRPr="006F2DCB">
        <w:rPr>
          <w:rFonts w:cs="Arial" w:hint="cs"/>
          <w:rtl/>
        </w:rPr>
        <w:t>.</w:t>
      </w:r>
    </w:p>
    <w:p w14:paraId="5141877C" w14:textId="2C6A7EBA" w:rsidR="00C34986" w:rsidRDefault="00636DEB" w:rsidP="0040280A">
      <w:pPr>
        <w:rPr>
          <w:rFonts w:cs="Arial"/>
          <w:rtl/>
        </w:rPr>
      </w:pPr>
      <w:r w:rsidRPr="00636DEB">
        <w:rPr>
          <w:rFonts w:cs="Arial" w:hint="cs"/>
          <w:u w:val="single"/>
          <w:rtl/>
        </w:rPr>
        <w:t xml:space="preserve">גרירת דיבוק אותיות </w:t>
      </w:r>
      <w:r w:rsidRPr="00636DEB">
        <w:rPr>
          <w:rFonts w:cs="Arial" w:hint="cs"/>
          <w:b/>
          <w:bCs/>
          <w:u w:val="single"/>
          <w:rtl/>
        </w:rPr>
        <w:t>ב</w:t>
      </w:r>
      <w:r>
        <w:rPr>
          <w:rFonts w:cs="Arial" w:hint="cs"/>
          <w:b/>
          <w:bCs/>
          <w:u w:val="single"/>
          <w:rtl/>
        </w:rPr>
        <w:t>ת</w:t>
      </w:r>
      <w:r w:rsidRPr="00636DEB">
        <w:rPr>
          <w:rFonts w:cs="Arial" w:hint="cs"/>
          <w:b/>
          <w:bCs/>
          <w:u w:val="single"/>
          <w:rtl/>
        </w:rPr>
        <w:t>ורף</w:t>
      </w:r>
      <w:r w:rsidRPr="00636DEB">
        <w:rPr>
          <w:rFonts w:cs="Arial" w:hint="cs"/>
          <w:u w:val="single"/>
          <w:rtl/>
        </w:rPr>
        <w:t xml:space="preserve"> הגט:</w:t>
      </w:r>
      <w:r>
        <w:rPr>
          <w:rFonts w:cs="Arial" w:hint="cs"/>
          <w:rtl/>
        </w:rPr>
        <w:t xml:space="preserve"> </w:t>
      </w:r>
      <w:r w:rsidR="0040280A" w:rsidRPr="00636DEB">
        <w:rPr>
          <w:rFonts w:cs="Arial"/>
          <w:sz w:val="16"/>
          <w:szCs w:val="16"/>
          <w:rtl/>
        </w:rPr>
        <w:t>(</w:t>
      </w:r>
      <w:r w:rsidRPr="00636DEB">
        <w:rPr>
          <w:rFonts w:cs="Arial" w:hint="cs"/>
          <w:sz w:val="16"/>
          <w:szCs w:val="16"/>
          <w:rtl/>
        </w:rPr>
        <w:t>פת"ש סק"</w:t>
      </w:r>
      <w:r w:rsidR="0040280A" w:rsidRPr="00636DEB">
        <w:rPr>
          <w:rFonts w:cs="Arial"/>
          <w:sz w:val="16"/>
          <w:szCs w:val="16"/>
          <w:rtl/>
        </w:rPr>
        <w:t xml:space="preserve">י) </w:t>
      </w:r>
    </w:p>
    <w:p w14:paraId="205D6CFD" w14:textId="4EDD1182" w:rsidR="00AF4AED" w:rsidRPr="00636DEB" w:rsidRDefault="0040280A" w:rsidP="00636DEB">
      <w:pPr>
        <w:pStyle w:val="ab"/>
        <w:numPr>
          <w:ilvl w:val="0"/>
          <w:numId w:val="46"/>
        </w:numPr>
        <w:rPr>
          <w:rFonts w:cs="Arial"/>
          <w:rtl/>
        </w:rPr>
      </w:pPr>
      <w:r w:rsidRPr="00636DEB">
        <w:rPr>
          <w:rFonts w:cs="Arial"/>
          <w:rtl/>
        </w:rPr>
        <w:t>תו"ג</w:t>
      </w:r>
      <w:r w:rsidR="00636DEB" w:rsidRPr="00636DEB">
        <w:rPr>
          <w:rFonts w:cs="Arial" w:hint="cs"/>
          <w:rtl/>
        </w:rPr>
        <w:t xml:space="preserve"> וג"פ</w:t>
      </w:r>
      <w:r w:rsidR="00636DEB" w:rsidRPr="00636DEB">
        <w:rPr>
          <w:rFonts w:cs="Arial" w:hint="cs"/>
          <w:sz w:val="16"/>
          <w:szCs w:val="16"/>
          <w:rtl/>
        </w:rPr>
        <w:t xml:space="preserve"> (סקל"</w:t>
      </w:r>
      <w:r w:rsidR="00636DEB">
        <w:rPr>
          <w:rFonts w:cs="Arial" w:hint="cs"/>
          <w:sz w:val="16"/>
          <w:szCs w:val="16"/>
          <w:rtl/>
        </w:rPr>
        <w:t>ו</w:t>
      </w:r>
      <w:r w:rsidR="00636DEB" w:rsidRPr="00636DEB">
        <w:rPr>
          <w:rFonts w:cs="Arial" w:hint="cs"/>
          <w:sz w:val="16"/>
          <w:szCs w:val="16"/>
          <w:rtl/>
        </w:rPr>
        <w:t>)</w:t>
      </w:r>
      <w:r w:rsidR="00A82951">
        <w:rPr>
          <w:rFonts w:cs="Arial" w:hint="cs"/>
          <w:rtl/>
        </w:rPr>
        <w:t>-</w:t>
      </w:r>
      <w:r w:rsidR="00636DEB" w:rsidRPr="00636DEB">
        <w:rPr>
          <w:rFonts w:cs="Arial" w:hint="cs"/>
          <w:rtl/>
        </w:rPr>
        <w:t xml:space="preserve"> </w:t>
      </w:r>
      <w:r w:rsidRPr="00636DEB">
        <w:rPr>
          <w:rFonts w:cs="Arial"/>
          <w:rtl/>
        </w:rPr>
        <w:t>במקום שיש פסול גמור</w:t>
      </w:r>
      <w:r w:rsidR="00636DEB" w:rsidRPr="00636DEB">
        <w:rPr>
          <w:rFonts w:cs="Arial" w:hint="cs"/>
          <w:rtl/>
        </w:rPr>
        <w:t>,</w:t>
      </w:r>
      <w:r w:rsidRPr="00636DEB">
        <w:rPr>
          <w:rFonts w:cs="Arial"/>
          <w:rtl/>
        </w:rPr>
        <w:t xml:space="preserve"> כגון שיש יתור אות בתורף </w:t>
      </w:r>
      <w:r w:rsidR="00A82951">
        <w:rPr>
          <w:rFonts w:cs="Arial" w:hint="cs"/>
          <w:rtl/>
        </w:rPr>
        <w:t>-</w:t>
      </w:r>
      <w:r w:rsidR="00636DEB" w:rsidRPr="00636DEB">
        <w:rPr>
          <w:rFonts w:cs="Arial" w:hint="cs"/>
          <w:rtl/>
        </w:rPr>
        <w:t xml:space="preserve"> </w:t>
      </w:r>
      <w:r w:rsidRPr="00636DEB">
        <w:rPr>
          <w:rFonts w:cs="Arial"/>
          <w:rtl/>
        </w:rPr>
        <w:t>אינו מועיל לגרור האות ע"י אחר אפי' בשעת הדחק</w:t>
      </w:r>
      <w:r w:rsidR="00636DEB" w:rsidRPr="00636DEB">
        <w:rPr>
          <w:rFonts w:cs="Arial" w:hint="cs"/>
          <w:rtl/>
        </w:rPr>
        <w:t>,</w:t>
      </w:r>
      <w:r w:rsidRPr="00636DEB">
        <w:rPr>
          <w:rFonts w:cs="Arial"/>
          <w:rtl/>
        </w:rPr>
        <w:t xml:space="preserve"> דכיון שהגט בכה"ג הוא פסול גמור א"כ לא עשה הסופר שליחותו כלל</w:t>
      </w:r>
      <w:r w:rsidR="00636DEB" w:rsidRPr="00636DEB">
        <w:rPr>
          <w:rFonts w:cs="Arial" w:hint="cs"/>
          <w:rtl/>
        </w:rPr>
        <w:t>,</w:t>
      </w:r>
      <w:r w:rsidRPr="00636DEB">
        <w:rPr>
          <w:rFonts w:cs="Arial"/>
          <w:rtl/>
        </w:rPr>
        <w:t xml:space="preserve"> דהא מה"ט מותר הסופר לכתוב גט אחר כמבואר בסי' קכ"ב</w:t>
      </w:r>
      <w:r w:rsidR="00636DEB" w:rsidRPr="00636DEB">
        <w:rPr>
          <w:rFonts w:cs="Arial" w:hint="cs"/>
          <w:rtl/>
        </w:rPr>
        <w:t>,</w:t>
      </w:r>
      <w:r w:rsidRPr="00636DEB">
        <w:rPr>
          <w:rFonts w:cs="Arial"/>
          <w:rtl/>
        </w:rPr>
        <w:t xml:space="preserve"> והוי כאלו כל הגט נכתב שלא בשליחות</w:t>
      </w:r>
      <w:r w:rsidR="00636DEB" w:rsidRPr="00636DEB">
        <w:rPr>
          <w:rFonts w:cs="Arial" w:hint="cs"/>
          <w:rtl/>
        </w:rPr>
        <w:t>,</w:t>
      </w:r>
      <w:r w:rsidRPr="00636DEB">
        <w:rPr>
          <w:rFonts w:cs="Arial"/>
          <w:rtl/>
        </w:rPr>
        <w:t xml:space="preserve"> וכשמחקו אחר הוי ככתבו אחר שאינו שליח הבעל. אבל כשמגררו הסופר בעצמו אין בו פסול רק משום שיש גרר בגט והוי כנכתב ע</w:t>
      </w:r>
      <w:r w:rsidR="00D326FB">
        <w:rPr>
          <w:rFonts w:cs="Arial" w:hint="cs"/>
          <w:rtl/>
        </w:rPr>
        <w:t>ל דבר</w:t>
      </w:r>
      <w:r w:rsidRPr="00636DEB">
        <w:rPr>
          <w:rFonts w:cs="Arial"/>
          <w:rtl/>
        </w:rPr>
        <w:t xml:space="preserve"> שיכול לזייף וכשר ע"י ע</w:t>
      </w:r>
      <w:r w:rsidR="00D326FB">
        <w:rPr>
          <w:rFonts w:cs="Arial" w:hint="cs"/>
          <w:rtl/>
        </w:rPr>
        <w:t>די מסירה</w:t>
      </w:r>
      <w:r w:rsidRPr="00636DEB">
        <w:rPr>
          <w:rFonts w:cs="Arial"/>
          <w:rtl/>
        </w:rPr>
        <w:t xml:space="preserve"> במקום עיגון</w:t>
      </w:r>
      <w:r w:rsidR="00636DEB" w:rsidRPr="00636DEB">
        <w:rPr>
          <w:rFonts w:cs="Arial" w:hint="cs"/>
          <w:rtl/>
        </w:rPr>
        <w:t>,</w:t>
      </w:r>
      <w:r w:rsidRPr="00636DEB">
        <w:rPr>
          <w:rFonts w:cs="Arial"/>
          <w:rtl/>
        </w:rPr>
        <w:t xml:space="preserve"> כגון בעוזב דת וכה"ג שאין שהות לכתוב אחר</w:t>
      </w:r>
      <w:r w:rsidR="00636DEB" w:rsidRPr="00636DEB">
        <w:rPr>
          <w:rFonts w:cs="Arial" w:hint="cs"/>
          <w:rtl/>
        </w:rPr>
        <w:t>,</w:t>
      </w:r>
      <w:r w:rsidRPr="00636DEB">
        <w:rPr>
          <w:rFonts w:cs="Arial"/>
          <w:rtl/>
        </w:rPr>
        <w:t xml:space="preserve"> דאפי' </w:t>
      </w:r>
      <w:r w:rsidRPr="00636DEB">
        <w:rPr>
          <w:rFonts w:cs="Arial"/>
          <w:rtl/>
        </w:rPr>
        <w:lastRenderedPageBreak/>
        <w:t>בתפילין מהני גרירת האות להכשיר</w:t>
      </w:r>
      <w:r w:rsidR="00636DEB" w:rsidRPr="00636DEB">
        <w:rPr>
          <w:rFonts w:cs="Arial" w:hint="cs"/>
          <w:rtl/>
        </w:rPr>
        <w:t>.</w:t>
      </w:r>
      <w:r w:rsidRPr="00636DEB">
        <w:rPr>
          <w:rFonts w:cs="Arial"/>
          <w:rtl/>
        </w:rPr>
        <w:t xml:space="preserve"> ואין לומר בזה דהוי כחק תוכות</w:t>
      </w:r>
      <w:r w:rsidR="00D326FB">
        <w:rPr>
          <w:rFonts w:cs="Arial" w:hint="cs"/>
          <w:rtl/>
        </w:rPr>
        <w:t>,</w:t>
      </w:r>
      <w:r w:rsidRPr="00636DEB">
        <w:rPr>
          <w:rFonts w:cs="Arial"/>
          <w:rtl/>
        </w:rPr>
        <w:t xml:space="preserve"> כיון דע"י גרירה נתקן התיבה</w:t>
      </w:r>
      <w:r w:rsidR="00636DEB" w:rsidRPr="00636DEB">
        <w:rPr>
          <w:rFonts w:cs="Arial" w:hint="cs"/>
          <w:rtl/>
        </w:rPr>
        <w:t>,</w:t>
      </w:r>
      <w:r w:rsidRPr="00636DEB">
        <w:rPr>
          <w:rFonts w:cs="Arial"/>
          <w:rtl/>
        </w:rPr>
        <w:t xml:space="preserve"> דזה אינו דדוקא באות שייך לומר כן ולא בתיבות</w:t>
      </w:r>
      <w:r w:rsidR="00636DEB" w:rsidRPr="00636DEB">
        <w:rPr>
          <w:rFonts w:cs="Arial" w:hint="cs"/>
          <w:sz w:val="16"/>
          <w:szCs w:val="16"/>
          <w:rtl/>
        </w:rPr>
        <w:t xml:space="preserve"> (ל' תו"ג)</w:t>
      </w:r>
      <w:r w:rsidR="00636DEB" w:rsidRPr="00636DEB">
        <w:rPr>
          <w:rFonts w:cs="Arial" w:hint="cs"/>
          <w:rtl/>
        </w:rPr>
        <w:t>.</w:t>
      </w:r>
    </w:p>
    <w:p w14:paraId="320F848F" w14:textId="77777777" w:rsidR="0040280A" w:rsidRPr="00C77C34" w:rsidRDefault="0040280A" w:rsidP="0040280A">
      <w:pPr>
        <w:rPr>
          <w:rFonts w:cs="Arial"/>
          <w:rtl/>
        </w:rPr>
      </w:pPr>
    </w:p>
    <w:p w14:paraId="011679C8" w14:textId="77878DF0" w:rsidR="00C77C34" w:rsidRDefault="00C77C34" w:rsidP="00786DE6">
      <w:pPr>
        <w:pStyle w:val="2"/>
        <w:rPr>
          <w:rtl/>
        </w:rPr>
      </w:pPr>
      <w:r w:rsidRPr="00C77C34">
        <w:rPr>
          <w:rtl/>
        </w:rPr>
        <w:t>סעיף ז</w:t>
      </w:r>
      <w:r w:rsidR="00AF4AED">
        <w:rPr>
          <w:rFonts w:hint="cs"/>
          <w:rtl/>
        </w:rPr>
        <w:t>:</w:t>
      </w:r>
      <w:r w:rsidR="001C7948">
        <w:rPr>
          <w:rFonts w:hint="cs"/>
          <w:rtl/>
        </w:rPr>
        <w:t xml:space="preserve"> תיוג אותיות שעטנ</w:t>
      </w:r>
      <w:r w:rsidR="000C6414">
        <w:rPr>
          <w:rFonts w:hint="cs"/>
          <w:rtl/>
        </w:rPr>
        <w:t>"</w:t>
      </w:r>
      <w:r w:rsidR="001C7948">
        <w:rPr>
          <w:rFonts w:hint="cs"/>
          <w:rtl/>
        </w:rPr>
        <w:t>ז</w:t>
      </w:r>
      <w:r w:rsidR="000C6414">
        <w:rPr>
          <w:rFonts w:hint="cs"/>
          <w:rtl/>
        </w:rPr>
        <w:t xml:space="preserve"> ג"ץ.</w:t>
      </w:r>
    </w:p>
    <w:p w14:paraId="714403D3" w14:textId="1D5433E1" w:rsidR="003B3710" w:rsidRPr="00DF109A" w:rsidRDefault="000C6414" w:rsidP="00DF109A">
      <w:pPr>
        <w:rPr>
          <w:u w:val="single"/>
        </w:rPr>
      </w:pPr>
      <w:r w:rsidRPr="000C6414">
        <w:rPr>
          <w:rFonts w:hint="cs"/>
          <w:u w:val="single"/>
          <w:rtl/>
        </w:rPr>
        <w:t>תיוג אותיות שעטנ"ז ג"ץ:</w:t>
      </w:r>
    </w:p>
    <w:p w14:paraId="265649D4" w14:textId="5ECA86B0" w:rsidR="00AF4AED" w:rsidRPr="00AF4AED" w:rsidRDefault="008F3CEF" w:rsidP="000F69F4">
      <w:pPr>
        <w:pStyle w:val="ab"/>
        <w:numPr>
          <w:ilvl w:val="0"/>
          <w:numId w:val="47"/>
        </w:numPr>
        <w:rPr>
          <w:rtl/>
        </w:rPr>
      </w:pPr>
      <w:r>
        <w:rPr>
          <w:rFonts w:cs="Arial" w:hint="cs"/>
          <w:rtl/>
        </w:rPr>
        <w:t xml:space="preserve">תרומה </w:t>
      </w:r>
      <w:r>
        <w:rPr>
          <w:rFonts w:cs="Arial" w:hint="cs"/>
          <w:sz w:val="16"/>
          <w:szCs w:val="16"/>
          <w:rtl/>
        </w:rPr>
        <w:t>(הל' גיטין סי' קיד)</w:t>
      </w:r>
      <w:r>
        <w:rPr>
          <w:rFonts w:cs="Arial" w:hint="cs"/>
          <w:rtl/>
        </w:rPr>
        <w:t xml:space="preserve"> </w:t>
      </w:r>
      <w:r w:rsidR="00DF109A">
        <w:rPr>
          <w:rFonts w:cs="Arial" w:hint="cs"/>
          <w:rtl/>
        </w:rPr>
        <w:t>וטור</w:t>
      </w:r>
      <w:r w:rsidR="00DF109A">
        <w:rPr>
          <w:rStyle w:val="a7"/>
          <w:rFonts w:cs="Arial"/>
          <w:rtl/>
        </w:rPr>
        <w:footnoteReference w:id="550"/>
      </w:r>
      <w:r w:rsidR="00A82951">
        <w:rPr>
          <w:rFonts w:cs="Arial" w:hint="cs"/>
          <w:rtl/>
        </w:rPr>
        <w:t>-</w:t>
      </w:r>
      <w:r w:rsidR="00DF109A" w:rsidRPr="008F3CEF">
        <w:rPr>
          <w:rFonts w:cs="Arial"/>
          <w:rtl/>
        </w:rPr>
        <w:t xml:space="preserve"> </w:t>
      </w:r>
      <w:r w:rsidRPr="008F3CEF">
        <w:rPr>
          <w:rFonts w:cs="Arial"/>
          <w:rtl/>
        </w:rPr>
        <w:t>ואע</w:t>
      </w:r>
      <w:r>
        <w:rPr>
          <w:rFonts w:cs="Arial" w:hint="cs"/>
          <w:rtl/>
        </w:rPr>
        <w:t>"</w:t>
      </w:r>
      <w:r w:rsidRPr="008F3CEF">
        <w:rPr>
          <w:rFonts w:cs="Arial"/>
          <w:rtl/>
        </w:rPr>
        <w:t>פ שצריך שתהא כל אות מוקפת גויל מ"מ אין מנהג לזיין את האותיות שעטנ"ז ג"ץ כמו שעושין בספר תורה</w:t>
      </w:r>
      <w:r>
        <w:rPr>
          <w:rFonts w:cs="Arial" w:hint="cs"/>
          <w:rtl/>
        </w:rPr>
        <w:t>.</w:t>
      </w:r>
      <w:r w:rsidRPr="008F3CEF">
        <w:rPr>
          <w:rFonts w:cs="Arial"/>
          <w:rtl/>
        </w:rPr>
        <w:t xml:space="preserve"> ויכול להיות הטעם דכשנוגעת לחברתה אין נראית אות למי שאינו מכיר מה מין אות זה ומה מין חברתה או אם שתיהן אות אחת</w:t>
      </w:r>
      <w:r>
        <w:rPr>
          <w:rFonts w:cs="Arial" w:hint="cs"/>
          <w:rtl/>
        </w:rPr>
        <w:t>,</w:t>
      </w:r>
      <w:r w:rsidRPr="008F3CEF">
        <w:rPr>
          <w:rFonts w:cs="Arial"/>
          <w:rtl/>
        </w:rPr>
        <w:t xml:space="preserve"> לפיכך הורגלו להפרידו</w:t>
      </w:r>
      <w:r>
        <w:rPr>
          <w:rFonts w:cs="Arial" w:hint="cs"/>
          <w:rtl/>
        </w:rPr>
        <w:t>,</w:t>
      </w:r>
      <w:r w:rsidRPr="008F3CEF">
        <w:rPr>
          <w:rFonts w:cs="Arial"/>
          <w:rtl/>
        </w:rPr>
        <w:t xml:space="preserve"> אבל בלא תגין נקראת שפיר אות</w:t>
      </w:r>
      <w:r>
        <w:rPr>
          <w:rFonts w:cs="Arial" w:hint="cs"/>
          <w:rtl/>
        </w:rPr>
        <w:t>,</w:t>
      </w:r>
      <w:r w:rsidRPr="008F3CEF">
        <w:rPr>
          <w:rFonts w:cs="Arial"/>
          <w:rtl/>
        </w:rPr>
        <w:t xml:space="preserve"> והתגין לשום דרש בא</w:t>
      </w:r>
      <w:r>
        <w:rPr>
          <w:rFonts w:cs="Arial" w:hint="cs"/>
          <w:rtl/>
        </w:rPr>
        <w:t>.</w:t>
      </w:r>
      <w:r w:rsidRPr="008F3CEF">
        <w:rPr>
          <w:rFonts w:cs="Arial"/>
          <w:rtl/>
        </w:rPr>
        <w:t xml:space="preserve"> אמנם הרב רבינו יצחק בר ר' אברהם היה מדקדק כיון שלא יתחייב עליהן אם יכתבם בשבת אם לא יעשה תגים וזיונין כמשפטם כדאיתא פרק הבונה אם כן מסתמא אין נקראים אות בלא תגין שלהן</w:t>
      </w:r>
      <w:r w:rsidR="00DF109A">
        <w:rPr>
          <w:rFonts w:cs="Arial" w:hint="cs"/>
          <w:rtl/>
        </w:rPr>
        <w:t>.</w:t>
      </w:r>
      <w:r w:rsidRPr="008F3CEF">
        <w:rPr>
          <w:rFonts w:cs="Arial"/>
          <w:rtl/>
        </w:rPr>
        <w:t xml:space="preserve"> והכי איתא פרק הבונה (שבת קה</w:t>
      </w:r>
      <w:r>
        <w:rPr>
          <w:rFonts w:cs="Arial" w:hint="cs"/>
          <w:rtl/>
        </w:rPr>
        <w:t>:</w:t>
      </w:r>
      <w:r w:rsidRPr="008F3CEF">
        <w:rPr>
          <w:rFonts w:cs="Arial"/>
          <w:rtl/>
        </w:rPr>
        <w:t>) תנא נתכון לכתוב אות אחת ועל' בידו שתים חייב. והתני' פטור</w:t>
      </w:r>
      <w:r w:rsidR="00DF109A">
        <w:rPr>
          <w:rFonts w:cs="Arial" w:hint="cs"/>
          <w:rtl/>
        </w:rPr>
        <w:t>.</w:t>
      </w:r>
      <w:r w:rsidRPr="008F3CEF">
        <w:rPr>
          <w:rFonts w:cs="Arial"/>
          <w:rtl/>
        </w:rPr>
        <w:t xml:space="preserve"> לא קשיא הא דבעי זיוני הא דלא בעי זיוני. אכן יש לומר דההיא מיירי בכותבו תוך ס"ת או חוץ לס"ת </w:t>
      </w:r>
      <w:r>
        <w:rPr>
          <w:rFonts w:cs="Arial" w:hint="cs"/>
          <w:rtl/>
        </w:rPr>
        <w:t>ו</w:t>
      </w:r>
      <w:r w:rsidRPr="008F3CEF">
        <w:rPr>
          <w:rFonts w:cs="Arial"/>
          <w:rtl/>
        </w:rPr>
        <w:t>נתכוון לעשות כמשפט ס"ת</w:t>
      </w:r>
      <w:r w:rsidR="00DF109A">
        <w:rPr>
          <w:rFonts w:cs="Arial" w:hint="cs"/>
          <w:rtl/>
        </w:rPr>
        <w:t>,</w:t>
      </w:r>
      <w:r w:rsidRPr="008F3CEF">
        <w:rPr>
          <w:rFonts w:cs="Arial"/>
          <w:rtl/>
        </w:rPr>
        <w:t xml:space="preserve"> אבל בלאו הכי חייב בלא תגין. והכי משמע הפשט הא דבעי הכותב לזיינו</w:t>
      </w:r>
      <w:r w:rsidR="00DF109A">
        <w:rPr>
          <w:rFonts w:cs="Arial" w:hint="cs"/>
          <w:rtl/>
        </w:rPr>
        <w:t>,</w:t>
      </w:r>
      <w:r w:rsidRPr="008F3CEF">
        <w:rPr>
          <w:rFonts w:cs="Arial"/>
          <w:rtl/>
        </w:rPr>
        <w:t xml:space="preserve"> אבל אידי ואידי איירי דעלו בידו שתי אותיות שצריכין זיון אלו הוה ס"ת</w:t>
      </w:r>
      <w:r w:rsidR="00DF109A">
        <w:rPr>
          <w:rFonts w:cs="Arial" w:hint="cs"/>
          <w:rtl/>
        </w:rPr>
        <w:t>,</w:t>
      </w:r>
      <w:r w:rsidRPr="008F3CEF">
        <w:rPr>
          <w:rFonts w:cs="Arial"/>
          <w:rtl/>
        </w:rPr>
        <w:t xml:space="preserve"> דהא לא קאמר </w:t>
      </w:r>
      <w:r w:rsidR="00DF109A">
        <w:rPr>
          <w:rFonts w:cs="Arial" w:hint="cs"/>
          <w:rtl/>
        </w:rPr>
        <w:t>'</w:t>
      </w:r>
      <w:r w:rsidRPr="008F3CEF">
        <w:rPr>
          <w:rFonts w:cs="Arial"/>
          <w:rtl/>
        </w:rPr>
        <w:t>הא באותיות שדינן לזיין</w:t>
      </w:r>
      <w:r w:rsidR="00DF109A">
        <w:rPr>
          <w:rFonts w:cs="Arial" w:hint="cs"/>
          <w:rtl/>
        </w:rPr>
        <w:t>,</w:t>
      </w:r>
      <w:r w:rsidRPr="008F3CEF">
        <w:rPr>
          <w:rFonts w:cs="Arial"/>
          <w:rtl/>
        </w:rPr>
        <w:t xml:space="preserve"> הא באותיות שאין דינן לזיין</w:t>
      </w:r>
      <w:r w:rsidR="00DF109A">
        <w:rPr>
          <w:rFonts w:cs="Arial" w:hint="cs"/>
          <w:rtl/>
        </w:rPr>
        <w:t>'.</w:t>
      </w:r>
      <w:r w:rsidRPr="008F3CEF">
        <w:rPr>
          <w:rFonts w:cs="Arial"/>
          <w:rtl/>
        </w:rPr>
        <w:t xml:space="preserve"> ותדע דקאמר התם נטלו לגגו של חית ועשאו שני זייני' חייב</w:t>
      </w:r>
      <w:r w:rsidR="00DF109A">
        <w:rPr>
          <w:rFonts w:cs="Arial" w:hint="cs"/>
          <w:rtl/>
        </w:rPr>
        <w:t>,</w:t>
      </w:r>
      <w:r w:rsidRPr="008F3CEF">
        <w:rPr>
          <w:rFonts w:cs="Arial"/>
          <w:rtl/>
        </w:rPr>
        <w:t xml:space="preserve"> משמע בנטילת הגג לחוד חייב</w:t>
      </w:r>
      <w:r w:rsidR="00DF109A">
        <w:rPr>
          <w:rFonts w:cs="Arial" w:hint="cs"/>
          <w:rtl/>
        </w:rPr>
        <w:t>,</w:t>
      </w:r>
      <w:r w:rsidRPr="008F3CEF">
        <w:rPr>
          <w:rFonts w:cs="Arial"/>
          <w:rtl/>
        </w:rPr>
        <w:t xml:space="preserve"> והלא צריך בזיין ג' תגין</w:t>
      </w:r>
      <w:r w:rsidR="00DF109A">
        <w:rPr>
          <w:rFonts w:cs="Arial" w:hint="cs"/>
          <w:rtl/>
        </w:rPr>
        <w:t>,</w:t>
      </w:r>
      <w:r w:rsidRPr="008F3CEF">
        <w:rPr>
          <w:rFonts w:cs="Arial"/>
          <w:rtl/>
        </w:rPr>
        <w:t xml:space="preserve"> אלמא כיון שאין בדעתו לעשות באות תגין מקרי אות בהכי</w:t>
      </w:r>
      <w:r w:rsidR="00DF109A">
        <w:rPr>
          <w:rFonts w:cs="Arial" w:hint="cs"/>
          <w:rtl/>
        </w:rPr>
        <w:t>...</w:t>
      </w:r>
      <w:r w:rsidRPr="008F3CEF">
        <w:rPr>
          <w:rFonts w:cs="Arial"/>
          <w:rtl/>
        </w:rPr>
        <w:t xml:space="preserve"> ומ"מ כיון שאין רגילות לעשות תגין באותיות הגט אין לשנות המנהג פן יוציאו לעז על מי שאינן עשויין כן ועוד כי אם ירגילו לעשות תגין יש הרבה סופרים שיעשו' גדולות כמו מקלות על האותיות לבלתי ידעו לעשות כהוגן וע"י כן יקלקלו הכתב ברוב פעמים שלא תהא נקראת אות לכך טוב לחדול ולעשות מנהג</w:t>
      </w:r>
      <w:r w:rsidR="000F69F4">
        <w:rPr>
          <w:rStyle w:val="a7"/>
          <w:rFonts w:cs="Arial"/>
          <w:rtl/>
        </w:rPr>
        <w:footnoteReference w:id="551"/>
      </w:r>
      <w:r w:rsidRPr="008F3CEF">
        <w:rPr>
          <w:rFonts w:cs="Arial"/>
          <w:rtl/>
        </w:rPr>
        <w:t>.</w:t>
      </w:r>
      <w:r w:rsidR="000F69F4">
        <w:rPr>
          <w:rFonts w:hint="cs"/>
          <w:color w:val="E36C0A" w:themeColor="accent6" w:themeShade="BF"/>
          <w:rtl/>
        </w:rPr>
        <w:t xml:space="preserve"> </w:t>
      </w:r>
      <w:r w:rsidR="000F69F4" w:rsidRPr="00C271EC">
        <w:rPr>
          <w:rFonts w:hint="cs"/>
          <w:color w:val="E36C0A" w:themeColor="accent6" w:themeShade="BF"/>
          <w:rtl/>
        </w:rPr>
        <w:t>(וכ"פ בשו"ע)</w:t>
      </w:r>
    </w:p>
    <w:p w14:paraId="5B29771F"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64AA39B" w14:textId="185D1F2B" w:rsidR="00C77C34" w:rsidRDefault="00C77C34" w:rsidP="00C77C34">
      <w:pPr>
        <w:rPr>
          <w:rFonts w:cs="Arial"/>
          <w:rtl/>
        </w:rPr>
      </w:pPr>
      <w:r w:rsidRPr="00C77C34">
        <w:rPr>
          <w:rFonts w:cs="Arial"/>
          <w:rtl/>
        </w:rPr>
        <w:t>אם יש מי שרוצה לזיין</w:t>
      </w:r>
      <w:r w:rsidR="0040280A">
        <w:rPr>
          <w:rStyle w:val="a7"/>
          <w:rFonts w:cs="Arial"/>
          <w:rtl/>
        </w:rPr>
        <w:footnoteReference w:id="552"/>
      </w:r>
      <w:r w:rsidRPr="00C77C34">
        <w:rPr>
          <w:rFonts w:cs="Arial"/>
          <w:rtl/>
        </w:rPr>
        <w:t xml:space="preserve"> האותיות, מוחין בידו</w:t>
      </w:r>
      <w:r w:rsidR="00473EF0">
        <w:rPr>
          <w:rStyle w:val="a7"/>
          <w:rFonts w:cs="Arial"/>
          <w:rtl/>
        </w:rPr>
        <w:footnoteReference w:id="553"/>
      </w:r>
      <w:r w:rsidRPr="00C77C34">
        <w:rPr>
          <w:rFonts w:cs="Arial"/>
          <w:rtl/>
        </w:rPr>
        <w:t xml:space="preserve">. </w:t>
      </w:r>
    </w:p>
    <w:p w14:paraId="7A5D6908" w14:textId="77777777" w:rsidR="00AF4AED" w:rsidRPr="00C77C34" w:rsidRDefault="00AF4AED" w:rsidP="00C77C34">
      <w:pPr>
        <w:rPr>
          <w:rFonts w:cs="Arial"/>
          <w:rtl/>
        </w:rPr>
      </w:pPr>
    </w:p>
    <w:p w14:paraId="087342C3" w14:textId="1A188C69" w:rsidR="00C77C34" w:rsidRDefault="00C77C34" w:rsidP="00786DE6">
      <w:pPr>
        <w:pStyle w:val="2"/>
        <w:rPr>
          <w:rtl/>
        </w:rPr>
      </w:pPr>
      <w:r w:rsidRPr="00C77C34">
        <w:rPr>
          <w:rtl/>
        </w:rPr>
        <w:t>סעיף ח</w:t>
      </w:r>
      <w:r w:rsidR="00AF4AED">
        <w:rPr>
          <w:rFonts w:hint="cs"/>
          <w:rtl/>
        </w:rPr>
        <w:t>:</w:t>
      </w:r>
      <w:r w:rsidR="00157A78">
        <w:rPr>
          <w:rFonts w:hint="cs"/>
          <w:rtl/>
        </w:rPr>
        <w:t xml:space="preserve"> העברת טיפת דיו שנפלה.</w:t>
      </w:r>
    </w:p>
    <w:p w14:paraId="7D7E97C9" w14:textId="62088426" w:rsidR="00636DEB" w:rsidRPr="00157A78" w:rsidRDefault="00157A78" w:rsidP="00636DEB">
      <w:pPr>
        <w:rPr>
          <w:u w:val="single"/>
          <w:rtl/>
        </w:rPr>
      </w:pPr>
      <w:r w:rsidRPr="00157A78">
        <w:rPr>
          <w:rFonts w:hint="cs"/>
          <w:u w:val="single"/>
          <w:rtl/>
        </w:rPr>
        <w:t>העברת טיפת דיו שנפלה לתוך האות:</w:t>
      </w:r>
    </w:p>
    <w:p w14:paraId="5434ABE6" w14:textId="579B451F" w:rsidR="001A51E2" w:rsidRDefault="00EC573C" w:rsidP="003B3710">
      <w:pPr>
        <w:pStyle w:val="ab"/>
        <w:numPr>
          <w:ilvl w:val="0"/>
          <w:numId w:val="47"/>
        </w:numPr>
      </w:pPr>
      <w:r>
        <w:rPr>
          <w:rFonts w:cs="Arial" w:hint="cs"/>
          <w:rtl/>
        </w:rPr>
        <w:t>ספר התרומה</w:t>
      </w:r>
      <w:r>
        <w:rPr>
          <w:rStyle w:val="a7"/>
          <w:rFonts w:cs="Arial"/>
          <w:rtl/>
        </w:rPr>
        <w:footnoteReference w:id="554"/>
      </w:r>
      <w:r>
        <w:rPr>
          <w:rFonts w:cs="Arial" w:hint="cs"/>
          <w:rtl/>
        </w:rPr>
        <w:t xml:space="preserve"> </w:t>
      </w:r>
      <w:r>
        <w:rPr>
          <w:rFonts w:cs="Arial" w:hint="cs"/>
          <w:sz w:val="16"/>
          <w:szCs w:val="16"/>
          <w:rtl/>
        </w:rPr>
        <w:t>(גיטין סי' קטו)</w:t>
      </w:r>
      <w:r>
        <w:rPr>
          <w:rFonts w:cs="Arial" w:hint="cs"/>
          <w:rtl/>
        </w:rPr>
        <w:t xml:space="preserve"> </w:t>
      </w:r>
      <w:r w:rsidR="00424907">
        <w:rPr>
          <w:rFonts w:cs="Arial" w:hint="cs"/>
          <w:rtl/>
        </w:rPr>
        <w:t xml:space="preserve">סמ"ג </w:t>
      </w:r>
      <w:r w:rsidR="00424907">
        <w:rPr>
          <w:rFonts w:cs="Arial" w:hint="cs"/>
          <w:sz w:val="16"/>
          <w:szCs w:val="16"/>
          <w:rtl/>
        </w:rPr>
        <w:t>(עשין נ)</w:t>
      </w:r>
      <w:r w:rsidR="00424907">
        <w:rPr>
          <w:rFonts w:cs="Arial" w:hint="cs"/>
          <w:rtl/>
        </w:rPr>
        <w:t xml:space="preserve"> </w:t>
      </w:r>
      <w:r w:rsidR="00B71969">
        <w:rPr>
          <w:rFonts w:cs="Arial" w:hint="cs"/>
          <w:rtl/>
        </w:rPr>
        <w:t xml:space="preserve">רא"ש </w:t>
      </w:r>
      <w:r w:rsidR="00B71969">
        <w:rPr>
          <w:rFonts w:cs="Arial" w:hint="cs"/>
          <w:sz w:val="16"/>
          <w:szCs w:val="16"/>
          <w:rtl/>
        </w:rPr>
        <w:t>(גיטין פ"ב סי' יט)</w:t>
      </w:r>
      <w:r w:rsidR="00B71969">
        <w:rPr>
          <w:rFonts w:cs="Arial" w:hint="cs"/>
          <w:rtl/>
        </w:rPr>
        <w:t xml:space="preserve"> ו</w:t>
      </w:r>
      <w:r w:rsidR="003B3710">
        <w:rPr>
          <w:rFonts w:cs="Arial" w:hint="cs"/>
          <w:rtl/>
        </w:rPr>
        <w:t>טור</w:t>
      </w:r>
      <w:r w:rsidR="00A82951">
        <w:rPr>
          <w:rFonts w:cs="Arial" w:hint="cs"/>
          <w:rtl/>
        </w:rPr>
        <w:t>-</w:t>
      </w:r>
      <w:r w:rsidR="003B3710">
        <w:rPr>
          <w:rFonts w:cs="Arial" w:hint="cs"/>
          <w:rtl/>
        </w:rPr>
        <w:t xml:space="preserve"> </w:t>
      </w:r>
      <w:r w:rsidR="003B3710" w:rsidRPr="002D5E7F">
        <w:rPr>
          <w:rFonts w:cs="Arial"/>
          <w:rtl/>
        </w:rPr>
        <w:t xml:space="preserve">אם נפלה טיפת דיו בתוך האות ואינה ניכרת </w:t>
      </w:r>
      <w:r w:rsidR="00A82951">
        <w:rPr>
          <w:rFonts w:cs="Arial" w:hint="cs"/>
          <w:rtl/>
        </w:rPr>
        <w:t>-</w:t>
      </w:r>
      <w:r w:rsidR="001A51E2">
        <w:rPr>
          <w:rFonts w:cs="Arial" w:hint="cs"/>
          <w:rtl/>
        </w:rPr>
        <w:t xml:space="preserve"> </w:t>
      </w:r>
      <w:r w:rsidR="003B3710" w:rsidRPr="002D5E7F">
        <w:rPr>
          <w:rFonts w:cs="Arial"/>
          <w:rtl/>
        </w:rPr>
        <w:t>אינו יכול להעביר הדיו לתקן האות</w:t>
      </w:r>
      <w:r w:rsidR="006B6366">
        <w:rPr>
          <w:rFonts w:cs="Arial" w:hint="cs"/>
          <w:rtl/>
        </w:rPr>
        <w:t>,</w:t>
      </w:r>
      <w:r w:rsidR="003B3710" w:rsidRPr="002D5E7F">
        <w:rPr>
          <w:rFonts w:cs="Arial"/>
          <w:rtl/>
        </w:rPr>
        <w:t xml:space="preserve"> דהוה ליה חק תוכות</w:t>
      </w:r>
      <w:r w:rsidR="00B71969">
        <w:rPr>
          <w:rFonts w:cs="Arial" w:hint="cs"/>
          <w:sz w:val="16"/>
          <w:szCs w:val="16"/>
          <w:rtl/>
        </w:rPr>
        <w:t xml:space="preserve"> (</w:t>
      </w:r>
      <w:r w:rsidR="00424907">
        <w:rPr>
          <w:rFonts w:cs="Arial" w:hint="cs"/>
          <w:sz w:val="16"/>
          <w:szCs w:val="16"/>
          <w:rtl/>
        </w:rPr>
        <w:t xml:space="preserve">ל' </w:t>
      </w:r>
      <w:r w:rsidR="00157A78">
        <w:rPr>
          <w:rFonts w:cs="Arial" w:hint="cs"/>
          <w:sz w:val="16"/>
          <w:szCs w:val="16"/>
          <w:rtl/>
        </w:rPr>
        <w:t>הרא"ש ו</w:t>
      </w:r>
      <w:r w:rsidR="00424907">
        <w:rPr>
          <w:rFonts w:cs="Arial" w:hint="cs"/>
          <w:sz w:val="16"/>
          <w:szCs w:val="16"/>
          <w:rtl/>
        </w:rPr>
        <w:t>הטור)</w:t>
      </w:r>
      <w:r w:rsidR="001A51E2">
        <w:rPr>
          <w:rFonts w:cs="Arial" w:hint="cs"/>
          <w:rtl/>
        </w:rPr>
        <w:t>.</w:t>
      </w:r>
      <w:r w:rsidR="003B3710" w:rsidRPr="002D5E7F">
        <w:rPr>
          <w:rFonts w:cs="Arial"/>
          <w:rtl/>
        </w:rPr>
        <w:t xml:space="preserve"> </w:t>
      </w:r>
      <w:r w:rsidR="00786DE6" w:rsidRPr="00786DE6">
        <w:rPr>
          <w:rFonts w:cs="Arial" w:hint="cs"/>
          <w:color w:val="E36C0A" w:themeColor="accent6" w:themeShade="BF"/>
          <w:rtl/>
        </w:rPr>
        <w:t>(וכ"</w:t>
      </w:r>
      <w:r w:rsidR="00786DE6">
        <w:rPr>
          <w:rFonts w:cs="Arial" w:hint="cs"/>
          <w:color w:val="E36C0A" w:themeColor="accent6" w:themeShade="BF"/>
          <w:rtl/>
        </w:rPr>
        <w:t>פ</w:t>
      </w:r>
      <w:r w:rsidR="00786DE6" w:rsidRPr="00786DE6">
        <w:rPr>
          <w:rFonts w:cs="Arial" w:hint="cs"/>
          <w:color w:val="E36C0A" w:themeColor="accent6" w:themeShade="BF"/>
          <w:rtl/>
        </w:rPr>
        <w:t xml:space="preserve"> בשו"ע)</w:t>
      </w:r>
    </w:p>
    <w:p w14:paraId="39BA6D20" w14:textId="7298E96F" w:rsidR="00EC573C" w:rsidRPr="00EC573C" w:rsidRDefault="00157A78" w:rsidP="00EC573C">
      <w:pPr>
        <w:ind w:left="360"/>
        <w:rPr>
          <w:u w:val="dotted"/>
        </w:rPr>
      </w:pPr>
      <w:r>
        <w:rPr>
          <w:rFonts w:hint="cs"/>
          <w:u w:val="dotted"/>
          <w:rtl/>
        </w:rPr>
        <w:t xml:space="preserve">ומה הדין אם </w:t>
      </w:r>
      <w:r w:rsidR="00367D77">
        <w:rPr>
          <w:rFonts w:hint="cs"/>
          <w:u w:val="dotted"/>
          <w:rtl/>
        </w:rPr>
        <w:t xml:space="preserve">גם לאחר שנפלה טיפת הדיו </w:t>
      </w:r>
      <w:r>
        <w:rPr>
          <w:rFonts w:hint="cs"/>
          <w:u w:val="dotted"/>
          <w:rtl/>
        </w:rPr>
        <w:t>צורת האות עדיין ניכרת</w:t>
      </w:r>
      <w:r w:rsidR="00EC573C" w:rsidRPr="00EC573C">
        <w:rPr>
          <w:rFonts w:hint="cs"/>
          <w:u w:val="dotted"/>
          <w:rtl/>
        </w:rPr>
        <w:t>:</w:t>
      </w:r>
    </w:p>
    <w:p w14:paraId="6A190FD1" w14:textId="164C6A4E" w:rsidR="00EC573C" w:rsidRPr="00EC573C" w:rsidRDefault="00157A78" w:rsidP="00EC573C">
      <w:pPr>
        <w:pStyle w:val="ab"/>
        <w:numPr>
          <w:ilvl w:val="0"/>
          <w:numId w:val="47"/>
        </w:numPr>
        <w:rPr>
          <w:rFonts w:cs="Arial"/>
          <w:rtl/>
        </w:rPr>
      </w:pPr>
      <w:r>
        <w:rPr>
          <w:rFonts w:cs="Arial" w:hint="cs"/>
          <w:rtl/>
        </w:rPr>
        <w:t>ב"י</w:t>
      </w:r>
      <w:r w:rsidR="00A82951">
        <w:rPr>
          <w:rFonts w:cs="Arial" w:hint="cs"/>
          <w:rtl/>
        </w:rPr>
        <w:t>-</w:t>
      </w:r>
      <w:r>
        <w:rPr>
          <w:rFonts w:cs="Arial" w:hint="cs"/>
          <w:rtl/>
        </w:rPr>
        <w:t xml:space="preserve"> </w:t>
      </w:r>
      <w:r w:rsidR="00EC573C" w:rsidRPr="00EC573C">
        <w:rPr>
          <w:rFonts w:cs="Arial"/>
          <w:rtl/>
        </w:rPr>
        <w:t>משמע מדבריהם דלא מיפסל כשמתקן ע</w:t>
      </w:r>
      <w:r w:rsidR="00EC573C" w:rsidRPr="00EC573C">
        <w:rPr>
          <w:rFonts w:cs="Arial" w:hint="cs"/>
          <w:rtl/>
        </w:rPr>
        <w:t>"</w:t>
      </w:r>
      <w:r w:rsidR="00EC573C" w:rsidRPr="00EC573C">
        <w:rPr>
          <w:rFonts w:cs="Arial"/>
          <w:rtl/>
        </w:rPr>
        <w:t xml:space="preserve">י מחיקה אלא כשנשתנית צורת האות </w:t>
      </w:r>
      <w:r w:rsidR="00EC573C" w:rsidRPr="00EC573C">
        <w:rPr>
          <w:rFonts w:cs="Arial" w:hint="cs"/>
          <w:rtl/>
        </w:rPr>
        <w:t>ע"</w:t>
      </w:r>
      <w:r w:rsidR="00EC573C" w:rsidRPr="00EC573C">
        <w:rPr>
          <w:rFonts w:cs="Arial"/>
          <w:rtl/>
        </w:rPr>
        <w:t>י הדיו שנפל בה</w:t>
      </w:r>
      <w:r w:rsidR="00EC573C" w:rsidRPr="00EC573C">
        <w:rPr>
          <w:rFonts w:cs="Arial" w:hint="cs"/>
          <w:rtl/>
        </w:rPr>
        <w:t>,</w:t>
      </w:r>
      <w:r w:rsidR="00EC573C" w:rsidRPr="00EC573C">
        <w:rPr>
          <w:rFonts w:cs="Arial"/>
          <w:rtl/>
        </w:rPr>
        <w:t xml:space="preserve"> אבל כשלא נשתנית צורת האות</w:t>
      </w:r>
      <w:r w:rsidR="00EC573C" w:rsidRPr="00EC573C">
        <w:rPr>
          <w:rFonts w:cs="Arial" w:hint="cs"/>
          <w:rtl/>
        </w:rPr>
        <w:t xml:space="preserve"> </w:t>
      </w:r>
      <w:r w:rsidR="00A82951">
        <w:rPr>
          <w:rFonts w:cs="Arial" w:hint="cs"/>
          <w:rtl/>
        </w:rPr>
        <w:t>-</w:t>
      </w:r>
      <w:r w:rsidR="00EC573C" w:rsidRPr="00EC573C">
        <w:rPr>
          <w:rFonts w:cs="Arial"/>
          <w:rtl/>
        </w:rPr>
        <w:t xml:space="preserve"> יכול למחוק טיפת הדיו</w:t>
      </w:r>
      <w:r w:rsidR="00EC573C" w:rsidRPr="00EC573C">
        <w:rPr>
          <w:rFonts w:cs="Arial" w:hint="cs"/>
          <w:rtl/>
        </w:rPr>
        <w:t>,</w:t>
      </w:r>
      <w:r w:rsidR="00EC573C" w:rsidRPr="00EC573C">
        <w:rPr>
          <w:rFonts w:cs="Arial"/>
          <w:rtl/>
        </w:rPr>
        <w:t xml:space="preserve"> דלא מיקרי חק תוכות מאחר שהאות היתה ניכרת</w:t>
      </w:r>
      <w:r w:rsidR="00EC573C" w:rsidRPr="00EC573C">
        <w:rPr>
          <w:rFonts w:cs="Arial" w:hint="cs"/>
          <w:rtl/>
        </w:rPr>
        <w:t>,</w:t>
      </w:r>
      <w:r w:rsidR="00EC573C" w:rsidRPr="00EC573C">
        <w:rPr>
          <w:rFonts w:cs="Arial"/>
          <w:rtl/>
        </w:rPr>
        <w:t xml:space="preserve"> והכי דייק לישנא דהרא"ש וסמ"ג</w:t>
      </w:r>
      <w:r w:rsidR="00EC573C" w:rsidRPr="00EC573C">
        <w:rPr>
          <w:rFonts w:cs="Arial" w:hint="cs"/>
          <w:rtl/>
        </w:rPr>
        <w:t>.</w:t>
      </w:r>
      <w:r w:rsidR="00EC573C" w:rsidRPr="00EC573C">
        <w:rPr>
          <w:rFonts w:cs="Arial"/>
          <w:rtl/>
        </w:rPr>
        <w:t xml:space="preserve"> ובספר התרומה </w:t>
      </w:r>
      <w:r w:rsidR="00EC573C" w:rsidRPr="00157A78">
        <w:rPr>
          <w:rFonts w:cs="Arial"/>
          <w:sz w:val="16"/>
          <w:szCs w:val="16"/>
          <w:rtl/>
        </w:rPr>
        <w:t>(סי' קטו</w:t>
      </w:r>
      <w:r w:rsidRPr="00157A78">
        <w:rPr>
          <w:rFonts w:cs="Arial" w:hint="cs"/>
          <w:sz w:val="16"/>
          <w:szCs w:val="16"/>
          <w:rtl/>
        </w:rPr>
        <w:t>, מובאים דבריו לעיל בהערה</w:t>
      </w:r>
      <w:r w:rsidR="00EC573C" w:rsidRPr="00157A78">
        <w:rPr>
          <w:rFonts w:cs="Arial"/>
          <w:sz w:val="16"/>
          <w:szCs w:val="16"/>
          <w:rtl/>
        </w:rPr>
        <w:t xml:space="preserve">) </w:t>
      </w:r>
      <w:r w:rsidR="00EC573C" w:rsidRPr="00EC573C">
        <w:rPr>
          <w:rFonts w:cs="Arial"/>
          <w:rtl/>
        </w:rPr>
        <w:t xml:space="preserve">מפורש ביותר. </w:t>
      </w:r>
      <w:r w:rsidR="00786DE6" w:rsidRPr="00786DE6">
        <w:rPr>
          <w:rFonts w:cs="Arial" w:hint="cs"/>
          <w:color w:val="E36C0A" w:themeColor="accent6" w:themeShade="BF"/>
          <w:rtl/>
        </w:rPr>
        <w:t>(וכ"ס בשו"ע)</w:t>
      </w:r>
    </w:p>
    <w:p w14:paraId="5E80BFBB" w14:textId="1D96CF69" w:rsidR="00EC573C" w:rsidRDefault="00EC573C" w:rsidP="00EC573C">
      <w:pPr>
        <w:pStyle w:val="ab"/>
        <w:numPr>
          <w:ilvl w:val="0"/>
          <w:numId w:val="47"/>
        </w:numPr>
        <w:rPr>
          <w:rFonts w:cs="Arial"/>
        </w:rPr>
      </w:pPr>
      <w:r w:rsidRPr="00EC573C">
        <w:rPr>
          <w:rFonts w:cs="Arial"/>
          <w:rtl/>
        </w:rPr>
        <w:t>מהרי"ק</w:t>
      </w:r>
      <w:r w:rsidRPr="00157A78">
        <w:rPr>
          <w:rFonts w:cs="Arial"/>
          <w:sz w:val="16"/>
          <w:szCs w:val="16"/>
          <w:rtl/>
        </w:rPr>
        <w:t xml:space="preserve"> </w:t>
      </w:r>
      <w:r w:rsidR="00157A78" w:rsidRPr="00157A78">
        <w:rPr>
          <w:rFonts w:cs="Arial" w:hint="cs"/>
          <w:sz w:val="16"/>
          <w:szCs w:val="16"/>
          <w:rtl/>
        </w:rPr>
        <w:t>(</w:t>
      </w:r>
      <w:r w:rsidRPr="00157A78">
        <w:rPr>
          <w:rFonts w:cs="Arial"/>
          <w:sz w:val="16"/>
          <w:szCs w:val="16"/>
          <w:rtl/>
        </w:rPr>
        <w:t>שורש צח</w:t>
      </w:r>
      <w:r w:rsidR="00157A78" w:rsidRPr="00157A78">
        <w:rPr>
          <w:rFonts w:cs="Arial" w:hint="cs"/>
          <w:sz w:val="16"/>
          <w:szCs w:val="16"/>
          <w:rtl/>
        </w:rPr>
        <w:t>)</w:t>
      </w:r>
      <w:r w:rsidR="00A82951">
        <w:rPr>
          <w:rFonts w:cs="Arial" w:hint="cs"/>
          <w:rtl/>
        </w:rPr>
        <w:t>-</w:t>
      </w:r>
      <w:r w:rsidRPr="00EC573C">
        <w:rPr>
          <w:rFonts w:cs="Arial"/>
          <w:rtl/>
        </w:rPr>
        <w:t xml:space="preserve"> משמע מלשון ה"ר פרץ שאם נפלה דיו לתוך האות </w:t>
      </w:r>
      <w:r w:rsidR="00A82951">
        <w:rPr>
          <w:rFonts w:cs="Arial" w:hint="cs"/>
          <w:rtl/>
        </w:rPr>
        <w:t>-</w:t>
      </w:r>
      <w:r w:rsidR="00157A78">
        <w:rPr>
          <w:rFonts w:cs="Arial" w:hint="cs"/>
          <w:rtl/>
        </w:rPr>
        <w:t xml:space="preserve"> </w:t>
      </w:r>
      <w:r w:rsidRPr="00EC573C">
        <w:rPr>
          <w:rFonts w:cs="Arial"/>
          <w:rtl/>
        </w:rPr>
        <w:t>אע</w:t>
      </w:r>
      <w:r w:rsidRPr="00EC573C">
        <w:rPr>
          <w:rFonts w:cs="Arial" w:hint="cs"/>
          <w:rtl/>
        </w:rPr>
        <w:t>"</w:t>
      </w:r>
      <w:r w:rsidRPr="00EC573C">
        <w:rPr>
          <w:rFonts w:cs="Arial"/>
          <w:rtl/>
        </w:rPr>
        <w:t>פ שהאות ניכרת אין לתקן ע</w:t>
      </w:r>
      <w:r w:rsidR="00157A78">
        <w:rPr>
          <w:rFonts w:cs="Arial" w:hint="cs"/>
          <w:rtl/>
        </w:rPr>
        <w:t>"</w:t>
      </w:r>
      <w:r w:rsidRPr="00EC573C">
        <w:rPr>
          <w:rFonts w:cs="Arial"/>
          <w:rtl/>
        </w:rPr>
        <w:t>י מחיקה</w:t>
      </w:r>
      <w:r w:rsidRPr="00EC573C">
        <w:rPr>
          <w:rFonts w:cs="Arial" w:hint="cs"/>
          <w:rtl/>
        </w:rPr>
        <w:t>.</w:t>
      </w:r>
      <w:r w:rsidRPr="00EC573C">
        <w:rPr>
          <w:rFonts w:cs="Arial"/>
          <w:rtl/>
        </w:rPr>
        <w:t xml:space="preserve"> </w:t>
      </w:r>
      <w:r w:rsidR="00157A78" w:rsidRPr="00157A78">
        <w:rPr>
          <w:rFonts w:cs="Arial" w:hint="cs"/>
          <w:color w:val="00B0F0"/>
          <w:rtl/>
        </w:rPr>
        <w:t>(וכ"פ הרמ"א)</w:t>
      </w:r>
    </w:p>
    <w:p w14:paraId="2BAA15C4" w14:textId="27D3C74F" w:rsidR="00B05A70" w:rsidRPr="00B05A70" w:rsidRDefault="00B05A70" w:rsidP="00B05A70">
      <w:pPr>
        <w:ind w:left="360"/>
        <w:rPr>
          <w:rFonts w:cs="Arial"/>
          <w:u w:val="dotted"/>
        </w:rPr>
      </w:pPr>
      <w:r w:rsidRPr="00B05A70">
        <w:rPr>
          <w:rFonts w:cs="Arial" w:hint="cs"/>
          <w:u w:val="dotted"/>
          <w:rtl/>
        </w:rPr>
        <w:lastRenderedPageBreak/>
        <w:t xml:space="preserve">ומה הדין אם </w:t>
      </w:r>
      <w:r w:rsidR="00247AB2">
        <w:rPr>
          <w:rFonts w:cs="Arial" w:hint="cs"/>
          <w:u w:val="dotted"/>
          <w:rtl/>
        </w:rPr>
        <w:t>ה</w:t>
      </w:r>
      <w:r w:rsidRPr="00B05A70">
        <w:rPr>
          <w:rFonts w:cs="Arial" w:hint="cs"/>
          <w:u w:val="dotted"/>
          <w:rtl/>
        </w:rPr>
        <w:t>טיפת דיו</w:t>
      </w:r>
      <w:r w:rsidR="00247AB2">
        <w:rPr>
          <w:rFonts w:cs="Arial" w:hint="cs"/>
          <w:u w:val="dotted"/>
          <w:rtl/>
        </w:rPr>
        <w:t xml:space="preserve"> נפלה</w:t>
      </w:r>
      <w:r w:rsidRPr="00B05A70">
        <w:rPr>
          <w:rFonts w:cs="Arial" w:hint="cs"/>
          <w:u w:val="dotted"/>
          <w:rtl/>
        </w:rPr>
        <w:t xml:space="preserve"> לאחר שנעשתה האות כתקנה:</w:t>
      </w:r>
    </w:p>
    <w:p w14:paraId="27A63B0C" w14:textId="6E7CC471" w:rsidR="00B05A70" w:rsidRDefault="00B05A70" w:rsidP="00B05A70">
      <w:pPr>
        <w:pStyle w:val="ab"/>
        <w:numPr>
          <w:ilvl w:val="0"/>
          <w:numId w:val="47"/>
        </w:numPr>
        <w:rPr>
          <w:rFonts w:cs="Arial"/>
        </w:rPr>
      </w:pPr>
      <w:r w:rsidRPr="00B05A70">
        <w:rPr>
          <w:rFonts w:cs="Arial"/>
          <w:rtl/>
        </w:rPr>
        <w:t>כל בו</w:t>
      </w:r>
      <w:r w:rsidRPr="00B05A70">
        <w:rPr>
          <w:rFonts w:cs="Arial"/>
          <w:sz w:val="16"/>
          <w:szCs w:val="16"/>
          <w:rtl/>
        </w:rPr>
        <w:t xml:space="preserve"> (סי' עו) </w:t>
      </w:r>
      <w:r w:rsidRPr="00B05A70">
        <w:rPr>
          <w:rFonts w:cs="Arial"/>
          <w:rtl/>
        </w:rPr>
        <w:t xml:space="preserve">וסמ"ק </w:t>
      </w:r>
      <w:r w:rsidRPr="00B05A70">
        <w:rPr>
          <w:rFonts w:cs="Arial"/>
          <w:sz w:val="16"/>
          <w:szCs w:val="16"/>
          <w:rtl/>
        </w:rPr>
        <w:t>(סי' קפד)</w:t>
      </w:r>
      <w:r w:rsidR="00A82951">
        <w:rPr>
          <w:rFonts w:cs="Arial" w:hint="cs"/>
          <w:rtl/>
        </w:rPr>
        <w:t>-</w:t>
      </w:r>
      <w:r>
        <w:rPr>
          <w:rFonts w:cs="Arial" w:hint="cs"/>
          <w:rtl/>
        </w:rPr>
        <w:t xml:space="preserve"> </w:t>
      </w:r>
      <w:r w:rsidR="00367D77" w:rsidRPr="00367D77">
        <w:rPr>
          <w:rFonts w:cs="Arial"/>
          <w:rtl/>
        </w:rPr>
        <w:t>וכתב ולא וחקק</w:t>
      </w:r>
      <w:r w:rsidR="00D326FB">
        <w:rPr>
          <w:rFonts w:cs="Arial" w:hint="cs"/>
          <w:rtl/>
        </w:rPr>
        <w:t>,</w:t>
      </w:r>
      <w:r w:rsidR="00367D77" w:rsidRPr="00367D77">
        <w:rPr>
          <w:rFonts w:cs="Arial"/>
          <w:rtl/>
        </w:rPr>
        <w:t xml:space="preserve"> מכאן שאם לא נעשה האות כתקנה</w:t>
      </w:r>
      <w:r w:rsidR="00367D77">
        <w:rPr>
          <w:rFonts w:cs="Arial" w:hint="cs"/>
          <w:rtl/>
        </w:rPr>
        <w:t>,</w:t>
      </w:r>
      <w:r w:rsidR="00367D77" w:rsidRPr="00367D77">
        <w:rPr>
          <w:rFonts w:cs="Arial"/>
          <w:rtl/>
        </w:rPr>
        <w:t xml:space="preserve"> כגון מדל"ת ה"א וכן כיוצא בו </w:t>
      </w:r>
      <w:r w:rsidR="00A82951">
        <w:rPr>
          <w:rFonts w:cs="Arial" w:hint="cs"/>
          <w:rtl/>
        </w:rPr>
        <w:t>-</w:t>
      </w:r>
      <w:r w:rsidR="00367D77">
        <w:rPr>
          <w:rFonts w:cs="Arial" w:hint="cs"/>
          <w:rtl/>
        </w:rPr>
        <w:t xml:space="preserve"> </w:t>
      </w:r>
      <w:r w:rsidR="00367D77" w:rsidRPr="00367D77">
        <w:rPr>
          <w:rFonts w:cs="Arial"/>
          <w:rtl/>
        </w:rPr>
        <w:t>אין למחוק לקוצו של ה"א לתקנה לאות דלי"ת</w:t>
      </w:r>
      <w:r w:rsidR="00367D77">
        <w:rPr>
          <w:rFonts w:cs="Arial" w:hint="cs"/>
          <w:rtl/>
        </w:rPr>
        <w:t>.</w:t>
      </w:r>
      <w:r w:rsidR="00367D77" w:rsidRPr="00367D77">
        <w:rPr>
          <w:rFonts w:cs="Arial"/>
          <w:rtl/>
        </w:rPr>
        <w:t xml:space="preserve"> אבל אם נפל דיו אחר שנעש' האות כתקנ</w:t>
      </w:r>
      <w:r w:rsidR="00367D77">
        <w:rPr>
          <w:rFonts w:cs="Arial" w:hint="cs"/>
          <w:rtl/>
        </w:rPr>
        <w:t xml:space="preserve">ה </w:t>
      </w:r>
      <w:r w:rsidR="00A82951">
        <w:rPr>
          <w:rFonts w:cs="Arial" w:hint="cs"/>
          <w:rtl/>
        </w:rPr>
        <w:t>-</w:t>
      </w:r>
      <w:r w:rsidR="00367D77" w:rsidRPr="00367D77">
        <w:rPr>
          <w:rFonts w:cs="Arial"/>
          <w:rtl/>
        </w:rPr>
        <w:t xml:space="preserve"> אין לחוש בזה</w:t>
      </w:r>
      <w:r w:rsidR="00835630">
        <w:rPr>
          <w:rStyle w:val="a7"/>
          <w:rFonts w:cs="Arial"/>
          <w:rtl/>
        </w:rPr>
        <w:footnoteReference w:id="555"/>
      </w:r>
      <w:r w:rsidR="00367D77">
        <w:rPr>
          <w:rFonts w:cs="Arial" w:hint="cs"/>
          <w:sz w:val="16"/>
          <w:szCs w:val="16"/>
          <w:rtl/>
        </w:rPr>
        <w:t xml:space="preserve"> (ל' הסמ"ק)</w:t>
      </w:r>
      <w:r>
        <w:rPr>
          <w:rFonts w:cs="Arial" w:hint="cs"/>
          <w:rtl/>
        </w:rPr>
        <w:t>.</w:t>
      </w:r>
      <w:r w:rsidRPr="00B05A70">
        <w:rPr>
          <w:rFonts w:cs="Arial"/>
          <w:rtl/>
        </w:rPr>
        <w:t xml:space="preserve"> </w:t>
      </w:r>
    </w:p>
    <w:p w14:paraId="45C03F01" w14:textId="486FD7AA" w:rsidR="00B05A70" w:rsidRPr="00B05A70" w:rsidRDefault="00B05A70" w:rsidP="00B05A70">
      <w:pPr>
        <w:pStyle w:val="ab"/>
        <w:numPr>
          <w:ilvl w:val="0"/>
          <w:numId w:val="47"/>
        </w:numPr>
        <w:rPr>
          <w:rFonts w:cs="Arial"/>
          <w:rtl/>
        </w:rPr>
      </w:pPr>
      <w:r w:rsidRPr="00B05A70">
        <w:rPr>
          <w:rFonts w:cs="Arial"/>
          <w:rtl/>
        </w:rPr>
        <w:t xml:space="preserve">ה"ר פרץ </w:t>
      </w:r>
      <w:r w:rsidRPr="00B05A70">
        <w:rPr>
          <w:rFonts w:cs="Arial"/>
          <w:sz w:val="16"/>
          <w:szCs w:val="16"/>
          <w:rtl/>
        </w:rPr>
        <w:t>(</w:t>
      </w:r>
      <w:r>
        <w:rPr>
          <w:rFonts w:cs="Arial" w:hint="cs"/>
          <w:sz w:val="16"/>
          <w:szCs w:val="16"/>
          <w:rtl/>
        </w:rPr>
        <w:t xml:space="preserve">בהגהות על הסמ"ק </w:t>
      </w:r>
      <w:r w:rsidRPr="00B05A70">
        <w:rPr>
          <w:rFonts w:cs="Arial"/>
          <w:sz w:val="16"/>
          <w:szCs w:val="16"/>
          <w:rtl/>
        </w:rPr>
        <w:t>שם)</w:t>
      </w:r>
      <w:r w:rsidR="00A82951">
        <w:rPr>
          <w:rFonts w:cs="Arial" w:hint="cs"/>
          <w:rtl/>
        </w:rPr>
        <w:t>-</w:t>
      </w:r>
      <w:r w:rsidRPr="00B05A70">
        <w:rPr>
          <w:rFonts w:cs="Arial"/>
          <w:rtl/>
        </w:rPr>
        <w:t xml:space="preserve"> מורינו רבי ברוך </w:t>
      </w:r>
      <w:r w:rsidRPr="00B05A70">
        <w:rPr>
          <w:rFonts w:cs="Arial"/>
          <w:sz w:val="16"/>
          <w:szCs w:val="16"/>
          <w:rtl/>
        </w:rPr>
        <w:t>(סה"ת</w:t>
      </w:r>
      <w:r w:rsidRPr="00B05A70">
        <w:rPr>
          <w:rFonts w:cs="Arial" w:hint="cs"/>
          <w:sz w:val="16"/>
          <w:szCs w:val="16"/>
          <w:rtl/>
        </w:rPr>
        <w:t xml:space="preserve"> גיטין סי' קטו</w:t>
      </w:r>
      <w:r w:rsidRPr="00B05A70">
        <w:rPr>
          <w:rFonts w:cs="Arial"/>
          <w:sz w:val="16"/>
          <w:szCs w:val="16"/>
          <w:rtl/>
        </w:rPr>
        <w:t xml:space="preserve">) </w:t>
      </w:r>
      <w:r w:rsidRPr="00B05A70">
        <w:rPr>
          <w:rFonts w:cs="Arial"/>
          <w:rtl/>
        </w:rPr>
        <w:t>פסיל ליה וכן נהגו העולם</w:t>
      </w:r>
      <w:r>
        <w:rPr>
          <w:rFonts w:cs="Arial" w:hint="cs"/>
          <w:rtl/>
        </w:rPr>
        <w:t>.</w:t>
      </w:r>
      <w:r w:rsidRPr="00B05A70">
        <w:rPr>
          <w:rFonts w:cs="Arial"/>
          <w:rtl/>
        </w:rPr>
        <w:t xml:space="preserve"> </w:t>
      </w:r>
    </w:p>
    <w:p w14:paraId="6F317F85" w14:textId="2010ECEF" w:rsidR="00247AB2" w:rsidRPr="00247AB2" w:rsidRDefault="00247AB2" w:rsidP="00247AB2">
      <w:pPr>
        <w:ind w:left="360"/>
        <w:rPr>
          <w:rFonts w:cs="Arial"/>
          <w:u w:val="dotted"/>
        </w:rPr>
      </w:pPr>
      <w:r>
        <w:rPr>
          <w:rFonts w:cs="Arial" w:hint="cs"/>
          <w:u w:val="dotted"/>
          <w:rtl/>
        </w:rPr>
        <w:t xml:space="preserve">ומה הדין אם הטיפת דיו נפלה </w:t>
      </w:r>
      <w:r w:rsidR="00367D77">
        <w:rPr>
          <w:rFonts w:cs="Arial" w:hint="cs"/>
          <w:u w:val="dotted"/>
          <w:rtl/>
        </w:rPr>
        <w:t>לפני שנעשתה האות כתקנה, אך אחר ה</w:t>
      </w:r>
      <w:r w:rsidRPr="00247AB2">
        <w:rPr>
          <w:rFonts w:cs="Arial" w:hint="cs"/>
          <w:u w:val="dotted"/>
          <w:rtl/>
        </w:rPr>
        <w:t xml:space="preserve">מחיקה </w:t>
      </w:r>
      <w:r w:rsidR="00367D77">
        <w:rPr>
          <w:rFonts w:cs="Arial" w:hint="cs"/>
          <w:u w:val="dotted"/>
          <w:rtl/>
        </w:rPr>
        <w:t>היה צריך להשלים את האות</w:t>
      </w:r>
      <w:r w:rsidRPr="00247AB2">
        <w:rPr>
          <w:rFonts w:cs="Arial" w:hint="cs"/>
          <w:u w:val="dotted"/>
          <w:rtl/>
        </w:rPr>
        <w:t>:</w:t>
      </w:r>
    </w:p>
    <w:p w14:paraId="58F5F725" w14:textId="6D2B3579" w:rsidR="00247AB2" w:rsidRPr="00247AB2" w:rsidRDefault="00247AB2" w:rsidP="00247AB2">
      <w:pPr>
        <w:pStyle w:val="ab"/>
        <w:numPr>
          <w:ilvl w:val="0"/>
          <w:numId w:val="46"/>
        </w:numPr>
        <w:rPr>
          <w:rFonts w:cs="Arial"/>
        </w:rPr>
      </w:pPr>
      <w:r w:rsidRPr="00B94B3B">
        <w:rPr>
          <w:rFonts w:cs="Arial"/>
          <w:rtl/>
        </w:rPr>
        <w:t>תרוה</w:t>
      </w:r>
      <w:r w:rsidRPr="00B94B3B">
        <w:rPr>
          <w:rFonts w:cs="Arial" w:hint="cs"/>
          <w:rtl/>
        </w:rPr>
        <w:t>"</w:t>
      </w:r>
      <w:r w:rsidRPr="00B94B3B">
        <w:rPr>
          <w:rFonts w:cs="Arial"/>
          <w:rtl/>
        </w:rPr>
        <w:t xml:space="preserve">ד </w:t>
      </w:r>
      <w:r w:rsidRPr="00B94B3B">
        <w:rPr>
          <w:rFonts w:cs="Arial" w:hint="cs"/>
          <w:sz w:val="16"/>
          <w:szCs w:val="16"/>
          <w:rtl/>
        </w:rPr>
        <w:t>(</w:t>
      </w:r>
      <w:r w:rsidRPr="00B94B3B">
        <w:rPr>
          <w:rFonts w:cs="Arial"/>
          <w:sz w:val="16"/>
          <w:szCs w:val="16"/>
          <w:rtl/>
        </w:rPr>
        <w:t>סי</w:t>
      </w:r>
      <w:r w:rsidRPr="00B94B3B">
        <w:rPr>
          <w:rFonts w:cs="Arial" w:hint="cs"/>
          <w:sz w:val="16"/>
          <w:szCs w:val="16"/>
          <w:rtl/>
        </w:rPr>
        <w:t>'</w:t>
      </w:r>
      <w:r w:rsidRPr="00B94B3B">
        <w:rPr>
          <w:rFonts w:cs="Arial"/>
          <w:sz w:val="16"/>
          <w:szCs w:val="16"/>
          <w:rtl/>
        </w:rPr>
        <w:t xml:space="preserve"> רכח</w:t>
      </w:r>
      <w:r w:rsidRPr="00B94B3B">
        <w:rPr>
          <w:rFonts w:cs="Arial" w:hint="cs"/>
          <w:sz w:val="16"/>
          <w:szCs w:val="16"/>
          <w:rtl/>
        </w:rPr>
        <w:t>)</w:t>
      </w:r>
      <w:r w:rsidR="00A82951">
        <w:rPr>
          <w:rFonts w:cs="Arial" w:hint="cs"/>
          <w:rtl/>
        </w:rPr>
        <w:t>-</w:t>
      </w:r>
      <w:r w:rsidRPr="00B94B3B">
        <w:rPr>
          <w:rFonts w:cs="Arial"/>
          <w:rtl/>
        </w:rPr>
        <w:t xml:space="preserve"> כל חק תוכות דפסלי הגאונים על ידי מחיקה לא כתבו אלא שעל ידי מחיקה לבדה נתקן האות מקלקולו</w:t>
      </w:r>
      <w:r>
        <w:rPr>
          <w:rFonts w:cs="Arial" w:hint="cs"/>
          <w:rtl/>
        </w:rPr>
        <w:t>,</w:t>
      </w:r>
      <w:r w:rsidRPr="00B94B3B">
        <w:rPr>
          <w:rFonts w:cs="Arial"/>
          <w:rtl/>
        </w:rPr>
        <w:t xml:space="preserve"> אבל היכא שעדיין צריך לכתוב ולהוסיף על המחיקה לישווייה אות </w:t>
      </w:r>
      <w:r w:rsidR="00A82951">
        <w:rPr>
          <w:rFonts w:cs="Arial" w:hint="cs"/>
          <w:rtl/>
        </w:rPr>
        <w:t>-</w:t>
      </w:r>
      <w:r>
        <w:rPr>
          <w:rFonts w:cs="Arial" w:hint="cs"/>
          <w:rtl/>
        </w:rPr>
        <w:t xml:space="preserve"> </w:t>
      </w:r>
      <w:r w:rsidRPr="00B94B3B">
        <w:rPr>
          <w:rFonts w:cs="Arial"/>
          <w:rtl/>
        </w:rPr>
        <w:t>בכהאי גוונא לא נפסל משום חק תוכות</w:t>
      </w:r>
      <w:r>
        <w:rPr>
          <w:rStyle w:val="a7"/>
          <w:rFonts w:cs="Arial"/>
          <w:rtl/>
        </w:rPr>
        <w:footnoteReference w:id="556"/>
      </w:r>
      <w:r w:rsidRPr="00247AB2">
        <w:rPr>
          <w:rFonts w:cs="Arial"/>
          <w:rtl/>
        </w:rPr>
        <w:t xml:space="preserve">. </w:t>
      </w:r>
    </w:p>
    <w:p w14:paraId="60CBB800"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8D4DC6D" w14:textId="7CFBDDF8" w:rsidR="00C77C34" w:rsidRDefault="00C77C34" w:rsidP="00C77C34">
      <w:pPr>
        <w:rPr>
          <w:rFonts w:cs="Arial"/>
          <w:rtl/>
        </w:rPr>
      </w:pPr>
      <w:r w:rsidRPr="00C77C34">
        <w:rPr>
          <w:rFonts w:cs="Arial"/>
          <w:rtl/>
        </w:rPr>
        <w:t xml:space="preserve">אם נפלה טפת דיו </w:t>
      </w:r>
      <w:r w:rsidR="00AF4AED">
        <w:rPr>
          <w:rFonts w:cs="Arial" w:hint="cs"/>
          <w:sz w:val="18"/>
          <w:szCs w:val="18"/>
          <w:rtl/>
        </w:rPr>
        <w:t xml:space="preserve">[הגה] </w:t>
      </w:r>
      <w:r w:rsidRPr="00AF4AED">
        <w:rPr>
          <w:rFonts w:cs="Arial"/>
          <w:sz w:val="18"/>
          <w:szCs w:val="18"/>
          <w:rtl/>
        </w:rPr>
        <w:t xml:space="preserve">בתוך האות (טור) </w:t>
      </w:r>
      <w:r w:rsidRPr="00C77C34">
        <w:rPr>
          <w:rFonts w:cs="Arial"/>
          <w:rtl/>
        </w:rPr>
        <w:t>ואינה ניכרת, אינו יכול להעביר הדיו ולתקן האות, דהוה ליה חק תוכות</w:t>
      </w:r>
      <w:r w:rsidR="00DC0E97">
        <w:rPr>
          <w:rStyle w:val="a7"/>
          <w:rFonts w:cs="Arial"/>
          <w:rtl/>
        </w:rPr>
        <w:footnoteReference w:id="557"/>
      </w:r>
      <w:r w:rsidRPr="00C77C34">
        <w:rPr>
          <w:rFonts w:cs="Arial"/>
          <w:rtl/>
        </w:rPr>
        <w:t xml:space="preserve">. </w:t>
      </w:r>
      <w:r w:rsidR="00AF4AED">
        <w:rPr>
          <w:rFonts w:cs="Arial" w:hint="cs"/>
          <w:sz w:val="18"/>
          <w:szCs w:val="18"/>
          <w:rtl/>
        </w:rPr>
        <w:t xml:space="preserve">[הגה] </w:t>
      </w:r>
      <w:r w:rsidRPr="00AF4AED">
        <w:rPr>
          <w:rFonts w:cs="Arial"/>
          <w:sz w:val="18"/>
          <w:szCs w:val="18"/>
          <w:rtl/>
        </w:rPr>
        <w:t>ויש מחמירין אפילו האות ניכרת</w:t>
      </w:r>
      <w:r w:rsidR="00540C4A">
        <w:rPr>
          <w:rStyle w:val="a7"/>
          <w:rFonts w:cs="Arial"/>
          <w:sz w:val="18"/>
          <w:szCs w:val="18"/>
          <w:rtl/>
        </w:rPr>
        <w:footnoteReference w:id="558"/>
      </w:r>
      <w:r w:rsidRPr="00AF4AED">
        <w:rPr>
          <w:rFonts w:cs="Arial"/>
          <w:sz w:val="18"/>
          <w:szCs w:val="18"/>
          <w:rtl/>
        </w:rPr>
        <w:t xml:space="preserve"> (מהרי"ק), וכן נוהגין.</w:t>
      </w:r>
      <w:r w:rsidRPr="00C77C34">
        <w:rPr>
          <w:rFonts w:cs="Arial"/>
          <w:rtl/>
        </w:rPr>
        <w:t xml:space="preserve"> </w:t>
      </w:r>
    </w:p>
    <w:p w14:paraId="27948E16" w14:textId="40A1B681" w:rsidR="003E5C2F" w:rsidRPr="003E5C2F" w:rsidRDefault="003E5C2F" w:rsidP="00C77C34">
      <w:pPr>
        <w:rPr>
          <w:rFonts w:cs="Arial"/>
          <w:u w:val="single"/>
          <w:rtl/>
        </w:rPr>
      </w:pPr>
      <w:r w:rsidRPr="003E5C2F">
        <w:rPr>
          <w:rFonts w:cs="Arial" w:hint="cs"/>
          <w:u w:val="single"/>
          <w:rtl/>
        </w:rPr>
        <w:t>האם אפשר ל</w:t>
      </w:r>
      <w:r w:rsidR="00D13118">
        <w:rPr>
          <w:rFonts w:cs="Arial" w:hint="cs"/>
          <w:u w:val="single"/>
          <w:rtl/>
        </w:rPr>
        <w:t>העביר את הקלקול</w:t>
      </w:r>
      <w:r w:rsidRPr="003E5C2F">
        <w:rPr>
          <w:rFonts w:cs="Arial" w:hint="cs"/>
          <w:u w:val="single"/>
          <w:rtl/>
        </w:rPr>
        <w:t xml:space="preserve"> </w:t>
      </w:r>
      <w:r w:rsidR="009B1C43">
        <w:rPr>
          <w:rFonts w:cs="Arial" w:hint="cs"/>
          <w:u w:val="single"/>
          <w:rtl/>
        </w:rPr>
        <w:t xml:space="preserve">של הטיפה </w:t>
      </w:r>
      <w:r w:rsidRPr="003E5C2F">
        <w:rPr>
          <w:rFonts w:cs="Arial" w:hint="cs"/>
          <w:u w:val="single"/>
          <w:rtl/>
        </w:rPr>
        <w:t>ע"י גרידה</w:t>
      </w:r>
      <w:r w:rsidR="009B1C43">
        <w:rPr>
          <w:rFonts w:cs="Arial" w:hint="cs"/>
          <w:u w:val="single"/>
          <w:rtl/>
        </w:rPr>
        <w:t xml:space="preserve"> של כל אות</w:t>
      </w:r>
      <w:r w:rsidRPr="003E5C2F">
        <w:rPr>
          <w:rFonts w:cs="Arial" w:hint="cs"/>
          <w:u w:val="single"/>
          <w:rtl/>
        </w:rPr>
        <w:t>:</w:t>
      </w:r>
    </w:p>
    <w:p w14:paraId="5AE3FC6B" w14:textId="39052594" w:rsidR="003E5C2F" w:rsidRDefault="003E5C2F" w:rsidP="003E5C2F">
      <w:pPr>
        <w:pStyle w:val="ab"/>
        <w:numPr>
          <w:ilvl w:val="0"/>
          <w:numId w:val="50"/>
        </w:numPr>
        <w:rPr>
          <w:rFonts w:cs="Arial"/>
        </w:rPr>
      </w:pPr>
      <w:r w:rsidRPr="003E5C2F">
        <w:rPr>
          <w:rFonts w:cs="Arial"/>
          <w:rtl/>
        </w:rPr>
        <w:t>ב"ח</w:t>
      </w:r>
      <w:r w:rsidR="00A82951">
        <w:rPr>
          <w:rFonts w:cs="Arial" w:hint="cs"/>
          <w:rtl/>
        </w:rPr>
        <w:t>-</w:t>
      </w:r>
      <w:r w:rsidRPr="003E5C2F">
        <w:rPr>
          <w:rFonts w:cs="Arial"/>
          <w:rtl/>
        </w:rPr>
        <w:t xml:space="preserve"> ואין לה תקנה אלא לגרוד הכל</w:t>
      </w:r>
      <w:r w:rsidRPr="003E5C2F">
        <w:rPr>
          <w:rFonts w:cs="Arial" w:hint="cs"/>
          <w:rtl/>
        </w:rPr>
        <w:t>,</w:t>
      </w:r>
      <w:r w:rsidRPr="003E5C2F">
        <w:rPr>
          <w:rFonts w:cs="Arial"/>
          <w:rtl/>
        </w:rPr>
        <w:t xml:space="preserve"> ולכתוב אצל הגרד</w:t>
      </w:r>
      <w:r w:rsidRPr="003E5C2F">
        <w:rPr>
          <w:rFonts w:cs="Arial" w:hint="cs"/>
          <w:rtl/>
        </w:rPr>
        <w:t>,</w:t>
      </w:r>
      <w:r w:rsidRPr="003E5C2F">
        <w:rPr>
          <w:rFonts w:cs="Arial"/>
          <w:rtl/>
        </w:rPr>
        <w:t xml:space="preserve"> דעל הגרד אסור לכתוב</w:t>
      </w:r>
      <w:r w:rsidRPr="003E5C2F">
        <w:rPr>
          <w:rFonts w:cs="Arial" w:hint="cs"/>
          <w:rtl/>
        </w:rPr>
        <w:t>,</w:t>
      </w:r>
      <w:r w:rsidRPr="003E5C2F">
        <w:rPr>
          <w:rFonts w:cs="Arial"/>
          <w:rtl/>
        </w:rPr>
        <w:t xml:space="preserve"> דאין כותבין על המחק דעשוי להזדייף</w:t>
      </w:r>
      <w:r w:rsidRPr="003E5C2F">
        <w:rPr>
          <w:rFonts w:cs="Arial" w:hint="cs"/>
          <w:rtl/>
        </w:rPr>
        <w:t>.</w:t>
      </w:r>
      <w:r w:rsidRPr="003E5C2F">
        <w:rPr>
          <w:rFonts w:cs="Arial"/>
          <w:rtl/>
        </w:rPr>
        <w:t xml:space="preserve"> ותקנה זו א"א אלא כשהרגיש הקלקול מיד</w:t>
      </w:r>
      <w:r w:rsidRPr="003E5C2F">
        <w:rPr>
          <w:rFonts w:cs="Arial" w:hint="cs"/>
          <w:rtl/>
        </w:rPr>
        <w:t>,</w:t>
      </w:r>
      <w:r w:rsidRPr="003E5C2F">
        <w:rPr>
          <w:rFonts w:cs="Arial"/>
          <w:rtl/>
        </w:rPr>
        <w:t xml:space="preserve"> כלומר קודם שהתחיל לכתוב תיבה אחרת</w:t>
      </w:r>
      <w:r w:rsidRPr="003E5C2F">
        <w:rPr>
          <w:rFonts w:cs="Arial" w:hint="cs"/>
          <w:rtl/>
        </w:rPr>
        <w:t>.</w:t>
      </w:r>
      <w:r w:rsidRPr="003E5C2F">
        <w:rPr>
          <w:rFonts w:cs="Arial"/>
          <w:rtl/>
        </w:rPr>
        <w:t xml:space="preserve"> </w:t>
      </w:r>
    </w:p>
    <w:p w14:paraId="2C3D99E1" w14:textId="52D02BAF" w:rsidR="003E5C2F" w:rsidRDefault="00A4795C" w:rsidP="003E5C2F">
      <w:pPr>
        <w:pStyle w:val="ab"/>
        <w:numPr>
          <w:ilvl w:val="0"/>
          <w:numId w:val="50"/>
        </w:numPr>
        <w:rPr>
          <w:rFonts w:cs="Arial"/>
        </w:rPr>
      </w:pPr>
      <w:r>
        <w:rPr>
          <w:rFonts w:cs="Arial" w:hint="cs"/>
          <w:rtl/>
        </w:rPr>
        <w:t xml:space="preserve">ט"ז </w:t>
      </w:r>
      <w:r>
        <w:rPr>
          <w:rFonts w:cs="Arial" w:hint="cs"/>
          <w:sz w:val="16"/>
          <w:szCs w:val="16"/>
          <w:rtl/>
        </w:rPr>
        <w:t xml:space="preserve">(סקי"ז) </w:t>
      </w:r>
      <w:r w:rsidR="009B36C9">
        <w:rPr>
          <w:rFonts w:cs="Arial" w:hint="cs"/>
          <w:rtl/>
        </w:rPr>
        <w:t>ו</w:t>
      </w:r>
      <w:r w:rsidR="003E5C2F">
        <w:rPr>
          <w:rFonts w:cs="Arial" w:hint="cs"/>
          <w:rtl/>
        </w:rPr>
        <w:t xml:space="preserve">ח"מ </w:t>
      </w:r>
      <w:r w:rsidR="003E5C2F">
        <w:rPr>
          <w:rFonts w:cs="Arial" w:hint="cs"/>
          <w:sz w:val="16"/>
          <w:szCs w:val="16"/>
          <w:rtl/>
        </w:rPr>
        <w:t>(סקי"א)</w:t>
      </w:r>
      <w:r w:rsidR="00A82951">
        <w:rPr>
          <w:rFonts w:cs="Arial" w:hint="cs"/>
          <w:rtl/>
        </w:rPr>
        <w:t>-</w:t>
      </w:r>
      <w:r w:rsidR="003E5C2F">
        <w:rPr>
          <w:rFonts w:cs="Arial" w:hint="cs"/>
          <w:rtl/>
        </w:rPr>
        <w:t xml:space="preserve"> </w:t>
      </w:r>
      <w:r w:rsidR="003E5C2F" w:rsidRPr="003E5C2F">
        <w:rPr>
          <w:rFonts w:cs="Arial"/>
          <w:rtl/>
        </w:rPr>
        <w:t xml:space="preserve">לי נראה דאין תקנה זו </w:t>
      </w:r>
      <w:r w:rsidR="003E5C2F">
        <w:rPr>
          <w:rFonts w:cs="Arial" w:hint="cs"/>
          <w:sz w:val="16"/>
          <w:szCs w:val="16"/>
          <w:rtl/>
        </w:rPr>
        <w:t xml:space="preserve">{של הב"ח} </w:t>
      </w:r>
      <w:r w:rsidR="003E5C2F" w:rsidRPr="003E5C2F">
        <w:rPr>
          <w:rFonts w:cs="Arial"/>
          <w:rtl/>
        </w:rPr>
        <w:t>מועל</w:t>
      </w:r>
      <w:r w:rsidR="003E5C2F">
        <w:rPr>
          <w:rFonts w:cs="Arial" w:hint="cs"/>
          <w:rtl/>
        </w:rPr>
        <w:t>ת</w:t>
      </w:r>
      <w:r w:rsidR="003E5C2F" w:rsidRPr="003E5C2F">
        <w:rPr>
          <w:rFonts w:cs="Arial" w:hint="cs"/>
          <w:rtl/>
        </w:rPr>
        <w:t>,</w:t>
      </w:r>
      <w:r w:rsidR="003E5C2F" w:rsidRPr="003E5C2F">
        <w:rPr>
          <w:rFonts w:cs="Arial"/>
          <w:rtl/>
        </w:rPr>
        <w:t xml:space="preserve"> דכשם שאין כותבין על הגרד כך צריך שלא יהיה גרד בין אות לאות ג"כ משום חשש זיוף</w:t>
      </w:r>
      <w:r w:rsidR="003E5C2F">
        <w:rPr>
          <w:rFonts w:cs="Arial" w:hint="cs"/>
          <w:rtl/>
        </w:rPr>
        <w:t>,</w:t>
      </w:r>
      <w:r w:rsidR="003E5C2F" w:rsidRPr="003E5C2F">
        <w:rPr>
          <w:rFonts w:cs="Arial"/>
          <w:rtl/>
        </w:rPr>
        <w:t xml:space="preserve"> אפי' זבוב שמשך קצת דיו פסק בסמוך דאין למחוק</w:t>
      </w:r>
      <w:r>
        <w:rPr>
          <w:rFonts w:cs="Arial" w:hint="cs"/>
          <w:sz w:val="16"/>
          <w:szCs w:val="16"/>
          <w:rtl/>
        </w:rPr>
        <w:t xml:space="preserve"> (ל' הח"מ)</w:t>
      </w:r>
      <w:r w:rsidR="003E5C2F">
        <w:rPr>
          <w:rFonts w:cs="Arial" w:hint="cs"/>
          <w:rtl/>
        </w:rPr>
        <w:t>.</w:t>
      </w:r>
    </w:p>
    <w:p w14:paraId="79CBF512" w14:textId="5D02E0E0" w:rsidR="00AA7E36" w:rsidRPr="00AA7E36" w:rsidRDefault="00AA7E36" w:rsidP="00AA7E36">
      <w:pPr>
        <w:ind w:left="360"/>
        <w:rPr>
          <w:rFonts w:cs="Arial"/>
          <w:u w:val="dotted"/>
        </w:rPr>
      </w:pPr>
      <w:r w:rsidRPr="00AA7E36">
        <w:rPr>
          <w:rFonts w:cs="Arial" w:hint="cs"/>
          <w:u w:val="dotted"/>
          <w:rtl/>
        </w:rPr>
        <w:t>ומה הדין ב</w:t>
      </w:r>
      <w:r>
        <w:rPr>
          <w:rFonts w:cs="Arial" w:hint="cs"/>
          <w:u w:val="dotted"/>
          <w:rtl/>
        </w:rPr>
        <w:t>שעה"ד או ב</w:t>
      </w:r>
      <w:r w:rsidRPr="00AA7E36">
        <w:rPr>
          <w:rFonts w:cs="Arial" w:hint="cs"/>
          <w:u w:val="dotted"/>
          <w:rtl/>
        </w:rPr>
        <w:t>מקום עיגון:</w:t>
      </w:r>
    </w:p>
    <w:p w14:paraId="484F61DB" w14:textId="0F208062" w:rsidR="00AA7E36" w:rsidRDefault="003E5C2F" w:rsidP="003E5C2F">
      <w:pPr>
        <w:pStyle w:val="ab"/>
        <w:numPr>
          <w:ilvl w:val="0"/>
          <w:numId w:val="50"/>
        </w:numPr>
        <w:rPr>
          <w:rFonts w:cs="Arial"/>
        </w:rPr>
      </w:pPr>
      <w:r>
        <w:rPr>
          <w:rFonts w:cs="Arial" w:hint="cs"/>
          <w:rtl/>
        </w:rPr>
        <w:t xml:space="preserve">ב"ש </w:t>
      </w:r>
      <w:r>
        <w:rPr>
          <w:rFonts w:cs="Arial" w:hint="cs"/>
          <w:sz w:val="16"/>
          <w:szCs w:val="16"/>
          <w:rtl/>
        </w:rPr>
        <w:t>(סקי"א)</w:t>
      </w:r>
      <w:r w:rsidR="00A82951">
        <w:rPr>
          <w:rFonts w:cs="Arial" w:hint="cs"/>
          <w:rtl/>
        </w:rPr>
        <w:t>-</w:t>
      </w:r>
      <w:r w:rsidRPr="003E5C2F">
        <w:rPr>
          <w:rFonts w:cs="Arial"/>
          <w:rtl/>
        </w:rPr>
        <w:t xml:space="preserve"> אם רוצה לגרד כל האות אין יכול</w:t>
      </w:r>
      <w:r>
        <w:rPr>
          <w:rFonts w:cs="Arial" w:hint="cs"/>
          <w:rtl/>
        </w:rPr>
        <w:t>,</w:t>
      </w:r>
      <w:r w:rsidRPr="003E5C2F">
        <w:rPr>
          <w:rFonts w:cs="Arial"/>
          <w:rtl/>
        </w:rPr>
        <w:t xml:space="preserve"> משום דאסור להיות גט בשום מחק או טשטוש אפילו בין אות לאות משום חשש זיוף</w:t>
      </w:r>
      <w:r>
        <w:rPr>
          <w:rFonts w:cs="Arial" w:hint="cs"/>
          <w:rtl/>
        </w:rPr>
        <w:t>,</w:t>
      </w:r>
      <w:r w:rsidRPr="003E5C2F">
        <w:rPr>
          <w:rFonts w:cs="Arial"/>
          <w:rtl/>
        </w:rPr>
        <w:t xml:space="preserve"> מיהו במקום עיגון יש תקנה בכל הטעות אפי' טעות גמור יכול לגרד ולכתוב</w:t>
      </w:r>
      <w:r>
        <w:rPr>
          <w:rFonts w:cs="Arial" w:hint="cs"/>
          <w:rtl/>
        </w:rPr>
        <w:t>.</w:t>
      </w:r>
      <w:r w:rsidRPr="003E5C2F">
        <w:rPr>
          <w:rFonts w:cs="Arial"/>
          <w:rtl/>
        </w:rPr>
        <w:t xml:space="preserve"> אפילו לדידן דאין מקיימי' שום מחק</w:t>
      </w:r>
      <w:r>
        <w:rPr>
          <w:rFonts w:cs="Arial" w:hint="cs"/>
          <w:rtl/>
        </w:rPr>
        <w:t>,</w:t>
      </w:r>
      <w:r w:rsidRPr="003E5C2F">
        <w:rPr>
          <w:rFonts w:cs="Arial"/>
          <w:rtl/>
        </w:rPr>
        <w:t xml:space="preserve"> מ"מ כשר בעת הדחק אע</w:t>
      </w:r>
      <w:r>
        <w:rPr>
          <w:rFonts w:cs="Arial" w:hint="cs"/>
          <w:rtl/>
        </w:rPr>
        <w:t>"</w:t>
      </w:r>
      <w:r w:rsidRPr="003E5C2F">
        <w:rPr>
          <w:rFonts w:cs="Arial"/>
          <w:rtl/>
        </w:rPr>
        <w:t>ג דהרגיש בטעות אחר שכתב כל הגט יכול למחוק הטעו' ולכתוב</w:t>
      </w:r>
      <w:r>
        <w:rPr>
          <w:rFonts w:cs="Arial" w:hint="cs"/>
          <w:rtl/>
        </w:rPr>
        <w:t>.</w:t>
      </w:r>
      <w:r w:rsidRPr="003E5C2F">
        <w:rPr>
          <w:rFonts w:cs="Arial"/>
          <w:rtl/>
        </w:rPr>
        <w:t xml:space="preserve"> </w:t>
      </w:r>
      <w:r>
        <w:rPr>
          <w:rFonts w:cs="Arial" w:hint="cs"/>
          <w:rtl/>
        </w:rPr>
        <w:t>ו</w:t>
      </w:r>
      <w:r w:rsidRPr="003E5C2F">
        <w:rPr>
          <w:rFonts w:cs="Arial"/>
          <w:rtl/>
        </w:rPr>
        <w:t>אע</w:t>
      </w:r>
      <w:r>
        <w:rPr>
          <w:rFonts w:cs="Arial" w:hint="cs"/>
          <w:rtl/>
        </w:rPr>
        <w:t>"</w:t>
      </w:r>
      <w:r w:rsidRPr="003E5C2F">
        <w:rPr>
          <w:rFonts w:cs="Arial"/>
          <w:rtl/>
        </w:rPr>
        <w:t>ג שכותב שלא כסדר</w:t>
      </w:r>
      <w:r>
        <w:rPr>
          <w:rFonts w:cs="Arial" w:hint="cs"/>
          <w:rtl/>
        </w:rPr>
        <w:t>,</w:t>
      </w:r>
      <w:r w:rsidRPr="003E5C2F">
        <w:rPr>
          <w:rFonts w:cs="Arial"/>
          <w:rtl/>
        </w:rPr>
        <w:t xml:space="preserve"> אין עיכוב בגט</w:t>
      </w:r>
      <w:r>
        <w:rPr>
          <w:rFonts w:cs="Arial" w:hint="cs"/>
          <w:rtl/>
        </w:rPr>
        <w:t>.</w:t>
      </w:r>
      <w:r w:rsidRPr="003E5C2F">
        <w:rPr>
          <w:rFonts w:cs="Arial"/>
          <w:rtl/>
        </w:rPr>
        <w:t xml:space="preserve"> אלא בתפילין צריך לכתוב כסדר משום דכתיב והיו בהווייתן יהו</w:t>
      </w:r>
      <w:r>
        <w:rPr>
          <w:rFonts w:cs="Arial" w:hint="cs"/>
          <w:rtl/>
        </w:rPr>
        <w:t>,</w:t>
      </w:r>
      <w:r w:rsidRPr="003E5C2F">
        <w:rPr>
          <w:rFonts w:cs="Arial"/>
          <w:rtl/>
        </w:rPr>
        <w:t xml:space="preserve"> אבל בגט כשר</w:t>
      </w:r>
      <w:r>
        <w:rPr>
          <w:rFonts w:cs="Arial" w:hint="cs"/>
          <w:rtl/>
        </w:rPr>
        <w:t>.</w:t>
      </w:r>
      <w:r w:rsidRPr="003E5C2F">
        <w:rPr>
          <w:rFonts w:cs="Arial"/>
          <w:rtl/>
        </w:rPr>
        <w:t xml:space="preserve"> וכ"פ בט"ז</w:t>
      </w:r>
      <w:r w:rsidR="00AA7E36">
        <w:rPr>
          <w:rFonts w:cs="Arial" w:hint="cs"/>
          <w:rtl/>
        </w:rPr>
        <w:t xml:space="preserve"> (סקי"ז)</w:t>
      </w:r>
      <w:r>
        <w:rPr>
          <w:rFonts w:cs="Arial" w:hint="cs"/>
          <w:rtl/>
        </w:rPr>
        <w:t>,</w:t>
      </w:r>
      <w:r w:rsidRPr="003E5C2F">
        <w:rPr>
          <w:rFonts w:cs="Arial"/>
          <w:rtl/>
        </w:rPr>
        <w:t xml:space="preserve"> ועשה</w:t>
      </w:r>
      <w:r w:rsidR="00AA7E36">
        <w:rPr>
          <w:rFonts w:cs="Arial" w:hint="cs"/>
          <w:sz w:val="16"/>
          <w:szCs w:val="16"/>
          <w:rtl/>
        </w:rPr>
        <w:t xml:space="preserve"> {מהר"י הלוי, אח הט"ז}</w:t>
      </w:r>
      <w:r w:rsidRPr="003E5C2F">
        <w:rPr>
          <w:rFonts w:cs="Arial"/>
          <w:rtl/>
        </w:rPr>
        <w:t xml:space="preserve"> עובדא </w:t>
      </w:r>
      <w:r w:rsidR="00AA7E36">
        <w:rPr>
          <w:rFonts w:cs="Arial" w:hint="cs"/>
          <w:sz w:val="16"/>
          <w:szCs w:val="16"/>
          <w:rtl/>
        </w:rPr>
        <w:t xml:space="preserve"> </w:t>
      </w:r>
      <w:r w:rsidRPr="003E5C2F">
        <w:rPr>
          <w:rFonts w:cs="Arial"/>
          <w:rtl/>
        </w:rPr>
        <w:t>בגט מומר והורה למחוק הטעות ולכתוב</w:t>
      </w:r>
      <w:r w:rsidR="00AA7E36">
        <w:rPr>
          <w:rFonts w:cs="Arial" w:hint="cs"/>
          <w:rtl/>
        </w:rPr>
        <w:t>.</w:t>
      </w:r>
      <w:r w:rsidRPr="003E5C2F">
        <w:rPr>
          <w:rFonts w:cs="Arial"/>
          <w:rtl/>
        </w:rPr>
        <w:t xml:space="preserve"> </w:t>
      </w:r>
    </w:p>
    <w:p w14:paraId="051EBF09" w14:textId="4BB49402" w:rsidR="00AA7E36" w:rsidRPr="00AA7E36" w:rsidRDefault="00AA7E36" w:rsidP="00AA7E36">
      <w:pPr>
        <w:rPr>
          <w:rFonts w:cs="Arial"/>
          <w:u w:val="single"/>
        </w:rPr>
      </w:pPr>
      <w:r w:rsidRPr="00AA7E36">
        <w:rPr>
          <w:rFonts w:cs="Arial" w:hint="cs"/>
          <w:u w:val="single"/>
          <w:rtl/>
        </w:rPr>
        <w:lastRenderedPageBreak/>
        <w:t>טעות בחתימת העדים:</w:t>
      </w:r>
    </w:p>
    <w:p w14:paraId="22390DFB" w14:textId="05975A9D" w:rsidR="00AF4AED" w:rsidRDefault="009B36C9" w:rsidP="003E5C2F">
      <w:pPr>
        <w:pStyle w:val="ab"/>
        <w:numPr>
          <w:ilvl w:val="0"/>
          <w:numId w:val="50"/>
        </w:numPr>
        <w:rPr>
          <w:rFonts w:cs="Arial"/>
        </w:rPr>
      </w:pPr>
      <w:r>
        <w:rPr>
          <w:rFonts w:cs="Arial" w:hint="cs"/>
          <w:rtl/>
        </w:rPr>
        <w:t>ט"ז</w:t>
      </w:r>
      <w:r>
        <w:rPr>
          <w:rStyle w:val="a7"/>
          <w:rFonts w:cs="Arial"/>
          <w:rtl/>
        </w:rPr>
        <w:footnoteReference w:id="559"/>
      </w:r>
      <w:r>
        <w:rPr>
          <w:rFonts w:cs="Arial" w:hint="cs"/>
          <w:sz w:val="16"/>
          <w:szCs w:val="16"/>
          <w:rtl/>
        </w:rPr>
        <w:t xml:space="preserve"> (סקי"ז)</w:t>
      </w:r>
      <w:r>
        <w:rPr>
          <w:rFonts w:cs="Arial" w:hint="cs"/>
          <w:rtl/>
        </w:rPr>
        <w:t xml:space="preserve"> ו</w:t>
      </w:r>
      <w:r w:rsidR="00AA7E36">
        <w:rPr>
          <w:rFonts w:cs="Arial" w:hint="cs"/>
          <w:rtl/>
        </w:rPr>
        <w:t xml:space="preserve">ב"ש </w:t>
      </w:r>
      <w:r w:rsidR="00AA7E36">
        <w:rPr>
          <w:rFonts w:cs="Arial" w:hint="cs"/>
          <w:sz w:val="16"/>
          <w:szCs w:val="16"/>
          <w:rtl/>
        </w:rPr>
        <w:t>(סקי"א)</w:t>
      </w:r>
      <w:r w:rsidR="00A82951">
        <w:rPr>
          <w:rFonts w:cs="Arial" w:hint="cs"/>
          <w:rtl/>
        </w:rPr>
        <w:t>-</w:t>
      </w:r>
      <w:r w:rsidR="00AA7E36" w:rsidRPr="003E5C2F">
        <w:rPr>
          <w:rFonts w:cs="Arial"/>
          <w:rtl/>
        </w:rPr>
        <w:t xml:space="preserve"> </w:t>
      </w:r>
      <w:r w:rsidR="003E5C2F" w:rsidRPr="003E5C2F">
        <w:rPr>
          <w:rFonts w:cs="Arial"/>
          <w:rtl/>
        </w:rPr>
        <w:t xml:space="preserve">בחתימת העדים אם אירע טעות באיזה אות </w:t>
      </w:r>
      <w:r w:rsidR="00A82951">
        <w:rPr>
          <w:rFonts w:cs="Arial" w:hint="cs"/>
          <w:rtl/>
        </w:rPr>
        <w:t>-</w:t>
      </w:r>
      <w:r w:rsidR="00AA7E36">
        <w:rPr>
          <w:rFonts w:cs="Arial" w:hint="cs"/>
          <w:rtl/>
        </w:rPr>
        <w:t xml:space="preserve"> </w:t>
      </w:r>
      <w:r w:rsidR="003E5C2F" w:rsidRPr="003E5C2F">
        <w:rPr>
          <w:rFonts w:cs="Arial"/>
          <w:rtl/>
        </w:rPr>
        <w:t>מותר אפי' לכתחילה למחוק כל האות ולכתוב על המחק</w:t>
      </w:r>
      <w:r w:rsidR="00AA7E36">
        <w:rPr>
          <w:rFonts w:cs="Arial" w:hint="cs"/>
          <w:rtl/>
        </w:rPr>
        <w:t>.</w:t>
      </w:r>
      <w:r w:rsidR="003E5C2F" w:rsidRPr="003E5C2F">
        <w:rPr>
          <w:rFonts w:cs="Arial"/>
          <w:rtl/>
        </w:rPr>
        <w:t xml:space="preserve"> ואם כבר חתמו העדים בגט </w:t>
      </w:r>
      <w:r w:rsidR="00A82951">
        <w:rPr>
          <w:rFonts w:cs="Arial" w:hint="cs"/>
          <w:rtl/>
        </w:rPr>
        <w:t>-</w:t>
      </w:r>
      <w:r w:rsidR="00AA7E36">
        <w:rPr>
          <w:rFonts w:cs="Arial" w:hint="cs"/>
          <w:rtl/>
        </w:rPr>
        <w:t xml:space="preserve"> </w:t>
      </w:r>
      <w:r w:rsidR="003E5C2F" w:rsidRPr="003E5C2F">
        <w:rPr>
          <w:rFonts w:cs="Arial"/>
          <w:rtl/>
        </w:rPr>
        <w:t>אין תקנה לתקן בגט</w:t>
      </w:r>
      <w:r w:rsidR="00AA7E36">
        <w:rPr>
          <w:rFonts w:cs="Arial" w:hint="cs"/>
          <w:rtl/>
        </w:rPr>
        <w:t>,</w:t>
      </w:r>
      <w:r w:rsidR="003E5C2F" w:rsidRPr="003E5C2F">
        <w:rPr>
          <w:rFonts w:cs="Arial"/>
          <w:rtl/>
        </w:rPr>
        <w:t xml:space="preserve"> דהא עכ"פ העדים חתמו בפסול</w:t>
      </w:r>
      <w:r>
        <w:rPr>
          <w:rFonts w:cs="Arial" w:hint="cs"/>
          <w:rtl/>
        </w:rPr>
        <w:t>.</w:t>
      </w:r>
      <w:r w:rsidR="003E5C2F" w:rsidRPr="003E5C2F">
        <w:rPr>
          <w:rFonts w:cs="Arial"/>
          <w:rtl/>
        </w:rPr>
        <w:t xml:space="preserve"> וכ"כ בח"מ</w:t>
      </w:r>
      <w:r w:rsidR="00AA7E36">
        <w:rPr>
          <w:rFonts w:cs="Arial" w:hint="cs"/>
          <w:rtl/>
        </w:rPr>
        <w:t xml:space="preserve"> (סק"ט וסקכ"ז)</w:t>
      </w:r>
      <w:r>
        <w:rPr>
          <w:rFonts w:hint="cs"/>
          <w:sz w:val="16"/>
          <w:szCs w:val="16"/>
          <w:rtl/>
        </w:rPr>
        <w:t xml:space="preserve"> </w:t>
      </w:r>
      <w:r w:rsidRPr="009B36C9">
        <w:rPr>
          <w:rFonts w:hint="cs"/>
          <w:sz w:val="16"/>
          <w:szCs w:val="16"/>
          <w:rtl/>
        </w:rPr>
        <w:t>(ל' הב"ש)</w:t>
      </w:r>
      <w:r w:rsidR="00AA7E36">
        <w:rPr>
          <w:rFonts w:cs="Arial" w:hint="cs"/>
          <w:rtl/>
        </w:rPr>
        <w:t>.</w:t>
      </w:r>
    </w:p>
    <w:p w14:paraId="4169F5F5" w14:textId="77777777" w:rsidR="00D13118" w:rsidRDefault="00D13118" w:rsidP="00540C4A">
      <w:pPr>
        <w:rPr>
          <w:rFonts w:cs="Arial"/>
          <w:rtl/>
        </w:rPr>
      </w:pPr>
      <w:r w:rsidRPr="00D13118">
        <w:rPr>
          <w:rFonts w:cs="Arial" w:hint="cs"/>
          <w:u w:val="single"/>
          <w:rtl/>
        </w:rPr>
        <w:t>העברת קולמוס על חק תוכות כדי לעשותו חק ירכות:</w:t>
      </w:r>
      <w:r>
        <w:rPr>
          <w:rFonts w:cs="Arial" w:hint="cs"/>
          <w:rtl/>
        </w:rPr>
        <w:t xml:space="preserve"> </w:t>
      </w:r>
      <w:r w:rsidR="00540C4A" w:rsidRPr="00D13118">
        <w:rPr>
          <w:rFonts w:cs="Arial"/>
          <w:sz w:val="16"/>
          <w:szCs w:val="16"/>
          <w:rtl/>
        </w:rPr>
        <w:t>(</w:t>
      </w:r>
      <w:r w:rsidRPr="00D13118">
        <w:rPr>
          <w:rFonts w:cs="Arial" w:hint="cs"/>
          <w:sz w:val="16"/>
          <w:szCs w:val="16"/>
          <w:rtl/>
        </w:rPr>
        <w:t>פת"ש סק</w:t>
      </w:r>
      <w:r w:rsidR="00540C4A" w:rsidRPr="00D13118">
        <w:rPr>
          <w:rFonts w:cs="Arial"/>
          <w:sz w:val="16"/>
          <w:szCs w:val="16"/>
          <w:rtl/>
        </w:rPr>
        <w:t>ט</w:t>
      </w:r>
      <w:r w:rsidRPr="00D13118">
        <w:rPr>
          <w:rFonts w:cs="Arial" w:hint="cs"/>
          <w:sz w:val="16"/>
          <w:szCs w:val="16"/>
          <w:rtl/>
        </w:rPr>
        <w:t>"</w:t>
      </w:r>
      <w:r w:rsidR="00540C4A" w:rsidRPr="00D13118">
        <w:rPr>
          <w:rFonts w:cs="Arial"/>
          <w:sz w:val="16"/>
          <w:szCs w:val="16"/>
          <w:rtl/>
        </w:rPr>
        <w:t>ו)</w:t>
      </w:r>
      <w:r w:rsidR="00540C4A" w:rsidRPr="00540C4A">
        <w:rPr>
          <w:rFonts w:cs="Arial"/>
          <w:rtl/>
        </w:rPr>
        <w:t xml:space="preserve"> </w:t>
      </w:r>
    </w:p>
    <w:p w14:paraId="010482EE" w14:textId="21C81143" w:rsidR="00540C4A" w:rsidRPr="00876E49" w:rsidRDefault="00540C4A" w:rsidP="00876E49">
      <w:pPr>
        <w:pStyle w:val="ab"/>
        <w:numPr>
          <w:ilvl w:val="0"/>
          <w:numId w:val="50"/>
        </w:numPr>
        <w:rPr>
          <w:rFonts w:cs="Arial"/>
          <w:rtl/>
        </w:rPr>
      </w:pPr>
      <w:r w:rsidRPr="00D13118">
        <w:rPr>
          <w:rFonts w:cs="Arial"/>
          <w:rtl/>
        </w:rPr>
        <w:t xml:space="preserve">ג"פ </w:t>
      </w:r>
      <w:r w:rsidR="00876E49">
        <w:rPr>
          <w:rFonts w:cs="Arial" w:hint="cs"/>
          <w:rtl/>
        </w:rPr>
        <w:t>(</w:t>
      </w:r>
      <w:r w:rsidRPr="00D13118">
        <w:rPr>
          <w:rFonts w:cs="Arial"/>
          <w:rtl/>
        </w:rPr>
        <w:t>סקכ"ה</w:t>
      </w:r>
      <w:r w:rsidR="00876E49">
        <w:rPr>
          <w:rFonts w:cs="Arial" w:hint="cs"/>
          <w:rtl/>
        </w:rPr>
        <w:t xml:space="preserve"> וסקל"ג)</w:t>
      </w:r>
      <w:r w:rsidR="00A82951">
        <w:rPr>
          <w:rFonts w:cs="Arial" w:hint="cs"/>
          <w:rtl/>
        </w:rPr>
        <w:t>-</w:t>
      </w:r>
      <w:r w:rsidRPr="00D13118">
        <w:rPr>
          <w:rFonts w:cs="Arial"/>
          <w:rtl/>
        </w:rPr>
        <w:t xml:space="preserve"> בסדר גט דהר"י מינץ </w:t>
      </w:r>
      <w:r w:rsidR="00876E49">
        <w:rPr>
          <w:rFonts w:cs="Arial" w:hint="cs"/>
          <w:rtl/>
        </w:rPr>
        <w:t>(</w:t>
      </w:r>
      <w:r w:rsidRPr="00D13118">
        <w:rPr>
          <w:rFonts w:cs="Arial"/>
          <w:rtl/>
        </w:rPr>
        <w:t>סי' פה</w:t>
      </w:r>
      <w:r w:rsidR="00876E49">
        <w:rPr>
          <w:rFonts w:cs="Arial" w:hint="cs"/>
          <w:rtl/>
        </w:rPr>
        <w:t>)</w:t>
      </w:r>
      <w:r w:rsidRPr="00D13118">
        <w:rPr>
          <w:rFonts w:cs="Arial"/>
          <w:rtl/>
        </w:rPr>
        <w:t xml:space="preserve"> כתב דחק תוכות דפסול לא מהני בי</w:t>
      </w:r>
      <w:r w:rsidR="00EF3241">
        <w:rPr>
          <w:rFonts w:cs="Arial" w:hint="cs"/>
          <w:rtl/>
        </w:rPr>
        <w:t>ה</w:t>
      </w:r>
      <w:r w:rsidRPr="00D13118">
        <w:rPr>
          <w:rFonts w:cs="Arial"/>
          <w:rtl/>
        </w:rPr>
        <w:t xml:space="preserve"> העברת קולמס</w:t>
      </w:r>
      <w:r w:rsidR="00876E49">
        <w:rPr>
          <w:rFonts w:cs="Arial" w:hint="cs"/>
          <w:rtl/>
        </w:rPr>
        <w:t>...</w:t>
      </w:r>
      <w:r w:rsidRPr="00D13118">
        <w:rPr>
          <w:rFonts w:cs="Arial"/>
          <w:rtl/>
        </w:rPr>
        <w:t xml:space="preserve"> ו</w:t>
      </w:r>
      <w:r w:rsidR="00876E49">
        <w:rPr>
          <w:rFonts w:cs="Arial" w:hint="cs"/>
          <w:rtl/>
        </w:rPr>
        <w:t>כ"כ</w:t>
      </w:r>
      <w:r w:rsidRPr="00D13118">
        <w:rPr>
          <w:rFonts w:cs="Arial"/>
          <w:rtl/>
        </w:rPr>
        <w:t xml:space="preserve"> בסה"ת </w:t>
      </w:r>
      <w:r w:rsidR="00876E49">
        <w:rPr>
          <w:rFonts w:cs="Arial" w:hint="cs"/>
          <w:rtl/>
        </w:rPr>
        <w:t>(</w:t>
      </w:r>
      <w:r w:rsidRPr="00D13118">
        <w:rPr>
          <w:rFonts w:cs="Arial"/>
          <w:rtl/>
        </w:rPr>
        <w:t>סי' רה</w:t>
      </w:r>
      <w:r w:rsidR="00876E49">
        <w:rPr>
          <w:rFonts w:cs="Arial" w:hint="cs"/>
          <w:rtl/>
        </w:rPr>
        <w:t>)</w:t>
      </w:r>
      <w:r w:rsidRPr="00D13118">
        <w:rPr>
          <w:rFonts w:cs="Arial"/>
          <w:rtl/>
        </w:rPr>
        <w:t xml:space="preserve"> ובהג"א </w:t>
      </w:r>
      <w:r w:rsidR="00876E49">
        <w:rPr>
          <w:rFonts w:cs="Arial" w:hint="cs"/>
          <w:rtl/>
        </w:rPr>
        <w:t>(</w:t>
      </w:r>
      <w:r w:rsidRPr="00D13118">
        <w:rPr>
          <w:rFonts w:cs="Arial"/>
          <w:rtl/>
        </w:rPr>
        <w:t>פ"ב דגיטין</w:t>
      </w:r>
      <w:r w:rsidR="00876E49">
        <w:rPr>
          <w:rFonts w:cs="Arial" w:hint="cs"/>
          <w:rtl/>
        </w:rPr>
        <w:t>,</w:t>
      </w:r>
      <w:r w:rsidRPr="00D13118">
        <w:rPr>
          <w:rFonts w:cs="Arial"/>
          <w:rtl/>
        </w:rPr>
        <w:t xml:space="preserve"> גם המג"א סי' לב סקכ"ו כתב כן)</w:t>
      </w:r>
      <w:r w:rsidR="00876E49">
        <w:rPr>
          <w:rFonts w:cs="Arial" w:hint="cs"/>
          <w:rtl/>
        </w:rPr>
        <w:t xml:space="preserve">... אך </w:t>
      </w:r>
      <w:r w:rsidRPr="00D13118">
        <w:rPr>
          <w:rFonts w:cs="Arial"/>
          <w:rtl/>
        </w:rPr>
        <w:t xml:space="preserve">מדברי התוס' </w:t>
      </w:r>
      <w:r w:rsidR="00876E49">
        <w:rPr>
          <w:rFonts w:cs="Arial" w:hint="cs"/>
          <w:rtl/>
        </w:rPr>
        <w:t>(</w:t>
      </w:r>
      <w:r w:rsidRPr="00D13118">
        <w:rPr>
          <w:rFonts w:cs="Arial"/>
          <w:rtl/>
        </w:rPr>
        <w:t>פ"ב דגיטין</w:t>
      </w:r>
      <w:r w:rsidR="00876E49">
        <w:rPr>
          <w:rFonts w:cs="Arial" w:hint="cs"/>
          <w:rtl/>
        </w:rPr>
        <w:t xml:space="preserve"> </w:t>
      </w:r>
      <w:r w:rsidRPr="00D13118">
        <w:rPr>
          <w:rFonts w:cs="Arial"/>
          <w:rtl/>
        </w:rPr>
        <w:t>יט בד"ה דיו ע"ג דיו</w:t>
      </w:r>
      <w:r w:rsidR="00876E49">
        <w:rPr>
          <w:rFonts w:cs="Arial" w:hint="cs"/>
          <w:rtl/>
        </w:rPr>
        <w:t>)</w:t>
      </w:r>
      <w:r w:rsidRPr="00D13118">
        <w:rPr>
          <w:rFonts w:cs="Arial"/>
          <w:rtl/>
        </w:rPr>
        <w:t xml:space="preserve"> משמע מדבריהם היכא שהכתב השני מתקן כלום חשיב כתב</w:t>
      </w:r>
      <w:r w:rsidR="00876E49">
        <w:rPr>
          <w:rFonts w:cs="Arial" w:hint="cs"/>
          <w:rtl/>
        </w:rPr>
        <w:t>.</w:t>
      </w:r>
      <w:r w:rsidRPr="00D13118">
        <w:rPr>
          <w:rFonts w:cs="Arial"/>
          <w:rtl/>
        </w:rPr>
        <w:t xml:space="preserve"> וא"כ יש לדון דהעברת קולמס ע"י חק תוכות משוי לי</w:t>
      </w:r>
      <w:r w:rsidR="00876E49">
        <w:rPr>
          <w:rFonts w:cs="Arial" w:hint="cs"/>
          <w:rtl/>
        </w:rPr>
        <w:t>ה</w:t>
      </w:r>
      <w:r w:rsidRPr="00D13118">
        <w:rPr>
          <w:rFonts w:cs="Arial"/>
          <w:rtl/>
        </w:rPr>
        <w:t xml:space="preserve"> חק יריכות</w:t>
      </w:r>
      <w:r w:rsidR="00876E49">
        <w:rPr>
          <w:rFonts w:cs="Arial" w:hint="cs"/>
          <w:rtl/>
        </w:rPr>
        <w:t>.</w:t>
      </w:r>
      <w:r w:rsidRPr="00D13118">
        <w:rPr>
          <w:rFonts w:cs="Arial"/>
          <w:rtl/>
        </w:rPr>
        <w:t xml:space="preserve"> וע' לקמן סי' קל"א ס"ה דהעברת קולמס לשווי</w:t>
      </w:r>
      <w:r w:rsidR="00876E49">
        <w:rPr>
          <w:rFonts w:cs="Arial" w:hint="cs"/>
          <w:rtl/>
        </w:rPr>
        <w:t>ה</w:t>
      </w:r>
      <w:r w:rsidRPr="00D13118">
        <w:rPr>
          <w:rFonts w:cs="Arial"/>
          <w:rtl/>
        </w:rPr>
        <w:t xml:space="preserve"> לשמה אינו גט וי"א דחוששין לו</w:t>
      </w:r>
      <w:r w:rsidR="00876E49">
        <w:rPr>
          <w:rFonts w:cs="Arial" w:hint="cs"/>
          <w:rtl/>
        </w:rPr>
        <w:t>.</w:t>
      </w:r>
      <w:r w:rsidRPr="00D13118">
        <w:rPr>
          <w:rFonts w:cs="Arial"/>
          <w:rtl/>
        </w:rPr>
        <w:t xml:space="preserve"> וא"כ יראה דה"ה לענין העברת קולמס לשווי</w:t>
      </w:r>
      <w:r w:rsidR="00876E49">
        <w:rPr>
          <w:rFonts w:cs="Arial" w:hint="cs"/>
          <w:rtl/>
        </w:rPr>
        <w:t>ה</w:t>
      </w:r>
      <w:r w:rsidRPr="00D13118">
        <w:rPr>
          <w:rFonts w:cs="Arial"/>
          <w:rtl/>
        </w:rPr>
        <w:t xml:space="preserve"> חק יריכות דחוששין לו</w:t>
      </w:r>
      <w:r w:rsidR="00876E49">
        <w:rPr>
          <w:rStyle w:val="a7"/>
          <w:rFonts w:cs="Arial"/>
          <w:rtl/>
        </w:rPr>
        <w:footnoteReference w:id="560"/>
      </w:r>
      <w:r w:rsidR="00876E49">
        <w:rPr>
          <w:rFonts w:cs="Arial" w:hint="cs"/>
          <w:rtl/>
        </w:rPr>
        <w:t>.</w:t>
      </w:r>
      <w:r w:rsidRPr="00D13118">
        <w:rPr>
          <w:rFonts w:cs="Arial"/>
          <w:rtl/>
        </w:rPr>
        <w:t xml:space="preserve"> </w:t>
      </w:r>
    </w:p>
    <w:p w14:paraId="1087E876" w14:textId="77CD8CFF" w:rsidR="00D526AD" w:rsidRDefault="00EF1B57" w:rsidP="00540C4A">
      <w:pPr>
        <w:rPr>
          <w:rFonts w:cs="Arial"/>
          <w:rtl/>
        </w:rPr>
      </w:pPr>
      <w:r w:rsidRPr="00EF1B57">
        <w:rPr>
          <w:rFonts w:cs="Arial" w:hint="cs"/>
          <w:u w:val="single"/>
          <w:rtl/>
        </w:rPr>
        <w:t>טיפת דיו שנפלה וקינחה הסופר קודם שהתייבשה:</w:t>
      </w:r>
      <w:r>
        <w:rPr>
          <w:rFonts w:cs="Arial" w:hint="cs"/>
          <w:rtl/>
        </w:rPr>
        <w:t xml:space="preserve"> </w:t>
      </w:r>
      <w:r w:rsidR="00540C4A" w:rsidRPr="00EF1B57">
        <w:rPr>
          <w:rFonts w:cs="Arial"/>
          <w:sz w:val="16"/>
          <w:szCs w:val="16"/>
          <w:rtl/>
        </w:rPr>
        <w:t>(</w:t>
      </w:r>
      <w:r w:rsidRPr="00EF1B57">
        <w:rPr>
          <w:rFonts w:cs="Arial" w:hint="cs"/>
          <w:sz w:val="16"/>
          <w:szCs w:val="16"/>
          <w:rtl/>
        </w:rPr>
        <w:t>פת"ש סק</w:t>
      </w:r>
      <w:r w:rsidR="00540C4A" w:rsidRPr="00EF1B57">
        <w:rPr>
          <w:rFonts w:cs="Arial"/>
          <w:sz w:val="16"/>
          <w:szCs w:val="16"/>
          <w:rtl/>
        </w:rPr>
        <w:t>ט</w:t>
      </w:r>
      <w:r w:rsidRPr="00EF1B57">
        <w:rPr>
          <w:rFonts w:cs="Arial" w:hint="cs"/>
          <w:sz w:val="16"/>
          <w:szCs w:val="16"/>
          <w:rtl/>
        </w:rPr>
        <w:t>"</w:t>
      </w:r>
      <w:r w:rsidR="00540C4A" w:rsidRPr="00EF1B57">
        <w:rPr>
          <w:rFonts w:cs="Arial"/>
          <w:sz w:val="16"/>
          <w:szCs w:val="16"/>
          <w:rtl/>
        </w:rPr>
        <w:t>ז)</w:t>
      </w:r>
      <w:r w:rsidR="00540C4A" w:rsidRPr="00540C4A">
        <w:rPr>
          <w:rFonts w:cs="Arial"/>
          <w:rtl/>
        </w:rPr>
        <w:t xml:space="preserve"> </w:t>
      </w:r>
    </w:p>
    <w:p w14:paraId="251FA799" w14:textId="66116B91" w:rsidR="00540C4A" w:rsidRPr="00EF1B57" w:rsidRDefault="00540C4A" w:rsidP="00EF1B57">
      <w:pPr>
        <w:pStyle w:val="ab"/>
        <w:numPr>
          <w:ilvl w:val="0"/>
          <w:numId w:val="50"/>
        </w:numPr>
        <w:rPr>
          <w:rFonts w:cs="Arial"/>
          <w:rtl/>
        </w:rPr>
      </w:pPr>
      <w:r w:rsidRPr="00EF1B57">
        <w:rPr>
          <w:rFonts w:cs="Arial"/>
          <w:rtl/>
        </w:rPr>
        <w:t xml:space="preserve">ג"פ </w:t>
      </w:r>
      <w:r w:rsidR="00D526AD" w:rsidRPr="00EF1B57">
        <w:rPr>
          <w:rFonts w:cs="Arial" w:hint="cs"/>
          <w:sz w:val="16"/>
          <w:szCs w:val="16"/>
          <w:rtl/>
        </w:rPr>
        <w:t>(ס</w:t>
      </w:r>
      <w:r w:rsidRPr="00EF1B57">
        <w:rPr>
          <w:rFonts w:cs="Arial"/>
          <w:sz w:val="16"/>
          <w:szCs w:val="16"/>
          <w:rtl/>
        </w:rPr>
        <w:t>קל"ז</w:t>
      </w:r>
      <w:r w:rsidR="00D526AD" w:rsidRPr="00EF1B57">
        <w:rPr>
          <w:rFonts w:cs="Arial" w:hint="cs"/>
          <w:sz w:val="16"/>
          <w:szCs w:val="16"/>
          <w:rtl/>
        </w:rPr>
        <w:t>)</w:t>
      </w:r>
      <w:r w:rsidR="00A82951">
        <w:rPr>
          <w:rFonts w:cs="Arial" w:hint="cs"/>
          <w:rtl/>
        </w:rPr>
        <w:t>-</w:t>
      </w:r>
      <w:r w:rsidRPr="00EF1B57">
        <w:rPr>
          <w:rFonts w:cs="Arial"/>
          <w:rtl/>
        </w:rPr>
        <w:t xml:space="preserve"> </w:t>
      </w:r>
      <w:r w:rsidR="00D526AD" w:rsidRPr="00EF1B57">
        <w:rPr>
          <w:rFonts w:cs="Arial" w:hint="cs"/>
          <w:rtl/>
        </w:rPr>
        <w:t xml:space="preserve">אם </w:t>
      </w:r>
      <w:r w:rsidRPr="00EF1B57">
        <w:rPr>
          <w:rFonts w:cs="Arial"/>
          <w:rtl/>
        </w:rPr>
        <w:t>נפלה ט</w:t>
      </w:r>
      <w:r w:rsidR="009B1C43">
        <w:rPr>
          <w:rFonts w:cs="Arial" w:hint="cs"/>
          <w:rtl/>
        </w:rPr>
        <w:t>יפת דיו</w:t>
      </w:r>
      <w:r w:rsidRPr="00EF1B57">
        <w:rPr>
          <w:rFonts w:cs="Arial"/>
          <w:rtl/>
        </w:rPr>
        <w:t xml:space="preserve"> ולא נשתנית צורת האות</w:t>
      </w:r>
      <w:r w:rsidR="009B1C43">
        <w:rPr>
          <w:rFonts w:cs="Arial" w:hint="cs"/>
          <w:rtl/>
        </w:rPr>
        <w:t>,</w:t>
      </w:r>
      <w:r w:rsidRPr="00EF1B57">
        <w:rPr>
          <w:rFonts w:cs="Arial"/>
          <w:rtl/>
        </w:rPr>
        <w:t xml:space="preserve"> וקודם שיבלע הדיו בקלף ובנייר קדם הסופר ומצץ הדיו בלשונו וקנחו מע"ג הגט ואינו ניכר שהי' בו מחק </w:t>
      </w:r>
      <w:r w:rsidR="00A82951">
        <w:rPr>
          <w:rFonts w:cs="Arial" w:hint="cs"/>
          <w:rtl/>
        </w:rPr>
        <w:t>-</w:t>
      </w:r>
      <w:r w:rsidR="00D526AD" w:rsidRPr="00EF1B57">
        <w:rPr>
          <w:rFonts w:cs="Arial" w:hint="cs"/>
          <w:rtl/>
        </w:rPr>
        <w:t xml:space="preserve"> </w:t>
      </w:r>
      <w:r w:rsidRPr="00EF1B57">
        <w:rPr>
          <w:rFonts w:cs="Arial"/>
          <w:rtl/>
        </w:rPr>
        <w:t>מסתברא דבזה יש להקל</w:t>
      </w:r>
      <w:r w:rsidR="00D526AD" w:rsidRPr="00EF1B57">
        <w:rPr>
          <w:rFonts w:cs="Arial" w:hint="cs"/>
          <w:rtl/>
        </w:rPr>
        <w:t>,</w:t>
      </w:r>
      <w:r w:rsidRPr="00EF1B57">
        <w:rPr>
          <w:rFonts w:cs="Arial"/>
          <w:rtl/>
        </w:rPr>
        <w:t xml:space="preserve"> כיון דאפי' אם נתייבשה שם הטיפה לא הי' משנה צורת האות ומותר מן הדין למוחקה אפי' בסכין אלא דמשום חומרא אין מוחקין בסכין כיון דניכר המחק</w:t>
      </w:r>
      <w:r w:rsidR="00D526AD" w:rsidRPr="00EF1B57">
        <w:rPr>
          <w:rFonts w:cs="Arial" w:hint="cs"/>
          <w:rtl/>
        </w:rPr>
        <w:t>,</w:t>
      </w:r>
      <w:r w:rsidRPr="00EF1B57">
        <w:rPr>
          <w:rFonts w:cs="Arial"/>
          <w:rtl/>
        </w:rPr>
        <w:t xml:space="preserve"> בכה"ג אין להחמיר כיון שאינו ניכר המחק</w:t>
      </w:r>
      <w:r w:rsidR="00D526AD" w:rsidRPr="00EF1B57">
        <w:rPr>
          <w:rFonts w:cs="Arial" w:hint="cs"/>
          <w:rtl/>
        </w:rPr>
        <w:t>.</w:t>
      </w:r>
      <w:r w:rsidRPr="00EF1B57">
        <w:rPr>
          <w:rFonts w:cs="Arial"/>
          <w:rtl/>
        </w:rPr>
        <w:t xml:space="preserve"> וכ"ש אם נפל מי עפצא או מי קאפ"י על הגט ועשה בו כתמים כתמים דאין לפוסלו</w:t>
      </w:r>
      <w:r w:rsidR="00D526AD" w:rsidRPr="00EF1B57">
        <w:rPr>
          <w:rFonts w:cs="Arial" w:hint="cs"/>
          <w:rtl/>
        </w:rPr>
        <w:t>,</w:t>
      </w:r>
      <w:r w:rsidRPr="00EF1B57">
        <w:rPr>
          <w:rFonts w:cs="Arial"/>
          <w:rtl/>
        </w:rPr>
        <w:t xml:space="preserve"> כיון שהאות ניכר</w:t>
      </w:r>
      <w:r w:rsidR="00D526AD" w:rsidRPr="00EF1B57">
        <w:rPr>
          <w:rFonts w:cs="Arial" w:hint="cs"/>
          <w:rtl/>
        </w:rPr>
        <w:t>.</w:t>
      </w:r>
      <w:r w:rsidRPr="00EF1B57">
        <w:rPr>
          <w:rFonts w:cs="Arial"/>
          <w:rtl/>
        </w:rPr>
        <w:t xml:space="preserve"> ומיהו בנפל דיו ממש על תיבה אחת או אפי' אות אחת מן התורף או בטופס ומשנה משמעות הגירושין</w:t>
      </w:r>
      <w:r w:rsidR="009B1C43">
        <w:rPr>
          <w:rFonts w:cs="Arial" w:hint="cs"/>
          <w:rtl/>
        </w:rPr>
        <w:t>,</w:t>
      </w:r>
      <w:r w:rsidRPr="00EF1B57">
        <w:rPr>
          <w:rFonts w:cs="Arial"/>
          <w:rtl/>
        </w:rPr>
        <w:t xml:space="preserve"> ואם הי' מתייבש שם הדיו הי' משחית צורת האות</w:t>
      </w:r>
      <w:r w:rsidR="009B1C43">
        <w:rPr>
          <w:rFonts w:cs="Arial" w:hint="cs"/>
          <w:rtl/>
        </w:rPr>
        <w:t>,</w:t>
      </w:r>
      <w:r w:rsidRPr="00EF1B57">
        <w:rPr>
          <w:rFonts w:cs="Arial"/>
          <w:rtl/>
        </w:rPr>
        <w:t xml:space="preserve"> אלא שקדם הסופר וקנחה בלשונו </w:t>
      </w:r>
      <w:r w:rsidR="009B1C43">
        <w:rPr>
          <w:rFonts w:cs="Arial" w:hint="cs"/>
          <w:rtl/>
        </w:rPr>
        <w:t xml:space="preserve">- </w:t>
      </w:r>
      <w:r w:rsidRPr="00EF1B57">
        <w:rPr>
          <w:rFonts w:cs="Arial"/>
          <w:rtl/>
        </w:rPr>
        <w:t>נ"ל דפסול והוי חק תוכות</w:t>
      </w:r>
      <w:r w:rsidR="00EF1B57" w:rsidRPr="00EF1B57">
        <w:rPr>
          <w:rFonts w:cs="Arial"/>
          <w:rtl/>
        </w:rPr>
        <w:t xml:space="preserve"> </w:t>
      </w:r>
      <w:r w:rsidR="00EF1B57">
        <w:rPr>
          <w:rFonts w:cs="Arial" w:hint="cs"/>
          <w:sz w:val="16"/>
          <w:szCs w:val="16"/>
          <w:rtl/>
        </w:rPr>
        <w:t>(</w:t>
      </w:r>
      <w:r w:rsidR="00EF1B57" w:rsidRPr="00EF1B57">
        <w:rPr>
          <w:rFonts w:cs="Arial"/>
          <w:sz w:val="16"/>
          <w:szCs w:val="16"/>
          <w:rtl/>
        </w:rPr>
        <w:t>וע</w:t>
      </w:r>
      <w:r w:rsidR="00EF1B57">
        <w:rPr>
          <w:rFonts w:cs="Arial" w:hint="cs"/>
          <w:sz w:val="16"/>
          <w:szCs w:val="16"/>
          <w:rtl/>
        </w:rPr>
        <w:t>"ע בפת"ש</w:t>
      </w:r>
      <w:r w:rsidR="00EF1B57" w:rsidRPr="00EF1B57">
        <w:rPr>
          <w:rFonts w:cs="Arial"/>
          <w:sz w:val="16"/>
          <w:szCs w:val="16"/>
          <w:rtl/>
        </w:rPr>
        <w:t xml:space="preserve"> סק</w:t>
      </w:r>
      <w:r w:rsidR="00EF1B57" w:rsidRPr="00EF1B57">
        <w:rPr>
          <w:rFonts w:cs="Arial" w:hint="cs"/>
          <w:sz w:val="16"/>
          <w:szCs w:val="16"/>
          <w:rtl/>
        </w:rPr>
        <w:t>"</w:t>
      </w:r>
      <w:r w:rsidR="00EF1B57" w:rsidRPr="00EF1B57">
        <w:rPr>
          <w:rFonts w:cs="Arial"/>
          <w:sz w:val="16"/>
          <w:szCs w:val="16"/>
          <w:rtl/>
        </w:rPr>
        <w:t>ז</w:t>
      </w:r>
      <w:r w:rsidR="00EF1B57" w:rsidRPr="00EF1B57">
        <w:rPr>
          <w:rFonts w:cs="Arial" w:hint="cs"/>
          <w:sz w:val="16"/>
          <w:szCs w:val="16"/>
          <w:rtl/>
        </w:rPr>
        <w:t>)</w:t>
      </w:r>
      <w:r w:rsidR="00EF1B57" w:rsidRPr="00EF1B57">
        <w:rPr>
          <w:rFonts w:cs="Arial" w:hint="cs"/>
          <w:rtl/>
        </w:rPr>
        <w:t>.</w:t>
      </w:r>
      <w:r w:rsidRPr="00EF1B57">
        <w:rPr>
          <w:rFonts w:cs="Arial"/>
          <w:rtl/>
        </w:rPr>
        <w:t xml:space="preserve"> </w:t>
      </w:r>
    </w:p>
    <w:p w14:paraId="761F13C2" w14:textId="77777777" w:rsidR="00AA7E36" w:rsidRPr="00AA7E36" w:rsidRDefault="00AA7E36" w:rsidP="00AA7E36">
      <w:pPr>
        <w:rPr>
          <w:rFonts w:cs="Arial"/>
          <w:rtl/>
        </w:rPr>
      </w:pPr>
    </w:p>
    <w:p w14:paraId="2919142C" w14:textId="346B9995" w:rsidR="00C77C34" w:rsidRPr="00786DE6" w:rsidRDefault="00C77C34" w:rsidP="00786DE6">
      <w:pPr>
        <w:pStyle w:val="2"/>
        <w:rPr>
          <w:rtl/>
        </w:rPr>
      </w:pPr>
      <w:r w:rsidRPr="00786DE6">
        <w:rPr>
          <w:rtl/>
        </w:rPr>
        <w:t>סעיף ט</w:t>
      </w:r>
      <w:r w:rsidR="00AF4AED" w:rsidRPr="00786DE6">
        <w:rPr>
          <w:rFonts w:hint="cs"/>
          <w:rtl/>
        </w:rPr>
        <w:t xml:space="preserve">: </w:t>
      </w:r>
      <w:r w:rsidR="00786DE6" w:rsidRPr="00786DE6">
        <w:rPr>
          <w:rFonts w:hint="cs"/>
          <w:rtl/>
        </w:rPr>
        <w:t>רצה לכתוב את האות 'מ' ונמשכה ידו וכתב 'ם'.</w:t>
      </w:r>
    </w:p>
    <w:p w14:paraId="20DDFE95" w14:textId="41436711" w:rsidR="00786DE6" w:rsidRPr="00157A78" w:rsidRDefault="00786DE6" w:rsidP="00786DE6">
      <w:pPr>
        <w:rPr>
          <w:rFonts w:cs="Arial"/>
          <w:u w:val="single"/>
          <w:rtl/>
        </w:rPr>
      </w:pPr>
      <w:r w:rsidRPr="00157A78">
        <w:rPr>
          <w:rFonts w:cs="Arial" w:hint="cs"/>
          <w:u w:val="single"/>
          <w:rtl/>
        </w:rPr>
        <w:t>רצה לכתוב את האות 'מ' ונמשכה ידו וכתב 'ם'</w:t>
      </w:r>
      <w:r>
        <w:rPr>
          <w:rFonts w:cs="Arial" w:hint="cs"/>
          <w:u w:val="single"/>
          <w:rtl/>
        </w:rPr>
        <w:t xml:space="preserve"> </w:t>
      </w:r>
      <w:r w:rsidR="00A82951">
        <w:rPr>
          <w:rFonts w:cs="Arial"/>
          <w:u w:val="single"/>
          <w:rtl/>
        </w:rPr>
        <w:t>-</w:t>
      </w:r>
      <w:r>
        <w:rPr>
          <w:rFonts w:cs="Arial" w:hint="cs"/>
          <w:u w:val="single"/>
          <w:rtl/>
        </w:rPr>
        <w:t xml:space="preserve"> האם יוכל לגרר הדביקות</w:t>
      </w:r>
      <w:r w:rsidRPr="00157A78">
        <w:rPr>
          <w:rFonts w:cs="Arial" w:hint="cs"/>
          <w:u w:val="single"/>
          <w:rtl/>
        </w:rPr>
        <w:t>:</w:t>
      </w:r>
    </w:p>
    <w:p w14:paraId="0CBDFDA2" w14:textId="6720E6EF" w:rsidR="00AA766B" w:rsidRPr="00AA766B" w:rsidRDefault="00786DE6" w:rsidP="00786DE6">
      <w:pPr>
        <w:pStyle w:val="ab"/>
        <w:numPr>
          <w:ilvl w:val="0"/>
          <w:numId w:val="47"/>
        </w:numPr>
        <w:rPr>
          <w:rtl/>
        </w:rPr>
      </w:pPr>
      <w:r>
        <w:rPr>
          <w:rFonts w:cs="Arial" w:hint="cs"/>
          <w:rtl/>
        </w:rPr>
        <w:t xml:space="preserve">ספר התרומה </w:t>
      </w:r>
      <w:r>
        <w:rPr>
          <w:rFonts w:cs="Arial" w:hint="cs"/>
          <w:sz w:val="16"/>
          <w:szCs w:val="16"/>
          <w:rtl/>
        </w:rPr>
        <w:t xml:space="preserve">(גיטין סי' קטו) </w:t>
      </w:r>
      <w:r>
        <w:rPr>
          <w:rFonts w:cs="Arial" w:hint="cs"/>
          <w:rtl/>
        </w:rPr>
        <w:t xml:space="preserve">סמ"ג </w:t>
      </w:r>
      <w:r>
        <w:rPr>
          <w:rFonts w:cs="Arial" w:hint="cs"/>
          <w:sz w:val="16"/>
          <w:szCs w:val="16"/>
          <w:rtl/>
        </w:rPr>
        <w:t>(עשין נ)</w:t>
      </w:r>
      <w:r>
        <w:rPr>
          <w:rFonts w:cs="Arial" w:hint="cs"/>
          <w:rtl/>
        </w:rPr>
        <w:t xml:space="preserve"> וטור</w:t>
      </w:r>
      <w:r w:rsidR="00A82951">
        <w:rPr>
          <w:rFonts w:cs="Arial" w:hint="cs"/>
          <w:rtl/>
        </w:rPr>
        <w:t>-</w:t>
      </w:r>
      <w:r>
        <w:rPr>
          <w:rFonts w:cs="Arial" w:hint="cs"/>
          <w:rtl/>
        </w:rPr>
        <w:t xml:space="preserve"> </w:t>
      </w:r>
      <w:r w:rsidRPr="002D5E7F">
        <w:rPr>
          <w:rFonts w:cs="Arial"/>
          <w:rtl/>
        </w:rPr>
        <w:t>וכתב בספר התרומה ואף אם רוצה לעשות מ"ם פתוחה ונמשכ</w:t>
      </w:r>
      <w:r>
        <w:rPr>
          <w:rFonts w:cs="Arial" w:hint="cs"/>
          <w:rtl/>
        </w:rPr>
        <w:t>ה</w:t>
      </w:r>
      <w:r w:rsidRPr="002D5E7F">
        <w:rPr>
          <w:rFonts w:cs="Arial"/>
          <w:rtl/>
        </w:rPr>
        <w:t xml:space="preserve"> ידו ונסתמה </w:t>
      </w:r>
      <w:r w:rsidR="00A82951">
        <w:rPr>
          <w:rFonts w:cs="Arial" w:hint="cs"/>
          <w:rtl/>
        </w:rPr>
        <w:t>-</w:t>
      </w:r>
      <w:r>
        <w:rPr>
          <w:rFonts w:cs="Arial" w:hint="cs"/>
          <w:rtl/>
        </w:rPr>
        <w:t xml:space="preserve"> </w:t>
      </w:r>
      <w:r w:rsidRPr="002D5E7F">
        <w:rPr>
          <w:rFonts w:cs="Arial"/>
          <w:rtl/>
        </w:rPr>
        <w:t>אין יכול לגרר הדביקות לפתחה דה"ל חק תוכות</w:t>
      </w:r>
      <w:r>
        <w:rPr>
          <w:rFonts w:cs="Arial" w:hint="cs"/>
          <w:sz w:val="16"/>
          <w:szCs w:val="16"/>
          <w:rtl/>
        </w:rPr>
        <w:t xml:space="preserve"> (ל' הטור)</w:t>
      </w:r>
      <w:r>
        <w:rPr>
          <w:rFonts w:cs="Arial" w:hint="cs"/>
          <w:rtl/>
        </w:rPr>
        <w:t>.</w:t>
      </w:r>
      <w:r w:rsidRPr="00786DE6">
        <w:rPr>
          <w:rFonts w:cs="Arial" w:hint="cs"/>
          <w:color w:val="E36C0A" w:themeColor="accent6" w:themeShade="BF"/>
          <w:rtl/>
        </w:rPr>
        <w:t xml:space="preserve"> (וכ"</w:t>
      </w:r>
      <w:r>
        <w:rPr>
          <w:rFonts w:cs="Arial" w:hint="cs"/>
          <w:color w:val="E36C0A" w:themeColor="accent6" w:themeShade="BF"/>
          <w:rtl/>
        </w:rPr>
        <w:t>פ</w:t>
      </w:r>
      <w:r w:rsidRPr="00786DE6">
        <w:rPr>
          <w:rFonts w:cs="Arial" w:hint="cs"/>
          <w:color w:val="E36C0A" w:themeColor="accent6" w:themeShade="BF"/>
          <w:rtl/>
        </w:rPr>
        <w:t xml:space="preserve"> בשו"ע)</w:t>
      </w:r>
    </w:p>
    <w:p w14:paraId="025ECCBE"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88CAA9F" w14:textId="6FA07A66" w:rsidR="00540C4A" w:rsidRPr="00561FBB" w:rsidRDefault="00C77C34" w:rsidP="00561FBB">
      <w:pPr>
        <w:rPr>
          <w:rFonts w:cs="Arial"/>
          <w:sz w:val="18"/>
          <w:szCs w:val="18"/>
          <w:rtl/>
        </w:rPr>
      </w:pPr>
      <w:r w:rsidRPr="00C77C34">
        <w:rPr>
          <w:rFonts w:cs="Arial"/>
          <w:rtl/>
        </w:rPr>
        <w:t>אם רוצה לעשות מ"ם פתוחה, ונמשכה ידו ונסתמה, אינו יכול לגרור הדבקות, דהוה ליה חק תוכות</w:t>
      </w:r>
      <w:r w:rsidR="00561FBB">
        <w:rPr>
          <w:rStyle w:val="a7"/>
          <w:rFonts w:cs="Arial"/>
          <w:rtl/>
        </w:rPr>
        <w:footnoteReference w:id="561"/>
      </w:r>
      <w:r w:rsidRPr="00C77C34">
        <w:rPr>
          <w:rFonts w:cs="Arial"/>
          <w:rtl/>
        </w:rPr>
        <w:t xml:space="preserve">. </w:t>
      </w:r>
      <w:r w:rsidRPr="00AF4AED">
        <w:rPr>
          <w:rFonts w:cs="Arial"/>
          <w:sz w:val="18"/>
          <w:szCs w:val="18"/>
          <w:rtl/>
        </w:rPr>
        <w:t>(ועיין באורח חיים סי' ל"ב</w:t>
      </w:r>
      <w:r w:rsidR="00DC0E97">
        <w:rPr>
          <w:rStyle w:val="a7"/>
          <w:rFonts w:cs="Arial"/>
          <w:sz w:val="18"/>
          <w:szCs w:val="18"/>
          <w:rtl/>
        </w:rPr>
        <w:footnoteReference w:id="562"/>
      </w:r>
      <w:r w:rsidRPr="00AF4AED">
        <w:rPr>
          <w:rFonts w:cs="Arial"/>
          <w:sz w:val="18"/>
          <w:szCs w:val="18"/>
          <w:rtl/>
        </w:rPr>
        <w:t xml:space="preserve">). </w:t>
      </w:r>
    </w:p>
    <w:p w14:paraId="05819DD6" w14:textId="77777777" w:rsidR="00540C4A" w:rsidRPr="00C77C34" w:rsidRDefault="00540C4A" w:rsidP="00C77C34">
      <w:pPr>
        <w:rPr>
          <w:rFonts w:cs="Arial"/>
          <w:rtl/>
        </w:rPr>
      </w:pPr>
    </w:p>
    <w:p w14:paraId="03AEA86C" w14:textId="3DD1472D" w:rsidR="00C77C34" w:rsidRDefault="00C77C34" w:rsidP="00786DE6">
      <w:pPr>
        <w:pStyle w:val="2"/>
        <w:rPr>
          <w:rtl/>
        </w:rPr>
      </w:pPr>
      <w:r w:rsidRPr="00C77C34">
        <w:rPr>
          <w:rtl/>
        </w:rPr>
        <w:lastRenderedPageBreak/>
        <w:t>סעיף י</w:t>
      </w:r>
      <w:r w:rsidR="0046774E">
        <w:rPr>
          <w:rFonts w:hint="cs"/>
          <w:rtl/>
        </w:rPr>
        <w:t>: שרטוט הגט.</w:t>
      </w:r>
    </w:p>
    <w:p w14:paraId="74A48717" w14:textId="69078CAE" w:rsidR="0046774E" w:rsidRPr="0046774E" w:rsidRDefault="0046774E" w:rsidP="0046774E">
      <w:pPr>
        <w:rPr>
          <w:u w:val="single"/>
          <w:rtl/>
        </w:rPr>
      </w:pPr>
      <w:r w:rsidRPr="0046774E">
        <w:rPr>
          <w:rFonts w:hint="cs"/>
          <w:u w:val="single"/>
          <w:rtl/>
        </w:rPr>
        <w:t>שרטוט הגט:</w:t>
      </w:r>
    </w:p>
    <w:p w14:paraId="4CA925D3" w14:textId="150B3CE5" w:rsidR="0046774E" w:rsidRPr="0046774E" w:rsidRDefault="00AA766B" w:rsidP="0046774E">
      <w:pPr>
        <w:pStyle w:val="ab"/>
        <w:numPr>
          <w:ilvl w:val="0"/>
          <w:numId w:val="47"/>
        </w:numPr>
      </w:pPr>
      <w:r w:rsidRPr="0046774E">
        <w:rPr>
          <w:rFonts w:cs="Arial"/>
          <w:rtl/>
        </w:rPr>
        <w:t xml:space="preserve">ספר התרומה </w:t>
      </w:r>
      <w:r w:rsidRPr="0046774E">
        <w:rPr>
          <w:rFonts w:cs="Arial"/>
          <w:sz w:val="16"/>
          <w:szCs w:val="16"/>
          <w:rtl/>
        </w:rPr>
        <w:t>(סי' קיב)</w:t>
      </w:r>
      <w:r w:rsidR="00A82951">
        <w:rPr>
          <w:rFonts w:cs="Arial" w:hint="cs"/>
          <w:rtl/>
        </w:rPr>
        <w:t>-</w:t>
      </w:r>
      <w:r w:rsidRPr="0046774E">
        <w:rPr>
          <w:rFonts w:cs="Arial"/>
          <w:rtl/>
        </w:rPr>
        <w:t xml:space="preserve"> צריך לשרטטו</w:t>
      </w:r>
      <w:r w:rsidR="0046774E">
        <w:rPr>
          <w:rFonts w:cs="Arial" w:hint="cs"/>
          <w:rtl/>
        </w:rPr>
        <w:t>.</w:t>
      </w:r>
      <w:r w:rsidRPr="0046774E">
        <w:rPr>
          <w:rFonts w:cs="Arial"/>
          <w:rtl/>
        </w:rPr>
        <w:t xml:space="preserve"> </w:t>
      </w:r>
    </w:p>
    <w:p w14:paraId="27CA1AA7" w14:textId="7C3D3FA0" w:rsidR="0046774E" w:rsidRPr="0046774E" w:rsidRDefault="00AA766B" w:rsidP="0046774E">
      <w:pPr>
        <w:pStyle w:val="ab"/>
        <w:numPr>
          <w:ilvl w:val="0"/>
          <w:numId w:val="47"/>
        </w:numPr>
      </w:pPr>
      <w:r w:rsidRPr="0046774E">
        <w:rPr>
          <w:rFonts w:cs="Arial"/>
          <w:rtl/>
        </w:rPr>
        <w:t xml:space="preserve">רשב"א </w:t>
      </w:r>
      <w:r w:rsidRPr="0046774E">
        <w:rPr>
          <w:rFonts w:cs="Arial"/>
          <w:sz w:val="16"/>
          <w:szCs w:val="16"/>
          <w:rtl/>
        </w:rPr>
        <w:t>(ח"ה סי' צג)</w:t>
      </w:r>
      <w:r w:rsidR="00A82951">
        <w:rPr>
          <w:rFonts w:cs="Arial" w:hint="cs"/>
          <w:rtl/>
        </w:rPr>
        <w:t>-</w:t>
      </w:r>
      <w:r w:rsidRPr="0046774E">
        <w:rPr>
          <w:rFonts w:cs="Arial"/>
          <w:rtl/>
        </w:rPr>
        <w:t xml:space="preserve"> שרטוט אינו צריך</w:t>
      </w:r>
      <w:r w:rsidR="0046774E">
        <w:rPr>
          <w:rFonts w:cs="Arial" w:hint="cs"/>
          <w:rtl/>
        </w:rPr>
        <w:t>,</w:t>
      </w:r>
      <w:r w:rsidRPr="0046774E">
        <w:rPr>
          <w:rFonts w:cs="Arial"/>
          <w:rtl/>
        </w:rPr>
        <w:t xml:space="preserve"> שהרי שנינו </w:t>
      </w:r>
      <w:r w:rsidRPr="00C530BD">
        <w:rPr>
          <w:rFonts w:cs="Arial"/>
          <w:sz w:val="16"/>
          <w:szCs w:val="16"/>
          <w:rtl/>
        </w:rPr>
        <w:t>(גיטין יט.)</w:t>
      </w:r>
      <w:r w:rsidRPr="0046774E">
        <w:rPr>
          <w:rFonts w:cs="Arial"/>
          <w:rtl/>
        </w:rPr>
        <w:t xml:space="preserve"> על הכל כותבין על היד של עבד</w:t>
      </w:r>
      <w:r w:rsidR="0046774E">
        <w:rPr>
          <w:rFonts w:cs="Arial" w:hint="cs"/>
          <w:rtl/>
        </w:rPr>
        <w:t>,</w:t>
      </w:r>
      <w:r w:rsidRPr="0046774E">
        <w:rPr>
          <w:rFonts w:cs="Arial"/>
          <w:rtl/>
        </w:rPr>
        <w:t xml:space="preserve"> ואין משרטטין יד של עבד</w:t>
      </w:r>
      <w:r w:rsidR="0046774E">
        <w:rPr>
          <w:rFonts w:cs="Arial" w:hint="cs"/>
          <w:rtl/>
        </w:rPr>
        <w:t>.</w:t>
      </w:r>
      <w:r w:rsidRPr="0046774E">
        <w:rPr>
          <w:rFonts w:cs="Arial"/>
          <w:rtl/>
        </w:rPr>
        <w:t xml:space="preserve"> והדין נותן</w:t>
      </w:r>
      <w:r w:rsidR="00DF6F45">
        <w:rPr>
          <w:rFonts w:cs="Arial" w:hint="cs"/>
          <w:rtl/>
        </w:rPr>
        <w:t>,</w:t>
      </w:r>
      <w:r w:rsidRPr="0046774E">
        <w:rPr>
          <w:rFonts w:cs="Arial"/>
          <w:rtl/>
        </w:rPr>
        <w:t xml:space="preserve"> שבכל מקום לא הצריכו שרטוט אלא משום כתיבה תמה </w:t>
      </w:r>
      <w:r w:rsidRPr="00C530BD">
        <w:rPr>
          <w:rFonts w:cs="Arial"/>
          <w:sz w:val="16"/>
          <w:szCs w:val="16"/>
          <w:rtl/>
        </w:rPr>
        <w:t>(שבת קג:, מנחות לב:)</w:t>
      </w:r>
      <w:r w:rsidR="0046774E">
        <w:rPr>
          <w:rFonts w:cs="Arial" w:hint="cs"/>
          <w:rtl/>
        </w:rPr>
        <w:t>,</w:t>
      </w:r>
      <w:r w:rsidRPr="0046774E">
        <w:rPr>
          <w:rFonts w:cs="Arial"/>
          <w:rtl/>
        </w:rPr>
        <w:t xml:space="preserve"> ובגט אינו צריך כתיבה תמה</w:t>
      </w:r>
      <w:r w:rsidR="0046774E">
        <w:rPr>
          <w:rFonts w:cs="Arial" w:hint="cs"/>
          <w:rtl/>
        </w:rPr>
        <w:t>.</w:t>
      </w:r>
    </w:p>
    <w:p w14:paraId="13DC2C9A" w14:textId="0270E441" w:rsidR="00C530BD" w:rsidRDefault="00C530BD" w:rsidP="00C530BD">
      <w:pPr>
        <w:pStyle w:val="ab"/>
        <w:numPr>
          <w:ilvl w:val="0"/>
          <w:numId w:val="47"/>
        </w:numPr>
      </w:pPr>
      <w:r>
        <w:rPr>
          <w:rFonts w:cs="Arial" w:hint="cs"/>
          <w:rtl/>
        </w:rPr>
        <w:t>טור</w:t>
      </w:r>
      <w:r w:rsidR="00A82951">
        <w:rPr>
          <w:rFonts w:cs="Arial" w:hint="cs"/>
          <w:rtl/>
        </w:rPr>
        <w:t>-</w:t>
      </w:r>
      <w:r w:rsidRPr="002D5E7F">
        <w:rPr>
          <w:rFonts w:cs="Arial"/>
          <w:rtl/>
        </w:rPr>
        <w:t xml:space="preserve"> נוהגין לשרטטו</w:t>
      </w:r>
      <w:r>
        <w:rPr>
          <w:rStyle w:val="a7"/>
          <w:rFonts w:cs="Arial"/>
          <w:rtl/>
        </w:rPr>
        <w:footnoteReference w:id="563"/>
      </w:r>
      <w:r>
        <w:rPr>
          <w:rFonts w:cs="Arial" w:hint="cs"/>
          <w:rtl/>
        </w:rPr>
        <w:t>,</w:t>
      </w:r>
      <w:r w:rsidRPr="002D5E7F">
        <w:rPr>
          <w:rFonts w:cs="Arial"/>
          <w:rtl/>
        </w:rPr>
        <w:t xml:space="preserve"> וכתב רב האי לפי שנקרא ספר</w:t>
      </w:r>
      <w:r w:rsidR="00C1758A">
        <w:rPr>
          <w:rStyle w:val="a7"/>
          <w:rFonts w:cs="Arial"/>
          <w:rtl/>
        </w:rPr>
        <w:footnoteReference w:id="564"/>
      </w:r>
      <w:r>
        <w:rPr>
          <w:rFonts w:cs="Arial" w:hint="cs"/>
          <w:rtl/>
        </w:rPr>
        <w:t>.</w:t>
      </w:r>
      <w:r w:rsidRPr="002D5E7F">
        <w:rPr>
          <w:rFonts w:cs="Arial"/>
          <w:rtl/>
        </w:rPr>
        <w:t xml:space="preserve"> </w:t>
      </w:r>
      <w:r w:rsidR="00073279" w:rsidRPr="00786DE6">
        <w:rPr>
          <w:rFonts w:cs="Arial" w:hint="cs"/>
          <w:color w:val="E36C0A" w:themeColor="accent6" w:themeShade="BF"/>
          <w:rtl/>
        </w:rPr>
        <w:t>(וכ"</w:t>
      </w:r>
      <w:r w:rsidR="00073279">
        <w:rPr>
          <w:rFonts w:cs="Arial" w:hint="cs"/>
          <w:color w:val="E36C0A" w:themeColor="accent6" w:themeShade="BF"/>
          <w:rtl/>
        </w:rPr>
        <w:t>פ</w:t>
      </w:r>
      <w:r w:rsidR="00073279" w:rsidRPr="00786DE6">
        <w:rPr>
          <w:rFonts w:cs="Arial" w:hint="cs"/>
          <w:color w:val="E36C0A" w:themeColor="accent6" w:themeShade="BF"/>
          <w:rtl/>
        </w:rPr>
        <w:t xml:space="preserve"> בשו"ע)</w:t>
      </w:r>
    </w:p>
    <w:p w14:paraId="3341A821" w14:textId="5D926A6B" w:rsidR="00C530BD" w:rsidRPr="00C530BD" w:rsidRDefault="00C530BD" w:rsidP="00C530BD">
      <w:pPr>
        <w:ind w:left="360"/>
        <w:rPr>
          <w:u w:val="dotted"/>
        </w:rPr>
      </w:pPr>
      <w:r w:rsidRPr="00C530BD">
        <w:rPr>
          <w:rFonts w:hint="cs"/>
          <w:u w:val="dotted"/>
          <w:rtl/>
        </w:rPr>
        <w:t>במה משרטטים:</w:t>
      </w:r>
    </w:p>
    <w:p w14:paraId="7370A429" w14:textId="4988891C" w:rsidR="00E05DFB" w:rsidRPr="00E05DFB" w:rsidRDefault="00AA766B" w:rsidP="0046774E">
      <w:pPr>
        <w:pStyle w:val="ab"/>
        <w:numPr>
          <w:ilvl w:val="0"/>
          <w:numId w:val="47"/>
        </w:numPr>
      </w:pPr>
      <w:r w:rsidRPr="0046774E">
        <w:rPr>
          <w:rFonts w:cs="Arial"/>
          <w:rtl/>
        </w:rPr>
        <w:t xml:space="preserve">אור זרוע </w:t>
      </w:r>
      <w:r w:rsidR="00E05DFB" w:rsidRPr="00E05DFB">
        <w:rPr>
          <w:rFonts w:cs="Arial" w:hint="cs"/>
          <w:sz w:val="16"/>
          <w:szCs w:val="16"/>
          <w:rtl/>
        </w:rPr>
        <w:t>(</w:t>
      </w:r>
      <w:r w:rsidRPr="00E05DFB">
        <w:rPr>
          <w:rFonts w:cs="Arial"/>
          <w:sz w:val="16"/>
          <w:szCs w:val="16"/>
          <w:rtl/>
        </w:rPr>
        <w:t>הל' תפילין סי' תקמג</w:t>
      </w:r>
      <w:r w:rsidR="00E05DFB">
        <w:rPr>
          <w:rFonts w:cs="Arial" w:hint="cs"/>
          <w:sz w:val="16"/>
          <w:szCs w:val="16"/>
          <w:rtl/>
        </w:rPr>
        <w:t>, העתיקו המרדכי בהלכות מזוזה [הלכות קטנות למרדכי, מנחות, סי' תתקסא]</w:t>
      </w:r>
      <w:r w:rsidRPr="00E05DFB">
        <w:rPr>
          <w:rFonts w:cs="Arial"/>
          <w:sz w:val="16"/>
          <w:szCs w:val="16"/>
          <w:rtl/>
        </w:rPr>
        <w:t>)</w:t>
      </w:r>
      <w:r w:rsidR="00A82951">
        <w:rPr>
          <w:rFonts w:cs="Arial" w:hint="cs"/>
          <w:rtl/>
        </w:rPr>
        <w:t>-</w:t>
      </w:r>
      <w:r w:rsidR="00E05DFB">
        <w:rPr>
          <w:rFonts w:cs="Arial" w:hint="cs"/>
          <w:rtl/>
        </w:rPr>
        <w:t xml:space="preserve"> </w:t>
      </w:r>
      <w:r w:rsidR="00E05DFB" w:rsidRPr="00E05DFB">
        <w:rPr>
          <w:rFonts w:cs="Arial"/>
          <w:rtl/>
        </w:rPr>
        <w:t>ובשירטוט עצמו נסתפק מורי הר"ר שמחה במה צריך לשרטט</w:t>
      </w:r>
      <w:r w:rsidR="00556C54">
        <w:rPr>
          <w:rFonts w:cs="Arial" w:hint="cs"/>
          <w:rtl/>
        </w:rPr>
        <w:t>,</w:t>
      </w:r>
      <w:r w:rsidR="00E05DFB" w:rsidRPr="00E05DFB">
        <w:rPr>
          <w:rFonts w:cs="Arial"/>
          <w:rtl/>
        </w:rPr>
        <w:t xml:space="preserve"> אם אנו מקפידים בשרטוט המתקיים וניכר לעולם שישרוט בברזל. או סגי בשרטוט הנראה לסופר בשעת כתיבה כדי שיהא הכתב שוה</w:t>
      </w:r>
      <w:r w:rsidR="00556C54">
        <w:rPr>
          <w:rFonts w:cs="Arial" w:hint="cs"/>
          <w:rtl/>
        </w:rPr>
        <w:t>,</w:t>
      </w:r>
      <w:r w:rsidR="00E05DFB" w:rsidRPr="00E05DFB">
        <w:rPr>
          <w:rFonts w:cs="Arial"/>
          <w:rtl/>
        </w:rPr>
        <w:t xml:space="preserve"> כגון בעופרת</w:t>
      </w:r>
      <w:r w:rsidR="00556C54">
        <w:rPr>
          <w:rFonts w:cs="Arial" w:hint="cs"/>
          <w:rtl/>
        </w:rPr>
        <w:t>,</w:t>
      </w:r>
      <w:r w:rsidR="00E05DFB" w:rsidRPr="00E05DFB">
        <w:rPr>
          <w:rFonts w:cs="Arial"/>
          <w:rtl/>
        </w:rPr>
        <w:t xml:space="preserve"> אע</w:t>
      </w:r>
      <w:r w:rsidR="00556C54">
        <w:rPr>
          <w:rFonts w:cs="Arial" w:hint="cs"/>
          <w:rtl/>
        </w:rPr>
        <w:t>"</w:t>
      </w:r>
      <w:r w:rsidR="00E05DFB" w:rsidRPr="00E05DFB">
        <w:rPr>
          <w:rFonts w:cs="Arial"/>
          <w:rtl/>
        </w:rPr>
        <w:t>פ שנמחקת השריטה לאחר זמן. או אם רוצה לשרטט בסיקרא או בצבע אחר המתקיים כל ימי שהכתב מתקיים. מיהו שרטוט משמע לשון גומא וחריץ. וממה שאמר בויקרא רבה קווצותיו תלתלים זה הסרגול</w:t>
      </w:r>
      <w:r w:rsidR="00DF6F45">
        <w:rPr>
          <w:rFonts w:cs="Arial" w:hint="cs"/>
          <w:rtl/>
        </w:rPr>
        <w:t>,</w:t>
      </w:r>
      <w:r w:rsidR="00E05DFB" w:rsidRPr="00E05DFB">
        <w:rPr>
          <w:rFonts w:cs="Arial"/>
          <w:rtl/>
        </w:rPr>
        <w:t xml:space="preserve"> הוה משמע שצריך שרטוט המתקיים הנראה כעין תלתלים. ובה"ג בענין חליצה כתב הלכה כרבי יצחק דאמר</w:t>
      </w:r>
      <w:r w:rsidR="00556C54">
        <w:rPr>
          <w:rFonts w:cs="Arial" w:hint="cs"/>
          <w:rtl/>
        </w:rPr>
        <w:t xml:space="preserve"> (גיטין ו:)</w:t>
      </w:r>
      <w:r w:rsidR="00E05DFB" w:rsidRPr="00E05DFB">
        <w:rPr>
          <w:rFonts w:cs="Arial"/>
          <w:rtl/>
        </w:rPr>
        <w:t xml:space="preserve"> שתים כותבין שלש אין כותבין ואי שירטט לי' בדיותא</w:t>
      </w:r>
      <w:r w:rsidR="00DF5FDD">
        <w:rPr>
          <w:rFonts w:cs="Arial" w:hint="cs"/>
          <w:rtl/>
        </w:rPr>
        <w:t xml:space="preserve"> </w:t>
      </w:r>
      <w:r w:rsidR="00E05DFB" w:rsidRPr="00E05DFB">
        <w:rPr>
          <w:rFonts w:cs="Arial"/>
          <w:rtl/>
        </w:rPr>
        <w:t>לאו כלום.</w:t>
      </w:r>
    </w:p>
    <w:p w14:paraId="68B93A20" w14:textId="6D57B28F" w:rsidR="00C530BD" w:rsidRPr="00AF4AED" w:rsidRDefault="00073279" w:rsidP="00073279">
      <w:pPr>
        <w:pStyle w:val="ab"/>
        <w:numPr>
          <w:ilvl w:val="0"/>
          <w:numId w:val="47"/>
        </w:numPr>
        <w:rPr>
          <w:rtl/>
        </w:rPr>
      </w:pPr>
      <w:r w:rsidRPr="0046774E">
        <w:rPr>
          <w:rFonts w:cs="Arial"/>
          <w:rtl/>
        </w:rPr>
        <w:t>כל בו</w:t>
      </w:r>
      <w:r>
        <w:rPr>
          <w:rStyle w:val="a7"/>
          <w:rFonts w:cs="Arial"/>
          <w:rtl/>
        </w:rPr>
        <w:footnoteReference w:id="565"/>
      </w:r>
      <w:r w:rsidRPr="0046774E">
        <w:rPr>
          <w:rFonts w:cs="Arial"/>
          <w:rtl/>
        </w:rPr>
        <w:t xml:space="preserve"> </w:t>
      </w:r>
      <w:r w:rsidRPr="00320976">
        <w:rPr>
          <w:rFonts w:cs="Arial"/>
          <w:sz w:val="16"/>
          <w:szCs w:val="16"/>
          <w:rtl/>
        </w:rPr>
        <w:t>(סי' עו שם)</w:t>
      </w:r>
      <w:r>
        <w:rPr>
          <w:rFonts w:cs="Arial" w:hint="cs"/>
          <w:rtl/>
        </w:rPr>
        <w:t xml:space="preserve"> ו</w:t>
      </w:r>
      <w:r w:rsidR="00AA766B" w:rsidRPr="0046774E">
        <w:rPr>
          <w:rFonts w:cs="Arial"/>
          <w:rtl/>
        </w:rPr>
        <w:t xml:space="preserve">מרדכי </w:t>
      </w:r>
      <w:r w:rsidR="00AA766B" w:rsidRPr="00E05DFB">
        <w:rPr>
          <w:rFonts w:cs="Arial"/>
          <w:sz w:val="16"/>
          <w:szCs w:val="16"/>
          <w:rtl/>
        </w:rPr>
        <w:t>(</w:t>
      </w:r>
      <w:r w:rsidR="00A51F6B">
        <w:rPr>
          <w:rFonts w:cs="Arial" w:hint="cs"/>
          <w:sz w:val="16"/>
          <w:szCs w:val="16"/>
          <w:rtl/>
        </w:rPr>
        <w:t>ב</w:t>
      </w:r>
      <w:r w:rsidR="00A51F6B" w:rsidRPr="00E05DFB">
        <w:rPr>
          <w:rFonts w:cs="Arial" w:hint="cs"/>
          <w:sz w:val="16"/>
          <w:szCs w:val="16"/>
          <w:rtl/>
        </w:rPr>
        <w:t>הלכות ספר תורה</w:t>
      </w:r>
      <w:r w:rsidR="00A51F6B">
        <w:rPr>
          <w:rFonts w:cs="Arial" w:hint="cs"/>
          <w:sz w:val="16"/>
          <w:szCs w:val="16"/>
          <w:rtl/>
        </w:rPr>
        <w:t>,</w:t>
      </w:r>
      <w:r w:rsidR="00A51F6B" w:rsidRPr="00E05DFB">
        <w:rPr>
          <w:rFonts w:cs="Arial"/>
          <w:sz w:val="16"/>
          <w:szCs w:val="16"/>
          <w:rtl/>
        </w:rPr>
        <w:t xml:space="preserve"> </w:t>
      </w:r>
      <w:r w:rsidR="00AA766B" w:rsidRPr="00E05DFB">
        <w:rPr>
          <w:rFonts w:cs="Arial"/>
          <w:sz w:val="16"/>
          <w:szCs w:val="16"/>
          <w:rtl/>
        </w:rPr>
        <w:t xml:space="preserve">הלכות קטנות </w:t>
      </w:r>
      <w:r w:rsidR="00E05DFB" w:rsidRPr="00E05DFB">
        <w:rPr>
          <w:rFonts w:cs="Arial" w:hint="cs"/>
          <w:sz w:val="16"/>
          <w:szCs w:val="16"/>
          <w:rtl/>
        </w:rPr>
        <w:t>למרדכי, מנחות</w:t>
      </w:r>
      <w:r w:rsidR="00A51F6B">
        <w:rPr>
          <w:rFonts w:cs="Arial" w:hint="cs"/>
          <w:sz w:val="16"/>
          <w:szCs w:val="16"/>
          <w:rtl/>
        </w:rPr>
        <w:t>,</w:t>
      </w:r>
      <w:r w:rsidR="00E05DFB" w:rsidRPr="00E05DFB">
        <w:rPr>
          <w:rFonts w:cs="Arial" w:hint="cs"/>
          <w:sz w:val="16"/>
          <w:szCs w:val="16"/>
          <w:rtl/>
        </w:rPr>
        <w:t xml:space="preserve"> </w:t>
      </w:r>
      <w:r w:rsidR="00AA766B" w:rsidRPr="00E05DFB">
        <w:rPr>
          <w:rFonts w:cs="Arial"/>
          <w:sz w:val="16"/>
          <w:szCs w:val="16"/>
          <w:rtl/>
        </w:rPr>
        <w:t>סו"ס תקסב)</w:t>
      </w:r>
      <w:r w:rsidR="00A82951">
        <w:rPr>
          <w:rFonts w:cs="Arial" w:hint="cs"/>
          <w:rtl/>
        </w:rPr>
        <w:t>-</w:t>
      </w:r>
      <w:r w:rsidR="00AA766B" w:rsidRPr="0046774E">
        <w:rPr>
          <w:rFonts w:cs="Arial"/>
          <w:rtl/>
        </w:rPr>
        <w:t xml:space="preserve"> תניא במסכת סופרים (פ"א ה"א) מסרגלין בקנה</w:t>
      </w:r>
      <w:r>
        <w:rPr>
          <w:rStyle w:val="a7"/>
          <w:rFonts w:cs="Arial"/>
          <w:rtl/>
        </w:rPr>
        <w:footnoteReference w:id="566"/>
      </w:r>
      <w:r w:rsidR="00C530BD">
        <w:rPr>
          <w:rFonts w:cs="Arial" w:hint="cs"/>
          <w:rtl/>
        </w:rPr>
        <w:t>,</w:t>
      </w:r>
      <w:r w:rsidR="00AA766B" w:rsidRPr="0046774E">
        <w:rPr>
          <w:rFonts w:cs="Arial"/>
          <w:rtl/>
        </w:rPr>
        <w:t xml:space="preserve"> לאו לאפוקי סכין</w:t>
      </w:r>
      <w:r w:rsidR="00C530BD">
        <w:rPr>
          <w:rFonts w:cs="Arial" w:hint="cs"/>
          <w:rtl/>
        </w:rPr>
        <w:t>,</w:t>
      </w:r>
      <w:r w:rsidR="00AA766B" w:rsidRPr="0046774E">
        <w:rPr>
          <w:rFonts w:cs="Arial"/>
          <w:rtl/>
        </w:rPr>
        <w:t xml:space="preserve"> אלא לאפוקי עופרת</w:t>
      </w:r>
      <w:r>
        <w:rPr>
          <w:rStyle w:val="a7"/>
          <w:rFonts w:cs="Arial"/>
          <w:rtl/>
        </w:rPr>
        <w:footnoteReference w:id="567"/>
      </w:r>
      <w:r w:rsidR="00AA766B" w:rsidRPr="0046774E">
        <w:rPr>
          <w:rFonts w:cs="Arial"/>
          <w:rtl/>
        </w:rPr>
        <w:t xml:space="preserve"> וכיוצא בו שהשרטוט על ידי צבע</w:t>
      </w:r>
      <w:r>
        <w:rPr>
          <w:rFonts w:cs="Arial" w:hint="cs"/>
          <w:sz w:val="16"/>
          <w:szCs w:val="16"/>
          <w:rtl/>
        </w:rPr>
        <w:t xml:space="preserve"> (ל' המרדכי)</w:t>
      </w:r>
      <w:r w:rsidR="00C530BD" w:rsidRPr="00073279">
        <w:rPr>
          <w:rFonts w:cs="Arial" w:hint="cs"/>
          <w:rtl/>
        </w:rPr>
        <w:t>.</w:t>
      </w:r>
    </w:p>
    <w:p w14:paraId="09E1485A"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E7FE11E" w14:textId="1D7E7A8E" w:rsidR="00C77C34" w:rsidRDefault="00C77C34" w:rsidP="00C77C34">
      <w:pPr>
        <w:rPr>
          <w:rFonts w:cs="Arial"/>
          <w:rtl/>
        </w:rPr>
      </w:pPr>
      <w:r w:rsidRPr="00C77C34">
        <w:rPr>
          <w:rFonts w:cs="Arial"/>
          <w:rtl/>
        </w:rPr>
        <w:t>נוהגין לשרטטו. ויש ליזהר מלשרטט באבר</w:t>
      </w:r>
      <w:r w:rsidR="0090693F">
        <w:rPr>
          <w:rStyle w:val="a7"/>
          <w:rFonts w:cs="Arial"/>
          <w:rtl/>
        </w:rPr>
        <w:footnoteReference w:id="568"/>
      </w:r>
      <w:r w:rsidRPr="00C77C34">
        <w:rPr>
          <w:rFonts w:cs="Arial"/>
          <w:rtl/>
        </w:rPr>
        <w:t xml:space="preserve">, מפני שהוא צובע והוי ככתב על כתב. </w:t>
      </w:r>
    </w:p>
    <w:p w14:paraId="183050F6" w14:textId="20667EE0" w:rsidR="007D047A" w:rsidRPr="008216D8" w:rsidRDefault="007D047A" w:rsidP="00C77C34">
      <w:pPr>
        <w:rPr>
          <w:rFonts w:cs="Arial"/>
          <w:sz w:val="16"/>
          <w:szCs w:val="16"/>
          <w:rtl/>
        </w:rPr>
      </w:pPr>
      <w:r w:rsidRPr="007D047A">
        <w:rPr>
          <w:rFonts w:cs="Arial" w:hint="cs"/>
          <w:u w:val="single"/>
          <w:rtl/>
        </w:rPr>
        <w:t xml:space="preserve">קיפול הנייר כדי לעשות שורות </w:t>
      </w:r>
      <w:r w:rsidRPr="007D047A">
        <w:rPr>
          <w:rFonts w:cs="Arial" w:hint="cs"/>
          <w:sz w:val="16"/>
          <w:szCs w:val="16"/>
          <w:u w:val="single"/>
          <w:rtl/>
        </w:rPr>
        <w:t>(במקום שרטוט)</w:t>
      </w:r>
      <w:r w:rsidRPr="007D047A">
        <w:rPr>
          <w:rFonts w:cs="Arial" w:hint="cs"/>
          <w:u w:val="single"/>
          <w:rtl/>
        </w:rPr>
        <w:t>:</w:t>
      </w:r>
      <w:r w:rsidR="008216D8">
        <w:rPr>
          <w:rFonts w:cs="Arial" w:hint="cs"/>
          <w:sz w:val="16"/>
          <w:szCs w:val="16"/>
          <w:rtl/>
        </w:rPr>
        <w:t xml:space="preserve">  (פת"ש כאן סק"כ, וביו"ד סי' רעא סקי"ג)</w:t>
      </w:r>
    </w:p>
    <w:p w14:paraId="6B3634FC" w14:textId="7B526F47" w:rsidR="00AF4AED" w:rsidRDefault="007D047A" w:rsidP="007D047A">
      <w:pPr>
        <w:pStyle w:val="ab"/>
        <w:numPr>
          <w:ilvl w:val="0"/>
          <w:numId w:val="50"/>
        </w:numPr>
        <w:rPr>
          <w:rFonts w:cs="Arial"/>
        </w:rPr>
      </w:pPr>
      <w:r w:rsidRPr="007D047A">
        <w:rPr>
          <w:rFonts w:cs="Arial"/>
          <w:rtl/>
        </w:rPr>
        <w:t>רדב"ז</w:t>
      </w:r>
      <w:r w:rsidRPr="007D047A">
        <w:rPr>
          <w:rFonts w:cs="Arial"/>
          <w:sz w:val="16"/>
          <w:szCs w:val="16"/>
          <w:rtl/>
        </w:rPr>
        <w:t xml:space="preserve"> </w:t>
      </w:r>
      <w:r w:rsidRPr="007D047A">
        <w:rPr>
          <w:rFonts w:cs="Arial" w:hint="cs"/>
          <w:sz w:val="16"/>
          <w:szCs w:val="16"/>
          <w:rtl/>
        </w:rPr>
        <w:t>(</w:t>
      </w:r>
      <w:r w:rsidRPr="007D047A">
        <w:rPr>
          <w:rFonts w:cs="Arial"/>
          <w:sz w:val="16"/>
          <w:szCs w:val="16"/>
          <w:rtl/>
        </w:rPr>
        <w:t>החדשות סי' קנו</w:t>
      </w:r>
      <w:r w:rsidRPr="007D047A">
        <w:rPr>
          <w:rFonts w:cs="Arial" w:hint="cs"/>
          <w:sz w:val="16"/>
          <w:szCs w:val="16"/>
          <w:rtl/>
        </w:rPr>
        <w:t>)</w:t>
      </w:r>
      <w:r w:rsidR="00A82951">
        <w:rPr>
          <w:rFonts w:cs="Arial" w:hint="cs"/>
          <w:rtl/>
        </w:rPr>
        <w:t>-</w:t>
      </w:r>
      <w:r w:rsidRPr="007D047A">
        <w:rPr>
          <w:rFonts w:cs="Arial"/>
          <w:rtl/>
        </w:rPr>
        <w:t xml:space="preserve"> מה שנהגו הסופרים לכפול הנייר שכותבין עליו הגט במקום שרטוט</w:t>
      </w:r>
      <w:r>
        <w:rPr>
          <w:rFonts w:cs="Arial" w:hint="cs"/>
          <w:rtl/>
        </w:rPr>
        <w:t>,</w:t>
      </w:r>
      <w:r w:rsidRPr="007D047A">
        <w:rPr>
          <w:rFonts w:cs="Arial"/>
          <w:rtl/>
        </w:rPr>
        <w:t xml:space="preserve"> אם הנייר קשה שיהיו הכפלים עומדים וניכרים עד סוף כתיבת הגט </w:t>
      </w:r>
      <w:r w:rsidR="00A82951">
        <w:rPr>
          <w:rFonts w:cs="Arial" w:hint="cs"/>
          <w:rtl/>
        </w:rPr>
        <w:t>-</w:t>
      </w:r>
      <w:r>
        <w:rPr>
          <w:rFonts w:cs="Arial" w:hint="cs"/>
          <w:rtl/>
        </w:rPr>
        <w:t xml:space="preserve"> </w:t>
      </w:r>
      <w:r w:rsidRPr="007D047A">
        <w:rPr>
          <w:rFonts w:cs="Arial"/>
          <w:rtl/>
        </w:rPr>
        <w:t>סגי בהכי</w:t>
      </w:r>
      <w:r>
        <w:rPr>
          <w:rFonts w:cs="Arial" w:hint="cs"/>
          <w:rtl/>
        </w:rPr>
        <w:t>,</w:t>
      </w:r>
      <w:r w:rsidRPr="007D047A">
        <w:rPr>
          <w:rFonts w:cs="Arial"/>
          <w:rtl/>
        </w:rPr>
        <w:t xml:space="preserve"> דמה לי שישרטט בקנה או בכל דבר העומד וניכר</w:t>
      </w:r>
      <w:r>
        <w:rPr>
          <w:rFonts w:cs="Arial" w:hint="cs"/>
          <w:rtl/>
        </w:rPr>
        <w:t>.</w:t>
      </w:r>
      <w:r w:rsidRPr="007D047A">
        <w:rPr>
          <w:rFonts w:cs="Arial"/>
          <w:rtl/>
        </w:rPr>
        <w:t xml:space="preserve"> דהטעם הוא כדי שיהא כתיבה ישרה</w:t>
      </w:r>
      <w:r>
        <w:rPr>
          <w:rFonts w:cs="Arial" w:hint="cs"/>
          <w:rtl/>
        </w:rPr>
        <w:t>,</w:t>
      </w:r>
      <w:r w:rsidRPr="007D047A">
        <w:rPr>
          <w:rFonts w:cs="Arial"/>
          <w:rtl/>
        </w:rPr>
        <w:t xml:space="preserve"> והא איכא</w:t>
      </w:r>
      <w:r>
        <w:rPr>
          <w:rStyle w:val="a7"/>
          <w:rFonts w:cs="Arial"/>
          <w:rtl/>
        </w:rPr>
        <w:footnoteReference w:id="569"/>
      </w:r>
      <w:r w:rsidRPr="007D047A">
        <w:rPr>
          <w:rFonts w:cs="Arial"/>
          <w:rtl/>
        </w:rPr>
        <w:t xml:space="preserve">. </w:t>
      </w:r>
    </w:p>
    <w:p w14:paraId="7D1798C6" w14:textId="77777777" w:rsidR="007D047A" w:rsidRPr="008216D8" w:rsidRDefault="007D047A" w:rsidP="007D047A">
      <w:pPr>
        <w:rPr>
          <w:rFonts w:cs="Arial"/>
          <w:rtl/>
        </w:rPr>
      </w:pPr>
    </w:p>
    <w:p w14:paraId="6AEC2A57" w14:textId="60E76DE4" w:rsidR="00C77C34" w:rsidRDefault="00C77C34" w:rsidP="00786DE6">
      <w:pPr>
        <w:pStyle w:val="2"/>
        <w:rPr>
          <w:rtl/>
        </w:rPr>
      </w:pPr>
      <w:r w:rsidRPr="00C77C34">
        <w:rPr>
          <w:rtl/>
        </w:rPr>
        <w:t>סעיף יא</w:t>
      </w:r>
      <w:r w:rsidR="00AF4AED">
        <w:rPr>
          <w:rFonts w:hint="cs"/>
          <w:rtl/>
        </w:rPr>
        <w:t>:</w:t>
      </w:r>
      <w:r w:rsidR="008216D8">
        <w:rPr>
          <w:rFonts w:hint="cs"/>
          <w:rtl/>
        </w:rPr>
        <w:t xml:space="preserve"> י"ב שיטין. </w:t>
      </w:r>
    </w:p>
    <w:p w14:paraId="76BE3CED" w14:textId="2E7D605B" w:rsidR="008216D8" w:rsidRPr="008216D8" w:rsidRDefault="008B0BDF" w:rsidP="008216D8">
      <w:pPr>
        <w:rPr>
          <w:u w:val="single"/>
          <w:rtl/>
        </w:rPr>
      </w:pPr>
      <w:r>
        <w:rPr>
          <w:rFonts w:hint="cs"/>
          <w:u w:val="single"/>
          <w:rtl/>
        </w:rPr>
        <w:t>שרטוט</w:t>
      </w:r>
      <w:r w:rsidR="008216D8" w:rsidRPr="008216D8">
        <w:rPr>
          <w:rFonts w:hint="cs"/>
          <w:u w:val="single"/>
          <w:rtl/>
        </w:rPr>
        <w:t xml:space="preserve"> י"ב שיטין</w:t>
      </w:r>
      <w:r>
        <w:rPr>
          <w:rFonts w:hint="cs"/>
          <w:u w:val="single"/>
          <w:rtl/>
        </w:rPr>
        <w:t xml:space="preserve"> בגט</w:t>
      </w:r>
      <w:r w:rsidR="008216D8" w:rsidRPr="008216D8">
        <w:rPr>
          <w:rFonts w:hint="cs"/>
          <w:u w:val="single"/>
          <w:rtl/>
        </w:rPr>
        <w:t>:</w:t>
      </w:r>
    </w:p>
    <w:p w14:paraId="22375CFD" w14:textId="72A2293F" w:rsidR="003B3710" w:rsidRDefault="008216D8" w:rsidP="003B3710">
      <w:pPr>
        <w:pStyle w:val="ab"/>
        <w:numPr>
          <w:ilvl w:val="0"/>
          <w:numId w:val="47"/>
        </w:numPr>
      </w:pPr>
      <w:r>
        <w:rPr>
          <w:rFonts w:cs="Arial" w:hint="cs"/>
          <w:rtl/>
        </w:rPr>
        <w:t xml:space="preserve">תוס' </w:t>
      </w:r>
      <w:r w:rsidRPr="008216D8">
        <w:rPr>
          <w:rFonts w:cs="Arial"/>
          <w:sz w:val="16"/>
          <w:szCs w:val="16"/>
          <w:rtl/>
        </w:rPr>
        <w:t>(ב. ד"ה המביא)</w:t>
      </w:r>
      <w:r>
        <w:rPr>
          <w:rFonts w:cs="Arial" w:hint="cs"/>
          <w:sz w:val="16"/>
          <w:szCs w:val="16"/>
          <w:rtl/>
        </w:rPr>
        <w:t xml:space="preserve"> </w:t>
      </w:r>
      <w:r w:rsidRPr="00AA766B">
        <w:rPr>
          <w:rFonts w:cs="Arial"/>
          <w:rtl/>
        </w:rPr>
        <w:t xml:space="preserve">תרומה </w:t>
      </w:r>
      <w:r w:rsidRPr="008216D8">
        <w:rPr>
          <w:rFonts w:cs="Arial"/>
          <w:sz w:val="16"/>
          <w:szCs w:val="16"/>
          <w:rtl/>
        </w:rPr>
        <w:t>(סי' קיב)</w:t>
      </w:r>
      <w:r w:rsidRPr="00AA766B">
        <w:rPr>
          <w:rFonts w:cs="Arial"/>
          <w:rtl/>
        </w:rPr>
        <w:t xml:space="preserve"> סמ"ג </w:t>
      </w:r>
      <w:r w:rsidRPr="008216D8">
        <w:rPr>
          <w:rFonts w:cs="Arial"/>
          <w:sz w:val="16"/>
          <w:szCs w:val="16"/>
          <w:rtl/>
        </w:rPr>
        <w:t>(עשין נ קכט ע"ג)</w:t>
      </w:r>
      <w:r w:rsidRPr="008216D8">
        <w:rPr>
          <w:rFonts w:cs="Arial"/>
          <w:rtl/>
        </w:rPr>
        <w:t xml:space="preserve"> </w:t>
      </w:r>
      <w:r w:rsidRPr="00AA766B">
        <w:rPr>
          <w:rFonts w:cs="Arial"/>
          <w:rtl/>
        </w:rPr>
        <w:t xml:space="preserve">מרדכי </w:t>
      </w:r>
      <w:r w:rsidRPr="008216D8">
        <w:rPr>
          <w:rFonts w:cs="Arial"/>
          <w:sz w:val="16"/>
          <w:szCs w:val="16"/>
          <w:rtl/>
        </w:rPr>
        <w:t xml:space="preserve">(סי' שיד) </w:t>
      </w:r>
      <w:r w:rsidRPr="00AA766B">
        <w:rPr>
          <w:rFonts w:cs="Arial"/>
          <w:rtl/>
        </w:rPr>
        <w:t xml:space="preserve">רא"ש </w:t>
      </w:r>
      <w:r w:rsidRPr="008216D8">
        <w:rPr>
          <w:rFonts w:cs="Arial" w:hint="cs"/>
          <w:sz w:val="16"/>
          <w:szCs w:val="16"/>
          <w:rtl/>
        </w:rPr>
        <w:t>(</w:t>
      </w:r>
      <w:r w:rsidRPr="008216D8">
        <w:rPr>
          <w:rFonts w:cs="Arial"/>
          <w:sz w:val="16"/>
          <w:szCs w:val="16"/>
          <w:rtl/>
        </w:rPr>
        <w:t>ריש גיטין ס"ב)</w:t>
      </w:r>
      <w:r>
        <w:rPr>
          <w:rFonts w:cs="Arial" w:hint="cs"/>
          <w:rtl/>
        </w:rPr>
        <w:t xml:space="preserve"> ו</w:t>
      </w:r>
      <w:r w:rsidR="003B3710">
        <w:rPr>
          <w:rFonts w:cs="Arial" w:hint="cs"/>
          <w:rtl/>
        </w:rPr>
        <w:t>טור</w:t>
      </w:r>
      <w:r w:rsidR="00A82951">
        <w:rPr>
          <w:rFonts w:cs="Arial" w:hint="cs"/>
          <w:rtl/>
        </w:rPr>
        <w:t>-</w:t>
      </w:r>
      <w:r w:rsidR="003B3710">
        <w:rPr>
          <w:rFonts w:cs="Arial" w:hint="cs"/>
          <w:rtl/>
        </w:rPr>
        <w:t xml:space="preserve"> </w:t>
      </w:r>
      <w:r w:rsidR="003B3710" w:rsidRPr="002D5E7F">
        <w:rPr>
          <w:rFonts w:cs="Arial"/>
          <w:rtl/>
        </w:rPr>
        <w:t>נוהגין לעשותו י"ב שיטין</w:t>
      </w:r>
      <w:r>
        <w:rPr>
          <w:rFonts w:cs="Arial" w:hint="cs"/>
          <w:rtl/>
        </w:rPr>
        <w:t>.</w:t>
      </w:r>
      <w:r w:rsidR="003B3710" w:rsidRPr="002D5E7F">
        <w:rPr>
          <w:rFonts w:cs="Arial"/>
          <w:rtl/>
        </w:rPr>
        <w:t xml:space="preserve"> רמז לדבר בשם ר"ת גט עולה י"ב</w:t>
      </w:r>
      <w:r>
        <w:rPr>
          <w:rStyle w:val="a7"/>
          <w:rFonts w:cs="Arial"/>
          <w:rtl/>
        </w:rPr>
        <w:footnoteReference w:id="570"/>
      </w:r>
      <w:r w:rsidR="003B3710" w:rsidRPr="002D5E7F">
        <w:rPr>
          <w:rFonts w:cs="Arial"/>
          <w:rtl/>
        </w:rPr>
        <w:t xml:space="preserve"> </w:t>
      </w:r>
      <w:r>
        <w:rPr>
          <w:rFonts w:cs="Arial" w:hint="cs"/>
          <w:sz w:val="16"/>
          <w:szCs w:val="16"/>
          <w:rtl/>
        </w:rPr>
        <w:t>(ל' הטור)</w:t>
      </w:r>
      <w:r w:rsidR="003B3710">
        <w:rPr>
          <w:rFonts w:cs="Arial" w:hint="cs"/>
          <w:rtl/>
        </w:rPr>
        <w:t>.</w:t>
      </w:r>
      <w:r w:rsidR="003B3710" w:rsidRPr="008216D8">
        <w:rPr>
          <w:rFonts w:cs="Arial"/>
          <w:color w:val="E36C0A" w:themeColor="accent6" w:themeShade="BF"/>
          <w:rtl/>
        </w:rPr>
        <w:t xml:space="preserve"> </w:t>
      </w:r>
      <w:r w:rsidRPr="008216D8">
        <w:rPr>
          <w:rFonts w:hint="cs"/>
          <w:color w:val="E36C0A" w:themeColor="accent6" w:themeShade="BF"/>
          <w:rtl/>
        </w:rPr>
        <w:t>(וכ"פ בשו"ע)</w:t>
      </w:r>
    </w:p>
    <w:p w14:paraId="6BFBED38" w14:textId="1341D3F8" w:rsidR="005E5EAF" w:rsidRPr="001B3137" w:rsidRDefault="005E5EAF" w:rsidP="005E5EAF">
      <w:pPr>
        <w:pStyle w:val="ab"/>
        <w:numPr>
          <w:ilvl w:val="0"/>
          <w:numId w:val="47"/>
        </w:numPr>
      </w:pPr>
      <w:r w:rsidRPr="00885805">
        <w:rPr>
          <w:rFonts w:cs="Arial"/>
          <w:rtl/>
        </w:rPr>
        <w:lastRenderedPageBreak/>
        <w:t xml:space="preserve">רשב"א </w:t>
      </w:r>
      <w:r w:rsidRPr="001B3137">
        <w:rPr>
          <w:rFonts w:cs="Arial"/>
          <w:sz w:val="16"/>
          <w:szCs w:val="16"/>
          <w:rtl/>
        </w:rPr>
        <w:t>(ח"ה סי' צג</w:t>
      </w:r>
      <w:r w:rsidRPr="001B3137">
        <w:rPr>
          <w:rFonts w:cs="Arial" w:hint="cs"/>
          <w:sz w:val="16"/>
          <w:szCs w:val="16"/>
          <w:rtl/>
        </w:rPr>
        <w:t>, וכן ב</w:t>
      </w:r>
      <w:r w:rsidRPr="001B3137">
        <w:rPr>
          <w:rFonts w:cs="Arial"/>
          <w:sz w:val="16"/>
          <w:szCs w:val="16"/>
          <w:rtl/>
        </w:rPr>
        <w:t>ח"א סי' אלף ר"כ)</w:t>
      </w:r>
      <w:r w:rsidR="00A82951">
        <w:rPr>
          <w:rFonts w:cs="Arial" w:hint="cs"/>
          <w:rtl/>
        </w:rPr>
        <w:t>-</w:t>
      </w:r>
      <w:r w:rsidRPr="00885805">
        <w:rPr>
          <w:rFonts w:cs="Arial"/>
          <w:rtl/>
        </w:rPr>
        <w:t xml:space="preserve"> ראיתי הכל נוהגין עכשיו לכתוב י"ב שיטין ותולין הדבר בגימטריא של גט שהוא עולה י"ב</w:t>
      </w:r>
      <w:r>
        <w:rPr>
          <w:rFonts w:cs="Arial" w:hint="cs"/>
          <w:rtl/>
        </w:rPr>
        <w:t>.</w:t>
      </w:r>
      <w:r w:rsidRPr="00885805">
        <w:rPr>
          <w:rFonts w:cs="Arial"/>
          <w:rtl/>
        </w:rPr>
        <w:t xml:space="preserve"> אבל אני לא מצאתי באחד מב' התלמודים שום זכר לזה כלל</w:t>
      </w:r>
      <w:r>
        <w:rPr>
          <w:rFonts w:cs="Arial" w:hint="cs"/>
          <w:rtl/>
        </w:rPr>
        <w:t>.</w:t>
      </w:r>
      <w:r w:rsidRPr="00885805">
        <w:rPr>
          <w:rFonts w:cs="Arial"/>
          <w:rtl/>
        </w:rPr>
        <w:t xml:space="preserve"> אדרבה שנינו על הכל כותבין על עלה של זית וסתמא דמילתא עלה של זית אינו מכיל י"ב שיטין</w:t>
      </w:r>
      <w:r>
        <w:rPr>
          <w:rFonts w:cs="Arial" w:hint="cs"/>
          <w:rtl/>
        </w:rPr>
        <w:t>.</w:t>
      </w:r>
      <w:r w:rsidRPr="00885805">
        <w:rPr>
          <w:rFonts w:cs="Arial"/>
          <w:rtl/>
        </w:rPr>
        <w:t xml:space="preserve"> אלא שטוב לכתחלה לכתוב י"ב שיטין לחוש למה שהעולם נוהגין</w:t>
      </w:r>
      <w:r>
        <w:rPr>
          <w:rFonts w:cs="Arial" w:hint="cs"/>
          <w:rtl/>
        </w:rPr>
        <w:t>.</w:t>
      </w:r>
      <w:r w:rsidRPr="00885805">
        <w:rPr>
          <w:rFonts w:cs="Arial"/>
          <w:rtl/>
        </w:rPr>
        <w:t xml:space="preserve"> ובין שיחתמו באותה שיטה של י"ב שנגמר בו הגט או בשיטה בפני עצמה מלבד הי"ב שיטין הגט כשר. </w:t>
      </w:r>
      <w:r>
        <w:rPr>
          <w:rFonts w:hint="cs"/>
          <w:rtl/>
        </w:rPr>
        <w:t xml:space="preserve"> </w:t>
      </w:r>
    </w:p>
    <w:p w14:paraId="0851FAE6" w14:textId="0C3C730D" w:rsidR="001B3137" w:rsidRPr="001B3137" w:rsidRDefault="001B3137" w:rsidP="001B3137">
      <w:pPr>
        <w:ind w:left="360"/>
        <w:rPr>
          <w:u w:val="dotted"/>
        </w:rPr>
      </w:pPr>
      <w:r w:rsidRPr="001B3137">
        <w:rPr>
          <w:rFonts w:hint="cs"/>
          <w:u w:val="dotted"/>
          <w:rtl/>
        </w:rPr>
        <w:t>ומה הדין אם לא שרטט י"ב שיטין או לא שרטט כלל:</w:t>
      </w:r>
    </w:p>
    <w:p w14:paraId="53E0D071" w14:textId="0C6E9C0F" w:rsidR="001B3137" w:rsidRPr="001B3137" w:rsidRDefault="001B3137" w:rsidP="00885805">
      <w:pPr>
        <w:pStyle w:val="ab"/>
        <w:numPr>
          <w:ilvl w:val="0"/>
          <w:numId w:val="47"/>
        </w:numPr>
      </w:pPr>
      <w:r w:rsidRPr="00AA766B">
        <w:rPr>
          <w:rFonts w:cs="Arial"/>
          <w:rtl/>
        </w:rPr>
        <w:t xml:space="preserve">רא"ש </w:t>
      </w:r>
      <w:r w:rsidRPr="008216D8">
        <w:rPr>
          <w:rFonts w:cs="Arial" w:hint="cs"/>
          <w:sz w:val="16"/>
          <w:szCs w:val="16"/>
          <w:rtl/>
        </w:rPr>
        <w:t>(</w:t>
      </w:r>
      <w:r w:rsidRPr="008216D8">
        <w:rPr>
          <w:rFonts w:cs="Arial"/>
          <w:sz w:val="16"/>
          <w:szCs w:val="16"/>
          <w:rtl/>
        </w:rPr>
        <w:t>ריש גיטין ס"ב)</w:t>
      </w:r>
      <w:r>
        <w:rPr>
          <w:rFonts w:cs="Arial" w:hint="cs"/>
          <w:rtl/>
        </w:rPr>
        <w:t xml:space="preserve"> וטור</w:t>
      </w:r>
      <w:r w:rsidR="00A82951">
        <w:rPr>
          <w:rFonts w:cs="Arial" w:hint="cs"/>
          <w:rtl/>
        </w:rPr>
        <w:t>-</w:t>
      </w:r>
      <w:r w:rsidRPr="002D5E7F">
        <w:rPr>
          <w:rFonts w:cs="Arial"/>
          <w:rtl/>
        </w:rPr>
        <w:t xml:space="preserve"> ואם חסר מי"ב או יתר עליה</w:t>
      </w:r>
      <w:r>
        <w:rPr>
          <w:rFonts w:cs="Arial" w:hint="cs"/>
          <w:rtl/>
        </w:rPr>
        <w:t xml:space="preserve"> </w:t>
      </w:r>
      <w:r w:rsidR="00A82951">
        <w:rPr>
          <w:rFonts w:cs="Arial" w:hint="cs"/>
          <w:rtl/>
        </w:rPr>
        <w:t>-</w:t>
      </w:r>
      <w:r w:rsidRPr="002D5E7F">
        <w:rPr>
          <w:rFonts w:cs="Arial"/>
          <w:rtl/>
        </w:rPr>
        <w:t xml:space="preserve"> לא נפסל</w:t>
      </w:r>
      <w:r>
        <w:rPr>
          <w:rFonts w:cs="Arial" w:hint="cs"/>
          <w:sz w:val="16"/>
          <w:szCs w:val="16"/>
          <w:rtl/>
        </w:rPr>
        <w:t xml:space="preserve"> (ל' הטור)</w:t>
      </w:r>
      <w:r>
        <w:rPr>
          <w:rFonts w:hint="cs"/>
          <w:rtl/>
        </w:rPr>
        <w:t>.</w:t>
      </w:r>
    </w:p>
    <w:p w14:paraId="470167E7" w14:textId="140F4E79" w:rsidR="001B3137" w:rsidRPr="001B3137" w:rsidRDefault="001B3137" w:rsidP="00885805">
      <w:pPr>
        <w:pStyle w:val="ab"/>
        <w:numPr>
          <w:ilvl w:val="0"/>
          <w:numId w:val="47"/>
        </w:numPr>
      </w:pPr>
      <w:r>
        <w:rPr>
          <w:rFonts w:cs="Arial" w:hint="cs"/>
          <w:rtl/>
        </w:rPr>
        <w:t xml:space="preserve">רא"ש </w:t>
      </w:r>
      <w:r w:rsidR="00885805" w:rsidRPr="001B3137">
        <w:rPr>
          <w:rFonts w:cs="Arial"/>
          <w:sz w:val="16"/>
          <w:szCs w:val="16"/>
          <w:rtl/>
        </w:rPr>
        <w:t>(כלל מה סי' יג)</w:t>
      </w:r>
      <w:r w:rsidR="00A82951">
        <w:rPr>
          <w:rFonts w:cs="Arial" w:hint="cs"/>
          <w:rtl/>
        </w:rPr>
        <w:t>-</w:t>
      </w:r>
      <w:r>
        <w:rPr>
          <w:rFonts w:cs="Arial" w:hint="cs"/>
          <w:rtl/>
        </w:rPr>
        <w:t xml:space="preserve"> </w:t>
      </w:r>
      <w:r w:rsidR="00885805" w:rsidRPr="00885805">
        <w:rPr>
          <w:rFonts w:cs="Arial"/>
          <w:rtl/>
        </w:rPr>
        <w:t>וגט שאינו משורטט בי"ב שיטות פוסלין בארצנו ובצרפת</w:t>
      </w:r>
      <w:r>
        <w:rPr>
          <w:rFonts w:cs="Arial" w:hint="cs"/>
          <w:rtl/>
        </w:rPr>
        <w:t>.</w:t>
      </w:r>
      <w:r w:rsidR="00885805" w:rsidRPr="00885805">
        <w:rPr>
          <w:rFonts w:cs="Arial"/>
          <w:rtl/>
        </w:rPr>
        <w:t xml:space="preserve"> אבל במקום עיגון שבא מארץ רחוקה ואין שיירות מצויות להביא אחר </w:t>
      </w:r>
      <w:r w:rsidR="00A82951">
        <w:rPr>
          <w:rFonts w:cs="Arial" w:hint="cs"/>
          <w:rtl/>
        </w:rPr>
        <w:t>-</w:t>
      </w:r>
      <w:r>
        <w:rPr>
          <w:rFonts w:cs="Arial" w:hint="cs"/>
          <w:rtl/>
        </w:rPr>
        <w:t xml:space="preserve"> </w:t>
      </w:r>
      <w:r w:rsidR="00885805" w:rsidRPr="00885805">
        <w:rPr>
          <w:rFonts w:cs="Arial"/>
          <w:rtl/>
        </w:rPr>
        <w:t xml:space="preserve">לא הייתי פוסלו. </w:t>
      </w:r>
    </w:p>
    <w:p w14:paraId="40E60573" w14:textId="1A8DC0A0" w:rsidR="00885805" w:rsidRPr="00AF4AED" w:rsidRDefault="00885805" w:rsidP="00885805">
      <w:pPr>
        <w:pStyle w:val="ab"/>
        <w:numPr>
          <w:ilvl w:val="0"/>
          <w:numId w:val="47"/>
        </w:numPr>
        <w:rPr>
          <w:rtl/>
        </w:rPr>
      </w:pPr>
      <w:r w:rsidRPr="00885805">
        <w:rPr>
          <w:rFonts w:cs="Arial"/>
          <w:rtl/>
        </w:rPr>
        <w:t xml:space="preserve">תשב"ץ </w:t>
      </w:r>
      <w:r w:rsidR="001B3137">
        <w:rPr>
          <w:rFonts w:cs="Arial" w:hint="cs"/>
          <w:sz w:val="16"/>
          <w:szCs w:val="16"/>
          <w:rtl/>
        </w:rPr>
        <w:t>(</w:t>
      </w:r>
      <w:r w:rsidRPr="001B3137">
        <w:rPr>
          <w:rFonts w:cs="Arial"/>
          <w:sz w:val="16"/>
          <w:szCs w:val="16"/>
          <w:rtl/>
        </w:rPr>
        <w:t>ח"ב סי' פ פא)</w:t>
      </w:r>
      <w:r w:rsidR="00A82951">
        <w:rPr>
          <w:rFonts w:cs="Arial" w:hint="cs"/>
          <w:rtl/>
        </w:rPr>
        <w:t>-</w:t>
      </w:r>
      <w:r w:rsidR="001B3137">
        <w:rPr>
          <w:rFonts w:cs="Arial" w:hint="cs"/>
          <w:rtl/>
        </w:rPr>
        <w:t xml:space="preserve"> </w:t>
      </w:r>
      <w:r w:rsidRPr="00885805">
        <w:rPr>
          <w:rFonts w:cs="Arial"/>
          <w:rtl/>
        </w:rPr>
        <w:t xml:space="preserve">אם נכתב הגט בלא שרטוט או בפחות מי"ב שיטין או יותר </w:t>
      </w:r>
      <w:r w:rsidR="00A82951">
        <w:rPr>
          <w:rFonts w:cs="Arial" w:hint="cs"/>
          <w:rtl/>
        </w:rPr>
        <w:t>-</w:t>
      </w:r>
      <w:r w:rsidR="001B3137">
        <w:rPr>
          <w:rFonts w:cs="Arial" w:hint="cs"/>
          <w:rtl/>
        </w:rPr>
        <w:t xml:space="preserve"> </w:t>
      </w:r>
      <w:r w:rsidRPr="00885805">
        <w:rPr>
          <w:rFonts w:cs="Arial"/>
          <w:rtl/>
        </w:rPr>
        <w:t>תתגרש בו</w:t>
      </w:r>
      <w:r w:rsidR="001B3137">
        <w:rPr>
          <w:rFonts w:cs="Arial" w:hint="cs"/>
          <w:rtl/>
        </w:rPr>
        <w:t>.</w:t>
      </w:r>
      <w:r w:rsidR="00CB1290" w:rsidRPr="00CB1290">
        <w:rPr>
          <w:rFonts w:hint="cs"/>
          <w:color w:val="00B0F0"/>
          <w:rtl/>
        </w:rPr>
        <w:t xml:space="preserve"> </w:t>
      </w:r>
    </w:p>
    <w:p w14:paraId="22A1686F"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12141C6" w14:textId="43EDDC36" w:rsidR="00C77C34" w:rsidRDefault="00C77C34" w:rsidP="00C77C34">
      <w:pPr>
        <w:rPr>
          <w:rFonts w:cs="Arial"/>
          <w:rtl/>
        </w:rPr>
      </w:pPr>
      <w:r w:rsidRPr="00C77C34">
        <w:rPr>
          <w:rFonts w:cs="Arial"/>
          <w:rtl/>
        </w:rPr>
        <w:t xml:space="preserve">נוהגין לעשותו שנים עשר שיטין. </w:t>
      </w:r>
    </w:p>
    <w:p w14:paraId="1725EE65" w14:textId="77777777" w:rsidR="00AF4AED" w:rsidRPr="00C77C34" w:rsidRDefault="00AF4AED" w:rsidP="00C77C34">
      <w:pPr>
        <w:rPr>
          <w:rFonts w:cs="Arial"/>
          <w:rtl/>
        </w:rPr>
      </w:pPr>
    </w:p>
    <w:p w14:paraId="73E4E746" w14:textId="20374E21" w:rsidR="00C77C34" w:rsidRDefault="00C77C34" w:rsidP="00786DE6">
      <w:pPr>
        <w:pStyle w:val="2"/>
        <w:rPr>
          <w:rtl/>
        </w:rPr>
      </w:pPr>
      <w:r w:rsidRPr="00C77C34">
        <w:rPr>
          <w:rtl/>
        </w:rPr>
        <w:t>סעיף יב</w:t>
      </w:r>
      <w:r w:rsidR="00AF4AED">
        <w:rPr>
          <w:rFonts w:hint="cs"/>
          <w:rtl/>
        </w:rPr>
        <w:t>:</w:t>
      </w:r>
      <w:r w:rsidR="008B0BDF">
        <w:rPr>
          <w:rFonts w:hint="cs"/>
          <w:rtl/>
        </w:rPr>
        <w:t xml:space="preserve"> שורה לחתימת העדים. ועוד דיני שרטוט.</w:t>
      </w:r>
    </w:p>
    <w:p w14:paraId="614CC0B1" w14:textId="58B304AC" w:rsidR="001573A7" w:rsidRPr="008B0BDF" w:rsidRDefault="001573A7" w:rsidP="001573A7">
      <w:pPr>
        <w:rPr>
          <w:u w:val="single"/>
        </w:rPr>
      </w:pPr>
      <w:r w:rsidRPr="008B0BDF">
        <w:rPr>
          <w:rFonts w:hint="cs"/>
          <w:u w:val="single"/>
          <w:rtl/>
        </w:rPr>
        <w:t>שורה</w:t>
      </w:r>
      <w:r w:rsidR="00A75F26">
        <w:rPr>
          <w:rFonts w:hint="cs"/>
          <w:u w:val="single"/>
          <w:rtl/>
        </w:rPr>
        <w:t xml:space="preserve"> נוספת</w:t>
      </w:r>
      <w:r w:rsidRPr="008B0BDF">
        <w:rPr>
          <w:rFonts w:hint="cs"/>
          <w:u w:val="single"/>
          <w:rtl/>
        </w:rPr>
        <w:t xml:space="preserve"> לחתימת העדים:</w:t>
      </w:r>
    </w:p>
    <w:p w14:paraId="58892B74" w14:textId="288CA5FE" w:rsidR="001573A7" w:rsidRPr="008B0BDF" w:rsidRDefault="001573A7" w:rsidP="001573A7">
      <w:pPr>
        <w:pStyle w:val="ab"/>
        <w:numPr>
          <w:ilvl w:val="0"/>
          <w:numId w:val="50"/>
        </w:numPr>
      </w:pPr>
      <w:r w:rsidRPr="008B0BDF">
        <w:rPr>
          <w:rFonts w:cs="Arial"/>
          <w:rtl/>
        </w:rPr>
        <w:t xml:space="preserve">רא"ש </w:t>
      </w:r>
      <w:r w:rsidRPr="008B0BDF">
        <w:rPr>
          <w:rFonts w:cs="Arial" w:hint="cs"/>
          <w:sz w:val="16"/>
          <w:szCs w:val="16"/>
          <w:rtl/>
        </w:rPr>
        <w:t>(</w:t>
      </w:r>
      <w:r w:rsidRPr="008B0BDF">
        <w:rPr>
          <w:rFonts w:cs="Arial"/>
          <w:sz w:val="16"/>
          <w:szCs w:val="16"/>
          <w:rtl/>
        </w:rPr>
        <w:t>כלל מה סי</w:t>
      </w:r>
      <w:r w:rsidRPr="008B0BDF">
        <w:rPr>
          <w:rFonts w:cs="Arial" w:hint="cs"/>
          <w:sz w:val="16"/>
          <w:szCs w:val="16"/>
          <w:rtl/>
        </w:rPr>
        <w:t>'</w:t>
      </w:r>
      <w:r w:rsidRPr="008B0BDF">
        <w:rPr>
          <w:rFonts w:cs="Arial"/>
          <w:sz w:val="16"/>
          <w:szCs w:val="16"/>
          <w:rtl/>
        </w:rPr>
        <w:t xml:space="preserve"> יב)</w:t>
      </w:r>
      <w:r w:rsidR="00A82951">
        <w:rPr>
          <w:rFonts w:cs="Arial" w:hint="cs"/>
          <w:rtl/>
        </w:rPr>
        <w:t>-</w:t>
      </w:r>
      <w:r w:rsidRPr="008B0BDF">
        <w:rPr>
          <w:rFonts w:cs="Arial"/>
          <w:rtl/>
        </w:rPr>
        <w:t xml:space="preserve"> דין הוא שיהא בגט י"ב שורות בלא שורה של חתימת העדים</w:t>
      </w:r>
      <w:r>
        <w:rPr>
          <w:rFonts w:cs="Arial" w:hint="cs"/>
          <w:rtl/>
        </w:rPr>
        <w:t>.</w:t>
      </w:r>
    </w:p>
    <w:p w14:paraId="509DD2A1" w14:textId="4D6ED40D" w:rsidR="001573A7" w:rsidRPr="001573A7" w:rsidRDefault="001573A7" w:rsidP="00A75F26">
      <w:pPr>
        <w:pStyle w:val="ab"/>
        <w:numPr>
          <w:ilvl w:val="0"/>
          <w:numId w:val="50"/>
        </w:numPr>
      </w:pPr>
      <w:r w:rsidRPr="008B0BDF">
        <w:rPr>
          <w:rFonts w:cs="Arial"/>
          <w:rtl/>
        </w:rPr>
        <w:t xml:space="preserve">קונדריסים </w:t>
      </w:r>
      <w:r w:rsidRPr="008B0BDF">
        <w:rPr>
          <w:rFonts w:cs="Arial"/>
          <w:sz w:val="16"/>
          <w:szCs w:val="16"/>
          <w:rtl/>
        </w:rPr>
        <w:t>(סי' יב סעי' א)</w:t>
      </w:r>
      <w:r w:rsidR="00A75F26">
        <w:rPr>
          <w:rFonts w:cs="Arial" w:hint="cs"/>
          <w:rtl/>
        </w:rPr>
        <w:t xml:space="preserve"> ו</w:t>
      </w:r>
      <w:r w:rsidR="00A75F26" w:rsidRPr="00AA766B">
        <w:rPr>
          <w:rFonts w:cs="Arial"/>
          <w:rtl/>
        </w:rPr>
        <w:t>סדר הגט</w:t>
      </w:r>
      <w:r w:rsidR="00A75F26" w:rsidRPr="001573A7">
        <w:rPr>
          <w:rFonts w:cs="Arial"/>
          <w:sz w:val="16"/>
          <w:szCs w:val="16"/>
          <w:rtl/>
        </w:rPr>
        <w:t xml:space="preserve"> </w:t>
      </w:r>
      <w:r w:rsidR="00A75F26" w:rsidRPr="001573A7">
        <w:rPr>
          <w:rFonts w:cs="Arial" w:hint="cs"/>
          <w:sz w:val="16"/>
          <w:szCs w:val="16"/>
          <w:rtl/>
        </w:rPr>
        <w:t>(</w:t>
      </w:r>
      <w:r w:rsidR="00A75F26" w:rsidRPr="001573A7">
        <w:rPr>
          <w:rFonts w:cs="Arial"/>
          <w:sz w:val="16"/>
          <w:szCs w:val="16"/>
          <w:rtl/>
        </w:rPr>
        <w:t>שם סעיף ג</w:t>
      </w:r>
      <w:r w:rsidR="00A75F26" w:rsidRPr="001573A7">
        <w:rPr>
          <w:rFonts w:cs="Arial" w:hint="cs"/>
          <w:sz w:val="16"/>
          <w:szCs w:val="16"/>
          <w:rtl/>
        </w:rPr>
        <w:t>, כ"כ בשמו הדרכ"מ [אות יב]</w:t>
      </w:r>
      <w:r w:rsidR="00A75F26" w:rsidRPr="001573A7">
        <w:rPr>
          <w:rFonts w:cs="Arial"/>
          <w:sz w:val="16"/>
          <w:szCs w:val="16"/>
          <w:rtl/>
        </w:rPr>
        <w:t>)</w:t>
      </w:r>
      <w:r w:rsidR="00A82951">
        <w:rPr>
          <w:rFonts w:cs="Arial" w:hint="cs"/>
          <w:rtl/>
        </w:rPr>
        <w:t>-</w:t>
      </w:r>
      <w:r w:rsidRPr="008B0BDF">
        <w:rPr>
          <w:rFonts w:cs="Arial"/>
          <w:rtl/>
        </w:rPr>
        <w:t xml:space="preserve"> יש שמשרטטים י"ג שיטות ואותה שורה אחרונה מחלק אותה לשתי שורות קצרות אשר בה יחתמו העדים זה תחת זה</w:t>
      </w:r>
      <w:r>
        <w:rPr>
          <w:rStyle w:val="a7"/>
          <w:rFonts w:cs="Arial"/>
          <w:rtl/>
        </w:rPr>
        <w:footnoteReference w:id="571"/>
      </w:r>
      <w:r w:rsidR="00A75F26">
        <w:rPr>
          <w:rFonts w:cs="Arial" w:hint="cs"/>
          <w:sz w:val="16"/>
          <w:szCs w:val="16"/>
          <w:rtl/>
        </w:rPr>
        <w:t xml:space="preserve"> (ל' הקונדריסים)</w:t>
      </w:r>
      <w:r w:rsidRPr="008B0BDF">
        <w:rPr>
          <w:rFonts w:cs="Arial" w:hint="cs"/>
          <w:rtl/>
        </w:rPr>
        <w:t>.</w:t>
      </w:r>
      <w:r w:rsidRPr="001573A7">
        <w:rPr>
          <w:rFonts w:hint="cs"/>
          <w:color w:val="E36C0A" w:themeColor="accent6" w:themeShade="BF"/>
          <w:rtl/>
        </w:rPr>
        <w:t xml:space="preserve"> (וכ"פ בשו"ע)</w:t>
      </w:r>
    </w:p>
    <w:p w14:paraId="775D5845" w14:textId="77777777" w:rsidR="008B0BDF" w:rsidRPr="008B0BDF" w:rsidRDefault="008B0BDF" w:rsidP="00AF4AED">
      <w:pPr>
        <w:rPr>
          <w:rFonts w:cs="Arial"/>
          <w:u w:val="single"/>
          <w:rtl/>
        </w:rPr>
      </w:pPr>
      <w:r w:rsidRPr="008B0BDF">
        <w:rPr>
          <w:rFonts w:cs="Arial" w:hint="cs"/>
          <w:u w:val="single"/>
          <w:rtl/>
        </w:rPr>
        <w:t>שרטוט מן הצדדים:</w:t>
      </w:r>
    </w:p>
    <w:p w14:paraId="2C986ED1" w14:textId="6B8C9EE8" w:rsidR="008B0BDF" w:rsidRPr="008B0BDF" w:rsidRDefault="00AA766B" w:rsidP="008B0BDF">
      <w:pPr>
        <w:pStyle w:val="ab"/>
        <w:numPr>
          <w:ilvl w:val="0"/>
          <w:numId w:val="50"/>
        </w:numPr>
      </w:pPr>
      <w:r w:rsidRPr="008B0BDF">
        <w:rPr>
          <w:rFonts w:cs="Arial"/>
          <w:rtl/>
        </w:rPr>
        <w:t xml:space="preserve">קונדריסים </w:t>
      </w:r>
      <w:r w:rsidRPr="008B0BDF">
        <w:rPr>
          <w:rFonts w:cs="Arial"/>
          <w:sz w:val="16"/>
          <w:szCs w:val="16"/>
          <w:rtl/>
        </w:rPr>
        <w:t xml:space="preserve">(סי' ח סעי' ט) </w:t>
      </w:r>
      <w:r w:rsidRPr="008B0BDF">
        <w:rPr>
          <w:rFonts w:cs="Arial"/>
          <w:rtl/>
        </w:rPr>
        <w:t>בשם התרומה</w:t>
      </w:r>
      <w:r w:rsidRPr="008B0BDF">
        <w:rPr>
          <w:rFonts w:cs="Arial"/>
          <w:sz w:val="16"/>
          <w:szCs w:val="16"/>
          <w:rtl/>
        </w:rPr>
        <w:t xml:space="preserve"> (סי' קטז)</w:t>
      </w:r>
      <w:r w:rsidR="00A82951">
        <w:rPr>
          <w:rFonts w:cs="Arial" w:hint="cs"/>
          <w:rtl/>
        </w:rPr>
        <w:t>-</w:t>
      </w:r>
      <w:r w:rsidR="008B0BDF" w:rsidRPr="008B0BDF">
        <w:rPr>
          <w:rFonts w:cs="Arial" w:hint="cs"/>
          <w:rtl/>
        </w:rPr>
        <w:t xml:space="preserve"> </w:t>
      </w:r>
      <w:r w:rsidRPr="008B0BDF">
        <w:rPr>
          <w:rFonts w:cs="Arial"/>
          <w:rtl/>
        </w:rPr>
        <w:t>צריך לשרטט גם כן מן הצדדין</w:t>
      </w:r>
      <w:r>
        <w:rPr>
          <w:rStyle w:val="a7"/>
          <w:rtl/>
        </w:rPr>
        <w:footnoteReference w:id="572"/>
      </w:r>
      <w:r w:rsidR="008B0BDF" w:rsidRPr="008B0BDF">
        <w:rPr>
          <w:rFonts w:cs="Arial" w:hint="cs"/>
          <w:rtl/>
        </w:rPr>
        <w:t>.</w:t>
      </w:r>
      <w:r w:rsidR="00CB1290">
        <w:rPr>
          <w:rFonts w:cs="Arial" w:hint="cs"/>
          <w:rtl/>
        </w:rPr>
        <w:t xml:space="preserve"> </w:t>
      </w:r>
      <w:r w:rsidR="00CB1290" w:rsidRPr="001573A7">
        <w:rPr>
          <w:rFonts w:hint="cs"/>
          <w:color w:val="00B0F0"/>
          <w:rtl/>
        </w:rPr>
        <w:t xml:space="preserve">(וכ"פ </w:t>
      </w:r>
      <w:r w:rsidR="00CB1290">
        <w:rPr>
          <w:rFonts w:hint="cs"/>
          <w:color w:val="00B0F0"/>
          <w:rtl/>
        </w:rPr>
        <w:t>הרמ"א</w:t>
      </w:r>
      <w:r w:rsidR="00CB1290" w:rsidRPr="001573A7">
        <w:rPr>
          <w:rFonts w:hint="cs"/>
          <w:color w:val="00B0F0"/>
          <w:rtl/>
        </w:rPr>
        <w:t>)</w:t>
      </w:r>
    </w:p>
    <w:p w14:paraId="32EDFD0E" w14:textId="77777777" w:rsidR="00CB1290" w:rsidRPr="00885805" w:rsidRDefault="00CB1290" w:rsidP="00CB1290">
      <w:r>
        <w:rPr>
          <w:rFonts w:hint="cs"/>
          <w:u w:val="single"/>
          <w:rtl/>
        </w:rPr>
        <w:t>כמה גליון צריך להשאיר בצדדים של הגט</w:t>
      </w:r>
      <w:r w:rsidRPr="00885805">
        <w:rPr>
          <w:rFonts w:hint="cs"/>
          <w:u w:val="single"/>
          <w:rtl/>
        </w:rPr>
        <w:t>:</w:t>
      </w:r>
      <w:r w:rsidRPr="00885805">
        <w:rPr>
          <w:rFonts w:cs="Arial" w:hint="cs"/>
          <w:sz w:val="16"/>
          <w:szCs w:val="16"/>
          <w:rtl/>
        </w:rPr>
        <w:t xml:space="preserve"> </w:t>
      </w:r>
      <w:r>
        <w:rPr>
          <w:rFonts w:cs="Arial" w:hint="cs"/>
          <w:sz w:val="16"/>
          <w:szCs w:val="16"/>
          <w:rtl/>
        </w:rPr>
        <w:t xml:space="preserve"> </w:t>
      </w:r>
      <w:r w:rsidRPr="00885805">
        <w:rPr>
          <w:rFonts w:cs="Arial" w:hint="cs"/>
          <w:sz w:val="16"/>
          <w:szCs w:val="16"/>
          <w:rtl/>
        </w:rPr>
        <w:t>(</w:t>
      </w:r>
      <w:r>
        <w:rPr>
          <w:rFonts w:cs="Arial" w:hint="cs"/>
          <w:sz w:val="16"/>
          <w:szCs w:val="16"/>
          <w:rtl/>
        </w:rPr>
        <w:t xml:space="preserve">דרכ"מ </w:t>
      </w:r>
      <w:r w:rsidRPr="00885805">
        <w:rPr>
          <w:rFonts w:cs="Arial" w:hint="cs"/>
          <w:sz w:val="16"/>
          <w:szCs w:val="16"/>
          <w:rtl/>
        </w:rPr>
        <w:t>אות יא)</w:t>
      </w:r>
    </w:p>
    <w:p w14:paraId="6F11DB8C" w14:textId="39CF2135" w:rsidR="00CB1290" w:rsidRPr="00885805" w:rsidRDefault="00CB1290" w:rsidP="00CB1290">
      <w:pPr>
        <w:pStyle w:val="ab"/>
        <w:numPr>
          <w:ilvl w:val="0"/>
          <w:numId w:val="50"/>
        </w:numPr>
      </w:pPr>
      <w:r w:rsidRPr="00AA766B">
        <w:rPr>
          <w:rFonts w:cs="Arial"/>
          <w:rtl/>
        </w:rPr>
        <w:t>סדר גיטין</w:t>
      </w:r>
      <w:r w:rsidRPr="00885805">
        <w:rPr>
          <w:rFonts w:cs="Arial"/>
          <w:sz w:val="16"/>
          <w:szCs w:val="16"/>
          <w:rtl/>
        </w:rPr>
        <w:t xml:space="preserve"> (שם סעיף ד)</w:t>
      </w:r>
      <w:r w:rsidR="00A82951">
        <w:rPr>
          <w:rFonts w:cs="Arial" w:hint="cs"/>
          <w:rtl/>
        </w:rPr>
        <w:t>-</w:t>
      </w:r>
      <w:r w:rsidRPr="00AA766B">
        <w:rPr>
          <w:rFonts w:cs="Arial"/>
          <w:rtl/>
        </w:rPr>
        <w:t xml:space="preserve"> והגליון מן הצדדים הוי כחצי אצבע</w:t>
      </w:r>
      <w:r>
        <w:rPr>
          <w:rFonts w:cs="Arial" w:hint="cs"/>
          <w:rtl/>
        </w:rPr>
        <w:t>,</w:t>
      </w:r>
      <w:r w:rsidRPr="00AA766B">
        <w:rPr>
          <w:rFonts w:cs="Arial"/>
          <w:rtl/>
        </w:rPr>
        <w:t xml:space="preserve"> ולמעלה כאצבע. ולמטה כתב מהרי"ל (שם בהגהה ה) כדי תפיסת יד</w:t>
      </w:r>
      <w:r w:rsidR="00DF6F45">
        <w:rPr>
          <w:rFonts w:cs="Arial" w:hint="cs"/>
          <w:rtl/>
        </w:rPr>
        <w:t>.</w:t>
      </w:r>
      <w:r w:rsidRPr="00AA766B">
        <w:rPr>
          <w:rFonts w:cs="Arial"/>
          <w:rtl/>
        </w:rPr>
        <w:t xml:space="preserve"> ואני מניח יותר מתפיסת יד</w:t>
      </w:r>
      <w:r>
        <w:rPr>
          <w:rStyle w:val="a7"/>
          <w:rFonts w:cs="Arial"/>
          <w:rtl/>
        </w:rPr>
        <w:footnoteReference w:id="573"/>
      </w:r>
      <w:r>
        <w:rPr>
          <w:rFonts w:hint="cs"/>
          <w:rtl/>
        </w:rPr>
        <w:t>.</w:t>
      </w:r>
      <w:r w:rsidRPr="001573A7">
        <w:rPr>
          <w:rFonts w:cs="Arial"/>
          <w:rtl/>
        </w:rPr>
        <w:t xml:space="preserve"> </w:t>
      </w:r>
      <w:r w:rsidRPr="001573A7">
        <w:rPr>
          <w:rFonts w:hint="cs"/>
          <w:color w:val="00B0F0"/>
          <w:rtl/>
        </w:rPr>
        <w:t xml:space="preserve">(וכ"פ </w:t>
      </w:r>
      <w:r>
        <w:rPr>
          <w:rFonts w:hint="cs"/>
          <w:color w:val="00B0F0"/>
          <w:rtl/>
        </w:rPr>
        <w:t>הרמ"א</w:t>
      </w:r>
      <w:r w:rsidRPr="001573A7">
        <w:rPr>
          <w:rFonts w:hint="cs"/>
          <w:color w:val="00B0F0"/>
          <w:rtl/>
        </w:rPr>
        <w:t>)</w:t>
      </w:r>
    </w:p>
    <w:p w14:paraId="259663BC" w14:textId="1E0FAAE1" w:rsidR="008B0BDF" w:rsidRPr="008B0BDF" w:rsidRDefault="008B0BDF" w:rsidP="008B0BDF">
      <w:pPr>
        <w:rPr>
          <w:u w:val="single"/>
        </w:rPr>
      </w:pPr>
      <w:r w:rsidRPr="008B0BDF">
        <w:rPr>
          <w:rFonts w:hint="cs"/>
          <w:u w:val="single"/>
          <w:rtl/>
        </w:rPr>
        <w:t>שרטוט מבחוץ:</w:t>
      </w:r>
    </w:p>
    <w:p w14:paraId="0E84EFF0" w14:textId="0A608FD8" w:rsidR="008B0BDF" w:rsidRPr="008B0BDF" w:rsidRDefault="00AA766B" w:rsidP="008B0BDF">
      <w:pPr>
        <w:pStyle w:val="ab"/>
        <w:numPr>
          <w:ilvl w:val="0"/>
          <w:numId w:val="50"/>
        </w:numPr>
      </w:pPr>
      <w:r w:rsidRPr="008B0BDF">
        <w:rPr>
          <w:rFonts w:cs="Arial"/>
          <w:rtl/>
        </w:rPr>
        <w:t xml:space="preserve">קונדריסים </w:t>
      </w:r>
      <w:r w:rsidRPr="008B0BDF">
        <w:rPr>
          <w:rFonts w:cs="Arial"/>
          <w:sz w:val="16"/>
          <w:szCs w:val="16"/>
          <w:rtl/>
        </w:rPr>
        <w:t>(סי' ח סעי' יא)</w:t>
      </w:r>
      <w:r w:rsidR="00A82951">
        <w:rPr>
          <w:rFonts w:cs="Arial" w:hint="cs"/>
          <w:rtl/>
        </w:rPr>
        <w:t>-</w:t>
      </w:r>
      <w:r w:rsidR="008B0BDF">
        <w:rPr>
          <w:rFonts w:cs="Arial" w:hint="cs"/>
          <w:rtl/>
        </w:rPr>
        <w:t xml:space="preserve"> </w:t>
      </w:r>
      <w:r w:rsidRPr="008B0BDF">
        <w:rPr>
          <w:rFonts w:cs="Arial"/>
          <w:rtl/>
        </w:rPr>
        <w:t>ועל השרטוט מקובל אני מרבותי שהשרטוט מבחוץ</w:t>
      </w:r>
      <w:r w:rsidR="001573A7">
        <w:rPr>
          <w:rStyle w:val="a7"/>
          <w:rFonts w:cs="Arial"/>
          <w:rtl/>
        </w:rPr>
        <w:footnoteReference w:id="574"/>
      </w:r>
      <w:r w:rsidR="008B0BDF">
        <w:rPr>
          <w:rFonts w:cs="Arial" w:hint="cs"/>
          <w:rtl/>
        </w:rPr>
        <w:t>,</w:t>
      </w:r>
      <w:r w:rsidRPr="008B0BDF">
        <w:rPr>
          <w:rFonts w:cs="Arial"/>
          <w:rtl/>
        </w:rPr>
        <w:t xml:space="preserve"> וכן עמא דבר</w:t>
      </w:r>
      <w:r w:rsidR="008B0BDF">
        <w:rPr>
          <w:rFonts w:cs="Arial" w:hint="cs"/>
          <w:rtl/>
        </w:rPr>
        <w:t>.</w:t>
      </w:r>
      <w:r w:rsidRPr="008B0BDF">
        <w:rPr>
          <w:rFonts w:cs="Arial"/>
          <w:rtl/>
        </w:rPr>
        <w:t xml:space="preserve"> ואם תאמר אם כן אמאי אין משרטטין באבר</w:t>
      </w:r>
      <w:r w:rsidR="00AB5B1D">
        <w:rPr>
          <w:rFonts w:cs="Arial" w:hint="cs"/>
          <w:rtl/>
        </w:rPr>
        <w:t>,</w:t>
      </w:r>
      <w:r w:rsidRPr="008B0BDF">
        <w:rPr>
          <w:rFonts w:cs="Arial"/>
          <w:rtl/>
        </w:rPr>
        <w:t xml:space="preserve"> יש לומר דאפילו הכי נראה מבפנים צבע האבר</w:t>
      </w:r>
      <w:r w:rsidR="007018DC">
        <w:rPr>
          <w:rFonts w:cs="Arial" w:hint="cs"/>
          <w:rtl/>
        </w:rPr>
        <w:t>,</w:t>
      </w:r>
      <w:r w:rsidRPr="008B0BDF">
        <w:rPr>
          <w:rFonts w:cs="Arial"/>
          <w:rtl/>
        </w:rPr>
        <w:t xml:space="preserve"> אבל בברזל או בקנה אינו נראה </w:t>
      </w:r>
      <w:r w:rsidR="00AB5B1D">
        <w:rPr>
          <w:rFonts w:cs="Arial" w:hint="cs"/>
          <w:sz w:val="16"/>
          <w:szCs w:val="16"/>
          <w:rtl/>
        </w:rPr>
        <w:t xml:space="preserve">{הצבע שהם משאירים} </w:t>
      </w:r>
      <w:r w:rsidRPr="008B0BDF">
        <w:rPr>
          <w:rFonts w:cs="Arial"/>
          <w:rtl/>
        </w:rPr>
        <w:t>כשמשרטטין מבחוץ אלא כשמשרטטין מבפנים</w:t>
      </w:r>
      <w:r w:rsidR="007018DC">
        <w:rPr>
          <w:rFonts w:cs="Arial" w:hint="cs"/>
          <w:rtl/>
        </w:rPr>
        <w:t>.</w:t>
      </w:r>
      <w:r w:rsidRPr="008B0BDF">
        <w:rPr>
          <w:rFonts w:cs="Arial"/>
          <w:rtl/>
        </w:rPr>
        <w:t xml:space="preserve"> אפילו בברזל יש לחוש שלפעמים נראה</w:t>
      </w:r>
      <w:r w:rsidR="007018DC">
        <w:rPr>
          <w:rFonts w:cs="Arial" w:hint="cs"/>
          <w:rtl/>
        </w:rPr>
        <w:t>,</w:t>
      </w:r>
      <w:r w:rsidRPr="008B0BDF">
        <w:rPr>
          <w:rFonts w:cs="Arial"/>
          <w:rtl/>
        </w:rPr>
        <w:t xml:space="preserve"> לכך התקינו שישרטטו מבחוץ</w:t>
      </w:r>
      <w:r w:rsidR="008B0BDF">
        <w:rPr>
          <w:rFonts w:cs="Arial" w:hint="cs"/>
          <w:rtl/>
        </w:rPr>
        <w:t>.</w:t>
      </w:r>
      <w:r w:rsidR="00CB1290">
        <w:rPr>
          <w:rFonts w:hint="cs"/>
          <w:rtl/>
        </w:rPr>
        <w:t xml:space="preserve"> </w:t>
      </w:r>
      <w:r w:rsidR="00CB1290" w:rsidRPr="001573A7">
        <w:rPr>
          <w:rFonts w:hint="cs"/>
          <w:color w:val="00B0F0"/>
          <w:rtl/>
        </w:rPr>
        <w:t xml:space="preserve">(וכ"פ </w:t>
      </w:r>
      <w:r w:rsidR="00CB1290">
        <w:rPr>
          <w:rFonts w:hint="cs"/>
          <w:color w:val="00B0F0"/>
          <w:rtl/>
        </w:rPr>
        <w:t>הרמ"א</w:t>
      </w:r>
      <w:r w:rsidR="00CB1290" w:rsidRPr="001573A7">
        <w:rPr>
          <w:rFonts w:hint="cs"/>
          <w:color w:val="00B0F0"/>
          <w:rtl/>
        </w:rPr>
        <w:t>)</w:t>
      </w:r>
    </w:p>
    <w:p w14:paraId="62656973" w14:textId="105262A9" w:rsidR="001573A7" w:rsidRPr="001573A7" w:rsidRDefault="001573A7" w:rsidP="001573A7">
      <w:r>
        <w:rPr>
          <w:rFonts w:hint="cs"/>
          <w:u w:val="single"/>
          <w:rtl/>
        </w:rPr>
        <w:t>שרטוט הגט קודם כתיבה</w:t>
      </w:r>
      <w:r w:rsidRPr="00885805">
        <w:rPr>
          <w:rFonts w:hint="cs"/>
          <w:u w:val="single"/>
          <w:rtl/>
        </w:rPr>
        <w:t>:</w:t>
      </w:r>
      <w:r w:rsidRPr="00885805">
        <w:rPr>
          <w:rFonts w:cs="Arial" w:hint="cs"/>
          <w:sz w:val="16"/>
          <w:szCs w:val="16"/>
          <w:rtl/>
        </w:rPr>
        <w:t xml:space="preserve"> </w:t>
      </w:r>
      <w:r>
        <w:rPr>
          <w:rFonts w:cs="Arial" w:hint="cs"/>
          <w:sz w:val="16"/>
          <w:szCs w:val="16"/>
          <w:rtl/>
        </w:rPr>
        <w:t xml:space="preserve"> </w:t>
      </w:r>
      <w:r w:rsidRPr="00885805">
        <w:rPr>
          <w:rFonts w:cs="Arial" w:hint="cs"/>
          <w:sz w:val="16"/>
          <w:szCs w:val="16"/>
          <w:rtl/>
        </w:rPr>
        <w:t>(</w:t>
      </w:r>
      <w:r>
        <w:rPr>
          <w:rFonts w:cs="Arial" w:hint="cs"/>
          <w:sz w:val="16"/>
          <w:szCs w:val="16"/>
          <w:rtl/>
        </w:rPr>
        <w:t xml:space="preserve">דרכ"מ </w:t>
      </w:r>
      <w:r w:rsidRPr="00885805">
        <w:rPr>
          <w:rFonts w:cs="Arial" w:hint="cs"/>
          <w:sz w:val="16"/>
          <w:szCs w:val="16"/>
          <w:rtl/>
        </w:rPr>
        <w:t xml:space="preserve">אות </w:t>
      </w:r>
      <w:r>
        <w:rPr>
          <w:rFonts w:cs="Arial" w:hint="cs"/>
          <w:sz w:val="16"/>
          <w:szCs w:val="16"/>
          <w:rtl/>
        </w:rPr>
        <w:t>ט</w:t>
      </w:r>
      <w:r w:rsidRPr="00885805">
        <w:rPr>
          <w:rFonts w:cs="Arial" w:hint="cs"/>
          <w:sz w:val="16"/>
          <w:szCs w:val="16"/>
          <w:rtl/>
        </w:rPr>
        <w:t>)</w:t>
      </w:r>
    </w:p>
    <w:p w14:paraId="5CB84A28" w14:textId="29A11D87" w:rsidR="001573A7" w:rsidRDefault="001573A7" w:rsidP="001573A7">
      <w:pPr>
        <w:pStyle w:val="ab"/>
        <w:numPr>
          <w:ilvl w:val="0"/>
          <w:numId w:val="50"/>
        </w:numPr>
      </w:pPr>
      <w:r w:rsidRPr="001573A7">
        <w:rPr>
          <w:rFonts w:cs="Arial"/>
          <w:rtl/>
        </w:rPr>
        <w:t xml:space="preserve">סדר גיטין </w:t>
      </w:r>
      <w:r w:rsidRPr="001573A7">
        <w:rPr>
          <w:rFonts w:cs="Arial"/>
          <w:sz w:val="16"/>
          <w:szCs w:val="16"/>
          <w:rtl/>
        </w:rPr>
        <w:t>(סי' ד סעיף א)</w:t>
      </w:r>
      <w:r w:rsidR="00A82951">
        <w:rPr>
          <w:rFonts w:cs="Arial" w:hint="cs"/>
          <w:rtl/>
        </w:rPr>
        <w:t>-</w:t>
      </w:r>
      <w:r w:rsidRPr="001573A7">
        <w:rPr>
          <w:rFonts w:cs="Arial"/>
          <w:rtl/>
        </w:rPr>
        <w:t xml:space="preserve"> צריך שישרטט כל י"ב שיטין קודם שיתחיל לכתוב הגט</w:t>
      </w:r>
      <w:r>
        <w:rPr>
          <w:rStyle w:val="a7"/>
          <w:rFonts w:cs="Arial"/>
          <w:rtl/>
        </w:rPr>
        <w:footnoteReference w:id="575"/>
      </w:r>
      <w:r w:rsidRPr="001573A7">
        <w:rPr>
          <w:rFonts w:cs="Arial" w:hint="cs"/>
          <w:rtl/>
        </w:rPr>
        <w:t>.</w:t>
      </w:r>
      <w:r w:rsidRPr="001573A7">
        <w:rPr>
          <w:rFonts w:cs="Arial"/>
          <w:rtl/>
        </w:rPr>
        <w:t xml:space="preserve"> </w:t>
      </w:r>
      <w:r w:rsidRPr="001573A7">
        <w:rPr>
          <w:rFonts w:hint="cs"/>
          <w:color w:val="00B0F0"/>
          <w:rtl/>
        </w:rPr>
        <w:t xml:space="preserve">(וכ"פ </w:t>
      </w:r>
      <w:r>
        <w:rPr>
          <w:rFonts w:hint="cs"/>
          <w:color w:val="00B0F0"/>
          <w:rtl/>
        </w:rPr>
        <w:t>הרמ"א</w:t>
      </w:r>
      <w:r w:rsidRPr="001573A7">
        <w:rPr>
          <w:rFonts w:hint="cs"/>
          <w:color w:val="00B0F0"/>
          <w:rtl/>
        </w:rPr>
        <w:t>)</w:t>
      </w:r>
    </w:p>
    <w:p w14:paraId="59352CA2" w14:textId="671B8C6A" w:rsidR="00885805" w:rsidRPr="00885805" w:rsidRDefault="00885805" w:rsidP="00885805">
      <w:pPr>
        <w:rPr>
          <w:u w:val="single"/>
        </w:rPr>
      </w:pPr>
      <w:r w:rsidRPr="00885805">
        <w:rPr>
          <w:rFonts w:hint="cs"/>
          <w:u w:val="single"/>
          <w:rtl/>
        </w:rPr>
        <w:t xml:space="preserve">גט </w:t>
      </w:r>
      <w:r w:rsidR="00AB5B1D">
        <w:rPr>
          <w:rFonts w:hint="cs"/>
          <w:u w:val="single"/>
          <w:rtl/>
        </w:rPr>
        <w:t xml:space="preserve">שנכתב </w:t>
      </w:r>
      <w:r>
        <w:rPr>
          <w:rFonts w:hint="cs"/>
          <w:u w:val="single"/>
          <w:rtl/>
        </w:rPr>
        <w:t>ב</w:t>
      </w:r>
      <w:r w:rsidR="00AB5B1D">
        <w:rPr>
          <w:rFonts w:hint="cs"/>
          <w:u w:val="single"/>
          <w:rtl/>
        </w:rPr>
        <w:t>צד השער של הקלף ולא בצד שדבוק בבשר</w:t>
      </w:r>
      <w:r w:rsidRPr="00885805">
        <w:rPr>
          <w:rFonts w:hint="cs"/>
          <w:u w:val="single"/>
          <w:rtl/>
        </w:rPr>
        <w:t>:</w:t>
      </w:r>
      <w:r w:rsidRPr="00885805">
        <w:rPr>
          <w:rFonts w:cs="Arial" w:hint="cs"/>
          <w:sz w:val="16"/>
          <w:szCs w:val="16"/>
          <w:rtl/>
        </w:rPr>
        <w:t xml:space="preserve"> </w:t>
      </w:r>
      <w:r>
        <w:rPr>
          <w:rFonts w:cs="Arial" w:hint="cs"/>
          <w:sz w:val="16"/>
          <w:szCs w:val="16"/>
          <w:rtl/>
        </w:rPr>
        <w:t xml:space="preserve"> </w:t>
      </w:r>
      <w:r w:rsidRPr="00885805">
        <w:rPr>
          <w:rFonts w:cs="Arial" w:hint="cs"/>
          <w:sz w:val="16"/>
          <w:szCs w:val="16"/>
          <w:rtl/>
        </w:rPr>
        <w:t>(</w:t>
      </w:r>
      <w:r>
        <w:rPr>
          <w:rFonts w:cs="Arial" w:hint="cs"/>
          <w:sz w:val="16"/>
          <w:szCs w:val="16"/>
          <w:rtl/>
        </w:rPr>
        <w:t xml:space="preserve">דרכ"מ </w:t>
      </w:r>
      <w:r w:rsidRPr="00885805">
        <w:rPr>
          <w:rFonts w:cs="Arial" w:hint="cs"/>
          <w:sz w:val="16"/>
          <w:szCs w:val="16"/>
          <w:rtl/>
        </w:rPr>
        <w:t>אות יא)</w:t>
      </w:r>
    </w:p>
    <w:p w14:paraId="1D08E366" w14:textId="1F708E30" w:rsidR="00885805" w:rsidRPr="00885805" w:rsidRDefault="00885805" w:rsidP="00885805">
      <w:pPr>
        <w:pStyle w:val="ab"/>
        <w:numPr>
          <w:ilvl w:val="0"/>
          <w:numId w:val="50"/>
        </w:numPr>
      </w:pPr>
      <w:r>
        <w:rPr>
          <w:rFonts w:cs="Arial" w:hint="cs"/>
          <w:rtl/>
        </w:rPr>
        <w:lastRenderedPageBreak/>
        <w:t xml:space="preserve">דרכ"מ </w:t>
      </w:r>
      <w:r w:rsidRPr="00885805">
        <w:rPr>
          <w:rFonts w:cs="Arial" w:hint="cs"/>
          <w:sz w:val="16"/>
          <w:szCs w:val="16"/>
          <w:rtl/>
        </w:rPr>
        <w:t>(אות יא)</w:t>
      </w:r>
      <w:r w:rsidR="00A82951">
        <w:rPr>
          <w:rFonts w:cs="Arial" w:hint="cs"/>
          <w:rtl/>
        </w:rPr>
        <w:t>-</w:t>
      </w:r>
      <w:r>
        <w:rPr>
          <w:rFonts w:cs="Arial" w:hint="cs"/>
          <w:rtl/>
        </w:rPr>
        <w:t xml:space="preserve"> </w:t>
      </w:r>
      <w:r w:rsidRPr="00AA766B">
        <w:rPr>
          <w:rFonts w:cs="Arial"/>
          <w:rtl/>
        </w:rPr>
        <w:t>מצאתי כתוב בתיקון גיטין בשם מהרי"ל (הלכות גיטין סח ב) שהיה פעם אחת הגט נכתב בצד השער ופסל מהרי"ל הגט. וצ"ע דהא גם בספר תורה לא נפסל בכהאי גוונא</w:t>
      </w:r>
      <w:r>
        <w:rPr>
          <w:rFonts w:cs="Arial" w:hint="cs"/>
          <w:rtl/>
        </w:rPr>
        <w:t>,</w:t>
      </w:r>
      <w:r w:rsidRPr="00AA766B">
        <w:rPr>
          <w:rFonts w:cs="Arial"/>
          <w:rtl/>
        </w:rPr>
        <w:t xml:space="preserve"> ועוד דהא לא גרע משאר דבר תלוש שנכתב עליו כדלעיל סימן קכ"ד (עמ' קכה)</w:t>
      </w:r>
      <w:r>
        <w:rPr>
          <w:rFonts w:cs="Arial" w:hint="cs"/>
          <w:rtl/>
        </w:rPr>
        <w:t>.</w:t>
      </w:r>
      <w:r w:rsidRPr="00AA766B">
        <w:rPr>
          <w:rFonts w:cs="Arial"/>
          <w:rtl/>
        </w:rPr>
        <w:t xml:space="preserve"> ולכן נראה לי דאין להחמיר במקום עיגון או דיעבד.</w:t>
      </w:r>
      <w:r w:rsidR="001573A7" w:rsidRPr="001573A7">
        <w:rPr>
          <w:rFonts w:cs="Arial"/>
          <w:rtl/>
        </w:rPr>
        <w:t xml:space="preserve"> </w:t>
      </w:r>
      <w:r w:rsidR="001573A7" w:rsidRPr="001573A7">
        <w:rPr>
          <w:rFonts w:hint="cs"/>
          <w:color w:val="00B0F0"/>
          <w:rtl/>
        </w:rPr>
        <w:t xml:space="preserve">(וכ"פ </w:t>
      </w:r>
      <w:r w:rsidR="001573A7">
        <w:rPr>
          <w:rFonts w:hint="cs"/>
          <w:color w:val="00B0F0"/>
          <w:rtl/>
        </w:rPr>
        <w:t>הרמ"א</w:t>
      </w:r>
      <w:r w:rsidR="001573A7" w:rsidRPr="001573A7">
        <w:rPr>
          <w:rFonts w:hint="cs"/>
          <w:color w:val="00B0F0"/>
          <w:rtl/>
        </w:rPr>
        <w:t>)</w:t>
      </w:r>
    </w:p>
    <w:p w14:paraId="25303C97"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F8957ED" w14:textId="7C6D4224" w:rsidR="00C77C34" w:rsidRDefault="00C77C34" w:rsidP="00C77C34">
      <w:pPr>
        <w:rPr>
          <w:rFonts w:cs="Arial"/>
          <w:rtl/>
        </w:rPr>
      </w:pPr>
      <w:r w:rsidRPr="00C77C34">
        <w:rPr>
          <w:rFonts w:cs="Arial"/>
          <w:rtl/>
        </w:rPr>
        <w:t xml:space="preserve">נוהגין לעשות שיטה שלשה עשר וחולקים אותה לשתים, שבה חותמים העדים זה תחת זה. </w:t>
      </w:r>
      <w:r w:rsidRPr="00AF4AED">
        <w:rPr>
          <w:rFonts w:cs="Arial"/>
          <w:sz w:val="18"/>
          <w:szCs w:val="18"/>
          <w:rtl/>
        </w:rPr>
        <w:t>הגה: ומשרטטין אותה שתי שורות קטנות גם כן. וישרטט הכל קודם שיתחיל לכתוב הגט</w:t>
      </w:r>
      <w:r w:rsidR="00C9755E">
        <w:rPr>
          <w:rStyle w:val="a7"/>
          <w:rFonts w:cs="Arial"/>
          <w:sz w:val="18"/>
          <w:szCs w:val="18"/>
          <w:rtl/>
        </w:rPr>
        <w:footnoteReference w:id="576"/>
      </w:r>
      <w:r w:rsidR="00CB1290">
        <w:rPr>
          <w:rFonts w:cs="Arial" w:hint="cs"/>
          <w:sz w:val="18"/>
          <w:szCs w:val="18"/>
          <w:rtl/>
        </w:rPr>
        <w:t xml:space="preserve"> (סדר גיטין)</w:t>
      </w:r>
      <w:r w:rsidRPr="00AF4AED">
        <w:rPr>
          <w:rFonts w:cs="Arial"/>
          <w:sz w:val="18"/>
          <w:szCs w:val="18"/>
          <w:rtl/>
        </w:rPr>
        <w:t>. גם ישרטט מן הצדדין</w:t>
      </w:r>
      <w:r w:rsidR="00CB1290">
        <w:rPr>
          <w:rFonts w:cs="Arial" w:hint="cs"/>
          <w:sz w:val="18"/>
          <w:szCs w:val="18"/>
          <w:rtl/>
        </w:rPr>
        <w:t xml:space="preserve"> (קונדריסים בשם התרומה)</w:t>
      </w:r>
      <w:r w:rsidRPr="00AF4AED">
        <w:rPr>
          <w:rFonts w:cs="Arial"/>
          <w:sz w:val="18"/>
          <w:szCs w:val="18"/>
          <w:rtl/>
        </w:rPr>
        <w:t>, ויהיו שורות הגט שוות, לא אחת ארוכה ואחת קצרה</w:t>
      </w:r>
      <w:r w:rsidR="005E5EAF">
        <w:rPr>
          <w:rFonts w:cs="Arial" w:hint="cs"/>
          <w:sz w:val="18"/>
          <w:szCs w:val="18"/>
          <w:rtl/>
        </w:rPr>
        <w:t xml:space="preserve"> </w:t>
      </w:r>
      <w:r w:rsidR="005E5EAF" w:rsidRPr="00AF4AED">
        <w:rPr>
          <w:rFonts w:cs="Arial"/>
          <w:sz w:val="18"/>
          <w:szCs w:val="18"/>
          <w:rtl/>
        </w:rPr>
        <w:t>(סדר גיטין</w:t>
      </w:r>
      <w:r w:rsidR="005E5EAF">
        <w:rPr>
          <w:rFonts w:cs="Arial" w:hint="cs"/>
          <w:sz w:val="18"/>
          <w:szCs w:val="18"/>
          <w:rtl/>
        </w:rPr>
        <w:t>)</w:t>
      </w:r>
      <w:r w:rsidRPr="00AF4AED">
        <w:rPr>
          <w:rFonts w:cs="Arial"/>
          <w:sz w:val="18"/>
          <w:szCs w:val="18"/>
          <w:rtl/>
        </w:rPr>
        <w:t>. ואם לא שרטט כלל, כשר</w:t>
      </w:r>
      <w:r w:rsidR="005E5EAF">
        <w:rPr>
          <w:rFonts w:cs="Arial" w:hint="cs"/>
          <w:sz w:val="18"/>
          <w:szCs w:val="18"/>
          <w:rtl/>
        </w:rPr>
        <w:t xml:space="preserve"> (תשב"ץ)</w:t>
      </w:r>
      <w:r w:rsidRPr="00AF4AED">
        <w:rPr>
          <w:rFonts w:cs="Arial"/>
          <w:sz w:val="18"/>
          <w:szCs w:val="18"/>
          <w:rtl/>
        </w:rPr>
        <w:t>. וה"ה אם הוסיף או פיחת משנים עשר שיטין (</w:t>
      </w:r>
      <w:r w:rsidR="00A75F26">
        <w:rPr>
          <w:rFonts w:cs="Arial" w:hint="cs"/>
          <w:sz w:val="18"/>
          <w:szCs w:val="18"/>
          <w:rtl/>
        </w:rPr>
        <w:t xml:space="preserve">שם </w:t>
      </w:r>
      <w:r w:rsidR="005E5EAF">
        <w:rPr>
          <w:rFonts w:cs="Arial" w:hint="cs"/>
          <w:sz w:val="18"/>
          <w:szCs w:val="18"/>
          <w:rtl/>
        </w:rPr>
        <w:t>טור, ורא"ש בפסקים)</w:t>
      </w:r>
      <w:r w:rsidRPr="00AF4AED">
        <w:rPr>
          <w:rFonts w:cs="Arial"/>
          <w:sz w:val="18"/>
          <w:szCs w:val="18"/>
          <w:rtl/>
        </w:rPr>
        <w:t>. י"א דאין להכשירן כי אם במקום עיגון שבא מארץ רחוקה ואין שיירות מצויות</w:t>
      </w:r>
      <w:r w:rsidR="005E5EAF">
        <w:rPr>
          <w:rFonts w:cs="Arial" w:hint="cs"/>
          <w:sz w:val="18"/>
          <w:szCs w:val="18"/>
          <w:rtl/>
        </w:rPr>
        <w:t xml:space="preserve"> (רא"ש בתשו')</w:t>
      </w:r>
      <w:r w:rsidRPr="00AF4AED">
        <w:rPr>
          <w:rFonts w:cs="Arial"/>
          <w:sz w:val="18"/>
          <w:szCs w:val="18"/>
          <w:rtl/>
        </w:rPr>
        <w:t>. ונראה לי דהוא הדין לענין שרטוט. וצריך לשרטט מבחוץ שלא במקום הכתב (קונ</w:t>
      </w:r>
      <w:r w:rsidR="00A75F26">
        <w:rPr>
          <w:rFonts w:cs="Arial" w:hint="cs"/>
          <w:sz w:val="18"/>
          <w:szCs w:val="18"/>
          <w:rtl/>
        </w:rPr>
        <w:t>ד</w:t>
      </w:r>
      <w:r w:rsidRPr="00AF4AED">
        <w:rPr>
          <w:rFonts w:cs="Arial"/>
          <w:sz w:val="18"/>
          <w:szCs w:val="18"/>
          <w:rtl/>
        </w:rPr>
        <w:t>ריס</w:t>
      </w:r>
      <w:r w:rsidR="00A75F26">
        <w:rPr>
          <w:rFonts w:cs="Arial" w:hint="cs"/>
          <w:sz w:val="18"/>
          <w:szCs w:val="18"/>
          <w:rtl/>
        </w:rPr>
        <w:t>ים</w:t>
      </w:r>
      <w:r w:rsidRPr="00AF4AED">
        <w:rPr>
          <w:rFonts w:cs="Arial"/>
          <w:sz w:val="18"/>
          <w:szCs w:val="18"/>
          <w:rtl/>
        </w:rPr>
        <w:t xml:space="preserve"> וסדר גיטין). ויכתוב לצד הבשר ולא בצד שער</w:t>
      </w:r>
      <w:r w:rsidR="00A75F26">
        <w:rPr>
          <w:rFonts w:cs="Arial" w:hint="cs"/>
          <w:sz w:val="18"/>
          <w:szCs w:val="18"/>
          <w:rtl/>
        </w:rPr>
        <w:t xml:space="preserve"> </w:t>
      </w:r>
      <w:r w:rsidR="00A75F26" w:rsidRPr="00AF4AED">
        <w:rPr>
          <w:rFonts w:cs="Arial"/>
          <w:sz w:val="18"/>
          <w:szCs w:val="18"/>
          <w:rtl/>
        </w:rPr>
        <w:t>(מהרי"ל)</w:t>
      </w:r>
      <w:r w:rsidR="001573A7">
        <w:rPr>
          <w:rFonts w:cs="Arial" w:hint="cs"/>
          <w:sz w:val="18"/>
          <w:szCs w:val="18"/>
          <w:rtl/>
        </w:rPr>
        <w:t>.</w:t>
      </w:r>
      <w:r w:rsidRPr="00AF4AED">
        <w:rPr>
          <w:rFonts w:cs="Arial"/>
          <w:sz w:val="18"/>
          <w:szCs w:val="18"/>
          <w:rtl/>
        </w:rPr>
        <w:t xml:space="preserve"> ואם כתב במקום שער, יש פוסלין אותו (</w:t>
      </w:r>
      <w:r w:rsidR="00A75F26">
        <w:rPr>
          <w:rFonts w:cs="Arial" w:hint="cs"/>
          <w:sz w:val="18"/>
          <w:szCs w:val="18"/>
          <w:rtl/>
        </w:rPr>
        <w:t>שם</w:t>
      </w:r>
      <w:r w:rsidRPr="00AF4AED">
        <w:rPr>
          <w:rFonts w:cs="Arial"/>
          <w:sz w:val="18"/>
          <w:szCs w:val="18"/>
          <w:rtl/>
        </w:rPr>
        <w:t>). ולי נראה דבמקום עיגון</w:t>
      </w:r>
      <w:r w:rsidR="009112DB">
        <w:rPr>
          <w:rStyle w:val="a7"/>
          <w:rFonts w:cs="Arial"/>
          <w:sz w:val="18"/>
          <w:szCs w:val="18"/>
          <w:rtl/>
        </w:rPr>
        <w:footnoteReference w:id="577"/>
      </w:r>
      <w:r w:rsidRPr="00AF4AED">
        <w:rPr>
          <w:rFonts w:cs="Arial"/>
          <w:sz w:val="18"/>
          <w:szCs w:val="18"/>
          <w:rtl/>
        </w:rPr>
        <w:t xml:space="preserve"> אין להחמיר</w:t>
      </w:r>
      <w:r w:rsidR="00A75F26">
        <w:rPr>
          <w:rFonts w:cs="Arial" w:hint="cs"/>
          <w:sz w:val="18"/>
          <w:szCs w:val="18"/>
          <w:rtl/>
        </w:rPr>
        <w:t xml:space="preserve"> (ד"ע)</w:t>
      </w:r>
      <w:r w:rsidRPr="00AF4AED">
        <w:rPr>
          <w:rFonts w:cs="Arial"/>
          <w:sz w:val="18"/>
          <w:szCs w:val="18"/>
          <w:rtl/>
        </w:rPr>
        <w:t>. וכשהסופר כותב לכתחילה יזהר שלא יגע בשרטוט שבצדדין. ונוהגין לכתחילה להניח גליון מן הצדדין כחצי אצבע</w:t>
      </w:r>
      <w:r w:rsidR="00FF1CC7">
        <w:rPr>
          <w:rStyle w:val="a7"/>
          <w:rFonts w:cs="Arial"/>
          <w:sz w:val="18"/>
          <w:szCs w:val="18"/>
          <w:rtl/>
        </w:rPr>
        <w:footnoteReference w:id="578"/>
      </w:r>
      <w:r w:rsidRPr="00AF4AED">
        <w:rPr>
          <w:rFonts w:cs="Arial"/>
          <w:sz w:val="18"/>
          <w:szCs w:val="18"/>
          <w:rtl/>
        </w:rPr>
        <w:t xml:space="preserve">, ולמעלה כאצבע, ולמטה כדי תפיסת יד ויותר </w:t>
      </w:r>
      <w:r w:rsidR="00A75F26" w:rsidRPr="00AF4AED">
        <w:rPr>
          <w:rFonts w:cs="Arial"/>
          <w:sz w:val="18"/>
          <w:szCs w:val="18"/>
          <w:rtl/>
        </w:rPr>
        <w:t>(סדר גיטין</w:t>
      </w:r>
      <w:r w:rsidR="00A75F26">
        <w:rPr>
          <w:rFonts w:cs="Arial" w:hint="cs"/>
          <w:sz w:val="18"/>
          <w:szCs w:val="18"/>
          <w:rtl/>
        </w:rPr>
        <w:t>)</w:t>
      </w:r>
      <w:r w:rsidRPr="00AF4AED">
        <w:rPr>
          <w:rFonts w:cs="Arial"/>
          <w:sz w:val="18"/>
          <w:szCs w:val="18"/>
          <w:rtl/>
        </w:rPr>
        <w:t>.</w:t>
      </w:r>
      <w:r w:rsidRPr="00C77C34">
        <w:rPr>
          <w:rFonts w:cs="Arial"/>
          <w:rtl/>
        </w:rPr>
        <w:t xml:space="preserve"> </w:t>
      </w:r>
    </w:p>
    <w:p w14:paraId="36460246" w14:textId="0F9B7C57" w:rsidR="00B235F9" w:rsidRPr="00FF1CC7" w:rsidRDefault="00D52201" w:rsidP="00FF1CC7">
      <w:pPr>
        <w:rPr>
          <w:rFonts w:cs="Arial"/>
        </w:rPr>
      </w:pPr>
      <w:r w:rsidRPr="00D52201">
        <w:rPr>
          <w:rFonts w:cs="Arial" w:hint="cs"/>
          <w:u w:val="single"/>
          <w:rtl/>
        </w:rPr>
        <w:t xml:space="preserve">מקום שהשיירות מצויות </w:t>
      </w:r>
      <w:r w:rsidR="00A82951">
        <w:rPr>
          <w:rFonts w:cs="Arial"/>
          <w:u w:val="single"/>
          <w:rtl/>
        </w:rPr>
        <w:t>-</w:t>
      </w:r>
      <w:r w:rsidRPr="00D52201">
        <w:rPr>
          <w:rFonts w:cs="Arial" w:hint="cs"/>
          <w:u w:val="single"/>
          <w:rtl/>
        </w:rPr>
        <w:t xml:space="preserve"> האם נקרא שעת הדחק להכשיר גט בדיעבד:</w:t>
      </w:r>
      <w:r w:rsidRPr="00D52201">
        <w:rPr>
          <w:rFonts w:cs="Arial" w:hint="cs"/>
          <w:sz w:val="16"/>
          <w:szCs w:val="16"/>
          <w:rtl/>
        </w:rPr>
        <w:t xml:space="preserve"> </w:t>
      </w:r>
      <w:r w:rsidR="008216D8" w:rsidRPr="00D52201">
        <w:rPr>
          <w:rFonts w:cs="Arial"/>
          <w:sz w:val="16"/>
          <w:szCs w:val="16"/>
          <w:rtl/>
        </w:rPr>
        <w:t>(</w:t>
      </w:r>
      <w:r w:rsidRPr="00D52201">
        <w:rPr>
          <w:rFonts w:cs="Arial" w:hint="cs"/>
          <w:sz w:val="16"/>
          <w:szCs w:val="16"/>
          <w:rtl/>
        </w:rPr>
        <w:t xml:space="preserve">פת"ש </w:t>
      </w:r>
      <w:r w:rsidR="00FF1CC7">
        <w:rPr>
          <w:rFonts w:cs="Arial" w:hint="cs"/>
          <w:sz w:val="16"/>
          <w:szCs w:val="16"/>
          <w:rtl/>
        </w:rPr>
        <w:t>[</w:t>
      </w:r>
      <w:r w:rsidRPr="00D52201">
        <w:rPr>
          <w:rFonts w:cs="Arial" w:hint="cs"/>
          <w:sz w:val="16"/>
          <w:szCs w:val="16"/>
          <w:rtl/>
        </w:rPr>
        <w:t>סק</w:t>
      </w:r>
      <w:r w:rsidR="008216D8" w:rsidRPr="00D52201">
        <w:rPr>
          <w:rFonts w:cs="Arial"/>
          <w:sz w:val="16"/>
          <w:szCs w:val="16"/>
          <w:rtl/>
        </w:rPr>
        <w:t>כ</w:t>
      </w:r>
      <w:r w:rsidRPr="00D52201">
        <w:rPr>
          <w:rFonts w:cs="Arial" w:hint="cs"/>
          <w:sz w:val="16"/>
          <w:szCs w:val="16"/>
          <w:rtl/>
        </w:rPr>
        <w:t>"</w:t>
      </w:r>
      <w:r w:rsidR="008216D8" w:rsidRPr="00D52201">
        <w:rPr>
          <w:rFonts w:cs="Arial"/>
          <w:sz w:val="16"/>
          <w:szCs w:val="16"/>
          <w:rtl/>
        </w:rPr>
        <w:t>ב</w:t>
      </w:r>
      <w:r w:rsidR="00FF1CC7">
        <w:rPr>
          <w:rFonts w:cs="Arial" w:hint="cs"/>
          <w:sz w:val="16"/>
          <w:szCs w:val="16"/>
          <w:rtl/>
        </w:rPr>
        <w:t>]</w:t>
      </w:r>
      <w:r w:rsidR="00FF1CC7" w:rsidRPr="00FF1CC7">
        <w:rPr>
          <w:rFonts w:cs="Arial" w:hint="cs"/>
          <w:sz w:val="16"/>
          <w:szCs w:val="16"/>
          <w:rtl/>
        </w:rPr>
        <w:t xml:space="preserve"> </w:t>
      </w:r>
      <w:r w:rsidR="00FF1CC7">
        <w:rPr>
          <w:rFonts w:cs="Arial" w:hint="cs"/>
          <w:sz w:val="16"/>
          <w:szCs w:val="16"/>
          <w:rtl/>
        </w:rPr>
        <w:t>ופרח שושן [</w:t>
      </w:r>
      <w:r w:rsidR="00FF1CC7" w:rsidRPr="00D52201">
        <w:rPr>
          <w:rFonts w:cs="Arial"/>
          <w:sz w:val="16"/>
          <w:szCs w:val="16"/>
          <w:rtl/>
        </w:rPr>
        <w:t>כלל א ס"ס ב</w:t>
      </w:r>
      <w:r w:rsidR="00FF1CC7">
        <w:rPr>
          <w:rFonts w:cs="Arial" w:hint="cs"/>
          <w:sz w:val="16"/>
          <w:szCs w:val="16"/>
          <w:rtl/>
        </w:rPr>
        <w:t>]</w:t>
      </w:r>
      <w:r w:rsidR="008216D8" w:rsidRPr="00D52201">
        <w:rPr>
          <w:rFonts w:cs="Arial"/>
          <w:sz w:val="16"/>
          <w:szCs w:val="16"/>
          <w:rtl/>
        </w:rPr>
        <w:t>)</w:t>
      </w:r>
      <w:r w:rsidR="008216D8" w:rsidRPr="008216D8">
        <w:rPr>
          <w:rFonts w:cs="Arial"/>
          <w:rtl/>
        </w:rPr>
        <w:t xml:space="preserve"> </w:t>
      </w:r>
    </w:p>
    <w:p w14:paraId="3A77FF9E" w14:textId="217F7D46" w:rsidR="00B235F9" w:rsidRDefault="00B235F9" w:rsidP="00D52201">
      <w:pPr>
        <w:pStyle w:val="ab"/>
        <w:numPr>
          <w:ilvl w:val="0"/>
          <w:numId w:val="50"/>
        </w:numPr>
        <w:rPr>
          <w:rFonts w:cs="Arial"/>
        </w:rPr>
      </w:pPr>
      <w:r w:rsidRPr="00D52201">
        <w:rPr>
          <w:rFonts w:cs="Arial"/>
          <w:rtl/>
        </w:rPr>
        <w:t xml:space="preserve">רד"ך </w:t>
      </w:r>
      <w:r w:rsidRPr="00B235F9">
        <w:rPr>
          <w:rFonts w:cs="Arial" w:hint="cs"/>
          <w:sz w:val="16"/>
          <w:szCs w:val="16"/>
          <w:rtl/>
        </w:rPr>
        <w:t>(</w:t>
      </w:r>
      <w:r w:rsidRPr="00B235F9">
        <w:rPr>
          <w:rFonts w:cs="Arial"/>
          <w:sz w:val="16"/>
          <w:szCs w:val="16"/>
          <w:rtl/>
        </w:rPr>
        <w:t>סוף בית ג</w:t>
      </w:r>
      <w:r w:rsidRPr="00B235F9">
        <w:rPr>
          <w:rFonts w:cs="Arial" w:hint="cs"/>
          <w:sz w:val="16"/>
          <w:szCs w:val="16"/>
          <w:rtl/>
        </w:rPr>
        <w:t>)</w:t>
      </w:r>
      <w:r>
        <w:rPr>
          <w:rFonts w:cs="Arial" w:hint="cs"/>
          <w:sz w:val="16"/>
          <w:szCs w:val="16"/>
          <w:rtl/>
        </w:rPr>
        <w:t xml:space="preserve"> </w:t>
      </w:r>
      <w:r>
        <w:rPr>
          <w:rFonts w:cs="Arial" w:hint="cs"/>
          <w:rtl/>
        </w:rPr>
        <w:t>ו</w:t>
      </w:r>
      <w:r w:rsidR="008216D8" w:rsidRPr="00D52201">
        <w:rPr>
          <w:rFonts w:cs="Arial"/>
          <w:rtl/>
        </w:rPr>
        <w:t xml:space="preserve">מהרש"ך </w:t>
      </w:r>
      <w:r w:rsidR="00D52201" w:rsidRPr="00D52201">
        <w:rPr>
          <w:rFonts w:cs="Arial" w:hint="cs"/>
          <w:sz w:val="16"/>
          <w:szCs w:val="16"/>
          <w:rtl/>
        </w:rPr>
        <w:t>(</w:t>
      </w:r>
      <w:r w:rsidR="008216D8" w:rsidRPr="00D52201">
        <w:rPr>
          <w:rFonts w:cs="Arial"/>
          <w:sz w:val="16"/>
          <w:szCs w:val="16"/>
          <w:rtl/>
        </w:rPr>
        <w:t>ח"ב סי' ה</w:t>
      </w:r>
      <w:r w:rsidR="00D52201" w:rsidRPr="00D52201">
        <w:rPr>
          <w:rFonts w:cs="Arial" w:hint="cs"/>
          <w:sz w:val="16"/>
          <w:szCs w:val="16"/>
          <w:rtl/>
        </w:rPr>
        <w:t>)</w:t>
      </w:r>
      <w:r w:rsidR="00A82951">
        <w:rPr>
          <w:rFonts w:cs="Arial" w:hint="cs"/>
          <w:rtl/>
        </w:rPr>
        <w:t>-</w:t>
      </w:r>
      <w:r w:rsidR="008216D8" w:rsidRPr="00D52201">
        <w:rPr>
          <w:rFonts w:cs="Arial"/>
          <w:rtl/>
        </w:rPr>
        <w:t xml:space="preserve"> כל היכא דהשיירות מצויות לא מקרי שעת הדחק</w:t>
      </w:r>
      <w:r>
        <w:rPr>
          <w:rFonts w:cs="Arial" w:hint="cs"/>
          <w:rtl/>
        </w:rPr>
        <w:t>.</w:t>
      </w:r>
      <w:r w:rsidR="008216D8" w:rsidRPr="00D52201">
        <w:rPr>
          <w:rFonts w:cs="Arial"/>
          <w:rtl/>
        </w:rPr>
        <w:t xml:space="preserve"> </w:t>
      </w:r>
    </w:p>
    <w:p w14:paraId="53E40E8A" w14:textId="33583222" w:rsidR="008216D8" w:rsidRDefault="008216D8" w:rsidP="00FF1CC7">
      <w:pPr>
        <w:pStyle w:val="ab"/>
        <w:numPr>
          <w:ilvl w:val="0"/>
          <w:numId w:val="50"/>
        </w:numPr>
        <w:rPr>
          <w:rFonts w:cs="Arial"/>
        </w:rPr>
      </w:pPr>
      <w:r w:rsidRPr="00D52201">
        <w:rPr>
          <w:rFonts w:cs="Arial"/>
          <w:rtl/>
        </w:rPr>
        <w:t xml:space="preserve">רדב"ז </w:t>
      </w:r>
      <w:r w:rsidR="00B235F9" w:rsidRPr="00B235F9">
        <w:rPr>
          <w:rFonts w:cs="Arial" w:hint="cs"/>
          <w:sz w:val="16"/>
          <w:szCs w:val="16"/>
          <w:rtl/>
        </w:rPr>
        <w:t>(</w:t>
      </w:r>
      <w:r w:rsidRPr="00B235F9">
        <w:rPr>
          <w:rFonts w:cs="Arial"/>
          <w:sz w:val="16"/>
          <w:szCs w:val="16"/>
          <w:rtl/>
        </w:rPr>
        <w:t>סי' שמ</w:t>
      </w:r>
      <w:r w:rsidR="00B235F9" w:rsidRPr="00B235F9">
        <w:rPr>
          <w:rFonts w:cs="Arial" w:hint="cs"/>
          <w:sz w:val="16"/>
          <w:szCs w:val="16"/>
          <w:rtl/>
        </w:rPr>
        <w:t>)</w:t>
      </w:r>
      <w:r w:rsidR="00A82951">
        <w:rPr>
          <w:rFonts w:cs="Arial" w:hint="cs"/>
          <w:rtl/>
        </w:rPr>
        <w:t>-</w:t>
      </w:r>
      <w:r w:rsidRPr="00D52201">
        <w:rPr>
          <w:rFonts w:cs="Arial"/>
          <w:rtl/>
        </w:rPr>
        <w:t xml:space="preserve"> האומר דהיכא שהמקום קרוב והשיירות מצויות אין כאן חשש עיגון כלל</w:t>
      </w:r>
      <w:r w:rsidR="00B235F9">
        <w:rPr>
          <w:rFonts w:cs="Arial" w:hint="cs"/>
          <w:rtl/>
        </w:rPr>
        <w:t xml:space="preserve"> </w:t>
      </w:r>
      <w:r w:rsidR="00A82951">
        <w:rPr>
          <w:rFonts w:cs="Arial" w:hint="cs"/>
          <w:rtl/>
        </w:rPr>
        <w:t>-</w:t>
      </w:r>
      <w:r w:rsidRPr="00D52201">
        <w:rPr>
          <w:rFonts w:cs="Arial"/>
          <w:rtl/>
        </w:rPr>
        <w:t xml:space="preserve"> קרוב בעיני שזה טעות בדבר משנה</w:t>
      </w:r>
      <w:r w:rsidR="00B235F9">
        <w:rPr>
          <w:rFonts w:cs="Arial" w:hint="cs"/>
          <w:rtl/>
        </w:rPr>
        <w:t>,</w:t>
      </w:r>
      <w:r w:rsidRPr="00D52201">
        <w:rPr>
          <w:rFonts w:cs="Arial"/>
          <w:rtl/>
        </w:rPr>
        <w:t xml:space="preserve"> דתנן המביא גט ממדינה למדינה במ"ה צ"ל בפ"נ ובפנ"ח כו' ואמרינן עלה ובדין הוא דליבעי תרי אלא משום עיגונא אקילו בה רבנן כו'</w:t>
      </w:r>
      <w:r w:rsidR="00AB5B1D">
        <w:rPr>
          <w:rFonts w:cs="Arial" w:hint="cs"/>
          <w:rtl/>
        </w:rPr>
        <w:t>.</w:t>
      </w:r>
      <w:r w:rsidRPr="00D52201">
        <w:rPr>
          <w:rFonts w:cs="Arial"/>
          <w:rtl/>
        </w:rPr>
        <w:t xml:space="preserve"> אלמא דאפי' ממקום קרוב איכא למיחש לעיגונא</w:t>
      </w:r>
      <w:r w:rsidR="00AB5B1D">
        <w:rPr>
          <w:rFonts w:cs="Arial" w:hint="cs"/>
          <w:rtl/>
        </w:rPr>
        <w:t>,</w:t>
      </w:r>
      <w:r w:rsidRPr="00D52201">
        <w:rPr>
          <w:rFonts w:cs="Arial"/>
          <w:rtl/>
        </w:rPr>
        <w:t xml:space="preserve"> דלא נתנו דבריהם לשיעורין כו'</w:t>
      </w:r>
      <w:r w:rsidR="00AB5B1D">
        <w:rPr>
          <w:rFonts w:cs="Arial" w:hint="cs"/>
          <w:rtl/>
        </w:rPr>
        <w:t>.</w:t>
      </w:r>
      <w:r w:rsidRPr="00D52201">
        <w:rPr>
          <w:rFonts w:cs="Arial"/>
          <w:rtl/>
        </w:rPr>
        <w:t xml:space="preserve"> וטעמא דמסתבר הוא</w:t>
      </w:r>
      <w:r w:rsidR="00AB5B1D">
        <w:rPr>
          <w:rFonts w:cs="Arial" w:hint="cs"/>
          <w:rtl/>
        </w:rPr>
        <w:t>,</w:t>
      </w:r>
      <w:r w:rsidRPr="00D52201">
        <w:rPr>
          <w:rFonts w:cs="Arial"/>
          <w:rtl/>
        </w:rPr>
        <w:t xml:space="preserve"> דמאן לימא לן שבעוד שחוזר הגט לא ילך הבעל למ"ה או יבטל השליח או ימות</w:t>
      </w:r>
      <w:r w:rsidR="00AB5B1D">
        <w:rPr>
          <w:rFonts w:cs="Arial" w:hint="cs"/>
          <w:rtl/>
        </w:rPr>
        <w:t>,</w:t>
      </w:r>
      <w:r w:rsidRPr="00D52201">
        <w:rPr>
          <w:rFonts w:cs="Arial"/>
          <w:rtl/>
        </w:rPr>
        <w:t xml:space="preserve"> ואין שליט ברוח ואין שלטון </w:t>
      </w:r>
      <w:r w:rsidR="00B235F9">
        <w:rPr>
          <w:rFonts w:cs="Arial" w:hint="cs"/>
          <w:rtl/>
        </w:rPr>
        <w:t>ביום המות</w:t>
      </w:r>
      <w:r w:rsidR="00FF1CC7">
        <w:rPr>
          <w:rStyle w:val="a7"/>
          <w:rFonts w:cs="Arial"/>
          <w:rtl/>
        </w:rPr>
        <w:footnoteReference w:id="579"/>
      </w:r>
      <w:r w:rsidRPr="00D52201">
        <w:rPr>
          <w:rFonts w:cs="Arial"/>
          <w:rtl/>
        </w:rPr>
        <w:t>.</w:t>
      </w:r>
    </w:p>
    <w:p w14:paraId="397CB7AE" w14:textId="77777777" w:rsidR="00FF1CC7" w:rsidRPr="00FF1CC7" w:rsidRDefault="00FF1CC7" w:rsidP="00FF1CC7">
      <w:pPr>
        <w:rPr>
          <w:rFonts w:cs="Arial"/>
          <w:rtl/>
        </w:rPr>
      </w:pPr>
    </w:p>
    <w:p w14:paraId="42FEE8E7" w14:textId="145CE7CB" w:rsidR="00C77C34" w:rsidRDefault="00C77C34" w:rsidP="00786DE6">
      <w:pPr>
        <w:pStyle w:val="2"/>
        <w:rPr>
          <w:rtl/>
        </w:rPr>
      </w:pPr>
      <w:r w:rsidRPr="00C77C34">
        <w:rPr>
          <w:rtl/>
        </w:rPr>
        <w:t>סעיף יג</w:t>
      </w:r>
      <w:r w:rsidR="00AA766B">
        <w:rPr>
          <w:rFonts w:hint="cs"/>
          <w:rtl/>
        </w:rPr>
        <w:t>:</w:t>
      </w:r>
      <w:r w:rsidR="00262C61">
        <w:rPr>
          <w:rFonts w:hint="cs"/>
          <w:rtl/>
        </w:rPr>
        <w:t xml:space="preserve"> אורך ורוחב הקלף.</w:t>
      </w:r>
    </w:p>
    <w:p w14:paraId="4F8F77CC" w14:textId="5FB24B47" w:rsidR="00262C61" w:rsidRPr="00262C61" w:rsidRDefault="00262C61" w:rsidP="00262C61">
      <w:pPr>
        <w:rPr>
          <w:u w:val="single"/>
          <w:rtl/>
        </w:rPr>
      </w:pPr>
      <w:r w:rsidRPr="00262C61">
        <w:rPr>
          <w:rFonts w:hint="cs"/>
          <w:u w:val="single"/>
          <w:rtl/>
        </w:rPr>
        <w:t>אורך ורוחב הקלף:</w:t>
      </w:r>
    </w:p>
    <w:p w14:paraId="5D3FD235" w14:textId="57DEA433" w:rsidR="00262C61" w:rsidRDefault="00EE0626" w:rsidP="00EE0626">
      <w:pPr>
        <w:pStyle w:val="ab"/>
        <w:numPr>
          <w:ilvl w:val="0"/>
          <w:numId w:val="47"/>
        </w:numPr>
        <w:rPr>
          <w:rFonts w:cs="Arial"/>
        </w:rPr>
      </w:pPr>
      <w:r w:rsidRPr="00AA766B">
        <w:rPr>
          <w:rFonts w:cs="Arial"/>
          <w:rtl/>
        </w:rPr>
        <w:t xml:space="preserve">תרומה </w:t>
      </w:r>
      <w:r w:rsidRPr="00EE0626">
        <w:rPr>
          <w:rFonts w:cs="Arial"/>
          <w:sz w:val="16"/>
          <w:szCs w:val="16"/>
          <w:rtl/>
        </w:rPr>
        <w:t>(סי' קיו)</w:t>
      </w:r>
      <w:r>
        <w:rPr>
          <w:rFonts w:cs="Arial" w:hint="cs"/>
          <w:sz w:val="16"/>
          <w:szCs w:val="16"/>
          <w:rtl/>
        </w:rPr>
        <w:t xml:space="preserve"> </w:t>
      </w:r>
      <w:r w:rsidRPr="00AA766B">
        <w:rPr>
          <w:rFonts w:cs="Arial"/>
          <w:rtl/>
        </w:rPr>
        <w:t xml:space="preserve">סמ"ג </w:t>
      </w:r>
      <w:r w:rsidRPr="00EE0626">
        <w:rPr>
          <w:rFonts w:cs="Arial"/>
          <w:sz w:val="16"/>
          <w:szCs w:val="16"/>
          <w:rtl/>
        </w:rPr>
        <w:t xml:space="preserve">(עשין נ קכט ע"ד) </w:t>
      </w:r>
      <w:r>
        <w:rPr>
          <w:rFonts w:cs="Arial" w:hint="cs"/>
          <w:rtl/>
        </w:rPr>
        <w:t>ו</w:t>
      </w:r>
      <w:r w:rsidR="003B3710" w:rsidRPr="003B3710">
        <w:rPr>
          <w:rFonts w:cs="Arial" w:hint="cs"/>
          <w:rtl/>
        </w:rPr>
        <w:t>טור</w:t>
      </w:r>
      <w:r w:rsidR="002A17B2">
        <w:rPr>
          <w:rFonts w:cs="Arial" w:hint="cs"/>
          <w:rtl/>
        </w:rPr>
        <w:t xml:space="preserve"> </w:t>
      </w:r>
      <w:r w:rsidR="002A17B2" w:rsidRPr="00EE0626">
        <w:rPr>
          <w:rFonts w:cs="Arial" w:hint="cs"/>
          <w:sz w:val="16"/>
          <w:szCs w:val="16"/>
          <w:rtl/>
        </w:rPr>
        <w:t>(</w:t>
      </w:r>
      <w:r w:rsidR="002A17B2">
        <w:rPr>
          <w:rFonts w:cs="Arial" w:hint="cs"/>
          <w:sz w:val="16"/>
          <w:szCs w:val="16"/>
          <w:rtl/>
        </w:rPr>
        <w:t>כאן וב</w:t>
      </w:r>
      <w:r w:rsidR="002A17B2" w:rsidRPr="00EE0626">
        <w:rPr>
          <w:rFonts w:cs="Arial"/>
          <w:sz w:val="16"/>
          <w:szCs w:val="16"/>
          <w:rtl/>
        </w:rPr>
        <w:t xml:space="preserve">סדר כתיבת הגט </w:t>
      </w:r>
      <w:r w:rsidR="002A17B2" w:rsidRPr="00EE0626">
        <w:rPr>
          <w:rFonts w:cs="Arial" w:hint="cs"/>
          <w:sz w:val="16"/>
          <w:szCs w:val="16"/>
          <w:rtl/>
        </w:rPr>
        <w:t xml:space="preserve">שבסוף </w:t>
      </w:r>
      <w:r w:rsidR="002A17B2" w:rsidRPr="00EE0626">
        <w:rPr>
          <w:rFonts w:cs="Arial"/>
          <w:sz w:val="16"/>
          <w:szCs w:val="16"/>
          <w:rtl/>
        </w:rPr>
        <w:t>סימן קנד</w:t>
      </w:r>
      <w:r w:rsidR="002A17B2" w:rsidRPr="00EE0626">
        <w:rPr>
          <w:rFonts w:cs="Arial" w:hint="cs"/>
          <w:sz w:val="16"/>
          <w:szCs w:val="16"/>
          <w:rtl/>
        </w:rPr>
        <w:t>)</w:t>
      </w:r>
      <w:r w:rsidR="00A82951">
        <w:rPr>
          <w:rFonts w:cs="Arial" w:hint="cs"/>
          <w:rtl/>
        </w:rPr>
        <w:t>-</w:t>
      </w:r>
      <w:r w:rsidR="00EC0EB7" w:rsidRPr="00EC0EB7">
        <w:rPr>
          <w:rtl/>
        </w:rPr>
        <w:t xml:space="preserve"> </w:t>
      </w:r>
      <w:r w:rsidR="00EC0EB7" w:rsidRPr="00EC0EB7">
        <w:rPr>
          <w:rFonts w:cs="Arial"/>
          <w:rtl/>
        </w:rPr>
        <w:t>ויחתוך הקלף שיהא ארכו יותר על רחבו</w:t>
      </w:r>
      <w:r w:rsidR="00EC0EB7">
        <w:rPr>
          <w:rStyle w:val="a7"/>
          <w:rFonts w:cs="Arial"/>
          <w:rtl/>
        </w:rPr>
        <w:footnoteReference w:id="580"/>
      </w:r>
      <w:r w:rsidR="00EC0EB7" w:rsidRPr="00EC0EB7">
        <w:rPr>
          <w:rFonts w:cs="Arial"/>
          <w:rtl/>
        </w:rPr>
        <w:t xml:space="preserve"> </w:t>
      </w:r>
      <w:r w:rsidR="00EC0EB7">
        <w:rPr>
          <w:rFonts w:cs="Arial" w:hint="cs"/>
          <w:sz w:val="16"/>
          <w:szCs w:val="16"/>
          <w:rtl/>
        </w:rPr>
        <w:t>(ל' הטור)</w:t>
      </w:r>
      <w:r w:rsidR="002A17B2">
        <w:rPr>
          <w:rFonts w:cs="Arial" w:hint="cs"/>
          <w:rtl/>
        </w:rPr>
        <w:t>.</w:t>
      </w:r>
      <w:r w:rsidR="002A17B2" w:rsidRPr="002A17B2">
        <w:rPr>
          <w:rFonts w:cs="Arial"/>
          <w:rtl/>
        </w:rPr>
        <w:t xml:space="preserve"> </w:t>
      </w:r>
      <w:r w:rsidR="002A17B2" w:rsidRPr="00EE0626">
        <w:rPr>
          <w:rFonts w:cs="Arial"/>
          <w:rtl/>
        </w:rPr>
        <w:t>ונקרא ארכו דרך קריאתו מתחלתו לסופו</w:t>
      </w:r>
      <w:r w:rsidR="002A17B2">
        <w:rPr>
          <w:rStyle w:val="a7"/>
          <w:rFonts w:cs="Arial"/>
          <w:rtl/>
        </w:rPr>
        <w:footnoteReference w:id="581"/>
      </w:r>
      <w:r w:rsidR="002A17B2">
        <w:rPr>
          <w:rFonts w:cs="Arial" w:hint="cs"/>
          <w:sz w:val="16"/>
          <w:szCs w:val="16"/>
          <w:rtl/>
        </w:rPr>
        <w:t xml:space="preserve"> (ל' הטור בסדר הגט)</w:t>
      </w:r>
      <w:r>
        <w:rPr>
          <w:rFonts w:cs="Arial" w:hint="cs"/>
          <w:rtl/>
        </w:rPr>
        <w:t>.</w:t>
      </w:r>
      <w:r w:rsidR="00EC0EB7" w:rsidRPr="001573A7">
        <w:rPr>
          <w:rFonts w:hint="cs"/>
          <w:color w:val="E36C0A" w:themeColor="accent6" w:themeShade="BF"/>
          <w:rtl/>
        </w:rPr>
        <w:t xml:space="preserve"> (וכ"פ בשו"ע)</w:t>
      </w:r>
    </w:p>
    <w:p w14:paraId="247536AB" w14:textId="3CA9DAFC" w:rsidR="003B4196" w:rsidRDefault="003B4196" w:rsidP="003B4196">
      <w:pPr>
        <w:pStyle w:val="ab"/>
        <w:numPr>
          <w:ilvl w:val="0"/>
          <w:numId w:val="47"/>
        </w:numPr>
        <w:rPr>
          <w:rFonts w:cs="Arial"/>
        </w:rPr>
      </w:pPr>
      <w:r>
        <w:rPr>
          <w:rFonts w:cs="Arial" w:hint="cs"/>
          <w:rtl/>
        </w:rPr>
        <w:t xml:space="preserve">ר"פ </w:t>
      </w:r>
      <w:r>
        <w:rPr>
          <w:rFonts w:cs="Arial" w:hint="cs"/>
          <w:sz w:val="16"/>
          <w:szCs w:val="16"/>
          <w:rtl/>
        </w:rPr>
        <w:t>(בהגהות על הסמ"ק סי' קפד ד"ה בשיטה אחרונה)</w:t>
      </w:r>
      <w:r w:rsidR="00A82951">
        <w:rPr>
          <w:rFonts w:cs="Arial" w:hint="cs"/>
          <w:rtl/>
        </w:rPr>
        <w:t>-</w:t>
      </w:r>
      <w:r>
        <w:rPr>
          <w:rFonts w:cs="Arial" w:hint="cs"/>
          <w:rtl/>
        </w:rPr>
        <w:t xml:space="preserve"> </w:t>
      </w:r>
      <w:r w:rsidRPr="003B4196">
        <w:rPr>
          <w:rFonts w:cs="Arial"/>
          <w:rtl/>
        </w:rPr>
        <w:t>וצריך שיהיה ארכו יותר על רחבו מן הי"ב שיטין</w:t>
      </w:r>
      <w:r>
        <w:rPr>
          <w:rFonts w:cs="Arial" w:hint="cs"/>
          <w:rtl/>
        </w:rPr>
        <w:t>,</w:t>
      </w:r>
      <w:r w:rsidRPr="003B4196">
        <w:rPr>
          <w:rFonts w:cs="Arial"/>
          <w:rtl/>
        </w:rPr>
        <w:t xml:space="preserve"> </w:t>
      </w:r>
      <w:r w:rsidRPr="003A3B20">
        <w:rPr>
          <w:rFonts w:cs="Arial"/>
          <w:rtl/>
        </w:rPr>
        <w:t>ארכו קרוי מתחלת הגט עד סופו לצד העדים</w:t>
      </w:r>
      <w:r>
        <w:rPr>
          <w:rFonts w:cs="Arial" w:hint="cs"/>
          <w:rtl/>
        </w:rPr>
        <w:t>,</w:t>
      </w:r>
      <w:r w:rsidRPr="003A3B20">
        <w:rPr>
          <w:rFonts w:cs="Arial"/>
          <w:rtl/>
        </w:rPr>
        <w:t xml:space="preserve"> אמנם נהגו שלא להקפיד</w:t>
      </w:r>
      <w:r>
        <w:rPr>
          <w:rStyle w:val="a7"/>
          <w:rFonts w:cs="Arial"/>
          <w:rtl/>
        </w:rPr>
        <w:footnoteReference w:id="582"/>
      </w:r>
      <w:r w:rsidRPr="00276098">
        <w:rPr>
          <w:rFonts w:cs="Arial"/>
          <w:rtl/>
        </w:rPr>
        <w:t xml:space="preserve">. </w:t>
      </w:r>
    </w:p>
    <w:p w14:paraId="3133CE76" w14:textId="1F10B97F" w:rsidR="00EC0EB7" w:rsidRPr="00EC0EB7" w:rsidRDefault="00EC0EB7" w:rsidP="00EC0EB7">
      <w:pPr>
        <w:ind w:left="360"/>
        <w:rPr>
          <w:rFonts w:cs="Arial"/>
          <w:u w:val="dotted"/>
        </w:rPr>
      </w:pPr>
      <w:r w:rsidRPr="00EC0EB7">
        <w:rPr>
          <w:rFonts w:cs="Arial" w:hint="cs"/>
          <w:u w:val="dotted"/>
          <w:rtl/>
        </w:rPr>
        <w:t xml:space="preserve">האם מודדים </w:t>
      </w:r>
      <w:r w:rsidRPr="00EC0EB7">
        <w:rPr>
          <w:rFonts w:cs="Arial" w:hint="cs"/>
          <w:sz w:val="16"/>
          <w:szCs w:val="16"/>
          <w:u w:val="dotted"/>
          <w:rtl/>
        </w:rPr>
        <w:t xml:space="preserve">(שיהא ארכו יתר על רחבו) </w:t>
      </w:r>
      <w:r w:rsidRPr="00EC0EB7">
        <w:rPr>
          <w:rFonts w:cs="Arial" w:hint="cs"/>
          <w:u w:val="dotted"/>
          <w:rtl/>
        </w:rPr>
        <w:t xml:space="preserve">מסוף הקלף או מסוף הכתב: </w:t>
      </w:r>
    </w:p>
    <w:p w14:paraId="3D3468B0" w14:textId="66912966" w:rsidR="00EC0EB7" w:rsidRDefault="00AA766B" w:rsidP="00EE0626">
      <w:pPr>
        <w:pStyle w:val="ab"/>
        <w:numPr>
          <w:ilvl w:val="0"/>
          <w:numId w:val="47"/>
        </w:numPr>
        <w:rPr>
          <w:rFonts w:cs="Arial"/>
        </w:rPr>
      </w:pPr>
      <w:r w:rsidRPr="00EE0626">
        <w:rPr>
          <w:rFonts w:cs="Arial"/>
          <w:rtl/>
        </w:rPr>
        <w:lastRenderedPageBreak/>
        <w:t xml:space="preserve">קונדריסים </w:t>
      </w:r>
      <w:r w:rsidRPr="00EC0EB7">
        <w:rPr>
          <w:rFonts w:cs="Arial"/>
          <w:sz w:val="16"/>
          <w:szCs w:val="16"/>
          <w:rtl/>
        </w:rPr>
        <w:t>(סי' ח סעי' ו)</w:t>
      </w:r>
      <w:r w:rsidR="00A82951">
        <w:rPr>
          <w:rFonts w:cs="Arial" w:hint="cs"/>
          <w:rtl/>
        </w:rPr>
        <w:t>-</w:t>
      </w:r>
      <w:r w:rsidR="00EC0EB7">
        <w:rPr>
          <w:rFonts w:cs="Arial" w:hint="cs"/>
          <w:rtl/>
        </w:rPr>
        <w:t xml:space="preserve"> </w:t>
      </w:r>
      <w:r w:rsidRPr="00EE0626">
        <w:rPr>
          <w:rFonts w:cs="Arial"/>
          <w:rtl/>
        </w:rPr>
        <w:t>נ"ל שעם הגליון יש לו להיות ארכו יתר על רחבו</w:t>
      </w:r>
      <w:r w:rsidR="00EC0EB7">
        <w:rPr>
          <w:rFonts w:cs="Arial" w:hint="cs"/>
          <w:rtl/>
        </w:rPr>
        <w:t>,</w:t>
      </w:r>
      <w:r w:rsidRPr="00EE0626">
        <w:rPr>
          <w:rFonts w:cs="Arial"/>
          <w:rtl/>
        </w:rPr>
        <w:t xml:space="preserve"> כמו ספר תורה דמלמטה טפח</w:t>
      </w:r>
      <w:r w:rsidR="00EC0EB7">
        <w:rPr>
          <w:rFonts w:cs="Arial" w:hint="cs"/>
          <w:rtl/>
        </w:rPr>
        <w:t>.</w:t>
      </w:r>
      <w:r w:rsidRPr="00EE0626">
        <w:rPr>
          <w:rFonts w:cs="Arial"/>
          <w:rtl/>
        </w:rPr>
        <w:t xml:space="preserve"> וכן משמע לשון אבי העזרי (ראבי"ה סי' תתצד) שכתב </w:t>
      </w:r>
      <w:r w:rsidR="00EC0EB7">
        <w:rPr>
          <w:rFonts w:cs="Arial" w:hint="cs"/>
          <w:rtl/>
        </w:rPr>
        <w:t>'</w:t>
      </w:r>
      <w:r w:rsidRPr="00EE0626">
        <w:rPr>
          <w:rFonts w:cs="Arial"/>
          <w:rtl/>
        </w:rPr>
        <w:t>והמגילה צריכה להיות ארכה יתר על רחבה</w:t>
      </w:r>
      <w:r w:rsidR="00EC0EB7">
        <w:rPr>
          <w:rFonts w:cs="Arial" w:hint="cs"/>
          <w:rtl/>
        </w:rPr>
        <w:t>',</w:t>
      </w:r>
      <w:r w:rsidRPr="00EE0626">
        <w:rPr>
          <w:rFonts w:cs="Arial"/>
          <w:rtl/>
        </w:rPr>
        <w:t xml:space="preserve"> ולא כתב והכתב וכו'</w:t>
      </w:r>
      <w:r w:rsidR="00EC0EB7">
        <w:rPr>
          <w:rFonts w:cs="Arial" w:hint="cs"/>
          <w:rtl/>
        </w:rPr>
        <w:t>.</w:t>
      </w:r>
      <w:r w:rsidRPr="00EE0626">
        <w:rPr>
          <w:rFonts w:cs="Arial"/>
          <w:rtl/>
        </w:rPr>
        <w:t xml:space="preserve"> וגם במקצת פוסקים תמצא דין ארכו יתר על רחבו קודם דין שרטוט</w:t>
      </w:r>
      <w:r w:rsidR="00EC0EB7">
        <w:rPr>
          <w:rFonts w:cs="Arial" w:hint="cs"/>
          <w:rtl/>
        </w:rPr>
        <w:t>.</w:t>
      </w:r>
      <w:r w:rsidRPr="00EE0626">
        <w:rPr>
          <w:rFonts w:cs="Arial"/>
          <w:rtl/>
        </w:rPr>
        <w:t xml:space="preserve"> אם כן משמע דקאי אגויל</w:t>
      </w:r>
      <w:r w:rsidR="00EC0EB7">
        <w:rPr>
          <w:rStyle w:val="a7"/>
          <w:rFonts w:cs="Arial"/>
          <w:rtl/>
        </w:rPr>
        <w:footnoteReference w:id="583"/>
      </w:r>
      <w:r w:rsidRPr="00EE0626">
        <w:rPr>
          <w:rFonts w:cs="Arial"/>
          <w:rtl/>
        </w:rPr>
        <w:t>.</w:t>
      </w:r>
      <w:r w:rsidR="00EC0EB7">
        <w:rPr>
          <w:rFonts w:cs="Arial" w:hint="cs"/>
          <w:rtl/>
        </w:rPr>
        <w:t xml:space="preserve"> </w:t>
      </w:r>
      <w:r w:rsidR="00EC0EB7" w:rsidRPr="001573A7">
        <w:rPr>
          <w:rFonts w:hint="cs"/>
          <w:color w:val="00B0F0"/>
          <w:rtl/>
        </w:rPr>
        <w:t xml:space="preserve">(וכ"פ </w:t>
      </w:r>
      <w:r w:rsidR="00EC0EB7">
        <w:rPr>
          <w:rFonts w:hint="cs"/>
          <w:color w:val="00B0F0"/>
          <w:rtl/>
        </w:rPr>
        <w:t>הרמ"א</w:t>
      </w:r>
      <w:r w:rsidR="00EC0EB7" w:rsidRPr="001573A7">
        <w:rPr>
          <w:rFonts w:hint="cs"/>
          <w:color w:val="00B0F0"/>
          <w:rtl/>
        </w:rPr>
        <w:t>)</w:t>
      </w:r>
    </w:p>
    <w:p w14:paraId="55D34307" w14:textId="6DB436B6" w:rsidR="00AA766B" w:rsidRPr="00EE0626" w:rsidRDefault="00EC0EB7" w:rsidP="00EE0626">
      <w:pPr>
        <w:pStyle w:val="ab"/>
        <w:numPr>
          <w:ilvl w:val="0"/>
          <w:numId w:val="47"/>
        </w:numPr>
        <w:rPr>
          <w:rFonts w:cs="Arial"/>
          <w:rtl/>
        </w:rPr>
      </w:pPr>
      <w:r>
        <w:rPr>
          <w:rFonts w:cs="Arial" w:hint="cs"/>
          <w:rtl/>
        </w:rPr>
        <w:t xml:space="preserve">ר"פ </w:t>
      </w:r>
      <w:r>
        <w:rPr>
          <w:rFonts w:cs="Arial" w:hint="cs"/>
          <w:sz w:val="16"/>
          <w:szCs w:val="16"/>
          <w:rtl/>
        </w:rPr>
        <w:t>(בהגהות על הסמ"ק סי' קפד ד"ה בשיטה אחרונה)</w:t>
      </w:r>
      <w:r w:rsidR="00A82951">
        <w:rPr>
          <w:rFonts w:cs="Arial" w:hint="cs"/>
          <w:rtl/>
        </w:rPr>
        <w:t>-</w:t>
      </w:r>
      <w:r w:rsidR="00AA766B" w:rsidRPr="00EE0626">
        <w:rPr>
          <w:rFonts w:cs="Arial"/>
          <w:rtl/>
        </w:rPr>
        <w:t xml:space="preserve"> וצריך שיהא ארכו יתר על רחבו מן הי"ב שיטין</w:t>
      </w:r>
      <w:r>
        <w:rPr>
          <w:rFonts w:cs="Arial" w:hint="cs"/>
          <w:rtl/>
        </w:rPr>
        <w:t>.</w:t>
      </w:r>
    </w:p>
    <w:p w14:paraId="46912204"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839BC89" w14:textId="086E849C" w:rsidR="00C77C34" w:rsidRDefault="00C77C34" w:rsidP="00C77C34">
      <w:pPr>
        <w:rPr>
          <w:rFonts w:cs="Arial"/>
          <w:rtl/>
        </w:rPr>
      </w:pPr>
      <w:r w:rsidRPr="00C77C34">
        <w:rPr>
          <w:rFonts w:cs="Arial"/>
          <w:rtl/>
        </w:rPr>
        <w:t>נוהגין</w:t>
      </w:r>
      <w:r w:rsidR="00FA63F4">
        <w:rPr>
          <w:rStyle w:val="a7"/>
          <w:rFonts w:cs="Arial"/>
          <w:rtl/>
        </w:rPr>
        <w:footnoteReference w:id="584"/>
      </w:r>
      <w:r w:rsidRPr="00C77C34">
        <w:rPr>
          <w:rFonts w:cs="Arial"/>
          <w:rtl/>
        </w:rPr>
        <w:t xml:space="preserve"> לעשותו שיהיה ארכו </w:t>
      </w:r>
      <w:r w:rsidR="00EC0EB7">
        <w:rPr>
          <w:rFonts w:cs="Arial" w:hint="cs"/>
          <w:sz w:val="18"/>
          <w:szCs w:val="18"/>
          <w:rtl/>
        </w:rPr>
        <w:t xml:space="preserve">[הגה] </w:t>
      </w:r>
      <w:r w:rsidRPr="00AF4AED">
        <w:rPr>
          <w:rFonts w:cs="Arial"/>
          <w:sz w:val="18"/>
          <w:szCs w:val="18"/>
          <w:rtl/>
        </w:rPr>
        <w:t>עם הגליון של מטה</w:t>
      </w:r>
      <w:r w:rsidR="00EE0C23">
        <w:rPr>
          <w:rStyle w:val="a7"/>
          <w:rFonts w:cs="Arial"/>
          <w:sz w:val="18"/>
          <w:szCs w:val="18"/>
          <w:rtl/>
        </w:rPr>
        <w:footnoteReference w:id="585"/>
      </w:r>
      <w:r w:rsidRPr="00AF4AED">
        <w:rPr>
          <w:rFonts w:cs="Arial"/>
          <w:sz w:val="18"/>
          <w:szCs w:val="18"/>
          <w:rtl/>
        </w:rPr>
        <w:t xml:space="preserve"> (ב"י בשם הקונטרס) </w:t>
      </w:r>
      <w:r w:rsidRPr="00C77C34">
        <w:rPr>
          <w:rFonts w:cs="Arial"/>
          <w:rtl/>
        </w:rPr>
        <w:t xml:space="preserve">יתר על רחבו. </w:t>
      </w:r>
    </w:p>
    <w:p w14:paraId="5FF93AB2" w14:textId="77777777" w:rsidR="00FA63F4" w:rsidRPr="00C77C34" w:rsidRDefault="00FA63F4" w:rsidP="00C77C34">
      <w:pPr>
        <w:rPr>
          <w:rFonts w:cs="Arial"/>
          <w:rtl/>
        </w:rPr>
      </w:pPr>
    </w:p>
    <w:p w14:paraId="6A02ACB5" w14:textId="4A9A3B71" w:rsidR="00C77C34" w:rsidRDefault="00C77C34" w:rsidP="00786DE6">
      <w:pPr>
        <w:pStyle w:val="2"/>
        <w:rPr>
          <w:rtl/>
        </w:rPr>
      </w:pPr>
      <w:r w:rsidRPr="00C77C34">
        <w:rPr>
          <w:rtl/>
        </w:rPr>
        <w:t>סעיף יד</w:t>
      </w:r>
      <w:r w:rsidR="00FA63F4">
        <w:rPr>
          <w:rFonts w:hint="cs"/>
          <w:rtl/>
        </w:rPr>
        <w:t xml:space="preserve">: </w:t>
      </w:r>
      <w:r w:rsidR="00B91648">
        <w:rPr>
          <w:rFonts w:hint="cs"/>
          <w:rtl/>
        </w:rPr>
        <w:t>כתיבת אותיות מחוץ לשיטות.</w:t>
      </w:r>
    </w:p>
    <w:p w14:paraId="7A67876B" w14:textId="3F688A98" w:rsidR="00FB697E" w:rsidRPr="00B91648" w:rsidRDefault="00B91648" w:rsidP="00FB697E">
      <w:pPr>
        <w:rPr>
          <w:u w:val="single"/>
          <w:rtl/>
        </w:rPr>
      </w:pPr>
      <w:r w:rsidRPr="00B91648">
        <w:rPr>
          <w:rFonts w:hint="cs"/>
          <w:u w:val="single"/>
          <w:rtl/>
        </w:rPr>
        <w:t>כתיבת אותיות מחוץ לשיטות:</w:t>
      </w:r>
    </w:p>
    <w:p w14:paraId="214DB950" w14:textId="6A195F5E" w:rsidR="00B91648" w:rsidRPr="00B91648" w:rsidRDefault="003B3710" w:rsidP="008101BB">
      <w:pPr>
        <w:pStyle w:val="ab"/>
        <w:numPr>
          <w:ilvl w:val="0"/>
          <w:numId w:val="47"/>
        </w:numPr>
      </w:pPr>
      <w:r w:rsidRPr="002D5E7F">
        <w:rPr>
          <w:rFonts w:cs="Arial"/>
          <w:rtl/>
        </w:rPr>
        <w:t xml:space="preserve">ספר התרומה </w:t>
      </w:r>
      <w:r w:rsidR="009B7AA9" w:rsidRPr="009B7AA9">
        <w:rPr>
          <w:rFonts w:cs="Arial"/>
          <w:sz w:val="16"/>
          <w:szCs w:val="16"/>
          <w:rtl/>
        </w:rPr>
        <w:t>(סי' קטז</w:t>
      </w:r>
      <w:r w:rsidR="00B91648">
        <w:rPr>
          <w:rFonts w:cs="Arial" w:hint="cs"/>
          <w:sz w:val="16"/>
          <w:szCs w:val="16"/>
          <w:rtl/>
        </w:rPr>
        <w:t xml:space="preserve">, והעתיקו דבריו </w:t>
      </w:r>
      <w:r w:rsidR="00653C96">
        <w:rPr>
          <w:rFonts w:cs="Arial" w:hint="cs"/>
          <w:sz w:val="16"/>
          <w:szCs w:val="16"/>
          <w:rtl/>
        </w:rPr>
        <w:t>סמ"ג [עשין נ] הגה"מ [גירושין פ"ד ה"ט]</w:t>
      </w:r>
      <w:r w:rsidR="008101BB" w:rsidRPr="00653C96">
        <w:rPr>
          <w:rFonts w:cs="Arial" w:hint="cs"/>
          <w:sz w:val="16"/>
          <w:szCs w:val="16"/>
          <w:rtl/>
        </w:rPr>
        <w:t xml:space="preserve"> </w:t>
      </w:r>
      <w:r w:rsidR="009B7AA9" w:rsidRPr="00653C96">
        <w:rPr>
          <w:rFonts w:cs="Arial" w:hint="cs"/>
          <w:sz w:val="16"/>
          <w:szCs w:val="16"/>
          <w:rtl/>
        </w:rPr>
        <w:t>וטור</w:t>
      </w:r>
      <w:r w:rsidR="00653C96" w:rsidRPr="00653C96">
        <w:rPr>
          <w:rFonts w:cs="Arial" w:hint="cs"/>
          <w:sz w:val="16"/>
          <w:szCs w:val="16"/>
          <w:rtl/>
        </w:rPr>
        <w:t>)</w:t>
      </w:r>
      <w:r w:rsidR="00A82951">
        <w:rPr>
          <w:rFonts w:cs="Arial" w:hint="cs"/>
          <w:rtl/>
        </w:rPr>
        <w:t>-</w:t>
      </w:r>
      <w:r w:rsidR="009B7AA9">
        <w:rPr>
          <w:rFonts w:cs="Arial" w:hint="cs"/>
          <w:rtl/>
        </w:rPr>
        <w:t xml:space="preserve"> </w:t>
      </w:r>
      <w:r w:rsidR="0000090D" w:rsidRPr="0000090D">
        <w:rPr>
          <w:rFonts w:cs="Arial"/>
          <w:rtl/>
        </w:rPr>
        <w:t>הכותב גט צריך לעשות</w:t>
      </w:r>
      <w:r w:rsidR="0000090D">
        <w:rPr>
          <w:rFonts w:cs="Arial" w:hint="cs"/>
          <w:rtl/>
        </w:rPr>
        <w:t>...</w:t>
      </w:r>
      <w:r w:rsidR="0000090D" w:rsidRPr="0000090D">
        <w:rPr>
          <w:rFonts w:cs="Arial"/>
          <w:rtl/>
        </w:rPr>
        <w:t xml:space="preserve"> שלא יהו האותיות עוברות בימין ובשמאל תוך הגליון. כך נמצא בטופס הגט שתקנו הקדמונים</w:t>
      </w:r>
      <w:r w:rsidR="00B91648">
        <w:rPr>
          <w:rFonts w:cs="Arial" w:hint="cs"/>
          <w:rtl/>
        </w:rPr>
        <w:t xml:space="preserve"> </w:t>
      </w:r>
      <w:r w:rsidR="00B91648" w:rsidRPr="008101BB">
        <w:rPr>
          <w:rFonts w:cs="Arial" w:hint="cs"/>
          <w:sz w:val="16"/>
          <w:szCs w:val="16"/>
          <w:rtl/>
        </w:rPr>
        <w:t>(ל' סה"ת)</w:t>
      </w:r>
      <w:r w:rsidR="0000090D">
        <w:rPr>
          <w:rFonts w:cs="Arial" w:hint="cs"/>
          <w:rtl/>
        </w:rPr>
        <w:t>.</w:t>
      </w:r>
      <w:r w:rsidR="0000090D" w:rsidRPr="0000090D">
        <w:rPr>
          <w:rFonts w:cs="Arial"/>
          <w:rtl/>
        </w:rPr>
        <w:t xml:space="preserve"> </w:t>
      </w:r>
      <w:r w:rsidR="00F473E7" w:rsidRPr="00F473E7">
        <w:rPr>
          <w:rFonts w:hint="cs"/>
          <w:color w:val="E36C0A" w:themeColor="accent6" w:themeShade="BF"/>
          <w:rtl/>
        </w:rPr>
        <w:t>(וכ"פ בשו"ע)</w:t>
      </w:r>
    </w:p>
    <w:p w14:paraId="393D8C79" w14:textId="5EAC3843" w:rsidR="007E4C12" w:rsidRPr="007E4C12" w:rsidRDefault="00FD610A" w:rsidP="007E4C12">
      <w:pPr>
        <w:pStyle w:val="ab"/>
        <w:numPr>
          <w:ilvl w:val="0"/>
          <w:numId w:val="47"/>
        </w:numPr>
      </w:pPr>
      <w:r>
        <w:rPr>
          <w:rFonts w:cs="Arial" w:hint="cs"/>
          <w:rtl/>
        </w:rPr>
        <w:t>סמ"ק</w:t>
      </w:r>
      <w:r w:rsidRPr="00FD610A">
        <w:rPr>
          <w:rFonts w:cs="Arial" w:hint="cs"/>
          <w:sz w:val="16"/>
          <w:szCs w:val="16"/>
          <w:rtl/>
        </w:rPr>
        <w:t xml:space="preserve"> (סי' קפד)</w:t>
      </w:r>
      <w:r w:rsidR="00A82951">
        <w:rPr>
          <w:rFonts w:cs="Arial" w:hint="cs"/>
          <w:rtl/>
        </w:rPr>
        <w:t>-</w:t>
      </w:r>
      <w:r>
        <w:rPr>
          <w:rFonts w:cs="Arial" w:hint="cs"/>
          <w:rtl/>
        </w:rPr>
        <w:t xml:space="preserve"> </w:t>
      </w:r>
      <w:r w:rsidR="008101BB" w:rsidRPr="008101BB">
        <w:rPr>
          <w:rFonts w:cs="Arial"/>
          <w:rtl/>
        </w:rPr>
        <w:t xml:space="preserve">וצריך שלא יעברו שתי אותיות מן התיבה חוץ לשיטה, </w:t>
      </w:r>
      <w:r w:rsidR="00901D12">
        <w:rPr>
          <w:rStyle w:val="a7"/>
          <w:rFonts w:cs="Arial"/>
          <w:rtl/>
        </w:rPr>
        <w:footnoteReference w:id="586"/>
      </w:r>
      <w:r w:rsidR="00901D12">
        <w:rPr>
          <w:rFonts w:cs="Arial" w:hint="cs"/>
          <w:rtl/>
        </w:rPr>
        <w:t>[</w:t>
      </w:r>
      <w:r w:rsidR="008101BB" w:rsidRPr="008101BB">
        <w:rPr>
          <w:rFonts w:cs="Arial"/>
          <w:rtl/>
        </w:rPr>
        <w:t>ונהגו להקפיד אפי' אות אחת חוץ לשיטה</w:t>
      </w:r>
      <w:r w:rsidR="00901D12">
        <w:rPr>
          <w:rFonts w:cs="Arial" w:hint="cs"/>
          <w:rtl/>
        </w:rPr>
        <w:t>].</w:t>
      </w:r>
    </w:p>
    <w:p w14:paraId="3BFED660" w14:textId="1A5C676E" w:rsidR="007E4C12" w:rsidRDefault="00AF29F7" w:rsidP="007E4C12">
      <w:pPr>
        <w:pStyle w:val="ab"/>
        <w:numPr>
          <w:ilvl w:val="0"/>
          <w:numId w:val="47"/>
        </w:numPr>
      </w:pPr>
      <w:r w:rsidRPr="007E4C12">
        <w:rPr>
          <w:rFonts w:cs="Arial"/>
          <w:rtl/>
        </w:rPr>
        <w:t xml:space="preserve">ראב"ן </w:t>
      </w:r>
      <w:r w:rsidRPr="007E4C12">
        <w:rPr>
          <w:rFonts w:cs="Arial"/>
          <w:sz w:val="16"/>
          <w:szCs w:val="16"/>
          <w:rtl/>
        </w:rPr>
        <w:t>(אבן העזר לראב"ן</w:t>
      </w:r>
      <w:r w:rsidR="00FD610A">
        <w:rPr>
          <w:rFonts w:cs="Arial" w:hint="cs"/>
          <w:sz w:val="16"/>
          <w:szCs w:val="16"/>
          <w:rtl/>
        </w:rPr>
        <w:t>, כ"כ בשמו ר"פ [בהג' סמ"ק], הביאם המרדכי [גיטין סי' תנד]</w:t>
      </w:r>
      <w:r w:rsidRPr="007E4C12">
        <w:rPr>
          <w:rFonts w:cs="Arial"/>
          <w:sz w:val="16"/>
          <w:szCs w:val="16"/>
          <w:rtl/>
        </w:rPr>
        <w:t>)</w:t>
      </w:r>
      <w:r w:rsidR="00A82951">
        <w:rPr>
          <w:rFonts w:cs="Arial" w:hint="cs"/>
          <w:rtl/>
        </w:rPr>
        <w:t>-</w:t>
      </w:r>
      <w:r w:rsidRPr="007E4C12">
        <w:rPr>
          <w:rFonts w:cs="Arial"/>
          <w:rtl/>
        </w:rPr>
        <w:t xml:space="preserve"> צריך לכוין השורות מכאן ומכאן</w:t>
      </w:r>
      <w:r w:rsidR="007E4C12">
        <w:rPr>
          <w:rFonts w:cs="Arial" w:hint="cs"/>
          <w:rtl/>
        </w:rPr>
        <w:t>.</w:t>
      </w:r>
    </w:p>
    <w:p w14:paraId="73685E3B" w14:textId="31F4EC4C" w:rsidR="00717DC8" w:rsidRPr="00717DC8" w:rsidRDefault="00717DC8" w:rsidP="00717DC8">
      <w:pPr>
        <w:ind w:left="360"/>
        <w:rPr>
          <w:u w:val="dotted"/>
        </w:rPr>
      </w:pPr>
      <w:r w:rsidRPr="00717DC8">
        <w:rPr>
          <w:rFonts w:hint="cs"/>
          <w:u w:val="dotted"/>
          <w:rtl/>
        </w:rPr>
        <w:t xml:space="preserve">ומה הדין </w:t>
      </w:r>
      <w:r w:rsidR="006A1C7A">
        <w:rPr>
          <w:rFonts w:hint="cs"/>
          <w:u w:val="dotted"/>
          <w:rtl/>
        </w:rPr>
        <w:t xml:space="preserve">אם </w:t>
      </w:r>
      <w:r w:rsidRPr="00717DC8">
        <w:rPr>
          <w:rFonts w:hint="cs"/>
          <w:u w:val="dotted"/>
          <w:rtl/>
        </w:rPr>
        <w:t>כתב חוץ לשיטה:</w:t>
      </w:r>
    </w:p>
    <w:p w14:paraId="1FB9CA26" w14:textId="36BA7D16" w:rsidR="007E4C12" w:rsidRPr="007E4C12" w:rsidRDefault="00AF29F7" w:rsidP="007E4C12">
      <w:pPr>
        <w:pStyle w:val="ab"/>
        <w:numPr>
          <w:ilvl w:val="0"/>
          <w:numId w:val="47"/>
        </w:numPr>
      </w:pPr>
      <w:r w:rsidRPr="006A1C7A">
        <w:rPr>
          <w:rFonts w:cs="Arial"/>
          <w:color w:val="000000" w:themeColor="text1"/>
          <w:rtl/>
        </w:rPr>
        <w:t>הגה</w:t>
      </w:r>
      <w:r w:rsidR="007E4C12" w:rsidRPr="006A1C7A">
        <w:rPr>
          <w:rFonts w:cs="Arial" w:hint="cs"/>
          <w:color w:val="000000" w:themeColor="text1"/>
          <w:rtl/>
        </w:rPr>
        <w:t>"</w:t>
      </w:r>
      <w:r w:rsidRPr="006A1C7A">
        <w:rPr>
          <w:rFonts w:cs="Arial"/>
          <w:color w:val="000000" w:themeColor="text1"/>
          <w:rtl/>
        </w:rPr>
        <w:t xml:space="preserve">מ </w:t>
      </w:r>
      <w:r w:rsidR="00B91648" w:rsidRPr="006A1C7A">
        <w:rPr>
          <w:rFonts w:cs="Arial" w:hint="cs"/>
          <w:color w:val="000000" w:themeColor="text1"/>
          <w:sz w:val="16"/>
          <w:szCs w:val="16"/>
          <w:rtl/>
        </w:rPr>
        <w:t>(</w:t>
      </w:r>
      <w:r w:rsidRPr="006A1C7A">
        <w:rPr>
          <w:rFonts w:cs="Arial"/>
          <w:color w:val="000000" w:themeColor="text1"/>
          <w:sz w:val="16"/>
          <w:szCs w:val="16"/>
          <w:rtl/>
        </w:rPr>
        <w:t>פ</w:t>
      </w:r>
      <w:r w:rsidR="007E4C12" w:rsidRPr="006A1C7A">
        <w:rPr>
          <w:rFonts w:cs="Arial" w:hint="cs"/>
          <w:color w:val="000000" w:themeColor="text1"/>
          <w:sz w:val="16"/>
          <w:szCs w:val="16"/>
          <w:rtl/>
        </w:rPr>
        <w:t>"</w:t>
      </w:r>
      <w:r w:rsidRPr="006A1C7A">
        <w:rPr>
          <w:rFonts w:cs="Arial"/>
          <w:color w:val="000000" w:themeColor="text1"/>
          <w:sz w:val="16"/>
          <w:szCs w:val="16"/>
          <w:rtl/>
        </w:rPr>
        <w:t>ד דפוס קושטא ה"ט</w:t>
      </w:r>
      <w:r w:rsidR="006A1C7A" w:rsidRPr="006A1C7A">
        <w:rPr>
          <w:rFonts w:cs="Arial" w:hint="cs"/>
          <w:color w:val="000000" w:themeColor="text1"/>
          <w:sz w:val="16"/>
          <w:szCs w:val="16"/>
          <w:rtl/>
        </w:rPr>
        <w:t xml:space="preserve"> צל"ע ד</w:t>
      </w:r>
      <w:r w:rsidR="00653C96" w:rsidRPr="006A1C7A">
        <w:rPr>
          <w:rFonts w:cs="Arial" w:hint="cs"/>
          <w:color w:val="000000" w:themeColor="text1"/>
          <w:sz w:val="16"/>
          <w:szCs w:val="16"/>
          <w:rtl/>
        </w:rPr>
        <w:t>לא מצאתי</w:t>
      </w:r>
      <w:r w:rsidR="006A1C7A" w:rsidRPr="006A1C7A">
        <w:rPr>
          <w:rFonts w:cs="Arial" w:hint="cs"/>
          <w:color w:val="000000" w:themeColor="text1"/>
          <w:sz w:val="16"/>
          <w:szCs w:val="16"/>
          <w:rtl/>
        </w:rPr>
        <w:t xml:space="preserve"> לא שם ולא בכלל</w:t>
      </w:r>
      <w:r w:rsidRPr="006A1C7A">
        <w:rPr>
          <w:rFonts w:cs="Arial"/>
          <w:color w:val="000000" w:themeColor="text1"/>
          <w:sz w:val="16"/>
          <w:szCs w:val="16"/>
          <w:rtl/>
        </w:rPr>
        <w:t>)</w:t>
      </w:r>
      <w:r w:rsidR="00717DC8" w:rsidRPr="006A1C7A">
        <w:rPr>
          <w:rFonts w:cs="Arial" w:hint="cs"/>
          <w:color w:val="000000" w:themeColor="text1"/>
          <w:rtl/>
        </w:rPr>
        <w:t xml:space="preserve"> בשם ספר התרומה וסמ"ג</w:t>
      </w:r>
      <w:r w:rsidR="00A82951" w:rsidRPr="006A1C7A">
        <w:rPr>
          <w:rFonts w:cs="Arial" w:hint="cs"/>
          <w:color w:val="000000" w:themeColor="text1"/>
          <w:rtl/>
        </w:rPr>
        <w:t>-</w:t>
      </w:r>
      <w:r w:rsidR="007E4C12" w:rsidRPr="006A1C7A">
        <w:rPr>
          <w:rFonts w:cs="Arial" w:hint="cs"/>
          <w:color w:val="000000" w:themeColor="text1"/>
          <w:rtl/>
        </w:rPr>
        <w:t xml:space="preserve"> </w:t>
      </w:r>
      <w:r w:rsidR="00717DC8" w:rsidRPr="006A1C7A">
        <w:rPr>
          <w:rStyle w:val="a7"/>
          <w:rFonts w:cs="Arial"/>
          <w:color w:val="000000" w:themeColor="text1"/>
          <w:rtl/>
        </w:rPr>
        <w:footnoteReference w:id="587"/>
      </w:r>
      <w:r w:rsidRPr="006A1C7A">
        <w:rPr>
          <w:rFonts w:cs="Arial"/>
          <w:color w:val="000000" w:themeColor="text1"/>
          <w:rtl/>
        </w:rPr>
        <w:t xml:space="preserve">ונהגו לפסול אפילו אות </w:t>
      </w:r>
      <w:r w:rsidRPr="007E4C12">
        <w:rPr>
          <w:rFonts w:cs="Arial"/>
          <w:rtl/>
        </w:rPr>
        <w:t>אחת העוברת חוץ לשיטה</w:t>
      </w:r>
      <w:r>
        <w:rPr>
          <w:rStyle w:val="a7"/>
          <w:rFonts w:cs="Arial"/>
          <w:rtl/>
        </w:rPr>
        <w:footnoteReference w:id="588"/>
      </w:r>
      <w:r w:rsidR="00F473E7">
        <w:rPr>
          <w:rFonts w:cs="Arial" w:hint="cs"/>
          <w:sz w:val="16"/>
          <w:szCs w:val="16"/>
          <w:rtl/>
        </w:rPr>
        <w:t xml:space="preserve"> (ל' הב"י בשם הגה"מ)</w:t>
      </w:r>
      <w:r w:rsidR="007E4C12">
        <w:rPr>
          <w:rFonts w:cs="Arial" w:hint="cs"/>
          <w:rtl/>
        </w:rPr>
        <w:t>.</w:t>
      </w:r>
      <w:r w:rsidRPr="007E4C12">
        <w:rPr>
          <w:rFonts w:cs="Arial"/>
          <w:rtl/>
        </w:rPr>
        <w:t xml:space="preserve"> </w:t>
      </w:r>
    </w:p>
    <w:p w14:paraId="1B6441A5" w14:textId="4320423D" w:rsidR="00AF29F7" w:rsidRDefault="00AF29F7" w:rsidP="007E4C12">
      <w:pPr>
        <w:pStyle w:val="ab"/>
        <w:numPr>
          <w:ilvl w:val="0"/>
          <w:numId w:val="47"/>
        </w:numPr>
      </w:pPr>
      <w:r w:rsidRPr="007E4C12">
        <w:rPr>
          <w:rFonts w:cs="Arial"/>
          <w:rtl/>
        </w:rPr>
        <w:t>תשב"ץ</w:t>
      </w:r>
      <w:r w:rsidRPr="00717DC8">
        <w:rPr>
          <w:rFonts w:cs="Arial"/>
          <w:sz w:val="16"/>
          <w:szCs w:val="16"/>
          <w:rtl/>
        </w:rPr>
        <w:t xml:space="preserve"> </w:t>
      </w:r>
      <w:r w:rsidR="00717DC8" w:rsidRPr="00717DC8">
        <w:rPr>
          <w:rFonts w:cs="Arial" w:hint="cs"/>
          <w:sz w:val="16"/>
          <w:szCs w:val="16"/>
          <w:rtl/>
        </w:rPr>
        <w:t>(</w:t>
      </w:r>
      <w:r w:rsidRPr="00717DC8">
        <w:rPr>
          <w:rFonts w:cs="Arial"/>
          <w:sz w:val="16"/>
          <w:szCs w:val="16"/>
          <w:rtl/>
        </w:rPr>
        <w:t>ח"א סי' ה</w:t>
      </w:r>
      <w:r w:rsidR="00717DC8" w:rsidRPr="00717DC8">
        <w:rPr>
          <w:rFonts w:cs="Arial" w:hint="cs"/>
          <w:sz w:val="16"/>
          <w:szCs w:val="16"/>
          <w:rtl/>
        </w:rPr>
        <w:t>,</w:t>
      </w:r>
      <w:r w:rsidRPr="00717DC8">
        <w:rPr>
          <w:rFonts w:cs="Arial"/>
          <w:sz w:val="16"/>
          <w:szCs w:val="16"/>
          <w:rtl/>
        </w:rPr>
        <w:t xml:space="preserve"> וח"ב סי' פב)</w:t>
      </w:r>
      <w:r w:rsidR="00A82951">
        <w:rPr>
          <w:rFonts w:cs="Arial" w:hint="cs"/>
          <w:rtl/>
        </w:rPr>
        <w:t>-</w:t>
      </w:r>
      <w:r w:rsidR="00717DC8">
        <w:rPr>
          <w:rFonts w:cs="Arial" w:hint="cs"/>
          <w:rtl/>
        </w:rPr>
        <w:t xml:space="preserve"> </w:t>
      </w:r>
      <w:r w:rsidR="00717DC8" w:rsidRPr="007E4C12">
        <w:rPr>
          <w:rFonts w:cs="Arial"/>
          <w:rtl/>
        </w:rPr>
        <w:t xml:space="preserve">נראה </w:t>
      </w:r>
      <w:r w:rsidR="00717DC8">
        <w:rPr>
          <w:rFonts w:cs="Arial" w:hint="cs"/>
          <w:rtl/>
        </w:rPr>
        <w:t>ש</w:t>
      </w:r>
      <w:r w:rsidRPr="007E4C12">
        <w:rPr>
          <w:rFonts w:cs="Arial"/>
          <w:rtl/>
        </w:rPr>
        <w:t>דברי סמ"ק ורבינו פרץ זו חומרא</w:t>
      </w:r>
      <w:r w:rsidR="00717DC8">
        <w:rPr>
          <w:rFonts w:cs="Arial" w:hint="cs"/>
          <w:rtl/>
        </w:rPr>
        <w:t>,</w:t>
      </w:r>
      <w:r w:rsidRPr="007E4C12">
        <w:rPr>
          <w:rFonts w:cs="Arial"/>
          <w:rtl/>
        </w:rPr>
        <w:t xml:space="preserve"> ובטופס לא מיפסל בהכי</w:t>
      </w:r>
      <w:r w:rsidR="00717DC8">
        <w:rPr>
          <w:rFonts w:cs="Arial" w:hint="cs"/>
          <w:rtl/>
        </w:rPr>
        <w:t>,</w:t>
      </w:r>
      <w:r w:rsidRPr="007E4C12">
        <w:rPr>
          <w:rFonts w:cs="Arial"/>
          <w:rtl/>
        </w:rPr>
        <w:t xml:space="preserve"> ובתורף פסלינן אי מה שהוא חוץ ממשמעות</w:t>
      </w:r>
      <w:r w:rsidR="000353BA">
        <w:rPr>
          <w:rStyle w:val="a7"/>
          <w:rFonts w:cs="Arial"/>
          <w:rtl/>
        </w:rPr>
        <w:footnoteReference w:id="589"/>
      </w:r>
      <w:r w:rsidRPr="007E4C12">
        <w:rPr>
          <w:rFonts w:cs="Arial"/>
          <w:rtl/>
        </w:rPr>
        <w:t xml:space="preserve"> מה שהוא תוך הגט</w:t>
      </w:r>
      <w:r w:rsidR="000353BA">
        <w:rPr>
          <w:rStyle w:val="a7"/>
          <w:rFonts w:cs="Arial"/>
          <w:rtl/>
        </w:rPr>
        <w:footnoteReference w:id="590"/>
      </w:r>
      <w:r w:rsidR="00717DC8">
        <w:rPr>
          <w:rFonts w:cs="Arial" w:hint="cs"/>
          <w:rtl/>
        </w:rPr>
        <w:t>,</w:t>
      </w:r>
      <w:r w:rsidRPr="007E4C12">
        <w:rPr>
          <w:rFonts w:cs="Arial"/>
          <w:rtl/>
        </w:rPr>
        <w:t xml:space="preserve"> אא</w:t>
      </w:r>
      <w:r w:rsidR="00717DC8">
        <w:rPr>
          <w:rFonts w:cs="Arial" w:hint="cs"/>
          <w:rtl/>
        </w:rPr>
        <w:t>"</w:t>
      </w:r>
      <w:r w:rsidRPr="007E4C12">
        <w:rPr>
          <w:rFonts w:cs="Arial"/>
          <w:rtl/>
        </w:rPr>
        <w:t>כ נמחק וקיומו למטה</w:t>
      </w:r>
      <w:r w:rsidR="00717DC8">
        <w:rPr>
          <w:rFonts w:cs="Arial" w:hint="cs"/>
          <w:rtl/>
        </w:rPr>
        <w:t>.</w:t>
      </w:r>
    </w:p>
    <w:p w14:paraId="7507BB31" w14:textId="47CB536D" w:rsidR="00F473E7" w:rsidRDefault="00F473E7" w:rsidP="00F473E7">
      <w:pPr>
        <w:pStyle w:val="ab"/>
        <w:numPr>
          <w:ilvl w:val="1"/>
          <w:numId w:val="47"/>
        </w:numPr>
      </w:pPr>
      <w:r>
        <w:rPr>
          <w:rFonts w:cs="Arial" w:hint="cs"/>
          <w:rtl/>
        </w:rPr>
        <w:t xml:space="preserve">דרכ"מ </w:t>
      </w:r>
      <w:r>
        <w:rPr>
          <w:rFonts w:cs="Arial" w:hint="cs"/>
          <w:sz w:val="16"/>
          <w:szCs w:val="16"/>
          <w:rtl/>
        </w:rPr>
        <w:t>(אות יז)</w:t>
      </w:r>
      <w:r w:rsidR="00A82951">
        <w:rPr>
          <w:rFonts w:cs="Arial" w:hint="cs"/>
          <w:rtl/>
        </w:rPr>
        <w:t>-</w:t>
      </w:r>
      <w:r>
        <w:rPr>
          <w:rFonts w:cs="Arial" w:hint="cs"/>
          <w:rtl/>
        </w:rPr>
        <w:t xml:space="preserve"> </w:t>
      </w:r>
      <w:r w:rsidRPr="00AF29F7">
        <w:rPr>
          <w:rFonts w:cs="Arial"/>
          <w:rtl/>
        </w:rPr>
        <w:t>ונראה דודאי קודם נתינה במקום דליכא למיחש לעיגון יש לכתוב גט אחר</w:t>
      </w:r>
      <w:r w:rsidR="006A1C7A">
        <w:rPr>
          <w:rFonts w:cs="Arial" w:hint="cs"/>
          <w:rtl/>
        </w:rPr>
        <w:t>.</w:t>
      </w:r>
      <w:r w:rsidRPr="00AF29F7">
        <w:rPr>
          <w:rFonts w:cs="Arial"/>
          <w:rtl/>
        </w:rPr>
        <w:t xml:space="preserve"> אבל במקום דאיכא למיחש לעיגון</w:t>
      </w:r>
      <w:r w:rsidR="006A1C7A">
        <w:rPr>
          <w:rFonts w:cs="Arial" w:hint="cs"/>
          <w:rtl/>
        </w:rPr>
        <w:t>,</w:t>
      </w:r>
      <w:r w:rsidRPr="00AF29F7">
        <w:rPr>
          <w:rFonts w:cs="Arial"/>
          <w:rtl/>
        </w:rPr>
        <w:t xml:space="preserve"> או בדיעבד</w:t>
      </w:r>
      <w:r w:rsidR="006A1C7A">
        <w:rPr>
          <w:rFonts w:cs="Arial" w:hint="cs"/>
          <w:rtl/>
        </w:rPr>
        <w:t>,</w:t>
      </w:r>
      <w:r w:rsidRPr="00AF29F7">
        <w:rPr>
          <w:rFonts w:cs="Arial"/>
          <w:rtl/>
        </w:rPr>
        <w:t xml:space="preserve"> אין לפסול הגט משום אות אחד שיוצא מן הצדדים</w:t>
      </w:r>
      <w:r w:rsidR="006A1C7A">
        <w:rPr>
          <w:rFonts w:cs="Arial" w:hint="cs"/>
          <w:rtl/>
        </w:rPr>
        <w:t>,</w:t>
      </w:r>
      <w:r w:rsidRPr="00AF29F7">
        <w:rPr>
          <w:rFonts w:cs="Arial"/>
          <w:rtl/>
        </w:rPr>
        <w:t xml:space="preserve"> דהא גם בספר תורה אינו פסול. כן נראה לי</w:t>
      </w:r>
      <w:r>
        <w:rPr>
          <w:rFonts w:hint="cs"/>
          <w:rtl/>
        </w:rPr>
        <w:t xml:space="preserve">. </w:t>
      </w:r>
      <w:r w:rsidRPr="00F473E7">
        <w:rPr>
          <w:rFonts w:hint="cs"/>
          <w:color w:val="00B0F0"/>
          <w:rtl/>
        </w:rPr>
        <w:t>(וכ"פ בהג"ה)</w:t>
      </w:r>
    </w:p>
    <w:p w14:paraId="48D2DBA4"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3A88CE6" w14:textId="16DFB51F" w:rsidR="00C77C34" w:rsidRDefault="00C77C34" w:rsidP="00C77C34">
      <w:pPr>
        <w:rPr>
          <w:rFonts w:cs="Arial"/>
          <w:rtl/>
        </w:rPr>
      </w:pPr>
      <w:r w:rsidRPr="00C77C34">
        <w:rPr>
          <w:rFonts w:cs="Arial"/>
          <w:rtl/>
        </w:rPr>
        <w:lastRenderedPageBreak/>
        <w:t>נוהגין שלא יהיו האותיות עוברות מהשיטין</w:t>
      </w:r>
      <w:r w:rsidR="00453D60">
        <w:rPr>
          <w:rStyle w:val="a7"/>
          <w:rFonts w:cs="Arial"/>
          <w:rtl/>
        </w:rPr>
        <w:footnoteReference w:id="591"/>
      </w:r>
      <w:r w:rsidRPr="00C77C34">
        <w:rPr>
          <w:rFonts w:cs="Arial"/>
          <w:rtl/>
        </w:rPr>
        <w:t xml:space="preserve"> בימין ובשמאל. </w:t>
      </w:r>
      <w:r w:rsidRPr="00AF4AED">
        <w:rPr>
          <w:rFonts w:cs="Arial"/>
          <w:sz w:val="18"/>
          <w:szCs w:val="18"/>
          <w:rtl/>
        </w:rPr>
        <w:t>הגה: ואם כתב חוץ לשיטין, יש אומרים דאפילו אות אחת</w:t>
      </w:r>
      <w:r w:rsidR="00453D60">
        <w:rPr>
          <w:rStyle w:val="a7"/>
          <w:rFonts w:cs="Arial"/>
          <w:sz w:val="18"/>
          <w:szCs w:val="18"/>
          <w:rtl/>
        </w:rPr>
        <w:footnoteReference w:id="592"/>
      </w:r>
      <w:r w:rsidRPr="00AF4AED">
        <w:rPr>
          <w:rFonts w:cs="Arial"/>
          <w:sz w:val="18"/>
          <w:szCs w:val="18"/>
          <w:rtl/>
        </w:rPr>
        <w:t xml:space="preserve"> שיצא לחוץ פסול (ב"י בשם הגה</w:t>
      </w:r>
      <w:r w:rsidR="00FD610A">
        <w:rPr>
          <w:rFonts w:cs="Arial" w:hint="cs"/>
          <w:sz w:val="18"/>
          <w:szCs w:val="18"/>
          <w:rtl/>
        </w:rPr>
        <w:t>"</w:t>
      </w:r>
      <w:r w:rsidRPr="00AF4AED">
        <w:rPr>
          <w:rFonts w:cs="Arial"/>
          <w:sz w:val="18"/>
          <w:szCs w:val="18"/>
          <w:rtl/>
        </w:rPr>
        <w:t>מ)</w:t>
      </w:r>
      <w:r w:rsidR="00F473E7">
        <w:rPr>
          <w:rFonts w:cs="Arial" w:hint="cs"/>
          <w:sz w:val="18"/>
          <w:szCs w:val="18"/>
          <w:rtl/>
        </w:rPr>
        <w:t>.</w:t>
      </w:r>
      <w:r w:rsidRPr="00AF4AED">
        <w:rPr>
          <w:rFonts w:cs="Arial"/>
          <w:sz w:val="18"/>
          <w:szCs w:val="18"/>
          <w:rtl/>
        </w:rPr>
        <w:t xml:space="preserve"> ובמקום עיגון ושעת הדחק יש להקל (סברת הרב). </w:t>
      </w:r>
    </w:p>
    <w:p w14:paraId="47EA723F" w14:textId="77777777" w:rsidR="00AF4AED" w:rsidRPr="00C77C34" w:rsidRDefault="00AF4AED" w:rsidP="00C77C34">
      <w:pPr>
        <w:rPr>
          <w:rFonts w:cs="Arial"/>
          <w:rtl/>
        </w:rPr>
      </w:pPr>
    </w:p>
    <w:p w14:paraId="2EA480AF" w14:textId="45766A69" w:rsidR="00B91648" w:rsidRDefault="00C77C34" w:rsidP="00B91648">
      <w:pPr>
        <w:pStyle w:val="2"/>
        <w:rPr>
          <w:rtl/>
        </w:rPr>
      </w:pPr>
      <w:r w:rsidRPr="00C77C34">
        <w:rPr>
          <w:rtl/>
        </w:rPr>
        <w:t>סעיף טו</w:t>
      </w:r>
      <w:r w:rsidR="00B91648">
        <w:rPr>
          <w:rFonts w:hint="cs"/>
          <w:rtl/>
        </w:rPr>
        <w:t>:</w:t>
      </w:r>
      <w:r w:rsidR="00653C96" w:rsidRPr="00653C96">
        <w:rPr>
          <w:rFonts w:hint="cs"/>
          <w:rtl/>
        </w:rPr>
        <w:t xml:space="preserve"> אותיות מטושטשות וכתיבה על המחק</w:t>
      </w:r>
      <w:r w:rsidR="00653C96">
        <w:rPr>
          <w:rFonts w:hint="cs"/>
          <w:rtl/>
        </w:rPr>
        <w:t>.</w:t>
      </w:r>
    </w:p>
    <w:p w14:paraId="65EA733B" w14:textId="56ADA6AE" w:rsidR="00653C96" w:rsidRPr="00653C96" w:rsidRDefault="00653C96" w:rsidP="00653C96">
      <w:pPr>
        <w:rPr>
          <w:u w:val="single"/>
          <w:rtl/>
        </w:rPr>
      </w:pPr>
      <w:r w:rsidRPr="00653C96">
        <w:rPr>
          <w:rFonts w:hint="cs"/>
          <w:u w:val="single"/>
          <w:rtl/>
        </w:rPr>
        <w:t xml:space="preserve">אותיות מטושטשות וכתיבה על המחק: </w:t>
      </w:r>
    </w:p>
    <w:p w14:paraId="44528F01" w14:textId="458FE099" w:rsidR="00B91648" w:rsidRPr="00653C96" w:rsidRDefault="00B91648" w:rsidP="00B91648">
      <w:pPr>
        <w:pStyle w:val="ab"/>
        <w:numPr>
          <w:ilvl w:val="0"/>
          <w:numId w:val="47"/>
        </w:numPr>
      </w:pPr>
      <w:r w:rsidRPr="002D5E7F">
        <w:rPr>
          <w:rFonts w:cs="Arial"/>
          <w:rtl/>
        </w:rPr>
        <w:t xml:space="preserve">ספר התרומה </w:t>
      </w:r>
      <w:r w:rsidR="00653C96" w:rsidRPr="009B7AA9">
        <w:rPr>
          <w:rFonts w:cs="Arial"/>
          <w:sz w:val="16"/>
          <w:szCs w:val="16"/>
          <w:rtl/>
        </w:rPr>
        <w:t>(סי' קטז</w:t>
      </w:r>
      <w:r w:rsidR="00653C96">
        <w:rPr>
          <w:rFonts w:cs="Arial" w:hint="cs"/>
          <w:sz w:val="16"/>
          <w:szCs w:val="16"/>
          <w:rtl/>
        </w:rPr>
        <w:t>, והעתיקו דבריו סמ"ג [עשין נ] סמ"ק [סי' קפד] הגה"מ [גירושין פ"ד ה"ט]</w:t>
      </w:r>
      <w:r w:rsidR="00653C96" w:rsidRPr="00653C96">
        <w:rPr>
          <w:rFonts w:cs="Arial" w:hint="cs"/>
          <w:sz w:val="16"/>
          <w:szCs w:val="16"/>
          <w:rtl/>
        </w:rPr>
        <w:t xml:space="preserve"> וטור)</w:t>
      </w:r>
      <w:r w:rsidR="00A82951">
        <w:rPr>
          <w:rFonts w:cs="Arial" w:hint="cs"/>
          <w:rtl/>
        </w:rPr>
        <w:t>-</w:t>
      </w:r>
      <w:r>
        <w:rPr>
          <w:rFonts w:cs="Arial" w:hint="cs"/>
          <w:rtl/>
        </w:rPr>
        <w:t xml:space="preserve"> </w:t>
      </w:r>
      <w:r w:rsidRPr="0000090D">
        <w:rPr>
          <w:rFonts w:cs="Arial"/>
          <w:rtl/>
        </w:rPr>
        <w:t>הכותב גט צריך לעשות</w:t>
      </w:r>
      <w:r>
        <w:rPr>
          <w:rFonts w:cs="Arial" w:hint="cs"/>
          <w:rtl/>
        </w:rPr>
        <w:t>...</w:t>
      </w:r>
      <w:r w:rsidRPr="0000090D">
        <w:rPr>
          <w:rFonts w:cs="Arial"/>
          <w:rtl/>
        </w:rPr>
        <w:t xml:space="preserve"> שלא יהא שום טשטוש בגט</w:t>
      </w:r>
      <w:r w:rsidR="004D17B0">
        <w:rPr>
          <w:rFonts w:cs="Arial" w:hint="cs"/>
          <w:rtl/>
        </w:rPr>
        <w:t>,</w:t>
      </w:r>
      <w:r w:rsidRPr="0000090D">
        <w:rPr>
          <w:rFonts w:cs="Arial"/>
          <w:rtl/>
        </w:rPr>
        <w:t xml:space="preserve"> </w:t>
      </w:r>
      <w:r>
        <w:rPr>
          <w:rStyle w:val="a7"/>
          <w:rFonts w:cs="Arial"/>
          <w:rtl/>
        </w:rPr>
        <w:footnoteReference w:id="593"/>
      </w:r>
      <w:r>
        <w:rPr>
          <w:rFonts w:cs="Arial" w:hint="cs"/>
          <w:rtl/>
        </w:rPr>
        <w:t xml:space="preserve">[ושלא יכתוב] </w:t>
      </w:r>
      <w:r w:rsidRPr="0000090D">
        <w:rPr>
          <w:rFonts w:cs="Arial"/>
          <w:rtl/>
        </w:rPr>
        <w:t>על המחק</w:t>
      </w:r>
      <w:r>
        <w:rPr>
          <w:rFonts w:cs="Arial" w:hint="cs"/>
          <w:rtl/>
        </w:rPr>
        <w:t xml:space="preserve"> </w:t>
      </w:r>
      <w:r w:rsidRPr="008101BB">
        <w:rPr>
          <w:rFonts w:cs="Arial" w:hint="cs"/>
          <w:sz w:val="16"/>
          <w:szCs w:val="16"/>
          <w:rtl/>
        </w:rPr>
        <w:t>(ל' סה"ת)</w:t>
      </w:r>
      <w:r w:rsidRPr="008101BB">
        <w:rPr>
          <w:rFonts w:cs="Arial" w:hint="cs"/>
          <w:rtl/>
        </w:rPr>
        <w:t>.</w:t>
      </w:r>
      <w:r w:rsidRPr="008101BB">
        <w:rPr>
          <w:rFonts w:cs="Arial"/>
          <w:rtl/>
        </w:rPr>
        <w:t xml:space="preserve"> </w:t>
      </w:r>
    </w:p>
    <w:p w14:paraId="6DEBBF5B" w14:textId="2ED57A4A" w:rsidR="00653C96" w:rsidRPr="00653C96" w:rsidRDefault="00653C96" w:rsidP="00653C96">
      <w:pPr>
        <w:ind w:left="360"/>
        <w:rPr>
          <w:u w:val="dotted"/>
        </w:rPr>
      </w:pPr>
      <w:r w:rsidRPr="00653C96">
        <w:rPr>
          <w:rFonts w:hint="cs"/>
          <w:u w:val="dotted"/>
          <w:rtl/>
        </w:rPr>
        <w:t>ומה הדין אם כתב על המחק:</w:t>
      </w:r>
    </w:p>
    <w:p w14:paraId="4913A3E1" w14:textId="203C3D8D" w:rsidR="00B91648" w:rsidRPr="00B91648" w:rsidRDefault="00B91648" w:rsidP="00B91648">
      <w:pPr>
        <w:pStyle w:val="ab"/>
        <w:numPr>
          <w:ilvl w:val="0"/>
          <w:numId w:val="47"/>
        </w:numPr>
      </w:pPr>
      <w:r>
        <w:rPr>
          <w:rFonts w:cs="Arial" w:hint="cs"/>
          <w:rtl/>
        </w:rPr>
        <w:t>סמ"ג</w:t>
      </w:r>
      <w:r w:rsidR="00653C96">
        <w:rPr>
          <w:rFonts w:cs="Arial" w:hint="cs"/>
          <w:rtl/>
        </w:rPr>
        <w:t xml:space="preserve"> </w:t>
      </w:r>
      <w:r w:rsidR="00936959">
        <w:rPr>
          <w:rFonts w:cs="Arial" w:hint="cs"/>
          <w:sz w:val="16"/>
          <w:szCs w:val="16"/>
          <w:rtl/>
        </w:rPr>
        <w:t xml:space="preserve">(שם) </w:t>
      </w:r>
      <w:r w:rsidR="00653C96">
        <w:rPr>
          <w:rFonts w:cs="Arial" w:hint="cs"/>
          <w:rtl/>
        </w:rPr>
        <w:t>והגה"מ</w:t>
      </w:r>
      <w:r w:rsidR="00936959">
        <w:rPr>
          <w:rFonts w:cs="Arial" w:hint="cs"/>
          <w:sz w:val="16"/>
          <w:szCs w:val="16"/>
          <w:rtl/>
        </w:rPr>
        <w:t xml:space="preserve"> (שם)</w:t>
      </w:r>
      <w:r w:rsidR="00A82951">
        <w:rPr>
          <w:rFonts w:cs="Arial" w:hint="cs"/>
          <w:rtl/>
        </w:rPr>
        <w:t>-</w:t>
      </w:r>
      <w:r>
        <w:rPr>
          <w:rFonts w:cs="Arial" w:hint="cs"/>
          <w:rtl/>
        </w:rPr>
        <w:t xml:space="preserve"> </w:t>
      </w:r>
      <w:r w:rsidRPr="00B91648">
        <w:rPr>
          <w:rFonts w:cs="Arial"/>
          <w:rtl/>
        </w:rPr>
        <w:t xml:space="preserve">ואם אירע שכתב על המחק יקיימנו מלמטה (תוספתא פ"ז ה"ז) </w:t>
      </w:r>
      <w:r>
        <w:rPr>
          <w:rFonts w:hint="cs"/>
          <w:rtl/>
        </w:rPr>
        <w:t>.</w:t>
      </w:r>
    </w:p>
    <w:p w14:paraId="0505A333" w14:textId="42121C58" w:rsidR="00B91648" w:rsidRPr="00B91648" w:rsidRDefault="00B91648" w:rsidP="00653C96">
      <w:pPr>
        <w:pStyle w:val="ab"/>
        <w:numPr>
          <w:ilvl w:val="0"/>
          <w:numId w:val="47"/>
        </w:numPr>
        <w:rPr>
          <w:rtl/>
        </w:rPr>
      </w:pPr>
      <w:r>
        <w:rPr>
          <w:rFonts w:cs="Arial" w:hint="cs"/>
          <w:rtl/>
        </w:rPr>
        <w:t>סמ"ק</w:t>
      </w:r>
      <w:r w:rsidR="00936959">
        <w:rPr>
          <w:rFonts w:cs="Arial" w:hint="cs"/>
          <w:rtl/>
        </w:rPr>
        <w:t xml:space="preserve"> </w:t>
      </w:r>
      <w:r w:rsidR="00936959">
        <w:rPr>
          <w:rFonts w:cs="Arial" w:hint="cs"/>
          <w:sz w:val="16"/>
          <w:szCs w:val="16"/>
          <w:rtl/>
        </w:rPr>
        <w:t>(שם)</w:t>
      </w:r>
      <w:r w:rsidR="00A82951">
        <w:rPr>
          <w:rFonts w:cs="Arial" w:hint="cs"/>
          <w:rtl/>
        </w:rPr>
        <w:t>-</w:t>
      </w:r>
      <w:r>
        <w:rPr>
          <w:rFonts w:cs="Arial" w:hint="cs"/>
          <w:rtl/>
        </w:rPr>
        <w:t xml:space="preserve"> </w:t>
      </w:r>
      <w:r w:rsidRPr="008101BB">
        <w:rPr>
          <w:rFonts w:cs="Arial"/>
          <w:rtl/>
        </w:rPr>
        <w:t>ואם כתב וקיימו כשר (בתוספתא דגיטין פ"ז) בדיעבד אם ניתן</w:t>
      </w:r>
      <w:r w:rsidR="00936959">
        <w:rPr>
          <w:rFonts w:cs="Arial" w:hint="cs"/>
          <w:rtl/>
        </w:rPr>
        <w:t>,</w:t>
      </w:r>
      <w:r w:rsidRPr="008101BB">
        <w:rPr>
          <w:rFonts w:cs="Arial"/>
          <w:rtl/>
        </w:rPr>
        <w:t xml:space="preserve"> אבל אין נוהגין כן.</w:t>
      </w:r>
    </w:p>
    <w:p w14:paraId="167E96D9" w14:textId="2F850646" w:rsidR="004D17B0" w:rsidRPr="004D17B0" w:rsidRDefault="004D17B0" w:rsidP="004D17B0">
      <w:r>
        <w:rPr>
          <w:rFonts w:cs="Arial" w:hint="cs"/>
          <w:u w:val="single"/>
          <w:rtl/>
        </w:rPr>
        <w:t>עוד נקודות ל</w:t>
      </w:r>
      <w:r w:rsidRPr="004D17B0">
        <w:rPr>
          <w:rFonts w:cs="Arial" w:hint="cs"/>
          <w:u w:val="single"/>
          <w:rtl/>
        </w:rPr>
        <w:t>זהירות בכתיבת הגט:</w:t>
      </w:r>
      <w:r>
        <w:rPr>
          <w:rFonts w:cs="Arial" w:hint="cs"/>
          <w:rtl/>
        </w:rPr>
        <w:t xml:space="preserve"> </w:t>
      </w:r>
      <w:r w:rsidRPr="004D17B0">
        <w:rPr>
          <w:rFonts w:cs="Arial"/>
          <w:sz w:val="16"/>
          <w:szCs w:val="16"/>
          <w:rtl/>
        </w:rPr>
        <w:t>(</w:t>
      </w:r>
      <w:r w:rsidRPr="004D17B0">
        <w:rPr>
          <w:rFonts w:cs="Arial" w:hint="cs"/>
          <w:sz w:val="16"/>
          <w:szCs w:val="16"/>
          <w:rtl/>
        </w:rPr>
        <w:t xml:space="preserve">דרכ"מ אות </w:t>
      </w:r>
      <w:r w:rsidRPr="004D17B0">
        <w:rPr>
          <w:rFonts w:cs="Arial"/>
          <w:sz w:val="16"/>
          <w:szCs w:val="16"/>
          <w:rtl/>
        </w:rPr>
        <w:t>יד)</w:t>
      </w:r>
    </w:p>
    <w:p w14:paraId="116DBE67" w14:textId="3F53A4A9" w:rsidR="004D17B0" w:rsidRDefault="004D17B0" w:rsidP="004D17B0">
      <w:pPr>
        <w:pStyle w:val="ab"/>
        <w:numPr>
          <w:ilvl w:val="0"/>
          <w:numId w:val="47"/>
        </w:numPr>
      </w:pPr>
      <w:r w:rsidRPr="001626F4">
        <w:rPr>
          <w:rFonts w:cs="Arial"/>
          <w:rtl/>
        </w:rPr>
        <w:t xml:space="preserve">סדר גיטין </w:t>
      </w:r>
      <w:r w:rsidRPr="004D17B0">
        <w:rPr>
          <w:rFonts w:cs="Arial"/>
          <w:sz w:val="16"/>
          <w:szCs w:val="16"/>
          <w:rtl/>
        </w:rPr>
        <w:t>(סי' יב סע</w:t>
      </w:r>
      <w:r>
        <w:rPr>
          <w:rFonts w:cs="Arial" w:hint="cs"/>
          <w:sz w:val="16"/>
          <w:szCs w:val="16"/>
          <w:rtl/>
        </w:rPr>
        <w:t>'</w:t>
      </w:r>
      <w:r w:rsidRPr="004D17B0">
        <w:rPr>
          <w:rFonts w:cs="Arial"/>
          <w:sz w:val="16"/>
          <w:szCs w:val="16"/>
          <w:rtl/>
        </w:rPr>
        <w:t xml:space="preserve"> א</w:t>
      </w:r>
      <w:r>
        <w:rPr>
          <w:rFonts w:cs="Arial" w:hint="cs"/>
          <w:sz w:val="16"/>
          <w:szCs w:val="16"/>
          <w:rtl/>
        </w:rPr>
        <w:t>, וסי' יד</w:t>
      </w:r>
      <w:r w:rsidRPr="004D17B0">
        <w:rPr>
          <w:rFonts w:cs="Arial"/>
          <w:sz w:val="16"/>
          <w:szCs w:val="16"/>
          <w:rtl/>
        </w:rPr>
        <w:t>)</w:t>
      </w:r>
      <w:r w:rsidR="00A82951">
        <w:rPr>
          <w:rFonts w:cs="Arial" w:hint="cs"/>
          <w:rtl/>
        </w:rPr>
        <w:t>-</w:t>
      </w:r>
      <w:r w:rsidRPr="001626F4">
        <w:rPr>
          <w:rFonts w:cs="Arial"/>
          <w:rtl/>
        </w:rPr>
        <w:t xml:space="preserve"> ויזהר מכל טשטוש ומכל מחק בעולם</w:t>
      </w:r>
      <w:r w:rsidR="000353BA">
        <w:rPr>
          <w:rFonts w:cs="Arial" w:hint="cs"/>
          <w:rtl/>
        </w:rPr>
        <w:t>.</w:t>
      </w:r>
      <w:r w:rsidRPr="001626F4">
        <w:rPr>
          <w:rFonts w:cs="Arial"/>
          <w:rtl/>
        </w:rPr>
        <w:t xml:space="preserve"> ואפילו אם בא זבוב על אות ומשך הדיו לא ימחוק.</w:t>
      </w:r>
      <w:r>
        <w:rPr>
          <w:rFonts w:cs="Arial" w:hint="cs"/>
          <w:rtl/>
        </w:rPr>
        <w:t>..</w:t>
      </w:r>
      <w:r w:rsidRPr="001626F4">
        <w:rPr>
          <w:rFonts w:cs="Arial"/>
          <w:rtl/>
        </w:rPr>
        <w:t xml:space="preserve"> ויזהר שלא לכתוב על שום נקב</w:t>
      </w:r>
      <w:r w:rsidR="000353BA">
        <w:rPr>
          <w:rFonts w:cs="Arial" w:hint="cs"/>
          <w:rtl/>
        </w:rPr>
        <w:t>,</w:t>
      </w:r>
      <w:r w:rsidRPr="001626F4">
        <w:rPr>
          <w:rFonts w:cs="Arial"/>
          <w:rtl/>
        </w:rPr>
        <w:t xml:space="preserve"> אם לא שהוא קטן שהדיו עובר עליו</w:t>
      </w:r>
      <w:r w:rsidR="000353BA">
        <w:rPr>
          <w:rStyle w:val="a7"/>
          <w:rFonts w:cs="Arial"/>
          <w:rtl/>
        </w:rPr>
        <w:footnoteReference w:id="594"/>
      </w:r>
      <w:r>
        <w:rPr>
          <w:rFonts w:hint="cs"/>
          <w:rtl/>
        </w:rPr>
        <w:t xml:space="preserve">. </w:t>
      </w:r>
      <w:r w:rsidRPr="004D17B0">
        <w:rPr>
          <w:rFonts w:hint="cs"/>
          <w:color w:val="00B0F0"/>
          <w:rtl/>
        </w:rPr>
        <w:t>(וכ"פ הרמ"א)</w:t>
      </w:r>
    </w:p>
    <w:p w14:paraId="295BAF97" w14:textId="56AB6B77" w:rsidR="004D17B0" w:rsidRPr="004D17B0" w:rsidRDefault="004D17B0" w:rsidP="004D17B0">
      <w:pPr>
        <w:rPr>
          <w:b/>
          <w:bCs/>
          <w:u w:val="single"/>
        </w:rPr>
      </w:pPr>
      <w:r w:rsidRPr="004D17B0">
        <w:rPr>
          <w:rFonts w:hint="cs"/>
          <w:u w:val="single"/>
          <w:rtl/>
        </w:rPr>
        <w:t>כתיב</w:t>
      </w:r>
      <w:r>
        <w:rPr>
          <w:rFonts w:hint="cs"/>
          <w:u w:val="single"/>
          <w:rtl/>
        </w:rPr>
        <w:t>ה</w:t>
      </w:r>
      <w:r w:rsidRPr="004D17B0">
        <w:rPr>
          <w:rFonts w:hint="cs"/>
          <w:u w:val="single"/>
          <w:rtl/>
        </w:rPr>
        <w:t xml:space="preserve"> על לחלוחית:</w:t>
      </w:r>
      <w:r w:rsidRPr="004D17B0">
        <w:rPr>
          <w:rFonts w:cs="Arial"/>
          <w:sz w:val="16"/>
          <w:szCs w:val="16"/>
          <w:rtl/>
        </w:rPr>
        <w:t xml:space="preserve"> (</w:t>
      </w:r>
      <w:r w:rsidRPr="004D17B0">
        <w:rPr>
          <w:rFonts w:cs="Arial" w:hint="cs"/>
          <w:sz w:val="16"/>
          <w:szCs w:val="16"/>
          <w:rtl/>
        </w:rPr>
        <w:t xml:space="preserve">דרכ"מ אות </w:t>
      </w:r>
      <w:r w:rsidRPr="004D17B0">
        <w:rPr>
          <w:rFonts w:cs="Arial"/>
          <w:sz w:val="16"/>
          <w:szCs w:val="16"/>
          <w:rtl/>
        </w:rPr>
        <w:t>יד)</w:t>
      </w:r>
    </w:p>
    <w:p w14:paraId="56C0F5C2" w14:textId="744E12B2" w:rsidR="004D17B0" w:rsidRPr="00AF29F7" w:rsidRDefault="004D17B0" w:rsidP="004D17B0">
      <w:pPr>
        <w:pStyle w:val="ab"/>
        <w:numPr>
          <w:ilvl w:val="0"/>
          <w:numId w:val="47"/>
        </w:numPr>
        <w:rPr>
          <w:rtl/>
        </w:rPr>
      </w:pPr>
      <w:r w:rsidRPr="001626F4">
        <w:rPr>
          <w:rFonts w:cs="Arial"/>
          <w:rtl/>
        </w:rPr>
        <w:t xml:space="preserve">סדר גיטין </w:t>
      </w:r>
      <w:r w:rsidRPr="004D17B0">
        <w:rPr>
          <w:rFonts w:cs="Arial"/>
          <w:sz w:val="16"/>
          <w:szCs w:val="16"/>
          <w:rtl/>
        </w:rPr>
        <w:t>(</w:t>
      </w:r>
      <w:r w:rsidR="00411965">
        <w:rPr>
          <w:rFonts w:cs="Arial" w:hint="cs"/>
          <w:sz w:val="16"/>
          <w:szCs w:val="16"/>
          <w:rtl/>
        </w:rPr>
        <w:t>סי' יב סע' ב, ו</w:t>
      </w:r>
      <w:r w:rsidRPr="004D17B0">
        <w:rPr>
          <w:rFonts w:cs="Arial"/>
          <w:sz w:val="16"/>
          <w:szCs w:val="16"/>
          <w:rtl/>
        </w:rPr>
        <w:t>סי' יג)</w:t>
      </w:r>
      <w:r w:rsidR="00A82951">
        <w:rPr>
          <w:rFonts w:cs="Arial" w:hint="cs"/>
          <w:rtl/>
        </w:rPr>
        <w:t>-</w:t>
      </w:r>
      <w:r w:rsidRPr="001626F4">
        <w:rPr>
          <w:rFonts w:cs="Arial"/>
          <w:rtl/>
        </w:rPr>
        <w:t xml:space="preserve"> וגם יזהר שלא ירד שום זילוף או שום לחלוחית על הקלף</w:t>
      </w:r>
      <w:r w:rsidR="00936959">
        <w:rPr>
          <w:rFonts w:cs="Arial" w:hint="cs"/>
          <w:rtl/>
        </w:rPr>
        <w:t>,</w:t>
      </w:r>
      <w:r w:rsidRPr="001626F4">
        <w:rPr>
          <w:rFonts w:cs="Arial"/>
          <w:rtl/>
        </w:rPr>
        <w:t xml:space="preserve"> דכשכותבין עליו נראה כמחוק</w:t>
      </w:r>
      <w:r>
        <w:rPr>
          <w:rFonts w:cs="Arial" w:hint="cs"/>
          <w:rtl/>
        </w:rPr>
        <w:t>.</w:t>
      </w:r>
      <w:r w:rsidRPr="001626F4">
        <w:rPr>
          <w:rFonts w:cs="Arial"/>
          <w:rtl/>
        </w:rPr>
        <w:t xml:space="preserve"> וכתב הר"ף </w:t>
      </w:r>
      <w:r w:rsidR="00411965">
        <w:rPr>
          <w:rFonts w:cs="Arial" w:hint="cs"/>
          <w:sz w:val="16"/>
          <w:szCs w:val="16"/>
          <w:rtl/>
        </w:rPr>
        <w:t xml:space="preserve">(הגה' סמ"ק סי' קפא אות רנז) </w:t>
      </w:r>
      <w:r w:rsidRPr="001626F4">
        <w:rPr>
          <w:rFonts w:cs="Arial"/>
          <w:rtl/>
        </w:rPr>
        <w:t>טוב להחמיר כשנפלו גשמים על הגט שלא ליתנו כלל אם נפלו גשמים על הכתיבה</w:t>
      </w:r>
      <w:r w:rsidR="00936959">
        <w:rPr>
          <w:rFonts w:cs="Arial" w:hint="cs"/>
          <w:rtl/>
        </w:rPr>
        <w:t>,</w:t>
      </w:r>
      <w:r w:rsidRPr="001626F4">
        <w:rPr>
          <w:rFonts w:cs="Arial"/>
          <w:rtl/>
        </w:rPr>
        <w:t xml:space="preserve"> דבמקום שנפלו הגשמים נעשה שחור ובכל דבר יכול להזדייף </w:t>
      </w:r>
      <w:r>
        <w:rPr>
          <w:rFonts w:cs="Arial" w:hint="cs"/>
          <w:rtl/>
        </w:rPr>
        <w:t>עכ"ל</w:t>
      </w:r>
      <w:r>
        <w:rPr>
          <w:rFonts w:cs="Arial" w:hint="cs"/>
          <w:sz w:val="16"/>
          <w:szCs w:val="16"/>
          <w:rtl/>
        </w:rPr>
        <w:t xml:space="preserve"> [ר"פ]</w:t>
      </w:r>
      <w:r>
        <w:rPr>
          <w:rFonts w:cs="Arial" w:hint="cs"/>
          <w:rtl/>
        </w:rPr>
        <w:t>.</w:t>
      </w:r>
      <w:r w:rsidR="00736CDD">
        <w:rPr>
          <w:rFonts w:hint="cs"/>
          <w:rtl/>
        </w:rPr>
        <w:t xml:space="preserve"> (וכ"פ ח"מ </w:t>
      </w:r>
      <w:r w:rsidR="00736CDD">
        <w:rPr>
          <w:rFonts w:hint="cs"/>
          <w:sz w:val="16"/>
          <w:szCs w:val="16"/>
          <w:rtl/>
        </w:rPr>
        <w:t>[סק</w:t>
      </w:r>
      <w:r w:rsidR="007B26E7">
        <w:rPr>
          <w:rFonts w:hint="cs"/>
          <w:sz w:val="16"/>
          <w:szCs w:val="16"/>
          <w:rtl/>
        </w:rPr>
        <w:t>"כ</w:t>
      </w:r>
      <w:r w:rsidR="00736CDD">
        <w:rPr>
          <w:rFonts w:hint="cs"/>
          <w:sz w:val="16"/>
          <w:szCs w:val="16"/>
          <w:rtl/>
        </w:rPr>
        <w:t>]</w:t>
      </w:r>
      <w:r w:rsidR="00736CDD">
        <w:rPr>
          <w:rFonts w:hint="cs"/>
          <w:rtl/>
        </w:rPr>
        <w:t xml:space="preserve"> וב"ש </w:t>
      </w:r>
      <w:r w:rsidR="00736CDD">
        <w:rPr>
          <w:rFonts w:hint="cs"/>
          <w:sz w:val="16"/>
          <w:szCs w:val="16"/>
          <w:rtl/>
        </w:rPr>
        <w:t>[סקכ"ב]</w:t>
      </w:r>
      <w:r w:rsidR="00736CDD">
        <w:rPr>
          <w:rFonts w:hint="cs"/>
          <w:rtl/>
        </w:rPr>
        <w:t>)</w:t>
      </w:r>
    </w:p>
    <w:p w14:paraId="5C40FF30"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FDCBD37" w14:textId="4AF919B8" w:rsidR="00C77C34" w:rsidRDefault="00C77C34" w:rsidP="00C77C34">
      <w:pPr>
        <w:rPr>
          <w:rFonts w:cs="Arial"/>
          <w:rtl/>
        </w:rPr>
      </w:pPr>
      <w:r w:rsidRPr="00C77C34">
        <w:rPr>
          <w:rFonts w:cs="Arial"/>
          <w:rtl/>
        </w:rPr>
        <w:t xml:space="preserve">לא יהא בו שום טשטוש, ולא יכתבו על המחק. </w:t>
      </w:r>
      <w:r w:rsidRPr="00AF4AED">
        <w:rPr>
          <w:rFonts w:cs="Arial"/>
          <w:sz w:val="18"/>
          <w:szCs w:val="18"/>
          <w:rtl/>
        </w:rPr>
        <w:t>הגה: אם בא זבוב ומשך הדיו, לא ימחוק (בסדר גיטין). ולא יכתוב על שום נקב שאין הדיו עובר עליו</w:t>
      </w:r>
      <w:r w:rsidR="00B47E6D">
        <w:rPr>
          <w:rStyle w:val="a7"/>
          <w:rFonts w:cs="Arial"/>
          <w:sz w:val="18"/>
          <w:szCs w:val="18"/>
          <w:rtl/>
        </w:rPr>
        <w:footnoteReference w:id="595"/>
      </w:r>
      <w:r w:rsidRPr="00AF4AED">
        <w:rPr>
          <w:rFonts w:cs="Arial"/>
          <w:sz w:val="18"/>
          <w:szCs w:val="18"/>
          <w:rtl/>
        </w:rPr>
        <w:t xml:space="preserve"> (שם). </w:t>
      </w:r>
    </w:p>
    <w:p w14:paraId="2F673D72" w14:textId="4A6D7201" w:rsidR="00724B1E" w:rsidRDefault="00724B1E" w:rsidP="000353BA">
      <w:pPr>
        <w:rPr>
          <w:rFonts w:cs="Arial"/>
          <w:rtl/>
        </w:rPr>
      </w:pPr>
      <w:r w:rsidRPr="00724B1E">
        <w:rPr>
          <w:rFonts w:cs="Arial" w:hint="cs"/>
          <w:u w:val="single"/>
          <w:rtl/>
        </w:rPr>
        <w:t>גט שנפל למים ונטשטש חלק מהכתב בעניין שיכול להזדייף</w:t>
      </w:r>
      <w:r>
        <w:rPr>
          <w:rFonts w:cs="Arial" w:hint="cs"/>
          <w:u w:val="single"/>
          <w:rtl/>
        </w:rPr>
        <w:t xml:space="preserve"> ויש לחוש שהיה שם תנאי</w:t>
      </w:r>
      <w:r w:rsidRPr="00724B1E">
        <w:rPr>
          <w:rFonts w:cs="Arial" w:hint="cs"/>
          <w:u w:val="single"/>
          <w:rtl/>
        </w:rPr>
        <w:t>:</w:t>
      </w:r>
      <w:r>
        <w:rPr>
          <w:rFonts w:cs="Arial" w:hint="cs"/>
          <w:rtl/>
        </w:rPr>
        <w:t xml:space="preserve"> </w:t>
      </w:r>
      <w:r w:rsidRPr="00724B1E">
        <w:rPr>
          <w:rFonts w:cs="Arial" w:hint="cs"/>
          <w:sz w:val="16"/>
          <w:szCs w:val="16"/>
          <w:rtl/>
        </w:rPr>
        <w:t>(פת"ש סקכ"ו)</w:t>
      </w:r>
    </w:p>
    <w:p w14:paraId="08F0CF9C" w14:textId="5BCD543F" w:rsidR="00724B1E" w:rsidRDefault="000353BA" w:rsidP="00724B1E">
      <w:pPr>
        <w:pStyle w:val="ab"/>
        <w:numPr>
          <w:ilvl w:val="0"/>
          <w:numId w:val="51"/>
        </w:numPr>
        <w:rPr>
          <w:rFonts w:cs="Arial"/>
        </w:rPr>
      </w:pPr>
      <w:r w:rsidRPr="00724B1E">
        <w:rPr>
          <w:rFonts w:cs="Arial"/>
          <w:rtl/>
        </w:rPr>
        <w:t xml:space="preserve">נו"ב </w:t>
      </w:r>
      <w:r w:rsidR="00724B1E" w:rsidRPr="00724B1E">
        <w:rPr>
          <w:rFonts w:cs="Arial" w:hint="cs"/>
          <w:sz w:val="16"/>
          <w:szCs w:val="16"/>
          <w:rtl/>
        </w:rPr>
        <w:t>(</w:t>
      </w:r>
      <w:r w:rsidRPr="00724B1E">
        <w:rPr>
          <w:rFonts w:cs="Arial"/>
          <w:sz w:val="16"/>
          <w:szCs w:val="16"/>
          <w:rtl/>
        </w:rPr>
        <w:t>סי' פה</w:t>
      </w:r>
      <w:r w:rsidR="00724B1E" w:rsidRPr="00724B1E">
        <w:rPr>
          <w:rFonts w:cs="Arial" w:hint="cs"/>
          <w:sz w:val="16"/>
          <w:szCs w:val="16"/>
          <w:rtl/>
        </w:rPr>
        <w:t>)</w:t>
      </w:r>
      <w:r w:rsidR="00A82951">
        <w:rPr>
          <w:rFonts w:cs="Arial" w:hint="cs"/>
          <w:rtl/>
        </w:rPr>
        <w:t>-</w:t>
      </w:r>
      <w:r w:rsidRPr="00724B1E">
        <w:rPr>
          <w:rFonts w:cs="Arial"/>
          <w:rtl/>
        </w:rPr>
        <w:t xml:space="preserve"> על דבר הגט שהובא ממקום רחוק ע"י שליח שני ששלחוהו ב"ד שקבלו לפניהם מיד שליח ראשון</w:t>
      </w:r>
      <w:r w:rsidR="002310E6">
        <w:rPr>
          <w:rFonts w:cs="Arial" w:hint="cs"/>
          <w:rtl/>
        </w:rPr>
        <w:t>,</w:t>
      </w:r>
      <w:r w:rsidRPr="00724B1E">
        <w:rPr>
          <w:rFonts w:cs="Arial"/>
          <w:rtl/>
        </w:rPr>
        <w:t xml:space="preserve"> ומחמת שנפל השליח השני למים דרך הלוכו נטשטש הקלף (בקצת מקומות) גם במקום הכתב ונעשה כדבר שיכול להזדייף ויש לחוש שמא הי' בו תנאי.</w:t>
      </w:r>
      <w:r w:rsidR="002310E6">
        <w:rPr>
          <w:rFonts w:cs="Arial" w:hint="cs"/>
          <w:rtl/>
        </w:rPr>
        <w:t xml:space="preserve">.. </w:t>
      </w:r>
      <w:r w:rsidRPr="00724B1E">
        <w:rPr>
          <w:rFonts w:cs="Arial"/>
          <w:rtl/>
        </w:rPr>
        <w:t xml:space="preserve">מה שעלה על דעת השואל שהשליח נאמן כשם שנאמן לומר בפ"נ ובפנ"ח </w:t>
      </w:r>
      <w:r w:rsidR="002310E6">
        <w:rPr>
          <w:rFonts w:cs="Arial" w:hint="cs"/>
          <w:rtl/>
        </w:rPr>
        <w:t xml:space="preserve">- </w:t>
      </w:r>
      <w:r w:rsidRPr="00724B1E">
        <w:rPr>
          <w:rFonts w:cs="Arial"/>
          <w:rtl/>
        </w:rPr>
        <w:t>זה אינו</w:t>
      </w:r>
      <w:r w:rsidR="002310E6">
        <w:rPr>
          <w:rFonts w:cs="Arial" w:hint="cs"/>
          <w:rtl/>
        </w:rPr>
        <w:t>,</w:t>
      </w:r>
      <w:r w:rsidRPr="00724B1E">
        <w:rPr>
          <w:rFonts w:cs="Arial"/>
          <w:rtl/>
        </w:rPr>
        <w:t xml:space="preserve"> דבשלמא קיום הגט הוא מדרבנן</w:t>
      </w:r>
      <w:r w:rsidR="002310E6">
        <w:rPr>
          <w:rFonts w:cs="Arial" w:hint="cs"/>
          <w:rtl/>
        </w:rPr>
        <w:t>,</w:t>
      </w:r>
      <w:r w:rsidRPr="00724B1E">
        <w:rPr>
          <w:rFonts w:cs="Arial"/>
          <w:rtl/>
        </w:rPr>
        <w:t xml:space="preserve"> אבל להעיד שלא הי' בו תנאי צריך ב' עדים מן התורה דהוי דבר שבערוה וגם איתחזק איסורא</w:t>
      </w:r>
      <w:r w:rsidR="002310E6">
        <w:rPr>
          <w:rFonts w:cs="Arial" w:hint="cs"/>
          <w:rtl/>
        </w:rPr>
        <w:t>.</w:t>
      </w:r>
      <w:r w:rsidRPr="00724B1E">
        <w:rPr>
          <w:rFonts w:cs="Arial"/>
          <w:rtl/>
        </w:rPr>
        <w:t xml:space="preserve"> ואין לו</w:t>
      </w:r>
      <w:r w:rsidR="002310E6">
        <w:rPr>
          <w:rFonts w:cs="Arial" w:hint="cs"/>
          <w:rtl/>
        </w:rPr>
        <w:t>מר</w:t>
      </w:r>
      <w:r w:rsidRPr="00724B1E">
        <w:rPr>
          <w:rFonts w:cs="Arial"/>
          <w:rtl/>
        </w:rPr>
        <w:t xml:space="preserve"> דכשם שקיום שטרות דרבנן מטעם דלא חציף אינש לזייף ה"נ מה"ת לא חיישינן שמא הי' תנאי ומחקו דאין לך זיוף גדול מזה וג"כ השליח נאמן</w:t>
      </w:r>
      <w:r w:rsidR="002310E6">
        <w:rPr>
          <w:rFonts w:cs="Arial" w:hint="cs"/>
          <w:rtl/>
        </w:rPr>
        <w:t xml:space="preserve"> -</w:t>
      </w:r>
      <w:r w:rsidRPr="00724B1E">
        <w:rPr>
          <w:rFonts w:cs="Arial"/>
          <w:rtl/>
        </w:rPr>
        <w:t xml:space="preserve"> זה אינו</w:t>
      </w:r>
      <w:r w:rsidR="002310E6">
        <w:rPr>
          <w:rFonts w:cs="Arial" w:hint="cs"/>
          <w:rtl/>
        </w:rPr>
        <w:t>,</w:t>
      </w:r>
      <w:r w:rsidRPr="00724B1E">
        <w:rPr>
          <w:rFonts w:cs="Arial"/>
          <w:rtl/>
        </w:rPr>
        <w:t xml:space="preserve"> </w:t>
      </w:r>
      <w:r w:rsidRPr="00724B1E">
        <w:rPr>
          <w:rFonts w:cs="Arial"/>
          <w:rtl/>
        </w:rPr>
        <w:lastRenderedPageBreak/>
        <w:t>דלאו בכל מילי אמרי' לא חציף אינש לזייף</w:t>
      </w:r>
      <w:r w:rsidR="002310E6">
        <w:rPr>
          <w:rFonts w:cs="Arial" w:hint="cs"/>
          <w:rtl/>
        </w:rPr>
        <w:t>,</w:t>
      </w:r>
      <w:r w:rsidRPr="00724B1E">
        <w:rPr>
          <w:rFonts w:cs="Arial"/>
          <w:rtl/>
        </w:rPr>
        <w:t xml:space="preserve"> דדוקא לזייף חתימת יד עדים לא חציף אבל מידי אחרינא חציף</w:t>
      </w:r>
      <w:r w:rsidR="002310E6">
        <w:rPr>
          <w:rFonts w:cs="Arial" w:hint="cs"/>
          <w:rtl/>
        </w:rPr>
        <w:t>,</w:t>
      </w:r>
      <w:r w:rsidRPr="00724B1E">
        <w:rPr>
          <w:rFonts w:cs="Arial"/>
          <w:rtl/>
        </w:rPr>
        <w:t xml:space="preserve"> וראיה מש"ך סי' ס"ט סקי"ג. ואמנם ההיתר השני שכ' השואל כיון שיש ביד השליח הרשאה</w:t>
      </w:r>
      <w:r w:rsidR="002310E6">
        <w:rPr>
          <w:rFonts w:cs="Arial" w:hint="cs"/>
          <w:rtl/>
        </w:rPr>
        <w:t>,</w:t>
      </w:r>
      <w:r w:rsidRPr="00724B1E">
        <w:rPr>
          <w:rFonts w:cs="Arial"/>
          <w:rtl/>
        </w:rPr>
        <w:t xml:space="preserve"> ובאם יש איזה תנאי מזכירין אותו בהרשאה כמבואר בסי' קמ"א סעי' ל' בהגה</w:t>
      </w:r>
      <w:r w:rsidR="002310E6">
        <w:rPr>
          <w:rFonts w:cs="Arial" w:hint="cs"/>
          <w:rtl/>
        </w:rPr>
        <w:t>,</w:t>
      </w:r>
      <w:r w:rsidRPr="00724B1E">
        <w:rPr>
          <w:rFonts w:cs="Arial"/>
          <w:rtl/>
        </w:rPr>
        <w:t xml:space="preserve"> וכיון שלא נזכר שום תנאי בהרשאה מכלל שלא הי' תנאי בגט והוי כמו עדי מסירה בפנינו דמה לי עדי מסירה שמסר הבעל לאשתו ומה לי ע"מ שמסר הגט לשלוחו</w:t>
      </w:r>
      <w:r w:rsidR="002310E6">
        <w:rPr>
          <w:rFonts w:cs="Arial" w:hint="cs"/>
          <w:rtl/>
        </w:rPr>
        <w:t>.</w:t>
      </w:r>
      <w:r w:rsidRPr="00724B1E">
        <w:rPr>
          <w:rFonts w:cs="Arial"/>
          <w:rtl/>
        </w:rPr>
        <w:t xml:space="preserve"> ואף דבכ"מ ההרשאה הוא לשון עדים ויש לחוש אולי לא גמירי לכתוב בהרשאה התנאי שהי' בגט והדיינים אינם מקיימים רק החתימות וא"צ לקרות ההרשאה (כדאי' בכתובות קט</w:t>
      </w:r>
      <w:r w:rsidR="00B47E6D">
        <w:rPr>
          <w:rFonts w:cs="Arial" w:hint="cs"/>
          <w:rtl/>
        </w:rPr>
        <w:t>.,</w:t>
      </w:r>
      <w:r w:rsidRPr="00724B1E">
        <w:rPr>
          <w:rFonts w:cs="Arial"/>
          <w:rtl/>
        </w:rPr>
        <w:t xml:space="preserve"> ועמ"ש בסי' קמא ס"ל סקכ"ו) מ"מ בנ"ד שזהו שליח שני שהוא שליח ב"ד ובידו הרשאה מהב"ד וכיון שלא נזכר בהרשאה שום תנאי מכלל שלא היה תנאי בגט</w:t>
      </w:r>
      <w:r w:rsidR="002310E6">
        <w:rPr>
          <w:rFonts w:cs="Arial" w:hint="cs"/>
          <w:rtl/>
        </w:rPr>
        <w:t>.</w:t>
      </w:r>
      <w:r w:rsidRPr="00724B1E">
        <w:rPr>
          <w:rFonts w:cs="Arial"/>
          <w:rtl/>
        </w:rPr>
        <w:t xml:space="preserve"> ע"כ דברי השואל. זה ההיתר הוא נכון רק שצריך לחקור במקום הכתיבה על מנהגם שם אם זהירים בזה בכל הרשאות להזכיר התנאי (כי דבר זה אינו מעיקר הדין ואולי אינו נוהג בין חכמי ספרדים שהוא מקום הכתיב') ואם כי יש לפקפק ע"ז מחמת דברי הב"י בסי' קכ"ד (הובא בבית שמואל שם סק"ג) ולפי דבריו שם אינו מועיל רק ע"מ לפנינו אבל כתב מע"מ שנמסר לפניהם בלי תנאי לא מהני כו' מ"מ לדינא שפיר קאמר הרב השואל</w:t>
      </w:r>
      <w:r w:rsidR="002310E6">
        <w:rPr>
          <w:rFonts w:cs="Arial" w:hint="cs"/>
          <w:rtl/>
        </w:rPr>
        <w:t>,</w:t>
      </w:r>
      <w:r w:rsidRPr="00724B1E">
        <w:rPr>
          <w:rFonts w:cs="Arial"/>
          <w:rtl/>
        </w:rPr>
        <w:t xml:space="preserve"> ודברי הב"י שם אמורים בגט שנכתב מתחילה ע"ד המזדייף שודאי יש בו ריעותא מתחילתו</w:t>
      </w:r>
      <w:r w:rsidR="002310E6">
        <w:rPr>
          <w:rFonts w:cs="Arial" w:hint="cs"/>
          <w:rtl/>
        </w:rPr>
        <w:t>.</w:t>
      </w:r>
      <w:r w:rsidRPr="00724B1E">
        <w:rPr>
          <w:rFonts w:cs="Arial"/>
          <w:rtl/>
        </w:rPr>
        <w:t xml:space="preserve"> אבל בגט שיש בו טשטוש</w:t>
      </w:r>
      <w:r w:rsidR="002310E6">
        <w:rPr>
          <w:rFonts w:cs="Arial" w:hint="cs"/>
          <w:rtl/>
        </w:rPr>
        <w:t>,</w:t>
      </w:r>
      <w:r w:rsidRPr="00724B1E">
        <w:rPr>
          <w:rFonts w:cs="Arial"/>
          <w:rtl/>
        </w:rPr>
        <w:t xml:space="preserve"> כיון שיש לתלות הטשטוש ע"י מים שנפל בהם אין כאן ריעותא למיחש למזוייף</w:t>
      </w:r>
      <w:r w:rsidR="002310E6">
        <w:rPr>
          <w:rFonts w:cs="Arial" w:hint="cs"/>
          <w:rtl/>
        </w:rPr>
        <w:t>,</w:t>
      </w:r>
      <w:r w:rsidRPr="00724B1E">
        <w:rPr>
          <w:rFonts w:cs="Arial"/>
          <w:rtl/>
        </w:rPr>
        <w:t xml:space="preserve"> ואף שזה עצמו הוא ריעותא כיון דנפל איתרע מ"מ לא מגרע ריעותא זו אלא בשט"ח למיחש לפרעון או כתב ללוות בניסן כו' ולכן שפיר פסק הרב השואל להכשיר גט הזה</w:t>
      </w:r>
      <w:r w:rsidR="00724B1E" w:rsidRPr="00724B1E">
        <w:rPr>
          <w:rFonts w:cs="Arial" w:hint="cs"/>
          <w:rtl/>
        </w:rPr>
        <w:t>.</w:t>
      </w:r>
      <w:r w:rsidRPr="00724B1E">
        <w:rPr>
          <w:rFonts w:cs="Arial"/>
          <w:rtl/>
        </w:rPr>
        <w:t xml:space="preserve"> </w:t>
      </w:r>
    </w:p>
    <w:p w14:paraId="333977BB" w14:textId="6F25E833" w:rsidR="002D5E7F" w:rsidRPr="00B47E6D" w:rsidRDefault="000353BA" w:rsidP="00B47E6D">
      <w:pPr>
        <w:pStyle w:val="ab"/>
        <w:numPr>
          <w:ilvl w:val="0"/>
          <w:numId w:val="51"/>
        </w:numPr>
        <w:rPr>
          <w:rFonts w:cs="Arial"/>
          <w:rtl/>
        </w:rPr>
      </w:pPr>
      <w:r w:rsidRPr="00724B1E">
        <w:rPr>
          <w:rFonts w:cs="Arial"/>
          <w:rtl/>
        </w:rPr>
        <w:t xml:space="preserve">ב"ח </w:t>
      </w:r>
      <w:r w:rsidR="00724B1E" w:rsidRPr="00724B1E">
        <w:rPr>
          <w:rFonts w:cs="Arial" w:hint="cs"/>
          <w:sz w:val="16"/>
          <w:szCs w:val="16"/>
          <w:rtl/>
        </w:rPr>
        <w:t>(</w:t>
      </w:r>
      <w:r w:rsidRPr="00724B1E">
        <w:rPr>
          <w:rFonts w:cs="Arial"/>
          <w:sz w:val="16"/>
          <w:szCs w:val="16"/>
          <w:rtl/>
        </w:rPr>
        <w:t>החדשות סי' צג</w:t>
      </w:r>
      <w:r w:rsidR="00724B1E">
        <w:rPr>
          <w:rFonts w:cs="Arial" w:hint="cs"/>
          <w:sz w:val="16"/>
          <w:szCs w:val="16"/>
          <w:rtl/>
        </w:rPr>
        <w:t>)</w:t>
      </w:r>
      <w:r w:rsidR="00A82951">
        <w:rPr>
          <w:rFonts w:cs="Arial" w:hint="cs"/>
          <w:rtl/>
        </w:rPr>
        <w:t>-</w:t>
      </w:r>
      <w:r w:rsidRPr="00724B1E">
        <w:rPr>
          <w:rFonts w:cs="Arial"/>
          <w:rtl/>
        </w:rPr>
        <w:t xml:space="preserve"> גט שהובא ע"י שליח ונתלחלח מיניה ובי' עד שתיבת משה מן כדת משה וישראל נדחקה ונרשמה למפרע על תיבת כדת למעלה וגם שין של ישראל תוך האלף מאותה תיבה וגם הא' של להתנסבא נדחקה ונרשמה כמין יוד בשטח של עצמה עד שנרא' כשני יודין בתוך דלי"ת. אחד בדיו והשני ברשימה. ומזה נראה שלא היה הגט יבש בשעת חתימת העדי' ובשעה שמסרו ליד השליח שאז מקפלין הגט צד א' על חבירו להניחו כאגרת והו"ל כתב שיכול להזדייף והשליח אמר שנתלחלח הגט בדרך.</w:t>
      </w:r>
      <w:r w:rsidR="00724B1E">
        <w:rPr>
          <w:rFonts w:cs="Arial" w:hint="cs"/>
          <w:rtl/>
        </w:rPr>
        <w:t xml:space="preserve">.. </w:t>
      </w:r>
      <w:r w:rsidR="00A82951">
        <w:rPr>
          <w:rFonts w:cs="Arial" w:hint="cs"/>
          <w:rtl/>
        </w:rPr>
        <w:t>-</w:t>
      </w:r>
      <w:r w:rsidR="00724B1E">
        <w:rPr>
          <w:rFonts w:cs="Arial" w:hint="cs"/>
          <w:rtl/>
        </w:rPr>
        <w:t xml:space="preserve"> </w:t>
      </w:r>
      <w:r w:rsidRPr="00724B1E">
        <w:rPr>
          <w:rFonts w:cs="Arial"/>
          <w:rtl/>
        </w:rPr>
        <w:t>אין השליח נאמן ע"ז ואין להכשירו כ"א ע"י עדי מסירה שיאמרו בפנינו נמסר הגט ולא היה בו שום תנאי.</w:t>
      </w:r>
      <w:r w:rsidR="00724B1E">
        <w:rPr>
          <w:rFonts w:cs="Arial" w:hint="cs"/>
          <w:rtl/>
        </w:rPr>
        <w:t xml:space="preserve">.. </w:t>
      </w:r>
      <w:r w:rsidRPr="00724B1E">
        <w:rPr>
          <w:rFonts w:cs="Arial"/>
          <w:rtl/>
        </w:rPr>
        <w:t>אחר זה כמו ג' שבועות הושב ב"ד על כך וגבו עדות מאנשים שהיו שמה בעת מסירת הגט שלא היה בו שום תנאי</w:t>
      </w:r>
      <w:r w:rsidR="00724B1E">
        <w:rPr>
          <w:rFonts w:cs="Arial" w:hint="cs"/>
          <w:rtl/>
        </w:rPr>
        <w:t>...</w:t>
      </w:r>
      <w:r w:rsidRPr="00724B1E">
        <w:rPr>
          <w:rFonts w:cs="Arial"/>
          <w:rtl/>
        </w:rPr>
        <w:t xml:space="preserve"> נהי דאין לפסול העדות מצד שהיה עד א' אשתו רביעי ברביעי עם המתגרשת ומנהגינו להחמיר לכתחילה אפי' במחותנים וקרובים שנתרחקו (ע"ל ס"ס קנ"ד בסה"ג ס"א בהגה) דז"א אלא לכתחילה שמא יבואו לטעות</w:t>
      </w:r>
      <w:r w:rsidR="002310E6">
        <w:rPr>
          <w:rFonts w:cs="Arial" w:hint="cs"/>
          <w:rtl/>
        </w:rPr>
        <w:t>,</w:t>
      </w:r>
      <w:r w:rsidRPr="00724B1E">
        <w:rPr>
          <w:rFonts w:cs="Arial"/>
          <w:rtl/>
        </w:rPr>
        <w:t xml:space="preserve"> אבל בנד"ז דליכא עדות אחרים הו"ל כדיעבד מ"מ יש לדקדק בהא די"ל דדוקא ע"מ שנתייחדו בשעת נתינת הגט הם כשרים להעיד על מסירת הגט ולא אלו האחרים שהיו במעמד ההוא ולא נתייחדו</w:t>
      </w:r>
      <w:r w:rsidR="00724B1E">
        <w:rPr>
          <w:rFonts w:cs="Arial" w:hint="cs"/>
          <w:rtl/>
        </w:rPr>
        <w:t>.</w:t>
      </w:r>
    </w:p>
    <w:p w14:paraId="68C394BD" w14:textId="77777777" w:rsidR="000353BA" w:rsidRPr="00C77C34" w:rsidRDefault="000353BA" w:rsidP="000353BA">
      <w:pPr>
        <w:rPr>
          <w:rFonts w:cs="Arial"/>
          <w:rtl/>
        </w:rPr>
      </w:pPr>
    </w:p>
    <w:p w14:paraId="1253B6A2" w14:textId="0CD0613E" w:rsidR="00C77C34" w:rsidRDefault="00C77C34" w:rsidP="00786DE6">
      <w:pPr>
        <w:pStyle w:val="2"/>
        <w:rPr>
          <w:rtl/>
        </w:rPr>
      </w:pPr>
      <w:r w:rsidRPr="00C77C34">
        <w:rPr>
          <w:rtl/>
        </w:rPr>
        <w:t>סעיף טז</w:t>
      </w:r>
      <w:r w:rsidR="00B47E6D">
        <w:rPr>
          <w:rFonts w:hint="cs"/>
          <w:rtl/>
        </w:rPr>
        <w:t>: כתב מעוקם ומבולבל.</w:t>
      </w:r>
    </w:p>
    <w:p w14:paraId="32D99F9A" w14:textId="7CD1056B" w:rsidR="00B47E6D" w:rsidRPr="00B47E6D" w:rsidRDefault="00B47E6D" w:rsidP="00B47E6D">
      <w:pPr>
        <w:rPr>
          <w:u w:val="single"/>
          <w:rtl/>
        </w:rPr>
      </w:pPr>
      <w:r w:rsidRPr="00B47E6D">
        <w:rPr>
          <w:rFonts w:hint="cs"/>
          <w:u w:val="single"/>
          <w:rtl/>
        </w:rPr>
        <w:t>כתב מעוקם ומבולבל:</w:t>
      </w:r>
    </w:p>
    <w:p w14:paraId="223145AD" w14:textId="59A351EB" w:rsidR="004121F1" w:rsidRDefault="003B3710" w:rsidP="001F1B2C">
      <w:pPr>
        <w:pStyle w:val="ab"/>
        <w:numPr>
          <w:ilvl w:val="0"/>
          <w:numId w:val="47"/>
        </w:numPr>
        <w:rPr>
          <w:rFonts w:cs="Arial"/>
        </w:rPr>
      </w:pPr>
      <w:r w:rsidRPr="002D5E7F">
        <w:rPr>
          <w:rFonts w:cs="Arial"/>
          <w:rtl/>
        </w:rPr>
        <w:t>רמב"ם</w:t>
      </w:r>
      <w:r w:rsidR="001F1B2C">
        <w:rPr>
          <w:rFonts w:cs="Arial" w:hint="cs"/>
          <w:sz w:val="16"/>
          <w:szCs w:val="16"/>
          <w:rtl/>
        </w:rPr>
        <w:t xml:space="preserve"> (פ"ד ה"י, העתיק הטור לשונו)</w:t>
      </w:r>
      <w:r w:rsidR="004121F1">
        <w:rPr>
          <w:rFonts w:cs="Arial" w:hint="cs"/>
          <w:rtl/>
        </w:rPr>
        <w:t xml:space="preserve"> וטור</w:t>
      </w:r>
      <w:r w:rsidR="00A82951">
        <w:rPr>
          <w:rFonts w:cs="Arial" w:hint="cs"/>
          <w:rtl/>
        </w:rPr>
        <w:t>-</w:t>
      </w:r>
      <w:r w:rsidRPr="002D5E7F">
        <w:rPr>
          <w:rFonts w:cs="Arial"/>
          <w:rtl/>
        </w:rPr>
        <w:t xml:space="preserve"> </w:t>
      </w:r>
      <w:r w:rsidR="001F1B2C" w:rsidRPr="001F1B2C">
        <w:rPr>
          <w:rFonts w:cs="Arial"/>
          <w:rtl/>
        </w:rPr>
        <w:t>וכן צריך שיהיה הכתב מבואר היטב באותו הכתב שיכתוב בו עד שידעו לקרותו הקטנים שמכירין אותו כתב שאינן לא נבונים ולא סכלים בקטנים אלא בינוניים</w:t>
      </w:r>
      <w:r w:rsidR="001F1B2C">
        <w:rPr>
          <w:rFonts w:cs="Arial" w:hint="cs"/>
          <w:rtl/>
        </w:rPr>
        <w:t>.</w:t>
      </w:r>
      <w:r w:rsidR="001F1B2C" w:rsidRPr="001F1B2C">
        <w:rPr>
          <w:rFonts w:cs="Arial"/>
          <w:rtl/>
        </w:rPr>
        <w:t xml:space="preserve"> ולא יהיה כתב מעוקם ומבולבל</w:t>
      </w:r>
      <w:r w:rsidR="004121F1">
        <w:rPr>
          <w:rFonts w:cs="Arial" w:hint="cs"/>
          <w:rtl/>
        </w:rPr>
        <w:t>,</w:t>
      </w:r>
      <w:r w:rsidR="001F1B2C" w:rsidRPr="001F1B2C">
        <w:rPr>
          <w:rFonts w:cs="Arial"/>
          <w:rtl/>
        </w:rPr>
        <w:t xml:space="preserve"> שמא תדמה אות לאות ונמצא הענין משתנה</w:t>
      </w:r>
      <w:r w:rsidR="004121F1">
        <w:rPr>
          <w:rFonts w:cs="Arial" w:hint="cs"/>
          <w:sz w:val="16"/>
          <w:szCs w:val="16"/>
          <w:rtl/>
        </w:rPr>
        <w:t xml:space="preserve"> (ל' הרמב"ם)</w:t>
      </w:r>
      <w:r w:rsidR="001F1B2C" w:rsidRPr="001F1B2C">
        <w:rPr>
          <w:rFonts w:cs="Arial"/>
          <w:rtl/>
        </w:rPr>
        <w:t xml:space="preserve">. </w:t>
      </w:r>
      <w:r w:rsidR="0038619F" w:rsidRPr="0038619F">
        <w:rPr>
          <w:rFonts w:cs="Arial" w:hint="cs"/>
          <w:color w:val="E36C0A" w:themeColor="accent6" w:themeShade="BF"/>
          <w:rtl/>
        </w:rPr>
        <w:t>(וכ"פ בשו"ע)</w:t>
      </w:r>
    </w:p>
    <w:p w14:paraId="597BEBD8" w14:textId="77777777" w:rsidR="00B62357" w:rsidRPr="00986016" w:rsidRDefault="00B62357" w:rsidP="00B62357">
      <w:pPr>
        <w:rPr>
          <w:rFonts w:cs="Arial"/>
          <w:u w:val="single"/>
        </w:rPr>
      </w:pPr>
      <w:r w:rsidRPr="00157A78">
        <w:rPr>
          <w:rFonts w:cs="Arial" w:hint="cs"/>
          <w:u w:val="single"/>
          <w:rtl/>
        </w:rPr>
        <w:t>אות 'ה' או 'ק' שרגליהם נוגעים בגגם:</w:t>
      </w:r>
    </w:p>
    <w:p w14:paraId="0213948A" w14:textId="0628085B" w:rsidR="00B62357" w:rsidRDefault="00B62357" w:rsidP="00B62357">
      <w:pPr>
        <w:pStyle w:val="ab"/>
        <w:numPr>
          <w:ilvl w:val="0"/>
          <w:numId w:val="46"/>
        </w:numPr>
        <w:rPr>
          <w:rFonts w:cs="Arial"/>
        </w:rPr>
      </w:pPr>
      <w:r w:rsidRPr="00B05A70">
        <w:rPr>
          <w:rFonts w:cs="Arial"/>
          <w:rtl/>
        </w:rPr>
        <w:t xml:space="preserve">מהרי"ק </w:t>
      </w:r>
      <w:r>
        <w:rPr>
          <w:rFonts w:cs="Arial" w:hint="cs"/>
          <w:sz w:val="16"/>
          <w:szCs w:val="16"/>
          <w:rtl/>
        </w:rPr>
        <w:t>(</w:t>
      </w:r>
      <w:r w:rsidRPr="00955F92">
        <w:rPr>
          <w:rFonts w:cs="Arial"/>
          <w:sz w:val="16"/>
          <w:szCs w:val="16"/>
          <w:rtl/>
        </w:rPr>
        <w:t>שורש עא</w:t>
      </w:r>
      <w:r>
        <w:rPr>
          <w:rStyle w:val="a7"/>
          <w:rFonts w:cs="Arial"/>
          <w:sz w:val="16"/>
          <w:szCs w:val="16"/>
          <w:rtl/>
        </w:rPr>
        <w:footnoteReference w:id="596"/>
      </w:r>
      <w:r>
        <w:rPr>
          <w:rFonts w:cs="Arial" w:hint="cs"/>
          <w:sz w:val="16"/>
          <w:szCs w:val="16"/>
          <w:rtl/>
        </w:rPr>
        <w:t>, ושורש צח</w:t>
      </w:r>
      <w:r w:rsidRPr="00955F92">
        <w:rPr>
          <w:rFonts w:cs="Arial" w:hint="cs"/>
          <w:sz w:val="16"/>
          <w:szCs w:val="16"/>
          <w:rtl/>
        </w:rPr>
        <w:t>)</w:t>
      </w:r>
      <w:r w:rsidR="00A82951">
        <w:rPr>
          <w:rFonts w:cs="Arial" w:hint="cs"/>
          <w:rtl/>
        </w:rPr>
        <w:t>-</w:t>
      </w:r>
      <w:r w:rsidRPr="00F213DA">
        <w:rPr>
          <w:rFonts w:cs="Arial"/>
          <w:rtl/>
        </w:rPr>
        <w:t xml:space="preserve"> אם ה"א או קו"ף נוגעים רגליהם לגגם</w:t>
      </w:r>
      <w:r w:rsidRPr="00F213DA">
        <w:rPr>
          <w:rFonts w:cs="Arial" w:hint="cs"/>
          <w:rtl/>
        </w:rPr>
        <w:t xml:space="preserve"> </w:t>
      </w:r>
      <w:r w:rsidRPr="00C8140F">
        <w:rPr>
          <w:rFonts w:cs="Arial" w:hint="cs"/>
          <w:sz w:val="16"/>
          <w:szCs w:val="16"/>
          <w:rtl/>
        </w:rPr>
        <w:t>{ותינוק דל"ח ול"ט קורא אותן</w:t>
      </w:r>
      <w:r>
        <w:rPr>
          <w:rFonts w:cs="Arial" w:hint="cs"/>
          <w:sz w:val="16"/>
          <w:szCs w:val="16"/>
          <w:rtl/>
        </w:rPr>
        <w:t>}</w:t>
      </w:r>
      <w:r>
        <w:rPr>
          <w:rFonts w:cs="Arial" w:hint="cs"/>
          <w:rtl/>
        </w:rPr>
        <w:t>,</w:t>
      </w:r>
      <w:r w:rsidRPr="00F213DA">
        <w:rPr>
          <w:rFonts w:cs="Arial"/>
          <w:rtl/>
        </w:rPr>
        <w:t xml:space="preserve"> והפרידם</w:t>
      </w:r>
      <w:r>
        <w:rPr>
          <w:rFonts w:cs="Arial" w:hint="cs"/>
          <w:rtl/>
        </w:rPr>
        <w:t xml:space="preserve"> הסופר</w:t>
      </w:r>
      <w:r w:rsidRPr="00F213DA">
        <w:rPr>
          <w:rFonts w:cs="Arial"/>
          <w:rtl/>
        </w:rPr>
        <w:t xml:space="preserve"> </w:t>
      </w:r>
      <w:r w:rsidR="00A82951">
        <w:rPr>
          <w:rFonts w:cs="Arial" w:hint="cs"/>
          <w:rtl/>
        </w:rPr>
        <w:t>-</w:t>
      </w:r>
      <w:r w:rsidRPr="00F213DA">
        <w:rPr>
          <w:rFonts w:cs="Arial" w:hint="cs"/>
          <w:rtl/>
        </w:rPr>
        <w:t xml:space="preserve"> </w:t>
      </w:r>
      <w:r w:rsidRPr="00F213DA">
        <w:rPr>
          <w:rFonts w:cs="Arial"/>
          <w:rtl/>
        </w:rPr>
        <w:t>לא מיקרי חק תוכות</w:t>
      </w:r>
      <w:r w:rsidRPr="00F213DA">
        <w:rPr>
          <w:rFonts w:cs="Arial" w:hint="cs"/>
          <w:rtl/>
        </w:rPr>
        <w:t>,</w:t>
      </w:r>
      <w:r w:rsidRPr="00F213DA">
        <w:rPr>
          <w:rFonts w:cs="Arial"/>
          <w:rtl/>
        </w:rPr>
        <w:t xml:space="preserve"> שהרי במרדכי </w:t>
      </w:r>
      <w:r w:rsidRPr="00F213DA">
        <w:rPr>
          <w:rFonts w:cs="Arial"/>
          <w:sz w:val="16"/>
          <w:szCs w:val="16"/>
          <w:rtl/>
        </w:rPr>
        <w:t>(הלכות קטנות סי' תתקנב תתקנג)</w:t>
      </w:r>
      <w:r w:rsidRPr="00F213DA">
        <w:rPr>
          <w:rFonts w:cs="Arial"/>
          <w:rtl/>
        </w:rPr>
        <w:t xml:space="preserve"> הכשיר אפילו בספר תורה ותפילין לעשות כן</w:t>
      </w:r>
      <w:r w:rsidRPr="00F213DA">
        <w:rPr>
          <w:rFonts w:cs="Arial" w:hint="cs"/>
          <w:rtl/>
        </w:rPr>
        <w:t>.</w:t>
      </w:r>
      <w:r w:rsidRPr="00F213DA">
        <w:rPr>
          <w:rFonts w:cs="Arial"/>
          <w:rtl/>
        </w:rPr>
        <w:t xml:space="preserve"> </w:t>
      </w:r>
      <w:r>
        <w:rPr>
          <w:rFonts w:cs="Arial" w:hint="cs"/>
          <w:sz w:val="16"/>
          <w:szCs w:val="16"/>
          <w:rtl/>
        </w:rPr>
        <w:t>{והוסיף בשורש צח</w:t>
      </w:r>
      <w:r w:rsidR="00A82951">
        <w:rPr>
          <w:rFonts w:cs="Arial" w:hint="cs"/>
          <w:sz w:val="16"/>
          <w:szCs w:val="16"/>
          <w:rtl/>
        </w:rPr>
        <w:t>-</w:t>
      </w:r>
      <w:r>
        <w:rPr>
          <w:rFonts w:cs="Arial" w:hint="cs"/>
          <w:sz w:val="16"/>
          <w:szCs w:val="16"/>
          <w:rtl/>
        </w:rPr>
        <w:t xml:space="preserve">} </w:t>
      </w:r>
      <w:r w:rsidRPr="00F213DA">
        <w:rPr>
          <w:rFonts w:cs="Arial"/>
          <w:rtl/>
        </w:rPr>
        <w:t>ומכל מקום לכתחלה אין לסמוך על הפרדת סכין</w:t>
      </w:r>
      <w:r>
        <w:rPr>
          <w:rStyle w:val="a7"/>
          <w:rFonts w:cs="Arial"/>
          <w:rtl/>
        </w:rPr>
        <w:footnoteReference w:id="597"/>
      </w:r>
      <w:r>
        <w:rPr>
          <w:rFonts w:cs="Arial" w:hint="cs"/>
          <w:sz w:val="16"/>
          <w:szCs w:val="16"/>
          <w:rtl/>
        </w:rPr>
        <w:t xml:space="preserve"> (ל' הב"י בשמו)</w:t>
      </w:r>
      <w:r>
        <w:rPr>
          <w:rFonts w:cs="Arial" w:hint="cs"/>
          <w:rtl/>
        </w:rPr>
        <w:t>.</w:t>
      </w:r>
      <w:r w:rsidRPr="00F213DA">
        <w:rPr>
          <w:rFonts w:cs="Arial"/>
          <w:rtl/>
        </w:rPr>
        <w:t xml:space="preserve"> </w:t>
      </w:r>
      <w:r w:rsidR="00024824" w:rsidRPr="00024824">
        <w:rPr>
          <w:rFonts w:cs="Arial" w:hint="cs"/>
          <w:color w:val="00B0F0"/>
          <w:rtl/>
        </w:rPr>
        <w:t>(וכ"פ הרמ"א)</w:t>
      </w:r>
    </w:p>
    <w:p w14:paraId="44362828" w14:textId="5579B7E7" w:rsidR="00B62357" w:rsidRDefault="00B62357" w:rsidP="00B62357">
      <w:pPr>
        <w:pStyle w:val="ab"/>
        <w:numPr>
          <w:ilvl w:val="0"/>
          <w:numId w:val="46"/>
        </w:numPr>
        <w:rPr>
          <w:rFonts w:cs="Arial"/>
        </w:rPr>
      </w:pPr>
      <w:r w:rsidRPr="00C8140F">
        <w:rPr>
          <w:rFonts w:cs="Arial"/>
          <w:rtl/>
        </w:rPr>
        <w:lastRenderedPageBreak/>
        <w:t>ת</w:t>
      </w:r>
      <w:r>
        <w:rPr>
          <w:rFonts w:cs="Arial" w:hint="cs"/>
          <w:rtl/>
        </w:rPr>
        <w:t>רו</w:t>
      </w:r>
      <w:r w:rsidRPr="00C8140F">
        <w:rPr>
          <w:rFonts w:cs="Arial"/>
          <w:rtl/>
        </w:rPr>
        <w:t>ה</w:t>
      </w:r>
      <w:r>
        <w:rPr>
          <w:rFonts w:cs="Arial" w:hint="cs"/>
          <w:rtl/>
        </w:rPr>
        <w:t>"ד</w:t>
      </w:r>
      <w:r w:rsidRPr="00C8140F">
        <w:rPr>
          <w:rFonts w:cs="Arial"/>
          <w:rtl/>
        </w:rPr>
        <w:t xml:space="preserve"> </w:t>
      </w:r>
      <w:r w:rsidRPr="00D90DD3">
        <w:rPr>
          <w:rFonts w:cs="Arial" w:hint="cs"/>
          <w:sz w:val="16"/>
          <w:szCs w:val="16"/>
          <w:rtl/>
        </w:rPr>
        <w:t>(</w:t>
      </w:r>
      <w:r w:rsidRPr="00D90DD3">
        <w:rPr>
          <w:rFonts w:cs="Arial"/>
          <w:sz w:val="16"/>
          <w:szCs w:val="16"/>
          <w:rtl/>
        </w:rPr>
        <w:t>סי' רל</w:t>
      </w:r>
      <w:r w:rsidRPr="00D90DD3">
        <w:rPr>
          <w:rFonts w:cs="Arial" w:hint="cs"/>
          <w:sz w:val="16"/>
          <w:szCs w:val="16"/>
          <w:rtl/>
        </w:rPr>
        <w:t>,</w:t>
      </w:r>
      <w:r w:rsidRPr="00D90DD3">
        <w:rPr>
          <w:rFonts w:cs="Arial"/>
          <w:sz w:val="16"/>
          <w:szCs w:val="16"/>
          <w:rtl/>
        </w:rPr>
        <w:t xml:space="preserve"> ובפסקי</w:t>
      </w:r>
      <w:r w:rsidRPr="00D90DD3">
        <w:rPr>
          <w:rFonts w:cs="Arial" w:hint="cs"/>
          <w:sz w:val="16"/>
          <w:szCs w:val="16"/>
          <w:rtl/>
        </w:rPr>
        <w:t>ם</w:t>
      </w:r>
      <w:r w:rsidRPr="00D90DD3">
        <w:rPr>
          <w:rFonts w:cs="Arial"/>
          <w:sz w:val="16"/>
          <w:szCs w:val="16"/>
          <w:rtl/>
        </w:rPr>
        <w:t xml:space="preserve"> סי' מה</w:t>
      </w:r>
      <w:r>
        <w:rPr>
          <w:rFonts w:cs="Arial" w:hint="cs"/>
          <w:sz w:val="16"/>
          <w:szCs w:val="16"/>
          <w:rtl/>
        </w:rPr>
        <w:t>, כ"כ הדרכ"מ [אות ה*] בשמו</w:t>
      </w:r>
      <w:r w:rsidRPr="00D90DD3">
        <w:rPr>
          <w:rFonts w:cs="Arial" w:hint="cs"/>
          <w:sz w:val="16"/>
          <w:szCs w:val="16"/>
          <w:rtl/>
        </w:rPr>
        <w:t>)</w:t>
      </w:r>
      <w:r w:rsidR="00A82951">
        <w:rPr>
          <w:rFonts w:cs="Arial" w:hint="cs"/>
          <w:rtl/>
        </w:rPr>
        <w:t>-</w:t>
      </w:r>
      <w:r w:rsidRPr="00C8140F">
        <w:rPr>
          <w:rFonts w:cs="Arial"/>
          <w:rtl/>
        </w:rPr>
        <w:t xml:space="preserve"> אם ה' או ק' נוגעין רגליהן לגגן </w:t>
      </w:r>
      <w:r w:rsidR="00A82951">
        <w:rPr>
          <w:rFonts w:cs="Arial"/>
          <w:rtl/>
        </w:rPr>
        <w:t>-</w:t>
      </w:r>
      <w:r>
        <w:rPr>
          <w:rFonts w:cs="Arial" w:hint="cs"/>
          <w:rtl/>
        </w:rPr>
        <w:t xml:space="preserve"> </w:t>
      </w:r>
      <w:r w:rsidRPr="00C8140F">
        <w:rPr>
          <w:rFonts w:cs="Arial"/>
          <w:rtl/>
        </w:rPr>
        <w:t>פסול אף בדיעבד</w:t>
      </w:r>
      <w:r w:rsidR="008C6FDC">
        <w:rPr>
          <w:rStyle w:val="a7"/>
          <w:rFonts w:cs="Arial"/>
          <w:rtl/>
        </w:rPr>
        <w:footnoteReference w:id="598"/>
      </w:r>
      <w:r w:rsidRPr="00C8140F">
        <w:rPr>
          <w:rFonts w:cs="Arial" w:hint="cs"/>
          <w:rtl/>
        </w:rPr>
        <w:t>.</w:t>
      </w:r>
    </w:p>
    <w:p w14:paraId="263D1DFD" w14:textId="46CCBE51" w:rsidR="00024824" w:rsidRDefault="00B62357" w:rsidP="00B62357">
      <w:pPr>
        <w:pStyle w:val="ab"/>
        <w:numPr>
          <w:ilvl w:val="0"/>
          <w:numId w:val="46"/>
        </w:numPr>
        <w:rPr>
          <w:rFonts w:cs="Arial"/>
        </w:rPr>
      </w:pPr>
      <w:r>
        <w:rPr>
          <w:rFonts w:cs="Arial" w:hint="cs"/>
          <w:rtl/>
        </w:rPr>
        <w:t>ת</w:t>
      </w:r>
      <w:r w:rsidRPr="00AA766B">
        <w:rPr>
          <w:rFonts w:cs="Arial"/>
          <w:rtl/>
        </w:rPr>
        <w:t>שב"ץ</w:t>
      </w:r>
      <w:r w:rsidRPr="00986016">
        <w:rPr>
          <w:rFonts w:cs="Arial"/>
          <w:sz w:val="16"/>
          <w:szCs w:val="16"/>
          <w:rtl/>
        </w:rPr>
        <w:t xml:space="preserve"> (</w:t>
      </w:r>
      <w:r>
        <w:rPr>
          <w:rFonts w:cs="Arial" w:hint="cs"/>
          <w:sz w:val="16"/>
          <w:szCs w:val="16"/>
          <w:rtl/>
        </w:rPr>
        <w:t>ח"ב סי' פג, וכעין זה כתב ב</w:t>
      </w:r>
      <w:r w:rsidRPr="00986016">
        <w:rPr>
          <w:rFonts w:cs="Arial"/>
          <w:sz w:val="16"/>
          <w:szCs w:val="16"/>
          <w:rtl/>
        </w:rPr>
        <w:t>ח"א סי' ה</w:t>
      </w:r>
      <w:r w:rsidRPr="006D3E29">
        <w:rPr>
          <w:rStyle w:val="a7"/>
          <w:rFonts w:cs="Arial"/>
          <w:sz w:val="16"/>
          <w:szCs w:val="16"/>
          <w:rtl/>
        </w:rPr>
        <w:footnoteReference w:id="599"/>
      </w:r>
      <w:r w:rsidRPr="00986016">
        <w:rPr>
          <w:rFonts w:cs="Arial"/>
          <w:sz w:val="16"/>
          <w:szCs w:val="16"/>
          <w:rtl/>
        </w:rPr>
        <w:t>)</w:t>
      </w:r>
      <w:r w:rsidR="00A82951">
        <w:rPr>
          <w:rFonts w:cs="Arial" w:hint="cs"/>
          <w:rtl/>
        </w:rPr>
        <w:t>-</w:t>
      </w:r>
      <w:r>
        <w:rPr>
          <w:rFonts w:cs="Arial" w:hint="cs"/>
          <w:rtl/>
        </w:rPr>
        <w:t xml:space="preserve"> </w:t>
      </w:r>
      <w:r w:rsidRPr="006D3E29">
        <w:rPr>
          <w:rFonts w:cs="Arial"/>
          <w:rtl/>
        </w:rPr>
        <w:t>והזהירוך על תליית ההין וקופין</w:t>
      </w:r>
      <w:r w:rsidR="000161ED">
        <w:rPr>
          <w:rFonts w:cs="Arial" w:hint="cs"/>
          <w:rtl/>
        </w:rPr>
        <w:t>,</w:t>
      </w:r>
      <w:r w:rsidRPr="006D3E29">
        <w:rPr>
          <w:rFonts w:cs="Arial"/>
          <w:rtl/>
        </w:rPr>
        <w:t xml:space="preserve"> ואין הדין שוה בההין עם הקופי'</w:t>
      </w:r>
      <w:r w:rsidR="000161ED">
        <w:rPr>
          <w:rFonts w:cs="Arial" w:hint="cs"/>
          <w:rtl/>
        </w:rPr>
        <w:t>,</w:t>
      </w:r>
      <w:r w:rsidRPr="006D3E29">
        <w:rPr>
          <w:rFonts w:cs="Arial"/>
          <w:rtl/>
        </w:rPr>
        <w:t xml:space="preserve"> כי בקופין הוא כשר בלא שום ספק כלל</w:t>
      </w:r>
      <w:r w:rsidR="000161ED">
        <w:rPr>
          <w:rFonts w:cs="Arial" w:hint="cs"/>
          <w:rtl/>
        </w:rPr>
        <w:t>,</w:t>
      </w:r>
      <w:r w:rsidRPr="006D3E29">
        <w:rPr>
          <w:rFonts w:cs="Arial"/>
          <w:rtl/>
        </w:rPr>
        <w:t xml:space="preserve"> ובההין אם תינוק שאינו חכי' ולא טפש קורא אותה ה"א הוא כשר. ואם הוא קורא אותה חי"ת</w:t>
      </w:r>
      <w:r>
        <w:rPr>
          <w:rFonts w:cs="Arial" w:hint="cs"/>
          <w:rtl/>
        </w:rPr>
        <w:t>,</w:t>
      </w:r>
      <w:r w:rsidRPr="006D3E29">
        <w:rPr>
          <w:rFonts w:cs="Arial"/>
          <w:rtl/>
        </w:rPr>
        <w:t xml:space="preserve"> בתורף הגט </w:t>
      </w:r>
      <w:r w:rsidR="00A82951">
        <w:rPr>
          <w:rFonts w:cs="Arial" w:hint="cs"/>
          <w:rtl/>
        </w:rPr>
        <w:t>-</w:t>
      </w:r>
      <w:r>
        <w:rPr>
          <w:rFonts w:cs="Arial" w:hint="cs"/>
          <w:rtl/>
        </w:rPr>
        <w:t xml:space="preserve"> </w:t>
      </w:r>
      <w:r w:rsidRPr="006D3E29">
        <w:rPr>
          <w:rFonts w:cs="Arial"/>
          <w:rtl/>
        </w:rPr>
        <w:t>יש לפסלו</w:t>
      </w:r>
      <w:r>
        <w:rPr>
          <w:rFonts w:cs="Arial" w:hint="cs"/>
          <w:rtl/>
        </w:rPr>
        <w:t>,</w:t>
      </w:r>
      <w:r w:rsidRPr="006D3E29">
        <w:rPr>
          <w:rFonts w:cs="Arial"/>
          <w:rtl/>
        </w:rPr>
        <w:t xml:space="preserve"> כגון שיכתוב </w:t>
      </w:r>
      <w:r w:rsidR="000161ED">
        <w:rPr>
          <w:rFonts w:cs="Arial" w:hint="cs"/>
          <w:rtl/>
        </w:rPr>
        <w:t>"</w:t>
      </w:r>
      <w:r w:rsidRPr="006D3E29">
        <w:rPr>
          <w:rFonts w:cs="Arial"/>
          <w:rtl/>
        </w:rPr>
        <w:t>סעדיח</w:t>
      </w:r>
      <w:r w:rsidR="000161ED">
        <w:rPr>
          <w:rFonts w:cs="Arial" w:hint="cs"/>
          <w:rtl/>
        </w:rPr>
        <w:t>"</w:t>
      </w:r>
      <w:r w:rsidRPr="006D3E29">
        <w:rPr>
          <w:rFonts w:cs="Arial"/>
          <w:rtl/>
        </w:rPr>
        <w:t xml:space="preserve"> או </w:t>
      </w:r>
      <w:r w:rsidR="000161ED">
        <w:rPr>
          <w:rFonts w:cs="Arial" w:hint="cs"/>
          <w:rtl/>
        </w:rPr>
        <w:t>"</w:t>
      </w:r>
      <w:r w:rsidRPr="006D3E29">
        <w:rPr>
          <w:rFonts w:cs="Arial"/>
          <w:rtl/>
        </w:rPr>
        <w:t>שמחח</w:t>
      </w:r>
      <w:r w:rsidR="000161ED">
        <w:rPr>
          <w:rFonts w:cs="Arial" w:hint="cs"/>
          <w:rtl/>
        </w:rPr>
        <w:t>"</w:t>
      </w:r>
      <w:r w:rsidRPr="006D3E29">
        <w:rPr>
          <w:rFonts w:cs="Arial"/>
          <w:rtl/>
        </w:rPr>
        <w:t xml:space="preserve"> וכיוצא בזה</w:t>
      </w:r>
      <w:r>
        <w:rPr>
          <w:rFonts w:cs="Arial" w:hint="cs"/>
          <w:rtl/>
        </w:rPr>
        <w:t>.</w:t>
      </w:r>
      <w:r w:rsidRPr="006D3E29">
        <w:rPr>
          <w:rFonts w:cs="Arial"/>
          <w:rtl/>
        </w:rPr>
        <w:t xml:space="preserve"> או שכתב </w:t>
      </w:r>
      <w:r w:rsidR="000161ED">
        <w:rPr>
          <w:rFonts w:cs="Arial" w:hint="cs"/>
          <w:rtl/>
        </w:rPr>
        <w:t>"</w:t>
      </w:r>
      <w:r w:rsidRPr="006D3E29">
        <w:rPr>
          <w:rFonts w:cs="Arial"/>
          <w:rtl/>
        </w:rPr>
        <w:t>למחך</w:t>
      </w:r>
      <w:r w:rsidR="000161ED">
        <w:rPr>
          <w:rFonts w:cs="Arial" w:hint="cs"/>
          <w:rtl/>
        </w:rPr>
        <w:t>"</w:t>
      </w:r>
      <w:r w:rsidRPr="006D3E29">
        <w:rPr>
          <w:rFonts w:cs="Arial"/>
          <w:rtl/>
        </w:rPr>
        <w:t xml:space="preserve"> שהזהירו מזה הגמ' (גיטין פה</w:t>
      </w:r>
      <w:r>
        <w:rPr>
          <w:rFonts w:cs="Arial" w:hint="cs"/>
          <w:rtl/>
        </w:rPr>
        <w:t>:</w:t>
      </w:r>
      <w:r w:rsidRPr="006D3E29">
        <w:rPr>
          <w:rFonts w:cs="Arial"/>
          <w:rtl/>
        </w:rPr>
        <w:t xml:space="preserve">). אבל בההין אחרות כיון שהם בטופס הגט </w:t>
      </w:r>
      <w:r w:rsidR="00A82951">
        <w:rPr>
          <w:rFonts w:cs="Arial" w:hint="cs"/>
          <w:rtl/>
        </w:rPr>
        <w:t>-</w:t>
      </w:r>
      <w:r>
        <w:rPr>
          <w:rFonts w:cs="Arial" w:hint="cs"/>
          <w:rtl/>
        </w:rPr>
        <w:t xml:space="preserve"> </w:t>
      </w:r>
      <w:r w:rsidRPr="006D3E29">
        <w:rPr>
          <w:rFonts w:cs="Arial"/>
          <w:rtl/>
        </w:rPr>
        <w:t>אין הגט נפסל בכך</w:t>
      </w:r>
      <w:r>
        <w:rPr>
          <w:rFonts w:cs="Arial" w:hint="cs"/>
          <w:rtl/>
        </w:rPr>
        <w:t>,</w:t>
      </w:r>
      <w:r w:rsidRPr="006D3E29">
        <w:rPr>
          <w:rFonts w:cs="Arial"/>
          <w:rtl/>
        </w:rPr>
        <w:t xml:space="preserve"> ולא יהא אלא שלא נכתבה אותה תיבה כיון שהיא מהטופס אין לחוש לה</w:t>
      </w:r>
      <w:r>
        <w:rPr>
          <w:rFonts w:cs="Arial" w:hint="cs"/>
          <w:rtl/>
        </w:rPr>
        <w:t>.</w:t>
      </w:r>
      <w:r w:rsidRPr="006D3E29">
        <w:rPr>
          <w:rFonts w:cs="Arial"/>
          <w:rtl/>
        </w:rPr>
        <w:t xml:space="preserve"> אבל מ"מ יפה עשו שהזהירוך מזה לעשו</w:t>
      </w:r>
      <w:r w:rsidR="000161ED">
        <w:rPr>
          <w:rFonts w:cs="Arial" w:hint="cs"/>
          <w:rtl/>
        </w:rPr>
        <w:t>ת</w:t>
      </w:r>
      <w:r w:rsidRPr="006D3E29">
        <w:rPr>
          <w:rFonts w:cs="Arial"/>
          <w:rtl/>
        </w:rPr>
        <w:t xml:space="preserve"> כן לכתחלה</w:t>
      </w:r>
      <w:r>
        <w:rPr>
          <w:rFonts w:cs="Arial" w:hint="cs"/>
          <w:rtl/>
        </w:rPr>
        <w:t>.</w:t>
      </w:r>
      <w:r w:rsidR="00AB5B83">
        <w:rPr>
          <w:rFonts w:cs="Arial" w:hint="cs"/>
          <w:rtl/>
        </w:rPr>
        <w:t xml:space="preserve"> </w:t>
      </w:r>
      <w:r w:rsidR="00AB5B83" w:rsidRPr="00AB5B83">
        <w:rPr>
          <w:rFonts w:cs="Arial" w:hint="cs"/>
          <w:color w:val="E36C0A" w:themeColor="accent6" w:themeShade="BF"/>
          <w:rtl/>
        </w:rPr>
        <w:t>(וכ"פ בשו"ע</w:t>
      </w:r>
      <w:r w:rsidR="00AB5B83" w:rsidRPr="00AB5B83">
        <w:rPr>
          <w:rFonts w:cs="Arial" w:hint="cs"/>
          <w:color w:val="E36C0A" w:themeColor="accent6" w:themeShade="BF"/>
          <w:sz w:val="16"/>
          <w:szCs w:val="16"/>
          <w:rtl/>
        </w:rPr>
        <w:t xml:space="preserve"> </w:t>
      </w:r>
      <w:r w:rsidR="00AB5B83">
        <w:rPr>
          <w:rFonts w:cs="Arial" w:hint="cs"/>
          <w:sz w:val="16"/>
          <w:szCs w:val="16"/>
          <w:rtl/>
        </w:rPr>
        <w:t>[בסי' קכו סמ"ח]</w:t>
      </w:r>
      <w:r w:rsidR="00AB5B83" w:rsidRPr="00AB5B83">
        <w:rPr>
          <w:rFonts w:cs="Arial" w:hint="cs"/>
          <w:color w:val="E36C0A" w:themeColor="accent6" w:themeShade="BF"/>
          <w:rtl/>
        </w:rPr>
        <w:t>)</w:t>
      </w:r>
    </w:p>
    <w:p w14:paraId="6CAF5EF2" w14:textId="0AAC37E8" w:rsidR="00B62357" w:rsidRPr="00024824" w:rsidRDefault="00024824" w:rsidP="00024824">
      <w:pPr>
        <w:rPr>
          <w:rFonts w:cs="Arial"/>
          <w:u w:val="single"/>
        </w:rPr>
      </w:pPr>
      <w:r w:rsidRPr="00024824">
        <w:rPr>
          <w:rFonts w:cs="Arial" w:hint="cs"/>
          <w:u w:val="single"/>
          <w:rtl/>
        </w:rPr>
        <w:t xml:space="preserve">כשצריך לתקן אות </w:t>
      </w:r>
      <w:r w:rsidR="00A82951">
        <w:rPr>
          <w:rFonts w:cs="Arial"/>
          <w:u w:val="single"/>
          <w:rtl/>
        </w:rPr>
        <w:t>-</w:t>
      </w:r>
      <w:r w:rsidRPr="00024824">
        <w:rPr>
          <w:rFonts w:cs="Arial" w:hint="cs"/>
          <w:u w:val="single"/>
          <w:rtl/>
        </w:rPr>
        <w:t xml:space="preserve"> מתי יש לתק</w:t>
      </w:r>
      <w:r>
        <w:rPr>
          <w:rFonts w:cs="Arial" w:hint="cs"/>
          <w:u w:val="single"/>
          <w:rtl/>
        </w:rPr>
        <w:t>נה</w:t>
      </w:r>
      <w:r w:rsidRPr="00024824">
        <w:rPr>
          <w:rFonts w:cs="Arial" w:hint="cs"/>
          <w:u w:val="single"/>
          <w:rtl/>
        </w:rPr>
        <w:t>:</w:t>
      </w:r>
      <w:r w:rsidR="00B62357" w:rsidRPr="00024824">
        <w:rPr>
          <w:rFonts w:cs="Arial"/>
          <w:sz w:val="16"/>
          <w:szCs w:val="16"/>
          <w:rtl/>
        </w:rPr>
        <w:t xml:space="preserve"> </w:t>
      </w:r>
      <w:r w:rsidRPr="00024824">
        <w:rPr>
          <w:rFonts w:cs="Arial" w:hint="cs"/>
          <w:sz w:val="16"/>
          <w:szCs w:val="16"/>
          <w:rtl/>
        </w:rPr>
        <w:t>(דרכ"מ אות ד)</w:t>
      </w:r>
    </w:p>
    <w:p w14:paraId="76C9EAF1" w14:textId="5559DB7A" w:rsidR="00B62357" w:rsidRPr="00B62357" w:rsidRDefault="00024824" w:rsidP="00B62357">
      <w:pPr>
        <w:pStyle w:val="ab"/>
        <w:numPr>
          <w:ilvl w:val="0"/>
          <w:numId w:val="46"/>
        </w:numPr>
        <w:rPr>
          <w:rFonts w:cs="Arial"/>
        </w:rPr>
      </w:pPr>
      <w:r>
        <w:rPr>
          <w:rFonts w:cs="Arial" w:hint="cs"/>
          <w:rtl/>
        </w:rPr>
        <w:t xml:space="preserve">הגה' </w:t>
      </w:r>
      <w:r w:rsidRPr="003E2ADE">
        <w:rPr>
          <w:rFonts w:cs="Arial"/>
          <w:rtl/>
        </w:rPr>
        <w:t xml:space="preserve">סדר גיטין </w:t>
      </w:r>
      <w:r w:rsidRPr="00024824">
        <w:rPr>
          <w:rFonts w:cs="Arial"/>
          <w:sz w:val="16"/>
          <w:szCs w:val="16"/>
          <w:rtl/>
        </w:rPr>
        <w:t>(שם הגהה א אות ג)</w:t>
      </w:r>
      <w:r w:rsidR="00A82951">
        <w:rPr>
          <w:rFonts w:cs="Arial" w:hint="cs"/>
          <w:rtl/>
        </w:rPr>
        <w:t>-</w:t>
      </w:r>
      <w:r w:rsidRPr="003E2ADE">
        <w:rPr>
          <w:rFonts w:cs="Arial"/>
          <w:rtl/>
        </w:rPr>
        <w:t xml:space="preserve"> אם יש לתקן האותיות הראויות לתקן בנגיעתן</w:t>
      </w:r>
      <w:r>
        <w:rPr>
          <w:rFonts w:cs="Arial" w:hint="cs"/>
          <w:rtl/>
        </w:rPr>
        <w:t>,</w:t>
      </w:r>
      <w:r w:rsidRPr="003E2ADE">
        <w:rPr>
          <w:rFonts w:cs="Arial"/>
          <w:rtl/>
        </w:rPr>
        <w:t xml:space="preserve"> רצה לומר שראויות ליגע ואינן נוגעות</w:t>
      </w:r>
      <w:r>
        <w:rPr>
          <w:rFonts w:cs="Arial" w:hint="cs"/>
          <w:rtl/>
        </w:rPr>
        <w:t>,</w:t>
      </w:r>
      <w:r w:rsidRPr="003E2ADE">
        <w:rPr>
          <w:rFonts w:cs="Arial"/>
          <w:rtl/>
        </w:rPr>
        <w:t xml:space="preserve"> או אותיות הקצרות וצריכות תיקון באריכתן </w:t>
      </w:r>
      <w:r w:rsidR="00A82951">
        <w:rPr>
          <w:rFonts w:cs="Arial" w:hint="cs"/>
          <w:rtl/>
        </w:rPr>
        <w:t>-</w:t>
      </w:r>
      <w:r>
        <w:rPr>
          <w:rFonts w:cs="Arial" w:hint="cs"/>
          <w:rtl/>
        </w:rPr>
        <w:t xml:space="preserve"> </w:t>
      </w:r>
      <w:r w:rsidRPr="003E2ADE">
        <w:rPr>
          <w:rFonts w:cs="Arial"/>
          <w:rtl/>
        </w:rPr>
        <w:t xml:space="preserve">יתקנם קודם שיתחיל לכתוב </w:t>
      </w:r>
      <w:r>
        <w:rPr>
          <w:rFonts w:cs="Arial" w:hint="cs"/>
          <w:rtl/>
        </w:rPr>
        <w:t>'</w:t>
      </w:r>
      <w:r w:rsidRPr="003E2ADE">
        <w:rPr>
          <w:rFonts w:cs="Arial"/>
          <w:rtl/>
        </w:rPr>
        <w:t>כדת משה וישראל</w:t>
      </w:r>
      <w:r>
        <w:rPr>
          <w:rFonts w:cs="Arial" w:hint="cs"/>
          <w:rtl/>
        </w:rPr>
        <w:t>'</w:t>
      </w:r>
      <w:r>
        <w:rPr>
          <w:rStyle w:val="a7"/>
          <w:rFonts w:cs="Arial"/>
          <w:rtl/>
        </w:rPr>
        <w:footnoteReference w:id="600"/>
      </w:r>
      <w:r>
        <w:rPr>
          <w:rFonts w:cs="Arial" w:hint="cs"/>
          <w:rtl/>
        </w:rPr>
        <w:t>.</w:t>
      </w:r>
      <w:r w:rsidRPr="003E2ADE">
        <w:rPr>
          <w:rFonts w:cs="Arial"/>
          <w:rtl/>
        </w:rPr>
        <w:t xml:space="preserve"> כן הוא קבלה ממהר"י ז"ל</w:t>
      </w:r>
      <w:r>
        <w:rPr>
          <w:rFonts w:cs="Arial" w:hint="cs"/>
          <w:rtl/>
        </w:rPr>
        <w:t>,</w:t>
      </w:r>
      <w:r w:rsidRPr="003E2ADE">
        <w:rPr>
          <w:rFonts w:cs="Arial"/>
          <w:rtl/>
        </w:rPr>
        <w:t xml:space="preserve"> וכן נמצא כתוב בכתיבת יד מהר"ם מאור עינים מרעגנשפורק. </w:t>
      </w:r>
      <w:r w:rsidRPr="00024824">
        <w:rPr>
          <w:rFonts w:cs="Arial" w:hint="cs"/>
          <w:color w:val="00B0F0"/>
          <w:rtl/>
        </w:rPr>
        <w:t>(וכ"פ הרמ"א)</w:t>
      </w:r>
    </w:p>
    <w:p w14:paraId="21C091EB" w14:textId="56D76F39" w:rsidR="00923438" w:rsidRPr="00351B7D" w:rsidRDefault="00923438" w:rsidP="00923438">
      <w:pPr>
        <w:rPr>
          <w:rFonts w:asciiTheme="minorBidi" w:hAnsiTheme="minorBidi"/>
          <w:sz w:val="16"/>
          <w:szCs w:val="16"/>
          <w:rtl/>
        </w:rPr>
      </w:pPr>
      <w:r>
        <w:rPr>
          <w:rFonts w:asciiTheme="minorBidi" w:hAnsiTheme="minorBidi" w:hint="cs"/>
          <w:u w:val="single"/>
          <w:rtl/>
        </w:rPr>
        <w:t>אות</w:t>
      </w:r>
      <w:r w:rsidRPr="00351B7D">
        <w:rPr>
          <w:rFonts w:asciiTheme="minorBidi" w:hAnsiTheme="minorBidi"/>
          <w:u w:val="single"/>
          <w:rtl/>
        </w:rPr>
        <w:t xml:space="preserve"> צ' או א'</w:t>
      </w:r>
      <w:r>
        <w:rPr>
          <w:rFonts w:asciiTheme="minorBidi" w:hAnsiTheme="minorBidi" w:hint="cs"/>
          <w:u w:val="single"/>
          <w:rtl/>
        </w:rPr>
        <w:t xml:space="preserve"> </w:t>
      </w:r>
      <w:r w:rsidRPr="00351B7D">
        <w:rPr>
          <w:rFonts w:asciiTheme="minorBidi" w:hAnsiTheme="minorBidi"/>
          <w:u w:val="single"/>
          <w:rtl/>
        </w:rPr>
        <w:t>ש</w:t>
      </w:r>
      <w:r>
        <w:rPr>
          <w:rFonts w:asciiTheme="minorBidi" w:hAnsiTheme="minorBidi" w:hint="cs"/>
          <w:u w:val="single"/>
          <w:rtl/>
        </w:rPr>
        <w:t xml:space="preserve">אין </w:t>
      </w:r>
      <w:r w:rsidRPr="00351B7D">
        <w:rPr>
          <w:rFonts w:asciiTheme="minorBidi" w:hAnsiTheme="minorBidi"/>
          <w:u w:val="single"/>
          <w:rtl/>
        </w:rPr>
        <w:t>היוד שמאחוריהם נוגע בגוף האות</w:t>
      </w:r>
      <w:r w:rsidRPr="00351B7D">
        <w:rPr>
          <w:rStyle w:val="a7"/>
          <w:rFonts w:asciiTheme="minorBidi" w:hAnsiTheme="minorBidi"/>
          <w:u w:val="single"/>
          <w:rtl/>
        </w:rPr>
        <w:footnoteReference w:id="601"/>
      </w:r>
      <w:r w:rsidRPr="00351B7D">
        <w:rPr>
          <w:rFonts w:asciiTheme="minorBidi" w:hAnsiTheme="minorBidi"/>
          <w:u w:val="single"/>
          <w:rtl/>
        </w:rPr>
        <w:t>:</w:t>
      </w:r>
      <w:r w:rsidRPr="00351B7D">
        <w:rPr>
          <w:rFonts w:asciiTheme="minorBidi" w:hAnsiTheme="minorBidi"/>
          <w:sz w:val="16"/>
          <w:szCs w:val="16"/>
          <w:rtl/>
        </w:rPr>
        <w:t xml:space="preserve">   (דרכ"מ</w:t>
      </w:r>
      <w:r w:rsidRPr="00351B7D">
        <w:rPr>
          <w:rFonts w:asciiTheme="minorBidi" w:hAnsiTheme="minorBidi"/>
          <w:sz w:val="14"/>
          <w:szCs w:val="14"/>
          <w:rtl/>
        </w:rPr>
        <w:t xml:space="preserve"> </w:t>
      </w:r>
      <w:r>
        <w:rPr>
          <w:rFonts w:asciiTheme="minorBidi" w:hAnsiTheme="minorBidi" w:hint="cs"/>
          <w:sz w:val="16"/>
          <w:szCs w:val="16"/>
          <w:rtl/>
        </w:rPr>
        <w:t xml:space="preserve">סי' קכו </w:t>
      </w:r>
      <w:r w:rsidRPr="00923438">
        <w:rPr>
          <w:rFonts w:asciiTheme="minorBidi" w:hAnsiTheme="minorBidi"/>
          <w:sz w:val="16"/>
          <w:szCs w:val="16"/>
          <w:rtl/>
        </w:rPr>
        <w:t>אות ב ואות ה</w:t>
      </w:r>
      <w:r w:rsidRPr="00351B7D">
        <w:rPr>
          <w:rFonts w:asciiTheme="minorBidi" w:hAnsiTheme="minorBidi"/>
          <w:sz w:val="16"/>
          <w:szCs w:val="16"/>
          <w:rtl/>
        </w:rPr>
        <w:t>)</w:t>
      </w:r>
    </w:p>
    <w:p w14:paraId="73AA9B97" w14:textId="52515316" w:rsidR="00923438" w:rsidRPr="00351B7D" w:rsidRDefault="00923438" w:rsidP="00923438">
      <w:pPr>
        <w:pStyle w:val="ab"/>
        <w:numPr>
          <w:ilvl w:val="0"/>
          <w:numId w:val="3"/>
        </w:numPr>
        <w:rPr>
          <w:rFonts w:asciiTheme="minorBidi" w:hAnsiTheme="minorBidi"/>
        </w:rPr>
      </w:pPr>
      <w:r w:rsidRPr="00351B7D">
        <w:rPr>
          <w:rFonts w:asciiTheme="minorBidi" w:hAnsiTheme="minorBidi"/>
          <w:rtl/>
        </w:rPr>
        <w:t xml:space="preserve">תרוה"ד </w:t>
      </w:r>
      <w:r w:rsidRPr="00351B7D">
        <w:rPr>
          <w:rFonts w:asciiTheme="minorBidi" w:hAnsiTheme="minorBidi"/>
          <w:sz w:val="16"/>
          <w:szCs w:val="16"/>
          <w:rtl/>
        </w:rPr>
        <w:t>(סי' רל, ובפסקיו סי' מה)</w:t>
      </w:r>
      <w:r w:rsidR="00A82951">
        <w:rPr>
          <w:rFonts w:asciiTheme="minorBidi" w:hAnsiTheme="minorBidi"/>
          <w:rtl/>
        </w:rPr>
        <w:t>-</w:t>
      </w:r>
      <w:r w:rsidRPr="00351B7D">
        <w:rPr>
          <w:rFonts w:asciiTheme="minorBidi" w:hAnsiTheme="minorBidi"/>
          <w:rtl/>
        </w:rPr>
        <w:t xml:space="preserve"> אפילו בדיעבד יש להחמיר, אע"פ שהתינוק קורא אותו יפה. </w:t>
      </w:r>
    </w:p>
    <w:p w14:paraId="731FEB09" w14:textId="6DFCE0CF" w:rsidR="00923438" w:rsidRPr="00351B7D" w:rsidRDefault="00923438" w:rsidP="00923438">
      <w:pPr>
        <w:pStyle w:val="ab"/>
        <w:numPr>
          <w:ilvl w:val="0"/>
          <w:numId w:val="3"/>
        </w:numPr>
        <w:rPr>
          <w:rFonts w:asciiTheme="minorBidi" w:hAnsiTheme="minorBidi"/>
        </w:rPr>
      </w:pPr>
      <w:r w:rsidRPr="00351B7D">
        <w:rPr>
          <w:rFonts w:asciiTheme="minorBidi" w:hAnsiTheme="minorBidi"/>
          <w:rtl/>
        </w:rPr>
        <w:t xml:space="preserve">ב"י </w:t>
      </w:r>
      <w:r w:rsidRPr="00351B7D">
        <w:rPr>
          <w:rFonts w:asciiTheme="minorBidi" w:hAnsiTheme="minorBidi"/>
          <w:sz w:val="16"/>
          <w:szCs w:val="16"/>
          <w:rtl/>
        </w:rPr>
        <w:t>(לקמן סע' מז)</w:t>
      </w:r>
      <w:r w:rsidR="00A82951">
        <w:rPr>
          <w:rFonts w:asciiTheme="minorBidi" w:hAnsiTheme="minorBidi"/>
          <w:rtl/>
        </w:rPr>
        <w:t>-</w:t>
      </w:r>
      <w:r w:rsidRPr="00351B7D">
        <w:rPr>
          <w:rFonts w:asciiTheme="minorBidi" w:hAnsiTheme="minorBidi"/>
          <w:rtl/>
        </w:rPr>
        <w:t xml:space="preserve"> אם הוא בטופס פשיטא דכשר דלא גרע מאילו חסר כל האות, ואף בתורף יש להכשיר בדיעבד במקום עיגון כיון דתינוק קורא אותו יפה. </w:t>
      </w:r>
    </w:p>
    <w:p w14:paraId="2A88A9CA" w14:textId="2C8257AC" w:rsidR="00923438" w:rsidRPr="00351B7D" w:rsidRDefault="00923438" w:rsidP="00923438">
      <w:pPr>
        <w:pStyle w:val="ab"/>
        <w:numPr>
          <w:ilvl w:val="0"/>
          <w:numId w:val="3"/>
        </w:numPr>
        <w:rPr>
          <w:rFonts w:asciiTheme="minorBidi" w:hAnsiTheme="minorBidi"/>
        </w:rPr>
      </w:pPr>
      <w:r w:rsidRPr="00351B7D">
        <w:rPr>
          <w:rFonts w:asciiTheme="minorBidi" w:hAnsiTheme="minorBidi"/>
          <w:rtl/>
        </w:rPr>
        <w:t xml:space="preserve">מהר"י מרפור"ק </w:t>
      </w:r>
      <w:r w:rsidRPr="00351B7D">
        <w:rPr>
          <w:rFonts w:asciiTheme="minorBidi" w:hAnsiTheme="minorBidi"/>
          <w:sz w:val="16"/>
          <w:szCs w:val="16"/>
          <w:rtl/>
        </w:rPr>
        <w:t>(הביאו הדרכ"מ אות ה)</w:t>
      </w:r>
      <w:r w:rsidR="00A82951">
        <w:rPr>
          <w:rFonts w:asciiTheme="minorBidi" w:hAnsiTheme="minorBidi"/>
          <w:rtl/>
        </w:rPr>
        <w:t>-</w:t>
      </w:r>
      <w:r w:rsidRPr="00351B7D">
        <w:rPr>
          <w:rFonts w:asciiTheme="minorBidi" w:hAnsiTheme="minorBidi"/>
          <w:rtl/>
        </w:rPr>
        <w:t xml:space="preserve"> אם היו"ד שעל האל"ף מחובר בב' מקומות אינו מזיק</w:t>
      </w:r>
      <w:r w:rsidRPr="00351B7D">
        <w:rPr>
          <w:rStyle w:val="a7"/>
          <w:rFonts w:asciiTheme="minorBidi" w:hAnsiTheme="minorBidi"/>
          <w:rtl/>
        </w:rPr>
        <w:footnoteReference w:id="602"/>
      </w:r>
      <w:r w:rsidRPr="00351B7D">
        <w:rPr>
          <w:rFonts w:asciiTheme="minorBidi" w:hAnsiTheme="minorBidi"/>
          <w:rtl/>
        </w:rPr>
        <w:t>.</w:t>
      </w:r>
    </w:p>
    <w:p w14:paraId="448AC1C2"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0921B8D" w14:textId="61A054F7" w:rsidR="00C77C34" w:rsidRDefault="00C77C34" w:rsidP="00256127">
      <w:pPr>
        <w:rPr>
          <w:rFonts w:cs="Arial"/>
          <w:rtl/>
        </w:rPr>
      </w:pPr>
      <w:r w:rsidRPr="00C77C34">
        <w:rPr>
          <w:rFonts w:cs="Arial"/>
          <w:rtl/>
        </w:rPr>
        <w:t xml:space="preserve">לא יהא הכתב מעוקם ולא מבולבל, שמא תדמה אות לאות ונמצא הענין משתנה. </w:t>
      </w:r>
      <w:r w:rsidRPr="002D5E7F">
        <w:rPr>
          <w:rFonts w:cs="Arial"/>
          <w:sz w:val="18"/>
          <w:szCs w:val="18"/>
          <w:rtl/>
        </w:rPr>
        <w:t>הגה: רגלי ה"א וקו"ף שנוגעין, יש לפסול אפילו בדיעבד (ת</w:t>
      </w:r>
      <w:r w:rsidR="004121F1">
        <w:rPr>
          <w:rFonts w:cs="Arial" w:hint="cs"/>
          <w:sz w:val="18"/>
          <w:szCs w:val="18"/>
          <w:rtl/>
        </w:rPr>
        <w:t>רו</w:t>
      </w:r>
      <w:r w:rsidRPr="002D5E7F">
        <w:rPr>
          <w:rFonts w:cs="Arial"/>
          <w:sz w:val="18"/>
          <w:szCs w:val="18"/>
          <w:rtl/>
        </w:rPr>
        <w:t>ה</w:t>
      </w:r>
      <w:r w:rsidR="004121F1">
        <w:rPr>
          <w:rFonts w:cs="Arial" w:hint="cs"/>
          <w:sz w:val="18"/>
          <w:szCs w:val="18"/>
          <w:rtl/>
        </w:rPr>
        <w:t>"ד</w:t>
      </w:r>
      <w:r w:rsidRPr="002D5E7F">
        <w:rPr>
          <w:rFonts w:cs="Arial"/>
          <w:sz w:val="18"/>
          <w:szCs w:val="18"/>
          <w:rtl/>
        </w:rPr>
        <w:t xml:space="preserve"> סי</w:t>
      </w:r>
      <w:r w:rsidR="005F4038">
        <w:rPr>
          <w:rFonts w:cs="Arial" w:hint="cs"/>
          <w:sz w:val="18"/>
          <w:szCs w:val="18"/>
          <w:rtl/>
        </w:rPr>
        <w:t xml:space="preserve">' </w:t>
      </w:r>
      <w:r w:rsidRPr="002D5E7F">
        <w:rPr>
          <w:rFonts w:cs="Arial"/>
          <w:sz w:val="18"/>
          <w:szCs w:val="18"/>
          <w:rtl/>
        </w:rPr>
        <w:t>מח ובפסקיו סי</w:t>
      </w:r>
      <w:r w:rsidR="004121F1">
        <w:rPr>
          <w:rFonts w:cs="Arial" w:hint="cs"/>
          <w:sz w:val="18"/>
          <w:szCs w:val="18"/>
          <w:rtl/>
        </w:rPr>
        <w:t>'</w:t>
      </w:r>
      <w:r w:rsidRPr="002D5E7F">
        <w:rPr>
          <w:rFonts w:cs="Arial"/>
          <w:sz w:val="18"/>
          <w:szCs w:val="18"/>
          <w:rtl/>
        </w:rPr>
        <w:t xml:space="preserve"> מה). מיהו אם תינוק יכול לקרותו, יש מכשירין במקום עיגון</w:t>
      </w:r>
      <w:r w:rsidR="00AB5B83">
        <w:rPr>
          <w:rStyle w:val="a7"/>
          <w:rFonts w:cs="Arial"/>
          <w:sz w:val="18"/>
          <w:szCs w:val="18"/>
          <w:rtl/>
        </w:rPr>
        <w:footnoteReference w:id="603"/>
      </w:r>
      <w:r w:rsidRPr="002D5E7F">
        <w:rPr>
          <w:rFonts w:cs="Arial"/>
          <w:sz w:val="18"/>
          <w:szCs w:val="18"/>
          <w:rtl/>
        </w:rPr>
        <w:t xml:space="preserve"> (מהרי"ק שורש עא). ולכתחלה אסור להפריד בסכין, אלא יכתוב גט אחר (שם שורש צח). ודוקא שלא במקום עיגון, אבל במקום הדחק שיש לחוש לעיגון, יתקן</w:t>
      </w:r>
      <w:r w:rsidR="00AB5B83">
        <w:rPr>
          <w:rStyle w:val="a7"/>
          <w:rFonts w:cs="Arial"/>
          <w:sz w:val="18"/>
          <w:szCs w:val="18"/>
          <w:rtl/>
        </w:rPr>
        <w:footnoteReference w:id="604"/>
      </w:r>
      <w:r w:rsidRPr="002D5E7F">
        <w:rPr>
          <w:rFonts w:cs="Arial"/>
          <w:sz w:val="18"/>
          <w:szCs w:val="18"/>
          <w:rtl/>
        </w:rPr>
        <w:t xml:space="preserve"> (</w:t>
      </w:r>
      <w:r w:rsidR="000161ED">
        <w:rPr>
          <w:rFonts w:cs="Arial" w:hint="cs"/>
          <w:sz w:val="18"/>
          <w:szCs w:val="18"/>
          <w:rtl/>
        </w:rPr>
        <w:t>ב"י ו</w:t>
      </w:r>
      <w:r w:rsidRPr="002D5E7F">
        <w:rPr>
          <w:rFonts w:cs="Arial"/>
          <w:sz w:val="18"/>
          <w:szCs w:val="18"/>
          <w:rtl/>
        </w:rPr>
        <w:t>סברת הרב). ועיין באורח חיים סימן ל"ב כיצד יתקן. ועיין סימן קכ"ו סעיף מ"ח. ואם צריך לתקן אותיות, כגון שלא נוגעים במקום שראוי ליגע או שהיו קצרים וצריך להאריכן, יתקנן קודם שיכתוב כדת משה וישראל</w:t>
      </w:r>
      <w:r w:rsidR="00E673F6">
        <w:rPr>
          <w:rStyle w:val="a7"/>
          <w:rFonts w:cs="Arial"/>
          <w:sz w:val="18"/>
          <w:szCs w:val="18"/>
          <w:rtl/>
        </w:rPr>
        <w:footnoteReference w:id="605"/>
      </w:r>
      <w:r w:rsidRPr="002D5E7F">
        <w:rPr>
          <w:rFonts w:cs="Arial"/>
          <w:sz w:val="18"/>
          <w:szCs w:val="18"/>
          <w:rtl/>
        </w:rPr>
        <w:t xml:space="preserve"> (הגה</w:t>
      </w:r>
      <w:r w:rsidR="00024824">
        <w:rPr>
          <w:rFonts w:cs="Arial" w:hint="cs"/>
          <w:sz w:val="18"/>
          <w:szCs w:val="18"/>
          <w:rtl/>
        </w:rPr>
        <w:t>'</w:t>
      </w:r>
      <w:r w:rsidRPr="002D5E7F">
        <w:rPr>
          <w:rFonts w:cs="Arial"/>
          <w:sz w:val="18"/>
          <w:szCs w:val="18"/>
          <w:rtl/>
        </w:rPr>
        <w:t xml:space="preserve"> סדר גיטין), או לכל הפחות קודם החתימה (מהר"ם פדוואה). וצריך ליזהר שיגע כל מה שראוי ליגע, ושלא יגע מה שראוי שלא יגע, כספר תורה ותפילין ומזוזות (בסדר גיטין וכ</w:t>
      </w:r>
      <w:r w:rsidR="0038619F">
        <w:rPr>
          <w:rFonts w:cs="Arial" w:hint="cs"/>
          <w:sz w:val="18"/>
          <w:szCs w:val="18"/>
          <w:rtl/>
        </w:rPr>
        <w:t>"</w:t>
      </w:r>
      <w:r w:rsidRPr="002D5E7F">
        <w:rPr>
          <w:rFonts w:cs="Arial"/>
          <w:sz w:val="18"/>
          <w:szCs w:val="18"/>
          <w:rtl/>
        </w:rPr>
        <w:t>מ בהגמ</w:t>
      </w:r>
      <w:r w:rsidR="0038619F">
        <w:rPr>
          <w:rFonts w:cs="Arial" w:hint="cs"/>
          <w:sz w:val="18"/>
          <w:szCs w:val="18"/>
          <w:rtl/>
        </w:rPr>
        <w:t>"</w:t>
      </w:r>
      <w:r w:rsidRPr="002D5E7F">
        <w:rPr>
          <w:rFonts w:cs="Arial"/>
          <w:sz w:val="18"/>
          <w:szCs w:val="18"/>
          <w:rtl/>
        </w:rPr>
        <w:t>ר דגיטין). ואם אינו נוגע מה שראוי ליגע, כגון יו"ד שאחורי הצדי"ק ויו"ד שבאל"ף וכיוצא בזה, י"א דאפילו תינוק דלא חכים ולא טיפש קורא אותו, פסול אפילו בדיעבד (ת</w:t>
      </w:r>
      <w:r w:rsidR="0038619F">
        <w:rPr>
          <w:rFonts w:cs="Arial" w:hint="cs"/>
          <w:sz w:val="18"/>
          <w:szCs w:val="18"/>
          <w:rtl/>
        </w:rPr>
        <w:t>רו</w:t>
      </w:r>
      <w:r w:rsidRPr="002D5E7F">
        <w:rPr>
          <w:rFonts w:cs="Arial"/>
          <w:sz w:val="18"/>
          <w:szCs w:val="18"/>
          <w:rtl/>
        </w:rPr>
        <w:t>ה</w:t>
      </w:r>
      <w:r w:rsidR="0038619F">
        <w:rPr>
          <w:rFonts w:cs="Arial" w:hint="cs"/>
          <w:sz w:val="18"/>
          <w:szCs w:val="18"/>
          <w:rtl/>
        </w:rPr>
        <w:t xml:space="preserve">"ד </w:t>
      </w:r>
      <w:r w:rsidRPr="002D5E7F">
        <w:rPr>
          <w:rFonts w:cs="Arial"/>
          <w:sz w:val="18"/>
          <w:szCs w:val="18"/>
          <w:rtl/>
        </w:rPr>
        <w:lastRenderedPageBreak/>
        <w:t>פסקי</w:t>
      </w:r>
      <w:r w:rsidR="00744549">
        <w:rPr>
          <w:rFonts w:cs="Arial" w:hint="cs"/>
          <w:sz w:val="18"/>
          <w:szCs w:val="18"/>
          <w:rtl/>
        </w:rPr>
        <w:t>ם</w:t>
      </w:r>
      <w:r w:rsidRPr="002D5E7F">
        <w:rPr>
          <w:rFonts w:cs="Arial"/>
          <w:sz w:val="18"/>
          <w:szCs w:val="18"/>
          <w:rtl/>
        </w:rPr>
        <w:t xml:space="preserve"> סי</w:t>
      </w:r>
      <w:r w:rsidR="0038619F">
        <w:rPr>
          <w:rFonts w:cs="Arial" w:hint="cs"/>
          <w:sz w:val="18"/>
          <w:szCs w:val="18"/>
          <w:rtl/>
        </w:rPr>
        <w:t>'</w:t>
      </w:r>
      <w:r w:rsidRPr="002D5E7F">
        <w:rPr>
          <w:rFonts w:cs="Arial"/>
          <w:sz w:val="18"/>
          <w:szCs w:val="18"/>
          <w:rtl/>
        </w:rPr>
        <w:t xml:space="preserve"> מג). וי"א דבמקום עיגון יש להכשיר בכה</w:t>
      </w:r>
      <w:r w:rsidR="001449DA">
        <w:rPr>
          <w:rFonts w:cs="Arial" w:hint="cs"/>
          <w:sz w:val="18"/>
          <w:szCs w:val="18"/>
          <w:rtl/>
        </w:rPr>
        <w:t>"</w:t>
      </w:r>
      <w:r w:rsidRPr="002D5E7F">
        <w:rPr>
          <w:rFonts w:cs="Arial"/>
          <w:sz w:val="18"/>
          <w:szCs w:val="18"/>
          <w:rtl/>
        </w:rPr>
        <w:t>ג</w:t>
      </w:r>
      <w:r w:rsidR="001449DA">
        <w:rPr>
          <w:rStyle w:val="a7"/>
          <w:rFonts w:cs="Arial"/>
          <w:sz w:val="18"/>
          <w:szCs w:val="18"/>
          <w:rtl/>
        </w:rPr>
        <w:footnoteReference w:id="606"/>
      </w:r>
      <w:r w:rsidRPr="002D5E7F">
        <w:rPr>
          <w:rFonts w:cs="Arial"/>
          <w:sz w:val="18"/>
          <w:szCs w:val="18"/>
          <w:rtl/>
        </w:rPr>
        <w:t>. ואם הוא בטופס הגט</w:t>
      </w:r>
      <w:r w:rsidR="00BC7D8F">
        <w:rPr>
          <w:rStyle w:val="a7"/>
          <w:rFonts w:cs="Arial"/>
          <w:sz w:val="18"/>
          <w:szCs w:val="18"/>
          <w:rtl/>
        </w:rPr>
        <w:footnoteReference w:id="607"/>
      </w:r>
      <w:r w:rsidRPr="002D5E7F">
        <w:rPr>
          <w:rFonts w:cs="Arial"/>
          <w:sz w:val="18"/>
          <w:szCs w:val="18"/>
          <w:rtl/>
        </w:rPr>
        <w:t>, אפילו בלא עיגון יש להקל</w:t>
      </w:r>
      <w:r w:rsidR="00A92A6F">
        <w:rPr>
          <w:rStyle w:val="a7"/>
          <w:rFonts w:cs="Arial"/>
          <w:sz w:val="18"/>
          <w:szCs w:val="18"/>
          <w:rtl/>
        </w:rPr>
        <w:footnoteReference w:id="608"/>
      </w:r>
      <w:r w:rsidRPr="002D5E7F">
        <w:rPr>
          <w:rFonts w:cs="Arial"/>
          <w:sz w:val="18"/>
          <w:szCs w:val="18"/>
          <w:rtl/>
        </w:rPr>
        <w:t xml:space="preserve"> (ב"י). כתב למ"ד אל"ף של ישראל ביחד, י"א דכשר אם הוא בטופס</w:t>
      </w:r>
      <w:r w:rsidR="001449DA">
        <w:rPr>
          <w:rStyle w:val="a7"/>
          <w:rFonts w:cs="Arial"/>
          <w:sz w:val="18"/>
          <w:szCs w:val="18"/>
          <w:rtl/>
        </w:rPr>
        <w:footnoteReference w:id="609"/>
      </w:r>
      <w:r w:rsidRPr="002D5E7F">
        <w:rPr>
          <w:rFonts w:cs="Arial"/>
          <w:sz w:val="18"/>
          <w:szCs w:val="18"/>
          <w:rtl/>
        </w:rPr>
        <w:t xml:space="preserve"> (תשו</w:t>
      </w:r>
      <w:r w:rsidR="0038619F">
        <w:rPr>
          <w:rFonts w:cs="Arial" w:hint="cs"/>
          <w:sz w:val="18"/>
          <w:szCs w:val="18"/>
          <w:rtl/>
        </w:rPr>
        <w:t>'</w:t>
      </w:r>
      <w:r w:rsidRPr="002D5E7F">
        <w:rPr>
          <w:rFonts w:cs="Arial"/>
          <w:sz w:val="18"/>
          <w:szCs w:val="18"/>
          <w:rtl/>
        </w:rPr>
        <w:t xml:space="preserve"> הרא"ש)</w:t>
      </w:r>
      <w:r w:rsidR="0038619F">
        <w:rPr>
          <w:rFonts w:cs="Arial" w:hint="cs"/>
          <w:sz w:val="18"/>
          <w:szCs w:val="18"/>
          <w:rtl/>
        </w:rPr>
        <w:t>.</w:t>
      </w:r>
      <w:r w:rsidRPr="002D5E7F">
        <w:rPr>
          <w:rFonts w:cs="Arial"/>
          <w:sz w:val="18"/>
          <w:szCs w:val="18"/>
          <w:rtl/>
        </w:rPr>
        <w:t xml:space="preserve"> ובמקום עיגון יש להקל. היה קוצו של יו"ד שעל האל"ף נוגע גם מלפניו כזה, כשר</w:t>
      </w:r>
      <w:r w:rsidR="00FC2F71">
        <w:rPr>
          <w:rStyle w:val="a7"/>
          <w:rFonts w:cs="Arial"/>
          <w:sz w:val="18"/>
          <w:szCs w:val="18"/>
          <w:rtl/>
        </w:rPr>
        <w:footnoteReference w:id="610"/>
      </w:r>
      <w:r w:rsidRPr="002D5E7F">
        <w:rPr>
          <w:rFonts w:cs="Arial"/>
          <w:sz w:val="18"/>
          <w:szCs w:val="18"/>
          <w:rtl/>
        </w:rPr>
        <w:t xml:space="preserve"> (מ"כ בשם מהר"י מרפורק). נתפשטו האותיות מכח לחות הדיו שקורין גיפלאס"ן, עד שנראין כדבוקין ומכל מקום נראה שאין האותיות נוגעין, כשר (מ"כ בשם מהר"י ברי"ן).</w:t>
      </w:r>
    </w:p>
    <w:p w14:paraId="6ABF9818" w14:textId="77777777" w:rsidR="00744549" w:rsidRPr="00C77C34" w:rsidRDefault="00744549" w:rsidP="00744549">
      <w:pPr>
        <w:rPr>
          <w:rFonts w:cs="Arial"/>
          <w:rtl/>
        </w:rPr>
      </w:pPr>
    </w:p>
    <w:p w14:paraId="7037BAA0" w14:textId="04975C30" w:rsidR="00C77C34" w:rsidRDefault="00C77C34" w:rsidP="00786DE6">
      <w:pPr>
        <w:pStyle w:val="2"/>
        <w:rPr>
          <w:rtl/>
        </w:rPr>
      </w:pPr>
      <w:r w:rsidRPr="00C77C34">
        <w:rPr>
          <w:rtl/>
        </w:rPr>
        <w:t>סעיף יז</w:t>
      </w:r>
      <w:r w:rsidR="00786DE6">
        <w:rPr>
          <w:rFonts w:hint="cs"/>
          <w:rtl/>
        </w:rPr>
        <w:t xml:space="preserve">: </w:t>
      </w:r>
      <w:r w:rsidR="00251B8F">
        <w:rPr>
          <w:rFonts w:hint="cs"/>
          <w:rtl/>
        </w:rPr>
        <w:t xml:space="preserve">גט שיש בו </w:t>
      </w:r>
      <w:r w:rsidR="004121F1">
        <w:rPr>
          <w:rFonts w:hint="cs"/>
          <w:rtl/>
        </w:rPr>
        <w:t>משמעות ב' עניינים, או כתב מבולבל</w:t>
      </w:r>
      <w:r w:rsidR="00251B8F">
        <w:rPr>
          <w:rFonts w:hint="cs"/>
          <w:rtl/>
        </w:rPr>
        <w:t>.</w:t>
      </w:r>
    </w:p>
    <w:p w14:paraId="70413BDA" w14:textId="77777777" w:rsidR="0038619F" w:rsidRPr="0038619F" w:rsidRDefault="0038619F" w:rsidP="0038619F">
      <w:pPr>
        <w:rPr>
          <w:rFonts w:cs="Arial"/>
          <w:u w:val="single"/>
        </w:rPr>
      </w:pPr>
      <w:r w:rsidRPr="0038619F">
        <w:rPr>
          <w:rFonts w:cs="Arial" w:hint="cs"/>
          <w:u w:val="single"/>
          <w:rtl/>
        </w:rPr>
        <w:t xml:space="preserve">היה </w:t>
      </w:r>
      <w:r w:rsidRPr="0038619F">
        <w:rPr>
          <w:rFonts w:hint="cs"/>
          <w:u w:val="single"/>
          <w:rtl/>
        </w:rPr>
        <w:t>בו משמעות ב' עניינים, או שהיה בכתב עיקום או בלבול שאפשר לטעות בו:</w:t>
      </w:r>
    </w:p>
    <w:p w14:paraId="2D61081F" w14:textId="429185DD" w:rsidR="004121F1" w:rsidRPr="0038619F" w:rsidRDefault="0038619F" w:rsidP="0038619F">
      <w:pPr>
        <w:pStyle w:val="ab"/>
        <w:numPr>
          <w:ilvl w:val="0"/>
          <w:numId w:val="47"/>
        </w:numPr>
        <w:rPr>
          <w:rFonts w:cs="Arial"/>
          <w:rtl/>
        </w:rPr>
      </w:pPr>
      <w:r w:rsidRPr="002D5E7F">
        <w:rPr>
          <w:rFonts w:cs="Arial"/>
          <w:rtl/>
        </w:rPr>
        <w:t>רמב"ם</w:t>
      </w:r>
      <w:r>
        <w:rPr>
          <w:rFonts w:cs="Arial" w:hint="cs"/>
          <w:sz w:val="16"/>
          <w:szCs w:val="16"/>
          <w:rtl/>
        </w:rPr>
        <w:t xml:space="preserve"> (פ"ד הי"א, העתיק הטור לשונו)</w:t>
      </w:r>
      <w:r w:rsidR="00A82951">
        <w:rPr>
          <w:rFonts w:cs="Arial" w:hint="cs"/>
          <w:rtl/>
        </w:rPr>
        <w:t>-</w:t>
      </w:r>
      <w:r w:rsidRPr="002D5E7F">
        <w:rPr>
          <w:rFonts w:cs="Arial"/>
          <w:rtl/>
        </w:rPr>
        <w:t xml:space="preserve"> </w:t>
      </w:r>
      <w:r w:rsidRPr="001F1B2C">
        <w:rPr>
          <w:rFonts w:cs="Arial"/>
          <w:rtl/>
        </w:rPr>
        <w:t xml:space="preserve">היה בו משמע שני עניינות או שהיה בכתבו עיקום או בלבול עד שאפשר שיקרא ממנו ענין אחר, הואיל ונקרא לענין הגירושין ויש בו משמע גירושין </w:t>
      </w:r>
      <w:r w:rsidR="00A82951">
        <w:rPr>
          <w:rFonts w:cs="Arial" w:hint="cs"/>
          <w:rtl/>
        </w:rPr>
        <w:t>-</w:t>
      </w:r>
      <w:r>
        <w:rPr>
          <w:rFonts w:cs="Arial" w:hint="cs"/>
          <w:rtl/>
        </w:rPr>
        <w:t xml:space="preserve"> </w:t>
      </w:r>
      <w:r w:rsidRPr="001F1B2C">
        <w:rPr>
          <w:rFonts w:cs="Arial"/>
          <w:rtl/>
        </w:rPr>
        <w:t>הרי זה פסול</w:t>
      </w:r>
      <w:r>
        <w:rPr>
          <w:rStyle w:val="a7"/>
          <w:rFonts w:cs="Arial"/>
          <w:rtl/>
        </w:rPr>
        <w:footnoteReference w:id="611"/>
      </w:r>
      <w:r w:rsidRPr="001F1B2C">
        <w:rPr>
          <w:rFonts w:cs="Arial"/>
          <w:rtl/>
        </w:rPr>
        <w:t>.</w:t>
      </w:r>
      <w:r w:rsidRPr="001F1B2C">
        <w:rPr>
          <w:rFonts w:cs="Arial" w:hint="cs"/>
          <w:rtl/>
        </w:rPr>
        <w:t>..</w:t>
      </w:r>
      <w:r w:rsidR="00744549">
        <w:rPr>
          <w:rFonts w:cs="Arial" w:hint="cs"/>
          <w:rtl/>
        </w:rPr>
        <w:t xml:space="preserve"> </w:t>
      </w:r>
      <w:r w:rsidR="00744549" w:rsidRPr="0038619F">
        <w:rPr>
          <w:rFonts w:cs="Arial" w:hint="cs"/>
          <w:color w:val="E36C0A" w:themeColor="accent6" w:themeShade="BF"/>
          <w:rtl/>
        </w:rPr>
        <w:t>(וכ"פ בשו"ע)</w:t>
      </w:r>
    </w:p>
    <w:p w14:paraId="1A3809D8"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4FF7421" w14:textId="2ECC3E65" w:rsidR="00C77C34" w:rsidRDefault="00C77C34" w:rsidP="00C77C34">
      <w:pPr>
        <w:rPr>
          <w:rFonts w:cs="Arial"/>
          <w:rtl/>
        </w:rPr>
      </w:pPr>
      <w:r w:rsidRPr="00C77C34">
        <w:rPr>
          <w:rFonts w:cs="Arial"/>
          <w:rtl/>
        </w:rPr>
        <w:t xml:space="preserve">היה בו משמעות שני ענינים, או שהיה בכתבו עיקום או בלבול, </w:t>
      </w:r>
      <w:r w:rsidR="00830D5A">
        <w:rPr>
          <w:rStyle w:val="a7"/>
          <w:rFonts w:cs="Arial"/>
          <w:rtl/>
        </w:rPr>
        <w:footnoteReference w:id="612"/>
      </w:r>
      <w:r w:rsidR="00830D5A">
        <w:rPr>
          <w:rFonts w:cs="Arial" w:hint="cs"/>
          <w:rtl/>
        </w:rPr>
        <w:t>[עד]</w:t>
      </w:r>
      <w:r w:rsidRPr="00C77C34">
        <w:rPr>
          <w:rFonts w:cs="Arial"/>
          <w:rtl/>
        </w:rPr>
        <w:t xml:space="preserve"> שאפשר שיקרא ממנו ענין אחר, הרי זה פסול</w:t>
      </w:r>
      <w:r w:rsidR="00830D5A">
        <w:rPr>
          <w:rStyle w:val="a7"/>
          <w:rFonts w:cs="Arial"/>
          <w:rtl/>
        </w:rPr>
        <w:footnoteReference w:id="613"/>
      </w:r>
      <w:r w:rsidRPr="00C77C34">
        <w:rPr>
          <w:rFonts w:cs="Arial"/>
          <w:rtl/>
        </w:rPr>
        <w:t xml:space="preserve">. </w:t>
      </w:r>
    </w:p>
    <w:p w14:paraId="4CEBF941" w14:textId="77777777" w:rsidR="002D5E7F" w:rsidRPr="00C77C34" w:rsidRDefault="002D5E7F" w:rsidP="00C77C34">
      <w:pPr>
        <w:rPr>
          <w:rFonts w:cs="Arial"/>
          <w:rtl/>
        </w:rPr>
      </w:pPr>
    </w:p>
    <w:p w14:paraId="7716CDF5" w14:textId="650C8635" w:rsidR="00C77C34" w:rsidRDefault="00C77C34" w:rsidP="00786DE6">
      <w:pPr>
        <w:pStyle w:val="2"/>
        <w:rPr>
          <w:rtl/>
        </w:rPr>
      </w:pPr>
      <w:r w:rsidRPr="00C77C34">
        <w:rPr>
          <w:rtl/>
        </w:rPr>
        <w:t>סעיף יח</w:t>
      </w:r>
      <w:r w:rsidR="00667DE1">
        <w:rPr>
          <w:rFonts w:hint="cs"/>
          <w:rtl/>
        </w:rPr>
        <w:t>: שינויים בדקדוק כתיבת האות ממקום למקום.</w:t>
      </w:r>
    </w:p>
    <w:p w14:paraId="09CAEA61" w14:textId="18D56C45" w:rsidR="004121F1" w:rsidRPr="004121F1" w:rsidRDefault="004121F1" w:rsidP="004121F1">
      <w:pPr>
        <w:rPr>
          <w:u w:val="single"/>
        </w:rPr>
      </w:pPr>
      <w:r w:rsidRPr="004121F1">
        <w:rPr>
          <w:rFonts w:hint="cs"/>
          <w:u w:val="single"/>
          <w:rtl/>
        </w:rPr>
        <w:t xml:space="preserve">דיקדוקי </w:t>
      </w:r>
      <w:r w:rsidR="00667DE1">
        <w:rPr>
          <w:rFonts w:hint="cs"/>
          <w:u w:val="single"/>
          <w:rtl/>
        </w:rPr>
        <w:t xml:space="preserve">כתיבת </w:t>
      </w:r>
      <w:r w:rsidRPr="004121F1">
        <w:rPr>
          <w:rFonts w:hint="cs"/>
          <w:u w:val="single"/>
          <w:rtl/>
        </w:rPr>
        <w:t xml:space="preserve">אותיות שמשתנים ממקום למקום </w:t>
      </w:r>
      <w:r w:rsidR="00A82951">
        <w:rPr>
          <w:u w:val="single"/>
          <w:rtl/>
        </w:rPr>
        <w:t>-</w:t>
      </w:r>
      <w:r w:rsidRPr="004121F1">
        <w:rPr>
          <w:rFonts w:hint="cs"/>
          <w:u w:val="single"/>
          <w:rtl/>
        </w:rPr>
        <w:t xml:space="preserve"> כיצד בודקים את הכתב:</w:t>
      </w:r>
    </w:p>
    <w:p w14:paraId="0B1A16B4" w14:textId="0D522796" w:rsidR="009A0A81" w:rsidRPr="00466AF6" w:rsidRDefault="00237D68" w:rsidP="009A0A81">
      <w:pPr>
        <w:pStyle w:val="ab"/>
        <w:numPr>
          <w:ilvl w:val="0"/>
          <w:numId w:val="47"/>
        </w:numPr>
        <w:rPr>
          <w:color w:val="000000" w:themeColor="text1"/>
        </w:rPr>
      </w:pPr>
      <w:r>
        <w:rPr>
          <w:rFonts w:cs="Arial" w:hint="cs"/>
          <w:rtl/>
        </w:rPr>
        <w:t xml:space="preserve">רא"ש </w:t>
      </w:r>
      <w:r>
        <w:rPr>
          <w:rFonts w:cs="Arial" w:hint="cs"/>
          <w:sz w:val="16"/>
          <w:szCs w:val="16"/>
          <w:rtl/>
        </w:rPr>
        <w:t>(כלל מה סי' ב)</w:t>
      </w:r>
      <w:r w:rsidR="00A82951">
        <w:rPr>
          <w:rFonts w:cs="Arial" w:hint="cs"/>
          <w:rtl/>
        </w:rPr>
        <w:t>-</w:t>
      </w:r>
      <w:r>
        <w:rPr>
          <w:rFonts w:cs="Arial" w:hint="cs"/>
          <w:rtl/>
        </w:rPr>
        <w:t xml:space="preserve"> </w:t>
      </w:r>
      <w:r>
        <w:rPr>
          <w:rFonts w:cs="Arial"/>
          <w:rtl/>
        </w:rPr>
        <w:t>וששאלת גט הבא מארץ המרחק ויש אותיות שהן משתנות בכתיבתן ממדינה למדינה</w:t>
      </w:r>
      <w:r w:rsidR="000161ED">
        <w:rPr>
          <w:rFonts w:cs="Arial" w:hint="cs"/>
          <w:rtl/>
        </w:rPr>
        <w:t>,</w:t>
      </w:r>
      <w:r>
        <w:rPr>
          <w:rFonts w:cs="Arial"/>
          <w:rtl/>
        </w:rPr>
        <w:t xml:space="preserve"> כגון יש מקומות שכותבין נון זקופה קטנה ונקראת זי"ן</w:t>
      </w:r>
      <w:r w:rsidR="000161ED">
        <w:rPr>
          <w:rFonts w:cs="Arial" w:hint="cs"/>
          <w:rtl/>
        </w:rPr>
        <w:t>,</w:t>
      </w:r>
      <w:r>
        <w:rPr>
          <w:rFonts w:cs="Arial"/>
          <w:rtl/>
        </w:rPr>
        <w:t xml:space="preserve"> ורי"ש כותבין גג שלה קצר עד שנקראת במקום אחר כמין יו"ד. </w:t>
      </w:r>
      <w:r>
        <w:rPr>
          <w:rFonts w:cs="Arial" w:hint="cs"/>
          <w:rtl/>
        </w:rPr>
        <w:t xml:space="preserve">  </w:t>
      </w:r>
      <w:r w:rsidRPr="00237D68">
        <w:rPr>
          <w:rFonts w:cs="Arial"/>
          <w:rtl/>
        </w:rPr>
        <w:t>תשובה</w:t>
      </w:r>
      <w:r>
        <w:rPr>
          <w:rFonts w:cs="Arial" w:hint="cs"/>
          <w:rtl/>
        </w:rPr>
        <w:t>:</w:t>
      </w:r>
      <w:r w:rsidRPr="00237D68">
        <w:rPr>
          <w:rFonts w:cs="Arial"/>
          <w:rtl/>
        </w:rPr>
        <w:t xml:space="preserve"> צריך שיהא כתב הגט נקרא במקום </w:t>
      </w:r>
      <w:r w:rsidR="009A0A81">
        <w:rPr>
          <w:rFonts w:cs="Arial" w:hint="cs"/>
          <w:rtl/>
        </w:rPr>
        <w:t>[</w:t>
      </w:r>
      <w:r w:rsidRPr="00237D68">
        <w:rPr>
          <w:rFonts w:cs="Arial"/>
          <w:rtl/>
        </w:rPr>
        <w:t>נתינתו</w:t>
      </w:r>
      <w:r w:rsidR="009A0A81">
        <w:rPr>
          <w:rFonts w:cs="Arial" w:hint="cs"/>
          <w:rtl/>
        </w:rPr>
        <w:t>]</w:t>
      </w:r>
      <w:r w:rsidR="00612D34">
        <w:rPr>
          <w:rStyle w:val="a7"/>
          <w:rFonts w:cs="Arial"/>
          <w:rtl/>
        </w:rPr>
        <w:footnoteReference w:id="614"/>
      </w:r>
      <w:r w:rsidRPr="00237D68">
        <w:rPr>
          <w:rFonts w:cs="Arial"/>
          <w:rtl/>
        </w:rPr>
        <w:t xml:space="preserve"> לינוקא דלא חכים ולא טפש, ואם לאו אין </w:t>
      </w:r>
      <w:r w:rsidRPr="00237D68">
        <w:rPr>
          <w:rFonts w:cs="Arial"/>
          <w:rtl/>
        </w:rPr>
        <w:lastRenderedPageBreak/>
        <w:t>כאן גט כלל. כההיא דהשולח (לד:) מי שיש לו ב' שמות א' ביהודה ואחד בגליל</w:t>
      </w:r>
      <w:r w:rsidR="006C0F0C">
        <w:rPr>
          <w:rFonts w:cs="Arial" w:hint="cs"/>
          <w:rtl/>
        </w:rPr>
        <w:t>,</w:t>
      </w:r>
      <w:r w:rsidRPr="00237D68">
        <w:rPr>
          <w:rFonts w:cs="Arial"/>
          <w:rtl/>
        </w:rPr>
        <w:t xml:space="preserve"> אמרינן שצריך לגרש בשני שמות היכא דאיתחזק. כל שכן מי שאין לו אלא שם אחד ולא נכתב שיוכלו לקרותו במקום נתינתו דאין כאן גט כלל</w:t>
      </w:r>
      <w:r w:rsidR="006C0F0C">
        <w:rPr>
          <w:rFonts w:cs="Arial" w:hint="cs"/>
          <w:rtl/>
        </w:rPr>
        <w:t>,</w:t>
      </w:r>
      <w:r w:rsidRPr="00237D68">
        <w:rPr>
          <w:rFonts w:cs="Arial"/>
          <w:rtl/>
        </w:rPr>
        <w:t xml:space="preserve"> דלא ידעי בני העיר שנתגרשה כלל כיון דאין יודעין לקרותו. וגם כל תופס הגט צריך שיהא נקרא לאנשי העיר.</w:t>
      </w:r>
      <w:r w:rsidR="009A0A81">
        <w:rPr>
          <w:rFonts w:hint="cs"/>
          <w:rtl/>
        </w:rPr>
        <w:t xml:space="preserve"> </w:t>
      </w:r>
      <w:r w:rsidR="009A0A81" w:rsidRPr="00466AF6">
        <w:rPr>
          <w:rFonts w:hint="cs"/>
          <w:color w:val="E36C0A" w:themeColor="accent6" w:themeShade="BF"/>
          <w:rtl/>
        </w:rPr>
        <w:t>(וכ"פ בשו"ע)</w:t>
      </w:r>
    </w:p>
    <w:p w14:paraId="20FBF1D8" w14:textId="295061DE" w:rsidR="002551BA" w:rsidRDefault="002551BA" w:rsidP="00AF29F7">
      <w:pPr>
        <w:rPr>
          <w:rFonts w:cs="Arial"/>
          <w:rtl/>
        </w:rPr>
      </w:pPr>
      <w:r>
        <w:rPr>
          <w:rFonts w:cs="Arial" w:hint="cs"/>
          <w:u w:val="single"/>
          <w:rtl/>
        </w:rPr>
        <w:t xml:space="preserve">ראש של </w:t>
      </w:r>
      <w:r w:rsidRPr="002551BA">
        <w:rPr>
          <w:rFonts w:cs="Arial" w:hint="cs"/>
          <w:u w:val="single"/>
          <w:rtl/>
        </w:rPr>
        <w:t>אות שנכנסת לחלל אות אחרת בשורה שמעליה</w:t>
      </w:r>
      <w:r>
        <w:rPr>
          <w:rFonts w:cs="Arial" w:hint="cs"/>
          <w:u w:val="single"/>
          <w:rtl/>
        </w:rPr>
        <w:t xml:space="preserve"> </w:t>
      </w:r>
      <w:r w:rsidRPr="002551BA">
        <w:rPr>
          <w:rFonts w:cs="Arial" w:hint="cs"/>
          <w:sz w:val="16"/>
          <w:szCs w:val="16"/>
          <w:u w:val="single"/>
          <w:rtl/>
        </w:rPr>
        <w:t>(או רגל שנכנסת לחלל אות שמתחתיה)</w:t>
      </w:r>
      <w:r w:rsidRPr="002551BA">
        <w:rPr>
          <w:rFonts w:cs="Arial" w:hint="cs"/>
          <w:u w:val="single"/>
          <w:rtl/>
        </w:rPr>
        <w:t>:</w:t>
      </w:r>
    </w:p>
    <w:p w14:paraId="4C49C850" w14:textId="3320D32D" w:rsidR="00466AF6" w:rsidRDefault="0077215C" w:rsidP="002551BA">
      <w:pPr>
        <w:pStyle w:val="ab"/>
        <w:numPr>
          <w:ilvl w:val="0"/>
          <w:numId w:val="46"/>
        </w:numPr>
        <w:rPr>
          <w:rFonts w:cs="Arial"/>
        </w:rPr>
      </w:pPr>
      <w:r>
        <w:rPr>
          <w:rFonts w:cs="Arial" w:hint="cs"/>
          <w:rtl/>
        </w:rPr>
        <w:t>ר"י</w:t>
      </w:r>
      <w:r w:rsidR="002551BA" w:rsidRPr="002551BA">
        <w:rPr>
          <w:rFonts w:cs="Arial"/>
          <w:rtl/>
        </w:rPr>
        <w:t xml:space="preserve"> </w:t>
      </w:r>
      <w:r w:rsidR="002551BA" w:rsidRPr="002551BA">
        <w:rPr>
          <w:rFonts w:cs="Arial"/>
          <w:sz w:val="16"/>
          <w:szCs w:val="16"/>
          <w:rtl/>
        </w:rPr>
        <w:t>(</w:t>
      </w:r>
      <w:r>
        <w:rPr>
          <w:rFonts w:cs="Arial" w:hint="cs"/>
          <w:sz w:val="16"/>
          <w:szCs w:val="16"/>
          <w:rtl/>
        </w:rPr>
        <w:t xml:space="preserve">בתוס' </w:t>
      </w:r>
      <w:r w:rsidR="002551BA" w:rsidRPr="002551BA">
        <w:rPr>
          <w:rFonts w:cs="Arial"/>
          <w:sz w:val="16"/>
          <w:szCs w:val="16"/>
          <w:rtl/>
        </w:rPr>
        <w:t xml:space="preserve">כ: ד"ה לא) </w:t>
      </w:r>
      <w:r w:rsidR="002551BA" w:rsidRPr="002551BA">
        <w:rPr>
          <w:rFonts w:cs="Arial"/>
          <w:rtl/>
        </w:rPr>
        <w:t xml:space="preserve">ספר התרומה </w:t>
      </w:r>
      <w:r w:rsidR="002551BA" w:rsidRPr="002551BA">
        <w:rPr>
          <w:rFonts w:cs="Arial"/>
          <w:sz w:val="16"/>
          <w:szCs w:val="16"/>
          <w:rtl/>
        </w:rPr>
        <w:t>(סי' קיג)</w:t>
      </w:r>
      <w:r w:rsidR="002551BA" w:rsidRPr="002551BA">
        <w:rPr>
          <w:rFonts w:cs="Arial" w:hint="cs"/>
          <w:sz w:val="16"/>
          <w:szCs w:val="16"/>
          <w:rtl/>
        </w:rPr>
        <w:t xml:space="preserve"> </w:t>
      </w:r>
      <w:r w:rsidR="002551BA" w:rsidRPr="002551BA">
        <w:rPr>
          <w:rFonts w:cs="Arial"/>
          <w:rtl/>
        </w:rPr>
        <w:t xml:space="preserve">רשב"א </w:t>
      </w:r>
      <w:r w:rsidR="002551BA" w:rsidRPr="002551BA">
        <w:rPr>
          <w:rFonts w:cs="Arial"/>
          <w:sz w:val="16"/>
          <w:szCs w:val="16"/>
          <w:rtl/>
        </w:rPr>
        <w:t xml:space="preserve">(כ: ד"ה בעי) </w:t>
      </w:r>
      <w:r w:rsidR="002551BA" w:rsidRPr="002551BA">
        <w:rPr>
          <w:rFonts w:cs="Arial"/>
          <w:rtl/>
        </w:rPr>
        <w:t xml:space="preserve">מרדכי </w:t>
      </w:r>
      <w:r w:rsidR="002551BA" w:rsidRPr="002551BA">
        <w:rPr>
          <w:rFonts w:cs="Arial" w:hint="cs"/>
          <w:sz w:val="16"/>
          <w:szCs w:val="16"/>
          <w:rtl/>
        </w:rPr>
        <w:t>(</w:t>
      </w:r>
      <w:r w:rsidR="002551BA" w:rsidRPr="002551BA">
        <w:rPr>
          <w:rFonts w:cs="Arial"/>
          <w:sz w:val="16"/>
          <w:szCs w:val="16"/>
          <w:rtl/>
        </w:rPr>
        <w:t>פ</w:t>
      </w:r>
      <w:r w:rsidR="002551BA" w:rsidRPr="002551BA">
        <w:rPr>
          <w:rFonts w:cs="Arial" w:hint="cs"/>
          <w:sz w:val="16"/>
          <w:szCs w:val="16"/>
          <w:rtl/>
        </w:rPr>
        <w:t>"</w:t>
      </w:r>
      <w:r w:rsidR="002551BA" w:rsidRPr="002551BA">
        <w:rPr>
          <w:rFonts w:cs="Arial"/>
          <w:sz w:val="16"/>
          <w:szCs w:val="16"/>
          <w:rtl/>
        </w:rPr>
        <w:t xml:space="preserve">ב דגיטין סי' שמה) </w:t>
      </w:r>
      <w:r w:rsidR="00466AF6">
        <w:rPr>
          <w:rFonts w:cs="Arial" w:hint="cs"/>
          <w:rtl/>
        </w:rPr>
        <w:t>ו</w:t>
      </w:r>
      <w:r w:rsidR="002551BA" w:rsidRPr="002551BA">
        <w:rPr>
          <w:rFonts w:cs="Arial"/>
          <w:rtl/>
        </w:rPr>
        <w:t xml:space="preserve">רא"ש </w:t>
      </w:r>
      <w:r w:rsidR="002551BA" w:rsidRPr="002551BA">
        <w:rPr>
          <w:rFonts w:cs="Arial"/>
          <w:sz w:val="16"/>
          <w:szCs w:val="16"/>
          <w:rtl/>
        </w:rPr>
        <w:t>(סי' יט)</w:t>
      </w:r>
      <w:r w:rsidR="00A82951">
        <w:rPr>
          <w:rFonts w:cs="Arial" w:hint="cs"/>
          <w:rtl/>
        </w:rPr>
        <w:t>-</w:t>
      </w:r>
      <w:r w:rsidR="002551BA">
        <w:rPr>
          <w:rFonts w:cs="Arial" w:hint="cs"/>
          <w:rtl/>
        </w:rPr>
        <w:t xml:space="preserve"> </w:t>
      </w:r>
      <w:r w:rsidR="00AF29F7" w:rsidRPr="002551BA">
        <w:rPr>
          <w:rFonts w:cs="Arial"/>
          <w:rtl/>
        </w:rPr>
        <w:t>אם ראש הלמ"ד שבשיטה תחתונה נכנס לתוך חלל ה' או ח' של שיטה עליונה</w:t>
      </w:r>
      <w:r w:rsidR="006C0F0C">
        <w:rPr>
          <w:rFonts w:cs="Arial" w:hint="cs"/>
          <w:rtl/>
        </w:rPr>
        <w:t>,</w:t>
      </w:r>
      <w:r w:rsidR="00AF29F7" w:rsidRPr="002551BA">
        <w:rPr>
          <w:rFonts w:cs="Arial"/>
          <w:rtl/>
        </w:rPr>
        <w:t xml:space="preserve"> או רגל הך' שבשיטה עליונה נכנס לתוך חלל ט' שבשיטה תחתונה וכיוצא בזה</w:t>
      </w:r>
      <w:r w:rsidR="002551BA">
        <w:rPr>
          <w:rFonts w:cs="Arial" w:hint="cs"/>
          <w:rtl/>
        </w:rPr>
        <w:t xml:space="preserve">... </w:t>
      </w:r>
      <w:r w:rsidR="00A82951">
        <w:rPr>
          <w:rFonts w:cs="Arial" w:hint="cs"/>
          <w:rtl/>
        </w:rPr>
        <w:t>-</w:t>
      </w:r>
      <w:r w:rsidR="002551BA">
        <w:rPr>
          <w:rFonts w:cs="Arial" w:hint="cs"/>
          <w:rtl/>
        </w:rPr>
        <w:t xml:space="preserve"> כשר</w:t>
      </w:r>
      <w:r w:rsidR="00466AF6">
        <w:rPr>
          <w:rFonts w:cs="Arial" w:hint="cs"/>
          <w:sz w:val="16"/>
          <w:szCs w:val="16"/>
          <w:rtl/>
        </w:rPr>
        <w:t xml:space="preserve"> (ל' הב"י בשמם)</w:t>
      </w:r>
      <w:r w:rsidR="002551BA">
        <w:rPr>
          <w:rFonts w:cs="Arial" w:hint="cs"/>
          <w:rtl/>
        </w:rPr>
        <w:t>.</w:t>
      </w:r>
      <w:r w:rsidR="002551BA" w:rsidRPr="002551BA">
        <w:rPr>
          <w:rFonts w:cs="Arial"/>
          <w:rtl/>
        </w:rPr>
        <w:t xml:space="preserve"> </w:t>
      </w:r>
    </w:p>
    <w:p w14:paraId="4D349601" w14:textId="39EC4621" w:rsidR="00B46EDB" w:rsidRDefault="00466AF6" w:rsidP="00B46EDB">
      <w:pPr>
        <w:pStyle w:val="ab"/>
        <w:numPr>
          <w:ilvl w:val="0"/>
          <w:numId w:val="46"/>
        </w:numPr>
        <w:rPr>
          <w:rFonts w:cs="Arial"/>
        </w:rPr>
      </w:pPr>
      <w:r>
        <w:rPr>
          <w:rFonts w:cs="Arial" w:hint="cs"/>
          <w:rtl/>
        </w:rPr>
        <w:t xml:space="preserve">י"א </w:t>
      </w:r>
      <w:r>
        <w:rPr>
          <w:rFonts w:cs="Arial" w:hint="cs"/>
          <w:sz w:val="16"/>
          <w:szCs w:val="16"/>
          <w:rtl/>
        </w:rPr>
        <w:t>(כ"כ בשמם הר"ן [י. ד"ה ומכאן] לאחר שהביא את דעת התוס')</w:t>
      </w:r>
      <w:r w:rsidR="00A82951">
        <w:rPr>
          <w:rFonts w:cs="Arial" w:hint="cs"/>
          <w:rtl/>
        </w:rPr>
        <w:t>-</w:t>
      </w:r>
      <w:r>
        <w:rPr>
          <w:rFonts w:cs="Arial" w:hint="cs"/>
          <w:rtl/>
        </w:rPr>
        <w:t xml:space="preserve"> </w:t>
      </w:r>
      <w:r w:rsidR="002551BA" w:rsidRPr="002551BA">
        <w:rPr>
          <w:rFonts w:cs="Arial"/>
          <w:rtl/>
        </w:rPr>
        <w:t>זה קרוב לפסול הגט מפני שמבטל צורת האות</w:t>
      </w:r>
      <w:r>
        <w:rPr>
          <w:rFonts w:cs="Arial" w:hint="cs"/>
          <w:rtl/>
        </w:rPr>
        <w:t>.</w:t>
      </w:r>
    </w:p>
    <w:p w14:paraId="54C57F5C" w14:textId="5A23DB17" w:rsidR="00D3509E" w:rsidRPr="003434BE" w:rsidRDefault="00D3509E" w:rsidP="00D3509E">
      <w:pPr>
        <w:rPr>
          <w:rFonts w:cs="Arial"/>
          <w:u w:val="single"/>
        </w:rPr>
      </w:pPr>
      <w:r w:rsidRPr="003434BE">
        <w:rPr>
          <w:rFonts w:cs="Arial" w:hint="cs"/>
          <w:u w:val="single"/>
          <w:rtl/>
        </w:rPr>
        <w:t xml:space="preserve">משיכת </w:t>
      </w:r>
      <w:r w:rsidR="003434BE" w:rsidRPr="003434BE">
        <w:rPr>
          <w:rFonts w:cs="Arial" w:hint="cs"/>
          <w:u w:val="single"/>
          <w:rtl/>
        </w:rPr>
        <w:t>ראשי/רגלי האותיות עד</w:t>
      </w:r>
      <w:r w:rsidR="003434BE">
        <w:rPr>
          <w:rFonts w:cs="Arial" w:hint="cs"/>
          <w:sz w:val="16"/>
          <w:szCs w:val="16"/>
          <w:u w:val="single"/>
          <w:rtl/>
        </w:rPr>
        <w:t xml:space="preserve"> (ולא עד בכלל)</w:t>
      </w:r>
      <w:r w:rsidR="003434BE" w:rsidRPr="003434BE">
        <w:rPr>
          <w:rFonts w:cs="Arial" w:hint="cs"/>
          <w:u w:val="single"/>
          <w:rtl/>
        </w:rPr>
        <w:t xml:space="preserve"> לשיטה שמעליה/מתחתיה:</w:t>
      </w:r>
      <w:r w:rsidR="003434BE">
        <w:rPr>
          <w:rFonts w:cs="Arial" w:hint="cs"/>
          <w:rtl/>
        </w:rPr>
        <w:t xml:space="preserve"> </w:t>
      </w:r>
      <w:r w:rsidR="003434BE" w:rsidRPr="003434BE">
        <w:rPr>
          <w:rFonts w:cs="Arial" w:hint="cs"/>
          <w:sz w:val="16"/>
          <w:szCs w:val="16"/>
          <w:rtl/>
        </w:rPr>
        <w:t>(</w:t>
      </w:r>
      <w:r w:rsidR="003434BE">
        <w:rPr>
          <w:rFonts w:cs="Arial" w:hint="cs"/>
          <w:sz w:val="16"/>
          <w:szCs w:val="16"/>
          <w:rtl/>
        </w:rPr>
        <w:t>דרכ"מ אות יח</w:t>
      </w:r>
      <w:r w:rsidR="003434BE" w:rsidRPr="003434BE">
        <w:rPr>
          <w:rFonts w:cs="Arial" w:hint="cs"/>
          <w:sz w:val="16"/>
          <w:szCs w:val="16"/>
          <w:rtl/>
        </w:rPr>
        <w:t>)</w:t>
      </w:r>
    </w:p>
    <w:p w14:paraId="674E852F" w14:textId="3721874C" w:rsidR="00466AF6" w:rsidRPr="00B46EDB" w:rsidRDefault="00466AF6" w:rsidP="00B46EDB">
      <w:pPr>
        <w:pStyle w:val="ab"/>
        <w:numPr>
          <w:ilvl w:val="0"/>
          <w:numId w:val="46"/>
        </w:numPr>
        <w:rPr>
          <w:rFonts w:cs="Arial"/>
          <w:rtl/>
        </w:rPr>
      </w:pPr>
      <w:r w:rsidRPr="00B46EDB">
        <w:rPr>
          <w:rFonts w:cs="Arial"/>
          <w:rtl/>
        </w:rPr>
        <w:t xml:space="preserve">סדר גיטין </w:t>
      </w:r>
      <w:r w:rsidRPr="00B46EDB">
        <w:rPr>
          <w:rFonts w:cs="Arial"/>
          <w:sz w:val="16"/>
          <w:szCs w:val="16"/>
          <w:rtl/>
        </w:rPr>
        <w:t>(סי' ו)</w:t>
      </w:r>
      <w:r w:rsidR="00A82951">
        <w:rPr>
          <w:rFonts w:cs="Arial" w:hint="cs"/>
          <w:rtl/>
        </w:rPr>
        <w:t>-</w:t>
      </w:r>
      <w:r w:rsidR="00B46EDB" w:rsidRPr="00B46EDB">
        <w:rPr>
          <w:rFonts w:cs="Arial" w:hint="cs"/>
          <w:rtl/>
        </w:rPr>
        <w:t xml:space="preserve"> </w:t>
      </w:r>
      <w:r w:rsidRPr="00B46EDB">
        <w:rPr>
          <w:rFonts w:cs="Arial"/>
          <w:rtl/>
        </w:rPr>
        <w:t>צריך לערותן בדרך זה שימשוך ראש ל' עד שיטה עליונה וכן ימשוך רגל ן' או ך' שבעליונה עד שלמטה הימנה כדי שלא לכתוב עוד שיטה בין שיטה לשיטה דלא יהא גט הראוי להזדייף</w:t>
      </w:r>
      <w:r w:rsidR="00B46EDB">
        <w:rPr>
          <w:rStyle w:val="a7"/>
          <w:rFonts w:cs="Arial"/>
          <w:rtl/>
        </w:rPr>
        <w:footnoteReference w:id="615"/>
      </w:r>
      <w:r w:rsidRPr="00B46EDB">
        <w:rPr>
          <w:rFonts w:cs="Arial"/>
          <w:rtl/>
        </w:rPr>
        <w:t xml:space="preserve">. </w:t>
      </w:r>
      <w:r w:rsidR="00E427EC" w:rsidRPr="00E427EC">
        <w:rPr>
          <w:rFonts w:cs="Arial" w:hint="cs"/>
          <w:color w:val="00B0F0"/>
          <w:rtl/>
        </w:rPr>
        <w:t>(וכ"פ הרמ"א)</w:t>
      </w:r>
    </w:p>
    <w:p w14:paraId="72DE5931"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2AA0F5A" w14:textId="2482BA3A" w:rsidR="002D5E7F" w:rsidRDefault="00C77C34" w:rsidP="00C77C34">
      <w:pPr>
        <w:rPr>
          <w:rFonts w:cs="Arial"/>
          <w:rtl/>
        </w:rPr>
      </w:pPr>
      <w:r w:rsidRPr="00C77C34">
        <w:rPr>
          <w:rFonts w:cs="Arial"/>
          <w:rtl/>
        </w:rPr>
        <w:t>צריך שיהא הגט נקרא במקום נתינתו לתינוק דלא חכים ולא טיפש. ויש מי שאומר שאף מקום כתיבתו צריך שיהיה נקרא כן</w:t>
      </w:r>
      <w:r w:rsidR="0053739B">
        <w:rPr>
          <w:rStyle w:val="a7"/>
          <w:rFonts w:cs="Arial"/>
          <w:rtl/>
        </w:rPr>
        <w:footnoteReference w:id="616"/>
      </w:r>
      <w:r w:rsidRPr="00C77C34">
        <w:rPr>
          <w:rFonts w:cs="Arial"/>
          <w:rtl/>
        </w:rPr>
        <w:t xml:space="preserve">. </w:t>
      </w:r>
      <w:r w:rsidRPr="002D5E7F">
        <w:rPr>
          <w:rFonts w:cs="Arial"/>
          <w:sz w:val="18"/>
          <w:szCs w:val="18"/>
          <w:rtl/>
        </w:rPr>
        <w:t>הגה: ואין צריך לכסות מן הצדדין</w:t>
      </w:r>
      <w:r w:rsidR="008A5759">
        <w:rPr>
          <w:rStyle w:val="a7"/>
          <w:rFonts w:cs="Arial"/>
          <w:sz w:val="18"/>
          <w:szCs w:val="18"/>
          <w:rtl/>
        </w:rPr>
        <w:footnoteReference w:id="617"/>
      </w:r>
      <w:r w:rsidRPr="002D5E7F">
        <w:rPr>
          <w:rFonts w:cs="Arial"/>
          <w:sz w:val="18"/>
          <w:szCs w:val="18"/>
          <w:rtl/>
        </w:rPr>
        <w:t xml:space="preserve"> של האות שיש בו ספק, אלא מראין לו כך, ואם יוכל לקרותו, כשר (מ"כ בתיקון ישן). ונוהגין לערות השיטות, דהיינו שימשוך </w:t>
      </w:r>
      <w:r w:rsidR="00D3509E">
        <w:rPr>
          <w:rFonts w:cs="Arial" w:hint="cs"/>
          <w:sz w:val="18"/>
          <w:szCs w:val="18"/>
          <w:rtl/>
        </w:rPr>
        <w:t>ן</w:t>
      </w:r>
      <w:r w:rsidRPr="002D5E7F">
        <w:rPr>
          <w:rFonts w:cs="Arial"/>
          <w:sz w:val="18"/>
          <w:szCs w:val="18"/>
          <w:rtl/>
        </w:rPr>
        <w:t xml:space="preserve">' או </w:t>
      </w:r>
      <w:r w:rsidR="00D3509E">
        <w:rPr>
          <w:rFonts w:cs="Arial" w:hint="cs"/>
          <w:sz w:val="18"/>
          <w:szCs w:val="18"/>
          <w:rtl/>
        </w:rPr>
        <w:t>ך</w:t>
      </w:r>
      <w:r w:rsidRPr="002D5E7F">
        <w:rPr>
          <w:rFonts w:cs="Arial"/>
          <w:sz w:val="18"/>
          <w:szCs w:val="18"/>
          <w:rtl/>
        </w:rPr>
        <w:t xml:space="preserve">' שבשיטה עליונה עד שיטה שלמטה ממנה, </w:t>
      </w:r>
      <w:r w:rsidR="00D3509E">
        <w:rPr>
          <w:rFonts w:cs="Arial" w:hint="cs"/>
          <w:sz w:val="18"/>
          <w:szCs w:val="18"/>
          <w:rtl/>
        </w:rPr>
        <w:t>ו</w:t>
      </w:r>
      <w:r w:rsidRPr="002D5E7F">
        <w:rPr>
          <w:rFonts w:cs="Arial"/>
          <w:sz w:val="18"/>
          <w:szCs w:val="18"/>
          <w:rtl/>
        </w:rPr>
        <w:t>ראש ל</w:t>
      </w:r>
      <w:r w:rsidR="00D3509E">
        <w:rPr>
          <w:rFonts w:cs="Arial" w:hint="cs"/>
          <w:sz w:val="18"/>
          <w:szCs w:val="18"/>
          <w:rtl/>
        </w:rPr>
        <w:t>מ"ד</w:t>
      </w:r>
      <w:r w:rsidRPr="002D5E7F">
        <w:rPr>
          <w:rFonts w:cs="Arial"/>
          <w:sz w:val="18"/>
          <w:szCs w:val="18"/>
          <w:rtl/>
        </w:rPr>
        <w:t xml:space="preserve"> שבתחתונה לשורה שלמעלה ממנה. ואם לא עירה, י"א שהוא פסול, ולי נראה דבמקום עיגון אין להחמיר</w:t>
      </w:r>
      <w:r w:rsidR="008A5759">
        <w:rPr>
          <w:rStyle w:val="a7"/>
          <w:rFonts w:cs="Arial"/>
          <w:sz w:val="18"/>
          <w:szCs w:val="18"/>
          <w:rtl/>
        </w:rPr>
        <w:footnoteReference w:id="618"/>
      </w:r>
      <w:r w:rsidRPr="002D5E7F">
        <w:rPr>
          <w:rFonts w:cs="Arial"/>
          <w:sz w:val="18"/>
          <w:szCs w:val="18"/>
          <w:rtl/>
        </w:rPr>
        <w:t>. ויזהר שלא ימשוך ראש אות שלמטה לתוך חלל אות שלמעלה, או להיפך (י"א</w:t>
      </w:r>
      <w:r w:rsidR="00E427EC">
        <w:rPr>
          <w:rFonts w:cs="Arial" w:hint="cs"/>
          <w:sz w:val="18"/>
          <w:szCs w:val="18"/>
          <w:rtl/>
        </w:rPr>
        <w:t xml:space="preserve"> הביאם הר"ן</w:t>
      </w:r>
      <w:r w:rsidRPr="002D5E7F">
        <w:rPr>
          <w:rFonts w:cs="Arial"/>
          <w:sz w:val="18"/>
          <w:szCs w:val="18"/>
          <w:rtl/>
        </w:rPr>
        <w:t>), ואם עשה כך ונשתנה צורת האות, כגון שמשך ראש למ"ד לחלל ד' שאז נראה כה"א, פסול</w:t>
      </w:r>
      <w:r w:rsidR="00703553">
        <w:rPr>
          <w:rStyle w:val="a7"/>
          <w:rFonts w:cs="Arial"/>
          <w:sz w:val="18"/>
          <w:szCs w:val="18"/>
          <w:rtl/>
        </w:rPr>
        <w:footnoteReference w:id="619"/>
      </w:r>
      <w:r w:rsidRPr="002D5E7F">
        <w:rPr>
          <w:rFonts w:cs="Arial"/>
          <w:sz w:val="18"/>
          <w:szCs w:val="18"/>
          <w:rtl/>
        </w:rPr>
        <w:t xml:space="preserve"> (</w:t>
      </w:r>
      <w:r w:rsidR="00E427EC">
        <w:rPr>
          <w:rFonts w:cs="Arial" w:hint="cs"/>
          <w:sz w:val="18"/>
          <w:szCs w:val="18"/>
          <w:rtl/>
        </w:rPr>
        <w:t>סברת הרמ"א</w:t>
      </w:r>
      <w:r w:rsidRPr="002D5E7F">
        <w:rPr>
          <w:rFonts w:cs="Arial"/>
          <w:sz w:val="18"/>
          <w:szCs w:val="18"/>
          <w:rtl/>
        </w:rPr>
        <w:t>).</w:t>
      </w:r>
    </w:p>
    <w:p w14:paraId="64203BE6" w14:textId="77777777" w:rsidR="00703553" w:rsidRPr="00C77C34" w:rsidRDefault="00703553" w:rsidP="00703553">
      <w:pPr>
        <w:rPr>
          <w:rFonts w:cs="Arial"/>
          <w:rtl/>
        </w:rPr>
      </w:pPr>
    </w:p>
    <w:p w14:paraId="24BF67E6" w14:textId="23F99C70" w:rsidR="00C77C34" w:rsidRDefault="00C77C34" w:rsidP="00786DE6">
      <w:pPr>
        <w:pStyle w:val="2"/>
        <w:rPr>
          <w:rtl/>
        </w:rPr>
      </w:pPr>
      <w:r w:rsidRPr="00C77C34">
        <w:rPr>
          <w:rtl/>
        </w:rPr>
        <w:lastRenderedPageBreak/>
        <w:t>סעיף יט</w:t>
      </w:r>
      <w:r w:rsidR="00AF29F7">
        <w:rPr>
          <w:rFonts w:hint="cs"/>
          <w:rtl/>
        </w:rPr>
        <w:t>:</w:t>
      </w:r>
      <w:r w:rsidR="004A27B3">
        <w:rPr>
          <w:rFonts w:hint="cs"/>
          <w:rtl/>
        </w:rPr>
        <w:t xml:space="preserve"> מחק בגט.</w:t>
      </w:r>
    </w:p>
    <w:p w14:paraId="40F9B5AA" w14:textId="7ECD86DC" w:rsidR="00891AD5" w:rsidRDefault="00891AD5" w:rsidP="00891AD5">
      <w:pPr>
        <w:rPr>
          <w:rtl/>
        </w:rPr>
      </w:pPr>
      <w:r w:rsidRPr="00891AD5">
        <w:rPr>
          <w:rFonts w:cs="Arial" w:hint="cs"/>
          <w:b/>
          <w:bCs/>
          <w:rtl/>
        </w:rPr>
        <w:t xml:space="preserve">גיטין </w:t>
      </w:r>
      <w:r w:rsidRPr="00891AD5">
        <w:rPr>
          <w:rFonts w:cs="Arial" w:hint="cs"/>
          <w:b/>
          <w:bCs/>
          <w:sz w:val="16"/>
          <w:szCs w:val="16"/>
          <w:rtl/>
        </w:rPr>
        <w:t>(ר"פ המגרש)</w:t>
      </w:r>
      <w:r w:rsidRPr="00891AD5">
        <w:rPr>
          <w:rFonts w:cs="Arial" w:hint="cs"/>
          <w:b/>
          <w:bCs/>
          <w:rtl/>
        </w:rPr>
        <w:t xml:space="preserve"> פב ע"א:</w:t>
      </w:r>
      <w:r>
        <w:rPr>
          <w:rFonts w:cs="Arial" w:hint="cs"/>
          <w:rtl/>
        </w:rPr>
        <w:t xml:space="preserve"> </w:t>
      </w:r>
      <w:r w:rsidRPr="00891AD5">
        <w:rPr>
          <w:rFonts w:cs="Arial"/>
          <w:u w:val="double"/>
          <w:rtl/>
        </w:rPr>
        <w:t>מתני'</w:t>
      </w:r>
      <w:r>
        <w:rPr>
          <w:rFonts w:cs="Arial" w:hint="cs"/>
          <w:rtl/>
        </w:rPr>
        <w:t>:</w:t>
      </w:r>
      <w:r w:rsidRPr="00891AD5">
        <w:rPr>
          <w:rFonts w:cs="Arial"/>
          <w:rtl/>
        </w:rPr>
        <w:t xml:space="preserve"> המגרש את אשתו, ואמר לה הרי את מותרת לכל אדם אלא לפלוני </w:t>
      </w:r>
      <w:r w:rsidR="00A82951">
        <w:rPr>
          <w:rFonts w:cs="Arial"/>
          <w:rtl/>
        </w:rPr>
        <w:t>-</w:t>
      </w:r>
      <w:r w:rsidRPr="00891AD5">
        <w:rPr>
          <w:rFonts w:cs="Arial"/>
          <w:rtl/>
        </w:rPr>
        <w:t xml:space="preserve"> </w:t>
      </w:r>
      <w:r w:rsidRPr="00891AD5">
        <w:rPr>
          <w:rFonts w:cs="Arial"/>
          <w:u w:val="single"/>
          <w:rtl/>
        </w:rPr>
        <w:t>ר' אליעזר</w:t>
      </w:r>
      <w:r w:rsidRPr="00891AD5">
        <w:rPr>
          <w:rFonts w:cs="Arial"/>
          <w:rtl/>
        </w:rPr>
        <w:t xml:space="preserve"> מתיר, </w:t>
      </w:r>
      <w:r w:rsidRPr="00891AD5">
        <w:rPr>
          <w:rFonts w:cs="Arial"/>
          <w:u w:val="single"/>
          <w:rtl/>
        </w:rPr>
        <w:t>וחכמים</w:t>
      </w:r>
      <w:r w:rsidRPr="00891AD5">
        <w:rPr>
          <w:rFonts w:cs="Arial"/>
          <w:rtl/>
        </w:rPr>
        <w:t xml:space="preserve"> אוסרים. כיצד יעשה? יטלנו הימנה, ויחזור ויתננו לה ויאמר לה הרי את מותרת לכל אדם. כתבו בתוכו, אף על פי שחזר ומחקו </w:t>
      </w:r>
      <w:r w:rsidR="00A82951">
        <w:rPr>
          <w:rFonts w:cs="Arial"/>
          <w:rtl/>
        </w:rPr>
        <w:t>-</w:t>
      </w:r>
      <w:r w:rsidRPr="00891AD5">
        <w:rPr>
          <w:rFonts w:cs="Arial"/>
          <w:rtl/>
        </w:rPr>
        <w:t xml:space="preserve"> פסול.</w:t>
      </w:r>
      <w:r w:rsidR="00CA2F1A" w:rsidRPr="00CA2F1A">
        <w:rPr>
          <w:rtl/>
        </w:rPr>
        <w:t xml:space="preserve"> </w:t>
      </w:r>
      <w:r w:rsidR="00CA2F1A" w:rsidRPr="005B485F">
        <w:rPr>
          <w:rFonts w:cs="Arial" w:hint="cs"/>
          <w:sz w:val="16"/>
          <w:szCs w:val="16"/>
          <w:rtl/>
        </w:rPr>
        <w:t>(</w:t>
      </w:r>
      <w:r w:rsidR="00CA2F1A" w:rsidRPr="005B485F">
        <w:rPr>
          <w:rFonts w:cs="Arial"/>
          <w:sz w:val="16"/>
          <w:szCs w:val="16"/>
          <w:rtl/>
        </w:rPr>
        <w:t xml:space="preserve">משמע דוקא </w:t>
      </w:r>
      <w:r w:rsidR="005B485F">
        <w:rPr>
          <w:rFonts w:cs="Arial" w:hint="cs"/>
          <w:sz w:val="16"/>
          <w:szCs w:val="16"/>
          <w:rtl/>
        </w:rPr>
        <w:t>'</w:t>
      </w:r>
      <w:r w:rsidR="00CA2F1A" w:rsidRPr="005B485F">
        <w:rPr>
          <w:rFonts w:cs="Arial"/>
          <w:sz w:val="16"/>
          <w:szCs w:val="16"/>
          <w:rtl/>
        </w:rPr>
        <w:t>חוץ</w:t>
      </w:r>
      <w:r w:rsidR="005B485F">
        <w:rPr>
          <w:rFonts w:cs="Arial" w:hint="cs"/>
          <w:sz w:val="16"/>
          <w:szCs w:val="16"/>
          <w:rtl/>
        </w:rPr>
        <w:t>',</w:t>
      </w:r>
      <w:r w:rsidR="00CA2F1A" w:rsidRPr="005B485F">
        <w:rPr>
          <w:rFonts w:cs="Arial"/>
          <w:sz w:val="16"/>
          <w:szCs w:val="16"/>
          <w:rtl/>
        </w:rPr>
        <w:t xml:space="preserve"> דלא הוה כריתות</w:t>
      </w:r>
      <w:r w:rsidR="005B485F">
        <w:rPr>
          <w:rFonts w:cs="Arial" w:hint="cs"/>
          <w:sz w:val="16"/>
          <w:szCs w:val="16"/>
          <w:rtl/>
        </w:rPr>
        <w:t xml:space="preserve"> </w:t>
      </w:r>
      <w:r w:rsidR="00A82951">
        <w:rPr>
          <w:rFonts w:cs="Arial" w:hint="cs"/>
          <w:sz w:val="16"/>
          <w:szCs w:val="16"/>
          <w:rtl/>
        </w:rPr>
        <w:t>-</w:t>
      </w:r>
      <w:r w:rsidR="00CA2F1A" w:rsidRPr="005B485F">
        <w:rPr>
          <w:rFonts w:cs="Arial"/>
          <w:sz w:val="16"/>
          <w:szCs w:val="16"/>
          <w:rtl/>
        </w:rPr>
        <w:t xml:space="preserve"> חזר ומחקו פסול</w:t>
      </w:r>
      <w:r w:rsidR="005B485F">
        <w:rPr>
          <w:rFonts w:cs="Arial" w:hint="cs"/>
          <w:sz w:val="16"/>
          <w:szCs w:val="16"/>
          <w:rtl/>
        </w:rPr>
        <w:t>,</w:t>
      </w:r>
      <w:r w:rsidR="00CA2F1A" w:rsidRPr="005B485F">
        <w:rPr>
          <w:rFonts w:cs="Arial"/>
          <w:sz w:val="16"/>
          <w:szCs w:val="16"/>
          <w:rtl/>
        </w:rPr>
        <w:t xml:space="preserve"> אבל שאר מחקין כשרין בגט</w:t>
      </w:r>
      <w:r w:rsidR="00CF41EB">
        <w:rPr>
          <w:rStyle w:val="a7"/>
          <w:rFonts w:cs="Arial"/>
          <w:sz w:val="16"/>
          <w:szCs w:val="16"/>
          <w:rtl/>
        </w:rPr>
        <w:footnoteReference w:id="620"/>
      </w:r>
      <w:r w:rsidR="00CA2F1A" w:rsidRPr="005B485F">
        <w:rPr>
          <w:rFonts w:cs="Arial"/>
          <w:sz w:val="16"/>
          <w:szCs w:val="16"/>
          <w:rtl/>
        </w:rPr>
        <w:t xml:space="preserve"> רק שיעשה קיום המחק לפני שריר וקיים</w:t>
      </w:r>
      <w:r w:rsidR="005B485F">
        <w:rPr>
          <w:rFonts w:cs="Arial" w:hint="cs"/>
          <w:sz w:val="16"/>
          <w:szCs w:val="16"/>
          <w:rtl/>
        </w:rPr>
        <w:t>,</w:t>
      </w:r>
      <w:r w:rsidR="00CA2F1A" w:rsidRPr="005B485F">
        <w:rPr>
          <w:rFonts w:cs="Arial"/>
          <w:sz w:val="16"/>
          <w:szCs w:val="16"/>
          <w:rtl/>
        </w:rPr>
        <w:t xml:space="preserve"> ומ"מ נהגו העולם להחמיר</w:t>
      </w:r>
      <w:r w:rsidR="00CA2F1A" w:rsidRPr="005B485F">
        <w:rPr>
          <w:rFonts w:cs="Arial" w:hint="cs"/>
          <w:sz w:val="16"/>
          <w:szCs w:val="16"/>
          <w:rtl/>
        </w:rPr>
        <w:t>,</w:t>
      </w:r>
      <w:r w:rsidR="00CA2F1A" w:rsidRPr="005B485F">
        <w:rPr>
          <w:rFonts w:cs="Arial"/>
          <w:sz w:val="16"/>
          <w:szCs w:val="16"/>
          <w:rtl/>
        </w:rPr>
        <w:t xml:space="preserve"> תוס</w:t>
      </w:r>
      <w:r w:rsidR="00CA2F1A" w:rsidRPr="005B485F">
        <w:rPr>
          <w:rFonts w:cs="Arial" w:hint="cs"/>
          <w:sz w:val="16"/>
          <w:szCs w:val="16"/>
          <w:rtl/>
        </w:rPr>
        <w:t>'</w:t>
      </w:r>
      <w:r w:rsidR="00CA2F1A" w:rsidRPr="005B485F">
        <w:rPr>
          <w:rFonts w:cs="Arial"/>
          <w:sz w:val="16"/>
          <w:szCs w:val="16"/>
          <w:rtl/>
        </w:rPr>
        <w:t xml:space="preserve"> (</w:t>
      </w:r>
      <w:r w:rsidR="00CA2F1A" w:rsidRPr="005B485F">
        <w:rPr>
          <w:rFonts w:cs="Arial" w:hint="cs"/>
          <w:sz w:val="16"/>
          <w:szCs w:val="16"/>
          <w:rtl/>
        </w:rPr>
        <w:t xml:space="preserve">גיטין פד: </w:t>
      </w:r>
      <w:r w:rsidR="00CA2F1A" w:rsidRPr="005B485F">
        <w:rPr>
          <w:rFonts w:cs="Arial"/>
          <w:sz w:val="16"/>
          <w:szCs w:val="16"/>
          <w:rtl/>
        </w:rPr>
        <w:t>ד"ה אם)</w:t>
      </w:r>
      <w:r w:rsidR="00CA2F1A" w:rsidRPr="005B485F">
        <w:rPr>
          <w:rFonts w:cs="Arial" w:hint="cs"/>
          <w:sz w:val="16"/>
          <w:szCs w:val="16"/>
          <w:rtl/>
        </w:rPr>
        <w:t>. וכ"כ ה</w:t>
      </w:r>
      <w:r w:rsidR="00CA2F1A" w:rsidRPr="005B485F">
        <w:rPr>
          <w:rFonts w:cs="Arial"/>
          <w:sz w:val="16"/>
          <w:szCs w:val="16"/>
          <w:rtl/>
        </w:rPr>
        <w:t>ר"ן (מד: סוף דיבור ראשון)</w:t>
      </w:r>
      <w:r w:rsidR="00CA2F1A" w:rsidRPr="005B485F">
        <w:rPr>
          <w:rFonts w:cs="Arial" w:hint="cs"/>
          <w:sz w:val="16"/>
          <w:szCs w:val="16"/>
          <w:rtl/>
        </w:rPr>
        <w:t>)</w:t>
      </w:r>
    </w:p>
    <w:p w14:paraId="4A2FA310" w14:textId="30F23B58" w:rsidR="00517D9E" w:rsidRDefault="00517D9E" w:rsidP="00891AD5">
      <w:pPr>
        <w:rPr>
          <w:rtl/>
        </w:rPr>
      </w:pPr>
      <w:r w:rsidRPr="00517D9E">
        <w:rPr>
          <w:rFonts w:cs="Arial" w:hint="cs"/>
          <w:b/>
          <w:bCs/>
          <w:rtl/>
        </w:rPr>
        <w:t>תוספתא גיטין פ"ז ה"ח:</w:t>
      </w:r>
      <w:r>
        <w:rPr>
          <w:rFonts w:cs="Arial" w:hint="cs"/>
          <w:rtl/>
        </w:rPr>
        <w:t xml:space="preserve"> </w:t>
      </w:r>
      <w:r w:rsidRPr="00517D9E">
        <w:rPr>
          <w:rFonts w:cs="Arial"/>
          <w:rtl/>
        </w:rPr>
        <w:t>גט שיש בו מח</w:t>
      </w:r>
      <w:r w:rsidR="00CA2F1A">
        <w:rPr>
          <w:rFonts w:cs="Arial" w:hint="cs"/>
          <w:rtl/>
        </w:rPr>
        <w:t>ק</w:t>
      </w:r>
      <w:r w:rsidRPr="00517D9E">
        <w:rPr>
          <w:rFonts w:cs="Arial"/>
          <w:rtl/>
        </w:rPr>
        <w:t xml:space="preserve"> או תלוי מגופו </w:t>
      </w:r>
      <w:r w:rsidR="00A82951">
        <w:rPr>
          <w:rFonts w:cs="Arial" w:hint="cs"/>
          <w:rtl/>
        </w:rPr>
        <w:t>-</w:t>
      </w:r>
      <w:r w:rsidR="006479CD">
        <w:rPr>
          <w:rFonts w:cs="Arial" w:hint="cs"/>
          <w:rtl/>
        </w:rPr>
        <w:t xml:space="preserve"> </w:t>
      </w:r>
      <w:r w:rsidRPr="00517D9E">
        <w:rPr>
          <w:rFonts w:cs="Arial"/>
          <w:rtl/>
        </w:rPr>
        <w:t>פסול</w:t>
      </w:r>
      <w:r w:rsidR="006479CD">
        <w:rPr>
          <w:rFonts w:cs="Arial" w:hint="cs"/>
          <w:rtl/>
        </w:rPr>
        <w:t>.</w:t>
      </w:r>
      <w:r w:rsidRPr="00517D9E">
        <w:rPr>
          <w:rFonts w:cs="Arial"/>
          <w:rtl/>
        </w:rPr>
        <w:t xml:space="preserve"> שלא מגופו </w:t>
      </w:r>
      <w:r w:rsidR="00A82951">
        <w:rPr>
          <w:rFonts w:cs="Arial" w:hint="cs"/>
          <w:rtl/>
        </w:rPr>
        <w:t>-</w:t>
      </w:r>
      <w:r w:rsidR="006479CD">
        <w:rPr>
          <w:rFonts w:cs="Arial" w:hint="cs"/>
          <w:rtl/>
        </w:rPr>
        <w:t xml:space="preserve"> </w:t>
      </w:r>
      <w:r w:rsidRPr="00517D9E">
        <w:rPr>
          <w:rFonts w:cs="Arial"/>
          <w:rtl/>
        </w:rPr>
        <w:t>כשר</w:t>
      </w:r>
      <w:r w:rsidR="006479CD">
        <w:rPr>
          <w:rFonts w:cs="Arial" w:hint="cs"/>
          <w:rtl/>
        </w:rPr>
        <w:t>.</w:t>
      </w:r>
      <w:r w:rsidRPr="00517D9E">
        <w:rPr>
          <w:rFonts w:cs="Arial"/>
          <w:rtl/>
        </w:rPr>
        <w:t xml:space="preserve"> אם החזירו מלמטה </w:t>
      </w:r>
      <w:r w:rsidR="00A82951">
        <w:rPr>
          <w:rFonts w:cs="Arial" w:hint="cs"/>
          <w:rtl/>
        </w:rPr>
        <w:t>-</w:t>
      </w:r>
      <w:r w:rsidR="006479CD">
        <w:rPr>
          <w:rFonts w:cs="Arial" w:hint="cs"/>
          <w:rtl/>
        </w:rPr>
        <w:t xml:space="preserve"> </w:t>
      </w:r>
      <w:r w:rsidRPr="00517D9E">
        <w:rPr>
          <w:rFonts w:cs="Arial"/>
          <w:rtl/>
        </w:rPr>
        <w:t>אפי' בגופו כשר</w:t>
      </w:r>
      <w:r>
        <w:rPr>
          <w:rFonts w:hint="cs"/>
          <w:rtl/>
        </w:rPr>
        <w:t>.</w:t>
      </w:r>
    </w:p>
    <w:p w14:paraId="4CB1ABA5" w14:textId="3A0E76F3" w:rsidR="00CA2F1A" w:rsidRPr="00891AD5" w:rsidRDefault="00CA2F1A" w:rsidP="00891AD5">
      <w:pPr>
        <w:rPr>
          <w:rtl/>
        </w:rPr>
      </w:pPr>
      <w:r w:rsidRPr="00CA2F1A">
        <w:rPr>
          <w:rFonts w:cs="Arial" w:hint="cs"/>
          <w:b/>
          <w:bCs/>
          <w:rtl/>
        </w:rPr>
        <w:t xml:space="preserve">ירושלמי גיטין פ"ט ה"ז: </w:t>
      </w:r>
      <w:r w:rsidRPr="00CA2F1A">
        <w:rPr>
          <w:rFonts w:cs="Arial"/>
          <w:rtl/>
        </w:rPr>
        <w:t xml:space="preserve">שטר שיש בו מחק או תלות מגופו </w:t>
      </w:r>
      <w:r w:rsidR="00A82951">
        <w:rPr>
          <w:rFonts w:cs="Arial" w:hint="cs"/>
          <w:rtl/>
        </w:rPr>
        <w:t>-</w:t>
      </w:r>
      <w:r>
        <w:rPr>
          <w:rFonts w:cs="Arial" w:hint="cs"/>
          <w:rtl/>
        </w:rPr>
        <w:t xml:space="preserve"> </w:t>
      </w:r>
      <w:r w:rsidRPr="00CA2F1A">
        <w:rPr>
          <w:rFonts w:cs="Arial"/>
          <w:rtl/>
        </w:rPr>
        <w:t xml:space="preserve">פסול. שלא מגופו </w:t>
      </w:r>
      <w:r w:rsidR="00A82951">
        <w:rPr>
          <w:rFonts w:cs="Arial" w:hint="cs"/>
          <w:rtl/>
        </w:rPr>
        <w:t>-</w:t>
      </w:r>
      <w:r>
        <w:rPr>
          <w:rFonts w:cs="Arial" w:hint="cs"/>
          <w:rtl/>
        </w:rPr>
        <w:t xml:space="preserve"> </w:t>
      </w:r>
      <w:r w:rsidRPr="00CA2F1A">
        <w:rPr>
          <w:rFonts w:cs="Arial"/>
          <w:rtl/>
        </w:rPr>
        <w:t>כשר</w:t>
      </w:r>
      <w:r>
        <w:rPr>
          <w:rFonts w:cs="Arial" w:hint="cs"/>
          <w:rtl/>
        </w:rPr>
        <w:t>.</w:t>
      </w:r>
      <w:r w:rsidRPr="00CA2F1A">
        <w:rPr>
          <w:rFonts w:cs="Arial"/>
          <w:rtl/>
        </w:rPr>
        <w:t xml:space="preserve"> ואם החזירו מלמטה </w:t>
      </w:r>
      <w:r w:rsidR="00A82951">
        <w:rPr>
          <w:rFonts w:cs="Arial" w:hint="cs"/>
          <w:rtl/>
        </w:rPr>
        <w:t>-</w:t>
      </w:r>
      <w:r>
        <w:rPr>
          <w:rFonts w:cs="Arial" w:hint="cs"/>
          <w:rtl/>
        </w:rPr>
        <w:t xml:space="preserve"> </w:t>
      </w:r>
      <w:r w:rsidRPr="00CA2F1A">
        <w:rPr>
          <w:rFonts w:cs="Arial"/>
          <w:rtl/>
        </w:rPr>
        <w:t>אפילו מגופו כשר.</w:t>
      </w:r>
    </w:p>
    <w:p w14:paraId="77E56BFC" w14:textId="1965009D" w:rsidR="000D4780" w:rsidRPr="00891AD5" w:rsidRDefault="00891AD5" w:rsidP="000D4780">
      <w:pPr>
        <w:rPr>
          <w:u w:val="single"/>
          <w:rtl/>
        </w:rPr>
      </w:pPr>
      <w:r w:rsidRPr="00891AD5">
        <w:rPr>
          <w:rFonts w:hint="cs"/>
          <w:u w:val="single"/>
          <w:rtl/>
        </w:rPr>
        <w:t>מחק בגט</w:t>
      </w:r>
      <w:r w:rsidR="004613CF">
        <w:rPr>
          <w:rFonts w:hint="cs"/>
          <w:u w:val="single"/>
          <w:rtl/>
        </w:rPr>
        <w:t xml:space="preserve"> </w:t>
      </w:r>
      <w:r w:rsidR="00A82951">
        <w:rPr>
          <w:rFonts w:hint="cs"/>
          <w:u w:val="single"/>
          <w:rtl/>
        </w:rPr>
        <w:t>-</w:t>
      </w:r>
      <w:r w:rsidR="004613CF">
        <w:rPr>
          <w:rFonts w:hint="cs"/>
          <w:u w:val="single"/>
          <w:rtl/>
        </w:rPr>
        <w:t xml:space="preserve"> מעיקר הדין</w:t>
      </w:r>
      <w:r w:rsidRPr="00891AD5">
        <w:rPr>
          <w:rFonts w:hint="cs"/>
          <w:u w:val="single"/>
          <w:rtl/>
        </w:rPr>
        <w:t>:</w:t>
      </w:r>
    </w:p>
    <w:p w14:paraId="77AA72CB" w14:textId="30E7572D" w:rsidR="00891AD5" w:rsidRDefault="003172ED" w:rsidP="006139E0">
      <w:pPr>
        <w:pStyle w:val="ab"/>
        <w:numPr>
          <w:ilvl w:val="0"/>
          <w:numId w:val="47"/>
        </w:numPr>
        <w:rPr>
          <w:rFonts w:cs="Arial"/>
        </w:rPr>
      </w:pPr>
      <w:r>
        <w:rPr>
          <w:rFonts w:cs="Arial" w:hint="cs"/>
          <w:rtl/>
        </w:rPr>
        <w:t>רבינו ניסים</w:t>
      </w:r>
      <w:r>
        <w:rPr>
          <w:rStyle w:val="a7"/>
          <w:rFonts w:cs="Arial"/>
          <w:rtl/>
        </w:rPr>
        <w:footnoteReference w:id="621"/>
      </w:r>
      <w:r>
        <w:rPr>
          <w:rFonts w:cs="Arial" w:hint="cs"/>
          <w:rtl/>
        </w:rPr>
        <w:t xml:space="preserve"> </w:t>
      </w:r>
      <w:r>
        <w:rPr>
          <w:rFonts w:cs="Arial" w:hint="cs"/>
          <w:sz w:val="16"/>
          <w:szCs w:val="16"/>
          <w:rtl/>
        </w:rPr>
        <w:t>(בתשובה, הביאה בהעי"ט [מאמר ח], כ"כ הטור בשמו</w:t>
      </w:r>
      <w:r>
        <w:rPr>
          <w:rStyle w:val="a7"/>
          <w:rFonts w:cs="Arial"/>
          <w:sz w:val="16"/>
          <w:szCs w:val="16"/>
          <w:rtl/>
        </w:rPr>
        <w:footnoteReference w:id="622"/>
      </w:r>
      <w:r>
        <w:rPr>
          <w:rFonts w:cs="Arial" w:hint="cs"/>
          <w:sz w:val="16"/>
          <w:szCs w:val="16"/>
          <w:rtl/>
        </w:rPr>
        <w:t>)</w:t>
      </w:r>
      <w:r>
        <w:rPr>
          <w:rFonts w:cs="Arial" w:hint="cs"/>
          <w:rtl/>
        </w:rPr>
        <w:t xml:space="preserve"> </w:t>
      </w:r>
      <w:r w:rsidR="006139E0">
        <w:rPr>
          <w:rFonts w:cs="Arial" w:hint="cs"/>
          <w:rtl/>
        </w:rPr>
        <w:t xml:space="preserve">רמב"ם </w:t>
      </w:r>
      <w:r w:rsidR="006139E0">
        <w:rPr>
          <w:rFonts w:cs="Arial" w:hint="cs"/>
          <w:sz w:val="16"/>
          <w:szCs w:val="16"/>
          <w:rtl/>
        </w:rPr>
        <w:t>(פ"ד הט"ו)</w:t>
      </w:r>
      <w:r w:rsidR="007E4113">
        <w:rPr>
          <w:rFonts w:cs="Arial" w:hint="cs"/>
          <w:rtl/>
        </w:rPr>
        <w:t xml:space="preserve"> ובהעי"ט</w:t>
      </w:r>
      <w:r w:rsidR="007E4113">
        <w:rPr>
          <w:rFonts w:cs="Arial" w:hint="cs"/>
          <w:sz w:val="16"/>
          <w:szCs w:val="16"/>
          <w:rtl/>
        </w:rPr>
        <w:t xml:space="preserve"> (שם)</w:t>
      </w:r>
      <w:r w:rsidR="00A82951">
        <w:rPr>
          <w:rFonts w:cs="Arial" w:hint="cs"/>
          <w:rtl/>
        </w:rPr>
        <w:t>-</w:t>
      </w:r>
      <w:r w:rsidR="006139E0">
        <w:rPr>
          <w:rFonts w:cs="Arial" w:hint="cs"/>
          <w:rtl/>
        </w:rPr>
        <w:t xml:space="preserve"> </w:t>
      </w:r>
      <w:r w:rsidR="006139E0" w:rsidRPr="006139E0">
        <w:rPr>
          <w:rFonts w:cs="Arial"/>
          <w:rtl/>
        </w:rPr>
        <w:t xml:space="preserve">גט שמחק בו אות או תיבה או שתלה בין השיטין, אם מטופס הגט </w:t>
      </w:r>
      <w:r w:rsidR="00A82951">
        <w:rPr>
          <w:rFonts w:cs="Arial" w:hint="cs"/>
          <w:rtl/>
        </w:rPr>
        <w:t>-</w:t>
      </w:r>
      <w:r w:rsidR="00477915">
        <w:rPr>
          <w:rFonts w:cs="Arial" w:hint="cs"/>
          <w:rtl/>
        </w:rPr>
        <w:t xml:space="preserve"> </w:t>
      </w:r>
      <w:r w:rsidR="006139E0" w:rsidRPr="006139E0">
        <w:rPr>
          <w:rFonts w:cs="Arial"/>
          <w:rtl/>
        </w:rPr>
        <w:t>הרי זה כשר</w:t>
      </w:r>
      <w:r w:rsidR="00477915">
        <w:rPr>
          <w:rFonts w:cs="Arial" w:hint="cs"/>
          <w:rtl/>
        </w:rPr>
        <w:t>.</w:t>
      </w:r>
      <w:r w:rsidR="006139E0" w:rsidRPr="006139E0">
        <w:rPr>
          <w:rFonts w:cs="Arial"/>
          <w:rtl/>
        </w:rPr>
        <w:t xml:space="preserve"> ואם מן התורף </w:t>
      </w:r>
      <w:r w:rsidR="00A82951">
        <w:rPr>
          <w:rFonts w:cs="Arial" w:hint="cs"/>
          <w:rtl/>
        </w:rPr>
        <w:t>-</w:t>
      </w:r>
      <w:r w:rsidR="00477915">
        <w:rPr>
          <w:rFonts w:cs="Arial" w:hint="cs"/>
          <w:rtl/>
        </w:rPr>
        <w:t xml:space="preserve"> </w:t>
      </w:r>
      <w:r w:rsidR="006139E0" w:rsidRPr="006139E0">
        <w:rPr>
          <w:rFonts w:cs="Arial"/>
          <w:rtl/>
        </w:rPr>
        <w:t>אינו גט</w:t>
      </w:r>
      <w:r w:rsidR="00891AD5">
        <w:rPr>
          <w:rStyle w:val="a7"/>
          <w:rFonts w:cs="Arial"/>
          <w:rtl/>
        </w:rPr>
        <w:footnoteReference w:id="623"/>
      </w:r>
      <w:r w:rsidR="00477915">
        <w:rPr>
          <w:rFonts w:cs="Arial" w:hint="cs"/>
          <w:rtl/>
        </w:rPr>
        <w:t>.</w:t>
      </w:r>
      <w:r w:rsidR="006139E0" w:rsidRPr="006139E0">
        <w:rPr>
          <w:rFonts w:cs="Arial"/>
          <w:rtl/>
        </w:rPr>
        <w:t xml:space="preserve"> ואם החזיר ופירש בסוף הגט שאות פלונית תלויה או על מחק</w:t>
      </w:r>
      <w:r w:rsidR="00477915">
        <w:rPr>
          <w:rFonts w:cs="Arial" w:hint="cs"/>
          <w:rtl/>
        </w:rPr>
        <w:t xml:space="preserve"> </w:t>
      </w:r>
      <w:r w:rsidR="00A82951">
        <w:rPr>
          <w:rFonts w:cs="Arial" w:hint="cs"/>
          <w:rtl/>
        </w:rPr>
        <w:t>-</w:t>
      </w:r>
      <w:r w:rsidR="006139E0" w:rsidRPr="006139E0">
        <w:rPr>
          <w:rFonts w:cs="Arial"/>
          <w:rtl/>
        </w:rPr>
        <w:t xml:space="preserve"> אפילו מתורף הגט כשר</w:t>
      </w:r>
      <w:r w:rsidR="005B485F">
        <w:rPr>
          <w:rStyle w:val="a7"/>
          <w:rFonts w:cs="Arial"/>
          <w:rtl/>
        </w:rPr>
        <w:footnoteReference w:id="624"/>
      </w:r>
      <w:r w:rsidR="00477915">
        <w:rPr>
          <w:rFonts w:cs="Arial" w:hint="cs"/>
          <w:rtl/>
        </w:rPr>
        <w:t>,</w:t>
      </w:r>
      <w:r w:rsidR="006139E0" w:rsidRPr="006139E0">
        <w:rPr>
          <w:rFonts w:cs="Arial"/>
          <w:rtl/>
        </w:rPr>
        <w:t xml:space="preserve"> כשאר שטרות</w:t>
      </w:r>
      <w:r w:rsidR="00E02ADC">
        <w:rPr>
          <w:rFonts w:cs="Arial" w:hint="cs"/>
          <w:sz w:val="16"/>
          <w:szCs w:val="16"/>
          <w:rtl/>
        </w:rPr>
        <w:t xml:space="preserve"> (ל' הרמב"ם)</w:t>
      </w:r>
      <w:r w:rsidR="006139E0" w:rsidRPr="006139E0">
        <w:rPr>
          <w:rFonts w:cs="Arial"/>
          <w:rtl/>
        </w:rPr>
        <w:t xml:space="preserve">. </w:t>
      </w:r>
      <w:r w:rsidR="00E66B10" w:rsidRPr="00E66B10">
        <w:rPr>
          <w:rFonts w:hint="cs"/>
          <w:color w:val="E36C0A" w:themeColor="accent6" w:themeShade="BF"/>
          <w:rtl/>
        </w:rPr>
        <w:t>(וכ"</w:t>
      </w:r>
      <w:r w:rsidR="00E66B10">
        <w:rPr>
          <w:rFonts w:hint="cs"/>
          <w:color w:val="E36C0A" w:themeColor="accent6" w:themeShade="BF"/>
          <w:rtl/>
        </w:rPr>
        <w:t>כ</w:t>
      </w:r>
      <w:r w:rsidR="00E66B10" w:rsidRPr="00E66B10">
        <w:rPr>
          <w:rFonts w:hint="cs"/>
          <w:color w:val="E36C0A" w:themeColor="accent6" w:themeShade="BF"/>
          <w:rtl/>
        </w:rPr>
        <w:t xml:space="preserve"> בשו"ע)</w:t>
      </w:r>
    </w:p>
    <w:p w14:paraId="30DD864E" w14:textId="62FF871E" w:rsidR="00F82C81" w:rsidRPr="00E02ADC" w:rsidRDefault="00891AD5" w:rsidP="00E02ADC">
      <w:pPr>
        <w:pStyle w:val="ab"/>
        <w:numPr>
          <w:ilvl w:val="0"/>
          <w:numId w:val="47"/>
        </w:numPr>
        <w:rPr>
          <w:rtl/>
        </w:rPr>
      </w:pPr>
      <w:r w:rsidRPr="002D5E7F">
        <w:rPr>
          <w:rFonts w:cs="Arial"/>
          <w:rtl/>
        </w:rPr>
        <w:t>רבינו סעדיה</w:t>
      </w:r>
      <w:r w:rsidR="003172ED">
        <w:rPr>
          <w:rFonts w:cs="Arial" w:hint="cs"/>
          <w:rtl/>
        </w:rPr>
        <w:t xml:space="preserve"> והגאונים</w:t>
      </w:r>
      <w:r>
        <w:rPr>
          <w:rFonts w:cs="Arial" w:hint="cs"/>
          <w:sz w:val="16"/>
          <w:szCs w:val="16"/>
          <w:rtl/>
        </w:rPr>
        <w:t xml:space="preserve"> (</w:t>
      </w:r>
      <w:r w:rsidR="003172ED">
        <w:rPr>
          <w:rFonts w:cs="Arial" w:hint="cs"/>
          <w:sz w:val="16"/>
          <w:szCs w:val="16"/>
          <w:rtl/>
        </w:rPr>
        <w:t>הביאם בהעי"ט [מאמר ח], וכ"כ הטור בשם רבינו סעדיה</w:t>
      </w:r>
      <w:r w:rsidR="00E02ADC">
        <w:rPr>
          <w:rStyle w:val="a7"/>
          <w:rFonts w:cs="Arial"/>
          <w:sz w:val="16"/>
          <w:szCs w:val="16"/>
          <w:rtl/>
        </w:rPr>
        <w:footnoteReference w:id="625"/>
      </w:r>
      <w:r>
        <w:rPr>
          <w:rFonts w:cs="Arial" w:hint="cs"/>
          <w:sz w:val="16"/>
          <w:szCs w:val="16"/>
          <w:rtl/>
        </w:rPr>
        <w:t>)</w:t>
      </w:r>
      <w:r w:rsidR="00A82951">
        <w:rPr>
          <w:rFonts w:cs="Arial" w:hint="cs"/>
          <w:rtl/>
        </w:rPr>
        <w:t>-</w:t>
      </w:r>
      <w:r>
        <w:rPr>
          <w:rFonts w:cs="Arial" w:hint="cs"/>
          <w:rtl/>
        </w:rPr>
        <w:t xml:space="preserve"> </w:t>
      </w:r>
      <w:r w:rsidR="003172ED" w:rsidRPr="003172ED">
        <w:rPr>
          <w:rFonts w:cs="Arial"/>
          <w:rtl/>
        </w:rPr>
        <w:t>מחק שמו ושמה</w:t>
      </w:r>
      <w:r w:rsidR="007E4113">
        <w:rPr>
          <w:rFonts w:cs="Arial" w:hint="cs"/>
          <w:rtl/>
        </w:rPr>
        <w:t>,</w:t>
      </w:r>
      <w:r w:rsidR="003172ED">
        <w:rPr>
          <w:rFonts w:cs="Arial" w:hint="cs"/>
          <w:rtl/>
        </w:rPr>
        <w:t xml:space="preserve"> </w:t>
      </w:r>
      <w:r w:rsidR="003172ED" w:rsidRPr="003172ED">
        <w:rPr>
          <w:rFonts w:cs="Arial"/>
          <w:rtl/>
        </w:rPr>
        <w:t>פסול אע</w:t>
      </w:r>
      <w:r w:rsidR="003172ED">
        <w:rPr>
          <w:rFonts w:cs="Arial" w:hint="cs"/>
          <w:rtl/>
        </w:rPr>
        <w:t>"</w:t>
      </w:r>
      <w:r w:rsidR="003172ED" w:rsidRPr="003172ED">
        <w:rPr>
          <w:rFonts w:cs="Arial"/>
          <w:rtl/>
        </w:rPr>
        <w:t>פ שמקיים</w:t>
      </w:r>
      <w:r w:rsidR="003172ED">
        <w:rPr>
          <w:rFonts w:cs="Arial" w:hint="cs"/>
          <w:rtl/>
        </w:rPr>
        <w:t>.</w:t>
      </w:r>
      <w:r w:rsidR="003172ED" w:rsidRPr="003172ED">
        <w:rPr>
          <w:rFonts w:cs="Arial"/>
          <w:rtl/>
        </w:rPr>
        <w:t xml:space="preserve"> ושאר מחקים</w:t>
      </w:r>
      <w:r w:rsidR="003172ED">
        <w:rPr>
          <w:rFonts w:cs="Arial" w:hint="cs"/>
          <w:rtl/>
        </w:rPr>
        <w:t>,</w:t>
      </w:r>
      <w:r w:rsidR="003172ED" w:rsidRPr="003172ED">
        <w:rPr>
          <w:rFonts w:cs="Arial"/>
          <w:rtl/>
        </w:rPr>
        <w:t xml:space="preserve"> אם נתקיימו </w:t>
      </w:r>
      <w:r w:rsidR="00A82951">
        <w:rPr>
          <w:rFonts w:cs="Arial" w:hint="cs"/>
          <w:rtl/>
        </w:rPr>
        <w:t>-</w:t>
      </w:r>
      <w:r w:rsidR="003172ED">
        <w:rPr>
          <w:rFonts w:cs="Arial" w:hint="cs"/>
          <w:rtl/>
        </w:rPr>
        <w:t xml:space="preserve"> </w:t>
      </w:r>
      <w:r w:rsidR="003172ED" w:rsidRPr="003172ED">
        <w:rPr>
          <w:rFonts w:cs="Arial"/>
          <w:rtl/>
        </w:rPr>
        <w:t>כשירין דיעבד</w:t>
      </w:r>
      <w:r w:rsidR="003172ED">
        <w:rPr>
          <w:rFonts w:cs="Arial" w:hint="cs"/>
          <w:rtl/>
        </w:rPr>
        <w:t>,</w:t>
      </w:r>
      <w:r w:rsidR="003172ED" w:rsidRPr="003172ED">
        <w:rPr>
          <w:rFonts w:cs="Arial"/>
          <w:rtl/>
        </w:rPr>
        <w:t xml:space="preserve"> אבל לכתחילה לא</w:t>
      </w:r>
      <w:r w:rsidR="003172ED">
        <w:rPr>
          <w:rStyle w:val="a7"/>
          <w:rFonts w:cs="Arial"/>
          <w:rtl/>
        </w:rPr>
        <w:footnoteReference w:id="626"/>
      </w:r>
      <w:r w:rsidR="00E02ADC">
        <w:rPr>
          <w:rFonts w:cs="Arial" w:hint="cs"/>
          <w:sz w:val="16"/>
          <w:szCs w:val="16"/>
          <w:rtl/>
        </w:rPr>
        <w:t xml:space="preserve"> (ל' בהעי"ט בשמם)</w:t>
      </w:r>
      <w:r w:rsidR="003172ED">
        <w:rPr>
          <w:rFonts w:cs="Arial" w:hint="cs"/>
          <w:rtl/>
        </w:rPr>
        <w:t>.</w:t>
      </w:r>
      <w:r w:rsidR="00F82C81" w:rsidRPr="00E02ADC">
        <w:rPr>
          <w:rFonts w:cs="Arial"/>
          <w:rtl/>
        </w:rPr>
        <w:t xml:space="preserve"> </w:t>
      </w:r>
    </w:p>
    <w:p w14:paraId="06E46AC8" w14:textId="35CF3288" w:rsidR="00CF41EB" w:rsidRPr="00CF41EB" w:rsidRDefault="00CF41EB" w:rsidP="00CF41EB">
      <w:pPr>
        <w:ind w:left="360"/>
        <w:rPr>
          <w:u w:val="dotted"/>
        </w:rPr>
      </w:pPr>
      <w:r w:rsidRPr="00CF41EB">
        <w:rPr>
          <w:rFonts w:hint="cs"/>
          <w:u w:val="dotted"/>
          <w:rtl/>
        </w:rPr>
        <w:t>מתי צריך לקיים את המחק:</w:t>
      </w:r>
    </w:p>
    <w:p w14:paraId="6ADB8055" w14:textId="3DC80B0B" w:rsidR="00891AD5" w:rsidRPr="00891AD5" w:rsidRDefault="00E66B10" w:rsidP="00842CA4">
      <w:pPr>
        <w:pStyle w:val="ab"/>
        <w:numPr>
          <w:ilvl w:val="0"/>
          <w:numId w:val="47"/>
        </w:numPr>
      </w:pPr>
      <w:r>
        <w:rPr>
          <w:rFonts w:cs="Arial" w:hint="cs"/>
          <w:rtl/>
        </w:rPr>
        <w:t xml:space="preserve">רבינו ניסים </w:t>
      </w:r>
      <w:r>
        <w:rPr>
          <w:rFonts w:cs="Arial" w:hint="cs"/>
          <w:sz w:val="16"/>
          <w:szCs w:val="16"/>
          <w:rtl/>
        </w:rPr>
        <w:t>(שם)</w:t>
      </w:r>
      <w:r>
        <w:rPr>
          <w:rFonts w:cs="Arial" w:hint="cs"/>
          <w:rtl/>
        </w:rPr>
        <w:t xml:space="preserve"> ו</w:t>
      </w:r>
      <w:r w:rsidR="00CF41EB">
        <w:rPr>
          <w:rFonts w:cs="Arial" w:hint="cs"/>
          <w:rtl/>
        </w:rPr>
        <w:t xml:space="preserve">רי"ו </w:t>
      </w:r>
      <w:r w:rsidR="00CF41EB" w:rsidRPr="00CF41EB">
        <w:rPr>
          <w:rFonts w:cs="Arial" w:hint="cs"/>
          <w:sz w:val="16"/>
          <w:szCs w:val="16"/>
          <w:rtl/>
        </w:rPr>
        <w:t>(</w:t>
      </w:r>
      <w:r w:rsidR="00891AD5" w:rsidRPr="00CF41EB">
        <w:rPr>
          <w:rFonts w:cs="Arial"/>
          <w:sz w:val="16"/>
          <w:szCs w:val="16"/>
          <w:rtl/>
        </w:rPr>
        <w:t>ח</w:t>
      </w:r>
      <w:r w:rsidR="00CF41EB" w:rsidRPr="00CF41EB">
        <w:rPr>
          <w:rFonts w:cs="Arial" w:hint="cs"/>
          <w:sz w:val="16"/>
          <w:szCs w:val="16"/>
          <w:rtl/>
        </w:rPr>
        <w:t>"</w:t>
      </w:r>
      <w:r w:rsidR="00891AD5" w:rsidRPr="00CF41EB">
        <w:rPr>
          <w:rFonts w:cs="Arial"/>
          <w:sz w:val="16"/>
          <w:szCs w:val="16"/>
          <w:rtl/>
        </w:rPr>
        <w:t>ב נכ"ד)</w:t>
      </w:r>
      <w:r w:rsidR="00A82951">
        <w:rPr>
          <w:rFonts w:cs="Arial" w:hint="cs"/>
          <w:rtl/>
        </w:rPr>
        <w:t>-</w:t>
      </w:r>
      <w:r w:rsidR="00891AD5" w:rsidRPr="00CF41EB">
        <w:rPr>
          <w:rFonts w:cs="Arial"/>
          <w:rtl/>
        </w:rPr>
        <w:t xml:space="preserve"> והקיום יכתבנו קודם כדת משה וישראל</w:t>
      </w:r>
      <w:r w:rsidR="00CF41EB" w:rsidRPr="00CF41EB">
        <w:rPr>
          <w:rFonts w:cs="Arial" w:hint="cs"/>
          <w:rtl/>
        </w:rPr>
        <w:t>,</w:t>
      </w:r>
      <w:r w:rsidR="00891AD5" w:rsidRPr="00CF41EB">
        <w:rPr>
          <w:rFonts w:cs="Arial"/>
          <w:rtl/>
        </w:rPr>
        <w:t xml:space="preserve"> כי כדת משה וישראל במקום שריר וקיים</w:t>
      </w:r>
      <w:r w:rsidR="00891AD5">
        <w:rPr>
          <w:rStyle w:val="a7"/>
          <w:rFonts w:cs="Arial"/>
          <w:rtl/>
        </w:rPr>
        <w:footnoteReference w:id="627"/>
      </w:r>
      <w:r w:rsidR="00891AD5" w:rsidRPr="00CF41EB">
        <w:rPr>
          <w:rFonts w:cs="Arial"/>
          <w:rtl/>
        </w:rPr>
        <w:t xml:space="preserve">. </w:t>
      </w:r>
      <w:r w:rsidRPr="00E66B10">
        <w:rPr>
          <w:rFonts w:hint="cs"/>
          <w:color w:val="E36C0A" w:themeColor="accent6" w:themeShade="BF"/>
          <w:rtl/>
        </w:rPr>
        <w:t>(וכ"</w:t>
      </w:r>
      <w:r>
        <w:rPr>
          <w:rFonts w:hint="cs"/>
          <w:color w:val="E36C0A" w:themeColor="accent6" w:themeShade="BF"/>
          <w:rtl/>
        </w:rPr>
        <w:t>כ</w:t>
      </w:r>
      <w:r w:rsidRPr="00E66B10">
        <w:rPr>
          <w:rFonts w:hint="cs"/>
          <w:color w:val="E36C0A" w:themeColor="accent6" w:themeShade="BF"/>
          <w:rtl/>
        </w:rPr>
        <w:t xml:space="preserve"> בשו"ע)</w:t>
      </w:r>
    </w:p>
    <w:p w14:paraId="34D3B526" w14:textId="77777777" w:rsidR="00F82C81" w:rsidRPr="009F2C2D" w:rsidRDefault="00F82C81" w:rsidP="00F82C81">
      <w:pPr>
        <w:ind w:left="360"/>
        <w:rPr>
          <w:rFonts w:cs="Arial"/>
          <w:u w:val="dotted"/>
          <w:rtl/>
        </w:rPr>
      </w:pPr>
      <w:r w:rsidRPr="009F2C2D">
        <w:rPr>
          <w:rFonts w:cs="Arial" w:hint="cs"/>
          <w:u w:val="dotted"/>
          <w:rtl/>
        </w:rPr>
        <w:t>ומה הדין אם יש שם עדי מסירה:</w:t>
      </w:r>
    </w:p>
    <w:p w14:paraId="38D931D2" w14:textId="5FC2659A" w:rsidR="00F82C81" w:rsidRDefault="00F82C81" w:rsidP="00F82C81">
      <w:pPr>
        <w:pStyle w:val="ab"/>
        <w:numPr>
          <w:ilvl w:val="0"/>
          <w:numId w:val="47"/>
        </w:numPr>
      </w:pPr>
      <w:r>
        <w:rPr>
          <w:rFonts w:cs="Arial" w:hint="cs"/>
          <w:rtl/>
        </w:rPr>
        <w:t xml:space="preserve">רמב"ם </w:t>
      </w:r>
      <w:r>
        <w:rPr>
          <w:rFonts w:cs="Arial" w:hint="cs"/>
          <w:sz w:val="16"/>
          <w:szCs w:val="16"/>
          <w:rtl/>
        </w:rPr>
        <w:t>(פ"ד הי"ז)</w:t>
      </w:r>
      <w:r w:rsidR="00A82951">
        <w:rPr>
          <w:rFonts w:cs="Arial" w:hint="cs"/>
          <w:rtl/>
        </w:rPr>
        <w:t>-</w:t>
      </w:r>
      <w:r>
        <w:rPr>
          <w:rFonts w:cs="Arial" w:hint="cs"/>
          <w:rtl/>
        </w:rPr>
        <w:t xml:space="preserve"> </w:t>
      </w:r>
      <w:r w:rsidRPr="006139E0">
        <w:rPr>
          <w:rFonts w:cs="Arial"/>
          <w:rtl/>
        </w:rPr>
        <w:t>במה דברים אמורים בשהיה הגט יוצא מתחת ידה בעידי חתימה ואין שם עידי מסירה</w:t>
      </w:r>
      <w:r>
        <w:rPr>
          <w:rFonts w:cs="Arial" w:hint="cs"/>
          <w:rtl/>
        </w:rPr>
        <w:t>,</w:t>
      </w:r>
      <w:r w:rsidRPr="006139E0">
        <w:rPr>
          <w:rFonts w:cs="Arial"/>
          <w:rtl/>
        </w:rPr>
        <w:t xml:space="preserve"> אבל אם יש שם עדים שנמסר לה הגט בפניהם והיה כשר </w:t>
      </w:r>
      <w:r w:rsidR="00A82951">
        <w:rPr>
          <w:rFonts w:cs="Arial" w:hint="cs"/>
          <w:rtl/>
        </w:rPr>
        <w:t>-</w:t>
      </w:r>
      <w:r>
        <w:rPr>
          <w:rFonts w:cs="Arial" w:hint="cs"/>
          <w:rtl/>
        </w:rPr>
        <w:t xml:space="preserve"> </w:t>
      </w:r>
      <w:r w:rsidRPr="006139E0">
        <w:rPr>
          <w:rFonts w:cs="Arial"/>
          <w:rtl/>
        </w:rPr>
        <w:t>הרי זה כשר אע</w:t>
      </w:r>
      <w:r w:rsidR="00C3540F">
        <w:rPr>
          <w:rFonts w:cs="Arial" w:hint="cs"/>
          <w:rtl/>
        </w:rPr>
        <w:t>"</w:t>
      </w:r>
      <w:r w:rsidRPr="006139E0">
        <w:rPr>
          <w:rFonts w:cs="Arial"/>
          <w:rtl/>
        </w:rPr>
        <w:t>פ שהיה תורף הגט על המחק או בין השיטין או שהיה קרוע שתי וערב כשנתן לה בפניהם</w:t>
      </w:r>
      <w:r>
        <w:rPr>
          <w:rStyle w:val="a7"/>
          <w:rFonts w:cs="Arial"/>
          <w:rtl/>
        </w:rPr>
        <w:footnoteReference w:id="628"/>
      </w:r>
      <w:r w:rsidRPr="006139E0">
        <w:rPr>
          <w:rFonts w:cs="Arial"/>
          <w:rtl/>
        </w:rPr>
        <w:t xml:space="preserve">. </w:t>
      </w:r>
      <w:r w:rsidR="006B457D" w:rsidRPr="00E66B10">
        <w:rPr>
          <w:rFonts w:hint="cs"/>
          <w:color w:val="E36C0A" w:themeColor="accent6" w:themeShade="BF"/>
          <w:rtl/>
        </w:rPr>
        <w:t>(וכ"פ בשו"ע</w:t>
      </w:r>
      <w:r w:rsidR="006B457D">
        <w:rPr>
          <w:rFonts w:hint="cs"/>
          <w:color w:val="E36C0A" w:themeColor="accent6" w:themeShade="BF"/>
          <w:sz w:val="16"/>
          <w:szCs w:val="16"/>
          <w:rtl/>
        </w:rPr>
        <w:t xml:space="preserve"> </w:t>
      </w:r>
      <w:r w:rsidR="006B457D" w:rsidRPr="006B457D">
        <w:rPr>
          <w:rFonts w:hint="cs"/>
          <w:color w:val="000000" w:themeColor="text1"/>
          <w:sz w:val="16"/>
          <w:szCs w:val="16"/>
          <w:rtl/>
        </w:rPr>
        <w:t>[</w:t>
      </w:r>
      <w:r w:rsidR="006B457D">
        <w:rPr>
          <w:rFonts w:hint="cs"/>
          <w:color w:val="000000" w:themeColor="text1"/>
          <w:sz w:val="16"/>
          <w:szCs w:val="16"/>
          <w:rtl/>
        </w:rPr>
        <w:t>בסע' כא</w:t>
      </w:r>
      <w:r w:rsidR="006B457D" w:rsidRPr="006B457D">
        <w:rPr>
          <w:rFonts w:hint="cs"/>
          <w:color w:val="000000" w:themeColor="text1"/>
          <w:sz w:val="16"/>
          <w:szCs w:val="16"/>
          <w:rtl/>
        </w:rPr>
        <w:t>]</w:t>
      </w:r>
      <w:r w:rsidR="006B457D" w:rsidRPr="00E66B10">
        <w:rPr>
          <w:rFonts w:hint="cs"/>
          <w:color w:val="E36C0A" w:themeColor="accent6" w:themeShade="BF"/>
          <w:rtl/>
        </w:rPr>
        <w:t>)</w:t>
      </w:r>
    </w:p>
    <w:p w14:paraId="76B6DE07" w14:textId="521F9C9D" w:rsidR="004613CF" w:rsidRDefault="004613CF" w:rsidP="004613CF">
      <w:pPr>
        <w:pStyle w:val="ab"/>
        <w:numPr>
          <w:ilvl w:val="0"/>
          <w:numId w:val="47"/>
        </w:numPr>
      </w:pPr>
      <w:r>
        <w:rPr>
          <w:rFonts w:cs="Arial" w:hint="cs"/>
          <w:rtl/>
        </w:rPr>
        <w:t>רי"ו</w:t>
      </w:r>
      <w:r w:rsidRPr="00F82C81">
        <w:rPr>
          <w:rFonts w:cs="Arial"/>
          <w:rtl/>
        </w:rPr>
        <w:t xml:space="preserve"> </w:t>
      </w:r>
      <w:r w:rsidRPr="00B42A2C">
        <w:rPr>
          <w:rFonts w:cs="Arial" w:hint="cs"/>
          <w:sz w:val="16"/>
          <w:szCs w:val="16"/>
          <w:rtl/>
        </w:rPr>
        <w:t>(</w:t>
      </w:r>
      <w:r w:rsidRPr="00B42A2C">
        <w:rPr>
          <w:rFonts w:cs="Arial"/>
          <w:sz w:val="16"/>
          <w:szCs w:val="16"/>
          <w:rtl/>
        </w:rPr>
        <w:t>ח</w:t>
      </w:r>
      <w:r w:rsidRPr="00B42A2C">
        <w:rPr>
          <w:rFonts w:cs="Arial" w:hint="cs"/>
          <w:sz w:val="16"/>
          <w:szCs w:val="16"/>
          <w:rtl/>
        </w:rPr>
        <w:t>"</w:t>
      </w:r>
      <w:r w:rsidRPr="00B42A2C">
        <w:rPr>
          <w:rFonts w:cs="Arial"/>
          <w:sz w:val="16"/>
          <w:szCs w:val="16"/>
          <w:rtl/>
        </w:rPr>
        <w:t>ב נכ"ד רה ע"ב)</w:t>
      </w:r>
      <w:r w:rsidR="00A82951">
        <w:rPr>
          <w:rFonts w:cs="Arial" w:hint="cs"/>
          <w:rtl/>
        </w:rPr>
        <w:t>-</w:t>
      </w:r>
      <w:r w:rsidRPr="00F82C81">
        <w:rPr>
          <w:rFonts w:cs="Arial"/>
          <w:rtl/>
        </w:rPr>
        <w:t xml:space="preserve"> יש מגדולי המורים שכתבו דבשמו ובשמה פסול אע</w:t>
      </w:r>
      <w:r w:rsidR="00C3540F">
        <w:rPr>
          <w:rFonts w:cs="Arial" w:hint="cs"/>
          <w:rtl/>
        </w:rPr>
        <w:t>"</w:t>
      </w:r>
      <w:r w:rsidRPr="00F82C81">
        <w:rPr>
          <w:rFonts w:cs="Arial"/>
          <w:rtl/>
        </w:rPr>
        <w:t>פ שמקויים</w:t>
      </w:r>
      <w:r>
        <w:rPr>
          <w:rFonts w:cs="Arial" w:hint="cs"/>
          <w:rtl/>
        </w:rPr>
        <w:t>.</w:t>
      </w:r>
      <w:r w:rsidRPr="00F82C81">
        <w:rPr>
          <w:rFonts w:cs="Arial"/>
          <w:rtl/>
        </w:rPr>
        <w:t xml:space="preserve"> ויש מי שכתב דזה נראה דוקא בגט היוצא לפנינו דחיישינן שמא שינה שמו</w:t>
      </w:r>
      <w:r>
        <w:rPr>
          <w:rFonts w:cs="Arial" w:hint="cs"/>
          <w:rtl/>
        </w:rPr>
        <w:t>,</w:t>
      </w:r>
      <w:r w:rsidRPr="00F82C81">
        <w:rPr>
          <w:rFonts w:cs="Arial"/>
          <w:rtl/>
        </w:rPr>
        <w:t xml:space="preserve"> אבל אם ידוע שמחמת טעות אחר נמחק </w:t>
      </w:r>
      <w:r w:rsidR="00A82951">
        <w:rPr>
          <w:rFonts w:cs="Arial" w:hint="cs"/>
          <w:rtl/>
        </w:rPr>
        <w:t>-</w:t>
      </w:r>
      <w:r>
        <w:rPr>
          <w:rFonts w:cs="Arial" w:hint="cs"/>
          <w:rtl/>
        </w:rPr>
        <w:t xml:space="preserve"> </w:t>
      </w:r>
      <w:r w:rsidRPr="00F82C81">
        <w:rPr>
          <w:rFonts w:cs="Arial"/>
          <w:rtl/>
        </w:rPr>
        <w:t>כשר</w:t>
      </w:r>
      <w:r>
        <w:rPr>
          <w:rFonts w:cs="Arial" w:hint="cs"/>
          <w:rtl/>
        </w:rPr>
        <w:t>,</w:t>
      </w:r>
      <w:r w:rsidRPr="00F82C81">
        <w:rPr>
          <w:rFonts w:cs="Arial"/>
          <w:rtl/>
        </w:rPr>
        <w:t xml:space="preserve"> והוא שנתנו לה בעדי מסירה ויודעים שכך היה</w:t>
      </w:r>
      <w:r>
        <w:rPr>
          <w:rFonts w:cs="Arial" w:hint="cs"/>
          <w:rtl/>
        </w:rPr>
        <w:t>.</w:t>
      </w:r>
      <w:r w:rsidRPr="00F82C81">
        <w:rPr>
          <w:rFonts w:cs="Arial"/>
          <w:rtl/>
        </w:rPr>
        <w:t xml:space="preserve"> וכן כתב הר"ר אברהם בן אסמעאל. </w:t>
      </w:r>
    </w:p>
    <w:p w14:paraId="4567F247" w14:textId="01641E85" w:rsidR="004613CF" w:rsidRPr="004613CF" w:rsidRDefault="004613CF" w:rsidP="004613CF">
      <w:pPr>
        <w:ind w:left="360"/>
        <w:rPr>
          <w:u w:val="single"/>
        </w:rPr>
      </w:pPr>
      <w:r w:rsidRPr="004613CF">
        <w:rPr>
          <w:rFonts w:hint="cs"/>
          <w:u w:val="single"/>
          <w:rtl/>
        </w:rPr>
        <w:lastRenderedPageBreak/>
        <w:t xml:space="preserve">מחק בגט </w:t>
      </w:r>
      <w:r w:rsidR="00A82951">
        <w:rPr>
          <w:u w:val="single"/>
          <w:rtl/>
        </w:rPr>
        <w:t>-</w:t>
      </w:r>
      <w:r w:rsidRPr="004613CF">
        <w:rPr>
          <w:rFonts w:hint="cs"/>
          <w:u w:val="single"/>
          <w:rtl/>
        </w:rPr>
        <w:t xml:space="preserve"> לפי המנהג:</w:t>
      </w:r>
    </w:p>
    <w:p w14:paraId="27845830" w14:textId="43F67BBE" w:rsidR="004613CF" w:rsidRDefault="004613CF" w:rsidP="004613CF">
      <w:pPr>
        <w:pStyle w:val="ab"/>
        <w:numPr>
          <w:ilvl w:val="0"/>
          <w:numId w:val="47"/>
        </w:numPr>
      </w:pPr>
      <w:r w:rsidRPr="00A17E63">
        <w:rPr>
          <w:rFonts w:cs="Arial"/>
          <w:rtl/>
        </w:rPr>
        <w:t>תוס</w:t>
      </w:r>
      <w:r w:rsidRPr="00A17E63">
        <w:rPr>
          <w:rFonts w:cs="Arial" w:hint="cs"/>
          <w:rtl/>
        </w:rPr>
        <w:t>'</w:t>
      </w:r>
      <w:r w:rsidRPr="00A17E63">
        <w:rPr>
          <w:rFonts w:cs="Arial"/>
          <w:rtl/>
        </w:rPr>
        <w:t xml:space="preserve"> </w:t>
      </w:r>
      <w:r w:rsidRPr="00891AD5">
        <w:rPr>
          <w:rFonts w:cs="Arial"/>
          <w:sz w:val="16"/>
          <w:szCs w:val="16"/>
          <w:rtl/>
        </w:rPr>
        <w:t>(</w:t>
      </w:r>
      <w:r w:rsidRPr="00891AD5">
        <w:rPr>
          <w:rFonts w:cs="Arial" w:hint="cs"/>
          <w:sz w:val="16"/>
          <w:szCs w:val="16"/>
          <w:rtl/>
        </w:rPr>
        <w:t xml:space="preserve">גיטין פד: </w:t>
      </w:r>
      <w:r w:rsidRPr="00891AD5">
        <w:rPr>
          <w:rFonts w:cs="Arial"/>
          <w:sz w:val="16"/>
          <w:szCs w:val="16"/>
          <w:rtl/>
        </w:rPr>
        <w:t>ד"ה אם)</w:t>
      </w:r>
      <w:r w:rsidRPr="00891AD5">
        <w:rPr>
          <w:rFonts w:cs="Arial" w:hint="cs"/>
          <w:sz w:val="16"/>
          <w:szCs w:val="16"/>
          <w:rtl/>
        </w:rPr>
        <w:t xml:space="preserve"> </w:t>
      </w:r>
      <w:r>
        <w:rPr>
          <w:rFonts w:cs="Arial" w:hint="cs"/>
          <w:rtl/>
        </w:rPr>
        <w:t>הה"מ</w:t>
      </w:r>
      <w:r w:rsidRPr="00CF41EB">
        <w:rPr>
          <w:rFonts w:cs="Arial" w:hint="cs"/>
          <w:sz w:val="16"/>
          <w:szCs w:val="16"/>
          <w:rtl/>
        </w:rPr>
        <w:t xml:space="preserve"> (שם)</w:t>
      </w:r>
      <w:r>
        <w:rPr>
          <w:rFonts w:cs="Arial" w:hint="cs"/>
          <w:rtl/>
        </w:rPr>
        <w:t xml:space="preserve"> ו</w:t>
      </w:r>
      <w:r>
        <w:rPr>
          <w:rFonts w:cs="Arial"/>
          <w:rtl/>
        </w:rPr>
        <w:t xml:space="preserve">ר"ן </w:t>
      </w:r>
      <w:r w:rsidRPr="00891AD5">
        <w:rPr>
          <w:rFonts w:cs="Arial"/>
          <w:sz w:val="16"/>
          <w:szCs w:val="16"/>
          <w:rtl/>
        </w:rPr>
        <w:t xml:space="preserve">(מד: </w:t>
      </w:r>
      <w:r>
        <w:rPr>
          <w:rFonts w:cs="Arial" w:hint="cs"/>
          <w:sz w:val="16"/>
          <w:szCs w:val="16"/>
          <w:rtl/>
        </w:rPr>
        <w:t>ד"ה ואי כתבו</w:t>
      </w:r>
      <w:r w:rsidRPr="00891AD5">
        <w:rPr>
          <w:rFonts w:cs="Arial"/>
          <w:sz w:val="16"/>
          <w:szCs w:val="16"/>
          <w:rtl/>
        </w:rPr>
        <w:t>)</w:t>
      </w:r>
      <w:r w:rsidR="00A82951">
        <w:rPr>
          <w:rFonts w:cs="Arial" w:hint="cs"/>
          <w:rtl/>
        </w:rPr>
        <w:t>-</w:t>
      </w:r>
      <w:r>
        <w:rPr>
          <w:rFonts w:cs="Arial" w:hint="cs"/>
          <w:rtl/>
        </w:rPr>
        <w:t xml:space="preserve"> </w:t>
      </w:r>
      <w:r w:rsidRPr="00A17E63">
        <w:rPr>
          <w:rFonts w:cs="Arial"/>
          <w:rtl/>
        </w:rPr>
        <w:t>ונהגו שלא לקיים מחק בגט להחמיר</w:t>
      </w:r>
      <w:r>
        <w:rPr>
          <w:rStyle w:val="a7"/>
          <w:rFonts w:cs="Arial"/>
          <w:rtl/>
        </w:rPr>
        <w:footnoteReference w:id="629"/>
      </w:r>
      <w:r>
        <w:rPr>
          <w:rFonts w:cs="Arial" w:hint="cs"/>
          <w:sz w:val="16"/>
          <w:szCs w:val="16"/>
          <w:rtl/>
        </w:rPr>
        <w:t xml:space="preserve"> (ל' הה"מ)</w:t>
      </w:r>
      <w:r>
        <w:rPr>
          <w:rFonts w:cs="Arial" w:hint="cs"/>
          <w:rtl/>
        </w:rPr>
        <w:t>.</w:t>
      </w:r>
      <w:r w:rsidRPr="00A17E63">
        <w:rPr>
          <w:rFonts w:cs="Arial"/>
          <w:rtl/>
        </w:rPr>
        <w:t xml:space="preserve"> </w:t>
      </w:r>
      <w:r w:rsidR="00E66B10" w:rsidRPr="00E66B10">
        <w:rPr>
          <w:rFonts w:hint="cs"/>
          <w:color w:val="E36C0A" w:themeColor="accent6" w:themeShade="BF"/>
          <w:rtl/>
        </w:rPr>
        <w:t>(וכ"פ בשו"ע)</w:t>
      </w:r>
    </w:p>
    <w:p w14:paraId="57108FB4"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E01AED5" w14:textId="6ED876F4" w:rsidR="00C77C34" w:rsidRDefault="00C77C34" w:rsidP="00C77C34">
      <w:pPr>
        <w:rPr>
          <w:rFonts w:cs="Arial"/>
          <w:rtl/>
        </w:rPr>
      </w:pPr>
      <w:r w:rsidRPr="00C77C34">
        <w:rPr>
          <w:rFonts w:cs="Arial"/>
          <w:rtl/>
        </w:rPr>
        <w:t>גט שמחק בו אות או תיבה, או שתלה בין השיטין, אם מטופס הגט, הרי זה כשר. ואם מן התורף, אינו גט. ואם חזר ופירש בסוף הגט שאות פלונית תלויה או על המחק, אפילו מתורף הגט, כשר כשאר שטרות. והקיום יכתבנו קודם כדת משה וישראל. ועכשיו נהגו להחמיר</w:t>
      </w:r>
      <w:r w:rsidR="00E66B10">
        <w:rPr>
          <w:rStyle w:val="a7"/>
          <w:rFonts w:cs="Arial"/>
          <w:rtl/>
        </w:rPr>
        <w:footnoteReference w:id="630"/>
      </w:r>
      <w:r w:rsidRPr="00C77C34">
        <w:rPr>
          <w:rFonts w:cs="Arial"/>
          <w:rtl/>
        </w:rPr>
        <w:t xml:space="preserve"> שלא לקיים מחק הגט. </w:t>
      </w:r>
    </w:p>
    <w:p w14:paraId="6234BCC2" w14:textId="77777777" w:rsidR="002D5E7F" w:rsidRPr="00C77C34" w:rsidRDefault="002D5E7F" w:rsidP="00C77C34">
      <w:pPr>
        <w:rPr>
          <w:rFonts w:cs="Arial"/>
          <w:rtl/>
        </w:rPr>
      </w:pPr>
    </w:p>
    <w:p w14:paraId="019CF7C6" w14:textId="0C516BF3" w:rsidR="00C77C34" w:rsidRDefault="00C77C34" w:rsidP="00786DE6">
      <w:pPr>
        <w:pStyle w:val="2"/>
        <w:rPr>
          <w:rtl/>
        </w:rPr>
      </w:pPr>
      <w:r w:rsidRPr="00C77C34">
        <w:rPr>
          <w:rtl/>
        </w:rPr>
        <w:t>סעיף כ</w:t>
      </w:r>
      <w:r w:rsidR="004A27B3">
        <w:rPr>
          <w:rFonts w:hint="cs"/>
          <w:rtl/>
        </w:rPr>
        <w:t>: גט קרוע/רקוב/מחורר/מטושטש.</w:t>
      </w:r>
    </w:p>
    <w:p w14:paraId="4DB5F668" w14:textId="25EC77DF" w:rsidR="00F82C81" w:rsidRDefault="00F82C81" w:rsidP="00F82C81">
      <w:pPr>
        <w:rPr>
          <w:rFonts w:cs="Arial"/>
          <w:u w:val="single"/>
          <w:rtl/>
        </w:rPr>
      </w:pPr>
      <w:r w:rsidRPr="00517D9E">
        <w:rPr>
          <w:rFonts w:cs="Arial" w:hint="cs"/>
          <w:b/>
          <w:bCs/>
          <w:rtl/>
        </w:rPr>
        <w:t>תוספתא גיטין פ"ז ה</w:t>
      </w:r>
      <w:r>
        <w:rPr>
          <w:rFonts w:cs="Arial" w:hint="cs"/>
          <w:b/>
          <w:bCs/>
          <w:rtl/>
        </w:rPr>
        <w:t>י</w:t>
      </w:r>
      <w:r w:rsidRPr="00517D9E">
        <w:rPr>
          <w:rFonts w:cs="Arial" w:hint="cs"/>
          <w:b/>
          <w:bCs/>
          <w:rtl/>
        </w:rPr>
        <w:t>"</w:t>
      </w:r>
      <w:r>
        <w:rPr>
          <w:rFonts w:cs="Arial" w:hint="cs"/>
          <w:b/>
          <w:bCs/>
          <w:rtl/>
        </w:rPr>
        <w:t>א</w:t>
      </w:r>
      <w:r w:rsidRPr="00517D9E">
        <w:rPr>
          <w:rFonts w:cs="Arial" w:hint="cs"/>
          <w:b/>
          <w:bCs/>
          <w:rtl/>
        </w:rPr>
        <w:t>:</w:t>
      </w:r>
      <w:r>
        <w:rPr>
          <w:rFonts w:cs="Arial" w:hint="cs"/>
          <w:rtl/>
        </w:rPr>
        <w:t xml:space="preserve"> </w:t>
      </w:r>
      <w:r w:rsidRPr="00CE4978">
        <w:rPr>
          <w:rFonts w:cs="Arial"/>
          <w:rtl/>
        </w:rPr>
        <w:t xml:space="preserve">נקרע </w:t>
      </w:r>
      <w:r w:rsidR="00A82951">
        <w:rPr>
          <w:rFonts w:cs="Arial" w:hint="cs"/>
          <w:rtl/>
        </w:rPr>
        <w:t>-</w:t>
      </w:r>
      <w:r>
        <w:rPr>
          <w:rFonts w:cs="Arial" w:hint="cs"/>
          <w:rtl/>
        </w:rPr>
        <w:t xml:space="preserve"> </w:t>
      </w:r>
      <w:r w:rsidRPr="00CE4978">
        <w:rPr>
          <w:rFonts w:cs="Arial"/>
          <w:rtl/>
        </w:rPr>
        <w:t>כשר</w:t>
      </w:r>
      <w:r>
        <w:rPr>
          <w:rFonts w:cs="Arial" w:hint="cs"/>
          <w:rtl/>
        </w:rPr>
        <w:t>.</w:t>
      </w:r>
      <w:r w:rsidRPr="00CE4978">
        <w:rPr>
          <w:rFonts w:cs="Arial"/>
          <w:rtl/>
        </w:rPr>
        <w:t xml:space="preserve"> נתקרע </w:t>
      </w:r>
      <w:r w:rsidR="00A82951">
        <w:rPr>
          <w:rFonts w:cs="Arial" w:hint="cs"/>
          <w:rtl/>
        </w:rPr>
        <w:t>-</w:t>
      </w:r>
      <w:r>
        <w:rPr>
          <w:rFonts w:cs="Arial" w:hint="cs"/>
          <w:rtl/>
        </w:rPr>
        <w:t xml:space="preserve"> </w:t>
      </w:r>
      <w:r w:rsidRPr="00CE4978">
        <w:rPr>
          <w:rFonts w:cs="Arial"/>
          <w:rtl/>
        </w:rPr>
        <w:t>פסול</w:t>
      </w:r>
      <w:r>
        <w:rPr>
          <w:rFonts w:cs="Arial" w:hint="cs"/>
          <w:rtl/>
        </w:rPr>
        <w:t>.</w:t>
      </w:r>
      <w:r w:rsidRPr="00CE4978">
        <w:rPr>
          <w:rFonts w:cs="Arial"/>
          <w:rtl/>
        </w:rPr>
        <w:t xml:space="preserve"> נקרע בו קרע של בית דין </w:t>
      </w:r>
      <w:r w:rsidR="00A82951">
        <w:rPr>
          <w:rFonts w:cs="Arial" w:hint="cs"/>
          <w:rtl/>
        </w:rPr>
        <w:t>-</w:t>
      </w:r>
      <w:r>
        <w:rPr>
          <w:rFonts w:cs="Arial" w:hint="cs"/>
          <w:rtl/>
        </w:rPr>
        <w:t xml:space="preserve"> </w:t>
      </w:r>
      <w:r w:rsidRPr="00CE4978">
        <w:rPr>
          <w:rFonts w:cs="Arial"/>
          <w:rtl/>
        </w:rPr>
        <w:t>פסול</w:t>
      </w:r>
      <w:r>
        <w:rPr>
          <w:rFonts w:cs="Arial" w:hint="cs"/>
          <w:rtl/>
        </w:rPr>
        <w:t>.</w:t>
      </w:r>
    </w:p>
    <w:p w14:paraId="58BAC54D" w14:textId="77777777" w:rsidR="00F82C81" w:rsidRPr="00891AD5" w:rsidRDefault="00F82C81" w:rsidP="00F82C81">
      <w:pPr>
        <w:rPr>
          <w:rFonts w:cs="Arial"/>
          <w:u w:val="single"/>
        </w:rPr>
      </w:pPr>
      <w:r w:rsidRPr="00891AD5">
        <w:rPr>
          <w:rFonts w:cs="Arial" w:hint="cs"/>
          <w:u w:val="single"/>
          <w:rtl/>
        </w:rPr>
        <w:t>גט קרוע:</w:t>
      </w:r>
    </w:p>
    <w:p w14:paraId="10300CCB" w14:textId="074E6122" w:rsidR="00F82C81" w:rsidRDefault="00F82C81" w:rsidP="00F82C81">
      <w:pPr>
        <w:pStyle w:val="ab"/>
        <w:numPr>
          <w:ilvl w:val="0"/>
          <w:numId w:val="47"/>
        </w:numPr>
        <w:rPr>
          <w:rFonts w:cs="Arial"/>
        </w:rPr>
      </w:pPr>
      <w:r>
        <w:rPr>
          <w:rFonts w:cs="Arial" w:hint="cs"/>
          <w:rtl/>
        </w:rPr>
        <w:t xml:space="preserve">רמב"ם </w:t>
      </w:r>
      <w:r>
        <w:rPr>
          <w:rFonts w:cs="Arial" w:hint="cs"/>
          <w:sz w:val="16"/>
          <w:szCs w:val="16"/>
          <w:rtl/>
        </w:rPr>
        <w:t>(פ"ד הט"ו)</w:t>
      </w:r>
      <w:r w:rsidR="00A82951">
        <w:rPr>
          <w:rFonts w:cs="Arial" w:hint="cs"/>
          <w:rtl/>
        </w:rPr>
        <w:t>-</w:t>
      </w:r>
      <w:r>
        <w:rPr>
          <w:rFonts w:cs="Arial" w:hint="cs"/>
          <w:rtl/>
        </w:rPr>
        <w:t xml:space="preserve"> </w:t>
      </w:r>
      <w:r w:rsidRPr="006139E0">
        <w:rPr>
          <w:rFonts w:cs="Arial"/>
          <w:rtl/>
        </w:rPr>
        <w:t>וכן גט שנמצא קרוע שתי וערב</w:t>
      </w:r>
      <w:r>
        <w:rPr>
          <w:rFonts w:cs="Arial" w:hint="cs"/>
          <w:rtl/>
        </w:rPr>
        <w:t>,</w:t>
      </w:r>
      <w:r w:rsidRPr="006139E0">
        <w:rPr>
          <w:rFonts w:cs="Arial"/>
          <w:rtl/>
        </w:rPr>
        <w:t xml:space="preserve"> שהוא קרע של בית דין </w:t>
      </w:r>
      <w:r w:rsidR="00A82951">
        <w:rPr>
          <w:rFonts w:cs="Arial" w:hint="cs"/>
          <w:rtl/>
        </w:rPr>
        <w:t>-</w:t>
      </w:r>
      <w:r>
        <w:rPr>
          <w:rFonts w:cs="Arial" w:hint="cs"/>
          <w:rtl/>
        </w:rPr>
        <w:t xml:space="preserve"> </w:t>
      </w:r>
      <w:r w:rsidRPr="006139E0">
        <w:rPr>
          <w:rFonts w:cs="Arial"/>
          <w:rtl/>
        </w:rPr>
        <w:t>הרי זה גט בטל</w:t>
      </w:r>
      <w:r>
        <w:rPr>
          <w:rStyle w:val="a7"/>
          <w:rFonts w:cs="Arial"/>
          <w:rtl/>
        </w:rPr>
        <w:footnoteReference w:id="631"/>
      </w:r>
      <w:r>
        <w:rPr>
          <w:rFonts w:cs="Arial" w:hint="cs"/>
          <w:rtl/>
        </w:rPr>
        <w:t>,</w:t>
      </w:r>
      <w:r w:rsidRPr="006139E0">
        <w:rPr>
          <w:rFonts w:cs="Arial"/>
          <w:rtl/>
        </w:rPr>
        <w:t xml:space="preserve"> כשאר השטרות</w:t>
      </w:r>
      <w:r>
        <w:rPr>
          <w:rFonts w:cs="Arial" w:hint="cs"/>
          <w:rtl/>
        </w:rPr>
        <w:t>.</w:t>
      </w:r>
      <w:r w:rsidRPr="006139E0">
        <w:rPr>
          <w:rFonts w:cs="Arial"/>
          <w:rtl/>
        </w:rPr>
        <w:t xml:space="preserve"> אבל אם נקרע ואינו קרע של בית דין</w:t>
      </w:r>
      <w:r>
        <w:rPr>
          <w:rFonts w:cs="Arial" w:hint="cs"/>
          <w:rtl/>
        </w:rPr>
        <w:t xml:space="preserve"> </w:t>
      </w:r>
      <w:r w:rsidR="00A82951">
        <w:rPr>
          <w:rFonts w:cs="Arial" w:hint="cs"/>
          <w:rtl/>
        </w:rPr>
        <w:t>-</w:t>
      </w:r>
      <w:r w:rsidRPr="006139E0">
        <w:rPr>
          <w:rFonts w:cs="Arial"/>
          <w:rtl/>
        </w:rPr>
        <w:t xml:space="preserve"> כשר. </w:t>
      </w:r>
      <w:r w:rsidR="006B457D" w:rsidRPr="00E66B10">
        <w:rPr>
          <w:rFonts w:hint="cs"/>
          <w:color w:val="E36C0A" w:themeColor="accent6" w:themeShade="BF"/>
          <w:rtl/>
        </w:rPr>
        <w:t>(וכ"פ בשו"ע)</w:t>
      </w:r>
    </w:p>
    <w:p w14:paraId="1E6777DA" w14:textId="77777777" w:rsidR="00F82C81" w:rsidRPr="009F2C2D" w:rsidRDefault="00F82C81" w:rsidP="00F82C81">
      <w:pPr>
        <w:ind w:left="360"/>
        <w:rPr>
          <w:rFonts w:cs="Arial"/>
          <w:u w:val="dotted"/>
          <w:rtl/>
        </w:rPr>
      </w:pPr>
      <w:r w:rsidRPr="009F2C2D">
        <w:rPr>
          <w:rFonts w:cs="Arial" w:hint="cs"/>
          <w:u w:val="dotted"/>
          <w:rtl/>
        </w:rPr>
        <w:t>ומה הדין אם יש שם עדי מסירה:</w:t>
      </w:r>
    </w:p>
    <w:p w14:paraId="026DB134" w14:textId="590C33B9" w:rsidR="00F82C81" w:rsidRDefault="00F82C81" w:rsidP="00F82C81">
      <w:pPr>
        <w:pStyle w:val="ab"/>
        <w:numPr>
          <w:ilvl w:val="0"/>
          <w:numId w:val="47"/>
        </w:numPr>
      </w:pPr>
      <w:r>
        <w:rPr>
          <w:rFonts w:cs="Arial" w:hint="cs"/>
          <w:rtl/>
        </w:rPr>
        <w:t xml:space="preserve">רמב"ם </w:t>
      </w:r>
      <w:r>
        <w:rPr>
          <w:rFonts w:cs="Arial" w:hint="cs"/>
          <w:sz w:val="16"/>
          <w:szCs w:val="16"/>
          <w:rtl/>
        </w:rPr>
        <w:t>(פ"ד הי"ז)</w:t>
      </w:r>
      <w:r w:rsidR="00A82951">
        <w:rPr>
          <w:rFonts w:cs="Arial" w:hint="cs"/>
          <w:rtl/>
        </w:rPr>
        <w:t>-</w:t>
      </w:r>
      <w:r>
        <w:rPr>
          <w:rFonts w:cs="Arial" w:hint="cs"/>
          <w:rtl/>
        </w:rPr>
        <w:t xml:space="preserve"> </w:t>
      </w:r>
      <w:r w:rsidRPr="006139E0">
        <w:rPr>
          <w:rFonts w:cs="Arial"/>
          <w:rtl/>
        </w:rPr>
        <w:t>במה דברים אמורים בשהיה הגט יוצא מתחת ידה בעידי חתימה ואין שם עידי מסירה</w:t>
      </w:r>
      <w:r>
        <w:rPr>
          <w:rFonts w:cs="Arial" w:hint="cs"/>
          <w:rtl/>
        </w:rPr>
        <w:t>,</w:t>
      </w:r>
      <w:r w:rsidRPr="006139E0">
        <w:rPr>
          <w:rFonts w:cs="Arial"/>
          <w:rtl/>
        </w:rPr>
        <w:t xml:space="preserve"> אבל אם יש שם עדים שנמסר לה הגט בפניהם והיה כשר </w:t>
      </w:r>
      <w:r w:rsidR="00A82951">
        <w:rPr>
          <w:rFonts w:cs="Arial" w:hint="cs"/>
          <w:rtl/>
        </w:rPr>
        <w:t>-</w:t>
      </w:r>
      <w:r>
        <w:rPr>
          <w:rFonts w:cs="Arial" w:hint="cs"/>
          <w:rtl/>
        </w:rPr>
        <w:t xml:space="preserve"> </w:t>
      </w:r>
      <w:r w:rsidRPr="006139E0">
        <w:rPr>
          <w:rFonts w:cs="Arial"/>
          <w:rtl/>
        </w:rPr>
        <w:t>הרי זה כשר אע</w:t>
      </w:r>
      <w:r w:rsidR="003D7D4C">
        <w:rPr>
          <w:rFonts w:cs="Arial" w:hint="cs"/>
          <w:rtl/>
        </w:rPr>
        <w:t>"</w:t>
      </w:r>
      <w:r w:rsidRPr="006139E0">
        <w:rPr>
          <w:rFonts w:cs="Arial"/>
          <w:rtl/>
        </w:rPr>
        <w:t xml:space="preserve">פ שהיה תורף הגט על המחק או בין השיטין או שהיה קרוע שתי וערב כשנתן לה בפניהם. </w:t>
      </w:r>
      <w:r w:rsidR="006B457D" w:rsidRPr="00E66B10">
        <w:rPr>
          <w:rFonts w:hint="cs"/>
          <w:color w:val="E36C0A" w:themeColor="accent6" w:themeShade="BF"/>
          <w:rtl/>
        </w:rPr>
        <w:t>(וכ"</w:t>
      </w:r>
      <w:r w:rsidR="006B457D">
        <w:rPr>
          <w:rFonts w:hint="cs"/>
          <w:color w:val="E36C0A" w:themeColor="accent6" w:themeShade="BF"/>
          <w:rtl/>
        </w:rPr>
        <w:t>ס</w:t>
      </w:r>
      <w:r w:rsidR="006B457D" w:rsidRPr="00E66B10">
        <w:rPr>
          <w:rFonts w:hint="cs"/>
          <w:color w:val="E36C0A" w:themeColor="accent6" w:themeShade="BF"/>
          <w:rtl/>
        </w:rPr>
        <w:t xml:space="preserve"> בשו"ע</w:t>
      </w:r>
      <w:r w:rsidR="006B457D">
        <w:rPr>
          <w:rFonts w:hint="cs"/>
          <w:color w:val="E36C0A" w:themeColor="accent6" w:themeShade="BF"/>
          <w:sz w:val="16"/>
          <w:szCs w:val="16"/>
          <w:rtl/>
        </w:rPr>
        <w:t xml:space="preserve"> </w:t>
      </w:r>
      <w:r w:rsidR="006B457D" w:rsidRPr="006B457D">
        <w:rPr>
          <w:rFonts w:hint="cs"/>
          <w:color w:val="000000" w:themeColor="text1"/>
          <w:sz w:val="16"/>
          <w:szCs w:val="16"/>
          <w:rtl/>
        </w:rPr>
        <w:t>[</w:t>
      </w:r>
      <w:r w:rsidR="006B457D">
        <w:rPr>
          <w:rFonts w:hint="cs"/>
          <w:color w:val="000000" w:themeColor="text1"/>
          <w:sz w:val="16"/>
          <w:szCs w:val="16"/>
          <w:rtl/>
        </w:rPr>
        <w:t>בסע' כא</w:t>
      </w:r>
      <w:r w:rsidR="006B457D" w:rsidRPr="006B457D">
        <w:rPr>
          <w:rFonts w:hint="cs"/>
          <w:color w:val="000000" w:themeColor="text1"/>
          <w:sz w:val="16"/>
          <w:szCs w:val="16"/>
          <w:rtl/>
        </w:rPr>
        <w:t>]</w:t>
      </w:r>
      <w:r w:rsidR="006B457D" w:rsidRPr="00E66B10">
        <w:rPr>
          <w:rFonts w:hint="cs"/>
          <w:color w:val="E36C0A" w:themeColor="accent6" w:themeShade="BF"/>
          <w:rtl/>
        </w:rPr>
        <w:t>)</w:t>
      </w:r>
    </w:p>
    <w:p w14:paraId="4533C48C" w14:textId="44292848" w:rsidR="00F82C81" w:rsidRPr="006139E0" w:rsidRDefault="00F82C81" w:rsidP="00F82C81">
      <w:pPr>
        <w:pStyle w:val="ab"/>
        <w:numPr>
          <w:ilvl w:val="0"/>
          <w:numId w:val="47"/>
        </w:numPr>
      </w:pPr>
      <w:r>
        <w:rPr>
          <w:rFonts w:cs="Arial"/>
          <w:rtl/>
        </w:rPr>
        <w:t>רשב"א</w:t>
      </w:r>
      <w:r w:rsidRPr="009F2C2D">
        <w:rPr>
          <w:rFonts w:cs="Arial"/>
          <w:sz w:val="16"/>
          <w:szCs w:val="16"/>
          <w:rtl/>
        </w:rPr>
        <w:t xml:space="preserve"> </w:t>
      </w:r>
      <w:r w:rsidRPr="009F2C2D">
        <w:rPr>
          <w:rFonts w:cs="Arial" w:hint="cs"/>
          <w:sz w:val="16"/>
          <w:szCs w:val="16"/>
          <w:rtl/>
        </w:rPr>
        <w:t>(</w:t>
      </w:r>
      <w:r w:rsidRPr="009F2C2D">
        <w:rPr>
          <w:rFonts w:cs="Arial"/>
          <w:sz w:val="16"/>
          <w:szCs w:val="16"/>
          <w:rtl/>
        </w:rPr>
        <w:t>פ</w:t>
      </w:r>
      <w:r w:rsidRPr="009F2C2D">
        <w:rPr>
          <w:rFonts w:cs="Arial" w:hint="cs"/>
          <w:sz w:val="16"/>
          <w:szCs w:val="16"/>
          <w:rtl/>
        </w:rPr>
        <w:t>'</w:t>
      </w:r>
      <w:r w:rsidRPr="009F2C2D">
        <w:rPr>
          <w:rFonts w:cs="Arial"/>
          <w:sz w:val="16"/>
          <w:szCs w:val="16"/>
          <w:rtl/>
        </w:rPr>
        <w:t xml:space="preserve"> התקבל שם ד"ה ודברי)</w:t>
      </w:r>
      <w:r w:rsidR="00A82951">
        <w:rPr>
          <w:rFonts w:cs="Arial" w:hint="cs"/>
          <w:rtl/>
        </w:rPr>
        <w:t>-</w:t>
      </w:r>
      <w:r>
        <w:rPr>
          <w:rFonts w:cs="Arial" w:hint="cs"/>
          <w:rtl/>
        </w:rPr>
        <w:t xml:space="preserve"> </w:t>
      </w:r>
      <w:r>
        <w:rPr>
          <w:rFonts w:cs="Arial"/>
          <w:rtl/>
        </w:rPr>
        <w:t>כיון שהוא קרוע כעין קרע של בית דין</w:t>
      </w:r>
      <w:r w:rsidR="003D7D4C">
        <w:rPr>
          <w:rFonts w:cs="Arial" w:hint="cs"/>
          <w:rtl/>
        </w:rPr>
        <w:t>,</w:t>
      </w:r>
      <w:r>
        <w:rPr>
          <w:rFonts w:cs="Arial"/>
          <w:rtl/>
        </w:rPr>
        <w:t xml:space="preserve"> הרי הוא כחרס ופסול לגרש בו</w:t>
      </w:r>
      <w:r>
        <w:rPr>
          <w:rFonts w:cs="Arial" w:hint="cs"/>
          <w:rtl/>
        </w:rPr>
        <w:t>.</w:t>
      </w:r>
    </w:p>
    <w:p w14:paraId="6E081297" w14:textId="1BB7BB60" w:rsidR="00F82C81" w:rsidRPr="00CE4978" w:rsidRDefault="00F82C81" w:rsidP="00F82C81">
      <w:pPr>
        <w:rPr>
          <w:rFonts w:cs="Arial"/>
        </w:rPr>
      </w:pPr>
      <w:r w:rsidRPr="00517D9E">
        <w:rPr>
          <w:rFonts w:cs="Arial" w:hint="cs"/>
          <w:b/>
          <w:bCs/>
          <w:rtl/>
        </w:rPr>
        <w:t>תוספתא גיטין פ"ז ה</w:t>
      </w:r>
      <w:r>
        <w:rPr>
          <w:rFonts w:cs="Arial" w:hint="cs"/>
          <w:b/>
          <w:bCs/>
          <w:rtl/>
        </w:rPr>
        <w:t>י"ב</w:t>
      </w:r>
      <w:r w:rsidRPr="00517D9E">
        <w:rPr>
          <w:rFonts w:cs="Arial" w:hint="cs"/>
          <w:b/>
          <w:bCs/>
          <w:rtl/>
        </w:rPr>
        <w:t>:</w:t>
      </w:r>
      <w:r>
        <w:rPr>
          <w:rFonts w:cs="Arial" w:hint="cs"/>
          <w:rtl/>
        </w:rPr>
        <w:t xml:space="preserve"> </w:t>
      </w:r>
      <w:r w:rsidRPr="00CE4978">
        <w:rPr>
          <w:rFonts w:cs="Arial"/>
          <w:rtl/>
        </w:rPr>
        <w:t xml:space="preserve">נימוק או שהרקיב או שנעשה ככברה </w:t>
      </w:r>
      <w:r w:rsidR="00A82951">
        <w:rPr>
          <w:rFonts w:cs="Arial" w:hint="cs"/>
          <w:rtl/>
        </w:rPr>
        <w:t>-</w:t>
      </w:r>
      <w:r>
        <w:rPr>
          <w:rFonts w:cs="Arial" w:hint="cs"/>
          <w:rtl/>
        </w:rPr>
        <w:t xml:space="preserve"> </w:t>
      </w:r>
      <w:r w:rsidRPr="00CE4978">
        <w:rPr>
          <w:rFonts w:cs="Arial"/>
          <w:rtl/>
        </w:rPr>
        <w:t>כשר</w:t>
      </w:r>
      <w:r>
        <w:rPr>
          <w:rFonts w:cs="Arial" w:hint="cs"/>
          <w:rtl/>
        </w:rPr>
        <w:t>.</w:t>
      </w:r>
      <w:r w:rsidRPr="00CE4978">
        <w:rPr>
          <w:rFonts w:cs="Arial"/>
          <w:rtl/>
        </w:rPr>
        <w:t xml:space="preserve"> נמחק או שנטשטש ובבואה שלו קיימת</w:t>
      </w:r>
      <w:r w:rsidR="005E4BB1">
        <w:rPr>
          <w:rFonts w:cs="Arial" w:hint="cs"/>
          <w:rtl/>
        </w:rPr>
        <w:t>,</w:t>
      </w:r>
      <w:r w:rsidRPr="00CE4978">
        <w:rPr>
          <w:rFonts w:cs="Arial"/>
          <w:rtl/>
        </w:rPr>
        <w:t xml:space="preserve"> אם יכול לקרות </w:t>
      </w:r>
      <w:r w:rsidR="00A82951">
        <w:rPr>
          <w:rFonts w:cs="Arial" w:hint="cs"/>
          <w:rtl/>
        </w:rPr>
        <w:t>-</w:t>
      </w:r>
      <w:r>
        <w:rPr>
          <w:rFonts w:cs="Arial" w:hint="cs"/>
          <w:rtl/>
        </w:rPr>
        <w:t xml:space="preserve"> </w:t>
      </w:r>
      <w:r w:rsidRPr="00CE4978">
        <w:rPr>
          <w:rFonts w:cs="Arial"/>
          <w:rtl/>
        </w:rPr>
        <w:t>כשר</w:t>
      </w:r>
      <w:r>
        <w:rPr>
          <w:rFonts w:cs="Arial" w:hint="cs"/>
          <w:rtl/>
        </w:rPr>
        <w:t>,</w:t>
      </w:r>
      <w:r w:rsidRPr="00CE4978">
        <w:rPr>
          <w:rFonts w:cs="Arial"/>
          <w:rtl/>
        </w:rPr>
        <w:t xml:space="preserve"> אם לאו </w:t>
      </w:r>
      <w:r w:rsidR="00A82951">
        <w:rPr>
          <w:rFonts w:cs="Arial" w:hint="cs"/>
          <w:rtl/>
        </w:rPr>
        <w:t>-</w:t>
      </w:r>
      <w:r>
        <w:rPr>
          <w:rFonts w:cs="Arial" w:hint="cs"/>
          <w:rtl/>
        </w:rPr>
        <w:t xml:space="preserve"> </w:t>
      </w:r>
      <w:r w:rsidRPr="00CE4978">
        <w:rPr>
          <w:rFonts w:cs="Arial"/>
          <w:rtl/>
        </w:rPr>
        <w:t>פסול</w:t>
      </w:r>
      <w:r>
        <w:rPr>
          <w:rFonts w:cs="Arial" w:hint="cs"/>
          <w:rtl/>
        </w:rPr>
        <w:t>.</w:t>
      </w:r>
    </w:p>
    <w:p w14:paraId="46BE12A2" w14:textId="77777777" w:rsidR="00F82C81" w:rsidRPr="00891AD5" w:rsidRDefault="00F82C81" w:rsidP="00F82C81">
      <w:pPr>
        <w:rPr>
          <w:rFonts w:cs="Arial"/>
          <w:u w:val="single"/>
          <w:rtl/>
        </w:rPr>
      </w:pPr>
      <w:r w:rsidRPr="00891AD5">
        <w:rPr>
          <w:rFonts w:cs="Arial" w:hint="cs"/>
          <w:u w:val="single"/>
          <w:rtl/>
        </w:rPr>
        <w:t>גט שנימוק/הרקיב/נעשה ככברה/נמחק/נטשטש:</w:t>
      </w:r>
    </w:p>
    <w:p w14:paraId="39DF1CF8" w14:textId="0920A24D" w:rsidR="000D4780" w:rsidRPr="00F82C81" w:rsidRDefault="00F82C81" w:rsidP="00F82C81">
      <w:pPr>
        <w:pStyle w:val="ab"/>
        <w:numPr>
          <w:ilvl w:val="0"/>
          <w:numId w:val="47"/>
        </w:numPr>
        <w:rPr>
          <w:rFonts w:cs="Arial"/>
          <w:rtl/>
        </w:rPr>
      </w:pPr>
      <w:r>
        <w:rPr>
          <w:rFonts w:cs="Arial" w:hint="cs"/>
          <w:rtl/>
        </w:rPr>
        <w:t xml:space="preserve">רמב"ם </w:t>
      </w:r>
      <w:r>
        <w:rPr>
          <w:rFonts w:cs="Arial" w:hint="cs"/>
          <w:sz w:val="16"/>
          <w:szCs w:val="16"/>
          <w:rtl/>
        </w:rPr>
        <w:t>(פ"ד הט"ז)</w:t>
      </w:r>
      <w:r w:rsidR="00A82951">
        <w:rPr>
          <w:rFonts w:cs="Arial" w:hint="cs"/>
          <w:rtl/>
        </w:rPr>
        <w:t>-</w:t>
      </w:r>
      <w:r>
        <w:rPr>
          <w:rFonts w:cs="Arial" w:hint="cs"/>
          <w:rtl/>
        </w:rPr>
        <w:t xml:space="preserve"> </w:t>
      </w:r>
      <w:r w:rsidRPr="006139E0">
        <w:rPr>
          <w:rFonts w:cs="Arial"/>
          <w:rtl/>
        </w:rPr>
        <w:t xml:space="preserve">נימוק או שהרקיב או שנעשה ככברה </w:t>
      </w:r>
      <w:r w:rsidR="00A82951">
        <w:rPr>
          <w:rFonts w:cs="Arial" w:hint="cs"/>
          <w:rtl/>
        </w:rPr>
        <w:t>-</w:t>
      </w:r>
      <w:r>
        <w:rPr>
          <w:rFonts w:cs="Arial" w:hint="cs"/>
          <w:rtl/>
        </w:rPr>
        <w:t xml:space="preserve"> </w:t>
      </w:r>
      <w:r w:rsidRPr="006139E0">
        <w:rPr>
          <w:rFonts w:cs="Arial"/>
          <w:rtl/>
        </w:rPr>
        <w:t>כשר</w:t>
      </w:r>
      <w:r>
        <w:rPr>
          <w:rFonts w:cs="Arial" w:hint="cs"/>
          <w:rtl/>
        </w:rPr>
        <w:t>.</w:t>
      </w:r>
      <w:r w:rsidRPr="006139E0">
        <w:rPr>
          <w:rFonts w:cs="Arial"/>
          <w:rtl/>
        </w:rPr>
        <w:t xml:space="preserve"> נמחק או נטשטש ובבואה שלו קיימת</w:t>
      </w:r>
      <w:r>
        <w:rPr>
          <w:rFonts w:cs="Arial" w:hint="cs"/>
          <w:rtl/>
        </w:rPr>
        <w:t>,</w:t>
      </w:r>
      <w:r w:rsidRPr="006139E0">
        <w:rPr>
          <w:rFonts w:cs="Arial"/>
          <w:rtl/>
        </w:rPr>
        <w:t xml:space="preserve"> אם יכול להקרות </w:t>
      </w:r>
      <w:r w:rsidR="00A82951">
        <w:rPr>
          <w:rFonts w:cs="Arial" w:hint="cs"/>
          <w:rtl/>
        </w:rPr>
        <w:t>-</w:t>
      </w:r>
      <w:r>
        <w:rPr>
          <w:rFonts w:cs="Arial" w:hint="cs"/>
          <w:rtl/>
        </w:rPr>
        <w:t xml:space="preserve"> </w:t>
      </w:r>
      <w:r w:rsidRPr="006139E0">
        <w:rPr>
          <w:rFonts w:cs="Arial"/>
          <w:rtl/>
        </w:rPr>
        <w:t>כשר</w:t>
      </w:r>
      <w:r>
        <w:rPr>
          <w:rFonts w:cs="Arial" w:hint="cs"/>
          <w:rtl/>
        </w:rPr>
        <w:t>,</w:t>
      </w:r>
      <w:r w:rsidRPr="006139E0">
        <w:rPr>
          <w:rFonts w:cs="Arial"/>
          <w:rtl/>
        </w:rPr>
        <w:t xml:space="preserve"> ואם לאו</w:t>
      </w:r>
      <w:r>
        <w:rPr>
          <w:rFonts w:cs="Arial" w:hint="cs"/>
          <w:rtl/>
        </w:rPr>
        <w:t xml:space="preserve"> </w:t>
      </w:r>
      <w:r w:rsidR="00A82951">
        <w:rPr>
          <w:rFonts w:cs="Arial" w:hint="cs"/>
          <w:rtl/>
        </w:rPr>
        <w:t>-</w:t>
      </w:r>
      <w:r w:rsidRPr="006139E0">
        <w:rPr>
          <w:rFonts w:cs="Arial"/>
          <w:rtl/>
        </w:rPr>
        <w:t xml:space="preserve"> אינו גט</w:t>
      </w:r>
      <w:r>
        <w:rPr>
          <w:rStyle w:val="a7"/>
          <w:rFonts w:cs="Arial"/>
          <w:rtl/>
        </w:rPr>
        <w:footnoteReference w:id="632"/>
      </w:r>
      <w:r w:rsidRPr="006139E0">
        <w:rPr>
          <w:rFonts w:cs="Arial"/>
          <w:rtl/>
        </w:rPr>
        <w:t xml:space="preserve">. </w:t>
      </w:r>
      <w:r w:rsidR="006B457D" w:rsidRPr="00E66B10">
        <w:rPr>
          <w:rFonts w:hint="cs"/>
          <w:color w:val="E36C0A" w:themeColor="accent6" w:themeShade="BF"/>
          <w:rtl/>
        </w:rPr>
        <w:t>(וכ"פ בשו"ע)</w:t>
      </w:r>
    </w:p>
    <w:p w14:paraId="3165E39A"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DDA2AF6" w14:textId="27E4F6A6" w:rsidR="00C77C34" w:rsidRDefault="00C77C34" w:rsidP="00C77C34">
      <w:pPr>
        <w:rPr>
          <w:rFonts w:cs="Arial"/>
          <w:rtl/>
        </w:rPr>
      </w:pPr>
      <w:r w:rsidRPr="00C77C34">
        <w:rPr>
          <w:rFonts w:cs="Arial"/>
          <w:rtl/>
        </w:rPr>
        <w:t>גט שנמצא קרוע שתי וערב</w:t>
      </w:r>
      <w:r w:rsidR="00F82C81">
        <w:rPr>
          <w:rFonts w:cs="Arial" w:hint="cs"/>
          <w:rtl/>
        </w:rPr>
        <w:t>,</w:t>
      </w:r>
      <w:r w:rsidRPr="00C77C34">
        <w:rPr>
          <w:rFonts w:cs="Arial"/>
          <w:rtl/>
        </w:rPr>
        <w:t xml:space="preserve"> שהוא קרע של בית דין, הרי זה גט בטל כשאר שטרות</w:t>
      </w:r>
      <w:r w:rsidR="008D0195">
        <w:rPr>
          <w:rStyle w:val="a7"/>
          <w:rFonts w:cs="Arial"/>
          <w:rtl/>
        </w:rPr>
        <w:footnoteReference w:id="633"/>
      </w:r>
      <w:r w:rsidRPr="00C77C34">
        <w:rPr>
          <w:rFonts w:cs="Arial"/>
          <w:rtl/>
        </w:rPr>
        <w:t>. אבל אם נתקרע ואינו קרע של ב</w:t>
      </w:r>
      <w:r w:rsidR="00842CA4">
        <w:rPr>
          <w:rFonts w:cs="Arial" w:hint="cs"/>
          <w:rtl/>
        </w:rPr>
        <w:t xml:space="preserve">ית </w:t>
      </w:r>
      <w:r w:rsidRPr="00C77C34">
        <w:rPr>
          <w:rFonts w:cs="Arial"/>
          <w:rtl/>
        </w:rPr>
        <w:t>ד</w:t>
      </w:r>
      <w:r w:rsidR="00842CA4">
        <w:rPr>
          <w:rFonts w:cs="Arial" w:hint="cs"/>
          <w:rtl/>
        </w:rPr>
        <w:t>ין</w:t>
      </w:r>
      <w:r w:rsidRPr="00C77C34">
        <w:rPr>
          <w:rFonts w:cs="Arial"/>
          <w:rtl/>
        </w:rPr>
        <w:t>, כשר. נמוק או שהרקיב או שנעשה ככברה, כשר. מחוק או שנטשטש, ובבואה שלו קיימת, אם יכול לקרות, כשר</w:t>
      </w:r>
      <w:r w:rsidR="00F82C81">
        <w:rPr>
          <w:rFonts w:cs="Arial" w:hint="cs"/>
          <w:rtl/>
        </w:rPr>
        <w:t>.</w:t>
      </w:r>
      <w:r w:rsidRPr="00C77C34">
        <w:rPr>
          <w:rFonts w:cs="Arial"/>
          <w:rtl/>
        </w:rPr>
        <w:t xml:space="preserve"> ואם לאו, אינו גט. </w:t>
      </w:r>
    </w:p>
    <w:p w14:paraId="15D6F634" w14:textId="43368A56" w:rsidR="007D0A45" w:rsidRPr="007D0A45" w:rsidRDefault="007D0A45" w:rsidP="00C77C34">
      <w:pPr>
        <w:rPr>
          <w:rFonts w:cs="Arial"/>
          <w:u w:val="single"/>
          <w:rtl/>
        </w:rPr>
      </w:pPr>
      <w:r w:rsidRPr="007D0A45">
        <w:rPr>
          <w:rFonts w:cs="Arial" w:hint="cs"/>
          <w:u w:val="single"/>
          <w:rtl/>
        </w:rPr>
        <w:t xml:space="preserve">גט קרוע </w:t>
      </w:r>
      <w:r>
        <w:rPr>
          <w:rFonts w:cs="Arial" w:hint="cs"/>
          <w:u w:val="single"/>
          <w:rtl/>
        </w:rPr>
        <w:t>ש</w:t>
      </w:r>
      <w:r w:rsidRPr="007D0A45">
        <w:rPr>
          <w:rFonts w:cs="Arial" w:hint="cs"/>
          <w:u w:val="single"/>
          <w:rtl/>
        </w:rPr>
        <w:t xml:space="preserve">האותיות </w:t>
      </w:r>
      <w:r>
        <w:rPr>
          <w:rFonts w:cs="Arial" w:hint="cs"/>
          <w:u w:val="single"/>
          <w:rtl/>
        </w:rPr>
        <w:t xml:space="preserve">שבו </w:t>
      </w:r>
      <w:r w:rsidRPr="007D0A45">
        <w:rPr>
          <w:rFonts w:cs="Arial" w:hint="cs"/>
          <w:u w:val="single"/>
          <w:rtl/>
        </w:rPr>
        <w:t>גם נקרעו:</w:t>
      </w:r>
    </w:p>
    <w:p w14:paraId="65FAA2FF" w14:textId="0492CDBA" w:rsidR="007D0A45" w:rsidRPr="002103A3" w:rsidRDefault="007D0A45" w:rsidP="002103A3">
      <w:pPr>
        <w:pStyle w:val="ab"/>
        <w:numPr>
          <w:ilvl w:val="0"/>
          <w:numId w:val="46"/>
        </w:numPr>
        <w:rPr>
          <w:rFonts w:cs="Arial"/>
          <w:rtl/>
        </w:rPr>
      </w:pPr>
      <w:r w:rsidRPr="002103A3">
        <w:rPr>
          <w:rFonts w:cs="Arial" w:hint="cs"/>
          <w:rtl/>
        </w:rPr>
        <w:lastRenderedPageBreak/>
        <w:t xml:space="preserve">ב"ש </w:t>
      </w:r>
      <w:r w:rsidRPr="002103A3">
        <w:rPr>
          <w:rFonts w:cs="Arial" w:hint="cs"/>
          <w:sz w:val="16"/>
          <w:szCs w:val="16"/>
          <w:rtl/>
        </w:rPr>
        <w:t>(סקל"ו)</w:t>
      </w:r>
      <w:r w:rsidR="00A82951">
        <w:rPr>
          <w:rFonts w:cs="Arial" w:hint="cs"/>
          <w:rtl/>
        </w:rPr>
        <w:t>-</w:t>
      </w:r>
      <w:r w:rsidRPr="002103A3">
        <w:rPr>
          <w:rFonts w:cs="Arial" w:hint="cs"/>
          <w:rtl/>
        </w:rPr>
        <w:t xml:space="preserve"> </w:t>
      </w:r>
      <w:r w:rsidRPr="002103A3">
        <w:rPr>
          <w:rFonts w:cs="Arial"/>
          <w:rtl/>
        </w:rPr>
        <w:t xml:space="preserve">עי' תשובת מ"ב </w:t>
      </w:r>
      <w:r w:rsidRPr="002103A3">
        <w:rPr>
          <w:rFonts w:cs="Arial" w:hint="cs"/>
          <w:rtl/>
        </w:rPr>
        <w:t>(</w:t>
      </w:r>
      <w:r w:rsidRPr="002103A3">
        <w:rPr>
          <w:rFonts w:cs="Arial"/>
          <w:rtl/>
        </w:rPr>
        <w:t>עסי' כג</w:t>
      </w:r>
      <w:r w:rsidRPr="002103A3">
        <w:rPr>
          <w:rFonts w:cs="Arial" w:hint="cs"/>
          <w:rtl/>
        </w:rPr>
        <w:t>)</w:t>
      </w:r>
      <w:r w:rsidRPr="002103A3">
        <w:rPr>
          <w:rFonts w:cs="Arial"/>
          <w:rtl/>
        </w:rPr>
        <w:t xml:space="preserve"> </w:t>
      </w:r>
      <w:r w:rsidRPr="002103A3">
        <w:rPr>
          <w:rFonts w:cs="Arial" w:hint="cs"/>
          <w:rtl/>
        </w:rPr>
        <w:t>ד</w:t>
      </w:r>
      <w:r w:rsidRPr="002103A3">
        <w:rPr>
          <w:rFonts w:cs="Arial"/>
          <w:rtl/>
        </w:rPr>
        <w:t>אפילו אם קרוע לתוך האות והוא מתורף כשר לכ"ע ליתן לה הגט לכתחלה כשאינו קרע שתי וערב</w:t>
      </w:r>
      <w:r w:rsidRPr="002103A3">
        <w:rPr>
          <w:rFonts w:cs="Arial" w:hint="cs"/>
          <w:rtl/>
        </w:rPr>
        <w:t>,</w:t>
      </w:r>
      <w:r w:rsidRPr="002103A3">
        <w:rPr>
          <w:rFonts w:cs="Arial"/>
          <w:rtl/>
        </w:rPr>
        <w:t xml:space="preserve"> והיינו כשהאות אינו משתנה אע</w:t>
      </w:r>
      <w:r w:rsidRPr="002103A3">
        <w:rPr>
          <w:rFonts w:cs="Arial" w:hint="cs"/>
          <w:rtl/>
        </w:rPr>
        <w:t>"</w:t>
      </w:r>
      <w:r w:rsidRPr="002103A3">
        <w:rPr>
          <w:rFonts w:cs="Arial"/>
          <w:rtl/>
        </w:rPr>
        <w:t>ג דהשתא אינו מוקף גויל למטה כשר</w:t>
      </w:r>
      <w:r w:rsidRPr="002103A3">
        <w:rPr>
          <w:rFonts w:cs="Arial" w:hint="cs"/>
          <w:rtl/>
        </w:rPr>
        <w:t>,</w:t>
      </w:r>
      <w:r w:rsidRPr="002103A3">
        <w:rPr>
          <w:rFonts w:cs="Arial"/>
          <w:rtl/>
        </w:rPr>
        <w:t xml:space="preserve"> כיון שנעשה אחר הכתיבה כמ"ש בסמוך </w:t>
      </w:r>
      <w:r w:rsidRPr="002103A3">
        <w:rPr>
          <w:rFonts w:cs="Arial" w:hint="cs"/>
          <w:rtl/>
        </w:rPr>
        <w:t>(</w:t>
      </w:r>
      <w:r w:rsidRPr="002103A3">
        <w:rPr>
          <w:rFonts w:cs="Arial"/>
          <w:rtl/>
        </w:rPr>
        <w:t>ועיין עוד שם סי' כד</w:t>
      </w:r>
      <w:r w:rsidRPr="002103A3">
        <w:rPr>
          <w:rFonts w:cs="Arial" w:hint="cs"/>
          <w:rtl/>
        </w:rPr>
        <w:t>).</w:t>
      </w:r>
      <w:r w:rsidRPr="002103A3">
        <w:rPr>
          <w:rFonts w:cs="Arial"/>
          <w:rtl/>
        </w:rPr>
        <w:t xml:space="preserve"> ומ"ש בי</w:t>
      </w:r>
      <w:r w:rsidR="005E4BB1">
        <w:rPr>
          <w:rFonts w:cs="Arial" w:hint="cs"/>
          <w:rtl/>
        </w:rPr>
        <w:t>ו</w:t>
      </w:r>
      <w:r w:rsidRPr="002103A3">
        <w:rPr>
          <w:rFonts w:cs="Arial"/>
          <w:rtl/>
        </w:rPr>
        <w:t xml:space="preserve">"ד </w:t>
      </w:r>
      <w:r w:rsidR="005E4BB1">
        <w:rPr>
          <w:rFonts w:cs="Arial" w:hint="cs"/>
          <w:rtl/>
        </w:rPr>
        <w:t>(</w:t>
      </w:r>
      <w:r w:rsidRPr="002103A3">
        <w:rPr>
          <w:rFonts w:cs="Arial"/>
          <w:rtl/>
        </w:rPr>
        <w:t>סי' רפ</w:t>
      </w:r>
      <w:r w:rsidR="005E4BB1">
        <w:rPr>
          <w:rFonts w:cs="Arial" w:hint="cs"/>
          <w:rtl/>
        </w:rPr>
        <w:t>)</w:t>
      </w:r>
      <w:r w:rsidRPr="002103A3">
        <w:rPr>
          <w:rFonts w:cs="Arial"/>
          <w:rtl/>
        </w:rPr>
        <w:t xml:space="preserve"> ואם נחלק שום אות פסול </w:t>
      </w:r>
      <w:r w:rsidR="00A82951">
        <w:rPr>
          <w:rFonts w:cs="Arial" w:hint="cs"/>
          <w:rtl/>
        </w:rPr>
        <w:t>-</w:t>
      </w:r>
      <w:r w:rsidRPr="002103A3">
        <w:rPr>
          <w:rFonts w:cs="Arial" w:hint="cs"/>
          <w:rtl/>
        </w:rPr>
        <w:t xml:space="preserve"> </w:t>
      </w:r>
      <w:r w:rsidRPr="002103A3">
        <w:rPr>
          <w:rFonts w:cs="Arial"/>
          <w:rtl/>
        </w:rPr>
        <w:t>איירי בנשתנה אות</w:t>
      </w:r>
      <w:r w:rsidRPr="002103A3">
        <w:rPr>
          <w:rFonts w:cs="Arial" w:hint="cs"/>
          <w:rtl/>
        </w:rPr>
        <w:t>.</w:t>
      </w:r>
      <w:r w:rsidRPr="002103A3">
        <w:rPr>
          <w:rFonts w:cs="Arial"/>
          <w:rtl/>
        </w:rPr>
        <w:t xml:space="preserve"> וכ"כ בש"ך שם</w:t>
      </w:r>
      <w:r w:rsidRPr="002103A3">
        <w:rPr>
          <w:rFonts w:cs="Arial" w:hint="cs"/>
          <w:rtl/>
        </w:rPr>
        <w:t>.</w:t>
      </w:r>
      <w:r w:rsidRPr="002103A3">
        <w:rPr>
          <w:rFonts w:cs="Arial"/>
          <w:rtl/>
        </w:rPr>
        <w:t xml:space="preserve"> והט"ז כתב ג"כ בסי' זה כל קרע שכשר בס"ת כשר כאן</w:t>
      </w:r>
      <w:r w:rsidRPr="002103A3">
        <w:rPr>
          <w:rFonts w:cs="Arial" w:hint="cs"/>
          <w:rtl/>
        </w:rPr>
        <w:t>.</w:t>
      </w:r>
      <w:r w:rsidRPr="002103A3">
        <w:rPr>
          <w:rFonts w:cs="Arial"/>
          <w:rtl/>
        </w:rPr>
        <w:t xml:space="preserve"> ומ"מ נראה למעשה אין להקל שלא במקום הדחק אם נקרא תוך האות</w:t>
      </w:r>
      <w:r w:rsidRPr="002103A3">
        <w:rPr>
          <w:rFonts w:cs="Arial" w:hint="cs"/>
          <w:rtl/>
        </w:rPr>
        <w:t>.</w:t>
      </w:r>
      <w:r w:rsidRPr="002103A3">
        <w:rPr>
          <w:rFonts w:cs="Arial"/>
          <w:rtl/>
        </w:rPr>
        <w:t xml:space="preserve"> ועיין בתשובת בן ששון </w:t>
      </w:r>
      <w:r w:rsidRPr="002103A3">
        <w:rPr>
          <w:rFonts w:cs="Arial" w:hint="cs"/>
          <w:rtl/>
        </w:rPr>
        <w:t>(</w:t>
      </w:r>
      <w:r w:rsidRPr="002103A3">
        <w:rPr>
          <w:rFonts w:cs="Arial"/>
          <w:rtl/>
        </w:rPr>
        <w:t>סי' ל</w:t>
      </w:r>
      <w:r w:rsidRPr="002103A3">
        <w:rPr>
          <w:rFonts w:cs="Arial" w:hint="cs"/>
          <w:rtl/>
        </w:rPr>
        <w:t>)</w:t>
      </w:r>
      <w:r w:rsidRPr="002103A3">
        <w:rPr>
          <w:rFonts w:cs="Arial"/>
          <w:rtl/>
        </w:rPr>
        <w:t xml:space="preserve"> כמה חלוקי דינים בזה</w:t>
      </w:r>
      <w:r w:rsidRPr="002103A3">
        <w:rPr>
          <w:rFonts w:cs="Arial" w:hint="cs"/>
          <w:rtl/>
        </w:rPr>
        <w:t>.</w:t>
      </w:r>
      <w:r w:rsidRPr="002103A3">
        <w:rPr>
          <w:rFonts w:cs="Arial"/>
          <w:rtl/>
        </w:rPr>
        <w:t xml:space="preserve"> והביא שם תשובת ב"י שפסק אפילו נקרע שתי וערב כשר</w:t>
      </w:r>
      <w:r w:rsidRPr="002103A3">
        <w:rPr>
          <w:rFonts w:cs="Arial" w:hint="cs"/>
          <w:rtl/>
        </w:rPr>
        <w:t>,</w:t>
      </w:r>
      <w:r w:rsidRPr="002103A3">
        <w:rPr>
          <w:rFonts w:cs="Arial"/>
          <w:rtl/>
        </w:rPr>
        <w:t xml:space="preserve"> </w:t>
      </w:r>
      <w:r w:rsidRPr="002103A3">
        <w:rPr>
          <w:rFonts w:cs="Arial" w:hint="cs"/>
          <w:rtl/>
        </w:rPr>
        <w:t>ד</w:t>
      </w:r>
      <w:r w:rsidRPr="002103A3">
        <w:rPr>
          <w:rFonts w:cs="Arial"/>
          <w:rtl/>
        </w:rPr>
        <w:t>לא כרשב"א</w:t>
      </w:r>
      <w:r w:rsidRPr="002103A3">
        <w:rPr>
          <w:rFonts w:cs="Arial" w:hint="cs"/>
          <w:rtl/>
        </w:rPr>
        <w:t>.</w:t>
      </w:r>
    </w:p>
    <w:p w14:paraId="03F645EA" w14:textId="77777777" w:rsidR="002D5E7F" w:rsidRPr="00C77C34" w:rsidRDefault="002D5E7F" w:rsidP="00C77C34">
      <w:pPr>
        <w:rPr>
          <w:rFonts w:cs="Arial"/>
          <w:rtl/>
        </w:rPr>
      </w:pPr>
    </w:p>
    <w:p w14:paraId="35AF1CE0" w14:textId="2F462419" w:rsidR="00C77C34" w:rsidRDefault="00C77C34" w:rsidP="00786DE6">
      <w:pPr>
        <w:pStyle w:val="2"/>
        <w:rPr>
          <w:rtl/>
        </w:rPr>
      </w:pPr>
      <w:r w:rsidRPr="00C77C34">
        <w:rPr>
          <w:rtl/>
        </w:rPr>
        <w:t>סעיף כא</w:t>
      </w:r>
      <w:r w:rsidR="00F82C81">
        <w:rPr>
          <w:rFonts w:hint="cs"/>
          <w:rtl/>
        </w:rPr>
        <w:t>:</w:t>
      </w:r>
      <w:r w:rsidR="004A27B3">
        <w:rPr>
          <w:rFonts w:hint="cs"/>
          <w:rtl/>
        </w:rPr>
        <w:t xml:space="preserve"> גט מחוק/קרוע </w:t>
      </w:r>
      <w:r w:rsidR="00A82951">
        <w:rPr>
          <w:rtl/>
        </w:rPr>
        <w:t>-</w:t>
      </w:r>
      <w:r w:rsidR="004A27B3">
        <w:rPr>
          <w:rFonts w:hint="cs"/>
          <w:rtl/>
        </w:rPr>
        <w:t xml:space="preserve"> שניתן בעדי מסירה.</w:t>
      </w:r>
    </w:p>
    <w:p w14:paraId="4E02D360" w14:textId="74EE4125" w:rsidR="00F82C81" w:rsidRPr="00F82C81" w:rsidRDefault="00523F05" w:rsidP="00F82C81">
      <w:pPr>
        <w:rPr>
          <w:rtl/>
        </w:rPr>
      </w:pPr>
      <w:r>
        <w:rPr>
          <w:rFonts w:hint="cs"/>
          <w:rtl/>
        </w:rPr>
        <w:t xml:space="preserve">עיין במקורות בסעיפים יט </w:t>
      </w:r>
      <w:r w:rsidR="00A82951">
        <w:rPr>
          <w:rFonts w:hint="cs"/>
          <w:rtl/>
        </w:rPr>
        <w:t>-</w:t>
      </w:r>
      <w:r>
        <w:rPr>
          <w:rFonts w:hint="cs"/>
          <w:rtl/>
        </w:rPr>
        <w:t xml:space="preserve"> כ.</w:t>
      </w:r>
    </w:p>
    <w:p w14:paraId="2CD96469"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D658A9E" w14:textId="69CCCA71" w:rsidR="002D5E7F" w:rsidRDefault="00C77C34" w:rsidP="00C77C34">
      <w:pPr>
        <w:rPr>
          <w:rFonts w:cs="Arial"/>
          <w:rtl/>
        </w:rPr>
      </w:pPr>
      <w:r w:rsidRPr="00C77C34">
        <w:rPr>
          <w:rFonts w:cs="Arial"/>
          <w:rtl/>
        </w:rPr>
        <w:t>ב</w:t>
      </w:r>
      <w:r w:rsidR="00842CA4">
        <w:rPr>
          <w:rFonts w:cs="Arial" w:hint="cs"/>
          <w:rtl/>
        </w:rPr>
        <w:t xml:space="preserve">מה דברים </w:t>
      </w:r>
      <w:r w:rsidRPr="00C77C34">
        <w:rPr>
          <w:rFonts w:cs="Arial"/>
          <w:rtl/>
        </w:rPr>
        <w:t>א</w:t>
      </w:r>
      <w:r w:rsidR="00842CA4">
        <w:rPr>
          <w:rFonts w:cs="Arial" w:hint="cs"/>
          <w:rtl/>
        </w:rPr>
        <w:t>מורים</w:t>
      </w:r>
      <w:r w:rsidRPr="00C77C34">
        <w:rPr>
          <w:rFonts w:cs="Arial"/>
          <w:rtl/>
        </w:rPr>
        <w:t>, כשהיה הגט יוצא מתחת ידה בעידי חתימה, ואין שם עידי מסירה. אבל אם יש עדים שנמסר לה הגט בפניהם והיה כשר, הרי זה כשר אף על פי שהיה תורף הגט על המחק או בין השיטין או שהיה קרוע שתי וערב כשניתן לה בפניהם. ויש מי שפוסל בקרוע שתי וערב</w:t>
      </w:r>
      <w:r w:rsidR="005E4BB1">
        <w:rPr>
          <w:rFonts w:cs="Arial" w:hint="cs"/>
          <w:rtl/>
        </w:rPr>
        <w:t>.</w:t>
      </w:r>
      <w:r w:rsidRPr="00C77C34">
        <w:rPr>
          <w:rFonts w:cs="Arial"/>
          <w:rtl/>
        </w:rPr>
        <w:t xml:space="preserve"> </w:t>
      </w:r>
      <w:r w:rsidR="00842CA4">
        <w:rPr>
          <w:rFonts w:cs="Arial" w:hint="cs"/>
          <w:sz w:val="18"/>
          <w:szCs w:val="18"/>
          <w:rtl/>
        </w:rPr>
        <w:t xml:space="preserve">[הגה] </w:t>
      </w:r>
      <w:r w:rsidRPr="002D5E7F">
        <w:rPr>
          <w:rFonts w:cs="Arial"/>
          <w:sz w:val="18"/>
          <w:szCs w:val="18"/>
          <w:rtl/>
        </w:rPr>
        <w:t>וה</w:t>
      </w:r>
      <w:r w:rsidR="008D0195">
        <w:rPr>
          <w:rFonts w:cs="Arial" w:hint="cs"/>
          <w:sz w:val="18"/>
          <w:szCs w:val="18"/>
          <w:rtl/>
        </w:rPr>
        <w:t xml:space="preserve">וא </w:t>
      </w:r>
      <w:r w:rsidRPr="002D5E7F">
        <w:rPr>
          <w:rFonts w:cs="Arial"/>
          <w:sz w:val="18"/>
          <w:szCs w:val="18"/>
          <w:rtl/>
        </w:rPr>
        <w:t>ה</w:t>
      </w:r>
      <w:r w:rsidR="008D0195">
        <w:rPr>
          <w:rFonts w:cs="Arial" w:hint="cs"/>
          <w:sz w:val="18"/>
          <w:szCs w:val="18"/>
          <w:rtl/>
        </w:rPr>
        <w:t>דין</w:t>
      </w:r>
      <w:r w:rsidR="008D0195">
        <w:rPr>
          <w:rStyle w:val="a7"/>
          <w:rFonts w:cs="Arial"/>
          <w:sz w:val="18"/>
          <w:szCs w:val="18"/>
          <w:rtl/>
        </w:rPr>
        <w:footnoteReference w:id="634"/>
      </w:r>
      <w:r w:rsidRPr="002D5E7F">
        <w:rPr>
          <w:rFonts w:cs="Arial"/>
          <w:sz w:val="18"/>
          <w:szCs w:val="18"/>
          <w:rtl/>
        </w:rPr>
        <w:t xml:space="preserve"> כשנטשטש עד שאינן יכולין לקרותו (המ"מ).</w:t>
      </w:r>
    </w:p>
    <w:p w14:paraId="19F385FC" w14:textId="19E4E658" w:rsidR="00C77C34" w:rsidRPr="00C77C34" w:rsidRDefault="00C77C34" w:rsidP="00C77C34">
      <w:pPr>
        <w:rPr>
          <w:rFonts w:cs="Arial"/>
          <w:rtl/>
        </w:rPr>
      </w:pPr>
      <w:r w:rsidRPr="00C77C34">
        <w:rPr>
          <w:rFonts w:cs="Arial"/>
          <w:rtl/>
        </w:rPr>
        <w:t xml:space="preserve"> </w:t>
      </w:r>
    </w:p>
    <w:p w14:paraId="2E67C866" w14:textId="743192A4" w:rsidR="00C77C34" w:rsidRDefault="00C77C34" w:rsidP="00786DE6">
      <w:pPr>
        <w:pStyle w:val="2"/>
        <w:rPr>
          <w:rtl/>
        </w:rPr>
      </w:pPr>
      <w:r w:rsidRPr="00C77C34">
        <w:rPr>
          <w:rtl/>
        </w:rPr>
        <w:t>סעיף כב</w:t>
      </w:r>
      <w:r w:rsidR="004A27B3">
        <w:rPr>
          <w:rFonts w:hint="cs"/>
          <w:rtl/>
        </w:rPr>
        <w:t>: קולמוס הכתיבה.</w:t>
      </w:r>
    </w:p>
    <w:p w14:paraId="7FBECBCB" w14:textId="5C3DC23C" w:rsidR="00763CE6" w:rsidRPr="00763CE6" w:rsidRDefault="00763CE6" w:rsidP="00AF29F7">
      <w:pPr>
        <w:rPr>
          <w:rFonts w:cs="Arial"/>
          <w:u w:val="single"/>
          <w:rtl/>
        </w:rPr>
      </w:pPr>
      <w:r w:rsidRPr="00763CE6">
        <w:rPr>
          <w:rFonts w:hint="cs"/>
          <w:u w:val="single"/>
          <w:rtl/>
        </w:rPr>
        <w:t xml:space="preserve">באיזה קולמוס </w:t>
      </w:r>
      <w:r>
        <w:rPr>
          <w:rFonts w:hint="cs"/>
          <w:u w:val="single"/>
          <w:rtl/>
        </w:rPr>
        <w:t>ראוי</w:t>
      </w:r>
      <w:r w:rsidRPr="00763CE6">
        <w:rPr>
          <w:rFonts w:hint="cs"/>
          <w:u w:val="single"/>
          <w:rtl/>
        </w:rPr>
        <w:t xml:space="preserve"> לכתוב</w:t>
      </w:r>
      <w:r w:rsidRPr="00763CE6">
        <w:rPr>
          <w:rFonts w:cs="Arial"/>
          <w:u w:val="single"/>
          <w:rtl/>
        </w:rPr>
        <w:t xml:space="preserve"> </w:t>
      </w:r>
      <w:r w:rsidRPr="00763CE6">
        <w:rPr>
          <w:rFonts w:cs="Arial" w:hint="cs"/>
          <w:u w:val="single"/>
          <w:rtl/>
        </w:rPr>
        <w:t>את הגט:</w:t>
      </w:r>
    </w:p>
    <w:p w14:paraId="649EAF31" w14:textId="707F349C" w:rsidR="00763CE6" w:rsidRPr="00763CE6" w:rsidRDefault="00763CE6" w:rsidP="00763CE6">
      <w:pPr>
        <w:pStyle w:val="ab"/>
        <w:numPr>
          <w:ilvl w:val="0"/>
          <w:numId w:val="48"/>
        </w:numPr>
        <w:rPr>
          <w:rtl/>
        </w:rPr>
      </w:pPr>
      <w:r w:rsidRPr="00763CE6">
        <w:rPr>
          <w:rFonts w:cs="Arial"/>
          <w:rtl/>
        </w:rPr>
        <w:t xml:space="preserve">מרדכי </w:t>
      </w:r>
      <w:r w:rsidRPr="00763CE6">
        <w:rPr>
          <w:rFonts w:cs="Arial" w:hint="cs"/>
          <w:sz w:val="16"/>
          <w:szCs w:val="16"/>
          <w:rtl/>
        </w:rPr>
        <w:t>(</w:t>
      </w:r>
      <w:r w:rsidRPr="00763CE6">
        <w:rPr>
          <w:rFonts w:cs="Arial"/>
          <w:sz w:val="16"/>
          <w:szCs w:val="16"/>
          <w:rtl/>
        </w:rPr>
        <w:t>פ</w:t>
      </w:r>
      <w:r w:rsidRPr="00763CE6">
        <w:rPr>
          <w:rFonts w:cs="Arial" w:hint="cs"/>
          <w:sz w:val="16"/>
          <w:szCs w:val="16"/>
          <w:rtl/>
        </w:rPr>
        <w:t>"</w:t>
      </w:r>
      <w:r w:rsidRPr="00763CE6">
        <w:rPr>
          <w:rFonts w:cs="Arial"/>
          <w:sz w:val="16"/>
          <w:szCs w:val="16"/>
          <w:rtl/>
        </w:rPr>
        <w:t>ק דגיטין סי' שכז בהגהה</w:t>
      </w:r>
      <w:r w:rsidRPr="00763CE6">
        <w:rPr>
          <w:rFonts w:cs="Arial" w:hint="cs"/>
          <w:sz w:val="16"/>
          <w:szCs w:val="16"/>
          <w:rtl/>
        </w:rPr>
        <w:t>)</w:t>
      </w:r>
      <w:r w:rsidR="00A82951">
        <w:rPr>
          <w:rFonts w:cs="Arial" w:hint="cs"/>
          <w:rtl/>
        </w:rPr>
        <w:t>-</w:t>
      </w:r>
      <w:r w:rsidRPr="00763CE6">
        <w:rPr>
          <w:rFonts w:cs="Arial"/>
          <w:rtl/>
        </w:rPr>
        <w:t xml:space="preserve"> מדברי רבינו</w:t>
      </w:r>
      <w:r w:rsidR="005E4BB1">
        <w:rPr>
          <w:rFonts w:cs="Arial" w:hint="cs"/>
          <w:rtl/>
        </w:rPr>
        <w:t xml:space="preserve"> </w:t>
      </w:r>
      <w:r w:rsidRPr="00763CE6">
        <w:rPr>
          <w:rFonts w:cs="Arial"/>
          <w:rtl/>
        </w:rPr>
        <w:t>שמשון משאנץ משמע שאין כותבין גט או ס"ת בקולמוס של כנף</w:t>
      </w:r>
      <w:r w:rsidRPr="00763CE6">
        <w:rPr>
          <w:rFonts w:cs="Arial" w:hint="cs"/>
          <w:rtl/>
        </w:rPr>
        <w:t>,</w:t>
      </w:r>
      <w:r w:rsidRPr="00763CE6">
        <w:rPr>
          <w:rFonts w:cs="Arial"/>
          <w:rtl/>
        </w:rPr>
        <w:t xml:space="preserve"> שפי</w:t>
      </w:r>
      <w:r w:rsidRPr="00763CE6">
        <w:rPr>
          <w:rFonts w:cs="Arial" w:hint="cs"/>
          <w:rtl/>
        </w:rPr>
        <w:t>רש</w:t>
      </w:r>
      <w:r w:rsidRPr="00763CE6">
        <w:rPr>
          <w:rFonts w:cs="Arial"/>
          <w:rtl/>
        </w:rPr>
        <w:t xml:space="preserve"> מסרגלין בקנה וכו' </w:t>
      </w:r>
      <w:r w:rsidRPr="00763CE6">
        <w:rPr>
          <w:rFonts w:cs="Arial"/>
          <w:sz w:val="16"/>
          <w:szCs w:val="16"/>
          <w:rtl/>
        </w:rPr>
        <w:t>(מס' סופרים פ"א ה"א)</w:t>
      </w:r>
      <w:r w:rsidRPr="00763CE6">
        <w:rPr>
          <w:rFonts w:cs="Arial" w:hint="cs"/>
          <w:rtl/>
        </w:rPr>
        <w:t xml:space="preserve"> </w:t>
      </w:r>
      <w:r w:rsidR="00A82951">
        <w:rPr>
          <w:rFonts w:cs="Arial" w:hint="cs"/>
          <w:rtl/>
        </w:rPr>
        <w:t>-</w:t>
      </w:r>
      <w:r w:rsidRPr="00763CE6">
        <w:rPr>
          <w:rFonts w:cs="Arial" w:hint="cs"/>
          <w:rtl/>
        </w:rPr>
        <w:t xml:space="preserve"> </w:t>
      </w:r>
      <w:r w:rsidRPr="00763CE6">
        <w:rPr>
          <w:rFonts w:cs="Arial"/>
          <w:rtl/>
        </w:rPr>
        <w:t>מזיינין בקולמוס של קנה</w:t>
      </w:r>
      <w:r w:rsidRPr="00763CE6">
        <w:rPr>
          <w:rFonts w:cs="Arial" w:hint="cs"/>
          <w:rtl/>
        </w:rPr>
        <w:t>,</w:t>
      </w:r>
      <w:r w:rsidRPr="00763CE6">
        <w:rPr>
          <w:rFonts w:cs="Arial"/>
          <w:rtl/>
        </w:rPr>
        <w:t xml:space="preserve"> לאפוקי קולמוס של נוצה</w:t>
      </w:r>
      <w:r>
        <w:rPr>
          <w:rStyle w:val="a7"/>
          <w:rFonts w:cs="Arial"/>
          <w:rtl/>
        </w:rPr>
        <w:footnoteReference w:id="635"/>
      </w:r>
      <w:r w:rsidRPr="00763CE6">
        <w:rPr>
          <w:rFonts w:cs="Arial" w:hint="cs"/>
          <w:rtl/>
        </w:rPr>
        <w:t>.</w:t>
      </w:r>
    </w:p>
    <w:p w14:paraId="5ED50ED0" w14:textId="00CCA9C7" w:rsidR="00763CE6" w:rsidRPr="0004431B" w:rsidRDefault="00763CE6" w:rsidP="00763CE6">
      <w:pPr>
        <w:pStyle w:val="ab"/>
        <w:numPr>
          <w:ilvl w:val="0"/>
          <w:numId w:val="48"/>
        </w:numPr>
      </w:pPr>
      <w:r w:rsidRPr="0004431B">
        <w:rPr>
          <w:rFonts w:cs="Arial"/>
          <w:rtl/>
        </w:rPr>
        <w:t xml:space="preserve">סדר גיטין </w:t>
      </w:r>
      <w:r w:rsidRPr="0004431B">
        <w:rPr>
          <w:rFonts w:cs="Arial" w:hint="cs"/>
          <w:sz w:val="16"/>
          <w:szCs w:val="16"/>
          <w:rtl/>
        </w:rPr>
        <w:t>(</w:t>
      </w:r>
      <w:r w:rsidRPr="0004431B">
        <w:rPr>
          <w:rFonts w:cs="Arial"/>
          <w:sz w:val="16"/>
          <w:szCs w:val="16"/>
          <w:rtl/>
        </w:rPr>
        <w:t>סי</w:t>
      </w:r>
      <w:r w:rsidRPr="0004431B">
        <w:rPr>
          <w:rFonts w:cs="Arial" w:hint="cs"/>
          <w:sz w:val="16"/>
          <w:szCs w:val="16"/>
          <w:rtl/>
        </w:rPr>
        <w:t>'</w:t>
      </w:r>
      <w:r w:rsidRPr="0004431B">
        <w:rPr>
          <w:rFonts w:cs="Arial"/>
          <w:sz w:val="16"/>
          <w:szCs w:val="16"/>
          <w:rtl/>
        </w:rPr>
        <w:t xml:space="preserve"> ג</w:t>
      </w:r>
      <w:r>
        <w:rPr>
          <w:rFonts w:cs="Arial" w:hint="cs"/>
          <w:sz w:val="16"/>
          <w:szCs w:val="16"/>
          <w:rtl/>
        </w:rPr>
        <w:t>, הביאו הדרכ"מ [אות ב]</w:t>
      </w:r>
      <w:r w:rsidRPr="0004431B">
        <w:rPr>
          <w:rFonts w:cs="Arial" w:hint="cs"/>
          <w:sz w:val="16"/>
          <w:szCs w:val="16"/>
          <w:rtl/>
        </w:rPr>
        <w:t>)</w:t>
      </w:r>
      <w:r w:rsidR="00A82951">
        <w:rPr>
          <w:rFonts w:cs="Arial" w:hint="cs"/>
          <w:rtl/>
        </w:rPr>
        <w:t>-</w:t>
      </w:r>
      <w:r w:rsidRPr="0004431B">
        <w:rPr>
          <w:rFonts w:cs="Arial"/>
          <w:rtl/>
        </w:rPr>
        <w:t xml:space="preserve"> הקולמוס שכותבין בו נהגו לכתוב בקנה ולא בברזל</w:t>
      </w:r>
      <w:r>
        <w:rPr>
          <w:rFonts w:cs="Arial" w:hint="cs"/>
          <w:rtl/>
        </w:rPr>
        <w:t>,</w:t>
      </w:r>
      <w:r w:rsidRPr="0004431B">
        <w:rPr>
          <w:rFonts w:cs="Arial"/>
          <w:rtl/>
        </w:rPr>
        <w:t xml:space="preserve"> דכתיב וכתב ולא וחקק, אף על גב דחק יריכות מותר מכל מקום לכתחלה טוב שלא לחקוק כל</w:t>
      </w:r>
      <w:r>
        <w:rPr>
          <w:rFonts w:cs="Arial" w:hint="cs"/>
          <w:rtl/>
        </w:rPr>
        <w:t>ל</w:t>
      </w:r>
      <w:r w:rsidRPr="0004431B">
        <w:rPr>
          <w:rFonts w:cs="Arial"/>
          <w:rtl/>
        </w:rPr>
        <w:t xml:space="preserve">. </w:t>
      </w:r>
    </w:p>
    <w:p w14:paraId="2AEDE557"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9B4C4CB" w14:textId="3CE01757" w:rsidR="002D5E7F" w:rsidRDefault="00C77C34" w:rsidP="00C77C34">
      <w:pPr>
        <w:rPr>
          <w:rFonts w:cs="Arial"/>
          <w:rtl/>
        </w:rPr>
      </w:pPr>
      <w:r w:rsidRPr="00C77C34">
        <w:rPr>
          <w:rFonts w:cs="Arial"/>
          <w:rtl/>
        </w:rPr>
        <w:t>יש מי שכתב שיש להקפיד מלכתוב הגט בקולמוס של כנף</w:t>
      </w:r>
      <w:r w:rsidR="008D0195">
        <w:rPr>
          <w:rStyle w:val="a7"/>
          <w:rFonts w:cs="Arial"/>
          <w:rtl/>
        </w:rPr>
        <w:footnoteReference w:id="636"/>
      </w:r>
      <w:r w:rsidRPr="00C77C34">
        <w:rPr>
          <w:rFonts w:cs="Arial"/>
          <w:rtl/>
        </w:rPr>
        <w:t>, אלא בשל קנה</w:t>
      </w:r>
      <w:r w:rsidR="007D0A45">
        <w:rPr>
          <w:rStyle w:val="a7"/>
          <w:rFonts w:cs="Arial"/>
          <w:rtl/>
        </w:rPr>
        <w:footnoteReference w:id="637"/>
      </w:r>
      <w:r w:rsidRPr="00C77C34">
        <w:rPr>
          <w:rFonts w:cs="Arial"/>
          <w:rtl/>
        </w:rPr>
        <w:t xml:space="preserve"> </w:t>
      </w:r>
      <w:r w:rsidRPr="00763CE6">
        <w:rPr>
          <w:rFonts w:cs="Arial"/>
          <w:sz w:val="18"/>
          <w:szCs w:val="18"/>
          <w:rtl/>
        </w:rPr>
        <w:t>(ועיין לעיל סי' זה סעיף ד')</w:t>
      </w:r>
      <w:r w:rsidRPr="00C77C34">
        <w:rPr>
          <w:rFonts w:cs="Arial"/>
          <w:rtl/>
        </w:rPr>
        <w:t>.</w:t>
      </w:r>
    </w:p>
    <w:p w14:paraId="5E7FBF34" w14:textId="3B83C8A2" w:rsidR="00C77C34" w:rsidRPr="00C77C34" w:rsidRDefault="00C77C34" w:rsidP="00C77C34">
      <w:pPr>
        <w:rPr>
          <w:rFonts w:cs="Arial"/>
          <w:rtl/>
        </w:rPr>
      </w:pPr>
      <w:r w:rsidRPr="00C77C34">
        <w:rPr>
          <w:rFonts w:cs="Arial"/>
          <w:rtl/>
        </w:rPr>
        <w:t xml:space="preserve"> </w:t>
      </w:r>
    </w:p>
    <w:p w14:paraId="65D71909" w14:textId="1AB503B7" w:rsidR="00C77C34" w:rsidRDefault="00C77C34" w:rsidP="00786DE6">
      <w:pPr>
        <w:pStyle w:val="2"/>
        <w:rPr>
          <w:rtl/>
        </w:rPr>
      </w:pPr>
      <w:r w:rsidRPr="00C77C34">
        <w:rPr>
          <w:rtl/>
        </w:rPr>
        <w:t>סעיף כג</w:t>
      </w:r>
      <w:r w:rsidR="00AF29F7">
        <w:rPr>
          <w:rFonts w:hint="cs"/>
          <w:rtl/>
        </w:rPr>
        <w:t>:</w:t>
      </w:r>
      <w:r w:rsidR="00523F05">
        <w:rPr>
          <w:rFonts w:hint="cs"/>
          <w:rtl/>
        </w:rPr>
        <w:t xml:space="preserve"> גט שנעשה ע"י ריקמה/אריגה/חורים.</w:t>
      </w:r>
    </w:p>
    <w:p w14:paraId="376B1C5C" w14:textId="1937CCE4" w:rsidR="00681C57" w:rsidRDefault="00681C57" w:rsidP="00681C57">
      <w:pPr>
        <w:rPr>
          <w:rtl/>
        </w:rPr>
      </w:pPr>
      <w:r w:rsidRPr="00312668">
        <w:rPr>
          <w:rFonts w:cs="Arial" w:hint="cs"/>
          <w:b/>
          <w:bCs/>
          <w:rtl/>
        </w:rPr>
        <w:t xml:space="preserve">גיטין </w:t>
      </w:r>
      <w:r w:rsidRPr="00312668">
        <w:rPr>
          <w:rFonts w:cs="Arial" w:hint="cs"/>
          <w:b/>
          <w:bCs/>
          <w:sz w:val="16"/>
          <w:szCs w:val="16"/>
          <w:rtl/>
        </w:rPr>
        <w:t>(פ"ב)</w:t>
      </w:r>
      <w:r w:rsidRPr="00312668">
        <w:rPr>
          <w:rFonts w:cs="Arial" w:hint="cs"/>
          <w:b/>
          <w:bCs/>
          <w:rtl/>
        </w:rPr>
        <w:t xml:space="preserve"> </w:t>
      </w:r>
      <w:r>
        <w:rPr>
          <w:rFonts w:cs="Arial" w:hint="cs"/>
          <w:b/>
          <w:bCs/>
          <w:rtl/>
        </w:rPr>
        <w:t>כ</w:t>
      </w:r>
      <w:r w:rsidRPr="00312668">
        <w:rPr>
          <w:rFonts w:cs="Arial" w:hint="cs"/>
          <w:b/>
          <w:bCs/>
          <w:rtl/>
        </w:rPr>
        <w:t xml:space="preserve"> ע"</w:t>
      </w:r>
      <w:r>
        <w:rPr>
          <w:rFonts w:cs="Arial" w:hint="cs"/>
          <w:b/>
          <w:bCs/>
          <w:rtl/>
        </w:rPr>
        <w:t>א</w:t>
      </w:r>
      <w:r w:rsidRPr="00312668">
        <w:rPr>
          <w:rFonts w:cs="Arial" w:hint="cs"/>
          <w:b/>
          <w:bCs/>
          <w:rtl/>
        </w:rPr>
        <w:t>:</w:t>
      </w:r>
      <w:r w:rsidRPr="00312668">
        <w:rPr>
          <w:rFonts w:cs="Arial" w:hint="cs"/>
          <w:rtl/>
        </w:rPr>
        <w:t xml:space="preserve"> </w:t>
      </w:r>
      <w:r w:rsidRPr="00172B29">
        <w:rPr>
          <w:rFonts w:cs="Arial"/>
          <w:rtl/>
        </w:rPr>
        <w:t xml:space="preserve">תנו רבנן: וכתב </w:t>
      </w:r>
      <w:r w:rsidR="00A82951">
        <w:rPr>
          <w:rFonts w:cs="Arial"/>
          <w:rtl/>
        </w:rPr>
        <w:t>-</w:t>
      </w:r>
      <w:r w:rsidRPr="00172B29">
        <w:rPr>
          <w:rFonts w:cs="Arial"/>
          <w:rtl/>
        </w:rPr>
        <w:t xml:space="preserve"> ולא חקק</w:t>
      </w:r>
      <w:r>
        <w:rPr>
          <w:rStyle w:val="a7"/>
          <w:rFonts w:cs="Arial"/>
          <w:rtl/>
        </w:rPr>
        <w:footnoteReference w:id="638"/>
      </w:r>
      <w:r w:rsidRPr="00172B29">
        <w:rPr>
          <w:rFonts w:cs="Arial"/>
          <w:rtl/>
        </w:rPr>
        <w:t>. למימרא, דחקיקה לאו כתיבה היא</w:t>
      </w:r>
      <w:r>
        <w:rPr>
          <w:rFonts w:cs="Arial" w:hint="cs"/>
          <w:rtl/>
        </w:rPr>
        <w:t>.</w:t>
      </w:r>
      <w:r w:rsidRPr="00172B29">
        <w:rPr>
          <w:rFonts w:cs="Arial"/>
          <w:rtl/>
        </w:rPr>
        <w:t xml:space="preserve"> ורמינהו: עבד שיצא בכתב שעל גבי טבלא</w:t>
      </w:r>
      <w:r>
        <w:rPr>
          <w:rStyle w:val="a7"/>
          <w:rFonts w:cs="Arial"/>
          <w:rtl/>
        </w:rPr>
        <w:footnoteReference w:id="639"/>
      </w:r>
      <w:r w:rsidRPr="00172B29">
        <w:rPr>
          <w:rFonts w:cs="Arial"/>
          <w:rtl/>
        </w:rPr>
        <w:t xml:space="preserve"> ופינקס</w:t>
      </w:r>
      <w:r>
        <w:rPr>
          <w:rStyle w:val="a7"/>
          <w:rFonts w:cs="Arial"/>
          <w:rtl/>
        </w:rPr>
        <w:footnoteReference w:id="640"/>
      </w:r>
      <w:r w:rsidRPr="00172B29">
        <w:rPr>
          <w:rFonts w:cs="Arial"/>
          <w:rtl/>
        </w:rPr>
        <w:t xml:space="preserve"> </w:t>
      </w:r>
      <w:r w:rsidR="00A82951">
        <w:rPr>
          <w:rFonts w:cs="Arial"/>
          <w:rtl/>
        </w:rPr>
        <w:t>-</w:t>
      </w:r>
      <w:r w:rsidRPr="00172B29">
        <w:rPr>
          <w:rFonts w:cs="Arial"/>
          <w:rtl/>
        </w:rPr>
        <w:t xml:space="preserve"> יצא לחירות, אבל לא בכתב שעל גבי כיפא</w:t>
      </w:r>
      <w:r>
        <w:rPr>
          <w:rStyle w:val="a7"/>
          <w:rFonts w:cs="Arial"/>
          <w:rtl/>
        </w:rPr>
        <w:footnoteReference w:id="641"/>
      </w:r>
      <w:r w:rsidRPr="00172B29">
        <w:rPr>
          <w:rFonts w:cs="Arial"/>
          <w:rtl/>
        </w:rPr>
        <w:t xml:space="preserve"> ואנדוכתרי! </w:t>
      </w:r>
      <w:r w:rsidR="00F150D0" w:rsidRPr="00F150D0">
        <w:rPr>
          <w:rFonts w:cs="Arial" w:hint="cs"/>
          <w:sz w:val="16"/>
          <w:szCs w:val="16"/>
          <w:rtl/>
        </w:rPr>
        <w:t>(</w:t>
      </w:r>
      <w:r w:rsidR="00F150D0" w:rsidRPr="00F150D0">
        <w:rPr>
          <w:rFonts w:cs="Arial"/>
          <w:sz w:val="16"/>
          <w:szCs w:val="16"/>
          <w:rtl/>
        </w:rPr>
        <w:t>ומשמע התם דגט אשה וגט עבד הם שוים</w:t>
      </w:r>
      <w:r w:rsidR="00F150D0" w:rsidRPr="00F150D0">
        <w:rPr>
          <w:rFonts w:cs="Arial" w:hint="cs"/>
          <w:sz w:val="16"/>
          <w:szCs w:val="16"/>
          <w:rtl/>
        </w:rPr>
        <w:t>,</w:t>
      </w:r>
      <w:r w:rsidR="00F150D0" w:rsidRPr="00F150D0">
        <w:rPr>
          <w:rFonts w:cs="Arial"/>
          <w:sz w:val="16"/>
          <w:szCs w:val="16"/>
          <w:rtl/>
        </w:rPr>
        <w:t xml:space="preserve"> דהא מייתי האי ברייתא דעבד לרמויי אוכתב ולא וחקק השנוי גבי גט אשה</w:t>
      </w:r>
      <w:r w:rsidR="00F150D0">
        <w:rPr>
          <w:rFonts w:cs="Arial" w:hint="cs"/>
          <w:sz w:val="16"/>
          <w:szCs w:val="16"/>
          <w:rtl/>
        </w:rPr>
        <w:t>, ב"י)</w:t>
      </w:r>
    </w:p>
    <w:p w14:paraId="42F65106" w14:textId="77777777" w:rsidR="00523F05" w:rsidRDefault="00523F05" w:rsidP="00AF29F7">
      <w:pPr>
        <w:rPr>
          <w:rFonts w:cs="Arial"/>
          <w:rtl/>
        </w:rPr>
      </w:pPr>
      <w:r w:rsidRPr="00523F05">
        <w:rPr>
          <w:rFonts w:hint="cs"/>
          <w:u w:val="single"/>
          <w:rtl/>
        </w:rPr>
        <w:t>גט שנעשה ע"י ריקמה/אריגה/חורים</w:t>
      </w:r>
      <w:r w:rsidRPr="00523F05">
        <w:rPr>
          <w:rFonts w:cs="Arial" w:hint="cs"/>
          <w:u w:val="single"/>
          <w:rtl/>
        </w:rPr>
        <w:t>:</w:t>
      </w:r>
    </w:p>
    <w:p w14:paraId="4B7BD36A" w14:textId="3F7C14C8" w:rsidR="00681C57" w:rsidRPr="00681C57" w:rsidRDefault="00D37C0C" w:rsidP="00D37C0C">
      <w:pPr>
        <w:pStyle w:val="ab"/>
        <w:numPr>
          <w:ilvl w:val="0"/>
          <w:numId w:val="46"/>
        </w:numPr>
      </w:pPr>
      <w:r>
        <w:rPr>
          <w:rFonts w:cs="Arial" w:hint="cs"/>
          <w:rtl/>
        </w:rPr>
        <w:lastRenderedPageBreak/>
        <w:t>ערוך</w:t>
      </w:r>
      <w:r>
        <w:rPr>
          <w:rStyle w:val="a7"/>
          <w:rFonts w:cs="Arial"/>
          <w:rtl/>
        </w:rPr>
        <w:footnoteReference w:id="642"/>
      </w:r>
      <w:r>
        <w:rPr>
          <w:rFonts w:cs="Arial" w:hint="cs"/>
          <w:rtl/>
        </w:rPr>
        <w:t xml:space="preserve"> </w:t>
      </w:r>
      <w:r>
        <w:rPr>
          <w:rFonts w:cs="Arial" w:hint="cs"/>
          <w:sz w:val="16"/>
          <w:szCs w:val="16"/>
          <w:rtl/>
        </w:rPr>
        <w:t>(ערך כפה)</w:t>
      </w:r>
      <w:r>
        <w:rPr>
          <w:rFonts w:cs="Arial" w:hint="cs"/>
          <w:rtl/>
        </w:rPr>
        <w:t xml:space="preserve"> ו</w:t>
      </w:r>
      <w:r w:rsidR="00681C57" w:rsidRPr="00D37C0C">
        <w:rPr>
          <w:rFonts w:cs="Arial" w:hint="cs"/>
          <w:rtl/>
        </w:rPr>
        <w:t>רי"ו</w:t>
      </w:r>
      <w:r w:rsidR="00AF29F7" w:rsidRPr="00D37C0C">
        <w:rPr>
          <w:rFonts w:cs="Arial"/>
          <w:rtl/>
        </w:rPr>
        <w:t xml:space="preserve"> </w:t>
      </w:r>
      <w:r w:rsidR="00681C57" w:rsidRPr="00D37C0C">
        <w:rPr>
          <w:rFonts w:cs="Arial" w:hint="cs"/>
          <w:sz w:val="16"/>
          <w:szCs w:val="16"/>
          <w:rtl/>
        </w:rPr>
        <w:t>(</w:t>
      </w:r>
      <w:r w:rsidR="00AF29F7" w:rsidRPr="00D37C0C">
        <w:rPr>
          <w:rFonts w:cs="Arial"/>
          <w:sz w:val="16"/>
          <w:szCs w:val="16"/>
          <w:rtl/>
        </w:rPr>
        <w:t>ח</w:t>
      </w:r>
      <w:r w:rsidR="00681C57" w:rsidRPr="00D37C0C">
        <w:rPr>
          <w:rFonts w:cs="Arial" w:hint="cs"/>
          <w:sz w:val="16"/>
          <w:szCs w:val="16"/>
          <w:rtl/>
        </w:rPr>
        <w:t>"</w:t>
      </w:r>
      <w:r w:rsidR="00AF29F7" w:rsidRPr="00D37C0C">
        <w:rPr>
          <w:rFonts w:cs="Arial"/>
          <w:sz w:val="16"/>
          <w:szCs w:val="16"/>
          <w:rtl/>
        </w:rPr>
        <w:t>ב נכ"ד רד ע"א)</w:t>
      </w:r>
      <w:r w:rsidR="00A82951">
        <w:rPr>
          <w:rFonts w:cs="Arial" w:hint="cs"/>
          <w:rtl/>
        </w:rPr>
        <w:t>-</w:t>
      </w:r>
      <w:r w:rsidR="00AF29F7" w:rsidRPr="00D37C0C">
        <w:rPr>
          <w:rFonts w:cs="Arial"/>
          <w:rtl/>
        </w:rPr>
        <w:t xml:space="preserve"> אם רקמו בבגד הנקרא בלשון חז"ל אנד</w:t>
      </w:r>
      <w:r>
        <w:rPr>
          <w:rFonts w:cs="Arial" w:hint="cs"/>
          <w:rtl/>
        </w:rPr>
        <w:t>ר</w:t>
      </w:r>
      <w:r w:rsidR="00AF29F7" w:rsidRPr="00D37C0C">
        <w:rPr>
          <w:rFonts w:cs="Arial"/>
          <w:rtl/>
        </w:rPr>
        <w:t>וכת</w:t>
      </w:r>
      <w:r>
        <w:rPr>
          <w:rFonts w:cs="Arial" w:hint="cs"/>
          <w:rtl/>
        </w:rPr>
        <w:t>י</w:t>
      </w:r>
      <w:r w:rsidR="00AF29F7" w:rsidRPr="00D37C0C">
        <w:rPr>
          <w:rFonts w:cs="Arial"/>
          <w:rtl/>
        </w:rPr>
        <w:t xml:space="preserve">רי </w:t>
      </w:r>
      <w:r w:rsidR="00A82951">
        <w:rPr>
          <w:rFonts w:cs="Arial" w:hint="cs"/>
          <w:rtl/>
        </w:rPr>
        <w:t>-</w:t>
      </w:r>
      <w:r w:rsidR="00F150D0" w:rsidRPr="00D37C0C">
        <w:rPr>
          <w:rFonts w:cs="Arial" w:hint="cs"/>
          <w:rtl/>
        </w:rPr>
        <w:t xml:space="preserve"> </w:t>
      </w:r>
      <w:r w:rsidR="00AF29F7" w:rsidRPr="00D37C0C">
        <w:rPr>
          <w:rFonts w:cs="Arial"/>
          <w:rtl/>
        </w:rPr>
        <w:t>אינו כתב</w:t>
      </w:r>
      <w:r>
        <w:rPr>
          <w:rFonts w:cs="Arial" w:hint="cs"/>
          <w:sz w:val="16"/>
          <w:szCs w:val="16"/>
          <w:rtl/>
        </w:rPr>
        <w:t xml:space="preserve"> (ל' רי"ו)</w:t>
      </w:r>
      <w:r w:rsidR="00681C57" w:rsidRPr="00D37C0C">
        <w:rPr>
          <w:rFonts w:cs="Arial" w:hint="cs"/>
          <w:rtl/>
        </w:rPr>
        <w:t>.</w:t>
      </w:r>
      <w:r w:rsidR="00AF29F7" w:rsidRPr="00D37C0C">
        <w:rPr>
          <w:rFonts w:cs="Arial"/>
          <w:rtl/>
        </w:rPr>
        <w:t xml:space="preserve"> </w:t>
      </w:r>
    </w:p>
    <w:p w14:paraId="1D4D5BF7" w14:textId="1BC6A4EE" w:rsidR="00657264" w:rsidRPr="00657264" w:rsidRDefault="00657264" w:rsidP="00657264">
      <w:pPr>
        <w:pStyle w:val="ab"/>
        <w:numPr>
          <w:ilvl w:val="0"/>
          <w:numId w:val="46"/>
        </w:numPr>
      </w:pPr>
      <w:r>
        <w:rPr>
          <w:rFonts w:cs="Arial" w:hint="cs"/>
          <w:rtl/>
        </w:rPr>
        <w:t>בהעי"ט</w:t>
      </w:r>
      <w:r w:rsidR="00AF29F7" w:rsidRPr="00523F05">
        <w:rPr>
          <w:rFonts w:cs="Arial"/>
          <w:rtl/>
        </w:rPr>
        <w:t xml:space="preserve"> </w:t>
      </w:r>
      <w:r w:rsidRPr="00F150D0">
        <w:rPr>
          <w:rFonts w:cs="Arial" w:hint="cs"/>
          <w:sz w:val="16"/>
          <w:szCs w:val="16"/>
          <w:rtl/>
        </w:rPr>
        <w:t>(</w:t>
      </w:r>
      <w:r w:rsidR="00AF29F7" w:rsidRPr="00F150D0">
        <w:rPr>
          <w:rFonts w:cs="Arial"/>
          <w:sz w:val="16"/>
          <w:szCs w:val="16"/>
          <w:rtl/>
        </w:rPr>
        <w:t>מאמר ז ח"א כו.)</w:t>
      </w:r>
      <w:r w:rsidR="00A82951">
        <w:rPr>
          <w:rFonts w:cs="Arial" w:hint="cs"/>
          <w:rtl/>
        </w:rPr>
        <w:t>-</w:t>
      </w:r>
      <w:r>
        <w:rPr>
          <w:rFonts w:cs="Arial" w:hint="cs"/>
          <w:rtl/>
        </w:rPr>
        <w:t xml:space="preserve"> '</w:t>
      </w:r>
      <w:r w:rsidRPr="00657264">
        <w:rPr>
          <w:rFonts w:cs="Arial"/>
          <w:rtl/>
        </w:rPr>
        <w:t>אבל לא בכתב של כיפה ואנדוכתרי</w:t>
      </w:r>
      <w:r>
        <w:rPr>
          <w:rFonts w:cs="Arial" w:hint="cs"/>
          <w:rtl/>
        </w:rPr>
        <w:t xml:space="preserve">', </w:t>
      </w:r>
      <w:r w:rsidRPr="00657264">
        <w:rPr>
          <w:rFonts w:cs="Arial"/>
          <w:rtl/>
        </w:rPr>
        <w:t>שכתב גט בכותל כיפה וטעמא משום דמחוסר תלישה</w:t>
      </w:r>
      <w:r>
        <w:rPr>
          <w:rFonts w:cs="Arial" w:hint="cs"/>
          <w:rtl/>
        </w:rPr>
        <w:t>.</w:t>
      </w:r>
      <w:r w:rsidRPr="00657264">
        <w:rPr>
          <w:rFonts w:cs="Arial"/>
          <w:rtl/>
        </w:rPr>
        <w:t xml:space="preserve"> ור</w:t>
      </w:r>
      <w:r>
        <w:rPr>
          <w:rFonts w:cs="Arial" w:hint="cs"/>
          <w:rtl/>
        </w:rPr>
        <w:t>"</w:t>
      </w:r>
      <w:r w:rsidRPr="00657264">
        <w:rPr>
          <w:rFonts w:cs="Arial"/>
          <w:rtl/>
        </w:rPr>
        <w:t>ח</w:t>
      </w:r>
      <w:r>
        <w:rPr>
          <w:rFonts w:cs="Arial" w:hint="cs"/>
          <w:rtl/>
        </w:rPr>
        <w:t xml:space="preserve"> </w:t>
      </w:r>
      <w:r w:rsidRPr="00657264">
        <w:rPr>
          <w:rFonts w:cs="Arial"/>
          <w:rtl/>
        </w:rPr>
        <w:t>פ</w:t>
      </w:r>
      <w:r>
        <w:rPr>
          <w:rFonts w:cs="Arial" w:hint="cs"/>
          <w:rtl/>
        </w:rPr>
        <w:t>ירש</w:t>
      </w:r>
      <w:r w:rsidRPr="00657264">
        <w:rPr>
          <w:rFonts w:cs="Arial"/>
          <w:rtl/>
        </w:rPr>
        <w:t xml:space="preserve"> </w:t>
      </w:r>
      <w:r>
        <w:rPr>
          <w:rFonts w:cs="Arial" w:hint="cs"/>
          <w:rtl/>
        </w:rPr>
        <w:t>'</w:t>
      </w:r>
      <w:r w:rsidRPr="00657264">
        <w:rPr>
          <w:rFonts w:cs="Arial"/>
          <w:rtl/>
        </w:rPr>
        <w:t>כיפה</w:t>
      </w:r>
      <w:r>
        <w:rPr>
          <w:rFonts w:cs="Arial" w:hint="cs"/>
          <w:rtl/>
        </w:rPr>
        <w:t>',</w:t>
      </w:r>
      <w:r w:rsidRPr="00657264">
        <w:rPr>
          <w:rFonts w:cs="Arial"/>
          <w:rtl/>
        </w:rPr>
        <w:t xml:space="preserve"> של צמר ארוגה ורקם באריגתה</w:t>
      </w:r>
      <w:r>
        <w:rPr>
          <w:rFonts w:cs="Arial" w:hint="cs"/>
          <w:rtl/>
        </w:rPr>
        <w:t>.</w:t>
      </w:r>
      <w:r w:rsidRPr="00657264">
        <w:rPr>
          <w:rFonts w:cs="Arial"/>
          <w:rtl/>
        </w:rPr>
        <w:t xml:space="preserve"> ואנדכתרי</w:t>
      </w:r>
      <w:r>
        <w:rPr>
          <w:rFonts w:cs="Arial" w:hint="cs"/>
          <w:rtl/>
        </w:rPr>
        <w:t>,</w:t>
      </w:r>
      <w:r w:rsidRPr="00657264">
        <w:rPr>
          <w:rFonts w:cs="Arial"/>
          <w:rtl/>
        </w:rPr>
        <w:t xml:space="preserve"> הוצין</w:t>
      </w:r>
      <w:r w:rsidR="00F150D0">
        <w:rPr>
          <w:rFonts w:cs="Arial" w:hint="cs"/>
          <w:rtl/>
        </w:rPr>
        <w:t>,</w:t>
      </w:r>
      <w:r w:rsidRPr="00657264">
        <w:rPr>
          <w:rFonts w:cs="Arial"/>
          <w:rtl/>
        </w:rPr>
        <w:t xml:space="preserve"> וצובעין אותן ומציינין ומציירין בהן כתב כדרך שעושין במחצלאות כתב באותיות</w:t>
      </w:r>
      <w:r>
        <w:rPr>
          <w:rFonts w:cs="Arial" w:hint="cs"/>
          <w:rtl/>
        </w:rPr>
        <w:t>.</w:t>
      </w:r>
      <w:r w:rsidRPr="00657264">
        <w:rPr>
          <w:rFonts w:cs="Arial"/>
          <w:rtl/>
        </w:rPr>
        <w:t xml:space="preserve"> וכגון זה שנכתב בריקמה או במעשה מחט </w:t>
      </w:r>
      <w:r w:rsidR="00A82951">
        <w:rPr>
          <w:rFonts w:cs="Arial" w:hint="cs"/>
          <w:rtl/>
        </w:rPr>
        <w:t>-</w:t>
      </w:r>
      <w:r>
        <w:rPr>
          <w:rFonts w:cs="Arial" w:hint="cs"/>
          <w:rtl/>
        </w:rPr>
        <w:t xml:space="preserve"> </w:t>
      </w:r>
      <w:r w:rsidRPr="00657264">
        <w:rPr>
          <w:rFonts w:cs="Arial"/>
          <w:rtl/>
        </w:rPr>
        <w:t>אינו גט</w:t>
      </w:r>
      <w:r>
        <w:rPr>
          <w:rFonts w:cs="Arial" w:hint="cs"/>
          <w:rtl/>
        </w:rPr>
        <w:t>.</w:t>
      </w:r>
      <w:r w:rsidRPr="00657264">
        <w:rPr>
          <w:rFonts w:cs="Arial"/>
          <w:rtl/>
        </w:rPr>
        <w:t xml:space="preserve"> </w:t>
      </w:r>
    </w:p>
    <w:p w14:paraId="34F3138A" w14:textId="73BCA470" w:rsidR="00AF29F7" w:rsidRPr="00D37C0C" w:rsidRDefault="00AF29F7" w:rsidP="00D37C0C">
      <w:pPr>
        <w:pStyle w:val="ab"/>
        <w:numPr>
          <w:ilvl w:val="0"/>
          <w:numId w:val="46"/>
        </w:numPr>
        <w:rPr>
          <w:rFonts w:cs="Arial"/>
          <w:rtl/>
        </w:rPr>
      </w:pPr>
      <w:r w:rsidRPr="00657264">
        <w:rPr>
          <w:rFonts w:cs="Arial"/>
          <w:rtl/>
        </w:rPr>
        <w:t xml:space="preserve">רש"י </w:t>
      </w:r>
      <w:r w:rsidR="00F150D0" w:rsidRPr="00F150D0">
        <w:rPr>
          <w:rFonts w:cs="Arial" w:hint="cs"/>
          <w:sz w:val="16"/>
          <w:szCs w:val="16"/>
          <w:rtl/>
        </w:rPr>
        <w:t>(</w:t>
      </w:r>
      <w:r w:rsidR="00F150D0">
        <w:rPr>
          <w:rFonts w:cs="Arial" w:hint="cs"/>
          <w:sz w:val="16"/>
          <w:szCs w:val="16"/>
          <w:rtl/>
        </w:rPr>
        <w:t>כ.)</w:t>
      </w:r>
      <w:r w:rsidR="00A82951">
        <w:rPr>
          <w:rFonts w:cs="Arial"/>
          <w:rtl/>
        </w:rPr>
        <w:t>-</w:t>
      </w:r>
      <w:r w:rsidR="00F150D0" w:rsidRPr="00F150D0">
        <w:rPr>
          <w:rFonts w:cs="Arial"/>
          <w:rtl/>
        </w:rPr>
        <w:t xml:space="preserve"> </w:t>
      </w:r>
      <w:r w:rsidR="00D37C0C">
        <w:rPr>
          <w:rFonts w:cs="Arial" w:hint="cs"/>
          <w:rtl/>
        </w:rPr>
        <w:t>'</w:t>
      </w:r>
      <w:r w:rsidR="00D37C0C" w:rsidRPr="00D37C0C">
        <w:rPr>
          <w:rFonts w:cs="Arial"/>
          <w:rtl/>
        </w:rPr>
        <w:t>ולא בכתב שעל גבי כיפה</w:t>
      </w:r>
      <w:r w:rsidR="00D37C0C">
        <w:rPr>
          <w:rFonts w:cs="Arial" w:hint="cs"/>
          <w:rtl/>
        </w:rPr>
        <w:t>'</w:t>
      </w:r>
      <w:r w:rsidR="00D37C0C" w:rsidRPr="00D37C0C">
        <w:rPr>
          <w:rFonts w:cs="Arial"/>
          <w:rtl/>
        </w:rPr>
        <w:t xml:space="preserve"> כעין כובע של צמר ונותנות הנשים תחת צעיף קישוריהן</w:t>
      </w:r>
      <w:r w:rsidR="00D37C0C">
        <w:rPr>
          <w:rFonts w:cs="Arial" w:hint="cs"/>
          <w:rtl/>
        </w:rPr>
        <w:t>..</w:t>
      </w:r>
      <w:r w:rsidR="00D37C0C" w:rsidRPr="00D37C0C">
        <w:rPr>
          <w:rFonts w:cs="Arial"/>
          <w:rtl/>
        </w:rPr>
        <w:t>.</w:t>
      </w:r>
      <w:r w:rsidR="00D37C0C">
        <w:rPr>
          <w:rFonts w:cs="Arial" w:hint="cs"/>
          <w:rtl/>
        </w:rPr>
        <w:t xml:space="preserve"> '</w:t>
      </w:r>
      <w:r w:rsidR="00D37C0C" w:rsidRPr="00D37C0C">
        <w:rPr>
          <w:rFonts w:cs="Arial"/>
          <w:rtl/>
        </w:rPr>
        <w:t>אנדוכתרי</w:t>
      </w:r>
      <w:r w:rsidR="00D37C0C">
        <w:rPr>
          <w:rFonts w:cs="Arial" w:hint="cs"/>
          <w:rtl/>
        </w:rPr>
        <w:t>'</w:t>
      </w:r>
      <w:r w:rsidR="00D37C0C" w:rsidRPr="00D37C0C">
        <w:rPr>
          <w:rFonts w:cs="Arial"/>
          <w:rtl/>
        </w:rPr>
        <w:t xml:space="preserve"> </w:t>
      </w:r>
      <w:r w:rsidR="00F150D0" w:rsidRPr="00D37C0C">
        <w:rPr>
          <w:rFonts w:cs="Arial"/>
          <w:rtl/>
        </w:rPr>
        <w:t>תכשיט ורוקמין עליו צורות במחט כעין ברושדי"ר בלע"ז</w:t>
      </w:r>
      <w:r w:rsidR="00D37C0C" w:rsidRPr="00D37C0C">
        <w:rPr>
          <w:rFonts w:cs="Arial" w:hint="cs"/>
          <w:rtl/>
        </w:rPr>
        <w:t>.</w:t>
      </w:r>
      <w:r w:rsidR="00F150D0" w:rsidRPr="00D37C0C">
        <w:rPr>
          <w:rFonts w:cs="Arial"/>
          <w:rtl/>
        </w:rPr>
        <w:t xml:space="preserve"> ואם רקמו עליהן </w:t>
      </w:r>
      <w:r w:rsidR="00D37C0C" w:rsidRPr="00D37C0C">
        <w:rPr>
          <w:rFonts w:cs="Arial" w:hint="cs"/>
          <w:sz w:val="16"/>
          <w:szCs w:val="16"/>
          <w:rtl/>
        </w:rPr>
        <w:t xml:space="preserve">{על הכפה או על אנדוכתרי} </w:t>
      </w:r>
      <w:r w:rsidR="00F150D0" w:rsidRPr="00D37C0C">
        <w:rPr>
          <w:rFonts w:cs="Arial"/>
          <w:rtl/>
        </w:rPr>
        <w:t xml:space="preserve">אותיות הגט </w:t>
      </w:r>
      <w:r w:rsidR="00A82951">
        <w:rPr>
          <w:rFonts w:cs="Arial" w:hint="cs"/>
          <w:rtl/>
        </w:rPr>
        <w:t>-</w:t>
      </w:r>
      <w:r w:rsidR="00D37C0C" w:rsidRPr="00D37C0C">
        <w:rPr>
          <w:rFonts w:cs="Arial" w:hint="cs"/>
          <w:rtl/>
        </w:rPr>
        <w:t xml:space="preserve"> </w:t>
      </w:r>
      <w:r w:rsidR="00F150D0" w:rsidRPr="00D37C0C">
        <w:rPr>
          <w:rFonts w:cs="Arial"/>
          <w:rtl/>
        </w:rPr>
        <w:t>אינו כתב לפי שאינו כתוב וקבוע</w:t>
      </w:r>
      <w:r w:rsidR="00F150D0">
        <w:rPr>
          <w:rStyle w:val="a7"/>
          <w:rFonts w:cs="Arial"/>
          <w:rtl/>
        </w:rPr>
        <w:footnoteReference w:id="643"/>
      </w:r>
      <w:r w:rsidR="00F150D0" w:rsidRPr="00D37C0C">
        <w:rPr>
          <w:rFonts w:cs="Arial"/>
          <w:rtl/>
        </w:rPr>
        <w:t xml:space="preserve"> אלא מוטל על הבגד וב' ראשיו תחובים</w:t>
      </w:r>
      <w:r w:rsidR="00F150D0" w:rsidRPr="00D37C0C">
        <w:rPr>
          <w:rFonts w:cs="Arial" w:hint="cs"/>
          <w:rtl/>
        </w:rPr>
        <w:t>.</w:t>
      </w:r>
    </w:p>
    <w:p w14:paraId="0384023E" w14:textId="77777777" w:rsidR="004B71EB" w:rsidRPr="007B74F1" w:rsidRDefault="004B71EB" w:rsidP="004B71EB">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536897D" w14:textId="026FC7B1" w:rsidR="00942887" w:rsidRDefault="00C77C34" w:rsidP="00A40F04">
      <w:pPr>
        <w:rPr>
          <w:rtl/>
        </w:rPr>
      </w:pPr>
      <w:r w:rsidRPr="00C77C34">
        <w:rPr>
          <w:rFonts w:cs="Arial"/>
          <w:rtl/>
        </w:rPr>
        <w:t xml:space="preserve">אם רקם או ארג או עשה </w:t>
      </w:r>
      <w:r w:rsidR="00681C57">
        <w:rPr>
          <w:rFonts w:cs="Arial" w:hint="cs"/>
          <w:rtl/>
        </w:rPr>
        <w:t>ב</w:t>
      </w:r>
      <w:r w:rsidRPr="00C77C34">
        <w:rPr>
          <w:rFonts w:cs="Arial"/>
          <w:rtl/>
        </w:rPr>
        <w:t>מעשה מחט אותיות הגט, י</w:t>
      </w:r>
      <w:r w:rsidR="002D5E7F">
        <w:rPr>
          <w:rFonts w:cs="Arial" w:hint="cs"/>
          <w:rtl/>
        </w:rPr>
        <w:t>ש אומרים</w:t>
      </w:r>
      <w:r w:rsidRPr="00C77C34">
        <w:rPr>
          <w:rFonts w:cs="Arial"/>
          <w:rtl/>
        </w:rPr>
        <w:t xml:space="preserve"> דלאו כתב הוא.</w:t>
      </w:r>
      <w:r w:rsidR="00A40F04" w:rsidRPr="00942887">
        <w:rPr>
          <w:rtl/>
        </w:rPr>
        <w:t xml:space="preserve"> </w:t>
      </w:r>
    </w:p>
    <w:p w14:paraId="0A2BBC92" w14:textId="77777777" w:rsidR="00FA2119" w:rsidRDefault="00FA2119" w:rsidP="00A40F04">
      <w:pPr>
        <w:rPr>
          <w:rtl/>
        </w:rPr>
        <w:sectPr w:rsidR="00FA2119" w:rsidSect="00A347B3">
          <w:headerReference w:type="default" r:id="rId17"/>
          <w:footnotePr>
            <w:numRestart w:val="eachSect"/>
          </w:footnotePr>
          <w:pgSz w:w="11906" w:h="16838"/>
          <w:pgMar w:top="720" w:right="1134" w:bottom="720" w:left="1134" w:header="0" w:footer="0" w:gutter="0"/>
          <w:cols w:space="720"/>
          <w:bidi/>
          <w:rtlGutter/>
          <w:docGrid w:linePitch="360"/>
        </w:sectPr>
      </w:pPr>
    </w:p>
    <w:p w14:paraId="4AEDEA25" w14:textId="77777777" w:rsidR="00FA2119" w:rsidRPr="00351B7D" w:rsidRDefault="00FA2119" w:rsidP="00FA2119">
      <w:pPr>
        <w:pStyle w:val="1"/>
        <w:rPr>
          <w:rFonts w:asciiTheme="minorBidi" w:hAnsiTheme="minorBidi"/>
          <w:color w:val="auto"/>
          <w:rtl/>
        </w:rPr>
      </w:pPr>
      <w:r w:rsidRPr="00351B7D">
        <w:rPr>
          <w:rFonts w:asciiTheme="minorBidi" w:hAnsiTheme="minorBidi"/>
          <w:rtl/>
        </w:rPr>
        <w:lastRenderedPageBreak/>
        <w:t>סימן קכו</w:t>
      </w:r>
      <w:r w:rsidRPr="00351B7D">
        <w:rPr>
          <w:rFonts w:asciiTheme="minorBidi" w:hAnsiTheme="minorBidi"/>
        </w:rPr>
        <w:t>:</w:t>
      </w:r>
      <w:r w:rsidRPr="00351B7D">
        <w:rPr>
          <w:rFonts w:asciiTheme="minorBidi" w:hAnsiTheme="minorBidi"/>
          <w:rtl/>
        </w:rPr>
        <w:t xml:space="preserve"> נוסח לשון הגט ודקדוק אותיותיו, ובו נ' סעיפים. </w:t>
      </w:r>
    </w:p>
    <w:p w14:paraId="243C5902" w14:textId="77777777" w:rsidR="00FA2119" w:rsidRPr="00351B7D" w:rsidRDefault="00FA2119" w:rsidP="00FA2119">
      <w:pPr>
        <w:pStyle w:val="2"/>
        <w:rPr>
          <w:rtl/>
        </w:rPr>
      </w:pPr>
      <w:r w:rsidRPr="00351B7D">
        <w:rPr>
          <w:rtl/>
        </w:rPr>
        <w:t>סעיף א: לשון כתיבת הגט.</w:t>
      </w:r>
    </w:p>
    <w:p w14:paraId="3A2F6F81" w14:textId="77777777" w:rsidR="00FA2119" w:rsidRPr="00351B7D" w:rsidRDefault="00FA2119" w:rsidP="00FA2119">
      <w:pPr>
        <w:rPr>
          <w:rFonts w:asciiTheme="minorBidi" w:hAnsiTheme="minorBidi"/>
          <w:rtl/>
        </w:rPr>
      </w:pPr>
      <w:r w:rsidRPr="00351B7D">
        <w:rPr>
          <w:rFonts w:asciiTheme="minorBidi" w:hAnsiTheme="minorBidi"/>
          <w:b/>
          <w:bCs/>
          <w:rtl/>
        </w:rPr>
        <w:t xml:space="preserve">גיטין </w:t>
      </w:r>
      <w:r>
        <w:rPr>
          <w:rFonts w:asciiTheme="minorBidi" w:hAnsiTheme="minorBidi" w:hint="cs"/>
          <w:b/>
          <w:bCs/>
          <w:sz w:val="16"/>
          <w:szCs w:val="16"/>
          <w:rtl/>
        </w:rPr>
        <w:t xml:space="preserve">(פ' המגרש) </w:t>
      </w:r>
      <w:r w:rsidRPr="00351B7D">
        <w:rPr>
          <w:rFonts w:asciiTheme="minorBidi" w:hAnsiTheme="minorBidi"/>
          <w:b/>
          <w:bCs/>
          <w:rtl/>
        </w:rPr>
        <w:t xml:space="preserve">פז ע"ב: </w:t>
      </w:r>
      <w:r w:rsidRPr="00351B7D">
        <w:rPr>
          <w:rFonts w:asciiTheme="minorBidi" w:hAnsiTheme="minorBidi"/>
          <w:u w:val="double"/>
          <w:rtl/>
        </w:rPr>
        <w:t>מתני':</w:t>
      </w:r>
      <w:r w:rsidRPr="00351B7D">
        <w:rPr>
          <w:rFonts w:asciiTheme="minorBidi" w:hAnsiTheme="minorBidi"/>
          <w:rtl/>
        </w:rPr>
        <w:t xml:space="preserve"> גט שכתבו עברית ועדיו יוונית, יוונית ועדיו עברי'... כשר. </w:t>
      </w:r>
    </w:p>
    <w:p w14:paraId="48D5702B" w14:textId="60F587BE" w:rsidR="00FA2119" w:rsidRPr="00351B7D" w:rsidRDefault="00FA2119" w:rsidP="00FA2119">
      <w:pPr>
        <w:rPr>
          <w:rFonts w:asciiTheme="minorBidi" w:hAnsiTheme="minorBidi"/>
          <w:sz w:val="16"/>
          <w:szCs w:val="16"/>
          <w:rtl/>
        </w:rPr>
      </w:pPr>
      <w:r w:rsidRPr="00351B7D">
        <w:rPr>
          <w:rFonts w:asciiTheme="minorBidi" w:hAnsiTheme="minorBidi"/>
          <w:b/>
          <w:bCs/>
          <w:rtl/>
        </w:rPr>
        <w:t xml:space="preserve">גיטין </w:t>
      </w:r>
      <w:r>
        <w:rPr>
          <w:rFonts w:asciiTheme="minorBidi" w:hAnsiTheme="minorBidi" w:hint="cs"/>
          <w:b/>
          <w:bCs/>
          <w:sz w:val="16"/>
          <w:szCs w:val="16"/>
          <w:rtl/>
        </w:rPr>
        <w:t xml:space="preserve">(פ"ב) </w:t>
      </w:r>
      <w:r w:rsidRPr="00351B7D">
        <w:rPr>
          <w:rFonts w:asciiTheme="minorBidi" w:hAnsiTheme="minorBidi"/>
          <w:b/>
          <w:bCs/>
          <w:rtl/>
        </w:rPr>
        <w:t xml:space="preserve">יט ע"ב: </w:t>
      </w:r>
      <w:r w:rsidRPr="008303FA">
        <w:rPr>
          <w:rFonts w:asciiTheme="minorBidi" w:hAnsiTheme="minorBidi"/>
          <w:u w:val="single"/>
          <w:rtl/>
        </w:rPr>
        <w:t>הכי אמר אמימר</w:t>
      </w:r>
      <w:r w:rsidRPr="00351B7D">
        <w:rPr>
          <w:rFonts w:asciiTheme="minorBidi" w:hAnsiTheme="minorBidi"/>
          <w:rtl/>
        </w:rPr>
        <w:t>: האי שטרא פרסאה דחתימי עליה סהדי ישראל</w:t>
      </w:r>
      <w:r w:rsidRPr="00351B7D">
        <w:rPr>
          <w:rStyle w:val="a7"/>
          <w:rFonts w:asciiTheme="minorBidi" w:hAnsiTheme="minorBidi"/>
          <w:rtl/>
        </w:rPr>
        <w:footnoteReference w:id="644"/>
      </w:r>
      <w:r w:rsidRPr="00351B7D">
        <w:rPr>
          <w:rFonts w:asciiTheme="minorBidi" w:hAnsiTheme="minorBidi"/>
          <w:rtl/>
        </w:rPr>
        <w:t xml:space="preserve">, מגבינן ביה ממשעבדי. והא לא ידעי למיקרי! בדידעי. והא בעינן כתב שאינו יכול להזדייף, וליכא, בדאפיצן. והא בעינן צריך לחזור מענינו של שטר בשיטה אחרונה, וליכא! בדמהדר. ואלא מאי קמ"ל? דכל לשון כשר, תנינא! גט שכתבו עברית ועדיו יונית, יונית ועדיו עברית </w:t>
      </w:r>
      <w:r w:rsidR="00A82951">
        <w:rPr>
          <w:rFonts w:asciiTheme="minorBidi" w:hAnsiTheme="minorBidi"/>
          <w:rtl/>
        </w:rPr>
        <w:t>-</w:t>
      </w:r>
      <w:r w:rsidRPr="00351B7D">
        <w:rPr>
          <w:rFonts w:asciiTheme="minorBidi" w:hAnsiTheme="minorBidi"/>
          <w:rtl/>
        </w:rPr>
        <w:t xml:space="preserve"> כשר! אי מההיא הוה אמינא הני מילי בגיטין, אבל בשאר שטרות לא, קמ"ל.</w:t>
      </w:r>
    </w:p>
    <w:p w14:paraId="3F3D0653" w14:textId="02821B13" w:rsidR="00FA2119" w:rsidRPr="00351B7D" w:rsidRDefault="00FA2119" w:rsidP="00FA2119">
      <w:pPr>
        <w:rPr>
          <w:rFonts w:asciiTheme="minorBidi" w:hAnsiTheme="minorBidi"/>
          <w:rtl/>
        </w:rPr>
      </w:pPr>
      <w:r w:rsidRPr="00351B7D">
        <w:rPr>
          <w:rFonts w:asciiTheme="minorBidi" w:hAnsiTheme="minorBidi"/>
          <w:b/>
          <w:bCs/>
          <w:rtl/>
        </w:rPr>
        <w:t>תוספתא גיטין</w:t>
      </w:r>
      <w:r w:rsidRPr="00351B7D">
        <w:rPr>
          <w:rFonts w:asciiTheme="minorBidi" w:hAnsiTheme="minorBidi"/>
          <w:b/>
          <w:bCs/>
          <w:sz w:val="16"/>
          <w:szCs w:val="16"/>
          <w:rtl/>
        </w:rPr>
        <w:t xml:space="preserve"> </w:t>
      </w:r>
      <w:r w:rsidRPr="00351B7D">
        <w:rPr>
          <w:rFonts w:asciiTheme="minorBidi" w:hAnsiTheme="minorBidi"/>
          <w:b/>
          <w:bCs/>
          <w:rtl/>
        </w:rPr>
        <w:t>פ"ז הי"א:</w:t>
      </w:r>
      <w:r w:rsidRPr="00351B7D">
        <w:rPr>
          <w:rFonts w:asciiTheme="minorBidi" w:hAnsiTheme="minorBidi"/>
          <w:rtl/>
        </w:rPr>
        <w:t xml:space="preserve"> גט שכתבו בחמשה לשונות</w:t>
      </w:r>
      <w:r w:rsidR="004128F1">
        <w:rPr>
          <w:rFonts w:asciiTheme="minorBidi" w:hAnsiTheme="minorBidi" w:hint="cs"/>
          <w:rtl/>
        </w:rPr>
        <w:t>,</w:t>
      </w:r>
      <w:r w:rsidRPr="00351B7D">
        <w:rPr>
          <w:rFonts w:asciiTheme="minorBidi" w:hAnsiTheme="minorBidi"/>
          <w:rtl/>
        </w:rPr>
        <w:t xml:space="preserve"> וחתמו עליו חמשה עדים בחמשה לשונות</w:t>
      </w:r>
      <w:r>
        <w:rPr>
          <w:rFonts w:asciiTheme="minorBidi" w:hAnsiTheme="minorBidi" w:hint="cs"/>
          <w:rtl/>
        </w:rPr>
        <w:t xml:space="preserve"> </w:t>
      </w:r>
      <w:r w:rsidR="004128F1">
        <w:rPr>
          <w:rFonts w:asciiTheme="minorBidi" w:hAnsiTheme="minorBidi" w:hint="cs"/>
          <w:rtl/>
        </w:rPr>
        <w:t xml:space="preserve">- </w:t>
      </w:r>
      <w:r>
        <w:rPr>
          <w:rFonts w:asciiTheme="minorBidi" w:hAnsiTheme="minorBidi" w:hint="cs"/>
          <w:rtl/>
        </w:rPr>
        <w:t>[כשר]</w:t>
      </w:r>
      <w:r w:rsidRPr="00351B7D">
        <w:rPr>
          <w:rFonts w:asciiTheme="minorBidi" w:hAnsiTheme="minorBidi"/>
          <w:rtl/>
        </w:rPr>
        <w:t>.</w:t>
      </w:r>
      <w:r w:rsidRPr="00351B7D">
        <w:rPr>
          <w:rFonts w:asciiTheme="minorBidi" w:hAnsiTheme="minorBidi"/>
          <w:sz w:val="16"/>
          <w:szCs w:val="16"/>
          <w:rtl/>
        </w:rPr>
        <w:t xml:space="preserve"> (</w:t>
      </w:r>
      <w:r>
        <w:rPr>
          <w:rFonts w:asciiTheme="minorBidi" w:hAnsiTheme="minorBidi" w:hint="cs"/>
          <w:sz w:val="16"/>
          <w:szCs w:val="16"/>
          <w:rtl/>
        </w:rPr>
        <w:t xml:space="preserve">כן גרס הרשב"א </w:t>
      </w:r>
      <w:r w:rsidRPr="008303FA">
        <w:rPr>
          <w:rFonts w:asciiTheme="minorBidi" w:hAnsiTheme="minorBidi" w:cs="Arial"/>
          <w:sz w:val="16"/>
          <w:szCs w:val="16"/>
          <w:rtl/>
        </w:rPr>
        <w:t>(סי</w:t>
      </w:r>
      <w:r>
        <w:rPr>
          <w:rFonts w:asciiTheme="minorBidi" w:hAnsiTheme="minorBidi" w:cs="Arial" w:hint="cs"/>
          <w:sz w:val="16"/>
          <w:szCs w:val="16"/>
          <w:rtl/>
        </w:rPr>
        <w:t>'</w:t>
      </w:r>
      <w:r w:rsidRPr="008303FA">
        <w:rPr>
          <w:rFonts w:asciiTheme="minorBidi" w:hAnsiTheme="minorBidi" w:cs="Arial"/>
          <w:sz w:val="16"/>
          <w:szCs w:val="16"/>
          <w:rtl/>
        </w:rPr>
        <w:t xml:space="preserve"> אלף</w:t>
      </w:r>
      <w:r>
        <w:rPr>
          <w:rFonts w:asciiTheme="minorBidi" w:hAnsiTheme="minorBidi" w:cs="Arial" w:hint="cs"/>
          <w:sz w:val="16"/>
          <w:szCs w:val="16"/>
          <w:rtl/>
        </w:rPr>
        <w:t xml:space="preserve"> </w:t>
      </w:r>
      <w:r w:rsidRPr="008303FA">
        <w:rPr>
          <w:rFonts w:asciiTheme="minorBidi" w:hAnsiTheme="minorBidi" w:cs="Arial"/>
          <w:sz w:val="16"/>
          <w:szCs w:val="16"/>
          <w:rtl/>
        </w:rPr>
        <w:t>קצא ואלף רכ</w:t>
      </w:r>
      <w:r>
        <w:rPr>
          <w:rFonts w:asciiTheme="minorBidi" w:hAnsiTheme="minorBidi" w:cs="Arial" w:hint="cs"/>
          <w:sz w:val="16"/>
          <w:szCs w:val="16"/>
          <w:rtl/>
        </w:rPr>
        <w:t>,</w:t>
      </w:r>
      <w:r w:rsidRPr="008303FA">
        <w:rPr>
          <w:rFonts w:asciiTheme="minorBidi" w:hAnsiTheme="minorBidi" w:cs="Arial"/>
          <w:sz w:val="16"/>
          <w:szCs w:val="16"/>
          <w:rtl/>
        </w:rPr>
        <w:t xml:space="preserve"> ותשעט)</w:t>
      </w:r>
      <w:r>
        <w:rPr>
          <w:rFonts w:asciiTheme="minorBidi" w:hAnsiTheme="minorBidi" w:cs="Arial" w:hint="cs"/>
          <w:sz w:val="16"/>
          <w:szCs w:val="16"/>
          <w:rtl/>
        </w:rPr>
        <w:t xml:space="preserve">, ולכן </w:t>
      </w:r>
      <w:r w:rsidRPr="008303FA">
        <w:rPr>
          <w:rFonts w:asciiTheme="minorBidi" w:hAnsiTheme="minorBidi" w:cs="Arial"/>
          <w:sz w:val="16"/>
          <w:szCs w:val="16"/>
          <w:rtl/>
        </w:rPr>
        <w:t xml:space="preserve"> </w:t>
      </w:r>
      <w:r>
        <w:rPr>
          <w:rFonts w:asciiTheme="minorBidi" w:hAnsiTheme="minorBidi" w:cs="Arial" w:hint="cs"/>
          <w:sz w:val="16"/>
          <w:szCs w:val="16"/>
          <w:rtl/>
        </w:rPr>
        <w:t xml:space="preserve">הביא תוספתא זו כהוכחה לדיננו. וכתב עוד הרשב"א </w:t>
      </w:r>
      <w:r w:rsidR="000A0F5A">
        <w:rPr>
          <w:rFonts w:asciiTheme="minorBidi" w:hAnsiTheme="minorBidi" w:cs="Arial" w:hint="cs"/>
          <w:sz w:val="16"/>
          <w:szCs w:val="16"/>
          <w:rtl/>
        </w:rPr>
        <w:t>וז</w:t>
      </w:r>
      <w:r w:rsidR="000A0F5A">
        <w:rPr>
          <w:rFonts w:asciiTheme="minorBidi" w:hAnsiTheme="minorBidi" w:cs="Arial"/>
          <w:sz w:val="16"/>
          <w:szCs w:val="16"/>
          <w:rtl/>
        </w:rPr>
        <w:t>"</w:t>
      </w:r>
      <w:r w:rsidR="000A0F5A">
        <w:rPr>
          <w:rFonts w:asciiTheme="minorBidi" w:hAnsiTheme="minorBidi" w:cs="Arial" w:hint="cs"/>
          <w:sz w:val="16"/>
          <w:szCs w:val="16"/>
          <w:rtl/>
        </w:rPr>
        <w:t>ל:</w:t>
      </w:r>
      <w:r>
        <w:rPr>
          <w:rFonts w:asciiTheme="minorBidi" w:hAnsiTheme="minorBidi" w:cs="Arial" w:hint="cs"/>
          <w:sz w:val="16"/>
          <w:szCs w:val="16"/>
          <w:rtl/>
        </w:rPr>
        <w:t xml:space="preserve"> </w:t>
      </w:r>
      <w:r w:rsidRPr="008303FA">
        <w:rPr>
          <w:rFonts w:asciiTheme="minorBidi" w:hAnsiTheme="minorBidi" w:cs="Arial"/>
          <w:sz w:val="16"/>
          <w:szCs w:val="16"/>
          <w:rtl/>
        </w:rPr>
        <w:t>ואע</w:t>
      </w:r>
      <w:r>
        <w:rPr>
          <w:rFonts w:asciiTheme="minorBidi" w:hAnsiTheme="minorBidi" w:cs="Arial" w:hint="cs"/>
          <w:sz w:val="16"/>
          <w:szCs w:val="16"/>
          <w:rtl/>
        </w:rPr>
        <w:t>"</w:t>
      </w:r>
      <w:r w:rsidRPr="008303FA">
        <w:rPr>
          <w:rFonts w:asciiTheme="minorBidi" w:hAnsiTheme="minorBidi" w:cs="Arial"/>
          <w:sz w:val="16"/>
          <w:szCs w:val="16"/>
          <w:rtl/>
        </w:rPr>
        <w:t>פ שהרמב"ם (הל' גירושין פ"ד ה"ח) והראב"ד גורסים פסול מכל מקום לא פסלוהו אלא בכתוב בחמשה לשונות ועדיו בה' לשונות</w:t>
      </w:r>
      <w:r w:rsidR="004128F1">
        <w:rPr>
          <w:rFonts w:asciiTheme="minorBidi" w:hAnsiTheme="minorBidi" w:cs="Arial" w:hint="cs"/>
          <w:sz w:val="16"/>
          <w:szCs w:val="16"/>
          <w:rtl/>
        </w:rPr>
        <w:t>,</w:t>
      </w:r>
      <w:r w:rsidRPr="008303FA">
        <w:rPr>
          <w:rFonts w:asciiTheme="minorBidi" w:hAnsiTheme="minorBidi" w:cs="Arial"/>
          <w:sz w:val="16"/>
          <w:szCs w:val="16"/>
          <w:rtl/>
        </w:rPr>
        <w:t xml:space="preserve"> הא באחד מהלשונות כשר</w:t>
      </w:r>
      <w:r w:rsidRPr="00351B7D">
        <w:rPr>
          <w:rFonts w:asciiTheme="minorBidi" w:hAnsiTheme="minorBidi"/>
          <w:sz w:val="16"/>
          <w:szCs w:val="16"/>
          <w:rtl/>
        </w:rPr>
        <w:t>)</w:t>
      </w:r>
    </w:p>
    <w:p w14:paraId="23287CCA" w14:textId="661B0B35" w:rsidR="00FA2119" w:rsidRPr="00351B7D" w:rsidRDefault="00FA2119" w:rsidP="00FA2119">
      <w:pPr>
        <w:rPr>
          <w:rFonts w:asciiTheme="minorBidi" w:hAnsiTheme="minorBidi"/>
          <w:u w:val="single"/>
          <w:rtl/>
        </w:rPr>
      </w:pPr>
      <w:r w:rsidRPr="00351B7D">
        <w:rPr>
          <w:rFonts w:asciiTheme="minorBidi" w:hAnsiTheme="minorBidi"/>
          <w:u w:val="single"/>
          <w:rtl/>
        </w:rPr>
        <w:t>באיז</w:t>
      </w:r>
      <w:r w:rsidR="004128F1">
        <w:rPr>
          <w:rFonts w:asciiTheme="minorBidi" w:hAnsiTheme="minorBidi" w:hint="cs"/>
          <w:u w:val="single"/>
          <w:rtl/>
        </w:rPr>
        <w:t>ה</w:t>
      </w:r>
      <w:r w:rsidRPr="00351B7D">
        <w:rPr>
          <w:rFonts w:asciiTheme="minorBidi" w:hAnsiTheme="minorBidi"/>
          <w:u w:val="single"/>
          <w:rtl/>
        </w:rPr>
        <w:t xml:space="preserve"> </w:t>
      </w:r>
      <w:r w:rsidR="004128F1">
        <w:rPr>
          <w:rFonts w:asciiTheme="minorBidi" w:hAnsiTheme="minorBidi" w:hint="cs"/>
          <w:u w:val="single"/>
          <w:rtl/>
        </w:rPr>
        <w:t>כתב ולשון</w:t>
      </w:r>
      <w:r w:rsidRPr="00351B7D">
        <w:rPr>
          <w:rFonts w:asciiTheme="minorBidi" w:hAnsiTheme="minorBidi"/>
          <w:u w:val="single"/>
          <w:rtl/>
        </w:rPr>
        <w:t xml:space="preserve"> יש לכתוב את הגט:</w:t>
      </w:r>
    </w:p>
    <w:p w14:paraId="634814AB" w14:textId="137677A8" w:rsidR="00FA2119" w:rsidRDefault="004128F1" w:rsidP="00FA2119">
      <w:pPr>
        <w:pStyle w:val="ab"/>
        <w:numPr>
          <w:ilvl w:val="0"/>
          <w:numId w:val="1"/>
        </w:numPr>
        <w:rPr>
          <w:rFonts w:asciiTheme="minorBidi" w:hAnsiTheme="minorBidi"/>
        </w:rPr>
      </w:pPr>
      <w:r w:rsidRPr="00351B7D">
        <w:rPr>
          <w:rFonts w:asciiTheme="minorBidi" w:hAnsiTheme="minorBidi"/>
          <w:rtl/>
        </w:rPr>
        <w:t>רשב"א</w:t>
      </w:r>
      <w:r>
        <w:rPr>
          <w:rStyle w:val="a7"/>
          <w:rFonts w:asciiTheme="minorBidi" w:hAnsiTheme="minorBidi"/>
          <w:rtl/>
        </w:rPr>
        <w:footnoteReference w:id="645"/>
      </w:r>
      <w:r w:rsidRPr="00351B7D">
        <w:rPr>
          <w:rFonts w:asciiTheme="minorBidi" w:hAnsiTheme="minorBidi"/>
          <w:rtl/>
        </w:rPr>
        <w:t xml:space="preserve"> </w:t>
      </w:r>
      <w:r w:rsidRPr="00351B7D">
        <w:rPr>
          <w:rFonts w:asciiTheme="minorBidi" w:hAnsiTheme="minorBidi"/>
          <w:sz w:val="16"/>
          <w:szCs w:val="16"/>
          <w:rtl/>
        </w:rPr>
        <w:t>(סי' אלף קצא, ואלף רכ, ותשעט</w:t>
      </w:r>
      <w:r>
        <w:rPr>
          <w:rFonts w:asciiTheme="minorBidi" w:hAnsiTheme="minorBidi" w:hint="cs"/>
          <w:sz w:val="16"/>
          <w:szCs w:val="16"/>
          <w:rtl/>
        </w:rPr>
        <w:t>, ובמיוחסות סי' קכב</w:t>
      </w:r>
      <w:r w:rsidRPr="00351B7D">
        <w:rPr>
          <w:rFonts w:asciiTheme="minorBidi" w:hAnsiTheme="minorBidi"/>
          <w:sz w:val="16"/>
          <w:szCs w:val="16"/>
          <w:rtl/>
        </w:rPr>
        <w:t>)</w:t>
      </w:r>
      <w:r w:rsidRPr="00351B7D">
        <w:rPr>
          <w:rFonts w:asciiTheme="minorBidi" w:hAnsiTheme="minorBidi"/>
          <w:rtl/>
        </w:rPr>
        <w:t xml:space="preserve"> </w:t>
      </w:r>
      <w:r>
        <w:rPr>
          <w:rFonts w:asciiTheme="minorBidi" w:hAnsiTheme="minorBidi" w:hint="cs"/>
          <w:rtl/>
        </w:rPr>
        <w:t>טור</w:t>
      </w:r>
      <w:r w:rsidRPr="004128F1">
        <w:rPr>
          <w:rFonts w:asciiTheme="minorBidi" w:hAnsiTheme="minorBidi"/>
          <w:rtl/>
        </w:rPr>
        <w:t xml:space="preserve"> </w:t>
      </w:r>
      <w:r w:rsidRPr="00351B7D">
        <w:rPr>
          <w:rFonts w:asciiTheme="minorBidi" w:hAnsiTheme="minorBidi"/>
          <w:rtl/>
        </w:rPr>
        <w:t xml:space="preserve">ומהרי"ק </w:t>
      </w:r>
      <w:r w:rsidRPr="00351B7D">
        <w:rPr>
          <w:rFonts w:asciiTheme="minorBidi" w:hAnsiTheme="minorBidi"/>
          <w:sz w:val="16"/>
          <w:szCs w:val="16"/>
          <w:rtl/>
        </w:rPr>
        <w:t>(שורש עא)</w:t>
      </w:r>
      <w:r w:rsidR="00A82951">
        <w:rPr>
          <w:rFonts w:asciiTheme="minorBidi" w:hAnsiTheme="minorBidi" w:hint="cs"/>
          <w:rtl/>
        </w:rPr>
        <w:t>-</w:t>
      </w:r>
      <w:r w:rsidR="00FA2119">
        <w:rPr>
          <w:rFonts w:asciiTheme="minorBidi" w:hAnsiTheme="minorBidi" w:hint="cs"/>
          <w:rtl/>
        </w:rPr>
        <w:t xml:space="preserve"> </w:t>
      </w:r>
      <w:r w:rsidR="00FA2119" w:rsidRPr="002F340E">
        <w:rPr>
          <w:rFonts w:asciiTheme="minorBidi" w:hAnsiTheme="minorBidi" w:cs="Arial"/>
          <w:rtl/>
        </w:rPr>
        <w:t>הגט כשר בכל כתב ובכל לשון שיכתבנו</w:t>
      </w:r>
      <w:r w:rsidR="00FA2119">
        <w:rPr>
          <w:rFonts w:asciiTheme="minorBidi" w:hAnsiTheme="minorBidi" w:cs="Arial" w:hint="cs"/>
          <w:rtl/>
        </w:rPr>
        <w:t>.</w:t>
      </w:r>
      <w:r w:rsidR="00FA2119" w:rsidRPr="002F340E">
        <w:rPr>
          <w:rFonts w:asciiTheme="minorBidi" w:hAnsiTheme="minorBidi" w:cs="Arial"/>
          <w:rtl/>
        </w:rPr>
        <w:t xml:space="preserve"> ויהיה ענינו שמגרשה ופוטרה ממנו ומתירה לכל אדם</w:t>
      </w:r>
      <w:r w:rsidR="00FA2119">
        <w:rPr>
          <w:rFonts w:asciiTheme="minorBidi" w:hAnsiTheme="minorBidi" w:cs="Arial" w:hint="cs"/>
          <w:rtl/>
        </w:rPr>
        <w:t>,</w:t>
      </w:r>
      <w:r w:rsidR="00FA2119" w:rsidRPr="002F340E">
        <w:rPr>
          <w:rFonts w:asciiTheme="minorBidi" w:hAnsiTheme="minorBidi" w:cs="Arial"/>
          <w:rtl/>
        </w:rPr>
        <w:t xml:space="preserve"> כגון הרי את מותרת לכל אדם</w:t>
      </w:r>
      <w:r w:rsidR="00FA2119">
        <w:rPr>
          <w:rFonts w:asciiTheme="minorBidi" w:hAnsiTheme="minorBidi" w:cs="Arial" w:hint="cs"/>
          <w:rtl/>
        </w:rPr>
        <w:t>.</w:t>
      </w:r>
      <w:r w:rsidR="00FA2119" w:rsidRPr="002F340E">
        <w:rPr>
          <w:rFonts w:asciiTheme="minorBidi" w:hAnsiTheme="minorBidi" w:cs="Arial"/>
          <w:rtl/>
        </w:rPr>
        <w:t xml:space="preserve"> ויהיה מבואר שלא יהיה בו לשון המתפרש לב' ענינים עד שאדם יכול לומר לכך נתכוון או לכך</w:t>
      </w:r>
      <w:r w:rsidR="00FA2119">
        <w:rPr>
          <w:rFonts w:asciiTheme="minorBidi" w:hAnsiTheme="minorBidi" w:cs="Arial" w:hint="cs"/>
          <w:rtl/>
        </w:rPr>
        <w:t>,</w:t>
      </w:r>
      <w:r w:rsidR="00FA2119" w:rsidRPr="002F340E">
        <w:rPr>
          <w:rFonts w:asciiTheme="minorBidi" w:hAnsiTheme="minorBidi" w:cs="Arial"/>
          <w:rtl/>
        </w:rPr>
        <w:t xml:space="preserve"> אלא יהיו הדברים שאין בו ספק באותו לשון אלא שמשמעותו אחד שפלוני מגרש אשתו פלוני'</w:t>
      </w:r>
      <w:r w:rsidR="00FA2119">
        <w:rPr>
          <w:rFonts w:asciiTheme="minorBidi" w:hAnsiTheme="minorBidi" w:cs="Arial" w:hint="cs"/>
          <w:rtl/>
        </w:rPr>
        <w:t>...</w:t>
      </w:r>
      <w:r w:rsidR="00FA2119" w:rsidRPr="002F340E">
        <w:rPr>
          <w:rFonts w:asciiTheme="minorBidi" w:hAnsiTheme="minorBidi" w:cs="Arial"/>
          <w:rtl/>
        </w:rPr>
        <w:t xml:space="preserve"> ונהגו בכל המקומות לכתוב בלשון ארמית</w:t>
      </w:r>
      <w:r w:rsidR="00182462">
        <w:rPr>
          <w:rFonts w:asciiTheme="minorBidi" w:hAnsiTheme="minorBidi" w:cs="Arial" w:hint="cs"/>
          <w:sz w:val="16"/>
          <w:szCs w:val="16"/>
          <w:rtl/>
        </w:rPr>
        <w:t xml:space="preserve"> (ל' הטור)</w:t>
      </w:r>
      <w:r w:rsidR="00FA2119">
        <w:rPr>
          <w:rFonts w:asciiTheme="minorBidi" w:hAnsiTheme="minorBidi" w:cs="Arial" w:hint="cs"/>
          <w:rtl/>
        </w:rPr>
        <w:t>.</w:t>
      </w:r>
      <w:r w:rsidR="00FA2119">
        <w:rPr>
          <w:rFonts w:asciiTheme="minorBidi" w:hAnsiTheme="minorBidi" w:hint="cs"/>
          <w:rtl/>
        </w:rPr>
        <w:t xml:space="preserve"> </w:t>
      </w:r>
      <w:r w:rsidR="00FA2119" w:rsidRPr="00D31F4F">
        <w:rPr>
          <w:rFonts w:asciiTheme="minorBidi" w:hAnsiTheme="minorBidi" w:hint="cs"/>
          <w:color w:val="E36C0A" w:themeColor="accent6" w:themeShade="BF"/>
          <w:rtl/>
        </w:rPr>
        <w:t>(וכ"פ בשו"ע)</w:t>
      </w:r>
    </w:p>
    <w:p w14:paraId="5F4DC24E" w14:textId="1527E72B" w:rsidR="00FA2119" w:rsidRPr="00351B7D" w:rsidRDefault="00FA2119" w:rsidP="00FA2119">
      <w:pPr>
        <w:pStyle w:val="ab"/>
        <w:numPr>
          <w:ilvl w:val="0"/>
          <w:numId w:val="1"/>
        </w:numPr>
        <w:rPr>
          <w:rFonts w:asciiTheme="minorBidi" w:hAnsiTheme="minorBidi"/>
          <w:rtl/>
        </w:rPr>
      </w:pPr>
      <w:r w:rsidRPr="00351B7D">
        <w:rPr>
          <w:rFonts w:asciiTheme="minorBidi" w:hAnsiTheme="minorBidi"/>
          <w:rtl/>
        </w:rPr>
        <w:t>או"ז תרוה"ד וכל בו</w:t>
      </w:r>
      <w:r w:rsidRPr="00351B7D">
        <w:rPr>
          <w:rStyle w:val="a7"/>
          <w:rFonts w:asciiTheme="minorBidi" w:hAnsiTheme="minorBidi"/>
          <w:rtl/>
        </w:rPr>
        <w:footnoteReference w:id="646"/>
      </w:r>
      <w:r w:rsidR="00A82951">
        <w:rPr>
          <w:rFonts w:asciiTheme="minorBidi" w:hAnsiTheme="minorBidi"/>
          <w:rtl/>
        </w:rPr>
        <w:t>-</w:t>
      </w:r>
      <w:r w:rsidRPr="00351B7D">
        <w:rPr>
          <w:rFonts w:asciiTheme="minorBidi" w:hAnsiTheme="minorBidi"/>
          <w:rtl/>
        </w:rPr>
        <w:t xml:space="preserve"> כל שאינו אשורי אינה כתיבה תמה ואפילו קוצו של יו"ד מעכב</w:t>
      </w:r>
      <w:r w:rsidRPr="00351B7D">
        <w:rPr>
          <w:rStyle w:val="a7"/>
          <w:rFonts w:asciiTheme="minorBidi" w:hAnsiTheme="minorBidi"/>
          <w:rtl/>
        </w:rPr>
        <w:footnoteReference w:id="647"/>
      </w:r>
      <w:r w:rsidRPr="00351B7D">
        <w:rPr>
          <w:rFonts w:asciiTheme="minorBidi" w:hAnsiTheme="minorBidi"/>
          <w:rtl/>
        </w:rPr>
        <w:t xml:space="preserve">.  </w:t>
      </w:r>
    </w:p>
    <w:p w14:paraId="139B4EAF" w14:textId="0A708A71" w:rsidR="00FA2119" w:rsidRPr="0049546F" w:rsidRDefault="00FA2119" w:rsidP="004128F1">
      <w:pPr>
        <w:pStyle w:val="ab"/>
        <w:numPr>
          <w:ilvl w:val="0"/>
          <w:numId w:val="1"/>
        </w:numPr>
        <w:rPr>
          <w:rFonts w:asciiTheme="minorBidi" w:hAnsiTheme="minorBidi" w:cs="Arial"/>
        </w:rPr>
      </w:pPr>
      <w:r w:rsidRPr="00351B7D">
        <w:rPr>
          <w:rFonts w:asciiTheme="minorBidi" w:hAnsiTheme="minorBidi"/>
          <w:rtl/>
        </w:rPr>
        <w:t xml:space="preserve">רא"ש </w:t>
      </w:r>
      <w:r w:rsidRPr="00351B7D">
        <w:rPr>
          <w:rFonts w:asciiTheme="minorBidi" w:hAnsiTheme="minorBidi"/>
          <w:sz w:val="16"/>
          <w:szCs w:val="16"/>
          <w:rtl/>
        </w:rPr>
        <w:t>(כלל מה סי' יג)</w:t>
      </w:r>
      <w:r w:rsidR="00A82951">
        <w:rPr>
          <w:rFonts w:asciiTheme="minorBidi" w:hAnsiTheme="minorBidi"/>
          <w:rtl/>
        </w:rPr>
        <w:t>-</w:t>
      </w:r>
      <w:r w:rsidRPr="00351B7D">
        <w:rPr>
          <w:rFonts w:asciiTheme="minorBidi" w:hAnsiTheme="minorBidi"/>
          <w:rtl/>
        </w:rPr>
        <w:t xml:space="preserve"> גט שלא נכתב בכתיבה אשורית מרובעת פוסלין בארצנו, אבל במקום עיגון שבא מארץ רחוקה ואין שיירות מצויות להביא אחר לא הייתי פוסלו</w:t>
      </w:r>
      <w:r w:rsidRPr="00351B7D">
        <w:rPr>
          <w:rStyle w:val="a7"/>
          <w:rFonts w:asciiTheme="minorBidi" w:hAnsiTheme="minorBidi"/>
          <w:rtl/>
        </w:rPr>
        <w:footnoteReference w:id="648"/>
      </w:r>
      <w:r w:rsidRPr="00351B7D">
        <w:rPr>
          <w:rFonts w:asciiTheme="minorBidi" w:hAnsiTheme="minorBidi"/>
          <w:rtl/>
        </w:rPr>
        <w:t>.</w:t>
      </w:r>
      <w:r w:rsidRPr="00351B7D">
        <w:rPr>
          <w:rStyle w:val="a7"/>
          <w:rFonts w:asciiTheme="minorBidi" w:hAnsiTheme="minorBidi"/>
          <w:color w:val="00B0F0"/>
          <w:rtl/>
        </w:rPr>
        <w:t xml:space="preserve"> </w:t>
      </w:r>
      <w:r w:rsidRPr="00351B7D">
        <w:rPr>
          <w:rFonts w:asciiTheme="minorBidi" w:hAnsiTheme="minorBidi"/>
          <w:color w:val="00B0F0"/>
          <w:rtl/>
        </w:rPr>
        <w:t>(וכ"פ הרמ"א)</w:t>
      </w:r>
    </w:p>
    <w:p w14:paraId="48264D2A" w14:textId="7E452815" w:rsidR="00FA2119" w:rsidRPr="000702F6" w:rsidRDefault="00FA2119" w:rsidP="00FA2119">
      <w:pPr>
        <w:pStyle w:val="ab"/>
        <w:numPr>
          <w:ilvl w:val="0"/>
          <w:numId w:val="1"/>
        </w:numPr>
        <w:rPr>
          <w:rFonts w:asciiTheme="minorBidi" w:hAnsiTheme="minorBidi"/>
        </w:rPr>
      </w:pPr>
      <w:r w:rsidRPr="000702F6">
        <w:rPr>
          <w:rFonts w:asciiTheme="minorBidi" w:hAnsiTheme="minorBidi" w:cs="Arial"/>
          <w:rtl/>
        </w:rPr>
        <w:t xml:space="preserve">רמב"ם </w:t>
      </w:r>
      <w:r w:rsidRPr="000702F6">
        <w:rPr>
          <w:rFonts w:asciiTheme="minorBidi" w:hAnsiTheme="minorBidi" w:cs="Arial"/>
          <w:sz w:val="16"/>
          <w:szCs w:val="16"/>
          <w:rtl/>
        </w:rPr>
        <w:t>(</w:t>
      </w:r>
      <w:r w:rsidRPr="000702F6">
        <w:rPr>
          <w:rFonts w:asciiTheme="minorBidi" w:hAnsiTheme="minorBidi" w:cs="Arial" w:hint="cs"/>
          <w:sz w:val="16"/>
          <w:szCs w:val="16"/>
          <w:rtl/>
        </w:rPr>
        <w:t xml:space="preserve">פאר הדור </w:t>
      </w:r>
      <w:r w:rsidRPr="000702F6">
        <w:rPr>
          <w:rFonts w:asciiTheme="minorBidi" w:hAnsiTheme="minorBidi" w:cs="Arial"/>
          <w:sz w:val="16"/>
          <w:szCs w:val="16"/>
          <w:rtl/>
        </w:rPr>
        <w:t>סי' ז</w:t>
      </w:r>
      <w:r>
        <w:rPr>
          <w:rFonts w:asciiTheme="minorBidi" w:hAnsiTheme="minorBidi" w:cs="Arial" w:hint="cs"/>
          <w:sz w:val="16"/>
          <w:szCs w:val="16"/>
          <w:rtl/>
        </w:rPr>
        <w:t xml:space="preserve"> [על מי שרקם על טליתו פרשת ויאמר], הביאו רי"ו [</w:t>
      </w:r>
      <w:r w:rsidRPr="00EE47F0">
        <w:rPr>
          <w:rFonts w:asciiTheme="minorBidi" w:hAnsiTheme="minorBidi" w:cs="Arial"/>
          <w:sz w:val="16"/>
          <w:szCs w:val="16"/>
          <w:rtl/>
        </w:rPr>
        <w:t>נתיב השני ח"א יט ע"ב</w:t>
      </w:r>
      <w:r>
        <w:rPr>
          <w:rFonts w:asciiTheme="minorBidi" w:hAnsiTheme="minorBidi" w:cs="Arial" w:hint="cs"/>
          <w:sz w:val="16"/>
          <w:szCs w:val="16"/>
          <w:rtl/>
        </w:rPr>
        <w:t>]</w:t>
      </w:r>
      <w:r w:rsidRPr="000702F6">
        <w:rPr>
          <w:rFonts w:asciiTheme="minorBidi" w:hAnsiTheme="minorBidi" w:cs="Arial"/>
          <w:sz w:val="16"/>
          <w:szCs w:val="16"/>
          <w:rtl/>
        </w:rPr>
        <w:t>)</w:t>
      </w:r>
      <w:r w:rsidR="00A82951">
        <w:rPr>
          <w:rFonts w:asciiTheme="minorBidi" w:hAnsiTheme="minorBidi" w:cs="Arial" w:hint="cs"/>
          <w:rtl/>
        </w:rPr>
        <w:t>-</w:t>
      </w:r>
      <w:r w:rsidRPr="000702F6">
        <w:rPr>
          <w:rFonts w:asciiTheme="minorBidi" w:hAnsiTheme="minorBidi" w:cs="Arial"/>
          <w:rtl/>
        </w:rPr>
        <w:t xml:space="preserve"> </w:t>
      </w:r>
      <w:r w:rsidRPr="000702F6">
        <w:rPr>
          <w:rFonts w:asciiTheme="minorBidi" w:hAnsiTheme="minorBidi" w:cs="Arial" w:hint="cs"/>
          <w:rtl/>
        </w:rPr>
        <w:t>ומן הראוי לך שתדע כי הכתיבה הזאת הנקראת כתיבה אשורית, כיון שנתנה בה התורה ובה נכתבו לוחות הברית הרי מגונה להשתמש בה, רק בכתבי הקדש, ומימי קדם היו ישראל נזהרים בזאת</w:t>
      </w:r>
      <w:r w:rsidR="00182462">
        <w:rPr>
          <w:rFonts w:asciiTheme="minorBidi" w:hAnsiTheme="minorBidi" w:cs="Arial" w:hint="cs"/>
          <w:rtl/>
        </w:rPr>
        <w:t xml:space="preserve"> </w:t>
      </w:r>
      <w:r w:rsidRPr="000702F6">
        <w:rPr>
          <w:rFonts w:asciiTheme="minorBidi" w:hAnsiTheme="minorBidi" w:cs="Arial" w:hint="cs"/>
          <w:rtl/>
        </w:rPr>
        <w:t>וחיבורי חכמותיהם וכתבי חול שלהם בכתב עברי... ועל כן שנו הספרדים כתיבתם ושמו אותותם אותות אחרות עד שנעשה ככתב אחר להתיר להשתמש בו בדברי חול. ורבי' יוסף הלוי ז"ל מנע לכתב את הגט בכתיבה ההיא התלויה כדי שלא יהיה מ</w:t>
      </w:r>
      <w:r>
        <w:rPr>
          <w:rFonts w:asciiTheme="minorBidi" w:hAnsiTheme="minorBidi" w:cs="Arial" w:hint="cs"/>
          <w:rtl/>
        </w:rPr>
        <w:t xml:space="preserve">שמע </w:t>
      </w:r>
      <w:r w:rsidRPr="000702F6">
        <w:rPr>
          <w:rFonts w:asciiTheme="minorBidi" w:hAnsiTheme="minorBidi" w:cs="Arial" w:hint="cs"/>
          <w:rtl/>
        </w:rPr>
        <w:t xml:space="preserve">תרי לישני </w:t>
      </w:r>
      <w:r>
        <w:rPr>
          <w:rFonts w:asciiTheme="minorBidi" w:hAnsiTheme="minorBidi" w:cs="Arial" w:hint="cs"/>
          <w:rtl/>
        </w:rPr>
        <w:t xml:space="preserve">בגיטא. </w:t>
      </w:r>
      <w:r w:rsidRPr="000702F6">
        <w:rPr>
          <w:rFonts w:asciiTheme="minorBidi" w:hAnsiTheme="minorBidi" w:cs="Arial"/>
          <w:rtl/>
        </w:rPr>
        <w:t xml:space="preserve">וחזרו הסופרים לכתוב הגט </w:t>
      </w:r>
      <w:r>
        <w:rPr>
          <w:rFonts w:asciiTheme="minorBidi" w:hAnsiTheme="minorBidi" w:cs="Arial" w:hint="cs"/>
          <w:rtl/>
        </w:rPr>
        <w:t>כתיבה תמה מיושבת בכתב אשורי כספר תורה</w:t>
      </w:r>
      <w:r w:rsidR="00182462">
        <w:rPr>
          <w:rFonts w:asciiTheme="minorBidi" w:hAnsiTheme="minorBidi" w:cs="Arial" w:hint="cs"/>
          <w:rtl/>
        </w:rPr>
        <w:t>,</w:t>
      </w:r>
      <w:r>
        <w:rPr>
          <w:rFonts w:asciiTheme="minorBidi" w:hAnsiTheme="minorBidi" w:cs="Arial" w:hint="cs"/>
          <w:rtl/>
        </w:rPr>
        <w:t xml:space="preserve"> </w:t>
      </w:r>
      <w:r w:rsidRPr="000702F6">
        <w:rPr>
          <w:rFonts w:asciiTheme="minorBidi" w:hAnsiTheme="minorBidi" w:cs="Arial"/>
          <w:rtl/>
        </w:rPr>
        <w:t xml:space="preserve">וגם זה עכב על ידם </w:t>
      </w:r>
      <w:r>
        <w:rPr>
          <w:rFonts w:asciiTheme="minorBidi" w:hAnsiTheme="minorBidi" w:cs="Arial" w:hint="cs"/>
          <w:rtl/>
        </w:rPr>
        <w:t>ואמר להם ואיך נשתמש בזה מכתב אלהים ויבא לזלזול</w:t>
      </w:r>
      <w:r w:rsidR="00182462">
        <w:rPr>
          <w:rFonts w:asciiTheme="minorBidi" w:hAnsiTheme="minorBidi" w:cs="Arial" w:hint="cs"/>
          <w:rtl/>
        </w:rPr>
        <w:t>,</w:t>
      </w:r>
      <w:r>
        <w:rPr>
          <w:rFonts w:asciiTheme="minorBidi" w:hAnsiTheme="minorBidi" w:cs="Arial" w:hint="cs"/>
          <w:rtl/>
        </w:rPr>
        <w:t xml:space="preserve"> אבל נכתב בכתיבה אחרת </w:t>
      </w:r>
      <w:r w:rsidRPr="000702F6">
        <w:rPr>
          <w:rFonts w:asciiTheme="minorBidi" w:hAnsiTheme="minorBidi" w:cs="Arial"/>
          <w:rtl/>
        </w:rPr>
        <w:t>הנקרא</w:t>
      </w:r>
      <w:r>
        <w:rPr>
          <w:rFonts w:asciiTheme="minorBidi" w:hAnsiTheme="minorBidi" w:cs="Arial" w:hint="cs"/>
          <w:rtl/>
        </w:rPr>
        <w:t>ת</w:t>
      </w:r>
      <w:r w:rsidRPr="000702F6">
        <w:rPr>
          <w:rFonts w:asciiTheme="minorBidi" w:hAnsiTheme="minorBidi" w:cs="Arial"/>
          <w:rtl/>
        </w:rPr>
        <w:t xml:space="preserve"> בערבי מדבד"ב</w:t>
      </w:r>
      <w:r>
        <w:rPr>
          <w:rFonts w:asciiTheme="minorBidi" w:hAnsiTheme="minorBidi" w:cs="Arial" w:hint="cs"/>
          <w:rtl/>
        </w:rPr>
        <w:t>, וכל אשר יעשה כזה הוא בכלל כבוד התורה</w:t>
      </w:r>
      <w:r w:rsidRPr="000702F6">
        <w:rPr>
          <w:rFonts w:asciiTheme="minorBidi" w:hAnsiTheme="minorBidi" w:cs="Arial" w:hint="cs"/>
          <w:rtl/>
        </w:rPr>
        <w:t>.</w:t>
      </w:r>
    </w:p>
    <w:p w14:paraId="006B29F1" w14:textId="77777777" w:rsidR="00FA2119" w:rsidRPr="00351B7D" w:rsidRDefault="00FA2119" w:rsidP="00FA2119">
      <w:pPr>
        <w:rPr>
          <w:rFonts w:asciiTheme="minorBidi" w:hAnsiTheme="minorBidi"/>
          <w:u w:val="single"/>
          <w:rtl/>
        </w:rPr>
      </w:pPr>
      <w:r w:rsidRPr="00351B7D">
        <w:rPr>
          <w:rFonts w:asciiTheme="minorBidi" w:hAnsiTheme="minorBidi"/>
          <w:u w:val="single"/>
          <w:rtl/>
        </w:rPr>
        <w:t xml:space="preserve">גט הכתוב בכתב פרובינצא"ל </w:t>
      </w:r>
      <w:r w:rsidRPr="00351B7D">
        <w:rPr>
          <w:rFonts w:asciiTheme="minorBidi" w:hAnsiTheme="minorBidi"/>
          <w:sz w:val="16"/>
          <w:szCs w:val="16"/>
          <w:u w:val="single"/>
          <w:rtl/>
        </w:rPr>
        <w:t>(כתב רש"י)</w:t>
      </w:r>
      <w:r w:rsidRPr="00351B7D">
        <w:rPr>
          <w:rFonts w:asciiTheme="minorBidi" w:hAnsiTheme="minorBidi"/>
          <w:u w:val="single"/>
          <w:rtl/>
        </w:rPr>
        <w:t>:</w:t>
      </w:r>
    </w:p>
    <w:p w14:paraId="2A34A252" w14:textId="0B9A3FB2" w:rsidR="00FA2119" w:rsidRPr="005F162F" w:rsidRDefault="00FA2119" w:rsidP="00FA2119">
      <w:pPr>
        <w:pStyle w:val="ab"/>
        <w:numPr>
          <w:ilvl w:val="0"/>
          <w:numId w:val="2"/>
        </w:numPr>
        <w:rPr>
          <w:rFonts w:asciiTheme="minorBidi" w:hAnsiTheme="minorBidi"/>
        </w:rPr>
      </w:pPr>
      <w:r w:rsidRPr="00351B7D">
        <w:rPr>
          <w:rFonts w:asciiTheme="minorBidi" w:hAnsiTheme="minorBidi"/>
          <w:rtl/>
        </w:rPr>
        <w:t>ב"י</w:t>
      </w:r>
      <w:r w:rsidR="00A82951">
        <w:rPr>
          <w:rFonts w:asciiTheme="minorBidi" w:hAnsiTheme="minorBidi"/>
          <w:rtl/>
        </w:rPr>
        <w:t>-</w:t>
      </w:r>
      <w:r w:rsidRPr="00351B7D">
        <w:rPr>
          <w:rFonts w:asciiTheme="minorBidi" w:hAnsiTheme="minorBidi"/>
          <w:rtl/>
        </w:rPr>
        <w:t xml:space="preserve"> </w:t>
      </w:r>
      <w:r w:rsidRPr="005F162F">
        <w:rPr>
          <w:rFonts w:asciiTheme="minorBidi" w:hAnsiTheme="minorBidi" w:cs="Arial"/>
          <w:rtl/>
        </w:rPr>
        <w:t>ושמעתי שיש מגמגמים על גט הכתוב בכתב פרובינצא"ל משום דלא מיקרי כתב</w:t>
      </w:r>
      <w:r w:rsidRPr="005F162F">
        <w:rPr>
          <w:rFonts w:asciiTheme="minorBidi" w:hAnsiTheme="minorBidi" w:cs="Arial" w:hint="cs"/>
          <w:rtl/>
        </w:rPr>
        <w:t>,</w:t>
      </w:r>
      <w:r w:rsidRPr="005F162F">
        <w:rPr>
          <w:rFonts w:asciiTheme="minorBidi" w:hAnsiTheme="minorBidi" w:cs="Arial"/>
          <w:rtl/>
        </w:rPr>
        <w:t xml:space="preserve"> ואף המתירים לכתוב בכתב שאינו אשורי לא התירו אלא בכתב משקיי"ט שהוא הנקרא אצל הספרדים משק"י שהוא דומה לכתב אשורי</w:t>
      </w:r>
      <w:r w:rsidRPr="005F162F">
        <w:rPr>
          <w:rFonts w:asciiTheme="minorBidi" w:hAnsiTheme="minorBidi" w:cs="Arial" w:hint="cs"/>
          <w:rtl/>
        </w:rPr>
        <w:t>,</w:t>
      </w:r>
      <w:r w:rsidRPr="005F162F">
        <w:rPr>
          <w:rFonts w:asciiTheme="minorBidi" w:hAnsiTheme="minorBidi" w:cs="Arial"/>
          <w:rtl/>
        </w:rPr>
        <w:t xml:space="preserve"> אבל כתב פרובינצא"ל דלא דמי לכתב אשורי והוא עצמו אינו קרוי כתב אלא שבדו ההדיוטות מלבם לכולי עלמא אין כותבין הגט בו ואם כתבו הגט פסול. ואינו מחוור בעיני</w:t>
      </w:r>
      <w:r w:rsidRPr="005F162F">
        <w:rPr>
          <w:rFonts w:asciiTheme="minorBidi" w:hAnsiTheme="minorBidi" w:cs="Arial" w:hint="cs"/>
          <w:rtl/>
        </w:rPr>
        <w:t>,</w:t>
      </w:r>
      <w:r w:rsidRPr="005F162F">
        <w:rPr>
          <w:rFonts w:asciiTheme="minorBidi" w:hAnsiTheme="minorBidi" w:cs="Arial"/>
          <w:rtl/>
        </w:rPr>
        <w:t xml:space="preserve"> דהא כיון שנהגו לכתוב בכתב </w:t>
      </w:r>
      <w:r w:rsidRPr="005F162F">
        <w:rPr>
          <w:rFonts w:asciiTheme="minorBidi" w:hAnsiTheme="minorBidi" w:cs="Arial"/>
          <w:rtl/>
        </w:rPr>
        <w:lastRenderedPageBreak/>
        <w:t>פרובינצא"ל כתבים ושטרות וספרים ודאי לא גרע מכתב הגוים שגם הם כתבים הסכמיים</w:t>
      </w:r>
      <w:r>
        <w:rPr>
          <w:rStyle w:val="a7"/>
          <w:rFonts w:asciiTheme="minorBidi" w:hAnsiTheme="minorBidi" w:cs="Arial"/>
          <w:rtl/>
        </w:rPr>
        <w:footnoteReference w:id="649"/>
      </w:r>
      <w:r w:rsidRPr="005F162F">
        <w:rPr>
          <w:rFonts w:asciiTheme="minorBidi" w:hAnsiTheme="minorBidi" w:cs="Arial" w:hint="cs"/>
          <w:rtl/>
        </w:rPr>
        <w:t xml:space="preserve">... </w:t>
      </w:r>
      <w:r w:rsidRPr="005F162F">
        <w:rPr>
          <w:rFonts w:asciiTheme="minorBidi" w:hAnsiTheme="minorBidi" w:cs="Arial"/>
          <w:rtl/>
        </w:rPr>
        <w:t>ומפי מהר"י ן' שושא"ן שמעתי דברי המגמגמים האלה ושהוא נחלק עליהם והורה דלכתחלה כותבין גט בכתב פרובינצא"ל ושעשה מעשה כן. ונראה לי שהפריז על מדותיו לכתוב כן לכתחלה דמיחש מיהא בעי לדברי הרא"ש ואור זרוע והכל בו שלא לכתוב גט לכתחלה אלא בכתיבה אשורית מרובעת</w:t>
      </w:r>
      <w:r w:rsidRPr="005F162F">
        <w:rPr>
          <w:rFonts w:asciiTheme="minorBidi" w:hAnsiTheme="minorBidi" w:hint="cs"/>
          <w:rtl/>
        </w:rPr>
        <w:t>.</w:t>
      </w:r>
    </w:p>
    <w:p w14:paraId="4043FE3B" w14:textId="63D9BCB1" w:rsidR="00FA2119" w:rsidRPr="00F4085B" w:rsidRDefault="00FA2119" w:rsidP="00FA2119">
      <w:pPr>
        <w:rPr>
          <w:rFonts w:asciiTheme="minorBidi" w:hAnsiTheme="minorBidi"/>
          <w:u w:val="single"/>
          <w:rtl/>
        </w:rPr>
      </w:pPr>
      <w:r w:rsidRPr="00F4085B">
        <w:rPr>
          <w:rFonts w:asciiTheme="minorBidi" w:hAnsiTheme="minorBidi"/>
          <w:u w:val="single"/>
          <w:rtl/>
        </w:rPr>
        <w:t>גט ש</w:t>
      </w:r>
      <w:r w:rsidR="00182462">
        <w:rPr>
          <w:rFonts w:asciiTheme="minorBidi" w:hAnsiTheme="minorBidi" w:hint="cs"/>
          <w:u w:val="single"/>
          <w:rtl/>
        </w:rPr>
        <w:t>נכתב ב</w:t>
      </w:r>
      <w:r>
        <w:rPr>
          <w:rFonts w:asciiTheme="minorBidi" w:hAnsiTheme="minorBidi" w:hint="cs"/>
          <w:u w:val="single"/>
          <w:rtl/>
        </w:rPr>
        <w:t>שתי לשונות</w:t>
      </w:r>
      <w:r w:rsidRPr="00F4085B">
        <w:rPr>
          <w:rFonts w:asciiTheme="minorBidi" w:hAnsiTheme="minorBidi"/>
          <w:u w:val="single"/>
          <w:rtl/>
        </w:rPr>
        <w:t>:</w:t>
      </w:r>
    </w:p>
    <w:p w14:paraId="0B7CE5A1" w14:textId="3B4C6825" w:rsidR="00FA2119" w:rsidRPr="00351B7D" w:rsidRDefault="00FA2119" w:rsidP="00FA2119">
      <w:pPr>
        <w:pStyle w:val="ab"/>
        <w:numPr>
          <w:ilvl w:val="0"/>
          <w:numId w:val="5"/>
        </w:numPr>
        <w:rPr>
          <w:rFonts w:asciiTheme="minorBidi" w:hAnsiTheme="minorBidi"/>
        </w:rPr>
      </w:pPr>
      <w:r w:rsidRPr="00351B7D">
        <w:rPr>
          <w:rFonts w:asciiTheme="minorBidi" w:hAnsiTheme="minorBidi"/>
          <w:rtl/>
        </w:rPr>
        <w:t xml:space="preserve">רמב"ם </w:t>
      </w:r>
      <w:r w:rsidRPr="00351B7D">
        <w:rPr>
          <w:rFonts w:asciiTheme="minorBidi" w:hAnsiTheme="minorBidi"/>
          <w:sz w:val="16"/>
          <w:szCs w:val="16"/>
          <w:rtl/>
        </w:rPr>
        <w:t>(פ"ד ה"ח)</w:t>
      </w:r>
      <w:r w:rsidRPr="00351B7D">
        <w:rPr>
          <w:rFonts w:asciiTheme="minorBidi" w:hAnsiTheme="minorBidi"/>
          <w:rtl/>
        </w:rPr>
        <w:t xml:space="preserve"> וטור </w:t>
      </w:r>
      <w:r w:rsidRPr="00351B7D">
        <w:rPr>
          <w:rFonts w:asciiTheme="minorBidi" w:hAnsiTheme="minorBidi"/>
          <w:sz w:val="16"/>
          <w:szCs w:val="16"/>
          <w:rtl/>
        </w:rPr>
        <w:t>(סי' קל)</w:t>
      </w:r>
      <w:r w:rsidR="00A82951">
        <w:rPr>
          <w:rFonts w:asciiTheme="minorBidi" w:hAnsiTheme="minorBidi"/>
          <w:rtl/>
        </w:rPr>
        <w:t>-</w:t>
      </w:r>
      <w:r w:rsidRPr="00351B7D">
        <w:rPr>
          <w:rFonts w:asciiTheme="minorBidi" w:hAnsiTheme="minorBidi"/>
          <w:rtl/>
        </w:rPr>
        <w:t xml:space="preserve"> </w:t>
      </w:r>
      <w:r w:rsidRPr="002A22BF">
        <w:rPr>
          <w:rFonts w:asciiTheme="minorBidi" w:hAnsiTheme="minorBidi" w:cs="Arial"/>
          <w:rtl/>
        </w:rPr>
        <w:t>אם היה מקצת הגט כתוב בלשון ומקצתו בלשון אחרת</w:t>
      </w:r>
      <w:r w:rsidR="00182462">
        <w:rPr>
          <w:rFonts w:asciiTheme="minorBidi" w:hAnsiTheme="minorBidi" w:cs="Arial" w:hint="cs"/>
          <w:rtl/>
        </w:rPr>
        <w:t xml:space="preserve"> -</w:t>
      </w:r>
      <w:r w:rsidRPr="002A22BF">
        <w:rPr>
          <w:rFonts w:asciiTheme="minorBidi" w:hAnsiTheme="minorBidi" w:cs="Arial"/>
          <w:rtl/>
        </w:rPr>
        <w:t xml:space="preserve"> פסול</w:t>
      </w:r>
      <w:r>
        <w:rPr>
          <w:rFonts w:asciiTheme="minorBidi" w:hAnsiTheme="minorBidi" w:cs="Arial" w:hint="cs"/>
          <w:sz w:val="16"/>
          <w:szCs w:val="16"/>
          <w:rtl/>
        </w:rPr>
        <w:t xml:space="preserve"> (ל' הרמב"ם)</w:t>
      </w:r>
      <w:r w:rsidRPr="00351B7D">
        <w:rPr>
          <w:rStyle w:val="a7"/>
          <w:rFonts w:asciiTheme="minorBidi" w:hAnsiTheme="minorBidi"/>
          <w:rtl/>
        </w:rPr>
        <w:footnoteReference w:id="650"/>
      </w:r>
      <w:r w:rsidRPr="00351B7D">
        <w:rPr>
          <w:rFonts w:asciiTheme="minorBidi" w:hAnsiTheme="minorBidi"/>
          <w:rtl/>
        </w:rPr>
        <w:t>.</w:t>
      </w:r>
      <w:r w:rsidRPr="00351B7D">
        <w:rPr>
          <w:rFonts w:asciiTheme="minorBidi" w:hAnsiTheme="minorBidi"/>
          <w:color w:val="E36C0A" w:themeColor="accent6" w:themeShade="BF"/>
          <w:rtl/>
        </w:rPr>
        <w:t xml:space="preserve"> (וכ"פ בשו"ע)</w:t>
      </w:r>
    </w:p>
    <w:p w14:paraId="51821885" w14:textId="74C99240" w:rsidR="00FA2119" w:rsidRPr="00351B7D" w:rsidRDefault="00FA2119" w:rsidP="00FA2119">
      <w:pPr>
        <w:pStyle w:val="ab"/>
        <w:numPr>
          <w:ilvl w:val="0"/>
          <w:numId w:val="5"/>
        </w:numPr>
        <w:rPr>
          <w:rFonts w:asciiTheme="minorBidi" w:hAnsiTheme="minorBidi"/>
        </w:rPr>
      </w:pPr>
      <w:r w:rsidRPr="00351B7D">
        <w:rPr>
          <w:rFonts w:asciiTheme="minorBidi" w:hAnsiTheme="minorBidi"/>
          <w:rtl/>
        </w:rPr>
        <w:t>ראב"ד</w:t>
      </w:r>
      <w:r w:rsidRPr="00351B7D">
        <w:rPr>
          <w:rStyle w:val="a7"/>
          <w:rFonts w:asciiTheme="minorBidi" w:hAnsiTheme="minorBidi"/>
          <w:rtl/>
        </w:rPr>
        <w:footnoteReference w:id="651"/>
      </w:r>
      <w:r>
        <w:rPr>
          <w:rFonts w:asciiTheme="minorBidi" w:hAnsiTheme="minorBidi" w:hint="cs"/>
          <w:sz w:val="16"/>
          <w:szCs w:val="16"/>
          <w:rtl/>
        </w:rPr>
        <w:t xml:space="preserve"> (שם בהשגות)</w:t>
      </w:r>
      <w:r w:rsidR="00A82951">
        <w:rPr>
          <w:rFonts w:asciiTheme="minorBidi" w:hAnsiTheme="minorBidi"/>
          <w:rtl/>
        </w:rPr>
        <w:t>-</w:t>
      </w:r>
      <w:r w:rsidRPr="00351B7D">
        <w:rPr>
          <w:rFonts w:asciiTheme="minorBidi" w:hAnsiTheme="minorBidi"/>
          <w:rtl/>
        </w:rPr>
        <w:t xml:space="preserve"> אפשר שכשר. </w:t>
      </w:r>
    </w:p>
    <w:p w14:paraId="06F387A7" w14:textId="3C636121" w:rsidR="00FA2119" w:rsidRPr="00351B7D" w:rsidRDefault="00FA2119" w:rsidP="00FA2119">
      <w:pPr>
        <w:pStyle w:val="ab"/>
        <w:numPr>
          <w:ilvl w:val="0"/>
          <w:numId w:val="5"/>
        </w:numPr>
        <w:rPr>
          <w:rFonts w:asciiTheme="minorBidi" w:hAnsiTheme="minorBidi"/>
        </w:rPr>
      </w:pPr>
      <w:r w:rsidRPr="00351B7D">
        <w:rPr>
          <w:rFonts w:asciiTheme="minorBidi" w:hAnsiTheme="minorBidi"/>
          <w:rtl/>
        </w:rPr>
        <w:t xml:space="preserve">רשב"א </w:t>
      </w:r>
      <w:r w:rsidRPr="00351B7D">
        <w:rPr>
          <w:rFonts w:asciiTheme="minorBidi" w:hAnsiTheme="minorBidi"/>
          <w:sz w:val="16"/>
          <w:szCs w:val="16"/>
          <w:rtl/>
        </w:rPr>
        <w:t>(סי' אלף קצא, ואלף רכ, ותשעט</w:t>
      </w:r>
      <w:r>
        <w:rPr>
          <w:rFonts w:asciiTheme="minorBidi" w:hAnsiTheme="minorBidi" w:hint="cs"/>
          <w:sz w:val="16"/>
          <w:szCs w:val="16"/>
          <w:rtl/>
        </w:rPr>
        <w:t>, ובמיוחסות סי' קכב</w:t>
      </w:r>
      <w:r w:rsidRPr="00351B7D">
        <w:rPr>
          <w:rFonts w:asciiTheme="minorBidi" w:hAnsiTheme="minorBidi"/>
          <w:sz w:val="16"/>
          <w:szCs w:val="16"/>
          <w:rtl/>
        </w:rPr>
        <w:t>)</w:t>
      </w:r>
      <w:r w:rsidR="00A82951">
        <w:rPr>
          <w:rFonts w:asciiTheme="minorBidi" w:hAnsiTheme="minorBidi"/>
          <w:rtl/>
        </w:rPr>
        <w:t>-</w:t>
      </w:r>
      <w:r w:rsidRPr="00351B7D">
        <w:rPr>
          <w:rFonts w:asciiTheme="minorBidi" w:hAnsiTheme="minorBidi"/>
          <w:rtl/>
        </w:rPr>
        <w:t xml:space="preserve"> כשר.</w:t>
      </w:r>
    </w:p>
    <w:p w14:paraId="47A7C345" w14:textId="55EEC8A4" w:rsidR="00FA2119" w:rsidRPr="00351B7D" w:rsidRDefault="00FA2119" w:rsidP="00FA2119">
      <w:pPr>
        <w:rPr>
          <w:rFonts w:asciiTheme="minorBidi" w:hAnsiTheme="minorBidi"/>
          <w:rtl/>
        </w:rPr>
      </w:pPr>
      <w:r w:rsidRPr="00351B7D">
        <w:rPr>
          <w:rFonts w:asciiTheme="minorBidi" w:hAnsiTheme="minorBidi"/>
          <w:b/>
          <w:bCs/>
          <w:rtl/>
        </w:rPr>
        <w:t xml:space="preserve">גיטין </w:t>
      </w:r>
      <w:r>
        <w:rPr>
          <w:rFonts w:asciiTheme="minorBidi" w:hAnsiTheme="minorBidi" w:hint="cs"/>
          <w:b/>
          <w:bCs/>
          <w:sz w:val="16"/>
          <w:szCs w:val="16"/>
          <w:rtl/>
        </w:rPr>
        <w:t xml:space="preserve">(פ' המגרש) </w:t>
      </w:r>
      <w:r w:rsidRPr="00351B7D">
        <w:rPr>
          <w:rFonts w:asciiTheme="minorBidi" w:hAnsiTheme="minorBidi"/>
          <w:b/>
          <w:bCs/>
          <w:rtl/>
        </w:rPr>
        <w:t xml:space="preserve">פה ע"א: </w:t>
      </w:r>
      <w:r w:rsidRPr="00351B7D">
        <w:rPr>
          <w:rFonts w:asciiTheme="minorBidi" w:hAnsiTheme="minorBidi"/>
          <w:u w:val="double"/>
          <w:rtl/>
        </w:rPr>
        <w:t>מתני':</w:t>
      </w:r>
      <w:r w:rsidRPr="00351B7D">
        <w:rPr>
          <w:rFonts w:asciiTheme="minorBidi" w:hAnsiTheme="minorBidi"/>
          <w:rtl/>
        </w:rPr>
        <w:t xml:space="preserve"> גופו של גט: הרי את מותרת לכל אדם</w:t>
      </w:r>
      <w:r>
        <w:rPr>
          <w:rFonts w:asciiTheme="minorBidi" w:hAnsiTheme="minorBidi" w:hint="cs"/>
          <w:rtl/>
        </w:rPr>
        <w:t>.</w:t>
      </w:r>
      <w:r w:rsidR="008D53E4">
        <w:rPr>
          <w:rFonts w:asciiTheme="minorBidi" w:hAnsiTheme="minorBidi" w:hint="cs"/>
          <w:sz w:val="14"/>
          <w:szCs w:val="14"/>
          <w:rtl/>
        </w:rPr>
        <w:t xml:space="preserve"> (פה:)</w:t>
      </w:r>
      <w:r w:rsidRPr="00351B7D">
        <w:rPr>
          <w:rFonts w:asciiTheme="minorBidi" w:hAnsiTheme="minorBidi"/>
          <w:rtl/>
        </w:rPr>
        <w:t xml:space="preserve"> </w:t>
      </w:r>
      <w:r w:rsidRPr="00351B7D">
        <w:rPr>
          <w:rFonts w:asciiTheme="minorBidi" w:hAnsiTheme="minorBidi"/>
          <w:u w:val="single"/>
          <w:rtl/>
        </w:rPr>
        <w:t>רבי יהודה אומר:</w:t>
      </w:r>
      <w:r w:rsidRPr="00351B7D">
        <w:rPr>
          <w:rFonts w:asciiTheme="minorBidi" w:hAnsiTheme="minorBidi"/>
          <w:rtl/>
        </w:rPr>
        <w:t xml:space="preserve"> ודן דיהוי ליכי מינאי ספר תירוכין ואגרת שבוקין וגט פטורין למהך להתנסבא לכל גבר דיתצביין...    </w:t>
      </w:r>
      <w:r w:rsidRPr="00351B7D">
        <w:rPr>
          <w:rFonts w:asciiTheme="minorBidi" w:hAnsiTheme="minorBidi"/>
          <w:u w:val="double"/>
          <w:rtl/>
        </w:rPr>
        <w:t>גמ':</w:t>
      </w:r>
      <w:r w:rsidRPr="00351B7D">
        <w:rPr>
          <w:rFonts w:asciiTheme="minorBidi" w:hAnsiTheme="minorBidi"/>
          <w:rtl/>
        </w:rPr>
        <w:t xml:space="preserve"> במאי קמיפלגי? רבנן סברי: ידים שאין מוכיחות</w:t>
      </w:r>
      <w:r w:rsidRPr="00351B7D">
        <w:rPr>
          <w:rStyle w:val="a7"/>
          <w:rFonts w:asciiTheme="minorBidi" w:hAnsiTheme="minorBidi"/>
          <w:rtl/>
        </w:rPr>
        <w:footnoteReference w:id="652"/>
      </w:r>
      <w:r w:rsidRPr="00351B7D">
        <w:rPr>
          <w:rFonts w:asciiTheme="minorBidi" w:hAnsiTheme="minorBidi"/>
          <w:rtl/>
        </w:rPr>
        <w:t xml:space="preserve"> הויין ידים, ואף על גב דלא כתב לה ודן, מוכחא מילתא דבהאי גיטא קא מגרש לה</w:t>
      </w:r>
      <w:r>
        <w:rPr>
          <w:rFonts w:asciiTheme="minorBidi" w:hAnsiTheme="minorBidi" w:hint="cs"/>
          <w:rtl/>
        </w:rPr>
        <w:t>.</w:t>
      </w:r>
      <w:r w:rsidRPr="00351B7D">
        <w:rPr>
          <w:rFonts w:asciiTheme="minorBidi" w:hAnsiTheme="minorBidi"/>
          <w:rtl/>
        </w:rPr>
        <w:t xml:space="preserve"> ור' יהודה סבר: ידים שאין מוכיחות לא הויין ידים, וטעמא דכתב לה ודן, דמוכחא מילתא דבהאי גיטא קא מגרש לה, אבל לא כתב לה ודן, אמרי בדיבורא</w:t>
      </w:r>
      <w:r w:rsidRPr="00351B7D">
        <w:rPr>
          <w:rStyle w:val="a7"/>
          <w:rFonts w:asciiTheme="minorBidi" w:hAnsiTheme="minorBidi"/>
          <w:rtl/>
        </w:rPr>
        <w:footnoteReference w:id="653"/>
      </w:r>
      <w:r w:rsidRPr="00351B7D">
        <w:rPr>
          <w:rFonts w:asciiTheme="minorBidi" w:hAnsiTheme="minorBidi"/>
          <w:rtl/>
        </w:rPr>
        <w:t xml:space="preserve"> גרשה ושטרא ראיה בעלמא הוא</w:t>
      </w:r>
      <w:r w:rsidRPr="00351B7D">
        <w:rPr>
          <w:rStyle w:val="a7"/>
          <w:rFonts w:asciiTheme="minorBidi" w:hAnsiTheme="minorBidi"/>
          <w:rtl/>
        </w:rPr>
        <w:footnoteReference w:id="654"/>
      </w:r>
      <w:r w:rsidRPr="00351B7D">
        <w:rPr>
          <w:rFonts w:asciiTheme="minorBidi" w:hAnsiTheme="minorBidi"/>
          <w:rtl/>
        </w:rPr>
        <w:t>.... איבעיא להו: בעינן ודן, או לא בעינן ודן</w:t>
      </w:r>
      <w:r w:rsidRPr="00351B7D">
        <w:rPr>
          <w:rStyle w:val="a7"/>
          <w:rFonts w:asciiTheme="minorBidi" w:hAnsiTheme="minorBidi"/>
          <w:rtl/>
        </w:rPr>
        <w:footnoteReference w:id="655"/>
      </w:r>
      <w:r w:rsidRPr="00351B7D">
        <w:rPr>
          <w:rFonts w:asciiTheme="minorBidi" w:hAnsiTheme="minorBidi"/>
          <w:rtl/>
        </w:rPr>
        <w:t>? תא שמע, דאתקין רבא בגיטי: איך פלניא בר פלניא פטר ותריך ית פלוניתא אינתתיה דהות אינתתיה מן קדם דנא מיומא דנן ולעלם. ואילו ודן לא קאמר. ולטעמיך, כולהו מי קאמר</w:t>
      </w:r>
      <w:r w:rsidRPr="00351B7D">
        <w:rPr>
          <w:rStyle w:val="a7"/>
          <w:rFonts w:asciiTheme="minorBidi" w:hAnsiTheme="minorBidi"/>
          <w:rtl/>
        </w:rPr>
        <w:footnoteReference w:id="656"/>
      </w:r>
      <w:r w:rsidRPr="00351B7D">
        <w:rPr>
          <w:rFonts w:asciiTheme="minorBidi" w:hAnsiTheme="minorBidi"/>
          <w:rtl/>
        </w:rPr>
        <w:t>? אלא</w:t>
      </w:r>
      <w:r w:rsidRPr="00351B7D">
        <w:rPr>
          <w:rStyle w:val="a7"/>
          <w:rFonts w:asciiTheme="minorBidi" w:hAnsiTheme="minorBidi"/>
          <w:rtl/>
        </w:rPr>
        <w:footnoteReference w:id="657"/>
      </w:r>
      <w:r w:rsidRPr="00351B7D">
        <w:rPr>
          <w:rFonts w:asciiTheme="minorBidi" w:hAnsiTheme="minorBidi"/>
          <w:rtl/>
        </w:rPr>
        <w:t xml:space="preserve"> בעינן, הכא נמי</w:t>
      </w:r>
      <w:r w:rsidRPr="00351B7D">
        <w:rPr>
          <w:rStyle w:val="a7"/>
          <w:rFonts w:asciiTheme="minorBidi" w:hAnsiTheme="minorBidi"/>
          <w:rtl/>
        </w:rPr>
        <w:footnoteReference w:id="658"/>
      </w:r>
      <w:r w:rsidRPr="00351B7D">
        <w:rPr>
          <w:rFonts w:asciiTheme="minorBidi" w:hAnsiTheme="minorBidi"/>
          <w:rtl/>
        </w:rPr>
        <w:t xml:space="preserve"> בעינן. </w:t>
      </w:r>
      <w:r w:rsidRPr="006E6892">
        <w:rPr>
          <w:rFonts w:cs="Arial" w:hint="cs"/>
          <w:sz w:val="16"/>
          <w:szCs w:val="16"/>
          <w:rtl/>
        </w:rPr>
        <w:t>(</w:t>
      </w:r>
      <w:r w:rsidRPr="006E6892">
        <w:rPr>
          <w:rFonts w:cs="Arial"/>
          <w:sz w:val="16"/>
          <w:szCs w:val="16"/>
          <w:rtl/>
        </w:rPr>
        <w:t>הכא משמע דפליגי בודן</w:t>
      </w:r>
      <w:r w:rsidR="00182462">
        <w:rPr>
          <w:rFonts w:cs="Arial" w:hint="cs"/>
          <w:sz w:val="16"/>
          <w:szCs w:val="16"/>
          <w:rtl/>
        </w:rPr>
        <w:t>,</w:t>
      </w:r>
      <w:r w:rsidRPr="006E6892">
        <w:rPr>
          <w:rFonts w:cs="Arial"/>
          <w:sz w:val="16"/>
          <w:szCs w:val="16"/>
          <w:rtl/>
        </w:rPr>
        <w:t xml:space="preserve"> ובריש נדרים (ה:</w:t>
      </w:r>
      <w:r>
        <w:rPr>
          <w:rFonts w:cs="Arial" w:hint="cs"/>
          <w:sz w:val="16"/>
          <w:szCs w:val="16"/>
          <w:rtl/>
        </w:rPr>
        <w:t xml:space="preserve"> </w:t>
      </w:r>
      <w:r w:rsidR="00182462">
        <w:rPr>
          <w:rFonts w:cs="Arial" w:hint="cs"/>
          <w:sz w:val="16"/>
          <w:szCs w:val="16"/>
          <w:rtl/>
        </w:rPr>
        <w:t xml:space="preserve">- </w:t>
      </w:r>
      <w:r>
        <w:rPr>
          <w:rFonts w:cs="Arial" w:hint="cs"/>
          <w:sz w:val="16"/>
          <w:szCs w:val="16"/>
          <w:rtl/>
        </w:rPr>
        <w:t>ו.</w:t>
      </w:r>
      <w:r w:rsidRPr="006E6892">
        <w:rPr>
          <w:rFonts w:cs="Arial"/>
          <w:sz w:val="16"/>
          <w:szCs w:val="16"/>
          <w:rtl/>
        </w:rPr>
        <w:t>)</w:t>
      </w:r>
      <w:r>
        <w:rPr>
          <w:rFonts w:cs="Arial" w:hint="cs"/>
          <w:sz w:val="16"/>
          <w:szCs w:val="16"/>
          <w:rtl/>
        </w:rPr>
        <w:t xml:space="preserve"> </w:t>
      </w:r>
      <w:r w:rsidRPr="006E6892">
        <w:rPr>
          <w:rFonts w:cs="Arial"/>
          <w:sz w:val="16"/>
          <w:szCs w:val="16"/>
          <w:rtl/>
        </w:rPr>
        <w:t>משמע דפליגי במינאי דלרבנן הויין ידים ואע</w:t>
      </w:r>
      <w:r>
        <w:rPr>
          <w:rFonts w:cs="Arial" w:hint="cs"/>
          <w:sz w:val="16"/>
          <w:szCs w:val="16"/>
          <w:rtl/>
        </w:rPr>
        <w:t>"</w:t>
      </w:r>
      <w:r w:rsidRPr="006E6892">
        <w:rPr>
          <w:rFonts w:cs="Arial"/>
          <w:sz w:val="16"/>
          <w:szCs w:val="16"/>
          <w:rtl/>
        </w:rPr>
        <w:t>ג דלא כתיב מינאי מגורשת דאין אדם מגרש אשת חברו</w:t>
      </w:r>
      <w:r w:rsidRPr="006E6892">
        <w:rPr>
          <w:rFonts w:cs="Arial" w:hint="cs"/>
          <w:sz w:val="16"/>
          <w:szCs w:val="16"/>
          <w:rtl/>
        </w:rPr>
        <w:t>,</w:t>
      </w:r>
      <w:r w:rsidRPr="006E6892">
        <w:rPr>
          <w:rFonts w:cs="Arial"/>
          <w:sz w:val="16"/>
          <w:szCs w:val="16"/>
          <w:rtl/>
        </w:rPr>
        <w:t xml:space="preserve"> ואומר ר"י דבתרוייהו פליגי ושם מפורש</w:t>
      </w:r>
      <w:r w:rsidRPr="006E6892">
        <w:rPr>
          <w:rFonts w:hint="cs"/>
          <w:sz w:val="16"/>
          <w:szCs w:val="16"/>
          <w:rtl/>
        </w:rPr>
        <w:t xml:space="preserve">, </w:t>
      </w:r>
      <w:r w:rsidRPr="008D53E4">
        <w:rPr>
          <w:rFonts w:hint="cs"/>
          <w:b/>
          <w:bCs/>
          <w:sz w:val="16"/>
          <w:szCs w:val="16"/>
          <w:rtl/>
        </w:rPr>
        <w:t>תוס'</w:t>
      </w:r>
      <w:r w:rsidRPr="006E6892">
        <w:rPr>
          <w:rFonts w:hint="cs"/>
          <w:sz w:val="16"/>
          <w:szCs w:val="16"/>
          <w:rtl/>
        </w:rPr>
        <w:t xml:space="preserve"> (ד"ה אע"ג).</w:t>
      </w:r>
      <w:r w:rsidRPr="006E6892">
        <w:rPr>
          <w:sz w:val="16"/>
          <w:szCs w:val="16"/>
          <w:rtl/>
        </w:rPr>
        <w:t xml:space="preserve"> </w:t>
      </w:r>
      <w:r>
        <w:rPr>
          <w:rFonts w:hint="cs"/>
          <w:sz w:val="16"/>
          <w:szCs w:val="16"/>
          <w:rtl/>
        </w:rPr>
        <w:t>ו</w:t>
      </w:r>
      <w:r w:rsidRPr="006E6892">
        <w:rPr>
          <w:rFonts w:cs="Arial"/>
          <w:sz w:val="16"/>
          <w:szCs w:val="16"/>
          <w:rtl/>
        </w:rPr>
        <w:t>כ</w:t>
      </w:r>
      <w:r w:rsidRPr="006E6892">
        <w:rPr>
          <w:rFonts w:cs="Arial" w:hint="cs"/>
          <w:sz w:val="16"/>
          <w:szCs w:val="16"/>
          <w:rtl/>
        </w:rPr>
        <w:t>"</w:t>
      </w:r>
      <w:r w:rsidRPr="006E6892">
        <w:rPr>
          <w:rFonts w:cs="Arial"/>
          <w:sz w:val="16"/>
          <w:szCs w:val="16"/>
          <w:rtl/>
        </w:rPr>
        <w:t>כ</w:t>
      </w:r>
      <w:r w:rsidRPr="006E6892">
        <w:rPr>
          <w:rFonts w:cs="Arial" w:hint="cs"/>
          <w:sz w:val="16"/>
          <w:szCs w:val="16"/>
          <w:rtl/>
        </w:rPr>
        <w:t xml:space="preserve"> </w:t>
      </w:r>
      <w:r w:rsidRPr="006E6892">
        <w:rPr>
          <w:rFonts w:cs="Arial"/>
          <w:sz w:val="16"/>
          <w:szCs w:val="16"/>
          <w:rtl/>
        </w:rPr>
        <w:t>הרא"ש (ד"ה לימא) והר"ן (ד"ה רבי) בריש נדרים (ה:)</w:t>
      </w:r>
      <w:r w:rsidR="008D53E4">
        <w:rPr>
          <w:rFonts w:cs="Arial" w:hint="cs"/>
          <w:sz w:val="16"/>
          <w:szCs w:val="16"/>
          <w:rtl/>
        </w:rPr>
        <w:t xml:space="preserve">, </w:t>
      </w:r>
      <w:r w:rsidR="008D53E4" w:rsidRPr="008D53E4">
        <w:rPr>
          <w:rFonts w:cs="Arial" w:hint="cs"/>
          <w:b/>
          <w:bCs/>
          <w:sz w:val="16"/>
          <w:szCs w:val="16"/>
          <w:rtl/>
        </w:rPr>
        <w:t>ב"י</w:t>
      </w:r>
      <w:r>
        <w:rPr>
          <w:rFonts w:cs="Arial" w:hint="cs"/>
          <w:sz w:val="16"/>
          <w:szCs w:val="16"/>
          <w:rtl/>
        </w:rPr>
        <w:t>)</w:t>
      </w:r>
    </w:p>
    <w:p w14:paraId="09FB115A" w14:textId="749B42CB" w:rsidR="00FA2119" w:rsidRPr="00351B7D" w:rsidRDefault="00FA2119" w:rsidP="00FA2119">
      <w:pPr>
        <w:rPr>
          <w:rFonts w:asciiTheme="minorBidi" w:hAnsiTheme="minorBidi"/>
          <w:u w:val="single"/>
          <w:rtl/>
        </w:rPr>
      </w:pPr>
      <w:r w:rsidRPr="00351B7D">
        <w:rPr>
          <w:rFonts w:asciiTheme="minorBidi" w:hAnsiTheme="minorBidi"/>
          <w:u w:val="single"/>
          <w:rtl/>
        </w:rPr>
        <w:t>האם 'ודן' הוא מ</w:t>
      </w:r>
      <w:r w:rsidR="00036DB8">
        <w:rPr>
          <w:rFonts w:asciiTheme="minorBidi" w:hAnsiTheme="minorBidi" w:hint="cs"/>
          <w:u w:val="single"/>
          <w:rtl/>
        </w:rPr>
        <w:t>טורף ה</w:t>
      </w:r>
      <w:r w:rsidRPr="00351B7D">
        <w:rPr>
          <w:rFonts w:asciiTheme="minorBidi" w:hAnsiTheme="minorBidi"/>
          <w:u w:val="single"/>
          <w:rtl/>
        </w:rPr>
        <w:t>גט:</w:t>
      </w:r>
    </w:p>
    <w:p w14:paraId="7FD550A8" w14:textId="3BE40400" w:rsidR="00FA2119" w:rsidRPr="00351B7D" w:rsidRDefault="00FA2119" w:rsidP="00FA2119">
      <w:pPr>
        <w:pStyle w:val="ab"/>
        <w:numPr>
          <w:ilvl w:val="0"/>
          <w:numId w:val="4"/>
        </w:numPr>
        <w:rPr>
          <w:rFonts w:asciiTheme="minorBidi" w:hAnsiTheme="minorBidi"/>
        </w:rPr>
      </w:pPr>
      <w:r w:rsidRPr="00351B7D">
        <w:rPr>
          <w:rFonts w:asciiTheme="minorBidi" w:hAnsiTheme="minorBidi"/>
          <w:rtl/>
        </w:rPr>
        <w:t>רי"ף</w:t>
      </w:r>
      <w:r w:rsidRPr="00351B7D">
        <w:rPr>
          <w:rStyle w:val="a7"/>
          <w:rFonts w:asciiTheme="minorBidi" w:hAnsiTheme="minorBidi"/>
          <w:rtl/>
        </w:rPr>
        <w:footnoteReference w:id="659"/>
      </w:r>
      <w:r w:rsidRPr="00351B7D">
        <w:rPr>
          <w:rFonts w:asciiTheme="minorBidi" w:hAnsiTheme="minorBidi"/>
          <w:rtl/>
        </w:rPr>
        <w:t xml:space="preserve"> </w:t>
      </w:r>
      <w:r w:rsidRPr="00351B7D">
        <w:rPr>
          <w:rFonts w:asciiTheme="minorBidi" w:hAnsiTheme="minorBidi"/>
          <w:sz w:val="16"/>
          <w:szCs w:val="16"/>
          <w:rtl/>
        </w:rPr>
        <w:t xml:space="preserve">(מה.) </w:t>
      </w:r>
      <w:r w:rsidRPr="00351B7D">
        <w:rPr>
          <w:rFonts w:asciiTheme="minorBidi" w:hAnsiTheme="minorBidi"/>
          <w:rtl/>
        </w:rPr>
        <w:t xml:space="preserve">רשב"א </w:t>
      </w:r>
      <w:r w:rsidRPr="00351B7D">
        <w:rPr>
          <w:rFonts w:asciiTheme="minorBidi" w:hAnsiTheme="minorBidi"/>
          <w:sz w:val="16"/>
          <w:szCs w:val="16"/>
          <w:rtl/>
        </w:rPr>
        <w:t xml:space="preserve">(פה: ד"ה הא) </w:t>
      </w:r>
      <w:r w:rsidRPr="00351B7D">
        <w:rPr>
          <w:rFonts w:asciiTheme="minorBidi" w:hAnsiTheme="minorBidi"/>
          <w:rtl/>
        </w:rPr>
        <w:t>רא"ש</w:t>
      </w:r>
      <w:r w:rsidRPr="00351B7D">
        <w:rPr>
          <w:rFonts w:asciiTheme="minorBidi" w:hAnsiTheme="minorBidi"/>
          <w:sz w:val="16"/>
          <w:szCs w:val="16"/>
          <w:rtl/>
        </w:rPr>
        <w:t xml:space="preserve"> (פ"ט ס"ד)</w:t>
      </w:r>
      <w:r>
        <w:rPr>
          <w:rFonts w:asciiTheme="minorBidi" w:hAnsiTheme="minorBidi" w:hint="cs"/>
          <w:rtl/>
        </w:rPr>
        <w:t xml:space="preserve"> וטור</w:t>
      </w:r>
      <w:r w:rsidR="00A82951">
        <w:rPr>
          <w:rFonts w:asciiTheme="minorBidi" w:hAnsiTheme="minorBidi"/>
          <w:rtl/>
        </w:rPr>
        <w:t>-</w:t>
      </w:r>
      <w:r w:rsidRPr="00351B7D">
        <w:rPr>
          <w:rFonts w:asciiTheme="minorBidi" w:hAnsiTheme="minorBidi"/>
          <w:rtl/>
        </w:rPr>
        <w:t xml:space="preserve"> בעינן למיכתב ודן</w:t>
      </w:r>
      <w:r w:rsidRPr="00351B7D">
        <w:rPr>
          <w:rStyle w:val="a7"/>
          <w:rFonts w:asciiTheme="minorBidi" w:hAnsiTheme="minorBidi"/>
          <w:rtl/>
        </w:rPr>
        <w:footnoteReference w:id="660"/>
      </w:r>
      <w:r w:rsidRPr="00351B7D">
        <w:rPr>
          <w:rFonts w:asciiTheme="minorBidi" w:hAnsiTheme="minorBidi"/>
          <w:rtl/>
        </w:rPr>
        <w:t>.</w:t>
      </w:r>
    </w:p>
    <w:p w14:paraId="35842841" w14:textId="2C45F108" w:rsidR="00FA2119" w:rsidRPr="00351B7D" w:rsidRDefault="00FA2119" w:rsidP="00FA2119">
      <w:pPr>
        <w:pStyle w:val="ab"/>
        <w:numPr>
          <w:ilvl w:val="0"/>
          <w:numId w:val="4"/>
        </w:numPr>
        <w:rPr>
          <w:rFonts w:asciiTheme="minorBidi" w:hAnsiTheme="minorBidi"/>
        </w:rPr>
      </w:pPr>
      <w:r w:rsidRPr="00351B7D">
        <w:rPr>
          <w:rFonts w:asciiTheme="minorBidi" w:hAnsiTheme="minorBidi"/>
          <w:rtl/>
        </w:rPr>
        <w:t xml:space="preserve">(רמב"ם </w:t>
      </w:r>
      <w:r w:rsidRPr="00351B7D">
        <w:rPr>
          <w:rFonts w:asciiTheme="minorBidi" w:hAnsiTheme="minorBidi"/>
          <w:sz w:val="16"/>
          <w:szCs w:val="16"/>
          <w:rtl/>
        </w:rPr>
        <w:t>להב' הר"ן</w:t>
      </w:r>
      <w:r w:rsidRPr="00351B7D">
        <w:rPr>
          <w:rFonts w:asciiTheme="minorBidi" w:hAnsiTheme="minorBidi"/>
          <w:sz w:val="12"/>
          <w:szCs w:val="12"/>
          <w:rtl/>
        </w:rPr>
        <w:t xml:space="preserve"> </w:t>
      </w:r>
      <w:r w:rsidRPr="00182462">
        <w:rPr>
          <w:rFonts w:asciiTheme="minorBidi" w:hAnsiTheme="minorBidi"/>
          <w:sz w:val="16"/>
          <w:szCs w:val="16"/>
          <w:rtl/>
        </w:rPr>
        <w:t>[גיטין מה: דיבור ראשון]</w:t>
      </w:r>
      <w:r w:rsidRPr="00351B7D">
        <w:rPr>
          <w:rFonts w:asciiTheme="minorBidi" w:hAnsiTheme="minorBidi"/>
          <w:rtl/>
        </w:rPr>
        <w:t>)</w:t>
      </w:r>
      <w:r w:rsidR="00A82951">
        <w:rPr>
          <w:rFonts w:asciiTheme="minorBidi" w:hAnsiTheme="minorBidi"/>
          <w:rtl/>
        </w:rPr>
        <w:t>-</w:t>
      </w:r>
      <w:r w:rsidRPr="00351B7D">
        <w:rPr>
          <w:rFonts w:asciiTheme="minorBidi" w:hAnsiTheme="minorBidi"/>
          <w:rtl/>
        </w:rPr>
        <w:t xml:space="preserve"> לא בעינן לא 'ודן' ולא 'מינאי'</w:t>
      </w:r>
      <w:r w:rsidRPr="00351B7D">
        <w:rPr>
          <w:rStyle w:val="a7"/>
          <w:rFonts w:asciiTheme="minorBidi" w:hAnsiTheme="minorBidi"/>
          <w:rtl/>
        </w:rPr>
        <w:footnoteReference w:id="661"/>
      </w:r>
      <w:r w:rsidRPr="00351B7D">
        <w:rPr>
          <w:rFonts w:asciiTheme="minorBidi" w:hAnsiTheme="minorBidi"/>
          <w:rtl/>
        </w:rPr>
        <w:t>.</w:t>
      </w:r>
    </w:p>
    <w:p w14:paraId="2A091CC2" w14:textId="48F8BFD4" w:rsidR="00FA2119" w:rsidRPr="00351B7D" w:rsidRDefault="00FA2119" w:rsidP="00FA2119">
      <w:pPr>
        <w:rPr>
          <w:rFonts w:asciiTheme="minorBidi" w:hAnsiTheme="minorBidi"/>
          <w:u w:val="single"/>
        </w:rPr>
      </w:pPr>
      <w:r w:rsidRPr="00351B7D">
        <w:rPr>
          <w:rFonts w:asciiTheme="minorBidi" w:hAnsiTheme="minorBidi"/>
          <w:u w:val="single"/>
          <w:rtl/>
        </w:rPr>
        <w:t xml:space="preserve">האם 'מינאי' </w:t>
      </w:r>
      <w:r w:rsidR="00036DB8">
        <w:rPr>
          <w:rFonts w:asciiTheme="minorBidi" w:hAnsiTheme="minorBidi" w:hint="cs"/>
          <w:u w:val="single"/>
          <w:rtl/>
        </w:rPr>
        <w:t>הוא מטורף</w:t>
      </w:r>
      <w:r w:rsidRPr="00351B7D">
        <w:rPr>
          <w:rFonts w:asciiTheme="minorBidi" w:hAnsiTheme="minorBidi"/>
          <w:u w:val="single"/>
          <w:rtl/>
        </w:rPr>
        <w:t xml:space="preserve"> </w:t>
      </w:r>
      <w:r w:rsidR="00036DB8">
        <w:rPr>
          <w:rFonts w:asciiTheme="minorBidi" w:hAnsiTheme="minorBidi" w:hint="cs"/>
          <w:u w:val="single"/>
          <w:rtl/>
        </w:rPr>
        <w:t>ה</w:t>
      </w:r>
      <w:r w:rsidRPr="00351B7D">
        <w:rPr>
          <w:rFonts w:asciiTheme="minorBidi" w:hAnsiTheme="minorBidi"/>
          <w:u w:val="single"/>
          <w:rtl/>
        </w:rPr>
        <w:t>גט:</w:t>
      </w:r>
    </w:p>
    <w:p w14:paraId="3AA0FB78" w14:textId="39648BC0" w:rsidR="00FA2119" w:rsidRPr="00351B7D" w:rsidRDefault="00FA2119" w:rsidP="00FA2119">
      <w:pPr>
        <w:pStyle w:val="ab"/>
        <w:numPr>
          <w:ilvl w:val="0"/>
          <w:numId w:val="4"/>
        </w:numPr>
        <w:rPr>
          <w:rFonts w:asciiTheme="minorBidi" w:hAnsiTheme="minorBidi"/>
        </w:rPr>
      </w:pPr>
      <w:r w:rsidRPr="00351B7D">
        <w:rPr>
          <w:rFonts w:asciiTheme="minorBidi" w:hAnsiTheme="minorBidi"/>
          <w:rtl/>
        </w:rPr>
        <w:lastRenderedPageBreak/>
        <w:t xml:space="preserve">רי"ף </w:t>
      </w:r>
      <w:r w:rsidRPr="00351B7D">
        <w:rPr>
          <w:rFonts w:asciiTheme="minorBidi" w:hAnsiTheme="minorBidi"/>
          <w:sz w:val="16"/>
          <w:szCs w:val="16"/>
          <w:rtl/>
        </w:rPr>
        <w:t xml:space="preserve">(להב' הר"ן </w:t>
      </w:r>
      <w:r w:rsidRPr="00351B7D">
        <w:rPr>
          <w:rFonts w:asciiTheme="minorBidi" w:hAnsiTheme="minorBidi"/>
          <w:sz w:val="12"/>
          <w:szCs w:val="12"/>
          <w:rtl/>
        </w:rPr>
        <w:t>[קידושין ב. ד"ה אמר]</w:t>
      </w:r>
      <w:r w:rsidRPr="00351B7D">
        <w:rPr>
          <w:rFonts w:asciiTheme="minorBidi" w:hAnsiTheme="minorBidi"/>
          <w:sz w:val="16"/>
          <w:szCs w:val="16"/>
          <w:rtl/>
        </w:rPr>
        <w:t>)</w:t>
      </w:r>
      <w:r w:rsidRPr="00351B7D">
        <w:rPr>
          <w:rFonts w:asciiTheme="minorBidi" w:hAnsiTheme="minorBidi"/>
          <w:rtl/>
        </w:rPr>
        <w:t xml:space="preserve"> ורמב"ם </w:t>
      </w:r>
      <w:r w:rsidRPr="00351B7D">
        <w:rPr>
          <w:rFonts w:asciiTheme="minorBidi" w:hAnsiTheme="minorBidi"/>
          <w:sz w:val="16"/>
          <w:szCs w:val="16"/>
          <w:rtl/>
        </w:rPr>
        <w:t>(להב' הר"ן</w:t>
      </w:r>
      <w:r w:rsidRPr="00351B7D">
        <w:rPr>
          <w:rFonts w:asciiTheme="minorBidi" w:hAnsiTheme="minorBidi"/>
          <w:sz w:val="14"/>
          <w:szCs w:val="14"/>
          <w:rtl/>
        </w:rPr>
        <w:t xml:space="preserve"> </w:t>
      </w:r>
      <w:r w:rsidRPr="00351B7D">
        <w:rPr>
          <w:rFonts w:asciiTheme="minorBidi" w:hAnsiTheme="minorBidi"/>
          <w:sz w:val="12"/>
          <w:szCs w:val="12"/>
          <w:rtl/>
        </w:rPr>
        <w:t>[גיטין מה: דיבור ראשון]</w:t>
      </w:r>
      <w:r w:rsidRPr="00351B7D">
        <w:rPr>
          <w:rFonts w:asciiTheme="minorBidi" w:hAnsiTheme="minorBidi"/>
          <w:sz w:val="16"/>
          <w:szCs w:val="16"/>
          <w:rtl/>
        </w:rPr>
        <w:t>)</w:t>
      </w:r>
      <w:r w:rsidR="00A82951">
        <w:rPr>
          <w:rFonts w:asciiTheme="minorBidi" w:hAnsiTheme="minorBidi"/>
          <w:rtl/>
        </w:rPr>
        <w:t>-</w:t>
      </w:r>
      <w:r w:rsidRPr="00351B7D">
        <w:rPr>
          <w:rFonts w:asciiTheme="minorBidi" w:hAnsiTheme="minorBidi"/>
          <w:rtl/>
        </w:rPr>
        <w:t xml:space="preserve"> לא בעינן 'מינאי'</w:t>
      </w:r>
      <w:r w:rsidRPr="00351B7D">
        <w:rPr>
          <w:rStyle w:val="a7"/>
          <w:rFonts w:asciiTheme="minorBidi" w:hAnsiTheme="minorBidi"/>
          <w:rtl/>
        </w:rPr>
        <w:footnoteReference w:id="662"/>
      </w:r>
      <w:r w:rsidRPr="00351B7D">
        <w:rPr>
          <w:rFonts w:asciiTheme="minorBidi" w:hAnsiTheme="minorBidi"/>
          <w:rtl/>
        </w:rPr>
        <w:t>.</w:t>
      </w:r>
    </w:p>
    <w:p w14:paraId="4CDBFEE3" w14:textId="24C8AB69" w:rsidR="00FA2119" w:rsidRPr="00351B7D" w:rsidRDefault="00FA2119" w:rsidP="00FA2119">
      <w:pPr>
        <w:pStyle w:val="ab"/>
        <w:numPr>
          <w:ilvl w:val="0"/>
          <w:numId w:val="4"/>
        </w:numPr>
        <w:rPr>
          <w:rFonts w:asciiTheme="minorBidi" w:hAnsiTheme="minorBidi"/>
          <w:rtl/>
        </w:rPr>
      </w:pPr>
      <w:r w:rsidRPr="00351B7D">
        <w:rPr>
          <w:rFonts w:asciiTheme="minorBidi" w:hAnsiTheme="minorBidi"/>
          <w:rtl/>
        </w:rPr>
        <w:t>רא"ש</w:t>
      </w:r>
      <w:r w:rsidRPr="00351B7D">
        <w:rPr>
          <w:rFonts w:asciiTheme="minorBidi" w:hAnsiTheme="minorBidi"/>
          <w:sz w:val="16"/>
          <w:szCs w:val="16"/>
          <w:rtl/>
        </w:rPr>
        <w:t xml:space="preserve"> (להב' הטור)</w:t>
      </w:r>
      <w:r>
        <w:rPr>
          <w:rFonts w:asciiTheme="minorBidi" w:hAnsiTheme="minorBidi" w:hint="cs"/>
          <w:rtl/>
        </w:rPr>
        <w:t xml:space="preserve"> וטור</w:t>
      </w:r>
      <w:r w:rsidR="00A82951">
        <w:rPr>
          <w:rFonts w:asciiTheme="minorBidi" w:hAnsiTheme="minorBidi"/>
          <w:rtl/>
        </w:rPr>
        <w:t>-</w:t>
      </w:r>
      <w:r w:rsidRPr="00351B7D">
        <w:rPr>
          <w:rFonts w:asciiTheme="minorBidi" w:hAnsiTheme="minorBidi"/>
          <w:rtl/>
        </w:rPr>
        <w:t xml:space="preserve"> בעינן מינאי נמי</w:t>
      </w:r>
      <w:r w:rsidRPr="00351B7D">
        <w:rPr>
          <w:rStyle w:val="a7"/>
          <w:rFonts w:asciiTheme="minorBidi" w:hAnsiTheme="minorBidi"/>
          <w:rtl/>
        </w:rPr>
        <w:footnoteReference w:id="663"/>
      </w:r>
      <w:r w:rsidRPr="00351B7D">
        <w:rPr>
          <w:rFonts w:asciiTheme="minorBidi" w:hAnsiTheme="minorBidi"/>
          <w:rtl/>
        </w:rPr>
        <w:t xml:space="preserve">. </w:t>
      </w:r>
    </w:p>
    <w:p w14:paraId="2ECE3191"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7505F1E" w14:textId="7B66ABFC" w:rsidR="00FA2119" w:rsidRPr="00351B7D" w:rsidRDefault="00FA2119" w:rsidP="00FA2119">
      <w:pPr>
        <w:rPr>
          <w:rFonts w:asciiTheme="minorBidi" w:hAnsiTheme="minorBidi"/>
          <w:color w:val="000000"/>
          <w:sz w:val="16"/>
          <w:szCs w:val="16"/>
          <w:rtl/>
        </w:rPr>
      </w:pPr>
      <w:r w:rsidRPr="00351B7D">
        <w:rPr>
          <w:rFonts w:asciiTheme="minorBidi" w:hAnsiTheme="minorBidi"/>
          <w:rtl/>
        </w:rPr>
        <w:t>כותבין הגט בכל כתב ובכל לשון</w:t>
      </w:r>
      <w:r>
        <w:rPr>
          <w:rFonts w:asciiTheme="minorBidi" w:hAnsiTheme="minorBidi" w:hint="cs"/>
          <w:rtl/>
        </w:rPr>
        <w:t>,</w:t>
      </w:r>
      <w:r w:rsidRPr="00351B7D">
        <w:rPr>
          <w:rFonts w:asciiTheme="minorBidi" w:hAnsiTheme="minorBidi"/>
          <w:rtl/>
        </w:rPr>
        <w:t xml:space="preserve"> בין שהוא כתב </w:t>
      </w:r>
      <w:r w:rsidR="008D53E4">
        <w:rPr>
          <w:rFonts w:asciiTheme="minorBidi" w:hAnsiTheme="minorBidi" w:hint="cs"/>
          <w:rtl/>
        </w:rPr>
        <w:t>הגוים</w:t>
      </w:r>
      <w:r w:rsidRPr="00351B7D">
        <w:rPr>
          <w:rFonts w:asciiTheme="minorBidi" w:hAnsiTheme="minorBidi"/>
          <w:rtl/>
        </w:rPr>
        <w:t xml:space="preserve"> בין שהוא כתב ישראל כגון פרובינצאל וכיוצא בו</w:t>
      </w:r>
      <w:r w:rsidR="008D53E4">
        <w:rPr>
          <w:rFonts w:asciiTheme="minorBidi" w:hAnsiTheme="minorBidi" w:hint="cs"/>
          <w:rtl/>
        </w:rPr>
        <w:t>.</w:t>
      </w:r>
      <w:r w:rsidRPr="00351B7D">
        <w:rPr>
          <w:rFonts w:asciiTheme="minorBidi" w:hAnsiTheme="minorBidi"/>
          <w:rtl/>
        </w:rPr>
        <w:t xml:space="preserve"> אבל אם היה מקצת הגט כתוב בלשון אחד מקצתו בלשון אחר</w:t>
      </w:r>
      <w:r w:rsidR="008D53E4">
        <w:rPr>
          <w:rFonts w:asciiTheme="minorBidi" w:hAnsiTheme="minorBidi" w:hint="cs"/>
          <w:rtl/>
        </w:rPr>
        <w:t>,</w:t>
      </w:r>
      <w:r w:rsidRPr="00351B7D">
        <w:rPr>
          <w:rFonts w:asciiTheme="minorBidi" w:hAnsiTheme="minorBidi"/>
          <w:rtl/>
        </w:rPr>
        <w:t xml:space="preserve"> פסול.</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ויש מכשירין</w:t>
      </w:r>
      <w:r w:rsidRPr="00351B7D">
        <w:rPr>
          <w:rStyle w:val="a7"/>
          <w:rFonts w:asciiTheme="minorBidi" w:hAnsiTheme="minorBidi"/>
          <w:color w:val="000000"/>
          <w:sz w:val="18"/>
          <w:szCs w:val="18"/>
          <w:rtl/>
        </w:rPr>
        <w:footnoteReference w:id="664"/>
      </w:r>
      <w:r w:rsidRPr="00351B7D">
        <w:rPr>
          <w:rFonts w:asciiTheme="minorBidi" w:hAnsiTheme="minorBidi"/>
          <w:color w:val="000000"/>
          <w:sz w:val="18"/>
          <w:szCs w:val="18"/>
          <w:rtl/>
        </w:rPr>
        <w:t xml:space="preserve"> (ראב"ד</w:t>
      </w:r>
      <w:r w:rsidR="008D53E4">
        <w:rPr>
          <w:rFonts w:asciiTheme="minorBidi" w:hAnsiTheme="minorBidi" w:hint="cs"/>
          <w:color w:val="000000"/>
          <w:sz w:val="18"/>
          <w:szCs w:val="18"/>
          <w:rtl/>
        </w:rPr>
        <w:t xml:space="preserve"> ורשב"א</w:t>
      </w:r>
      <w:r w:rsidRPr="00351B7D">
        <w:rPr>
          <w:rFonts w:asciiTheme="minorBidi" w:hAnsiTheme="minorBidi"/>
          <w:color w:val="000000"/>
          <w:sz w:val="18"/>
          <w:szCs w:val="18"/>
          <w:rtl/>
        </w:rPr>
        <w:t>). ונ"ל דאפילו למאן דפוסל מודה דמקצתו לשון הקדש ומקצתו לשון ארמי כשר דשניהם נתנו בסיני והיו קרובים בלשון וכלשון אחד דמיא, ולכן נוהגין עכשיו לכתוב בגט מקצת מלות לשון הקודש ורובו לשון ארמית. אי נמי מאחר דרובו לשון ארמית ואין בו רק מלות לשון הקודש אין זה מקצתו בלשון אחר. אי נמי דדוקא בתורף הצריך קאמר, אבל מה שמוסיפין בתורף הרי את מותרת</w:t>
      </w:r>
      <w:r w:rsidRPr="00351B7D">
        <w:rPr>
          <w:rStyle w:val="a7"/>
          <w:rFonts w:asciiTheme="minorBidi" w:hAnsiTheme="minorBidi"/>
          <w:color w:val="000000"/>
          <w:sz w:val="18"/>
          <w:szCs w:val="18"/>
          <w:rtl/>
        </w:rPr>
        <w:footnoteReference w:id="665"/>
      </w:r>
      <w:r w:rsidRPr="00351B7D">
        <w:rPr>
          <w:rFonts w:asciiTheme="minorBidi" w:hAnsiTheme="minorBidi"/>
          <w:color w:val="000000"/>
          <w:sz w:val="18"/>
          <w:szCs w:val="18"/>
          <w:rtl/>
        </w:rPr>
        <w:t xml:space="preserve"> לכל אדם או שאר מלות אינן צריכין ואין רק כפל דברים שנוהגין לכתחלה, כן נראה לי ליישב המנהג.</w:t>
      </w:r>
      <w:r w:rsidRPr="00351B7D">
        <w:rPr>
          <w:rFonts w:asciiTheme="minorBidi" w:hAnsiTheme="minorBidi"/>
          <w:rtl/>
        </w:rPr>
        <w:t xml:space="preserve"> ונהגו לכותבו בלשון ארמית ובכתב אשורי.</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ואין להכשיר בכתב אחר</w:t>
      </w:r>
      <w:r w:rsidRPr="00351B7D">
        <w:rPr>
          <w:rStyle w:val="a7"/>
          <w:rFonts w:asciiTheme="minorBidi" w:hAnsiTheme="minorBidi"/>
          <w:color w:val="000000"/>
          <w:sz w:val="18"/>
          <w:szCs w:val="18"/>
          <w:rtl/>
        </w:rPr>
        <w:footnoteReference w:id="666"/>
      </w:r>
      <w:r w:rsidRPr="00351B7D">
        <w:rPr>
          <w:rFonts w:asciiTheme="minorBidi" w:hAnsiTheme="minorBidi"/>
          <w:color w:val="000000"/>
          <w:sz w:val="18"/>
          <w:szCs w:val="18"/>
          <w:rtl/>
        </w:rPr>
        <w:t>, רק במקום עיגון ושעת הדחק, כגון שהובא ממרחקים ואין שיירות מצויות (רא"ש). וע"ל סי' קכ"ה סעיף ט"ו.</w:t>
      </w:r>
      <w:r w:rsidRPr="00351B7D">
        <w:rPr>
          <w:rFonts w:asciiTheme="minorBidi" w:hAnsiTheme="minorBidi"/>
          <w:color w:val="000000"/>
          <w:sz w:val="16"/>
          <w:szCs w:val="16"/>
          <w:rtl/>
        </w:rPr>
        <w:t xml:space="preserve"> </w:t>
      </w:r>
    </w:p>
    <w:p w14:paraId="215DDAC4" w14:textId="77777777" w:rsidR="00FA2119" w:rsidRPr="00351B7D" w:rsidRDefault="00FA2119" w:rsidP="00FA2119">
      <w:pPr>
        <w:rPr>
          <w:rFonts w:asciiTheme="minorBidi" w:hAnsiTheme="minorBidi"/>
          <w:color w:val="000000"/>
          <w:u w:val="single"/>
          <w:rtl/>
        </w:rPr>
      </w:pPr>
      <w:r w:rsidRPr="00351B7D">
        <w:rPr>
          <w:rFonts w:asciiTheme="minorBidi" w:hAnsiTheme="minorBidi"/>
          <w:u w:val="single"/>
          <w:rtl/>
        </w:rPr>
        <w:t xml:space="preserve">גט שיש בו שני מיני </w:t>
      </w:r>
      <w:r w:rsidRPr="004F013F">
        <w:rPr>
          <w:rFonts w:asciiTheme="minorBidi" w:hAnsiTheme="minorBidi"/>
          <w:u w:val="single"/>
          <w:rtl/>
        </w:rPr>
        <w:t>כתב</w:t>
      </w:r>
      <w:r>
        <w:rPr>
          <w:rFonts w:asciiTheme="minorBidi" w:hAnsiTheme="minorBidi" w:hint="cs"/>
          <w:u w:val="single"/>
          <w:rtl/>
        </w:rPr>
        <w:t xml:space="preserve"> של אותה הלשון</w:t>
      </w:r>
      <w:r w:rsidRPr="00351B7D">
        <w:rPr>
          <w:rFonts w:asciiTheme="minorBidi" w:hAnsiTheme="minorBidi"/>
          <w:color w:val="000000"/>
          <w:u w:val="single"/>
          <w:rtl/>
        </w:rPr>
        <w:t>:</w:t>
      </w:r>
    </w:p>
    <w:p w14:paraId="289E5504" w14:textId="4D9D0EF2" w:rsidR="00FA2119" w:rsidRPr="00351B7D" w:rsidRDefault="00FA2119" w:rsidP="00FA2119">
      <w:pPr>
        <w:pStyle w:val="ab"/>
        <w:numPr>
          <w:ilvl w:val="0"/>
          <w:numId w:val="14"/>
        </w:numPr>
        <w:rPr>
          <w:rFonts w:asciiTheme="minorBidi" w:hAnsiTheme="minorBidi"/>
        </w:rPr>
      </w:pPr>
      <w:r w:rsidRPr="00351B7D">
        <w:rPr>
          <w:rFonts w:asciiTheme="minorBidi" w:hAnsiTheme="minorBidi"/>
          <w:rtl/>
        </w:rPr>
        <w:t xml:space="preserve">ח"מ </w:t>
      </w:r>
      <w:r w:rsidRPr="00351B7D">
        <w:rPr>
          <w:rFonts w:asciiTheme="minorBidi" w:hAnsiTheme="minorBidi"/>
          <w:sz w:val="16"/>
          <w:szCs w:val="16"/>
          <w:rtl/>
        </w:rPr>
        <w:t>(סק"א)</w:t>
      </w:r>
      <w:r w:rsidR="00A82951">
        <w:rPr>
          <w:rFonts w:asciiTheme="minorBidi" w:hAnsiTheme="minorBidi"/>
          <w:rtl/>
        </w:rPr>
        <w:t>-</w:t>
      </w:r>
      <w:r w:rsidRPr="00351B7D">
        <w:rPr>
          <w:rFonts w:asciiTheme="minorBidi" w:hAnsiTheme="minorBidi"/>
          <w:rtl/>
        </w:rPr>
        <w:t xml:space="preserve"> שני מיני כתבים כשר אף לדעת הרמב"ם.</w:t>
      </w:r>
    </w:p>
    <w:p w14:paraId="5D303CB0" w14:textId="1C290276" w:rsidR="00FA2119" w:rsidRPr="00351B7D" w:rsidRDefault="00FA2119" w:rsidP="00FA2119">
      <w:pPr>
        <w:pStyle w:val="ab"/>
        <w:numPr>
          <w:ilvl w:val="0"/>
          <w:numId w:val="14"/>
        </w:numPr>
        <w:rPr>
          <w:rFonts w:asciiTheme="minorBidi" w:hAnsiTheme="minorBidi"/>
          <w:rtl/>
        </w:rPr>
      </w:pPr>
      <w:r w:rsidRPr="00351B7D">
        <w:rPr>
          <w:rFonts w:asciiTheme="minorBidi" w:hAnsiTheme="minorBidi"/>
          <w:rtl/>
        </w:rPr>
        <w:t>לבוש</w:t>
      </w:r>
      <w:r w:rsidR="00A82951">
        <w:rPr>
          <w:rFonts w:asciiTheme="minorBidi" w:hAnsiTheme="minorBidi"/>
          <w:rtl/>
        </w:rPr>
        <w:t>-</w:t>
      </w:r>
      <w:r w:rsidRPr="00351B7D">
        <w:rPr>
          <w:rFonts w:asciiTheme="minorBidi" w:hAnsiTheme="minorBidi"/>
          <w:rtl/>
        </w:rPr>
        <w:t xml:space="preserve"> למ"ד דמקצת הגט כתוב בלשון אחד מקצתו בלשון אחר פסול ה"ה כשמקצתו כתב כזה ומקצתו כזה.</w:t>
      </w:r>
    </w:p>
    <w:p w14:paraId="1E951BA8" w14:textId="77777777" w:rsidR="00FA2119" w:rsidRPr="00351B7D" w:rsidRDefault="00FA2119" w:rsidP="00FA2119">
      <w:pPr>
        <w:rPr>
          <w:rFonts w:asciiTheme="minorBidi" w:hAnsiTheme="minorBidi"/>
          <w:color w:val="000000"/>
          <w:rtl/>
        </w:rPr>
      </w:pPr>
      <w:r w:rsidRPr="00351B7D">
        <w:rPr>
          <w:rFonts w:asciiTheme="minorBidi" w:hAnsiTheme="minorBidi"/>
          <w:u w:val="single"/>
          <w:rtl/>
        </w:rPr>
        <w:t>מקום שאין אדם שיודע לכתוב כתב אשורי כתיקונו:</w:t>
      </w:r>
      <w:r w:rsidRPr="00351B7D">
        <w:rPr>
          <w:rFonts w:asciiTheme="minorBidi" w:hAnsiTheme="minorBidi"/>
          <w:color w:val="000000"/>
          <w:sz w:val="16"/>
          <w:szCs w:val="16"/>
          <w:rtl/>
        </w:rPr>
        <w:t xml:space="preserve">  (פת"ש סק"ג) </w:t>
      </w:r>
    </w:p>
    <w:p w14:paraId="5952CF33" w14:textId="1F536045" w:rsidR="00FA2119" w:rsidRPr="00351B7D" w:rsidRDefault="00FA2119" w:rsidP="00FA2119">
      <w:pPr>
        <w:pStyle w:val="ab"/>
        <w:numPr>
          <w:ilvl w:val="0"/>
          <w:numId w:val="8"/>
        </w:numPr>
        <w:rPr>
          <w:rFonts w:asciiTheme="minorBidi" w:hAnsiTheme="minorBidi"/>
          <w:color w:val="000000"/>
          <w:u w:val="single"/>
          <w:rtl/>
        </w:rPr>
      </w:pPr>
      <w:r w:rsidRPr="00351B7D">
        <w:rPr>
          <w:rFonts w:asciiTheme="minorBidi" w:hAnsiTheme="minorBidi"/>
          <w:color w:val="000000"/>
          <w:rtl/>
        </w:rPr>
        <w:t>גט פשוט</w:t>
      </w:r>
      <w:r w:rsidRPr="00351B7D">
        <w:rPr>
          <w:rFonts w:asciiTheme="minorBidi" w:hAnsiTheme="minorBidi"/>
          <w:color w:val="000000"/>
          <w:sz w:val="16"/>
          <w:szCs w:val="16"/>
          <w:rtl/>
        </w:rPr>
        <w:t xml:space="preserve"> (סק"י)</w:t>
      </w:r>
      <w:r w:rsidR="00A82951">
        <w:rPr>
          <w:rFonts w:asciiTheme="minorBidi" w:hAnsiTheme="minorBidi"/>
          <w:color w:val="000000"/>
          <w:rtl/>
        </w:rPr>
        <w:t>-</w:t>
      </w:r>
      <w:r w:rsidRPr="00351B7D">
        <w:rPr>
          <w:rFonts w:asciiTheme="minorBidi" w:hAnsiTheme="minorBidi"/>
          <w:color w:val="000000"/>
          <w:rtl/>
        </w:rPr>
        <w:t xml:space="preserve"> יש לחקור אם לא נמצא מי שיודע לכתוב אשורי כתיקונו אלא כתב אשורי משובש כגון כתב הנקרא אצל ספרדים משקי שהוא דומה לאשורי ויש מי שיודע לכתוב כתב פרובינצאל </w:t>
      </w:r>
      <w:r w:rsidRPr="00351B7D">
        <w:rPr>
          <w:rFonts w:asciiTheme="minorBidi" w:hAnsiTheme="minorBidi"/>
          <w:color w:val="000000"/>
          <w:sz w:val="16"/>
          <w:szCs w:val="16"/>
          <w:rtl/>
        </w:rPr>
        <w:t>[הוא מה שקורין כתב רש"י, כ"כ הוא ז"ל סק"ד]</w:t>
      </w:r>
      <w:r w:rsidRPr="00351B7D">
        <w:rPr>
          <w:rFonts w:asciiTheme="minorBidi" w:hAnsiTheme="minorBidi"/>
          <w:color w:val="000000"/>
          <w:rtl/>
        </w:rPr>
        <w:t xml:space="preserve"> יפה מאד</w:t>
      </w:r>
      <w:r w:rsidR="003A0EA7">
        <w:rPr>
          <w:rFonts w:asciiTheme="minorBidi" w:hAnsiTheme="minorBidi" w:hint="cs"/>
          <w:color w:val="000000"/>
          <w:rtl/>
        </w:rPr>
        <w:t>,</w:t>
      </w:r>
      <w:r w:rsidRPr="00351B7D">
        <w:rPr>
          <w:rFonts w:asciiTheme="minorBidi" w:hAnsiTheme="minorBidi"/>
          <w:color w:val="000000"/>
          <w:rtl/>
        </w:rPr>
        <w:t xml:space="preserve"> והוא שעת הדחק ומקום עיגון</w:t>
      </w:r>
      <w:r w:rsidR="003A0EA7">
        <w:rPr>
          <w:rFonts w:asciiTheme="minorBidi" w:hAnsiTheme="minorBidi" w:hint="cs"/>
          <w:color w:val="000000"/>
          <w:rtl/>
        </w:rPr>
        <w:t>,</w:t>
      </w:r>
      <w:r w:rsidRPr="00351B7D">
        <w:rPr>
          <w:rFonts w:asciiTheme="minorBidi" w:hAnsiTheme="minorBidi"/>
          <w:color w:val="000000"/>
          <w:rtl/>
        </w:rPr>
        <w:t xml:space="preserve"> כגון שכיב מרע שרוצה לגרש שלא תזקק אשתו ליבם קטן, או שרוצה לפרוש במדינת הים, בהי מינייהו עדיף לכתוב גיטא</w:t>
      </w:r>
      <w:r w:rsidR="003A0EA7">
        <w:rPr>
          <w:rFonts w:asciiTheme="minorBidi" w:hAnsiTheme="minorBidi" w:hint="cs"/>
          <w:color w:val="000000"/>
          <w:rtl/>
        </w:rPr>
        <w:t xml:space="preserve">. </w:t>
      </w:r>
      <w:r w:rsidRPr="00351B7D">
        <w:rPr>
          <w:rFonts w:asciiTheme="minorBidi" w:hAnsiTheme="minorBidi"/>
          <w:color w:val="000000"/>
          <w:rtl/>
        </w:rPr>
        <w:t>ודבר זה הוא פלוגתא דרבוותא כפי מה שהביא מרן הב"י דלסברת יש מגמגמים טפי עדיף כתב משקייט שדומה לאשורי, ולסברת מרן טפי עדיף כתב פרובינצל דכתב בפני עצמו הוא ולא גרע מכתב הכותים, משא"כ כתב משקייט דכיון שהוא כתב אשורי צריך לכותבו כתיקון ממש ואפילו קוצו של יוד מעכב. והכי מסתבר כדברי מרן משום דבכתב משקייט כיון שאין האותיות כתיקונם שמא יקרא הקורא ב' במקום כ"ף או איפכא וכן בשאר אותיות תדמה אות לאות ונמצא הענין משתנה, משא"כ בכתב פרובינצל</w:t>
      </w:r>
      <w:r w:rsidR="003A0EA7">
        <w:rPr>
          <w:rFonts w:asciiTheme="minorBidi" w:hAnsiTheme="minorBidi" w:hint="cs"/>
          <w:color w:val="000000"/>
          <w:rtl/>
        </w:rPr>
        <w:t>.</w:t>
      </w:r>
      <w:r w:rsidRPr="00351B7D">
        <w:rPr>
          <w:rFonts w:asciiTheme="minorBidi" w:hAnsiTheme="minorBidi"/>
          <w:color w:val="000000"/>
          <w:rtl/>
        </w:rPr>
        <w:t xml:space="preserve"> אמנם אם הוא כתב אשורי ממש ואין האותיות דומות זו לזו, אע"פ שאינו מיושר ויפה כאשורית שכותבים בס"ת אפ"ה עדיף טפי מכתב פרובינצל.</w:t>
      </w:r>
    </w:p>
    <w:p w14:paraId="58E3C931" w14:textId="77777777" w:rsidR="00FA2119" w:rsidRPr="00351B7D" w:rsidRDefault="00FA2119" w:rsidP="00FA2119">
      <w:pPr>
        <w:rPr>
          <w:rFonts w:asciiTheme="minorBidi" w:hAnsiTheme="minorBidi"/>
          <w:color w:val="000000"/>
          <w:rtl/>
        </w:rPr>
      </w:pPr>
    </w:p>
    <w:p w14:paraId="35AA4BB2" w14:textId="77777777" w:rsidR="00FA2119" w:rsidRDefault="00FA2119" w:rsidP="00FA2119">
      <w:pPr>
        <w:pStyle w:val="2"/>
        <w:rPr>
          <w:rtl/>
        </w:rPr>
      </w:pPr>
      <w:r w:rsidRPr="00351B7D">
        <w:rPr>
          <w:rtl/>
        </w:rPr>
        <w:t>סעיף ב: כתיבת ימי השבוע עם</w:t>
      </w:r>
      <w:r>
        <w:rPr>
          <w:rFonts w:hint="cs"/>
          <w:rtl/>
        </w:rPr>
        <w:t xml:space="preserve"> או </w:t>
      </w:r>
      <w:r w:rsidRPr="00351B7D">
        <w:rPr>
          <w:rtl/>
        </w:rPr>
        <w:t>בלי יו"ד.</w:t>
      </w:r>
    </w:p>
    <w:p w14:paraId="6126BEE8" w14:textId="77777777" w:rsidR="00FA2119" w:rsidRPr="00E65330" w:rsidRDefault="00FA2119" w:rsidP="00FA2119">
      <w:pPr>
        <w:rPr>
          <w:u w:val="single"/>
          <w:rtl/>
        </w:rPr>
      </w:pPr>
      <w:r w:rsidRPr="00E65330">
        <w:rPr>
          <w:u w:val="single"/>
          <w:rtl/>
        </w:rPr>
        <w:t>כתיבת ימי השבוע עם</w:t>
      </w:r>
      <w:r w:rsidRPr="00E65330">
        <w:rPr>
          <w:rFonts w:hint="cs"/>
          <w:u w:val="single"/>
          <w:rtl/>
        </w:rPr>
        <w:t xml:space="preserve"> או </w:t>
      </w:r>
      <w:r w:rsidRPr="00E65330">
        <w:rPr>
          <w:u w:val="single"/>
          <w:rtl/>
        </w:rPr>
        <w:t>בלי יו"ד</w:t>
      </w:r>
      <w:r w:rsidRPr="00E65330">
        <w:rPr>
          <w:rFonts w:hint="cs"/>
          <w:u w:val="single"/>
          <w:rtl/>
        </w:rPr>
        <w:t>:</w:t>
      </w:r>
    </w:p>
    <w:p w14:paraId="2676C2EB" w14:textId="30F8324E" w:rsidR="00FA2119" w:rsidRPr="00E65330" w:rsidRDefault="00FA2119" w:rsidP="00FA2119">
      <w:pPr>
        <w:pStyle w:val="ab"/>
        <w:numPr>
          <w:ilvl w:val="0"/>
          <w:numId w:val="8"/>
        </w:numPr>
        <w:rPr>
          <w:rtl/>
        </w:rPr>
      </w:pPr>
      <w:r w:rsidRPr="00E65330">
        <w:rPr>
          <w:rFonts w:cs="Arial" w:hint="cs"/>
          <w:rtl/>
        </w:rPr>
        <w:t>סמ"ק</w:t>
      </w:r>
      <w:r w:rsidRPr="00E65330">
        <w:rPr>
          <w:rFonts w:cs="Arial"/>
          <w:rtl/>
        </w:rPr>
        <w:t xml:space="preserve"> </w:t>
      </w:r>
      <w:r w:rsidRPr="00E65330">
        <w:rPr>
          <w:rFonts w:cs="Arial"/>
          <w:sz w:val="16"/>
          <w:szCs w:val="16"/>
          <w:rtl/>
        </w:rPr>
        <w:t xml:space="preserve">(סי' קפד) </w:t>
      </w:r>
      <w:r w:rsidRPr="00E65330">
        <w:rPr>
          <w:rFonts w:cs="Arial"/>
          <w:rtl/>
        </w:rPr>
        <w:t xml:space="preserve">מרדכי </w:t>
      </w:r>
      <w:r w:rsidRPr="00E65330">
        <w:rPr>
          <w:rFonts w:cs="Arial"/>
          <w:sz w:val="16"/>
          <w:szCs w:val="16"/>
          <w:rtl/>
        </w:rPr>
        <w:t>(</w:t>
      </w:r>
      <w:r w:rsidRPr="00E65330">
        <w:rPr>
          <w:rFonts w:cs="Arial" w:hint="cs"/>
          <w:sz w:val="16"/>
          <w:szCs w:val="16"/>
          <w:rtl/>
        </w:rPr>
        <w:t>בהל</w:t>
      </w:r>
      <w:r>
        <w:rPr>
          <w:rFonts w:cs="Arial" w:hint="cs"/>
          <w:sz w:val="16"/>
          <w:szCs w:val="16"/>
          <w:rtl/>
        </w:rPr>
        <w:t>'</w:t>
      </w:r>
      <w:r w:rsidRPr="00E65330">
        <w:rPr>
          <w:rFonts w:cs="Arial" w:hint="cs"/>
          <w:sz w:val="16"/>
          <w:szCs w:val="16"/>
          <w:rtl/>
        </w:rPr>
        <w:t xml:space="preserve"> הגט </w:t>
      </w:r>
      <w:r w:rsidRPr="00E65330">
        <w:rPr>
          <w:rFonts w:cs="Arial"/>
          <w:sz w:val="16"/>
          <w:szCs w:val="16"/>
          <w:rtl/>
        </w:rPr>
        <w:t xml:space="preserve">סי' תנד) </w:t>
      </w:r>
      <w:r w:rsidRPr="00E65330">
        <w:rPr>
          <w:rFonts w:cs="Arial"/>
          <w:rtl/>
        </w:rPr>
        <w:t xml:space="preserve">רא"ש </w:t>
      </w:r>
      <w:r w:rsidRPr="00E65330">
        <w:rPr>
          <w:rFonts w:cs="Arial" w:hint="cs"/>
          <w:sz w:val="16"/>
          <w:szCs w:val="16"/>
          <w:rtl/>
        </w:rPr>
        <w:t>(</w:t>
      </w:r>
      <w:r w:rsidRPr="00E65330">
        <w:rPr>
          <w:rFonts w:cs="Arial"/>
          <w:sz w:val="16"/>
          <w:szCs w:val="16"/>
          <w:rtl/>
        </w:rPr>
        <w:t>סדר כתיבת הגט</w:t>
      </w:r>
      <w:r w:rsidRPr="00E65330">
        <w:rPr>
          <w:rFonts w:cs="Arial" w:hint="cs"/>
          <w:sz w:val="16"/>
          <w:szCs w:val="16"/>
          <w:rtl/>
        </w:rPr>
        <w:t xml:space="preserve">) </w:t>
      </w:r>
      <w:r w:rsidRPr="00E65330">
        <w:rPr>
          <w:rFonts w:cs="Arial"/>
          <w:rtl/>
        </w:rPr>
        <w:t>הג</w:t>
      </w:r>
      <w:r w:rsidRPr="00E65330">
        <w:rPr>
          <w:rFonts w:cs="Arial" w:hint="cs"/>
          <w:rtl/>
        </w:rPr>
        <w:t>ה"מ</w:t>
      </w:r>
      <w:r w:rsidRPr="00E65330">
        <w:rPr>
          <w:rFonts w:cs="Arial"/>
          <w:rtl/>
        </w:rPr>
        <w:t xml:space="preserve"> </w:t>
      </w:r>
      <w:r w:rsidRPr="00E65330">
        <w:rPr>
          <w:rFonts w:cs="Arial" w:hint="cs"/>
          <w:sz w:val="16"/>
          <w:szCs w:val="16"/>
          <w:rtl/>
        </w:rPr>
        <w:t xml:space="preserve">(פ"ד </w:t>
      </w:r>
      <w:r w:rsidRPr="00E65330">
        <w:rPr>
          <w:rFonts w:cs="Arial"/>
          <w:sz w:val="16"/>
          <w:szCs w:val="16"/>
          <w:rtl/>
        </w:rPr>
        <w:t>הי"ב)</w:t>
      </w:r>
      <w:r w:rsidRPr="00E65330">
        <w:rPr>
          <w:rFonts w:cs="Arial" w:hint="cs"/>
          <w:sz w:val="16"/>
          <w:szCs w:val="16"/>
          <w:rtl/>
        </w:rPr>
        <w:t xml:space="preserve"> </w:t>
      </w:r>
      <w:r>
        <w:rPr>
          <w:rFonts w:cs="Arial" w:hint="cs"/>
          <w:rtl/>
        </w:rPr>
        <w:t xml:space="preserve">טור </w:t>
      </w:r>
      <w:r w:rsidRPr="00E65330">
        <w:rPr>
          <w:rFonts w:cs="Arial" w:hint="cs"/>
          <w:rtl/>
        </w:rPr>
        <w:t xml:space="preserve">ורי"ו </w:t>
      </w:r>
      <w:r w:rsidRPr="00E65330">
        <w:rPr>
          <w:rFonts w:cs="Arial" w:hint="cs"/>
          <w:sz w:val="16"/>
          <w:szCs w:val="16"/>
          <w:rtl/>
        </w:rPr>
        <w:t>(</w:t>
      </w:r>
      <w:r w:rsidRPr="00E65330">
        <w:rPr>
          <w:rFonts w:cs="Arial"/>
          <w:sz w:val="16"/>
          <w:szCs w:val="16"/>
          <w:rtl/>
        </w:rPr>
        <w:t xml:space="preserve">נכ"ד </w:t>
      </w:r>
      <w:r>
        <w:rPr>
          <w:rFonts w:cs="Arial" w:hint="cs"/>
          <w:sz w:val="16"/>
          <w:szCs w:val="16"/>
          <w:rtl/>
        </w:rPr>
        <w:t xml:space="preserve">ח"ב </w:t>
      </w:r>
      <w:r w:rsidRPr="00E65330">
        <w:rPr>
          <w:rFonts w:cs="Arial"/>
          <w:sz w:val="16"/>
          <w:szCs w:val="16"/>
          <w:rtl/>
        </w:rPr>
        <w:t>רו ע"ד)</w:t>
      </w:r>
      <w:r w:rsidR="00A82951">
        <w:rPr>
          <w:rFonts w:hint="cs"/>
          <w:rtl/>
        </w:rPr>
        <w:t>-</w:t>
      </w:r>
      <w:r>
        <w:rPr>
          <w:rFonts w:hint="cs"/>
          <w:rtl/>
        </w:rPr>
        <w:t xml:space="preserve"> </w:t>
      </w:r>
      <w:r w:rsidRPr="00E65330">
        <w:rPr>
          <w:rFonts w:cs="Arial"/>
          <w:rtl/>
        </w:rPr>
        <w:t>בשלישי ברביעי בחמישי בשבת</w:t>
      </w:r>
      <w:r w:rsidR="003A0EA7">
        <w:rPr>
          <w:rFonts w:cs="Arial" w:hint="cs"/>
          <w:rtl/>
        </w:rPr>
        <w:t>,</w:t>
      </w:r>
      <w:r w:rsidRPr="00E65330">
        <w:rPr>
          <w:rFonts w:cs="Arial"/>
          <w:rtl/>
        </w:rPr>
        <w:t xml:space="preserve"> מלא יו"ד</w:t>
      </w:r>
      <w:r w:rsidR="003A0EA7">
        <w:rPr>
          <w:rFonts w:cs="Arial" w:hint="cs"/>
          <w:rtl/>
        </w:rPr>
        <w:t>.</w:t>
      </w:r>
      <w:r w:rsidRPr="00E65330">
        <w:rPr>
          <w:rFonts w:cs="Arial"/>
          <w:rtl/>
        </w:rPr>
        <w:t xml:space="preserve"> בשני בששי</w:t>
      </w:r>
      <w:r w:rsidR="003A0EA7">
        <w:rPr>
          <w:rFonts w:cs="Arial" w:hint="cs"/>
          <w:rtl/>
        </w:rPr>
        <w:t>,</w:t>
      </w:r>
      <w:r w:rsidRPr="00E65330">
        <w:rPr>
          <w:rFonts w:cs="Arial"/>
          <w:rtl/>
        </w:rPr>
        <w:t xml:space="preserve"> בלא יו"ד</w:t>
      </w:r>
      <w:r w:rsidRPr="00E65330">
        <w:rPr>
          <w:rFonts w:hint="cs"/>
          <w:sz w:val="16"/>
          <w:szCs w:val="16"/>
          <w:rtl/>
        </w:rPr>
        <w:t xml:space="preserve"> (ל' הרא"ש)</w:t>
      </w:r>
      <w:r>
        <w:rPr>
          <w:rFonts w:hint="cs"/>
          <w:rtl/>
        </w:rPr>
        <w:t xml:space="preserve">. </w:t>
      </w:r>
      <w:r w:rsidRPr="00E65330">
        <w:rPr>
          <w:rFonts w:hint="cs"/>
          <w:color w:val="E36C0A" w:themeColor="accent6" w:themeShade="BF"/>
          <w:rtl/>
        </w:rPr>
        <w:t>(וכ"פ בשו"ע)</w:t>
      </w:r>
    </w:p>
    <w:p w14:paraId="352075C8"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9534D47" w14:textId="77777777" w:rsidR="00FA2119" w:rsidRPr="00351B7D" w:rsidRDefault="00FA2119" w:rsidP="00FA2119">
      <w:pPr>
        <w:rPr>
          <w:rFonts w:asciiTheme="minorBidi" w:hAnsiTheme="minorBidi"/>
          <w:color w:val="000000"/>
          <w:rtl/>
        </w:rPr>
      </w:pPr>
      <w:r w:rsidRPr="00351B7D">
        <w:rPr>
          <w:rFonts w:asciiTheme="minorBidi" w:hAnsiTheme="minorBidi"/>
          <w:rtl/>
        </w:rPr>
        <w:t>בשלישי ברביעי בחמישי</w:t>
      </w:r>
      <w:r>
        <w:rPr>
          <w:rFonts w:asciiTheme="minorBidi" w:hAnsiTheme="minorBidi" w:hint="cs"/>
          <w:rtl/>
        </w:rPr>
        <w:t>,</w:t>
      </w:r>
      <w:r w:rsidRPr="00351B7D">
        <w:rPr>
          <w:rFonts w:asciiTheme="minorBidi" w:hAnsiTheme="minorBidi"/>
          <w:rtl/>
        </w:rPr>
        <w:t xml:space="preserve"> מלאים יו"ד</w:t>
      </w:r>
      <w:r w:rsidRPr="00351B7D">
        <w:rPr>
          <w:rStyle w:val="a7"/>
          <w:rFonts w:asciiTheme="minorBidi" w:hAnsiTheme="minorBidi"/>
          <w:color w:val="000000"/>
          <w:rtl/>
        </w:rPr>
        <w:footnoteReference w:id="667"/>
      </w:r>
      <w:r>
        <w:rPr>
          <w:rFonts w:asciiTheme="minorBidi" w:hAnsiTheme="minorBidi" w:hint="cs"/>
          <w:rtl/>
        </w:rPr>
        <w:t>.</w:t>
      </w:r>
      <w:r w:rsidRPr="00351B7D">
        <w:rPr>
          <w:rFonts w:asciiTheme="minorBidi" w:hAnsiTheme="minorBidi"/>
          <w:rtl/>
        </w:rPr>
        <w:t xml:space="preserve"> בשני בששי</w:t>
      </w:r>
      <w:r>
        <w:rPr>
          <w:rFonts w:asciiTheme="minorBidi" w:hAnsiTheme="minorBidi" w:hint="cs"/>
          <w:rtl/>
        </w:rPr>
        <w:t>,</w:t>
      </w:r>
      <w:r w:rsidRPr="00351B7D">
        <w:rPr>
          <w:rFonts w:asciiTheme="minorBidi" w:hAnsiTheme="minorBidi"/>
          <w:rtl/>
        </w:rPr>
        <w:t xml:space="preserve"> חסרים</w:t>
      </w:r>
      <w:r w:rsidRPr="00351B7D">
        <w:rPr>
          <w:rFonts w:asciiTheme="minorBidi" w:hAnsiTheme="minorBidi"/>
          <w:color w:val="000000"/>
          <w:rtl/>
        </w:rPr>
        <w:t xml:space="preserve">. </w:t>
      </w:r>
    </w:p>
    <w:p w14:paraId="4BC86B8B" w14:textId="77777777" w:rsidR="00FA2119" w:rsidRPr="00351B7D" w:rsidRDefault="00FA2119" w:rsidP="00FA2119">
      <w:pPr>
        <w:rPr>
          <w:rFonts w:asciiTheme="minorBidi" w:hAnsiTheme="minorBidi"/>
          <w:color w:val="000000"/>
          <w:rtl/>
        </w:rPr>
      </w:pPr>
    </w:p>
    <w:p w14:paraId="62D289A9" w14:textId="77777777" w:rsidR="00FA2119" w:rsidRDefault="00FA2119" w:rsidP="00FA2119">
      <w:pPr>
        <w:pStyle w:val="2"/>
        <w:rPr>
          <w:rtl/>
        </w:rPr>
      </w:pPr>
      <w:r w:rsidRPr="00351B7D">
        <w:rPr>
          <w:rtl/>
        </w:rPr>
        <w:lastRenderedPageBreak/>
        <w:t xml:space="preserve">סעיף ג: </w:t>
      </w:r>
      <w:r>
        <w:rPr>
          <w:rFonts w:hint="cs"/>
          <w:rtl/>
        </w:rPr>
        <w:t>'</w:t>
      </w:r>
      <w:r w:rsidRPr="00351B7D">
        <w:rPr>
          <w:rtl/>
        </w:rPr>
        <w:t>אחד</w:t>
      </w:r>
      <w:r>
        <w:rPr>
          <w:rFonts w:hint="cs"/>
          <w:rtl/>
        </w:rPr>
        <w:t xml:space="preserve"> בשבת' במקום 'ראשון'</w:t>
      </w:r>
      <w:r w:rsidRPr="00351B7D">
        <w:rPr>
          <w:rtl/>
        </w:rPr>
        <w:t>.</w:t>
      </w:r>
    </w:p>
    <w:p w14:paraId="41F81440" w14:textId="77777777" w:rsidR="00FA2119" w:rsidRPr="002D3D97" w:rsidRDefault="00FA2119" w:rsidP="00FA2119">
      <w:pPr>
        <w:rPr>
          <w:u w:val="single"/>
          <w:rtl/>
        </w:rPr>
      </w:pPr>
      <w:r w:rsidRPr="002D3D97">
        <w:rPr>
          <w:rFonts w:hint="cs"/>
          <w:u w:val="single"/>
          <w:rtl/>
        </w:rPr>
        <w:t>'</w:t>
      </w:r>
      <w:r w:rsidRPr="002D3D97">
        <w:rPr>
          <w:u w:val="single"/>
          <w:rtl/>
        </w:rPr>
        <w:t>אחד</w:t>
      </w:r>
      <w:r w:rsidRPr="002D3D97">
        <w:rPr>
          <w:rFonts w:hint="cs"/>
          <w:u w:val="single"/>
          <w:rtl/>
        </w:rPr>
        <w:t xml:space="preserve"> בשבת' במקום 'ראשון':</w:t>
      </w:r>
    </w:p>
    <w:p w14:paraId="652DBEC1" w14:textId="52595519" w:rsidR="00FA2119" w:rsidRPr="002D3D97" w:rsidRDefault="00FA2119" w:rsidP="00FA2119">
      <w:pPr>
        <w:pStyle w:val="ab"/>
        <w:numPr>
          <w:ilvl w:val="0"/>
          <w:numId w:val="8"/>
        </w:numPr>
        <w:rPr>
          <w:rtl/>
        </w:rPr>
      </w:pPr>
      <w:r w:rsidRPr="002D3D97">
        <w:rPr>
          <w:rFonts w:cs="Arial" w:hint="cs"/>
          <w:rtl/>
        </w:rPr>
        <w:t xml:space="preserve">כל בו </w:t>
      </w:r>
      <w:r w:rsidRPr="002D3D97">
        <w:rPr>
          <w:rFonts w:cs="Arial" w:hint="cs"/>
          <w:sz w:val="16"/>
          <w:szCs w:val="16"/>
          <w:rtl/>
        </w:rPr>
        <w:t>(סי' עו)</w:t>
      </w:r>
      <w:r w:rsidR="00A82951">
        <w:rPr>
          <w:rFonts w:cs="Arial" w:hint="cs"/>
          <w:rtl/>
        </w:rPr>
        <w:t>-</w:t>
      </w:r>
      <w:r w:rsidRPr="002D3D97">
        <w:rPr>
          <w:rFonts w:cs="Arial" w:hint="cs"/>
          <w:rtl/>
        </w:rPr>
        <w:t xml:space="preserve"> </w:t>
      </w:r>
      <w:r w:rsidRPr="002D3D97">
        <w:rPr>
          <w:rFonts w:cs="Arial"/>
          <w:rtl/>
        </w:rPr>
        <w:t>יום ראשון יכתוב</w:t>
      </w:r>
      <w:r w:rsidR="000D7F60">
        <w:rPr>
          <w:rFonts w:cs="Arial" w:hint="cs"/>
          <w:rtl/>
        </w:rPr>
        <w:t>:</w:t>
      </w:r>
      <w:r w:rsidRPr="002D3D97">
        <w:rPr>
          <w:rFonts w:cs="Arial"/>
          <w:rtl/>
        </w:rPr>
        <w:t xml:space="preserve"> באחד בשבת</w:t>
      </w:r>
      <w:r w:rsidRPr="002D3D97">
        <w:rPr>
          <w:rFonts w:cs="Arial" w:hint="cs"/>
          <w:rtl/>
        </w:rPr>
        <w:t>.</w:t>
      </w:r>
      <w:r>
        <w:rPr>
          <w:rFonts w:hint="cs"/>
          <w:rtl/>
        </w:rPr>
        <w:t xml:space="preserve"> </w:t>
      </w:r>
      <w:r w:rsidRPr="00E65330">
        <w:rPr>
          <w:rFonts w:hint="cs"/>
          <w:color w:val="E36C0A" w:themeColor="accent6" w:themeShade="BF"/>
          <w:rtl/>
        </w:rPr>
        <w:t>(וכ"פ בשו"ע)</w:t>
      </w:r>
    </w:p>
    <w:p w14:paraId="26FBD459"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60E12D4" w14:textId="48227B92" w:rsidR="00FA2119" w:rsidRPr="002D3D97" w:rsidRDefault="00FA2119" w:rsidP="00FA2119">
      <w:pPr>
        <w:rPr>
          <w:rFonts w:asciiTheme="minorBidi" w:hAnsiTheme="minorBidi"/>
          <w:color w:val="000000"/>
          <w:sz w:val="16"/>
          <w:szCs w:val="16"/>
        </w:rPr>
      </w:pPr>
      <w:r w:rsidRPr="00351B7D">
        <w:rPr>
          <w:rFonts w:asciiTheme="minorBidi" w:hAnsiTheme="minorBidi"/>
          <w:rtl/>
        </w:rPr>
        <w:t>יום ראשון יכתוב</w:t>
      </w:r>
      <w:r w:rsidR="000D7F60">
        <w:rPr>
          <w:rFonts w:asciiTheme="minorBidi" w:hAnsiTheme="minorBidi" w:hint="cs"/>
          <w:rtl/>
        </w:rPr>
        <w:t>:</w:t>
      </w:r>
      <w:r w:rsidRPr="00351B7D">
        <w:rPr>
          <w:rFonts w:asciiTheme="minorBidi" w:hAnsiTheme="minorBidi"/>
          <w:rtl/>
        </w:rPr>
        <w:t xml:space="preserve"> באחד</w:t>
      </w:r>
      <w:r>
        <w:rPr>
          <w:rStyle w:val="a7"/>
          <w:rFonts w:asciiTheme="minorBidi" w:hAnsiTheme="minorBidi"/>
          <w:rtl/>
        </w:rPr>
        <w:footnoteReference w:id="668"/>
      </w:r>
      <w:r w:rsidRPr="00351B7D">
        <w:rPr>
          <w:rFonts w:asciiTheme="minorBidi" w:hAnsiTheme="minorBidi"/>
          <w:rtl/>
        </w:rPr>
        <w:t xml:space="preserve"> בשבת</w:t>
      </w:r>
      <w:r w:rsidRPr="00351B7D">
        <w:rPr>
          <w:rStyle w:val="a7"/>
          <w:rFonts w:asciiTheme="minorBidi" w:hAnsiTheme="minorBidi"/>
          <w:color w:val="000000"/>
          <w:rtl/>
        </w:rPr>
        <w:footnoteReference w:id="669"/>
      </w:r>
      <w:r w:rsidRPr="00351B7D">
        <w:rPr>
          <w:rFonts w:asciiTheme="minorBidi" w:hAnsiTheme="minorBidi"/>
          <w:color w:val="000000"/>
          <w:rtl/>
        </w:rPr>
        <w:t xml:space="preserve">. </w:t>
      </w:r>
    </w:p>
    <w:p w14:paraId="04F52736" w14:textId="77777777" w:rsidR="00FA2119" w:rsidRPr="00351B7D" w:rsidRDefault="00FA2119" w:rsidP="00FA2119">
      <w:pPr>
        <w:rPr>
          <w:rFonts w:asciiTheme="minorBidi" w:hAnsiTheme="minorBidi"/>
          <w:color w:val="000000"/>
          <w:u w:val="single"/>
        </w:rPr>
      </w:pPr>
      <w:r w:rsidRPr="00351B7D">
        <w:rPr>
          <w:rFonts w:asciiTheme="minorBidi" w:hAnsiTheme="minorBidi"/>
          <w:u w:val="single"/>
          <w:rtl/>
        </w:rPr>
        <w:t>כתב בגט 'לחדש' במקום 'לירח':</w:t>
      </w:r>
      <w:r w:rsidRPr="00351B7D">
        <w:rPr>
          <w:rFonts w:asciiTheme="minorBidi" w:hAnsiTheme="minorBidi"/>
          <w:color w:val="000000"/>
          <w:sz w:val="16"/>
          <w:szCs w:val="16"/>
          <w:rtl/>
        </w:rPr>
        <w:t xml:space="preserve">  (פת"ש סק"ד)</w:t>
      </w:r>
    </w:p>
    <w:p w14:paraId="4BEDEE13" w14:textId="6DEB618F" w:rsidR="00FA2119" w:rsidRPr="00351B7D" w:rsidRDefault="00FA2119" w:rsidP="00FA2119">
      <w:pPr>
        <w:pStyle w:val="ab"/>
        <w:numPr>
          <w:ilvl w:val="0"/>
          <w:numId w:val="8"/>
        </w:numPr>
        <w:rPr>
          <w:rFonts w:asciiTheme="minorBidi" w:hAnsiTheme="minorBidi"/>
          <w:color w:val="000000"/>
          <w:rtl/>
        </w:rPr>
      </w:pPr>
      <w:r w:rsidRPr="00351B7D">
        <w:rPr>
          <w:rFonts w:asciiTheme="minorBidi" w:hAnsiTheme="minorBidi"/>
          <w:rtl/>
        </w:rPr>
        <w:t>גט פשוט</w:t>
      </w:r>
      <w:r w:rsidR="00A82951">
        <w:rPr>
          <w:rFonts w:asciiTheme="minorBidi" w:hAnsiTheme="minorBidi"/>
          <w:rtl/>
        </w:rPr>
        <w:t>-</w:t>
      </w:r>
      <w:r w:rsidRPr="00351B7D">
        <w:rPr>
          <w:rFonts w:asciiTheme="minorBidi" w:hAnsiTheme="minorBidi"/>
          <w:rtl/>
        </w:rPr>
        <w:t xml:space="preserve"> יראה שאם כתב לחדש ולא נקיט לישנא דירח</w:t>
      </w:r>
      <w:r w:rsidR="000D7F60">
        <w:rPr>
          <w:rFonts w:asciiTheme="minorBidi" w:hAnsiTheme="minorBidi" w:hint="cs"/>
          <w:rtl/>
        </w:rPr>
        <w:t>,</w:t>
      </w:r>
      <w:r w:rsidRPr="00351B7D">
        <w:rPr>
          <w:rFonts w:asciiTheme="minorBidi" w:hAnsiTheme="minorBidi"/>
          <w:rtl/>
        </w:rPr>
        <w:t xml:space="preserve"> יש להכשיר בדיעבד. </w:t>
      </w:r>
    </w:p>
    <w:p w14:paraId="01D3363C" w14:textId="77777777" w:rsidR="00FA2119" w:rsidRPr="00351B7D" w:rsidRDefault="00FA2119" w:rsidP="00FA2119">
      <w:pPr>
        <w:rPr>
          <w:rFonts w:asciiTheme="minorBidi" w:hAnsiTheme="minorBidi"/>
          <w:color w:val="000000"/>
          <w:rtl/>
        </w:rPr>
      </w:pPr>
    </w:p>
    <w:p w14:paraId="1ED43B6B" w14:textId="77777777" w:rsidR="00FA2119" w:rsidRPr="00351B7D" w:rsidRDefault="00FA2119" w:rsidP="00FA2119">
      <w:pPr>
        <w:pStyle w:val="2"/>
        <w:rPr>
          <w:rtl/>
        </w:rPr>
      </w:pPr>
      <w:r w:rsidRPr="00351B7D">
        <w:rPr>
          <w:rtl/>
        </w:rPr>
        <w:t>סעיף ד: כתיבת ר"ח</w:t>
      </w:r>
      <w:r w:rsidRPr="00351B7D">
        <w:rPr>
          <w:sz w:val="30"/>
          <w:szCs w:val="30"/>
          <w:rtl/>
        </w:rPr>
        <w:t xml:space="preserve"> </w:t>
      </w:r>
      <w:r w:rsidRPr="00351B7D">
        <w:rPr>
          <w:rtl/>
        </w:rPr>
        <w:t>כשהוא יום אחד, וכתיבת הימים.</w:t>
      </w:r>
    </w:p>
    <w:p w14:paraId="4EF84460" w14:textId="77777777" w:rsidR="00FA2119" w:rsidRPr="00351B7D" w:rsidRDefault="00FA2119" w:rsidP="00FA2119">
      <w:pPr>
        <w:rPr>
          <w:rFonts w:asciiTheme="minorBidi" w:hAnsiTheme="minorBidi"/>
          <w:rtl/>
        </w:rPr>
      </w:pPr>
      <w:r w:rsidRPr="00351B7D">
        <w:rPr>
          <w:rFonts w:asciiTheme="minorBidi" w:hAnsiTheme="minorBidi"/>
          <w:u w:val="single"/>
          <w:rtl/>
        </w:rPr>
        <w:t xml:space="preserve">כיצד לכתוב </w:t>
      </w:r>
      <w:r>
        <w:rPr>
          <w:rFonts w:asciiTheme="minorBidi" w:hAnsiTheme="minorBidi" w:hint="cs"/>
          <w:u w:val="single"/>
          <w:rtl/>
        </w:rPr>
        <w:t>את ה</w:t>
      </w:r>
      <w:r w:rsidRPr="00351B7D">
        <w:rPr>
          <w:rFonts w:asciiTheme="minorBidi" w:hAnsiTheme="minorBidi"/>
          <w:u w:val="single"/>
          <w:rtl/>
        </w:rPr>
        <w:t xml:space="preserve">יום </w:t>
      </w:r>
      <w:r>
        <w:rPr>
          <w:rFonts w:asciiTheme="minorBidi" w:hAnsiTheme="minorBidi" w:hint="cs"/>
          <w:u w:val="single"/>
          <w:rtl/>
        </w:rPr>
        <w:t>כשכותבים גט בראש חודש</w:t>
      </w:r>
      <w:r w:rsidRPr="00351B7D">
        <w:rPr>
          <w:rFonts w:asciiTheme="minorBidi" w:hAnsiTheme="minorBidi"/>
          <w:sz w:val="16"/>
          <w:szCs w:val="16"/>
          <w:u w:val="single"/>
          <w:rtl/>
        </w:rPr>
        <w:t xml:space="preserve"> (כשהר"ח הוא יום אחד)</w:t>
      </w:r>
      <w:r w:rsidRPr="00351B7D">
        <w:rPr>
          <w:rFonts w:asciiTheme="minorBidi" w:hAnsiTheme="minorBidi"/>
          <w:u w:val="single"/>
          <w:rtl/>
        </w:rPr>
        <w:t>:</w:t>
      </w:r>
      <w:r w:rsidRPr="00351B7D">
        <w:rPr>
          <w:rFonts w:asciiTheme="minorBidi" w:hAnsiTheme="minorBidi"/>
          <w:sz w:val="16"/>
          <w:szCs w:val="16"/>
          <w:rtl/>
        </w:rPr>
        <w:t xml:space="preserve">  </w:t>
      </w:r>
    </w:p>
    <w:p w14:paraId="2563F2D0" w14:textId="46CEA89D" w:rsidR="00FA2119" w:rsidRPr="00351B7D" w:rsidRDefault="00FA2119" w:rsidP="00FA2119">
      <w:pPr>
        <w:pStyle w:val="ab"/>
        <w:numPr>
          <w:ilvl w:val="0"/>
          <w:numId w:val="7"/>
        </w:numPr>
        <w:rPr>
          <w:rFonts w:asciiTheme="minorBidi" w:hAnsiTheme="minorBidi"/>
        </w:rPr>
      </w:pPr>
      <w:r w:rsidRPr="00351B7D">
        <w:rPr>
          <w:rFonts w:asciiTheme="minorBidi" w:hAnsiTheme="minorBidi"/>
          <w:rtl/>
        </w:rPr>
        <w:t>ה"ר פרץ</w:t>
      </w:r>
      <w:r>
        <w:rPr>
          <w:rFonts w:asciiTheme="minorBidi" w:hAnsiTheme="minorBidi" w:hint="cs"/>
          <w:sz w:val="16"/>
          <w:szCs w:val="16"/>
          <w:rtl/>
        </w:rPr>
        <w:t xml:space="preserve"> (כ"כ הטור בשמו)</w:t>
      </w:r>
      <w:r w:rsidR="00A82951">
        <w:rPr>
          <w:rFonts w:asciiTheme="minorBidi" w:hAnsiTheme="minorBidi"/>
          <w:rtl/>
        </w:rPr>
        <w:t>-</w:t>
      </w:r>
      <w:r w:rsidRPr="00351B7D">
        <w:rPr>
          <w:rFonts w:asciiTheme="minorBidi" w:hAnsiTheme="minorBidi"/>
          <w:rtl/>
        </w:rPr>
        <w:t xml:space="preserve"> </w:t>
      </w:r>
      <w:r w:rsidRPr="000D5721">
        <w:rPr>
          <w:rFonts w:asciiTheme="minorBidi" w:hAnsiTheme="minorBidi" w:cs="Arial"/>
          <w:rtl/>
        </w:rPr>
        <w:t xml:space="preserve">ביום ראש חודש יכתוב </w:t>
      </w:r>
      <w:r>
        <w:rPr>
          <w:rFonts w:asciiTheme="minorBidi" w:hAnsiTheme="minorBidi" w:cs="Arial" w:hint="cs"/>
          <w:rtl/>
        </w:rPr>
        <w:t>'</w:t>
      </w:r>
      <w:r w:rsidRPr="000D5721">
        <w:rPr>
          <w:rFonts w:asciiTheme="minorBidi" w:hAnsiTheme="minorBidi" w:cs="Arial"/>
          <w:rtl/>
        </w:rPr>
        <w:t>ביום אחד לירח פלוני</w:t>
      </w:r>
      <w:r>
        <w:rPr>
          <w:rFonts w:asciiTheme="minorBidi" w:hAnsiTheme="minorBidi" w:hint="cs"/>
          <w:rtl/>
        </w:rPr>
        <w:t>'</w:t>
      </w:r>
      <w:r w:rsidRPr="00351B7D">
        <w:rPr>
          <w:rFonts w:asciiTheme="minorBidi" w:hAnsiTheme="minorBidi"/>
          <w:rtl/>
        </w:rPr>
        <w:t>.</w:t>
      </w:r>
      <w:r w:rsidRPr="00351B7D">
        <w:rPr>
          <w:rFonts w:asciiTheme="minorBidi" w:hAnsiTheme="minorBidi"/>
          <w:color w:val="E36C0A" w:themeColor="accent6" w:themeShade="BF"/>
          <w:rtl/>
        </w:rPr>
        <w:t xml:space="preserve"> (וכ"פ בשו"ע)</w:t>
      </w:r>
      <w:r w:rsidRPr="00351B7D">
        <w:rPr>
          <w:rFonts w:asciiTheme="minorBidi" w:hAnsiTheme="minorBidi"/>
          <w:rtl/>
        </w:rPr>
        <w:t xml:space="preserve"> (וכ"פ הב"ח</w:t>
      </w:r>
      <w:r w:rsidRPr="00351B7D">
        <w:rPr>
          <w:rFonts w:asciiTheme="minorBidi" w:hAnsiTheme="minorBidi"/>
          <w:sz w:val="16"/>
          <w:szCs w:val="16"/>
          <w:rtl/>
        </w:rPr>
        <w:t xml:space="preserve"> [אות ד]</w:t>
      </w:r>
      <w:r w:rsidRPr="00351B7D">
        <w:rPr>
          <w:rFonts w:asciiTheme="minorBidi" w:hAnsiTheme="minorBidi"/>
          <w:rtl/>
        </w:rPr>
        <w:t>)</w:t>
      </w:r>
    </w:p>
    <w:p w14:paraId="0666EA89" w14:textId="62A6CBC0" w:rsidR="00FA2119" w:rsidRPr="00351B7D" w:rsidRDefault="00FA2119" w:rsidP="00FA2119">
      <w:pPr>
        <w:pStyle w:val="ab"/>
        <w:numPr>
          <w:ilvl w:val="0"/>
          <w:numId w:val="7"/>
        </w:numPr>
        <w:rPr>
          <w:rFonts w:asciiTheme="minorBidi" w:hAnsiTheme="minorBidi"/>
        </w:rPr>
      </w:pPr>
      <w:r w:rsidRPr="00351B7D">
        <w:rPr>
          <w:rFonts w:asciiTheme="minorBidi" w:hAnsiTheme="minorBidi"/>
          <w:rtl/>
        </w:rPr>
        <w:t>מרדכי</w:t>
      </w:r>
      <w:r w:rsidRPr="00351B7D">
        <w:rPr>
          <w:rFonts w:asciiTheme="minorBidi" w:hAnsiTheme="minorBidi"/>
          <w:sz w:val="16"/>
          <w:szCs w:val="16"/>
          <w:rtl/>
        </w:rPr>
        <w:t xml:space="preserve"> (</w:t>
      </w:r>
      <w:r>
        <w:rPr>
          <w:rFonts w:asciiTheme="minorBidi" w:hAnsiTheme="minorBidi" w:hint="cs"/>
          <w:sz w:val="16"/>
          <w:szCs w:val="16"/>
          <w:rtl/>
        </w:rPr>
        <w:t xml:space="preserve">הל' </w:t>
      </w:r>
      <w:r w:rsidRPr="00351B7D">
        <w:rPr>
          <w:rFonts w:asciiTheme="minorBidi" w:hAnsiTheme="minorBidi"/>
          <w:sz w:val="16"/>
          <w:szCs w:val="16"/>
          <w:rtl/>
        </w:rPr>
        <w:t>גט סי' תנד)</w:t>
      </w:r>
      <w:r w:rsidR="00A82951">
        <w:rPr>
          <w:rFonts w:asciiTheme="minorBidi" w:hAnsiTheme="minorBidi"/>
          <w:rtl/>
        </w:rPr>
        <w:t>-</w:t>
      </w:r>
      <w:r w:rsidRPr="00351B7D">
        <w:rPr>
          <w:rFonts w:asciiTheme="minorBidi" w:hAnsiTheme="minorBidi"/>
          <w:rtl/>
        </w:rPr>
        <w:t xml:space="preserve"> </w:t>
      </w:r>
      <w:r w:rsidRPr="007D687C">
        <w:rPr>
          <w:rFonts w:asciiTheme="minorBidi" w:hAnsiTheme="minorBidi" w:cs="Arial"/>
          <w:rtl/>
        </w:rPr>
        <w:t xml:space="preserve">ביום ראשון לחדש כותב </w:t>
      </w:r>
      <w:r>
        <w:rPr>
          <w:rFonts w:asciiTheme="minorBidi" w:hAnsiTheme="minorBidi" w:cs="Arial" w:hint="cs"/>
          <w:rtl/>
        </w:rPr>
        <w:t>'</w:t>
      </w:r>
      <w:r w:rsidRPr="007D687C">
        <w:rPr>
          <w:rFonts w:asciiTheme="minorBidi" w:hAnsiTheme="minorBidi" w:cs="Arial"/>
          <w:rtl/>
        </w:rPr>
        <w:t>באחד לירח פלוני</w:t>
      </w:r>
      <w:r>
        <w:rPr>
          <w:rFonts w:asciiTheme="minorBidi" w:hAnsiTheme="minorBidi" w:cs="Arial" w:hint="cs"/>
          <w:rtl/>
        </w:rPr>
        <w:t>'</w:t>
      </w:r>
      <w:r>
        <w:rPr>
          <w:rStyle w:val="a7"/>
          <w:rFonts w:asciiTheme="minorBidi" w:hAnsiTheme="minorBidi"/>
          <w:rtl/>
        </w:rPr>
        <w:footnoteReference w:id="670"/>
      </w:r>
      <w:r w:rsidRPr="00351B7D">
        <w:rPr>
          <w:rFonts w:asciiTheme="minorBidi" w:hAnsiTheme="minorBidi"/>
          <w:rtl/>
        </w:rPr>
        <w:t>. (וכ"פ בנחל"ש</w:t>
      </w:r>
      <w:r w:rsidRPr="00351B7D">
        <w:rPr>
          <w:rFonts w:asciiTheme="minorBidi" w:hAnsiTheme="minorBidi"/>
          <w:sz w:val="16"/>
          <w:szCs w:val="16"/>
          <w:rtl/>
        </w:rPr>
        <w:t xml:space="preserve"> [סי' מה סע' ב]</w:t>
      </w:r>
      <w:r w:rsidRPr="00351B7D">
        <w:rPr>
          <w:rFonts w:asciiTheme="minorBidi" w:hAnsiTheme="minorBidi"/>
          <w:rtl/>
        </w:rPr>
        <w:t>)</w:t>
      </w:r>
    </w:p>
    <w:p w14:paraId="35403C7F" w14:textId="7A0A9CC3" w:rsidR="00FA2119" w:rsidRPr="00351B7D" w:rsidRDefault="00FA2119" w:rsidP="00FA2119">
      <w:pPr>
        <w:pStyle w:val="ab"/>
        <w:numPr>
          <w:ilvl w:val="0"/>
          <w:numId w:val="7"/>
        </w:numPr>
        <w:rPr>
          <w:rFonts w:asciiTheme="minorBidi" w:hAnsiTheme="minorBidi"/>
        </w:rPr>
      </w:pPr>
      <w:r w:rsidRPr="00351B7D">
        <w:rPr>
          <w:rFonts w:asciiTheme="minorBidi" w:hAnsiTheme="minorBidi"/>
          <w:rtl/>
        </w:rPr>
        <w:t>סדר גיטין</w:t>
      </w:r>
      <w:r w:rsidRPr="00351B7D">
        <w:rPr>
          <w:rFonts w:asciiTheme="minorBidi" w:hAnsiTheme="minorBidi"/>
          <w:sz w:val="16"/>
          <w:szCs w:val="16"/>
          <w:rtl/>
        </w:rPr>
        <w:t xml:space="preserve"> (סי' יז סע' ג)</w:t>
      </w:r>
      <w:r w:rsidRPr="00351B7D">
        <w:rPr>
          <w:rFonts w:asciiTheme="minorBidi" w:hAnsiTheme="minorBidi"/>
          <w:rtl/>
        </w:rPr>
        <w:t xml:space="preserve"> וב"ז </w:t>
      </w:r>
      <w:r w:rsidRPr="00351B7D">
        <w:rPr>
          <w:rFonts w:asciiTheme="minorBidi" w:hAnsiTheme="minorBidi"/>
          <w:sz w:val="16"/>
          <w:szCs w:val="16"/>
          <w:rtl/>
        </w:rPr>
        <w:t>(סי' צ)</w:t>
      </w:r>
      <w:r w:rsidR="00A82951">
        <w:rPr>
          <w:rFonts w:asciiTheme="minorBidi" w:hAnsiTheme="minorBidi"/>
          <w:rtl/>
        </w:rPr>
        <w:t>-</w:t>
      </w:r>
      <w:r w:rsidRPr="00351B7D">
        <w:rPr>
          <w:rFonts w:asciiTheme="minorBidi" w:hAnsiTheme="minorBidi"/>
          <w:rtl/>
        </w:rPr>
        <w:t xml:space="preserve"> לב' אלו הסברות יש ראיה מן המקרא</w:t>
      </w:r>
      <w:r>
        <w:rPr>
          <w:rFonts w:asciiTheme="minorBidi" w:hAnsiTheme="minorBidi" w:hint="cs"/>
          <w:rtl/>
        </w:rPr>
        <w:t>,</w:t>
      </w:r>
      <w:r w:rsidRPr="00351B7D">
        <w:rPr>
          <w:rFonts w:asciiTheme="minorBidi" w:hAnsiTheme="minorBidi"/>
          <w:rtl/>
        </w:rPr>
        <w:t xml:space="preserve"> ועל כן יש נמנעין לתת גט בר"ח דלא ידעי כיצד יכתבו</w:t>
      </w:r>
      <w:r>
        <w:rPr>
          <w:rFonts w:asciiTheme="minorBidi" w:hAnsiTheme="minorBidi" w:hint="cs"/>
          <w:sz w:val="16"/>
          <w:szCs w:val="16"/>
          <w:rtl/>
        </w:rPr>
        <w:t xml:space="preserve"> (ל' הדרכ"מ בשם סדר גיטין)</w:t>
      </w:r>
      <w:r w:rsidRPr="00351B7D">
        <w:rPr>
          <w:rFonts w:asciiTheme="minorBidi" w:hAnsiTheme="minorBidi"/>
          <w:rtl/>
        </w:rPr>
        <w:t>.</w:t>
      </w:r>
    </w:p>
    <w:p w14:paraId="7C5DACD9" w14:textId="77777777" w:rsidR="00FA2119" w:rsidRPr="00351B7D" w:rsidRDefault="00FA2119" w:rsidP="00FA2119">
      <w:pPr>
        <w:rPr>
          <w:rFonts w:asciiTheme="minorBidi" w:hAnsiTheme="minorBidi"/>
          <w:u w:val="single"/>
          <w:rtl/>
        </w:rPr>
      </w:pPr>
      <w:r w:rsidRPr="00351B7D">
        <w:rPr>
          <w:rFonts w:asciiTheme="minorBidi" w:hAnsiTheme="minorBidi"/>
          <w:u w:val="single"/>
          <w:rtl/>
        </w:rPr>
        <w:t xml:space="preserve">כיצד יש לכתוב, </w:t>
      </w:r>
      <w:r>
        <w:rPr>
          <w:rFonts w:asciiTheme="minorBidi" w:hAnsiTheme="minorBidi" w:hint="cs"/>
          <w:u w:val="single"/>
          <w:rtl/>
        </w:rPr>
        <w:t>'</w:t>
      </w:r>
      <w:r w:rsidRPr="00351B7D">
        <w:rPr>
          <w:rFonts w:asciiTheme="minorBidi" w:hAnsiTheme="minorBidi"/>
          <w:u w:val="single"/>
          <w:rtl/>
        </w:rPr>
        <w:t xml:space="preserve">בעשרים </w:t>
      </w:r>
      <w:r w:rsidRPr="00D66A3B">
        <w:rPr>
          <w:rFonts w:asciiTheme="minorBidi" w:hAnsiTheme="minorBidi"/>
          <w:b/>
          <w:bCs/>
          <w:u w:val="single"/>
          <w:rtl/>
        </w:rPr>
        <w:t>יום</w:t>
      </w:r>
      <w:r w:rsidRPr="00351B7D">
        <w:rPr>
          <w:rFonts w:asciiTheme="minorBidi" w:hAnsiTheme="minorBidi"/>
          <w:u w:val="single"/>
          <w:rtl/>
        </w:rPr>
        <w:t xml:space="preserve"> לירח פלוני</w:t>
      </w:r>
      <w:r>
        <w:rPr>
          <w:rFonts w:asciiTheme="minorBidi" w:hAnsiTheme="minorBidi" w:hint="cs"/>
          <w:u w:val="single"/>
          <w:rtl/>
        </w:rPr>
        <w:t>'</w:t>
      </w:r>
      <w:r w:rsidRPr="00351B7D">
        <w:rPr>
          <w:rFonts w:asciiTheme="minorBidi" w:hAnsiTheme="minorBidi"/>
          <w:u w:val="single"/>
          <w:rtl/>
        </w:rPr>
        <w:t xml:space="preserve"> או </w:t>
      </w:r>
      <w:r>
        <w:rPr>
          <w:rFonts w:asciiTheme="minorBidi" w:hAnsiTheme="minorBidi" w:hint="cs"/>
          <w:u w:val="single"/>
          <w:rtl/>
        </w:rPr>
        <w:t>'</w:t>
      </w:r>
      <w:r w:rsidRPr="00351B7D">
        <w:rPr>
          <w:rFonts w:asciiTheme="minorBidi" w:hAnsiTheme="minorBidi"/>
          <w:u w:val="single"/>
          <w:rtl/>
        </w:rPr>
        <w:t xml:space="preserve">בעשרים </w:t>
      </w:r>
      <w:r w:rsidRPr="00D66A3B">
        <w:rPr>
          <w:rFonts w:asciiTheme="minorBidi" w:hAnsiTheme="minorBidi"/>
          <w:b/>
          <w:bCs/>
          <w:u w:val="single"/>
          <w:rtl/>
        </w:rPr>
        <w:t>ימים</w:t>
      </w:r>
      <w:r>
        <w:rPr>
          <w:rFonts w:asciiTheme="minorBidi" w:hAnsiTheme="minorBidi" w:hint="cs"/>
          <w:u w:val="single"/>
          <w:rtl/>
        </w:rPr>
        <w:t>'</w:t>
      </w:r>
      <w:r w:rsidRPr="00351B7D">
        <w:rPr>
          <w:rFonts w:asciiTheme="minorBidi" w:hAnsiTheme="minorBidi"/>
          <w:u w:val="single"/>
          <w:rtl/>
        </w:rPr>
        <w:t>:</w:t>
      </w:r>
      <w:r w:rsidRPr="00351B7D">
        <w:rPr>
          <w:rFonts w:asciiTheme="minorBidi" w:hAnsiTheme="minorBidi"/>
          <w:sz w:val="16"/>
          <w:szCs w:val="16"/>
          <w:rtl/>
        </w:rPr>
        <w:t xml:space="preserve">  (ב"י [ד(ב)], ודרכ"מ [אות כו ואות כז])</w:t>
      </w:r>
    </w:p>
    <w:p w14:paraId="30BD036F" w14:textId="60DD1502" w:rsidR="00FA2119" w:rsidRPr="00E979E0" w:rsidRDefault="00FA2119" w:rsidP="00FA2119">
      <w:pPr>
        <w:pStyle w:val="ab"/>
        <w:numPr>
          <w:ilvl w:val="0"/>
          <w:numId w:val="9"/>
        </w:numPr>
        <w:rPr>
          <w:rFonts w:asciiTheme="minorBidi" w:hAnsiTheme="minorBidi"/>
        </w:rPr>
      </w:pPr>
      <w:r>
        <w:rPr>
          <w:rFonts w:asciiTheme="minorBidi" w:hAnsiTheme="minorBidi" w:hint="cs"/>
          <w:rtl/>
        </w:rPr>
        <w:t xml:space="preserve">מרדכי </w:t>
      </w:r>
      <w:r w:rsidRPr="00351B7D">
        <w:rPr>
          <w:rFonts w:asciiTheme="minorBidi" w:hAnsiTheme="minorBidi"/>
          <w:rtl/>
        </w:rPr>
        <w:t>מהרי"ו כל בו וסדר גיטין</w:t>
      </w:r>
      <w:r w:rsidRPr="00351B7D">
        <w:rPr>
          <w:rStyle w:val="a7"/>
          <w:rFonts w:asciiTheme="minorBidi" w:hAnsiTheme="minorBidi"/>
          <w:rtl/>
        </w:rPr>
        <w:footnoteReference w:id="671"/>
      </w:r>
      <w:r w:rsidR="00A82951">
        <w:rPr>
          <w:rFonts w:asciiTheme="minorBidi" w:hAnsiTheme="minorBidi"/>
          <w:rtl/>
        </w:rPr>
        <w:t>-</w:t>
      </w:r>
      <w:r w:rsidRPr="00351B7D">
        <w:rPr>
          <w:rFonts w:asciiTheme="minorBidi" w:hAnsiTheme="minorBidi"/>
          <w:rtl/>
        </w:rPr>
        <w:t xml:space="preserve"> בשני 'ימים'</w:t>
      </w:r>
      <w:r>
        <w:rPr>
          <w:rFonts w:asciiTheme="minorBidi" w:hAnsiTheme="minorBidi" w:hint="cs"/>
          <w:rtl/>
        </w:rPr>
        <w:t>,</w:t>
      </w:r>
      <w:r w:rsidRPr="00351B7D">
        <w:rPr>
          <w:rFonts w:asciiTheme="minorBidi" w:hAnsiTheme="minorBidi"/>
          <w:rtl/>
        </w:rPr>
        <w:t xml:space="preserve"> בשלשה 'ימים'</w:t>
      </w:r>
      <w:r>
        <w:rPr>
          <w:rFonts w:asciiTheme="minorBidi" w:hAnsiTheme="minorBidi" w:hint="cs"/>
          <w:rtl/>
        </w:rPr>
        <w:t>,</w:t>
      </w:r>
      <w:r w:rsidRPr="00351B7D">
        <w:rPr>
          <w:rFonts w:asciiTheme="minorBidi" w:hAnsiTheme="minorBidi"/>
          <w:rtl/>
        </w:rPr>
        <w:t xml:space="preserve"> בארבעה 'ימים', וכן יעשה עד עשרה 'ימים', מכאן ואילך יכתוב 'יום'</w:t>
      </w:r>
      <w:r>
        <w:rPr>
          <w:rStyle w:val="a7"/>
          <w:rFonts w:cs="Arial"/>
          <w:rtl/>
        </w:rPr>
        <w:footnoteReference w:id="672"/>
      </w:r>
      <w:r w:rsidRPr="00351B7D">
        <w:rPr>
          <w:rFonts w:asciiTheme="minorBidi" w:hAnsiTheme="minorBidi"/>
          <w:rtl/>
        </w:rPr>
        <w:t xml:space="preserve">. </w:t>
      </w:r>
      <w:r w:rsidRPr="00351B7D">
        <w:rPr>
          <w:rFonts w:asciiTheme="minorBidi" w:hAnsiTheme="minorBidi"/>
          <w:color w:val="00B0F0"/>
          <w:rtl/>
        </w:rPr>
        <w:t>(וכ"פ הרמ"א)</w:t>
      </w:r>
    </w:p>
    <w:p w14:paraId="5E3983E0" w14:textId="77777777" w:rsidR="00FA2119" w:rsidRPr="00351B7D" w:rsidRDefault="00FA2119" w:rsidP="00FA2119">
      <w:pPr>
        <w:ind w:left="360"/>
        <w:rPr>
          <w:rFonts w:asciiTheme="minorBidi" w:hAnsiTheme="minorBidi"/>
          <w:u w:val="dotted"/>
          <w:rtl/>
        </w:rPr>
      </w:pPr>
      <w:r w:rsidRPr="00351B7D">
        <w:rPr>
          <w:rFonts w:asciiTheme="minorBidi" w:hAnsiTheme="minorBidi"/>
          <w:u w:val="dotted"/>
          <w:rtl/>
        </w:rPr>
        <w:t>מה הדין אם כתב בגט 'ימים' היכא דהיה צריך לכתוב 'יום':</w:t>
      </w:r>
    </w:p>
    <w:p w14:paraId="5F851E4F" w14:textId="567B16A1" w:rsidR="00FA2119" w:rsidRPr="00351B7D" w:rsidRDefault="00FA2119" w:rsidP="00FA2119">
      <w:pPr>
        <w:pStyle w:val="ab"/>
        <w:numPr>
          <w:ilvl w:val="0"/>
          <w:numId w:val="9"/>
        </w:numPr>
        <w:rPr>
          <w:rFonts w:asciiTheme="minorBidi" w:hAnsiTheme="minorBidi"/>
        </w:rPr>
      </w:pPr>
      <w:r w:rsidRPr="00351B7D">
        <w:rPr>
          <w:rFonts w:asciiTheme="minorBidi" w:hAnsiTheme="minorBidi"/>
          <w:rtl/>
        </w:rPr>
        <w:t xml:space="preserve">מהרי"ו </w:t>
      </w:r>
      <w:r w:rsidRPr="00351B7D">
        <w:rPr>
          <w:rFonts w:asciiTheme="minorBidi" w:hAnsiTheme="minorBidi"/>
          <w:sz w:val="16"/>
          <w:szCs w:val="16"/>
          <w:rtl/>
        </w:rPr>
        <w:t>(סי' כז וסי' עב</w:t>
      </w:r>
      <w:r>
        <w:rPr>
          <w:rFonts w:asciiTheme="minorBidi" w:hAnsiTheme="minorBidi" w:hint="cs"/>
          <w:sz w:val="16"/>
          <w:szCs w:val="16"/>
          <w:rtl/>
        </w:rPr>
        <w:t>, הביאו הדרכ"מ</w:t>
      </w:r>
      <w:r w:rsidRPr="00351B7D">
        <w:rPr>
          <w:rFonts w:asciiTheme="minorBidi" w:hAnsiTheme="minorBidi"/>
          <w:sz w:val="14"/>
          <w:szCs w:val="14"/>
          <w:rtl/>
        </w:rPr>
        <w:t xml:space="preserve"> </w:t>
      </w:r>
      <w:r w:rsidRPr="00D66A3B">
        <w:rPr>
          <w:rFonts w:asciiTheme="minorBidi" w:hAnsiTheme="minorBidi"/>
          <w:sz w:val="16"/>
          <w:szCs w:val="16"/>
          <w:rtl/>
        </w:rPr>
        <w:t>[אות כו]</w:t>
      </w:r>
      <w:r w:rsidRPr="00351B7D">
        <w:rPr>
          <w:rFonts w:asciiTheme="minorBidi" w:hAnsiTheme="minorBidi"/>
          <w:sz w:val="16"/>
          <w:szCs w:val="16"/>
          <w:rtl/>
        </w:rPr>
        <w:t>)</w:t>
      </w:r>
      <w:r w:rsidR="00A82951">
        <w:rPr>
          <w:rFonts w:asciiTheme="minorBidi" w:hAnsiTheme="minorBidi"/>
          <w:rtl/>
        </w:rPr>
        <w:t>-</w:t>
      </w:r>
      <w:r w:rsidRPr="00351B7D">
        <w:rPr>
          <w:rFonts w:asciiTheme="minorBidi" w:hAnsiTheme="minorBidi"/>
          <w:rtl/>
        </w:rPr>
        <w:t xml:space="preserve"> פסול אם לא בשעת הדחק. </w:t>
      </w:r>
    </w:p>
    <w:p w14:paraId="10E8B929" w14:textId="236FACBC" w:rsidR="00FA2119" w:rsidRPr="00351B7D" w:rsidRDefault="00FA2119" w:rsidP="00FA2119">
      <w:pPr>
        <w:pStyle w:val="ab"/>
        <w:numPr>
          <w:ilvl w:val="0"/>
          <w:numId w:val="9"/>
        </w:numPr>
        <w:rPr>
          <w:rFonts w:asciiTheme="minorBidi" w:hAnsiTheme="minorBidi"/>
        </w:rPr>
      </w:pPr>
      <w:r w:rsidRPr="00351B7D">
        <w:rPr>
          <w:rFonts w:asciiTheme="minorBidi" w:hAnsiTheme="minorBidi"/>
          <w:rtl/>
        </w:rPr>
        <w:t>ב"י</w:t>
      </w:r>
      <w:r w:rsidR="00A82951">
        <w:rPr>
          <w:rFonts w:asciiTheme="minorBidi" w:hAnsiTheme="minorBidi"/>
          <w:rtl/>
        </w:rPr>
        <w:t>-</w:t>
      </w:r>
      <w:r w:rsidRPr="00351B7D">
        <w:rPr>
          <w:rFonts w:asciiTheme="minorBidi" w:hAnsiTheme="minorBidi"/>
          <w:rtl/>
        </w:rPr>
        <w:t xml:space="preserve"> אם שינה פשיטא דלא עיכב דכותבים כך רק לשופרא דמילתא. (וכ"כ הח"מ </w:t>
      </w:r>
      <w:r w:rsidRPr="00351B7D">
        <w:rPr>
          <w:rFonts w:asciiTheme="minorBidi" w:hAnsiTheme="minorBidi"/>
          <w:sz w:val="16"/>
          <w:szCs w:val="16"/>
          <w:rtl/>
        </w:rPr>
        <w:t>[סקי"ב]</w:t>
      </w:r>
      <w:r w:rsidRPr="00351B7D">
        <w:rPr>
          <w:rFonts w:asciiTheme="minorBidi" w:hAnsiTheme="minorBidi"/>
          <w:rtl/>
        </w:rPr>
        <w:t>)</w:t>
      </w:r>
    </w:p>
    <w:p w14:paraId="4B14020E" w14:textId="77777777" w:rsidR="00FA2119" w:rsidRPr="00351B7D" w:rsidRDefault="00FA2119" w:rsidP="00FA2119">
      <w:pPr>
        <w:rPr>
          <w:rFonts w:asciiTheme="minorBidi" w:hAnsiTheme="minorBidi"/>
          <w:u w:val="single"/>
          <w:rtl/>
        </w:rPr>
      </w:pPr>
      <w:r w:rsidRPr="00351B7D">
        <w:rPr>
          <w:rFonts w:asciiTheme="minorBidi" w:hAnsiTheme="minorBidi"/>
          <w:u w:val="single"/>
          <w:rtl/>
        </w:rPr>
        <w:t>בשלשה או בשלושה</w:t>
      </w:r>
      <w:r w:rsidRPr="00351B7D">
        <w:rPr>
          <w:rFonts w:asciiTheme="minorBidi" w:hAnsiTheme="minorBidi"/>
          <w:sz w:val="16"/>
          <w:szCs w:val="16"/>
          <w:u w:val="single"/>
          <w:rtl/>
        </w:rPr>
        <w:t xml:space="preserve"> (וכן שמנה או שמונה)</w:t>
      </w:r>
      <w:r w:rsidRPr="00351B7D">
        <w:rPr>
          <w:rFonts w:asciiTheme="minorBidi" w:hAnsiTheme="minorBidi"/>
          <w:u w:val="single"/>
          <w:rtl/>
        </w:rPr>
        <w:t>:</w:t>
      </w:r>
      <w:r w:rsidRPr="00351B7D">
        <w:rPr>
          <w:rFonts w:asciiTheme="minorBidi" w:hAnsiTheme="minorBidi"/>
          <w:sz w:val="16"/>
          <w:szCs w:val="16"/>
          <w:rtl/>
        </w:rPr>
        <w:t xml:space="preserve">  (דרכ"מ [אות ט])</w:t>
      </w:r>
    </w:p>
    <w:p w14:paraId="599FBAB6" w14:textId="25205193" w:rsidR="00FA2119" w:rsidRPr="00351B7D" w:rsidRDefault="00FA2119" w:rsidP="00FA2119">
      <w:pPr>
        <w:pStyle w:val="ab"/>
        <w:numPr>
          <w:ilvl w:val="0"/>
          <w:numId w:val="9"/>
        </w:numPr>
        <w:rPr>
          <w:rFonts w:asciiTheme="minorBidi" w:hAnsiTheme="minorBidi"/>
          <w:rtl/>
        </w:rPr>
      </w:pPr>
      <w:r w:rsidRPr="00351B7D">
        <w:rPr>
          <w:rFonts w:asciiTheme="minorBidi" w:hAnsiTheme="minorBidi"/>
          <w:rtl/>
        </w:rPr>
        <w:t xml:space="preserve">סדר גיטין </w:t>
      </w:r>
      <w:r w:rsidRPr="00351B7D">
        <w:rPr>
          <w:rFonts w:asciiTheme="minorBidi" w:hAnsiTheme="minorBidi"/>
          <w:sz w:val="16"/>
          <w:szCs w:val="16"/>
          <w:rtl/>
        </w:rPr>
        <w:t>(סי' טז סעיף ג)</w:t>
      </w:r>
      <w:r w:rsidR="00A82951">
        <w:rPr>
          <w:rFonts w:asciiTheme="minorBidi" w:hAnsiTheme="minorBidi"/>
          <w:rtl/>
        </w:rPr>
        <w:t>-</w:t>
      </w:r>
      <w:r w:rsidRPr="00351B7D">
        <w:rPr>
          <w:rFonts w:asciiTheme="minorBidi" w:hAnsiTheme="minorBidi"/>
          <w:rtl/>
        </w:rPr>
        <w:t xml:space="preserve"> בשלשה ימים חסר וי"ו... בשמנה חסר וי"ו</w:t>
      </w:r>
      <w:r w:rsidRPr="00351B7D">
        <w:rPr>
          <w:rStyle w:val="a7"/>
          <w:rFonts w:asciiTheme="minorBidi" w:hAnsiTheme="minorBidi"/>
          <w:rtl/>
        </w:rPr>
        <w:footnoteReference w:id="673"/>
      </w:r>
      <w:r w:rsidRPr="00351B7D">
        <w:rPr>
          <w:rFonts w:asciiTheme="minorBidi" w:hAnsiTheme="minorBidi"/>
          <w:rtl/>
        </w:rPr>
        <w:t>...</w:t>
      </w:r>
    </w:p>
    <w:p w14:paraId="5FCAB9F9" w14:textId="77777777" w:rsidR="00FA2119" w:rsidRPr="00351B7D" w:rsidRDefault="00FA2119" w:rsidP="00FA2119">
      <w:pPr>
        <w:rPr>
          <w:rFonts w:asciiTheme="minorBidi" w:hAnsiTheme="minorBidi"/>
          <w:rtl/>
        </w:rPr>
      </w:pPr>
      <w:r>
        <w:rPr>
          <w:rFonts w:asciiTheme="minorBidi" w:hAnsiTheme="minorBidi" w:hint="cs"/>
          <w:u w:val="single"/>
          <w:rtl/>
        </w:rPr>
        <w:t xml:space="preserve">כתיבת </w:t>
      </w:r>
      <w:r w:rsidRPr="00351B7D">
        <w:rPr>
          <w:rFonts w:asciiTheme="minorBidi" w:hAnsiTheme="minorBidi"/>
          <w:u w:val="single"/>
          <w:rtl/>
        </w:rPr>
        <w:t xml:space="preserve">חשבון </w:t>
      </w:r>
      <w:r w:rsidRPr="004407F4">
        <w:rPr>
          <w:rFonts w:asciiTheme="minorBidi" w:hAnsiTheme="minorBidi"/>
          <w:u w:val="single"/>
          <w:rtl/>
        </w:rPr>
        <w:t>הימים</w:t>
      </w:r>
      <w:r>
        <w:rPr>
          <w:rFonts w:asciiTheme="minorBidi" w:hAnsiTheme="minorBidi" w:hint="cs"/>
          <w:u w:val="single"/>
          <w:rtl/>
        </w:rPr>
        <w:t xml:space="preserve"> ב</w:t>
      </w:r>
      <w:r w:rsidRPr="00351B7D">
        <w:rPr>
          <w:rFonts w:asciiTheme="minorBidi" w:hAnsiTheme="minorBidi"/>
          <w:u w:val="single"/>
          <w:rtl/>
        </w:rPr>
        <w:t xml:space="preserve">לשון </w:t>
      </w:r>
      <w:r>
        <w:rPr>
          <w:rFonts w:asciiTheme="minorBidi" w:hAnsiTheme="minorBidi" w:hint="cs"/>
          <w:u w:val="single"/>
          <w:rtl/>
        </w:rPr>
        <w:t>זכר</w:t>
      </w:r>
      <w:r w:rsidRPr="00351B7D">
        <w:rPr>
          <w:rFonts w:asciiTheme="minorBidi" w:hAnsiTheme="minorBidi"/>
          <w:u w:val="single"/>
          <w:rtl/>
        </w:rPr>
        <w:t>:</w:t>
      </w:r>
      <w:r w:rsidRPr="00351B7D">
        <w:rPr>
          <w:rFonts w:asciiTheme="minorBidi" w:hAnsiTheme="minorBidi"/>
          <w:rtl/>
        </w:rPr>
        <w:t xml:space="preserve"> </w:t>
      </w:r>
    </w:p>
    <w:p w14:paraId="7F4D67D6" w14:textId="12AB30D9" w:rsidR="00FA2119" w:rsidRPr="00351B7D" w:rsidRDefault="00FA2119" w:rsidP="00FA2119">
      <w:pPr>
        <w:pStyle w:val="ab"/>
        <w:numPr>
          <w:ilvl w:val="0"/>
          <w:numId w:val="9"/>
        </w:numPr>
        <w:rPr>
          <w:rFonts w:asciiTheme="minorBidi" w:hAnsiTheme="minorBidi"/>
          <w:rtl/>
        </w:rPr>
      </w:pPr>
      <w:r>
        <w:rPr>
          <w:rFonts w:asciiTheme="minorBidi" w:hAnsiTheme="minorBidi" w:hint="cs"/>
          <w:rtl/>
        </w:rPr>
        <w:t>טור</w:t>
      </w:r>
      <w:r w:rsidR="00A82951">
        <w:rPr>
          <w:rFonts w:asciiTheme="minorBidi" w:hAnsiTheme="minorBidi" w:hint="cs"/>
          <w:rtl/>
        </w:rPr>
        <w:t>-</w:t>
      </w:r>
      <w:r>
        <w:rPr>
          <w:rFonts w:asciiTheme="minorBidi" w:hAnsiTheme="minorBidi" w:hint="cs"/>
          <w:rtl/>
        </w:rPr>
        <w:t xml:space="preserve"> </w:t>
      </w:r>
      <w:r w:rsidRPr="004407F4">
        <w:rPr>
          <w:rFonts w:asciiTheme="minorBidi" w:hAnsiTheme="minorBidi" w:cs="Arial"/>
          <w:rtl/>
        </w:rPr>
        <w:t>כתב ה"ר פרץ</w:t>
      </w:r>
      <w:r>
        <w:rPr>
          <w:rFonts w:asciiTheme="minorBidi" w:hAnsiTheme="minorBidi" w:cs="Arial" w:hint="cs"/>
          <w:rtl/>
        </w:rPr>
        <w:t xml:space="preserve">... </w:t>
      </w:r>
      <w:r w:rsidRPr="004407F4">
        <w:rPr>
          <w:rFonts w:asciiTheme="minorBidi" w:hAnsiTheme="minorBidi" w:cs="Arial"/>
          <w:rtl/>
        </w:rPr>
        <w:t>בשני יכתוב בשני ימים</w:t>
      </w:r>
      <w:r>
        <w:rPr>
          <w:rFonts w:asciiTheme="minorBidi" w:hAnsiTheme="minorBidi" w:cs="Arial" w:hint="cs"/>
          <w:rtl/>
        </w:rPr>
        <w:t>,</w:t>
      </w:r>
      <w:r w:rsidRPr="004407F4">
        <w:rPr>
          <w:rFonts w:asciiTheme="minorBidi" w:hAnsiTheme="minorBidi" w:cs="Arial"/>
          <w:rtl/>
        </w:rPr>
        <w:t xml:space="preserve"> בשלשה</w:t>
      </w:r>
      <w:r>
        <w:rPr>
          <w:rFonts w:asciiTheme="minorBidi" w:hAnsiTheme="minorBidi" w:cs="Arial" w:hint="cs"/>
          <w:rtl/>
        </w:rPr>
        <w:t>,</w:t>
      </w:r>
      <w:r w:rsidRPr="004407F4">
        <w:rPr>
          <w:rFonts w:asciiTheme="minorBidi" w:hAnsiTheme="minorBidi" w:cs="Arial"/>
          <w:rtl/>
        </w:rPr>
        <w:t xml:space="preserve"> בארבעה</w:t>
      </w:r>
      <w:r>
        <w:rPr>
          <w:rFonts w:asciiTheme="minorBidi" w:hAnsiTheme="minorBidi" w:cs="Arial" w:hint="cs"/>
          <w:rtl/>
        </w:rPr>
        <w:t>,</w:t>
      </w:r>
      <w:r w:rsidRPr="004407F4">
        <w:rPr>
          <w:rFonts w:asciiTheme="minorBidi" w:hAnsiTheme="minorBidi" w:cs="Arial"/>
          <w:rtl/>
        </w:rPr>
        <w:t xml:space="preserve"> כולן לשון זכר בה"א לבסוף</w:t>
      </w:r>
      <w:r>
        <w:rPr>
          <w:rFonts w:asciiTheme="minorBidi" w:hAnsiTheme="minorBidi" w:cs="Arial" w:hint="cs"/>
          <w:rtl/>
        </w:rPr>
        <w:t>.</w:t>
      </w:r>
      <w:r w:rsidRPr="004407F4">
        <w:rPr>
          <w:rFonts w:asciiTheme="minorBidi" w:hAnsiTheme="minorBidi" w:cs="Arial"/>
          <w:rtl/>
        </w:rPr>
        <w:t xml:space="preserve"> וכן באחד ועשרים</w:t>
      </w:r>
      <w:r>
        <w:rPr>
          <w:rFonts w:asciiTheme="minorBidi" w:hAnsiTheme="minorBidi" w:cs="Arial" w:hint="cs"/>
          <w:rtl/>
        </w:rPr>
        <w:t>,</w:t>
      </w:r>
      <w:r w:rsidRPr="004407F4">
        <w:rPr>
          <w:rFonts w:asciiTheme="minorBidi" w:hAnsiTheme="minorBidi" w:cs="Arial"/>
          <w:rtl/>
        </w:rPr>
        <w:t xml:space="preserve"> בשנים ועשרים</w:t>
      </w:r>
      <w:r>
        <w:rPr>
          <w:rFonts w:asciiTheme="minorBidi" w:hAnsiTheme="minorBidi" w:cs="Arial" w:hint="cs"/>
          <w:rtl/>
        </w:rPr>
        <w:t>,</w:t>
      </w:r>
      <w:r w:rsidRPr="004407F4">
        <w:rPr>
          <w:rFonts w:asciiTheme="minorBidi" w:hAnsiTheme="minorBidi" w:cs="Arial"/>
          <w:rtl/>
        </w:rPr>
        <w:t xml:space="preserve"> בשלשה ועשרים</w:t>
      </w:r>
      <w:r>
        <w:rPr>
          <w:rFonts w:asciiTheme="minorBidi" w:hAnsiTheme="minorBidi" w:cs="Arial" w:hint="cs"/>
          <w:rtl/>
        </w:rPr>
        <w:t>,</w:t>
      </w:r>
      <w:r w:rsidRPr="004407F4">
        <w:rPr>
          <w:rFonts w:asciiTheme="minorBidi" w:hAnsiTheme="minorBidi" w:cs="Arial"/>
          <w:rtl/>
        </w:rPr>
        <w:t xml:space="preserve"> וכן כולם</w:t>
      </w:r>
      <w:r w:rsidRPr="00351B7D">
        <w:rPr>
          <w:rFonts w:asciiTheme="minorBidi" w:hAnsiTheme="minorBidi"/>
          <w:rtl/>
        </w:rPr>
        <w:t>.</w:t>
      </w:r>
      <w:r w:rsidRPr="00351B7D">
        <w:rPr>
          <w:rFonts w:asciiTheme="minorBidi" w:hAnsiTheme="minorBidi"/>
          <w:color w:val="E36C0A" w:themeColor="accent6" w:themeShade="BF"/>
          <w:rtl/>
        </w:rPr>
        <w:t xml:space="preserve"> (וכ"פ בשו"ע)</w:t>
      </w:r>
    </w:p>
    <w:p w14:paraId="57956989"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9FEA315" w14:textId="06E4E79C" w:rsidR="00FA2119" w:rsidRPr="00351B7D" w:rsidRDefault="00FA2119" w:rsidP="00FA2119">
      <w:pPr>
        <w:rPr>
          <w:rFonts w:asciiTheme="minorBidi" w:hAnsiTheme="minorBidi"/>
          <w:rtl/>
        </w:rPr>
      </w:pPr>
      <w:r w:rsidRPr="00351B7D">
        <w:rPr>
          <w:rFonts w:asciiTheme="minorBidi" w:hAnsiTheme="minorBidi"/>
          <w:rtl/>
        </w:rPr>
        <w:lastRenderedPageBreak/>
        <w:t>ביום ראש חודש יכתוב</w:t>
      </w:r>
      <w:r w:rsidR="00A940A6">
        <w:rPr>
          <w:rFonts w:asciiTheme="minorBidi" w:hAnsiTheme="minorBidi" w:hint="cs"/>
          <w:rtl/>
        </w:rPr>
        <w:t>:</w:t>
      </w:r>
      <w:r w:rsidRPr="00351B7D">
        <w:rPr>
          <w:rFonts w:asciiTheme="minorBidi" w:hAnsiTheme="minorBidi"/>
          <w:rtl/>
        </w:rPr>
        <w:t xml:space="preserve"> ביום אחד</w:t>
      </w:r>
      <w:r w:rsidRPr="00351B7D">
        <w:rPr>
          <w:rStyle w:val="a7"/>
          <w:rFonts w:asciiTheme="minorBidi" w:hAnsiTheme="minorBidi"/>
          <w:color w:val="000000"/>
          <w:rtl/>
        </w:rPr>
        <w:footnoteReference w:id="674"/>
      </w:r>
      <w:r w:rsidRPr="00351B7D">
        <w:rPr>
          <w:rFonts w:asciiTheme="minorBidi" w:hAnsiTheme="minorBidi"/>
          <w:rtl/>
        </w:rPr>
        <w:t xml:space="preserve"> לירח פלוני.</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וי"א דכותבין באחד</w:t>
      </w:r>
      <w:r w:rsidRPr="00351B7D">
        <w:rPr>
          <w:rStyle w:val="a7"/>
          <w:rFonts w:asciiTheme="minorBidi" w:hAnsiTheme="minorBidi"/>
          <w:color w:val="000000"/>
          <w:sz w:val="18"/>
          <w:szCs w:val="18"/>
          <w:rtl/>
        </w:rPr>
        <w:footnoteReference w:id="675"/>
      </w:r>
      <w:r w:rsidRPr="00351B7D">
        <w:rPr>
          <w:rFonts w:asciiTheme="minorBidi" w:hAnsiTheme="minorBidi"/>
          <w:color w:val="000000"/>
          <w:sz w:val="18"/>
          <w:szCs w:val="18"/>
          <w:rtl/>
        </w:rPr>
        <w:t xml:space="preserve"> לירח (מרדכי), ומכח זה יש נמנעים לתת גט בר"ח</w:t>
      </w:r>
      <w:r w:rsidRPr="00351B7D">
        <w:rPr>
          <w:rStyle w:val="a7"/>
          <w:rFonts w:asciiTheme="minorBidi" w:hAnsiTheme="minorBidi"/>
          <w:color w:val="000000"/>
          <w:sz w:val="18"/>
          <w:szCs w:val="18"/>
          <w:rtl/>
        </w:rPr>
        <w:footnoteReference w:id="676"/>
      </w:r>
      <w:r w:rsidRPr="00351B7D">
        <w:rPr>
          <w:rFonts w:asciiTheme="minorBidi" w:hAnsiTheme="minorBidi"/>
          <w:color w:val="000000"/>
          <w:sz w:val="18"/>
          <w:szCs w:val="18"/>
          <w:rtl/>
        </w:rPr>
        <w:t xml:space="preserve"> (סדר גיטין).</w:t>
      </w:r>
      <w:r w:rsidRPr="00351B7D">
        <w:rPr>
          <w:rFonts w:asciiTheme="minorBidi" w:hAnsiTheme="minorBidi"/>
          <w:rtl/>
        </w:rPr>
        <w:t xml:space="preserve"> בשני יכתוב</w:t>
      </w:r>
      <w:r w:rsidR="00A940A6">
        <w:rPr>
          <w:rFonts w:asciiTheme="minorBidi" w:hAnsiTheme="minorBidi" w:hint="cs"/>
          <w:rtl/>
        </w:rPr>
        <w:t>:</w:t>
      </w:r>
      <w:r w:rsidRPr="00351B7D">
        <w:rPr>
          <w:rFonts w:asciiTheme="minorBidi" w:hAnsiTheme="minorBidi"/>
          <w:rtl/>
        </w:rPr>
        <w:t xml:space="preserve"> בשני ימים</w:t>
      </w:r>
      <w:r w:rsidR="00A940A6">
        <w:rPr>
          <w:rFonts w:asciiTheme="minorBidi" w:hAnsiTheme="minorBidi" w:hint="cs"/>
          <w:rtl/>
        </w:rPr>
        <w:t>.</w:t>
      </w:r>
      <w:r w:rsidRPr="00351B7D">
        <w:rPr>
          <w:rFonts w:asciiTheme="minorBidi" w:hAnsiTheme="minorBidi"/>
          <w:rtl/>
        </w:rPr>
        <w:t xml:space="preserve"> בשלשה בארבעה</w:t>
      </w:r>
      <w:r w:rsidR="00A940A6">
        <w:rPr>
          <w:rFonts w:asciiTheme="minorBidi" w:hAnsiTheme="minorBidi" w:hint="cs"/>
          <w:rtl/>
        </w:rPr>
        <w:t>,</w:t>
      </w:r>
      <w:r w:rsidRPr="00351B7D">
        <w:rPr>
          <w:rFonts w:asciiTheme="minorBidi" w:hAnsiTheme="minorBidi"/>
          <w:rtl/>
        </w:rPr>
        <w:t xml:space="preserve"> כולם לשון זכר בה"א לבסוף</w:t>
      </w:r>
      <w:r w:rsidRPr="00351B7D">
        <w:rPr>
          <w:rStyle w:val="a7"/>
          <w:rFonts w:asciiTheme="minorBidi" w:hAnsiTheme="minorBidi"/>
          <w:color w:val="000000"/>
          <w:rtl/>
        </w:rPr>
        <w:footnoteReference w:id="677"/>
      </w:r>
      <w:r w:rsidRPr="00351B7D">
        <w:rPr>
          <w:rFonts w:asciiTheme="minorBidi" w:hAnsiTheme="minorBidi"/>
          <w:color w:val="000000"/>
          <w:rtl/>
        </w:rPr>
        <w:t>.</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ויכתוב ימים</w:t>
      </w:r>
      <w:r w:rsidRPr="00351B7D">
        <w:rPr>
          <w:rStyle w:val="a7"/>
          <w:rFonts w:asciiTheme="minorBidi" w:hAnsiTheme="minorBidi"/>
          <w:color w:val="000000"/>
          <w:sz w:val="18"/>
          <w:szCs w:val="18"/>
          <w:rtl/>
        </w:rPr>
        <w:footnoteReference w:id="678"/>
      </w:r>
      <w:r w:rsidRPr="00351B7D">
        <w:rPr>
          <w:rFonts w:asciiTheme="minorBidi" w:hAnsiTheme="minorBidi"/>
          <w:color w:val="000000"/>
          <w:sz w:val="18"/>
          <w:szCs w:val="18"/>
          <w:rtl/>
        </w:rPr>
        <w:t xml:space="preserve"> עד עשרה, בשני ימים בשלשה ימים וכו' (בסדר גטין), ומכאן ואילך יכתוב יום, אחד עשר יום שנים עשר יום וכו' (מרדכי)</w:t>
      </w:r>
      <w:r w:rsidR="00A940A6">
        <w:rPr>
          <w:rFonts w:asciiTheme="minorBidi" w:hAnsiTheme="minorBidi" w:hint="cs"/>
          <w:color w:val="000000"/>
          <w:sz w:val="18"/>
          <w:szCs w:val="18"/>
          <w:rtl/>
        </w:rPr>
        <w:t>.</w:t>
      </w:r>
      <w:r w:rsidRPr="00351B7D">
        <w:rPr>
          <w:rFonts w:asciiTheme="minorBidi" w:hAnsiTheme="minorBidi"/>
          <w:color w:val="000000"/>
          <w:sz w:val="18"/>
          <w:szCs w:val="18"/>
          <w:rtl/>
        </w:rPr>
        <w:t xml:space="preserve"> כתב ימים, לא מיפסל בדיעבד אם כבר ניתן</w:t>
      </w:r>
      <w:r>
        <w:rPr>
          <w:rFonts w:asciiTheme="minorBidi" w:hAnsiTheme="minorBidi" w:hint="cs"/>
          <w:color w:val="000000"/>
          <w:sz w:val="18"/>
          <w:szCs w:val="18"/>
          <w:rtl/>
        </w:rPr>
        <w:t xml:space="preserve"> (</w:t>
      </w:r>
      <w:r w:rsidR="00A940A6">
        <w:rPr>
          <w:rFonts w:asciiTheme="minorBidi" w:hAnsiTheme="minorBidi" w:hint="cs"/>
          <w:color w:val="000000"/>
          <w:sz w:val="18"/>
          <w:szCs w:val="18"/>
          <w:rtl/>
        </w:rPr>
        <w:t>הב' הרב בב"י)</w:t>
      </w:r>
      <w:r w:rsidRPr="00351B7D">
        <w:rPr>
          <w:rFonts w:asciiTheme="minorBidi" w:hAnsiTheme="minorBidi"/>
          <w:color w:val="000000"/>
          <w:sz w:val="18"/>
          <w:szCs w:val="18"/>
          <w:rtl/>
        </w:rPr>
        <w:t>, וכל שכן בשעת הדחק (</w:t>
      </w:r>
      <w:r>
        <w:rPr>
          <w:rFonts w:asciiTheme="minorBidi" w:hAnsiTheme="minorBidi" w:hint="cs"/>
          <w:color w:val="000000"/>
          <w:sz w:val="18"/>
          <w:szCs w:val="18"/>
          <w:rtl/>
        </w:rPr>
        <w:t>מהרי"ו</w:t>
      </w:r>
      <w:r w:rsidRPr="00351B7D">
        <w:rPr>
          <w:rFonts w:asciiTheme="minorBidi" w:hAnsiTheme="minorBidi"/>
          <w:color w:val="000000"/>
          <w:sz w:val="18"/>
          <w:szCs w:val="18"/>
          <w:rtl/>
        </w:rPr>
        <w:t>). כתב שלשה או שמנה מלא בוי"ו</w:t>
      </w:r>
      <w:r w:rsidRPr="00351B7D">
        <w:rPr>
          <w:rStyle w:val="a7"/>
          <w:rFonts w:asciiTheme="minorBidi" w:hAnsiTheme="minorBidi"/>
          <w:color w:val="000000"/>
          <w:sz w:val="18"/>
          <w:szCs w:val="18"/>
          <w:rtl/>
        </w:rPr>
        <w:footnoteReference w:id="679"/>
      </w:r>
      <w:r w:rsidRPr="00351B7D">
        <w:rPr>
          <w:rFonts w:asciiTheme="minorBidi" w:hAnsiTheme="minorBidi"/>
          <w:color w:val="000000"/>
          <w:sz w:val="18"/>
          <w:szCs w:val="18"/>
          <w:rtl/>
        </w:rPr>
        <w:t xml:space="preserve"> (בסדר ר"י מינץ) או שלא כתב בשני רק שני (בסדר גיטין) או שכתב ראשי תיבות כגון שהיה לו לכתוב שנים עשר וכתב י"ב</w:t>
      </w:r>
      <w:r w:rsidRPr="00351B7D">
        <w:rPr>
          <w:rStyle w:val="a7"/>
          <w:rFonts w:asciiTheme="minorBidi" w:hAnsiTheme="minorBidi"/>
          <w:color w:val="000000"/>
          <w:sz w:val="18"/>
          <w:szCs w:val="18"/>
          <w:rtl/>
        </w:rPr>
        <w:footnoteReference w:id="680"/>
      </w:r>
      <w:r w:rsidR="00A940A6">
        <w:rPr>
          <w:rFonts w:asciiTheme="minorBidi" w:hAnsiTheme="minorBidi" w:hint="cs"/>
          <w:color w:val="000000"/>
          <w:sz w:val="18"/>
          <w:szCs w:val="18"/>
          <w:rtl/>
        </w:rPr>
        <w:t>,</w:t>
      </w:r>
      <w:r w:rsidRPr="00351B7D">
        <w:rPr>
          <w:rFonts w:asciiTheme="minorBidi" w:hAnsiTheme="minorBidi"/>
          <w:color w:val="000000"/>
          <w:sz w:val="18"/>
          <w:szCs w:val="18"/>
          <w:rtl/>
        </w:rPr>
        <w:t xml:space="preserve"> כשר</w:t>
      </w:r>
      <w:r w:rsidRPr="00351B7D">
        <w:rPr>
          <w:rStyle w:val="a7"/>
          <w:rFonts w:asciiTheme="minorBidi" w:hAnsiTheme="minorBidi"/>
          <w:color w:val="000000"/>
          <w:sz w:val="18"/>
          <w:szCs w:val="18"/>
          <w:rtl/>
        </w:rPr>
        <w:footnoteReference w:id="681"/>
      </w:r>
      <w:r>
        <w:rPr>
          <w:rFonts w:asciiTheme="minorBidi" w:hAnsiTheme="minorBidi" w:hint="cs"/>
          <w:color w:val="000000"/>
          <w:sz w:val="18"/>
          <w:szCs w:val="18"/>
          <w:rtl/>
        </w:rPr>
        <w:t xml:space="preserve"> </w:t>
      </w:r>
      <w:r w:rsidRPr="00351B7D">
        <w:rPr>
          <w:rFonts w:asciiTheme="minorBidi" w:hAnsiTheme="minorBidi"/>
          <w:color w:val="000000"/>
          <w:sz w:val="18"/>
          <w:szCs w:val="18"/>
          <w:rtl/>
        </w:rPr>
        <w:t>(בשם הרב מטר</w:t>
      </w:r>
      <w:r w:rsidR="00A940A6">
        <w:rPr>
          <w:rFonts w:asciiTheme="minorBidi" w:hAnsiTheme="minorBidi" w:hint="cs"/>
          <w:color w:val="000000"/>
          <w:sz w:val="18"/>
          <w:szCs w:val="18"/>
          <w:rtl/>
        </w:rPr>
        <w:t>ו</w:t>
      </w:r>
      <w:r w:rsidRPr="00351B7D">
        <w:rPr>
          <w:rFonts w:asciiTheme="minorBidi" w:hAnsiTheme="minorBidi"/>
          <w:color w:val="000000"/>
          <w:sz w:val="18"/>
          <w:szCs w:val="18"/>
          <w:rtl/>
        </w:rPr>
        <w:t>ני).</w:t>
      </w:r>
      <w:r w:rsidRPr="00351B7D">
        <w:rPr>
          <w:rFonts w:asciiTheme="minorBidi" w:hAnsiTheme="minorBidi"/>
          <w:rtl/>
        </w:rPr>
        <w:t xml:space="preserve"> וכן באחד ועשרים</w:t>
      </w:r>
      <w:r w:rsidR="00A940A6">
        <w:rPr>
          <w:rFonts w:asciiTheme="minorBidi" w:hAnsiTheme="minorBidi" w:hint="cs"/>
          <w:rtl/>
        </w:rPr>
        <w:t>,</w:t>
      </w:r>
      <w:r w:rsidRPr="00351B7D">
        <w:rPr>
          <w:rFonts w:asciiTheme="minorBidi" w:hAnsiTheme="minorBidi"/>
          <w:rtl/>
        </w:rPr>
        <w:t xml:space="preserve"> בשנים ועשרים</w:t>
      </w:r>
      <w:r w:rsidR="00A940A6">
        <w:rPr>
          <w:rFonts w:asciiTheme="minorBidi" w:hAnsiTheme="minorBidi" w:hint="cs"/>
          <w:rtl/>
        </w:rPr>
        <w:t>,</w:t>
      </w:r>
      <w:r w:rsidRPr="00351B7D">
        <w:rPr>
          <w:rFonts w:asciiTheme="minorBidi" w:hAnsiTheme="minorBidi"/>
          <w:rtl/>
        </w:rPr>
        <w:t xml:space="preserve"> בשלשה ועשרים</w:t>
      </w:r>
      <w:r>
        <w:rPr>
          <w:rFonts w:asciiTheme="minorBidi" w:hAnsiTheme="minorBidi" w:hint="cs"/>
          <w:rtl/>
        </w:rPr>
        <w:t>,</w:t>
      </w:r>
      <w:r w:rsidRPr="00351B7D">
        <w:rPr>
          <w:rFonts w:asciiTheme="minorBidi" w:hAnsiTheme="minorBidi"/>
          <w:rtl/>
        </w:rPr>
        <w:t xml:space="preserve"> וכן כולם. </w:t>
      </w:r>
    </w:p>
    <w:p w14:paraId="58C32F33" w14:textId="77777777" w:rsidR="00FA2119" w:rsidRPr="00351B7D" w:rsidRDefault="00FA2119" w:rsidP="00FA2119">
      <w:pPr>
        <w:rPr>
          <w:rFonts w:asciiTheme="minorBidi" w:hAnsiTheme="minorBidi"/>
          <w:rtl/>
        </w:rPr>
      </w:pPr>
    </w:p>
    <w:p w14:paraId="52F697CF" w14:textId="77777777" w:rsidR="00FA2119" w:rsidRPr="00351B7D" w:rsidRDefault="00FA2119" w:rsidP="00FA2119">
      <w:pPr>
        <w:pStyle w:val="2"/>
        <w:rPr>
          <w:rtl/>
        </w:rPr>
      </w:pPr>
      <w:r w:rsidRPr="00351B7D">
        <w:rPr>
          <w:rtl/>
        </w:rPr>
        <w:t>סעיף ה: כתיבת השנים.</w:t>
      </w:r>
    </w:p>
    <w:p w14:paraId="592AC9B2" w14:textId="77777777" w:rsidR="00FA2119" w:rsidRPr="00351B7D" w:rsidRDefault="00FA2119" w:rsidP="00FA2119">
      <w:pPr>
        <w:rPr>
          <w:rFonts w:asciiTheme="minorBidi" w:hAnsiTheme="minorBidi"/>
          <w:rtl/>
        </w:rPr>
      </w:pPr>
      <w:r w:rsidRPr="00351B7D">
        <w:rPr>
          <w:rFonts w:asciiTheme="minorBidi" w:hAnsiTheme="minorBidi"/>
          <w:b/>
          <w:bCs/>
          <w:rtl/>
        </w:rPr>
        <w:t xml:space="preserve">יומא </w:t>
      </w:r>
      <w:r>
        <w:rPr>
          <w:rFonts w:asciiTheme="minorBidi" w:hAnsiTheme="minorBidi" w:hint="cs"/>
          <w:b/>
          <w:bCs/>
          <w:sz w:val="16"/>
          <w:szCs w:val="16"/>
          <w:rtl/>
        </w:rPr>
        <w:t>(פ' הוציאו)</w:t>
      </w:r>
      <w:r>
        <w:rPr>
          <w:rFonts w:asciiTheme="minorBidi" w:hAnsiTheme="minorBidi" w:hint="cs"/>
          <w:b/>
          <w:bCs/>
          <w:rtl/>
        </w:rPr>
        <w:t xml:space="preserve"> </w:t>
      </w:r>
      <w:r w:rsidRPr="00351B7D">
        <w:rPr>
          <w:rFonts w:asciiTheme="minorBidi" w:hAnsiTheme="minorBidi"/>
          <w:b/>
          <w:bCs/>
          <w:rtl/>
        </w:rPr>
        <w:t xml:space="preserve">נה ע"א: </w:t>
      </w:r>
      <w:r w:rsidRPr="00351B7D">
        <w:rPr>
          <w:rFonts w:asciiTheme="minorBidi" w:hAnsiTheme="minorBidi"/>
          <w:rtl/>
        </w:rPr>
        <w:t xml:space="preserve">תנו רבנן: אחת, אחת ואחת, אחת ושתים, אחת ושלש, אחת וארבע, אחת וחמש, אחת ושש, אחת ושבע, </w:t>
      </w:r>
      <w:r w:rsidRPr="00351B7D">
        <w:rPr>
          <w:rFonts w:asciiTheme="minorBidi" w:hAnsiTheme="minorBidi"/>
          <w:u w:val="single"/>
          <w:rtl/>
        </w:rPr>
        <w:t>דברי רבי מאיר</w:t>
      </w:r>
      <w:r w:rsidRPr="00351B7D">
        <w:rPr>
          <w:rFonts w:asciiTheme="minorBidi" w:hAnsiTheme="minorBidi"/>
          <w:rtl/>
        </w:rPr>
        <w:t xml:space="preserve">. </w:t>
      </w:r>
      <w:r w:rsidRPr="00351B7D">
        <w:rPr>
          <w:rFonts w:asciiTheme="minorBidi" w:hAnsiTheme="minorBidi"/>
          <w:u w:val="single"/>
          <w:rtl/>
        </w:rPr>
        <w:t>רבי יהודה אומר</w:t>
      </w:r>
      <w:r w:rsidRPr="00351B7D">
        <w:rPr>
          <w:rFonts w:asciiTheme="minorBidi" w:hAnsiTheme="minorBidi"/>
          <w:rtl/>
        </w:rPr>
        <w:t>: אחת, אחת ואחת, שתים ואחת, שלש ואחת, ארבע ואחת, חמש ואחת, שש ואחת, שבע ואחת. ולא פליגי; מר כי אתריה</w:t>
      </w:r>
      <w:r w:rsidRPr="00351B7D">
        <w:rPr>
          <w:rStyle w:val="a7"/>
          <w:rFonts w:asciiTheme="minorBidi" w:hAnsiTheme="minorBidi"/>
          <w:rtl/>
        </w:rPr>
        <w:footnoteReference w:id="682"/>
      </w:r>
      <w:r w:rsidRPr="00351B7D">
        <w:rPr>
          <w:rFonts w:asciiTheme="minorBidi" w:hAnsiTheme="minorBidi"/>
          <w:rtl/>
        </w:rPr>
        <w:t xml:space="preserve"> ומר כי אתריה.</w:t>
      </w:r>
    </w:p>
    <w:p w14:paraId="5988A846" w14:textId="0E40F2C2" w:rsidR="00FA2119" w:rsidRPr="00351B7D" w:rsidRDefault="00FA2119" w:rsidP="00FA2119">
      <w:pPr>
        <w:rPr>
          <w:rFonts w:asciiTheme="minorBidi" w:hAnsiTheme="minorBidi"/>
          <w:sz w:val="16"/>
          <w:szCs w:val="16"/>
          <w:rtl/>
        </w:rPr>
      </w:pPr>
      <w:r w:rsidRPr="00351B7D">
        <w:rPr>
          <w:rFonts w:asciiTheme="minorBidi" w:hAnsiTheme="minorBidi"/>
          <w:u w:val="single"/>
          <w:rtl/>
        </w:rPr>
        <w:t xml:space="preserve">במנין </w:t>
      </w:r>
      <w:r w:rsidRPr="00C323F8">
        <w:rPr>
          <w:rFonts w:asciiTheme="minorBidi" w:hAnsiTheme="minorBidi"/>
          <w:u w:val="single"/>
          <w:rtl/>
        </w:rPr>
        <w:t>הימים והשנים</w:t>
      </w:r>
      <w:r w:rsidRPr="00C323F8">
        <w:rPr>
          <w:rFonts w:asciiTheme="minorBidi" w:hAnsiTheme="minorBidi" w:hint="cs"/>
          <w:u w:val="single"/>
          <w:rtl/>
        </w:rPr>
        <w:t xml:space="preserve"> </w:t>
      </w:r>
      <w:r w:rsidR="00A82951">
        <w:rPr>
          <w:rFonts w:asciiTheme="minorBidi" w:hAnsiTheme="minorBidi"/>
          <w:u w:val="single"/>
          <w:rtl/>
        </w:rPr>
        <w:t>-</w:t>
      </w:r>
      <w:r w:rsidRPr="00C323F8">
        <w:rPr>
          <w:rFonts w:asciiTheme="minorBidi" w:hAnsiTheme="minorBidi"/>
          <w:u w:val="single"/>
          <w:rtl/>
        </w:rPr>
        <w:t xml:space="preserve"> האם</w:t>
      </w:r>
      <w:r w:rsidRPr="00351B7D">
        <w:rPr>
          <w:rFonts w:asciiTheme="minorBidi" w:hAnsiTheme="minorBidi"/>
          <w:u w:val="single"/>
          <w:rtl/>
        </w:rPr>
        <w:t xml:space="preserve"> מזכירין קודם המנין הגדול או הקטן:</w:t>
      </w:r>
      <w:r w:rsidRPr="00351B7D">
        <w:rPr>
          <w:rFonts w:asciiTheme="minorBidi" w:hAnsiTheme="minorBidi"/>
          <w:sz w:val="16"/>
          <w:szCs w:val="16"/>
          <w:rtl/>
        </w:rPr>
        <w:t xml:space="preserve">  </w:t>
      </w:r>
    </w:p>
    <w:p w14:paraId="6AAC73DF" w14:textId="607FFB93" w:rsidR="00FA2119" w:rsidRPr="00351B7D" w:rsidRDefault="00FA2119" w:rsidP="00FA2119">
      <w:pPr>
        <w:pStyle w:val="ab"/>
        <w:numPr>
          <w:ilvl w:val="0"/>
          <w:numId w:val="6"/>
        </w:numPr>
        <w:rPr>
          <w:rFonts w:asciiTheme="minorBidi" w:hAnsiTheme="minorBidi"/>
        </w:rPr>
      </w:pPr>
      <w:r>
        <w:rPr>
          <w:rFonts w:asciiTheme="minorBidi" w:hAnsiTheme="minorBidi" w:hint="cs"/>
          <w:rtl/>
        </w:rPr>
        <w:t>ר"פ</w:t>
      </w:r>
      <w:r>
        <w:rPr>
          <w:rFonts w:asciiTheme="minorBidi" w:hAnsiTheme="minorBidi" w:hint="cs"/>
          <w:sz w:val="16"/>
          <w:szCs w:val="16"/>
          <w:rtl/>
        </w:rPr>
        <w:t xml:space="preserve"> (כ"כ הטור בשמו)</w:t>
      </w:r>
      <w:r w:rsidRPr="00351B7D">
        <w:rPr>
          <w:rFonts w:asciiTheme="minorBidi" w:hAnsiTheme="minorBidi"/>
          <w:rtl/>
        </w:rPr>
        <w:t xml:space="preserve"> וטור</w:t>
      </w:r>
      <w:r w:rsidR="00A82951">
        <w:rPr>
          <w:rFonts w:asciiTheme="minorBidi" w:hAnsiTheme="minorBidi"/>
          <w:rtl/>
        </w:rPr>
        <w:t>-</w:t>
      </w:r>
      <w:r w:rsidRPr="00351B7D">
        <w:rPr>
          <w:rFonts w:asciiTheme="minorBidi" w:hAnsiTheme="minorBidi"/>
          <w:rtl/>
        </w:rPr>
        <w:t xml:space="preserve"> בימים מנין המועט קודם</w:t>
      </w:r>
      <w:r>
        <w:rPr>
          <w:rFonts w:asciiTheme="minorBidi" w:hAnsiTheme="minorBidi" w:hint="cs"/>
          <w:rtl/>
        </w:rPr>
        <w:t>.</w:t>
      </w:r>
      <w:r w:rsidRPr="00351B7D">
        <w:rPr>
          <w:rFonts w:asciiTheme="minorBidi" w:hAnsiTheme="minorBidi"/>
          <w:rtl/>
        </w:rPr>
        <w:t xml:space="preserve"> ובשנים מעשרים ואילך כותב המנין הגדול קודם. (וכ"פ ב"ש</w:t>
      </w:r>
      <w:r w:rsidRPr="00351B7D">
        <w:rPr>
          <w:rFonts w:asciiTheme="minorBidi" w:hAnsiTheme="minorBidi"/>
          <w:sz w:val="16"/>
          <w:szCs w:val="16"/>
          <w:rtl/>
        </w:rPr>
        <w:t xml:space="preserve"> </w:t>
      </w:r>
      <w:r w:rsidRPr="00351B7D">
        <w:rPr>
          <w:rFonts w:asciiTheme="minorBidi" w:hAnsiTheme="minorBidi"/>
          <w:sz w:val="14"/>
          <w:szCs w:val="14"/>
          <w:rtl/>
        </w:rPr>
        <w:t>[סקי"ד]</w:t>
      </w:r>
      <w:r w:rsidRPr="00351B7D">
        <w:rPr>
          <w:rFonts w:asciiTheme="minorBidi" w:hAnsiTheme="minorBidi"/>
          <w:rtl/>
        </w:rPr>
        <w:t>)</w:t>
      </w:r>
    </w:p>
    <w:p w14:paraId="74E6282C" w14:textId="2BFEC07F" w:rsidR="00FA2119" w:rsidRPr="00351B7D" w:rsidRDefault="00FA2119" w:rsidP="00FA2119">
      <w:pPr>
        <w:pStyle w:val="ab"/>
        <w:numPr>
          <w:ilvl w:val="0"/>
          <w:numId w:val="6"/>
        </w:numPr>
        <w:rPr>
          <w:rFonts w:asciiTheme="minorBidi" w:hAnsiTheme="minorBidi"/>
        </w:rPr>
      </w:pPr>
      <w:r w:rsidRPr="00351B7D">
        <w:rPr>
          <w:rFonts w:asciiTheme="minorBidi" w:hAnsiTheme="minorBidi"/>
          <w:rtl/>
        </w:rPr>
        <w:t xml:space="preserve">סמ"ק </w:t>
      </w:r>
      <w:r w:rsidRPr="00351B7D">
        <w:rPr>
          <w:rFonts w:asciiTheme="minorBidi" w:hAnsiTheme="minorBidi"/>
          <w:sz w:val="16"/>
          <w:szCs w:val="16"/>
          <w:rtl/>
        </w:rPr>
        <w:t>(סי' קפד עמ' קנ)</w:t>
      </w:r>
      <w:r w:rsidR="00A82951">
        <w:rPr>
          <w:rFonts w:asciiTheme="minorBidi" w:hAnsiTheme="minorBidi"/>
          <w:rtl/>
        </w:rPr>
        <w:t>-</w:t>
      </w:r>
      <w:r w:rsidRPr="00351B7D">
        <w:rPr>
          <w:rFonts w:asciiTheme="minorBidi" w:hAnsiTheme="minorBidi"/>
          <w:rtl/>
        </w:rPr>
        <w:t xml:space="preserve"> מנין הקטן קודם עד שיגיע לעשרים</w:t>
      </w:r>
      <w:r w:rsidR="001640FE">
        <w:rPr>
          <w:rFonts w:asciiTheme="minorBidi" w:hAnsiTheme="minorBidi" w:hint="cs"/>
          <w:rtl/>
        </w:rPr>
        <w:t>,</w:t>
      </w:r>
      <w:r w:rsidRPr="00351B7D">
        <w:rPr>
          <w:rFonts w:asciiTheme="minorBidi" w:hAnsiTheme="minorBidi"/>
          <w:rtl/>
        </w:rPr>
        <w:t xml:space="preserve"> ומכאן ואילך המנין הגדול קודם</w:t>
      </w:r>
      <w:r w:rsidRPr="00351B7D">
        <w:rPr>
          <w:rStyle w:val="a7"/>
          <w:rFonts w:asciiTheme="minorBidi" w:hAnsiTheme="minorBidi"/>
          <w:rtl/>
        </w:rPr>
        <w:footnoteReference w:id="683"/>
      </w:r>
      <w:r w:rsidRPr="00351B7D">
        <w:rPr>
          <w:rFonts w:asciiTheme="minorBidi" w:hAnsiTheme="minorBidi"/>
          <w:rtl/>
        </w:rPr>
        <w:t xml:space="preserve">. </w:t>
      </w:r>
    </w:p>
    <w:p w14:paraId="3CA00AFC" w14:textId="5E015C7A" w:rsidR="00FA2119" w:rsidRPr="00351B7D" w:rsidRDefault="00FA2119" w:rsidP="00FA2119">
      <w:pPr>
        <w:pStyle w:val="ab"/>
        <w:numPr>
          <w:ilvl w:val="0"/>
          <w:numId w:val="6"/>
        </w:numPr>
        <w:rPr>
          <w:rFonts w:asciiTheme="minorBidi" w:hAnsiTheme="minorBidi"/>
        </w:rPr>
      </w:pPr>
      <w:r w:rsidRPr="00351B7D">
        <w:rPr>
          <w:rFonts w:asciiTheme="minorBidi" w:hAnsiTheme="minorBidi"/>
          <w:rtl/>
        </w:rPr>
        <w:t>סדר גיטין מהר"י מינץ ומהרי"ו</w:t>
      </w:r>
      <w:r w:rsidRPr="00351B7D">
        <w:rPr>
          <w:rStyle w:val="a7"/>
          <w:rFonts w:asciiTheme="minorBidi" w:hAnsiTheme="minorBidi"/>
          <w:rtl/>
        </w:rPr>
        <w:footnoteReference w:id="684"/>
      </w:r>
      <w:r w:rsidR="00A82951">
        <w:rPr>
          <w:rFonts w:asciiTheme="minorBidi" w:hAnsiTheme="minorBidi"/>
          <w:rtl/>
        </w:rPr>
        <w:t>-</w:t>
      </w:r>
      <w:r w:rsidRPr="00351B7D">
        <w:rPr>
          <w:rFonts w:asciiTheme="minorBidi" w:hAnsiTheme="minorBidi"/>
          <w:rtl/>
        </w:rPr>
        <w:t xml:space="preserve"> אין קפידא בדבר </w:t>
      </w:r>
      <w:r w:rsidRPr="00351B7D">
        <w:rPr>
          <w:rFonts w:asciiTheme="minorBidi" w:hAnsiTheme="minorBidi"/>
          <w:sz w:val="16"/>
          <w:szCs w:val="16"/>
          <w:rtl/>
        </w:rPr>
        <w:t>(כדאמרינן ביומא נה.)</w:t>
      </w:r>
      <w:r w:rsidRPr="00351B7D">
        <w:rPr>
          <w:rStyle w:val="a7"/>
          <w:rFonts w:asciiTheme="minorBidi" w:hAnsiTheme="minorBidi"/>
          <w:rtl/>
        </w:rPr>
        <w:footnoteReference w:id="685"/>
      </w:r>
      <w:r w:rsidRPr="00351B7D">
        <w:rPr>
          <w:rFonts w:asciiTheme="minorBidi" w:hAnsiTheme="minorBidi"/>
          <w:rtl/>
        </w:rPr>
        <w:t>. (וכ"פ בב"י) (</w:t>
      </w:r>
      <w:r w:rsidRPr="00351B7D">
        <w:rPr>
          <w:rFonts w:asciiTheme="minorBidi" w:hAnsiTheme="minorBidi"/>
          <w:color w:val="000000"/>
          <w:rtl/>
        </w:rPr>
        <w:t>וכ"כ גט פשוט</w:t>
      </w:r>
      <w:r w:rsidRPr="00351B7D">
        <w:rPr>
          <w:rFonts w:asciiTheme="minorBidi" w:hAnsiTheme="minorBidi"/>
          <w:color w:val="000000"/>
          <w:sz w:val="16"/>
          <w:szCs w:val="16"/>
          <w:rtl/>
        </w:rPr>
        <w:t xml:space="preserve"> </w:t>
      </w:r>
      <w:r w:rsidRPr="00351B7D">
        <w:rPr>
          <w:rFonts w:asciiTheme="minorBidi" w:hAnsiTheme="minorBidi"/>
          <w:color w:val="000000"/>
          <w:sz w:val="14"/>
          <w:szCs w:val="14"/>
          <w:rtl/>
        </w:rPr>
        <w:t>[סקכ"ה]</w:t>
      </w:r>
      <w:r w:rsidRPr="00351B7D">
        <w:rPr>
          <w:rFonts w:asciiTheme="minorBidi" w:hAnsiTheme="minorBidi"/>
          <w:color w:val="000000"/>
          <w:rtl/>
        </w:rPr>
        <w:t>)</w:t>
      </w:r>
    </w:p>
    <w:p w14:paraId="62D227B5" w14:textId="0D119707" w:rsidR="00FA2119" w:rsidRPr="00351B7D" w:rsidRDefault="00FA2119" w:rsidP="00FA2119">
      <w:pPr>
        <w:pStyle w:val="ab"/>
        <w:numPr>
          <w:ilvl w:val="0"/>
          <w:numId w:val="6"/>
        </w:numPr>
        <w:rPr>
          <w:rFonts w:asciiTheme="minorBidi" w:hAnsiTheme="minorBidi"/>
        </w:rPr>
      </w:pPr>
      <w:r w:rsidRPr="00351B7D">
        <w:rPr>
          <w:rFonts w:asciiTheme="minorBidi" w:hAnsiTheme="minorBidi"/>
          <w:rtl/>
        </w:rPr>
        <w:t xml:space="preserve">כל בו </w:t>
      </w:r>
      <w:r w:rsidRPr="00351B7D">
        <w:rPr>
          <w:rFonts w:asciiTheme="minorBidi" w:hAnsiTheme="minorBidi"/>
          <w:sz w:val="16"/>
          <w:szCs w:val="16"/>
          <w:rtl/>
        </w:rPr>
        <w:t>(סי' עו)</w:t>
      </w:r>
      <w:r w:rsidR="00A82951">
        <w:rPr>
          <w:rFonts w:asciiTheme="minorBidi" w:hAnsiTheme="minorBidi"/>
          <w:rtl/>
        </w:rPr>
        <w:t>-</w:t>
      </w:r>
      <w:r w:rsidRPr="00351B7D">
        <w:rPr>
          <w:rFonts w:asciiTheme="minorBidi" w:hAnsiTheme="minorBidi"/>
          <w:rtl/>
        </w:rPr>
        <w:t xml:space="preserve"> מנין המועט קודם. </w:t>
      </w:r>
    </w:p>
    <w:p w14:paraId="334A3381" w14:textId="77777777" w:rsidR="00FA2119" w:rsidRPr="00351B7D" w:rsidRDefault="00FA2119" w:rsidP="00FA2119">
      <w:pPr>
        <w:rPr>
          <w:rFonts w:asciiTheme="minorBidi" w:hAnsiTheme="minorBidi"/>
          <w:rtl/>
        </w:rPr>
      </w:pPr>
      <w:r>
        <w:rPr>
          <w:rFonts w:asciiTheme="minorBidi" w:hAnsiTheme="minorBidi" w:hint="cs"/>
          <w:u w:val="single"/>
          <w:rtl/>
        </w:rPr>
        <w:t xml:space="preserve">כתיבת </w:t>
      </w:r>
      <w:r w:rsidRPr="00351B7D">
        <w:rPr>
          <w:rFonts w:asciiTheme="minorBidi" w:hAnsiTheme="minorBidi"/>
          <w:u w:val="single"/>
          <w:rtl/>
        </w:rPr>
        <w:t xml:space="preserve">חשבון </w:t>
      </w:r>
      <w:r>
        <w:rPr>
          <w:rFonts w:asciiTheme="minorBidi" w:hAnsiTheme="minorBidi" w:hint="cs"/>
          <w:u w:val="single"/>
          <w:rtl/>
        </w:rPr>
        <w:t>השנים ב</w:t>
      </w:r>
      <w:r w:rsidRPr="00351B7D">
        <w:rPr>
          <w:rFonts w:asciiTheme="minorBidi" w:hAnsiTheme="minorBidi"/>
          <w:u w:val="single"/>
          <w:rtl/>
        </w:rPr>
        <w:t xml:space="preserve">לשון </w:t>
      </w:r>
      <w:r>
        <w:rPr>
          <w:rFonts w:asciiTheme="minorBidi" w:hAnsiTheme="minorBidi" w:hint="cs"/>
          <w:u w:val="single"/>
          <w:rtl/>
        </w:rPr>
        <w:t>נקבה</w:t>
      </w:r>
      <w:r w:rsidRPr="00351B7D">
        <w:rPr>
          <w:rFonts w:asciiTheme="minorBidi" w:hAnsiTheme="minorBidi"/>
          <w:u w:val="single"/>
          <w:rtl/>
        </w:rPr>
        <w:t>:</w:t>
      </w:r>
    </w:p>
    <w:p w14:paraId="40A6B328" w14:textId="24789C41" w:rsidR="00FA2119" w:rsidRPr="00351B7D" w:rsidRDefault="00FA2119" w:rsidP="00FA2119">
      <w:pPr>
        <w:pStyle w:val="ab"/>
        <w:numPr>
          <w:ilvl w:val="0"/>
          <w:numId w:val="9"/>
        </w:numPr>
        <w:rPr>
          <w:rFonts w:asciiTheme="minorBidi" w:hAnsiTheme="minorBidi"/>
        </w:rPr>
      </w:pPr>
      <w:r w:rsidRPr="00351B7D">
        <w:rPr>
          <w:rFonts w:asciiTheme="minorBidi" w:hAnsiTheme="minorBidi"/>
          <w:rtl/>
        </w:rPr>
        <w:t xml:space="preserve">ה"ר פרץ </w:t>
      </w:r>
      <w:r>
        <w:rPr>
          <w:rFonts w:asciiTheme="minorBidi" w:hAnsiTheme="minorBidi" w:hint="cs"/>
          <w:rtl/>
        </w:rPr>
        <w:t>מרדכי</w:t>
      </w:r>
      <w:r w:rsidRPr="00351B7D">
        <w:rPr>
          <w:rFonts w:asciiTheme="minorBidi" w:hAnsiTheme="minorBidi"/>
          <w:rtl/>
        </w:rPr>
        <w:t xml:space="preserve"> טור </w:t>
      </w:r>
      <w:r>
        <w:rPr>
          <w:rFonts w:asciiTheme="minorBidi" w:hAnsiTheme="minorBidi" w:hint="cs"/>
          <w:rtl/>
        </w:rPr>
        <w:t>ו</w:t>
      </w:r>
      <w:r w:rsidRPr="00351B7D">
        <w:rPr>
          <w:rFonts w:asciiTheme="minorBidi" w:hAnsiTheme="minorBidi"/>
          <w:rtl/>
        </w:rPr>
        <w:t>סדר גיטין</w:t>
      </w:r>
      <w:r w:rsidRPr="00351B7D">
        <w:rPr>
          <w:rStyle w:val="a7"/>
          <w:rFonts w:asciiTheme="minorBidi" w:hAnsiTheme="minorBidi"/>
          <w:rtl/>
        </w:rPr>
        <w:footnoteReference w:id="686"/>
      </w:r>
      <w:r w:rsidR="00A82951">
        <w:rPr>
          <w:rFonts w:asciiTheme="minorBidi" w:hAnsiTheme="minorBidi"/>
          <w:rtl/>
        </w:rPr>
        <w:t>-</w:t>
      </w:r>
      <w:r w:rsidRPr="00351B7D">
        <w:rPr>
          <w:rFonts w:asciiTheme="minorBidi" w:hAnsiTheme="minorBidi"/>
          <w:rtl/>
        </w:rPr>
        <w:t xml:space="preserve"> </w:t>
      </w:r>
      <w:r w:rsidRPr="004407F4">
        <w:rPr>
          <w:rFonts w:asciiTheme="minorBidi" w:hAnsiTheme="minorBidi" w:cs="Arial"/>
          <w:rtl/>
        </w:rPr>
        <w:t>ובחשבון השנים יכתוב לשון נקבה</w:t>
      </w:r>
      <w:r>
        <w:rPr>
          <w:rFonts w:asciiTheme="minorBidi" w:hAnsiTheme="minorBidi" w:cs="Arial" w:hint="cs"/>
          <w:rtl/>
        </w:rPr>
        <w:t>,</w:t>
      </w:r>
      <w:r w:rsidRPr="004407F4">
        <w:rPr>
          <w:rFonts w:asciiTheme="minorBidi" w:hAnsiTheme="minorBidi" w:cs="Arial"/>
          <w:rtl/>
        </w:rPr>
        <w:t xml:space="preserve"> כגון בשנת חמשת אלפים ואחת לבריאת עולם</w:t>
      </w:r>
      <w:r>
        <w:rPr>
          <w:rFonts w:asciiTheme="minorBidi" w:hAnsiTheme="minorBidi" w:cs="Arial" w:hint="cs"/>
          <w:rtl/>
        </w:rPr>
        <w:t>,</w:t>
      </w:r>
      <w:r w:rsidRPr="004407F4">
        <w:rPr>
          <w:rFonts w:asciiTheme="minorBidi" w:hAnsiTheme="minorBidi" w:cs="Arial"/>
          <w:rtl/>
        </w:rPr>
        <w:t xml:space="preserve"> שתים</w:t>
      </w:r>
      <w:r w:rsidR="00060921">
        <w:rPr>
          <w:rFonts w:asciiTheme="minorBidi" w:hAnsiTheme="minorBidi" w:cs="Arial" w:hint="cs"/>
          <w:rtl/>
        </w:rPr>
        <w:t>.</w:t>
      </w:r>
      <w:r w:rsidRPr="004407F4">
        <w:rPr>
          <w:rFonts w:asciiTheme="minorBidi" w:hAnsiTheme="minorBidi" w:cs="Arial"/>
          <w:rtl/>
        </w:rPr>
        <w:t xml:space="preserve"> שלש</w:t>
      </w:r>
      <w:r>
        <w:rPr>
          <w:rFonts w:asciiTheme="minorBidi" w:hAnsiTheme="minorBidi" w:cs="Arial" w:hint="cs"/>
          <w:rtl/>
        </w:rPr>
        <w:t>,</w:t>
      </w:r>
      <w:r w:rsidRPr="004407F4">
        <w:rPr>
          <w:rFonts w:asciiTheme="minorBidi" w:hAnsiTheme="minorBidi" w:cs="Arial"/>
          <w:rtl/>
        </w:rPr>
        <w:t xml:space="preserve"> ארבע</w:t>
      </w:r>
      <w:r>
        <w:rPr>
          <w:rFonts w:asciiTheme="minorBidi" w:hAnsiTheme="minorBidi" w:cs="Arial" w:hint="cs"/>
          <w:rtl/>
        </w:rPr>
        <w:t>,</w:t>
      </w:r>
      <w:r w:rsidRPr="004407F4">
        <w:rPr>
          <w:rFonts w:asciiTheme="minorBidi" w:hAnsiTheme="minorBidi" w:cs="Arial"/>
          <w:rtl/>
        </w:rPr>
        <w:t xml:space="preserve"> כולם בלא ה"א לבסוף</w:t>
      </w:r>
      <w:r>
        <w:rPr>
          <w:rFonts w:asciiTheme="minorBidi" w:hAnsiTheme="minorBidi" w:cs="Arial" w:hint="cs"/>
          <w:rtl/>
        </w:rPr>
        <w:t>.</w:t>
      </w:r>
      <w:r w:rsidRPr="004407F4">
        <w:rPr>
          <w:rFonts w:asciiTheme="minorBidi" w:hAnsiTheme="minorBidi" w:cs="Arial"/>
          <w:rtl/>
        </w:rPr>
        <w:t xml:space="preserve"> וכן אחת עשרה</w:t>
      </w:r>
      <w:r>
        <w:rPr>
          <w:rFonts w:asciiTheme="minorBidi" w:hAnsiTheme="minorBidi" w:cs="Arial" w:hint="cs"/>
          <w:rtl/>
        </w:rPr>
        <w:t>,</w:t>
      </w:r>
      <w:r w:rsidRPr="004407F4">
        <w:rPr>
          <w:rFonts w:asciiTheme="minorBidi" w:hAnsiTheme="minorBidi" w:cs="Arial"/>
          <w:rtl/>
        </w:rPr>
        <w:t xml:space="preserve"> שתים עשרה</w:t>
      </w:r>
      <w:r>
        <w:rPr>
          <w:rFonts w:asciiTheme="minorBidi" w:hAnsiTheme="minorBidi" w:cs="Arial" w:hint="cs"/>
          <w:rtl/>
        </w:rPr>
        <w:t>,</w:t>
      </w:r>
      <w:r w:rsidRPr="004407F4">
        <w:rPr>
          <w:rFonts w:asciiTheme="minorBidi" w:hAnsiTheme="minorBidi" w:cs="Arial"/>
          <w:rtl/>
        </w:rPr>
        <w:t xml:space="preserve"> עד עשרים</w:t>
      </w:r>
      <w:r>
        <w:rPr>
          <w:rFonts w:asciiTheme="minorBidi" w:hAnsiTheme="minorBidi" w:cs="Arial" w:hint="cs"/>
          <w:rtl/>
        </w:rPr>
        <w:t>.</w:t>
      </w:r>
      <w:r w:rsidRPr="004407F4">
        <w:rPr>
          <w:rFonts w:asciiTheme="minorBidi" w:hAnsiTheme="minorBidi" w:cs="Arial"/>
          <w:rtl/>
        </w:rPr>
        <w:t xml:space="preserve"> ומשם </w:t>
      </w:r>
      <w:r w:rsidRPr="004407F4">
        <w:rPr>
          <w:rFonts w:asciiTheme="minorBidi" w:hAnsiTheme="minorBidi" w:cs="Arial"/>
          <w:rtl/>
        </w:rPr>
        <w:lastRenderedPageBreak/>
        <w:t>ואילך עשרים ואחת</w:t>
      </w:r>
      <w:r>
        <w:rPr>
          <w:rFonts w:asciiTheme="minorBidi" w:hAnsiTheme="minorBidi" w:cs="Arial" w:hint="cs"/>
          <w:rtl/>
        </w:rPr>
        <w:t>,</w:t>
      </w:r>
      <w:r w:rsidRPr="004407F4">
        <w:rPr>
          <w:rFonts w:asciiTheme="minorBidi" w:hAnsiTheme="minorBidi" w:cs="Arial"/>
          <w:rtl/>
        </w:rPr>
        <w:t xml:space="preserve"> עשרים ושתים</w:t>
      </w:r>
      <w:r>
        <w:rPr>
          <w:rFonts w:asciiTheme="minorBidi" w:hAnsiTheme="minorBidi" w:cs="Arial" w:hint="cs"/>
          <w:rtl/>
        </w:rPr>
        <w:t>,</w:t>
      </w:r>
      <w:r w:rsidRPr="004407F4">
        <w:rPr>
          <w:rFonts w:asciiTheme="minorBidi" w:hAnsiTheme="minorBidi" w:cs="Arial"/>
          <w:rtl/>
        </w:rPr>
        <w:t xml:space="preserve"> עשרים ושלש</w:t>
      </w:r>
      <w:r>
        <w:rPr>
          <w:rFonts w:asciiTheme="minorBidi" w:hAnsiTheme="minorBidi" w:cs="Arial" w:hint="cs"/>
          <w:rtl/>
        </w:rPr>
        <w:t>,</w:t>
      </w:r>
      <w:r w:rsidRPr="004407F4">
        <w:rPr>
          <w:rFonts w:asciiTheme="minorBidi" w:hAnsiTheme="minorBidi" w:cs="Arial"/>
          <w:rtl/>
        </w:rPr>
        <w:t xml:space="preserve"> המנין המועט לשון נקבה</w:t>
      </w:r>
      <w:r>
        <w:rPr>
          <w:rFonts w:asciiTheme="minorBidi" w:hAnsiTheme="minorBidi" w:cs="Arial" w:hint="cs"/>
          <w:rtl/>
        </w:rPr>
        <w:t>,</w:t>
      </w:r>
      <w:r w:rsidRPr="004407F4">
        <w:rPr>
          <w:rFonts w:asciiTheme="minorBidi" w:hAnsiTheme="minorBidi" w:cs="Arial"/>
          <w:rtl/>
        </w:rPr>
        <w:t xml:space="preserve"> וכן לעולם</w:t>
      </w:r>
      <w:r w:rsidRPr="00351B7D">
        <w:rPr>
          <w:rFonts w:asciiTheme="minorBidi" w:hAnsiTheme="minorBidi"/>
          <w:sz w:val="16"/>
          <w:szCs w:val="16"/>
          <w:rtl/>
        </w:rPr>
        <w:t xml:space="preserve"> (ל' הטור בשם ר"פ)</w:t>
      </w:r>
      <w:r w:rsidRPr="00351B7D">
        <w:rPr>
          <w:rFonts w:asciiTheme="minorBidi" w:hAnsiTheme="minorBidi"/>
          <w:rtl/>
        </w:rPr>
        <w:t xml:space="preserve">. </w:t>
      </w:r>
      <w:r w:rsidRPr="00351B7D">
        <w:rPr>
          <w:rFonts w:asciiTheme="minorBidi" w:hAnsiTheme="minorBidi"/>
          <w:color w:val="E36C0A" w:themeColor="accent6" w:themeShade="BF"/>
          <w:rtl/>
        </w:rPr>
        <w:t>(וכ"פ בשו"ע)</w:t>
      </w:r>
    </w:p>
    <w:p w14:paraId="5633D075"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CD10AEC" w14:textId="4B6D2293" w:rsidR="00FA2119" w:rsidRPr="00351B7D" w:rsidRDefault="00FA2119" w:rsidP="00FA2119">
      <w:pPr>
        <w:rPr>
          <w:rFonts w:asciiTheme="minorBidi" w:hAnsiTheme="minorBidi"/>
          <w:color w:val="000000"/>
          <w:sz w:val="16"/>
          <w:szCs w:val="16"/>
          <w:rtl/>
        </w:rPr>
      </w:pPr>
      <w:r w:rsidRPr="00351B7D">
        <w:rPr>
          <w:rFonts w:asciiTheme="minorBidi" w:hAnsiTheme="minorBidi"/>
          <w:rtl/>
        </w:rPr>
        <w:t>בחשבון השנים יכתוב לשון נקבה, בשנת חמשת אלפים ואחת לבריאת עולם, שתים</w:t>
      </w:r>
      <w:r w:rsidR="00060921">
        <w:rPr>
          <w:rFonts w:asciiTheme="minorBidi" w:hAnsiTheme="minorBidi" w:hint="cs"/>
          <w:rtl/>
        </w:rPr>
        <w:t>.</w:t>
      </w:r>
      <w:r w:rsidRPr="00351B7D">
        <w:rPr>
          <w:rFonts w:asciiTheme="minorBidi" w:hAnsiTheme="minorBidi"/>
          <w:rtl/>
        </w:rPr>
        <w:t xml:space="preserve"> שלש ארבע, כולם בלא ה"א לבסוף, וכן אחת עשרה</w:t>
      </w:r>
      <w:r w:rsidRPr="00351B7D">
        <w:rPr>
          <w:rStyle w:val="a7"/>
          <w:rFonts w:asciiTheme="minorBidi" w:hAnsiTheme="minorBidi"/>
          <w:color w:val="000000"/>
          <w:rtl/>
        </w:rPr>
        <w:footnoteReference w:id="687"/>
      </w:r>
      <w:r w:rsidRPr="00351B7D">
        <w:rPr>
          <w:rFonts w:asciiTheme="minorBidi" w:hAnsiTheme="minorBidi"/>
          <w:rtl/>
        </w:rPr>
        <w:t xml:space="preserve"> שתים עשרה עד עשרים, ומשם ואילך עשרים ואחת עשרים ושתים עשרים ושלש, המנין המועט לשון נקיבה, וכן לעולם.</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ויכתוב בשנים מנין המרובה קודם, אבל בימים יכתוב מנין המועט קודם, אחד ועשרים שנים ועשרים וכו'. ואם כתב מנין המרובה קודם או להיפך שכתב בשנים מנין המועט קודם, כשר (ב"י). כתב לשון זכר במקום לשון נקבה, כגון שהיה לו לכתוב חמש וכתב חמשה, כשר</w:t>
      </w:r>
      <w:r w:rsidRPr="00351B7D">
        <w:rPr>
          <w:rStyle w:val="a7"/>
          <w:rFonts w:asciiTheme="minorBidi" w:hAnsiTheme="minorBidi"/>
          <w:color w:val="000000"/>
          <w:sz w:val="18"/>
          <w:szCs w:val="18"/>
          <w:rtl/>
        </w:rPr>
        <w:footnoteReference w:id="688"/>
      </w:r>
      <w:r w:rsidRPr="00351B7D">
        <w:rPr>
          <w:rFonts w:asciiTheme="minorBidi" w:hAnsiTheme="minorBidi"/>
          <w:color w:val="000000"/>
          <w:sz w:val="18"/>
          <w:szCs w:val="18"/>
          <w:rtl/>
        </w:rPr>
        <w:t xml:space="preserve"> (בשם מהרי"ל</w:t>
      </w:r>
      <w:r w:rsidRPr="00351B7D">
        <w:rPr>
          <w:rStyle w:val="a7"/>
          <w:rFonts w:asciiTheme="minorBidi" w:hAnsiTheme="minorBidi"/>
          <w:sz w:val="18"/>
          <w:szCs w:val="18"/>
          <w:rtl/>
        </w:rPr>
        <w:footnoteReference w:id="689"/>
      </w:r>
      <w:r w:rsidRPr="00351B7D">
        <w:rPr>
          <w:rFonts w:asciiTheme="minorBidi" w:hAnsiTheme="minorBidi"/>
          <w:color w:val="000000"/>
          <w:sz w:val="18"/>
          <w:szCs w:val="18"/>
          <w:rtl/>
        </w:rPr>
        <w:t>).</w:t>
      </w:r>
      <w:r w:rsidRPr="00351B7D">
        <w:rPr>
          <w:rFonts w:asciiTheme="minorBidi" w:hAnsiTheme="minorBidi"/>
          <w:color w:val="000000"/>
          <w:sz w:val="16"/>
          <w:szCs w:val="16"/>
          <w:rtl/>
        </w:rPr>
        <w:t xml:space="preserve"> </w:t>
      </w:r>
    </w:p>
    <w:p w14:paraId="1A9CC139" w14:textId="24A36CE0" w:rsidR="00FA2119" w:rsidRPr="00351B7D" w:rsidRDefault="00FA2119" w:rsidP="00FA2119">
      <w:pPr>
        <w:rPr>
          <w:rFonts w:asciiTheme="minorBidi" w:hAnsiTheme="minorBidi"/>
          <w:sz w:val="16"/>
          <w:szCs w:val="16"/>
          <w:rtl/>
        </w:rPr>
      </w:pPr>
      <w:r w:rsidRPr="00351B7D">
        <w:rPr>
          <w:rFonts w:asciiTheme="minorBidi" w:hAnsiTheme="minorBidi"/>
          <w:u w:val="single"/>
          <w:rtl/>
        </w:rPr>
        <w:t>אסופת דינים:</w:t>
      </w:r>
      <w:r w:rsidRPr="00351B7D">
        <w:rPr>
          <w:rFonts w:asciiTheme="minorBidi" w:hAnsiTheme="minorBidi"/>
          <w:sz w:val="16"/>
          <w:szCs w:val="16"/>
          <w:rtl/>
        </w:rPr>
        <w:t xml:space="preserve">  (פת"ש סק"ט</w:t>
      </w:r>
      <w:r w:rsidR="00A82951">
        <w:rPr>
          <w:rFonts w:asciiTheme="minorBidi" w:hAnsiTheme="minorBidi"/>
          <w:sz w:val="16"/>
          <w:szCs w:val="16"/>
          <w:rtl/>
        </w:rPr>
        <w:t>-</w:t>
      </w:r>
      <w:r w:rsidRPr="00351B7D">
        <w:rPr>
          <w:rFonts w:asciiTheme="minorBidi" w:hAnsiTheme="minorBidi"/>
          <w:sz w:val="16"/>
          <w:szCs w:val="16"/>
          <w:rtl/>
        </w:rPr>
        <w:t>י)</w:t>
      </w:r>
    </w:p>
    <w:p w14:paraId="3BE579D4" w14:textId="32B09375" w:rsidR="00FA2119" w:rsidRPr="00060921" w:rsidRDefault="00FA2119" w:rsidP="00060921">
      <w:pPr>
        <w:pStyle w:val="ab"/>
        <w:numPr>
          <w:ilvl w:val="0"/>
          <w:numId w:val="11"/>
        </w:numPr>
        <w:rPr>
          <w:rFonts w:asciiTheme="minorBidi" w:hAnsiTheme="minorBidi"/>
          <w:rtl/>
        </w:rPr>
      </w:pPr>
      <w:r w:rsidRPr="00351B7D">
        <w:rPr>
          <w:rFonts w:asciiTheme="minorBidi" w:hAnsiTheme="minorBidi"/>
          <w:rtl/>
        </w:rPr>
        <w:t xml:space="preserve">לבוש וב"ש </w:t>
      </w:r>
      <w:r w:rsidRPr="00351B7D">
        <w:rPr>
          <w:rFonts w:asciiTheme="minorBidi" w:hAnsiTheme="minorBidi"/>
          <w:sz w:val="16"/>
          <w:szCs w:val="16"/>
          <w:rtl/>
        </w:rPr>
        <w:t>(סקט"ז)</w:t>
      </w:r>
      <w:r w:rsidR="00A82951">
        <w:rPr>
          <w:rFonts w:asciiTheme="minorBidi" w:hAnsiTheme="minorBidi"/>
          <w:rtl/>
        </w:rPr>
        <w:t>-</w:t>
      </w:r>
      <w:r w:rsidRPr="00351B7D">
        <w:rPr>
          <w:rFonts w:asciiTheme="minorBidi" w:hAnsiTheme="minorBidi"/>
          <w:rtl/>
        </w:rPr>
        <w:t xml:space="preserve"> אם כתב במקום 'אחד עשר' 'עשרה ואחד' צ"ע אם יש קפידא.</w:t>
      </w:r>
    </w:p>
    <w:p w14:paraId="6D7F8192" w14:textId="246B9F5D" w:rsidR="00FA2119" w:rsidRPr="00351B7D" w:rsidRDefault="00FA2119" w:rsidP="00FA2119">
      <w:pPr>
        <w:pStyle w:val="ab"/>
        <w:numPr>
          <w:ilvl w:val="0"/>
          <w:numId w:val="11"/>
        </w:numPr>
        <w:rPr>
          <w:rFonts w:asciiTheme="minorBidi" w:hAnsiTheme="minorBidi"/>
          <w:color w:val="000000"/>
        </w:rPr>
      </w:pPr>
      <w:r w:rsidRPr="00351B7D">
        <w:rPr>
          <w:rFonts w:asciiTheme="minorBidi" w:hAnsiTheme="minorBidi"/>
          <w:color w:val="000000"/>
          <w:rtl/>
        </w:rPr>
        <w:t xml:space="preserve">תורת גיטין </w:t>
      </w:r>
      <w:r w:rsidRPr="00351B7D">
        <w:rPr>
          <w:rFonts w:asciiTheme="minorBidi" w:hAnsiTheme="minorBidi"/>
          <w:color w:val="000000"/>
          <w:sz w:val="16"/>
          <w:szCs w:val="16"/>
          <w:rtl/>
        </w:rPr>
        <w:t>(ביאורים סק"א)</w:t>
      </w:r>
      <w:r w:rsidR="00A82951">
        <w:rPr>
          <w:rFonts w:asciiTheme="minorBidi" w:hAnsiTheme="minorBidi"/>
          <w:color w:val="000000"/>
          <w:rtl/>
        </w:rPr>
        <w:t>-</w:t>
      </w:r>
      <w:r w:rsidRPr="00351B7D">
        <w:rPr>
          <w:rFonts w:asciiTheme="minorBidi" w:hAnsiTheme="minorBidi"/>
          <w:color w:val="000000"/>
          <w:rtl/>
        </w:rPr>
        <w:t xml:space="preserve"> נראה דבזמן אין שום טעות פוסל כל שהזמן מוכח מתוך הגט שאינו לא מוקדם ולא מאוחר, וראיה מסע' כ"א.</w:t>
      </w:r>
    </w:p>
    <w:p w14:paraId="4F9AA9C9" w14:textId="1A599628" w:rsidR="00FA2119" w:rsidRPr="00351B7D" w:rsidRDefault="00FA2119" w:rsidP="00FA2119">
      <w:pPr>
        <w:pStyle w:val="ab"/>
        <w:numPr>
          <w:ilvl w:val="0"/>
          <w:numId w:val="11"/>
        </w:numPr>
        <w:rPr>
          <w:rFonts w:asciiTheme="minorBidi" w:hAnsiTheme="minorBidi"/>
          <w:color w:val="000000"/>
        </w:rPr>
      </w:pPr>
      <w:r w:rsidRPr="00351B7D">
        <w:rPr>
          <w:rFonts w:asciiTheme="minorBidi" w:hAnsiTheme="minorBidi"/>
          <w:color w:val="000000"/>
          <w:rtl/>
        </w:rPr>
        <w:t xml:space="preserve">פר"ח </w:t>
      </w:r>
      <w:r w:rsidRPr="00351B7D">
        <w:rPr>
          <w:rFonts w:asciiTheme="minorBidi" w:hAnsiTheme="minorBidi"/>
          <w:color w:val="000000"/>
          <w:sz w:val="16"/>
          <w:szCs w:val="16"/>
          <w:rtl/>
        </w:rPr>
        <w:t xml:space="preserve">(סע' סב) </w:t>
      </w:r>
      <w:r w:rsidRPr="00351B7D">
        <w:rPr>
          <w:rFonts w:asciiTheme="minorBidi" w:hAnsiTheme="minorBidi"/>
          <w:color w:val="000000"/>
          <w:rtl/>
        </w:rPr>
        <w:t>ובית מאיר</w:t>
      </w:r>
      <w:r w:rsidR="00A82951">
        <w:rPr>
          <w:rFonts w:asciiTheme="minorBidi" w:hAnsiTheme="minorBidi"/>
          <w:color w:val="000000"/>
          <w:rtl/>
        </w:rPr>
        <w:t>-</w:t>
      </w:r>
      <w:r w:rsidRPr="00351B7D">
        <w:rPr>
          <w:rFonts w:asciiTheme="minorBidi" w:hAnsiTheme="minorBidi"/>
          <w:color w:val="000000"/>
          <w:rtl/>
        </w:rPr>
        <w:t xml:space="preserve"> אין לכתוב 'חמישים' בב' יודין, אלא באחת</w:t>
      </w:r>
      <w:r>
        <w:rPr>
          <w:rFonts w:asciiTheme="minorBidi" w:hAnsiTheme="minorBidi" w:hint="cs"/>
          <w:color w:val="000000"/>
          <w:sz w:val="16"/>
          <w:szCs w:val="16"/>
          <w:rtl/>
        </w:rPr>
        <w:t xml:space="preserve"> {'חמשים'}</w:t>
      </w:r>
      <w:r w:rsidRPr="00351B7D">
        <w:rPr>
          <w:rFonts w:asciiTheme="minorBidi" w:hAnsiTheme="minorBidi"/>
          <w:color w:val="000000"/>
          <w:rtl/>
        </w:rPr>
        <w:t>, וכן כתוב בתורה.</w:t>
      </w:r>
    </w:p>
    <w:p w14:paraId="7B7065A6" w14:textId="74D73437" w:rsidR="00FA2119" w:rsidRPr="00351B7D" w:rsidRDefault="00FA2119" w:rsidP="00FA2119">
      <w:pPr>
        <w:pStyle w:val="ab"/>
        <w:numPr>
          <w:ilvl w:val="0"/>
          <w:numId w:val="11"/>
        </w:numPr>
        <w:rPr>
          <w:rFonts w:asciiTheme="minorBidi" w:hAnsiTheme="minorBidi"/>
          <w:color w:val="000000"/>
          <w:rtl/>
        </w:rPr>
      </w:pPr>
      <w:r w:rsidRPr="00351B7D">
        <w:rPr>
          <w:rFonts w:asciiTheme="minorBidi" w:hAnsiTheme="minorBidi"/>
          <w:color w:val="000000"/>
          <w:rtl/>
        </w:rPr>
        <w:t xml:space="preserve">פנמ"א </w:t>
      </w:r>
      <w:r w:rsidRPr="00351B7D">
        <w:rPr>
          <w:rFonts w:asciiTheme="minorBidi" w:hAnsiTheme="minorBidi"/>
          <w:color w:val="000000"/>
          <w:sz w:val="16"/>
          <w:szCs w:val="16"/>
          <w:rtl/>
        </w:rPr>
        <w:t>(ח"ב סי' פז)</w:t>
      </w:r>
      <w:r w:rsidR="00A82951">
        <w:rPr>
          <w:rFonts w:asciiTheme="minorBidi" w:hAnsiTheme="minorBidi"/>
          <w:color w:val="000000"/>
          <w:rtl/>
        </w:rPr>
        <w:t>-</w:t>
      </w:r>
      <w:r w:rsidRPr="00351B7D">
        <w:rPr>
          <w:rFonts w:asciiTheme="minorBidi" w:hAnsiTheme="minorBidi"/>
          <w:color w:val="000000"/>
          <w:rtl/>
        </w:rPr>
        <w:t xml:space="preserve"> תיבת 'שמונים' יש לכתוב חסר</w:t>
      </w:r>
      <w:r w:rsidRPr="00351B7D">
        <w:rPr>
          <w:rFonts w:asciiTheme="minorBidi" w:hAnsiTheme="minorBidi"/>
          <w:color w:val="000000"/>
          <w:sz w:val="16"/>
          <w:szCs w:val="16"/>
          <w:rtl/>
        </w:rPr>
        <w:t xml:space="preserve"> </w:t>
      </w:r>
      <w:r>
        <w:rPr>
          <w:rFonts w:asciiTheme="minorBidi" w:hAnsiTheme="minorBidi" w:hint="cs"/>
          <w:color w:val="000000"/>
          <w:sz w:val="16"/>
          <w:szCs w:val="16"/>
          <w:rtl/>
        </w:rPr>
        <w:t>{</w:t>
      </w:r>
      <w:r w:rsidRPr="00351B7D">
        <w:rPr>
          <w:rFonts w:asciiTheme="minorBidi" w:hAnsiTheme="minorBidi"/>
          <w:color w:val="000000"/>
          <w:sz w:val="16"/>
          <w:szCs w:val="16"/>
          <w:rtl/>
        </w:rPr>
        <w:t>'שמנים'</w:t>
      </w:r>
      <w:r>
        <w:rPr>
          <w:rFonts w:asciiTheme="minorBidi" w:hAnsiTheme="minorBidi" w:hint="cs"/>
          <w:color w:val="000000"/>
          <w:sz w:val="16"/>
          <w:szCs w:val="16"/>
          <w:rtl/>
        </w:rPr>
        <w:t>}</w:t>
      </w:r>
      <w:r w:rsidRPr="00351B7D">
        <w:rPr>
          <w:rFonts w:asciiTheme="minorBidi" w:hAnsiTheme="minorBidi"/>
          <w:color w:val="000000"/>
          <w:rtl/>
        </w:rPr>
        <w:t>, דבמסורה הרוב שמונים שבמקרא חסרים, וכבר כתב הרמ"א בסי' קכ"ט סל"א שדבר הנמצא בכתוב לפעמים חסר ולפעמים מלא הולכים אחר הרוב</w:t>
      </w:r>
      <w:r w:rsidRPr="00351B7D">
        <w:rPr>
          <w:rStyle w:val="a7"/>
          <w:rFonts w:asciiTheme="minorBidi" w:hAnsiTheme="minorBidi"/>
          <w:color w:val="000000"/>
          <w:rtl/>
        </w:rPr>
        <w:footnoteReference w:id="690"/>
      </w:r>
      <w:r w:rsidRPr="00351B7D">
        <w:rPr>
          <w:rFonts w:asciiTheme="minorBidi" w:hAnsiTheme="minorBidi"/>
          <w:color w:val="000000"/>
          <w:rtl/>
        </w:rPr>
        <w:t xml:space="preserve">. </w:t>
      </w:r>
    </w:p>
    <w:p w14:paraId="21F88525" w14:textId="77777777" w:rsidR="00FA2119" w:rsidRPr="00351B7D" w:rsidRDefault="00FA2119" w:rsidP="00FA2119">
      <w:pPr>
        <w:rPr>
          <w:rFonts w:asciiTheme="minorBidi" w:hAnsiTheme="minorBidi"/>
          <w:color w:val="000000"/>
          <w:rtl/>
        </w:rPr>
      </w:pPr>
    </w:p>
    <w:p w14:paraId="5618AF63" w14:textId="77777777" w:rsidR="00FA2119" w:rsidRPr="00351B7D" w:rsidRDefault="00FA2119" w:rsidP="00FA2119">
      <w:pPr>
        <w:pStyle w:val="2"/>
        <w:rPr>
          <w:rtl/>
        </w:rPr>
      </w:pPr>
      <w:r w:rsidRPr="00351B7D">
        <w:rPr>
          <w:rtl/>
        </w:rPr>
        <w:t>סעיף ו: כתיבת</w:t>
      </w:r>
      <w:r>
        <w:rPr>
          <w:rFonts w:hint="cs"/>
          <w:rtl/>
        </w:rPr>
        <w:t xml:space="preserve"> יום</w:t>
      </w:r>
      <w:r w:rsidRPr="00351B7D">
        <w:rPr>
          <w:rtl/>
        </w:rPr>
        <w:t xml:space="preserve"> ר</w:t>
      </w:r>
      <w:r>
        <w:rPr>
          <w:rFonts w:hint="cs"/>
          <w:rtl/>
        </w:rPr>
        <w:t>אש ה</w:t>
      </w:r>
      <w:r w:rsidRPr="00351B7D">
        <w:rPr>
          <w:rtl/>
        </w:rPr>
        <w:t>ח</w:t>
      </w:r>
      <w:r>
        <w:rPr>
          <w:rFonts w:hint="cs"/>
          <w:rtl/>
        </w:rPr>
        <w:t>ודש</w:t>
      </w:r>
      <w:r w:rsidRPr="00351B7D">
        <w:rPr>
          <w:rtl/>
        </w:rPr>
        <w:t xml:space="preserve"> כשהוא ב' ימים.</w:t>
      </w:r>
    </w:p>
    <w:p w14:paraId="0C0D45BB" w14:textId="77777777" w:rsidR="00FA2119" w:rsidRPr="00351B7D" w:rsidRDefault="00FA2119" w:rsidP="00FA2119">
      <w:pPr>
        <w:rPr>
          <w:rFonts w:asciiTheme="minorBidi" w:hAnsiTheme="minorBidi"/>
          <w:rtl/>
        </w:rPr>
      </w:pPr>
      <w:r w:rsidRPr="00351B7D">
        <w:rPr>
          <w:rFonts w:asciiTheme="minorBidi" w:hAnsiTheme="minorBidi"/>
          <w:u w:val="single"/>
          <w:rtl/>
        </w:rPr>
        <w:t xml:space="preserve">כיצד לכתוב </w:t>
      </w:r>
      <w:r>
        <w:rPr>
          <w:rFonts w:asciiTheme="minorBidi" w:hAnsiTheme="minorBidi" w:hint="cs"/>
          <w:u w:val="single"/>
          <w:rtl/>
        </w:rPr>
        <w:t>את ה</w:t>
      </w:r>
      <w:r w:rsidRPr="00351B7D">
        <w:rPr>
          <w:rFonts w:asciiTheme="minorBidi" w:hAnsiTheme="minorBidi"/>
          <w:u w:val="single"/>
          <w:rtl/>
        </w:rPr>
        <w:t xml:space="preserve">יום </w:t>
      </w:r>
      <w:r>
        <w:rPr>
          <w:rFonts w:asciiTheme="minorBidi" w:hAnsiTheme="minorBidi" w:hint="cs"/>
          <w:u w:val="single"/>
          <w:rtl/>
        </w:rPr>
        <w:t>כשכותבים גט בראש חודש שהוא ב' ימים</w:t>
      </w:r>
      <w:r w:rsidRPr="00351B7D">
        <w:rPr>
          <w:rFonts w:asciiTheme="minorBidi" w:hAnsiTheme="minorBidi"/>
          <w:u w:val="single"/>
          <w:rtl/>
        </w:rPr>
        <w:t>:</w:t>
      </w:r>
      <w:r w:rsidRPr="00351B7D">
        <w:rPr>
          <w:rFonts w:asciiTheme="minorBidi" w:hAnsiTheme="minorBidi"/>
          <w:sz w:val="16"/>
          <w:szCs w:val="16"/>
          <w:rtl/>
        </w:rPr>
        <w:t xml:space="preserve">  </w:t>
      </w:r>
    </w:p>
    <w:p w14:paraId="7438C576" w14:textId="7F0D284B" w:rsidR="00FA2119" w:rsidRPr="00351B7D" w:rsidRDefault="00FA2119" w:rsidP="00FA2119">
      <w:pPr>
        <w:pStyle w:val="ab"/>
        <w:numPr>
          <w:ilvl w:val="0"/>
          <w:numId w:val="10"/>
        </w:numPr>
        <w:rPr>
          <w:rFonts w:asciiTheme="minorBidi" w:hAnsiTheme="minorBidi"/>
        </w:rPr>
      </w:pPr>
      <w:r w:rsidRPr="00351B7D">
        <w:rPr>
          <w:rFonts w:asciiTheme="minorBidi" w:hAnsiTheme="minorBidi"/>
          <w:rtl/>
        </w:rPr>
        <w:t>ה"ר פרץ</w:t>
      </w:r>
      <w:r>
        <w:rPr>
          <w:rFonts w:asciiTheme="minorBidi" w:hAnsiTheme="minorBidi" w:hint="cs"/>
          <w:sz w:val="16"/>
          <w:szCs w:val="16"/>
          <w:rtl/>
        </w:rPr>
        <w:t xml:space="preserve"> (כ"כ הטור בשמו)</w:t>
      </w:r>
      <w:r>
        <w:rPr>
          <w:rFonts w:asciiTheme="minorBidi" w:hAnsiTheme="minorBidi" w:hint="cs"/>
          <w:rtl/>
        </w:rPr>
        <w:t xml:space="preserve"> וטור</w:t>
      </w:r>
      <w:r w:rsidRPr="00351B7D">
        <w:rPr>
          <w:rStyle w:val="a7"/>
          <w:rFonts w:asciiTheme="minorBidi" w:hAnsiTheme="minorBidi"/>
          <w:rtl/>
        </w:rPr>
        <w:footnoteReference w:id="691"/>
      </w:r>
      <w:r w:rsidR="00A82951">
        <w:rPr>
          <w:rFonts w:asciiTheme="minorBidi" w:hAnsiTheme="minorBidi"/>
          <w:rtl/>
        </w:rPr>
        <w:t>-</w:t>
      </w:r>
      <w:r w:rsidRPr="00351B7D">
        <w:rPr>
          <w:rFonts w:asciiTheme="minorBidi" w:hAnsiTheme="minorBidi"/>
          <w:rtl/>
        </w:rPr>
        <w:t xml:space="preserve"> אם יכתוב גט ביום ראשון של חדש אייר יכתוב</w:t>
      </w:r>
      <w:r w:rsidR="00060921">
        <w:rPr>
          <w:rFonts w:asciiTheme="minorBidi" w:hAnsiTheme="minorBidi" w:hint="cs"/>
          <w:rtl/>
        </w:rPr>
        <w:t>:</w:t>
      </w:r>
      <w:r w:rsidRPr="00351B7D">
        <w:rPr>
          <w:rFonts w:asciiTheme="minorBidi" w:hAnsiTheme="minorBidi"/>
          <w:rtl/>
        </w:rPr>
        <w:t xml:space="preserve"> ביום ל' לחדש ניסן שהוא ר"ח אייר'</w:t>
      </w:r>
      <w:r w:rsidRPr="00351B7D">
        <w:rPr>
          <w:rStyle w:val="a7"/>
          <w:rFonts w:asciiTheme="minorBidi" w:hAnsiTheme="minorBidi"/>
          <w:rtl/>
        </w:rPr>
        <w:footnoteReference w:id="692"/>
      </w:r>
      <w:r w:rsidR="00060921">
        <w:rPr>
          <w:rFonts w:asciiTheme="minorBidi" w:hAnsiTheme="minorBidi" w:hint="cs"/>
          <w:rtl/>
        </w:rPr>
        <w:t>.</w:t>
      </w:r>
      <w:r w:rsidRPr="00351B7D">
        <w:rPr>
          <w:rFonts w:asciiTheme="minorBidi" w:hAnsiTheme="minorBidi"/>
          <w:rtl/>
        </w:rPr>
        <w:t xml:space="preserve"> וכן בכל ראשי חדשים שהם ב' ימים</w:t>
      </w:r>
      <w:r w:rsidR="009D7F39">
        <w:rPr>
          <w:rFonts w:asciiTheme="minorBidi" w:hAnsiTheme="minorBidi" w:hint="cs"/>
          <w:rtl/>
        </w:rPr>
        <w:t>.</w:t>
      </w:r>
      <w:r w:rsidRPr="00351B7D">
        <w:rPr>
          <w:rFonts w:asciiTheme="minorBidi" w:hAnsiTheme="minorBidi"/>
          <w:rtl/>
        </w:rPr>
        <w:t xml:space="preserve"> וביום שני של ר"ח יכתוב באחד לירח פלוני כי חשבונו מיום השני</w:t>
      </w:r>
      <w:r>
        <w:rPr>
          <w:rFonts w:asciiTheme="minorBidi" w:hAnsiTheme="minorBidi" w:hint="cs"/>
          <w:sz w:val="16"/>
          <w:szCs w:val="16"/>
          <w:rtl/>
        </w:rPr>
        <w:t xml:space="preserve"> (ל' הטור בשם ר"פ)</w:t>
      </w:r>
      <w:r w:rsidRPr="00351B7D">
        <w:rPr>
          <w:rFonts w:asciiTheme="minorBidi" w:hAnsiTheme="minorBidi"/>
          <w:rtl/>
        </w:rPr>
        <w:t>.</w:t>
      </w:r>
      <w:r w:rsidRPr="00351B7D">
        <w:rPr>
          <w:rFonts w:asciiTheme="minorBidi" w:hAnsiTheme="minorBidi"/>
          <w:color w:val="E36C0A" w:themeColor="accent6" w:themeShade="BF"/>
          <w:rtl/>
        </w:rPr>
        <w:t xml:space="preserve"> (וכ"</w:t>
      </w:r>
      <w:r>
        <w:rPr>
          <w:rFonts w:asciiTheme="minorBidi" w:hAnsiTheme="minorBidi" w:hint="cs"/>
          <w:color w:val="E36C0A" w:themeColor="accent6" w:themeShade="BF"/>
          <w:rtl/>
        </w:rPr>
        <w:t>פ</w:t>
      </w:r>
      <w:r w:rsidRPr="00351B7D">
        <w:rPr>
          <w:rFonts w:asciiTheme="minorBidi" w:hAnsiTheme="minorBidi"/>
          <w:color w:val="E36C0A" w:themeColor="accent6" w:themeShade="BF"/>
          <w:rtl/>
        </w:rPr>
        <w:t xml:space="preserve"> בשו"ע)</w:t>
      </w:r>
    </w:p>
    <w:p w14:paraId="40FC385A" w14:textId="29FBB609" w:rsidR="00FA2119" w:rsidRPr="00351B7D" w:rsidRDefault="00FA2119" w:rsidP="00FA2119">
      <w:pPr>
        <w:pStyle w:val="ab"/>
        <w:numPr>
          <w:ilvl w:val="0"/>
          <w:numId w:val="10"/>
        </w:numPr>
        <w:rPr>
          <w:rFonts w:asciiTheme="minorBidi" w:hAnsiTheme="minorBidi"/>
        </w:rPr>
      </w:pPr>
      <w:r w:rsidRPr="00351B7D">
        <w:rPr>
          <w:rFonts w:asciiTheme="minorBidi" w:hAnsiTheme="minorBidi"/>
          <w:rtl/>
        </w:rPr>
        <w:t>ר"ת רשב"א ור"ן</w:t>
      </w:r>
      <w:r w:rsidRPr="00351B7D">
        <w:rPr>
          <w:rStyle w:val="a7"/>
          <w:rFonts w:asciiTheme="minorBidi" w:hAnsiTheme="minorBidi"/>
          <w:rtl/>
        </w:rPr>
        <w:footnoteReference w:id="693"/>
      </w:r>
      <w:r w:rsidR="00A82951">
        <w:rPr>
          <w:rFonts w:asciiTheme="minorBidi" w:hAnsiTheme="minorBidi"/>
          <w:rtl/>
        </w:rPr>
        <w:t>-</w:t>
      </w:r>
      <w:r w:rsidRPr="00351B7D">
        <w:rPr>
          <w:rFonts w:asciiTheme="minorBidi" w:hAnsiTheme="minorBidi"/>
          <w:rtl/>
        </w:rPr>
        <w:t xml:space="preserve"> </w:t>
      </w:r>
      <w:r w:rsidRPr="000335EA">
        <w:rPr>
          <w:rFonts w:asciiTheme="minorBidi" w:hAnsiTheme="minorBidi"/>
          <w:rtl/>
        </w:rPr>
        <w:t>בשטרות</w:t>
      </w:r>
      <w:r w:rsidRPr="00351B7D">
        <w:rPr>
          <w:rFonts w:asciiTheme="minorBidi" w:hAnsiTheme="minorBidi"/>
          <w:rtl/>
        </w:rPr>
        <w:t xml:space="preserve"> כותב את יום החודש הראשון 'בחודש פלוני' ואינו כותב על שם חודש שעבר</w:t>
      </w:r>
      <w:r w:rsidRPr="00351B7D">
        <w:rPr>
          <w:rStyle w:val="a7"/>
          <w:rFonts w:asciiTheme="minorBidi" w:hAnsiTheme="minorBidi"/>
          <w:rtl/>
        </w:rPr>
        <w:footnoteReference w:id="694"/>
      </w:r>
      <w:r w:rsidRPr="00351B7D">
        <w:rPr>
          <w:rFonts w:asciiTheme="minorBidi" w:hAnsiTheme="minorBidi"/>
          <w:rtl/>
        </w:rPr>
        <w:t xml:space="preserve">, מיהו </w:t>
      </w:r>
      <w:r w:rsidRPr="000335EA">
        <w:rPr>
          <w:rFonts w:asciiTheme="minorBidi" w:hAnsiTheme="minorBidi"/>
          <w:rtl/>
        </w:rPr>
        <w:t>בגיטין</w:t>
      </w:r>
      <w:r w:rsidRPr="00351B7D">
        <w:rPr>
          <w:rFonts w:asciiTheme="minorBidi" w:hAnsiTheme="minorBidi"/>
          <w:rtl/>
        </w:rPr>
        <w:t xml:space="preserve"> יש להחמיר</w:t>
      </w:r>
      <w:r w:rsidRPr="00351B7D">
        <w:rPr>
          <w:rStyle w:val="a7"/>
          <w:rFonts w:asciiTheme="minorBidi" w:hAnsiTheme="minorBidi"/>
          <w:rtl/>
        </w:rPr>
        <w:footnoteReference w:id="695"/>
      </w:r>
      <w:r w:rsidRPr="00351B7D">
        <w:rPr>
          <w:rFonts w:asciiTheme="minorBidi" w:hAnsiTheme="minorBidi"/>
          <w:rtl/>
        </w:rPr>
        <w:t xml:space="preserve"> ולכתוב ביום שלשים לחודש תשרי שהוא ראש חודש מרחשון</w:t>
      </w:r>
      <w:r w:rsidRPr="00351B7D">
        <w:rPr>
          <w:rStyle w:val="a7"/>
          <w:rFonts w:asciiTheme="minorBidi" w:hAnsiTheme="minorBidi"/>
          <w:rtl/>
        </w:rPr>
        <w:footnoteReference w:id="696"/>
      </w:r>
      <w:r w:rsidRPr="00351B7D">
        <w:rPr>
          <w:rFonts w:asciiTheme="minorBidi" w:hAnsiTheme="minorBidi"/>
          <w:rtl/>
        </w:rPr>
        <w:t>.</w:t>
      </w:r>
    </w:p>
    <w:p w14:paraId="270AB189" w14:textId="77777777" w:rsidR="00FA2119" w:rsidRPr="00351B7D" w:rsidRDefault="00FA2119" w:rsidP="00FA2119">
      <w:pPr>
        <w:ind w:left="360"/>
        <w:rPr>
          <w:rFonts w:asciiTheme="minorBidi" w:hAnsiTheme="minorBidi"/>
          <w:u w:val="dotted"/>
        </w:rPr>
      </w:pPr>
      <w:r>
        <w:rPr>
          <w:rFonts w:asciiTheme="minorBidi" w:hAnsiTheme="minorBidi" w:hint="cs"/>
          <w:u w:val="dotted"/>
          <w:rtl/>
        </w:rPr>
        <w:t xml:space="preserve">מה הדין </w:t>
      </w:r>
      <w:r w:rsidRPr="00351B7D">
        <w:rPr>
          <w:rFonts w:asciiTheme="minorBidi" w:hAnsiTheme="minorBidi"/>
          <w:u w:val="dotted"/>
          <w:rtl/>
        </w:rPr>
        <w:t>אם כתב</w:t>
      </w:r>
      <w:r w:rsidRPr="00E81E77">
        <w:rPr>
          <w:rFonts w:asciiTheme="minorBidi" w:hAnsiTheme="minorBidi"/>
          <w:u w:val="dotted"/>
          <w:rtl/>
        </w:rPr>
        <w:t xml:space="preserve"> </w:t>
      </w:r>
      <w:r w:rsidRPr="00E81E77">
        <w:rPr>
          <w:rFonts w:asciiTheme="minorBidi" w:hAnsiTheme="minorBidi" w:hint="cs"/>
          <w:u w:val="dotted"/>
          <w:rtl/>
        </w:rPr>
        <w:t>בג</w:t>
      </w:r>
      <w:r>
        <w:rPr>
          <w:rFonts w:asciiTheme="minorBidi" w:hAnsiTheme="minorBidi" w:hint="cs"/>
          <w:u w:val="dotted"/>
          <w:rtl/>
        </w:rPr>
        <w:t xml:space="preserve">ט </w:t>
      </w:r>
      <w:r w:rsidRPr="00351B7D">
        <w:rPr>
          <w:rFonts w:asciiTheme="minorBidi" w:hAnsiTheme="minorBidi"/>
          <w:u w:val="dotted"/>
          <w:rtl/>
        </w:rPr>
        <w:t>'ביום ראש חודש פלוני' ולא הוסיף 'שהוא יום שלשים לחודש שעבר':</w:t>
      </w:r>
    </w:p>
    <w:p w14:paraId="60498A44" w14:textId="46AAA3E8" w:rsidR="00FA2119" w:rsidRPr="00351B7D" w:rsidRDefault="009D7F39" w:rsidP="00FA2119">
      <w:pPr>
        <w:pStyle w:val="ab"/>
        <w:numPr>
          <w:ilvl w:val="0"/>
          <w:numId w:val="10"/>
        </w:numPr>
        <w:rPr>
          <w:rFonts w:asciiTheme="minorBidi" w:hAnsiTheme="minorBidi"/>
        </w:rPr>
      </w:pPr>
      <w:r w:rsidRPr="00351B7D">
        <w:rPr>
          <w:rFonts w:asciiTheme="minorBidi" w:hAnsiTheme="minorBidi"/>
          <w:rtl/>
        </w:rPr>
        <w:t xml:space="preserve">(תוס' </w:t>
      </w:r>
      <w:r w:rsidRPr="00351B7D">
        <w:rPr>
          <w:rFonts w:asciiTheme="minorBidi" w:hAnsiTheme="minorBidi"/>
          <w:sz w:val="16"/>
          <w:szCs w:val="16"/>
          <w:rtl/>
        </w:rPr>
        <w:t xml:space="preserve">[נדרים ס: ד"ה חדש] </w:t>
      </w:r>
      <w:r w:rsidRPr="00351B7D">
        <w:rPr>
          <w:rFonts w:asciiTheme="minorBidi" w:hAnsiTheme="minorBidi"/>
          <w:rtl/>
        </w:rPr>
        <w:t xml:space="preserve">ורא"ש </w:t>
      </w:r>
      <w:r w:rsidRPr="00351B7D">
        <w:rPr>
          <w:rFonts w:asciiTheme="minorBidi" w:hAnsiTheme="minorBidi"/>
          <w:sz w:val="16"/>
          <w:szCs w:val="16"/>
          <w:rtl/>
        </w:rPr>
        <w:t>[נדרים פ"ו ס"א] להב' הב"י</w:t>
      </w:r>
      <w:r w:rsidRPr="00351B7D">
        <w:rPr>
          <w:rFonts w:asciiTheme="minorBidi" w:hAnsiTheme="minorBidi"/>
          <w:rtl/>
        </w:rPr>
        <w:t>)</w:t>
      </w:r>
      <w:r w:rsidR="00A82951">
        <w:rPr>
          <w:rFonts w:asciiTheme="minorBidi" w:hAnsiTheme="minorBidi"/>
          <w:rtl/>
        </w:rPr>
        <w:t>-</w:t>
      </w:r>
      <w:r w:rsidR="00FA2119" w:rsidRPr="00351B7D">
        <w:rPr>
          <w:rFonts w:asciiTheme="minorBidi" w:hAnsiTheme="minorBidi"/>
          <w:rtl/>
        </w:rPr>
        <w:t xml:space="preserve"> כשר</w:t>
      </w:r>
      <w:r w:rsidR="00FA2119" w:rsidRPr="00351B7D">
        <w:rPr>
          <w:rStyle w:val="a7"/>
          <w:rFonts w:asciiTheme="minorBidi" w:hAnsiTheme="minorBidi"/>
          <w:rtl/>
        </w:rPr>
        <w:footnoteReference w:id="697"/>
      </w:r>
      <w:r w:rsidR="00FA2119" w:rsidRPr="00351B7D">
        <w:rPr>
          <w:rFonts w:asciiTheme="minorBidi" w:hAnsiTheme="minorBidi"/>
          <w:rtl/>
        </w:rPr>
        <w:t xml:space="preserve">. </w:t>
      </w:r>
      <w:r>
        <w:rPr>
          <w:rFonts w:asciiTheme="minorBidi" w:hAnsiTheme="minorBidi" w:hint="cs"/>
          <w:rtl/>
        </w:rPr>
        <w:t xml:space="preserve"> </w:t>
      </w:r>
    </w:p>
    <w:p w14:paraId="004A4712" w14:textId="77777777" w:rsidR="00FA2119" w:rsidRPr="00351B7D" w:rsidRDefault="00FA2119" w:rsidP="00FA2119">
      <w:pPr>
        <w:ind w:left="360"/>
        <w:rPr>
          <w:rFonts w:asciiTheme="minorBidi" w:hAnsiTheme="minorBidi"/>
          <w:u w:val="dotted"/>
        </w:rPr>
      </w:pPr>
      <w:r w:rsidRPr="00351B7D">
        <w:rPr>
          <w:rFonts w:asciiTheme="minorBidi" w:hAnsiTheme="minorBidi"/>
          <w:u w:val="dotted"/>
          <w:rtl/>
        </w:rPr>
        <w:t>האם מחמת הספק יש להמנע מליתן גט בר"ח שהוא ב' ימים:</w:t>
      </w:r>
    </w:p>
    <w:p w14:paraId="3C953463" w14:textId="3712E27E" w:rsidR="00FA2119" w:rsidRPr="00351B7D" w:rsidRDefault="00FA2119" w:rsidP="00FA2119">
      <w:pPr>
        <w:pStyle w:val="ab"/>
        <w:numPr>
          <w:ilvl w:val="0"/>
          <w:numId w:val="10"/>
        </w:numPr>
        <w:rPr>
          <w:rFonts w:asciiTheme="minorBidi" w:hAnsiTheme="minorBidi"/>
        </w:rPr>
      </w:pPr>
      <w:r w:rsidRPr="00351B7D">
        <w:rPr>
          <w:rFonts w:asciiTheme="minorBidi" w:hAnsiTheme="minorBidi"/>
          <w:rtl/>
        </w:rPr>
        <w:lastRenderedPageBreak/>
        <w:t>סמ"ק כל בו מרדכי והגה"מ</w:t>
      </w:r>
      <w:r w:rsidRPr="00351B7D">
        <w:rPr>
          <w:rFonts w:asciiTheme="minorBidi" w:hAnsiTheme="minorBidi"/>
          <w:sz w:val="16"/>
          <w:szCs w:val="16"/>
          <w:rtl/>
        </w:rPr>
        <w:t xml:space="preserve"> (פ"ד)</w:t>
      </w:r>
      <w:r w:rsidR="00A82951">
        <w:rPr>
          <w:rFonts w:asciiTheme="minorBidi" w:hAnsiTheme="minorBidi"/>
          <w:rtl/>
        </w:rPr>
        <w:t>-</w:t>
      </w:r>
      <w:r w:rsidRPr="00351B7D">
        <w:rPr>
          <w:rFonts w:asciiTheme="minorBidi" w:hAnsiTheme="minorBidi"/>
          <w:rtl/>
        </w:rPr>
        <w:t xml:space="preserve"> נראה למה"ר פרץ למנוע מלכתוב אז באותו יום גט ולדחות המעשה עד למחרת שלא להכניס ראשו בשום נדנוד ספק. </w:t>
      </w:r>
      <w:r w:rsidRPr="00351B7D">
        <w:rPr>
          <w:rFonts w:asciiTheme="minorBidi" w:hAnsiTheme="minorBidi"/>
          <w:color w:val="00B0F0"/>
          <w:rtl/>
        </w:rPr>
        <w:t>(וכ"כ הרמ"א)</w:t>
      </w:r>
    </w:p>
    <w:p w14:paraId="4307924F" w14:textId="7817D9D5" w:rsidR="00FA2119" w:rsidRPr="00351B7D" w:rsidRDefault="00FA2119" w:rsidP="00FA2119">
      <w:pPr>
        <w:pStyle w:val="ab"/>
        <w:numPr>
          <w:ilvl w:val="0"/>
          <w:numId w:val="10"/>
        </w:numPr>
        <w:rPr>
          <w:rFonts w:asciiTheme="minorBidi" w:hAnsiTheme="minorBidi"/>
          <w:rtl/>
        </w:rPr>
      </w:pPr>
      <w:r w:rsidRPr="00351B7D">
        <w:rPr>
          <w:rFonts w:asciiTheme="minorBidi" w:hAnsiTheme="minorBidi"/>
          <w:rtl/>
        </w:rPr>
        <w:t>ב"י</w:t>
      </w:r>
      <w:r w:rsidR="00A82951">
        <w:rPr>
          <w:rFonts w:asciiTheme="minorBidi" w:hAnsiTheme="minorBidi"/>
          <w:rtl/>
        </w:rPr>
        <w:t>-</w:t>
      </w:r>
      <w:r w:rsidRPr="00351B7D">
        <w:rPr>
          <w:rFonts w:asciiTheme="minorBidi" w:hAnsiTheme="minorBidi"/>
          <w:rtl/>
        </w:rPr>
        <w:t xml:space="preserve"> חומרא יתירה היא וראיתי נוהגים שלא לחוש לה.</w:t>
      </w:r>
    </w:p>
    <w:p w14:paraId="1484A87C"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04050F9" w14:textId="18767683" w:rsidR="00FA2119" w:rsidRPr="00460C88" w:rsidRDefault="00FA2119" w:rsidP="00FA2119">
      <w:pPr>
        <w:rPr>
          <w:rFonts w:asciiTheme="minorBidi" w:hAnsiTheme="minorBidi"/>
          <w:color w:val="000000"/>
          <w:sz w:val="18"/>
          <w:szCs w:val="18"/>
          <w:rtl/>
        </w:rPr>
      </w:pPr>
      <w:r w:rsidRPr="00351B7D">
        <w:rPr>
          <w:rFonts w:asciiTheme="minorBidi" w:hAnsiTheme="minorBidi"/>
          <w:rtl/>
        </w:rPr>
        <w:t>אם יכתוב גט ביום ראשון של חדש אייר יכתוב</w:t>
      </w:r>
      <w:r w:rsidR="00460C88">
        <w:rPr>
          <w:rFonts w:asciiTheme="minorBidi" w:hAnsiTheme="minorBidi" w:hint="cs"/>
          <w:rtl/>
        </w:rPr>
        <w:t>:</w:t>
      </w:r>
      <w:r w:rsidRPr="00351B7D">
        <w:rPr>
          <w:rFonts w:asciiTheme="minorBidi" w:hAnsiTheme="minorBidi"/>
          <w:rtl/>
        </w:rPr>
        <w:t xml:space="preserve"> ביום שלשים לחדש</w:t>
      </w:r>
      <w:r w:rsidRPr="00351B7D">
        <w:rPr>
          <w:rStyle w:val="a7"/>
          <w:rFonts w:asciiTheme="minorBidi" w:hAnsiTheme="minorBidi"/>
          <w:color w:val="000000"/>
          <w:rtl/>
        </w:rPr>
        <w:footnoteReference w:id="698"/>
      </w:r>
      <w:r w:rsidRPr="00351B7D">
        <w:rPr>
          <w:rFonts w:asciiTheme="minorBidi" w:hAnsiTheme="minorBidi"/>
          <w:rtl/>
        </w:rPr>
        <w:t xml:space="preserve"> ניסן שהוא ראש חדש</w:t>
      </w:r>
      <w:r w:rsidRPr="00351B7D">
        <w:rPr>
          <w:rStyle w:val="a7"/>
          <w:rFonts w:asciiTheme="minorBidi" w:hAnsiTheme="minorBidi"/>
          <w:color w:val="000000"/>
          <w:rtl/>
        </w:rPr>
        <w:footnoteReference w:id="699"/>
      </w:r>
      <w:r w:rsidRPr="00351B7D">
        <w:rPr>
          <w:rFonts w:asciiTheme="minorBidi" w:hAnsiTheme="minorBidi"/>
          <w:rtl/>
        </w:rPr>
        <w:t xml:space="preserve"> אייר</w:t>
      </w:r>
      <w:r>
        <w:rPr>
          <w:rFonts w:asciiTheme="minorBidi" w:hAnsiTheme="minorBidi" w:hint="cs"/>
          <w:rtl/>
        </w:rPr>
        <w:t>.</w:t>
      </w:r>
      <w:r w:rsidRPr="00351B7D">
        <w:rPr>
          <w:rFonts w:asciiTheme="minorBidi" w:hAnsiTheme="minorBidi"/>
          <w:rtl/>
        </w:rPr>
        <w:t xml:space="preserve"> וכן בכל ראשי חדשים שהם שני ימים</w:t>
      </w:r>
      <w:r>
        <w:rPr>
          <w:rFonts w:asciiTheme="minorBidi" w:hAnsiTheme="minorBidi" w:hint="cs"/>
          <w:rtl/>
        </w:rPr>
        <w:t>.</w:t>
      </w:r>
      <w:r w:rsidRPr="00351B7D">
        <w:rPr>
          <w:rFonts w:asciiTheme="minorBidi" w:hAnsiTheme="minorBidi"/>
          <w:rtl/>
        </w:rPr>
        <w:t xml:space="preserve"> וביום שני של ראש חדש יכתוב</w:t>
      </w:r>
      <w:r w:rsidR="00460C88">
        <w:rPr>
          <w:rFonts w:asciiTheme="minorBidi" w:hAnsiTheme="minorBidi" w:hint="cs"/>
          <w:rtl/>
        </w:rPr>
        <w:t xml:space="preserve">: </w:t>
      </w:r>
      <w:r w:rsidRPr="00351B7D">
        <w:rPr>
          <w:rFonts w:asciiTheme="minorBidi" w:hAnsiTheme="minorBidi"/>
          <w:rtl/>
        </w:rPr>
        <w:t>באחד</w:t>
      </w:r>
      <w:r w:rsidRPr="00351B7D">
        <w:rPr>
          <w:rStyle w:val="a7"/>
          <w:rFonts w:asciiTheme="minorBidi" w:hAnsiTheme="minorBidi"/>
          <w:color w:val="000000"/>
          <w:rtl/>
        </w:rPr>
        <w:footnoteReference w:id="700"/>
      </w:r>
      <w:r w:rsidRPr="00351B7D">
        <w:rPr>
          <w:rFonts w:asciiTheme="minorBidi" w:hAnsiTheme="minorBidi"/>
          <w:rtl/>
        </w:rPr>
        <w:t xml:space="preserve"> לירח פלוני</w:t>
      </w:r>
      <w:r w:rsidR="00460C88">
        <w:rPr>
          <w:rFonts w:asciiTheme="minorBidi" w:hAnsiTheme="minorBidi" w:hint="cs"/>
          <w:rtl/>
        </w:rPr>
        <w:t>,</w:t>
      </w:r>
      <w:r w:rsidRPr="00351B7D">
        <w:rPr>
          <w:rFonts w:asciiTheme="minorBidi" w:hAnsiTheme="minorBidi"/>
          <w:rtl/>
        </w:rPr>
        <w:t xml:space="preserve"> כי חשבונו מיום השני.</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 xml:space="preserve">הגה: וי"א שאין ליתן </w:t>
      </w:r>
      <w:r w:rsidRPr="00460C88">
        <w:rPr>
          <w:rFonts w:asciiTheme="minorBidi" w:hAnsiTheme="minorBidi"/>
          <w:color w:val="000000"/>
          <w:sz w:val="18"/>
          <w:szCs w:val="18"/>
          <w:rtl/>
        </w:rPr>
        <w:t>גט בשום ראש חודש</w:t>
      </w:r>
      <w:r w:rsidRPr="00460C88">
        <w:rPr>
          <w:rStyle w:val="a7"/>
          <w:rFonts w:asciiTheme="minorBidi" w:hAnsiTheme="minorBidi"/>
          <w:color w:val="000000"/>
          <w:sz w:val="18"/>
          <w:szCs w:val="18"/>
          <w:rtl/>
        </w:rPr>
        <w:footnoteReference w:id="701"/>
      </w:r>
      <w:r w:rsidRPr="00460C88">
        <w:rPr>
          <w:rFonts w:asciiTheme="minorBidi" w:hAnsiTheme="minorBidi"/>
          <w:color w:val="000000"/>
          <w:sz w:val="18"/>
          <w:szCs w:val="18"/>
          <w:rtl/>
        </w:rPr>
        <w:t xml:space="preserve"> (סדר הגיטין בשם סמ"ק מרדכי הגה"מ וכל בו), וטוב לחוש לזה אם לא במקום שיש חשש לעיגון.</w:t>
      </w:r>
    </w:p>
    <w:p w14:paraId="7E6F3592" w14:textId="77777777" w:rsidR="00FA2119" w:rsidRPr="00351B7D" w:rsidRDefault="00FA2119" w:rsidP="00FA2119">
      <w:pPr>
        <w:rPr>
          <w:rFonts w:asciiTheme="minorBidi" w:hAnsiTheme="minorBidi"/>
          <w:color w:val="000000"/>
          <w:rtl/>
        </w:rPr>
      </w:pPr>
    </w:p>
    <w:p w14:paraId="0B672F6F" w14:textId="77777777" w:rsidR="00FA2119" w:rsidRPr="00351B7D" w:rsidRDefault="00FA2119" w:rsidP="00FA2119">
      <w:pPr>
        <w:pStyle w:val="2"/>
        <w:rPr>
          <w:rtl/>
        </w:rPr>
      </w:pPr>
      <w:r w:rsidRPr="00351B7D">
        <w:rPr>
          <w:rtl/>
        </w:rPr>
        <w:t>סעיף ז: כתיבת אדר בשנה מעוברת, וכתיבת שאר חודשים.</w:t>
      </w:r>
    </w:p>
    <w:p w14:paraId="10935F83" w14:textId="77777777" w:rsidR="00FA2119" w:rsidRPr="00351B7D" w:rsidRDefault="00FA2119" w:rsidP="00FA2119">
      <w:pPr>
        <w:rPr>
          <w:rFonts w:asciiTheme="minorBidi" w:hAnsiTheme="minorBidi"/>
          <w:rtl/>
        </w:rPr>
      </w:pPr>
      <w:r w:rsidRPr="00351B7D">
        <w:rPr>
          <w:rFonts w:asciiTheme="minorBidi" w:hAnsiTheme="minorBidi"/>
          <w:b/>
          <w:bCs/>
          <w:rtl/>
        </w:rPr>
        <w:t xml:space="preserve">נדרים </w:t>
      </w:r>
      <w:r>
        <w:rPr>
          <w:rFonts w:asciiTheme="minorBidi" w:hAnsiTheme="minorBidi" w:hint="cs"/>
          <w:b/>
          <w:bCs/>
          <w:sz w:val="16"/>
          <w:szCs w:val="16"/>
          <w:rtl/>
        </w:rPr>
        <w:t>(פ' קונם יין)</w:t>
      </w:r>
      <w:r>
        <w:rPr>
          <w:rFonts w:asciiTheme="minorBidi" w:hAnsiTheme="minorBidi" w:hint="cs"/>
          <w:b/>
          <w:bCs/>
          <w:rtl/>
        </w:rPr>
        <w:t xml:space="preserve"> </w:t>
      </w:r>
      <w:r w:rsidRPr="00351B7D">
        <w:rPr>
          <w:rFonts w:asciiTheme="minorBidi" w:hAnsiTheme="minorBidi"/>
          <w:b/>
          <w:bCs/>
          <w:rtl/>
        </w:rPr>
        <w:t>סג</w:t>
      </w:r>
      <w:r>
        <w:rPr>
          <w:rStyle w:val="a7"/>
          <w:rFonts w:asciiTheme="minorBidi" w:hAnsiTheme="minorBidi"/>
          <w:b/>
          <w:bCs/>
          <w:rtl/>
        </w:rPr>
        <w:footnoteReference w:id="702"/>
      </w:r>
      <w:r w:rsidRPr="00351B7D">
        <w:rPr>
          <w:rFonts w:asciiTheme="minorBidi" w:hAnsiTheme="minorBidi"/>
          <w:b/>
          <w:bCs/>
          <w:rtl/>
        </w:rPr>
        <w:t xml:space="preserve"> ע"א: </w:t>
      </w:r>
      <w:r w:rsidRPr="00351B7D">
        <w:rPr>
          <w:rFonts w:asciiTheme="minorBidi" w:hAnsiTheme="minorBidi"/>
          <w:rtl/>
        </w:rPr>
        <w:t xml:space="preserve">אדר הראשון כותב אדר הראשון, אדר שני כותב אדר סתם, </w:t>
      </w:r>
      <w:r w:rsidRPr="00351B7D">
        <w:rPr>
          <w:rFonts w:asciiTheme="minorBidi" w:hAnsiTheme="minorBidi"/>
          <w:u w:val="single"/>
          <w:rtl/>
        </w:rPr>
        <w:t>דברי ר"מ</w:t>
      </w:r>
      <w:r w:rsidRPr="00351B7D">
        <w:rPr>
          <w:rFonts w:asciiTheme="minorBidi" w:hAnsiTheme="minorBidi"/>
          <w:rtl/>
        </w:rPr>
        <w:t xml:space="preserve">, </w:t>
      </w:r>
      <w:r w:rsidRPr="00351B7D">
        <w:rPr>
          <w:rFonts w:asciiTheme="minorBidi" w:hAnsiTheme="minorBidi"/>
          <w:u w:val="single"/>
          <w:rtl/>
        </w:rPr>
        <w:t>ר' יהודה אומר</w:t>
      </w:r>
      <w:r w:rsidRPr="00351B7D">
        <w:rPr>
          <w:rFonts w:asciiTheme="minorBidi" w:hAnsiTheme="minorBidi"/>
          <w:rtl/>
        </w:rPr>
        <w:t>: אדר הראשון כותב סתם, אדר שני כותב תיניין.</w:t>
      </w:r>
    </w:p>
    <w:p w14:paraId="00C3E22F" w14:textId="77777777" w:rsidR="00FA2119" w:rsidRPr="00351B7D" w:rsidRDefault="00FA2119" w:rsidP="00FA2119">
      <w:pPr>
        <w:rPr>
          <w:rFonts w:asciiTheme="minorBidi" w:hAnsiTheme="minorBidi"/>
          <w:sz w:val="16"/>
          <w:szCs w:val="16"/>
          <w:rtl/>
        </w:rPr>
      </w:pPr>
      <w:r w:rsidRPr="00351B7D">
        <w:rPr>
          <w:rFonts w:asciiTheme="minorBidi" w:hAnsiTheme="minorBidi"/>
          <w:u w:val="single"/>
          <w:rtl/>
        </w:rPr>
        <w:t>כיצד יש לכתוב אדר בשנה מעוברת:</w:t>
      </w:r>
      <w:r w:rsidRPr="00351B7D">
        <w:rPr>
          <w:rFonts w:asciiTheme="minorBidi" w:hAnsiTheme="minorBidi"/>
          <w:sz w:val="16"/>
          <w:szCs w:val="16"/>
          <w:rtl/>
        </w:rPr>
        <w:t xml:space="preserve">  </w:t>
      </w:r>
    </w:p>
    <w:p w14:paraId="75C8E463" w14:textId="72D1BF76" w:rsidR="00FA2119" w:rsidRPr="00351B7D" w:rsidRDefault="00FA2119" w:rsidP="00FA2119">
      <w:pPr>
        <w:pStyle w:val="ab"/>
        <w:numPr>
          <w:ilvl w:val="0"/>
          <w:numId w:val="10"/>
        </w:numPr>
        <w:rPr>
          <w:rFonts w:asciiTheme="minorBidi" w:hAnsiTheme="minorBidi"/>
        </w:rPr>
      </w:pPr>
      <w:r w:rsidRPr="00351B7D">
        <w:rPr>
          <w:rFonts w:asciiTheme="minorBidi" w:hAnsiTheme="minorBidi"/>
          <w:rtl/>
        </w:rPr>
        <w:t xml:space="preserve">רא"ש </w:t>
      </w:r>
      <w:r w:rsidRPr="00351B7D">
        <w:rPr>
          <w:rFonts w:asciiTheme="minorBidi" w:hAnsiTheme="minorBidi"/>
          <w:sz w:val="16"/>
          <w:szCs w:val="16"/>
          <w:rtl/>
        </w:rPr>
        <w:t xml:space="preserve">(פ"ו ס"ב) </w:t>
      </w:r>
      <w:r w:rsidRPr="00351B7D">
        <w:rPr>
          <w:rFonts w:asciiTheme="minorBidi" w:hAnsiTheme="minorBidi"/>
          <w:rtl/>
        </w:rPr>
        <w:t xml:space="preserve">ור"ן </w:t>
      </w:r>
      <w:r w:rsidRPr="00351B7D">
        <w:rPr>
          <w:rFonts w:asciiTheme="minorBidi" w:hAnsiTheme="minorBidi"/>
          <w:sz w:val="16"/>
          <w:szCs w:val="16"/>
          <w:rtl/>
        </w:rPr>
        <w:t>(שם סג: ד"ה ולענין)</w:t>
      </w:r>
      <w:r w:rsidR="00A82951">
        <w:rPr>
          <w:rFonts w:asciiTheme="minorBidi" w:hAnsiTheme="minorBidi"/>
          <w:rtl/>
        </w:rPr>
        <w:t>-</w:t>
      </w:r>
      <w:r w:rsidRPr="00351B7D">
        <w:rPr>
          <w:rFonts w:asciiTheme="minorBidi" w:hAnsiTheme="minorBidi"/>
          <w:rtl/>
        </w:rPr>
        <w:t xml:space="preserve"> באדר שני כותב 'אדר שני'</w:t>
      </w:r>
      <w:r>
        <w:rPr>
          <w:rFonts w:asciiTheme="minorBidi" w:hAnsiTheme="minorBidi" w:hint="cs"/>
          <w:rtl/>
        </w:rPr>
        <w:t>,</w:t>
      </w:r>
      <w:r w:rsidRPr="00351B7D">
        <w:rPr>
          <w:rFonts w:asciiTheme="minorBidi" w:hAnsiTheme="minorBidi"/>
          <w:rtl/>
        </w:rPr>
        <w:t xml:space="preserve"> ובראשון כותב אדר סתם</w:t>
      </w:r>
      <w:r>
        <w:rPr>
          <w:rFonts w:asciiTheme="minorBidi" w:hAnsiTheme="minorBidi" w:hint="cs"/>
          <w:rtl/>
        </w:rPr>
        <w:t>,</w:t>
      </w:r>
      <w:r w:rsidRPr="00351B7D">
        <w:rPr>
          <w:rFonts w:asciiTheme="minorBidi" w:hAnsiTheme="minorBidi"/>
          <w:rtl/>
        </w:rPr>
        <w:t xml:space="preserve"> בין בגיטין בין בשטרות</w:t>
      </w:r>
      <w:r w:rsidRPr="00351B7D">
        <w:rPr>
          <w:rStyle w:val="a7"/>
          <w:rFonts w:asciiTheme="minorBidi" w:hAnsiTheme="minorBidi"/>
          <w:rtl/>
        </w:rPr>
        <w:footnoteReference w:id="703"/>
      </w:r>
      <w:r w:rsidRPr="00351B7D">
        <w:rPr>
          <w:rFonts w:asciiTheme="minorBidi" w:hAnsiTheme="minorBidi"/>
          <w:rtl/>
        </w:rPr>
        <w:t>, כר' יהודה</w:t>
      </w:r>
      <w:r w:rsidRPr="00351B7D">
        <w:rPr>
          <w:rStyle w:val="a7"/>
          <w:rFonts w:asciiTheme="minorBidi" w:hAnsiTheme="minorBidi"/>
          <w:rtl/>
        </w:rPr>
        <w:footnoteReference w:id="704"/>
      </w:r>
      <w:r w:rsidRPr="00351B7D">
        <w:rPr>
          <w:rFonts w:asciiTheme="minorBidi" w:hAnsiTheme="minorBidi"/>
          <w:rtl/>
        </w:rPr>
        <w:t>.</w:t>
      </w:r>
    </w:p>
    <w:p w14:paraId="36EE9677" w14:textId="51CDE632" w:rsidR="00FA2119" w:rsidRPr="00351B7D" w:rsidRDefault="00FA2119" w:rsidP="00FA2119">
      <w:pPr>
        <w:pStyle w:val="ab"/>
        <w:numPr>
          <w:ilvl w:val="0"/>
          <w:numId w:val="10"/>
        </w:numPr>
        <w:rPr>
          <w:rFonts w:asciiTheme="minorBidi" w:hAnsiTheme="minorBidi"/>
        </w:rPr>
      </w:pPr>
      <w:r w:rsidRPr="00351B7D">
        <w:rPr>
          <w:rFonts w:asciiTheme="minorBidi" w:hAnsiTheme="minorBidi"/>
          <w:rtl/>
        </w:rPr>
        <w:t xml:space="preserve">רמב"ם </w:t>
      </w:r>
      <w:r w:rsidRPr="00351B7D">
        <w:rPr>
          <w:rFonts w:asciiTheme="minorBidi" w:hAnsiTheme="minorBidi"/>
          <w:sz w:val="16"/>
          <w:szCs w:val="16"/>
          <w:rtl/>
        </w:rPr>
        <w:t xml:space="preserve">(פ"י </w:t>
      </w:r>
      <w:r w:rsidR="00460C88">
        <w:rPr>
          <w:rFonts w:asciiTheme="minorBidi" w:hAnsiTheme="minorBidi" w:hint="cs"/>
          <w:sz w:val="16"/>
          <w:szCs w:val="16"/>
          <w:rtl/>
        </w:rPr>
        <w:t>מ</w:t>
      </w:r>
      <w:r w:rsidRPr="00351B7D">
        <w:rPr>
          <w:rFonts w:asciiTheme="minorBidi" w:hAnsiTheme="minorBidi"/>
          <w:sz w:val="16"/>
          <w:szCs w:val="16"/>
          <w:rtl/>
        </w:rPr>
        <w:t>הל' נדרים ה"ו)</w:t>
      </w:r>
      <w:r w:rsidR="00A82951">
        <w:rPr>
          <w:rFonts w:asciiTheme="minorBidi" w:hAnsiTheme="minorBidi"/>
          <w:rtl/>
        </w:rPr>
        <w:t>-</w:t>
      </w:r>
      <w:r w:rsidRPr="00351B7D">
        <w:rPr>
          <w:rFonts w:asciiTheme="minorBidi" w:hAnsiTheme="minorBidi"/>
          <w:rtl/>
        </w:rPr>
        <w:t xml:space="preserve"> באדר שני כותב 'אדר' סתם</w:t>
      </w:r>
      <w:r w:rsidR="00460C88">
        <w:rPr>
          <w:rFonts w:asciiTheme="minorBidi" w:hAnsiTheme="minorBidi" w:hint="cs"/>
          <w:rtl/>
        </w:rPr>
        <w:t>,</w:t>
      </w:r>
      <w:r w:rsidRPr="00351B7D">
        <w:rPr>
          <w:rFonts w:asciiTheme="minorBidi" w:hAnsiTheme="minorBidi"/>
          <w:rtl/>
        </w:rPr>
        <w:t xml:space="preserve"> ובאדר ראשון כותב 'אדר ראשון', כר' מאיר</w:t>
      </w:r>
      <w:r w:rsidR="00460C88" w:rsidRPr="00351B7D">
        <w:rPr>
          <w:rStyle w:val="a7"/>
          <w:rFonts w:asciiTheme="minorBidi" w:hAnsiTheme="minorBidi"/>
          <w:rtl/>
        </w:rPr>
        <w:footnoteReference w:id="705"/>
      </w:r>
      <w:r w:rsidRPr="00351B7D">
        <w:rPr>
          <w:rFonts w:asciiTheme="minorBidi" w:hAnsiTheme="minorBidi"/>
          <w:rtl/>
        </w:rPr>
        <w:t>.</w:t>
      </w:r>
    </w:p>
    <w:p w14:paraId="7A0F12D7" w14:textId="50FAE360" w:rsidR="00FA2119" w:rsidRPr="00351B7D" w:rsidRDefault="00FA2119" w:rsidP="00FA2119">
      <w:pPr>
        <w:pStyle w:val="ab"/>
        <w:numPr>
          <w:ilvl w:val="0"/>
          <w:numId w:val="10"/>
        </w:numPr>
        <w:rPr>
          <w:rFonts w:asciiTheme="minorBidi" w:hAnsiTheme="minorBidi"/>
          <w:rtl/>
        </w:rPr>
      </w:pPr>
      <w:r w:rsidRPr="00351B7D">
        <w:rPr>
          <w:rFonts w:asciiTheme="minorBidi" w:hAnsiTheme="minorBidi"/>
          <w:rtl/>
        </w:rPr>
        <w:t>ה"ר פרץ מרדכי סדר גיטין וטור</w:t>
      </w:r>
      <w:r w:rsidRPr="00351B7D">
        <w:rPr>
          <w:rStyle w:val="a7"/>
          <w:rFonts w:asciiTheme="minorBidi" w:hAnsiTheme="minorBidi"/>
          <w:rtl/>
        </w:rPr>
        <w:footnoteReference w:id="706"/>
      </w:r>
      <w:r w:rsidR="00A82951">
        <w:rPr>
          <w:rFonts w:asciiTheme="minorBidi" w:hAnsiTheme="minorBidi"/>
          <w:rtl/>
        </w:rPr>
        <w:t>-</w:t>
      </w:r>
      <w:r w:rsidRPr="00351B7D">
        <w:rPr>
          <w:rFonts w:asciiTheme="minorBidi" w:hAnsiTheme="minorBidi"/>
          <w:rtl/>
        </w:rPr>
        <w:t xml:space="preserve"> יכתוב באדר הראשון 'לירח אדר הראשון' ובשני יכתוב 'לירח אדר השני'. </w:t>
      </w:r>
      <w:r w:rsidRPr="00351B7D">
        <w:rPr>
          <w:rFonts w:asciiTheme="minorBidi" w:hAnsiTheme="minorBidi"/>
          <w:color w:val="E36C0A" w:themeColor="accent6" w:themeShade="BF"/>
          <w:rtl/>
        </w:rPr>
        <w:t>(וכ"פ בשו"ע)</w:t>
      </w:r>
      <w:r w:rsidR="00460C88">
        <w:rPr>
          <w:rFonts w:asciiTheme="minorBidi" w:hAnsiTheme="minorBidi" w:hint="cs"/>
          <w:rtl/>
        </w:rPr>
        <w:t xml:space="preserve"> </w:t>
      </w:r>
    </w:p>
    <w:p w14:paraId="2F52CA7A" w14:textId="1794BC27" w:rsidR="00FA2119" w:rsidRPr="00351B7D" w:rsidRDefault="00FA2119" w:rsidP="00FA2119">
      <w:pPr>
        <w:pStyle w:val="ab"/>
        <w:numPr>
          <w:ilvl w:val="0"/>
          <w:numId w:val="10"/>
        </w:numPr>
        <w:rPr>
          <w:rFonts w:asciiTheme="minorBidi" w:hAnsiTheme="minorBidi"/>
          <w:rtl/>
        </w:rPr>
      </w:pPr>
      <w:r w:rsidRPr="00351B7D">
        <w:rPr>
          <w:rFonts w:asciiTheme="minorBidi" w:hAnsiTheme="minorBidi"/>
          <w:rtl/>
        </w:rPr>
        <w:t xml:space="preserve">תיקון ישן </w:t>
      </w:r>
      <w:r w:rsidRPr="00351B7D">
        <w:rPr>
          <w:rFonts w:asciiTheme="minorBidi" w:hAnsiTheme="minorBidi"/>
          <w:sz w:val="16"/>
          <w:szCs w:val="16"/>
          <w:rtl/>
        </w:rPr>
        <w:t>(הביאו הדרכ"מ אות יב)</w:t>
      </w:r>
      <w:r w:rsidR="00A82951">
        <w:rPr>
          <w:rFonts w:asciiTheme="minorBidi" w:hAnsiTheme="minorBidi"/>
          <w:rtl/>
        </w:rPr>
        <w:t>-</w:t>
      </w:r>
      <w:r w:rsidRPr="00351B7D">
        <w:rPr>
          <w:rFonts w:asciiTheme="minorBidi" w:hAnsiTheme="minorBidi"/>
          <w:rtl/>
        </w:rPr>
        <w:t xml:space="preserve"> הולכים בזה אחר המנהג, ואם שינה מן המנהג </w:t>
      </w:r>
      <w:r w:rsidR="00A82951">
        <w:rPr>
          <w:rFonts w:asciiTheme="minorBidi" w:hAnsiTheme="minorBidi" w:hint="cs"/>
          <w:rtl/>
        </w:rPr>
        <w:t>-</w:t>
      </w:r>
      <w:r>
        <w:rPr>
          <w:rFonts w:asciiTheme="minorBidi" w:hAnsiTheme="minorBidi" w:hint="cs"/>
          <w:rtl/>
        </w:rPr>
        <w:t xml:space="preserve"> </w:t>
      </w:r>
      <w:r w:rsidRPr="00351B7D">
        <w:rPr>
          <w:rFonts w:asciiTheme="minorBidi" w:hAnsiTheme="minorBidi"/>
          <w:rtl/>
        </w:rPr>
        <w:t>הגט פסול לכתחלה, דהיינו כל זמן שלא נישאת שיתן גט אחר.</w:t>
      </w:r>
    </w:p>
    <w:p w14:paraId="162E7447" w14:textId="77777777" w:rsidR="00FA2119" w:rsidRPr="00351B7D" w:rsidRDefault="00FA2119" w:rsidP="00FA2119">
      <w:pPr>
        <w:rPr>
          <w:rFonts w:asciiTheme="minorBidi" w:hAnsiTheme="minorBidi"/>
          <w:rtl/>
        </w:rPr>
      </w:pPr>
      <w:r w:rsidRPr="00351B7D">
        <w:rPr>
          <w:rFonts w:asciiTheme="minorBidi" w:hAnsiTheme="minorBidi"/>
          <w:u w:val="single"/>
          <w:rtl/>
        </w:rPr>
        <w:t xml:space="preserve">כתיבת </w:t>
      </w:r>
      <w:r>
        <w:rPr>
          <w:rFonts w:asciiTheme="minorBidi" w:hAnsiTheme="minorBidi" w:hint="cs"/>
          <w:u w:val="single"/>
          <w:rtl/>
        </w:rPr>
        <w:t>החודש '</w:t>
      </w:r>
      <w:r w:rsidRPr="00351B7D">
        <w:rPr>
          <w:rFonts w:asciiTheme="minorBidi" w:hAnsiTheme="minorBidi"/>
          <w:u w:val="single"/>
          <w:rtl/>
        </w:rPr>
        <w:t>כסלו</w:t>
      </w:r>
      <w:r>
        <w:rPr>
          <w:rFonts w:asciiTheme="minorBidi" w:hAnsiTheme="minorBidi" w:hint="cs"/>
          <w:u w:val="single"/>
          <w:rtl/>
        </w:rPr>
        <w:t>'</w:t>
      </w:r>
      <w:r w:rsidRPr="00351B7D">
        <w:rPr>
          <w:rFonts w:asciiTheme="minorBidi" w:hAnsiTheme="minorBidi"/>
          <w:u w:val="single"/>
          <w:rtl/>
        </w:rPr>
        <w:t>:</w:t>
      </w:r>
      <w:r w:rsidRPr="00351B7D">
        <w:rPr>
          <w:rFonts w:asciiTheme="minorBidi" w:hAnsiTheme="minorBidi"/>
          <w:sz w:val="16"/>
          <w:szCs w:val="16"/>
          <w:rtl/>
        </w:rPr>
        <w:t xml:space="preserve"> </w:t>
      </w:r>
    </w:p>
    <w:p w14:paraId="0F2F85FD" w14:textId="43F1BB5B" w:rsidR="00FA2119" w:rsidRPr="00351B7D" w:rsidRDefault="00FA2119" w:rsidP="00FA2119">
      <w:pPr>
        <w:pStyle w:val="ab"/>
        <w:numPr>
          <w:ilvl w:val="0"/>
          <w:numId w:val="12"/>
        </w:numPr>
        <w:rPr>
          <w:rFonts w:asciiTheme="minorBidi" w:hAnsiTheme="minorBidi"/>
        </w:rPr>
      </w:pPr>
      <w:r w:rsidRPr="00351B7D">
        <w:rPr>
          <w:rFonts w:asciiTheme="minorBidi" w:hAnsiTheme="minorBidi"/>
          <w:rtl/>
        </w:rPr>
        <w:t>תרוה"ד</w:t>
      </w:r>
      <w:r w:rsidRPr="00351B7D">
        <w:rPr>
          <w:rFonts w:asciiTheme="minorBidi" w:hAnsiTheme="minorBidi"/>
          <w:sz w:val="16"/>
          <w:szCs w:val="16"/>
          <w:rtl/>
        </w:rPr>
        <w:t xml:space="preserve"> (סי' רלג)</w:t>
      </w:r>
      <w:r w:rsidR="00A82951">
        <w:rPr>
          <w:rFonts w:asciiTheme="minorBidi" w:hAnsiTheme="minorBidi"/>
          <w:rtl/>
        </w:rPr>
        <w:t>-</w:t>
      </w:r>
      <w:r w:rsidRPr="00351B7D">
        <w:rPr>
          <w:rFonts w:asciiTheme="minorBidi" w:hAnsiTheme="minorBidi"/>
          <w:rtl/>
        </w:rPr>
        <w:t xml:space="preserve"> נסתפקו בו הראשונ</w:t>
      </w:r>
      <w:r>
        <w:rPr>
          <w:rFonts w:asciiTheme="minorBidi" w:hAnsiTheme="minorBidi" w:hint="cs"/>
          <w:rtl/>
        </w:rPr>
        <w:t>ים</w:t>
      </w:r>
      <w:r w:rsidRPr="00351B7D">
        <w:rPr>
          <w:rFonts w:asciiTheme="minorBidi" w:hAnsiTheme="minorBidi"/>
          <w:rtl/>
        </w:rPr>
        <w:t xml:space="preserve"> אם יש לכתבו חסר יו"ד</w:t>
      </w:r>
      <w:r>
        <w:rPr>
          <w:rFonts w:asciiTheme="minorBidi" w:hAnsiTheme="minorBidi" w:hint="cs"/>
          <w:rtl/>
        </w:rPr>
        <w:t>.</w:t>
      </w:r>
      <w:r w:rsidRPr="00351B7D">
        <w:rPr>
          <w:rFonts w:asciiTheme="minorBidi" w:hAnsiTheme="minorBidi"/>
          <w:rtl/>
        </w:rPr>
        <w:t xml:space="preserve"> ושמעתי שהקדמונים היו נשמטים מלכתוב גט בכסליו מפני ספיקא זו</w:t>
      </w:r>
      <w:r>
        <w:rPr>
          <w:rFonts w:asciiTheme="minorBidi" w:hAnsiTheme="minorBidi" w:hint="cs"/>
          <w:rtl/>
        </w:rPr>
        <w:t>.</w:t>
      </w:r>
      <w:r w:rsidRPr="00351B7D">
        <w:rPr>
          <w:rFonts w:asciiTheme="minorBidi" w:hAnsiTheme="minorBidi"/>
          <w:rtl/>
        </w:rPr>
        <w:t xml:space="preserve"> ומ"מ יש לכתוב חסר יו"ד, דאע"ג דבלשון תרגום הוי מלא</w:t>
      </w:r>
      <w:r>
        <w:rPr>
          <w:rFonts w:asciiTheme="minorBidi" w:hAnsiTheme="minorBidi" w:hint="cs"/>
          <w:rtl/>
        </w:rPr>
        <w:t>,</w:t>
      </w:r>
      <w:r w:rsidRPr="00351B7D">
        <w:rPr>
          <w:rFonts w:asciiTheme="minorBidi" w:hAnsiTheme="minorBidi"/>
          <w:rtl/>
        </w:rPr>
        <w:t xml:space="preserve"> בתר עברי אזלינן</w:t>
      </w:r>
      <w:r w:rsidRPr="00351B7D">
        <w:rPr>
          <w:rStyle w:val="a7"/>
          <w:rFonts w:asciiTheme="minorBidi" w:hAnsiTheme="minorBidi"/>
          <w:rtl/>
        </w:rPr>
        <w:footnoteReference w:id="707"/>
      </w:r>
      <w:r w:rsidRPr="00351B7D">
        <w:rPr>
          <w:rFonts w:asciiTheme="minorBidi" w:hAnsiTheme="minorBidi"/>
          <w:rtl/>
        </w:rPr>
        <w:t xml:space="preserve"> שכתוב חסר</w:t>
      </w:r>
      <w:r w:rsidRPr="00351B7D">
        <w:rPr>
          <w:rStyle w:val="a7"/>
          <w:rFonts w:asciiTheme="minorBidi" w:hAnsiTheme="minorBidi"/>
          <w:rtl/>
        </w:rPr>
        <w:footnoteReference w:id="708"/>
      </w:r>
      <w:r w:rsidRPr="00351B7D">
        <w:rPr>
          <w:rFonts w:asciiTheme="minorBidi" w:hAnsiTheme="minorBidi"/>
          <w:rtl/>
        </w:rPr>
        <w:t xml:space="preserve">. </w:t>
      </w:r>
      <w:r w:rsidRPr="00020A04">
        <w:rPr>
          <w:rFonts w:asciiTheme="minorBidi" w:hAnsiTheme="minorBidi" w:hint="cs"/>
          <w:color w:val="E36C0A" w:themeColor="accent6" w:themeShade="BF"/>
          <w:rtl/>
        </w:rPr>
        <w:t>(וכ"פ בשו"ע)</w:t>
      </w:r>
      <w:r w:rsidR="00460C88">
        <w:rPr>
          <w:rFonts w:asciiTheme="minorBidi" w:hAnsiTheme="minorBidi" w:hint="cs"/>
          <w:color w:val="E36C0A" w:themeColor="accent6" w:themeShade="BF"/>
          <w:rtl/>
        </w:rPr>
        <w:t xml:space="preserve"> </w:t>
      </w:r>
      <w:r w:rsidRPr="00351B7D">
        <w:rPr>
          <w:rFonts w:asciiTheme="minorBidi" w:hAnsiTheme="minorBidi"/>
          <w:color w:val="00B0F0"/>
          <w:rtl/>
        </w:rPr>
        <w:t>(וכ"פ הרמ"א)</w:t>
      </w:r>
    </w:p>
    <w:p w14:paraId="2D33E53F" w14:textId="77777777" w:rsidR="00FA2119" w:rsidRDefault="00FA2119" w:rsidP="00FA2119">
      <w:pPr>
        <w:rPr>
          <w:rFonts w:cs="Arial"/>
          <w:rtl/>
        </w:rPr>
      </w:pPr>
      <w:r w:rsidRPr="00286115">
        <w:rPr>
          <w:rFonts w:cs="Arial" w:hint="cs"/>
          <w:u w:val="single"/>
          <w:rtl/>
        </w:rPr>
        <w:t xml:space="preserve">כתיבת </w:t>
      </w:r>
      <w:r>
        <w:rPr>
          <w:rFonts w:cs="Arial" w:hint="cs"/>
          <w:u w:val="single"/>
          <w:rtl/>
        </w:rPr>
        <w:t>ה</w:t>
      </w:r>
      <w:r w:rsidRPr="00286115">
        <w:rPr>
          <w:rFonts w:cs="Arial" w:hint="cs"/>
          <w:u w:val="single"/>
          <w:rtl/>
        </w:rPr>
        <w:t xml:space="preserve">חודש </w:t>
      </w:r>
      <w:r>
        <w:rPr>
          <w:rFonts w:cs="Arial" w:hint="cs"/>
          <w:u w:val="single"/>
          <w:rtl/>
        </w:rPr>
        <w:t>'</w:t>
      </w:r>
      <w:r w:rsidRPr="00286115">
        <w:rPr>
          <w:rFonts w:cs="Arial" w:hint="cs"/>
          <w:u w:val="single"/>
          <w:rtl/>
        </w:rPr>
        <w:t>אייר</w:t>
      </w:r>
      <w:r>
        <w:rPr>
          <w:rFonts w:cs="Arial" w:hint="cs"/>
          <w:u w:val="single"/>
          <w:rtl/>
        </w:rPr>
        <w:t>'</w:t>
      </w:r>
      <w:r w:rsidRPr="00286115">
        <w:rPr>
          <w:rFonts w:cs="Arial" w:hint="cs"/>
          <w:u w:val="single"/>
          <w:rtl/>
        </w:rPr>
        <w:t>:</w:t>
      </w:r>
      <w:r>
        <w:rPr>
          <w:rFonts w:cs="Arial" w:hint="cs"/>
          <w:rtl/>
        </w:rPr>
        <w:t xml:space="preserve"> </w:t>
      </w:r>
    </w:p>
    <w:p w14:paraId="3AEE6D6A" w14:textId="1E09285F" w:rsidR="00FA2119" w:rsidRPr="00F07FC5" w:rsidRDefault="00FA2119" w:rsidP="00FA2119">
      <w:pPr>
        <w:pStyle w:val="ab"/>
        <w:numPr>
          <w:ilvl w:val="0"/>
          <w:numId w:val="12"/>
        </w:numPr>
        <w:rPr>
          <w:rFonts w:asciiTheme="minorBidi" w:hAnsiTheme="minorBidi"/>
          <w:rtl/>
        </w:rPr>
      </w:pPr>
      <w:r w:rsidRPr="00351B7D">
        <w:rPr>
          <w:rFonts w:asciiTheme="minorBidi" w:hAnsiTheme="minorBidi"/>
          <w:rtl/>
        </w:rPr>
        <w:lastRenderedPageBreak/>
        <w:t>תרוה"ד</w:t>
      </w:r>
      <w:r w:rsidRPr="00351B7D">
        <w:rPr>
          <w:rFonts w:asciiTheme="minorBidi" w:hAnsiTheme="minorBidi"/>
          <w:sz w:val="16"/>
          <w:szCs w:val="16"/>
          <w:rtl/>
        </w:rPr>
        <w:t xml:space="preserve"> (סי' רלג)</w:t>
      </w:r>
      <w:r w:rsidR="00A82951">
        <w:rPr>
          <w:rFonts w:asciiTheme="minorBidi" w:hAnsiTheme="minorBidi"/>
          <w:rtl/>
        </w:rPr>
        <w:t>-</w:t>
      </w:r>
      <w:r w:rsidRPr="00351B7D">
        <w:rPr>
          <w:rFonts w:asciiTheme="minorBidi" w:hAnsiTheme="minorBidi"/>
          <w:rtl/>
        </w:rPr>
        <w:t xml:space="preserve"> ודאי דינו לכתוב בשני יודי"ן כי כך מצאתי בתרגום מגילת אסתר</w:t>
      </w:r>
      <w:r>
        <w:rPr>
          <w:rFonts w:asciiTheme="minorBidi" w:hAnsiTheme="minorBidi" w:hint="cs"/>
          <w:rtl/>
        </w:rPr>
        <w:t>,</w:t>
      </w:r>
      <w:r w:rsidRPr="00351B7D">
        <w:rPr>
          <w:rFonts w:asciiTheme="minorBidi" w:hAnsiTheme="minorBidi"/>
          <w:rtl/>
        </w:rPr>
        <w:t xml:space="preserve"> וגם בתרגום אחד בספר מלכים... לכך נראה דאפי' אם נותן הגט בחד יו"ד ובו ביום נודע הטעות דיש לכתוב וליתן אחר בשני יודי"ן, וכה"ג לא הוי לעז כל כך לבית דין</w:t>
      </w:r>
      <w:r w:rsidR="00460C88">
        <w:rPr>
          <w:rStyle w:val="a7"/>
          <w:rFonts w:asciiTheme="minorBidi" w:hAnsiTheme="minorBidi"/>
          <w:rtl/>
        </w:rPr>
        <w:footnoteReference w:id="709"/>
      </w:r>
      <w:r w:rsidRPr="00351B7D">
        <w:rPr>
          <w:rFonts w:asciiTheme="minorBidi" w:hAnsiTheme="minorBidi"/>
          <w:rtl/>
        </w:rPr>
        <w:t>.</w:t>
      </w:r>
    </w:p>
    <w:p w14:paraId="67E858F1" w14:textId="6559F2FE" w:rsidR="00FA2119" w:rsidRPr="00351B7D" w:rsidRDefault="00FA2119" w:rsidP="00FA2119">
      <w:pPr>
        <w:pStyle w:val="ab"/>
        <w:numPr>
          <w:ilvl w:val="0"/>
          <w:numId w:val="12"/>
        </w:numPr>
        <w:rPr>
          <w:rFonts w:asciiTheme="minorBidi" w:hAnsiTheme="minorBidi"/>
        </w:rPr>
      </w:pPr>
      <w:r w:rsidRPr="00351B7D">
        <w:rPr>
          <w:rFonts w:asciiTheme="minorBidi" w:hAnsiTheme="minorBidi"/>
          <w:rtl/>
        </w:rPr>
        <w:t>מהרי"ל</w:t>
      </w:r>
      <w:r w:rsidRPr="00351B7D">
        <w:rPr>
          <w:rFonts w:asciiTheme="minorBidi" w:hAnsiTheme="minorBidi"/>
          <w:sz w:val="16"/>
          <w:szCs w:val="16"/>
          <w:rtl/>
        </w:rPr>
        <w:t xml:space="preserve"> (כ</w:t>
      </w:r>
      <w:r>
        <w:rPr>
          <w:rFonts w:asciiTheme="minorBidi" w:hAnsiTheme="minorBidi" w:hint="cs"/>
          <w:sz w:val="16"/>
          <w:szCs w:val="16"/>
          <w:rtl/>
        </w:rPr>
        <w:t>"כ</w:t>
      </w:r>
      <w:r w:rsidRPr="00351B7D">
        <w:rPr>
          <w:rFonts w:asciiTheme="minorBidi" w:hAnsiTheme="minorBidi"/>
          <w:sz w:val="16"/>
          <w:szCs w:val="16"/>
          <w:rtl/>
        </w:rPr>
        <w:t xml:space="preserve"> הדרכ"מ </w:t>
      </w:r>
      <w:r>
        <w:rPr>
          <w:rFonts w:asciiTheme="minorBidi" w:hAnsiTheme="minorBidi" w:hint="cs"/>
          <w:sz w:val="16"/>
          <w:szCs w:val="16"/>
          <w:rtl/>
        </w:rPr>
        <w:t xml:space="preserve">[אות כח] </w:t>
      </w:r>
      <w:r w:rsidRPr="00351B7D">
        <w:rPr>
          <w:rFonts w:asciiTheme="minorBidi" w:hAnsiTheme="minorBidi"/>
          <w:sz w:val="16"/>
          <w:szCs w:val="16"/>
          <w:rtl/>
        </w:rPr>
        <w:t>בשמו)</w:t>
      </w:r>
      <w:r w:rsidR="00A82951">
        <w:rPr>
          <w:rFonts w:asciiTheme="minorBidi" w:hAnsiTheme="minorBidi"/>
          <w:rtl/>
        </w:rPr>
        <w:t>-</w:t>
      </w:r>
      <w:r w:rsidRPr="00351B7D">
        <w:rPr>
          <w:rFonts w:asciiTheme="minorBidi" w:hAnsiTheme="minorBidi"/>
          <w:rtl/>
        </w:rPr>
        <w:t xml:space="preserve"> יש ליתן ב' גיטין באייר מכח ספק</w:t>
      </w:r>
      <w:r w:rsidRPr="00351B7D">
        <w:rPr>
          <w:rStyle w:val="a7"/>
          <w:rFonts w:asciiTheme="minorBidi" w:hAnsiTheme="minorBidi"/>
          <w:rtl/>
        </w:rPr>
        <w:footnoteReference w:id="710"/>
      </w:r>
      <w:r w:rsidR="00460C88">
        <w:rPr>
          <w:rFonts w:asciiTheme="minorBidi" w:hAnsiTheme="minorBidi" w:hint="cs"/>
          <w:rtl/>
        </w:rPr>
        <w:t>.</w:t>
      </w:r>
      <w:r w:rsidRPr="00351B7D">
        <w:rPr>
          <w:rFonts w:asciiTheme="minorBidi" w:hAnsiTheme="minorBidi"/>
          <w:rtl/>
        </w:rPr>
        <w:t xml:space="preserve"> ויש נמנעין</w:t>
      </w:r>
      <w:r w:rsidRPr="00351B7D">
        <w:rPr>
          <w:rStyle w:val="a7"/>
          <w:rFonts w:asciiTheme="minorBidi" w:hAnsiTheme="minorBidi"/>
          <w:rtl/>
        </w:rPr>
        <w:footnoteReference w:id="711"/>
      </w:r>
      <w:r w:rsidRPr="00351B7D">
        <w:rPr>
          <w:rFonts w:asciiTheme="minorBidi" w:hAnsiTheme="minorBidi"/>
          <w:rtl/>
        </w:rPr>
        <w:t xml:space="preserve"> ליתן גט באייר מכח ספק.</w:t>
      </w:r>
    </w:p>
    <w:p w14:paraId="57A902CC"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9DD1F82" w14:textId="3F6D988D" w:rsidR="00FA2119" w:rsidRPr="00460C88" w:rsidRDefault="00FA2119" w:rsidP="00FA2119">
      <w:pPr>
        <w:rPr>
          <w:rFonts w:asciiTheme="minorBidi" w:hAnsiTheme="minorBidi"/>
          <w:sz w:val="18"/>
          <w:szCs w:val="18"/>
          <w:rtl/>
        </w:rPr>
      </w:pPr>
      <w:r w:rsidRPr="00351B7D">
        <w:rPr>
          <w:rFonts w:asciiTheme="minorBidi" w:hAnsiTheme="minorBidi"/>
          <w:rtl/>
        </w:rPr>
        <w:t>אם השנה מעוברת, יכתוב באדר ראשון לירח אדר ראשון</w:t>
      </w:r>
      <w:r w:rsidRPr="00351B7D">
        <w:rPr>
          <w:rStyle w:val="a7"/>
          <w:rFonts w:asciiTheme="minorBidi" w:hAnsiTheme="minorBidi"/>
          <w:rtl/>
        </w:rPr>
        <w:footnoteReference w:id="712"/>
      </w:r>
      <w:r w:rsidRPr="00351B7D">
        <w:rPr>
          <w:rFonts w:asciiTheme="minorBidi" w:hAnsiTheme="minorBidi"/>
          <w:rtl/>
        </w:rPr>
        <w:t>, ובשני יכתוב לירח אדר השני.</w:t>
      </w:r>
      <w:r w:rsidRPr="00351B7D">
        <w:rPr>
          <w:rFonts w:asciiTheme="minorBidi" w:hAnsiTheme="minorBidi"/>
          <w:sz w:val="16"/>
          <w:szCs w:val="16"/>
          <w:rtl/>
        </w:rPr>
        <w:t xml:space="preserve"> </w:t>
      </w:r>
      <w:r>
        <w:rPr>
          <w:rFonts w:asciiTheme="minorBidi" w:hAnsiTheme="minorBidi" w:hint="cs"/>
          <w:sz w:val="18"/>
          <w:szCs w:val="18"/>
          <w:rtl/>
        </w:rPr>
        <w:t xml:space="preserve">[הגה] </w:t>
      </w:r>
      <w:r w:rsidRPr="00351B7D">
        <w:rPr>
          <w:rFonts w:asciiTheme="minorBidi" w:hAnsiTheme="minorBidi"/>
          <w:sz w:val="18"/>
          <w:szCs w:val="18"/>
          <w:rtl/>
        </w:rPr>
        <w:t>ואם כתב באדר הראשון אדר סתם כשר</w:t>
      </w:r>
      <w:r w:rsidRPr="00351B7D">
        <w:rPr>
          <w:rStyle w:val="a7"/>
          <w:rFonts w:asciiTheme="minorBidi" w:hAnsiTheme="minorBidi"/>
          <w:sz w:val="18"/>
          <w:szCs w:val="18"/>
          <w:rtl/>
        </w:rPr>
        <w:footnoteReference w:id="713"/>
      </w:r>
      <w:r w:rsidRPr="00351B7D">
        <w:rPr>
          <w:rFonts w:asciiTheme="minorBidi" w:hAnsiTheme="minorBidi"/>
          <w:sz w:val="18"/>
          <w:szCs w:val="18"/>
          <w:rtl/>
        </w:rPr>
        <w:t xml:space="preserve">, אבל אם כתב בשני סתם הגט </w:t>
      </w:r>
      <w:r w:rsidRPr="00460C88">
        <w:rPr>
          <w:rFonts w:asciiTheme="minorBidi" w:hAnsiTheme="minorBidi"/>
          <w:sz w:val="18"/>
          <w:szCs w:val="18"/>
          <w:rtl/>
        </w:rPr>
        <w:t>פסול (רא"ש ור"ן). ומלת ראשון יכתוב מלא וי"ו</w:t>
      </w:r>
      <w:r w:rsidRPr="00460C88">
        <w:rPr>
          <w:rStyle w:val="a7"/>
          <w:rFonts w:asciiTheme="minorBidi" w:hAnsiTheme="minorBidi"/>
          <w:sz w:val="18"/>
          <w:szCs w:val="18"/>
          <w:rtl/>
        </w:rPr>
        <w:footnoteReference w:id="714"/>
      </w:r>
      <w:r w:rsidRPr="00460C88">
        <w:rPr>
          <w:rFonts w:asciiTheme="minorBidi" w:hAnsiTheme="minorBidi"/>
          <w:sz w:val="18"/>
          <w:szCs w:val="18"/>
          <w:rtl/>
        </w:rPr>
        <w:t xml:space="preserve"> (תיקון ישן). ניסן מלא</w:t>
      </w:r>
      <w:r w:rsidR="00647EFF">
        <w:rPr>
          <w:rFonts w:asciiTheme="minorBidi" w:hAnsiTheme="minorBidi" w:hint="cs"/>
          <w:sz w:val="18"/>
          <w:szCs w:val="18"/>
          <w:rtl/>
        </w:rPr>
        <w:t>.</w:t>
      </w:r>
      <w:r w:rsidRPr="00460C88">
        <w:rPr>
          <w:rFonts w:asciiTheme="minorBidi" w:hAnsiTheme="minorBidi"/>
          <w:sz w:val="18"/>
          <w:szCs w:val="18"/>
          <w:rtl/>
        </w:rPr>
        <w:t xml:space="preserve"> אייר בשני יודי"ן (סדר גיטין), ואם כתב בחד יו"ד פסול</w:t>
      </w:r>
      <w:r w:rsidRPr="00460C88">
        <w:rPr>
          <w:rStyle w:val="a7"/>
          <w:rFonts w:asciiTheme="minorBidi" w:hAnsiTheme="minorBidi"/>
          <w:sz w:val="18"/>
          <w:szCs w:val="18"/>
          <w:rtl/>
        </w:rPr>
        <w:footnoteReference w:id="715"/>
      </w:r>
      <w:r w:rsidRPr="00460C88">
        <w:rPr>
          <w:rFonts w:asciiTheme="minorBidi" w:hAnsiTheme="minorBidi"/>
          <w:sz w:val="18"/>
          <w:szCs w:val="18"/>
          <w:rtl/>
        </w:rPr>
        <w:t xml:space="preserve"> אם לא בשעת הדחק (תרוה"ד). ויש נמנעין ליתן גט באייר</w:t>
      </w:r>
      <w:r w:rsidRPr="00460C88">
        <w:rPr>
          <w:rFonts w:asciiTheme="minorBidi" w:hAnsiTheme="minorBidi" w:hint="cs"/>
          <w:sz w:val="18"/>
          <w:szCs w:val="18"/>
          <w:rtl/>
        </w:rPr>
        <w:t xml:space="preserve"> (רבו של מהרי"ל)</w:t>
      </w:r>
      <w:r w:rsidRPr="00460C88">
        <w:rPr>
          <w:rFonts w:asciiTheme="minorBidi" w:hAnsiTheme="minorBidi"/>
          <w:sz w:val="18"/>
          <w:szCs w:val="18"/>
          <w:rtl/>
        </w:rPr>
        <w:t>, אך במקום הדחק נותנין וכותבין בב' יודי"ן. סיון מלא יו"ד (סדר גיטין). תמוז מלא וי"ו. אלול מלא וי"ו. תשרי בחד יו"ד. מרחשון חד וי"ו</w:t>
      </w:r>
      <w:r w:rsidRPr="00460C88">
        <w:rPr>
          <w:rStyle w:val="a7"/>
          <w:rFonts w:asciiTheme="minorBidi" w:hAnsiTheme="minorBidi"/>
          <w:sz w:val="18"/>
          <w:szCs w:val="18"/>
          <w:rtl/>
        </w:rPr>
        <w:footnoteReference w:id="716"/>
      </w:r>
      <w:r w:rsidRPr="00460C88">
        <w:rPr>
          <w:rFonts w:asciiTheme="minorBidi" w:hAnsiTheme="minorBidi"/>
          <w:sz w:val="18"/>
          <w:szCs w:val="18"/>
          <w:rtl/>
        </w:rPr>
        <w:t xml:space="preserve"> (דברי הרב). כסלו חסר יו"ד</w:t>
      </w:r>
      <w:r w:rsidRPr="00460C88">
        <w:rPr>
          <w:rStyle w:val="a7"/>
          <w:rFonts w:asciiTheme="minorBidi" w:hAnsiTheme="minorBidi"/>
          <w:sz w:val="18"/>
          <w:szCs w:val="18"/>
          <w:rtl/>
        </w:rPr>
        <w:footnoteReference w:id="717"/>
      </w:r>
      <w:r w:rsidRPr="00460C88">
        <w:rPr>
          <w:rFonts w:asciiTheme="minorBidi" w:hAnsiTheme="minorBidi"/>
          <w:sz w:val="18"/>
          <w:szCs w:val="18"/>
          <w:rtl/>
        </w:rPr>
        <w:t xml:space="preserve"> (תרוה"ד)</w:t>
      </w:r>
      <w:r w:rsidRPr="00460C88">
        <w:rPr>
          <w:rFonts w:asciiTheme="minorBidi" w:hAnsiTheme="minorBidi" w:hint="cs"/>
          <w:sz w:val="18"/>
          <w:szCs w:val="18"/>
          <w:rtl/>
        </w:rPr>
        <w:t xml:space="preserve">. </w:t>
      </w:r>
      <w:r w:rsidRPr="00460C88">
        <w:rPr>
          <w:rFonts w:asciiTheme="minorBidi" w:hAnsiTheme="minorBidi"/>
          <w:sz w:val="18"/>
          <w:szCs w:val="18"/>
          <w:rtl/>
        </w:rPr>
        <w:t>ועיין למטה סע' כ"ג וכ"ד.</w:t>
      </w:r>
    </w:p>
    <w:p w14:paraId="030E7813" w14:textId="77777777" w:rsidR="00FA2119" w:rsidRPr="00351B7D" w:rsidRDefault="00FA2119" w:rsidP="00FA2119">
      <w:pPr>
        <w:rPr>
          <w:rFonts w:asciiTheme="minorBidi" w:hAnsiTheme="minorBidi"/>
          <w:rtl/>
        </w:rPr>
      </w:pPr>
      <w:r w:rsidRPr="00351B7D">
        <w:rPr>
          <w:rFonts w:asciiTheme="minorBidi" w:hAnsiTheme="minorBidi"/>
          <w:u w:val="single"/>
          <w:rtl/>
        </w:rPr>
        <w:t>כתיבת חודשים שלא כפי שמותם הבבליים:</w:t>
      </w:r>
      <w:r w:rsidRPr="00351B7D">
        <w:rPr>
          <w:rFonts w:asciiTheme="minorBidi" w:hAnsiTheme="minorBidi"/>
          <w:rtl/>
        </w:rPr>
        <w:t xml:space="preserve"> </w:t>
      </w:r>
      <w:r w:rsidRPr="00351B7D">
        <w:rPr>
          <w:rFonts w:asciiTheme="minorBidi" w:hAnsiTheme="minorBidi"/>
          <w:sz w:val="16"/>
          <w:szCs w:val="16"/>
          <w:rtl/>
        </w:rPr>
        <w:t xml:space="preserve"> (פת"ש סקי"ב)</w:t>
      </w:r>
    </w:p>
    <w:p w14:paraId="5D212D11" w14:textId="45E147BE" w:rsidR="00FA2119" w:rsidRDefault="00FA2119" w:rsidP="00FA2119">
      <w:pPr>
        <w:pStyle w:val="ab"/>
        <w:numPr>
          <w:ilvl w:val="0"/>
          <w:numId w:val="15"/>
        </w:numPr>
      </w:pPr>
      <w:r w:rsidRPr="000F4DF0">
        <w:rPr>
          <w:rFonts w:asciiTheme="minorBidi" w:hAnsiTheme="minorBidi"/>
          <w:rtl/>
        </w:rPr>
        <w:t xml:space="preserve">גט פשוט </w:t>
      </w:r>
      <w:r w:rsidRPr="000F4DF0">
        <w:rPr>
          <w:rFonts w:asciiTheme="minorBidi" w:hAnsiTheme="minorBidi"/>
          <w:sz w:val="16"/>
          <w:szCs w:val="16"/>
          <w:rtl/>
        </w:rPr>
        <w:t>(סקל"ה)</w:t>
      </w:r>
      <w:r w:rsidR="00A82951">
        <w:rPr>
          <w:rFonts w:asciiTheme="minorBidi" w:hAnsiTheme="minorBidi"/>
          <w:rtl/>
        </w:rPr>
        <w:t>-</w:t>
      </w:r>
      <w:r w:rsidRPr="000F4DF0">
        <w:rPr>
          <w:rFonts w:asciiTheme="minorBidi" w:hAnsiTheme="minorBidi"/>
          <w:rtl/>
        </w:rPr>
        <w:t xml:space="preserve"> אם לא כתבו בגט שמות הח</w:t>
      </w:r>
      <w:r w:rsidR="00647EFF">
        <w:rPr>
          <w:rFonts w:asciiTheme="minorBidi" w:hAnsiTheme="minorBidi" w:hint="cs"/>
          <w:rtl/>
        </w:rPr>
        <w:t>ו</w:t>
      </w:r>
      <w:r w:rsidRPr="000F4DF0">
        <w:rPr>
          <w:rFonts w:asciiTheme="minorBidi" w:hAnsiTheme="minorBidi"/>
          <w:rtl/>
        </w:rPr>
        <w:t>דשים אשר עלו מבבל</w:t>
      </w:r>
      <w:r w:rsidR="00647EFF">
        <w:rPr>
          <w:rFonts w:asciiTheme="minorBidi" w:hAnsiTheme="minorBidi" w:hint="cs"/>
          <w:rtl/>
        </w:rPr>
        <w:t>,</w:t>
      </w:r>
      <w:r w:rsidRPr="000F4DF0">
        <w:rPr>
          <w:rFonts w:asciiTheme="minorBidi" w:hAnsiTheme="minorBidi"/>
          <w:rtl/>
        </w:rPr>
        <w:t xml:space="preserve"> אלא כתבו לירח הא' לירח הב' </w:t>
      </w:r>
      <w:r w:rsidR="00A82951">
        <w:rPr>
          <w:rFonts w:asciiTheme="minorBidi" w:hAnsiTheme="minorBidi" w:hint="cs"/>
          <w:rtl/>
        </w:rPr>
        <w:t>-</w:t>
      </w:r>
      <w:r>
        <w:rPr>
          <w:rFonts w:asciiTheme="minorBidi" w:hAnsiTheme="minorBidi" w:hint="cs"/>
          <w:rtl/>
        </w:rPr>
        <w:t xml:space="preserve"> </w:t>
      </w:r>
      <w:r w:rsidRPr="000F4DF0">
        <w:rPr>
          <w:rFonts w:asciiTheme="minorBidi" w:hAnsiTheme="minorBidi"/>
          <w:rtl/>
        </w:rPr>
        <w:t>כשר גמור הוא</w:t>
      </w:r>
      <w:r>
        <w:rPr>
          <w:rFonts w:asciiTheme="minorBidi" w:hAnsiTheme="minorBidi" w:hint="cs"/>
          <w:rtl/>
        </w:rPr>
        <w:t>,</w:t>
      </w:r>
      <w:r w:rsidRPr="000F4DF0">
        <w:rPr>
          <w:rFonts w:asciiTheme="minorBidi" w:hAnsiTheme="minorBidi"/>
          <w:rtl/>
        </w:rPr>
        <w:t xml:space="preserve"> כיון דמנין זה כתוב בתורה והכל יודעים דמניסן מנינן לחדשים. ואם נכתב בגט</w:t>
      </w:r>
      <w:r w:rsidR="00647EFF">
        <w:rPr>
          <w:rFonts w:asciiTheme="minorBidi" w:hAnsiTheme="minorBidi" w:hint="cs"/>
          <w:rtl/>
        </w:rPr>
        <w:t>:</w:t>
      </w:r>
      <w:r w:rsidRPr="000F4DF0">
        <w:rPr>
          <w:rFonts w:asciiTheme="minorBidi" w:hAnsiTheme="minorBidi"/>
          <w:rtl/>
        </w:rPr>
        <w:t xml:space="preserve"> לירח מנחם</w:t>
      </w:r>
      <w:r w:rsidR="00647EFF">
        <w:rPr>
          <w:rFonts w:asciiTheme="minorBidi" w:hAnsiTheme="minorBidi" w:hint="cs"/>
          <w:rtl/>
        </w:rPr>
        <w:t>,</w:t>
      </w:r>
      <w:r w:rsidRPr="000F4DF0">
        <w:rPr>
          <w:rFonts w:asciiTheme="minorBidi" w:hAnsiTheme="minorBidi"/>
          <w:rtl/>
        </w:rPr>
        <w:t xml:space="preserve"> במקום</w:t>
      </w:r>
      <w:r w:rsidR="00647EFF">
        <w:rPr>
          <w:rFonts w:asciiTheme="minorBidi" w:hAnsiTheme="minorBidi" w:hint="cs"/>
          <w:rtl/>
        </w:rPr>
        <w:t>:</w:t>
      </w:r>
      <w:r w:rsidRPr="000F4DF0">
        <w:rPr>
          <w:rFonts w:asciiTheme="minorBidi" w:hAnsiTheme="minorBidi"/>
          <w:rtl/>
        </w:rPr>
        <w:t xml:space="preserve"> לירח אב </w:t>
      </w:r>
      <w:r w:rsidR="00A82951">
        <w:rPr>
          <w:rFonts w:asciiTheme="minorBidi" w:hAnsiTheme="minorBidi" w:hint="cs"/>
          <w:rtl/>
        </w:rPr>
        <w:t>-</w:t>
      </w:r>
      <w:r>
        <w:rPr>
          <w:rFonts w:asciiTheme="minorBidi" w:hAnsiTheme="minorBidi" w:hint="cs"/>
          <w:rtl/>
        </w:rPr>
        <w:t xml:space="preserve"> </w:t>
      </w:r>
      <w:r w:rsidRPr="000F4DF0">
        <w:rPr>
          <w:rFonts w:asciiTheme="minorBidi" w:hAnsiTheme="minorBidi"/>
          <w:rtl/>
        </w:rPr>
        <w:t>נ"ל דכשר בדיעבד</w:t>
      </w:r>
      <w:r>
        <w:rPr>
          <w:rFonts w:asciiTheme="minorBidi" w:hAnsiTheme="minorBidi" w:hint="cs"/>
          <w:rtl/>
        </w:rPr>
        <w:t>,</w:t>
      </w:r>
      <w:r w:rsidRPr="000F4DF0">
        <w:rPr>
          <w:rFonts w:asciiTheme="minorBidi" w:hAnsiTheme="minorBidi"/>
          <w:rtl/>
        </w:rPr>
        <w:t xml:space="preserve"> כיון דהדבר מפורסם וידוע דחודש אב קרו ליה חדש מנחם</w:t>
      </w:r>
      <w:r w:rsidRPr="000F4DF0">
        <w:rPr>
          <w:rFonts w:cs="Arial"/>
          <w:rtl/>
        </w:rPr>
        <w:t>.</w:t>
      </w:r>
    </w:p>
    <w:p w14:paraId="5CCADFE9" w14:textId="77777777" w:rsidR="00FA2119" w:rsidRDefault="00FA2119" w:rsidP="00FA2119"/>
    <w:p w14:paraId="6DFCCC5A" w14:textId="77777777" w:rsidR="00FA2119" w:rsidRDefault="00FA2119" w:rsidP="00FA2119">
      <w:pPr>
        <w:pStyle w:val="2"/>
        <w:rPr>
          <w:rtl/>
        </w:rPr>
      </w:pPr>
      <w:r>
        <w:rPr>
          <w:rFonts w:hint="cs"/>
          <w:rtl/>
        </w:rPr>
        <w:t>סעיף</w:t>
      </w:r>
      <w:r>
        <w:rPr>
          <w:rtl/>
        </w:rPr>
        <w:t xml:space="preserve"> </w:t>
      </w:r>
      <w:r>
        <w:rPr>
          <w:rFonts w:hint="cs"/>
          <w:rtl/>
        </w:rPr>
        <w:t xml:space="preserve">ח: 'איך אנא פלוני', </w:t>
      </w:r>
      <w:r>
        <w:rPr>
          <w:rFonts w:cs="Arial" w:hint="cs"/>
          <w:rtl/>
        </w:rPr>
        <w:t>'</w:t>
      </w:r>
      <w:r w:rsidRPr="006C2FB4">
        <w:rPr>
          <w:rFonts w:cs="Arial"/>
          <w:rtl/>
        </w:rPr>
        <w:t>ולאתריהן דאבהתא</w:t>
      </w:r>
      <w:r>
        <w:rPr>
          <w:rFonts w:cs="Arial" w:hint="cs"/>
          <w:rtl/>
        </w:rPr>
        <w:t>'</w:t>
      </w:r>
      <w:r>
        <w:rPr>
          <w:rFonts w:hint="cs"/>
          <w:rtl/>
        </w:rPr>
        <w:t>.</w:t>
      </w:r>
    </w:p>
    <w:p w14:paraId="16388951" w14:textId="77777777" w:rsidR="00FA2119" w:rsidRDefault="00FA2119" w:rsidP="00FA2119">
      <w:pPr>
        <w:rPr>
          <w:rtl/>
        </w:rPr>
      </w:pPr>
      <w:r w:rsidRPr="00AF1871">
        <w:rPr>
          <w:rFonts w:cs="Arial" w:hint="cs"/>
          <w:b/>
          <w:bCs/>
          <w:rtl/>
        </w:rPr>
        <w:t xml:space="preserve">גיטין </w:t>
      </w:r>
      <w:r w:rsidRPr="00AF1871">
        <w:rPr>
          <w:rFonts w:cs="Arial" w:hint="cs"/>
          <w:b/>
          <w:bCs/>
          <w:sz w:val="16"/>
          <w:szCs w:val="16"/>
          <w:rtl/>
        </w:rPr>
        <w:t>(</w:t>
      </w:r>
      <w:r>
        <w:rPr>
          <w:rFonts w:cs="Arial" w:hint="cs"/>
          <w:b/>
          <w:bCs/>
          <w:sz w:val="16"/>
          <w:szCs w:val="16"/>
          <w:rtl/>
        </w:rPr>
        <w:t xml:space="preserve">פ' </w:t>
      </w:r>
      <w:r w:rsidRPr="00AF1871">
        <w:rPr>
          <w:rFonts w:cs="Arial" w:hint="cs"/>
          <w:b/>
          <w:bCs/>
          <w:sz w:val="16"/>
          <w:szCs w:val="16"/>
          <w:rtl/>
        </w:rPr>
        <w:t>המגרש)</w:t>
      </w:r>
      <w:r w:rsidRPr="00AF1871">
        <w:rPr>
          <w:rFonts w:cs="Arial" w:hint="cs"/>
          <w:b/>
          <w:bCs/>
          <w:rtl/>
        </w:rPr>
        <w:t xml:space="preserve"> פה ע"ב:</w:t>
      </w:r>
      <w:r>
        <w:rPr>
          <w:rFonts w:cs="Arial" w:hint="cs"/>
          <w:rtl/>
        </w:rPr>
        <w:t xml:space="preserve"> </w:t>
      </w:r>
      <w:r w:rsidRPr="00AF1871">
        <w:rPr>
          <w:rFonts w:cs="Arial"/>
          <w:rtl/>
        </w:rPr>
        <w:t>תא שמע, דאתקין רבא בגיטי: איך פלניא בר פלניא פטר ותריך ית פלוניתא אינתתיה דהות אינתתיה מן קדם דנא מיומא דנן ולעלם</w:t>
      </w:r>
      <w:r>
        <w:rPr>
          <w:rFonts w:hint="cs"/>
          <w:rtl/>
        </w:rPr>
        <w:t>.</w:t>
      </w:r>
    </w:p>
    <w:p w14:paraId="11F89C34" w14:textId="77777777" w:rsidR="00FA2119" w:rsidRPr="00CF15E9" w:rsidRDefault="00FA2119" w:rsidP="00FA2119">
      <w:pPr>
        <w:rPr>
          <w:u w:val="single"/>
          <w:rtl/>
        </w:rPr>
      </w:pPr>
      <w:r>
        <w:rPr>
          <w:rFonts w:hint="cs"/>
          <w:u w:val="single"/>
          <w:rtl/>
        </w:rPr>
        <w:t xml:space="preserve">האם כותבים בגט </w:t>
      </w:r>
      <w:r w:rsidRPr="00CF15E9">
        <w:rPr>
          <w:rFonts w:hint="cs"/>
          <w:u w:val="single"/>
          <w:rtl/>
        </w:rPr>
        <w:t>'</w:t>
      </w:r>
      <w:r w:rsidRPr="00CF15E9">
        <w:rPr>
          <w:rFonts w:hint="cs"/>
          <w:b/>
          <w:bCs/>
          <w:u w:val="single"/>
          <w:rtl/>
        </w:rPr>
        <w:t>איך</w:t>
      </w:r>
      <w:r w:rsidRPr="00CF15E9">
        <w:rPr>
          <w:rFonts w:hint="cs"/>
          <w:u w:val="single"/>
          <w:rtl/>
        </w:rPr>
        <w:t xml:space="preserve"> אנא פלוני', </w:t>
      </w:r>
      <w:r w:rsidRPr="00CF15E9">
        <w:rPr>
          <w:rFonts w:cs="Arial" w:hint="cs"/>
          <w:u w:val="single"/>
          <w:rtl/>
        </w:rPr>
        <w:t>'</w:t>
      </w:r>
      <w:r w:rsidRPr="00CF15E9">
        <w:rPr>
          <w:rFonts w:cs="Arial"/>
          <w:u w:val="single"/>
          <w:rtl/>
        </w:rPr>
        <w:t>ולאתריהן דאבהתא</w:t>
      </w:r>
      <w:r w:rsidRPr="00CF15E9">
        <w:rPr>
          <w:rFonts w:cs="Arial" w:hint="cs"/>
          <w:u w:val="single"/>
          <w:rtl/>
        </w:rPr>
        <w:t>'</w:t>
      </w:r>
      <w:r w:rsidRPr="00CF15E9">
        <w:rPr>
          <w:rFonts w:hint="cs"/>
          <w:u w:val="single"/>
          <w:rtl/>
        </w:rPr>
        <w:t>:</w:t>
      </w:r>
    </w:p>
    <w:p w14:paraId="098D3E13" w14:textId="6F062573" w:rsidR="00FA2119" w:rsidRDefault="00FA2119" w:rsidP="00FA2119">
      <w:pPr>
        <w:pStyle w:val="ab"/>
        <w:numPr>
          <w:ilvl w:val="0"/>
          <w:numId w:val="15"/>
        </w:numPr>
      </w:pPr>
      <w:r>
        <w:rPr>
          <w:rFonts w:cs="Arial" w:hint="cs"/>
          <w:rtl/>
        </w:rPr>
        <w:t xml:space="preserve">רמב"ם </w:t>
      </w:r>
      <w:r>
        <w:rPr>
          <w:rFonts w:cs="Arial" w:hint="cs"/>
          <w:sz w:val="16"/>
          <w:szCs w:val="16"/>
          <w:rtl/>
        </w:rPr>
        <w:t>(פ"ד הי"ב)</w:t>
      </w:r>
      <w:r w:rsidR="00A82951">
        <w:rPr>
          <w:rFonts w:cs="Arial" w:hint="cs"/>
          <w:rtl/>
        </w:rPr>
        <w:t>-</w:t>
      </w:r>
      <w:r>
        <w:rPr>
          <w:rFonts w:cs="Arial" w:hint="cs"/>
          <w:rtl/>
        </w:rPr>
        <w:t xml:space="preserve"> </w:t>
      </w:r>
      <w:r w:rsidRPr="00680068">
        <w:rPr>
          <w:rFonts w:cs="Arial"/>
          <w:rtl/>
        </w:rPr>
        <w:t xml:space="preserve">וזה הוא נוסח הגט: בכך בשבת בכך וכך לירח פלוני בשנת כך וכך ליצירה או לשטרות למניינא דרגילנא למימני ביה הכא במקום פלוני </w:t>
      </w:r>
      <w:r w:rsidRPr="00680068">
        <w:rPr>
          <w:rFonts w:cs="Arial"/>
          <w:b/>
          <w:bCs/>
          <w:rtl/>
        </w:rPr>
        <w:t>איך</w:t>
      </w:r>
      <w:r w:rsidRPr="00680068">
        <w:rPr>
          <w:rFonts w:cs="Arial"/>
          <w:rtl/>
        </w:rPr>
        <w:t xml:space="preserve"> אנא פלוני בר פלוני דממקום פלוני וכל שום אחרן וחניכה דאית לי ולאבהתי ולאתרי </w:t>
      </w:r>
      <w:r w:rsidRPr="00680068">
        <w:rPr>
          <w:rFonts w:cs="Arial"/>
          <w:b/>
          <w:bCs/>
          <w:rtl/>
        </w:rPr>
        <w:t>ולאתריהון דאבהתי</w:t>
      </w:r>
      <w:r>
        <w:rPr>
          <w:rFonts w:cs="Arial" w:hint="cs"/>
          <w:rtl/>
        </w:rPr>
        <w:t xml:space="preserve">, </w:t>
      </w:r>
      <w:r w:rsidRPr="00680068">
        <w:rPr>
          <w:rFonts w:cs="Arial"/>
          <w:rtl/>
        </w:rPr>
        <w:t>צביתי ברעות נפשי</w:t>
      </w:r>
      <w:r>
        <w:rPr>
          <w:rFonts w:cs="Arial" w:hint="cs"/>
          <w:rtl/>
        </w:rPr>
        <w:t>...</w:t>
      </w:r>
    </w:p>
    <w:p w14:paraId="0A9327D0" w14:textId="3FEEE38F" w:rsidR="00FA2119" w:rsidRDefault="00FA2119" w:rsidP="00FA2119">
      <w:pPr>
        <w:pStyle w:val="ab"/>
        <w:numPr>
          <w:ilvl w:val="0"/>
          <w:numId w:val="15"/>
        </w:numPr>
      </w:pPr>
      <w:r>
        <w:rPr>
          <w:rFonts w:cs="Arial" w:hint="cs"/>
          <w:rtl/>
        </w:rPr>
        <w:t xml:space="preserve">רי"ף </w:t>
      </w:r>
      <w:r>
        <w:rPr>
          <w:rFonts w:cs="Arial" w:hint="cs"/>
          <w:sz w:val="16"/>
          <w:szCs w:val="16"/>
          <w:rtl/>
        </w:rPr>
        <w:t>(גיטין מה:)</w:t>
      </w:r>
      <w:r w:rsidR="00A82951">
        <w:rPr>
          <w:rFonts w:cs="Arial" w:hint="cs"/>
          <w:rtl/>
        </w:rPr>
        <w:t>-</w:t>
      </w:r>
      <w:r>
        <w:rPr>
          <w:rFonts w:cs="Arial" w:hint="cs"/>
          <w:rtl/>
        </w:rPr>
        <w:t xml:space="preserve"> </w:t>
      </w:r>
      <w:r w:rsidRPr="00680068">
        <w:rPr>
          <w:rFonts w:cs="Arial"/>
          <w:rtl/>
        </w:rPr>
        <w:t xml:space="preserve">גט כריתות: בכך בשבת בכך וכך לירח פלוני בשנת כך וכך לבריאת עולם במניינא דרגילנא למימני ביה בדוכתא פלונית </w:t>
      </w:r>
      <w:r w:rsidRPr="00680068">
        <w:rPr>
          <w:rFonts w:cs="Arial"/>
          <w:b/>
          <w:bCs/>
          <w:rtl/>
        </w:rPr>
        <w:t>איך</w:t>
      </w:r>
      <w:r w:rsidRPr="00680068">
        <w:rPr>
          <w:rFonts w:cs="Arial"/>
          <w:rtl/>
        </w:rPr>
        <w:t xml:space="preserve"> אנא פלוני בר פלוני וכל שום דאית לי דממתא פלונית צביתי ברעות נפשי</w:t>
      </w:r>
      <w:r>
        <w:rPr>
          <w:rStyle w:val="a7"/>
          <w:rFonts w:cs="Arial"/>
          <w:rtl/>
        </w:rPr>
        <w:footnoteReference w:id="718"/>
      </w:r>
      <w:r>
        <w:rPr>
          <w:rFonts w:cs="Arial" w:hint="cs"/>
          <w:rtl/>
        </w:rPr>
        <w:t>...</w:t>
      </w:r>
      <w:r w:rsidRPr="00680068">
        <w:rPr>
          <w:rFonts w:cs="Arial"/>
          <w:rtl/>
        </w:rPr>
        <w:t xml:space="preserve"> </w:t>
      </w:r>
    </w:p>
    <w:p w14:paraId="4A6AFFEC" w14:textId="7778DDC5" w:rsidR="00FA2119" w:rsidRDefault="00FA2119" w:rsidP="00FA2119">
      <w:pPr>
        <w:pStyle w:val="ab"/>
        <w:numPr>
          <w:ilvl w:val="0"/>
          <w:numId w:val="15"/>
        </w:numPr>
        <w:rPr>
          <w:rtl/>
        </w:rPr>
      </w:pPr>
      <w:r>
        <w:rPr>
          <w:rFonts w:cs="Arial" w:hint="cs"/>
          <w:rtl/>
        </w:rPr>
        <w:lastRenderedPageBreak/>
        <w:t xml:space="preserve">רא"ש </w:t>
      </w:r>
      <w:r>
        <w:rPr>
          <w:rFonts w:cs="Arial" w:hint="cs"/>
          <w:sz w:val="16"/>
          <w:szCs w:val="16"/>
          <w:rtl/>
        </w:rPr>
        <w:t>(בסדר הגט, ובתשו' כלל מה סי' כט)</w:t>
      </w:r>
      <w:r w:rsidR="00A82951">
        <w:rPr>
          <w:rFonts w:cs="Arial" w:hint="cs"/>
          <w:rtl/>
        </w:rPr>
        <w:t>-</w:t>
      </w:r>
      <w:r>
        <w:rPr>
          <w:rFonts w:cs="Arial" w:hint="cs"/>
          <w:rtl/>
        </w:rPr>
        <w:t xml:space="preserve"> </w:t>
      </w:r>
      <w:r w:rsidRPr="00680068">
        <w:rPr>
          <w:rFonts w:cs="Arial"/>
          <w:rtl/>
        </w:rPr>
        <w:t>זה הוא נוסח הגט</w:t>
      </w:r>
      <w:r>
        <w:rPr>
          <w:rFonts w:cs="Arial" w:hint="cs"/>
          <w:rtl/>
        </w:rPr>
        <w:t>:</w:t>
      </w:r>
      <w:r w:rsidRPr="00680068">
        <w:rPr>
          <w:rFonts w:cs="Arial"/>
          <w:rtl/>
        </w:rPr>
        <w:t xml:space="preserve"> בכך וכך בשבת בכך וכך לירח פלוני שנת כך וכך לבריאת עולם למנין שאנו מונין בו כאן במתא פלוני דיתבא על נהר פלוני אנא פלוני בר פלוני דממתא פלוני דיתבא על נהר פלוני וכל שום אחרא וחניכא דאית לי ולאתרי צביתי ברעות נפשי</w:t>
      </w:r>
      <w:r>
        <w:rPr>
          <w:rFonts w:hint="cs"/>
          <w:rtl/>
        </w:rPr>
        <w:t>... כדת משה וישראל</w:t>
      </w:r>
      <w:r>
        <w:rPr>
          <w:rFonts w:hint="cs"/>
          <w:sz w:val="16"/>
          <w:szCs w:val="16"/>
          <w:rtl/>
        </w:rPr>
        <w:t xml:space="preserve"> {עד כאן נוסח הגט}</w:t>
      </w:r>
      <w:r>
        <w:rPr>
          <w:rFonts w:hint="cs"/>
          <w:rtl/>
        </w:rPr>
        <w:t xml:space="preserve">... </w:t>
      </w:r>
      <w:r w:rsidRPr="006C2FB4">
        <w:rPr>
          <w:rFonts w:cs="Arial"/>
          <w:rtl/>
        </w:rPr>
        <w:t xml:space="preserve">ראיתי בטופס נוסח הגט של רב אלפס ז"ל שכתב בו </w:t>
      </w:r>
      <w:r>
        <w:rPr>
          <w:rFonts w:cs="Arial" w:hint="cs"/>
          <w:rtl/>
        </w:rPr>
        <w:t>'</w:t>
      </w:r>
      <w:r w:rsidRPr="006C2FB4">
        <w:rPr>
          <w:rFonts w:cs="Arial"/>
          <w:b/>
          <w:bCs/>
          <w:rtl/>
        </w:rPr>
        <w:t>איך</w:t>
      </w:r>
      <w:r w:rsidRPr="006C2FB4">
        <w:rPr>
          <w:rFonts w:cs="Arial"/>
          <w:rtl/>
        </w:rPr>
        <w:t xml:space="preserve"> אנא פלוני</w:t>
      </w:r>
      <w:r w:rsidRPr="006C2FB4">
        <w:rPr>
          <w:rFonts w:cs="Arial" w:hint="cs"/>
          <w:rtl/>
        </w:rPr>
        <w:t>',</w:t>
      </w:r>
      <w:r w:rsidRPr="006C2FB4">
        <w:rPr>
          <w:rFonts w:cs="Arial"/>
          <w:rtl/>
        </w:rPr>
        <w:t xml:space="preserve"> וכן בשאר טופסי תיקון הגדולים</w:t>
      </w:r>
      <w:r w:rsidRPr="006C2FB4">
        <w:rPr>
          <w:rFonts w:cs="Arial" w:hint="cs"/>
          <w:rtl/>
        </w:rPr>
        <w:t>,</w:t>
      </w:r>
      <w:r w:rsidRPr="006C2FB4">
        <w:rPr>
          <w:rFonts w:cs="Arial"/>
          <w:rtl/>
        </w:rPr>
        <w:t xml:space="preserve"> ואינו נופל על הלשון</w:t>
      </w:r>
      <w:r w:rsidRPr="006C2FB4">
        <w:rPr>
          <w:rFonts w:cs="Arial" w:hint="cs"/>
          <w:rtl/>
        </w:rPr>
        <w:t>.</w:t>
      </w:r>
      <w:r w:rsidRPr="006C2FB4">
        <w:rPr>
          <w:rFonts w:cs="Arial"/>
          <w:rtl/>
        </w:rPr>
        <w:t xml:space="preserve"> דודאי בשטרות שכותבין העדים הדבר שנתקיים בפניהם שייך למכתב זכרון עדות איך נעשה זה הדבר בפנינו</w:t>
      </w:r>
      <w:r w:rsidRPr="006C2FB4">
        <w:rPr>
          <w:rFonts w:cs="Arial" w:hint="cs"/>
          <w:rtl/>
        </w:rPr>
        <w:t>,</w:t>
      </w:r>
      <w:r w:rsidRPr="006C2FB4">
        <w:rPr>
          <w:rFonts w:cs="Arial"/>
          <w:rtl/>
        </w:rPr>
        <w:t xml:space="preserve"> אבל לשון נוסח הגט הוא סיפור דברים שהבעל מספר שבזמן הזה הוא מגרש אשתו</w:t>
      </w:r>
      <w:r w:rsidRPr="006C2FB4">
        <w:rPr>
          <w:rFonts w:cs="Arial" w:hint="cs"/>
          <w:rtl/>
        </w:rPr>
        <w:t>,</w:t>
      </w:r>
      <w:r w:rsidRPr="006C2FB4">
        <w:rPr>
          <w:rFonts w:cs="Arial"/>
          <w:rtl/>
        </w:rPr>
        <w:t xml:space="preserve"> לא שייך למכתב </w:t>
      </w:r>
      <w:r w:rsidRPr="006C2FB4">
        <w:rPr>
          <w:rFonts w:cs="Arial" w:hint="cs"/>
          <w:rtl/>
        </w:rPr>
        <w:t>'</w:t>
      </w:r>
      <w:r w:rsidRPr="006C2FB4">
        <w:rPr>
          <w:rFonts w:cs="Arial"/>
          <w:rtl/>
        </w:rPr>
        <w:t>איך</w:t>
      </w:r>
      <w:r w:rsidRPr="006C2FB4">
        <w:rPr>
          <w:rFonts w:cs="Arial" w:hint="cs"/>
          <w:rtl/>
        </w:rPr>
        <w:t>'</w:t>
      </w:r>
      <w:r w:rsidRPr="006C2FB4">
        <w:rPr>
          <w:rFonts w:cs="Arial"/>
          <w:rtl/>
        </w:rPr>
        <w:t xml:space="preserve"> אלא </w:t>
      </w:r>
      <w:r w:rsidRPr="006C2FB4">
        <w:rPr>
          <w:rFonts w:cs="Arial" w:hint="cs"/>
          <w:rtl/>
        </w:rPr>
        <w:t>'</w:t>
      </w:r>
      <w:r w:rsidRPr="006C2FB4">
        <w:rPr>
          <w:rFonts w:cs="Arial"/>
          <w:rtl/>
        </w:rPr>
        <w:t>בזמן הזה אני פלוני מגרש את אשתי</w:t>
      </w:r>
      <w:r w:rsidRPr="006C2FB4">
        <w:rPr>
          <w:rFonts w:cs="Arial" w:hint="cs"/>
          <w:rtl/>
        </w:rPr>
        <w:t>'.</w:t>
      </w:r>
      <w:r w:rsidRPr="006C2FB4">
        <w:rPr>
          <w:rFonts w:cs="Arial"/>
          <w:rtl/>
        </w:rPr>
        <w:t xml:space="preserve"> הילכך טוב שלא לכתוב </w:t>
      </w:r>
      <w:r w:rsidRPr="006C2FB4">
        <w:rPr>
          <w:rFonts w:cs="Arial" w:hint="cs"/>
          <w:rtl/>
        </w:rPr>
        <w:t>'</w:t>
      </w:r>
      <w:r w:rsidRPr="006C2FB4">
        <w:rPr>
          <w:rFonts w:cs="Arial"/>
          <w:rtl/>
        </w:rPr>
        <w:t>איך</w:t>
      </w:r>
      <w:r w:rsidRPr="006C2FB4">
        <w:rPr>
          <w:rFonts w:cs="Arial" w:hint="cs"/>
          <w:rtl/>
        </w:rPr>
        <w:t>'</w:t>
      </w:r>
      <w:r>
        <w:rPr>
          <w:rStyle w:val="a7"/>
          <w:rFonts w:cs="Arial"/>
          <w:rtl/>
        </w:rPr>
        <w:footnoteReference w:id="719"/>
      </w:r>
      <w:r w:rsidRPr="006C2FB4">
        <w:rPr>
          <w:rFonts w:cs="Arial"/>
          <w:rtl/>
        </w:rPr>
        <w:t>.</w:t>
      </w:r>
      <w:r>
        <w:rPr>
          <w:rFonts w:cs="Arial" w:hint="cs"/>
          <w:rtl/>
        </w:rPr>
        <w:t>.</w:t>
      </w:r>
      <w:r w:rsidRPr="006C2FB4">
        <w:rPr>
          <w:rFonts w:cs="Arial"/>
          <w:rtl/>
        </w:rPr>
        <w:t xml:space="preserve">. ומה שנהגו לכתוב </w:t>
      </w:r>
      <w:r>
        <w:rPr>
          <w:rFonts w:cs="Arial" w:hint="cs"/>
          <w:rtl/>
        </w:rPr>
        <w:t>'</w:t>
      </w:r>
      <w:r w:rsidRPr="006C2FB4">
        <w:rPr>
          <w:rFonts w:cs="Arial"/>
          <w:rtl/>
        </w:rPr>
        <w:t>ולאתריהן דאבהתא</w:t>
      </w:r>
      <w:r>
        <w:rPr>
          <w:rFonts w:cs="Arial" w:hint="cs"/>
          <w:rtl/>
        </w:rPr>
        <w:t>',</w:t>
      </w:r>
      <w:r w:rsidRPr="006C2FB4">
        <w:rPr>
          <w:rFonts w:cs="Arial"/>
          <w:rtl/>
        </w:rPr>
        <w:t xml:space="preserve"> תמהתי למה נהגו לכתוב כן מאחר שאין מזכירין מקום דירת אביו ומקום דירת אבי האשה</w:t>
      </w:r>
      <w:r>
        <w:rPr>
          <w:rStyle w:val="a7"/>
          <w:rFonts w:cs="Arial"/>
          <w:rtl/>
        </w:rPr>
        <w:footnoteReference w:id="720"/>
      </w:r>
      <w:r w:rsidRPr="006C2FB4">
        <w:rPr>
          <w:rFonts w:cs="Arial"/>
          <w:rtl/>
        </w:rPr>
        <w:t xml:space="preserve"> </w:t>
      </w:r>
      <w:r w:rsidRPr="006C2FB4">
        <w:rPr>
          <w:rFonts w:cs="Arial" w:hint="cs"/>
          <w:sz w:val="16"/>
          <w:szCs w:val="16"/>
          <w:rtl/>
        </w:rPr>
        <w:t>(ל' הרא"ש</w:t>
      </w:r>
      <w:r>
        <w:rPr>
          <w:rFonts w:cs="Arial" w:hint="cs"/>
          <w:sz w:val="16"/>
          <w:szCs w:val="16"/>
          <w:rtl/>
        </w:rPr>
        <w:t xml:space="preserve"> בסדר הגט</w:t>
      </w:r>
      <w:r w:rsidRPr="006C2FB4">
        <w:rPr>
          <w:rFonts w:cs="Arial" w:hint="cs"/>
          <w:sz w:val="16"/>
          <w:szCs w:val="16"/>
          <w:rtl/>
        </w:rPr>
        <w:t>)</w:t>
      </w:r>
      <w:r>
        <w:rPr>
          <w:rFonts w:cs="Arial" w:hint="cs"/>
          <w:rtl/>
        </w:rPr>
        <w:t>.</w:t>
      </w:r>
      <w:r>
        <w:rPr>
          <w:rFonts w:hint="cs"/>
          <w:rtl/>
        </w:rPr>
        <w:t xml:space="preserve"> </w:t>
      </w:r>
      <w:r w:rsidRPr="00CF15E9">
        <w:rPr>
          <w:rFonts w:hint="cs"/>
          <w:color w:val="E36C0A" w:themeColor="accent6" w:themeShade="BF"/>
          <w:rtl/>
        </w:rPr>
        <w:t>(וכ"פ בשו"ע)</w:t>
      </w:r>
    </w:p>
    <w:p w14:paraId="05E8E4C4"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29CF97C" w14:textId="77777777" w:rsidR="00FA2119" w:rsidRDefault="00FA2119" w:rsidP="00FA2119">
      <w:pPr>
        <w:rPr>
          <w:rtl/>
        </w:rPr>
      </w:pPr>
      <w:r>
        <w:rPr>
          <w:rFonts w:cs="Arial" w:hint="cs"/>
          <w:rtl/>
        </w:rPr>
        <w:t>יש</w:t>
      </w:r>
      <w:r>
        <w:rPr>
          <w:rFonts w:cs="Arial"/>
          <w:rtl/>
        </w:rPr>
        <w:t xml:space="preserve"> </w:t>
      </w:r>
      <w:r>
        <w:rPr>
          <w:rFonts w:cs="Arial" w:hint="cs"/>
          <w:rtl/>
        </w:rPr>
        <w:t>נוסחי</w:t>
      </w:r>
      <w:r>
        <w:rPr>
          <w:rFonts w:cs="Arial"/>
          <w:rtl/>
        </w:rPr>
        <w:t xml:space="preserve"> </w:t>
      </w:r>
      <w:r>
        <w:rPr>
          <w:rFonts w:cs="Arial" w:hint="cs"/>
          <w:rtl/>
        </w:rPr>
        <w:t>גיטין</w:t>
      </w:r>
      <w:r>
        <w:rPr>
          <w:rFonts w:cs="Arial"/>
          <w:rtl/>
        </w:rPr>
        <w:t xml:space="preserve"> </w:t>
      </w:r>
      <w:r>
        <w:rPr>
          <w:rFonts w:cs="Arial" w:hint="cs"/>
          <w:rtl/>
        </w:rPr>
        <w:t>שכתוב</w:t>
      </w:r>
      <w:r>
        <w:rPr>
          <w:rFonts w:cs="Arial"/>
          <w:rtl/>
        </w:rPr>
        <w:t xml:space="preserve"> </w:t>
      </w:r>
      <w:r>
        <w:rPr>
          <w:rFonts w:cs="Arial" w:hint="cs"/>
          <w:rtl/>
        </w:rPr>
        <w:t>בהם</w:t>
      </w:r>
      <w:r>
        <w:rPr>
          <w:rFonts w:cs="Arial"/>
          <w:rtl/>
        </w:rPr>
        <w:t xml:space="preserve">: </w:t>
      </w:r>
      <w:r>
        <w:rPr>
          <w:rFonts w:cs="Arial" w:hint="cs"/>
          <w:rtl/>
        </w:rPr>
        <w:t>איך</w:t>
      </w:r>
      <w:r>
        <w:rPr>
          <w:rFonts w:cs="Arial"/>
          <w:rtl/>
        </w:rPr>
        <w:t xml:space="preserve"> </w:t>
      </w:r>
      <w:r>
        <w:rPr>
          <w:rFonts w:cs="Arial" w:hint="cs"/>
          <w:rtl/>
        </w:rPr>
        <w:t>אנא</w:t>
      </w:r>
      <w:r>
        <w:rPr>
          <w:rFonts w:cs="Arial"/>
          <w:rtl/>
        </w:rPr>
        <w:t xml:space="preserve"> </w:t>
      </w:r>
      <w:r>
        <w:rPr>
          <w:rFonts w:cs="Arial" w:hint="cs"/>
          <w:rtl/>
        </w:rPr>
        <w:t>פלוני</w:t>
      </w:r>
      <w:r>
        <w:rPr>
          <w:rFonts w:cs="Arial"/>
          <w:rtl/>
        </w:rPr>
        <w:t xml:space="preserve"> </w:t>
      </w:r>
      <w:r>
        <w:rPr>
          <w:rFonts w:cs="Arial" w:hint="cs"/>
          <w:rtl/>
        </w:rPr>
        <w:t>בן</w:t>
      </w:r>
      <w:r>
        <w:rPr>
          <w:rFonts w:cs="Arial"/>
          <w:rtl/>
        </w:rPr>
        <w:t xml:space="preserve"> </w:t>
      </w:r>
      <w:r>
        <w:rPr>
          <w:rFonts w:cs="Arial" w:hint="cs"/>
          <w:rtl/>
        </w:rPr>
        <w:t>פלוני</w:t>
      </w:r>
      <w:r>
        <w:rPr>
          <w:rFonts w:cs="Arial"/>
          <w:rtl/>
        </w:rPr>
        <w:t xml:space="preserve">, </w:t>
      </w:r>
      <w:r>
        <w:rPr>
          <w:rFonts w:cs="Arial" w:hint="cs"/>
          <w:rtl/>
        </w:rPr>
        <w:t>ואינו</w:t>
      </w:r>
      <w:r>
        <w:rPr>
          <w:rFonts w:cs="Arial"/>
          <w:rtl/>
        </w:rPr>
        <w:t xml:space="preserve"> </w:t>
      </w:r>
      <w:r>
        <w:rPr>
          <w:rFonts w:cs="Arial" w:hint="cs"/>
          <w:rtl/>
        </w:rPr>
        <w:t>מכוון</w:t>
      </w:r>
      <w:r>
        <w:rPr>
          <w:rFonts w:cs="Arial"/>
          <w:rtl/>
        </w:rPr>
        <w:t xml:space="preserve">, </w:t>
      </w:r>
      <w:r>
        <w:rPr>
          <w:rFonts w:cs="Arial" w:hint="cs"/>
          <w:rtl/>
        </w:rPr>
        <w:t>ויש</w:t>
      </w:r>
      <w:r>
        <w:rPr>
          <w:rFonts w:cs="Arial"/>
          <w:rtl/>
        </w:rPr>
        <w:t xml:space="preserve"> </w:t>
      </w:r>
      <w:r>
        <w:rPr>
          <w:rFonts w:cs="Arial" w:hint="cs"/>
          <w:rtl/>
        </w:rPr>
        <w:t>ליזהר</w:t>
      </w:r>
      <w:r>
        <w:rPr>
          <w:rStyle w:val="a7"/>
          <w:rFonts w:cs="Arial"/>
          <w:rtl/>
        </w:rPr>
        <w:footnoteReference w:id="721"/>
      </w:r>
      <w:r>
        <w:rPr>
          <w:rFonts w:cs="Arial"/>
          <w:rtl/>
        </w:rPr>
        <w:t xml:space="preserve"> </w:t>
      </w:r>
      <w:r>
        <w:rPr>
          <w:rFonts w:cs="Arial" w:hint="cs"/>
          <w:rtl/>
        </w:rPr>
        <w:t>מלכתוב</w:t>
      </w:r>
      <w:r>
        <w:rPr>
          <w:rFonts w:cs="Arial"/>
          <w:rtl/>
        </w:rPr>
        <w:t xml:space="preserve"> </w:t>
      </w:r>
      <w:r>
        <w:rPr>
          <w:rFonts w:cs="Arial" w:hint="cs"/>
          <w:rtl/>
        </w:rPr>
        <w:t>תיבת</w:t>
      </w:r>
      <w:r>
        <w:rPr>
          <w:rFonts w:cs="Arial"/>
          <w:rtl/>
        </w:rPr>
        <w:t xml:space="preserve"> </w:t>
      </w:r>
      <w:r>
        <w:rPr>
          <w:rFonts w:cs="Arial" w:hint="cs"/>
          <w:rtl/>
        </w:rPr>
        <w:t>איך</w:t>
      </w:r>
      <w:r>
        <w:rPr>
          <w:rStyle w:val="a7"/>
          <w:rFonts w:cs="Arial"/>
          <w:rtl/>
        </w:rPr>
        <w:footnoteReference w:id="722"/>
      </w:r>
      <w:r>
        <w:rPr>
          <w:rFonts w:cs="Arial"/>
          <w:rtl/>
        </w:rPr>
        <w:t xml:space="preserve">. </w:t>
      </w:r>
      <w:r>
        <w:rPr>
          <w:rFonts w:cs="Arial" w:hint="cs"/>
          <w:rtl/>
        </w:rPr>
        <w:t>וכן</w:t>
      </w:r>
      <w:r>
        <w:rPr>
          <w:rFonts w:cs="Arial"/>
          <w:rtl/>
        </w:rPr>
        <w:t xml:space="preserve"> </w:t>
      </w:r>
      <w:r>
        <w:rPr>
          <w:rFonts w:cs="Arial" w:hint="cs"/>
          <w:rtl/>
        </w:rPr>
        <w:t>יש</w:t>
      </w:r>
      <w:r>
        <w:rPr>
          <w:rFonts w:cs="Arial"/>
          <w:rtl/>
        </w:rPr>
        <w:t xml:space="preserve"> </w:t>
      </w:r>
      <w:r>
        <w:rPr>
          <w:rFonts w:cs="Arial" w:hint="cs"/>
          <w:rtl/>
        </w:rPr>
        <w:t>נוסחאות</w:t>
      </w:r>
      <w:r>
        <w:rPr>
          <w:rFonts w:cs="Arial"/>
          <w:rtl/>
        </w:rPr>
        <w:t xml:space="preserve"> </w:t>
      </w:r>
      <w:r>
        <w:rPr>
          <w:rFonts w:cs="Arial" w:hint="cs"/>
          <w:rtl/>
        </w:rPr>
        <w:t>שכתוב</w:t>
      </w:r>
      <w:r>
        <w:rPr>
          <w:rFonts w:cs="Arial"/>
          <w:rtl/>
        </w:rPr>
        <w:t xml:space="preserve"> </w:t>
      </w:r>
      <w:r>
        <w:rPr>
          <w:rFonts w:cs="Arial" w:hint="cs"/>
          <w:rtl/>
        </w:rPr>
        <w:t>בהם</w:t>
      </w:r>
      <w:r>
        <w:rPr>
          <w:rFonts w:cs="Arial"/>
          <w:rtl/>
        </w:rPr>
        <w:t xml:space="preserve">: </w:t>
      </w:r>
      <w:r>
        <w:rPr>
          <w:rFonts w:cs="Arial" w:hint="cs"/>
          <w:rtl/>
        </w:rPr>
        <w:t>ולאתריהון</w:t>
      </w:r>
      <w:r>
        <w:rPr>
          <w:rFonts w:cs="Arial"/>
          <w:rtl/>
        </w:rPr>
        <w:t xml:space="preserve"> </w:t>
      </w:r>
      <w:r>
        <w:rPr>
          <w:rFonts w:cs="Arial" w:hint="cs"/>
          <w:rtl/>
        </w:rPr>
        <w:t>דאבהתיכו</w:t>
      </w:r>
      <w:r>
        <w:rPr>
          <w:rFonts w:cs="Arial"/>
          <w:rtl/>
        </w:rPr>
        <w:t xml:space="preserve">, </w:t>
      </w:r>
      <w:r>
        <w:rPr>
          <w:rFonts w:cs="Arial" w:hint="cs"/>
          <w:rtl/>
        </w:rPr>
        <w:t>ויש</w:t>
      </w:r>
      <w:r>
        <w:rPr>
          <w:rFonts w:cs="Arial"/>
          <w:rtl/>
        </w:rPr>
        <w:t xml:space="preserve"> </w:t>
      </w:r>
      <w:r>
        <w:rPr>
          <w:rFonts w:cs="Arial" w:hint="cs"/>
          <w:rtl/>
        </w:rPr>
        <w:t>ליזהר</w:t>
      </w:r>
      <w:r>
        <w:rPr>
          <w:rFonts w:cs="Arial"/>
          <w:rtl/>
        </w:rPr>
        <w:t xml:space="preserve"> </w:t>
      </w:r>
      <w:r>
        <w:rPr>
          <w:rFonts w:cs="Arial" w:hint="cs"/>
          <w:rtl/>
        </w:rPr>
        <w:t>מלכותבם</w:t>
      </w:r>
      <w:r>
        <w:rPr>
          <w:rFonts w:cs="Arial"/>
          <w:rtl/>
        </w:rPr>
        <w:t xml:space="preserve">. </w:t>
      </w:r>
    </w:p>
    <w:p w14:paraId="6B1BF26B" w14:textId="77777777" w:rsidR="00FA2119" w:rsidRPr="005A41EF" w:rsidRDefault="00FA2119" w:rsidP="00FA2119">
      <w:pPr>
        <w:rPr>
          <w:sz w:val="16"/>
          <w:szCs w:val="16"/>
          <w:rtl/>
        </w:rPr>
      </w:pPr>
      <w:r w:rsidRPr="005A41EF">
        <w:rPr>
          <w:rFonts w:hint="cs"/>
          <w:u w:val="single"/>
          <w:rtl/>
        </w:rPr>
        <w:t>גט שנכתב כולו בלשון הודאה ולא בלשון סיפור דברים:</w:t>
      </w:r>
      <w:r>
        <w:rPr>
          <w:rFonts w:hint="cs"/>
          <w:sz w:val="16"/>
          <w:szCs w:val="16"/>
          <w:rtl/>
        </w:rPr>
        <w:t xml:space="preserve"> (פת"ש סקי"ד)</w:t>
      </w:r>
    </w:p>
    <w:p w14:paraId="2A2FF40D" w14:textId="76D3AE8D" w:rsidR="00FA2119" w:rsidRDefault="00FA2119" w:rsidP="00FA2119">
      <w:pPr>
        <w:pStyle w:val="ab"/>
        <w:numPr>
          <w:ilvl w:val="0"/>
          <w:numId w:val="52"/>
        </w:numPr>
        <w:rPr>
          <w:rtl/>
        </w:rPr>
      </w:pPr>
      <w:r w:rsidRPr="005A41EF">
        <w:rPr>
          <w:rFonts w:cs="Arial"/>
          <w:rtl/>
        </w:rPr>
        <w:t xml:space="preserve">רדב"ז </w:t>
      </w:r>
      <w:r w:rsidRPr="005A41EF">
        <w:rPr>
          <w:rFonts w:cs="Arial" w:hint="cs"/>
          <w:sz w:val="16"/>
          <w:szCs w:val="16"/>
          <w:rtl/>
        </w:rPr>
        <w:t>(</w:t>
      </w:r>
      <w:r w:rsidRPr="005A41EF">
        <w:rPr>
          <w:rFonts w:cs="Arial"/>
          <w:sz w:val="16"/>
          <w:szCs w:val="16"/>
          <w:rtl/>
        </w:rPr>
        <w:t>סי</w:t>
      </w:r>
      <w:r w:rsidRPr="005A41EF">
        <w:rPr>
          <w:rFonts w:cs="Arial" w:hint="cs"/>
          <w:sz w:val="16"/>
          <w:szCs w:val="16"/>
          <w:rtl/>
        </w:rPr>
        <w:t>'</w:t>
      </w:r>
      <w:r w:rsidRPr="005A41EF">
        <w:rPr>
          <w:rFonts w:cs="Arial"/>
          <w:sz w:val="16"/>
          <w:szCs w:val="16"/>
          <w:rtl/>
        </w:rPr>
        <w:t xml:space="preserve"> רכב</w:t>
      </w:r>
      <w:r w:rsidRPr="005A41EF">
        <w:rPr>
          <w:rFonts w:cs="Arial" w:hint="cs"/>
          <w:sz w:val="16"/>
          <w:szCs w:val="16"/>
          <w:rtl/>
        </w:rPr>
        <w:t>)</w:t>
      </w:r>
      <w:r w:rsidR="00A82951">
        <w:rPr>
          <w:rFonts w:cs="Arial" w:hint="cs"/>
          <w:rtl/>
        </w:rPr>
        <w:t>-</w:t>
      </w:r>
      <w:r w:rsidRPr="005A41EF">
        <w:rPr>
          <w:rFonts w:cs="Arial"/>
          <w:rtl/>
        </w:rPr>
        <w:t xml:space="preserve"> גט שכתוב בל' עדים</w:t>
      </w:r>
      <w:r>
        <w:rPr>
          <w:rFonts w:cs="Arial" w:hint="cs"/>
          <w:rtl/>
        </w:rPr>
        <w:t>,</w:t>
      </w:r>
      <w:r w:rsidRPr="005A41EF">
        <w:rPr>
          <w:rFonts w:cs="Arial"/>
          <w:rtl/>
        </w:rPr>
        <w:t xml:space="preserve"> בפנינו עדים פלוני פטר ותריך ית פלונית וכך אמר לה אנא פ' כו' כל' הגט</w:t>
      </w:r>
      <w:r>
        <w:rPr>
          <w:rFonts w:cs="Arial" w:hint="cs"/>
          <w:rtl/>
        </w:rPr>
        <w:t>,</w:t>
      </w:r>
      <w:r w:rsidRPr="005A41EF">
        <w:rPr>
          <w:rFonts w:cs="Arial"/>
          <w:rtl/>
        </w:rPr>
        <w:t xml:space="preserve"> וחתימי סהדי</w:t>
      </w:r>
      <w:r>
        <w:rPr>
          <w:rFonts w:cs="Arial" w:hint="cs"/>
          <w:rtl/>
        </w:rPr>
        <w:t>,</w:t>
      </w:r>
      <w:r w:rsidRPr="005A41EF">
        <w:rPr>
          <w:rFonts w:cs="Arial"/>
          <w:rtl/>
        </w:rPr>
        <w:t xml:space="preserve"> ויהבי' ניהלה</w:t>
      </w:r>
      <w:r>
        <w:rPr>
          <w:rFonts w:cs="Arial" w:hint="cs"/>
          <w:rtl/>
        </w:rPr>
        <w:t>,</w:t>
      </w:r>
      <w:r w:rsidRPr="005A41EF">
        <w:rPr>
          <w:rFonts w:cs="Arial"/>
          <w:rtl/>
        </w:rPr>
        <w:t xml:space="preserve"> אי מתגרשת בהאי גיטא או לא</w:t>
      </w:r>
      <w:r>
        <w:rPr>
          <w:rFonts w:cs="Arial" w:hint="cs"/>
          <w:rtl/>
        </w:rPr>
        <w:t>.</w:t>
      </w:r>
      <w:r w:rsidRPr="005A41EF">
        <w:rPr>
          <w:rFonts w:cs="Arial"/>
          <w:rtl/>
        </w:rPr>
        <w:t xml:space="preserve"> או כגון שכתב אנא פ' פטרית ית פ</w:t>
      </w:r>
      <w:r>
        <w:rPr>
          <w:rFonts w:cs="Arial" w:hint="cs"/>
          <w:rtl/>
        </w:rPr>
        <w:t>לונית</w:t>
      </w:r>
      <w:r w:rsidRPr="005A41EF">
        <w:rPr>
          <w:rFonts w:cs="Arial"/>
          <w:rtl/>
        </w:rPr>
        <w:t xml:space="preserve"> כו' וכל הגט כתוב שלא לנוכח</w:t>
      </w:r>
      <w:r>
        <w:rPr>
          <w:rFonts w:cs="Arial" w:hint="cs"/>
          <w:rtl/>
        </w:rPr>
        <w:t>,</w:t>
      </w:r>
      <w:r w:rsidRPr="005A41EF">
        <w:rPr>
          <w:rFonts w:cs="Arial"/>
          <w:rtl/>
        </w:rPr>
        <w:t xml:space="preserve"> בלשון הודאה לפני עדים שעשה כך וכך וחתימי סהדי ויהבי' ניהלה</w:t>
      </w:r>
      <w:r>
        <w:rPr>
          <w:rFonts w:cs="Arial" w:hint="cs"/>
          <w:rtl/>
        </w:rPr>
        <w:t>,</w:t>
      </w:r>
      <w:r w:rsidRPr="005A41EF">
        <w:rPr>
          <w:rFonts w:cs="Arial"/>
          <w:rtl/>
        </w:rPr>
        <w:t xml:space="preserve"> אי הוי גט או לא.</w:t>
      </w:r>
      <w:r>
        <w:rPr>
          <w:rFonts w:cs="Arial" w:hint="cs"/>
          <w:rtl/>
        </w:rPr>
        <w:t>..</w:t>
      </w:r>
      <w:r w:rsidRPr="005A41EF">
        <w:rPr>
          <w:rFonts w:cs="Arial"/>
          <w:rtl/>
        </w:rPr>
        <w:t xml:space="preserve"> גט הכתוב בלשון עדים או בלשון הודאה שלא לנוכח </w:t>
      </w:r>
      <w:r w:rsidR="00A82951">
        <w:rPr>
          <w:rFonts w:cs="Arial" w:hint="cs"/>
          <w:rtl/>
        </w:rPr>
        <w:t>-</w:t>
      </w:r>
      <w:r>
        <w:rPr>
          <w:rFonts w:cs="Arial" w:hint="cs"/>
          <w:rtl/>
        </w:rPr>
        <w:t xml:space="preserve"> </w:t>
      </w:r>
      <w:r w:rsidRPr="005A41EF">
        <w:rPr>
          <w:rFonts w:cs="Arial"/>
          <w:rtl/>
        </w:rPr>
        <w:t>לא הוי גיטא</w:t>
      </w:r>
      <w:r>
        <w:rPr>
          <w:rStyle w:val="a7"/>
          <w:rFonts w:cs="Arial"/>
          <w:rtl/>
        </w:rPr>
        <w:footnoteReference w:id="723"/>
      </w:r>
      <w:r>
        <w:rPr>
          <w:rFonts w:cs="Arial" w:hint="cs"/>
          <w:sz w:val="16"/>
          <w:szCs w:val="16"/>
          <w:rtl/>
        </w:rPr>
        <w:t xml:space="preserve"> (ל' ג"פ בשם הרדב"ז)</w:t>
      </w:r>
      <w:r>
        <w:rPr>
          <w:rFonts w:cs="Arial" w:hint="cs"/>
          <w:rtl/>
        </w:rPr>
        <w:t>.</w:t>
      </w:r>
      <w:r w:rsidRPr="005A41EF">
        <w:rPr>
          <w:rFonts w:cs="Arial"/>
          <w:rtl/>
        </w:rPr>
        <w:t xml:space="preserve"> </w:t>
      </w:r>
    </w:p>
    <w:p w14:paraId="0CB24FE5" w14:textId="77777777" w:rsidR="00FA2119" w:rsidRDefault="00FA2119" w:rsidP="00FA2119">
      <w:pPr>
        <w:rPr>
          <w:rtl/>
        </w:rPr>
      </w:pPr>
    </w:p>
    <w:p w14:paraId="2FAFCE5F" w14:textId="77777777" w:rsidR="00FA2119" w:rsidRDefault="00FA2119" w:rsidP="00FA2119">
      <w:pPr>
        <w:pStyle w:val="2"/>
        <w:rPr>
          <w:rtl/>
        </w:rPr>
      </w:pPr>
      <w:r>
        <w:rPr>
          <w:rFonts w:hint="cs"/>
          <w:rtl/>
        </w:rPr>
        <w:t>סעיף</w:t>
      </w:r>
      <w:r>
        <w:rPr>
          <w:rtl/>
        </w:rPr>
        <w:t xml:space="preserve"> </w:t>
      </w:r>
      <w:r>
        <w:rPr>
          <w:rFonts w:hint="cs"/>
          <w:rtl/>
        </w:rPr>
        <w:t>ט: ודן, ואגרת.</w:t>
      </w:r>
    </w:p>
    <w:p w14:paraId="068CE59C" w14:textId="77777777" w:rsidR="00FA2119" w:rsidRPr="00CC6A56" w:rsidRDefault="00FA2119" w:rsidP="00FA2119">
      <w:pPr>
        <w:rPr>
          <w:rFonts w:cs="Arial"/>
          <w:rtl/>
        </w:rPr>
      </w:pPr>
      <w:r w:rsidRPr="00AF1871">
        <w:rPr>
          <w:rFonts w:cs="Arial" w:hint="cs"/>
          <w:b/>
          <w:bCs/>
          <w:rtl/>
        </w:rPr>
        <w:t xml:space="preserve">גיטין </w:t>
      </w:r>
      <w:r w:rsidRPr="00AF1871">
        <w:rPr>
          <w:rFonts w:cs="Arial" w:hint="cs"/>
          <w:b/>
          <w:bCs/>
          <w:sz w:val="16"/>
          <w:szCs w:val="16"/>
          <w:rtl/>
        </w:rPr>
        <w:t>(</w:t>
      </w:r>
      <w:r>
        <w:rPr>
          <w:rFonts w:cs="Arial" w:hint="cs"/>
          <w:b/>
          <w:bCs/>
          <w:sz w:val="16"/>
          <w:szCs w:val="16"/>
          <w:rtl/>
        </w:rPr>
        <w:t xml:space="preserve">פ' </w:t>
      </w:r>
      <w:r w:rsidRPr="00AF1871">
        <w:rPr>
          <w:rFonts w:cs="Arial" w:hint="cs"/>
          <w:b/>
          <w:bCs/>
          <w:sz w:val="16"/>
          <w:szCs w:val="16"/>
          <w:rtl/>
        </w:rPr>
        <w:t>המגרש)</w:t>
      </w:r>
      <w:r w:rsidRPr="00AF1871">
        <w:rPr>
          <w:rFonts w:cs="Arial" w:hint="cs"/>
          <w:b/>
          <w:bCs/>
          <w:rtl/>
        </w:rPr>
        <w:t xml:space="preserve"> פה ע"ב:</w:t>
      </w:r>
      <w:r>
        <w:rPr>
          <w:rFonts w:cs="Arial" w:hint="cs"/>
          <w:rtl/>
        </w:rPr>
        <w:t xml:space="preserve"> </w:t>
      </w:r>
      <w:r w:rsidRPr="00D33273">
        <w:rPr>
          <w:rFonts w:cs="Arial"/>
          <w:u w:val="single"/>
          <w:rtl/>
        </w:rPr>
        <w:t>אמר אביי</w:t>
      </w:r>
      <w:r w:rsidRPr="00D33273">
        <w:rPr>
          <w:rFonts w:cs="Arial"/>
          <w:rtl/>
        </w:rPr>
        <w:t>: האי מאן דכתב גיטא, לא לכתוב ודין</w:t>
      </w:r>
      <w:r>
        <w:rPr>
          <w:rFonts w:cs="Arial" w:hint="cs"/>
          <w:rtl/>
        </w:rPr>
        <w:t>,</w:t>
      </w:r>
      <w:r w:rsidRPr="00D33273">
        <w:rPr>
          <w:rFonts w:cs="Arial"/>
          <w:rtl/>
        </w:rPr>
        <w:t xml:space="preserve"> דמשמע ודין</w:t>
      </w:r>
      <w:r>
        <w:rPr>
          <w:rStyle w:val="a7"/>
          <w:rFonts w:cs="Arial"/>
          <w:rtl/>
        </w:rPr>
        <w:footnoteReference w:id="724"/>
      </w:r>
      <w:r>
        <w:rPr>
          <w:rFonts w:cs="Arial" w:hint="cs"/>
          <w:rtl/>
        </w:rPr>
        <w:t>,</w:t>
      </w:r>
      <w:r w:rsidRPr="00D33273">
        <w:rPr>
          <w:rFonts w:cs="Arial"/>
          <w:rtl/>
        </w:rPr>
        <w:t xml:space="preserve"> אלא ודן</w:t>
      </w:r>
      <w:r>
        <w:rPr>
          <w:rFonts w:cs="Arial" w:hint="cs"/>
          <w:rtl/>
        </w:rPr>
        <w:t>.</w:t>
      </w:r>
      <w:r w:rsidRPr="00D33273">
        <w:rPr>
          <w:rFonts w:cs="Arial"/>
          <w:rtl/>
        </w:rPr>
        <w:t xml:space="preserve"> ולא לכתוב איגרת</w:t>
      </w:r>
      <w:r>
        <w:rPr>
          <w:rFonts w:cs="Arial" w:hint="cs"/>
          <w:rtl/>
        </w:rPr>
        <w:t>,</w:t>
      </w:r>
      <w:r w:rsidRPr="00D33273">
        <w:rPr>
          <w:rFonts w:cs="Arial"/>
          <w:rtl/>
        </w:rPr>
        <w:t xml:space="preserve"> דמשמע איגרת</w:t>
      </w:r>
      <w:r>
        <w:rPr>
          <w:rStyle w:val="a7"/>
          <w:rFonts w:cs="Arial"/>
          <w:rtl/>
        </w:rPr>
        <w:footnoteReference w:id="725"/>
      </w:r>
      <w:r>
        <w:rPr>
          <w:rFonts w:cs="Arial" w:hint="cs"/>
          <w:rtl/>
        </w:rPr>
        <w:t>,</w:t>
      </w:r>
      <w:r w:rsidRPr="00D33273">
        <w:rPr>
          <w:rFonts w:cs="Arial"/>
          <w:rtl/>
        </w:rPr>
        <w:t xml:space="preserve"> אלא אגרת</w:t>
      </w:r>
      <w:r>
        <w:rPr>
          <w:rFonts w:hint="cs"/>
          <w:rtl/>
        </w:rPr>
        <w:t>.</w:t>
      </w:r>
    </w:p>
    <w:p w14:paraId="66515601" w14:textId="77777777" w:rsidR="00FA2119" w:rsidRPr="00D33273" w:rsidRDefault="00FA2119" w:rsidP="00FA2119">
      <w:pPr>
        <w:rPr>
          <w:u w:val="single"/>
          <w:rtl/>
        </w:rPr>
      </w:pPr>
      <w:r>
        <w:rPr>
          <w:rFonts w:hint="cs"/>
          <w:u w:val="single"/>
          <w:rtl/>
        </w:rPr>
        <w:t xml:space="preserve">כיצד כותבים בגט </w:t>
      </w:r>
      <w:r w:rsidRPr="00CF15E9">
        <w:rPr>
          <w:rFonts w:hint="cs"/>
          <w:u w:val="single"/>
          <w:rtl/>
        </w:rPr>
        <w:t>'</w:t>
      </w:r>
      <w:r>
        <w:rPr>
          <w:rFonts w:hint="cs"/>
          <w:u w:val="single"/>
          <w:rtl/>
        </w:rPr>
        <w:t>ודין' או 'ודן', ואיגרת' או 'ואגרת'</w:t>
      </w:r>
      <w:r w:rsidRPr="00CF15E9">
        <w:rPr>
          <w:rFonts w:hint="cs"/>
          <w:u w:val="single"/>
          <w:rtl/>
        </w:rPr>
        <w:t>:</w:t>
      </w:r>
    </w:p>
    <w:p w14:paraId="595D5761" w14:textId="6B7A94B5" w:rsidR="00FA2119" w:rsidRPr="00CC6A56" w:rsidRDefault="00FA2119" w:rsidP="00FA2119">
      <w:pPr>
        <w:pStyle w:val="ab"/>
        <w:numPr>
          <w:ilvl w:val="0"/>
          <w:numId w:val="15"/>
        </w:numPr>
        <w:rPr>
          <w:rFonts w:cs="Arial"/>
          <w:rtl/>
        </w:rPr>
      </w:pPr>
      <w:r w:rsidRPr="00967D9E">
        <w:rPr>
          <w:rFonts w:cs="Arial" w:hint="cs"/>
          <w:rtl/>
        </w:rPr>
        <w:t>טור</w:t>
      </w:r>
      <w:r w:rsidR="00A82951">
        <w:rPr>
          <w:rFonts w:cs="Arial" w:hint="cs"/>
          <w:rtl/>
        </w:rPr>
        <w:t>-</w:t>
      </w:r>
      <w:r w:rsidRPr="00967D9E">
        <w:rPr>
          <w:rFonts w:cs="Arial" w:hint="cs"/>
          <w:rtl/>
        </w:rPr>
        <w:t xml:space="preserve"> </w:t>
      </w:r>
      <w:r>
        <w:rPr>
          <w:rFonts w:cs="Arial" w:hint="cs"/>
          <w:rtl/>
        </w:rPr>
        <w:t xml:space="preserve">ולא יכתוב </w:t>
      </w:r>
      <w:r w:rsidRPr="00967D9E">
        <w:rPr>
          <w:rFonts w:cs="Arial"/>
          <w:rtl/>
        </w:rPr>
        <w:t>ודין מלא</w:t>
      </w:r>
      <w:r>
        <w:rPr>
          <w:rFonts w:cs="Arial" w:hint="cs"/>
          <w:rtl/>
        </w:rPr>
        <w:t>,</w:t>
      </w:r>
      <w:r w:rsidRPr="00967D9E">
        <w:rPr>
          <w:rFonts w:cs="Arial"/>
          <w:rtl/>
        </w:rPr>
        <w:t xml:space="preserve"> אלא חסר יוד</w:t>
      </w:r>
      <w:r>
        <w:rPr>
          <w:rFonts w:cs="Arial" w:hint="cs"/>
          <w:rtl/>
        </w:rPr>
        <w:t>.</w:t>
      </w:r>
      <w:r w:rsidRPr="00967D9E">
        <w:rPr>
          <w:rFonts w:cs="Arial"/>
          <w:rtl/>
        </w:rPr>
        <w:t xml:space="preserve"> ולא יכתוב ואיגרת מלא יוד</w:t>
      </w:r>
      <w:r>
        <w:rPr>
          <w:rFonts w:cs="Arial" w:hint="cs"/>
          <w:rtl/>
        </w:rPr>
        <w:t>,</w:t>
      </w:r>
      <w:r w:rsidRPr="00967D9E">
        <w:rPr>
          <w:rFonts w:cs="Arial"/>
          <w:rtl/>
        </w:rPr>
        <w:t xml:space="preserve"> אלא ואגרת</w:t>
      </w:r>
      <w:r>
        <w:rPr>
          <w:rFonts w:cs="Arial" w:hint="cs"/>
          <w:rtl/>
        </w:rPr>
        <w:t>.</w:t>
      </w:r>
      <w:r w:rsidRPr="00967D9E">
        <w:rPr>
          <w:rFonts w:cs="Arial"/>
          <w:rtl/>
        </w:rPr>
        <w:t xml:space="preserve"> </w:t>
      </w:r>
      <w:r w:rsidRPr="00CF15E9">
        <w:rPr>
          <w:rFonts w:hint="cs"/>
          <w:color w:val="E36C0A" w:themeColor="accent6" w:themeShade="BF"/>
          <w:rtl/>
        </w:rPr>
        <w:t>(וכ"פ בשו"ע)</w:t>
      </w:r>
    </w:p>
    <w:p w14:paraId="6CEDF71B"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02DC2F8" w14:textId="77777777" w:rsidR="00FA2119" w:rsidRDefault="00FA2119" w:rsidP="00FA2119">
      <w:pPr>
        <w:rPr>
          <w:rtl/>
        </w:rPr>
      </w:pPr>
      <w:r>
        <w:rPr>
          <w:rFonts w:cs="Arial" w:hint="cs"/>
          <w:rtl/>
        </w:rPr>
        <w:lastRenderedPageBreak/>
        <w:t>לא</w:t>
      </w:r>
      <w:r>
        <w:rPr>
          <w:rFonts w:cs="Arial"/>
          <w:rtl/>
        </w:rPr>
        <w:t xml:space="preserve"> </w:t>
      </w:r>
      <w:r>
        <w:rPr>
          <w:rFonts w:cs="Arial" w:hint="cs"/>
          <w:rtl/>
        </w:rPr>
        <w:t>יכתוב</w:t>
      </w:r>
      <w:r>
        <w:rPr>
          <w:rFonts w:cs="Arial"/>
          <w:rtl/>
        </w:rPr>
        <w:t xml:space="preserve">: </w:t>
      </w:r>
      <w:r>
        <w:rPr>
          <w:rFonts w:cs="Arial" w:hint="cs"/>
          <w:rtl/>
        </w:rPr>
        <w:t>ודין</w:t>
      </w:r>
      <w:r>
        <w:rPr>
          <w:rFonts w:cs="Arial"/>
          <w:rtl/>
        </w:rPr>
        <w:t xml:space="preserve">, </w:t>
      </w:r>
      <w:r>
        <w:rPr>
          <w:rFonts w:cs="Arial" w:hint="cs"/>
          <w:rtl/>
        </w:rPr>
        <w:t>מלא</w:t>
      </w:r>
      <w:r>
        <w:rPr>
          <w:rFonts w:cs="Arial"/>
          <w:rtl/>
        </w:rPr>
        <w:t xml:space="preserve">, </w:t>
      </w:r>
      <w:r>
        <w:rPr>
          <w:rFonts w:cs="Arial" w:hint="cs"/>
          <w:rtl/>
        </w:rPr>
        <w:t>אלא</w:t>
      </w:r>
      <w:r>
        <w:rPr>
          <w:rFonts w:cs="Arial"/>
          <w:rtl/>
        </w:rPr>
        <w:t xml:space="preserve"> </w:t>
      </w:r>
      <w:r>
        <w:rPr>
          <w:rFonts w:cs="Arial" w:hint="cs"/>
          <w:rtl/>
        </w:rPr>
        <w:t>חסר</w:t>
      </w:r>
      <w:r>
        <w:rPr>
          <w:rFonts w:cs="Arial"/>
          <w:rtl/>
        </w:rPr>
        <w:t xml:space="preserve"> </w:t>
      </w:r>
      <w:r>
        <w:rPr>
          <w:rFonts w:cs="Arial" w:hint="cs"/>
          <w:rtl/>
        </w:rPr>
        <w:t>יו</w:t>
      </w:r>
      <w:r>
        <w:rPr>
          <w:rFonts w:cs="Arial"/>
          <w:rtl/>
        </w:rPr>
        <w:t>"</w:t>
      </w:r>
      <w:r>
        <w:rPr>
          <w:rFonts w:cs="Arial" w:hint="cs"/>
          <w:rtl/>
        </w:rPr>
        <w:t>ד</w:t>
      </w:r>
      <w:r>
        <w:rPr>
          <w:rStyle w:val="a7"/>
          <w:rFonts w:cs="Arial"/>
          <w:rtl/>
        </w:rPr>
        <w:footnoteReference w:id="726"/>
      </w:r>
      <w:r>
        <w:rPr>
          <w:rFonts w:cs="Arial"/>
          <w:rtl/>
        </w:rPr>
        <w:t xml:space="preserve">. </w:t>
      </w:r>
      <w:r>
        <w:rPr>
          <w:rFonts w:cs="Arial" w:hint="cs"/>
          <w:rtl/>
        </w:rPr>
        <w:t>ולא</w:t>
      </w:r>
      <w:r>
        <w:rPr>
          <w:rFonts w:cs="Arial"/>
          <w:rtl/>
        </w:rPr>
        <w:t xml:space="preserve"> </w:t>
      </w:r>
      <w:r>
        <w:rPr>
          <w:rFonts w:cs="Arial" w:hint="cs"/>
          <w:rtl/>
        </w:rPr>
        <w:t>יכתוב</w:t>
      </w:r>
      <w:r>
        <w:rPr>
          <w:rFonts w:cs="Arial"/>
          <w:rtl/>
        </w:rPr>
        <w:t xml:space="preserve">: </w:t>
      </w:r>
      <w:r>
        <w:rPr>
          <w:rFonts w:cs="Arial" w:hint="cs"/>
          <w:rtl/>
        </w:rPr>
        <w:t>ואיגרת</w:t>
      </w:r>
      <w:r>
        <w:rPr>
          <w:rStyle w:val="a7"/>
          <w:rFonts w:cs="Arial"/>
          <w:rtl/>
        </w:rPr>
        <w:footnoteReference w:id="727"/>
      </w:r>
      <w:r>
        <w:rPr>
          <w:rFonts w:cs="Arial"/>
          <w:rtl/>
        </w:rPr>
        <w:t xml:space="preserve">, </w:t>
      </w:r>
      <w:r>
        <w:rPr>
          <w:rFonts w:cs="Arial" w:hint="cs"/>
          <w:rtl/>
        </w:rPr>
        <w:t>מלא</w:t>
      </w:r>
      <w:r>
        <w:rPr>
          <w:rFonts w:cs="Arial"/>
          <w:rtl/>
        </w:rPr>
        <w:t xml:space="preserve"> </w:t>
      </w:r>
      <w:r>
        <w:rPr>
          <w:rFonts w:cs="Arial" w:hint="cs"/>
          <w:rtl/>
        </w:rPr>
        <w:t>יו</w:t>
      </w:r>
      <w:r>
        <w:rPr>
          <w:rFonts w:cs="Arial"/>
          <w:rtl/>
        </w:rPr>
        <w:t>"</w:t>
      </w:r>
      <w:r>
        <w:rPr>
          <w:rFonts w:cs="Arial" w:hint="cs"/>
          <w:rtl/>
        </w:rPr>
        <w:t>ד</w:t>
      </w:r>
      <w:r>
        <w:rPr>
          <w:rFonts w:cs="Arial"/>
          <w:rtl/>
        </w:rPr>
        <w:t xml:space="preserve">, </w:t>
      </w:r>
      <w:r>
        <w:rPr>
          <w:rFonts w:cs="Arial" w:hint="cs"/>
          <w:rtl/>
        </w:rPr>
        <w:t>אלא</w:t>
      </w:r>
      <w:r>
        <w:rPr>
          <w:rFonts w:cs="Arial"/>
          <w:rtl/>
        </w:rPr>
        <w:t xml:space="preserve">: </w:t>
      </w:r>
      <w:r>
        <w:rPr>
          <w:rFonts w:cs="Arial" w:hint="cs"/>
          <w:rtl/>
        </w:rPr>
        <w:t>ואגרת</w:t>
      </w:r>
      <w:r>
        <w:rPr>
          <w:rFonts w:cs="Arial"/>
          <w:rtl/>
        </w:rPr>
        <w:t xml:space="preserve">. </w:t>
      </w:r>
    </w:p>
    <w:p w14:paraId="769D56D1" w14:textId="77777777" w:rsidR="00FA2119" w:rsidRPr="00E17DE2" w:rsidRDefault="00FA2119" w:rsidP="00FA2119">
      <w:pPr>
        <w:rPr>
          <w:sz w:val="16"/>
          <w:szCs w:val="16"/>
          <w:rtl/>
        </w:rPr>
      </w:pPr>
      <w:r w:rsidRPr="00E17DE2">
        <w:rPr>
          <w:rFonts w:hint="cs"/>
          <w:u w:val="single"/>
          <w:rtl/>
        </w:rPr>
        <w:t>גט שכתוב בו 'ואגירת'</w:t>
      </w:r>
      <w:r>
        <w:rPr>
          <w:rFonts w:hint="cs"/>
          <w:u w:val="single"/>
          <w:rtl/>
        </w:rPr>
        <w:t xml:space="preserve"> במקום 'ואגרת'</w:t>
      </w:r>
      <w:r w:rsidRPr="00E17DE2">
        <w:rPr>
          <w:rFonts w:hint="cs"/>
          <w:u w:val="single"/>
          <w:rtl/>
        </w:rPr>
        <w:t>:</w:t>
      </w:r>
      <w:r>
        <w:rPr>
          <w:rFonts w:hint="cs"/>
          <w:sz w:val="16"/>
          <w:szCs w:val="16"/>
          <w:rtl/>
        </w:rPr>
        <w:t xml:space="preserve"> (פת"ש סקי"ח)</w:t>
      </w:r>
    </w:p>
    <w:p w14:paraId="0D188F02" w14:textId="4D8AAB92" w:rsidR="00FA2119" w:rsidRDefault="00FA2119" w:rsidP="00FA2119">
      <w:pPr>
        <w:pStyle w:val="ab"/>
        <w:numPr>
          <w:ilvl w:val="0"/>
          <w:numId w:val="15"/>
        </w:numPr>
        <w:rPr>
          <w:rtl/>
        </w:rPr>
      </w:pPr>
      <w:r w:rsidRPr="00F01D17">
        <w:rPr>
          <w:rFonts w:cs="Arial"/>
          <w:rtl/>
        </w:rPr>
        <w:t xml:space="preserve">רדב"ז </w:t>
      </w:r>
      <w:r w:rsidRPr="00F01D17">
        <w:rPr>
          <w:rFonts w:cs="Arial" w:hint="cs"/>
          <w:sz w:val="16"/>
          <w:szCs w:val="16"/>
          <w:rtl/>
        </w:rPr>
        <w:t xml:space="preserve">(הביאו הג"פ, </w:t>
      </w:r>
      <w:r w:rsidRPr="00F01D17">
        <w:rPr>
          <w:rFonts w:cs="Arial"/>
          <w:sz w:val="16"/>
          <w:szCs w:val="16"/>
          <w:rtl/>
        </w:rPr>
        <w:t>הובא</w:t>
      </w:r>
      <w:r w:rsidRPr="00F01D17">
        <w:rPr>
          <w:rFonts w:cs="Arial" w:hint="cs"/>
          <w:sz w:val="16"/>
          <w:szCs w:val="16"/>
          <w:rtl/>
        </w:rPr>
        <w:t>ו</w:t>
      </w:r>
      <w:r w:rsidRPr="00F01D17">
        <w:rPr>
          <w:rFonts w:cs="Arial"/>
          <w:sz w:val="16"/>
          <w:szCs w:val="16"/>
          <w:rtl/>
        </w:rPr>
        <w:t xml:space="preserve"> דברי</w:t>
      </w:r>
      <w:r w:rsidRPr="00F01D17">
        <w:rPr>
          <w:rFonts w:cs="Arial" w:hint="cs"/>
          <w:sz w:val="16"/>
          <w:szCs w:val="16"/>
          <w:rtl/>
        </w:rPr>
        <w:t xml:space="preserve"> הרדב"ז </w:t>
      </w:r>
      <w:r w:rsidRPr="00F01D17">
        <w:rPr>
          <w:rFonts w:cs="Arial"/>
          <w:sz w:val="16"/>
          <w:szCs w:val="16"/>
          <w:rtl/>
        </w:rPr>
        <w:t xml:space="preserve"> בתשו' הרב ר' בצלאל סי' כג</w:t>
      </w:r>
      <w:r w:rsidRPr="00F01D17">
        <w:rPr>
          <w:rFonts w:cs="Arial" w:hint="cs"/>
          <w:sz w:val="16"/>
          <w:szCs w:val="16"/>
          <w:rtl/>
        </w:rPr>
        <w:t>)</w:t>
      </w:r>
      <w:r w:rsidR="00A82951">
        <w:rPr>
          <w:rFonts w:cs="Arial" w:hint="cs"/>
          <w:rtl/>
        </w:rPr>
        <w:t>-</w:t>
      </w:r>
      <w:r w:rsidRPr="00F01D17">
        <w:rPr>
          <w:rFonts w:cs="Arial"/>
          <w:rtl/>
        </w:rPr>
        <w:t xml:space="preserve"> גט שבא מארץ אחרת הי' כתוב בו ואגירת שבוקין ולשון ואגירת הוא ל' שכירות </w:t>
      </w:r>
      <w:r w:rsidR="00A82951">
        <w:rPr>
          <w:rFonts w:cs="Arial" w:hint="cs"/>
          <w:rtl/>
        </w:rPr>
        <w:t>-</w:t>
      </w:r>
      <w:r w:rsidRPr="00F01D17">
        <w:rPr>
          <w:rFonts w:cs="Arial" w:hint="cs"/>
          <w:rtl/>
        </w:rPr>
        <w:t xml:space="preserve"> </w:t>
      </w:r>
      <w:r w:rsidRPr="00F01D17">
        <w:rPr>
          <w:rFonts w:cs="Arial"/>
          <w:rtl/>
        </w:rPr>
        <w:t>הוא כשר במקום עיגון</w:t>
      </w:r>
      <w:r w:rsidRPr="00F01D17">
        <w:rPr>
          <w:rFonts w:cs="Arial" w:hint="cs"/>
          <w:rtl/>
        </w:rPr>
        <w:t>,</w:t>
      </w:r>
      <w:r w:rsidRPr="00F01D17">
        <w:rPr>
          <w:rFonts w:cs="Arial"/>
          <w:rtl/>
        </w:rPr>
        <w:t xml:space="preserve"> </w:t>
      </w:r>
      <w:r w:rsidRPr="00F01D17">
        <w:rPr>
          <w:rFonts w:cs="Arial" w:hint="cs"/>
          <w:rtl/>
        </w:rPr>
        <w:t>ו</w:t>
      </w:r>
      <w:r w:rsidRPr="00F01D17">
        <w:rPr>
          <w:rFonts w:cs="Arial"/>
          <w:rtl/>
        </w:rPr>
        <w:t>הב"ד יתקנו אות</w:t>
      </w:r>
      <w:r w:rsidRPr="00F01D17">
        <w:rPr>
          <w:rFonts w:cs="Arial" w:hint="cs"/>
          <w:rtl/>
        </w:rPr>
        <w:t>ו</w:t>
      </w:r>
      <w:r>
        <w:rPr>
          <w:rStyle w:val="a7"/>
          <w:rFonts w:cs="Arial"/>
          <w:rtl/>
        </w:rPr>
        <w:footnoteReference w:id="728"/>
      </w:r>
      <w:r w:rsidRPr="00F01D17">
        <w:rPr>
          <w:rFonts w:cs="Arial" w:hint="cs"/>
          <w:rtl/>
        </w:rPr>
        <w:t>.</w:t>
      </w:r>
    </w:p>
    <w:p w14:paraId="023303FE" w14:textId="77777777" w:rsidR="00FA2119" w:rsidRDefault="00FA2119" w:rsidP="00FA2119">
      <w:pPr>
        <w:rPr>
          <w:rtl/>
        </w:rPr>
      </w:pPr>
    </w:p>
    <w:p w14:paraId="7A2CC697" w14:textId="77777777" w:rsidR="00FA2119" w:rsidRDefault="00FA2119" w:rsidP="00FA2119">
      <w:pPr>
        <w:pStyle w:val="2"/>
        <w:rPr>
          <w:rtl/>
        </w:rPr>
      </w:pPr>
      <w:r>
        <w:rPr>
          <w:rFonts w:hint="cs"/>
          <w:rtl/>
        </w:rPr>
        <w:t>סעיף</w:t>
      </w:r>
      <w:r>
        <w:rPr>
          <w:rtl/>
        </w:rPr>
        <w:t xml:space="preserve"> </w:t>
      </w:r>
      <w:r>
        <w:rPr>
          <w:rFonts w:hint="cs"/>
          <w:rtl/>
        </w:rPr>
        <w:t>י: דיתיהוייין, דיתיצבייין.</w:t>
      </w:r>
    </w:p>
    <w:p w14:paraId="22CB8C37" w14:textId="73E0D16B" w:rsidR="00FA2119" w:rsidRPr="00131F75" w:rsidRDefault="00FA2119" w:rsidP="00FA2119">
      <w:pPr>
        <w:rPr>
          <w:rFonts w:cs="Arial"/>
          <w:sz w:val="16"/>
          <w:szCs w:val="16"/>
          <w:rtl/>
        </w:rPr>
      </w:pPr>
      <w:r w:rsidRPr="00AF1871">
        <w:rPr>
          <w:rFonts w:cs="Arial" w:hint="cs"/>
          <w:b/>
          <w:bCs/>
          <w:rtl/>
        </w:rPr>
        <w:t xml:space="preserve">גיטין </w:t>
      </w:r>
      <w:r w:rsidRPr="00AF1871">
        <w:rPr>
          <w:rFonts w:cs="Arial" w:hint="cs"/>
          <w:b/>
          <w:bCs/>
          <w:sz w:val="16"/>
          <w:szCs w:val="16"/>
          <w:rtl/>
        </w:rPr>
        <w:t>(</w:t>
      </w:r>
      <w:r>
        <w:rPr>
          <w:rFonts w:cs="Arial" w:hint="cs"/>
          <w:b/>
          <w:bCs/>
          <w:sz w:val="16"/>
          <w:szCs w:val="16"/>
          <w:rtl/>
        </w:rPr>
        <w:t xml:space="preserve">פ' </w:t>
      </w:r>
      <w:r w:rsidRPr="00AF1871">
        <w:rPr>
          <w:rFonts w:cs="Arial" w:hint="cs"/>
          <w:b/>
          <w:bCs/>
          <w:sz w:val="16"/>
          <w:szCs w:val="16"/>
          <w:rtl/>
        </w:rPr>
        <w:t>המגרש)</w:t>
      </w:r>
      <w:r w:rsidRPr="00AF1871">
        <w:rPr>
          <w:rFonts w:cs="Arial" w:hint="cs"/>
          <w:b/>
          <w:bCs/>
          <w:rtl/>
        </w:rPr>
        <w:t xml:space="preserve"> פה ע"ב:</w:t>
      </w:r>
      <w:r>
        <w:rPr>
          <w:rFonts w:cs="Arial" w:hint="cs"/>
          <w:rtl/>
        </w:rPr>
        <w:t xml:space="preserve"> </w:t>
      </w:r>
      <w:r w:rsidRPr="00D33273">
        <w:rPr>
          <w:rFonts w:cs="Arial"/>
          <w:u w:val="single"/>
          <w:rtl/>
        </w:rPr>
        <w:t>אמר אביי</w:t>
      </w:r>
      <w:r w:rsidRPr="00D33273">
        <w:rPr>
          <w:rFonts w:cs="Arial"/>
          <w:rtl/>
        </w:rPr>
        <w:t>: האי מאן דכתב גיטא</w:t>
      </w:r>
      <w:r>
        <w:rPr>
          <w:rFonts w:cs="Arial" w:hint="cs"/>
          <w:rtl/>
        </w:rPr>
        <w:t xml:space="preserve">... </w:t>
      </w:r>
      <w:r w:rsidRPr="00D33273">
        <w:rPr>
          <w:rFonts w:cs="Arial"/>
          <w:rtl/>
        </w:rPr>
        <w:t>דיתיהוייין</w:t>
      </w:r>
      <w:r>
        <w:rPr>
          <w:rStyle w:val="a7"/>
          <w:rFonts w:cs="Arial"/>
          <w:rtl/>
        </w:rPr>
        <w:footnoteReference w:id="729"/>
      </w:r>
      <w:r w:rsidRPr="00D33273">
        <w:rPr>
          <w:rFonts w:cs="Arial"/>
          <w:rtl/>
        </w:rPr>
        <w:t xml:space="preserve"> דיתיצבייין </w:t>
      </w:r>
      <w:r w:rsidR="00A82951">
        <w:rPr>
          <w:rFonts w:cs="Arial" w:hint="cs"/>
          <w:rtl/>
        </w:rPr>
        <w:t>-</w:t>
      </w:r>
      <w:r>
        <w:rPr>
          <w:rFonts w:cs="Arial" w:hint="cs"/>
          <w:rtl/>
        </w:rPr>
        <w:t xml:space="preserve"> </w:t>
      </w:r>
      <w:r w:rsidRPr="00D33273">
        <w:rPr>
          <w:rFonts w:cs="Arial"/>
          <w:rtl/>
        </w:rPr>
        <w:t>תלתא תלתא יודי"ן</w:t>
      </w:r>
      <w:r>
        <w:rPr>
          <w:rFonts w:cs="Arial" w:hint="cs"/>
          <w:rtl/>
        </w:rPr>
        <w:t>,</w:t>
      </w:r>
      <w:r w:rsidRPr="00D33273">
        <w:rPr>
          <w:rFonts w:cs="Arial"/>
          <w:rtl/>
        </w:rPr>
        <w:t xml:space="preserve"> דמשמע תהויין ותצביין</w:t>
      </w:r>
      <w:r>
        <w:rPr>
          <w:rFonts w:cs="Arial" w:hint="cs"/>
          <w:rtl/>
        </w:rPr>
        <w:t>.</w:t>
      </w:r>
      <w:r>
        <w:rPr>
          <w:rFonts w:cs="Arial" w:hint="cs"/>
          <w:sz w:val="16"/>
          <w:szCs w:val="16"/>
          <w:rtl/>
        </w:rPr>
        <w:t xml:space="preserve"> (נוסח הגט להבנת הדברים: </w:t>
      </w:r>
      <w:r w:rsidRPr="00131F75">
        <w:rPr>
          <w:rFonts w:cs="Arial"/>
          <w:sz w:val="16"/>
          <w:szCs w:val="16"/>
          <w:rtl/>
        </w:rPr>
        <w:t>וכדו שבקית ופטרית ותרוכית יתיכי ליכי ד</w:t>
      </w:r>
      <w:r>
        <w:rPr>
          <w:rFonts w:cs="Arial" w:hint="cs"/>
          <w:sz w:val="16"/>
          <w:szCs w:val="16"/>
          <w:rtl/>
        </w:rPr>
        <w:t>י</w:t>
      </w:r>
      <w:r w:rsidRPr="00131F75">
        <w:rPr>
          <w:rFonts w:cs="Arial"/>
          <w:sz w:val="16"/>
          <w:szCs w:val="16"/>
          <w:rtl/>
        </w:rPr>
        <w:t>תהוייין רשאה ושלטאה בנפשיכי למהך להתנסבא לכל גבר ד</w:t>
      </w:r>
      <w:r>
        <w:rPr>
          <w:rFonts w:cs="Arial" w:hint="cs"/>
          <w:sz w:val="16"/>
          <w:szCs w:val="16"/>
          <w:rtl/>
        </w:rPr>
        <w:t>י</w:t>
      </w:r>
      <w:r w:rsidRPr="00131F75">
        <w:rPr>
          <w:rFonts w:cs="Arial"/>
          <w:sz w:val="16"/>
          <w:szCs w:val="16"/>
          <w:rtl/>
        </w:rPr>
        <w:t>תצבייין</w:t>
      </w:r>
      <w:r>
        <w:rPr>
          <w:rFonts w:cs="Arial" w:hint="cs"/>
          <w:sz w:val="16"/>
          <w:szCs w:val="16"/>
          <w:rtl/>
        </w:rPr>
        <w:t>...)</w:t>
      </w:r>
    </w:p>
    <w:p w14:paraId="75CEE009" w14:textId="277E3757" w:rsidR="00FA2119" w:rsidRPr="001E5B64" w:rsidRDefault="00FA2119" w:rsidP="00FA2119">
      <w:pPr>
        <w:rPr>
          <w:rFonts w:cs="Arial"/>
          <w:u w:val="single"/>
          <w:rtl/>
        </w:rPr>
      </w:pPr>
      <w:r>
        <w:rPr>
          <w:rFonts w:hint="cs"/>
          <w:u w:val="single"/>
          <w:rtl/>
        </w:rPr>
        <w:t>כתיבת המילים '</w:t>
      </w:r>
      <w:r w:rsidRPr="001E5B64">
        <w:rPr>
          <w:rFonts w:cs="Arial"/>
          <w:u w:val="single"/>
          <w:rtl/>
        </w:rPr>
        <w:t>דתהוייין</w:t>
      </w:r>
      <w:r>
        <w:rPr>
          <w:rFonts w:cs="Arial" w:hint="cs"/>
          <w:u w:val="single"/>
          <w:rtl/>
        </w:rPr>
        <w:t>'</w:t>
      </w:r>
      <w:r w:rsidRPr="001E5B64">
        <w:rPr>
          <w:rFonts w:cs="Arial"/>
          <w:u w:val="single"/>
          <w:rtl/>
        </w:rPr>
        <w:t xml:space="preserve"> </w:t>
      </w:r>
      <w:r>
        <w:rPr>
          <w:rFonts w:cs="Arial" w:hint="cs"/>
          <w:u w:val="single"/>
          <w:rtl/>
        </w:rPr>
        <w:t>ו</w:t>
      </w:r>
      <w:r w:rsidR="00A82951">
        <w:rPr>
          <w:rFonts w:cs="Arial" w:hint="cs"/>
          <w:u w:val="single"/>
          <w:rtl/>
        </w:rPr>
        <w:t>-</w:t>
      </w:r>
      <w:r>
        <w:rPr>
          <w:rFonts w:cs="Arial" w:hint="cs"/>
          <w:u w:val="single"/>
          <w:rtl/>
        </w:rPr>
        <w:t xml:space="preserve"> '</w:t>
      </w:r>
      <w:r w:rsidRPr="001E5B64">
        <w:rPr>
          <w:rFonts w:cs="Arial"/>
          <w:u w:val="single"/>
          <w:rtl/>
        </w:rPr>
        <w:t>דתצבייין</w:t>
      </w:r>
      <w:r>
        <w:rPr>
          <w:rFonts w:cs="Arial" w:hint="cs"/>
          <w:u w:val="single"/>
          <w:rtl/>
        </w:rPr>
        <w:t>' עם ג' יודי"ן</w:t>
      </w:r>
      <w:r w:rsidRPr="001E5B64">
        <w:rPr>
          <w:rFonts w:cs="Arial" w:hint="cs"/>
          <w:u w:val="single"/>
          <w:rtl/>
        </w:rPr>
        <w:t>:</w:t>
      </w:r>
    </w:p>
    <w:p w14:paraId="1C75B31B" w14:textId="6AF2C4FD" w:rsidR="00FA2119" w:rsidRDefault="00FA2119" w:rsidP="00FA2119">
      <w:pPr>
        <w:pStyle w:val="ab"/>
        <w:numPr>
          <w:ilvl w:val="0"/>
          <w:numId w:val="15"/>
        </w:numPr>
        <w:rPr>
          <w:rFonts w:cs="Arial"/>
        </w:rPr>
      </w:pPr>
      <w:r>
        <w:rPr>
          <w:rFonts w:cs="Arial" w:hint="cs"/>
          <w:rtl/>
        </w:rPr>
        <w:t>טור</w:t>
      </w:r>
      <w:r w:rsidR="00A82951">
        <w:rPr>
          <w:rFonts w:cs="Arial" w:hint="cs"/>
          <w:rtl/>
        </w:rPr>
        <w:t>-</w:t>
      </w:r>
      <w:r>
        <w:rPr>
          <w:rFonts w:cs="Arial" w:hint="cs"/>
          <w:rtl/>
        </w:rPr>
        <w:t xml:space="preserve"> </w:t>
      </w:r>
      <w:r w:rsidRPr="00967D9E">
        <w:rPr>
          <w:rFonts w:cs="Arial"/>
          <w:rtl/>
        </w:rPr>
        <w:t>ודתהוייין ודתצבייין</w:t>
      </w:r>
      <w:r w:rsidR="003D4983">
        <w:rPr>
          <w:rFonts w:cs="Arial" w:hint="cs"/>
          <w:rtl/>
        </w:rPr>
        <w:t>,</w:t>
      </w:r>
      <w:r>
        <w:rPr>
          <w:rFonts w:cs="Arial" w:hint="cs"/>
          <w:rtl/>
        </w:rPr>
        <w:t xml:space="preserve"> </w:t>
      </w:r>
      <w:r w:rsidRPr="00967D9E">
        <w:rPr>
          <w:rFonts w:cs="Arial"/>
          <w:rtl/>
        </w:rPr>
        <w:t>כל אחד בג' יודי"ן</w:t>
      </w:r>
      <w:r>
        <w:rPr>
          <w:rFonts w:cs="Arial" w:hint="cs"/>
          <w:rtl/>
        </w:rPr>
        <w:t>.</w:t>
      </w:r>
      <w:r w:rsidRPr="00967D9E">
        <w:rPr>
          <w:rFonts w:cs="Arial"/>
          <w:rtl/>
        </w:rPr>
        <w:t xml:space="preserve"> </w:t>
      </w:r>
      <w:r w:rsidRPr="003F7FEC">
        <w:rPr>
          <w:rFonts w:cs="Arial" w:hint="cs"/>
          <w:color w:val="E36C0A" w:themeColor="accent6" w:themeShade="BF"/>
          <w:rtl/>
        </w:rPr>
        <w:t>(וכ"</w:t>
      </w:r>
      <w:r>
        <w:rPr>
          <w:rFonts w:cs="Arial" w:hint="cs"/>
          <w:color w:val="E36C0A" w:themeColor="accent6" w:themeShade="BF"/>
          <w:rtl/>
        </w:rPr>
        <w:t>פ</w:t>
      </w:r>
      <w:r w:rsidRPr="003F7FEC">
        <w:rPr>
          <w:rFonts w:cs="Arial" w:hint="cs"/>
          <w:color w:val="E36C0A" w:themeColor="accent6" w:themeShade="BF"/>
          <w:rtl/>
        </w:rPr>
        <w:t xml:space="preserve"> בשו"ע)</w:t>
      </w:r>
    </w:p>
    <w:p w14:paraId="6A64D3C5" w14:textId="5AD7E5F7" w:rsidR="00FA2119" w:rsidRDefault="00FA2119" w:rsidP="00FA2119">
      <w:pPr>
        <w:pStyle w:val="ab"/>
        <w:numPr>
          <w:ilvl w:val="0"/>
          <w:numId w:val="15"/>
        </w:numPr>
        <w:rPr>
          <w:rFonts w:cs="Arial"/>
        </w:rPr>
      </w:pPr>
      <w:r>
        <w:rPr>
          <w:rFonts w:cs="Arial" w:hint="cs"/>
          <w:rtl/>
        </w:rPr>
        <w:t>בהעי"ט</w:t>
      </w:r>
      <w:r w:rsidRPr="00494CBB">
        <w:rPr>
          <w:rFonts w:cs="Arial"/>
          <w:sz w:val="16"/>
          <w:szCs w:val="16"/>
          <w:rtl/>
        </w:rPr>
        <w:t xml:space="preserve"> </w:t>
      </w:r>
      <w:r w:rsidRPr="00494CBB">
        <w:rPr>
          <w:rFonts w:cs="Arial" w:hint="cs"/>
          <w:sz w:val="16"/>
          <w:szCs w:val="16"/>
          <w:rtl/>
        </w:rPr>
        <w:t>(</w:t>
      </w:r>
      <w:r w:rsidRPr="00494CBB">
        <w:rPr>
          <w:rFonts w:cs="Arial"/>
          <w:sz w:val="16"/>
          <w:szCs w:val="16"/>
          <w:rtl/>
        </w:rPr>
        <w:t>מאמר שביעי ח"א כז ע"ג)</w:t>
      </w:r>
      <w:r w:rsidR="00A82951">
        <w:rPr>
          <w:rFonts w:cs="Arial" w:hint="cs"/>
          <w:rtl/>
        </w:rPr>
        <w:t>-</w:t>
      </w:r>
      <w:r w:rsidRPr="00131F75">
        <w:rPr>
          <w:rFonts w:cs="Arial"/>
          <w:rtl/>
        </w:rPr>
        <w:t xml:space="preserve"> אי כתב ביה דתהוי את רשאה למהך וכו' </w:t>
      </w:r>
      <w:r w:rsidR="00A82951">
        <w:rPr>
          <w:rFonts w:cs="Arial" w:hint="cs"/>
          <w:rtl/>
        </w:rPr>
        <w:t>-</w:t>
      </w:r>
      <w:r>
        <w:rPr>
          <w:rFonts w:cs="Arial" w:hint="cs"/>
          <w:rtl/>
        </w:rPr>
        <w:t xml:space="preserve"> </w:t>
      </w:r>
      <w:r w:rsidRPr="00131F75">
        <w:rPr>
          <w:rFonts w:cs="Arial"/>
          <w:rtl/>
        </w:rPr>
        <w:t xml:space="preserve">טפי עדיף מלישנא </w:t>
      </w:r>
      <w:r>
        <w:rPr>
          <w:rFonts w:cs="Arial" w:hint="cs"/>
          <w:rtl/>
        </w:rPr>
        <w:t>'</w:t>
      </w:r>
      <w:r w:rsidRPr="00131F75">
        <w:rPr>
          <w:rFonts w:cs="Arial"/>
          <w:rtl/>
        </w:rPr>
        <w:t>די תהוייין</w:t>
      </w:r>
      <w:r>
        <w:rPr>
          <w:rFonts w:cs="Arial" w:hint="cs"/>
          <w:rtl/>
        </w:rPr>
        <w:t>'</w:t>
      </w:r>
      <w:r>
        <w:rPr>
          <w:rStyle w:val="a7"/>
          <w:rFonts w:cs="Arial"/>
          <w:rtl/>
        </w:rPr>
        <w:footnoteReference w:id="730"/>
      </w:r>
      <w:r>
        <w:rPr>
          <w:rFonts w:cs="Arial" w:hint="cs"/>
          <w:rtl/>
        </w:rPr>
        <w:t>.</w:t>
      </w:r>
      <w:r w:rsidRPr="00131F75">
        <w:rPr>
          <w:rFonts w:cs="Arial"/>
          <w:rtl/>
        </w:rPr>
        <w:t xml:space="preserve"> </w:t>
      </w:r>
    </w:p>
    <w:p w14:paraId="391D18EA" w14:textId="35A74791" w:rsidR="00FA2119" w:rsidRPr="00984029" w:rsidRDefault="00FA2119" w:rsidP="00FA2119">
      <w:pPr>
        <w:ind w:left="360"/>
        <w:rPr>
          <w:rFonts w:cs="Arial"/>
          <w:u w:val="dotted"/>
          <w:rtl/>
        </w:rPr>
      </w:pPr>
      <w:r w:rsidRPr="00984029">
        <w:rPr>
          <w:rFonts w:cs="Arial" w:hint="cs"/>
          <w:u w:val="dotted"/>
          <w:rtl/>
        </w:rPr>
        <w:t>האם צריך להוסיף עוד יודי"ן אחר ה</w:t>
      </w:r>
      <w:r w:rsidR="00A82951">
        <w:rPr>
          <w:rFonts w:cs="Arial" w:hint="cs"/>
          <w:u w:val="dotted"/>
          <w:rtl/>
        </w:rPr>
        <w:t>-</w:t>
      </w:r>
      <w:r w:rsidRPr="00984029">
        <w:rPr>
          <w:rFonts w:cs="Arial" w:hint="cs"/>
          <w:u w:val="dotted"/>
          <w:rtl/>
        </w:rPr>
        <w:t>דל"ת ואחר ה</w:t>
      </w:r>
      <w:r w:rsidR="00A82951">
        <w:rPr>
          <w:rFonts w:cs="Arial" w:hint="cs"/>
          <w:u w:val="dotted"/>
          <w:rtl/>
        </w:rPr>
        <w:t>-</w:t>
      </w:r>
      <w:r w:rsidRPr="00984029">
        <w:rPr>
          <w:rFonts w:cs="Arial" w:hint="cs"/>
          <w:u w:val="dotted"/>
          <w:rtl/>
        </w:rPr>
        <w:t>תי"ו:</w:t>
      </w:r>
    </w:p>
    <w:p w14:paraId="2C519583" w14:textId="32DA0C13" w:rsidR="00FA2119" w:rsidRDefault="00FA2119" w:rsidP="00FA2119">
      <w:pPr>
        <w:pStyle w:val="ab"/>
        <w:numPr>
          <w:ilvl w:val="0"/>
          <w:numId w:val="15"/>
        </w:numPr>
        <w:rPr>
          <w:rFonts w:cs="Arial"/>
        </w:rPr>
      </w:pPr>
      <w:r>
        <w:rPr>
          <w:rFonts w:cs="Arial" w:hint="cs"/>
          <w:rtl/>
        </w:rPr>
        <w:t xml:space="preserve">תוס' </w:t>
      </w:r>
      <w:r w:rsidRPr="00131F75">
        <w:rPr>
          <w:rFonts w:cs="Arial"/>
          <w:sz w:val="16"/>
          <w:szCs w:val="16"/>
          <w:rtl/>
        </w:rPr>
        <w:t>(</w:t>
      </w:r>
      <w:r>
        <w:rPr>
          <w:rFonts w:cs="Arial" w:hint="cs"/>
          <w:sz w:val="16"/>
          <w:szCs w:val="16"/>
          <w:rtl/>
        </w:rPr>
        <w:t>פה:</w:t>
      </w:r>
      <w:r w:rsidRPr="00131F75">
        <w:rPr>
          <w:rFonts w:cs="Arial"/>
          <w:sz w:val="16"/>
          <w:szCs w:val="16"/>
          <w:rtl/>
        </w:rPr>
        <w:t xml:space="preserve"> ד"ה דתהוייין</w:t>
      </w:r>
      <w:r>
        <w:rPr>
          <w:rFonts w:cs="Arial" w:hint="cs"/>
          <w:sz w:val="16"/>
          <w:szCs w:val="16"/>
          <w:rtl/>
        </w:rPr>
        <w:t>, הביאום הרא"ש והטור</w:t>
      </w:r>
      <w:r w:rsidRPr="00131F75">
        <w:rPr>
          <w:rFonts w:cs="Arial"/>
          <w:sz w:val="16"/>
          <w:szCs w:val="16"/>
          <w:rtl/>
        </w:rPr>
        <w:t>)</w:t>
      </w:r>
      <w:r w:rsidR="00A82951">
        <w:rPr>
          <w:rFonts w:cs="Arial" w:hint="cs"/>
          <w:rtl/>
        </w:rPr>
        <w:t>-</w:t>
      </w:r>
      <w:r>
        <w:rPr>
          <w:rFonts w:cs="Arial" w:hint="cs"/>
          <w:rtl/>
        </w:rPr>
        <w:t xml:space="preserve"> </w:t>
      </w:r>
      <w:r w:rsidRPr="00131F75">
        <w:rPr>
          <w:rFonts w:cs="Arial"/>
          <w:rtl/>
        </w:rPr>
        <w:t>אומר ר"י שראה בתיקון גיטין קדמונים דחמשה יודי"ן צריכי</w:t>
      </w:r>
      <w:r>
        <w:rPr>
          <w:rFonts w:cs="Arial" w:hint="cs"/>
          <w:rtl/>
        </w:rPr>
        <w:t>,</w:t>
      </w:r>
      <w:r w:rsidRPr="00131F75">
        <w:rPr>
          <w:rFonts w:cs="Arial"/>
          <w:rtl/>
        </w:rPr>
        <w:t xml:space="preserve"> תלתא יודי"ן ביחד בסוף התיבה</w:t>
      </w:r>
      <w:r>
        <w:rPr>
          <w:rFonts w:cs="Arial" w:hint="cs"/>
          <w:rtl/>
        </w:rPr>
        <w:t>,</w:t>
      </w:r>
      <w:r w:rsidRPr="00131F75">
        <w:rPr>
          <w:rFonts w:cs="Arial"/>
          <w:rtl/>
        </w:rPr>
        <w:t xml:space="preserve"> ואחר הדל"ת</w:t>
      </w:r>
      <w:r>
        <w:rPr>
          <w:rFonts w:cs="Arial" w:hint="cs"/>
          <w:rtl/>
        </w:rPr>
        <w:t>,</w:t>
      </w:r>
      <w:r w:rsidRPr="00131F75">
        <w:rPr>
          <w:rFonts w:cs="Arial"/>
          <w:rtl/>
        </w:rPr>
        <w:t xml:space="preserve"> ואחר התי"ו</w:t>
      </w:r>
      <w:r>
        <w:rPr>
          <w:rStyle w:val="a7"/>
          <w:rFonts w:cs="Arial"/>
          <w:rtl/>
        </w:rPr>
        <w:footnoteReference w:id="731"/>
      </w:r>
      <w:r w:rsidRPr="00131F75">
        <w:rPr>
          <w:rFonts w:cs="Arial" w:hint="cs"/>
          <w:rtl/>
        </w:rPr>
        <w:t>.</w:t>
      </w:r>
      <w:r w:rsidRPr="00131F75">
        <w:rPr>
          <w:rFonts w:cs="Arial"/>
          <w:rtl/>
        </w:rPr>
        <w:t xml:space="preserve"> וכן כתוב בתיקון שטרות של ר' יוסף טוב עלם</w:t>
      </w:r>
      <w:r w:rsidRPr="00131F75">
        <w:rPr>
          <w:rFonts w:cs="Arial" w:hint="cs"/>
          <w:rtl/>
        </w:rPr>
        <w:t>,</w:t>
      </w:r>
      <w:r w:rsidRPr="00131F75">
        <w:rPr>
          <w:rFonts w:cs="Arial"/>
          <w:rtl/>
        </w:rPr>
        <w:t xml:space="preserve"> ודי תיהוייין</w:t>
      </w:r>
      <w:r w:rsidRPr="00131F75">
        <w:rPr>
          <w:rFonts w:cs="Arial" w:hint="cs"/>
          <w:rtl/>
        </w:rPr>
        <w:t xml:space="preserve"> הם</w:t>
      </w:r>
      <w:r w:rsidRPr="00131F75">
        <w:rPr>
          <w:rFonts w:cs="Arial"/>
          <w:rtl/>
        </w:rPr>
        <w:t xml:space="preserve"> ש</w:t>
      </w:r>
      <w:r w:rsidRPr="00131F75">
        <w:rPr>
          <w:rFonts w:cs="Arial" w:hint="cs"/>
          <w:rtl/>
        </w:rPr>
        <w:t>ת</w:t>
      </w:r>
      <w:r w:rsidRPr="00131F75">
        <w:rPr>
          <w:rFonts w:cs="Arial"/>
          <w:rtl/>
        </w:rPr>
        <w:t>י תיבות</w:t>
      </w:r>
      <w:r w:rsidRPr="00131F75">
        <w:rPr>
          <w:rFonts w:cs="Arial" w:hint="cs"/>
          <w:rtl/>
        </w:rPr>
        <w:t>,</w:t>
      </w:r>
      <w:r w:rsidRPr="00131F75">
        <w:rPr>
          <w:rFonts w:cs="Arial"/>
          <w:rtl/>
        </w:rPr>
        <w:t xml:space="preserve"> ודי במקום אשר</w:t>
      </w:r>
      <w:r>
        <w:rPr>
          <w:rStyle w:val="a7"/>
          <w:rFonts w:cs="Arial"/>
          <w:rtl/>
        </w:rPr>
        <w:footnoteReference w:id="732"/>
      </w:r>
      <w:r>
        <w:rPr>
          <w:rFonts w:cs="Arial" w:hint="cs"/>
          <w:rtl/>
        </w:rPr>
        <w:t>.</w:t>
      </w:r>
      <w:r w:rsidRPr="00494CBB">
        <w:rPr>
          <w:rFonts w:cs="Arial"/>
          <w:rtl/>
        </w:rPr>
        <w:t xml:space="preserve"> </w:t>
      </w:r>
      <w:r w:rsidRPr="003F7FEC">
        <w:rPr>
          <w:rFonts w:cs="Arial" w:hint="cs"/>
          <w:color w:val="E36C0A" w:themeColor="accent6" w:themeShade="BF"/>
          <w:rtl/>
        </w:rPr>
        <w:t>(וכ"כ בשו"ע)</w:t>
      </w:r>
    </w:p>
    <w:p w14:paraId="50E18786" w14:textId="1BFD12E0" w:rsidR="00FA2119" w:rsidRDefault="00FA2119" w:rsidP="00FA2119">
      <w:pPr>
        <w:pStyle w:val="ab"/>
        <w:numPr>
          <w:ilvl w:val="0"/>
          <w:numId w:val="15"/>
        </w:numPr>
        <w:rPr>
          <w:rFonts w:cs="Arial"/>
        </w:rPr>
      </w:pPr>
      <w:r>
        <w:rPr>
          <w:rFonts w:cs="Arial" w:hint="cs"/>
          <w:rtl/>
        </w:rPr>
        <w:t>רמב"ם</w:t>
      </w:r>
      <w:r>
        <w:rPr>
          <w:rFonts w:cs="Arial" w:hint="cs"/>
          <w:sz w:val="16"/>
          <w:szCs w:val="16"/>
          <w:rtl/>
        </w:rPr>
        <w:t xml:space="preserve"> (פ"ד הי"ב)</w:t>
      </w:r>
      <w:r w:rsidR="00A82951">
        <w:rPr>
          <w:rFonts w:cs="Arial" w:hint="cs"/>
          <w:rtl/>
        </w:rPr>
        <w:t>-</w:t>
      </w:r>
      <w:r>
        <w:rPr>
          <w:rFonts w:cs="Arial" w:hint="cs"/>
          <w:rtl/>
        </w:rPr>
        <w:t xml:space="preserve"> </w:t>
      </w:r>
      <w:r w:rsidRPr="003F7FEC">
        <w:rPr>
          <w:rFonts w:cs="Arial"/>
          <w:rtl/>
        </w:rPr>
        <w:t>וכדו פטרית ושבקית ותרוכית יתיכי ליכי דיתהוייין רשאה ושלטאה בנפשיכי למהך להתנסבא לכל גבר דיתצבייין</w:t>
      </w:r>
      <w:r>
        <w:rPr>
          <w:rFonts w:cs="Arial" w:hint="cs"/>
          <w:rtl/>
        </w:rPr>
        <w:t>...</w:t>
      </w:r>
    </w:p>
    <w:p w14:paraId="7718FDB6" w14:textId="1AEE2662" w:rsidR="00FA2119" w:rsidRPr="00494CBB" w:rsidRDefault="00FA2119" w:rsidP="00FA2119">
      <w:pPr>
        <w:pStyle w:val="ab"/>
        <w:numPr>
          <w:ilvl w:val="0"/>
          <w:numId w:val="15"/>
        </w:numPr>
        <w:rPr>
          <w:rFonts w:cs="Arial"/>
        </w:rPr>
      </w:pPr>
      <w:r>
        <w:rPr>
          <w:rFonts w:cs="Arial" w:hint="cs"/>
          <w:rtl/>
        </w:rPr>
        <w:t xml:space="preserve">רא"ש </w:t>
      </w:r>
      <w:r>
        <w:rPr>
          <w:rFonts w:cs="Arial" w:hint="cs"/>
          <w:sz w:val="16"/>
          <w:szCs w:val="16"/>
          <w:rtl/>
        </w:rPr>
        <w:t>(סדר בגט)</w:t>
      </w:r>
      <w:r w:rsidR="00A82951">
        <w:rPr>
          <w:rFonts w:cs="Arial" w:hint="cs"/>
          <w:rtl/>
        </w:rPr>
        <w:t>-</w:t>
      </w:r>
      <w:r>
        <w:rPr>
          <w:rFonts w:cs="Arial" w:hint="cs"/>
          <w:rtl/>
        </w:rPr>
        <w:t xml:space="preserve"> </w:t>
      </w:r>
      <w:r w:rsidRPr="003F7FEC">
        <w:rPr>
          <w:rFonts w:cs="Arial"/>
          <w:rtl/>
        </w:rPr>
        <w:t>וכדו שבקית ופטרית ותרוכית יתיכי ליכי דתיהוייין רשאה ושלטאה בנפשיכי למהך להתנסבא לכל גבר דתצבייין</w:t>
      </w:r>
      <w:r>
        <w:rPr>
          <w:rFonts w:cs="Arial" w:hint="cs"/>
          <w:rtl/>
        </w:rPr>
        <w:t>.</w:t>
      </w:r>
    </w:p>
    <w:p w14:paraId="14CA2DC0"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B49D154" w14:textId="77777777" w:rsidR="00FA2119" w:rsidRDefault="00FA2119" w:rsidP="00FA2119">
      <w:pPr>
        <w:rPr>
          <w:rFonts w:cs="Arial"/>
          <w:rtl/>
        </w:rPr>
      </w:pPr>
      <w:r>
        <w:rPr>
          <w:rFonts w:cs="Arial" w:hint="cs"/>
          <w:rtl/>
        </w:rPr>
        <w:t>דתיהוייין</w:t>
      </w:r>
      <w:r>
        <w:rPr>
          <w:rFonts w:cs="Arial"/>
          <w:rtl/>
        </w:rPr>
        <w:t xml:space="preserve">, </w:t>
      </w:r>
      <w:r>
        <w:rPr>
          <w:rFonts w:cs="Arial" w:hint="cs"/>
          <w:rtl/>
        </w:rPr>
        <w:t>דתיצבייין</w:t>
      </w:r>
      <w:r>
        <w:rPr>
          <w:rFonts w:cs="Arial"/>
          <w:rtl/>
        </w:rPr>
        <w:t xml:space="preserve">, </w:t>
      </w:r>
      <w:r>
        <w:rPr>
          <w:rFonts w:cs="Arial" w:hint="cs"/>
          <w:rtl/>
        </w:rPr>
        <w:t>שלשה</w:t>
      </w:r>
      <w:r>
        <w:rPr>
          <w:rFonts w:cs="Arial"/>
          <w:rtl/>
        </w:rPr>
        <w:t xml:space="preserve"> </w:t>
      </w:r>
      <w:r>
        <w:rPr>
          <w:rFonts w:cs="Arial" w:hint="cs"/>
          <w:rtl/>
        </w:rPr>
        <w:t>יודי</w:t>
      </w:r>
      <w:r>
        <w:rPr>
          <w:rFonts w:cs="Arial"/>
          <w:rtl/>
        </w:rPr>
        <w:t>"</w:t>
      </w:r>
      <w:r>
        <w:rPr>
          <w:rFonts w:cs="Arial" w:hint="cs"/>
          <w:rtl/>
        </w:rPr>
        <w:t>ן</w:t>
      </w:r>
      <w:r>
        <w:rPr>
          <w:rFonts w:cs="Arial"/>
          <w:rtl/>
        </w:rPr>
        <w:t xml:space="preserve"> </w:t>
      </w:r>
      <w:r>
        <w:rPr>
          <w:rFonts w:cs="Arial" w:hint="cs"/>
          <w:rtl/>
        </w:rPr>
        <w:t>רצופין</w:t>
      </w:r>
      <w:r>
        <w:rPr>
          <w:rFonts w:cs="Arial"/>
          <w:rtl/>
        </w:rPr>
        <w:t xml:space="preserve">. </w:t>
      </w:r>
      <w:r>
        <w:rPr>
          <w:rFonts w:cs="Arial" w:hint="cs"/>
          <w:rtl/>
        </w:rPr>
        <w:t>ונהגו</w:t>
      </w:r>
      <w:r>
        <w:rPr>
          <w:rFonts w:cs="Arial"/>
          <w:rtl/>
        </w:rPr>
        <w:t xml:space="preserve"> </w:t>
      </w:r>
      <w:r>
        <w:rPr>
          <w:rFonts w:cs="Arial" w:hint="cs"/>
          <w:rtl/>
        </w:rPr>
        <w:t>לכתבם</w:t>
      </w:r>
      <w:r>
        <w:rPr>
          <w:rFonts w:cs="Arial"/>
          <w:rtl/>
        </w:rPr>
        <w:t xml:space="preserve"> </w:t>
      </w:r>
      <w:r>
        <w:rPr>
          <w:rFonts w:cs="Arial" w:hint="cs"/>
          <w:rtl/>
        </w:rPr>
        <w:t>בחמשה</w:t>
      </w:r>
      <w:r>
        <w:rPr>
          <w:rFonts w:cs="Arial"/>
          <w:rtl/>
        </w:rPr>
        <w:t xml:space="preserve"> </w:t>
      </w:r>
      <w:r>
        <w:rPr>
          <w:rFonts w:cs="Arial" w:hint="cs"/>
          <w:rtl/>
        </w:rPr>
        <w:t>יודי</w:t>
      </w:r>
      <w:r>
        <w:rPr>
          <w:rFonts w:cs="Arial"/>
          <w:rtl/>
        </w:rPr>
        <w:t>"</w:t>
      </w:r>
      <w:r>
        <w:rPr>
          <w:rFonts w:cs="Arial" w:hint="cs"/>
          <w:rtl/>
        </w:rPr>
        <w:t>ן</w:t>
      </w:r>
      <w:r>
        <w:rPr>
          <w:rStyle w:val="a7"/>
          <w:rFonts w:cs="Arial"/>
          <w:rtl/>
        </w:rPr>
        <w:footnoteReference w:id="733"/>
      </w:r>
      <w:r>
        <w:rPr>
          <w:rFonts w:cs="Arial"/>
          <w:rtl/>
        </w:rPr>
        <w:t xml:space="preserve">: </w:t>
      </w:r>
      <w:r>
        <w:rPr>
          <w:rFonts w:cs="Arial" w:hint="cs"/>
          <w:rtl/>
        </w:rPr>
        <w:t>דיתיהוייין</w:t>
      </w:r>
      <w:r>
        <w:rPr>
          <w:rFonts w:cs="Arial"/>
          <w:rtl/>
        </w:rPr>
        <w:t xml:space="preserve">, </w:t>
      </w:r>
      <w:r>
        <w:rPr>
          <w:rFonts w:cs="Arial" w:hint="cs"/>
          <w:rtl/>
        </w:rPr>
        <w:t>דיתיצבייין</w:t>
      </w:r>
      <w:r>
        <w:rPr>
          <w:rFonts w:cs="Arial"/>
          <w:rtl/>
        </w:rPr>
        <w:t xml:space="preserve">. </w:t>
      </w:r>
      <w:r w:rsidRPr="00A01271">
        <w:rPr>
          <w:rFonts w:cs="Arial" w:hint="cs"/>
          <w:sz w:val="18"/>
          <w:szCs w:val="18"/>
          <w:rtl/>
        </w:rPr>
        <w:t>הגה</w:t>
      </w:r>
      <w:r w:rsidRPr="00A01271">
        <w:rPr>
          <w:rFonts w:cs="Arial"/>
          <w:sz w:val="18"/>
          <w:szCs w:val="18"/>
          <w:rtl/>
        </w:rPr>
        <w:t xml:space="preserve">: </w:t>
      </w:r>
      <w:r w:rsidRPr="00A01271">
        <w:rPr>
          <w:rFonts w:cs="Arial" w:hint="cs"/>
          <w:sz w:val="18"/>
          <w:szCs w:val="18"/>
          <w:rtl/>
        </w:rPr>
        <w:t>ויש</w:t>
      </w:r>
      <w:r w:rsidRPr="00A01271">
        <w:rPr>
          <w:rFonts w:cs="Arial"/>
          <w:sz w:val="18"/>
          <w:szCs w:val="18"/>
          <w:rtl/>
        </w:rPr>
        <w:t xml:space="preserve"> </w:t>
      </w:r>
      <w:r w:rsidRPr="00A01271">
        <w:rPr>
          <w:rFonts w:cs="Arial" w:hint="cs"/>
          <w:sz w:val="18"/>
          <w:szCs w:val="18"/>
          <w:rtl/>
        </w:rPr>
        <w:t>לכתוב</w:t>
      </w:r>
      <w:r w:rsidRPr="00A01271">
        <w:rPr>
          <w:rFonts w:cs="Arial"/>
          <w:sz w:val="18"/>
          <w:szCs w:val="18"/>
          <w:rtl/>
        </w:rPr>
        <w:t xml:space="preserve"> </w:t>
      </w:r>
      <w:r w:rsidRPr="00A01271">
        <w:rPr>
          <w:rFonts w:cs="Arial" w:hint="cs"/>
          <w:sz w:val="18"/>
          <w:szCs w:val="18"/>
          <w:rtl/>
        </w:rPr>
        <w:t>הכל</w:t>
      </w:r>
      <w:r w:rsidRPr="00A01271">
        <w:rPr>
          <w:rFonts w:cs="Arial"/>
          <w:sz w:val="18"/>
          <w:szCs w:val="18"/>
          <w:rtl/>
        </w:rPr>
        <w:t xml:space="preserve"> </w:t>
      </w:r>
      <w:r w:rsidRPr="00A01271">
        <w:rPr>
          <w:rFonts w:cs="Arial" w:hint="cs"/>
          <w:sz w:val="18"/>
          <w:szCs w:val="18"/>
          <w:rtl/>
        </w:rPr>
        <w:t>בשיטה</w:t>
      </w:r>
      <w:r w:rsidRPr="00A01271">
        <w:rPr>
          <w:rFonts w:cs="Arial"/>
          <w:sz w:val="18"/>
          <w:szCs w:val="18"/>
          <w:rtl/>
        </w:rPr>
        <w:t xml:space="preserve"> </w:t>
      </w:r>
      <w:r w:rsidRPr="00A01271">
        <w:rPr>
          <w:rFonts w:cs="Arial" w:hint="cs"/>
          <w:sz w:val="18"/>
          <w:szCs w:val="18"/>
          <w:rtl/>
        </w:rPr>
        <w:t>אחת</w:t>
      </w:r>
      <w:r w:rsidRPr="00A01271">
        <w:rPr>
          <w:rFonts w:cs="Arial"/>
          <w:sz w:val="18"/>
          <w:szCs w:val="18"/>
          <w:rtl/>
        </w:rPr>
        <w:t xml:space="preserve">: </w:t>
      </w:r>
      <w:r w:rsidRPr="00A01271">
        <w:rPr>
          <w:rFonts w:cs="Arial" w:hint="cs"/>
          <w:sz w:val="18"/>
          <w:szCs w:val="18"/>
          <w:rtl/>
        </w:rPr>
        <w:t>דיתיהוייין</w:t>
      </w:r>
      <w:r>
        <w:rPr>
          <w:rFonts w:cs="Arial" w:hint="cs"/>
          <w:sz w:val="18"/>
          <w:szCs w:val="18"/>
          <w:rtl/>
        </w:rPr>
        <w:t>.</w:t>
      </w:r>
      <w:r w:rsidRPr="00A01271">
        <w:rPr>
          <w:rFonts w:cs="Arial"/>
          <w:sz w:val="18"/>
          <w:szCs w:val="18"/>
          <w:rtl/>
        </w:rPr>
        <w:t xml:space="preserve"> </w:t>
      </w:r>
      <w:r w:rsidRPr="00A01271">
        <w:rPr>
          <w:rFonts w:cs="Arial" w:hint="cs"/>
          <w:sz w:val="18"/>
          <w:szCs w:val="18"/>
          <w:rtl/>
        </w:rPr>
        <w:t>דיתיצבייין</w:t>
      </w:r>
      <w:r>
        <w:rPr>
          <w:rFonts w:cs="Arial" w:hint="cs"/>
          <w:sz w:val="18"/>
          <w:szCs w:val="18"/>
          <w:rtl/>
        </w:rPr>
        <w:t>.</w:t>
      </w:r>
      <w:r w:rsidRPr="00A01271">
        <w:rPr>
          <w:rFonts w:cs="Arial"/>
          <w:sz w:val="18"/>
          <w:szCs w:val="18"/>
          <w:rtl/>
        </w:rPr>
        <w:t xml:space="preserve"> </w:t>
      </w:r>
      <w:r w:rsidRPr="00A01271">
        <w:rPr>
          <w:rFonts w:cs="Arial" w:hint="cs"/>
          <w:sz w:val="18"/>
          <w:szCs w:val="18"/>
          <w:rtl/>
        </w:rPr>
        <w:t>אבל</w:t>
      </w:r>
      <w:r w:rsidRPr="00A01271">
        <w:rPr>
          <w:rFonts w:cs="Arial"/>
          <w:sz w:val="18"/>
          <w:szCs w:val="18"/>
          <w:rtl/>
        </w:rPr>
        <w:t xml:space="preserve"> </w:t>
      </w:r>
      <w:r w:rsidRPr="00A01271">
        <w:rPr>
          <w:rFonts w:cs="Arial" w:hint="cs"/>
          <w:sz w:val="18"/>
          <w:szCs w:val="18"/>
          <w:rtl/>
        </w:rPr>
        <w:t>אם</w:t>
      </w:r>
      <w:r w:rsidRPr="00A01271">
        <w:rPr>
          <w:rFonts w:cs="Arial"/>
          <w:sz w:val="18"/>
          <w:szCs w:val="18"/>
          <w:rtl/>
        </w:rPr>
        <w:t xml:space="preserve"> </w:t>
      </w:r>
      <w:r w:rsidRPr="00A01271">
        <w:rPr>
          <w:rFonts w:cs="Arial" w:hint="cs"/>
          <w:sz w:val="18"/>
          <w:szCs w:val="18"/>
          <w:rtl/>
        </w:rPr>
        <w:t>כתב</w:t>
      </w:r>
      <w:r w:rsidRPr="00A01271">
        <w:rPr>
          <w:rFonts w:cs="Arial"/>
          <w:sz w:val="18"/>
          <w:szCs w:val="18"/>
          <w:rtl/>
        </w:rPr>
        <w:t xml:space="preserve"> </w:t>
      </w:r>
      <w:r w:rsidRPr="00A01271">
        <w:rPr>
          <w:rFonts w:cs="Arial" w:hint="cs"/>
          <w:sz w:val="18"/>
          <w:szCs w:val="18"/>
          <w:rtl/>
        </w:rPr>
        <w:t>די</w:t>
      </w:r>
      <w:r w:rsidRPr="00A01271">
        <w:rPr>
          <w:rFonts w:cs="Arial"/>
          <w:sz w:val="18"/>
          <w:szCs w:val="18"/>
          <w:rtl/>
        </w:rPr>
        <w:t xml:space="preserve"> </w:t>
      </w:r>
      <w:r w:rsidRPr="00A01271">
        <w:rPr>
          <w:rFonts w:cs="Arial" w:hint="cs"/>
          <w:sz w:val="18"/>
          <w:szCs w:val="18"/>
          <w:rtl/>
        </w:rPr>
        <w:t>בשיטה</w:t>
      </w:r>
      <w:r w:rsidRPr="00A01271">
        <w:rPr>
          <w:rFonts w:cs="Arial"/>
          <w:sz w:val="18"/>
          <w:szCs w:val="18"/>
          <w:rtl/>
        </w:rPr>
        <w:t xml:space="preserve"> </w:t>
      </w:r>
      <w:r w:rsidRPr="00A01271">
        <w:rPr>
          <w:rFonts w:cs="Arial" w:hint="cs"/>
          <w:sz w:val="18"/>
          <w:szCs w:val="18"/>
          <w:rtl/>
        </w:rPr>
        <w:t>אחת</w:t>
      </w:r>
      <w:r w:rsidRPr="00A01271">
        <w:rPr>
          <w:rFonts w:cs="Arial"/>
          <w:sz w:val="18"/>
          <w:szCs w:val="18"/>
          <w:rtl/>
        </w:rPr>
        <w:t xml:space="preserve">, </w:t>
      </w:r>
      <w:r w:rsidRPr="00A01271">
        <w:rPr>
          <w:rFonts w:cs="Arial" w:hint="cs"/>
          <w:sz w:val="18"/>
          <w:szCs w:val="18"/>
          <w:rtl/>
        </w:rPr>
        <w:t>והשאר</w:t>
      </w:r>
      <w:r w:rsidRPr="00A01271">
        <w:rPr>
          <w:rFonts w:cs="Arial"/>
          <w:sz w:val="18"/>
          <w:szCs w:val="18"/>
          <w:rtl/>
        </w:rPr>
        <w:t xml:space="preserve"> </w:t>
      </w:r>
      <w:r w:rsidRPr="00A01271">
        <w:rPr>
          <w:rFonts w:cs="Arial" w:hint="cs"/>
          <w:sz w:val="18"/>
          <w:szCs w:val="18"/>
          <w:rtl/>
        </w:rPr>
        <w:t>בשיטה</w:t>
      </w:r>
      <w:r w:rsidRPr="00A01271">
        <w:rPr>
          <w:rFonts w:cs="Arial"/>
          <w:sz w:val="18"/>
          <w:szCs w:val="18"/>
          <w:rtl/>
        </w:rPr>
        <w:t xml:space="preserve"> </w:t>
      </w:r>
      <w:r w:rsidRPr="00A01271">
        <w:rPr>
          <w:rFonts w:cs="Arial" w:hint="cs"/>
          <w:sz w:val="18"/>
          <w:szCs w:val="18"/>
          <w:rtl/>
        </w:rPr>
        <w:t>שניה</w:t>
      </w:r>
      <w:r w:rsidRPr="00A01271">
        <w:rPr>
          <w:rFonts w:cs="Arial"/>
          <w:sz w:val="18"/>
          <w:szCs w:val="18"/>
          <w:rtl/>
        </w:rPr>
        <w:t xml:space="preserve">, </w:t>
      </w:r>
      <w:r w:rsidRPr="00A01271">
        <w:rPr>
          <w:rFonts w:cs="Arial" w:hint="cs"/>
          <w:sz w:val="18"/>
          <w:szCs w:val="18"/>
          <w:rtl/>
        </w:rPr>
        <w:t>יש</w:t>
      </w:r>
      <w:r w:rsidRPr="00A01271">
        <w:rPr>
          <w:rFonts w:cs="Arial"/>
          <w:sz w:val="18"/>
          <w:szCs w:val="18"/>
          <w:rtl/>
        </w:rPr>
        <w:t xml:space="preserve"> </w:t>
      </w:r>
      <w:r w:rsidRPr="00A01271">
        <w:rPr>
          <w:rFonts w:cs="Arial" w:hint="cs"/>
          <w:sz w:val="18"/>
          <w:szCs w:val="18"/>
          <w:rtl/>
        </w:rPr>
        <w:t>פוסלין</w:t>
      </w:r>
      <w:r>
        <w:rPr>
          <w:rStyle w:val="a7"/>
          <w:rFonts w:cs="Arial"/>
          <w:sz w:val="18"/>
          <w:szCs w:val="18"/>
          <w:rtl/>
        </w:rPr>
        <w:footnoteReference w:id="734"/>
      </w:r>
      <w:r w:rsidRPr="00A01271">
        <w:rPr>
          <w:rFonts w:cs="Arial"/>
          <w:sz w:val="18"/>
          <w:szCs w:val="18"/>
          <w:rtl/>
        </w:rPr>
        <w:t xml:space="preserve"> (</w:t>
      </w:r>
      <w:r w:rsidRPr="00A01271">
        <w:rPr>
          <w:rFonts w:cs="Arial" w:hint="cs"/>
          <w:sz w:val="18"/>
          <w:szCs w:val="18"/>
          <w:rtl/>
        </w:rPr>
        <w:t>מהרי</w:t>
      </w:r>
      <w:r w:rsidRPr="00A01271">
        <w:rPr>
          <w:rFonts w:cs="Arial"/>
          <w:sz w:val="18"/>
          <w:szCs w:val="18"/>
          <w:rtl/>
        </w:rPr>
        <w:t>"</w:t>
      </w:r>
      <w:r w:rsidRPr="00A01271">
        <w:rPr>
          <w:rFonts w:cs="Arial" w:hint="cs"/>
          <w:sz w:val="18"/>
          <w:szCs w:val="18"/>
          <w:rtl/>
        </w:rPr>
        <w:t>ו</w:t>
      </w:r>
      <w:r w:rsidRPr="00A01271">
        <w:rPr>
          <w:rFonts w:cs="Arial"/>
          <w:sz w:val="18"/>
          <w:szCs w:val="18"/>
          <w:rtl/>
        </w:rPr>
        <w:t xml:space="preserve"> </w:t>
      </w:r>
      <w:r w:rsidRPr="00A01271">
        <w:rPr>
          <w:rFonts w:cs="Arial" w:hint="cs"/>
          <w:sz w:val="18"/>
          <w:szCs w:val="18"/>
          <w:rtl/>
        </w:rPr>
        <w:t>ומהרי</w:t>
      </w:r>
      <w:r w:rsidRPr="00A01271">
        <w:rPr>
          <w:rFonts w:cs="Arial"/>
          <w:sz w:val="18"/>
          <w:szCs w:val="18"/>
          <w:rtl/>
        </w:rPr>
        <w:t>"</w:t>
      </w:r>
      <w:r w:rsidRPr="00A01271">
        <w:rPr>
          <w:rFonts w:cs="Arial" w:hint="cs"/>
          <w:sz w:val="18"/>
          <w:szCs w:val="18"/>
          <w:rtl/>
        </w:rPr>
        <w:t>ל</w:t>
      </w:r>
      <w:r w:rsidRPr="00A01271">
        <w:rPr>
          <w:rFonts w:cs="Arial"/>
          <w:sz w:val="18"/>
          <w:szCs w:val="18"/>
          <w:rtl/>
        </w:rPr>
        <w:t xml:space="preserve">, </w:t>
      </w:r>
      <w:r w:rsidRPr="00A01271">
        <w:rPr>
          <w:rFonts w:cs="Arial" w:hint="cs"/>
          <w:sz w:val="18"/>
          <w:szCs w:val="18"/>
          <w:rtl/>
        </w:rPr>
        <w:t>כן</w:t>
      </w:r>
      <w:r w:rsidRPr="00A01271">
        <w:rPr>
          <w:rFonts w:cs="Arial"/>
          <w:sz w:val="18"/>
          <w:szCs w:val="18"/>
          <w:rtl/>
        </w:rPr>
        <w:t xml:space="preserve"> </w:t>
      </w:r>
      <w:r w:rsidRPr="00A01271">
        <w:rPr>
          <w:rFonts w:cs="Arial" w:hint="cs"/>
          <w:sz w:val="18"/>
          <w:szCs w:val="18"/>
          <w:rtl/>
        </w:rPr>
        <w:t>הוא</w:t>
      </w:r>
      <w:r w:rsidRPr="00A01271">
        <w:rPr>
          <w:rFonts w:cs="Arial"/>
          <w:sz w:val="18"/>
          <w:szCs w:val="18"/>
          <w:rtl/>
        </w:rPr>
        <w:t xml:space="preserve"> </w:t>
      </w:r>
      <w:r w:rsidRPr="00A01271">
        <w:rPr>
          <w:rFonts w:cs="Arial" w:hint="cs"/>
          <w:sz w:val="18"/>
          <w:szCs w:val="18"/>
          <w:rtl/>
        </w:rPr>
        <w:t>בסדרים</w:t>
      </w:r>
      <w:r w:rsidRPr="00A01271">
        <w:rPr>
          <w:rFonts w:cs="Arial"/>
          <w:sz w:val="18"/>
          <w:szCs w:val="18"/>
          <w:rtl/>
        </w:rPr>
        <w:t xml:space="preserve"> </w:t>
      </w:r>
      <w:r w:rsidRPr="00A01271">
        <w:rPr>
          <w:rFonts w:cs="Arial" w:hint="cs"/>
          <w:sz w:val="18"/>
          <w:szCs w:val="18"/>
          <w:rtl/>
        </w:rPr>
        <w:t>בשמם</w:t>
      </w:r>
      <w:r w:rsidRPr="00A01271">
        <w:rPr>
          <w:rFonts w:cs="Arial"/>
          <w:sz w:val="18"/>
          <w:szCs w:val="18"/>
          <w:rtl/>
        </w:rPr>
        <w:t>).</w:t>
      </w:r>
    </w:p>
    <w:p w14:paraId="49F04E4B" w14:textId="77777777" w:rsidR="00FA2119" w:rsidRDefault="00FA2119" w:rsidP="00FA2119">
      <w:pPr>
        <w:rPr>
          <w:rFonts w:cs="Arial"/>
          <w:rtl/>
        </w:rPr>
      </w:pPr>
      <w:r w:rsidRPr="00445ABC">
        <w:rPr>
          <w:rFonts w:cs="Arial"/>
          <w:u w:val="single"/>
          <w:rtl/>
        </w:rPr>
        <w:t xml:space="preserve">גט שנשבר רגל השני מהתי"ו של </w:t>
      </w:r>
      <w:r>
        <w:rPr>
          <w:rFonts w:cs="Arial" w:hint="cs"/>
          <w:u w:val="single"/>
          <w:rtl/>
        </w:rPr>
        <w:t>'</w:t>
      </w:r>
      <w:r w:rsidRPr="00445ABC">
        <w:rPr>
          <w:rFonts w:cs="Arial"/>
          <w:u w:val="single"/>
          <w:rtl/>
        </w:rPr>
        <w:t>דהוית</w:t>
      </w:r>
      <w:r>
        <w:rPr>
          <w:rFonts w:cs="Arial" w:hint="cs"/>
          <w:u w:val="single"/>
          <w:rtl/>
        </w:rPr>
        <w:t>'</w:t>
      </w:r>
      <w:r w:rsidRPr="00445ABC">
        <w:rPr>
          <w:rFonts w:cs="Arial"/>
          <w:u w:val="single"/>
          <w:rtl/>
        </w:rPr>
        <w:t xml:space="preserve"> באמצע</w:t>
      </w:r>
      <w:r>
        <w:rPr>
          <w:rFonts w:cs="Arial" w:hint="cs"/>
          <w:u w:val="single"/>
          <w:rtl/>
        </w:rPr>
        <w:t>,</w:t>
      </w:r>
      <w:r w:rsidRPr="00445ABC">
        <w:rPr>
          <w:rFonts w:cs="Arial"/>
          <w:u w:val="single"/>
          <w:rtl/>
        </w:rPr>
        <w:t xml:space="preserve"> ונראית כה"א</w:t>
      </w:r>
      <w:r w:rsidRPr="00445ABC">
        <w:rPr>
          <w:rFonts w:cs="Arial" w:hint="cs"/>
          <w:u w:val="single"/>
          <w:rtl/>
        </w:rPr>
        <w:t>:</w:t>
      </w:r>
      <w:r>
        <w:rPr>
          <w:rFonts w:cs="Arial" w:hint="cs"/>
          <w:rtl/>
        </w:rPr>
        <w:t xml:space="preserve"> </w:t>
      </w:r>
      <w:r w:rsidRPr="00445ABC">
        <w:rPr>
          <w:rFonts w:cs="Arial" w:hint="cs"/>
          <w:sz w:val="16"/>
          <w:szCs w:val="16"/>
          <w:rtl/>
        </w:rPr>
        <w:t xml:space="preserve">(פת"ש סקי"ט) </w:t>
      </w:r>
    </w:p>
    <w:p w14:paraId="22F877BA" w14:textId="2C67B2A3" w:rsidR="00FA2119" w:rsidRDefault="00FA2119" w:rsidP="00FA2119">
      <w:pPr>
        <w:pStyle w:val="ab"/>
        <w:numPr>
          <w:ilvl w:val="0"/>
          <w:numId w:val="53"/>
        </w:numPr>
        <w:rPr>
          <w:rtl/>
        </w:rPr>
      </w:pPr>
      <w:r w:rsidRPr="00445ABC">
        <w:rPr>
          <w:rFonts w:cs="Arial"/>
          <w:rtl/>
        </w:rPr>
        <w:lastRenderedPageBreak/>
        <w:t xml:space="preserve">נו"ב </w:t>
      </w:r>
      <w:r w:rsidRPr="00445ABC">
        <w:rPr>
          <w:rFonts w:cs="Arial" w:hint="cs"/>
          <w:sz w:val="16"/>
          <w:szCs w:val="16"/>
          <w:rtl/>
        </w:rPr>
        <w:t>(</w:t>
      </w:r>
      <w:r w:rsidRPr="00445ABC">
        <w:rPr>
          <w:rFonts w:cs="Arial"/>
          <w:sz w:val="16"/>
          <w:szCs w:val="16"/>
          <w:rtl/>
        </w:rPr>
        <w:t>תניינא סי' קיג</w:t>
      </w:r>
      <w:r w:rsidRPr="00445ABC">
        <w:rPr>
          <w:rFonts w:cs="Arial" w:hint="cs"/>
          <w:sz w:val="16"/>
          <w:szCs w:val="16"/>
          <w:rtl/>
        </w:rPr>
        <w:t>)</w:t>
      </w:r>
      <w:r w:rsidR="00A82951">
        <w:rPr>
          <w:rFonts w:cs="Arial" w:hint="cs"/>
          <w:rtl/>
        </w:rPr>
        <w:t>-</w:t>
      </w:r>
      <w:r w:rsidRPr="00445ABC">
        <w:rPr>
          <w:rFonts w:cs="Arial"/>
          <w:rtl/>
        </w:rPr>
        <w:t xml:space="preserve"> בדבר הגט שנשבר רגל השני מהתי"ו של דהוית באמצע ונראית כה"א</w:t>
      </w:r>
      <w:r w:rsidR="00E30E23">
        <w:rPr>
          <w:rFonts w:cs="Arial" w:hint="cs"/>
          <w:rtl/>
        </w:rPr>
        <w:t xml:space="preserve">... </w:t>
      </w:r>
      <w:r w:rsidRPr="00445ABC">
        <w:rPr>
          <w:rFonts w:cs="Arial"/>
          <w:rtl/>
        </w:rPr>
        <w:t>אף דיש כאן שינוי משמעות כי דהוית הוא מדבר לנוכח שהיית אשתי</w:t>
      </w:r>
      <w:r w:rsidR="00E30E23">
        <w:rPr>
          <w:rFonts w:cs="Arial" w:hint="cs"/>
          <w:rtl/>
        </w:rPr>
        <w:t>,</w:t>
      </w:r>
      <w:r w:rsidRPr="00445ABC">
        <w:rPr>
          <w:rFonts w:cs="Arial"/>
          <w:rtl/>
        </w:rPr>
        <w:t xml:space="preserve"> אבל אם בה"א הוא מדבר על אשה נסתרת שהיתה אנתתו</w:t>
      </w:r>
      <w:r w:rsidR="00E30E23">
        <w:rPr>
          <w:rFonts w:cs="Arial" w:hint="cs"/>
          <w:rtl/>
        </w:rPr>
        <w:t>,</w:t>
      </w:r>
      <w:r w:rsidRPr="00445ABC">
        <w:rPr>
          <w:rFonts w:cs="Arial"/>
          <w:rtl/>
        </w:rPr>
        <w:t xml:space="preserve"> מ"מ בדיעבד או במקום עיגון כשר</w:t>
      </w:r>
      <w:r w:rsidR="00E30E23">
        <w:rPr>
          <w:rFonts w:cs="Arial" w:hint="cs"/>
          <w:rtl/>
        </w:rPr>
        <w:t>,</w:t>
      </w:r>
      <w:r w:rsidRPr="00445ABC">
        <w:rPr>
          <w:rFonts w:cs="Arial"/>
          <w:rtl/>
        </w:rPr>
        <w:t xml:space="preserve"> וכמ"ש הפר"ח סקכ"ח (על ענין אחר כיוצא בו)</w:t>
      </w:r>
      <w:r w:rsidR="00E30E23">
        <w:rPr>
          <w:rFonts w:cs="Arial" w:hint="cs"/>
          <w:rtl/>
        </w:rPr>
        <w:t>.</w:t>
      </w:r>
      <w:r w:rsidRPr="00445ABC">
        <w:rPr>
          <w:rFonts w:cs="Arial"/>
          <w:rtl/>
        </w:rPr>
        <w:t xml:space="preserve"> ואף שמבואר בש"ע סי' קכ"ו סכ"ב שאם לא כתב היודין היתרות דהיינו תהוייין תצבייין הרי זה פסול</w:t>
      </w:r>
      <w:r w:rsidR="00E30E23">
        <w:rPr>
          <w:rFonts w:cs="Arial" w:hint="cs"/>
          <w:rtl/>
        </w:rPr>
        <w:t>,</w:t>
      </w:r>
      <w:r w:rsidRPr="00445ABC">
        <w:rPr>
          <w:rFonts w:cs="Arial"/>
          <w:rtl/>
        </w:rPr>
        <w:t xml:space="preserve"> שם גרע טפי שהרי תהוייין רשאה ושלטאה בנפשיכי למהך להתנסבא כו' הוא עיקר הכריתות</w:t>
      </w:r>
      <w:r w:rsidR="00E30E23">
        <w:rPr>
          <w:rFonts w:cs="Arial" w:hint="cs"/>
          <w:rtl/>
        </w:rPr>
        <w:t>,</w:t>
      </w:r>
      <w:r w:rsidRPr="00445ABC">
        <w:rPr>
          <w:rFonts w:cs="Arial"/>
          <w:rtl/>
        </w:rPr>
        <w:t xml:space="preserve"> ואם זה חסר בגט או שמשמעותו על נשים דעלמא לא התיר אותה בכל הגט והרי את מותרת אינו היתר נשואין רק היתר זנות שתשאר מותרת לכל אדם כמבואר בפוסקים</w:t>
      </w:r>
      <w:r w:rsidR="00E30E23">
        <w:rPr>
          <w:rFonts w:cs="Arial" w:hint="cs"/>
          <w:rtl/>
        </w:rPr>
        <w:t>,</w:t>
      </w:r>
      <w:r w:rsidRPr="00445ABC">
        <w:rPr>
          <w:rFonts w:cs="Arial"/>
          <w:rtl/>
        </w:rPr>
        <w:t xml:space="preserve"> ועיקר ההיתר הוא למהך להתנסבא</w:t>
      </w:r>
      <w:r w:rsidR="00E30E23">
        <w:rPr>
          <w:rFonts w:cs="Arial" w:hint="cs"/>
          <w:rtl/>
        </w:rPr>
        <w:t>,</w:t>
      </w:r>
      <w:r w:rsidRPr="00445ABC">
        <w:rPr>
          <w:rFonts w:cs="Arial"/>
          <w:rtl/>
        </w:rPr>
        <w:t xml:space="preserve"> ואם יש כאן משמעות על נשים דעלמא לא התיר אותה</w:t>
      </w:r>
      <w:r w:rsidR="00E30E23">
        <w:rPr>
          <w:rFonts w:cs="Arial" w:hint="cs"/>
          <w:rtl/>
        </w:rPr>
        <w:t>.</w:t>
      </w:r>
      <w:r w:rsidRPr="00445ABC">
        <w:rPr>
          <w:rFonts w:cs="Arial"/>
          <w:rtl/>
        </w:rPr>
        <w:t xml:space="preserve"> אבל דהוית אנתתי אפי' כתב דהויה וקאי על אחרת אין זה תורף הגט והרי אח"כ חוזר לדבר אליה יתיכי ליכי די תיהוייין כו' בנפשכי כו'</w:t>
      </w:r>
      <w:r w:rsidR="00E30E23">
        <w:rPr>
          <w:rFonts w:cs="Arial" w:hint="cs"/>
          <w:rtl/>
        </w:rPr>
        <w:t>,</w:t>
      </w:r>
      <w:r w:rsidRPr="00445ABC">
        <w:rPr>
          <w:rFonts w:cs="Arial"/>
          <w:rtl/>
        </w:rPr>
        <w:t xml:space="preserve"> וא"כ הרי התיר אותה ומה לנו אם כתב באמצע הגט דהויה</w:t>
      </w:r>
      <w:r w:rsidR="00E30E23">
        <w:rPr>
          <w:rFonts w:cs="Arial" w:hint="cs"/>
          <w:rtl/>
        </w:rPr>
        <w:t>.</w:t>
      </w:r>
      <w:r w:rsidRPr="00445ABC">
        <w:rPr>
          <w:rFonts w:cs="Arial"/>
          <w:rtl/>
        </w:rPr>
        <w:t xml:space="preserve"> ועכ"פ במקום עיגון כשר</w:t>
      </w:r>
      <w:r>
        <w:rPr>
          <w:rFonts w:hint="cs"/>
          <w:rtl/>
        </w:rPr>
        <w:t>.</w:t>
      </w:r>
    </w:p>
    <w:p w14:paraId="3115E44D" w14:textId="77777777" w:rsidR="00FA2119" w:rsidRDefault="00FA2119" w:rsidP="00FA2119">
      <w:pPr>
        <w:rPr>
          <w:rtl/>
        </w:rPr>
      </w:pPr>
    </w:p>
    <w:p w14:paraId="2FE42D9F" w14:textId="77777777" w:rsidR="00FA2119" w:rsidRPr="00445ABC" w:rsidRDefault="00FA2119" w:rsidP="00FA2119">
      <w:pPr>
        <w:pStyle w:val="2"/>
        <w:rPr>
          <w:rtl/>
        </w:rPr>
      </w:pPr>
      <w:r>
        <w:rPr>
          <w:rFonts w:hint="cs"/>
          <w:rtl/>
        </w:rPr>
        <w:t>סעיף</w:t>
      </w:r>
      <w:r>
        <w:rPr>
          <w:rtl/>
        </w:rPr>
        <w:t xml:space="preserve"> </w:t>
      </w:r>
      <w:r>
        <w:rPr>
          <w:rFonts w:hint="cs"/>
          <w:rtl/>
        </w:rPr>
        <w:t>יא: הארכת וי"ו של תרוכין, שבוקין, וכדו.</w:t>
      </w:r>
    </w:p>
    <w:p w14:paraId="5FB709D2" w14:textId="77777777" w:rsidR="00FA2119" w:rsidRPr="00CC6A56" w:rsidRDefault="00FA2119" w:rsidP="00FA2119">
      <w:pPr>
        <w:rPr>
          <w:rFonts w:cs="Arial"/>
          <w:rtl/>
        </w:rPr>
      </w:pPr>
      <w:r w:rsidRPr="00AF1871">
        <w:rPr>
          <w:rFonts w:cs="Arial" w:hint="cs"/>
          <w:b/>
          <w:bCs/>
          <w:rtl/>
        </w:rPr>
        <w:t xml:space="preserve">גיטין </w:t>
      </w:r>
      <w:r w:rsidRPr="00AF1871">
        <w:rPr>
          <w:rFonts w:cs="Arial" w:hint="cs"/>
          <w:b/>
          <w:bCs/>
          <w:sz w:val="16"/>
          <w:szCs w:val="16"/>
          <w:rtl/>
        </w:rPr>
        <w:t>(</w:t>
      </w:r>
      <w:r>
        <w:rPr>
          <w:rFonts w:cs="Arial" w:hint="cs"/>
          <w:b/>
          <w:bCs/>
          <w:sz w:val="16"/>
          <w:szCs w:val="16"/>
          <w:rtl/>
        </w:rPr>
        <w:t xml:space="preserve">פ' </w:t>
      </w:r>
      <w:r w:rsidRPr="00AF1871">
        <w:rPr>
          <w:rFonts w:cs="Arial" w:hint="cs"/>
          <w:b/>
          <w:bCs/>
          <w:sz w:val="16"/>
          <w:szCs w:val="16"/>
          <w:rtl/>
        </w:rPr>
        <w:t>המגרש)</w:t>
      </w:r>
      <w:r w:rsidRPr="00AF1871">
        <w:rPr>
          <w:rFonts w:cs="Arial" w:hint="cs"/>
          <w:b/>
          <w:bCs/>
          <w:rtl/>
        </w:rPr>
        <w:t xml:space="preserve"> פה ע"ב:</w:t>
      </w:r>
      <w:r>
        <w:rPr>
          <w:rFonts w:cs="Arial" w:hint="cs"/>
          <w:rtl/>
        </w:rPr>
        <w:t xml:space="preserve"> </w:t>
      </w:r>
      <w:r w:rsidRPr="00D33273">
        <w:rPr>
          <w:rFonts w:cs="Arial"/>
          <w:u w:val="single"/>
          <w:rtl/>
        </w:rPr>
        <w:t>אמר אביי</w:t>
      </w:r>
      <w:r w:rsidRPr="00D33273">
        <w:rPr>
          <w:rFonts w:cs="Arial"/>
          <w:rtl/>
        </w:rPr>
        <w:t>: האי מאן דכתב גיטא</w:t>
      </w:r>
      <w:r>
        <w:rPr>
          <w:rFonts w:cs="Arial" w:hint="cs"/>
          <w:rtl/>
        </w:rPr>
        <w:t>...</w:t>
      </w:r>
      <w:r w:rsidRPr="00D33273">
        <w:rPr>
          <w:rFonts w:cs="Arial"/>
          <w:rtl/>
        </w:rPr>
        <w:t xml:space="preserve"> ולורכיה לוי"ו דתירוכין</w:t>
      </w:r>
      <w:r>
        <w:rPr>
          <w:rFonts w:cs="Arial" w:hint="cs"/>
          <w:rtl/>
        </w:rPr>
        <w:t>,</w:t>
      </w:r>
      <w:r w:rsidRPr="00D33273">
        <w:rPr>
          <w:rFonts w:cs="Arial"/>
          <w:rtl/>
        </w:rPr>
        <w:t xml:space="preserve"> ולוי"ו דשבוקין</w:t>
      </w:r>
      <w:r>
        <w:rPr>
          <w:rFonts w:cs="Arial" w:hint="cs"/>
          <w:rtl/>
        </w:rPr>
        <w:t>,</w:t>
      </w:r>
      <w:r w:rsidRPr="00D33273">
        <w:rPr>
          <w:rFonts w:cs="Arial"/>
          <w:rtl/>
        </w:rPr>
        <w:t xml:space="preserve"> דמשמע תריכין ושביקין</w:t>
      </w:r>
      <w:r>
        <w:rPr>
          <w:rStyle w:val="a7"/>
          <w:rFonts w:cs="Arial"/>
          <w:rtl/>
        </w:rPr>
        <w:footnoteReference w:id="735"/>
      </w:r>
      <w:r>
        <w:rPr>
          <w:rFonts w:cs="Arial" w:hint="cs"/>
          <w:rtl/>
        </w:rPr>
        <w:t>.</w:t>
      </w:r>
      <w:r w:rsidRPr="00D33273">
        <w:rPr>
          <w:rFonts w:cs="Arial"/>
          <w:rtl/>
        </w:rPr>
        <w:t xml:space="preserve"> ולורכיה לוי"ו דכדו</w:t>
      </w:r>
      <w:r>
        <w:rPr>
          <w:rFonts w:cs="Arial" w:hint="cs"/>
          <w:rtl/>
        </w:rPr>
        <w:t>,</w:t>
      </w:r>
      <w:r w:rsidRPr="00D33273">
        <w:rPr>
          <w:rFonts w:cs="Arial"/>
          <w:rtl/>
        </w:rPr>
        <w:t xml:space="preserve"> דמשמע וכדי</w:t>
      </w:r>
      <w:r>
        <w:rPr>
          <w:rFonts w:hint="cs"/>
          <w:rtl/>
        </w:rPr>
        <w:t>.</w:t>
      </w:r>
    </w:p>
    <w:p w14:paraId="0C00AE0F" w14:textId="77777777" w:rsidR="00FA2119" w:rsidRPr="001A11BF" w:rsidRDefault="00FA2119" w:rsidP="00FA2119">
      <w:pPr>
        <w:rPr>
          <w:u w:val="single"/>
          <w:rtl/>
        </w:rPr>
      </w:pPr>
      <w:r w:rsidRPr="001A11BF">
        <w:rPr>
          <w:rFonts w:hint="cs"/>
          <w:u w:val="single"/>
          <w:rtl/>
        </w:rPr>
        <w:t>הארכת וי"ו של 'תרוכין'</w:t>
      </w:r>
      <w:r>
        <w:rPr>
          <w:rFonts w:hint="cs"/>
          <w:u w:val="single"/>
          <w:rtl/>
        </w:rPr>
        <w:t>,</w:t>
      </w:r>
      <w:r w:rsidRPr="001A11BF">
        <w:rPr>
          <w:rFonts w:hint="cs"/>
          <w:u w:val="single"/>
          <w:rtl/>
        </w:rPr>
        <w:t xml:space="preserve"> 'שבוקין'</w:t>
      </w:r>
      <w:r>
        <w:rPr>
          <w:rFonts w:hint="cs"/>
          <w:u w:val="single"/>
          <w:rtl/>
        </w:rPr>
        <w:t>,</w:t>
      </w:r>
      <w:r w:rsidRPr="001A11BF">
        <w:rPr>
          <w:rFonts w:hint="cs"/>
          <w:u w:val="single"/>
          <w:rtl/>
        </w:rPr>
        <w:t xml:space="preserve"> 'וכדו':</w:t>
      </w:r>
    </w:p>
    <w:p w14:paraId="11223717" w14:textId="25AE74A4" w:rsidR="00FA2119" w:rsidRDefault="00FA2119" w:rsidP="00FA2119">
      <w:pPr>
        <w:pStyle w:val="ab"/>
        <w:numPr>
          <w:ilvl w:val="0"/>
          <w:numId w:val="15"/>
        </w:numPr>
        <w:rPr>
          <w:rFonts w:cs="Arial"/>
        </w:rPr>
      </w:pPr>
      <w:r>
        <w:rPr>
          <w:rFonts w:cs="Arial" w:hint="cs"/>
          <w:rtl/>
        </w:rPr>
        <w:t xml:space="preserve">רמב"ם </w:t>
      </w:r>
      <w:r>
        <w:rPr>
          <w:rFonts w:cs="Arial" w:hint="cs"/>
          <w:sz w:val="16"/>
          <w:szCs w:val="16"/>
          <w:rtl/>
        </w:rPr>
        <w:t>(פ"ד הי"ג)</w:t>
      </w:r>
      <w:r w:rsidR="00A82951">
        <w:rPr>
          <w:rFonts w:cs="Arial" w:hint="cs"/>
          <w:rtl/>
        </w:rPr>
        <w:t>-</w:t>
      </w:r>
      <w:r>
        <w:rPr>
          <w:rFonts w:cs="Arial" w:hint="cs"/>
          <w:rtl/>
        </w:rPr>
        <w:t xml:space="preserve"> </w:t>
      </w:r>
      <w:r w:rsidRPr="00E74C1D">
        <w:rPr>
          <w:rFonts w:cs="Arial"/>
          <w:rtl/>
        </w:rPr>
        <w:t>וכן יאריך לואו דוכדו</w:t>
      </w:r>
      <w:r>
        <w:rPr>
          <w:rFonts w:cs="Arial" w:hint="cs"/>
          <w:rtl/>
        </w:rPr>
        <w:t>,</w:t>
      </w:r>
      <w:r w:rsidRPr="00E74C1D">
        <w:rPr>
          <w:rFonts w:cs="Arial"/>
          <w:rtl/>
        </w:rPr>
        <w:t xml:space="preserve"> שמא תדמה ליוד</w:t>
      </w:r>
      <w:r>
        <w:rPr>
          <w:rStyle w:val="a7"/>
          <w:rFonts w:cs="Arial"/>
          <w:rtl/>
        </w:rPr>
        <w:footnoteReference w:id="736"/>
      </w:r>
      <w:r w:rsidRPr="00E74C1D">
        <w:rPr>
          <w:rFonts w:cs="Arial"/>
          <w:rtl/>
        </w:rPr>
        <w:t xml:space="preserve"> ויהיה משמעו וכדי</w:t>
      </w:r>
      <w:r>
        <w:rPr>
          <w:rFonts w:cs="Arial" w:hint="cs"/>
          <w:rtl/>
        </w:rPr>
        <w:t>,</w:t>
      </w:r>
      <w:r w:rsidRPr="00E74C1D">
        <w:rPr>
          <w:rFonts w:cs="Arial"/>
          <w:rtl/>
        </w:rPr>
        <w:t xml:space="preserve"> כלומר בתנאי זה אפטור אותך</w:t>
      </w:r>
      <w:r>
        <w:rPr>
          <w:rFonts w:cs="Arial" w:hint="cs"/>
          <w:rtl/>
        </w:rPr>
        <w:t>.</w:t>
      </w:r>
      <w:r w:rsidRPr="00E74C1D">
        <w:rPr>
          <w:rFonts w:cs="Arial"/>
          <w:rtl/>
        </w:rPr>
        <w:t xml:space="preserve"> וכן יאריך לואו דתרוכין ושבוקין</w:t>
      </w:r>
      <w:r>
        <w:rPr>
          <w:rFonts w:cs="Arial" w:hint="cs"/>
          <w:rtl/>
        </w:rPr>
        <w:t>,</w:t>
      </w:r>
      <w:r w:rsidRPr="00E74C1D">
        <w:rPr>
          <w:rFonts w:cs="Arial"/>
          <w:rtl/>
        </w:rPr>
        <w:t xml:space="preserve"> שמא תדמה ליוד ויהיה משמעו תריכין ושביקין</w:t>
      </w:r>
      <w:r>
        <w:rPr>
          <w:rFonts w:cs="Arial" w:hint="cs"/>
          <w:rtl/>
        </w:rPr>
        <w:t>,</w:t>
      </w:r>
      <w:r w:rsidRPr="00E74C1D">
        <w:rPr>
          <w:rFonts w:cs="Arial"/>
          <w:rtl/>
        </w:rPr>
        <w:t xml:space="preserve"> כלומר שהוא אומר לה שהיא שבקה אותו וגירשה אותו</w:t>
      </w:r>
      <w:r>
        <w:rPr>
          <w:rFonts w:cs="Arial" w:hint="cs"/>
          <w:rtl/>
        </w:rPr>
        <w:t>.</w:t>
      </w:r>
      <w:r w:rsidRPr="00E74C1D">
        <w:rPr>
          <w:rFonts w:cs="Arial"/>
          <w:rtl/>
        </w:rPr>
        <w:t xml:space="preserve"> </w:t>
      </w:r>
      <w:r w:rsidRPr="00E74C1D">
        <w:rPr>
          <w:rFonts w:cs="Arial" w:hint="cs"/>
          <w:color w:val="E36C0A" w:themeColor="accent6" w:themeShade="BF"/>
          <w:rtl/>
        </w:rPr>
        <w:t>(וכ"פ בשו"ע)</w:t>
      </w:r>
    </w:p>
    <w:p w14:paraId="68A82553" w14:textId="7363C8D5" w:rsidR="00FA2119" w:rsidRDefault="00FA2119" w:rsidP="00FA2119">
      <w:pPr>
        <w:pStyle w:val="ab"/>
        <w:numPr>
          <w:ilvl w:val="0"/>
          <w:numId w:val="15"/>
        </w:numPr>
        <w:rPr>
          <w:rFonts w:cs="Arial"/>
        </w:rPr>
      </w:pPr>
      <w:r>
        <w:rPr>
          <w:rFonts w:cs="Arial" w:hint="cs"/>
          <w:rtl/>
        </w:rPr>
        <w:t xml:space="preserve">רא"ש </w:t>
      </w:r>
      <w:r>
        <w:rPr>
          <w:rFonts w:cs="Arial" w:hint="cs"/>
          <w:sz w:val="16"/>
          <w:szCs w:val="16"/>
          <w:rtl/>
        </w:rPr>
        <w:t>(פ"ט סי' ד)</w:t>
      </w:r>
      <w:r>
        <w:rPr>
          <w:rFonts w:cs="Arial" w:hint="cs"/>
          <w:rtl/>
        </w:rPr>
        <w:t xml:space="preserve"> וטור</w:t>
      </w:r>
      <w:r w:rsidR="00A82951">
        <w:rPr>
          <w:rFonts w:cs="Arial" w:hint="cs"/>
          <w:rtl/>
        </w:rPr>
        <w:t>-</w:t>
      </w:r>
      <w:r>
        <w:rPr>
          <w:rFonts w:cs="Arial" w:hint="cs"/>
          <w:rtl/>
        </w:rPr>
        <w:t xml:space="preserve"> </w:t>
      </w:r>
      <w:r w:rsidRPr="00967D9E">
        <w:rPr>
          <w:rFonts w:cs="Arial"/>
          <w:rtl/>
        </w:rPr>
        <w:t>ולורכיה לוי"ו דתרוכין</w:t>
      </w:r>
      <w:r>
        <w:rPr>
          <w:rFonts w:cs="Arial" w:hint="cs"/>
          <w:rtl/>
        </w:rPr>
        <w:t>,</w:t>
      </w:r>
      <w:r w:rsidRPr="00967D9E">
        <w:rPr>
          <w:rFonts w:cs="Arial"/>
          <w:rtl/>
        </w:rPr>
        <w:t xml:space="preserve"> ולוי"ו דשבוקין</w:t>
      </w:r>
      <w:r>
        <w:rPr>
          <w:rFonts w:cs="Arial" w:hint="cs"/>
          <w:rtl/>
        </w:rPr>
        <w:t>,</w:t>
      </w:r>
      <w:r w:rsidRPr="00967D9E">
        <w:rPr>
          <w:rFonts w:cs="Arial"/>
          <w:rtl/>
        </w:rPr>
        <w:t xml:space="preserve"> ולוי"ו שנייה דוכדו</w:t>
      </w:r>
      <w:r>
        <w:rPr>
          <w:rFonts w:cs="Arial" w:hint="cs"/>
          <w:rtl/>
        </w:rPr>
        <w:t>.</w:t>
      </w:r>
      <w:r w:rsidRPr="00967D9E">
        <w:rPr>
          <w:rFonts w:cs="Arial"/>
          <w:rtl/>
        </w:rPr>
        <w:t xml:space="preserve"> ולאו דוקא לורכיה טפי משאר ווי"ן</w:t>
      </w:r>
      <w:r>
        <w:rPr>
          <w:rFonts w:cs="Arial" w:hint="cs"/>
          <w:rtl/>
        </w:rPr>
        <w:t>,</w:t>
      </w:r>
      <w:r w:rsidRPr="00967D9E">
        <w:rPr>
          <w:rFonts w:cs="Arial"/>
          <w:rtl/>
        </w:rPr>
        <w:t xml:space="preserve"> אלא שצריך לדקדק בהן שלא יקצר בהן עד שיהו נראות כמו יוד</w:t>
      </w:r>
      <w:r>
        <w:rPr>
          <w:rFonts w:cs="Arial" w:hint="cs"/>
          <w:rtl/>
        </w:rPr>
        <w:t>.</w:t>
      </w:r>
      <w:r w:rsidRPr="00967D9E">
        <w:rPr>
          <w:rFonts w:cs="Arial"/>
          <w:rtl/>
        </w:rPr>
        <w:t xml:space="preserve"> </w:t>
      </w:r>
    </w:p>
    <w:p w14:paraId="15ACD54B" w14:textId="21B288BD" w:rsidR="00FA2119" w:rsidRPr="001A5B4C" w:rsidRDefault="00FA2119" w:rsidP="00FA2119">
      <w:pPr>
        <w:pStyle w:val="ab"/>
        <w:numPr>
          <w:ilvl w:val="0"/>
          <w:numId w:val="15"/>
        </w:numPr>
        <w:rPr>
          <w:rFonts w:cs="Arial"/>
          <w:rtl/>
        </w:rPr>
      </w:pPr>
      <w:r>
        <w:rPr>
          <w:rFonts w:cs="Arial" w:hint="cs"/>
          <w:rtl/>
        </w:rPr>
        <w:t>תוס'</w:t>
      </w:r>
      <w:r>
        <w:rPr>
          <w:rFonts w:cs="Arial" w:hint="cs"/>
          <w:sz w:val="16"/>
          <w:szCs w:val="16"/>
          <w:rtl/>
        </w:rPr>
        <w:t xml:space="preserve"> (פה: ד"ה </w:t>
      </w:r>
      <w:r w:rsidRPr="004A2096">
        <w:rPr>
          <w:rFonts w:cs="Arial"/>
          <w:sz w:val="16"/>
          <w:szCs w:val="16"/>
          <w:rtl/>
        </w:rPr>
        <w:t>ולורכיה</w:t>
      </w:r>
      <w:r>
        <w:rPr>
          <w:rFonts w:cs="Arial" w:hint="cs"/>
          <w:sz w:val="16"/>
          <w:szCs w:val="16"/>
          <w:rtl/>
        </w:rPr>
        <w:t>)</w:t>
      </w:r>
      <w:r>
        <w:rPr>
          <w:rFonts w:cs="Arial" w:hint="cs"/>
          <w:rtl/>
        </w:rPr>
        <w:t xml:space="preserve"> רשב"א </w:t>
      </w:r>
      <w:r>
        <w:rPr>
          <w:rFonts w:cs="Arial" w:hint="cs"/>
          <w:sz w:val="16"/>
          <w:szCs w:val="16"/>
          <w:rtl/>
        </w:rPr>
        <w:t>(</w:t>
      </w:r>
      <w:r w:rsidRPr="00BC1C77">
        <w:rPr>
          <w:rFonts w:cs="Arial"/>
          <w:sz w:val="16"/>
          <w:szCs w:val="16"/>
          <w:rtl/>
        </w:rPr>
        <w:t>פה: ד"ה הא</w:t>
      </w:r>
      <w:r>
        <w:rPr>
          <w:rFonts w:cs="Arial" w:hint="cs"/>
          <w:sz w:val="16"/>
          <w:szCs w:val="16"/>
          <w:rtl/>
        </w:rPr>
        <w:t>,</w:t>
      </w:r>
      <w:r w:rsidRPr="00BC1C77">
        <w:rPr>
          <w:rFonts w:cs="Arial" w:hint="cs"/>
          <w:sz w:val="16"/>
          <w:szCs w:val="16"/>
          <w:rtl/>
        </w:rPr>
        <w:t xml:space="preserve"> </w:t>
      </w:r>
      <w:r>
        <w:rPr>
          <w:rFonts w:cs="Arial" w:hint="cs"/>
          <w:sz w:val="16"/>
          <w:szCs w:val="16"/>
          <w:rtl/>
        </w:rPr>
        <w:t>וכ"כ הה"מ בשמו [פ"ד הי"ג])</w:t>
      </w:r>
      <w:r w:rsidRPr="00BC1C77">
        <w:rPr>
          <w:rFonts w:cs="Arial"/>
          <w:rtl/>
        </w:rPr>
        <w:t xml:space="preserve"> </w:t>
      </w:r>
      <w:r>
        <w:rPr>
          <w:rFonts w:cs="Arial"/>
          <w:rtl/>
        </w:rPr>
        <w:t xml:space="preserve">ור"ן </w:t>
      </w:r>
      <w:r w:rsidRPr="00BC1C77">
        <w:rPr>
          <w:rFonts w:cs="Arial"/>
          <w:sz w:val="16"/>
          <w:szCs w:val="16"/>
          <w:rtl/>
        </w:rPr>
        <w:t>(מה. ד"ה גרסינן)</w:t>
      </w:r>
      <w:r w:rsidR="00A82951">
        <w:rPr>
          <w:rFonts w:cs="Arial" w:hint="cs"/>
          <w:rtl/>
        </w:rPr>
        <w:t>-</w:t>
      </w:r>
      <w:r>
        <w:rPr>
          <w:rFonts w:cs="Arial" w:hint="cs"/>
          <w:rtl/>
        </w:rPr>
        <w:t xml:space="preserve"> </w:t>
      </w:r>
      <w:r w:rsidRPr="004A2096">
        <w:rPr>
          <w:rFonts w:cs="Arial"/>
          <w:rtl/>
        </w:rPr>
        <w:t>ושמא אין צריך להאריך אלא כלומר שלא יעשה קצרה שתהא נראית יו"ד</w:t>
      </w:r>
      <w:r>
        <w:rPr>
          <w:rFonts w:cs="Arial" w:hint="cs"/>
          <w:rtl/>
        </w:rPr>
        <w:t>,</w:t>
      </w:r>
      <w:r w:rsidRPr="004A2096">
        <w:rPr>
          <w:rFonts w:cs="Arial"/>
          <w:rtl/>
        </w:rPr>
        <w:t xml:space="preserve"> וכן רגל ה"א דלמהך להרחיק מן הגג שמא אין צריך להרחיק אלא שלא יחבר בגגה</w:t>
      </w:r>
      <w:r>
        <w:rPr>
          <w:rFonts w:cs="Arial" w:hint="cs"/>
          <w:rtl/>
        </w:rPr>
        <w:t>.</w:t>
      </w:r>
      <w:r w:rsidRPr="004A2096">
        <w:rPr>
          <w:rFonts w:cs="Arial"/>
          <w:rtl/>
        </w:rPr>
        <w:t xml:space="preserve"> ושמא צריך להאריך הווי"ן ולהרחיק רגל הה"א שלא יטעו העולם בזה</w:t>
      </w:r>
      <w:r>
        <w:rPr>
          <w:rFonts w:cs="Arial" w:hint="cs"/>
          <w:rtl/>
        </w:rPr>
        <w:t>.</w:t>
      </w:r>
      <w:r w:rsidRPr="004A2096">
        <w:rPr>
          <w:rFonts w:cs="Arial"/>
          <w:rtl/>
        </w:rPr>
        <w:t xml:space="preserve"> ונהגו להאריך</w:t>
      </w:r>
      <w:r>
        <w:rPr>
          <w:rStyle w:val="a7"/>
          <w:rFonts w:cs="Arial"/>
          <w:rtl/>
        </w:rPr>
        <w:footnoteReference w:id="737"/>
      </w:r>
      <w:r w:rsidRPr="004A2096">
        <w:rPr>
          <w:rFonts w:cs="Arial"/>
          <w:rtl/>
        </w:rPr>
        <w:t xml:space="preserve"> ולהרחיק</w:t>
      </w:r>
      <w:r>
        <w:rPr>
          <w:rFonts w:cs="Arial" w:hint="cs"/>
          <w:rtl/>
        </w:rPr>
        <w:t>.</w:t>
      </w:r>
      <w:r w:rsidRPr="004A2096">
        <w:rPr>
          <w:rFonts w:cs="Arial"/>
          <w:rtl/>
        </w:rPr>
        <w:t xml:space="preserve"> ומיהו ודאי דאין הגט פסול אם לא האריכן</w:t>
      </w:r>
      <w:r>
        <w:rPr>
          <w:rFonts w:cs="Arial" w:hint="cs"/>
          <w:rtl/>
        </w:rPr>
        <w:t>,</w:t>
      </w:r>
      <w:r w:rsidRPr="004A2096">
        <w:rPr>
          <w:rFonts w:cs="Arial"/>
          <w:rtl/>
        </w:rPr>
        <w:t xml:space="preserve"> וכן הה"א של מהך אם לא הרחיקה יותר מדאי</w:t>
      </w:r>
      <w:r>
        <w:rPr>
          <w:rStyle w:val="a7"/>
          <w:rFonts w:cs="Arial"/>
          <w:rtl/>
        </w:rPr>
        <w:footnoteReference w:id="738"/>
      </w:r>
      <w:r>
        <w:rPr>
          <w:rFonts w:cs="Arial" w:hint="cs"/>
          <w:sz w:val="16"/>
          <w:szCs w:val="16"/>
          <w:rtl/>
        </w:rPr>
        <w:t xml:space="preserve"> (ל' התוס')</w:t>
      </w:r>
      <w:r w:rsidRPr="004A2096">
        <w:rPr>
          <w:rFonts w:cs="Arial"/>
          <w:rtl/>
        </w:rPr>
        <w:t>.</w:t>
      </w:r>
      <w:r>
        <w:rPr>
          <w:rFonts w:cs="Arial" w:hint="cs"/>
          <w:rtl/>
        </w:rPr>
        <w:t xml:space="preserve"> </w:t>
      </w:r>
      <w:r w:rsidRPr="00E74C1D">
        <w:rPr>
          <w:rFonts w:cs="Arial" w:hint="cs"/>
          <w:color w:val="00B0F0"/>
          <w:rtl/>
        </w:rPr>
        <w:t>(כ"פ הרמ"א)</w:t>
      </w:r>
    </w:p>
    <w:p w14:paraId="227F668E" w14:textId="25461B42" w:rsidR="00FA2119" w:rsidRPr="001178FB" w:rsidRDefault="00FA2119" w:rsidP="00FA2119">
      <w:pPr>
        <w:rPr>
          <w:rFonts w:cs="Arial"/>
          <w:u w:val="single"/>
          <w:rtl/>
        </w:rPr>
      </w:pPr>
      <w:r w:rsidRPr="001178FB">
        <w:rPr>
          <w:rFonts w:cs="Arial" w:hint="cs"/>
          <w:u w:val="single"/>
          <w:rtl/>
        </w:rPr>
        <w:t>גט שהווי"ן לא ארוכים כמו שצריך</w:t>
      </w:r>
      <w:r>
        <w:rPr>
          <w:rFonts w:cs="Arial" w:hint="cs"/>
          <w:u w:val="single"/>
          <w:rtl/>
        </w:rPr>
        <w:t xml:space="preserve"> </w:t>
      </w:r>
      <w:r w:rsidR="00A82951">
        <w:rPr>
          <w:rFonts w:cs="Arial"/>
          <w:u w:val="single"/>
          <w:rtl/>
        </w:rPr>
        <w:t>-</w:t>
      </w:r>
      <w:r>
        <w:rPr>
          <w:rFonts w:cs="Arial" w:hint="cs"/>
          <w:u w:val="single"/>
          <w:rtl/>
        </w:rPr>
        <w:t xml:space="preserve"> האם הבית דין יכולים לתקנם</w:t>
      </w:r>
      <w:r w:rsidRPr="001178FB">
        <w:rPr>
          <w:rFonts w:cs="Arial" w:hint="cs"/>
          <w:u w:val="single"/>
          <w:rtl/>
        </w:rPr>
        <w:t>:</w:t>
      </w:r>
    </w:p>
    <w:p w14:paraId="0C8E13EE" w14:textId="4FA7F5E4" w:rsidR="00FA2119" w:rsidRDefault="00FA2119" w:rsidP="00FA2119">
      <w:pPr>
        <w:pStyle w:val="ab"/>
        <w:numPr>
          <w:ilvl w:val="0"/>
          <w:numId w:val="15"/>
        </w:numPr>
        <w:rPr>
          <w:rFonts w:cs="Arial"/>
        </w:rPr>
      </w:pPr>
      <w:r>
        <w:rPr>
          <w:rFonts w:cs="Arial" w:hint="cs"/>
          <w:rtl/>
        </w:rPr>
        <w:t xml:space="preserve">רא"ש </w:t>
      </w:r>
      <w:r w:rsidRPr="009624D4">
        <w:rPr>
          <w:rFonts w:cs="Arial" w:hint="cs"/>
          <w:sz w:val="16"/>
          <w:szCs w:val="16"/>
          <w:rtl/>
        </w:rPr>
        <w:t>(כלל מה סי' טו)</w:t>
      </w:r>
      <w:r>
        <w:rPr>
          <w:rFonts w:cs="Arial" w:hint="cs"/>
          <w:rtl/>
        </w:rPr>
        <w:t xml:space="preserve"> וטור</w:t>
      </w:r>
      <w:r w:rsidR="00A82951">
        <w:rPr>
          <w:rFonts w:cs="Arial" w:hint="cs"/>
          <w:rtl/>
        </w:rPr>
        <w:t>-</w:t>
      </w:r>
      <w:r>
        <w:rPr>
          <w:rFonts w:cs="Arial" w:hint="cs"/>
          <w:rtl/>
        </w:rPr>
        <w:t xml:space="preserve"> </w:t>
      </w:r>
      <w:r w:rsidRPr="00967D9E">
        <w:rPr>
          <w:rFonts w:cs="Arial"/>
          <w:rtl/>
        </w:rPr>
        <w:t>ששאלת שליח הולכה שהביא גט ולא היו הווי"ן ארוכים אם רשאין ב"ד להאריכן</w:t>
      </w:r>
      <w:r>
        <w:rPr>
          <w:rFonts w:cs="Arial" w:hint="cs"/>
          <w:rtl/>
        </w:rPr>
        <w:t>.</w:t>
      </w:r>
      <w:r w:rsidRPr="00967D9E">
        <w:rPr>
          <w:rFonts w:cs="Arial"/>
          <w:rtl/>
        </w:rPr>
        <w:t xml:space="preserve"> </w:t>
      </w:r>
      <w:r>
        <w:rPr>
          <w:rFonts w:cs="Arial" w:hint="cs"/>
          <w:rtl/>
        </w:rPr>
        <w:t xml:space="preserve">      </w:t>
      </w:r>
      <w:r w:rsidRPr="00967D9E">
        <w:rPr>
          <w:rFonts w:cs="Arial"/>
          <w:rtl/>
        </w:rPr>
        <w:t>תשובה</w:t>
      </w:r>
      <w:r>
        <w:rPr>
          <w:rFonts w:cs="Arial" w:hint="cs"/>
          <w:rtl/>
        </w:rPr>
        <w:t>:</w:t>
      </w:r>
      <w:r w:rsidRPr="00967D9E">
        <w:rPr>
          <w:rFonts w:cs="Arial"/>
          <w:rtl/>
        </w:rPr>
        <w:t xml:space="preserve"> אין יכולין להאריכן</w:t>
      </w:r>
      <w:r>
        <w:rPr>
          <w:rFonts w:cs="Arial" w:hint="cs"/>
          <w:rtl/>
        </w:rPr>
        <w:t>.</w:t>
      </w:r>
      <w:r w:rsidRPr="00967D9E">
        <w:rPr>
          <w:rFonts w:cs="Arial"/>
          <w:rtl/>
        </w:rPr>
        <w:t xml:space="preserve"> ואם ניתן לה הגט ואין הווי"ן ארוכים והבעל רחוק מכאן לא הייתי פוסלו בשביל זה</w:t>
      </w:r>
      <w:r>
        <w:rPr>
          <w:rFonts w:cs="Arial" w:hint="cs"/>
          <w:rtl/>
        </w:rPr>
        <w:t>.</w:t>
      </w:r>
      <w:r w:rsidRPr="00967D9E">
        <w:rPr>
          <w:rFonts w:cs="Arial"/>
          <w:rtl/>
        </w:rPr>
        <w:t xml:space="preserve"> וכן אם יש בו תקנת עיגון</w:t>
      </w:r>
      <w:r>
        <w:rPr>
          <w:rFonts w:cs="Arial" w:hint="cs"/>
          <w:rtl/>
        </w:rPr>
        <w:t>,</w:t>
      </w:r>
      <w:r w:rsidRPr="00967D9E">
        <w:rPr>
          <w:rFonts w:cs="Arial"/>
          <w:rtl/>
        </w:rPr>
        <w:t xml:space="preserve"> כגון שהובא ממקום רחוק</w:t>
      </w:r>
      <w:r>
        <w:rPr>
          <w:rFonts w:cs="Arial" w:hint="cs"/>
          <w:rtl/>
        </w:rPr>
        <w:t>,</w:t>
      </w:r>
      <w:r w:rsidRPr="00967D9E">
        <w:rPr>
          <w:rFonts w:cs="Arial"/>
          <w:rtl/>
        </w:rPr>
        <w:t xml:space="preserve"> יאריכו הווי"ן כי מסתמא הבעל צוה לכתוב כתיקון חכמים</w:t>
      </w:r>
      <w:r>
        <w:rPr>
          <w:rFonts w:cs="Arial" w:hint="cs"/>
          <w:rtl/>
        </w:rPr>
        <w:t>,</w:t>
      </w:r>
      <w:r w:rsidRPr="00967D9E">
        <w:rPr>
          <w:rFonts w:cs="Arial"/>
          <w:rtl/>
        </w:rPr>
        <w:t xml:space="preserve"> ואם לא כתב הסופר כראוי ניחא ליה לבעל שיתקנוהו</w:t>
      </w:r>
      <w:r>
        <w:rPr>
          <w:rFonts w:cs="Arial" w:hint="cs"/>
          <w:rtl/>
        </w:rPr>
        <w:t>.</w:t>
      </w:r>
      <w:r w:rsidRPr="00967D9E">
        <w:rPr>
          <w:rFonts w:cs="Arial"/>
          <w:rtl/>
        </w:rPr>
        <w:t xml:space="preserve"> ועל זה יש לסמוך בשעת הדחק</w:t>
      </w:r>
      <w:r>
        <w:rPr>
          <w:rFonts w:cs="Arial" w:hint="cs"/>
          <w:sz w:val="16"/>
          <w:szCs w:val="16"/>
          <w:rtl/>
        </w:rPr>
        <w:t xml:space="preserve"> (ל' הטור בשמו)</w:t>
      </w:r>
      <w:r>
        <w:rPr>
          <w:rStyle w:val="a7"/>
          <w:rFonts w:cs="Arial"/>
          <w:rtl/>
        </w:rPr>
        <w:footnoteReference w:id="739"/>
      </w:r>
      <w:r w:rsidRPr="00212303">
        <w:rPr>
          <w:rFonts w:cs="Arial" w:hint="cs"/>
          <w:rtl/>
        </w:rPr>
        <w:t>.</w:t>
      </w:r>
    </w:p>
    <w:p w14:paraId="419F49BB" w14:textId="34852F5F" w:rsidR="00FA2119" w:rsidRDefault="00FA2119" w:rsidP="00FA2119">
      <w:pPr>
        <w:pStyle w:val="ab"/>
        <w:numPr>
          <w:ilvl w:val="0"/>
          <w:numId w:val="15"/>
        </w:numPr>
        <w:rPr>
          <w:rFonts w:cs="Arial"/>
        </w:rPr>
      </w:pPr>
      <w:r w:rsidRPr="00212303">
        <w:rPr>
          <w:rFonts w:cs="Arial"/>
          <w:rtl/>
        </w:rPr>
        <w:t xml:space="preserve">ריב"ש </w:t>
      </w:r>
      <w:r w:rsidRPr="00212303">
        <w:rPr>
          <w:rFonts w:cs="Arial" w:hint="cs"/>
          <w:sz w:val="16"/>
          <w:szCs w:val="16"/>
          <w:rtl/>
        </w:rPr>
        <w:t>(</w:t>
      </w:r>
      <w:r w:rsidRPr="00212303">
        <w:rPr>
          <w:rFonts w:cs="Arial"/>
          <w:sz w:val="16"/>
          <w:szCs w:val="16"/>
          <w:rtl/>
        </w:rPr>
        <w:t>סי</w:t>
      </w:r>
      <w:r w:rsidRPr="00212303">
        <w:rPr>
          <w:rFonts w:cs="Arial" w:hint="cs"/>
          <w:sz w:val="16"/>
          <w:szCs w:val="16"/>
          <w:rtl/>
        </w:rPr>
        <w:t xml:space="preserve">' </w:t>
      </w:r>
      <w:r w:rsidRPr="00212303">
        <w:rPr>
          <w:rFonts w:cs="Arial"/>
          <w:sz w:val="16"/>
          <w:szCs w:val="16"/>
          <w:rtl/>
        </w:rPr>
        <w:t>שטו</w:t>
      </w:r>
      <w:r w:rsidRPr="00212303">
        <w:rPr>
          <w:rFonts w:cs="Arial" w:hint="cs"/>
          <w:sz w:val="16"/>
          <w:szCs w:val="16"/>
          <w:rtl/>
        </w:rPr>
        <w:t>)</w:t>
      </w:r>
      <w:r w:rsidR="00A82951">
        <w:rPr>
          <w:rFonts w:cs="Arial" w:hint="cs"/>
          <w:rtl/>
        </w:rPr>
        <w:t>-</w:t>
      </w:r>
      <w:r w:rsidRPr="00212303">
        <w:rPr>
          <w:rFonts w:cs="Arial"/>
          <w:rtl/>
        </w:rPr>
        <w:t xml:space="preserve"> לתקן בית דין הווי"ן בשעת הדחק כסברת הרא"ש הוא רחוק בעיני</w:t>
      </w:r>
      <w:r w:rsidR="00F110B3">
        <w:rPr>
          <w:rFonts w:cs="Arial" w:hint="cs"/>
          <w:rtl/>
        </w:rPr>
        <w:t>,</w:t>
      </w:r>
      <w:r w:rsidRPr="00212303">
        <w:rPr>
          <w:rFonts w:cs="Arial"/>
          <w:rtl/>
        </w:rPr>
        <w:t xml:space="preserve"> כי אם צריך תיקון איך יתקן אחר זולתי הסופר שהוא שליח הבעל</w:t>
      </w:r>
      <w:r w:rsidR="00F110B3">
        <w:rPr>
          <w:rFonts w:cs="Arial" w:hint="cs"/>
          <w:rtl/>
        </w:rPr>
        <w:t>.</w:t>
      </w:r>
      <w:r w:rsidRPr="00212303">
        <w:rPr>
          <w:rFonts w:cs="Arial"/>
          <w:rtl/>
        </w:rPr>
        <w:t xml:space="preserve"> אבל מכל מקום אני לא חששתי לאותם הווי"ן כי אני רגיל לסמוך על מה שכתב הרשב"א (ד"ה הא) על הא דאמרינן (גיטין פה:) ולורכיה לוי"ו דתרוכין וכו' לאו לאורכינהו משאר </w:t>
      </w:r>
      <w:r w:rsidRPr="00212303">
        <w:rPr>
          <w:rFonts w:cs="Arial"/>
          <w:rtl/>
        </w:rPr>
        <w:lastRenderedPageBreak/>
        <w:t>ווי"ן קאמר וכו'</w:t>
      </w:r>
      <w:r w:rsidR="00F110B3">
        <w:rPr>
          <w:rFonts w:cs="Arial" w:hint="cs"/>
          <w:rtl/>
        </w:rPr>
        <w:t>,</w:t>
      </w:r>
      <w:r w:rsidRPr="00212303">
        <w:rPr>
          <w:rFonts w:cs="Arial"/>
          <w:rtl/>
        </w:rPr>
        <w:t xml:space="preserve"> וגם מלשון הרמב"ם (פ"ד מגירושין הי"ג) נראה כן</w:t>
      </w:r>
      <w:r>
        <w:rPr>
          <w:rFonts w:cs="Arial" w:hint="cs"/>
          <w:rtl/>
        </w:rPr>
        <w:t>.</w:t>
      </w:r>
      <w:r w:rsidRPr="00212303">
        <w:rPr>
          <w:rFonts w:cs="Arial"/>
          <w:rtl/>
        </w:rPr>
        <w:t xml:space="preserve"> וכדאי אלו הדברים לסמוך עליהם</w:t>
      </w:r>
      <w:r>
        <w:rPr>
          <w:rFonts w:cs="Arial" w:hint="cs"/>
          <w:rtl/>
        </w:rPr>
        <w:t>.</w:t>
      </w:r>
      <w:r w:rsidRPr="00212303">
        <w:rPr>
          <w:rFonts w:cs="Arial"/>
          <w:rtl/>
        </w:rPr>
        <w:t xml:space="preserve"> ומה גם בשעת הדחק שאי אפשר לתקן ויש לחוש לעיגונא</w:t>
      </w:r>
      <w:r>
        <w:rPr>
          <w:rFonts w:cs="Arial" w:hint="cs"/>
          <w:rtl/>
        </w:rPr>
        <w:t>.</w:t>
      </w:r>
      <w:r w:rsidRPr="00212303">
        <w:rPr>
          <w:rFonts w:cs="Arial"/>
          <w:rtl/>
        </w:rPr>
        <w:t xml:space="preserve"> </w:t>
      </w:r>
    </w:p>
    <w:p w14:paraId="16DC7496"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2715651" w14:textId="77777777" w:rsidR="00FA2119" w:rsidRDefault="00FA2119" w:rsidP="00FA2119">
      <w:pPr>
        <w:rPr>
          <w:rFonts w:cs="Arial"/>
          <w:rtl/>
        </w:rPr>
      </w:pPr>
      <w:r>
        <w:rPr>
          <w:rFonts w:cs="Arial" w:hint="cs"/>
          <w:rtl/>
        </w:rPr>
        <w:t>יאריך</w:t>
      </w:r>
      <w:r>
        <w:rPr>
          <w:rFonts w:cs="Arial"/>
          <w:rtl/>
        </w:rPr>
        <w:t xml:space="preserve"> </w:t>
      </w:r>
      <w:r>
        <w:rPr>
          <w:rFonts w:cs="Arial" w:hint="cs"/>
          <w:rtl/>
        </w:rPr>
        <w:t>וי</w:t>
      </w:r>
      <w:r>
        <w:rPr>
          <w:rFonts w:cs="Arial"/>
          <w:rtl/>
        </w:rPr>
        <w:t>"</w:t>
      </w:r>
      <w:r>
        <w:rPr>
          <w:rFonts w:cs="Arial" w:hint="cs"/>
          <w:rtl/>
        </w:rPr>
        <w:t>ו</w:t>
      </w:r>
      <w:r>
        <w:rPr>
          <w:rFonts w:cs="Arial"/>
          <w:rtl/>
        </w:rPr>
        <w:t xml:space="preserve"> </w:t>
      </w:r>
      <w:r>
        <w:rPr>
          <w:rFonts w:cs="Arial" w:hint="cs"/>
          <w:rtl/>
        </w:rPr>
        <w:t>דתירוכין</w:t>
      </w:r>
      <w:r>
        <w:rPr>
          <w:rFonts w:cs="Arial"/>
          <w:rtl/>
        </w:rPr>
        <w:t xml:space="preserve"> </w:t>
      </w:r>
      <w:r>
        <w:rPr>
          <w:rFonts w:cs="Arial" w:hint="cs"/>
          <w:rtl/>
        </w:rPr>
        <w:t>ווי</w:t>
      </w:r>
      <w:r>
        <w:rPr>
          <w:rFonts w:cs="Arial"/>
          <w:rtl/>
        </w:rPr>
        <w:t>"</w:t>
      </w:r>
      <w:r>
        <w:rPr>
          <w:rFonts w:cs="Arial" w:hint="cs"/>
          <w:rtl/>
        </w:rPr>
        <w:t>ו</w:t>
      </w:r>
      <w:r>
        <w:rPr>
          <w:rFonts w:cs="Arial"/>
          <w:rtl/>
        </w:rPr>
        <w:t xml:space="preserve"> </w:t>
      </w:r>
      <w:r>
        <w:rPr>
          <w:rFonts w:cs="Arial" w:hint="cs"/>
          <w:rtl/>
        </w:rPr>
        <w:t>דשיבוקין</w:t>
      </w:r>
      <w:r>
        <w:rPr>
          <w:rFonts w:cs="Arial"/>
          <w:rtl/>
        </w:rPr>
        <w:t xml:space="preserve"> </w:t>
      </w:r>
      <w:r>
        <w:rPr>
          <w:rFonts w:cs="Arial" w:hint="cs"/>
          <w:rtl/>
        </w:rPr>
        <w:t>ווי</w:t>
      </w:r>
      <w:r>
        <w:rPr>
          <w:rFonts w:cs="Arial"/>
          <w:rtl/>
        </w:rPr>
        <w:t>"</w:t>
      </w:r>
      <w:r>
        <w:rPr>
          <w:rFonts w:cs="Arial" w:hint="cs"/>
          <w:rtl/>
        </w:rPr>
        <w:t>ו</w:t>
      </w:r>
      <w:r>
        <w:rPr>
          <w:rFonts w:cs="Arial"/>
          <w:rtl/>
        </w:rPr>
        <w:t xml:space="preserve"> </w:t>
      </w:r>
      <w:r>
        <w:rPr>
          <w:rFonts w:cs="Arial" w:hint="cs"/>
          <w:rtl/>
        </w:rPr>
        <w:t>שניה</w:t>
      </w:r>
      <w:r>
        <w:rPr>
          <w:rFonts w:cs="Arial"/>
          <w:rtl/>
        </w:rPr>
        <w:t xml:space="preserve"> </w:t>
      </w:r>
      <w:r>
        <w:rPr>
          <w:rFonts w:cs="Arial" w:hint="cs"/>
          <w:rtl/>
        </w:rPr>
        <w:t>דוכדו</w:t>
      </w:r>
      <w:r>
        <w:rPr>
          <w:rFonts w:cs="Arial"/>
          <w:rtl/>
        </w:rPr>
        <w:t xml:space="preserve">, </w:t>
      </w:r>
      <w:r>
        <w:rPr>
          <w:rFonts w:cs="Arial" w:hint="cs"/>
          <w:rtl/>
        </w:rPr>
        <w:t>שמא</w:t>
      </w:r>
      <w:r>
        <w:rPr>
          <w:rFonts w:cs="Arial"/>
          <w:rtl/>
        </w:rPr>
        <w:t xml:space="preserve"> </w:t>
      </w:r>
      <w:r>
        <w:rPr>
          <w:rFonts w:cs="Arial" w:hint="cs"/>
          <w:rtl/>
        </w:rPr>
        <w:t>ידמו</w:t>
      </w:r>
      <w:r>
        <w:rPr>
          <w:rFonts w:cs="Arial"/>
          <w:rtl/>
        </w:rPr>
        <w:t xml:space="preserve"> </w:t>
      </w:r>
      <w:r>
        <w:rPr>
          <w:rFonts w:cs="Arial" w:hint="cs"/>
          <w:rtl/>
        </w:rPr>
        <w:t>ליו</w:t>
      </w:r>
      <w:r>
        <w:rPr>
          <w:rFonts w:cs="Arial"/>
          <w:rtl/>
        </w:rPr>
        <w:t>"</w:t>
      </w:r>
      <w:r>
        <w:rPr>
          <w:rFonts w:cs="Arial" w:hint="cs"/>
          <w:rtl/>
        </w:rPr>
        <w:t>ד</w:t>
      </w:r>
      <w:r>
        <w:rPr>
          <w:rFonts w:cs="Arial"/>
          <w:rtl/>
        </w:rPr>
        <w:t xml:space="preserve">. </w:t>
      </w:r>
      <w:r w:rsidRPr="001A11BF">
        <w:rPr>
          <w:rFonts w:cs="Arial" w:hint="cs"/>
          <w:sz w:val="18"/>
          <w:szCs w:val="18"/>
          <w:rtl/>
        </w:rPr>
        <w:t>הגה</w:t>
      </w:r>
      <w:r w:rsidRPr="001A11BF">
        <w:rPr>
          <w:rFonts w:cs="Arial"/>
          <w:sz w:val="18"/>
          <w:szCs w:val="18"/>
          <w:rtl/>
        </w:rPr>
        <w:t xml:space="preserve">: </w:t>
      </w:r>
      <w:r w:rsidRPr="001A11BF">
        <w:rPr>
          <w:rFonts w:cs="Arial" w:hint="cs"/>
          <w:sz w:val="18"/>
          <w:szCs w:val="18"/>
          <w:rtl/>
        </w:rPr>
        <w:t>נהגו</w:t>
      </w:r>
      <w:r w:rsidRPr="001A11BF">
        <w:rPr>
          <w:rFonts w:cs="Arial"/>
          <w:sz w:val="18"/>
          <w:szCs w:val="18"/>
          <w:rtl/>
        </w:rPr>
        <w:t xml:space="preserve"> </w:t>
      </w:r>
      <w:r w:rsidRPr="001A11BF">
        <w:rPr>
          <w:rFonts w:cs="Arial" w:hint="cs"/>
          <w:sz w:val="18"/>
          <w:szCs w:val="18"/>
          <w:rtl/>
        </w:rPr>
        <w:t>להאריך</w:t>
      </w:r>
      <w:r w:rsidRPr="001A11BF">
        <w:rPr>
          <w:rFonts w:cs="Arial"/>
          <w:sz w:val="18"/>
          <w:szCs w:val="18"/>
          <w:rtl/>
        </w:rPr>
        <w:t xml:space="preserve"> </w:t>
      </w:r>
      <w:r w:rsidRPr="001A11BF">
        <w:rPr>
          <w:rFonts w:cs="Arial" w:hint="cs"/>
          <w:sz w:val="18"/>
          <w:szCs w:val="18"/>
          <w:rtl/>
        </w:rPr>
        <w:t>אלו</w:t>
      </w:r>
      <w:r w:rsidRPr="001A11BF">
        <w:rPr>
          <w:rFonts w:cs="Arial"/>
          <w:sz w:val="18"/>
          <w:szCs w:val="18"/>
          <w:rtl/>
        </w:rPr>
        <w:t xml:space="preserve"> </w:t>
      </w:r>
      <w:r w:rsidRPr="001A11BF">
        <w:rPr>
          <w:rFonts w:cs="Arial" w:hint="cs"/>
          <w:sz w:val="18"/>
          <w:szCs w:val="18"/>
          <w:rtl/>
        </w:rPr>
        <w:t>הווי</w:t>
      </w:r>
      <w:r w:rsidRPr="001A11BF">
        <w:rPr>
          <w:rFonts w:cs="Arial"/>
          <w:sz w:val="18"/>
          <w:szCs w:val="18"/>
          <w:rtl/>
        </w:rPr>
        <w:t>"</w:t>
      </w:r>
      <w:r w:rsidRPr="001A11BF">
        <w:rPr>
          <w:rFonts w:cs="Arial" w:hint="cs"/>
          <w:sz w:val="18"/>
          <w:szCs w:val="18"/>
          <w:rtl/>
        </w:rPr>
        <w:t>ן</w:t>
      </w:r>
      <w:r w:rsidRPr="001A11BF">
        <w:rPr>
          <w:rFonts w:cs="Arial"/>
          <w:sz w:val="18"/>
          <w:szCs w:val="18"/>
          <w:rtl/>
        </w:rPr>
        <w:t xml:space="preserve"> </w:t>
      </w:r>
      <w:r w:rsidRPr="001A11BF">
        <w:rPr>
          <w:rFonts w:cs="Arial" w:hint="cs"/>
          <w:sz w:val="18"/>
          <w:szCs w:val="18"/>
          <w:rtl/>
        </w:rPr>
        <w:t>יותר</w:t>
      </w:r>
      <w:r w:rsidRPr="001A11BF">
        <w:rPr>
          <w:rFonts w:cs="Arial"/>
          <w:sz w:val="18"/>
          <w:szCs w:val="18"/>
          <w:rtl/>
        </w:rPr>
        <w:t xml:space="preserve"> </w:t>
      </w:r>
      <w:r w:rsidRPr="001A11BF">
        <w:rPr>
          <w:rFonts w:cs="Arial" w:hint="cs"/>
          <w:sz w:val="18"/>
          <w:szCs w:val="18"/>
          <w:rtl/>
        </w:rPr>
        <w:t>מווי</w:t>
      </w:r>
      <w:r w:rsidRPr="001A11BF">
        <w:rPr>
          <w:rFonts w:cs="Arial"/>
          <w:sz w:val="18"/>
          <w:szCs w:val="18"/>
          <w:rtl/>
        </w:rPr>
        <w:t>"</w:t>
      </w:r>
      <w:r w:rsidRPr="001A11BF">
        <w:rPr>
          <w:rFonts w:cs="Arial" w:hint="cs"/>
          <w:sz w:val="18"/>
          <w:szCs w:val="18"/>
          <w:rtl/>
        </w:rPr>
        <w:t>ן</w:t>
      </w:r>
      <w:r w:rsidRPr="001A11BF">
        <w:rPr>
          <w:rFonts w:cs="Arial"/>
          <w:sz w:val="18"/>
          <w:szCs w:val="18"/>
          <w:rtl/>
        </w:rPr>
        <w:t xml:space="preserve"> </w:t>
      </w:r>
      <w:r w:rsidRPr="001A11BF">
        <w:rPr>
          <w:rFonts w:cs="Arial" w:hint="cs"/>
          <w:sz w:val="18"/>
          <w:szCs w:val="18"/>
          <w:rtl/>
        </w:rPr>
        <w:t>אחרים</w:t>
      </w:r>
      <w:r w:rsidRPr="001A11BF">
        <w:rPr>
          <w:rFonts w:cs="Arial"/>
          <w:sz w:val="18"/>
          <w:szCs w:val="18"/>
          <w:rtl/>
        </w:rPr>
        <w:t xml:space="preserve"> </w:t>
      </w:r>
      <w:r w:rsidRPr="001A11BF">
        <w:rPr>
          <w:rFonts w:cs="Arial" w:hint="cs"/>
          <w:sz w:val="18"/>
          <w:szCs w:val="18"/>
          <w:rtl/>
        </w:rPr>
        <w:t>קצת</w:t>
      </w:r>
      <w:r>
        <w:rPr>
          <w:rStyle w:val="a7"/>
          <w:rFonts w:cs="Arial"/>
          <w:sz w:val="18"/>
          <w:szCs w:val="18"/>
          <w:rtl/>
        </w:rPr>
        <w:footnoteReference w:id="740"/>
      </w:r>
      <w:r w:rsidRPr="001A11BF">
        <w:rPr>
          <w:rFonts w:cs="Arial"/>
          <w:sz w:val="18"/>
          <w:szCs w:val="18"/>
          <w:rtl/>
        </w:rPr>
        <w:t xml:space="preserve">, </w:t>
      </w:r>
      <w:r w:rsidRPr="001A11BF">
        <w:rPr>
          <w:rFonts w:cs="Arial" w:hint="cs"/>
          <w:sz w:val="18"/>
          <w:szCs w:val="18"/>
          <w:rtl/>
        </w:rPr>
        <w:t>אבל</w:t>
      </w:r>
      <w:r w:rsidRPr="001A11BF">
        <w:rPr>
          <w:rFonts w:cs="Arial"/>
          <w:sz w:val="18"/>
          <w:szCs w:val="18"/>
          <w:rtl/>
        </w:rPr>
        <w:t xml:space="preserve"> </w:t>
      </w:r>
      <w:r w:rsidRPr="001A11BF">
        <w:rPr>
          <w:rFonts w:cs="Arial" w:hint="cs"/>
          <w:sz w:val="18"/>
          <w:szCs w:val="18"/>
          <w:rtl/>
        </w:rPr>
        <w:t>לא</w:t>
      </w:r>
      <w:r w:rsidRPr="001A11BF">
        <w:rPr>
          <w:rFonts w:cs="Arial"/>
          <w:sz w:val="18"/>
          <w:szCs w:val="18"/>
          <w:rtl/>
        </w:rPr>
        <w:t xml:space="preserve"> </w:t>
      </w:r>
      <w:r w:rsidRPr="001A11BF">
        <w:rPr>
          <w:rFonts w:cs="Arial" w:hint="cs"/>
          <w:sz w:val="18"/>
          <w:szCs w:val="18"/>
          <w:rtl/>
        </w:rPr>
        <w:t>יאריכו</w:t>
      </w:r>
      <w:r w:rsidRPr="001A11BF">
        <w:rPr>
          <w:rFonts w:cs="Arial"/>
          <w:sz w:val="18"/>
          <w:szCs w:val="18"/>
          <w:rtl/>
        </w:rPr>
        <w:t xml:space="preserve"> </w:t>
      </w:r>
      <w:r w:rsidRPr="001A11BF">
        <w:rPr>
          <w:rFonts w:cs="Arial" w:hint="cs"/>
          <w:sz w:val="18"/>
          <w:szCs w:val="18"/>
          <w:rtl/>
        </w:rPr>
        <w:t>יותר</w:t>
      </w:r>
      <w:r w:rsidRPr="001A11BF">
        <w:rPr>
          <w:rFonts w:cs="Arial"/>
          <w:sz w:val="18"/>
          <w:szCs w:val="18"/>
          <w:rtl/>
        </w:rPr>
        <w:t xml:space="preserve"> </w:t>
      </w:r>
      <w:r w:rsidRPr="001A11BF">
        <w:rPr>
          <w:rFonts w:cs="Arial" w:hint="cs"/>
          <w:sz w:val="18"/>
          <w:szCs w:val="18"/>
          <w:rtl/>
        </w:rPr>
        <w:t>מדאי</w:t>
      </w:r>
      <w:r w:rsidRPr="001A11BF">
        <w:rPr>
          <w:rFonts w:cs="Arial"/>
          <w:sz w:val="18"/>
          <w:szCs w:val="18"/>
          <w:rtl/>
        </w:rPr>
        <w:t xml:space="preserve"> (</w:t>
      </w:r>
      <w:r w:rsidRPr="001A11BF">
        <w:rPr>
          <w:rFonts w:cs="Arial" w:hint="cs"/>
          <w:sz w:val="18"/>
          <w:szCs w:val="18"/>
          <w:rtl/>
        </w:rPr>
        <w:t>כל</w:t>
      </w:r>
      <w:r w:rsidRPr="001A11BF">
        <w:rPr>
          <w:rFonts w:cs="Arial"/>
          <w:sz w:val="18"/>
          <w:szCs w:val="18"/>
          <w:rtl/>
        </w:rPr>
        <w:t xml:space="preserve"> </w:t>
      </w:r>
      <w:r w:rsidRPr="001A11BF">
        <w:rPr>
          <w:rFonts w:cs="Arial" w:hint="cs"/>
          <w:sz w:val="18"/>
          <w:szCs w:val="18"/>
          <w:rtl/>
        </w:rPr>
        <w:t>בו</w:t>
      </w:r>
      <w:r w:rsidRPr="001A11BF">
        <w:rPr>
          <w:rFonts w:cs="Arial"/>
          <w:sz w:val="18"/>
          <w:szCs w:val="18"/>
          <w:rtl/>
        </w:rPr>
        <w:t>).</w:t>
      </w:r>
    </w:p>
    <w:p w14:paraId="71092143" w14:textId="77777777" w:rsidR="00FA2119" w:rsidRPr="001178FB" w:rsidRDefault="00FA2119" w:rsidP="00FA2119">
      <w:pPr>
        <w:rPr>
          <w:rFonts w:cs="Arial"/>
          <w:sz w:val="16"/>
          <w:szCs w:val="16"/>
          <w:rtl/>
        </w:rPr>
      </w:pPr>
      <w:r w:rsidRPr="008968CE">
        <w:rPr>
          <w:rFonts w:cs="Arial" w:hint="cs"/>
          <w:u w:val="single"/>
          <w:rtl/>
        </w:rPr>
        <w:t>וי"ו שניה של '</w:t>
      </w:r>
      <w:r w:rsidRPr="008968CE">
        <w:rPr>
          <w:rFonts w:hint="cs"/>
          <w:u w:val="single"/>
          <w:rtl/>
        </w:rPr>
        <w:t>וכדו' נראת כמו ך:</w:t>
      </w:r>
      <w:r>
        <w:rPr>
          <w:rFonts w:cs="Arial" w:hint="cs"/>
          <w:sz w:val="16"/>
          <w:szCs w:val="16"/>
          <w:rtl/>
        </w:rPr>
        <w:t xml:space="preserve">  (פת"ש סקכ"א)</w:t>
      </w:r>
    </w:p>
    <w:p w14:paraId="064DFE41" w14:textId="08F2FA2F" w:rsidR="00FA2119" w:rsidRDefault="00FA2119" w:rsidP="00FA2119">
      <w:pPr>
        <w:pStyle w:val="ab"/>
        <w:numPr>
          <w:ilvl w:val="0"/>
          <w:numId w:val="54"/>
        </w:numPr>
        <w:rPr>
          <w:rtl/>
        </w:rPr>
      </w:pPr>
      <w:r w:rsidRPr="008968CE">
        <w:rPr>
          <w:rFonts w:cs="Arial"/>
          <w:rtl/>
        </w:rPr>
        <w:t>ג"פ</w:t>
      </w:r>
      <w:r w:rsidR="00A82951">
        <w:rPr>
          <w:rFonts w:cs="Arial" w:hint="cs"/>
          <w:rtl/>
        </w:rPr>
        <w:t>-</w:t>
      </w:r>
      <w:r w:rsidRPr="008968CE">
        <w:rPr>
          <w:rFonts w:cs="Arial"/>
          <w:rtl/>
        </w:rPr>
        <w:t xml:space="preserve"> כתב בס' מנהיר עיני חכמים </w:t>
      </w:r>
      <w:r>
        <w:rPr>
          <w:rFonts w:cs="Arial" w:hint="cs"/>
          <w:rtl/>
        </w:rPr>
        <w:t>(</w:t>
      </w:r>
      <w:r w:rsidRPr="008968CE">
        <w:rPr>
          <w:rFonts w:cs="Arial"/>
          <w:rtl/>
        </w:rPr>
        <w:t>סי' כד</w:t>
      </w:r>
      <w:r>
        <w:rPr>
          <w:rFonts w:cs="Arial" w:hint="cs"/>
          <w:rtl/>
        </w:rPr>
        <w:t>)</w:t>
      </w:r>
      <w:r w:rsidRPr="008968CE">
        <w:rPr>
          <w:rFonts w:cs="Arial"/>
          <w:rtl/>
        </w:rPr>
        <w:t xml:space="preserve"> ע"ד הגט שראש הוי"ו של וכדו היא רחבה קצת ביותר מן הראוי ונראית קצת ככ"ף פשוטה</w:t>
      </w:r>
      <w:r w:rsidR="00F110B3">
        <w:rPr>
          <w:rFonts w:cs="Arial" w:hint="cs"/>
          <w:rtl/>
        </w:rPr>
        <w:t>.</w:t>
      </w:r>
      <w:r w:rsidRPr="008968CE">
        <w:rPr>
          <w:rFonts w:cs="Arial"/>
          <w:rtl/>
        </w:rPr>
        <w:t xml:space="preserve"> ומקצת תינוקות קראוה בוי"ו</w:t>
      </w:r>
      <w:r w:rsidR="00F110B3">
        <w:rPr>
          <w:rFonts w:cs="Arial" w:hint="cs"/>
          <w:rtl/>
        </w:rPr>
        <w:t>,</w:t>
      </w:r>
      <w:r w:rsidRPr="008968CE">
        <w:rPr>
          <w:rFonts w:cs="Arial"/>
          <w:rtl/>
        </w:rPr>
        <w:t xml:space="preserve"> ומקצת בכ"ף</w:t>
      </w:r>
      <w:r w:rsidR="00F110B3">
        <w:rPr>
          <w:rFonts w:cs="Arial" w:hint="cs"/>
          <w:rtl/>
        </w:rPr>
        <w:t>.</w:t>
      </w:r>
      <w:r w:rsidRPr="008968CE">
        <w:rPr>
          <w:rFonts w:cs="Arial"/>
          <w:rtl/>
        </w:rPr>
        <w:t xml:space="preserve"> נראה שאין לפוסלו</w:t>
      </w:r>
      <w:r w:rsidR="00F110B3">
        <w:rPr>
          <w:rFonts w:cs="Arial" w:hint="cs"/>
          <w:rtl/>
        </w:rPr>
        <w:t>,</w:t>
      </w:r>
      <w:r w:rsidRPr="008968CE">
        <w:rPr>
          <w:rFonts w:cs="Arial"/>
          <w:rtl/>
        </w:rPr>
        <w:t xml:space="preserve"> דודאי מאחר שהוי"ו ארוכה יותר משאר ואוי"ן גם ראשו צריך להיות רחב קצת יותר משאר ואוי"ן כו'</w:t>
      </w:r>
      <w:r w:rsidR="006365F0">
        <w:rPr>
          <w:rFonts w:cs="Arial" w:hint="cs"/>
          <w:rtl/>
        </w:rPr>
        <w:t>,</w:t>
      </w:r>
      <w:r w:rsidRPr="008968CE">
        <w:rPr>
          <w:rFonts w:cs="Arial"/>
          <w:rtl/>
        </w:rPr>
        <w:t xml:space="preserve"> ובמקום שפשוט לן שנכתב כתיקונו אין אנו משגיחין בתינוקות כו'</w:t>
      </w:r>
      <w:r w:rsidR="006365F0">
        <w:rPr>
          <w:rFonts w:cs="Arial" w:hint="cs"/>
          <w:rtl/>
        </w:rPr>
        <w:t>.</w:t>
      </w:r>
      <w:r w:rsidRPr="008968CE">
        <w:rPr>
          <w:rFonts w:cs="Arial"/>
          <w:rtl/>
        </w:rPr>
        <w:t xml:space="preserve"> ואם היה אפשר להשתדל שיתן הבעל גט אחר ודאי לא היינו מכשירין אותו לכתחילה</w:t>
      </w:r>
      <w:r w:rsidR="006365F0">
        <w:rPr>
          <w:rFonts w:cs="Arial" w:hint="cs"/>
          <w:rtl/>
        </w:rPr>
        <w:t>,</w:t>
      </w:r>
      <w:r w:rsidRPr="008968CE">
        <w:rPr>
          <w:rFonts w:cs="Arial"/>
          <w:rtl/>
        </w:rPr>
        <w:t xml:space="preserve"> אבל כיון דלא אפשר דעתי נוטה להכשיר יע"ש. ובתשו' מהריב"ל </w:t>
      </w:r>
      <w:r>
        <w:rPr>
          <w:rFonts w:cs="Arial" w:hint="cs"/>
          <w:rtl/>
        </w:rPr>
        <w:t>(</w:t>
      </w:r>
      <w:r w:rsidRPr="008968CE">
        <w:rPr>
          <w:rFonts w:cs="Arial"/>
          <w:rtl/>
        </w:rPr>
        <w:t>ח"ג סי' סט</w:t>
      </w:r>
      <w:r>
        <w:rPr>
          <w:rFonts w:cs="Arial" w:hint="cs"/>
          <w:rtl/>
        </w:rPr>
        <w:t>)</w:t>
      </w:r>
      <w:r w:rsidRPr="008968CE">
        <w:rPr>
          <w:rFonts w:cs="Arial"/>
          <w:rtl/>
        </w:rPr>
        <w:t xml:space="preserve"> נשאל על גט א' שכתוב וכדו בוי"ו ארוכה יותר מדאי שהיה נראה כגון וכדן והכשיר הגט בדיעבד אחר הנתינה או לכתחלה במקום עיגון כיון שהוא במקום הטופס כו'</w:t>
      </w:r>
      <w:r w:rsidR="006365F0">
        <w:rPr>
          <w:rFonts w:cs="Arial" w:hint="cs"/>
          <w:rtl/>
        </w:rPr>
        <w:t>,</w:t>
      </w:r>
      <w:r w:rsidRPr="008968CE">
        <w:rPr>
          <w:rFonts w:cs="Arial"/>
          <w:rtl/>
        </w:rPr>
        <w:t xml:space="preserve"> אך מהר"י סג"ל </w:t>
      </w:r>
      <w:r>
        <w:rPr>
          <w:rFonts w:cs="Arial" w:hint="cs"/>
          <w:rtl/>
        </w:rPr>
        <w:t>(</w:t>
      </w:r>
      <w:r w:rsidRPr="008968CE">
        <w:rPr>
          <w:rFonts w:cs="Arial"/>
          <w:rtl/>
        </w:rPr>
        <w:t>סי' קג</w:t>
      </w:r>
      <w:r>
        <w:rPr>
          <w:rFonts w:cs="Arial" w:hint="cs"/>
          <w:rtl/>
        </w:rPr>
        <w:t>)</w:t>
      </w:r>
      <w:r w:rsidRPr="008968CE">
        <w:rPr>
          <w:rFonts w:cs="Arial"/>
          <w:rtl/>
        </w:rPr>
        <w:t xml:space="preserve"> בגט שבא מארץ רחוקה וך' דלמהך היתה גגה ארוכה כפלים מרגלה והי' לה עוקץ ונקראת כדלי"ת פסלו ולא רצה ליתן גט זה</w:t>
      </w:r>
      <w:r>
        <w:rPr>
          <w:rStyle w:val="a7"/>
          <w:rFonts w:cs="Arial"/>
          <w:rtl/>
        </w:rPr>
        <w:footnoteReference w:id="741"/>
      </w:r>
      <w:r>
        <w:rPr>
          <w:rFonts w:cs="Arial" w:hint="cs"/>
          <w:rtl/>
        </w:rPr>
        <w:t>.</w:t>
      </w:r>
      <w:r w:rsidRPr="008968CE">
        <w:rPr>
          <w:rFonts w:cs="Arial"/>
          <w:rtl/>
        </w:rPr>
        <w:t xml:space="preserve"> גם גט אחר שהי' כתוב וכדן בנון במקום וכדו פסלו יע"ש</w:t>
      </w:r>
      <w:r>
        <w:rPr>
          <w:rFonts w:cs="Arial" w:hint="cs"/>
          <w:rtl/>
        </w:rPr>
        <w:t>.</w:t>
      </w:r>
      <w:r w:rsidRPr="008968CE">
        <w:rPr>
          <w:rFonts w:cs="Arial"/>
          <w:rtl/>
        </w:rPr>
        <w:t xml:space="preserve"> והרשד"ם </w:t>
      </w:r>
      <w:r>
        <w:rPr>
          <w:rFonts w:cs="Arial" w:hint="cs"/>
          <w:rtl/>
        </w:rPr>
        <w:t>(</w:t>
      </w:r>
      <w:r w:rsidRPr="008968CE">
        <w:rPr>
          <w:rFonts w:cs="Arial"/>
          <w:rtl/>
        </w:rPr>
        <w:t>סי' נח</w:t>
      </w:r>
      <w:r>
        <w:rPr>
          <w:rFonts w:cs="Arial" w:hint="cs"/>
          <w:rtl/>
        </w:rPr>
        <w:t>)</w:t>
      </w:r>
      <w:r w:rsidRPr="008968CE">
        <w:rPr>
          <w:rFonts w:cs="Arial"/>
          <w:rtl/>
        </w:rPr>
        <w:t xml:space="preserve"> נשאל בגט שנמצאו בו ווי"ן שקראום התינוקות נוני"ן ופסלו אפי' במקום עיגון יע"ש ולע"ד יראה דאם ווי"ן שקראום התינוקות נוני"ן היו בטופס הגט יש להכשיר במקום עיגון</w:t>
      </w:r>
      <w:r w:rsidR="006365F0">
        <w:rPr>
          <w:rFonts w:cs="Arial" w:hint="cs"/>
          <w:rtl/>
        </w:rPr>
        <w:t>,</w:t>
      </w:r>
      <w:r w:rsidRPr="008968CE">
        <w:rPr>
          <w:rFonts w:cs="Arial"/>
          <w:rtl/>
        </w:rPr>
        <w:t xml:space="preserve"> ובתורף יש להחמיר </w:t>
      </w:r>
      <w:r>
        <w:rPr>
          <w:rFonts w:cs="Arial" w:hint="cs"/>
          <w:sz w:val="16"/>
          <w:szCs w:val="16"/>
          <w:rtl/>
        </w:rPr>
        <w:t>{</w:t>
      </w:r>
      <w:r w:rsidRPr="008968CE">
        <w:rPr>
          <w:rFonts w:cs="Arial"/>
          <w:sz w:val="16"/>
          <w:szCs w:val="16"/>
          <w:rtl/>
        </w:rPr>
        <w:t>וע</w:t>
      </w:r>
      <w:r>
        <w:rPr>
          <w:rFonts w:cs="Arial" w:hint="cs"/>
          <w:sz w:val="16"/>
          <w:szCs w:val="16"/>
          <w:rtl/>
        </w:rPr>
        <w:t>"</w:t>
      </w:r>
      <w:r w:rsidRPr="008968CE">
        <w:rPr>
          <w:rFonts w:cs="Arial"/>
          <w:sz w:val="16"/>
          <w:szCs w:val="16"/>
          <w:rtl/>
        </w:rPr>
        <w:t>ע בתשובת אא"ז פנ</w:t>
      </w:r>
      <w:r>
        <w:rPr>
          <w:rFonts w:cs="Arial" w:hint="cs"/>
          <w:sz w:val="16"/>
          <w:szCs w:val="16"/>
          <w:rtl/>
        </w:rPr>
        <w:t>מ"א</w:t>
      </w:r>
      <w:r w:rsidRPr="008968CE">
        <w:rPr>
          <w:rFonts w:cs="Arial"/>
          <w:sz w:val="16"/>
          <w:szCs w:val="16"/>
          <w:rtl/>
        </w:rPr>
        <w:t xml:space="preserve"> ח"ב סי' י"ט מנידון זה</w:t>
      </w:r>
      <w:r>
        <w:rPr>
          <w:rFonts w:cs="Arial" w:hint="cs"/>
          <w:sz w:val="16"/>
          <w:szCs w:val="16"/>
          <w:rtl/>
        </w:rPr>
        <w:t>, פת"ש [סקכ"א]}</w:t>
      </w:r>
      <w:r>
        <w:rPr>
          <w:rFonts w:cs="Arial" w:hint="cs"/>
          <w:rtl/>
        </w:rPr>
        <w:t>.</w:t>
      </w:r>
    </w:p>
    <w:p w14:paraId="791FC147" w14:textId="77777777" w:rsidR="00FA2119" w:rsidRPr="008968CE" w:rsidRDefault="00FA2119" w:rsidP="00FA2119">
      <w:pPr>
        <w:rPr>
          <w:rtl/>
        </w:rPr>
      </w:pPr>
    </w:p>
    <w:p w14:paraId="5246AD70" w14:textId="77777777" w:rsidR="00FA2119" w:rsidRDefault="00FA2119" w:rsidP="00FA2119">
      <w:pPr>
        <w:pStyle w:val="2"/>
        <w:rPr>
          <w:rtl/>
        </w:rPr>
      </w:pPr>
      <w:r>
        <w:rPr>
          <w:rFonts w:hint="cs"/>
          <w:rtl/>
        </w:rPr>
        <w:t>סעיף</w:t>
      </w:r>
      <w:r>
        <w:rPr>
          <w:rtl/>
        </w:rPr>
        <w:t xml:space="preserve"> </w:t>
      </w:r>
      <w:r>
        <w:rPr>
          <w:rFonts w:hint="cs"/>
          <w:rtl/>
        </w:rPr>
        <w:t>יב: תרוכין, שבוקין, חסר יו"ד. פיטורין, מלא ב' יודי"ן.</w:t>
      </w:r>
    </w:p>
    <w:p w14:paraId="7C788A36" w14:textId="7CFCA1A4" w:rsidR="00FA2119" w:rsidRPr="0009547D" w:rsidRDefault="00FA2119" w:rsidP="00FA2119">
      <w:pPr>
        <w:rPr>
          <w:rFonts w:cs="Arial"/>
          <w:rtl/>
        </w:rPr>
      </w:pPr>
      <w:r w:rsidRPr="00AF1871">
        <w:rPr>
          <w:rFonts w:cs="Arial" w:hint="cs"/>
          <w:b/>
          <w:bCs/>
          <w:rtl/>
        </w:rPr>
        <w:t xml:space="preserve">גיטין </w:t>
      </w:r>
      <w:r w:rsidRPr="00AF1871">
        <w:rPr>
          <w:rFonts w:cs="Arial" w:hint="cs"/>
          <w:b/>
          <w:bCs/>
          <w:sz w:val="16"/>
          <w:szCs w:val="16"/>
          <w:rtl/>
        </w:rPr>
        <w:t>(</w:t>
      </w:r>
      <w:r>
        <w:rPr>
          <w:rFonts w:cs="Arial" w:hint="cs"/>
          <w:b/>
          <w:bCs/>
          <w:sz w:val="16"/>
          <w:szCs w:val="16"/>
          <w:rtl/>
        </w:rPr>
        <w:t xml:space="preserve">פ' </w:t>
      </w:r>
      <w:r w:rsidRPr="00AF1871">
        <w:rPr>
          <w:rFonts w:cs="Arial" w:hint="cs"/>
          <w:b/>
          <w:bCs/>
          <w:sz w:val="16"/>
          <w:szCs w:val="16"/>
          <w:rtl/>
        </w:rPr>
        <w:t>המגרש)</w:t>
      </w:r>
      <w:r w:rsidRPr="00AF1871">
        <w:rPr>
          <w:rFonts w:cs="Arial" w:hint="cs"/>
          <w:b/>
          <w:bCs/>
          <w:rtl/>
        </w:rPr>
        <w:t xml:space="preserve"> פה ע"ב:</w:t>
      </w:r>
      <w:r>
        <w:rPr>
          <w:rFonts w:cs="Arial" w:hint="cs"/>
          <w:rtl/>
        </w:rPr>
        <w:t xml:space="preserve"> </w:t>
      </w:r>
      <w:r w:rsidRPr="00D33273">
        <w:rPr>
          <w:rFonts w:cs="Arial"/>
          <w:u w:val="single"/>
          <w:rtl/>
        </w:rPr>
        <w:t>אמר אביי</w:t>
      </w:r>
      <w:r w:rsidRPr="00D33273">
        <w:rPr>
          <w:rFonts w:cs="Arial"/>
          <w:rtl/>
        </w:rPr>
        <w:t>: האי מאן דכתב גיטא</w:t>
      </w:r>
      <w:r>
        <w:rPr>
          <w:rFonts w:cs="Arial" w:hint="cs"/>
          <w:rtl/>
        </w:rPr>
        <w:t>...</w:t>
      </w:r>
      <w:r w:rsidRPr="00D33273">
        <w:rPr>
          <w:rFonts w:cs="Arial"/>
          <w:rtl/>
        </w:rPr>
        <w:t xml:space="preserve"> ולורכיה לוי"ו דתירוכין</w:t>
      </w:r>
      <w:r>
        <w:rPr>
          <w:rFonts w:cs="Arial" w:hint="cs"/>
          <w:rtl/>
        </w:rPr>
        <w:t>,</w:t>
      </w:r>
      <w:r w:rsidRPr="00D33273">
        <w:rPr>
          <w:rFonts w:cs="Arial"/>
          <w:rtl/>
        </w:rPr>
        <w:t xml:space="preserve"> ולוי"ו דשבוקין</w:t>
      </w:r>
      <w:r>
        <w:rPr>
          <w:rFonts w:cs="Arial" w:hint="cs"/>
          <w:rtl/>
        </w:rPr>
        <w:t>,</w:t>
      </w:r>
      <w:r w:rsidRPr="00D33273">
        <w:rPr>
          <w:rFonts w:cs="Arial"/>
          <w:rtl/>
        </w:rPr>
        <w:t xml:space="preserve"> דמשמע תריכין ושביקין</w:t>
      </w:r>
      <w:r>
        <w:rPr>
          <w:rFonts w:cs="Arial" w:hint="cs"/>
          <w:rtl/>
        </w:rPr>
        <w:t>.</w:t>
      </w:r>
      <w:r>
        <w:rPr>
          <w:rFonts w:hint="cs"/>
          <w:rtl/>
        </w:rPr>
        <w:t xml:space="preserve"> </w:t>
      </w:r>
      <w:r w:rsidRPr="0009547D">
        <w:rPr>
          <w:rFonts w:cs="Arial" w:hint="cs"/>
          <w:sz w:val="16"/>
          <w:szCs w:val="16"/>
          <w:rtl/>
        </w:rPr>
        <w:t>(</w:t>
      </w:r>
      <w:r w:rsidRPr="0009547D">
        <w:rPr>
          <w:rFonts w:cs="Arial"/>
          <w:sz w:val="16"/>
          <w:szCs w:val="16"/>
          <w:rtl/>
        </w:rPr>
        <w:t>והא דלא קאמר לוי"ו דפטורין דאטו כי רוכלא ליחשב וליזול</w:t>
      </w:r>
      <w:r>
        <w:rPr>
          <w:rFonts w:cs="Arial" w:hint="cs"/>
          <w:sz w:val="16"/>
          <w:szCs w:val="16"/>
          <w:rtl/>
        </w:rPr>
        <w:t>.</w:t>
      </w:r>
      <w:r w:rsidRPr="0009547D">
        <w:rPr>
          <w:rFonts w:cs="Arial"/>
          <w:sz w:val="16"/>
          <w:szCs w:val="16"/>
          <w:rtl/>
        </w:rPr>
        <w:t xml:space="preserve"> משמע שאין לכתוב יו"ד בין תי"ו לרי"ש דתרוכין</w:t>
      </w:r>
      <w:r w:rsidRPr="0009547D">
        <w:rPr>
          <w:rFonts w:cs="Arial" w:hint="cs"/>
          <w:sz w:val="16"/>
          <w:szCs w:val="16"/>
          <w:rtl/>
        </w:rPr>
        <w:t>,</w:t>
      </w:r>
      <w:r w:rsidRPr="0009547D">
        <w:rPr>
          <w:rFonts w:cs="Arial"/>
          <w:sz w:val="16"/>
          <w:szCs w:val="16"/>
          <w:rtl/>
        </w:rPr>
        <w:t xml:space="preserve"> ובין שי"ן לבי"ת דשבוקין</w:t>
      </w:r>
      <w:r w:rsidRPr="0009547D">
        <w:rPr>
          <w:rFonts w:cs="Arial" w:hint="cs"/>
          <w:sz w:val="16"/>
          <w:szCs w:val="16"/>
          <w:rtl/>
        </w:rPr>
        <w:t>,</w:t>
      </w:r>
      <w:r w:rsidRPr="0009547D">
        <w:rPr>
          <w:rFonts w:cs="Arial"/>
          <w:sz w:val="16"/>
          <w:szCs w:val="16"/>
          <w:rtl/>
        </w:rPr>
        <w:t xml:space="preserve"> דאי כתב בהן יו"ד </w:t>
      </w:r>
      <w:r w:rsidR="00A82951">
        <w:rPr>
          <w:rFonts w:cs="Arial" w:hint="cs"/>
          <w:sz w:val="16"/>
          <w:szCs w:val="16"/>
          <w:rtl/>
        </w:rPr>
        <w:t>-</w:t>
      </w:r>
      <w:r w:rsidRPr="0009547D">
        <w:rPr>
          <w:rFonts w:cs="Arial" w:hint="cs"/>
          <w:sz w:val="16"/>
          <w:szCs w:val="16"/>
          <w:rtl/>
        </w:rPr>
        <w:t xml:space="preserve"> </w:t>
      </w:r>
      <w:r w:rsidRPr="0009547D">
        <w:rPr>
          <w:rFonts w:cs="Arial"/>
          <w:sz w:val="16"/>
          <w:szCs w:val="16"/>
          <w:rtl/>
        </w:rPr>
        <w:t>ליכא למיטעי כלל</w:t>
      </w:r>
      <w:r w:rsidRPr="0009547D">
        <w:rPr>
          <w:rFonts w:cs="Arial" w:hint="cs"/>
          <w:sz w:val="16"/>
          <w:szCs w:val="16"/>
          <w:rtl/>
        </w:rPr>
        <w:t>,</w:t>
      </w:r>
      <w:r w:rsidRPr="0009547D">
        <w:rPr>
          <w:rFonts w:cs="Arial"/>
          <w:sz w:val="16"/>
          <w:szCs w:val="16"/>
          <w:rtl/>
        </w:rPr>
        <w:t xml:space="preserve"> דתירוכין ושיבוקין לאו כלום הוא</w:t>
      </w:r>
      <w:r w:rsidRPr="0009547D">
        <w:rPr>
          <w:rFonts w:cs="Arial" w:hint="cs"/>
          <w:sz w:val="16"/>
          <w:szCs w:val="16"/>
          <w:rtl/>
        </w:rPr>
        <w:t>.</w:t>
      </w:r>
      <w:r w:rsidRPr="0009547D">
        <w:rPr>
          <w:rFonts w:cs="Arial"/>
          <w:sz w:val="16"/>
          <w:szCs w:val="16"/>
          <w:rtl/>
        </w:rPr>
        <w:t xml:space="preserve"> אבל בפטורין נראה שצריך לכתוב יו"ד בין פ"א לטי"ת</w:t>
      </w:r>
      <w:r w:rsidRPr="0009547D">
        <w:rPr>
          <w:rFonts w:cs="Arial" w:hint="cs"/>
          <w:sz w:val="16"/>
          <w:szCs w:val="16"/>
          <w:rtl/>
        </w:rPr>
        <w:t>,</w:t>
      </w:r>
      <w:r w:rsidRPr="0009547D">
        <w:rPr>
          <w:rFonts w:cs="Arial"/>
          <w:sz w:val="16"/>
          <w:szCs w:val="16"/>
          <w:rtl/>
        </w:rPr>
        <w:t xml:space="preserve"> מדאמרינן בפרק התקבל (סה</w:t>
      </w:r>
      <w:r w:rsidRPr="0009547D">
        <w:rPr>
          <w:rFonts w:cs="Arial" w:hint="cs"/>
          <w:sz w:val="16"/>
          <w:szCs w:val="16"/>
          <w:rtl/>
        </w:rPr>
        <w:t>:</w:t>
      </w:r>
      <w:r w:rsidRPr="0009547D">
        <w:rPr>
          <w:rFonts w:cs="Arial"/>
          <w:sz w:val="16"/>
          <w:szCs w:val="16"/>
          <w:rtl/>
        </w:rPr>
        <w:t>) פיטרוה דבריו קיימים</w:t>
      </w:r>
      <w:r w:rsidRPr="0009547D">
        <w:rPr>
          <w:rFonts w:cs="Arial" w:hint="cs"/>
          <w:sz w:val="16"/>
          <w:szCs w:val="16"/>
          <w:rtl/>
        </w:rPr>
        <w:t>,</w:t>
      </w:r>
      <w:r w:rsidRPr="0009547D">
        <w:rPr>
          <w:rFonts w:cs="Arial"/>
          <w:sz w:val="16"/>
          <w:szCs w:val="16"/>
          <w:rtl/>
        </w:rPr>
        <w:t xml:space="preserve"> פטרוה לא אמר כלום</w:t>
      </w:r>
      <w:r w:rsidRPr="0009547D">
        <w:rPr>
          <w:rFonts w:cs="Arial" w:hint="cs"/>
          <w:sz w:val="16"/>
          <w:szCs w:val="16"/>
          <w:rtl/>
        </w:rPr>
        <w:t>,</w:t>
      </w:r>
      <w:r w:rsidRPr="0009547D">
        <w:rPr>
          <w:rFonts w:cs="Arial"/>
          <w:sz w:val="16"/>
          <w:szCs w:val="16"/>
          <w:rtl/>
        </w:rPr>
        <w:t xml:space="preserve"> דפטרוה מחוב משמע</w:t>
      </w:r>
      <w:r w:rsidRPr="0009547D">
        <w:rPr>
          <w:rFonts w:cs="Arial" w:hint="cs"/>
          <w:sz w:val="16"/>
          <w:szCs w:val="16"/>
          <w:rtl/>
        </w:rPr>
        <w:t>,</w:t>
      </w:r>
      <w:r w:rsidRPr="0009547D">
        <w:rPr>
          <w:rFonts w:cs="Arial"/>
          <w:sz w:val="16"/>
          <w:szCs w:val="16"/>
          <w:rtl/>
        </w:rPr>
        <w:t xml:space="preserve"> והשתא ניחא דלא חשיב הכא וי"ו דפיטורין</w:t>
      </w:r>
      <w:r w:rsidRPr="0009547D">
        <w:rPr>
          <w:rFonts w:cs="Arial" w:hint="cs"/>
          <w:sz w:val="16"/>
          <w:szCs w:val="16"/>
          <w:rtl/>
        </w:rPr>
        <w:t>, רא"ש (פ"ט סי ד)</w:t>
      </w:r>
      <w:r>
        <w:rPr>
          <w:rFonts w:cs="Arial" w:hint="cs"/>
          <w:sz w:val="16"/>
          <w:szCs w:val="16"/>
          <w:rtl/>
        </w:rPr>
        <w:t>)</w:t>
      </w:r>
    </w:p>
    <w:p w14:paraId="375B225E" w14:textId="77777777" w:rsidR="00FA2119" w:rsidRPr="007754BD" w:rsidRDefault="00FA2119" w:rsidP="00FA2119">
      <w:pPr>
        <w:rPr>
          <w:u w:val="single"/>
          <w:rtl/>
        </w:rPr>
      </w:pPr>
      <w:r>
        <w:rPr>
          <w:rFonts w:hint="cs"/>
          <w:u w:val="single"/>
          <w:rtl/>
        </w:rPr>
        <w:t xml:space="preserve">כתיבת המילים: </w:t>
      </w:r>
      <w:r w:rsidRPr="007754BD">
        <w:rPr>
          <w:rFonts w:hint="cs"/>
          <w:u w:val="single"/>
          <w:rtl/>
        </w:rPr>
        <w:t>תרוכין</w:t>
      </w:r>
      <w:r>
        <w:rPr>
          <w:rFonts w:hint="cs"/>
          <w:u w:val="single"/>
          <w:rtl/>
        </w:rPr>
        <w:t>,</w:t>
      </w:r>
      <w:r w:rsidRPr="007754BD">
        <w:rPr>
          <w:rFonts w:hint="cs"/>
          <w:u w:val="single"/>
          <w:rtl/>
        </w:rPr>
        <w:t xml:space="preserve"> שבוקין</w:t>
      </w:r>
      <w:r>
        <w:rPr>
          <w:rFonts w:hint="cs"/>
          <w:u w:val="single"/>
          <w:rtl/>
        </w:rPr>
        <w:t>,</w:t>
      </w:r>
      <w:r w:rsidRPr="007754BD">
        <w:rPr>
          <w:rFonts w:hint="cs"/>
          <w:u w:val="single"/>
          <w:rtl/>
        </w:rPr>
        <w:t xml:space="preserve"> פיטורין:</w:t>
      </w:r>
    </w:p>
    <w:p w14:paraId="3E424797" w14:textId="4E3CAD07" w:rsidR="00FA2119" w:rsidRDefault="00FA2119" w:rsidP="00FA2119">
      <w:pPr>
        <w:pStyle w:val="ab"/>
        <w:numPr>
          <w:ilvl w:val="0"/>
          <w:numId w:val="15"/>
        </w:numPr>
        <w:rPr>
          <w:rFonts w:cs="Arial"/>
        </w:rPr>
      </w:pPr>
      <w:r>
        <w:rPr>
          <w:rFonts w:cs="Arial" w:hint="cs"/>
          <w:rtl/>
        </w:rPr>
        <w:t xml:space="preserve">תוס' </w:t>
      </w:r>
      <w:r w:rsidRPr="004A5F6D">
        <w:rPr>
          <w:rFonts w:cs="Arial" w:hint="cs"/>
          <w:sz w:val="16"/>
          <w:szCs w:val="16"/>
          <w:rtl/>
        </w:rPr>
        <w:t>(כ"כ בשמם רי"ו [</w:t>
      </w:r>
      <w:r w:rsidRPr="004A5F6D">
        <w:rPr>
          <w:rFonts w:cs="Arial"/>
          <w:sz w:val="16"/>
          <w:szCs w:val="16"/>
          <w:rtl/>
        </w:rPr>
        <w:t>ח</w:t>
      </w:r>
      <w:r w:rsidRPr="004A5F6D">
        <w:rPr>
          <w:rFonts w:cs="Arial" w:hint="cs"/>
          <w:sz w:val="16"/>
          <w:szCs w:val="16"/>
          <w:rtl/>
        </w:rPr>
        <w:t>"</w:t>
      </w:r>
      <w:r w:rsidRPr="004A5F6D">
        <w:rPr>
          <w:rFonts w:cs="Arial"/>
          <w:sz w:val="16"/>
          <w:szCs w:val="16"/>
          <w:rtl/>
        </w:rPr>
        <w:t>ב נכ"ד רו ע"ד</w:t>
      </w:r>
      <w:r w:rsidRPr="004A5F6D">
        <w:rPr>
          <w:rFonts w:cs="Arial" w:hint="cs"/>
          <w:sz w:val="16"/>
          <w:szCs w:val="16"/>
          <w:rtl/>
        </w:rPr>
        <w:t>]</w:t>
      </w:r>
      <w:r w:rsidRPr="004A5F6D">
        <w:rPr>
          <w:rFonts w:cs="Arial"/>
          <w:sz w:val="16"/>
          <w:szCs w:val="16"/>
          <w:rtl/>
        </w:rPr>
        <w:t>)</w:t>
      </w:r>
      <w:r>
        <w:rPr>
          <w:rFonts w:cs="Arial" w:hint="cs"/>
          <w:sz w:val="16"/>
          <w:szCs w:val="16"/>
          <w:rtl/>
        </w:rPr>
        <w:t xml:space="preserve"> </w:t>
      </w:r>
      <w:r>
        <w:rPr>
          <w:rFonts w:cs="Arial" w:hint="cs"/>
          <w:rtl/>
        </w:rPr>
        <w:t xml:space="preserve">רא"ש </w:t>
      </w:r>
      <w:r>
        <w:rPr>
          <w:rFonts w:cs="Arial" w:hint="cs"/>
          <w:sz w:val="16"/>
          <w:szCs w:val="16"/>
          <w:rtl/>
        </w:rPr>
        <w:t xml:space="preserve">(בסדר הגט) </w:t>
      </w:r>
      <w:r>
        <w:rPr>
          <w:rFonts w:cs="Arial" w:hint="cs"/>
          <w:rtl/>
        </w:rPr>
        <w:t>וטור</w:t>
      </w:r>
      <w:r w:rsidR="00A82951">
        <w:rPr>
          <w:rFonts w:cs="Arial" w:hint="cs"/>
          <w:rtl/>
        </w:rPr>
        <w:t>-</w:t>
      </w:r>
      <w:r>
        <w:rPr>
          <w:rFonts w:cs="Arial" w:hint="cs"/>
          <w:rtl/>
        </w:rPr>
        <w:t xml:space="preserve"> </w:t>
      </w:r>
      <w:r w:rsidRPr="00967D9E">
        <w:rPr>
          <w:rFonts w:cs="Arial"/>
          <w:rtl/>
        </w:rPr>
        <w:t>ויכתוב תרוכין שבוקין חסר יו</w:t>
      </w:r>
      <w:r>
        <w:rPr>
          <w:rFonts w:cs="Arial" w:hint="cs"/>
          <w:rtl/>
        </w:rPr>
        <w:t>"</w:t>
      </w:r>
      <w:r w:rsidRPr="00967D9E">
        <w:rPr>
          <w:rFonts w:cs="Arial"/>
          <w:rtl/>
        </w:rPr>
        <w:t>ד ראשונה</w:t>
      </w:r>
      <w:r>
        <w:rPr>
          <w:rFonts w:cs="Arial" w:hint="cs"/>
          <w:rtl/>
        </w:rPr>
        <w:t>.</w:t>
      </w:r>
      <w:r w:rsidRPr="00967D9E">
        <w:rPr>
          <w:rFonts w:cs="Arial"/>
          <w:rtl/>
        </w:rPr>
        <w:t xml:space="preserve"> ופיטורין מלא בב' יודי</w:t>
      </w:r>
      <w:r>
        <w:rPr>
          <w:rFonts w:cs="Arial" w:hint="cs"/>
          <w:rtl/>
        </w:rPr>
        <w:t>"</w:t>
      </w:r>
      <w:r w:rsidRPr="00967D9E">
        <w:rPr>
          <w:rFonts w:cs="Arial"/>
          <w:rtl/>
        </w:rPr>
        <w:t>ן</w:t>
      </w:r>
      <w:r>
        <w:rPr>
          <w:rStyle w:val="a7"/>
          <w:rFonts w:cs="Arial"/>
          <w:rtl/>
        </w:rPr>
        <w:footnoteReference w:id="742"/>
      </w:r>
      <w:r>
        <w:rPr>
          <w:rFonts w:cs="Arial" w:hint="cs"/>
          <w:sz w:val="16"/>
          <w:szCs w:val="16"/>
          <w:rtl/>
        </w:rPr>
        <w:t xml:space="preserve"> (ל' הטור)</w:t>
      </w:r>
      <w:r>
        <w:rPr>
          <w:rFonts w:cs="Arial" w:hint="cs"/>
          <w:rtl/>
        </w:rPr>
        <w:t>.</w:t>
      </w:r>
      <w:r w:rsidRPr="00967D9E">
        <w:rPr>
          <w:rFonts w:cs="Arial"/>
          <w:rtl/>
        </w:rPr>
        <w:t xml:space="preserve"> </w:t>
      </w:r>
      <w:r w:rsidRPr="003F7FEC">
        <w:rPr>
          <w:rFonts w:cs="Arial" w:hint="cs"/>
          <w:color w:val="E36C0A" w:themeColor="accent6" w:themeShade="BF"/>
          <w:rtl/>
        </w:rPr>
        <w:t>(וכ"</w:t>
      </w:r>
      <w:r>
        <w:rPr>
          <w:rFonts w:cs="Arial" w:hint="cs"/>
          <w:color w:val="E36C0A" w:themeColor="accent6" w:themeShade="BF"/>
          <w:rtl/>
        </w:rPr>
        <w:t>פ</w:t>
      </w:r>
      <w:r w:rsidRPr="003F7FEC">
        <w:rPr>
          <w:rFonts w:cs="Arial" w:hint="cs"/>
          <w:color w:val="E36C0A" w:themeColor="accent6" w:themeShade="BF"/>
          <w:rtl/>
        </w:rPr>
        <w:t xml:space="preserve"> בשו"ע)</w:t>
      </w:r>
    </w:p>
    <w:p w14:paraId="0FC144B9" w14:textId="7E3541A1" w:rsidR="00FA2119" w:rsidRPr="00BC1FD7" w:rsidRDefault="00FA2119" w:rsidP="00FA2119">
      <w:pPr>
        <w:pStyle w:val="ab"/>
        <w:numPr>
          <w:ilvl w:val="0"/>
          <w:numId w:val="15"/>
        </w:numPr>
        <w:rPr>
          <w:rFonts w:cs="Arial"/>
          <w:rtl/>
        </w:rPr>
      </w:pPr>
      <w:r w:rsidRPr="004A5F6D">
        <w:rPr>
          <w:rFonts w:cs="Arial"/>
          <w:rtl/>
        </w:rPr>
        <w:t xml:space="preserve">כל בו </w:t>
      </w:r>
      <w:r w:rsidRPr="00BC1FD7">
        <w:rPr>
          <w:rFonts w:cs="Arial"/>
          <w:sz w:val="16"/>
          <w:szCs w:val="16"/>
          <w:rtl/>
        </w:rPr>
        <w:t>(סי' עו מז ע"ד)</w:t>
      </w:r>
      <w:r w:rsidR="00A82951">
        <w:rPr>
          <w:rFonts w:cs="Arial" w:hint="cs"/>
          <w:rtl/>
        </w:rPr>
        <w:t>-</w:t>
      </w:r>
      <w:r w:rsidRPr="00BC1FD7">
        <w:rPr>
          <w:rtl/>
        </w:rPr>
        <w:t xml:space="preserve"> </w:t>
      </w:r>
      <w:r w:rsidRPr="00BC1FD7">
        <w:rPr>
          <w:rFonts w:cs="Arial"/>
          <w:rtl/>
        </w:rPr>
        <w:t>תרוכין שבוקין פטורין בלא יו"ד</w:t>
      </w:r>
      <w:r>
        <w:rPr>
          <w:rStyle w:val="a7"/>
          <w:rFonts w:cs="Arial"/>
          <w:rtl/>
        </w:rPr>
        <w:footnoteReference w:id="743"/>
      </w:r>
      <w:r>
        <w:rPr>
          <w:rFonts w:cs="Arial" w:hint="cs"/>
          <w:rtl/>
        </w:rPr>
        <w:t>...</w:t>
      </w:r>
      <w:r w:rsidRPr="00BC1FD7">
        <w:rPr>
          <w:rFonts w:cs="Arial"/>
          <w:rtl/>
        </w:rPr>
        <w:t xml:space="preserve"> ויש כותבין תירוכין שיבוקין פיטורין בשתי יודי"ן, אך בטופס שנחתם בו רבינו יחיאל כלם ביו"ד אחת האחרונה בלבד</w:t>
      </w:r>
      <w:r w:rsidR="00A27CCE">
        <w:rPr>
          <w:rFonts w:cs="Arial" w:hint="cs"/>
          <w:rtl/>
        </w:rPr>
        <w:t>,</w:t>
      </w:r>
      <w:r w:rsidRPr="00BC1FD7">
        <w:rPr>
          <w:rFonts w:cs="Arial"/>
          <w:rtl/>
        </w:rPr>
        <w:t xml:space="preserve"> וכן אומר הר"ף ז"ל</w:t>
      </w:r>
      <w:r>
        <w:rPr>
          <w:rStyle w:val="a7"/>
          <w:rFonts w:cs="Arial"/>
          <w:rtl/>
        </w:rPr>
        <w:footnoteReference w:id="744"/>
      </w:r>
      <w:r w:rsidRPr="00BC1FD7">
        <w:rPr>
          <w:rFonts w:cs="Arial" w:hint="cs"/>
          <w:rtl/>
        </w:rPr>
        <w:t>.</w:t>
      </w:r>
      <w:r>
        <w:rPr>
          <w:rFonts w:cs="Arial" w:hint="cs"/>
          <w:rtl/>
        </w:rPr>
        <w:t xml:space="preserve"> </w:t>
      </w:r>
      <w:r w:rsidRPr="001A5B4C">
        <w:rPr>
          <w:rFonts w:cs="Arial" w:hint="cs"/>
          <w:color w:val="00B0F0"/>
          <w:rtl/>
        </w:rPr>
        <w:t>(וכ"</w:t>
      </w:r>
      <w:r>
        <w:rPr>
          <w:rFonts w:cs="Arial" w:hint="cs"/>
          <w:color w:val="00B0F0"/>
          <w:rtl/>
        </w:rPr>
        <w:t>פ</w:t>
      </w:r>
      <w:r w:rsidRPr="001A5B4C">
        <w:rPr>
          <w:rFonts w:cs="Arial" w:hint="cs"/>
          <w:color w:val="00B0F0"/>
          <w:rtl/>
        </w:rPr>
        <w:t xml:space="preserve"> </w:t>
      </w:r>
      <w:r>
        <w:rPr>
          <w:rFonts w:cs="Arial" w:hint="cs"/>
          <w:color w:val="00B0F0"/>
          <w:rtl/>
        </w:rPr>
        <w:t>הרמ"א</w:t>
      </w:r>
      <w:r w:rsidRPr="001A5B4C">
        <w:rPr>
          <w:rFonts w:cs="Arial" w:hint="cs"/>
          <w:color w:val="00B0F0"/>
          <w:rtl/>
        </w:rPr>
        <w:t>)</w:t>
      </w:r>
    </w:p>
    <w:p w14:paraId="04763105"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5434F0E" w14:textId="77777777" w:rsidR="00FA2119" w:rsidRDefault="00FA2119" w:rsidP="00FA2119">
      <w:pPr>
        <w:rPr>
          <w:rFonts w:cs="Arial"/>
          <w:rtl/>
        </w:rPr>
      </w:pPr>
      <w:r>
        <w:rPr>
          <w:rFonts w:cs="Arial" w:hint="cs"/>
          <w:rtl/>
        </w:rPr>
        <w:t>יכתוב</w:t>
      </w:r>
      <w:r>
        <w:rPr>
          <w:rFonts w:cs="Arial"/>
          <w:rtl/>
        </w:rPr>
        <w:t xml:space="preserve">: </w:t>
      </w:r>
      <w:r>
        <w:rPr>
          <w:rFonts w:cs="Arial" w:hint="cs"/>
          <w:rtl/>
        </w:rPr>
        <w:t>תרוכין</w:t>
      </w:r>
      <w:r>
        <w:rPr>
          <w:rFonts w:cs="Arial"/>
          <w:rtl/>
        </w:rPr>
        <w:t xml:space="preserve">, </w:t>
      </w:r>
      <w:r>
        <w:rPr>
          <w:rFonts w:cs="Arial" w:hint="cs"/>
          <w:rtl/>
        </w:rPr>
        <w:t>שבוקין</w:t>
      </w:r>
      <w:r>
        <w:rPr>
          <w:rFonts w:cs="Arial"/>
          <w:rtl/>
        </w:rPr>
        <w:t xml:space="preserve"> </w:t>
      </w:r>
      <w:r>
        <w:rPr>
          <w:rFonts w:cs="Arial" w:hint="cs"/>
          <w:rtl/>
        </w:rPr>
        <w:t>חסרי</w:t>
      </w:r>
      <w:r>
        <w:rPr>
          <w:rFonts w:cs="Arial"/>
          <w:rtl/>
        </w:rPr>
        <w:t xml:space="preserve"> </w:t>
      </w:r>
      <w:r>
        <w:rPr>
          <w:rFonts w:cs="Arial" w:hint="cs"/>
          <w:rtl/>
        </w:rPr>
        <w:t>יו</w:t>
      </w:r>
      <w:r>
        <w:rPr>
          <w:rFonts w:cs="Arial"/>
          <w:rtl/>
        </w:rPr>
        <w:t>"</w:t>
      </w:r>
      <w:r>
        <w:rPr>
          <w:rFonts w:cs="Arial" w:hint="cs"/>
          <w:rtl/>
        </w:rPr>
        <w:t>ד</w:t>
      </w:r>
      <w:r>
        <w:rPr>
          <w:rFonts w:cs="Arial"/>
          <w:rtl/>
        </w:rPr>
        <w:t xml:space="preserve"> </w:t>
      </w:r>
      <w:r>
        <w:rPr>
          <w:rFonts w:cs="Arial" w:hint="cs"/>
          <w:rtl/>
        </w:rPr>
        <w:t>ראשונה</w:t>
      </w:r>
      <w:r>
        <w:rPr>
          <w:rFonts w:cs="Arial"/>
          <w:rtl/>
        </w:rPr>
        <w:t xml:space="preserve">, </w:t>
      </w:r>
      <w:r>
        <w:rPr>
          <w:rFonts w:cs="Arial" w:hint="cs"/>
          <w:rtl/>
        </w:rPr>
        <w:t>אבל</w:t>
      </w:r>
      <w:r>
        <w:rPr>
          <w:rFonts w:cs="Arial"/>
          <w:rtl/>
        </w:rPr>
        <w:t xml:space="preserve"> </w:t>
      </w:r>
      <w:r>
        <w:rPr>
          <w:rFonts w:cs="Arial" w:hint="cs"/>
          <w:rtl/>
        </w:rPr>
        <w:t>פיטורין</w:t>
      </w:r>
      <w:r>
        <w:rPr>
          <w:rFonts w:cs="Arial"/>
          <w:rtl/>
        </w:rPr>
        <w:t xml:space="preserve"> </w:t>
      </w:r>
      <w:r>
        <w:rPr>
          <w:rFonts w:cs="Arial" w:hint="cs"/>
          <w:rtl/>
        </w:rPr>
        <w:t>מלא</w:t>
      </w:r>
      <w:r>
        <w:rPr>
          <w:rFonts w:cs="Arial"/>
          <w:rtl/>
        </w:rPr>
        <w:t xml:space="preserve">, </w:t>
      </w:r>
      <w:r>
        <w:rPr>
          <w:rFonts w:cs="Arial" w:hint="cs"/>
          <w:rtl/>
        </w:rPr>
        <w:t>בשני</w:t>
      </w:r>
      <w:r>
        <w:rPr>
          <w:rFonts w:cs="Arial"/>
          <w:rtl/>
        </w:rPr>
        <w:t xml:space="preserve"> </w:t>
      </w:r>
      <w:r>
        <w:rPr>
          <w:rFonts w:cs="Arial" w:hint="cs"/>
          <w:rtl/>
        </w:rPr>
        <w:t>יודי</w:t>
      </w:r>
      <w:r>
        <w:rPr>
          <w:rFonts w:cs="Arial"/>
          <w:rtl/>
        </w:rPr>
        <w:t>"</w:t>
      </w:r>
      <w:r>
        <w:rPr>
          <w:rFonts w:cs="Arial" w:hint="cs"/>
          <w:rtl/>
        </w:rPr>
        <w:t>ן</w:t>
      </w:r>
      <w:r>
        <w:rPr>
          <w:rFonts w:cs="Arial"/>
          <w:rtl/>
        </w:rPr>
        <w:t xml:space="preserve">. </w:t>
      </w:r>
      <w:r w:rsidRPr="002A2592">
        <w:rPr>
          <w:rFonts w:cs="Arial" w:hint="cs"/>
          <w:sz w:val="18"/>
          <w:szCs w:val="18"/>
          <w:rtl/>
        </w:rPr>
        <w:t>הגה</w:t>
      </w:r>
      <w:r w:rsidRPr="002A2592">
        <w:rPr>
          <w:rFonts w:cs="Arial"/>
          <w:sz w:val="18"/>
          <w:szCs w:val="18"/>
          <w:rtl/>
        </w:rPr>
        <w:t xml:space="preserve">: </w:t>
      </w:r>
      <w:r w:rsidRPr="002A2592">
        <w:rPr>
          <w:rFonts w:cs="Arial" w:hint="cs"/>
          <w:sz w:val="18"/>
          <w:szCs w:val="18"/>
          <w:rtl/>
        </w:rPr>
        <w:t>וי</w:t>
      </w:r>
      <w:r w:rsidRPr="002A2592">
        <w:rPr>
          <w:rFonts w:cs="Arial"/>
          <w:sz w:val="18"/>
          <w:szCs w:val="18"/>
          <w:rtl/>
        </w:rPr>
        <w:t>"</w:t>
      </w:r>
      <w:r w:rsidRPr="002A2592">
        <w:rPr>
          <w:rFonts w:cs="Arial" w:hint="cs"/>
          <w:sz w:val="18"/>
          <w:szCs w:val="18"/>
          <w:rtl/>
        </w:rPr>
        <w:t>א</w:t>
      </w:r>
      <w:r w:rsidRPr="002A2592">
        <w:rPr>
          <w:rFonts w:cs="Arial"/>
          <w:sz w:val="18"/>
          <w:szCs w:val="18"/>
          <w:rtl/>
        </w:rPr>
        <w:t xml:space="preserve"> </w:t>
      </w:r>
      <w:r w:rsidRPr="002A2592">
        <w:rPr>
          <w:rFonts w:cs="Arial" w:hint="cs"/>
          <w:sz w:val="18"/>
          <w:szCs w:val="18"/>
          <w:rtl/>
        </w:rPr>
        <w:t>דפטורין</w:t>
      </w:r>
      <w:r w:rsidRPr="002A2592">
        <w:rPr>
          <w:rFonts w:cs="Arial"/>
          <w:sz w:val="18"/>
          <w:szCs w:val="18"/>
          <w:rtl/>
        </w:rPr>
        <w:t xml:space="preserve"> </w:t>
      </w:r>
      <w:r w:rsidRPr="002A2592">
        <w:rPr>
          <w:rFonts w:cs="Arial" w:hint="cs"/>
          <w:sz w:val="18"/>
          <w:szCs w:val="18"/>
          <w:rtl/>
        </w:rPr>
        <w:t>גם</w:t>
      </w:r>
      <w:r w:rsidRPr="002A2592">
        <w:rPr>
          <w:rFonts w:cs="Arial"/>
          <w:sz w:val="18"/>
          <w:szCs w:val="18"/>
          <w:rtl/>
        </w:rPr>
        <w:t xml:space="preserve"> </w:t>
      </w:r>
      <w:r w:rsidRPr="002A2592">
        <w:rPr>
          <w:rFonts w:cs="Arial" w:hint="cs"/>
          <w:sz w:val="18"/>
          <w:szCs w:val="18"/>
          <w:rtl/>
        </w:rPr>
        <w:t>כן</w:t>
      </w:r>
      <w:r w:rsidRPr="002A2592">
        <w:rPr>
          <w:rFonts w:cs="Arial"/>
          <w:sz w:val="18"/>
          <w:szCs w:val="18"/>
          <w:rtl/>
        </w:rPr>
        <w:t xml:space="preserve"> </w:t>
      </w:r>
      <w:r w:rsidRPr="002A2592">
        <w:rPr>
          <w:rFonts w:cs="Arial" w:hint="cs"/>
          <w:sz w:val="18"/>
          <w:szCs w:val="18"/>
          <w:rtl/>
        </w:rPr>
        <w:t>חסר</w:t>
      </w:r>
      <w:r w:rsidRPr="002A2592">
        <w:rPr>
          <w:rFonts w:cs="Arial"/>
          <w:sz w:val="18"/>
          <w:szCs w:val="18"/>
          <w:rtl/>
        </w:rPr>
        <w:t xml:space="preserve"> </w:t>
      </w:r>
      <w:r w:rsidRPr="002A2592">
        <w:rPr>
          <w:rFonts w:cs="Arial" w:hint="cs"/>
          <w:sz w:val="18"/>
          <w:szCs w:val="18"/>
          <w:rtl/>
        </w:rPr>
        <w:t>יו</w:t>
      </w:r>
      <w:r w:rsidRPr="002A2592">
        <w:rPr>
          <w:rFonts w:cs="Arial"/>
          <w:sz w:val="18"/>
          <w:szCs w:val="18"/>
          <w:rtl/>
        </w:rPr>
        <w:t>"</w:t>
      </w:r>
      <w:r w:rsidRPr="002A2592">
        <w:rPr>
          <w:rFonts w:cs="Arial" w:hint="cs"/>
          <w:sz w:val="18"/>
          <w:szCs w:val="18"/>
          <w:rtl/>
        </w:rPr>
        <w:t>ד</w:t>
      </w:r>
      <w:r w:rsidRPr="002A2592">
        <w:rPr>
          <w:rFonts w:cs="Arial"/>
          <w:sz w:val="18"/>
          <w:szCs w:val="18"/>
          <w:rtl/>
        </w:rPr>
        <w:t xml:space="preserve"> </w:t>
      </w:r>
      <w:r w:rsidRPr="002A2592">
        <w:rPr>
          <w:rFonts w:cs="Arial" w:hint="cs"/>
          <w:sz w:val="18"/>
          <w:szCs w:val="18"/>
          <w:rtl/>
        </w:rPr>
        <w:t>ראשונה</w:t>
      </w:r>
      <w:r w:rsidRPr="002A2592">
        <w:rPr>
          <w:rFonts w:cs="Arial"/>
          <w:sz w:val="18"/>
          <w:szCs w:val="18"/>
          <w:rtl/>
        </w:rPr>
        <w:t xml:space="preserve"> (</w:t>
      </w:r>
      <w:r>
        <w:rPr>
          <w:rFonts w:cs="Arial" w:hint="cs"/>
          <w:sz w:val="18"/>
          <w:szCs w:val="18"/>
          <w:rtl/>
        </w:rPr>
        <w:t>כל בו</w:t>
      </w:r>
      <w:r w:rsidRPr="002A2592">
        <w:rPr>
          <w:rFonts w:cs="Arial"/>
          <w:sz w:val="18"/>
          <w:szCs w:val="18"/>
          <w:rtl/>
        </w:rPr>
        <w:t xml:space="preserve">), </w:t>
      </w:r>
      <w:r w:rsidRPr="002A2592">
        <w:rPr>
          <w:rFonts w:cs="Arial" w:hint="cs"/>
          <w:sz w:val="18"/>
          <w:szCs w:val="18"/>
          <w:rtl/>
        </w:rPr>
        <w:t>וכן</w:t>
      </w:r>
      <w:r w:rsidRPr="002A2592">
        <w:rPr>
          <w:rFonts w:cs="Arial"/>
          <w:sz w:val="18"/>
          <w:szCs w:val="18"/>
          <w:rtl/>
        </w:rPr>
        <w:t xml:space="preserve"> </w:t>
      </w:r>
      <w:r w:rsidRPr="002A2592">
        <w:rPr>
          <w:rFonts w:cs="Arial" w:hint="cs"/>
          <w:sz w:val="18"/>
          <w:szCs w:val="18"/>
          <w:rtl/>
        </w:rPr>
        <w:t>נוהגין</w:t>
      </w:r>
      <w:r>
        <w:rPr>
          <w:rStyle w:val="a7"/>
          <w:rFonts w:cs="Arial"/>
          <w:sz w:val="18"/>
          <w:szCs w:val="18"/>
          <w:rtl/>
        </w:rPr>
        <w:footnoteReference w:id="745"/>
      </w:r>
      <w:r w:rsidRPr="002A2592">
        <w:rPr>
          <w:rFonts w:cs="Arial"/>
          <w:sz w:val="18"/>
          <w:szCs w:val="18"/>
          <w:rtl/>
        </w:rPr>
        <w:t xml:space="preserve">. </w:t>
      </w:r>
      <w:r w:rsidRPr="002A2592">
        <w:rPr>
          <w:rFonts w:cs="Arial" w:hint="cs"/>
          <w:sz w:val="18"/>
          <w:szCs w:val="18"/>
          <w:rtl/>
        </w:rPr>
        <w:t>ולכן</w:t>
      </w:r>
      <w:r w:rsidRPr="002A2592">
        <w:rPr>
          <w:rFonts w:cs="Arial"/>
          <w:sz w:val="18"/>
          <w:szCs w:val="18"/>
          <w:rtl/>
        </w:rPr>
        <w:t xml:space="preserve"> </w:t>
      </w:r>
      <w:r w:rsidRPr="002A2592">
        <w:rPr>
          <w:rFonts w:cs="Arial" w:hint="cs"/>
          <w:sz w:val="18"/>
          <w:szCs w:val="18"/>
          <w:rtl/>
        </w:rPr>
        <w:t>צריך</w:t>
      </w:r>
      <w:r w:rsidRPr="002A2592">
        <w:rPr>
          <w:rFonts w:cs="Arial"/>
          <w:sz w:val="18"/>
          <w:szCs w:val="18"/>
          <w:rtl/>
        </w:rPr>
        <w:t xml:space="preserve"> </w:t>
      </w:r>
      <w:r w:rsidRPr="002A2592">
        <w:rPr>
          <w:rFonts w:cs="Arial" w:hint="cs"/>
          <w:sz w:val="18"/>
          <w:szCs w:val="18"/>
          <w:rtl/>
        </w:rPr>
        <w:t>להאריך</w:t>
      </w:r>
      <w:r w:rsidRPr="002A2592">
        <w:rPr>
          <w:rFonts w:cs="Arial"/>
          <w:sz w:val="18"/>
          <w:szCs w:val="18"/>
          <w:rtl/>
        </w:rPr>
        <w:t xml:space="preserve"> </w:t>
      </w:r>
      <w:r w:rsidRPr="002A2592">
        <w:rPr>
          <w:rFonts w:cs="Arial" w:hint="cs"/>
          <w:sz w:val="18"/>
          <w:szCs w:val="18"/>
          <w:rtl/>
        </w:rPr>
        <w:t>ג</w:t>
      </w:r>
      <w:r w:rsidRPr="002A2592">
        <w:rPr>
          <w:rFonts w:cs="Arial"/>
          <w:sz w:val="18"/>
          <w:szCs w:val="18"/>
          <w:rtl/>
        </w:rPr>
        <w:t>"</w:t>
      </w:r>
      <w:r w:rsidRPr="002A2592">
        <w:rPr>
          <w:rFonts w:cs="Arial" w:hint="cs"/>
          <w:sz w:val="18"/>
          <w:szCs w:val="18"/>
          <w:rtl/>
        </w:rPr>
        <w:t>כ</w:t>
      </w:r>
      <w:r w:rsidRPr="002A2592">
        <w:rPr>
          <w:rFonts w:cs="Arial"/>
          <w:sz w:val="18"/>
          <w:szCs w:val="18"/>
          <w:rtl/>
        </w:rPr>
        <w:t xml:space="preserve"> </w:t>
      </w:r>
      <w:r w:rsidRPr="002A2592">
        <w:rPr>
          <w:rFonts w:cs="Arial" w:hint="cs"/>
          <w:sz w:val="18"/>
          <w:szCs w:val="18"/>
          <w:rtl/>
        </w:rPr>
        <w:t>וי</w:t>
      </w:r>
      <w:r w:rsidRPr="002A2592">
        <w:rPr>
          <w:rFonts w:cs="Arial"/>
          <w:sz w:val="18"/>
          <w:szCs w:val="18"/>
          <w:rtl/>
        </w:rPr>
        <w:t>"</w:t>
      </w:r>
      <w:r w:rsidRPr="002A2592">
        <w:rPr>
          <w:rFonts w:cs="Arial" w:hint="cs"/>
          <w:sz w:val="18"/>
          <w:szCs w:val="18"/>
          <w:rtl/>
        </w:rPr>
        <w:t>ו</w:t>
      </w:r>
      <w:r w:rsidRPr="002A2592">
        <w:rPr>
          <w:rFonts w:cs="Arial"/>
          <w:sz w:val="18"/>
          <w:szCs w:val="18"/>
          <w:rtl/>
        </w:rPr>
        <w:t xml:space="preserve"> </w:t>
      </w:r>
      <w:r w:rsidRPr="002A2592">
        <w:rPr>
          <w:rFonts w:cs="Arial" w:hint="cs"/>
          <w:sz w:val="18"/>
          <w:szCs w:val="18"/>
          <w:rtl/>
        </w:rPr>
        <w:t>של</w:t>
      </w:r>
      <w:r w:rsidRPr="002A2592">
        <w:rPr>
          <w:rFonts w:cs="Arial"/>
          <w:sz w:val="18"/>
          <w:szCs w:val="18"/>
          <w:rtl/>
        </w:rPr>
        <w:t xml:space="preserve"> </w:t>
      </w:r>
      <w:r w:rsidRPr="002A2592">
        <w:rPr>
          <w:rFonts w:cs="Arial" w:hint="cs"/>
          <w:sz w:val="18"/>
          <w:szCs w:val="18"/>
          <w:rtl/>
        </w:rPr>
        <w:t>פטורין</w:t>
      </w:r>
      <w:r w:rsidRPr="002A2592">
        <w:rPr>
          <w:rFonts w:cs="Arial"/>
          <w:sz w:val="18"/>
          <w:szCs w:val="18"/>
          <w:rtl/>
        </w:rPr>
        <w:t xml:space="preserve"> (</w:t>
      </w:r>
      <w:r w:rsidRPr="002A2592">
        <w:rPr>
          <w:rFonts w:cs="Arial" w:hint="cs"/>
          <w:sz w:val="18"/>
          <w:szCs w:val="18"/>
          <w:rtl/>
        </w:rPr>
        <w:t>מרדכי</w:t>
      </w:r>
      <w:r w:rsidRPr="002A2592">
        <w:rPr>
          <w:rFonts w:cs="Arial"/>
          <w:sz w:val="18"/>
          <w:szCs w:val="18"/>
          <w:rtl/>
        </w:rPr>
        <w:t xml:space="preserve">). </w:t>
      </w:r>
      <w:r w:rsidRPr="002A2592">
        <w:rPr>
          <w:rFonts w:cs="Arial" w:hint="cs"/>
          <w:sz w:val="18"/>
          <w:szCs w:val="18"/>
          <w:rtl/>
        </w:rPr>
        <w:t>ונהגו</w:t>
      </w:r>
      <w:r w:rsidRPr="002A2592">
        <w:rPr>
          <w:rFonts w:cs="Arial"/>
          <w:sz w:val="18"/>
          <w:szCs w:val="18"/>
          <w:rtl/>
        </w:rPr>
        <w:t xml:space="preserve"> </w:t>
      </w:r>
      <w:r w:rsidRPr="002A2592">
        <w:rPr>
          <w:rFonts w:cs="Arial" w:hint="cs"/>
          <w:sz w:val="18"/>
          <w:szCs w:val="18"/>
          <w:rtl/>
        </w:rPr>
        <w:t>לכתוב</w:t>
      </w:r>
      <w:r w:rsidRPr="002A2592">
        <w:rPr>
          <w:rFonts w:cs="Arial"/>
          <w:sz w:val="18"/>
          <w:szCs w:val="18"/>
          <w:rtl/>
        </w:rPr>
        <w:t xml:space="preserve"> </w:t>
      </w:r>
      <w:r w:rsidRPr="002A2592">
        <w:rPr>
          <w:rFonts w:cs="Arial" w:hint="cs"/>
          <w:sz w:val="18"/>
          <w:szCs w:val="18"/>
          <w:rtl/>
        </w:rPr>
        <w:t>בגט</w:t>
      </w:r>
      <w:r w:rsidRPr="002A2592">
        <w:rPr>
          <w:rFonts w:cs="Arial"/>
          <w:sz w:val="18"/>
          <w:szCs w:val="18"/>
          <w:rtl/>
        </w:rPr>
        <w:t xml:space="preserve"> </w:t>
      </w:r>
      <w:r w:rsidRPr="002A2592">
        <w:rPr>
          <w:rFonts w:cs="Arial" w:hint="cs"/>
          <w:sz w:val="18"/>
          <w:szCs w:val="18"/>
          <w:rtl/>
        </w:rPr>
        <w:t>בתחלה</w:t>
      </w:r>
      <w:r w:rsidRPr="002A2592">
        <w:rPr>
          <w:rFonts w:cs="Arial"/>
          <w:sz w:val="18"/>
          <w:szCs w:val="18"/>
          <w:rtl/>
        </w:rPr>
        <w:t xml:space="preserve">: </w:t>
      </w:r>
      <w:r w:rsidRPr="002A2592">
        <w:rPr>
          <w:rFonts w:cs="Arial" w:hint="cs"/>
          <w:sz w:val="18"/>
          <w:szCs w:val="18"/>
          <w:rtl/>
        </w:rPr>
        <w:t>שבוקין</w:t>
      </w:r>
      <w:r w:rsidRPr="002A2592">
        <w:rPr>
          <w:rFonts w:cs="Arial"/>
          <w:sz w:val="18"/>
          <w:szCs w:val="18"/>
          <w:rtl/>
        </w:rPr>
        <w:t xml:space="preserve">, </w:t>
      </w:r>
      <w:r w:rsidRPr="002A2592">
        <w:rPr>
          <w:rFonts w:cs="Arial" w:hint="cs"/>
          <w:sz w:val="18"/>
          <w:szCs w:val="18"/>
          <w:rtl/>
        </w:rPr>
        <w:t>פטורין</w:t>
      </w:r>
      <w:r w:rsidRPr="002A2592">
        <w:rPr>
          <w:rFonts w:cs="Arial"/>
          <w:sz w:val="18"/>
          <w:szCs w:val="18"/>
          <w:rtl/>
        </w:rPr>
        <w:t xml:space="preserve">, </w:t>
      </w:r>
      <w:r w:rsidRPr="002A2592">
        <w:rPr>
          <w:rFonts w:cs="Arial" w:hint="cs"/>
          <w:sz w:val="18"/>
          <w:szCs w:val="18"/>
          <w:rtl/>
        </w:rPr>
        <w:t>תרוכין</w:t>
      </w:r>
      <w:r w:rsidRPr="002A2592">
        <w:rPr>
          <w:rFonts w:cs="Arial"/>
          <w:sz w:val="18"/>
          <w:szCs w:val="18"/>
          <w:rtl/>
        </w:rPr>
        <w:t xml:space="preserve">, </w:t>
      </w:r>
      <w:r w:rsidRPr="002A2592">
        <w:rPr>
          <w:rFonts w:cs="Arial" w:hint="cs"/>
          <w:sz w:val="18"/>
          <w:szCs w:val="18"/>
          <w:rtl/>
        </w:rPr>
        <w:t>ואחר</w:t>
      </w:r>
      <w:r w:rsidRPr="002A2592">
        <w:rPr>
          <w:rFonts w:cs="Arial"/>
          <w:sz w:val="18"/>
          <w:szCs w:val="18"/>
          <w:rtl/>
        </w:rPr>
        <w:t xml:space="preserve"> </w:t>
      </w:r>
      <w:r w:rsidRPr="002A2592">
        <w:rPr>
          <w:rFonts w:cs="Arial" w:hint="cs"/>
          <w:sz w:val="18"/>
          <w:szCs w:val="18"/>
          <w:rtl/>
        </w:rPr>
        <w:t>כך</w:t>
      </w:r>
      <w:r w:rsidRPr="002A2592">
        <w:rPr>
          <w:rFonts w:cs="Arial"/>
          <w:sz w:val="18"/>
          <w:szCs w:val="18"/>
          <w:rtl/>
        </w:rPr>
        <w:t xml:space="preserve"> </w:t>
      </w:r>
      <w:r w:rsidRPr="002A2592">
        <w:rPr>
          <w:rFonts w:cs="Arial" w:hint="cs"/>
          <w:sz w:val="18"/>
          <w:szCs w:val="18"/>
          <w:rtl/>
        </w:rPr>
        <w:t>פש</w:t>
      </w:r>
      <w:r w:rsidRPr="002A2592">
        <w:rPr>
          <w:rFonts w:cs="Arial"/>
          <w:sz w:val="18"/>
          <w:szCs w:val="18"/>
          <w:rtl/>
        </w:rPr>
        <w:t>"</w:t>
      </w:r>
      <w:r w:rsidRPr="002A2592">
        <w:rPr>
          <w:rFonts w:cs="Arial" w:hint="cs"/>
          <w:sz w:val="18"/>
          <w:szCs w:val="18"/>
          <w:rtl/>
        </w:rPr>
        <w:t>ת</w:t>
      </w:r>
      <w:r w:rsidRPr="002A2592">
        <w:rPr>
          <w:rFonts w:cs="Arial"/>
          <w:sz w:val="18"/>
          <w:szCs w:val="18"/>
          <w:rtl/>
        </w:rPr>
        <w:t xml:space="preserve">, </w:t>
      </w:r>
      <w:r w:rsidRPr="002A2592">
        <w:rPr>
          <w:rFonts w:cs="Arial" w:hint="cs"/>
          <w:sz w:val="18"/>
          <w:szCs w:val="18"/>
          <w:rtl/>
        </w:rPr>
        <w:t>ואחר</w:t>
      </w:r>
      <w:r w:rsidRPr="002A2592">
        <w:rPr>
          <w:rFonts w:cs="Arial"/>
          <w:sz w:val="18"/>
          <w:szCs w:val="18"/>
          <w:rtl/>
        </w:rPr>
        <w:t xml:space="preserve"> </w:t>
      </w:r>
      <w:r w:rsidRPr="002A2592">
        <w:rPr>
          <w:rFonts w:cs="Arial" w:hint="cs"/>
          <w:sz w:val="18"/>
          <w:szCs w:val="18"/>
          <w:rtl/>
        </w:rPr>
        <w:t>כך</w:t>
      </w:r>
      <w:r w:rsidRPr="002A2592">
        <w:rPr>
          <w:rFonts w:cs="Arial"/>
          <w:sz w:val="18"/>
          <w:szCs w:val="18"/>
          <w:rtl/>
        </w:rPr>
        <w:t xml:space="preserve"> </w:t>
      </w:r>
      <w:r w:rsidRPr="002A2592">
        <w:rPr>
          <w:rFonts w:cs="Arial" w:hint="cs"/>
          <w:sz w:val="18"/>
          <w:szCs w:val="18"/>
          <w:rtl/>
        </w:rPr>
        <w:t>תש</w:t>
      </w:r>
      <w:r w:rsidRPr="002A2592">
        <w:rPr>
          <w:rFonts w:cs="Arial"/>
          <w:sz w:val="18"/>
          <w:szCs w:val="18"/>
          <w:rtl/>
        </w:rPr>
        <w:t>"</w:t>
      </w:r>
      <w:r w:rsidRPr="002A2592">
        <w:rPr>
          <w:rFonts w:cs="Arial" w:hint="cs"/>
          <w:sz w:val="18"/>
          <w:szCs w:val="18"/>
          <w:rtl/>
        </w:rPr>
        <w:t>פ</w:t>
      </w:r>
      <w:r>
        <w:rPr>
          <w:rFonts w:cs="Arial" w:hint="cs"/>
          <w:sz w:val="18"/>
          <w:szCs w:val="18"/>
          <w:rtl/>
        </w:rPr>
        <w:t>.</w:t>
      </w:r>
      <w:r w:rsidRPr="002A2592">
        <w:rPr>
          <w:rFonts w:cs="Arial"/>
          <w:sz w:val="18"/>
          <w:szCs w:val="18"/>
          <w:rtl/>
        </w:rPr>
        <w:t xml:space="preserve"> </w:t>
      </w:r>
      <w:r w:rsidRPr="002A2592">
        <w:rPr>
          <w:rFonts w:cs="Arial" w:hint="cs"/>
          <w:sz w:val="18"/>
          <w:szCs w:val="18"/>
          <w:rtl/>
        </w:rPr>
        <w:t>ואם</w:t>
      </w:r>
      <w:r w:rsidRPr="002A2592">
        <w:rPr>
          <w:rFonts w:cs="Arial"/>
          <w:sz w:val="18"/>
          <w:szCs w:val="18"/>
          <w:rtl/>
        </w:rPr>
        <w:t xml:space="preserve"> </w:t>
      </w:r>
      <w:r w:rsidRPr="002A2592">
        <w:rPr>
          <w:rFonts w:cs="Arial" w:hint="cs"/>
          <w:sz w:val="18"/>
          <w:szCs w:val="18"/>
          <w:rtl/>
        </w:rPr>
        <w:t>שינה</w:t>
      </w:r>
      <w:r w:rsidRPr="002A2592">
        <w:rPr>
          <w:rFonts w:cs="Arial"/>
          <w:sz w:val="18"/>
          <w:szCs w:val="18"/>
          <w:rtl/>
        </w:rPr>
        <w:t xml:space="preserve"> </w:t>
      </w:r>
      <w:r w:rsidRPr="002A2592">
        <w:rPr>
          <w:rFonts w:cs="Arial" w:hint="cs"/>
          <w:sz w:val="18"/>
          <w:szCs w:val="18"/>
          <w:rtl/>
        </w:rPr>
        <w:t>בזה</w:t>
      </w:r>
      <w:r w:rsidRPr="002A2592">
        <w:rPr>
          <w:rFonts w:cs="Arial"/>
          <w:sz w:val="18"/>
          <w:szCs w:val="18"/>
          <w:rtl/>
        </w:rPr>
        <w:t xml:space="preserve">, </w:t>
      </w:r>
      <w:r w:rsidRPr="002A2592">
        <w:rPr>
          <w:rFonts w:cs="Arial" w:hint="cs"/>
          <w:sz w:val="18"/>
          <w:szCs w:val="18"/>
          <w:rtl/>
        </w:rPr>
        <w:t>אין</w:t>
      </w:r>
      <w:r w:rsidRPr="002A2592">
        <w:rPr>
          <w:rFonts w:cs="Arial"/>
          <w:sz w:val="18"/>
          <w:szCs w:val="18"/>
          <w:rtl/>
        </w:rPr>
        <w:t xml:space="preserve"> </w:t>
      </w:r>
      <w:r w:rsidRPr="002A2592">
        <w:rPr>
          <w:rFonts w:cs="Arial" w:hint="cs"/>
          <w:sz w:val="18"/>
          <w:szCs w:val="18"/>
          <w:rtl/>
        </w:rPr>
        <w:t>עיכוב</w:t>
      </w:r>
      <w:r w:rsidRPr="002A2592">
        <w:rPr>
          <w:rFonts w:cs="Arial"/>
          <w:sz w:val="18"/>
          <w:szCs w:val="18"/>
          <w:rtl/>
        </w:rPr>
        <w:t xml:space="preserve"> </w:t>
      </w:r>
      <w:r w:rsidRPr="002A2592">
        <w:rPr>
          <w:rFonts w:cs="Arial" w:hint="cs"/>
          <w:sz w:val="18"/>
          <w:szCs w:val="18"/>
          <w:rtl/>
        </w:rPr>
        <w:t>בדבר</w:t>
      </w:r>
      <w:r w:rsidRPr="002A2592">
        <w:rPr>
          <w:rFonts w:cs="Arial"/>
          <w:sz w:val="18"/>
          <w:szCs w:val="18"/>
          <w:rtl/>
        </w:rPr>
        <w:t>.</w:t>
      </w:r>
    </w:p>
    <w:p w14:paraId="423C9571" w14:textId="77777777" w:rsidR="00FA2119" w:rsidRDefault="00FA2119" w:rsidP="00FA2119">
      <w:pPr>
        <w:rPr>
          <w:rtl/>
        </w:rPr>
      </w:pPr>
      <w:r>
        <w:rPr>
          <w:rFonts w:cs="Arial"/>
          <w:rtl/>
        </w:rPr>
        <w:t xml:space="preserve"> </w:t>
      </w:r>
    </w:p>
    <w:p w14:paraId="293DE339" w14:textId="77777777" w:rsidR="00FA2119" w:rsidRDefault="00FA2119" w:rsidP="00FA2119">
      <w:pPr>
        <w:pStyle w:val="2"/>
        <w:rPr>
          <w:rtl/>
        </w:rPr>
      </w:pPr>
      <w:r>
        <w:rPr>
          <w:rFonts w:hint="cs"/>
          <w:rtl/>
        </w:rPr>
        <w:lastRenderedPageBreak/>
        <w:t>סעיף</w:t>
      </w:r>
      <w:r>
        <w:rPr>
          <w:rtl/>
        </w:rPr>
        <w:t xml:space="preserve"> </w:t>
      </w:r>
      <w:r>
        <w:rPr>
          <w:rFonts w:hint="cs"/>
          <w:rtl/>
        </w:rPr>
        <w:t>יג: למהך.</w:t>
      </w:r>
    </w:p>
    <w:p w14:paraId="4642CD03" w14:textId="77777777" w:rsidR="00FA2119" w:rsidRPr="00CC6A56" w:rsidRDefault="00FA2119" w:rsidP="00FA2119">
      <w:pPr>
        <w:rPr>
          <w:rFonts w:cs="Arial"/>
          <w:rtl/>
        </w:rPr>
      </w:pPr>
      <w:r w:rsidRPr="00AF1871">
        <w:rPr>
          <w:rFonts w:cs="Arial" w:hint="cs"/>
          <w:b/>
          <w:bCs/>
          <w:rtl/>
        </w:rPr>
        <w:t xml:space="preserve">גיטין </w:t>
      </w:r>
      <w:r w:rsidRPr="00AF1871">
        <w:rPr>
          <w:rFonts w:cs="Arial" w:hint="cs"/>
          <w:b/>
          <w:bCs/>
          <w:sz w:val="16"/>
          <w:szCs w:val="16"/>
          <w:rtl/>
        </w:rPr>
        <w:t>(</w:t>
      </w:r>
      <w:r>
        <w:rPr>
          <w:rFonts w:cs="Arial" w:hint="cs"/>
          <w:b/>
          <w:bCs/>
          <w:sz w:val="16"/>
          <w:szCs w:val="16"/>
          <w:rtl/>
        </w:rPr>
        <w:t xml:space="preserve">פ' </w:t>
      </w:r>
      <w:r w:rsidRPr="00AF1871">
        <w:rPr>
          <w:rFonts w:cs="Arial" w:hint="cs"/>
          <w:b/>
          <w:bCs/>
          <w:sz w:val="16"/>
          <w:szCs w:val="16"/>
          <w:rtl/>
        </w:rPr>
        <w:t>המגרש)</w:t>
      </w:r>
      <w:r w:rsidRPr="00AF1871">
        <w:rPr>
          <w:rFonts w:cs="Arial" w:hint="cs"/>
          <w:b/>
          <w:bCs/>
          <w:rtl/>
        </w:rPr>
        <w:t xml:space="preserve"> פה ע"ב:</w:t>
      </w:r>
      <w:r>
        <w:rPr>
          <w:rFonts w:cs="Arial" w:hint="cs"/>
          <w:rtl/>
        </w:rPr>
        <w:t xml:space="preserve"> </w:t>
      </w:r>
      <w:r w:rsidRPr="00D33273">
        <w:rPr>
          <w:rFonts w:cs="Arial"/>
          <w:u w:val="single"/>
          <w:rtl/>
        </w:rPr>
        <w:t>אמר אביי</w:t>
      </w:r>
      <w:r w:rsidRPr="00D33273">
        <w:rPr>
          <w:rFonts w:cs="Arial"/>
          <w:rtl/>
        </w:rPr>
        <w:t>: האי מאן דכתב גיטא</w:t>
      </w:r>
      <w:r>
        <w:rPr>
          <w:rFonts w:cs="Arial" w:hint="cs"/>
          <w:rtl/>
        </w:rPr>
        <w:t xml:space="preserve">... </w:t>
      </w:r>
      <w:r w:rsidRPr="00D33273">
        <w:rPr>
          <w:rFonts w:cs="Arial"/>
          <w:rtl/>
        </w:rPr>
        <w:t>ולא לכתוב לימהך</w:t>
      </w:r>
      <w:r>
        <w:rPr>
          <w:rFonts w:cs="Arial" w:hint="cs"/>
          <w:rtl/>
        </w:rPr>
        <w:t>,</w:t>
      </w:r>
      <w:r w:rsidRPr="00D33273">
        <w:rPr>
          <w:rFonts w:cs="Arial"/>
          <w:rtl/>
        </w:rPr>
        <w:t xml:space="preserve"> דמשמע לי מהך</w:t>
      </w:r>
      <w:r>
        <w:rPr>
          <w:rStyle w:val="a7"/>
          <w:rFonts w:cs="Arial"/>
          <w:rtl/>
        </w:rPr>
        <w:footnoteReference w:id="746"/>
      </w:r>
      <w:r>
        <w:rPr>
          <w:rFonts w:cs="Arial" w:hint="cs"/>
          <w:rtl/>
        </w:rPr>
        <w:t>.</w:t>
      </w:r>
    </w:p>
    <w:p w14:paraId="0BBFB4A0" w14:textId="77777777" w:rsidR="00FA2119" w:rsidRPr="007330DE" w:rsidRDefault="00FA2119" w:rsidP="00FA2119">
      <w:pPr>
        <w:rPr>
          <w:u w:val="single"/>
          <w:rtl/>
        </w:rPr>
      </w:pPr>
      <w:r w:rsidRPr="007330DE">
        <w:rPr>
          <w:rFonts w:hint="cs"/>
          <w:u w:val="single"/>
          <w:rtl/>
        </w:rPr>
        <w:t xml:space="preserve">כתיבת </w:t>
      </w:r>
      <w:r>
        <w:rPr>
          <w:rFonts w:hint="cs"/>
          <w:u w:val="single"/>
          <w:rtl/>
        </w:rPr>
        <w:t>המילה '</w:t>
      </w:r>
      <w:r w:rsidRPr="007330DE">
        <w:rPr>
          <w:rFonts w:hint="cs"/>
          <w:u w:val="single"/>
          <w:rtl/>
        </w:rPr>
        <w:t>למהך</w:t>
      </w:r>
      <w:r>
        <w:rPr>
          <w:rFonts w:hint="cs"/>
          <w:u w:val="single"/>
          <w:rtl/>
        </w:rPr>
        <w:t>'</w:t>
      </w:r>
      <w:r w:rsidRPr="007330DE">
        <w:rPr>
          <w:rFonts w:hint="cs"/>
          <w:u w:val="single"/>
          <w:rtl/>
        </w:rPr>
        <w:t>:</w:t>
      </w:r>
    </w:p>
    <w:p w14:paraId="54810B02" w14:textId="79A48F6F" w:rsidR="00FA2119" w:rsidRDefault="00FA2119" w:rsidP="00FA2119">
      <w:pPr>
        <w:pStyle w:val="ab"/>
        <w:numPr>
          <w:ilvl w:val="0"/>
          <w:numId w:val="15"/>
        </w:numPr>
        <w:rPr>
          <w:rFonts w:cs="Arial"/>
        </w:rPr>
      </w:pPr>
      <w:r>
        <w:rPr>
          <w:rFonts w:cs="Arial" w:hint="cs"/>
          <w:rtl/>
        </w:rPr>
        <w:t>טור</w:t>
      </w:r>
      <w:r w:rsidR="00A82951">
        <w:rPr>
          <w:rFonts w:cs="Arial" w:hint="cs"/>
          <w:rtl/>
        </w:rPr>
        <w:t>-</w:t>
      </w:r>
      <w:r>
        <w:rPr>
          <w:rFonts w:cs="Arial" w:hint="cs"/>
          <w:rtl/>
        </w:rPr>
        <w:t xml:space="preserve"> </w:t>
      </w:r>
      <w:r w:rsidRPr="00967D9E">
        <w:rPr>
          <w:rFonts w:cs="Arial"/>
          <w:rtl/>
        </w:rPr>
        <w:t>ולמהך</w:t>
      </w:r>
      <w:r>
        <w:rPr>
          <w:rFonts w:cs="Arial" w:hint="cs"/>
          <w:rtl/>
        </w:rPr>
        <w:t>,</w:t>
      </w:r>
      <w:r w:rsidRPr="00967D9E">
        <w:rPr>
          <w:rFonts w:cs="Arial"/>
          <w:rtl/>
        </w:rPr>
        <w:t xml:space="preserve"> חסר יו</w:t>
      </w:r>
      <w:r>
        <w:rPr>
          <w:rFonts w:cs="Arial" w:hint="cs"/>
          <w:rtl/>
        </w:rPr>
        <w:t>"</w:t>
      </w:r>
      <w:r w:rsidRPr="00967D9E">
        <w:rPr>
          <w:rFonts w:cs="Arial"/>
          <w:rtl/>
        </w:rPr>
        <w:t>ד</w:t>
      </w:r>
      <w:r>
        <w:rPr>
          <w:rFonts w:cs="Arial" w:hint="cs"/>
          <w:rtl/>
        </w:rPr>
        <w:t>.</w:t>
      </w:r>
      <w:r w:rsidRPr="00967D9E">
        <w:rPr>
          <w:rFonts w:cs="Arial"/>
          <w:rtl/>
        </w:rPr>
        <w:t xml:space="preserve"> </w:t>
      </w:r>
      <w:r w:rsidRPr="007330DE">
        <w:rPr>
          <w:rFonts w:cs="Arial" w:hint="cs"/>
          <w:color w:val="E36C0A" w:themeColor="accent6" w:themeShade="BF"/>
          <w:rtl/>
        </w:rPr>
        <w:t>(וכ"פ בשו"ע)</w:t>
      </w:r>
    </w:p>
    <w:p w14:paraId="75901DFF"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4DBAA69" w14:textId="77777777" w:rsidR="00FA2119" w:rsidRDefault="00FA2119" w:rsidP="00FA2119">
      <w:pPr>
        <w:rPr>
          <w:rtl/>
        </w:rPr>
      </w:pPr>
      <w:r>
        <w:rPr>
          <w:rFonts w:cs="Arial" w:hint="cs"/>
          <w:rtl/>
        </w:rPr>
        <w:t>למהך</w:t>
      </w:r>
      <w:r>
        <w:rPr>
          <w:rFonts w:cs="Arial"/>
          <w:rtl/>
        </w:rPr>
        <w:t xml:space="preserve">, </w:t>
      </w:r>
      <w:r>
        <w:rPr>
          <w:rFonts w:cs="Arial" w:hint="cs"/>
          <w:rtl/>
        </w:rPr>
        <w:t>חסר</w:t>
      </w:r>
      <w:r>
        <w:rPr>
          <w:rFonts w:cs="Arial"/>
          <w:rtl/>
        </w:rPr>
        <w:t xml:space="preserve"> </w:t>
      </w:r>
      <w:r>
        <w:rPr>
          <w:rFonts w:cs="Arial" w:hint="cs"/>
          <w:rtl/>
        </w:rPr>
        <w:t>יו</w:t>
      </w:r>
      <w:r>
        <w:rPr>
          <w:rFonts w:cs="Arial"/>
          <w:rtl/>
        </w:rPr>
        <w:t>"</w:t>
      </w:r>
      <w:r>
        <w:rPr>
          <w:rFonts w:cs="Arial" w:hint="cs"/>
          <w:rtl/>
        </w:rPr>
        <w:t>ד</w:t>
      </w:r>
      <w:r>
        <w:rPr>
          <w:rFonts w:cs="Arial"/>
          <w:rtl/>
        </w:rPr>
        <w:t xml:space="preserve">. </w:t>
      </w:r>
    </w:p>
    <w:p w14:paraId="6A2551D6" w14:textId="77777777" w:rsidR="00FA2119" w:rsidRDefault="00FA2119" w:rsidP="00FA2119">
      <w:pPr>
        <w:rPr>
          <w:rtl/>
        </w:rPr>
      </w:pPr>
    </w:p>
    <w:p w14:paraId="34C17AD3" w14:textId="0984C724" w:rsidR="00FA2119" w:rsidRDefault="00FA2119" w:rsidP="00FA2119">
      <w:pPr>
        <w:pStyle w:val="2"/>
        <w:rPr>
          <w:rtl/>
        </w:rPr>
      </w:pPr>
      <w:r>
        <w:rPr>
          <w:rFonts w:hint="cs"/>
          <w:rtl/>
        </w:rPr>
        <w:t>סעיף</w:t>
      </w:r>
      <w:r>
        <w:rPr>
          <w:rtl/>
        </w:rPr>
        <w:t xml:space="preserve"> </w:t>
      </w:r>
      <w:r>
        <w:rPr>
          <w:rFonts w:hint="cs"/>
          <w:rtl/>
        </w:rPr>
        <w:t>יד: כתיבת אות ה (בכלל, ובפרט ב</w:t>
      </w:r>
      <w:r w:rsidR="00A82951">
        <w:rPr>
          <w:rFonts w:hint="cs"/>
          <w:rtl/>
        </w:rPr>
        <w:t>-</w:t>
      </w:r>
      <w:r>
        <w:rPr>
          <w:rFonts w:hint="cs"/>
          <w:rtl/>
        </w:rPr>
        <w:t>למהך).</w:t>
      </w:r>
    </w:p>
    <w:p w14:paraId="7D91C2B2" w14:textId="77777777" w:rsidR="00FA2119" w:rsidRPr="00CC6A56" w:rsidRDefault="00FA2119" w:rsidP="00FA2119">
      <w:pPr>
        <w:rPr>
          <w:rFonts w:cs="Arial"/>
          <w:rtl/>
        </w:rPr>
      </w:pPr>
      <w:r w:rsidRPr="00AF1871">
        <w:rPr>
          <w:rFonts w:cs="Arial" w:hint="cs"/>
          <w:b/>
          <w:bCs/>
          <w:rtl/>
        </w:rPr>
        <w:t xml:space="preserve">גיטין </w:t>
      </w:r>
      <w:r w:rsidRPr="00AF1871">
        <w:rPr>
          <w:rFonts w:cs="Arial" w:hint="cs"/>
          <w:b/>
          <w:bCs/>
          <w:sz w:val="16"/>
          <w:szCs w:val="16"/>
          <w:rtl/>
        </w:rPr>
        <w:t>(</w:t>
      </w:r>
      <w:r>
        <w:rPr>
          <w:rFonts w:cs="Arial" w:hint="cs"/>
          <w:b/>
          <w:bCs/>
          <w:sz w:val="16"/>
          <w:szCs w:val="16"/>
          <w:rtl/>
        </w:rPr>
        <w:t xml:space="preserve">פ' </w:t>
      </w:r>
      <w:r w:rsidRPr="00AF1871">
        <w:rPr>
          <w:rFonts w:cs="Arial" w:hint="cs"/>
          <w:b/>
          <w:bCs/>
          <w:sz w:val="16"/>
          <w:szCs w:val="16"/>
          <w:rtl/>
        </w:rPr>
        <w:t>המגרש)</w:t>
      </w:r>
      <w:r w:rsidRPr="00AF1871">
        <w:rPr>
          <w:rFonts w:cs="Arial" w:hint="cs"/>
          <w:b/>
          <w:bCs/>
          <w:rtl/>
        </w:rPr>
        <w:t xml:space="preserve"> פה ע"ב:</w:t>
      </w:r>
      <w:r>
        <w:rPr>
          <w:rFonts w:cs="Arial" w:hint="cs"/>
          <w:rtl/>
        </w:rPr>
        <w:t xml:space="preserve"> </w:t>
      </w:r>
      <w:r w:rsidRPr="00D33273">
        <w:rPr>
          <w:rFonts w:cs="Arial"/>
          <w:u w:val="single"/>
          <w:rtl/>
        </w:rPr>
        <w:t>אמר אביי</w:t>
      </w:r>
      <w:r w:rsidRPr="00D33273">
        <w:rPr>
          <w:rFonts w:cs="Arial"/>
          <w:rtl/>
        </w:rPr>
        <w:t>: האי מאן דכתב גיטא</w:t>
      </w:r>
      <w:r>
        <w:rPr>
          <w:rFonts w:cs="Arial" w:hint="cs"/>
          <w:rtl/>
        </w:rPr>
        <w:t xml:space="preserve">... </w:t>
      </w:r>
      <w:r w:rsidRPr="00D33273">
        <w:rPr>
          <w:rFonts w:cs="Arial"/>
          <w:rtl/>
        </w:rPr>
        <w:t>ולא לכתוב לימהך דמשמע לי מהך, ולא לכתוב למחך דמשמע כי חוכא</w:t>
      </w:r>
      <w:r>
        <w:rPr>
          <w:rFonts w:hint="cs"/>
          <w:rtl/>
        </w:rPr>
        <w:t>.</w:t>
      </w:r>
    </w:p>
    <w:p w14:paraId="5BE722E5" w14:textId="1ABAA163" w:rsidR="00FA2119" w:rsidRPr="00A74519" w:rsidRDefault="00FA2119" w:rsidP="00FA2119">
      <w:pPr>
        <w:rPr>
          <w:u w:val="single"/>
          <w:rtl/>
        </w:rPr>
      </w:pPr>
      <w:r w:rsidRPr="00A74519">
        <w:rPr>
          <w:rFonts w:hint="cs"/>
          <w:u w:val="single"/>
          <w:rtl/>
        </w:rPr>
        <w:t xml:space="preserve">כתיבת אות ה </w:t>
      </w:r>
      <w:r w:rsidRPr="00A74519">
        <w:rPr>
          <w:rFonts w:hint="cs"/>
          <w:sz w:val="16"/>
          <w:szCs w:val="16"/>
          <w:u w:val="single"/>
          <w:rtl/>
        </w:rPr>
        <w:t>(בכלל, ובפרט ב</w:t>
      </w:r>
      <w:r w:rsidR="00A82951">
        <w:rPr>
          <w:rFonts w:hint="cs"/>
          <w:sz w:val="16"/>
          <w:szCs w:val="16"/>
          <w:u w:val="single"/>
          <w:rtl/>
        </w:rPr>
        <w:t>-</w:t>
      </w:r>
      <w:r w:rsidRPr="00A74519">
        <w:rPr>
          <w:rFonts w:hint="cs"/>
          <w:sz w:val="16"/>
          <w:szCs w:val="16"/>
          <w:u w:val="single"/>
          <w:rtl/>
        </w:rPr>
        <w:t>למהך)</w:t>
      </w:r>
      <w:r w:rsidRPr="00A74519">
        <w:rPr>
          <w:rFonts w:hint="cs"/>
          <w:u w:val="single"/>
          <w:rtl/>
        </w:rPr>
        <w:t>:</w:t>
      </w:r>
    </w:p>
    <w:p w14:paraId="4D328B53" w14:textId="5C23A929" w:rsidR="00FA2119" w:rsidRPr="00B7182F" w:rsidRDefault="00FA2119" w:rsidP="00FA2119">
      <w:pPr>
        <w:pStyle w:val="ab"/>
        <w:numPr>
          <w:ilvl w:val="0"/>
          <w:numId w:val="15"/>
        </w:numPr>
        <w:rPr>
          <w:rFonts w:cs="Arial"/>
          <w:rtl/>
        </w:rPr>
      </w:pPr>
      <w:r w:rsidRPr="00B7182F">
        <w:rPr>
          <w:rFonts w:cs="Arial" w:hint="cs"/>
          <w:rtl/>
        </w:rPr>
        <w:t xml:space="preserve">ר"פ </w:t>
      </w:r>
      <w:r w:rsidRPr="00B7182F">
        <w:rPr>
          <w:rFonts w:cs="Arial" w:hint="cs"/>
          <w:sz w:val="16"/>
          <w:szCs w:val="16"/>
          <w:rtl/>
        </w:rPr>
        <w:t>(</w:t>
      </w:r>
      <w:r w:rsidRPr="00B7182F">
        <w:rPr>
          <w:rFonts w:cs="Arial"/>
          <w:sz w:val="16"/>
          <w:szCs w:val="16"/>
          <w:rtl/>
        </w:rPr>
        <w:t>ב</w:t>
      </w:r>
      <w:r w:rsidRPr="00B7182F">
        <w:rPr>
          <w:rFonts w:cs="Arial" w:hint="cs"/>
          <w:sz w:val="16"/>
          <w:szCs w:val="16"/>
          <w:rtl/>
        </w:rPr>
        <w:t xml:space="preserve">הגה' </w:t>
      </w:r>
      <w:r w:rsidRPr="00B7182F">
        <w:rPr>
          <w:rFonts w:cs="Arial"/>
          <w:sz w:val="16"/>
          <w:szCs w:val="16"/>
          <w:rtl/>
        </w:rPr>
        <w:t>סמ"ק סי' קפד)</w:t>
      </w:r>
      <w:r w:rsidR="00A82951">
        <w:rPr>
          <w:rFonts w:cs="Arial" w:hint="cs"/>
          <w:rtl/>
        </w:rPr>
        <w:t>-</w:t>
      </w:r>
      <w:r w:rsidRPr="00B7182F">
        <w:rPr>
          <w:rFonts w:cs="Arial" w:hint="cs"/>
          <w:rtl/>
        </w:rPr>
        <w:t xml:space="preserve"> </w:t>
      </w:r>
      <w:r w:rsidRPr="00B7182F">
        <w:rPr>
          <w:rFonts w:cs="Arial"/>
          <w:rtl/>
        </w:rPr>
        <w:t>וצריך שיהו ההי"ן תלויין לכרעיהו</w:t>
      </w:r>
      <w:r w:rsidR="00A27CCE">
        <w:rPr>
          <w:rFonts w:cs="Arial" w:hint="cs"/>
          <w:rtl/>
        </w:rPr>
        <w:t>,</w:t>
      </w:r>
      <w:r w:rsidRPr="00B7182F">
        <w:rPr>
          <w:rFonts w:cs="Arial"/>
          <w:rtl/>
        </w:rPr>
        <w:t xml:space="preserve"> וכן מן הקו"ף וה' דלמהך להרחיק</w:t>
      </w:r>
      <w:r>
        <w:rPr>
          <w:rFonts w:cs="Arial" w:hint="cs"/>
          <w:rtl/>
        </w:rPr>
        <w:t>ה</w:t>
      </w:r>
      <w:r w:rsidRPr="00B7182F">
        <w:rPr>
          <w:rFonts w:cs="Arial"/>
          <w:rtl/>
        </w:rPr>
        <w:t xml:space="preserve"> יותר</w:t>
      </w:r>
      <w:r w:rsidRPr="00B7182F">
        <w:rPr>
          <w:rFonts w:cs="Arial" w:hint="cs"/>
          <w:rtl/>
        </w:rPr>
        <w:t>.</w:t>
      </w:r>
    </w:p>
    <w:p w14:paraId="2717CAB7" w14:textId="2E4075DC" w:rsidR="00FA2119" w:rsidRDefault="00FA2119" w:rsidP="00FA2119">
      <w:pPr>
        <w:pStyle w:val="ab"/>
        <w:numPr>
          <w:ilvl w:val="0"/>
          <w:numId w:val="15"/>
        </w:numPr>
        <w:rPr>
          <w:rFonts w:cs="Arial"/>
        </w:rPr>
      </w:pPr>
      <w:r>
        <w:rPr>
          <w:rFonts w:cs="Arial" w:hint="cs"/>
          <w:rtl/>
        </w:rPr>
        <w:t>רא"ש</w:t>
      </w:r>
      <w:r>
        <w:rPr>
          <w:rStyle w:val="a7"/>
          <w:rFonts w:cs="Arial"/>
          <w:rtl/>
        </w:rPr>
        <w:footnoteReference w:id="747"/>
      </w:r>
      <w:r>
        <w:rPr>
          <w:rFonts w:cs="Arial" w:hint="cs"/>
          <w:rtl/>
        </w:rPr>
        <w:t xml:space="preserve"> </w:t>
      </w:r>
      <w:r>
        <w:rPr>
          <w:rFonts w:cs="Arial" w:hint="cs"/>
          <w:sz w:val="16"/>
          <w:szCs w:val="16"/>
          <w:rtl/>
        </w:rPr>
        <w:t>(סדר הגט)</w:t>
      </w:r>
      <w:r>
        <w:rPr>
          <w:rFonts w:cs="Arial" w:hint="cs"/>
          <w:rtl/>
        </w:rPr>
        <w:t xml:space="preserve"> וטור</w:t>
      </w:r>
      <w:r w:rsidR="00A82951">
        <w:rPr>
          <w:rFonts w:cs="Arial" w:hint="cs"/>
          <w:rtl/>
        </w:rPr>
        <w:t>-</w:t>
      </w:r>
      <w:r>
        <w:rPr>
          <w:rFonts w:cs="Arial" w:hint="cs"/>
          <w:rtl/>
        </w:rPr>
        <w:t xml:space="preserve"> </w:t>
      </w:r>
      <w:r w:rsidRPr="00967D9E">
        <w:rPr>
          <w:rFonts w:cs="Arial"/>
          <w:rtl/>
        </w:rPr>
        <w:t>ויזהר יפה ברגל של ה"א דלמהך שירחיקנה מגגה</w:t>
      </w:r>
      <w:r>
        <w:rPr>
          <w:rStyle w:val="a7"/>
          <w:rFonts w:cs="Arial"/>
          <w:rtl/>
        </w:rPr>
        <w:footnoteReference w:id="748"/>
      </w:r>
      <w:r>
        <w:rPr>
          <w:rFonts w:cs="Arial" w:hint="cs"/>
          <w:rtl/>
        </w:rPr>
        <w:t>.</w:t>
      </w:r>
      <w:r w:rsidRPr="00967D9E">
        <w:rPr>
          <w:rFonts w:cs="Arial"/>
          <w:rtl/>
        </w:rPr>
        <w:t xml:space="preserve"> וכן ככל ההי"ן צריך שיזהר שלא יגע הרגל למעלה</w:t>
      </w:r>
      <w:r>
        <w:rPr>
          <w:rFonts w:cs="Arial" w:hint="cs"/>
          <w:rtl/>
        </w:rPr>
        <w:t>,</w:t>
      </w:r>
      <w:r w:rsidRPr="00967D9E">
        <w:rPr>
          <w:rFonts w:cs="Arial"/>
          <w:rtl/>
        </w:rPr>
        <w:t xml:space="preserve"> אלא שבזה צריך ליזהר יותר</w:t>
      </w:r>
      <w:r>
        <w:rPr>
          <w:rStyle w:val="a7"/>
          <w:rFonts w:cs="Arial"/>
          <w:rtl/>
        </w:rPr>
        <w:footnoteReference w:id="749"/>
      </w:r>
      <w:r w:rsidRPr="00967D9E">
        <w:rPr>
          <w:rFonts w:cs="Arial"/>
          <w:rtl/>
        </w:rPr>
        <w:t xml:space="preserve"> לפי שבזה משתנה כל המשמעות</w:t>
      </w:r>
      <w:r>
        <w:rPr>
          <w:rFonts w:cs="Arial" w:hint="cs"/>
          <w:rtl/>
        </w:rPr>
        <w:t>.</w:t>
      </w:r>
      <w:r w:rsidRPr="00B7182F">
        <w:rPr>
          <w:rFonts w:cs="Arial"/>
          <w:color w:val="E36C0A" w:themeColor="accent6" w:themeShade="BF"/>
          <w:rtl/>
        </w:rPr>
        <w:t xml:space="preserve"> </w:t>
      </w:r>
      <w:r w:rsidRPr="00B7182F">
        <w:rPr>
          <w:rFonts w:cs="Arial" w:hint="cs"/>
          <w:color w:val="E36C0A" w:themeColor="accent6" w:themeShade="BF"/>
          <w:rtl/>
        </w:rPr>
        <w:t>(וכ"פ בשו"ע)</w:t>
      </w:r>
    </w:p>
    <w:p w14:paraId="56C8A6F8" w14:textId="7500ABFD" w:rsidR="00FA2119" w:rsidRPr="00B7182F" w:rsidRDefault="00FA2119" w:rsidP="00FA2119">
      <w:pPr>
        <w:pStyle w:val="ab"/>
        <w:numPr>
          <w:ilvl w:val="0"/>
          <w:numId w:val="15"/>
        </w:numPr>
        <w:rPr>
          <w:rFonts w:cs="Arial"/>
          <w:rtl/>
        </w:rPr>
      </w:pPr>
      <w:r>
        <w:rPr>
          <w:rFonts w:cs="Arial" w:hint="cs"/>
          <w:rtl/>
        </w:rPr>
        <w:t xml:space="preserve">רמב"ם </w:t>
      </w:r>
      <w:r>
        <w:rPr>
          <w:rFonts w:cs="Arial" w:hint="cs"/>
          <w:sz w:val="16"/>
          <w:szCs w:val="16"/>
          <w:rtl/>
        </w:rPr>
        <w:t>(פ"ד הי"ג)</w:t>
      </w:r>
      <w:r w:rsidR="00A82951">
        <w:rPr>
          <w:rFonts w:cs="Arial" w:hint="cs"/>
          <w:rtl/>
        </w:rPr>
        <w:t>-</w:t>
      </w:r>
      <w:r>
        <w:rPr>
          <w:rFonts w:cs="Arial" w:hint="cs"/>
          <w:rtl/>
        </w:rPr>
        <w:t xml:space="preserve"> </w:t>
      </w:r>
      <w:r w:rsidRPr="00D71E6F">
        <w:rPr>
          <w:rFonts w:cs="Arial"/>
          <w:rtl/>
        </w:rPr>
        <w:t>ולא יכתוב למהך ביוד שמא יקרא הקורא לי מהך</w:t>
      </w:r>
      <w:r>
        <w:rPr>
          <w:rFonts w:cs="Arial" w:hint="cs"/>
          <w:rtl/>
        </w:rPr>
        <w:t>,</w:t>
      </w:r>
      <w:r w:rsidRPr="00D71E6F">
        <w:rPr>
          <w:rFonts w:cs="Arial"/>
          <w:rtl/>
        </w:rPr>
        <w:t xml:space="preserve"> כלומר לי שחוק</w:t>
      </w:r>
      <w:r>
        <w:rPr>
          <w:rStyle w:val="a7"/>
          <w:rFonts w:cs="Arial"/>
          <w:rtl/>
        </w:rPr>
        <w:footnoteReference w:id="750"/>
      </w:r>
      <w:r>
        <w:rPr>
          <w:rFonts w:cs="Arial" w:hint="cs"/>
          <w:rtl/>
        </w:rPr>
        <w:t>.</w:t>
      </w:r>
    </w:p>
    <w:p w14:paraId="6ABA65C9"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BDFCD3A" w14:textId="77777777" w:rsidR="00FA2119" w:rsidRDefault="00FA2119" w:rsidP="00FA2119">
      <w:pPr>
        <w:rPr>
          <w:rFonts w:cs="Arial"/>
          <w:rtl/>
        </w:rPr>
      </w:pPr>
      <w:r>
        <w:rPr>
          <w:rFonts w:cs="Arial" w:hint="cs"/>
          <w:rtl/>
        </w:rPr>
        <w:t>יזהר</w:t>
      </w:r>
      <w:r>
        <w:rPr>
          <w:rFonts w:cs="Arial"/>
          <w:rtl/>
        </w:rPr>
        <w:t xml:space="preserve"> </w:t>
      </w:r>
      <w:r>
        <w:rPr>
          <w:rFonts w:cs="Arial" w:hint="cs"/>
          <w:rtl/>
        </w:rPr>
        <w:t>יפה</w:t>
      </w:r>
      <w:r>
        <w:rPr>
          <w:rFonts w:cs="Arial"/>
          <w:rtl/>
        </w:rPr>
        <w:t xml:space="preserve"> </w:t>
      </w:r>
      <w:r>
        <w:rPr>
          <w:rFonts w:cs="Arial" w:hint="cs"/>
          <w:rtl/>
        </w:rPr>
        <w:t>ברגל</w:t>
      </w:r>
      <w:r>
        <w:rPr>
          <w:rFonts w:cs="Arial"/>
          <w:rtl/>
        </w:rPr>
        <w:t xml:space="preserve"> </w:t>
      </w:r>
      <w:r>
        <w:rPr>
          <w:rFonts w:cs="Arial" w:hint="cs"/>
          <w:rtl/>
        </w:rPr>
        <w:t>של</w:t>
      </w:r>
      <w:r>
        <w:rPr>
          <w:rFonts w:cs="Arial"/>
          <w:rtl/>
        </w:rPr>
        <w:t xml:space="preserve"> </w:t>
      </w:r>
      <w:r>
        <w:rPr>
          <w:rFonts w:cs="Arial" w:hint="cs"/>
          <w:rtl/>
        </w:rPr>
        <w:t>ה</w:t>
      </w:r>
      <w:r>
        <w:rPr>
          <w:rFonts w:cs="Arial"/>
          <w:rtl/>
        </w:rPr>
        <w:t>"</w:t>
      </w:r>
      <w:r>
        <w:rPr>
          <w:rFonts w:cs="Arial" w:hint="cs"/>
          <w:rtl/>
        </w:rPr>
        <w:t>א</w:t>
      </w:r>
      <w:r>
        <w:rPr>
          <w:rFonts w:cs="Arial"/>
          <w:rtl/>
        </w:rPr>
        <w:t xml:space="preserve"> </w:t>
      </w:r>
      <w:r>
        <w:rPr>
          <w:rFonts w:cs="Arial" w:hint="cs"/>
          <w:rtl/>
        </w:rPr>
        <w:t>של</w:t>
      </w:r>
      <w:r>
        <w:rPr>
          <w:rFonts w:cs="Arial"/>
          <w:rtl/>
        </w:rPr>
        <w:t xml:space="preserve"> </w:t>
      </w:r>
      <w:r>
        <w:rPr>
          <w:rFonts w:cs="Arial" w:hint="cs"/>
          <w:rtl/>
        </w:rPr>
        <w:t>למהך</w:t>
      </w:r>
      <w:r>
        <w:rPr>
          <w:rFonts w:cs="Arial"/>
          <w:rtl/>
        </w:rPr>
        <w:t xml:space="preserve"> </w:t>
      </w:r>
      <w:r>
        <w:rPr>
          <w:rFonts w:cs="Arial" w:hint="cs"/>
          <w:rtl/>
        </w:rPr>
        <w:t>שירחיקנה</w:t>
      </w:r>
      <w:r>
        <w:rPr>
          <w:rFonts w:cs="Arial"/>
          <w:rtl/>
        </w:rPr>
        <w:t xml:space="preserve"> </w:t>
      </w:r>
      <w:r>
        <w:rPr>
          <w:rFonts w:cs="Arial" w:hint="cs"/>
          <w:rtl/>
        </w:rPr>
        <w:t>מגגה.</w:t>
      </w:r>
      <w:r>
        <w:rPr>
          <w:rFonts w:cs="Arial"/>
          <w:rtl/>
        </w:rPr>
        <w:t xml:space="preserve"> </w:t>
      </w:r>
      <w:r>
        <w:rPr>
          <w:rFonts w:cs="Arial" w:hint="cs"/>
          <w:rtl/>
        </w:rPr>
        <w:t>וכן</w:t>
      </w:r>
      <w:r>
        <w:rPr>
          <w:rFonts w:cs="Arial"/>
          <w:rtl/>
        </w:rPr>
        <w:t xml:space="preserve"> </w:t>
      </w:r>
      <w:r>
        <w:rPr>
          <w:rFonts w:cs="Arial" w:hint="cs"/>
          <w:rtl/>
        </w:rPr>
        <w:t>בכל</w:t>
      </w:r>
      <w:r>
        <w:rPr>
          <w:rFonts w:cs="Arial"/>
          <w:rtl/>
        </w:rPr>
        <w:t xml:space="preserve"> </w:t>
      </w:r>
      <w:r>
        <w:rPr>
          <w:rFonts w:cs="Arial" w:hint="cs"/>
          <w:rtl/>
        </w:rPr>
        <w:t>ההי</w:t>
      </w:r>
      <w:r>
        <w:rPr>
          <w:rFonts w:cs="Arial"/>
          <w:rtl/>
        </w:rPr>
        <w:t>"</w:t>
      </w:r>
      <w:r>
        <w:rPr>
          <w:rFonts w:cs="Arial" w:hint="cs"/>
          <w:rtl/>
        </w:rPr>
        <w:t>ן</w:t>
      </w:r>
      <w:r>
        <w:rPr>
          <w:rFonts w:cs="Arial"/>
          <w:rtl/>
        </w:rPr>
        <w:t xml:space="preserve"> </w:t>
      </w:r>
      <w:r>
        <w:rPr>
          <w:rFonts w:cs="Arial" w:hint="cs"/>
          <w:rtl/>
        </w:rPr>
        <w:t>צריך</w:t>
      </w:r>
      <w:r>
        <w:rPr>
          <w:rFonts w:cs="Arial"/>
          <w:rtl/>
        </w:rPr>
        <w:t xml:space="preserve"> </w:t>
      </w:r>
      <w:r>
        <w:rPr>
          <w:rFonts w:cs="Arial" w:hint="cs"/>
          <w:rtl/>
        </w:rPr>
        <w:t>ליזהר</w:t>
      </w:r>
      <w:r>
        <w:rPr>
          <w:rFonts w:cs="Arial"/>
          <w:rtl/>
        </w:rPr>
        <w:t xml:space="preserve">, </w:t>
      </w:r>
      <w:r>
        <w:rPr>
          <w:rFonts w:cs="Arial" w:hint="cs"/>
          <w:rtl/>
        </w:rPr>
        <w:t>אלא</w:t>
      </w:r>
      <w:r>
        <w:rPr>
          <w:rFonts w:cs="Arial"/>
          <w:rtl/>
        </w:rPr>
        <w:t xml:space="preserve"> </w:t>
      </w:r>
      <w:r>
        <w:rPr>
          <w:rFonts w:cs="Arial" w:hint="cs"/>
          <w:rtl/>
        </w:rPr>
        <w:t>שבזה</w:t>
      </w:r>
      <w:r>
        <w:rPr>
          <w:rFonts w:cs="Arial"/>
          <w:rtl/>
        </w:rPr>
        <w:t xml:space="preserve"> </w:t>
      </w:r>
      <w:r>
        <w:rPr>
          <w:rFonts w:cs="Arial" w:hint="cs"/>
          <w:rtl/>
        </w:rPr>
        <w:t>צריך</w:t>
      </w:r>
      <w:r>
        <w:rPr>
          <w:rFonts w:cs="Arial"/>
          <w:rtl/>
        </w:rPr>
        <w:t xml:space="preserve"> </w:t>
      </w:r>
      <w:r>
        <w:rPr>
          <w:rFonts w:cs="Arial" w:hint="cs"/>
          <w:rtl/>
        </w:rPr>
        <w:t>ליזהר</w:t>
      </w:r>
      <w:r>
        <w:rPr>
          <w:rFonts w:cs="Arial"/>
          <w:rtl/>
        </w:rPr>
        <w:t xml:space="preserve"> </w:t>
      </w:r>
      <w:r>
        <w:rPr>
          <w:rFonts w:cs="Arial" w:hint="cs"/>
          <w:rtl/>
        </w:rPr>
        <w:t>יותר</w:t>
      </w:r>
      <w:r>
        <w:rPr>
          <w:rFonts w:cs="Arial"/>
          <w:rtl/>
        </w:rPr>
        <w:t xml:space="preserve">. </w:t>
      </w:r>
    </w:p>
    <w:p w14:paraId="23D0F18E" w14:textId="77777777" w:rsidR="00FA2119" w:rsidRDefault="00FA2119" w:rsidP="00FA2119">
      <w:pPr>
        <w:rPr>
          <w:rtl/>
        </w:rPr>
      </w:pPr>
    </w:p>
    <w:p w14:paraId="21CF9301" w14:textId="77777777" w:rsidR="00FA2119" w:rsidRDefault="00FA2119" w:rsidP="00FA2119">
      <w:pPr>
        <w:pStyle w:val="2"/>
        <w:rPr>
          <w:rtl/>
        </w:rPr>
      </w:pPr>
      <w:r>
        <w:rPr>
          <w:rFonts w:hint="cs"/>
          <w:rtl/>
        </w:rPr>
        <w:t>סעיף</w:t>
      </w:r>
      <w:r>
        <w:rPr>
          <w:rtl/>
        </w:rPr>
        <w:t xml:space="preserve"> </w:t>
      </w:r>
      <w:r>
        <w:rPr>
          <w:rFonts w:hint="cs"/>
          <w:rtl/>
        </w:rPr>
        <w:t>טו: להתנסבא.</w:t>
      </w:r>
    </w:p>
    <w:p w14:paraId="33474C9B" w14:textId="77777777" w:rsidR="00FA2119" w:rsidRPr="00CC6A56" w:rsidRDefault="00FA2119" w:rsidP="00FA2119">
      <w:pPr>
        <w:rPr>
          <w:rFonts w:cs="Arial"/>
          <w:rtl/>
        </w:rPr>
      </w:pPr>
      <w:r w:rsidRPr="00AF1871">
        <w:rPr>
          <w:rFonts w:cs="Arial" w:hint="cs"/>
          <w:b/>
          <w:bCs/>
          <w:rtl/>
        </w:rPr>
        <w:t xml:space="preserve">גיטין </w:t>
      </w:r>
      <w:r w:rsidRPr="00AF1871">
        <w:rPr>
          <w:rFonts w:cs="Arial" w:hint="cs"/>
          <w:b/>
          <w:bCs/>
          <w:sz w:val="16"/>
          <w:szCs w:val="16"/>
          <w:rtl/>
        </w:rPr>
        <w:t>(</w:t>
      </w:r>
      <w:r>
        <w:rPr>
          <w:rFonts w:cs="Arial" w:hint="cs"/>
          <w:b/>
          <w:bCs/>
          <w:sz w:val="16"/>
          <w:szCs w:val="16"/>
          <w:rtl/>
        </w:rPr>
        <w:t xml:space="preserve">פ' </w:t>
      </w:r>
      <w:r w:rsidRPr="00AF1871">
        <w:rPr>
          <w:rFonts w:cs="Arial" w:hint="cs"/>
          <w:b/>
          <w:bCs/>
          <w:sz w:val="16"/>
          <w:szCs w:val="16"/>
          <w:rtl/>
        </w:rPr>
        <w:t>המגרש)</w:t>
      </w:r>
      <w:r w:rsidRPr="00AF1871">
        <w:rPr>
          <w:rFonts w:cs="Arial" w:hint="cs"/>
          <w:b/>
          <w:bCs/>
          <w:rtl/>
        </w:rPr>
        <w:t xml:space="preserve"> פה ע"ב:</w:t>
      </w:r>
      <w:r>
        <w:rPr>
          <w:rFonts w:cs="Arial" w:hint="cs"/>
          <w:rtl/>
        </w:rPr>
        <w:t xml:space="preserve"> </w:t>
      </w:r>
      <w:r w:rsidRPr="00D33273">
        <w:rPr>
          <w:rFonts w:cs="Arial"/>
          <w:u w:val="single"/>
          <w:rtl/>
        </w:rPr>
        <w:t>אמר אביי</w:t>
      </w:r>
      <w:r w:rsidRPr="00D33273">
        <w:rPr>
          <w:rFonts w:cs="Arial"/>
          <w:rtl/>
        </w:rPr>
        <w:t>: האי מאן דכתב גיטא</w:t>
      </w:r>
      <w:r>
        <w:rPr>
          <w:rFonts w:cs="Arial" w:hint="cs"/>
          <w:rtl/>
        </w:rPr>
        <w:t xml:space="preserve">... </w:t>
      </w:r>
      <w:r w:rsidRPr="00D33273">
        <w:rPr>
          <w:rFonts w:cs="Arial"/>
          <w:rtl/>
        </w:rPr>
        <w:t>ולא ליכתוב לאיתנסבא</w:t>
      </w:r>
      <w:r>
        <w:rPr>
          <w:rStyle w:val="a7"/>
          <w:rFonts w:cs="Arial"/>
          <w:rtl/>
        </w:rPr>
        <w:footnoteReference w:id="751"/>
      </w:r>
      <w:r>
        <w:rPr>
          <w:rFonts w:cs="Arial" w:hint="cs"/>
          <w:rtl/>
        </w:rPr>
        <w:t>,</w:t>
      </w:r>
      <w:r w:rsidRPr="00D33273">
        <w:rPr>
          <w:rFonts w:cs="Arial"/>
          <w:rtl/>
        </w:rPr>
        <w:t xml:space="preserve"> דמשמע לא יתנסבא</w:t>
      </w:r>
      <w:r>
        <w:rPr>
          <w:rFonts w:cs="Arial" w:hint="cs"/>
          <w:rtl/>
        </w:rPr>
        <w:t>,</w:t>
      </w:r>
      <w:r w:rsidRPr="00D33273">
        <w:rPr>
          <w:rFonts w:cs="Arial"/>
          <w:rtl/>
        </w:rPr>
        <w:t xml:space="preserve"> אלא להתנסבא</w:t>
      </w:r>
      <w:r>
        <w:rPr>
          <w:rFonts w:hint="cs"/>
          <w:rtl/>
        </w:rPr>
        <w:t>.</w:t>
      </w:r>
    </w:p>
    <w:p w14:paraId="51529579" w14:textId="77777777" w:rsidR="00FA2119" w:rsidRPr="00131FF0" w:rsidRDefault="00FA2119" w:rsidP="00FA2119">
      <w:pPr>
        <w:rPr>
          <w:u w:val="single"/>
          <w:rtl/>
        </w:rPr>
      </w:pPr>
      <w:r>
        <w:rPr>
          <w:rFonts w:hint="cs"/>
          <w:u w:val="single"/>
          <w:rtl/>
        </w:rPr>
        <w:t>כתיבת המילה '</w:t>
      </w:r>
      <w:r w:rsidRPr="00131FF0">
        <w:rPr>
          <w:rFonts w:hint="cs"/>
          <w:u w:val="single"/>
          <w:rtl/>
        </w:rPr>
        <w:t>ל</w:t>
      </w:r>
      <w:r>
        <w:rPr>
          <w:rFonts w:hint="cs"/>
          <w:u w:val="single"/>
          <w:rtl/>
        </w:rPr>
        <w:t>ה</w:t>
      </w:r>
      <w:r w:rsidRPr="00131FF0">
        <w:rPr>
          <w:rFonts w:hint="cs"/>
          <w:u w:val="single"/>
          <w:rtl/>
        </w:rPr>
        <w:t>תנסבא</w:t>
      </w:r>
      <w:r>
        <w:rPr>
          <w:rFonts w:hint="cs"/>
          <w:u w:val="single"/>
          <w:rtl/>
        </w:rPr>
        <w:t>'</w:t>
      </w:r>
      <w:r w:rsidRPr="00131FF0">
        <w:rPr>
          <w:rFonts w:hint="cs"/>
          <w:u w:val="single"/>
          <w:rtl/>
        </w:rPr>
        <w:t>:</w:t>
      </w:r>
    </w:p>
    <w:p w14:paraId="683D2184" w14:textId="7C7EAA5D" w:rsidR="00FA2119" w:rsidRPr="00883786" w:rsidRDefault="00FA2119" w:rsidP="00FA2119">
      <w:pPr>
        <w:pStyle w:val="ab"/>
        <w:numPr>
          <w:ilvl w:val="0"/>
          <w:numId w:val="15"/>
        </w:numPr>
        <w:rPr>
          <w:rFonts w:cs="Arial"/>
          <w:rtl/>
        </w:rPr>
      </w:pPr>
      <w:r>
        <w:rPr>
          <w:rFonts w:cs="Arial" w:hint="cs"/>
          <w:rtl/>
        </w:rPr>
        <w:t>טור</w:t>
      </w:r>
      <w:r w:rsidR="00A82951">
        <w:rPr>
          <w:rFonts w:cs="Arial" w:hint="cs"/>
          <w:rtl/>
        </w:rPr>
        <w:t>-</w:t>
      </w:r>
      <w:r>
        <w:rPr>
          <w:rFonts w:cs="Arial" w:hint="cs"/>
          <w:rtl/>
        </w:rPr>
        <w:t xml:space="preserve"> </w:t>
      </w:r>
      <w:r w:rsidRPr="00967D9E">
        <w:rPr>
          <w:rFonts w:cs="Arial"/>
          <w:rtl/>
        </w:rPr>
        <w:t>ולא לכתוב לאתנסבא אלא להתנסבא</w:t>
      </w:r>
      <w:r>
        <w:rPr>
          <w:rFonts w:cs="Arial" w:hint="cs"/>
          <w:sz w:val="16"/>
          <w:szCs w:val="16"/>
          <w:rtl/>
        </w:rPr>
        <w:t xml:space="preserve"> (ועיין עוד בסע' לח)</w:t>
      </w:r>
      <w:r>
        <w:rPr>
          <w:rFonts w:cs="Arial" w:hint="cs"/>
          <w:rtl/>
        </w:rPr>
        <w:t>.</w:t>
      </w:r>
      <w:r w:rsidRPr="00967D9E">
        <w:rPr>
          <w:rFonts w:cs="Arial"/>
          <w:rtl/>
        </w:rPr>
        <w:t xml:space="preserve"> </w:t>
      </w:r>
      <w:r w:rsidRPr="00E979E0">
        <w:rPr>
          <w:rFonts w:cs="Arial" w:hint="cs"/>
          <w:color w:val="E36C0A" w:themeColor="accent6" w:themeShade="BF"/>
          <w:rtl/>
        </w:rPr>
        <w:t>(וכ"פ בשו"ע)</w:t>
      </w:r>
    </w:p>
    <w:p w14:paraId="0C3BA7A3" w14:textId="77777777" w:rsidR="00FA2119" w:rsidRPr="005936A9" w:rsidRDefault="00FA2119" w:rsidP="00FA2119">
      <w:r w:rsidRPr="005936A9">
        <w:rPr>
          <w:rFonts w:cs="Arial"/>
          <w:u w:val="single"/>
          <w:rtl/>
        </w:rPr>
        <w:lastRenderedPageBreak/>
        <w:t>גט שלא כתבו ה' דלהתנסבא אלא כתבו לתנסבא</w:t>
      </w:r>
      <w:r w:rsidRPr="00496F83">
        <w:rPr>
          <w:rFonts w:cs="Arial"/>
          <w:rtl/>
        </w:rPr>
        <w:t xml:space="preserve"> </w:t>
      </w:r>
      <w:r w:rsidRPr="005936A9">
        <w:rPr>
          <w:rFonts w:cs="Arial"/>
          <w:sz w:val="16"/>
          <w:szCs w:val="16"/>
          <w:rtl/>
        </w:rPr>
        <w:t>(</w:t>
      </w:r>
      <w:r w:rsidRPr="005936A9">
        <w:rPr>
          <w:rFonts w:cs="Arial" w:hint="cs"/>
          <w:sz w:val="16"/>
          <w:szCs w:val="16"/>
          <w:rtl/>
        </w:rPr>
        <w:t xml:space="preserve">דרכ"מ אות </w:t>
      </w:r>
      <w:r w:rsidRPr="005936A9">
        <w:rPr>
          <w:rFonts w:cs="Arial"/>
          <w:sz w:val="16"/>
          <w:szCs w:val="16"/>
          <w:rtl/>
        </w:rPr>
        <w:t>כה)</w:t>
      </w:r>
      <w:r w:rsidRPr="005936A9">
        <w:rPr>
          <w:rFonts w:cs="Arial"/>
          <w:rtl/>
        </w:rPr>
        <w:t xml:space="preserve"> </w:t>
      </w:r>
    </w:p>
    <w:p w14:paraId="679AD428" w14:textId="7BF0112F" w:rsidR="00FA2119" w:rsidRPr="005936A9" w:rsidRDefault="00FA2119" w:rsidP="00FA2119">
      <w:pPr>
        <w:pStyle w:val="ab"/>
        <w:numPr>
          <w:ilvl w:val="0"/>
          <w:numId w:val="15"/>
        </w:numPr>
      </w:pPr>
      <w:r w:rsidRPr="00496F83">
        <w:rPr>
          <w:rFonts w:cs="Arial"/>
          <w:rtl/>
        </w:rPr>
        <w:t xml:space="preserve">רשב"א </w:t>
      </w:r>
      <w:r w:rsidRPr="005936A9">
        <w:rPr>
          <w:rFonts w:cs="Arial" w:hint="cs"/>
          <w:sz w:val="16"/>
          <w:szCs w:val="16"/>
          <w:rtl/>
        </w:rPr>
        <w:t>(</w:t>
      </w:r>
      <w:r w:rsidRPr="005936A9">
        <w:rPr>
          <w:rFonts w:cs="Arial"/>
          <w:sz w:val="16"/>
          <w:szCs w:val="16"/>
          <w:rtl/>
        </w:rPr>
        <w:t>סי</w:t>
      </w:r>
      <w:r w:rsidRPr="005936A9">
        <w:rPr>
          <w:rFonts w:cs="Arial" w:hint="cs"/>
          <w:sz w:val="16"/>
          <w:szCs w:val="16"/>
          <w:rtl/>
        </w:rPr>
        <w:t>'</w:t>
      </w:r>
      <w:r w:rsidRPr="005936A9">
        <w:rPr>
          <w:rFonts w:cs="Arial"/>
          <w:sz w:val="16"/>
          <w:szCs w:val="16"/>
          <w:rtl/>
        </w:rPr>
        <w:t xml:space="preserve"> אלף קסג</w:t>
      </w:r>
      <w:r w:rsidRPr="005936A9">
        <w:rPr>
          <w:rFonts w:cs="Arial" w:hint="cs"/>
          <w:sz w:val="16"/>
          <w:szCs w:val="16"/>
          <w:rtl/>
        </w:rPr>
        <w:t>)</w:t>
      </w:r>
      <w:r w:rsidR="00A82951">
        <w:rPr>
          <w:rFonts w:cs="Arial" w:hint="cs"/>
          <w:rtl/>
        </w:rPr>
        <w:t>-</w:t>
      </w:r>
      <w:r>
        <w:rPr>
          <w:rFonts w:cs="Arial" w:hint="cs"/>
          <w:rtl/>
        </w:rPr>
        <w:t xml:space="preserve"> </w:t>
      </w:r>
      <w:r w:rsidRPr="00496F83">
        <w:rPr>
          <w:rFonts w:cs="Arial"/>
          <w:rtl/>
        </w:rPr>
        <w:t xml:space="preserve">גט שלא כתבו ה' דלהתנסבא אלא כתבו לתנסבא </w:t>
      </w:r>
      <w:r w:rsidR="00A82951">
        <w:rPr>
          <w:rFonts w:cs="Arial"/>
          <w:rtl/>
        </w:rPr>
        <w:t>-</w:t>
      </w:r>
      <w:r>
        <w:rPr>
          <w:rFonts w:cs="Arial" w:hint="cs"/>
          <w:rtl/>
        </w:rPr>
        <w:t xml:space="preserve"> </w:t>
      </w:r>
      <w:r w:rsidRPr="00496F83">
        <w:rPr>
          <w:rFonts w:cs="Arial"/>
          <w:rtl/>
        </w:rPr>
        <w:t>כשר אפילו לא כתב להתנסבא כלל</w:t>
      </w:r>
      <w:r>
        <w:rPr>
          <w:rFonts w:cs="Arial" w:hint="cs"/>
          <w:rtl/>
        </w:rPr>
        <w:t>,</w:t>
      </w:r>
      <w:r w:rsidRPr="00496F83">
        <w:rPr>
          <w:rFonts w:cs="Arial"/>
          <w:rtl/>
        </w:rPr>
        <w:t xml:space="preserve"> דהרי כתב בו והרי את מותרת לכל אדם</w:t>
      </w:r>
      <w:r>
        <w:rPr>
          <w:rFonts w:cs="Arial" w:hint="cs"/>
          <w:rtl/>
        </w:rPr>
        <w:t>.</w:t>
      </w:r>
      <w:r w:rsidRPr="00496F83">
        <w:rPr>
          <w:rFonts w:cs="Arial"/>
          <w:rtl/>
        </w:rPr>
        <w:t xml:space="preserve"> ולא פסלו בגמרא (גיטין פה</w:t>
      </w:r>
      <w:r>
        <w:rPr>
          <w:rFonts w:cs="Arial" w:hint="cs"/>
          <w:rtl/>
        </w:rPr>
        <w:t>:</w:t>
      </w:r>
      <w:r w:rsidRPr="00496F83">
        <w:rPr>
          <w:rFonts w:cs="Arial"/>
          <w:rtl/>
        </w:rPr>
        <w:t>) אלא לאתנסבא</w:t>
      </w:r>
      <w:r>
        <w:rPr>
          <w:rFonts w:cs="Arial" w:hint="cs"/>
          <w:rtl/>
        </w:rPr>
        <w:t>,</w:t>
      </w:r>
      <w:r w:rsidRPr="00496F83">
        <w:rPr>
          <w:rFonts w:cs="Arial"/>
          <w:rtl/>
        </w:rPr>
        <w:t xml:space="preserve"> משום דמשמע לא תנסבא</w:t>
      </w:r>
      <w:r>
        <w:rPr>
          <w:rFonts w:cs="Arial" w:hint="cs"/>
          <w:rtl/>
        </w:rPr>
        <w:t>.</w:t>
      </w:r>
      <w:r w:rsidRPr="00496F83">
        <w:rPr>
          <w:rFonts w:cs="Arial"/>
          <w:rtl/>
        </w:rPr>
        <w:t xml:space="preserve"> גם שם יש מכשירין כל זמן שאין הבעל מערער וכו'</w:t>
      </w:r>
      <w:r>
        <w:rPr>
          <w:rFonts w:cs="Arial" w:hint="cs"/>
          <w:sz w:val="16"/>
          <w:szCs w:val="16"/>
          <w:rtl/>
        </w:rPr>
        <w:t xml:space="preserve"> (ל' הדרכ"מ בשמו)</w:t>
      </w:r>
      <w:r>
        <w:rPr>
          <w:rStyle w:val="a7"/>
          <w:rFonts w:cs="Arial"/>
          <w:rtl/>
        </w:rPr>
        <w:footnoteReference w:id="752"/>
      </w:r>
      <w:r w:rsidRPr="00496F83">
        <w:rPr>
          <w:rFonts w:cs="Arial"/>
          <w:rtl/>
        </w:rPr>
        <w:t xml:space="preserve">. </w:t>
      </w:r>
      <w:r w:rsidRPr="00E979E0">
        <w:rPr>
          <w:rFonts w:cs="Arial" w:hint="cs"/>
          <w:color w:val="00B0F0"/>
          <w:rtl/>
        </w:rPr>
        <w:t>(וכ"פ הרמ"א)</w:t>
      </w:r>
    </w:p>
    <w:p w14:paraId="39C9E85C" w14:textId="00F176AC" w:rsidR="00FA2119" w:rsidRPr="00A04B42" w:rsidRDefault="00FA2119" w:rsidP="00FA2119">
      <w:pPr>
        <w:rPr>
          <w:rFonts w:cs="Arial"/>
          <w:u w:val="single"/>
          <w:rtl/>
        </w:rPr>
      </w:pPr>
      <w:r w:rsidRPr="00A04B42">
        <w:rPr>
          <w:rFonts w:cs="Arial" w:hint="cs"/>
          <w:u w:val="single"/>
          <w:rtl/>
        </w:rPr>
        <w:t xml:space="preserve">כשמראים את האות לתינוק </w:t>
      </w:r>
      <w:r w:rsidR="00A82951">
        <w:rPr>
          <w:rFonts w:cs="Arial" w:hint="cs"/>
          <w:u w:val="single"/>
          <w:rtl/>
        </w:rPr>
        <w:t>-</w:t>
      </w:r>
      <w:r w:rsidRPr="00A04B42">
        <w:rPr>
          <w:rFonts w:cs="Arial" w:hint="cs"/>
          <w:u w:val="single"/>
          <w:rtl/>
        </w:rPr>
        <w:t xml:space="preserve"> האם צריך לכסות את שאר האותיות:</w:t>
      </w:r>
    </w:p>
    <w:p w14:paraId="11E3E57F" w14:textId="36F84B05" w:rsidR="00FA2119" w:rsidRPr="00A04B42" w:rsidRDefault="00FA2119" w:rsidP="00FA2119">
      <w:pPr>
        <w:pStyle w:val="ab"/>
        <w:numPr>
          <w:ilvl w:val="0"/>
          <w:numId w:val="15"/>
        </w:numPr>
      </w:pPr>
      <w:r>
        <w:rPr>
          <w:rFonts w:cs="Arial" w:hint="cs"/>
          <w:rtl/>
        </w:rPr>
        <w:t>ב"י</w:t>
      </w:r>
      <w:r w:rsidR="00A82951">
        <w:rPr>
          <w:rFonts w:cs="Arial" w:hint="cs"/>
          <w:rtl/>
        </w:rPr>
        <w:t>-</w:t>
      </w:r>
      <w:r>
        <w:rPr>
          <w:rFonts w:cs="Arial" w:hint="cs"/>
          <w:rtl/>
        </w:rPr>
        <w:t xml:space="preserve"> </w:t>
      </w:r>
      <w:r w:rsidRPr="00212303">
        <w:rPr>
          <w:rFonts w:cs="Arial"/>
          <w:rtl/>
        </w:rPr>
        <w:t>מצאתי כתוב בסדר גט אשכנזי בהקומץ רבה (מנחות כט:) גרסינן גבי וי"ו דויהרג אייתי תינוק דלא חכים ולא טיפש</w:t>
      </w:r>
      <w:r w:rsidRPr="00212303">
        <w:rPr>
          <w:rFonts w:cs="Arial" w:hint="cs"/>
          <w:rtl/>
        </w:rPr>
        <w:t>.</w:t>
      </w:r>
      <w:r w:rsidRPr="00212303">
        <w:rPr>
          <w:rFonts w:cs="Arial"/>
          <w:rtl/>
        </w:rPr>
        <w:t xml:space="preserve"> ופירשו התוספות דאי חכים מבין שגידוף הוא כלפי מעלה לאמר ייהרג ואומר ויהרג</w:t>
      </w:r>
      <w:r w:rsidRPr="00212303">
        <w:rPr>
          <w:rFonts w:cs="Arial" w:hint="cs"/>
          <w:rtl/>
        </w:rPr>
        <w:t>.</w:t>
      </w:r>
      <w:r w:rsidRPr="00212303">
        <w:rPr>
          <w:rFonts w:cs="Arial"/>
          <w:rtl/>
        </w:rPr>
        <w:t xml:space="preserve"> ויש ללמוד מכאן שיכול להראות לתינוק כל השורה ואין צריך לכסות שאר האותיות</w:t>
      </w:r>
      <w:r w:rsidRPr="00212303">
        <w:rPr>
          <w:rFonts w:cs="Arial" w:hint="cs"/>
          <w:rtl/>
        </w:rPr>
        <w:t>.</w:t>
      </w:r>
      <w:r w:rsidRPr="00212303">
        <w:rPr>
          <w:rFonts w:cs="Arial"/>
          <w:rtl/>
        </w:rPr>
        <w:t xml:space="preserve"> ומכאן מביא רבי אליה (תוס' שם ד"ה זיל) ראיה לגט שהיתה דלי"ת של כדת קטנה ודומה ליו"ד דאייתי תינוק דלא חכים ולא טיפש וקרייה</w:t>
      </w:r>
      <w:r w:rsidRPr="00212303">
        <w:rPr>
          <w:rFonts w:cs="Arial" w:hint="cs"/>
          <w:rtl/>
        </w:rPr>
        <w:t>,</w:t>
      </w:r>
      <w:r w:rsidRPr="00212303">
        <w:rPr>
          <w:rFonts w:cs="Arial"/>
          <w:rtl/>
        </w:rPr>
        <w:t xml:space="preserve"> ומסתמא הוא הדין גבי גט אין צריך לכסות שאר האותיות</w:t>
      </w:r>
      <w:r w:rsidRPr="00212303">
        <w:rPr>
          <w:rFonts w:cs="Arial" w:hint="cs"/>
          <w:rtl/>
        </w:rPr>
        <w:t>.</w:t>
      </w:r>
      <w:r w:rsidRPr="00212303">
        <w:rPr>
          <w:rFonts w:cs="Arial"/>
          <w:rtl/>
        </w:rPr>
        <w:t xml:space="preserve"> וכן שמעתי בשם מהר"ר ישראל איסרלן ז"ל. ובספר אגודה (פרק הקומץ רב אות ה) כתב תינוק היודע האותיות ואינו יודע צירוף התיבות</w:t>
      </w:r>
      <w:r w:rsidRPr="00212303">
        <w:rPr>
          <w:rFonts w:cs="Arial" w:hint="cs"/>
          <w:rtl/>
        </w:rPr>
        <w:t>,</w:t>
      </w:r>
      <w:r w:rsidRPr="00212303">
        <w:rPr>
          <w:rFonts w:cs="Arial"/>
          <w:rtl/>
        </w:rPr>
        <w:t xml:space="preserve"> והתוספות בפרק המגרש (גיטין פה: ד"ה ולורכיה) כתבו היודע לקרות אותה תיבה</w:t>
      </w:r>
      <w:r w:rsidRPr="00A04B42">
        <w:rPr>
          <w:rFonts w:cs="Arial" w:hint="cs"/>
          <w:rtl/>
        </w:rPr>
        <w:t>.</w:t>
      </w:r>
      <w:r w:rsidRPr="00A04B42">
        <w:rPr>
          <w:rFonts w:cs="Arial"/>
          <w:rtl/>
        </w:rPr>
        <w:t xml:space="preserve"> </w:t>
      </w:r>
      <w:r w:rsidRPr="00A04B42">
        <w:rPr>
          <w:rFonts w:hint="cs"/>
          <w:color w:val="E36C0A" w:themeColor="accent6" w:themeShade="BF"/>
          <w:rtl/>
        </w:rPr>
        <w:t>(וכ"פ בשו"ע</w:t>
      </w:r>
      <w:r>
        <w:rPr>
          <w:rFonts w:hint="cs"/>
          <w:sz w:val="16"/>
          <w:szCs w:val="16"/>
          <w:rtl/>
        </w:rPr>
        <w:t xml:space="preserve"> [או"ח סי' לב סט"ז]</w:t>
      </w:r>
      <w:r w:rsidRPr="00A04B42">
        <w:rPr>
          <w:rFonts w:hint="cs"/>
          <w:color w:val="E36C0A" w:themeColor="accent6" w:themeShade="BF"/>
          <w:rtl/>
        </w:rPr>
        <w:t>)</w:t>
      </w:r>
    </w:p>
    <w:p w14:paraId="6EE7E4F8" w14:textId="77777777" w:rsidR="00FA2119" w:rsidRDefault="00FA2119" w:rsidP="00FA2119">
      <w:pPr>
        <w:rPr>
          <w:rFonts w:cs="Arial"/>
          <w:rtl/>
        </w:rPr>
      </w:pPr>
      <w:r w:rsidRPr="00131FF0">
        <w:rPr>
          <w:rFonts w:cs="Arial" w:hint="cs"/>
          <w:u w:val="single"/>
          <w:rtl/>
        </w:rPr>
        <w:t>כתיבת המילה 'אנש':</w:t>
      </w:r>
    </w:p>
    <w:p w14:paraId="5147E1E6" w14:textId="5F470BE9" w:rsidR="00FA2119" w:rsidRPr="00CF20F9" w:rsidRDefault="00FA2119" w:rsidP="00FA2119">
      <w:pPr>
        <w:pStyle w:val="ab"/>
        <w:numPr>
          <w:ilvl w:val="0"/>
          <w:numId w:val="15"/>
        </w:numPr>
        <w:rPr>
          <w:rFonts w:cs="Arial"/>
          <w:rtl/>
        </w:rPr>
      </w:pPr>
      <w:r w:rsidRPr="00CF20F9">
        <w:rPr>
          <w:rFonts w:cs="Arial"/>
          <w:rtl/>
        </w:rPr>
        <w:t xml:space="preserve">כל בו </w:t>
      </w:r>
      <w:r>
        <w:rPr>
          <w:rFonts w:cs="Arial" w:hint="cs"/>
          <w:sz w:val="16"/>
          <w:szCs w:val="16"/>
          <w:rtl/>
        </w:rPr>
        <w:t>(כ"כ הב"י בשמו)</w:t>
      </w:r>
      <w:r>
        <w:rPr>
          <w:rFonts w:cs="Arial" w:hint="cs"/>
          <w:rtl/>
        </w:rPr>
        <w:t xml:space="preserve"> </w:t>
      </w:r>
      <w:r w:rsidRPr="00CF20F9">
        <w:rPr>
          <w:rFonts w:cs="Arial" w:hint="cs"/>
          <w:rtl/>
        </w:rPr>
        <w:t xml:space="preserve">ומרדכי </w:t>
      </w:r>
      <w:r w:rsidRPr="00CF20F9">
        <w:rPr>
          <w:rFonts w:cs="Arial" w:hint="cs"/>
          <w:sz w:val="16"/>
          <w:szCs w:val="16"/>
          <w:rtl/>
        </w:rPr>
        <w:t>(הל' הגט שם)</w:t>
      </w:r>
      <w:r w:rsidR="00A82951">
        <w:rPr>
          <w:rFonts w:cs="Arial" w:hint="cs"/>
          <w:rtl/>
        </w:rPr>
        <w:t>-</w:t>
      </w:r>
      <w:r w:rsidRPr="00CF20F9">
        <w:rPr>
          <w:rFonts w:cs="Arial" w:hint="cs"/>
          <w:rtl/>
        </w:rPr>
        <w:t xml:space="preserve"> אנש</w:t>
      </w:r>
      <w:r w:rsidRPr="00CF20F9">
        <w:rPr>
          <w:rFonts w:cs="Arial"/>
          <w:rtl/>
        </w:rPr>
        <w:t xml:space="preserve"> הוא בלא יו"ד</w:t>
      </w:r>
      <w:r w:rsidRPr="00CF20F9">
        <w:rPr>
          <w:rFonts w:cs="Arial" w:hint="cs"/>
          <w:rtl/>
        </w:rPr>
        <w:t>.</w:t>
      </w:r>
      <w:r w:rsidRPr="00CF20F9">
        <w:rPr>
          <w:rFonts w:cs="Arial"/>
          <w:rtl/>
        </w:rPr>
        <w:t xml:space="preserve"> </w:t>
      </w:r>
      <w:r w:rsidRPr="00E979E0">
        <w:rPr>
          <w:rFonts w:cs="Arial" w:hint="cs"/>
          <w:color w:val="00B0F0"/>
          <w:rtl/>
        </w:rPr>
        <w:t>(וכ"פ הרמ"א)</w:t>
      </w:r>
    </w:p>
    <w:p w14:paraId="4DB20C4C"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28E8DFC" w14:textId="77777777" w:rsidR="00FA2119" w:rsidRDefault="00FA2119" w:rsidP="00FA2119">
      <w:pPr>
        <w:rPr>
          <w:rtl/>
        </w:rPr>
      </w:pPr>
      <w:r>
        <w:rPr>
          <w:rFonts w:cs="Arial" w:hint="cs"/>
          <w:rtl/>
        </w:rPr>
        <w:t>לא</w:t>
      </w:r>
      <w:r>
        <w:rPr>
          <w:rFonts w:cs="Arial"/>
          <w:rtl/>
        </w:rPr>
        <w:t xml:space="preserve"> </w:t>
      </w:r>
      <w:r>
        <w:rPr>
          <w:rFonts w:cs="Arial" w:hint="cs"/>
          <w:rtl/>
        </w:rPr>
        <w:t>יכתוב</w:t>
      </w:r>
      <w:r>
        <w:rPr>
          <w:rFonts w:cs="Arial"/>
          <w:rtl/>
        </w:rPr>
        <w:t xml:space="preserve">: </w:t>
      </w:r>
      <w:r>
        <w:rPr>
          <w:rFonts w:cs="Arial" w:hint="cs"/>
          <w:rtl/>
        </w:rPr>
        <w:t>לאתנסבא</w:t>
      </w:r>
      <w:r>
        <w:rPr>
          <w:rStyle w:val="a7"/>
          <w:rFonts w:cs="Arial"/>
          <w:rtl/>
        </w:rPr>
        <w:footnoteReference w:id="753"/>
      </w:r>
      <w:r>
        <w:rPr>
          <w:rFonts w:cs="Arial"/>
          <w:rtl/>
        </w:rPr>
        <w:t xml:space="preserve">, </w:t>
      </w:r>
      <w:r>
        <w:rPr>
          <w:rFonts w:cs="Arial" w:hint="cs"/>
          <w:rtl/>
        </w:rPr>
        <w:t>אלא</w:t>
      </w:r>
      <w:r>
        <w:rPr>
          <w:rFonts w:cs="Arial"/>
          <w:rtl/>
        </w:rPr>
        <w:t xml:space="preserve">: </w:t>
      </w:r>
      <w:r>
        <w:rPr>
          <w:rFonts w:cs="Arial" w:hint="cs"/>
          <w:rtl/>
        </w:rPr>
        <w:t>להתנסבא</w:t>
      </w:r>
      <w:r>
        <w:rPr>
          <w:rFonts w:cs="Arial"/>
          <w:rtl/>
        </w:rPr>
        <w:t xml:space="preserve">. </w:t>
      </w:r>
      <w:r w:rsidRPr="007754BD">
        <w:rPr>
          <w:rFonts w:cs="Arial" w:hint="cs"/>
          <w:sz w:val="18"/>
          <w:szCs w:val="18"/>
          <w:rtl/>
        </w:rPr>
        <w:t>[הגה] ואנש</w:t>
      </w:r>
      <w:r w:rsidRPr="007754BD">
        <w:rPr>
          <w:rFonts w:cs="Arial"/>
          <w:sz w:val="18"/>
          <w:szCs w:val="18"/>
          <w:rtl/>
        </w:rPr>
        <w:t xml:space="preserve">, </w:t>
      </w:r>
      <w:r w:rsidRPr="007754BD">
        <w:rPr>
          <w:rFonts w:cs="Arial" w:hint="cs"/>
          <w:sz w:val="18"/>
          <w:szCs w:val="18"/>
          <w:rtl/>
        </w:rPr>
        <w:t>חסר</w:t>
      </w:r>
      <w:r w:rsidRPr="007754BD">
        <w:rPr>
          <w:rFonts w:cs="Arial"/>
          <w:sz w:val="18"/>
          <w:szCs w:val="18"/>
          <w:rtl/>
        </w:rPr>
        <w:t xml:space="preserve"> </w:t>
      </w:r>
      <w:r w:rsidRPr="007754BD">
        <w:rPr>
          <w:rFonts w:cs="Arial" w:hint="cs"/>
          <w:sz w:val="18"/>
          <w:szCs w:val="18"/>
          <w:rtl/>
        </w:rPr>
        <w:t>יו</w:t>
      </w:r>
      <w:r w:rsidRPr="007754BD">
        <w:rPr>
          <w:rFonts w:cs="Arial"/>
          <w:sz w:val="18"/>
          <w:szCs w:val="18"/>
          <w:rtl/>
        </w:rPr>
        <w:t>"</w:t>
      </w:r>
      <w:r w:rsidRPr="007754BD">
        <w:rPr>
          <w:rFonts w:cs="Arial" w:hint="cs"/>
          <w:sz w:val="18"/>
          <w:szCs w:val="18"/>
          <w:rtl/>
        </w:rPr>
        <w:t>ד</w:t>
      </w:r>
      <w:r>
        <w:rPr>
          <w:rStyle w:val="a7"/>
          <w:rFonts w:cs="Arial"/>
          <w:sz w:val="18"/>
          <w:szCs w:val="18"/>
          <w:rtl/>
        </w:rPr>
        <w:footnoteReference w:id="754"/>
      </w:r>
      <w:r w:rsidRPr="007754BD">
        <w:rPr>
          <w:rFonts w:cs="Arial"/>
          <w:sz w:val="18"/>
          <w:szCs w:val="18"/>
          <w:rtl/>
        </w:rPr>
        <w:t xml:space="preserve"> (</w:t>
      </w:r>
      <w:r w:rsidRPr="007754BD">
        <w:rPr>
          <w:rFonts w:cs="Arial" w:hint="cs"/>
          <w:sz w:val="18"/>
          <w:szCs w:val="18"/>
          <w:rtl/>
        </w:rPr>
        <w:t>מרדכי</w:t>
      </w:r>
      <w:r w:rsidRPr="007754BD">
        <w:rPr>
          <w:rFonts w:cs="Arial"/>
          <w:sz w:val="18"/>
          <w:szCs w:val="18"/>
          <w:rtl/>
        </w:rPr>
        <w:t xml:space="preserve">). </w:t>
      </w:r>
      <w:r w:rsidRPr="007754BD">
        <w:rPr>
          <w:rFonts w:cs="Arial" w:hint="cs"/>
          <w:sz w:val="18"/>
          <w:szCs w:val="18"/>
          <w:rtl/>
        </w:rPr>
        <w:t>דילג</w:t>
      </w:r>
      <w:r w:rsidRPr="007754BD">
        <w:rPr>
          <w:rFonts w:cs="Arial"/>
          <w:sz w:val="18"/>
          <w:szCs w:val="18"/>
          <w:rtl/>
        </w:rPr>
        <w:t xml:space="preserve"> </w:t>
      </w:r>
      <w:r w:rsidRPr="007754BD">
        <w:rPr>
          <w:rFonts w:cs="Arial" w:hint="cs"/>
          <w:sz w:val="18"/>
          <w:szCs w:val="18"/>
          <w:rtl/>
        </w:rPr>
        <w:t>ה</w:t>
      </w:r>
      <w:r w:rsidRPr="007754BD">
        <w:rPr>
          <w:rFonts w:cs="Arial"/>
          <w:sz w:val="18"/>
          <w:szCs w:val="18"/>
          <w:rtl/>
        </w:rPr>
        <w:t xml:space="preserve">' </w:t>
      </w:r>
      <w:r w:rsidRPr="007754BD">
        <w:rPr>
          <w:rFonts w:cs="Arial" w:hint="cs"/>
          <w:sz w:val="18"/>
          <w:szCs w:val="18"/>
          <w:rtl/>
        </w:rPr>
        <w:t>דלהתנסבא</w:t>
      </w:r>
      <w:r w:rsidRPr="007754BD">
        <w:rPr>
          <w:rFonts w:cs="Arial"/>
          <w:sz w:val="18"/>
          <w:szCs w:val="18"/>
          <w:rtl/>
        </w:rPr>
        <w:t xml:space="preserve">, </w:t>
      </w:r>
      <w:r w:rsidRPr="007754BD">
        <w:rPr>
          <w:rFonts w:cs="Arial" w:hint="cs"/>
          <w:sz w:val="18"/>
          <w:szCs w:val="18"/>
          <w:rtl/>
        </w:rPr>
        <w:t>וכתב</w:t>
      </w:r>
      <w:r w:rsidRPr="007754BD">
        <w:rPr>
          <w:rFonts w:cs="Arial"/>
          <w:sz w:val="18"/>
          <w:szCs w:val="18"/>
          <w:rtl/>
        </w:rPr>
        <w:t xml:space="preserve">: </w:t>
      </w:r>
      <w:r w:rsidRPr="007754BD">
        <w:rPr>
          <w:rFonts w:cs="Arial" w:hint="cs"/>
          <w:sz w:val="18"/>
          <w:szCs w:val="18"/>
          <w:rtl/>
        </w:rPr>
        <w:t>לתנסבא</w:t>
      </w:r>
      <w:r w:rsidRPr="007754BD">
        <w:rPr>
          <w:rFonts w:cs="Arial"/>
          <w:sz w:val="18"/>
          <w:szCs w:val="18"/>
          <w:rtl/>
        </w:rPr>
        <w:t xml:space="preserve">, </w:t>
      </w:r>
      <w:r w:rsidRPr="007754BD">
        <w:rPr>
          <w:rFonts w:cs="Arial" w:hint="cs"/>
          <w:sz w:val="18"/>
          <w:szCs w:val="18"/>
          <w:rtl/>
        </w:rPr>
        <w:t>כשר</w:t>
      </w:r>
      <w:r>
        <w:rPr>
          <w:rStyle w:val="a7"/>
          <w:rFonts w:cs="Arial"/>
          <w:sz w:val="18"/>
          <w:szCs w:val="18"/>
          <w:rtl/>
        </w:rPr>
        <w:footnoteReference w:id="755"/>
      </w:r>
      <w:r w:rsidRPr="007754BD">
        <w:rPr>
          <w:rFonts w:cs="Arial"/>
          <w:sz w:val="18"/>
          <w:szCs w:val="18"/>
          <w:rtl/>
        </w:rPr>
        <w:t xml:space="preserve"> (</w:t>
      </w:r>
      <w:r w:rsidRPr="007754BD">
        <w:rPr>
          <w:rFonts w:cs="Arial" w:hint="cs"/>
          <w:sz w:val="18"/>
          <w:szCs w:val="18"/>
          <w:rtl/>
        </w:rPr>
        <w:t>רשב</w:t>
      </w:r>
      <w:r w:rsidRPr="007754BD">
        <w:rPr>
          <w:rFonts w:cs="Arial"/>
          <w:sz w:val="18"/>
          <w:szCs w:val="18"/>
          <w:rtl/>
        </w:rPr>
        <w:t>"</w:t>
      </w:r>
      <w:r w:rsidRPr="007754BD">
        <w:rPr>
          <w:rFonts w:cs="Arial" w:hint="cs"/>
          <w:sz w:val="18"/>
          <w:szCs w:val="18"/>
          <w:rtl/>
        </w:rPr>
        <w:t>א</w:t>
      </w:r>
      <w:r w:rsidRPr="007754BD">
        <w:rPr>
          <w:rFonts w:cs="Arial"/>
          <w:sz w:val="18"/>
          <w:szCs w:val="18"/>
          <w:rtl/>
        </w:rPr>
        <w:t xml:space="preserve"> </w:t>
      </w:r>
      <w:r w:rsidRPr="007754BD">
        <w:rPr>
          <w:rFonts w:cs="Arial" w:hint="cs"/>
          <w:sz w:val="18"/>
          <w:szCs w:val="18"/>
          <w:rtl/>
        </w:rPr>
        <w:t>אלף</w:t>
      </w:r>
      <w:r w:rsidRPr="007754BD">
        <w:rPr>
          <w:rFonts w:cs="Arial"/>
          <w:sz w:val="18"/>
          <w:szCs w:val="18"/>
          <w:rtl/>
        </w:rPr>
        <w:t xml:space="preserve"> </w:t>
      </w:r>
      <w:r w:rsidRPr="007754BD">
        <w:rPr>
          <w:rFonts w:cs="Arial" w:hint="cs"/>
          <w:sz w:val="18"/>
          <w:szCs w:val="18"/>
          <w:rtl/>
        </w:rPr>
        <w:t>קסג</w:t>
      </w:r>
      <w:r w:rsidRPr="007754BD">
        <w:rPr>
          <w:rFonts w:cs="Arial"/>
          <w:sz w:val="18"/>
          <w:szCs w:val="18"/>
          <w:rtl/>
        </w:rPr>
        <w:t xml:space="preserve">). </w:t>
      </w:r>
    </w:p>
    <w:p w14:paraId="71E9D63C" w14:textId="77777777" w:rsidR="00FA2119" w:rsidRDefault="00FA2119" w:rsidP="00FA2119">
      <w:pPr>
        <w:rPr>
          <w:rtl/>
        </w:rPr>
      </w:pPr>
    </w:p>
    <w:p w14:paraId="32CCA5E5" w14:textId="77777777" w:rsidR="00FA2119" w:rsidRDefault="00FA2119" w:rsidP="00FA2119">
      <w:pPr>
        <w:pStyle w:val="2"/>
        <w:rPr>
          <w:rtl/>
        </w:rPr>
      </w:pPr>
      <w:r>
        <w:rPr>
          <w:rFonts w:hint="cs"/>
          <w:rtl/>
        </w:rPr>
        <w:t>סעיף</w:t>
      </w:r>
      <w:r>
        <w:rPr>
          <w:rtl/>
        </w:rPr>
        <w:t xml:space="preserve"> </w:t>
      </w:r>
      <w:r>
        <w:rPr>
          <w:rFonts w:hint="cs"/>
          <w:rtl/>
        </w:rPr>
        <w:t xml:space="preserve">טז: זהירות ממשמעות שני עניינים גם כשכותבים בלשון אחרת. </w:t>
      </w:r>
    </w:p>
    <w:p w14:paraId="700523D2" w14:textId="77777777" w:rsidR="00FA2119" w:rsidRPr="007754BD" w:rsidRDefault="00FA2119" w:rsidP="00FA2119">
      <w:pPr>
        <w:rPr>
          <w:u w:val="single"/>
          <w:rtl/>
        </w:rPr>
      </w:pPr>
      <w:r w:rsidRPr="007754BD">
        <w:rPr>
          <w:rFonts w:hint="cs"/>
          <w:u w:val="single"/>
          <w:rtl/>
        </w:rPr>
        <w:t>זהירות ממשמעות שני עניינים גם כשכותבים בלשון אחרת:</w:t>
      </w:r>
    </w:p>
    <w:p w14:paraId="103C2322" w14:textId="0CF9155F" w:rsidR="00FA2119" w:rsidRPr="00967D9E" w:rsidRDefault="00FA2119" w:rsidP="00FA2119">
      <w:pPr>
        <w:pStyle w:val="ab"/>
        <w:numPr>
          <w:ilvl w:val="0"/>
          <w:numId w:val="15"/>
        </w:numPr>
        <w:rPr>
          <w:rFonts w:cs="Arial"/>
          <w:rtl/>
        </w:rPr>
      </w:pPr>
      <w:r w:rsidRPr="00967D9E">
        <w:rPr>
          <w:rFonts w:cs="Arial"/>
          <w:rtl/>
        </w:rPr>
        <w:t>רמב"ם</w:t>
      </w:r>
      <w:r>
        <w:rPr>
          <w:rFonts w:cs="Arial" w:hint="cs"/>
          <w:sz w:val="16"/>
          <w:szCs w:val="16"/>
          <w:rtl/>
        </w:rPr>
        <w:t xml:space="preserve"> (פ"ד הי"ג)</w:t>
      </w:r>
      <w:r>
        <w:rPr>
          <w:rFonts w:cs="Arial" w:hint="cs"/>
          <w:rtl/>
        </w:rPr>
        <w:t xml:space="preserve"> וטור</w:t>
      </w:r>
      <w:r w:rsidR="00A82951">
        <w:rPr>
          <w:rFonts w:cs="Arial" w:hint="cs"/>
          <w:rtl/>
        </w:rPr>
        <w:t>-</w:t>
      </w:r>
      <w:r w:rsidRPr="00967D9E">
        <w:rPr>
          <w:rFonts w:cs="Arial"/>
          <w:rtl/>
        </w:rPr>
        <w:t xml:space="preserve"> </w:t>
      </w:r>
      <w:r w:rsidRPr="007754BD">
        <w:rPr>
          <w:rFonts w:cs="Arial"/>
          <w:rtl/>
        </w:rPr>
        <w:t>ועל דרך זו צריך להזהר בכל לשון ובכל כתב שיכתוב שלא יהיה בו משמע שני עניינות</w:t>
      </w:r>
      <w:r>
        <w:rPr>
          <w:rFonts w:cs="Arial" w:hint="cs"/>
          <w:sz w:val="16"/>
          <w:szCs w:val="16"/>
          <w:rtl/>
        </w:rPr>
        <w:t xml:space="preserve"> (ל' הרמב"ם)</w:t>
      </w:r>
      <w:r>
        <w:rPr>
          <w:rFonts w:cs="Arial" w:hint="cs"/>
          <w:rtl/>
        </w:rPr>
        <w:t>.</w:t>
      </w:r>
      <w:r w:rsidRPr="00967D9E">
        <w:rPr>
          <w:rFonts w:cs="Arial"/>
          <w:rtl/>
        </w:rPr>
        <w:t xml:space="preserve"> </w:t>
      </w:r>
      <w:r w:rsidRPr="00A04B42">
        <w:rPr>
          <w:rFonts w:hint="cs"/>
          <w:color w:val="E36C0A" w:themeColor="accent6" w:themeShade="BF"/>
          <w:rtl/>
        </w:rPr>
        <w:t>(וכ"פ בשו"ע</w:t>
      </w:r>
      <w:r>
        <w:rPr>
          <w:rFonts w:hint="cs"/>
          <w:color w:val="E36C0A" w:themeColor="accent6" w:themeShade="BF"/>
          <w:rtl/>
        </w:rPr>
        <w:t>)</w:t>
      </w:r>
    </w:p>
    <w:p w14:paraId="6E1C7BEE"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5CB5C96" w14:textId="77777777" w:rsidR="00FA2119" w:rsidRDefault="00FA2119" w:rsidP="00FA2119">
      <w:pPr>
        <w:rPr>
          <w:rtl/>
        </w:rPr>
      </w:pPr>
      <w:r>
        <w:rPr>
          <w:rFonts w:cs="Arial" w:hint="cs"/>
          <w:rtl/>
        </w:rPr>
        <w:t>על</w:t>
      </w:r>
      <w:r>
        <w:rPr>
          <w:rFonts w:cs="Arial"/>
          <w:rtl/>
        </w:rPr>
        <w:t xml:space="preserve"> </w:t>
      </w:r>
      <w:r>
        <w:rPr>
          <w:rFonts w:cs="Arial" w:hint="cs"/>
          <w:rtl/>
        </w:rPr>
        <w:t>דרך</w:t>
      </w:r>
      <w:r>
        <w:rPr>
          <w:rFonts w:cs="Arial"/>
          <w:rtl/>
        </w:rPr>
        <w:t xml:space="preserve"> </w:t>
      </w:r>
      <w:r>
        <w:rPr>
          <w:rFonts w:cs="Arial" w:hint="cs"/>
          <w:rtl/>
        </w:rPr>
        <w:t>זה</w:t>
      </w:r>
      <w:r>
        <w:rPr>
          <w:rFonts w:cs="Arial"/>
          <w:rtl/>
        </w:rPr>
        <w:t xml:space="preserve"> </w:t>
      </w:r>
      <w:r>
        <w:rPr>
          <w:rFonts w:cs="Arial" w:hint="cs"/>
          <w:rtl/>
        </w:rPr>
        <w:t>צריך</w:t>
      </w:r>
      <w:r>
        <w:rPr>
          <w:rFonts w:cs="Arial"/>
          <w:rtl/>
        </w:rPr>
        <w:t xml:space="preserve"> </w:t>
      </w:r>
      <w:r>
        <w:rPr>
          <w:rFonts w:cs="Arial" w:hint="cs"/>
          <w:rtl/>
        </w:rPr>
        <w:t>ליזהר</w:t>
      </w:r>
      <w:r>
        <w:rPr>
          <w:rFonts w:cs="Arial"/>
          <w:rtl/>
        </w:rPr>
        <w:t xml:space="preserve"> </w:t>
      </w:r>
      <w:r>
        <w:rPr>
          <w:rFonts w:cs="Arial" w:hint="cs"/>
          <w:rtl/>
        </w:rPr>
        <w:t>בכל</w:t>
      </w:r>
      <w:r>
        <w:rPr>
          <w:rFonts w:cs="Arial"/>
          <w:rtl/>
        </w:rPr>
        <w:t xml:space="preserve"> </w:t>
      </w:r>
      <w:r>
        <w:rPr>
          <w:rFonts w:cs="Arial" w:hint="cs"/>
          <w:rtl/>
        </w:rPr>
        <w:t>לשון</w:t>
      </w:r>
      <w:r>
        <w:rPr>
          <w:rFonts w:cs="Arial"/>
          <w:rtl/>
        </w:rPr>
        <w:t xml:space="preserve"> </w:t>
      </w:r>
      <w:r>
        <w:rPr>
          <w:rFonts w:cs="Arial" w:hint="cs"/>
          <w:rtl/>
        </w:rPr>
        <w:t>ובכל</w:t>
      </w:r>
      <w:r>
        <w:rPr>
          <w:rFonts w:cs="Arial"/>
          <w:rtl/>
        </w:rPr>
        <w:t xml:space="preserve"> </w:t>
      </w:r>
      <w:r>
        <w:rPr>
          <w:rFonts w:cs="Arial" w:hint="cs"/>
          <w:rtl/>
        </w:rPr>
        <w:t>כתב</w:t>
      </w:r>
      <w:r>
        <w:rPr>
          <w:rFonts w:cs="Arial"/>
          <w:rtl/>
        </w:rPr>
        <w:t xml:space="preserve"> </w:t>
      </w:r>
      <w:r>
        <w:rPr>
          <w:rFonts w:cs="Arial" w:hint="cs"/>
          <w:rtl/>
        </w:rPr>
        <w:t>שיכתוב</w:t>
      </w:r>
      <w:r>
        <w:rPr>
          <w:rStyle w:val="a7"/>
          <w:rFonts w:cs="Arial"/>
          <w:rtl/>
        </w:rPr>
        <w:footnoteReference w:id="756"/>
      </w:r>
      <w:r>
        <w:rPr>
          <w:rFonts w:cs="Arial"/>
          <w:rtl/>
        </w:rPr>
        <w:t xml:space="preserve">, </w:t>
      </w:r>
      <w:r>
        <w:rPr>
          <w:rFonts w:cs="Arial" w:hint="cs"/>
          <w:rtl/>
        </w:rPr>
        <w:t>שלא</w:t>
      </w:r>
      <w:r>
        <w:rPr>
          <w:rFonts w:cs="Arial"/>
          <w:rtl/>
        </w:rPr>
        <w:t xml:space="preserve"> </w:t>
      </w:r>
      <w:r>
        <w:rPr>
          <w:rFonts w:cs="Arial" w:hint="cs"/>
          <w:rtl/>
        </w:rPr>
        <w:t>יהיה</w:t>
      </w:r>
      <w:r>
        <w:rPr>
          <w:rFonts w:cs="Arial"/>
          <w:rtl/>
        </w:rPr>
        <w:t xml:space="preserve"> </w:t>
      </w:r>
      <w:r>
        <w:rPr>
          <w:rFonts w:cs="Arial" w:hint="cs"/>
          <w:rtl/>
        </w:rPr>
        <w:t>בו</w:t>
      </w:r>
      <w:r>
        <w:rPr>
          <w:rFonts w:cs="Arial"/>
          <w:rtl/>
        </w:rPr>
        <w:t xml:space="preserve"> </w:t>
      </w:r>
      <w:r>
        <w:rPr>
          <w:rFonts w:cs="Arial" w:hint="cs"/>
          <w:rtl/>
        </w:rPr>
        <w:t>משמע</w:t>
      </w:r>
      <w:r>
        <w:rPr>
          <w:rFonts w:cs="Arial"/>
          <w:rtl/>
        </w:rPr>
        <w:t xml:space="preserve"> </w:t>
      </w:r>
      <w:r>
        <w:rPr>
          <w:rFonts w:cs="Arial" w:hint="cs"/>
          <w:rtl/>
        </w:rPr>
        <w:t>שתי</w:t>
      </w:r>
      <w:r>
        <w:rPr>
          <w:rFonts w:cs="Arial"/>
          <w:rtl/>
        </w:rPr>
        <w:t xml:space="preserve"> </w:t>
      </w:r>
      <w:r>
        <w:rPr>
          <w:rFonts w:cs="Arial" w:hint="cs"/>
          <w:rtl/>
        </w:rPr>
        <w:t>עניינות</w:t>
      </w:r>
      <w:r>
        <w:rPr>
          <w:rFonts w:cs="Arial"/>
          <w:rtl/>
        </w:rPr>
        <w:t xml:space="preserve">. </w:t>
      </w:r>
    </w:p>
    <w:p w14:paraId="75ABBB88" w14:textId="77777777" w:rsidR="00FA2119" w:rsidRPr="00B8579E" w:rsidRDefault="00FA2119" w:rsidP="00FA2119">
      <w:pPr>
        <w:rPr>
          <w:rFonts w:cs="Arial"/>
          <w:sz w:val="16"/>
          <w:szCs w:val="16"/>
          <w:u w:val="single"/>
          <w:rtl/>
        </w:rPr>
      </w:pPr>
      <w:r w:rsidRPr="00B8579E">
        <w:rPr>
          <w:rFonts w:cs="Arial" w:hint="cs"/>
          <w:u w:val="single"/>
          <w:rtl/>
        </w:rPr>
        <w:t>גט שכת</w:t>
      </w:r>
      <w:r>
        <w:rPr>
          <w:rFonts w:cs="Arial" w:hint="cs"/>
          <w:u w:val="single"/>
          <w:rtl/>
        </w:rPr>
        <w:t>ו</w:t>
      </w:r>
      <w:r w:rsidRPr="00B8579E">
        <w:rPr>
          <w:rFonts w:cs="Arial" w:hint="cs"/>
          <w:u w:val="single"/>
          <w:rtl/>
        </w:rPr>
        <w:t xml:space="preserve">ב בו </w:t>
      </w:r>
      <w:r>
        <w:rPr>
          <w:rFonts w:cs="Arial" w:hint="cs"/>
          <w:u w:val="single"/>
          <w:rtl/>
        </w:rPr>
        <w:t>לשון נסתר במקום לשון נוכח</w:t>
      </w:r>
      <w:r w:rsidRPr="00B8579E">
        <w:rPr>
          <w:rFonts w:cs="Arial" w:hint="cs"/>
          <w:u w:val="single"/>
          <w:rtl/>
        </w:rPr>
        <w:t>:</w:t>
      </w:r>
      <w:r w:rsidRPr="00B8579E">
        <w:rPr>
          <w:rFonts w:cs="Arial" w:hint="cs"/>
          <w:sz w:val="16"/>
          <w:szCs w:val="16"/>
          <w:rtl/>
        </w:rPr>
        <w:t xml:space="preserve"> (פת"ש סקכ"ז)</w:t>
      </w:r>
    </w:p>
    <w:p w14:paraId="584656D4" w14:textId="68FE2101" w:rsidR="00FA2119" w:rsidRDefault="00FA2119" w:rsidP="00FA2119">
      <w:pPr>
        <w:pStyle w:val="ab"/>
        <w:numPr>
          <w:ilvl w:val="0"/>
          <w:numId w:val="15"/>
        </w:numPr>
      </w:pPr>
      <w:r w:rsidRPr="00B8579E">
        <w:rPr>
          <w:rFonts w:cs="Arial"/>
          <w:rtl/>
        </w:rPr>
        <w:t xml:space="preserve">ראנ"ח </w:t>
      </w:r>
      <w:r w:rsidRPr="00B8579E">
        <w:rPr>
          <w:rFonts w:cs="Arial" w:hint="cs"/>
          <w:sz w:val="16"/>
          <w:szCs w:val="16"/>
          <w:rtl/>
        </w:rPr>
        <w:t>(</w:t>
      </w:r>
      <w:r w:rsidRPr="00B8579E">
        <w:rPr>
          <w:rFonts w:cs="Arial"/>
          <w:sz w:val="16"/>
          <w:szCs w:val="16"/>
          <w:rtl/>
        </w:rPr>
        <w:t>ח"א סי' יד</w:t>
      </w:r>
      <w:r w:rsidRPr="00B8579E">
        <w:rPr>
          <w:rFonts w:cs="Arial" w:hint="cs"/>
          <w:sz w:val="16"/>
          <w:szCs w:val="16"/>
          <w:rtl/>
        </w:rPr>
        <w:t>)</w:t>
      </w:r>
      <w:r w:rsidR="00A82951">
        <w:rPr>
          <w:rFonts w:cs="Arial" w:hint="cs"/>
          <w:rtl/>
        </w:rPr>
        <w:t>-</w:t>
      </w:r>
      <w:r w:rsidRPr="00B8579E">
        <w:rPr>
          <w:rFonts w:cs="Arial"/>
          <w:rtl/>
        </w:rPr>
        <w:t xml:space="preserve"> גט ושטר עדות המסירה שהיה כתוב בשטר</w:t>
      </w:r>
      <w:r>
        <w:rPr>
          <w:rFonts w:cs="Arial" w:hint="cs"/>
          <w:rtl/>
        </w:rPr>
        <w:t>:</w:t>
      </w:r>
      <w:r w:rsidRPr="00B8579E">
        <w:rPr>
          <w:rFonts w:cs="Arial"/>
          <w:rtl/>
        </w:rPr>
        <w:t xml:space="preserve"> </w:t>
      </w:r>
      <w:r>
        <w:rPr>
          <w:rFonts w:cs="Arial" w:hint="cs"/>
          <w:rtl/>
        </w:rPr>
        <w:t>'</w:t>
      </w:r>
      <w:r w:rsidRPr="00B8579E">
        <w:rPr>
          <w:rFonts w:cs="Arial"/>
          <w:rtl/>
        </w:rPr>
        <w:t>גירש פ</w:t>
      </w:r>
      <w:r>
        <w:rPr>
          <w:rFonts w:cs="Arial" w:hint="cs"/>
          <w:rtl/>
        </w:rPr>
        <w:t>לו</w:t>
      </w:r>
      <w:r w:rsidR="003B5A95">
        <w:rPr>
          <w:rFonts w:cs="Arial" w:hint="cs"/>
          <w:rtl/>
        </w:rPr>
        <w:t>ני</w:t>
      </w:r>
      <w:r w:rsidRPr="00B8579E">
        <w:rPr>
          <w:rFonts w:cs="Arial"/>
          <w:rtl/>
        </w:rPr>
        <w:t xml:space="preserve"> על תנאי כך</w:t>
      </w:r>
      <w:r>
        <w:rPr>
          <w:rFonts w:cs="Arial" w:hint="cs"/>
          <w:rtl/>
        </w:rPr>
        <w:t>'.</w:t>
      </w:r>
      <w:r w:rsidRPr="00B8579E">
        <w:rPr>
          <w:rFonts w:cs="Arial"/>
          <w:rtl/>
        </w:rPr>
        <w:t xml:space="preserve"> וכך אמר</w:t>
      </w:r>
      <w:r>
        <w:rPr>
          <w:rFonts w:cs="Arial" w:hint="cs"/>
          <w:rtl/>
        </w:rPr>
        <w:t>:</w:t>
      </w:r>
      <w:r w:rsidRPr="00B8579E">
        <w:rPr>
          <w:rFonts w:cs="Arial"/>
          <w:rtl/>
        </w:rPr>
        <w:t xml:space="preserve"> ה"ז גיטך אם לא אתראה כו' יהא גט מעכשיו ותהיה מגורשת כו'</w:t>
      </w:r>
      <w:r>
        <w:rPr>
          <w:rFonts w:cs="Arial" w:hint="cs"/>
          <w:rtl/>
        </w:rPr>
        <w:t>.</w:t>
      </w:r>
      <w:r w:rsidRPr="00B8579E">
        <w:rPr>
          <w:rFonts w:cs="Arial"/>
          <w:rtl/>
        </w:rPr>
        <w:t xml:space="preserve"> באופן שבמקום שהיו צריכים לכתוב ותהיי מגורשת שהוא סימן הנקבה לנוכח כתבו ותהיה שהוא סימן הנסתרת (עמ"ש בביאורי לסג"ר אות רל"א)</w:t>
      </w:r>
      <w:r>
        <w:rPr>
          <w:rFonts w:cs="Arial" w:hint="cs"/>
          <w:rtl/>
        </w:rPr>
        <w:t>.</w:t>
      </w:r>
      <w:r w:rsidRPr="00B8579E">
        <w:rPr>
          <w:rFonts w:cs="Arial"/>
          <w:rtl/>
        </w:rPr>
        <w:t xml:space="preserve"> והעידו העדים שהבעל כלכל דבריו במשפט ואמר לה בלשון לעז לנוכח</w:t>
      </w:r>
      <w:r>
        <w:rPr>
          <w:rFonts w:cs="Arial" w:hint="cs"/>
          <w:rtl/>
        </w:rPr>
        <w:t>,</w:t>
      </w:r>
      <w:r w:rsidRPr="00B8579E">
        <w:rPr>
          <w:rFonts w:cs="Arial"/>
          <w:rtl/>
        </w:rPr>
        <w:t xml:space="preserve"> אלא שהסופר והעדים אינם בקיאים בדקדוק </w:t>
      </w:r>
      <w:r w:rsidRPr="00B8579E">
        <w:rPr>
          <w:rFonts w:cs="Arial"/>
          <w:rtl/>
        </w:rPr>
        <w:lastRenderedPageBreak/>
        <w:t>וחשבו שתהיה יאמר גם לנקבה הנמצאת.</w:t>
      </w:r>
      <w:r>
        <w:rPr>
          <w:rFonts w:cs="Arial" w:hint="cs"/>
          <w:rtl/>
        </w:rPr>
        <w:t>..</w:t>
      </w:r>
      <w:r w:rsidRPr="00B8579E">
        <w:rPr>
          <w:rFonts w:cs="Arial"/>
          <w:rtl/>
        </w:rPr>
        <w:t xml:space="preserve"> </w:t>
      </w:r>
      <w:r w:rsidR="003B5A95">
        <w:rPr>
          <w:rFonts w:cs="Arial" w:hint="cs"/>
          <w:rtl/>
        </w:rPr>
        <w:t xml:space="preserve">- </w:t>
      </w:r>
      <w:r>
        <w:rPr>
          <w:rFonts w:cs="Arial" w:hint="cs"/>
          <w:rtl/>
        </w:rPr>
        <w:t xml:space="preserve">יש </w:t>
      </w:r>
      <w:r w:rsidRPr="00B8579E">
        <w:rPr>
          <w:rFonts w:cs="Arial"/>
          <w:rtl/>
        </w:rPr>
        <w:t>להכשיר משום דעבידי אינשי דטעו בהכי והעדים נאמנים כשמפרשים דבריהם ואע</w:t>
      </w:r>
      <w:r>
        <w:rPr>
          <w:rFonts w:cs="Arial" w:hint="cs"/>
          <w:rtl/>
        </w:rPr>
        <w:t>"</w:t>
      </w:r>
      <w:r w:rsidRPr="00B8579E">
        <w:rPr>
          <w:rFonts w:cs="Arial"/>
          <w:rtl/>
        </w:rPr>
        <w:t>פ שכתב ידם יוצא ממקום אחר</w:t>
      </w:r>
      <w:r>
        <w:rPr>
          <w:rFonts w:cs="Arial" w:hint="cs"/>
          <w:rtl/>
        </w:rPr>
        <w:t>.</w:t>
      </w:r>
      <w:r w:rsidRPr="00B8579E">
        <w:rPr>
          <w:rFonts w:cs="Arial"/>
          <w:rtl/>
        </w:rPr>
        <w:t xml:space="preserve"> וההיא דהרלב"ח שאני שהיה בגט עצמו שההקפדה בו יותר וגם לא היו שם העדים לפרש דבריהם</w:t>
      </w:r>
      <w:r>
        <w:rPr>
          <w:rFonts w:hint="cs"/>
          <w:rtl/>
        </w:rPr>
        <w:t>.</w:t>
      </w:r>
    </w:p>
    <w:p w14:paraId="1D7DD7C3" w14:textId="46C1A8D9" w:rsidR="00FA2119" w:rsidRPr="00AB547B" w:rsidRDefault="00FA2119" w:rsidP="00FA2119">
      <w:pPr>
        <w:pStyle w:val="ab"/>
        <w:numPr>
          <w:ilvl w:val="0"/>
          <w:numId w:val="15"/>
        </w:numPr>
      </w:pPr>
      <w:r w:rsidRPr="00CE5423">
        <w:rPr>
          <w:rFonts w:cs="Arial"/>
          <w:rtl/>
        </w:rPr>
        <w:t xml:space="preserve">רדב"ז </w:t>
      </w:r>
      <w:r w:rsidRPr="00AB547B">
        <w:rPr>
          <w:rFonts w:cs="Arial" w:hint="cs"/>
          <w:sz w:val="16"/>
          <w:szCs w:val="16"/>
          <w:rtl/>
        </w:rPr>
        <w:t>(</w:t>
      </w:r>
      <w:r w:rsidRPr="00AB547B">
        <w:rPr>
          <w:rFonts w:cs="Arial"/>
          <w:sz w:val="16"/>
          <w:szCs w:val="16"/>
          <w:rtl/>
        </w:rPr>
        <w:t>ח"ד סי</w:t>
      </w:r>
      <w:r w:rsidRPr="00AB547B">
        <w:rPr>
          <w:rFonts w:cs="Arial" w:hint="cs"/>
          <w:sz w:val="16"/>
          <w:szCs w:val="16"/>
          <w:rtl/>
        </w:rPr>
        <w:t>'</w:t>
      </w:r>
      <w:r w:rsidRPr="00AB547B">
        <w:rPr>
          <w:rFonts w:cs="Arial"/>
          <w:sz w:val="16"/>
          <w:szCs w:val="16"/>
          <w:rtl/>
        </w:rPr>
        <w:t xml:space="preserve"> פה</w:t>
      </w:r>
      <w:r w:rsidRPr="00AB547B">
        <w:rPr>
          <w:rFonts w:cs="Arial" w:hint="cs"/>
          <w:sz w:val="16"/>
          <w:szCs w:val="16"/>
          <w:rtl/>
        </w:rPr>
        <w:t>)</w:t>
      </w:r>
      <w:r w:rsidR="00A82951">
        <w:rPr>
          <w:rFonts w:cs="Arial" w:hint="cs"/>
          <w:rtl/>
        </w:rPr>
        <w:t>-</w:t>
      </w:r>
      <w:r>
        <w:rPr>
          <w:rFonts w:cs="Arial" w:hint="cs"/>
          <w:rtl/>
        </w:rPr>
        <w:t xml:space="preserve"> </w:t>
      </w:r>
      <w:r w:rsidRPr="00CE5423">
        <w:rPr>
          <w:rFonts w:cs="Arial"/>
          <w:rtl/>
        </w:rPr>
        <w:t>מי שאמר ה"ז גיטך ע"מ שלא תנשא לפ</w:t>
      </w:r>
      <w:r w:rsidR="003B5A95">
        <w:rPr>
          <w:rFonts w:cs="Arial" w:hint="cs"/>
          <w:rtl/>
        </w:rPr>
        <w:t>לוני,</w:t>
      </w:r>
      <w:r w:rsidRPr="00CE5423">
        <w:rPr>
          <w:rFonts w:cs="Arial"/>
          <w:rtl/>
        </w:rPr>
        <w:t xml:space="preserve"> שיש מי שרצה לבטל התנאי מפני שלא אמר שלא תנשאי ביוד </w:t>
      </w:r>
      <w:r w:rsidR="003B5A95">
        <w:rPr>
          <w:rFonts w:cs="Arial" w:hint="cs"/>
          <w:rtl/>
        </w:rPr>
        <w:t xml:space="preserve">- </w:t>
      </w:r>
      <w:r w:rsidRPr="00CE5423">
        <w:rPr>
          <w:rFonts w:cs="Arial"/>
          <w:rtl/>
        </w:rPr>
        <w:t>תנאי גמור הוא</w:t>
      </w:r>
      <w:r w:rsidR="003B5A95">
        <w:rPr>
          <w:rFonts w:cs="Arial" w:hint="cs"/>
          <w:rtl/>
        </w:rPr>
        <w:t>,</w:t>
      </w:r>
      <w:r w:rsidRPr="00CE5423">
        <w:rPr>
          <w:rFonts w:cs="Arial"/>
          <w:rtl/>
        </w:rPr>
        <w:t xml:space="preserve"> משום דמדבר עם העדים אני מגרש אשה זו ע"מ שלא תנשא לפ</w:t>
      </w:r>
      <w:r>
        <w:rPr>
          <w:rFonts w:cs="Arial" w:hint="cs"/>
          <w:rtl/>
        </w:rPr>
        <w:t>לוני</w:t>
      </w:r>
      <w:r w:rsidRPr="00CE5423">
        <w:rPr>
          <w:rFonts w:cs="Arial"/>
          <w:rtl/>
        </w:rPr>
        <w:t xml:space="preserve">. </w:t>
      </w:r>
    </w:p>
    <w:p w14:paraId="7FCB1805" w14:textId="0E777729" w:rsidR="00FA2119" w:rsidRDefault="00FA2119" w:rsidP="00FA2119">
      <w:pPr>
        <w:pStyle w:val="ab"/>
        <w:numPr>
          <w:ilvl w:val="0"/>
          <w:numId w:val="15"/>
        </w:numPr>
        <w:rPr>
          <w:rtl/>
        </w:rPr>
      </w:pPr>
      <w:r w:rsidRPr="00CE5423">
        <w:rPr>
          <w:rFonts w:cs="Arial"/>
          <w:rtl/>
        </w:rPr>
        <w:t xml:space="preserve">רא"ם </w:t>
      </w:r>
      <w:r w:rsidRPr="00AB547B">
        <w:rPr>
          <w:rFonts w:cs="Arial" w:hint="cs"/>
          <w:sz w:val="16"/>
          <w:szCs w:val="16"/>
          <w:rtl/>
        </w:rPr>
        <w:t>(</w:t>
      </w:r>
      <w:r w:rsidRPr="00AB547B">
        <w:rPr>
          <w:rFonts w:cs="Arial"/>
          <w:sz w:val="16"/>
          <w:szCs w:val="16"/>
          <w:rtl/>
        </w:rPr>
        <w:t>ח"א סי</w:t>
      </w:r>
      <w:r w:rsidRPr="00AB547B">
        <w:rPr>
          <w:rFonts w:cs="Arial" w:hint="cs"/>
          <w:sz w:val="16"/>
          <w:szCs w:val="16"/>
          <w:rtl/>
        </w:rPr>
        <w:t>'</w:t>
      </w:r>
      <w:r w:rsidRPr="00AB547B">
        <w:rPr>
          <w:rFonts w:cs="Arial"/>
          <w:sz w:val="16"/>
          <w:szCs w:val="16"/>
          <w:rtl/>
        </w:rPr>
        <w:t xml:space="preserve"> פה</w:t>
      </w:r>
      <w:r w:rsidRPr="00AB547B">
        <w:rPr>
          <w:rFonts w:cs="Arial" w:hint="cs"/>
          <w:sz w:val="16"/>
          <w:szCs w:val="16"/>
          <w:rtl/>
        </w:rPr>
        <w:t>)</w:t>
      </w:r>
      <w:r w:rsidR="00A82951">
        <w:rPr>
          <w:rFonts w:cs="Arial" w:hint="cs"/>
          <w:rtl/>
        </w:rPr>
        <w:t>-</w:t>
      </w:r>
      <w:r w:rsidRPr="00CE5423">
        <w:rPr>
          <w:rFonts w:cs="Arial"/>
          <w:rtl/>
        </w:rPr>
        <w:t xml:space="preserve"> גט א' שהובא ע"י שליח והיה בשטר השליחות לשונות לנוכח ולשונות שלא לנוכח</w:t>
      </w:r>
      <w:r>
        <w:rPr>
          <w:rFonts w:cs="Arial" w:hint="cs"/>
          <w:rtl/>
        </w:rPr>
        <w:t>,</w:t>
      </w:r>
      <w:r w:rsidRPr="00CE5423">
        <w:rPr>
          <w:rFonts w:cs="Arial"/>
          <w:rtl/>
        </w:rPr>
        <w:t xml:space="preserve"> ונמסר אותו הגט בפני הרלב"ח ז"ל</w:t>
      </w:r>
      <w:r>
        <w:rPr>
          <w:rFonts w:cs="Arial" w:hint="cs"/>
          <w:rtl/>
        </w:rPr>
        <w:t>,</w:t>
      </w:r>
      <w:r w:rsidRPr="00CE5423">
        <w:rPr>
          <w:rFonts w:cs="Arial"/>
          <w:rtl/>
        </w:rPr>
        <w:t xml:space="preserve"> וקם הבעל וערער שנתכוין בשינוי הלשונות שכתב בשטר השליחות כדי שלא יטפל שום ב"ד למסור הגט בפניו מחמת שינוי הלשונות</w:t>
      </w:r>
      <w:r>
        <w:rPr>
          <w:rFonts w:cs="Arial" w:hint="cs"/>
          <w:rtl/>
        </w:rPr>
        <w:t>.</w:t>
      </w:r>
      <w:r w:rsidRPr="00CE5423">
        <w:rPr>
          <w:rFonts w:cs="Arial"/>
          <w:rtl/>
        </w:rPr>
        <w:t xml:space="preserve"> וז"ל ההרשאה שיאמר לה</w:t>
      </w:r>
      <w:r w:rsidR="003B5A95">
        <w:rPr>
          <w:rFonts w:cs="Arial" w:hint="cs"/>
          <w:rtl/>
        </w:rPr>
        <w:t>:</w:t>
      </w:r>
      <w:r w:rsidRPr="00CE5423">
        <w:rPr>
          <w:rFonts w:cs="Arial"/>
          <w:rtl/>
        </w:rPr>
        <w:t xml:space="preserve"> ה"ז גיטך ע"מ שאם לא אבא אצלה כו' תהיה מגורשת. ומקצת רבני סאלוניקי היו רוצים לפסול הגט ההוא כיון דהבעל מערער.</w:t>
      </w:r>
      <w:r>
        <w:rPr>
          <w:rFonts w:cs="Arial" w:hint="cs"/>
          <w:rtl/>
        </w:rPr>
        <w:t xml:space="preserve">.. </w:t>
      </w:r>
      <w:r w:rsidR="00A82951">
        <w:rPr>
          <w:rFonts w:cs="Arial" w:hint="cs"/>
          <w:rtl/>
        </w:rPr>
        <w:t>-</w:t>
      </w:r>
      <w:r w:rsidRPr="00CE5423">
        <w:rPr>
          <w:rFonts w:cs="Arial"/>
          <w:rtl/>
        </w:rPr>
        <w:t xml:space="preserve"> ראיתי ההרשאה שבשטר השליחות ולא ראיתי ספיקות ולשונות מתחלפות רק שינוי לשון מענין לנוכח ושלא לנוכח</w:t>
      </w:r>
      <w:r>
        <w:rPr>
          <w:rFonts w:cs="Arial" w:hint="cs"/>
          <w:rtl/>
        </w:rPr>
        <w:t>,</w:t>
      </w:r>
      <w:r w:rsidRPr="00CE5423">
        <w:rPr>
          <w:rFonts w:cs="Arial"/>
          <w:rtl/>
        </w:rPr>
        <w:t xml:space="preserve"> ואין זה סיבה שיפרשו ב"ד מלהשתדל במסירת גט זה כי כבר נמצא כזה בלה"ק</w:t>
      </w:r>
      <w:r>
        <w:rPr>
          <w:rFonts w:cs="Arial" w:hint="cs"/>
          <w:rtl/>
        </w:rPr>
        <w:t>.</w:t>
      </w:r>
    </w:p>
    <w:p w14:paraId="2D658342" w14:textId="77777777" w:rsidR="00FA2119" w:rsidRDefault="00FA2119" w:rsidP="00FA2119">
      <w:pPr>
        <w:rPr>
          <w:rtl/>
        </w:rPr>
      </w:pPr>
    </w:p>
    <w:p w14:paraId="2A69562A" w14:textId="77777777" w:rsidR="00FA2119" w:rsidRDefault="00FA2119" w:rsidP="00FA2119">
      <w:pPr>
        <w:pStyle w:val="2"/>
        <w:rPr>
          <w:rtl/>
        </w:rPr>
      </w:pPr>
      <w:r>
        <w:rPr>
          <w:rFonts w:hint="cs"/>
          <w:rtl/>
        </w:rPr>
        <w:t>סעיף</w:t>
      </w:r>
      <w:r>
        <w:rPr>
          <w:rtl/>
        </w:rPr>
        <w:t xml:space="preserve"> </w:t>
      </w:r>
      <w:r>
        <w:rPr>
          <w:rFonts w:hint="cs"/>
          <w:rtl/>
        </w:rPr>
        <w:t>יז: ימחא.</w:t>
      </w:r>
    </w:p>
    <w:p w14:paraId="261B6546" w14:textId="77777777" w:rsidR="00FA2119" w:rsidRPr="00C41E43" w:rsidRDefault="00FA2119" w:rsidP="00FA2119">
      <w:pPr>
        <w:rPr>
          <w:u w:val="single"/>
          <w:rtl/>
        </w:rPr>
      </w:pPr>
      <w:r>
        <w:rPr>
          <w:rFonts w:cs="Arial" w:hint="cs"/>
          <w:u w:val="single"/>
          <w:rtl/>
        </w:rPr>
        <w:t>כתיבת המילה '</w:t>
      </w:r>
      <w:r w:rsidRPr="00C41E43">
        <w:rPr>
          <w:rFonts w:cs="Arial" w:hint="cs"/>
          <w:u w:val="single"/>
          <w:rtl/>
        </w:rPr>
        <w:t>ימחא</w:t>
      </w:r>
      <w:r>
        <w:rPr>
          <w:rFonts w:cs="Arial" w:hint="cs"/>
          <w:u w:val="single"/>
          <w:rtl/>
        </w:rPr>
        <w:t>'</w:t>
      </w:r>
      <w:r w:rsidRPr="00C41E43">
        <w:rPr>
          <w:rFonts w:cs="Arial" w:hint="cs"/>
          <w:u w:val="single"/>
          <w:rtl/>
        </w:rPr>
        <w:t>:</w:t>
      </w:r>
    </w:p>
    <w:p w14:paraId="0408E402" w14:textId="2A42A356" w:rsidR="00FA2119" w:rsidRPr="00491EE7" w:rsidRDefault="00FA2119" w:rsidP="00FA2119">
      <w:pPr>
        <w:pStyle w:val="ab"/>
        <w:numPr>
          <w:ilvl w:val="0"/>
          <w:numId w:val="15"/>
        </w:numPr>
        <w:rPr>
          <w:rFonts w:cs="Arial"/>
        </w:rPr>
      </w:pPr>
      <w:r w:rsidRPr="00C41E43">
        <w:rPr>
          <w:rFonts w:cs="Arial"/>
          <w:rtl/>
        </w:rPr>
        <w:t xml:space="preserve">רי"ף </w:t>
      </w:r>
      <w:r w:rsidRPr="00EB1338">
        <w:rPr>
          <w:rFonts w:cs="Arial"/>
          <w:sz w:val="16"/>
          <w:szCs w:val="16"/>
          <w:rtl/>
        </w:rPr>
        <w:t xml:space="preserve">(מה:) </w:t>
      </w:r>
      <w:r w:rsidRPr="00C41E43">
        <w:rPr>
          <w:rFonts w:cs="Arial"/>
          <w:rtl/>
        </w:rPr>
        <w:t xml:space="preserve">רמב"ם </w:t>
      </w:r>
      <w:r w:rsidRPr="00EB1338">
        <w:rPr>
          <w:rFonts w:cs="Arial"/>
          <w:sz w:val="16"/>
          <w:szCs w:val="16"/>
          <w:rtl/>
        </w:rPr>
        <w:t>(פ"ד הי"ב)</w:t>
      </w:r>
      <w:r w:rsidRPr="00EB1338">
        <w:rPr>
          <w:rFonts w:cs="Arial" w:hint="cs"/>
          <w:sz w:val="16"/>
          <w:szCs w:val="16"/>
          <w:rtl/>
        </w:rPr>
        <w:t xml:space="preserve"> </w:t>
      </w:r>
      <w:r>
        <w:rPr>
          <w:rFonts w:cs="Arial" w:hint="cs"/>
          <w:rtl/>
        </w:rPr>
        <w:t xml:space="preserve">בהעי"ט </w:t>
      </w:r>
      <w:r>
        <w:rPr>
          <w:rFonts w:cs="Arial" w:hint="cs"/>
          <w:sz w:val="16"/>
          <w:szCs w:val="16"/>
          <w:rtl/>
        </w:rPr>
        <w:t>(כ"כ הב"י בשמו)</w:t>
      </w:r>
      <w:r>
        <w:rPr>
          <w:rFonts w:cs="Arial" w:hint="cs"/>
          <w:rtl/>
        </w:rPr>
        <w:t xml:space="preserve"> ורא"ש</w:t>
      </w:r>
      <w:r>
        <w:rPr>
          <w:rFonts w:cs="Arial" w:hint="cs"/>
          <w:sz w:val="16"/>
          <w:szCs w:val="16"/>
          <w:rtl/>
        </w:rPr>
        <w:t xml:space="preserve"> (כלל מה סי' יט)</w:t>
      </w:r>
      <w:r>
        <w:rPr>
          <w:rStyle w:val="a7"/>
          <w:rFonts w:cs="Arial"/>
          <w:rtl/>
        </w:rPr>
        <w:footnoteReference w:id="757"/>
      </w:r>
      <w:r w:rsidR="00A82951">
        <w:rPr>
          <w:rFonts w:cs="Arial" w:hint="cs"/>
          <w:rtl/>
        </w:rPr>
        <w:t>-</w:t>
      </w:r>
      <w:r w:rsidRPr="00C41E43">
        <w:rPr>
          <w:rFonts w:cs="Arial"/>
          <w:rtl/>
        </w:rPr>
        <w:t xml:space="preserve"> </w:t>
      </w:r>
      <w:r>
        <w:rPr>
          <w:rFonts w:cs="Arial" w:hint="cs"/>
          <w:rtl/>
        </w:rPr>
        <w:t>'לא ימחה'</w:t>
      </w:r>
      <w:r w:rsidRPr="00C41E43">
        <w:rPr>
          <w:rFonts w:cs="Arial"/>
          <w:rtl/>
        </w:rPr>
        <w:t xml:space="preserve"> בה"א</w:t>
      </w:r>
      <w:r>
        <w:rPr>
          <w:rStyle w:val="a7"/>
          <w:rFonts w:cs="Arial"/>
          <w:rtl/>
        </w:rPr>
        <w:footnoteReference w:id="758"/>
      </w:r>
      <w:r w:rsidRPr="00491EE7">
        <w:rPr>
          <w:rFonts w:cs="Arial"/>
          <w:rtl/>
        </w:rPr>
        <w:t>.</w:t>
      </w:r>
    </w:p>
    <w:p w14:paraId="641FCF55" w14:textId="420F8796" w:rsidR="00FA2119" w:rsidRDefault="00FA2119" w:rsidP="00FA2119">
      <w:pPr>
        <w:pStyle w:val="ab"/>
        <w:numPr>
          <w:ilvl w:val="0"/>
          <w:numId w:val="15"/>
        </w:numPr>
        <w:rPr>
          <w:rFonts w:cs="Arial"/>
        </w:rPr>
      </w:pPr>
      <w:r w:rsidRPr="00C41E43">
        <w:rPr>
          <w:rFonts w:cs="Arial"/>
          <w:rtl/>
        </w:rPr>
        <w:t xml:space="preserve">מרדכי </w:t>
      </w:r>
      <w:r w:rsidRPr="00825EAB">
        <w:rPr>
          <w:rFonts w:cs="Arial"/>
          <w:sz w:val="16"/>
          <w:szCs w:val="16"/>
          <w:rtl/>
        </w:rPr>
        <w:t>(</w:t>
      </w:r>
      <w:r w:rsidRPr="00825EAB">
        <w:rPr>
          <w:rFonts w:cs="Arial" w:hint="cs"/>
          <w:sz w:val="16"/>
          <w:szCs w:val="16"/>
          <w:rtl/>
        </w:rPr>
        <w:t xml:space="preserve">הל' הגט </w:t>
      </w:r>
      <w:r w:rsidRPr="00825EAB">
        <w:rPr>
          <w:rFonts w:cs="Arial"/>
          <w:sz w:val="16"/>
          <w:szCs w:val="16"/>
          <w:rtl/>
        </w:rPr>
        <w:t>סי' תנד)</w:t>
      </w:r>
      <w:r w:rsidR="00A82951">
        <w:rPr>
          <w:rFonts w:cs="Arial" w:hint="cs"/>
          <w:rtl/>
        </w:rPr>
        <w:t>-</w:t>
      </w:r>
      <w:r w:rsidRPr="00C41E43">
        <w:rPr>
          <w:rFonts w:cs="Arial"/>
          <w:rtl/>
        </w:rPr>
        <w:t xml:space="preserve"> ימחה יש כותבין בה"א</w:t>
      </w:r>
      <w:r>
        <w:rPr>
          <w:rFonts w:cs="Arial" w:hint="cs"/>
          <w:rtl/>
        </w:rPr>
        <w:t>,</w:t>
      </w:r>
      <w:r w:rsidRPr="00C41E43">
        <w:rPr>
          <w:rFonts w:cs="Arial"/>
          <w:rtl/>
        </w:rPr>
        <w:t xml:space="preserve"> ויש כותבין</w:t>
      </w:r>
      <w:r>
        <w:rPr>
          <w:rFonts w:cs="Arial" w:hint="cs"/>
          <w:rtl/>
        </w:rPr>
        <w:t>,</w:t>
      </w:r>
      <w:r w:rsidRPr="00C41E43">
        <w:rPr>
          <w:rFonts w:cs="Arial"/>
          <w:rtl/>
        </w:rPr>
        <w:t xml:space="preserve"> באל"ף וכן הוא פסוק בדניאל (ד, לב) באל"ף</w:t>
      </w:r>
      <w:r>
        <w:rPr>
          <w:rStyle w:val="a7"/>
          <w:rFonts w:cs="Arial"/>
          <w:rtl/>
        </w:rPr>
        <w:footnoteReference w:id="759"/>
      </w:r>
      <w:r>
        <w:rPr>
          <w:rFonts w:cs="Arial" w:hint="cs"/>
          <w:rtl/>
        </w:rPr>
        <w:t>.</w:t>
      </w:r>
      <w:r w:rsidRPr="00C41E43">
        <w:rPr>
          <w:rFonts w:cs="Arial"/>
          <w:rtl/>
        </w:rPr>
        <w:t xml:space="preserve"> </w:t>
      </w:r>
    </w:p>
    <w:p w14:paraId="3361C8F8" w14:textId="445FA4BF" w:rsidR="00FA2119" w:rsidRPr="00491EE7" w:rsidRDefault="00FA2119" w:rsidP="00FA2119">
      <w:pPr>
        <w:pStyle w:val="ab"/>
        <w:numPr>
          <w:ilvl w:val="0"/>
          <w:numId w:val="15"/>
        </w:numPr>
        <w:rPr>
          <w:rFonts w:cs="Arial"/>
        </w:rPr>
      </w:pPr>
      <w:r w:rsidRPr="00C41E43">
        <w:rPr>
          <w:rFonts w:cs="Arial"/>
          <w:rtl/>
        </w:rPr>
        <w:t xml:space="preserve">תרומה </w:t>
      </w:r>
      <w:r w:rsidRPr="00825EAB">
        <w:rPr>
          <w:rFonts w:cs="Arial"/>
          <w:sz w:val="16"/>
          <w:szCs w:val="16"/>
          <w:rtl/>
        </w:rPr>
        <w:t>(סי' קלב לו.)</w:t>
      </w:r>
      <w:r>
        <w:rPr>
          <w:rFonts w:cs="Arial" w:hint="cs"/>
          <w:rtl/>
        </w:rPr>
        <w:t xml:space="preserve"> </w:t>
      </w:r>
      <w:r w:rsidRPr="00C41E43">
        <w:rPr>
          <w:rFonts w:cs="Arial"/>
          <w:rtl/>
        </w:rPr>
        <w:t xml:space="preserve">סמ"ג </w:t>
      </w:r>
      <w:r w:rsidRPr="00825EAB">
        <w:rPr>
          <w:rFonts w:cs="Arial"/>
          <w:sz w:val="16"/>
          <w:szCs w:val="16"/>
          <w:rtl/>
        </w:rPr>
        <w:t>(קלג ע"ד)</w:t>
      </w:r>
      <w:r w:rsidRPr="00825EAB">
        <w:rPr>
          <w:rFonts w:cs="Arial" w:hint="cs"/>
          <w:sz w:val="16"/>
          <w:szCs w:val="16"/>
          <w:rtl/>
        </w:rPr>
        <w:t xml:space="preserve"> </w:t>
      </w:r>
      <w:r w:rsidRPr="00C41E43">
        <w:rPr>
          <w:rFonts w:cs="Arial"/>
          <w:rtl/>
        </w:rPr>
        <w:t xml:space="preserve">כל בו </w:t>
      </w:r>
      <w:r w:rsidRPr="00825EAB">
        <w:rPr>
          <w:rFonts w:cs="Arial"/>
          <w:sz w:val="16"/>
          <w:szCs w:val="16"/>
          <w:rtl/>
        </w:rPr>
        <w:t>(שם)</w:t>
      </w:r>
      <w:r w:rsidRPr="00825EAB">
        <w:rPr>
          <w:rFonts w:cs="Arial" w:hint="cs"/>
          <w:sz w:val="16"/>
          <w:szCs w:val="16"/>
          <w:rtl/>
        </w:rPr>
        <w:t xml:space="preserve"> </w:t>
      </w:r>
      <w:r>
        <w:rPr>
          <w:rFonts w:cs="Arial" w:hint="cs"/>
          <w:rtl/>
        </w:rPr>
        <w:t>ו</w:t>
      </w:r>
      <w:r w:rsidRPr="00C41E43">
        <w:rPr>
          <w:rFonts w:cs="Arial"/>
          <w:rtl/>
        </w:rPr>
        <w:t>ר"פ בשם רבי יקר</w:t>
      </w:r>
      <w:r>
        <w:rPr>
          <w:rFonts w:cs="Arial" w:hint="cs"/>
          <w:rtl/>
        </w:rPr>
        <w:t xml:space="preserve"> </w:t>
      </w:r>
      <w:r w:rsidR="00A82951">
        <w:rPr>
          <w:rFonts w:cs="Arial" w:hint="cs"/>
          <w:rtl/>
        </w:rPr>
        <w:t>-</w:t>
      </w:r>
      <w:r w:rsidRPr="00C41E43">
        <w:rPr>
          <w:rFonts w:cs="Arial"/>
          <w:rtl/>
        </w:rPr>
        <w:t xml:space="preserve"> ימחא באל"ף</w:t>
      </w:r>
      <w:r>
        <w:rPr>
          <w:rFonts w:cs="Arial" w:hint="cs"/>
          <w:rtl/>
        </w:rPr>
        <w:t>,</w:t>
      </w:r>
      <w:r w:rsidRPr="00C41E43">
        <w:rPr>
          <w:rFonts w:cs="Arial"/>
          <w:rtl/>
        </w:rPr>
        <w:t xml:space="preserve"> לשון מחאה</w:t>
      </w:r>
      <w:r>
        <w:rPr>
          <w:rFonts w:cs="Arial" w:hint="cs"/>
          <w:sz w:val="16"/>
          <w:szCs w:val="16"/>
          <w:rtl/>
        </w:rPr>
        <w:t xml:space="preserve"> (ל' הכל בו)</w:t>
      </w:r>
      <w:r>
        <w:rPr>
          <w:rStyle w:val="a7"/>
          <w:rFonts w:cs="Arial"/>
          <w:rtl/>
        </w:rPr>
        <w:footnoteReference w:id="760"/>
      </w:r>
      <w:r>
        <w:rPr>
          <w:rFonts w:cs="Arial" w:hint="cs"/>
          <w:rtl/>
        </w:rPr>
        <w:t>.</w:t>
      </w:r>
      <w:r w:rsidRPr="00C41E43">
        <w:rPr>
          <w:rFonts w:cs="Arial"/>
          <w:rtl/>
        </w:rPr>
        <w:t xml:space="preserve"> </w:t>
      </w:r>
      <w:r w:rsidRPr="00F63B64">
        <w:rPr>
          <w:rFonts w:cs="Arial" w:hint="cs"/>
          <w:color w:val="E36C0A" w:themeColor="accent6" w:themeShade="BF"/>
          <w:rtl/>
        </w:rPr>
        <w:t>(וכ"פ בשו"ע)</w:t>
      </w:r>
    </w:p>
    <w:p w14:paraId="4967AACF" w14:textId="4A508455" w:rsidR="00FA2119" w:rsidRPr="00491EE7" w:rsidRDefault="00FA2119" w:rsidP="00FA2119">
      <w:pPr>
        <w:pStyle w:val="ab"/>
        <w:numPr>
          <w:ilvl w:val="0"/>
          <w:numId w:val="15"/>
        </w:numPr>
        <w:rPr>
          <w:rFonts w:cs="Arial"/>
        </w:rPr>
      </w:pPr>
      <w:r>
        <w:rPr>
          <w:rFonts w:cs="Arial" w:hint="cs"/>
          <w:rtl/>
        </w:rPr>
        <w:t>טור</w:t>
      </w:r>
      <w:r w:rsidR="00A82951">
        <w:rPr>
          <w:rFonts w:cs="Arial" w:hint="cs"/>
          <w:rtl/>
        </w:rPr>
        <w:t>-</w:t>
      </w:r>
      <w:r w:rsidRPr="00967D9E">
        <w:rPr>
          <w:rFonts w:cs="Arial"/>
          <w:rtl/>
        </w:rPr>
        <w:t xml:space="preserve"> </w:t>
      </w:r>
      <w:r>
        <w:rPr>
          <w:rFonts w:cs="Arial" w:hint="cs"/>
          <w:rtl/>
        </w:rPr>
        <w:t xml:space="preserve">כתב הר"ר פרץ </w:t>
      </w:r>
      <w:r w:rsidRPr="00967D9E">
        <w:rPr>
          <w:rFonts w:cs="Arial"/>
          <w:rtl/>
        </w:rPr>
        <w:t>לא ימחא בא'</w:t>
      </w:r>
      <w:r>
        <w:rPr>
          <w:rStyle w:val="a7"/>
          <w:rFonts w:cs="Arial"/>
          <w:rtl/>
        </w:rPr>
        <w:footnoteReference w:id="761"/>
      </w:r>
      <w:r>
        <w:rPr>
          <w:rFonts w:cs="Arial" w:hint="cs"/>
          <w:rtl/>
        </w:rPr>
        <w:t>...</w:t>
      </w:r>
      <w:r w:rsidRPr="004853FB">
        <w:rPr>
          <w:rtl/>
        </w:rPr>
        <w:t xml:space="preserve"> </w:t>
      </w:r>
      <w:r w:rsidRPr="004853FB">
        <w:rPr>
          <w:rFonts w:cs="Arial"/>
          <w:rtl/>
        </w:rPr>
        <w:t>שאלות לא"א הרא"ש ז"ל ששאלת</w:t>
      </w:r>
      <w:r>
        <w:rPr>
          <w:rFonts w:cs="Arial" w:hint="cs"/>
          <w:rtl/>
        </w:rPr>
        <w:t>...</w:t>
      </w:r>
      <w:r w:rsidRPr="004853FB">
        <w:rPr>
          <w:rFonts w:cs="Arial"/>
          <w:rtl/>
        </w:rPr>
        <w:t xml:space="preserve"> ומה שכתב לא ימחא באל"ף אם בא הגט לידה אין לפוסלו בכך</w:t>
      </w:r>
      <w:r>
        <w:rPr>
          <w:rFonts w:cs="Arial" w:hint="cs"/>
          <w:rtl/>
        </w:rPr>
        <w:t>.</w:t>
      </w:r>
    </w:p>
    <w:p w14:paraId="2910A370" w14:textId="5E1819C4" w:rsidR="00FA2119" w:rsidRPr="00491EE7" w:rsidRDefault="00FA2119" w:rsidP="00FA2119">
      <w:pPr>
        <w:pStyle w:val="ab"/>
        <w:numPr>
          <w:ilvl w:val="1"/>
          <w:numId w:val="15"/>
        </w:numPr>
        <w:rPr>
          <w:rFonts w:cs="Arial"/>
          <w:rtl/>
        </w:rPr>
      </w:pPr>
      <w:r>
        <w:rPr>
          <w:rFonts w:cs="Arial" w:hint="cs"/>
          <w:rtl/>
        </w:rPr>
        <w:t>ב"י</w:t>
      </w:r>
      <w:r w:rsidR="00A82951">
        <w:rPr>
          <w:rFonts w:cs="Arial" w:hint="cs"/>
          <w:rtl/>
        </w:rPr>
        <w:t>-</w:t>
      </w:r>
      <w:r>
        <w:rPr>
          <w:rFonts w:cs="Arial" w:hint="cs"/>
          <w:rtl/>
        </w:rPr>
        <w:t xml:space="preserve"> </w:t>
      </w:r>
      <w:r w:rsidRPr="00491EE7">
        <w:rPr>
          <w:rFonts w:cs="Arial"/>
          <w:rtl/>
        </w:rPr>
        <w:t>ומכל מקום לענין מעשה לכתחלה יש לכתבו באל"ף</w:t>
      </w:r>
      <w:r>
        <w:rPr>
          <w:rFonts w:cs="Arial" w:hint="cs"/>
          <w:rtl/>
        </w:rPr>
        <w:t>,</w:t>
      </w:r>
      <w:r w:rsidRPr="00491EE7">
        <w:rPr>
          <w:rFonts w:cs="Arial"/>
          <w:rtl/>
        </w:rPr>
        <w:t xml:space="preserve"> דהכי נהוג עלמא</w:t>
      </w:r>
      <w:r>
        <w:rPr>
          <w:rStyle w:val="a7"/>
          <w:rFonts w:cs="Arial"/>
          <w:rtl/>
        </w:rPr>
        <w:footnoteReference w:id="762"/>
      </w:r>
      <w:r>
        <w:rPr>
          <w:rFonts w:cs="Arial" w:hint="cs"/>
          <w:rtl/>
        </w:rPr>
        <w:t>.</w:t>
      </w:r>
      <w:r w:rsidRPr="00491EE7">
        <w:rPr>
          <w:rFonts w:cs="Arial"/>
          <w:rtl/>
        </w:rPr>
        <w:t xml:space="preserve"> ואם לא כתבו באל"ף </w:t>
      </w:r>
      <w:r w:rsidR="00A82951">
        <w:rPr>
          <w:rFonts w:cs="Arial" w:hint="cs"/>
          <w:rtl/>
        </w:rPr>
        <w:t>-</w:t>
      </w:r>
      <w:r>
        <w:rPr>
          <w:rFonts w:cs="Arial" w:hint="cs"/>
          <w:rtl/>
        </w:rPr>
        <w:t xml:space="preserve"> </w:t>
      </w:r>
      <w:r w:rsidRPr="00491EE7">
        <w:rPr>
          <w:rFonts w:cs="Arial"/>
          <w:rtl/>
        </w:rPr>
        <w:t>אין לפסלו בשביל כך</w:t>
      </w:r>
      <w:r>
        <w:rPr>
          <w:rFonts w:cs="Arial" w:hint="cs"/>
          <w:rtl/>
        </w:rPr>
        <w:t>.</w:t>
      </w:r>
      <w:r w:rsidRPr="00491EE7">
        <w:rPr>
          <w:rFonts w:cs="Arial"/>
          <w:rtl/>
        </w:rPr>
        <w:t xml:space="preserve"> ואע</w:t>
      </w:r>
      <w:r>
        <w:rPr>
          <w:rFonts w:cs="Arial" w:hint="cs"/>
          <w:rtl/>
        </w:rPr>
        <w:t>"</w:t>
      </w:r>
      <w:r w:rsidRPr="00491EE7">
        <w:rPr>
          <w:rFonts w:cs="Arial"/>
          <w:rtl/>
        </w:rPr>
        <w:t>פ שעדיין לא ניתן</w:t>
      </w:r>
      <w:r>
        <w:rPr>
          <w:rFonts w:cs="Arial" w:hint="cs"/>
          <w:rtl/>
        </w:rPr>
        <w:t>,</w:t>
      </w:r>
      <w:r w:rsidRPr="00491EE7">
        <w:rPr>
          <w:rFonts w:cs="Arial"/>
          <w:rtl/>
        </w:rPr>
        <w:t xml:space="preserve"> הדעת נותן שינתן</w:t>
      </w:r>
      <w:r>
        <w:rPr>
          <w:rFonts w:cs="Arial" w:hint="cs"/>
          <w:rtl/>
        </w:rPr>
        <w:t>.</w:t>
      </w:r>
      <w:r w:rsidRPr="00491EE7">
        <w:rPr>
          <w:rFonts w:cs="Arial"/>
          <w:rtl/>
        </w:rPr>
        <w:t xml:space="preserve"> מיהו משום מהיות טוב וכו' אם אפשר להכתיב אחר שיהיה כתוב באל"ף שפיר דמי</w:t>
      </w:r>
      <w:r>
        <w:rPr>
          <w:rFonts w:cs="Arial" w:hint="cs"/>
          <w:rtl/>
        </w:rPr>
        <w:t>.</w:t>
      </w:r>
      <w:r w:rsidRPr="00491EE7">
        <w:rPr>
          <w:rFonts w:cs="Arial"/>
          <w:rtl/>
        </w:rPr>
        <w:t xml:space="preserve"> אבל אם ניתן לה כבר אין לחוש</w:t>
      </w:r>
      <w:r>
        <w:rPr>
          <w:rFonts w:cs="Arial" w:hint="cs"/>
          <w:rtl/>
        </w:rPr>
        <w:t>,</w:t>
      </w:r>
      <w:r w:rsidRPr="00491EE7">
        <w:rPr>
          <w:rFonts w:cs="Arial"/>
          <w:rtl/>
        </w:rPr>
        <w:t xml:space="preserve"> וכעין שכתב הרא"ש לפי סברתו</w:t>
      </w:r>
      <w:r>
        <w:rPr>
          <w:rFonts w:cs="Arial" w:hint="cs"/>
          <w:rtl/>
        </w:rPr>
        <w:t xml:space="preserve">. </w:t>
      </w:r>
      <w:r w:rsidRPr="00F63B64">
        <w:rPr>
          <w:rFonts w:cs="Arial" w:hint="cs"/>
          <w:color w:val="00B0F0"/>
          <w:rtl/>
        </w:rPr>
        <w:t>(וכ"פ הרמ"א)</w:t>
      </w:r>
    </w:p>
    <w:p w14:paraId="7E5ACA2A"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C0A9C39" w14:textId="77777777" w:rsidR="00FA2119" w:rsidRDefault="00FA2119" w:rsidP="00FA2119">
      <w:pPr>
        <w:rPr>
          <w:rtl/>
        </w:rPr>
      </w:pPr>
      <w:r>
        <w:rPr>
          <w:rFonts w:cs="Arial" w:hint="cs"/>
          <w:rtl/>
        </w:rPr>
        <w:t>לא</w:t>
      </w:r>
      <w:r>
        <w:rPr>
          <w:rFonts w:cs="Arial"/>
          <w:rtl/>
        </w:rPr>
        <w:t xml:space="preserve"> </w:t>
      </w:r>
      <w:r>
        <w:rPr>
          <w:rFonts w:cs="Arial" w:hint="cs"/>
          <w:rtl/>
        </w:rPr>
        <w:t>ימחא</w:t>
      </w:r>
      <w:r>
        <w:rPr>
          <w:rFonts w:cs="Arial"/>
          <w:rtl/>
        </w:rPr>
        <w:t xml:space="preserve">, </w:t>
      </w:r>
      <w:r>
        <w:rPr>
          <w:rFonts w:cs="Arial" w:hint="cs"/>
          <w:rtl/>
        </w:rPr>
        <w:t>באל</w:t>
      </w:r>
      <w:r>
        <w:rPr>
          <w:rFonts w:cs="Arial"/>
          <w:rtl/>
        </w:rPr>
        <w:t>"</w:t>
      </w:r>
      <w:r>
        <w:rPr>
          <w:rFonts w:cs="Arial" w:hint="cs"/>
          <w:rtl/>
        </w:rPr>
        <w:t>ף</w:t>
      </w:r>
      <w:r>
        <w:rPr>
          <w:rFonts w:cs="Arial"/>
          <w:rtl/>
        </w:rPr>
        <w:t xml:space="preserve">. </w:t>
      </w:r>
      <w:r w:rsidRPr="009624D4">
        <w:rPr>
          <w:rFonts w:cs="Arial" w:hint="cs"/>
          <w:sz w:val="18"/>
          <w:szCs w:val="18"/>
          <w:rtl/>
        </w:rPr>
        <w:t>הגה</w:t>
      </w:r>
      <w:r w:rsidRPr="009624D4">
        <w:rPr>
          <w:rFonts w:cs="Arial"/>
          <w:sz w:val="18"/>
          <w:szCs w:val="18"/>
          <w:rtl/>
        </w:rPr>
        <w:t xml:space="preserve">: </w:t>
      </w:r>
      <w:r w:rsidRPr="009624D4">
        <w:rPr>
          <w:rFonts w:cs="Arial" w:hint="cs"/>
          <w:sz w:val="18"/>
          <w:szCs w:val="18"/>
          <w:rtl/>
        </w:rPr>
        <w:t>ואם</w:t>
      </w:r>
      <w:r w:rsidRPr="009624D4">
        <w:rPr>
          <w:rFonts w:cs="Arial"/>
          <w:sz w:val="18"/>
          <w:szCs w:val="18"/>
          <w:rtl/>
        </w:rPr>
        <w:t xml:space="preserve"> </w:t>
      </w:r>
      <w:r w:rsidRPr="009624D4">
        <w:rPr>
          <w:rFonts w:cs="Arial" w:hint="cs"/>
          <w:sz w:val="18"/>
          <w:szCs w:val="18"/>
          <w:rtl/>
        </w:rPr>
        <w:t>כתב</w:t>
      </w:r>
      <w:r w:rsidRPr="009624D4">
        <w:rPr>
          <w:rFonts w:cs="Arial"/>
          <w:sz w:val="18"/>
          <w:szCs w:val="18"/>
          <w:rtl/>
        </w:rPr>
        <w:t xml:space="preserve"> </w:t>
      </w:r>
      <w:r w:rsidRPr="009624D4">
        <w:rPr>
          <w:rFonts w:cs="Arial" w:hint="cs"/>
          <w:sz w:val="18"/>
          <w:szCs w:val="18"/>
          <w:rtl/>
        </w:rPr>
        <w:t>בה</w:t>
      </w:r>
      <w:r w:rsidRPr="009624D4">
        <w:rPr>
          <w:rFonts w:cs="Arial"/>
          <w:sz w:val="18"/>
          <w:szCs w:val="18"/>
          <w:rtl/>
        </w:rPr>
        <w:t>"</w:t>
      </w:r>
      <w:r w:rsidRPr="009624D4">
        <w:rPr>
          <w:rFonts w:cs="Arial" w:hint="cs"/>
          <w:sz w:val="18"/>
          <w:szCs w:val="18"/>
          <w:rtl/>
        </w:rPr>
        <w:t>א</w:t>
      </w:r>
      <w:r w:rsidRPr="009624D4">
        <w:rPr>
          <w:rFonts w:cs="Arial"/>
          <w:sz w:val="18"/>
          <w:szCs w:val="18"/>
          <w:rtl/>
        </w:rPr>
        <w:t xml:space="preserve"> </w:t>
      </w:r>
      <w:r w:rsidRPr="009624D4">
        <w:rPr>
          <w:rFonts w:cs="Arial" w:hint="cs"/>
          <w:sz w:val="18"/>
          <w:szCs w:val="18"/>
          <w:rtl/>
        </w:rPr>
        <w:t>וכבר</w:t>
      </w:r>
      <w:r w:rsidRPr="009624D4">
        <w:rPr>
          <w:rFonts w:cs="Arial"/>
          <w:sz w:val="18"/>
          <w:szCs w:val="18"/>
          <w:rtl/>
        </w:rPr>
        <w:t xml:space="preserve"> </w:t>
      </w:r>
      <w:r w:rsidRPr="009624D4">
        <w:rPr>
          <w:rFonts w:cs="Arial" w:hint="cs"/>
          <w:sz w:val="18"/>
          <w:szCs w:val="18"/>
          <w:rtl/>
        </w:rPr>
        <w:t>ניתן</w:t>
      </w:r>
      <w:r w:rsidRPr="009624D4">
        <w:rPr>
          <w:rFonts w:cs="Arial"/>
          <w:sz w:val="18"/>
          <w:szCs w:val="18"/>
          <w:rtl/>
        </w:rPr>
        <w:t xml:space="preserve"> </w:t>
      </w:r>
      <w:r w:rsidRPr="009624D4">
        <w:rPr>
          <w:rFonts w:cs="Arial" w:hint="cs"/>
          <w:sz w:val="18"/>
          <w:szCs w:val="18"/>
          <w:rtl/>
        </w:rPr>
        <w:t>הגט</w:t>
      </w:r>
      <w:r w:rsidRPr="009624D4">
        <w:rPr>
          <w:rFonts w:cs="Arial"/>
          <w:sz w:val="18"/>
          <w:szCs w:val="18"/>
          <w:rtl/>
        </w:rPr>
        <w:t xml:space="preserve">, </w:t>
      </w:r>
      <w:r w:rsidRPr="009624D4">
        <w:rPr>
          <w:rFonts w:cs="Arial" w:hint="cs"/>
          <w:sz w:val="18"/>
          <w:szCs w:val="18"/>
          <w:rtl/>
        </w:rPr>
        <w:t>כשר</w:t>
      </w:r>
      <w:r w:rsidRPr="009624D4">
        <w:rPr>
          <w:rFonts w:cs="Arial"/>
          <w:sz w:val="18"/>
          <w:szCs w:val="18"/>
          <w:rtl/>
        </w:rPr>
        <w:t xml:space="preserve"> (</w:t>
      </w:r>
      <w:r w:rsidRPr="009624D4">
        <w:rPr>
          <w:rFonts w:cs="Arial" w:hint="cs"/>
          <w:sz w:val="18"/>
          <w:szCs w:val="18"/>
          <w:rtl/>
        </w:rPr>
        <w:t>ב</w:t>
      </w:r>
      <w:r w:rsidRPr="009624D4">
        <w:rPr>
          <w:rFonts w:cs="Arial"/>
          <w:sz w:val="18"/>
          <w:szCs w:val="18"/>
          <w:rtl/>
        </w:rPr>
        <w:t>"</w:t>
      </w:r>
      <w:r w:rsidRPr="009624D4">
        <w:rPr>
          <w:rFonts w:cs="Arial" w:hint="cs"/>
          <w:sz w:val="18"/>
          <w:szCs w:val="18"/>
          <w:rtl/>
        </w:rPr>
        <w:t>י</w:t>
      </w:r>
      <w:r w:rsidRPr="009624D4">
        <w:rPr>
          <w:rFonts w:cs="Arial"/>
          <w:sz w:val="18"/>
          <w:szCs w:val="18"/>
          <w:rtl/>
        </w:rPr>
        <w:t xml:space="preserve">). </w:t>
      </w:r>
      <w:r w:rsidRPr="009624D4">
        <w:rPr>
          <w:rFonts w:cs="Arial" w:hint="cs"/>
          <w:sz w:val="18"/>
          <w:szCs w:val="18"/>
          <w:rtl/>
        </w:rPr>
        <w:t>ואם</w:t>
      </w:r>
      <w:r w:rsidRPr="009624D4">
        <w:rPr>
          <w:rFonts w:cs="Arial"/>
          <w:sz w:val="18"/>
          <w:szCs w:val="18"/>
          <w:rtl/>
        </w:rPr>
        <w:t xml:space="preserve"> </w:t>
      </w:r>
      <w:r w:rsidRPr="009624D4">
        <w:rPr>
          <w:rFonts w:cs="Arial" w:hint="cs"/>
          <w:sz w:val="18"/>
          <w:szCs w:val="18"/>
          <w:rtl/>
        </w:rPr>
        <w:t>נכתב</w:t>
      </w:r>
      <w:r w:rsidRPr="009624D4">
        <w:rPr>
          <w:rFonts w:cs="Arial"/>
          <w:sz w:val="18"/>
          <w:szCs w:val="18"/>
          <w:rtl/>
        </w:rPr>
        <w:t xml:space="preserve"> </w:t>
      </w:r>
      <w:r w:rsidRPr="009624D4">
        <w:rPr>
          <w:rFonts w:cs="Arial" w:hint="cs"/>
          <w:sz w:val="18"/>
          <w:szCs w:val="18"/>
          <w:rtl/>
        </w:rPr>
        <w:t>ימחי</w:t>
      </w:r>
      <w:r w:rsidRPr="009624D4">
        <w:rPr>
          <w:rFonts w:cs="Arial"/>
          <w:sz w:val="18"/>
          <w:szCs w:val="18"/>
          <w:rtl/>
        </w:rPr>
        <w:t xml:space="preserve"> </w:t>
      </w:r>
      <w:r w:rsidRPr="009624D4">
        <w:rPr>
          <w:rFonts w:cs="Arial" w:hint="cs"/>
          <w:sz w:val="18"/>
          <w:szCs w:val="18"/>
          <w:rtl/>
        </w:rPr>
        <w:t>ביו</w:t>
      </w:r>
      <w:r w:rsidRPr="009624D4">
        <w:rPr>
          <w:rFonts w:cs="Arial"/>
          <w:sz w:val="18"/>
          <w:szCs w:val="18"/>
          <w:rtl/>
        </w:rPr>
        <w:t>"</w:t>
      </w:r>
      <w:r w:rsidRPr="009624D4">
        <w:rPr>
          <w:rFonts w:cs="Arial" w:hint="cs"/>
          <w:sz w:val="18"/>
          <w:szCs w:val="18"/>
          <w:rtl/>
        </w:rPr>
        <w:t>ד</w:t>
      </w:r>
      <w:r w:rsidRPr="009624D4">
        <w:rPr>
          <w:rFonts w:cs="Arial"/>
          <w:sz w:val="18"/>
          <w:szCs w:val="18"/>
          <w:rtl/>
        </w:rPr>
        <w:t xml:space="preserve">, </w:t>
      </w:r>
      <w:r w:rsidRPr="009624D4">
        <w:rPr>
          <w:rFonts w:cs="Arial" w:hint="cs"/>
          <w:sz w:val="18"/>
          <w:szCs w:val="18"/>
          <w:rtl/>
        </w:rPr>
        <w:t>פסול</w:t>
      </w:r>
      <w:r w:rsidRPr="009624D4">
        <w:rPr>
          <w:rFonts w:cs="Arial"/>
          <w:sz w:val="18"/>
          <w:szCs w:val="18"/>
          <w:rtl/>
        </w:rPr>
        <w:t xml:space="preserve">, </w:t>
      </w:r>
      <w:r w:rsidRPr="009624D4">
        <w:rPr>
          <w:rFonts w:cs="Arial" w:hint="cs"/>
          <w:sz w:val="18"/>
          <w:szCs w:val="18"/>
          <w:rtl/>
        </w:rPr>
        <w:t>אם</w:t>
      </w:r>
      <w:r w:rsidRPr="009624D4">
        <w:rPr>
          <w:rFonts w:cs="Arial"/>
          <w:sz w:val="18"/>
          <w:szCs w:val="18"/>
          <w:rtl/>
        </w:rPr>
        <w:t xml:space="preserve"> </w:t>
      </w:r>
      <w:r w:rsidRPr="009624D4">
        <w:rPr>
          <w:rFonts w:cs="Arial" w:hint="cs"/>
          <w:sz w:val="18"/>
          <w:szCs w:val="18"/>
          <w:rtl/>
        </w:rPr>
        <w:t>לא</w:t>
      </w:r>
      <w:r w:rsidRPr="009624D4">
        <w:rPr>
          <w:rFonts w:cs="Arial"/>
          <w:sz w:val="18"/>
          <w:szCs w:val="18"/>
          <w:rtl/>
        </w:rPr>
        <w:t xml:space="preserve"> </w:t>
      </w:r>
      <w:r w:rsidRPr="009624D4">
        <w:rPr>
          <w:rFonts w:cs="Arial" w:hint="cs"/>
          <w:sz w:val="18"/>
          <w:szCs w:val="18"/>
          <w:rtl/>
        </w:rPr>
        <w:t>בשעת</w:t>
      </w:r>
      <w:r w:rsidRPr="009624D4">
        <w:rPr>
          <w:rFonts w:cs="Arial"/>
          <w:sz w:val="18"/>
          <w:szCs w:val="18"/>
          <w:rtl/>
        </w:rPr>
        <w:t xml:space="preserve"> </w:t>
      </w:r>
      <w:r w:rsidRPr="009624D4">
        <w:rPr>
          <w:rFonts w:cs="Arial" w:hint="cs"/>
          <w:sz w:val="18"/>
          <w:szCs w:val="18"/>
          <w:rtl/>
        </w:rPr>
        <w:t>הדחק</w:t>
      </w:r>
      <w:r w:rsidRPr="009624D4">
        <w:rPr>
          <w:rFonts w:cs="Arial"/>
          <w:sz w:val="18"/>
          <w:szCs w:val="18"/>
          <w:rtl/>
        </w:rPr>
        <w:t xml:space="preserve"> </w:t>
      </w:r>
      <w:r w:rsidRPr="009624D4">
        <w:rPr>
          <w:rFonts w:cs="Arial" w:hint="cs"/>
          <w:sz w:val="18"/>
          <w:szCs w:val="18"/>
          <w:rtl/>
        </w:rPr>
        <w:t>ובמקום</w:t>
      </w:r>
      <w:r w:rsidRPr="009624D4">
        <w:rPr>
          <w:rFonts w:cs="Arial"/>
          <w:sz w:val="18"/>
          <w:szCs w:val="18"/>
          <w:rtl/>
        </w:rPr>
        <w:t xml:space="preserve"> </w:t>
      </w:r>
      <w:r w:rsidRPr="009624D4">
        <w:rPr>
          <w:rFonts w:cs="Arial" w:hint="cs"/>
          <w:sz w:val="18"/>
          <w:szCs w:val="18"/>
          <w:rtl/>
        </w:rPr>
        <w:t>עיגון</w:t>
      </w:r>
      <w:r w:rsidRPr="009624D4">
        <w:rPr>
          <w:rFonts w:cs="Arial"/>
          <w:sz w:val="18"/>
          <w:szCs w:val="18"/>
          <w:rtl/>
        </w:rPr>
        <w:t xml:space="preserve"> (</w:t>
      </w:r>
      <w:r w:rsidRPr="009624D4">
        <w:rPr>
          <w:rFonts w:cs="Arial" w:hint="cs"/>
          <w:sz w:val="18"/>
          <w:szCs w:val="18"/>
          <w:rtl/>
        </w:rPr>
        <w:t>מ</w:t>
      </w:r>
      <w:r w:rsidRPr="009624D4">
        <w:rPr>
          <w:rFonts w:cs="Arial"/>
          <w:sz w:val="18"/>
          <w:szCs w:val="18"/>
          <w:rtl/>
        </w:rPr>
        <w:t>"</w:t>
      </w:r>
      <w:r w:rsidRPr="009624D4">
        <w:rPr>
          <w:rFonts w:cs="Arial" w:hint="cs"/>
          <w:sz w:val="18"/>
          <w:szCs w:val="18"/>
          <w:rtl/>
        </w:rPr>
        <w:t>כ</w:t>
      </w:r>
      <w:r w:rsidRPr="009624D4">
        <w:rPr>
          <w:rFonts w:cs="Arial"/>
          <w:sz w:val="18"/>
          <w:szCs w:val="18"/>
          <w:rtl/>
        </w:rPr>
        <w:t xml:space="preserve"> </w:t>
      </w:r>
      <w:r w:rsidRPr="009624D4">
        <w:rPr>
          <w:rFonts w:cs="Arial" w:hint="cs"/>
          <w:sz w:val="18"/>
          <w:szCs w:val="18"/>
          <w:rtl/>
        </w:rPr>
        <w:t>בתיקון</w:t>
      </w:r>
      <w:r w:rsidRPr="009624D4">
        <w:rPr>
          <w:rFonts w:cs="Arial"/>
          <w:sz w:val="18"/>
          <w:szCs w:val="18"/>
          <w:rtl/>
        </w:rPr>
        <w:t>).</w:t>
      </w:r>
      <w:r>
        <w:rPr>
          <w:rFonts w:cs="Arial"/>
          <w:rtl/>
        </w:rPr>
        <w:t xml:space="preserve"> </w:t>
      </w:r>
    </w:p>
    <w:p w14:paraId="3E18375C" w14:textId="77777777" w:rsidR="00FA2119" w:rsidRDefault="00FA2119" w:rsidP="00FA2119">
      <w:pPr>
        <w:rPr>
          <w:rtl/>
        </w:rPr>
      </w:pPr>
    </w:p>
    <w:p w14:paraId="4210999E" w14:textId="77777777" w:rsidR="00FA2119" w:rsidRDefault="00FA2119" w:rsidP="00FA2119">
      <w:pPr>
        <w:pStyle w:val="2"/>
        <w:rPr>
          <w:rtl/>
        </w:rPr>
      </w:pPr>
      <w:r>
        <w:rPr>
          <w:rFonts w:hint="cs"/>
          <w:rtl/>
        </w:rPr>
        <w:t>סעיף</w:t>
      </w:r>
      <w:r>
        <w:rPr>
          <w:rtl/>
        </w:rPr>
        <w:t xml:space="preserve"> </w:t>
      </w:r>
      <w:r>
        <w:rPr>
          <w:rFonts w:hint="cs"/>
          <w:rtl/>
        </w:rPr>
        <w:t>יח: מה כותבים בשיטה אחרונה.</w:t>
      </w:r>
    </w:p>
    <w:p w14:paraId="11E20A08" w14:textId="748F9F66" w:rsidR="00FA2119" w:rsidRPr="006B29E0" w:rsidRDefault="00A24092" w:rsidP="00FA2119">
      <w:pPr>
        <w:rPr>
          <w:u w:val="single"/>
          <w:rtl/>
        </w:rPr>
      </w:pPr>
      <w:r>
        <w:rPr>
          <w:rFonts w:hint="cs"/>
          <w:u w:val="single"/>
          <w:rtl/>
        </w:rPr>
        <w:t>האם אפשר לכתוב בשיטה אחרונה של הגט דברים שהם מעיקר הגט</w:t>
      </w:r>
      <w:r w:rsidR="00FA2119">
        <w:rPr>
          <w:rStyle w:val="a7"/>
          <w:u w:val="single"/>
          <w:rtl/>
        </w:rPr>
        <w:footnoteReference w:id="763"/>
      </w:r>
      <w:r>
        <w:rPr>
          <w:rFonts w:hint="cs"/>
          <w:u w:val="single"/>
          <w:rtl/>
        </w:rPr>
        <w:t xml:space="preserve"> </w:t>
      </w:r>
      <w:r w:rsidRPr="00A24092">
        <w:rPr>
          <w:rFonts w:hint="cs"/>
          <w:sz w:val="16"/>
          <w:szCs w:val="16"/>
          <w:u w:val="single"/>
          <w:rtl/>
        </w:rPr>
        <w:t>(דהרי אין למדים בדר"כ משיטה אחרונה</w:t>
      </w:r>
      <w:r>
        <w:rPr>
          <w:rFonts w:hint="cs"/>
          <w:sz w:val="16"/>
          <w:szCs w:val="16"/>
          <w:u w:val="single"/>
          <w:rtl/>
        </w:rPr>
        <w:t>)</w:t>
      </w:r>
      <w:r w:rsidR="00FA2119" w:rsidRPr="006B29E0">
        <w:rPr>
          <w:rFonts w:hint="cs"/>
          <w:u w:val="single"/>
          <w:rtl/>
        </w:rPr>
        <w:t>:</w:t>
      </w:r>
    </w:p>
    <w:p w14:paraId="27A7A143" w14:textId="71A22281" w:rsidR="00FA2119" w:rsidRPr="00E205AD" w:rsidRDefault="00FA2119" w:rsidP="00FA2119">
      <w:pPr>
        <w:pStyle w:val="ab"/>
        <w:numPr>
          <w:ilvl w:val="0"/>
          <w:numId w:val="15"/>
        </w:numPr>
        <w:rPr>
          <w:rFonts w:cs="Arial"/>
        </w:rPr>
      </w:pPr>
      <w:r>
        <w:rPr>
          <w:rFonts w:cs="Arial" w:hint="cs"/>
          <w:rtl/>
        </w:rPr>
        <w:t>תוס'</w:t>
      </w:r>
      <w:r>
        <w:rPr>
          <w:rStyle w:val="a7"/>
          <w:rFonts w:cs="Arial"/>
          <w:rtl/>
        </w:rPr>
        <w:footnoteReference w:id="764"/>
      </w:r>
      <w:r>
        <w:rPr>
          <w:rFonts w:cs="Arial" w:hint="cs"/>
          <w:rtl/>
        </w:rPr>
        <w:t xml:space="preserve"> </w:t>
      </w:r>
      <w:r w:rsidRPr="006E2372">
        <w:rPr>
          <w:rFonts w:cs="Arial" w:hint="cs"/>
          <w:sz w:val="16"/>
          <w:szCs w:val="16"/>
          <w:rtl/>
        </w:rPr>
        <w:t xml:space="preserve">(ב"ב קסב. ד"ה </w:t>
      </w:r>
      <w:r w:rsidRPr="006E2372">
        <w:rPr>
          <w:rFonts w:cs="Arial"/>
          <w:sz w:val="16"/>
          <w:szCs w:val="16"/>
          <w:rtl/>
        </w:rPr>
        <w:t>לפי</w:t>
      </w:r>
      <w:r w:rsidRPr="006E2372">
        <w:rPr>
          <w:rFonts w:cs="Arial" w:hint="cs"/>
          <w:sz w:val="16"/>
          <w:szCs w:val="16"/>
          <w:rtl/>
        </w:rPr>
        <w:t>)</w:t>
      </w:r>
      <w:r>
        <w:rPr>
          <w:rFonts w:cs="Arial" w:hint="cs"/>
          <w:rtl/>
        </w:rPr>
        <w:t xml:space="preserve"> ורא"ש </w:t>
      </w:r>
      <w:r>
        <w:rPr>
          <w:rFonts w:cs="Arial" w:hint="cs"/>
          <w:sz w:val="16"/>
          <w:szCs w:val="16"/>
          <w:rtl/>
        </w:rPr>
        <w:t>(ב"ב פ"י ס"ב, ובתשו' כלל מה סי' יט)</w:t>
      </w:r>
      <w:r w:rsidR="00A82951">
        <w:rPr>
          <w:rFonts w:cs="Arial"/>
          <w:rtl/>
        </w:rPr>
        <w:t>-</w:t>
      </w:r>
      <w:r w:rsidRPr="006E2372">
        <w:rPr>
          <w:rFonts w:cs="Arial"/>
          <w:rtl/>
        </w:rPr>
        <w:t xml:space="preserve"> ויכולים לכתוב </w:t>
      </w:r>
      <w:r>
        <w:rPr>
          <w:rFonts w:cs="Arial" w:hint="cs"/>
          <w:rtl/>
        </w:rPr>
        <w:t>'</w:t>
      </w:r>
      <w:r w:rsidRPr="006E2372">
        <w:rPr>
          <w:rFonts w:cs="Arial"/>
          <w:rtl/>
        </w:rPr>
        <w:t>ודין</w:t>
      </w:r>
      <w:r w:rsidR="00A24092">
        <w:rPr>
          <w:rFonts w:cs="Arial" w:hint="cs"/>
          <w:sz w:val="16"/>
          <w:szCs w:val="16"/>
          <w:rtl/>
        </w:rPr>
        <w:t xml:space="preserve"> {וכו'}</w:t>
      </w:r>
      <w:r>
        <w:rPr>
          <w:rFonts w:cs="Arial" w:hint="cs"/>
          <w:rtl/>
        </w:rPr>
        <w:t>'</w:t>
      </w:r>
      <w:r w:rsidRPr="006E2372">
        <w:rPr>
          <w:rFonts w:cs="Arial"/>
          <w:rtl/>
        </w:rPr>
        <w:t xml:space="preserve"> בשיטה אחרונה</w:t>
      </w:r>
      <w:r>
        <w:rPr>
          <w:rFonts w:cs="Arial" w:hint="cs"/>
          <w:rtl/>
        </w:rPr>
        <w:t>,</w:t>
      </w:r>
      <w:r w:rsidRPr="006E2372">
        <w:rPr>
          <w:rFonts w:cs="Arial"/>
          <w:rtl/>
        </w:rPr>
        <w:t xml:space="preserve"> דכדת משה וישראל הוי במקום שריר וקיים</w:t>
      </w:r>
      <w:r>
        <w:rPr>
          <w:rStyle w:val="a7"/>
          <w:rFonts w:cs="Arial"/>
          <w:rtl/>
        </w:rPr>
        <w:footnoteReference w:id="765"/>
      </w:r>
      <w:r w:rsidRPr="006E2372">
        <w:rPr>
          <w:rFonts w:cs="Arial"/>
          <w:rtl/>
        </w:rPr>
        <w:t xml:space="preserve"> </w:t>
      </w:r>
      <w:r>
        <w:rPr>
          <w:rFonts w:cs="Arial" w:hint="cs"/>
          <w:sz w:val="16"/>
          <w:szCs w:val="16"/>
          <w:rtl/>
        </w:rPr>
        <w:t>(ל' התוס')</w:t>
      </w:r>
      <w:r>
        <w:rPr>
          <w:rFonts w:cs="Arial" w:hint="cs"/>
          <w:rtl/>
        </w:rPr>
        <w:t>.</w:t>
      </w:r>
    </w:p>
    <w:p w14:paraId="64E23E56" w14:textId="2AA4CC0C" w:rsidR="00FA2119" w:rsidRDefault="00FA2119" w:rsidP="00FA2119">
      <w:pPr>
        <w:pStyle w:val="ab"/>
        <w:numPr>
          <w:ilvl w:val="0"/>
          <w:numId w:val="15"/>
        </w:numPr>
        <w:rPr>
          <w:rFonts w:cs="Arial"/>
        </w:rPr>
      </w:pPr>
      <w:r>
        <w:rPr>
          <w:rFonts w:cs="Arial" w:hint="cs"/>
          <w:rtl/>
        </w:rPr>
        <w:t>ר"ת</w:t>
      </w:r>
      <w:r w:rsidRPr="00BE7802">
        <w:rPr>
          <w:rStyle w:val="a7"/>
          <w:rFonts w:cs="Arial"/>
          <w:rtl/>
        </w:rPr>
        <w:footnoteReference w:id="766"/>
      </w:r>
      <w:r>
        <w:rPr>
          <w:rFonts w:cs="Arial" w:hint="cs"/>
          <w:sz w:val="16"/>
          <w:szCs w:val="16"/>
          <w:rtl/>
        </w:rPr>
        <w:t xml:space="preserve"> </w:t>
      </w:r>
      <w:r w:rsidRPr="00496F83">
        <w:rPr>
          <w:rFonts w:cs="Arial"/>
          <w:rtl/>
        </w:rPr>
        <w:t>מרדכי</w:t>
      </w:r>
      <w:r>
        <w:rPr>
          <w:rStyle w:val="a7"/>
          <w:rFonts w:cs="Arial"/>
          <w:rtl/>
        </w:rPr>
        <w:footnoteReference w:id="767"/>
      </w:r>
      <w:r w:rsidRPr="00496F83">
        <w:rPr>
          <w:rFonts w:cs="Arial"/>
          <w:rtl/>
        </w:rPr>
        <w:t xml:space="preserve"> </w:t>
      </w:r>
      <w:r w:rsidRPr="00230312">
        <w:rPr>
          <w:rFonts w:cs="Arial"/>
          <w:sz w:val="16"/>
          <w:szCs w:val="16"/>
          <w:rtl/>
        </w:rPr>
        <w:t>(סי' תנ</w:t>
      </w:r>
      <w:r w:rsidRPr="00230312">
        <w:rPr>
          <w:rFonts w:cs="Arial" w:hint="cs"/>
          <w:sz w:val="16"/>
          <w:szCs w:val="16"/>
          <w:rtl/>
        </w:rPr>
        <w:t>ד</w:t>
      </w:r>
      <w:r w:rsidRPr="00230312">
        <w:rPr>
          <w:rFonts w:cs="Arial"/>
          <w:sz w:val="16"/>
          <w:szCs w:val="16"/>
          <w:rtl/>
        </w:rPr>
        <w:t>)</w:t>
      </w:r>
      <w:r>
        <w:rPr>
          <w:rFonts w:cs="Arial" w:hint="cs"/>
          <w:rtl/>
        </w:rPr>
        <w:t xml:space="preserve"> טור ור"ן</w:t>
      </w:r>
      <w:r>
        <w:rPr>
          <w:rFonts w:cs="Arial" w:hint="cs"/>
          <w:sz w:val="16"/>
          <w:szCs w:val="16"/>
          <w:rtl/>
        </w:rPr>
        <w:t xml:space="preserve"> (גיטין ד.)</w:t>
      </w:r>
      <w:r w:rsidR="00A82951">
        <w:rPr>
          <w:rFonts w:cs="Arial" w:hint="cs"/>
          <w:rtl/>
        </w:rPr>
        <w:t>-</w:t>
      </w:r>
      <w:r>
        <w:rPr>
          <w:rFonts w:cs="Arial" w:hint="cs"/>
          <w:rtl/>
        </w:rPr>
        <w:t xml:space="preserve"> </w:t>
      </w:r>
      <w:r w:rsidRPr="00967D9E">
        <w:rPr>
          <w:rFonts w:cs="Arial"/>
          <w:rtl/>
        </w:rPr>
        <w:t>וצריך שלא יהא בשיטה אחרונה לא ספר תרוכין</w:t>
      </w:r>
      <w:r>
        <w:rPr>
          <w:rFonts w:cs="Arial" w:hint="cs"/>
          <w:rtl/>
        </w:rPr>
        <w:t>,</w:t>
      </w:r>
      <w:r w:rsidRPr="00967D9E">
        <w:rPr>
          <w:rFonts w:cs="Arial"/>
          <w:rtl/>
        </w:rPr>
        <w:t xml:space="preserve"> ולא גט פטורין</w:t>
      </w:r>
      <w:r>
        <w:rPr>
          <w:rFonts w:cs="Arial" w:hint="cs"/>
          <w:rtl/>
        </w:rPr>
        <w:t>,</w:t>
      </w:r>
      <w:r w:rsidRPr="00967D9E">
        <w:rPr>
          <w:rFonts w:cs="Arial"/>
          <w:rtl/>
        </w:rPr>
        <w:t xml:space="preserve"> ולא אגרת שבוקין</w:t>
      </w:r>
      <w:r>
        <w:rPr>
          <w:rFonts w:cs="Arial" w:hint="cs"/>
          <w:rtl/>
        </w:rPr>
        <w:t>,</w:t>
      </w:r>
      <w:r w:rsidRPr="00967D9E">
        <w:rPr>
          <w:rFonts w:cs="Arial"/>
          <w:rtl/>
        </w:rPr>
        <w:t xml:space="preserve"> אלא כדת משה וישראל לבד</w:t>
      </w:r>
      <w:r>
        <w:rPr>
          <w:rStyle w:val="a7"/>
          <w:rFonts w:cs="Arial"/>
          <w:rtl/>
        </w:rPr>
        <w:footnoteReference w:id="768"/>
      </w:r>
      <w:r>
        <w:rPr>
          <w:rFonts w:cs="Arial" w:hint="cs"/>
          <w:sz w:val="16"/>
          <w:szCs w:val="16"/>
          <w:rtl/>
        </w:rPr>
        <w:t xml:space="preserve"> (ל' הטור)</w:t>
      </w:r>
      <w:r>
        <w:rPr>
          <w:rStyle w:val="a7"/>
          <w:rFonts w:cs="Arial"/>
          <w:rtl/>
        </w:rPr>
        <w:footnoteReference w:id="769"/>
      </w:r>
      <w:r>
        <w:rPr>
          <w:rFonts w:cs="Arial" w:hint="cs"/>
          <w:rtl/>
        </w:rPr>
        <w:t>.</w:t>
      </w:r>
      <w:r w:rsidRPr="00967D9E">
        <w:rPr>
          <w:rFonts w:cs="Arial"/>
          <w:rtl/>
        </w:rPr>
        <w:t xml:space="preserve"> </w:t>
      </w:r>
      <w:r w:rsidRPr="00720C95">
        <w:rPr>
          <w:rFonts w:cs="Arial" w:hint="cs"/>
          <w:color w:val="E36C0A" w:themeColor="accent6" w:themeShade="BF"/>
          <w:rtl/>
        </w:rPr>
        <w:t>(וכ"פ בשו"ע</w:t>
      </w:r>
      <w:r w:rsidRPr="00AC6271">
        <w:rPr>
          <w:rStyle w:val="a7"/>
          <w:rFonts w:cs="Arial"/>
          <w:color w:val="000000" w:themeColor="text1"/>
          <w:rtl/>
        </w:rPr>
        <w:footnoteReference w:id="770"/>
      </w:r>
      <w:r w:rsidRPr="00720C95">
        <w:rPr>
          <w:rFonts w:cs="Arial" w:hint="cs"/>
          <w:color w:val="E36C0A" w:themeColor="accent6" w:themeShade="BF"/>
          <w:rtl/>
        </w:rPr>
        <w:t>)</w:t>
      </w:r>
    </w:p>
    <w:p w14:paraId="567E4F85" w14:textId="46B95889" w:rsidR="00FA2119" w:rsidRPr="00720C95" w:rsidRDefault="00FA2119" w:rsidP="00FA2119">
      <w:pPr>
        <w:pStyle w:val="ab"/>
        <w:numPr>
          <w:ilvl w:val="0"/>
          <w:numId w:val="15"/>
        </w:numPr>
        <w:rPr>
          <w:rFonts w:cs="Arial"/>
        </w:rPr>
      </w:pPr>
      <w:r>
        <w:rPr>
          <w:rFonts w:cs="Arial" w:hint="cs"/>
          <w:rtl/>
        </w:rPr>
        <w:t xml:space="preserve">סמ"ג </w:t>
      </w:r>
      <w:r>
        <w:rPr>
          <w:rFonts w:cs="Arial" w:hint="cs"/>
          <w:sz w:val="16"/>
          <w:szCs w:val="16"/>
          <w:rtl/>
        </w:rPr>
        <w:t>(עשין נ)</w:t>
      </w:r>
      <w:r w:rsidR="00A82951">
        <w:rPr>
          <w:rFonts w:cs="Arial" w:hint="cs"/>
          <w:rtl/>
        </w:rPr>
        <w:t>-</w:t>
      </w:r>
      <w:r>
        <w:rPr>
          <w:rFonts w:cs="Arial" w:hint="cs"/>
          <w:rtl/>
        </w:rPr>
        <w:t xml:space="preserve"> </w:t>
      </w:r>
      <w:r w:rsidRPr="00BE7802">
        <w:rPr>
          <w:rFonts w:cs="Arial"/>
          <w:rtl/>
        </w:rPr>
        <w:t>וסוף הדבר נכון לכתוב ספר תירוכין קודם שיטה אחרונה, וסיום הגט ואגרת שבוקין וגט פטורין כדת משה וישראל</w:t>
      </w:r>
      <w:r w:rsidR="00A24092">
        <w:rPr>
          <w:rFonts w:cs="Arial" w:hint="cs"/>
          <w:rtl/>
        </w:rPr>
        <w:t>,</w:t>
      </w:r>
      <w:r w:rsidRPr="00BE7802">
        <w:rPr>
          <w:rFonts w:cs="Arial"/>
          <w:rtl/>
        </w:rPr>
        <w:t xml:space="preserve"> דליהוי כמו חזרה מעניינו של שטר בשיטה אחרונה</w:t>
      </w:r>
      <w:r>
        <w:rPr>
          <w:rFonts w:cs="Arial" w:hint="cs"/>
          <w:rtl/>
        </w:rPr>
        <w:t>.</w:t>
      </w:r>
    </w:p>
    <w:p w14:paraId="46BD78D5" w14:textId="573678E2" w:rsidR="00FA2119" w:rsidRPr="00842923" w:rsidRDefault="00FA2119" w:rsidP="00FA2119">
      <w:pPr>
        <w:ind w:left="360"/>
        <w:rPr>
          <w:rFonts w:cs="Arial"/>
          <w:u w:val="dotted"/>
        </w:rPr>
      </w:pPr>
      <w:r w:rsidRPr="00842923">
        <w:rPr>
          <w:rFonts w:cs="Arial" w:hint="cs"/>
          <w:u w:val="dotted"/>
          <w:rtl/>
        </w:rPr>
        <w:t xml:space="preserve">לר"ת וסיעתו </w:t>
      </w:r>
      <w:r w:rsidR="00A82951">
        <w:rPr>
          <w:rFonts w:cs="Arial" w:hint="cs"/>
          <w:u w:val="dotted"/>
          <w:rtl/>
        </w:rPr>
        <w:t>-</w:t>
      </w:r>
      <w:r w:rsidRPr="00842923">
        <w:rPr>
          <w:rFonts w:cs="Arial" w:hint="cs"/>
          <w:u w:val="dotted"/>
          <w:rtl/>
        </w:rPr>
        <w:t xml:space="preserve"> כיצד יכתבו 'כדת משה ישראל' לבד בשיטה אחרונה</w:t>
      </w:r>
      <w:r>
        <w:rPr>
          <w:rFonts w:cs="Arial" w:hint="cs"/>
          <w:u w:val="dotted"/>
          <w:rtl/>
        </w:rPr>
        <w:t>,</w:t>
      </w:r>
      <w:r w:rsidRPr="00842923">
        <w:rPr>
          <w:rFonts w:cs="Arial" w:hint="cs"/>
          <w:u w:val="dotted"/>
          <w:rtl/>
        </w:rPr>
        <w:t xml:space="preserve"> </w:t>
      </w:r>
      <w:r>
        <w:rPr>
          <w:rFonts w:cs="Arial" w:hint="cs"/>
          <w:u w:val="dotted"/>
          <w:rtl/>
        </w:rPr>
        <w:t>ו</w:t>
      </w:r>
      <w:r w:rsidRPr="00842923">
        <w:rPr>
          <w:rFonts w:cs="Arial" w:hint="cs"/>
          <w:u w:val="dotted"/>
          <w:rtl/>
        </w:rPr>
        <w:t xml:space="preserve">הרי </w:t>
      </w:r>
      <w:r w:rsidR="00A24092">
        <w:rPr>
          <w:rFonts w:cs="Arial" w:hint="cs"/>
          <w:u w:val="dotted"/>
          <w:rtl/>
        </w:rPr>
        <w:t>ת</w:t>
      </w:r>
      <w:r w:rsidRPr="00842923">
        <w:rPr>
          <w:rFonts w:cs="Arial" w:hint="cs"/>
          <w:u w:val="dotted"/>
          <w:rtl/>
        </w:rPr>
        <w:t>שאר חצי שיטה ריקה:</w:t>
      </w:r>
    </w:p>
    <w:p w14:paraId="6DD16336" w14:textId="0C65A127" w:rsidR="00FA2119" w:rsidRDefault="00FA2119" w:rsidP="00FA2119">
      <w:pPr>
        <w:pStyle w:val="ab"/>
        <w:numPr>
          <w:ilvl w:val="0"/>
          <w:numId w:val="15"/>
        </w:numPr>
        <w:rPr>
          <w:rFonts w:cs="Arial"/>
        </w:rPr>
      </w:pPr>
      <w:r>
        <w:rPr>
          <w:rFonts w:cs="Arial" w:hint="cs"/>
          <w:rtl/>
        </w:rPr>
        <w:t>טור</w:t>
      </w:r>
      <w:r w:rsidR="00A82951">
        <w:rPr>
          <w:rFonts w:cs="Arial" w:hint="cs"/>
          <w:rtl/>
        </w:rPr>
        <w:t>-</w:t>
      </w:r>
      <w:r>
        <w:rPr>
          <w:rFonts w:cs="Arial" w:hint="cs"/>
          <w:rtl/>
        </w:rPr>
        <w:t xml:space="preserve"> </w:t>
      </w:r>
      <w:r w:rsidRPr="00967D9E">
        <w:rPr>
          <w:rFonts w:cs="Arial"/>
          <w:rtl/>
        </w:rPr>
        <w:t>ויעשה ממנו אותיות ארוכות כדי שלא יסיים באמצע השיטה</w:t>
      </w:r>
      <w:r>
        <w:rPr>
          <w:rFonts w:cs="Arial" w:hint="cs"/>
          <w:rtl/>
        </w:rPr>
        <w:t>,</w:t>
      </w:r>
      <w:r w:rsidRPr="00967D9E">
        <w:rPr>
          <w:rFonts w:cs="Arial"/>
          <w:rtl/>
        </w:rPr>
        <w:t xml:space="preserve"> דאיכא למיחש אם יסיים באמצע השיטה שמא יחתמו העדים מיד בחצי השיטה הנשאר ואין ראוי לעשות כן</w:t>
      </w:r>
      <w:r>
        <w:rPr>
          <w:rStyle w:val="a7"/>
          <w:rFonts w:cs="Arial"/>
          <w:rtl/>
        </w:rPr>
        <w:footnoteReference w:id="771"/>
      </w:r>
      <w:r>
        <w:rPr>
          <w:rFonts w:cs="Arial" w:hint="cs"/>
          <w:sz w:val="16"/>
          <w:szCs w:val="16"/>
          <w:rtl/>
        </w:rPr>
        <w:t xml:space="preserve"> (ל' הטור)</w:t>
      </w:r>
      <w:r w:rsidRPr="00BE7802">
        <w:rPr>
          <w:rFonts w:cs="Arial"/>
          <w:rtl/>
        </w:rPr>
        <w:t xml:space="preserve">. </w:t>
      </w:r>
      <w:r w:rsidRPr="00720C95">
        <w:rPr>
          <w:rFonts w:cs="Arial" w:hint="cs"/>
          <w:color w:val="E36C0A" w:themeColor="accent6" w:themeShade="BF"/>
          <w:rtl/>
        </w:rPr>
        <w:t>(וכ"פ בשו"ע)</w:t>
      </w:r>
    </w:p>
    <w:p w14:paraId="14D7F4AC" w14:textId="340444EF" w:rsidR="00FA2119" w:rsidRDefault="00FA2119" w:rsidP="00FA2119">
      <w:pPr>
        <w:pStyle w:val="ab"/>
        <w:numPr>
          <w:ilvl w:val="0"/>
          <w:numId w:val="15"/>
        </w:numPr>
        <w:rPr>
          <w:rFonts w:cs="Arial"/>
        </w:rPr>
      </w:pPr>
      <w:r>
        <w:rPr>
          <w:rFonts w:cs="Arial" w:hint="cs"/>
          <w:rtl/>
        </w:rPr>
        <w:t xml:space="preserve">סמ"ג </w:t>
      </w:r>
      <w:r>
        <w:rPr>
          <w:rFonts w:cs="Arial" w:hint="cs"/>
          <w:sz w:val="16"/>
          <w:szCs w:val="16"/>
          <w:rtl/>
        </w:rPr>
        <w:t>(עשין נ)</w:t>
      </w:r>
      <w:r w:rsidR="00A82951">
        <w:rPr>
          <w:rFonts w:cs="Arial" w:hint="cs"/>
          <w:rtl/>
        </w:rPr>
        <w:t>-</w:t>
      </w:r>
      <w:r>
        <w:rPr>
          <w:rFonts w:cs="Arial" w:hint="cs"/>
          <w:rtl/>
        </w:rPr>
        <w:t xml:space="preserve"> </w:t>
      </w:r>
      <w:r w:rsidRPr="00496F83">
        <w:rPr>
          <w:rFonts w:cs="Arial"/>
          <w:rtl/>
        </w:rPr>
        <w:t>ולא יסיים שיטה אחרונה באמצע שיטה אלא ימלאנה באותיות ארוכות פן יחתמו העדים בחצי השיטה שנשארת חלק ושוב לא נלמד משיטה שנייה שעל החתימה</w:t>
      </w:r>
      <w:r w:rsidR="00A24092">
        <w:rPr>
          <w:rFonts w:cs="Arial" w:hint="cs"/>
          <w:rtl/>
        </w:rPr>
        <w:t>,</w:t>
      </w:r>
      <w:r w:rsidRPr="00496F83">
        <w:rPr>
          <w:rFonts w:cs="Arial"/>
          <w:rtl/>
        </w:rPr>
        <w:t xml:space="preserve"> שמאחר שהיא סמוכה לעדים יש לחוש </w:t>
      </w:r>
      <w:r w:rsidRPr="00496F83">
        <w:rPr>
          <w:rFonts w:cs="Arial"/>
          <w:rtl/>
        </w:rPr>
        <w:lastRenderedPageBreak/>
        <w:t>שהוסיפה בעל השטר בין העדים לכתב ונמצא שביטלת ודין דיהוי ליכי וכו' דכתוב באותה שיטה</w:t>
      </w:r>
      <w:r>
        <w:rPr>
          <w:rFonts w:cs="Arial" w:hint="cs"/>
          <w:rtl/>
        </w:rPr>
        <w:t>.</w:t>
      </w:r>
      <w:r w:rsidRPr="00496F83">
        <w:rPr>
          <w:rFonts w:cs="Arial"/>
          <w:rtl/>
        </w:rPr>
        <w:t xml:space="preserve"> וגם אין תקנה להחתים העדים תחת הכתב של חצי השיטה האחרונה שיש לחוש שמא תמלא ממה שתרצה חצי השיטה החלק ותוסיף עוד שיטה שלימה בין העדים לכתב וילמדו מחצי שיטה שהוסיפה שהוא קודם האחרונה וכו'</w:t>
      </w:r>
      <w:r w:rsidR="00E22A25">
        <w:rPr>
          <w:rFonts w:cs="Arial" w:hint="cs"/>
          <w:rtl/>
        </w:rPr>
        <w:t>.</w:t>
      </w:r>
      <w:r w:rsidRPr="00496F83">
        <w:rPr>
          <w:rFonts w:cs="Arial"/>
          <w:rtl/>
        </w:rPr>
        <w:t xml:space="preserve"> ורבינו שמשון (הובא במהר"י מינץ סי' קיט) כתב עכשיו שאנו נוהגים לכתוב שריר וקיים בכל השטרות אין לחוש אם מסיים בחצי שיטה</w:t>
      </w:r>
      <w:r w:rsidR="00E22A25">
        <w:rPr>
          <w:rFonts w:cs="Arial" w:hint="cs"/>
          <w:rtl/>
        </w:rPr>
        <w:t>,</w:t>
      </w:r>
      <w:r w:rsidRPr="00496F83">
        <w:rPr>
          <w:rFonts w:cs="Arial"/>
          <w:rtl/>
        </w:rPr>
        <w:t xml:space="preserve"> אבל בגיטין נוהג רבי לכתוב כדת משה וישראל בסוף השיטה כי שמא אין חשוב כשריר וקיים</w:t>
      </w:r>
      <w:r>
        <w:rPr>
          <w:rFonts w:cs="Arial" w:hint="cs"/>
          <w:rtl/>
        </w:rPr>
        <w:t>.</w:t>
      </w:r>
    </w:p>
    <w:p w14:paraId="3BD22D3F" w14:textId="23BBA82F" w:rsidR="00FA2119" w:rsidRPr="009A09AB" w:rsidRDefault="00FA2119" w:rsidP="00FA2119">
      <w:pPr>
        <w:ind w:left="360"/>
        <w:rPr>
          <w:rFonts w:cs="Arial"/>
          <w:u w:val="dotted"/>
        </w:rPr>
      </w:pPr>
      <w:r w:rsidRPr="009A09AB">
        <w:rPr>
          <w:rFonts w:cs="Arial" w:hint="cs"/>
          <w:u w:val="dotted"/>
          <w:rtl/>
        </w:rPr>
        <w:t xml:space="preserve">לר"ת וסיעתו </w:t>
      </w:r>
      <w:r w:rsidR="00A82951">
        <w:rPr>
          <w:rFonts w:cs="Arial"/>
          <w:u w:val="dotted"/>
          <w:rtl/>
        </w:rPr>
        <w:t>-</w:t>
      </w:r>
      <w:r w:rsidRPr="009A09AB">
        <w:rPr>
          <w:rFonts w:cs="Arial" w:hint="cs"/>
          <w:u w:val="dotted"/>
          <w:rtl/>
        </w:rPr>
        <w:t xml:space="preserve"> מה הדין אם כתב בשיטה אחרונה '</w:t>
      </w:r>
      <w:r w:rsidRPr="009A09AB">
        <w:rPr>
          <w:rFonts w:cs="Arial"/>
          <w:u w:val="dotted"/>
          <w:rtl/>
        </w:rPr>
        <w:t>ספר תרוכין ואגרת שבוקין כדת משה וישראל</w:t>
      </w:r>
      <w:r w:rsidRPr="009A09AB">
        <w:rPr>
          <w:rFonts w:cs="Arial" w:hint="cs"/>
          <w:u w:val="dotted"/>
          <w:rtl/>
        </w:rPr>
        <w:t>':</w:t>
      </w:r>
    </w:p>
    <w:p w14:paraId="091E9DA9" w14:textId="6A42239B" w:rsidR="00FA2119" w:rsidRPr="005056F5" w:rsidRDefault="00FA2119" w:rsidP="00FA2119">
      <w:pPr>
        <w:pStyle w:val="ab"/>
        <w:numPr>
          <w:ilvl w:val="0"/>
          <w:numId w:val="15"/>
        </w:numPr>
        <w:rPr>
          <w:rFonts w:cs="Arial"/>
        </w:rPr>
      </w:pPr>
      <w:r w:rsidRPr="009A09AB">
        <w:rPr>
          <w:rFonts w:cs="Arial"/>
          <w:rtl/>
        </w:rPr>
        <w:t xml:space="preserve">רשב"א </w:t>
      </w:r>
      <w:r w:rsidRPr="009A09AB">
        <w:rPr>
          <w:rFonts w:cs="Arial"/>
          <w:sz w:val="16"/>
          <w:szCs w:val="16"/>
          <w:rtl/>
        </w:rPr>
        <w:t>(ח"א סי' תקצח)</w:t>
      </w:r>
      <w:r w:rsidR="00A82951">
        <w:rPr>
          <w:rFonts w:cs="Arial" w:hint="cs"/>
          <w:rtl/>
        </w:rPr>
        <w:t>-</w:t>
      </w:r>
      <w:r>
        <w:rPr>
          <w:rFonts w:cs="Arial" w:hint="cs"/>
          <w:rtl/>
        </w:rPr>
        <w:t xml:space="preserve"> </w:t>
      </w:r>
      <w:r w:rsidRPr="009A09AB">
        <w:rPr>
          <w:rFonts w:cs="Arial"/>
          <w:rtl/>
        </w:rPr>
        <w:t>וכן אם כתוב בשיטה אחרונה ספר תירוכין ואגרת שיבוקין</w:t>
      </w:r>
      <w:r>
        <w:rPr>
          <w:rFonts w:cs="Arial" w:hint="cs"/>
          <w:rtl/>
        </w:rPr>
        <w:t>,</w:t>
      </w:r>
      <w:r w:rsidRPr="009A09AB">
        <w:rPr>
          <w:rFonts w:cs="Arial"/>
          <w:rtl/>
        </w:rPr>
        <w:t xml:space="preserve"> אע</w:t>
      </w:r>
      <w:r>
        <w:rPr>
          <w:rFonts w:cs="Arial" w:hint="cs"/>
          <w:rtl/>
        </w:rPr>
        <w:t>"</w:t>
      </w:r>
      <w:r w:rsidRPr="009A09AB">
        <w:rPr>
          <w:rFonts w:cs="Arial"/>
          <w:rtl/>
        </w:rPr>
        <w:t xml:space="preserve">פ שאין למדין משיטה אחרונה </w:t>
      </w:r>
      <w:r w:rsidR="00A82951">
        <w:rPr>
          <w:rFonts w:cs="Arial"/>
          <w:rtl/>
        </w:rPr>
        <w:t>-</w:t>
      </w:r>
      <w:r>
        <w:rPr>
          <w:rFonts w:cs="Arial" w:hint="cs"/>
          <w:rtl/>
        </w:rPr>
        <w:t xml:space="preserve"> </w:t>
      </w:r>
      <w:r w:rsidRPr="009A09AB">
        <w:rPr>
          <w:rFonts w:cs="Arial"/>
          <w:rtl/>
        </w:rPr>
        <w:t>כשר</w:t>
      </w:r>
      <w:r>
        <w:rPr>
          <w:rStyle w:val="a7"/>
          <w:rFonts w:cs="Arial"/>
          <w:rtl/>
        </w:rPr>
        <w:footnoteReference w:id="772"/>
      </w:r>
      <w:r>
        <w:rPr>
          <w:rFonts w:cs="Arial" w:hint="cs"/>
          <w:rtl/>
        </w:rPr>
        <w:t>,</w:t>
      </w:r>
      <w:r w:rsidRPr="009A09AB">
        <w:rPr>
          <w:rFonts w:cs="Arial"/>
          <w:rtl/>
        </w:rPr>
        <w:t xml:space="preserve"> כל שכתב למעלה </w:t>
      </w:r>
      <w:r>
        <w:rPr>
          <w:rFonts w:cs="Arial" w:hint="cs"/>
          <w:rtl/>
        </w:rPr>
        <w:t>'</w:t>
      </w:r>
      <w:r w:rsidRPr="009A09AB">
        <w:rPr>
          <w:rFonts w:cs="Arial"/>
          <w:rtl/>
        </w:rPr>
        <w:t>ודין דיהוי ליכי מנאי</w:t>
      </w:r>
      <w:r>
        <w:rPr>
          <w:rFonts w:cs="Arial" w:hint="cs"/>
          <w:rtl/>
        </w:rPr>
        <w:t>'</w:t>
      </w:r>
      <w:r w:rsidR="00E22A25">
        <w:rPr>
          <w:rFonts w:cs="Arial" w:hint="cs"/>
          <w:rtl/>
        </w:rPr>
        <w:t xml:space="preserve"> -</w:t>
      </w:r>
      <w:r w:rsidRPr="009A09AB">
        <w:rPr>
          <w:rFonts w:cs="Arial"/>
          <w:rtl/>
        </w:rPr>
        <w:t xml:space="preserve"> די בכך. דבזה נסתפקו בגמרא </w:t>
      </w:r>
      <w:r w:rsidRPr="009A09AB">
        <w:rPr>
          <w:rFonts w:cs="Arial"/>
          <w:sz w:val="16"/>
          <w:szCs w:val="16"/>
          <w:rtl/>
        </w:rPr>
        <w:t>(גיטין פה: ועיי"ש בתוד"ה אף על גב)</w:t>
      </w:r>
      <w:r>
        <w:rPr>
          <w:rFonts w:cs="Arial" w:hint="cs"/>
          <w:rtl/>
        </w:rPr>
        <w:t xml:space="preserve"> </w:t>
      </w:r>
      <w:r w:rsidRPr="009A09AB">
        <w:rPr>
          <w:rFonts w:cs="Arial"/>
          <w:rtl/>
        </w:rPr>
        <w:t>איבעיא מנאי</w:t>
      </w:r>
      <w:r>
        <w:rPr>
          <w:rFonts w:cs="Arial" w:hint="cs"/>
          <w:rtl/>
        </w:rPr>
        <w:t>,</w:t>
      </w:r>
      <w:r w:rsidRPr="009A09AB">
        <w:rPr>
          <w:rFonts w:cs="Arial"/>
          <w:rtl/>
        </w:rPr>
        <w:t xml:space="preserve"> אבל בספר תירוכין לא אשכחן.</w:t>
      </w:r>
      <w:r>
        <w:rPr>
          <w:rFonts w:cs="Arial" w:hint="cs"/>
          <w:rtl/>
        </w:rPr>
        <w:t>..</w:t>
      </w:r>
      <w:r w:rsidRPr="009A09AB">
        <w:rPr>
          <w:rtl/>
        </w:rPr>
        <w:t xml:space="preserve"> </w:t>
      </w:r>
      <w:r w:rsidRPr="009A09AB">
        <w:rPr>
          <w:rFonts w:cs="Arial"/>
          <w:rtl/>
        </w:rPr>
        <w:t xml:space="preserve">וצריך לכתוב </w:t>
      </w:r>
      <w:r>
        <w:rPr>
          <w:rFonts w:cs="Arial" w:hint="cs"/>
          <w:rtl/>
        </w:rPr>
        <w:t>'</w:t>
      </w:r>
      <w:r w:rsidRPr="009A09AB">
        <w:rPr>
          <w:rFonts w:cs="Arial"/>
          <w:rtl/>
        </w:rPr>
        <w:t>כדת משה וישראל</w:t>
      </w:r>
      <w:r>
        <w:rPr>
          <w:rFonts w:cs="Arial" w:hint="cs"/>
          <w:rtl/>
        </w:rPr>
        <w:t>'</w:t>
      </w:r>
      <w:r w:rsidRPr="009A09AB">
        <w:rPr>
          <w:rFonts w:cs="Arial"/>
          <w:rtl/>
        </w:rPr>
        <w:t xml:space="preserve"> והעדים בשיטה אחרונה כדי שלא יכתוב </w:t>
      </w:r>
      <w:r>
        <w:rPr>
          <w:rFonts w:cs="Arial" w:hint="cs"/>
          <w:rtl/>
        </w:rPr>
        <w:t>'</w:t>
      </w:r>
      <w:r w:rsidRPr="009A09AB">
        <w:rPr>
          <w:rFonts w:cs="Arial"/>
          <w:rtl/>
        </w:rPr>
        <w:t>ודין דיהוי ליכי מנאי</w:t>
      </w:r>
      <w:r>
        <w:rPr>
          <w:rFonts w:cs="Arial" w:hint="cs"/>
          <w:rtl/>
        </w:rPr>
        <w:t>'</w:t>
      </w:r>
      <w:r w:rsidRPr="009A09AB">
        <w:rPr>
          <w:rFonts w:cs="Arial"/>
          <w:rtl/>
        </w:rPr>
        <w:t xml:space="preserve"> בשיטה אחרונה</w:t>
      </w:r>
      <w:r>
        <w:rPr>
          <w:rFonts w:cs="Arial" w:hint="cs"/>
          <w:rtl/>
        </w:rPr>
        <w:t>.</w:t>
      </w:r>
      <w:r w:rsidRPr="009A09AB">
        <w:rPr>
          <w:rFonts w:cs="Arial"/>
          <w:rtl/>
        </w:rPr>
        <w:t xml:space="preserve"> ובדיעבד </w:t>
      </w:r>
      <w:r>
        <w:rPr>
          <w:rFonts w:cs="Arial" w:hint="cs"/>
          <w:sz w:val="16"/>
          <w:szCs w:val="16"/>
          <w:rtl/>
        </w:rPr>
        <w:t>{אם כתב בנוסף ל'כדת משה וישראל' גם 'ספר תירוכין' וכו'</w:t>
      </w:r>
      <w:r w:rsidR="00A82951">
        <w:rPr>
          <w:rFonts w:cs="Arial" w:hint="cs"/>
          <w:sz w:val="16"/>
          <w:szCs w:val="16"/>
          <w:rtl/>
        </w:rPr>
        <w:t>-</w:t>
      </w:r>
      <w:r>
        <w:rPr>
          <w:rFonts w:cs="Arial" w:hint="cs"/>
          <w:sz w:val="16"/>
          <w:szCs w:val="16"/>
          <w:rtl/>
        </w:rPr>
        <w:t xml:space="preserve">} </w:t>
      </w:r>
      <w:r w:rsidRPr="009A09AB">
        <w:rPr>
          <w:rFonts w:cs="Arial"/>
          <w:rtl/>
        </w:rPr>
        <w:t xml:space="preserve">כשר. </w:t>
      </w:r>
    </w:p>
    <w:p w14:paraId="769312B7" w14:textId="78169250" w:rsidR="00FA2119" w:rsidRPr="00603D15" w:rsidRDefault="00FA2119" w:rsidP="00FA2119">
      <w:pPr>
        <w:ind w:left="360"/>
        <w:rPr>
          <w:rFonts w:cs="Arial"/>
        </w:rPr>
      </w:pPr>
      <w:r w:rsidRPr="009A09AB">
        <w:rPr>
          <w:rFonts w:cs="Arial" w:hint="cs"/>
          <w:u w:val="dotted"/>
          <w:rtl/>
        </w:rPr>
        <w:t xml:space="preserve">לר"ת וסיעתו </w:t>
      </w:r>
      <w:r w:rsidR="00A82951">
        <w:rPr>
          <w:rFonts w:cs="Arial"/>
          <w:u w:val="dotted"/>
          <w:rtl/>
        </w:rPr>
        <w:t>-</w:t>
      </w:r>
      <w:r w:rsidRPr="009A09AB">
        <w:rPr>
          <w:rFonts w:cs="Arial" w:hint="cs"/>
          <w:u w:val="dotted"/>
          <w:rtl/>
        </w:rPr>
        <w:t xml:space="preserve"> מה הדין אם כתב בשיטה אחרונה</w:t>
      </w:r>
      <w:r>
        <w:rPr>
          <w:rFonts w:cs="Arial" w:hint="cs"/>
          <w:u w:val="dotted"/>
          <w:rtl/>
        </w:rPr>
        <w:t xml:space="preserve"> </w:t>
      </w:r>
      <w:r w:rsidRPr="009A09AB">
        <w:rPr>
          <w:rFonts w:cs="Arial"/>
          <w:u w:val="dotted"/>
          <w:rtl/>
        </w:rPr>
        <w:t>ספר תרוכין</w:t>
      </w:r>
      <w:r>
        <w:rPr>
          <w:rFonts w:cs="Arial" w:hint="cs"/>
          <w:u w:val="dotted"/>
          <w:rtl/>
        </w:rPr>
        <w:t xml:space="preserve"> וכו' למאן דאמר </w:t>
      </w:r>
      <w:r w:rsidR="00E22A25">
        <w:rPr>
          <w:rFonts w:cs="Arial" w:hint="cs"/>
          <w:u w:val="dotted"/>
          <w:rtl/>
        </w:rPr>
        <w:t>ש</w:t>
      </w:r>
      <w:r w:rsidR="00A82951">
        <w:rPr>
          <w:rFonts w:cs="Arial" w:hint="cs"/>
          <w:u w:val="dotted"/>
          <w:rtl/>
        </w:rPr>
        <w:t>-</w:t>
      </w:r>
      <w:r>
        <w:rPr>
          <w:rFonts w:cs="Arial" w:hint="cs"/>
          <w:u w:val="dotted"/>
          <w:rtl/>
        </w:rPr>
        <w:t>'ודן...' הוא מגופו של גט</w:t>
      </w:r>
      <w:r w:rsidRPr="009A09AB">
        <w:rPr>
          <w:rFonts w:cs="Arial" w:hint="cs"/>
          <w:u w:val="dotted"/>
          <w:rtl/>
        </w:rPr>
        <w:t>:</w:t>
      </w:r>
      <w:r w:rsidRPr="00603D15">
        <w:rPr>
          <w:rFonts w:cs="Arial" w:hint="cs"/>
          <w:rtl/>
        </w:rPr>
        <w:t xml:space="preserve"> </w:t>
      </w:r>
    </w:p>
    <w:p w14:paraId="0341EAC6" w14:textId="37980715" w:rsidR="00FA2119" w:rsidRDefault="00E22A25" w:rsidP="00FA2119">
      <w:pPr>
        <w:pStyle w:val="ab"/>
        <w:numPr>
          <w:ilvl w:val="0"/>
          <w:numId w:val="15"/>
        </w:numPr>
        <w:rPr>
          <w:rFonts w:cs="Arial"/>
        </w:rPr>
      </w:pPr>
      <w:r>
        <w:rPr>
          <w:rFonts w:cs="Arial" w:hint="cs"/>
          <w:rtl/>
        </w:rPr>
        <w:t xml:space="preserve">הג"א </w:t>
      </w:r>
      <w:r>
        <w:rPr>
          <w:rFonts w:cs="Arial" w:hint="cs"/>
          <w:sz w:val="16"/>
          <w:szCs w:val="16"/>
          <w:rtl/>
        </w:rPr>
        <w:t>(ב"ב פ"י סי' ב הגהה ג)</w:t>
      </w:r>
      <w:r>
        <w:rPr>
          <w:rFonts w:cs="Arial" w:hint="cs"/>
          <w:rtl/>
        </w:rPr>
        <w:t xml:space="preserve"> תשב"ץ</w:t>
      </w:r>
      <w:r>
        <w:rPr>
          <w:rStyle w:val="a7"/>
          <w:rFonts w:cs="Arial"/>
          <w:rtl/>
        </w:rPr>
        <w:footnoteReference w:id="773"/>
      </w:r>
      <w:r>
        <w:rPr>
          <w:rFonts w:cs="Arial" w:hint="cs"/>
          <w:rtl/>
        </w:rPr>
        <w:t xml:space="preserve"> </w:t>
      </w:r>
      <w:r>
        <w:rPr>
          <w:rFonts w:cs="Arial" w:hint="cs"/>
          <w:sz w:val="16"/>
          <w:szCs w:val="16"/>
          <w:rtl/>
        </w:rPr>
        <w:t>(ח"א סי' כ)</w:t>
      </w:r>
      <w:r>
        <w:rPr>
          <w:rFonts w:cs="Arial" w:hint="cs"/>
          <w:rtl/>
        </w:rPr>
        <w:t xml:space="preserve"> ו</w:t>
      </w:r>
      <w:r w:rsidR="00FA2119">
        <w:rPr>
          <w:rFonts w:cs="Arial" w:hint="cs"/>
          <w:rtl/>
        </w:rPr>
        <w:t>ב"י</w:t>
      </w:r>
      <w:r w:rsidR="00A82951">
        <w:rPr>
          <w:rFonts w:cs="Arial" w:hint="cs"/>
          <w:rtl/>
        </w:rPr>
        <w:t>-</w:t>
      </w:r>
      <w:r w:rsidR="00FA2119">
        <w:rPr>
          <w:rFonts w:cs="Arial" w:hint="cs"/>
          <w:rtl/>
        </w:rPr>
        <w:t xml:space="preserve"> </w:t>
      </w:r>
      <w:r w:rsidR="00FA2119" w:rsidRPr="00603D15">
        <w:rPr>
          <w:rFonts w:cs="Arial"/>
          <w:rtl/>
        </w:rPr>
        <w:t>ונראה לי שאם כתב בשיטה אחרונה ספר תרוכין ואגרת שבוקין וכו' דאפילו למאן דאמר (גיטין פה:) דבעינן ודין</w:t>
      </w:r>
      <w:r w:rsidR="00FA2119">
        <w:rPr>
          <w:rFonts w:cs="Arial" w:hint="cs"/>
          <w:rtl/>
        </w:rPr>
        <w:t>,</w:t>
      </w:r>
      <w:r w:rsidR="00FA2119" w:rsidRPr="00603D15">
        <w:rPr>
          <w:rFonts w:cs="Arial"/>
          <w:rtl/>
        </w:rPr>
        <w:t xml:space="preserve"> אי אתו עדי מסירה ומסהדי דהוה כתוב ביה ודין די יהוי ליכי מינאי בעת שמסרו לה </w:t>
      </w:r>
      <w:r w:rsidR="00A82951">
        <w:rPr>
          <w:rFonts w:cs="Arial" w:hint="cs"/>
          <w:rtl/>
        </w:rPr>
        <w:t>-</w:t>
      </w:r>
      <w:r w:rsidR="00FA2119">
        <w:rPr>
          <w:rFonts w:cs="Arial" w:hint="cs"/>
          <w:rtl/>
        </w:rPr>
        <w:t xml:space="preserve"> </w:t>
      </w:r>
      <w:r w:rsidR="00FA2119" w:rsidRPr="00603D15">
        <w:rPr>
          <w:rFonts w:cs="Arial"/>
          <w:rtl/>
        </w:rPr>
        <w:t>כשר</w:t>
      </w:r>
      <w:r w:rsidR="00FA2119">
        <w:rPr>
          <w:rFonts w:cs="Arial" w:hint="cs"/>
          <w:rtl/>
        </w:rPr>
        <w:t>,</w:t>
      </w:r>
      <w:r w:rsidR="00FA2119" w:rsidRPr="00603D15">
        <w:rPr>
          <w:rFonts w:cs="Arial"/>
          <w:rtl/>
        </w:rPr>
        <w:t xml:space="preserve"> דומיא דגט הכתוב על דבר המזדייף שכשר אם באים עדי מסירה לפנינו ומעידים שלא נזדייף</w:t>
      </w:r>
      <w:r w:rsidR="00FA2119">
        <w:rPr>
          <w:rFonts w:cs="Arial" w:hint="cs"/>
          <w:rtl/>
        </w:rPr>
        <w:t>,</w:t>
      </w:r>
      <w:r w:rsidR="00FA2119" w:rsidRPr="00603D15">
        <w:rPr>
          <w:rFonts w:cs="Arial"/>
          <w:rtl/>
        </w:rPr>
        <w:t xml:space="preserve"> וכמו שכתב רבינו בסימן קכ"ד (יא:)</w:t>
      </w:r>
      <w:r>
        <w:rPr>
          <w:rFonts w:cs="Arial" w:hint="cs"/>
          <w:sz w:val="16"/>
          <w:szCs w:val="16"/>
          <w:rtl/>
        </w:rPr>
        <w:t xml:space="preserve"> (ל' הב"י)</w:t>
      </w:r>
      <w:r w:rsidR="00FA2119">
        <w:rPr>
          <w:rFonts w:cs="Arial" w:hint="cs"/>
          <w:rtl/>
        </w:rPr>
        <w:t>.</w:t>
      </w:r>
    </w:p>
    <w:p w14:paraId="69070BC7"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E5BD132" w14:textId="77777777" w:rsidR="00FA2119" w:rsidRDefault="00FA2119" w:rsidP="00FA2119">
      <w:pPr>
        <w:rPr>
          <w:rtl/>
        </w:rPr>
      </w:pPr>
      <w:r>
        <w:rPr>
          <w:rFonts w:cs="Arial" w:hint="cs"/>
          <w:rtl/>
        </w:rPr>
        <w:t>צריך</w:t>
      </w:r>
      <w:r>
        <w:rPr>
          <w:rFonts w:cs="Arial"/>
          <w:rtl/>
        </w:rPr>
        <w:t xml:space="preserve"> </w:t>
      </w:r>
      <w:r>
        <w:rPr>
          <w:rFonts w:cs="Arial" w:hint="cs"/>
          <w:rtl/>
        </w:rPr>
        <w:t>שלא</w:t>
      </w:r>
      <w:r>
        <w:rPr>
          <w:rFonts w:cs="Arial"/>
          <w:rtl/>
        </w:rPr>
        <w:t xml:space="preserve"> </w:t>
      </w:r>
      <w:r>
        <w:rPr>
          <w:rFonts w:cs="Arial" w:hint="cs"/>
          <w:rtl/>
        </w:rPr>
        <w:t>יהא</w:t>
      </w:r>
      <w:r>
        <w:rPr>
          <w:rFonts w:cs="Arial"/>
          <w:rtl/>
        </w:rPr>
        <w:t xml:space="preserve"> </w:t>
      </w:r>
      <w:r>
        <w:rPr>
          <w:rFonts w:cs="Arial" w:hint="cs"/>
          <w:rtl/>
        </w:rPr>
        <w:t>בשיטה</w:t>
      </w:r>
      <w:r>
        <w:rPr>
          <w:rFonts w:cs="Arial"/>
          <w:rtl/>
        </w:rPr>
        <w:t xml:space="preserve"> </w:t>
      </w:r>
      <w:r>
        <w:rPr>
          <w:rFonts w:cs="Arial" w:hint="cs"/>
          <w:rtl/>
        </w:rPr>
        <w:t>אחרונה</w:t>
      </w:r>
      <w:r>
        <w:rPr>
          <w:rFonts w:cs="Arial"/>
          <w:rtl/>
        </w:rPr>
        <w:t xml:space="preserve">, </w:t>
      </w:r>
      <w:r>
        <w:rPr>
          <w:rFonts w:cs="Arial" w:hint="cs"/>
          <w:rtl/>
        </w:rPr>
        <w:t>לא</w:t>
      </w:r>
      <w:r>
        <w:rPr>
          <w:rFonts w:cs="Arial"/>
          <w:rtl/>
        </w:rPr>
        <w:t xml:space="preserve"> </w:t>
      </w:r>
      <w:r>
        <w:rPr>
          <w:rFonts w:cs="Arial" w:hint="cs"/>
          <w:rtl/>
        </w:rPr>
        <w:t>ספר</w:t>
      </w:r>
      <w:r>
        <w:rPr>
          <w:rFonts w:cs="Arial"/>
          <w:rtl/>
        </w:rPr>
        <w:t xml:space="preserve"> </w:t>
      </w:r>
      <w:r>
        <w:rPr>
          <w:rFonts w:cs="Arial" w:hint="cs"/>
          <w:rtl/>
        </w:rPr>
        <w:t>תרוכין</w:t>
      </w:r>
      <w:r>
        <w:rPr>
          <w:rFonts w:cs="Arial"/>
          <w:rtl/>
        </w:rPr>
        <w:t xml:space="preserve"> </w:t>
      </w:r>
      <w:r>
        <w:rPr>
          <w:rFonts w:cs="Arial" w:hint="cs"/>
          <w:rtl/>
        </w:rPr>
        <w:t>ולא</w:t>
      </w:r>
      <w:r>
        <w:rPr>
          <w:rFonts w:cs="Arial"/>
          <w:rtl/>
        </w:rPr>
        <w:t xml:space="preserve"> </w:t>
      </w:r>
      <w:r>
        <w:rPr>
          <w:rFonts w:cs="Arial" w:hint="cs"/>
          <w:rtl/>
        </w:rPr>
        <w:t>גט</w:t>
      </w:r>
      <w:r>
        <w:rPr>
          <w:rFonts w:cs="Arial"/>
          <w:rtl/>
        </w:rPr>
        <w:t xml:space="preserve"> </w:t>
      </w:r>
      <w:r>
        <w:rPr>
          <w:rFonts w:cs="Arial" w:hint="cs"/>
          <w:rtl/>
        </w:rPr>
        <w:t>פיטורין</w:t>
      </w:r>
      <w:r>
        <w:rPr>
          <w:rFonts w:cs="Arial"/>
          <w:rtl/>
        </w:rPr>
        <w:t xml:space="preserve"> </w:t>
      </w:r>
      <w:r>
        <w:rPr>
          <w:rFonts w:cs="Arial" w:hint="cs"/>
          <w:rtl/>
        </w:rPr>
        <w:t>ולא</w:t>
      </w:r>
      <w:r>
        <w:rPr>
          <w:rFonts w:cs="Arial"/>
          <w:rtl/>
        </w:rPr>
        <w:t xml:space="preserve"> </w:t>
      </w:r>
      <w:r>
        <w:rPr>
          <w:rFonts w:cs="Arial" w:hint="cs"/>
          <w:rtl/>
        </w:rPr>
        <w:t>אגרת</w:t>
      </w:r>
      <w:r>
        <w:rPr>
          <w:rFonts w:cs="Arial"/>
          <w:rtl/>
        </w:rPr>
        <w:t xml:space="preserve"> </w:t>
      </w:r>
      <w:r>
        <w:rPr>
          <w:rFonts w:cs="Arial" w:hint="cs"/>
          <w:rtl/>
        </w:rPr>
        <w:t>שבוקין</w:t>
      </w:r>
      <w:r>
        <w:rPr>
          <w:rStyle w:val="a7"/>
          <w:rFonts w:cs="Arial"/>
          <w:rtl/>
        </w:rPr>
        <w:footnoteReference w:id="774"/>
      </w:r>
      <w:r>
        <w:rPr>
          <w:rFonts w:cs="Arial"/>
          <w:rtl/>
        </w:rPr>
        <w:t xml:space="preserve">, </w:t>
      </w:r>
      <w:r>
        <w:rPr>
          <w:rFonts w:cs="Arial" w:hint="cs"/>
          <w:rtl/>
        </w:rPr>
        <w:t>אלא</w:t>
      </w:r>
      <w:r>
        <w:rPr>
          <w:rFonts w:cs="Arial"/>
          <w:rtl/>
        </w:rPr>
        <w:t xml:space="preserve"> </w:t>
      </w:r>
      <w:r>
        <w:rPr>
          <w:rFonts w:cs="Arial" w:hint="cs"/>
          <w:rtl/>
        </w:rPr>
        <w:t>כדת</w:t>
      </w:r>
      <w:r>
        <w:rPr>
          <w:rFonts w:cs="Arial"/>
          <w:rtl/>
        </w:rPr>
        <w:t xml:space="preserve"> </w:t>
      </w:r>
      <w:r>
        <w:rPr>
          <w:rFonts w:cs="Arial" w:hint="cs"/>
          <w:rtl/>
        </w:rPr>
        <w:t>משה</w:t>
      </w:r>
      <w:r>
        <w:rPr>
          <w:rFonts w:cs="Arial"/>
          <w:rtl/>
        </w:rPr>
        <w:t xml:space="preserve"> </w:t>
      </w:r>
      <w:r>
        <w:rPr>
          <w:rFonts w:cs="Arial" w:hint="cs"/>
          <w:rtl/>
        </w:rPr>
        <w:t>וישראל</w:t>
      </w:r>
      <w:r>
        <w:rPr>
          <w:rFonts w:cs="Arial"/>
          <w:rtl/>
        </w:rPr>
        <w:t xml:space="preserve"> </w:t>
      </w:r>
      <w:r>
        <w:rPr>
          <w:rFonts w:cs="Arial" w:hint="cs"/>
          <w:rtl/>
        </w:rPr>
        <w:t>לבד.</w:t>
      </w:r>
      <w:r>
        <w:rPr>
          <w:rFonts w:cs="Arial"/>
          <w:rtl/>
        </w:rPr>
        <w:t xml:space="preserve"> </w:t>
      </w:r>
      <w:r>
        <w:rPr>
          <w:rFonts w:cs="Arial" w:hint="cs"/>
          <w:rtl/>
        </w:rPr>
        <w:t>ויעשה</w:t>
      </w:r>
      <w:r>
        <w:rPr>
          <w:rFonts w:cs="Arial"/>
          <w:rtl/>
        </w:rPr>
        <w:t xml:space="preserve"> </w:t>
      </w:r>
      <w:r>
        <w:rPr>
          <w:rFonts w:cs="Arial" w:hint="cs"/>
          <w:rtl/>
        </w:rPr>
        <w:t>ממנה</w:t>
      </w:r>
      <w:r>
        <w:rPr>
          <w:rFonts w:cs="Arial"/>
          <w:rtl/>
        </w:rPr>
        <w:t xml:space="preserve"> </w:t>
      </w:r>
      <w:r>
        <w:rPr>
          <w:rFonts w:cs="Arial" w:hint="cs"/>
          <w:rtl/>
        </w:rPr>
        <w:t>אותיות</w:t>
      </w:r>
      <w:r>
        <w:rPr>
          <w:rStyle w:val="a7"/>
          <w:rFonts w:cs="Arial"/>
          <w:rtl/>
        </w:rPr>
        <w:footnoteReference w:id="775"/>
      </w:r>
      <w:r>
        <w:rPr>
          <w:rFonts w:cs="Arial"/>
          <w:rtl/>
        </w:rPr>
        <w:t xml:space="preserve"> </w:t>
      </w:r>
      <w:r>
        <w:rPr>
          <w:rFonts w:cs="Arial" w:hint="cs"/>
          <w:rtl/>
        </w:rPr>
        <w:t>גדולות</w:t>
      </w:r>
      <w:r>
        <w:rPr>
          <w:rFonts w:cs="Arial"/>
          <w:rtl/>
        </w:rPr>
        <w:t xml:space="preserve">, </w:t>
      </w:r>
      <w:r>
        <w:rPr>
          <w:rFonts w:cs="Arial" w:hint="cs"/>
          <w:rtl/>
        </w:rPr>
        <w:t>כדי</w:t>
      </w:r>
      <w:r>
        <w:rPr>
          <w:rFonts w:cs="Arial"/>
          <w:rtl/>
        </w:rPr>
        <w:t xml:space="preserve"> </w:t>
      </w:r>
      <w:r>
        <w:rPr>
          <w:rFonts w:cs="Arial" w:hint="cs"/>
          <w:rtl/>
        </w:rPr>
        <w:t>שלא</w:t>
      </w:r>
      <w:r>
        <w:rPr>
          <w:rFonts w:cs="Arial"/>
          <w:rtl/>
        </w:rPr>
        <w:t xml:space="preserve"> </w:t>
      </w:r>
      <w:r>
        <w:rPr>
          <w:rFonts w:cs="Arial" w:hint="cs"/>
          <w:rtl/>
        </w:rPr>
        <w:t>יסיים</w:t>
      </w:r>
      <w:r>
        <w:rPr>
          <w:rFonts w:cs="Arial"/>
          <w:rtl/>
        </w:rPr>
        <w:t xml:space="preserve"> </w:t>
      </w:r>
      <w:r>
        <w:rPr>
          <w:rFonts w:cs="Arial" w:hint="cs"/>
          <w:rtl/>
        </w:rPr>
        <w:t>באמצע</w:t>
      </w:r>
      <w:r>
        <w:rPr>
          <w:rFonts w:cs="Arial"/>
          <w:rtl/>
        </w:rPr>
        <w:t xml:space="preserve"> </w:t>
      </w:r>
      <w:r>
        <w:rPr>
          <w:rFonts w:cs="Arial" w:hint="cs"/>
          <w:rtl/>
        </w:rPr>
        <w:t>שיטה</w:t>
      </w:r>
      <w:r>
        <w:rPr>
          <w:rFonts w:cs="Arial"/>
          <w:rtl/>
        </w:rPr>
        <w:t xml:space="preserve">, </w:t>
      </w:r>
      <w:r>
        <w:rPr>
          <w:rFonts w:cs="Arial" w:hint="cs"/>
          <w:rtl/>
        </w:rPr>
        <w:t>משום</w:t>
      </w:r>
      <w:r>
        <w:rPr>
          <w:rFonts w:cs="Arial"/>
          <w:rtl/>
        </w:rPr>
        <w:t xml:space="preserve"> </w:t>
      </w:r>
      <w:r>
        <w:rPr>
          <w:rFonts w:cs="Arial" w:hint="cs"/>
          <w:rtl/>
        </w:rPr>
        <w:t>דאיכא</w:t>
      </w:r>
      <w:r>
        <w:rPr>
          <w:rFonts w:cs="Arial"/>
          <w:rtl/>
        </w:rPr>
        <w:t xml:space="preserve"> </w:t>
      </w:r>
      <w:r>
        <w:rPr>
          <w:rFonts w:cs="Arial" w:hint="cs"/>
          <w:rtl/>
        </w:rPr>
        <w:t>למיחש</w:t>
      </w:r>
      <w:r>
        <w:rPr>
          <w:rFonts w:cs="Arial"/>
          <w:rtl/>
        </w:rPr>
        <w:t xml:space="preserve"> </w:t>
      </w:r>
      <w:r>
        <w:rPr>
          <w:rFonts w:cs="Arial" w:hint="cs"/>
          <w:rtl/>
        </w:rPr>
        <w:t>שיחתמו</w:t>
      </w:r>
      <w:r>
        <w:rPr>
          <w:rFonts w:cs="Arial"/>
          <w:rtl/>
        </w:rPr>
        <w:t xml:space="preserve"> </w:t>
      </w:r>
      <w:r>
        <w:rPr>
          <w:rFonts w:cs="Arial" w:hint="cs"/>
          <w:rtl/>
        </w:rPr>
        <w:t>בחצי</w:t>
      </w:r>
      <w:r>
        <w:rPr>
          <w:rFonts w:cs="Arial"/>
          <w:rtl/>
        </w:rPr>
        <w:t xml:space="preserve"> </w:t>
      </w:r>
      <w:r>
        <w:rPr>
          <w:rFonts w:cs="Arial" w:hint="cs"/>
          <w:rtl/>
        </w:rPr>
        <w:t>שיטה</w:t>
      </w:r>
      <w:r>
        <w:rPr>
          <w:rFonts w:cs="Arial"/>
          <w:rtl/>
        </w:rPr>
        <w:t xml:space="preserve"> </w:t>
      </w:r>
      <w:r>
        <w:rPr>
          <w:rFonts w:cs="Arial" w:hint="cs"/>
          <w:rtl/>
        </w:rPr>
        <w:t>הנשארת</w:t>
      </w:r>
      <w:r>
        <w:rPr>
          <w:rFonts w:cs="Arial"/>
          <w:rtl/>
        </w:rPr>
        <w:t xml:space="preserve">, </w:t>
      </w:r>
      <w:r>
        <w:rPr>
          <w:rFonts w:cs="Arial" w:hint="cs"/>
          <w:rtl/>
        </w:rPr>
        <w:t>ואין</w:t>
      </w:r>
      <w:r>
        <w:rPr>
          <w:rFonts w:cs="Arial"/>
          <w:rtl/>
        </w:rPr>
        <w:t xml:space="preserve"> </w:t>
      </w:r>
      <w:r>
        <w:rPr>
          <w:rFonts w:cs="Arial" w:hint="cs"/>
          <w:rtl/>
        </w:rPr>
        <w:t>ראוי</w:t>
      </w:r>
      <w:r>
        <w:rPr>
          <w:rFonts w:cs="Arial"/>
          <w:rtl/>
        </w:rPr>
        <w:t xml:space="preserve"> </w:t>
      </w:r>
      <w:r>
        <w:rPr>
          <w:rFonts w:cs="Arial" w:hint="cs"/>
          <w:rtl/>
        </w:rPr>
        <w:t>לעשות</w:t>
      </w:r>
      <w:r>
        <w:rPr>
          <w:rFonts w:cs="Arial"/>
          <w:rtl/>
        </w:rPr>
        <w:t xml:space="preserve"> </w:t>
      </w:r>
      <w:r>
        <w:rPr>
          <w:rFonts w:cs="Arial" w:hint="cs"/>
          <w:rtl/>
        </w:rPr>
        <w:t>כן</w:t>
      </w:r>
      <w:r>
        <w:rPr>
          <w:rFonts w:cs="Arial"/>
          <w:rtl/>
        </w:rPr>
        <w:t xml:space="preserve">. </w:t>
      </w:r>
      <w:r>
        <w:rPr>
          <w:rFonts w:cs="Arial" w:hint="cs"/>
          <w:rtl/>
        </w:rPr>
        <w:t>ואם</w:t>
      </w:r>
      <w:r>
        <w:rPr>
          <w:rFonts w:cs="Arial"/>
          <w:rtl/>
        </w:rPr>
        <w:t xml:space="preserve"> </w:t>
      </w:r>
      <w:r>
        <w:rPr>
          <w:rFonts w:cs="Arial" w:hint="cs"/>
          <w:rtl/>
        </w:rPr>
        <w:t>כתב</w:t>
      </w:r>
      <w:r>
        <w:rPr>
          <w:rFonts w:cs="Arial"/>
          <w:rtl/>
        </w:rPr>
        <w:t xml:space="preserve"> </w:t>
      </w:r>
      <w:r>
        <w:rPr>
          <w:rFonts w:cs="Arial" w:hint="cs"/>
          <w:rtl/>
        </w:rPr>
        <w:t>בשיטה</w:t>
      </w:r>
      <w:r>
        <w:rPr>
          <w:rFonts w:cs="Arial"/>
          <w:rtl/>
        </w:rPr>
        <w:t xml:space="preserve"> </w:t>
      </w:r>
      <w:r>
        <w:rPr>
          <w:rFonts w:cs="Arial" w:hint="cs"/>
          <w:rtl/>
        </w:rPr>
        <w:t>אחרונה</w:t>
      </w:r>
      <w:r>
        <w:rPr>
          <w:rFonts w:cs="Arial"/>
          <w:rtl/>
        </w:rPr>
        <w:t xml:space="preserve"> </w:t>
      </w:r>
      <w:r>
        <w:rPr>
          <w:rFonts w:cs="Arial" w:hint="cs"/>
          <w:rtl/>
        </w:rPr>
        <w:t>יותר</w:t>
      </w:r>
      <w:r>
        <w:rPr>
          <w:rFonts w:cs="Arial"/>
          <w:rtl/>
        </w:rPr>
        <w:t xml:space="preserve"> </w:t>
      </w:r>
      <w:r>
        <w:rPr>
          <w:rFonts w:cs="Arial" w:hint="cs"/>
          <w:rtl/>
        </w:rPr>
        <w:t>מכדת</w:t>
      </w:r>
      <w:r>
        <w:rPr>
          <w:rFonts w:cs="Arial"/>
          <w:rtl/>
        </w:rPr>
        <w:t xml:space="preserve"> </w:t>
      </w:r>
      <w:r>
        <w:rPr>
          <w:rFonts w:cs="Arial" w:hint="cs"/>
          <w:rtl/>
        </w:rPr>
        <w:t>משה</w:t>
      </w:r>
      <w:r>
        <w:rPr>
          <w:rFonts w:cs="Arial"/>
          <w:rtl/>
        </w:rPr>
        <w:t xml:space="preserve"> </w:t>
      </w:r>
      <w:r>
        <w:rPr>
          <w:rFonts w:cs="Arial" w:hint="cs"/>
          <w:rtl/>
        </w:rPr>
        <w:t>וישראל</w:t>
      </w:r>
      <w:r>
        <w:rPr>
          <w:rFonts w:cs="Arial"/>
          <w:rtl/>
        </w:rPr>
        <w:t xml:space="preserve">, </w:t>
      </w:r>
      <w:r>
        <w:rPr>
          <w:rFonts w:cs="Arial" w:hint="cs"/>
          <w:rtl/>
        </w:rPr>
        <w:t>לא</w:t>
      </w:r>
      <w:r>
        <w:rPr>
          <w:rFonts w:cs="Arial"/>
          <w:rtl/>
        </w:rPr>
        <w:t xml:space="preserve"> </w:t>
      </w:r>
      <w:r>
        <w:rPr>
          <w:rFonts w:cs="Arial" w:hint="cs"/>
          <w:rtl/>
        </w:rPr>
        <w:t>נפסל</w:t>
      </w:r>
      <w:r>
        <w:rPr>
          <w:rFonts w:cs="Arial"/>
          <w:rtl/>
        </w:rPr>
        <w:t xml:space="preserve"> </w:t>
      </w:r>
      <w:r>
        <w:rPr>
          <w:rFonts w:cs="Arial" w:hint="cs"/>
          <w:rtl/>
        </w:rPr>
        <w:t>בכך</w:t>
      </w:r>
      <w:r>
        <w:rPr>
          <w:rFonts w:cs="Arial"/>
          <w:rtl/>
        </w:rPr>
        <w:t xml:space="preserve">. </w:t>
      </w:r>
    </w:p>
    <w:p w14:paraId="33754754" w14:textId="77777777" w:rsidR="00FA2119" w:rsidRDefault="00FA2119" w:rsidP="00FA2119">
      <w:pPr>
        <w:rPr>
          <w:rtl/>
        </w:rPr>
      </w:pPr>
    </w:p>
    <w:p w14:paraId="353E2507" w14:textId="3E726FDF" w:rsidR="00FA2119" w:rsidRDefault="00FA2119" w:rsidP="00FA2119">
      <w:pPr>
        <w:pStyle w:val="2"/>
        <w:rPr>
          <w:rtl/>
        </w:rPr>
      </w:pPr>
      <w:r>
        <w:rPr>
          <w:rFonts w:hint="cs"/>
          <w:rtl/>
        </w:rPr>
        <w:t>סעיף</w:t>
      </w:r>
      <w:r>
        <w:rPr>
          <w:rtl/>
        </w:rPr>
        <w:t xml:space="preserve"> </w:t>
      </w:r>
      <w:r>
        <w:rPr>
          <w:rFonts w:hint="cs"/>
          <w:rtl/>
        </w:rPr>
        <w:t>יט: אותיות אל"ף למ"ד כאחד</w:t>
      </w:r>
      <w:r w:rsidR="003079D7">
        <w:rPr>
          <w:rFonts w:hint="cs"/>
          <w:rtl/>
        </w:rPr>
        <w:t xml:space="preserve"> (ב-'וישראל')</w:t>
      </w:r>
      <w:r>
        <w:rPr>
          <w:rFonts w:hint="cs"/>
          <w:rtl/>
        </w:rPr>
        <w:t>.</w:t>
      </w:r>
    </w:p>
    <w:p w14:paraId="2C1F4A45" w14:textId="77777777" w:rsidR="00FA2119" w:rsidRPr="00AC6271" w:rsidRDefault="00FA2119" w:rsidP="00FA2119">
      <w:pPr>
        <w:rPr>
          <w:rFonts w:cs="Arial"/>
          <w:u w:val="single"/>
          <w:rtl/>
        </w:rPr>
      </w:pPr>
      <w:r w:rsidRPr="00AC6271">
        <w:rPr>
          <w:rFonts w:cs="Arial"/>
          <w:u w:val="single"/>
          <w:rtl/>
        </w:rPr>
        <w:t xml:space="preserve">כתב </w:t>
      </w:r>
      <w:r w:rsidRPr="00AC6271">
        <w:rPr>
          <w:rFonts w:cs="Arial" w:hint="cs"/>
          <w:u w:val="single"/>
          <w:rtl/>
        </w:rPr>
        <w:t>'ו</w:t>
      </w:r>
      <w:r w:rsidRPr="00AC6271">
        <w:rPr>
          <w:rFonts w:cs="Arial"/>
          <w:u w:val="single"/>
          <w:rtl/>
        </w:rPr>
        <w:t>ישראל</w:t>
      </w:r>
      <w:r w:rsidRPr="00AC6271">
        <w:rPr>
          <w:rFonts w:cs="Arial" w:hint="cs"/>
          <w:u w:val="single"/>
          <w:rtl/>
        </w:rPr>
        <w:t>'</w:t>
      </w:r>
      <w:r w:rsidRPr="00AC6271">
        <w:rPr>
          <w:rFonts w:cs="Arial"/>
          <w:u w:val="single"/>
          <w:rtl/>
        </w:rPr>
        <w:t xml:space="preserve"> אלף למ"ד כאחד</w:t>
      </w:r>
      <w:r w:rsidRPr="00AC6271">
        <w:rPr>
          <w:rFonts w:cs="Arial" w:hint="cs"/>
          <w:u w:val="single"/>
          <w:rtl/>
        </w:rPr>
        <w:t>:</w:t>
      </w:r>
    </w:p>
    <w:p w14:paraId="477112E8" w14:textId="04CB082B" w:rsidR="00FA2119" w:rsidRDefault="00FA2119" w:rsidP="00FA2119">
      <w:pPr>
        <w:pStyle w:val="ab"/>
        <w:numPr>
          <w:ilvl w:val="0"/>
          <w:numId w:val="15"/>
        </w:numPr>
        <w:rPr>
          <w:rtl/>
        </w:rPr>
      </w:pPr>
      <w:r w:rsidRPr="00AC6271">
        <w:rPr>
          <w:rFonts w:cs="Arial" w:hint="cs"/>
          <w:rtl/>
        </w:rPr>
        <w:lastRenderedPageBreak/>
        <w:t xml:space="preserve">רא"ש </w:t>
      </w:r>
      <w:r w:rsidRPr="00AC6271">
        <w:rPr>
          <w:rFonts w:cs="Arial" w:hint="cs"/>
          <w:sz w:val="16"/>
          <w:szCs w:val="16"/>
          <w:rtl/>
        </w:rPr>
        <w:t>(כלל מה סי' יט, הביאו הטור)</w:t>
      </w:r>
      <w:r w:rsidR="00A82951">
        <w:rPr>
          <w:rFonts w:cs="Arial" w:hint="cs"/>
          <w:rtl/>
        </w:rPr>
        <w:t>-</w:t>
      </w:r>
      <w:r w:rsidRPr="00AC6271">
        <w:rPr>
          <w:rFonts w:cs="Arial" w:hint="cs"/>
          <w:rtl/>
        </w:rPr>
        <w:t xml:space="preserve"> </w:t>
      </w:r>
      <w:r w:rsidRPr="00AC6271">
        <w:rPr>
          <w:rFonts w:cs="Arial"/>
          <w:rtl/>
        </w:rPr>
        <w:t xml:space="preserve">ומה שכתב </w:t>
      </w:r>
      <w:r>
        <w:rPr>
          <w:rFonts w:cs="Arial" w:hint="cs"/>
          <w:rtl/>
        </w:rPr>
        <w:t>ו</w:t>
      </w:r>
      <w:r w:rsidRPr="00AC6271">
        <w:rPr>
          <w:rFonts w:cs="Arial"/>
          <w:rtl/>
        </w:rPr>
        <w:t xml:space="preserve">ישראל אלף למ"ד כאחד </w:t>
      </w:r>
      <w:r w:rsidR="00A82951">
        <w:rPr>
          <w:rFonts w:cs="Arial" w:hint="cs"/>
          <w:rtl/>
        </w:rPr>
        <w:t>-</w:t>
      </w:r>
      <w:r>
        <w:rPr>
          <w:rFonts w:cs="Arial" w:hint="cs"/>
          <w:rtl/>
        </w:rPr>
        <w:t xml:space="preserve"> </w:t>
      </w:r>
      <w:r w:rsidRPr="00AC6271">
        <w:rPr>
          <w:rFonts w:cs="Arial"/>
          <w:rtl/>
        </w:rPr>
        <w:t>אינו נפסל בכך</w:t>
      </w:r>
      <w:r w:rsidRPr="00351B7D">
        <w:rPr>
          <w:rStyle w:val="a7"/>
          <w:rFonts w:asciiTheme="minorBidi" w:hAnsiTheme="minorBidi"/>
          <w:rtl/>
        </w:rPr>
        <w:footnoteReference w:id="776"/>
      </w:r>
      <w:r>
        <w:rPr>
          <w:rFonts w:cs="Arial" w:hint="cs"/>
          <w:rtl/>
        </w:rPr>
        <w:t>,</w:t>
      </w:r>
      <w:r w:rsidRPr="00AC6271">
        <w:rPr>
          <w:rFonts w:cs="Arial"/>
          <w:rtl/>
        </w:rPr>
        <w:t xml:space="preserve"> כיון שרגילין לכתוב כן וינוקא דלא חכים ולא טפש יקרא ישראל</w:t>
      </w:r>
      <w:r w:rsidR="003079D7">
        <w:rPr>
          <w:rFonts w:cs="Arial" w:hint="cs"/>
          <w:rtl/>
        </w:rPr>
        <w:t>.</w:t>
      </w:r>
      <w:r w:rsidRPr="00AC6271">
        <w:rPr>
          <w:rFonts w:cs="Arial"/>
          <w:rtl/>
        </w:rPr>
        <w:t xml:space="preserve"> ואע</w:t>
      </w:r>
      <w:r>
        <w:rPr>
          <w:rFonts w:cs="Arial" w:hint="cs"/>
          <w:rtl/>
        </w:rPr>
        <w:t>"</w:t>
      </w:r>
      <w:r w:rsidRPr="00AC6271">
        <w:rPr>
          <w:rFonts w:cs="Arial"/>
          <w:rtl/>
        </w:rPr>
        <w:t>ג דבס"ת לא היה כשר</w:t>
      </w:r>
      <w:r w:rsidR="003079D7">
        <w:rPr>
          <w:rFonts w:cs="Arial" w:hint="cs"/>
          <w:rtl/>
        </w:rPr>
        <w:t>,</w:t>
      </w:r>
      <w:r w:rsidRPr="00AC6271">
        <w:rPr>
          <w:rFonts w:cs="Arial"/>
          <w:rtl/>
        </w:rPr>
        <w:t xml:space="preserve"> לא בעינן בגט כתיבה תמה כמו בס"ת.</w:t>
      </w:r>
      <w:r w:rsidRPr="007F57B6">
        <w:rPr>
          <w:rFonts w:cs="Arial" w:hint="cs"/>
          <w:color w:val="E36C0A" w:themeColor="accent6" w:themeShade="BF"/>
          <w:rtl/>
        </w:rPr>
        <w:t xml:space="preserve"> </w:t>
      </w:r>
      <w:r w:rsidRPr="00720C95">
        <w:rPr>
          <w:rFonts w:cs="Arial" w:hint="cs"/>
          <w:color w:val="E36C0A" w:themeColor="accent6" w:themeShade="BF"/>
          <w:rtl/>
        </w:rPr>
        <w:t>(וכ"פ בשו"ע)</w:t>
      </w:r>
    </w:p>
    <w:p w14:paraId="0BA9AD09" w14:textId="45A69E6E" w:rsidR="00FA2119" w:rsidRPr="00DF26BD" w:rsidRDefault="00FA2119" w:rsidP="00FA2119">
      <w:pPr>
        <w:rPr>
          <w:rFonts w:cs="Arial"/>
          <w:u w:val="single"/>
          <w:rtl/>
        </w:rPr>
      </w:pPr>
      <w:r w:rsidRPr="00DF26BD">
        <w:rPr>
          <w:rFonts w:cs="Arial"/>
          <w:u w:val="single"/>
          <w:rtl/>
        </w:rPr>
        <w:t xml:space="preserve">כתבו עדים </w:t>
      </w:r>
      <w:r w:rsidRPr="00DF26BD">
        <w:rPr>
          <w:rFonts w:cs="Arial" w:hint="cs"/>
          <w:u w:val="single"/>
          <w:rtl/>
        </w:rPr>
        <w:t>'</w:t>
      </w:r>
      <w:r w:rsidRPr="00DF26BD">
        <w:rPr>
          <w:rFonts w:cs="Arial"/>
          <w:u w:val="single"/>
          <w:rtl/>
        </w:rPr>
        <w:t>נתגרשה פלונית בגט כשר</w:t>
      </w:r>
      <w:r w:rsidRPr="00DF26BD">
        <w:rPr>
          <w:rFonts w:cs="Arial" w:hint="cs"/>
          <w:u w:val="single"/>
          <w:rtl/>
        </w:rPr>
        <w:t xml:space="preserve">' </w:t>
      </w:r>
      <w:r w:rsidR="00A82951">
        <w:rPr>
          <w:rFonts w:cs="Arial"/>
          <w:u w:val="single"/>
          <w:rtl/>
        </w:rPr>
        <w:t>-</w:t>
      </w:r>
      <w:r w:rsidRPr="00DF26BD">
        <w:rPr>
          <w:rFonts w:cs="Arial" w:hint="cs"/>
          <w:u w:val="single"/>
          <w:rtl/>
        </w:rPr>
        <w:t xml:space="preserve"> ונמצאה טעות בגט:</w:t>
      </w:r>
    </w:p>
    <w:p w14:paraId="075FDA23" w14:textId="30D7DDA4" w:rsidR="00FA2119" w:rsidRDefault="00FA2119" w:rsidP="00FA2119">
      <w:pPr>
        <w:pStyle w:val="ab"/>
        <w:numPr>
          <w:ilvl w:val="0"/>
          <w:numId w:val="15"/>
        </w:numPr>
        <w:rPr>
          <w:rFonts w:cs="Arial"/>
        </w:rPr>
      </w:pPr>
      <w:r w:rsidRPr="00AC6271">
        <w:rPr>
          <w:rFonts w:cs="Arial" w:hint="cs"/>
          <w:rtl/>
        </w:rPr>
        <w:t xml:space="preserve">רא"ש </w:t>
      </w:r>
      <w:r w:rsidRPr="00AC6271">
        <w:rPr>
          <w:rFonts w:cs="Arial" w:hint="cs"/>
          <w:sz w:val="16"/>
          <w:szCs w:val="16"/>
          <w:rtl/>
        </w:rPr>
        <w:t>(כלל מה סי' יט, הביאו הטור)</w:t>
      </w:r>
      <w:r w:rsidR="00A82951">
        <w:rPr>
          <w:rFonts w:cs="Arial" w:hint="cs"/>
          <w:rtl/>
        </w:rPr>
        <w:t>-</w:t>
      </w:r>
      <w:r>
        <w:rPr>
          <w:rFonts w:cs="Arial" w:hint="cs"/>
          <w:rtl/>
        </w:rPr>
        <w:t xml:space="preserve"> </w:t>
      </w:r>
      <w:r w:rsidRPr="00967D9E">
        <w:rPr>
          <w:rFonts w:cs="Arial"/>
          <w:rtl/>
        </w:rPr>
        <w:t>וששאלת אם כתבו עדים נתגרשה פלונית בגט כשר</w:t>
      </w:r>
      <w:r w:rsidR="003079D7">
        <w:rPr>
          <w:rFonts w:cs="Arial" w:hint="cs"/>
          <w:rtl/>
        </w:rPr>
        <w:t>,</w:t>
      </w:r>
      <w:r w:rsidRPr="00967D9E">
        <w:rPr>
          <w:rFonts w:cs="Arial"/>
          <w:rtl/>
        </w:rPr>
        <w:t xml:space="preserve"> ואח"כ נתגלה שהיה בו טעות </w:t>
      </w:r>
      <w:r w:rsidR="003079D7">
        <w:rPr>
          <w:rFonts w:cs="Arial" w:hint="cs"/>
          <w:rtl/>
        </w:rPr>
        <w:t xml:space="preserve">- </w:t>
      </w:r>
      <w:r w:rsidRPr="00967D9E">
        <w:rPr>
          <w:rFonts w:cs="Arial"/>
          <w:rtl/>
        </w:rPr>
        <w:t>הדבר פשוט שאין עדות העדים מועיל להכשיר גט פסול</w:t>
      </w:r>
      <w:r w:rsidR="003079D7">
        <w:rPr>
          <w:rFonts w:cs="Arial" w:hint="cs"/>
          <w:rtl/>
        </w:rPr>
        <w:t>,</w:t>
      </w:r>
      <w:r w:rsidRPr="00967D9E">
        <w:rPr>
          <w:rFonts w:cs="Arial"/>
          <w:rtl/>
        </w:rPr>
        <w:t xml:space="preserve"> אלא תלינן שמא לא דקדקו העדים ולא הרגישו בטעות או שלא היו יודעים בטיב גיטין ולא ידעו שהוא טעות</w:t>
      </w:r>
      <w:r>
        <w:rPr>
          <w:rFonts w:cs="Arial" w:hint="cs"/>
          <w:rtl/>
        </w:rPr>
        <w:t>.</w:t>
      </w:r>
      <w:r w:rsidRPr="00967D9E">
        <w:rPr>
          <w:rFonts w:cs="Arial"/>
          <w:rtl/>
        </w:rPr>
        <w:t xml:space="preserve"> </w:t>
      </w:r>
    </w:p>
    <w:p w14:paraId="0340161C"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C9CD5C9" w14:textId="77777777" w:rsidR="00FA2119" w:rsidRDefault="00FA2119" w:rsidP="00FA2119">
      <w:pPr>
        <w:rPr>
          <w:rtl/>
        </w:rPr>
      </w:pPr>
      <w:r>
        <w:rPr>
          <w:rFonts w:cs="Arial" w:hint="cs"/>
          <w:rtl/>
        </w:rPr>
        <w:t>אם</w:t>
      </w:r>
      <w:r>
        <w:rPr>
          <w:rFonts w:cs="Arial"/>
          <w:rtl/>
        </w:rPr>
        <w:t xml:space="preserve"> </w:t>
      </w:r>
      <w:r>
        <w:rPr>
          <w:rFonts w:cs="Arial" w:hint="cs"/>
          <w:rtl/>
        </w:rPr>
        <w:t>כתב</w:t>
      </w:r>
      <w:r>
        <w:rPr>
          <w:rFonts w:cs="Arial"/>
          <w:rtl/>
        </w:rPr>
        <w:t xml:space="preserve">: </w:t>
      </w:r>
      <w:r>
        <w:rPr>
          <w:rFonts w:cs="Arial" w:hint="cs"/>
          <w:rtl/>
        </w:rPr>
        <w:t>וישראל</w:t>
      </w:r>
      <w:r>
        <w:rPr>
          <w:rFonts w:cs="Arial"/>
          <w:rtl/>
        </w:rPr>
        <w:t xml:space="preserve">, </w:t>
      </w:r>
      <w:r>
        <w:rPr>
          <w:rFonts w:cs="Arial" w:hint="cs"/>
          <w:rtl/>
        </w:rPr>
        <w:t>אל</w:t>
      </w:r>
      <w:r>
        <w:rPr>
          <w:rFonts w:cs="Arial"/>
          <w:rtl/>
        </w:rPr>
        <w:t>"</w:t>
      </w:r>
      <w:r>
        <w:rPr>
          <w:rFonts w:cs="Arial" w:hint="cs"/>
          <w:rtl/>
        </w:rPr>
        <w:t>ף</w:t>
      </w:r>
      <w:r>
        <w:rPr>
          <w:rFonts w:cs="Arial"/>
          <w:rtl/>
        </w:rPr>
        <w:t xml:space="preserve"> </w:t>
      </w:r>
      <w:r>
        <w:rPr>
          <w:rFonts w:cs="Arial" w:hint="cs"/>
          <w:rtl/>
        </w:rPr>
        <w:t>למ</w:t>
      </w:r>
      <w:r>
        <w:rPr>
          <w:rFonts w:cs="Arial"/>
          <w:rtl/>
        </w:rPr>
        <w:t>"</w:t>
      </w:r>
      <w:r>
        <w:rPr>
          <w:rFonts w:cs="Arial" w:hint="cs"/>
          <w:rtl/>
        </w:rPr>
        <w:t>ד</w:t>
      </w:r>
      <w:r>
        <w:rPr>
          <w:rFonts w:cs="Arial"/>
          <w:rtl/>
        </w:rPr>
        <w:t xml:space="preserve">, </w:t>
      </w:r>
      <w:r>
        <w:rPr>
          <w:rFonts w:cs="Arial" w:hint="cs"/>
          <w:rtl/>
        </w:rPr>
        <w:t>כאחד</w:t>
      </w:r>
      <w:r>
        <w:rPr>
          <w:rFonts w:cs="Arial"/>
          <w:rtl/>
        </w:rPr>
        <w:t xml:space="preserve">, </w:t>
      </w:r>
      <w:r>
        <w:rPr>
          <w:rFonts w:cs="Arial" w:hint="cs"/>
          <w:rtl/>
        </w:rPr>
        <w:t>לא</w:t>
      </w:r>
      <w:r>
        <w:rPr>
          <w:rFonts w:cs="Arial"/>
          <w:rtl/>
        </w:rPr>
        <w:t xml:space="preserve"> </w:t>
      </w:r>
      <w:r>
        <w:rPr>
          <w:rFonts w:cs="Arial" w:hint="cs"/>
          <w:rtl/>
        </w:rPr>
        <w:t>נפסל</w:t>
      </w:r>
      <w:r>
        <w:rPr>
          <w:rFonts w:cs="Arial"/>
          <w:rtl/>
        </w:rPr>
        <w:t xml:space="preserve"> </w:t>
      </w:r>
      <w:r>
        <w:rPr>
          <w:rFonts w:cs="Arial" w:hint="cs"/>
          <w:rtl/>
        </w:rPr>
        <w:t>בכך</w:t>
      </w:r>
      <w:r>
        <w:rPr>
          <w:rFonts w:cs="Arial"/>
          <w:rtl/>
        </w:rPr>
        <w:t xml:space="preserve">. </w:t>
      </w:r>
      <w:r w:rsidRPr="00FF6D7D">
        <w:rPr>
          <w:rFonts w:cs="Arial" w:hint="cs"/>
          <w:sz w:val="18"/>
          <w:szCs w:val="18"/>
          <w:rtl/>
        </w:rPr>
        <w:t>[הגה] ודוקא</w:t>
      </w:r>
      <w:r w:rsidRPr="00FF6D7D">
        <w:rPr>
          <w:rFonts w:cs="Arial"/>
          <w:sz w:val="18"/>
          <w:szCs w:val="18"/>
          <w:rtl/>
        </w:rPr>
        <w:t xml:space="preserve"> </w:t>
      </w:r>
      <w:r w:rsidRPr="00FF6D7D">
        <w:rPr>
          <w:rFonts w:cs="Arial" w:hint="cs"/>
          <w:sz w:val="18"/>
          <w:szCs w:val="18"/>
          <w:rtl/>
        </w:rPr>
        <w:t>בדיעבד</w:t>
      </w:r>
      <w:r w:rsidRPr="00FF6D7D">
        <w:rPr>
          <w:rFonts w:cs="Arial"/>
          <w:sz w:val="18"/>
          <w:szCs w:val="18"/>
          <w:rtl/>
        </w:rPr>
        <w:t xml:space="preserve"> </w:t>
      </w:r>
      <w:r w:rsidRPr="00FF6D7D">
        <w:rPr>
          <w:rFonts w:cs="Arial" w:hint="cs"/>
          <w:sz w:val="18"/>
          <w:szCs w:val="18"/>
          <w:rtl/>
        </w:rPr>
        <w:t>או</w:t>
      </w:r>
      <w:r w:rsidRPr="00FF6D7D">
        <w:rPr>
          <w:rFonts w:cs="Arial"/>
          <w:sz w:val="18"/>
          <w:szCs w:val="18"/>
          <w:rtl/>
        </w:rPr>
        <w:t xml:space="preserve"> </w:t>
      </w:r>
      <w:r w:rsidRPr="00FF6D7D">
        <w:rPr>
          <w:rFonts w:cs="Arial" w:hint="cs"/>
          <w:sz w:val="18"/>
          <w:szCs w:val="18"/>
          <w:rtl/>
        </w:rPr>
        <w:t>במקום</w:t>
      </w:r>
      <w:r w:rsidRPr="00FF6D7D">
        <w:rPr>
          <w:rFonts w:cs="Arial"/>
          <w:sz w:val="18"/>
          <w:szCs w:val="18"/>
          <w:rtl/>
        </w:rPr>
        <w:t xml:space="preserve"> </w:t>
      </w:r>
      <w:r w:rsidRPr="00FF6D7D">
        <w:rPr>
          <w:rFonts w:cs="Arial" w:hint="cs"/>
          <w:sz w:val="18"/>
          <w:szCs w:val="18"/>
          <w:rtl/>
        </w:rPr>
        <w:t>עיגון</w:t>
      </w:r>
      <w:r w:rsidRPr="00FF6D7D">
        <w:rPr>
          <w:rFonts w:cs="Arial"/>
          <w:sz w:val="18"/>
          <w:szCs w:val="18"/>
          <w:rtl/>
        </w:rPr>
        <w:t xml:space="preserve">, </w:t>
      </w:r>
      <w:r w:rsidRPr="00FF6D7D">
        <w:rPr>
          <w:rFonts w:cs="Arial" w:hint="cs"/>
          <w:sz w:val="18"/>
          <w:szCs w:val="18"/>
          <w:rtl/>
        </w:rPr>
        <w:t>כמו</w:t>
      </w:r>
      <w:r w:rsidRPr="00FF6D7D">
        <w:rPr>
          <w:rFonts w:cs="Arial"/>
          <w:sz w:val="18"/>
          <w:szCs w:val="18"/>
          <w:rtl/>
        </w:rPr>
        <w:t xml:space="preserve"> </w:t>
      </w:r>
      <w:r w:rsidRPr="00FF6D7D">
        <w:rPr>
          <w:rFonts w:cs="Arial" w:hint="cs"/>
          <w:sz w:val="18"/>
          <w:szCs w:val="18"/>
          <w:rtl/>
        </w:rPr>
        <w:t>שנתבאר</w:t>
      </w:r>
      <w:r w:rsidRPr="00FF6D7D">
        <w:rPr>
          <w:rFonts w:cs="Arial"/>
          <w:sz w:val="18"/>
          <w:szCs w:val="18"/>
          <w:rtl/>
        </w:rPr>
        <w:t xml:space="preserve"> </w:t>
      </w:r>
      <w:r w:rsidRPr="00FF6D7D">
        <w:rPr>
          <w:rFonts w:cs="Arial" w:hint="cs"/>
          <w:sz w:val="18"/>
          <w:szCs w:val="18"/>
          <w:rtl/>
        </w:rPr>
        <w:t>לעיל</w:t>
      </w:r>
      <w:r w:rsidRPr="00FF6D7D">
        <w:rPr>
          <w:rFonts w:cs="Arial"/>
          <w:sz w:val="18"/>
          <w:szCs w:val="18"/>
          <w:rtl/>
        </w:rPr>
        <w:t xml:space="preserve"> </w:t>
      </w:r>
      <w:r w:rsidRPr="00FF6D7D">
        <w:rPr>
          <w:rFonts w:cs="Arial" w:hint="cs"/>
          <w:sz w:val="18"/>
          <w:szCs w:val="18"/>
          <w:rtl/>
        </w:rPr>
        <w:t>סימן</w:t>
      </w:r>
      <w:r w:rsidRPr="00FF6D7D">
        <w:rPr>
          <w:rFonts w:cs="Arial"/>
          <w:sz w:val="18"/>
          <w:szCs w:val="18"/>
          <w:rtl/>
        </w:rPr>
        <w:t xml:space="preserve"> </w:t>
      </w:r>
      <w:r w:rsidRPr="00FF6D7D">
        <w:rPr>
          <w:rFonts w:cs="Arial" w:hint="cs"/>
          <w:sz w:val="18"/>
          <w:szCs w:val="18"/>
          <w:rtl/>
        </w:rPr>
        <w:t>קכ</w:t>
      </w:r>
      <w:r w:rsidRPr="00FF6D7D">
        <w:rPr>
          <w:rFonts w:cs="Arial"/>
          <w:sz w:val="18"/>
          <w:szCs w:val="18"/>
          <w:rtl/>
        </w:rPr>
        <w:t>"</w:t>
      </w:r>
      <w:r w:rsidRPr="00FF6D7D">
        <w:rPr>
          <w:rFonts w:cs="Arial" w:hint="cs"/>
          <w:sz w:val="18"/>
          <w:szCs w:val="18"/>
          <w:rtl/>
        </w:rPr>
        <w:t>ה</w:t>
      </w:r>
      <w:r w:rsidRPr="00FF6D7D">
        <w:rPr>
          <w:rFonts w:cs="Arial"/>
          <w:sz w:val="18"/>
          <w:szCs w:val="18"/>
          <w:rtl/>
        </w:rPr>
        <w:t xml:space="preserve"> </w:t>
      </w:r>
      <w:r w:rsidRPr="00FF6D7D">
        <w:rPr>
          <w:rFonts w:cs="Arial" w:hint="cs"/>
          <w:sz w:val="18"/>
          <w:szCs w:val="18"/>
          <w:rtl/>
        </w:rPr>
        <w:t>סעיף</w:t>
      </w:r>
      <w:r w:rsidRPr="00FF6D7D">
        <w:rPr>
          <w:rFonts w:cs="Arial"/>
          <w:sz w:val="18"/>
          <w:szCs w:val="18"/>
          <w:rtl/>
        </w:rPr>
        <w:t xml:space="preserve"> </w:t>
      </w:r>
      <w:r w:rsidRPr="00FF6D7D">
        <w:rPr>
          <w:rFonts w:cs="Arial" w:hint="cs"/>
          <w:sz w:val="18"/>
          <w:szCs w:val="18"/>
          <w:rtl/>
        </w:rPr>
        <w:t>י</w:t>
      </w:r>
      <w:r w:rsidRPr="00FF6D7D">
        <w:rPr>
          <w:rFonts w:cs="Arial"/>
          <w:sz w:val="18"/>
          <w:szCs w:val="18"/>
          <w:rtl/>
        </w:rPr>
        <w:t>"</w:t>
      </w:r>
      <w:r w:rsidRPr="00FF6D7D">
        <w:rPr>
          <w:rFonts w:cs="Arial" w:hint="cs"/>
          <w:sz w:val="18"/>
          <w:szCs w:val="18"/>
          <w:rtl/>
        </w:rPr>
        <w:t>ו</w:t>
      </w:r>
      <w:r w:rsidRPr="00FF6D7D">
        <w:rPr>
          <w:rFonts w:cs="Arial"/>
          <w:sz w:val="18"/>
          <w:szCs w:val="18"/>
          <w:rtl/>
        </w:rPr>
        <w:t xml:space="preserve">. </w:t>
      </w:r>
    </w:p>
    <w:p w14:paraId="37C260E8" w14:textId="77777777" w:rsidR="00FA2119" w:rsidRDefault="00FA2119" w:rsidP="00FA2119">
      <w:pPr>
        <w:rPr>
          <w:rtl/>
        </w:rPr>
      </w:pPr>
    </w:p>
    <w:p w14:paraId="370C6971" w14:textId="77777777" w:rsidR="00FA2119" w:rsidRDefault="00FA2119" w:rsidP="00FA2119">
      <w:pPr>
        <w:pStyle w:val="2"/>
        <w:rPr>
          <w:rtl/>
        </w:rPr>
      </w:pPr>
      <w:r>
        <w:rPr>
          <w:rFonts w:hint="cs"/>
          <w:rtl/>
        </w:rPr>
        <w:t>סעיף</w:t>
      </w:r>
      <w:r>
        <w:rPr>
          <w:rtl/>
        </w:rPr>
        <w:t xml:space="preserve"> </w:t>
      </w:r>
      <w:r>
        <w:rPr>
          <w:rFonts w:hint="cs"/>
          <w:rtl/>
        </w:rPr>
        <w:t xml:space="preserve">כ: באחת תיבות הגט יש דילוג של אות אחת. </w:t>
      </w:r>
    </w:p>
    <w:p w14:paraId="7235E0A0" w14:textId="77777777" w:rsidR="00FA2119" w:rsidRPr="00E52A56" w:rsidRDefault="00FA2119" w:rsidP="00FA2119">
      <w:pPr>
        <w:rPr>
          <w:rFonts w:cs="Arial"/>
          <w:u w:val="single"/>
        </w:rPr>
      </w:pPr>
      <w:r w:rsidRPr="00E52A56">
        <w:rPr>
          <w:rFonts w:cs="Arial"/>
          <w:u w:val="single"/>
          <w:rtl/>
        </w:rPr>
        <w:t>גט ש</w:t>
      </w:r>
      <w:r w:rsidRPr="00E52A56">
        <w:rPr>
          <w:rFonts w:cs="Arial" w:hint="cs"/>
          <w:u w:val="single"/>
          <w:rtl/>
        </w:rPr>
        <w:t>דילג בו אות ועדיין מבינים העניין</w:t>
      </w:r>
      <w:r>
        <w:rPr>
          <w:rFonts w:cs="Arial" w:hint="cs"/>
          <w:u w:val="single"/>
          <w:rtl/>
        </w:rPr>
        <w:t>,</w:t>
      </w:r>
      <w:r w:rsidRPr="00E52A56">
        <w:rPr>
          <w:rFonts w:cs="Arial" w:hint="cs"/>
          <w:u w:val="single"/>
          <w:rtl/>
        </w:rPr>
        <w:t xml:space="preserve"> ודילג את התיבה 'בשבת'</w:t>
      </w:r>
      <w:r w:rsidRPr="00E52A56">
        <w:rPr>
          <w:rFonts w:cs="Arial" w:hint="cs"/>
          <w:sz w:val="16"/>
          <w:szCs w:val="16"/>
          <w:u w:val="single"/>
          <w:rtl/>
        </w:rPr>
        <w:t xml:space="preserve"> ('כך וכך בשבת')</w:t>
      </w:r>
      <w:r>
        <w:rPr>
          <w:rFonts w:cs="Arial" w:hint="cs"/>
          <w:u w:val="single"/>
          <w:rtl/>
        </w:rPr>
        <w:t>,</w:t>
      </w:r>
      <w:r w:rsidRPr="00E52A56">
        <w:rPr>
          <w:rFonts w:cs="Arial" w:hint="cs"/>
          <w:u w:val="single"/>
          <w:rtl/>
        </w:rPr>
        <w:t xml:space="preserve"> וטעה יום אחד במנין החודש:</w:t>
      </w:r>
    </w:p>
    <w:p w14:paraId="17F74C65" w14:textId="791287F3" w:rsidR="00FA2119" w:rsidRPr="00746C42" w:rsidRDefault="00FA2119" w:rsidP="00FA2119">
      <w:pPr>
        <w:pStyle w:val="ab"/>
        <w:numPr>
          <w:ilvl w:val="0"/>
          <w:numId w:val="15"/>
        </w:numPr>
        <w:rPr>
          <w:rFonts w:cs="Arial"/>
          <w:rtl/>
        </w:rPr>
      </w:pPr>
      <w:r>
        <w:rPr>
          <w:rFonts w:cs="Arial" w:hint="cs"/>
          <w:rtl/>
        </w:rPr>
        <w:t xml:space="preserve">רא"ש </w:t>
      </w:r>
      <w:r>
        <w:rPr>
          <w:rFonts w:cs="Arial" w:hint="cs"/>
          <w:sz w:val="16"/>
          <w:szCs w:val="16"/>
          <w:rtl/>
        </w:rPr>
        <w:t>(כלל מה סי' כה, הביאו הטור)</w:t>
      </w:r>
      <w:r w:rsidR="00A82951">
        <w:rPr>
          <w:rFonts w:cs="Arial" w:hint="cs"/>
          <w:rtl/>
        </w:rPr>
        <w:t>-</w:t>
      </w:r>
      <w:r>
        <w:rPr>
          <w:rFonts w:cs="Arial" w:hint="cs"/>
          <w:rtl/>
        </w:rPr>
        <w:t xml:space="preserve"> </w:t>
      </w:r>
      <w:r w:rsidRPr="00967D9E">
        <w:rPr>
          <w:rFonts w:cs="Arial"/>
          <w:rtl/>
        </w:rPr>
        <w:t xml:space="preserve">ששאלת גט שכתוב בו </w:t>
      </w:r>
      <w:r>
        <w:rPr>
          <w:rFonts w:cs="Arial" w:hint="cs"/>
          <w:rtl/>
        </w:rPr>
        <w:t>'</w:t>
      </w:r>
      <w:r w:rsidRPr="00967D9E">
        <w:rPr>
          <w:rFonts w:cs="Arial"/>
          <w:rtl/>
        </w:rPr>
        <w:t>למנין אנו מנין</w:t>
      </w:r>
      <w:r>
        <w:rPr>
          <w:rFonts w:cs="Arial" w:hint="cs"/>
          <w:rtl/>
        </w:rPr>
        <w:t>'</w:t>
      </w:r>
      <w:r w:rsidRPr="00967D9E">
        <w:rPr>
          <w:rFonts w:cs="Arial"/>
          <w:rtl/>
        </w:rPr>
        <w:t xml:space="preserve"> ודילג השין</w:t>
      </w:r>
      <w:r>
        <w:rPr>
          <w:rFonts w:cs="Arial" w:hint="cs"/>
          <w:rtl/>
        </w:rPr>
        <w:t>,</w:t>
      </w:r>
      <w:r w:rsidRPr="00967D9E">
        <w:rPr>
          <w:rFonts w:cs="Arial"/>
          <w:rtl/>
        </w:rPr>
        <w:t xml:space="preserve"> וכתב </w:t>
      </w:r>
      <w:r>
        <w:rPr>
          <w:rFonts w:cs="Arial" w:hint="cs"/>
          <w:rtl/>
        </w:rPr>
        <w:t>'</w:t>
      </w:r>
      <w:r w:rsidRPr="00967D9E">
        <w:rPr>
          <w:rFonts w:cs="Arial"/>
          <w:rtl/>
        </w:rPr>
        <w:t>ברביעי כ' ימים לירח שבט</w:t>
      </w:r>
      <w:r>
        <w:rPr>
          <w:rFonts w:cs="Arial" w:hint="cs"/>
          <w:rtl/>
        </w:rPr>
        <w:t>'</w:t>
      </w:r>
      <w:r w:rsidRPr="00967D9E">
        <w:rPr>
          <w:rFonts w:cs="Arial"/>
          <w:rtl/>
        </w:rPr>
        <w:t xml:space="preserve"> ודלג ולא כתב בשבת</w:t>
      </w:r>
      <w:r>
        <w:rPr>
          <w:rFonts w:cs="Arial" w:hint="cs"/>
          <w:rtl/>
        </w:rPr>
        <w:t>,</w:t>
      </w:r>
      <w:r w:rsidRPr="00967D9E">
        <w:rPr>
          <w:rFonts w:cs="Arial"/>
          <w:rtl/>
        </w:rPr>
        <w:t xml:space="preserve"> וגם יום רביעי היה כ"א יום לשבט</w:t>
      </w:r>
      <w:r>
        <w:rPr>
          <w:rFonts w:cs="Arial" w:hint="cs"/>
          <w:rtl/>
        </w:rPr>
        <w:t>,</w:t>
      </w:r>
      <w:r w:rsidRPr="00967D9E">
        <w:rPr>
          <w:rFonts w:cs="Arial"/>
          <w:rtl/>
        </w:rPr>
        <w:t xml:space="preserve"> והוא כתב כ' </w:t>
      </w:r>
      <w:r w:rsidR="00A82951">
        <w:rPr>
          <w:rFonts w:cs="Arial" w:hint="cs"/>
          <w:rtl/>
        </w:rPr>
        <w:t>-</w:t>
      </w:r>
      <w:r>
        <w:rPr>
          <w:rFonts w:cs="Arial" w:hint="cs"/>
          <w:rtl/>
        </w:rPr>
        <w:t xml:space="preserve"> </w:t>
      </w:r>
      <w:r w:rsidRPr="00967D9E">
        <w:rPr>
          <w:rFonts w:cs="Arial"/>
          <w:rtl/>
        </w:rPr>
        <w:t>הגט כשר</w:t>
      </w:r>
      <w:r w:rsidR="004F5F81">
        <w:rPr>
          <w:rFonts w:cs="Arial" w:hint="cs"/>
          <w:rtl/>
        </w:rPr>
        <w:t>.</w:t>
      </w:r>
      <w:r w:rsidRPr="00967D9E">
        <w:rPr>
          <w:rFonts w:cs="Arial"/>
          <w:rtl/>
        </w:rPr>
        <w:t xml:space="preserve"> שאין לחוש לדילוג השי"ן</w:t>
      </w:r>
      <w:r>
        <w:rPr>
          <w:rFonts w:cs="Arial" w:hint="cs"/>
          <w:rtl/>
        </w:rPr>
        <w:t>,</w:t>
      </w:r>
      <w:r w:rsidRPr="00967D9E">
        <w:rPr>
          <w:rFonts w:cs="Arial"/>
          <w:rtl/>
        </w:rPr>
        <w:t xml:space="preserve"> דכיון שאנו מכירין סגנון הדבר</w:t>
      </w:r>
      <w:r>
        <w:rPr>
          <w:rFonts w:cs="Arial" w:hint="cs"/>
          <w:rtl/>
        </w:rPr>
        <w:t>,</w:t>
      </w:r>
      <w:r w:rsidRPr="00967D9E">
        <w:rPr>
          <w:rFonts w:cs="Arial"/>
          <w:rtl/>
        </w:rPr>
        <w:t xml:space="preserve"> בשביל דילוג אות אחד אין לפוסלו</w:t>
      </w:r>
      <w:r>
        <w:rPr>
          <w:rStyle w:val="a7"/>
          <w:rFonts w:cs="Arial"/>
          <w:rtl/>
        </w:rPr>
        <w:footnoteReference w:id="777"/>
      </w:r>
      <w:r>
        <w:rPr>
          <w:rFonts w:cs="Arial" w:hint="cs"/>
          <w:rtl/>
        </w:rPr>
        <w:t>.</w:t>
      </w:r>
      <w:r w:rsidRPr="00967D9E">
        <w:rPr>
          <w:rFonts w:cs="Arial"/>
          <w:rtl/>
        </w:rPr>
        <w:t xml:space="preserve"> וכן בשביל שדילג בשבת אין לפוסלו</w:t>
      </w:r>
      <w:r>
        <w:rPr>
          <w:rFonts w:cs="Arial" w:hint="cs"/>
          <w:rtl/>
        </w:rPr>
        <w:t>,</w:t>
      </w:r>
      <w:r w:rsidRPr="00967D9E">
        <w:rPr>
          <w:rFonts w:cs="Arial"/>
          <w:rtl/>
        </w:rPr>
        <w:t xml:space="preserve"> כי ברביעי אין לו פירוש אחר אלא בשבת כיון דכתיב בתריה כ' יום לחדש</w:t>
      </w:r>
      <w:r>
        <w:rPr>
          <w:rStyle w:val="a7"/>
          <w:rFonts w:cs="Arial"/>
          <w:rtl/>
        </w:rPr>
        <w:footnoteReference w:id="778"/>
      </w:r>
      <w:r>
        <w:rPr>
          <w:rFonts w:cs="Arial" w:hint="cs"/>
          <w:rtl/>
        </w:rPr>
        <w:t>.</w:t>
      </w:r>
      <w:r w:rsidRPr="00967D9E">
        <w:rPr>
          <w:rFonts w:cs="Arial"/>
          <w:rtl/>
        </w:rPr>
        <w:t xml:space="preserve"> וגם אין לפוסלו במה שכתב כ' לחדש שבט והוא כ"א ונמצא שהקדים זמן הגט יום אחד והוי גט מוקדם</w:t>
      </w:r>
      <w:r>
        <w:rPr>
          <w:rFonts w:cs="Arial" w:hint="cs"/>
          <w:rtl/>
        </w:rPr>
        <w:t>,</w:t>
      </w:r>
      <w:r w:rsidRPr="00967D9E">
        <w:rPr>
          <w:rFonts w:cs="Arial"/>
          <w:rtl/>
        </w:rPr>
        <w:t xml:space="preserve"> דכיון שידוע שר"ח שבט היה ביום חמישי</w:t>
      </w:r>
      <w:r>
        <w:rPr>
          <w:rFonts w:cs="Arial" w:hint="cs"/>
          <w:rtl/>
        </w:rPr>
        <w:t>,</w:t>
      </w:r>
      <w:r w:rsidRPr="00967D9E">
        <w:rPr>
          <w:rFonts w:cs="Arial"/>
          <w:rtl/>
        </w:rPr>
        <w:t xml:space="preserve"> ורביעי בשבת אי אפשר להיות כ' בחדש אלא כ"א תלינן בטעות הסופר שלא היה זכור קביעות החדש ולא הוי מוקדם</w:t>
      </w:r>
      <w:r>
        <w:rPr>
          <w:rFonts w:cs="Arial" w:hint="cs"/>
          <w:rtl/>
        </w:rPr>
        <w:t>.</w:t>
      </w:r>
      <w:r w:rsidRPr="00967D9E">
        <w:rPr>
          <w:rFonts w:cs="Arial"/>
          <w:rtl/>
        </w:rPr>
        <w:t xml:space="preserve"> אע</w:t>
      </w:r>
      <w:r>
        <w:rPr>
          <w:rFonts w:cs="Arial" w:hint="cs"/>
          <w:rtl/>
        </w:rPr>
        <w:t>"</w:t>
      </w:r>
      <w:r w:rsidRPr="00967D9E">
        <w:rPr>
          <w:rFonts w:cs="Arial"/>
          <w:rtl/>
        </w:rPr>
        <w:t>ג דקי</w:t>
      </w:r>
      <w:r>
        <w:rPr>
          <w:rFonts w:cs="Arial" w:hint="cs"/>
          <w:rtl/>
        </w:rPr>
        <w:t>י"</w:t>
      </w:r>
      <w:r w:rsidRPr="00967D9E">
        <w:rPr>
          <w:rFonts w:cs="Arial"/>
          <w:rtl/>
        </w:rPr>
        <w:t>ל דוקא עד רובו של חדש טעו אינשי בקביעא דירחא אבל משעבר רובו של חדש לא טעו בו אינשי</w:t>
      </w:r>
      <w:r>
        <w:rPr>
          <w:rFonts w:cs="Arial" w:hint="cs"/>
          <w:rtl/>
        </w:rPr>
        <w:t>,</w:t>
      </w:r>
      <w:r w:rsidRPr="00967D9E">
        <w:rPr>
          <w:rFonts w:cs="Arial"/>
          <w:rtl/>
        </w:rPr>
        <w:t xml:space="preserve"> הכא אין חילוק דע"כ טעה שהרי דבריו סותרים זה את זה</w:t>
      </w:r>
      <w:r>
        <w:rPr>
          <w:rStyle w:val="a7"/>
          <w:rFonts w:cs="Arial"/>
          <w:rtl/>
        </w:rPr>
        <w:footnoteReference w:id="779"/>
      </w:r>
      <w:r>
        <w:rPr>
          <w:rFonts w:cs="Arial" w:hint="cs"/>
          <w:rtl/>
        </w:rPr>
        <w:t>,</w:t>
      </w:r>
      <w:r w:rsidRPr="00967D9E">
        <w:rPr>
          <w:rFonts w:cs="Arial"/>
          <w:rtl/>
        </w:rPr>
        <w:t xml:space="preserve"> אם הוא רביעי הוא כ"א לחדש</w:t>
      </w:r>
      <w:r>
        <w:rPr>
          <w:rFonts w:cs="Arial" w:hint="cs"/>
          <w:rtl/>
        </w:rPr>
        <w:t>,</w:t>
      </w:r>
      <w:r w:rsidRPr="00967D9E">
        <w:rPr>
          <w:rFonts w:cs="Arial"/>
          <w:rtl/>
        </w:rPr>
        <w:t xml:space="preserve"> ואם הוא כ' בחדש כמו שכתב הרי הוא ביום ג'</w:t>
      </w:r>
      <w:r>
        <w:rPr>
          <w:rFonts w:cs="Arial" w:hint="cs"/>
          <w:rtl/>
        </w:rPr>
        <w:t>,</w:t>
      </w:r>
      <w:r w:rsidRPr="00967D9E">
        <w:rPr>
          <w:rFonts w:cs="Arial"/>
          <w:rtl/>
        </w:rPr>
        <w:t xml:space="preserve"> ועל כרחו טעה או בקביעות החדש הנכון או בין יום שלישי לרביעי</w:t>
      </w:r>
      <w:r>
        <w:rPr>
          <w:rFonts w:cs="Arial" w:hint="cs"/>
          <w:rtl/>
        </w:rPr>
        <w:t>,</w:t>
      </w:r>
      <w:r w:rsidRPr="00967D9E">
        <w:rPr>
          <w:rFonts w:cs="Arial"/>
          <w:rtl/>
        </w:rPr>
        <w:t xml:space="preserve"> ובימי השבוע לא שכיחי דטעו אינשי</w:t>
      </w:r>
      <w:r>
        <w:rPr>
          <w:rFonts w:cs="Arial" w:hint="cs"/>
          <w:rtl/>
        </w:rPr>
        <w:t>,</w:t>
      </w:r>
      <w:r w:rsidRPr="00967D9E">
        <w:rPr>
          <w:rFonts w:cs="Arial"/>
          <w:rtl/>
        </w:rPr>
        <w:t xml:space="preserve"> הילכך תלינן הטעות בקביעות החדש ואין כאן הקדמה והגט כשר</w:t>
      </w:r>
      <w:r>
        <w:rPr>
          <w:rFonts w:cs="Arial" w:hint="cs"/>
          <w:sz w:val="16"/>
          <w:szCs w:val="16"/>
          <w:rtl/>
        </w:rPr>
        <w:t xml:space="preserve"> (ל' הטור בשם הרא"ש)</w:t>
      </w:r>
      <w:r>
        <w:rPr>
          <w:rFonts w:cs="Arial" w:hint="cs"/>
          <w:rtl/>
        </w:rPr>
        <w:t>.</w:t>
      </w:r>
      <w:r w:rsidRPr="00967D9E">
        <w:rPr>
          <w:rFonts w:cs="Arial"/>
          <w:rtl/>
        </w:rPr>
        <w:t xml:space="preserve"> </w:t>
      </w:r>
      <w:r w:rsidRPr="00746C42">
        <w:rPr>
          <w:rFonts w:hint="cs"/>
          <w:color w:val="E36C0A" w:themeColor="accent6" w:themeShade="BF"/>
          <w:rtl/>
        </w:rPr>
        <w:t>(וכ"פ בשו"ע</w:t>
      </w:r>
      <w:r>
        <w:rPr>
          <w:rFonts w:hint="cs"/>
          <w:color w:val="E36C0A" w:themeColor="accent6" w:themeShade="BF"/>
          <w:sz w:val="16"/>
          <w:szCs w:val="16"/>
          <w:rtl/>
        </w:rPr>
        <w:t xml:space="preserve"> </w:t>
      </w:r>
      <w:r w:rsidRPr="009B1493">
        <w:rPr>
          <w:rFonts w:hint="cs"/>
          <w:color w:val="000000" w:themeColor="text1"/>
          <w:sz w:val="16"/>
          <w:szCs w:val="16"/>
          <w:rtl/>
        </w:rPr>
        <w:t>[</w:t>
      </w:r>
      <w:r>
        <w:rPr>
          <w:rFonts w:hint="cs"/>
          <w:color w:val="000000" w:themeColor="text1"/>
          <w:sz w:val="16"/>
          <w:szCs w:val="16"/>
          <w:rtl/>
        </w:rPr>
        <w:t>ובחו"מ סי' מג ס"ד</w:t>
      </w:r>
      <w:r w:rsidR="00A82951">
        <w:rPr>
          <w:rFonts w:hint="cs"/>
          <w:color w:val="000000" w:themeColor="text1"/>
          <w:sz w:val="16"/>
          <w:szCs w:val="16"/>
          <w:rtl/>
        </w:rPr>
        <w:t>-</w:t>
      </w:r>
      <w:r>
        <w:rPr>
          <w:rFonts w:hint="cs"/>
          <w:color w:val="000000" w:themeColor="text1"/>
          <w:sz w:val="16"/>
          <w:szCs w:val="16"/>
          <w:rtl/>
        </w:rPr>
        <w:t>ה]</w:t>
      </w:r>
      <w:r w:rsidRPr="00746C42">
        <w:rPr>
          <w:rFonts w:hint="cs"/>
          <w:color w:val="E36C0A" w:themeColor="accent6" w:themeShade="BF"/>
          <w:rtl/>
        </w:rPr>
        <w:t>)</w:t>
      </w:r>
    </w:p>
    <w:p w14:paraId="053A7252"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E406D09" w14:textId="77777777" w:rsidR="00FA2119" w:rsidRDefault="00FA2119" w:rsidP="00FA2119">
      <w:pPr>
        <w:rPr>
          <w:rtl/>
        </w:rPr>
      </w:pPr>
      <w:r>
        <w:rPr>
          <w:rFonts w:cs="Arial" w:hint="cs"/>
          <w:rtl/>
        </w:rPr>
        <w:t>כיון</w:t>
      </w:r>
      <w:r>
        <w:rPr>
          <w:rFonts w:cs="Arial"/>
          <w:rtl/>
        </w:rPr>
        <w:t xml:space="preserve"> </w:t>
      </w:r>
      <w:r>
        <w:rPr>
          <w:rFonts w:cs="Arial" w:hint="cs"/>
          <w:rtl/>
        </w:rPr>
        <w:t>שאנו</w:t>
      </w:r>
      <w:r>
        <w:rPr>
          <w:rFonts w:cs="Arial"/>
          <w:rtl/>
        </w:rPr>
        <w:t xml:space="preserve"> </w:t>
      </w:r>
      <w:r>
        <w:rPr>
          <w:rFonts w:cs="Arial" w:hint="cs"/>
          <w:rtl/>
        </w:rPr>
        <w:t>מכירין</w:t>
      </w:r>
      <w:r>
        <w:rPr>
          <w:rFonts w:cs="Arial"/>
          <w:rtl/>
        </w:rPr>
        <w:t xml:space="preserve"> </w:t>
      </w:r>
      <w:r>
        <w:rPr>
          <w:rFonts w:cs="Arial" w:hint="cs"/>
          <w:rtl/>
        </w:rPr>
        <w:t>סגנון</w:t>
      </w:r>
      <w:r>
        <w:rPr>
          <w:rFonts w:cs="Arial"/>
          <w:rtl/>
        </w:rPr>
        <w:t xml:space="preserve"> </w:t>
      </w:r>
      <w:r>
        <w:rPr>
          <w:rFonts w:cs="Arial" w:hint="cs"/>
          <w:rtl/>
        </w:rPr>
        <w:t>הדבר</w:t>
      </w:r>
      <w:r>
        <w:rPr>
          <w:rFonts w:cs="Arial"/>
          <w:rtl/>
        </w:rPr>
        <w:t xml:space="preserve">, </w:t>
      </w:r>
      <w:r>
        <w:rPr>
          <w:rFonts w:cs="Arial" w:hint="cs"/>
          <w:rtl/>
        </w:rPr>
        <w:t>אין</w:t>
      </w:r>
      <w:r>
        <w:rPr>
          <w:rFonts w:cs="Arial"/>
          <w:rtl/>
        </w:rPr>
        <w:t xml:space="preserve"> </w:t>
      </w:r>
      <w:r>
        <w:rPr>
          <w:rFonts w:cs="Arial" w:hint="cs"/>
          <w:rtl/>
        </w:rPr>
        <w:t>לפוסלו</w:t>
      </w:r>
      <w:r>
        <w:rPr>
          <w:rFonts w:cs="Arial"/>
          <w:rtl/>
        </w:rPr>
        <w:t xml:space="preserve"> </w:t>
      </w:r>
      <w:r>
        <w:rPr>
          <w:rFonts w:cs="Arial" w:hint="cs"/>
          <w:rtl/>
        </w:rPr>
        <w:t>בשביל</w:t>
      </w:r>
      <w:r>
        <w:rPr>
          <w:rFonts w:cs="Arial"/>
          <w:rtl/>
        </w:rPr>
        <w:t xml:space="preserve"> </w:t>
      </w:r>
      <w:r>
        <w:rPr>
          <w:rFonts w:cs="Arial" w:hint="cs"/>
          <w:rtl/>
        </w:rPr>
        <w:t>דילוג</w:t>
      </w:r>
      <w:r>
        <w:rPr>
          <w:rFonts w:cs="Arial"/>
          <w:rtl/>
        </w:rPr>
        <w:t xml:space="preserve"> </w:t>
      </w:r>
      <w:r>
        <w:rPr>
          <w:rFonts w:cs="Arial" w:hint="cs"/>
          <w:rtl/>
        </w:rPr>
        <w:t>אות</w:t>
      </w:r>
      <w:r>
        <w:rPr>
          <w:rFonts w:cs="Arial"/>
          <w:rtl/>
        </w:rPr>
        <w:t xml:space="preserve"> </w:t>
      </w:r>
      <w:r>
        <w:rPr>
          <w:rFonts w:cs="Arial" w:hint="cs"/>
          <w:rtl/>
        </w:rPr>
        <w:t>אחת</w:t>
      </w:r>
      <w:r>
        <w:rPr>
          <w:rFonts w:cs="Arial"/>
          <w:rtl/>
        </w:rPr>
        <w:t xml:space="preserve">. </w:t>
      </w:r>
    </w:p>
    <w:p w14:paraId="78A3C36A" w14:textId="77777777" w:rsidR="00FA2119" w:rsidRDefault="00FA2119" w:rsidP="00FA2119">
      <w:pPr>
        <w:rPr>
          <w:rtl/>
        </w:rPr>
      </w:pPr>
    </w:p>
    <w:p w14:paraId="3D8CAED9" w14:textId="77777777" w:rsidR="00FA2119" w:rsidRPr="00E51D5B" w:rsidRDefault="00FA2119" w:rsidP="00FA2119">
      <w:pPr>
        <w:pStyle w:val="2"/>
        <w:rPr>
          <w:rtl/>
        </w:rPr>
      </w:pPr>
      <w:r w:rsidRPr="00E51D5B">
        <w:rPr>
          <w:rFonts w:hint="cs"/>
          <w:rtl/>
        </w:rPr>
        <w:t>סעיף</w:t>
      </w:r>
      <w:r w:rsidRPr="00E51D5B">
        <w:rPr>
          <w:rtl/>
        </w:rPr>
        <w:t xml:space="preserve"> </w:t>
      </w:r>
      <w:r w:rsidRPr="00E51D5B">
        <w:rPr>
          <w:rFonts w:hint="cs"/>
          <w:rtl/>
        </w:rPr>
        <w:t>כא: דילג את התיבה 'בשבת'</w:t>
      </w:r>
      <w:r w:rsidRPr="00E51D5B">
        <w:rPr>
          <w:rFonts w:hint="cs"/>
          <w:sz w:val="16"/>
          <w:szCs w:val="16"/>
          <w:rtl/>
        </w:rPr>
        <w:t xml:space="preserve"> ('כך וכך בשבת')</w:t>
      </w:r>
      <w:r w:rsidRPr="00E51D5B">
        <w:rPr>
          <w:rFonts w:hint="cs"/>
          <w:rtl/>
        </w:rPr>
        <w:t>, וטעה יום אחד במנין החודש</w:t>
      </w:r>
      <w:r>
        <w:rPr>
          <w:rFonts w:hint="cs"/>
          <w:rtl/>
        </w:rPr>
        <w:t>.</w:t>
      </w:r>
    </w:p>
    <w:p w14:paraId="591C7FB1" w14:textId="77777777" w:rsidR="00FA2119" w:rsidRPr="00FF6D7D" w:rsidRDefault="00FA2119" w:rsidP="00FA2119">
      <w:pPr>
        <w:rPr>
          <w:rtl/>
        </w:rPr>
      </w:pPr>
      <w:r>
        <w:rPr>
          <w:rFonts w:hint="cs"/>
          <w:rtl/>
        </w:rPr>
        <w:t>עיין במקורות בסעיף הקודם.</w:t>
      </w:r>
    </w:p>
    <w:p w14:paraId="355B805E"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258728A" w14:textId="36D8D1B8" w:rsidR="00FA2119" w:rsidRDefault="00FA2119" w:rsidP="00FA2119">
      <w:pPr>
        <w:rPr>
          <w:rtl/>
        </w:rPr>
      </w:pPr>
      <w:r>
        <w:rPr>
          <w:rFonts w:cs="Arial" w:hint="cs"/>
          <w:rtl/>
        </w:rPr>
        <w:lastRenderedPageBreak/>
        <w:t>אם</w:t>
      </w:r>
      <w:r>
        <w:rPr>
          <w:rFonts w:cs="Arial"/>
          <w:rtl/>
        </w:rPr>
        <w:t xml:space="preserve"> </w:t>
      </w:r>
      <w:r>
        <w:rPr>
          <w:rFonts w:cs="Arial" w:hint="cs"/>
          <w:rtl/>
        </w:rPr>
        <w:t>כתב</w:t>
      </w:r>
      <w:r>
        <w:rPr>
          <w:rFonts w:cs="Arial"/>
          <w:rtl/>
        </w:rPr>
        <w:t xml:space="preserve">: </w:t>
      </w:r>
      <w:r>
        <w:rPr>
          <w:rFonts w:cs="Arial" w:hint="cs"/>
          <w:rtl/>
        </w:rPr>
        <w:t>ברביעי</w:t>
      </w:r>
      <w:r>
        <w:rPr>
          <w:rFonts w:cs="Arial"/>
          <w:rtl/>
        </w:rPr>
        <w:t xml:space="preserve"> </w:t>
      </w:r>
      <w:r>
        <w:rPr>
          <w:rFonts w:cs="Arial" w:hint="cs"/>
          <w:rtl/>
        </w:rPr>
        <w:t>עשרים</w:t>
      </w:r>
      <w:r>
        <w:rPr>
          <w:rFonts w:cs="Arial"/>
          <w:rtl/>
        </w:rPr>
        <w:t xml:space="preserve"> </w:t>
      </w:r>
      <w:r>
        <w:rPr>
          <w:rFonts w:cs="Arial" w:hint="cs"/>
          <w:rtl/>
        </w:rPr>
        <w:t>יום</w:t>
      </w:r>
      <w:r>
        <w:rPr>
          <w:rFonts w:cs="Arial"/>
          <w:rtl/>
        </w:rPr>
        <w:t xml:space="preserve"> </w:t>
      </w:r>
      <w:r>
        <w:rPr>
          <w:rFonts w:cs="Arial" w:hint="cs"/>
          <w:rtl/>
        </w:rPr>
        <w:t>לירח</w:t>
      </w:r>
      <w:r>
        <w:rPr>
          <w:rFonts w:cs="Arial"/>
          <w:rtl/>
        </w:rPr>
        <w:t xml:space="preserve"> </w:t>
      </w:r>
      <w:r>
        <w:rPr>
          <w:rFonts w:cs="Arial" w:hint="cs"/>
          <w:rtl/>
        </w:rPr>
        <w:t>שבט</w:t>
      </w:r>
      <w:r>
        <w:rPr>
          <w:rFonts w:cs="Arial"/>
          <w:rtl/>
        </w:rPr>
        <w:t xml:space="preserve">, </w:t>
      </w:r>
      <w:r>
        <w:rPr>
          <w:rFonts w:cs="Arial" w:hint="cs"/>
          <w:rtl/>
        </w:rPr>
        <w:t>ודילג</w:t>
      </w:r>
      <w:r>
        <w:rPr>
          <w:rFonts w:cs="Arial"/>
          <w:rtl/>
        </w:rPr>
        <w:t xml:space="preserve"> </w:t>
      </w:r>
      <w:r>
        <w:rPr>
          <w:rFonts w:cs="Arial" w:hint="cs"/>
          <w:rtl/>
        </w:rPr>
        <w:t>ולא</w:t>
      </w:r>
      <w:r>
        <w:rPr>
          <w:rFonts w:cs="Arial"/>
          <w:rtl/>
        </w:rPr>
        <w:t xml:space="preserve"> </w:t>
      </w:r>
      <w:r>
        <w:rPr>
          <w:rFonts w:cs="Arial" w:hint="cs"/>
          <w:rtl/>
        </w:rPr>
        <w:t>כתב</w:t>
      </w:r>
      <w:r>
        <w:rPr>
          <w:rFonts w:cs="Arial"/>
          <w:rtl/>
        </w:rPr>
        <w:t xml:space="preserve">: </w:t>
      </w:r>
      <w:r>
        <w:rPr>
          <w:rFonts w:cs="Arial" w:hint="cs"/>
          <w:rtl/>
        </w:rPr>
        <w:t>בשבת</w:t>
      </w:r>
      <w:r>
        <w:rPr>
          <w:rFonts w:cs="Arial"/>
          <w:rtl/>
        </w:rPr>
        <w:t xml:space="preserve">, </w:t>
      </w:r>
      <w:r>
        <w:rPr>
          <w:rFonts w:cs="Arial" w:hint="cs"/>
          <w:rtl/>
        </w:rPr>
        <w:t>וגם</w:t>
      </w:r>
      <w:r>
        <w:rPr>
          <w:rFonts w:cs="Arial"/>
          <w:rtl/>
        </w:rPr>
        <w:t xml:space="preserve"> </w:t>
      </w:r>
      <w:r>
        <w:rPr>
          <w:rFonts w:cs="Arial" w:hint="cs"/>
          <w:rtl/>
        </w:rPr>
        <w:t>יום</w:t>
      </w:r>
      <w:r>
        <w:rPr>
          <w:rFonts w:cs="Arial"/>
          <w:rtl/>
        </w:rPr>
        <w:t xml:space="preserve"> </w:t>
      </w:r>
      <w:r>
        <w:rPr>
          <w:rFonts w:cs="Arial" w:hint="cs"/>
          <w:rtl/>
        </w:rPr>
        <w:t>רביעי</w:t>
      </w:r>
      <w:r>
        <w:rPr>
          <w:rFonts w:cs="Arial"/>
          <w:rtl/>
        </w:rPr>
        <w:t xml:space="preserve"> </w:t>
      </w:r>
      <w:r>
        <w:rPr>
          <w:rFonts w:cs="Arial" w:hint="cs"/>
          <w:rtl/>
        </w:rPr>
        <w:t>היה</w:t>
      </w:r>
      <w:r>
        <w:rPr>
          <w:rFonts w:cs="Arial"/>
          <w:rtl/>
        </w:rPr>
        <w:t xml:space="preserve"> </w:t>
      </w:r>
      <w:r>
        <w:rPr>
          <w:rFonts w:cs="Arial" w:hint="cs"/>
          <w:rtl/>
        </w:rPr>
        <w:t>כ</w:t>
      </w:r>
      <w:r>
        <w:rPr>
          <w:rFonts w:cs="Arial"/>
          <w:rtl/>
        </w:rPr>
        <w:t>"</w:t>
      </w:r>
      <w:r>
        <w:rPr>
          <w:rFonts w:cs="Arial" w:hint="cs"/>
          <w:rtl/>
        </w:rPr>
        <w:t>א</w:t>
      </w:r>
      <w:r>
        <w:rPr>
          <w:rFonts w:cs="Arial"/>
          <w:rtl/>
        </w:rPr>
        <w:t xml:space="preserve"> </w:t>
      </w:r>
      <w:r>
        <w:rPr>
          <w:rFonts w:cs="Arial" w:hint="cs"/>
          <w:rtl/>
        </w:rPr>
        <w:t>לשבט</w:t>
      </w:r>
      <w:r>
        <w:rPr>
          <w:rFonts w:cs="Arial"/>
          <w:rtl/>
        </w:rPr>
        <w:t xml:space="preserve"> </w:t>
      </w:r>
      <w:r>
        <w:rPr>
          <w:rFonts w:cs="Arial" w:hint="cs"/>
          <w:rtl/>
        </w:rPr>
        <w:t>והוא</w:t>
      </w:r>
      <w:r>
        <w:rPr>
          <w:rFonts w:cs="Arial"/>
          <w:rtl/>
        </w:rPr>
        <w:t xml:space="preserve"> </w:t>
      </w:r>
      <w:r>
        <w:rPr>
          <w:rFonts w:cs="Arial" w:hint="cs"/>
          <w:rtl/>
        </w:rPr>
        <w:t>כתב</w:t>
      </w:r>
      <w:r>
        <w:rPr>
          <w:rFonts w:cs="Arial"/>
          <w:rtl/>
        </w:rPr>
        <w:t xml:space="preserve">: </w:t>
      </w:r>
      <w:r>
        <w:rPr>
          <w:rFonts w:cs="Arial" w:hint="cs"/>
          <w:rtl/>
        </w:rPr>
        <w:t>עשרים</w:t>
      </w:r>
      <w:r>
        <w:rPr>
          <w:rFonts w:cs="Arial"/>
          <w:rtl/>
        </w:rPr>
        <w:t xml:space="preserve">, </w:t>
      </w:r>
      <w:r>
        <w:rPr>
          <w:rFonts w:cs="Arial" w:hint="cs"/>
          <w:rtl/>
        </w:rPr>
        <w:t>הגט</w:t>
      </w:r>
      <w:r>
        <w:rPr>
          <w:rFonts w:cs="Arial"/>
          <w:rtl/>
        </w:rPr>
        <w:t xml:space="preserve"> </w:t>
      </w:r>
      <w:r>
        <w:rPr>
          <w:rFonts w:cs="Arial" w:hint="cs"/>
          <w:rtl/>
        </w:rPr>
        <w:t>כשר</w:t>
      </w:r>
      <w:r>
        <w:rPr>
          <w:rFonts w:cs="Arial"/>
          <w:rtl/>
        </w:rPr>
        <w:t xml:space="preserve">. </w:t>
      </w:r>
      <w:r>
        <w:rPr>
          <w:rFonts w:cs="Arial" w:hint="cs"/>
          <w:sz w:val="18"/>
          <w:szCs w:val="18"/>
          <w:rtl/>
        </w:rPr>
        <w:t xml:space="preserve">[הגה] </w:t>
      </w:r>
      <w:r w:rsidRPr="004667CC">
        <w:rPr>
          <w:rFonts w:cs="Arial" w:hint="cs"/>
          <w:sz w:val="18"/>
          <w:szCs w:val="18"/>
          <w:rtl/>
        </w:rPr>
        <w:t>ויש</w:t>
      </w:r>
      <w:r>
        <w:rPr>
          <w:rStyle w:val="a7"/>
          <w:rFonts w:cs="Arial"/>
          <w:sz w:val="18"/>
          <w:szCs w:val="18"/>
          <w:rtl/>
        </w:rPr>
        <w:footnoteReference w:id="780"/>
      </w:r>
      <w:r w:rsidRPr="004667CC">
        <w:rPr>
          <w:rFonts w:cs="Arial"/>
          <w:sz w:val="18"/>
          <w:szCs w:val="18"/>
          <w:rtl/>
        </w:rPr>
        <w:t xml:space="preserve"> </w:t>
      </w:r>
      <w:r w:rsidRPr="004667CC">
        <w:rPr>
          <w:rFonts w:cs="Arial" w:hint="cs"/>
          <w:sz w:val="18"/>
          <w:szCs w:val="18"/>
          <w:rtl/>
        </w:rPr>
        <w:t>חולקין</w:t>
      </w:r>
      <w:r w:rsidRPr="004667CC">
        <w:rPr>
          <w:rFonts w:cs="Arial"/>
          <w:sz w:val="18"/>
          <w:szCs w:val="18"/>
          <w:rtl/>
        </w:rPr>
        <w:t xml:space="preserve"> </w:t>
      </w:r>
      <w:r w:rsidRPr="004667CC">
        <w:rPr>
          <w:rFonts w:cs="Arial" w:hint="cs"/>
          <w:sz w:val="18"/>
          <w:szCs w:val="18"/>
          <w:rtl/>
        </w:rPr>
        <w:t>ופוסלין</w:t>
      </w:r>
      <w:r w:rsidRPr="004667CC">
        <w:rPr>
          <w:rFonts w:cs="Arial"/>
          <w:sz w:val="18"/>
          <w:szCs w:val="18"/>
          <w:rtl/>
        </w:rPr>
        <w:t xml:space="preserve"> </w:t>
      </w:r>
      <w:r w:rsidRPr="004667CC">
        <w:rPr>
          <w:rFonts w:cs="Arial" w:hint="cs"/>
          <w:sz w:val="18"/>
          <w:szCs w:val="18"/>
          <w:rtl/>
        </w:rPr>
        <w:t>בכה</w:t>
      </w:r>
      <w:r w:rsidRPr="004667CC">
        <w:rPr>
          <w:rFonts w:cs="Arial"/>
          <w:sz w:val="18"/>
          <w:szCs w:val="18"/>
          <w:rtl/>
        </w:rPr>
        <w:t>"</w:t>
      </w:r>
      <w:r w:rsidRPr="004667CC">
        <w:rPr>
          <w:rFonts w:cs="Arial" w:hint="cs"/>
          <w:sz w:val="18"/>
          <w:szCs w:val="18"/>
          <w:rtl/>
        </w:rPr>
        <w:t>ג</w:t>
      </w:r>
      <w:r>
        <w:rPr>
          <w:rStyle w:val="a7"/>
          <w:rFonts w:cs="Arial"/>
          <w:sz w:val="18"/>
          <w:szCs w:val="18"/>
          <w:rtl/>
        </w:rPr>
        <w:footnoteReference w:id="781"/>
      </w:r>
      <w:r w:rsidRPr="004667CC">
        <w:rPr>
          <w:rFonts w:cs="Arial"/>
          <w:sz w:val="18"/>
          <w:szCs w:val="18"/>
          <w:rtl/>
        </w:rPr>
        <w:t xml:space="preserve"> (</w:t>
      </w:r>
      <w:r w:rsidRPr="004667CC">
        <w:rPr>
          <w:rFonts w:cs="Arial" w:hint="cs"/>
          <w:sz w:val="18"/>
          <w:szCs w:val="18"/>
          <w:rtl/>
        </w:rPr>
        <w:t>ריב</w:t>
      </w:r>
      <w:r w:rsidRPr="004667CC">
        <w:rPr>
          <w:rFonts w:cs="Arial"/>
          <w:sz w:val="18"/>
          <w:szCs w:val="18"/>
          <w:rtl/>
        </w:rPr>
        <w:t>"</w:t>
      </w:r>
      <w:r w:rsidRPr="004667CC">
        <w:rPr>
          <w:rFonts w:cs="Arial" w:hint="cs"/>
          <w:sz w:val="18"/>
          <w:szCs w:val="18"/>
          <w:rtl/>
        </w:rPr>
        <w:t>ש</w:t>
      </w:r>
      <w:r>
        <w:rPr>
          <w:rFonts w:cs="Arial" w:hint="cs"/>
          <w:sz w:val="18"/>
          <w:szCs w:val="18"/>
          <w:rtl/>
        </w:rPr>
        <w:t>)</w:t>
      </w:r>
      <w:r w:rsidRPr="004667CC">
        <w:rPr>
          <w:rFonts w:cs="Arial"/>
          <w:sz w:val="18"/>
          <w:szCs w:val="18"/>
          <w:rtl/>
        </w:rPr>
        <w:t xml:space="preserve">. </w:t>
      </w:r>
    </w:p>
    <w:p w14:paraId="662ECA2F" w14:textId="77777777" w:rsidR="00FA2119" w:rsidRDefault="00FA2119" w:rsidP="00FA2119">
      <w:pPr>
        <w:rPr>
          <w:rtl/>
        </w:rPr>
      </w:pPr>
    </w:p>
    <w:p w14:paraId="2C0F53CD" w14:textId="77777777" w:rsidR="00FA2119" w:rsidRDefault="00FA2119" w:rsidP="00FA2119">
      <w:pPr>
        <w:pStyle w:val="2"/>
        <w:rPr>
          <w:rtl/>
        </w:rPr>
      </w:pPr>
      <w:r>
        <w:rPr>
          <w:rFonts w:hint="cs"/>
          <w:rtl/>
        </w:rPr>
        <w:t>סעיף</w:t>
      </w:r>
      <w:r>
        <w:rPr>
          <w:rtl/>
        </w:rPr>
        <w:t xml:space="preserve"> </w:t>
      </w:r>
      <w:r>
        <w:rPr>
          <w:rFonts w:hint="cs"/>
          <w:rtl/>
        </w:rPr>
        <w:t>כב: גט שלא דקדקו בכתיבתו כמו שאמר אביי.</w:t>
      </w:r>
    </w:p>
    <w:p w14:paraId="630EBA6F" w14:textId="77777777" w:rsidR="00FA2119" w:rsidRDefault="00FA2119" w:rsidP="00FA2119">
      <w:pPr>
        <w:rPr>
          <w:rtl/>
        </w:rPr>
      </w:pPr>
      <w:r w:rsidRPr="00D62295">
        <w:rPr>
          <w:rFonts w:cs="Arial" w:hint="cs"/>
          <w:b/>
          <w:bCs/>
          <w:rtl/>
        </w:rPr>
        <w:t xml:space="preserve">גיטין </w:t>
      </w:r>
      <w:r>
        <w:rPr>
          <w:rFonts w:cs="Arial" w:hint="cs"/>
          <w:b/>
          <w:bCs/>
          <w:sz w:val="16"/>
          <w:szCs w:val="16"/>
          <w:rtl/>
        </w:rPr>
        <w:t>(פ' המגרש)</w:t>
      </w:r>
      <w:r>
        <w:rPr>
          <w:rFonts w:cs="Arial" w:hint="cs"/>
          <w:b/>
          <w:bCs/>
          <w:rtl/>
        </w:rPr>
        <w:t xml:space="preserve"> </w:t>
      </w:r>
      <w:r w:rsidRPr="00D62295">
        <w:rPr>
          <w:rFonts w:cs="Arial" w:hint="cs"/>
          <w:b/>
          <w:bCs/>
          <w:rtl/>
        </w:rPr>
        <w:t>פה ע"ב:</w:t>
      </w:r>
      <w:r>
        <w:rPr>
          <w:rFonts w:cs="Arial" w:hint="cs"/>
          <w:rtl/>
        </w:rPr>
        <w:t xml:space="preserve"> </w:t>
      </w:r>
      <w:r w:rsidRPr="00D62295">
        <w:rPr>
          <w:rFonts w:cs="Arial"/>
          <w:u w:val="single"/>
          <w:rtl/>
        </w:rPr>
        <w:t>אמר אביי</w:t>
      </w:r>
      <w:r w:rsidRPr="00D62295">
        <w:rPr>
          <w:rFonts w:cs="Arial"/>
          <w:rtl/>
        </w:rPr>
        <w:t>: האי מאן דכתב גיטא, לא לכתוב ודין דמשמע ודין אלא ודן, ולא לכתוב איגרת דמשמע איגרת אלא אגרת, ולא לכתוב לימהך דמשמע לי מהך, ולא לכתוב למחך דמשמע כי חוכא, דיתיהוייין דיתיצבייין תלתא תלתא יודי"ן דמשמע תהויין ותצביין, ולורכיה לוי"ו דתירוכין ולוי"ו דשבוקין דמשמע תריכין ושביקין, ולורכיה לוי"ו דכדו דמשמע וכדי, ולא ליכתוב לאיתנסבא דמשמע לא יתנסבא אלא להתנסבא.</w:t>
      </w:r>
    </w:p>
    <w:p w14:paraId="471321CB" w14:textId="2826843F" w:rsidR="00FA2119" w:rsidRPr="00D62295" w:rsidRDefault="00FA2119" w:rsidP="00FA2119">
      <w:pPr>
        <w:rPr>
          <w:rtl/>
        </w:rPr>
      </w:pPr>
      <w:r w:rsidRPr="00FB372F">
        <w:rPr>
          <w:rFonts w:cs="Arial" w:hint="cs"/>
          <w:b/>
          <w:bCs/>
          <w:rtl/>
        </w:rPr>
        <w:t>ירושלמי גיטין פ"ב ה"ג:</w:t>
      </w:r>
      <w:r>
        <w:rPr>
          <w:rFonts w:cs="Arial" w:hint="cs"/>
          <w:rtl/>
        </w:rPr>
        <w:t xml:space="preserve"> </w:t>
      </w:r>
      <w:r w:rsidRPr="00FB372F">
        <w:rPr>
          <w:rFonts w:cs="Arial"/>
          <w:rtl/>
        </w:rPr>
        <w:t xml:space="preserve">אם בא ועירר </w:t>
      </w:r>
      <w:r w:rsidR="00A82951">
        <w:rPr>
          <w:rFonts w:cs="Arial" w:hint="cs"/>
          <w:rtl/>
        </w:rPr>
        <w:t>-</w:t>
      </w:r>
      <w:r>
        <w:rPr>
          <w:rFonts w:cs="Arial" w:hint="cs"/>
          <w:rtl/>
        </w:rPr>
        <w:t xml:space="preserve"> </w:t>
      </w:r>
      <w:r w:rsidRPr="00FB372F">
        <w:rPr>
          <w:rFonts w:cs="Arial"/>
          <w:rtl/>
        </w:rPr>
        <w:t>עררו קיים.</w:t>
      </w:r>
    </w:p>
    <w:p w14:paraId="4404510C" w14:textId="77777777" w:rsidR="00FA2119" w:rsidRPr="00F07FC5" w:rsidRDefault="00FA2119" w:rsidP="00FA2119">
      <w:pPr>
        <w:rPr>
          <w:u w:val="single"/>
          <w:rtl/>
        </w:rPr>
      </w:pPr>
      <w:r w:rsidRPr="004F28C7">
        <w:rPr>
          <w:rFonts w:hint="cs"/>
          <w:u w:val="single"/>
          <w:rtl/>
        </w:rPr>
        <w:t>גט שלא דקדקו בכתיבתו כמו שאמר אביי</w:t>
      </w:r>
      <w:r w:rsidRPr="00F07FC5">
        <w:rPr>
          <w:rFonts w:hint="cs"/>
          <w:u w:val="single"/>
          <w:rtl/>
        </w:rPr>
        <w:t>:</w:t>
      </w:r>
    </w:p>
    <w:p w14:paraId="74A60D34" w14:textId="0E821964" w:rsidR="00FA2119" w:rsidRDefault="00FA2119" w:rsidP="00FA2119">
      <w:pPr>
        <w:pStyle w:val="ab"/>
        <w:numPr>
          <w:ilvl w:val="0"/>
          <w:numId w:val="15"/>
        </w:numPr>
        <w:rPr>
          <w:rFonts w:cs="Arial"/>
        </w:rPr>
      </w:pPr>
      <w:r w:rsidRPr="00967D9E">
        <w:rPr>
          <w:rFonts w:cs="Arial"/>
          <w:rtl/>
        </w:rPr>
        <w:t xml:space="preserve">רמב"ם </w:t>
      </w:r>
      <w:r w:rsidRPr="00F07FC5">
        <w:rPr>
          <w:rFonts w:cs="Arial" w:hint="cs"/>
          <w:sz w:val="16"/>
          <w:szCs w:val="16"/>
          <w:rtl/>
        </w:rPr>
        <w:t>(פ"ד הי"ד)</w:t>
      </w:r>
      <w:r w:rsidR="00A82951">
        <w:rPr>
          <w:rFonts w:cs="Arial" w:hint="cs"/>
          <w:rtl/>
        </w:rPr>
        <w:t>-</w:t>
      </w:r>
      <w:r>
        <w:rPr>
          <w:rFonts w:cs="Arial" w:hint="cs"/>
          <w:rtl/>
        </w:rPr>
        <w:t xml:space="preserve"> </w:t>
      </w:r>
      <w:r w:rsidRPr="00F07FC5">
        <w:rPr>
          <w:rFonts w:cs="Arial"/>
          <w:rtl/>
        </w:rPr>
        <w:t>הרי שכתב בנוסח זה ולא האריך ואוין אלו</w:t>
      </w:r>
      <w:r>
        <w:rPr>
          <w:rFonts w:cs="Arial" w:hint="cs"/>
          <w:rtl/>
        </w:rPr>
        <w:t>,</w:t>
      </w:r>
      <w:r w:rsidRPr="00F07FC5">
        <w:rPr>
          <w:rFonts w:cs="Arial"/>
          <w:rtl/>
        </w:rPr>
        <w:t xml:space="preserve"> או לא כתב היודין היתרות</w:t>
      </w:r>
      <w:r>
        <w:rPr>
          <w:rFonts w:cs="Arial" w:hint="cs"/>
          <w:rtl/>
        </w:rPr>
        <w:t>,</w:t>
      </w:r>
      <w:r w:rsidRPr="00F07FC5">
        <w:rPr>
          <w:rFonts w:cs="Arial"/>
          <w:rtl/>
        </w:rPr>
        <w:t xml:space="preserve"> או שכתב היודין שאמרנו שלא יכתבו </w:t>
      </w:r>
      <w:r w:rsidR="00A82951">
        <w:rPr>
          <w:rFonts w:cs="Arial" w:hint="cs"/>
          <w:rtl/>
        </w:rPr>
        <w:t>-</w:t>
      </w:r>
      <w:r>
        <w:rPr>
          <w:rFonts w:cs="Arial" w:hint="cs"/>
          <w:rtl/>
        </w:rPr>
        <w:t xml:space="preserve"> </w:t>
      </w:r>
      <w:r w:rsidRPr="00F07FC5">
        <w:rPr>
          <w:rFonts w:cs="Arial"/>
          <w:rtl/>
        </w:rPr>
        <w:t>הרי זה גט פסול</w:t>
      </w:r>
      <w:r>
        <w:rPr>
          <w:rFonts w:cs="Arial" w:hint="cs"/>
          <w:rtl/>
        </w:rPr>
        <w:t>.</w:t>
      </w:r>
      <w:r w:rsidRPr="00F07FC5">
        <w:rPr>
          <w:rFonts w:cs="Arial"/>
          <w:rtl/>
        </w:rPr>
        <w:t xml:space="preserve"> וכן כל כיוצא בזה בכל לשון </w:t>
      </w:r>
      <w:r w:rsidR="00A82951">
        <w:rPr>
          <w:rFonts w:cs="Arial" w:hint="cs"/>
          <w:rtl/>
        </w:rPr>
        <w:t>-</w:t>
      </w:r>
      <w:r>
        <w:rPr>
          <w:rFonts w:cs="Arial" w:hint="cs"/>
          <w:rtl/>
        </w:rPr>
        <w:t xml:space="preserve"> </w:t>
      </w:r>
      <w:r w:rsidRPr="00F07FC5">
        <w:rPr>
          <w:rFonts w:cs="Arial"/>
          <w:rtl/>
        </w:rPr>
        <w:t>פסול</w:t>
      </w:r>
      <w:r>
        <w:rPr>
          <w:rFonts w:cs="Arial" w:hint="cs"/>
          <w:rtl/>
        </w:rPr>
        <w:t>.</w:t>
      </w:r>
      <w:r w:rsidRPr="00967D9E">
        <w:rPr>
          <w:rFonts w:cs="Arial"/>
          <w:rtl/>
        </w:rPr>
        <w:t xml:space="preserve"> </w:t>
      </w:r>
      <w:r w:rsidRPr="004F28C7">
        <w:rPr>
          <w:rFonts w:cs="Arial" w:hint="cs"/>
          <w:color w:val="E36C0A" w:themeColor="accent6" w:themeShade="BF"/>
          <w:rtl/>
        </w:rPr>
        <w:t>(וכ"ס בשו"ע)</w:t>
      </w:r>
    </w:p>
    <w:p w14:paraId="2155678C" w14:textId="6562B596" w:rsidR="00FA2119" w:rsidRDefault="00FA2119" w:rsidP="00FA2119">
      <w:pPr>
        <w:pStyle w:val="ab"/>
        <w:numPr>
          <w:ilvl w:val="0"/>
          <w:numId w:val="15"/>
        </w:numPr>
        <w:rPr>
          <w:rFonts w:cs="Arial"/>
        </w:rPr>
      </w:pPr>
      <w:r w:rsidRPr="00967D9E">
        <w:rPr>
          <w:rFonts w:cs="Arial"/>
          <w:rtl/>
        </w:rPr>
        <w:t>בהעי</w:t>
      </w:r>
      <w:r>
        <w:rPr>
          <w:rFonts w:cs="Arial" w:hint="cs"/>
          <w:rtl/>
        </w:rPr>
        <w:t>"</w:t>
      </w:r>
      <w:r w:rsidRPr="00967D9E">
        <w:rPr>
          <w:rFonts w:cs="Arial"/>
          <w:rtl/>
        </w:rPr>
        <w:t xml:space="preserve">ט </w:t>
      </w:r>
      <w:r w:rsidRPr="00C15E39">
        <w:rPr>
          <w:rFonts w:cs="Arial" w:hint="cs"/>
          <w:sz w:val="16"/>
          <w:szCs w:val="16"/>
          <w:rtl/>
        </w:rPr>
        <w:t>(</w:t>
      </w:r>
      <w:r w:rsidRPr="00C15E39">
        <w:rPr>
          <w:rFonts w:cs="Arial"/>
          <w:sz w:val="16"/>
          <w:szCs w:val="16"/>
          <w:rtl/>
        </w:rPr>
        <w:t>מאמר שביעי ח"א כז ע"ד)</w:t>
      </w:r>
      <w:r w:rsidR="00A82951">
        <w:rPr>
          <w:rFonts w:cs="Arial" w:hint="cs"/>
          <w:rtl/>
        </w:rPr>
        <w:t>-</w:t>
      </w:r>
      <w:r>
        <w:rPr>
          <w:rFonts w:cs="Arial" w:hint="cs"/>
          <w:rtl/>
        </w:rPr>
        <w:t xml:space="preserve"> </w:t>
      </w:r>
      <w:r w:rsidRPr="00981C34">
        <w:rPr>
          <w:rFonts w:cs="Arial"/>
          <w:rtl/>
        </w:rPr>
        <w:t xml:space="preserve">דייקי רבוותא דכל הני דיקדוקי </w:t>
      </w:r>
      <w:r>
        <w:rPr>
          <w:rFonts w:cs="Arial" w:hint="cs"/>
          <w:rtl/>
        </w:rPr>
        <w:t>דאביי</w:t>
      </w:r>
      <w:r w:rsidRPr="00981C34">
        <w:rPr>
          <w:rFonts w:cs="Arial"/>
          <w:rtl/>
        </w:rPr>
        <w:t xml:space="preserve"> </w:t>
      </w:r>
      <w:r w:rsidR="00A82951">
        <w:rPr>
          <w:rFonts w:cs="Arial" w:hint="cs"/>
          <w:rtl/>
        </w:rPr>
        <w:t>-</w:t>
      </w:r>
      <w:r>
        <w:rPr>
          <w:rFonts w:cs="Arial" w:hint="cs"/>
          <w:rtl/>
        </w:rPr>
        <w:t xml:space="preserve"> </w:t>
      </w:r>
      <w:r w:rsidRPr="00981C34">
        <w:rPr>
          <w:rFonts w:cs="Arial"/>
          <w:rtl/>
        </w:rPr>
        <w:t>היכא דכתב ליה בעל גופיה</w:t>
      </w:r>
      <w:r>
        <w:rPr>
          <w:rFonts w:cs="Arial" w:hint="cs"/>
          <w:rtl/>
        </w:rPr>
        <w:t>,</w:t>
      </w:r>
      <w:r w:rsidRPr="00981C34">
        <w:rPr>
          <w:rFonts w:cs="Arial"/>
          <w:rtl/>
        </w:rPr>
        <w:t xml:space="preserve"> אי נמי דכתי' ליה סופר מפומיה</w:t>
      </w:r>
      <w:r>
        <w:rPr>
          <w:rFonts w:cs="Arial" w:hint="cs"/>
          <w:rtl/>
        </w:rPr>
        <w:t>,</w:t>
      </w:r>
      <w:r w:rsidRPr="00981C34">
        <w:rPr>
          <w:rFonts w:cs="Arial"/>
          <w:rtl/>
        </w:rPr>
        <w:t xml:space="preserve"> ובתר הכי אתא בעל ומערער ואמר</w:t>
      </w:r>
      <w:r w:rsidR="00641D00">
        <w:rPr>
          <w:rFonts w:cs="Arial" w:hint="cs"/>
          <w:rtl/>
        </w:rPr>
        <w:t>:</w:t>
      </w:r>
      <w:r w:rsidRPr="00981C34">
        <w:rPr>
          <w:rFonts w:cs="Arial"/>
          <w:rtl/>
        </w:rPr>
        <w:t xml:space="preserve"> אנא הוא דפסילנא ליה בהני דיקדוקי ולקלקולה איכווני</w:t>
      </w:r>
      <w:r w:rsidR="00641D00">
        <w:rPr>
          <w:rFonts w:cs="Arial" w:hint="cs"/>
          <w:rtl/>
        </w:rPr>
        <w:t>ת</w:t>
      </w:r>
      <w:r>
        <w:rPr>
          <w:rFonts w:cs="Arial" w:hint="cs"/>
          <w:rtl/>
        </w:rPr>
        <w:t>.</w:t>
      </w:r>
      <w:r w:rsidRPr="00981C34">
        <w:rPr>
          <w:rFonts w:cs="Arial"/>
          <w:rtl/>
        </w:rPr>
        <w:t xml:space="preserve"> אבל אי אמר הבעל לסופר ולעדי' לכתוב לה גט</w:t>
      </w:r>
      <w:r>
        <w:rPr>
          <w:rFonts w:cs="Arial" w:hint="cs"/>
          <w:rtl/>
        </w:rPr>
        <w:t>,</w:t>
      </w:r>
      <w:r w:rsidRPr="00981C34">
        <w:rPr>
          <w:rFonts w:cs="Arial"/>
          <w:rtl/>
        </w:rPr>
        <w:t xml:space="preserve"> אפי' כתבו הסופר והעדי' כאחד מאלו האותיות והבעל אינו מערער</w:t>
      </w:r>
      <w:r>
        <w:rPr>
          <w:rFonts w:cs="Arial" w:hint="cs"/>
          <w:rtl/>
        </w:rPr>
        <w:t xml:space="preserve"> </w:t>
      </w:r>
      <w:r w:rsidR="00A82951">
        <w:rPr>
          <w:rFonts w:cs="Arial" w:hint="cs"/>
          <w:rtl/>
        </w:rPr>
        <w:t>-</w:t>
      </w:r>
      <w:r w:rsidRPr="00981C34">
        <w:rPr>
          <w:rFonts w:cs="Arial"/>
          <w:rtl/>
        </w:rPr>
        <w:t xml:space="preserve"> הגט כשר</w:t>
      </w:r>
      <w:r>
        <w:rPr>
          <w:rFonts w:cs="Arial" w:hint="cs"/>
          <w:rtl/>
        </w:rPr>
        <w:t>,</w:t>
      </w:r>
      <w:r w:rsidRPr="00981C34">
        <w:rPr>
          <w:rFonts w:cs="Arial"/>
          <w:rtl/>
        </w:rPr>
        <w:t xml:space="preserve"> ותינשא בו</w:t>
      </w:r>
      <w:r>
        <w:rPr>
          <w:rFonts w:cs="Arial" w:hint="cs"/>
          <w:rtl/>
        </w:rPr>
        <w:t>.</w:t>
      </w:r>
      <w:r w:rsidRPr="00981C34">
        <w:rPr>
          <w:rFonts w:cs="Arial"/>
          <w:rtl/>
        </w:rPr>
        <w:t xml:space="preserve"> ואם העדים מצויין</w:t>
      </w:r>
      <w:r>
        <w:rPr>
          <w:rFonts w:cs="Arial" w:hint="cs"/>
          <w:rtl/>
        </w:rPr>
        <w:t>,</w:t>
      </w:r>
      <w:r w:rsidRPr="00981C34">
        <w:rPr>
          <w:rFonts w:cs="Arial"/>
          <w:rtl/>
        </w:rPr>
        <w:t xml:space="preserve"> יעידו בפני בית דין דטעות סופר היה. וכ' רבינו האי דאי יהיב בעל רשותא לסופר למיכתב גט שלם וטעה בהני כולהו או במקצתהון</w:t>
      </w:r>
      <w:r>
        <w:rPr>
          <w:rFonts w:cs="Arial" w:hint="cs"/>
          <w:rtl/>
        </w:rPr>
        <w:t>,</w:t>
      </w:r>
      <w:r w:rsidRPr="00981C34">
        <w:rPr>
          <w:rFonts w:cs="Arial"/>
          <w:rtl/>
        </w:rPr>
        <w:t xml:space="preserve"> אי איתיה לספרא </w:t>
      </w:r>
      <w:r w:rsidR="00A82951">
        <w:rPr>
          <w:rFonts w:cs="Arial" w:hint="cs"/>
          <w:rtl/>
        </w:rPr>
        <w:t>-</w:t>
      </w:r>
      <w:r>
        <w:rPr>
          <w:rFonts w:cs="Arial" w:hint="cs"/>
          <w:rtl/>
        </w:rPr>
        <w:t xml:space="preserve"> </w:t>
      </w:r>
      <w:r w:rsidRPr="00981C34">
        <w:rPr>
          <w:rFonts w:cs="Arial"/>
          <w:rtl/>
        </w:rPr>
        <w:t>מתקין להו</w:t>
      </w:r>
      <w:r>
        <w:rPr>
          <w:rFonts w:cs="Arial" w:hint="cs"/>
          <w:rtl/>
        </w:rPr>
        <w:t>.</w:t>
      </w:r>
      <w:r w:rsidRPr="00981C34">
        <w:rPr>
          <w:rFonts w:cs="Arial"/>
          <w:rtl/>
        </w:rPr>
        <w:t xml:space="preserve"> </w:t>
      </w:r>
      <w:r>
        <w:rPr>
          <w:rFonts w:cs="Arial" w:hint="cs"/>
          <w:rtl/>
        </w:rPr>
        <w:t>[</w:t>
      </w:r>
      <w:r w:rsidRPr="00981C34">
        <w:rPr>
          <w:rFonts w:cs="Arial"/>
          <w:rtl/>
        </w:rPr>
        <w:t>ו</w:t>
      </w:r>
      <w:r>
        <w:rPr>
          <w:rFonts w:cs="Arial" w:hint="cs"/>
          <w:rtl/>
        </w:rPr>
        <w:t xml:space="preserve">אי] </w:t>
      </w:r>
      <w:r w:rsidRPr="00981C34">
        <w:rPr>
          <w:rFonts w:cs="Arial"/>
          <w:rtl/>
        </w:rPr>
        <w:t>אזלה ומינסבא בהאי גיטא</w:t>
      </w:r>
      <w:r>
        <w:rPr>
          <w:rFonts w:cs="Arial" w:hint="cs"/>
          <w:sz w:val="16"/>
          <w:szCs w:val="16"/>
          <w:rtl/>
        </w:rPr>
        <w:t xml:space="preserve"> {בלי שתיקנו}</w:t>
      </w:r>
      <w:r w:rsidRPr="00981C34">
        <w:rPr>
          <w:rFonts w:cs="Arial"/>
          <w:rtl/>
        </w:rPr>
        <w:t xml:space="preserve"> </w:t>
      </w:r>
      <w:r w:rsidR="00A82951">
        <w:rPr>
          <w:rFonts w:cs="Arial" w:hint="cs"/>
          <w:rtl/>
        </w:rPr>
        <w:t>-</w:t>
      </w:r>
      <w:r>
        <w:rPr>
          <w:rFonts w:cs="Arial" w:hint="cs"/>
          <w:rtl/>
        </w:rPr>
        <w:t xml:space="preserve"> </w:t>
      </w:r>
      <w:r w:rsidRPr="00981C34">
        <w:rPr>
          <w:rFonts w:cs="Arial"/>
          <w:rtl/>
        </w:rPr>
        <w:t>לא מפקינן לה ודאי</w:t>
      </w:r>
      <w:r>
        <w:rPr>
          <w:rFonts w:cs="Arial" w:hint="cs"/>
          <w:rtl/>
        </w:rPr>
        <w:t>.</w:t>
      </w:r>
      <w:r w:rsidRPr="00981C34">
        <w:rPr>
          <w:rFonts w:cs="Arial"/>
          <w:rtl/>
        </w:rPr>
        <w:t xml:space="preserve"> אי אתיא לאינסובי וקאי בעל ומערער ואמר האי דכתב ודין</w:t>
      </w:r>
      <w:r w:rsidR="00641D00">
        <w:rPr>
          <w:rFonts w:cs="Arial" w:hint="cs"/>
          <w:rtl/>
        </w:rPr>
        <w:t>,</w:t>
      </w:r>
      <w:r w:rsidRPr="00981C34">
        <w:rPr>
          <w:rFonts w:cs="Arial"/>
          <w:rtl/>
        </w:rPr>
        <w:t xml:space="preserve"> דינא הוא דאמרי</w:t>
      </w:r>
      <w:r>
        <w:rPr>
          <w:rFonts w:cs="Arial" w:hint="cs"/>
          <w:rtl/>
        </w:rPr>
        <w:t>,</w:t>
      </w:r>
      <w:r w:rsidRPr="00981C34">
        <w:rPr>
          <w:rFonts w:cs="Arial"/>
          <w:rtl/>
        </w:rPr>
        <w:t xml:space="preserve"> אי נמי למחך חוכא היא ולהכי איכוונית </w:t>
      </w:r>
      <w:r w:rsidR="00A82951">
        <w:rPr>
          <w:rFonts w:cs="Arial" w:hint="cs"/>
          <w:rtl/>
        </w:rPr>
        <w:t>-</w:t>
      </w:r>
      <w:r>
        <w:rPr>
          <w:rFonts w:cs="Arial" w:hint="cs"/>
          <w:rtl/>
        </w:rPr>
        <w:t xml:space="preserve"> </w:t>
      </w:r>
      <w:r w:rsidRPr="00981C34">
        <w:rPr>
          <w:rFonts w:cs="Arial"/>
          <w:rtl/>
        </w:rPr>
        <w:t xml:space="preserve">לא מנסבינן לה. אבל אי מינסבא </w:t>
      </w:r>
      <w:r w:rsidR="00A82951">
        <w:rPr>
          <w:rFonts w:cs="Arial" w:hint="cs"/>
          <w:rtl/>
        </w:rPr>
        <w:t>-</w:t>
      </w:r>
      <w:r>
        <w:rPr>
          <w:rFonts w:cs="Arial" w:hint="cs"/>
          <w:rtl/>
        </w:rPr>
        <w:t xml:space="preserve"> </w:t>
      </w:r>
      <w:r w:rsidRPr="00981C34">
        <w:rPr>
          <w:rFonts w:cs="Arial"/>
          <w:rtl/>
        </w:rPr>
        <w:t>לא מפקינן לה</w:t>
      </w:r>
      <w:r>
        <w:rPr>
          <w:rFonts w:cs="Arial" w:hint="cs"/>
          <w:rtl/>
        </w:rPr>
        <w:t>...</w:t>
      </w:r>
      <w:r w:rsidRPr="00981C34">
        <w:rPr>
          <w:rFonts w:cs="Arial"/>
          <w:rtl/>
        </w:rPr>
        <w:t xml:space="preserve"> ורבי' ניסים השיב בקבלה כן מפי הגאוני'</w:t>
      </w:r>
      <w:r>
        <w:rPr>
          <w:rFonts w:cs="Arial" w:hint="cs"/>
          <w:rtl/>
        </w:rPr>
        <w:t>.</w:t>
      </w:r>
      <w:r w:rsidRPr="00981C34">
        <w:rPr>
          <w:rFonts w:cs="Arial"/>
          <w:rtl/>
        </w:rPr>
        <w:t xml:space="preserve"> והיכא שכתב הבעל הגט</w:t>
      </w:r>
      <w:r>
        <w:rPr>
          <w:rFonts w:cs="Arial" w:hint="cs"/>
          <w:rtl/>
        </w:rPr>
        <w:t>,</w:t>
      </w:r>
      <w:r w:rsidRPr="00981C34">
        <w:rPr>
          <w:rFonts w:cs="Arial"/>
          <w:rtl/>
        </w:rPr>
        <w:t xml:space="preserve"> אם נישאת ועירער </w:t>
      </w:r>
      <w:r w:rsidR="00A82951">
        <w:rPr>
          <w:rFonts w:cs="Arial" w:hint="cs"/>
          <w:rtl/>
        </w:rPr>
        <w:t>-</w:t>
      </w:r>
      <w:r>
        <w:rPr>
          <w:rFonts w:cs="Arial" w:hint="cs"/>
          <w:rtl/>
        </w:rPr>
        <w:t xml:space="preserve"> </w:t>
      </w:r>
      <w:r w:rsidRPr="00981C34">
        <w:rPr>
          <w:rFonts w:cs="Arial"/>
          <w:rtl/>
        </w:rPr>
        <w:t>תצא</w:t>
      </w:r>
      <w:r>
        <w:rPr>
          <w:rFonts w:cs="Arial" w:hint="cs"/>
          <w:sz w:val="16"/>
          <w:szCs w:val="16"/>
          <w:rtl/>
        </w:rPr>
        <w:t xml:space="preserve"> (ל' בהעי"ט)</w:t>
      </w:r>
      <w:r>
        <w:rPr>
          <w:rStyle w:val="a7"/>
          <w:rFonts w:cs="Arial"/>
          <w:rtl/>
        </w:rPr>
        <w:footnoteReference w:id="782"/>
      </w:r>
      <w:r w:rsidRPr="00981C34">
        <w:rPr>
          <w:rFonts w:cs="Arial"/>
          <w:rtl/>
        </w:rPr>
        <w:t>.</w:t>
      </w:r>
    </w:p>
    <w:p w14:paraId="64722FD0"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BA1231F" w14:textId="77777777" w:rsidR="00FA2119" w:rsidRPr="00D9324B" w:rsidRDefault="00FA2119" w:rsidP="00FA2119">
      <w:pPr>
        <w:rPr>
          <w:rtl/>
        </w:rPr>
      </w:pPr>
      <w:r>
        <w:rPr>
          <w:rFonts w:cs="Arial" w:hint="cs"/>
          <w:rtl/>
        </w:rPr>
        <w:t>אם</w:t>
      </w:r>
      <w:r>
        <w:rPr>
          <w:rFonts w:cs="Arial"/>
          <w:rtl/>
        </w:rPr>
        <w:t xml:space="preserve"> </w:t>
      </w:r>
      <w:r>
        <w:rPr>
          <w:rFonts w:cs="Arial" w:hint="cs"/>
          <w:rtl/>
        </w:rPr>
        <w:t>לא</w:t>
      </w:r>
      <w:r>
        <w:rPr>
          <w:rFonts w:cs="Arial"/>
          <w:rtl/>
        </w:rPr>
        <w:t xml:space="preserve"> </w:t>
      </w:r>
      <w:r>
        <w:rPr>
          <w:rFonts w:cs="Arial" w:hint="cs"/>
          <w:rtl/>
        </w:rPr>
        <w:t>האריך</w:t>
      </w:r>
      <w:r>
        <w:rPr>
          <w:rFonts w:cs="Arial"/>
          <w:rtl/>
        </w:rPr>
        <w:t xml:space="preserve"> </w:t>
      </w:r>
      <w:r>
        <w:rPr>
          <w:rFonts w:cs="Arial" w:hint="cs"/>
          <w:rtl/>
        </w:rPr>
        <w:t>ווי</w:t>
      </w:r>
      <w:r>
        <w:rPr>
          <w:rFonts w:cs="Arial"/>
          <w:rtl/>
        </w:rPr>
        <w:t>"</w:t>
      </w:r>
      <w:r>
        <w:rPr>
          <w:rFonts w:cs="Arial" w:hint="cs"/>
          <w:rtl/>
        </w:rPr>
        <w:t>ן</w:t>
      </w:r>
      <w:r>
        <w:rPr>
          <w:rFonts w:cs="Arial"/>
          <w:rtl/>
        </w:rPr>
        <w:t xml:space="preserve"> </w:t>
      </w:r>
      <w:r>
        <w:rPr>
          <w:rFonts w:cs="Arial" w:hint="cs"/>
          <w:rtl/>
        </w:rPr>
        <w:t>שאמרנו</w:t>
      </w:r>
      <w:r>
        <w:rPr>
          <w:rStyle w:val="a7"/>
          <w:rFonts w:cs="Arial"/>
          <w:rtl/>
        </w:rPr>
        <w:footnoteReference w:id="783"/>
      </w:r>
      <w:r>
        <w:rPr>
          <w:rFonts w:cs="Arial"/>
          <w:rtl/>
        </w:rPr>
        <w:t xml:space="preserve">, </w:t>
      </w:r>
      <w:r>
        <w:rPr>
          <w:rFonts w:cs="Arial" w:hint="cs"/>
          <w:rtl/>
        </w:rPr>
        <w:t>או</w:t>
      </w:r>
      <w:r>
        <w:rPr>
          <w:rFonts w:cs="Arial"/>
          <w:rtl/>
        </w:rPr>
        <w:t xml:space="preserve"> </w:t>
      </w:r>
      <w:r>
        <w:rPr>
          <w:rFonts w:cs="Arial" w:hint="cs"/>
          <w:rtl/>
        </w:rPr>
        <w:t>שכתב</w:t>
      </w:r>
      <w:r>
        <w:rPr>
          <w:rFonts w:cs="Arial"/>
          <w:rtl/>
        </w:rPr>
        <w:t xml:space="preserve"> </w:t>
      </w:r>
      <w:r>
        <w:rPr>
          <w:rFonts w:cs="Arial" w:hint="cs"/>
          <w:rtl/>
        </w:rPr>
        <w:t>היודי</w:t>
      </w:r>
      <w:r>
        <w:rPr>
          <w:rFonts w:cs="Arial"/>
          <w:rtl/>
        </w:rPr>
        <w:t>"</w:t>
      </w:r>
      <w:r>
        <w:rPr>
          <w:rFonts w:cs="Arial" w:hint="cs"/>
          <w:rtl/>
        </w:rPr>
        <w:t>ן</w:t>
      </w:r>
      <w:r>
        <w:rPr>
          <w:rFonts w:cs="Arial"/>
          <w:rtl/>
        </w:rPr>
        <w:t xml:space="preserve"> </w:t>
      </w:r>
      <w:r>
        <w:rPr>
          <w:rFonts w:cs="Arial" w:hint="cs"/>
          <w:rtl/>
        </w:rPr>
        <w:t>שאמרנו</w:t>
      </w:r>
      <w:r>
        <w:rPr>
          <w:rFonts w:cs="Arial"/>
          <w:rtl/>
        </w:rPr>
        <w:t xml:space="preserve"> </w:t>
      </w:r>
      <w:r>
        <w:rPr>
          <w:rFonts w:cs="Arial" w:hint="cs"/>
          <w:rtl/>
        </w:rPr>
        <w:t>שלא</w:t>
      </w:r>
      <w:r>
        <w:rPr>
          <w:rFonts w:cs="Arial"/>
          <w:rtl/>
        </w:rPr>
        <w:t xml:space="preserve"> </w:t>
      </w:r>
      <w:r>
        <w:rPr>
          <w:rFonts w:cs="Arial" w:hint="cs"/>
          <w:rtl/>
        </w:rPr>
        <w:t>יכתבו</w:t>
      </w:r>
      <w:r>
        <w:rPr>
          <w:rFonts w:cs="Arial"/>
          <w:rtl/>
        </w:rPr>
        <w:t xml:space="preserve">, </w:t>
      </w:r>
      <w:r>
        <w:rPr>
          <w:rFonts w:cs="Arial" w:hint="cs"/>
          <w:rtl/>
        </w:rPr>
        <w:t>או</w:t>
      </w:r>
      <w:r>
        <w:rPr>
          <w:rFonts w:cs="Arial"/>
          <w:rtl/>
        </w:rPr>
        <w:t xml:space="preserve"> </w:t>
      </w:r>
      <w:r>
        <w:rPr>
          <w:rFonts w:cs="Arial" w:hint="cs"/>
          <w:rtl/>
        </w:rPr>
        <w:t>שלא</w:t>
      </w:r>
      <w:r>
        <w:rPr>
          <w:rFonts w:cs="Arial"/>
          <w:rtl/>
        </w:rPr>
        <w:t xml:space="preserve"> </w:t>
      </w:r>
      <w:r>
        <w:rPr>
          <w:rFonts w:cs="Arial" w:hint="cs"/>
          <w:rtl/>
        </w:rPr>
        <w:t>כתב</w:t>
      </w:r>
      <w:r>
        <w:rPr>
          <w:rFonts w:cs="Arial"/>
          <w:rtl/>
        </w:rPr>
        <w:t xml:space="preserve"> </w:t>
      </w:r>
      <w:r>
        <w:rPr>
          <w:rFonts w:cs="Arial" w:hint="cs"/>
          <w:rtl/>
        </w:rPr>
        <w:t>היודי</w:t>
      </w:r>
      <w:r>
        <w:rPr>
          <w:rFonts w:cs="Arial"/>
          <w:rtl/>
        </w:rPr>
        <w:t>"</w:t>
      </w:r>
      <w:r>
        <w:rPr>
          <w:rFonts w:cs="Arial" w:hint="cs"/>
          <w:rtl/>
        </w:rPr>
        <w:t>ן</w:t>
      </w:r>
      <w:r>
        <w:rPr>
          <w:rFonts w:cs="Arial"/>
          <w:rtl/>
        </w:rPr>
        <w:t xml:space="preserve"> </w:t>
      </w:r>
      <w:r>
        <w:rPr>
          <w:rFonts w:cs="Arial" w:hint="cs"/>
          <w:rtl/>
        </w:rPr>
        <w:t>היתירות</w:t>
      </w:r>
      <w:r>
        <w:rPr>
          <w:rFonts w:cs="Arial"/>
          <w:rtl/>
        </w:rPr>
        <w:t xml:space="preserve">, </w:t>
      </w:r>
      <w:r>
        <w:rPr>
          <w:rFonts w:cs="Arial" w:hint="cs"/>
          <w:rtl/>
        </w:rPr>
        <w:t>הרי</w:t>
      </w:r>
      <w:r>
        <w:rPr>
          <w:rFonts w:cs="Arial"/>
          <w:rtl/>
        </w:rPr>
        <w:t xml:space="preserve"> </w:t>
      </w:r>
      <w:r>
        <w:rPr>
          <w:rFonts w:cs="Arial" w:hint="cs"/>
          <w:rtl/>
        </w:rPr>
        <w:t>זה</w:t>
      </w:r>
      <w:r>
        <w:rPr>
          <w:rFonts w:cs="Arial"/>
          <w:rtl/>
        </w:rPr>
        <w:t xml:space="preserve"> </w:t>
      </w:r>
      <w:r>
        <w:rPr>
          <w:rFonts w:cs="Arial" w:hint="cs"/>
          <w:rtl/>
        </w:rPr>
        <w:t>גט</w:t>
      </w:r>
      <w:r>
        <w:rPr>
          <w:rFonts w:cs="Arial"/>
          <w:rtl/>
        </w:rPr>
        <w:t xml:space="preserve"> </w:t>
      </w:r>
      <w:r>
        <w:rPr>
          <w:rFonts w:cs="Arial" w:hint="cs"/>
          <w:rtl/>
        </w:rPr>
        <w:t>פסול</w:t>
      </w:r>
      <w:r>
        <w:rPr>
          <w:rStyle w:val="a7"/>
          <w:rFonts w:cs="Arial"/>
          <w:rtl/>
        </w:rPr>
        <w:footnoteReference w:id="784"/>
      </w:r>
      <w:r>
        <w:rPr>
          <w:rFonts w:cs="Arial" w:hint="cs"/>
          <w:rtl/>
        </w:rPr>
        <w:t>.</w:t>
      </w:r>
      <w:r>
        <w:rPr>
          <w:rFonts w:cs="Arial"/>
          <w:rtl/>
        </w:rPr>
        <w:t xml:space="preserve"> </w:t>
      </w:r>
      <w:r>
        <w:rPr>
          <w:rFonts w:cs="Arial" w:hint="cs"/>
          <w:rtl/>
        </w:rPr>
        <w:t>חוץ</w:t>
      </w:r>
      <w:r>
        <w:rPr>
          <w:rFonts w:cs="Arial"/>
          <w:rtl/>
        </w:rPr>
        <w:t xml:space="preserve"> </w:t>
      </w:r>
      <w:r>
        <w:rPr>
          <w:rFonts w:cs="Arial" w:hint="cs"/>
          <w:rtl/>
        </w:rPr>
        <w:t>משתי</w:t>
      </w:r>
      <w:r>
        <w:rPr>
          <w:rFonts w:cs="Arial"/>
          <w:rtl/>
        </w:rPr>
        <w:t xml:space="preserve"> </w:t>
      </w:r>
      <w:r>
        <w:rPr>
          <w:rFonts w:cs="Arial" w:hint="cs"/>
          <w:rtl/>
        </w:rPr>
        <w:t>יודי</w:t>
      </w:r>
      <w:r>
        <w:rPr>
          <w:rFonts w:cs="Arial"/>
          <w:rtl/>
        </w:rPr>
        <w:t>"</w:t>
      </w:r>
      <w:r>
        <w:rPr>
          <w:rFonts w:cs="Arial" w:hint="cs"/>
          <w:rtl/>
        </w:rPr>
        <w:t>ן</w:t>
      </w:r>
      <w:r>
        <w:rPr>
          <w:rFonts w:cs="Arial"/>
          <w:rtl/>
        </w:rPr>
        <w:t xml:space="preserve"> </w:t>
      </w:r>
      <w:r>
        <w:rPr>
          <w:rFonts w:cs="Arial" w:hint="cs"/>
          <w:rtl/>
        </w:rPr>
        <w:t>הנוספות</w:t>
      </w:r>
      <w:r>
        <w:rPr>
          <w:rFonts w:cs="Arial"/>
          <w:rtl/>
        </w:rPr>
        <w:t xml:space="preserve"> </w:t>
      </w:r>
      <w:r>
        <w:rPr>
          <w:rFonts w:cs="Arial" w:hint="cs"/>
          <w:rtl/>
        </w:rPr>
        <w:t>בדיתיהווייין</w:t>
      </w:r>
      <w:r>
        <w:rPr>
          <w:rFonts w:cs="Arial"/>
          <w:rtl/>
        </w:rPr>
        <w:t xml:space="preserve"> </w:t>
      </w:r>
      <w:r>
        <w:rPr>
          <w:rFonts w:cs="Arial" w:hint="cs"/>
          <w:rtl/>
        </w:rPr>
        <w:t>ודיתיצבייין</w:t>
      </w:r>
      <w:r>
        <w:rPr>
          <w:rFonts w:cs="Arial"/>
          <w:rtl/>
        </w:rPr>
        <w:t xml:space="preserve">, </w:t>
      </w:r>
      <w:r>
        <w:rPr>
          <w:rFonts w:cs="Arial" w:hint="cs"/>
          <w:rtl/>
        </w:rPr>
        <w:t>שאינו</w:t>
      </w:r>
      <w:r>
        <w:rPr>
          <w:rFonts w:cs="Arial"/>
          <w:rtl/>
        </w:rPr>
        <w:t xml:space="preserve"> </w:t>
      </w:r>
      <w:r>
        <w:rPr>
          <w:rFonts w:cs="Arial" w:hint="cs"/>
          <w:rtl/>
        </w:rPr>
        <w:t>אלא</w:t>
      </w:r>
      <w:r>
        <w:rPr>
          <w:rFonts w:cs="Arial"/>
          <w:rtl/>
        </w:rPr>
        <w:t xml:space="preserve"> </w:t>
      </w:r>
      <w:r>
        <w:rPr>
          <w:rFonts w:cs="Arial" w:hint="cs"/>
          <w:rtl/>
        </w:rPr>
        <w:t>מנהג.</w:t>
      </w:r>
      <w:r>
        <w:rPr>
          <w:rFonts w:cs="Arial"/>
          <w:rtl/>
        </w:rPr>
        <w:t xml:space="preserve"> </w:t>
      </w:r>
      <w:r>
        <w:rPr>
          <w:rFonts w:cs="Arial" w:hint="cs"/>
          <w:sz w:val="18"/>
          <w:szCs w:val="18"/>
          <w:rtl/>
        </w:rPr>
        <w:t xml:space="preserve">[הגה] </w:t>
      </w:r>
      <w:r w:rsidRPr="003756C9">
        <w:rPr>
          <w:rFonts w:cs="Arial" w:hint="cs"/>
          <w:sz w:val="18"/>
          <w:szCs w:val="18"/>
          <w:rtl/>
        </w:rPr>
        <w:t>וי</w:t>
      </w:r>
      <w:r w:rsidRPr="003756C9">
        <w:rPr>
          <w:rFonts w:cs="Arial"/>
          <w:sz w:val="18"/>
          <w:szCs w:val="18"/>
          <w:rtl/>
        </w:rPr>
        <w:t>"</w:t>
      </w:r>
      <w:r w:rsidRPr="003756C9">
        <w:rPr>
          <w:rFonts w:cs="Arial" w:hint="cs"/>
          <w:sz w:val="18"/>
          <w:szCs w:val="18"/>
          <w:rtl/>
        </w:rPr>
        <w:t>א</w:t>
      </w:r>
      <w:r w:rsidRPr="003756C9">
        <w:rPr>
          <w:rFonts w:cs="Arial"/>
          <w:sz w:val="18"/>
          <w:szCs w:val="18"/>
          <w:rtl/>
        </w:rPr>
        <w:t xml:space="preserve"> </w:t>
      </w:r>
      <w:r w:rsidRPr="003756C9">
        <w:rPr>
          <w:rFonts w:cs="Arial" w:hint="cs"/>
          <w:sz w:val="18"/>
          <w:szCs w:val="18"/>
          <w:rtl/>
        </w:rPr>
        <w:t>דאם</w:t>
      </w:r>
      <w:r w:rsidRPr="003756C9">
        <w:rPr>
          <w:rFonts w:cs="Arial"/>
          <w:sz w:val="18"/>
          <w:szCs w:val="18"/>
          <w:rtl/>
        </w:rPr>
        <w:t xml:space="preserve"> </w:t>
      </w:r>
      <w:r w:rsidRPr="003756C9">
        <w:rPr>
          <w:rFonts w:cs="Arial" w:hint="cs"/>
          <w:sz w:val="18"/>
          <w:szCs w:val="18"/>
          <w:rtl/>
        </w:rPr>
        <w:t>לא</w:t>
      </w:r>
      <w:r w:rsidRPr="003756C9">
        <w:rPr>
          <w:rFonts w:cs="Arial"/>
          <w:sz w:val="18"/>
          <w:szCs w:val="18"/>
          <w:rtl/>
        </w:rPr>
        <w:t xml:space="preserve"> </w:t>
      </w:r>
      <w:r w:rsidRPr="003756C9">
        <w:rPr>
          <w:rFonts w:cs="Arial" w:hint="cs"/>
          <w:sz w:val="18"/>
          <w:szCs w:val="18"/>
          <w:rtl/>
        </w:rPr>
        <w:t>כתב</w:t>
      </w:r>
      <w:r w:rsidRPr="003756C9">
        <w:rPr>
          <w:rFonts w:cs="Arial"/>
          <w:sz w:val="18"/>
          <w:szCs w:val="18"/>
          <w:rtl/>
        </w:rPr>
        <w:t xml:space="preserve"> </w:t>
      </w:r>
      <w:r w:rsidRPr="003756C9">
        <w:rPr>
          <w:rFonts w:cs="Arial" w:hint="cs"/>
          <w:sz w:val="18"/>
          <w:szCs w:val="18"/>
          <w:rtl/>
        </w:rPr>
        <w:t>דיתהוייין</w:t>
      </w:r>
      <w:r w:rsidRPr="003756C9">
        <w:rPr>
          <w:rFonts w:cs="Arial"/>
          <w:sz w:val="18"/>
          <w:szCs w:val="18"/>
          <w:rtl/>
        </w:rPr>
        <w:t xml:space="preserve"> </w:t>
      </w:r>
      <w:r w:rsidRPr="003756C9">
        <w:rPr>
          <w:rFonts w:cs="Arial" w:hint="cs"/>
          <w:sz w:val="18"/>
          <w:szCs w:val="18"/>
          <w:rtl/>
        </w:rPr>
        <w:t>רשאה</w:t>
      </w:r>
      <w:r w:rsidRPr="003756C9">
        <w:rPr>
          <w:rFonts w:cs="Arial"/>
          <w:sz w:val="18"/>
          <w:szCs w:val="18"/>
          <w:rtl/>
        </w:rPr>
        <w:t xml:space="preserve">, </w:t>
      </w:r>
      <w:r w:rsidRPr="003756C9">
        <w:rPr>
          <w:rFonts w:cs="Arial" w:hint="cs"/>
          <w:sz w:val="18"/>
          <w:szCs w:val="18"/>
          <w:rtl/>
        </w:rPr>
        <w:t>רק</w:t>
      </w:r>
      <w:r w:rsidRPr="003756C9">
        <w:rPr>
          <w:rFonts w:cs="Arial"/>
          <w:sz w:val="18"/>
          <w:szCs w:val="18"/>
          <w:rtl/>
        </w:rPr>
        <w:t xml:space="preserve"> </w:t>
      </w:r>
      <w:r w:rsidRPr="003756C9">
        <w:rPr>
          <w:rFonts w:cs="Arial" w:hint="cs"/>
          <w:sz w:val="18"/>
          <w:szCs w:val="18"/>
          <w:rtl/>
        </w:rPr>
        <w:t>כתב</w:t>
      </w:r>
      <w:r w:rsidRPr="003756C9">
        <w:rPr>
          <w:rFonts w:cs="Arial"/>
          <w:sz w:val="18"/>
          <w:szCs w:val="18"/>
          <w:rtl/>
        </w:rPr>
        <w:t xml:space="preserve">: </w:t>
      </w:r>
      <w:r w:rsidRPr="003756C9">
        <w:rPr>
          <w:rFonts w:cs="Arial" w:hint="cs"/>
          <w:sz w:val="18"/>
          <w:szCs w:val="18"/>
          <w:rtl/>
        </w:rPr>
        <w:t>זאת</w:t>
      </w:r>
      <w:r w:rsidRPr="003756C9">
        <w:rPr>
          <w:rFonts w:cs="Arial"/>
          <w:sz w:val="18"/>
          <w:szCs w:val="18"/>
          <w:rtl/>
        </w:rPr>
        <w:t xml:space="preserve"> </w:t>
      </w:r>
      <w:r w:rsidRPr="003756C9">
        <w:rPr>
          <w:rFonts w:cs="Arial" w:hint="cs"/>
          <w:sz w:val="18"/>
          <w:szCs w:val="18"/>
          <w:rtl/>
        </w:rPr>
        <w:t>תהא</w:t>
      </w:r>
      <w:r w:rsidRPr="003756C9">
        <w:rPr>
          <w:rFonts w:cs="Arial"/>
          <w:sz w:val="18"/>
          <w:szCs w:val="18"/>
          <w:rtl/>
        </w:rPr>
        <w:t xml:space="preserve"> </w:t>
      </w:r>
      <w:r w:rsidRPr="003756C9">
        <w:rPr>
          <w:rFonts w:cs="Arial" w:hint="cs"/>
          <w:sz w:val="18"/>
          <w:szCs w:val="18"/>
          <w:rtl/>
        </w:rPr>
        <w:t>רשאה</w:t>
      </w:r>
      <w:r w:rsidRPr="003756C9">
        <w:rPr>
          <w:rFonts w:cs="Arial"/>
          <w:sz w:val="18"/>
          <w:szCs w:val="18"/>
          <w:rtl/>
        </w:rPr>
        <w:t xml:space="preserve">, </w:t>
      </w:r>
      <w:r w:rsidRPr="003756C9">
        <w:rPr>
          <w:rFonts w:cs="Arial" w:hint="cs"/>
          <w:sz w:val="18"/>
          <w:szCs w:val="18"/>
          <w:rtl/>
        </w:rPr>
        <w:t>עדיף</w:t>
      </w:r>
      <w:r w:rsidRPr="003756C9">
        <w:rPr>
          <w:rFonts w:cs="Arial"/>
          <w:sz w:val="18"/>
          <w:szCs w:val="18"/>
          <w:rtl/>
        </w:rPr>
        <w:t xml:space="preserve"> </w:t>
      </w:r>
      <w:r w:rsidRPr="003756C9">
        <w:rPr>
          <w:rFonts w:cs="Arial" w:hint="cs"/>
          <w:sz w:val="18"/>
          <w:szCs w:val="18"/>
          <w:rtl/>
        </w:rPr>
        <w:t>טפי</w:t>
      </w:r>
      <w:r w:rsidRPr="003756C9">
        <w:rPr>
          <w:rFonts w:cs="Arial"/>
          <w:sz w:val="18"/>
          <w:szCs w:val="18"/>
          <w:rtl/>
        </w:rPr>
        <w:t xml:space="preserve"> (</w:t>
      </w:r>
      <w:r w:rsidRPr="003756C9">
        <w:rPr>
          <w:rFonts w:cs="Arial" w:hint="cs"/>
          <w:sz w:val="18"/>
          <w:szCs w:val="18"/>
          <w:rtl/>
        </w:rPr>
        <w:t>ר</w:t>
      </w:r>
      <w:r w:rsidRPr="003756C9">
        <w:rPr>
          <w:rFonts w:cs="Arial"/>
          <w:sz w:val="18"/>
          <w:szCs w:val="18"/>
          <w:rtl/>
        </w:rPr>
        <w:t>"</w:t>
      </w:r>
      <w:r w:rsidRPr="003756C9">
        <w:rPr>
          <w:rFonts w:cs="Arial" w:hint="cs"/>
          <w:sz w:val="18"/>
          <w:szCs w:val="18"/>
          <w:rtl/>
        </w:rPr>
        <w:t>ן</w:t>
      </w:r>
      <w:r w:rsidRPr="003756C9">
        <w:rPr>
          <w:rFonts w:cs="Arial"/>
          <w:sz w:val="18"/>
          <w:szCs w:val="18"/>
          <w:rtl/>
        </w:rPr>
        <w:t xml:space="preserve"> </w:t>
      </w:r>
      <w:r>
        <w:rPr>
          <w:rFonts w:cs="Arial" w:hint="cs"/>
          <w:sz w:val="18"/>
          <w:szCs w:val="18"/>
          <w:rtl/>
        </w:rPr>
        <w:t>ו</w:t>
      </w:r>
      <w:r w:rsidRPr="003756C9">
        <w:rPr>
          <w:rFonts w:cs="Arial" w:hint="cs"/>
          <w:sz w:val="18"/>
          <w:szCs w:val="18"/>
          <w:rtl/>
        </w:rPr>
        <w:t>ב</w:t>
      </w:r>
      <w:r>
        <w:rPr>
          <w:rFonts w:cs="Arial" w:hint="cs"/>
          <w:sz w:val="18"/>
          <w:szCs w:val="18"/>
          <w:rtl/>
        </w:rPr>
        <w:t>ה</w:t>
      </w:r>
      <w:r w:rsidRPr="003756C9">
        <w:rPr>
          <w:rFonts w:cs="Arial" w:hint="cs"/>
          <w:sz w:val="18"/>
          <w:szCs w:val="18"/>
          <w:rtl/>
        </w:rPr>
        <w:t>עי</w:t>
      </w:r>
      <w:r>
        <w:rPr>
          <w:rFonts w:cs="Arial" w:hint="cs"/>
          <w:sz w:val="18"/>
          <w:szCs w:val="18"/>
          <w:rtl/>
        </w:rPr>
        <w:t>"</w:t>
      </w:r>
      <w:r w:rsidRPr="003756C9">
        <w:rPr>
          <w:rFonts w:cs="Arial" w:hint="cs"/>
          <w:sz w:val="18"/>
          <w:szCs w:val="18"/>
          <w:rtl/>
        </w:rPr>
        <w:t>ט</w:t>
      </w:r>
      <w:r w:rsidRPr="003756C9">
        <w:rPr>
          <w:rFonts w:cs="Arial"/>
          <w:sz w:val="18"/>
          <w:szCs w:val="18"/>
          <w:rtl/>
        </w:rPr>
        <w:t>).</w:t>
      </w:r>
      <w:r>
        <w:rPr>
          <w:rFonts w:cs="Arial"/>
          <w:rtl/>
        </w:rPr>
        <w:t xml:space="preserve"> </w:t>
      </w:r>
      <w:r>
        <w:rPr>
          <w:rFonts w:cs="Arial" w:hint="cs"/>
          <w:rtl/>
        </w:rPr>
        <w:t>ויש אומרים</w:t>
      </w:r>
      <w:r>
        <w:rPr>
          <w:rStyle w:val="a7"/>
          <w:rFonts w:cs="Arial"/>
          <w:rtl/>
        </w:rPr>
        <w:footnoteReference w:id="785"/>
      </w:r>
      <w:r>
        <w:rPr>
          <w:rFonts w:cs="Arial"/>
          <w:rtl/>
        </w:rPr>
        <w:t xml:space="preserve"> </w:t>
      </w:r>
      <w:r>
        <w:rPr>
          <w:rFonts w:cs="Arial" w:hint="cs"/>
          <w:rtl/>
        </w:rPr>
        <w:t>שאם</w:t>
      </w:r>
      <w:r>
        <w:rPr>
          <w:rFonts w:cs="Arial"/>
          <w:rtl/>
        </w:rPr>
        <w:t xml:space="preserve"> </w:t>
      </w:r>
      <w:r>
        <w:rPr>
          <w:rFonts w:cs="Arial" w:hint="cs"/>
          <w:rtl/>
        </w:rPr>
        <w:t>לא</w:t>
      </w:r>
      <w:r>
        <w:rPr>
          <w:rFonts w:cs="Arial"/>
          <w:rtl/>
        </w:rPr>
        <w:t xml:space="preserve"> </w:t>
      </w:r>
      <w:r>
        <w:rPr>
          <w:rFonts w:cs="Arial" w:hint="cs"/>
          <w:rtl/>
        </w:rPr>
        <w:t>ערער</w:t>
      </w:r>
      <w:r>
        <w:rPr>
          <w:rFonts w:cs="Arial"/>
          <w:rtl/>
        </w:rPr>
        <w:t xml:space="preserve"> </w:t>
      </w:r>
      <w:r>
        <w:rPr>
          <w:rFonts w:cs="Arial" w:hint="cs"/>
          <w:rtl/>
        </w:rPr>
        <w:t>הבעל</w:t>
      </w:r>
      <w:r>
        <w:rPr>
          <w:rFonts w:cs="Arial"/>
          <w:rtl/>
        </w:rPr>
        <w:t xml:space="preserve">, </w:t>
      </w:r>
      <w:r>
        <w:rPr>
          <w:rFonts w:cs="Arial" w:hint="cs"/>
          <w:rtl/>
        </w:rPr>
        <w:t>כשר</w:t>
      </w:r>
      <w:r>
        <w:rPr>
          <w:rFonts w:cs="Arial"/>
          <w:rtl/>
        </w:rPr>
        <w:t xml:space="preserve">. </w:t>
      </w:r>
      <w:r>
        <w:rPr>
          <w:rFonts w:cs="Arial" w:hint="cs"/>
          <w:rtl/>
        </w:rPr>
        <w:t>ויש</w:t>
      </w:r>
      <w:r>
        <w:rPr>
          <w:rFonts w:cs="Arial"/>
          <w:rtl/>
        </w:rPr>
        <w:t xml:space="preserve"> </w:t>
      </w:r>
      <w:r>
        <w:rPr>
          <w:rFonts w:cs="Arial" w:hint="cs"/>
          <w:rtl/>
        </w:rPr>
        <w:t>מי</w:t>
      </w:r>
      <w:r>
        <w:rPr>
          <w:rFonts w:cs="Arial"/>
          <w:rtl/>
        </w:rPr>
        <w:t xml:space="preserve"> </w:t>
      </w:r>
      <w:r>
        <w:rPr>
          <w:rFonts w:cs="Arial" w:hint="cs"/>
          <w:rtl/>
        </w:rPr>
        <w:t>שאומר</w:t>
      </w:r>
      <w:r>
        <w:rPr>
          <w:rStyle w:val="a7"/>
          <w:rFonts w:cs="Arial"/>
          <w:rtl/>
        </w:rPr>
        <w:footnoteReference w:id="786"/>
      </w:r>
      <w:r>
        <w:rPr>
          <w:rFonts w:cs="Arial"/>
          <w:rtl/>
        </w:rPr>
        <w:t xml:space="preserve"> </w:t>
      </w:r>
      <w:r>
        <w:rPr>
          <w:rFonts w:cs="Arial" w:hint="cs"/>
          <w:rtl/>
        </w:rPr>
        <w:t>שאין</w:t>
      </w:r>
      <w:r>
        <w:rPr>
          <w:rFonts w:cs="Arial"/>
          <w:rtl/>
        </w:rPr>
        <w:t xml:space="preserve"> </w:t>
      </w:r>
      <w:r>
        <w:rPr>
          <w:rFonts w:cs="Arial" w:hint="cs"/>
          <w:rtl/>
        </w:rPr>
        <w:t>ערעורו</w:t>
      </w:r>
      <w:r>
        <w:rPr>
          <w:rFonts w:cs="Arial"/>
          <w:rtl/>
        </w:rPr>
        <w:t xml:space="preserve"> </w:t>
      </w:r>
      <w:r>
        <w:rPr>
          <w:rFonts w:cs="Arial" w:hint="cs"/>
          <w:rtl/>
        </w:rPr>
        <w:t>מועיל</w:t>
      </w:r>
      <w:r>
        <w:rPr>
          <w:rFonts w:cs="Arial"/>
          <w:rtl/>
        </w:rPr>
        <w:t xml:space="preserve">, </w:t>
      </w:r>
      <w:r>
        <w:rPr>
          <w:rFonts w:cs="Arial" w:hint="cs"/>
          <w:rtl/>
        </w:rPr>
        <w:t>אלא אם כן</w:t>
      </w:r>
      <w:r>
        <w:rPr>
          <w:rFonts w:cs="Arial"/>
          <w:rtl/>
        </w:rPr>
        <w:t xml:space="preserve"> </w:t>
      </w:r>
      <w:r>
        <w:rPr>
          <w:rFonts w:cs="Arial" w:hint="cs"/>
          <w:rtl/>
        </w:rPr>
        <w:t>כתבו</w:t>
      </w:r>
      <w:r>
        <w:rPr>
          <w:rFonts w:cs="Arial"/>
          <w:rtl/>
        </w:rPr>
        <w:t xml:space="preserve"> </w:t>
      </w:r>
      <w:r>
        <w:rPr>
          <w:rFonts w:cs="Arial" w:hint="cs"/>
          <w:rtl/>
        </w:rPr>
        <w:t>הוא</w:t>
      </w:r>
      <w:r>
        <w:rPr>
          <w:rFonts w:cs="Arial"/>
          <w:rtl/>
        </w:rPr>
        <w:t xml:space="preserve"> </w:t>
      </w:r>
      <w:r>
        <w:rPr>
          <w:rFonts w:cs="Arial" w:hint="cs"/>
          <w:rtl/>
        </w:rPr>
        <w:t>או</w:t>
      </w:r>
      <w:r>
        <w:rPr>
          <w:rFonts w:cs="Arial"/>
          <w:rtl/>
        </w:rPr>
        <w:t xml:space="preserve"> </w:t>
      </w:r>
      <w:r>
        <w:rPr>
          <w:rFonts w:cs="Arial" w:hint="cs"/>
          <w:rtl/>
        </w:rPr>
        <w:t>שהסופר</w:t>
      </w:r>
      <w:r>
        <w:rPr>
          <w:rFonts w:cs="Arial"/>
          <w:rtl/>
        </w:rPr>
        <w:t xml:space="preserve"> </w:t>
      </w:r>
      <w:r>
        <w:rPr>
          <w:rFonts w:cs="Arial" w:hint="cs"/>
          <w:rtl/>
        </w:rPr>
        <w:t>כותבו</w:t>
      </w:r>
      <w:r>
        <w:rPr>
          <w:rFonts w:cs="Arial"/>
          <w:rtl/>
        </w:rPr>
        <w:t xml:space="preserve"> </w:t>
      </w:r>
      <w:r>
        <w:rPr>
          <w:rFonts w:cs="Arial" w:hint="cs"/>
          <w:rtl/>
        </w:rPr>
        <w:t>מפיו</w:t>
      </w:r>
      <w:r>
        <w:rPr>
          <w:rStyle w:val="a7"/>
          <w:rFonts w:cs="Arial"/>
          <w:rtl/>
        </w:rPr>
        <w:footnoteReference w:id="787"/>
      </w:r>
      <w:r>
        <w:rPr>
          <w:rFonts w:cs="Arial" w:hint="cs"/>
          <w:rtl/>
        </w:rPr>
        <w:t>.</w:t>
      </w:r>
    </w:p>
    <w:p w14:paraId="3FCD0699" w14:textId="77777777" w:rsidR="00FA2119" w:rsidRDefault="00FA2119" w:rsidP="00FA2119">
      <w:pPr>
        <w:rPr>
          <w:rtl/>
        </w:rPr>
      </w:pPr>
    </w:p>
    <w:p w14:paraId="3782E71C" w14:textId="77777777" w:rsidR="00FA2119" w:rsidRDefault="00FA2119" w:rsidP="00FA2119">
      <w:pPr>
        <w:pStyle w:val="2"/>
        <w:rPr>
          <w:rtl/>
        </w:rPr>
      </w:pPr>
      <w:r>
        <w:rPr>
          <w:rFonts w:hint="cs"/>
          <w:rtl/>
        </w:rPr>
        <w:t>סעיף</w:t>
      </w:r>
      <w:r>
        <w:rPr>
          <w:rtl/>
        </w:rPr>
        <w:t xml:space="preserve"> </w:t>
      </w:r>
      <w:r>
        <w:rPr>
          <w:rFonts w:hint="cs"/>
          <w:rtl/>
        </w:rPr>
        <w:t>כג: אייר.</w:t>
      </w:r>
    </w:p>
    <w:p w14:paraId="33E8FA9C" w14:textId="77777777" w:rsidR="00FA2119" w:rsidRDefault="00FA2119" w:rsidP="00FA2119">
      <w:pPr>
        <w:rPr>
          <w:rFonts w:cs="Arial"/>
          <w:rtl/>
        </w:rPr>
      </w:pPr>
      <w:r w:rsidRPr="00286115">
        <w:rPr>
          <w:rFonts w:cs="Arial" w:hint="cs"/>
          <w:u w:val="single"/>
          <w:rtl/>
        </w:rPr>
        <w:t xml:space="preserve">כתיבת </w:t>
      </w:r>
      <w:r>
        <w:rPr>
          <w:rFonts w:cs="Arial" w:hint="cs"/>
          <w:u w:val="single"/>
          <w:rtl/>
        </w:rPr>
        <w:t>ה</w:t>
      </w:r>
      <w:r w:rsidRPr="00286115">
        <w:rPr>
          <w:rFonts w:cs="Arial" w:hint="cs"/>
          <w:u w:val="single"/>
          <w:rtl/>
        </w:rPr>
        <w:t xml:space="preserve">חודש </w:t>
      </w:r>
      <w:r>
        <w:rPr>
          <w:rFonts w:cs="Arial" w:hint="cs"/>
          <w:u w:val="single"/>
          <w:rtl/>
        </w:rPr>
        <w:t>'</w:t>
      </w:r>
      <w:r w:rsidRPr="00286115">
        <w:rPr>
          <w:rFonts w:cs="Arial" w:hint="cs"/>
          <w:u w:val="single"/>
          <w:rtl/>
        </w:rPr>
        <w:t>אייר</w:t>
      </w:r>
      <w:r>
        <w:rPr>
          <w:rFonts w:cs="Arial" w:hint="cs"/>
          <w:u w:val="single"/>
          <w:rtl/>
        </w:rPr>
        <w:t>'</w:t>
      </w:r>
      <w:r w:rsidRPr="00286115">
        <w:rPr>
          <w:rFonts w:cs="Arial" w:hint="cs"/>
          <w:u w:val="single"/>
          <w:rtl/>
        </w:rPr>
        <w:t>:</w:t>
      </w:r>
      <w:r>
        <w:rPr>
          <w:rFonts w:cs="Arial" w:hint="cs"/>
          <w:rtl/>
        </w:rPr>
        <w:t xml:space="preserve"> </w:t>
      </w:r>
    </w:p>
    <w:p w14:paraId="0BE2F98F" w14:textId="6EA532C6" w:rsidR="00FA2119" w:rsidRPr="009A7CBE" w:rsidRDefault="00FA2119" w:rsidP="009A7CBE">
      <w:pPr>
        <w:pStyle w:val="ab"/>
        <w:numPr>
          <w:ilvl w:val="0"/>
          <w:numId w:val="12"/>
        </w:numPr>
        <w:rPr>
          <w:rFonts w:asciiTheme="minorBidi" w:hAnsiTheme="minorBidi"/>
          <w:rtl/>
        </w:rPr>
      </w:pPr>
      <w:r w:rsidRPr="00351B7D">
        <w:rPr>
          <w:rFonts w:asciiTheme="minorBidi" w:hAnsiTheme="minorBidi"/>
          <w:rtl/>
        </w:rPr>
        <w:t>תרוה"ד</w:t>
      </w:r>
      <w:r w:rsidRPr="00351B7D">
        <w:rPr>
          <w:rFonts w:asciiTheme="minorBidi" w:hAnsiTheme="minorBidi"/>
          <w:sz w:val="16"/>
          <w:szCs w:val="16"/>
          <w:rtl/>
        </w:rPr>
        <w:t xml:space="preserve"> (סי' רלג)</w:t>
      </w:r>
      <w:r w:rsidR="00A82951">
        <w:rPr>
          <w:rFonts w:asciiTheme="minorBidi" w:hAnsiTheme="minorBidi"/>
          <w:rtl/>
        </w:rPr>
        <w:t>-</w:t>
      </w:r>
      <w:r w:rsidRPr="00351B7D">
        <w:rPr>
          <w:rFonts w:asciiTheme="minorBidi" w:hAnsiTheme="minorBidi"/>
          <w:rtl/>
        </w:rPr>
        <w:t xml:space="preserve"> ודאי דינו לכתוב בשני יודי"ן כי כך מצאתי בתרגום מגילת אסתר</w:t>
      </w:r>
      <w:r>
        <w:rPr>
          <w:rFonts w:asciiTheme="minorBidi" w:hAnsiTheme="minorBidi" w:hint="cs"/>
          <w:rtl/>
        </w:rPr>
        <w:t>,</w:t>
      </w:r>
      <w:r w:rsidRPr="00351B7D">
        <w:rPr>
          <w:rFonts w:asciiTheme="minorBidi" w:hAnsiTheme="minorBidi"/>
          <w:rtl/>
        </w:rPr>
        <w:t xml:space="preserve"> וגם בתרגום אחד בספר מלכים... לכך נראה דאפי' אם נותן הגט בחד יו"ד ובו ביום נודע הטעות דיש לכתוב וליתן אחר בשני יודי"ן</w:t>
      </w:r>
      <w:r w:rsidR="009A7CBE">
        <w:rPr>
          <w:rFonts w:asciiTheme="minorBidi" w:hAnsiTheme="minorBidi" w:hint="cs"/>
          <w:rtl/>
        </w:rPr>
        <w:t>.</w:t>
      </w:r>
      <w:r w:rsidRPr="009A7CBE">
        <w:rPr>
          <w:rFonts w:asciiTheme="minorBidi" w:hAnsiTheme="minorBidi"/>
          <w:rtl/>
        </w:rPr>
        <w:t xml:space="preserve"> וכה"ג לא הוי לעז כל כך לבית דין, וההוא עובדא דלעיל כבר עברו כמה ימים אחר הנתינה ויצא שם מגורשת על האשה ואי הוי בעי למיהדר וליתן גט אחר הוי זילותא לבית דין</w:t>
      </w:r>
      <w:r w:rsidRPr="009A7CBE">
        <w:rPr>
          <w:rFonts w:asciiTheme="minorBidi" w:hAnsiTheme="minorBidi" w:hint="cs"/>
          <w:rtl/>
        </w:rPr>
        <w:t>,</w:t>
      </w:r>
      <w:r w:rsidRPr="009A7CBE">
        <w:rPr>
          <w:rFonts w:asciiTheme="minorBidi" w:hAnsiTheme="minorBidi"/>
          <w:rtl/>
        </w:rPr>
        <w:t xml:space="preserve"> לכך הכשיר בדיעבד</w:t>
      </w:r>
      <w:r w:rsidRPr="009A7CBE">
        <w:rPr>
          <w:rFonts w:asciiTheme="minorBidi" w:hAnsiTheme="minorBidi" w:hint="cs"/>
          <w:rtl/>
        </w:rPr>
        <w:t>,</w:t>
      </w:r>
      <w:r w:rsidRPr="009A7CBE">
        <w:rPr>
          <w:rFonts w:asciiTheme="minorBidi" w:hAnsiTheme="minorBidi"/>
          <w:rtl/>
        </w:rPr>
        <w:t xml:space="preserve"> כן נראה.</w:t>
      </w:r>
    </w:p>
    <w:p w14:paraId="1D8C8FFC" w14:textId="43648154" w:rsidR="00FA2119" w:rsidRPr="00351B7D" w:rsidRDefault="00FA2119" w:rsidP="00FA2119">
      <w:pPr>
        <w:pStyle w:val="ab"/>
        <w:numPr>
          <w:ilvl w:val="0"/>
          <w:numId w:val="12"/>
        </w:numPr>
        <w:rPr>
          <w:rFonts w:asciiTheme="minorBidi" w:hAnsiTheme="minorBidi"/>
        </w:rPr>
      </w:pPr>
      <w:r w:rsidRPr="00351B7D">
        <w:rPr>
          <w:rFonts w:asciiTheme="minorBidi" w:hAnsiTheme="minorBidi"/>
          <w:rtl/>
        </w:rPr>
        <w:t>מהרי"ל</w:t>
      </w:r>
      <w:r w:rsidRPr="00351B7D">
        <w:rPr>
          <w:rFonts w:asciiTheme="minorBidi" w:hAnsiTheme="minorBidi"/>
          <w:sz w:val="16"/>
          <w:szCs w:val="16"/>
          <w:rtl/>
        </w:rPr>
        <w:t xml:space="preserve"> (כ</w:t>
      </w:r>
      <w:r>
        <w:rPr>
          <w:rFonts w:asciiTheme="minorBidi" w:hAnsiTheme="minorBidi" w:hint="cs"/>
          <w:sz w:val="16"/>
          <w:szCs w:val="16"/>
          <w:rtl/>
        </w:rPr>
        <w:t>"כ</w:t>
      </w:r>
      <w:r w:rsidRPr="00351B7D">
        <w:rPr>
          <w:rFonts w:asciiTheme="minorBidi" w:hAnsiTheme="minorBidi"/>
          <w:sz w:val="16"/>
          <w:szCs w:val="16"/>
          <w:rtl/>
        </w:rPr>
        <w:t xml:space="preserve"> הדרכ"מ </w:t>
      </w:r>
      <w:r>
        <w:rPr>
          <w:rFonts w:asciiTheme="minorBidi" w:hAnsiTheme="minorBidi" w:hint="cs"/>
          <w:sz w:val="16"/>
          <w:szCs w:val="16"/>
          <w:rtl/>
        </w:rPr>
        <w:t xml:space="preserve">[אות כח] </w:t>
      </w:r>
      <w:r w:rsidRPr="00351B7D">
        <w:rPr>
          <w:rFonts w:asciiTheme="minorBidi" w:hAnsiTheme="minorBidi"/>
          <w:sz w:val="16"/>
          <w:szCs w:val="16"/>
          <w:rtl/>
        </w:rPr>
        <w:t>בשמו)</w:t>
      </w:r>
      <w:r w:rsidR="00A82951">
        <w:rPr>
          <w:rFonts w:asciiTheme="minorBidi" w:hAnsiTheme="minorBidi"/>
          <w:rtl/>
        </w:rPr>
        <w:t>-</w:t>
      </w:r>
      <w:r w:rsidRPr="00351B7D">
        <w:rPr>
          <w:rFonts w:asciiTheme="minorBidi" w:hAnsiTheme="minorBidi"/>
          <w:rtl/>
        </w:rPr>
        <w:t xml:space="preserve"> יש ליתן ב' גיטין באייר מכח ספק</w:t>
      </w:r>
      <w:r w:rsidRPr="00351B7D">
        <w:rPr>
          <w:rStyle w:val="a7"/>
          <w:rFonts w:asciiTheme="minorBidi" w:hAnsiTheme="minorBidi"/>
          <w:rtl/>
        </w:rPr>
        <w:footnoteReference w:id="788"/>
      </w:r>
      <w:r w:rsidRPr="00351B7D">
        <w:rPr>
          <w:rFonts w:asciiTheme="minorBidi" w:hAnsiTheme="minorBidi"/>
          <w:rtl/>
        </w:rPr>
        <w:t>, ויש נמנעין</w:t>
      </w:r>
      <w:r w:rsidRPr="00351B7D">
        <w:rPr>
          <w:rStyle w:val="a7"/>
          <w:rFonts w:asciiTheme="minorBidi" w:hAnsiTheme="minorBidi"/>
          <w:rtl/>
        </w:rPr>
        <w:footnoteReference w:id="789"/>
      </w:r>
      <w:r w:rsidRPr="00351B7D">
        <w:rPr>
          <w:rFonts w:asciiTheme="minorBidi" w:hAnsiTheme="minorBidi"/>
          <w:rtl/>
        </w:rPr>
        <w:t xml:space="preserve"> ליתן גט באייר מכח ספק.</w:t>
      </w:r>
    </w:p>
    <w:p w14:paraId="347C7064"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4F08EDC" w14:textId="77777777" w:rsidR="00FA2119" w:rsidRDefault="00FA2119" w:rsidP="00FA2119">
      <w:pPr>
        <w:rPr>
          <w:rtl/>
        </w:rPr>
      </w:pPr>
      <w:r>
        <w:rPr>
          <w:rFonts w:cs="Arial" w:hint="cs"/>
          <w:rtl/>
        </w:rPr>
        <w:t>אייר</w:t>
      </w:r>
      <w:r>
        <w:rPr>
          <w:rFonts w:cs="Arial"/>
          <w:rtl/>
        </w:rPr>
        <w:t xml:space="preserve">, </w:t>
      </w:r>
      <w:r>
        <w:rPr>
          <w:rFonts w:cs="Arial" w:hint="cs"/>
          <w:rtl/>
        </w:rPr>
        <w:t>יש</w:t>
      </w:r>
      <w:r>
        <w:rPr>
          <w:rFonts w:cs="Arial"/>
          <w:rtl/>
        </w:rPr>
        <w:t xml:space="preserve"> </w:t>
      </w:r>
      <w:r>
        <w:rPr>
          <w:rFonts w:cs="Arial" w:hint="cs"/>
          <w:rtl/>
        </w:rPr>
        <w:t>לכתבו</w:t>
      </w:r>
      <w:r>
        <w:rPr>
          <w:rFonts w:cs="Arial"/>
          <w:rtl/>
        </w:rPr>
        <w:t xml:space="preserve"> </w:t>
      </w:r>
      <w:r>
        <w:rPr>
          <w:rFonts w:cs="Arial" w:hint="cs"/>
          <w:rtl/>
        </w:rPr>
        <w:t>לכתחלה</w:t>
      </w:r>
      <w:r>
        <w:rPr>
          <w:rFonts w:cs="Arial"/>
          <w:rtl/>
        </w:rPr>
        <w:t xml:space="preserve"> </w:t>
      </w:r>
      <w:r>
        <w:rPr>
          <w:rFonts w:cs="Arial" w:hint="cs"/>
          <w:rtl/>
        </w:rPr>
        <w:t>בשני</w:t>
      </w:r>
      <w:r>
        <w:rPr>
          <w:rFonts w:cs="Arial"/>
          <w:rtl/>
        </w:rPr>
        <w:t xml:space="preserve"> </w:t>
      </w:r>
      <w:r>
        <w:rPr>
          <w:rFonts w:cs="Arial" w:hint="cs"/>
          <w:rtl/>
        </w:rPr>
        <w:t>יודי</w:t>
      </w:r>
      <w:r>
        <w:rPr>
          <w:rFonts w:cs="Arial"/>
          <w:rtl/>
        </w:rPr>
        <w:t>"</w:t>
      </w:r>
      <w:r>
        <w:rPr>
          <w:rFonts w:cs="Arial" w:hint="cs"/>
          <w:rtl/>
        </w:rPr>
        <w:t>ן</w:t>
      </w:r>
      <w:r>
        <w:rPr>
          <w:rFonts w:cs="Arial"/>
          <w:rtl/>
        </w:rPr>
        <w:t xml:space="preserve"> </w:t>
      </w:r>
      <w:r w:rsidRPr="00286115">
        <w:rPr>
          <w:rFonts w:cs="Arial"/>
          <w:sz w:val="18"/>
          <w:szCs w:val="18"/>
          <w:rtl/>
        </w:rPr>
        <w:t>(</w:t>
      </w:r>
      <w:r w:rsidRPr="00286115">
        <w:rPr>
          <w:rFonts w:cs="Arial" w:hint="cs"/>
          <w:sz w:val="18"/>
          <w:szCs w:val="18"/>
          <w:rtl/>
        </w:rPr>
        <w:t>וע</w:t>
      </w:r>
      <w:r w:rsidRPr="00286115">
        <w:rPr>
          <w:rFonts w:cs="Arial"/>
          <w:sz w:val="18"/>
          <w:szCs w:val="18"/>
          <w:rtl/>
        </w:rPr>
        <w:t>"</w:t>
      </w:r>
      <w:r w:rsidRPr="00286115">
        <w:rPr>
          <w:rFonts w:cs="Arial" w:hint="cs"/>
          <w:sz w:val="18"/>
          <w:szCs w:val="18"/>
          <w:rtl/>
        </w:rPr>
        <w:t>ל</w:t>
      </w:r>
      <w:r w:rsidRPr="00286115">
        <w:rPr>
          <w:rFonts w:cs="Arial"/>
          <w:sz w:val="18"/>
          <w:szCs w:val="18"/>
          <w:rtl/>
        </w:rPr>
        <w:t xml:space="preserve"> </w:t>
      </w:r>
      <w:r w:rsidRPr="00286115">
        <w:rPr>
          <w:rFonts w:cs="Arial" w:hint="cs"/>
          <w:sz w:val="18"/>
          <w:szCs w:val="18"/>
          <w:rtl/>
        </w:rPr>
        <w:t>סעיף</w:t>
      </w:r>
      <w:r w:rsidRPr="00286115">
        <w:rPr>
          <w:rFonts w:cs="Arial"/>
          <w:sz w:val="18"/>
          <w:szCs w:val="18"/>
          <w:rtl/>
        </w:rPr>
        <w:t xml:space="preserve"> </w:t>
      </w:r>
      <w:r w:rsidRPr="00286115">
        <w:rPr>
          <w:rFonts w:cs="Arial" w:hint="cs"/>
          <w:sz w:val="18"/>
          <w:szCs w:val="18"/>
          <w:rtl/>
        </w:rPr>
        <w:t>ז</w:t>
      </w:r>
      <w:r w:rsidRPr="00286115">
        <w:rPr>
          <w:rFonts w:cs="Arial"/>
          <w:sz w:val="18"/>
          <w:szCs w:val="18"/>
          <w:rtl/>
        </w:rPr>
        <w:t>')</w:t>
      </w:r>
      <w:r>
        <w:rPr>
          <w:rFonts w:cs="Arial"/>
          <w:rtl/>
        </w:rPr>
        <w:t xml:space="preserve">. </w:t>
      </w:r>
    </w:p>
    <w:p w14:paraId="3BA5624B" w14:textId="77777777" w:rsidR="00FA2119" w:rsidRDefault="00FA2119" w:rsidP="00FA2119">
      <w:pPr>
        <w:rPr>
          <w:rtl/>
        </w:rPr>
      </w:pPr>
    </w:p>
    <w:p w14:paraId="52B89EF4" w14:textId="77777777" w:rsidR="00FA2119" w:rsidRDefault="00FA2119" w:rsidP="00FA2119">
      <w:pPr>
        <w:pStyle w:val="2"/>
        <w:rPr>
          <w:rtl/>
        </w:rPr>
      </w:pPr>
      <w:r>
        <w:rPr>
          <w:rFonts w:hint="cs"/>
          <w:rtl/>
        </w:rPr>
        <w:t>סעיף</w:t>
      </w:r>
      <w:r>
        <w:rPr>
          <w:rtl/>
        </w:rPr>
        <w:t xml:space="preserve"> </w:t>
      </w:r>
      <w:r>
        <w:rPr>
          <w:rFonts w:hint="cs"/>
          <w:rtl/>
        </w:rPr>
        <w:t>כד: כסלו.</w:t>
      </w:r>
    </w:p>
    <w:p w14:paraId="0FB6C9F7" w14:textId="77777777" w:rsidR="00FA2119" w:rsidRPr="00351B7D" w:rsidRDefault="00FA2119" w:rsidP="00FA2119">
      <w:pPr>
        <w:rPr>
          <w:rFonts w:asciiTheme="minorBidi" w:hAnsiTheme="minorBidi"/>
          <w:rtl/>
        </w:rPr>
      </w:pPr>
      <w:r w:rsidRPr="00351B7D">
        <w:rPr>
          <w:rFonts w:asciiTheme="minorBidi" w:hAnsiTheme="minorBidi"/>
          <w:u w:val="single"/>
          <w:rtl/>
        </w:rPr>
        <w:t xml:space="preserve">כתיבת </w:t>
      </w:r>
      <w:r>
        <w:rPr>
          <w:rFonts w:asciiTheme="minorBidi" w:hAnsiTheme="minorBidi" w:hint="cs"/>
          <w:u w:val="single"/>
          <w:rtl/>
        </w:rPr>
        <w:t>החודש '</w:t>
      </w:r>
      <w:r w:rsidRPr="00351B7D">
        <w:rPr>
          <w:rFonts w:asciiTheme="minorBidi" w:hAnsiTheme="minorBidi"/>
          <w:u w:val="single"/>
          <w:rtl/>
        </w:rPr>
        <w:t>כסלו</w:t>
      </w:r>
      <w:r>
        <w:rPr>
          <w:rFonts w:asciiTheme="minorBidi" w:hAnsiTheme="minorBidi" w:hint="cs"/>
          <w:u w:val="single"/>
          <w:rtl/>
        </w:rPr>
        <w:t>'</w:t>
      </w:r>
      <w:r w:rsidRPr="00351B7D">
        <w:rPr>
          <w:rFonts w:asciiTheme="minorBidi" w:hAnsiTheme="minorBidi"/>
          <w:u w:val="single"/>
          <w:rtl/>
        </w:rPr>
        <w:t>:</w:t>
      </w:r>
      <w:r w:rsidRPr="00351B7D">
        <w:rPr>
          <w:rFonts w:asciiTheme="minorBidi" w:hAnsiTheme="minorBidi"/>
          <w:sz w:val="16"/>
          <w:szCs w:val="16"/>
          <w:rtl/>
        </w:rPr>
        <w:t xml:space="preserve"> </w:t>
      </w:r>
    </w:p>
    <w:p w14:paraId="726EBB9B" w14:textId="5299C3A0" w:rsidR="00FA2119" w:rsidRPr="00351B7D" w:rsidRDefault="00FA2119" w:rsidP="00FA2119">
      <w:pPr>
        <w:pStyle w:val="ab"/>
        <w:numPr>
          <w:ilvl w:val="0"/>
          <w:numId w:val="12"/>
        </w:numPr>
        <w:rPr>
          <w:rFonts w:asciiTheme="minorBidi" w:hAnsiTheme="minorBidi"/>
        </w:rPr>
      </w:pPr>
      <w:r w:rsidRPr="00351B7D">
        <w:rPr>
          <w:rFonts w:asciiTheme="minorBidi" w:hAnsiTheme="minorBidi"/>
          <w:rtl/>
        </w:rPr>
        <w:t>תרוה"ד</w:t>
      </w:r>
      <w:r w:rsidRPr="00351B7D">
        <w:rPr>
          <w:rFonts w:asciiTheme="minorBidi" w:hAnsiTheme="minorBidi"/>
          <w:sz w:val="16"/>
          <w:szCs w:val="16"/>
          <w:rtl/>
        </w:rPr>
        <w:t xml:space="preserve"> (סי' רלג)</w:t>
      </w:r>
      <w:r w:rsidR="00A82951">
        <w:rPr>
          <w:rFonts w:asciiTheme="minorBidi" w:hAnsiTheme="minorBidi"/>
          <w:rtl/>
        </w:rPr>
        <w:t>-</w:t>
      </w:r>
      <w:r w:rsidRPr="00351B7D">
        <w:rPr>
          <w:rFonts w:asciiTheme="minorBidi" w:hAnsiTheme="minorBidi"/>
          <w:rtl/>
        </w:rPr>
        <w:t xml:space="preserve"> נסתפקו בו הראשונ</w:t>
      </w:r>
      <w:r>
        <w:rPr>
          <w:rFonts w:asciiTheme="minorBidi" w:hAnsiTheme="minorBidi" w:hint="cs"/>
          <w:rtl/>
        </w:rPr>
        <w:t>ים</w:t>
      </w:r>
      <w:r w:rsidRPr="00351B7D">
        <w:rPr>
          <w:rFonts w:asciiTheme="minorBidi" w:hAnsiTheme="minorBidi"/>
          <w:rtl/>
        </w:rPr>
        <w:t xml:space="preserve"> אם יש לכתבו חסר יו"ד</w:t>
      </w:r>
      <w:r>
        <w:rPr>
          <w:rFonts w:asciiTheme="minorBidi" w:hAnsiTheme="minorBidi" w:hint="cs"/>
          <w:rtl/>
        </w:rPr>
        <w:t>.</w:t>
      </w:r>
      <w:r w:rsidRPr="00351B7D">
        <w:rPr>
          <w:rFonts w:asciiTheme="minorBidi" w:hAnsiTheme="minorBidi"/>
          <w:rtl/>
        </w:rPr>
        <w:t xml:space="preserve"> ושמעתי שהקדמונים היו נשמטים מלכתוב גט בכסליו מפני ספיקא זו</w:t>
      </w:r>
      <w:r>
        <w:rPr>
          <w:rFonts w:asciiTheme="minorBidi" w:hAnsiTheme="minorBidi" w:hint="cs"/>
          <w:rtl/>
        </w:rPr>
        <w:t>.</w:t>
      </w:r>
      <w:r w:rsidRPr="00351B7D">
        <w:rPr>
          <w:rFonts w:asciiTheme="minorBidi" w:hAnsiTheme="minorBidi"/>
          <w:rtl/>
        </w:rPr>
        <w:t xml:space="preserve"> ומ"מ יש לכתוב חסר יו"ד, דאע"ג דבלשון תרגום הוי מלא</w:t>
      </w:r>
      <w:r>
        <w:rPr>
          <w:rFonts w:asciiTheme="minorBidi" w:hAnsiTheme="minorBidi" w:hint="cs"/>
          <w:rtl/>
        </w:rPr>
        <w:t>,</w:t>
      </w:r>
      <w:r w:rsidRPr="00351B7D">
        <w:rPr>
          <w:rFonts w:asciiTheme="minorBidi" w:hAnsiTheme="minorBidi"/>
          <w:rtl/>
        </w:rPr>
        <w:t xml:space="preserve"> בתר עברי אזלינן</w:t>
      </w:r>
      <w:r w:rsidRPr="00351B7D">
        <w:rPr>
          <w:rStyle w:val="a7"/>
          <w:rFonts w:asciiTheme="minorBidi" w:hAnsiTheme="minorBidi"/>
          <w:rtl/>
        </w:rPr>
        <w:footnoteReference w:id="790"/>
      </w:r>
      <w:r w:rsidRPr="00351B7D">
        <w:rPr>
          <w:rFonts w:asciiTheme="minorBidi" w:hAnsiTheme="minorBidi"/>
          <w:rtl/>
        </w:rPr>
        <w:t xml:space="preserve"> שכתוב חסר</w:t>
      </w:r>
      <w:r w:rsidRPr="00351B7D">
        <w:rPr>
          <w:rStyle w:val="a7"/>
          <w:rFonts w:asciiTheme="minorBidi" w:hAnsiTheme="minorBidi"/>
          <w:rtl/>
        </w:rPr>
        <w:footnoteReference w:id="791"/>
      </w:r>
      <w:r w:rsidRPr="00351B7D">
        <w:rPr>
          <w:rFonts w:asciiTheme="minorBidi" w:hAnsiTheme="minorBidi"/>
          <w:rtl/>
        </w:rPr>
        <w:t xml:space="preserve">. </w:t>
      </w:r>
      <w:r w:rsidRPr="00020A04">
        <w:rPr>
          <w:rFonts w:asciiTheme="minorBidi" w:hAnsiTheme="minorBidi" w:hint="cs"/>
          <w:color w:val="E36C0A" w:themeColor="accent6" w:themeShade="BF"/>
          <w:rtl/>
        </w:rPr>
        <w:t>(וכ"פ בשו"ע)</w:t>
      </w:r>
      <w:r w:rsidR="009A7CBE">
        <w:rPr>
          <w:rFonts w:asciiTheme="minorBidi" w:hAnsiTheme="minorBidi" w:hint="cs"/>
          <w:color w:val="E36C0A" w:themeColor="accent6" w:themeShade="BF"/>
          <w:rtl/>
        </w:rPr>
        <w:t xml:space="preserve"> </w:t>
      </w:r>
      <w:r w:rsidRPr="00351B7D">
        <w:rPr>
          <w:rFonts w:asciiTheme="minorBidi" w:hAnsiTheme="minorBidi"/>
          <w:color w:val="00B0F0"/>
          <w:rtl/>
        </w:rPr>
        <w:t>(וכ"פ הרמ"א)</w:t>
      </w:r>
    </w:p>
    <w:p w14:paraId="1D200FF6" w14:textId="77777777" w:rsidR="00FA2119" w:rsidRPr="00CD028C" w:rsidRDefault="00FA2119" w:rsidP="00FA2119">
      <w:pPr>
        <w:rPr>
          <w:rtl/>
        </w:rPr>
      </w:pPr>
    </w:p>
    <w:p w14:paraId="72112482"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6B28EC2" w14:textId="77777777" w:rsidR="00FA2119" w:rsidRDefault="00FA2119" w:rsidP="00FA2119">
      <w:pPr>
        <w:rPr>
          <w:rtl/>
        </w:rPr>
      </w:pPr>
      <w:r>
        <w:rPr>
          <w:rFonts w:cs="Arial" w:hint="cs"/>
          <w:rtl/>
        </w:rPr>
        <w:t>כסלו</w:t>
      </w:r>
      <w:r>
        <w:rPr>
          <w:rFonts w:cs="Arial"/>
          <w:rtl/>
        </w:rPr>
        <w:t xml:space="preserve">, </w:t>
      </w:r>
      <w:r>
        <w:rPr>
          <w:rFonts w:cs="Arial" w:hint="cs"/>
          <w:rtl/>
        </w:rPr>
        <w:t>חסר</w:t>
      </w:r>
      <w:r>
        <w:rPr>
          <w:rFonts w:cs="Arial"/>
          <w:rtl/>
        </w:rPr>
        <w:t xml:space="preserve"> </w:t>
      </w:r>
      <w:r>
        <w:rPr>
          <w:rFonts w:cs="Arial" w:hint="cs"/>
          <w:rtl/>
        </w:rPr>
        <w:t>יו</w:t>
      </w:r>
      <w:r>
        <w:rPr>
          <w:rFonts w:cs="Arial"/>
          <w:rtl/>
        </w:rPr>
        <w:t>"</w:t>
      </w:r>
      <w:r>
        <w:rPr>
          <w:rFonts w:cs="Arial" w:hint="cs"/>
          <w:rtl/>
        </w:rPr>
        <w:t>ד</w:t>
      </w:r>
      <w:r>
        <w:rPr>
          <w:rFonts w:cs="Arial"/>
          <w:rtl/>
        </w:rPr>
        <w:t xml:space="preserve">. </w:t>
      </w:r>
    </w:p>
    <w:p w14:paraId="5B1B61F2" w14:textId="77777777" w:rsidR="00FA2119" w:rsidRDefault="00FA2119" w:rsidP="00FA2119">
      <w:pPr>
        <w:rPr>
          <w:rtl/>
        </w:rPr>
      </w:pPr>
    </w:p>
    <w:p w14:paraId="448966F7" w14:textId="4B229C93" w:rsidR="00FA2119" w:rsidRDefault="00FA2119" w:rsidP="00FA2119">
      <w:pPr>
        <w:pStyle w:val="2"/>
        <w:rPr>
          <w:rtl/>
        </w:rPr>
      </w:pPr>
      <w:r>
        <w:rPr>
          <w:rFonts w:hint="cs"/>
          <w:rtl/>
        </w:rPr>
        <w:t>סעיף</w:t>
      </w:r>
      <w:r>
        <w:rPr>
          <w:rtl/>
        </w:rPr>
        <w:t xml:space="preserve"> </w:t>
      </w:r>
      <w:r>
        <w:rPr>
          <w:rFonts w:hint="cs"/>
          <w:rtl/>
        </w:rPr>
        <w:t>כה: כתיבת תאריך בגימטריה.</w:t>
      </w:r>
    </w:p>
    <w:p w14:paraId="663FFAB4" w14:textId="6FF2A7F7" w:rsidR="00FA2119" w:rsidRPr="004B2D40" w:rsidRDefault="00FA2119" w:rsidP="00FA2119">
      <w:pPr>
        <w:rPr>
          <w:u w:val="single"/>
          <w:rtl/>
        </w:rPr>
      </w:pPr>
      <w:r w:rsidRPr="004B2D40">
        <w:rPr>
          <w:rFonts w:hint="cs"/>
          <w:u w:val="single"/>
          <w:rtl/>
        </w:rPr>
        <w:t>י"</w:t>
      </w:r>
      <w:r w:rsidR="009A7CBE">
        <w:rPr>
          <w:rFonts w:hint="cs"/>
          <w:u w:val="single"/>
          <w:rtl/>
        </w:rPr>
        <w:t>ב</w:t>
      </w:r>
      <w:r w:rsidRPr="004B2D40">
        <w:rPr>
          <w:rFonts w:hint="cs"/>
          <w:u w:val="single"/>
          <w:rtl/>
        </w:rPr>
        <w:t xml:space="preserve"> במקום שנים עשר: </w:t>
      </w:r>
    </w:p>
    <w:p w14:paraId="3F81B796" w14:textId="084296A7" w:rsidR="00FA2119" w:rsidRPr="00390DD7" w:rsidRDefault="00FA2119" w:rsidP="00FA2119">
      <w:pPr>
        <w:pStyle w:val="ab"/>
        <w:numPr>
          <w:ilvl w:val="0"/>
          <w:numId w:val="12"/>
        </w:numPr>
        <w:rPr>
          <w:rFonts w:cs="Arial"/>
          <w:rtl/>
        </w:rPr>
      </w:pPr>
      <w:r w:rsidRPr="00020A04">
        <w:rPr>
          <w:rFonts w:cs="Arial" w:hint="cs"/>
          <w:rtl/>
        </w:rPr>
        <w:t xml:space="preserve">הגמ"ר </w:t>
      </w:r>
      <w:r w:rsidRPr="00020A04">
        <w:rPr>
          <w:rFonts w:cs="Arial" w:hint="cs"/>
          <w:sz w:val="16"/>
          <w:szCs w:val="16"/>
          <w:rtl/>
        </w:rPr>
        <w:t>(גיטין סי' תנו)</w:t>
      </w:r>
      <w:r w:rsidR="00A82951">
        <w:rPr>
          <w:rFonts w:cs="Arial" w:hint="cs"/>
          <w:rtl/>
        </w:rPr>
        <w:t>-</w:t>
      </w:r>
      <w:r w:rsidRPr="00020A04">
        <w:rPr>
          <w:rFonts w:cs="Arial" w:hint="cs"/>
          <w:rtl/>
        </w:rPr>
        <w:t xml:space="preserve"> </w:t>
      </w:r>
      <w:r w:rsidRPr="00020A04">
        <w:rPr>
          <w:rFonts w:cs="Arial"/>
          <w:rtl/>
        </w:rPr>
        <w:t>השיב הרב מטרני על הגט שכתוב בו בי"ב ימים לירח פלוני ואין כתוב בו שנים עשר</w:t>
      </w:r>
      <w:r>
        <w:rPr>
          <w:rFonts w:cs="Arial" w:hint="cs"/>
          <w:rtl/>
        </w:rPr>
        <w:t xml:space="preserve"> </w:t>
      </w:r>
      <w:r w:rsidR="00A82951">
        <w:rPr>
          <w:rFonts w:cs="Arial" w:hint="cs"/>
          <w:rtl/>
        </w:rPr>
        <w:t>-</w:t>
      </w:r>
      <w:r w:rsidRPr="00020A04">
        <w:rPr>
          <w:rFonts w:cs="Arial"/>
          <w:rtl/>
        </w:rPr>
        <w:t xml:space="preserve"> כשר הוא</w:t>
      </w:r>
      <w:r>
        <w:rPr>
          <w:rStyle w:val="a7"/>
          <w:rFonts w:cs="Arial"/>
          <w:rtl/>
        </w:rPr>
        <w:footnoteReference w:id="792"/>
      </w:r>
      <w:r>
        <w:rPr>
          <w:rFonts w:cs="Arial" w:hint="cs"/>
          <w:rtl/>
        </w:rPr>
        <w:t>,</w:t>
      </w:r>
      <w:r w:rsidRPr="00020A04">
        <w:rPr>
          <w:rFonts w:cs="Arial"/>
          <w:rtl/>
        </w:rPr>
        <w:t xml:space="preserve"> דידוע לכל י"ב הם שנים עשר</w:t>
      </w:r>
      <w:r>
        <w:rPr>
          <w:rFonts w:cs="Arial" w:hint="cs"/>
          <w:rtl/>
        </w:rPr>
        <w:t>,</w:t>
      </w:r>
      <w:r w:rsidRPr="00020A04">
        <w:rPr>
          <w:rFonts w:cs="Arial"/>
          <w:rtl/>
        </w:rPr>
        <w:t xml:space="preserve"> ואין לערער עליו לא משום פירות ולא משום זנות</w:t>
      </w:r>
      <w:r w:rsidRPr="00390DD7">
        <w:rPr>
          <w:rFonts w:cs="Arial"/>
          <w:rtl/>
        </w:rPr>
        <w:t>.</w:t>
      </w:r>
      <w:r w:rsidRPr="008208CD">
        <w:rPr>
          <w:rFonts w:cs="Arial"/>
          <w:color w:val="E36C0A" w:themeColor="accent6" w:themeShade="BF"/>
          <w:rtl/>
        </w:rPr>
        <w:t xml:space="preserve"> </w:t>
      </w:r>
      <w:r w:rsidRPr="008208CD">
        <w:rPr>
          <w:rFonts w:cs="Arial" w:hint="cs"/>
          <w:color w:val="E36C0A" w:themeColor="accent6" w:themeShade="BF"/>
          <w:rtl/>
        </w:rPr>
        <w:t>(וכ"פ בשו"ע)</w:t>
      </w:r>
    </w:p>
    <w:p w14:paraId="6E6CDA6B" w14:textId="77777777" w:rsidR="00FA2119" w:rsidRPr="008208CD" w:rsidRDefault="00FA2119" w:rsidP="00FA2119">
      <w:pPr>
        <w:rPr>
          <w:rFonts w:cs="Arial"/>
        </w:rPr>
      </w:pPr>
      <w:r w:rsidRPr="008208CD">
        <w:rPr>
          <w:rFonts w:cs="Arial" w:hint="cs"/>
          <w:u w:val="single"/>
          <w:rtl/>
        </w:rPr>
        <w:t xml:space="preserve">כתב </w:t>
      </w:r>
      <w:r>
        <w:rPr>
          <w:rFonts w:cs="Arial" w:hint="cs"/>
          <w:u w:val="single"/>
          <w:rtl/>
        </w:rPr>
        <w:t>'</w:t>
      </w:r>
      <w:r w:rsidRPr="008208CD">
        <w:rPr>
          <w:rFonts w:cs="Arial" w:hint="cs"/>
          <w:u w:val="single"/>
          <w:rtl/>
        </w:rPr>
        <w:t>ארבעה</w:t>
      </w:r>
      <w:r>
        <w:rPr>
          <w:rFonts w:cs="Arial" w:hint="cs"/>
          <w:u w:val="single"/>
          <w:rtl/>
        </w:rPr>
        <w:t>'</w:t>
      </w:r>
      <w:r w:rsidRPr="008208CD">
        <w:rPr>
          <w:rFonts w:cs="Arial" w:hint="cs"/>
          <w:u w:val="single"/>
          <w:rtl/>
        </w:rPr>
        <w:t xml:space="preserve"> במקום </w:t>
      </w:r>
      <w:r>
        <w:rPr>
          <w:rFonts w:cs="Arial" w:hint="cs"/>
          <w:u w:val="single"/>
          <w:rtl/>
        </w:rPr>
        <w:t>'</w:t>
      </w:r>
      <w:r w:rsidRPr="008208CD">
        <w:rPr>
          <w:rFonts w:cs="Arial" w:hint="cs"/>
          <w:u w:val="single"/>
          <w:rtl/>
        </w:rPr>
        <w:t>בארבעה</w:t>
      </w:r>
      <w:r>
        <w:rPr>
          <w:rFonts w:cs="Arial" w:hint="cs"/>
          <w:u w:val="single"/>
          <w:rtl/>
        </w:rPr>
        <w:t>'</w:t>
      </w:r>
      <w:r w:rsidRPr="008208CD">
        <w:rPr>
          <w:rFonts w:cs="Arial" w:hint="cs"/>
          <w:u w:val="single"/>
          <w:rtl/>
        </w:rPr>
        <w:t>:</w:t>
      </w:r>
      <w:r>
        <w:rPr>
          <w:rFonts w:cs="Arial" w:hint="cs"/>
          <w:rtl/>
        </w:rPr>
        <w:t xml:space="preserve"> </w:t>
      </w:r>
      <w:r w:rsidRPr="008208CD">
        <w:rPr>
          <w:rFonts w:cs="Arial"/>
          <w:sz w:val="16"/>
          <w:szCs w:val="16"/>
          <w:rtl/>
        </w:rPr>
        <w:t>(</w:t>
      </w:r>
      <w:r w:rsidRPr="008208CD">
        <w:rPr>
          <w:rFonts w:cs="Arial" w:hint="cs"/>
          <w:sz w:val="16"/>
          <w:szCs w:val="16"/>
          <w:rtl/>
        </w:rPr>
        <w:t xml:space="preserve">דרכ"מ אות </w:t>
      </w:r>
      <w:r w:rsidRPr="008208CD">
        <w:rPr>
          <w:rFonts w:cs="Arial"/>
          <w:sz w:val="16"/>
          <w:szCs w:val="16"/>
          <w:rtl/>
        </w:rPr>
        <w:t>כט)</w:t>
      </w:r>
      <w:r w:rsidRPr="008208CD">
        <w:rPr>
          <w:rFonts w:cs="Arial"/>
          <w:rtl/>
        </w:rPr>
        <w:t xml:space="preserve"> </w:t>
      </w:r>
    </w:p>
    <w:p w14:paraId="61042E69" w14:textId="1EC440B6" w:rsidR="00FA2119" w:rsidRPr="008208CD" w:rsidRDefault="00FA2119" w:rsidP="00FA2119">
      <w:pPr>
        <w:pStyle w:val="ab"/>
        <w:numPr>
          <w:ilvl w:val="0"/>
          <w:numId w:val="12"/>
        </w:numPr>
        <w:rPr>
          <w:rFonts w:cs="Arial"/>
          <w:rtl/>
        </w:rPr>
      </w:pPr>
      <w:r w:rsidRPr="008208CD">
        <w:rPr>
          <w:rFonts w:cs="Arial"/>
          <w:rtl/>
        </w:rPr>
        <w:lastRenderedPageBreak/>
        <w:t>סדר גיטין</w:t>
      </w:r>
      <w:r w:rsidRPr="008208CD">
        <w:rPr>
          <w:rFonts w:cs="Arial"/>
          <w:sz w:val="16"/>
          <w:szCs w:val="16"/>
          <w:rtl/>
        </w:rPr>
        <w:t xml:space="preserve"> </w:t>
      </w:r>
      <w:r w:rsidRPr="008208CD">
        <w:rPr>
          <w:rFonts w:cs="Arial" w:hint="cs"/>
          <w:sz w:val="16"/>
          <w:szCs w:val="16"/>
          <w:rtl/>
        </w:rPr>
        <w:t>(</w:t>
      </w:r>
      <w:r w:rsidRPr="008208CD">
        <w:rPr>
          <w:rFonts w:cs="Arial"/>
          <w:sz w:val="16"/>
          <w:szCs w:val="16"/>
          <w:rtl/>
        </w:rPr>
        <w:t>ס</w:t>
      </w:r>
      <w:r w:rsidRPr="008208CD">
        <w:rPr>
          <w:rFonts w:cs="Arial" w:hint="cs"/>
          <w:sz w:val="16"/>
          <w:szCs w:val="16"/>
          <w:rtl/>
        </w:rPr>
        <w:t>"</w:t>
      </w:r>
      <w:r w:rsidRPr="008208CD">
        <w:rPr>
          <w:rFonts w:cs="Arial"/>
          <w:sz w:val="16"/>
          <w:szCs w:val="16"/>
          <w:rtl/>
        </w:rPr>
        <w:t>ס לה</w:t>
      </w:r>
      <w:r w:rsidRPr="008208CD">
        <w:rPr>
          <w:rFonts w:cs="Arial" w:hint="cs"/>
          <w:sz w:val="16"/>
          <w:szCs w:val="16"/>
          <w:rtl/>
        </w:rPr>
        <w:t>)</w:t>
      </w:r>
      <w:r w:rsidR="00A82951">
        <w:rPr>
          <w:rFonts w:cs="Arial" w:hint="cs"/>
          <w:rtl/>
        </w:rPr>
        <w:t>-</w:t>
      </w:r>
      <w:r w:rsidRPr="008208CD">
        <w:rPr>
          <w:rFonts w:cs="Arial"/>
          <w:rtl/>
        </w:rPr>
        <w:t xml:space="preserve"> גט שלא היה נכתב בו </w:t>
      </w:r>
      <w:r>
        <w:rPr>
          <w:rFonts w:cs="Arial" w:hint="cs"/>
          <w:rtl/>
        </w:rPr>
        <w:t>'</w:t>
      </w:r>
      <w:r w:rsidRPr="008208CD">
        <w:rPr>
          <w:rFonts w:cs="Arial"/>
          <w:rtl/>
        </w:rPr>
        <w:t>בארבעה</w:t>
      </w:r>
      <w:r>
        <w:rPr>
          <w:rFonts w:cs="Arial" w:hint="cs"/>
          <w:rtl/>
        </w:rPr>
        <w:t>'</w:t>
      </w:r>
      <w:r w:rsidRPr="008208CD">
        <w:rPr>
          <w:rFonts w:cs="Arial"/>
          <w:rtl/>
        </w:rPr>
        <w:t xml:space="preserve"> אלא </w:t>
      </w:r>
      <w:r>
        <w:rPr>
          <w:rFonts w:cs="Arial" w:hint="cs"/>
          <w:rtl/>
        </w:rPr>
        <w:t>'</w:t>
      </w:r>
      <w:r w:rsidRPr="008208CD">
        <w:rPr>
          <w:rFonts w:cs="Arial"/>
          <w:rtl/>
        </w:rPr>
        <w:t>ארבעה ימים לירח</w:t>
      </w:r>
      <w:r>
        <w:rPr>
          <w:rFonts w:cs="Arial" w:hint="cs"/>
          <w:rtl/>
        </w:rPr>
        <w:t>'</w:t>
      </w:r>
      <w:r w:rsidRPr="008208CD">
        <w:rPr>
          <w:rFonts w:cs="Arial"/>
          <w:rtl/>
        </w:rPr>
        <w:t xml:space="preserve"> </w:t>
      </w:r>
      <w:r w:rsidR="00A82951">
        <w:rPr>
          <w:rFonts w:cs="Arial" w:hint="cs"/>
          <w:rtl/>
        </w:rPr>
        <w:t>-</w:t>
      </w:r>
      <w:r>
        <w:rPr>
          <w:rFonts w:cs="Arial" w:hint="cs"/>
          <w:rtl/>
        </w:rPr>
        <w:t xml:space="preserve"> כשר.</w:t>
      </w:r>
    </w:p>
    <w:p w14:paraId="78754F94"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77ACE03" w14:textId="77777777" w:rsidR="00FA2119" w:rsidRDefault="00FA2119" w:rsidP="00FA2119">
      <w:pPr>
        <w:rPr>
          <w:rFonts w:cs="Arial"/>
          <w:rtl/>
        </w:rPr>
      </w:pPr>
      <w:r>
        <w:rPr>
          <w:rFonts w:cs="Arial" w:hint="cs"/>
          <w:rtl/>
        </w:rPr>
        <w:t>אם</w:t>
      </w:r>
      <w:r>
        <w:rPr>
          <w:rFonts w:cs="Arial"/>
          <w:rtl/>
        </w:rPr>
        <w:t xml:space="preserve"> </w:t>
      </w:r>
      <w:r>
        <w:rPr>
          <w:rFonts w:cs="Arial" w:hint="cs"/>
          <w:rtl/>
        </w:rPr>
        <w:t>הוה</w:t>
      </w:r>
      <w:r>
        <w:rPr>
          <w:rFonts w:cs="Arial"/>
          <w:rtl/>
        </w:rPr>
        <w:t xml:space="preserve"> </w:t>
      </w:r>
      <w:r>
        <w:rPr>
          <w:rFonts w:cs="Arial" w:hint="cs"/>
          <w:rtl/>
        </w:rPr>
        <w:t>ליה</w:t>
      </w:r>
      <w:r>
        <w:rPr>
          <w:rFonts w:cs="Arial"/>
          <w:rtl/>
        </w:rPr>
        <w:t xml:space="preserve"> </w:t>
      </w:r>
      <w:r>
        <w:rPr>
          <w:rFonts w:cs="Arial" w:hint="cs"/>
          <w:rtl/>
        </w:rPr>
        <w:t>לכתוב</w:t>
      </w:r>
      <w:r>
        <w:rPr>
          <w:rFonts w:cs="Arial"/>
          <w:rtl/>
        </w:rPr>
        <w:t xml:space="preserve"> </w:t>
      </w:r>
      <w:r>
        <w:rPr>
          <w:rFonts w:cs="Arial" w:hint="cs"/>
          <w:rtl/>
        </w:rPr>
        <w:t>בשנים</w:t>
      </w:r>
      <w:r>
        <w:rPr>
          <w:rFonts w:cs="Arial"/>
          <w:rtl/>
        </w:rPr>
        <w:t xml:space="preserve"> </w:t>
      </w:r>
      <w:r>
        <w:rPr>
          <w:rFonts w:cs="Arial" w:hint="cs"/>
          <w:rtl/>
        </w:rPr>
        <w:t>עשר</w:t>
      </w:r>
      <w:r>
        <w:rPr>
          <w:rFonts w:cs="Arial"/>
          <w:rtl/>
        </w:rPr>
        <w:t xml:space="preserve"> </w:t>
      </w:r>
      <w:r>
        <w:rPr>
          <w:rFonts w:cs="Arial" w:hint="cs"/>
          <w:rtl/>
        </w:rPr>
        <w:t>וכתב</w:t>
      </w:r>
      <w:r>
        <w:rPr>
          <w:rFonts w:cs="Arial"/>
          <w:rtl/>
        </w:rPr>
        <w:t xml:space="preserve">: </w:t>
      </w:r>
      <w:r>
        <w:rPr>
          <w:rFonts w:cs="Arial" w:hint="cs"/>
          <w:rtl/>
        </w:rPr>
        <w:t>בי</w:t>
      </w:r>
      <w:r>
        <w:rPr>
          <w:rFonts w:cs="Arial"/>
          <w:rtl/>
        </w:rPr>
        <w:t>"</w:t>
      </w:r>
      <w:r>
        <w:rPr>
          <w:rFonts w:cs="Arial" w:hint="cs"/>
          <w:rtl/>
        </w:rPr>
        <w:t>ב</w:t>
      </w:r>
      <w:r>
        <w:rPr>
          <w:rFonts w:cs="Arial"/>
          <w:rtl/>
        </w:rPr>
        <w:t xml:space="preserve">, </w:t>
      </w:r>
      <w:r>
        <w:rPr>
          <w:rFonts w:cs="Arial" w:hint="cs"/>
          <w:rtl/>
        </w:rPr>
        <w:t>כשר</w:t>
      </w:r>
      <w:r>
        <w:rPr>
          <w:rFonts w:cs="Arial"/>
          <w:rtl/>
        </w:rPr>
        <w:t>.</w:t>
      </w:r>
    </w:p>
    <w:p w14:paraId="4D3E1CA2" w14:textId="77777777" w:rsidR="00FA2119" w:rsidRDefault="00FA2119" w:rsidP="00FA2119">
      <w:pPr>
        <w:rPr>
          <w:rtl/>
        </w:rPr>
      </w:pPr>
    </w:p>
    <w:p w14:paraId="62DD60FF" w14:textId="77777777" w:rsidR="00FA2119" w:rsidRDefault="00FA2119" w:rsidP="00FA2119">
      <w:pPr>
        <w:pStyle w:val="2"/>
        <w:rPr>
          <w:rtl/>
        </w:rPr>
      </w:pPr>
      <w:r>
        <w:rPr>
          <w:rFonts w:hint="cs"/>
          <w:rtl/>
        </w:rPr>
        <w:t>סעיף</w:t>
      </w:r>
      <w:r>
        <w:rPr>
          <w:rtl/>
        </w:rPr>
        <w:t xml:space="preserve"> </w:t>
      </w:r>
      <w:r>
        <w:rPr>
          <w:rFonts w:hint="cs"/>
          <w:rtl/>
        </w:rPr>
        <w:t>כו: למנין.</w:t>
      </w:r>
    </w:p>
    <w:p w14:paraId="61DEF0EC" w14:textId="77777777" w:rsidR="00FA2119" w:rsidRDefault="00FA2119" w:rsidP="00FA2119">
      <w:pPr>
        <w:rPr>
          <w:rFonts w:cs="Arial"/>
          <w:rtl/>
        </w:rPr>
      </w:pPr>
      <w:r w:rsidRPr="008208CD">
        <w:rPr>
          <w:rFonts w:cs="Arial" w:hint="cs"/>
          <w:u w:val="single"/>
          <w:rtl/>
        </w:rPr>
        <w:t>כיצד כותבים '</w:t>
      </w:r>
      <w:r w:rsidRPr="008208CD">
        <w:rPr>
          <w:rFonts w:cs="Arial"/>
          <w:u w:val="single"/>
          <w:rtl/>
        </w:rPr>
        <w:t>למנין</w:t>
      </w:r>
      <w:r w:rsidRPr="008208CD">
        <w:rPr>
          <w:rFonts w:cs="Arial" w:hint="cs"/>
          <w:u w:val="single"/>
          <w:rtl/>
        </w:rPr>
        <w:t>':</w:t>
      </w:r>
      <w:r w:rsidRPr="00AF1304">
        <w:rPr>
          <w:rFonts w:cs="Arial"/>
          <w:rtl/>
        </w:rPr>
        <w:t xml:space="preserve"> </w:t>
      </w:r>
    </w:p>
    <w:p w14:paraId="40CD8937" w14:textId="37451C3B" w:rsidR="00FA2119" w:rsidRPr="00AF1304" w:rsidRDefault="00FA2119" w:rsidP="00FA2119">
      <w:pPr>
        <w:pStyle w:val="ab"/>
        <w:numPr>
          <w:ilvl w:val="0"/>
          <w:numId w:val="12"/>
        </w:numPr>
        <w:rPr>
          <w:rtl/>
        </w:rPr>
      </w:pPr>
      <w:r w:rsidRPr="00DD687C">
        <w:rPr>
          <w:rFonts w:cs="Arial"/>
          <w:rtl/>
        </w:rPr>
        <w:t xml:space="preserve">כל בו </w:t>
      </w:r>
      <w:r w:rsidRPr="00DD687C">
        <w:rPr>
          <w:rFonts w:cs="Arial"/>
          <w:sz w:val="16"/>
          <w:szCs w:val="16"/>
          <w:rtl/>
        </w:rPr>
        <w:t xml:space="preserve">(סי' עו מז ע"ד) </w:t>
      </w:r>
      <w:r w:rsidRPr="00DD687C">
        <w:rPr>
          <w:rFonts w:cs="Arial"/>
          <w:rtl/>
        </w:rPr>
        <w:t xml:space="preserve">ומרדכי </w:t>
      </w:r>
      <w:r w:rsidRPr="00DD687C">
        <w:rPr>
          <w:rFonts w:cs="Arial"/>
          <w:sz w:val="16"/>
          <w:szCs w:val="16"/>
          <w:rtl/>
        </w:rPr>
        <w:t>(</w:t>
      </w:r>
      <w:r w:rsidRPr="00DD687C">
        <w:rPr>
          <w:rFonts w:cs="Arial" w:hint="cs"/>
          <w:sz w:val="16"/>
          <w:szCs w:val="16"/>
          <w:rtl/>
        </w:rPr>
        <w:t xml:space="preserve">בהלכות הגט </w:t>
      </w:r>
      <w:r w:rsidRPr="00DD687C">
        <w:rPr>
          <w:rFonts w:cs="Arial"/>
          <w:sz w:val="16"/>
          <w:szCs w:val="16"/>
          <w:rtl/>
        </w:rPr>
        <w:t>סי' תנד)</w:t>
      </w:r>
      <w:r w:rsidR="00A82951">
        <w:rPr>
          <w:rFonts w:cs="Arial" w:hint="cs"/>
          <w:rtl/>
        </w:rPr>
        <w:t>-</w:t>
      </w:r>
      <w:r w:rsidRPr="00DD687C">
        <w:rPr>
          <w:rFonts w:cs="Arial"/>
          <w:rtl/>
        </w:rPr>
        <w:t xml:space="preserve"> </w:t>
      </w:r>
      <w:r w:rsidRPr="00DD687C">
        <w:rPr>
          <w:rFonts w:cs="Arial" w:hint="cs"/>
          <w:rtl/>
        </w:rPr>
        <w:t xml:space="preserve">מנין </w:t>
      </w:r>
      <w:r w:rsidRPr="00DD687C">
        <w:rPr>
          <w:rFonts w:cs="Arial"/>
          <w:rtl/>
        </w:rPr>
        <w:t>הוי בחד יו"ד</w:t>
      </w:r>
      <w:r w:rsidRPr="00DD687C">
        <w:rPr>
          <w:rFonts w:cs="Arial" w:hint="cs"/>
          <w:rtl/>
        </w:rPr>
        <w:t>.</w:t>
      </w:r>
      <w:r>
        <w:rPr>
          <w:rFonts w:hint="cs"/>
          <w:rtl/>
        </w:rPr>
        <w:t xml:space="preserve"> </w:t>
      </w:r>
      <w:r w:rsidRPr="00DD687C">
        <w:rPr>
          <w:rFonts w:hint="cs"/>
          <w:color w:val="E36C0A" w:themeColor="accent6" w:themeShade="BF"/>
          <w:rtl/>
        </w:rPr>
        <w:t>(וכ"פ בשו"ע)</w:t>
      </w:r>
    </w:p>
    <w:p w14:paraId="2815EA02"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BBF1F32" w14:textId="77777777" w:rsidR="00FA2119" w:rsidRDefault="00FA2119" w:rsidP="00FA2119">
      <w:pPr>
        <w:rPr>
          <w:rtl/>
        </w:rPr>
      </w:pPr>
      <w:r>
        <w:rPr>
          <w:rFonts w:cs="Arial" w:hint="cs"/>
          <w:rtl/>
        </w:rPr>
        <w:t>למנין</w:t>
      </w:r>
      <w:r>
        <w:rPr>
          <w:rFonts w:cs="Arial"/>
          <w:rtl/>
        </w:rPr>
        <w:t xml:space="preserve">, </w:t>
      </w:r>
      <w:r>
        <w:rPr>
          <w:rFonts w:cs="Arial" w:hint="cs"/>
          <w:rtl/>
        </w:rPr>
        <w:t>בחד</w:t>
      </w:r>
      <w:r>
        <w:rPr>
          <w:rFonts w:cs="Arial"/>
          <w:rtl/>
        </w:rPr>
        <w:t xml:space="preserve"> </w:t>
      </w:r>
      <w:r>
        <w:rPr>
          <w:rFonts w:cs="Arial" w:hint="cs"/>
          <w:rtl/>
        </w:rPr>
        <w:t>יו</w:t>
      </w:r>
      <w:r>
        <w:rPr>
          <w:rFonts w:cs="Arial"/>
          <w:rtl/>
        </w:rPr>
        <w:t>"</w:t>
      </w:r>
      <w:r>
        <w:rPr>
          <w:rFonts w:cs="Arial" w:hint="cs"/>
          <w:rtl/>
        </w:rPr>
        <w:t>ד</w:t>
      </w:r>
      <w:r>
        <w:rPr>
          <w:rStyle w:val="a7"/>
          <w:rFonts w:cs="Arial"/>
          <w:rtl/>
        </w:rPr>
        <w:footnoteReference w:id="793"/>
      </w:r>
      <w:r>
        <w:rPr>
          <w:rFonts w:cs="Arial"/>
          <w:rtl/>
        </w:rPr>
        <w:t xml:space="preserve">. </w:t>
      </w:r>
    </w:p>
    <w:p w14:paraId="1E1CC484" w14:textId="77777777" w:rsidR="00FA2119" w:rsidRDefault="00FA2119" w:rsidP="00FA2119">
      <w:pPr>
        <w:rPr>
          <w:rtl/>
        </w:rPr>
      </w:pPr>
    </w:p>
    <w:p w14:paraId="50ABBF76" w14:textId="77777777" w:rsidR="00FA2119" w:rsidRDefault="00FA2119" w:rsidP="00FA2119">
      <w:pPr>
        <w:pStyle w:val="2"/>
        <w:rPr>
          <w:rtl/>
        </w:rPr>
      </w:pPr>
      <w:r>
        <w:rPr>
          <w:rFonts w:hint="cs"/>
          <w:rtl/>
        </w:rPr>
        <w:t>סעיף</w:t>
      </w:r>
      <w:r>
        <w:rPr>
          <w:rtl/>
        </w:rPr>
        <w:t xml:space="preserve"> </w:t>
      </w:r>
      <w:r>
        <w:rPr>
          <w:rFonts w:hint="cs"/>
          <w:rtl/>
        </w:rPr>
        <w:t>כז: שאנו מנין.</w:t>
      </w:r>
    </w:p>
    <w:p w14:paraId="67DD04F4" w14:textId="77777777" w:rsidR="00FA2119" w:rsidRDefault="00FA2119" w:rsidP="00FA2119">
      <w:pPr>
        <w:rPr>
          <w:rFonts w:cs="Arial"/>
          <w:rtl/>
        </w:rPr>
      </w:pPr>
      <w:r w:rsidRPr="008208CD">
        <w:rPr>
          <w:rFonts w:cs="Arial" w:hint="cs"/>
          <w:u w:val="single"/>
          <w:rtl/>
        </w:rPr>
        <w:t>כיצד כותבים '</w:t>
      </w:r>
      <w:r w:rsidRPr="008208CD">
        <w:rPr>
          <w:rFonts w:cs="Arial"/>
          <w:u w:val="single"/>
          <w:rtl/>
        </w:rPr>
        <w:t>למנין</w:t>
      </w:r>
      <w:r w:rsidRPr="008208CD">
        <w:rPr>
          <w:rFonts w:cs="Arial" w:hint="cs"/>
          <w:u w:val="single"/>
          <w:rtl/>
        </w:rPr>
        <w:t>':</w:t>
      </w:r>
      <w:r w:rsidRPr="00AF1304">
        <w:rPr>
          <w:rFonts w:cs="Arial"/>
          <w:rtl/>
        </w:rPr>
        <w:t xml:space="preserve"> </w:t>
      </w:r>
    </w:p>
    <w:p w14:paraId="251404D8" w14:textId="77AC696E" w:rsidR="00FA2119" w:rsidRPr="000C3CB1" w:rsidRDefault="00FA2119" w:rsidP="00FA2119">
      <w:pPr>
        <w:pStyle w:val="ab"/>
        <w:numPr>
          <w:ilvl w:val="0"/>
          <w:numId w:val="12"/>
        </w:numPr>
      </w:pPr>
      <w:r w:rsidRPr="00DD687C">
        <w:rPr>
          <w:rFonts w:cs="Arial"/>
          <w:rtl/>
        </w:rPr>
        <w:t xml:space="preserve">כל בו </w:t>
      </w:r>
      <w:r w:rsidRPr="00DD687C">
        <w:rPr>
          <w:rFonts w:cs="Arial"/>
          <w:sz w:val="16"/>
          <w:szCs w:val="16"/>
          <w:rtl/>
        </w:rPr>
        <w:t xml:space="preserve">(סי' עו מז ע"ד) </w:t>
      </w:r>
      <w:r w:rsidRPr="00DD687C">
        <w:rPr>
          <w:rFonts w:cs="Arial"/>
          <w:rtl/>
        </w:rPr>
        <w:t xml:space="preserve">ומרדכי </w:t>
      </w:r>
      <w:r w:rsidRPr="00DD687C">
        <w:rPr>
          <w:rFonts w:cs="Arial"/>
          <w:sz w:val="16"/>
          <w:szCs w:val="16"/>
          <w:rtl/>
        </w:rPr>
        <w:t>(</w:t>
      </w:r>
      <w:r w:rsidRPr="00DD687C">
        <w:rPr>
          <w:rFonts w:cs="Arial" w:hint="cs"/>
          <w:sz w:val="16"/>
          <w:szCs w:val="16"/>
          <w:rtl/>
        </w:rPr>
        <w:t xml:space="preserve">בהלכות הגט </w:t>
      </w:r>
      <w:r w:rsidRPr="00DD687C">
        <w:rPr>
          <w:rFonts w:cs="Arial"/>
          <w:sz w:val="16"/>
          <w:szCs w:val="16"/>
          <w:rtl/>
        </w:rPr>
        <w:t>סי' תנד)</w:t>
      </w:r>
      <w:r w:rsidR="00A82951">
        <w:rPr>
          <w:rFonts w:cs="Arial" w:hint="cs"/>
          <w:rtl/>
        </w:rPr>
        <w:t>-</w:t>
      </w:r>
      <w:r w:rsidRPr="00DD687C">
        <w:rPr>
          <w:rFonts w:cs="Arial"/>
          <w:rtl/>
        </w:rPr>
        <w:t xml:space="preserve"> </w:t>
      </w:r>
      <w:r>
        <w:rPr>
          <w:rFonts w:cs="Arial" w:hint="cs"/>
          <w:rtl/>
        </w:rPr>
        <w:t xml:space="preserve">שאנו </w:t>
      </w:r>
      <w:r w:rsidRPr="00DD687C">
        <w:rPr>
          <w:rFonts w:cs="Arial" w:hint="cs"/>
          <w:rtl/>
        </w:rPr>
        <w:t xml:space="preserve">מנין </w:t>
      </w:r>
      <w:r>
        <w:rPr>
          <w:rFonts w:cs="Arial" w:hint="cs"/>
          <w:rtl/>
        </w:rPr>
        <w:t>בלא וי"ו</w:t>
      </w:r>
      <w:r w:rsidRPr="00DD687C">
        <w:rPr>
          <w:rFonts w:cs="Arial" w:hint="cs"/>
          <w:rtl/>
        </w:rPr>
        <w:t>.</w:t>
      </w:r>
      <w:r>
        <w:rPr>
          <w:rFonts w:hint="cs"/>
          <w:rtl/>
        </w:rPr>
        <w:t xml:space="preserve"> </w:t>
      </w:r>
      <w:r w:rsidRPr="00DD687C">
        <w:rPr>
          <w:rFonts w:hint="cs"/>
          <w:color w:val="E36C0A" w:themeColor="accent6" w:themeShade="BF"/>
          <w:rtl/>
        </w:rPr>
        <w:t>(וכ"פ בשו"ע)</w:t>
      </w:r>
    </w:p>
    <w:p w14:paraId="0C0AA425" w14:textId="77777777" w:rsidR="00FA2119" w:rsidRPr="000C3CB1" w:rsidRDefault="00FA2119" w:rsidP="00FA2119">
      <w:r w:rsidRPr="00351580">
        <w:rPr>
          <w:rFonts w:hint="cs"/>
          <w:u w:val="single"/>
          <w:rtl/>
        </w:rPr>
        <w:t>מקומות שנוהגים לדקדק אחרת בכתיבת תיבות מסויימות</w:t>
      </w:r>
      <w:r>
        <w:rPr>
          <w:rFonts w:hint="cs"/>
          <w:u w:val="single"/>
          <w:rtl/>
        </w:rPr>
        <w:t xml:space="preserve"> </w:t>
      </w:r>
      <w:r w:rsidRPr="00351580">
        <w:rPr>
          <w:rFonts w:hint="cs"/>
          <w:sz w:val="16"/>
          <w:szCs w:val="16"/>
          <w:u w:val="single"/>
          <w:rtl/>
        </w:rPr>
        <w:t>(שלא מוזכרות בגמרא</w:t>
      </w:r>
      <w:r>
        <w:rPr>
          <w:rFonts w:hint="cs"/>
          <w:sz w:val="16"/>
          <w:szCs w:val="16"/>
          <w:u w:val="single"/>
          <w:rtl/>
        </w:rPr>
        <w:t>)</w:t>
      </w:r>
      <w:r w:rsidRPr="00351580">
        <w:rPr>
          <w:rFonts w:hint="cs"/>
          <w:u w:val="single"/>
          <w:rtl/>
        </w:rPr>
        <w:t>:</w:t>
      </w:r>
      <w:r>
        <w:rPr>
          <w:rFonts w:hint="cs"/>
          <w:rtl/>
        </w:rPr>
        <w:t xml:space="preserve"> </w:t>
      </w:r>
    </w:p>
    <w:p w14:paraId="0F47D279" w14:textId="595CEE5A" w:rsidR="00FA2119" w:rsidRPr="00AF1304" w:rsidRDefault="00FA2119" w:rsidP="00FA2119">
      <w:pPr>
        <w:pStyle w:val="ab"/>
        <w:numPr>
          <w:ilvl w:val="0"/>
          <w:numId w:val="12"/>
        </w:numPr>
        <w:rPr>
          <w:rtl/>
        </w:rPr>
      </w:pPr>
      <w:r w:rsidRPr="000C3CB1">
        <w:rPr>
          <w:rFonts w:cs="Arial"/>
          <w:rtl/>
        </w:rPr>
        <w:t xml:space="preserve">ריב"ש </w:t>
      </w:r>
      <w:r w:rsidRPr="000C3CB1">
        <w:rPr>
          <w:rFonts w:cs="Arial" w:hint="cs"/>
          <w:sz w:val="16"/>
          <w:szCs w:val="16"/>
          <w:rtl/>
        </w:rPr>
        <w:t>(</w:t>
      </w:r>
      <w:r w:rsidRPr="000C3CB1">
        <w:rPr>
          <w:rFonts w:cs="Arial"/>
          <w:sz w:val="16"/>
          <w:szCs w:val="16"/>
          <w:rtl/>
        </w:rPr>
        <w:t>סי</w:t>
      </w:r>
      <w:r w:rsidRPr="000C3CB1">
        <w:rPr>
          <w:rFonts w:cs="Arial" w:hint="cs"/>
          <w:sz w:val="16"/>
          <w:szCs w:val="16"/>
          <w:rtl/>
        </w:rPr>
        <w:t>'</w:t>
      </w:r>
      <w:r w:rsidRPr="000C3CB1">
        <w:rPr>
          <w:rFonts w:cs="Arial"/>
          <w:sz w:val="16"/>
          <w:szCs w:val="16"/>
          <w:rtl/>
        </w:rPr>
        <w:t xml:space="preserve"> שיד</w:t>
      </w:r>
      <w:r w:rsidRPr="000C3CB1">
        <w:rPr>
          <w:rFonts w:cs="Arial" w:hint="cs"/>
          <w:sz w:val="16"/>
          <w:szCs w:val="16"/>
          <w:rtl/>
        </w:rPr>
        <w:t>)</w:t>
      </w:r>
      <w:r w:rsidR="00A82951">
        <w:rPr>
          <w:rFonts w:cs="Arial" w:hint="cs"/>
          <w:rtl/>
        </w:rPr>
        <w:t>-</w:t>
      </w:r>
      <w:r w:rsidRPr="000C3CB1">
        <w:rPr>
          <w:rFonts w:cs="Arial"/>
          <w:rtl/>
        </w:rPr>
        <w:t xml:space="preserve"> מה שאמרת שאפילו מקום עמידת העדים וכתיבת הגט לא נתבאר בו יפה כי לא נכתב בו </w:t>
      </w:r>
      <w:r>
        <w:rPr>
          <w:rFonts w:cs="Arial" w:hint="cs"/>
          <w:rtl/>
        </w:rPr>
        <w:t>'</w:t>
      </w:r>
      <w:r w:rsidRPr="000C3CB1">
        <w:rPr>
          <w:rFonts w:cs="Arial"/>
          <w:rtl/>
        </w:rPr>
        <w:t>למנין שאנו מונין כאן</w:t>
      </w:r>
      <w:r>
        <w:rPr>
          <w:rFonts w:cs="Arial" w:hint="cs"/>
          <w:rtl/>
        </w:rPr>
        <w:t>'</w:t>
      </w:r>
      <w:r w:rsidRPr="000C3CB1">
        <w:rPr>
          <w:rFonts w:cs="Arial"/>
          <w:rtl/>
        </w:rPr>
        <w:t xml:space="preserve"> אלא </w:t>
      </w:r>
      <w:r>
        <w:rPr>
          <w:rFonts w:cs="Arial" w:hint="cs"/>
          <w:rtl/>
        </w:rPr>
        <w:t>'</w:t>
      </w:r>
      <w:r w:rsidRPr="000C3CB1">
        <w:rPr>
          <w:rFonts w:cs="Arial"/>
          <w:rtl/>
        </w:rPr>
        <w:t>למנין שאנו מונין באוקני"א מתא</w:t>
      </w:r>
      <w:r>
        <w:rPr>
          <w:rFonts w:cs="Arial" w:hint="cs"/>
          <w:rtl/>
        </w:rPr>
        <w:t>'</w:t>
      </w:r>
      <w:r w:rsidRPr="000C3CB1">
        <w:rPr>
          <w:rFonts w:cs="Arial"/>
          <w:rtl/>
        </w:rPr>
        <w:t xml:space="preserve"> </w:t>
      </w:r>
      <w:r w:rsidR="00A82951">
        <w:rPr>
          <w:rFonts w:cs="Arial" w:hint="cs"/>
          <w:rtl/>
        </w:rPr>
        <w:t>-</w:t>
      </w:r>
      <w:r>
        <w:rPr>
          <w:rFonts w:cs="Arial" w:hint="cs"/>
          <w:rtl/>
        </w:rPr>
        <w:t xml:space="preserve"> </w:t>
      </w:r>
      <w:r w:rsidRPr="000C3CB1">
        <w:rPr>
          <w:rFonts w:cs="Arial"/>
          <w:rtl/>
        </w:rPr>
        <w:t>אין לחוש לזה כלל</w:t>
      </w:r>
      <w:r>
        <w:rPr>
          <w:rFonts w:cs="Arial" w:hint="cs"/>
          <w:rtl/>
        </w:rPr>
        <w:t>,</w:t>
      </w:r>
      <w:r w:rsidRPr="000C3CB1">
        <w:rPr>
          <w:rFonts w:cs="Arial"/>
          <w:rtl/>
        </w:rPr>
        <w:t xml:space="preserve"> שבודאי כבר נראה שהם עומדים שם כיון שכתבו שהם מונים כן באותו מקום</w:t>
      </w:r>
      <w:r>
        <w:rPr>
          <w:rFonts w:cs="Arial" w:hint="cs"/>
          <w:rtl/>
        </w:rPr>
        <w:t>,</w:t>
      </w:r>
      <w:r w:rsidRPr="000C3CB1">
        <w:rPr>
          <w:rFonts w:cs="Arial"/>
          <w:rtl/>
        </w:rPr>
        <w:t xml:space="preserve"> שאל</w:t>
      </w:r>
      <w:r>
        <w:rPr>
          <w:rFonts w:cs="Arial" w:hint="cs"/>
          <w:rtl/>
        </w:rPr>
        <w:t>"</w:t>
      </w:r>
      <w:r w:rsidRPr="000C3CB1">
        <w:rPr>
          <w:rFonts w:cs="Arial"/>
          <w:rtl/>
        </w:rPr>
        <w:t xml:space="preserve">כ היו כותבים </w:t>
      </w:r>
      <w:r>
        <w:rPr>
          <w:rFonts w:cs="Arial" w:hint="cs"/>
          <w:rtl/>
        </w:rPr>
        <w:t>'</w:t>
      </w:r>
      <w:r w:rsidRPr="000C3CB1">
        <w:rPr>
          <w:rFonts w:cs="Arial"/>
          <w:rtl/>
        </w:rPr>
        <w:t>שמונין באוקני"א מתא</w:t>
      </w:r>
      <w:r>
        <w:rPr>
          <w:rFonts w:cs="Arial" w:hint="cs"/>
          <w:rtl/>
        </w:rPr>
        <w:t>'.</w:t>
      </w:r>
      <w:r w:rsidRPr="000C3CB1">
        <w:rPr>
          <w:rFonts w:cs="Arial"/>
          <w:rtl/>
        </w:rPr>
        <w:t xml:space="preserve"> ובנוסח הגט שכתב הרמב"ם פ</w:t>
      </w:r>
      <w:r>
        <w:rPr>
          <w:rFonts w:cs="Arial" w:hint="cs"/>
          <w:rtl/>
        </w:rPr>
        <w:t>"</w:t>
      </w:r>
      <w:r w:rsidRPr="000C3CB1">
        <w:rPr>
          <w:rFonts w:cs="Arial"/>
          <w:rtl/>
        </w:rPr>
        <w:t xml:space="preserve">ד מהלכות גירושין (הי"ב) כך כתוב </w:t>
      </w:r>
      <w:r>
        <w:rPr>
          <w:rFonts w:cs="Arial" w:hint="cs"/>
          <w:rtl/>
        </w:rPr>
        <w:t>'</w:t>
      </w:r>
      <w:r w:rsidRPr="000C3CB1">
        <w:rPr>
          <w:rFonts w:cs="Arial"/>
          <w:rtl/>
        </w:rPr>
        <w:t>למנינא דרגילנא למימני ביה במקום פלוני</w:t>
      </w:r>
      <w:r>
        <w:rPr>
          <w:rFonts w:cs="Arial" w:hint="cs"/>
          <w:rtl/>
        </w:rPr>
        <w:t>',</w:t>
      </w:r>
      <w:r w:rsidRPr="000C3CB1">
        <w:rPr>
          <w:rFonts w:cs="Arial"/>
          <w:rtl/>
        </w:rPr>
        <w:t xml:space="preserve"> ואין כתוב בו </w:t>
      </w:r>
      <w:r>
        <w:rPr>
          <w:rFonts w:cs="Arial" w:hint="cs"/>
          <w:rtl/>
        </w:rPr>
        <w:t>'</w:t>
      </w:r>
      <w:r w:rsidRPr="000C3CB1">
        <w:rPr>
          <w:rFonts w:cs="Arial"/>
          <w:rtl/>
        </w:rPr>
        <w:t>כאן במקום פלוני</w:t>
      </w:r>
      <w:r>
        <w:rPr>
          <w:rFonts w:cs="Arial" w:hint="cs"/>
          <w:rtl/>
        </w:rPr>
        <w:t>'.</w:t>
      </w:r>
      <w:r w:rsidRPr="000C3CB1">
        <w:rPr>
          <w:rFonts w:cs="Arial"/>
          <w:rtl/>
        </w:rPr>
        <w:t xml:space="preserve"> ואע</w:t>
      </w:r>
      <w:r>
        <w:rPr>
          <w:rFonts w:cs="Arial" w:hint="cs"/>
          <w:rtl/>
        </w:rPr>
        <w:t>"</w:t>
      </w:r>
      <w:r w:rsidRPr="000C3CB1">
        <w:rPr>
          <w:rFonts w:cs="Arial"/>
          <w:rtl/>
        </w:rPr>
        <w:t xml:space="preserve">פ שבהרבה נוסחי מחברים אחרים כתוב </w:t>
      </w:r>
      <w:r>
        <w:rPr>
          <w:rFonts w:cs="Arial" w:hint="cs"/>
          <w:rtl/>
        </w:rPr>
        <w:t>'</w:t>
      </w:r>
      <w:r w:rsidRPr="000C3CB1">
        <w:rPr>
          <w:rFonts w:cs="Arial"/>
          <w:rtl/>
        </w:rPr>
        <w:t>כאן</w:t>
      </w:r>
      <w:r>
        <w:rPr>
          <w:rFonts w:cs="Arial" w:hint="cs"/>
          <w:rtl/>
        </w:rPr>
        <w:t>'</w:t>
      </w:r>
      <w:r w:rsidRPr="000C3CB1">
        <w:rPr>
          <w:rFonts w:cs="Arial"/>
          <w:rtl/>
        </w:rPr>
        <w:t xml:space="preserve"> אין להקפיד ולחוש בזה</w:t>
      </w:r>
      <w:r>
        <w:rPr>
          <w:rFonts w:cs="Arial" w:hint="cs"/>
          <w:rtl/>
        </w:rPr>
        <w:t>,</w:t>
      </w:r>
      <w:r w:rsidRPr="000C3CB1">
        <w:rPr>
          <w:rFonts w:cs="Arial"/>
          <w:rtl/>
        </w:rPr>
        <w:t xml:space="preserve"> כי מקומות מקומות יש</w:t>
      </w:r>
      <w:r>
        <w:rPr>
          <w:rFonts w:cs="Arial" w:hint="cs"/>
          <w:rtl/>
        </w:rPr>
        <w:t>,</w:t>
      </w:r>
      <w:r w:rsidRPr="000C3CB1">
        <w:rPr>
          <w:rFonts w:cs="Arial"/>
          <w:rtl/>
        </w:rPr>
        <w:t xml:space="preserve"> אלו תפסו להם נוסח זה</w:t>
      </w:r>
      <w:r>
        <w:rPr>
          <w:rFonts w:cs="Arial" w:hint="cs"/>
          <w:rtl/>
        </w:rPr>
        <w:t>,</w:t>
      </w:r>
      <w:r w:rsidRPr="000C3CB1">
        <w:rPr>
          <w:rFonts w:cs="Arial"/>
          <w:rtl/>
        </w:rPr>
        <w:t xml:space="preserve"> ואלו תפסו להם נוסח זה</w:t>
      </w:r>
      <w:r>
        <w:rPr>
          <w:rFonts w:cs="Arial" w:hint="cs"/>
          <w:rtl/>
        </w:rPr>
        <w:t>,</w:t>
      </w:r>
      <w:r w:rsidRPr="000C3CB1">
        <w:rPr>
          <w:rFonts w:cs="Arial"/>
          <w:rtl/>
        </w:rPr>
        <w:t xml:space="preserve"> וכיון שנהגו הסופרים לכתוב כן באותו מקום הרי הוא כאילו כתבו בפירוש </w:t>
      </w:r>
      <w:r>
        <w:rPr>
          <w:rFonts w:cs="Arial" w:hint="cs"/>
          <w:rtl/>
        </w:rPr>
        <w:t>'</w:t>
      </w:r>
      <w:r w:rsidRPr="000C3CB1">
        <w:rPr>
          <w:rFonts w:cs="Arial"/>
          <w:rtl/>
        </w:rPr>
        <w:t>כאן</w:t>
      </w:r>
      <w:r>
        <w:rPr>
          <w:rFonts w:cs="Arial" w:hint="cs"/>
          <w:rtl/>
        </w:rPr>
        <w:t>'.</w:t>
      </w:r>
      <w:r w:rsidRPr="000C3CB1">
        <w:rPr>
          <w:rFonts w:cs="Arial"/>
          <w:rtl/>
        </w:rPr>
        <w:t xml:space="preserve"> הלא תראה שבנוסח הגט הנהוג בפרי"ש הכתוב בספר עמודי גולה (סמ"ק סי' קפד עמ' קמח ובהגהה יג שם) כתוב מנין בלא וי"ו</w:t>
      </w:r>
      <w:r>
        <w:rPr>
          <w:rFonts w:cs="Arial" w:hint="cs"/>
          <w:rtl/>
        </w:rPr>
        <w:t>,</w:t>
      </w:r>
      <w:r w:rsidRPr="000C3CB1">
        <w:rPr>
          <w:rFonts w:cs="Arial"/>
          <w:rtl/>
        </w:rPr>
        <w:t xml:space="preserve"> כדי שלא יהא נראה מלשון אונאה</w:t>
      </w:r>
      <w:r>
        <w:rPr>
          <w:rFonts w:cs="Arial" w:hint="cs"/>
          <w:rtl/>
        </w:rPr>
        <w:t>,</w:t>
      </w:r>
      <w:r w:rsidRPr="000C3CB1">
        <w:rPr>
          <w:rFonts w:cs="Arial"/>
          <w:rtl/>
        </w:rPr>
        <w:t xml:space="preserve"> ובשאר גיטין כתוב שלם</w:t>
      </w:r>
      <w:r>
        <w:rPr>
          <w:rFonts w:cs="Arial" w:hint="cs"/>
          <w:rtl/>
        </w:rPr>
        <w:t>,</w:t>
      </w:r>
      <w:r w:rsidRPr="000C3CB1">
        <w:rPr>
          <w:rFonts w:cs="Arial"/>
          <w:rtl/>
        </w:rPr>
        <w:t xml:space="preserve"> וכן בכל גיטין שראיתי מעודי</w:t>
      </w:r>
      <w:r w:rsidR="00181024">
        <w:rPr>
          <w:rStyle w:val="a7"/>
          <w:rFonts w:cs="Arial"/>
          <w:rtl/>
        </w:rPr>
        <w:footnoteReference w:id="794"/>
      </w:r>
      <w:r>
        <w:rPr>
          <w:rFonts w:cs="Arial" w:hint="cs"/>
          <w:rtl/>
        </w:rPr>
        <w:t>.</w:t>
      </w:r>
      <w:r w:rsidRPr="000C3CB1">
        <w:rPr>
          <w:rFonts w:cs="Arial"/>
          <w:rtl/>
        </w:rPr>
        <w:t xml:space="preserve"> וכן בנוסח ההוא כתוב </w:t>
      </w:r>
      <w:r>
        <w:rPr>
          <w:rFonts w:cs="Arial" w:hint="cs"/>
          <w:rtl/>
        </w:rPr>
        <w:t>'</w:t>
      </w:r>
      <w:r w:rsidRPr="000C3CB1">
        <w:rPr>
          <w:rFonts w:cs="Arial"/>
          <w:rtl/>
        </w:rPr>
        <w:t>בדלא אניסנא</w:t>
      </w:r>
      <w:r>
        <w:rPr>
          <w:rFonts w:cs="Arial" w:hint="cs"/>
          <w:rtl/>
        </w:rPr>
        <w:t>',</w:t>
      </w:r>
      <w:r w:rsidRPr="000C3CB1">
        <w:rPr>
          <w:rFonts w:cs="Arial"/>
          <w:rtl/>
        </w:rPr>
        <w:t xml:space="preserve"> שאם היה כתוב </w:t>
      </w:r>
      <w:r>
        <w:rPr>
          <w:rFonts w:cs="Arial" w:hint="cs"/>
          <w:rtl/>
        </w:rPr>
        <w:t>'</w:t>
      </w:r>
      <w:r w:rsidRPr="000C3CB1">
        <w:rPr>
          <w:rFonts w:cs="Arial"/>
          <w:rtl/>
        </w:rPr>
        <w:t>כדלא אניסנא</w:t>
      </w:r>
      <w:r>
        <w:rPr>
          <w:rFonts w:cs="Arial" w:hint="cs"/>
          <w:rtl/>
        </w:rPr>
        <w:t>'</w:t>
      </w:r>
      <w:r w:rsidRPr="000C3CB1">
        <w:rPr>
          <w:rFonts w:cs="Arial"/>
          <w:rtl/>
        </w:rPr>
        <w:t xml:space="preserve"> היה נראה כאילו אינו אנוס אבל הוא אנוס</w:t>
      </w:r>
      <w:r>
        <w:rPr>
          <w:rFonts w:cs="Arial" w:hint="cs"/>
          <w:rtl/>
        </w:rPr>
        <w:t>.</w:t>
      </w:r>
      <w:r w:rsidRPr="000C3CB1">
        <w:rPr>
          <w:rFonts w:cs="Arial"/>
          <w:rtl/>
        </w:rPr>
        <w:t xml:space="preserve"> ובשאר נוסחי כתוב </w:t>
      </w:r>
      <w:r>
        <w:rPr>
          <w:rFonts w:cs="Arial" w:hint="cs"/>
          <w:rtl/>
        </w:rPr>
        <w:t>'</w:t>
      </w:r>
      <w:r w:rsidRPr="000C3CB1">
        <w:rPr>
          <w:rFonts w:cs="Arial"/>
          <w:rtl/>
        </w:rPr>
        <w:t>כדלא אניסנא</w:t>
      </w:r>
      <w:r>
        <w:rPr>
          <w:rFonts w:cs="Arial" w:hint="cs"/>
          <w:rtl/>
        </w:rPr>
        <w:t>',</w:t>
      </w:r>
      <w:r w:rsidRPr="000C3CB1">
        <w:rPr>
          <w:rFonts w:cs="Arial"/>
          <w:rtl/>
        </w:rPr>
        <w:t xml:space="preserve"> ורוב המקומות כותבין כן</w:t>
      </w:r>
      <w:r>
        <w:rPr>
          <w:rFonts w:cs="Arial" w:hint="cs"/>
          <w:rtl/>
        </w:rPr>
        <w:t>.</w:t>
      </w:r>
      <w:r w:rsidRPr="000C3CB1">
        <w:rPr>
          <w:rFonts w:cs="Arial"/>
          <w:rtl/>
        </w:rPr>
        <w:t xml:space="preserve"> וכן בהרבה דקדוקים אחרים הם דקדוקי סופרים ואין לשנות בזה מנהג המקומות שלא להוציא לעז על גיטין הראשונים</w:t>
      </w:r>
      <w:r w:rsidRPr="000C3CB1">
        <w:rPr>
          <w:rFonts w:cs="Arial" w:hint="cs"/>
          <w:rtl/>
        </w:rPr>
        <w:t>.</w:t>
      </w:r>
    </w:p>
    <w:p w14:paraId="516213D1"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A9F2B0B" w14:textId="363FDD21" w:rsidR="00FA2119" w:rsidRDefault="00FA2119" w:rsidP="00FA2119">
      <w:pPr>
        <w:rPr>
          <w:rtl/>
        </w:rPr>
      </w:pPr>
      <w:r>
        <w:rPr>
          <w:rFonts w:cs="Arial" w:hint="cs"/>
          <w:rtl/>
        </w:rPr>
        <w:t>שאנו</w:t>
      </w:r>
      <w:r>
        <w:rPr>
          <w:rFonts w:cs="Arial"/>
          <w:rtl/>
        </w:rPr>
        <w:t xml:space="preserve"> </w:t>
      </w:r>
      <w:r>
        <w:rPr>
          <w:rFonts w:cs="Arial" w:hint="cs"/>
          <w:rtl/>
        </w:rPr>
        <w:t>מנין</w:t>
      </w:r>
      <w:r>
        <w:rPr>
          <w:rFonts w:cs="Arial"/>
          <w:rtl/>
        </w:rPr>
        <w:t xml:space="preserve">, </w:t>
      </w:r>
      <w:r>
        <w:rPr>
          <w:rFonts w:cs="Arial" w:hint="cs"/>
          <w:rtl/>
        </w:rPr>
        <w:t>בלא</w:t>
      </w:r>
      <w:r>
        <w:rPr>
          <w:rFonts w:cs="Arial"/>
          <w:rtl/>
        </w:rPr>
        <w:t xml:space="preserve"> </w:t>
      </w:r>
      <w:r>
        <w:rPr>
          <w:rFonts w:cs="Arial" w:hint="cs"/>
          <w:rtl/>
        </w:rPr>
        <w:t>וי</w:t>
      </w:r>
      <w:r>
        <w:rPr>
          <w:rFonts w:cs="Arial"/>
          <w:rtl/>
        </w:rPr>
        <w:t>"</w:t>
      </w:r>
      <w:r>
        <w:rPr>
          <w:rFonts w:cs="Arial" w:hint="cs"/>
          <w:rtl/>
        </w:rPr>
        <w:t>ו</w:t>
      </w:r>
      <w:r>
        <w:rPr>
          <w:rStyle w:val="a7"/>
          <w:rFonts w:cs="Arial"/>
          <w:rtl/>
        </w:rPr>
        <w:footnoteReference w:id="795"/>
      </w:r>
      <w:r>
        <w:rPr>
          <w:rFonts w:cs="Arial"/>
          <w:rtl/>
        </w:rPr>
        <w:t xml:space="preserve">. </w:t>
      </w:r>
      <w:r w:rsidRPr="00DD687C">
        <w:rPr>
          <w:rFonts w:cs="Arial" w:hint="cs"/>
          <w:sz w:val="18"/>
          <w:szCs w:val="18"/>
          <w:rtl/>
        </w:rPr>
        <w:t>הגה</w:t>
      </w:r>
      <w:r w:rsidRPr="00DD687C">
        <w:rPr>
          <w:rFonts w:cs="Arial"/>
          <w:sz w:val="18"/>
          <w:szCs w:val="18"/>
          <w:rtl/>
        </w:rPr>
        <w:t xml:space="preserve">: </w:t>
      </w:r>
      <w:r w:rsidRPr="00DD687C">
        <w:rPr>
          <w:rFonts w:cs="Arial" w:hint="cs"/>
          <w:sz w:val="18"/>
          <w:szCs w:val="18"/>
          <w:rtl/>
        </w:rPr>
        <w:t>ואם</w:t>
      </w:r>
      <w:r w:rsidRPr="00DD687C">
        <w:rPr>
          <w:rFonts w:cs="Arial"/>
          <w:sz w:val="18"/>
          <w:szCs w:val="18"/>
          <w:rtl/>
        </w:rPr>
        <w:t xml:space="preserve"> </w:t>
      </w:r>
      <w:r w:rsidRPr="00DD687C">
        <w:rPr>
          <w:rFonts w:cs="Arial" w:hint="cs"/>
          <w:sz w:val="18"/>
          <w:szCs w:val="18"/>
          <w:rtl/>
        </w:rPr>
        <w:t>כתב</w:t>
      </w:r>
      <w:r w:rsidRPr="00DD687C">
        <w:rPr>
          <w:rFonts w:cs="Arial"/>
          <w:sz w:val="18"/>
          <w:szCs w:val="18"/>
          <w:rtl/>
        </w:rPr>
        <w:t xml:space="preserve"> </w:t>
      </w:r>
      <w:r w:rsidRPr="00DD687C">
        <w:rPr>
          <w:rFonts w:cs="Arial" w:hint="cs"/>
          <w:sz w:val="18"/>
          <w:szCs w:val="18"/>
          <w:rtl/>
        </w:rPr>
        <w:t>וי</w:t>
      </w:r>
      <w:r w:rsidRPr="00DD687C">
        <w:rPr>
          <w:rFonts w:cs="Arial"/>
          <w:sz w:val="18"/>
          <w:szCs w:val="18"/>
          <w:rtl/>
        </w:rPr>
        <w:t>"</w:t>
      </w:r>
      <w:r w:rsidRPr="00DD687C">
        <w:rPr>
          <w:rFonts w:cs="Arial" w:hint="cs"/>
          <w:sz w:val="18"/>
          <w:szCs w:val="18"/>
          <w:rtl/>
        </w:rPr>
        <w:t>ו</w:t>
      </w:r>
      <w:r w:rsidRPr="00DD687C">
        <w:rPr>
          <w:rFonts w:cs="Arial"/>
          <w:sz w:val="18"/>
          <w:szCs w:val="18"/>
          <w:rtl/>
        </w:rPr>
        <w:t xml:space="preserve">, </w:t>
      </w:r>
      <w:r w:rsidRPr="00DD687C">
        <w:rPr>
          <w:rFonts w:cs="Arial" w:hint="cs"/>
          <w:sz w:val="18"/>
          <w:szCs w:val="18"/>
          <w:rtl/>
        </w:rPr>
        <w:t>אין</w:t>
      </w:r>
      <w:r w:rsidRPr="00DD687C">
        <w:rPr>
          <w:rFonts w:cs="Arial"/>
          <w:sz w:val="18"/>
          <w:szCs w:val="18"/>
          <w:rtl/>
        </w:rPr>
        <w:t xml:space="preserve"> </w:t>
      </w:r>
      <w:r w:rsidRPr="00DD687C">
        <w:rPr>
          <w:rFonts w:cs="Arial" w:hint="cs"/>
          <w:sz w:val="18"/>
          <w:szCs w:val="18"/>
          <w:rtl/>
        </w:rPr>
        <w:t>לפוסלו</w:t>
      </w:r>
      <w:r w:rsidRPr="00DD687C">
        <w:rPr>
          <w:rFonts w:cs="Arial"/>
          <w:sz w:val="18"/>
          <w:szCs w:val="18"/>
          <w:rtl/>
        </w:rPr>
        <w:t xml:space="preserve"> </w:t>
      </w:r>
      <w:r w:rsidRPr="00DD687C">
        <w:rPr>
          <w:rFonts w:cs="Arial" w:hint="cs"/>
          <w:sz w:val="18"/>
          <w:szCs w:val="18"/>
          <w:rtl/>
        </w:rPr>
        <w:t>בשעת</w:t>
      </w:r>
      <w:r w:rsidRPr="00DD687C">
        <w:rPr>
          <w:rFonts w:cs="Arial"/>
          <w:sz w:val="18"/>
          <w:szCs w:val="18"/>
          <w:rtl/>
        </w:rPr>
        <w:t xml:space="preserve"> </w:t>
      </w:r>
      <w:r w:rsidRPr="00DD687C">
        <w:rPr>
          <w:rFonts w:cs="Arial" w:hint="cs"/>
          <w:sz w:val="18"/>
          <w:szCs w:val="18"/>
          <w:rtl/>
        </w:rPr>
        <w:t>הדחק</w:t>
      </w:r>
      <w:r>
        <w:rPr>
          <w:rFonts w:cs="Arial" w:hint="cs"/>
          <w:sz w:val="18"/>
          <w:szCs w:val="18"/>
          <w:rtl/>
        </w:rPr>
        <w:t>.</w:t>
      </w:r>
      <w:r w:rsidRPr="00DD687C">
        <w:rPr>
          <w:rFonts w:cs="Arial"/>
          <w:sz w:val="18"/>
          <w:szCs w:val="18"/>
          <w:rtl/>
        </w:rPr>
        <w:t xml:space="preserve"> </w:t>
      </w:r>
      <w:r w:rsidRPr="00DD687C">
        <w:rPr>
          <w:rFonts w:cs="Arial" w:hint="cs"/>
          <w:sz w:val="18"/>
          <w:szCs w:val="18"/>
          <w:rtl/>
        </w:rPr>
        <w:t>ואם</w:t>
      </w:r>
      <w:r w:rsidRPr="00DD687C">
        <w:rPr>
          <w:rFonts w:cs="Arial"/>
          <w:sz w:val="18"/>
          <w:szCs w:val="18"/>
          <w:rtl/>
        </w:rPr>
        <w:t xml:space="preserve"> </w:t>
      </w:r>
      <w:r w:rsidRPr="00DD687C">
        <w:rPr>
          <w:rFonts w:cs="Arial" w:hint="cs"/>
          <w:sz w:val="18"/>
          <w:szCs w:val="18"/>
          <w:rtl/>
        </w:rPr>
        <w:t>נהגו</w:t>
      </w:r>
      <w:r w:rsidRPr="00DD687C">
        <w:rPr>
          <w:rFonts w:cs="Arial"/>
          <w:sz w:val="18"/>
          <w:szCs w:val="18"/>
          <w:rtl/>
        </w:rPr>
        <w:t xml:space="preserve"> </w:t>
      </w:r>
      <w:r w:rsidRPr="00DD687C">
        <w:rPr>
          <w:rFonts w:cs="Arial" w:hint="cs"/>
          <w:sz w:val="18"/>
          <w:szCs w:val="18"/>
          <w:rtl/>
        </w:rPr>
        <w:t>לכתוב</w:t>
      </w:r>
      <w:r w:rsidRPr="00DD687C">
        <w:rPr>
          <w:rFonts w:cs="Arial"/>
          <w:sz w:val="18"/>
          <w:szCs w:val="18"/>
          <w:rtl/>
        </w:rPr>
        <w:t xml:space="preserve"> </w:t>
      </w:r>
      <w:r w:rsidRPr="00DD687C">
        <w:rPr>
          <w:rFonts w:cs="Arial" w:hint="cs"/>
          <w:sz w:val="18"/>
          <w:szCs w:val="18"/>
          <w:rtl/>
        </w:rPr>
        <w:t>כך</w:t>
      </w:r>
      <w:r w:rsidRPr="00DD687C">
        <w:rPr>
          <w:rFonts w:cs="Arial"/>
          <w:sz w:val="18"/>
          <w:szCs w:val="18"/>
          <w:rtl/>
        </w:rPr>
        <w:t xml:space="preserve">, </w:t>
      </w:r>
      <w:r w:rsidRPr="00DD687C">
        <w:rPr>
          <w:rFonts w:cs="Arial" w:hint="cs"/>
          <w:sz w:val="18"/>
          <w:szCs w:val="18"/>
          <w:rtl/>
        </w:rPr>
        <w:t>אין</w:t>
      </w:r>
      <w:r w:rsidRPr="00DD687C">
        <w:rPr>
          <w:rFonts w:cs="Arial"/>
          <w:sz w:val="18"/>
          <w:szCs w:val="18"/>
          <w:rtl/>
        </w:rPr>
        <w:t xml:space="preserve"> </w:t>
      </w:r>
      <w:r w:rsidRPr="00DD687C">
        <w:rPr>
          <w:rFonts w:cs="Arial" w:hint="cs"/>
          <w:sz w:val="18"/>
          <w:szCs w:val="18"/>
          <w:rtl/>
        </w:rPr>
        <w:t>לפוסלו</w:t>
      </w:r>
      <w:r w:rsidRPr="00DD687C">
        <w:rPr>
          <w:rFonts w:cs="Arial"/>
          <w:sz w:val="18"/>
          <w:szCs w:val="18"/>
          <w:rtl/>
        </w:rPr>
        <w:t xml:space="preserve">. </w:t>
      </w:r>
      <w:r w:rsidRPr="00DD687C">
        <w:rPr>
          <w:rFonts w:cs="Arial" w:hint="cs"/>
          <w:sz w:val="18"/>
          <w:szCs w:val="18"/>
          <w:rtl/>
        </w:rPr>
        <w:t>וה</w:t>
      </w:r>
      <w:r w:rsidRPr="00DD687C">
        <w:rPr>
          <w:rFonts w:cs="Arial"/>
          <w:sz w:val="18"/>
          <w:szCs w:val="18"/>
          <w:rtl/>
        </w:rPr>
        <w:t>"</w:t>
      </w:r>
      <w:r w:rsidRPr="00DD687C">
        <w:rPr>
          <w:rFonts w:cs="Arial" w:hint="cs"/>
          <w:sz w:val="18"/>
          <w:szCs w:val="18"/>
          <w:rtl/>
        </w:rPr>
        <w:t>ה</w:t>
      </w:r>
      <w:r w:rsidRPr="00DD687C">
        <w:rPr>
          <w:rFonts w:cs="Arial"/>
          <w:sz w:val="18"/>
          <w:szCs w:val="18"/>
          <w:rtl/>
        </w:rPr>
        <w:t xml:space="preserve"> </w:t>
      </w:r>
      <w:r w:rsidRPr="00DD687C">
        <w:rPr>
          <w:rFonts w:cs="Arial" w:hint="cs"/>
          <w:sz w:val="18"/>
          <w:szCs w:val="18"/>
          <w:rtl/>
        </w:rPr>
        <w:t>אם</w:t>
      </w:r>
      <w:r w:rsidRPr="00DD687C">
        <w:rPr>
          <w:rFonts w:cs="Arial"/>
          <w:sz w:val="18"/>
          <w:szCs w:val="18"/>
          <w:rtl/>
        </w:rPr>
        <w:t xml:space="preserve"> </w:t>
      </w:r>
      <w:r w:rsidRPr="00DD687C">
        <w:rPr>
          <w:rFonts w:cs="Arial" w:hint="cs"/>
          <w:sz w:val="18"/>
          <w:szCs w:val="18"/>
          <w:rtl/>
        </w:rPr>
        <w:t>כתב</w:t>
      </w:r>
      <w:r w:rsidRPr="00DD687C">
        <w:rPr>
          <w:rFonts w:cs="Arial"/>
          <w:sz w:val="18"/>
          <w:szCs w:val="18"/>
          <w:rtl/>
        </w:rPr>
        <w:t xml:space="preserve">: </w:t>
      </w:r>
      <w:r w:rsidRPr="00DD687C">
        <w:rPr>
          <w:rFonts w:cs="Arial" w:hint="cs"/>
          <w:sz w:val="18"/>
          <w:szCs w:val="18"/>
          <w:rtl/>
        </w:rPr>
        <w:t>למנין</w:t>
      </w:r>
      <w:r w:rsidRPr="00DD687C">
        <w:rPr>
          <w:rFonts w:cs="Arial"/>
          <w:sz w:val="18"/>
          <w:szCs w:val="18"/>
          <w:rtl/>
        </w:rPr>
        <w:t xml:space="preserve"> </w:t>
      </w:r>
      <w:r w:rsidRPr="00DD687C">
        <w:rPr>
          <w:rFonts w:cs="Arial" w:hint="cs"/>
          <w:sz w:val="18"/>
          <w:szCs w:val="18"/>
          <w:rtl/>
        </w:rPr>
        <w:t>שאנו</w:t>
      </w:r>
      <w:r w:rsidRPr="00DD687C">
        <w:rPr>
          <w:rFonts w:cs="Arial"/>
          <w:sz w:val="18"/>
          <w:szCs w:val="18"/>
          <w:rtl/>
        </w:rPr>
        <w:t xml:space="preserve"> </w:t>
      </w:r>
      <w:r w:rsidRPr="00DD687C">
        <w:rPr>
          <w:rFonts w:cs="Arial" w:hint="cs"/>
          <w:sz w:val="18"/>
          <w:szCs w:val="18"/>
          <w:rtl/>
        </w:rPr>
        <w:t>מנין</w:t>
      </w:r>
      <w:r w:rsidRPr="00DD687C">
        <w:rPr>
          <w:rFonts w:cs="Arial"/>
          <w:sz w:val="18"/>
          <w:szCs w:val="18"/>
          <w:rtl/>
        </w:rPr>
        <w:t xml:space="preserve"> </w:t>
      </w:r>
      <w:r>
        <w:rPr>
          <w:rStyle w:val="a7"/>
          <w:rFonts w:cs="Arial"/>
          <w:sz w:val="18"/>
          <w:szCs w:val="18"/>
          <w:rtl/>
        </w:rPr>
        <w:footnoteReference w:id="796"/>
      </w:r>
      <w:r>
        <w:rPr>
          <w:rFonts w:cs="Arial" w:hint="cs"/>
          <w:sz w:val="18"/>
          <w:szCs w:val="18"/>
          <w:rtl/>
        </w:rPr>
        <w:t>[</w:t>
      </w:r>
      <w:r w:rsidRPr="00DD687C">
        <w:rPr>
          <w:rFonts w:cs="Arial" w:hint="cs"/>
          <w:sz w:val="18"/>
          <w:szCs w:val="18"/>
          <w:rtl/>
        </w:rPr>
        <w:t>במתא</w:t>
      </w:r>
      <w:r>
        <w:rPr>
          <w:rFonts w:cs="Arial" w:hint="cs"/>
          <w:sz w:val="18"/>
          <w:szCs w:val="18"/>
          <w:rtl/>
        </w:rPr>
        <w:t>]</w:t>
      </w:r>
      <w:r w:rsidRPr="00DD687C">
        <w:rPr>
          <w:rFonts w:cs="Arial"/>
          <w:sz w:val="18"/>
          <w:szCs w:val="18"/>
          <w:rtl/>
        </w:rPr>
        <w:t xml:space="preserve">, </w:t>
      </w:r>
      <w:r w:rsidRPr="00DD687C">
        <w:rPr>
          <w:rFonts w:cs="Arial" w:hint="cs"/>
          <w:sz w:val="18"/>
          <w:szCs w:val="18"/>
          <w:rtl/>
        </w:rPr>
        <w:t>וכל</w:t>
      </w:r>
      <w:r w:rsidRPr="00DD687C">
        <w:rPr>
          <w:rFonts w:cs="Arial"/>
          <w:sz w:val="18"/>
          <w:szCs w:val="18"/>
          <w:rtl/>
        </w:rPr>
        <w:t xml:space="preserve"> </w:t>
      </w:r>
      <w:r w:rsidRPr="00DD687C">
        <w:rPr>
          <w:rFonts w:cs="Arial" w:hint="cs"/>
          <w:sz w:val="18"/>
          <w:szCs w:val="18"/>
          <w:rtl/>
        </w:rPr>
        <w:t>כיוצא</w:t>
      </w:r>
      <w:r w:rsidRPr="00DD687C">
        <w:rPr>
          <w:rFonts w:cs="Arial"/>
          <w:sz w:val="18"/>
          <w:szCs w:val="18"/>
          <w:rtl/>
        </w:rPr>
        <w:t xml:space="preserve"> </w:t>
      </w:r>
      <w:r w:rsidRPr="00DD687C">
        <w:rPr>
          <w:rFonts w:cs="Arial" w:hint="cs"/>
          <w:sz w:val="18"/>
          <w:szCs w:val="18"/>
          <w:rtl/>
        </w:rPr>
        <w:t>בזה</w:t>
      </w:r>
      <w:r w:rsidRPr="00DD687C">
        <w:rPr>
          <w:rFonts w:cs="Arial"/>
          <w:sz w:val="18"/>
          <w:szCs w:val="18"/>
          <w:rtl/>
        </w:rPr>
        <w:t xml:space="preserve"> (</w:t>
      </w:r>
      <w:r w:rsidRPr="00DD687C">
        <w:rPr>
          <w:rFonts w:cs="Arial" w:hint="cs"/>
          <w:sz w:val="18"/>
          <w:szCs w:val="18"/>
          <w:rtl/>
        </w:rPr>
        <w:t>ריב</w:t>
      </w:r>
      <w:r w:rsidRPr="00DD687C">
        <w:rPr>
          <w:rFonts w:cs="Arial"/>
          <w:sz w:val="18"/>
          <w:szCs w:val="18"/>
          <w:rtl/>
        </w:rPr>
        <w:t>"</w:t>
      </w:r>
      <w:r w:rsidRPr="00DD687C">
        <w:rPr>
          <w:rFonts w:cs="Arial" w:hint="cs"/>
          <w:sz w:val="18"/>
          <w:szCs w:val="18"/>
          <w:rtl/>
        </w:rPr>
        <w:t>ש</w:t>
      </w:r>
      <w:r w:rsidRPr="00DD687C">
        <w:rPr>
          <w:rFonts w:cs="Arial"/>
          <w:sz w:val="18"/>
          <w:szCs w:val="18"/>
          <w:rtl/>
        </w:rPr>
        <w:t>).</w:t>
      </w:r>
      <w:r>
        <w:rPr>
          <w:rFonts w:cs="Arial"/>
          <w:rtl/>
        </w:rPr>
        <w:t xml:space="preserve"> </w:t>
      </w:r>
    </w:p>
    <w:p w14:paraId="074310FA" w14:textId="77777777" w:rsidR="00FA2119" w:rsidRDefault="00FA2119" w:rsidP="00FA2119">
      <w:pPr>
        <w:rPr>
          <w:rtl/>
        </w:rPr>
      </w:pPr>
    </w:p>
    <w:p w14:paraId="32EF0157" w14:textId="77777777" w:rsidR="00FA2119" w:rsidRDefault="00FA2119" w:rsidP="00FA2119">
      <w:pPr>
        <w:pStyle w:val="2"/>
        <w:rPr>
          <w:rtl/>
        </w:rPr>
      </w:pPr>
      <w:r>
        <w:rPr>
          <w:rFonts w:hint="cs"/>
          <w:rtl/>
        </w:rPr>
        <w:lastRenderedPageBreak/>
        <w:t>סעיף</w:t>
      </w:r>
      <w:r>
        <w:rPr>
          <w:rtl/>
        </w:rPr>
        <w:t xml:space="preserve"> </w:t>
      </w:r>
      <w:r>
        <w:rPr>
          <w:rFonts w:hint="cs"/>
          <w:rtl/>
        </w:rPr>
        <w:t>כח: דיתבא.</w:t>
      </w:r>
    </w:p>
    <w:p w14:paraId="16133B21" w14:textId="77777777" w:rsidR="00FA2119" w:rsidRPr="00DD687C" w:rsidRDefault="00FA2119" w:rsidP="00FA2119">
      <w:pPr>
        <w:rPr>
          <w:u w:val="single"/>
          <w:rtl/>
        </w:rPr>
      </w:pPr>
      <w:r w:rsidRPr="00DD687C">
        <w:rPr>
          <w:rFonts w:hint="cs"/>
          <w:u w:val="single"/>
          <w:rtl/>
        </w:rPr>
        <w:t>כיצד כותבים 'דיתבא':</w:t>
      </w:r>
    </w:p>
    <w:p w14:paraId="7AD01044" w14:textId="1DB71ED7" w:rsidR="00FA2119" w:rsidRPr="00AF1304" w:rsidRDefault="00FA2119" w:rsidP="00FA2119">
      <w:pPr>
        <w:pStyle w:val="ab"/>
        <w:numPr>
          <w:ilvl w:val="0"/>
          <w:numId w:val="12"/>
        </w:numPr>
        <w:rPr>
          <w:rtl/>
        </w:rPr>
      </w:pPr>
      <w:r>
        <w:rPr>
          <w:rFonts w:cs="Arial" w:hint="cs"/>
          <w:rtl/>
        </w:rPr>
        <w:t>תוס'</w:t>
      </w:r>
      <w:r>
        <w:rPr>
          <w:rStyle w:val="a7"/>
          <w:rFonts w:cs="Arial"/>
          <w:rtl/>
        </w:rPr>
        <w:footnoteReference w:id="797"/>
      </w:r>
      <w:r>
        <w:rPr>
          <w:rFonts w:cs="Arial" w:hint="cs"/>
          <w:rtl/>
        </w:rPr>
        <w:t xml:space="preserve"> </w:t>
      </w:r>
      <w:r>
        <w:rPr>
          <w:rFonts w:cs="Arial" w:hint="cs"/>
          <w:sz w:val="16"/>
          <w:szCs w:val="16"/>
          <w:rtl/>
        </w:rPr>
        <w:t>(פה: ד"ה דתהוייין)</w:t>
      </w:r>
      <w:r>
        <w:rPr>
          <w:rFonts w:cs="Arial" w:hint="cs"/>
          <w:rtl/>
        </w:rPr>
        <w:t xml:space="preserve"> </w:t>
      </w:r>
      <w:r w:rsidRPr="00DD687C">
        <w:rPr>
          <w:rFonts w:cs="Arial"/>
          <w:rtl/>
        </w:rPr>
        <w:t xml:space="preserve">כל בו </w:t>
      </w:r>
      <w:r w:rsidRPr="00DD687C">
        <w:rPr>
          <w:rFonts w:cs="Arial"/>
          <w:sz w:val="16"/>
          <w:szCs w:val="16"/>
          <w:rtl/>
        </w:rPr>
        <w:t xml:space="preserve">(סי' עו מז ע"ד) </w:t>
      </w:r>
      <w:r w:rsidRPr="00DD687C">
        <w:rPr>
          <w:rFonts w:cs="Arial"/>
          <w:rtl/>
        </w:rPr>
        <w:t xml:space="preserve">מרדכי </w:t>
      </w:r>
      <w:r w:rsidRPr="00DD687C">
        <w:rPr>
          <w:rFonts w:cs="Arial"/>
          <w:sz w:val="16"/>
          <w:szCs w:val="16"/>
          <w:rtl/>
        </w:rPr>
        <w:t>(</w:t>
      </w:r>
      <w:r w:rsidRPr="00DD687C">
        <w:rPr>
          <w:rFonts w:cs="Arial" w:hint="cs"/>
          <w:sz w:val="16"/>
          <w:szCs w:val="16"/>
          <w:rtl/>
        </w:rPr>
        <w:t xml:space="preserve">בהלכות הגט </w:t>
      </w:r>
      <w:r w:rsidRPr="00DD687C">
        <w:rPr>
          <w:rFonts w:cs="Arial"/>
          <w:sz w:val="16"/>
          <w:szCs w:val="16"/>
          <w:rtl/>
        </w:rPr>
        <w:t>סי' תנד)</w:t>
      </w:r>
      <w:r w:rsidRPr="005E795A">
        <w:rPr>
          <w:rFonts w:cs="Arial"/>
          <w:rtl/>
        </w:rPr>
        <w:t xml:space="preserve"> </w:t>
      </w:r>
      <w:r>
        <w:rPr>
          <w:rFonts w:cs="Arial" w:hint="cs"/>
          <w:rtl/>
        </w:rPr>
        <w:t>ו</w:t>
      </w:r>
      <w:r w:rsidRPr="00AF1304">
        <w:rPr>
          <w:rFonts w:cs="Arial"/>
          <w:rtl/>
        </w:rPr>
        <w:t xml:space="preserve">רא"ש </w:t>
      </w:r>
      <w:r w:rsidRPr="005E795A">
        <w:rPr>
          <w:rFonts w:cs="Arial"/>
          <w:sz w:val="16"/>
          <w:szCs w:val="16"/>
          <w:rtl/>
        </w:rPr>
        <w:t>(</w:t>
      </w:r>
      <w:r w:rsidRPr="005E795A">
        <w:rPr>
          <w:rFonts w:cs="Arial" w:hint="cs"/>
          <w:sz w:val="16"/>
          <w:szCs w:val="16"/>
          <w:rtl/>
        </w:rPr>
        <w:t xml:space="preserve">פ"ט </w:t>
      </w:r>
      <w:r w:rsidRPr="005E795A">
        <w:rPr>
          <w:rFonts w:cs="Arial"/>
          <w:sz w:val="16"/>
          <w:szCs w:val="16"/>
          <w:rtl/>
        </w:rPr>
        <w:t>סי' ד)</w:t>
      </w:r>
      <w:r w:rsidR="00A82951">
        <w:rPr>
          <w:rFonts w:cs="Arial" w:hint="cs"/>
          <w:rtl/>
        </w:rPr>
        <w:t>-</w:t>
      </w:r>
      <w:r>
        <w:rPr>
          <w:rFonts w:cs="Arial" w:hint="cs"/>
          <w:rtl/>
        </w:rPr>
        <w:t xml:space="preserve"> </w:t>
      </w:r>
      <w:r w:rsidR="00181024">
        <w:rPr>
          <w:rFonts w:cs="Arial" w:hint="cs"/>
          <w:rtl/>
        </w:rPr>
        <w:t>"</w:t>
      </w:r>
      <w:r w:rsidRPr="00DD687C">
        <w:rPr>
          <w:rFonts w:cs="Arial"/>
          <w:rtl/>
        </w:rPr>
        <w:t>דיתבא על נהר פלוני</w:t>
      </w:r>
      <w:r w:rsidR="00181024">
        <w:rPr>
          <w:rFonts w:cs="Arial" w:hint="cs"/>
          <w:rtl/>
        </w:rPr>
        <w:t>"</w:t>
      </w:r>
      <w:r>
        <w:rPr>
          <w:rFonts w:cs="Arial" w:hint="cs"/>
          <w:rtl/>
        </w:rPr>
        <w:t xml:space="preserve"> </w:t>
      </w:r>
      <w:r w:rsidRPr="00DD687C">
        <w:rPr>
          <w:rFonts w:cs="Arial"/>
          <w:rtl/>
        </w:rPr>
        <w:t>הוא בחד יו"ד</w:t>
      </w:r>
      <w:r>
        <w:rPr>
          <w:rFonts w:cs="Arial" w:hint="cs"/>
          <w:rtl/>
        </w:rPr>
        <w:t>,</w:t>
      </w:r>
      <w:r w:rsidRPr="00DD687C">
        <w:rPr>
          <w:rFonts w:cs="Arial"/>
          <w:rtl/>
        </w:rPr>
        <w:t xml:space="preserve"> דתיבה אחת היא</w:t>
      </w:r>
      <w:r>
        <w:rPr>
          <w:rFonts w:cs="Arial" w:hint="cs"/>
          <w:rtl/>
        </w:rPr>
        <w:t>,</w:t>
      </w:r>
      <w:r w:rsidRPr="00DD687C">
        <w:rPr>
          <w:rFonts w:cs="Arial"/>
          <w:rtl/>
        </w:rPr>
        <w:t xml:space="preserve"> במקום </w:t>
      </w:r>
      <w:r w:rsidR="00181024">
        <w:rPr>
          <w:rFonts w:cs="Arial" w:hint="cs"/>
          <w:rtl/>
        </w:rPr>
        <w:t>"</w:t>
      </w:r>
      <w:r w:rsidRPr="00DD687C">
        <w:rPr>
          <w:rFonts w:cs="Arial"/>
          <w:rtl/>
        </w:rPr>
        <w:t>היושבת</w:t>
      </w:r>
      <w:r w:rsidR="00181024">
        <w:rPr>
          <w:rFonts w:cs="Arial" w:hint="cs"/>
          <w:rtl/>
        </w:rPr>
        <w:t>"</w:t>
      </w:r>
      <w:r>
        <w:rPr>
          <w:rStyle w:val="a7"/>
          <w:rFonts w:cs="Arial"/>
          <w:rtl/>
        </w:rPr>
        <w:footnoteReference w:id="798"/>
      </w:r>
      <w:r>
        <w:rPr>
          <w:rFonts w:cs="Arial" w:hint="cs"/>
          <w:sz w:val="16"/>
          <w:szCs w:val="16"/>
          <w:rtl/>
        </w:rPr>
        <w:t xml:space="preserve"> (ל' הב"י)</w:t>
      </w:r>
      <w:r w:rsidRPr="00DD687C">
        <w:rPr>
          <w:rFonts w:cs="Arial" w:hint="cs"/>
          <w:rtl/>
        </w:rPr>
        <w:t>.</w:t>
      </w:r>
      <w:r>
        <w:rPr>
          <w:rFonts w:hint="cs"/>
          <w:rtl/>
        </w:rPr>
        <w:t xml:space="preserve"> </w:t>
      </w:r>
      <w:r w:rsidRPr="00DD687C">
        <w:rPr>
          <w:rFonts w:hint="cs"/>
          <w:color w:val="E36C0A" w:themeColor="accent6" w:themeShade="BF"/>
          <w:rtl/>
        </w:rPr>
        <w:t>(וכ"פ בשו"ע)</w:t>
      </w:r>
    </w:p>
    <w:p w14:paraId="1B0CF226"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AB24F94" w14:textId="77777777" w:rsidR="00FA2119" w:rsidRDefault="00FA2119" w:rsidP="00FA2119">
      <w:pPr>
        <w:rPr>
          <w:rtl/>
        </w:rPr>
      </w:pPr>
      <w:r>
        <w:rPr>
          <w:rFonts w:cs="Arial" w:hint="cs"/>
          <w:rtl/>
        </w:rPr>
        <w:t>דיתבא</w:t>
      </w:r>
      <w:r>
        <w:rPr>
          <w:rFonts w:cs="Arial"/>
          <w:rtl/>
        </w:rPr>
        <w:t xml:space="preserve"> </w:t>
      </w:r>
      <w:r>
        <w:rPr>
          <w:rFonts w:cs="Arial" w:hint="cs"/>
          <w:rtl/>
        </w:rPr>
        <w:t>על</w:t>
      </w:r>
      <w:r>
        <w:rPr>
          <w:rFonts w:cs="Arial"/>
          <w:rtl/>
        </w:rPr>
        <w:t xml:space="preserve"> </w:t>
      </w:r>
      <w:r>
        <w:rPr>
          <w:rFonts w:cs="Arial" w:hint="cs"/>
          <w:rtl/>
        </w:rPr>
        <w:t>נהר</w:t>
      </w:r>
      <w:r>
        <w:rPr>
          <w:rFonts w:cs="Arial"/>
          <w:rtl/>
        </w:rPr>
        <w:t xml:space="preserve"> </w:t>
      </w:r>
      <w:r>
        <w:rPr>
          <w:rFonts w:cs="Arial" w:hint="cs"/>
          <w:rtl/>
        </w:rPr>
        <w:t>פלוני</w:t>
      </w:r>
      <w:r>
        <w:rPr>
          <w:rFonts w:cs="Arial"/>
          <w:rtl/>
        </w:rPr>
        <w:t xml:space="preserve">, </w:t>
      </w:r>
      <w:r>
        <w:rPr>
          <w:rFonts w:cs="Arial" w:hint="cs"/>
          <w:rtl/>
        </w:rPr>
        <w:t>בחד</w:t>
      </w:r>
      <w:r>
        <w:rPr>
          <w:rFonts w:cs="Arial"/>
          <w:rtl/>
        </w:rPr>
        <w:t xml:space="preserve"> </w:t>
      </w:r>
      <w:r>
        <w:rPr>
          <w:rFonts w:cs="Arial" w:hint="cs"/>
          <w:rtl/>
        </w:rPr>
        <w:t>יו</w:t>
      </w:r>
      <w:r>
        <w:rPr>
          <w:rFonts w:cs="Arial"/>
          <w:rtl/>
        </w:rPr>
        <w:t>"</w:t>
      </w:r>
      <w:r>
        <w:rPr>
          <w:rFonts w:cs="Arial" w:hint="cs"/>
          <w:rtl/>
        </w:rPr>
        <w:t>ד</w:t>
      </w:r>
      <w:r>
        <w:rPr>
          <w:rFonts w:cs="Arial"/>
          <w:rtl/>
        </w:rPr>
        <w:t xml:space="preserve">. </w:t>
      </w:r>
      <w:r>
        <w:rPr>
          <w:rFonts w:cs="Arial" w:hint="cs"/>
          <w:sz w:val="18"/>
          <w:szCs w:val="18"/>
          <w:rtl/>
        </w:rPr>
        <w:t xml:space="preserve">[הגה] </w:t>
      </w:r>
      <w:r w:rsidRPr="00DD687C">
        <w:rPr>
          <w:rFonts w:cs="Arial" w:hint="cs"/>
          <w:sz w:val="18"/>
          <w:szCs w:val="18"/>
          <w:rtl/>
        </w:rPr>
        <w:t>ואם</w:t>
      </w:r>
      <w:r w:rsidRPr="00DD687C">
        <w:rPr>
          <w:rFonts w:cs="Arial"/>
          <w:sz w:val="18"/>
          <w:szCs w:val="18"/>
          <w:rtl/>
        </w:rPr>
        <w:t xml:space="preserve"> </w:t>
      </w:r>
      <w:r w:rsidRPr="00DD687C">
        <w:rPr>
          <w:rFonts w:cs="Arial" w:hint="cs"/>
          <w:sz w:val="18"/>
          <w:szCs w:val="18"/>
          <w:rtl/>
        </w:rPr>
        <w:t>כתב</w:t>
      </w:r>
      <w:r w:rsidRPr="00DD687C">
        <w:rPr>
          <w:rFonts w:cs="Arial"/>
          <w:sz w:val="18"/>
          <w:szCs w:val="18"/>
          <w:rtl/>
        </w:rPr>
        <w:t xml:space="preserve">: </w:t>
      </w:r>
      <w:r w:rsidRPr="00DD687C">
        <w:rPr>
          <w:rFonts w:cs="Arial" w:hint="cs"/>
          <w:sz w:val="18"/>
          <w:szCs w:val="18"/>
          <w:rtl/>
        </w:rPr>
        <w:t>די</w:t>
      </w:r>
      <w:r w:rsidRPr="00DD687C">
        <w:rPr>
          <w:rFonts w:cs="Arial"/>
          <w:sz w:val="18"/>
          <w:szCs w:val="18"/>
          <w:rtl/>
        </w:rPr>
        <w:t xml:space="preserve"> </w:t>
      </w:r>
      <w:r w:rsidRPr="00DD687C">
        <w:rPr>
          <w:rFonts w:cs="Arial" w:hint="cs"/>
          <w:sz w:val="18"/>
          <w:szCs w:val="18"/>
          <w:rtl/>
        </w:rPr>
        <w:t>יתבא</w:t>
      </w:r>
      <w:r w:rsidRPr="00DD687C">
        <w:rPr>
          <w:rFonts w:cs="Arial"/>
          <w:sz w:val="18"/>
          <w:szCs w:val="18"/>
          <w:rtl/>
        </w:rPr>
        <w:t xml:space="preserve">, </w:t>
      </w:r>
      <w:r w:rsidRPr="00DD687C">
        <w:rPr>
          <w:rFonts w:cs="Arial" w:hint="cs"/>
          <w:sz w:val="18"/>
          <w:szCs w:val="18"/>
          <w:rtl/>
        </w:rPr>
        <w:t>כשר</w:t>
      </w:r>
      <w:r>
        <w:rPr>
          <w:rStyle w:val="a7"/>
          <w:rFonts w:cs="Arial"/>
          <w:sz w:val="18"/>
          <w:szCs w:val="18"/>
          <w:rtl/>
        </w:rPr>
        <w:footnoteReference w:id="799"/>
      </w:r>
      <w:r w:rsidRPr="00DD687C">
        <w:rPr>
          <w:rFonts w:cs="Arial"/>
          <w:sz w:val="18"/>
          <w:szCs w:val="18"/>
          <w:rtl/>
        </w:rPr>
        <w:t xml:space="preserve"> (</w:t>
      </w:r>
      <w:r w:rsidRPr="00DD687C">
        <w:rPr>
          <w:rFonts w:cs="Arial" w:hint="cs"/>
          <w:sz w:val="18"/>
          <w:szCs w:val="18"/>
          <w:rtl/>
        </w:rPr>
        <w:t>ב</w:t>
      </w:r>
      <w:r w:rsidRPr="00DD687C">
        <w:rPr>
          <w:rFonts w:cs="Arial"/>
          <w:sz w:val="18"/>
          <w:szCs w:val="18"/>
          <w:rtl/>
        </w:rPr>
        <w:t>"</w:t>
      </w:r>
      <w:r w:rsidRPr="00DD687C">
        <w:rPr>
          <w:rFonts w:cs="Arial" w:hint="cs"/>
          <w:sz w:val="18"/>
          <w:szCs w:val="18"/>
          <w:rtl/>
        </w:rPr>
        <w:t>י</w:t>
      </w:r>
      <w:r w:rsidRPr="00DD687C">
        <w:rPr>
          <w:rFonts w:cs="Arial"/>
          <w:sz w:val="18"/>
          <w:szCs w:val="18"/>
          <w:rtl/>
        </w:rPr>
        <w:t>).</w:t>
      </w:r>
      <w:r>
        <w:rPr>
          <w:rFonts w:cs="Arial"/>
          <w:rtl/>
        </w:rPr>
        <w:t xml:space="preserve"> </w:t>
      </w:r>
    </w:p>
    <w:p w14:paraId="05A3CE51" w14:textId="77777777" w:rsidR="00FA2119" w:rsidRDefault="00FA2119" w:rsidP="00FA2119">
      <w:pPr>
        <w:rPr>
          <w:rtl/>
        </w:rPr>
      </w:pPr>
    </w:p>
    <w:p w14:paraId="782E9BF7" w14:textId="77777777" w:rsidR="00FA2119" w:rsidRDefault="00FA2119" w:rsidP="00FA2119">
      <w:pPr>
        <w:pStyle w:val="2"/>
        <w:rPr>
          <w:rtl/>
        </w:rPr>
      </w:pPr>
      <w:r>
        <w:rPr>
          <w:rFonts w:hint="cs"/>
          <w:rtl/>
        </w:rPr>
        <w:t>סעיף</w:t>
      </w:r>
      <w:r>
        <w:rPr>
          <w:rtl/>
        </w:rPr>
        <w:t xml:space="preserve"> </w:t>
      </w:r>
      <w:r>
        <w:rPr>
          <w:rFonts w:hint="cs"/>
          <w:rtl/>
        </w:rPr>
        <w:t>כט: דמתקריא.</w:t>
      </w:r>
    </w:p>
    <w:p w14:paraId="2F2248D2" w14:textId="77777777" w:rsidR="00FA2119" w:rsidRPr="002D1848" w:rsidRDefault="00FA2119" w:rsidP="00FA2119">
      <w:pPr>
        <w:rPr>
          <w:u w:val="single"/>
          <w:rtl/>
        </w:rPr>
      </w:pPr>
      <w:r>
        <w:rPr>
          <w:rFonts w:hint="cs"/>
          <w:u w:val="single"/>
          <w:rtl/>
        </w:rPr>
        <w:t>כתיבת המילה '</w:t>
      </w:r>
      <w:r w:rsidRPr="002D1848">
        <w:rPr>
          <w:rFonts w:hint="cs"/>
          <w:u w:val="single"/>
          <w:rtl/>
        </w:rPr>
        <w:t>דמתקריא</w:t>
      </w:r>
      <w:r>
        <w:rPr>
          <w:rFonts w:hint="cs"/>
          <w:u w:val="single"/>
          <w:rtl/>
        </w:rPr>
        <w:t>'</w:t>
      </w:r>
      <w:r w:rsidRPr="002D1848">
        <w:rPr>
          <w:rFonts w:hint="cs"/>
          <w:u w:val="single"/>
          <w:rtl/>
        </w:rPr>
        <w:t xml:space="preserve"> </w:t>
      </w:r>
      <w:r>
        <w:rPr>
          <w:rFonts w:hint="cs"/>
          <w:sz w:val="16"/>
          <w:szCs w:val="16"/>
          <w:u w:val="single"/>
          <w:rtl/>
        </w:rPr>
        <w:t>(בל' נקבה)</w:t>
      </w:r>
      <w:r>
        <w:rPr>
          <w:rFonts w:hint="cs"/>
          <w:u w:val="single"/>
          <w:rtl/>
        </w:rPr>
        <w:t>:</w:t>
      </w:r>
    </w:p>
    <w:p w14:paraId="51505DF4" w14:textId="26F975C1" w:rsidR="00FA2119" w:rsidRPr="002D1848" w:rsidRDefault="00FA2119" w:rsidP="00FA2119">
      <w:pPr>
        <w:pStyle w:val="ab"/>
        <w:numPr>
          <w:ilvl w:val="0"/>
          <w:numId w:val="12"/>
        </w:numPr>
        <w:rPr>
          <w:rFonts w:cs="Arial"/>
          <w:rtl/>
        </w:rPr>
      </w:pPr>
      <w:r w:rsidRPr="002D1848">
        <w:rPr>
          <w:rFonts w:cs="Arial" w:hint="cs"/>
          <w:rtl/>
        </w:rPr>
        <w:t xml:space="preserve">תרוה"ד </w:t>
      </w:r>
      <w:r w:rsidRPr="002D1848">
        <w:rPr>
          <w:rFonts w:cs="Arial" w:hint="cs"/>
          <w:sz w:val="16"/>
          <w:szCs w:val="16"/>
          <w:rtl/>
        </w:rPr>
        <w:t>(פסקים וכתבים סי' קפה)</w:t>
      </w:r>
      <w:r w:rsidR="00A82951">
        <w:rPr>
          <w:rFonts w:cs="Arial" w:hint="cs"/>
          <w:rtl/>
        </w:rPr>
        <w:t>-</w:t>
      </w:r>
      <w:r w:rsidRPr="002D1848">
        <w:rPr>
          <w:rFonts w:cs="Arial" w:hint="cs"/>
          <w:rtl/>
        </w:rPr>
        <w:t xml:space="preserve"> </w:t>
      </w:r>
      <w:r w:rsidRPr="002D1848">
        <w:rPr>
          <w:rFonts w:cs="Arial"/>
          <w:rtl/>
        </w:rPr>
        <w:t>ואשר כתבת לי על דאיתקריא אוב"ן באל"ף ופקפקת בדבר. תמיהני על בעל הלשון כמותך לפקפק בזה, הלא ידעת דעיר לשון נקבה היא כמו העיר הזאת קרובה היא והיא מצער, וכ"כ בגיטין לשון נקבה מתא דיתבא ולא דיתיב, ולנקבה כותבין דמתקריא באל"ף כדאיתא בהדיא בסמ"ק. עתה על הדרך כשהלכתי הנה מצאתיהו בסמ"ק ולא ידעתי כבר שהיה כתוב שם, אלא אסברתיה כבר לקרובי מהר"ר יודי"ל ז"ל מדעתי, כשספר לי שהיה מסתפק בגט של נקדי"מות אם לכתוב דמתקריא, בי"ל אמרתי לו אם הייתי כותב הייתי צריך לכתוב בלשון נקבה דמתקריא או דמתקרית</w:t>
      </w:r>
      <w:r w:rsidRPr="002D1848">
        <w:rPr>
          <w:rFonts w:cs="Arial" w:hint="cs"/>
          <w:rtl/>
        </w:rPr>
        <w:t>.</w:t>
      </w:r>
      <w:r w:rsidRPr="002D1848">
        <w:rPr>
          <w:rFonts w:cs="Arial"/>
          <w:rtl/>
        </w:rPr>
        <w:t xml:space="preserve"> </w:t>
      </w:r>
      <w:r w:rsidRPr="002D1848">
        <w:rPr>
          <w:rFonts w:cs="Arial" w:hint="cs"/>
          <w:color w:val="E36C0A" w:themeColor="accent6" w:themeShade="BF"/>
          <w:rtl/>
        </w:rPr>
        <w:t>(וכ"פ בשו"ע)</w:t>
      </w:r>
    </w:p>
    <w:p w14:paraId="1331464A"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46246E5" w14:textId="77777777" w:rsidR="00FA2119" w:rsidRDefault="00FA2119" w:rsidP="00FA2119">
      <w:pPr>
        <w:rPr>
          <w:rtl/>
        </w:rPr>
      </w:pPr>
      <w:r>
        <w:rPr>
          <w:rFonts w:cs="Arial" w:hint="cs"/>
          <w:rtl/>
        </w:rPr>
        <w:t>במתא</w:t>
      </w:r>
      <w:r>
        <w:rPr>
          <w:rFonts w:cs="Arial"/>
          <w:rtl/>
        </w:rPr>
        <w:t xml:space="preserve"> </w:t>
      </w:r>
      <w:r>
        <w:rPr>
          <w:rFonts w:cs="Arial" w:hint="cs"/>
          <w:rtl/>
        </w:rPr>
        <w:t>פלונית</w:t>
      </w:r>
      <w:r>
        <w:rPr>
          <w:rFonts w:cs="Arial"/>
          <w:rtl/>
        </w:rPr>
        <w:t xml:space="preserve"> </w:t>
      </w:r>
      <w:r>
        <w:rPr>
          <w:rFonts w:cs="Arial" w:hint="cs"/>
          <w:rtl/>
        </w:rPr>
        <w:t>דמתקריא</w:t>
      </w:r>
      <w:r>
        <w:rPr>
          <w:rFonts w:cs="Arial"/>
          <w:rtl/>
        </w:rPr>
        <w:t xml:space="preserve"> </w:t>
      </w:r>
      <w:r>
        <w:rPr>
          <w:rFonts w:cs="Arial" w:hint="cs"/>
          <w:rtl/>
        </w:rPr>
        <w:t>פלונית</w:t>
      </w:r>
      <w:r>
        <w:rPr>
          <w:rFonts w:cs="Arial"/>
          <w:rtl/>
        </w:rPr>
        <w:t xml:space="preserve">, </w:t>
      </w:r>
      <w:r>
        <w:rPr>
          <w:rFonts w:cs="Arial" w:hint="cs"/>
          <w:rtl/>
        </w:rPr>
        <w:t>בלשון</w:t>
      </w:r>
      <w:r>
        <w:rPr>
          <w:rFonts w:cs="Arial"/>
          <w:rtl/>
        </w:rPr>
        <w:t xml:space="preserve"> </w:t>
      </w:r>
      <w:r>
        <w:rPr>
          <w:rFonts w:cs="Arial" w:hint="cs"/>
          <w:rtl/>
        </w:rPr>
        <w:t>נקבה</w:t>
      </w:r>
      <w:r>
        <w:rPr>
          <w:rFonts w:cs="Arial"/>
          <w:rtl/>
        </w:rPr>
        <w:t xml:space="preserve">. </w:t>
      </w:r>
    </w:p>
    <w:p w14:paraId="29469A02" w14:textId="77777777" w:rsidR="00FA2119" w:rsidRDefault="00FA2119" w:rsidP="00FA2119">
      <w:pPr>
        <w:rPr>
          <w:rtl/>
        </w:rPr>
      </w:pPr>
    </w:p>
    <w:p w14:paraId="148EF7E6" w14:textId="77777777" w:rsidR="00FA2119" w:rsidRDefault="00FA2119" w:rsidP="00FA2119">
      <w:pPr>
        <w:pStyle w:val="2"/>
        <w:rPr>
          <w:rtl/>
        </w:rPr>
      </w:pPr>
      <w:r>
        <w:rPr>
          <w:rFonts w:hint="cs"/>
          <w:rtl/>
        </w:rPr>
        <w:t>סעיף</w:t>
      </w:r>
      <w:r>
        <w:rPr>
          <w:rtl/>
        </w:rPr>
        <w:t xml:space="preserve"> </w:t>
      </w:r>
      <w:r>
        <w:rPr>
          <w:rFonts w:hint="cs"/>
          <w:rtl/>
        </w:rPr>
        <w:t xml:space="preserve">ל: </w:t>
      </w:r>
      <w:r>
        <w:rPr>
          <w:rFonts w:cs="Arial" w:hint="cs"/>
          <w:rtl/>
        </w:rPr>
        <w:t>העומד</w:t>
      </w:r>
      <w:r>
        <w:rPr>
          <w:rFonts w:cs="Arial"/>
          <w:rtl/>
        </w:rPr>
        <w:t xml:space="preserve"> </w:t>
      </w:r>
      <w:r>
        <w:rPr>
          <w:rFonts w:cs="Arial" w:hint="cs"/>
          <w:rtl/>
        </w:rPr>
        <w:t>במקום</w:t>
      </w:r>
      <w:r>
        <w:rPr>
          <w:rFonts w:cs="Arial"/>
          <w:rtl/>
        </w:rPr>
        <w:t xml:space="preserve"> </w:t>
      </w:r>
      <w:r>
        <w:rPr>
          <w:rFonts w:cs="Arial" w:hint="cs"/>
          <w:rtl/>
        </w:rPr>
        <w:t>פלוני וכל</w:t>
      </w:r>
      <w:r>
        <w:rPr>
          <w:rFonts w:cs="Arial"/>
          <w:rtl/>
        </w:rPr>
        <w:t xml:space="preserve"> </w:t>
      </w:r>
      <w:r>
        <w:rPr>
          <w:rFonts w:cs="Arial" w:hint="cs"/>
          <w:rtl/>
        </w:rPr>
        <w:t>שום</w:t>
      </w:r>
      <w:r>
        <w:rPr>
          <w:rFonts w:hint="cs"/>
          <w:rtl/>
        </w:rPr>
        <w:t>.</w:t>
      </w:r>
    </w:p>
    <w:p w14:paraId="4BC8FCBC" w14:textId="77777777" w:rsidR="00FA2119" w:rsidRPr="008253B0" w:rsidRDefault="00FA2119" w:rsidP="00FA2119">
      <w:pPr>
        <w:rPr>
          <w:u w:val="single"/>
          <w:rtl/>
        </w:rPr>
      </w:pPr>
      <w:r>
        <w:rPr>
          <w:rFonts w:hint="cs"/>
          <w:u w:val="single"/>
          <w:rtl/>
        </w:rPr>
        <w:t xml:space="preserve">כיצד סדר הקדימות, </w:t>
      </w:r>
      <w:r w:rsidRPr="008253B0">
        <w:rPr>
          <w:rFonts w:hint="cs"/>
          <w:u w:val="single"/>
          <w:rtl/>
        </w:rPr>
        <w:t>'</w:t>
      </w:r>
      <w:r w:rsidRPr="008253B0">
        <w:rPr>
          <w:rFonts w:cs="Arial" w:hint="cs"/>
          <w:u w:val="single"/>
          <w:rtl/>
        </w:rPr>
        <w:t>העומד</w:t>
      </w:r>
      <w:r w:rsidRPr="008253B0">
        <w:rPr>
          <w:rFonts w:cs="Arial"/>
          <w:u w:val="single"/>
          <w:rtl/>
        </w:rPr>
        <w:t xml:space="preserve"> </w:t>
      </w:r>
      <w:r w:rsidRPr="008253B0">
        <w:rPr>
          <w:rFonts w:cs="Arial" w:hint="cs"/>
          <w:u w:val="single"/>
          <w:rtl/>
        </w:rPr>
        <w:t>במקום</w:t>
      </w:r>
      <w:r w:rsidRPr="008253B0">
        <w:rPr>
          <w:rFonts w:cs="Arial"/>
          <w:u w:val="single"/>
          <w:rtl/>
        </w:rPr>
        <w:t xml:space="preserve"> </w:t>
      </w:r>
      <w:r w:rsidRPr="008253B0">
        <w:rPr>
          <w:rFonts w:cs="Arial" w:hint="cs"/>
          <w:u w:val="single"/>
          <w:rtl/>
        </w:rPr>
        <w:t>פלוני'</w:t>
      </w:r>
      <w:r w:rsidRPr="008253B0">
        <w:rPr>
          <w:rFonts w:cs="Arial"/>
          <w:u w:val="single"/>
          <w:rtl/>
        </w:rPr>
        <w:t xml:space="preserve"> </w:t>
      </w:r>
      <w:r w:rsidRPr="008253B0">
        <w:rPr>
          <w:rFonts w:cs="Arial" w:hint="cs"/>
          <w:u w:val="single"/>
          <w:rtl/>
        </w:rPr>
        <w:t>קודם</w:t>
      </w:r>
      <w:r w:rsidRPr="008253B0">
        <w:rPr>
          <w:rFonts w:cs="Arial"/>
          <w:u w:val="single"/>
          <w:rtl/>
        </w:rPr>
        <w:t xml:space="preserve"> </w:t>
      </w:r>
      <w:r w:rsidRPr="008253B0">
        <w:rPr>
          <w:rFonts w:cs="Arial" w:hint="cs"/>
          <w:u w:val="single"/>
          <w:rtl/>
        </w:rPr>
        <w:t>'וכל</w:t>
      </w:r>
      <w:r w:rsidRPr="008253B0">
        <w:rPr>
          <w:rFonts w:cs="Arial"/>
          <w:u w:val="single"/>
          <w:rtl/>
        </w:rPr>
        <w:t xml:space="preserve"> </w:t>
      </w:r>
      <w:r w:rsidRPr="008253B0">
        <w:rPr>
          <w:rFonts w:cs="Arial" w:hint="cs"/>
          <w:u w:val="single"/>
          <w:rtl/>
        </w:rPr>
        <w:t>שום</w:t>
      </w:r>
      <w:r w:rsidRPr="008253B0">
        <w:rPr>
          <w:rFonts w:hint="cs"/>
          <w:u w:val="single"/>
          <w:rtl/>
        </w:rPr>
        <w:t>'</w:t>
      </w:r>
      <w:r>
        <w:rPr>
          <w:rFonts w:hint="cs"/>
          <w:u w:val="single"/>
          <w:rtl/>
        </w:rPr>
        <w:t>,</w:t>
      </w:r>
      <w:r w:rsidRPr="008253B0">
        <w:rPr>
          <w:rFonts w:hint="cs"/>
          <w:u w:val="single"/>
          <w:rtl/>
        </w:rPr>
        <w:t xml:space="preserve"> או הפוך:</w:t>
      </w:r>
    </w:p>
    <w:p w14:paraId="78948B64" w14:textId="39A6952C" w:rsidR="00FA2119" w:rsidRPr="008253B0" w:rsidRDefault="00FA2119" w:rsidP="00FA2119">
      <w:pPr>
        <w:pStyle w:val="ab"/>
        <w:numPr>
          <w:ilvl w:val="0"/>
          <w:numId w:val="12"/>
        </w:numPr>
        <w:rPr>
          <w:rFonts w:cs="Arial"/>
          <w:rtl/>
        </w:rPr>
      </w:pPr>
      <w:r>
        <w:rPr>
          <w:rFonts w:cs="Arial" w:hint="cs"/>
          <w:rtl/>
        </w:rPr>
        <w:t xml:space="preserve">רמב"ם </w:t>
      </w:r>
      <w:r>
        <w:rPr>
          <w:rFonts w:cs="Arial" w:hint="cs"/>
          <w:sz w:val="16"/>
          <w:szCs w:val="16"/>
          <w:rtl/>
        </w:rPr>
        <w:t>(פ"ד הי"ב)</w:t>
      </w:r>
      <w:r>
        <w:rPr>
          <w:rFonts w:cs="Arial" w:hint="cs"/>
          <w:rtl/>
        </w:rPr>
        <w:t xml:space="preserve"> רא"ש </w:t>
      </w:r>
      <w:r>
        <w:rPr>
          <w:rFonts w:cs="Arial" w:hint="cs"/>
          <w:sz w:val="16"/>
          <w:szCs w:val="16"/>
          <w:rtl/>
        </w:rPr>
        <w:t>(בסדר הגט)</w:t>
      </w:r>
      <w:r w:rsidRPr="008253B0">
        <w:rPr>
          <w:rFonts w:cs="Arial"/>
          <w:rtl/>
        </w:rPr>
        <w:t xml:space="preserve"> </w:t>
      </w:r>
      <w:r>
        <w:rPr>
          <w:rFonts w:cs="Arial" w:hint="cs"/>
          <w:rtl/>
        </w:rPr>
        <w:t xml:space="preserve">טור ורי"ו </w:t>
      </w:r>
      <w:r w:rsidRPr="008253B0">
        <w:rPr>
          <w:rFonts w:cs="Arial"/>
          <w:sz w:val="16"/>
          <w:szCs w:val="16"/>
          <w:rtl/>
        </w:rPr>
        <w:t>(נכ"ד ח"ב רו ע"ד)</w:t>
      </w:r>
      <w:r w:rsidR="00A82951">
        <w:rPr>
          <w:rFonts w:cs="Arial" w:hint="cs"/>
          <w:rtl/>
        </w:rPr>
        <w:t>-</w:t>
      </w:r>
      <w:r>
        <w:rPr>
          <w:rFonts w:cs="Arial" w:hint="cs"/>
          <w:rtl/>
        </w:rPr>
        <w:t xml:space="preserve"> </w:t>
      </w:r>
      <w:r w:rsidRPr="008253B0">
        <w:rPr>
          <w:rFonts w:cs="Arial"/>
          <w:rtl/>
        </w:rPr>
        <w:t>אנא פלוני בן פלוני דממתא פלוני וכל שום דאית לי</w:t>
      </w:r>
      <w:r>
        <w:rPr>
          <w:rFonts w:cs="Arial" w:hint="cs"/>
          <w:rtl/>
        </w:rPr>
        <w:t>..</w:t>
      </w:r>
      <w:r w:rsidRPr="008253B0">
        <w:rPr>
          <w:rFonts w:cs="Arial"/>
          <w:rtl/>
        </w:rPr>
        <w:t>.</w:t>
      </w:r>
      <w:r w:rsidRPr="007929D7">
        <w:rPr>
          <w:rFonts w:cs="Arial" w:hint="cs"/>
          <w:color w:val="E36C0A" w:themeColor="accent6" w:themeShade="BF"/>
          <w:rtl/>
        </w:rPr>
        <w:t xml:space="preserve"> </w:t>
      </w:r>
      <w:r w:rsidRPr="002D1848">
        <w:rPr>
          <w:rFonts w:cs="Arial" w:hint="cs"/>
          <w:color w:val="E36C0A" w:themeColor="accent6" w:themeShade="BF"/>
          <w:rtl/>
        </w:rPr>
        <w:t>(וכ"פ בשו"ע)</w:t>
      </w:r>
    </w:p>
    <w:p w14:paraId="75B46606" w14:textId="3C86F494" w:rsidR="00FA2119" w:rsidRPr="008253B0" w:rsidRDefault="00FA2119" w:rsidP="00FA2119">
      <w:pPr>
        <w:pStyle w:val="ab"/>
        <w:numPr>
          <w:ilvl w:val="0"/>
          <w:numId w:val="12"/>
        </w:numPr>
      </w:pPr>
      <w:r w:rsidRPr="008253B0">
        <w:rPr>
          <w:rFonts w:cs="Arial"/>
          <w:rtl/>
        </w:rPr>
        <w:t xml:space="preserve">רי"ף </w:t>
      </w:r>
      <w:r w:rsidRPr="008253B0">
        <w:rPr>
          <w:rFonts w:cs="Arial"/>
          <w:sz w:val="16"/>
          <w:szCs w:val="16"/>
          <w:rtl/>
        </w:rPr>
        <w:t>(גיטין מה:)</w:t>
      </w:r>
      <w:r>
        <w:rPr>
          <w:rFonts w:cs="Arial" w:hint="cs"/>
          <w:rtl/>
        </w:rPr>
        <w:t xml:space="preserve"> ותרוה"ד</w:t>
      </w:r>
      <w:r>
        <w:rPr>
          <w:rStyle w:val="a7"/>
          <w:rFonts w:cs="Arial"/>
          <w:rtl/>
        </w:rPr>
        <w:footnoteReference w:id="800"/>
      </w:r>
      <w:r>
        <w:rPr>
          <w:rFonts w:cs="Arial" w:hint="cs"/>
          <w:sz w:val="16"/>
          <w:szCs w:val="16"/>
          <w:rtl/>
        </w:rPr>
        <w:t xml:space="preserve"> (פסקים וכתבים סי' רמז)</w:t>
      </w:r>
      <w:r w:rsidR="00A82951">
        <w:rPr>
          <w:rFonts w:cs="Arial" w:hint="cs"/>
          <w:rtl/>
        </w:rPr>
        <w:t>-</w:t>
      </w:r>
      <w:r w:rsidRPr="008253B0">
        <w:rPr>
          <w:rFonts w:cs="Arial"/>
          <w:rtl/>
        </w:rPr>
        <w:t xml:space="preserve"> אנא פלוני ב</w:t>
      </w:r>
      <w:r>
        <w:rPr>
          <w:rFonts w:cs="Arial" w:hint="cs"/>
          <w:rtl/>
        </w:rPr>
        <w:t>ר</w:t>
      </w:r>
      <w:r w:rsidRPr="008253B0">
        <w:rPr>
          <w:rFonts w:cs="Arial"/>
          <w:rtl/>
        </w:rPr>
        <w:t xml:space="preserve"> פלוני וכל שום דאית לי דממתא פלונית</w:t>
      </w:r>
      <w:r>
        <w:rPr>
          <w:rFonts w:cs="Arial" w:hint="cs"/>
          <w:sz w:val="16"/>
          <w:szCs w:val="16"/>
          <w:rtl/>
        </w:rPr>
        <w:t xml:space="preserve"> (ל' הרי"ף)</w:t>
      </w:r>
      <w:r>
        <w:rPr>
          <w:rFonts w:cs="Arial" w:hint="cs"/>
          <w:rtl/>
        </w:rPr>
        <w:t>...</w:t>
      </w:r>
      <w:r w:rsidRPr="008253B0">
        <w:rPr>
          <w:rFonts w:cs="Arial"/>
          <w:rtl/>
        </w:rPr>
        <w:t xml:space="preserve"> </w:t>
      </w:r>
      <w:r w:rsidRPr="007F0EAB">
        <w:rPr>
          <w:rFonts w:cs="Arial" w:hint="cs"/>
          <w:color w:val="00B0F0"/>
          <w:rtl/>
        </w:rPr>
        <w:t>(וכ"כ הרמ"א)</w:t>
      </w:r>
    </w:p>
    <w:p w14:paraId="24BAE732" w14:textId="5CD3588F" w:rsidR="00FA2119" w:rsidRPr="00AF1304" w:rsidRDefault="00FA2119" w:rsidP="00FA2119">
      <w:pPr>
        <w:pStyle w:val="ab"/>
        <w:numPr>
          <w:ilvl w:val="1"/>
          <w:numId w:val="12"/>
        </w:numPr>
        <w:rPr>
          <w:rtl/>
        </w:rPr>
      </w:pPr>
      <w:r>
        <w:rPr>
          <w:rFonts w:cs="Arial" w:hint="cs"/>
          <w:rtl/>
        </w:rPr>
        <w:t>ב"י</w:t>
      </w:r>
      <w:r w:rsidR="00A82951">
        <w:rPr>
          <w:rFonts w:cs="Arial" w:hint="cs"/>
          <w:rtl/>
        </w:rPr>
        <w:t>-</w:t>
      </w:r>
      <w:r>
        <w:rPr>
          <w:rFonts w:cs="Arial" w:hint="cs"/>
          <w:rtl/>
        </w:rPr>
        <w:t xml:space="preserve"> </w:t>
      </w:r>
      <w:r w:rsidRPr="008253B0">
        <w:rPr>
          <w:rFonts w:cs="Arial"/>
          <w:rtl/>
        </w:rPr>
        <w:t>והמנהג לכתוב העומד קודם וכל שום כטופס הרא"ש והרמב"ם ורבינו ירוחם ורבינו ז"ל</w:t>
      </w:r>
      <w:r>
        <w:rPr>
          <w:rFonts w:cs="Arial" w:hint="cs"/>
          <w:rtl/>
        </w:rPr>
        <w:t>.</w:t>
      </w:r>
    </w:p>
    <w:p w14:paraId="31443C1C"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1C2DAEF" w14:textId="77777777" w:rsidR="00FA2119" w:rsidRDefault="00FA2119" w:rsidP="00FA2119">
      <w:pPr>
        <w:rPr>
          <w:rtl/>
        </w:rPr>
      </w:pPr>
      <w:r>
        <w:rPr>
          <w:rFonts w:cs="Arial" w:hint="cs"/>
          <w:rtl/>
        </w:rPr>
        <w:t>נהגו</w:t>
      </w:r>
      <w:r>
        <w:rPr>
          <w:rFonts w:cs="Arial"/>
          <w:rtl/>
        </w:rPr>
        <w:t xml:space="preserve"> </w:t>
      </w:r>
      <w:r>
        <w:rPr>
          <w:rFonts w:cs="Arial" w:hint="cs"/>
          <w:rtl/>
        </w:rPr>
        <w:t>לכתוב</w:t>
      </w:r>
      <w:r>
        <w:rPr>
          <w:rFonts w:cs="Arial"/>
          <w:rtl/>
        </w:rPr>
        <w:t xml:space="preserve">: </w:t>
      </w:r>
      <w:r>
        <w:rPr>
          <w:rFonts w:cs="Arial" w:hint="cs"/>
          <w:rtl/>
        </w:rPr>
        <w:t>'העומד</w:t>
      </w:r>
      <w:r>
        <w:rPr>
          <w:rFonts w:cs="Arial"/>
          <w:rtl/>
        </w:rPr>
        <w:t xml:space="preserve"> </w:t>
      </w:r>
      <w:r>
        <w:rPr>
          <w:rFonts w:cs="Arial" w:hint="cs"/>
          <w:rtl/>
        </w:rPr>
        <w:t>במקום</w:t>
      </w:r>
      <w:r>
        <w:rPr>
          <w:rFonts w:cs="Arial"/>
          <w:rtl/>
        </w:rPr>
        <w:t xml:space="preserve"> </w:t>
      </w:r>
      <w:r>
        <w:rPr>
          <w:rFonts w:cs="Arial" w:hint="cs"/>
          <w:rtl/>
        </w:rPr>
        <w:t>פלוני'</w:t>
      </w:r>
      <w:r>
        <w:rPr>
          <w:rFonts w:cs="Arial"/>
          <w:rtl/>
        </w:rPr>
        <w:t xml:space="preserve"> </w:t>
      </w:r>
      <w:r>
        <w:rPr>
          <w:rFonts w:cs="Arial" w:hint="cs"/>
          <w:rtl/>
        </w:rPr>
        <w:t>קודם</w:t>
      </w:r>
      <w:r>
        <w:rPr>
          <w:rFonts w:cs="Arial"/>
          <w:rtl/>
        </w:rPr>
        <w:t xml:space="preserve"> </w:t>
      </w:r>
      <w:r>
        <w:rPr>
          <w:rFonts w:cs="Arial" w:hint="cs"/>
          <w:rtl/>
        </w:rPr>
        <w:t>'וכל</w:t>
      </w:r>
      <w:r>
        <w:rPr>
          <w:rFonts w:cs="Arial"/>
          <w:rtl/>
        </w:rPr>
        <w:t xml:space="preserve"> </w:t>
      </w:r>
      <w:r>
        <w:rPr>
          <w:rFonts w:cs="Arial" w:hint="cs"/>
          <w:rtl/>
        </w:rPr>
        <w:t>שום'</w:t>
      </w:r>
      <w:r>
        <w:rPr>
          <w:rFonts w:cs="Arial"/>
          <w:rtl/>
        </w:rPr>
        <w:t xml:space="preserve">. </w:t>
      </w:r>
      <w:r w:rsidRPr="00DD687C">
        <w:rPr>
          <w:rFonts w:cs="Arial" w:hint="cs"/>
          <w:sz w:val="18"/>
          <w:szCs w:val="18"/>
          <w:rtl/>
        </w:rPr>
        <w:t>הגה</w:t>
      </w:r>
      <w:r w:rsidRPr="00DD687C">
        <w:rPr>
          <w:rFonts w:cs="Arial"/>
          <w:sz w:val="18"/>
          <w:szCs w:val="18"/>
          <w:rtl/>
        </w:rPr>
        <w:t xml:space="preserve">: </w:t>
      </w:r>
      <w:r w:rsidRPr="00DD687C">
        <w:rPr>
          <w:rFonts w:cs="Arial" w:hint="cs"/>
          <w:sz w:val="18"/>
          <w:szCs w:val="18"/>
          <w:rtl/>
        </w:rPr>
        <w:t>וי</w:t>
      </w:r>
      <w:r w:rsidRPr="00DD687C">
        <w:rPr>
          <w:rFonts w:cs="Arial"/>
          <w:sz w:val="18"/>
          <w:szCs w:val="18"/>
          <w:rtl/>
        </w:rPr>
        <w:t>"</w:t>
      </w:r>
      <w:r w:rsidRPr="00DD687C">
        <w:rPr>
          <w:rFonts w:cs="Arial" w:hint="cs"/>
          <w:sz w:val="18"/>
          <w:szCs w:val="18"/>
          <w:rtl/>
        </w:rPr>
        <w:t>א</w:t>
      </w:r>
      <w:r w:rsidRPr="00DD687C">
        <w:rPr>
          <w:rFonts w:cs="Arial"/>
          <w:sz w:val="18"/>
          <w:szCs w:val="18"/>
          <w:rtl/>
        </w:rPr>
        <w:t xml:space="preserve"> </w:t>
      </w:r>
      <w:r w:rsidRPr="00DD687C">
        <w:rPr>
          <w:rFonts w:cs="Arial" w:hint="cs"/>
          <w:sz w:val="18"/>
          <w:szCs w:val="18"/>
          <w:rtl/>
        </w:rPr>
        <w:t>דיש</w:t>
      </w:r>
      <w:r w:rsidRPr="00DD687C">
        <w:rPr>
          <w:rFonts w:cs="Arial"/>
          <w:sz w:val="18"/>
          <w:szCs w:val="18"/>
          <w:rtl/>
        </w:rPr>
        <w:t xml:space="preserve"> </w:t>
      </w:r>
      <w:r w:rsidRPr="00DD687C">
        <w:rPr>
          <w:rFonts w:cs="Arial" w:hint="cs"/>
          <w:sz w:val="18"/>
          <w:szCs w:val="18"/>
          <w:rtl/>
        </w:rPr>
        <w:t>לכתוב</w:t>
      </w:r>
      <w:r w:rsidRPr="00DD687C">
        <w:rPr>
          <w:rFonts w:cs="Arial"/>
          <w:sz w:val="18"/>
          <w:szCs w:val="18"/>
          <w:rtl/>
        </w:rPr>
        <w:t xml:space="preserve"> </w:t>
      </w:r>
      <w:r w:rsidRPr="00DD687C">
        <w:rPr>
          <w:rFonts w:cs="Arial" w:hint="cs"/>
          <w:sz w:val="18"/>
          <w:szCs w:val="18"/>
          <w:rtl/>
        </w:rPr>
        <w:t>החניכה</w:t>
      </w:r>
      <w:r w:rsidRPr="00DD687C">
        <w:rPr>
          <w:rFonts w:cs="Arial"/>
          <w:sz w:val="18"/>
          <w:szCs w:val="18"/>
          <w:rtl/>
        </w:rPr>
        <w:t xml:space="preserve"> </w:t>
      </w:r>
      <w:r w:rsidRPr="00DD687C">
        <w:rPr>
          <w:rFonts w:cs="Arial" w:hint="cs"/>
          <w:sz w:val="18"/>
          <w:szCs w:val="18"/>
          <w:rtl/>
        </w:rPr>
        <w:t>קודם</w:t>
      </w:r>
      <w:r w:rsidRPr="00DD687C">
        <w:rPr>
          <w:rFonts w:cs="Arial"/>
          <w:sz w:val="18"/>
          <w:szCs w:val="18"/>
          <w:rtl/>
        </w:rPr>
        <w:t xml:space="preserve"> </w:t>
      </w:r>
      <w:r w:rsidRPr="00DD687C">
        <w:rPr>
          <w:rFonts w:cs="Arial" w:hint="cs"/>
          <w:sz w:val="18"/>
          <w:szCs w:val="18"/>
          <w:rtl/>
        </w:rPr>
        <w:t>העומד</w:t>
      </w:r>
      <w:r w:rsidRPr="00DD687C">
        <w:rPr>
          <w:rFonts w:cs="Arial"/>
          <w:sz w:val="18"/>
          <w:szCs w:val="18"/>
          <w:rtl/>
        </w:rPr>
        <w:t xml:space="preserve"> </w:t>
      </w:r>
      <w:r w:rsidRPr="00DD687C">
        <w:rPr>
          <w:rFonts w:cs="Arial" w:hint="cs"/>
          <w:sz w:val="18"/>
          <w:szCs w:val="18"/>
          <w:rtl/>
        </w:rPr>
        <w:t>במקום</w:t>
      </w:r>
      <w:r w:rsidRPr="00DD687C">
        <w:rPr>
          <w:rFonts w:cs="Arial"/>
          <w:sz w:val="18"/>
          <w:szCs w:val="18"/>
          <w:rtl/>
        </w:rPr>
        <w:t xml:space="preserve"> </w:t>
      </w:r>
      <w:r w:rsidRPr="00DD687C">
        <w:rPr>
          <w:rFonts w:cs="Arial" w:hint="cs"/>
          <w:sz w:val="18"/>
          <w:szCs w:val="18"/>
          <w:rtl/>
        </w:rPr>
        <w:t>פלוני</w:t>
      </w:r>
      <w:r w:rsidRPr="00DD687C">
        <w:rPr>
          <w:rFonts w:cs="Arial"/>
          <w:sz w:val="18"/>
          <w:szCs w:val="18"/>
          <w:rtl/>
        </w:rPr>
        <w:t xml:space="preserve"> </w:t>
      </w:r>
      <w:r w:rsidRPr="00DD687C">
        <w:rPr>
          <w:rFonts w:cs="Arial" w:hint="cs"/>
          <w:sz w:val="18"/>
          <w:szCs w:val="18"/>
          <w:rtl/>
        </w:rPr>
        <w:t>וכו</w:t>
      </w:r>
      <w:r w:rsidRPr="00DD687C">
        <w:rPr>
          <w:rFonts w:cs="Arial"/>
          <w:sz w:val="18"/>
          <w:szCs w:val="18"/>
          <w:rtl/>
        </w:rPr>
        <w:t>' (</w:t>
      </w:r>
      <w:r>
        <w:rPr>
          <w:rFonts w:cs="Arial" w:hint="cs"/>
          <w:sz w:val="18"/>
          <w:szCs w:val="18"/>
          <w:rtl/>
        </w:rPr>
        <w:t>תרוה"ד</w:t>
      </w:r>
      <w:r w:rsidRPr="00DD687C">
        <w:rPr>
          <w:rFonts w:cs="Arial"/>
          <w:sz w:val="18"/>
          <w:szCs w:val="18"/>
          <w:rtl/>
        </w:rPr>
        <w:t xml:space="preserve">), </w:t>
      </w:r>
      <w:r w:rsidRPr="00DD687C">
        <w:rPr>
          <w:rFonts w:cs="Arial" w:hint="cs"/>
          <w:sz w:val="18"/>
          <w:szCs w:val="18"/>
          <w:rtl/>
        </w:rPr>
        <w:t>וכן</w:t>
      </w:r>
      <w:r w:rsidRPr="00DD687C">
        <w:rPr>
          <w:rFonts w:cs="Arial"/>
          <w:sz w:val="18"/>
          <w:szCs w:val="18"/>
          <w:rtl/>
        </w:rPr>
        <w:t xml:space="preserve"> </w:t>
      </w:r>
      <w:r w:rsidRPr="00DD687C">
        <w:rPr>
          <w:rFonts w:cs="Arial" w:hint="cs"/>
          <w:sz w:val="18"/>
          <w:szCs w:val="18"/>
          <w:rtl/>
        </w:rPr>
        <w:t>נוהגין</w:t>
      </w:r>
      <w:r w:rsidRPr="00DD687C">
        <w:rPr>
          <w:rFonts w:cs="Arial"/>
          <w:sz w:val="18"/>
          <w:szCs w:val="18"/>
          <w:rtl/>
        </w:rPr>
        <w:t xml:space="preserve"> </w:t>
      </w:r>
      <w:r w:rsidRPr="00DD687C">
        <w:rPr>
          <w:rFonts w:cs="Arial" w:hint="cs"/>
          <w:sz w:val="18"/>
          <w:szCs w:val="18"/>
          <w:rtl/>
        </w:rPr>
        <w:t>במדינות</w:t>
      </w:r>
      <w:r w:rsidRPr="00DD687C">
        <w:rPr>
          <w:rFonts w:cs="Arial"/>
          <w:sz w:val="18"/>
          <w:szCs w:val="18"/>
          <w:rtl/>
        </w:rPr>
        <w:t xml:space="preserve"> </w:t>
      </w:r>
      <w:r w:rsidRPr="00DD687C">
        <w:rPr>
          <w:rFonts w:cs="Arial" w:hint="cs"/>
          <w:sz w:val="18"/>
          <w:szCs w:val="18"/>
          <w:rtl/>
        </w:rPr>
        <w:t>אלו</w:t>
      </w:r>
      <w:r w:rsidRPr="00DD687C">
        <w:rPr>
          <w:rFonts w:cs="Arial"/>
          <w:sz w:val="18"/>
          <w:szCs w:val="18"/>
          <w:rtl/>
        </w:rPr>
        <w:t xml:space="preserve">. </w:t>
      </w:r>
      <w:r w:rsidRPr="00DD687C">
        <w:rPr>
          <w:rFonts w:cs="Arial" w:hint="cs"/>
          <w:sz w:val="18"/>
          <w:szCs w:val="18"/>
          <w:rtl/>
        </w:rPr>
        <w:t>נהגו</w:t>
      </w:r>
      <w:r w:rsidRPr="00DD687C">
        <w:rPr>
          <w:rFonts w:cs="Arial"/>
          <w:sz w:val="18"/>
          <w:szCs w:val="18"/>
          <w:rtl/>
        </w:rPr>
        <w:t xml:space="preserve"> </w:t>
      </w:r>
      <w:r w:rsidRPr="00DD687C">
        <w:rPr>
          <w:rFonts w:cs="Arial" w:hint="cs"/>
          <w:sz w:val="18"/>
          <w:szCs w:val="18"/>
          <w:rtl/>
        </w:rPr>
        <w:t>לכתוב</w:t>
      </w:r>
      <w:r w:rsidRPr="00DD687C">
        <w:rPr>
          <w:rFonts w:cs="Arial"/>
          <w:sz w:val="18"/>
          <w:szCs w:val="18"/>
          <w:rtl/>
        </w:rPr>
        <w:t xml:space="preserve">: </w:t>
      </w:r>
      <w:r w:rsidRPr="00DD687C">
        <w:rPr>
          <w:rFonts w:cs="Arial" w:hint="cs"/>
          <w:sz w:val="18"/>
          <w:szCs w:val="18"/>
          <w:rtl/>
        </w:rPr>
        <w:t>פלוני</w:t>
      </w:r>
      <w:r w:rsidRPr="00DD687C">
        <w:rPr>
          <w:rFonts w:cs="Arial"/>
          <w:sz w:val="18"/>
          <w:szCs w:val="18"/>
          <w:rtl/>
        </w:rPr>
        <w:t xml:space="preserve"> </w:t>
      </w:r>
      <w:r w:rsidRPr="00DD687C">
        <w:rPr>
          <w:rFonts w:cs="Arial" w:hint="cs"/>
          <w:sz w:val="18"/>
          <w:szCs w:val="18"/>
          <w:rtl/>
        </w:rPr>
        <w:t>בן</w:t>
      </w:r>
      <w:r w:rsidRPr="00DD687C">
        <w:rPr>
          <w:rFonts w:cs="Arial"/>
          <w:sz w:val="18"/>
          <w:szCs w:val="18"/>
          <w:rtl/>
        </w:rPr>
        <w:t xml:space="preserve"> </w:t>
      </w:r>
      <w:r w:rsidRPr="00DD687C">
        <w:rPr>
          <w:rFonts w:cs="Arial" w:hint="cs"/>
          <w:sz w:val="18"/>
          <w:szCs w:val="18"/>
          <w:rtl/>
        </w:rPr>
        <w:t>פלוני</w:t>
      </w:r>
      <w:r w:rsidRPr="00DD687C">
        <w:rPr>
          <w:rFonts w:cs="Arial"/>
          <w:sz w:val="18"/>
          <w:szCs w:val="18"/>
          <w:rtl/>
        </w:rPr>
        <w:t xml:space="preserve">, </w:t>
      </w:r>
      <w:r w:rsidRPr="00DD687C">
        <w:rPr>
          <w:rFonts w:cs="Arial" w:hint="cs"/>
          <w:sz w:val="18"/>
          <w:szCs w:val="18"/>
          <w:rtl/>
        </w:rPr>
        <w:t>ולא</w:t>
      </w:r>
      <w:r w:rsidRPr="00DD687C">
        <w:rPr>
          <w:rFonts w:cs="Arial"/>
          <w:sz w:val="18"/>
          <w:szCs w:val="18"/>
          <w:rtl/>
        </w:rPr>
        <w:t xml:space="preserve"> </w:t>
      </w:r>
      <w:r w:rsidRPr="00DD687C">
        <w:rPr>
          <w:rFonts w:cs="Arial" w:hint="cs"/>
          <w:sz w:val="18"/>
          <w:szCs w:val="18"/>
          <w:rtl/>
        </w:rPr>
        <w:t>בר</w:t>
      </w:r>
      <w:r w:rsidRPr="00DD687C">
        <w:rPr>
          <w:rFonts w:cs="Arial"/>
          <w:sz w:val="18"/>
          <w:szCs w:val="18"/>
          <w:rtl/>
        </w:rPr>
        <w:t xml:space="preserve"> </w:t>
      </w:r>
      <w:r w:rsidRPr="00DD687C">
        <w:rPr>
          <w:rFonts w:cs="Arial" w:hint="cs"/>
          <w:sz w:val="18"/>
          <w:szCs w:val="18"/>
          <w:rtl/>
        </w:rPr>
        <w:t>פלוני</w:t>
      </w:r>
      <w:r>
        <w:rPr>
          <w:rFonts w:cs="Arial" w:hint="cs"/>
          <w:sz w:val="18"/>
          <w:szCs w:val="18"/>
          <w:rtl/>
        </w:rPr>
        <w:t>.</w:t>
      </w:r>
      <w:r w:rsidRPr="00DD687C">
        <w:rPr>
          <w:rFonts w:cs="Arial"/>
          <w:sz w:val="18"/>
          <w:szCs w:val="18"/>
          <w:rtl/>
        </w:rPr>
        <w:t xml:space="preserve"> </w:t>
      </w:r>
      <w:r w:rsidRPr="00DD687C">
        <w:rPr>
          <w:rFonts w:cs="Arial" w:hint="cs"/>
          <w:sz w:val="18"/>
          <w:szCs w:val="18"/>
          <w:rtl/>
        </w:rPr>
        <w:t>ואם</w:t>
      </w:r>
      <w:r w:rsidRPr="00DD687C">
        <w:rPr>
          <w:rFonts w:cs="Arial"/>
          <w:sz w:val="18"/>
          <w:szCs w:val="18"/>
          <w:rtl/>
        </w:rPr>
        <w:t xml:space="preserve"> </w:t>
      </w:r>
      <w:r w:rsidRPr="00DD687C">
        <w:rPr>
          <w:rFonts w:cs="Arial" w:hint="cs"/>
          <w:sz w:val="18"/>
          <w:szCs w:val="18"/>
          <w:rtl/>
        </w:rPr>
        <w:t>כתב</w:t>
      </w:r>
      <w:r w:rsidRPr="00DD687C">
        <w:rPr>
          <w:rFonts w:cs="Arial"/>
          <w:sz w:val="18"/>
          <w:szCs w:val="18"/>
          <w:rtl/>
        </w:rPr>
        <w:t xml:space="preserve">: </w:t>
      </w:r>
      <w:r w:rsidRPr="00DD687C">
        <w:rPr>
          <w:rFonts w:cs="Arial" w:hint="cs"/>
          <w:sz w:val="18"/>
          <w:szCs w:val="18"/>
          <w:rtl/>
        </w:rPr>
        <w:t>בר</w:t>
      </w:r>
      <w:r w:rsidRPr="00DD687C">
        <w:rPr>
          <w:rFonts w:cs="Arial"/>
          <w:sz w:val="18"/>
          <w:szCs w:val="18"/>
          <w:rtl/>
        </w:rPr>
        <w:t xml:space="preserve">, </w:t>
      </w:r>
      <w:r w:rsidRPr="00DD687C">
        <w:rPr>
          <w:rFonts w:cs="Arial" w:hint="cs"/>
          <w:sz w:val="18"/>
          <w:szCs w:val="18"/>
          <w:rtl/>
        </w:rPr>
        <w:t>הגט</w:t>
      </w:r>
      <w:r w:rsidRPr="00DD687C">
        <w:rPr>
          <w:rFonts w:cs="Arial"/>
          <w:sz w:val="18"/>
          <w:szCs w:val="18"/>
          <w:rtl/>
        </w:rPr>
        <w:t xml:space="preserve"> </w:t>
      </w:r>
      <w:r w:rsidRPr="00DD687C">
        <w:rPr>
          <w:rFonts w:cs="Arial" w:hint="cs"/>
          <w:sz w:val="18"/>
          <w:szCs w:val="18"/>
          <w:rtl/>
        </w:rPr>
        <w:t>כשר</w:t>
      </w:r>
      <w:r w:rsidRPr="00DD687C">
        <w:rPr>
          <w:rFonts w:cs="Arial"/>
          <w:sz w:val="18"/>
          <w:szCs w:val="18"/>
          <w:rtl/>
        </w:rPr>
        <w:t xml:space="preserve"> (</w:t>
      </w:r>
      <w:r w:rsidRPr="00DD687C">
        <w:rPr>
          <w:rFonts w:cs="Arial" w:hint="cs"/>
          <w:sz w:val="18"/>
          <w:szCs w:val="18"/>
          <w:rtl/>
        </w:rPr>
        <w:t>מהרי</w:t>
      </w:r>
      <w:r w:rsidRPr="00DD687C">
        <w:rPr>
          <w:rFonts w:cs="Arial"/>
          <w:sz w:val="18"/>
          <w:szCs w:val="18"/>
          <w:rtl/>
        </w:rPr>
        <w:t>"</w:t>
      </w:r>
      <w:r w:rsidRPr="00DD687C">
        <w:rPr>
          <w:rFonts w:cs="Arial" w:hint="cs"/>
          <w:sz w:val="18"/>
          <w:szCs w:val="18"/>
          <w:rtl/>
        </w:rPr>
        <w:t>ק</w:t>
      </w:r>
      <w:r w:rsidRPr="00DD687C">
        <w:rPr>
          <w:rFonts w:cs="Arial"/>
          <w:sz w:val="18"/>
          <w:szCs w:val="18"/>
          <w:rtl/>
        </w:rPr>
        <w:t xml:space="preserve"> </w:t>
      </w:r>
      <w:r w:rsidRPr="00DD687C">
        <w:rPr>
          <w:rFonts w:cs="Arial" w:hint="cs"/>
          <w:sz w:val="18"/>
          <w:szCs w:val="18"/>
          <w:rtl/>
        </w:rPr>
        <w:t>שורש</w:t>
      </w:r>
      <w:r w:rsidRPr="00DD687C">
        <w:rPr>
          <w:rFonts w:cs="Arial"/>
          <w:sz w:val="18"/>
          <w:szCs w:val="18"/>
          <w:rtl/>
        </w:rPr>
        <w:t xml:space="preserve"> </w:t>
      </w:r>
      <w:r w:rsidRPr="00DD687C">
        <w:rPr>
          <w:rFonts w:cs="Arial" w:hint="cs"/>
          <w:sz w:val="18"/>
          <w:szCs w:val="18"/>
          <w:rtl/>
        </w:rPr>
        <w:t>כו</w:t>
      </w:r>
      <w:r w:rsidRPr="00DD687C">
        <w:rPr>
          <w:rFonts w:cs="Arial"/>
          <w:sz w:val="18"/>
          <w:szCs w:val="18"/>
          <w:rtl/>
        </w:rPr>
        <w:t>).</w:t>
      </w:r>
      <w:r>
        <w:rPr>
          <w:rFonts w:cs="Arial"/>
          <w:rtl/>
        </w:rPr>
        <w:t xml:space="preserve"> </w:t>
      </w:r>
    </w:p>
    <w:p w14:paraId="4B55D7B8" w14:textId="77777777" w:rsidR="00FA2119" w:rsidRDefault="00FA2119" w:rsidP="00FA2119">
      <w:pPr>
        <w:rPr>
          <w:rtl/>
        </w:rPr>
      </w:pPr>
    </w:p>
    <w:p w14:paraId="37417FF7" w14:textId="77777777" w:rsidR="00FA2119" w:rsidRDefault="00FA2119" w:rsidP="00FA2119">
      <w:pPr>
        <w:pStyle w:val="2"/>
        <w:rPr>
          <w:rtl/>
        </w:rPr>
      </w:pPr>
      <w:r>
        <w:rPr>
          <w:rFonts w:hint="cs"/>
          <w:rtl/>
        </w:rPr>
        <w:t>סעיף</w:t>
      </w:r>
      <w:r>
        <w:rPr>
          <w:rtl/>
        </w:rPr>
        <w:t xml:space="preserve"> </w:t>
      </w:r>
      <w:r>
        <w:rPr>
          <w:rFonts w:hint="cs"/>
          <w:rtl/>
        </w:rPr>
        <w:t>לא: וכל שום דאית לי ולאבהתי.</w:t>
      </w:r>
    </w:p>
    <w:p w14:paraId="66D70391" w14:textId="77777777" w:rsidR="00FA2119" w:rsidRDefault="00FA2119" w:rsidP="00FA2119">
      <w:pPr>
        <w:rPr>
          <w:rFonts w:cs="Arial"/>
          <w:rtl/>
        </w:rPr>
      </w:pPr>
      <w:r>
        <w:rPr>
          <w:rFonts w:hint="cs"/>
          <w:u w:val="single"/>
          <w:rtl/>
        </w:rPr>
        <w:t xml:space="preserve">האם צריך להזכיר את הכינוי של האבא </w:t>
      </w:r>
      <w:r w:rsidRPr="00A94CEA">
        <w:rPr>
          <w:rFonts w:hint="cs"/>
          <w:sz w:val="16"/>
          <w:szCs w:val="16"/>
          <w:u w:val="single"/>
          <w:rtl/>
        </w:rPr>
        <w:t xml:space="preserve">(וכל שום דאית לי </w:t>
      </w:r>
      <w:r w:rsidRPr="00A94CEA">
        <w:rPr>
          <w:rFonts w:hint="cs"/>
          <w:b/>
          <w:bCs/>
          <w:sz w:val="16"/>
          <w:szCs w:val="16"/>
          <w:u w:val="single"/>
          <w:rtl/>
        </w:rPr>
        <w:t>ולאבהתי</w:t>
      </w:r>
      <w:r w:rsidRPr="00A94CEA">
        <w:rPr>
          <w:rFonts w:cs="Arial" w:hint="cs"/>
          <w:sz w:val="16"/>
          <w:szCs w:val="16"/>
          <w:u w:val="single"/>
          <w:rtl/>
        </w:rPr>
        <w:t>)</w:t>
      </w:r>
      <w:r w:rsidRPr="007F0EAB">
        <w:rPr>
          <w:rFonts w:cs="Arial" w:hint="cs"/>
          <w:u w:val="single"/>
          <w:rtl/>
        </w:rPr>
        <w:t>:</w:t>
      </w:r>
    </w:p>
    <w:p w14:paraId="61B0AD89" w14:textId="78547B25" w:rsidR="00FA2119" w:rsidRPr="00A904E4" w:rsidRDefault="00FA2119" w:rsidP="00FA2119">
      <w:pPr>
        <w:pStyle w:val="ab"/>
        <w:numPr>
          <w:ilvl w:val="0"/>
          <w:numId w:val="55"/>
        </w:numPr>
      </w:pPr>
      <w:r>
        <w:rPr>
          <w:rFonts w:cs="Arial" w:hint="cs"/>
          <w:rtl/>
        </w:rPr>
        <w:t xml:space="preserve">רמב"ם </w:t>
      </w:r>
      <w:r>
        <w:rPr>
          <w:rFonts w:cs="Arial" w:hint="cs"/>
          <w:sz w:val="16"/>
          <w:szCs w:val="16"/>
          <w:rtl/>
        </w:rPr>
        <w:t>(פ"ד הי"ב)</w:t>
      </w:r>
      <w:r w:rsidRPr="00A94CEA">
        <w:rPr>
          <w:rFonts w:cs="Arial" w:hint="cs"/>
          <w:rtl/>
        </w:rPr>
        <w:t xml:space="preserve"> </w:t>
      </w:r>
      <w:r>
        <w:rPr>
          <w:rFonts w:cs="Arial" w:hint="cs"/>
          <w:rtl/>
        </w:rPr>
        <w:t xml:space="preserve">ורי"ו </w:t>
      </w:r>
      <w:r w:rsidRPr="008253B0">
        <w:rPr>
          <w:rFonts w:cs="Arial"/>
          <w:sz w:val="16"/>
          <w:szCs w:val="16"/>
          <w:rtl/>
        </w:rPr>
        <w:t>(נכ"ד ח"ב רו ע"ד)</w:t>
      </w:r>
      <w:r>
        <w:rPr>
          <w:rStyle w:val="a7"/>
          <w:rFonts w:cs="Arial"/>
          <w:rtl/>
        </w:rPr>
        <w:footnoteReference w:id="801"/>
      </w:r>
      <w:r w:rsidR="00A82951">
        <w:rPr>
          <w:rFonts w:cs="Arial" w:hint="cs"/>
          <w:rtl/>
        </w:rPr>
        <w:t>-</w:t>
      </w:r>
      <w:r>
        <w:rPr>
          <w:rFonts w:cs="Arial" w:hint="cs"/>
          <w:rtl/>
        </w:rPr>
        <w:t xml:space="preserve"> </w:t>
      </w:r>
      <w:r w:rsidRPr="00A94CEA">
        <w:rPr>
          <w:rFonts w:cs="Arial"/>
          <w:rtl/>
        </w:rPr>
        <w:t xml:space="preserve">אנא פלוני בר פלוני דממקום פלוני </w:t>
      </w:r>
      <w:r w:rsidRPr="00A904E4">
        <w:rPr>
          <w:rFonts w:cs="Arial"/>
          <w:rtl/>
        </w:rPr>
        <w:t>וכל שום אחרן וחניכה דאית לי ולאבהתי</w:t>
      </w:r>
      <w:r>
        <w:rPr>
          <w:rStyle w:val="a7"/>
          <w:rFonts w:cs="Arial"/>
          <w:rtl/>
        </w:rPr>
        <w:footnoteReference w:id="802"/>
      </w:r>
      <w:r>
        <w:rPr>
          <w:rFonts w:cs="Arial" w:hint="cs"/>
          <w:sz w:val="16"/>
          <w:szCs w:val="16"/>
          <w:rtl/>
        </w:rPr>
        <w:t xml:space="preserve"> (ל' הרמב"ם)</w:t>
      </w:r>
      <w:r>
        <w:rPr>
          <w:rFonts w:cs="Arial" w:hint="cs"/>
          <w:rtl/>
        </w:rPr>
        <w:t>.</w:t>
      </w:r>
      <w:r w:rsidRPr="002D1848">
        <w:rPr>
          <w:rFonts w:cs="Arial"/>
          <w:rtl/>
        </w:rPr>
        <w:t xml:space="preserve"> </w:t>
      </w:r>
      <w:r w:rsidRPr="002D1848">
        <w:rPr>
          <w:rFonts w:cs="Arial" w:hint="cs"/>
          <w:color w:val="E36C0A" w:themeColor="accent6" w:themeShade="BF"/>
          <w:rtl/>
        </w:rPr>
        <w:t>(וכ"פ בשו"ע)</w:t>
      </w:r>
    </w:p>
    <w:p w14:paraId="159FBF1E" w14:textId="77777777" w:rsidR="007B539B" w:rsidRPr="007B539B" w:rsidRDefault="00FA2119" w:rsidP="00FA2119">
      <w:pPr>
        <w:pStyle w:val="ab"/>
        <w:numPr>
          <w:ilvl w:val="0"/>
          <w:numId w:val="55"/>
        </w:numPr>
      </w:pPr>
      <w:r>
        <w:rPr>
          <w:rFonts w:cs="Arial" w:hint="cs"/>
          <w:rtl/>
        </w:rPr>
        <w:t xml:space="preserve">רי"ף </w:t>
      </w:r>
      <w:r>
        <w:rPr>
          <w:rFonts w:cs="Arial" w:hint="cs"/>
          <w:sz w:val="16"/>
          <w:szCs w:val="16"/>
          <w:rtl/>
        </w:rPr>
        <w:t>(גיטין מה:)</w:t>
      </w:r>
      <w:r w:rsidR="007B539B">
        <w:rPr>
          <w:rFonts w:cs="Arial" w:hint="cs"/>
          <w:rtl/>
        </w:rPr>
        <w:t xml:space="preserve">- </w:t>
      </w:r>
      <w:r w:rsidRPr="00A94CEA">
        <w:rPr>
          <w:rFonts w:cs="Arial"/>
          <w:rtl/>
        </w:rPr>
        <w:t>אנא פלוני בר פלוני וכל שום דאית לי דממתא פלונית</w:t>
      </w:r>
      <w:r>
        <w:rPr>
          <w:rFonts w:cs="Arial" w:hint="cs"/>
          <w:rtl/>
        </w:rPr>
        <w:t>.</w:t>
      </w:r>
    </w:p>
    <w:p w14:paraId="51FE5522" w14:textId="4881FEF2" w:rsidR="00FA2119" w:rsidRPr="00A94CEA" w:rsidRDefault="007B539B" w:rsidP="00FA2119">
      <w:pPr>
        <w:pStyle w:val="ab"/>
        <w:numPr>
          <w:ilvl w:val="0"/>
          <w:numId w:val="55"/>
        </w:numPr>
      </w:pPr>
      <w:r>
        <w:rPr>
          <w:rFonts w:cs="Arial" w:hint="cs"/>
          <w:rtl/>
        </w:rPr>
        <w:t>רא"ש</w:t>
      </w:r>
      <w:r>
        <w:rPr>
          <w:rFonts w:cs="Arial" w:hint="cs"/>
          <w:sz w:val="16"/>
          <w:szCs w:val="16"/>
          <w:rtl/>
        </w:rPr>
        <w:t xml:space="preserve"> (סדר הגט)</w:t>
      </w:r>
      <w:r>
        <w:rPr>
          <w:rFonts w:cs="Arial" w:hint="cs"/>
          <w:rtl/>
        </w:rPr>
        <w:t xml:space="preserve">- </w:t>
      </w:r>
      <w:r w:rsidRPr="007B539B">
        <w:rPr>
          <w:rFonts w:cs="Arial"/>
          <w:rtl/>
        </w:rPr>
        <w:t>אנא פלוני בר פלוני דממתא פלוני דיתבא על נהר פלוני וכל שום אחרא וחניכא דאית לי ולאתרי</w:t>
      </w:r>
      <w:r>
        <w:rPr>
          <w:rFonts w:cs="Arial" w:hint="cs"/>
          <w:rtl/>
        </w:rPr>
        <w:t>.</w:t>
      </w:r>
      <w:r w:rsidR="00FA2119" w:rsidRPr="00A94CEA">
        <w:rPr>
          <w:rFonts w:cs="Arial"/>
          <w:rtl/>
        </w:rPr>
        <w:t xml:space="preserve"> </w:t>
      </w:r>
    </w:p>
    <w:p w14:paraId="2514D690"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B782AA8" w14:textId="77777777" w:rsidR="00FA2119" w:rsidRDefault="00FA2119" w:rsidP="00FA2119">
      <w:pPr>
        <w:rPr>
          <w:rtl/>
        </w:rPr>
      </w:pPr>
      <w:r>
        <w:rPr>
          <w:rFonts w:cs="Arial" w:hint="cs"/>
          <w:rtl/>
        </w:rPr>
        <w:t>נהגו</w:t>
      </w:r>
      <w:r>
        <w:rPr>
          <w:rFonts w:cs="Arial"/>
          <w:rtl/>
        </w:rPr>
        <w:t xml:space="preserve"> </w:t>
      </w:r>
      <w:r>
        <w:rPr>
          <w:rFonts w:cs="Arial" w:hint="cs"/>
          <w:rtl/>
        </w:rPr>
        <w:t>לכתוב</w:t>
      </w:r>
      <w:r>
        <w:rPr>
          <w:rFonts w:cs="Arial"/>
          <w:rtl/>
        </w:rPr>
        <w:t xml:space="preserve">: </w:t>
      </w:r>
      <w:r>
        <w:rPr>
          <w:rFonts w:cs="Arial" w:hint="cs"/>
          <w:rtl/>
        </w:rPr>
        <w:t>וכל</w:t>
      </w:r>
      <w:r>
        <w:rPr>
          <w:rFonts w:cs="Arial"/>
          <w:rtl/>
        </w:rPr>
        <w:t xml:space="preserve"> </w:t>
      </w:r>
      <w:r>
        <w:rPr>
          <w:rFonts w:cs="Arial" w:hint="cs"/>
          <w:rtl/>
        </w:rPr>
        <w:t>שום</w:t>
      </w:r>
      <w:r>
        <w:rPr>
          <w:rFonts w:cs="Arial"/>
          <w:rtl/>
        </w:rPr>
        <w:t xml:space="preserve"> </w:t>
      </w:r>
      <w:r>
        <w:rPr>
          <w:rFonts w:cs="Arial" w:hint="cs"/>
          <w:rtl/>
        </w:rPr>
        <w:t>דאית</w:t>
      </w:r>
      <w:r>
        <w:rPr>
          <w:rFonts w:cs="Arial"/>
          <w:rtl/>
        </w:rPr>
        <w:t xml:space="preserve"> </w:t>
      </w:r>
      <w:r>
        <w:rPr>
          <w:rFonts w:cs="Arial" w:hint="cs"/>
          <w:rtl/>
        </w:rPr>
        <w:t>לי</w:t>
      </w:r>
      <w:r>
        <w:rPr>
          <w:rFonts w:cs="Arial"/>
          <w:rtl/>
        </w:rPr>
        <w:t xml:space="preserve"> </w:t>
      </w:r>
      <w:r>
        <w:rPr>
          <w:rFonts w:cs="Arial" w:hint="cs"/>
          <w:rtl/>
        </w:rPr>
        <w:t>ולאבהתי</w:t>
      </w:r>
      <w:r>
        <w:rPr>
          <w:rFonts w:cs="Arial"/>
          <w:rtl/>
        </w:rPr>
        <w:t xml:space="preserve">. </w:t>
      </w:r>
    </w:p>
    <w:p w14:paraId="3C09286D" w14:textId="77777777" w:rsidR="00FA2119" w:rsidRDefault="00FA2119" w:rsidP="00FA2119">
      <w:pPr>
        <w:rPr>
          <w:rtl/>
        </w:rPr>
      </w:pPr>
    </w:p>
    <w:p w14:paraId="4660BCAE" w14:textId="77777777" w:rsidR="00FA2119" w:rsidRDefault="00FA2119" w:rsidP="00FA2119">
      <w:pPr>
        <w:pStyle w:val="2"/>
        <w:rPr>
          <w:rtl/>
        </w:rPr>
      </w:pPr>
      <w:r>
        <w:rPr>
          <w:rFonts w:hint="cs"/>
          <w:rtl/>
        </w:rPr>
        <w:t>סעיף</w:t>
      </w:r>
      <w:r>
        <w:rPr>
          <w:rtl/>
        </w:rPr>
        <w:t xml:space="preserve"> </w:t>
      </w:r>
      <w:r>
        <w:rPr>
          <w:rFonts w:hint="cs"/>
          <w:rtl/>
        </w:rPr>
        <w:t>לב: בדלא אניסנא.</w:t>
      </w:r>
    </w:p>
    <w:p w14:paraId="08334C4F" w14:textId="77777777" w:rsidR="00FA2119" w:rsidRPr="00570E9C" w:rsidRDefault="00FA2119" w:rsidP="00FA2119">
      <w:pPr>
        <w:rPr>
          <w:u w:val="single"/>
          <w:rtl/>
        </w:rPr>
      </w:pPr>
      <w:r w:rsidRPr="00570E9C">
        <w:rPr>
          <w:rFonts w:cs="Arial"/>
          <w:u w:val="single"/>
          <w:rtl/>
        </w:rPr>
        <w:t xml:space="preserve">כתב </w:t>
      </w:r>
      <w:r>
        <w:rPr>
          <w:rFonts w:cs="Arial" w:hint="cs"/>
          <w:u w:val="single"/>
          <w:rtl/>
        </w:rPr>
        <w:t>'</w:t>
      </w:r>
      <w:r w:rsidRPr="00570E9C">
        <w:rPr>
          <w:rFonts w:cs="Arial"/>
          <w:u w:val="single"/>
          <w:rtl/>
        </w:rPr>
        <w:t>בדלא אניס</w:t>
      </w:r>
      <w:r>
        <w:rPr>
          <w:rFonts w:cs="Arial" w:hint="cs"/>
          <w:u w:val="single"/>
          <w:rtl/>
        </w:rPr>
        <w:t>'</w:t>
      </w:r>
      <w:r w:rsidRPr="00570E9C">
        <w:rPr>
          <w:rFonts w:cs="Arial"/>
          <w:u w:val="single"/>
          <w:rtl/>
        </w:rPr>
        <w:t xml:space="preserve"> במקום </w:t>
      </w:r>
      <w:r>
        <w:rPr>
          <w:rFonts w:cs="Arial" w:hint="cs"/>
          <w:u w:val="single"/>
          <w:rtl/>
        </w:rPr>
        <w:t>'</w:t>
      </w:r>
      <w:r w:rsidRPr="00570E9C">
        <w:rPr>
          <w:rFonts w:cs="Arial"/>
          <w:u w:val="single"/>
          <w:rtl/>
        </w:rPr>
        <w:t>בדלא אניסנא</w:t>
      </w:r>
      <w:r>
        <w:rPr>
          <w:rFonts w:cs="Arial" w:hint="cs"/>
          <w:u w:val="single"/>
          <w:rtl/>
        </w:rPr>
        <w:t>'</w:t>
      </w:r>
      <w:r w:rsidRPr="00570E9C">
        <w:rPr>
          <w:rFonts w:hint="cs"/>
          <w:u w:val="single"/>
          <w:rtl/>
        </w:rPr>
        <w:t>:</w:t>
      </w:r>
    </w:p>
    <w:p w14:paraId="33033829" w14:textId="76705522" w:rsidR="00FA2119" w:rsidRPr="00AF1304" w:rsidRDefault="00FA2119" w:rsidP="00FA2119">
      <w:pPr>
        <w:pStyle w:val="ab"/>
        <w:numPr>
          <w:ilvl w:val="0"/>
          <w:numId w:val="56"/>
        </w:numPr>
        <w:rPr>
          <w:rtl/>
        </w:rPr>
      </w:pPr>
      <w:r w:rsidRPr="00570E9C">
        <w:rPr>
          <w:rFonts w:cs="Arial" w:hint="cs"/>
          <w:rtl/>
        </w:rPr>
        <w:t>רי"ו</w:t>
      </w:r>
      <w:r w:rsidRPr="00570E9C">
        <w:rPr>
          <w:rFonts w:cs="Arial" w:hint="cs"/>
          <w:sz w:val="16"/>
          <w:szCs w:val="16"/>
          <w:rtl/>
        </w:rPr>
        <w:t xml:space="preserve"> </w:t>
      </w:r>
      <w:r w:rsidRPr="00570E9C">
        <w:rPr>
          <w:rFonts w:cs="Arial"/>
          <w:sz w:val="16"/>
          <w:szCs w:val="16"/>
          <w:rtl/>
        </w:rPr>
        <w:t>(</w:t>
      </w:r>
      <w:r w:rsidRPr="00570E9C">
        <w:rPr>
          <w:rFonts w:cs="Arial" w:hint="cs"/>
          <w:sz w:val="16"/>
          <w:szCs w:val="16"/>
          <w:rtl/>
        </w:rPr>
        <w:t xml:space="preserve">ח"ב </w:t>
      </w:r>
      <w:r w:rsidRPr="00570E9C">
        <w:rPr>
          <w:rFonts w:cs="Arial"/>
          <w:sz w:val="16"/>
          <w:szCs w:val="16"/>
          <w:rtl/>
        </w:rPr>
        <w:t>שם רה ע"ג)</w:t>
      </w:r>
      <w:r w:rsidR="00A82951">
        <w:rPr>
          <w:rFonts w:cs="Arial" w:hint="cs"/>
          <w:rtl/>
        </w:rPr>
        <w:t>-</w:t>
      </w:r>
      <w:r w:rsidRPr="00570E9C">
        <w:rPr>
          <w:rFonts w:cs="Arial" w:hint="cs"/>
          <w:rtl/>
        </w:rPr>
        <w:t xml:space="preserve"> </w:t>
      </w:r>
      <w:r w:rsidRPr="00570E9C">
        <w:rPr>
          <w:rFonts w:cs="Arial"/>
          <w:rtl/>
        </w:rPr>
        <w:t xml:space="preserve">אם כתב </w:t>
      </w:r>
      <w:r w:rsidR="007B539B">
        <w:rPr>
          <w:rFonts w:cs="Arial" w:hint="cs"/>
          <w:rtl/>
        </w:rPr>
        <w:t>"</w:t>
      </w:r>
      <w:r w:rsidRPr="00570E9C">
        <w:rPr>
          <w:rFonts w:cs="Arial"/>
          <w:rtl/>
        </w:rPr>
        <w:t>בדלא אניס</w:t>
      </w:r>
      <w:r w:rsidR="007B539B">
        <w:rPr>
          <w:rFonts w:cs="Arial" w:hint="cs"/>
          <w:rtl/>
        </w:rPr>
        <w:t>"</w:t>
      </w:r>
      <w:r w:rsidRPr="00570E9C">
        <w:rPr>
          <w:rFonts w:cs="Arial"/>
          <w:rtl/>
        </w:rPr>
        <w:t xml:space="preserve"> במקום </w:t>
      </w:r>
      <w:r w:rsidR="007B539B">
        <w:rPr>
          <w:rFonts w:cs="Arial" w:hint="cs"/>
          <w:rtl/>
        </w:rPr>
        <w:t>"</w:t>
      </w:r>
      <w:r w:rsidRPr="00570E9C">
        <w:rPr>
          <w:rFonts w:cs="Arial"/>
          <w:rtl/>
        </w:rPr>
        <w:t>בדלא אניסנא</w:t>
      </w:r>
      <w:r w:rsidR="007B539B">
        <w:rPr>
          <w:rFonts w:cs="Arial" w:hint="cs"/>
          <w:rtl/>
        </w:rPr>
        <w:t>"</w:t>
      </w:r>
      <w:r w:rsidRPr="00570E9C">
        <w:rPr>
          <w:rFonts w:cs="Arial"/>
          <w:rtl/>
        </w:rPr>
        <w:t xml:space="preserve"> </w:t>
      </w:r>
      <w:r w:rsidR="00A82951">
        <w:rPr>
          <w:rFonts w:cs="Arial" w:hint="cs"/>
          <w:rtl/>
        </w:rPr>
        <w:t>-</w:t>
      </w:r>
      <w:r w:rsidRPr="00570E9C">
        <w:rPr>
          <w:rFonts w:cs="Arial" w:hint="cs"/>
          <w:rtl/>
        </w:rPr>
        <w:t xml:space="preserve"> </w:t>
      </w:r>
      <w:r w:rsidRPr="00570E9C">
        <w:rPr>
          <w:rFonts w:cs="Arial"/>
          <w:rtl/>
        </w:rPr>
        <w:t>אינו פסול</w:t>
      </w:r>
      <w:r w:rsidRPr="00570E9C">
        <w:rPr>
          <w:rFonts w:cs="Arial" w:hint="cs"/>
          <w:rtl/>
        </w:rPr>
        <w:t>.</w:t>
      </w:r>
      <w:r w:rsidRPr="002D1848">
        <w:rPr>
          <w:rFonts w:cs="Arial"/>
          <w:rtl/>
        </w:rPr>
        <w:t xml:space="preserve"> </w:t>
      </w:r>
      <w:r w:rsidRPr="002D1848">
        <w:rPr>
          <w:rFonts w:cs="Arial" w:hint="cs"/>
          <w:color w:val="E36C0A" w:themeColor="accent6" w:themeShade="BF"/>
          <w:rtl/>
        </w:rPr>
        <w:t>(וכ"פ בשו"ע)</w:t>
      </w:r>
    </w:p>
    <w:p w14:paraId="1D8E3EFC"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51304F6" w14:textId="77777777" w:rsidR="00FA2119" w:rsidRDefault="00FA2119" w:rsidP="00FA2119">
      <w:pPr>
        <w:rPr>
          <w:rFonts w:cs="Arial"/>
          <w:rtl/>
        </w:rPr>
      </w:pPr>
      <w:r>
        <w:rPr>
          <w:rFonts w:cs="Arial" w:hint="cs"/>
          <w:rtl/>
        </w:rPr>
        <w:t>אם</w:t>
      </w:r>
      <w:r>
        <w:rPr>
          <w:rFonts w:cs="Arial"/>
          <w:rtl/>
        </w:rPr>
        <w:t xml:space="preserve"> </w:t>
      </w:r>
      <w:r>
        <w:rPr>
          <w:rFonts w:cs="Arial" w:hint="cs"/>
          <w:rtl/>
        </w:rPr>
        <w:t>כתב</w:t>
      </w:r>
      <w:r>
        <w:rPr>
          <w:rFonts w:cs="Arial"/>
          <w:rtl/>
        </w:rPr>
        <w:t xml:space="preserve">: </w:t>
      </w:r>
      <w:r>
        <w:rPr>
          <w:rFonts w:cs="Arial" w:hint="cs"/>
          <w:rtl/>
        </w:rPr>
        <w:t>בדלא</w:t>
      </w:r>
      <w:r>
        <w:rPr>
          <w:rFonts w:cs="Arial"/>
          <w:rtl/>
        </w:rPr>
        <w:t xml:space="preserve"> </w:t>
      </w:r>
      <w:r>
        <w:rPr>
          <w:rFonts w:cs="Arial" w:hint="cs"/>
          <w:rtl/>
        </w:rPr>
        <w:t>אניס</w:t>
      </w:r>
      <w:r>
        <w:rPr>
          <w:rFonts w:cs="Arial"/>
          <w:rtl/>
        </w:rPr>
        <w:t xml:space="preserve">, </w:t>
      </w:r>
      <w:r>
        <w:rPr>
          <w:rFonts w:cs="Arial" w:hint="cs"/>
          <w:rtl/>
        </w:rPr>
        <w:t>במקום</w:t>
      </w:r>
      <w:r>
        <w:rPr>
          <w:rFonts w:cs="Arial"/>
          <w:rtl/>
        </w:rPr>
        <w:t xml:space="preserve"> </w:t>
      </w:r>
      <w:r>
        <w:rPr>
          <w:rFonts w:cs="Arial" w:hint="cs"/>
          <w:rtl/>
        </w:rPr>
        <w:t>בדלא</w:t>
      </w:r>
      <w:r>
        <w:rPr>
          <w:rFonts w:cs="Arial"/>
          <w:rtl/>
        </w:rPr>
        <w:t xml:space="preserve"> </w:t>
      </w:r>
      <w:r>
        <w:rPr>
          <w:rFonts w:cs="Arial" w:hint="cs"/>
          <w:rtl/>
        </w:rPr>
        <w:t>אניסנא</w:t>
      </w:r>
      <w:r>
        <w:rPr>
          <w:rFonts w:cs="Arial"/>
          <w:rtl/>
        </w:rPr>
        <w:t xml:space="preserve">, </w:t>
      </w:r>
      <w:r>
        <w:rPr>
          <w:rFonts w:cs="Arial" w:hint="cs"/>
          <w:rtl/>
        </w:rPr>
        <w:t>לא</w:t>
      </w:r>
      <w:r>
        <w:rPr>
          <w:rFonts w:cs="Arial"/>
          <w:rtl/>
        </w:rPr>
        <w:t xml:space="preserve"> </w:t>
      </w:r>
      <w:r>
        <w:rPr>
          <w:rFonts w:cs="Arial" w:hint="cs"/>
          <w:rtl/>
        </w:rPr>
        <w:t>נפסל</w:t>
      </w:r>
      <w:r>
        <w:rPr>
          <w:rFonts w:cs="Arial"/>
          <w:rtl/>
        </w:rPr>
        <w:t xml:space="preserve">. </w:t>
      </w:r>
      <w:r>
        <w:rPr>
          <w:rFonts w:cs="Arial" w:hint="cs"/>
          <w:sz w:val="18"/>
          <w:szCs w:val="18"/>
          <w:rtl/>
        </w:rPr>
        <w:t xml:space="preserve">[הגה] </w:t>
      </w:r>
      <w:r w:rsidRPr="005066DE">
        <w:rPr>
          <w:rFonts w:cs="Arial" w:hint="cs"/>
          <w:sz w:val="18"/>
          <w:szCs w:val="18"/>
          <w:rtl/>
        </w:rPr>
        <w:t>וכותבין</w:t>
      </w:r>
      <w:r w:rsidRPr="005066DE">
        <w:rPr>
          <w:rFonts w:cs="Arial"/>
          <w:sz w:val="18"/>
          <w:szCs w:val="18"/>
          <w:rtl/>
        </w:rPr>
        <w:t xml:space="preserve">: </w:t>
      </w:r>
      <w:r w:rsidRPr="005066DE">
        <w:rPr>
          <w:rFonts w:cs="Arial" w:hint="cs"/>
          <w:sz w:val="18"/>
          <w:szCs w:val="18"/>
          <w:rtl/>
        </w:rPr>
        <w:t>אניסנא</w:t>
      </w:r>
      <w:r w:rsidRPr="005066DE">
        <w:rPr>
          <w:rFonts w:cs="Arial"/>
          <w:sz w:val="18"/>
          <w:szCs w:val="18"/>
          <w:rtl/>
        </w:rPr>
        <w:t xml:space="preserve">, </w:t>
      </w:r>
      <w:r w:rsidRPr="005066DE">
        <w:rPr>
          <w:rFonts w:cs="Arial" w:hint="cs"/>
          <w:sz w:val="18"/>
          <w:szCs w:val="18"/>
          <w:rtl/>
        </w:rPr>
        <w:t>מלא</w:t>
      </w:r>
      <w:r w:rsidRPr="005066DE">
        <w:rPr>
          <w:rFonts w:cs="Arial"/>
          <w:sz w:val="18"/>
          <w:szCs w:val="18"/>
          <w:rtl/>
        </w:rPr>
        <w:t xml:space="preserve">, </w:t>
      </w:r>
      <w:r w:rsidRPr="005066DE">
        <w:rPr>
          <w:rFonts w:cs="Arial" w:hint="cs"/>
          <w:sz w:val="18"/>
          <w:szCs w:val="18"/>
          <w:rtl/>
        </w:rPr>
        <w:t>ביו</w:t>
      </w:r>
      <w:r w:rsidRPr="005066DE">
        <w:rPr>
          <w:rFonts w:cs="Arial"/>
          <w:sz w:val="18"/>
          <w:szCs w:val="18"/>
          <w:rtl/>
        </w:rPr>
        <w:t>"</w:t>
      </w:r>
      <w:r w:rsidRPr="005066DE">
        <w:rPr>
          <w:rFonts w:cs="Arial" w:hint="cs"/>
          <w:sz w:val="18"/>
          <w:szCs w:val="18"/>
          <w:rtl/>
        </w:rPr>
        <w:t>ד</w:t>
      </w:r>
      <w:r w:rsidRPr="005066DE">
        <w:rPr>
          <w:rFonts w:cs="Arial"/>
          <w:sz w:val="18"/>
          <w:szCs w:val="18"/>
          <w:rtl/>
        </w:rPr>
        <w:t xml:space="preserve"> </w:t>
      </w:r>
      <w:r w:rsidRPr="005066DE">
        <w:rPr>
          <w:rFonts w:cs="Arial" w:hint="cs"/>
          <w:sz w:val="18"/>
          <w:szCs w:val="18"/>
          <w:rtl/>
        </w:rPr>
        <w:t>אצל</w:t>
      </w:r>
      <w:r w:rsidRPr="005066DE">
        <w:rPr>
          <w:rFonts w:cs="Arial"/>
          <w:sz w:val="18"/>
          <w:szCs w:val="18"/>
          <w:rtl/>
        </w:rPr>
        <w:t xml:space="preserve"> </w:t>
      </w:r>
      <w:r w:rsidRPr="005066DE">
        <w:rPr>
          <w:rFonts w:cs="Arial" w:hint="cs"/>
          <w:sz w:val="18"/>
          <w:szCs w:val="18"/>
          <w:rtl/>
        </w:rPr>
        <w:t>הנו</w:t>
      </w:r>
      <w:r w:rsidRPr="005066DE">
        <w:rPr>
          <w:rFonts w:cs="Arial"/>
          <w:sz w:val="18"/>
          <w:szCs w:val="18"/>
          <w:rtl/>
        </w:rPr>
        <w:t>"</w:t>
      </w:r>
      <w:r w:rsidRPr="005066DE">
        <w:rPr>
          <w:rFonts w:cs="Arial" w:hint="cs"/>
          <w:sz w:val="18"/>
          <w:szCs w:val="18"/>
          <w:rtl/>
        </w:rPr>
        <w:t>ן</w:t>
      </w:r>
      <w:r w:rsidRPr="005066DE">
        <w:rPr>
          <w:rFonts w:cs="Arial"/>
          <w:sz w:val="18"/>
          <w:szCs w:val="18"/>
          <w:rtl/>
        </w:rPr>
        <w:t xml:space="preserve"> (</w:t>
      </w:r>
      <w:r w:rsidRPr="005066DE">
        <w:rPr>
          <w:rFonts w:cs="Arial" w:hint="cs"/>
          <w:sz w:val="18"/>
          <w:szCs w:val="18"/>
          <w:rtl/>
        </w:rPr>
        <w:t>מהרי</w:t>
      </w:r>
      <w:r w:rsidRPr="005066DE">
        <w:rPr>
          <w:rFonts w:cs="Arial"/>
          <w:sz w:val="18"/>
          <w:szCs w:val="18"/>
          <w:rtl/>
        </w:rPr>
        <w:t>"</w:t>
      </w:r>
      <w:r w:rsidRPr="005066DE">
        <w:rPr>
          <w:rFonts w:cs="Arial" w:hint="cs"/>
          <w:sz w:val="18"/>
          <w:szCs w:val="18"/>
          <w:rtl/>
        </w:rPr>
        <w:t>ו</w:t>
      </w:r>
      <w:r w:rsidRPr="005066DE">
        <w:rPr>
          <w:rFonts w:cs="Arial"/>
          <w:sz w:val="18"/>
          <w:szCs w:val="18"/>
          <w:rtl/>
        </w:rPr>
        <w:t>).</w:t>
      </w:r>
    </w:p>
    <w:p w14:paraId="75B25324" w14:textId="77777777" w:rsidR="00FA2119" w:rsidRDefault="00FA2119" w:rsidP="00FA2119">
      <w:pPr>
        <w:rPr>
          <w:rtl/>
        </w:rPr>
      </w:pPr>
      <w:r>
        <w:rPr>
          <w:rFonts w:cs="Arial"/>
          <w:rtl/>
        </w:rPr>
        <w:t xml:space="preserve"> </w:t>
      </w:r>
    </w:p>
    <w:p w14:paraId="552C7CFE" w14:textId="77777777" w:rsidR="00FA2119" w:rsidRDefault="00FA2119" w:rsidP="00FA2119">
      <w:pPr>
        <w:pStyle w:val="2"/>
        <w:rPr>
          <w:rtl/>
        </w:rPr>
      </w:pPr>
      <w:r>
        <w:rPr>
          <w:rFonts w:hint="cs"/>
          <w:rtl/>
        </w:rPr>
        <w:t>סעיף</w:t>
      </w:r>
      <w:r>
        <w:rPr>
          <w:rtl/>
        </w:rPr>
        <w:t xml:space="preserve"> </w:t>
      </w:r>
      <w:r>
        <w:rPr>
          <w:rFonts w:hint="cs"/>
          <w:rtl/>
        </w:rPr>
        <w:t>לג: ופטרית ושבקית ותרוכית.</w:t>
      </w:r>
    </w:p>
    <w:p w14:paraId="26C4124A" w14:textId="6165961D" w:rsidR="00FA2119" w:rsidRDefault="00FA2119" w:rsidP="00FA2119">
      <w:pPr>
        <w:rPr>
          <w:u w:val="single"/>
          <w:rtl/>
        </w:rPr>
      </w:pPr>
      <w:r w:rsidRPr="004D0791">
        <w:rPr>
          <w:rFonts w:hint="cs"/>
          <w:u w:val="single"/>
          <w:rtl/>
        </w:rPr>
        <w:t>ופטרית ושבקית ותרוכית</w:t>
      </w:r>
      <w:r>
        <w:rPr>
          <w:rFonts w:hint="cs"/>
          <w:u w:val="single"/>
          <w:rtl/>
        </w:rPr>
        <w:t xml:space="preserve"> </w:t>
      </w:r>
      <w:r w:rsidR="00A82951">
        <w:rPr>
          <w:u w:val="single"/>
          <w:rtl/>
        </w:rPr>
        <w:t>-</w:t>
      </w:r>
      <w:r>
        <w:rPr>
          <w:rFonts w:hint="cs"/>
          <w:u w:val="single"/>
          <w:rtl/>
        </w:rPr>
        <w:t xml:space="preserve"> סדר התיבות: </w:t>
      </w:r>
    </w:p>
    <w:p w14:paraId="1A72B989" w14:textId="2506381A" w:rsidR="00FA2119" w:rsidRPr="007B539B" w:rsidRDefault="00FA2119" w:rsidP="007B539B">
      <w:pPr>
        <w:ind w:left="360"/>
        <w:rPr>
          <w:u w:val="dotted"/>
        </w:rPr>
      </w:pPr>
      <w:r w:rsidRPr="0072691C">
        <w:rPr>
          <w:rFonts w:hint="cs"/>
          <w:u w:val="dotted"/>
          <w:rtl/>
        </w:rPr>
        <w:t>בהזכרה הראשונה בגט:</w:t>
      </w:r>
      <w:r w:rsidR="007B539B">
        <w:rPr>
          <w:rFonts w:hint="cs"/>
          <w:rtl/>
        </w:rPr>
        <w:t xml:space="preserve"> </w:t>
      </w:r>
    </w:p>
    <w:p w14:paraId="3E447E68" w14:textId="578C447B" w:rsidR="00FA2119" w:rsidRPr="00570E9C" w:rsidRDefault="007B539B" w:rsidP="00FA2119">
      <w:pPr>
        <w:pStyle w:val="ab"/>
        <w:numPr>
          <w:ilvl w:val="0"/>
          <w:numId w:val="56"/>
        </w:numPr>
      </w:pPr>
      <w:r w:rsidRPr="00570E9C">
        <w:rPr>
          <w:rFonts w:cs="Arial"/>
          <w:rtl/>
        </w:rPr>
        <w:t>רי"ף</w:t>
      </w:r>
      <w:r>
        <w:rPr>
          <w:rFonts w:cs="Arial" w:hint="cs"/>
          <w:rtl/>
        </w:rPr>
        <w:t xml:space="preserve"> </w:t>
      </w:r>
      <w:r>
        <w:rPr>
          <w:rFonts w:cs="Arial" w:hint="cs"/>
          <w:sz w:val="16"/>
          <w:szCs w:val="16"/>
          <w:rtl/>
        </w:rPr>
        <w:t>(שם, לגי' הב"י)</w:t>
      </w:r>
      <w:r>
        <w:rPr>
          <w:rFonts w:cs="Arial" w:hint="cs"/>
          <w:rtl/>
        </w:rPr>
        <w:t xml:space="preserve"> </w:t>
      </w:r>
      <w:r w:rsidR="00FA2119">
        <w:rPr>
          <w:rFonts w:cs="Arial" w:hint="cs"/>
          <w:rtl/>
        </w:rPr>
        <w:t xml:space="preserve">ר"ת </w:t>
      </w:r>
      <w:r w:rsidR="00FA2119">
        <w:rPr>
          <w:rFonts w:cs="Arial" w:hint="cs"/>
          <w:sz w:val="16"/>
          <w:szCs w:val="16"/>
          <w:rtl/>
        </w:rPr>
        <w:t>(ספר הישר חידושים סי' קלט)</w:t>
      </w:r>
      <w:r w:rsidR="00FA2119">
        <w:rPr>
          <w:rFonts w:cs="Arial" w:hint="cs"/>
          <w:rtl/>
        </w:rPr>
        <w:t xml:space="preserve"> תרומה </w:t>
      </w:r>
      <w:r w:rsidR="00FA2119">
        <w:rPr>
          <w:rFonts w:cs="Arial" w:hint="cs"/>
          <w:sz w:val="16"/>
          <w:szCs w:val="16"/>
          <w:rtl/>
        </w:rPr>
        <w:t xml:space="preserve">(הל' גיטין סי' קלב) </w:t>
      </w:r>
      <w:r w:rsidR="00FA2119" w:rsidRPr="0072691C">
        <w:rPr>
          <w:rFonts w:cs="Arial"/>
          <w:rtl/>
        </w:rPr>
        <w:t xml:space="preserve">כל בו </w:t>
      </w:r>
      <w:r w:rsidR="00FA2119" w:rsidRPr="0072691C">
        <w:rPr>
          <w:rFonts w:cs="Arial" w:hint="cs"/>
          <w:sz w:val="16"/>
          <w:szCs w:val="16"/>
          <w:rtl/>
        </w:rPr>
        <w:t>(שם)</w:t>
      </w:r>
      <w:r w:rsidR="00FA2119" w:rsidRPr="0072691C">
        <w:rPr>
          <w:rFonts w:cs="Arial" w:hint="cs"/>
          <w:rtl/>
        </w:rPr>
        <w:t xml:space="preserve"> </w:t>
      </w:r>
      <w:r>
        <w:rPr>
          <w:rFonts w:cs="Arial" w:hint="cs"/>
          <w:rtl/>
        </w:rPr>
        <w:t>ו</w:t>
      </w:r>
      <w:r w:rsidR="00FA2119" w:rsidRPr="0072691C">
        <w:rPr>
          <w:rFonts w:cs="Arial"/>
          <w:rtl/>
        </w:rPr>
        <w:t>רא"ש</w:t>
      </w:r>
      <w:r w:rsidR="00FA2119" w:rsidRPr="0072691C">
        <w:rPr>
          <w:rFonts w:cs="Arial" w:hint="cs"/>
          <w:rtl/>
        </w:rPr>
        <w:t xml:space="preserve"> </w:t>
      </w:r>
      <w:r w:rsidR="00FA2119" w:rsidRPr="0072691C">
        <w:rPr>
          <w:rFonts w:cs="Arial" w:hint="cs"/>
          <w:sz w:val="16"/>
          <w:szCs w:val="16"/>
          <w:rtl/>
        </w:rPr>
        <w:t>(</w:t>
      </w:r>
      <w:r w:rsidR="00C01E23">
        <w:rPr>
          <w:rFonts w:cs="Arial" w:hint="cs"/>
          <w:sz w:val="16"/>
          <w:szCs w:val="16"/>
          <w:rtl/>
        </w:rPr>
        <w:t>סדר הגט</w:t>
      </w:r>
      <w:r w:rsidR="00FA2119" w:rsidRPr="0072691C">
        <w:rPr>
          <w:rFonts w:cs="Arial" w:hint="cs"/>
          <w:sz w:val="16"/>
          <w:szCs w:val="16"/>
          <w:rtl/>
        </w:rPr>
        <w:t>)</w:t>
      </w:r>
      <w:r w:rsidR="00A82951">
        <w:rPr>
          <w:rFonts w:cs="Arial" w:hint="cs"/>
          <w:rtl/>
        </w:rPr>
        <w:t>-</w:t>
      </w:r>
      <w:r w:rsidR="00FA2119" w:rsidRPr="0072691C">
        <w:rPr>
          <w:rFonts w:cs="Arial" w:hint="cs"/>
          <w:rtl/>
        </w:rPr>
        <w:t xml:space="preserve"> </w:t>
      </w:r>
      <w:r w:rsidR="00FA2119" w:rsidRPr="0072691C">
        <w:rPr>
          <w:rFonts w:cs="Arial"/>
          <w:rtl/>
        </w:rPr>
        <w:t>ושבקית ופטרית</w:t>
      </w:r>
      <w:r w:rsidR="00FA2119" w:rsidRPr="0072691C">
        <w:rPr>
          <w:rFonts w:cs="Arial" w:hint="cs"/>
          <w:rtl/>
        </w:rPr>
        <w:t xml:space="preserve"> </w:t>
      </w:r>
      <w:r w:rsidR="00FA2119" w:rsidRPr="0072691C">
        <w:rPr>
          <w:rFonts w:cs="Arial"/>
          <w:rtl/>
        </w:rPr>
        <w:t>ותרוכית</w:t>
      </w:r>
      <w:r w:rsidR="00FA2119" w:rsidRPr="0072691C">
        <w:rPr>
          <w:rFonts w:cs="Arial" w:hint="cs"/>
          <w:rtl/>
        </w:rPr>
        <w:t>.</w:t>
      </w:r>
      <w:r w:rsidR="00FA2119" w:rsidRPr="0072691C">
        <w:rPr>
          <w:rFonts w:cs="Arial"/>
          <w:rtl/>
        </w:rPr>
        <w:t xml:space="preserve"> </w:t>
      </w:r>
    </w:p>
    <w:p w14:paraId="64B23A1D" w14:textId="0F0AB233" w:rsidR="00FA2119" w:rsidRDefault="00FA2119" w:rsidP="00FA2119">
      <w:pPr>
        <w:pStyle w:val="ab"/>
        <w:numPr>
          <w:ilvl w:val="0"/>
          <w:numId w:val="56"/>
        </w:numPr>
      </w:pPr>
      <w:r w:rsidRPr="00570E9C">
        <w:rPr>
          <w:rFonts w:cs="Arial"/>
          <w:rtl/>
        </w:rPr>
        <w:t>רי"ף</w:t>
      </w:r>
      <w:r>
        <w:rPr>
          <w:rFonts w:cs="Arial" w:hint="cs"/>
          <w:rtl/>
        </w:rPr>
        <w:t xml:space="preserve"> </w:t>
      </w:r>
      <w:r>
        <w:rPr>
          <w:rFonts w:cs="Arial" w:hint="cs"/>
          <w:sz w:val="16"/>
          <w:szCs w:val="16"/>
          <w:rtl/>
        </w:rPr>
        <w:t>(שם)</w:t>
      </w:r>
      <w:r w:rsidRPr="00570E9C">
        <w:rPr>
          <w:rFonts w:cs="Arial"/>
          <w:rtl/>
        </w:rPr>
        <w:t xml:space="preserve"> רמב"ם </w:t>
      </w:r>
      <w:r w:rsidRPr="00F16020">
        <w:rPr>
          <w:rFonts w:cs="Arial"/>
          <w:sz w:val="16"/>
          <w:szCs w:val="16"/>
          <w:rtl/>
        </w:rPr>
        <w:t>(פ"ד הי"ב)</w:t>
      </w:r>
      <w:r w:rsidR="006F08FF" w:rsidRPr="006F08FF">
        <w:rPr>
          <w:rFonts w:cs="Arial"/>
          <w:rtl/>
        </w:rPr>
        <w:t xml:space="preserve"> </w:t>
      </w:r>
      <w:r w:rsidR="006F08FF">
        <w:rPr>
          <w:rFonts w:cs="Arial" w:hint="cs"/>
          <w:rtl/>
        </w:rPr>
        <w:t>ו</w:t>
      </w:r>
      <w:r w:rsidR="006F08FF" w:rsidRPr="0072691C">
        <w:rPr>
          <w:rFonts w:cs="Arial"/>
          <w:rtl/>
        </w:rPr>
        <w:t>רא"ש</w:t>
      </w:r>
      <w:r w:rsidR="006F08FF" w:rsidRPr="0072691C">
        <w:rPr>
          <w:rFonts w:cs="Arial" w:hint="cs"/>
          <w:rtl/>
        </w:rPr>
        <w:t xml:space="preserve"> </w:t>
      </w:r>
      <w:r w:rsidR="006F08FF" w:rsidRPr="0072691C">
        <w:rPr>
          <w:rFonts w:cs="Arial" w:hint="cs"/>
          <w:sz w:val="16"/>
          <w:szCs w:val="16"/>
          <w:rtl/>
        </w:rPr>
        <w:t>(</w:t>
      </w:r>
      <w:r w:rsidR="006F08FF">
        <w:rPr>
          <w:rFonts w:cs="Arial" w:hint="cs"/>
          <w:sz w:val="16"/>
          <w:szCs w:val="16"/>
          <w:rtl/>
        </w:rPr>
        <w:t>נוסח הגט בסוף כלל מה, וכן בטופב הרא"ש דרי"ו [ר"ו ע"ד]</w:t>
      </w:r>
      <w:r w:rsidR="006F08FF" w:rsidRPr="0072691C">
        <w:rPr>
          <w:rFonts w:cs="Arial" w:hint="cs"/>
          <w:sz w:val="16"/>
          <w:szCs w:val="16"/>
          <w:rtl/>
        </w:rPr>
        <w:t>)</w:t>
      </w:r>
      <w:r w:rsidR="00A82951">
        <w:rPr>
          <w:rFonts w:cs="Arial" w:hint="cs"/>
          <w:rtl/>
        </w:rPr>
        <w:t>-</w:t>
      </w:r>
      <w:r w:rsidRPr="00570E9C">
        <w:rPr>
          <w:rFonts w:cs="Arial"/>
          <w:rtl/>
        </w:rPr>
        <w:t xml:space="preserve"> </w:t>
      </w:r>
      <w:r w:rsidRPr="00F16020">
        <w:rPr>
          <w:rFonts w:cs="Arial"/>
          <w:rtl/>
        </w:rPr>
        <w:t>ופטרית ושבקית</w:t>
      </w:r>
      <w:r>
        <w:rPr>
          <w:rFonts w:cs="Arial" w:hint="cs"/>
          <w:rtl/>
        </w:rPr>
        <w:t xml:space="preserve"> ותרוכית.</w:t>
      </w:r>
      <w:r w:rsidR="00C01E23" w:rsidRPr="00C01E23">
        <w:rPr>
          <w:rFonts w:cs="Arial" w:hint="cs"/>
          <w:color w:val="E36C0A" w:themeColor="accent6" w:themeShade="BF"/>
          <w:rtl/>
        </w:rPr>
        <w:t xml:space="preserve"> </w:t>
      </w:r>
      <w:r w:rsidR="00C01E23" w:rsidRPr="002D1848">
        <w:rPr>
          <w:rFonts w:cs="Arial" w:hint="cs"/>
          <w:color w:val="E36C0A" w:themeColor="accent6" w:themeShade="BF"/>
          <w:rtl/>
        </w:rPr>
        <w:t>(וכ"פ בשו"ע)</w:t>
      </w:r>
    </w:p>
    <w:p w14:paraId="706D960C" w14:textId="372240F9" w:rsidR="006F08FF" w:rsidRDefault="006F08FF" w:rsidP="00FA2119">
      <w:pPr>
        <w:pStyle w:val="ab"/>
        <w:numPr>
          <w:ilvl w:val="0"/>
          <w:numId w:val="56"/>
        </w:numPr>
      </w:pPr>
      <w:r w:rsidRPr="00570E9C">
        <w:rPr>
          <w:rFonts w:cs="Arial"/>
          <w:rtl/>
        </w:rPr>
        <w:t xml:space="preserve">רש"י </w:t>
      </w:r>
      <w:r w:rsidRPr="005D184B">
        <w:rPr>
          <w:rFonts w:cs="Arial"/>
          <w:sz w:val="16"/>
          <w:szCs w:val="16"/>
          <w:rtl/>
        </w:rPr>
        <w:t>(גיטין פה:)</w:t>
      </w:r>
      <w:r>
        <w:rPr>
          <w:rFonts w:cs="Arial" w:hint="cs"/>
          <w:rtl/>
        </w:rPr>
        <w:t>-</w:t>
      </w:r>
      <w:r w:rsidRPr="00570E9C">
        <w:rPr>
          <w:rFonts w:cs="Arial"/>
          <w:rtl/>
        </w:rPr>
        <w:t xml:space="preserve"> אין כ</w:t>
      </w:r>
      <w:r>
        <w:rPr>
          <w:rFonts w:cs="Arial" w:hint="cs"/>
          <w:rtl/>
        </w:rPr>
        <w:t>ו</w:t>
      </w:r>
      <w:r w:rsidRPr="00570E9C">
        <w:rPr>
          <w:rFonts w:cs="Arial"/>
          <w:rtl/>
        </w:rPr>
        <w:t>תב</w:t>
      </w:r>
      <w:r>
        <w:rPr>
          <w:rFonts w:cs="Arial" w:hint="cs"/>
          <w:rtl/>
        </w:rPr>
        <w:t>ים</w:t>
      </w:r>
      <w:r w:rsidRPr="00570E9C">
        <w:rPr>
          <w:rFonts w:cs="Arial"/>
          <w:rtl/>
        </w:rPr>
        <w:t xml:space="preserve"> אלא פטרית לבד</w:t>
      </w:r>
      <w:r>
        <w:rPr>
          <w:rStyle w:val="a7"/>
          <w:rFonts w:cs="Arial"/>
          <w:rtl/>
        </w:rPr>
        <w:footnoteReference w:id="803"/>
      </w:r>
      <w:r>
        <w:rPr>
          <w:rFonts w:cs="Arial" w:hint="cs"/>
          <w:rtl/>
        </w:rPr>
        <w:t>.</w:t>
      </w:r>
    </w:p>
    <w:p w14:paraId="246C5EAD" w14:textId="77777777" w:rsidR="00FA2119" w:rsidRDefault="00FA2119" w:rsidP="00FA2119">
      <w:pPr>
        <w:ind w:left="360"/>
      </w:pPr>
      <w:r w:rsidRPr="0072691C">
        <w:rPr>
          <w:rFonts w:hint="cs"/>
          <w:u w:val="dotted"/>
          <w:rtl/>
        </w:rPr>
        <w:t xml:space="preserve">בהזכרה </w:t>
      </w:r>
      <w:r>
        <w:rPr>
          <w:rFonts w:hint="cs"/>
          <w:u w:val="dotted"/>
          <w:rtl/>
        </w:rPr>
        <w:t>השניה</w:t>
      </w:r>
      <w:r w:rsidRPr="0072691C">
        <w:rPr>
          <w:rFonts w:hint="cs"/>
          <w:u w:val="dotted"/>
          <w:rtl/>
        </w:rPr>
        <w:t xml:space="preserve"> בגט:</w:t>
      </w:r>
    </w:p>
    <w:p w14:paraId="6C78DB27" w14:textId="03717253" w:rsidR="00FA2119" w:rsidRPr="0072691C" w:rsidRDefault="00FA2119" w:rsidP="00FA2119">
      <w:pPr>
        <w:pStyle w:val="ab"/>
        <w:numPr>
          <w:ilvl w:val="0"/>
          <w:numId w:val="56"/>
        </w:numPr>
      </w:pPr>
      <w:r w:rsidRPr="0072691C">
        <w:rPr>
          <w:rFonts w:cs="Arial"/>
          <w:rtl/>
        </w:rPr>
        <w:t>רא"ש</w:t>
      </w:r>
      <w:r w:rsidRPr="0072691C">
        <w:rPr>
          <w:rFonts w:cs="Arial" w:hint="cs"/>
          <w:rtl/>
        </w:rPr>
        <w:t xml:space="preserve"> </w:t>
      </w:r>
      <w:r w:rsidRPr="0072691C">
        <w:rPr>
          <w:rFonts w:cs="Arial" w:hint="cs"/>
          <w:sz w:val="16"/>
          <w:szCs w:val="16"/>
          <w:rtl/>
        </w:rPr>
        <w:t>(שם)</w:t>
      </w:r>
      <w:r w:rsidR="00A82951">
        <w:rPr>
          <w:rFonts w:cs="Arial" w:hint="cs"/>
          <w:rtl/>
        </w:rPr>
        <w:t>-</w:t>
      </w:r>
      <w:r w:rsidRPr="0072691C">
        <w:rPr>
          <w:rFonts w:cs="Arial" w:hint="cs"/>
          <w:rtl/>
        </w:rPr>
        <w:t xml:space="preserve"> </w:t>
      </w:r>
      <w:r w:rsidRPr="0072691C">
        <w:rPr>
          <w:rFonts w:cs="Arial"/>
          <w:rtl/>
        </w:rPr>
        <w:t>ושבקית ופטרית</w:t>
      </w:r>
      <w:r w:rsidRPr="0072691C">
        <w:rPr>
          <w:rFonts w:cs="Arial" w:hint="cs"/>
          <w:rtl/>
        </w:rPr>
        <w:t xml:space="preserve"> </w:t>
      </w:r>
      <w:r w:rsidRPr="0072691C">
        <w:rPr>
          <w:rFonts w:cs="Arial"/>
          <w:rtl/>
        </w:rPr>
        <w:t>ותרוכית</w:t>
      </w:r>
      <w:r w:rsidRPr="0072691C">
        <w:rPr>
          <w:rFonts w:cs="Arial" w:hint="cs"/>
          <w:rtl/>
        </w:rPr>
        <w:t>.</w:t>
      </w:r>
      <w:r w:rsidRPr="0072691C">
        <w:rPr>
          <w:rFonts w:cs="Arial"/>
          <w:rtl/>
        </w:rPr>
        <w:t xml:space="preserve"> </w:t>
      </w:r>
    </w:p>
    <w:p w14:paraId="737C4BDE" w14:textId="06335286" w:rsidR="00FA2119" w:rsidRDefault="006F08FF" w:rsidP="00FA2119">
      <w:pPr>
        <w:pStyle w:val="ab"/>
        <w:numPr>
          <w:ilvl w:val="0"/>
          <w:numId w:val="56"/>
        </w:numPr>
      </w:pPr>
      <w:r w:rsidRPr="00570E9C">
        <w:rPr>
          <w:rFonts w:cs="Arial"/>
          <w:rtl/>
        </w:rPr>
        <w:t xml:space="preserve">רש"י </w:t>
      </w:r>
      <w:r w:rsidRPr="005D184B">
        <w:rPr>
          <w:rFonts w:cs="Arial"/>
          <w:sz w:val="16"/>
          <w:szCs w:val="16"/>
          <w:rtl/>
        </w:rPr>
        <w:t>(גיטין פה:)</w:t>
      </w:r>
      <w:r>
        <w:rPr>
          <w:rFonts w:cs="Arial" w:hint="cs"/>
          <w:rtl/>
        </w:rPr>
        <w:t xml:space="preserve"> </w:t>
      </w:r>
      <w:r w:rsidR="00FA2119" w:rsidRPr="00570E9C">
        <w:rPr>
          <w:rFonts w:cs="Arial"/>
          <w:rtl/>
        </w:rPr>
        <w:t xml:space="preserve">רמב"ם </w:t>
      </w:r>
      <w:r w:rsidR="00FA2119" w:rsidRPr="00F16020">
        <w:rPr>
          <w:rFonts w:cs="Arial"/>
          <w:sz w:val="16"/>
          <w:szCs w:val="16"/>
          <w:rtl/>
        </w:rPr>
        <w:t>(פ"ד הי"ב)</w:t>
      </w:r>
      <w:r w:rsidR="00FA2119">
        <w:rPr>
          <w:rFonts w:cs="Arial" w:hint="cs"/>
          <w:rtl/>
        </w:rPr>
        <w:t xml:space="preserve"> תרומה </w:t>
      </w:r>
      <w:r w:rsidR="00FA2119">
        <w:rPr>
          <w:rFonts w:cs="Arial" w:hint="cs"/>
          <w:sz w:val="16"/>
          <w:szCs w:val="16"/>
          <w:rtl/>
        </w:rPr>
        <w:t>(שם)</w:t>
      </w:r>
      <w:r w:rsidR="00FA2119">
        <w:rPr>
          <w:rFonts w:cs="Arial" w:hint="cs"/>
          <w:rtl/>
        </w:rPr>
        <w:t xml:space="preserve"> </w:t>
      </w:r>
      <w:r w:rsidR="00C01E23">
        <w:rPr>
          <w:rFonts w:cs="Arial" w:hint="cs"/>
          <w:rtl/>
        </w:rPr>
        <w:t>ו</w:t>
      </w:r>
      <w:r w:rsidR="00FA2119" w:rsidRPr="0072691C">
        <w:rPr>
          <w:rFonts w:cs="Arial"/>
          <w:rtl/>
        </w:rPr>
        <w:t xml:space="preserve">כל בו </w:t>
      </w:r>
      <w:r w:rsidR="00FA2119" w:rsidRPr="0072691C">
        <w:rPr>
          <w:rFonts w:cs="Arial" w:hint="cs"/>
          <w:sz w:val="16"/>
          <w:szCs w:val="16"/>
          <w:rtl/>
        </w:rPr>
        <w:t>(שם)</w:t>
      </w:r>
      <w:r w:rsidR="00A82951">
        <w:rPr>
          <w:rFonts w:cs="Arial" w:hint="cs"/>
          <w:rtl/>
        </w:rPr>
        <w:t>-</w:t>
      </w:r>
      <w:r w:rsidR="00FA2119" w:rsidRPr="00570E9C">
        <w:rPr>
          <w:rFonts w:cs="Arial"/>
          <w:rtl/>
        </w:rPr>
        <w:t xml:space="preserve"> </w:t>
      </w:r>
      <w:r w:rsidR="00FA2119" w:rsidRPr="00F16020">
        <w:rPr>
          <w:rFonts w:cs="Arial"/>
          <w:rtl/>
        </w:rPr>
        <w:t>ופטרית ושבקית</w:t>
      </w:r>
      <w:r w:rsidR="00FA2119">
        <w:rPr>
          <w:rFonts w:cs="Arial" w:hint="cs"/>
          <w:rtl/>
        </w:rPr>
        <w:t xml:space="preserve"> ותרוכית</w:t>
      </w:r>
      <w:r>
        <w:rPr>
          <w:rStyle w:val="a7"/>
          <w:rFonts w:cs="Arial"/>
          <w:rtl/>
        </w:rPr>
        <w:footnoteReference w:id="804"/>
      </w:r>
      <w:r w:rsidR="00FA2119">
        <w:rPr>
          <w:rFonts w:cs="Arial" w:hint="cs"/>
          <w:rtl/>
        </w:rPr>
        <w:t>.</w:t>
      </w:r>
    </w:p>
    <w:p w14:paraId="35465DEA" w14:textId="22DCBDBE" w:rsidR="00FA2119" w:rsidRPr="00570E9C" w:rsidRDefault="00FA2119" w:rsidP="006F08FF">
      <w:pPr>
        <w:pStyle w:val="ab"/>
        <w:numPr>
          <w:ilvl w:val="0"/>
          <w:numId w:val="56"/>
        </w:numPr>
      </w:pPr>
      <w:r w:rsidRPr="00570E9C">
        <w:rPr>
          <w:rFonts w:cs="Arial"/>
          <w:rtl/>
        </w:rPr>
        <w:t>רי"ף</w:t>
      </w:r>
      <w:r>
        <w:rPr>
          <w:rFonts w:cs="Arial" w:hint="cs"/>
          <w:rtl/>
        </w:rPr>
        <w:t xml:space="preserve"> </w:t>
      </w:r>
      <w:r>
        <w:rPr>
          <w:rFonts w:cs="Arial" w:hint="cs"/>
          <w:sz w:val="16"/>
          <w:szCs w:val="16"/>
          <w:rtl/>
        </w:rPr>
        <w:t>(שם)</w:t>
      </w:r>
      <w:r w:rsidR="00A82951">
        <w:rPr>
          <w:rFonts w:hint="cs"/>
          <w:rtl/>
        </w:rPr>
        <w:t>-</w:t>
      </w:r>
      <w:r>
        <w:rPr>
          <w:rFonts w:hint="cs"/>
          <w:rtl/>
        </w:rPr>
        <w:t xml:space="preserve"> תרוכית</w:t>
      </w:r>
      <w:r w:rsidR="006F08FF">
        <w:rPr>
          <w:rStyle w:val="a7"/>
          <w:rtl/>
        </w:rPr>
        <w:footnoteReference w:id="805"/>
      </w:r>
      <w:r>
        <w:rPr>
          <w:rFonts w:hint="cs"/>
          <w:rtl/>
        </w:rPr>
        <w:t>.</w:t>
      </w:r>
    </w:p>
    <w:p w14:paraId="678DACBA" w14:textId="38A90826" w:rsidR="00FA2119" w:rsidRPr="00570E9C" w:rsidRDefault="00FA2119" w:rsidP="00FA2119">
      <w:pPr>
        <w:pStyle w:val="ab"/>
        <w:numPr>
          <w:ilvl w:val="1"/>
          <w:numId w:val="56"/>
        </w:numPr>
      </w:pPr>
      <w:r>
        <w:rPr>
          <w:rFonts w:cs="Arial" w:hint="cs"/>
          <w:rtl/>
        </w:rPr>
        <w:lastRenderedPageBreak/>
        <w:t>ב"י</w:t>
      </w:r>
      <w:r w:rsidR="00A82951">
        <w:rPr>
          <w:rFonts w:cs="Arial" w:hint="cs"/>
          <w:rtl/>
        </w:rPr>
        <w:t>-</w:t>
      </w:r>
      <w:r>
        <w:rPr>
          <w:rFonts w:cs="Arial" w:hint="cs"/>
          <w:rtl/>
        </w:rPr>
        <w:t xml:space="preserve"> </w:t>
      </w:r>
      <w:r w:rsidRPr="00570E9C">
        <w:rPr>
          <w:rFonts w:cs="Arial"/>
          <w:rtl/>
        </w:rPr>
        <w:t xml:space="preserve">וכבר כתב מהר"ר ישראל בכתביו </w:t>
      </w:r>
      <w:r>
        <w:rPr>
          <w:rFonts w:cs="Arial" w:hint="cs"/>
          <w:rtl/>
        </w:rPr>
        <w:t>(</w:t>
      </w:r>
      <w:r w:rsidRPr="00570E9C">
        <w:rPr>
          <w:rFonts w:cs="Arial"/>
          <w:rtl/>
        </w:rPr>
        <w:t>סי</w:t>
      </w:r>
      <w:r>
        <w:rPr>
          <w:rFonts w:cs="Arial" w:hint="cs"/>
          <w:rtl/>
        </w:rPr>
        <w:t>'</w:t>
      </w:r>
      <w:r w:rsidRPr="00570E9C">
        <w:rPr>
          <w:rFonts w:cs="Arial"/>
          <w:rtl/>
        </w:rPr>
        <w:t xml:space="preserve"> רכח</w:t>
      </w:r>
      <w:r>
        <w:rPr>
          <w:rFonts w:cs="Arial" w:hint="cs"/>
          <w:rtl/>
        </w:rPr>
        <w:t>)</w:t>
      </w:r>
      <w:r w:rsidRPr="00570E9C">
        <w:rPr>
          <w:rFonts w:cs="Arial"/>
          <w:rtl/>
        </w:rPr>
        <w:t xml:space="preserve"> טעם לדברי רש"י ולדברי שאר הפוסקים ושכל גאון תפס לו שופרא דשטרא לפי דעתו ואין קפידא בדבר</w:t>
      </w:r>
      <w:r>
        <w:rPr>
          <w:rFonts w:cs="Arial" w:hint="cs"/>
          <w:rtl/>
        </w:rPr>
        <w:t>.</w:t>
      </w:r>
      <w:r w:rsidRPr="00570E9C">
        <w:rPr>
          <w:rFonts w:cs="Arial"/>
          <w:rtl/>
        </w:rPr>
        <w:t xml:space="preserve"> </w:t>
      </w:r>
      <w:r w:rsidRPr="00457400">
        <w:rPr>
          <w:rFonts w:cs="Arial"/>
          <w:rtl/>
        </w:rPr>
        <w:t>ומנהגינו לכתוב כטופס דהרא"ש והרי"ף וכן היה מנהג מהר"ר ישראל כנראה מתוך הכתב הנזכר</w:t>
      </w:r>
      <w:r>
        <w:rPr>
          <w:rFonts w:cs="Arial" w:hint="cs"/>
          <w:rtl/>
        </w:rPr>
        <w:t>.</w:t>
      </w:r>
      <w:r w:rsidRPr="002D1848">
        <w:rPr>
          <w:rFonts w:cs="Arial"/>
          <w:rtl/>
        </w:rPr>
        <w:t xml:space="preserve"> </w:t>
      </w:r>
      <w:r w:rsidRPr="002D1848">
        <w:rPr>
          <w:rFonts w:cs="Arial" w:hint="cs"/>
          <w:color w:val="E36C0A" w:themeColor="accent6" w:themeShade="BF"/>
          <w:rtl/>
        </w:rPr>
        <w:t>(וכ"פ בשו"ע)</w:t>
      </w:r>
    </w:p>
    <w:p w14:paraId="412849CA" w14:textId="77777777" w:rsidR="00FA2119" w:rsidRPr="001F71D6" w:rsidRDefault="00FA2119" w:rsidP="00FA2119">
      <w:pPr>
        <w:rPr>
          <w:u w:val="single"/>
        </w:rPr>
      </w:pPr>
      <w:r>
        <w:rPr>
          <w:rFonts w:hint="cs"/>
          <w:u w:val="single"/>
          <w:rtl/>
        </w:rPr>
        <w:t>כתיבת המילה 'ו</w:t>
      </w:r>
      <w:r w:rsidRPr="001F71D6">
        <w:rPr>
          <w:rFonts w:hint="cs"/>
          <w:u w:val="single"/>
          <w:rtl/>
        </w:rPr>
        <w:t>תרוכית</w:t>
      </w:r>
      <w:r>
        <w:rPr>
          <w:rFonts w:hint="cs"/>
          <w:u w:val="single"/>
          <w:rtl/>
        </w:rPr>
        <w:t>'</w:t>
      </w:r>
      <w:r w:rsidRPr="001F71D6">
        <w:rPr>
          <w:rFonts w:hint="cs"/>
          <w:u w:val="single"/>
          <w:rtl/>
        </w:rPr>
        <w:t>:</w:t>
      </w:r>
    </w:p>
    <w:p w14:paraId="41A3ABA4" w14:textId="6D85BC41" w:rsidR="00FA2119" w:rsidRPr="00AF1304" w:rsidRDefault="00FA2119" w:rsidP="00FA2119">
      <w:pPr>
        <w:pStyle w:val="ab"/>
        <w:numPr>
          <w:ilvl w:val="0"/>
          <w:numId w:val="56"/>
        </w:numPr>
        <w:rPr>
          <w:rtl/>
        </w:rPr>
      </w:pPr>
      <w:r>
        <w:rPr>
          <w:rFonts w:cs="Arial" w:hint="cs"/>
          <w:rtl/>
        </w:rPr>
        <w:t xml:space="preserve">רי"ף </w:t>
      </w:r>
      <w:r>
        <w:rPr>
          <w:rFonts w:cs="Arial" w:hint="cs"/>
          <w:sz w:val="16"/>
          <w:szCs w:val="16"/>
          <w:rtl/>
        </w:rPr>
        <w:t xml:space="preserve">(שם, לפי גירסתינו) </w:t>
      </w:r>
      <w:r w:rsidRPr="00570E9C">
        <w:rPr>
          <w:rFonts w:cs="Arial"/>
          <w:rtl/>
        </w:rPr>
        <w:t>רמב"ם</w:t>
      </w:r>
      <w:r>
        <w:rPr>
          <w:rFonts w:cs="Arial" w:hint="cs"/>
          <w:rtl/>
        </w:rPr>
        <w:t xml:space="preserve"> </w:t>
      </w:r>
      <w:r>
        <w:rPr>
          <w:rFonts w:cs="Arial" w:hint="cs"/>
          <w:sz w:val="16"/>
          <w:szCs w:val="16"/>
          <w:rtl/>
        </w:rPr>
        <w:t>(שם)</w:t>
      </w:r>
      <w:r w:rsidRPr="00570E9C">
        <w:rPr>
          <w:rFonts w:cs="Arial"/>
          <w:rtl/>
        </w:rPr>
        <w:t xml:space="preserve"> רא"ש</w:t>
      </w:r>
      <w:r>
        <w:rPr>
          <w:rFonts w:cs="Arial" w:hint="cs"/>
          <w:rtl/>
        </w:rPr>
        <w:t xml:space="preserve"> </w:t>
      </w:r>
      <w:r>
        <w:rPr>
          <w:rFonts w:cs="Arial" w:hint="cs"/>
          <w:sz w:val="16"/>
          <w:szCs w:val="16"/>
          <w:rtl/>
        </w:rPr>
        <w:t>(שם)</w:t>
      </w:r>
      <w:r w:rsidRPr="00570E9C">
        <w:rPr>
          <w:rFonts w:cs="Arial"/>
          <w:rtl/>
        </w:rPr>
        <w:t xml:space="preserve"> </w:t>
      </w:r>
      <w:r>
        <w:rPr>
          <w:rFonts w:cs="Arial" w:hint="cs"/>
          <w:rtl/>
        </w:rPr>
        <w:t>רי"ו</w:t>
      </w:r>
      <w:r w:rsidRPr="001F71D6">
        <w:rPr>
          <w:rFonts w:cs="Arial"/>
          <w:sz w:val="16"/>
          <w:szCs w:val="16"/>
          <w:rtl/>
        </w:rPr>
        <w:t xml:space="preserve"> (רו ע"ג) </w:t>
      </w:r>
      <w:r>
        <w:rPr>
          <w:rFonts w:cs="Arial" w:hint="cs"/>
          <w:rtl/>
        </w:rPr>
        <w:t>וטור</w:t>
      </w:r>
      <w:r w:rsidR="00A82951">
        <w:rPr>
          <w:rFonts w:cs="Arial" w:hint="cs"/>
          <w:rtl/>
        </w:rPr>
        <w:t>-</w:t>
      </w:r>
      <w:r w:rsidRPr="00570E9C">
        <w:rPr>
          <w:rFonts w:cs="Arial"/>
          <w:rtl/>
        </w:rPr>
        <w:t xml:space="preserve"> ותרוכית</w:t>
      </w:r>
      <w:r>
        <w:rPr>
          <w:rFonts w:cs="Arial" w:hint="cs"/>
          <w:rtl/>
        </w:rPr>
        <w:t xml:space="preserve">, </w:t>
      </w:r>
      <w:r w:rsidRPr="00570E9C">
        <w:rPr>
          <w:rFonts w:cs="Arial"/>
          <w:rtl/>
        </w:rPr>
        <w:t>בוי"ו אחר הרי"ש</w:t>
      </w:r>
      <w:r>
        <w:rPr>
          <w:rStyle w:val="a7"/>
          <w:rFonts w:cs="Arial"/>
          <w:rtl/>
        </w:rPr>
        <w:footnoteReference w:id="806"/>
      </w:r>
      <w:r>
        <w:rPr>
          <w:rFonts w:cs="Arial" w:hint="cs"/>
          <w:rtl/>
        </w:rPr>
        <w:t>.</w:t>
      </w:r>
      <w:r w:rsidRPr="002D1848">
        <w:rPr>
          <w:rFonts w:cs="Arial"/>
          <w:rtl/>
        </w:rPr>
        <w:t xml:space="preserve"> </w:t>
      </w:r>
      <w:r w:rsidRPr="002D1848">
        <w:rPr>
          <w:rFonts w:cs="Arial" w:hint="cs"/>
          <w:color w:val="E36C0A" w:themeColor="accent6" w:themeShade="BF"/>
          <w:rtl/>
        </w:rPr>
        <w:t>(וכ"פ בשו"ע)</w:t>
      </w:r>
    </w:p>
    <w:p w14:paraId="3EFC8393"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85085CD" w14:textId="77777777" w:rsidR="00FA2119" w:rsidRDefault="00FA2119" w:rsidP="00FA2119">
      <w:pPr>
        <w:rPr>
          <w:rtl/>
        </w:rPr>
      </w:pPr>
      <w:r>
        <w:rPr>
          <w:rFonts w:cs="Arial" w:hint="cs"/>
          <w:rtl/>
        </w:rPr>
        <w:t>נהגו</w:t>
      </w:r>
      <w:r>
        <w:rPr>
          <w:rFonts w:cs="Arial"/>
          <w:rtl/>
        </w:rPr>
        <w:t xml:space="preserve"> </w:t>
      </w:r>
      <w:r>
        <w:rPr>
          <w:rFonts w:cs="Arial" w:hint="cs"/>
          <w:rtl/>
        </w:rPr>
        <w:t>לכתוב</w:t>
      </w:r>
      <w:r>
        <w:rPr>
          <w:rFonts w:cs="Arial"/>
          <w:rtl/>
        </w:rPr>
        <w:t xml:space="preserve">: </w:t>
      </w:r>
      <w:r>
        <w:rPr>
          <w:rFonts w:cs="Arial" w:hint="cs"/>
          <w:rtl/>
        </w:rPr>
        <w:t>פטרית</w:t>
      </w:r>
      <w:r>
        <w:rPr>
          <w:rFonts w:cs="Arial"/>
          <w:rtl/>
        </w:rPr>
        <w:t xml:space="preserve"> </w:t>
      </w:r>
      <w:r>
        <w:rPr>
          <w:rFonts w:cs="Arial" w:hint="cs"/>
          <w:rtl/>
        </w:rPr>
        <w:t>קודם</w:t>
      </w:r>
      <w:r>
        <w:rPr>
          <w:rFonts w:cs="Arial"/>
          <w:rtl/>
        </w:rPr>
        <w:t xml:space="preserve"> </w:t>
      </w:r>
      <w:r>
        <w:rPr>
          <w:rFonts w:cs="Arial" w:hint="cs"/>
          <w:rtl/>
        </w:rPr>
        <w:t>ושבקית.</w:t>
      </w:r>
      <w:r>
        <w:rPr>
          <w:rFonts w:cs="Arial"/>
          <w:rtl/>
        </w:rPr>
        <w:t xml:space="preserve"> </w:t>
      </w:r>
      <w:r>
        <w:rPr>
          <w:rFonts w:cs="Arial" w:hint="cs"/>
          <w:rtl/>
        </w:rPr>
        <w:t>ונהגו</w:t>
      </w:r>
      <w:r>
        <w:rPr>
          <w:rFonts w:cs="Arial"/>
          <w:rtl/>
        </w:rPr>
        <w:t xml:space="preserve"> </w:t>
      </w:r>
      <w:r>
        <w:rPr>
          <w:rFonts w:cs="Arial" w:hint="cs"/>
          <w:rtl/>
        </w:rPr>
        <w:t>לכתוב</w:t>
      </w:r>
      <w:r>
        <w:rPr>
          <w:rFonts w:cs="Arial"/>
          <w:rtl/>
        </w:rPr>
        <w:t xml:space="preserve">: </w:t>
      </w:r>
      <w:r>
        <w:rPr>
          <w:rFonts w:cs="Arial" w:hint="cs"/>
          <w:rtl/>
        </w:rPr>
        <w:t>ותרוכית</w:t>
      </w:r>
      <w:r>
        <w:rPr>
          <w:rFonts w:cs="Arial"/>
          <w:rtl/>
        </w:rPr>
        <w:t xml:space="preserve">, </w:t>
      </w:r>
      <w:r>
        <w:rPr>
          <w:rFonts w:cs="Arial" w:hint="cs"/>
          <w:rtl/>
        </w:rPr>
        <w:t>בוי</w:t>
      </w:r>
      <w:r>
        <w:rPr>
          <w:rFonts w:cs="Arial"/>
          <w:rtl/>
        </w:rPr>
        <w:t>"</w:t>
      </w:r>
      <w:r>
        <w:rPr>
          <w:rFonts w:cs="Arial" w:hint="cs"/>
          <w:rtl/>
        </w:rPr>
        <w:t>ו</w:t>
      </w:r>
      <w:r>
        <w:rPr>
          <w:rFonts w:cs="Arial"/>
          <w:rtl/>
        </w:rPr>
        <w:t xml:space="preserve"> </w:t>
      </w:r>
      <w:r>
        <w:rPr>
          <w:rFonts w:cs="Arial" w:hint="cs"/>
          <w:rtl/>
        </w:rPr>
        <w:t>אחר</w:t>
      </w:r>
      <w:r>
        <w:rPr>
          <w:rFonts w:cs="Arial"/>
          <w:rtl/>
        </w:rPr>
        <w:t xml:space="preserve"> </w:t>
      </w:r>
      <w:r>
        <w:rPr>
          <w:rFonts w:cs="Arial" w:hint="cs"/>
          <w:rtl/>
        </w:rPr>
        <w:t>הרי</w:t>
      </w:r>
      <w:r>
        <w:rPr>
          <w:rFonts w:cs="Arial"/>
          <w:rtl/>
        </w:rPr>
        <w:t>"</w:t>
      </w:r>
      <w:r>
        <w:rPr>
          <w:rFonts w:cs="Arial" w:hint="cs"/>
          <w:rtl/>
        </w:rPr>
        <w:t>ש</w:t>
      </w:r>
      <w:r>
        <w:rPr>
          <w:rFonts w:cs="Arial"/>
          <w:rtl/>
        </w:rPr>
        <w:t xml:space="preserve">. </w:t>
      </w:r>
    </w:p>
    <w:p w14:paraId="4429FCCA" w14:textId="77777777" w:rsidR="00FA2119" w:rsidRDefault="00FA2119" w:rsidP="00FA2119">
      <w:pPr>
        <w:rPr>
          <w:rtl/>
        </w:rPr>
      </w:pPr>
    </w:p>
    <w:p w14:paraId="19D399D7" w14:textId="77777777" w:rsidR="00FA2119" w:rsidRDefault="00FA2119" w:rsidP="00FA2119">
      <w:pPr>
        <w:pStyle w:val="2"/>
        <w:rPr>
          <w:rtl/>
        </w:rPr>
      </w:pPr>
      <w:r>
        <w:rPr>
          <w:rFonts w:hint="cs"/>
          <w:rtl/>
        </w:rPr>
        <w:t>סעיף</w:t>
      </w:r>
      <w:r>
        <w:rPr>
          <w:rtl/>
        </w:rPr>
        <w:t xml:space="preserve"> </w:t>
      </w:r>
      <w:r>
        <w:rPr>
          <w:rFonts w:hint="cs"/>
          <w:rtl/>
        </w:rPr>
        <w:t>לד: יתיכי. ליכי.</w:t>
      </w:r>
    </w:p>
    <w:p w14:paraId="65C19961" w14:textId="77777777" w:rsidR="00FA2119" w:rsidRPr="003F67CD" w:rsidRDefault="00FA2119" w:rsidP="00FA2119">
      <w:pPr>
        <w:rPr>
          <w:u w:val="single"/>
          <w:rtl/>
        </w:rPr>
      </w:pPr>
      <w:r>
        <w:rPr>
          <w:rFonts w:hint="cs"/>
          <w:u w:val="single"/>
          <w:rtl/>
        </w:rPr>
        <w:t>כתיבת המילה '</w:t>
      </w:r>
      <w:r w:rsidRPr="003F67CD">
        <w:rPr>
          <w:rFonts w:hint="cs"/>
          <w:u w:val="single"/>
          <w:rtl/>
        </w:rPr>
        <w:t>יתיכי</w:t>
      </w:r>
      <w:r>
        <w:rPr>
          <w:rFonts w:hint="cs"/>
          <w:u w:val="single"/>
          <w:rtl/>
        </w:rPr>
        <w:t>'</w:t>
      </w:r>
      <w:r w:rsidRPr="003F67CD">
        <w:rPr>
          <w:rFonts w:hint="cs"/>
          <w:u w:val="single"/>
          <w:rtl/>
        </w:rPr>
        <w:t>:</w:t>
      </w:r>
    </w:p>
    <w:p w14:paraId="4F261AFE" w14:textId="4DDC849B" w:rsidR="00FA2119" w:rsidRDefault="00FA2119" w:rsidP="00FA2119">
      <w:pPr>
        <w:pStyle w:val="ab"/>
        <w:numPr>
          <w:ilvl w:val="0"/>
          <w:numId w:val="56"/>
        </w:numPr>
        <w:rPr>
          <w:rFonts w:cs="Arial"/>
        </w:rPr>
      </w:pPr>
      <w:r w:rsidRPr="00DD687C">
        <w:rPr>
          <w:rFonts w:cs="Arial"/>
          <w:rtl/>
        </w:rPr>
        <w:t xml:space="preserve">כל בו </w:t>
      </w:r>
      <w:r w:rsidRPr="00DD687C">
        <w:rPr>
          <w:rFonts w:cs="Arial"/>
          <w:sz w:val="16"/>
          <w:szCs w:val="16"/>
          <w:rtl/>
        </w:rPr>
        <w:t xml:space="preserve">(סי' עו מז ע"ד) </w:t>
      </w:r>
      <w:r>
        <w:rPr>
          <w:rFonts w:cs="Arial" w:hint="cs"/>
          <w:rtl/>
        </w:rPr>
        <w:t>ו</w:t>
      </w:r>
      <w:r w:rsidRPr="00DD687C">
        <w:rPr>
          <w:rFonts w:cs="Arial"/>
          <w:rtl/>
        </w:rPr>
        <w:t xml:space="preserve">מרדכי </w:t>
      </w:r>
      <w:r w:rsidRPr="00DD687C">
        <w:rPr>
          <w:rFonts w:cs="Arial"/>
          <w:sz w:val="16"/>
          <w:szCs w:val="16"/>
          <w:rtl/>
        </w:rPr>
        <w:t>(</w:t>
      </w:r>
      <w:r w:rsidRPr="00DD687C">
        <w:rPr>
          <w:rFonts w:cs="Arial" w:hint="cs"/>
          <w:sz w:val="16"/>
          <w:szCs w:val="16"/>
          <w:rtl/>
        </w:rPr>
        <w:t xml:space="preserve">בהלכות הגט </w:t>
      </w:r>
      <w:r w:rsidRPr="00DD687C">
        <w:rPr>
          <w:rFonts w:cs="Arial"/>
          <w:sz w:val="16"/>
          <w:szCs w:val="16"/>
          <w:rtl/>
        </w:rPr>
        <w:t>סי' תנד)</w:t>
      </w:r>
      <w:r w:rsidR="00A82951">
        <w:rPr>
          <w:rFonts w:cs="Arial" w:hint="cs"/>
          <w:rtl/>
        </w:rPr>
        <w:t>-</w:t>
      </w:r>
      <w:r>
        <w:rPr>
          <w:rFonts w:cs="Arial" w:hint="cs"/>
          <w:rtl/>
        </w:rPr>
        <w:t xml:space="preserve"> </w:t>
      </w:r>
      <w:r w:rsidRPr="003F67CD">
        <w:rPr>
          <w:rFonts w:cs="Arial"/>
          <w:rtl/>
        </w:rPr>
        <w:t>יתיכי</w:t>
      </w:r>
      <w:r>
        <w:rPr>
          <w:rFonts w:cs="Arial" w:hint="cs"/>
          <w:rtl/>
        </w:rPr>
        <w:t xml:space="preserve"> </w:t>
      </w:r>
      <w:r w:rsidRPr="003F67CD">
        <w:rPr>
          <w:rFonts w:cs="Arial"/>
          <w:rtl/>
        </w:rPr>
        <w:t>הוא בג' יודי"ן</w:t>
      </w:r>
      <w:r w:rsidRPr="003F67CD">
        <w:rPr>
          <w:rFonts w:cs="Arial" w:hint="cs"/>
          <w:rtl/>
        </w:rPr>
        <w:t>.</w:t>
      </w:r>
      <w:r w:rsidRPr="003F67CD">
        <w:rPr>
          <w:rFonts w:cs="Arial"/>
          <w:rtl/>
        </w:rPr>
        <w:t xml:space="preserve"> </w:t>
      </w:r>
      <w:r w:rsidRPr="002D1848">
        <w:rPr>
          <w:rFonts w:cs="Arial" w:hint="cs"/>
          <w:color w:val="E36C0A" w:themeColor="accent6" w:themeShade="BF"/>
          <w:rtl/>
        </w:rPr>
        <w:t>(וכ"פ בשו"ע)</w:t>
      </w:r>
    </w:p>
    <w:p w14:paraId="03E66CAD" w14:textId="77777777" w:rsidR="00FA2119" w:rsidRPr="003F67CD" w:rsidRDefault="00FA2119" w:rsidP="00FA2119">
      <w:pPr>
        <w:rPr>
          <w:rFonts w:cs="Arial"/>
          <w:u w:val="single"/>
          <w:rtl/>
        </w:rPr>
      </w:pPr>
      <w:r>
        <w:rPr>
          <w:rFonts w:hint="cs"/>
          <w:u w:val="single"/>
          <w:rtl/>
        </w:rPr>
        <w:t>כתיבת המילה '</w:t>
      </w:r>
      <w:r w:rsidRPr="003F67CD">
        <w:rPr>
          <w:rFonts w:cs="Arial" w:hint="cs"/>
          <w:u w:val="single"/>
          <w:rtl/>
        </w:rPr>
        <w:t>ליכי</w:t>
      </w:r>
      <w:r>
        <w:rPr>
          <w:rFonts w:cs="Arial" w:hint="cs"/>
          <w:u w:val="single"/>
          <w:rtl/>
        </w:rPr>
        <w:t>'</w:t>
      </w:r>
      <w:r w:rsidRPr="003F67CD">
        <w:rPr>
          <w:rFonts w:cs="Arial" w:hint="cs"/>
          <w:u w:val="single"/>
          <w:rtl/>
        </w:rPr>
        <w:t>:</w:t>
      </w:r>
    </w:p>
    <w:p w14:paraId="39E3D9A0" w14:textId="3FE272C7" w:rsidR="00FA2119" w:rsidRPr="00880051" w:rsidRDefault="00FA2119" w:rsidP="00FA2119">
      <w:pPr>
        <w:pStyle w:val="ab"/>
        <w:numPr>
          <w:ilvl w:val="0"/>
          <w:numId w:val="56"/>
        </w:numPr>
      </w:pPr>
      <w:r>
        <w:rPr>
          <w:rFonts w:cs="Arial" w:hint="cs"/>
          <w:rtl/>
        </w:rPr>
        <w:t xml:space="preserve">כל בו </w:t>
      </w:r>
      <w:r>
        <w:rPr>
          <w:rFonts w:cs="Arial" w:hint="cs"/>
          <w:sz w:val="16"/>
          <w:szCs w:val="16"/>
          <w:rtl/>
        </w:rPr>
        <w:t>(שם)</w:t>
      </w:r>
      <w:r w:rsidR="00A82951">
        <w:rPr>
          <w:rFonts w:cs="Arial" w:hint="cs"/>
          <w:rtl/>
        </w:rPr>
        <w:t>-</w:t>
      </w:r>
      <w:r>
        <w:rPr>
          <w:rFonts w:cs="Arial" w:hint="cs"/>
          <w:rtl/>
        </w:rPr>
        <w:t xml:space="preserve"> </w:t>
      </w:r>
      <w:r w:rsidRPr="00880051">
        <w:rPr>
          <w:rFonts w:cs="Arial"/>
          <w:rtl/>
        </w:rPr>
        <w:t>ליכי שני יודי"ן, והאורבלי כתב לכי בלא יו"ד</w:t>
      </w:r>
      <w:r>
        <w:rPr>
          <w:rFonts w:cs="Arial" w:hint="cs"/>
          <w:rtl/>
        </w:rPr>
        <w:t>,</w:t>
      </w:r>
      <w:r w:rsidRPr="00880051">
        <w:rPr>
          <w:rFonts w:cs="Arial"/>
          <w:rtl/>
        </w:rPr>
        <w:t xml:space="preserve"> דלא לישמע לי כי את אנתתי, אבל בשאר ליכי אין לחוש</w:t>
      </w:r>
      <w:r>
        <w:rPr>
          <w:rFonts w:cs="Arial" w:hint="cs"/>
          <w:rtl/>
        </w:rPr>
        <w:t>.</w:t>
      </w:r>
      <w:r w:rsidRPr="00880051">
        <w:rPr>
          <w:rFonts w:cs="Arial"/>
          <w:rtl/>
        </w:rPr>
        <w:t xml:space="preserve"> והר"ף ז"ל אומר בשם רבינו יחיאל ד</w:t>
      </w:r>
      <w:r>
        <w:rPr>
          <w:rFonts w:cs="Arial" w:hint="cs"/>
          <w:rtl/>
        </w:rPr>
        <w:t>י</w:t>
      </w:r>
      <w:r w:rsidRPr="00880051">
        <w:rPr>
          <w:rFonts w:cs="Arial"/>
          <w:rtl/>
        </w:rPr>
        <w:t xml:space="preserve">ש לכתוב בו יו"ד כמו </w:t>
      </w:r>
      <w:r w:rsidRPr="003F67CD">
        <w:rPr>
          <w:rFonts w:cs="Arial"/>
          <w:rtl/>
        </w:rPr>
        <w:t xml:space="preserve">(שמות ב, ט) </w:t>
      </w:r>
      <w:r w:rsidRPr="00880051">
        <w:rPr>
          <w:rFonts w:cs="Arial"/>
          <w:rtl/>
        </w:rPr>
        <w:t>היליכי</w:t>
      </w:r>
      <w:r>
        <w:rPr>
          <w:rFonts w:cs="Arial" w:hint="cs"/>
          <w:rtl/>
        </w:rPr>
        <w:t>,</w:t>
      </w:r>
      <w:r w:rsidRPr="00880051">
        <w:rPr>
          <w:rFonts w:cs="Arial"/>
          <w:rtl/>
        </w:rPr>
        <w:t xml:space="preserve"> ר"ל שליכי</w:t>
      </w:r>
      <w:r>
        <w:rPr>
          <w:rFonts w:cs="Arial" w:hint="cs"/>
          <w:rtl/>
        </w:rPr>
        <w:t>.</w:t>
      </w:r>
      <w:r w:rsidRPr="00880051">
        <w:rPr>
          <w:rFonts w:cs="Arial"/>
          <w:rtl/>
        </w:rPr>
        <w:t xml:space="preserve"> וכן נתוכח עם הרב רבינו משה מרשל"י</w:t>
      </w:r>
      <w:r>
        <w:rPr>
          <w:rFonts w:cs="Arial" w:hint="cs"/>
          <w:rtl/>
        </w:rPr>
        <w:t xml:space="preserve">. </w:t>
      </w:r>
      <w:r w:rsidRPr="002D1848">
        <w:rPr>
          <w:rFonts w:cs="Arial" w:hint="cs"/>
          <w:color w:val="E36C0A" w:themeColor="accent6" w:themeShade="BF"/>
          <w:rtl/>
        </w:rPr>
        <w:t>(וכ"פ בשו"ע)</w:t>
      </w:r>
    </w:p>
    <w:p w14:paraId="7520B27A"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26BECFB" w14:textId="77777777" w:rsidR="00FA2119" w:rsidRDefault="00FA2119" w:rsidP="00FA2119">
      <w:pPr>
        <w:rPr>
          <w:rtl/>
        </w:rPr>
      </w:pPr>
      <w:r>
        <w:rPr>
          <w:rFonts w:cs="Arial" w:hint="cs"/>
          <w:rtl/>
        </w:rPr>
        <w:t>יתיכי</w:t>
      </w:r>
      <w:r>
        <w:rPr>
          <w:rFonts w:cs="Arial"/>
          <w:rtl/>
        </w:rPr>
        <w:t xml:space="preserve">, </w:t>
      </w:r>
      <w:r>
        <w:rPr>
          <w:rFonts w:cs="Arial" w:hint="cs"/>
          <w:rtl/>
        </w:rPr>
        <w:t>בג</w:t>
      </w:r>
      <w:r>
        <w:rPr>
          <w:rFonts w:cs="Arial"/>
          <w:rtl/>
        </w:rPr>
        <w:t xml:space="preserve">' </w:t>
      </w:r>
      <w:r>
        <w:rPr>
          <w:rFonts w:cs="Arial" w:hint="cs"/>
          <w:rtl/>
        </w:rPr>
        <w:t>יודי</w:t>
      </w:r>
      <w:r>
        <w:rPr>
          <w:rFonts w:cs="Arial"/>
          <w:rtl/>
        </w:rPr>
        <w:t>"</w:t>
      </w:r>
      <w:r>
        <w:rPr>
          <w:rFonts w:cs="Arial" w:hint="cs"/>
          <w:rtl/>
        </w:rPr>
        <w:t>ן</w:t>
      </w:r>
      <w:r>
        <w:rPr>
          <w:rFonts w:cs="Arial"/>
          <w:rtl/>
        </w:rPr>
        <w:t xml:space="preserve">. </w:t>
      </w:r>
      <w:r>
        <w:rPr>
          <w:rFonts w:cs="Arial" w:hint="cs"/>
          <w:rtl/>
        </w:rPr>
        <w:t>ליכי</w:t>
      </w:r>
      <w:r>
        <w:rPr>
          <w:rFonts w:cs="Arial"/>
          <w:rtl/>
        </w:rPr>
        <w:t xml:space="preserve">, </w:t>
      </w:r>
      <w:r>
        <w:rPr>
          <w:rFonts w:cs="Arial" w:hint="cs"/>
          <w:rtl/>
        </w:rPr>
        <w:t>בשני</w:t>
      </w:r>
      <w:r>
        <w:rPr>
          <w:rFonts w:cs="Arial"/>
          <w:rtl/>
        </w:rPr>
        <w:t xml:space="preserve"> </w:t>
      </w:r>
      <w:r>
        <w:rPr>
          <w:rFonts w:cs="Arial" w:hint="cs"/>
          <w:rtl/>
        </w:rPr>
        <w:t>יודי</w:t>
      </w:r>
      <w:r>
        <w:rPr>
          <w:rFonts w:cs="Arial"/>
          <w:rtl/>
        </w:rPr>
        <w:t>"</w:t>
      </w:r>
      <w:r>
        <w:rPr>
          <w:rFonts w:cs="Arial" w:hint="cs"/>
          <w:rtl/>
        </w:rPr>
        <w:t>ן</w:t>
      </w:r>
      <w:r>
        <w:rPr>
          <w:rStyle w:val="a7"/>
          <w:rFonts w:cs="Arial"/>
          <w:rtl/>
        </w:rPr>
        <w:footnoteReference w:id="807"/>
      </w:r>
      <w:r>
        <w:rPr>
          <w:rFonts w:cs="Arial"/>
          <w:rtl/>
        </w:rPr>
        <w:t xml:space="preserve">. </w:t>
      </w:r>
    </w:p>
    <w:p w14:paraId="016F1A00" w14:textId="77777777" w:rsidR="00FA2119" w:rsidRPr="00AA71DB" w:rsidRDefault="00FA2119" w:rsidP="00FA2119">
      <w:pPr>
        <w:rPr>
          <w:sz w:val="16"/>
          <w:szCs w:val="16"/>
          <w:rtl/>
        </w:rPr>
      </w:pPr>
      <w:r w:rsidRPr="00880051">
        <w:rPr>
          <w:rFonts w:hint="cs"/>
          <w:u w:val="single"/>
          <w:rtl/>
        </w:rPr>
        <w:t xml:space="preserve">כתב 'יתיכי' בשתי תיבות </w:t>
      </w:r>
      <w:r>
        <w:rPr>
          <w:rFonts w:hint="cs"/>
          <w:u w:val="single"/>
          <w:rtl/>
        </w:rPr>
        <w:t>(</w:t>
      </w:r>
      <w:r w:rsidRPr="00880051">
        <w:rPr>
          <w:rFonts w:hint="cs"/>
          <w:u w:val="single"/>
          <w:rtl/>
        </w:rPr>
        <w:t>'יתי</w:t>
      </w:r>
      <w:r>
        <w:rPr>
          <w:rFonts w:hint="cs"/>
          <w:u w:val="single"/>
          <w:rtl/>
        </w:rPr>
        <w:t xml:space="preserve"> </w:t>
      </w:r>
      <w:r w:rsidRPr="00880051">
        <w:rPr>
          <w:rFonts w:hint="cs"/>
          <w:u w:val="single"/>
          <w:rtl/>
        </w:rPr>
        <w:t>כי'</w:t>
      </w:r>
      <w:r>
        <w:rPr>
          <w:rFonts w:hint="cs"/>
          <w:u w:val="single"/>
          <w:rtl/>
        </w:rPr>
        <w:t>), או תיבת 'ליכי' בשתי תיבות ('לי כי')</w:t>
      </w:r>
      <w:r w:rsidRPr="00880051">
        <w:rPr>
          <w:rFonts w:hint="cs"/>
          <w:u w:val="single"/>
          <w:rtl/>
        </w:rPr>
        <w:t>:</w:t>
      </w:r>
      <w:r>
        <w:rPr>
          <w:rFonts w:hint="cs"/>
          <w:sz w:val="16"/>
          <w:szCs w:val="16"/>
          <w:rtl/>
        </w:rPr>
        <w:t xml:space="preserve"> (פת"ש סקל"ו)</w:t>
      </w:r>
    </w:p>
    <w:p w14:paraId="1E452A0D" w14:textId="327A3330" w:rsidR="00FA2119" w:rsidRPr="00880051" w:rsidRDefault="00FA2119" w:rsidP="00FA2119">
      <w:pPr>
        <w:pStyle w:val="ab"/>
        <w:numPr>
          <w:ilvl w:val="0"/>
          <w:numId w:val="56"/>
        </w:numPr>
        <w:rPr>
          <w:rFonts w:cs="Arial"/>
          <w:rtl/>
        </w:rPr>
      </w:pPr>
      <w:r w:rsidRPr="00880051">
        <w:rPr>
          <w:rFonts w:cs="Arial"/>
          <w:rtl/>
        </w:rPr>
        <w:t xml:space="preserve">ג"פ </w:t>
      </w:r>
      <w:r w:rsidRPr="00AA71DB">
        <w:rPr>
          <w:rFonts w:cs="Arial" w:hint="cs"/>
          <w:sz w:val="16"/>
          <w:szCs w:val="16"/>
          <w:rtl/>
        </w:rPr>
        <w:t>(</w:t>
      </w:r>
      <w:r w:rsidRPr="00AA71DB">
        <w:rPr>
          <w:rFonts w:cs="Arial"/>
          <w:sz w:val="16"/>
          <w:szCs w:val="16"/>
          <w:rtl/>
        </w:rPr>
        <w:t>סקפ"ו</w:t>
      </w:r>
      <w:r w:rsidRPr="00AA71DB">
        <w:rPr>
          <w:rFonts w:cs="Arial" w:hint="cs"/>
          <w:sz w:val="16"/>
          <w:szCs w:val="16"/>
          <w:rtl/>
        </w:rPr>
        <w:t>)</w:t>
      </w:r>
      <w:r w:rsidR="00A82951">
        <w:rPr>
          <w:rFonts w:cs="Arial" w:hint="cs"/>
          <w:rtl/>
        </w:rPr>
        <w:t>-</w:t>
      </w:r>
      <w:r w:rsidRPr="00880051">
        <w:rPr>
          <w:rFonts w:cs="Arial"/>
          <w:rtl/>
        </w:rPr>
        <w:t xml:space="preserve"> </w:t>
      </w:r>
      <w:r w:rsidRPr="00AA71DB">
        <w:rPr>
          <w:rFonts w:cs="Arial"/>
          <w:rtl/>
        </w:rPr>
        <w:t xml:space="preserve">הרלב"ח </w:t>
      </w:r>
      <w:r>
        <w:rPr>
          <w:rFonts w:cs="Arial" w:hint="cs"/>
          <w:rtl/>
        </w:rPr>
        <w:t>(</w:t>
      </w:r>
      <w:r w:rsidRPr="00AA71DB">
        <w:rPr>
          <w:rFonts w:cs="Arial"/>
          <w:rtl/>
        </w:rPr>
        <w:t>בתשו' סי' קכט</w:t>
      </w:r>
      <w:r>
        <w:rPr>
          <w:rFonts w:cs="Arial" w:hint="cs"/>
          <w:rtl/>
        </w:rPr>
        <w:t>)</w:t>
      </w:r>
      <w:r w:rsidRPr="00AA71DB">
        <w:rPr>
          <w:rFonts w:cs="Arial"/>
          <w:rtl/>
        </w:rPr>
        <w:t xml:space="preserve"> כתב דאם כתב יתי כי ב' תיבות</w:t>
      </w:r>
      <w:r>
        <w:rPr>
          <w:rFonts w:cs="Arial" w:hint="cs"/>
          <w:rtl/>
        </w:rPr>
        <w:t xml:space="preserve"> </w:t>
      </w:r>
      <w:r w:rsidR="00A82951">
        <w:rPr>
          <w:rFonts w:cs="Arial" w:hint="cs"/>
          <w:rtl/>
        </w:rPr>
        <w:t>-</w:t>
      </w:r>
      <w:r w:rsidRPr="00AA71DB">
        <w:rPr>
          <w:rFonts w:cs="Arial"/>
          <w:rtl/>
        </w:rPr>
        <w:t xml:space="preserve"> הגט פסול בודאי</w:t>
      </w:r>
      <w:r>
        <w:rPr>
          <w:rFonts w:cs="Arial" w:hint="cs"/>
          <w:rtl/>
        </w:rPr>
        <w:t>,</w:t>
      </w:r>
      <w:r w:rsidRPr="00AA71DB">
        <w:rPr>
          <w:rFonts w:cs="Arial"/>
          <w:rtl/>
        </w:rPr>
        <w:t xml:space="preserve"> שהרי שינה בכונת הגרושין</w:t>
      </w:r>
      <w:r>
        <w:rPr>
          <w:rFonts w:cs="Arial" w:hint="cs"/>
          <w:rtl/>
        </w:rPr>
        <w:t>,</w:t>
      </w:r>
      <w:r w:rsidRPr="00AA71DB">
        <w:rPr>
          <w:rFonts w:cs="Arial"/>
          <w:rtl/>
        </w:rPr>
        <w:t xml:space="preserve"> שצריך שיפטור וישלח את אשתו</w:t>
      </w:r>
      <w:r>
        <w:rPr>
          <w:rFonts w:cs="Arial" w:hint="cs"/>
          <w:rtl/>
        </w:rPr>
        <w:t>,</w:t>
      </w:r>
      <w:r w:rsidRPr="00AA71DB">
        <w:rPr>
          <w:rFonts w:cs="Arial"/>
          <w:rtl/>
        </w:rPr>
        <w:t xml:space="preserve"> ובזה פוטר את עצמו ממנה ופסול. גם כתב שם דאם כתב תיבת לי כי ב' תיבות שהגט פסול</w:t>
      </w:r>
      <w:r>
        <w:rPr>
          <w:rFonts w:cs="Arial" w:hint="cs"/>
          <w:rtl/>
        </w:rPr>
        <w:t>,</w:t>
      </w:r>
      <w:r w:rsidRPr="00AA71DB">
        <w:rPr>
          <w:rFonts w:cs="Arial"/>
          <w:rtl/>
        </w:rPr>
        <w:t xml:space="preserve"> שהרי שינה הכונה בגירושין</w:t>
      </w:r>
      <w:r>
        <w:rPr>
          <w:rFonts w:cs="Arial" w:hint="cs"/>
          <w:rtl/>
        </w:rPr>
        <w:t>.</w:t>
      </w:r>
      <w:r w:rsidRPr="00AA71DB">
        <w:rPr>
          <w:rFonts w:cs="Arial"/>
          <w:rtl/>
        </w:rPr>
        <w:t xml:space="preserve"> והמבי"ט שם חלק עליו</w:t>
      </w:r>
      <w:r>
        <w:rPr>
          <w:rFonts w:cs="Arial" w:hint="cs"/>
          <w:rtl/>
        </w:rPr>
        <w:t>.</w:t>
      </w:r>
      <w:r w:rsidRPr="00AA71DB">
        <w:rPr>
          <w:rFonts w:cs="Arial"/>
          <w:rtl/>
        </w:rPr>
        <w:t xml:space="preserve"> וחזר מהרלב"ח והשיג על המבי"ט וקיים את דבריו</w:t>
      </w:r>
      <w:r>
        <w:rPr>
          <w:rFonts w:cs="Arial" w:hint="cs"/>
          <w:rtl/>
        </w:rPr>
        <w:t>.</w:t>
      </w:r>
    </w:p>
    <w:p w14:paraId="5E6AFA19" w14:textId="77777777" w:rsidR="00FA2119" w:rsidRDefault="00FA2119" w:rsidP="00FA2119">
      <w:pPr>
        <w:rPr>
          <w:rtl/>
        </w:rPr>
      </w:pPr>
    </w:p>
    <w:p w14:paraId="490985C8" w14:textId="77777777" w:rsidR="00FA2119" w:rsidRDefault="00FA2119" w:rsidP="00FA2119">
      <w:pPr>
        <w:pStyle w:val="2"/>
        <w:rPr>
          <w:rtl/>
        </w:rPr>
      </w:pPr>
      <w:r>
        <w:rPr>
          <w:rFonts w:hint="cs"/>
          <w:rtl/>
        </w:rPr>
        <w:t>סעיף</w:t>
      </w:r>
      <w:r>
        <w:rPr>
          <w:rtl/>
        </w:rPr>
        <w:t xml:space="preserve"> </w:t>
      </w:r>
      <w:r>
        <w:rPr>
          <w:rFonts w:hint="cs"/>
          <w:rtl/>
        </w:rPr>
        <w:t>לה: דהוית.</w:t>
      </w:r>
    </w:p>
    <w:p w14:paraId="0D5E3302" w14:textId="77777777" w:rsidR="00FA2119" w:rsidRDefault="00FA2119" w:rsidP="00FA2119">
      <w:pPr>
        <w:rPr>
          <w:rFonts w:cs="Arial"/>
          <w:rtl/>
        </w:rPr>
      </w:pPr>
      <w:r>
        <w:rPr>
          <w:rFonts w:hint="cs"/>
          <w:u w:val="single"/>
          <w:rtl/>
        </w:rPr>
        <w:t>כתיבת המילה '</w:t>
      </w:r>
      <w:r w:rsidRPr="009C1856">
        <w:rPr>
          <w:rFonts w:cs="Arial" w:hint="cs"/>
          <w:u w:val="single"/>
          <w:rtl/>
        </w:rPr>
        <w:t>דהוית</w:t>
      </w:r>
      <w:r>
        <w:rPr>
          <w:rFonts w:cs="Arial" w:hint="cs"/>
          <w:u w:val="single"/>
          <w:rtl/>
        </w:rPr>
        <w:t>'</w:t>
      </w:r>
      <w:r w:rsidRPr="009C1856">
        <w:rPr>
          <w:rFonts w:cs="Arial" w:hint="cs"/>
          <w:u w:val="single"/>
          <w:rtl/>
        </w:rPr>
        <w:t>:</w:t>
      </w:r>
    </w:p>
    <w:p w14:paraId="71D79609" w14:textId="4E2AE70A" w:rsidR="00FA2119" w:rsidRPr="009C1856" w:rsidRDefault="00FA2119" w:rsidP="00FA2119">
      <w:pPr>
        <w:pStyle w:val="ab"/>
        <w:numPr>
          <w:ilvl w:val="0"/>
          <w:numId w:val="56"/>
        </w:numPr>
      </w:pPr>
      <w:r w:rsidRPr="009C1856">
        <w:rPr>
          <w:rFonts w:cs="Arial"/>
          <w:rtl/>
        </w:rPr>
        <w:t xml:space="preserve">רי"ף </w:t>
      </w:r>
      <w:r w:rsidRPr="009C1856">
        <w:rPr>
          <w:rFonts w:cs="Arial"/>
          <w:sz w:val="16"/>
          <w:szCs w:val="16"/>
          <w:rtl/>
        </w:rPr>
        <w:t xml:space="preserve">(מה:) </w:t>
      </w:r>
      <w:r w:rsidRPr="00AF1304">
        <w:rPr>
          <w:rFonts w:cs="Arial"/>
          <w:rtl/>
        </w:rPr>
        <w:t xml:space="preserve">סמ"ג </w:t>
      </w:r>
      <w:r w:rsidRPr="009C1856">
        <w:rPr>
          <w:rFonts w:cs="Arial"/>
          <w:sz w:val="16"/>
          <w:szCs w:val="16"/>
          <w:rtl/>
        </w:rPr>
        <w:t xml:space="preserve">(עשין </w:t>
      </w:r>
      <w:r>
        <w:rPr>
          <w:rFonts w:cs="Arial" w:hint="cs"/>
          <w:sz w:val="16"/>
          <w:szCs w:val="16"/>
          <w:rtl/>
        </w:rPr>
        <w:t>נ</w:t>
      </w:r>
      <w:r w:rsidRPr="009C1856">
        <w:rPr>
          <w:rFonts w:cs="Arial"/>
          <w:sz w:val="16"/>
          <w:szCs w:val="16"/>
          <w:rtl/>
        </w:rPr>
        <w:t>)</w:t>
      </w:r>
      <w:r w:rsidRPr="009C1856">
        <w:rPr>
          <w:rFonts w:cs="Arial" w:hint="cs"/>
          <w:sz w:val="16"/>
          <w:szCs w:val="16"/>
          <w:rtl/>
        </w:rPr>
        <w:t xml:space="preserve"> </w:t>
      </w:r>
      <w:r w:rsidRPr="009C1856">
        <w:rPr>
          <w:rFonts w:cs="Arial"/>
          <w:rtl/>
        </w:rPr>
        <w:t>רא"ש</w:t>
      </w:r>
      <w:r>
        <w:rPr>
          <w:rFonts w:cs="Arial" w:hint="cs"/>
          <w:sz w:val="16"/>
          <w:szCs w:val="16"/>
          <w:rtl/>
        </w:rPr>
        <w:t xml:space="preserve"> (בסדר הגט)</w:t>
      </w:r>
      <w:r w:rsidRPr="009C1856">
        <w:rPr>
          <w:rFonts w:cs="Arial"/>
          <w:rtl/>
        </w:rPr>
        <w:t xml:space="preserve"> ו</w:t>
      </w:r>
      <w:r w:rsidRPr="009C1856">
        <w:rPr>
          <w:rFonts w:cs="Arial" w:hint="cs"/>
          <w:rtl/>
        </w:rPr>
        <w:t>טור</w:t>
      </w:r>
      <w:r w:rsidR="00A82951">
        <w:rPr>
          <w:rFonts w:cs="Arial" w:hint="cs"/>
          <w:rtl/>
        </w:rPr>
        <w:t>-</w:t>
      </w:r>
      <w:r w:rsidRPr="009C1856">
        <w:rPr>
          <w:rFonts w:cs="Arial" w:hint="cs"/>
          <w:rtl/>
        </w:rPr>
        <w:t xml:space="preserve"> דהוית, </w:t>
      </w:r>
      <w:r w:rsidRPr="009C1856">
        <w:rPr>
          <w:rFonts w:cs="Arial"/>
          <w:rtl/>
        </w:rPr>
        <w:t>תיבה אחת</w:t>
      </w:r>
      <w:r w:rsidRPr="009C1856">
        <w:rPr>
          <w:rFonts w:cs="Arial" w:hint="cs"/>
          <w:rtl/>
        </w:rPr>
        <w:t>.</w:t>
      </w:r>
      <w:r w:rsidRPr="009C1856">
        <w:rPr>
          <w:rFonts w:cs="Arial"/>
          <w:rtl/>
        </w:rPr>
        <w:t xml:space="preserve"> </w:t>
      </w:r>
      <w:r w:rsidRPr="002D1848">
        <w:rPr>
          <w:rFonts w:cs="Arial" w:hint="cs"/>
          <w:color w:val="E36C0A" w:themeColor="accent6" w:themeShade="BF"/>
          <w:rtl/>
        </w:rPr>
        <w:t>(וכ"פ בשו"ע)</w:t>
      </w:r>
    </w:p>
    <w:p w14:paraId="76A3CDF4" w14:textId="74F6B0F0" w:rsidR="00FA2119" w:rsidRPr="009C1856" w:rsidRDefault="00FA2119" w:rsidP="00FA2119">
      <w:pPr>
        <w:pStyle w:val="ab"/>
        <w:numPr>
          <w:ilvl w:val="0"/>
          <w:numId w:val="56"/>
        </w:numPr>
        <w:rPr>
          <w:rFonts w:cs="Arial"/>
          <w:rtl/>
        </w:rPr>
      </w:pPr>
      <w:r w:rsidRPr="009C1856">
        <w:rPr>
          <w:rFonts w:cs="Arial"/>
          <w:rtl/>
        </w:rPr>
        <w:t xml:space="preserve">רמב"ם </w:t>
      </w:r>
      <w:r>
        <w:rPr>
          <w:rFonts w:cs="Arial" w:hint="cs"/>
          <w:sz w:val="16"/>
          <w:szCs w:val="16"/>
          <w:rtl/>
        </w:rPr>
        <w:t>(פ"ד הי"ב)</w:t>
      </w:r>
      <w:r w:rsidR="00A82951">
        <w:rPr>
          <w:rFonts w:cs="Arial" w:hint="cs"/>
          <w:rtl/>
        </w:rPr>
        <w:t>-</w:t>
      </w:r>
      <w:r w:rsidRPr="009C1856">
        <w:rPr>
          <w:rFonts w:cs="Arial"/>
          <w:rtl/>
        </w:rPr>
        <w:t xml:space="preserve"> די הוית</w:t>
      </w:r>
      <w:r>
        <w:rPr>
          <w:rFonts w:cs="Arial" w:hint="cs"/>
          <w:rtl/>
        </w:rPr>
        <w:t>,</w:t>
      </w:r>
      <w:r w:rsidRPr="009C1856">
        <w:rPr>
          <w:rFonts w:cs="Arial"/>
          <w:rtl/>
        </w:rPr>
        <w:t xml:space="preserve"> שתי תיבות</w:t>
      </w:r>
      <w:r>
        <w:rPr>
          <w:rStyle w:val="a7"/>
          <w:rFonts w:cs="Arial"/>
          <w:rtl/>
        </w:rPr>
        <w:footnoteReference w:id="808"/>
      </w:r>
      <w:r>
        <w:rPr>
          <w:rFonts w:cs="Arial" w:hint="cs"/>
          <w:rtl/>
        </w:rPr>
        <w:t>.</w:t>
      </w:r>
    </w:p>
    <w:p w14:paraId="0520FF0F"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DE587D6" w14:textId="77777777" w:rsidR="00FA2119" w:rsidRPr="00CA1717" w:rsidRDefault="00FA2119" w:rsidP="00FA2119">
      <w:pPr>
        <w:rPr>
          <w:rFonts w:cs="Arial"/>
          <w:rtl/>
        </w:rPr>
      </w:pPr>
      <w:r>
        <w:rPr>
          <w:rFonts w:cs="Arial" w:hint="cs"/>
          <w:rtl/>
        </w:rPr>
        <w:lastRenderedPageBreak/>
        <w:t>נהגו</w:t>
      </w:r>
      <w:r>
        <w:rPr>
          <w:rFonts w:cs="Arial"/>
          <w:rtl/>
        </w:rPr>
        <w:t xml:space="preserve"> </w:t>
      </w:r>
      <w:r>
        <w:rPr>
          <w:rFonts w:cs="Arial" w:hint="cs"/>
          <w:rtl/>
        </w:rPr>
        <w:t>לכתוב</w:t>
      </w:r>
      <w:r>
        <w:rPr>
          <w:rFonts w:cs="Arial"/>
          <w:rtl/>
        </w:rPr>
        <w:t xml:space="preserve">: </w:t>
      </w:r>
      <w:r>
        <w:rPr>
          <w:rFonts w:cs="Arial" w:hint="cs"/>
          <w:rtl/>
        </w:rPr>
        <w:t>דהוית</w:t>
      </w:r>
      <w:r>
        <w:rPr>
          <w:rFonts w:cs="Arial"/>
          <w:rtl/>
        </w:rPr>
        <w:t xml:space="preserve">, </w:t>
      </w:r>
      <w:r>
        <w:rPr>
          <w:rFonts w:cs="Arial" w:hint="cs"/>
          <w:rtl/>
        </w:rPr>
        <w:t>תיבה</w:t>
      </w:r>
      <w:r>
        <w:rPr>
          <w:rFonts w:cs="Arial"/>
          <w:rtl/>
        </w:rPr>
        <w:t xml:space="preserve"> </w:t>
      </w:r>
      <w:r>
        <w:rPr>
          <w:rFonts w:cs="Arial" w:hint="cs"/>
          <w:rtl/>
        </w:rPr>
        <w:t>אחת</w:t>
      </w:r>
      <w:r>
        <w:rPr>
          <w:rStyle w:val="a7"/>
          <w:rFonts w:cs="Arial"/>
          <w:rtl/>
        </w:rPr>
        <w:footnoteReference w:id="809"/>
      </w:r>
      <w:r>
        <w:rPr>
          <w:rFonts w:cs="Arial"/>
          <w:rtl/>
        </w:rPr>
        <w:t xml:space="preserve">. </w:t>
      </w:r>
      <w:r w:rsidRPr="005066DE">
        <w:rPr>
          <w:rFonts w:cs="Arial" w:hint="cs"/>
          <w:sz w:val="18"/>
          <w:szCs w:val="18"/>
          <w:rtl/>
        </w:rPr>
        <w:t>הגה</w:t>
      </w:r>
      <w:r w:rsidRPr="005066DE">
        <w:rPr>
          <w:rFonts w:cs="Arial"/>
          <w:sz w:val="18"/>
          <w:szCs w:val="18"/>
          <w:rtl/>
        </w:rPr>
        <w:t xml:space="preserve">: </w:t>
      </w:r>
      <w:r w:rsidRPr="005066DE">
        <w:rPr>
          <w:rFonts w:cs="Arial" w:hint="cs"/>
          <w:sz w:val="18"/>
          <w:szCs w:val="18"/>
          <w:rtl/>
        </w:rPr>
        <w:t>אם</w:t>
      </w:r>
      <w:r w:rsidRPr="005066DE">
        <w:rPr>
          <w:rFonts w:cs="Arial"/>
          <w:sz w:val="18"/>
          <w:szCs w:val="18"/>
          <w:rtl/>
        </w:rPr>
        <w:t xml:space="preserve"> </w:t>
      </w:r>
      <w:r w:rsidRPr="005066DE">
        <w:rPr>
          <w:rFonts w:cs="Arial" w:hint="cs"/>
          <w:sz w:val="18"/>
          <w:szCs w:val="18"/>
          <w:rtl/>
        </w:rPr>
        <w:t>לא</w:t>
      </w:r>
      <w:r w:rsidRPr="005066DE">
        <w:rPr>
          <w:rFonts w:cs="Arial"/>
          <w:sz w:val="18"/>
          <w:szCs w:val="18"/>
          <w:rtl/>
        </w:rPr>
        <w:t xml:space="preserve"> </w:t>
      </w:r>
      <w:r w:rsidRPr="005066DE">
        <w:rPr>
          <w:rFonts w:cs="Arial" w:hint="cs"/>
          <w:sz w:val="18"/>
          <w:szCs w:val="18"/>
          <w:rtl/>
        </w:rPr>
        <w:t>כתב</w:t>
      </w:r>
      <w:r w:rsidRPr="005066DE">
        <w:rPr>
          <w:rFonts w:cs="Arial"/>
          <w:sz w:val="18"/>
          <w:szCs w:val="18"/>
          <w:rtl/>
        </w:rPr>
        <w:t xml:space="preserve">: </w:t>
      </w:r>
      <w:r w:rsidRPr="005066DE">
        <w:rPr>
          <w:rFonts w:cs="Arial" w:hint="cs"/>
          <w:sz w:val="18"/>
          <w:szCs w:val="18"/>
          <w:rtl/>
        </w:rPr>
        <w:t>מן</w:t>
      </w:r>
      <w:r w:rsidRPr="005066DE">
        <w:rPr>
          <w:rFonts w:cs="Arial"/>
          <w:sz w:val="18"/>
          <w:szCs w:val="18"/>
          <w:rtl/>
        </w:rPr>
        <w:t xml:space="preserve"> </w:t>
      </w:r>
      <w:r w:rsidRPr="005066DE">
        <w:rPr>
          <w:rFonts w:cs="Arial" w:hint="cs"/>
          <w:sz w:val="18"/>
          <w:szCs w:val="18"/>
          <w:rtl/>
        </w:rPr>
        <w:t>קדמת</w:t>
      </w:r>
      <w:r w:rsidRPr="005066DE">
        <w:rPr>
          <w:rFonts w:cs="Arial"/>
          <w:sz w:val="18"/>
          <w:szCs w:val="18"/>
          <w:rtl/>
        </w:rPr>
        <w:t xml:space="preserve"> </w:t>
      </w:r>
      <w:r w:rsidRPr="005066DE">
        <w:rPr>
          <w:rFonts w:cs="Arial" w:hint="cs"/>
          <w:sz w:val="18"/>
          <w:szCs w:val="18"/>
          <w:rtl/>
        </w:rPr>
        <w:t>דנא</w:t>
      </w:r>
      <w:r w:rsidRPr="005066DE">
        <w:rPr>
          <w:rFonts w:cs="Arial"/>
          <w:sz w:val="18"/>
          <w:szCs w:val="18"/>
          <w:rtl/>
        </w:rPr>
        <w:t xml:space="preserve">, </w:t>
      </w:r>
      <w:r w:rsidRPr="005066DE">
        <w:rPr>
          <w:rFonts w:cs="Arial" w:hint="cs"/>
          <w:sz w:val="18"/>
          <w:szCs w:val="18"/>
          <w:rtl/>
        </w:rPr>
        <w:t>רק</w:t>
      </w:r>
      <w:r w:rsidRPr="005066DE">
        <w:rPr>
          <w:rFonts w:cs="Arial"/>
          <w:sz w:val="18"/>
          <w:szCs w:val="18"/>
          <w:rtl/>
        </w:rPr>
        <w:t xml:space="preserve"> </w:t>
      </w:r>
      <w:r w:rsidRPr="005066DE">
        <w:rPr>
          <w:rFonts w:cs="Arial" w:hint="cs"/>
          <w:sz w:val="18"/>
          <w:szCs w:val="18"/>
          <w:rtl/>
        </w:rPr>
        <w:t>כתב</w:t>
      </w:r>
      <w:r w:rsidRPr="005066DE">
        <w:rPr>
          <w:rFonts w:cs="Arial"/>
          <w:sz w:val="18"/>
          <w:szCs w:val="18"/>
          <w:rtl/>
        </w:rPr>
        <w:t xml:space="preserve">: </w:t>
      </w:r>
      <w:r w:rsidRPr="005066DE">
        <w:rPr>
          <w:rFonts w:cs="Arial" w:hint="cs"/>
          <w:sz w:val="18"/>
          <w:szCs w:val="18"/>
          <w:rtl/>
        </w:rPr>
        <w:t>דהוית</w:t>
      </w:r>
      <w:r w:rsidRPr="005066DE">
        <w:rPr>
          <w:rFonts w:cs="Arial"/>
          <w:sz w:val="18"/>
          <w:szCs w:val="18"/>
          <w:rtl/>
        </w:rPr>
        <w:t xml:space="preserve"> </w:t>
      </w:r>
      <w:r w:rsidRPr="005066DE">
        <w:rPr>
          <w:rFonts w:cs="Arial" w:hint="cs"/>
          <w:sz w:val="18"/>
          <w:szCs w:val="18"/>
          <w:rtl/>
        </w:rPr>
        <w:t>אנתתי</w:t>
      </w:r>
      <w:r w:rsidRPr="005066DE">
        <w:rPr>
          <w:rFonts w:cs="Arial"/>
          <w:sz w:val="18"/>
          <w:szCs w:val="18"/>
          <w:rtl/>
        </w:rPr>
        <w:t xml:space="preserve"> (</w:t>
      </w:r>
      <w:r w:rsidRPr="005066DE">
        <w:rPr>
          <w:rFonts w:cs="Arial" w:hint="cs"/>
          <w:sz w:val="18"/>
          <w:szCs w:val="18"/>
          <w:rtl/>
        </w:rPr>
        <w:t>מצא</w:t>
      </w:r>
      <w:r w:rsidRPr="005066DE">
        <w:rPr>
          <w:rFonts w:cs="Arial"/>
          <w:sz w:val="18"/>
          <w:szCs w:val="18"/>
          <w:rtl/>
        </w:rPr>
        <w:t xml:space="preserve"> </w:t>
      </w:r>
      <w:r w:rsidRPr="005066DE">
        <w:rPr>
          <w:rFonts w:cs="Arial" w:hint="cs"/>
          <w:sz w:val="18"/>
          <w:szCs w:val="18"/>
          <w:rtl/>
        </w:rPr>
        <w:t>כתוב</w:t>
      </w:r>
      <w:r w:rsidRPr="005066DE">
        <w:rPr>
          <w:rFonts w:cs="Arial"/>
          <w:sz w:val="18"/>
          <w:szCs w:val="18"/>
          <w:rtl/>
        </w:rPr>
        <w:t xml:space="preserve"> </w:t>
      </w:r>
      <w:r w:rsidRPr="005066DE">
        <w:rPr>
          <w:rFonts w:cs="Arial" w:hint="cs"/>
          <w:sz w:val="18"/>
          <w:szCs w:val="18"/>
          <w:rtl/>
        </w:rPr>
        <w:t>בתיקון</w:t>
      </w:r>
      <w:r w:rsidRPr="005066DE">
        <w:rPr>
          <w:rFonts w:cs="Arial"/>
          <w:sz w:val="18"/>
          <w:szCs w:val="18"/>
          <w:rtl/>
        </w:rPr>
        <w:t xml:space="preserve">), </w:t>
      </w:r>
      <w:r w:rsidRPr="005066DE">
        <w:rPr>
          <w:rFonts w:cs="Arial" w:hint="cs"/>
          <w:sz w:val="18"/>
          <w:szCs w:val="18"/>
          <w:rtl/>
        </w:rPr>
        <w:t>או</w:t>
      </w:r>
      <w:r w:rsidRPr="005066DE">
        <w:rPr>
          <w:rFonts w:cs="Arial"/>
          <w:sz w:val="18"/>
          <w:szCs w:val="18"/>
          <w:rtl/>
        </w:rPr>
        <w:t xml:space="preserve"> </w:t>
      </w:r>
      <w:r w:rsidRPr="005066DE">
        <w:rPr>
          <w:rFonts w:cs="Arial" w:hint="cs"/>
          <w:sz w:val="18"/>
          <w:szCs w:val="18"/>
          <w:rtl/>
        </w:rPr>
        <w:t>דלג</w:t>
      </w:r>
      <w:r w:rsidRPr="005066DE">
        <w:rPr>
          <w:rFonts w:cs="Arial"/>
          <w:sz w:val="18"/>
          <w:szCs w:val="18"/>
          <w:rtl/>
        </w:rPr>
        <w:t xml:space="preserve"> </w:t>
      </w:r>
      <w:r w:rsidRPr="005066DE">
        <w:rPr>
          <w:rFonts w:cs="Arial" w:hint="cs"/>
          <w:sz w:val="18"/>
          <w:szCs w:val="18"/>
          <w:rtl/>
        </w:rPr>
        <w:t>מלת</w:t>
      </w:r>
      <w:r w:rsidRPr="005066DE">
        <w:rPr>
          <w:rFonts w:cs="Arial"/>
          <w:sz w:val="18"/>
          <w:szCs w:val="18"/>
          <w:rtl/>
        </w:rPr>
        <w:t xml:space="preserve"> </w:t>
      </w:r>
      <w:r w:rsidRPr="005066DE">
        <w:rPr>
          <w:rFonts w:cs="Arial" w:hint="cs"/>
          <w:sz w:val="18"/>
          <w:szCs w:val="18"/>
          <w:rtl/>
        </w:rPr>
        <w:t>אנתתי</w:t>
      </w:r>
      <w:r>
        <w:rPr>
          <w:rStyle w:val="a7"/>
          <w:rFonts w:cs="Arial"/>
          <w:sz w:val="18"/>
          <w:szCs w:val="18"/>
          <w:rtl/>
        </w:rPr>
        <w:footnoteReference w:id="810"/>
      </w:r>
      <w:r w:rsidRPr="005066DE">
        <w:rPr>
          <w:rFonts w:cs="Arial"/>
          <w:sz w:val="18"/>
          <w:szCs w:val="18"/>
          <w:rtl/>
        </w:rPr>
        <w:t>, (</w:t>
      </w:r>
      <w:r w:rsidRPr="005066DE">
        <w:rPr>
          <w:rFonts w:cs="Arial" w:hint="cs"/>
          <w:sz w:val="18"/>
          <w:szCs w:val="18"/>
          <w:rtl/>
        </w:rPr>
        <w:t>רד</w:t>
      </w:r>
      <w:r>
        <w:rPr>
          <w:rFonts w:cs="Arial" w:hint="cs"/>
          <w:sz w:val="18"/>
          <w:szCs w:val="18"/>
          <w:rtl/>
        </w:rPr>
        <w:t>"ך בית ד חדר ח</w:t>
      </w:r>
      <w:r w:rsidRPr="005066DE">
        <w:rPr>
          <w:rFonts w:cs="Arial"/>
          <w:sz w:val="18"/>
          <w:szCs w:val="18"/>
          <w:rtl/>
        </w:rPr>
        <w:t xml:space="preserve">) </w:t>
      </w:r>
      <w:r w:rsidRPr="005066DE">
        <w:rPr>
          <w:rFonts w:cs="Arial" w:hint="cs"/>
          <w:sz w:val="18"/>
          <w:szCs w:val="18"/>
          <w:rtl/>
        </w:rPr>
        <w:t>או</w:t>
      </w:r>
      <w:r w:rsidRPr="005066DE">
        <w:rPr>
          <w:rFonts w:cs="Arial"/>
          <w:sz w:val="18"/>
          <w:szCs w:val="18"/>
          <w:rtl/>
        </w:rPr>
        <w:t xml:space="preserve"> </w:t>
      </w:r>
      <w:r w:rsidRPr="005066DE">
        <w:rPr>
          <w:rFonts w:cs="Arial" w:hint="cs"/>
          <w:sz w:val="18"/>
          <w:szCs w:val="18"/>
          <w:rtl/>
        </w:rPr>
        <w:t>מלת</w:t>
      </w:r>
      <w:r w:rsidRPr="005066DE">
        <w:rPr>
          <w:rFonts w:cs="Arial"/>
          <w:sz w:val="18"/>
          <w:szCs w:val="18"/>
          <w:rtl/>
        </w:rPr>
        <w:t xml:space="preserve"> </w:t>
      </w:r>
      <w:r w:rsidRPr="005066DE">
        <w:rPr>
          <w:rFonts w:cs="Arial" w:hint="cs"/>
          <w:sz w:val="18"/>
          <w:szCs w:val="18"/>
          <w:rtl/>
        </w:rPr>
        <w:t>דהוית</w:t>
      </w:r>
      <w:r>
        <w:rPr>
          <w:rStyle w:val="a7"/>
          <w:rFonts w:cs="Arial"/>
          <w:sz w:val="18"/>
          <w:szCs w:val="18"/>
          <w:rtl/>
        </w:rPr>
        <w:footnoteReference w:id="811"/>
      </w:r>
      <w:r w:rsidRPr="005066DE">
        <w:rPr>
          <w:rFonts w:cs="Arial"/>
          <w:sz w:val="18"/>
          <w:szCs w:val="18"/>
          <w:rtl/>
        </w:rPr>
        <w:t xml:space="preserve"> (</w:t>
      </w:r>
      <w:r w:rsidRPr="005066DE">
        <w:rPr>
          <w:rFonts w:cs="Arial" w:hint="cs"/>
          <w:sz w:val="18"/>
          <w:szCs w:val="18"/>
          <w:rtl/>
        </w:rPr>
        <w:t>הגהות</w:t>
      </w:r>
      <w:r w:rsidRPr="005066DE">
        <w:rPr>
          <w:rFonts w:cs="Arial"/>
          <w:sz w:val="18"/>
          <w:szCs w:val="18"/>
          <w:rtl/>
        </w:rPr>
        <w:t xml:space="preserve"> </w:t>
      </w:r>
      <w:r w:rsidRPr="005066DE">
        <w:rPr>
          <w:rFonts w:cs="Arial" w:hint="cs"/>
          <w:sz w:val="18"/>
          <w:szCs w:val="18"/>
          <w:rtl/>
        </w:rPr>
        <w:t>אלפסי</w:t>
      </w:r>
      <w:r w:rsidRPr="005066DE">
        <w:rPr>
          <w:rFonts w:cs="Arial"/>
          <w:sz w:val="18"/>
          <w:szCs w:val="18"/>
          <w:rtl/>
        </w:rPr>
        <w:t xml:space="preserve"> </w:t>
      </w:r>
      <w:r>
        <w:rPr>
          <w:rFonts w:cs="Arial" w:hint="cs"/>
          <w:sz w:val="18"/>
          <w:szCs w:val="18"/>
          <w:rtl/>
        </w:rPr>
        <w:t>מה: אות ד</w:t>
      </w:r>
      <w:r w:rsidRPr="005066DE">
        <w:rPr>
          <w:rFonts w:cs="Arial"/>
          <w:sz w:val="18"/>
          <w:szCs w:val="18"/>
          <w:rtl/>
        </w:rPr>
        <w:t xml:space="preserve">), </w:t>
      </w:r>
      <w:r w:rsidRPr="005066DE">
        <w:rPr>
          <w:rFonts w:cs="Arial" w:hint="cs"/>
          <w:sz w:val="18"/>
          <w:szCs w:val="18"/>
          <w:rtl/>
        </w:rPr>
        <w:t>כשר</w:t>
      </w:r>
      <w:r w:rsidRPr="005066DE">
        <w:rPr>
          <w:rFonts w:cs="Arial"/>
          <w:sz w:val="18"/>
          <w:szCs w:val="18"/>
          <w:rtl/>
        </w:rPr>
        <w:t>.</w:t>
      </w:r>
    </w:p>
    <w:p w14:paraId="49990F15" w14:textId="77777777" w:rsidR="00FA2119" w:rsidRDefault="00FA2119" w:rsidP="00FA2119">
      <w:pPr>
        <w:rPr>
          <w:rtl/>
        </w:rPr>
      </w:pPr>
    </w:p>
    <w:p w14:paraId="0FE47984" w14:textId="77777777" w:rsidR="00FA2119" w:rsidRDefault="00FA2119" w:rsidP="00FA2119">
      <w:pPr>
        <w:pStyle w:val="2"/>
        <w:rPr>
          <w:rtl/>
        </w:rPr>
      </w:pPr>
      <w:r>
        <w:rPr>
          <w:rFonts w:hint="cs"/>
          <w:rtl/>
        </w:rPr>
        <w:t>סעיף</w:t>
      </w:r>
      <w:r>
        <w:rPr>
          <w:rtl/>
        </w:rPr>
        <w:t xml:space="preserve"> </w:t>
      </w:r>
      <w:r>
        <w:rPr>
          <w:rFonts w:hint="cs"/>
          <w:rtl/>
        </w:rPr>
        <w:t>לו: אנתתי.</w:t>
      </w:r>
    </w:p>
    <w:p w14:paraId="4B166B1C" w14:textId="77777777" w:rsidR="00FA2119" w:rsidRPr="003F67CD" w:rsidRDefault="00FA2119" w:rsidP="00FA2119">
      <w:pPr>
        <w:rPr>
          <w:u w:val="single"/>
          <w:rtl/>
        </w:rPr>
      </w:pPr>
      <w:r>
        <w:rPr>
          <w:rFonts w:hint="cs"/>
          <w:u w:val="single"/>
          <w:rtl/>
        </w:rPr>
        <w:t>כתיבת המילה 'אנתתי'</w:t>
      </w:r>
      <w:r w:rsidRPr="003F67CD">
        <w:rPr>
          <w:rFonts w:hint="cs"/>
          <w:u w:val="single"/>
          <w:rtl/>
        </w:rPr>
        <w:t>:</w:t>
      </w:r>
    </w:p>
    <w:p w14:paraId="3617E6D1" w14:textId="04978B71" w:rsidR="00FA2119" w:rsidRDefault="00FA2119" w:rsidP="00FA2119">
      <w:pPr>
        <w:pStyle w:val="ab"/>
        <w:numPr>
          <w:ilvl w:val="0"/>
          <w:numId w:val="56"/>
        </w:numPr>
        <w:rPr>
          <w:rFonts w:cs="Arial"/>
        </w:rPr>
      </w:pPr>
      <w:r w:rsidRPr="00DD687C">
        <w:rPr>
          <w:rFonts w:cs="Arial"/>
          <w:rtl/>
        </w:rPr>
        <w:t xml:space="preserve">כל בו </w:t>
      </w:r>
      <w:r w:rsidRPr="00DD687C">
        <w:rPr>
          <w:rFonts w:cs="Arial"/>
          <w:sz w:val="16"/>
          <w:szCs w:val="16"/>
          <w:rtl/>
        </w:rPr>
        <w:t xml:space="preserve">(סי' עו מז ע"ד) </w:t>
      </w:r>
      <w:r w:rsidRPr="00DD687C">
        <w:rPr>
          <w:rFonts w:cs="Arial"/>
          <w:rtl/>
        </w:rPr>
        <w:t xml:space="preserve">מרדכי </w:t>
      </w:r>
      <w:r w:rsidRPr="00DD687C">
        <w:rPr>
          <w:rFonts w:cs="Arial"/>
          <w:sz w:val="16"/>
          <w:szCs w:val="16"/>
          <w:rtl/>
        </w:rPr>
        <w:t>(</w:t>
      </w:r>
      <w:r w:rsidRPr="00DD687C">
        <w:rPr>
          <w:rFonts w:cs="Arial" w:hint="cs"/>
          <w:sz w:val="16"/>
          <w:szCs w:val="16"/>
          <w:rtl/>
        </w:rPr>
        <w:t xml:space="preserve">בהלכות הגט </w:t>
      </w:r>
      <w:r w:rsidRPr="00DD687C">
        <w:rPr>
          <w:rFonts w:cs="Arial"/>
          <w:sz w:val="16"/>
          <w:szCs w:val="16"/>
          <w:rtl/>
        </w:rPr>
        <w:t>סי' תנד)</w:t>
      </w:r>
      <w:r w:rsidRPr="00C9640C">
        <w:rPr>
          <w:rFonts w:cs="Arial"/>
          <w:rtl/>
        </w:rPr>
        <w:t xml:space="preserve"> </w:t>
      </w:r>
      <w:r>
        <w:rPr>
          <w:rFonts w:cs="Arial" w:hint="cs"/>
          <w:rtl/>
        </w:rPr>
        <w:t>ו</w:t>
      </w:r>
      <w:r w:rsidRPr="00C9640C">
        <w:rPr>
          <w:rFonts w:cs="Arial"/>
          <w:rtl/>
        </w:rPr>
        <w:t xml:space="preserve">סדר הגט </w:t>
      </w:r>
      <w:r w:rsidRPr="007137EE">
        <w:rPr>
          <w:rFonts w:cs="Arial" w:hint="cs"/>
          <w:sz w:val="16"/>
          <w:szCs w:val="16"/>
          <w:rtl/>
        </w:rPr>
        <w:t>(</w:t>
      </w:r>
      <w:r w:rsidRPr="007137EE">
        <w:rPr>
          <w:rFonts w:cs="Arial"/>
          <w:sz w:val="16"/>
          <w:szCs w:val="16"/>
          <w:rtl/>
        </w:rPr>
        <w:t>סי</w:t>
      </w:r>
      <w:r w:rsidRPr="007137EE">
        <w:rPr>
          <w:rFonts w:cs="Arial" w:hint="cs"/>
          <w:sz w:val="16"/>
          <w:szCs w:val="16"/>
          <w:rtl/>
        </w:rPr>
        <w:t>'</w:t>
      </w:r>
      <w:r w:rsidRPr="007137EE">
        <w:rPr>
          <w:rFonts w:cs="Arial"/>
          <w:sz w:val="16"/>
          <w:szCs w:val="16"/>
          <w:rtl/>
        </w:rPr>
        <w:t xml:space="preserve"> מו בהגהה א, </w:t>
      </w:r>
      <w:r w:rsidRPr="007137EE">
        <w:rPr>
          <w:rFonts w:cs="Arial" w:hint="cs"/>
          <w:sz w:val="16"/>
          <w:szCs w:val="16"/>
          <w:rtl/>
        </w:rPr>
        <w:t>הביאו הדרכ"מ [אות ל**])</w:t>
      </w:r>
      <w:r w:rsidR="00A82951">
        <w:rPr>
          <w:rFonts w:cs="Arial" w:hint="cs"/>
          <w:rtl/>
        </w:rPr>
        <w:t>-</w:t>
      </w:r>
      <w:r>
        <w:rPr>
          <w:rFonts w:cs="Arial" w:hint="cs"/>
          <w:rtl/>
        </w:rPr>
        <w:t xml:space="preserve"> אנתתי,</w:t>
      </w:r>
      <w:r w:rsidRPr="007137EE">
        <w:rPr>
          <w:rFonts w:cs="Arial"/>
          <w:rtl/>
        </w:rPr>
        <w:t xml:space="preserve"> </w:t>
      </w:r>
      <w:r w:rsidRPr="00AF1304">
        <w:rPr>
          <w:rFonts w:cs="Arial"/>
          <w:rtl/>
        </w:rPr>
        <w:t>בלא יו"ד אחר האל"ף</w:t>
      </w:r>
      <w:r w:rsidRPr="003F67CD">
        <w:rPr>
          <w:rFonts w:cs="Arial" w:hint="cs"/>
          <w:rtl/>
        </w:rPr>
        <w:t>.</w:t>
      </w:r>
      <w:r w:rsidRPr="003F67CD">
        <w:rPr>
          <w:rFonts w:cs="Arial"/>
          <w:rtl/>
        </w:rPr>
        <w:t xml:space="preserve"> </w:t>
      </w:r>
      <w:r w:rsidRPr="002D1848">
        <w:rPr>
          <w:rFonts w:cs="Arial" w:hint="cs"/>
          <w:color w:val="E36C0A" w:themeColor="accent6" w:themeShade="BF"/>
          <w:rtl/>
        </w:rPr>
        <w:t>(וכ"פ בשו"ע)</w:t>
      </w:r>
    </w:p>
    <w:p w14:paraId="4DFEAB01"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DF31F5A" w14:textId="77777777" w:rsidR="00FA2119" w:rsidRDefault="00FA2119" w:rsidP="00FA2119">
      <w:pPr>
        <w:rPr>
          <w:rtl/>
        </w:rPr>
      </w:pPr>
      <w:r>
        <w:rPr>
          <w:rFonts w:cs="Arial" w:hint="cs"/>
          <w:rtl/>
        </w:rPr>
        <w:t>אנתתי</w:t>
      </w:r>
      <w:r>
        <w:rPr>
          <w:rStyle w:val="a7"/>
          <w:rFonts w:cs="Arial"/>
          <w:rtl/>
        </w:rPr>
        <w:footnoteReference w:id="812"/>
      </w:r>
      <w:r>
        <w:rPr>
          <w:rFonts w:cs="Arial"/>
          <w:rtl/>
        </w:rPr>
        <w:t xml:space="preserve">, </w:t>
      </w:r>
      <w:r>
        <w:rPr>
          <w:rFonts w:cs="Arial" w:hint="cs"/>
          <w:rtl/>
        </w:rPr>
        <w:t>בלא</w:t>
      </w:r>
      <w:r>
        <w:rPr>
          <w:rFonts w:cs="Arial"/>
          <w:rtl/>
        </w:rPr>
        <w:t xml:space="preserve"> </w:t>
      </w:r>
      <w:r>
        <w:rPr>
          <w:rFonts w:cs="Arial" w:hint="cs"/>
          <w:rtl/>
        </w:rPr>
        <w:t>יו</w:t>
      </w:r>
      <w:r>
        <w:rPr>
          <w:rFonts w:cs="Arial"/>
          <w:rtl/>
        </w:rPr>
        <w:t>"</w:t>
      </w:r>
      <w:r>
        <w:rPr>
          <w:rFonts w:cs="Arial" w:hint="cs"/>
          <w:rtl/>
        </w:rPr>
        <w:t>ד</w:t>
      </w:r>
      <w:r>
        <w:rPr>
          <w:rFonts w:cs="Arial"/>
          <w:rtl/>
        </w:rPr>
        <w:t xml:space="preserve"> </w:t>
      </w:r>
      <w:r>
        <w:rPr>
          <w:rFonts w:cs="Arial" w:hint="cs"/>
          <w:rtl/>
        </w:rPr>
        <w:t>אחר</w:t>
      </w:r>
      <w:r>
        <w:rPr>
          <w:rFonts w:cs="Arial"/>
          <w:rtl/>
        </w:rPr>
        <w:t xml:space="preserve"> </w:t>
      </w:r>
      <w:r>
        <w:rPr>
          <w:rFonts w:cs="Arial" w:hint="cs"/>
          <w:rtl/>
        </w:rPr>
        <w:t>האל</w:t>
      </w:r>
      <w:r>
        <w:rPr>
          <w:rFonts w:cs="Arial"/>
          <w:rtl/>
        </w:rPr>
        <w:t>"</w:t>
      </w:r>
      <w:r>
        <w:rPr>
          <w:rFonts w:cs="Arial" w:hint="cs"/>
          <w:rtl/>
        </w:rPr>
        <w:t>ף</w:t>
      </w:r>
      <w:r>
        <w:rPr>
          <w:rFonts w:cs="Arial"/>
          <w:rtl/>
        </w:rPr>
        <w:t xml:space="preserve">. </w:t>
      </w:r>
    </w:p>
    <w:p w14:paraId="33069F4E" w14:textId="77777777" w:rsidR="00FA2119" w:rsidRDefault="00FA2119" w:rsidP="00FA2119">
      <w:pPr>
        <w:rPr>
          <w:rtl/>
        </w:rPr>
      </w:pPr>
    </w:p>
    <w:p w14:paraId="201A447C" w14:textId="77777777" w:rsidR="00FA2119" w:rsidRDefault="00FA2119" w:rsidP="00FA2119">
      <w:pPr>
        <w:pStyle w:val="2"/>
        <w:rPr>
          <w:rtl/>
        </w:rPr>
      </w:pPr>
      <w:r>
        <w:rPr>
          <w:rFonts w:hint="cs"/>
          <w:rtl/>
        </w:rPr>
        <w:t>סעיף</w:t>
      </w:r>
      <w:r>
        <w:rPr>
          <w:rtl/>
        </w:rPr>
        <w:t xml:space="preserve"> </w:t>
      </w:r>
      <w:r>
        <w:rPr>
          <w:rFonts w:hint="cs"/>
          <w:rtl/>
        </w:rPr>
        <w:t>לז: בנפשיכי.</w:t>
      </w:r>
    </w:p>
    <w:p w14:paraId="2AC21806" w14:textId="77777777" w:rsidR="00FA2119" w:rsidRPr="00D658C0" w:rsidRDefault="00FA2119" w:rsidP="00FA2119">
      <w:pPr>
        <w:rPr>
          <w:u w:val="single"/>
          <w:rtl/>
        </w:rPr>
      </w:pPr>
      <w:r>
        <w:rPr>
          <w:rFonts w:hint="cs"/>
          <w:u w:val="single"/>
          <w:rtl/>
        </w:rPr>
        <w:t>כתיבת המילה '</w:t>
      </w:r>
      <w:r w:rsidRPr="00D658C0">
        <w:rPr>
          <w:rFonts w:hint="cs"/>
          <w:u w:val="single"/>
          <w:rtl/>
        </w:rPr>
        <w:t>בנפשיכי</w:t>
      </w:r>
      <w:r>
        <w:rPr>
          <w:rFonts w:hint="cs"/>
          <w:u w:val="single"/>
          <w:rtl/>
        </w:rPr>
        <w:t>'</w:t>
      </w:r>
      <w:r w:rsidRPr="00D658C0">
        <w:rPr>
          <w:rFonts w:hint="cs"/>
          <w:u w:val="single"/>
          <w:rtl/>
        </w:rPr>
        <w:t>:</w:t>
      </w:r>
    </w:p>
    <w:p w14:paraId="732062E3" w14:textId="3255573D" w:rsidR="00FA2119" w:rsidRPr="00A1691D" w:rsidRDefault="00FA2119" w:rsidP="00FA2119">
      <w:pPr>
        <w:pStyle w:val="ab"/>
        <w:numPr>
          <w:ilvl w:val="0"/>
          <w:numId w:val="56"/>
        </w:numPr>
      </w:pPr>
      <w:r>
        <w:rPr>
          <w:rFonts w:cs="Arial" w:hint="cs"/>
          <w:rtl/>
        </w:rPr>
        <w:t xml:space="preserve">הגמ"ר </w:t>
      </w:r>
      <w:r w:rsidRPr="00A1691D">
        <w:rPr>
          <w:rFonts w:cs="Arial" w:hint="cs"/>
          <w:sz w:val="16"/>
          <w:szCs w:val="16"/>
          <w:rtl/>
        </w:rPr>
        <w:t>(</w:t>
      </w:r>
      <w:r w:rsidRPr="00A1691D">
        <w:rPr>
          <w:rFonts w:cs="Arial"/>
          <w:sz w:val="16"/>
          <w:szCs w:val="16"/>
          <w:rtl/>
        </w:rPr>
        <w:t>סוף גיטין סי' תסז)</w:t>
      </w:r>
      <w:r w:rsidR="00A82951">
        <w:rPr>
          <w:rFonts w:cs="Arial" w:hint="cs"/>
          <w:rtl/>
        </w:rPr>
        <w:t>-</w:t>
      </w:r>
      <w:r>
        <w:rPr>
          <w:rFonts w:cs="Arial" w:hint="cs"/>
          <w:rtl/>
        </w:rPr>
        <w:t xml:space="preserve"> </w:t>
      </w:r>
      <w:r w:rsidRPr="00A1691D">
        <w:rPr>
          <w:rFonts w:cs="Arial"/>
          <w:rtl/>
        </w:rPr>
        <w:t>בנפשכי לא יכתוב יו"ד אחר השי"ן</w:t>
      </w:r>
      <w:r>
        <w:rPr>
          <w:rStyle w:val="a7"/>
          <w:rFonts w:cs="Arial"/>
          <w:rtl/>
        </w:rPr>
        <w:footnoteReference w:id="813"/>
      </w:r>
      <w:r>
        <w:rPr>
          <w:rFonts w:cs="Arial" w:hint="cs"/>
          <w:rtl/>
        </w:rPr>
        <w:t>,</w:t>
      </w:r>
      <w:r w:rsidRPr="00A1691D">
        <w:rPr>
          <w:rFonts w:cs="Arial"/>
          <w:rtl/>
        </w:rPr>
        <w:t xml:space="preserve"> דמשמע שיש לאדם שתי נפשות</w:t>
      </w:r>
      <w:r>
        <w:rPr>
          <w:rFonts w:cs="Arial" w:hint="cs"/>
          <w:rtl/>
        </w:rPr>
        <w:t>.</w:t>
      </w:r>
      <w:r w:rsidRPr="00A1691D">
        <w:rPr>
          <w:rFonts w:cs="Arial"/>
          <w:rtl/>
        </w:rPr>
        <w:t xml:space="preserve"> וגם ר"מ לא היה כותב יו"ד</w:t>
      </w:r>
      <w:r>
        <w:rPr>
          <w:rFonts w:cs="Arial" w:hint="cs"/>
          <w:rtl/>
        </w:rPr>
        <w:t>.</w:t>
      </w:r>
      <w:r w:rsidRPr="00A1691D">
        <w:rPr>
          <w:rFonts w:cs="Arial"/>
          <w:rtl/>
        </w:rPr>
        <w:t xml:space="preserve"> וגם בפריש לא היו כותבין יו"ד רק בנפשכי</w:t>
      </w:r>
      <w:r>
        <w:rPr>
          <w:rFonts w:cs="Arial" w:hint="cs"/>
          <w:rtl/>
        </w:rPr>
        <w:t>.</w:t>
      </w:r>
      <w:r w:rsidRPr="00A1691D">
        <w:rPr>
          <w:rFonts w:cs="Arial"/>
          <w:rtl/>
        </w:rPr>
        <w:t xml:space="preserve"> ומיהו אם היה כתוב בו יו"ד </w:t>
      </w:r>
      <w:r w:rsidR="00A82951">
        <w:rPr>
          <w:rFonts w:cs="Arial" w:hint="cs"/>
          <w:rtl/>
        </w:rPr>
        <w:t>-</w:t>
      </w:r>
      <w:r>
        <w:rPr>
          <w:rFonts w:cs="Arial" w:hint="cs"/>
          <w:rtl/>
        </w:rPr>
        <w:t xml:space="preserve"> </w:t>
      </w:r>
      <w:r w:rsidRPr="00A1691D">
        <w:rPr>
          <w:rFonts w:cs="Arial"/>
          <w:rtl/>
        </w:rPr>
        <w:t>אין לפוסלו</w:t>
      </w:r>
      <w:r>
        <w:rPr>
          <w:rFonts w:cs="Arial" w:hint="cs"/>
          <w:rtl/>
        </w:rPr>
        <w:t>,</w:t>
      </w:r>
      <w:r w:rsidRPr="00A1691D">
        <w:rPr>
          <w:rFonts w:cs="Arial"/>
          <w:rtl/>
        </w:rPr>
        <w:t xml:space="preserve"> שיש לקרות בנפשיכי והיו"ד למילוי</w:t>
      </w:r>
      <w:r>
        <w:rPr>
          <w:rFonts w:cs="Arial" w:hint="cs"/>
          <w:rtl/>
        </w:rPr>
        <w:t>,</w:t>
      </w:r>
      <w:r w:rsidRPr="00A1691D">
        <w:rPr>
          <w:rFonts w:cs="Arial"/>
          <w:rtl/>
        </w:rPr>
        <w:t xml:space="preserve"> ולא בנפשיכי דמשמע שתי נפשות. </w:t>
      </w:r>
    </w:p>
    <w:p w14:paraId="3C7E8DF5" w14:textId="2356B98E" w:rsidR="00FA2119" w:rsidRPr="00A1691D" w:rsidRDefault="00FA2119" w:rsidP="00FA2119">
      <w:pPr>
        <w:pStyle w:val="ab"/>
        <w:numPr>
          <w:ilvl w:val="0"/>
          <w:numId w:val="56"/>
        </w:numPr>
      </w:pPr>
      <w:r w:rsidRPr="00A1691D">
        <w:rPr>
          <w:rFonts w:cs="Arial"/>
          <w:rtl/>
        </w:rPr>
        <w:t xml:space="preserve">מרדכי </w:t>
      </w:r>
      <w:r w:rsidRPr="00F36BAA">
        <w:rPr>
          <w:rFonts w:cs="Arial"/>
          <w:sz w:val="16"/>
          <w:szCs w:val="16"/>
          <w:rtl/>
        </w:rPr>
        <w:t>(בהלכות הגט</w:t>
      </w:r>
      <w:r w:rsidRPr="00F36BAA">
        <w:rPr>
          <w:rFonts w:cs="Arial" w:hint="cs"/>
          <w:sz w:val="16"/>
          <w:szCs w:val="16"/>
          <w:rtl/>
        </w:rPr>
        <w:t xml:space="preserve"> </w:t>
      </w:r>
      <w:r w:rsidRPr="00F36BAA">
        <w:rPr>
          <w:rFonts w:cs="Arial"/>
          <w:sz w:val="16"/>
          <w:szCs w:val="16"/>
          <w:rtl/>
        </w:rPr>
        <w:t>סי' תנד)</w:t>
      </w:r>
      <w:r>
        <w:rPr>
          <w:rFonts w:cs="Arial" w:hint="cs"/>
          <w:rtl/>
        </w:rPr>
        <w:t xml:space="preserve"> ו</w:t>
      </w:r>
      <w:r w:rsidRPr="00A1691D">
        <w:rPr>
          <w:rFonts w:cs="Arial"/>
          <w:rtl/>
        </w:rPr>
        <w:t xml:space="preserve">כלבו </w:t>
      </w:r>
      <w:r w:rsidRPr="00F36BAA">
        <w:rPr>
          <w:rFonts w:cs="Arial"/>
          <w:sz w:val="16"/>
          <w:szCs w:val="16"/>
          <w:rtl/>
        </w:rPr>
        <w:t>(סי' עו מז ע"ד)</w:t>
      </w:r>
      <w:r w:rsidR="00A82951">
        <w:rPr>
          <w:rFonts w:cs="Arial" w:hint="cs"/>
          <w:rtl/>
        </w:rPr>
        <w:t>-</w:t>
      </w:r>
      <w:r>
        <w:rPr>
          <w:rFonts w:cs="Arial" w:hint="cs"/>
          <w:rtl/>
        </w:rPr>
        <w:t xml:space="preserve"> בנפשיכי </w:t>
      </w:r>
      <w:r w:rsidRPr="00A1691D">
        <w:rPr>
          <w:rFonts w:cs="Arial"/>
          <w:rtl/>
        </w:rPr>
        <w:t>בשני יודי"ן</w:t>
      </w:r>
      <w:r>
        <w:rPr>
          <w:rStyle w:val="a7"/>
          <w:rFonts w:cs="Arial"/>
          <w:rtl/>
        </w:rPr>
        <w:footnoteReference w:id="814"/>
      </w:r>
      <w:r>
        <w:rPr>
          <w:rFonts w:cs="Arial" w:hint="cs"/>
          <w:rtl/>
        </w:rPr>
        <w:t>,</w:t>
      </w:r>
      <w:r w:rsidRPr="00A1691D">
        <w:rPr>
          <w:rFonts w:cs="Arial"/>
          <w:rtl/>
        </w:rPr>
        <w:t xml:space="preserve"> ויש שאין מקפידין</w:t>
      </w:r>
      <w:r>
        <w:rPr>
          <w:rFonts w:cs="Arial" w:hint="cs"/>
          <w:sz w:val="16"/>
          <w:szCs w:val="16"/>
          <w:rtl/>
        </w:rPr>
        <w:t xml:space="preserve"> (ל' הכלבו)</w:t>
      </w:r>
      <w:r>
        <w:rPr>
          <w:rFonts w:cs="Arial" w:hint="cs"/>
          <w:rtl/>
        </w:rPr>
        <w:t>.</w:t>
      </w:r>
    </w:p>
    <w:p w14:paraId="5E18D4A2"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9A22284" w14:textId="77777777" w:rsidR="00FA2119" w:rsidRDefault="00FA2119" w:rsidP="00FA2119">
      <w:pPr>
        <w:rPr>
          <w:rtl/>
        </w:rPr>
      </w:pPr>
      <w:r>
        <w:rPr>
          <w:rFonts w:cs="Arial" w:hint="cs"/>
          <w:rtl/>
        </w:rPr>
        <w:t>בנפשיכי</w:t>
      </w:r>
      <w:r>
        <w:rPr>
          <w:rFonts w:cs="Arial"/>
          <w:rtl/>
        </w:rPr>
        <w:t xml:space="preserve">, </w:t>
      </w:r>
      <w:r>
        <w:rPr>
          <w:rFonts w:cs="Arial" w:hint="cs"/>
          <w:rtl/>
        </w:rPr>
        <w:t>נהגו</w:t>
      </w:r>
      <w:r>
        <w:rPr>
          <w:rFonts w:cs="Arial"/>
          <w:rtl/>
        </w:rPr>
        <w:t xml:space="preserve"> </w:t>
      </w:r>
      <w:r>
        <w:rPr>
          <w:rFonts w:cs="Arial" w:hint="cs"/>
          <w:rtl/>
        </w:rPr>
        <w:t>לכתוב</w:t>
      </w:r>
      <w:r>
        <w:rPr>
          <w:rFonts w:cs="Arial"/>
          <w:rtl/>
        </w:rPr>
        <w:t xml:space="preserve"> </w:t>
      </w:r>
      <w:r>
        <w:rPr>
          <w:rFonts w:cs="Arial" w:hint="cs"/>
          <w:rtl/>
        </w:rPr>
        <w:t>בב</w:t>
      </w:r>
      <w:r>
        <w:rPr>
          <w:rFonts w:cs="Arial"/>
          <w:rtl/>
        </w:rPr>
        <w:t xml:space="preserve">' </w:t>
      </w:r>
      <w:r>
        <w:rPr>
          <w:rFonts w:cs="Arial" w:hint="cs"/>
          <w:rtl/>
        </w:rPr>
        <w:t>יודי</w:t>
      </w:r>
      <w:r>
        <w:rPr>
          <w:rFonts w:cs="Arial"/>
          <w:rtl/>
        </w:rPr>
        <w:t>"</w:t>
      </w:r>
      <w:r>
        <w:rPr>
          <w:rFonts w:cs="Arial" w:hint="cs"/>
          <w:rtl/>
        </w:rPr>
        <w:t>ן</w:t>
      </w:r>
      <w:r>
        <w:rPr>
          <w:rFonts w:cs="Arial"/>
          <w:rtl/>
        </w:rPr>
        <w:t xml:space="preserve">. </w:t>
      </w:r>
      <w:r>
        <w:rPr>
          <w:rFonts w:cs="Arial" w:hint="cs"/>
          <w:sz w:val="18"/>
          <w:szCs w:val="18"/>
          <w:rtl/>
        </w:rPr>
        <w:t xml:space="preserve">[הגה] </w:t>
      </w:r>
      <w:r w:rsidRPr="005066DE">
        <w:rPr>
          <w:rFonts w:cs="Arial" w:hint="cs"/>
          <w:sz w:val="18"/>
          <w:szCs w:val="18"/>
          <w:rtl/>
        </w:rPr>
        <w:t>אם</w:t>
      </w:r>
      <w:r w:rsidRPr="005066DE">
        <w:rPr>
          <w:rFonts w:cs="Arial"/>
          <w:sz w:val="18"/>
          <w:szCs w:val="18"/>
          <w:rtl/>
        </w:rPr>
        <w:t xml:space="preserve"> </w:t>
      </w:r>
      <w:r w:rsidRPr="005066DE">
        <w:rPr>
          <w:rFonts w:cs="Arial" w:hint="cs"/>
          <w:sz w:val="18"/>
          <w:szCs w:val="18"/>
          <w:rtl/>
        </w:rPr>
        <w:t>כתב</w:t>
      </w:r>
      <w:r w:rsidRPr="005066DE">
        <w:rPr>
          <w:rFonts w:cs="Arial"/>
          <w:sz w:val="18"/>
          <w:szCs w:val="18"/>
          <w:rtl/>
        </w:rPr>
        <w:t xml:space="preserve"> </w:t>
      </w:r>
      <w:r w:rsidRPr="005066DE">
        <w:rPr>
          <w:rFonts w:cs="Arial" w:hint="cs"/>
          <w:sz w:val="18"/>
          <w:szCs w:val="18"/>
          <w:rtl/>
        </w:rPr>
        <w:t>חסר</w:t>
      </w:r>
      <w:r w:rsidRPr="005066DE">
        <w:rPr>
          <w:rFonts w:cs="Arial"/>
          <w:sz w:val="18"/>
          <w:szCs w:val="18"/>
          <w:rtl/>
        </w:rPr>
        <w:t xml:space="preserve">, </w:t>
      </w:r>
      <w:r w:rsidRPr="005066DE">
        <w:rPr>
          <w:rFonts w:cs="Arial" w:hint="cs"/>
          <w:sz w:val="18"/>
          <w:szCs w:val="18"/>
          <w:rtl/>
        </w:rPr>
        <w:t>כשר</w:t>
      </w:r>
      <w:r>
        <w:rPr>
          <w:rFonts w:cs="Arial" w:hint="cs"/>
          <w:sz w:val="18"/>
          <w:szCs w:val="18"/>
          <w:rtl/>
        </w:rPr>
        <w:t xml:space="preserve"> </w:t>
      </w:r>
      <w:r w:rsidRPr="005066DE">
        <w:rPr>
          <w:rFonts w:cs="Arial"/>
          <w:sz w:val="18"/>
          <w:szCs w:val="18"/>
          <w:rtl/>
        </w:rPr>
        <w:t>(</w:t>
      </w:r>
      <w:r w:rsidRPr="005066DE">
        <w:rPr>
          <w:rFonts w:cs="Arial" w:hint="cs"/>
          <w:sz w:val="18"/>
          <w:szCs w:val="18"/>
          <w:rtl/>
        </w:rPr>
        <w:t>ד</w:t>
      </w:r>
      <w:r w:rsidRPr="005066DE">
        <w:rPr>
          <w:rFonts w:cs="Arial"/>
          <w:sz w:val="18"/>
          <w:szCs w:val="18"/>
          <w:rtl/>
        </w:rPr>
        <w:t>"</w:t>
      </w:r>
      <w:r w:rsidRPr="005066DE">
        <w:rPr>
          <w:rFonts w:cs="Arial" w:hint="cs"/>
          <w:sz w:val="18"/>
          <w:szCs w:val="18"/>
          <w:rtl/>
        </w:rPr>
        <w:t>ע</w:t>
      </w:r>
      <w:r w:rsidRPr="005066DE">
        <w:rPr>
          <w:rFonts w:cs="Arial"/>
          <w:sz w:val="18"/>
          <w:szCs w:val="18"/>
          <w:rtl/>
        </w:rPr>
        <w:t xml:space="preserve"> </w:t>
      </w:r>
      <w:r w:rsidRPr="005066DE">
        <w:rPr>
          <w:rFonts w:cs="Arial" w:hint="cs"/>
          <w:sz w:val="18"/>
          <w:szCs w:val="18"/>
          <w:rtl/>
        </w:rPr>
        <w:t>וכן</w:t>
      </w:r>
      <w:r w:rsidRPr="005066DE">
        <w:rPr>
          <w:rFonts w:cs="Arial"/>
          <w:sz w:val="18"/>
          <w:szCs w:val="18"/>
          <w:rtl/>
        </w:rPr>
        <w:t xml:space="preserve"> </w:t>
      </w:r>
      <w:r w:rsidRPr="005066DE">
        <w:rPr>
          <w:rFonts w:cs="Arial" w:hint="cs"/>
          <w:sz w:val="18"/>
          <w:szCs w:val="18"/>
          <w:rtl/>
        </w:rPr>
        <w:t>משמע</w:t>
      </w:r>
      <w:r w:rsidRPr="005066DE">
        <w:rPr>
          <w:rFonts w:cs="Arial"/>
          <w:sz w:val="18"/>
          <w:szCs w:val="18"/>
          <w:rtl/>
        </w:rPr>
        <w:t xml:space="preserve"> </w:t>
      </w:r>
      <w:r w:rsidRPr="005066DE">
        <w:rPr>
          <w:rFonts w:cs="Arial" w:hint="cs"/>
          <w:sz w:val="18"/>
          <w:szCs w:val="18"/>
          <w:rtl/>
        </w:rPr>
        <w:t>במרדכי</w:t>
      </w:r>
      <w:r w:rsidRPr="005066DE">
        <w:rPr>
          <w:rFonts w:cs="Arial"/>
          <w:sz w:val="18"/>
          <w:szCs w:val="18"/>
          <w:rtl/>
        </w:rPr>
        <w:t>).</w:t>
      </w:r>
    </w:p>
    <w:p w14:paraId="5C130FB9" w14:textId="77777777" w:rsidR="00FA2119" w:rsidRDefault="00FA2119" w:rsidP="00FA2119">
      <w:pPr>
        <w:rPr>
          <w:rtl/>
        </w:rPr>
      </w:pPr>
    </w:p>
    <w:p w14:paraId="624F0A17" w14:textId="52327AFF" w:rsidR="00FA2119" w:rsidRDefault="00FA2119" w:rsidP="00FA2119">
      <w:pPr>
        <w:pStyle w:val="2"/>
        <w:rPr>
          <w:rtl/>
        </w:rPr>
      </w:pPr>
      <w:r>
        <w:rPr>
          <w:rFonts w:hint="cs"/>
          <w:rtl/>
        </w:rPr>
        <w:t>סעיף</w:t>
      </w:r>
      <w:r>
        <w:rPr>
          <w:rtl/>
        </w:rPr>
        <w:t xml:space="preserve"> </w:t>
      </w:r>
      <w:r>
        <w:rPr>
          <w:rFonts w:hint="cs"/>
          <w:rtl/>
        </w:rPr>
        <w:t xml:space="preserve">לח: להתנסבא </w:t>
      </w:r>
      <w:r w:rsidR="00A82951">
        <w:rPr>
          <w:rFonts w:hint="cs"/>
          <w:rtl/>
        </w:rPr>
        <w:t>-</w:t>
      </w:r>
      <w:r>
        <w:rPr>
          <w:rFonts w:hint="cs"/>
          <w:rtl/>
        </w:rPr>
        <w:t xml:space="preserve"> בלא יו"ד.</w:t>
      </w:r>
    </w:p>
    <w:p w14:paraId="0D43050D" w14:textId="77777777" w:rsidR="00FA2119" w:rsidRPr="00D658C0" w:rsidRDefault="00FA2119" w:rsidP="00FA2119">
      <w:pPr>
        <w:rPr>
          <w:rtl/>
        </w:rPr>
      </w:pPr>
      <w:r>
        <w:rPr>
          <w:rFonts w:hint="cs"/>
          <w:u w:val="single"/>
          <w:rtl/>
        </w:rPr>
        <w:t>כתיבת המילה 'להתנסבא':</w:t>
      </w:r>
    </w:p>
    <w:p w14:paraId="5F257E64" w14:textId="64F371AA" w:rsidR="00FA2119" w:rsidRPr="00902CE7" w:rsidRDefault="00FA2119" w:rsidP="00FA2119">
      <w:pPr>
        <w:pStyle w:val="ab"/>
        <w:numPr>
          <w:ilvl w:val="0"/>
          <w:numId w:val="56"/>
        </w:numPr>
      </w:pPr>
      <w:r w:rsidRPr="00A1691D">
        <w:rPr>
          <w:rFonts w:cs="Arial"/>
          <w:rtl/>
        </w:rPr>
        <w:t xml:space="preserve">מרדכי </w:t>
      </w:r>
      <w:r w:rsidRPr="00F36BAA">
        <w:rPr>
          <w:rFonts w:cs="Arial"/>
          <w:sz w:val="16"/>
          <w:szCs w:val="16"/>
          <w:rtl/>
        </w:rPr>
        <w:t>(בהלכות הגט</w:t>
      </w:r>
      <w:r w:rsidRPr="00F36BAA">
        <w:rPr>
          <w:rFonts w:cs="Arial" w:hint="cs"/>
          <w:sz w:val="16"/>
          <w:szCs w:val="16"/>
          <w:rtl/>
        </w:rPr>
        <w:t xml:space="preserve"> </w:t>
      </w:r>
      <w:r w:rsidRPr="00F36BAA">
        <w:rPr>
          <w:rFonts w:cs="Arial"/>
          <w:sz w:val="16"/>
          <w:szCs w:val="16"/>
          <w:rtl/>
        </w:rPr>
        <w:t>סי' תנד)</w:t>
      </w:r>
      <w:r>
        <w:rPr>
          <w:rFonts w:cs="Arial" w:hint="cs"/>
          <w:rtl/>
        </w:rPr>
        <w:t xml:space="preserve"> ו</w:t>
      </w:r>
      <w:r w:rsidRPr="00A1691D">
        <w:rPr>
          <w:rFonts w:cs="Arial"/>
          <w:rtl/>
        </w:rPr>
        <w:t xml:space="preserve">כלבו </w:t>
      </w:r>
      <w:r w:rsidRPr="00F36BAA">
        <w:rPr>
          <w:rFonts w:cs="Arial"/>
          <w:sz w:val="16"/>
          <w:szCs w:val="16"/>
          <w:rtl/>
        </w:rPr>
        <w:t>(סי' עו מז ע"ד)</w:t>
      </w:r>
      <w:r w:rsidR="00A82951">
        <w:rPr>
          <w:rFonts w:cs="Arial" w:hint="cs"/>
          <w:rtl/>
        </w:rPr>
        <w:t>-</w:t>
      </w:r>
      <w:r>
        <w:rPr>
          <w:rFonts w:cs="Arial" w:hint="cs"/>
          <w:rtl/>
        </w:rPr>
        <w:t xml:space="preserve"> </w:t>
      </w:r>
      <w:r w:rsidRPr="00902CE7">
        <w:rPr>
          <w:rFonts w:cs="Arial"/>
          <w:rtl/>
        </w:rPr>
        <w:t>להתנסבא יש כותבין יו"ד אחר ה"א ויש שאין כותבין יו"ד</w:t>
      </w:r>
      <w:r>
        <w:rPr>
          <w:rFonts w:cs="Arial" w:hint="cs"/>
          <w:sz w:val="16"/>
          <w:szCs w:val="16"/>
          <w:rtl/>
        </w:rPr>
        <w:t xml:space="preserve"> (ל' המרדכי)</w:t>
      </w:r>
      <w:r>
        <w:rPr>
          <w:rFonts w:cs="Arial" w:hint="cs"/>
          <w:rtl/>
        </w:rPr>
        <w:t>.</w:t>
      </w:r>
      <w:r w:rsidRPr="00902CE7">
        <w:rPr>
          <w:rFonts w:cs="Arial"/>
          <w:rtl/>
        </w:rPr>
        <w:t xml:space="preserve"> </w:t>
      </w:r>
    </w:p>
    <w:p w14:paraId="3C6EA4C9" w14:textId="75431BA1" w:rsidR="00FA2119" w:rsidRPr="00902CE7" w:rsidRDefault="00FA2119" w:rsidP="00FA2119">
      <w:pPr>
        <w:pStyle w:val="ab"/>
        <w:numPr>
          <w:ilvl w:val="0"/>
          <w:numId w:val="56"/>
        </w:numPr>
      </w:pPr>
      <w:r w:rsidRPr="00902CE7">
        <w:rPr>
          <w:rFonts w:cs="Arial"/>
          <w:rtl/>
        </w:rPr>
        <w:lastRenderedPageBreak/>
        <w:t xml:space="preserve">סמ"ק </w:t>
      </w:r>
      <w:r w:rsidRPr="00696FF9">
        <w:rPr>
          <w:rFonts w:cs="Arial" w:hint="cs"/>
          <w:sz w:val="16"/>
          <w:szCs w:val="16"/>
          <w:rtl/>
        </w:rPr>
        <w:t>(</w:t>
      </w:r>
      <w:r>
        <w:rPr>
          <w:rFonts w:cs="Arial" w:hint="cs"/>
          <w:sz w:val="16"/>
          <w:szCs w:val="16"/>
          <w:rtl/>
        </w:rPr>
        <w:t>כ"כ בשמו הגה"מ [</w:t>
      </w:r>
      <w:r w:rsidRPr="00696FF9">
        <w:rPr>
          <w:rFonts w:cs="Arial"/>
          <w:sz w:val="16"/>
          <w:szCs w:val="16"/>
          <w:rtl/>
        </w:rPr>
        <w:t>פ</w:t>
      </w:r>
      <w:r w:rsidRPr="00696FF9">
        <w:rPr>
          <w:rFonts w:cs="Arial" w:hint="cs"/>
          <w:sz w:val="16"/>
          <w:szCs w:val="16"/>
          <w:rtl/>
        </w:rPr>
        <w:t>"ד</w:t>
      </w:r>
      <w:r w:rsidRPr="00696FF9">
        <w:rPr>
          <w:rFonts w:cs="Arial"/>
          <w:sz w:val="16"/>
          <w:szCs w:val="16"/>
          <w:rtl/>
        </w:rPr>
        <w:t xml:space="preserve"> דפוס קושטא הי"ג</w:t>
      </w:r>
      <w:r>
        <w:rPr>
          <w:rFonts w:cs="Arial" w:hint="cs"/>
          <w:sz w:val="16"/>
          <w:szCs w:val="16"/>
          <w:rtl/>
        </w:rPr>
        <w:t>, לא מצאתי שם וגם לא בסמ"ק]</w:t>
      </w:r>
      <w:r w:rsidRPr="00696FF9">
        <w:rPr>
          <w:rFonts w:cs="Arial"/>
          <w:sz w:val="16"/>
          <w:szCs w:val="16"/>
          <w:rtl/>
        </w:rPr>
        <w:t>)</w:t>
      </w:r>
      <w:r w:rsidR="00A82951">
        <w:rPr>
          <w:rFonts w:cs="Arial" w:hint="cs"/>
          <w:rtl/>
        </w:rPr>
        <w:t>-</w:t>
      </w:r>
      <w:r>
        <w:rPr>
          <w:rFonts w:cs="Arial" w:hint="cs"/>
          <w:rtl/>
        </w:rPr>
        <w:t xml:space="preserve"> </w:t>
      </w:r>
      <w:r w:rsidRPr="00902CE7">
        <w:rPr>
          <w:rFonts w:cs="Arial"/>
          <w:rtl/>
        </w:rPr>
        <w:t>מצא</w:t>
      </w:r>
      <w:r>
        <w:rPr>
          <w:rFonts w:cs="Arial" w:hint="cs"/>
          <w:rtl/>
        </w:rPr>
        <w:t>תי</w:t>
      </w:r>
      <w:r w:rsidRPr="00902CE7">
        <w:rPr>
          <w:rFonts w:cs="Arial"/>
          <w:rtl/>
        </w:rPr>
        <w:t xml:space="preserve"> בשם ה"ר פרץ שהעולם מקפידים וחלוקים לכתבו ביו"ד</w:t>
      </w:r>
      <w:r>
        <w:rPr>
          <w:rFonts w:cs="Arial" w:hint="cs"/>
          <w:rtl/>
        </w:rPr>
        <w:t>.</w:t>
      </w:r>
      <w:r w:rsidRPr="00902CE7">
        <w:rPr>
          <w:rFonts w:cs="Arial"/>
          <w:rtl/>
        </w:rPr>
        <w:t xml:space="preserve"> אכן שמעתי שהר"מ לא היה מקפיד</w:t>
      </w:r>
      <w:r>
        <w:rPr>
          <w:rStyle w:val="a7"/>
          <w:rFonts w:cs="Arial"/>
          <w:rtl/>
        </w:rPr>
        <w:footnoteReference w:id="815"/>
      </w:r>
      <w:r>
        <w:rPr>
          <w:rFonts w:cs="Arial" w:hint="cs"/>
          <w:rtl/>
        </w:rPr>
        <w:t>.</w:t>
      </w:r>
      <w:r w:rsidRPr="00902CE7">
        <w:rPr>
          <w:rFonts w:cs="Arial"/>
          <w:rtl/>
        </w:rPr>
        <w:t xml:space="preserve"> </w:t>
      </w:r>
    </w:p>
    <w:p w14:paraId="7BB4806B"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6AF7B10" w14:textId="77777777" w:rsidR="00FA2119" w:rsidRDefault="00FA2119" w:rsidP="00FA2119">
      <w:pPr>
        <w:rPr>
          <w:rtl/>
        </w:rPr>
      </w:pPr>
      <w:r>
        <w:rPr>
          <w:rFonts w:cs="Arial" w:hint="cs"/>
          <w:rtl/>
        </w:rPr>
        <w:t>להתנסבא</w:t>
      </w:r>
      <w:r>
        <w:rPr>
          <w:rFonts w:cs="Arial"/>
          <w:rtl/>
        </w:rPr>
        <w:t xml:space="preserve">, </w:t>
      </w:r>
      <w:r>
        <w:rPr>
          <w:rFonts w:cs="Arial" w:hint="cs"/>
          <w:rtl/>
        </w:rPr>
        <w:t>נהגו</w:t>
      </w:r>
      <w:r>
        <w:rPr>
          <w:rFonts w:cs="Arial"/>
          <w:rtl/>
        </w:rPr>
        <w:t xml:space="preserve"> </w:t>
      </w:r>
      <w:r>
        <w:rPr>
          <w:rFonts w:cs="Arial" w:hint="cs"/>
          <w:rtl/>
        </w:rPr>
        <w:t>לכתבם</w:t>
      </w:r>
      <w:r>
        <w:rPr>
          <w:rFonts w:cs="Arial"/>
          <w:rtl/>
        </w:rPr>
        <w:t xml:space="preserve"> </w:t>
      </w:r>
      <w:r>
        <w:rPr>
          <w:rFonts w:cs="Arial" w:hint="cs"/>
          <w:rtl/>
        </w:rPr>
        <w:t>בלא</w:t>
      </w:r>
      <w:r>
        <w:rPr>
          <w:rFonts w:cs="Arial"/>
          <w:rtl/>
        </w:rPr>
        <w:t xml:space="preserve"> </w:t>
      </w:r>
      <w:r>
        <w:rPr>
          <w:rFonts w:cs="Arial" w:hint="cs"/>
          <w:rtl/>
        </w:rPr>
        <w:t>שום</w:t>
      </w:r>
      <w:r>
        <w:rPr>
          <w:rFonts w:cs="Arial"/>
          <w:rtl/>
        </w:rPr>
        <w:t xml:space="preserve"> </w:t>
      </w:r>
      <w:r>
        <w:rPr>
          <w:rFonts w:cs="Arial" w:hint="cs"/>
          <w:rtl/>
        </w:rPr>
        <w:t>יו</w:t>
      </w:r>
      <w:r>
        <w:rPr>
          <w:rFonts w:cs="Arial"/>
          <w:rtl/>
        </w:rPr>
        <w:t>"</w:t>
      </w:r>
      <w:r>
        <w:rPr>
          <w:rFonts w:cs="Arial" w:hint="cs"/>
          <w:rtl/>
        </w:rPr>
        <w:t>ד</w:t>
      </w:r>
      <w:r>
        <w:rPr>
          <w:rFonts w:cs="Arial"/>
          <w:rtl/>
        </w:rPr>
        <w:t xml:space="preserve">. </w:t>
      </w:r>
      <w:r>
        <w:rPr>
          <w:rFonts w:cs="Arial" w:hint="cs"/>
          <w:sz w:val="18"/>
          <w:szCs w:val="18"/>
          <w:rtl/>
        </w:rPr>
        <w:t xml:space="preserve">[הגה] </w:t>
      </w:r>
      <w:r w:rsidRPr="007137EE">
        <w:rPr>
          <w:rFonts w:cs="Arial" w:hint="cs"/>
          <w:sz w:val="18"/>
          <w:szCs w:val="18"/>
          <w:rtl/>
        </w:rPr>
        <w:t>ואם</w:t>
      </w:r>
      <w:r w:rsidRPr="007137EE">
        <w:rPr>
          <w:rFonts w:cs="Arial"/>
          <w:sz w:val="18"/>
          <w:szCs w:val="18"/>
          <w:rtl/>
        </w:rPr>
        <w:t xml:space="preserve"> </w:t>
      </w:r>
      <w:r w:rsidRPr="007137EE">
        <w:rPr>
          <w:rFonts w:cs="Arial" w:hint="cs"/>
          <w:sz w:val="18"/>
          <w:szCs w:val="18"/>
          <w:rtl/>
        </w:rPr>
        <w:t>כתב</w:t>
      </w:r>
      <w:r w:rsidRPr="007137EE">
        <w:rPr>
          <w:rFonts w:cs="Arial"/>
          <w:sz w:val="18"/>
          <w:szCs w:val="18"/>
          <w:rtl/>
        </w:rPr>
        <w:t xml:space="preserve"> </w:t>
      </w:r>
      <w:r w:rsidRPr="007137EE">
        <w:rPr>
          <w:rFonts w:cs="Arial" w:hint="cs"/>
          <w:sz w:val="18"/>
          <w:szCs w:val="18"/>
          <w:rtl/>
        </w:rPr>
        <w:t>יו</w:t>
      </w:r>
      <w:r w:rsidRPr="007137EE">
        <w:rPr>
          <w:rFonts w:cs="Arial"/>
          <w:sz w:val="18"/>
          <w:szCs w:val="18"/>
          <w:rtl/>
        </w:rPr>
        <w:t>"</w:t>
      </w:r>
      <w:r w:rsidRPr="007137EE">
        <w:rPr>
          <w:rFonts w:cs="Arial" w:hint="cs"/>
          <w:sz w:val="18"/>
          <w:szCs w:val="18"/>
          <w:rtl/>
        </w:rPr>
        <w:t>ד</w:t>
      </w:r>
      <w:r w:rsidRPr="007137EE">
        <w:rPr>
          <w:rFonts w:cs="Arial"/>
          <w:sz w:val="18"/>
          <w:szCs w:val="18"/>
          <w:rtl/>
        </w:rPr>
        <w:t xml:space="preserve"> </w:t>
      </w:r>
      <w:r w:rsidRPr="007137EE">
        <w:rPr>
          <w:rFonts w:cs="Arial" w:hint="cs"/>
          <w:sz w:val="18"/>
          <w:szCs w:val="18"/>
          <w:rtl/>
        </w:rPr>
        <w:t>אחר</w:t>
      </w:r>
      <w:r w:rsidRPr="007137EE">
        <w:rPr>
          <w:rFonts w:cs="Arial"/>
          <w:sz w:val="18"/>
          <w:szCs w:val="18"/>
          <w:rtl/>
        </w:rPr>
        <w:t xml:space="preserve"> </w:t>
      </w:r>
      <w:r w:rsidRPr="007137EE">
        <w:rPr>
          <w:rFonts w:cs="Arial" w:hint="cs"/>
          <w:sz w:val="18"/>
          <w:szCs w:val="18"/>
          <w:rtl/>
        </w:rPr>
        <w:t>ה</w:t>
      </w:r>
      <w:r w:rsidRPr="007137EE">
        <w:rPr>
          <w:rFonts w:cs="Arial"/>
          <w:sz w:val="18"/>
          <w:szCs w:val="18"/>
          <w:rtl/>
        </w:rPr>
        <w:t>"</w:t>
      </w:r>
      <w:r w:rsidRPr="007137EE">
        <w:rPr>
          <w:rFonts w:cs="Arial" w:hint="cs"/>
          <w:sz w:val="18"/>
          <w:szCs w:val="18"/>
          <w:rtl/>
        </w:rPr>
        <w:t>א</w:t>
      </w:r>
      <w:r w:rsidRPr="007137EE">
        <w:rPr>
          <w:rFonts w:cs="Arial"/>
          <w:sz w:val="18"/>
          <w:szCs w:val="18"/>
          <w:rtl/>
        </w:rPr>
        <w:t xml:space="preserve">, </w:t>
      </w:r>
      <w:r w:rsidRPr="007137EE">
        <w:rPr>
          <w:rFonts w:cs="Arial" w:hint="cs"/>
          <w:sz w:val="18"/>
          <w:szCs w:val="18"/>
          <w:rtl/>
        </w:rPr>
        <w:t>כשר</w:t>
      </w:r>
      <w:r w:rsidRPr="007137EE">
        <w:rPr>
          <w:rFonts w:cs="Arial"/>
          <w:sz w:val="18"/>
          <w:szCs w:val="18"/>
          <w:rtl/>
        </w:rPr>
        <w:t>.</w:t>
      </w:r>
      <w:r>
        <w:rPr>
          <w:rFonts w:cs="Arial"/>
          <w:rtl/>
        </w:rPr>
        <w:t xml:space="preserve"> </w:t>
      </w:r>
    </w:p>
    <w:p w14:paraId="2510E7C3" w14:textId="77777777" w:rsidR="00FA2119" w:rsidRDefault="00FA2119" w:rsidP="00FA2119">
      <w:pPr>
        <w:rPr>
          <w:rtl/>
        </w:rPr>
      </w:pPr>
    </w:p>
    <w:p w14:paraId="1497DA3E" w14:textId="77777777" w:rsidR="00FA2119" w:rsidRDefault="00FA2119" w:rsidP="00FA2119">
      <w:pPr>
        <w:pStyle w:val="2"/>
        <w:rPr>
          <w:rtl/>
        </w:rPr>
      </w:pPr>
      <w:r>
        <w:rPr>
          <w:rFonts w:hint="cs"/>
          <w:rtl/>
        </w:rPr>
        <w:t>סעיף</w:t>
      </w:r>
      <w:r>
        <w:rPr>
          <w:rtl/>
        </w:rPr>
        <w:t xml:space="preserve"> </w:t>
      </w:r>
      <w:r>
        <w:rPr>
          <w:rFonts w:hint="cs"/>
          <w:rtl/>
        </w:rPr>
        <w:t>לט: בידיכי.</w:t>
      </w:r>
    </w:p>
    <w:p w14:paraId="209C2B0E" w14:textId="77777777" w:rsidR="00FA2119" w:rsidRPr="00D658C0" w:rsidRDefault="00FA2119" w:rsidP="00FA2119">
      <w:pPr>
        <w:rPr>
          <w:u w:val="single"/>
          <w:rtl/>
        </w:rPr>
      </w:pPr>
      <w:r>
        <w:rPr>
          <w:rFonts w:hint="cs"/>
          <w:u w:val="single"/>
          <w:rtl/>
        </w:rPr>
        <w:t>כתיבת המילה '</w:t>
      </w:r>
      <w:r w:rsidRPr="00D658C0">
        <w:rPr>
          <w:rFonts w:hint="cs"/>
          <w:u w:val="single"/>
          <w:rtl/>
        </w:rPr>
        <w:t>בידיכי:</w:t>
      </w:r>
    </w:p>
    <w:p w14:paraId="222C8A36" w14:textId="3BE66C57" w:rsidR="00FA2119" w:rsidRPr="00A1691D" w:rsidRDefault="00FA2119" w:rsidP="00FA2119">
      <w:pPr>
        <w:pStyle w:val="ab"/>
        <w:numPr>
          <w:ilvl w:val="0"/>
          <w:numId w:val="56"/>
        </w:numPr>
      </w:pPr>
      <w:r w:rsidRPr="00A1691D">
        <w:rPr>
          <w:rFonts w:cs="Arial"/>
          <w:rtl/>
        </w:rPr>
        <w:t xml:space="preserve">מרדכי </w:t>
      </w:r>
      <w:r w:rsidRPr="00F36BAA">
        <w:rPr>
          <w:rFonts w:cs="Arial"/>
          <w:sz w:val="16"/>
          <w:szCs w:val="16"/>
          <w:rtl/>
        </w:rPr>
        <w:t>(בהלכות הגט</w:t>
      </w:r>
      <w:r w:rsidRPr="00F36BAA">
        <w:rPr>
          <w:rFonts w:cs="Arial" w:hint="cs"/>
          <w:sz w:val="16"/>
          <w:szCs w:val="16"/>
          <w:rtl/>
        </w:rPr>
        <w:t xml:space="preserve"> </w:t>
      </w:r>
      <w:r w:rsidRPr="00F36BAA">
        <w:rPr>
          <w:rFonts w:cs="Arial"/>
          <w:sz w:val="16"/>
          <w:szCs w:val="16"/>
          <w:rtl/>
        </w:rPr>
        <w:t>סי' תנד)</w:t>
      </w:r>
      <w:r>
        <w:rPr>
          <w:rFonts w:cs="Arial" w:hint="cs"/>
          <w:rtl/>
        </w:rPr>
        <w:t xml:space="preserve"> ו</w:t>
      </w:r>
      <w:r w:rsidRPr="00A1691D">
        <w:rPr>
          <w:rFonts w:cs="Arial"/>
          <w:rtl/>
        </w:rPr>
        <w:t xml:space="preserve">כלבו </w:t>
      </w:r>
      <w:r w:rsidRPr="00F36BAA">
        <w:rPr>
          <w:rFonts w:cs="Arial"/>
          <w:sz w:val="16"/>
          <w:szCs w:val="16"/>
          <w:rtl/>
        </w:rPr>
        <w:t>(סי' עו מז ע"ד)</w:t>
      </w:r>
      <w:r w:rsidR="00A82951">
        <w:rPr>
          <w:rFonts w:cs="Arial" w:hint="cs"/>
          <w:rtl/>
        </w:rPr>
        <w:t>-</w:t>
      </w:r>
      <w:r>
        <w:rPr>
          <w:rFonts w:cs="Arial" w:hint="cs"/>
          <w:rtl/>
        </w:rPr>
        <w:t xml:space="preserve"> בידיכי </w:t>
      </w:r>
      <w:r w:rsidRPr="00C9640C">
        <w:rPr>
          <w:rFonts w:cs="Arial"/>
          <w:rtl/>
        </w:rPr>
        <w:t>הוא בג' יודי"ן</w:t>
      </w:r>
      <w:r>
        <w:rPr>
          <w:rFonts w:cs="Arial" w:hint="cs"/>
          <w:rtl/>
        </w:rPr>
        <w:t>.</w:t>
      </w:r>
    </w:p>
    <w:p w14:paraId="21BEF018"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50D7E38" w14:textId="77777777" w:rsidR="00FA2119" w:rsidRDefault="00FA2119" w:rsidP="00FA2119">
      <w:pPr>
        <w:rPr>
          <w:rtl/>
        </w:rPr>
      </w:pPr>
      <w:r>
        <w:rPr>
          <w:rFonts w:cs="Arial" w:hint="cs"/>
          <w:rtl/>
        </w:rPr>
        <w:t>בידיכי</w:t>
      </w:r>
      <w:r>
        <w:rPr>
          <w:rFonts w:cs="Arial"/>
          <w:rtl/>
        </w:rPr>
        <w:t xml:space="preserve">, </w:t>
      </w:r>
      <w:r>
        <w:rPr>
          <w:rFonts w:cs="Arial" w:hint="cs"/>
          <w:rtl/>
        </w:rPr>
        <w:t>בשלשה</w:t>
      </w:r>
      <w:r>
        <w:rPr>
          <w:rFonts w:cs="Arial"/>
          <w:rtl/>
        </w:rPr>
        <w:t xml:space="preserve"> </w:t>
      </w:r>
      <w:r>
        <w:rPr>
          <w:rFonts w:cs="Arial" w:hint="cs"/>
          <w:rtl/>
        </w:rPr>
        <w:t>יודי</w:t>
      </w:r>
      <w:r>
        <w:rPr>
          <w:rFonts w:cs="Arial"/>
          <w:rtl/>
        </w:rPr>
        <w:t>"</w:t>
      </w:r>
      <w:r>
        <w:rPr>
          <w:rFonts w:cs="Arial" w:hint="cs"/>
          <w:rtl/>
        </w:rPr>
        <w:t>ן</w:t>
      </w:r>
      <w:r>
        <w:rPr>
          <w:rFonts w:cs="Arial"/>
          <w:rtl/>
        </w:rPr>
        <w:t xml:space="preserve">. </w:t>
      </w:r>
    </w:p>
    <w:p w14:paraId="61AFF858" w14:textId="77777777" w:rsidR="00FA2119" w:rsidRDefault="00FA2119" w:rsidP="00FA2119">
      <w:pPr>
        <w:rPr>
          <w:rtl/>
        </w:rPr>
      </w:pPr>
    </w:p>
    <w:p w14:paraId="36D7252E" w14:textId="77777777" w:rsidR="00FA2119" w:rsidRDefault="00FA2119" w:rsidP="00FA2119">
      <w:pPr>
        <w:pStyle w:val="2"/>
        <w:rPr>
          <w:rtl/>
        </w:rPr>
      </w:pPr>
      <w:r>
        <w:rPr>
          <w:rFonts w:hint="cs"/>
          <w:rtl/>
        </w:rPr>
        <w:t>סעיף</w:t>
      </w:r>
      <w:r>
        <w:rPr>
          <w:rtl/>
        </w:rPr>
        <w:t xml:space="preserve"> </w:t>
      </w:r>
      <w:r>
        <w:rPr>
          <w:rFonts w:hint="cs"/>
          <w:rtl/>
        </w:rPr>
        <w:t>מ: מן שמי מן יומא דנן ולעלם.</w:t>
      </w:r>
    </w:p>
    <w:p w14:paraId="76BA2E0C" w14:textId="064579ED" w:rsidR="00FA2119" w:rsidRPr="008D0ECC" w:rsidRDefault="00FA2119" w:rsidP="00FA2119">
      <w:pPr>
        <w:rPr>
          <w:rtl/>
        </w:rPr>
      </w:pPr>
      <w:r w:rsidRPr="00F41D9B">
        <w:rPr>
          <w:rFonts w:cs="Arial" w:hint="cs"/>
          <w:b/>
          <w:bCs/>
          <w:rtl/>
        </w:rPr>
        <w:t xml:space="preserve">גיטין </w:t>
      </w:r>
      <w:r w:rsidRPr="00F41D9B">
        <w:rPr>
          <w:rFonts w:cs="Arial" w:hint="cs"/>
          <w:b/>
          <w:bCs/>
          <w:sz w:val="16"/>
          <w:szCs w:val="16"/>
          <w:rtl/>
        </w:rPr>
        <w:t xml:space="preserve">(פ' המגרש) </w:t>
      </w:r>
      <w:r w:rsidRPr="00F41D9B">
        <w:rPr>
          <w:rFonts w:cs="Arial" w:hint="cs"/>
          <w:b/>
          <w:bCs/>
          <w:rtl/>
        </w:rPr>
        <w:t>פ</w:t>
      </w:r>
      <w:r>
        <w:rPr>
          <w:rFonts w:cs="Arial" w:hint="cs"/>
          <w:b/>
          <w:bCs/>
          <w:rtl/>
        </w:rPr>
        <w:t>ג</w:t>
      </w:r>
      <w:r w:rsidRPr="00F41D9B">
        <w:rPr>
          <w:rFonts w:cs="Arial" w:hint="cs"/>
          <w:b/>
          <w:bCs/>
          <w:rtl/>
        </w:rPr>
        <w:t xml:space="preserve"> ע"</w:t>
      </w:r>
      <w:r>
        <w:rPr>
          <w:rFonts w:cs="Arial" w:hint="cs"/>
          <w:b/>
          <w:bCs/>
          <w:rtl/>
        </w:rPr>
        <w:t>ב</w:t>
      </w:r>
      <w:r w:rsidRPr="00F41D9B">
        <w:rPr>
          <w:rFonts w:cs="Arial" w:hint="cs"/>
          <w:b/>
          <w:bCs/>
          <w:rtl/>
        </w:rPr>
        <w:t>:</w:t>
      </w:r>
      <w:r>
        <w:rPr>
          <w:rFonts w:cs="Arial" w:hint="cs"/>
          <w:rtl/>
        </w:rPr>
        <w:t xml:space="preserve"> </w:t>
      </w:r>
      <w:r w:rsidRPr="008D0ECC">
        <w:rPr>
          <w:rFonts w:cs="Arial"/>
          <w:u w:val="single"/>
          <w:rtl/>
        </w:rPr>
        <w:t>בעא מיניה רבא מרב נחמן</w:t>
      </w:r>
      <w:r w:rsidRPr="008D0ECC">
        <w:rPr>
          <w:rFonts w:cs="Arial"/>
          <w:rtl/>
        </w:rPr>
        <w:t>: היום אי את אשתי ולמחר את אשתי, מהו?</w:t>
      </w:r>
      <w:r>
        <w:rPr>
          <w:rFonts w:cs="Arial" w:hint="cs"/>
          <w:rtl/>
        </w:rPr>
        <w:t>...</w:t>
      </w:r>
      <w:r w:rsidRPr="008D0ECC">
        <w:rPr>
          <w:rFonts w:cs="Arial"/>
          <w:rtl/>
        </w:rPr>
        <w:t xml:space="preserve"> בתר דבעיא הדר פשטה:</w:t>
      </w:r>
      <w:r w:rsidRPr="008D0ECC">
        <w:rPr>
          <w:rtl/>
        </w:rPr>
        <w:t xml:space="preserve"> </w:t>
      </w:r>
      <w:r>
        <w:rPr>
          <w:rFonts w:cs="Arial" w:hint="cs"/>
          <w:sz w:val="14"/>
          <w:szCs w:val="14"/>
          <w:rtl/>
        </w:rPr>
        <w:t xml:space="preserve">(פד.) </w:t>
      </w:r>
      <w:r w:rsidRPr="008D0ECC">
        <w:rPr>
          <w:rFonts w:cs="Arial"/>
          <w:rtl/>
        </w:rPr>
        <w:t>מסתברא, בין לרבי אליעזר בין לרבנן, כיון דפסקה</w:t>
      </w:r>
      <w:r>
        <w:rPr>
          <w:rStyle w:val="a7"/>
          <w:rFonts w:cs="Arial"/>
          <w:rtl/>
        </w:rPr>
        <w:footnoteReference w:id="816"/>
      </w:r>
      <w:r w:rsidRPr="008D0ECC">
        <w:rPr>
          <w:rFonts w:cs="Arial"/>
          <w:rtl/>
        </w:rPr>
        <w:t xml:space="preserve"> </w:t>
      </w:r>
      <w:r w:rsidR="00A82951">
        <w:rPr>
          <w:rFonts w:cs="Arial"/>
          <w:rtl/>
        </w:rPr>
        <w:t>-</w:t>
      </w:r>
      <w:r w:rsidRPr="008D0ECC">
        <w:rPr>
          <w:rFonts w:cs="Arial"/>
          <w:rtl/>
        </w:rPr>
        <w:t xml:space="preserve"> פסקה</w:t>
      </w:r>
      <w:r>
        <w:rPr>
          <w:rStyle w:val="a7"/>
          <w:rFonts w:cs="Arial"/>
          <w:rtl/>
        </w:rPr>
        <w:footnoteReference w:id="817"/>
      </w:r>
      <w:r w:rsidRPr="008D0ECC">
        <w:rPr>
          <w:rFonts w:cs="Arial"/>
          <w:rtl/>
        </w:rPr>
        <w:t>.</w:t>
      </w:r>
    </w:p>
    <w:p w14:paraId="5F85887B" w14:textId="080674DA" w:rsidR="00FA2119" w:rsidRPr="00F41D9B" w:rsidRDefault="00FA2119" w:rsidP="00FA2119">
      <w:pPr>
        <w:rPr>
          <w:rtl/>
        </w:rPr>
      </w:pPr>
      <w:r w:rsidRPr="00F41D9B">
        <w:rPr>
          <w:rFonts w:cs="Arial" w:hint="cs"/>
          <w:b/>
          <w:bCs/>
          <w:rtl/>
        </w:rPr>
        <w:t xml:space="preserve">גיטין </w:t>
      </w:r>
      <w:r w:rsidRPr="00F41D9B">
        <w:rPr>
          <w:rFonts w:cs="Arial" w:hint="cs"/>
          <w:b/>
          <w:bCs/>
          <w:sz w:val="16"/>
          <w:szCs w:val="16"/>
          <w:rtl/>
        </w:rPr>
        <w:t xml:space="preserve">(פ' המגרש) </w:t>
      </w:r>
      <w:r w:rsidRPr="00F41D9B">
        <w:rPr>
          <w:rFonts w:cs="Arial" w:hint="cs"/>
          <w:b/>
          <w:bCs/>
          <w:rtl/>
        </w:rPr>
        <w:t>פה ע"ב:</w:t>
      </w:r>
      <w:r>
        <w:rPr>
          <w:rFonts w:cs="Arial" w:hint="cs"/>
          <w:rtl/>
        </w:rPr>
        <w:t xml:space="preserve"> </w:t>
      </w:r>
      <w:r w:rsidRPr="00F41D9B">
        <w:rPr>
          <w:rFonts w:cs="Arial"/>
          <w:rtl/>
        </w:rPr>
        <w:t xml:space="preserve">תא שמע, </w:t>
      </w:r>
      <w:r w:rsidRPr="008D0ECC">
        <w:rPr>
          <w:rFonts w:cs="Arial"/>
          <w:u w:val="single"/>
          <w:rtl/>
        </w:rPr>
        <w:t>דאתקין רבא בגיטי</w:t>
      </w:r>
      <w:r w:rsidRPr="00F41D9B">
        <w:rPr>
          <w:rFonts w:cs="Arial"/>
          <w:rtl/>
        </w:rPr>
        <w:t>: איך פלניא בר פלניא פטר ותריך ית פלוניתא אינתתיה דהות אינתתיה מן קדם דנא מיומא דנן ולעלם</w:t>
      </w:r>
      <w:r>
        <w:rPr>
          <w:rFonts w:cs="Arial" w:hint="cs"/>
          <w:rtl/>
        </w:rPr>
        <w:t>...</w:t>
      </w:r>
      <w:r w:rsidRPr="00F41D9B">
        <w:rPr>
          <w:rFonts w:cs="Arial"/>
          <w:rtl/>
        </w:rPr>
        <w:t xml:space="preserve"> מיומא דנן </w:t>
      </w:r>
      <w:r w:rsidR="00A82951">
        <w:rPr>
          <w:rFonts w:cs="Arial"/>
          <w:rtl/>
        </w:rPr>
        <w:t>-</w:t>
      </w:r>
      <w:r w:rsidRPr="00F41D9B">
        <w:rPr>
          <w:rFonts w:cs="Arial"/>
          <w:rtl/>
        </w:rPr>
        <w:t xml:space="preserve"> לאפוקי מדרבי יוסי, דאמר</w:t>
      </w:r>
      <w:r>
        <w:rPr>
          <w:rStyle w:val="a7"/>
          <w:rFonts w:cs="Arial"/>
          <w:rtl/>
        </w:rPr>
        <w:footnoteReference w:id="818"/>
      </w:r>
      <w:r w:rsidRPr="00F41D9B">
        <w:rPr>
          <w:rFonts w:cs="Arial"/>
          <w:rtl/>
        </w:rPr>
        <w:t>: זמנו של שטר מוכיח עליו</w:t>
      </w:r>
      <w:r>
        <w:rPr>
          <w:rFonts w:cs="Arial" w:hint="cs"/>
          <w:rtl/>
        </w:rPr>
        <w:t>.</w:t>
      </w:r>
      <w:r w:rsidRPr="00F41D9B">
        <w:rPr>
          <w:rFonts w:cs="Arial"/>
          <w:rtl/>
        </w:rPr>
        <w:t xml:space="preserve"> ולעלם </w:t>
      </w:r>
      <w:r w:rsidR="00A82951">
        <w:rPr>
          <w:rFonts w:cs="Arial" w:hint="cs"/>
          <w:rtl/>
        </w:rPr>
        <w:t>-</w:t>
      </w:r>
      <w:r w:rsidRPr="00F41D9B">
        <w:rPr>
          <w:rtl/>
        </w:rPr>
        <w:t xml:space="preserve"> </w:t>
      </w:r>
      <w:r>
        <w:rPr>
          <w:rFonts w:cs="Arial" w:hint="cs"/>
          <w:sz w:val="14"/>
          <w:szCs w:val="14"/>
          <w:rtl/>
        </w:rPr>
        <w:t xml:space="preserve">(פו.) </w:t>
      </w:r>
      <w:r w:rsidRPr="00F41D9B">
        <w:rPr>
          <w:rFonts w:cs="Arial"/>
          <w:rtl/>
        </w:rPr>
        <w:t>לאפוקי מדבעא מיניה רבא מרב נחמן, דאמר היום אי את אשתי ולמחר את אשתי</w:t>
      </w:r>
      <w:r>
        <w:rPr>
          <w:rStyle w:val="a7"/>
          <w:rFonts w:cs="Arial"/>
          <w:rtl/>
        </w:rPr>
        <w:footnoteReference w:id="819"/>
      </w:r>
      <w:r w:rsidRPr="00F41D9B">
        <w:rPr>
          <w:rFonts w:cs="Arial"/>
          <w:rtl/>
        </w:rPr>
        <w:t>.</w:t>
      </w:r>
    </w:p>
    <w:p w14:paraId="20D1B5EB" w14:textId="77777777" w:rsidR="00FA2119" w:rsidRPr="00B340FE" w:rsidRDefault="00FA2119" w:rsidP="00FA2119">
      <w:pPr>
        <w:rPr>
          <w:rtl/>
        </w:rPr>
      </w:pPr>
      <w:r>
        <w:rPr>
          <w:rFonts w:hint="cs"/>
          <w:u w:val="single"/>
          <w:rtl/>
        </w:rPr>
        <w:t>האם צריך לכתוב בגט את המילים 'מן שמי':</w:t>
      </w:r>
    </w:p>
    <w:p w14:paraId="283CCD0B" w14:textId="54F15F25" w:rsidR="00FA2119" w:rsidRPr="00B340FE" w:rsidRDefault="00FA2119" w:rsidP="00FA2119">
      <w:pPr>
        <w:pStyle w:val="ab"/>
        <w:numPr>
          <w:ilvl w:val="0"/>
          <w:numId w:val="56"/>
        </w:numPr>
      </w:pPr>
      <w:r>
        <w:rPr>
          <w:rFonts w:cs="Arial" w:hint="cs"/>
          <w:rtl/>
        </w:rPr>
        <w:t xml:space="preserve">רי"ף </w:t>
      </w:r>
      <w:r>
        <w:rPr>
          <w:rFonts w:cs="Arial" w:hint="cs"/>
          <w:sz w:val="16"/>
          <w:szCs w:val="16"/>
          <w:rtl/>
        </w:rPr>
        <w:t>(מה:)</w:t>
      </w:r>
      <w:r>
        <w:rPr>
          <w:rFonts w:cs="Arial" w:hint="cs"/>
          <w:rtl/>
        </w:rPr>
        <w:t xml:space="preserve"> רש"י </w:t>
      </w:r>
      <w:r>
        <w:rPr>
          <w:rFonts w:cs="Arial" w:hint="cs"/>
          <w:sz w:val="16"/>
          <w:szCs w:val="16"/>
          <w:rtl/>
        </w:rPr>
        <w:t>(פה: ד"ה זהו טופס הגט)</w:t>
      </w:r>
      <w:r>
        <w:rPr>
          <w:rFonts w:cs="Arial" w:hint="cs"/>
          <w:rtl/>
        </w:rPr>
        <w:t xml:space="preserve"> סמ"ג </w:t>
      </w:r>
      <w:r>
        <w:rPr>
          <w:rFonts w:cs="Arial" w:hint="cs"/>
          <w:sz w:val="16"/>
          <w:szCs w:val="16"/>
          <w:rtl/>
        </w:rPr>
        <w:t>(עשין נ)</w:t>
      </w:r>
      <w:r>
        <w:rPr>
          <w:rFonts w:cs="Arial" w:hint="cs"/>
          <w:rtl/>
        </w:rPr>
        <w:t xml:space="preserve"> וסמ"ק</w:t>
      </w:r>
      <w:r>
        <w:rPr>
          <w:rFonts w:cs="Arial" w:hint="cs"/>
          <w:sz w:val="16"/>
          <w:szCs w:val="16"/>
          <w:rtl/>
        </w:rPr>
        <w:t xml:space="preserve"> (סי' קפד)</w:t>
      </w:r>
      <w:r w:rsidR="00A82951">
        <w:rPr>
          <w:rFonts w:cs="Arial" w:hint="cs"/>
          <w:rtl/>
        </w:rPr>
        <w:t>-</w:t>
      </w:r>
      <w:r>
        <w:rPr>
          <w:rFonts w:cs="Arial" w:hint="cs"/>
          <w:rtl/>
        </w:rPr>
        <w:t xml:space="preserve"> </w:t>
      </w:r>
      <w:r w:rsidRPr="00B340FE">
        <w:rPr>
          <w:rFonts w:cs="Arial"/>
          <w:rtl/>
        </w:rPr>
        <w:t>ואינש לא ימחה בידיכי מן יומא דנן ולעלם</w:t>
      </w:r>
      <w:r>
        <w:rPr>
          <w:rFonts w:cs="Arial" w:hint="cs"/>
          <w:sz w:val="16"/>
          <w:szCs w:val="16"/>
          <w:rtl/>
        </w:rPr>
        <w:t xml:space="preserve"> (ל' הרי"ף)</w:t>
      </w:r>
      <w:r>
        <w:rPr>
          <w:rFonts w:cs="Arial" w:hint="cs"/>
          <w:rtl/>
        </w:rPr>
        <w:t>.</w:t>
      </w:r>
      <w:r>
        <w:rPr>
          <w:rFonts w:hint="cs"/>
          <w:rtl/>
        </w:rPr>
        <w:t xml:space="preserve"> </w:t>
      </w:r>
      <w:r w:rsidRPr="006D16C6">
        <w:rPr>
          <w:rFonts w:hint="cs"/>
          <w:color w:val="00B0F0"/>
          <w:rtl/>
        </w:rPr>
        <w:t>(וכ"כ הרמ"א)</w:t>
      </w:r>
    </w:p>
    <w:p w14:paraId="3F92DC36" w14:textId="729016A2" w:rsidR="00FA2119" w:rsidRPr="00B340FE" w:rsidRDefault="00FA2119" w:rsidP="00FA2119">
      <w:pPr>
        <w:pStyle w:val="ab"/>
        <w:numPr>
          <w:ilvl w:val="0"/>
          <w:numId w:val="56"/>
        </w:numPr>
      </w:pPr>
      <w:r>
        <w:rPr>
          <w:rFonts w:cs="Arial" w:hint="cs"/>
          <w:rtl/>
        </w:rPr>
        <w:t xml:space="preserve">רמב"ם </w:t>
      </w:r>
      <w:r>
        <w:rPr>
          <w:rFonts w:cs="Arial" w:hint="cs"/>
          <w:sz w:val="16"/>
          <w:szCs w:val="16"/>
          <w:rtl/>
        </w:rPr>
        <w:t>(פ"ד הי"ב)</w:t>
      </w:r>
      <w:r>
        <w:rPr>
          <w:rFonts w:cs="Arial" w:hint="cs"/>
          <w:rtl/>
        </w:rPr>
        <w:t xml:space="preserve"> ורא"ש</w:t>
      </w:r>
      <w:r>
        <w:rPr>
          <w:rFonts w:cs="Arial" w:hint="cs"/>
          <w:sz w:val="16"/>
          <w:szCs w:val="16"/>
          <w:rtl/>
        </w:rPr>
        <w:t xml:space="preserve"> (סדר הגט)</w:t>
      </w:r>
      <w:r w:rsidR="00A82951">
        <w:rPr>
          <w:rFonts w:cs="Arial" w:hint="cs"/>
          <w:rtl/>
        </w:rPr>
        <w:t>-</w:t>
      </w:r>
      <w:r>
        <w:rPr>
          <w:rFonts w:cs="Arial" w:hint="cs"/>
          <w:rtl/>
        </w:rPr>
        <w:t xml:space="preserve"> </w:t>
      </w:r>
      <w:r w:rsidRPr="00B340FE">
        <w:rPr>
          <w:rFonts w:cs="Arial"/>
          <w:rtl/>
        </w:rPr>
        <w:t xml:space="preserve">ואנש לא ימחא בידיכי </w:t>
      </w:r>
      <w:r w:rsidRPr="00B340FE">
        <w:rPr>
          <w:rFonts w:cs="Arial"/>
          <w:b/>
          <w:bCs/>
          <w:rtl/>
        </w:rPr>
        <w:t>מן שמי</w:t>
      </w:r>
      <w:r w:rsidRPr="00B340FE">
        <w:rPr>
          <w:rFonts w:cs="Arial"/>
          <w:rtl/>
        </w:rPr>
        <w:t xml:space="preserve"> מיומא דנן ולעלם</w:t>
      </w:r>
      <w:r>
        <w:rPr>
          <w:rFonts w:cs="Arial" w:hint="cs"/>
          <w:sz w:val="16"/>
          <w:szCs w:val="16"/>
          <w:rtl/>
        </w:rPr>
        <w:t xml:space="preserve"> (ל' הרא"ש)</w:t>
      </w:r>
      <w:r>
        <w:rPr>
          <w:rFonts w:cs="Arial" w:hint="cs"/>
          <w:rtl/>
        </w:rPr>
        <w:t>.</w:t>
      </w:r>
      <w:r w:rsidRPr="00B340FE">
        <w:rPr>
          <w:rFonts w:cs="Arial"/>
          <w:rtl/>
        </w:rPr>
        <w:t xml:space="preserve"> </w:t>
      </w:r>
      <w:r w:rsidRPr="008D0ECC">
        <w:rPr>
          <w:rFonts w:hint="cs"/>
          <w:color w:val="E36C0A" w:themeColor="accent6" w:themeShade="BF"/>
          <w:rtl/>
        </w:rPr>
        <w:t>(וכ"פ בשו"ע)</w:t>
      </w:r>
    </w:p>
    <w:p w14:paraId="0016ECD2" w14:textId="197BF203" w:rsidR="00FA2119" w:rsidRPr="00C9640C" w:rsidRDefault="00FA2119" w:rsidP="00FA2119">
      <w:pPr>
        <w:pStyle w:val="ab"/>
        <w:numPr>
          <w:ilvl w:val="0"/>
          <w:numId w:val="56"/>
        </w:numPr>
        <w:rPr>
          <w:rtl/>
        </w:rPr>
      </w:pPr>
      <w:r w:rsidRPr="00B340FE">
        <w:rPr>
          <w:rFonts w:cs="Arial"/>
          <w:rtl/>
        </w:rPr>
        <w:t xml:space="preserve">רשב"א </w:t>
      </w:r>
      <w:r w:rsidRPr="00805293">
        <w:rPr>
          <w:rFonts w:cs="Arial"/>
          <w:sz w:val="16"/>
          <w:szCs w:val="16"/>
          <w:rtl/>
        </w:rPr>
        <w:t>(ח"א סי' תקצח)</w:t>
      </w:r>
      <w:r w:rsidR="00A82951">
        <w:rPr>
          <w:rFonts w:cs="Arial" w:hint="cs"/>
          <w:rtl/>
        </w:rPr>
        <w:t>-</w:t>
      </w:r>
      <w:r w:rsidRPr="00B340FE">
        <w:rPr>
          <w:rFonts w:cs="Arial"/>
          <w:rtl/>
        </w:rPr>
        <w:t xml:space="preserve"> </w:t>
      </w:r>
      <w:r>
        <w:rPr>
          <w:rFonts w:cs="Arial" w:hint="cs"/>
          <w:rtl/>
        </w:rPr>
        <w:t xml:space="preserve">שאלת </w:t>
      </w:r>
      <w:r w:rsidRPr="00B340FE">
        <w:rPr>
          <w:rFonts w:cs="Arial"/>
          <w:rtl/>
        </w:rPr>
        <w:t>על גט שאין כתוב בו מן שמאי</w:t>
      </w:r>
      <w:r>
        <w:rPr>
          <w:rFonts w:cs="Arial" w:hint="cs"/>
          <w:rtl/>
        </w:rPr>
        <w:t xml:space="preserve"> </w:t>
      </w:r>
      <w:r w:rsidR="00A82951">
        <w:rPr>
          <w:rFonts w:cs="Arial" w:hint="cs"/>
          <w:rtl/>
        </w:rPr>
        <w:t>-</w:t>
      </w:r>
      <w:r>
        <w:rPr>
          <w:rFonts w:cs="Arial" w:hint="cs"/>
          <w:rtl/>
        </w:rPr>
        <w:t xml:space="preserve"> </w:t>
      </w:r>
      <w:r w:rsidRPr="00B340FE">
        <w:rPr>
          <w:rFonts w:cs="Arial"/>
          <w:rtl/>
        </w:rPr>
        <w:t>אין בכך כלום</w:t>
      </w:r>
      <w:r>
        <w:rPr>
          <w:rFonts w:cs="Arial" w:hint="cs"/>
          <w:rtl/>
        </w:rPr>
        <w:t>,</w:t>
      </w:r>
      <w:r w:rsidRPr="00B340FE">
        <w:rPr>
          <w:rFonts w:cs="Arial"/>
          <w:rtl/>
        </w:rPr>
        <w:t xml:space="preserve"> דאפילו לכתחלה אין צריך לכתבו</w:t>
      </w:r>
      <w:r>
        <w:rPr>
          <w:rFonts w:cs="Arial" w:hint="cs"/>
          <w:rtl/>
        </w:rPr>
        <w:t>,</w:t>
      </w:r>
      <w:r w:rsidRPr="00B340FE">
        <w:rPr>
          <w:rFonts w:cs="Arial"/>
          <w:rtl/>
        </w:rPr>
        <w:t xml:space="preserve"> דכל שנתן לה גיטה היאך יכול למחות בידה משמו</w:t>
      </w:r>
      <w:r w:rsidRPr="00B340FE">
        <w:rPr>
          <w:rFonts w:cs="Arial" w:hint="cs"/>
          <w:rtl/>
        </w:rPr>
        <w:t>,</w:t>
      </w:r>
      <w:r w:rsidRPr="00B340FE">
        <w:rPr>
          <w:rFonts w:cs="Arial"/>
          <w:rtl/>
        </w:rPr>
        <w:t xml:space="preserve"> ולשון זה לא מצאנוהו בגמרא ולא בשום מקום</w:t>
      </w:r>
      <w:r>
        <w:rPr>
          <w:rFonts w:cs="Arial" w:hint="cs"/>
          <w:rtl/>
        </w:rPr>
        <w:t>.</w:t>
      </w:r>
    </w:p>
    <w:p w14:paraId="0A87E8AB"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AF59A54" w14:textId="77777777" w:rsidR="00FA2119" w:rsidRDefault="00FA2119" w:rsidP="00FA2119">
      <w:pPr>
        <w:rPr>
          <w:rtl/>
        </w:rPr>
      </w:pPr>
      <w:r>
        <w:rPr>
          <w:rFonts w:cs="Arial" w:hint="cs"/>
          <w:rtl/>
        </w:rPr>
        <w:t>נהגו</w:t>
      </w:r>
      <w:r>
        <w:rPr>
          <w:rFonts w:cs="Arial"/>
          <w:rtl/>
        </w:rPr>
        <w:t xml:space="preserve"> </w:t>
      </w:r>
      <w:r>
        <w:rPr>
          <w:rFonts w:cs="Arial" w:hint="cs"/>
          <w:rtl/>
        </w:rPr>
        <w:t>לכתוב</w:t>
      </w:r>
      <w:r>
        <w:rPr>
          <w:rFonts w:cs="Arial"/>
          <w:rtl/>
        </w:rPr>
        <w:t xml:space="preserve">: </w:t>
      </w:r>
      <w:r>
        <w:rPr>
          <w:rFonts w:cs="Arial" w:hint="cs"/>
          <w:rtl/>
        </w:rPr>
        <w:t>מן</w:t>
      </w:r>
      <w:r>
        <w:rPr>
          <w:rFonts w:cs="Arial"/>
          <w:rtl/>
        </w:rPr>
        <w:t xml:space="preserve"> </w:t>
      </w:r>
      <w:r>
        <w:rPr>
          <w:rFonts w:cs="Arial" w:hint="cs"/>
          <w:rtl/>
        </w:rPr>
        <w:t>שמי</w:t>
      </w:r>
      <w:r>
        <w:rPr>
          <w:rFonts w:cs="Arial"/>
          <w:rtl/>
        </w:rPr>
        <w:t xml:space="preserve"> </w:t>
      </w:r>
      <w:r>
        <w:rPr>
          <w:rFonts w:cs="Arial" w:hint="cs"/>
          <w:rtl/>
        </w:rPr>
        <w:t>מן</w:t>
      </w:r>
      <w:r>
        <w:rPr>
          <w:rFonts w:cs="Arial"/>
          <w:rtl/>
        </w:rPr>
        <w:t xml:space="preserve"> </w:t>
      </w:r>
      <w:r>
        <w:rPr>
          <w:rFonts w:cs="Arial" w:hint="cs"/>
          <w:rtl/>
        </w:rPr>
        <w:t>יומא</w:t>
      </w:r>
      <w:r>
        <w:rPr>
          <w:rFonts w:cs="Arial"/>
          <w:rtl/>
        </w:rPr>
        <w:t xml:space="preserve"> </w:t>
      </w:r>
      <w:r>
        <w:rPr>
          <w:rFonts w:cs="Arial" w:hint="cs"/>
          <w:rtl/>
        </w:rPr>
        <w:t>דנן</w:t>
      </w:r>
      <w:r>
        <w:rPr>
          <w:rFonts w:cs="Arial"/>
          <w:rtl/>
        </w:rPr>
        <w:t xml:space="preserve"> </w:t>
      </w:r>
      <w:r>
        <w:rPr>
          <w:rFonts w:cs="Arial" w:hint="cs"/>
          <w:rtl/>
        </w:rPr>
        <w:t>ולעלם</w:t>
      </w:r>
      <w:r>
        <w:rPr>
          <w:rFonts w:cs="Arial"/>
          <w:rtl/>
        </w:rPr>
        <w:t xml:space="preserve">. </w:t>
      </w:r>
      <w:r w:rsidRPr="00805293">
        <w:rPr>
          <w:rFonts w:cs="Arial" w:hint="cs"/>
          <w:sz w:val="18"/>
          <w:szCs w:val="18"/>
          <w:rtl/>
        </w:rPr>
        <w:t>[הגה] וי</w:t>
      </w:r>
      <w:r w:rsidRPr="00805293">
        <w:rPr>
          <w:rFonts w:cs="Arial"/>
          <w:sz w:val="18"/>
          <w:szCs w:val="18"/>
          <w:rtl/>
        </w:rPr>
        <w:t>"</w:t>
      </w:r>
      <w:r w:rsidRPr="00805293">
        <w:rPr>
          <w:rFonts w:cs="Arial" w:hint="cs"/>
          <w:sz w:val="18"/>
          <w:szCs w:val="18"/>
          <w:rtl/>
        </w:rPr>
        <w:t>א</w:t>
      </w:r>
      <w:r w:rsidRPr="00805293">
        <w:rPr>
          <w:rFonts w:cs="Arial"/>
          <w:sz w:val="18"/>
          <w:szCs w:val="18"/>
          <w:rtl/>
        </w:rPr>
        <w:t xml:space="preserve"> </w:t>
      </w:r>
      <w:r w:rsidRPr="00805293">
        <w:rPr>
          <w:rFonts w:cs="Arial" w:hint="cs"/>
          <w:sz w:val="18"/>
          <w:szCs w:val="18"/>
          <w:rtl/>
        </w:rPr>
        <w:t>דאין</w:t>
      </w:r>
      <w:r w:rsidRPr="00805293">
        <w:rPr>
          <w:rFonts w:cs="Arial"/>
          <w:sz w:val="18"/>
          <w:szCs w:val="18"/>
          <w:rtl/>
        </w:rPr>
        <w:t xml:space="preserve"> </w:t>
      </w:r>
      <w:r w:rsidRPr="00805293">
        <w:rPr>
          <w:rFonts w:cs="Arial" w:hint="cs"/>
          <w:sz w:val="18"/>
          <w:szCs w:val="18"/>
          <w:rtl/>
        </w:rPr>
        <w:t>כותבין</w:t>
      </w:r>
      <w:r w:rsidRPr="00805293">
        <w:rPr>
          <w:rFonts w:cs="Arial"/>
          <w:sz w:val="18"/>
          <w:szCs w:val="18"/>
          <w:rtl/>
        </w:rPr>
        <w:t xml:space="preserve">: </w:t>
      </w:r>
      <w:r w:rsidRPr="00805293">
        <w:rPr>
          <w:rFonts w:cs="Arial" w:hint="cs"/>
          <w:sz w:val="18"/>
          <w:szCs w:val="18"/>
          <w:rtl/>
        </w:rPr>
        <w:t>מן</w:t>
      </w:r>
      <w:r w:rsidRPr="00805293">
        <w:rPr>
          <w:rFonts w:cs="Arial"/>
          <w:sz w:val="18"/>
          <w:szCs w:val="18"/>
          <w:rtl/>
        </w:rPr>
        <w:t xml:space="preserve"> </w:t>
      </w:r>
      <w:r w:rsidRPr="00805293">
        <w:rPr>
          <w:rFonts w:cs="Arial" w:hint="cs"/>
          <w:sz w:val="18"/>
          <w:szCs w:val="18"/>
          <w:rtl/>
        </w:rPr>
        <w:t>שמי</w:t>
      </w:r>
      <w:r w:rsidRPr="00805293">
        <w:rPr>
          <w:rFonts w:cs="Arial"/>
          <w:sz w:val="18"/>
          <w:szCs w:val="18"/>
          <w:rtl/>
        </w:rPr>
        <w:t xml:space="preserve"> (</w:t>
      </w:r>
      <w:r>
        <w:rPr>
          <w:rFonts w:cs="Arial" w:hint="cs"/>
          <w:sz w:val="18"/>
          <w:szCs w:val="18"/>
          <w:rtl/>
        </w:rPr>
        <w:t>רי"ף ו</w:t>
      </w:r>
      <w:r w:rsidRPr="00805293">
        <w:rPr>
          <w:rFonts w:cs="Arial" w:hint="cs"/>
          <w:sz w:val="18"/>
          <w:szCs w:val="18"/>
          <w:rtl/>
        </w:rPr>
        <w:t>רשב</w:t>
      </w:r>
      <w:r w:rsidRPr="00805293">
        <w:rPr>
          <w:rFonts w:cs="Arial"/>
          <w:sz w:val="18"/>
          <w:szCs w:val="18"/>
          <w:rtl/>
        </w:rPr>
        <w:t>"</w:t>
      </w:r>
      <w:r w:rsidRPr="00805293">
        <w:rPr>
          <w:rFonts w:cs="Arial" w:hint="cs"/>
          <w:sz w:val="18"/>
          <w:szCs w:val="18"/>
          <w:rtl/>
        </w:rPr>
        <w:t>א</w:t>
      </w:r>
      <w:r w:rsidRPr="00805293">
        <w:rPr>
          <w:rFonts w:cs="Arial"/>
          <w:sz w:val="18"/>
          <w:szCs w:val="18"/>
          <w:rtl/>
        </w:rPr>
        <w:t xml:space="preserve">), </w:t>
      </w:r>
      <w:r w:rsidRPr="00805293">
        <w:rPr>
          <w:rFonts w:cs="Arial" w:hint="cs"/>
          <w:sz w:val="18"/>
          <w:szCs w:val="18"/>
          <w:rtl/>
        </w:rPr>
        <w:t>וכן</w:t>
      </w:r>
      <w:r w:rsidRPr="00805293">
        <w:rPr>
          <w:rFonts w:cs="Arial"/>
          <w:sz w:val="18"/>
          <w:szCs w:val="18"/>
          <w:rtl/>
        </w:rPr>
        <w:t xml:space="preserve"> </w:t>
      </w:r>
      <w:r w:rsidRPr="00805293">
        <w:rPr>
          <w:rFonts w:cs="Arial" w:hint="cs"/>
          <w:sz w:val="18"/>
          <w:szCs w:val="18"/>
          <w:rtl/>
        </w:rPr>
        <w:t>נוהגין</w:t>
      </w:r>
      <w:r w:rsidRPr="00805293">
        <w:rPr>
          <w:rFonts w:cs="Arial"/>
          <w:sz w:val="18"/>
          <w:szCs w:val="18"/>
          <w:rtl/>
        </w:rPr>
        <w:t xml:space="preserve"> </w:t>
      </w:r>
      <w:r w:rsidRPr="00805293">
        <w:rPr>
          <w:rFonts w:cs="Arial" w:hint="cs"/>
          <w:sz w:val="18"/>
          <w:szCs w:val="18"/>
          <w:rtl/>
        </w:rPr>
        <w:t>במדינות</w:t>
      </w:r>
      <w:r w:rsidRPr="00805293">
        <w:rPr>
          <w:rFonts w:cs="Arial"/>
          <w:sz w:val="18"/>
          <w:szCs w:val="18"/>
          <w:rtl/>
        </w:rPr>
        <w:t xml:space="preserve"> </w:t>
      </w:r>
      <w:r w:rsidRPr="00805293">
        <w:rPr>
          <w:rFonts w:cs="Arial" w:hint="cs"/>
          <w:sz w:val="18"/>
          <w:szCs w:val="18"/>
          <w:rtl/>
        </w:rPr>
        <w:t>אלו</w:t>
      </w:r>
      <w:r w:rsidRPr="00805293">
        <w:rPr>
          <w:rFonts w:cs="Arial"/>
          <w:sz w:val="18"/>
          <w:szCs w:val="18"/>
          <w:rtl/>
        </w:rPr>
        <w:t xml:space="preserve">. </w:t>
      </w:r>
    </w:p>
    <w:p w14:paraId="5B2E3E1B" w14:textId="77777777" w:rsidR="00FA2119" w:rsidRDefault="00FA2119" w:rsidP="00FA2119">
      <w:pPr>
        <w:rPr>
          <w:rFonts w:cs="Arial"/>
          <w:rtl/>
        </w:rPr>
      </w:pPr>
      <w:r w:rsidRPr="006D16C6">
        <w:rPr>
          <w:rFonts w:cs="Arial" w:hint="cs"/>
          <w:u w:val="single"/>
          <w:rtl/>
        </w:rPr>
        <w:t>האם כותבים '</w:t>
      </w:r>
      <w:r w:rsidRPr="006D16C6">
        <w:rPr>
          <w:rFonts w:cs="Arial"/>
          <w:u w:val="single"/>
          <w:rtl/>
        </w:rPr>
        <w:t>מן יומא דנן ולעלם</w:t>
      </w:r>
      <w:r w:rsidRPr="006D16C6">
        <w:rPr>
          <w:rFonts w:cs="Arial" w:hint="cs"/>
          <w:u w:val="single"/>
          <w:rtl/>
        </w:rPr>
        <w:t>' כששולחים את הגט עם שליח למקום אחר</w:t>
      </w:r>
      <w:r w:rsidRPr="006D16C6">
        <w:rPr>
          <w:rFonts w:cs="Arial" w:hint="cs"/>
          <w:sz w:val="16"/>
          <w:szCs w:val="16"/>
          <w:u w:val="single"/>
          <w:rtl/>
        </w:rPr>
        <w:t xml:space="preserve"> (שלא יגיע באותו היום)</w:t>
      </w:r>
      <w:r w:rsidRPr="006D16C6">
        <w:rPr>
          <w:rFonts w:cs="Arial" w:hint="cs"/>
          <w:u w:val="single"/>
          <w:rtl/>
        </w:rPr>
        <w:t>:</w:t>
      </w:r>
      <w:r>
        <w:rPr>
          <w:rFonts w:cs="Arial" w:hint="cs"/>
          <w:rtl/>
        </w:rPr>
        <w:t xml:space="preserve"> </w:t>
      </w:r>
      <w:r w:rsidRPr="006D16C6">
        <w:rPr>
          <w:rFonts w:cs="Arial" w:hint="cs"/>
          <w:sz w:val="16"/>
          <w:szCs w:val="16"/>
          <w:rtl/>
        </w:rPr>
        <w:t>(פת"ש סקמ"ב)</w:t>
      </w:r>
    </w:p>
    <w:p w14:paraId="18118547" w14:textId="758830D6" w:rsidR="00FA2119" w:rsidRPr="006D16C6" w:rsidRDefault="00FA2119" w:rsidP="00FA2119">
      <w:pPr>
        <w:pStyle w:val="ab"/>
        <w:numPr>
          <w:ilvl w:val="0"/>
          <w:numId w:val="57"/>
        </w:numPr>
        <w:rPr>
          <w:rFonts w:cs="Arial"/>
          <w:rtl/>
        </w:rPr>
      </w:pPr>
      <w:r w:rsidRPr="006D16C6">
        <w:rPr>
          <w:rFonts w:cs="Arial"/>
          <w:rtl/>
        </w:rPr>
        <w:t xml:space="preserve">זכור לאברהם </w:t>
      </w:r>
      <w:r w:rsidRPr="006D16C6">
        <w:rPr>
          <w:rFonts w:cs="Arial" w:hint="cs"/>
          <w:sz w:val="16"/>
          <w:szCs w:val="16"/>
          <w:rtl/>
        </w:rPr>
        <w:t>(</w:t>
      </w:r>
      <w:r w:rsidRPr="006D16C6">
        <w:rPr>
          <w:rFonts w:cs="Arial"/>
          <w:sz w:val="16"/>
          <w:szCs w:val="16"/>
          <w:rtl/>
        </w:rPr>
        <w:t>ח"ג דף קטו</w:t>
      </w:r>
      <w:r w:rsidRPr="006D16C6">
        <w:rPr>
          <w:rFonts w:cs="Arial" w:hint="cs"/>
          <w:sz w:val="16"/>
          <w:szCs w:val="16"/>
          <w:rtl/>
        </w:rPr>
        <w:t>)</w:t>
      </w:r>
      <w:r w:rsidR="00A82951">
        <w:rPr>
          <w:rFonts w:cs="Arial" w:hint="cs"/>
          <w:rtl/>
        </w:rPr>
        <w:t>-</w:t>
      </w:r>
      <w:r w:rsidRPr="006D16C6">
        <w:rPr>
          <w:rFonts w:cs="Arial"/>
          <w:rtl/>
        </w:rPr>
        <w:t xml:space="preserve"> כותבין מן יומא דנן ולעלם אפילו ששולחין אותו ע"י שליח למקום אחר</w:t>
      </w:r>
      <w:r>
        <w:rPr>
          <w:rFonts w:cs="Arial" w:hint="cs"/>
          <w:rtl/>
        </w:rPr>
        <w:t>,</w:t>
      </w:r>
      <w:r w:rsidRPr="006D16C6">
        <w:rPr>
          <w:rFonts w:cs="Arial"/>
          <w:rtl/>
        </w:rPr>
        <w:t xml:space="preserve"> וכ"כ הלק"ט </w:t>
      </w:r>
      <w:r>
        <w:rPr>
          <w:rFonts w:cs="Arial" w:hint="cs"/>
          <w:rtl/>
        </w:rPr>
        <w:t>(</w:t>
      </w:r>
      <w:r w:rsidRPr="006D16C6">
        <w:rPr>
          <w:rFonts w:cs="Arial"/>
          <w:rtl/>
        </w:rPr>
        <w:t>ח"א סי</w:t>
      </w:r>
      <w:r>
        <w:rPr>
          <w:rFonts w:cs="Arial" w:hint="cs"/>
          <w:rtl/>
        </w:rPr>
        <w:t>'</w:t>
      </w:r>
      <w:r w:rsidRPr="006D16C6">
        <w:rPr>
          <w:rFonts w:cs="Arial"/>
          <w:rtl/>
        </w:rPr>
        <w:t xml:space="preserve"> לב</w:t>
      </w:r>
      <w:r>
        <w:rPr>
          <w:rFonts w:cs="Arial" w:hint="cs"/>
          <w:rtl/>
        </w:rPr>
        <w:t>)</w:t>
      </w:r>
      <w:r w:rsidRPr="006D16C6">
        <w:rPr>
          <w:rFonts w:cs="Arial" w:hint="cs"/>
          <w:rtl/>
        </w:rPr>
        <w:t>.</w:t>
      </w:r>
    </w:p>
    <w:p w14:paraId="7332A4BF" w14:textId="77777777" w:rsidR="00FA2119" w:rsidRDefault="00FA2119" w:rsidP="00FA2119">
      <w:pPr>
        <w:rPr>
          <w:rtl/>
        </w:rPr>
      </w:pPr>
    </w:p>
    <w:p w14:paraId="78E716D0" w14:textId="77777777" w:rsidR="00FA2119" w:rsidRDefault="00FA2119" w:rsidP="00FA2119">
      <w:pPr>
        <w:pStyle w:val="2"/>
        <w:rPr>
          <w:rtl/>
        </w:rPr>
      </w:pPr>
      <w:r>
        <w:rPr>
          <w:rFonts w:hint="cs"/>
          <w:rtl/>
        </w:rPr>
        <w:t>סעיף</w:t>
      </w:r>
      <w:r>
        <w:rPr>
          <w:rtl/>
        </w:rPr>
        <w:t xml:space="preserve"> </w:t>
      </w:r>
      <w:r>
        <w:rPr>
          <w:rFonts w:hint="cs"/>
          <w:rtl/>
        </w:rPr>
        <w:t>מא: והרי את מותרת לכל אדם.</w:t>
      </w:r>
    </w:p>
    <w:p w14:paraId="54632B43" w14:textId="37D6EDE4" w:rsidR="00FA2119" w:rsidRPr="00232721" w:rsidRDefault="00F56B60" w:rsidP="00FA2119">
      <w:pPr>
        <w:rPr>
          <w:rtl/>
        </w:rPr>
      </w:pPr>
      <w:r w:rsidRPr="00351B7D">
        <w:rPr>
          <w:rFonts w:asciiTheme="minorBidi" w:hAnsiTheme="minorBidi"/>
          <w:b/>
          <w:bCs/>
          <w:rtl/>
        </w:rPr>
        <w:t xml:space="preserve">גיטין </w:t>
      </w:r>
      <w:r>
        <w:rPr>
          <w:rFonts w:asciiTheme="minorBidi" w:hAnsiTheme="minorBidi" w:hint="cs"/>
          <w:b/>
          <w:bCs/>
          <w:sz w:val="16"/>
          <w:szCs w:val="16"/>
          <w:rtl/>
        </w:rPr>
        <w:t xml:space="preserve">(פ' המגרש) </w:t>
      </w:r>
      <w:r w:rsidRPr="00351B7D">
        <w:rPr>
          <w:rFonts w:asciiTheme="minorBidi" w:hAnsiTheme="minorBidi"/>
          <w:b/>
          <w:bCs/>
          <w:rtl/>
        </w:rPr>
        <w:t xml:space="preserve">פה ע"א: </w:t>
      </w:r>
      <w:r w:rsidR="00FA2119" w:rsidRPr="00232721">
        <w:rPr>
          <w:rFonts w:cs="Arial"/>
          <w:u w:val="double"/>
          <w:rtl/>
        </w:rPr>
        <w:t>מתני'</w:t>
      </w:r>
      <w:r w:rsidR="00FA2119">
        <w:rPr>
          <w:rFonts w:cs="Arial" w:hint="cs"/>
          <w:rtl/>
        </w:rPr>
        <w:t>:</w:t>
      </w:r>
      <w:r w:rsidR="00FA2119" w:rsidRPr="00232721">
        <w:rPr>
          <w:rFonts w:cs="Arial"/>
          <w:rtl/>
        </w:rPr>
        <w:t xml:space="preserve"> גופו של גט: הרי את מותרת לכל אדם</w:t>
      </w:r>
      <w:r w:rsidR="00FA2119">
        <w:rPr>
          <w:rFonts w:cs="Arial" w:hint="cs"/>
          <w:rtl/>
        </w:rPr>
        <w:t>.</w:t>
      </w:r>
      <w:r w:rsidR="00FA2119">
        <w:rPr>
          <w:rFonts w:cs="Arial" w:hint="cs"/>
          <w:sz w:val="14"/>
          <w:szCs w:val="14"/>
          <w:rtl/>
        </w:rPr>
        <w:t xml:space="preserve"> (פה:)</w:t>
      </w:r>
      <w:r w:rsidR="00FA2119" w:rsidRPr="00232721">
        <w:rPr>
          <w:rtl/>
        </w:rPr>
        <w:t xml:space="preserve"> </w:t>
      </w:r>
      <w:r w:rsidR="00FA2119" w:rsidRPr="00232721">
        <w:rPr>
          <w:rFonts w:cs="Arial"/>
          <w:u w:val="single"/>
          <w:rtl/>
        </w:rPr>
        <w:t>רבי יהודה אומר</w:t>
      </w:r>
      <w:r w:rsidR="00FA2119" w:rsidRPr="00232721">
        <w:rPr>
          <w:rFonts w:cs="Arial"/>
          <w:rtl/>
        </w:rPr>
        <w:t>: ודן דיהוי ליכי מינאי ספר תירוכין ואגרת שבוקין וגט פטורין למהך להתנסבא לכל גבר דיתצביין.</w:t>
      </w:r>
    </w:p>
    <w:p w14:paraId="7B7F935C" w14:textId="77777777" w:rsidR="00FA2119" w:rsidRPr="00696FF9" w:rsidRDefault="00FA2119" w:rsidP="00FA2119">
      <w:pPr>
        <w:rPr>
          <w:rtl/>
        </w:rPr>
      </w:pPr>
      <w:r>
        <w:rPr>
          <w:rFonts w:hint="cs"/>
          <w:u w:val="single"/>
          <w:rtl/>
        </w:rPr>
        <w:t>האם צריך לכתוב 'הרי את מותרת לכל אדם':</w:t>
      </w:r>
    </w:p>
    <w:p w14:paraId="68453172" w14:textId="4B29B8A1" w:rsidR="00FA2119" w:rsidRDefault="00FA2119" w:rsidP="00FA2119">
      <w:pPr>
        <w:pStyle w:val="ab"/>
        <w:numPr>
          <w:ilvl w:val="0"/>
          <w:numId w:val="57"/>
        </w:numPr>
        <w:rPr>
          <w:rFonts w:cs="Arial"/>
        </w:rPr>
      </w:pPr>
      <w:r w:rsidRPr="00C9640C">
        <w:rPr>
          <w:rFonts w:cs="Arial"/>
          <w:rtl/>
        </w:rPr>
        <w:t>רי"ף</w:t>
      </w:r>
      <w:r>
        <w:rPr>
          <w:rStyle w:val="a7"/>
          <w:rFonts w:cs="Arial"/>
          <w:rtl/>
        </w:rPr>
        <w:footnoteReference w:id="820"/>
      </w:r>
      <w:r>
        <w:rPr>
          <w:rFonts w:cs="Arial" w:hint="cs"/>
          <w:rtl/>
        </w:rPr>
        <w:t xml:space="preserve"> </w:t>
      </w:r>
      <w:r w:rsidRPr="00220E68">
        <w:rPr>
          <w:rFonts w:cs="Arial"/>
          <w:rtl/>
        </w:rPr>
        <w:t>רש"י</w:t>
      </w:r>
      <w:r>
        <w:rPr>
          <w:rStyle w:val="a7"/>
          <w:rFonts w:cs="Arial"/>
          <w:rtl/>
        </w:rPr>
        <w:footnoteReference w:id="821"/>
      </w:r>
      <w:r>
        <w:rPr>
          <w:rFonts w:cs="Arial" w:hint="cs"/>
          <w:rtl/>
        </w:rPr>
        <w:t xml:space="preserve"> ובהעי"ט </w:t>
      </w:r>
      <w:r w:rsidRPr="00220E68">
        <w:rPr>
          <w:rFonts w:cs="Arial" w:hint="cs"/>
          <w:sz w:val="16"/>
          <w:szCs w:val="16"/>
          <w:rtl/>
        </w:rPr>
        <w:t>(</w:t>
      </w:r>
      <w:r w:rsidRPr="00220E68">
        <w:rPr>
          <w:rFonts w:cs="Arial"/>
          <w:sz w:val="16"/>
          <w:szCs w:val="16"/>
          <w:rtl/>
        </w:rPr>
        <w:t>מאמר שביעי שם</w:t>
      </w:r>
      <w:r>
        <w:rPr>
          <w:rFonts w:cs="Arial" w:hint="cs"/>
          <w:sz w:val="16"/>
          <w:szCs w:val="16"/>
          <w:rtl/>
        </w:rPr>
        <w:t>, הביאו ההגמ"ר [גיטין סי' תסז]</w:t>
      </w:r>
      <w:r w:rsidRPr="00220E68">
        <w:rPr>
          <w:rFonts w:cs="Arial"/>
          <w:sz w:val="16"/>
          <w:szCs w:val="16"/>
          <w:rtl/>
        </w:rPr>
        <w:t>)</w:t>
      </w:r>
      <w:r w:rsidR="00A82951">
        <w:rPr>
          <w:rFonts w:cs="Arial" w:hint="cs"/>
          <w:rtl/>
        </w:rPr>
        <w:t>-</w:t>
      </w:r>
      <w:r w:rsidRPr="00220E68">
        <w:rPr>
          <w:rFonts w:cs="Arial" w:hint="cs"/>
          <w:rtl/>
        </w:rPr>
        <w:t xml:space="preserve"> אין צריך לכתוב</w:t>
      </w:r>
      <w:r>
        <w:rPr>
          <w:rStyle w:val="a7"/>
          <w:rFonts w:cs="Arial"/>
          <w:rtl/>
        </w:rPr>
        <w:footnoteReference w:id="822"/>
      </w:r>
      <w:r w:rsidRPr="00220E68">
        <w:rPr>
          <w:rFonts w:cs="Arial" w:hint="cs"/>
          <w:rtl/>
        </w:rPr>
        <w:t>.</w:t>
      </w:r>
      <w:r w:rsidRPr="00220E68">
        <w:rPr>
          <w:rFonts w:cs="Arial"/>
          <w:rtl/>
        </w:rPr>
        <w:t xml:space="preserve"> </w:t>
      </w:r>
    </w:p>
    <w:p w14:paraId="4186DA86" w14:textId="0C3DDDB3" w:rsidR="00FA2119" w:rsidRDefault="00FA2119" w:rsidP="00FA2119">
      <w:pPr>
        <w:pStyle w:val="ab"/>
        <w:numPr>
          <w:ilvl w:val="0"/>
          <w:numId w:val="57"/>
        </w:numPr>
        <w:rPr>
          <w:rFonts w:cs="Arial"/>
        </w:rPr>
      </w:pPr>
      <w:r>
        <w:rPr>
          <w:rFonts w:cs="Arial" w:hint="cs"/>
          <w:rtl/>
        </w:rPr>
        <w:t xml:space="preserve">תוס' </w:t>
      </w:r>
      <w:r>
        <w:rPr>
          <w:rFonts w:cs="Arial" w:hint="cs"/>
          <w:sz w:val="16"/>
          <w:szCs w:val="16"/>
          <w:rtl/>
        </w:rPr>
        <w:t>(גיטין כו. ד"ה וצריך שיניח)</w:t>
      </w:r>
      <w:r w:rsidR="00A82951">
        <w:rPr>
          <w:rFonts w:cs="Arial" w:hint="cs"/>
          <w:rtl/>
        </w:rPr>
        <w:t>-</w:t>
      </w:r>
      <w:r>
        <w:rPr>
          <w:rFonts w:cs="Arial" w:hint="cs"/>
          <w:rtl/>
        </w:rPr>
        <w:t xml:space="preserve"> </w:t>
      </w:r>
      <w:r w:rsidRPr="00220E68">
        <w:rPr>
          <w:rFonts w:cs="Arial"/>
          <w:rtl/>
        </w:rPr>
        <w:t>בכל דוכתי משמע שכותבין לשון זה בגט</w:t>
      </w:r>
      <w:r>
        <w:rPr>
          <w:rFonts w:cs="Arial" w:hint="cs"/>
          <w:rtl/>
        </w:rPr>
        <w:t>,</w:t>
      </w:r>
      <w:r w:rsidRPr="00220E68">
        <w:rPr>
          <w:rFonts w:cs="Arial"/>
          <w:rtl/>
        </w:rPr>
        <w:t xml:space="preserve"> ובפ' בתרא (לקמן פה.) נמי תניא גופו של גט הרי את מותרת לכל אדם</w:t>
      </w:r>
      <w:r>
        <w:rPr>
          <w:rFonts w:cs="Arial" w:hint="cs"/>
          <w:rtl/>
        </w:rPr>
        <w:t>.</w:t>
      </w:r>
      <w:r w:rsidRPr="00220E68">
        <w:rPr>
          <w:rFonts w:cs="Arial"/>
          <w:rtl/>
        </w:rPr>
        <w:t xml:space="preserve"> והנהיג ר"ת </w:t>
      </w:r>
      <w:r w:rsidRPr="00220E68">
        <w:rPr>
          <w:rFonts w:cs="Arial"/>
          <w:sz w:val="16"/>
          <w:szCs w:val="16"/>
          <w:rtl/>
        </w:rPr>
        <w:t>(ספר הישר חלק השו"ת סי' כו</w:t>
      </w:r>
      <w:r w:rsidRPr="00220E68">
        <w:rPr>
          <w:rFonts w:cs="Arial" w:hint="cs"/>
          <w:sz w:val="16"/>
          <w:szCs w:val="16"/>
          <w:rtl/>
        </w:rPr>
        <w:t>,</w:t>
      </w:r>
      <w:r w:rsidRPr="00220E68">
        <w:rPr>
          <w:rFonts w:cs="Arial"/>
          <w:sz w:val="16"/>
          <w:szCs w:val="16"/>
          <w:rtl/>
        </w:rPr>
        <w:t xml:space="preserve"> וחלק החידושים מהדורת שלזינגר סי' תשסו)</w:t>
      </w:r>
      <w:r>
        <w:rPr>
          <w:rFonts w:cs="Arial" w:hint="cs"/>
          <w:rtl/>
        </w:rPr>
        <w:t xml:space="preserve"> </w:t>
      </w:r>
      <w:r w:rsidRPr="00220E68">
        <w:rPr>
          <w:rFonts w:cs="Arial"/>
          <w:rtl/>
        </w:rPr>
        <w:t>לכתוב לשון זה בגט</w:t>
      </w:r>
      <w:r>
        <w:rPr>
          <w:rFonts w:cs="Arial" w:hint="cs"/>
          <w:rtl/>
        </w:rPr>
        <w:t>.</w:t>
      </w:r>
      <w:r w:rsidRPr="00220E68">
        <w:rPr>
          <w:rFonts w:cs="Arial"/>
          <w:rtl/>
        </w:rPr>
        <w:t xml:space="preserve"> אבל בטופסי גיטין לא היה כתוב</w:t>
      </w:r>
      <w:r>
        <w:rPr>
          <w:rFonts w:cs="Arial" w:hint="cs"/>
          <w:rtl/>
        </w:rPr>
        <w:t>.</w:t>
      </w:r>
      <w:r w:rsidRPr="00220E68">
        <w:rPr>
          <w:rFonts w:cs="Arial"/>
          <w:rtl/>
        </w:rPr>
        <w:t xml:space="preserve"> ומ"מ אין להוציא לעז על גיטין הראשונים</w:t>
      </w:r>
      <w:r>
        <w:rPr>
          <w:rFonts w:cs="Arial" w:hint="cs"/>
          <w:rtl/>
        </w:rPr>
        <w:t>,</w:t>
      </w:r>
      <w:r w:rsidRPr="00220E68">
        <w:rPr>
          <w:rFonts w:cs="Arial"/>
          <w:rtl/>
        </w:rPr>
        <w:t xml:space="preserve"> שהרי מאריכין לכתוב כמה לשונות בגט דחשיב כמו הרי את מותרת לכל אדם</w:t>
      </w:r>
      <w:r>
        <w:rPr>
          <w:rStyle w:val="a7"/>
          <w:rFonts w:cs="Arial"/>
          <w:rtl/>
        </w:rPr>
        <w:footnoteReference w:id="823"/>
      </w:r>
      <w:r>
        <w:rPr>
          <w:rFonts w:cs="Arial" w:hint="cs"/>
          <w:rtl/>
        </w:rPr>
        <w:t>.</w:t>
      </w:r>
    </w:p>
    <w:p w14:paraId="6D7A2709" w14:textId="2190F265" w:rsidR="00FA2119" w:rsidRDefault="00FA2119" w:rsidP="00FA2119">
      <w:pPr>
        <w:pStyle w:val="ab"/>
        <w:numPr>
          <w:ilvl w:val="0"/>
          <w:numId w:val="57"/>
        </w:numPr>
        <w:rPr>
          <w:rFonts w:cs="Arial"/>
        </w:rPr>
      </w:pPr>
      <w:r>
        <w:rPr>
          <w:rFonts w:cs="Arial" w:hint="cs"/>
          <w:rtl/>
        </w:rPr>
        <w:t xml:space="preserve">רמב"ם </w:t>
      </w:r>
      <w:r>
        <w:rPr>
          <w:rFonts w:cs="Arial" w:hint="cs"/>
          <w:sz w:val="16"/>
          <w:szCs w:val="16"/>
          <w:rtl/>
        </w:rPr>
        <w:t>(פ"א ה"ד, פ"ד הי"ב)</w:t>
      </w:r>
      <w:r>
        <w:rPr>
          <w:rFonts w:cs="Arial" w:hint="cs"/>
          <w:rtl/>
        </w:rPr>
        <w:t xml:space="preserve"> רא"ש</w:t>
      </w:r>
      <w:r>
        <w:rPr>
          <w:rFonts w:cs="Arial" w:hint="cs"/>
          <w:sz w:val="16"/>
          <w:szCs w:val="16"/>
          <w:rtl/>
        </w:rPr>
        <w:t xml:space="preserve"> (סדר הגט)</w:t>
      </w:r>
      <w:r w:rsidRPr="00BB7B1F">
        <w:rPr>
          <w:rFonts w:cs="Arial"/>
          <w:rtl/>
        </w:rPr>
        <w:t xml:space="preserve"> </w:t>
      </w:r>
      <w:r>
        <w:rPr>
          <w:rFonts w:cs="Arial" w:hint="cs"/>
          <w:rtl/>
        </w:rPr>
        <w:t xml:space="preserve">הה"מ </w:t>
      </w:r>
      <w:r w:rsidRPr="00BB7B1F">
        <w:rPr>
          <w:rFonts w:cs="Arial" w:hint="cs"/>
          <w:sz w:val="16"/>
          <w:szCs w:val="16"/>
          <w:rtl/>
        </w:rPr>
        <w:t>(</w:t>
      </w:r>
      <w:r w:rsidRPr="00BB7B1F">
        <w:rPr>
          <w:rFonts w:cs="Arial"/>
          <w:sz w:val="16"/>
          <w:szCs w:val="16"/>
          <w:rtl/>
        </w:rPr>
        <w:t>פ</w:t>
      </w:r>
      <w:r w:rsidRPr="00BB7B1F">
        <w:rPr>
          <w:rFonts w:cs="Arial" w:hint="cs"/>
          <w:sz w:val="16"/>
          <w:szCs w:val="16"/>
          <w:rtl/>
        </w:rPr>
        <w:t>"</w:t>
      </w:r>
      <w:r w:rsidRPr="00BB7B1F">
        <w:rPr>
          <w:rFonts w:cs="Arial"/>
          <w:sz w:val="16"/>
          <w:szCs w:val="16"/>
          <w:rtl/>
        </w:rPr>
        <w:t>ד שם ד"ה כבר)</w:t>
      </w:r>
      <w:r>
        <w:rPr>
          <w:rFonts w:cs="Arial" w:hint="cs"/>
          <w:rtl/>
        </w:rPr>
        <w:t xml:space="preserve"> </w:t>
      </w:r>
      <w:r w:rsidRPr="00C9640C">
        <w:rPr>
          <w:rFonts w:cs="Arial"/>
          <w:rtl/>
        </w:rPr>
        <w:t xml:space="preserve">ר"ן </w:t>
      </w:r>
      <w:r w:rsidRPr="00BB7B1F">
        <w:rPr>
          <w:rFonts w:cs="Arial"/>
          <w:sz w:val="16"/>
          <w:szCs w:val="16"/>
          <w:rtl/>
        </w:rPr>
        <w:t>(מה: ד"ה מן)</w:t>
      </w:r>
      <w:r w:rsidRPr="00826A81">
        <w:rPr>
          <w:rFonts w:cs="Arial" w:hint="cs"/>
          <w:b/>
          <w:bCs/>
          <w:rtl/>
        </w:rPr>
        <w:t xml:space="preserve"> </w:t>
      </w:r>
      <w:r>
        <w:rPr>
          <w:rFonts w:cs="Arial" w:hint="cs"/>
          <w:rtl/>
        </w:rPr>
        <w:t>ו</w:t>
      </w:r>
      <w:r w:rsidRPr="00826A81">
        <w:rPr>
          <w:rFonts w:cs="Arial" w:hint="cs"/>
          <w:rtl/>
        </w:rPr>
        <w:t>נמוק"י</w:t>
      </w:r>
      <w:r w:rsidRPr="00C9640C">
        <w:rPr>
          <w:rFonts w:cs="Arial"/>
          <w:rtl/>
        </w:rPr>
        <w:t xml:space="preserve"> </w:t>
      </w:r>
      <w:r w:rsidRPr="00826A81">
        <w:rPr>
          <w:rFonts w:cs="Arial"/>
          <w:sz w:val="16"/>
          <w:szCs w:val="16"/>
          <w:rtl/>
        </w:rPr>
        <w:t>(יבמות כח: ד"ה גרסי')</w:t>
      </w:r>
      <w:r w:rsidR="00A82951">
        <w:rPr>
          <w:rFonts w:cs="Arial" w:hint="cs"/>
          <w:rtl/>
        </w:rPr>
        <w:t>-</w:t>
      </w:r>
      <w:r>
        <w:rPr>
          <w:rFonts w:cs="Arial" w:hint="cs"/>
          <w:rtl/>
        </w:rPr>
        <w:t xml:space="preserve"> צריך לכותבו. </w:t>
      </w:r>
      <w:r w:rsidRPr="00BD435D">
        <w:rPr>
          <w:rFonts w:cs="Arial" w:hint="cs"/>
          <w:color w:val="E36C0A" w:themeColor="accent6" w:themeShade="BF"/>
          <w:rtl/>
        </w:rPr>
        <w:t>(וכ"פ בשו"ע)</w:t>
      </w:r>
      <w:r w:rsidR="00982EA9">
        <w:rPr>
          <w:rFonts w:cs="Arial" w:hint="cs"/>
          <w:color w:val="00B0F0"/>
          <w:rtl/>
        </w:rPr>
        <w:t xml:space="preserve"> </w:t>
      </w:r>
      <w:r w:rsidRPr="00BD435D">
        <w:rPr>
          <w:rFonts w:cs="Arial" w:hint="cs"/>
          <w:color w:val="00B0F0"/>
          <w:rtl/>
        </w:rPr>
        <w:t>(וכ"כ הרמ"א)</w:t>
      </w:r>
    </w:p>
    <w:p w14:paraId="023874BE" w14:textId="6091E12F" w:rsidR="00FA2119" w:rsidRPr="000F632A" w:rsidRDefault="00FA2119" w:rsidP="00FA2119">
      <w:pPr>
        <w:ind w:left="360"/>
        <w:rPr>
          <w:rFonts w:cs="Arial"/>
          <w:u w:val="dotted"/>
        </w:rPr>
      </w:pPr>
      <w:r w:rsidRPr="000F632A">
        <w:rPr>
          <w:rFonts w:cs="Arial" w:hint="cs"/>
          <w:u w:val="dotted"/>
          <w:rtl/>
        </w:rPr>
        <w:t xml:space="preserve">לדעת המצריכים לכתוב 'הרי את מותרת לכל אדם' </w:t>
      </w:r>
      <w:r w:rsidR="00A82951">
        <w:rPr>
          <w:rFonts w:cs="Arial"/>
          <w:u w:val="dotted"/>
          <w:rtl/>
        </w:rPr>
        <w:t>-</w:t>
      </w:r>
      <w:r w:rsidRPr="000F632A">
        <w:rPr>
          <w:rFonts w:cs="Arial" w:hint="cs"/>
          <w:u w:val="dotted"/>
          <w:rtl/>
        </w:rPr>
        <w:t xml:space="preserve"> מה הדין אם לא כתב כן:</w:t>
      </w:r>
    </w:p>
    <w:p w14:paraId="4AE342DD" w14:textId="4B07D2BF" w:rsidR="00FA2119" w:rsidRPr="00911D07" w:rsidRDefault="00FA2119" w:rsidP="00FA2119">
      <w:pPr>
        <w:pStyle w:val="ab"/>
        <w:numPr>
          <w:ilvl w:val="0"/>
          <w:numId w:val="57"/>
        </w:numPr>
        <w:rPr>
          <w:rFonts w:cs="Arial"/>
          <w:rtl/>
        </w:rPr>
      </w:pPr>
      <w:r>
        <w:rPr>
          <w:rFonts w:cs="Arial" w:hint="cs"/>
          <w:rtl/>
        </w:rPr>
        <w:t xml:space="preserve">רמב"ן </w:t>
      </w:r>
      <w:r>
        <w:rPr>
          <w:rFonts w:cs="Arial" w:hint="cs"/>
          <w:sz w:val="16"/>
          <w:szCs w:val="16"/>
          <w:rtl/>
        </w:rPr>
        <w:t>(פה: ד"ה וצריך, הביאוהו הרשב"א [שם סוד"ה והיכא] הה"מ [שם] והר"ן [שם])</w:t>
      </w:r>
      <w:r w:rsidR="00A82951">
        <w:rPr>
          <w:rFonts w:cs="Arial" w:hint="cs"/>
          <w:rtl/>
        </w:rPr>
        <w:t>-</w:t>
      </w:r>
      <w:r>
        <w:rPr>
          <w:rFonts w:cs="Arial" w:hint="cs"/>
          <w:rtl/>
        </w:rPr>
        <w:t xml:space="preserve"> </w:t>
      </w:r>
      <w:r w:rsidRPr="000F632A">
        <w:rPr>
          <w:rFonts w:cs="Arial"/>
          <w:rtl/>
        </w:rPr>
        <w:t>וצריך למיכתב והרי את מותרת לכל אדם</w:t>
      </w:r>
      <w:r>
        <w:rPr>
          <w:rFonts w:cs="Arial" w:hint="cs"/>
          <w:rtl/>
        </w:rPr>
        <w:t>,</w:t>
      </w:r>
      <w:r w:rsidRPr="000F632A">
        <w:rPr>
          <w:rFonts w:cs="Arial"/>
          <w:rtl/>
        </w:rPr>
        <w:t xml:space="preserve"> ואע</w:t>
      </w:r>
      <w:r>
        <w:rPr>
          <w:rFonts w:cs="Arial" w:hint="cs"/>
          <w:rtl/>
        </w:rPr>
        <w:t>"</w:t>
      </w:r>
      <w:r w:rsidRPr="000F632A">
        <w:rPr>
          <w:rFonts w:cs="Arial"/>
          <w:rtl/>
        </w:rPr>
        <w:t>פ שכתב למהך להתנסבא לכל גבר דתצביין</w:t>
      </w:r>
      <w:r>
        <w:rPr>
          <w:rFonts w:cs="Arial" w:hint="cs"/>
          <w:rtl/>
        </w:rPr>
        <w:t>,</w:t>
      </w:r>
      <w:r w:rsidRPr="000F632A">
        <w:rPr>
          <w:rFonts w:cs="Arial"/>
          <w:rtl/>
        </w:rPr>
        <w:t xml:space="preserve"> דאי לא כתב לה הכי לא התירה אלא לינשא אבל בזנות לא התירה</w:t>
      </w:r>
      <w:r>
        <w:rPr>
          <w:rFonts w:cs="Arial" w:hint="cs"/>
          <w:rtl/>
        </w:rPr>
        <w:t>,</w:t>
      </w:r>
      <w:r w:rsidRPr="000F632A">
        <w:rPr>
          <w:rFonts w:cs="Arial"/>
          <w:rtl/>
        </w:rPr>
        <w:t xml:space="preserve"> וחוץ מזנותיך </w:t>
      </w:r>
      <w:r w:rsidR="00A82951">
        <w:rPr>
          <w:rFonts w:cs="Arial"/>
          <w:rtl/>
        </w:rPr>
        <w:t>-</w:t>
      </w:r>
      <w:r>
        <w:rPr>
          <w:rFonts w:cs="Arial" w:hint="cs"/>
          <w:rtl/>
        </w:rPr>
        <w:t xml:space="preserve"> </w:t>
      </w:r>
      <w:r w:rsidRPr="000F632A">
        <w:rPr>
          <w:rFonts w:cs="Arial"/>
          <w:rtl/>
        </w:rPr>
        <w:t>פסול</w:t>
      </w:r>
      <w:r>
        <w:rPr>
          <w:rFonts w:cs="Arial" w:hint="cs"/>
          <w:rtl/>
        </w:rPr>
        <w:t>.</w:t>
      </w:r>
      <w:r w:rsidRPr="000F632A">
        <w:rPr>
          <w:rFonts w:cs="Arial"/>
          <w:rtl/>
        </w:rPr>
        <w:t xml:space="preserve"> וי"א שאינו צריך ותולין עצמן בהא דתנן בפ' האשה רבה (צב</w:t>
      </w:r>
      <w:r>
        <w:rPr>
          <w:rFonts w:cs="Arial" w:hint="cs"/>
          <w:rtl/>
        </w:rPr>
        <w:t>.</w:t>
      </w:r>
      <w:r w:rsidRPr="000F632A">
        <w:rPr>
          <w:rFonts w:cs="Arial"/>
          <w:rtl/>
        </w:rPr>
        <w:t>) הורוה לינשא והלכה וקלקלה חייב שלא התירוה אלא לינשא</w:t>
      </w:r>
      <w:r>
        <w:rPr>
          <w:rFonts w:cs="Arial" w:hint="cs"/>
          <w:rtl/>
        </w:rPr>
        <w:t>...</w:t>
      </w:r>
      <w:r w:rsidRPr="000F632A">
        <w:rPr>
          <w:rFonts w:cs="Arial"/>
          <w:rtl/>
        </w:rPr>
        <w:t xml:space="preserve"> ואין זו ראיה</w:t>
      </w:r>
      <w:r>
        <w:rPr>
          <w:rFonts w:cs="Arial" w:hint="cs"/>
          <w:rtl/>
        </w:rPr>
        <w:t>...</w:t>
      </w:r>
      <w:r w:rsidRPr="000F632A">
        <w:rPr>
          <w:rFonts w:cs="Arial"/>
          <w:rtl/>
        </w:rPr>
        <w:t xml:space="preserve"> וסוגיין בעלמא דכותבין בגיטין הרי את מותרת לכל אדם (כו</w:t>
      </w:r>
      <w:r>
        <w:rPr>
          <w:rFonts w:cs="Arial" w:hint="cs"/>
          <w:rtl/>
        </w:rPr>
        <w:t>.)...</w:t>
      </w:r>
      <w:r w:rsidRPr="000F632A">
        <w:rPr>
          <w:rFonts w:cs="Arial"/>
          <w:rtl/>
        </w:rPr>
        <w:t xml:space="preserve"> אלא ודאי צריך למיכתב והרי את מותרת לכל אדם</w:t>
      </w:r>
      <w:r>
        <w:rPr>
          <w:rFonts w:cs="Arial" w:hint="cs"/>
          <w:rtl/>
        </w:rPr>
        <w:t>,</w:t>
      </w:r>
      <w:r w:rsidRPr="000F632A">
        <w:rPr>
          <w:rFonts w:cs="Arial"/>
          <w:rtl/>
        </w:rPr>
        <w:t xml:space="preserve"> ואם לאו </w:t>
      </w:r>
      <w:r w:rsidR="00A82951">
        <w:rPr>
          <w:rFonts w:cs="Arial" w:hint="cs"/>
          <w:rtl/>
        </w:rPr>
        <w:t>-</w:t>
      </w:r>
      <w:r>
        <w:rPr>
          <w:rFonts w:cs="Arial" w:hint="cs"/>
          <w:rtl/>
        </w:rPr>
        <w:t xml:space="preserve"> </w:t>
      </w:r>
      <w:r w:rsidRPr="000F632A">
        <w:rPr>
          <w:rFonts w:cs="Arial"/>
          <w:rtl/>
        </w:rPr>
        <w:t>אסורה</w:t>
      </w:r>
      <w:r>
        <w:rPr>
          <w:rFonts w:cs="Arial" w:hint="cs"/>
          <w:rtl/>
        </w:rPr>
        <w:t>.</w:t>
      </w:r>
      <w:r w:rsidRPr="000F632A">
        <w:rPr>
          <w:rFonts w:cs="Arial"/>
          <w:rtl/>
        </w:rPr>
        <w:t xml:space="preserve"> וקרוב אני לומר שאם נשאת </w:t>
      </w:r>
      <w:r w:rsidR="00A82951">
        <w:rPr>
          <w:rFonts w:cs="Arial" w:hint="cs"/>
          <w:rtl/>
        </w:rPr>
        <w:t>-</w:t>
      </w:r>
      <w:r>
        <w:rPr>
          <w:rFonts w:cs="Arial" w:hint="cs"/>
          <w:rtl/>
        </w:rPr>
        <w:t xml:space="preserve"> </w:t>
      </w:r>
      <w:r w:rsidRPr="000F632A">
        <w:rPr>
          <w:rFonts w:cs="Arial"/>
          <w:rtl/>
        </w:rPr>
        <w:t>תצא</w:t>
      </w:r>
      <w:r>
        <w:rPr>
          <w:rFonts w:cs="Arial" w:hint="cs"/>
          <w:rtl/>
        </w:rPr>
        <w:t>,</w:t>
      </w:r>
      <w:r w:rsidRPr="000F632A">
        <w:rPr>
          <w:rFonts w:cs="Arial"/>
          <w:rtl/>
        </w:rPr>
        <w:t xml:space="preserve"> שזהו גופו של גט</w:t>
      </w:r>
      <w:r>
        <w:rPr>
          <w:rStyle w:val="a7"/>
          <w:rFonts w:cs="Arial"/>
          <w:rtl/>
        </w:rPr>
        <w:footnoteReference w:id="824"/>
      </w:r>
      <w:r w:rsidRPr="00911D07">
        <w:rPr>
          <w:rFonts w:cs="Arial" w:hint="cs"/>
          <w:rtl/>
        </w:rPr>
        <w:t>.</w:t>
      </w:r>
    </w:p>
    <w:p w14:paraId="0B88E7B7"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E2E1047" w14:textId="77777777" w:rsidR="00FA2119" w:rsidRDefault="00FA2119" w:rsidP="00FA2119">
      <w:pPr>
        <w:rPr>
          <w:rtl/>
        </w:rPr>
      </w:pPr>
      <w:r>
        <w:rPr>
          <w:rFonts w:cs="Arial" w:hint="cs"/>
          <w:rtl/>
        </w:rPr>
        <w:t>צריך</w:t>
      </w:r>
      <w:r>
        <w:rPr>
          <w:rFonts w:cs="Arial"/>
          <w:rtl/>
        </w:rPr>
        <w:t xml:space="preserve"> </w:t>
      </w:r>
      <w:r>
        <w:rPr>
          <w:rFonts w:cs="Arial" w:hint="cs"/>
          <w:rtl/>
        </w:rPr>
        <w:t>לכתוב</w:t>
      </w:r>
      <w:r>
        <w:rPr>
          <w:rFonts w:cs="Arial"/>
          <w:rtl/>
        </w:rPr>
        <w:t xml:space="preserve">: </w:t>
      </w:r>
      <w:r>
        <w:rPr>
          <w:rFonts w:cs="Arial" w:hint="cs"/>
          <w:rtl/>
        </w:rPr>
        <w:t>והרי</w:t>
      </w:r>
      <w:r>
        <w:rPr>
          <w:rStyle w:val="a7"/>
          <w:rFonts w:cs="Arial"/>
          <w:rtl/>
        </w:rPr>
        <w:footnoteReference w:id="825"/>
      </w:r>
      <w:r>
        <w:rPr>
          <w:rFonts w:cs="Arial"/>
          <w:rtl/>
        </w:rPr>
        <w:t xml:space="preserve"> </w:t>
      </w:r>
      <w:r>
        <w:rPr>
          <w:rFonts w:cs="Arial" w:hint="cs"/>
          <w:rtl/>
        </w:rPr>
        <w:t>את</w:t>
      </w:r>
      <w:r>
        <w:rPr>
          <w:rFonts w:cs="Arial"/>
          <w:rtl/>
        </w:rPr>
        <w:t xml:space="preserve"> </w:t>
      </w:r>
      <w:r>
        <w:rPr>
          <w:rFonts w:cs="Arial" w:hint="cs"/>
          <w:rtl/>
        </w:rPr>
        <w:t>מותרת</w:t>
      </w:r>
      <w:r>
        <w:rPr>
          <w:rStyle w:val="a7"/>
          <w:rFonts w:cs="Arial"/>
          <w:rtl/>
        </w:rPr>
        <w:footnoteReference w:id="826"/>
      </w:r>
      <w:r>
        <w:rPr>
          <w:rFonts w:cs="Arial"/>
          <w:rtl/>
        </w:rPr>
        <w:t xml:space="preserve"> </w:t>
      </w:r>
      <w:r>
        <w:rPr>
          <w:rFonts w:cs="Arial" w:hint="cs"/>
          <w:rtl/>
        </w:rPr>
        <w:t>לכל</w:t>
      </w:r>
      <w:r>
        <w:rPr>
          <w:rFonts w:cs="Arial"/>
          <w:rtl/>
        </w:rPr>
        <w:t xml:space="preserve"> </w:t>
      </w:r>
      <w:r>
        <w:rPr>
          <w:rFonts w:cs="Arial" w:hint="cs"/>
          <w:rtl/>
        </w:rPr>
        <w:t>אדם</w:t>
      </w:r>
      <w:r>
        <w:rPr>
          <w:rFonts w:cs="Arial"/>
          <w:rtl/>
        </w:rPr>
        <w:t xml:space="preserve">. </w:t>
      </w:r>
      <w:r>
        <w:rPr>
          <w:rFonts w:cs="Arial" w:hint="cs"/>
          <w:sz w:val="18"/>
          <w:szCs w:val="18"/>
          <w:rtl/>
        </w:rPr>
        <w:t xml:space="preserve">[הגה] </w:t>
      </w:r>
      <w:r w:rsidRPr="00BD435D">
        <w:rPr>
          <w:rFonts w:cs="Arial" w:hint="cs"/>
          <w:sz w:val="18"/>
          <w:szCs w:val="18"/>
          <w:rtl/>
        </w:rPr>
        <w:t>לכתחלה</w:t>
      </w:r>
      <w:r w:rsidRPr="00BD435D">
        <w:rPr>
          <w:rFonts w:cs="Arial"/>
          <w:sz w:val="18"/>
          <w:szCs w:val="18"/>
          <w:rtl/>
        </w:rPr>
        <w:t xml:space="preserve"> </w:t>
      </w:r>
      <w:r w:rsidRPr="00BD435D">
        <w:rPr>
          <w:rFonts w:cs="Arial" w:hint="cs"/>
          <w:sz w:val="18"/>
          <w:szCs w:val="18"/>
          <w:rtl/>
        </w:rPr>
        <w:t>טוב</w:t>
      </w:r>
      <w:r w:rsidRPr="00BD435D">
        <w:rPr>
          <w:rFonts w:cs="Arial"/>
          <w:sz w:val="18"/>
          <w:szCs w:val="18"/>
          <w:rtl/>
        </w:rPr>
        <w:t xml:space="preserve"> </w:t>
      </w:r>
      <w:r w:rsidRPr="00BD435D">
        <w:rPr>
          <w:rFonts w:cs="Arial" w:hint="cs"/>
          <w:sz w:val="18"/>
          <w:szCs w:val="18"/>
          <w:rtl/>
        </w:rPr>
        <w:t>ליזהר</w:t>
      </w:r>
      <w:r>
        <w:rPr>
          <w:rStyle w:val="a7"/>
          <w:rFonts w:cs="Arial"/>
          <w:sz w:val="18"/>
          <w:szCs w:val="18"/>
          <w:rtl/>
        </w:rPr>
        <w:footnoteReference w:id="827"/>
      </w:r>
      <w:r w:rsidRPr="00BD435D">
        <w:rPr>
          <w:rFonts w:cs="Arial"/>
          <w:sz w:val="18"/>
          <w:szCs w:val="18"/>
          <w:rtl/>
        </w:rPr>
        <w:t xml:space="preserve"> </w:t>
      </w:r>
      <w:r w:rsidRPr="00BD435D">
        <w:rPr>
          <w:rFonts w:cs="Arial" w:hint="cs"/>
          <w:sz w:val="18"/>
          <w:szCs w:val="18"/>
          <w:rtl/>
        </w:rPr>
        <w:t>לכתוב</w:t>
      </w:r>
      <w:r w:rsidRPr="00BD435D">
        <w:rPr>
          <w:rFonts w:cs="Arial"/>
          <w:sz w:val="18"/>
          <w:szCs w:val="18"/>
          <w:rtl/>
        </w:rPr>
        <w:t xml:space="preserve">: </w:t>
      </w:r>
      <w:r w:rsidRPr="00BD435D">
        <w:rPr>
          <w:rFonts w:cs="Arial" w:hint="cs"/>
          <w:sz w:val="18"/>
          <w:szCs w:val="18"/>
          <w:rtl/>
        </w:rPr>
        <w:t>הרי</w:t>
      </w:r>
      <w:r w:rsidRPr="00BD435D">
        <w:rPr>
          <w:rFonts w:cs="Arial"/>
          <w:sz w:val="18"/>
          <w:szCs w:val="18"/>
          <w:rtl/>
        </w:rPr>
        <w:t xml:space="preserve"> </w:t>
      </w:r>
      <w:r w:rsidRPr="00BD435D">
        <w:rPr>
          <w:rFonts w:cs="Arial" w:hint="cs"/>
          <w:sz w:val="18"/>
          <w:szCs w:val="18"/>
          <w:rtl/>
        </w:rPr>
        <w:t>את</w:t>
      </w:r>
      <w:r w:rsidRPr="00BD435D">
        <w:rPr>
          <w:rFonts w:cs="Arial"/>
          <w:sz w:val="18"/>
          <w:szCs w:val="18"/>
          <w:rtl/>
        </w:rPr>
        <w:t xml:space="preserve">, </w:t>
      </w:r>
      <w:r w:rsidRPr="00BD435D">
        <w:rPr>
          <w:rFonts w:cs="Arial" w:hint="cs"/>
          <w:sz w:val="18"/>
          <w:szCs w:val="18"/>
          <w:rtl/>
        </w:rPr>
        <w:t>בשיטה</w:t>
      </w:r>
      <w:r w:rsidRPr="00BD435D">
        <w:rPr>
          <w:rFonts w:cs="Arial"/>
          <w:sz w:val="18"/>
          <w:szCs w:val="18"/>
          <w:rtl/>
        </w:rPr>
        <w:t xml:space="preserve"> </w:t>
      </w:r>
      <w:r w:rsidRPr="00BD435D">
        <w:rPr>
          <w:rFonts w:cs="Arial" w:hint="cs"/>
          <w:sz w:val="18"/>
          <w:szCs w:val="18"/>
          <w:rtl/>
        </w:rPr>
        <w:t>אחת</w:t>
      </w:r>
      <w:r>
        <w:rPr>
          <w:rFonts w:cs="Arial" w:hint="cs"/>
          <w:sz w:val="18"/>
          <w:szCs w:val="18"/>
          <w:rtl/>
        </w:rPr>
        <w:t>.</w:t>
      </w:r>
      <w:r w:rsidRPr="00BD435D">
        <w:rPr>
          <w:rFonts w:cs="Arial"/>
          <w:sz w:val="18"/>
          <w:szCs w:val="18"/>
          <w:rtl/>
        </w:rPr>
        <w:t xml:space="preserve"> </w:t>
      </w:r>
      <w:r w:rsidRPr="00BD435D">
        <w:rPr>
          <w:rFonts w:cs="Arial" w:hint="cs"/>
          <w:sz w:val="18"/>
          <w:szCs w:val="18"/>
          <w:rtl/>
        </w:rPr>
        <w:t>אבל</w:t>
      </w:r>
      <w:r w:rsidRPr="00BD435D">
        <w:rPr>
          <w:rFonts w:cs="Arial"/>
          <w:sz w:val="18"/>
          <w:szCs w:val="18"/>
          <w:rtl/>
        </w:rPr>
        <w:t xml:space="preserve"> </w:t>
      </w:r>
      <w:r w:rsidRPr="00BD435D">
        <w:rPr>
          <w:rFonts w:cs="Arial" w:hint="cs"/>
          <w:sz w:val="18"/>
          <w:szCs w:val="18"/>
          <w:rtl/>
        </w:rPr>
        <w:t>אם</w:t>
      </w:r>
      <w:r w:rsidRPr="00BD435D">
        <w:rPr>
          <w:rFonts w:cs="Arial"/>
          <w:sz w:val="18"/>
          <w:szCs w:val="18"/>
          <w:rtl/>
        </w:rPr>
        <w:t xml:space="preserve"> </w:t>
      </w:r>
      <w:r w:rsidRPr="00BD435D">
        <w:rPr>
          <w:rFonts w:cs="Arial" w:hint="cs"/>
          <w:sz w:val="18"/>
          <w:szCs w:val="18"/>
          <w:rtl/>
        </w:rPr>
        <w:t>כבר</w:t>
      </w:r>
      <w:r w:rsidRPr="00BD435D">
        <w:rPr>
          <w:rFonts w:cs="Arial"/>
          <w:sz w:val="18"/>
          <w:szCs w:val="18"/>
          <w:rtl/>
        </w:rPr>
        <w:t xml:space="preserve"> </w:t>
      </w:r>
      <w:r w:rsidRPr="00BD435D">
        <w:rPr>
          <w:rFonts w:cs="Arial" w:hint="cs"/>
          <w:sz w:val="18"/>
          <w:szCs w:val="18"/>
          <w:rtl/>
        </w:rPr>
        <w:t>נכתב</w:t>
      </w:r>
      <w:r w:rsidRPr="00BD435D">
        <w:rPr>
          <w:rFonts w:cs="Arial"/>
          <w:sz w:val="18"/>
          <w:szCs w:val="18"/>
          <w:rtl/>
        </w:rPr>
        <w:t xml:space="preserve"> </w:t>
      </w:r>
      <w:r w:rsidRPr="00BD435D">
        <w:rPr>
          <w:rFonts w:cs="Arial" w:hint="cs"/>
          <w:sz w:val="18"/>
          <w:szCs w:val="18"/>
          <w:rtl/>
        </w:rPr>
        <w:t>הגט</w:t>
      </w:r>
      <w:r w:rsidRPr="00BD435D">
        <w:rPr>
          <w:rFonts w:cs="Arial"/>
          <w:sz w:val="18"/>
          <w:szCs w:val="18"/>
          <w:rtl/>
        </w:rPr>
        <w:t xml:space="preserve"> </w:t>
      </w:r>
      <w:r w:rsidRPr="00BD435D">
        <w:rPr>
          <w:rFonts w:cs="Arial" w:hint="cs"/>
          <w:sz w:val="18"/>
          <w:szCs w:val="18"/>
          <w:rtl/>
        </w:rPr>
        <w:t>בשתי</w:t>
      </w:r>
      <w:r w:rsidRPr="00BD435D">
        <w:rPr>
          <w:rFonts w:cs="Arial"/>
          <w:sz w:val="18"/>
          <w:szCs w:val="18"/>
          <w:rtl/>
        </w:rPr>
        <w:t xml:space="preserve"> </w:t>
      </w:r>
      <w:r w:rsidRPr="00BD435D">
        <w:rPr>
          <w:rFonts w:cs="Arial" w:hint="cs"/>
          <w:sz w:val="18"/>
          <w:szCs w:val="18"/>
          <w:rtl/>
        </w:rPr>
        <w:t>שורות</w:t>
      </w:r>
      <w:r w:rsidRPr="00BD435D">
        <w:rPr>
          <w:rFonts w:cs="Arial"/>
          <w:sz w:val="18"/>
          <w:szCs w:val="18"/>
          <w:rtl/>
        </w:rPr>
        <w:t xml:space="preserve">, </w:t>
      </w:r>
      <w:r w:rsidRPr="00BD435D">
        <w:rPr>
          <w:rFonts w:cs="Arial" w:hint="cs"/>
          <w:sz w:val="18"/>
          <w:szCs w:val="18"/>
          <w:rtl/>
        </w:rPr>
        <w:t>כשר</w:t>
      </w:r>
      <w:r w:rsidRPr="00BD435D">
        <w:rPr>
          <w:rFonts w:cs="Arial"/>
          <w:sz w:val="18"/>
          <w:szCs w:val="18"/>
          <w:rtl/>
        </w:rPr>
        <w:t xml:space="preserve"> </w:t>
      </w:r>
      <w:r w:rsidRPr="00BD435D">
        <w:rPr>
          <w:rFonts w:cs="Arial" w:hint="cs"/>
          <w:sz w:val="18"/>
          <w:szCs w:val="18"/>
          <w:rtl/>
        </w:rPr>
        <w:t>ליתנו</w:t>
      </w:r>
      <w:r w:rsidRPr="00BD435D">
        <w:rPr>
          <w:rFonts w:cs="Arial"/>
          <w:sz w:val="18"/>
          <w:szCs w:val="18"/>
          <w:rtl/>
        </w:rPr>
        <w:t xml:space="preserve"> (</w:t>
      </w:r>
      <w:r w:rsidRPr="00BD435D">
        <w:rPr>
          <w:rFonts w:cs="Arial" w:hint="cs"/>
          <w:sz w:val="18"/>
          <w:szCs w:val="18"/>
          <w:rtl/>
        </w:rPr>
        <w:t>מהרא</w:t>
      </w:r>
      <w:r w:rsidRPr="00BD435D">
        <w:rPr>
          <w:rFonts w:cs="Arial"/>
          <w:sz w:val="18"/>
          <w:szCs w:val="18"/>
          <w:rtl/>
        </w:rPr>
        <w:t>"</w:t>
      </w:r>
      <w:r w:rsidRPr="00BD435D">
        <w:rPr>
          <w:rFonts w:cs="Arial" w:hint="cs"/>
          <w:sz w:val="18"/>
          <w:szCs w:val="18"/>
          <w:rtl/>
        </w:rPr>
        <w:t>י</w:t>
      </w:r>
      <w:r w:rsidRPr="00BD435D">
        <w:rPr>
          <w:rFonts w:cs="Arial"/>
          <w:sz w:val="18"/>
          <w:szCs w:val="18"/>
          <w:rtl/>
        </w:rPr>
        <w:t xml:space="preserve"> </w:t>
      </w:r>
      <w:r w:rsidRPr="00BD435D">
        <w:rPr>
          <w:rFonts w:cs="Arial" w:hint="cs"/>
          <w:sz w:val="18"/>
          <w:szCs w:val="18"/>
          <w:rtl/>
        </w:rPr>
        <w:t>סי</w:t>
      </w:r>
      <w:r w:rsidRPr="00BD435D">
        <w:rPr>
          <w:rFonts w:cs="Arial"/>
          <w:sz w:val="18"/>
          <w:szCs w:val="18"/>
          <w:rtl/>
        </w:rPr>
        <w:t xml:space="preserve">' </w:t>
      </w:r>
      <w:r w:rsidRPr="00BD435D">
        <w:rPr>
          <w:rFonts w:cs="Arial" w:hint="cs"/>
          <w:sz w:val="18"/>
          <w:szCs w:val="18"/>
          <w:rtl/>
        </w:rPr>
        <w:t>קמג</w:t>
      </w:r>
      <w:r w:rsidRPr="00BD435D">
        <w:rPr>
          <w:rFonts w:cs="Arial"/>
          <w:sz w:val="18"/>
          <w:szCs w:val="18"/>
          <w:rtl/>
        </w:rPr>
        <w:t>).</w:t>
      </w:r>
      <w:r>
        <w:rPr>
          <w:rFonts w:cs="Arial"/>
          <w:rtl/>
        </w:rPr>
        <w:t xml:space="preserve"> </w:t>
      </w:r>
    </w:p>
    <w:p w14:paraId="6833417E" w14:textId="77777777" w:rsidR="00FA2119" w:rsidRDefault="00FA2119" w:rsidP="00FA2119">
      <w:pPr>
        <w:rPr>
          <w:rFonts w:cs="Arial"/>
          <w:rtl/>
        </w:rPr>
      </w:pPr>
      <w:r w:rsidRPr="007D0E91">
        <w:rPr>
          <w:rFonts w:cs="Arial" w:hint="cs"/>
          <w:u w:val="single"/>
          <w:rtl/>
        </w:rPr>
        <w:t>גט שלא כתוב בו 'הרי את מותרת...' והוא במקום עיגון:</w:t>
      </w:r>
      <w:r w:rsidRPr="007D0E91">
        <w:rPr>
          <w:rFonts w:cs="Arial"/>
          <w:sz w:val="16"/>
          <w:szCs w:val="16"/>
          <w:rtl/>
        </w:rPr>
        <w:t xml:space="preserve"> (</w:t>
      </w:r>
      <w:r w:rsidRPr="007D0E91">
        <w:rPr>
          <w:rFonts w:cs="Arial" w:hint="cs"/>
          <w:sz w:val="16"/>
          <w:szCs w:val="16"/>
          <w:rtl/>
        </w:rPr>
        <w:t>פת"ש סק</w:t>
      </w:r>
      <w:r w:rsidRPr="007D0E91">
        <w:rPr>
          <w:rFonts w:cs="Arial"/>
          <w:sz w:val="16"/>
          <w:szCs w:val="16"/>
          <w:rtl/>
        </w:rPr>
        <w:t>מ</w:t>
      </w:r>
      <w:r w:rsidRPr="007D0E91">
        <w:rPr>
          <w:rFonts w:cs="Arial" w:hint="cs"/>
          <w:sz w:val="16"/>
          <w:szCs w:val="16"/>
          <w:rtl/>
        </w:rPr>
        <w:t>"</w:t>
      </w:r>
      <w:r w:rsidRPr="007D0E91">
        <w:rPr>
          <w:rFonts w:cs="Arial"/>
          <w:sz w:val="16"/>
          <w:szCs w:val="16"/>
          <w:rtl/>
        </w:rPr>
        <w:t>ג)</w:t>
      </w:r>
      <w:r>
        <w:rPr>
          <w:rFonts w:cs="Arial"/>
          <w:rtl/>
        </w:rPr>
        <w:t xml:space="preserve"> </w:t>
      </w:r>
    </w:p>
    <w:p w14:paraId="1164667A" w14:textId="06AF320B" w:rsidR="00FA2119" w:rsidRDefault="00FA2119" w:rsidP="00FA2119">
      <w:pPr>
        <w:pStyle w:val="ab"/>
        <w:numPr>
          <w:ilvl w:val="0"/>
          <w:numId w:val="57"/>
        </w:numPr>
        <w:rPr>
          <w:rFonts w:cs="Arial"/>
        </w:rPr>
      </w:pPr>
      <w:r w:rsidRPr="007D0E91">
        <w:rPr>
          <w:rFonts w:cs="Arial"/>
          <w:rtl/>
        </w:rPr>
        <w:t xml:space="preserve">ג"פ </w:t>
      </w:r>
      <w:r w:rsidRPr="007D0E91">
        <w:rPr>
          <w:rFonts w:cs="Arial" w:hint="cs"/>
          <w:sz w:val="16"/>
          <w:szCs w:val="16"/>
          <w:rtl/>
        </w:rPr>
        <w:t>(</w:t>
      </w:r>
      <w:r w:rsidRPr="007D0E91">
        <w:rPr>
          <w:rFonts w:cs="Arial"/>
          <w:sz w:val="16"/>
          <w:szCs w:val="16"/>
          <w:rtl/>
        </w:rPr>
        <w:t>סקצ"ו</w:t>
      </w:r>
      <w:r w:rsidRPr="007D0E91">
        <w:rPr>
          <w:rFonts w:cs="Arial" w:hint="cs"/>
          <w:sz w:val="16"/>
          <w:szCs w:val="16"/>
          <w:rtl/>
        </w:rPr>
        <w:t>)</w:t>
      </w:r>
      <w:r w:rsidR="00A82951">
        <w:rPr>
          <w:rFonts w:cs="Arial" w:hint="cs"/>
          <w:rtl/>
        </w:rPr>
        <w:t>-</w:t>
      </w:r>
      <w:r w:rsidRPr="007D0E91">
        <w:rPr>
          <w:rFonts w:cs="Arial"/>
          <w:rtl/>
        </w:rPr>
        <w:t xml:space="preserve"> ולענין הלכה ודאי לכתחילה אע</w:t>
      </w:r>
      <w:r w:rsidRPr="007D0E91">
        <w:rPr>
          <w:rFonts w:cs="Arial" w:hint="cs"/>
          <w:rtl/>
        </w:rPr>
        <w:t>"</w:t>
      </w:r>
      <w:r w:rsidRPr="007D0E91">
        <w:rPr>
          <w:rFonts w:cs="Arial"/>
          <w:rtl/>
        </w:rPr>
        <w:t xml:space="preserve">ג דכתב </w:t>
      </w:r>
      <w:r w:rsidRPr="007D0E91">
        <w:rPr>
          <w:rFonts w:cs="Arial" w:hint="cs"/>
          <w:rtl/>
        </w:rPr>
        <w:t>'</w:t>
      </w:r>
      <w:r w:rsidRPr="007D0E91">
        <w:rPr>
          <w:rFonts w:cs="Arial"/>
          <w:rtl/>
        </w:rPr>
        <w:t>למהך להתנסבא</w:t>
      </w:r>
      <w:r w:rsidRPr="007D0E91">
        <w:rPr>
          <w:rFonts w:cs="Arial" w:hint="cs"/>
          <w:rtl/>
        </w:rPr>
        <w:t>'</w:t>
      </w:r>
      <w:r w:rsidRPr="007D0E91">
        <w:rPr>
          <w:rFonts w:cs="Arial"/>
          <w:rtl/>
        </w:rPr>
        <w:t xml:space="preserve"> צריך לכתוב </w:t>
      </w:r>
      <w:r w:rsidRPr="007D0E91">
        <w:rPr>
          <w:rFonts w:cs="Arial" w:hint="cs"/>
          <w:rtl/>
        </w:rPr>
        <w:t>'</w:t>
      </w:r>
      <w:r w:rsidRPr="007D0E91">
        <w:rPr>
          <w:rFonts w:cs="Arial"/>
          <w:rtl/>
        </w:rPr>
        <w:t>הרי את מותרת</w:t>
      </w:r>
      <w:r w:rsidRPr="007D0E91">
        <w:rPr>
          <w:rFonts w:cs="Arial" w:hint="cs"/>
          <w:rtl/>
        </w:rPr>
        <w:t>'.</w:t>
      </w:r>
      <w:r w:rsidRPr="007D0E91">
        <w:rPr>
          <w:rFonts w:cs="Arial"/>
          <w:rtl/>
        </w:rPr>
        <w:t xml:space="preserve"> ואם לא כתב </w:t>
      </w:r>
      <w:r w:rsidR="00A82951">
        <w:rPr>
          <w:rFonts w:cs="Arial" w:hint="cs"/>
          <w:rtl/>
        </w:rPr>
        <w:t>-</w:t>
      </w:r>
      <w:r w:rsidRPr="007D0E91">
        <w:rPr>
          <w:rFonts w:cs="Arial" w:hint="cs"/>
          <w:rtl/>
        </w:rPr>
        <w:t xml:space="preserve"> </w:t>
      </w:r>
      <w:r w:rsidRPr="007D0E91">
        <w:rPr>
          <w:rFonts w:cs="Arial"/>
          <w:rtl/>
        </w:rPr>
        <w:t>צריך לכתוב גיטא אחרינא</w:t>
      </w:r>
      <w:r w:rsidRPr="007D0E91">
        <w:rPr>
          <w:rFonts w:cs="Arial" w:hint="cs"/>
          <w:rtl/>
        </w:rPr>
        <w:t>.</w:t>
      </w:r>
      <w:r w:rsidRPr="007D0E91">
        <w:rPr>
          <w:rFonts w:cs="Arial"/>
          <w:rtl/>
        </w:rPr>
        <w:t xml:space="preserve"> אך אם נתגרשה כבר בגט שאין כתוב בו הא"מ</w:t>
      </w:r>
      <w:r w:rsidRPr="007D0E91">
        <w:rPr>
          <w:rFonts w:cs="Arial" w:hint="cs"/>
          <w:rtl/>
        </w:rPr>
        <w:t>,</w:t>
      </w:r>
      <w:r w:rsidRPr="007D0E91">
        <w:rPr>
          <w:rFonts w:cs="Arial"/>
          <w:rtl/>
        </w:rPr>
        <w:t xml:space="preserve"> וכתוב בו למהך להתנסבא</w:t>
      </w:r>
      <w:r w:rsidRPr="007D0E91">
        <w:rPr>
          <w:rFonts w:cs="Arial" w:hint="cs"/>
          <w:rtl/>
        </w:rPr>
        <w:t>,</w:t>
      </w:r>
      <w:r w:rsidRPr="007D0E91">
        <w:rPr>
          <w:rFonts w:cs="Arial"/>
          <w:rtl/>
        </w:rPr>
        <w:t xml:space="preserve"> והוא מקום עיגון דא"א להשיג גט אחר </w:t>
      </w:r>
      <w:r w:rsidR="00A82951">
        <w:rPr>
          <w:rFonts w:cs="Arial" w:hint="cs"/>
          <w:rtl/>
        </w:rPr>
        <w:t>-</w:t>
      </w:r>
      <w:r w:rsidRPr="007D0E91">
        <w:rPr>
          <w:rFonts w:cs="Arial" w:hint="cs"/>
          <w:rtl/>
        </w:rPr>
        <w:t xml:space="preserve"> </w:t>
      </w:r>
      <w:r w:rsidRPr="007D0E91">
        <w:rPr>
          <w:rFonts w:cs="Arial"/>
          <w:rtl/>
        </w:rPr>
        <w:t xml:space="preserve">יראה לי דיכולים אנו לסמוך על רוב הפוסקים דס"ל דהרי את מותרת </w:t>
      </w:r>
      <w:r w:rsidRPr="007D0E91">
        <w:rPr>
          <w:rFonts w:cs="Arial"/>
          <w:rtl/>
        </w:rPr>
        <w:lastRenderedPageBreak/>
        <w:t>אינו מעכב כיון דאיכא שאר לישני דחשובין כמו הא"מ</w:t>
      </w:r>
      <w:r w:rsidRPr="007D0E91">
        <w:rPr>
          <w:rFonts w:cs="Arial" w:hint="cs"/>
          <w:rtl/>
        </w:rPr>
        <w:t>.</w:t>
      </w:r>
      <w:r w:rsidRPr="007D0E91">
        <w:rPr>
          <w:rFonts w:cs="Arial"/>
          <w:rtl/>
        </w:rPr>
        <w:t xml:space="preserve"> ובפרט דאשכחן דבטופסי גיטין הראשונים לא הי' כתוב הא"מ</w:t>
      </w:r>
      <w:r w:rsidRPr="007D0E91">
        <w:rPr>
          <w:rFonts w:cs="Arial" w:hint="cs"/>
          <w:rtl/>
        </w:rPr>
        <w:t>.</w:t>
      </w:r>
      <w:r w:rsidRPr="007D0E91">
        <w:rPr>
          <w:rFonts w:cs="Arial"/>
          <w:rtl/>
        </w:rPr>
        <w:t xml:space="preserve"> ועוד דהרי יש כאן ס"ס דאפילו בא"ל חוץ מזנותיך הוא בעיא דלא איפשטא אי חשוב שיור</w:t>
      </w:r>
      <w:r w:rsidRPr="007D0E91">
        <w:rPr>
          <w:rFonts w:cs="Arial" w:hint="cs"/>
          <w:rtl/>
        </w:rPr>
        <w:t>.</w:t>
      </w:r>
      <w:r w:rsidRPr="007D0E91">
        <w:rPr>
          <w:rFonts w:cs="Arial"/>
          <w:rtl/>
        </w:rPr>
        <w:t xml:space="preserve"> וא"כ י"ל ספק אם חוץ מזנותך הוי שיור או לא ואת"ל דהוי שיור דילמא היינו דוקא באומר לה בפירוש חוץ מזנותך אבל באומר להתנסבא לא שייר זנות והוי ס"ס המתהפך וכו'</w:t>
      </w:r>
      <w:r w:rsidRPr="007D0E91">
        <w:rPr>
          <w:rFonts w:cs="Arial" w:hint="cs"/>
          <w:rtl/>
        </w:rPr>
        <w:t>.</w:t>
      </w:r>
      <w:r w:rsidRPr="007D0E91">
        <w:rPr>
          <w:rFonts w:cs="Arial"/>
          <w:rtl/>
        </w:rPr>
        <w:t xml:space="preserve"> וכן נמי אם כתב הרי את מותרת ולא כתב למהך להתנסבא כו' ונתגרשה כבר בגט זה והוא מקום עיגון דא"א להשיג גט אחר שהבעל הרחיק נדוד</w:t>
      </w:r>
      <w:r w:rsidRPr="007D0E91">
        <w:rPr>
          <w:rFonts w:cs="Arial" w:hint="cs"/>
          <w:rtl/>
        </w:rPr>
        <w:t xml:space="preserve"> </w:t>
      </w:r>
      <w:r w:rsidR="00A82951">
        <w:rPr>
          <w:rFonts w:cs="Arial" w:hint="cs"/>
          <w:rtl/>
        </w:rPr>
        <w:t>-</w:t>
      </w:r>
      <w:r w:rsidRPr="007D0E91">
        <w:rPr>
          <w:rFonts w:cs="Arial"/>
          <w:rtl/>
        </w:rPr>
        <w:t xml:space="preserve"> יראה לע"ד דיש להתיר</w:t>
      </w:r>
      <w:r w:rsidRPr="007D0E91">
        <w:rPr>
          <w:rFonts w:cs="Arial" w:hint="cs"/>
          <w:rtl/>
        </w:rPr>
        <w:t>,</w:t>
      </w:r>
      <w:r w:rsidRPr="007D0E91">
        <w:rPr>
          <w:rFonts w:cs="Arial"/>
          <w:rtl/>
        </w:rPr>
        <w:t xml:space="preserve"> משום דלישנא דהרי את מותרת לכל אדם כולל זנות ונישואין לשיטת רוב הפוסקים ולא נמצא מחמיר בזה רק הר"ן ז"ל כו' </w:t>
      </w:r>
      <w:r w:rsidRPr="007D0E91">
        <w:rPr>
          <w:rFonts w:cs="Arial"/>
          <w:sz w:val="16"/>
          <w:szCs w:val="16"/>
          <w:rtl/>
        </w:rPr>
        <w:t>(ע' לעיל סקכ"ו)</w:t>
      </w:r>
      <w:r w:rsidRPr="007D0E91">
        <w:rPr>
          <w:rFonts w:cs="Arial"/>
          <w:rtl/>
        </w:rPr>
        <w:t xml:space="preserve">. </w:t>
      </w:r>
    </w:p>
    <w:p w14:paraId="53BC18C8" w14:textId="77777777" w:rsidR="00FA2119" w:rsidRPr="00602965" w:rsidRDefault="00FA2119" w:rsidP="00FA2119">
      <w:pPr>
        <w:rPr>
          <w:rFonts w:cs="Arial"/>
        </w:rPr>
      </w:pPr>
      <w:r w:rsidRPr="00602965">
        <w:rPr>
          <w:rFonts w:cs="Arial"/>
          <w:u w:val="single"/>
          <w:rtl/>
        </w:rPr>
        <w:t>גט שמצא</w:t>
      </w:r>
      <w:r>
        <w:rPr>
          <w:rFonts w:cs="Arial" w:hint="cs"/>
          <w:u w:val="single"/>
          <w:rtl/>
        </w:rPr>
        <w:t>ו</w:t>
      </w:r>
      <w:r w:rsidRPr="00602965">
        <w:rPr>
          <w:rFonts w:cs="Arial"/>
          <w:u w:val="single"/>
          <w:rtl/>
        </w:rPr>
        <w:t xml:space="preserve"> </w:t>
      </w:r>
      <w:r>
        <w:rPr>
          <w:rFonts w:cs="Arial" w:hint="cs"/>
          <w:u w:val="single"/>
          <w:rtl/>
        </w:rPr>
        <w:t xml:space="preserve">בו בעיה </w:t>
      </w:r>
      <w:r w:rsidRPr="00602965">
        <w:rPr>
          <w:rFonts w:cs="Arial"/>
          <w:u w:val="single"/>
          <w:rtl/>
        </w:rPr>
        <w:t>ב</w:t>
      </w:r>
      <w:r>
        <w:rPr>
          <w:rFonts w:cs="Arial" w:hint="cs"/>
          <w:u w:val="single"/>
          <w:rtl/>
        </w:rPr>
        <w:t xml:space="preserve">אחת מהאותיות במשפט </w:t>
      </w:r>
      <w:r w:rsidRPr="00602965">
        <w:rPr>
          <w:rFonts w:cs="Arial" w:hint="cs"/>
          <w:u w:val="single"/>
          <w:rtl/>
        </w:rPr>
        <w:t>'</w:t>
      </w:r>
      <w:r>
        <w:rPr>
          <w:rFonts w:cs="Arial" w:hint="cs"/>
          <w:u w:val="single"/>
          <w:rtl/>
        </w:rPr>
        <w:t xml:space="preserve">הרי את </w:t>
      </w:r>
      <w:r w:rsidRPr="00602965">
        <w:rPr>
          <w:rFonts w:cs="Arial"/>
          <w:u w:val="single"/>
          <w:rtl/>
        </w:rPr>
        <w:t>מותרת</w:t>
      </w:r>
      <w:r>
        <w:rPr>
          <w:rFonts w:cs="Arial" w:hint="cs"/>
          <w:u w:val="single"/>
          <w:rtl/>
        </w:rPr>
        <w:t>...</w:t>
      </w:r>
      <w:r w:rsidRPr="00602965">
        <w:rPr>
          <w:rFonts w:cs="Arial" w:hint="cs"/>
          <w:u w:val="single"/>
          <w:rtl/>
        </w:rPr>
        <w:t>':</w:t>
      </w:r>
      <w:r w:rsidRPr="00602965">
        <w:rPr>
          <w:rFonts w:cs="Arial"/>
          <w:rtl/>
        </w:rPr>
        <w:t xml:space="preserve"> </w:t>
      </w:r>
      <w:r w:rsidRPr="00602965">
        <w:rPr>
          <w:rFonts w:cs="Arial"/>
          <w:sz w:val="16"/>
          <w:szCs w:val="16"/>
          <w:rtl/>
        </w:rPr>
        <w:t>(</w:t>
      </w:r>
      <w:r>
        <w:rPr>
          <w:rFonts w:cs="Arial" w:hint="cs"/>
          <w:sz w:val="16"/>
          <w:szCs w:val="16"/>
          <w:rtl/>
        </w:rPr>
        <w:t>פת"ש סק</w:t>
      </w:r>
      <w:r w:rsidRPr="00602965">
        <w:rPr>
          <w:rFonts w:cs="Arial"/>
          <w:sz w:val="16"/>
          <w:szCs w:val="16"/>
          <w:rtl/>
        </w:rPr>
        <w:t>מ</w:t>
      </w:r>
      <w:r>
        <w:rPr>
          <w:rFonts w:cs="Arial" w:hint="cs"/>
          <w:sz w:val="16"/>
          <w:szCs w:val="16"/>
          <w:rtl/>
        </w:rPr>
        <w:t>"</w:t>
      </w:r>
      <w:r w:rsidRPr="00602965">
        <w:rPr>
          <w:rFonts w:cs="Arial"/>
          <w:sz w:val="16"/>
          <w:szCs w:val="16"/>
          <w:rtl/>
        </w:rPr>
        <w:t>ד)</w:t>
      </w:r>
      <w:r w:rsidRPr="00602965">
        <w:rPr>
          <w:rFonts w:cs="Arial"/>
          <w:rtl/>
        </w:rPr>
        <w:t xml:space="preserve"> </w:t>
      </w:r>
    </w:p>
    <w:p w14:paraId="720F8EEA" w14:textId="75E3EC0C" w:rsidR="00FA2119" w:rsidRPr="00602965" w:rsidRDefault="00FA2119" w:rsidP="00FA2119">
      <w:pPr>
        <w:pStyle w:val="ab"/>
        <w:numPr>
          <w:ilvl w:val="0"/>
          <w:numId w:val="57"/>
        </w:numPr>
        <w:rPr>
          <w:rFonts w:cs="Arial"/>
        </w:rPr>
      </w:pPr>
      <w:r w:rsidRPr="00602965">
        <w:rPr>
          <w:rFonts w:cs="Arial"/>
          <w:rtl/>
        </w:rPr>
        <w:t xml:space="preserve">נו"ב </w:t>
      </w:r>
      <w:r w:rsidRPr="00602965">
        <w:rPr>
          <w:rFonts w:cs="Arial" w:hint="cs"/>
          <w:sz w:val="16"/>
          <w:szCs w:val="16"/>
          <w:rtl/>
        </w:rPr>
        <w:t>(</w:t>
      </w:r>
      <w:r w:rsidRPr="00602965">
        <w:rPr>
          <w:rFonts w:cs="Arial"/>
          <w:sz w:val="16"/>
          <w:szCs w:val="16"/>
          <w:rtl/>
        </w:rPr>
        <w:t>סי</w:t>
      </w:r>
      <w:r w:rsidRPr="00602965">
        <w:rPr>
          <w:rFonts w:cs="Arial" w:hint="cs"/>
          <w:sz w:val="16"/>
          <w:szCs w:val="16"/>
          <w:rtl/>
        </w:rPr>
        <w:t>'</w:t>
      </w:r>
      <w:r w:rsidRPr="00602965">
        <w:rPr>
          <w:rFonts w:cs="Arial"/>
          <w:sz w:val="16"/>
          <w:szCs w:val="16"/>
          <w:rtl/>
        </w:rPr>
        <w:t xml:space="preserve"> פה</w:t>
      </w:r>
      <w:r w:rsidRPr="00602965">
        <w:rPr>
          <w:rFonts w:cs="Arial" w:hint="cs"/>
          <w:sz w:val="16"/>
          <w:szCs w:val="16"/>
          <w:rtl/>
        </w:rPr>
        <w:t>)</w:t>
      </w:r>
      <w:r w:rsidR="00A82951">
        <w:rPr>
          <w:rFonts w:cs="Arial" w:hint="cs"/>
          <w:rtl/>
        </w:rPr>
        <w:t>-</w:t>
      </w:r>
      <w:r w:rsidRPr="00602965">
        <w:rPr>
          <w:rFonts w:cs="Arial"/>
          <w:rtl/>
        </w:rPr>
        <w:t xml:space="preserve"> בדבר הגט שהובא ע"י שליח ומחמת שנפל למים נמצא במלת מותרת שנתפשט רושם דיו בריש של מותרת בסוף הגג לצד שמאל ונעשה כעין רגל תיו אבל עכ"פ תינוק קורא ריש מחמת כי הריש הוא שחור ממש ומה שנעשה ע"י סיבה היא כהה וכתב דלכאורה הוא חשש גדול כי אף שזה הרגל אין הדיו משחיר כמו גוף הריש מ"מ בשביל זה לא יצא מכלל תי"ו ואם מתחילת הכתב אות אחד חציו משחיר הרבה יותר מחציו השנית הכי בשביל זה לא מקרי כתב ואם כן מלת מותרת לפי מה שהוא עתה הקרי מותרת והרי דעת הרמב"ן שגם לדידן הוא תורף ואם לא כתבו אפילו נשאת תצא (וטעמו מבואר בפוסקים) ואמנם אומר אני ע"כ לא החמיר הרמב"ן אלא בכתבו הבעל או הסופר מפומיה דהבעל דאז יכול הבעל לערער ולומר שבכוונה לא צוה לכתבו לפי שרוצה לשייר בזנות וגם בזה דוקא אי אתי בעל ומערער ואומר בפי' שזה כוונתו דאל"כ הא הוי ס"ס שמא לא כיון לשייר בזנות ואת"ל כיון אכתי ספק אם חוץ מזנותיך אוסר שהרי זו בעיא דלא איפשטא (ע' לקמן סי' קל"ז ס"ג) ואפי' אי נימא כדעת הפוסקים דבחזקת איסור לא מהני ס"ס וכן מסיק הש"ך ביו"ד בכללי ס"ס סעי' כ"ט (וא"כ אפי' לא אתי בעל ומערער אנן מסופקים שמא כיון לשייר זנות) עם כל זה אומר אני הא ודאי דבכלל להתנסבא אפשר להיות נכלל בו גם זנות כמבואר בר"ן פ' המגרש אלא דמ"מ אנו חוששין שמא שייר הבעל או הסופר</w:t>
      </w:r>
      <w:r w:rsidRPr="00602965">
        <w:rPr>
          <w:rFonts w:cs="Arial" w:hint="cs"/>
          <w:rtl/>
        </w:rPr>
        <w:t>.</w:t>
      </w:r>
      <w:r w:rsidRPr="00602965">
        <w:rPr>
          <w:rFonts w:cs="Arial"/>
          <w:rtl/>
        </w:rPr>
        <w:t xml:space="preserve"> וכל זה אם לא נכתב מעיקרא אבל בגט שנכתב מעיקרא אלא שאחר זה נתקלקל א"כ כבר אנו רואין שלא שייר לא הבעל ולא הסופר וממיל' הוא נכלל בכלל להתנסבא וא"כ שוב לא נחשב והרי את מותרת מן התורף כלל</w:t>
      </w:r>
      <w:r w:rsidRPr="00602965">
        <w:rPr>
          <w:rFonts w:cs="Arial" w:hint="cs"/>
          <w:rtl/>
        </w:rPr>
        <w:t>.</w:t>
      </w:r>
      <w:r w:rsidRPr="00602965">
        <w:rPr>
          <w:rFonts w:cs="Arial"/>
          <w:rtl/>
        </w:rPr>
        <w:t xml:space="preserve"> וק"ו בנ"ד שאכתי ניכר לרוב ותינוק ג"כ קורא מותרת שיש לסמוך להקל</w:t>
      </w:r>
      <w:r w:rsidRPr="00602965">
        <w:rPr>
          <w:rFonts w:cs="Arial" w:hint="cs"/>
          <w:rtl/>
        </w:rPr>
        <w:t>.</w:t>
      </w:r>
      <w:r w:rsidRPr="00602965">
        <w:rPr>
          <w:rFonts w:cs="Arial"/>
          <w:rtl/>
        </w:rPr>
        <w:t xml:space="preserve"> </w:t>
      </w:r>
    </w:p>
    <w:p w14:paraId="59EA942D" w14:textId="0BF4E2E3" w:rsidR="00FA2119" w:rsidRDefault="00FA2119" w:rsidP="00FA2119">
      <w:pPr>
        <w:pStyle w:val="ab"/>
        <w:numPr>
          <w:ilvl w:val="0"/>
          <w:numId w:val="57"/>
        </w:numPr>
        <w:rPr>
          <w:rFonts w:cs="Arial"/>
        </w:rPr>
      </w:pPr>
      <w:r w:rsidRPr="00602965">
        <w:rPr>
          <w:rFonts w:cs="Arial"/>
          <w:rtl/>
        </w:rPr>
        <w:t>נו"ב</w:t>
      </w:r>
      <w:r w:rsidRPr="00602965">
        <w:rPr>
          <w:rFonts w:cs="Arial"/>
          <w:sz w:val="16"/>
          <w:szCs w:val="16"/>
          <w:rtl/>
        </w:rPr>
        <w:t xml:space="preserve"> </w:t>
      </w:r>
      <w:r w:rsidRPr="00602965">
        <w:rPr>
          <w:rFonts w:cs="Arial" w:hint="cs"/>
          <w:sz w:val="16"/>
          <w:szCs w:val="16"/>
          <w:rtl/>
        </w:rPr>
        <w:t>(</w:t>
      </w:r>
      <w:r w:rsidRPr="00602965">
        <w:rPr>
          <w:rFonts w:cs="Arial"/>
          <w:sz w:val="16"/>
          <w:szCs w:val="16"/>
          <w:rtl/>
        </w:rPr>
        <w:t>תניינא ס"ס קיג</w:t>
      </w:r>
      <w:r w:rsidRPr="00602965">
        <w:rPr>
          <w:rFonts w:cs="Arial" w:hint="cs"/>
          <w:sz w:val="16"/>
          <w:szCs w:val="16"/>
          <w:rtl/>
        </w:rPr>
        <w:t>)</w:t>
      </w:r>
      <w:r w:rsidR="00A82951">
        <w:rPr>
          <w:rFonts w:cs="Arial" w:hint="cs"/>
          <w:rtl/>
        </w:rPr>
        <w:t>-</w:t>
      </w:r>
      <w:r w:rsidRPr="00602965">
        <w:rPr>
          <w:rFonts w:cs="Arial"/>
          <w:rtl/>
        </w:rPr>
        <w:t xml:space="preserve"> בדבר הגט שהובא ע"י שליח ממקום רחוק ונמצא במלת מותרת התי"ו הראשונה נפסק רגל השמאל ונראית כה"א והראו לינוקא וקרא אותו תי"ו ואמנם האי כבר ידע למקרי ושוב הראו לשני תינוקות קטנים שאינם יודעים לצרף אותיות ולפום ריהטא אמרו שהוא ה"א ותיכף תכ"ד אמרו שהוא תי"ו. וכתב הנה הרמב"ן הוא המחמיר שגם לדידן שכותבים כמה לשונות בגט המורים על הכריתות אפ"ה והרי את מותרת הוא עיקר תורף</w:t>
      </w:r>
      <w:r>
        <w:rPr>
          <w:rFonts w:cs="Arial" w:hint="cs"/>
          <w:rtl/>
        </w:rPr>
        <w:t>,</w:t>
      </w:r>
      <w:r w:rsidRPr="00602965">
        <w:rPr>
          <w:rFonts w:cs="Arial"/>
          <w:rtl/>
        </w:rPr>
        <w:t xml:space="preserve"> אמנם לדעתי זה פשוט כשלא כתב כלל והא"מ הוא שהחמיר הרמב"ן</w:t>
      </w:r>
      <w:r>
        <w:rPr>
          <w:rFonts w:cs="Arial" w:hint="cs"/>
          <w:rtl/>
        </w:rPr>
        <w:t>,</w:t>
      </w:r>
      <w:r w:rsidRPr="00602965">
        <w:rPr>
          <w:rFonts w:cs="Arial"/>
          <w:rtl/>
        </w:rPr>
        <w:t xml:space="preserve"> אבל אם דילג מלת מותרת וכתב והרי את לכל אדם לא החמיר</w:t>
      </w:r>
      <w:r>
        <w:rPr>
          <w:rFonts w:cs="Arial" w:hint="cs"/>
          <w:rtl/>
        </w:rPr>
        <w:t>.</w:t>
      </w:r>
      <w:r w:rsidRPr="00602965">
        <w:rPr>
          <w:rFonts w:cs="Arial"/>
          <w:rtl/>
        </w:rPr>
        <w:t xml:space="preserve"> וא"כ בנ"ד דל תיבה זו לגמרי ומותרת מכח שאר מלות שמועילים</w:t>
      </w:r>
      <w:r>
        <w:rPr>
          <w:rStyle w:val="a7"/>
          <w:rFonts w:cs="Arial"/>
          <w:rtl/>
        </w:rPr>
        <w:footnoteReference w:id="828"/>
      </w:r>
      <w:r w:rsidRPr="00602965">
        <w:rPr>
          <w:rFonts w:cs="Arial"/>
          <w:rtl/>
        </w:rPr>
        <w:t xml:space="preserve"> אכן י"ל כי טעות זה שנעשה מן תי"ו ה"א ונקרא מוהרת גרע יותר כו'</w:t>
      </w:r>
      <w:r>
        <w:rPr>
          <w:rFonts w:cs="Arial" w:hint="cs"/>
          <w:rtl/>
        </w:rPr>
        <w:t>.</w:t>
      </w:r>
      <w:r w:rsidRPr="00602965">
        <w:rPr>
          <w:rFonts w:cs="Arial"/>
          <w:rtl/>
        </w:rPr>
        <w:t xml:space="preserve"> ואף לפ"מ שבארתי בחבורי נו"ב</w:t>
      </w:r>
      <w:r>
        <w:rPr>
          <w:rFonts w:cs="Arial" w:hint="cs"/>
          <w:rtl/>
        </w:rPr>
        <w:t xml:space="preserve">... </w:t>
      </w:r>
      <w:r w:rsidRPr="00602965">
        <w:rPr>
          <w:rFonts w:cs="Arial"/>
          <w:rtl/>
        </w:rPr>
        <w:t>עכ"ז נראה להקל</w:t>
      </w:r>
      <w:r>
        <w:rPr>
          <w:rFonts w:cs="Arial" w:hint="cs"/>
          <w:rtl/>
        </w:rPr>
        <w:t>.</w:t>
      </w:r>
      <w:r w:rsidRPr="00602965">
        <w:rPr>
          <w:rFonts w:cs="Arial"/>
          <w:rtl/>
        </w:rPr>
        <w:t xml:space="preserve"> חדא</w:t>
      </w:r>
      <w:r>
        <w:rPr>
          <w:rFonts w:cs="Arial" w:hint="cs"/>
          <w:rtl/>
        </w:rPr>
        <w:t>,</w:t>
      </w:r>
      <w:r w:rsidRPr="00602965">
        <w:rPr>
          <w:rFonts w:cs="Arial"/>
          <w:rtl/>
        </w:rPr>
        <w:t xml:space="preserve"> דאם מוהרת הכוונה לשון מוהר דהיינו קדושין וכתובה הו"ל לכתוב והרי את רשאה להיות מוהרת</w:t>
      </w:r>
      <w:r>
        <w:rPr>
          <w:rFonts w:cs="Arial" w:hint="cs"/>
          <w:rtl/>
        </w:rPr>
        <w:t>.</w:t>
      </w:r>
      <w:r w:rsidRPr="00602965">
        <w:rPr>
          <w:rFonts w:cs="Arial"/>
          <w:rtl/>
        </w:rPr>
        <w:t xml:space="preserve"> ועוד</w:t>
      </w:r>
      <w:r>
        <w:rPr>
          <w:rFonts w:cs="Arial" w:hint="cs"/>
          <w:rtl/>
        </w:rPr>
        <w:t>,</w:t>
      </w:r>
      <w:r w:rsidRPr="00602965">
        <w:rPr>
          <w:rFonts w:cs="Arial"/>
          <w:rtl/>
        </w:rPr>
        <w:t xml:space="preserve"> כיון שהתינוק הראשון קרא מותרת והשני תינוקות האחרים ג"כ תכ"ד חזרו בהם ואמרו שהוא תיו</w:t>
      </w:r>
      <w:r>
        <w:rPr>
          <w:rFonts w:cs="Arial" w:hint="cs"/>
          <w:rtl/>
        </w:rPr>
        <w:t>.</w:t>
      </w:r>
      <w:r w:rsidRPr="00602965">
        <w:rPr>
          <w:rFonts w:cs="Arial"/>
          <w:rtl/>
        </w:rPr>
        <w:t xml:space="preserve"> לכן דעתי נוטה להקל ולהתיר האשה ע"י גט זה שימסור לה השליח כדת ועל אופן שכתבתי (הובא לעיל סי' קכ"ה סט"ז סקל"ב) שמתחילה ימסרנו כך כמו שהוא</w:t>
      </w:r>
      <w:r>
        <w:rPr>
          <w:rFonts w:cs="Arial" w:hint="cs"/>
          <w:rtl/>
        </w:rPr>
        <w:t>ף</w:t>
      </w:r>
      <w:r w:rsidRPr="00602965">
        <w:rPr>
          <w:rFonts w:cs="Arial"/>
          <w:rtl/>
        </w:rPr>
        <w:t xml:space="preserve"> ואח"כ יתקנו ושוב יתנו שנית ביד האשה בשליחות הבעל כראשונה</w:t>
      </w:r>
      <w:r>
        <w:rPr>
          <w:rFonts w:cs="Arial" w:hint="cs"/>
          <w:rtl/>
        </w:rPr>
        <w:t>.</w:t>
      </w:r>
      <w:r w:rsidRPr="00602965">
        <w:rPr>
          <w:rFonts w:cs="Arial"/>
          <w:rtl/>
        </w:rPr>
        <w:t xml:space="preserve"> </w:t>
      </w:r>
    </w:p>
    <w:p w14:paraId="17437537" w14:textId="592D8DEA" w:rsidR="00FA2119" w:rsidRPr="00602965" w:rsidRDefault="00FA2119" w:rsidP="00FA2119">
      <w:pPr>
        <w:pStyle w:val="ab"/>
        <w:numPr>
          <w:ilvl w:val="0"/>
          <w:numId w:val="57"/>
        </w:numPr>
        <w:rPr>
          <w:rFonts w:cs="Arial"/>
          <w:rtl/>
        </w:rPr>
      </w:pPr>
      <w:r w:rsidRPr="00602965">
        <w:rPr>
          <w:rFonts w:cs="Arial"/>
          <w:rtl/>
        </w:rPr>
        <w:t xml:space="preserve">עה"ג </w:t>
      </w:r>
      <w:r w:rsidRPr="00065921">
        <w:rPr>
          <w:rFonts w:cs="Arial" w:hint="cs"/>
          <w:sz w:val="16"/>
          <w:szCs w:val="16"/>
          <w:rtl/>
        </w:rPr>
        <w:t>(</w:t>
      </w:r>
      <w:r w:rsidRPr="00065921">
        <w:rPr>
          <w:rFonts w:cs="Arial"/>
          <w:sz w:val="16"/>
          <w:szCs w:val="16"/>
          <w:rtl/>
        </w:rPr>
        <w:t>סי</w:t>
      </w:r>
      <w:r w:rsidRPr="00065921">
        <w:rPr>
          <w:rFonts w:cs="Arial" w:hint="cs"/>
          <w:sz w:val="16"/>
          <w:szCs w:val="16"/>
          <w:rtl/>
        </w:rPr>
        <w:t>'</w:t>
      </w:r>
      <w:r w:rsidRPr="00065921">
        <w:rPr>
          <w:rFonts w:cs="Arial"/>
          <w:sz w:val="16"/>
          <w:szCs w:val="16"/>
          <w:rtl/>
        </w:rPr>
        <w:t xml:space="preserve"> מ</w:t>
      </w:r>
      <w:r w:rsidRPr="00065921">
        <w:rPr>
          <w:rFonts w:cs="Arial" w:hint="cs"/>
          <w:sz w:val="16"/>
          <w:szCs w:val="16"/>
          <w:rtl/>
        </w:rPr>
        <w:t>)</w:t>
      </w:r>
      <w:r w:rsidR="00A82951">
        <w:rPr>
          <w:rFonts w:cs="Arial" w:hint="cs"/>
          <w:rtl/>
        </w:rPr>
        <w:t>-</w:t>
      </w:r>
      <w:r w:rsidRPr="00602965">
        <w:rPr>
          <w:rFonts w:cs="Arial"/>
          <w:rtl/>
        </w:rPr>
        <w:t xml:space="preserve"> בדבר הגט שהובא ע"י שליח ונמצא שהיוד שע"ג האל"ף במלת אדם של והא"מ לכל אדם לא היתה נוגעת בגוף האלף</w:t>
      </w:r>
      <w:r>
        <w:rPr>
          <w:rFonts w:cs="Arial" w:hint="cs"/>
          <w:rtl/>
        </w:rPr>
        <w:t xml:space="preserve"> </w:t>
      </w:r>
      <w:r w:rsidR="00A82951">
        <w:rPr>
          <w:rFonts w:cs="Arial" w:hint="cs"/>
          <w:rtl/>
        </w:rPr>
        <w:t>-</w:t>
      </w:r>
      <w:r>
        <w:rPr>
          <w:rFonts w:cs="Arial" w:hint="cs"/>
          <w:rtl/>
        </w:rPr>
        <w:t xml:space="preserve"> </w:t>
      </w:r>
      <w:r w:rsidRPr="00602965">
        <w:rPr>
          <w:rFonts w:cs="Arial"/>
          <w:rtl/>
        </w:rPr>
        <w:t>לכאורה נראה שאם היה בנקל היתה צריכה גט אחר</w:t>
      </w:r>
      <w:r>
        <w:rPr>
          <w:rFonts w:cs="Arial" w:hint="cs"/>
          <w:rtl/>
        </w:rPr>
        <w:t>,</w:t>
      </w:r>
      <w:r w:rsidRPr="00602965">
        <w:rPr>
          <w:rFonts w:cs="Arial"/>
          <w:rtl/>
        </w:rPr>
        <w:t xml:space="preserve"> כמבואר מדברי הב"י הובא לעיל סי' קכ"ה סי"ו בהגה במ"ש שם ואם אינו נוגע מה שראוי ליגע כו' ואם הוא בטופס הגט אפילו בלא עיגון יש להקל</w:t>
      </w:r>
      <w:r>
        <w:rPr>
          <w:rFonts w:cs="Arial" w:hint="cs"/>
          <w:rtl/>
        </w:rPr>
        <w:t>.</w:t>
      </w:r>
      <w:r w:rsidRPr="00602965">
        <w:rPr>
          <w:rFonts w:cs="Arial"/>
          <w:rtl/>
        </w:rPr>
        <w:t xml:space="preserve"> מבואר שאם הוא בתורף שלא במקום עיגון אין להכשיר אפילו בדיעבד</w:t>
      </w:r>
      <w:r>
        <w:rPr>
          <w:rFonts w:cs="Arial" w:hint="cs"/>
          <w:rtl/>
        </w:rPr>
        <w:t>.</w:t>
      </w:r>
      <w:r w:rsidRPr="00602965">
        <w:rPr>
          <w:rFonts w:cs="Arial"/>
          <w:rtl/>
        </w:rPr>
        <w:t xml:space="preserve"> ונ"ד אם הרי את כו' הוא מן התורף מחלוקת ישינה היא</w:t>
      </w:r>
      <w:r>
        <w:rPr>
          <w:rFonts w:cs="Arial" w:hint="cs"/>
          <w:rtl/>
        </w:rPr>
        <w:t>.</w:t>
      </w:r>
      <w:r w:rsidRPr="00602965">
        <w:rPr>
          <w:rFonts w:cs="Arial"/>
          <w:rtl/>
        </w:rPr>
        <w:t xml:space="preserve"> ובתשו' מהריב"ל ח"ג סימן ס"ט חש לדברי הר"ן והרמב"ן דס"ל דהוא מן התורף אף גם שנכתב להתנסבא לכל כו'</w:t>
      </w:r>
      <w:r>
        <w:rPr>
          <w:rFonts w:cs="Arial" w:hint="cs"/>
          <w:rtl/>
        </w:rPr>
        <w:t>,</w:t>
      </w:r>
      <w:r w:rsidRPr="00602965">
        <w:rPr>
          <w:rFonts w:cs="Arial"/>
          <w:rtl/>
        </w:rPr>
        <w:t xml:space="preserve"> א"כ בנ"ד יש להחמיר. אמנם נ"ל דאף לפ"ד הסוברים דהרי את כו' הוא תורף מ"מ מלת אדם אינו מן התורף כי אפשר לומר שאם לא נכתב כלל תיבת אדם הגט כשר דהא הטעם דס"ל דצריך לכתוב הא"מ כדי להורות שמתירה גם לזנות א"כ אף אם לא נכתב אדם רק מותרת לכל הוה נמי משמע שהוא מתירה לזנות וזה נ"ל ברור</w:t>
      </w:r>
      <w:r>
        <w:rPr>
          <w:rStyle w:val="a7"/>
          <w:rFonts w:cs="Arial"/>
          <w:rtl/>
        </w:rPr>
        <w:footnoteReference w:id="829"/>
      </w:r>
      <w:r w:rsidRPr="00BD435D">
        <w:rPr>
          <w:rtl/>
        </w:rPr>
        <w:t>.</w:t>
      </w:r>
    </w:p>
    <w:p w14:paraId="11F483EB" w14:textId="77777777" w:rsidR="00FA2119" w:rsidRDefault="00FA2119" w:rsidP="00FA2119">
      <w:pPr>
        <w:rPr>
          <w:rtl/>
        </w:rPr>
      </w:pPr>
    </w:p>
    <w:p w14:paraId="6C75860A" w14:textId="77777777" w:rsidR="00FA2119" w:rsidRDefault="00FA2119" w:rsidP="00FA2119">
      <w:pPr>
        <w:pStyle w:val="2"/>
        <w:rPr>
          <w:rtl/>
        </w:rPr>
      </w:pPr>
      <w:r>
        <w:rPr>
          <w:rFonts w:hint="cs"/>
          <w:rtl/>
        </w:rPr>
        <w:t>סעיף</w:t>
      </w:r>
      <w:r>
        <w:rPr>
          <w:rtl/>
        </w:rPr>
        <w:t xml:space="preserve"> </w:t>
      </w:r>
      <w:r>
        <w:rPr>
          <w:rFonts w:hint="cs"/>
          <w:rtl/>
        </w:rPr>
        <w:t>מב: מותרת.</w:t>
      </w:r>
    </w:p>
    <w:p w14:paraId="73A42C42" w14:textId="77777777" w:rsidR="00FA2119" w:rsidRDefault="00FA2119" w:rsidP="00FA2119">
      <w:pPr>
        <w:rPr>
          <w:u w:val="single"/>
          <w:rtl/>
        </w:rPr>
      </w:pPr>
      <w:r>
        <w:rPr>
          <w:rFonts w:hint="cs"/>
          <w:u w:val="single"/>
          <w:rtl/>
        </w:rPr>
        <w:t>כתיבת המילה 'מותרת':</w:t>
      </w:r>
    </w:p>
    <w:p w14:paraId="7C42DF47" w14:textId="733C15D6" w:rsidR="00FA2119" w:rsidRPr="00C9640C" w:rsidRDefault="00FA2119" w:rsidP="00FA2119">
      <w:pPr>
        <w:pStyle w:val="ab"/>
        <w:numPr>
          <w:ilvl w:val="0"/>
          <w:numId w:val="57"/>
        </w:numPr>
        <w:rPr>
          <w:rtl/>
        </w:rPr>
      </w:pPr>
      <w:r w:rsidRPr="00BD435D">
        <w:rPr>
          <w:rFonts w:cs="Arial"/>
          <w:rtl/>
        </w:rPr>
        <w:t xml:space="preserve">כל בו </w:t>
      </w:r>
      <w:r w:rsidRPr="00BD435D">
        <w:rPr>
          <w:rFonts w:cs="Arial"/>
          <w:sz w:val="16"/>
          <w:szCs w:val="16"/>
          <w:rtl/>
        </w:rPr>
        <w:t>(שם)</w:t>
      </w:r>
      <w:r w:rsidR="00A82951">
        <w:rPr>
          <w:rFonts w:cs="Arial" w:hint="cs"/>
          <w:rtl/>
        </w:rPr>
        <w:t>-</w:t>
      </w:r>
      <w:r w:rsidRPr="00BD435D">
        <w:rPr>
          <w:rFonts w:cs="Arial"/>
          <w:rtl/>
        </w:rPr>
        <w:t xml:space="preserve"> מותרת בוי"ו</w:t>
      </w:r>
      <w:r>
        <w:rPr>
          <w:rFonts w:cs="Arial" w:hint="cs"/>
          <w:rtl/>
        </w:rPr>
        <w:t>.</w:t>
      </w:r>
    </w:p>
    <w:p w14:paraId="2C7C9803"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2E07040" w14:textId="77777777" w:rsidR="00FA2119" w:rsidRDefault="00FA2119" w:rsidP="00FA2119">
      <w:pPr>
        <w:rPr>
          <w:rtl/>
        </w:rPr>
      </w:pPr>
      <w:r>
        <w:rPr>
          <w:rFonts w:cs="Arial" w:hint="cs"/>
          <w:rtl/>
        </w:rPr>
        <w:t>מותרת</w:t>
      </w:r>
      <w:r>
        <w:rPr>
          <w:rFonts w:cs="Arial"/>
          <w:rtl/>
        </w:rPr>
        <w:t xml:space="preserve">, </w:t>
      </w:r>
      <w:r>
        <w:rPr>
          <w:rFonts w:cs="Arial" w:hint="cs"/>
          <w:rtl/>
        </w:rPr>
        <w:t>בוי</w:t>
      </w:r>
      <w:r>
        <w:rPr>
          <w:rFonts w:cs="Arial"/>
          <w:rtl/>
        </w:rPr>
        <w:t>"</w:t>
      </w:r>
      <w:r>
        <w:rPr>
          <w:rFonts w:cs="Arial" w:hint="cs"/>
          <w:rtl/>
        </w:rPr>
        <w:t>ו</w:t>
      </w:r>
      <w:r>
        <w:rPr>
          <w:rFonts w:cs="Arial"/>
          <w:rtl/>
        </w:rPr>
        <w:t xml:space="preserve">. </w:t>
      </w:r>
    </w:p>
    <w:p w14:paraId="373F13D4" w14:textId="77777777" w:rsidR="00FA2119" w:rsidRDefault="00FA2119" w:rsidP="00FA2119">
      <w:pPr>
        <w:rPr>
          <w:rtl/>
        </w:rPr>
      </w:pPr>
    </w:p>
    <w:p w14:paraId="09E877EC" w14:textId="77777777" w:rsidR="00FA2119" w:rsidRDefault="00FA2119" w:rsidP="00FA2119">
      <w:pPr>
        <w:pStyle w:val="2"/>
        <w:rPr>
          <w:rtl/>
        </w:rPr>
      </w:pPr>
      <w:r>
        <w:rPr>
          <w:rFonts w:hint="cs"/>
          <w:rtl/>
        </w:rPr>
        <w:t>סעיף</w:t>
      </w:r>
      <w:r>
        <w:rPr>
          <w:rtl/>
        </w:rPr>
        <w:t xml:space="preserve"> </w:t>
      </w:r>
      <w:r>
        <w:rPr>
          <w:rFonts w:hint="cs"/>
          <w:rtl/>
        </w:rPr>
        <w:t>מג: די יהוי.</w:t>
      </w:r>
    </w:p>
    <w:p w14:paraId="364D4C49" w14:textId="77777777" w:rsidR="00FA2119" w:rsidRPr="00696FF9" w:rsidRDefault="00FA2119" w:rsidP="00FA2119">
      <w:pPr>
        <w:rPr>
          <w:rtl/>
        </w:rPr>
      </w:pPr>
      <w:r>
        <w:rPr>
          <w:rFonts w:hint="cs"/>
          <w:u w:val="single"/>
          <w:rtl/>
        </w:rPr>
        <w:t>כתיבת התיבות 'די יהוי':</w:t>
      </w:r>
    </w:p>
    <w:p w14:paraId="4E746529" w14:textId="27E9CBF2" w:rsidR="00FA2119" w:rsidRPr="008B53C9" w:rsidRDefault="00FA2119" w:rsidP="00FA2119">
      <w:pPr>
        <w:pStyle w:val="ab"/>
        <w:numPr>
          <w:ilvl w:val="0"/>
          <w:numId w:val="57"/>
        </w:numPr>
      </w:pPr>
      <w:r w:rsidRPr="002D1B98">
        <w:rPr>
          <w:rFonts w:cs="Arial"/>
          <w:rtl/>
        </w:rPr>
        <w:t xml:space="preserve">רי"ף </w:t>
      </w:r>
      <w:r>
        <w:rPr>
          <w:rFonts w:cs="Arial" w:hint="cs"/>
          <w:sz w:val="16"/>
          <w:szCs w:val="16"/>
          <w:rtl/>
        </w:rPr>
        <w:t xml:space="preserve">(מה:) </w:t>
      </w:r>
      <w:r w:rsidRPr="002D1B98">
        <w:rPr>
          <w:rFonts w:cs="Arial"/>
          <w:rtl/>
        </w:rPr>
        <w:t>רמב"ם</w:t>
      </w:r>
      <w:r>
        <w:rPr>
          <w:rFonts w:cs="Arial" w:hint="cs"/>
          <w:sz w:val="16"/>
          <w:szCs w:val="16"/>
          <w:rtl/>
        </w:rPr>
        <w:t xml:space="preserve"> (פ"ד הי"ב)</w:t>
      </w:r>
      <w:r>
        <w:rPr>
          <w:rFonts w:cs="Arial" w:hint="cs"/>
          <w:rtl/>
        </w:rPr>
        <w:t xml:space="preserve"> </w:t>
      </w:r>
      <w:r w:rsidRPr="002D1B98">
        <w:rPr>
          <w:rFonts w:cs="Arial"/>
          <w:rtl/>
        </w:rPr>
        <w:t xml:space="preserve">סמ"ג </w:t>
      </w:r>
      <w:r w:rsidRPr="00F769D3">
        <w:rPr>
          <w:rFonts w:cs="Arial"/>
          <w:sz w:val="16"/>
          <w:szCs w:val="16"/>
          <w:rtl/>
        </w:rPr>
        <w:t>(עשין</w:t>
      </w:r>
      <w:r w:rsidRPr="00F769D3">
        <w:rPr>
          <w:rFonts w:cs="Arial" w:hint="cs"/>
          <w:sz w:val="16"/>
          <w:szCs w:val="16"/>
          <w:rtl/>
        </w:rPr>
        <w:t xml:space="preserve"> נ</w:t>
      </w:r>
      <w:r w:rsidRPr="00F769D3">
        <w:rPr>
          <w:rFonts w:cs="Arial"/>
          <w:sz w:val="16"/>
          <w:szCs w:val="16"/>
          <w:rtl/>
        </w:rPr>
        <w:t>)</w:t>
      </w:r>
      <w:r>
        <w:rPr>
          <w:rFonts w:cs="Arial" w:hint="cs"/>
          <w:rtl/>
        </w:rPr>
        <w:t xml:space="preserve"> ורשב"א </w:t>
      </w:r>
      <w:r>
        <w:rPr>
          <w:rFonts w:cs="Arial" w:hint="cs"/>
          <w:sz w:val="16"/>
          <w:szCs w:val="16"/>
          <w:rtl/>
        </w:rPr>
        <w:t>(ר' שמשון בר אברהם</w:t>
      </w:r>
      <w:r>
        <w:rPr>
          <w:rStyle w:val="a7"/>
          <w:rFonts w:cs="Arial"/>
          <w:sz w:val="16"/>
          <w:szCs w:val="16"/>
          <w:rtl/>
        </w:rPr>
        <w:footnoteReference w:id="830"/>
      </w:r>
      <w:r>
        <w:rPr>
          <w:rFonts w:cs="Arial" w:hint="cs"/>
          <w:sz w:val="16"/>
          <w:szCs w:val="16"/>
          <w:rtl/>
        </w:rPr>
        <w:t>, הביאו המרדכי [סי' תמו])</w:t>
      </w:r>
      <w:r w:rsidR="00A82951">
        <w:rPr>
          <w:rFonts w:cs="Arial" w:hint="cs"/>
          <w:rtl/>
        </w:rPr>
        <w:t>-</w:t>
      </w:r>
      <w:r w:rsidRPr="002D1B98">
        <w:rPr>
          <w:rFonts w:cs="Arial"/>
          <w:rtl/>
        </w:rPr>
        <w:t xml:space="preserve"> די יהוי</w:t>
      </w:r>
      <w:r>
        <w:rPr>
          <w:rFonts w:cs="Arial" w:hint="cs"/>
          <w:rtl/>
        </w:rPr>
        <w:t>,</w:t>
      </w:r>
      <w:r w:rsidRPr="002D1B98">
        <w:rPr>
          <w:rFonts w:cs="Arial"/>
          <w:rtl/>
        </w:rPr>
        <w:t xml:space="preserve"> </w:t>
      </w:r>
      <w:r>
        <w:rPr>
          <w:rFonts w:cs="Arial" w:hint="cs"/>
          <w:rtl/>
        </w:rPr>
        <w:t xml:space="preserve">שתי תיבות, </w:t>
      </w:r>
      <w:r w:rsidRPr="002D1B98">
        <w:rPr>
          <w:rFonts w:cs="Arial"/>
          <w:rtl/>
        </w:rPr>
        <w:t>ג' יודי"ן</w:t>
      </w:r>
      <w:r>
        <w:rPr>
          <w:rFonts w:cs="Arial" w:hint="cs"/>
          <w:rtl/>
        </w:rPr>
        <w:t>.</w:t>
      </w:r>
      <w:r w:rsidRPr="002D1B98">
        <w:rPr>
          <w:rFonts w:cs="Arial"/>
          <w:rtl/>
        </w:rPr>
        <w:t xml:space="preserve"> </w:t>
      </w:r>
      <w:r w:rsidRPr="00D66C16">
        <w:rPr>
          <w:rFonts w:hint="cs"/>
          <w:color w:val="E36C0A" w:themeColor="accent6" w:themeShade="BF"/>
          <w:rtl/>
        </w:rPr>
        <w:t>(וכ"פ בשו"ע)</w:t>
      </w:r>
    </w:p>
    <w:p w14:paraId="6259AB29" w14:textId="2BCA54C8" w:rsidR="00FA2119" w:rsidRDefault="00FA2119" w:rsidP="00FA2119">
      <w:pPr>
        <w:pStyle w:val="ab"/>
        <w:numPr>
          <w:ilvl w:val="0"/>
          <w:numId w:val="57"/>
        </w:numPr>
      </w:pPr>
      <w:r w:rsidRPr="002D1B98">
        <w:rPr>
          <w:rFonts w:cs="Arial"/>
          <w:rtl/>
        </w:rPr>
        <w:t xml:space="preserve">רא"ש </w:t>
      </w:r>
      <w:r>
        <w:rPr>
          <w:rFonts w:cs="Arial" w:hint="cs"/>
          <w:sz w:val="16"/>
          <w:szCs w:val="16"/>
          <w:rtl/>
        </w:rPr>
        <w:t>(סדר הגט</w:t>
      </w:r>
      <w:r>
        <w:rPr>
          <w:rStyle w:val="a7"/>
          <w:rFonts w:cs="Arial"/>
          <w:sz w:val="16"/>
          <w:szCs w:val="16"/>
          <w:rtl/>
        </w:rPr>
        <w:footnoteReference w:id="831"/>
      </w:r>
      <w:r>
        <w:rPr>
          <w:rFonts w:cs="Arial" w:hint="cs"/>
          <w:sz w:val="16"/>
          <w:szCs w:val="16"/>
          <w:rtl/>
        </w:rPr>
        <w:t xml:space="preserve"> ובתשובות)</w:t>
      </w:r>
      <w:r>
        <w:rPr>
          <w:rFonts w:cs="Arial" w:hint="cs"/>
          <w:rtl/>
        </w:rPr>
        <w:t xml:space="preserve"> וטור</w:t>
      </w:r>
      <w:r w:rsidR="00A82951">
        <w:rPr>
          <w:rFonts w:cs="Arial" w:hint="cs"/>
          <w:rtl/>
        </w:rPr>
        <w:t>-</w:t>
      </w:r>
      <w:r>
        <w:rPr>
          <w:rFonts w:cs="Arial" w:hint="cs"/>
          <w:rtl/>
        </w:rPr>
        <w:t xml:space="preserve"> דיהוי,</w:t>
      </w:r>
      <w:r w:rsidRPr="002D1B98">
        <w:rPr>
          <w:rFonts w:cs="Arial"/>
          <w:rtl/>
        </w:rPr>
        <w:t xml:space="preserve"> תיבה אחת בשני יודי"ן</w:t>
      </w:r>
      <w:r>
        <w:rPr>
          <w:rFonts w:cs="Arial" w:hint="cs"/>
          <w:rtl/>
        </w:rPr>
        <w:t>.</w:t>
      </w:r>
      <w:r w:rsidRPr="002D1B98">
        <w:rPr>
          <w:rFonts w:cs="Arial"/>
          <w:rtl/>
        </w:rPr>
        <w:t xml:space="preserve"> </w:t>
      </w:r>
    </w:p>
    <w:p w14:paraId="250838DC" w14:textId="3DA9B223" w:rsidR="00FA2119" w:rsidRDefault="00FA2119" w:rsidP="00FA2119">
      <w:pPr>
        <w:pStyle w:val="ab"/>
        <w:numPr>
          <w:ilvl w:val="0"/>
          <w:numId w:val="57"/>
        </w:numPr>
      </w:pPr>
      <w:r w:rsidRPr="002D1B98">
        <w:rPr>
          <w:rFonts w:cs="Arial"/>
          <w:rtl/>
        </w:rPr>
        <w:t>מרדכי</w:t>
      </w:r>
      <w:r w:rsidRPr="008B53C9">
        <w:rPr>
          <w:rFonts w:cs="Arial"/>
          <w:sz w:val="16"/>
          <w:szCs w:val="16"/>
          <w:rtl/>
        </w:rPr>
        <w:t xml:space="preserve"> (</w:t>
      </w:r>
      <w:r>
        <w:rPr>
          <w:rFonts w:cs="Arial" w:hint="cs"/>
          <w:sz w:val="16"/>
          <w:szCs w:val="16"/>
          <w:rtl/>
        </w:rPr>
        <w:t xml:space="preserve">הלכות הגט </w:t>
      </w:r>
      <w:r w:rsidRPr="008B53C9">
        <w:rPr>
          <w:rFonts w:cs="Arial"/>
          <w:sz w:val="16"/>
          <w:szCs w:val="16"/>
          <w:rtl/>
        </w:rPr>
        <w:t>סי' תנד)</w:t>
      </w:r>
      <w:r w:rsidR="00A82951">
        <w:rPr>
          <w:rFonts w:cs="Arial" w:hint="cs"/>
          <w:rtl/>
        </w:rPr>
        <w:t>-</w:t>
      </w:r>
      <w:r>
        <w:rPr>
          <w:rFonts w:hint="cs"/>
          <w:rtl/>
        </w:rPr>
        <w:t xml:space="preserve"> דייהוי, </w:t>
      </w:r>
      <w:r w:rsidRPr="00AB618C">
        <w:rPr>
          <w:rFonts w:cs="Arial"/>
          <w:rtl/>
        </w:rPr>
        <w:t>ג' יודין</w:t>
      </w:r>
      <w:r>
        <w:rPr>
          <w:rFonts w:hint="cs"/>
          <w:rtl/>
        </w:rPr>
        <w:t>.</w:t>
      </w:r>
    </w:p>
    <w:p w14:paraId="477A1827" w14:textId="77777777" w:rsidR="00FA2119" w:rsidRPr="00AB618C" w:rsidRDefault="00FA2119" w:rsidP="00FA2119">
      <w:pPr>
        <w:ind w:left="360"/>
        <w:rPr>
          <w:u w:val="dotted"/>
        </w:rPr>
      </w:pPr>
      <w:r w:rsidRPr="00AB618C">
        <w:rPr>
          <w:rFonts w:hint="cs"/>
          <w:u w:val="dotted"/>
          <w:rtl/>
        </w:rPr>
        <w:t>ומה הדין אם כתב 'דיהוי':</w:t>
      </w:r>
    </w:p>
    <w:p w14:paraId="31FD6DE8" w14:textId="1DACD8A3" w:rsidR="00FA2119" w:rsidRPr="008B53C9" w:rsidRDefault="00FA2119" w:rsidP="00FA2119">
      <w:pPr>
        <w:pStyle w:val="ab"/>
        <w:numPr>
          <w:ilvl w:val="0"/>
          <w:numId w:val="57"/>
        </w:numPr>
      </w:pPr>
      <w:r>
        <w:rPr>
          <w:rFonts w:cs="Arial" w:hint="cs"/>
          <w:rtl/>
        </w:rPr>
        <w:t xml:space="preserve">רשב"א </w:t>
      </w:r>
      <w:r>
        <w:rPr>
          <w:rFonts w:cs="Arial" w:hint="cs"/>
          <w:sz w:val="16"/>
          <w:szCs w:val="16"/>
          <w:rtl/>
        </w:rPr>
        <w:t>(ר' שמשון בר אברהם, הביאו המרדכי [סי' תמו])</w:t>
      </w:r>
      <w:r w:rsidR="00A82951">
        <w:rPr>
          <w:rFonts w:cs="Arial" w:hint="cs"/>
          <w:rtl/>
        </w:rPr>
        <w:t>-</w:t>
      </w:r>
      <w:r w:rsidRPr="00AB618C">
        <w:rPr>
          <w:rtl/>
        </w:rPr>
        <w:t xml:space="preserve"> </w:t>
      </w:r>
      <w:r w:rsidRPr="00AB618C">
        <w:rPr>
          <w:rFonts w:cs="Arial"/>
          <w:rtl/>
        </w:rPr>
        <w:t>ודיהוי ליכי מנאי שכתבו תיבה אחת ולא כתבו די יהוי ליכי</w:t>
      </w:r>
      <w:r>
        <w:rPr>
          <w:rFonts w:cs="Arial" w:hint="cs"/>
          <w:rtl/>
        </w:rPr>
        <w:t>...</w:t>
      </w:r>
      <w:r w:rsidRPr="00AB618C">
        <w:rPr>
          <w:rFonts w:cs="Arial"/>
          <w:rtl/>
        </w:rPr>
        <w:t xml:space="preserve"> כשר גמור הוא לפי ראות עיני</w:t>
      </w:r>
      <w:r>
        <w:rPr>
          <w:rFonts w:hint="cs"/>
          <w:rtl/>
        </w:rPr>
        <w:t xml:space="preserve">. </w:t>
      </w:r>
      <w:r w:rsidRPr="005D0176">
        <w:rPr>
          <w:rFonts w:hint="cs"/>
          <w:color w:val="00B0F0"/>
          <w:rtl/>
        </w:rPr>
        <w:t>(וכ"פ הרמ"א)</w:t>
      </w:r>
    </w:p>
    <w:p w14:paraId="626E19AC" w14:textId="77777777" w:rsidR="00FA2119" w:rsidRPr="007831E7" w:rsidRDefault="00FA2119" w:rsidP="00FA2119">
      <w:pPr>
        <w:ind w:left="360"/>
        <w:rPr>
          <w:u w:val="dotted"/>
        </w:rPr>
      </w:pPr>
      <w:r w:rsidRPr="007831E7">
        <w:rPr>
          <w:rFonts w:hint="cs"/>
          <w:u w:val="dotted"/>
          <w:rtl/>
        </w:rPr>
        <w:t xml:space="preserve">ומה הדין אם כתב 'דהוי': </w:t>
      </w:r>
    </w:p>
    <w:p w14:paraId="34DBC4C2" w14:textId="0AC26DC7" w:rsidR="00FA2119" w:rsidRPr="008B53C9" w:rsidRDefault="00FA2119" w:rsidP="00FA2119">
      <w:pPr>
        <w:pStyle w:val="ab"/>
        <w:numPr>
          <w:ilvl w:val="0"/>
          <w:numId w:val="57"/>
        </w:numPr>
      </w:pPr>
      <w:r>
        <w:rPr>
          <w:rFonts w:cs="Arial" w:hint="cs"/>
          <w:rtl/>
        </w:rPr>
        <w:t xml:space="preserve">רי"ו </w:t>
      </w:r>
      <w:r w:rsidRPr="007831E7">
        <w:rPr>
          <w:rFonts w:cs="Arial" w:hint="cs"/>
          <w:sz w:val="16"/>
          <w:szCs w:val="16"/>
          <w:rtl/>
        </w:rPr>
        <w:t>(</w:t>
      </w:r>
      <w:r w:rsidRPr="007831E7">
        <w:rPr>
          <w:rFonts w:cs="Arial"/>
          <w:sz w:val="16"/>
          <w:szCs w:val="16"/>
          <w:rtl/>
        </w:rPr>
        <w:t>ח</w:t>
      </w:r>
      <w:r w:rsidRPr="007831E7">
        <w:rPr>
          <w:rFonts w:cs="Arial" w:hint="cs"/>
          <w:sz w:val="16"/>
          <w:szCs w:val="16"/>
          <w:rtl/>
        </w:rPr>
        <w:t>"</w:t>
      </w:r>
      <w:r w:rsidRPr="007831E7">
        <w:rPr>
          <w:rFonts w:cs="Arial"/>
          <w:sz w:val="16"/>
          <w:szCs w:val="16"/>
          <w:rtl/>
        </w:rPr>
        <w:t>ב רה ע"ג)</w:t>
      </w:r>
      <w:r>
        <w:rPr>
          <w:rFonts w:cs="Arial" w:hint="cs"/>
          <w:rtl/>
        </w:rPr>
        <w:t xml:space="preserve"> וריב"ש </w:t>
      </w:r>
      <w:r>
        <w:rPr>
          <w:rFonts w:cs="Arial" w:hint="cs"/>
          <w:sz w:val="16"/>
          <w:szCs w:val="16"/>
          <w:rtl/>
        </w:rPr>
        <w:t>(סי' רה)</w:t>
      </w:r>
      <w:r w:rsidR="00A82951">
        <w:rPr>
          <w:rFonts w:cs="Arial" w:hint="cs"/>
          <w:rtl/>
        </w:rPr>
        <w:t>-</w:t>
      </w:r>
      <w:r>
        <w:rPr>
          <w:rFonts w:cs="Arial" w:hint="cs"/>
          <w:rtl/>
        </w:rPr>
        <w:t xml:space="preserve"> </w:t>
      </w:r>
      <w:r w:rsidRPr="007831E7">
        <w:rPr>
          <w:rFonts w:cs="Arial"/>
          <w:rtl/>
        </w:rPr>
        <w:t>מה שכתוב בגט דהוי במקום דיהוי אינו פסול בשביל זה, דלשון דהוי עקרו לשון הוה ולא לשון עבר. ואע</w:t>
      </w:r>
      <w:r>
        <w:rPr>
          <w:rFonts w:cs="Arial" w:hint="cs"/>
          <w:rtl/>
        </w:rPr>
        <w:t>"</w:t>
      </w:r>
      <w:r w:rsidRPr="007831E7">
        <w:rPr>
          <w:rFonts w:cs="Arial"/>
          <w:rtl/>
        </w:rPr>
        <w:t>פ שלפעמי</w:t>
      </w:r>
      <w:r>
        <w:rPr>
          <w:rFonts w:cs="Arial" w:hint="cs"/>
          <w:rtl/>
        </w:rPr>
        <w:t>ם</w:t>
      </w:r>
      <w:r w:rsidRPr="007831E7">
        <w:rPr>
          <w:rFonts w:cs="Arial"/>
          <w:rtl/>
        </w:rPr>
        <w:t xml:space="preserve"> משתמשין בו בלשון עבר אין היזק בזה</w:t>
      </w:r>
      <w:r>
        <w:rPr>
          <w:rFonts w:cs="Arial" w:hint="cs"/>
          <w:sz w:val="16"/>
          <w:szCs w:val="16"/>
          <w:rtl/>
        </w:rPr>
        <w:t xml:space="preserve"> (ל' הריב"ש)</w:t>
      </w:r>
      <w:r>
        <w:rPr>
          <w:rFonts w:cs="Arial" w:hint="cs"/>
          <w:rtl/>
        </w:rPr>
        <w:t>.</w:t>
      </w:r>
    </w:p>
    <w:p w14:paraId="6E18282E"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FCA6785" w14:textId="77777777" w:rsidR="00FA2119" w:rsidRDefault="00FA2119" w:rsidP="00FA2119">
      <w:pPr>
        <w:rPr>
          <w:rtl/>
        </w:rPr>
      </w:pPr>
      <w:r>
        <w:rPr>
          <w:rFonts w:cs="Arial" w:hint="cs"/>
          <w:rtl/>
        </w:rPr>
        <w:t>די</w:t>
      </w:r>
      <w:r>
        <w:rPr>
          <w:rFonts w:cs="Arial"/>
          <w:rtl/>
        </w:rPr>
        <w:t xml:space="preserve"> </w:t>
      </w:r>
      <w:r>
        <w:rPr>
          <w:rFonts w:cs="Arial" w:hint="cs"/>
          <w:rtl/>
        </w:rPr>
        <w:t>יהוי</w:t>
      </w:r>
      <w:r>
        <w:rPr>
          <w:rFonts w:cs="Arial"/>
          <w:rtl/>
        </w:rPr>
        <w:t xml:space="preserve">, </w:t>
      </w:r>
      <w:r>
        <w:rPr>
          <w:rFonts w:cs="Arial" w:hint="cs"/>
          <w:rtl/>
        </w:rPr>
        <w:t>נהגו</w:t>
      </w:r>
      <w:r>
        <w:rPr>
          <w:rFonts w:cs="Arial"/>
          <w:rtl/>
        </w:rPr>
        <w:t xml:space="preserve"> </w:t>
      </w:r>
      <w:r>
        <w:rPr>
          <w:rFonts w:cs="Arial" w:hint="cs"/>
          <w:rtl/>
        </w:rPr>
        <w:t>לכתבו</w:t>
      </w:r>
      <w:r>
        <w:rPr>
          <w:rFonts w:cs="Arial"/>
          <w:rtl/>
        </w:rPr>
        <w:t xml:space="preserve"> </w:t>
      </w:r>
      <w:r>
        <w:rPr>
          <w:rFonts w:cs="Arial" w:hint="cs"/>
          <w:rtl/>
        </w:rPr>
        <w:t>ב</w:t>
      </w:r>
      <w:r>
        <w:rPr>
          <w:rFonts w:cs="Arial"/>
          <w:rtl/>
        </w:rPr>
        <w:t xml:space="preserve">' </w:t>
      </w:r>
      <w:r>
        <w:rPr>
          <w:rFonts w:cs="Arial" w:hint="cs"/>
          <w:rtl/>
        </w:rPr>
        <w:t>תיבות</w:t>
      </w:r>
      <w:r>
        <w:rPr>
          <w:rFonts w:cs="Arial"/>
          <w:rtl/>
        </w:rPr>
        <w:t xml:space="preserve">. </w:t>
      </w:r>
      <w:r>
        <w:rPr>
          <w:rFonts w:cs="Arial" w:hint="cs"/>
          <w:sz w:val="18"/>
          <w:szCs w:val="18"/>
          <w:rtl/>
        </w:rPr>
        <w:t xml:space="preserve">[הגה] </w:t>
      </w:r>
      <w:r w:rsidRPr="008B53C9">
        <w:rPr>
          <w:rFonts w:cs="Arial" w:hint="cs"/>
          <w:sz w:val="18"/>
          <w:szCs w:val="18"/>
          <w:rtl/>
        </w:rPr>
        <w:t>אמנם</w:t>
      </w:r>
      <w:r w:rsidRPr="008B53C9">
        <w:rPr>
          <w:rFonts w:cs="Arial"/>
          <w:sz w:val="18"/>
          <w:szCs w:val="18"/>
          <w:rtl/>
        </w:rPr>
        <w:t xml:space="preserve"> </w:t>
      </w:r>
      <w:r w:rsidRPr="008B53C9">
        <w:rPr>
          <w:rFonts w:cs="Arial" w:hint="cs"/>
          <w:sz w:val="18"/>
          <w:szCs w:val="18"/>
          <w:rtl/>
        </w:rPr>
        <w:t>אם</w:t>
      </w:r>
      <w:r w:rsidRPr="008B53C9">
        <w:rPr>
          <w:rFonts w:cs="Arial"/>
          <w:sz w:val="18"/>
          <w:szCs w:val="18"/>
          <w:rtl/>
        </w:rPr>
        <w:t xml:space="preserve"> </w:t>
      </w:r>
      <w:r w:rsidRPr="008B53C9">
        <w:rPr>
          <w:rFonts w:cs="Arial" w:hint="cs"/>
          <w:sz w:val="18"/>
          <w:szCs w:val="18"/>
          <w:rtl/>
        </w:rPr>
        <w:t>כתב</w:t>
      </w:r>
      <w:r w:rsidRPr="008B53C9">
        <w:rPr>
          <w:rFonts w:cs="Arial"/>
          <w:sz w:val="18"/>
          <w:szCs w:val="18"/>
          <w:rtl/>
        </w:rPr>
        <w:t xml:space="preserve">: </w:t>
      </w:r>
      <w:r w:rsidRPr="008B53C9">
        <w:rPr>
          <w:rFonts w:cs="Arial" w:hint="cs"/>
          <w:sz w:val="18"/>
          <w:szCs w:val="18"/>
          <w:rtl/>
        </w:rPr>
        <w:t>דיהוי</w:t>
      </w:r>
      <w:r w:rsidRPr="008B53C9">
        <w:rPr>
          <w:rFonts w:cs="Arial"/>
          <w:sz w:val="18"/>
          <w:szCs w:val="18"/>
          <w:rtl/>
        </w:rPr>
        <w:t xml:space="preserve">, </w:t>
      </w:r>
      <w:r w:rsidRPr="008B53C9">
        <w:rPr>
          <w:rFonts w:cs="Arial" w:hint="cs"/>
          <w:sz w:val="18"/>
          <w:szCs w:val="18"/>
          <w:rtl/>
        </w:rPr>
        <w:t>תיבה</w:t>
      </w:r>
      <w:r w:rsidRPr="008B53C9">
        <w:rPr>
          <w:rFonts w:cs="Arial"/>
          <w:sz w:val="18"/>
          <w:szCs w:val="18"/>
          <w:rtl/>
        </w:rPr>
        <w:t xml:space="preserve"> </w:t>
      </w:r>
      <w:r w:rsidRPr="008B53C9">
        <w:rPr>
          <w:rFonts w:cs="Arial" w:hint="cs"/>
          <w:sz w:val="18"/>
          <w:szCs w:val="18"/>
          <w:rtl/>
        </w:rPr>
        <w:t>אחת</w:t>
      </w:r>
      <w:r w:rsidRPr="008B53C9">
        <w:rPr>
          <w:rFonts w:cs="Arial"/>
          <w:sz w:val="18"/>
          <w:szCs w:val="18"/>
          <w:rtl/>
        </w:rPr>
        <w:t xml:space="preserve">, </w:t>
      </w:r>
      <w:r w:rsidRPr="008B53C9">
        <w:rPr>
          <w:rFonts w:cs="Arial" w:hint="cs"/>
          <w:sz w:val="18"/>
          <w:szCs w:val="18"/>
          <w:rtl/>
        </w:rPr>
        <w:t>כשר</w:t>
      </w:r>
      <w:r>
        <w:rPr>
          <w:rFonts w:cs="Arial" w:hint="cs"/>
          <w:sz w:val="18"/>
          <w:szCs w:val="18"/>
          <w:rtl/>
        </w:rPr>
        <w:t xml:space="preserve"> (מרדכי סי' תנד)</w:t>
      </w:r>
      <w:r w:rsidRPr="008B53C9">
        <w:rPr>
          <w:rFonts w:cs="Arial"/>
          <w:sz w:val="18"/>
          <w:szCs w:val="18"/>
          <w:rtl/>
        </w:rPr>
        <w:t xml:space="preserve">. </w:t>
      </w:r>
      <w:r w:rsidRPr="008B53C9">
        <w:rPr>
          <w:rFonts w:cs="Arial" w:hint="cs"/>
          <w:sz w:val="18"/>
          <w:szCs w:val="18"/>
          <w:rtl/>
        </w:rPr>
        <w:t>ואף</w:t>
      </w:r>
      <w:r w:rsidRPr="008B53C9">
        <w:rPr>
          <w:rFonts w:cs="Arial"/>
          <w:sz w:val="18"/>
          <w:szCs w:val="18"/>
          <w:rtl/>
        </w:rPr>
        <w:t xml:space="preserve"> </w:t>
      </w:r>
      <w:r w:rsidRPr="008B53C9">
        <w:rPr>
          <w:rFonts w:cs="Arial" w:hint="cs"/>
          <w:sz w:val="18"/>
          <w:szCs w:val="18"/>
          <w:rtl/>
        </w:rPr>
        <w:t>אם</w:t>
      </w:r>
      <w:r w:rsidRPr="008B53C9">
        <w:rPr>
          <w:rFonts w:cs="Arial"/>
          <w:sz w:val="18"/>
          <w:szCs w:val="18"/>
          <w:rtl/>
        </w:rPr>
        <w:t xml:space="preserve"> </w:t>
      </w:r>
      <w:r w:rsidRPr="008B53C9">
        <w:rPr>
          <w:rFonts w:cs="Arial" w:hint="cs"/>
          <w:sz w:val="18"/>
          <w:szCs w:val="18"/>
          <w:rtl/>
        </w:rPr>
        <w:t>לא</w:t>
      </w:r>
      <w:r w:rsidRPr="008B53C9">
        <w:rPr>
          <w:rFonts w:cs="Arial"/>
          <w:sz w:val="18"/>
          <w:szCs w:val="18"/>
          <w:rtl/>
        </w:rPr>
        <w:t xml:space="preserve"> </w:t>
      </w:r>
      <w:r w:rsidRPr="008B53C9">
        <w:rPr>
          <w:rFonts w:cs="Arial" w:hint="cs"/>
          <w:sz w:val="18"/>
          <w:szCs w:val="18"/>
          <w:rtl/>
        </w:rPr>
        <w:t>כתב</w:t>
      </w:r>
      <w:r w:rsidRPr="008B53C9">
        <w:rPr>
          <w:rFonts w:cs="Arial"/>
          <w:sz w:val="18"/>
          <w:szCs w:val="18"/>
          <w:rtl/>
        </w:rPr>
        <w:t xml:space="preserve"> </w:t>
      </w:r>
      <w:r w:rsidRPr="008B53C9">
        <w:rPr>
          <w:rFonts w:cs="Arial" w:hint="cs"/>
          <w:sz w:val="18"/>
          <w:szCs w:val="18"/>
          <w:rtl/>
        </w:rPr>
        <w:t>רק</w:t>
      </w:r>
      <w:r w:rsidRPr="008B53C9">
        <w:rPr>
          <w:rFonts w:cs="Arial"/>
          <w:sz w:val="18"/>
          <w:szCs w:val="18"/>
          <w:rtl/>
        </w:rPr>
        <w:t xml:space="preserve">: </w:t>
      </w:r>
      <w:r w:rsidRPr="008B53C9">
        <w:rPr>
          <w:rFonts w:cs="Arial" w:hint="cs"/>
          <w:sz w:val="18"/>
          <w:szCs w:val="18"/>
          <w:rtl/>
        </w:rPr>
        <w:t>דהוי</w:t>
      </w:r>
      <w:r w:rsidRPr="008B53C9">
        <w:rPr>
          <w:rFonts w:cs="Arial"/>
          <w:sz w:val="18"/>
          <w:szCs w:val="18"/>
          <w:rtl/>
        </w:rPr>
        <w:t xml:space="preserve">, </w:t>
      </w:r>
      <w:r w:rsidRPr="008B53C9">
        <w:rPr>
          <w:rFonts w:cs="Arial" w:hint="cs"/>
          <w:sz w:val="18"/>
          <w:szCs w:val="18"/>
          <w:rtl/>
        </w:rPr>
        <w:t>כשר</w:t>
      </w:r>
      <w:r w:rsidRPr="008B53C9">
        <w:rPr>
          <w:rFonts w:cs="Arial"/>
          <w:sz w:val="18"/>
          <w:szCs w:val="18"/>
          <w:rtl/>
        </w:rPr>
        <w:t xml:space="preserve"> (</w:t>
      </w:r>
      <w:r>
        <w:rPr>
          <w:rFonts w:cs="Arial" w:hint="cs"/>
          <w:sz w:val="18"/>
          <w:szCs w:val="18"/>
          <w:rtl/>
        </w:rPr>
        <w:t>ריב"ש ורי"ו</w:t>
      </w:r>
      <w:r w:rsidRPr="008B53C9">
        <w:rPr>
          <w:rFonts w:cs="Arial"/>
          <w:sz w:val="18"/>
          <w:szCs w:val="18"/>
          <w:rtl/>
        </w:rPr>
        <w:t xml:space="preserve">), </w:t>
      </w:r>
      <w:r w:rsidRPr="008B53C9">
        <w:rPr>
          <w:rFonts w:cs="Arial" w:hint="cs"/>
          <w:sz w:val="18"/>
          <w:szCs w:val="18"/>
          <w:rtl/>
        </w:rPr>
        <w:t>בשעת</w:t>
      </w:r>
      <w:r w:rsidRPr="008B53C9">
        <w:rPr>
          <w:rFonts w:cs="Arial"/>
          <w:sz w:val="18"/>
          <w:szCs w:val="18"/>
          <w:rtl/>
        </w:rPr>
        <w:t xml:space="preserve"> </w:t>
      </w:r>
      <w:r w:rsidRPr="008B53C9">
        <w:rPr>
          <w:rFonts w:cs="Arial" w:hint="cs"/>
          <w:sz w:val="18"/>
          <w:szCs w:val="18"/>
          <w:rtl/>
        </w:rPr>
        <w:t>הדחק</w:t>
      </w:r>
      <w:r w:rsidRPr="008B53C9">
        <w:rPr>
          <w:rFonts w:cs="Arial"/>
          <w:sz w:val="18"/>
          <w:szCs w:val="18"/>
          <w:rtl/>
        </w:rPr>
        <w:t xml:space="preserve"> </w:t>
      </w:r>
      <w:r w:rsidRPr="008B53C9">
        <w:rPr>
          <w:rFonts w:cs="Arial" w:hint="cs"/>
          <w:sz w:val="18"/>
          <w:szCs w:val="18"/>
          <w:rtl/>
        </w:rPr>
        <w:t>במקום</w:t>
      </w:r>
      <w:r w:rsidRPr="008B53C9">
        <w:rPr>
          <w:rFonts w:cs="Arial"/>
          <w:sz w:val="18"/>
          <w:szCs w:val="18"/>
          <w:rtl/>
        </w:rPr>
        <w:t xml:space="preserve"> </w:t>
      </w:r>
      <w:r w:rsidRPr="008B53C9">
        <w:rPr>
          <w:rFonts w:cs="Arial" w:hint="cs"/>
          <w:sz w:val="18"/>
          <w:szCs w:val="18"/>
          <w:rtl/>
        </w:rPr>
        <w:t>עיגון</w:t>
      </w:r>
      <w:r w:rsidRPr="008B53C9">
        <w:rPr>
          <w:rFonts w:cs="Arial"/>
          <w:sz w:val="18"/>
          <w:szCs w:val="18"/>
          <w:rtl/>
        </w:rPr>
        <w:t xml:space="preserve"> (</w:t>
      </w:r>
      <w:r>
        <w:rPr>
          <w:rFonts w:cs="Arial" w:hint="cs"/>
          <w:sz w:val="18"/>
          <w:szCs w:val="18"/>
          <w:rtl/>
        </w:rPr>
        <w:t>ד"ע</w:t>
      </w:r>
      <w:r w:rsidRPr="008B53C9">
        <w:rPr>
          <w:rFonts w:cs="Arial"/>
          <w:sz w:val="18"/>
          <w:szCs w:val="18"/>
          <w:rtl/>
        </w:rPr>
        <w:t>).</w:t>
      </w:r>
      <w:r>
        <w:rPr>
          <w:rFonts w:cs="Arial"/>
          <w:rtl/>
        </w:rPr>
        <w:t xml:space="preserve"> </w:t>
      </w:r>
    </w:p>
    <w:p w14:paraId="02F22812" w14:textId="77777777" w:rsidR="00FA2119" w:rsidRDefault="00FA2119" w:rsidP="00FA2119">
      <w:pPr>
        <w:rPr>
          <w:rtl/>
        </w:rPr>
      </w:pPr>
    </w:p>
    <w:p w14:paraId="1EF7EA58" w14:textId="77777777" w:rsidR="00FA2119" w:rsidRDefault="00FA2119" w:rsidP="00FA2119">
      <w:pPr>
        <w:pStyle w:val="2"/>
        <w:rPr>
          <w:rtl/>
        </w:rPr>
      </w:pPr>
      <w:r>
        <w:rPr>
          <w:rFonts w:hint="cs"/>
          <w:rtl/>
        </w:rPr>
        <w:t>סעיף</w:t>
      </w:r>
      <w:r>
        <w:rPr>
          <w:rtl/>
        </w:rPr>
        <w:t xml:space="preserve"> </w:t>
      </w:r>
      <w:r>
        <w:rPr>
          <w:rFonts w:hint="cs"/>
          <w:rtl/>
        </w:rPr>
        <w:t>מד: מנאי.</w:t>
      </w:r>
    </w:p>
    <w:p w14:paraId="27E60777" w14:textId="77777777" w:rsidR="00FA2119" w:rsidRPr="00B81CEC" w:rsidRDefault="00FA2119" w:rsidP="00FA2119">
      <w:pPr>
        <w:rPr>
          <w:rtl/>
        </w:rPr>
      </w:pPr>
      <w:r>
        <w:rPr>
          <w:rFonts w:hint="cs"/>
          <w:u w:val="single"/>
          <w:rtl/>
        </w:rPr>
        <w:t>כתיבת המילה 'מנאי':</w:t>
      </w:r>
    </w:p>
    <w:p w14:paraId="3EB93460" w14:textId="1A69D282" w:rsidR="00FA2119" w:rsidRPr="00B95B24" w:rsidRDefault="00FA2119" w:rsidP="00FA2119">
      <w:pPr>
        <w:pStyle w:val="ab"/>
        <w:numPr>
          <w:ilvl w:val="0"/>
          <w:numId w:val="57"/>
        </w:numPr>
      </w:pPr>
      <w:r>
        <w:rPr>
          <w:rFonts w:cs="Arial" w:hint="cs"/>
          <w:rtl/>
        </w:rPr>
        <w:t xml:space="preserve">רמב"ם </w:t>
      </w:r>
      <w:r>
        <w:rPr>
          <w:rFonts w:cs="Arial" w:hint="cs"/>
          <w:sz w:val="16"/>
          <w:szCs w:val="16"/>
          <w:rtl/>
        </w:rPr>
        <w:t xml:space="preserve">(פ"ד הי"ב) </w:t>
      </w:r>
      <w:r>
        <w:rPr>
          <w:rFonts w:cs="Arial" w:hint="cs"/>
          <w:rtl/>
        </w:rPr>
        <w:t>מרדכי</w:t>
      </w:r>
      <w:r>
        <w:rPr>
          <w:rFonts w:cs="Arial" w:hint="cs"/>
          <w:sz w:val="16"/>
          <w:szCs w:val="16"/>
          <w:rtl/>
        </w:rPr>
        <w:t xml:space="preserve"> (סי' תנד)</w:t>
      </w:r>
      <w:r>
        <w:rPr>
          <w:rFonts w:cs="Arial" w:hint="cs"/>
          <w:rtl/>
        </w:rPr>
        <w:t xml:space="preserve"> כלבו</w:t>
      </w:r>
      <w:r>
        <w:rPr>
          <w:rFonts w:cs="Arial" w:hint="cs"/>
          <w:sz w:val="16"/>
          <w:szCs w:val="16"/>
          <w:rtl/>
        </w:rPr>
        <w:t xml:space="preserve"> (שם)</w:t>
      </w:r>
      <w:r>
        <w:rPr>
          <w:rFonts w:cs="Arial" w:hint="cs"/>
          <w:rtl/>
        </w:rPr>
        <w:t xml:space="preserve"> ורא"ש </w:t>
      </w:r>
      <w:r>
        <w:rPr>
          <w:rFonts w:cs="Arial" w:hint="cs"/>
          <w:sz w:val="16"/>
          <w:szCs w:val="16"/>
          <w:rtl/>
        </w:rPr>
        <w:t>(טופס הגט בתשובות)</w:t>
      </w:r>
      <w:r w:rsidR="00A82951">
        <w:rPr>
          <w:rFonts w:cs="Arial" w:hint="cs"/>
          <w:rtl/>
        </w:rPr>
        <w:t>-</w:t>
      </w:r>
      <w:r>
        <w:rPr>
          <w:rFonts w:cs="Arial" w:hint="cs"/>
          <w:rtl/>
        </w:rPr>
        <w:t xml:space="preserve"> </w:t>
      </w:r>
      <w:r w:rsidRPr="00B95B24">
        <w:rPr>
          <w:rFonts w:cs="Arial"/>
          <w:rtl/>
        </w:rPr>
        <w:t>מנאי בלא יו"ד בין מ"ם לנו"ן</w:t>
      </w:r>
      <w:r>
        <w:rPr>
          <w:rFonts w:cs="Arial" w:hint="cs"/>
          <w:rtl/>
        </w:rPr>
        <w:t>.</w:t>
      </w:r>
      <w:r w:rsidRPr="00B95B24">
        <w:rPr>
          <w:rFonts w:cs="Arial"/>
          <w:rtl/>
        </w:rPr>
        <w:t xml:space="preserve"> </w:t>
      </w:r>
    </w:p>
    <w:p w14:paraId="621B200A" w14:textId="4836BE47" w:rsidR="00FA2119" w:rsidRPr="00B95B24" w:rsidRDefault="00FA2119" w:rsidP="00FA2119">
      <w:pPr>
        <w:pStyle w:val="ab"/>
        <w:numPr>
          <w:ilvl w:val="0"/>
          <w:numId w:val="57"/>
        </w:numPr>
      </w:pPr>
      <w:r>
        <w:rPr>
          <w:rFonts w:cs="Arial" w:hint="cs"/>
          <w:rtl/>
        </w:rPr>
        <w:t>רי"ף</w:t>
      </w:r>
      <w:r w:rsidRPr="00F144D0">
        <w:rPr>
          <w:rStyle w:val="a7"/>
          <w:rFonts w:cs="Arial"/>
          <w:rtl/>
        </w:rPr>
        <w:footnoteReference w:id="832"/>
      </w:r>
      <w:r>
        <w:rPr>
          <w:rFonts w:cs="Arial" w:hint="cs"/>
          <w:rtl/>
        </w:rPr>
        <w:t xml:space="preserve"> </w:t>
      </w:r>
      <w:r>
        <w:rPr>
          <w:rFonts w:cs="Arial" w:hint="cs"/>
          <w:sz w:val="16"/>
          <w:szCs w:val="16"/>
          <w:rtl/>
        </w:rPr>
        <w:t>(מד:)</w:t>
      </w:r>
      <w:r>
        <w:rPr>
          <w:rFonts w:cs="Arial" w:hint="cs"/>
          <w:rtl/>
        </w:rPr>
        <w:t xml:space="preserve"> סמ"ג </w:t>
      </w:r>
      <w:r>
        <w:rPr>
          <w:rFonts w:cs="Arial" w:hint="cs"/>
          <w:sz w:val="16"/>
          <w:szCs w:val="16"/>
          <w:rtl/>
        </w:rPr>
        <w:t>(עשין נ)</w:t>
      </w:r>
      <w:r>
        <w:rPr>
          <w:rFonts w:cs="Arial" w:hint="cs"/>
          <w:rtl/>
        </w:rPr>
        <w:t xml:space="preserve"> רא"ש </w:t>
      </w:r>
      <w:r>
        <w:rPr>
          <w:rFonts w:cs="Arial" w:hint="cs"/>
          <w:sz w:val="16"/>
          <w:szCs w:val="16"/>
          <w:rtl/>
        </w:rPr>
        <w:t>(סדר הגט בפסקים)</w:t>
      </w:r>
      <w:r>
        <w:rPr>
          <w:rFonts w:cs="Arial" w:hint="cs"/>
          <w:rtl/>
        </w:rPr>
        <w:t xml:space="preserve"> וטור</w:t>
      </w:r>
      <w:r w:rsidR="00A82951">
        <w:rPr>
          <w:rFonts w:cs="Arial" w:hint="cs"/>
          <w:rtl/>
        </w:rPr>
        <w:t>-</w:t>
      </w:r>
      <w:r>
        <w:rPr>
          <w:rFonts w:cs="Arial" w:hint="cs"/>
          <w:rtl/>
        </w:rPr>
        <w:t xml:space="preserve"> מינאי. </w:t>
      </w:r>
    </w:p>
    <w:p w14:paraId="45A8FF51" w14:textId="4E90CE9E" w:rsidR="00FA2119" w:rsidRPr="00C9640C" w:rsidRDefault="00FA2119" w:rsidP="00FA2119">
      <w:pPr>
        <w:pStyle w:val="ab"/>
        <w:numPr>
          <w:ilvl w:val="1"/>
          <w:numId w:val="57"/>
        </w:numPr>
        <w:rPr>
          <w:rtl/>
        </w:rPr>
      </w:pPr>
      <w:r>
        <w:rPr>
          <w:rFonts w:cs="Arial" w:hint="cs"/>
          <w:rtl/>
        </w:rPr>
        <w:t>ב"י</w:t>
      </w:r>
      <w:r w:rsidR="00A82951">
        <w:rPr>
          <w:rFonts w:cs="Arial" w:hint="cs"/>
          <w:rtl/>
        </w:rPr>
        <w:t>-</w:t>
      </w:r>
      <w:r>
        <w:rPr>
          <w:rFonts w:cs="Arial" w:hint="cs"/>
          <w:rtl/>
        </w:rPr>
        <w:t xml:space="preserve"> </w:t>
      </w:r>
      <w:r w:rsidRPr="00B95B24">
        <w:rPr>
          <w:rFonts w:cs="Arial"/>
          <w:rtl/>
        </w:rPr>
        <w:t>המנהג לכתבו בלא יו"ד</w:t>
      </w:r>
      <w:r>
        <w:rPr>
          <w:rStyle w:val="a7"/>
          <w:rFonts w:cs="Arial"/>
          <w:rtl/>
        </w:rPr>
        <w:footnoteReference w:id="833"/>
      </w:r>
      <w:r>
        <w:rPr>
          <w:rFonts w:cs="Arial" w:hint="cs"/>
          <w:rtl/>
        </w:rPr>
        <w:t xml:space="preserve">. </w:t>
      </w:r>
      <w:r w:rsidRPr="00F144D0">
        <w:rPr>
          <w:rFonts w:cs="Arial" w:hint="cs"/>
          <w:color w:val="E36C0A" w:themeColor="accent6" w:themeShade="BF"/>
          <w:rtl/>
        </w:rPr>
        <w:t>(וכ"פ בשו"ע)</w:t>
      </w:r>
    </w:p>
    <w:p w14:paraId="7F579E8A"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F6A0559" w14:textId="77777777" w:rsidR="00FA2119" w:rsidRDefault="00FA2119" w:rsidP="00FA2119">
      <w:pPr>
        <w:rPr>
          <w:rtl/>
        </w:rPr>
      </w:pPr>
      <w:r>
        <w:rPr>
          <w:rFonts w:cs="Arial" w:hint="cs"/>
          <w:rtl/>
        </w:rPr>
        <w:lastRenderedPageBreak/>
        <w:t>מנאי</w:t>
      </w:r>
      <w:r>
        <w:rPr>
          <w:rFonts w:cs="Arial"/>
          <w:rtl/>
        </w:rPr>
        <w:t xml:space="preserve">, </w:t>
      </w:r>
      <w:r>
        <w:rPr>
          <w:rFonts w:cs="Arial" w:hint="cs"/>
          <w:rtl/>
        </w:rPr>
        <w:t>נהגו</w:t>
      </w:r>
      <w:r>
        <w:rPr>
          <w:rFonts w:cs="Arial"/>
          <w:rtl/>
        </w:rPr>
        <w:t xml:space="preserve"> </w:t>
      </w:r>
      <w:r>
        <w:rPr>
          <w:rFonts w:cs="Arial" w:hint="cs"/>
          <w:rtl/>
        </w:rPr>
        <w:t>לכתבו</w:t>
      </w:r>
      <w:r>
        <w:rPr>
          <w:rFonts w:cs="Arial"/>
          <w:rtl/>
        </w:rPr>
        <w:t xml:space="preserve"> </w:t>
      </w:r>
      <w:r>
        <w:rPr>
          <w:rFonts w:cs="Arial" w:hint="cs"/>
          <w:rtl/>
        </w:rPr>
        <w:t>בלא</w:t>
      </w:r>
      <w:r>
        <w:rPr>
          <w:rFonts w:cs="Arial"/>
          <w:rtl/>
        </w:rPr>
        <w:t xml:space="preserve"> </w:t>
      </w:r>
      <w:r>
        <w:rPr>
          <w:rFonts w:cs="Arial" w:hint="cs"/>
          <w:rtl/>
        </w:rPr>
        <w:t>יו</w:t>
      </w:r>
      <w:r>
        <w:rPr>
          <w:rFonts w:cs="Arial"/>
          <w:rtl/>
        </w:rPr>
        <w:t>"</w:t>
      </w:r>
      <w:r>
        <w:rPr>
          <w:rFonts w:cs="Arial" w:hint="cs"/>
          <w:rtl/>
        </w:rPr>
        <w:t>ד</w:t>
      </w:r>
      <w:r>
        <w:rPr>
          <w:rStyle w:val="a7"/>
          <w:rFonts w:cs="Arial"/>
          <w:rtl/>
        </w:rPr>
        <w:footnoteReference w:id="834"/>
      </w:r>
      <w:r>
        <w:rPr>
          <w:rFonts w:cs="Arial"/>
          <w:rtl/>
        </w:rPr>
        <w:t xml:space="preserve"> </w:t>
      </w:r>
      <w:r>
        <w:rPr>
          <w:rFonts w:cs="Arial" w:hint="cs"/>
          <w:rtl/>
        </w:rPr>
        <w:t>אחר</w:t>
      </w:r>
      <w:r>
        <w:rPr>
          <w:rFonts w:cs="Arial"/>
          <w:rtl/>
        </w:rPr>
        <w:t xml:space="preserve"> </w:t>
      </w:r>
      <w:r>
        <w:rPr>
          <w:rFonts w:cs="Arial" w:hint="cs"/>
          <w:rtl/>
        </w:rPr>
        <w:t>המ</w:t>
      </w:r>
      <w:r>
        <w:rPr>
          <w:rFonts w:cs="Arial"/>
          <w:rtl/>
        </w:rPr>
        <w:t>"</w:t>
      </w:r>
      <w:r>
        <w:rPr>
          <w:rFonts w:cs="Arial" w:hint="cs"/>
          <w:rtl/>
        </w:rPr>
        <w:t>ם</w:t>
      </w:r>
      <w:r>
        <w:rPr>
          <w:rStyle w:val="a7"/>
          <w:rFonts w:cs="Arial"/>
          <w:rtl/>
        </w:rPr>
        <w:footnoteReference w:id="835"/>
      </w:r>
      <w:r>
        <w:rPr>
          <w:rFonts w:cs="Arial"/>
          <w:rtl/>
        </w:rPr>
        <w:t xml:space="preserve">. </w:t>
      </w:r>
      <w:r>
        <w:rPr>
          <w:rFonts w:cs="Arial" w:hint="cs"/>
          <w:sz w:val="18"/>
          <w:szCs w:val="18"/>
          <w:rtl/>
        </w:rPr>
        <w:t xml:space="preserve">[הגה] </w:t>
      </w:r>
      <w:r w:rsidRPr="00F144D0">
        <w:rPr>
          <w:rFonts w:cs="Arial" w:hint="cs"/>
          <w:sz w:val="18"/>
          <w:szCs w:val="18"/>
          <w:rtl/>
        </w:rPr>
        <w:t>ואם</w:t>
      </w:r>
      <w:r w:rsidRPr="00F144D0">
        <w:rPr>
          <w:rFonts w:cs="Arial"/>
          <w:sz w:val="18"/>
          <w:szCs w:val="18"/>
          <w:rtl/>
        </w:rPr>
        <w:t xml:space="preserve"> </w:t>
      </w:r>
      <w:r w:rsidRPr="00F144D0">
        <w:rPr>
          <w:rFonts w:cs="Arial" w:hint="cs"/>
          <w:sz w:val="18"/>
          <w:szCs w:val="18"/>
          <w:rtl/>
        </w:rPr>
        <w:t>כתב</w:t>
      </w:r>
      <w:r w:rsidRPr="00F144D0">
        <w:rPr>
          <w:rFonts w:cs="Arial"/>
          <w:sz w:val="18"/>
          <w:szCs w:val="18"/>
          <w:rtl/>
        </w:rPr>
        <w:t xml:space="preserve"> </w:t>
      </w:r>
      <w:r w:rsidRPr="00F144D0">
        <w:rPr>
          <w:rFonts w:cs="Arial" w:hint="cs"/>
          <w:sz w:val="18"/>
          <w:szCs w:val="18"/>
          <w:rtl/>
        </w:rPr>
        <w:t>יו</w:t>
      </w:r>
      <w:r w:rsidRPr="00F144D0">
        <w:rPr>
          <w:rFonts w:cs="Arial"/>
          <w:sz w:val="18"/>
          <w:szCs w:val="18"/>
          <w:rtl/>
        </w:rPr>
        <w:t>"</w:t>
      </w:r>
      <w:r w:rsidRPr="00F144D0">
        <w:rPr>
          <w:rFonts w:cs="Arial" w:hint="cs"/>
          <w:sz w:val="18"/>
          <w:szCs w:val="18"/>
          <w:rtl/>
        </w:rPr>
        <w:t>ד</w:t>
      </w:r>
      <w:r w:rsidRPr="00F144D0">
        <w:rPr>
          <w:rFonts w:cs="Arial"/>
          <w:sz w:val="18"/>
          <w:szCs w:val="18"/>
          <w:rtl/>
        </w:rPr>
        <w:t xml:space="preserve"> </w:t>
      </w:r>
      <w:r w:rsidRPr="00F144D0">
        <w:rPr>
          <w:rFonts w:cs="Arial" w:hint="cs"/>
          <w:sz w:val="18"/>
          <w:szCs w:val="18"/>
          <w:rtl/>
        </w:rPr>
        <w:t>אחר</w:t>
      </w:r>
      <w:r w:rsidRPr="00F144D0">
        <w:rPr>
          <w:rFonts w:cs="Arial"/>
          <w:sz w:val="18"/>
          <w:szCs w:val="18"/>
          <w:rtl/>
        </w:rPr>
        <w:t xml:space="preserve"> </w:t>
      </w:r>
      <w:r w:rsidRPr="00F144D0">
        <w:rPr>
          <w:rFonts w:cs="Arial" w:hint="cs"/>
          <w:sz w:val="18"/>
          <w:szCs w:val="18"/>
          <w:rtl/>
        </w:rPr>
        <w:t>המ</w:t>
      </w:r>
      <w:r w:rsidRPr="00F144D0">
        <w:rPr>
          <w:rFonts w:cs="Arial"/>
          <w:sz w:val="18"/>
          <w:szCs w:val="18"/>
          <w:rtl/>
        </w:rPr>
        <w:t>"</w:t>
      </w:r>
      <w:r w:rsidRPr="00F144D0">
        <w:rPr>
          <w:rFonts w:cs="Arial" w:hint="cs"/>
          <w:sz w:val="18"/>
          <w:szCs w:val="18"/>
          <w:rtl/>
        </w:rPr>
        <w:t>ם</w:t>
      </w:r>
      <w:r w:rsidRPr="00F144D0">
        <w:rPr>
          <w:rFonts w:cs="Arial"/>
          <w:sz w:val="18"/>
          <w:szCs w:val="18"/>
          <w:rtl/>
        </w:rPr>
        <w:t xml:space="preserve">, </w:t>
      </w:r>
      <w:r w:rsidRPr="00F144D0">
        <w:rPr>
          <w:rFonts w:cs="Arial" w:hint="cs"/>
          <w:sz w:val="18"/>
          <w:szCs w:val="18"/>
          <w:rtl/>
        </w:rPr>
        <w:t>לא</w:t>
      </w:r>
      <w:r w:rsidRPr="00F144D0">
        <w:rPr>
          <w:rFonts w:cs="Arial"/>
          <w:sz w:val="18"/>
          <w:szCs w:val="18"/>
          <w:rtl/>
        </w:rPr>
        <w:t xml:space="preserve"> </w:t>
      </w:r>
      <w:r w:rsidRPr="00F144D0">
        <w:rPr>
          <w:rFonts w:cs="Arial" w:hint="cs"/>
          <w:sz w:val="18"/>
          <w:szCs w:val="18"/>
          <w:rtl/>
        </w:rPr>
        <w:t>נפסל</w:t>
      </w:r>
      <w:r w:rsidRPr="00F144D0">
        <w:rPr>
          <w:rFonts w:cs="Arial"/>
          <w:sz w:val="18"/>
          <w:szCs w:val="18"/>
          <w:rtl/>
        </w:rPr>
        <w:t xml:space="preserve"> </w:t>
      </w:r>
      <w:r w:rsidRPr="00F144D0">
        <w:rPr>
          <w:rFonts w:cs="Arial" w:hint="cs"/>
          <w:sz w:val="18"/>
          <w:szCs w:val="18"/>
          <w:rtl/>
        </w:rPr>
        <w:t>בדיעבד</w:t>
      </w:r>
      <w:r w:rsidRPr="00F144D0">
        <w:rPr>
          <w:rFonts w:cs="Arial"/>
          <w:sz w:val="18"/>
          <w:szCs w:val="18"/>
          <w:rtl/>
        </w:rPr>
        <w:t xml:space="preserve"> (</w:t>
      </w:r>
      <w:r>
        <w:rPr>
          <w:rFonts w:cs="Arial" w:hint="cs"/>
          <w:sz w:val="18"/>
          <w:szCs w:val="18"/>
          <w:rtl/>
        </w:rPr>
        <w:t>תיקון ישן</w:t>
      </w:r>
      <w:r w:rsidRPr="00F144D0">
        <w:rPr>
          <w:rFonts w:cs="Arial"/>
          <w:sz w:val="18"/>
          <w:szCs w:val="18"/>
          <w:rtl/>
        </w:rPr>
        <w:t>).</w:t>
      </w:r>
      <w:r>
        <w:rPr>
          <w:rFonts w:cs="Arial"/>
          <w:rtl/>
        </w:rPr>
        <w:t xml:space="preserve"> </w:t>
      </w:r>
    </w:p>
    <w:p w14:paraId="015C12DC" w14:textId="77777777" w:rsidR="00FA2119" w:rsidRDefault="00FA2119" w:rsidP="00FA2119">
      <w:pPr>
        <w:rPr>
          <w:rtl/>
        </w:rPr>
      </w:pPr>
    </w:p>
    <w:p w14:paraId="444C2823" w14:textId="77777777" w:rsidR="00FA2119" w:rsidRDefault="00FA2119" w:rsidP="00FA2119">
      <w:pPr>
        <w:pStyle w:val="2"/>
        <w:rPr>
          <w:rtl/>
        </w:rPr>
      </w:pPr>
      <w:r>
        <w:rPr>
          <w:rFonts w:hint="cs"/>
          <w:rtl/>
        </w:rPr>
        <w:t>סעיף</w:t>
      </w:r>
      <w:r>
        <w:rPr>
          <w:rtl/>
        </w:rPr>
        <w:t xml:space="preserve"> </w:t>
      </w:r>
      <w:r>
        <w:rPr>
          <w:rFonts w:hint="cs"/>
          <w:rtl/>
        </w:rPr>
        <w:t>מה: תרוכין שבוקין פיטורין.</w:t>
      </w:r>
    </w:p>
    <w:p w14:paraId="38AC929F" w14:textId="7FB48972" w:rsidR="00FA2119" w:rsidRPr="00B81CEC" w:rsidRDefault="00FA2119" w:rsidP="00FA2119">
      <w:pPr>
        <w:rPr>
          <w:rtl/>
        </w:rPr>
      </w:pPr>
      <w:r>
        <w:rPr>
          <w:rFonts w:hint="cs"/>
          <w:u w:val="single"/>
          <w:rtl/>
        </w:rPr>
        <w:t xml:space="preserve">'תרוכין שבוקין פיטורין' </w:t>
      </w:r>
      <w:r w:rsidR="00A82951">
        <w:rPr>
          <w:u w:val="single"/>
          <w:rtl/>
        </w:rPr>
        <w:t>-</w:t>
      </w:r>
      <w:r>
        <w:rPr>
          <w:rFonts w:hint="cs"/>
          <w:u w:val="single"/>
          <w:rtl/>
        </w:rPr>
        <w:t xml:space="preserve"> סדר התיבות:</w:t>
      </w:r>
    </w:p>
    <w:p w14:paraId="4F819CC7" w14:textId="2E8B6F0E" w:rsidR="00FA2119" w:rsidRPr="00303A2D" w:rsidRDefault="00FA2119" w:rsidP="00FA2119">
      <w:pPr>
        <w:pStyle w:val="ab"/>
        <w:numPr>
          <w:ilvl w:val="0"/>
          <w:numId w:val="58"/>
        </w:numPr>
      </w:pPr>
      <w:r>
        <w:rPr>
          <w:rFonts w:cs="Arial" w:hint="cs"/>
          <w:rtl/>
        </w:rPr>
        <w:t xml:space="preserve">סמ"ג </w:t>
      </w:r>
      <w:r>
        <w:rPr>
          <w:rFonts w:cs="Arial" w:hint="cs"/>
          <w:sz w:val="16"/>
          <w:szCs w:val="16"/>
          <w:rtl/>
        </w:rPr>
        <w:t>(עשין נ)</w:t>
      </w:r>
      <w:r>
        <w:rPr>
          <w:rFonts w:cs="Arial" w:hint="cs"/>
          <w:rtl/>
        </w:rPr>
        <w:t xml:space="preserve"> ו</w:t>
      </w:r>
      <w:r w:rsidRPr="00B556C7">
        <w:rPr>
          <w:rFonts w:cs="Arial"/>
          <w:rtl/>
        </w:rPr>
        <w:t xml:space="preserve">רא"ש </w:t>
      </w:r>
      <w:r>
        <w:rPr>
          <w:rFonts w:cs="Arial" w:hint="cs"/>
          <w:sz w:val="16"/>
          <w:szCs w:val="16"/>
          <w:rtl/>
        </w:rPr>
        <w:t>(סדר הגט בפסקים ותשובות)</w:t>
      </w:r>
      <w:r w:rsidR="00A82951">
        <w:rPr>
          <w:rFonts w:cs="Arial" w:hint="cs"/>
          <w:rtl/>
        </w:rPr>
        <w:t>-</w:t>
      </w:r>
      <w:r w:rsidRPr="00B556C7">
        <w:rPr>
          <w:rFonts w:cs="Arial"/>
          <w:rtl/>
        </w:rPr>
        <w:t xml:space="preserve"> תרוכין ושבוקין ופיטורין</w:t>
      </w:r>
      <w:r>
        <w:rPr>
          <w:rFonts w:cs="Arial" w:hint="cs"/>
          <w:rtl/>
        </w:rPr>
        <w:t>.</w:t>
      </w:r>
    </w:p>
    <w:p w14:paraId="3A684EEB" w14:textId="744AEE87" w:rsidR="00FA2119" w:rsidRPr="00303A2D" w:rsidRDefault="00FA2119" w:rsidP="00FA2119">
      <w:pPr>
        <w:pStyle w:val="ab"/>
        <w:numPr>
          <w:ilvl w:val="0"/>
          <w:numId w:val="58"/>
        </w:numPr>
        <w:spacing w:before="240"/>
      </w:pPr>
      <w:r w:rsidRPr="00B556C7">
        <w:rPr>
          <w:rFonts w:cs="Arial"/>
          <w:rtl/>
        </w:rPr>
        <w:t>רי"ף</w:t>
      </w:r>
      <w:r>
        <w:rPr>
          <w:rFonts w:cs="Arial" w:hint="cs"/>
          <w:sz w:val="16"/>
          <w:szCs w:val="16"/>
          <w:rtl/>
        </w:rPr>
        <w:t xml:space="preserve"> (מה:)</w:t>
      </w:r>
      <w:r w:rsidRPr="00B556C7">
        <w:rPr>
          <w:rFonts w:cs="Arial"/>
          <w:rtl/>
        </w:rPr>
        <w:t xml:space="preserve"> ורמב"ם </w:t>
      </w:r>
      <w:r>
        <w:rPr>
          <w:rFonts w:cs="Arial" w:hint="cs"/>
          <w:sz w:val="16"/>
          <w:szCs w:val="16"/>
          <w:rtl/>
        </w:rPr>
        <w:t>(פ"ד הי"ב)</w:t>
      </w:r>
      <w:r w:rsidR="00A82951">
        <w:rPr>
          <w:rFonts w:cs="Arial" w:hint="cs"/>
          <w:rtl/>
        </w:rPr>
        <w:t>-</w:t>
      </w:r>
      <w:r>
        <w:rPr>
          <w:rFonts w:cs="Arial" w:hint="cs"/>
          <w:rtl/>
        </w:rPr>
        <w:t xml:space="preserve"> </w:t>
      </w:r>
      <w:r w:rsidRPr="00B556C7">
        <w:rPr>
          <w:rFonts w:cs="Arial"/>
          <w:rtl/>
        </w:rPr>
        <w:t>תירוכין פיטורין שבוקין</w:t>
      </w:r>
      <w:r>
        <w:rPr>
          <w:rFonts w:cs="Arial" w:hint="cs"/>
          <w:rtl/>
        </w:rPr>
        <w:t>.</w:t>
      </w:r>
      <w:r w:rsidRPr="00B556C7">
        <w:rPr>
          <w:rFonts w:cs="Arial"/>
          <w:rtl/>
        </w:rPr>
        <w:t xml:space="preserve"> </w:t>
      </w:r>
    </w:p>
    <w:p w14:paraId="4EA851EE" w14:textId="1433F524" w:rsidR="00FA2119" w:rsidRPr="00303A2D" w:rsidRDefault="00FA2119" w:rsidP="00FA2119">
      <w:pPr>
        <w:pStyle w:val="ab"/>
        <w:numPr>
          <w:ilvl w:val="0"/>
          <w:numId w:val="58"/>
        </w:numPr>
        <w:spacing w:before="240"/>
      </w:pPr>
      <w:r w:rsidRPr="00B556C7">
        <w:rPr>
          <w:rFonts w:cs="Arial"/>
          <w:rtl/>
        </w:rPr>
        <w:t>רש"י</w:t>
      </w:r>
      <w:r>
        <w:rPr>
          <w:rFonts w:cs="Arial" w:hint="cs"/>
          <w:sz w:val="16"/>
          <w:szCs w:val="16"/>
          <w:rtl/>
        </w:rPr>
        <w:t xml:space="preserve"> (גיטין פה: ד"ה וזהו)</w:t>
      </w:r>
      <w:r w:rsidR="00A82951">
        <w:rPr>
          <w:rFonts w:cs="Arial" w:hint="cs"/>
          <w:rtl/>
        </w:rPr>
        <w:t>-</w:t>
      </w:r>
      <w:r>
        <w:rPr>
          <w:rFonts w:cs="Arial" w:hint="cs"/>
          <w:rtl/>
        </w:rPr>
        <w:t xml:space="preserve"> </w:t>
      </w:r>
      <w:r w:rsidRPr="00B556C7">
        <w:rPr>
          <w:rFonts w:cs="Arial"/>
          <w:rtl/>
        </w:rPr>
        <w:t>פטורין תרוכין שבוקין</w:t>
      </w:r>
      <w:r>
        <w:rPr>
          <w:rFonts w:cs="Arial" w:hint="cs"/>
          <w:rtl/>
        </w:rPr>
        <w:t>.</w:t>
      </w:r>
      <w:r w:rsidRPr="00B556C7">
        <w:rPr>
          <w:rFonts w:cs="Arial"/>
          <w:rtl/>
        </w:rPr>
        <w:t xml:space="preserve"> </w:t>
      </w:r>
    </w:p>
    <w:p w14:paraId="2A5BF905" w14:textId="25CE58CB" w:rsidR="00FA2119" w:rsidRDefault="00FA2119" w:rsidP="00FA2119">
      <w:pPr>
        <w:pStyle w:val="ab"/>
        <w:numPr>
          <w:ilvl w:val="1"/>
          <w:numId w:val="58"/>
        </w:numPr>
        <w:spacing w:before="240"/>
        <w:rPr>
          <w:rtl/>
        </w:rPr>
      </w:pPr>
      <w:r>
        <w:rPr>
          <w:rFonts w:cs="Arial" w:hint="cs"/>
          <w:rtl/>
        </w:rPr>
        <w:t>ב"י</w:t>
      </w:r>
      <w:r w:rsidR="00A82951">
        <w:rPr>
          <w:rFonts w:cs="Arial" w:hint="cs"/>
          <w:rtl/>
        </w:rPr>
        <w:t>-</w:t>
      </w:r>
      <w:r>
        <w:rPr>
          <w:rFonts w:cs="Arial" w:hint="cs"/>
          <w:rtl/>
        </w:rPr>
        <w:t xml:space="preserve"> </w:t>
      </w:r>
      <w:r w:rsidRPr="00B556C7">
        <w:rPr>
          <w:rFonts w:cs="Arial"/>
          <w:rtl/>
        </w:rPr>
        <w:t>והמנהג לכתוב כטופס הרא"ש וסמ"ג</w:t>
      </w:r>
      <w:r>
        <w:rPr>
          <w:rFonts w:cs="Arial" w:hint="cs"/>
          <w:rtl/>
        </w:rPr>
        <w:t>.</w:t>
      </w:r>
    </w:p>
    <w:p w14:paraId="256CFB53"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0F27611" w14:textId="77777777" w:rsidR="00FA2119" w:rsidRDefault="00FA2119" w:rsidP="00FA2119">
      <w:pPr>
        <w:rPr>
          <w:rtl/>
        </w:rPr>
      </w:pPr>
      <w:r>
        <w:rPr>
          <w:rFonts w:cs="Arial" w:hint="cs"/>
          <w:rtl/>
        </w:rPr>
        <w:t>נהגו</w:t>
      </w:r>
      <w:r>
        <w:rPr>
          <w:rFonts w:cs="Arial"/>
          <w:rtl/>
        </w:rPr>
        <w:t xml:space="preserve"> </w:t>
      </w:r>
      <w:r>
        <w:rPr>
          <w:rFonts w:cs="Arial" w:hint="cs"/>
          <w:rtl/>
        </w:rPr>
        <w:t>לכתוב</w:t>
      </w:r>
      <w:r>
        <w:rPr>
          <w:rFonts w:cs="Arial"/>
          <w:rtl/>
        </w:rPr>
        <w:t xml:space="preserve">: </w:t>
      </w:r>
      <w:r>
        <w:rPr>
          <w:rFonts w:cs="Arial" w:hint="cs"/>
          <w:rtl/>
        </w:rPr>
        <w:t>תרוכין</w:t>
      </w:r>
      <w:r>
        <w:rPr>
          <w:rFonts w:cs="Arial"/>
          <w:rtl/>
        </w:rPr>
        <w:t xml:space="preserve">, </w:t>
      </w:r>
      <w:r>
        <w:rPr>
          <w:rFonts w:cs="Arial" w:hint="cs"/>
          <w:rtl/>
        </w:rPr>
        <w:t>שבוקין</w:t>
      </w:r>
      <w:r>
        <w:rPr>
          <w:rFonts w:cs="Arial"/>
          <w:rtl/>
        </w:rPr>
        <w:t xml:space="preserve">, </w:t>
      </w:r>
      <w:r>
        <w:rPr>
          <w:rFonts w:cs="Arial" w:hint="cs"/>
          <w:rtl/>
        </w:rPr>
        <w:t>פיטורין</w:t>
      </w:r>
      <w:r>
        <w:rPr>
          <w:rFonts w:cs="Arial"/>
          <w:rtl/>
        </w:rPr>
        <w:t xml:space="preserve">. </w:t>
      </w:r>
    </w:p>
    <w:p w14:paraId="50A85EFD" w14:textId="77777777" w:rsidR="00FA2119" w:rsidRDefault="00FA2119" w:rsidP="00FA2119">
      <w:pPr>
        <w:rPr>
          <w:rtl/>
        </w:rPr>
      </w:pPr>
    </w:p>
    <w:p w14:paraId="6650F091" w14:textId="77777777" w:rsidR="00FA2119" w:rsidRDefault="00FA2119" w:rsidP="00FA2119">
      <w:pPr>
        <w:pStyle w:val="2"/>
        <w:rPr>
          <w:rtl/>
        </w:rPr>
      </w:pPr>
      <w:r>
        <w:rPr>
          <w:rFonts w:hint="cs"/>
          <w:rtl/>
        </w:rPr>
        <w:t>סעיף</w:t>
      </w:r>
      <w:r>
        <w:rPr>
          <w:rtl/>
        </w:rPr>
        <w:t xml:space="preserve"> </w:t>
      </w:r>
      <w:r>
        <w:rPr>
          <w:rFonts w:hint="cs"/>
          <w:rtl/>
        </w:rPr>
        <w:t>מו: דהוית ארוסתי.</w:t>
      </w:r>
    </w:p>
    <w:p w14:paraId="4A29D0A7" w14:textId="77777777" w:rsidR="00FA2119" w:rsidRPr="000569C8" w:rsidRDefault="00FA2119" w:rsidP="00FA2119">
      <w:pPr>
        <w:rPr>
          <w:u w:val="single"/>
          <w:rtl/>
        </w:rPr>
      </w:pPr>
      <w:r w:rsidRPr="000569C8">
        <w:rPr>
          <w:rFonts w:hint="cs"/>
          <w:u w:val="single"/>
          <w:rtl/>
        </w:rPr>
        <w:t>בגט ארוסה יש לכתוב 'דהוית ארוסתי':</w:t>
      </w:r>
    </w:p>
    <w:p w14:paraId="413678AD" w14:textId="0F3AAD09" w:rsidR="00FA2119" w:rsidRDefault="00FA2119" w:rsidP="00FA2119">
      <w:pPr>
        <w:pStyle w:val="ab"/>
        <w:numPr>
          <w:ilvl w:val="0"/>
          <w:numId w:val="59"/>
        </w:numPr>
        <w:rPr>
          <w:rFonts w:cs="Arial"/>
        </w:rPr>
      </w:pPr>
      <w:r>
        <w:rPr>
          <w:rFonts w:cs="Arial" w:hint="cs"/>
          <w:rtl/>
        </w:rPr>
        <w:t xml:space="preserve">תרוה"ד </w:t>
      </w:r>
      <w:r>
        <w:rPr>
          <w:rFonts w:cs="Arial" w:hint="cs"/>
          <w:sz w:val="16"/>
          <w:szCs w:val="16"/>
          <w:rtl/>
        </w:rPr>
        <w:t>(סי' רכט)</w:t>
      </w:r>
      <w:r>
        <w:rPr>
          <w:rFonts w:cs="Arial" w:hint="cs"/>
          <w:rtl/>
        </w:rPr>
        <w:t xml:space="preserve"> ו</w:t>
      </w:r>
      <w:r w:rsidRPr="000569C8">
        <w:rPr>
          <w:rFonts w:cs="Arial" w:hint="cs"/>
          <w:rtl/>
        </w:rPr>
        <w:t>ב"י</w:t>
      </w:r>
      <w:r w:rsidR="00A82951">
        <w:rPr>
          <w:rFonts w:cs="Arial" w:hint="cs"/>
          <w:rtl/>
        </w:rPr>
        <w:t>-</w:t>
      </w:r>
      <w:r w:rsidRPr="000569C8">
        <w:rPr>
          <w:rFonts w:cs="Arial" w:hint="cs"/>
          <w:rtl/>
        </w:rPr>
        <w:t xml:space="preserve"> </w:t>
      </w:r>
      <w:r w:rsidRPr="000569C8">
        <w:rPr>
          <w:rFonts w:cs="Arial"/>
          <w:rtl/>
        </w:rPr>
        <w:t>בגט ארוסה צריך לכתוב דהוית ארוסתי</w:t>
      </w:r>
      <w:r>
        <w:rPr>
          <w:rStyle w:val="a7"/>
          <w:rFonts w:cs="Arial"/>
          <w:rtl/>
        </w:rPr>
        <w:footnoteReference w:id="836"/>
      </w:r>
      <w:r w:rsidRPr="000569C8">
        <w:rPr>
          <w:rFonts w:cs="Arial" w:hint="cs"/>
          <w:rtl/>
        </w:rPr>
        <w:t>.</w:t>
      </w:r>
      <w:r w:rsidRPr="000569C8">
        <w:rPr>
          <w:rFonts w:cs="Arial"/>
          <w:rtl/>
        </w:rPr>
        <w:t xml:space="preserve"> </w:t>
      </w:r>
      <w:r w:rsidRPr="00F144D0">
        <w:rPr>
          <w:rFonts w:cs="Arial" w:hint="cs"/>
          <w:color w:val="E36C0A" w:themeColor="accent6" w:themeShade="BF"/>
          <w:rtl/>
        </w:rPr>
        <w:t>(וכ"פ בשו"ע)</w:t>
      </w:r>
    </w:p>
    <w:p w14:paraId="61C04ECD" w14:textId="77777777" w:rsidR="00FA2119" w:rsidRPr="000569C8" w:rsidRDefault="00FA2119" w:rsidP="00FA2119">
      <w:pPr>
        <w:ind w:left="360"/>
        <w:rPr>
          <w:rFonts w:cs="Arial"/>
          <w:u w:val="dotted"/>
        </w:rPr>
      </w:pPr>
      <w:r w:rsidRPr="000569C8">
        <w:rPr>
          <w:rFonts w:cs="Arial" w:hint="cs"/>
          <w:u w:val="dotted"/>
          <w:rtl/>
        </w:rPr>
        <w:t xml:space="preserve">ומה הדין אם כתב </w:t>
      </w:r>
      <w:r>
        <w:rPr>
          <w:rFonts w:cs="Arial" w:hint="cs"/>
          <w:u w:val="dotted"/>
          <w:rtl/>
        </w:rPr>
        <w:t>'</w:t>
      </w:r>
      <w:r w:rsidRPr="000569C8">
        <w:rPr>
          <w:rFonts w:cs="Arial" w:hint="cs"/>
          <w:u w:val="dotted"/>
          <w:rtl/>
        </w:rPr>
        <w:t>דהוית אנתתי</w:t>
      </w:r>
      <w:r>
        <w:rPr>
          <w:rFonts w:cs="Arial" w:hint="cs"/>
          <w:u w:val="dotted"/>
          <w:rtl/>
        </w:rPr>
        <w:t>'</w:t>
      </w:r>
      <w:r w:rsidRPr="000569C8">
        <w:rPr>
          <w:rFonts w:cs="Arial" w:hint="cs"/>
          <w:u w:val="dotted"/>
          <w:rtl/>
        </w:rPr>
        <w:t>:</w:t>
      </w:r>
    </w:p>
    <w:p w14:paraId="5EC7243D" w14:textId="4AF82CCD" w:rsidR="00FA2119" w:rsidRPr="00ED586A" w:rsidRDefault="00ED586A" w:rsidP="00ED586A">
      <w:pPr>
        <w:pStyle w:val="ab"/>
        <w:numPr>
          <w:ilvl w:val="0"/>
          <w:numId w:val="59"/>
        </w:numPr>
        <w:rPr>
          <w:rFonts w:cs="Arial"/>
        </w:rPr>
      </w:pPr>
      <w:r w:rsidRPr="00C9640C">
        <w:rPr>
          <w:rFonts w:cs="Arial"/>
          <w:rtl/>
        </w:rPr>
        <w:t>רשב"א</w:t>
      </w:r>
      <w:r>
        <w:rPr>
          <w:rStyle w:val="a7"/>
          <w:rFonts w:cs="Arial"/>
          <w:rtl/>
        </w:rPr>
        <w:footnoteReference w:id="837"/>
      </w:r>
      <w:r w:rsidRPr="001363B9">
        <w:rPr>
          <w:rFonts w:cs="Arial"/>
          <w:sz w:val="16"/>
          <w:szCs w:val="16"/>
          <w:rtl/>
        </w:rPr>
        <w:t xml:space="preserve"> </w:t>
      </w:r>
      <w:r>
        <w:rPr>
          <w:rFonts w:cs="Arial" w:hint="cs"/>
          <w:sz w:val="16"/>
          <w:szCs w:val="16"/>
          <w:rtl/>
        </w:rPr>
        <w:t>(</w:t>
      </w:r>
      <w:r w:rsidRPr="001363B9">
        <w:rPr>
          <w:rFonts w:cs="Arial"/>
          <w:sz w:val="16"/>
          <w:szCs w:val="16"/>
          <w:rtl/>
        </w:rPr>
        <w:t>בתשובה</w:t>
      </w:r>
      <w:r>
        <w:rPr>
          <w:rFonts w:cs="Arial" w:hint="cs"/>
          <w:sz w:val="16"/>
          <w:szCs w:val="16"/>
          <w:rtl/>
        </w:rPr>
        <w:t xml:space="preserve">, כ"כ הב"י בשמו) </w:t>
      </w:r>
      <w:r w:rsidR="00FA2119">
        <w:rPr>
          <w:rFonts w:cs="Arial" w:hint="cs"/>
          <w:rtl/>
        </w:rPr>
        <w:t>רי"ו</w:t>
      </w:r>
      <w:r w:rsidR="00FA2119" w:rsidRPr="000569C8">
        <w:rPr>
          <w:rFonts w:cs="Arial"/>
          <w:rtl/>
        </w:rPr>
        <w:t xml:space="preserve"> </w:t>
      </w:r>
      <w:r w:rsidR="00FA2119" w:rsidRPr="00F85BBA">
        <w:rPr>
          <w:rFonts w:cs="Arial" w:hint="cs"/>
          <w:sz w:val="16"/>
          <w:szCs w:val="16"/>
          <w:rtl/>
        </w:rPr>
        <w:t>(ח"ב</w:t>
      </w:r>
      <w:r w:rsidR="00FA2119" w:rsidRPr="00F85BBA">
        <w:rPr>
          <w:rFonts w:cs="Arial"/>
          <w:sz w:val="16"/>
          <w:szCs w:val="16"/>
          <w:rtl/>
        </w:rPr>
        <w:t xml:space="preserve"> רו ע"ב)</w:t>
      </w:r>
      <w:r w:rsidR="00FA2119">
        <w:rPr>
          <w:rFonts w:cs="Arial" w:hint="cs"/>
          <w:rtl/>
        </w:rPr>
        <w:t xml:space="preserve"> ותרוה"ד </w:t>
      </w:r>
      <w:r w:rsidR="00FA2119">
        <w:rPr>
          <w:rFonts w:cs="Arial" w:hint="cs"/>
          <w:sz w:val="16"/>
          <w:szCs w:val="16"/>
          <w:rtl/>
        </w:rPr>
        <w:t>(סי' רכט)</w:t>
      </w:r>
      <w:r w:rsidR="00A82951">
        <w:rPr>
          <w:rFonts w:cs="Arial" w:hint="cs"/>
          <w:rtl/>
        </w:rPr>
        <w:t>-</w:t>
      </w:r>
      <w:r w:rsidR="00FA2119" w:rsidRPr="000569C8">
        <w:rPr>
          <w:rFonts w:cs="Arial"/>
          <w:rtl/>
        </w:rPr>
        <w:t xml:space="preserve"> </w:t>
      </w:r>
      <w:r w:rsidR="00FA2119">
        <w:rPr>
          <w:rFonts w:cs="Arial" w:hint="cs"/>
          <w:rtl/>
        </w:rPr>
        <w:t xml:space="preserve">אם כתב לארוסתו 'דהוית אנתתי' </w:t>
      </w:r>
      <w:r w:rsidR="00A82951">
        <w:rPr>
          <w:rFonts w:cs="Arial" w:hint="cs"/>
          <w:rtl/>
        </w:rPr>
        <w:t>-</w:t>
      </w:r>
      <w:r w:rsidR="00FA2119">
        <w:rPr>
          <w:rFonts w:cs="Arial" w:hint="cs"/>
          <w:rtl/>
        </w:rPr>
        <w:t xml:space="preserve"> כשר,</w:t>
      </w:r>
      <w:r w:rsidR="00FA2119" w:rsidRPr="000569C8">
        <w:rPr>
          <w:rFonts w:cs="Arial"/>
          <w:rtl/>
        </w:rPr>
        <w:t xml:space="preserve"> וראי</w:t>
      </w:r>
      <w:r w:rsidR="00FA2119">
        <w:rPr>
          <w:rFonts w:cs="Arial" w:hint="cs"/>
          <w:rtl/>
        </w:rPr>
        <w:t>ה</w:t>
      </w:r>
      <w:r w:rsidR="00FA2119" w:rsidRPr="000569C8">
        <w:rPr>
          <w:rFonts w:cs="Arial"/>
          <w:rtl/>
        </w:rPr>
        <w:t xml:space="preserve"> מדאמרינן בפ</w:t>
      </w:r>
      <w:r w:rsidR="00FA2119">
        <w:rPr>
          <w:rFonts w:cs="Arial" w:hint="cs"/>
          <w:rtl/>
        </w:rPr>
        <w:t>"</w:t>
      </w:r>
      <w:r w:rsidR="00FA2119" w:rsidRPr="000569C8">
        <w:rPr>
          <w:rFonts w:cs="Arial"/>
          <w:rtl/>
        </w:rPr>
        <w:t>ק דקידושין (ו.) הרי את אשתי הרי את ארוסתי הרי זו מקודשת</w:t>
      </w:r>
      <w:r w:rsidR="00FA2119">
        <w:rPr>
          <w:rFonts w:cs="Arial" w:hint="cs"/>
          <w:rtl/>
        </w:rPr>
        <w:t>,</w:t>
      </w:r>
      <w:r w:rsidR="00FA2119" w:rsidRPr="000569C8">
        <w:rPr>
          <w:rFonts w:cs="Arial"/>
          <w:rtl/>
        </w:rPr>
        <w:t xml:space="preserve"> נראה דארוסה נקראת אשה</w:t>
      </w:r>
      <w:r w:rsidR="00FA2119">
        <w:rPr>
          <w:rStyle w:val="a7"/>
          <w:rFonts w:cs="Arial"/>
          <w:rtl/>
        </w:rPr>
        <w:footnoteReference w:id="838"/>
      </w:r>
      <w:r w:rsidR="00FA2119" w:rsidRPr="000569C8">
        <w:rPr>
          <w:rFonts w:cs="Arial" w:hint="cs"/>
          <w:rtl/>
        </w:rPr>
        <w:t>.</w:t>
      </w:r>
      <w:r w:rsidR="00FA2119" w:rsidRPr="000569C8">
        <w:rPr>
          <w:rFonts w:cs="Arial"/>
          <w:rtl/>
        </w:rPr>
        <w:t xml:space="preserve"> </w:t>
      </w:r>
      <w:r w:rsidR="00FA2119" w:rsidRPr="00F144D0">
        <w:rPr>
          <w:rFonts w:cs="Arial" w:hint="cs"/>
          <w:color w:val="E36C0A" w:themeColor="accent6" w:themeShade="BF"/>
          <w:rtl/>
        </w:rPr>
        <w:t>(וכ"פ בשו"ע)</w:t>
      </w:r>
    </w:p>
    <w:p w14:paraId="18C62A0E" w14:textId="77777777" w:rsidR="00FA2119" w:rsidRPr="00F85BBA" w:rsidRDefault="00FA2119" w:rsidP="00FA2119">
      <w:pPr>
        <w:ind w:left="360"/>
        <w:rPr>
          <w:rFonts w:cs="Arial"/>
          <w:u w:val="dotted"/>
        </w:rPr>
      </w:pPr>
      <w:r w:rsidRPr="00F85BBA">
        <w:rPr>
          <w:rFonts w:cs="Arial" w:hint="cs"/>
          <w:u w:val="dotted"/>
          <w:rtl/>
        </w:rPr>
        <w:t>ומה הדין אם כתב לאשתו 'דהוית ארוסתי':</w:t>
      </w:r>
    </w:p>
    <w:p w14:paraId="0548122A" w14:textId="23AF43D9" w:rsidR="00FA2119" w:rsidRPr="001363B9" w:rsidRDefault="00FA2119" w:rsidP="00FA2119">
      <w:pPr>
        <w:pStyle w:val="ab"/>
        <w:numPr>
          <w:ilvl w:val="0"/>
          <w:numId w:val="59"/>
        </w:numPr>
        <w:rPr>
          <w:rFonts w:cs="Arial"/>
          <w:rtl/>
        </w:rPr>
      </w:pPr>
      <w:r>
        <w:rPr>
          <w:rFonts w:cs="Arial" w:hint="cs"/>
          <w:rtl/>
        </w:rPr>
        <w:t>ב"י</w:t>
      </w:r>
      <w:r w:rsidR="00A82951">
        <w:rPr>
          <w:rFonts w:cs="Arial" w:hint="cs"/>
          <w:rtl/>
        </w:rPr>
        <w:t>-</w:t>
      </w:r>
      <w:r>
        <w:rPr>
          <w:rFonts w:cs="Arial" w:hint="cs"/>
          <w:rtl/>
        </w:rPr>
        <w:t xml:space="preserve"> </w:t>
      </w:r>
      <w:r w:rsidRPr="00F85BBA">
        <w:rPr>
          <w:rFonts w:cs="Arial"/>
          <w:rtl/>
        </w:rPr>
        <w:t>ונראה לי דהוא הדין דאפשר אם כתב לאשתו דהוית ארוסתי דכשר בדיעבד</w:t>
      </w:r>
      <w:r>
        <w:rPr>
          <w:rFonts w:cs="Arial" w:hint="cs"/>
          <w:rtl/>
        </w:rPr>
        <w:t>.</w:t>
      </w:r>
      <w:r w:rsidRPr="00F85BBA">
        <w:rPr>
          <w:rFonts w:cs="Arial"/>
          <w:rtl/>
        </w:rPr>
        <w:t xml:space="preserve"> וראיה מדאמרינן בריש כל הגט (כו:) האומר כתבו גט לארוסתי לכשאכנסנה אגרשנה אינו גט ואמר עולא מה טעם גזירה וכו' הכא נמי גזירה שמא יאמרו גיטה קודם לבנה</w:t>
      </w:r>
      <w:r>
        <w:rPr>
          <w:rFonts w:cs="Arial" w:hint="cs"/>
          <w:rtl/>
        </w:rPr>
        <w:t>.</w:t>
      </w:r>
      <w:r w:rsidRPr="00F85BBA">
        <w:rPr>
          <w:rFonts w:cs="Arial"/>
          <w:rtl/>
        </w:rPr>
        <w:t xml:space="preserve"> ופירש רש"י (ד"ה הכא) הכא נמי במתניתין משום הכי צריך להניח מקום זמן אף לטופס הארוסה שמא יכתוב זמן לבו ביום והוא לא יגרשנה עד אחר נישואין עכ"ל</w:t>
      </w:r>
      <w:r w:rsidRPr="00F85BBA">
        <w:rPr>
          <w:rFonts w:cs="Arial" w:hint="cs"/>
          <w:rtl/>
        </w:rPr>
        <w:t>.</w:t>
      </w:r>
      <w:r w:rsidRPr="00F85BBA">
        <w:rPr>
          <w:rFonts w:cs="Arial"/>
          <w:rtl/>
        </w:rPr>
        <w:t xml:space="preserve"> והשתא כיון שכותב זמן לבו ביום מסתמא הוא כותב בו דהוית ארוסתי</w:t>
      </w:r>
      <w:r>
        <w:rPr>
          <w:rFonts w:cs="Arial" w:hint="cs"/>
          <w:rtl/>
        </w:rPr>
        <w:t>,</w:t>
      </w:r>
      <w:r w:rsidRPr="00F85BBA">
        <w:rPr>
          <w:rFonts w:cs="Arial"/>
          <w:rtl/>
        </w:rPr>
        <w:t xml:space="preserve"> שהרי באותו יום ארוסה היא</w:t>
      </w:r>
      <w:r>
        <w:rPr>
          <w:rFonts w:cs="Arial" w:hint="cs"/>
          <w:rtl/>
        </w:rPr>
        <w:t>,</w:t>
      </w:r>
      <w:r w:rsidRPr="00F85BBA">
        <w:rPr>
          <w:rFonts w:cs="Arial"/>
          <w:rtl/>
        </w:rPr>
        <w:t xml:space="preserve"> ואפילו הכי מצי לגרש בו אחר שכנסה אי לאו משום שמא יאמרו גיטה קודם לבנה</w:t>
      </w:r>
      <w:r>
        <w:rPr>
          <w:rFonts w:cs="Arial" w:hint="cs"/>
          <w:rtl/>
        </w:rPr>
        <w:t>,</w:t>
      </w:r>
      <w:r w:rsidRPr="00F85BBA">
        <w:rPr>
          <w:rFonts w:cs="Arial"/>
          <w:rtl/>
        </w:rPr>
        <w:t xml:space="preserve"> וא"ת שאינו כותב על סמך שיגרשנה בעודה ארוסה אלא על סמך שיגרשנה אחר שיכנסנה</w:t>
      </w:r>
      <w:r>
        <w:rPr>
          <w:rFonts w:cs="Arial" w:hint="cs"/>
          <w:rtl/>
        </w:rPr>
        <w:t>,</w:t>
      </w:r>
      <w:r w:rsidRPr="00F85BBA">
        <w:rPr>
          <w:rFonts w:cs="Arial"/>
          <w:rtl/>
        </w:rPr>
        <w:t xml:space="preserve"> לפחות נפשוט מהכא היכא דכתב לארוסתו דהוית אנתתי</w:t>
      </w:r>
      <w:r>
        <w:rPr>
          <w:rFonts w:cs="Arial" w:hint="cs"/>
          <w:rtl/>
        </w:rPr>
        <w:t xml:space="preserve"> </w:t>
      </w:r>
      <w:r w:rsidR="00A82951">
        <w:rPr>
          <w:rFonts w:cs="Arial" w:hint="cs"/>
          <w:rtl/>
        </w:rPr>
        <w:t>-</w:t>
      </w:r>
      <w:r w:rsidRPr="00F85BBA">
        <w:rPr>
          <w:rFonts w:cs="Arial"/>
          <w:rtl/>
        </w:rPr>
        <w:t xml:space="preserve"> כשר</w:t>
      </w:r>
      <w:r>
        <w:rPr>
          <w:rFonts w:cs="Arial" w:hint="cs"/>
          <w:rtl/>
        </w:rPr>
        <w:t>.</w:t>
      </w:r>
      <w:r w:rsidRPr="00F85BBA">
        <w:rPr>
          <w:rFonts w:cs="Arial"/>
          <w:rtl/>
        </w:rPr>
        <w:t xml:space="preserve"> שכיון שאינו כותב הגט אלא על דעת שיגרשנה אחר שיכנסנה</w:t>
      </w:r>
      <w:r>
        <w:rPr>
          <w:rFonts w:cs="Arial" w:hint="cs"/>
          <w:rtl/>
        </w:rPr>
        <w:t>,</w:t>
      </w:r>
      <w:r w:rsidRPr="00F85BBA">
        <w:rPr>
          <w:rFonts w:cs="Arial"/>
          <w:rtl/>
        </w:rPr>
        <w:t xml:space="preserve"> א"כ כתב אנתתי ואפילו הכי משמע דיכול לגרשה בעודה ארוסה</w:t>
      </w:r>
      <w:r>
        <w:rPr>
          <w:rFonts w:cs="Arial" w:hint="cs"/>
          <w:rtl/>
        </w:rPr>
        <w:t>,</w:t>
      </w:r>
      <w:r w:rsidRPr="00F85BBA">
        <w:rPr>
          <w:rFonts w:cs="Arial"/>
          <w:rtl/>
        </w:rPr>
        <w:t xml:space="preserve"> דלא גזרינן אלא משום שמא יגרשנה אחר שכנסה</w:t>
      </w:r>
      <w:r>
        <w:rPr>
          <w:rFonts w:cs="Arial" w:hint="cs"/>
          <w:rtl/>
        </w:rPr>
        <w:t>,</w:t>
      </w:r>
      <w:r w:rsidRPr="00F85BBA">
        <w:rPr>
          <w:rFonts w:cs="Arial"/>
          <w:rtl/>
        </w:rPr>
        <w:t xml:space="preserve"> אבל אם היה מגרשה בעודה ארוסה כיון דליכא למיגזר שמא יאמרו </w:t>
      </w:r>
      <w:r w:rsidR="00A82951">
        <w:rPr>
          <w:rFonts w:cs="Arial" w:hint="cs"/>
          <w:rtl/>
        </w:rPr>
        <w:t>-</w:t>
      </w:r>
      <w:r>
        <w:rPr>
          <w:rFonts w:cs="Arial" w:hint="cs"/>
          <w:rtl/>
        </w:rPr>
        <w:t xml:space="preserve"> </w:t>
      </w:r>
      <w:r w:rsidRPr="00F85BBA">
        <w:rPr>
          <w:rFonts w:cs="Arial"/>
          <w:rtl/>
        </w:rPr>
        <w:t>שפיר מגרש ביה ואע</w:t>
      </w:r>
      <w:r>
        <w:rPr>
          <w:rFonts w:cs="Arial" w:hint="cs"/>
          <w:rtl/>
        </w:rPr>
        <w:t>"</w:t>
      </w:r>
      <w:r w:rsidRPr="00F85BBA">
        <w:rPr>
          <w:rFonts w:cs="Arial"/>
          <w:rtl/>
        </w:rPr>
        <w:t xml:space="preserve">ג דכתוב בו אנתתי. ואין לומר דהכא במאי </w:t>
      </w:r>
      <w:r w:rsidRPr="00F85BBA">
        <w:rPr>
          <w:rFonts w:cs="Arial"/>
          <w:rtl/>
        </w:rPr>
        <w:lastRenderedPageBreak/>
        <w:t>עסקינן בשהניח מקום אנתתי</w:t>
      </w:r>
      <w:r>
        <w:rPr>
          <w:rFonts w:cs="Arial" w:hint="cs"/>
          <w:rtl/>
        </w:rPr>
        <w:t>,</w:t>
      </w:r>
      <w:r w:rsidRPr="00F85BBA">
        <w:rPr>
          <w:rFonts w:cs="Arial"/>
          <w:rtl/>
        </w:rPr>
        <w:t xml:space="preserve"> דזה טופס הוא ובמתניתין (כו.) לא תנן שיניח אלא מקום התורף</w:t>
      </w:r>
      <w:r w:rsidRPr="001363B9">
        <w:rPr>
          <w:rFonts w:cs="Arial" w:hint="cs"/>
          <w:rtl/>
        </w:rPr>
        <w:t>.</w:t>
      </w:r>
      <w:r>
        <w:rPr>
          <w:rFonts w:cs="Arial" w:hint="cs"/>
          <w:rtl/>
        </w:rPr>
        <w:t xml:space="preserve"> </w:t>
      </w:r>
      <w:r w:rsidRPr="001363B9">
        <w:rPr>
          <w:rFonts w:cs="Arial" w:hint="cs"/>
          <w:color w:val="00B0F0"/>
          <w:rtl/>
        </w:rPr>
        <w:t>(וכ"כ הרמ"א)</w:t>
      </w:r>
    </w:p>
    <w:p w14:paraId="38ED75C7"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AF50E26" w14:textId="0E465777" w:rsidR="00FA2119" w:rsidRDefault="00FA2119" w:rsidP="00ED586A">
      <w:pPr>
        <w:rPr>
          <w:rtl/>
        </w:rPr>
      </w:pPr>
      <w:r>
        <w:rPr>
          <w:rFonts w:cs="Arial" w:hint="cs"/>
          <w:rtl/>
        </w:rPr>
        <w:t>בגט</w:t>
      </w:r>
      <w:r>
        <w:rPr>
          <w:rFonts w:cs="Arial"/>
          <w:rtl/>
        </w:rPr>
        <w:t xml:space="preserve"> </w:t>
      </w:r>
      <w:r>
        <w:rPr>
          <w:rFonts w:cs="Arial" w:hint="cs"/>
          <w:rtl/>
        </w:rPr>
        <w:t>ארוסה</w:t>
      </w:r>
      <w:r>
        <w:rPr>
          <w:rFonts w:cs="Arial"/>
          <w:rtl/>
        </w:rPr>
        <w:t xml:space="preserve"> </w:t>
      </w:r>
      <w:r>
        <w:rPr>
          <w:rFonts w:cs="Arial" w:hint="cs"/>
          <w:rtl/>
        </w:rPr>
        <w:t>כותבין</w:t>
      </w:r>
      <w:r>
        <w:rPr>
          <w:rFonts w:cs="Arial"/>
          <w:rtl/>
        </w:rPr>
        <w:t xml:space="preserve">: </w:t>
      </w:r>
      <w:r>
        <w:rPr>
          <w:rFonts w:cs="Arial" w:hint="cs"/>
          <w:rtl/>
        </w:rPr>
        <w:t>דהוית</w:t>
      </w:r>
      <w:r>
        <w:rPr>
          <w:rFonts w:cs="Arial"/>
          <w:rtl/>
        </w:rPr>
        <w:t xml:space="preserve"> </w:t>
      </w:r>
      <w:r>
        <w:rPr>
          <w:rFonts w:cs="Arial" w:hint="cs"/>
          <w:rtl/>
        </w:rPr>
        <w:t>ארוסתי</w:t>
      </w:r>
      <w:r>
        <w:rPr>
          <w:rFonts w:cs="Arial"/>
          <w:rtl/>
        </w:rPr>
        <w:t xml:space="preserve">. </w:t>
      </w:r>
      <w:r>
        <w:rPr>
          <w:rFonts w:cs="Arial" w:hint="cs"/>
          <w:rtl/>
        </w:rPr>
        <w:t>ואם</w:t>
      </w:r>
      <w:r>
        <w:rPr>
          <w:rFonts w:cs="Arial"/>
          <w:rtl/>
        </w:rPr>
        <w:t xml:space="preserve"> </w:t>
      </w:r>
      <w:r>
        <w:rPr>
          <w:rFonts w:cs="Arial" w:hint="cs"/>
          <w:rtl/>
        </w:rPr>
        <w:t>כתב</w:t>
      </w:r>
      <w:r>
        <w:rPr>
          <w:rFonts w:cs="Arial"/>
          <w:rtl/>
        </w:rPr>
        <w:t xml:space="preserve">: </w:t>
      </w:r>
      <w:r>
        <w:rPr>
          <w:rFonts w:cs="Arial" w:hint="cs"/>
          <w:rtl/>
        </w:rPr>
        <w:t>דהוית</w:t>
      </w:r>
      <w:r>
        <w:rPr>
          <w:rFonts w:cs="Arial"/>
          <w:rtl/>
        </w:rPr>
        <w:t xml:space="preserve"> </w:t>
      </w:r>
      <w:r>
        <w:rPr>
          <w:rFonts w:cs="Arial" w:hint="cs"/>
          <w:rtl/>
        </w:rPr>
        <w:t>אנתתי</w:t>
      </w:r>
      <w:r>
        <w:rPr>
          <w:rFonts w:cs="Arial"/>
          <w:rtl/>
        </w:rPr>
        <w:t xml:space="preserve">, </w:t>
      </w:r>
      <w:r>
        <w:rPr>
          <w:rFonts w:cs="Arial" w:hint="cs"/>
          <w:rtl/>
        </w:rPr>
        <w:t>כשר</w:t>
      </w:r>
      <w:r>
        <w:rPr>
          <w:rFonts w:cs="Arial"/>
          <w:rtl/>
        </w:rPr>
        <w:t xml:space="preserve">. </w:t>
      </w:r>
      <w:r>
        <w:rPr>
          <w:rFonts w:cs="Arial" w:hint="cs"/>
          <w:sz w:val="18"/>
          <w:szCs w:val="18"/>
          <w:rtl/>
        </w:rPr>
        <w:t xml:space="preserve">[הגה] </w:t>
      </w:r>
      <w:r w:rsidRPr="000150D0">
        <w:rPr>
          <w:rFonts w:cs="Arial" w:hint="cs"/>
          <w:sz w:val="18"/>
          <w:szCs w:val="18"/>
          <w:rtl/>
        </w:rPr>
        <w:t>וי</w:t>
      </w:r>
      <w:r w:rsidRPr="000150D0">
        <w:rPr>
          <w:rFonts w:cs="Arial"/>
          <w:sz w:val="18"/>
          <w:szCs w:val="18"/>
          <w:rtl/>
        </w:rPr>
        <w:t>"</w:t>
      </w:r>
      <w:r w:rsidRPr="000150D0">
        <w:rPr>
          <w:rFonts w:cs="Arial" w:hint="cs"/>
          <w:sz w:val="18"/>
          <w:szCs w:val="18"/>
          <w:rtl/>
        </w:rPr>
        <w:t>א</w:t>
      </w:r>
      <w:r w:rsidRPr="000150D0">
        <w:rPr>
          <w:rFonts w:cs="Arial"/>
          <w:sz w:val="18"/>
          <w:szCs w:val="18"/>
          <w:rtl/>
        </w:rPr>
        <w:t xml:space="preserve"> </w:t>
      </w:r>
      <w:r w:rsidRPr="000150D0">
        <w:rPr>
          <w:rFonts w:cs="Arial" w:hint="cs"/>
          <w:sz w:val="18"/>
          <w:szCs w:val="18"/>
          <w:rtl/>
        </w:rPr>
        <w:t>דה</w:t>
      </w:r>
      <w:r w:rsidRPr="000150D0">
        <w:rPr>
          <w:rFonts w:cs="Arial"/>
          <w:sz w:val="18"/>
          <w:szCs w:val="18"/>
          <w:rtl/>
        </w:rPr>
        <w:t>"</w:t>
      </w:r>
      <w:r w:rsidRPr="000150D0">
        <w:rPr>
          <w:rFonts w:cs="Arial" w:hint="cs"/>
          <w:sz w:val="18"/>
          <w:szCs w:val="18"/>
          <w:rtl/>
        </w:rPr>
        <w:t>ה</w:t>
      </w:r>
      <w:r w:rsidRPr="000150D0">
        <w:rPr>
          <w:rFonts w:cs="Arial"/>
          <w:sz w:val="18"/>
          <w:szCs w:val="18"/>
          <w:rtl/>
        </w:rPr>
        <w:t xml:space="preserve"> </w:t>
      </w:r>
      <w:r w:rsidRPr="000150D0">
        <w:rPr>
          <w:rFonts w:cs="Arial" w:hint="cs"/>
          <w:sz w:val="18"/>
          <w:szCs w:val="18"/>
          <w:rtl/>
        </w:rPr>
        <w:t>להיפך</w:t>
      </w:r>
      <w:r>
        <w:rPr>
          <w:rStyle w:val="a7"/>
          <w:rFonts w:cs="Arial"/>
          <w:sz w:val="18"/>
          <w:szCs w:val="18"/>
          <w:rtl/>
        </w:rPr>
        <w:footnoteReference w:id="839"/>
      </w:r>
      <w:r w:rsidRPr="000150D0">
        <w:rPr>
          <w:rFonts w:cs="Arial"/>
          <w:sz w:val="18"/>
          <w:szCs w:val="18"/>
          <w:rtl/>
        </w:rPr>
        <w:t xml:space="preserve">, </w:t>
      </w:r>
      <w:r w:rsidRPr="000150D0">
        <w:rPr>
          <w:rFonts w:cs="Arial" w:hint="cs"/>
          <w:sz w:val="18"/>
          <w:szCs w:val="18"/>
          <w:rtl/>
        </w:rPr>
        <w:t>דכתב</w:t>
      </w:r>
      <w:r w:rsidRPr="000150D0">
        <w:rPr>
          <w:rFonts w:cs="Arial"/>
          <w:sz w:val="18"/>
          <w:szCs w:val="18"/>
          <w:rtl/>
        </w:rPr>
        <w:t xml:space="preserve"> </w:t>
      </w:r>
      <w:r w:rsidRPr="000150D0">
        <w:rPr>
          <w:rFonts w:cs="Arial" w:hint="cs"/>
          <w:sz w:val="18"/>
          <w:szCs w:val="18"/>
          <w:rtl/>
        </w:rPr>
        <w:t>לאשתו</w:t>
      </w:r>
      <w:r w:rsidRPr="000150D0">
        <w:rPr>
          <w:rFonts w:cs="Arial"/>
          <w:sz w:val="18"/>
          <w:szCs w:val="18"/>
          <w:rtl/>
        </w:rPr>
        <w:t xml:space="preserve">: </w:t>
      </w:r>
      <w:r w:rsidRPr="000150D0">
        <w:rPr>
          <w:rFonts w:cs="Arial" w:hint="cs"/>
          <w:sz w:val="18"/>
          <w:szCs w:val="18"/>
          <w:rtl/>
        </w:rPr>
        <w:t>ארוסתי</w:t>
      </w:r>
      <w:r w:rsidRPr="000150D0">
        <w:rPr>
          <w:rFonts w:cs="Arial"/>
          <w:sz w:val="18"/>
          <w:szCs w:val="18"/>
          <w:rtl/>
        </w:rPr>
        <w:t xml:space="preserve">, </w:t>
      </w:r>
      <w:r w:rsidRPr="000150D0">
        <w:rPr>
          <w:rFonts w:cs="Arial" w:hint="cs"/>
          <w:sz w:val="18"/>
          <w:szCs w:val="18"/>
          <w:rtl/>
        </w:rPr>
        <w:t>כשר</w:t>
      </w:r>
      <w:r w:rsidRPr="000150D0">
        <w:rPr>
          <w:rFonts w:cs="Arial"/>
          <w:sz w:val="18"/>
          <w:szCs w:val="18"/>
          <w:rtl/>
        </w:rPr>
        <w:t xml:space="preserve"> </w:t>
      </w:r>
      <w:r w:rsidRPr="000150D0">
        <w:rPr>
          <w:rFonts w:cs="Arial" w:hint="cs"/>
          <w:sz w:val="18"/>
          <w:szCs w:val="18"/>
          <w:rtl/>
        </w:rPr>
        <w:t>בדיעבד</w:t>
      </w:r>
      <w:r w:rsidRPr="000150D0">
        <w:rPr>
          <w:rFonts w:cs="Arial"/>
          <w:sz w:val="18"/>
          <w:szCs w:val="18"/>
          <w:rtl/>
        </w:rPr>
        <w:t xml:space="preserve"> (</w:t>
      </w:r>
      <w:r w:rsidRPr="000150D0">
        <w:rPr>
          <w:rFonts w:cs="Arial" w:hint="cs"/>
          <w:sz w:val="18"/>
          <w:szCs w:val="18"/>
          <w:rtl/>
        </w:rPr>
        <w:t>ב</w:t>
      </w:r>
      <w:r w:rsidRPr="000150D0">
        <w:rPr>
          <w:rFonts w:cs="Arial"/>
          <w:sz w:val="18"/>
          <w:szCs w:val="18"/>
          <w:rtl/>
        </w:rPr>
        <w:t>"</w:t>
      </w:r>
      <w:r w:rsidRPr="000150D0">
        <w:rPr>
          <w:rFonts w:cs="Arial" w:hint="cs"/>
          <w:sz w:val="18"/>
          <w:szCs w:val="18"/>
          <w:rtl/>
        </w:rPr>
        <w:t>י</w:t>
      </w:r>
      <w:r w:rsidRPr="000150D0">
        <w:rPr>
          <w:rFonts w:cs="Arial"/>
          <w:sz w:val="18"/>
          <w:szCs w:val="18"/>
          <w:rtl/>
        </w:rPr>
        <w:t xml:space="preserve">). </w:t>
      </w:r>
    </w:p>
    <w:p w14:paraId="462C83F9" w14:textId="2DEFD55C" w:rsidR="00FA2119" w:rsidRDefault="00FA2119" w:rsidP="00FA2119">
      <w:pPr>
        <w:rPr>
          <w:rFonts w:cs="Arial"/>
          <w:rtl/>
        </w:rPr>
      </w:pPr>
      <w:r w:rsidRPr="00164760">
        <w:rPr>
          <w:rFonts w:cs="Arial" w:hint="cs"/>
          <w:u w:val="single"/>
          <w:rtl/>
        </w:rPr>
        <w:t xml:space="preserve">גירש את אשתו בגט מסופק, וחזר וקדשה, ושוב רוצה לגרשה </w:t>
      </w:r>
      <w:r w:rsidR="00A82951">
        <w:rPr>
          <w:rFonts w:cs="Arial"/>
          <w:u w:val="single"/>
          <w:rtl/>
        </w:rPr>
        <w:t>-</w:t>
      </w:r>
      <w:r w:rsidRPr="00164760">
        <w:rPr>
          <w:rFonts w:cs="Arial" w:hint="cs"/>
          <w:u w:val="single"/>
          <w:rtl/>
        </w:rPr>
        <w:t xml:space="preserve"> </w:t>
      </w:r>
      <w:r>
        <w:rPr>
          <w:rFonts w:cs="Arial" w:hint="cs"/>
          <w:u w:val="single"/>
          <w:rtl/>
        </w:rPr>
        <w:t xml:space="preserve">מה </w:t>
      </w:r>
      <w:r w:rsidRPr="00164760">
        <w:rPr>
          <w:rFonts w:cs="Arial" w:hint="cs"/>
          <w:u w:val="single"/>
          <w:rtl/>
        </w:rPr>
        <w:t xml:space="preserve">יכתוב </w:t>
      </w:r>
      <w:r>
        <w:rPr>
          <w:rFonts w:cs="Arial" w:hint="cs"/>
          <w:u w:val="single"/>
          <w:rtl/>
        </w:rPr>
        <w:t>לכתחילה, '</w:t>
      </w:r>
      <w:r w:rsidRPr="00164760">
        <w:rPr>
          <w:rFonts w:cs="Arial" w:hint="cs"/>
          <w:u w:val="single"/>
          <w:rtl/>
        </w:rPr>
        <w:t>אנתתי</w:t>
      </w:r>
      <w:r>
        <w:rPr>
          <w:rFonts w:cs="Arial" w:hint="cs"/>
          <w:u w:val="single"/>
          <w:rtl/>
        </w:rPr>
        <w:t>'</w:t>
      </w:r>
      <w:r w:rsidRPr="00164760">
        <w:rPr>
          <w:rFonts w:cs="Arial" w:hint="cs"/>
          <w:u w:val="single"/>
          <w:rtl/>
        </w:rPr>
        <w:t xml:space="preserve"> או 'ארוסתי':</w:t>
      </w:r>
      <w:r w:rsidRPr="00164760">
        <w:rPr>
          <w:rFonts w:cs="Arial"/>
          <w:sz w:val="16"/>
          <w:szCs w:val="16"/>
          <w:rtl/>
        </w:rPr>
        <w:t xml:space="preserve"> (</w:t>
      </w:r>
      <w:r w:rsidRPr="00164760">
        <w:rPr>
          <w:rFonts w:cs="Arial" w:hint="cs"/>
          <w:sz w:val="16"/>
          <w:szCs w:val="16"/>
          <w:rtl/>
        </w:rPr>
        <w:t>פת"ש סק</w:t>
      </w:r>
      <w:r w:rsidRPr="00164760">
        <w:rPr>
          <w:rFonts w:cs="Arial"/>
          <w:sz w:val="16"/>
          <w:szCs w:val="16"/>
          <w:rtl/>
        </w:rPr>
        <w:t>מ</w:t>
      </w:r>
      <w:r w:rsidRPr="00164760">
        <w:rPr>
          <w:rFonts w:cs="Arial" w:hint="cs"/>
          <w:sz w:val="16"/>
          <w:szCs w:val="16"/>
          <w:rtl/>
        </w:rPr>
        <w:t>"</w:t>
      </w:r>
      <w:r w:rsidRPr="00164760">
        <w:rPr>
          <w:rFonts w:cs="Arial"/>
          <w:sz w:val="16"/>
          <w:szCs w:val="16"/>
          <w:rtl/>
        </w:rPr>
        <w:t>ו)</w:t>
      </w:r>
      <w:r w:rsidRPr="009C1856">
        <w:rPr>
          <w:rFonts w:cs="Arial"/>
          <w:rtl/>
        </w:rPr>
        <w:t xml:space="preserve"> </w:t>
      </w:r>
    </w:p>
    <w:p w14:paraId="34CFBBD4" w14:textId="63A670C5" w:rsidR="00FA2119" w:rsidRDefault="00FA2119" w:rsidP="00FA2119">
      <w:pPr>
        <w:pStyle w:val="ab"/>
        <w:numPr>
          <w:ilvl w:val="0"/>
          <w:numId w:val="59"/>
        </w:numPr>
        <w:rPr>
          <w:rtl/>
        </w:rPr>
      </w:pPr>
      <w:r w:rsidRPr="008A35F0">
        <w:rPr>
          <w:rFonts w:cs="Arial"/>
          <w:rtl/>
        </w:rPr>
        <w:t xml:space="preserve">ג"פ </w:t>
      </w:r>
      <w:r w:rsidRPr="008A35F0">
        <w:rPr>
          <w:rFonts w:cs="Arial" w:hint="cs"/>
          <w:sz w:val="18"/>
          <w:szCs w:val="18"/>
          <w:rtl/>
        </w:rPr>
        <w:t>(</w:t>
      </w:r>
      <w:r w:rsidRPr="008A35F0">
        <w:rPr>
          <w:rFonts w:cs="Arial"/>
          <w:sz w:val="18"/>
          <w:szCs w:val="18"/>
          <w:rtl/>
        </w:rPr>
        <w:t>סקק"ב</w:t>
      </w:r>
      <w:r w:rsidRPr="008A35F0">
        <w:rPr>
          <w:rFonts w:cs="Arial" w:hint="cs"/>
          <w:sz w:val="18"/>
          <w:szCs w:val="18"/>
          <w:rtl/>
        </w:rPr>
        <w:t>)</w:t>
      </w:r>
      <w:r w:rsidR="00A82951">
        <w:rPr>
          <w:rFonts w:cs="Arial" w:hint="cs"/>
          <w:rtl/>
        </w:rPr>
        <w:t>-</w:t>
      </w:r>
      <w:r w:rsidRPr="008A35F0">
        <w:rPr>
          <w:rFonts w:cs="Arial"/>
          <w:rtl/>
        </w:rPr>
        <w:t xml:space="preserve"> אשה נשואה נתגרשה בפני ב"ד הדיוטות ונפל ס</w:t>
      </w:r>
      <w:r w:rsidRPr="008A35F0">
        <w:rPr>
          <w:rFonts w:cs="Arial" w:hint="cs"/>
          <w:rtl/>
        </w:rPr>
        <w:t>פק</w:t>
      </w:r>
      <w:r w:rsidRPr="008A35F0">
        <w:rPr>
          <w:rFonts w:cs="Arial"/>
          <w:rtl/>
        </w:rPr>
        <w:t xml:space="preserve"> בגט אם היה כשר או לא</w:t>
      </w:r>
      <w:r w:rsidRPr="008A35F0">
        <w:rPr>
          <w:rFonts w:cs="Arial" w:hint="cs"/>
          <w:rtl/>
        </w:rPr>
        <w:t>,</w:t>
      </w:r>
      <w:r w:rsidRPr="008A35F0">
        <w:rPr>
          <w:rFonts w:cs="Arial"/>
          <w:rtl/>
        </w:rPr>
        <w:t xml:space="preserve"> וחזר המגרש וקידשה</w:t>
      </w:r>
      <w:r w:rsidRPr="008A35F0">
        <w:rPr>
          <w:rFonts w:cs="Arial" w:hint="cs"/>
          <w:rtl/>
        </w:rPr>
        <w:t>,</w:t>
      </w:r>
      <w:r w:rsidRPr="008A35F0">
        <w:rPr>
          <w:rFonts w:cs="Arial"/>
          <w:rtl/>
        </w:rPr>
        <w:t xml:space="preserve"> ואח"כ חזר בו ורוצה לגרשה</w:t>
      </w:r>
      <w:r w:rsidRPr="008A35F0">
        <w:rPr>
          <w:rFonts w:cs="Arial" w:hint="cs"/>
          <w:rtl/>
        </w:rPr>
        <w:t>,</w:t>
      </w:r>
      <w:r w:rsidRPr="008A35F0">
        <w:rPr>
          <w:rFonts w:cs="Arial"/>
          <w:rtl/>
        </w:rPr>
        <w:t xml:space="preserve"> ועתה שהגט הראשון הוא ספק אם הי</w:t>
      </w:r>
      <w:r w:rsidRPr="008A35F0">
        <w:rPr>
          <w:rFonts w:cs="Arial" w:hint="cs"/>
          <w:rtl/>
        </w:rPr>
        <w:t>ה</w:t>
      </w:r>
      <w:r w:rsidRPr="008A35F0">
        <w:rPr>
          <w:rFonts w:cs="Arial"/>
          <w:rtl/>
        </w:rPr>
        <w:t xml:space="preserve"> כשר</w:t>
      </w:r>
      <w:r w:rsidRPr="008A35F0">
        <w:rPr>
          <w:rFonts w:cs="Arial" w:hint="cs"/>
          <w:rtl/>
        </w:rPr>
        <w:t>,</w:t>
      </w:r>
      <w:r w:rsidRPr="008A35F0">
        <w:rPr>
          <w:rFonts w:cs="Arial"/>
          <w:rtl/>
        </w:rPr>
        <w:t xml:space="preserve"> א"כ חלו הקדושין ויש לכתוב עכשיו ארוסתי לכתחילה</w:t>
      </w:r>
      <w:r w:rsidRPr="008A35F0">
        <w:rPr>
          <w:rFonts w:cs="Arial" w:hint="cs"/>
          <w:rtl/>
        </w:rPr>
        <w:t>.</w:t>
      </w:r>
      <w:r w:rsidRPr="008A35F0">
        <w:rPr>
          <w:rFonts w:cs="Arial"/>
          <w:rtl/>
        </w:rPr>
        <w:t xml:space="preserve"> ואם לא הי</w:t>
      </w:r>
      <w:r w:rsidRPr="008A35F0">
        <w:rPr>
          <w:rFonts w:cs="Arial" w:hint="cs"/>
          <w:rtl/>
        </w:rPr>
        <w:t>ה</w:t>
      </w:r>
      <w:r w:rsidRPr="008A35F0">
        <w:rPr>
          <w:rFonts w:cs="Arial"/>
          <w:rtl/>
        </w:rPr>
        <w:t xml:space="preserve"> גט לא חלו הקדושין ויש לכתוב אנתתי</w:t>
      </w:r>
      <w:r w:rsidRPr="008A35F0">
        <w:rPr>
          <w:rFonts w:cs="Arial" w:hint="cs"/>
          <w:rtl/>
        </w:rPr>
        <w:t xml:space="preserve">. </w:t>
      </w:r>
      <w:r w:rsidRPr="008A35F0">
        <w:rPr>
          <w:rFonts w:cs="Arial"/>
          <w:rtl/>
        </w:rPr>
        <w:t>ולכן לצאת מן הספק צריך לכתוב ב' גיטין</w:t>
      </w:r>
      <w:r w:rsidRPr="008A35F0">
        <w:rPr>
          <w:rFonts w:cs="Arial" w:hint="cs"/>
          <w:rtl/>
        </w:rPr>
        <w:t>,</w:t>
      </w:r>
      <w:r w:rsidRPr="008A35F0">
        <w:rPr>
          <w:rFonts w:cs="Arial"/>
          <w:rtl/>
        </w:rPr>
        <w:t xml:space="preserve"> אחד בלשון אנתתי</w:t>
      </w:r>
      <w:r w:rsidRPr="008A35F0">
        <w:rPr>
          <w:rFonts w:cs="Arial" w:hint="cs"/>
          <w:rtl/>
        </w:rPr>
        <w:t>,</w:t>
      </w:r>
      <w:r w:rsidRPr="008A35F0">
        <w:rPr>
          <w:rFonts w:cs="Arial"/>
          <w:rtl/>
        </w:rPr>
        <w:t xml:space="preserve"> ואחד בלשון ארוסתי</w:t>
      </w:r>
      <w:r w:rsidRPr="008A35F0">
        <w:rPr>
          <w:rFonts w:cs="Arial" w:hint="cs"/>
          <w:rtl/>
        </w:rPr>
        <w:t>.</w:t>
      </w:r>
      <w:r w:rsidRPr="008A35F0">
        <w:rPr>
          <w:rFonts w:cs="Arial"/>
          <w:rtl/>
        </w:rPr>
        <w:t xml:space="preserve"> כן עשה מעשה הרא"ש כמ"ש בתשובה ס"ס יוד וע"ש (והובא ג"כ במל"מ פ"ד מה"ג דין י"ב)</w:t>
      </w:r>
      <w:r w:rsidRPr="008A35F0">
        <w:rPr>
          <w:rFonts w:cs="Arial" w:hint="cs"/>
          <w:rtl/>
        </w:rPr>
        <w:t>.</w:t>
      </w:r>
      <w:r w:rsidRPr="008A35F0">
        <w:rPr>
          <w:rFonts w:cs="Arial"/>
          <w:rtl/>
        </w:rPr>
        <w:t xml:space="preserve"> ולי צ"ע דמדברי ת' הרא"ש שהובא בש"ע לק</w:t>
      </w:r>
      <w:r w:rsidRPr="008A35F0">
        <w:rPr>
          <w:rFonts w:cs="Arial" w:hint="cs"/>
          <w:rtl/>
        </w:rPr>
        <w:t>מן</w:t>
      </w:r>
      <w:r w:rsidRPr="008A35F0">
        <w:rPr>
          <w:rFonts w:cs="Arial"/>
          <w:rtl/>
        </w:rPr>
        <w:t xml:space="preserve"> סי' קמ"ג סי"ו דמ"ש אא"כ יקדשנה ויחזור ויגרשנה סתם ולא כתבו דצריך לתת ב' גיטין</w:t>
      </w:r>
      <w:r w:rsidRPr="008A35F0">
        <w:rPr>
          <w:rFonts w:cs="Arial" w:hint="cs"/>
          <w:rtl/>
        </w:rPr>
        <w:t>,</w:t>
      </w:r>
      <w:r w:rsidRPr="008A35F0">
        <w:rPr>
          <w:rFonts w:cs="Arial"/>
          <w:rtl/>
        </w:rPr>
        <w:t xml:space="preserve"> משמע דבגט א' סגי</w:t>
      </w:r>
      <w:r w:rsidRPr="008A35F0">
        <w:rPr>
          <w:rFonts w:cs="Arial" w:hint="cs"/>
          <w:rtl/>
        </w:rPr>
        <w:t>,</w:t>
      </w:r>
      <w:r w:rsidRPr="008A35F0">
        <w:rPr>
          <w:rFonts w:cs="Arial"/>
          <w:rtl/>
        </w:rPr>
        <w:t xml:space="preserve"> ולענין איך יכתבו דעתי נוטה דיכתבו ארוסתי</w:t>
      </w:r>
      <w:r>
        <w:rPr>
          <w:rStyle w:val="a7"/>
          <w:rFonts w:cs="Arial"/>
          <w:rtl/>
        </w:rPr>
        <w:footnoteReference w:id="840"/>
      </w:r>
      <w:r w:rsidRPr="008A35F0">
        <w:rPr>
          <w:rFonts w:cs="Arial" w:hint="cs"/>
          <w:rtl/>
        </w:rPr>
        <w:t>.</w:t>
      </w:r>
      <w:r>
        <w:rPr>
          <w:rFonts w:cs="Arial" w:hint="cs"/>
          <w:rtl/>
        </w:rPr>
        <w:t>..</w:t>
      </w:r>
      <w:r w:rsidRPr="008A35F0">
        <w:rPr>
          <w:rFonts w:cs="Arial"/>
          <w:rtl/>
        </w:rPr>
        <w:t xml:space="preserve"> </w:t>
      </w:r>
      <w:r>
        <w:rPr>
          <w:rFonts w:cs="Arial" w:hint="cs"/>
          <w:rtl/>
        </w:rPr>
        <w:t>ו</w:t>
      </w:r>
      <w:r w:rsidRPr="007D1560">
        <w:rPr>
          <w:rFonts w:cs="Arial"/>
          <w:rtl/>
        </w:rPr>
        <w:t>אם כתב בתחילת הגט אנת אנתתי פ' ובסוף הגט כתב דהוית ארוסתי</w:t>
      </w:r>
      <w:r>
        <w:rPr>
          <w:rFonts w:cs="Arial" w:hint="cs"/>
          <w:rtl/>
        </w:rPr>
        <w:t>,</w:t>
      </w:r>
      <w:r w:rsidRPr="007D1560">
        <w:rPr>
          <w:rFonts w:cs="Arial"/>
          <w:rtl/>
        </w:rPr>
        <w:t xml:space="preserve"> או להפך שכתב בתחלה אנת ארוסתי ובסוף כתב דהוית אנתתי </w:t>
      </w:r>
      <w:r w:rsidR="00A82951">
        <w:rPr>
          <w:rFonts w:cs="Arial" w:hint="cs"/>
          <w:rtl/>
        </w:rPr>
        <w:t>-</w:t>
      </w:r>
      <w:r>
        <w:rPr>
          <w:rFonts w:cs="Arial" w:hint="cs"/>
          <w:rtl/>
        </w:rPr>
        <w:t xml:space="preserve"> </w:t>
      </w:r>
      <w:r w:rsidRPr="007D1560">
        <w:rPr>
          <w:rFonts w:cs="Arial"/>
          <w:rtl/>
        </w:rPr>
        <w:t>צ"ע אם כשר בדיעבד</w:t>
      </w:r>
      <w:r>
        <w:rPr>
          <w:rFonts w:cs="Arial" w:hint="cs"/>
          <w:rtl/>
        </w:rPr>
        <w:t>.</w:t>
      </w:r>
    </w:p>
    <w:p w14:paraId="20657BB9" w14:textId="77777777" w:rsidR="00FA2119" w:rsidRDefault="00FA2119" w:rsidP="00FA2119">
      <w:pPr>
        <w:rPr>
          <w:rtl/>
        </w:rPr>
      </w:pPr>
    </w:p>
    <w:p w14:paraId="70483B86" w14:textId="77777777" w:rsidR="00FA2119" w:rsidRDefault="00FA2119" w:rsidP="00FA2119">
      <w:pPr>
        <w:pStyle w:val="2"/>
        <w:rPr>
          <w:rtl/>
        </w:rPr>
      </w:pPr>
      <w:r>
        <w:rPr>
          <w:rFonts w:hint="cs"/>
          <w:rtl/>
        </w:rPr>
        <w:t>סעיף</w:t>
      </w:r>
      <w:r>
        <w:rPr>
          <w:rtl/>
        </w:rPr>
        <w:t xml:space="preserve"> </w:t>
      </w:r>
      <w:r>
        <w:rPr>
          <w:rFonts w:hint="cs"/>
          <w:rtl/>
        </w:rPr>
        <w:t xml:space="preserve">מז: יודי"ן שעל האותיות </w:t>
      </w:r>
      <w:r>
        <w:rPr>
          <w:rFonts w:hint="cs"/>
          <w:sz w:val="18"/>
          <w:szCs w:val="18"/>
          <w:rtl/>
        </w:rPr>
        <w:t xml:space="preserve">(ש, ע ,א, וכו') </w:t>
      </w:r>
      <w:r>
        <w:rPr>
          <w:rFonts w:hint="cs"/>
          <w:rtl/>
        </w:rPr>
        <w:t xml:space="preserve">ואינם נוגעים באות. </w:t>
      </w:r>
    </w:p>
    <w:p w14:paraId="1E208349" w14:textId="77777777" w:rsidR="00FA2119" w:rsidRPr="00D27EF9" w:rsidRDefault="00FA2119" w:rsidP="00FA2119">
      <w:pPr>
        <w:rPr>
          <w:u w:val="single"/>
          <w:rtl/>
        </w:rPr>
      </w:pPr>
      <w:r w:rsidRPr="00D27EF9">
        <w:rPr>
          <w:rFonts w:hint="cs"/>
          <w:u w:val="single"/>
          <w:rtl/>
        </w:rPr>
        <w:t>יודי"ן שעל האותיות ואינם נוגעים באות:</w:t>
      </w:r>
    </w:p>
    <w:p w14:paraId="605947E2" w14:textId="72941377" w:rsidR="00FA2119" w:rsidRPr="000D0506" w:rsidRDefault="00FA2119" w:rsidP="00FA2119">
      <w:pPr>
        <w:pStyle w:val="ab"/>
        <w:numPr>
          <w:ilvl w:val="0"/>
          <w:numId w:val="59"/>
        </w:numPr>
      </w:pPr>
      <w:r>
        <w:rPr>
          <w:rFonts w:cs="Arial" w:hint="cs"/>
          <w:rtl/>
        </w:rPr>
        <w:t xml:space="preserve">תרוה"ד </w:t>
      </w:r>
      <w:r w:rsidRPr="00D27EF9">
        <w:rPr>
          <w:rFonts w:cs="Arial" w:hint="cs"/>
          <w:sz w:val="16"/>
          <w:szCs w:val="16"/>
          <w:rtl/>
        </w:rPr>
        <w:t>(</w:t>
      </w:r>
      <w:r w:rsidRPr="00D27EF9">
        <w:rPr>
          <w:rFonts w:cs="Arial"/>
          <w:sz w:val="16"/>
          <w:szCs w:val="16"/>
          <w:rtl/>
        </w:rPr>
        <w:t>סי</w:t>
      </w:r>
      <w:r w:rsidRPr="00D27EF9">
        <w:rPr>
          <w:rFonts w:cs="Arial" w:hint="cs"/>
          <w:sz w:val="16"/>
          <w:szCs w:val="16"/>
          <w:rtl/>
        </w:rPr>
        <w:t>'</w:t>
      </w:r>
      <w:r w:rsidRPr="00D27EF9">
        <w:rPr>
          <w:rFonts w:cs="Arial"/>
          <w:sz w:val="16"/>
          <w:szCs w:val="16"/>
          <w:rtl/>
        </w:rPr>
        <w:t xml:space="preserve"> רל</w:t>
      </w:r>
      <w:r>
        <w:rPr>
          <w:rFonts w:cs="Arial" w:hint="cs"/>
          <w:sz w:val="16"/>
          <w:szCs w:val="16"/>
          <w:rtl/>
        </w:rPr>
        <w:t>, וב</w:t>
      </w:r>
      <w:r w:rsidRPr="000D0506">
        <w:rPr>
          <w:rFonts w:cs="Arial" w:hint="cs"/>
          <w:sz w:val="16"/>
          <w:szCs w:val="16"/>
          <w:rtl/>
        </w:rPr>
        <w:t xml:space="preserve">כתבים </w:t>
      </w:r>
      <w:r w:rsidRPr="000D0506">
        <w:rPr>
          <w:rFonts w:cs="Arial"/>
          <w:sz w:val="16"/>
          <w:szCs w:val="16"/>
          <w:rtl/>
        </w:rPr>
        <w:t>סי</w:t>
      </w:r>
      <w:r w:rsidRPr="000D0506">
        <w:rPr>
          <w:rFonts w:cs="Arial" w:hint="cs"/>
          <w:sz w:val="16"/>
          <w:szCs w:val="16"/>
          <w:rtl/>
        </w:rPr>
        <w:t xml:space="preserve">' </w:t>
      </w:r>
      <w:r w:rsidRPr="000D0506">
        <w:rPr>
          <w:rFonts w:cs="Arial"/>
          <w:sz w:val="16"/>
          <w:szCs w:val="16"/>
          <w:rtl/>
        </w:rPr>
        <w:t>מה</w:t>
      </w:r>
      <w:r w:rsidRPr="00D27EF9">
        <w:rPr>
          <w:rFonts w:cs="Arial" w:hint="cs"/>
          <w:sz w:val="16"/>
          <w:szCs w:val="16"/>
          <w:rtl/>
        </w:rPr>
        <w:t>)</w:t>
      </w:r>
      <w:r w:rsidR="00A82951">
        <w:rPr>
          <w:rFonts w:cs="Arial" w:hint="cs"/>
          <w:rtl/>
        </w:rPr>
        <w:t>-</w:t>
      </w:r>
      <w:r w:rsidRPr="00D27EF9">
        <w:rPr>
          <w:rFonts w:cs="Arial"/>
          <w:rtl/>
        </w:rPr>
        <w:t xml:space="preserve"> שי"ן ועי"ן שבגט שלא היו היודי"ן נוגעים בהן וכן היו"ד שעל גבי האל"ף ושאחורי הצד"י שאינם נוגעים באות אבל הם כתובים כל כך בדיבוק שהתינוק קורא אותם יפה</w:t>
      </w:r>
      <w:r>
        <w:rPr>
          <w:rFonts w:cs="Arial" w:hint="cs"/>
          <w:rtl/>
        </w:rPr>
        <w:t>.</w:t>
      </w:r>
      <w:r w:rsidRPr="00D27EF9">
        <w:rPr>
          <w:rFonts w:cs="Arial"/>
          <w:rtl/>
        </w:rPr>
        <w:t xml:space="preserve"> לכאורה מוכח מתוך דברי הגאונים דיש לפסול אפילו דיעבד</w:t>
      </w:r>
      <w:r w:rsidRPr="00D27EF9">
        <w:rPr>
          <w:rFonts w:cs="Arial" w:hint="cs"/>
          <w:rtl/>
        </w:rPr>
        <w:t>.</w:t>
      </w:r>
      <w:r w:rsidRPr="00D27EF9">
        <w:rPr>
          <w:rFonts w:cs="Arial"/>
          <w:rtl/>
        </w:rPr>
        <w:t xml:space="preserve"> אמנם כי דייקינן שפיר נוכל להכשיר. אמנם לדברי האשיר"י סוף גיטין (בסדר כתיבת הגט) דפוסל אם הדביק מה שצריך להרחיק</w:t>
      </w:r>
      <w:r>
        <w:rPr>
          <w:rFonts w:cs="Arial" w:hint="cs"/>
          <w:rtl/>
        </w:rPr>
        <w:t>,</w:t>
      </w:r>
      <w:r w:rsidRPr="00D27EF9">
        <w:rPr>
          <w:rFonts w:cs="Arial"/>
          <w:rtl/>
        </w:rPr>
        <w:t xml:space="preserve"> הוא הדין אם הרחיק מה שצריך להדביק</w:t>
      </w:r>
      <w:r>
        <w:rPr>
          <w:rFonts w:cs="Arial" w:hint="cs"/>
          <w:rtl/>
        </w:rPr>
        <w:t>...</w:t>
      </w:r>
      <w:r w:rsidRPr="00D27EF9">
        <w:rPr>
          <w:rFonts w:cs="Arial"/>
          <w:rtl/>
        </w:rPr>
        <w:t xml:space="preserve"> </w:t>
      </w:r>
      <w:r>
        <w:rPr>
          <w:rFonts w:cs="Arial" w:hint="cs"/>
          <w:rtl/>
        </w:rPr>
        <w:t xml:space="preserve">אמנם </w:t>
      </w:r>
      <w:r w:rsidRPr="000D0506">
        <w:rPr>
          <w:rFonts w:cs="Arial"/>
          <w:rtl/>
        </w:rPr>
        <w:t>הואיל ונמצא</w:t>
      </w:r>
      <w:r>
        <w:rPr>
          <w:rFonts w:cs="Arial" w:hint="cs"/>
          <w:rtl/>
        </w:rPr>
        <w:t>ו</w:t>
      </w:r>
      <w:r w:rsidRPr="000D0506">
        <w:rPr>
          <w:rFonts w:cs="Arial"/>
          <w:rtl/>
        </w:rPr>
        <w:t xml:space="preserve"> ראיות לכאן ולכאן נכון להחמיר ולהזהיר דאפילו בדיעבד לבי נוקפי דטעות בגט מביא לידי ממזרת</w:t>
      </w:r>
      <w:r>
        <w:rPr>
          <w:rFonts w:cs="Arial" w:hint="cs"/>
          <w:rtl/>
        </w:rPr>
        <w:t>.</w:t>
      </w:r>
    </w:p>
    <w:p w14:paraId="5C278410" w14:textId="75C3E5D6" w:rsidR="00FA2119" w:rsidRPr="00C9640C" w:rsidRDefault="00FA2119" w:rsidP="00FA2119">
      <w:pPr>
        <w:pStyle w:val="ab"/>
        <w:numPr>
          <w:ilvl w:val="0"/>
          <w:numId w:val="59"/>
        </w:numPr>
        <w:rPr>
          <w:rtl/>
        </w:rPr>
      </w:pPr>
      <w:r>
        <w:rPr>
          <w:rFonts w:cs="Arial" w:hint="cs"/>
          <w:rtl/>
        </w:rPr>
        <w:t>ב"י</w:t>
      </w:r>
      <w:r w:rsidR="00A82951">
        <w:rPr>
          <w:rFonts w:cs="Arial" w:hint="cs"/>
          <w:rtl/>
        </w:rPr>
        <w:t>-</w:t>
      </w:r>
      <w:r>
        <w:rPr>
          <w:rFonts w:cs="Arial" w:hint="cs"/>
          <w:rtl/>
        </w:rPr>
        <w:t xml:space="preserve"> </w:t>
      </w:r>
      <w:r w:rsidRPr="00D27EF9">
        <w:rPr>
          <w:rFonts w:cs="Arial"/>
          <w:rtl/>
        </w:rPr>
        <w:t>ולי נראה שאם הוא בטופס פשיטא דכשר</w:t>
      </w:r>
      <w:r w:rsidR="0040199D">
        <w:rPr>
          <w:rFonts w:cs="Arial" w:hint="cs"/>
          <w:rtl/>
        </w:rPr>
        <w:t>,</w:t>
      </w:r>
      <w:r w:rsidRPr="00D27EF9">
        <w:rPr>
          <w:rFonts w:cs="Arial"/>
          <w:rtl/>
        </w:rPr>
        <w:t xml:space="preserve"> דלא גרע מחסרה כל האות דכשר</w:t>
      </w:r>
      <w:r w:rsidR="0040199D">
        <w:rPr>
          <w:rFonts w:cs="Arial" w:hint="cs"/>
          <w:rtl/>
        </w:rPr>
        <w:t>.</w:t>
      </w:r>
      <w:r w:rsidRPr="00D27EF9">
        <w:rPr>
          <w:rFonts w:cs="Arial"/>
          <w:rtl/>
        </w:rPr>
        <w:t xml:space="preserve"> ואפילו אם הוא בתורף נראה להכשיר בדיעבד במקום עיגון מיהא כיון דתינוק קורא אותם יפה</w:t>
      </w:r>
      <w:r>
        <w:rPr>
          <w:rFonts w:cs="Arial" w:hint="cs"/>
          <w:rtl/>
        </w:rPr>
        <w:t>.</w:t>
      </w:r>
      <w:r>
        <w:rPr>
          <w:rFonts w:hint="cs"/>
          <w:rtl/>
        </w:rPr>
        <w:t xml:space="preserve"> </w:t>
      </w:r>
      <w:r w:rsidRPr="00F144D0">
        <w:rPr>
          <w:rFonts w:cs="Arial" w:hint="cs"/>
          <w:color w:val="E36C0A" w:themeColor="accent6" w:themeShade="BF"/>
          <w:rtl/>
        </w:rPr>
        <w:t>(וכ"פ בשו"ע)</w:t>
      </w:r>
    </w:p>
    <w:p w14:paraId="73024748"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9757D75" w14:textId="77777777" w:rsidR="00FA2119" w:rsidRDefault="00FA2119" w:rsidP="00FA2119">
      <w:pPr>
        <w:rPr>
          <w:rtl/>
        </w:rPr>
      </w:pPr>
      <w:r>
        <w:rPr>
          <w:rFonts w:cs="Arial" w:hint="cs"/>
          <w:rtl/>
        </w:rPr>
        <w:t>שי</w:t>
      </w:r>
      <w:r>
        <w:rPr>
          <w:rFonts w:cs="Arial"/>
          <w:rtl/>
        </w:rPr>
        <w:t>"</w:t>
      </w:r>
      <w:r>
        <w:rPr>
          <w:rFonts w:cs="Arial" w:hint="cs"/>
          <w:rtl/>
        </w:rPr>
        <w:t>ן</w:t>
      </w:r>
      <w:r>
        <w:rPr>
          <w:rFonts w:cs="Arial"/>
          <w:rtl/>
        </w:rPr>
        <w:t xml:space="preserve"> </w:t>
      </w:r>
      <w:r>
        <w:rPr>
          <w:rFonts w:cs="Arial" w:hint="cs"/>
          <w:rtl/>
        </w:rPr>
        <w:t>ועי</w:t>
      </w:r>
      <w:r>
        <w:rPr>
          <w:rFonts w:cs="Arial"/>
          <w:rtl/>
        </w:rPr>
        <w:t>"</w:t>
      </w:r>
      <w:r>
        <w:rPr>
          <w:rFonts w:cs="Arial" w:hint="cs"/>
          <w:rtl/>
        </w:rPr>
        <w:t>ן</w:t>
      </w:r>
      <w:r>
        <w:rPr>
          <w:rFonts w:cs="Arial"/>
          <w:rtl/>
        </w:rPr>
        <w:t xml:space="preserve"> </w:t>
      </w:r>
      <w:r>
        <w:rPr>
          <w:rFonts w:cs="Arial" w:hint="cs"/>
          <w:rtl/>
        </w:rPr>
        <w:t>שלא</w:t>
      </w:r>
      <w:r>
        <w:rPr>
          <w:rFonts w:cs="Arial"/>
          <w:rtl/>
        </w:rPr>
        <w:t xml:space="preserve"> </w:t>
      </w:r>
      <w:r>
        <w:rPr>
          <w:rFonts w:cs="Arial" w:hint="cs"/>
          <w:rtl/>
        </w:rPr>
        <w:t>היו</w:t>
      </w:r>
      <w:r>
        <w:rPr>
          <w:rFonts w:cs="Arial"/>
          <w:rtl/>
        </w:rPr>
        <w:t xml:space="preserve"> </w:t>
      </w:r>
      <w:r>
        <w:rPr>
          <w:rFonts w:cs="Arial" w:hint="cs"/>
          <w:rtl/>
        </w:rPr>
        <w:t>היודי</w:t>
      </w:r>
      <w:r>
        <w:rPr>
          <w:rFonts w:cs="Arial"/>
          <w:rtl/>
        </w:rPr>
        <w:t>"</w:t>
      </w:r>
      <w:r>
        <w:rPr>
          <w:rFonts w:cs="Arial" w:hint="cs"/>
          <w:rtl/>
        </w:rPr>
        <w:t>ן</w:t>
      </w:r>
      <w:r>
        <w:rPr>
          <w:rFonts w:cs="Arial"/>
          <w:rtl/>
        </w:rPr>
        <w:t xml:space="preserve"> </w:t>
      </w:r>
      <w:r>
        <w:rPr>
          <w:rFonts w:cs="Arial" w:hint="cs"/>
          <w:rtl/>
        </w:rPr>
        <w:t>נוגעין</w:t>
      </w:r>
      <w:r>
        <w:rPr>
          <w:rFonts w:cs="Arial"/>
          <w:rtl/>
        </w:rPr>
        <w:t xml:space="preserve"> </w:t>
      </w:r>
      <w:r>
        <w:rPr>
          <w:rFonts w:cs="Arial" w:hint="cs"/>
          <w:rtl/>
        </w:rPr>
        <w:t>בהם</w:t>
      </w:r>
      <w:r>
        <w:rPr>
          <w:rFonts w:cs="Arial"/>
          <w:rtl/>
        </w:rPr>
        <w:t xml:space="preserve">, </w:t>
      </w:r>
      <w:r>
        <w:rPr>
          <w:rFonts w:cs="Arial" w:hint="cs"/>
          <w:rtl/>
        </w:rPr>
        <w:t>וכן</w:t>
      </w:r>
      <w:r>
        <w:rPr>
          <w:rFonts w:cs="Arial"/>
          <w:rtl/>
        </w:rPr>
        <w:t xml:space="preserve"> </w:t>
      </w:r>
      <w:r>
        <w:rPr>
          <w:rFonts w:cs="Arial" w:hint="cs"/>
          <w:rtl/>
        </w:rPr>
        <w:t>היו</w:t>
      </w:r>
      <w:r>
        <w:rPr>
          <w:rFonts w:cs="Arial"/>
          <w:rtl/>
        </w:rPr>
        <w:t>"</w:t>
      </w:r>
      <w:r>
        <w:rPr>
          <w:rFonts w:cs="Arial" w:hint="cs"/>
          <w:rtl/>
        </w:rPr>
        <w:t>ד</w:t>
      </w:r>
      <w:r>
        <w:rPr>
          <w:rFonts w:cs="Arial"/>
          <w:rtl/>
        </w:rPr>
        <w:t xml:space="preserve"> </w:t>
      </w:r>
      <w:r>
        <w:rPr>
          <w:rFonts w:cs="Arial" w:hint="cs"/>
          <w:rtl/>
        </w:rPr>
        <w:t>שעל גבי</w:t>
      </w:r>
      <w:r>
        <w:rPr>
          <w:rStyle w:val="a7"/>
          <w:rFonts w:cs="Arial"/>
          <w:rtl/>
        </w:rPr>
        <w:footnoteReference w:id="841"/>
      </w:r>
      <w:r>
        <w:rPr>
          <w:rFonts w:cs="Arial"/>
          <w:rtl/>
        </w:rPr>
        <w:t xml:space="preserve"> </w:t>
      </w:r>
      <w:r>
        <w:rPr>
          <w:rFonts w:cs="Arial" w:hint="cs"/>
          <w:rtl/>
        </w:rPr>
        <w:t>האל</w:t>
      </w:r>
      <w:r>
        <w:rPr>
          <w:rFonts w:cs="Arial"/>
          <w:rtl/>
        </w:rPr>
        <w:t>"</w:t>
      </w:r>
      <w:r>
        <w:rPr>
          <w:rFonts w:cs="Arial" w:hint="cs"/>
          <w:rtl/>
        </w:rPr>
        <w:t>ף</w:t>
      </w:r>
      <w:r>
        <w:rPr>
          <w:rFonts w:cs="Arial"/>
          <w:rtl/>
        </w:rPr>
        <w:t xml:space="preserve"> </w:t>
      </w:r>
      <w:r>
        <w:rPr>
          <w:rFonts w:cs="Arial" w:hint="cs"/>
          <w:rtl/>
        </w:rPr>
        <w:t>ושאחורי</w:t>
      </w:r>
      <w:r>
        <w:rPr>
          <w:rFonts w:cs="Arial"/>
          <w:rtl/>
        </w:rPr>
        <w:t xml:space="preserve"> </w:t>
      </w:r>
      <w:r>
        <w:rPr>
          <w:rFonts w:cs="Arial" w:hint="cs"/>
          <w:rtl/>
        </w:rPr>
        <w:t>הצד</w:t>
      </w:r>
      <w:r>
        <w:rPr>
          <w:rFonts w:cs="Arial"/>
          <w:rtl/>
        </w:rPr>
        <w:t>"</w:t>
      </w:r>
      <w:r>
        <w:rPr>
          <w:rFonts w:cs="Arial" w:hint="cs"/>
          <w:rtl/>
        </w:rPr>
        <w:t>י</w:t>
      </w:r>
      <w:r>
        <w:rPr>
          <w:rFonts w:cs="Arial"/>
          <w:rtl/>
        </w:rPr>
        <w:t xml:space="preserve"> </w:t>
      </w:r>
      <w:r>
        <w:rPr>
          <w:rFonts w:cs="Arial" w:hint="cs"/>
          <w:rtl/>
        </w:rPr>
        <w:t>שאינם</w:t>
      </w:r>
      <w:r>
        <w:rPr>
          <w:rFonts w:cs="Arial"/>
          <w:rtl/>
        </w:rPr>
        <w:t xml:space="preserve"> </w:t>
      </w:r>
      <w:r>
        <w:rPr>
          <w:rFonts w:cs="Arial" w:hint="cs"/>
          <w:rtl/>
        </w:rPr>
        <w:t>נוגעים</w:t>
      </w:r>
      <w:r>
        <w:rPr>
          <w:rFonts w:cs="Arial"/>
          <w:rtl/>
        </w:rPr>
        <w:t xml:space="preserve"> </w:t>
      </w:r>
      <w:r>
        <w:rPr>
          <w:rFonts w:cs="Arial" w:hint="cs"/>
          <w:rtl/>
        </w:rPr>
        <w:t>באות</w:t>
      </w:r>
      <w:r>
        <w:rPr>
          <w:rFonts w:cs="Arial"/>
          <w:rtl/>
        </w:rPr>
        <w:t xml:space="preserve">, </w:t>
      </w:r>
      <w:r>
        <w:rPr>
          <w:rFonts w:cs="Arial" w:hint="cs"/>
          <w:rtl/>
        </w:rPr>
        <w:t>אם</w:t>
      </w:r>
      <w:r>
        <w:rPr>
          <w:rFonts w:cs="Arial"/>
          <w:rtl/>
        </w:rPr>
        <w:t xml:space="preserve"> </w:t>
      </w:r>
      <w:r>
        <w:rPr>
          <w:rFonts w:cs="Arial" w:hint="cs"/>
          <w:rtl/>
        </w:rPr>
        <w:t>התינוק</w:t>
      </w:r>
      <w:r>
        <w:rPr>
          <w:rFonts w:cs="Arial"/>
          <w:rtl/>
        </w:rPr>
        <w:t xml:space="preserve"> </w:t>
      </w:r>
      <w:r>
        <w:rPr>
          <w:rFonts w:cs="Arial" w:hint="cs"/>
          <w:rtl/>
        </w:rPr>
        <w:t>קורא</w:t>
      </w:r>
      <w:r>
        <w:rPr>
          <w:rFonts w:cs="Arial"/>
          <w:rtl/>
        </w:rPr>
        <w:t xml:space="preserve"> </w:t>
      </w:r>
      <w:r>
        <w:rPr>
          <w:rFonts w:cs="Arial" w:hint="cs"/>
          <w:rtl/>
        </w:rPr>
        <w:t>אותם</w:t>
      </w:r>
      <w:r>
        <w:rPr>
          <w:rFonts w:cs="Arial"/>
          <w:rtl/>
        </w:rPr>
        <w:t xml:space="preserve"> </w:t>
      </w:r>
      <w:r>
        <w:rPr>
          <w:rFonts w:cs="Arial" w:hint="cs"/>
          <w:rtl/>
        </w:rPr>
        <w:t>יפה</w:t>
      </w:r>
      <w:r>
        <w:rPr>
          <w:rFonts w:cs="Arial"/>
          <w:rtl/>
        </w:rPr>
        <w:t xml:space="preserve">, </w:t>
      </w:r>
      <w:r>
        <w:rPr>
          <w:rFonts w:cs="Arial" w:hint="cs"/>
          <w:rtl/>
        </w:rPr>
        <w:t>אפילו</w:t>
      </w:r>
      <w:r>
        <w:rPr>
          <w:rFonts w:cs="Arial"/>
          <w:rtl/>
        </w:rPr>
        <w:t xml:space="preserve"> </w:t>
      </w:r>
      <w:r>
        <w:rPr>
          <w:rFonts w:cs="Arial" w:hint="cs"/>
          <w:rtl/>
        </w:rPr>
        <w:t>הם</w:t>
      </w:r>
      <w:r>
        <w:rPr>
          <w:rFonts w:cs="Arial"/>
          <w:rtl/>
        </w:rPr>
        <w:t xml:space="preserve"> </w:t>
      </w:r>
      <w:r>
        <w:rPr>
          <w:rFonts w:cs="Arial" w:hint="cs"/>
          <w:rtl/>
        </w:rPr>
        <w:t>בתורף</w:t>
      </w:r>
      <w:r>
        <w:rPr>
          <w:rFonts w:cs="Arial"/>
          <w:rtl/>
        </w:rPr>
        <w:t xml:space="preserve">, </w:t>
      </w:r>
      <w:r>
        <w:rPr>
          <w:rFonts w:cs="Arial" w:hint="cs"/>
          <w:rtl/>
        </w:rPr>
        <w:t>יש</w:t>
      </w:r>
      <w:r>
        <w:rPr>
          <w:rFonts w:cs="Arial"/>
          <w:rtl/>
        </w:rPr>
        <w:t xml:space="preserve"> </w:t>
      </w:r>
      <w:r>
        <w:rPr>
          <w:rFonts w:cs="Arial" w:hint="cs"/>
          <w:rtl/>
        </w:rPr>
        <w:t>להכשיר</w:t>
      </w:r>
      <w:r>
        <w:rPr>
          <w:rStyle w:val="a7"/>
          <w:rFonts w:cs="Arial"/>
          <w:rtl/>
        </w:rPr>
        <w:footnoteReference w:id="842"/>
      </w:r>
      <w:r>
        <w:rPr>
          <w:rFonts w:cs="Arial"/>
          <w:rtl/>
        </w:rPr>
        <w:t xml:space="preserve"> </w:t>
      </w:r>
      <w:r>
        <w:rPr>
          <w:rFonts w:cs="Arial" w:hint="cs"/>
          <w:rtl/>
        </w:rPr>
        <w:t>במקום</w:t>
      </w:r>
      <w:r>
        <w:rPr>
          <w:rFonts w:cs="Arial"/>
          <w:rtl/>
        </w:rPr>
        <w:t xml:space="preserve"> </w:t>
      </w:r>
      <w:r>
        <w:rPr>
          <w:rFonts w:cs="Arial" w:hint="cs"/>
          <w:rtl/>
        </w:rPr>
        <w:t>עיגון</w:t>
      </w:r>
      <w:r>
        <w:rPr>
          <w:rStyle w:val="a7"/>
          <w:rFonts w:cs="Arial"/>
          <w:rtl/>
        </w:rPr>
        <w:footnoteReference w:id="843"/>
      </w:r>
      <w:r>
        <w:rPr>
          <w:rFonts w:cs="Arial"/>
          <w:rtl/>
        </w:rPr>
        <w:t xml:space="preserve">. </w:t>
      </w:r>
    </w:p>
    <w:p w14:paraId="6B5AC559" w14:textId="77777777" w:rsidR="00FA2119" w:rsidRDefault="00FA2119" w:rsidP="00FA2119">
      <w:pPr>
        <w:rPr>
          <w:rtl/>
        </w:rPr>
      </w:pPr>
    </w:p>
    <w:p w14:paraId="1451CAFD" w14:textId="77777777" w:rsidR="00FA2119" w:rsidRDefault="00FA2119" w:rsidP="00FA2119">
      <w:pPr>
        <w:pStyle w:val="2"/>
        <w:rPr>
          <w:rtl/>
        </w:rPr>
      </w:pPr>
      <w:r>
        <w:rPr>
          <w:rFonts w:hint="cs"/>
          <w:rtl/>
        </w:rPr>
        <w:t>סעיף</w:t>
      </w:r>
      <w:r>
        <w:rPr>
          <w:rtl/>
        </w:rPr>
        <w:t xml:space="preserve"> </w:t>
      </w:r>
      <w:r>
        <w:rPr>
          <w:rFonts w:hint="cs"/>
          <w:rtl/>
        </w:rPr>
        <w:t>מח: רגל ההי"ן שנדבקה לגגן.</w:t>
      </w:r>
    </w:p>
    <w:p w14:paraId="20E515DE" w14:textId="77777777" w:rsidR="00FA2119" w:rsidRPr="00667DE1" w:rsidRDefault="00FA2119" w:rsidP="00FA2119">
      <w:pPr>
        <w:rPr>
          <w:rFonts w:cs="Arial"/>
          <w:sz w:val="16"/>
          <w:szCs w:val="16"/>
        </w:rPr>
      </w:pPr>
      <w:r w:rsidRPr="00157A78">
        <w:rPr>
          <w:rFonts w:cs="Arial" w:hint="cs"/>
          <w:u w:val="single"/>
          <w:rtl/>
        </w:rPr>
        <w:t>אות 'ה' או 'ק' שרגליהם נוגעים בגגם:</w:t>
      </w:r>
      <w:r>
        <w:rPr>
          <w:rFonts w:cs="Arial" w:hint="cs"/>
          <w:sz w:val="16"/>
          <w:szCs w:val="16"/>
          <w:rtl/>
        </w:rPr>
        <w:t xml:space="preserve"> (הועתק מסי' קכה)</w:t>
      </w:r>
    </w:p>
    <w:p w14:paraId="0F84A3D8" w14:textId="6FC02B8C" w:rsidR="00FA2119" w:rsidRDefault="00FA2119" w:rsidP="00FA2119">
      <w:pPr>
        <w:pStyle w:val="ab"/>
        <w:numPr>
          <w:ilvl w:val="0"/>
          <w:numId w:val="46"/>
        </w:numPr>
        <w:rPr>
          <w:rFonts w:cs="Arial"/>
        </w:rPr>
      </w:pPr>
      <w:r w:rsidRPr="00B05A70">
        <w:rPr>
          <w:rFonts w:cs="Arial"/>
          <w:rtl/>
        </w:rPr>
        <w:t xml:space="preserve">מהרי"ק </w:t>
      </w:r>
      <w:r>
        <w:rPr>
          <w:rFonts w:cs="Arial" w:hint="cs"/>
          <w:sz w:val="16"/>
          <w:szCs w:val="16"/>
          <w:rtl/>
        </w:rPr>
        <w:t>(</w:t>
      </w:r>
      <w:r w:rsidRPr="00955F92">
        <w:rPr>
          <w:rFonts w:cs="Arial"/>
          <w:sz w:val="16"/>
          <w:szCs w:val="16"/>
          <w:rtl/>
        </w:rPr>
        <w:t>שורש עא</w:t>
      </w:r>
      <w:r>
        <w:rPr>
          <w:rStyle w:val="a7"/>
          <w:rFonts w:cs="Arial"/>
          <w:sz w:val="16"/>
          <w:szCs w:val="16"/>
          <w:rtl/>
        </w:rPr>
        <w:footnoteReference w:id="844"/>
      </w:r>
      <w:r>
        <w:rPr>
          <w:rFonts w:cs="Arial" w:hint="cs"/>
          <w:sz w:val="16"/>
          <w:szCs w:val="16"/>
          <w:rtl/>
        </w:rPr>
        <w:t>, ושורש צח</w:t>
      </w:r>
      <w:r w:rsidRPr="00955F92">
        <w:rPr>
          <w:rFonts w:cs="Arial" w:hint="cs"/>
          <w:sz w:val="16"/>
          <w:szCs w:val="16"/>
          <w:rtl/>
        </w:rPr>
        <w:t>)</w:t>
      </w:r>
      <w:r w:rsidR="00A82951">
        <w:rPr>
          <w:rFonts w:cs="Arial" w:hint="cs"/>
          <w:rtl/>
        </w:rPr>
        <w:t>-</w:t>
      </w:r>
      <w:r w:rsidRPr="00F213DA">
        <w:rPr>
          <w:rFonts w:cs="Arial"/>
          <w:rtl/>
        </w:rPr>
        <w:t xml:space="preserve"> אם ה"א או קו"ף נוגעים רגליהם לגגם</w:t>
      </w:r>
      <w:r w:rsidRPr="00F213DA">
        <w:rPr>
          <w:rFonts w:cs="Arial" w:hint="cs"/>
          <w:rtl/>
        </w:rPr>
        <w:t xml:space="preserve"> </w:t>
      </w:r>
      <w:r w:rsidRPr="00C8140F">
        <w:rPr>
          <w:rFonts w:cs="Arial" w:hint="cs"/>
          <w:sz w:val="16"/>
          <w:szCs w:val="16"/>
          <w:rtl/>
        </w:rPr>
        <w:t>{ותינוק דל"ח ול"ט קורא אותן</w:t>
      </w:r>
      <w:r>
        <w:rPr>
          <w:rFonts w:cs="Arial" w:hint="cs"/>
          <w:sz w:val="16"/>
          <w:szCs w:val="16"/>
          <w:rtl/>
        </w:rPr>
        <w:t>}</w:t>
      </w:r>
      <w:r>
        <w:rPr>
          <w:rFonts w:cs="Arial" w:hint="cs"/>
          <w:rtl/>
        </w:rPr>
        <w:t>,</w:t>
      </w:r>
      <w:r w:rsidRPr="00F213DA">
        <w:rPr>
          <w:rFonts w:cs="Arial"/>
          <w:rtl/>
        </w:rPr>
        <w:t xml:space="preserve"> והפרידם</w:t>
      </w:r>
      <w:r>
        <w:rPr>
          <w:rFonts w:cs="Arial" w:hint="cs"/>
          <w:rtl/>
        </w:rPr>
        <w:t xml:space="preserve"> הסופר</w:t>
      </w:r>
      <w:r w:rsidRPr="00F213DA">
        <w:rPr>
          <w:rFonts w:cs="Arial"/>
          <w:rtl/>
        </w:rPr>
        <w:t xml:space="preserve"> </w:t>
      </w:r>
      <w:r w:rsidR="00A82951">
        <w:rPr>
          <w:rFonts w:cs="Arial" w:hint="cs"/>
          <w:rtl/>
        </w:rPr>
        <w:t>-</w:t>
      </w:r>
      <w:r w:rsidRPr="00F213DA">
        <w:rPr>
          <w:rFonts w:cs="Arial" w:hint="cs"/>
          <w:rtl/>
        </w:rPr>
        <w:t xml:space="preserve"> </w:t>
      </w:r>
      <w:r w:rsidRPr="00F213DA">
        <w:rPr>
          <w:rFonts w:cs="Arial"/>
          <w:rtl/>
        </w:rPr>
        <w:t>לא מיקרי חק תוכות</w:t>
      </w:r>
      <w:r w:rsidRPr="00F213DA">
        <w:rPr>
          <w:rFonts w:cs="Arial" w:hint="cs"/>
          <w:rtl/>
        </w:rPr>
        <w:t>,</w:t>
      </w:r>
      <w:r w:rsidRPr="00F213DA">
        <w:rPr>
          <w:rFonts w:cs="Arial"/>
          <w:rtl/>
        </w:rPr>
        <w:t xml:space="preserve"> שהרי במרדכי </w:t>
      </w:r>
      <w:r w:rsidRPr="00F213DA">
        <w:rPr>
          <w:rFonts w:cs="Arial"/>
          <w:sz w:val="16"/>
          <w:szCs w:val="16"/>
          <w:rtl/>
        </w:rPr>
        <w:t>(הלכות קטנות סי' תתקנב תתקנג)</w:t>
      </w:r>
      <w:r w:rsidRPr="00F213DA">
        <w:rPr>
          <w:rFonts w:cs="Arial"/>
          <w:rtl/>
        </w:rPr>
        <w:t xml:space="preserve"> הכשיר אפילו בספר תורה ותפילין לעשות כן</w:t>
      </w:r>
      <w:r w:rsidRPr="00F213DA">
        <w:rPr>
          <w:rFonts w:cs="Arial" w:hint="cs"/>
          <w:rtl/>
        </w:rPr>
        <w:t>.</w:t>
      </w:r>
      <w:r w:rsidRPr="00F213DA">
        <w:rPr>
          <w:rFonts w:cs="Arial"/>
          <w:rtl/>
        </w:rPr>
        <w:t xml:space="preserve"> </w:t>
      </w:r>
      <w:r>
        <w:rPr>
          <w:rFonts w:cs="Arial" w:hint="cs"/>
          <w:sz w:val="16"/>
          <w:szCs w:val="16"/>
          <w:rtl/>
        </w:rPr>
        <w:t>{והוסיף בשורש צח</w:t>
      </w:r>
      <w:r w:rsidR="00A82951">
        <w:rPr>
          <w:rFonts w:cs="Arial" w:hint="cs"/>
          <w:sz w:val="16"/>
          <w:szCs w:val="16"/>
          <w:rtl/>
        </w:rPr>
        <w:t>-</w:t>
      </w:r>
      <w:r>
        <w:rPr>
          <w:rFonts w:cs="Arial" w:hint="cs"/>
          <w:sz w:val="16"/>
          <w:szCs w:val="16"/>
          <w:rtl/>
        </w:rPr>
        <w:t xml:space="preserve">} </w:t>
      </w:r>
      <w:r w:rsidRPr="00F213DA">
        <w:rPr>
          <w:rFonts w:cs="Arial"/>
          <w:rtl/>
        </w:rPr>
        <w:t>ומכל מקום לכתחלה אין לסמוך על הפרדת סכין</w:t>
      </w:r>
      <w:r>
        <w:rPr>
          <w:rStyle w:val="a7"/>
          <w:rFonts w:cs="Arial"/>
          <w:rtl/>
        </w:rPr>
        <w:footnoteReference w:id="845"/>
      </w:r>
      <w:r>
        <w:rPr>
          <w:rFonts w:cs="Arial" w:hint="cs"/>
          <w:sz w:val="16"/>
          <w:szCs w:val="16"/>
          <w:rtl/>
        </w:rPr>
        <w:t xml:space="preserve"> (ל' הב"י בשמו)</w:t>
      </w:r>
      <w:r>
        <w:rPr>
          <w:rFonts w:cs="Arial" w:hint="cs"/>
          <w:rtl/>
        </w:rPr>
        <w:t>.</w:t>
      </w:r>
      <w:r w:rsidRPr="00F213DA">
        <w:rPr>
          <w:rFonts w:cs="Arial"/>
          <w:rtl/>
        </w:rPr>
        <w:t xml:space="preserve"> </w:t>
      </w:r>
      <w:r w:rsidRPr="00024824">
        <w:rPr>
          <w:rFonts w:cs="Arial" w:hint="cs"/>
          <w:color w:val="00B0F0"/>
          <w:rtl/>
        </w:rPr>
        <w:t>(וכ"פ הרמ"א</w:t>
      </w:r>
      <w:r>
        <w:rPr>
          <w:rFonts w:cs="Arial" w:hint="cs"/>
          <w:color w:val="00B0F0"/>
          <w:sz w:val="16"/>
          <w:szCs w:val="16"/>
          <w:rtl/>
        </w:rPr>
        <w:t xml:space="preserve"> </w:t>
      </w:r>
      <w:r w:rsidRPr="00CF3AFB">
        <w:rPr>
          <w:rFonts w:cs="Arial" w:hint="cs"/>
          <w:color w:val="000000" w:themeColor="text1"/>
          <w:sz w:val="16"/>
          <w:szCs w:val="16"/>
          <w:rtl/>
        </w:rPr>
        <w:t>[סי' קכה סט"ז]</w:t>
      </w:r>
      <w:r w:rsidRPr="00024824">
        <w:rPr>
          <w:rFonts w:cs="Arial" w:hint="cs"/>
          <w:color w:val="00B0F0"/>
          <w:rtl/>
        </w:rPr>
        <w:t>)</w:t>
      </w:r>
    </w:p>
    <w:p w14:paraId="6E8E3FCD" w14:textId="7032A1CD" w:rsidR="00FA2119" w:rsidRDefault="00FA2119" w:rsidP="00FA2119">
      <w:pPr>
        <w:pStyle w:val="ab"/>
        <w:numPr>
          <w:ilvl w:val="0"/>
          <w:numId w:val="46"/>
        </w:numPr>
        <w:rPr>
          <w:rFonts w:cs="Arial"/>
        </w:rPr>
      </w:pPr>
      <w:r w:rsidRPr="00C8140F">
        <w:rPr>
          <w:rFonts w:cs="Arial"/>
          <w:rtl/>
        </w:rPr>
        <w:t>ת</w:t>
      </w:r>
      <w:r>
        <w:rPr>
          <w:rFonts w:cs="Arial" w:hint="cs"/>
          <w:rtl/>
        </w:rPr>
        <w:t>רו</w:t>
      </w:r>
      <w:r w:rsidRPr="00C8140F">
        <w:rPr>
          <w:rFonts w:cs="Arial"/>
          <w:rtl/>
        </w:rPr>
        <w:t>ה</w:t>
      </w:r>
      <w:r>
        <w:rPr>
          <w:rFonts w:cs="Arial" w:hint="cs"/>
          <w:rtl/>
        </w:rPr>
        <w:t>"ד</w:t>
      </w:r>
      <w:r w:rsidRPr="00C8140F">
        <w:rPr>
          <w:rFonts w:cs="Arial"/>
          <w:rtl/>
        </w:rPr>
        <w:t xml:space="preserve"> </w:t>
      </w:r>
      <w:r w:rsidRPr="00D90DD3">
        <w:rPr>
          <w:rFonts w:cs="Arial" w:hint="cs"/>
          <w:sz w:val="16"/>
          <w:szCs w:val="16"/>
          <w:rtl/>
        </w:rPr>
        <w:t>(</w:t>
      </w:r>
      <w:r w:rsidRPr="00D90DD3">
        <w:rPr>
          <w:rFonts w:cs="Arial"/>
          <w:sz w:val="16"/>
          <w:szCs w:val="16"/>
          <w:rtl/>
        </w:rPr>
        <w:t>סי' רל</w:t>
      </w:r>
      <w:r w:rsidRPr="00D90DD3">
        <w:rPr>
          <w:rFonts w:cs="Arial" w:hint="cs"/>
          <w:sz w:val="16"/>
          <w:szCs w:val="16"/>
          <w:rtl/>
        </w:rPr>
        <w:t>,</w:t>
      </w:r>
      <w:r w:rsidRPr="00D90DD3">
        <w:rPr>
          <w:rFonts w:cs="Arial"/>
          <w:sz w:val="16"/>
          <w:szCs w:val="16"/>
          <w:rtl/>
        </w:rPr>
        <w:t xml:space="preserve"> </w:t>
      </w:r>
      <w:r>
        <w:rPr>
          <w:rFonts w:cs="Arial" w:hint="cs"/>
          <w:sz w:val="16"/>
          <w:szCs w:val="16"/>
          <w:rtl/>
        </w:rPr>
        <w:t>ובכתבים</w:t>
      </w:r>
      <w:r w:rsidRPr="00D90DD3">
        <w:rPr>
          <w:rFonts w:cs="Arial"/>
          <w:sz w:val="16"/>
          <w:szCs w:val="16"/>
          <w:rtl/>
        </w:rPr>
        <w:t xml:space="preserve"> סי' מה</w:t>
      </w:r>
      <w:r>
        <w:rPr>
          <w:rFonts w:cs="Arial" w:hint="cs"/>
          <w:sz w:val="16"/>
          <w:szCs w:val="16"/>
          <w:rtl/>
        </w:rPr>
        <w:t>, כ"כ הדרכ"מ [אות ה*] בשמו</w:t>
      </w:r>
      <w:r w:rsidRPr="00D90DD3">
        <w:rPr>
          <w:rFonts w:cs="Arial" w:hint="cs"/>
          <w:sz w:val="16"/>
          <w:szCs w:val="16"/>
          <w:rtl/>
        </w:rPr>
        <w:t>)</w:t>
      </w:r>
      <w:r w:rsidR="00A82951">
        <w:rPr>
          <w:rFonts w:cs="Arial" w:hint="cs"/>
          <w:rtl/>
        </w:rPr>
        <w:t>-</w:t>
      </w:r>
      <w:r w:rsidRPr="00C8140F">
        <w:rPr>
          <w:rFonts w:cs="Arial"/>
          <w:rtl/>
        </w:rPr>
        <w:t xml:space="preserve"> אם ה' או ק' נוגעין רגליהן לגגן </w:t>
      </w:r>
      <w:r w:rsidR="00A82951">
        <w:rPr>
          <w:rFonts w:cs="Arial"/>
          <w:rtl/>
        </w:rPr>
        <w:t>-</w:t>
      </w:r>
      <w:r>
        <w:rPr>
          <w:rFonts w:cs="Arial" w:hint="cs"/>
          <w:rtl/>
        </w:rPr>
        <w:t xml:space="preserve"> </w:t>
      </w:r>
      <w:r w:rsidRPr="00C8140F">
        <w:rPr>
          <w:rFonts w:cs="Arial"/>
          <w:rtl/>
        </w:rPr>
        <w:t>פסול אף בדיעבד</w:t>
      </w:r>
      <w:r>
        <w:rPr>
          <w:rStyle w:val="a7"/>
          <w:rFonts w:cs="Arial"/>
          <w:rtl/>
        </w:rPr>
        <w:footnoteReference w:id="846"/>
      </w:r>
      <w:r w:rsidRPr="00C8140F">
        <w:rPr>
          <w:rFonts w:cs="Arial" w:hint="cs"/>
          <w:rtl/>
        </w:rPr>
        <w:t>.</w:t>
      </w:r>
    </w:p>
    <w:p w14:paraId="62328D5D" w14:textId="607A2CB5" w:rsidR="00FA2119" w:rsidRDefault="00FA2119" w:rsidP="00FA2119">
      <w:pPr>
        <w:pStyle w:val="ab"/>
        <w:numPr>
          <w:ilvl w:val="0"/>
          <w:numId w:val="46"/>
        </w:numPr>
        <w:rPr>
          <w:rFonts w:cs="Arial"/>
        </w:rPr>
      </w:pPr>
      <w:r>
        <w:rPr>
          <w:rFonts w:cs="Arial" w:hint="cs"/>
          <w:rtl/>
        </w:rPr>
        <w:t>ת</w:t>
      </w:r>
      <w:r w:rsidRPr="00AA766B">
        <w:rPr>
          <w:rFonts w:cs="Arial"/>
          <w:rtl/>
        </w:rPr>
        <w:t>שב"ץ</w:t>
      </w:r>
      <w:r w:rsidRPr="00986016">
        <w:rPr>
          <w:rFonts w:cs="Arial"/>
          <w:sz w:val="16"/>
          <w:szCs w:val="16"/>
          <w:rtl/>
        </w:rPr>
        <w:t xml:space="preserve"> (</w:t>
      </w:r>
      <w:r>
        <w:rPr>
          <w:rFonts w:cs="Arial" w:hint="cs"/>
          <w:sz w:val="16"/>
          <w:szCs w:val="16"/>
          <w:rtl/>
        </w:rPr>
        <w:t>ח"ב סי' פג, וכעין זה כתב ב</w:t>
      </w:r>
      <w:r w:rsidRPr="00986016">
        <w:rPr>
          <w:rFonts w:cs="Arial"/>
          <w:sz w:val="16"/>
          <w:szCs w:val="16"/>
          <w:rtl/>
        </w:rPr>
        <w:t>ח"א סי' ה</w:t>
      </w:r>
      <w:r w:rsidRPr="006D3E29">
        <w:rPr>
          <w:rStyle w:val="a7"/>
          <w:rFonts w:cs="Arial"/>
          <w:sz w:val="16"/>
          <w:szCs w:val="16"/>
          <w:rtl/>
        </w:rPr>
        <w:footnoteReference w:id="847"/>
      </w:r>
      <w:r w:rsidRPr="00986016">
        <w:rPr>
          <w:rFonts w:cs="Arial"/>
          <w:sz w:val="16"/>
          <w:szCs w:val="16"/>
          <w:rtl/>
        </w:rPr>
        <w:t>)</w:t>
      </w:r>
      <w:r w:rsidR="00A82951">
        <w:rPr>
          <w:rFonts w:cs="Arial" w:hint="cs"/>
          <w:rtl/>
        </w:rPr>
        <w:t>-</w:t>
      </w:r>
      <w:r>
        <w:rPr>
          <w:rFonts w:cs="Arial" w:hint="cs"/>
          <w:rtl/>
        </w:rPr>
        <w:t xml:space="preserve"> </w:t>
      </w:r>
      <w:r w:rsidRPr="006D3E29">
        <w:rPr>
          <w:rFonts w:cs="Arial"/>
          <w:rtl/>
        </w:rPr>
        <w:t>והזהירוך על תליית ההין וקופין ואין הדין שוה בההין עם הקופי' כי בקופין הוא כשר בלא שום ספק כלל. ובההין אם תינוק שאינו חכי' ולא טפש קורא אותה ה"א הוא כשר. ואם הוא קורא אותה חי"ת</w:t>
      </w:r>
      <w:r>
        <w:rPr>
          <w:rFonts w:cs="Arial" w:hint="cs"/>
          <w:rtl/>
        </w:rPr>
        <w:t>,</w:t>
      </w:r>
      <w:r w:rsidRPr="006D3E29">
        <w:rPr>
          <w:rFonts w:cs="Arial"/>
          <w:rtl/>
        </w:rPr>
        <w:t xml:space="preserve"> בתורף הגט </w:t>
      </w:r>
      <w:r w:rsidR="00A82951">
        <w:rPr>
          <w:rFonts w:cs="Arial" w:hint="cs"/>
          <w:rtl/>
        </w:rPr>
        <w:t>-</w:t>
      </w:r>
      <w:r>
        <w:rPr>
          <w:rFonts w:cs="Arial" w:hint="cs"/>
          <w:rtl/>
        </w:rPr>
        <w:t xml:space="preserve"> </w:t>
      </w:r>
      <w:r w:rsidRPr="006D3E29">
        <w:rPr>
          <w:rFonts w:cs="Arial"/>
          <w:rtl/>
        </w:rPr>
        <w:t>יש לפסלו</w:t>
      </w:r>
      <w:r>
        <w:rPr>
          <w:rFonts w:cs="Arial" w:hint="cs"/>
          <w:rtl/>
        </w:rPr>
        <w:t>,</w:t>
      </w:r>
      <w:r w:rsidRPr="006D3E29">
        <w:rPr>
          <w:rFonts w:cs="Arial"/>
          <w:rtl/>
        </w:rPr>
        <w:t xml:space="preserve"> כגון שיכתוב סעדיח או שמחח וכיוצא בזה</w:t>
      </w:r>
      <w:r>
        <w:rPr>
          <w:rFonts w:cs="Arial" w:hint="cs"/>
          <w:rtl/>
        </w:rPr>
        <w:t>.</w:t>
      </w:r>
      <w:r w:rsidRPr="006D3E29">
        <w:rPr>
          <w:rFonts w:cs="Arial"/>
          <w:rtl/>
        </w:rPr>
        <w:t xml:space="preserve"> או שכתב למחך שהזהירו מזה הגמ' (גיטין פה</w:t>
      </w:r>
      <w:r>
        <w:rPr>
          <w:rFonts w:cs="Arial" w:hint="cs"/>
          <w:rtl/>
        </w:rPr>
        <w:t>:</w:t>
      </w:r>
      <w:r w:rsidRPr="006D3E29">
        <w:rPr>
          <w:rFonts w:cs="Arial"/>
          <w:rtl/>
        </w:rPr>
        <w:t xml:space="preserve">). אבל בההין אחרות כיון שהם בטופס הגט </w:t>
      </w:r>
      <w:r w:rsidR="00A82951">
        <w:rPr>
          <w:rFonts w:cs="Arial" w:hint="cs"/>
          <w:rtl/>
        </w:rPr>
        <w:t>-</w:t>
      </w:r>
      <w:r>
        <w:rPr>
          <w:rFonts w:cs="Arial" w:hint="cs"/>
          <w:rtl/>
        </w:rPr>
        <w:t xml:space="preserve"> </w:t>
      </w:r>
      <w:r w:rsidRPr="006D3E29">
        <w:rPr>
          <w:rFonts w:cs="Arial"/>
          <w:rtl/>
        </w:rPr>
        <w:t>אין הגט נפסל בכך</w:t>
      </w:r>
      <w:r>
        <w:rPr>
          <w:rFonts w:cs="Arial" w:hint="cs"/>
          <w:rtl/>
        </w:rPr>
        <w:t>,</w:t>
      </w:r>
      <w:r w:rsidRPr="006D3E29">
        <w:rPr>
          <w:rFonts w:cs="Arial"/>
          <w:rtl/>
        </w:rPr>
        <w:t xml:space="preserve"> ולא יהא אלא שלא נכתבה אותה תיבה כיון שהיא מהטופס אין לחוש לה</w:t>
      </w:r>
      <w:r>
        <w:rPr>
          <w:rStyle w:val="a7"/>
          <w:rFonts w:cs="Arial"/>
          <w:rtl/>
        </w:rPr>
        <w:footnoteReference w:id="848"/>
      </w:r>
      <w:r>
        <w:rPr>
          <w:rFonts w:cs="Arial" w:hint="cs"/>
          <w:rtl/>
        </w:rPr>
        <w:t>.</w:t>
      </w:r>
      <w:r w:rsidRPr="006D3E29">
        <w:rPr>
          <w:rFonts w:cs="Arial"/>
          <w:rtl/>
        </w:rPr>
        <w:t xml:space="preserve"> אבל מ"מ יפה עשו שהזהירוך מזה לעשו</w:t>
      </w:r>
      <w:r>
        <w:rPr>
          <w:rFonts w:cs="Arial" w:hint="cs"/>
          <w:rtl/>
        </w:rPr>
        <w:t>ת</w:t>
      </w:r>
      <w:r w:rsidRPr="006D3E29">
        <w:rPr>
          <w:rFonts w:cs="Arial"/>
          <w:rtl/>
        </w:rPr>
        <w:t xml:space="preserve"> כן לכתחלה</w:t>
      </w:r>
      <w:r>
        <w:rPr>
          <w:rFonts w:cs="Arial" w:hint="cs"/>
          <w:rtl/>
        </w:rPr>
        <w:t xml:space="preserve">. </w:t>
      </w:r>
      <w:r w:rsidRPr="00AB5B83">
        <w:rPr>
          <w:rFonts w:cs="Arial" w:hint="cs"/>
          <w:color w:val="E36C0A" w:themeColor="accent6" w:themeShade="BF"/>
          <w:rtl/>
        </w:rPr>
        <w:t>(וכ"פ בשו"ע)</w:t>
      </w:r>
    </w:p>
    <w:p w14:paraId="48660638" w14:textId="77777777" w:rsidR="00FA2119" w:rsidRPr="00AF542E" w:rsidRDefault="00FA2119" w:rsidP="00FA2119">
      <w:pPr>
        <w:rPr>
          <w:rFonts w:cs="Arial"/>
          <w:u w:val="single"/>
        </w:rPr>
      </w:pPr>
      <w:r w:rsidRPr="00AF542E">
        <w:rPr>
          <w:rFonts w:cs="Arial" w:hint="cs"/>
          <w:u w:val="single"/>
          <w:rtl/>
        </w:rPr>
        <w:t>גט שיש בשם האשה רי"ש שנראת כמו וי"ו:</w:t>
      </w:r>
    </w:p>
    <w:p w14:paraId="0D097F98" w14:textId="0B89E1F8" w:rsidR="00FA2119" w:rsidRPr="00AF542E" w:rsidRDefault="00FA2119" w:rsidP="00FA2119">
      <w:pPr>
        <w:pStyle w:val="ab"/>
        <w:numPr>
          <w:ilvl w:val="0"/>
          <w:numId w:val="46"/>
        </w:numPr>
        <w:rPr>
          <w:rFonts w:cs="Arial"/>
          <w:rtl/>
        </w:rPr>
      </w:pPr>
      <w:r>
        <w:rPr>
          <w:rFonts w:cs="Arial" w:hint="cs"/>
          <w:rtl/>
        </w:rPr>
        <w:t xml:space="preserve">רשב"א </w:t>
      </w:r>
      <w:r>
        <w:rPr>
          <w:rFonts w:cs="Arial" w:hint="cs"/>
          <w:sz w:val="16"/>
          <w:szCs w:val="16"/>
          <w:rtl/>
        </w:rPr>
        <w:t>(במיוחסות סי' קמח)</w:t>
      </w:r>
      <w:r w:rsidR="00A82951">
        <w:rPr>
          <w:rFonts w:cs="Arial" w:hint="cs"/>
          <w:rtl/>
        </w:rPr>
        <w:t>-</w:t>
      </w:r>
      <w:r>
        <w:rPr>
          <w:rFonts w:cs="Arial" w:hint="cs"/>
          <w:rtl/>
        </w:rPr>
        <w:t xml:space="preserve"> </w:t>
      </w:r>
      <w:r w:rsidRPr="004B0DD4">
        <w:rPr>
          <w:rFonts w:cs="Arial"/>
          <w:rtl/>
        </w:rPr>
        <w:t>המביא גט ממדינת הים ואמר בפ</w:t>
      </w:r>
      <w:r>
        <w:rPr>
          <w:rFonts w:cs="Arial" w:hint="cs"/>
          <w:rtl/>
        </w:rPr>
        <w:t>ני נכתב</w:t>
      </w:r>
      <w:r w:rsidRPr="004B0DD4">
        <w:rPr>
          <w:rFonts w:cs="Arial"/>
          <w:rtl/>
        </w:rPr>
        <w:t xml:space="preserve"> ובפני נחתם ונתקיים בחותמיו אלא ששם האשה אששראלא</w:t>
      </w:r>
      <w:r>
        <w:rPr>
          <w:rFonts w:cs="Arial" w:hint="cs"/>
          <w:rtl/>
        </w:rPr>
        <w:t>,</w:t>
      </w:r>
      <w:r w:rsidRPr="004B0DD4">
        <w:rPr>
          <w:rFonts w:cs="Arial"/>
          <w:rtl/>
        </w:rPr>
        <w:t xml:space="preserve"> וברי"ש קטנה. אין בגט כמותה רק רי"ש. ועם כל זה גגה גדול מזה. ונמצא בגט ווי"ן גדולות כזאת ואחרות קטנות. ובבואו לפני ב"ד שלחו אחר נערים וקטנים וקראוהו וי"ו. ולכן דנוהו לפסול. לסוף ימים קראו אנשים אחרים ושלחו והביאו מאנשי הארץ שהגט בא משם. ואחד מהם קרא ברי"ש. ואמרו כיון שבאותה הארץ נקרא ברי"ש כשר, דלא גרע ברי"ש מכתיבת כותים. ומהם אמרו שאפילו היה טעות בשם כיון שגופו של גט הרי את מותרת לכל אדם, כתוב כדין כשר שהרי בראשונה היה משנה שמו ושמה. </w:t>
      </w:r>
      <w:r>
        <w:rPr>
          <w:rFonts w:cs="Arial" w:hint="cs"/>
          <w:rtl/>
        </w:rPr>
        <w:t xml:space="preserve">     </w:t>
      </w:r>
      <w:r w:rsidRPr="004B0DD4">
        <w:rPr>
          <w:rFonts w:cs="Arial"/>
          <w:rtl/>
        </w:rPr>
        <w:t>תשובה למורי הרב שפסול. ואם נשאת הולד ממזר. והמכשירים בכמה משניות מפורש שהתירו הערוה. שמשנה שלמה שנינו שינה שמו ושמה וכו' פסול</w:t>
      </w:r>
      <w:r>
        <w:rPr>
          <w:rFonts w:cs="Arial" w:hint="cs"/>
          <w:rtl/>
        </w:rPr>
        <w:t>..</w:t>
      </w:r>
      <w:r w:rsidRPr="004B0DD4">
        <w:rPr>
          <w:rFonts w:cs="Arial"/>
          <w:rtl/>
        </w:rPr>
        <w:t>.</w:t>
      </w:r>
      <w:r w:rsidRPr="00AF542E">
        <w:rPr>
          <w:rtl/>
        </w:rPr>
        <w:t xml:space="preserve"> </w:t>
      </w:r>
      <w:r w:rsidRPr="00AF542E">
        <w:rPr>
          <w:rFonts w:cs="Arial"/>
          <w:rtl/>
        </w:rPr>
        <w:t>ועוד שאמרתם שלא נמצא מן הארץ ההיא שקראה ברי"ש אלא אחד. ועוד שהיו בגט ווי"ן ואיך אפשר שיהיה מקום שיעשו רי"ש ווי"ו שוין, ובטלה דעתו אצל כל אדם. ועוד שלא היה להם להוציא אחר שדנוהו אחרים לפסול</w:t>
      </w:r>
      <w:r>
        <w:rPr>
          <w:rStyle w:val="a7"/>
          <w:rFonts w:cs="Arial"/>
          <w:rtl/>
        </w:rPr>
        <w:footnoteReference w:id="849"/>
      </w:r>
      <w:r w:rsidRPr="00AF542E">
        <w:rPr>
          <w:rFonts w:cs="Arial"/>
          <w:rtl/>
        </w:rPr>
        <w:t>.</w:t>
      </w:r>
      <w:r>
        <w:rPr>
          <w:rFonts w:cs="Arial" w:hint="cs"/>
          <w:rtl/>
        </w:rPr>
        <w:t>..</w:t>
      </w:r>
    </w:p>
    <w:p w14:paraId="40709740"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A675275" w14:textId="77777777" w:rsidR="00FA2119" w:rsidRDefault="00FA2119" w:rsidP="00FA2119">
      <w:pPr>
        <w:rPr>
          <w:rtl/>
        </w:rPr>
      </w:pPr>
      <w:r>
        <w:rPr>
          <w:rFonts w:cs="Arial" w:hint="cs"/>
          <w:rtl/>
        </w:rPr>
        <w:lastRenderedPageBreak/>
        <w:t>אם</w:t>
      </w:r>
      <w:r>
        <w:rPr>
          <w:rFonts w:cs="Arial"/>
          <w:rtl/>
        </w:rPr>
        <w:t xml:space="preserve"> </w:t>
      </w:r>
      <w:r>
        <w:rPr>
          <w:rFonts w:cs="Arial" w:hint="cs"/>
          <w:rtl/>
        </w:rPr>
        <w:t>נדבקו</w:t>
      </w:r>
      <w:r>
        <w:rPr>
          <w:rFonts w:cs="Arial"/>
          <w:rtl/>
        </w:rPr>
        <w:t xml:space="preserve"> </w:t>
      </w:r>
      <w:r>
        <w:rPr>
          <w:rFonts w:cs="Arial" w:hint="cs"/>
          <w:rtl/>
        </w:rPr>
        <w:t>רגלי</w:t>
      </w:r>
      <w:r>
        <w:rPr>
          <w:rFonts w:cs="Arial"/>
          <w:rtl/>
        </w:rPr>
        <w:t xml:space="preserve"> </w:t>
      </w:r>
      <w:r>
        <w:rPr>
          <w:rFonts w:cs="Arial" w:hint="cs"/>
          <w:rtl/>
        </w:rPr>
        <w:t>הי</w:t>
      </w:r>
      <w:r>
        <w:rPr>
          <w:rFonts w:cs="Arial"/>
          <w:rtl/>
        </w:rPr>
        <w:t>"</w:t>
      </w:r>
      <w:r>
        <w:rPr>
          <w:rFonts w:cs="Arial" w:hint="cs"/>
          <w:rtl/>
        </w:rPr>
        <w:t>ן</w:t>
      </w:r>
      <w:r>
        <w:rPr>
          <w:rFonts w:cs="Arial"/>
          <w:rtl/>
        </w:rPr>
        <w:t xml:space="preserve"> </w:t>
      </w:r>
      <w:r>
        <w:rPr>
          <w:rFonts w:cs="Arial" w:hint="cs"/>
          <w:rtl/>
        </w:rPr>
        <w:t>לגגין</w:t>
      </w:r>
      <w:r>
        <w:rPr>
          <w:rFonts w:cs="Arial"/>
          <w:rtl/>
        </w:rPr>
        <w:t xml:space="preserve">, </w:t>
      </w:r>
      <w:r>
        <w:rPr>
          <w:rFonts w:cs="Arial" w:hint="cs"/>
          <w:rtl/>
        </w:rPr>
        <w:t>אם</w:t>
      </w:r>
      <w:r>
        <w:rPr>
          <w:rFonts w:cs="Arial"/>
          <w:rtl/>
        </w:rPr>
        <w:t xml:space="preserve"> </w:t>
      </w:r>
      <w:r>
        <w:rPr>
          <w:rFonts w:cs="Arial" w:hint="cs"/>
          <w:rtl/>
        </w:rPr>
        <w:t>תינוק</w:t>
      </w:r>
      <w:r>
        <w:rPr>
          <w:rFonts w:cs="Arial"/>
          <w:rtl/>
        </w:rPr>
        <w:t xml:space="preserve"> </w:t>
      </w:r>
      <w:r>
        <w:rPr>
          <w:rFonts w:cs="Arial" w:hint="cs"/>
          <w:rtl/>
        </w:rPr>
        <w:t>דלא</w:t>
      </w:r>
      <w:r>
        <w:rPr>
          <w:rFonts w:cs="Arial"/>
          <w:rtl/>
        </w:rPr>
        <w:t xml:space="preserve"> </w:t>
      </w:r>
      <w:r>
        <w:rPr>
          <w:rFonts w:cs="Arial" w:hint="cs"/>
          <w:rtl/>
        </w:rPr>
        <w:t>חכים</w:t>
      </w:r>
      <w:r>
        <w:rPr>
          <w:rFonts w:cs="Arial"/>
          <w:rtl/>
        </w:rPr>
        <w:t xml:space="preserve"> </w:t>
      </w:r>
      <w:r>
        <w:rPr>
          <w:rFonts w:cs="Arial" w:hint="cs"/>
          <w:rtl/>
        </w:rPr>
        <w:t>ולא</w:t>
      </w:r>
      <w:r>
        <w:rPr>
          <w:rFonts w:cs="Arial"/>
          <w:rtl/>
        </w:rPr>
        <w:t xml:space="preserve"> </w:t>
      </w:r>
      <w:r>
        <w:rPr>
          <w:rFonts w:cs="Arial" w:hint="cs"/>
          <w:rtl/>
        </w:rPr>
        <w:t>טיפש</w:t>
      </w:r>
      <w:r>
        <w:rPr>
          <w:rFonts w:cs="Arial"/>
          <w:rtl/>
        </w:rPr>
        <w:t xml:space="preserve"> </w:t>
      </w:r>
      <w:r>
        <w:rPr>
          <w:rFonts w:cs="Arial" w:hint="cs"/>
          <w:rtl/>
        </w:rPr>
        <w:t>קורא</w:t>
      </w:r>
      <w:r>
        <w:rPr>
          <w:rFonts w:cs="Arial"/>
          <w:rtl/>
        </w:rPr>
        <w:t xml:space="preserve"> </w:t>
      </w:r>
      <w:r>
        <w:rPr>
          <w:rFonts w:cs="Arial" w:hint="cs"/>
          <w:rtl/>
        </w:rPr>
        <w:t>אותם</w:t>
      </w:r>
      <w:r>
        <w:rPr>
          <w:rFonts w:cs="Arial"/>
          <w:rtl/>
        </w:rPr>
        <w:t xml:space="preserve">, </w:t>
      </w:r>
      <w:r>
        <w:rPr>
          <w:rFonts w:cs="Arial" w:hint="cs"/>
          <w:rtl/>
        </w:rPr>
        <w:t>יש</w:t>
      </w:r>
      <w:r>
        <w:rPr>
          <w:rFonts w:cs="Arial"/>
          <w:rtl/>
        </w:rPr>
        <w:t xml:space="preserve"> </w:t>
      </w:r>
      <w:r>
        <w:rPr>
          <w:rFonts w:cs="Arial" w:hint="cs"/>
          <w:rtl/>
        </w:rPr>
        <w:t>להכשיר</w:t>
      </w:r>
      <w:r>
        <w:rPr>
          <w:rFonts w:cs="Arial"/>
          <w:rtl/>
        </w:rPr>
        <w:t xml:space="preserve"> </w:t>
      </w:r>
      <w:r>
        <w:rPr>
          <w:rFonts w:cs="Arial" w:hint="cs"/>
          <w:rtl/>
        </w:rPr>
        <w:t>במקום</w:t>
      </w:r>
      <w:r>
        <w:rPr>
          <w:rFonts w:cs="Arial"/>
          <w:rtl/>
        </w:rPr>
        <w:t xml:space="preserve"> </w:t>
      </w:r>
      <w:r>
        <w:rPr>
          <w:rFonts w:cs="Arial" w:hint="cs"/>
          <w:rtl/>
        </w:rPr>
        <w:t>עיגון</w:t>
      </w:r>
      <w:r>
        <w:rPr>
          <w:rFonts w:cs="Arial"/>
          <w:rtl/>
        </w:rPr>
        <w:t xml:space="preserve"> </w:t>
      </w:r>
      <w:r>
        <w:rPr>
          <w:rFonts w:cs="Arial" w:hint="cs"/>
          <w:rtl/>
        </w:rPr>
        <w:t>אפילו</w:t>
      </w:r>
      <w:r>
        <w:rPr>
          <w:rFonts w:cs="Arial"/>
          <w:rtl/>
        </w:rPr>
        <w:t xml:space="preserve"> </w:t>
      </w:r>
      <w:r>
        <w:rPr>
          <w:rFonts w:cs="Arial" w:hint="cs"/>
          <w:rtl/>
        </w:rPr>
        <w:t>אם</w:t>
      </w:r>
      <w:r>
        <w:rPr>
          <w:rFonts w:cs="Arial"/>
          <w:rtl/>
        </w:rPr>
        <w:t xml:space="preserve"> </w:t>
      </w:r>
      <w:r>
        <w:rPr>
          <w:rFonts w:cs="Arial" w:hint="cs"/>
          <w:rtl/>
        </w:rPr>
        <w:t>הוא</w:t>
      </w:r>
      <w:r>
        <w:rPr>
          <w:rFonts w:cs="Arial"/>
          <w:rtl/>
        </w:rPr>
        <w:t xml:space="preserve"> </w:t>
      </w:r>
      <w:r>
        <w:rPr>
          <w:rFonts w:cs="Arial" w:hint="cs"/>
          <w:rtl/>
        </w:rPr>
        <w:t>בתורף</w:t>
      </w:r>
      <w:r>
        <w:rPr>
          <w:rFonts w:cs="Arial"/>
          <w:rtl/>
        </w:rPr>
        <w:t xml:space="preserve">, </w:t>
      </w:r>
      <w:r>
        <w:rPr>
          <w:rFonts w:cs="Arial" w:hint="cs"/>
          <w:rtl/>
        </w:rPr>
        <w:t>ויפריד</w:t>
      </w:r>
      <w:r>
        <w:rPr>
          <w:rFonts w:cs="Arial"/>
          <w:rtl/>
        </w:rPr>
        <w:t xml:space="preserve"> </w:t>
      </w:r>
      <w:r>
        <w:rPr>
          <w:rFonts w:cs="Arial" w:hint="cs"/>
          <w:rtl/>
        </w:rPr>
        <w:t>בסכין</w:t>
      </w:r>
      <w:r>
        <w:rPr>
          <w:rFonts w:cs="Arial"/>
          <w:rtl/>
        </w:rPr>
        <w:t xml:space="preserve"> </w:t>
      </w:r>
      <w:r w:rsidRPr="00474D2E">
        <w:rPr>
          <w:rFonts w:cs="Arial"/>
          <w:sz w:val="18"/>
          <w:szCs w:val="18"/>
          <w:rtl/>
        </w:rPr>
        <w:t>(</w:t>
      </w:r>
      <w:r w:rsidRPr="00474D2E">
        <w:rPr>
          <w:rFonts w:cs="Arial" w:hint="cs"/>
          <w:sz w:val="18"/>
          <w:szCs w:val="18"/>
          <w:rtl/>
        </w:rPr>
        <w:t>וע</w:t>
      </w:r>
      <w:r w:rsidRPr="00474D2E">
        <w:rPr>
          <w:rFonts w:cs="Arial"/>
          <w:sz w:val="18"/>
          <w:szCs w:val="18"/>
          <w:rtl/>
        </w:rPr>
        <w:t>"</w:t>
      </w:r>
      <w:r w:rsidRPr="00474D2E">
        <w:rPr>
          <w:rFonts w:cs="Arial" w:hint="cs"/>
          <w:sz w:val="18"/>
          <w:szCs w:val="18"/>
          <w:rtl/>
        </w:rPr>
        <w:t>ל</w:t>
      </w:r>
      <w:r w:rsidRPr="00474D2E">
        <w:rPr>
          <w:rFonts w:cs="Arial"/>
          <w:sz w:val="18"/>
          <w:szCs w:val="18"/>
          <w:rtl/>
        </w:rPr>
        <w:t xml:space="preserve"> </w:t>
      </w:r>
      <w:r w:rsidRPr="00474D2E">
        <w:rPr>
          <w:rFonts w:cs="Arial" w:hint="cs"/>
          <w:sz w:val="18"/>
          <w:szCs w:val="18"/>
          <w:rtl/>
        </w:rPr>
        <w:t>סי</w:t>
      </w:r>
      <w:r w:rsidRPr="00474D2E">
        <w:rPr>
          <w:rFonts w:cs="Arial"/>
          <w:sz w:val="18"/>
          <w:szCs w:val="18"/>
          <w:rtl/>
        </w:rPr>
        <w:t xml:space="preserve">' </w:t>
      </w:r>
      <w:r w:rsidRPr="00474D2E">
        <w:rPr>
          <w:rFonts w:cs="Arial" w:hint="cs"/>
          <w:sz w:val="18"/>
          <w:szCs w:val="18"/>
          <w:rtl/>
        </w:rPr>
        <w:t>קכ</w:t>
      </w:r>
      <w:r w:rsidRPr="00474D2E">
        <w:rPr>
          <w:rFonts w:cs="Arial"/>
          <w:sz w:val="18"/>
          <w:szCs w:val="18"/>
          <w:rtl/>
        </w:rPr>
        <w:t>"</w:t>
      </w:r>
      <w:r w:rsidRPr="00474D2E">
        <w:rPr>
          <w:rFonts w:cs="Arial" w:hint="cs"/>
          <w:sz w:val="18"/>
          <w:szCs w:val="18"/>
          <w:rtl/>
        </w:rPr>
        <w:t>ה</w:t>
      </w:r>
      <w:r w:rsidRPr="00474D2E">
        <w:rPr>
          <w:rFonts w:cs="Arial"/>
          <w:sz w:val="18"/>
          <w:szCs w:val="18"/>
          <w:rtl/>
        </w:rPr>
        <w:t xml:space="preserve"> </w:t>
      </w:r>
      <w:r w:rsidRPr="00474D2E">
        <w:rPr>
          <w:rFonts w:cs="Arial" w:hint="cs"/>
          <w:sz w:val="18"/>
          <w:szCs w:val="18"/>
          <w:rtl/>
        </w:rPr>
        <w:t>סעיף</w:t>
      </w:r>
      <w:r w:rsidRPr="00474D2E">
        <w:rPr>
          <w:rFonts w:cs="Arial"/>
          <w:sz w:val="18"/>
          <w:szCs w:val="18"/>
          <w:rtl/>
        </w:rPr>
        <w:t xml:space="preserve"> </w:t>
      </w:r>
      <w:r w:rsidRPr="00474D2E">
        <w:rPr>
          <w:rFonts w:cs="Arial" w:hint="cs"/>
          <w:sz w:val="18"/>
          <w:szCs w:val="18"/>
          <w:rtl/>
        </w:rPr>
        <w:t>י</w:t>
      </w:r>
      <w:r w:rsidRPr="00474D2E">
        <w:rPr>
          <w:rFonts w:cs="Arial"/>
          <w:sz w:val="18"/>
          <w:szCs w:val="18"/>
          <w:rtl/>
        </w:rPr>
        <w:t>"</w:t>
      </w:r>
      <w:r w:rsidRPr="00474D2E">
        <w:rPr>
          <w:rFonts w:cs="Arial" w:hint="cs"/>
          <w:sz w:val="18"/>
          <w:szCs w:val="18"/>
          <w:rtl/>
        </w:rPr>
        <w:t>ו</w:t>
      </w:r>
      <w:r w:rsidRPr="00474D2E">
        <w:rPr>
          <w:rFonts w:cs="Arial"/>
          <w:sz w:val="18"/>
          <w:szCs w:val="18"/>
          <w:rtl/>
        </w:rPr>
        <w:t>)</w:t>
      </w:r>
      <w:r>
        <w:rPr>
          <w:rFonts w:cs="Arial"/>
          <w:rtl/>
        </w:rPr>
        <w:t xml:space="preserve">. </w:t>
      </w:r>
    </w:p>
    <w:p w14:paraId="28D33509" w14:textId="77777777" w:rsidR="00FA2119" w:rsidRDefault="00FA2119" w:rsidP="00FA2119">
      <w:pPr>
        <w:rPr>
          <w:rtl/>
        </w:rPr>
      </w:pPr>
    </w:p>
    <w:p w14:paraId="49A66EA3" w14:textId="77777777" w:rsidR="00FA2119" w:rsidRDefault="00FA2119" w:rsidP="00FA2119">
      <w:pPr>
        <w:pStyle w:val="2"/>
        <w:rPr>
          <w:rtl/>
        </w:rPr>
      </w:pPr>
      <w:r>
        <w:rPr>
          <w:rFonts w:hint="cs"/>
          <w:rtl/>
        </w:rPr>
        <w:t>סעיף</w:t>
      </w:r>
      <w:r>
        <w:rPr>
          <w:rtl/>
        </w:rPr>
        <w:t xml:space="preserve"> </w:t>
      </w:r>
      <w:r>
        <w:rPr>
          <w:rFonts w:hint="cs"/>
          <w:rtl/>
        </w:rPr>
        <w:t>מט: חיסר תיבה מהטופס.</w:t>
      </w:r>
    </w:p>
    <w:p w14:paraId="10EF514A" w14:textId="77777777" w:rsidR="00FA2119" w:rsidRPr="005936A9" w:rsidRDefault="00FA2119" w:rsidP="00FA2119">
      <w:pPr>
        <w:rPr>
          <w:u w:val="single"/>
        </w:rPr>
      </w:pPr>
      <w:r w:rsidRPr="005936A9">
        <w:rPr>
          <w:rFonts w:cs="Arial"/>
          <w:u w:val="single"/>
          <w:rtl/>
        </w:rPr>
        <w:t>אם חיסר הסופר ולא כתב להתנסבא</w:t>
      </w:r>
      <w:r w:rsidRPr="005936A9">
        <w:rPr>
          <w:rFonts w:hint="cs"/>
          <w:u w:val="single"/>
          <w:rtl/>
        </w:rPr>
        <w:t>:</w:t>
      </w:r>
    </w:p>
    <w:p w14:paraId="480E30D7" w14:textId="712A1DE9" w:rsidR="00FA2119" w:rsidRPr="00AF542E" w:rsidRDefault="00FA2119" w:rsidP="00FA2119">
      <w:pPr>
        <w:pStyle w:val="ab"/>
        <w:numPr>
          <w:ilvl w:val="0"/>
          <w:numId w:val="15"/>
        </w:numPr>
      </w:pPr>
      <w:r w:rsidRPr="005936A9">
        <w:rPr>
          <w:rFonts w:cs="Arial" w:hint="cs"/>
          <w:rtl/>
        </w:rPr>
        <w:t xml:space="preserve">רשב"א </w:t>
      </w:r>
      <w:r w:rsidRPr="005936A9">
        <w:rPr>
          <w:rFonts w:cs="Arial" w:hint="cs"/>
          <w:sz w:val="16"/>
          <w:szCs w:val="16"/>
          <w:rtl/>
        </w:rPr>
        <w:t>(במיוחסות</w:t>
      </w:r>
      <w:r w:rsidRPr="005936A9">
        <w:rPr>
          <w:rFonts w:cs="Arial"/>
          <w:sz w:val="16"/>
          <w:szCs w:val="16"/>
          <w:rtl/>
        </w:rPr>
        <w:t xml:space="preserve"> סי</w:t>
      </w:r>
      <w:r w:rsidRPr="005936A9">
        <w:rPr>
          <w:rFonts w:cs="Arial" w:hint="cs"/>
          <w:sz w:val="16"/>
          <w:szCs w:val="16"/>
          <w:rtl/>
        </w:rPr>
        <w:t>'</w:t>
      </w:r>
      <w:r w:rsidRPr="005936A9">
        <w:rPr>
          <w:rFonts w:cs="Arial"/>
          <w:sz w:val="16"/>
          <w:szCs w:val="16"/>
          <w:rtl/>
        </w:rPr>
        <w:t xml:space="preserve"> קמה</w:t>
      </w:r>
      <w:r w:rsidRPr="005936A9">
        <w:rPr>
          <w:rFonts w:cs="Arial" w:hint="cs"/>
          <w:sz w:val="16"/>
          <w:szCs w:val="16"/>
          <w:rtl/>
        </w:rPr>
        <w:t>, וכן בשו"ת הרשב"א סי' אלף קסג)</w:t>
      </w:r>
      <w:r w:rsidR="00A82951">
        <w:rPr>
          <w:rFonts w:cs="Arial" w:hint="cs"/>
          <w:rtl/>
        </w:rPr>
        <w:t>-</w:t>
      </w:r>
      <w:r w:rsidRPr="005936A9">
        <w:rPr>
          <w:rFonts w:cs="Arial"/>
          <w:rtl/>
        </w:rPr>
        <w:t xml:space="preserve"> אם חיסר הסופר ולא כתב להתנסבא </w:t>
      </w:r>
      <w:r w:rsidR="00A82951">
        <w:rPr>
          <w:rFonts w:cs="Arial" w:hint="cs"/>
          <w:rtl/>
        </w:rPr>
        <w:t>-</w:t>
      </w:r>
      <w:r>
        <w:rPr>
          <w:rFonts w:cs="Arial" w:hint="cs"/>
          <w:rtl/>
        </w:rPr>
        <w:t xml:space="preserve"> </w:t>
      </w:r>
      <w:r w:rsidRPr="005936A9">
        <w:rPr>
          <w:rFonts w:cs="Arial"/>
          <w:rtl/>
        </w:rPr>
        <w:t>איני רואה בו פיסול</w:t>
      </w:r>
      <w:r>
        <w:rPr>
          <w:rFonts w:cs="Arial" w:hint="cs"/>
          <w:rtl/>
        </w:rPr>
        <w:t>,</w:t>
      </w:r>
      <w:r w:rsidRPr="005936A9">
        <w:rPr>
          <w:rFonts w:cs="Arial"/>
          <w:rtl/>
        </w:rPr>
        <w:t xml:space="preserve"> שהרי יש בו והרי את מותרת לכל אדם</w:t>
      </w:r>
      <w:r>
        <w:rPr>
          <w:rFonts w:cs="Arial" w:hint="cs"/>
          <w:rtl/>
        </w:rPr>
        <w:t>.</w:t>
      </w:r>
      <w:r w:rsidRPr="005936A9">
        <w:rPr>
          <w:rFonts w:cs="Arial"/>
          <w:rtl/>
        </w:rPr>
        <w:t xml:space="preserve"> וכשאמרו (גיטין כו.) בכותב טופסי גיטין שצריך לשייר שם האיש והאשה ואמר שמואל שצריך לשייר אף מקום הרי את מותרת לכל אדם</w:t>
      </w:r>
      <w:r>
        <w:rPr>
          <w:rFonts w:cs="Arial" w:hint="cs"/>
          <w:rtl/>
        </w:rPr>
        <w:t>,</w:t>
      </w:r>
      <w:r w:rsidRPr="005936A9">
        <w:rPr>
          <w:rFonts w:cs="Arial"/>
          <w:rtl/>
        </w:rPr>
        <w:t xml:space="preserve"> לא אמרו צריך לשייר להתנסבא</w:t>
      </w:r>
      <w:r>
        <w:rPr>
          <w:rFonts w:cs="Arial" w:hint="cs"/>
          <w:rtl/>
        </w:rPr>
        <w:t>.</w:t>
      </w:r>
    </w:p>
    <w:p w14:paraId="63748158" w14:textId="298F42D4" w:rsidR="00FA2119" w:rsidRPr="00EE3035" w:rsidRDefault="00FA2119" w:rsidP="00FA2119">
      <w:pPr>
        <w:pStyle w:val="ab"/>
        <w:numPr>
          <w:ilvl w:val="1"/>
          <w:numId w:val="15"/>
        </w:numPr>
      </w:pPr>
      <w:r>
        <w:rPr>
          <w:rFonts w:cs="Arial" w:hint="cs"/>
          <w:rtl/>
        </w:rPr>
        <w:t>ב"י</w:t>
      </w:r>
      <w:r w:rsidR="00A82951">
        <w:rPr>
          <w:rFonts w:cs="Arial" w:hint="cs"/>
          <w:rtl/>
        </w:rPr>
        <w:t>-</w:t>
      </w:r>
      <w:r>
        <w:rPr>
          <w:rFonts w:cs="Arial" w:hint="cs"/>
          <w:rtl/>
        </w:rPr>
        <w:t xml:space="preserve"> </w:t>
      </w:r>
      <w:r w:rsidRPr="005936A9">
        <w:rPr>
          <w:rFonts w:cs="Arial"/>
          <w:rtl/>
        </w:rPr>
        <w:t>ומדבריו אלה משמע שאם חיסר תיבה אחת מהטופס אין הגט נפסל בכך</w:t>
      </w:r>
      <w:r>
        <w:rPr>
          <w:rFonts w:cs="Arial" w:hint="cs"/>
          <w:rtl/>
        </w:rPr>
        <w:t>.</w:t>
      </w:r>
      <w:r w:rsidRPr="00EE3035">
        <w:rPr>
          <w:rFonts w:cs="Arial" w:hint="cs"/>
          <w:color w:val="E36C0A" w:themeColor="accent6" w:themeShade="BF"/>
          <w:rtl/>
        </w:rPr>
        <w:t xml:space="preserve"> </w:t>
      </w:r>
      <w:r w:rsidRPr="00AB5B83">
        <w:rPr>
          <w:rFonts w:cs="Arial" w:hint="cs"/>
          <w:color w:val="E36C0A" w:themeColor="accent6" w:themeShade="BF"/>
          <w:rtl/>
        </w:rPr>
        <w:t>(וכ"פ בשו"ע)</w:t>
      </w:r>
    </w:p>
    <w:p w14:paraId="0792F3A0" w14:textId="77777777" w:rsidR="00FA2119" w:rsidRPr="00EE3035" w:rsidRDefault="00FA2119" w:rsidP="00FA2119">
      <w:pPr>
        <w:rPr>
          <w:u w:val="single"/>
        </w:rPr>
      </w:pPr>
      <w:r w:rsidRPr="00EE3035">
        <w:rPr>
          <w:rFonts w:hint="cs"/>
          <w:u w:val="single"/>
          <w:rtl/>
        </w:rPr>
        <w:t>חיסר וי"ו שניה של המילה 'וכדו' וכתב 'וכד':</w:t>
      </w:r>
    </w:p>
    <w:p w14:paraId="2B98EEC2" w14:textId="37ED1634" w:rsidR="00FA2119" w:rsidRPr="00C9640C" w:rsidRDefault="00FA2119" w:rsidP="00FA2119">
      <w:pPr>
        <w:pStyle w:val="ab"/>
        <w:numPr>
          <w:ilvl w:val="0"/>
          <w:numId w:val="15"/>
        </w:numPr>
        <w:rPr>
          <w:rtl/>
        </w:rPr>
      </w:pPr>
      <w:r w:rsidRPr="005936A9">
        <w:rPr>
          <w:rFonts w:cs="Arial"/>
          <w:rtl/>
        </w:rPr>
        <w:t xml:space="preserve">רשב"א </w:t>
      </w:r>
      <w:r w:rsidRPr="00EE3035">
        <w:rPr>
          <w:rFonts w:cs="Arial" w:hint="cs"/>
          <w:sz w:val="16"/>
          <w:szCs w:val="16"/>
          <w:rtl/>
        </w:rPr>
        <w:t>(</w:t>
      </w:r>
      <w:r w:rsidRPr="00EE3035">
        <w:rPr>
          <w:rFonts w:cs="Arial"/>
          <w:sz w:val="16"/>
          <w:szCs w:val="16"/>
          <w:rtl/>
        </w:rPr>
        <w:t>החדשות (מכתב יד) סי</w:t>
      </w:r>
      <w:r w:rsidRPr="00EE3035">
        <w:rPr>
          <w:rFonts w:cs="Arial" w:hint="cs"/>
          <w:sz w:val="16"/>
          <w:szCs w:val="16"/>
          <w:rtl/>
        </w:rPr>
        <w:t>'</w:t>
      </w:r>
      <w:r w:rsidRPr="00EE3035">
        <w:rPr>
          <w:rFonts w:cs="Arial"/>
          <w:sz w:val="16"/>
          <w:szCs w:val="16"/>
          <w:rtl/>
        </w:rPr>
        <w:t xml:space="preserve"> רה</w:t>
      </w:r>
      <w:r w:rsidRPr="00EE3035">
        <w:rPr>
          <w:rFonts w:cs="Arial" w:hint="cs"/>
          <w:sz w:val="16"/>
          <w:szCs w:val="16"/>
          <w:rtl/>
        </w:rPr>
        <w:t>)</w:t>
      </w:r>
      <w:r w:rsidR="00A82951">
        <w:rPr>
          <w:rFonts w:cs="Arial" w:hint="cs"/>
          <w:rtl/>
        </w:rPr>
        <w:t>-</w:t>
      </w:r>
      <w:r>
        <w:rPr>
          <w:rFonts w:cs="Arial" w:hint="cs"/>
          <w:rtl/>
        </w:rPr>
        <w:t xml:space="preserve"> </w:t>
      </w:r>
      <w:r w:rsidRPr="005936A9">
        <w:rPr>
          <w:rFonts w:cs="Arial"/>
          <w:rtl/>
        </w:rPr>
        <w:t>ולענין מה שכתבת חסרון וי"ו דוכדו דלא הוה כתוב אלא וכד אם נפסל בכך</w:t>
      </w:r>
      <w:r>
        <w:rPr>
          <w:rFonts w:cs="Arial" w:hint="cs"/>
          <w:rtl/>
        </w:rPr>
        <w:t>.</w:t>
      </w:r>
      <w:r w:rsidRPr="005936A9">
        <w:rPr>
          <w:rFonts w:cs="Arial"/>
          <w:rtl/>
        </w:rPr>
        <w:t xml:space="preserve"> תשובה</w:t>
      </w:r>
      <w:r>
        <w:rPr>
          <w:rFonts w:cs="Arial" w:hint="cs"/>
          <w:rtl/>
        </w:rPr>
        <w:t>:</w:t>
      </w:r>
      <w:r w:rsidRPr="005936A9">
        <w:rPr>
          <w:rFonts w:cs="Arial"/>
          <w:rtl/>
        </w:rPr>
        <w:t xml:space="preserve"> כל מקום שאינו מעיקר הגט אינו פוסל</w:t>
      </w:r>
      <w:r>
        <w:rPr>
          <w:rStyle w:val="a7"/>
          <w:rtl/>
        </w:rPr>
        <w:footnoteReference w:id="850"/>
      </w:r>
      <w:r>
        <w:rPr>
          <w:rFonts w:hint="cs"/>
          <w:rtl/>
        </w:rPr>
        <w:t>.</w:t>
      </w:r>
      <w:r>
        <w:rPr>
          <w:rFonts w:hint="cs"/>
          <w:color w:val="00B0F0"/>
          <w:rtl/>
        </w:rPr>
        <w:t xml:space="preserve"> </w:t>
      </w:r>
      <w:r w:rsidRPr="005936A9">
        <w:rPr>
          <w:rFonts w:hint="cs"/>
          <w:color w:val="00B0F0"/>
          <w:rtl/>
        </w:rPr>
        <w:t>(וכ"פ הרמ"א)</w:t>
      </w:r>
    </w:p>
    <w:p w14:paraId="250C53B5" w14:textId="77777777" w:rsidR="00FA2119" w:rsidRDefault="00FA2119" w:rsidP="00FA2119">
      <w:pPr>
        <w:rPr>
          <w:rFonts w:cs="Arial"/>
          <w:rtl/>
        </w:rPr>
      </w:pPr>
      <w:r w:rsidRPr="00AD56B6">
        <w:rPr>
          <w:rFonts w:cs="Arial" w:hint="cs"/>
          <w:u w:val="single"/>
          <w:rtl/>
        </w:rPr>
        <w:t xml:space="preserve">אותיות יתרות בחלק </w:t>
      </w:r>
      <w:r>
        <w:rPr>
          <w:rFonts w:cs="Arial" w:hint="cs"/>
          <w:u w:val="single"/>
          <w:rtl/>
        </w:rPr>
        <w:t>מהתיבות של הגט</w:t>
      </w:r>
      <w:r w:rsidRPr="00AD56B6">
        <w:rPr>
          <w:rFonts w:cs="Arial" w:hint="cs"/>
          <w:u w:val="single"/>
          <w:rtl/>
        </w:rPr>
        <w:t>:</w:t>
      </w:r>
      <w:r>
        <w:rPr>
          <w:rFonts w:cs="Arial" w:hint="cs"/>
          <w:rtl/>
        </w:rPr>
        <w:t xml:space="preserve"> </w:t>
      </w:r>
    </w:p>
    <w:p w14:paraId="64F40850" w14:textId="1CABE1DE" w:rsidR="00FA2119" w:rsidRPr="001178FB" w:rsidRDefault="00FA2119" w:rsidP="00FA2119">
      <w:pPr>
        <w:pStyle w:val="ab"/>
        <w:numPr>
          <w:ilvl w:val="0"/>
          <w:numId w:val="15"/>
        </w:numPr>
      </w:pPr>
      <w:r w:rsidRPr="00AD56B6">
        <w:rPr>
          <w:rFonts w:cs="Arial"/>
          <w:rtl/>
        </w:rPr>
        <w:t>ריב"ש</w:t>
      </w:r>
      <w:r w:rsidRPr="00AD56B6">
        <w:rPr>
          <w:rFonts w:cs="Arial"/>
          <w:sz w:val="16"/>
          <w:szCs w:val="16"/>
          <w:rtl/>
        </w:rPr>
        <w:t xml:space="preserve"> </w:t>
      </w:r>
      <w:r w:rsidRPr="00AD56B6">
        <w:rPr>
          <w:rFonts w:cs="Arial" w:hint="cs"/>
          <w:sz w:val="16"/>
          <w:szCs w:val="16"/>
          <w:rtl/>
        </w:rPr>
        <w:t>(</w:t>
      </w:r>
      <w:r w:rsidRPr="00AD56B6">
        <w:rPr>
          <w:rFonts w:cs="Arial"/>
          <w:sz w:val="16"/>
          <w:szCs w:val="16"/>
          <w:rtl/>
        </w:rPr>
        <w:t>סי</w:t>
      </w:r>
      <w:r w:rsidRPr="00AD56B6">
        <w:rPr>
          <w:rFonts w:cs="Arial" w:hint="cs"/>
          <w:sz w:val="16"/>
          <w:szCs w:val="16"/>
          <w:rtl/>
        </w:rPr>
        <w:t>'</w:t>
      </w:r>
      <w:r w:rsidRPr="00AD56B6">
        <w:rPr>
          <w:rFonts w:cs="Arial"/>
          <w:sz w:val="16"/>
          <w:szCs w:val="16"/>
          <w:rtl/>
        </w:rPr>
        <w:t xml:space="preserve"> רה</w:t>
      </w:r>
      <w:r w:rsidRPr="00AD56B6">
        <w:rPr>
          <w:rFonts w:cs="Arial" w:hint="cs"/>
          <w:sz w:val="16"/>
          <w:szCs w:val="16"/>
          <w:rtl/>
        </w:rPr>
        <w:t>)</w:t>
      </w:r>
      <w:r w:rsidR="00A82951">
        <w:rPr>
          <w:rFonts w:cs="Arial" w:hint="cs"/>
          <w:rtl/>
        </w:rPr>
        <w:t>-</w:t>
      </w:r>
      <w:r w:rsidRPr="00AD56B6">
        <w:rPr>
          <w:rFonts w:cs="Arial"/>
          <w:rtl/>
        </w:rPr>
        <w:t xml:space="preserve"> גט שהיו בו אותיות יתירות בקצת תיבות</w:t>
      </w:r>
      <w:r w:rsidRPr="00AD56B6">
        <w:rPr>
          <w:rFonts w:cs="Arial" w:hint="cs"/>
          <w:rtl/>
        </w:rPr>
        <w:t>,</w:t>
      </w:r>
      <w:r w:rsidRPr="00AD56B6">
        <w:rPr>
          <w:rFonts w:cs="Arial"/>
          <w:rtl/>
        </w:rPr>
        <w:t xml:space="preserve"> כיון שאי אפשר לשנות המלות ההן ממשמעותן בשביל התוספת ההוא </w:t>
      </w:r>
      <w:r w:rsidR="00A82951">
        <w:rPr>
          <w:rFonts w:cs="Arial" w:hint="cs"/>
          <w:rtl/>
        </w:rPr>
        <w:t>-</w:t>
      </w:r>
      <w:r w:rsidRPr="00AD56B6">
        <w:rPr>
          <w:rFonts w:cs="Arial" w:hint="cs"/>
          <w:rtl/>
        </w:rPr>
        <w:t xml:space="preserve"> </w:t>
      </w:r>
      <w:r w:rsidRPr="00AD56B6">
        <w:rPr>
          <w:rFonts w:cs="Arial"/>
          <w:rtl/>
        </w:rPr>
        <w:t>אין בהם שום גריעות</w:t>
      </w:r>
      <w:r w:rsidRPr="00AD56B6">
        <w:rPr>
          <w:rFonts w:cs="Arial" w:hint="cs"/>
          <w:rtl/>
        </w:rPr>
        <w:t>.</w:t>
      </w:r>
      <w:r w:rsidRPr="00AD56B6">
        <w:rPr>
          <w:rFonts w:cs="Arial"/>
          <w:rtl/>
        </w:rPr>
        <w:t xml:space="preserve"> וכל אותם דקדוקים שנזכרו בגמרא (גיטין פה:) כגון לא יתנסבא וכו' הוא לפי שמשמעות הלשון משתנה בשביל זה לפסול הגט</w:t>
      </w:r>
      <w:r w:rsidRPr="00AD56B6">
        <w:rPr>
          <w:rFonts w:cs="Arial" w:hint="cs"/>
          <w:rtl/>
        </w:rPr>
        <w:t>,</w:t>
      </w:r>
      <w:r w:rsidRPr="00AD56B6">
        <w:rPr>
          <w:rFonts w:cs="Arial"/>
          <w:rtl/>
        </w:rPr>
        <w:t xml:space="preserve"> אבל בזולת זה אין קפידא</w:t>
      </w:r>
      <w:r>
        <w:rPr>
          <w:rStyle w:val="a7"/>
          <w:rFonts w:cs="Arial"/>
          <w:rtl/>
        </w:rPr>
        <w:footnoteReference w:id="851"/>
      </w:r>
      <w:r w:rsidRPr="00AD56B6">
        <w:rPr>
          <w:rFonts w:cs="Arial" w:hint="cs"/>
          <w:rtl/>
        </w:rPr>
        <w:t>.</w:t>
      </w:r>
      <w:r>
        <w:rPr>
          <w:rFonts w:hint="cs"/>
          <w:rtl/>
        </w:rPr>
        <w:t xml:space="preserve"> </w:t>
      </w:r>
      <w:r w:rsidRPr="005936A9">
        <w:rPr>
          <w:rFonts w:hint="cs"/>
          <w:color w:val="00B0F0"/>
          <w:rtl/>
        </w:rPr>
        <w:t>(וכ"פ הרמ"א)</w:t>
      </w:r>
    </w:p>
    <w:p w14:paraId="00EFE2CC"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DDC57A5" w14:textId="77777777" w:rsidR="00FA2119" w:rsidRDefault="00FA2119" w:rsidP="00FA2119">
      <w:pPr>
        <w:rPr>
          <w:rtl/>
        </w:rPr>
      </w:pPr>
      <w:r>
        <w:rPr>
          <w:rFonts w:cs="Arial" w:hint="cs"/>
          <w:rtl/>
        </w:rPr>
        <w:t>אם</w:t>
      </w:r>
      <w:r>
        <w:rPr>
          <w:rFonts w:cs="Arial"/>
          <w:rtl/>
        </w:rPr>
        <w:t xml:space="preserve"> </w:t>
      </w:r>
      <w:r>
        <w:rPr>
          <w:rFonts w:cs="Arial" w:hint="cs"/>
          <w:rtl/>
        </w:rPr>
        <w:t>חיסר</w:t>
      </w:r>
      <w:r>
        <w:rPr>
          <w:rFonts w:cs="Arial"/>
          <w:rtl/>
        </w:rPr>
        <w:t xml:space="preserve"> </w:t>
      </w:r>
      <w:r>
        <w:rPr>
          <w:rFonts w:cs="Arial" w:hint="cs"/>
          <w:rtl/>
        </w:rPr>
        <w:t>תיבה</w:t>
      </w:r>
      <w:r>
        <w:rPr>
          <w:rFonts w:cs="Arial"/>
          <w:rtl/>
        </w:rPr>
        <w:t xml:space="preserve"> </w:t>
      </w:r>
      <w:r>
        <w:rPr>
          <w:rFonts w:cs="Arial" w:hint="cs"/>
          <w:rtl/>
        </w:rPr>
        <w:t>אחת</w:t>
      </w:r>
      <w:r>
        <w:rPr>
          <w:rFonts w:cs="Arial"/>
          <w:rtl/>
        </w:rPr>
        <w:t xml:space="preserve"> </w:t>
      </w:r>
      <w:r>
        <w:rPr>
          <w:rFonts w:cs="Arial" w:hint="cs"/>
          <w:rtl/>
        </w:rPr>
        <w:t>מהטופס</w:t>
      </w:r>
      <w:r>
        <w:rPr>
          <w:rFonts w:cs="Arial"/>
          <w:rtl/>
        </w:rPr>
        <w:t xml:space="preserve">, </w:t>
      </w:r>
      <w:r>
        <w:rPr>
          <w:rFonts w:cs="Arial" w:hint="cs"/>
          <w:rtl/>
        </w:rPr>
        <w:t>לא</w:t>
      </w:r>
      <w:r>
        <w:rPr>
          <w:rFonts w:cs="Arial"/>
          <w:rtl/>
        </w:rPr>
        <w:t xml:space="preserve"> </w:t>
      </w:r>
      <w:r>
        <w:rPr>
          <w:rFonts w:cs="Arial" w:hint="cs"/>
          <w:rtl/>
        </w:rPr>
        <w:t>נפסל</w:t>
      </w:r>
      <w:r>
        <w:rPr>
          <w:rFonts w:cs="Arial"/>
          <w:rtl/>
        </w:rPr>
        <w:t xml:space="preserve"> </w:t>
      </w:r>
      <w:r>
        <w:rPr>
          <w:rFonts w:cs="Arial" w:hint="cs"/>
          <w:rtl/>
        </w:rPr>
        <w:t>בכך</w:t>
      </w:r>
      <w:r>
        <w:rPr>
          <w:rFonts w:cs="Arial"/>
          <w:rtl/>
        </w:rPr>
        <w:t xml:space="preserve">. </w:t>
      </w:r>
      <w:r>
        <w:rPr>
          <w:rFonts w:cs="Arial" w:hint="cs"/>
          <w:sz w:val="18"/>
          <w:szCs w:val="18"/>
          <w:rtl/>
        </w:rPr>
        <w:t xml:space="preserve">[הגה] </w:t>
      </w:r>
      <w:r w:rsidRPr="00E979E0">
        <w:rPr>
          <w:rFonts w:cs="Arial" w:hint="cs"/>
          <w:sz w:val="18"/>
          <w:szCs w:val="18"/>
          <w:rtl/>
        </w:rPr>
        <w:t>וכל</w:t>
      </w:r>
      <w:r w:rsidRPr="00E979E0">
        <w:rPr>
          <w:rFonts w:cs="Arial"/>
          <w:sz w:val="18"/>
          <w:szCs w:val="18"/>
          <w:rtl/>
        </w:rPr>
        <w:t xml:space="preserve"> </w:t>
      </w:r>
      <w:r w:rsidRPr="00E979E0">
        <w:rPr>
          <w:rFonts w:cs="Arial" w:hint="cs"/>
          <w:sz w:val="18"/>
          <w:szCs w:val="18"/>
          <w:rtl/>
        </w:rPr>
        <w:t>שכן</w:t>
      </w:r>
      <w:r w:rsidRPr="00E979E0">
        <w:rPr>
          <w:rFonts w:cs="Arial"/>
          <w:sz w:val="18"/>
          <w:szCs w:val="18"/>
          <w:rtl/>
        </w:rPr>
        <w:t xml:space="preserve"> </w:t>
      </w:r>
      <w:r w:rsidRPr="00E979E0">
        <w:rPr>
          <w:rFonts w:cs="Arial" w:hint="cs"/>
          <w:sz w:val="18"/>
          <w:szCs w:val="18"/>
          <w:rtl/>
        </w:rPr>
        <w:t>אם</w:t>
      </w:r>
      <w:r w:rsidRPr="00E979E0">
        <w:rPr>
          <w:rFonts w:cs="Arial"/>
          <w:sz w:val="18"/>
          <w:szCs w:val="18"/>
          <w:rtl/>
        </w:rPr>
        <w:t xml:space="preserve"> </w:t>
      </w:r>
      <w:r w:rsidRPr="00E979E0">
        <w:rPr>
          <w:rFonts w:cs="Arial" w:hint="cs"/>
          <w:sz w:val="18"/>
          <w:szCs w:val="18"/>
          <w:rtl/>
        </w:rPr>
        <w:t>חסר</w:t>
      </w:r>
      <w:r w:rsidRPr="00E979E0">
        <w:rPr>
          <w:rFonts w:cs="Arial"/>
          <w:sz w:val="18"/>
          <w:szCs w:val="18"/>
          <w:rtl/>
        </w:rPr>
        <w:t xml:space="preserve"> </w:t>
      </w:r>
      <w:r w:rsidRPr="00E979E0">
        <w:rPr>
          <w:rFonts w:cs="Arial" w:hint="cs"/>
          <w:sz w:val="18"/>
          <w:szCs w:val="18"/>
          <w:rtl/>
        </w:rPr>
        <w:t>וי</w:t>
      </w:r>
      <w:r w:rsidRPr="00E979E0">
        <w:rPr>
          <w:rFonts w:cs="Arial"/>
          <w:sz w:val="18"/>
          <w:szCs w:val="18"/>
          <w:rtl/>
        </w:rPr>
        <w:t>"</w:t>
      </w:r>
      <w:r w:rsidRPr="00E979E0">
        <w:rPr>
          <w:rFonts w:cs="Arial" w:hint="cs"/>
          <w:sz w:val="18"/>
          <w:szCs w:val="18"/>
          <w:rtl/>
        </w:rPr>
        <w:t>ו</w:t>
      </w:r>
      <w:r w:rsidRPr="00E979E0">
        <w:rPr>
          <w:rFonts w:cs="Arial"/>
          <w:sz w:val="18"/>
          <w:szCs w:val="18"/>
          <w:rtl/>
        </w:rPr>
        <w:t xml:space="preserve"> </w:t>
      </w:r>
      <w:r w:rsidRPr="00E979E0">
        <w:rPr>
          <w:rFonts w:cs="Arial" w:hint="cs"/>
          <w:sz w:val="18"/>
          <w:szCs w:val="18"/>
          <w:rtl/>
        </w:rPr>
        <w:t>שנייה</w:t>
      </w:r>
      <w:r w:rsidRPr="00E979E0">
        <w:rPr>
          <w:rFonts w:cs="Arial"/>
          <w:sz w:val="18"/>
          <w:szCs w:val="18"/>
          <w:rtl/>
        </w:rPr>
        <w:t xml:space="preserve"> </w:t>
      </w:r>
      <w:r w:rsidRPr="00E979E0">
        <w:rPr>
          <w:rFonts w:cs="Arial" w:hint="cs"/>
          <w:sz w:val="18"/>
          <w:szCs w:val="18"/>
          <w:rtl/>
        </w:rPr>
        <w:t>של</w:t>
      </w:r>
      <w:r w:rsidRPr="00E979E0">
        <w:rPr>
          <w:rFonts w:cs="Arial"/>
          <w:sz w:val="18"/>
          <w:szCs w:val="18"/>
          <w:rtl/>
        </w:rPr>
        <w:t xml:space="preserve"> </w:t>
      </w:r>
      <w:r w:rsidRPr="00E979E0">
        <w:rPr>
          <w:rFonts w:cs="Arial" w:hint="cs"/>
          <w:sz w:val="18"/>
          <w:szCs w:val="18"/>
          <w:rtl/>
        </w:rPr>
        <w:t>וכדו</w:t>
      </w:r>
      <w:r w:rsidRPr="00E979E0">
        <w:rPr>
          <w:rFonts w:cs="Arial"/>
          <w:sz w:val="18"/>
          <w:szCs w:val="18"/>
          <w:rtl/>
        </w:rPr>
        <w:t xml:space="preserve">, </w:t>
      </w:r>
      <w:r w:rsidRPr="00E979E0">
        <w:rPr>
          <w:rFonts w:cs="Arial" w:hint="cs"/>
          <w:sz w:val="18"/>
          <w:szCs w:val="18"/>
          <w:rtl/>
        </w:rPr>
        <w:t>וכתב</w:t>
      </w:r>
      <w:r w:rsidRPr="00E979E0">
        <w:rPr>
          <w:rFonts w:cs="Arial"/>
          <w:sz w:val="18"/>
          <w:szCs w:val="18"/>
          <w:rtl/>
        </w:rPr>
        <w:t xml:space="preserve">, </w:t>
      </w:r>
      <w:r w:rsidRPr="00E979E0">
        <w:rPr>
          <w:rFonts w:cs="Arial" w:hint="cs"/>
          <w:sz w:val="18"/>
          <w:szCs w:val="18"/>
          <w:rtl/>
        </w:rPr>
        <w:t>וכד</w:t>
      </w:r>
      <w:r>
        <w:rPr>
          <w:rStyle w:val="a7"/>
          <w:rFonts w:cs="Arial"/>
          <w:sz w:val="18"/>
          <w:szCs w:val="18"/>
          <w:rtl/>
        </w:rPr>
        <w:footnoteReference w:id="852"/>
      </w:r>
      <w:r w:rsidRPr="00E979E0">
        <w:rPr>
          <w:rFonts w:cs="Arial"/>
          <w:sz w:val="18"/>
          <w:szCs w:val="18"/>
          <w:rtl/>
        </w:rPr>
        <w:t xml:space="preserve"> (</w:t>
      </w:r>
      <w:r w:rsidRPr="00E979E0">
        <w:rPr>
          <w:rFonts w:cs="Arial" w:hint="cs"/>
          <w:sz w:val="18"/>
          <w:szCs w:val="18"/>
          <w:rtl/>
        </w:rPr>
        <w:t>רשב</w:t>
      </w:r>
      <w:r w:rsidRPr="00E979E0">
        <w:rPr>
          <w:rFonts w:cs="Arial"/>
          <w:sz w:val="18"/>
          <w:szCs w:val="18"/>
          <w:rtl/>
        </w:rPr>
        <w:t>"</w:t>
      </w:r>
      <w:r w:rsidRPr="00E979E0">
        <w:rPr>
          <w:rFonts w:cs="Arial" w:hint="cs"/>
          <w:sz w:val="18"/>
          <w:szCs w:val="18"/>
          <w:rtl/>
        </w:rPr>
        <w:t>א</w:t>
      </w:r>
      <w:r w:rsidRPr="00E979E0">
        <w:rPr>
          <w:rFonts w:cs="Arial"/>
          <w:sz w:val="18"/>
          <w:szCs w:val="18"/>
          <w:rtl/>
        </w:rPr>
        <w:t xml:space="preserve">), </w:t>
      </w:r>
      <w:r w:rsidRPr="00E979E0">
        <w:rPr>
          <w:rFonts w:cs="Arial" w:hint="cs"/>
          <w:sz w:val="18"/>
          <w:szCs w:val="18"/>
          <w:rtl/>
        </w:rPr>
        <w:t>דמאחר</w:t>
      </w:r>
      <w:r w:rsidRPr="00E979E0">
        <w:rPr>
          <w:rFonts w:cs="Arial"/>
          <w:sz w:val="18"/>
          <w:szCs w:val="18"/>
          <w:rtl/>
        </w:rPr>
        <w:t xml:space="preserve"> </w:t>
      </w:r>
      <w:r w:rsidRPr="00E979E0">
        <w:rPr>
          <w:rFonts w:cs="Arial" w:hint="cs"/>
          <w:sz w:val="18"/>
          <w:szCs w:val="18"/>
          <w:rtl/>
        </w:rPr>
        <w:t>שאין</w:t>
      </w:r>
      <w:r w:rsidRPr="00E979E0">
        <w:rPr>
          <w:rFonts w:cs="Arial"/>
          <w:sz w:val="18"/>
          <w:szCs w:val="18"/>
          <w:rtl/>
        </w:rPr>
        <w:t xml:space="preserve"> </w:t>
      </w:r>
      <w:r w:rsidRPr="00E979E0">
        <w:rPr>
          <w:rFonts w:cs="Arial" w:hint="cs"/>
          <w:sz w:val="18"/>
          <w:szCs w:val="18"/>
          <w:rtl/>
        </w:rPr>
        <w:t>הענין</w:t>
      </w:r>
      <w:r w:rsidRPr="00E979E0">
        <w:rPr>
          <w:rFonts w:cs="Arial"/>
          <w:sz w:val="18"/>
          <w:szCs w:val="18"/>
          <w:rtl/>
        </w:rPr>
        <w:t xml:space="preserve"> </w:t>
      </w:r>
      <w:r w:rsidRPr="00E979E0">
        <w:rPr>
          <w:rFonts w:cs="Arial" w:hint="cs"/>
          <w:sz w:val="18"/>
          <w:szCs w:val="18"/>
          <w:rtl/>
        </w:rPr>
        <w:t>משתנה</w:t>
      </w:r>
      <w:r w:rsidRPr="00E979E0">
        <w:rPr>
          <w:rFonts w:cs="Arial"/>
          <w:sz w:val="18"/>
          <w:szCs w:val="18"/>
          <w:rtl/>
        </w:rPr>
        <w:t xml:space="preserve">, </w:t>
      </w:r>
      <w:r w:rsidRPr="00E979E0">
        <w:rPr>
          <w:rFonts w:cs="Arial" w:hint="cs"/>
          <w:sz w:val="18"/>
          <w:szCs w:val="18"/>
          <w:rtl/>
        </w:rPr>
        <w:t>אין</w:t>
      </w:r>
      <w:r w:rsidRPr="00E979E0">
        <w:rPr>
          <w:rFonts w:cs="Arial"/>
          <w:sz w:val="18"/>
          <w:szCs w:val="18"/>
          <w:rtl/>
        </w:rPr>
        <w:t xml:space="preserve"> </w:t>
      </w:r>
      <w:r w:rsidRPr="00E979E0">
        <w:rPr>
          <w:rFonts w:cs="Arial" w:hint="cs"/>
          <w:sz w:val="18"/>
          <w:szCs w:val="18"/>
          <w:rtl/>
        </w:rPr>
        <w:t>פסול</w:t>
      </w:r>
      <w:r w:rsidRPr="00E979E0">
        <w:rPr>
          <w:rFonts w:cs="Arial"/>
          <w:sz w:val="18"/>
          <w:szCs w:val="18"/>
          <w:rtl/>
        </w:rPr>
        <w:t xml:space="preserve"> </w:t>
      </w:r>
      <w:r w:rsidRPr="00E979E0">
        <w:rPr>
          <w:rFonts w:cs="Arial" w:hint="cs"/>
          <w:sz w:val="18"/>
          <w:szCs w:val="18"/>
          <w:rtl/>
        </w:rPr>
        <w:t>בחסרון</w:t>
      </w:r>
      <w:r w:rsidRPr="00E979E0">
        <w:rPr>
          <w:rFonts w:cs="Arial"/>
          <w:sz w:val="18"/>
          <w:szCs w:val="18"/>
          <w:rtl/>
        </w:rPr>
        <w:t xml:space="preserve"> </w:t>
      </w:r>
      <w:r w:rsidRPr="00E979E0">
        <w:rPr>
          <w:rFonts w:cs="Arial" w:hint="cs"/>
          <w:sz w:val="18"/>
          <w:szCs w:val="18"/>
          <w:rtl/>
        </w:rPr>
        <w:t>זה</w:t>
      </w:r>
      <w:r w:rsidRPr="00E979E0">
        <w:rPr>
          <w:rFonts w:cs="Arial"/>
          <w:sz w:val="18"/>
          <w:szCs w:val="18"/>
          <w:rtl/>
        </w:rPr>
        <w:t xml:space="preserve"> (</w:t>
      </w:r>
      <w:r w:rsidRPr="00E979E0">
        <w:rPr>
          <w:rFonts w:cs="Arial" w:hint="cs"/>
          <w:sz w:val="18"/>
          <w:szCs w:val="18"/>
          <w:rtl/>
        </w:rPr>
        <w:t>רא</w:t>
      </w:r>
      <w:r w:rsidRPr="00E979E0">
        <w:rPr>
          <w:rFonts w:cs="Arial"/>
          <w:sz w:val="18"/>
          <w:szCs w:val="18"/>
          <w:rtl/>
        </w:rPr>
        <w:t>"</w:t>
      </w:r>
      <w:r w:rsidRPr="00E979E0">
        <w:rPr>
          <w:rFonts w:cs="Arial" w:hint="cs"/>
          <w:sz w:val="18"/>
          <w:szCs w:val="18"/>
          <w:rtl/>
        </w:rPr>
        <w:t>ש</w:t>
      </w:r>
      <w:r w:rsidRPr="00E979E0">
        <w:rPr>
          <w:rFonts w:cs="Arial"/>
          <w:sz w:val="18"/>
          <w:szCs w:val="18"/>
          <w:rtl/>
        </w:rPr>
        <w:t xml:space="preserve">). </w:t>
      </w:r>
      <w:r w:rsidRPr="00E979E0">
        <w:rPr>
          <w:rFonts w:cs="Arial" w:hint="cs"/>
          <w:sz w:val="18"/>
          <w:szCs w:val="18"/>
          <w:rtl/>
        </w:rPr>
        <w:t>וה</w:t>
      </w:r>
      <w:r w:rsidRPr="00E979E0">
        <w:rPr>
          <w:rFonts w:cs="Arial"/>
          <w:sz w:val="18"/>
          <w:szCs w:val="18"/>
          <w:rtl/>
        </w:rPr>
        <w:t>"</w:t>
      </w:r>
      <w:r w:rsidRPr="00E979E0">
        <w:rPr>
          <w:rFonts w:cs="Arial" w:hint="cs"/>
          <w:sz w:val="18"/>
          <w:szCs w:val="18"/>
          <w:rtl/>
        </w:rPr>
        <w:t>ה</w:t>
      </w:r>
      <w:r w:rsidRPr="00E979E0">
        <w:rPr>
          <w:rFonts w:cs="Arial"/>
          <w:sz w:val="18"/>
          <w:szCs w:val="18"/>
          <w:rtl/>
        </w:rPr>
        <w:t xml:space="preserve"> </w:t>
      </w:r>
      <w:r w:rsidRPr="00E979E0">
        <w:rPr>
          <w:rFonts w:cs="Arial" w:hint="cs"/>
          <w:sz w:val="18"/>
          <w:szCs w:val="18"/>
          <w:rtl/>
        </w:rPr>
        <w:t>אם</w:t>
      </w:r>
      <w:r w:rsidRPr="00E979E0">
        <w:rPr>
          <w:rFonts w:cs="Arial"/>
          <w:sz w:val="18"/>
          <w:szCs w:val="18"/>
          <w:rtl/>
        </w:rPr>
        <w:t xml:space="preserve"> </w:t>
      </w:r>
      <w:r w:rsidRPr="00E979E0">
        <w:rPr>
          <w:rFonts w:cs="Arial" w:hint="cs"/>
          <w:sz w:val="18"/>
          <w:szCs w:val="18"/>
          <w:rtl/>
        </w:rPr>
        <w:t>היו</w:t>
      </w:r>
      <w:r w:rsidRPr="00E979E0">
        <w:rPr>
          <w:rFonts w:cs="Arial"/>
          <w:sz w:val="18"/>
          <w:szCs w:val="18"/>
          <w:rtl/>
        </w:rPr>
        <w:t xml:space="preserve"> </w:t>
      </w:r>
      <w:r w:rsidRPr="00E979E0">
        <w:rPr>
          <w:rFonts w:cs="Arial" w:hint="cs"/>
          <w:sz w:val="18"/>
          <w:szCs w:val="18"/>
          <w:rtl/>
        </w:rPr>
        <w:t>אותיות</w:t>
      </w:r>
      <w:r w:rsidRPr="00E979E0">
        <w:rPr>
          <w:rFonts w:cs="Arial"/>
          <w:sz w:val="18"/>
          <w:szCs w:val="18"/>
          <w:rtl/>
        </w:rPr>
        <w:t xml:space="preserve"> </w:t>
      </w:r>
      <w:r w:rsidRPr="00E979E0">
        <w:rPr>
          <w:rFonts w:cs="Arial" w:hint="cs"/>
          <w:sz w:val="18"/>
          <w:szCs w:val="18"/>
          <w:rtl/>
        </w:rPr>
        <w:t>יתירות</w:t>
      </w:r>
      <w:r w:rsidRPr="00E979E0">
        <w:rPr>
          <w:rFonts w:cs="Arial"/>
          <w:sz w:val="18"/>
          <w:szCs w:val="18"/>
          <w:rtl/>
        </w:rPr>
        <w:t xml:space="preserve">, </w:t>
      </w:r>
      <w:r w:rsidRPr="00E979E0">
        <w:rPr>
          <w:rFonts w:cs="Arial" w:hint="cs"/>
          <w:sz w:val="18"/>
          <w:szCs w:val="18"/>
          <w:rtl/>
        </w:rPr>
        <w:t>כל</w:t>
      </w:r>
      <w:r w:rsidRPr="00E979E0">
        <w:rPr>
          <w:rFonts w:cs="Arial"/>
          <w:sz w:val="18"/>
          <w:szCs w:val="18"/>
          <w:rtl/>
        </w:rPr>
        <w:t xml:space="preserve"> </w:t>
      </w:r>
      <w:r w:rsidRPr="00E979E0">
        <w:rPr>
          <w:rFonts w:cs="Arial" w:hint="cs"/>
          <w:sz w:val="18"/>
          <w:szCs w:val="18"/>
          <w:rtl/>
        </w:rPr>
        <w:t>שאין</w:t>
      </w:r>
      <w:r w:rsidRPr="00E979E0">
        <w:rPr>
          <w:rFonts w:cs="Arial"/>
          <w:sz w:val="18"/>
          <w:szCs w:val="18"/>
          <w:rtl/>
        </w:rPr>
        <w:t xml:space="preserve"> </w:t>
      </w:r>
      <w:r w:rsidRPr="00E979E0">
        <w:rPr>
          <w:rFonts w:cs="Arial" w:hint="cs"/>
          <w:sz w:val="18"/>
          <w:szCs w:val="18"/>
          <w:rtl/>
        </w:rPr>
        <w:t>הענין</w:t>
      </w:r>
      <w:r w:rsidRPr="00E979E0">
        <w:rPr>
          <w:rFonts w:cs="Arial"/>
          <w:sz w:val="18"/>
          <w:szCs w:val="18"/>
          <w:rtl/>
        </w:rPr>
        <w:t xml:space="preserve"> </w:t>
      </w:r>
      <w:r w:rsidRPr="00E979E0">
        <w:rPr>
          <w:rFonts w:cs="Arial" w:hint="cs"/>
          <w:sz w:val="18"/>
          <w:szCs w:val="18"/>
          <w:rtl/>
        </w:rPr>
        <w:t>משתנה</w:t>
      </w:r>
      <w:r w:rsidRPr="00E979E0">
        <w:rPr>
          <w:rFonts w:cs="Arial"/>
          <w:sz w:val="18"/>
          <w:szCs w:val="18"/>
          <w:rtl/>
        </w:rPr>
        <w:t xml:space="preserve"> (</w:t>
      </w:r>
      <w:r w:rsidRPr="00E979E0">
        <w:rPr>
          <w:rFonts w:cs="Arial" w:hint="cs"/>
          <w:sz w:val="18"/>
          <w:szCs w:val="18"/>
          <w:rtl/>
        </w:rPr>
        <w:t>ריב</w:t>
      </w:r>
      <w:r w:rsidRPr="00E979E0">
        <w:rPr>
          <w:rFonts w:cs="Arial"/>
          <w:sz w:val="18"/>
          <w:szCs w:val="18"/>
          <w:rtl/>
        </w:rPr>
        <w:t>"</w:t>
      </w:r>
      <w:r w:rsidRPr="00E979E0">
        <w:rPr>
          <w:rFonts w:cs="Arial" w:hint="cs"/>
          <w:sz w:val="18"/>
          <w:szCs w:val="18"/>
          <w:rtl/>
        </w:rPr>
        <w:t>ש</w:t>
      </w:r>
      <w:r w:rsidRPr="00E979E0">
        <w:rPr>
          <w:rFonts w:cs="Arial"/>
          <w:sz w:val="18"/>
          <w:szCs w:val="18"/>
          <w:rtl/>
        </w:rPr>
        <w:t xml:space="preserve"> </w:t>
      </w:r>
      <w:r w:rsidRPr="00E979E0">
        <w:rPr>
          <w:rFonts w:cs="Arial" w:hint="cs"/>
          <w:sz w:val="18"/>
          <w:szCs w:val="18"/>
          <w:rtl/>
        </w:rPr>
        <w:t>סי</w:t>
      </w:r>
      <w:r w:rsidRPr="00E979E0">
        <w:rPr>
          <w:rFonts w:cs="Arial"/>
          <w:sz w:val="18"/>
          <w:szCs w:val="18"/>
          <w:rtl/>
        </w:rPr>
        <w:t xml:space="preserve">' </w:t>
      </w:r>
      <w:r w:rsidRPr="00E979E0">
        <w:rPr>
          <w:rFonts w:cs="Arial" w:hint="cs"/>
          <w:sz w:val="18"/>
          <w:szCs w:val="18"/>
          <w:rtl/>
        </w:rPr>
        <w:t>רה</w:t>
      </w:r>
      <w:r w:rsidRPr="00E979E0">
        <w:rPr>
          <w:rFonts w:cs="Arial"/>
          <w:sz w:val="18"/>
          <w:szCs w:val="18"/>
          <w:rtl/>
        </w:rPr>
        <w:t xml:space="preserve">). </w:t>
      </w:r>
      <w:r w:rsidRPr="00E979E0">
        <w:rPr>
          <w:rFonts w:cs="Arial" w:hint="cs"/>
          <w:sz w:val="18"/>
          <w:szCs w:val="18"/>
          <w:rtl/>
        </w:rPr>
        <w:t>אבל</w:t>
      </w:r>
      <w:r w:rsidRPr="00E979E0">
        <w:rPr>
          <w:rFonts w:cs="Arial"/>
          <w:sz w:val="18"/>
          <w:szCs w:val="18"/>
          <w:rtl/>
        </w:rPr>
        <w:t xml:space="preserve"> </w:t>
      </w:r>
      <w:r w:rsidRPr="00E979E0">
        <w:rPr>
          <w:rFonts w:cs="Arial" w:hint="cs"/>
          <w:sz w:val="18"/>
          <w:szCs w:val="18"/>
          <w:rtl/>
        </w:rPr>
        <w:t>אם</w:t>
      </w:r>
      <w:r w:rsidRPr="00E979E0">
        <w:rPr>
          <w:rFonts w:cs="Arial"/>
          <w:sz w:val="18"/>
          <w:szCs w:val="18"/>
          <w:rtl/>
        </w:rPr>
        <w:t xml:space="preserve"> </w:t>
      </w:r>
      <w:r w:rsidRPr="00E979E0">
        <w:rPr>
          <w:rFonts w:cs="Arial" w:hint="cs"/>
          <w:sz w:val="18"/>
          <w:szCs w:val="18"/>
          <w:rtl/>
        </w:rPr>
        <w:t>נשתנה</w:t>
      </w:r>
      <w:r w:rsidRPr="00E979E0">
        <w:rPr>
          <w:rFonts w:cs="Arial"/>
          <w:sz w:val="18"/>
          <w:szCs w:val="18"/>
          <w:rtl/>
        </w:rPr>
        <w:t xml:space="preserve"> </w:t>
      </w:r>
      <w:r w:rsidRPr="00E979E0">
        <w:rPr>
          <w:rFonts w:cs="Arial" w:hint="cs"/>
          <w:sz w:val="18"/>
          <w:szCs w:val="18"/>
          <w:rtl/>
        </w:rPr>
        <w:t>הענין</w:t>
      </w:r>
      <w:r w:rsidRPr="00E979E0">
        <w:rPr>
          <w:rFonts w:cs="Arial"/>
          <w:sz w:val="18"/>
          <w:szCs w:val="18"/>
          <w:rtl/>
        </w:rPr>
        <w:t xml:space="preserve">, </w:t>
      </w:r>
      <w:r w:rsidRPr="00E979E0">
        <w:rPr>
          <w:rFonts w:cs="Arial" w:hint="cs"/>
          <w:sz w:val="18"/>
          <w:szCs w:val="18"/>
          <w:rtl/>
        </w:rPr>
        <w:t>פסול</w:t>
      </w:r>
      <w:r w:rsidRPr="00E979E0">
        <w:rPr>
          <w:rFonts w:cs="Arial"/>
          <w:sz w:val="18"/>
          <w:szCs w:val="18"/>
          <w:rtl/>
        </w:rPr>
        <w:t xml:space="preserve">. </w:t>
      </w:r>
      <w:r w:rsidRPr="00E979E0">
        <w:rPr>
          <w:rFonts w:cs="Arial" w:hint="cs"/>
          <w:sz w:val="18"/>
          <w:szCs w:val="18"/>
          <w:rtl/>
        </w:rPr>
        <w:t>ולכן</w:t>
      </w:r>
      <w:r w:rsidRPr="00E979E0">
        <w:rPr>
          <w:rFonts w:cs="Arial"/>
          <w:sz w:val="18"/>
          <w:szCs w:val="18"/>
          <w:rtl/>
        </w:rPr>
        <w:t xml:space="preserve"> </w:t>
      </w:r>
      <w:r w:rsidRPr="00E979E0">
        <w:rPr>
          <w:rFonts w:cs="Arial" w:hint="cs"/>
          <w:sz w:val="18"/>
          <w:szCs w:val="18"/>
          <w:rtl/>
        </w:rPr>
        <w:t>יש</w:t>
      </w:r>
      <w:r w:rsidRPr="00E979E0">
        <w:rPr>
          <w:rFonts w:cs="Arial"/>
          <w:sz w:val="18"/>
          <w:szCs w:val="18"/>
          <w:rtl/>
        </w:rPr>
        <w:t xml:space="preserve"> </w:t>
      </w:r>
      <w:r w:rsidRPr="00E979E0">
        <w:rPr>
          <w:rFonts w:cs="Arial" w:hint="cs"/>
          <w:sz w:val="18"/>
          <w:szCs w:val="18"/>
          <w:rtl/>
        </w:rPr>
        <w:t>אומרים</w:t>
      </w:r>
      <w:r w:rsidRPr="00E979E0">
        <w:rPr>
          <w:rFonts w:cs="Arial"/>
          <w:sz w:val="18"/>
          <w:szCs w:val="18"/>
          <w:rtl/>
        </w:rPr>
        <w:t xml:space="preserve"> </w:t>
      </w:r>
      <w:r w:rsidRPr="00E979E0">
        <w:rPr>
          <w:rFonts w:cs="Arial" w:hint="cs"/>
          <w:sz w:val="18"/>
          <w:szCs w:val="18"/>
          <w:rtl/>
        </w:rPr>
        <w:t>דאם</w:t>
      </w:r>
      <w:r w:rsidRPr="00E979E0">
        <w:rPr>
          <w:rFonts w:cs="Arial"/>
          <w:sz w:val="18"/>
          <w:szCs w:val="18"/>
          <w:rtl/>
        </w:rPr>
        <w:t xml:space="preserve"> </w:t>
      </w:r>
      <w:r w:rsidRPr="00E979E0">
        <w:rPr>
          <w:rFonts w:cs="Arial" w:hint="cs"/>
          <w:sz w:val="18"/>
          <w:szCs w:val="18"/>
          <w:rtl/>
        </w:rPr>
        <w:t>כתב</w:t>
      </w:r>
      <w:r w:rsidRPr="00E979E0">
        <w:rPr>
          <w:rFonts w:cs="Arial"/>
          <w:sz w:val="18"/>
          <w:szCs w:val="18"/>
          <w:rtl/>
        </w:rPr>
        <w:t xml:space="preserve"> </w:t>
      </w:r>
      <w:r w:rsidRPr="00E979E0">
        <w:rPr>
          <w:rFonts w:cs="Arial" w:hint="cs"/>
          <w:sz w:val="18"/>
          <w:szCs w:val="18"/>
          <w:rtl/>
        </w:rPr>
        <w:t>לבריאת</w:t>
      </w:r>
      <w:r w:rsidRPr="00E979E0">
        <w:rPr>
          <w:rFonts w:cs="Arial"/>
          <w:sz w:val="18"/>
          <w:szCs w:val="18"/>
          <w:rtl/>
        </w:rPr>
        <w:t xml:space="preserve"> </w:t>
      </w:r>
      <w:r w:rsidRPr="00E979E0">
        <w:rPr>
          <w:rFonts w:cs="Arial" w:hint="cs"/>
          <w:sz w:val="18"/>
          <w:szCs w:val="18"/>
          <w:rtl/>
        </w:rPr>
        <w:t>עלמה</w:t>
      </w:r>
      <w:r w:rsidRPr="00E979E0">
        <w:rPr>
          <w:rFonts w:cs="Arial"/>
          <w:sz w:val="18"/>
          <w:szCs w:val="18"/>
          <w:rtl/>
        </w:rPr>
        <w:t xml:space="preserve">, </w:t>
      </w:r>
      <w:r w:rsidRPr="00E979E0">
        <w:rPr>
          <w:rFonts w:cs="Arial" w:hint="cs"/>
          <w:sz w:val="18"/>
          <w:szCs w:val="18"/>
          <w:rtl/>
        </w:rPr>
        <w:t>בה</w:t>
      </w:r>
      <w:r w:rsidRPr="00E979E0">
        <w:rPr>
          <w:rFonts w:cs="Arial"/>
          <w:sz w:val="18"/>
          <w:szCs w:val="18"/>
          <w:rtl/>
        </w:rPr>
        <w:t>"</w:t>
      </w:r>
      <w:r w:rsidRPr="00E979E0">
        <w:rPr>
          <w:rFonts w:cs="Arial" w:hint="cs"/>
          <w:sz w:val="18"/>
          <w:szCs w:val="18"/>
          <w:rtl/>
        </w:rPr>
        <w:t>א</w:t>
      </w:r>
      <w:r w:rsidRPr="00E979E0">
        <w:rPr>
          <w:rFonts w:cs="Arial"/>
          <w:sz w:val="18"/>
          <w:szCs w:val="18"/>
          <w:rtl/>
        </w:rPr>
        <w:t xml:space="preserve">, </w:t>
      </w:r>
      <w:r w:rsidRPr="00E979E0">
        <w:rPr>
          <w:rFonts w:cs="Arial" w:hint="cs"/>
          <w:sz w:val="18"/>
          <w:szCs w:val="18"/>
          <w:rtl/>
        </w:rPr>
        <w:t>שהגט</w:t>
      </w:r>
      <w:r w:rsidRPr="00E979E0">
        <w:rPr>
          <w:rFonts w:cs="Arial"/>
          <w:sz w:val="18"/>
          <w:szCs w:val="18"/>
          <w:rtl/>
        </w:rPr>
        <w:t xml:space="preserve"> </w:t>
      </w:r>
      <w:r w:rsidRPr="00E979E0">
        <w:rPr>
          <w:rFonts w:cs="Arial" w:hint="cs"/>
          <w:sz w:val="18"/>
          <w:szCs w:val="18"/>
          <w:rtl/>
        </w:rPr>
        <w:t>פסול</w:t>
      </w:r>
      <w:r w:rsidRPr="00E979E0">
        <w:rPr>
          <w:rFonts w:cs="Arial"/>
          <w:sz w:val="18"/>
          <w:szCs w:val="18"/>
          <w:rtl/>
        </w:rPr>
        <w:t xml:space="preserve">, </w:t>
      </w:r>
      <w:r w:rsidRPr="00E979E0">
        <w:rPr>
          <w:rFonts w:cs="Arial" w:hint="cs"/>
          <w:sz w:val="18"/>
          <w:szCs w:val="18"/>
          <w:rtl/>
        </w:rPr>
        <w:t>דעלמה</w:t>
      </w:r>
      <w:r w:rsidRPr="00E979E0">
        <w:rPr>
          <w:rFonts w:cs="Arial"/>
          <w:sz w:val="18"/>
          <w:szCs w:val="18"/>
          <w:rtl/>
        </w:rPr>
        <w:t xml:space="preserve"> </w:t>
      </w:r>
      <w:r w:rsidRPr="00E979E0">
        <w:rPr>
          <w:rFonts w:cs="Arial" w:hint="cs"/>
          <w:sz w:val="18"/>
          <w:szCs w:val="18"/>
          <w:rtl/>
        </w:rPr>
        <w:t>לשון</w:t>
      </w:r>
      <w:r w:rsidRPr="00E979E0">
        <w:rPr>
          <w:rFonts w:cs="Arial"/>
          <w:sz w:val="18"/>
          <w:szCs w:val="18"/>
          <w:rtl/>
        </w:rPr>
        <w:t xml:space="preserve"> </w:t>
      </w:r>
      <w:r w:rsidRPr="00E979E0">
        <w:rPr>
          <w:rFonts w:cs="Arial" w:hint="cs"/>
          <w:sz w:val="18"/>
          <w:szCs w:val="18"/>
          <w:rtl/>
        </w:rPr>
        <w:t>נערה</w:t>
      </w:r>
      <w:r>
        <w:rPr>
          <w:rStyle w:val="a7"/>
          <w:rFonts w:cs="Arial"/>
          <w:sz w:val="18"/>
          <w:szCs w:val="18"/>
          <w:rtl/>
        </w:rPr>
        <w:footnoteReference w:id="853"/>
      </w:r>
      <w:r w:rsidRPr="00E979E0">
        <w:rPr>
          <w:rFonts w:cs="Arial"/>
          <w:sz w:val="18"/>
          <w:szCs w:val="18"/>
          <w:rtl/>
        </w:rPr>
        <w:t xml:space="preserve"> (</w:t>
      </w:r>
      <w:r w:rsidRPr="00E979E0">
        <w:rPr>
          <w:rFonts w:cs="Arial" w:hint="cs"/>
          <w:sz w:val="18"/>
          <w:szCs w:val="18"/>
          <w:rtl/>
        </w:rPr>
        <w:t>הר</w:t>
      </w:r>
      <w:r w:rsidRPr="00E979E0">
        <w:rPr>
          <w:rFonts w:cs="Arial"/>
          <w:sz w:val="18"/>
          <w:szCs w:val="18"/>
          <w:rtl/>
        </w:rPr>
        <w:t>"</w:t>
      </w:r>
      <w:r w:rsidRPr="00E979E0">
        <w:rPr>
          <w:rFonts w:cs="Arial" w:hint="cs"/>
          <w:sz w:val="18"/>
          <w:szCs w:val="18"/>
          <w:rtl/>
        </w:rPr>
        <w:t>ד</w:t>
      </w:r>
      <w:r w:rsidRPr="00E979E0">
        <w:rPr>
          <w:rFonts w:cs="Arial"/>
          <w:sz w:val="18"/>
          <w:szCs w:val="18"/>
          <w:rtl/>
        </w:rPr>
        <w:t xml:space="preserve"> </w:t>
      </w:r>
      <w:r w:rsidRPr="00E979E0">
        <w:rPr>
          <w:rFonts w:cs="Arial" w:hint="cs"/>
          <w:sz w:val="18"/>
          <w:szCs w:val="18"/>
          <w:rtl/>
        </w:rPr>
        <w:t>כהן</w:t>
      </w:r>
      <w:r w:rsidRPr="00E979E0">
        <w:rPr>
          <w:rFonts w:cs="Arial"/>
          <w:sz w:val="18"/>
          <w:szCs w:val="18"/>
          <w:rtl/>
        </w:rPr>
        <w:t>)</w:t>
      </w:r>
      <w:r>
        <w:rPr>
          <w:rFonts w:cs="Arial" w:hint="cs"/>
          <w:sz w:val="18"/>
          <w:szCs w:val="18"/>
          <w:rtl/>
        </w:rPr>
        <w:t>.</w:t>
      </w:r>
      <w:r w:rsidRPr="00E979E0">
        <w:rPr>
          <w:rFonts w:cs="Arial"/>
          <w:sz w:val="18"/>
          <w:szCs w:val="18"/>
          <w:rtl/>
        </w:rPr>
        <w:t xml:space="preserve"> </w:t>
      </w:r>
      <w:r w:rsidRPr="00E979E0">
        <w:rPr>
          <w:rFonts w:cs="Arial" w:hint="cs"/>
          <w:sz w:val="18"/>
          <w:szCs w:val="18"/>
          <w:rtl/>
        </w:rPr>
        <w:t>ויש</w:t>
      </w:r>
      <w:r w:rsidRPr="00E979E0">
        <w:rPr>
          <w:rFonts w:cs="Arial"/>
          <w:sz w:val="18"/>
          <w:szCs w:val="18"/>
          <w:rtl/>
        </w:rPr>
        <w:t xml:space="preserve"> </w:t>
      </w:r>
      <w:r w:rsidRPr="00E979E0">
        <w:rPr>
          <w:rFonts w:cs="Arial" w:hint="cs"/>
          <w:sz w:val="18"/>
          <w:szCs w:val="18"/>
          <w:rtl/>
        </w:rPr>
        <w:t>מכשירין</w:t>
      </w:r>
      <w:r w:rsidRPr="00E979E0">
        <w:rPr>
          <w:rFonts w:cs="Arial"/>
          <w:sz w:val="18"/>
          <w:szCs w:val="18"/>
          <w:rtl/>
        </w:rPr>
        <w:t xml:space="preserve"> </w:t>
      </w:r>
      <w:r w:rsidRPr="00E979E0">
        <w:rPr>
          <w:rFonts w:cs="Arial" w:hint="cs"/>
          <w:sz w:val="18"/>
          <w:szCs w:val="18"/>
          <w:rtl/>
        </w:rPr>
        <w:t>בשעת</w:t>
      </w:r>
      <w:r w:rsidRPr="00E979E0">
        <w:rPr>
          <w:rFonts w:cs="Arial"/>
          <w:sz w:val="18"/>
          <w:szCs w:val="18"/>
          <w:rtl/>
        </w:rPr>
        <w:t xml:space="preserve"> </w:t>
      </w:r>
      <w:r w:rsidRPr="00E979E0">
        <w:rPr>
          <w:rFonts w:cs="Arial" w:hint="cs"/>
          <w:sz w:val="18"/>
          <w:szCs w:val="18"/>
          <w:rtl/>
        </w:rPr>
        <w:t>הדחק</w:t>
      </w:r>
      <w:r w:rsidRPr="00E979E0">
        <w:rPr>
          <w:rFonts w:cs="Arial"/>
          <w:sz w:val="18"/>
          <w:szCs w:val="18"/>
          <w:rtl/>
        </w:rPr>
        <w:t xml:space="preserve"> (</w:t>
      </w:r>
      <w:r w:rsidRPr="00E979E0">
        <w:rPr>
          <w:rFonts w:cs="Arial" w:hint="cs"/>
          <w:sz w:val="18"/>
          <w:szCs w:val="18"/>
          <w:rtl/>
        </w:rPr>
        <w:t>בנימין</w:t>
      </w:r>
      <w:r w:rsidRPr="00E979E0">
        <w:rPr>
          <w:rFonts w:cs="Arial"/>
          <w:sz w:val="18"/>
          <w:szCs w:val="18"/>
          <w:rtl/>
        </w:rPr>
        <w:t xml:space="preserve"> </w:t>
      </w:r>
      <w:r w:rsidRPr="00E979E0">
        <w:rPr>
          <w:rFonts w:cs="Arial" w:hint="cs"/>
          <w:sz w:val="18"/>
          <w:szCs w:val="18"/>
          <w:rtl/>
        </w:rPr>
        <w:t>זאב</w:t>
      </w:r>
      <w:r w:rsidRPr="00E979E0">
        <w:rPr>
          <w:rFonts w:cs="Arial"/>
          <w:sz w:val="18"/>
          <w:szCs w:val="18"/>
          <w:rtl/>
        </w:rPr>
        <w:t>).</w:t>
      </w:r>
      <w:r>
        <w:rPr>
          <w:rFonts w:cs="Arial"/>
          <w:rtl/>
        </w:rPr>
        <w:t xml:space="preserve"> </w:t>
      </w:r>
    </w:p>
    <w:p w14:paraId="591B1CDF" w14:textId="77777777" w:rsidR="00FA2119" w:rsidRPr="003C0249" w:rsidRDefault="00FA2119" w:rsidP="00FA2119">
      <w:pPr>
        <w:rPr>
          <w:rFonts w:cs="Arial"/>
          <w:sz w:val="16"/>
          <w:szCs w:val="16"/>
          <w:rtl/>
        </w:rPr>
      </w:pPr>
      <w:r w:rsidRPr="003C0249">
        <w:rPr>
          <w:rFonts w:cs="Arial" w:hint="cs"/>
          <w:u w:val="single"/>
          <w:rtl/>
        </w:rPr>
        <w:t>גט שהוסיפו בחלק מהתיבות יו"ד:</w:t>
      </w:r>
      <w:r>
        <w:rPr>
          <w:rFonts w:cs="Arial" w:hint="cs"/>
          <w:sz w:val="16"/>
          <w:szCs w:val="16"/>
          <w:rtl/>
        </w:rPr>
        <w:t xml:space="preserve">  (פת"ש סק"נ)</w:t>
      </w:r>
    </w:p>
    <w:p w14:paraId="002F8ABE" w14:textId="7F23C002" w:rsidR="00FA2119" w:rsidRDefault="00FA2119" w:rsidP="00FA2119">
      <w:pPr>
        <w:pStyle w:val="ab"/>
        <w:numPr>
          <w:ilvl w:val="0"/>
          <w:numId w:val="15"/>
        </w:numPr>
        <w:rPr>
          <w:rtl/>
        </w:rPr>
      </w:pPr>
      <w:r w:rsidRPr="003C0249">
        <w:rPr>
          <w:rFonts w:cs="Arial"/>
          <w:rtl/>
        </w:rPr>
        <w:t>פנ</w:t>
      </w:r>
      <w:r w:rsidRPr="003C0249">
        <w:rPr>
          <w:rFonts w:cs="Arial" w:hint="cs"/>
          <w:rtl/>
        </w:rPr>
        <w:t>מ"א</w:t>
      </w:r>
      <w:r w:rsidRPr="003C0249">
        <w:rPr>
          <w:rFonts w:cs="Arial"/>
          <w:rtl/>
        </w:rPr>
        <w:t xml:space="preserve"> </w:t>
      </w:r>
      <w:r w:rsidRPr="003C0249">
        <w:rPr>
          <w:rFonts w:cs="Arial" w:hint="cs"/>
          <w:sz w:val="16"/>
          <w:szCs w:val="16"/>
          <w:rtl/>
        </w:rPr>
        <w:t>(</w:t>
      </w:r>
      <w:r w:rsidRPr="003C0249">
        <w:rPr>
          <w:rFonts w:cs="Arial"/>
          <w:sz w:val="16"/>
          <w:szCs w:val="16"/>
          <w:rtl/>
        </w:rPr>
        <w:t>ח"ג סי' מז</w:t>
      </w:r>
      <w:r w:rsidRPr="003C0249">
        <w:rPr>
          <w:rFonts w:cs="Arial" w:hint="cs"/>
          <w:sz w:val="16"/>
          <w:szCs w:val="16"/>
          <w:rtl/>
        </w:rPr>
        <w:t>)</w:t>
      </w:r>
      <w:r w:rsidR="00A82951">
        <w:rPr>
          <w:rFonts w:cs="Arial" w:hint="cs"/>
          <w:rtl/>
        </w:rPr>
        <w:t>-</w:t>
      </w:r>
      <w:r w:rsidRPr="003C0249">
        <w:rPr>
          <w:rFonts w:cs="Arial"/>
          <w:rtl/>
        </w:rPr>
        <w:t xml:space="preserve"> בדבר הגט שהובא ע</w:t>
      </w:r>
      <w:r>
        <w:rPr>
          <w:rFonts w:cs="Arial" w:hint="cs"/>
          <w:rtl/>
        </w:rPr>
        <w:t>"</w:t>
      </w:r>
      <w:r w:rsidRPr="003C0249">
        <w:rPr>
          <w:rFonts w:cs="Arial"/>
          <w:rtl/>
        </w:rPr>
        <w:t>י שליח ובתיבת צביתי שראוי לכתוב בשני יודי</w:t>
      </w:r>
      <w:r>
        <w:rPr>
          <w:rFonts w:cs="Arial" w:hint="cs"/>
          <w:rtl/>
        </w:rPr>
        <w:t>"</w:t>
      </w:r>
      <w:r w:rsidRPr="003C0249">
        <w:rPr>
          <w:rFonts w:cs="Arial"/>
          <w:rtl/>
        </w:rPr>
        <w:t>ן היה כתוב בשלשה יודין דהיינו שהוסיף יו</w:t>
      </w:r>
      <w:r>
        <w:rPr>
          <w:rFonts w:cs="Arial" w:hint="cs"/>
          <w:rtl/>
        </w:rPr>
        <w:t>"</w:t>
      </w:r>
      <w:r w:rsidRPr="003C0249">
        <w:rPr>
          <w:rFonts w:cs="Arial"/>
          <w:rtl/>
        </w:rPr>
        <w:t xml:space="preserve">ד בין צד"י לבי"ת. </w:t>
      </w:r>
      <w:r>
        <w:rPr>
          <w:rFonts w:cs="Arial" w:hint="cs"/>
          <w:rtl/>
        </w:rPr>
        <w:t xml:space="preserve"> </w:t>
      </w:r>
      <w:r w:rsidR="0040199D">
        <w:rPr>
          <w:rFonts w:cs="Arial" w:hint="cs"/>
          <w:rtl/>
        </w:rPr>
        <w:t xml:space="preserve">   </w:t>
      </w:r>
      <w:r>
        <w:rPr>
          <w:rFonts w:cs="Arial" w:hint="cs"/>
          <w:rtl/>
        </w:rPr>
        <w:t xml:space="preserve">  תשובה: </w:t>
      </w:r>
      <w:r w:rsidRPr="003C0249">
        <w:rPr>
          <w:rFonts w:cs="Arial"/>
          <w:rtl/>
        </w:rPr>
        <w:t>אין אני רואה שום חשש בזה כי אין הענין משתנה מחמת זה כו'</w:t>
      </w:r>
      <w:r>
        <w:rPr>
          <w:rFonts w:cs="Arial" w:hint="cs"/>
          <w:rtl/>
        </w:rPr>
        <w:t>.</w:t>
      </w:r>
      <w:r w:rsidRPr="003C0249">
        <w:rPr>
          <w:rFonts w:cs="Arial"/>
          <w:rtl/>
        </w:rPr>
        <w:t xml:space="preserve"> וכן אם כתוב יו</w:t>
      </w:r>
      <w:r>
        <w:rPr>
          <w:rFonts w:cs="Arial" w:hint="cs"/>
          <w:rtl/>
        </w:rPr>
        <w:t>"</w:t>
      </w:r>
      <w:r w:rsidRPr="003C0249">
        <w:rPr>
          <w:rFonts w:cs="Arial"/>
          <w:rtl/>
        </w:rPr>
        <w:t>ד באינתתי אף שכ' בש"ע (לעיל סל"ו) שיש לכתוב בלא יו</w:t>
      </w:r>
      <w:r>
        <w:rPr>
          <w:rFonts w:cs="Arial" w:hint="cs"/>
          <w:rtl/>
        </w:rPr>
        <w:t>"</w:t>
      </w:r>
      <w:r w:rsidRPr="003C0249">
        <w:rPr>
          <w:rFonts w:cs="Arial"/>
          <w:rtl/>
        </w:rPr>
        <w:t>ד בין א' לנו"ן לא נשמע ולא נראה בשום פוסק לפסול הגט ע"י זה כו'</w:t>
      </w:r>
      <w:r>
        <w:rPr>
          <w:rFonts w:cs="Arial" w:hint="cs"/>
          <w:rtl/>
        </w:rPr>
        <w:t>.</w:t>
      </w:r>
      <w:r w:rsidRPr="003C0249">
        <w:rPr>
          <w:rFonts w:cs="Arial"/>
          <w:rtl/>
        </w:rPr>
        <w:t xml:space="preserve"> וכן גבי פטורין דיש כותבין מלא ואנו נוהגים לכתוב חסר (לעיל סי"ב בהגה ועמ"ש שם ס"ק כ"ב) ותרוכין ושבוקין שהסכימו לכתוב חסר יו</w:t>
      </w:r>
      <w:r>
        <w:rPr>
          <w:rFonts w:cs="Arial" w:hint="cs"/>
          <w:rtl/>
        </w:rPr>
        <w:t>"</w:t>
      </w:r>
      <w:r w:rsidRPr="003C0249">
        <w:rPr>
          <w:rFonts w:cs="Arial"/>
          <w:rtl/>
        </w:rPr>
        <w:t xml:space="preserve">ד </w:t>
      </w:r>
      <w:r w:rsidR="00A82951">
        <w:rPr>
          <w:rFonts w:cs="Arial" w:hint="cs"/>
          <w:rtl/>
        </w:rPr>
        <w:t>-</w:t>
      </w:r>
      <w:r>
        <w:rPr>
          <w:rFonts w:cs="Arial" w:hint="cs"/>
          <w:rtl/>
        </w:rPr>
        <w:t xml:space="preserve"> </w:t>
      </w:r>
      <w:r w:rsidRPr="003C0249">
        <w:rPr>
          <w:rFonts w:cs="Arial"/>
          <w:rtl/>
        </w:rPr>
        <w:t>לא יעלה על דעת שום פוסק לפסול הגט אם כתב ביו</w:t>
      </w:r>
      <w:r>
        <w:rPr>
          <w:rFonts w:cs="Arial" w:hint="cs"/>
          <w:rtl/>
        </w:rPr>
        <w:t>"</w:t>
      </w:r>
      <w:r w:rsidRPr="003C0249">
        <w:rPr>
          <w:rFonts w:cs="Arial"/>
          <w:rtl/>
        </w:rPr>
        <w:t>ד. וכן גבי מנאי שנהגו לכתוב בלא יו</w:t>
      </w:r>
      <w:r>
        <w:rPr>
          <w:rFonts w:cs="Arial" w:hint="cs"/>
          <w:rtl/>
        </w:rPr>
        <w:t>"</w:t>
      </w:r>
      <w:r w:rsidRPr="003C0249">
        <w:rPr>
          <w:rFonts w:cs="Arial"/>
          <w:rtl/>
        </w:rPr>
        <w:t>ד אחר המ"ם כתב הרמ"א (לעיל סמ"ד) דלא נפסל בדיעבד ואף שיש קצת שינוי בלשון ק"ו בן בנו של ק"ו דהכא אין הל' משתנה כלל דאף בלא עיגון יש להכשיר</w:t>
      </w:r>
      <w:r w:rsidRPr="003C0249">
        <w:rPr>
          <w:rFonts w:cs="Arial" w:hint="cs"/>
          <w:rtl/>
        </w:rPr>
        <w:t>.</w:t>
      </w:r>
    </w:p>
    <w:p w14:paraId="3AEA5039" w14:textId="77777777" w:rsidR="00FA2119" w:rsidRDefault="00FA2119" w:rsidP="00FA2119">
      <w:pPr>
        <w:rPr>
          <w:rtl/>
        </w:rPr>
      </w:pPr>
    </w:p>
    <w:p w14:paraId="4A147333" w14:textId="77777777" w:rsidR="00FA2119" w:rsidRDefault="00FA2119" w:rsidP="00FA2119">
      <w:pPr>
        <w:pStyle w:val="2"/>
        <w:rPr>
          <w:rtl/>
        </w:rPr>
      </w:pPr>
      <w:r>
        <w:rPr>
          <w:rFonts w:hint="cs"/>
          <w:rtl/>
        </w:rPr>
        <w:lastRenderedPageBreak/>
        <w:t>סעיף</w:t>
      </w:r>
      <w:r>
        <w:rPr>
          <w:rtl/>
        </w:rPr>
        <w:t xml:space="preserve"> </w:t>
      </w:r>
      <w:r>
        <w:rPr>
          <w:rFonts w:hint="cs"/>
          <w:rtl/>
        </w:rPr>
        <w:t>נ: ביטול מודעי.</w:t>
      </w:r>
    </w:p>
    <w:p w14:paraId="0D944140" w14:textId="77777777" w:rsidR="00FA2119" w:rsidRPr="005936A9" w:rsidRDefault="00FA2119" w:rsidP="00FA2119">
      <w:pPr>
        <w:rPr>
          <w:rtl/>
        </w:rPr>
      </w:pPr>
      <w:r>
        <w:rPr>
          <w:rFonts w:hint="cs"/>
          <w:u w:val="single"/>
          <w:rtl/>
        </w:rPr>
        <w:t>האם ראוי לכתוב ביטול מודעי בגט:</w:t>
      </w:r>
    </w:p>
    <w:p w14:paraId="0B97DFF0" w14:textId="4A1D3C47" w:rsidR="00FA2119" w:rsidRPr="00C9640C" w:rsidRDefault="00FA2119" w:rsidP="00FA2119">
      <w:pPr>
        <w:pStyle w:val="ab"/>
        <w:numPr>
          <w:ilvl w:val="0"/>
          <w:numId w:val="15"/>
        </w:numPr>
        <w:rPr>
          <w:rtl/>
        </w:rPr>
      </w:pPr>
      <w:r w:rsidRPr="00716A59">
        <w:rPr>
          <w:rFonts w:cs="Arial"/>
          <w:rtl/>
        </w:rPr>
        <w:t xml:space="preserve">רשב"א </w:t>
      </w:r>
      <w:r w:rsidRPr="00716A59">
        <w:rPr>
          <w:rFonts w:cs="Arial"/>
          <w:sz w:val="16"/>
          <w:szCs w:val="16"/>
          <w:rtl/>
        </w:rPr>
        <w:t>(ח"א סי</w:t>
      </w:r>
      <w:r>
        <w:rPr>
          <w:rFonts w:cs="Arial" w:hint="cs"/>
          <w:sz w:val="16"/>
          <w:szCs w:val="16"/>
          <w:rtl/>
        </w:rPr>
        <w:t>'</w:t>
      </w:r>
      <w:r w:rsidRPr="00716A59">
        <w:rPr>
          <w:rFonts w:cs="Arial"/>
          <w:sz w:val="16"/>
          <w:szCs w:val="16"/>
          <w:rtl/>
        </w:rPr>
        <w:t xml:space="preserve"> אלף רלח)</w:t>
      </w:r>
      <w:r w:rsidR="00A82951">
        <w:rPr>
          <w:rFonts w:cs="Arial" w:hint="cs"/>
          <w:rtl/>
        </w:rPr>
        <w:t>-</w:t>
      </w:r>
      <w:r w:rsidRPr="00716A59">
        <w:rPr>
          <w:rFonts w:cs="Arial"/>
          <w:rtl/>
        </w:rPr>
        <w:t xml:space="preserve"> שאלתם אם ראוי לכתוב בגט בביטול כל מיני מודעי</w:t>
      </w:r>
      <w:r>
        <w:rPr>
          <w:rFonts w:cs="Arial" w:hint="cs"/>
          <w:rtl/>
        </w:rPr>
        <w:t>.</w:t>
      </w:r>
      <w:r w:rsidRPr="00716A59">
        <w:rPr>
          <w:rFonts w:cs="Arial"/>
          <w:rtl/>
        </w:rPr>
        <w:t xml:space="preserve"> </w:t>
      </w:r>
      <w:r>
        <w:rPr>
          <w:rFonts w:cs="Arial" w:hint="cs"/>
          <w:rtl/>
        </w:rPr>
        <w:t xml:space="preserve">  </w:t>
      </w:r>
      <w:r w:rsidRPr="00716A59">
        <w:rPr>
          <w:rFonts w:cs="Arial"/>
          <w:rtl/>
        </w:rPr>
        <w:t>תשובה</w:t>
      </w:r>
      <w:r>
        <w:rPr>
          <w:rFonts w:cs="Arial" w:hint="cs"/>
          <w:rtl/>
        </w:rPr>
        <w:t>:</w:t>
      </w:r>
      <w:r w:rsidRPr="00716A59">
        <w:rPr>
          <w:rFonts w:cs="Arial"/>
          <w:rtl/>
        </w:rPr>
        <w:t xml:space="preserve"> אין כותבין בגט שום תנאי בעולם אלא הגט בלבד בלא שום ביטול מודעי ובלא שום תנאי</w:t>
      </w:r>
      <w:r>
        <w:rPr>
          <w:rStyle w:val="a7"/>
          <w:rtl/>
        </w:rPr>
        <w:footnoteReference w:id="854"/>
      </w:r>
      <w:r>
        <w:rPr>
          <w:rFonts w:cs="Arial" w:hint="cs"/>
          <w:rtl/>
        </w:rPr>
        <w:t>.</w:t>
      </w:r>
      <w:r>
        <w:rPr>
          <w:rFonts w:cs="Arial" w:hint="cs"/>
          <w:color w:val="E36C0A" w:themeColor="accent6" w:themeShade="BF"/>
          <w:rtl/>
        </w:rPr>
        <w:t xml:space="preserve"> </w:t>
      </w:r>
      <w:r w:rsidRPr="00AB5B83">
        <w:rPr>
          <w:rFonts w:cs="Arial" w:hint="cs"/>
          <w:color w:val="E36C0A" w:themeColor="accent6" w:themeShade="BF"/>
          <w:rtl/>
        </w:rPr>
        <w:t>(וכ"פ בשו"ע)</w:t>
      </w:r>
    </w:p>
    <w:p w14:paraId="5C76A9B1"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F58CB49" w14:textId="77777777" w:rsidR="00FA2119" w:rsidRDefault="00FA2119" w:rsidP="00FA2119">
      <w:pPr>
        <w:rPr>
          <w:rtl/>
        </w:rPr>
      </w:pPr>
      <w:r>
        <w:rPr>
          <w:rFonts w:cs="Arial" w:hint="cs"/>
          <w:rtl/>
        </w:rPr>
        <w:t>אין</w:t>
      </w:r>
      <w:r>
        <w:rPr>
          <w:rFonts w:cs="Arial"/>
          <w:rtl/>
        </w:rPr>
        <w:t xml:space="preserve"> </w:t>
      </w:r>
      <w:r>
        <w:rPr>
          <w:rFonts w:cs="Arial" w:hint="cs"/>
          <w:rtl/>
        </w:rPr>
        <w:t>לכתוב</w:t>
      </w:r>
      <w:r>
        <w:rPr>
          <w:rFonts w:cs="Arial"/>
          <w:rtl/>
        </w:rPr>
        <w:t xml:space="preserve"> </w:t>
      </w:r>
      <w:r>
        <w:rPr>
          <w:rFonts w:cs="Arial" w:hint="cs"/>
          <w:rtl/>
        </w:rPr>
        <w:t>בגט</w:t>
      </w:r>
      <w:r>
        <w:rPr>
          <w:rFonts w:cs="Arial"/>
          <w:rtl/>
        </w:rPr>
        <w:t xml:space="preserve">: </w:t>
      </w:r>
      <w:r>
        <w:rPr>
          <w:rFonts w:cs="Arial" w:hint="cs"/>
          <w:rtl/>
        </w:rPr>
        <w:t>בביטול</w:t>
      </w:r>
      <w:r>
        <w:rPr>
          <w:rFonts w:cs="Arial"/>
          <w:rtl/>
        </w:rPr>
        <w:t xml:space="preserve"> </w:t>
      </w:r>
      <w:r>
        <w:rPr>
          <w:rFonts w:cs="Arial" w:hint="cs"/>
          <w:rtl/>
        </w:rPr>
        <w:t>מיני</w:t>
      </w:r>
      <w:r>
        <w:rPr>
          <w:rFonts w:cs="Arial"/>
          <w:rtl/>
        </w:rPr>
        <w:t xml:space="preserve"> </w:t>
      </w:r>
      <w:r>
        <w:rPr>
          <w:rFonts w:cs="Arial" w:hint="cs"/>
          <w:rtl/>
        </w:rPr>
        <w:t>מודעי</w:t>
      </w:r>
      <w:r>
        <w:rPr>
          <w:rFonts w:cs="Arial"/>
          <w:rtl/>
        </w:rPr>
        <w:t xml:space="preserve"> </w:t>
      </w:r>
      <w:r w:rsidRPr="00716A59">
        <w:rPr>
          <w:rFonts w:cs="Arial"/>
          <w:sz w:val="18"/>
          <w:szCs w:val="18"/>
          <w:rtl/>
        </w:rPr>
        <w:t>(</w:t>
      </w:r>
      <w:r w:rsidRPr="00716A59">
        <w:rPr>
          <w:rFonts w:cs="Arial" w:hint="cs"/>
          <w:sz w:val="18"/>
          <w:szCs w:val="18"/>
          <w:rtl/>
        </w:rPr>
        <w:t>ועיין</w:t>
      </w:r>
      <w:r w:rsidRPr="00716A59">
        <w:rPr>
          <w:rFonts w:cs="Arial"/>
          <w:sz w:val="18"/>
          <w:szCs w:val="18"/>
          <w:rtl/>
        </w:rPr>
        <w:t xml:space="preserve"> </w:t>
      </w:r>
      <w:r w:rsidRPr="00716A59">
        <w:rPr>
          <w:rFonts w:cs="Arial" w:hint="cs"/>
          <w:sz w:val="18"/>
          <w:szCs w:val="18"/>
          <w:rtl/>
        </w:rPr>
        <w:t>נוסח</w:t>
      </w:r>
      <w:r w:rsidRPr="00716A59">
        <w:rPr>
          <w:rFonts w:cs="Arial"/>
          <w:sz w:val="18"/>
          <w:szCs w:val="18"/>
          <w:rtl/>
        </w:rPr>
        <w:t xml:space="preserve"> </w:t>
      </w:r>
      <w:r w:rsidRPr="00716A59">
        <w:rPr>
          <w:rFonts w:cs="Arial" w:hint="cs"/>
          <w:sz w:val="18"/>
          <w:szCs w:val="18"/>
          <w:rtl/>
        </w:rPr>
        <w:t>הגט</w:t>
      </w:r>
      <w:r w:rsidRPr="00716A59">
        <w:rPr>
          <w:rFonts w:cs="Arial"/>
          <w:sz w:val="18"/>
          <w:szCs w:val="18"/>
          <w:rtl/>
        </w:rPr>
        <w:t xml:space="preserve"> </w:t>
      </w:r>
      <w:r w:rsidRPr="00716A59">
        <w:rPr>
          <w:rFonts w:cs="Arial" w:hint="cs"/>
          <w:sz w:val="18"/>
          <w:szCs w:val="18"/>
          <w:rtl/>
        </w:rPr>
        <w:t>לקמן</w:t>
      </w:r>
      <w:r w:rsidRPr="00716A59">
        <w:rPr>
          <w:rFonts w:cs="Arial"/>
          <w:sz w:val="18"/>
          <w:szCs w:val="18"/>
          <w:rtl/>
        </w:rPr>
        <w:t xml:space="preserve"> </w:t>
      </w:r>
      <w:r w:rsidRPr="00716A59">
        <w:rPr>
          <w:rFonts w:cs="Arial" w:hint="cs"/>
          <w:sz w:val="18"/>
          <w:szCs w:val="18"/>
          <w:rtl/>
        </w:rPr>
        <w:t>בסימן</w:t>
      </w:r>
      <w:r w:rsidRPr="00716A59">
        <w:rPr>
          <w:rFonts w:cs="Arial"/>
          <w:sz w:val="18"/>
          <w:szCs w:val="18"/>
          <w:rtl/>
        </w:rPr>
        <w:t xml:space="preserve"> </w:t>
      </w:r>
      <w:r w:rsidRPr="00716A59">
        <w:rPr>
          <w:rFonts w:cs="Arial" w:hint="cs"/>
          <w:sz w:val="18"/>
          <w:szCs w:val="18"/>
          <w:rtl/>
        </w:rPr>
        <w:t>קנ</w:t>
      </w:r>
      <w:r w:rsidRPr="00716A59">
        <w:rPr>
          <w:rFonts w:cs="Arial"/>
          <w:sz w:val="18"/>
          <w:szCs w:val="18"/>
          <w:rtl/>
        </w:rPr>
        <w:t>"</w:t>
      </w:r>
      <w:r w:rsidRPr="00716A59">
        <w:rPr>
          <w:rFonts w:cs="Arial" w:hint="cs"/>
          <w:sz w:val="18"/>
          <w:szCs w:val="18"/>
          <w:rtl/>
        </w:rPr>
        <w:t>ד</w:t>
      </w:r>
      <w:r w:rsidRPr="00716A59">
        <w:rPr>
          <w:rFonts w:cs="Arial"/>
          <w:sz w:val="18"/>
          <w:szCs w:val="18"/>
          <w:rtl/>
        </w:rPr>
        <w:t>)</w:t>
      </w:r>
      <w:r>
        <w:rPr>
          <w:rFonts w:cs="Arial"/>
          <w:rtl/>
        </w:rPr>
        <w:t>.</w:t>
      </w:r>
    </w:p>
    <w:p w14:paraId="1C7B7D26" w14:textId="77777777" w:rsidR="00FA2119" w:rsidRPr="00D27B65" w:rsidRDefault="00FA2119" w:rsidP="00FA2119">
      <w:pPr>
        <w:rPr>
          <w:rtl/>
        </w:rPr>
        <w:sectPr w:rsidR="00FA2119" w:rsidRPr="00D27B65" w:rsidSect="00A347B3">
          <w:headerReference w:type="default" r:id="rId18"/>
          <w:footerReference w:type="default" r:id="rId19"/>
          <w:footnotePr>
            <w:numRestart w:val="eachSect"/>
          </w:footnotePr>
          <w:pgSz w:w="11906" w:h="16838"/>
          <w:pgMar w:top="720" w:right="1134" w:bottom="720" w:left="1134" w:header="0" w:footer="0" w:gutter="0"/>
          <w:cols w:space="720"/>
          <w:bidi/>
          <w:rtlGutter/>
          <w:docGrid w:linePitch="360"/>
        </w:sectPr>
      </w:pPr>
    </w:p>
    <w:p w14:paraId="487CD52C" w14:textId="77777777" w:rsidR="00FA2119" w:rsidRDefault="00FA2119" w:rsidP="00FA2119">
      <w:pPr>
        <w:pStyle w:val="1"/>
        <w:rPr>
          <w:rtl/>
        </w:rPr>
      </w:pPr>
      <w:r>
        <w:rPr>
          <w:rFonts w:hint="cs"/>
          <w:rtl/>
        </w:rPr>
        <w:lastRenderedPageBreak/>
        <w:t>סימן קכז:</w:t>
      </w:r>
      <w:r w:rsidRPr="00C12B74">
        <w:rPr>
          <w:rtl/>
        </w:rPr>
        <w:t xml:space="preserve"> </w:t>
      </w:r>
      <w:r>
        <w:rPr>
          <w:rFonts w:cs="Arial" w:hint="cs"/>
          <w:rtl/>
        </w:rPr>
        <w:t>שצריך</w:t>
      </w:r>
      <w:r>
        <w:rPr>
          <w:rFonts w:cs="Arial"/>
          <w:rtl/>
        </w:rPr>
        <w:t xml:space="preserve"> </w:t>
      </w:r>
      <w:r>
        <w:rPr>
          <w:rFonts w:cs="Arial" w:hint="cs"/>
          <w:rtl/>
        </w:rPr>
        <w:t>להזכיר</w:t>
      </w:r>
      <w:r>
        <w:rPr>
          <w:rFonts w:cs="Arial"/>
          <w:rtl/>
        </w:rPr>
        <w:t xml:space="preserve"> </w:t>
      </w:r>
      <w:r>
        <w:rPr>
          <w:rFonts w:cs="Arial" w:hint="cs"/>
          <w:rtl/>
        </w:rPr>
        <w:t>הזמן</w:t>
      </w:r>
      <w:r>
        <w:rPr>
          <w:rFonts w:cs="Arial"/>
          <w:rtl/>
        </w:rPr>
        <w:t xml:space="preserve"> </w:t>
      </w:r>
      <w:r>
        <w:rPr>
          <w:rFonts w:cs="Arial" w:hint="cs"/>
          <w:rtl/>
        </w:rPr>
        <w:t>בגט</w:t>
      </w:r>
      <w:r>
        <w:rPr>
          <w:rFonts w:cs="Arial"/>
          <w:rtl/>
        </w:rPr>
        <w:t xml:space="preserve">, </w:t>
      </w:r>
      <w:r>
        <w:rPr>
          <w:rFonts w:cs="Arial" w:hint="cs"/>
          <w:rtl/>
        </w:rPr>
        <w:t>ודין</w:t>
      </w:r>
      <w:r>
        <w:rPr>
          <w:rFonts w:cs="Arial"/>
          <w:rtl/>
        </w:rPr>
        <w:t xml:space="preserve"> </w:t>
      </w:r>
      <w:r>
        <w:rPr>
          <w:rFonts w:cs="Arial" w:hint="cs"/>
          <w:rtl/>
        </w:rPr>
        <w:t>קדימה</w:t>
      </w:r>
      <w:r>
        <w:rPr>
          <w:rFonts w:cs="Arial"/>
          <w:rtl/>
        </w:rPr>
        <w:t xml:space="preserve"> </w:t>
      </w:r>
      <w:r>
        <w:rPr>
          <w:rFonts w:cs="Arial" w:hint="cs"/>
          <w:rtl/>
        </w:rPr>
        <w:t>ואיחור</w:t>
      </w:r>
      <w:r>
        <w:rPr>
          <w:rFonts w:cs="Arial"/>
          <w:rtl/>
        </w:rPr>
        <w:t xml:space="preserve">, </w:t>
      </w:r>
      <w:r>
        <w:rPr>
          <w:rFonts w:cs="Arial" w:hint="cs"/>
          <w:rtl/>
        </w:rPr>
        <w:t>ובו</w:t>
      </w:r>
      <w:r>
        <w:rPr>
          <w:rFonts w:cs="Arial"/>
          <w:rtl/>
        </w:rPr>
        <w:t xml:space="preserve"> </w:t>
      </w:r>
      <w:r>
        <w:rPr>
          <w:rFonts w:cs="Arial" w:hint="cs"/>
          <w:rtl/>
        </w:rPr>
        <w:t>י</w:t>
      </w:r>
      <w:r>
        <w:rPr>
          <w:rFonts w:cs="Arial"/>
          <w:rtl/>
        </w:rPr>
        <w:t>"</w:t>
      </w:r>
      <w:r>
        <w:rPr>
          <w:rFonts w:cs="Arial" w:hint="cs"/>
          <w:rtl/>
        </w:rPr>
        <w:t>ג</w:t>
      </w:r>
      <w:r>
        <w:rPr>
          <w:rFonts w:cs="Arial"/>
          <w:rtl/>
        </w:rPr>
        <w:t xml:space="preserve"> </w:t>
      </w:r>
      <w:r>
        <w:rPr>
          <w:rFonts w:cs="Arial" w:hint="cs"/>
          <w:rtl/>
        </w:rPr>
        <w:t>סעיפים</w:t>
      </w:r>
      <w:r>
        <w:rPr>
          <w:rFonts w:cs="Arial"/>
          <w:rtl/>
        </w:rPr>
        <w:t xml:space="preserve">. </w:t>
      </w:r>
    </w:p>
    <w:p w14:paraId="780AE5ED" w14:textId="77777777" w:rsidR="00FA2119" w:rsidRDefault="00FA2119" w:rsidP="00FA2119">
      <w:pPr>
        <w:pStyle w:val="2"/>
        <w:rPr>
          <w:rtl/>
        </w:rPr>
      </w:pPr>
      <w:r>
        <w:rPr>
          <w:rFonts w:hint="cs"/>
          <w:rtl/>
        </w:rPr>
        <w:t>סעיף</w:t>
      </w:r>
      <w:r>
        <w:rPr>
          <w:rtl/>
        </w:rPr>
        <w:t xml:space="preserve"> </w:t>
      </w:r>
      <w:r>
        <w:rPr>
          <w:rFonts w:hint="cs"/>
          <w:rtl/>
        </w:rPr>
        <w:t>א: גט שאין בו זמן.</w:t>
      </w:r>
    </w:p>
    <w:p w14:paraId="5523B958" w14:textId="77777777" w:rsidR="00FA2119" w:rsidRDefault="00FA2119" w:rsidP="00FA2119">
      <w:pPr>
        <w:rPr>
          <w:rtl/>
        </w:rPr>
      </w:pPr>
      <w:r w:rsidRPr="00837E79">
        <w:rPr>
          <w:rFonts w:hint="cs"/>
          <w:b/>
          <w:bCs/>
          <w:rtl/>
        </w:rPr>
        <w:t xml:space="preserve">גיטין </w:t>
      </w:r>
      <w:r w:rsidRPr="00837E79">
        <w:rPr>
          <w:rFonts w:hint="cs"/>
          <w:b/>
          <w:bCs/>
          <w:sz w:val="16"/>
          <w:szCs w:val="16"/>
          <w:rtl/>
        </w:rPr>
        <w:t xml:space="preserve">(פ"ב) </w:t>
      </w:r>
      <w:r w:rsidRPr="00837E79">
        <w:rPr>
          <w:rFonts w:hint="cs"/>
          <w:b/>
          <w:bCs/>
          <w:rtl/>
        </w:rPr>
        <w:t xml:space="preserve">יז ע"א: </w:t>
      </w:r>
      <w:r w:rsidRPr="00E80E94">
        <w:rPr>
          <w:rFonts w:cs="Arial"/>
          <w:rtl/>
        </w:rPr>
        <w:t xml:space="preserve">איתמר: מפני מה תיקנו זמן בגיטין? </w:t>
      </w:r>
      <w:r w:rsidRPr="00E80E94">
        <w:rPr>
          <w:rFonts w:cs="Arial"/>
          <w:u w:val="single"/>
          <w:rtl/>
        </w:rPr>
        <w:t>רבי יוחנן אמר</w:t>
      </w:r>
      <w:r w:rsidRPr="00E80E94">
        <w:rPr>
          <w:rFonts w:cs="Arial"/>
          <w:rtl/>
        </w:rPr>
        <w:t>: משום בת אחותו</w:t>
      </w:r>
      <w:r>
        <w:rPr>
          <w:rStyle w:val="a7"/>
          <w:rFonts w:cs="Arial"/>
          <w:rtl/>
        </w:rPr>
        <w:footnoteReference w:id="855"/>
      </w:r>
      <w:r>
        <w:rPr>
          <w:rFonts w:cs="Arial" w:hint="cs"/>
          <w:rtl/>
        </w:rPr>
        <w:t>.</w:t>
      </w:r>
      <w:r w:rsidRPr="00E80E94">
        <w:rPr>
          <w:rFonts w:cs="Arial"/>
          <w:rtl/>
        </w:rPr>
        <w:t xml:space="preserve"> </w:t>
      </w:r>
      <w:r w:rsidRPr="00E80E94">
        <w:rPr>
          <w:rFonts w:cs="Arial"/>
          <w:u w:val="single"/>
          <w:rtl/>
        </w:rPr>
        <w:t>ריש לקיש אמר</w:t>
      </w:r>
      <w:r w:rsidRPr="00E80E94">
        <w:rPr>
          <w:rFonts w:cs="Arial"/>
          <w:rtl/>
        </w:rPr>
        <w:t>: משום פירות</w:t>
      </w:r>
      <w:r>
        <w:rPr>
          <w:rStyle w:val="a7"/>
          <w:rFonts w:cs="Arial"/>
          <w:rtl/>
        </w:rPr>
        <w:footnoteReference w:id="856"/>
      </w:r>
      <w:r w:rsidRPr="00E80E94">
        <w:rPr>
          <w:rFonts w:cs="Arial"/>
          <w:rtl/>
        </w:rPr>
        <w:t>. ריש לקיש מ"ט לא אמר כרבי יוחנן? אמר לך:</w:t>
      </w:r>
      <w:r w:rsidRPr="00E80E94">
        <w:rPr>
          <w:rtl/>
        </w:rPr>
        <w:t xml:space="preserve"> </w:t>
      </w:r>
      <w:r w:rsidRPr="00E80E94">
        <w:rPr>
          <w:rFonts w:cs="Arial"/>
          <w:rtl/>
        </w:rPr>
        <w:t>זנות לא שכיחא. ורבי יוחנן מאי טעמא לא אמר כריש לקיש? קסבר: יש לבעל פירות עד שעת נתינה</w:t>
      </w:r>
      <w:r>
        <w:rPr>
          <w:rStyle w:val="a7"/>
          <w:rFonts w:cs="Arial"/>
          <w:rtl/>
        </w:rPr>
        <w:footnoteReference w:id="857"/>
      </w:r>
      <w:r w:rsidRPr="00E80E94">
        <w:rPr>
          <w:rFonts w:cs="Arial"/>
          <w:rtl/>
        </w:rPr>
        <w:t>.</w:t>
      </w:r>
      <w:r>
        <w:rPr>
          <w:rFonts w:cs="Arial" w:hint="cs"/>
          <w:sz w:val="16"/>
          <w:szCs w:val="16"/>
          <w:rtl/>
        </w:rPr>
        <w:t xml:space="preserve"> (</w:t>
      </w:r>
      <w:r w:rsidRPr="00DA25D0">
        <w:rPr>
          <w:rFonts w:cs="Arial"/>
          <w:sz w:val="16"/>
          <w:szCs w:val="16"/>
          <w:rtl/>
        </w:rPr>
        <w:t>וכתבו הרי"ף (ח:) והרא"ש (ס"ד) והרשב"א (יז. ד"ה בשלמא) דאיכא מאן דאמר דהלכה כריש לקיש</w:t>
      </w:r>
      <w:r>
        <w:rPr>
          <w:rFonts w:cs="Arial" w:hint="cs"/>
          <w:sz w:val="16"/>
          <w:szCs w:val="16"/>
          <w:rtl/>
        </w:rPr>
        <w:t>,</w:t>
      </w:r>
      <w:r w:rsidRPr="00DA25D0">
        <w:rPr>
          <w:rFonts w:cs="Arial"/>
          <w:sz w:val="16"/>
          <w:szCs w:val="16"/>
          <w:rtl/>
        </w:rPr>
        <w:t xml:space="preserve"> ודחו ראיותיו והעלו דהלכה כרבי יוחנן</w:t>
      </w:r>
      <w:r>
        <w:rPr>
          <w:rFonts w:cs="Arial" w:hint="cs"/>
          <w:sz w:val="16"/>
          <w:szCs w:val="16"/>
          <w:rtl/>
        </w:rPr>
        <w:t>.</w:t>
      </w:r>
      <w:r w:rsidRPr="00DA25D0">
        <w:rPr>
          <w:rFonts w:cs="Arial"/>
          <w:sz w:val="16"/>
          <w:szCs w:val="16"/>
          <w:rtl/>
        </w:rPr>
        <w:t xml:space="preserve"> וכ</w:t>
      </w:r>
      <w:r>
        <w:rPr>
          <w:rFonts w:cs="Arial" w:hint="cs"/>
          <w:sz w:val="16"/>
          <w:szCs w:val="16"/>
          <w:rtl/>
        </w:rPr>
        <w:t>"</w:t>
      </w:r>
      <w:r w:rsidRPr="00DA25D0">
        <w:rPr>
          <w:rFonts w:cs="Arial"/>
          <w:sz w:val="16"/>
          <w:szCs w:val="16"/>
          <w:rtl/>
        </w:rPr>
        <w:t xml:space="preserve">פ הרמב"ם </w:t>
      </w:r>
      <w:r>
        <w:rPr>
          <w:rFonts w:cs="Arial" w:hint="cs"/>
          <w:sz w:val="16"/>
          <w:szCs w:val="16"/>
          <w:rtl/>
        </w:rPr>
        <w:t>(</w:t>
      </w:r>
      <w:r w:rsidRPr="00DA25D0">
        <w:rPr>
          <w:rFonts w:cs="Arial"/>
          <w:sz w:val="16"/>
          <w:szCs w:val="16"/>
          <w:rtl/>
        </w:rPr>
        <w:t>פ</w:t>
      </w:r>
      <w:r w:rsidRPr="00DA25D0">
        <w:rPr>
          <w:rFonts w:cs="Arial" w:hint="cs"/>
          <w:sz w:val="16"/>
          <w:szCs w:val="16"/>
          <w:rtl/>
        </w:rPr>
        <w:t>"</w:t>
      </w:r>
      <w:r w:rsidRPr="00DA25D0">
        <w:rPr>
          <w:rFonts w:cs="Arial"/>
          <w:sz w:val="16"/>
          <w:szCs w:val="16"/>
          <w:rtl/>
        </w:rPr>
        <w:t>א מהל</w:t>
      </w:r>
      <w:r w:rsidRPr="00DA25D0">
        <w:rPr>
          <w:rFonts w:cs="Arial" w:hint="cs"/>
          <w:sz w:val="16"/>
          <w:szCs w:val="16"/>
          <w:rtl/>
        </w:rPr>
        <w:t>'</w:t>
      </w:r>
      <w:r w:rsidRPr="00DA25D0">
        <w:rPr>
          <w:rFonts w:cs="Arial"/>
          <w:sz w:val="16"/>
          <w:szCs w:val="16"/>
          <w:rtl/>
        </w:rPr>
        <w:t xml:space="preserve"> גירושין הכ"ד). וגם בזמן הזה דליכא דיני נפשות</w:t>
      </w:r>
      <w:r w:rsidRPr="00DA25D0">
        <w:rPr>
          <w:rFonts w:cs="Arial" w:hint="cs"/>
          <w:sz w:val="16"/>
          <w:szCs w:val="16"/>
          <w:rtl/>
        </w:rPr>
        <w:t>,</w:t>
      </w:r>
      <w:r w:rsidRPr="00DA25D0">
        <w:rPr>
          <w:rFonts w:cs="Arial"/>
          <w:sz w:val="16"/>
          <w:szCs w:val="16"/>
          <w:rtl/>
        </w:rPr>
        <w:t xml:space="preserve"> ואם כן ליכא למיחש שיחפה עליה שלא</w:t>
      </w:r>
      <w:r>
        <w:rPr>
          <w:rFonts w:cs="Arial" w:hint="cs"/>
          <w:sz w:val="16"/>
          <w:szCs w:val="16"/>
          <w:rtl/>
        </w:rPr>
        <w:t xml:space="preserve"> </w:t>
      </w:r>
      <w:r w:rsidRPr="00DA25D0">
        <w:rPr>
          <w:rFonts w:cs="Arial"/>
          <w:sz w:val="16"/>
          <w:szCs w:val="16"/>
          <w:rtl/>
        </w:rPr>
        <w:t xml:space="preserve"> תידון כאשת איש</w:t>
      </w:r>
      <w:r w:rsidRPr="00DA25D0">
        <w:rPr>
          <w:rFonts w:cs="Arial" w:hint="cs"/>
          <w:sz w:val="16"/>
          <w:szCs w:val="16"/>
          <w:rtl/>
        </w:rPr>
        <w:t>,</w:t>
      </w:r>
      <w:r w:rsidRPr="00DA25D0">
        <w:rPr>
          <w:rFonts w:cs="Arial"/>
          <w:sz w:val="16"/>
          <w:szCs w:val="16"/>
          <w:rtl/>
        </w:rPr>
        <w:t xml:space="preserve"> כתב הרא"ש דאפ"ה פסלינן לגט בלא זמן</w:t>
      </w:r>
      <w:r w:rsidRPr="00DA25D0">
        <w:rPr>
          <w:rFonts w:cs="Arial" w:hint="cs"/>
          <w:sz w:val="16"/>
          <w:szCs w:val="16"/>
          <w:rtl/>
        </w:rPr>
        <w:t>,</w:t>
      </w:r>
      <w:r w:rsidRPr="00DA25D0">
        <w:rPr>
          <w:rFonts w:cs="Arial"/>
          <w:sz w:val="16"/>
          <w:szCs w:val="16"/>
          <w:rtl/>
        </w:rPr>
        <w:t xml:space="preserve"> כדתנן (גיטין פו.) ג' גיטין פסולין ואחד מהם אין בו זמן</w:t>
      </w:r>
      <w:r w:rsidRPr="00DA25D0">
        <w:rPr>
          <w:rFonts w:cs="Arial" w:hint="cs"/>
          <w:sz w:val="16"/>
          <w:szCs w:val="16"/>
          <w:rtl/>
        </w:rPr>
        <w:t>,</w:t>
      </w:r>
      <w:r w:rsidRPr="00DA25D0">
        <w:rPr>
          <w:rFonts w:cs="Arial"/>
          <w:sz w:val="16"/>
          <w:szCs w:val="16"/>
          <w:rtl/>
        </w:rPr>
        <w:t xml:space="preserve"> ובימי רבי נשנית משנה זו</w:t>
      </w:r>
      <w:r w:rsidRPr="00DA25D0">
        <w:rPr>
          <w:rFonts w:cs="Arial" w:hint="cs"/>
          <w:sz w:val="16"/>
          <w:szCs w:val="16"/>
          <w:rtl/>
        </w:rPr>
        <w:t>.</w:t>
      </w:r>
      <w:r w:rsidRPr="00DA25D0">
        <w:rPr>
          <w:rFonts w:cs="Arial"/>
          <w:sz w:val="16"/>
          <w:szCs w:val="16"/>
          <w:rtl/>
        </w:rPr>
        <w:t xml:space="preserve"> וטעמא</w:t>
      </w:r>
      <w:r w:rsidRPr="00DA25D0">
        <w:rPr>
          <w:rFonts w:cs="Arial" w:hint="cs"/>
          <w:sz w:val="16"/>
          <w:szCs w:val="16"/>
          <w:rtl/>
        </w:rPr>
        <w:t>,</w:t>
      </w:r>
      <w:r w:rsidRPr="00DA25D0">
        <w:rPr>
          <w:rFonts w:cs="Arial"/>
          <w:sz w:val="16"/>
          <w:szCs w:val="16"/>
          <w:rtl/>
        </w:rPr>
        <w:t xml:space="preserve"> דאיכא למיחש שמא יחפה על בניה שהם ממזרים</w:t>
      </w:r>
      <w:r w:rsidRPr="00DA25D0">
        <w:rPr>
          <w:rFonts w:cs="Arial" w:hint="cs"/>
          <w:sz w:val="16"/>
          <w:szCs w:val="16"/>
          <w:rtl/>
        </w:rPr>
        <w:t>.</w:t>
      </w:r>
      <w:r w:rsidRPr="00DA25D0">
        <w:rPr>
          <w:rFonts w:cs="Arial"/>
          <w:sz w:val="16"/>
          <w:szCs w:val="16"/>
          <w:rtl/>
        </w:rPr>
        <w:t xml:space="preserve"> אי נמי שלא תיאסר עליו קודם גירושין</w:t>
      </w:r>
      <w:r w:rsidRPr="00DA25D0">
        <w:rPr>
          <w:rFonts w:cs="Arial" w:hint="cs"/>
          <w:sz w:val="16"/>
          <w:szCs w:val="16"/>
          <w:rtl/>
        </w:rPr>
        <w:t>.</w:t>
      </w:r>
      <w:r w:rsidRPr="00DA25D0">
        <w:rPr>
          <w:rFonts w:cs="Arial"/>
          <w:sz w:val="16"/>
          <w:szCs w:val="16"/>
          <w:rtl/>
        </w:rPr>
        <w:t xml:space="preserve"> וכ</w:t>
      </w:r>
      <w:r>
        <w:rPr>
          <w:rFonts w:cs="Arial" w:hint="cs"/>
          <w:sz w:val="16"/>
          <w:szCs w:val="16"/>
          <w:rtl/>
        </w:rPr>
        <w:t>"</w:t>
      </w:r>
      <w:r w:rsidRPr="00DA25D0">
        <w:rPr>
          <w:rFonts w:cs="Arial"/>
          <w:sz w:val="16"/>
          <w:szCs w:val="16"/>
          <w:rtl/>
        </w:rPr>
        <w:t>כ התוס' בפרק הנזכר (יח. ד"ה הנהו) על הא דאמרינן בגיטין הבאים ממדינת הים הנהו קלא אית להו</w:t>
      </w:r>
      <w:r w:rsidRPr="00DA25D0">
        <w:rPr>
          <w:rFonts w:cs="Arial" w:hint="cs"/>
          <w:sz w:val="16"/>
          <w:szCs w:val="16"/>
          <w:rtl/>
        </w:rPr>
        <w:t>.</w:t>
      </w:r>
      <w:r w:rsidRPr="00DA25D0">
        <w:rPr>
          <w:rFonts w:cs="Arial"/>
          <w:sz w:val="16"/>
          <w:szCs w:val="16"/>
          <w:rtl/>
        </w:rPr>
        <w:t xml:space="preserve"> וכתב הריב"ש בדין זה בתשובה סימן קי"ז</w:t>
      </w:r>
      <w:r>
        <w:rPr>
          <w:rFonts w:cs="Arial" w:hint="cs"/>
          <w:sz w:val="16"/>
          <w:szCs w:val="16"/>
          <w:rtl/>
        </w:rPr>
        <w:t>, ב"י)</w:t>
      </w:r>
    </w:p>
    <w:p w14:paraId="568A55BC" w14:textId="20257C0E" w:rsidR="00FA2119" w:rsidRPr="00837E79" w:rsidRDefault="00FA2119" w:rsidP="00FA2119">
      <w:pPr>
        <w:rPr>
          <w:u w:val="single"/>
          <w:rtl/>
        </w:rPr>
      </w:pPr>
      <w:r w:rsidRPr="00837E79">
        <w:rPr>
          <w:rFonts w:hint="cs"/>
          <w:u w:val="single"/>
          <w:rtl/>
        </w:rPr>
        <w:t xml:space="preserve">כתיבת זמן בגט </w:t>
      </w:r>
      <w:r w:rsidR="00A82951">
        <w:rPr>
          <w:u w:val="single"/>
          <w:rtl/>
        </w:rPr>
        <w:t>-</w:t>
      </w:r>
      <w:r w:rsidRPr="00837E79">
        <w:rPr>
          <w:rFonts w:hint="cs"/>
          <w:u w:val="single"/>
          <w:rtl/>
        </w:rPr>
        <w:t xml:space="preserve"> כיצד:</w:t>
      </w:r>
    </w:p>
    <w:p w14:paraId="1407F54D" w14:textId="36305436" w:rsidR="00FA2119" w:rsidRDefault="00FA2119" w:rsidP="00FA2119">
      <w:pPr>
        <w:pStyle w:val="ab"/>
        <w:numPr>
          <w:ilvl w:val="0"/>
          <w:numId w:val="15"/>
        </w:numPr>
      </w:pPr>
      <w:r>
        <w:rPr>
          <w:rFonts w:hint="cs"/>
          <w:rtl/>
        </w:rPr>
        <w:t>טור</w:t>
      </w:r>
      <w:r w:rsidR="00A82951">
        <w:rPr>
          <w:rFonts w:hint="cs"/>
          <w:rtl/>
        </w:rPr>
        <w:t>-</w:t>
      </w:r>
      <w:r>
        <w:rPr>
          <w:rFonts w:hint="cs"/>
          <w:rtl/>
        </w:rPr>
        <w:t xml:space="preserve"> </w:t>
      </w:r>
      <w:r>
        <w:rPr>
          <w:rFonts w:cs="Arial"/>
          <w:rtl/>
        </w:rPr>
        <w:t>צריך לכתוב הזמן בגט</w:t>
      </w:r>
      <w:r>
        <w:rPr>
          <w:rFonts w:cs="Arial" w:hint="cs"/>
          <w:rtl/>
        </w:rPr>
        <w:t>.</w:t>
      </w:r>
      <w:r>
        <w:rPr>
          <w:rFonts w:cs="Arial"/>
          <w:rtl/>
        </w:rPr>
        <w:t xml:space="preserve"> כיצד</w:t>
      </w:r>
      <w:r>
        <w:rPr>
          <w:rFonts w:cs="Arial" w:hint="cs"/>
          <w:rtl/>
        </w:rPr>
        <w:t>,</w:t>
      </w:r>
      <w:r>
        <w:rPr>
          <w:rFonts w:cs="Arial"/>
          <w:rtl/>
        </w:rPr>
        <w:t xml:space="preserve"> בכך וכך בשבת</w:t>
      </w:r>
      <w:r>
        <w:rPr>
          <w:rStyle w:val="a7"/>
          <w:rFonts w:cs="Arial"/>
          <w:rtl/>
        </w:rPr>
        <w:footnoteReference w:id="858"/>
      </w:r>
      <w:r>
        <w:rPr>
          <w:rFonts w:cs="Arial" w:hint="cs"/>
          <w:rtl/>
        </w:rPr>
        <w:t>,</w:t>
      </w:r>
      <w:r>
        <w:rPr>
          <w:rFonts w:cs="Arial"/>
          <w:rtl/>
        </w:rPr>
        <w:t xml:space="preserve"> בכך וכך לירח פלוני</w:t>
      </w:r>
      <w:r>
        <w:rPr>
          <w:rFonts w:cs="Arial" w:hint="cs"/>
          <w:rtl/>
        </w:rPr>
        <w:t>,</w:t>
      </w:r>
      <w:r>
        <w:rPr>
          <w:rFonts w:cs="Arial"/>
          <w:rtl/>
        </w:rPr>
        <w:t xml:space="preserve"> כך וכך לחשבון פלוני</w:t>
      </w:r>
      <w:r>
        <w:rPr>
          <w:rFonts w:cs="Arial" w:hint="cs"/>
          <w:rtl/>
        </w:rPr>
        <w:t>.</w:t>
      </w:r>
      <w:r>
        <w:rPr>
          <w:rFonts w:cs="Arial"/>
          <w:rtl/>
        </w:rPr>
        <w:t xml:space="preserve"> שחכמים תקנו לכתוב בו הזמן</w:t>
      </w:r>
      <w:r>
        <w:rPr>
          <w:rFonts w:cs="Arial" w:hint="cs"/>
          <w:rtl/>
        </w:rPr>
        <w:t>,</w:t>
      </w:r>
      <w:r>
        <w:rPr>
          <w:rFonts w:cs="Arial"/>
          <w:rtl/>
        </w:rPr>
        <w:t xml:space="preserve"> משום שפעמים שאדם נשוי קרובתו ותזנה תחתיו</w:t>
      </w:r>
      <w:r>
        <w:rPr>
          <w:rFonts w:cs="Arial" w:hint="cs"/>
          <w:rtl/>
        </w:rPr>
        <w:t>,</w:t>
      </w:r>
      <w:r>
        <w:rPr>
          <w:rFonts w:cs="Arial"/>
          <w:rtl/>
        </w:rPr>
        <w:t xml:space="preserve"> וירצה לחפות עליה ויתן לה גט אחר הזנות ולא יכתוב בו הזמן</w:t>
      </w:r>
      <w:r>
        <w:rPr>
          <w:rFonts w:cs="Arial" w:hint="cs"/>
          <w:rtl/>
        </w:rPr>
        <w:t>,</w:t>
      </w:r>
      <w:r>
        <w:rPr>
          <w:rFonts w:cs="Arial"/>
          <w:rtl/>
        </w:rPr>
        <w:t xml:space="preserve"> היא תאמר קודם הזנות נתגרשתי</w:t>
      </w:r>
      <w:r>
        <w:rPr>
          <w:rFonts w:cs="Arial" w:hint="cs"/>
          <w:rtl/>
        </w:rPr>
        <w:t>.</w:t>
      </w:r>
      <w:r>
        <w:rPr>
          <w:rFonts w:cs="Arial"/>
          <w:rtl/>
        </w:rPr>
        <w:t xml:space="preserve"> אבל כיון שתקנו לכתוב בו הזמן</w:t>
      </w:r>
      <w:r>
        <w:rPr>
          <w:rFonts w:cs="Arial" w:hint="cs"/>
          <w:rtl/>
        </w:rPr>
        <w:t>,</w:t>
      </w:r>
      <w:r>
        <w:rPr>
          <w:rFonts w:cs="Arial"/>
          <w:rtl/>
        </w:rPr>
        <w:t xml:space="preserve"> אם תאמר כן צריכה להביא ראיה</w:t>
      </w:r>
      <w:r>
        <w:rPr>
          <w:rStyle w:val="a7"/>
          <w:rFonts w:cs="Arial"/>
          <w:rtl/>
        </w:rPr>
        <w:footnoteReference w:id="859"/>
      </w:r>
      <w:r>
        <w:rPr>
          <w:rFonts w:cs="Arial" w:hint="cs"/>
          <w:rtl/>
        </w:rPr>
        <w:t>.</w:t>
      </w:r>
      <w:r>
        <w:rPr>
          <w:rFonts w:cs="Arial"/>
          <w:rtl/>
        </w:rPr>
        <w:t xml:space="preserve"> אבל לא הוצרכו לתקן זמן כדי לידע מתי תיטול פירות מנכסים שהיו בידו</w:t>
      </w:r>
      <w:r>
        <w:rPr>
          <w:rFonts w:cs="Arial" w:hint="cs"/>
          <w:rtl/>
        </w:rPr>
        <w:t>,</w:t>
      </w:r>
      <w:r>
        <w:rPr>
          <w:rFonts w:cs="Arial"/>
          <w:rtl/>
        </w:rPr>
        <w:t xml:space="preserve"> דקי"ל יש לבעל פירות עד שעה שיתן הגט לידה</w:t>
      </w:r>
      <w:r>
        <w:rPr>
          <w:rFonts w:cs="Arial" w:hint="cs"/>
          <w:rtl/>
        </w:rPr>
        <w:t>,</w:t>
      </w:r>
      <w:r>
        <w:rPr>
          <w:rFonts w:cs="Arial"/>
          <w:rtl/>
        </w:rPr>
        <w:t xml:space="preserve"> וכשיגיע הגט לידה תלך לב"ד ותראה להם גיטה</w:t>
      </w:r>
      <w:r>
        <w:rPr>
          <w:rFonts w:cs="Arial" w:hint="cs"/>
          <w:rtl/>
        </w:rPr>
        <w:t>,</w:t>
      </w:r>
      <w:r>
        <w:rPr>
          <w:rFonts w:cs="Arial"/>
          <w:rtl/>
        </w:rPr>
        <w:t xml:space="preserve"> ויכתוב לה ב"ד הזמן שנתגרשה בו</w:t>
      </w:r>
      <w:r>
        <w:rPr>
          <w:rFonts w:cs="Arial" w:hint="cs"/>
          <w:rtl/>
        </w:rPr>
        <w:t>.</w:t>
      </w:r>
      <w:r>
        <w:rPr>
          <w:rFonts w:cs="Arial"/>
          <w:rtl/>
        </w:rPr>
        <w:t xml:space="preserve"> </w:t>
      </w:r>
      <w:r w:rsidRPr="00DB0796">
        <w:rPr>
          <w:rFonts w:cs="Arial" w:hint="cs"/>
          <w:color w:val="E36C0A" w:themeColor="accent6" w:themeShade="BF"/>
          <w:rtl/>
        </w:rPr>
        <w:t>(וכ"פ בשו"ע)</w:t>
      </w:r>
    </w:p>
    <w:p w14:paraId="7C184D9A" w14:textId="19F3F301" w:rsidR="00FA2119" w:rsidRPr="004D1E22" w:rsidRDefault="00FA2119" w:rsidP="00FA2119">
      <w:pPr>
        <w:rPr>
          <w:rFonts w:cs="Arial"/>
        </w:rPr>
      </w:pPr>
      <w:r w:rsidRPr="00837E79">
        <w:rPr>
          <w:rFonts w:hint="cs"/>
          <w:b/>
          <w:bCs/>
          <w:rtl/>
        </w:rPr>
        <w:t xml:space="preserve">גיטין </w:t>
      </w:r>
      <w:r w:rsidRPr="00837E79">
        <w:rPr>
          <w:rFonts w:hint="cs"/>
          <w:b/>
          <w:bCs/>
          <w:sz w:val="16"/>
          <w:szCs w:val="16"/>
          <w:rtl/>
        </w:rPr>
        <w:t>(פ</w:t>
      </w:r>
      <w:r>
        <w:rPr>
          <w:rFonts w:hint="cs"/>
          <w:b/>
          <w:bCs/>
          <w:sz w:val="16"/>
          <w:szCs w:val="16"/>
          <w:rtl/>
        </w:rPr>
        <w:t>' המגרש</w:t>
      </w:r>
      <w:r w:rsidRPr="00837E79">
        <w:rPr>
          <w:rFonts w:hint="cs"/>
          <w:b/>
          <w:bCs/>
          <w:sz w:val="16"/>
          <w:szCs w:val="16"/>
          <w:rtl/>
        </w:rPr>
        <w:t xml:space="preserve">) </w:t>
      </w:r>
      <w:r>
        <w:rPr>
          <w:rFonts w:hint="cs"/>
          <w:b/>
          <w:bCs/>
          <w:rtl/>
        </w:rPr>
        <w:t>פו</w:t>
      </w:r>
      <w:r w:rsidRPr="00837E79">
        <w:rPr>
          <w:rFonts w:hint="cs"/>
          <w:b/>
          <w:bCs/>
          <w:rtl/>
        </w:rPr>
        <w:t xml:space="preserve"> ע"א: </w:t>
      </w:r>
      <w:r w:rsidRPr="00AB367C">
        <w:rPr>
          <w:rFonts w:cs="Arial"/>
          <w:u w:val="double"/>
          <w:rtl/>
        </w:rPr>
        <w:t>מתני'</w:t>
      </w:r>
      <w:r>
        <w:rPr>
          <w:rFonts w:cs="Arial" w:hint="cs"/>
          <w:rtl/>
        </w:rPr>
        <w:t>:</w:t>
      </w:r>
      <w:r w:rsidRPr="00AB367C">
        <w:rPr>
          <w:rFonts w:cs="Arial"/>
          <w:rtl/>
        </w:rPr>
        <w:t xml:space="preserve"> שלשה גיטין פסולין, ואם נשאת </w:t>
      </w:r>
      <w:r w:rsidR="00A82951">
        <w:rPr>
          <w:rFonts w:cs="Arial"/>
          <w:rtl/>
        </w:rPr>
        <w:t>-</w:t>
      </w:r>
      <w:r w:rsidRPr="00AB367C">
        <w:rPr>
          <w:rFonts w:cs="Arial"/>
          <w:rtl/>
        </w:rPr>
        <w:t xml:space="preserve"> הוולד כשר: כתב בכתב ידו ואין עליו עדים, יש עליו עדים ואין בו זמן, יש בו זמן ואין בו אלא עד אחד, הרי אלו שלשה גיטין פסולין, ואם נשאת </w:t>
      </w:r>
      <w:r w:rsidR="00A82951">
        <w:rPr>
          <w:rFonts w:cs="Arial"/>
          <w:rtl/>
        </w:rPr>
        <w:t>-</w:t>
      </w:r>
      <w:r w:rsidRPr="00AB367C">
        <w:rPr>
          <w:rFonts w:cs="Arial"/>
          <w:rtl/>
        </w:rPr>
        <w:t xml:space="preserve"> הולד כשר.</w:t>
      </w:r>
      <w:r>
        <w:rPr>
          <w:rFonts w:cs="Arial" w:hint="cs"/>
          <w:rtl/>
        </w:rPr>
        <w:t xml:space="preserve">..     </w:t>
      </w:r>
      <w:r w:rsidRPr="004D1E22">
        <w:rPr>
          <w:rFonts w:cs="Arial" w:hint="cs"/>
          <w:u w:val="double"/>
          <w:rtl/>
        </w:rPr>
        <w:t>גמ'</w:t>
      </w:r>
      <w:r w:rsidRPr="004D1E22">
        <w:rPr>
          <w:rFonts w:cs="Arial" w:hint="cs"/>
          <w:sz w:val="14"/>
          <w:szCs w:val="14"/>
          <w:u w:val="double"/>
          <w:rtl/>
        </w:rPr>
        <w:t>(פו:)</w:t>
      </w:r>
      <w:r w:rsidRPr="004D1E22">
        <w:rPr>
          <w:rFonts w:cs="Arial" w:hint="cs"/>
          <w:u w:val="double"/>
          <w:rtl/>
        </w:rPr>
        <w:t>:</w:t>
      </w:r>
      <w:r>
        <w:rPr>
          <w:rFonts w:cs="Arial" w:hint="cs"/>
          <w:rtl/>
        </w:rPr>
        <w:t xml:space="preserve"> </w:t>
      </w:r>
      <w:r w:rsidRPr="004D1E22">
        <w:rPr>
          <w:rFonts w:cs="Arial"/>
          <w:u w:val="single"/>
          <w:rtl/>
        </w:rPr>
        <w:t>זימנין אמר רב</w:t>
      </w:r>
      <w:r w:rsidRPr="004D1E22">
        <w:rPr>
          <w:rFonts w:cs="Arial"/>
          <w:rtl/>
        </w:rPr>
        <w:t xml:space="preserve">: תצא, </w:t>
      </w:r>
      <w:r w:rsidRPr="00CF5F12">
        <w:rPr>
          <w:rFonts w:cs="Arial"/>
          <w:u w:val="single"/>
          <w:rtl/>
        </w:rPr>
        <w:t>זימנין אמר רב</w:t>
      </w:r>
      <w:r w:rsidRPr="004D1E22">
        <w:rPr>
          <w:rFonts w:cs="Arial"/>
          <w:rtl/>
        </w:rPr>
        <w:t>: לא תצא</w:t>
      </w:r>
      <w:r>
        <w:rPr>
          <w:rFonts w:cs="Arial" w:hint="cs"/>
          <w:rtl/>
        </w:rPr>
        <w:t>.</w:t>
      </w:r>
      <w:r w:rsidRPr="004D1E22">
        <w:rPr>
          <w:rFonts w:cs="Arial"/>
          <w:rtl/>
        </w:rPr>
        <w:t xml:space="preserve"> הא כיצד? יש לה בנים </w:t>
      </w:r>
      <w:r w:rsidR="00A82951">
        <w:rPr>
          <w:rFonts w:cs="Arial"/>
          <w:rtl/>
        </w:rPr>
        <w:t>-</w:t>
      </w:r>
      <w:r w:rsidRPr="004D1E22">
        <w:rPr>
          <w:rFonts w:cs="Arial"/>
          <w:rtl/>
        </w:rPr>
        <w:t xml:space="preserve"> לא תצא, אין לה בנים </w:t>
      </w:r>
      <w:r w:rsidR="00A82951">
        <w:rPr>
          <w:rFonts w:cs="Arial"/>
          <w:rtl/>
        </w:rPr>
        <w:t>-</w:t>
      </w:r>
      <w:r w:rsidRPr="004D1E22">
        <w:rPr>
          <w:rFonts w:cs="Arial"/>
          <w:rtl/>
        </w:rPr>
        <w:t xml:space="preserve"> תצא.</w:t>
      </w:r>
      <w:r>
        <w:rPr>
          <w:rFonts w:cs="Arial" w:hint="cs"/>
          <w:rtl/>
        </w:rPr>
        <w:t>.</w:t>
      </w:r>
      <w:r w:rsidRPr="004D1E22">
        <w:rPr>
          <w:rFonts w:cs="Arial"/>
          <w:rtl/>
        </w:rPr>
        <w:t xml:space="preserve">. </w:t>
      </w:r>
      <w:r w:rsidRPr="004D1E22">
        <w:rPr>
          <w:rFonts w:cs="Arial"/>
          <w:u w:val="single"/>
          <w:rtl/>
        </w:rPr>
        <w:t>לוי אמר</w:t>
      </w:r>
      <w:r w:rsidRPr="004D1E22">
        <w:rPr>
          <w:rFonts w:cs="Arial"/>
          <w:rtl/>
        </w:rPr>
        <w:t xml:space="preserve">: לעולם לא תצא. </w:t>
      </w:r>
      <w:r w:rsidRPr="004D1E22">
        <w:rPr>
          <w:rFonts w:cs="Arial"/>
          <w:u w:val="single"/>
          <w:rtl/>
        </w:rPr>
        <w:t>וכן אמר ר' יוחנן</w:t>
      </w:r>
      <w:r w:rsidRPr="004D1E22">
        <w:rPr>
          <w:rFonts w:cs="Arial"/>
          <w:rtl/>
        </w:rPr>
        <w:t xml:space="preserve">: לעולם לא תצא. </w:t>
      </w:r>
      <w:r w:rsidRPr="004D1E22">
        <w:rPr>
          <w:rFonts w:cs="Arial"/>
          <w:u w:val="single"/>
          <w:rtl/>
        </w:rPr>
        <w:t>וכן אמר להו ר' יוחנן לבני ר' חלפתא דמן הונא</w:t>
      </w:r>
      <w:r>
        <w:rPr>
          <w:rFonts w:cs="Arial" w:hint="cs"/>
          <w:rtl/>
        </w:rPr>
        <w:t>:</w:t>
      </w:r>
      <w:r w:rsidRPr="004D1E22">
        <w:rPr>
          <w:rFonts w:cs="Arial"/>
          <w:rtl/>
        </w:rPr>
        <w:t xml:space="preserve"> הכי אמר אבוכון</w:t>
      </w:r>
      <w:r>
        <w:rPr>
          <w:rFonts w:cs="Arial" w:hint="cs"/>
          <w:rtl/>
        </w:rPr>
        <w:t>:</w:t>
      </w:r>
      <w:r w:rsidRPr="004D1E22">
        <w:rPr>
          <w:rFonts w:cs="Arial"/>
          <w:rtl/>
        </w:rPr>
        <w:t xml:space="preserve"> לעולם לא תצא</w:t>
      </w:r>
      <w:r>
        <w:rPr>
          <w:rFonts w:cs="Arial" w:hint="cs"/>
          <w:rtl/>
        </w:rPr>
        <w:t>.</w:t>
      </w:r>
      <w:r w:rsidRPr="004D1E22">
        <w:rPr>
          <w:rFonts w:cs="Arial"/>
          <w:sz w:val="16"/>
          <w:szCs w:val="16"/>
          <w:rtl/>
        </w:rPr>
        <w:t xml:space="preserve"> </w:t>
      </w:r>
      <w:r>
        <w:rPr>
          <w:rFonts w:cs="Arial" w:hint="cs"/>
          <w:sz w:val="16"/>
          <w:szCs w:val="16"/>
          <w:rtl/>
        </w:rPr>
        <w:t>(</w:t>
      </w:r>
      <w:r w:rsidRPr="004D1E22">
        <w:rPr>
          <w:rFonts w:cs="Arial"/>
          <w:sz w:val="16"/>
          <w:szCs w:val="16"/>
          <w:rtl/>
        </w:rPr>
        <w:t>ופסקו הרי"ף (מו:) והרא"ש (ס"ו) כרבי יוחנן</w:t>
      </w:r>
      <w:r>
        <w:rPr>
          <w:rFonts w:cs="Arial" w:hint="cs"/>
          <w:sz w:val="16"/>
          <w:szCs w:val="16"/>
          <w:rtl/>
        </w:rPr>
        <w:t>.</w:t>
      </w:r>
      <w:r w:rsidRPr="004D1E22">
        <w:rPr>
          <w:rFonts w:cs="Arial"/>
          <w:sz w:val="16"/>
          <w:szCs w:val="16"/>
          <w:rtl/>
        </w:rPr>
        <w:t xml:space="preserve"> וכן נראה דעת הרמב"ם בפ"י (ה"ב) שהשוה כל פסולין דרבנן דאם נישאת לא תצא והולד כשר</w:t>
      </w:r>
      <w:r>
        <w:rPr>
          <w:rFonts w:cs="Arial" w:hint="cs"/>
          <w:sz w:val="16"/>
          <w:szCs w:val="16"/>
          <w:rtl/>
        </w:rPr>
        <w:t>.</w:t>
      </w:r>
      <w:r w:rsidRPr="004D1E22">
        <w:rPr>
          <w:rFonts w:cs="Arial"/>
          <w:sz w:val="16"/>
          <w:szCs w:val="16"/>
          <w:rtl/>
        </w:rPr>
        <w:t xml:space="preserve"> ומשמע מדבריו דלא שנא לן בין שיש לה בנים לאין לה</w:t>
      </w:r>
      <w:r>
        <w:rPr>
          <w:rFonts w:cs="Arial" w:hint="cs"/>
          <w:sz w:val="16"/>
          <w:szCs w:val="16"/>
          <w:rtl/>
        </w:rPr>
        <w:t>.</w:t>
      </w:r>
      <w:r w:rsidRPr="004D1E22">
        <w:rPr>
          <w:rFonts w:cs="Arial"/>
          <w:sz w:val="16"/>
          <w:szCs w:val="16"/>
          <w:rtl/>
        </w:rPr>
        <w:t xml:space="preserve"> ועוד יתבארו דיני פסולי הגט דרבנן ודאורייתא בסימן ק"נ (ע:) בסייעתא דשמיא</w:t>
      </w:r>
      <w:r>
        <w:rPr>
          <w:rFonts w:cs="Arial" w:hint="cs"/>
          <w:sz w:val="16"/>
          <w:szCs w:val="16"/>
          <w:rtl/>
        </w:rPr>
        <w:t>, ב"י)</w:t>
      </w:r>
    </w:p>
    <w:p w14:paraId="4B661816" w14:textId="7E4BD692" w:rsidR="00FA2119" w:rsidRPr="004D1E22" w:rsidRDefault="0089505C" w:rsidP="00FA2119">
      <w:pPr>
        <w:rPr>
          <w:u w:val="single"/>
        </w:rPr>
      </w:pPr>
      <w:r>
        <w:rPr>
          <w:rFonts w:hint="cs"/>
          <w:u w:val="single"/>
          <w:rtl/>
        </w:rPr>
        <w:t>גט שלא נכתב בו זמן:</w:t>
      </w:r>
    </w:p>
    <w:p w14:paraId="5FB68D00" w14:textId="77777777" w:rsidR="0089505C" w:rsidRPr="004D1E22" w:rsidRDefault="0089505C" w:rsidP="0089505C">
      <w:pPr>
        <w:pStyle w:val="ab"/>
        <w:numPr>
          <w:ilvl w:val="0"/>
          <w:numId w:val="15"/>
        </w:numPr>
        <w:rPr>
          <w:rtl/>
        </w:rPr>
      </w:pPr>
      <w:r>
        <w:rPr>
          <w:rFonts w:cs="Arial" w:hint="cs"/>
          <w:rtl/>
        </w:rPr>
        <w:t xml:space="preserve">בהעי"ט </w:t>
      </w:r>
      <w:r w:rsidRPr="00C217AF">
        <w:rPr>
          <w:rFonts w:cs="Arial"/>
          <w:sz w:val="16"/>
          <w:szCs w:val="16"/>
          <w:rtl/>
        </w:rPr>
        <w:t xml:space="preserve">(מאמר </w:t>
      </w:r>
      <w:r>
        <w:rPr>
          <w:rFonts w:cs="Arial" w:hint="cs"/>
          <w:sz w:val="16"/>
          <w:szCs w:val="16"/>
          <w:rtl/>
        </w:rPr>
        <w:t xml:space="preserve">א' </w:t>
      </w:r>
      <w:r w:rsidRPr="00C217AF">
        <w:rPr>
          <w:rFonts w:cs="Arial"/>
          <w:sz w:val="16"/>
          <w:szCs w:val="16"/>
          <w:rtl/>
        </w:rPr>
        <w:t>זמן, ז ע"ג</w:t>
      </w:r>
      <w:r>
        <w:rPr>
          <w:rFonts w:cs="Arial" w:hint="cs"/>
          <w:sz w:val="16"/>
          <w:szCs w:val="16"/>
          <w:rtl/>
        </w:rPr>
        <w:t>, וכ"כ בשמו ההגה"מ [פ"א אות נ]</w:t>
      </w:r>
      <w:r w:rsidRPr="00C217AF">
        <w:rPr>
          <w:rFonts w:cs="Arial"/>
          <w:sz w:val="16"/>
          <w:szCs w:val="16"/>
          <w:rtl/>
        </w:rPr>
        <w:t>)</w:t>
      </w:r>
      <w:r>
        <w:rPr>
          <w:rStyle w:val="a7"/>
          <w:rFonts w:cs="Arial"/>
          <w:rtl/>
        </w:rPr>
        <w:footnoteReference w:id="860"/>
      </w:r>
      <w:r>
        <w:rPr>
          <w:rFonts w:cs="Arial" w:hint="cs"/>
          <w:rtl/>
        </w:rPr>
        <w:t xml:space="preserve">- </w:t>
      </w:r>
      <w:r w:rsidRPr="008C3784">
        <w:rPr>
          <w:rFonts w:cs="Arial"/>
          <w:rtl/>
        </w:rPr>
        <w:t>ש"מ דאעדים סמכינן לגמרי</w:t>
      </w:r>
      <w:r>
        <w:rPr>
          <w:rFonts w:cs="Arial" w:hint="cs"/>
          <w:rtl/>
        </w:rPr>
        <w:t>,</w:t>
      </w:r>
      <w:r w:rsidRPr="008C3784">
        <w:rPr>
          <w:rFonts w:cs="Arial"/>
          <w:rtl/>
        </w:rPr>
        <w:t xml:space="preserve"> הילכך אפי' מוקדם לא פסיל</w:t>
      </w:r>
      <w:r>
        <w:rPr>
          <w:rFonts w:cs="Arial" w:hint="cs"/>
          <w:rtl/>
        </w:rPr>
        <w:t>,</w:t>
      </w:r>
      <w:r w:rsidRPr="008C3784">
        <w:rPr>
          <w:rFonts w:cs="Arial"/>
          <w:rtl/>
        </w:rPr>
        <w:t xml:space="preserve"> ולכתחלה אינו נותנו לה אלא בעדים וזמן לר' אלעזר</w:t>
      </w:r>
      <w:r>
        <w:rPr>
          <w:rFonts w:cs="Arial" w:hint="cs"/>
          <w:rtl/>
        </w:rPr>
        <w:t>,</w:t>
      </w:r>
      <w:r w:rsidRPr="008C3784">
        <w:rPr>
          <w:rFonts w:cs="Arial"/>
          <w:rtl/>
        </w:rPr>
        <w:t xml:space="preserve"> אבל נותנו לה בעדים כשירין. דתנן ר' אלעזר אומר אע</w:t>
      </w:r>
      <w:r>
        <w:rPr>
          <w:rFonts w:cs="Arial" w:hint="cs"/>
          <w:rtl/>
        </w:rPr>
        <w:t>"</w:t>
      </w:r>
      <w:r w:rsidRPr="008C3784">
        <w:rPr>
          <w:rFonts w:cs="Arial"/>
          <w:rtl/>
        </w:rPr>
        <w:t xml:space="preserve">פ שאין עליו עדים אלא שנתנו לה בפני עדים. שאין העדים חותמין על הגט אלא מפני תיקון העולם. וזמן מפני תיקון העולם נמי הוא. ואם נתנו לה </w:t>
      </w:r>
      <w:r>
        <w:rPr>
          <w:rFonts w:cs="Arial" w:hint="cs"/>
          <w:rtl/>
        </w:rPr>
        <w:t xml:space="preserve">- </w:t>
      </w:r>
      <w:r w:rsidRPr="008C3784">
        <w:rPr>
          <w:rFonts w:cs="Arial"/>
          <w:rtl/>
        </w:rPr>
        <w:t>כשר</w:t>
      </w:r>
      <w:r>
        <w:rPr>
          <w:rFonts w:cs="Arial" w:hint="cs"/>
          <w:rtl/>
        </w:rPr>
        <w:t>,</w:t>
      </w:r>
      <w:r w:rsidRPr="008C3784">
        <w:rPr>
          <w:rFonts w:cs="Arial"/>
          <w:rtl/>
        </w:rPr>
        <w:t xml:space="preserve"> ותינשא לכתחלה</w:t>
      </w:r>
      <w:r>
        <w:rPr>
          <w:rFonts w:cs="Arial" w:hint="cs"/>
          <w:rtl/>
        </w:rPr>
        <w:t>.</w:t>
      </w:r>
      <w:r w:rsidRPr="008C3784">
        <w:rPr>
          <w:rFonts w:cs="Arial"/>
          <w:rtl/>
        </w:rPr>
        <w:t xml:space="preserve"> כדאמרינן על היד של עבד ונותן לה את העבד. ואוקימנא כר' אלעזר</w:t>
      </w:r>
      <w:r>
        <w:rPr>
          <w:rFonts w:cs="Arial" w:hint="cs"/>
          <w:rtl/>
        </w:rPr>
        <w:t>,</w:t>
      </w:r>
      <w:r w:rsidRPr="008C3784">
        <w:rPr>
          <w:rFonts w:cs="Arial"/>
          <w:rtl/>
        </w:rPr>
        <w:t xml:space="preserve"> ש"מ לכתחלה כר' אלעזר מכשרינן להינשא</w:t>
      </w:r>
      <w:r>
        <w:rPr>
          <w:rFonts w:cs="Arial" w:hint="cs"/>
          <w:rtl/>
        </w:rPr>
        <w:t>.</w:t>
      </w:r>
      <w:r w:rsidRPr="008C3784">
        <w:rPr>
          <w:rFonts w:cs="Arial"/>
          <w:rtl/>
        </w:rPr>
        <w:t xml:space="preserve"> וכן פירש רבינו שמואל </w:t>
      </w:r>
      <w:r w:rsidRPr="00C217AF">
        <w:rPr>
          <w:rFonts w:cs="Arial"/>
          <w:sz w:val="16"/>
          <w:szCs w:val="16"/>
          <w:rtl/>
        </w:rPr>
        <w:t>(רשב"ם</w:t>
      </w:r>
      <w:r>
        <w:rPr>
          <w:rFonts w:cs="Arial" w:hint="cs"/>
          <w:sz w:val="16"/>
          <w:szCs w:val="16"/>
          <w:rtl/>
        </w:rPr>
        <w:t xml:space="preserve"> </w:t>
      </w:r>
      <w:r w:rsidRPr="00C217AF">
        <w:rPr>
          <w:rFonts w:cs="Arial"/>
          <w:sz w:val="16"/>
          <w:szCs w:val="16"/>
          <w:rtl/>
        </w:rPr>
        <w:t>ב"ב קעב: ד"ה דלמא)</w:t>
      </w:r>
      <w:r>
        <w:rPr>
          <w:rFonts w:cs="Arial" w:hint="cs"/>
          <w:sz w:val="16"/>
          <w:szCs w:val="16"/>
          <w:rtl/>
        </w:rPr>
        <w:t xml:space="preserve"> </w:t>
      </w:r>
      <w:r w:rsidRPr="008C3784">
        <w:rPr>
          <w:rFonts w:cs="Arial"/>
          <w:rtl/>
        </w:rPr>
        <w:t>ואפילו לרבינו אפרים ורבינו אבן מגש דאמר דלא פליג ר' אלעזר דאין בו זמן</w:t>
      </w:r>
      <w:r>
        <w:rPr>
          <w:rFonts w:cs="Arial" w:hint="cs"/>
          <w:rtl/>
        </w:rPr>
        <w:t xml:space="preserve"> </w:t>
      </w:r>
      <w:r>
        <w:rPr>
          <w:rFonts w:cs="Arial" w:hint="cs"/>
          <w:sz w:val="16"/>
          <w:szCs w:val="16"/>
          <w:rtl/>
        </w:rPr>
        <w:t>(ל' בהעי"ט)</w:t>
      </w:r>
      <w:r>
        <w:rPr>
          <w:rStyle w:val="a7"/>
          <w:rFonts w:cs="Arial"/>
          <w:rtl/>
        </w:rPr>
        <w:footnoteReference w:id="861"/>
      </w:r>
      <w:r>
        <w:rPr>
          <w:rFonts w:cs="Arial" w:hint="cs"/>
          <w:rtl/>
        </w:rPr>
        <w:t>.</w:t>
      </w:r>
      <w:r w:rsidRPr="004D1E22">
        <w:rPr>
          <w:rFonts w:cs="Arial"/>
          <w:rtl/>
        </w:rPr>
        <w:t xml:space="preserve"> </w:t>
      </w:r>
    </w:p>
    <w:p w14:paraId="26B6E9AC" w14:textId="0E9FA895" w:rsidR="00FA2119" w:rsidRPr="004D1E22" w:rsidRDefault="00FA2119" w:rsidP="00FA2119">
      <w:pPr>
        <w:pStyle w:val="ab"/>
        <w:numPr>
          <w:ilvl w:val="0"/>
          <w:numId w:val="15"/>
        </w:numPr>
      </w:pPr>
      <w:r>
        <w:rPr>
          <w:rFonts w:cs="Arial" w:hint="cs"/>
          <w:rtl/>
        </w:rPr>
        <w:t>טור</w:t>
      </w:r>
      <w:r w:rsidR="00A82951">
        <w:rPr>
          <w:rFonts w:cs="Arial" w:hint="cs"/>
          <w:rtl/>
        </w:rPr>
        <w:t>-</w:t>
      </w:r>
      <w:r>
        <w:rPr>
          <w:rFonts w:cs="Arial" w:hint="cs"/>
          <w:rtl/>
        </w:rPr>
        <w:t xml:space="preserve"> </w:t>
      </w:r>
      <w:r>
        <w:rPr>
          <w:rFonts w:cs="Arial"/>
          <w:rtl/>
        </w:rPr>
        <w:t>ואם נתגרשה בגט שאין בו זמן</w:t>
      </w:r>
      <w:r>
        <w:rPr>
          <w:rFonts w:cs="Arial" w:hint="cs"/>
          <w:rtl/>
        </w:rPr>
        <w:t xml:space="preserve"> </w:t>
      </w:r>
      <w:r w:rsidR="00A82951">
        <w:rPr>
          <w:rFonts w:cs="Arial" w:hint="cs"/>
          <w:rtl/>
        </w:rPr>
        <w:t>-</w:t>
      </w:r>
      <w:r>
        <w:rPr>
          <w:rFonts w:cs="Arial"/>
          <w:rtl/>
        </w:rPr>
        <w:t xml:space="preserve"> לא תינשא</w:t>
      </w:r>
      <w:r>
        <w:rPr>
          <w:rFonts w:cs="Arial" w:hint="cs"/>
          <w:rtl/>
        </w:rPr>
        <w:t>.</w:t>
      </w:r>
      <w:r>
        <w:rPr>
          <w:rFonts w:cs="Arial"/>
          <w:rtl/>
        </w:rPr>
        <w:t xml:space="preserve"> ומיהו אם ניסת בו </w:t>
      </w:r>
      <w:r w:rsidR="00A82951">
        <w:rPr>
          <w:rFonts w:cs="Arial" w:hint="cs"/>
          <w:rtl/>
        </w:rPr>
        <w:t>-</w:t>
      </w:r>
      <w:r>
        <w:rPr>
          <w:rFonts w:cs="Arial" w:hint="cs"/>
          <w:rtl/>
        </w:rPr>
        <w:t xml:space="preserve"> </w:t>
      </w:r>
      <w:r>
        <w:rPr>
          <w:rFonts w:cs="Arial"/>
          <w:rtl/>
        </w:rPr>
        <w:t>לא תצא</w:t>
      </w:r>
      <w:r>
        <w:rPr>
          <w:rFonts w:cs="Arial" w:hint="cs"/>
          <w:rtl/>
        </w:rPr>
        <w:t>,</w:t>
      </w:r>
      <w:r>
        <w:rPr>
          <w:rFonts w:cs="Arial"/>
          <w:rtl/>
        </w:rPr>
        <w:t xml:space="preserve"> אפי</w:t>
      </w:r>
      <w:r>
        <w:rPr>
          <w:rFonts w:cs="Arial" w:hint="cs"/>
          <w:rtl/>
        </w:rPr>
        <w:t>לו</w:t>
      </w:r>
      <w:r>
        <w:rPr>
          <w:rFonts w:cs="Arial"/>
          <w:rtl/>
        </w:rPr>
        <w:t xml:space="preserve"> אם אין לה בנים</w:t>
      </w:r>
      <w:r>
        <w:rPr>
          <w:rFonts w:cs="Arial" w:hint="cs"/>
          <w:rtl/>
        </w:rPr>
        <w:t>.</w:t>
      </w:r>
      <w:r w:rsidRPr="004D1E22">
        <w:rPr>
          <w:rFonts w:cs="Arial"/>
          <w:rtl/>
        </w:rPr>
        <w:t xml:space="preserve"> </w:t>
      </w:r>
      <w:r w:rsidRPr="00DB0796">
        <w:rPr>
          <w:rFonts w:cs="Arial" w:hint="cs"/>
          <w:color w:val="E36C0A" w:themeColor="accent6" w:themeShade="BF"/>
          <w:rtl/>
        </w:rPr>
        <w:t>(וכ"פ בשו"ע)</w:t>
      </w:r>
    </w:p>
    <w:p w14:paraId="522F319E"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778F54D5" w14:textId="77777777" w:rsidR="00FA2119" w:rsidRDefault="00FA2119" w:rsidP="00FA2119">
      <w:pPr>
        <w:rPr>
          <w:rtl/>
        </w:rPr>
      </w:pPr>
      <w:r>
        <w:rPr>
          <w:rFonts w:cs="Arial" w:hint="cs"/>
          <w:rtl/>
        </w:rPr>
        <w:t>צריך</w:t>
      </w:r>
      <w:r>
        <w:rPr>
          <w:rFonts w:cs="Arial"/>
          <w:rtl/>
        </w:rPr>
        <w:t xml:space="preserve"> </w:t>
      </w:r>
      <w:r>
        <w:rPr>
          <w:rFonts w:cs="Arial" w:hint="cs"/>
          <w:rtl/>
        </w:rPr>
        <w:t>לכתוב</w:t>
      </w:r>
      <w:r>
        <w:rPr>
          <w:rFonts w:cs="Arial"/>
          <w:rtl/>
        </w:rPr>
        <w:t xml:space="preserve"> </w:t>
      </w:r>
      <w:r>
        <w:rPr>
          <w:rFonts w:cs="Arial" w:hint="cs"/>
          <w:rtl/>
        </w:rPr>
        <w:t>זמן</w:t>
      </w:r>
      <w:r>
        <w:rPr>
          <w:rFonts w:cs="Arial"/>
          <w:rtl/>
        </w:rPr>
        <w:t xml:space="preserve">, </w:t>
      </w:r>
      <w:r>
        <w:rPr>
          <w:rFonts w:cs="Arial" w:hint="cs"/>
          <w:rtl/>
        </w:rPr>
        <w:t>בגט</w:t>
      </w:r>
      <w:r>
        <w:rPr>
          <w:rFonts w:cs="Arial"/>
          <w:rtl/>
        </w:rPr>
        <w:t xml:space="preserve">. </w:t>
      </w:r>
      <w:r>
        <w:rPr>
          <w:rFonts w:cs="Arial" w:hint="cs"/>
          <w:rtl/>
        </w:rPr>
        <w:t>ואם</w:t>
      </w:r>
      <w:r>
        <w:rPr>
          <w:rFonts w:cs="Arial"/>
          <w:rtl/>
        </w:rPr>
        <w:t xml:space="preserve"> </w:t>
      </w:r>
      <w:r>
        <w:rPr>
          <w:rFonts w:cs="Arial" w:hint="cs"/>
          <w:rtl/>
        </w:rPr>
        <w:t>נתגרשה</w:t>
      </w:r>
      <w:r>
        <w:rPr>
          <w:rFonts w:cs="Arial"/>
          <w:rtl/>
        </w:rPr>
        <w:t xml:space="preserve"> </w:t>
      </w:r>
      <w:r>
        <w:rPr>
          <w:rFonts w:cs="Arial" w:hint="cs"/>
          <w:rtl/>
        </w:rPr>
        <w:t>בגט</w:t>
      </w:r>
      <w:r>
        <w:rPr>
          <w:rFonts w:cs="Arial"/>
          <w:rtl/>
        </w:rPr>
        <w:t xml:space="preserve"> </w:t>
      </w:r>
      <w:r>
        <w:rPr>
          <w:rFonts w:cs="Arial" w:hint="cs"/>
          <w:rtl/>
        </w:rPr>
        <w:t>שאין</w:t>
      </w:r>
      <w:r>
        <w:rPr>
          <w:rFonts w:cs="Arial"/>
          <w:rtl/>
        </w:rPr>
        <w:t xml:space="preserve"> </w:t>
      </w:r>
      <w:r>
        <w:rPr>
          <w:rFonts w:cs="Arial" w:hint="cs"/>
          <w:rtl/>
        </w:rPr>
        <w:t>בו</w:t>
      </w:r>
      <w:r>
        <w:rPr>
          <w:rFonts w:cs="Arial"/>
          <w:rtl/>
        </w:rPr>
        <w:t xml:space="preserve"> </w:t>
      </w:r>
      <w:r>
        <w:rPr>
          <w:rFonts w:cs="Arial" w:hint="cs"/>
          <w:rtl/>
        </w:rPr>
        <w:t>זמן</w:t>
      </w:r>
      <w:r>
        <w:rPr>
          <w:rFonts w:cs="Arial"/>
          <w:rtl/>
        </w:rPr>
        <w:t xml:space="preserve">, </w:t>
      </w:r>
      <w:r>
        <w:rPr>
          <w:rFonts w:cs="Arial" w:hint="cs"/>
          <w:rtl/>
        </w:rPr>
        <w:t>לא</w:t>
      </w:r>
      <w:r>
        <w:rPr>
          <w:rFonts w:cs="Arial"/>
          <w:rtl/>
        </w:rPr>
        <w:t xml:space="preserve"> </w:t>
      </w:r>
      <w:r>
        <w:rPr>
          <w:rFonts w:cs="Arial" w:hint="cs"/>
          <w:rtl/>
        </w:rPr>
        <w:t>תנשא.</w:t>
      </w:r>
      <w:r>
        <w:rPr>
          <w:rFonts w:cs="Arial"/>
          <w:rtl/>
        </w:rPr>
        <w:t xml:space="preserve"> </w:t>
      </w:r>
      <w:r>
        <w:rPr>
          <w:rFonts w:cs="Arial" w:hint="cs"/>
          <w:rtl/>
        </w:rPr>
        <w:t>ואם</w:t>
      </w:r>
      <w:r>
        <w:rPr>
          <w:rFonts w:cs="Arial"/>
          <w:rtl/>
        </w:rPr>
        <w:t xml:space="preserve"> </w:t>
      </w:r>
      <w:r>
        <w:rPr>
          <w:rFonts w:cs="Arial" w:hint="cs"/>
          <w:rtl/>
        </w:rPr>
        <w:t>נשאת</w:t>
      </w:r>
      <w:r>
        <w:rPr>
          <w:rFonts w:cs="Arial"/>
          <w:rtl/>
        </w:rPr>
        <w:t xml:space="preserve">, </w:t>
      </w:r>
      <w:r>
        <w:rPr>
          <w:rFonts w:cs="Arial" w:hint="cs"/>
          <w:rtl/>
        </w:rPr>
        <w:t>לא</w:t>
      </w:r>
      <w:r>
        <w:rPr>
          <w:rFonts w:cs="Arial"/>
          <w:rtl/>
        </w:rPr>
        <w:t xml:space="preserve"> </w:t>
      </w:r>
      <w:r>
        <w:rPr>
          <w:rFonts w:cs="Arial" w:hint="cs"/>
          <w:rtl/>
        </w:rPr>
        <w:t>תצא</w:t>
      </w:r>
      <w:r>
        <w:rPr>
          <w:rStyle w:val="a7"/>
          <w:rFonts w:cs="Arial"/>
          <w:rtl/>
        </w:rPr>
        <w:footnoteReference w:id="862"/>
      </w:r>
      <w:r>
        <w:rPr>
          <w:rFonts w:cs="Arial"/>
          <w:rtl/>
        </w:rPr>
        <w:t xml:space="preserve">, </w:t>
      </w:r>
      <w:r>
        <w:rPr>
          <w:rFonts w:cs="Arial" w:hint="cs"/>
          <w:rtl/>
        </w:rPr>
        <w:t>אפילו</w:t>
      </w:r>
      <w:r>
        <w:rPr>
          <w:rFonts w:cs="Arial"/>
          <w:rtl/>
        </w:rPr>
        <w:t xml:space="preserve"> </w:t>
      </w:r>
      <w:r>
        <w:rPr>
          <w:rFonts w:cs="Arial" w:hint="cs"/>
          <w:rtl/>
        </w:rPr>
        <w:t>אין</w:t>
      </w:r>
      <w:r>
        <w:rPr>
          <w:rFonts w:cs="Arial"/>
          <w:rtl/>
        </w:rPr>
        <w:t xml:space="preserve"> </w:t>
      </w:r>
      <w:r>
        <w:rPr>
          <w:rFonts w:cs="Arial" w:hint="cs"/>
          <w:rtl/>
        </w:rPr>
        <w:t>לה</w:t>
      </w:r>
      <w:r>
        <w:rPr>
          <w:rFonts w:cs="Arial"/>
          <w:rtl/>
        </w:rPr>
        <w:t xml:space="preserve"> </w:t>
      </w:r>
      <w:r>
        <w:rPr>
          <w:rFonts w:cs="Arial" w:hint="cs"/>
          <w:rtl/>
        </w:rPr>
        <w:t>בנים</w:t>
      </w:r>
      <w:r>
        <w:rPr>
          <w:rFonts w:cs="Arial"/>
          <w:rtl/>
        </w:rPr>
        <w:t xml:space="preserve">. </w:t>
      </w:r>
    </w:p>
    <w:p w14:paraId="50B678CC" w14:textId="77777777" w:rsidR="00FA2119" w:rsidRDefault="00FA2119" w:rsidP="00FA2119">
      <w:pPr>
        <w:rPr>
          <w:rtl/>
        </w:rPr>
      </w:pPr>
    </w:p>
    <w:p w14:paraId="0345090C" w14:textId="77777777" w:rsidR="00FA2119" w:rsidRDefault="00FA2119" w:rsidP="00FA2119">
      <w:pPr>
        <w:pStyle w:val="2"/>
        <w:rPr>
          <w:rtl/>
        </w:rPr>
      </w:pPr>
      <w:r>
        <w:rPr>
          <w:rFonts w:hint="cs"/>
          <w:rtl/>
        </w:rPr>
        <w:t>סעיף</w:t>
      </w:r>
      <w:r>
        <w:rPr>
          <w:rtl/>
        </w:rPr>
        <w:t xml:space="preserve"> </w:t>
      </w:r>
      <w:r>
        <w:rPr>
          <w:rFonts w:hint="cs"/>
          <w:rtl/>
        </w:rPr>
        <w:t>ב: גט מוקדם.</w:t>
      </w:r>
    </w:p>
    <w:p w14:paraId="0A78CA29" w14:textId="5C1B639F" w:rsidR="00FA2119" w:rsidRDefault="00FA2119" w:rsidP="00FA2119">
      <w:pPr>
        <w:rPr>
          <w:rFonts w:cs="Arial"/>
          <w:rtl/>
        </w:rPr>
      </w:pPr>
      <w:r w:rsidRPr="00837E79">
        <w:rPr>
          <w:rFonts w:hint="cs"/>
          <w:b/>
          <w:bCs/>
          <w:rtl/>
        </w:rPr>
        <w:t xml:space="preserve">גיטין </w:t>
      </w:r>
      <w:r w:rsidRPr="00837E79">
        <w:rPr>
          <w:rFonts w:hint="cs"/>
          <w:b/>
          <w:bCs/>
          <w:sz w:val="16"/>
          <w:szCs w:val="16"/>
          <w:rtl/>
        </w:rPr>
        <w:t xml:space="preserve">(פ"ב) </w:t>
      </w:r>
      <w:r w:rsidRPr="00837E79">
        <w:rPr>
          <w:rFonts w:hint="cs"/>
          <w:b/>
          <w:bCs/>
          <w:rtl/>
        </w:rPr>
        <w:t xml:space="preserve">יז ע"א: </w:t>
      </w:r>
      <w:r w:rsidRPr="00C434F5">
        <w:rPr>
          <w:rFonts w:cs="Arial"/>
          <w:u w:val="double"/>
          <w:rtl/>
        </w:rPr>
        <w:t>מתני</w:t>
      </w:r>
      <w:r w:rsidRPr="00C434F5">
        <w:rPr>
          <w:rFonts w:cs="Arial" w:hint="cs"/>
          <w:u w:val="double"/>
          <w:rtl/>
        </w:rPr>
        <w:t>'</w:t>
      </w:r>
      <w:r>
        <w:rPr>
          <w:rFonts w:cs="Arial" w:hint="cs"/>
          <w:rtl/>
        </w:rPr>
        <w:t>:</w:t>
      </w:r>
      <w:r w:rsidRPr="00C434F5">
        <w:rPr>
          <w:rFonts w:cs="Arial"/>
          <w:rtl/>
        </w:rPr>
        <w:t xml:space="preserve"> נכתב ביום ונחתם ביום, בלילה ונחתם בלילה, בלילה ונחתם ביום </w:t>
      </w:r>
      <w:r w:rsidR="00A82951">
        <w:rPr>
          <w:rFonts w:cs="Arial"/>
          <w:rtl/>
        </w:rPr>
        <w:t>-</w:t>
      </w:r>
      <w:r w:rsidRPr="00C434F5">
        <w:rPr>
          <w:rFonts w:cs="Arial"/>
          <w:rtl/>
        </w:rPr>
        <w:t xml:space="preserve"> כשר. ביום ונחתם בלילה </w:t>
      </w:r>
      <w:r w:rsidR="00A82951">
        <w:rPr>
          <w:rFonts w:cs="Arial"/>
          <w:rtl/>
        </w:rPr>
        <w:t>-</w:t>
      </w:r>
      <w:r w:rsidRPr="00C434F5">
        <w:rPr>
          <w:rFonts w:cs="Arial"/>
          <w:rtl/>
        </w:rPr>
        <w:t xml:space="preserve"> פסול</w:t>
      </w:r>
      <w:r>
        <w:rPr>
          <w:rFonts w:cs="Arial" w:hint="cs"/>
          <w:rtl/>
        </w:rPr>
        <w:t>.</w:t>
      </w:r>
      <w:r w:rsidRPr="00C434F5">
        <w:rPr>
          <w:rFonts w:cs="Arial"/>
          <w:rtl/>
        </w:rPr>
        <w:t xml:space="preserve"> </w:t>
      </w:r>
      <w:r w:rsidRPr="00C434F5">
        <w:rPr>
          <w:rFonts w:cs="Arial"/>
          <w:u w:val="single"/>
          <w:rtl/>
        </w:rPr>
        <w:t>רבי שמעון</w:t>
      </w:r>
      <w:r w:rsidRPr="00C434F5">
        <w:rPr>
          <w:rFonts w:cs="Arial"/>
          <w:rtl/>
        </w:rPr>
        <w:t xml:space="preserve"> מכשיר</w:t>
      </w:r>
      <w:r>
        <w:rPr>
          <w:rFonts w:cs="Arial" w:hint="cs"/>
          <w:rtl/>
        </w:rPr>
        <w:t>.</w:t>
      </w:r>
      <w:r w:rsidRPr="00C434F5">
        <w:rPr>
          <w:rFonts w:cs="Arial"/>
          <w:rtl/>
        </w:rPr>
        <w:t xml:space="preserve"> שהיה רבי שמעון אומר: כל הגיטין שנכתבו ביום ונחתמו בלילה </w:t>
      </w:r>
      <w:r w:rsidR="00A82951">
        <w:rPr>
          <w:rFonts w:cs="Arial"/>
          <w:rtl/>
        </w:rPr>
        <w:t>-</w:t>
      </w:r>
      <w:r w:rsidRPr="00C434F5">
        <w:rPr>
          <w:rFonts w:cs="Arial"/>
          <w:rtl/>
        </w:rPr>
        <w:t xml:space="preserve"> פסולין, חוץ מגיטי נשים.</w:t>
      </w:r>
      <w:r>
        <w:rPr>
          <w:rFonts w:hint="cs"/>
          <w:rtl/>
        </w:rPr>
        <w:t xml:space="preserve">         </w:t>
      </w:r>
      <w:r w:rsidRPr="00C434F5">
        <w:rPr>
          <w:rFonts w:hint="cs"/>
          <w:u w:val="double"/>
          <w:rtl/>
        </w:rPr>
        <w:t>גמ'</w:t>
      </w:r>
      <w:r w:rsidRPr="00C434F5">
        <w:rPr>
          <w:rFonts w:hint="cs"/>
          <w:sz w:val="14"/>
          <w:szCs w:val="14"/>
          <w:u w:val="double"/>
          <w:rtl/>
        </w:rPr>
        <w:t>(יח.)</w:t>
      </w:r>
      <w:r w:rsidRPr="00C434F5">
        <w:rPr>
          <w:rFonts w:hint="cs"/>
          <w:u w:val="double"/>
          <w:rtl/>
        </w:rPr>
        <w:t>:</w:t>
      </w:r>
      <w:r w:rsidRPr="00C434F5">
        <w:rPr>
          <w:rtl/>
        </w:rPr>
        <w:t xml:space="preserve"> </w:t>
      </w:r>
      <w:r w:rsidRPr="00C434F5">
        <w:rPr>
          <w:rFonts w:cs="Arial"/>
          <w:rtl/>
        </w:rPr>
        <w:t xml:space="preserve">ר"ש מכשיר. </w:t>
      </w:r>
      <w:r w:rsidRPr="00C434F5">
        <w:rPr>
          <w:rFonts w:cs="Arial"/>
          <w:u w:val="single"/>
          <w:rtl/>
        </w:rPr>
        <w:t>אמר רבא</w:t>
      </w:r>
      <w:r w:rsidRPr="00C434F5">
        <w:rPr>
          <w:rFonts w:cs="Arial"/>
          <w:rtl/>
        </w:rPr>
        <w:t>: מאי טעמא דר"ש? קסבר: כיון שנתן עיניו לגרשה, שוב אין לו פירות</w:t>
      </w:r>
      <w:r>
        <w:rPr>
          <w:rStyle w:val="a7"/>
          <w:rFonts w:cs="Arial"/>
          <w:rtl/>
        </w:rPr>
        <w:footnoteReference w:id="863"/>
      </w:r>
      <w:r w:rsidRPr="00C434F5">
        <w:rPr>
          <w:rFonts w:cs="Arial"/>
          <w:rtl/>
        </w:rPr>
        <w:t xml:space="preserve">. </w:t>
      </w:r>
      <w:r w:rsidRPr="00C434F5">
        <w:rPr>
          <w:rFonts w:cs="Arial"/>
          <w:u w:val="single"/>
          <w:rtl/>
        </w:rPr>
        <w:t>אמר ריש לקיש</w:t>
      </w:r>
      <w:r w:rsidRPr="00C434F5">
        <w:rPr>
          <w:rFonts w:cs="Arial"/>
          <w:rtl/>
        </w:rPr>
        <w:t>: לא הכשיר ר"ש אלא לאלתר, אבל מכאן ועד עשרה ימים לא</w:t>
      </w:r>
      <w:r>
        <w:rPr>
          <w:rFonts w:cs="Arial" w:hint="cs"/>
          <w:sz w:val="14"/>
          <w:szCs w:val="14"/>
          <w:rtl/>
        </w:rPr>
        <w:t xml:space="preserve"> (יח:)</w:t>
      </w:r>
      <w:r w:rsidRPr="00C434F5">
        <w:rPr>
          <w:rFonts w:cs="Arial"/>
          <w:rtl/>
        </w:rPr>
        <w:t>,</w:t>
      </w:r>
      <w:r w:rsidRPr="00C434F5">
        <w:rPr>
          <w:rtl/>
        </w:rPr>
        <w:t xml:space="preserve"> </w:t>
      </w:r>
      <w:r w:rsidRPr="00C434F5">
        <w:rPr>
          <w:rFonts w:cs="Arial"/>
          <w:rtl/>
        </w:rPr>
        <w:t>חיישינן שמא פייס</w:t>
      </w:r>
      <w:r>
        <w:rPr>
          <w:rStyle w:val="a7"/>
          <w:rFonts w:cs="Arial"/>
          <w:rtl/>
        </w:rPr>
        <w:footnoteReference w:id="864"/>
      </w:r>
      <w:r>
        <w:rPr>
          <w:rFonts w:cs="Arial" w:hint="cs"/>
          <w:rtl/>
        </w:rPr>
        <w:t>.</w:t>
      </w:r>
      <w:r w:rsidRPr="00C434F5">
        <w:rPr>
          <w:rFonts w:cs="Arial"/>
          <w:rtl/>
        </w:rPr>
        <w:t xml:space="preserve"> </w:t>
      </w:r>
      <w:r w:rsidRPr="00C434F5">
        <w:rPr>
          <w:rFonts w:cs="Arial"/>
          <w:u w:val="single"/>
          <w:rtl/>
        </w:rPr>
        <w:t>ורבי יוחנן אמר</w:t>
      </w:r>
      <w:r w:rsidRPr="00C434F5">
        <w:rPr>
          <w:rFonts w:cs="Arial"/>
          <w:rtl/>
        </w:rPr>
        <w:t>: אפי' מכאן ועד עשרה ימים, אם איתא דפייס, קלא אית ליה למילתא</w:t>
      </w:r>
      <w:r>
        <w:rPr>
          <w:rStyle w:val="a7"/>
          <w:rFonts w:cs="Arial"/>
          <w:rtl/>
        </w:rPr>
        <w:footnoteReference w:id="865"/>
      </w:r>
      <w:r w:rsidRPr="00C434F5">
        <w:rPr>
          <w:rFonts w:cs="Arial"/>
          <w:rtl/>
        </w:rPr>
        <w:t>.</w:t>
      </w:r>
      <w:r w:rsidRPr="008B3CA9">
        <w:rPr>
          <w:rFonts w:cs="Arial"/>
          <w:rtl/>
        </w:rPr>
        <w:t xml:space="preserve"> </w:t>
      </w:r>
      <w:r w:rsidRPr="00B1070D">
        <w:rPr>
          <w:rFonts w:cs="Arial"/>
          <w:rtl/>
        </w:rPr>
        <w:t xml:space="preserve">איתמר: אמר לעשרה כתבו גט לאשתי, </w:t>
      </w:r>
      <w:r w:rsidRPr="00186479">
        <w:rPr>
          <w:rFonts w:cs="Arial"/>
          <w:u w:val="single"/>
          <w:rtl/>
        </w:rPr>
        <w:t>אמר ר' יוחנן</w:t>
      </w:r>
      <w:r w:rsidRPr="00B1070D">
        <w:rPr>
          <w:rFonts w:cs="Arial"/>
          <w:rtl/>
        </w:rPr>
        <w:t>: שנים משום עדים, וכולם משום תנאי</w:t>
      </w:r>
      <w:r>
        <w:rPr>
          <w:rFonts w:cs="Arial" w:hint="cs"/>
          <w:rtl/>
        </w:rPr>
        <w:t>.</w:t>
      </w:r>
      <w:r w:rsidRPr="00B1070D">
        <w:rPr>
          <w:rFonts w:cs="Arial"/>
          <w:rtl/>
        </w:rPr>
        <w:t xml:space="preserve"> </w:t>
      </w:r>
      <w:r w:rsidRPr="00186479">
        <w:rPr>
          <w:rFonts w:cs="Arial"/>
          <w:u w:val="single"/>
          <w:rtl/>
        </w:rPr>
        <w:t>וריש לקיש אמר</w:t>
      </w:r>
      <w:r w:rsidRPr="00B1070D">
        <w:rPr>
          <w:rFonts w:cs="Arial"/>
          <w:rtl/>
        </w:rPr>
        <w:t xml:space="preserve">: כולם משום עדים. היכי דמי? אילימא דלא אמר להו כולכם, והא תנן: אמר לעשרה כתבו גט לאשתי, אחד כותב ושנים חותמין! אלא דאמר להו כולכם. מאי בינייהו? איכא בינייהו דחתום בי תרי מינייהו ביומיה ואינך מכאן ועד עשרה ימים, מאן דאמר משום תנאי </w:t>
      </w:r>
      <w:r w:rsidR="00A82951">
        <w:rPr>
          <w:rFonts w:cs="Arial"/>
          <w:rtl/>
        </w:rPr>
        <w:t>-</w:t>
      </w:r>
      <w:r w:rsidRPr="00B1070D">
        <w:rPr>
          <w:rFonts w:cs="Arial"/>
          <w:rtl/>
        </w:rPr>
        <w:t xml:space="preserve"> כשר, ומאן דאמר משום עדים </w:t>
      </w:r>
      <w:r w:rsidR="00A82951">
        <w:rPr>
          <w:rFonts w:cs="Arial"/>
          <w:rtl/>
        </w:rPr>
        <w:t>-</w:t>
      </w:r>
      <w:r w:rsidRPr="00B1070D">
        <w:rPr>
          <w:rFonts w:cs="Arial"/>
          <w:rtl/>
        </w:rPr>
        <w:t xml:space="preserve"> פסול.</w:t>
      </w:r>
      <w:r>
        <w:rPr>
          <w:rFonts w:cs="Arial" w:hint="cs"/>
          <w:rtl/>
        </w:rPr>
        <w:t>..</w:t>
      </w:r>
      <w:r w:rsidRPr="00B1070D">
        <w:rPr>
          <w:rFonts w:cs="Arial"/>
          <w:rtl/>
        </w:rPr>
        <w:t xml:space="preserve"> </w:t>
      </w:r>
      <w:r w:rsidRPr="00186479">
        <w:rPr>
          <w:rFonts w:cs="Arial"/>
          <w:u w:val="single"/>
          <w:rtl/>
        </w:rPr>
        <w:t>ההוא</w:t>
      </w:r>
      <w:r w:rsidRPr="002D32C8">
        <w:rPr>
          <w:rFonts w:cs="Arial"/>
          <w:rtl/>
        </w:rPr>
        <w:t xml:space="preserve"> דאמר להו </w:t>
      </w:r>
      <w:r w:rsidRPr="00B1070D">
        <w:rPr>
          <w:rFonts w:cs="Arial"/>
          <w:rtl/>
        </w:rPr>
        <w:t xml:space="preserve">לעשרה כתבו גט לאשתי, חתום בי תרי מינייהו ביומיה ואינך מכאן ועד עשרה ימים, אתא לקמיה דרבי יהושע בן לוי, </w:t>
      </w:r>
      <w:r w:rsidRPr="00186479">
        <w:rPr>
          <w:rFonts w:cs="Arial"/>
          <w:u w:val="single"/>
          <w:rtl/>
        </w:rPr>
        <w:t>אמר ליה</w:t>
      </w:r>
      <w:r w:rsidRPr="00B1070D">
        <w:rPr>
          <w:rFonts w:cs="Arial"/>
          <w:rtl/>
        </w:rPr>
        <w:t>:</w:t>
      </w:r>
      <w:r>
        <w:rPr>
          <w:rFonts w:cs="Arial" w:hint="cs"/>
          <w:sz w:val="14"/>
          <w:szCs w:val="14"/>
          <w:rtl/>
        </w:rPr>
        <w:t xml:space="preserve"> (יט.) </w:t>
      </w:r>
      <w:r w:rsidRPr="00B1070D">
        <w:rPr>
          <w:rFonts w:cs="Arial"/>
          <w:rtl/>
        </w:rPr>
        <w:t>כדאי הוא ר"ש לסמוך עליו בשעת הדחק</w:t>
      </w:r>
      <w:r>
        <w:rPr>
          <w:rStyle w:val="a7"/>
          <w:rFonts w:cs="Arial"/>
          <w:rtl/>
        </w:rPr>
        <w:footnoteReference w:id="866"/>
      </w:r>
      <w:r w:rsidRPr="00B1070D">
        <w:rPr>
          <w:rFonts w:cs="Arial"/>
          <w:rtl/>
        </w:rPr>
        <w:t>. והאמר ריש לקיש: לא הכשיר ר"ש אלא לאלתר, אבל מכאן ועד עשרה ימים לא! בההיא כרבי יוחנן סבירא ליה</w:t>
      </w:r>
      <w:r>
        <w:rPr>
          <w:rStyle w:val="a7"/>
          <w:rFonts w:cs="Arial"/>
          <w:rtl/>
        </w:rPr>
        <w:footnoteReference w:id="867"/>
      </w:r>
      <w:r w:rsidRPr="00B1070D">
        <w:rPr>
          <w:rFonts w:cs="Arial"/>
          <w:rtl/>
        </w:rPr>
        <w:t>. והאמר ר' יוחנן: שנים משום עדים, וכולן משום תנאי</w:t>
      </w:r>
      <w:r>
        <w:rPr>
          <w:rStyle w:val="a7"/>
          <w:rFonts w:cs="Arial"/>
          <w:rtl/>
        </w:rPr>
        <w:footnoteReference w:id="868"/>
      </w:r>
      <w:r w:rsidRPr="00B1070D">
        <w:rPr>
          <w:rFonts w:cs="Arial"/>
          <w:rtl/>
        </w:rPr>
        <w:t>! בההיא כריש לקיש סבירא ליה.</w:t>
      </w:r>
    </w:p>
    <w:p w14:paraId="56F02E3C" w14:textId="77777777" w:rsidR="00FA2119" w:rsidRPr="00692859" w:rsidRDefault="00FA2119" w:rsidP="00FA2119">
      <w:pPr>
        <w:rPr>
          <w:u w:val="single"/>
          <w:rtl/>
        </w:rPr>
      </w:pPr>
      <w:r w:rsidRPr="00692859">
        <w:rPr>
          <w:rFonts w:hint="cs"/>
          <w:u w:val="single"/>
          <w:rtl/>
        </w:rPr>
        <w:t>גט מוקדם:</w:t>
      </w:r>
    </w:p>
    <w:p w14:paraId="572A8C20" w14:textId="1377F4DC" w:rsidR="00FA2119" w:rsidRPr="00692859" w:rsidRDefault="00FA2119" w:rsidP="00FA2119">
      <w:pPr>
        <w:pStyle w:val="ab"/>
        <w:numPr>
          <w:ilvl w:val="0"/>
          <w:numId w:val="15"/>
        </w:numPr>
      </w:pPr>
      <w:r>
        <w:rPr>
          <w:rFonts w:hint="cs"/>
          <w:rtl/>
        </w:rPr>
        <w:t>טור</w:t>
      </w:r>
      <w:r w:rsidR="00A82951">
        <w:rPr>
          <w:rFonts w:hint="cs"/>
          <w:rtl/>
        </w:rPr>
        <w:t>-</w:t>
      </w:r>
      <w:r>
        <w:rPr>
          <w:rFonts w:cs="Arial" w:hint="cs"/>
          <w:rtl/>
        </w:rPr>
        <w:t xml:space="preserve"> </w:t>
      </w:r>
      <w:r>
        <w:rPr>
          <w:rFonts w:cs="Arial"/>
          <w:rtl/>
        </w:rPr>
        <w:t>ואם הקדים הזמן</w:t>
      </w:r>
      <w:r>
        <w:rPr>
          <w:rStyle w:val="a7"/>
          <w:rFonts w:cs="Arial"/>
          <w:rtl/>
        </w:rPr>
        <w:footnoteReference w:id="869"/>
      </w:r>
      <w:r>
        <w:rPr>
          <w:rFonts w:cs="Arial"/>
          <w:rtl/>
        </w:rPr>
        <w:t xml:space="preserve"> </w:t>
      </w:r>
      <w:r w:rsidR="00A82951">
        <w:rPr>
          <w:rFonts w:cs="Arial" w:hint="cs"/>
          <w:rtl/>
        </w:rPr>
        <w:t>-</w:t>
      </w:r>
      <w:r>
        <w:rPr>
          <w:rFonts w:cs="Arial" w:hint="cs"/>
          <w:rtl/>
        </w:rPr>
        <w:t xml:space="preserve"> </w:t>
      </w:r>
      <w:r>
        <w:rPr>
          <w:rFonts w:cs="Arial"/>
          <w:rtl/>
        </w:rPr>
        <w:t>פסול</w:t>
      </w:r>
      <w:r>
        <w:rPr>
          <w:rStyle w:val="a7"/>
          <w:rFonts w:cs="Arial"/>
          <w:rtl/>
        </w:rPr>
        <w:footnoteReference w:id="870"/>
      </w:r>
      <w:r>
        <w:rPr>
          <w:rFonts w:cs="Arial" w:hint="cs"/>
          <w:rtl/>
        </w:rPr>
        <w:t>.</w:t>
      </w:r>
      <w:r>
        <w:rPr>
          <w:rFonts w:cs="Arial"/>
          <w:rtl/>
        </w:rPr>
        <w:t xml:space="preserve"> </w:t>
      </w:r>
      <w:r w:rsidRPr="00DB0796">
        <w:rPr>
          <w:rFonts w:cs="Arial" w:hint="cs"/>
          <w:color w:val="E36C0A" w:themeColor="accent6" w:themeShade="BF"/>
          <w:rtl/>
        </w:rPr>
        <w:t>(וכ"פ בשו"ע)</w:t>
      </w:r>
    </w:p>
    <w:p w14:paraId="164E9E77" w14:textId="77777777" w:rsidR="00FA2119" w:rsidRPr="006871B7" w:rsidRDefault="00FA2119" w:rsidP="00FA2119">
      <w:pPr>
        <w:rPr>
          <w:u w:val="single"/>
        </w:rPr>
      </w:pPr>
      <w:r w:rsidRPr="006871B7">
        <w:rPr>
          <w:rFonts w:hint="cs"/>
          <w:u w:val="single"/>
          <w:rtl/>
        </w:rPr>
        <w:t>גט שנכתב ביום ונחתם בלילה:</w:t>
      </w:r>
    </w:p>
    <w:p w14:paraId="6121F1DA" w14:textId="2889F528" w:rsidR="00FA2119" w:rsidRPr="00DB0796" w:rsidRDefault="00FA2119" w:rsidP="00FA2119">
      <w:pPr>
        <w:pStyle w:val="ab"/>
        <w:numPr>
          <w:ilvl w:val="0"/>
          <w:numId w:val="15"/>
        </w:numPr>
      </w:pPr>
      <w:r>
        <w:rPr>
          <w:rFonts w:cs="Arial" w:hint="cs"/>
          <w:rtl/>
        </w:rPr>
        <w:t>ב</w:t>
      </w:r>
      <w:r w:rsidRPr="008B3CA9">
        <w:rPr>
          <w:rFonts w:cs="Arial"/>
          <w:rtl/>
        </w:rPr>
        <w:t>העי</w:t>
      </w:r>
      <w:r>
        <w:rPr>
          <w:rFonts w:cs="Arial" w:hint="cs"/>
          <w:rtl/>
        </w:rPr>
        <w:t>"</w:t>
      </w:r>
      <w:r w:rsidRPr="008B3CA9">
        <w:rPr>
          <w:rFonts w:cs="Arial"/>
          <w:rtl/>
        </w:rPr>
        <w:t>ט</w:t>
      </w:r>
      <w:r>
        <w:rPr>
          <w:rFonts w:cs="Arial" w:hint="cs"/>
          <w:rtl/>
        </w:rPr>
        <w:t xml:space="preserve"> </w:t>
      </w:r>
      <w:r w:rsidRPr="00B9360C">
        <w:rPr>
          <w:rFonts w:cs="Arial" w:hint="cs"/>
          <w:sz w:val="16"/>
          <w:szCs w:val="16"/>
          <w:rtl/>
        </w:rPr>
        <w:t>(מאמר א,</w:t>
      </w:r>
      <w:r w:rsidRPr="00B9360C">
        <w:rPr>
          <w:rFonts w:cs="Arial"/>
          <w:sz w:val="16"/>
          <w:szCs w:val="16"/>
          <w:rtl/>
        </w:rPr>
        <w:t xml:space="preserve"> ו ע"ד) </w:t>
      </w:r>
      <w:r>
        <w:rPr>
          <w:rFonts w:cs="Arial" w:hint="cs"/>
          <w:rtl/>
        </w:rPr>
        <w:t>רא"ש</w:t>
      </w:r>
      <w:r>
        <w:rPr>
          <w:rFonts w:cs="Arial" w:hint="cs"/>
          <w:sz w:val="16"/>
          <w:szCs w:val="16"/>
          <w:rtl/>
        </w:rPr>
        <w:t xml:space="preserve"> (פ"ב סי' ט, וכ"כ הטור בשמו)</w:t>
      </w:r>
      <w:r w:rsidRPr="00B9360C">
        <w:rPr>
          <w:rFonts w:cs="Arial" w:hint="cs"/>
          <w:rtl/>
        </w:rPr>
        <w:t xml:space="preserve"> </w:t>
      </w:r>
      <w:r>
        <w:rPr>
          <w:rFonts w:cs="Arial" w:hint="cs"/>
          <w:rtl/>
        </w:rPr>
        <w:t xml:space="preserve"> הגה"מ </w:t>
      </w:r>
      <w:r w:rsidRPr="00B9360C">
        <w:rPr>
          <w:rFonts w:cs="Arial" w:hint="cs"/>
          <w:sz w:val="16"/>
          <w:szCs w:val="16"/>
          <w:rtl/>
        </w:rPr>
        <w:t xml:space="preserve">(פ"א מגירושין </w:t>
      </w:r>
      <w:r w:rsidRPr="00B9360C">
        <w:rPr>
          <w:rFonts w:cs="Arial"/>
          <w:sz w:val="16"/>
          <w:szCs w:val="16"/>
          <w:rtl/>
        </w:rPr>
        <w:t xml:space="preserve">אות נ) </w:t>
      </w:r>
      <w:r w:rsidRPr="008B3CA9">
        <w:rPr>
          <w:rFonts w:cs="Arial"/>
          <w:rtl/>
        </w:rPr>
        <w:t>ו</w:t>
      </w:r>
      <w:r>
        <w:rPr>
          <w:rFonts w:cs="Arial" w:hint="cs"/>
          <w:rtl/>
        </w:rPr>
        <w:t xml:space="preserve">רי"ו </w:t>
      </w:r>
      <w:r w:rsidRPr="00B9360C">
        <w:rPr>
          <w:rFonts w:cs="Arial"/>
          <w:sz w:val="16"/>
          <w:szCs w:val="16"/>
          <w:rtl/>
        </w:rPr>
        <w:t>(</w:t>
      </w:r>
      <w:r w:rsidRPr="00B9360C">
        <w:rPr>
          <w:rFonts w:cs="Arial" w:hint="cs"/>
          <w:sz w:val="16"/>
          <w:szCs w:val="16"/>
          <w:rtl/>
        </w:rPr>
        <w:t xml:space="preserve">ח"ב </w:t>
      </w:r>
      <w:r w:rsidRPr="00B9360C">
        <w:rPr>
          <w:rFonts w:cs="Arial"/>
          <w:sz w:val="16"/>
          <w:szCs w:val="16"/>
          <w:rtl/>
        </w:rPr>
        <w:t>נכ"ד רג ע"ד)</w:t>
      </w:r>
      <w:r w:rsidR="00A82951">
        <w:rPr>
          <w:rFonts w:cs="Arial" w:hint="cs"/>
          <w:rtl/>
        </w:rPr>
        <w:t>-</w:t>
      </w:r>
      <w:r>
        <w:rPr>
          <w:rFonts w:cs="Arial"/>
          <w:rtl/>
        </w:rPr>
        <w:t xml:space="preserve"> </w:t>
      </w:r>
      <w:r>
        <w:rPr>
          <w:rStyle w:val="a7"/>
          <w:rFonts w:cs="Arial"/>
          <w:rtl/>
        </w:rPr>
        <w:footnoteReference w:id="871"/>
      </w:r>
      <w:r w:rsidRPr="008B3CA9">
        <w:rPr>
          <w:rFonts w:cs="Arial"/>
          <w:rtl/>
        </w:rPr>
        <w:t>הלכתא כרבי שמעון דמתניתין בשעת הדחק</w:t>
      </w:r>
      <w:r>
        <w:rPr>
          <w:rStyle w:val="a7"/>
          <w:rFonts w:cs="Arial"/>
          <w:rtl/>
        </w:rPr>
        <w:footnoteReference w:id="872"/>
      </w:r>
      <w:r w:rsidRPr="008B3CA9">
        <w:rPr>
          <w:rFonts w:cs="Arial"/>
          <w:rtl/>
        </w:rPr>
        <w:t xml:space="preserve"> ונכתב ביום ונחתם בלילה כשר</w:t>
      </w:r>
      <w:r>
        <w:rPr>
          <w:rFonts w:cs="Arial" w:hint="cs"/>
          <w:rtl/>
        </w:rPr>
        <w:t>,</w:t>
      </w:r>
      <w:r w:rsidRPr="008B3CA9">
        <w:rPr>
          <w:rFonts w:cs="Arial"/>
          <w:rtl/>
        </w:rPr>
        <w:t xml:space="preserve"> ואפילו מכאן ועד עשרה ימים כרבי יוחנן</w:t>
      </w:r>
      <w:r>
        <w:rPr>
          <w:rFonts w:cs="Arial" w:hint="cs"/>
          <w:rtl/>
        </w:rPr>
        <w:t>,</w:t>
      </w:r>
      <w:r w:rsidRPr="008B3CA9">
        <w:rPr>
          <w:rFonts w:cs="Arial"/>
          <w:rtl/>
        </w:rPr>
        <w:t xml:space="preserve"> דהא רבי יהושע בן לוי קאי כוותיה</w:t>
      </w:r>
      <w:r>
        <w:rPr>
          <w:rFonts w:hint="cs"/>
          <w:sz w:val="16"/>
          <w:szCs w:val="16"/>
          <w:rtl/>
        </w:rPr>
        <w:t xml:space="preserve"> (ל' הרא"ש)</w:t>
      </w:r>
      <w:r>
        <w:rPr>
          <w:rFonts w:hint="cs"/>
          <w:rtl/>
        </w:rPr>
        <w:t>.</w:t>
      </w:r>
    </w:p>
    <w:p w14:paraId="6E4821FE" w14:textId="33C8FF1E" w:rsidR="00FA2119" w:rsidRPr="006871B7" w:rsidRDefault="00FA2119" w:rsidP="00FA2119">
      <w:pPr>
        <w:pStyle w:val="ab"/>
        <w:numPr>
          <w:ilvl w:val="0"/>
          <w:numId w:val="15"/>
        </w:numPr>
      </w:pPr>
      <w:r>
        <w:rPr>
          <w:rFonts w:cs="Arial" w:hint="cs"/>
          <w:rtl/>
        </w:rPr>
        <w:t xml:space="preserve">רי"ף </w:t>
      </w:r>
      <w:r>
        <w:rPr>
          <w:rFonts w:cs="Arial" w:hint="cs"/>
          <w:sz w:val="16"/>
          <w:szCs w:val="16"/>
          <w:rtl/>
        </w:rPr>
        <w:t>(כ"כ הב"י בשמו</w:t>
      </w:r>
      <w:r>
        <w:rPr>
          <w:rStyle w:val="a7"/>
          <w:rFonts w:cs="Arial"/>
          <w:sz w:val="16"/>
          <w:szCs w:val="16"/>
          <w:rtl/>
        </w:rPr>
        <w:footnoteReference w:id="873"/>
      </w:r>
      <w:r>
        <w:rPr>
          <w:rFonts w:cs="Arial" w:hint="cs"/>
          <w:sz w:val="16"/>
          <w:szCs w:val="16"/>
          <w:rtl/>
        </w:rPr>
        <w:t>)</w:t>
      </w:r>
      <w:r>
        <w:rPr>
          <w:rFonts w:cs="Arial" w:hint="cs"/>
          <w:rtl/>
        </w:rPr>
        <w:t xml:space="preserve"> רמב"ם </w:t>
      </w:r>
      <w:r>
        <w:rPr>
          <w:rFonts w:cs="Arial" w:hint="cs"/>
          <w:sz w:val="16"/>
          <w:szCs w:val="16"/>
          <w:rtl/>
        </w:rPr>
        <w:t>(פ"א הכ"ה, כ"כ הב"י בשמו)</w:t>
      </w:r>
      <w:r>
        <w:rPr>
          <w:rFonts w:cs="Arial" w:hint="cs"/>
          <w:rtl/>
        </w:rPr>
        <w:t xml:space="preserve"> ו</w:t>
      </w:r>
      <w:r w:rsidRPr="00ED7764">
        <w:rPr>
          <w:rFonts w:cs="Arial"/>
          <w:rtl/>
        </w:rPr>
        <w:t xml:space="preserve">רמ"ה </w:t>
      </w:r>
      <w:r w:rsidRPr="00ED7764">
        <w:rPr>
          <w:rFonts w:cs="Arial"/>
          <w:sz w:val="16"/>
          <w:szCs w:val="16"/>
          <w:rtl/>
        </w:rPr>
        <w:t>(חידושי הרמ"ה גיטין יח. ד"ה אמר</w:t>
      </w:r>
      <w:r w:rsidRPr="00ED7764">
        <w:rPr>
          <w:rFonts w:cs="Arial" w:hint="cs"/>
          <w:sz w:val="16"/>
          <w:szCs w:val="16"/>
          <w:rtl/>
        </w:rPr>
        <w:t>, וכ"כ הטור בשמו)</w:t>
      </w:r>
      <w:r w:rsidR="00A82951">
        <w:rPr>
          <w:rFonts w:cs="Arial" w:hint="cs"/>
          <w:rtl/>
        </w:rPr>
        <w:t>-</w:t>
      </w:r>
      <w:r w:rsidRPr="00ED7764">
        <w:rPr>
          <w:rFonts w:cs="Arial" w:hint="cs"/>
          <w:rtl/>
        </w:rPr>
        <w:t xml:space="preserve"> </w:t>
      </w:r>
      <w:r w:rsidRPr="00ED7764">
        <w:rPr>
          <w:rFonts w:cs="Arial"/>
          <w:rtl/>
        </w:rPr>
        <w:t>הוא פסול</w:t>
      </w:r>
      <w:r w:rsidRPr="00ED7764">
        <w:rPr>
          <w:rFonts w:cs="Arial" w:hint="cs"/>
          <w:rtl/>
        </w:rPr>
        <w:t>.</w:t>
      </w:r>
      <w:r w:rsidRPr="00ED7764">
        <w:rPr>
          <w:rFonts w:cs="Arial"/>
          <w:rtl/>
        </w:rPr>
        <w:t xml:space="preserve"> </w:t>
      </w:r>
      <w:r w:rsidRPr="00DB0796">
        <w:rPr>
          <w:rFonts w:cs="Arial" w:hint="cs"/>
          <w:color w:val="E36C0A" w:themeColor="accent6" w:themeShade="BF"/>
          <w:rtl/>
        </w:rPr>
        <w:t>(וכ"</w:t>
      </w:r>
      <w:r>
        <w:rPr>
          <w:rFonts w:cs="Arial" w:hint="cs"/>
          <w:color w:val="E36C0A" w:themeColor="accent6" w:themeShade="BF"/>
          <w:rtl/>
        </w:rPr>
        <w:t>ס</w:t>
      </w:r>
      <w:r w:rsidRPr="00DB0796">
        <w:rPr>
          <w:rFonts w:cs="Arial" w:hint="cs"/>
          <w:color w:val="E36C0A" w:themeColor="accent6" w:themeShade="BF"/>
          <w:rtl/>
        </w:rPr>
        <w:t xml:space="preserve"> בשו"ע)</w:t>
      </w:r>
    </w:p>
    <w:p w14:paraId="604CF965" w14:textId="77777777" w:rsidR="00FA2119" w:rsidRPr="006871B7" w:rsidRDefault="00FA2119" w:rsidP="00FA2119">
      <w:pPr>
        <w:ind w:left="360"/>
        <w:rPr>
          <w:u w:val="dotted"/>
          <w:rtl/>
        </w:rPr>
      </w:pPr>
      <w:r w:rsidRPr="006871B7">
        <w:rPr>
          <w:rFonts w:hint="cs"/>
          <w:u w:val="dotted"/>
          <w:rtl/>
        </w:rPr>
        <w:t>ומה הדין אם היו עסוקים באותו עניין משעת כתיבה עד שעת חתימה:</w:t>
      </w:r>
    </w:p>
    <w:p w14:paraId="040875BB" w14:textId="2FB4E5BD" w:rsidR="00FA2119" w:rsidRDefault="00FA2119" w:rsidP="00FA2119">
      <w:pPr>
        <w:pStyle w:val="ab"/>
        <w:numPr>
          <w:ilvl w:val="0"/>
          <w:numId w:val="15"/>
        </w:numPr>
      </w:pPr>
      <w:r w:rsidRPr="008B3CA9">
        <w:rPr>
          <w:rFonts w:cs="Arial"/>
          <w:rtl/>
        </w:rPr>
        <w:lastRenderedPageBreak/>
        <w:t xml:space="preserve">רשב"א </w:t>
      </w:r>
      <w:r w:rsidRPr="00C67244">
        <w:rPr>
          <w:rFonts w:cs="Arial"/>
          <w:sz w:val="16"/>
          <w:szCs w:val="16"/>
          <w:rtl/>
        </w:rPr>
        <w:t>(יח. ד"ה כתובתו)</w:t>
      </w:r>
      <w:r>
        <w:rPr>
          <w:rFonts w:cs="Arial" w:hint="cs"/>
          <w:rtl/>
        </w:rPr>
        <w:t xml:space="preserve"> ורא"ש </w:t>
      </w:r>
      <w:r>
        <w:rPr>
          <w:rFonts w:cs="Arial" w:hint="cs"/>
          <w:sz w:val="16"/>
          <w:szCs w:val="16"/>
          <w:rtl/>
        </w:rPr>
        <w:t>(כ"כ הטור בשמו</w:t>
      </w:r>
      <w:r>
        <w:rPr>
          <w:rStyle w:val="a7"/>
          <w:rFonts w:cs="Arial"/>
          <w:sz w:val="16"/>
          <w:szCs w:val="16"/>
          <w:rtl/>
        </w:rPr>
        <w:footnoteReference w:id="874"/>
      </w:r>
      <w:r>
        <w:rPr>
          <w:rFonts w:cs="Arial" w:hint="cs"/>
          <w:sz w:val="16"/>
          <w:szCs w:val="16"/>
          <w:rtl/>
        </w:rPr>
        <w:t>)</w:t>
      </w:r>
      <w:r w:rsidR="00A82951">
        <w:rPr>
          <w:rFonts w:cs="Arial" w:hint="cs"/>
          <w:rtl/>
        </w:rPr>
        <w:t>-</w:t>
      </w:r>
      <w:r w:rsidRPr="008B3CA9">
        <w:rPr>
          <w:rFonts w:cs="Arial"/>
          <w:rtl/>
        </w:rPr>
        <w:t xml:space="preserve"> גט מוקדם</w:t>
      </w:r>
      <w:r w:rsidR="004251A8">
        <w:rPr>
          <w:rFonts w:cs="Arial" w:hint="cs"/>
          <w:rtl/>
        </w:rPr>
        <w:t>,</w:t>
      </w:r>
      <w:r w:rsidRPr="008B3CA9">
        <w:rPr>
          <w:rFonts w:cs="Arial"/>
          <w:rtl/>
        </w:rPr>
        <w:t xml:space="preserve"> כגון שנכתב ביום ונחתם בלילה אם עסוקין באותו ענין</w:t>
      </w:r>
      <w:r>
        <w:rPr>
          <w:rFonts w:cs="Arial" w:hint="cs"/>
          <w:rtl/>
        </w:rPr>
        <w:t xml:space="preserve"> </w:t>
      </w:r>
      <w:r w:rsidR="00A82951">
        <w:rPr>
          <w:rFonts w:cs="Arial" w:hint="cs"/>
          <w:rtl/>
        </w:rPr>
        <w:t>-</w:t>
      </w:r>
      <w:r w:rsidRPr="008B3CA9">
        <w:rPr>
          <w:rFonts w:cs="Arial"/>
          <w:rtl/>
        </w:rPr>
        <w:t xml:space="preserve"> כשר</w:t>
      </w:r>
      <w:r>
        <w:rPr>
          <w:rStyle w:val="a7"/>
          <w:rFonts w:cs="Arial"/>
          <w:rtl/>
        </w:rPr>
        <w:footnoteReference w:id="875"/>
      </w:r>
      <w:r>
        <w:rPr>
          <w:rFonts w:cs="Arial" w:hint="cs"/>
          <w:sz w:val="16"/>
          <w:szCs w:val="16"/>
          <w:rtl/>
        </w:rPr>
        <w:t xml:space="preserve"> (ל' הרשב"א)</w:t>
      </w:r>
      <w:r>
        <w:rPr>
          <w:rFonts w:cs="Arial" w:hint="cs"/>
          <w:rtl/>
        </w:rPr>
        <w:t>.</w:t>
      </w:r>
      <w:r w:rsidRPr="008B3CA9">
        <w:rPr>
          <w:rFonts w:cs="Arial"/>
          <w:rtl/>
        </w:rPr>
        <w:t xml:space="preserve"> </w:t>
      </w:r>
    </w:p>
    <w:p w14:paraId="539938D6" w14:textId="0828EE66" w:rsidR="00FA2119" w:rsidRPr="002F378F" w:rsidRDefault="00FA2119" w:rsidP="00FA2119">
      <w:pPr>
        <w:pStyle w:val="ab"/>
        <w:numPr>
          <w:ilvl w:val="0"/>
          <w:numId w:val="15"/>
        </w:numPr>
        <w:rPr>
          <w:rtl/>
        </w:rPr>
      </w:pPr>
      <w:r w:rsidRPr="008B3CA9">
        <w:rPr>
          <w:rFonts w:cs="Arial"/>
          <w:rtl/>
        </w:rPr>
        <w:t xml:space="preserve">רמב"ם </w:t>
      </w:r>
      <w:r w:rsidRPr="00C67244">
        <w:rPr>
          <w:rFonts w:cs="Arial"/>
          <w:sz w:val="16"/>
          <w:szCs w:val="16"/>
          <w:rtl/>
        </w:rPr>
        <w:t>(פ"א הכ"ה)</w:t>
      </w:r>
      <w:r w:rsidR="00A82951">
        <w:rPr>
          <w:rFonts w:hint="cs"/>
          <w:rtl/>
        </w:rPr>
        <w:t>-</w:t>
      </w:r>
      <w:r w:rsidRPr="002F378F">
        <w:rPr>
          <w:rtl/>
        </w:rPr>
        <w:t xml:space="preserve"> </w:t>
      </w:r>
      <w:r w:rsidRPr="002F378F">
        <w:rPr>
          <w:rFonts w:cs="Arial"/>
          <w:rtl/>
        </w:rPr>
        <w:t>גט שיש עליו עדים ואין בו זמן או שהיה מוקדם או מאוחר, או שנכתב ביום ונחתם בלילה שלאחריו א</w:t>
      </w:r>
      <w:r w:rsidR="004251A8">
        <w:rPr>
          <w:rFonts w:cs="Arial" w:hint="cs"/>
          <w:rtl/>
        </w:rPr>
        <w:t>"</w:t>
      </w:r>
      <w:r w:rsidRPr="002F378F">
        <w:rPr>
          <w:rFonts w:cs="Arial"/>
          <w:rtl/>
        </w:rPr>
        <w:t>עפ שעסוקין באותו ענין, או כתב את הגט בירושלם וטעה וכתב בלוד</w:t>
      </w:r>
      <w:r>
        <w:rPr>
          <w:rFonts w:cs="Arial" w:hint="cs"/>
          <w:rtl/>
        </w:rPr>
        <w:t xml:space="preserve"> </w:t>
      </w:r>
      <w:r w:rsidR="00A82951">
        <w:rPr>
          <w:rFonts w:cs="Arial" w:hint="cs"/>
          <w:rtl/>
        </w:rPr>
        <w:t>-</w:t>
      </w:r>
      <w:r w:rsidRPr="002F378F">
        <w:rPr>
          <w:rFonts w:cs="Arial"/>
          <w:rtl/>
        </w:rPr>
        <w:t xml:space="preserve"> כל אלו פסולין עד שיחתמו בו בזמן כתיבתו ובמקום כתיבתו. </w:t>
      </w:r>
      <w:r w:rsidRPr="00DB0796">
        <w:rPr>
          <w:rFonts w:cs="Arial" w:hint="cs"/>
          <w:color w:val="E36C0A" w:themeColor="accent6" w:themeShade="BF"/>
          <w:rtl/>
        </w:rPr>
        <w:t>(וכ"פ בשו"ע)</w:t>
      </w:r>
    </w:p>
    <w:p w14:paraId="38264288" w14:textId="4A3869F1" w:rsidR="00FA2119" w:rsidRPr="005A211C" w:rsidRDefault="00FA2119" w:rsidP="00FA2119">
      <w:pPr>
        <w:ind w:left="360"/>
        <w:rPr>
          <w:u w:val="dotted"/>
        </w:rPr>
      </w:pPr>
      <w:r w:rsidRPr="005A211C">
        <w:rPr>
          <w:rFonts w:hint="cs"/>
          <w:u w:val="dotted"/>
          <w:rtl/>
        </w:rPr>
        <w:t xml:space="preserve">ומה הדין אם נותן לה את הגט </w:t>
      </w:r>
      <w:r>
        <w:rPr>
          <w:rFonts w:hint="cs"/>
          <w:u w:val="dotted"/>
          <w:rtl/>
        </w:rPr>
        <w:t xml:space="preserve">המוקדם </w:t>
      </w:r>
      <w:r w:rsidRPr="005A211C">
        <w:rPr>
          <w:rFonts w:hint="cs"/>
          <w:u w:val="dotted"/>
          <w:rtl/>
        </w:rPr>
        <w:t>בעדי</w:t>
      </w:r>
      <w:r>
        <w:rPr>
          <w:rFonts w:hint="cs"/>
          <w:u w:val="dotted"/>
          <w:rtl/>
        </w:rPr>
        <w:t xml:space="preserve"> מסירה</w:t>
      </w:r>
      <w:r w:rsidRPr="005A211C">
        <w:rPr>
          <w:rFonts w:hint="cs"/>
          <w:u w:val="dotted"/>
          <w:rtl/>
        </w:rPr>
        <w:t xml:space="preserve"> כשרים </w:t>
      </w:r>
      <w:r>
        <w:rPr>
          <w:rFonts w:hint="cs"/>
          <w:sz w:val="16"/>
          <w:szCs w:val="16"/>
          <w:u w:val="dotted"/>
          <w:rtl/>
        </w:rPr>
        <w:t>(ל</w:t>
      </w:r>
      <w:r w:rsidR="00A76312">
        <w:rPr>
          <w:rFonts w:hint="cs"/>
          <w:sz w:val="16"/>
          <w:szCs w:val="16"/>
          <w:u w:val="dotted"/>
          <w:rtl/>
        </w:rPr>
        <w:t>ר</w:t>
      </w:r>
      <w:r>
        <w:rPr>
          <w:rFonts w:hint="cs"/>
          <w:sz w:val="16"/>
          <w:szCs w:val="16"/>
          <w:u w:val="dotted"/>
          <w:rtl/>
        </w:rPr>
        <w:t xml:space="preserve">' אלעזר </w:t>
      </w:r>
      <w:r w:rsidRPr="005A211C">
        <w:rPr>
          <w:rFonts w:hint="cs"/>
          <w:sz w:val="16"/>
          <w:szCs w:val="16"/>
          <w:u w:val="dotted"/>
          <w:rtl/>
        </w:rPr>
        <w:t>דקיי"ל כוותיה)</w:t>
      </w:r>
      <w:r w:rsidRPr="005A211C">
        <w:rPr>
          <w:rFonts w:hint="cs"/>
          <w:u w:val="dotted"/>
          <w:rtl/>
        </w:rPr>
        <w:t>:</w:t>
      </w:r>
    </w:p>
    <w:p w14:paraId="2ED33E9D" w14:textId="54CCEA10" w:rsidR="00FA2119" w:rsidRDefault="00FA2119" w:rsidP="00FA2119">
      <w:pPr>
        <w:pStyle w:val="ab"/>
        <w:numPr>
          <w:ilvl w:val="0"/>
          <w:numId w:val="15"/>
        </w:numPr>
        <w:rPr>
          <w:rtl/>
        </w:rPr>
      </w:pPr>
      <w:r w:rsidRPr="005A211C">
        <w:rPr>
          <w:rFonts w:cs="Arial" w:hint="cs"/>
          <w:rtl/>
        </w:rPr>
        <w:t xml:space="preserve">הגה"מ </w:t>
      </w:r>
      <w:r w:rsidRPr="005A211C">
        <w:rPr>
          <w:rFonts w:cs="Arial" w:hint="cs"/>
          <w:sz w:val="16"/>
          <w:szCs w:val="16"/>
          <w:rtl/>
        </w:rPr>
        <w:t>(</w:t>
      </w:r>
      <w:r w:rsidRPr="005A211C">
        <w:rPr>
          <w:rFonts w:cs="Arial"/>
          <w:sz w:val="16"/>
          <w:szCs w:val="16"/>
          <w:rtl/>
        </w:rPr>
        <w:t>פ</w:t>
      </w:r>
      <w:r w:rsidRPr="005A211C">
        <w:rPr>
          <w:rFonts w:cs="Arial" w:hint="cs"/>
          <w:sz w:val="16"/>
          <w:szCs w:val="16"/>
          <w:rtl/>
        </w:rPr>
        <w:t>"</w:t>
      </w:r>
      <w:r w:rsidRPr="005A211C">
        <w:rPr>
          <w:rFonts w:cs="Arial"/>
          <w:sz w:val="16"/>
          <w:szCs w:val="16"/>
          <w:rtl/>
        </w:rPr>
        <w:t xml:space="preserve">א </w:t>
      </w:r>
      <w:r w:rsidRPr="005A211C">
        <w:rPr>
          <w:rFonts w:cs="Arial" w:hint="cs"/>
          <w:sz w:val="16"/>
          <w:szCs w:val="16"/>
          <w:rtl/>
        </w:rPr>
        <w:t>מגירושין אות נ)</w:t>
      </w:r>
      <w:r w:rsidR="00A82951">
        <w:rPr>
          <w:rFonts w:cs="Arial" w:hint="cs"/>
          <w:rtl/>
        </w:rPr>
        <w:t>-</w:t>
      </w:r>
      <w:r w:rsidRPr="005A211C">
        <w:rPr>
          <w:rFonts w:cs="Arial"/>
          <w:rtl/>
        </w:rPr>
        <w:t xml:space="preserve"> לרבי אליעזר דאמר (גיטין פו:) עדי מסירה כרתי</w:t>
      </w:r>
      <w:r>
        <w:rPr>
          <w:rFonts w:cs="Arial" w:hint="cs"/>
          <w:rtl/>
        </w:rPr>
        <w:t>,</w:t>
      </w:r>
      <w:r w:rsidRPr="005A211C">
        <w:rPr>
          <w:rFonts w:cs="Arial"/>
          <w:rtl/>
        </w:rPr>
        <w:t xml:space="preserve"> אי לית ביה עדי חתימה ונכתב ביום ונמסר בלילה אפילו יש בו הקדמה </w:t>
      </w:r>
      <w:r w:rsidR="00A82951">
        <w:rPr>
          <w:rFonts w:cs="Arial" w:hint="cs"/>
          <w:rtl/>
        </w:rPr>
        <w:t>-</w:t>
      </w:r>
      <w:r w:rsidRPr="005A211C">
        <w:rPr>
          <w:rFonts w:cs="Arial" w:hint="cs"/>
          <w:rtl/>
        </w:rPr>
        <w:t xml:space="preserve"> </w:t>
      </w:r>
      <w:r w:rsidRPr="005A211C">
        <w:rPr>
          <w:rFonts w:cs="Arial"/>
          <w:rtl/>
        </w:rPr>
        <w:t>כשר</w:t>
      </w:r>
      <w:r w:rsidRPr="005A211C">
        <w:rPr>
          <w:rFonts w:cs="Arial" w:hint="cs"/>
          <w:rtl/>
        </w:rPr>
        <w:t>,</w:t>
      </w:r>
      <w:r w:rsidRPr="005A211C">
        <w:rPr>
          <w:rFonts w:cs="Arial"/>
          <w:rtl/>
        </w:rPr>
        <w:t xml:space="preserve"> דאין בו זמן ומוקדם דין אחד להם</w:t>
      </w:r>
      <w:r>
        <w:rPr>
          <w:rStyle w:val="a7"/>
          <w:rFonts w:cs="Arial"/>
          <w:rtl/>
        </w:rPr>
        <w:footnoteReference w:id="876"/>
      </w:r>
      <w:r>
        <w:rPr>
          <w:rFonts w:cs="Arial" w:hint="cs"/>
          <w:rtl/>
        </w:rPr>
        <w:t>.</w:t>
      </w:r>
    </w:p>
    <w:p w14:paraId="7915D364" w14:textId="77777777" w:rsidR="00FA2119" w:rsidRPr="006871B7" w:rsidRDefault="00FA2119" w:rsidP="00FA2119">
      <w:pPr>
        <w:ind w:left="360"/>
        <w:rPr>
          <w:u w:val="dotted"/>
        </w:rPr>
      </w:pPr>
      <w:r>
        <w:rPr>
          <w:rFonts w:hint="cs"/>
          <w:u w:val="dotted"/>
          <w:rtl/>
        </w:rPr>
        <w:t xml:space="preserve">ומה הדין אם כבר </w:t>
      </w:r>
      <w:r w:rsidRPr="006871B7">
        <w:rPr>
          <w:rFonts w:hint="cs"/>
          <w:u w:val="dotted"/>
          <w:rtl/>
        </w:rPr>
        <w:t xml:space="preserve">נתגרשה בגט </w:t>
      </w:r>
      <w:r>
        <w:rPr>
          <w:rFonts w:hint="cs"/>
          <w:u w:val="dotted"/>
          <w:rtl/>
        </w:rPr>
        <w:t>ה</w:t>
      </w:r>
      <w:r w:rsidRPr="006871B7">
        <w:rPr>
          <w:rFonts w:hint="cs"/>
          <w:u w:val="dotted"/>
          <w:rtl/>
        </w:rPr>
        <w:t>מוקדם ולא נודע פיסולו עד שקדשה אחר:</w:t>
      </w:r>
    </w:p>
    <w:p w14:paraId="555B92AC" w14:textId="6E00FA46" w:rsidR="00FA2119" w:rsidRPr="00B351E4" w:rsidRDefault="00FA2119" w:rsidP="00FA2119">
      <w:pPr>
        <w:pStyle w:val="ab"/>
        <w:numPr>
          <w:ilvl w:val="0"/>
          <w:numId w:val="15"/>
        </w:numPr>
      </w:pPr>
      <w:r>
        <w:rPr>
          <w:rFonts w:cs="Arial"/>
          <w:rtl/>
        </w:rPr>
        <w:t xml:space="preserve">רא"ש </w:t>
      </w:r>
      <w:r w:rsidRPr="004D7C91">
        <w:rPr>
          <w:rFonts w:cs="Arial" w:hint="cs"/>
          <w:sz w:val="16"/>
          <w:szCs w:val="16"/>
          <w:rtl/>
        </w:rPr>
        <w:t>(</w:t>
      </w:r>
      <w:r w:rsidRPr="004D7C91">
        <w:rPr>
          <w:rFonts w:cs="Arial"/>
          <w:sz w:val="16"/>
          <w:szCs w:val="16"/>
          <w:rtl/>
        </w:rPr>
        <w:t>כלל מה ס"ו</w:t>
      </w:r>
      <w:r w:rsidRPr="004D7C91">
        <w:rPr>
          <w:rFonts w:cs="Arial" w:hint="cs"/>
          <w:sz w:val="16"/>
          <w:szCs w:val="16"/>
          <w:rtl/>
        </w:rPr>
        <w:t xml:space="preserve">, </w:t>
      </w:r>
      <w:r>
        <w:rPr>
          <w:rFonts w:cs="Arial" w:hint="cs"/>
          <w:sz w:val="16"/>
          <w:szCs w:val="16"/>
          <w:rtl/>
        </w:rPr>
        <w:t>ו</w:t>
      </w:r>
      <w:r w:rsidRPr="004D7C91">
        <w:rPr>
          <w:rFonts w:cs="Arial" w:hint="cs"/>
          <w:sz w:val="16"/>
          <w:szCs w:val="16"/>
          <w:rtl/>
        </w:rPr>
        <w:t>כ"כ הטור בשמו)</w:t>
      </w:r>
      <w:r w:rsidR="00A82951">
        <w:rPr>
          <w:rFonts w:cs="Arial" w:hint="cs"/>
          <w:rtl/>
        </w:rPr>
        <w:t>-</w:t>
      </w:r>
      <w:r w:rsidRPr="004D7C91">
        <w:rPr>
          <w:rFonts w:cs="Arial"/>
          <w:rtl/>
        </w:rPr>
        <w:t xml:space="preserve"> אם נתגרשה בגט מוקדם ולא נודע פסולו עד שקדשה אחר </w:t>
      </w:r>
      <w:r w:rsidR="00A82951">
        <w:rPr>
          <w:rFonts w:cs="Arial" w:hint="cs"/>
          <w:rtl/>
        </w:rPr>
        <w:t>-</w:t>
      </w:r>
      <w:r w:rsidRPr="004D7C91">
        <w:rPr>
          <w:rFonts w:cs="Arial" w:hint="cs"/>
          <w:rtl/>
        </w:rPr>
        <w:t xml:space="preserve"> </w:t>
      </w:r>
      <w:r w:rsidRPr="004D7C91">
        <w:rPr>
          <w:rFonts w:cs="Arial"/>
          <w:rtl/>
        </w:rPr>
        <w:t>לא תפסי בה קידושי שני ואינה צריכה גט ממנו</w:t>
      </w:r>
      <w:r w:rsidRPr="004D7C91">
        <w:rPr>
          <w:rFonts w:cs="Arial" w:hint="cs"/>
          <w:rtl/>
        </w:rPr>
        <w:t>,</w:t>
      </w:r>
      <w:r w:rsidRPr="004D7C91">
        <w:rPr>
          <w:rFonts w:cs="Arial"/>
          <w:rtl/>
        </w:rPr>
        <w:t xml:space="preserve"> ומותרת לחזור לראשון</w:t>
      </w:r>
      <w:r>
        <w:rPr>
          <w:rStyle w:val="a7"/>
          <w:rFonts w:cs="Arial"/>
          <w:rtl/>
        </w:rPr>
        <w:footnoteReference w:id="877"/>
      </w:r>
      <w:r w:rsidRPr="0060427C">
        <w:rPr>
          <w:rFonts w:cs="Arial" w:hint="cs"/>
          <w:rtl/>
        </w:rPr>
        <w:t>.</w:t>
      </w:r>
      <w:r w:rsidRPr="0060427C">
        <w:rPr>
          <w:rFonts w:cs="Arial"/>
          <w:rtl/>
        </w:rPr>
        <w:t xml:space="preserve"> </w:t>
      </w:r>
    </w:p>
    <w:p w14:paraId="3516A754" w14:textId="11FB2483" w:rsidR="00FA2119" w:rsidRDefault="00FA2119" w:rsidP="00FA2119">
      <w:pPr>
        <w:pStyle w:val="ab"/>
        <w:numPr>
          <w:ilvl w:val="0"/>
          <w:numId w:val="15"/>
        </w:numPr>
      </w:pPr>
      <w:r>
        <w:rPr>
          <w:rFonts w:cs="Arial" w:hint="cs"/>
          <w:rtl/>
        </w:rPr>
        <w:t xml:space="preserve">רשב"א ור"ן </w:t>
      </w:r>
      <w:r>
        <w:rPr>
          <w:rFonts w:cs="Arial" w:hint="cs"/>
          <w:sz w:val="16"/>
          <w:szCs w:val="16"/>
          <w:rtl/>
        </w:rPr>
        <w:t>(כ"כ הב"י בשמם</w:t>
      </w:r>
      <w:r>
        <w:rPr>
          <w:rStyle w:val="a7"/>
          <w:rFonts w:cs="Arial"/>
          <w:sz w:val="16"/>
          <w:szCs w:val="16"/>
          <w:rtl/>
        </w:rPr>
        <w:footnoteReference w:id="878"/>
      </w:r>
      <w:r>
        <w:rPr>
          <w:rFonts w:cs="Arial" w:hint="cs"/>
          <w:sz w:val="16"/>
          <w:szCs w:val="16"/>
          <w:rtl/>
        </w:rPr>
        <w:t>)</w:t>
      </w:r>
      <w:r w:rsidR="00A82951">
        <w:rPr>
          <w:rFonts w:cs="Arial" w:hint="cs"/>
          <w:rtl/>
        </w:rPr>
        <w:t>-</w:t>
      </w:r>
      <w:r>
        <w:rPr>
          <w:rFonts w:cs="Arial" w:hint="cs"/>
          <w:rtl/>
        </w:rPr>
        <w:t xml:space="preserve"> </w:t>
      </w:r>
      <w:r>
        <w:rPr>
          <w:rFonts w:hint="cs"/>
          <w:rtl/>
        </w:rPr>
        <w:t>כיון דלא מיפסל אלא מדרבנן</w:t>
      </w:r>
      <w:r w:rsidR="008F12A9">
        <w:rPr>
          <w:rFonts w:hint="cs"/>
          <w:rtl/>
        </w:rPr>
        <w:t xml:space="preserve"> -</w:t>
      </w:r>
      <w:r>
        <w:rPr>
          <w:rFonts w:hint="cs"/>
          <w:rtl/>
        </w:rPr>
        <w:t xml:space="preserve"> מגורשת מספק ובעי למיחש לקידושי שני.</w:t>
      </w:r>
      <w:r w:rsidRPr="0099628E">
        <w:rPr>
          <w:rFonts w:hint="cs"/>
          <w:color w:val="00B0F0"/>
          <w:rtl/>
        </w:rPr>
        <w:t xml:space="preserve"> (וכ"פ הרמ"א)</w:t>
      </w:r>
    </w:p>
    <w:p w14:paraId="411E08FF" w14:textId="77777777" w:rsidR="00FA2119" w:rsidRDefault="00FA2119" w:rsidP="00FA2119">
      <w:pPr>
        <w:rPr>
          <w:rFonts w:cs="Arial"/>
          <w:u w:val="single"/>
          <w:rtl/>
        </w:rPr>
      </w:pPr>
      <w:r w:rsidRPr="0099628E">
        <w:rPr>
          <w:rFonts w:cs="Arial" w:hint="cs"/>
          <w:u w:val="single"/>
          <w:rtl/>
        </w:rPr>
        <w:t>גט שנכתב ונחתם ביום</w:t>
      </w:r>
      <w:r>
        <w:rPr>
          <w:rFonts w:cs="Arial" w:hint="cs"/>
          <w:u w:val="single"/>
          <w:rtl/>
        </w:rPr>
        <w:t>,</w:t>
      </w:r>
      <w:r w:rsidRPr="0099628E">
        <w:rPr>
          <w:rFonts w:cs="Arial" w:hint="cs"/>
          <w:u w:val="single"/>
          <w:rtl/>
        </w:rPr>
        <w:t xml:space="preserve"> אך ניתן לאחר ימים רבים:</w:t>
      </w:r>
    </w:p>
    <w:p w14:paraId="384C036B" w14:textId="75FB2B3B" w:rsidR="00FA2119" w:rsidRPr="00B5789F" w:rsidRDefault="00FA2119" w:rsidP="00FA2119">
      <w:pPr>
        <w:pStyle w:val="ab"/>
        <w:numPr>
          <w:ilvl w:val="0"/>
          <w:numId w:val="60"/>
        </w:numPr>
        <w:rPr>
          <w:rtl/>
        </w:rPr>
      </w:pPr>
      <w:r w:rsidRPr="0099628E">
        <w:rPr>
          <w:rFonts w:cs="Arial"/>
          <w:rtl/>
        </w:rPr>
        <w:t xml:space="preserve">ארחות חיים </w:t>
      </w:r>
      <w:r w:rsidRPr="0099628E">
        <w:rPr>
          <w:rFonts w:cs="Arial"/>
          <w:sz w:val="16"/>
          <w:szCs w:val="16"/>
          <w:rtl/>
        </w:rPr>
        <w:t>(הל' גיטין אות ב)</w:t>
      </w:r>
      <w:r w:rsidR="00A82951">
        <w:rPr>
          <w:rFonts w:cs="Arial" w:hint="cs"/>
          <w:rtl/>
        </w:rPr>
        <w:t>-</w:t>
      </w:r>
      <w:r w:rsidRPr="0099628E">
        <w:rPr>
          <w:rFonts w:cs="Arial"/>
          <w:rtl/>
        </w:rPr>
        <w:t xml:space="preserve"> נכתב ביום ונחתם בלילה</w:t>
      </w:r>
      <w:r w:rsidRPr="0099628E">
        <w:rPr>
          <w:rFonts w:cs="Arial" w:hint="cs"/>
          <w:rtl/>
        </w:rPr>
        <w:t xml:space="preserve"> </w:t>
      </w:r>
      <w:r w:rsidR="00A82951">
        <w:rPr>
          <w:rFonts w:cs="Arial" w:hint="cs"/>
          <w:rtl/>
        </w:rPr>
        <w:t>-</w:t>
      </w:r>
      <w:r w:rsidRPr="0099628E">
        <w:rPr>
          <w:rFonts w:cs="Arial"/>
          <w:rtl/>
        </w:rPr>
        <w:t xml:space="preserve"> פסול</w:t>
      </w:r>
      <w:r w:rsidRPr="0099628E">
        <w:rPr>
          <w:rFonts w:cs="Arial" w:hint="cs"/>
          <w:rtl/>
        </w:rPr>
        <w:t>.</w:t>
      </w:r>
      <w:r w:rsidRPr="0099628E">
        <w:rPr>
          <w:rFonts w:cs="Arial"/>
          <w:rtl/>
        </w:rPr>
        <w:t xml:space="preserve"> אבל אם נכתב ונחתם ביום</w:t>
      </w:r>
      <w:r w:rsidRPr="0099628E">
        <w:rPr>
          <w:rFonts w:cs="Arial" w:hint="cs"/>
          <w:rtl/>
        </w:rPr>
        <w:t>,</w:t>
      </w:r>
      <w:r w:rsidRPr="0099628E">
        <w:rPr>
          <w:rFonts w:cs="Arial"/>
          <w:rtl/>
        </w:rPr>
        <w:t xml:space="preserve"> אפילו לא נתן לה אלא לאחר ימים רבים </w:t>
      </w:r>
      <w:r w:rsidR="00A82951">
        <w:rPr>
          <w:rFonts w:cs="Arial" w:hint="cs"/>
          <w:rtl/>
        </w:rPr>
        <w:t>-</w:t>
      </w:r>
      <w:r w:rsidRPr="0099628E">
        <w:rPr>
          <w:rFonts w:cs="Arial" w:hint="cs"/>
          <w:rtl/>
        </w:rPr>
        <w:t xml:space="preserve"> </w:t>
      </w:r>
      <w:r w:rsidRPr="0099628E">
        <w:rPr>
          <w:rFonts w:cs="Arial"/>
          <w:rtl/>
        </w:rPr>
        <w:t>כשר</w:t>
      </w:r>
      <w:r w:rsidRPr="0099628E">
        <w:rPr>
          <w:rFonts w:cs="Arial" w:hint="cs"/>
          <w:rtl/>
        </w:rPr>
        <w:t>,</w:t>
      </w:r>
      <w:r w:rsidRPr="0099628E">
        <w:rPr>
          <w:rFonts w:cs="Arial"/>
          <w:rtl/>
        </w:rPr>
        <w:t xml:space="preserve"> ואין לחוש בזה משום מוקדם</w:t>
      </w:r>
      <w:r>
        <w:rPr>
          <w:rStyle w:val="a7"/>
          <w:rFonts w:cs="Arial"/>
          <w:rtl/>
        </w:rPr>
        <w:footnoteReference w:id="879"/>
      </w:r>
      <w:r w:rsidRPr="0099628E">
        <w:rPr>
          <w:rFonts w:cs="Arial" w:hint="cs"/>
          <w:rtl/>
        </w:rPr>
        <w:t>.</w:t>
      </w:r>
      <w:r w:rsidRPr="0099628E">
        <w:rPr>
          <w:rFonts w:cs="Arial"/>
          <w:rtl/>
        </w:rPr>
        <w:t xml:space="preserve"> </w:t>
      </w:r>
    </w:p>
    <w:p w14:paraId="572BDF1C"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91B1AB3" w14:textId="77777777" w:rsidR="00FA2119" w:rsidRDefault="00FA2119" w:rsidP="00FA2119">
      <w:pPr>
        <w:rPr>
          <w:rtl/>
        </w:rPr>
      </w:pPr>
      <w:r>
        <w:rPr>
          <w:rFonts w:cs="Arial" w:hint="cs"/>
          <w:rtl/>
        </w:rPr>
        <w:lastRenderedPageBreak/>
        <w:t>אם</w:t>
      </w:r>
      <w:r>
        <w:rPr>
          <w:rFonts w:cs="Arial"/>
          <w:rtl/>
        </w:rPr>
        <w:t xml:space="preserve"> </w:t>
      </w:r>
      <w:r>
        <w:rPr>
          <w:rFonts w:cs="Arial" w:hint="cs"/>
          <w:rtl/>
        </w:rPr>
        <w:t>היה</w:t>
      </w:r>
      <w:r>
        <w:rPr>
          <w:rFonts w:cs="Arial"/>
          <w:rtl/>
        </w:rPr>
        <w:t xml:space="preserve"> </w:t>
      </w:r>
      <w:r>
        <w:rPr>
          <w:rFonts w:cs="Arial" w:hint="cs"/>
          <w:rtl/>
        </w:rPr>
        <w:t>מוקדם</w:t>
      </w:r>
      <w:r>
        <w:rPr>
          <w:rFonts w:cs="Arial"/>
          <w:rtl/>
        </w:rPr>
        <w:t xml:space="preserve">, </w:t>
      </w:r>
      <w:r>
        <w:rPr>
          <w:rFonts w:cs="Arial" w:hint="cs"/>
          <w:rtl/>
        </w:rPr>
        <w:t>או</w:t>
      </w:r>
      <w:r>
        <w:rPr>
          <w:rFonts w:cs="Arial"/>
          <w:rtl/>
        </w:rPr>
        <w:t xml:space="preserve"> </w:t>
      </w:r>
      <w:r>
        <w:rPr>
          <w:rFonts w:cs="Arial" w:hint="cs"/>
          <w:rtl/>
        </w:rPr>
        <w:t>נכתב</w:t>
      </w:r>
      <w:r>
        <w:rPr>
          <w:rFonts w:cs="Arial"/>
          <w:rtl/>
        </w:rPr>
        <w:t xml:space="preserve"> </w:t>
      </w:r>
      <w:r>
        <w:rPr>
          <w:rFonts w:cs="Arial" w:hint="cs"/>
          <w:rtl/>
        </w:rPr>
        <w:t>ביום</w:t>
      </w:r>
      <w:r>
        <w:rPr>
          <w:rFonts w:cs="Arial"/>
          <w:rtl/>
        </w:rPr>
        <w:t xml:space="preserve"> </w:t>
      </w:r>
      <w:r>
        <w:rPr>
          <w:rFonts w:cs="Arial" w:hint="cs"/>
          <w:rtl/>
        </w:rPr>
        <w:t>ונחתם</w:t>
      </w:r>
      <w:r>
        <w:rPr>
          <w:rFonts w:cs="Arial"/>
          <w:rtl/>
        </w:rPr>
        <w:t xml:space="preserve"> </w:t>
      </w:r>
      <w:r>
        <w:rPr>
          <w:rFonts w:cs="Arial" w:hint="cs"/>
          <w:rtl/>
        </w:rPr>
        <w:t>בלילה</w:t>
      </w:r>
      <w:r>
        <w:rPr>
          <w:rFonts w:cs="Arial"/>
          <w:rtl/>
        </w:rPr>
        <w:t xml:space="preserve"> </w:t>
      </w:r>
      <w:r>
        <w:rPr>
          <w:rFonts w:cs="Arial" w:hint="cs"/>
          <w:rtl/>
        </w:rPr>
        <w:t>שלאחריו</w:t>
      </w:r>
      <w:r>
        <w:rPr>
          <w:rFonts w:cs="Arial"/>
          <w:rtl/>
        </w:rPr>
        <w:t xml:space="preserve">, </w:t>
      </w:r>
      <w:r>
        <w:rPr>
          <w:rFonts w:cs="Arial" w:hint="cs"/>
          <w:rtl/>
        </w:rPr>
        <w:t>פסול</w:t>
      </w:r>
      <w:r>
        <w:rPr>
          <w:rStyle w:val="a7"/>
          <w:rFonts w:cs="Arial"/>
          <w:rtl/>
        </w:rPr>
        <w:footnoteReference w:id="880"/>
      </w:r>
      <w:r>
        <w:rPr>
          <w:rFonts w:cs="Arial"/>
          <w:rtl/>
        </w:rPr>
        <w:t xml:space="preserve">, </w:t>
      </w:r>
      <w:r>
        <w:rPr>
          <w:rFonts w:cs="Arial" w:hint="cs"/>
          <w:rtl/>
        </w:rPr>
        <w:t>אפילו</w:t>
      </w:r>
      <w:r>
        <w:rPr>
          <w:rFonts w:cs="Arial"/>
          <w:rtl/>
        </w:rPr>
        <w:t xml:space="preserve"> </w:t>
      </w:r>
      <w:r>
        <w:rPr>
          <w:rFonts w:cs="Arial" w:hint="cs"/>
          <w:rtl/>
        </w:rPr>
        <w:t>היו</w:t>
      </w:r>
      <w:r>
        <w:rPr>
          <w:rFonts w:cs="Arial"/>
          <w:rtl/>
        </w:rPr>
        <w:t xml:space="preserve"> </w:t>
      </w:r>
      <w:r>
        <w:rPr>
          <w:rFonts w:cs="Arial" w:hint="cs"/>
          <w:rtl/>
        </w:rPr>
        <w:t>עסוקים</w:t>
      </w:r>
      <w:r>
        <w:rPr>
          <w:rFonts w:cs="Arial"/>
          <w:rtl/>
        </w:rPr>
        <w:t xml:space="preserve"> </w:t>
      </w:r>
      <w:r>
        <w:rPr>
          <w:rFonts w:cs="Arial" w:hint="cs"/>
          <w:rtl/>
        </w:rPr>
        <w:t>באותו</w:t>
      </w:r>
      <w:r>
        <w:rPr>
          <w:rFonts w:cs="Arial"/>
          <w:rtl/>
        </w:rPr>
        <w:t xml:space="preserve"> </w:t>
      </w:r>
      <w:r>
        <w:rPr>
          <w:rFonts w:cs="Arial" w:hint="cs"/>
          <w:rtl/>
        </w:rPr>
        <w:t>ענין</w:t>
      </w:r>
      <w:r>
        <w:rPr>
          <w:rFonts w:cs="Arial"/>
          <w:rtl/>
        </w:rPr>
        <w:t xml:space="preserve">. </w:t>
      </w:r>
      <w:r>
        <w:rPr>
          <w:rFonts w:cs="Arial" w:hint="cs"/>
          <w:rtl/>
        </w:rPr>
        <w:t>ויש אומרים</w:t>
      </w:r>
      <w:r>
        <w:rPr>
          <w:rFonts w:cs="Arial"/>
          <w:rtl/>
        </w:rPr>
        <w:t xml:space="preserve"> </w:t>
      </w:r>
      <w:r>
        <w:rPr>
          <w:rFonts w:cs="Arial" w:hint="cs"/>
          <w:rtl/>
        </w:rPr>
        <w:t>דנכתב</w:t>
      </w:r>
      <w:r>
        <w:rPr>
          <w:rFonts w:cs="Arial"/>
          <w:rtl/>
        </w:rPr>
        <w:t xml:space="preserve"> </w:t>
      </w:r>
      <w:r>
        <w:rPr>
          <w:rFonts w:cs="Arial" w:hint="cs"/>
          <w:rtl/>
        </w:rPr>
        <w:t>ביום</w:t>
      </w:r>
      <w:r>
        <w:rPr>
          <w:rFonts w:cs="Arial"/>
          <w:rtl/>
        </w:rPr>
        <w:t xml:space="preserve"> </w:t>
      </w:r>
      <w:r>
        <w:rPr>
          <w:rFonts w:cs="Arial" w:hint="cs"/>
          <w:rtl/>
        </w:rPr>
        <w:t>ונחתם</w:t>
      </w:r>
      <w:r>
        <w:rPr>
          <w:rFonts w:cs="Arial"/>
          <w:rtl/>
        </w:rPr>
        <w:t xml:space="preserve"> </w:t>
      </w:r>
      <w:r>
        <w:rPr>
          <w:rFonts w:cs="Arial" w:hint="cs"/>
          <w:rtl/>
        </w:rPr>
        <w:t>בלילה</w:t>
      </w:r>
      <w:r>
        <w:rPr>
          <w:rFonts w:cs="Arial"/>
          <w:rtl/>
        </w:rPr>
        <w:t xml:space="preserve"> </w:t>
      </w:r>
      <w:r>
        <w:rPr>
          <w:rFonts w:cs="Arial" w:hint="cs"/>
          <w:rtl/>
        </w:rPr>
        <w:t>שלאחריו</w:t>
      </w:r>
      <w:r>
        <w:rPr>
          <w:rFonts w:cs="Arial"/>
          <w:rtl/>
        </w:rPr>
        <w:t xml:space="preserve">, </w:t>
      </w:r>
      <w:r>
        <w:rPr>
          <w:rFonts w:cs="Arial" w:hint="cs"/>
          <w:rtl/>
        </w:rPr>
        <w:t>בשעת</w:t>
      </w:r>
      <w:r>
        <w:rPr>
          <w:rFonts w:cs="Arial"/>
          <w:rtl/>
        </w:rPr>
        <w:t xml:space="preserve"> </w:t>
      </w:r>
      <w:r>
        <w:rPr>
          <w:rFonts w:cs="Arial" w:hint="cs"/>
          <w:rtl/>
        </w:rPr>
        <w:t>הדחק</w:t>
      </w:r>
      <w:r>
        <w:rPr>
          <w:rFonts w:cs="Arial"/>
          <w:rtl/>
        </w:rPr>
        <w:t xml:space="preserve"> </w:t>
      </w:r>
      <w:r>
        <w:rPr>
          <w:rFonts w:cs="Arial" w:hint="cs"/>
          <w:rtl/>
        </w:rPr>
        <w:t>כשר</w:t>
      </w:r>
      <w:r>
        <w:rPr>
          <w:rStyle w:val="a7"/>
          <w:rFonts w:cs="Arial"/>
          <w:rtl/>
        </w:rPr>
        <w:footnoteReference w:id="881"/>
      </w:r>
      <w:r>
        <w:rPr>
          <w:rFonts w:cs="Arial"/>
          <w:rtl/>
        </w:rPr>
        <w:t xml:space="preserve">. </w:t>
      </w:r>
      <w:r w:rsidRPr="00430CFE">
        <w:rPr>
          <w:rFonts w:cs="Arial" w:hint="cs"/>
          <w:sz w:val="18"/>
          <w:szCs w:val="18"/>
          <w:rtl/>
        </w:rPr>
        <w:t>הגה</w:t>
      </w:r>
      <w:r w:rsidRPr="00430CFE">
        <w:rPr>
          <w:rFonts w:cs="Arial"/>
          <w:sz w:val="18"/>
          <w:szCs w:val="18"/>
          <w:rtl/>
        </w:rPr>
        <w:t xml:space="preserve">: </w:t>
      </w:r>
      <w:r w:rsidRPr="00430CFE">
        <w:rPr>
          <w:rFonts w:cs="Arial" w:hint="cs"/>
          <w:sz w:val="18"/>
          <w:szCs w:val="18"/>
          <w:rtl/>
        </w:rPr>
        <w:t>וגט</w:t>
      </w:r>
      <w:r w:rsidRPr="00430CFE">
        <w:rPr>
          <w:rFonts w:cs="Arial"/>
          <w:sz w:val="18"/>
          <w:szCs w:val="18"/>
          <w:rtl/>
        </w:rPr>
        <w:t xml:space="preserve"> </w:t>
      </w:r>
      <w:r w:rsidRPr="00430CFE">
        <w:rPr>
          <w:rFonts w:cs="Arial" w:hint="cs"/>
          <w:sz w:val="18"/>
          <w:szCs w:val="18"/>
          <w:rtl/>
        </w:rPr>
        <w:t>מוקדם</w:t>
      </w:r>
      <w:r w:rsidRPr="00430CFE">
        <w:rPr>
          <w:rFonts w:cs="Arial"/>
          <w:sz w:val="18"/>
          <w:szCs w:val="18"/>
          <w:rtl/>
        </w:rPr>
        <w:t xml:space="preserve">, </w:t>
      </w:r>
      <w:r w:rsidRPr="00430CFE">
        <w:rPr>
          <w:rFonts w:cs="Arial" w:hint="cs"/>
          <w:sz w:val="18"/>
          <w:szCs w:val="18"/>
          <w:rtl/>
        </w:rPr>
        <w:t>אף</w:t>
      </w:r>
      <w:r w:rsidRPr="00430CFE">
        <w:rPr>
          <w:rFonts w:cs="Arial"/>
          <w:sz w:val="18"/>
          <w:szCs w:val="18"/>
          <w:rtl/>
        </w:rPr>
        <w:t xml:space="preserve"> </w:t>
      </w:r>
      <w:r w:rsidRPr="00430CFE">
        <w:rPr>
          <w:rFonts w:cs="Arial" w:hint="cs"/>
          <w:sz w:val="18"/>
          <w:szCs w:val="18"/>
          <w:rtl/>
        </w:rPr>
        <w:t>על</w:t>
      </w:r>
      <w:r w:rsidRPr="00430CFE">
        <w:rPr>
          <w:rFonts w:cs="Arial"/>
          <w:sz w:val="18"/>
          <w:szCs w:val="18"/>
          <w:rtl/>
        </w:rPr>
        <w:t xml:space="preserve"> </w:t>
      </w:r>
      <w:r w:rsidRPr="00430CFE">
        <w:rPr>
          <w:rFonts w:cs="Arial" w:hint="cs"/>
          <w:sz w:val="18"/>
          <w:szCs w:val="18"/>
          <w:rtl/>
        </w:rPr>
        <w:t>פי</w:t>
      </w:r>
      <w:r w:rsidRPr="00430CFE">
        <w:rPr>
          <w:rFonts w:cs="Arial"/>
          <w:sz w:val="18"/>
          <w:szCs w:val="18"/>
          <w:rtl/>
        </w:rPr>
        <w:t xml:space="preserve"> </w:t>
      </w:r>
      <w:r w:rsidRPr="00430CFE">
        <w:rPr>
          <w:rFonts w:cs="Arial" w:hint="cs"/>
          <w:sz w:val="18"/>
          <w:szCs w:val="18"/>
          <w:rtl/>
        </w:rPr>
        <w:t>שפסול</w:t>
      </w:r>
      <w:r w:rsidRPr="00430CFE">
        <w:rPr>
          <w:rFonts w:cs="Arial"/>
          <w:sz w:val="18"/>
          <w:szCs w:val="18"/>
          <w:rtl/>
        </w:rPr>
        <w:t xml:space="preserve">, </w:t>
      </w:r>
      <w:r w:rsidRPr="00430CFE">
        <w:rPr>
          <w:rFonts w:cs="Arial" w:hint="cs"/>
          <w:sz w:val="18"/>
          <w:szCs w:val="18"/>
          <w:rtl/>
        </w:rPr>
        <w:t>אם</w:t>
      </w:r>
      <w:r w:rsidRPr="00430CFE">
        <w:rPr>
          <w:rFonts w:cs="Arial"/>
          <w:sz w:val="18"/>
          <w:szCs w:val="18"/>
          <w:rtl/>
        </w:rPr>
        <w:t xml:space="preserve"> </w:t>
      </w:r>
      <w:r w:rsidRPr="00430CFE">
        <w:rPr>
          <w:rFonts w:cs="Arial" w:hint="cs"/>
          <w:sz w:val="18"/>
          <w:szCs w:val="18"/>
          <w:rtl/>
        </w:rPr>
        <w:t>קדשה</w:t>
      </w:r>
      <w:r w:rsidRPr="00430CFE">
        <w:rPr>
          <w:rFonts w:cs="Arial"/>
          <w:sz w:val="18"/>
          <w:szCs w:val="18"/>
          <w:rtl/>
        </w:rPr>
        <w:t xml:space="preserve"> </w:t>
      </w:r>
      <w:r w:rsidRPr="00430CFE">
        <w:rPr>
          <w:rFonts w:cs="Arial" w:hint="cs"/>
          <w:sz w:val="18"/>
          <w:szCs w:val="18"/>
          <w:rtl/>
        </w:rPr>
        <w:t>אחר</w:t>
      </w:r>
      <w:r w:rsidRPr="00430CFE">
        <w:rPr>
          <w:rFonts w:cs="Arial"/>
          <w:sz w:val="18"/>
          <w:szCs w:val="18"/>
          <w:rtl/>
        </w:rPr>
        <w:t xml:space="preserve">, </w:t>
      </w:r>
      <w:r w:rsidRPr="00430CFE">
        <w:rPr>
          <w:rFonts w:cs="Arial" w:hint="cs"/>
          <w:sz w:val="18"/>
          <w:szCs w:val="18"/>
          <w:rtl/>
        </w:rPr>
        <w:t>צריכה</w:t>
      </w:r>
      <w:r w:rsidRPr="00430CFE">
        <w:rPr>
          <w:rFonts w:cs="Arial"/>
          <w:sz w:val="18"/>
          <w:szCs w:val="18"/>
          <w:rtl/>
        </w:rPr>
        <w:t xml:space="preserve"> </w:t>
      </w:r>
      <w:r w:rsidRPr="00430CFE">
        <w:rPr>
          <w:rFonts w:cs="Arial" w:hint="cs"/>
          <w:sz w:val="18"/>
          <w:szCs w:val="18"/>
          <w:rtl/>
        </w:rPr>
        <w:t>גט</w:t>
      </w:r>
      <w:r w:rsidRPr="00430CFE">
        <w:rPr>
          <w:rFonts w:cs="Arial"/>
          <w:sz w:val="18"/>
          <w:szCs w:val="18"/>
          <w:rtl/>
        </w:rPr>
        <w:t xml:space="preserve"> </w:t>
      </w:r>
      <w:r w:rsidRPr="00430CFE">
        <w:rPr>
          <w:rFonts w:cs="Arial" w:hint="cs"/>
          <w:sz w:val="18"/>
          <w:szCs w:val="18"/>
          <w:rtl/>
        </w:rPr>
        <w:t>משני</w:t>
      </w:r>
      <w:r>
        <w:rPr>
          <w:rStyle w:val="a7"/>
          <w:rFonts w:cs="Arial"/>
          <w:sz w:val="18"/>
          <w:szCs w:val="18"/>
          <w:rtl/>
        </w:rPr>
        <w:footnoteReference w:id="882"/>
      </w:r>
      <w:r w:rsidRPr="00430CFE">
        <w:rPr>
          <w:rFonts w:cs="Arial"/>
          <w:sz w:val="18"/>
          <w:szCs w:val="18"/>
          <w:rtl/>
        </w:rPr>
        <w:t xml:space="preserve"> </w:t>
      </w:r>
      <w:r w:rsidRPr="00430CFE">
        <w:rPr>
          <w:rFonts w:cs="Arial" w:hint="cs"/>
          <w:sz w:val="18"/>
          <w:szCs w:val="18"/>
          <w:rtl/>
        </w:rPr>
        <w:t>ואסורה</w:t>
      </w:r>
      <w:r w:rsidRPr="00430CFE">
        <w:rPr>
          <w:rFonts w:cs="Arial"/>
          <w:sz w:val="18"/>
          <w:szCs w:val="18"/>
          <w:rtl/>
        </w:rPr>
        <w:t xml:space="preserve"> </w:t>
      </w:r>
      <w:r w:rsidRPr="00430CFE">
        <w:rPr>
          <w:rFonts w:cs="Arial" w:hint="cs"/>
          <w:sz w:val="18"/>
          <w:szCs w:val="18"/>
          <w:rtl/>
        </w:rPr>
        <w:t>לחזור</w:t>
      </w:r>
      <w:r w:rsidRPr="00430CFE">
        <w:rPr>
          <w:rFonts w:cs="Arial"/>
          <w:sz w:val="18"/>
          <w:szCs w:val="18"/>
          <w:rtl/>
        </w:rPr>
        <w:t xml:space="preserve"> </w:t>
      </w:r>
      <w:r w:rsidRPr="00430CFE">
        <w:rPr>
          <w:rFonts w:cs="Arial" w:hint="cs"/>
          <w:sz w:val="18"/>
          <w:szCs w:val="18"/>
          <w:rtl/>
        </w:rPr>
        <w:t>לראשון</w:t>
      </w:r>
      <w:r w:rsidRPr="00430CFE">
        <w:rPr>
          <w:rFonts w:cs="Arial"/>
          <w:sz w:val="18"/>
          <w:szCs w:val="18"/>
          <w:rtl/>
        </w:rPr>
        <w:t xml:space="preserve"> (</w:t>
      </w:r>
      <w:r>
        <w:rPr>
          <w:rFonts w:cs="Arial" w:hint="cs"/>
          <w:sz w:val="18"/>
          <w:szCs w:val="18"/>
          <w:rtl/>
        </w:rPr>
        <w:t>תרוה"ד וב"י</w:t>
      </w:r>
      <w:r w:rsidRPr="00430CFE">
        <w:rPr>
          <w:rFonts w:cs="Arial"/>
          <w:sz w:val="18"/>
          <w:szCs w:val="18"/>
          <w:rtl/>
        </w:rPr>
        <w:t xml:space="preserve"> </w:t>
      </w:r>
      <w:r w:rsidRPr="00430CFE">
        <w:rPr>
          <w:rFonts w:cs="Arial" w:hint="cs"/>
          <w:sz w:val="18"/>
          <w:szCs w:val="18"/>
          <w:rtl/>
        </w:rPr>
        <w:t>לדעת</w:t>
      </w:r>
      <w:r w:rsidRPr="00430CFE">
        <w:rPr>
          <w:rFonts w:cs="Arial"/>
          <w:sz w:val="18"/>
          <w:szCs w:val="18"/>
          <w:rtl/>
        </w:rPr>
        <w:t xml:space="preserve"> </w:t>
      </w:r>
      <w:r w:rsidRPr="00430CFE">
        <w:rPr>
          <w:rFonts w:cs="Arial" w:hint="cs"/>
          <w:sz w:val="18"/>
          <w:szCs w:val="18"/>
          <w:rtl/>
        </w:rPr>
        <w:t>הרמב</w:t>
      </w:r>
      <w:r w:rsidRPr="00430CFE">
        <w:rPr>
          <w:rFonts w:cs="Arial"/>
          <w:sz w:val="18"/>
          <w:szCs w:val="18"/>
          <w:rtl/>
        </w:rPr>
        <w:t>"</w:t>
      </w:r>
      <w:r w:rsidRPr="00430CFE">
        <w:rPr>
          <w:rFonts w:cs="Arial" w:hint="cs"/>
          <w:sz w:val="18"/>
          <w:szCs w:val="18"/>
          <w:rtl/>
        </w:rPr>
        <w:t>ם</w:t>
      </w:r>
      <w:r>
        <w:rPr>
          <w:rFonts w:cs="Arial" w:hint="cs"/>
          <w:sz w:val="18"/>
          <w:szCs w:val="18"/>
          <w:rtl/>
        </w:rPr>
        <w:t>,</w:t>
      </w:r>
      <w:r w:rsidRPr="00430CFE">
        <w:rPr>
          <w:rFonts w:cs="Arial"/>
          <w:sz w:val="18"/>
          <w:szCs w:val="18"/>
          <w:rtl/>
        </w:rPr>
        <w:t xml:space="preserve"> </w:t>
      </w:r>
      <w:r w:rsidRPr="00430CFE">
        <w:rPr>
          <w:rFonts w:cs="Arial" w:hint="cs"/>
          <w:sz w:val="18"/>
          <w:szCs w:val="18"/>
          <w:rtl/>
        </w:rPr>
        <w:t>וב</w:t>
      </w:r>
      <w:r w:rsidRPr="00430CFE">
        <w:rPr>
          <w:rFonts w:cs="Arial"/>
          <w:sz w:val="18"/>
          <w:szCs w:val="18"/>
          <w:rtl/>
        </w:rPr>
        <w:t>"</w:t>
      </w:r>
      <w:r w:rsidRPr="00430CFE">
        <w:rPr>
          <w:rFonts w:cs="Arial" w:hint="cs"/>
          <w:sz w:val="18"/>
          <w:szCs w:val="18"/>
          <w:rtl/>
        </w:rPr>
        <w:t>י</w:t>
      </w:r>
      <w:r w:rsidRPr="00430CFE">
        <w:rPr>
          <w:rFonts w:cs="Arial"/>
          <w:sz w:val="18"/>
          <w:szCs w:val="18"/>
          <w:rtl/>
        </w:rPr>
        <w:t xml:space="preserve"> </w:t>
      </w:r>
      <w:r w:rsidRPr="00430CFE">
        <w:rPr>
          <w:rFonts w:cs="Arial" w:hint="cs"/>
          <w:sz w:val="18"/>
          <w:szCs w:val="18"/>
          <w:rtl/>
        </w:rPr>
        <w:t>בשם</w:t>
      </w:r>
      <w:r w:rsidRPr="00430CFE">
        <w:rPr>
          <w:rFonts w:cs="Arial"/>
          <w:sz w:val="18"/>
          <w:szCs w:val="18"/>
          <w:rtl/>
        </w:rPr>
        <w:t xml:space="preserve"> </w:t>
      </w:r>
      <w:r w:rsidRPr="00430CFE">
        <w:rPr>
          <w:rFonts w:cs="Arial" w:hint="cs"/>
          <w:sz w:val="18"/>
          <w:szCs w:val="18"/>
          <w:rtl/>
        </w:rPr>
        <w:t>הר</w:t>
      </w:r>
      <w:r w:rsidRPr="00430CFE">
        <w:rPr>
          <w:rFonts w:cs="Arial"/>
          <w:sz w:val="18"/>
          <w:szCs w:val="18"/>
          <w:rtl/>
        </w:rPr>
        <w:t>"</w:t>
      </w:r>
      <w:r w:rsidRPr="00430CFE">
        <w:rPr>
          <w:rFonts w:cs="Arial" w:hint="cs"/>
          <w:sz w:val="18"/>
          <w:szCs w:val="18"/>
          <w:rtl/>
        </w:rPr>
        <w:t>ן</w:t>
      </w:r>
      <w:r w:rsidRPr="00430CFE">
        <w:rPr>
          <w:rFonts w:cs="Arial"/>
          <w:sz w:val="18"/>
          <w:szCs w:val="18"/>
          <w:rtl/>
        </w:rPr>
        <w:t xml:space="preserve"> </w:t>
      </w:r>
      <w:r w:rsidRPr="00430CFE">
        <w:rPr>
          <w:rFonts w:cs="Arial" w:hint="cs"/>
          <w:sz w:val="18"/>
          <w:szCs w:val="18"/>
          <w:rtl/>
        </w:rPr>
        <w:t>והרשב</w:t>
      </w:r>
      <w:r w:rsidRPr="00430CFE">
        <w:rPr>
          <w:rFonts w:cs="Arial"/>
          <w:sz w:val="18"/>
          <w:szCs w:val="18"/>
          <w:rtl/>
        </w:rPr>
        <w:t>"</w:t>
      </w:r>
      <w:r w:rsidRPr="00430CFE">
        <w:rPr>
          <w:rFonts w:cs="Arial" w:hint="cs"/>
          <w:sz w:val="18"/>
          <w:szCs w:val="18"/>
          <w:rtl/>
        </w:rPr>
        <w:t>א</w:t>
      </w:r>
      <w:r w:rsidRPr="00430CFE">
        <w:rPr>
          <w:rFonts w:cs="Arial"/>
          <w:sz w:val="18"/>
          <w:szCs w:val="18"/>
          <w:rtl/>
        </w:rPr>
        <w:t>).</w:t>
      </w:r>
      <w:r>
        <w:rPr>
          <w:rFonts w:cs="Arial"/>
          <w:rtl/>
        </w:rPr>
        <w:t xml:space="preserve"> </w:t>
      </w:r>
    </w:p>
    <w:p w14:paraId="2FDC2397" w14:textId="77777777" w:rsidR="00FA2119" w:rsidRDefault="00FA2119" w:rsidP="00FA2119">
      <w:pPr>
        <w:rPr>
          <w:rtl/>
        </w:rPr>
      </w:pPr>
    </w:p>
    <w:p w14:paraId="2B4E142D" w14:textId="77777777" w:rsidR="00FA2119" w:rsidRDefault="00FA2119" w:rsidP="00FA2119">
      <w:pPr>
        <w:pStyle w:val="2"/>
        <w:rPr>
          <w:rtl/>
        </w:rPr>
      </w:pPr>
      <w:r>
        <w:rPr>
          <w:rFonts w:hint="cs"/>
          <w:rtl/>
        </w:rPr>
        <w:t>סעיף</w:t>
      </w:r>
      <w:r>
        <w:rPr>
          <w:rtl/>
        </w:rPr>
        <w:t xml:space="preserve"> </w:t>
      </w:r>
      <w:r>
        <w:rPr>
          <w:rFonts w:hint="cs"/>
          <w:rtl/>
        </w:rPr>
        <w:t>ג: פירשו בגט שנכתב ביום ונחתם בלילה.</w:t>
      </w:r>
    </w:p>
    <w:p w14:paraId="6D68BE4A" w14:textId="252FAE5C" w:rsidR="00FA2119" w:rsidRPr="00AE04CB" w:rsidRDefault="00FA2119" w:rsidP="00FA2119">
      <w:pPr>
        <w:rPr>
          <w:u w:val="single"/>
          <w:rtl/>
        </w:rPr>
      </w:pPr>
      <w:r w:rsidRPr="006871B7">
        <w:rPr>
          <w:rFonts w:hint="cs"/>
          <w:u w:val="single"/>
          <w:rtl/>
        </w:rPr>
        <w:t>גט שנכתב ביום ונחתם בלילה</w:t>
      </w:r>
      <w:r>
        <w:rPr>
          <w:rFonts w:hint="cs"/>
          <w:u w:val="single"/>
          <w:rtl/>
        </w:rPr>
        <w:t xml:space="preserve"> </w:t>
      </w:r>
      <w:r w:rsidR="00A82951">
        <w:rPr>
          <w:u w:val="single"/>
          <w:rtl/>
        </w:rPr>
        <w:t>-</w:t>
      </w:r>
      <w:r>
        <w:rPr>
          <w:rFonts w:hint="cs"/>
          <w:u w:val="single"/>
          <w:rtl/>
        </w:rPr>
        <w:t xml:space="preserve"> ופירשו בגט שכך היה</w:t>
      </w:r>
      <w:r w:rsidRPr="006871B7">
        <w:rPr>
          <w:rFonts w:hint="cs"/>
          <w:u w:val="single"/>
          <w:rtl/>
        </w:rPr>
        <w:t>:</w:t>
      </w:r>
    </w:p>
    <w:p w14:paraId="665902B5" w14:textId="16C9AC59" w:rsidR="00FA2119" w:rsidRDefault="00FA2119" w:rsidP="00FA2119">
      <w:pPr>
        <w:pStyle w:val="ab"/>
        <w:numPr>
          <w:ilvl w:val="0"/>
          <w:numId w:val="60"/>
        </w:numPr>
      </w:pPr>
      <w:r w:rsidRPr="00775648">
        <w:rPr>
          <w:rFonts w:cs="Arial" w:hint="cs"/>
          <w:rtl/>
        </w:rPr>
        <w:t xml:space="preserve">הגה"מ </w:t>
      </w:r>
      <w:r w:rsidRPr="00775648">
        <w:rPr>
          <w:rFonts w:cs="Arial" w:hint="cs"/>
          <w:sz w:val="16"/>
          <w:szCs w:val="16"/>
          <w:rtl/>
        </w:rPr>
        <w:t>(</w:t>
      </w:r>
      <w:r w:rsidRPr="00775648">
        <w:rPr>
          <w:rFonts w:cs="Arial"/>
          <w:sz w:val="16"/>
          <w:szCs w:val="16"/>
          <w:rtl/>
        </w:rPr>
        <w:t>פ</w:t>
      </w:r>
      <w:r w:rsidRPr="00775648">
        <w:rPr>
          <w:rFonts w:cs="Arial" w:hint="cs"/>
          <w:sz w:val="16"/>
          <w:szCs w:val="16"/>
          <w:rtl/>
        </w:rPr>
        <w:t>"</w:t>
      </w:r>
      <w:r w:rsidRPr="00775648">
        <w:rPr>
          <w:rFonts w:cs="Arial"/>
          <w:sz w:val="16"/>
          <w:szCs w:val="16"/>
          <w:rtl/>
        </w:rPr>
        <w:t>א שם)</w:t>
      </w:r>
      <w:r w:rsidR="00A82951">
        <w:rPr>
          <w:rFonts w:cs="Arial" w:hint="cs"/>
          <w:rtl/>
        </w:rPr>
        <w:t>-</w:t>
      </w:r>
      <w:r w:rsidRPr="00775648">
        <w:rPr>
          <w:rFonts w:cs="Arial"/>
          <w:rtl/>
        </w:rPr>
        <w:t xml:space="preserve"> אפילו לרבנן אי כתב ביממא ואחתים בליליא ומקמי חתימה כתבי הכי </w:t>
      </w:r>
      <w:r>
        <w:rPr>
          <w:rFonts w:cs="Arial" w:hint="cs"/>
          <w:rtl/>
        </w:rPr>
        <w:t>'</w:t>
      </w:r>
      <w:r w:rsidRPr="00775648">
        <w:rPr>
          <w:rFonts w:cs="Arial"/>
          <w:rtl/>
        </w:rPr>
        <w:t>גיטא דא איכתיב ביום פלן ולא איספיק למיחתמי סהדי עד השתא וחתימו סהדי</w:t>
      </w:r>
      <w:r>
        <w:rPr>
          <w:rFonts w:cs="Arial" w:hint="cs"/>
          <w:rtl/>
        </w:rPr>
        <w:t xml:space="preserve">' </w:t>
      </w:r>
      <w:r w:rsidR="00A82951">
        <w:rPr>
          <w:rFonts w:cs="Arial" w:hint="cs"/>
          <w:rtl/>
        </w:rPr>
        <w:t>-</w:t>
      </w:r>
      <w:r w:rsidRPr="00775648">
        <w:rPr>
          <w:rFonts w:cs="Arial"/>
          <w:rtl/>
        </w:rPr>
        <w:t xml:space="preserve"> כשר</w:t>
      </w:r>
      <w:r>
        <w:rPr>
          <w:rFonts w:cs="Arial" w:hint="cs"/>
          <w:rtl/>
        </w:rPr>
        <w:t>,</w:t>
      </w:r>
      <w:r w:rsidRPr="00775648">
        <w:rPr>
          <w:rFonts w:cs="Arial"/>
          <w:rtl/>
        </w:rPr>
        <w:t xml:space="preserve"> דהא ליכא חשש לפירות ולא לזנות</w:t>
      </w:r>
      <w:r>
        <w:rPr>
          <w:rFonts w:cs="Arial" w:hint="cs"/>
          <w:rtl/>
        </w:rPr>
        <w:t>.</w:t>
      </w:r>
      <w:r w:rsidRPr="00775648">
        <w:rPr>
          <w:rFonts w:cs="Arial"/>
          <w:rtl/>
        </w:rPr>
        <w:t xml:space="preserve"> והוא הדין לשטרי חוב המוקדמים</w:t>
      </w:r>
      <w:r>
        <w:rPr>
          <w:rFonts w:cs="Arial" w:hint="cs"/>
          <w:rtl/>
        </w:rPr>
        <w:t>.</w:t>
      </w:r>
      <w:r w:rsidRPr="00775648">
        <w:rPr>
          <w:rFonts w:cs="Arial"/>
          <w:rtl/>
        </w:rPr>
        <w:t xml:space="preserve"> אבל בתר דחתמי סהדי לא</w:t>
      </w:r>
      <w:r>
        <w:rPr>
          <w:rFonts w:cs="Arial" w:hint="cs"/>
          <w:rtl/>
        </w:rPr>
        <w:t>.</w:t>
      </w:r>
      <w:r w:rsidRPr="00775648">
        <w:rPr>
          <w:rFonts w:cs="Arial"/>
          <w:rtl/>
        </w:rPr>
        <w:t xml:space="preserve"> </w:t>
      </w:r>
      <w:r w:rsidRPr="00AE04CB">
        <w:rPr>
          <w:rFonts w:hint="cs"/>
          <w:color w:val="E36C0A" w:themeColor="accent6" w:themeShade="BF"/>
          <w:rtl/>
        </w:rPr>
        <w:t>(וכ"פ בשו"ע)</w:t>
      </w:r>
    </w:p>
    <w:p w14:paraId="7FC9D442" w14:textId="77777777" w:rsidR="00FA2119" w:rsidRPr="00B73188" w:rsidRDefault="00FA2119" w:rsidP="00FA2119">
      <w:r w:rsidRPr="00B73188">
        <w:rPr>
          <w:rFonts w:cs="Arial" w:hint="cs"/>
          <w:u w:val="single"/>
          <w:rtl/>
        </w:rPr>
        <w:t>כתב</w:t>
      </w:r>
      <w:r>
        <w:rPr>
          <w:rFonts w:cs="Arial" w:hint="cs"/>
          <w:u w:val="single"/>
          <w:rtl/>
        </w:rPr>
        <w:t xml:space="preserve"> גט שזמנו מאוחר, ולא חתמו העדים עד שהגיע הזמן שכתוב בגט</w:t>
      </w:r>
      <w:r w:rsidRPr="00B73188">
        <w:rPr>
          <w:rFonts w:cs="Arial" w:hint="cs"/>
          <w:u w:val="single"/>
          <w:rtl/>
        </w:rPr>
        <w:t>:</w:t>
      </w:r>
      <w:r>
        <w:rPr>
          <w:rFonts w:cs="Arial" w:hint="cs"/>
          <w:rtl/>
        </w:rPr>
        <w:t xml:space="preserve"> </w:t>
      </w:r>
      <w:r w:rsidRPr="00B73188">
        <w:rPr>
          <w:rFonts w:cs="Arial" w:hint="cs"/>
          <w:sz w:val="16"/>
          <w:szCs w:val="16"/>
          <w:rtl/>
        </w:rPr>
        <w:t>(</w:t>
      </w:r>
      <w:r>
        <w:rPr>
          <w:rFonts w:cs="Arial" w:hint="cs"/>
          <w:sz w:val="16"/>
          <w:szCs w:val="16"/>
          <w:rtl/>
        </w:rPr>
        <w:t>ב"י ב</w:t>
      </w:r>
      <w:r w:rsidRPr="00B73188">
        <w:rPr>
          <w:rFonts w:cs="Arial"/>
          <w:sz w:val="16"/>
          <w:szCs w:val="16"/>
          <w:rtl/>
        </w:rPr>
        <w:t>בד</w:t>
      </w:r>
      <w:r w:rsidRPr="00B73188">
        <w:rPr>
          <w:rFonts w:cs="Arial" w:hint="cs"/>
          <w:sz w:val="16"/>
          <w:szCs w:val="16"/>
          <w:rtl/>
        </w:rPr>
        <w:t>ה"ב)</w:t>
      </w:r>
      <w:r w:rsidRPr="00B73188">
        <w:rPr>
          <w:rFonts w:cs="Arial"/>
          <w:rtl/>
        </w:rPr>
        <w:t xml:space="preserve"> </w:t>
      </w:r>
    </w:p>
    <w:p w14:paraId="7CE0E780" w14:textId="2FFE1813" w:rsidR="00FA2119" w:rsidRDefault="00FA2119" w:rsidP="00FA2119">
      <w:pPr>
        <w:pStyle w:val="ab"/>
        <w:numPr>
          <w:ilvl w:val="0"/>
          <w:numId w:val="60"/>
        </w:numPr>
      </w:pPr>
      <w:r w:rsidRPr="00775648">
        <w:rPr>
          <w:rFonts w:cs="Arial"/>
          <w:rtl/>
        </w:rPr>
        <w:t>הה</w:t>
      </w:r>
      <w:r>
        <w:rPr>
          <w:rFonts w:cs="Arial" w:hint="cs"/>
          <w:rtl/>
        </w:rPr>
        <w:t>"</w:t>
      </w:r>
      <w:r w:rsidRPr="00775648">
        <w:rPr>
          <w:rFonts w:cs="Arial"/>
          <w:rtl/>
        </w:rPr>
        <w:t xml:space="preserve">מ </w:t>
      </w:r>
      <w:r w:rsidRPr="00B73188">
        <w:rPr>
          <w:rFonts w:cs="Arial" w:hint="cs"/>
          <w:sz w:val="16"/>
          <w:szCs w:val="16"/>
          <w:rtl/>
        </w:rPr>
        <w:t>(פ"</w:t>
      </w:r>
      <w:r w:rsidRPr="00B73188">
        <w:rPr>
          <w:rFonts w:cs="Arial"/>
          <w:sz w:val="16"/>
          <w:szCs w:val="16"/>
          <w:rtl/>
        </w:rPr>
        <w:t>א הכ"ד)</w:t>
      </w:r>
      <w:r w:rsidR="00A82951">
        <w:rPr>
          <w:rFonts w:cs="Arial" w:hint="cs"/>
          <w:rtl/>
        </w:rPr>
        <w:t>-</w:t>
      </w:r>
      <w:r w:rsidRPr="00775648">
        <w:rPr>
          <w:rFonts w:cs="Arial"/>
          <w:rtl/>
        </w:rPr>
        <w:t xml:space="preserve"> נראה דדוקא מוקדם שזמן הגט קודם החתימה</w:t>
      </w:r>
      <w:r>
        <w:rPr>
          <w:rFonts w:cs="Arial" w:hint="cs"/>
          <w:sz w:val="16"/>
          <w:szCs w:val="16"/>
          <w:rtl/>
        </w:rPr>
        <w:t xml:space="preserve"> {פסל הרמב"ם}</w:t>
      </w:r>
      <w:r>
        <w:rPr>
          <w:rFonts w:cs="Arial" w:hint="cs"/>
          <w:rtl/>
        </w:rPr>
        <w:t>,</w:t>
      </w:r>
      <w:r w:rsidRPr="00775648">
        <w:rPr>
          <w:rFonts w:cs="Arial"/>
          <w:rtl/>
        </w:rPr>
        <w:t xml:space="preserve"> כגון שנכתב ונחתם במרחשון</w:t>
      </w:r>
      <w:r>
        <w:rPr>
          <w:rFonts w:cs="Arial" w:hint="cs"/>
          <w:rtl/>
        </w:rPr>
        <w:t>,</w:t>
      </w:r>
      <w:r w:rsidRPr="00775648">
        <w:rPr>
          <w:rFonts w:cs="Arial"/>
          <w:rtl/>
        </w:rPr>
        <w:t xml:space="preserve"> וכתבו בו שבתשרי קודם מרחשון נכתב</w:t>
      </w:r>
      <w:r>
        <w:rPr>
          <w:rFonts w:cs="Arial" w:hint="cs"/>
          <w:rtl/>
        </w:rPr>
        <w:t>.</w:t>
      </w:r>
      <w:r w:rsidRPr="00775648">
        <w:rPr>
          <w:rFonts w:cs="Arial"/>
          <w:rtl/>
        </w:rPr>
        <w:t xml:space="preserve"> אבל אם היה עומד בתשרי וכתב בו זמן מרחשון</w:t>
      </w:r>
      <w:r>
        <w:rPr>
          <w:rFonts w:cs="Arial" w:hint="cs"/>
          <w:rtl/>
        </w:rPr>
        <w:t>,</w:t>
      </w:r>
      <w:r w:rsidRPr="00775648">
        <w:rPr>
          <w:rFonts w:cs="Arial"/>
          <w:rtl/>
        </w:rPr>
        <w:t xml:space="preserve"> וחתמו בו העדים בו ביום הכתוב בגט </w:t>
      </w:r>
      <w:r w:rsidR="00A82951">
        <w:rPr>
          <w:rFonts w:cs="Arial" w:hint="cs"/>
          <w:rtl/>
        </w:rPr>
        <w:t>-</w:t>
      </w:r>
      <w:r>
        <w:rPr>
          <w:rFonts w:cs="Arial" w:hint="cs"/>
          <w:rtl/>
        </w:rPr>
        <w:t xml:space="preserve"> </w:t>
      </w:r>
      <w:r w:rsidRPr="00775648">
        <w:rPr>
          <w:rFonts w:cs="Arial"/>
          <w:rtl/>
        </w:rPr>
        <w:t>נראה דכשר</w:t>
      </w:r>
      <w:r>
        <w:rPr>
          <w:rFonts w:cs="Arial" w:hint="cs"/>
          <w:rtl/>
        </w:rPr>
        <w:t>,</w:t>
      </w:r>
      <w:r w:rsidRPr="00775648">
        <w:rPr>
          <w:rFonts w:cs="Arial"/>
          <w:rtl/>
        </w:rPr>
        <w:t xml:space="preserve"> דלא חשבינן ליה מוקדם הואיל וזמן הכתוב בגט וחתימה הכל ביום אחד</w:t>
      </w:r>
      <w:r>
        <w:rPr>
          <w:rFonts w:cs="Arial" w:hint="cs"/>
          <w:rtl/>
        </w:rPr>
        <w:t>.</w:t>
      </w:r>
      <w:r w:rsidRPr="00775648">
        <w:rPr>
          <w:rFonts w:cs="Arial"/>
          <w:rtl/>
        </w:rPr>
        <w:t xml:space="preserve"> וזהו שאמר הרב</w:t>
      </w:r>
      <w:r>
        <w:rPr>
          <w:rFonts w:cs="Arial" w:hint="cs"/>
          <w:sz w:val="16"/>
          <w:szCs w:val="16"/>
          <w:rtl/>
        </w:rPr>
        <w:t xml:space="preserve"> {הרמב"ם [פ"א הכ"ה]}</w:t>
      </w:r>
      <w:r w:rsidRPr="00775648">
        <w:rPr>
          <w:rFonts w:cs="Arial"/>
          <w:rtl/>
        </w:rPr>
        <w:t xml:space="preserve"> </w:t>
      </w:r>
      <w:r>
        <w:rPr>
          <w:rFonts w:cs="Arial" w:hint="cs"/>
          <w:rtl/>
        </w:rPr>
        <w:t>'</w:t>
      </w:r>
      <w:r w:rsidRPr="00775648">
        <w:rPr>
          <w:rFonts w:cs="Arial"/>
          <w:rtl/>
        </w:rPr>
        <w:t>עד שיחתמו בו בזמן כתיבתו</w:t>
      </w:r>
      <w:r>
        <w:rPr>
          <w:rFonts w:cs="Arial" w:hint="cs"/>
          <w:rtl/>
        </w:rPr>
        <w:t>'</w:t>
      </w:r>
      <w:r w:rsidRPr="00775648">
        <w:rPr>
          <w:rFonts w:cs="Arial"/>
          <w:rtl/>
        </w:rPr>
        <w:t xml:space="preserve"> כלומר בזמן הכתוב בגט</w:t>
      </w:r>
      <w:r>
        <w:rPr>
          <w:rFonts w:cs="Arial" w:hint="cs"/>
          <w:rtl/>
        </w:rPr>
        <w:t>,</w:t>
      </w:r>
      <w:r w:rsidRPr="00775648">
        <w:rPr>
          <w:rFonts w:cs="Arial"/>
          <w:rtl/>
        </w:rPr>
        <w:t xml:space="preserve"> ולא אמר ביום כתיבתו</w:t>
      </w:r>
      <w:r>
        <w:rPr>
          <w:rFonts w:cs="Arial" w:hint="cs"/>
          <w:rtl/>
        </w:rPr>
        <w:t>.</w:t>
      </w:r>
      <w:r w:rsidRPr="00775648">
        <w:rPr>
          <w:rFonts w:cs="Arial"/>
          <w:rtl/>
        </w:rPr>
        <w:t xml:space="preserve"> </w:t>
      </w:r>
      <w:r>
        <w:rPr>
          <w:rtl/>
        </w:rPr>
        <w:t>(וכ"</w:t>
      </w:r>
      <w:r>
        <w:rPr>
          <w:rFonts w:hint="cs"/>
          <w:rtl/>
        </w:rPr>
        <w:t>כ הב"ש</w:t>
      </w:r>
      <w:r>
        <w:rPr>
          <w:rStyle w:val="a7"/>
          <w:rtl/>
        </w:rPr>
        <w:footnoteReference w:id="883"/>
      </w:r>
      <w:r>
        <w:rPr>
          <w:rtl/>
        </w:rPr>
        <w:t xml:space="preserve"> </w:t>
      </w:r>
      <w:r>
        <w:rPr>
          <w:szCs w:val="16"/>
          <w:rtl/>
        </w:rPr>
        <w:t>[</w:t>
      </w:r>
      <w:r>
        <w:rPr>
          <w:rFonts w:hint="cs"/>
          <w:szCs w:val="16"/>
          <w:rtl/>
        </w:rPr>
        <w:t>סקט"ז</w:t>
      </w:r>
      <w:r>
        <w:rPr>
          <w:szCs w:val="16"/>
          <w:rtl/>
        </w:rPr>
        <w:t>]</w:t>
      </w:r>
      <w:r>
        <w:rPr>
          <w:rtl/>
        </w:rPr>
        <w:t>)</w:t>
      </w:r>
    </w:p>
    <w:p w14:paraId="5B1E1FB2" w14:textId="77777777" w:rsidR="00FA2119" w:rsidRPr="00D4316B" w:rsidRDefault="00FA2119" w:rsidP="00FA2119">
      <w:r w:rsidRPr="00D4316B">
        <w:rPr>
          <w:rFonts w:cs="Arial" w:hint="cs"/>
          <w:u w:val="single"/>
          <w:rtl/>
        </w:rPr>
        <w:t>דיני שעת הדחק מהרד"ך</w:t>
      </w:r>
      <w:r>
        <w:rPr>
          <w:rFonts w:cs="Arial" w:hint="cs"/>
          <w:u w:val="single"/>
          <w:rtl/>
        </w:rPr>
        <w:t>:</w:t>
      </w:r>
      <w:r>
        <w:rPr>
          <w:rFonts w:cs="Arial" w:hint="cs"/>
          <w:sz w:val="16"/>
          <w:szCs w:val="16"/>
          <w:rtl/>
        </w:rPr>
        <w:t xml:space="preserve"> </w:t>
      </w:r>
      <w:r w:rsidRPr="00D4316B">
        <w:rPr>
          <w:rFonts w:cs="Arial" w:hint="cs"/>
          <w:sz w:val="16"/>
          <w:szCs w:val="16"/>
          <w:rtl/>
        </w:rPr>
        <w:t xml:space="preserve"> </w:t>
      </w:r>
      <w:r w:rsidRPr="00D4316B">
        <w:rPr>
          <w:rFonts w:cs="Arial"/>
          <w:sz w:val="16"/>
          <w:szCs w:val="16"/>
          <w:rtl/>
        </w:rPr>
        <w:t>(</w:t>
      </w:r>
      <w:r w:rsidRPr="00D4316B">
        <w:rPr>
          <w:rFonts w:cs="Arial" w:hint="cs"/>
          <w:sz w:val="16"/>
          <w:szCs w:val="16"/>
          <w:rtl/>
        </w:rPr>
        <w:t xml:space="preserve">דרכ"מ אות </w:t>
      </w:r>
      <w:r w:rsidRPr="00D4316B">
        <w:rPr>
          <w:rFonts w:cs="Arial"/>
          <w:sz w:val="16"/>
          <w:szCs w:val="16"/>
          <w:rtl/>
        </w:rPr>
        <w:t>ג)</w:t>
      </w:r>
      <w:r w:rsidRPr="00D4316B">
        <w:rPr>
          <w:rFonts w:cs="Arial"/>
          <w:rtl/>
        </w:rPr>
        <w:t xml:space="preserve"> </w:t>
      </w:r>
    </w:p>
    <w:p w14:paraId="2DB2D5CB" w14:textId="72315050" w:rsidR="00FA2119" w:rsidRDefault="00FA2119" w:rsidP="00FA2119">
      <w:pPr>
        <w:pStyle w:val="ab"/>
        <w:numPr>
          <w:ilvl w:val="0"/>
          <w:numId w:val="60"/>
        </w:numPr>
      </w:pPr>
      <w:r>
        <w:rPr>
          <w:rFonts w:cs="Arial" w:hint="cs"/>
          <w:rtl/>
        </w:rPr>
        <w:t>רד"ך</w:t>
      </w:r>
      <w:r w:rsidRPr="00C51FB7">
        <w:rPr>
          <w:rFonts w:cs="Arial"/>
          <w:rtl/>
        </w:rPr>
        <w:t xml:space="preserve"> </w:t>
      </w:r>
      <w:r w:rsidRPr="00D4316B">
        <w:rPr>
          <w:rFonts w:cs="Arial"/>
          <w:sz w:val="16"/>
          <w:szCs w:val="16"/>
          <w:rtl/>
        </w:rPr>
        <w:t>(סוף בית ג</w:t>
      </w:r>
      <w:r w:rsidRPr="00D4316B">
        <w:rPr>
          <w:rFonts w:cs="Arial" w:hint="cs"/>
          <w:sz w:val="16"/>
          <w:szCs w:val="16"/>
          <w:rtl/>
        </w:rPr>
        <w:t>)</w:t>
      </w:r>
      <w:r w:rsidR="00A82951">
        <w:rPr>
          <w:rFonts w:cs="Arial" w:hint="cs"/>
          <w:rtl/>
        </w:rPr>
        <w:t>-</w:t>
      </w:r>
      <w:r w:rsidRPr="00C51FB7">
        <w:rPr>
          <w:rFonts w:cs="Arial"/>
          <w:rtl/>
        </w:rPr>
        <w:t xml:space="preserve"> לא מיקרי שעת הדחק אלא במקום דאי אפשר בגט אחר. </w:t>
      </w:r>
      <w:r>
        <w:rPr>
          <w:rFonts w:cs="Arial" w:hint="cs"/>
          <w:rtl/>
        </w:rPr>
        <w:t>ו</w:t>
      </w:r>
      <w:r w:rsidRPr="00C51FB7">
        <w:rPr>
          <w:rFonts w:cs="Arial"/>
          <w:rtl/>
        </w:rPr>
        <w:t>במקום שהגדולים חולקין אין לומר כדאי פלוני לסמוך עליו בשעת הדחק אלא בפסול דרבנן אבל במקום דאיכא פסול דאורייתא לאחד אין לסמוך על המיקל ואפילו בדבר דרבנן אי איפסקא הלכתא כאחד אין לסמוך על השני אפילו בשעת הדחק. ועוד נראה דאין לומר כלל בזמן הזה ראוי לסמוך על זה בשעת הדחק</w:t>
      </w:r>
      <w:r>
        <w:rPr>
          <w:rFonts w:cs="Arial" w:hint="cs"/>
          <w:rtl/>
        </w:rPr>
        <w:t>.</w:t>
      </w:r>
    </w:p>
    <w:p w14:paraId="40C09653"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753D63B" w14:textId="77777777" w:rsidR="00FA2119" w:rsidRDefault="00FA2119" w:rsidP="00FA2119">
      <w:pPr>
        <w:rPr>
          <w:rtl/>
        </w:rPr>
      </w:pPr>
      <w:r>
        <w:rPr>
          <w:rFonts w:cs="Arial" w:hint="cs"/>
          <w:rtl/>
        </w:rPr>
        <w:t>נכתב</w:t>
      </w:r>
      <w:r>
        <w:rPr>
          <w:rFonts w:cs="Arial"/>
          <w:rtl/>
        </w:rPr>
        <w:t xml:space="preserve"> </w:t>
      </w:r>
      <w:r>
        <w:rPr>
          <w:rFonts w:cs="Arial" w:hint="cs"/>
          <w:rtl/>
        </w:rPr>
        <w:t>ביום</w:t>
      </w:r>
      <w:r>
        <w:rPr>
          <w:rFonts w:cs="Arial"/>
          <w:rtl/>
        </w:rPr>
        <w:t xml:space="preserve">, </w:t>
      </w:r>
      <w:r>
        <w:rPr>
          <w:rFonts w:cs="Arial" w:hint="cs"/>
          <w:rtl/>
        </w:rPr>
        <w:t>ולא</w:t>
      </w:r>
      <w:r>
        <w:rPr>
          <w:rFonts w:cs="Arial"/>
          <w:rtl/>
        </w:rPr>
        <w:t xml:space="preserve"> </w:t>
      </w:r>
      <w:r>
        <w:rPr>
          <w:rFonts w:cs="Arial" w:hint="cs"/>
          <w:rtl/>
        </w:rPr>
        <w:t>הספיקו</w:t>
      </w:r>
      <w:r>
        <w:rPr>
          <w:rFonts w:cs="Arial"/>
          <w:rtl/>
        </w:rPr>
        <w:t xml:space="preserve"> </w:t>
      </w:r>
      <w:r>
        <w:rPr>
          <w:rFonts w:cs="Arial" w:hint="cs"/>
          <w:rtl/>
        </w:rPr>
        <w:t>לחתמו</w:t>
      </w:r>
      <w:r>
        <w:rPr>
          <w:rFonts w:cs="Arial"/>
          <w:rtl/>
        </w:rPr>
        <w:t xml:space="preserve"> </w:t>
      </w:r>
      <w:r>
        <w:rPr>
          <w:rFonts w:cs="Arial" w:hint="cs"/>
          <w:rtl/>
        </w:rPr>
        <w:t>עד</w:t>
      </w:r>
      <w:r>
        <w:rPr>
          <w:rFonts w:cs="Arial"/>
          <w:rtl/>
        </w:rPr>
        <w:t xml:space="preserve"> </w:t>
      </w:r>
      <w:r>
        <w:rPr>
          <w:rFonts w:cs="Arial" w:hint="cs"/>
          <w:rtl/>
        </w:rPr>
        <w:t>הלילה</w:t>
      </w:r>
      <w:r>
        <w:rPr>
          <w:rFonts w:cs="Arial"/>
          <w:rtl/>
        </w:rPr>
        <w:t xml:space="preserve">, </w:t>
      </w:r>
      <w:r>
        <w:rPr>
          <w:rFonts w:cs="Arial" w:hint="cs"/>
          <w:rtl/>
        </w:rPr>
        <w:t>אם</w:t>
      </w:r>
      <w:r>
        <w:rPr>
          <w:rFonts w:cs="Arial"/>
          <w:rtl/>
        </w:rPr>
        <w:t xml:space="preserve"> </w:t>
      </w:r>
      <w:r>
        <w:rPr>
          <w:rFonts w:cs="Arial" w:hint="cs"/>
          <w:rtl/>
        </w:rPr>
        <w:t>כתבו</w:t>
      </w:r>
      <w:r>
        <w:rPr>
          <w:rFonts w:cs="Arial"/>
          <w:rtl/>
        </w:rPr>
        <w:t xml:space="preserve"> </w:t>
      </w:r>
      <w:r>
        <w:rPr>
          <w:rFonts w:cs="Arial" w:hint="cs"/>
          <w:rtl/>
        </w:rPr>
        <w:t>בו</w:t>
      </w:r>
      <w:r>
        <w:rPr>
          <w:rFonts w:cs="Arial"/>
          <w:rtl/>
        </w:rPr>
        <w:t xml:space="preserve"> </w:t>
      </w:r>
      <w:r>
        <w:rPr>
          <w:rFonts w:cs="Arial" w:hint="cs"/>
          <w:rtl/>
        </w:rPr>
        <w:t>קודם</w:t>
      </w:r>
      <w:r>
        <w:rPr>
          <w:rFonts w:cs="Arial"/>
          <w:rtl/>
        </w:rPr>
        <w:t xml:space="preserve"> </w:t>
      </w:r>
      <w:r>
        <w:rPr>
          <w:rFonts w:cs="Arial" w:hint="cs"/>
          <w:rtl/>
        </w:rPr>
        <w:t>חתימה</w:t>
      </w:r>
      <w:r>
        <w:rPr>
          <w:rFonts w:cs="Arial"/>
          <w:rtl/>
        </w:rPr>
        <w:t xml:space="preserve">: </w:t>
      </w:r>
      <w:r>
        <w:rPr>
          <w:rFonts w:cs="Arial" w:hint="cs"/>
          <w:rtl/>
        </w:rPr>
        <w:t>גיטא</w:t>
      </w:r>
      <w:r>
        <w:rPr>
          <w:rFonts w:cs="Arial"/>
          <w:rtl/>
        </w:rPr>
        <w:t xml:space="preserve"> </w:t>
      </w:r>
      <w:r>
        <w:rPr>
          <w:rFonts w:cs="Arial" w:hint="cs"/>
          <w:rtl/>
        </w:rPr>
        <w:t>דנן</w:t>
      </w:r>
      <w:r>
        <w:rPr>
          <w:rFonts w:cs="Arial"/>
          <w:rtl/>
        </w:rPr>
        <w:t xml:space="preserve"> </w:t>
      </w:r>
      <w:r>
        <w:rPr>
          <w:rFonts w:cs="Arial" w:hint="cs"/>
          <w:rtl/>
        </w:rPr>
        <w:t>איכתוב</w:t>
      </w:r>
      <w:r>
        <w:rPr>
          <w:rFonts w:cs="Arial"/>
          <w:rtl/>
        </w:rPr>
        <w:t xml:space="preserve"> </w:t>
      </w:r>
      <w:r>
        <w:rPr>
          <w:rFonts w:cs="Arial" w:hint="cs"/>
          <w:rtl/>
        </w:rPr>
        <w:t>ביום</w:t>
      </w:r>
      <w:r>
        <w:rPr>
          <w:rFonts w:cs="Arial"/>
          <w:rtl/>
        </w:rPr>
        <w:t xml:space="preserve"> </w:t>
      </w:r>
      <w:r>
        <w:rPr>
          <w:rFonts w:cs="Arial" w:hint="cs"/>
          <w:rtl/>
        </w:rPr>
        <w:t>פלן</w:t>
      </w:r>
      <w:r>
        <w:rPr>
          <w:rFonts w:cs="Arial"/>
          <w:rtl/>
        </w:rPr>
        <w:t xml:space="preserve"> </w:t>
      </w:r>
      <w:r>
        <w:rPr>
          <w:rFonts w:cs="Arial" w:hint="cs"/>
          <w:rtl/>
        </w:rPr>
        <w:t>ולא</w:t>
      </w:r>
      <w:r>
        <w:rPr>
          <w:rFonts w:cs="Arial"/>
          <w:rtl/>
        </w:rPr>
        <w:t xml:space="preserve"> </w:t>
      </w:r>
      <w:r>
        <w:rPr>
          <w:rFonts w:cs="Arial" w:hint="cs"/>
          <w:rtl/>
        </w:rPr>
        <w:t>הספיקו</w:t>
      </w:r>
      <w:r>
        <w:rPr>
          <w:rFonts w:cs="Arial"/>
          <w:rtl/>
        </w:rPr>
        <w:t xml:space="preserve"> </w:t>
      </w:r>
      <w:r>
        <w:rPr>
          <w:rFonts w:cs="Arial" w:hint="cs"/>
          <w:rtl/>
        </w:rPr>
        <w:t>סהדי</w:t>
      </w:r>
      <w:r>
        <w:rPr>
          <w:rFonts w:cs="Arial"/>
          <w:rtl/>
        </w:rPr>
        <w:t xml:space="preserve"> </w:t>
      </w:r>
      <w:r>
        <w:rPr>
          <w:rFonts w:cs="Arial" w:hint="cs"/>
          <w:rtl/>
        </w:rPr>
        <w:t>למחתמיה</w:t>
      </w:r>
      <w:r>
        <w:rPr>
          <w:rFonts w:cs="Arial"/>
          <w:rtl/>
        </w:rPr>
        <w:t xml:space="preserve"> </w:t>
      </w:r>
      <w:r>
        <w:rPr>
          <w:rFonts w:cs="Arial" w:hint="cs"/>
          <w:rtl/>
        </w:rPr>
        <w:t>עד</w:t>
      </w:r>
      <w:r>
        <w:rPr>
          <w:rFonts w:cs="Arial"/>
          <w:rtl/>
        </w:rPr>
        <w:t xml:space="preserve"> </w:t>
      </w:r>
      <w:r>
        <w:rPr>
          <w:rFonts w:cs="Arial" w:hint="cs"/>
          <w:rtl/>
        </w:rPr>
        <w:t>ליליא</w:t>
      </w:r>
      <w:r>
        <w:rPr>
          <w:rFonts w:cs="Arial"/>
          <w:rtl/>
        </w:rPr>
        <w:t xml:space="preserve">, </w:t>
      </w:r>
      <w:r>
        <w:rPr>
          <w:rFonts w:cs="Arial" w:hint="cs"/>
          <w:rtl/>
        </w:rPr>
        <w:t>וחתמו</w:t>
      </w:r>
      <w:r>
        <w:rPr>
          <w:rFonts w:cs="Arial"/>
          <w:rtl/>
        </w:rPr>
        <w:t xml:space="preserve"> </w:t>
      </w:r>
      <w:r>
        <w:rPr>
          <w:rFonts w:cs="Arial" w:hint="cs"/>
          <w:rtl/>
        </w:rPr>
        <w:t>העדים</w:t>
      </w:r>
      <w:r>
        <w:rPr>
          <w:rFonts w:cs="Arial"/>
          <w:rtl/>
        </w:rPr>
        <w:t xml:space="preserve"> </w:t>
      </w:r>
      <w:r>
        <w:rPr>
          <w:rFonts w:cs="Arial" w:hint="cs"/>
          <w:rtl/>
        </w:rPr>
        <w:t>אחר</w:t>
      </w:r>
      <w:r>
        <w:rPr>
          <w:rFonts w:cs="Arial"/>
          <w:rtl/>
        </w:rPr>
        <w:t xml:space="preserve"> </w:t>
      </w:r>
      <w:r>
        <w:rPr>
          <w:rFonts w:cs="Arial" w:hint="cs"/>
          <w:rtl/>
        </w:rPr>
        <w:t>כך</w:t>
      </w:r>
      <w:r>
        <w:rPr>
          <w:rFonts w:cs="Arial"/>
          <w:rtl/>
        </w:rPr>
        <w:t xml:space="preserve">, </w:t>
      </w:r>
      <w:r>
        <w:rPr>
          <w:rFonts w:cs="Arial" w:hint="cs"/>
          <w:rtl/>
        </w:rPr>
        <w:t>כשר</w:t>
      </w:r>
      <w:r>
        <w:rPr>
          <w:rStyle w:val="a7"/>
          <w:rFonts w:cs="Arial"/>
          <w:rtl/>
        </w:rPr>
        <w:footnoteReference w:id="884"/>
      </w:r>
      <w:r>
        <w:rPr>
          <w:rFonts w:cs="Arial"/>
          <w:rtl/>
        </w:rPr>
        <w:t xml:space="preserve">. </w:t>
      </w:r>
    </w:p>
    <w:p w14:paraId="264E5460" w14:textId="77777777" w:rsidR="00FA2119" w:rsidRDefault="00FA2119" w:rsidP="00FA2119">
      <w:pPr>
        <w:rPr>
          <w:rtl/>
        </w:rPr>
      </w:pPr>
    </w:p>
    <w:p w14:paraId="2607B088" w14:textId="77777777" w:rsidR="00FA2119" w:rsidRDefault="00FA2119" w:rsidP="00FA2119">
      <w:pPr>
        <w:pStyle w:val="2"/>
        <w:rPr>
          <w:rtl/>
        </w:rPr>
      </w:pPr>
      <w:r>
        <w:rPr>
          <w:rFonts w:hint="cs"/>
          <w:rtl/>
        </w:rPr>
        <w:lastRenderedPageBreak/>
        <w:t>סעיף</w:t>
      </w:r>
      <w:r>
        <w:rPr>
          <w:rtl/>
        </w:rPr>
        <w:t xml:space="preserve"> </w:t>
      </w:r>
      <w:r>
        <w:rPr>
          <w:rFonts w:hint="cs"/>
          <w:rtl/>
        </w:rPr>
        <w:t>ד: השולח גט ממקום למקום.</w:t>
      </w:r>
    </w:p>
    <w:p w14:paraId="100C1A17" w14:textId="77777777" w:rsidR="00FA2119" w:rsidRDefault="00FA2119" w:rsidP="00FA2119">
      <w:pPr>
        <w:rPr>
          <w:rFonts w:cs="Arial"/>
          <w:rtl/>
        </w:rPr>
      </w:pPr>
      <w:r w:rsidRPr="00837E79">
        <w:rPr>
          <w:rFonts w:hint="cs"/>
          <w:b/>
          <w:bCs/>
          <w:rtl/>
        </w:rPr>
        <w:t xml:space="preserve">גיטין </w:t>
      </w:r>
      <w:r w:rsidRPr="00837E79">
        <w:rPr>
          <w:rFonts w:hint="cs"/>
          <w:b/>
          <w:bCs/>
          <w:sz w:val="16"/>
          <w:szCs w:val="16"/>
          <w:rtl/>
        </w:rPr>
        <w:t xml:space="preserve">(פ"ב) </w:t>
      </w:r>
      <w:r w:rsidRPr="00837E79">
        <w:rPr>
          <w:rFonts w:hint="cs"/>
          <w:b/>
          <w:bCs/>
          <w:rtl/>
        </w:rPr>
        <w:t>יז ע"א</w:t>
      </w:r>
      <w:r>
        <w:rPr>
          <w:rFonts w:hint="cs"/>
          <w:b/>
          <w:bCs/>
          <w:rtl/>
        </w:rPr>
        <w:t>:</w:t>
      </w:r>
      <w:r w:rsidRPr="001A4158">
        <w:rPr>
          <w:rFonts w:cs="Arial"/>
          <w:rtl/>
        </w:rPr>
        <w:t xml:space="preserve"> </w:t>
      </w:r>
      <w:r w:rsidRPr="001A4158">
        <w:rPr>
          <w:rFonts w:cs="Arial"/>
          <w:u w:val="single"/>
          <w:rtl/>
        </w:rPr>
        <w:t>אמר ליה רבינא לרב אשי</w:t>
      </w:r>
      <w:r w:rsidRPr="001A4158">
        <w:rPr>
          <w:rFonts w:cs="Arial"/>
          <w:rtl/>
        </w:rPr>
        <w:t xml:space="preserve">: גיטין הבאים ממדינת הים, דמיכתבי בניסן ולא מטו עד תשרי, מה הועילו חכמים בתקנתם? </w:t>
      </w:r>
      <w:r w:rsidRPr="001A4158">
        <w:rPr>
          <w:rFonts w:cs="Arial"/>
          <w:u w:val="single"/>
          <w:rtl/>
        </w:rPr>
        <w:t>אמר ליה</w:t>
      </w:r>
      <w:r w:rsidRPr="001A4158">
        <w:rPr>
          <w:rFonts w:cs="Arial"/>
          <w:rtl/>
        </w:rPr>
        <w:t>: הנהו קלא אית להו</w:t>
      </w:r>
      <w:r>
        <w:rPr>
          <w:rStyle w:val="a7"/>
          <w:rFonts w:cs="Arial"/>
          <w:rtl/>
        </w:rPr>
        <w:footnoteReference w:id="885"/>
      </w:r>
      <w:r w:rsidRPr="001A4158">
        <w:rPr>
          <w:rFonts w:cs="Arial"/>
          <w:rtl/>
        </w:rPr>
        <w:t xml:space="preserve">. </w:t>
      </w:r>
    </w:p>
    <w:p w14:paraId="3B519F2D" w14:textId="77777777" w:rsidR="00FA2119" w:rsidRPr="00E74DB4" w:rsidRDefault="00FA2119" w:rsidP="00FA2119">
      <w:pPr>
        <w:rPr>
          <w:u w:val="single"/>
          <w:rtl/>
        </w:rPr>
      </w:pPr>
      <w:r w:rsidRPr="00E74DB4">
        <w:rPr>
          <w:rFonts w:hint="cs"/>
          <w:u w:val="single"/>
          <w:rtl/>
        </w:rPr>
        <w:t>השולח גט ממקום למקום:</w:t>
      </w:r>
    </w:p>
    <w:p w14:paraId="45544B60" w14:textId="4BB3676A" w:rsidR="00FA2119" w:rsidRDefault="00FA2119" w:rsidP="00FA2119">
      <w:pPr>
        <w:pStyle w:val="ab"/>
        <w:numPr>
          <w:ilvl w:val="0"/>
          <w:numId w:val="15"/>
        </w:numPr>
      </w:pPr>
      <w:r>
        <w:rPr>
          <w:rFonts w:hint="cs"/>
          <w:rtl/>
        </w:rPr>
        <w:t>טור</w:t>
      </w:r>
      <w:r w:rsidR="00A82951">
        <w:rPr>
          <w:rFonts w:hint="cs"/>
          <w:rtl/>
        </w:rPr>
        <w:t>-</w:t>
      </w:r>
      <w:r>
        <w:rPr>
          <w:rFonts w:cs="Arial" w:hint="cs"/>
          <w:rtl/>
        </w:rPr>
        <w:t xml:space="preserve"> </w:t>
      </w:r>
      <w:r>
        <w:rPr>
          <w:rFonts w:cs="Arial"/>
          <w:rtl/>
        </w:rPr>
        <w:t>השולח גט ממקום למקום</w:t>
      </w:r>
      <w:r>
        <w:rPr>
          <w:rFonts w:cs="Arial" w:hint="cs"/>
          <w:rtl/>
        </w:rPr>
        <w:t>,</w:t>
      </w:r>
      <w:r>
        <w:rPr>
          <w:rFonts w:cs="Arial"/>
          <w:rtl/>
        </w:rPr>
        <w:t xml:space="preserve"> אע</w:t>
      </w:r>
      <w:r>
        <w:rPr>
          <w:rFonts w:cs="Arial" w:hint="cs"/>
          <w:rtl/>
        </w:rPr>
        <w:t>"</w:t>
      </w:r>
      <w:r>
        <w:rPr>
          <w:rFonts w:cs="Arial"/>
          <w:rtl/>
        </w:rPr>
        <w:t>פ שמקדים הזמן</w:t>
      </w:r>
      <w:r>
        <w:rPr>
          <w:rFonts w:cs="Arial" w:hint="cs"/>
          <w:rtl/>
        </w:rPr>
        <w:t>,</w:t>
      </w:r>
      <w:r>
        <w:rPr>
          <w:rFonts w:cs="Arial"/>
          <w:rtl/>
        </w:rPr>
        <w:t xml:space="preserve"> שהרי כתב הזמן מיום הכתיבה שאינו יודע מתי מגיע לידה </w:t>
      </w:r>
      <w:r w:rsidR="00A82951">
        <w:rPr>
          <w:rFonts w:cs="Arial" w:hint="cs"/>
          <w:rtl/>
        </w:rPr>
        <w:t>-</w:t>
      </w:r>
      <w:r>
        <w:rPr>
          <w:rFonts w:cs="Arial" w:hint="cs"/>
          <w:rtl/>
        </w:rPr>
        <w:t xml:space="preserve"> </w:t>
      </w:r>
      <w:r>
        <w:rPr>
          <w:rFonts w:cs="Arial"/>
          <w:rtl/>
        </w:rPr>
        <w:t>כשר כיון דאית ליה קלא</w:t>
      </w:r>
      <w:r>
        <w:rPr>
          <w:rFonts w:cs="Arial" w:hint="cs"/>
          <w:rtl/>
        </w:rPr>
        <w:t>.</w:t>
      </w:r>
      <w:r>
        <w:rPr>
          <w:rFonts w:cs="Arial"/>
          <w:rtl/>
        </w:rPr>
        <w:t xml:space="preserve"> שהקול יוצא בשליחות הגט</w:t>
      </w:r>
      <w:r>
        <w:rPr>
          <w:rFonts w:cs="Arial" w:hint="cs"/>
          <w:rtl/>
        </w:rPr>
        <w:t>,</w:t>
      </w:r>
      <w:r>
        <w:rPr>
          <w:rFonts w:cs="Arial"/>
          <w:rtl/>
        </w:rPr>
        <w:t xml:space="preserve"> וכל אדם יודע שנכתב קודם שנמסר לה</w:t>
      </w:r>
      <w:r>
        <w:rPr>
          <w:rFonts w:cs="Arial" w:hint="cs"/>
          <w:rtl/>
        </w:rPr>
        <w:t>,</w:t>
      </w:r>
      <w:r>
        <w:rPr>
          <w:rFonts w:cs="Arial"/>
          <w:rtl/>
        </w:rPr>
        <w:t xml:space="preserve"> ואם תבא לגבות הפירות שמכר הבעל משלה צריכה להביא ראיה מתי בא הגט לידה</w:t>
      </w:r>
      <w:r>
        <w:rPr>
          <w:rFonts w:cs="Arial" w:hint="cs"/>
          <w:rtl/>
        </w:rPr>
        <w:t>.</w:t>
      </w:r>
      <w:r>
        <w:rPr>
          <w:rFonts w:cs="Arial"/>
          <w:rtl/>
        </w:rPr>
        <w:t xml:space="preserve"> </w:t>
      </w:r>
      <w:r w:rsidRPr="000A1A79">
        <w:rPr>
          <w:rFonts w:hint="cs"/>
          <w:color w:val="E36C0A" w:themeColor="accent6" w:themeShade="BF"/>
          <w:rtl/>
        </w:rPr>
        <w:t>(וכ"פ בשו"ע)</w:t>
      </w:r>
    </w:p>
    <w:p w14:paraId="4DDC8D66"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1294EA2" w14:textId="77777777" w:rsidR="00FA2119" w:rsidRDefault="00FA2119" w:rsidP="00FA2119">
      <w:pPr>
        <w:rPr>
          <w:rtl/>
        </w:rPr>
      </w:pPr>
      <w:r>
        <w:rPr>
          <w:rFonts w:cs="Arial" w:hint="cs"/>
          <w:rtl/>
        </w:rPr>
        <w:t>השולח</w:t>
      </w:r>
      <w:r>
        <w:rPr>
          <w:rFonts w:cs="Arial"/>
          <w:rtl/>
        </w:rPr>
        <w:t xml:space="preserve"> </w:t>
      </w:r>
      <w:r>
        <w:rPr>
          <w:rFonts w:cs="Arial" w:hint="cs"/>
          <w:rtl/>
        </w:rPr>
        <w:t>גט</w:t>
      </w:r>
      <w:r>
        <w:rPr>
          <w:rFonts w:cs="Arial"/>
          <w:rtl/>
        </w:rPr>
        <w:t xml:space="preserve"> </w:t>
      </w:r>
      <w:r>
        <w:rPr>
          <w:rFonts w:cs="Arial" w:hint="cs"/>
          <w:rtl/>
        </w:rPr>
        <w:t>ממקום</w:t>
      </w:r>
      <w:r>
        <w:rPr>
          <w:rFonts w:cs="Arial"/>
          <w:rtl/>
        </w:rPr>
        <w:t xml:space="preserve"> </w:t>
      </w:r>
      <w:r>
        <w:rPr>
          <w:rFonts w:cs="Arial" w:hint="cs"/>
          <w:rtl/>
        </w:rPr>
        <w:t>למקום</w:t>
      </w:r>
      <w:r>
        <w:rPr>
          <w:rFonts w:cs="Arial"/>
          <w:rtl/>
        </w:rPr>
        <w:t xml:space="preserve">, </w:t>
      </w:r>
      <w:r>
        <w:rPr>
          <w:rFonts w:cs="Arial" w:hint="cs"/>
          <w:rtl/>
        </w:rPr>
        <w:t>אף</w:t>
      </w:r>
      <w:r>
        <w:rPr>
          <w:rFonts w:cs="Arial"/>
          <w:rtl/>
        </w:rPr>
        <w:t xml:space="preserve"> </w:t>
      </w:r>
      <w:r>
        <w:rPr>
          <w:rFonts w:cs="Arial" w:hint="cs"/>
          <w:rtl/>
        </w:rPr>
        <w:t>על</w:t>
      </w:r>
      <w:r>
        <w:rPr>
          <w:rFonts w:cs="Arial"/>
          <w:rtl/>
        </w:rPr>
        <w:t xml:space="preserve"> </w:t>
      </w:r>
      <w:r>
        <w:rPr>
          <w:rFonts w:cs="Arial" w:hint="cs"/>
          <w:rtl/>
        </w:rPr>
        <w:t>פי</w:t>
      </w:r>
      <w:r>
        <w:rPr>
          <w:rFonts w:cs="Arial"/>
          <w:rtl/>
        </w:rPr>
        <w:t xml:space="preserve"> </w:t>
      </w:r>
      <w:r>
        <w:rPr>
          <w:rFonts w:cs="Arial" w:hint="cs"/>
          <w:rtl/>
        </w:rPr>
        <w:t>שמקדים</w:t>
      </w:r>
      <w:r>
        <w:rPr>
          <w:rFonts w:cs="Arial"/>
          <w:rtl/>
        </w:rPr>
        <w:t xml:space="preserve"> </w:t>
      </w:r>
      <w:r>
        <w:rPr>
          <w:rFonts w:cs="Arial" w:hint="cs"/>
          <w:rtl/>
        </w:rPr>
        <w:t>הזמן</w:t>
      </w:r>
      <w:r>
        <w:rPr>
          <w:rFonts w:cs="Arial"/>
          <w:rtl/>
        </w:rPr>
        <w:t xml:space="preserve">, </w:t>
      </w:r>
      <w:r>
        <w:rPr>
          <w:rFonts w:cs="Arial" w:hint="cs"/>
          <w:rtl/>
        </w:rPr>
        <w:t>שהרי</w:t>
      </w:r>
      <w:r>
        <w:rPr>
          <w:rFonts w:cs="Arial"/>
          <w:rtl/>
        </w:rPr>
        <w:t xml:space="preserve"> </w:t>
      </w:r>
      <w:r>
        <w:rPr>
          <w:rFonts w:cs="Arial" w:hint="cs"/>
          <w:rtl/>
        </w:rPr>
        <w:t>כותבין</w:t>
      </w:r>
      <w:r>
        <w:rPr>
          <w:rFonts w:cs="Arial"/>
          <w:rtl/>
        </w:rPr>
        <w:t xml:space="preserve"> </w:t>
      </w:r>
      <w:r>
        <w:rPr>
          <w:rFonts w:cs="Arial" w:hint="cs"/>
          <w:rtl/>
        </w:rPr>
        <w:t>הזמן</w:t>
      </w:r>
      <w:r>
        <w:rPr>
          <w:rFonts w:cs="Arial"/>
          <w:rtl/>
        </w:rPr>
        <w:t xml:space="preserve"> </w:t>
      </w:r>
      <w:r>
        <w:rPr>
          <w:rFonts w:cs="Arial" w:hint="cs"/>
          <w:rtl/>
        </w:rPr>
        <w:t>מיום</w:t>
      </w:r>
      <w:r>
        <w:rPr>
          <w:rFonts w:cs="Arial"/>
          <w:rtl/>
        </w:rPr>
        <w:t xml:space="preserve"> </w:t>
      </w:r>
      <w:r>
        <w:rPr>
          <w:rFonts w:cs="Arial" w:hint="cs"/>
          <w:rtl/>
        </w:rPr>
        <w:t>הכתיבה</w:t>
      </w:r>
      <w:r>
        <w:rPr>
          <w:rFonts w:cs="Arial"/>
          <w:rtl/>
        </w:rPr>
        <w:t xml:space="preserve"> </w:t>
      </w:r>
      <w:r>
        <w:rPr>
          <w:rFonts w:cs="Arial" w:hint="cs"/>
          <w:rtl/>
        </w:rPr>
        <w:t>ואינו</w:t>
      </w:r>
      <w:r>
        <w:rPr>
          <w:rFonts w:cs="Arial"/>
          <w:rtl/>
        </w:rPr>
        <w:t xml:space="preserve"> </w:t>
      </w:r>
      <w:r>
        <w:rPr>
          <w:rFonts w:cs="Arial" w:hint="cs"/>
          <w:rtl/>
        </w:rPr>
        <w:t>מגיע</w:t>
      </w:r>
      <w:r>
        <w:rPr>
          <w:rFonts w:cs="Arial"/>
          <w:rtl/>
        </w:rPr>
        <w:t xml:space="preserve"> </w:t>
      </w:r>
      <w:r>
        <w:rPr>
          <w:rFonts w:cs="Arial" w:hint="cs"/>
          <w:rtl/>
        </w:rPr>
        <w:t>לידה</w:t>
      </w:r>
      <w:r>
        <w:rPr>
          <w:rFonts w:cs="Arial"/>
          <w:rtl/>
        </w:rPr>
        <w:t xml:space="preserve"> </w:t>
      </w:r>
      <w:r>
        <w:rPr>
          <w:rFonts w:cs="Arial" w:hint="cs"/>
          <w:rtl/>
        </w:rPr>
        <w:t>עד</w:t>
      </w:r>
      <w:r>
        <w:rPr>
          <w:rFonts w:cs="Arial"/>
          <w:rtl/>
        </w:rPr>
        <w:t xml:space="preserve"> </w:t>
      </w:r>
      <w:r>
        <w:rPr>
          <w:rFonts w:cs="Arial" w:hint="cs"/>
          <w:rtl/>
        </w:rPr>
        <w:t>אחר</w:t>
      </w:r>
      <w:r>
        <w:rPr>
          <w:rFonts w:cs="Arial"/>
          <w:rtl/>
        </w:rPr>
        <w:t xml:space="preserve"> </w:t>
      </w:r>
      <w:r>
        <w:rPr>
          <w:rFonts w:cs="Arial" w:hint="cs"/>
          <w:rtl/>
        </w:rPr>
        <w:t>זמן</w:t>
      </w:r>
      <w:r>
        <w:rPr>
          <w:rFonts w:cs="Arial"/>
          <w:rtl/>
        </w:rPr>
        <w:t xml:space="preserve">, </w:t>
      </w:r>
      <w:r>
        <w:rPr>
          <w:rFonts w:cs="Arial" w:hint="cs"/>
          <w:rtl/>
        </w:rPr>
        <w:t>כשר</w:t>
      </w:r>
      <w:r>
        <w:rPr>
          <w:rFonts w:cs="Arial"/>
          <w:rtl/>
        </w:rPr>
        <w:t xml:space="preserve">, </w:t>
      </w:r>
      <w:r>
        <w:rPr>
          <w:rFonts w:cs="Arial" w:hint="cs"/>
          <w:rtl/>
        </w:rPr>
        <w:t>משום</w:t>
      </w:r>
      <w:r>
        <w:rPr>
          <w:rFonts w:cs="Arial"/>
          <w:rtl/>
        </w:rPr>
        <w:t xml:space="preserve"> </w:t>
      </w:r>
      <w:r>
        <w:rPr>
          <w:rFonts w:cs="Arial" w:hint="cs"/>
          <w:rtl/>
        </w:rPr>
        <w:t>דאית</w:t>
      </w:r>
      <w:r>
        <w:rPr>
          <w:rFonts w:cs="Arial"/>
          <w:rtl/>
        </w:rPr>
        <w:t xml:space="preserve"> </w:t>
      </w:r>
      <w:r>
        <w:rPr>
          <w:rFonts w:cs="Arial" w:hint="cs"/>
          <w:rtl/>
        </w:rPr>
        <w:t>ליה</w:t>
      </w:r>
      <w:r>
        <w:rPr>
          <w:rFonts w:cs="Arial"/>
          <w:rtl/>
        </w:rPr>
        <w:t xml:space="preserve"> </w:t>
      </w:r>
      <w:r>
        <w:rPr>
          <w:rFonts w:cs="Arial" w:hint="cs"/>
          <w:rtl/>
        </w:rPr>
        <w:t>קלא</w:t>
      </w:r>
      <w:r>
        <w:rPr>
          <w:rFonts w:cs="Arial"/>
          <w:rtl/>
        </w:rPr>
        <w:t xml:space="preserve">. </w:t>
      </w:r>
    </w:p>
    <w:p w14:paraId="7DC27B2E" w14:textId="77777777" w:rsidR="00FA2119" w:rsidRDefault="00FA2119" w:rsidP="00FA2119">
      <w:pPr>
        <w:rPr>
          <w:rtl/>
        </w:rPr>
      </w:pPr>
    </w:p>
    <w:p w14:paraId="28FC8F58" w14:textId="77777777" w:rsidR="00FA2119" w:rsidRDefault="00FA2119" w:rsidP="00FA2119">
      <w:pPr>
        <w:pStyle w:val="2"/>
        <w:rPr>
          <w:rtl/>
        </w:rPr>
      </w:pPr>
      <w:r>
        <w:rPr>
          <w:rFonts w:hint="cs"/>
          <w:rtl/>
        </w:rPr>
        <w:t>סעיף</w:t>
      </w:r>
      <w:r>
        <w:rPr>
          <w:rtl/>
        </w:rPr>
        <w:t xml:space="preserve"> </w:t>
      </w:r>
      <w:r>
        <w:rPr>
          <w:rFonts w:hint="cs"/>
          <w:rtl/>
        </w:rPr>
        <w:t>ה: גט שלא נמסר ביום הכתיבה.</w:t>
      </w:r>
    </w:p>
    <w:p w14:paraId="7C13F1B7" w14:textId="6F14EEB2" w:rsidR="00FA2119" w:rsidRPr="006E6599" w:rsidRDefault="00FA2119" w:rsidP="00FA2119">
      <w:pPr>
        <w:rPr>
          <w:rFonts w:cs="Arial"/>
          <w:rtl/>
        </w:rPr>
      </w:pPr>
      <w:r w:rsidRPr="00837E79">
        <w:rPr>
          <w:rFonts w:hint="cs"/>
          <w:b/>
          <w:bCs/>
          <w:rtl/>
        </w:rPr>
        <w:t xml:space="preserve">גיטין </w:t>
      </w:r>
      <w:r w:rsidRPr="00837E79">
        <w:rPr>
          <w:rFonts w:hint="cs"/>
          <w:b/>
          <w:bCs/>
          <w:sz w:val="16"/>
          <w:szCs w:val="16"/>
          <w:rtl/>
        </w:rPr>
        <w:t xml:space="preserve">(פ"ב) </w:t>
      </w:r>
      <w:r w:rsidRPr="00837E79">
        <w:rPr>
          <w:rFonts w:hint="cs"/>
          <w:b/>
          <w:bCs/>
          <w:rtl/>
        </w:rPr>
        <w:t>י</w:t>
      </w:r>
      <w:r w:rsidR="00551693">
        <w:rPr>
          <w:rFonts w:hint="cs"/>
          <w:b/>
          <w:bCs/>
          <w:rtl/>
        </w:rPr>
        <w:t>ח</w:t>
      </w:r>
      <w:r w:rsidRPr="00837E79">
        <w:rPr>
          <w:rFonts w:hint="cs"/>
          <w:b/>
          <w:bCs/>
          <w:rtl/>
        </w:rPr>
        <w:t xml:space="preserve"> ע"א</w:t>
      </w:r>
      <w:r>
        <w:rPr>
          <w:rFonts w:hint="cs"/>
          <w:b/>
          <w:bCs/>
          <w:rtl/>
        </w:rPr>
        <w:t>:</w:t>
      </w:r>
      <w:r w:rsidRPr="001A4158">
        <w:rPr>
          <w:rFonts w:cs="Arial"/>
          <w:rtl/>
        </w:rPr>
        <w:t xml:space="preserve"> </w:t>
      </w:r>
      <w:r w:rsidRPr="001A4158">
        <w:rPr>
          <w:rFonts w:cs="Arial"/>
          <w:u w:val="single"/>
          <w:rtl/>
        </w:rPr>
        <w:t>אמר ליה רבינא לרב אשי</w:t>
      </w:r>
      <w:r w:rsidRPr="001A4158">
        <w:rPr>
          <w:rFonts w:cs="Arial"/>
          <w:rtl/>
        </w:rPr>
        <w:t xml:space="preserve">: גיטין הבאים ממדינת הים, דמיכתבי בניסן ולא מטו עד תשרי, מה הועילו חכמים בתקנתם? </w:t>
      </w:r>
      <w:r w:rsidRPr="001A4158">
        <w:rPr>
          <w:rFonts w:cs="Arial"/>
          <w:u w:val="single"/>
          <w:rtl/>
        </w:rPr>
        <w:t>אמר ליה</w:t>
      </w:r>
      <w:r w:rsidRPr="001A4158">
        <w:rPr>
          <w:rFonts w:cs="Arial"/>
          <w:rtl/>
        </w:rPr>
        <w:t>: הנהו קלא אית להו</w:t>
      </w:r>
      <w:r>
        <w:rPr>
          <w:rStyle w:val="a7"/>
          <w:rFonts w:cs="Arial"/>
          <w:rtl/>
        </w:rPr>
        <w:footnoteReference w:id="886"/>
      </w:r>
      <w:r w:rsidRPr="001A4158">
        <w:rPr>
          <w:rFonts w:cs="Arial"/>
          <w:rtl/>
        </w:rPr>
        <w:t xml:space="preserve">. </w:t>
      </w:r>
    </w:p>
    <w:p w14:paraId="242CF603" w14:textId="328A7312" w:rsidR="00FA2119" w:rsidRPr="00BB32D3" w:rsidRDefault="00FA2119" w:rsidP="00FA2119">
      <w:pPr>
        <w:rPr>
          <w:u w:val="single"/>
          <w:rtl/>
        </w:rPr>
      </w:pPr>
      <w:r w:rsidRPr="00BB32D3">
        <w:rPr>
          <w:rFonts w:hint="cs"/>
          <w:u w:val="single"/>
          <w:rtl/>
        </w:rPr>
        <w:t>גט שלא נמסר ביום כתיבתו</w:t>
      </w:r>
      <w:r>
        <w:rPr>
          <w:rFonts w:hint="cs"/>
          <w:u w:val="single"/>
          <w:rtl/>
        </w:rPr>
        <w:t xml:space="preserve"> </w:t>
      </w:r>
      <w:r w:rsidR="00A82951">
        <w:rPr>
          <w:u w:val="single"/>
          <w:rtl/>
        </w:rPr>
        <w:t>-</w:t>
      </w:r>
      <w:r>
        <w:rPr>
          <w:rFonts w:hint="cs"/>
          <w:u w:val="single"/>
          <w:rtl/>
        </w:rPr>
        <w:t xml:space="preserve"> האם יש תקנה להכשירו</w:t>
      </w:r>
      <w:r w:rsidRPr="00BB32D3">
        <w:rPr>
          <w:rFonts w:hint="cs"/>
          <w:u w:val="single"/>
          <w:rtl/>
        </w:rPr>
        <w:t>:</w:t>
      </w:r>
    </w:p>
    <w:p w14:paraId="6BE6A6BB" w14:textId="2E6D7BE1" w:rsidR="00FA2119" w:rsidRPr="00EF4AB5" w:rsidRDefault="00FA2119" w:rsidP="00FA2119">
      <w:pPr>
        <w:pStyle w:val="ab"/>
        <w:numPr>
          <w:ilvl w:val="0"/>
          <w:numId w:val="15"/>
        </w:numPr>
      </w:pPr>
      <w:r>
        <w:rPr>
          <w:rFonts w:cs="Arial"/>
          <w:rtl/>
        </w:rPr>
        <w:t>ר"י</w:t>
      </w:r>
      <w:r>
        <w:rPr>
          <w:rFonts w:cs="Arial" w:hint="cs"/>
          <w:sz w:val="16"/>
          <w:szCs w:val="16"/>
          <w:rtl/>
        </w:rPr>
        <w:t xml:space="preserve"> (כ"כ הטור בשמו)</w:t>
      </w:r>
      <w:r>
        <w:rPr>
          <w:rFonts w:cs="Arial" w:hint="cs"/>
          <w:rtl/>
        </w:rPr>
        <w:t xml:space="preserve"> ורא"ש</w:t>
      </w:r>
      <w:r>
        <w:rPr>
          <w:rFonts w:cs="Arial" w:hint="cs"/>
          <w:sz w:val="16"/>
          <w:szCs w:val="16"/>
          <w:rtl/>
        </w:rPr>
        <w:t xml:space="preserve"> (כ"כ הטור בשמו</w:t>
      </w:r>
      <w:r w:rsidRPr="00886836">
        <w:rPr>
          <w:rStyle w:val="a7"/>
          <w:rFonts w:cs="Arial"/>
          <w:sz w:val="16"/>
          <w:szCs w:val="16"/>
          <w:rtl/>
        </w:rPr>
        <w:footnoteReference w:id="887"/>
      </w:r>
      <w:r>
        <w:rPr>
          <w:rFonts w:cs="Arial" w:hint="cs"/>
          <w:sz w:val="16"/>
          <w:szCs w:val="16"/>
          <w:rtl/>
        </w:rPr>
        <w:t>)</w:t>
      </w:r>
      <w:r>
        <w:rPr>
          <w:rStyle w:val="a7"/>
          <w:rFonts w:cs="Arial"/>
          <w:rtl/>
        </w:rPr>
        <w:footnoteReference w:id="888"/>
      </w:r>
      <w:r w:rsidR="00A82951">
        <w:rPr>
          <w:rFonts w:cs="Arial" w:hint="cs"/>
          <w:rtl/>
        </w:rPr>
        <w:t>-</w:t>
      </w:r>
      <w:r>
        <w:rPr>
          <w:rFonts w:cs="Arial"/>
          <w:rtl/>
        </w:rPr>
        <w:t xml:space="preserve"> כל גט שלא נמסר ביום הכתיבה אין תקנה להכשירו אלא על ידי שליח שימסרנו לה על ידי שליח</w:t>
      </w:r>
      <w:r>
        <w:rPr>
          <w:rFonts w:cs="Arial" w:hint="cs"/>
          <w:rtl/>
        </w:rPr>
        <w:t>,</w:t>
      </w:r>
      <w:r>
        <w:rPr>
          <w:rFonts w:cs="Arial"/>
          <w:rtl/>
        </w:rPr>
        <w:t xml:space="preserve"> דבהכי אית ליה קלא</w:t>
      </w:r>
      <w:r>
        <w:rPr>
          <w:rFonts w:cs="Arial" w:hint="cs"/>
          <w:rtl/>
        </w:rPr>
        <w:t>.</w:t>
      </w:r>
      <w:r>
        <w:rPr>
          <w:rFonts w:cs="Arial"/>
          <w:rtl/>
        </w:rPr>
        <w:t xml:space="preserve"> כדאמרינן גבי גטין הבאין ממדינת הים אית להו קלא לפי שיש קול להולכת השליח ולביאתו</w:t>
      </w:r>
      <w:r>
        <w:rPr>
          <w:rFonts w:cs="Arial" w:hint="cs"/>
          <w:rtl/>
        </w:rPr>
        <w:t>,</w:t>
      </w:r>
      <w:r>
        <w:rPr>
          <w:rFonts w:cs="Arial"/>
          <w:rtl/>
        </w:rPr>
        <w:t xml:space="preserve"> ומידע ידעי אינשי זמן המסירה</w:t>
      </w:r>
      <w:r>
        <w:rPr>
          <w:rFonts w:cs="Arial" w:hint="cs"/>
          <w:rtl/>
        </w:rPr>
        <w:t>.</w:t>
      </w:r>
      <w:r>
        <w:rPr>
          <w:rFonts w:cs="Arial"/>
          <w:rtl/>
        </w:rPr>
        <w:t xml:space="preserve"> ה"ה נמי בגט שנכתב קודם שנמסר</w:t>
      </w:r>
      <w:r>
        <w:rPr>
          <w:rFonts w:cs="Arial" w:hint="cs"/>
          <w:rtl/>
        </w:rPr>
        <w:t>,</w:t>
      </w:r>
      <w:r>
        <w:rPr>
          <w:rFonts w:cs="Arial"/>
          <w:rtl/>
        </w:rPr>
        <w:t xml:space="preserve"> אע</w:t>
      </w:r>
      <w:r>
        <w:rPr>
          <w:rFonts w:cs="Arial" w:hint="cs"/>
          <w:rtl/>
        </w:rPr>
        <w:t>"</w:t>
      </w:r>
      <w:r>
        <w:rPr>
          <w:rFonts w:cs="Arial"/>
          <w:rtl/>
        </w:rPr>
        <w:t>פ שאם היה מוסרו מידו לידה היה פסול משום דאתיא למיטרף מלקוחות שלא כדין מיום שנכתב</w:t>
      </w:r>
      <w:r>
        <w:rPr>
          <w:rFonts w:cs="Arial" w:hint="cs"/>
          <w:rtl/>
        </w:rPr>
        <w:t>,</w:t>
      </w:r>
      <w:r>
        <w:rPr>
          <w:rFonts w:cs="Arial"/>
          <w:rtl/>
        </w:rPr>
        <w:t xml:space="preserve"> כשנתנו ליד שליח ליתנו לה </w:t>
      </w:r>
      <w:r w:rsidR="00A82951">
        <w:rPr>
          <w:rFonts w:cs="Arial" w:hint="cs"/>
          <w:rtl/>
        </w:rPr>
        <w:t>-</w:t>
      </w:r>
      <w:r>
        <w:rPr>
          <w:rFonts w:cs="Arial" w:hint="cs"/>
          <w:rtl/>
        </w:rPr>
        <w:t xml:space="preserve"> </w:t>
      </w:r>
      <w:r>
        <w:rPr>
          <w:rFonts w:cs="Arial"/>
          <w:rtl/>
        </w:rPr>
        <w:t>אית ליה קלא ולא נפיק מינה חורבה</w:t>
      </w:r>
      <w:r>
        <w:rPr>
          <w:rStyle w:val="a7"/>
          <w:rFonts w:cs="Arial"/>
          <w:rtl/>
        </w:rPr>
        <w:footnoteReference w:id="889"/>
      </w:r>
      <w:r>
        <w:rPr>
          <w:rFonts w:cs="Arial" w:hint="cs"/>
          <w:sz w:val="16"/>
          <w:szCs w:val="16"/>
          <w:rtl/>
        </w:rPr>
        <w:t xml:space="preserve"> (ל' הטור בשם ר"י)</w:t>
      </w:r>
      <w:r>
        <w:rPr>
          <w:rFonts w:cs="Arial" w:hint="cs"/>
          <w:rtl/>
        </w:rPr>
        <w:t>.</w:t>
      </w:r>
      <w:r>
        <w:rPr>
          <w:rFonts w:hint="cs"/>
          <w:rtl/>
        </w:rPr>
        <w:t xml:space="preserve"> </w:t>
      </w:r>
      <w:r w:rsidRPr="00D04D3F">
        <w:rPr>
          <w:rFonts w:hint="cs"/>
          <w:color w:val="E36C0A" w:themeColor="accent6" w:themeShade="BF"/>
          <w:rtl/>
        </w:rPr>
        <w:t>(וכ"פ בשו"ע)</w:t>
      </w:r>
    </w:p>
    <w:p w14:paraId="0A974561" w14:textId="5D4C4A22" w:rsidR="00FA2119" w:rsidRDefault="00FA2119" w:rsidP="00FA2119">
      <w:pPr>
        <w:pStyle w:val="ab"/>
        <w:numPr>
          <w:ilvl w:val="0"/>
          <w:numId w:val="15"/>
        </w:numPr>
        <w:rPr>
          <w:rtl/>
        </w:rPr>
      </w:pPr>
      <w:r w:rsidRPr="00F534EE">
        <w:rPr>
          <w:rFonts w:cs="Arial"/>
          <w:rtl/>
        </w:rPr>
        <w:lastRenderedPageBreak/>
        <w:t xml:space="preserve">רשב"א </w:t>
      </w:r>
      <w:r w:rsidRPr="00F534EE">
        <w:rPr>
          <w:rFonts w:cs="Arial"/>
          <w:sz w:val="16"/>
          <w:szCs w:val="16"/>
          <w:rtl/>
        </w:rPr>
        <w:t>(</w:t>
      </w:r>
      <w:r>
        <w:rPr>
          <w:rFonts w:cs="Arial" w:hint="cs"/>
          <w:sz w:val="16"/>
          <w:szCs w:val="16"/>
          <w:rtl/>
        </w:rPr>
        <w:t>יז:</w:t>
      </w:r>
      <w:r w:rsidRPr="00F534EE">
        <w:rPr>
          <w:rFonts w:cs="Arial"/>
          <w:sz w:val="16"/>
          <w:szCs w:val="16"/>
          <w:rtl/>
        </w:rPr>
        <w:t>)</w:t>
      </w:r>
      <w:r w:rsidR="00A82951">
        <w:rPr>
          <w:rFonts w:hint="cs"/>
          <w:rtl/>
        </w:rPr>
        <w:t>-</w:t>
      </w:r>
      <w:r>
        <w:rPr>
          <w:rFonts w:hint="cs"/>
          <w:rtl/>
        </w:rPr>
        <w:t xml:space="preserve"> </w:t>
      </w:r>
      <w:r w:rsidRPr="009B65A3">
        <w:rPr>
          <w:rFonts w:cs="Arial"/>
          <w:rtl/>
        </w:rPr>
        <w:t>אי איתרמי הכי שלא נמסר ביום כתיבתו</w:t>
      </w:r>
      <w:r w:rsidR="00DB1DBD">
        <w:rPr>
          <w:rFonts w:cs="Arial" w:hint="cs"/>
          <w:rtl/>
        </w:rPr>
        <w:t>,</w:t>
      </w:r>
      <w:r w:rsidRPr="009B65A3">
        <w:rPr>
          <w:rFonts w:cs="Arial"/>
          <w:rtl/>
        </w:rPr>
        <w:t xml:space="preserve"> אין בכך כלום ונותנו לה בפני שנים וקורין אותו והקול יוצא</w:t>
      </w:r>
      <w:r>
        <w:rPr>
          <w:rFonts w:cs="Arial" w:hint="cs"/>
          <w:rtl/>
        </w:rPr>
        <w:t>.</w:t>
      </w:r>
      <w:r w:rsidRPr="009B65A3">
        <w:rPr>
          <w:rFonts w:cs="Arial"/>
          <w:rtl/>
        </w:rPr>
        <w:t xml:space="preserve"> וכשתבא לטרוף אמרי' לה אייתי ראייה אימת מטא גיטא לידה</w:t>
      </w:r>
      <w:r>
        <w:rPr>
          <w:rStyle w:val="a7"/>
          <w:rFonts w:cs="Arial"/>
          <w:rtl/>
        </w:rPr>
        <w:footnoteReference w:id="890"/>
      </w:r>
      <w:r w:rsidRPr="00EF4AB5">
        <w:rPr>
          <w:rFonts w:cs="Arial" w:hint="cs"/>
          <w:rtl/>
        </w:rPr>
        <w:t>.</w:t>
      </w:r>
    </w:p>
    <w:p w14:paraId="684D4E03" w14:textId="77777777" w:rsidR="00FA2119" w:rsidRPr="000A1A79" w:rsidRDefault="00FA2119" w:rsidP="00FA2119">
      <w:pPr>
        <w:rPr>
          <w:u w:val="single"/>
        </w:rPr>
      </w:pPr>
      <w:r w:rsidRPr="000A1A79">
        <w:rPr>
          <w:rFonts w:hint="cs"/>
          <w:u w:val="single"/>
          <w:rtl/>
        </w:rPr>
        <w:t>האם אפשר למנות שליח לגט מוקדם</w:t>
      </w:r>
      <w:r>
        <w:rPr>
          <w:rStyle w:val="a7"/>
          <w:u w:val="single"/>
          <w:rtl/>
        </w:rPr>
        <w:footnoteReference w:id="891"/>
      </w:r>
      <w:r w:rsidRPr="000A1A79">
        <w:rPr>
          <w:rFonts w:hint="cs"/>
          <w:u w:val="single"/>
          <w:rtl/>
        </w:rPr>
        <w:t xml:space="preserve"> כדי שהוא יהיה כשר:</w:t>
      </w:r>
    </w:p>
    <w:p w14:paraId="78B6B6A2" w14:textId="3495C771" w:rsidR="00FA2119" w:rsidRPr="00F534EE" w:rsidRDefault="00FA2119" w:rsidP="00FA2119">
      <w:pPr>
        <w:pStyle w:val="ab"/>
        <w:numPr>
          <w:ilvl w:val="0"/>
          <w:numId w:val="15"/>
        </w:numPr>
      </w:pPr>
      <w:r w:rsidRPr="00F534EE">
        <w:rPr>
          <w:rFonts w:cs="Arial"/>
          <w:rtl/>
        </w:rPr>
        <w:t xml:space="preserve">רשב"א </w:t>
      </w:r>
      <w:r w:rsidRPr="00F534EE">
        <w:rPr>
          <w:rFonts w:cs="Arial"/>
          <w:sz w:val="16"/>
          <w:szCs w:val="16"/>
          <w:rtl/>
        </w:rPr>
        <w:t>(</w:t>
      </w:r>
      <w:r>
        <w:rPr>
          <w:rFonts w:cs="Arial" w:hint="cs"/>
          <w:sz w:val="16"/>
          <w:szCs w:val="16"/>
          <w:rtl/>
        </w:rPr>
        <w:t>יז:</w:t>
      </w:r>
      <w:r w:rsidR="00A82951">
        <w:rPr>
          <w:rFonts w:cs="Arial" w:hint="cs"/>
          <w:sz w:val="16"/>
          <w:szCs w:val="16"/>
          <w:rtl/>
        </w:rPr>
        <w:t>-</w:t>
      </w:r>
      <w:r w:rsidRPr="00F534EE">
        <w:rPr>
          <w:rFonts w:cs="Arial"/>
          <w:sz w:val="16"/>
          <w:szCs w:val="16"/>
          <w:rtl/>
        </w:rPr>
        <w:t>יח.)</w:t>
      </w:r>
      <w:r w:rsidR="00A82951">
        <w:rPr>
          <w:rFonts w:cs="Arial" w:hint="cs"/>
          <w:rtl/>
        </w:rPr>
        <w:t>-</w:t>
      </w:r>
      <w:r>
        <w:rPr>
          <w:rFonts w:cs="Arial" w:hint="cs"/>
          <w:rtl/>
        </w:rPr>
        <w:t xml:space="preserve"> </w:t>
      </w:r>
      <w:r>
        <w:rPr>
          <w:rStyle w:val="a7"/>
          <w:rFonts w:cs="Arial"/>
          <w:rtl/>
        </w:rPr>
        <w:footnoteReference w:id="892"/>
      </w:r>
      <w:r w:rsidRPr="009B65A3">
        <w:rPr>
          <w:rFonts w:cs="Arial"/>
          <w:rtl/>
        </w:rPr>
        <w:t>אף גט מוקדם</w:t>
      </w:r>
      <w:r w:rsidR="00DB1DBD">
        <w:rPr>
          <w:rFonts w:cs="Arial" w:hint="cs"/>
          <w:rtl/>
        </w:rPr>
        <w:t>,</w:t>
      </w:r>
      <w:r w:rsidRPr="009B65A3">
        <w:rPr>
          <w:rFonts w:cs="Arial"/>
          <w:rtl/>
        </w:rPr>
        <w:t xml:space="preserve"> אם נתנו לה ע"י שליח </w:t>
      </w:r>
      <w:r w:rsidR="00DB1DBD">
        <w:rPr>
          <w:rFonts w:cs="Arial" w:hint="cs"/>
          <w:rtl/>
        </w:rPr>
        <w:t xml:space="preserve">- </w:t>
      </w:r>
      <w:r w:rsidRPr="009B65A3">
        <w:rPr>
          <w:rFonts w:cs="Arial"/>
          <w:rtl/>
        </w:rPr>
        <w:t>כשר</w:t>
      </w:r>
      <w:r>
        <w:rPr>
          <w:rStyle w:val="a7"/>
          <w:rFonts w:cs="Arial"/>
          <w:rtl/>
        </w:rPr>
        <w:footnoteReference w:id="893"/>
      </w:r>
      <w:r w:rsidRPr="009B65A3">
        <w:rPr>
          <w:rFonts w:cs="Arial"/>
          <w:rtl/>
        </w:rPr>
        <w:t>.</w:t>
      </w:r>
    </w:p>
    <w:p w14:paraId="14895420" w14:textId="2CF6644A" w:rsidR="00FA2119" w:rsidRPr="0039014B" w:rsidRDefault="00FA2119" w:rsidP="00FA2119">
      <w:pPr>
        <w:pStyle w:val="ab"/>
        <w:numPr>
          <w:ilvl w:val="0"/>
          <w:numId w:val="15"/>
        </w:numPr>
        <w:rPr>
          <w:rtl/>
        </w:rPr>
      </w:pPr>
      <w:r w:rsidRPr="00F534EE">
        <w:rPr>
          <w:rFonts w:cs="Arial"/>
          <w:rtl/>
        </w:rPr>
        <w:t xml:space="preserve">ר"ן </w:t>
      </w:r>
      <w:r w:rsidRPr="00F534EE">
        <w:rPr>
          <w:rFonts w:cs="Arial"/>
          <w:sz w:val="16"/>
          <w:szCs w:val="16"/>
          <w:rtl/>
        </w:rPr>
        <w:t>(ח. ד"ה ודאמרי')</w:t>
      </w:r>
      <w:r w:rsidR="00A82951">
        <w:rPr>
          <w:rFonts w:cs="Arial" w:hint="cs"/>
          <w:rtl/>
        </w:rPr>
        <w:t>-</w:t>
      </w:r>
      <w:r w:rsidRPr="00F534EE">
        <w:rPr>
          <w:rFonts w:cs="Arial"/>
          <w:rtl/>
        </w:rPr>
        <w:t xml:space="preserve"> </w:t>
      </w:r>
      <w:r>
        <w:rPr>
          <w:rStyle w:val="a7"/>
          <w:rFonts w:cs="Arial"/>
          <w:rtl/>
        </w:rPr>
        <w:footnoteReference w:id="894"/>
      </w:r>
      <w:r>
        <w:rPr>
          <w:rFonts w:cs="Arial" w:hint="cs"/>
          <w:rtl/>
        </w:rPr>
        <w:t>דוקא</w:t>
      </w:r>
      <w:r w:rsidRPr="00F534EE">
        <w:rPr>
          <w:rFonts w:cs="Arial"/>
          <w:rtl/>
        </w:rPr>
        <w:t xml:space="preserve"> בגיטין הבאים ממדינת הים סמכינן אקלא</w:t>
      </w:r>
      <w:r w:rsidRPr="00F534EE">
        <w:rPr>
          <w:rFonts w:cs="Arial" w:hint="cs"/>
          <w:rtl/>
        </w:rPr>
        <w:t>,</w:t>
      </w:r>
      <w:r w:rsidRPr="00F534EE">
        <w:rPr>
          <w:rFonts w:cs="Arial"/>
          <w:rtl/>
        </w:rPr>
        <w:t xml:space="preserve"> משום עיגונא</w:t>
      </w:r>
      <w:r w:rsidRPr="00F534EE">
        <w:rPr>
          <w:rFonts w:cs="Arial" w:hint="cs"/>
          <w:rtl/>
        </w:rPr>
        <w:t>,</w:t>
      </w:r>
      <w:r w:rsidRPr="00F534EE">
        <w:rPr>
          <w:rFonts w:cs="Arial"/>
          <w:rtl/>
        </w:rPr>
        <w:t xml:space="preserve"> ודכוותה במשליש גט לאשתו והוא הלך לדרכו</w:t>
      </w:r>
      <w:r>
        <w:rPr>
          <w:rStyle w:val="a7"/>
          <w:rFonts w:cs="Arial"/>
          <w:rtl/>
        </w:rPr>
        <w:footnoteReference w:id="895"/>
      </w:r>
      <w:r w:rsidRPr="00F534EE">
        <w:rPr>
          <w:rFonts w:cs="Arial" w:hint="cs"/>
          <w:rtl/>
        </w:rPr>
        <w:t>.</w:t>
      </w:r>
      <w:r w:rsidRPr="00F534EE">
        <w:rPr>
          <w:rFonts w:cs="Arial"/>
          <w:rtl/>
        </w:rPr>
        <w:t xml:space="preserve"> וזהו שהזקיקו לרש"י (יח. ד"ה המשליש) לכתוב עלה דההיא דהמשליש גט לאשתו שהוא הלך לדרכו</w:t>
      </w:r>
      <w:r>
        <w:rPr>
          <w:rFonts w:cs="Arial" w:hint="cs"/>
          <w:rtl/>
        </w:rPr>
        <w:t>.</w:t>
      </w:r>
      <w:r>
        <w:rPr>
          <w:rFonts w:hint="cs"/>
          <w:rtl/>
        </w:rPr>
        <w:t xml:space="preserve"> </w:t>
      </w:r>
    </w:p>
    <w:p w14:paraId="736CF90F" w14:textId="3903E464" w:rsidR="00FA2119" w:rsidRDefault="00FA2119" w:rsidP="00FA2119">
      <w:pPr>
        <w:rPr>
          <w:rFonts w:cs="Arial"/>
          <w:rtl/>
        </w:rPr>
      </w:pPr>
      <w:r w:rsidRPr="00837E79">
        <w:rPr>
          <w:rFonts w:hint="cs"/>
          <w:b/>
          <w:bCs/>
          <w:rtl/>
        </w:rPr>
        <w:lastRenderedPageBreak/>
        <w:t xml:space="preserve">גיטין </w:t>
      </w:r>
      <w:r w:rsidRPr="00837E79">
        <w:rPr>
          <w:rFonts w:hint="cs"/>
          <w:b/>
          <w:bCs/>
          <w:sz w:val="16"/>
          <w:szCs w:val="16"/>
          <w:rtl/>
        </w:rPr>
        <w:t xml:space="preserve">(פ"ב) </w:t>
      </w:r>
      <w:r w:rsidRPr="00837E79">
        <w:rPr>
          <w:rFonts w:hint="cs"/>
          <w:b/>
          <w:bCs/>
          <w:rtl/>
        </w:rPr>
        <w:t xml:space="preserve">יז ע"א: </w:t>
      </w:r>
      <w:r w:rsidRPr="00E80E94">
        <w:rPr>
          <w:rFonts w:cs="Arial"/>
          <w:rtl/>
        </w:rPr>
        <w:t xml:space="preserve">איתמר: מפני מה תיקנו זמן בגיטין? </w:t>
      </w:r>
      <w:r w:rsidRPr="00E80E94">
        <w:rPr>
          <w:rFonts w:cs="Arial"/>
          <w:u w:val="single"/>
          <w:rtl/>
        </w:rPr>
        <w:t>רבי יוחנן אמר</w:t>
      </w:r>
      <w:r w:rsidRPr="00E80E94">
        <w:rPr>
          <w:rFonts w:cs="Arial"/>
          <w:rtl/>
        </w:rPr>
        <w:t>: משום בת אחותו</w:t>
      </w:r>
      <w:r>
        <w:rPr>
          <w:rStyle w:val="a7"/>
          <w:rFonts w:cs="Arial"/>
          <w:rtl/>
        </w:rPr>
        <w:footnoteReference w:id="896"/>
      </w:r>
      <w:r>
        <w:rPr>
          <w:rFonts w:cs="Arial" w:hint="cs"/>
          <w:rtl/>
        </w:rPr>
        <w:t>.</w:t>
      </w:r>
      <w:r w:rsidRPr="00E80E94">
        <w:rPr>
          <w:rFonts w:cs="Arial"/>
          <w:rtl/>
        </w:rPr>
        <w:t xml:space="preserve"> </w:t>
      </w:r>
      <w:r w:rsidRPr="00E80E94">
        <w:rPr>
          <w:rFonts w:cs="Arial"/>
          <w:u w:val="single"/>
          <w:rtl/>
        </w:rPr>
        <w:t>ריש לקיש אמר</w:t>
      </w:r>
      <w:r w:rsidRPr="00E80E94">
        <w:rPr>
          <w:rFonts w:cs="Arial"/>
          <w:rtl/>
        </w:rPr>
        <w:t>: משום פירות</w:t>
      </w:r>
      <w:r>
        <w:rPr>
          <w:rStyle w:val="a7"/>
          <w:rFonts w:cs="Arial"/>
          <w:rtl/>
        </w:rPr>
        <w:footnoteReference w:id="897"/>
      </w:r>
      <w:r w:rsidRPr="00E80E94">
        <w:rPr>
          <w:rFonts w:cs="Arial"/>
          <w:rtl/>
        </w:rPr>
        <w:t>. ריש לקיש מ"ט לא אמר כרבי יוחנן? אמר לך:</w:t>
      </w:r>
      <w:r w:rsidR="00551693">
        <w:rPr>
          <w:rFonts w:hint="cs"/>
          <w:sz w:val="14"/>
          <w:szCs w:val="14"/>
          <w:rtl/>
        </w:rPr>
        <w:t xml:space="preserve"> (יז:) </w:t>
      </w:r>
      <w:r w:rsidRPr="00E80E94">
        <w:rPr>
          <w:rFonts w:cs="Arial"/>
          <w:rtl/>
        </w:rPr>
        <w:t>זנות לא שכיחא. ורבי יוחנן מאי טעמא לא אמר כריש לקיש? קסבר: יש לבעל פירות עד שעת נתינה</w:t>
      </w:r>
      <w:r>
        <w:rPr>
          <w:rFonts w:cs="Arial" w:hint="cs"/>
          <w:rtl/>
        </w:rPr>
        <w:t>.</w:t>
      </w:r>
      <w:r>
        <w:rPr>
          <w:rFonts w:cs="Arial" w:hint="cs"/>
          <w:sz w:val="16"/>
          <w:szCs w:val="16"/>
          <w:rtl/>
        </w:rPr>
        <w:t xml:space="preserve"> </w:t>
      </w:r>
      <w:r w:rsidRPr="00D04D3F">
        <w:rPr>
          <w:rFonts w:cs="Arial" w:hint="cs"/>
          <w:sz w:val="16"/>
          <w:szCs w:val="16"/>
          <w:rtl/>
        </w:rPr>
        <w:t>(</w:t>
      </w:r>
      <w:r w:rsidRPr="00D04D3F">
        <w:rPr>
          <w:rFonts w:cs="Arial"/>
          <w:sz w:val="16"/>
          <w:szCs w:val="16"/>
          <w:rtl/>
        </w:rPr>
        <w:t xml:space="preserve">ופירש רש"י </w:t>
      </w:r>
      <w:r w:rsidRPr="00D04D3F">
        <w:rPr>
          <w:rFonts w:cs="Arial" w:hint="cs"/>
          <w:sz w:val="16"/>
          <w:szCs w:val="16"/>
          <w:rtl/>
        </w:rPr>
        <w:t xml:space="preserve">(ד"ה </w:t>
      </w:r>
      <w:r w:rsidRPr="00D04D3F">
        <w:rPr>
          <w:rFonts w:cs="Arial"/>
          <w:sz w:val="16"/>
          <w:szCs w:val="16"/>
          <w:rtl/>
        </w:rPr>
        <w:t>עד שעת נתינה</w:t>
      </w:r>
      <w:r w:rsidRPr="00D04D3F">
        <w:rPr>
          <w:rFonts w:cs="Arial" w:hint="cs"/>
          <w:sz w:val="16"/>
          <w:szCs w:val="16"/>
          <w:rtl/>
        </w:rPr>
        <w:t>)</w:t>
      </w:r>
      <w:r w:rsidRPr="00D04D3F">
        <w:rPr>
          <w:rFonts w:cs="Arial"/>
          <w:sz w:val="16"/>
          <w:szCs w:val="16"/>
          <w:rtl/>
        </w:rPr>
        <w:t xml:space="preserve"> הילכך זמן כתיבת גט לא מהני מידי דכי אתיא למטרף בעיא לאתויי סהדי אימת מטא גיטא לידה</w:t>
      </w:r>
      <w:r w:rsidRPr="00D04D3F">
        <w:rPr>
          <w:rFonts w:cs="Arial" w:hint="cs"/>
          <w:sz w:val="16"/>
          <w:szCs w:val="16"/>
          <w:rtl/>
        </w:rPr>
        <w:t>. עכ"ל</w:t>
      </w:r>
      <w:r w:rsidRPr="00D04D3F">
        <w:rPr>
          <w:rFonts w:cs="Arial"/>
          <w:sz w:val="16"/>
          <w:szCs w:val="16"/>
          <w:rtl/>
        </w:rPr>
        <w:t>. והקשו עליו התוספות (ד"ה זנות) מדאמרינן בספ</w:t>
      </w:r>
      <w:r>
        <w:rPr>
          <w:rFonts w:cs="Arial" w:hint="cs"/>
          <w:sz w:val="16"/>
          <w:szCs w:val="16"/>
          <w:rtl/>
        </w:rPr>
        <w:t>"</w:t>
      </w:r>
      <w:r w:rsidRPr="00D04D3F">
        <w:rPr>
          <w:rFonts w:cs="Arial"/>
          <w:sz w:val="16"/>
          <w:szCs w:val="16"/>
          <w:rtl/>
        </w:rPr>
        <w:t>ק דב</w:t>
      </w:r>
      <w:r w:rsidRPr="00D04D3F">
        <w:rPr>
          <w:rFonts w:cs="Arial" w:hint="cs"/>
          <w:sz w:val="16"/>
          <w:szCs w:val="16"/>
          <w:rtl/>
        </w:rPr>
        <w:t>"</w:t>
      </w:r>
      <w:r w:rsidRPr="00D04D3F">
        <w:rPr>
          <w:rFonts w:cs="Arial"/>
          <w:sz w:val="16"/>
          <w:szCs w:val="16"/>
          <w:rtl/>
        </w:rPr>
        <w:t>מ (יט.) מצא גט אשה בשוק בזמן שהבעל מודה יחזיר לאשה</w:t>
      </w:r>
      <w:r>
        <w:rPr>
          <w:rFonts w:cs="Arial" w:hint="cs"/>
          <w:sz w:val="16"/>
          <w:szCs w:val="16"/>
          <w:rtl/>
        </w:rPr>
        <w:t>,</w:t>
      </w:r>
      <w:r w:rsidRPr="00D04D3F">
        <w:rPr>
          <w:rFonts w:cs="Arial"/>
          <w:sz w:val="16"/>
          <w:szCs w:val="16"/>
          <w:rtl/>
        </w:rPr>
        <w:t xml:space="preserve"> ופריך ניחוש דילמא כתב ליתן בניסן ולא נתן עד תשרי וכו'</w:t>
      </w:r>
      <w:r>
        <w:rPr>
          <w:rFonts w:cs="Arial" w:hint="cs"/>
          <w:sz w:val="16"/>
          <w:szCs w:val="16"/>
          <w:rtl/>
        </w:rPr>
        <w:t>,</w:t>
      </w:r>
      <w:r w:rsidRPr="00D04D3F">
        <w:rPr>
          <w:rFonts w:cs="Arial"/>
          <w:sz w:val="16"/>
          <w:szCs w:val="16"/>
          <w:rtl/>
        </w:rPr>
        <w:t xml:space="preserve"> ומשני כי אתיא למיטרף אמרינן לה אייתי ראיה אימת מטא גיטא לידך</w:t>
      </w:r>
      <w:r w:rsidRPr="00D04D3F">
        <w:rPr>
          <w:rFonts w:cs="Arial" w:hint="cs"/>
          <w:sz w:val="16"/>
          <w:szCs w:val="16"/>
          <w:rtl/>
        </w:rPr>
        <w:t>.</w:t>
      </w:r>
      <w:r w:rsidRPr="00D04D3F">
        <w:rPr>
          <w:rFonts w:cs="Arial"/>
          <w:sz w:val="16"/>
          <w:szCs w:val="16"/>
          <w:rtl/>
        </w:rPr>
        <w:t xml:space="preserve"> ואמאי קשה ליה ההיא ברייתא טפי מכל גיטין שבעולם</w:t>
      </w:r>
      <w:r w:rsidRPr="00D04D3F">
        <w:rPr>
          <w:rFonts w:cs="Arial" w:hint="cs"/>
          <w:sz w:val="16"/>
          <w:szCs w:val="16"/>
          <w:rtl/>
        </w:rPr>
        <w:t>?</w:t>
      </w:r>
      <w:r w:rsidRPr="00D04D3F">
        <w:rPr>
          <w:rFonts w:cs="Arial"/>
          <w:sz w:val="16"/>
          <w:szCs w:val="16"/>
          <w:rtl/>
        </w:rPr>
        <w:t xml:space="preserve"> אלא משמע דוקא בגט הנמצא דאיתרע בנפילה הוא דאמרינן אייתי ראיה אימת מטא גיטא לידך אבל בכל גיטין אמרינן מסתמא ביום שנכתב נחתם ונמסר</w:t>
      </w:r>
      <w:r w:rsidRPr="00D04D3F">
        <w:rPr>
          <w:rFonts w:cs="Arial" w:hint="cs"/>
          <w:sz w:val="16"/>
          <w:szCs w:val="16"/>
          <w:rtl/>
        </w:rPr>
        <w:t>.</w:t>
      </w:r>
      <w:r w:rsidRPr="00D04D3F">
        <w:rPr>
          <w:rFonts w:cs="Arial"/>
          <w:sz w:val="16"/>
          <w:szCs w:val="16"/>
          <w:rtl/>
        </w:rPr>
        <w:t xml:space="preserve"> וכן העלו הרא"ש (ס"ד) והרשב"א (יז: ד"ה ור') והר"ן (ח. ד"ה אבל)</w:t>
      </w:r>
      <w:r w:rsidRPr="00D04D3F">
        <w:rPr>
          <w:rFonts w:cs="Arial" w:hint="cs"/>
          <w:sz w:val="16"/>
          <w:szCs w:val="16"/>
          <w:rtl/>
        </w:rPr>
        <w:t>)</w:t>
      </w:r>
    </w:p>
    <w:p w14:paraId="369B9F73" w14:textId="7035ECA4" w:rsidR="00FA2119" w:rsidRPr="004921FB" w:rsidRDefault="00FA2119" w:rsidP="00FA2119">
      <w:pPr>
        <w:rPr>
          <w:rFonts w:cs="Arial"/>
          <w:sz w:val="16"/>
          <w:szCs w:val="16"/>
          <w:rtl/>
        </w:rPr>
      </w:pPr>
      <w:r w:rsidRPr="00EF4AB5">
        <w:rPr>
          <w:rFonts w:hint="cs"/>
          <w:u w:val="single"/>
          <w:rtl/>
        </w:rPr>
        <w:t xml:space="preserve">סתם גט הבא לפנינו </w:t>
      </w:r>
      <w:r w:rsidR="00A82951">
        <w:rPr>
          <w:u w:val="single"/>
          <w:rtl/>
        </w:rPr>
        <w:t>-</w:t>
      </w:r>
      <w:r w:rsidRPr="00EF4AB5">
        <w:rPr>
          <w:rFonts w:hint="cs"/>
          <w:u w:val="single"/>
          <w:rtl/>
        </w:rPr>
        <w:t xml:space="preserve"> האם צריכה להביא ראיה מתי בא לידה:</w:t>
      </w:r>
    </w:p>
    <w:p w14:paraId="0B40C0F1" w14:textId="38E78F0C" w:rsidR="00FA2119" w:rsidRDefault="00FA2119" w:rsidP="00FA2119">
      <w:pPr>
        <w:pStyle w:val="ab"/>
        <w:numPr>
          <w:ilvl w:val="0"/>
          <w:numId w:val="15"/>
        </w:numPr>
        <w:rPr>
          <w:rtl/>
        </w:rPr>
      </w:pPr>
      <w:r>
        <w:rPr>
          <w:rFonts w:cs="Arial" w:hint="cs"/>
          <w:rtl/>
        </w:rPr>
        <w:t xml:space="preserve">תוס' </w:t>
      </w:r>
      <w:r>
        <w:rPr>
          <w:rFonts w:cs="Arial" w:hint="cs"/>
          <w:sz w:val="16"/>
          <w:szCs w:val="16"/>
          <w:rtl/>
        </w:rPr>
        <w:t>(יז</w:t>
      </w:r>
      <w:r w:rsidR="00551693">
        <w:rPr>
          <w:rFonts w:cs="Arial" w:hint="cs"/>
          <w:sz w:val="16"/>
          <w:szCs w:val="16"/>
          <w:rtl/>
        </w:rPr>
        <w:t>:</w:t>
      </w:r>
      <w:r>
        <w:rPr>
          <w:rFonts w:cs="Arial" w:hint="cs"/>
          <w:sz w:val="16"/>
          <w:szCs w:val="16"/>
          <w:rtl/>
        </w:rPr>
        <w:t xml:space="preserve"> ד"ה </w:t>
      </w:r>
      <w:r w:rsidR="00551693">
        <w:rPr>
          <w:rFonts w:cs="Arial" w:hint="cs"/>
          <w:sz w:val="16"/>
          <w:szCs w:val="16"/>
          <w:rtl/>
        </w:rPr>
        <w:t>עד שעת</w:t>
      </w:r>
      <w:r>
        <w:rPr>
          <w:rFonts w:cs="Arial" w:hint="cs"/>
          <w:sz w:val="16"/>
          <w:szCs w:val="16"/>
          <w:rtl/>
        </w:rPr>
        <w:t>)</w:t>
      </w:r>
      <w:r>
        <w:rPr>
          <w:rFonts w:cs="Arial" w:hint="cs"/>
          <w:rtl/>
        </w:rPr>
        <w:t xml:space="preserve"> רשב"א </w:t>
      </w:r>
      <w:r w:rsidRPr="00D04D3F">
        <w:rPr>
          <w:rFonts w:cs="Arial"/>
          <w:sz w:val="16"/>
          <w:szCs w:val="16"/>
          <w:rtl/>
        </w:rPr>
        <w:t xml:space="preserve">(יז:) </w:t>
      </w:r>
      <w:r>
        <w:rPr>
          <w:rFonts w:cs="Arial" w:hint="cs"/>
          <w:rtl/>
        </w:rPr>
        <w:t xml:space="preserve">רא"ש </w:t>
      </w:r>
      <w:r>
        <w:rPr>
          <w:rFonts w:cs="Arial" w:hint="cs"/>
          <w:sz w:val="16"/>
          <w:szCs w:val="16"/>
          <w:rtl/>
        </w:rPr>
        <w:t xml:space="preserve">(ס"ד) </w:t>
      </w:r>
      <w:r>
        <w:rPr>
          <w:rFonts w:cs="Arial" w:hint="cs"/>
          <w:rtl/>
        </w:rPr>
        <w:t>טור ור"ן</w:t>
      </w:r>
      <w:r>
        <w:rPr>
          <w:rFonts w:cs="Arial" w:hint="cs"/>
          <w:sz w:val="16"/>
          <w:szCs w:val="16"/>
          <w:rtl/>
        </w:rPr>
        <w:t xml:space="preserve"> (ח.)</w:t>
      </w:r>
      <w:r w:rsidR="00A82951">
        <w:rPr>
          <w:rFonts w:cs="Arial" w:hint="cs"/>
          <w:rtl/>
        </w:rPr>
        <w:t>-</w:t>
      </w:r>
      <w:r>
        <w:rPr>
          <w:rFonts w:cs="Arial" w:hint="cs"/>
          <w:rtl/>
        </w:rPr>
        <w:t xml:space="preserve"> </w:t>
      </w:r>
      <w:r>
        <w:rPr>
          <w:rFonts w:cs="Arial"/>
          <w:rtl/>
        </w:rPr>
        <w:t>סתם גט הבא לפנינו אנו תולים שביום שנכתב נמסר</w:t>
      </w:r>
      <w:r w:rsidR="00551693">
        <w:rPr>
          <w:rFonts w:cs="Arial" w:hint="cs"/>
          <w:rtl/>
        </w:rPr>
        <w:t>,</w:t>
      </w:r>
      <w:r>
        <w:rPr>
          <w:rFonts w:cs="Arial"/>
          <w:rtl/>
        </w:rPr>
        <w:t xml:space="preserve"> ואינה צריכה להביא ראיה מתי בא לידה</w:t>
      </w:r>
      <w:r w:rsidR="00551693">
        <w:rPr>
          <w:rFonts w:cs="Arial" w:hint="cs"/>
          <w:rtl/>
        </w:rPr>
        <w:t>.</w:t>
      </w:r>
      <w:r>
        <w:rPr>
          <w:rFonts w:cs="Arial"/>
          <w:rtl/>
        </w:rPr>
        <w:t xml:space="preserve"> אבל אם יש בו ריעותא</w:t>
      </w:r>
      <w:r w:rsidR="00551693">
        <w:rPr>
          <w:rFonts w:cs="Arial" w:hint="cs"/>
          <w:rtl/>
        </w:rPr>
        <w:t>,</w:t>
      </w:r>
      <w:r>
        <w:rPr>
          <w:rFonts w:cs="Arial"/>
          <w:rtl/>
        </w:rPr>
        <w:t xml:space="preserve"> כגון שנמצא מושלך</w:t>
      </w:r>
      <w:r w:rsidR="00551693">
        <w:rPr>
          <w:rFonts w:cs="Arial" w:hint="cs"/>
          <w:rtl/>
        </w:rPr>
        <w:t>,</w:t>
      </w:r>
      <w:r>
        <w:rPr>
          <w:rFonts w:cs="Arial"/>
          <w:rtl/>
        </w:rPr>
        <w:t xml:space="preserve"> צריכה להביאה ראיה מתי בא לידה</w:t>
      </w:r>
      <w:r>
        <w:rPr>
          <w:rFonts w:cs="Arial" w:hint="cs"/>
          <w:sz w:val="16"/>
          <w:szCs w:val="16"/>
          <w:rtl/>
        </w:rPr>
        <w:t xml:space="preserve"> (ל' הטור)</w:t>
      </w:r>
      <w:r>
        <w:rPr>
          <w:rFonts w:cs="Arial" w:hint="cs"/>
          <w:rtl/>
        </w:rPr>
        <w:t>.</w:t>
      </w:r>
      <w:r>
        <w:rPr>
          <w:rFonts w:cs="Arial"/>
          <w:rtl/>
        </w:rPr>
        <w:t xml:space="preserve"> </w:t>
      </w:r>
      <w:r w:rsidRPr="00D04D3F">
        <w:rPr>
          <w:rFonts w:hint="cs"/>
          <w:color w:val="00B0F0"/>
          <w:rtl/>
        </w:rPr>
        <w:t>(וכ"פ הרמ"א)</w:t>
      </w:r>
    </w:p>
    <w:p w14:paraId="4E369FF0"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0A2917B" w14:textId="77777777" w:rsidR="00FA2119" w:rsidRDefault="00FA2119" w:rsidP="00FA2119">
      <w:pPr>
        <w:rPr>
          <w:rtl/>
        </w:rPr>
      </w:pPr>
      <w:r>
        <w:rPr>
          <w:rFonts w:cs="Arial" w:hint="cs"/>
          <w:rtl/>
        </w:rPr>
        <w:t>גט</w:t>
      </w:r>
      <w:r>
        <w:rPr>
          <w:rFonts w:cs="Arial"/>
          <w:rtl/>
        </w:rPr>
        <w:t xml:space="preserve"> </w:t>
      </w:r>
      <w:r>
        <w:rPr>
          <w:rFonts w:cs="Arial" w:hint="cs"/>
          <w:rtl/>
        </w:rPr>
        <w:t>שלא</w:t>
      </w:r>
      <w:r>
        <w:rPr>
          <w:rFonts w:cs="Arial"/>
          <w:rtl/>
        </w:rPr>
        <w:t xml:space="preserve"> </w:t>
      </w:r>
      <w:r>
        <w:rPr>
          <w:rFonts w:cs="Arial" w:hint="cs"/>
          <w:rtl/>
        </w:rPr>
        <w:t>נמסר</w:t>
      </w:r>
      <w:r>
        <w:rPr>
          <w:rFonts w:cs="Arial"/>
          <w:rtl/>
        </w:rPr>
        <w:t xml:space="preserve"> </w:t>
      </w:r>
      <w:r>
        <w:rPr>
          <w:rFonts w:cs="Arial" w:hint="cs"/>
          <w:rtl/>
        </w:rPr>
        <w:t>ביום</w:t>
      </w:r>
      <w:r>
        <w:rPr>
          <w:rFonts w:cs="Arial"/>
          <w:rtl/>
        </w:rPr>
        <w:t xml:space="preserve"> </w:t>
      </w:r>
      <w:r>
        <w:rPr>
          <w:rFonts w:cs="Arial" w:hint="cs"/>
          <w:rtl/>
        </w:rPr>
        <w:t>הכתיבה</w:t>
      </w:r>
      <w:r>
        <w:rPr>
          <w:rFonts w:cs="Arial"/>
          <w:rtl/>
        </w:rPr>
        <w:t xml:space="preserve">, </w:t>
      </w:r>
      <w:r>
        <w:rPr>
          <w:rFonts w:cs="Arial" w:hint="cs"/>
          <w:rtl/>
        </w:rPr>
        <w:t>אין</w:t>
      </w:r>
      <w:r>
        <w:rPr>
          <w:rFonts w:cs="Arial"/>
          <w:rtl/>
        </w:rPr>
        <w:t xml:space="preserve"> </w:t>
      </w:r>
      <w:r>
        <w:rPr>
          <w:rFonts w:cs="Arial" w:hint="cs"/>
          <w:rtl/>
        </w:rPr>
        <w:t>תקנה</w:t>
      </w:r>
      <w:r>
        <w:rPr>
          <w:rFonts w:cs="Arial"/>
          <w:rtl/>
        </w:rPr>
        <w:t xml:space="preserve"> </w:t>
      </w:r>
      <w:r>
        <w:rPr>
          <w:rFonts w:cs="Arial" w:hint="cs"/>
          <w:rtl/>
        </w:rPr>
        <w:t>להכשירו</w:t>
      </w:r>
      <w:r>
        <w:rPr>
          <w:rFonts w:cs="Arial"/>
          <w:rtl/>
        </w:rPr>
        <w:t xml:space="preserve">, </w:t>
      </w:r>
      <w:r>
        <w:rPr>
          <w:rFonts w:cs="Arial" w:hint="cs"/>
          <w:rtl/>
        </w:rPr>
        <w:t>אלא</w:t>
      </w:r>
      <w:r>
        <w:rPr>
          <w:rFonts w:cs="Arial"/>
          <w:rtl/>
        </w:rPr>
        <w:t xml:space="preserve"> </w:t>
      </w:r>
      <w:r>
        <w:rPr>
          <w:rFonts w:cs="Arial" w:hint="cs"/>
          <w:rtl/>
        </w:rPr>
        <w:t>שישלחנו</w:t>
      </w:r>
      <w:r>
        <w:rPr>
          <w:rFonts w:cs="Arial"/>
          <w:rtl/>
        </w:rPr>
        <w:t xml:space="preserve"> </w:t>
      </w:r>
      <w:r>
        <w:rPr>
          <w:rFonts w:cs="Arial" w:hint="cs"/>
          <w:rtl/>
        </w:rPr>
        <w:t>לה</w:t>
      </w:r>
      <w:r>
        <w:rPr>
          <w:rFonts w:cs="Arial"/>
          <w:rtl/>
        </w:rPr>
        <w:t xml:space="preserve"> </w:t>
      </w:r>
      <w:r>
        <w:rPr>
          <w:rFonts w:cs="Arial" w:hint="cs"/>
          <w:rtl/>
        </w:rPr>
        <w:t>על ידי</w:t>
      </w:r>
      <w:r>
        <w:rPr>
          <w:rFonts w:cs="Arial"/>
          <w:rtl/>
        </w:rPr>
        <w:t xml:space="preserve"> </w:t>
      </w:r>
      <w:r>
        <w:rPr>
          <w:rFonts w:cs="Arial" w:hint="cs"/>
          <w:rtl/>
        </w:rPr>
        <w:t>שליח</w:t>
      </w:r>
      <w:r>
        <w:rPr>
          <w:rFonts w:cs="Arial"/>
          <w:rtl/>
        </w:rPr>
        <w:t xml:space="preserve">. </w:t>
      </w:r>
      <w:r w:rsidRPr="00902978">
        <w:rPr>
          <w:rFonts w:cs="Arial" w:hint="cs"/>
          <w:sz w:val="18"/>
          <w:szCs w:val="18"/>
          <w:rtl/>
        </w:rPr>
        <w:t>הגה</w:t>
      </w:r>
      <w:r w:rsidRPr="00902978">
        <w:rPr>
          <w:rFonts w:cs="Arial"/>
          <w:sz w:val="18"/>
          <w:szCs w:val="18"/>
          <w:rtl/>
        </w:rPr>
        <w:t xml:space="preserve">: </w:t>
      </w:r>
      <w:r w:rsidRPr="00902978">
        <w:rPr>
          <w:rFonts w:cs="Arial" w:hint="cs"/>
          <w:sz w:val="18"/>
          <w:szCs w:val="18"/>
          <w:rtl/>
        </w:rPr>
        <w:t>מיהו</w:t>
      </w:r>
      <w:r w:rsidRPr="00902978">
        <w:rPr>
          <w:rFonts w:cs="Arial"/>
          <w:sz w:val="18"/>
          <w:szCs w:val="18"/>
          <w:rtl/>
        </w:rPr>
        <w:t xml:space="preserve"> </w:t>
      </w:r>
      <w:r w:rsidRPr="00902978">
        <w:rPr>
          <w:rFonts w:cs="Arial" w:hint="cs"/>
          <w:sz w:val="18"/>
          <w:szCs w:val="18"/>
          <w:rtl/>
        </w:rPr>
        <w:t>נהגו</w:t>
      </w:r>
      <w:r w:rsidRPr="00902978">
        <w:rPr>
          <w:rFonts w:cs="Arial"/>
          <w:sz w:val="18"/>
          <w:szCs w:val="18"/>
          <w:rtl/>
        </w:rPr>
        <w:t xml:space="preserve"> </w:t>
      </w:r>
      <w:r w:rsidRPr="00902978">
        <w:rPr>
          <w:rFonts w:cs="Arial" w:hint="cs"/>
          <w:sz w:val="18"/>
          <w:szCs w:val="18"/>
          <w:rtl/>
        </w:rPr>
        <w:t>להחמיר</w:t>
      </w:r>
      <w:r w:rsidRPr="00902978">
        <w:rPr>
          <w:rFonts w:cs="Arial"/>
          <w:sz w:val="18"/>
          <w:szCs w:val="18"/>
          <w:rtl/>
        </w:rPr>
        <w:t xml:space="preserve"> </w:t>
      </w:r>
      <w:r w:rsidRPr="00902978">
        <w:rPr>
          <w:rFonts w:cs="Arial" w:hint="cs"/>
          <w:sz w:val="18"/>
          <w:szCs w:val="18"/>
          <w:rtl/>
        </w:rPr>
        <w:t>ולכתוב</w:t>
      </w:r>
      <w:r w:rsidRPr="00902978">
        <w:rPr>
          <w:rFonts w:cs="Arial"/>
          <w:sz w:val="18"/>
          <w:szCs w:val="18"/>
          <w:rtl/>
        </w:rPr>
        <w:t xml:space="preserve"> </w:t>
      </w:r>
      <w:r w:rsidRPr="00902978">
        <w:rPr>
          <w:rFonts w:cs="Arial" w:hint="cs"/>
          <w:sz w:val="18"/>
          <w:szCs w:val="18"/>
          <w:rtl/>
        </w:rPr>
        <w:t>אחר</w:t>
      </w:r>
      <w:r>
        <w:rPr>
          <w:rStyle w:val="a7"/>
          <w:rFonts w:cs="Arial"/>
          <w:sz w:val="18"/>
          <w:szCs w:val="18"/>
          <w:rtl/>
        </w:rPr>
        <w:footnoteReference w:id="898"/>
      </w:r>
      <w:r w:rsidRPr="00902978">
        <w:rPr>
          <w:rFonts w:cs="Arial"/>
          <w:sz w:val="18"/>
          <w:szCs w:val="18"/>
          <w:rtl/>
        </w:rPr>
        <w:t xml:space="preserve"> (</w:t>
      </w:r>
      <w:r>
        <w:rPr>
          <w:rFonts w:cs="Arial" w:hint="cs"/>
          <w:sz w:val="18"/>
          <w:szCs w:val="18"/>
          <w:rtl/>
        </w:rPr>
        <w:t>ר"פ [בהג' סמ"ק מצוה קפד הערה יא]</w:t>
      </w:r>
      <w:r w:rsidRPr="00902978">
        <w:rPr>
          <w:rFonts w:cs="Arial"/>
          <w:sz w:val="18"/>
          <w:szCs w:val="18"/>
          <w:rtl/>
        </w:rPr>
        <w:t xml:space="preserve">). </w:t>
      </w:r>
      <w:r w:rsidRPr="00902978">
        <w:rPr>
          <w:rFonts w:cs="Arial" w:hint="cs"/>
          <w:sz w:val="18"/>
          <w:szCs w:val="18"/>
          <w:rtl/>
        </w:rPr>
        <w:t>וסתם</w:t>
      </w:r>
      <w:r w:rsidRPr="00902978">
        <w:rPr>
          <w:rFonts w:cs="Arial"/>
          <w:sz w:val="18"/>
          <w:szCs w:val="18"/>
          <w:rtl/>
        </w:rPr>
        <w:t xml:space="preserve"> </w:t>
      </w:r>
      <w:r w:rsidRPr="00902978">
        <w:rPr>
          <w:rFonts w:cs="Arial" w:hint="cs"/>
          <w:sz w:val="18"/>
          <w:szCs w:val="18"/>
          <w:rtl/>
        </w:rPr>
        <w:t>גט</w:t>
      </w:r>
      <w:r w:rsidRPr="00902978">
        <w:rPr>
          <w:rFonts w:cs="Arial"/>
          <w:sz w:val="18"/>
          <w:szCs w:val="18"/>
          <w:rtl/>
        </w:rPr>
        <w:t xml:space="preserve"> </w:t>
      </w:r>
      <w:r w:rsidRPr="00902978">
        <w:rPr>
          <w:rFonts w:cs="Arial" w:hint="cs"/>
          <w:sz w:val="18"/>
          <w:szCs w:val="18"/>
          <w:rtl/>
        </w:rPr>
        <w:t>שיצא</w:t>
      </w:r>
      <w:r w:rsidRPr="00902978">
        <w:rPr>
          <w:rFonts w:cs="Arial"/>
          <w:sz w:val="18"/>
          <w:szCs w:val="18"/>
          <w:rtl/>
        </w:rPr>
        <w:t xml:space="preserve"> </w:t>
      </w:r>
      <w:r w:rsidRPr="00902978">
        <w:rPr>
          <w:rFonts w:cs="Arial" w:hint="cs"/>
          <w:sz w:val="18"/>
          <w:szCs w:val="18"/>
          <w:rtl/>
        </w:rPr>
        <w:t>מיד</w:t>
      </w:r>
      <w:r w:rsidRPr="00902978">
        <w:rPr>
          <w:rFonts w:cs="Arial"/>
          <w:sz w:val="18"/>
          <w:szCs w:val="18"/>
          <w:rtl/>
        </w:rPr>
        <w:t xml:space="preserve"> </w:t>
      </w:r>
      <w:r w:rsidRPr="00902978">
        <w:rPr>
          <w:rFonts w:cs="Arial" w:hint="cs"/>
          <w:sz w:val="18"/>
          <w:szCs w:val="18"/>
          <w:rtl/>
        </w:rPr>
        <w:t>אשה</w:t>
      </w:r>
      <w:r w:rsidRPr="00902978">
        <w:rPr>
          <w:rFonts w:cs="Arial"/>
          <w:sz w:val="18"/>
          <w:szCs w:val="18"/>
          <w:rtl/>
        </w:rPr>
        <w:t xml:space="preserve">, </w:t>
      </w:r>
      <w:r w:rsidRPr="00902978">
        <w:rPr>
          <w:rFonts w:cs="Arial" w:hint="cs"/>
          <w:sz w:val="18"/>
          <w:szCs w:val="18"/>
          <w:rtl/>
        </w:rPr>
        <w:t>אמרינן</w:t>
      </w:r>
      <w:r w:rsidRPr="00902978">
        <w:rPr>
          <w:rFonts w:cs="Arial"/>
          <w:sz w:val="18"/>
          <w:szCs w:val="18"/>
          <w:rtl/>
        </w:rPr>
        <w:t xml:space="preserve"> </w:t>
      </w:r>
      <w:r w:rsidRPr="00902978">
        <w:rPr>
          <w:rFonts w:cs="Arial" w:hint="cs"/>
          <w:sz w:val="18"/>
          <w:szCs w:val="18"/>
          <w:rtl/>
        </w:rPr>
        <w:t>שנמסר</w:t>
      </w:r>
      <w:r w:rsidRPr="00902978">
        <w:rPr>
          <w:rFonts w:cs="Arial"/>
          <w:sz w:val="18"/>
          <w:szCs w:val="18"/>
          <w:rtl/>
        </w:rPr>
        <w:t xml:space="preserve"> </w:t>
      </w:r>
      <w:r w:rsidRPr="00902978">
        <w:rPr>
          <w:rFonts w:cs="Arial" w:hint="cs"/>
          <w:sz w:val="18"/>
          <w:szCs w:val="18"/>
          <w:rtl/>
        </w:rPr>
        <w:t>ביום</w:t>
      </w:r>
      <w:r w:rsidRPr="00902978">
        <w:rPr>
          <w:rFonts w:cs="Arial"/>
          <w:sz w:val="18"/>
          <w:szCs w:val="18"/>
          <w:rtl/>
        </w:rPr>
        <w:t xml:space="preserve"> </w:t>
      </w:r>
      <w:r w:rsidRPr="00902978">
        <w:rPr>
          <w:rFonts w:cs="Arial" w:hint="cs"/>
          <w:sz w:val="18"/>
          <w:szCs w:val="18"/>
          <w:rtl/>
        </w:rPr>
        <w:t>שנכתב</w:t>
      </w:r>
      <w:r w:rsidRPr="00902978">
        <w:rPr>
          <w:rFonts w:cs="Arial"/>
          <w:sz w:val="18"/>
          <w:szCs w:val="18"/>
          <w:rtl/>
        </w:rPr>
        <w:t xml:space="preserve">, </w:t>
      </w:r>
      <w:r w:rsidRPr="00902978">
        <w:rPr>
          <w:rFonts w:cs="Arial" w:hint="cs"/>
          <w:sz w:val="18"/>
          <w:szCs w:val="18"/>
          <w:rtl/>
        </w:rPr>
        <w:t>ואינה</w:t>
      </w:r>
      <w:r w:rsidRPr="00902978">
        <w:rPr>
          <w:rFonts w:cs="Arial"/>
          <w:sz w:val="18"/>
          <w:szCs w:val="18"/>
          <w:rtl/>
        </w:rPr>
        <w:t xml:space="preserve"> </w:t>
      </w:r>
      <w:r w:rsidRPr="00902978">
        <w:rPr>
          <w:rFonts w:cs="Arial" w:hint="cs"/>
          <w:sz w:val="18"/>
          <w:szCs w:val="18"/>
          <w:rtl/>
        </w:rPr>
        <w:t>צריכה</w:t>
      </w:r>
      <w:r w:rsidRPr="00902978">
        <w:rPr>
          <w:rFonts w:cs="Arial"/>
          <w:sz w:val="18"/>
          <w:szCs w:val="18"/>
          <w:rtl/>
        </w:rPr>
        <w:t xml:space="preserve"> </w:t>
      </w:r>
      <w:r w:rsidRPr="00902978">
        <w:rPr>
          <w:rFonts w:cs="Arial" w:hint="cs"/>
          <w:sz w:val="18"/>
          <w:szCs w:val="18"/>
          <w:rtl/>
        </w:rPr>
        <w:t>ראיה</w:t>
      </w:r>
      <w:r w:rsidRPr="00902978">
        <w:rPr>
          <w:rFonts w:cs="Arial"/>
          <w:sz w:val="18"/>
          <w:szCs w:val="18"/>
          <w:rtl/>
        </w:rPr>
        <w:t xml:space="preserve">, </w:t>
      </w:r>
      <w:r w:rsidRPr="00902978">
        <w:rPr>
          <w:rFonts w:cs="Arial" w:hint="cs"/>
          <w:sz w:val="18"/>
          <w:szCs w:val="18"/>
          <w:rtl/>
        </w:rPr>
        <w:t>אא</w:t>
      </w:r>
      <w:r w:rsidRPr="00902978">
        <w:rPr>
          <w:rFonts w:cs="Arial"/>
          <w:sz w:val="18"/>
          <w:szCs w:val="18"/>
          <w:rtl/>
        </w:rPr>
        <w:t>"</w:t>
      </w:r>
      <w:r w:rsidRPr="00902978">
        <w:rPr>
          <w:rFonts w:cs="Arial" w:hint="cs"/>
          <w:sz w:val="18"/>
          <w:szCs w:val="18"/>
          <w:rtl/>
        </w:rPr>
        <w:t>כ</w:t>
      </w:r>
      <w:r w:rsidRPr="00902978">
        <w:rPr>
          <w:rFonts w:cs="Arial"/>
          <w:sz w:val="18"/>
          <w:szCs w:val="18"/>
          <w:rtl/>
        </w:rPr>
        <w:t xml:space="preserve"> </w:t>
      </w:r>
      <w:r w:rsidRPr="00902978">
        <w:rPr>
          <w:rFonts w:cs="Arial" w:hint="cs"/>
          <w:sz w:val="18"/>
          <w:szCs w:val="18"/>
          <w:rtl/>
        </w:rPr>
        <w:t>היה</w:t>
      </w:r>
      <w:r w:rsidRPr="00902978">
        <w:rPr>
          <w:rFonts w:cs="Arial"/>
          <w:sz w:val="18"/>
          <w:szCs w:val="18"/>
          <w:rtl/>
        </w:rPr>
        <w:t xml:space="preserve"> </w:t>
      </w:r>
      <w:r w:rsidRPr="00902978">
        <w:rPr>
          <w:rFonts w:cs="Arial" w:hint="cs"/>
          <w:sz w:val="18"/>
          <w:szCs w:val="18"/>
          <w:rtl/>
        </w:rPr>
        <w:t>בו</w:t>
      </w:r>
      <w:r w:rsidRPr="00902978">
        <w:rPr>
          <w:rFonts w:cs="Arial"/>
          <w:sz w:val="18"/>
          <w:szCs w:val="18"/>
          <w:rtl/>
        </w:rPr>
        <w:t xml:space="preserve"> </w:t>
      </w:r>
      <w:r w:rsidRPr="00902978">
        <w:rPr>
          <w:rFonts w:cs="Arial" w:hint="cs"/>
          <w:sz w:val="18"/>
          <w:szCs w:val="18"/>
          <w:rtl/>
        </w:rPr>
        <w:t>רעותא</w:t>
      </w:r>
      <w:r w:rsidRPr="00902978">
        <w:rPr>
          <w:rFonts w:cs="Arial"/>
          <w:sz w:val="18"/>
          <w:szCs w:val="18"/>
          <w:rtl/>
        </w:rPr>
        <w:t xml:space="preserve"> </w:t>
      </w:r>
      <w:r w:rsidRPr="00902978">
        <w:rPr>
          <w:rFonts w:cs="Arial" w:hint="cs"/>
          <w:sz w:val="18"/>
          <w:szCs w:val="18"/>
          <w:rtl/>
        </w:rPr>
        <w:t>כגון</w:t>
      </w:r>
      <w:r w:rsidRPr="00902978">
        <w:rPr>
          <w:rFonts w:cs="Arial"/>
          <w:sz w:val="18"/>
          <w:szCs w:val="18"/>
          <w:rtl/>
        </w:rPr>
        <w:t xml:space="preserve"> </w:t>
      </w:r>
      <w:r w:rsidRPr="00902978">
        <w:rPr>
          <w:rFonts w:cs="Arial" w:hint="cs"/>
          <w:sz w:val="18"/>
          <w:szCs w:val="18"/>
          <w:rtl/>
        </w:rPr>
        <w:t>שהיה</w:t>
      </w:r>
      <w:r w:rsidRPr="00902978">
        <w:rPr>
          <w:rFonts w:cs="Arial"/>
          <w:sz w:val="18"/>
          <w:szCs w:val="18"/>
          <w:rtl/>
        </w:rPr>
        <w:t xml:space="preserve"> </w:t>
      </w:r>
      <w:r w:rsidRPr="00902978">
        <w:rPr>
          <w:rFonts w:cs="Arial" w:hint="cs"/>
          <w:sz w:val="18"/>
          <w:szCs w:val="18"/>
          <w:rtl/>
        </w:rPr>
        <w:t>מושלך</w:t>
      </w:r>
      <w:r w:rsidRPr="00902978">
        <w:rPr>
          <w:rFonts w:cs="Arial"/>
          <w:sz w:val="18"/>
          <w:szCs w:val="18"/>
          <w:rtl/>
        </w:rPr>
        <w:t xml:space="preserve"> (</w:t>
      </w:r>
      <w:r w:rsidRPr="00902978">
        <w:rPr>
          <w:rFonts w:cs="Arial" w:hint="cs"/>
          <w:sz w:val="18"/>
          <w:szCs w:val="18"/>
          <w:rtl/>
        </w:rPr>
        <w:t>טור</w:t>
      </w:r>
      <w:r w:rsidRPr="00902978">
        <w:rPr>
          <w:rFonts w:cs="Arial"/>
          <w:sz w:val="18"/>
          <w:szCs w:val="18"/>
          <w:rtl/>
        </w:rPr>
        <w:t xml:space="preserve"> </w:t>
      </w:r>
      <w:r w:rsidRPr="00902978">
        <w:rPr>
          <w:rFonts w:cs="Arial" w:hint="cs"/>
          <w:sz w:val="18"/>
          <w:szCs w:val="18"/>
          <w:rtl/>
        </w:rPr>
        <w:t>תוס</w:t>
      </w:r>
      <w:r>
        <w:rPr>
          <w:rFonts w:cs="Arial" w:hint="cs"/>
          <w:sz w:val="18"/>
          <w:szCs w:val="18"/>
          <w:rtl/>
        </w:rPr>
        <w:t>'</w:t>
      </w:r>
      <w:r w:rsidRPr="00902978">
        <w:rPr>
          <w:rFonts w:cs="Arial"/>
          <w:sz w:val="18"/>
          <w:szCs w:val="18"/>
          <w:rtl/>
        </w:rPr>
        <w:t xml:space="preserve"> </w:t>
      </w:r>
      <w:r w:rsidRPr="00902978">
        <w:rPr>
          <w:rFonts w:cs="Arial" w:hint="cs"/>
          <w:sz w:val="18"/>
          <w:szCs w:val="18"/>
          <w:rtl/>
        </w:rPr>
        <w:t>ורא</w:t>
      </w:r>
      <w:r w:rsidRPr="00902978">
        <w:rPr>
          <w:rFonts w:cs="Arial"/>
          <w:sz w:val="18"/>
          <w:szCs w:val="18"/>
          <w:rtl/>
        </w:rPr>
        <w:t>"</w:t>
      </w:r>
      <w:r w:rsidRPr="00902978">
        <w:rPr>
          <w:rFonts w:cs="Arial" w:hint="cs"/>
          <w:sz w:val="18"/>
          <w:szCs w:val="18"/>
          <w:rtl/>
        </w:rPr>
        <w:t>ש</w:t>
      </w:r>
      <w:r w:rsidRPr="00902978">
        <w:rPr>
          <w:rFonts w:cs="Arial"/>
          <w:sz w:val="18"/>
          <w:szCs w:val="18"/>
          <w:rtl/>
        </w:rPr>
        <w:t>).</w:t>
      </w:r>
      <w:r>
        <w:rPr>
          <w:rFonts w:cs="Arial"/>
          <w:rtl/>
        </w:rPr>
        <w:t xml:space="preserve"> </w:t>
      </w:r>
    </w:p>
    <w:p w14:paraId="1F47ECE0" w14:textId="77777777" w:rsidR="00551693" w:rsidRPr="00752C20" w:rsidRDefault="00551693" w:rsidP="00551693">
      <w:pPr>
        <w:rPr>
          <w:u w:val="single"/>
          <w:rtl/>
        </w:rPr>
      </w:pPr>
      <w:r w:rsidRPr="00752C20">
        <w:rPr>
          <w:rFonts w:hint="cs"/>
          <w:u w:val="single"/>
          <w:rtl/>
        </w:rPr>
        <w:t xml:space="preserve">בעל שהביא בעצמו את הגט ממדינת הים </w:t>
      </w:r>
      <w:r>
        <w:rPr>
          <w:u w:val="single"/>
          <w:rtl/>
        </w:rPr>
        <w:t>-</w:t>
      </w:r>
      <w:r w:rsidRPr="00752C20">
        <w:rPr>
          <w:rFonts w:hint="cs"/>
          <w:u w:val="single"/>
          <w:rtl/>
        </w:rPr>
        <w:t xml:space="preserve"> האם יכול ליתנו לאשתו אע"ג שעברו מספר ימים: </w:t>
      </w:r>
    </w:p>
    <w:p w14:paraId="25571229" w14:textId="18607EFF" w:rsidR="00551693" w:rsidRDefault="00551693" w:rsidP="00551693">
      <w:pPr>
        <w:pStyle w:val="ab"/>
        <w:numPr>
          <w:ilvl w:val="0"/>
          <w:numId w:val="15"/>
        </w:numPr>
        <w:rPr>
          <w:rtl/>
        </w:rPr>
      </w:pPr>
      <w:r w:rsidRPr="00752C20">
        <w:rPr>
          <w:rFonts w:cs="Arial" w:hint="cs"/>
          <w:rtl/>
        </w:rPr>
        <w:t xml:space="preserve">פת"ש </w:t>
      </w:r>
      <w:r w:rsidRPr="00752C20">
        <w:rPr>
          <w:rFonts w:cs="Arial" w:hint="cs"/>
          <w:sz w:val="16"/>
          <w:szCs w:val="16"/>
          <w:rtl/>
        </w:rPr>
        <w:t>(סק"</w:t>
      </w:r>
      <w:r>
        <w:rPr>
          <w:rFonts w:cs="Arial" w:hint="cs"/>
          <w:sz w:val="16"/>
          <w:szCs w:val="16"/>
          <w:rtl/>
        </w:rPr>
        <w:t>ה</w:t>
      </w:r>
      <w:r w:rsidRPr="00752C20">
        <w:rPr>
          <w:rFonts w:cs="Arial" w:hint="cs"/>
          <w:sz w:val="16"/>
          <w:szCs w:val="16"/>
          <w:rtl/>
        </w:rPr>
        <w:t>)</w:t>
      </w:r>
      <w:r>
        <w:rPr>
          <w:rFonts w:cs="Arial" w:hint="cs"/>
          <w:rtl/>
        </w:rPr>
        <w:t>-</w:t>
      </w:r>
      <w:r w:rsidRPr="00752C20">
        <w:rPr>
          <w:rFonts w:cs="Arial" w:hint="cs"/>
          <w:rtl/>
        </w:rPr>
        <w:t xml:space="preserve"> </w:t>
      </w:r>
      <w:r w:rsidRPr="00752C20">
        <w:rPr>
          <w:rFonts w:cs="Arial"/>
          <w:rtl/>
        </w:rPr>
        <w:t xml:space="preserve">כ' בתשו' הרדב"ז </w:t>
      </w:r>
      <w:r>
        <w:rPr>
          <w:rFonts w:cs="Arial" w:hint="cs"/>
          <w:rtl/>
        </w:rPr>
        <w:t>(</w:t>
      </w:r>
      <w:r w:rsidRPr="00752C20">
        <w:rPr>
          <w:rFonts w:cs="Arial"/>
          <w:rtl/>
        </w:rPr>
        <w:t>ח"ג סי' רעד</w:t>
      </w:r>
      <w:r>
        <w:rPr>
          <w:rFonts w:cs="Arial" w:hint="cs"/>
          <w:rtl/>
        </w:rPr>
        <w:t>)</w:t>
      </w:r>
      <w:r w:rsidRPr="00752C20">
        <w:rPr>
          <w:rFonts w:cs="Arial"/>
          <w:rtl/>
        </w:rPr>
        <w:t xml:space="preserve"> דהבעל עצמו שהביא גט ממ"ה למוסרו לאשתו דזמנו קודם לנתינתו יש מי שהורה דאין להכשירו אלא ע"י שליח</w:t>
      </w:r>
      <w:r>
        <w:rPr>
          <w:rFonts w:cs="Arial" w:hint="cs"/>
          <w:rtl/>
        </w:rPr>
        <w:t>,</w:t>
      </w:r>
      <w:r w:rsidRPr="00752C20">
        <w:rPr>
          <w:rFonts w:cs="Arial"/>
          <w:rtl/>
        </w:rPr>
        <w:t xml:space="preserve"> והוא ז"ל סתר את דבריו והעלה דכל גיטין הבאים ממ"ה אית להו קלא ויכול הבעל לגרש ע"י עצמו יע"ש</w:t>
      </w:r>
      <w:r>
        <w:rPr>
          <w:rFonts w:cs="Arial" w:hint="cs"/>
          <w:rtl/>
        </w:rPr>
        <w:t>.</w:t>
      </w:r>
      <w:r w:rsidRPr="00752C20">
        <w:rPr>
          <w:rFonts w:cs="Arial"/>
          <w:rtl/>
        </w:rPr>
        <w:t xml:space="preserve"> ובס' ג"פ </w:t>
      </w:r>
      <w:r>
        <w:rPr>
          <w:rFonts w:cs="Arial" w:hint="cs"/>
          <w:rtl/>
        </w:rPr>
        <w:t>(</w:t>
      </w:r>
      <w:r w:rsidRPr="00752C20">
        <w:rPr>
          <w:rFonts w:cs="Arial"/>
          <w:rtl/>
        </w:rPr>
        <w:t>סקי"ב</w:t>
      </w:r>
      <w:r>
        <w:rPr>
          <w:rFonts w:cs="Arial" w:hint="cs"/>
          <w:rtl/>
        </w:rPr>
        <w:t>)</w:t>
      </w:r>
      <w:r w:rsidRPr="00752C20">
        <w:rPr>
          <w:rFonts w:cs="Arial"/>
          <w:rtl/>
        </w:rPr>
        <w:t xml:space="preserve"> כ' עליו שאין דבריו מוכרחים. ועיין בס' בית מאיר </w:t>
      </w:r>
      <w:r>
        <w:rPr>
          <w:rFonts w:cs="Arial" w:hint="cs"/>
          <w:rtl/>
        </w:rPr>
        <w:t>(</w:t>
      </w:r>
      <w:r w:rsidRPr="00752C20">
        <w:rPr>
          <w:rFonts w:cs="Arial"/>
          <w:rtl/>
        </w:rPr>
        <w:t>ס"ה</w:t>
      </w:r>
      <w:r>
        <w:rPr>
          <w:rFonts w:cs="Arial" w:hint="cs"/>
          <w:rtl/>
        </w:rPr>
        <w:t>)</w:t>
      </w:r>
      <w:r w:rsidRPr="00752C20">
        <w:rPr>
          <w:rFonts w:cs="Arial"/>
          <w:rtl/>
        </w:rPr>
        <w:t xml:space="preserve"> הביא דברי היש"ש </w:t>
      </w:r>
      <w:r>
        <w:rPr>
          <w:rFonts w:cs="Arial" w:hint="cs"/>
          <w:rtl/>
        </w:rPr>
        <w:t>(</w:t>
      </w:r>
      <w:r w:rsidRPr="00752C20">
        <w:rPr>
          <w:rFonts w:cs="Arial"/>
          <w:rtl/>
        </w:rPr>
        <w:t xml:space="preserve">פ"ב </w:t>
      </w:r>
      <w:r>
        <w:rPr>
          <w:rFonts w:cs="Arial" w:hint="cs"/>
          <w:rtl/>
        </w:rPr>
        <w:t>ה"</w:t>
      </w:r>
      <w:r w:rsidRPr="00752C20">
        <w:rPr>
          <w:rFonts w:cs="Arial"/>
          <w:rtl/>
        </w:rPr>
        <w:t>ה</w:t>
      </w:r>
      <w:r>
        <w:rPr>
          <w:rFonts w:cs="Arial" w:hint="cs"/>
          <w:rtl/>
        </w:rPr>
        <w:t>)</w:t>
      </w:r>
      <w:r w:rsidRPr="00752C20">
        <w:rPr>
          <w:rFonts w:cs="Arial"/>
          <w:rtl/>
        </w:rPr>
        <w:t xml:space="preserve"> שמביא פסק מן מהרא"י ז"ל שבעל שמביא גיטו ממקום אחר מותר לגרש ע"י עצמו</w:t>
      </w:r>
      <w:r>
        <w:rPr>
          <w:rFonts w:cs="Arial" w:hint="cs"/>
          <w:rtl/>
        </w:rPr>
        <w:t>,</w:t>
      </w:r>
      <w:r w:rsidRPr="00752C20">
        <w:rPr>
          <w:rFonts w:cs="Arial"/>
          <w:rtl/>
        </w:rPr>
        <w:t xml:space="preserve"> והוא ז"ל הסכים עמו להלכה. ומסיים הב"מ דהג"פ מפקפק בדין זה ואילו ראה דברי היש"ש לא פקפק ע"ש</w:t>
      </w:r>
      <w:r>
        <w:rPr>
          <w:rFonts w:cs="Arial" w:hint="cs"/>
          <w:rtl/>
        </w:rPr>
        <w:t xml:space="preserve"> </w:t>
      </w:r>
      <w:r w:rsidRPr="00346C9E">
        <w:rPr>
          <w:rFonts w:cs="Arial" w:hint="cs"/>
          <w:sz w:val="16"/>
          <w:szCs w:val="16"/>
          <w:rtl/>
        </w:rPr>
        <w:t xml:space="preserve">(וכ"כ </w:t>
      </w:r>
      <w:r>
        <w:rPr>
          <w:rFonts w:cs="Arial" w:hint="cs"/>
          <w:sz w:val="16"/>
          <w:szCs w:val="16"/>
          <w:rtl/>
        </w:rPr>
        <w:t>הפת"ש בסק"ח בשם שו"ת</w:t>
      </w:r>
      <w:r w:rsidRPr="00346C9E">
        <w:rPr>
          <w:rFonts w:cs="Arial"/>
          <w:sz w:val="16"/>
          <w:szCs w:val="16"/>
          <w:rtl/>
        </w:rPr>
        <w:t xml:space="preserve"> שמן רוקח </w:t>
      </w:r>
      <w:r w:rsidRPr="00346C9E">
        <w:rPr>
          <w:rFonts w:cs="Arial" w:hint="cs"/>
          <w:sz w:val="16"/>
          <w:szCs w:val="16"/>
          <w:rtl/>
        </w:rPr>
        <w:t>(</w:t>
      </w:r>
      <w:r w:rsidRPr="00346C9E">
        <w:rPr>
          <w:rFonts w:cs="Arial"/>
          <w:sz w:val="16"/>
          <w:szCs w:val="16"/>
          <w:rtl/>
        </w:rPr>
        <w:t>ח"ב סי' נב</w:t>
      </w:r>
      <w:r w:rsidRPr="00346C9E">
        <w:rPr>
          <w:rFonts w:cs="Arial" w:hint="cs"/>
          <w:sz w:val="16"/>
          <w:szCs w:val="16"/>
          <w:rtl/>
        </w:rPr>
        <w:t>)</w:t>
      </w:r>
      <w:r>
        <w:rPr>
          <w:rFonts w:cs="Arial" w:hint="cs"/>
          <w:sz w:val="16"/>
          <w:szCs w:val="16"/>
          <w:rtl/>
        </w:rPr>
        <w:t xml:space="preserve"> ועוד</w:t>
      </w:r>
      <w:r w:rsidRPr="00346C9E">
        <w:rPr>
          <w:rFonts w:cs="Arial" w:hint="cs"/>
          <w:sz w:val="16"/>
          <w:szCs w:val="16"/>
          <w:rtl/>
        </w:rPr>
        <w:t>)</w:t>
      </w:r>
      <w:r>
        <w:rPr>
          <w:rFonts w:hint="cs"/>
          <w:rtl/>
        </w:rPr>
        <w:t>.</w:t>
      </w:r>
    </w:p>
    <w:p w14:paraId="17B3E69D" w14:textId="77777777" w:rsidR="00FA2119" w:rsidRDefault="00FA2119" w:rsidP="00FA2119">
      <w:pPr>
        <w:rPr>
          <w:rtl/>
        </w:rPr>
      </w:pPr>
    </w:p>
    <w:p w14:paraId="6BA2E116" w14:textId="77777777" w:rsidR="00FA2119" w:rsidRDefault="00FA2119" w:rsidP="00FA2119">
      <w:pPr>
        <w:pStyle w:val="2"/>
        <w:rPr>
          <w:rtl/>
        </w:rPr>
      </w:pPr>
      <w:r>
        <w:rPr>
          <w:rFonts w:hint="cs"/>
          <w:rtl/>
        </w:rPr>
        <w:t>סעיף</w:t>
      </w:r>
      <w:r>
        <w:rPr>
          <w:rtl/>
        </w:rPr>
        <w:t xml:space="preserve"> </w:t>
      </w:r>
      <w:r>
        <w:rPr>
          <w:rFonts w:hint="cs"/>
          <w:rtl/>
        </w:rPr>
        <w:t>ו: אמר לשנים לכתוב גט לאשתו, ונתאחר הדבר הרבה.</w:t>
      </w:r>
    </w:p>
    <w:p w14:paraId="62A1F0D7" w14:textId="08A8A3D2" w:rsidR="00FA2119" w:rsidRPr="00CE3641" w:rsidRDefault="00FA2119" w:rsidP="00FA2119">
      <w:pPr>
        <w:rPr>
          <w:u w:val="single"/>
          <w:rtl/>
        </w:rPr>
      </w:pPr>
      <w:r w:rsidRPr="00CE3641">
        <w:rPr>
          <w:rFonts w:hint="cs"/>
          <w:u w:val="single"/>
          <w:rtl/>
        </w:rPr>
        <w:t xml:space="preserve">אמר לשנים לכתוב גט לאשתו, ונתאחר הדבר הרבה </w:t>
      </w:r>
      <w:r w:rsidR="00A82951">
        <w:rPr>
          <w:u w:val="single"/>
          <w:rtl/>
        </w:rPr>
        <w:t>-</w:t>
      </w:r>
      <w:r w:rsidRPr="00CE3641">
        <w:rPr>
          <w:rFonts w:hint="cs"/>
          <w:u w:val="single"/>
          <w:rtl/>
        </w:rPr>
        <w:t xml:space="preserve"> איזה זמן כותבים בגט:</w:t>
      </w:r>
    </w:p>
    <w:p w14:paraId="79A15F03" w14:textId="5D393118" w:rsidR="00FA2119" w:rsidRPr="00CE3641" w:rsidRDefault="00FA2119" w:rsidP="00FA2119">
      <w:pPr>
        <w:pStyle w:val="ab"/>
        <w:numPr>
          <w:ilvl w:val="0"/>
          <w:numId w:val="15"/>
        </w:numPr>
        <w:rPr>
          <w:rtl/>
        </w:rPr>
      </w:pPr>
      <w:r w:rsidRPr="00886836">
        <w:rPr>
          <w:rFonts w:cs="Arial" w:hint="cs"/>
          <w:rtl/>
        </w:rPr>
        <w:t xml:space="preserve">רמב"ם </w:t>
      </w:r>
      <w:r w:rsidRPr="00886836">
        <w:rPr>
          <w:rFonts w:cs="Arial" w:hint="cs"/>
          <w:sz w:val="16"/>
          <w:szCs w:val="16"/>
          <w:rtl/>
        </w:rPr>
        <w:t>(פ"א הכ"ח)</w:t>
      </w:r>
      <w:r w:rsidR="00A82951">
        <w:rPr>
          <w:rFonts w:cs="Arial" w:hint="cs"/>
          <w:rtl/>
        </w:rPr>
        <w:t>-</w:t>
      </w:r>
      <w:r w:rsidRPr="00886836">
        <w:rPr>
          <w:rFonts w:cs="Arial" w:hint="cs"/>
          <w:rtl/>
        </w:rPr>
        <w:t xml:space="preserve"> </w:t>
      </w:r>
      <w:r w:rsidRPr="00886836">
        <w:rPr>
          <w:rFonts w:cs="Arial"/>
          <w:rtl/>
        </w:rPr>
        <w:t>האומר לשנים כתבו וחתמו ותנו גט לאשתי ונתאחר הדבר ימים או שנים, או שנמצא הגט בטל והוצרכו לכתוב לה גט אחר כשר אחר כמה שנים כמו שיתבאר, הרי אלו כותבין זמן הכתיבה ומקום הכתיבה, לא הזמן שאמר להן הבעל בו כתבו ולא אותו המקום, כיצד היו בירושלם כשאמר להן והיו עומדין בתשרי ונתאחרו עד ניסן והרי הן בלוד כותבין זמן הגט מניסן ובלוד ששם נכתב הגט כשאר שטרות.</w:t>
      </w:r>
      <w:r w:rsidRPr="00886836">
        <w:rPr>
          <w:rFonts w:hint="cs"/>
          <w:color w:val="E36C0A" w:themeColor="accent6" w:themeShade="BF"/>
          <w:rtl/>
        </w:rPr>
        <w:t xml:space="preserve"> </w:t>
      </w:r>
      <w:r w:rsidRPr="00D04D3F">
        <w:rPr>
          <w:rFonts w:hint="cs"/>
          <w:color w:val="E36C0A" w:themeColor="accent6" w:themeShade="BF"/>
          <w:rtl/>
        </w:rPr>
        <w:t>(וכ"פ בשו"ע)</w:t>
      </w:r>
    </w:p>
    <w:p w14:paraId="3EC70068"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3677B9B" w14:textId="77777777" w:rsidR="00FA2119" w:rsidRDefault="00FA2119" w:rsidP="00FA2119">
      <w:pPr>
        <w:rPr>
          <w:rFonts w:cs="Arial"/>
          <w:rtl/>
        </w:rPr>
      </w:pPr>
      <w:r>
        <w:rPr>
          <w:rFonts w:cs="Arial" w:hint="cs"/>
          <w:rtl/>
        </w:rPr>
        <w:lastRenderedPageBreak/>
        <w:t>אמר</w:t>
      </w:r>
      <w:r>
        <w:rPr>
          <w:rFonts w:cs="Arial"/>
          <w:rtl/>
        </w:rPr>
        <w:t xml:space="preserve"> </w:t>
      </w:r>
      <w:r>
        <w:rPr>
          <w:rFonts w:cs="Arial" w:hint="cs"/>
          <w:rtl/>
        </w:rPr>
        <w:t>לשנים</w:t>
      </w:r>
      <w:r>
        <w:rPr>
          <w:rStyle w:val="a7"/>
          <w:rFonts w:cs="Arial"/>
          <w:rtl/>
        </w:rPr>
        <w:footnoteReference w:id="899"/>
      </w:r>
      <w:r>
        <w:rPr>
          <w:rFonts w:cs="Arial"/>
          <w:rtl/>
        </w:rPr>
        <w:t xml:space="preserve"> </w:t>
      </w:r>
      <w:r>
        <w:rPr>
          <w:rFonts w:cs="Arial" w:hint="cs"/>
          <w:rtl/>
        </w:rPr>
        <w:t>לכתוב</w:t>
      </w:r>
      <w:r>
        <w:rPr>
          <w:rFonts w:cs="Arial"/>
          <w:rtl/>
        </w:rPr>
        <w:t xml:space="preserve"> </w:t>
      </w:r>
      <w:r>
        <w:rPr>
          <w:rFonts w:cs="Arial" w:hint="cs"/>
          <w:rtl/>
        </w:rPr>
        <w:t>גט</w:t>
      </w:r>
      <w:r>
        <w:rPr>
          <w:rFonts w:cs="Arial"/>
          <w:rtl/>
        </w:rPr>
        <w:t xml:space="preserve"> </w:t>
      </w:r>
      <w:r>
        <w:rPr>
          <w:rFonts w:cs="Arial" w:hint="cs"/>
          <w:rtl/>
        </w:rPr>
        <w:t>ולחתום</w:t>
      </w:r>
      <w:r>
        <w:rPr>
          <w:rFonts w:cs="Arial"/>
          <w:rtl/>
        </w:rPr>
        <w:t xml:space="preserve"> </w:t>
      </w:r>
      <w:r>
        <w:rPr>
          <w:rFonts w:cs="Arial" w:hint="cs"/>
          <w:rtl/>
        </w:rPr>
        <w:t>וליתנו</w:t>
      </w:r>
      <w:r>
        <w:rPr>
          <w:rFonts w:cs="Arial"/>
          <w:rtl/>
        </w:rPr>
        <w:t xml:space="preserve"> </w:t>
      </w:r>
      <w:r>
        <w:rPr>
          <w:rFonts w:cs="Arial" w:hint="cs"/>
          <w:rtl/>
        </w:rPr>
        <w:t>לאשתו</w:t>
      </w:r>
      <w:r>
        <w:rPr>
          <w:rFonts w:cs="Arial"/>
          <w:rtl/>
        </w:rPr>
        <w:t xml:space="preserve">, </w:t>
      </w:r>
      <w:r>
        <w:rPr>
          <w:rFonts w:cs="Arial" w:hint="cs"/>
          <w:rtl/>
        </w:rPr>
        <w:t>ונתאחר</w:t>
      </w:r>
      <w:r>
        <w:rPr>
          <w:rFonts w:cs="Arial"/>
          <w:rtl/>
        </w:rPr>
        <w:t xml:space="preserve"> </w:t>
      </w:r>
      <w:r>
        <w:rPr>
          <w:rFonts w:cs="Arial" w:hint="cs"/>
          <w:rtl/>
        </w:rPr>
        <w:t>הדבר</w:t>
      </w:r>
      <w:r>
        <w:rPr>
          <w:rFonts w:cs="Arial"/>
          <w:rtl/>
        </w:rPr>
        <w:t xml:space="preserve"> </w:t>
      </w:r>
      <w:r>
        <w:rPr>
          <w:rFonts w:cs="Arial" w:hint="cs"/>
          <w:rtl/>
        </w:rPr>
        <w:t>ימים</w:t>
      </w:r>
      <w:r>
        <w:rPr>
          <w:rFonts w:cs="Arial"/>
          <w:rtl/>
        </w:rPr>
        <w:t xml:space="preserve"> </w:t>
      </w:r>
      <w:r>
        <w:rPr>
          <w:rFonts w:cs="Arial" w:hint="cs"/>
          <w:rtl/>
        </w:rPr>
        <w:t>או</w:t>
      </w:r>
      <w:r>
        <w:rPr>
          <w:rFonts w:cs="Arial"/>
          <w:rtl/>
        </w:rPr>
        <w:t xml:space="preserve"> </w:t>
      </w:r>
      <w:r>
        <w:rPr>
          <w:rFonts w:cs="Arial" w:hint="cs"/>
          <w:rtl/>
        </w:rPr>
        <w:t>שנים</w:t>
      </w:r>
      <w:r>
        <w:rPr>
          <w:rFonts w:cs="Arial"/>
          <w:rtl/>
        </w:rPr>
        <w:t xml:space="preserve">, </w:t>
      </w:r>
      <w:r>
        <w:rPr>
          <w:rFonts w:cs="Arial" w:hint="cs"/>
          <w:rtl/>
        </w:rPr>
        <w:t>או</w:t>
      </w:r>
      <w:r>
        <w:rPr>
          <w:rFonts w:cs="Arial"/>
          <w:rtl/>
        </w:rPr>
        <w:t xml:space="preserve"> </w:t>
      </w:r>
      <w:r>
        <w:rPr>
          <w:rFonts w:cs="Arial" w:hint="cs"/>
          <w:rtl/>
        </w:rPr>
        <w:t>שנמצא</w:t>
      </w:r>
      <w:r>
        <w:rPr>
          <w:rFonts w:cs="Arial"/>
          <w:rtl/>
        </w:rPr>
        <w:t xml:space="preserve"> </w:t>
      </w:r>
      <w:r>
        <w:rPr>
          <w:rFonts w:cs="Arial" w:hint="cs"/>
          <w:rtl/>
        </w:rPr>
        <w:t>הגט</w:t>
      </w:r>
      <w:r>
        <w:rPr>
          <w:rFonts w:cs="Arial"/>
          <w:rtl/>
        </w:rPr>
        <w:t xml:space="preserve"> </w:t>
      </w:r>
      <w:r>
        <w:rPr>
          <w:rFonts w:cs="Arial" w:hint="cs"/>
          <w:rtl/>
        </w:rPr>
        <w:t>בטל</w:t>
      </w:r>
      <w:r>
        <w:rPr>
          <w:rStyle w:val="a7"/>
          <w:rFonts w:cs="Arial"/>
          <w:rtl/>
        </w:rPr>
        <w:footnoteReference w:id="900"/>
      </w:r>
      <w:r>
        <w:rPr>
          <w:rFonts w:cs="Arial"/>
          <w:rtl/>
        </w:rPr>
        <w:t xml:space="preserve"> </w:t>
      </w:r>
      <w:r>
        <w:rPr>
          <w:rFonts w:cs="Arial" w:hint="cs"/>
          <w:rtl/>
        </w:rPr>
        <w:t>והוצרכו</w:t>
      </w:r>
      <w:r>
        <w:rPr>
          <w:rFonts w:cs="Arial"/>
          <w:rtl/>
        </w:rPr>
        <w:t xml:space="preserve"> </w:t>
      </w:r>
      <w:r>
        <w:rPr>
          <w:rFonts w:cs="Arial" w:hint="cs"/>
          <w:rtl/>
        </w:rPr>
        <w:t>לכתוב</w:t>
      </w:r>
      <w:r>
        <w:rPr>
          <w:rFonts w:cs="Arial"/>
          <w:rtl/>
        </w:rPr>
        <w:t xml:space="preserve"> </w:t>
      </w:r>
      <w:r>
        <w:rPr>
          <w:rFonts w:cs="Arial" w:hint="cs"/>
          <w:rtl/>
        </w:rPr>
        <w:t>לה</w:t>
      </w:r>
      <w:r>
        <w:rPr>
          <w:rFonts w:cs="Arial"/>
          <w:rtl/>
        </w:rPr>
        <w:t xml:space="preserve"> </w:t>
      </w:r>
      <w:r>
        <w:rPr>
          <w:rFonts w:cs="Arial" w:hint="cs"/>
          <w:rtl/>
        </w:rPr>
        <w:t>גט</w:t>
      </w:r>
      <w:r>
        <w:rPr>
          <w:rFonts w:cs="Arial"/>
          <w:rtl/>
        </w:rPr>
        <w:t xml:space="preserve"> </w:t>
      </w:r>
      <w:r>
        <w:rPr>
          <w:rFonts w:cs="Arial" w:hint="cs"/>
          <w:rtl/>
        </w:rPr>
        <w:t>אחר</w:t>
      </w:r>
      <w:r>
        <w:rPr>
          <w:rFonts w:cs="Arial"/>
          <w:rtl/>
        </w:rPr>
        <w:t xml:space="preserve">, </w:t>
      </w:r>
      <w:r>
        <w:rPr>
          <w:rFonts w:cs="Arial" w:hint="cs"/>
          <w:rtl/>
        </w:rPr>
        <w:t>כשכותבין</w:t>
      </w:r>
      <w:r>
        <w:rPr>
          <w:rFonts w:cs="Arial"/>
          <w:rtl/>
        </w:rPr>
        <w:t xml:space="preserve"> </w:t>
      </w:r>
      <w:r>
        <w:rPr>
          <w:rFonts w:cs="Arial" w:hint="cs"/>
          <w:rtl/>
        </w:rPr>
        <w:t>הזמן</w:t>
      </w:r>
      <w:r>
        <w:rPr>
          <w:rFonts w:cs="Arial"/>
          <w:rtl/>
        </w:rPr>
        <w:t xml:space="preserve"> </w:t>
      </w:r>
      <w:r>
        <w:rPr>
          <w:rFonts w:cs="Arial" w:hint="cs"/>
          <w:rtl/>
        </w:rPr>
        <w:t>והמקום</w:t>
      </w:r>
      <w:r>
        <w:rPr>
          <w:rFonts w:cs="Arial"/>
          <w:rtl/>
        </w:rPr>
        <w:t xml:space="preserve"> </w:t>
      </w:r>
      <w:r>
        <w:rPr>
          <w:rFonts w:cs="Arial" w:hint="cs"/>
          <w:rtl/>
        </w:rPr>
        <w:t>אין</w:t>
      </w:r>
      <w:r>
        <w:rPr>
          <w:rFonts w:cs="Arial"/>
          <w:rtl/>
        </w:rPr>
        <w:t xml:space="preserve"> </w:t>
      </w:r>
      <w:r>
        <w:rPr>
          <w:rFonts w:cs="Arial" w:hint="cs"/>
          <w:rtl/>
        </w:rPr>
        <w:t>כותבין</w:t>
      </w:r>
      <w:r>
        <w:rPr>
          <w:rFonts w:cs="Arial"/>
          <w:rtl/>
        </w:rPr>
        <w:t xml:space="preserve"> </w:t>
      </w:r>
      <w:r>
        <w:rPr>
          <w:rFonts w:cs="Arial" w:hint="cs"/>
          <w:rtl/>
        </w:rPr>
        <w:t>לא</w:t>
      </w:r>
      <w:r>
        <w:rPr>
          <w:rFonts w:cs="Arial"/>
          <w:rtl/>
        </w:rPr>
        <w:t xml:space="preserve"> </w:t>
      </w:r>
      <w:r>
        <w:rPr>
          <w:rFonts w:cs="Arial" w:hint="cs"/>
          <w:rtl/>
        </w:rPr>
        <w:t>הזמן</w:t>
      </w:r>
      <w:r>
        <w:rPr>
          <w:rFonts w:cs="Arial"/>
          <w:rtl/>
        </w:rPr>
        <w:t xml:space="preserve"> </w:t>
      </w:r>
      <w:r>
        <w:rPr>
          <w:rFonts w:cs="Arial" w:hint="cs"/>
          <w:rtl/>
        </w:rPr>
        <w:t>שאמר</w:t>
      </w:r>
      <w:r>
        <w:rPr>
          <w:rFonts w:cs="Arial"/>
          <w:rtl/>
        </w:rPr>
        <w:t xml:space="preserve"> </w:t>
      </w:r>
      <w:r>
        <w:rPr>
          <w:rFonts w:cs="Arial" w:hint="cs"/>
          <w:rtl/>
        </w:rPr>
        <w:t>להם</w:t>
      </w:r>
      <w:r>
        <w:rPr>
          <w:rFonts w:cs="Arial"/>
          <w:rtl/>
        </w:rPr>
        <w:t xml:space="preserve"> </w:t>
      </w:r>
      <w:r>
        <w:rPr>
          <w:rFonts w:cs="Arial" w:hint="cs"/>
          <w:rtl/>
        </w:rPr>
        <w:t>הבעל</w:t>
      </w:r>
      <w:r>
        <w:rPr>
          <w:rFonts w:cs="Arial"/>
          <w:rtl/>
        </w:rPr>
        <w:t xml:space="preserve"> </w:t>
      </w:r>
      <w:r>
        <w:rPr>
          <w:rFonts w:cs="Arial" w:hint="cs"/>
          <w:rtl/>
        </w:rPr>
        <w:t>לכתוב</w:t>
      </w:r>
      <w:r>
        <w:rPr>
          <w:rFonts w:cs="Arial"/>
          <w:rtl/>
        </w:rPr>
        <w:t xml:space="preserve"> </w:t>
      </w:r>
      <w:r>
        <w:rPr>
          <w:rFonts w:cs="Arial" w:hint="cs"/>
          <w:rtl/>
        </w:rPr>
        <w:t>בו</w:t>
      </w:r>
      <w:r>
        <w:rPr>
          <w:rFonts w:cs="Arial"/>
          <w:rtl/>
        </w:rPr>
        <w:t xml:space="preserve">, </w:t>
      </w:r>
      <w:r>
        <w:rPr>
          <w:rFonts w:cs="Arial" w:hint="cs"/>
          <w:rtl/>
        </w:rPr>
        <w:t>ולא</w:t>
      </w:r>
      <w:r>
        <w:rPr>
          <w:rFonts w:cs="Arial"/>
          <w:rtl/>
        </w:rPr>
        <w:t xml:space="preserve"> </w:t>
      </w:r>
      <w:r>
        <w:rPr>
          <w:rFonts w:cs="Arial" w:hint="cs"/>
          <w:rtl/>
        </w:rPr>
        <w:t>אותו</w:t>
      </w:r>
      <w:r>
        <w:rPr>
          <w:rFonts w:cs="Arial"/>
          <w:rtl/>
        </w:rPr>
        <w:t xml:space="preserve"> </w:t>
      </w:r>
      <w:r>
        <w:rPr>
          <w:rFonts w:cs="Arial" w:hint="cs"/>
          <w:rtl/>
        </w:rPr>
        <w:t>המקום</w:t>
      </w:r>
      <w:r>
        <w:rPr>
          <w:rStyle w:val="a7"/>
          <w:rFonts w:cs="Arial"/>
          <w:rtl/>
        </w:rPr>
        <w:footnoteReference w:id="901"/>
      </w:r>
      <w:r>
        <w:rPr>
          <w:rFonts w:cs="Arial"/>
          <w:rtl/>
        </w:rPr>
        <w:t xml:space="preserve">. </w:t>
      </w:r>
      <w:r>
        <w:rPr>
          <w:rFonts w:cs="Arial" w:hint="cs"/>
          <w:rtl/>
        </w:rPr>
        <w:t>כיצד</w:t>
      </w:r>
      <w:r>
        <w:rPr>
          <w:rFonts w:cs="Arial"/>
          <w:rtl/>
        </w:rPr>
        <w:t xml:space="preserve">, </w:t>
      </w:r>
      <w:r>
        <w:rPr>
          <w:rFonts w:cs="Arial" w:hint="cs"/>
          <w:rtl/>
        </w:rPr>
        <w:t>היה</w:t>
      </w:r>
      <w:r>
        <w:rPr>
          <w:rFonts w:cs="Arial"/>
          <w:rtl/>
        </w:rPr>
        <w:t xml:space="preserve"> </w:t>
      </w:r>
      <w:r>
        <w:rPr>
          <w:rFonts w:cs="Arial" w:hint="cs"/>
          <w:rtl/>
        </w:rPr>
        <w:t>בירושלים</w:t>
      </w:r>
      <w:r>
        <w:rPr>
          <w:rFonts w:cs="Arial"/>
          <w:rtl/>
        </w:rPr>
        <w:t xml:space="preserve"> </w:t>
      </w:r>
      <w:r>
        <w:rPr>
          <w:rFonts w:cs="Arial" w:hint="cs"/>
          <w:rtl/>
        </w:rPr>
        <w:t>כשאמר</w:t>
      </w:r>
      <w:r>
        <w:rPr>
          <w:rFonts w:cs="Arial"/>
          <w:rtl/>
        </w:rPr>
        <w:t xml:space="preserve"> </w:t>
      </w:r>
      <w:r>
        <w:rPr>
          <w:rFonts w:cs="Arial" w:hint="cs"/>
          <w:rtl/>
        </w:rPr>
        <w:t>להם</w:t>
      </w:r>
      <w:r>
        <w:rPr>
          <w:rFonts w:cs="Arial"/>
          <w:rtl/>
        </w:rPr>
        <w:t xml:space="preserve"> </w:t>
      </w:r>
      <w:r>
        <w:rPr>
          <w:rFonts w:cs="Arial" w:hint="cs"/>
          <w:rtl/>
        </w:rPr>
        <w:t>הבעל</w:t>
      </w:r>
      <w:r>
        <w:rPr>
          <w:rFonts w:cs="Arial"/>
          <w:rtl/>
        </w:rPr>
        <w:t xml:space="preserve"> </w:t>
      </w:r>
      <w:r>
        <w:rPr>
          <w:rFonts w:cs="Arial" w:hint="cs"/>
          <w:rtl/>
        </w:rPr>
        <w:t>והיו</w:t>
      </w:r>
      <w:r>
        <w:rPr>
          <w:rFonts w:cs="Arial"/>
          <w:rtl/>
        </w:rPr>
        <w:t xml:space="preserve"> </w:t>
      </w:r>
      <w:r>
        <w:rPr>
          <w:rFonts w:cs="Arial" w:hint="cs"/>
          <w:rtl/>
        </w:rPr>
        <w:t>עומדים</w:t>
      </w:r>
      <w:r>
        <w:rPr>
          <w:rFonts w:cs="Arial"/>
          <w:rtl/>
        </w:rPr>
        <w:t xml:space="preserve"> </w:t>
      </w:r>
      <w:r>
        <w:rPr>
          <w:rFonts w:cs="Arial" w:hint="cs"/>
          <w:rtl/>
        </w:rPr>
        <w:t>בתשרי</w:t>
      </w:r>
      <w:r>
        <w:rPr>
          <w:rFonts w:cs="Arial"/>
          <w:rtl/>
        </w:rPr>
        <w:t xml:space="preserve">, </w:t>
      </w:r>
      <w:r>
        <w:rPr>
          <w:rFonts w:cs="Arial" w:hint="cs"/>
          <w:rtl/>
        </w:rPr>
        <w:t>ונתאחר</w:t>
      </w:r>
      <w:r>
        <w:rPr>
          <w:rFonts w:cs="Arial"/>
          <w:rtl/>
        </w:rPr>
        <w:t xml:space="preserve"> </w:t>
      </w:r>
      <w:r>
        <w:rPr>
          <w:rFonts w:cs="Arial" w:hint="cs"/>
          <w:rtl/>
        </w:rPr>
        <w:t>עד</w:t>
      </w:r>
      <w:r>
        <w:rPr>
          <w:rFonts w:cs="Arial"/>
          <w:rtl/>
        </w:rPr>
        <w:t xml:space="preserve"> </w:t>
      </w:r>
      <w:r>
        <w:rPr>
          <w:rFonts w:cs="Arial" w:hint="cs"/>
          <w:rtl/>
        </w:rPr>
        <w:t>ניסן</w:t>
      </w:r>
      <w:r>
        <w:rPr>
          <w:rFonts w:cs="Arial"/>
          <w:rtl/>
        </w:rPr>
        <w:t xml:space="preserve"> </w:t>
      </w:r>
      <w:r>
        <w:rPr>
          <w:rFonts w:cs="Arial" w:hint="cs"/>
          <w:rtl/>
        </w:rPr>
        <w:t>והרי</w:t>
      </w:r>
      <w:r>
        <w:rPr>
          <w:rFonts w:cs="Arial"/>
          <w:rtl/>
        </w:rPr>
        <w:t xml:space="preserve"> </w:t>
      </w:r>
      <w:r>
        <w:rPr>
          <w:rFonts w:cs="Arial" w:hint="cs"/>
          <w:rtl/>
        </w:rPr>
        <w:t>הם</w:t>
      </w:r>
      <w:r>
        <w:rPr>
          <w:rFonts w:cs="Arial"/>
          <w:rtl/>
        </w:rPr>
        <w:t xml:space="preserve"> </w:t>
      </w:r>
      <w:r>
        <w:rPr>
          <w:rFonts w:cs="Arial" w:hint="cs"/>
          <w:rtl/>
        </w:rPr>
        <w:t>בלוד</w:t>
      </w:r>
      <w:r>
        <w:rPr>
          <w:rFonts w:cs="Arial"/>
          <w:rtl/>
        </w:rPr>
        <w:t xml:space="preserve">, </w:t>
      </w:r>
      <w:r>
        <w:rPr>
          <w:rFonts w:cs="Arial" w:hint="cs"/>
          <w:rtl/>
        </w:rPr>
        <w:t>כותבין</w:t>
      </w:r>
      <w:r>
        <w:rPr>
          <w:rFonts w:cs="Arial"/>
          <w:rtl/>
        </w:rPr>
        <w:t xml:space="preserve"> </w:t>
      </w:r>
      <w:r>
        <w:rPr>
          <w:rFonts w:cs="Arial" w:hint="cs"/>
          <w:rtl/>
        </w:rPr>
        <w:t>הזמן</w:t>
      </w:r>
      <w:r>
        <w:rPr>
          <w:rFonts w:cs="Arial"/>
          <w:rtl/>
        </w:rPr>
        <w:t xml:space="preserve"> </w:t>
      </w:r>
      <w:r>
        <w:rPr>
          <w:rFonts w:cs="Arial" w:hint="cs"/>
          <w:rtl/>
        </w:rPr>
        <w:t>מניסן</w:t>
      </w:r>
      <w:r>
        <w:rPr>
          <w:rFonts w:cs="Arial"/>
          <w:rtl/>
        </w:rPr>
        <w:t xml:space="preserve"> </w:t>
      </w:r>
      <w:r>
        <w:rPr>
          <w:rFonts w:cs="Arial" w:hint="cs"/>
          <w:rtl/>
        </w:rPr>
        <w:t>ובלוד</w:t>
      </w:r>
      <w:r>
        <w:rPr>
          <w:rStyle w:val="a7"/>
          <w:rFonts w:cs="Arial"/>
          <w:rtl/>
        </w:rPr>
        <w:footnoteReference w:id="902"/>
      </w:r>
      <w:r>
        <w:rPr>
          <w:rFonts w:cs="Arial"/>
          <w:rtl/>
        </w:rPr>
        <w:t xml:space="preserve">. </w:t>
      </w:r>
    </w:p>
    <w:p w14:paraId="63FDE3BD" w14:textId="70208459" w:rsidR="00FA2119" w:rsidRDefault="00FA2119" w:rsidP="00FA2119">
      <w:pPr>
        <w:rPr>
          <w:rFonts w:cs="Arial"/>
          <w:rtl/>
        </w:rPr>
      </w:pPr>
      <w:r w:rsidRPr="001A193B">
        <w:rPr>
          <w:rFonts w:cs="Arial" w:hint="cs"/>
          <w:u w:val="single"/>
          <w:rtl/>
        </w:rPr>
        <w:t xml:space="preserve">עדים ששכחו מקצת העדות בגלל הזמן שעבר </w:t>
      </w:r>
      <w:r w:rsidR="00A82951">
        <w:rPr>
          <w:rFonts w:cs="Arial"/>
          <w:u w:val="single"/>
          <w:rtl/>
        </w:rPr>
        <w:t>-</w:t>
      </w:r>
      <w:r w:rsidRPr="001A193B">
        <w:rPr>
          <w:rFonts w:cs="Arial" w:hint="cs"/>
          <w:u w:val="single"/>
          <w:rtl/>
        </w:rPr>
        <w:t xml:space="preserve"> האם ניתן להזכירם ע"י כתב וכדו':</w:t>
      </w:r>
      <w:r>
        <w:rPr>
          <w:rFonts w:cs="Arial" w:hint="cs"/>
          <w:rtl/>
        </w:rPr>
        <w:t xml:space="preserve"> </w:t>
      </w:r>
      <w:r w:rsidRPr="001A193B">
        <w:rPr>
          <w:rFonts w:cs="Arial"/>
          <w:sz w:val="16"/>
          <w:szCs w:val="16"/>
          <w:rtl/>
        </w:rPr>
        <w:t>(</w:t>
      </w:r>
      <w:r w:rsidRPr="001A193B">
        <w:rPr>
          <w:rFonts w:cs="Arial" w:hint="cs"/>
          <w:sz w:val="16"/>
          <w:szCs w:val="16"/>
          <w:rtl/>
        </w:rPr>
        <w:t>פת"ש סק"</w:t>
      </w:r>
      <w:r w:rsidRPr="001A193B">
        <w:rPr>
          <w:rFonts w:cs="Arial"/>
          <w:sz w:val="16"/>
          <w:szCs w:val="16"/>
          <w:rtl/>
        </w:rPr>
        <w:t>י)</w:t>
      </w:r>
      <w:r>
        <w:rPr>
          <w:rFonts w:cs="Arial"/>
          <w:rtl/>
        </w:rPr>
        <w:t xml:space="preserve"> </w:t>
      </w:r>
    </w:p>
    <w:p w14:paraId="1E16C25F" w14:textId="5AF1048F" w:rsidR="00FA2119" w:rsidRPr="001A193B" w:rsidRDefault="00FA2119" w:rsidP="00FA2119">
      <w:pPr>
        <w:pStyle w:val="ab"/>
        <w:numPr>
          <w:ilvl w:val="0"/>
          <w:numId w:val="15"/>
        </w:numPr>
        <w:rPr>
          <w:rFonts w:cs="Arial"/>
          <w:rtl/>
        </w:rPr>
      </w:pPr>
      <w:r w:rsidRPr="001A193B">
        <w:rPr>
          <w:rFonts w:cs="Arial"/>
          <w:rtl/>
        </w:rPr>
        <w:t xml:space="preserve">שב יעקב </w:t>
      </w:r>
      <w:r w:rsidRPr="001A193B">
        <w:rPr>
          <w:rFonts w:cs="Arial" w:hint="cs"/>
          <w:sz w:val="16"/>
          <w:szCs w:val="16"/>
          <w:rtl/>
        </w:rPr>
        <w:t>(</w:t>
      </w:r>
      <w:r w:rsidRPr="001A193B">
        <w:rPr>
          <w:rFonts w:cs="Arial"/>
          <w:sz w:val="16"/>
          <w:szCs w:val="16"/>
          <w:rtl/>
        </w:rPr>
        <w:t>סי' לה</w:t>
      </w:r>
      <w:r w:rsidRPr="001A193B">
        <w:rPr>
          <w:rFonts w:cs="Arial" w:hint="cs"/>
          <w:sz w:val="16"/>
          <w:szCs w:val="16"/>
          <w:rtl/>
        </w:rPr>
        <w:t>)</w:t>
      </w:r>
      <w:r w:rsidR="00A82951">
        <w:rPr>
          <w:rFonts w:cs="Arial" w:hint="cs"/>
          <w:rtl/>
        </w:rPr>
        <w:t>-</w:t>
      </w:r>
      <w:r w:rsidRPr="001A193B">
        <w:rPr>
          <w:rFonts w:cs="Arial"/>
          <w:rtl/>
        </w:rPr>
        <w:t xml:space="preserve"> אודות שנסתפק חכם אחד אי מהני נמי בגט אם שוכחים קצת העדות להזכירו ע"י הכתב ועל ידי הסופר או אם יזכירו העדים עצמם זה לזה </w:t>
      </w:r>
      <w:r w:rsidRPr="001A193B">
        <w:rPr>
          <w:rFonts w:cs="Arial"/>
          <w:sz w:val="16"/>
          <w:szCs w:val="16"/>
          <w:rtl/>
        </w:rPr>
        <w:t>(כדמהני בד</w:t>
      </w:r>
      <w:r w:rsidRPr="001A193B">
        <w:rPr>
          <w:rFonts w:cs="Arial" w:hint="cs"/>
          <w:sz w:val="16"/>
          <w:szCs w:val="16"/>
          <w:rtl/>
        </w:rPr>
        <w:t xml:space="preserve">יני </w:t>
      </w:r>
      <w:r w:rsidRPr="001A193B">
        <w:rPr>
          <w:rFonts w:cs="Arial"/>
          <w:sz w:val="16"/>
          <w:szCs w:val="16"/>
          <w:rtl/>
        </w:rPr>
        <w:t>מ</w:t>
      </w:r>
      <w:r w:rsidRPr="001A193B">
        <w:rPr>
          <w:rFonts w:cs="Arial" w:hint="cs"/>
          <w:sz w:val="16"/>
          <w:szCs w:val="16"/>
          <w:rtl/>
        </w:rPr>
        <w:t>מונות</w:t>
      </w:r>
      <w:r w:rsidRPr="001A193B">
        <w:rPr>
          <w:rFonts w:cs="Arial"/>
          <w:sz w:val="16"/>
          <w:szCs w:val="16"/>
          <w:rtl/>
        </w:rPr>
        <w:t xml:space="preserve"> כמבואר בח"מ סי' כ"ח סי"ג וסי"ד)</w:t>
      </w:r>
      <w:r w:rsidRPr="001A193B">
        <w:rPr>
          <w:rFonts w:cs="Arial"/>
          <w:rtl/>
        </w:rPr>
        <w:t xml:space="preserve"> הנה תלמודא סתמא קאמר כותב אדם עדותו על השטר ומעיד עליה כו' ומהיכי תיתי לומר דאיירי דוקא בד"מ דאם כך הוא</w:t>
      </w:r>
      <w:r>
        <w:rPr>
          <w:rFonts w:cs="Arial" w:hint="cs"/>
          <w:rtl/>
        </w:rPr>
        <w:t>,</w:t>
      </w:r>
      <w:r w:rsidRPr="001A193B">
        <w:rPr>
          <w:rFonts w:cs="Arial"/>
          <w:rtl/>
        </w:rPr>
        <w:t xml:space="preserve"> ודאי ה"ל לפרש דלא תיפוק חורבא מיניה כו'</w:t>
      </w:r>
      <w:r>
        <w:rPr>
          <w:rFonts w:cs="Arial" w:hint="cs"/>
          <w:rtl/>
        </w:rPr>
        <w:t>.</w:t>
      </w:r>
      <w:r w:rsidRPr="001A193B">
        <w:rPr>
          <w:rFonts w:cs="Arial"/>
          <w:rtl/>
        </w:rPr>
        <w:t xml:space="preserve"> ובהדיא מצינו בגיטין</w:t>
      </w:r>
      <w:r>
        <w:rPr>
          <w:rFonts w:cs="Arial" w:hint="cs"/>
          <w:rtl/>
        </w:rPr>
        <w:t xml:space="preserve"> (</w:t>
      </w:r>
      <w:r w:rsidRPr="001A193B">
        <w:rPr>
          <w:rFonts w:cs="Arial"/>
          <w:rtl/>
        </w:rPr>
        <w:t>יט</w:t>
      </w:r>
      <w:r>
        <w:rPr>
          <w:rFonts w:cs="Arial" w:hint="cs"/>
          <w:rtl/>
        </w:rPr>
        <w:t>.)</w:t>
      </w:r>
      <w:r w:rsidRPr="001A193B">
        <w:rPr>
          <w:rFonts w:cs="Arial"/>
          <w:rtl/>
        </w:rPr>
        <w:t xml:space="preserve"> גבי עדים שאין יודעים לחתום מקרעים להם נייר חלק כו' דמקילין לענין גיטין יותר מד"מ</w:t>
      </w:r>
      <w:r>
        <w:rPr>
          <w:rFonts w:cs="Arial" w:hint="cs"/>
          <w:rtl/>
        </w:rPr>
        <w:t>.</w:t>
      </w:r>
      <w:r w:rsidRPr="001A193B">
        <w:rPr>
          <w:rFonts w:cs="Arial"/>
          <w:rtl/>
        </w:rPr>
        <w:t xml:space="preserve"> וה"ה בנ"ד מהני שפיר אי נזכרו עדותן ע"י הכתב או ע"י עד האחר ואין להחמיר בזה יותר מדיני ממונות </w:t>
      </w:r>
      <w:r w:rsidRPr="00101C67">
        <w:rPr>
          <w:rFonts w:cs="Arial" w:hint="cs"/>
          <w:sz w:val="16"/>
          <w:szCs w:val="16"/>
          <w:rtl/>
        </w:rPr>
        <w:t>(</w:t>
      </w:r>
      <w:r w:rsidRPr="00101C67">
        <w:rPr>
          <w:rFonts w:cs="Arial"/>
          <w:sz w:val="16"/>
          <w:szCs w:val="16"/>
          <w:rtl/>
        </w:rPr>
        <w:t>ועמ"ש לעיל סי' קכ סקי"א</w:t>
      </w:r>
      <w:r w:rsidRPr="00101C67">
        <w:rPr>
          <w:rFonts w:cs="Arial" w:hint="cs"/>
          <w:sz w:val="16"/>
          <w:szCs w:val="16"/>
          <w:rtl/>
        </w:rPr>
        <w:t>)</w:t>
      </w:r>
      <w:r>
        <w:rPr>
          <w:rFonts w:cs="Arial" w:hint="cs"/>
          <w:rtl/>
        </w:rPr>
        <w:t>.</w:t>
      </w:r>
    </w:p>
    <w:p w14:paraId="6A2B81E3" w14:textId="77777777" w:rsidR="00FA2119" w:rsidRDefault="00FA2119" w:rsidP="00FA2119">
      <w:pPr>
        <w:rPr>
          <w:rFonts w:cs="Arial"/>
          <w:rtl/>
        </w:rPr>
      </w:pPr>
      <w:r w:rsidRPr="009C4002">
        <w:rPr>
          <w:rFonts w:cs="Arial"/>
          <w:u w:val="single"/>
          <w:rtl/>
        </w:rPr>
        <w:t>אמר ל</w:t>
      </w:r>
      <w:r>
        <w:rPr>
          <w:rFonts w:cs="Arial" w:hint="cs"/>
          <w:u w:val="single"/>
          <w:rtl/>
        </w:rPr>
        <w:t>שנים</w:t>
      </w:r>
      <w:r w:rsidRPr="009C4002">
        <w:rPr>
          <w:rFonts w:cs="Arial"/>
          <w:u w:val="single"/>
          <w:rtl/>
        </w:rPr>
        <w:t xml:space="preserve"> בלילה לכתוב גט לאשתו ובבקר הלך לו למקום אחר וכתבו הגט באותו היום</w:t>
      </w:r>
      <w:r w:rsidRPr="009C4002">
        <w:rPr>
          <w:rFonts w:cs="Arial" w:hint="cs"/>
          <w:u w:val="single"/>
          <w:rtl/>
        </w:rPr>
        <w:t>:</w:t>
      </w:r>
      <w:r w:rsidRPr="009C4002">
        <w:rPr>
          <w:rFonts w:cs="Arial" w:hint="cs"/>
          <w:sz w:val="16"/>
          <w:szCs w:val="16"/>
          <w:rtl/>
        </w:rPr>
        <w:t xml:space="preserve"> (פת"ש סקי"ג)</w:t>
      </w:r>
      <w:r>
        <w:rPr>
          <w:rFonts w:cs="Arial"/>
          <w:rtl/>
        </w:rPr>
        <w:t xml:space="preserve"> </w:t>
      </w:r>
    </w:p>
    <w:p w14:paraId="2222D754" w14:textId="63CE5E38" w:rsidR="00FA2119" w:rsidRDefault="00FA2119" w:rsidP="00FA2119">
      <w:pPr>
        <w:pStyle w:val="ab"/>
        <w:numPr>
          <w:ilvl w:val="0"/>
          <w:numId w:val="15"/>
        </w:numPr>
        <w:rPr>
          <w:rtl/>
        </w:rPr>
      </w:pPr>
      <w:r w:rsidRPr="009C4002">
        <w:rPr>
          <w:rFonts w:cs="Arial" w:hint="cs"/>
          <w:rtl/>
        </w:rPr>
        <w:t xml:space="preserve">ג"פ </w:t>
      </w:r>
      <w:r w:rsidRPr="009C4002">
        <w:rPr>
          <w:rFonts w:cs="Arial" w:hint="cs"/>
          <w:sz w:val="16"/>
          <w:szCs w:val="16"/>
          <w:rtl/>
        </w:rPr>
        <w:t>(סקכ"ב)</w:t>
      </w:r>
      <w:r w:rsidR="00A82951">
        <w:rPr>
          <w:rFonts w:cs="Arial" w:hint="cs"/>
          <w:rtl/>
        </w:rPr>
        <w:t>-</w:t>
      </w:r>
      <w:r w:rsidRPr="009C4002">
        <w:rPr>
          <w:rFonts w:cs="Arial" w:hint="cs"/>
          <w:rtl/>
        </w:rPr>
        <w:t xml:space="preserve"> כתב</w:t>
      </w:r>
      <w:r w:rsidRPr="009C4002">
        <w:rPr>
          <w:rFonts w:cs="Arial"/>
          <w:rtl/>
        </w:rPr>
        <w:t xml:space="preserve"> הריק"ש דאם אמר ל</w:t>
      </w:r>
      <w:r w:rsidRPr="009C4002">
        <w:rPr>
          <w:rFonts w:cs="Arial" w:hint="cs"/>
          <w:rtl/>
        </w:rPr>
        <w:t>שנים</w:t>
      </w:r>
      <w:r w:rsidRPr="009C4002">
        <w:rPr>
          <w:rFonts w:cs="Arial"/>
          <w:rtl/>
        </w:rPr>
        <w:t xml:space="preserve"> בלילה לכתוב גט לאשתו ובבקר הלך לו למקום אחר וכתבו הגט באותו היום. הזמן יכתבו באותו יום כי היום הולך אחר הלילה. והמקום כיון דודאי באותו יום היה עומד שם דהיינו בתחלת לילו כותבין אותו דכל ביומו כו'</w:t>
      </w:r>
      <w:r>
        <w:rPr>
          <w:rFonts w:cs="Arial" w:hint="cs"/>
          <w:rtl/>
        </w:rPr>
        <w:t>.</w:t>
      </w:r>
      <w:r w:rsidRPr="009C4002">
        <w:rPr>
          <w:rFonts w:cs="Arial"/>
          <w:rtl/>
        </w:rPr>
        <w:t xml:space="preserve"> </w:t>
      </w:r>
      <w:r>
        <w:rPr>
          <w:rFonts w:cs="Arial" w:hint="cs"/>
          <w:rtl/>
        </w:rPr>
        <w:t xml:space="preserve">ולי נראה </w:t>
      </w:r>
      <w:r w:rsidRPr="009C4002">
        <w:rPr>
          <w:rFonts w:cs="Arial"/>
          <w:rtl/>
        </w:rPr>
        <w:t xml:space="preserve">דלענין הזמן פשיטא דהיום הולך אחר הלילה אך לענין המקום אין דבריו מחוורים ואם בבקר צוה להם בהיני והלכו בשילי באותו יום יכתבו בשילי ואי לא מיחזי כשיקרא וכן אם נשארו העדים בהיני והלך הבעל לשילי איך יכתבו העומד היום בהיני והבעל עומד בשעת כתיבה בשילי הו"ל שינה מקום העמידה </w:t>
      </w:r>
      <w:r w:rsidRPr="000D6180">
        <w:rPr>
          <w:rFonts w:cs="Arial"/>
          <w:sz w:val="16"/>
          <w:szCs w:val="16"/>
          <w:rtl/>
        </w:rPr>
        <w:t>(אלא לא יכתבו מקומו כלל כדלקמן סי' קכ"ח ע"ב)</w:t>
      </w:r>
      <w:r>
        <w:rPr>
          <w:rFonts w:cs="Arial" w:hint="cs"/>
          <w:rtl/>
        </w:rPr>
        <w:t>.</w:t>
      </w:r>
      <w:r w:rsidRPr="009C4002">
        <w:rPr>
          <w:rFonts w:cs="Arial"/>
          <w:rtl/>
        </w:rPr>
        <w:t xml:space="preserve"> </w:t>
      </w:r>
    </w:p>
    <w:p w14:paraId="2DAB80A4" w14:textId="77777777" w:rsidR="00FA2119" w:rsidRDefault="00FA2119" w:rsidP="00FA2119">
      <w:pPr>
        <w:rPr>
          <w:rtl/>
        </w:rPr>
      </w:pPr>
    </w:p>
    <w:p w14:paraId="2772E63A" w14:textId="78A2F4BC" w:rsidR="00FA2119" w:rsidRDefault="00FA2119" w:rsidP="00FA2119">
      <w:pPr>
        <w:pStyle w:val="2"/>
        <w:rPr>
          <w:rtl/>
        </w:rPr>
      </w:pPr>
      <w:r>
        <w:rPr>
          <w:rFonts w:hint="cs"/>
          <w:rtl/>
        </w:rPr>
        <w:t>סעיף</w:t>
      </w:r>
      <w:r>
        <w:rPr>
          <w:rtl/>
        </w:rPr>
        <w:t xml:space="preserve"> </w:t>
      </w:r>
      <w:r>
        <w:rPr>
          <w:rFonts w:hint="cs"/>
          <w:rtl/>
        </w:rPr>
        <w:t>ז: לא כתב את ה</w:t>
      </w:r>
      <w:r w:rsidR="00A82951">
        <w:rPr>
          <w:rFonts w:hint="cs"/>
          <w:rtl/>
        </w:rPr>
        <w:t>-</w:t>
      </w:r>
      <w:r>
        <w:rPr>
          <w:rFonts w:hint="cs"/>
          <w:rtl/>
        </w:rPr>
        <w:t xml:space="preserve">יום/חודש/שנה. כתב 'גרשתיה היום'. </w:t>
      </w:r>
    </w:p>
    <w:p w14:paraId="7DF6FFF4" w14:textId="77777777" w:rsidR="00FA2119" w:rsidRPr="00620076" w:rsidRDefault="00FA2119" w:rsidP="00FA2119">
      <w:pPr>
        <w:rPr>
          <w:rFonts w:cs="Arial"/>
          <w:rtl/>
        </w:rPr>
      </w:pPr>
      <w:r w:rsidRPr="00837E79">
        <w:rPr>
          <w:rFonts w:hint="cs"/>
          <w:b/>
          <w:bCs/>
          <w:rtl/>
        </w:rPr>
        <w:t xml:space="preserve">גיטין </w:t>
      </w:r>
      <w:r w:rsidRPr="00837E79">
        <w:rPr>
          <w:rFonts w:hint="cs"/>
          <w:b/>
          <w:bCs/>
          <w:sz w:val="16"/>
          <w:szCs w:val="16"/>
          <w:rtl/>
        </w:rPr>
        <w:t xml:space="preserve">(פ"ב) </w:t>
      </w:r>
      <w:r w:rsidRPr="00837E79">
        <w:rPr>
          <w:rFonts w:hint="cs"/>
          <w:b/>
          <w:bCs/>
          <w:rtl/>
        </w:rPr>
        <w:t>יז ע"</w:t>
      </w:r>
      <w:r>
        <w:rPr>
          <w:rFonts w:hint="cs"/>
          <w:b/>
          <w:bCs/>
          <w:rtl/>
        </w:rPr>
        <w:t>ב</w:t>
      </w:r>
      <w:r w:rsidRPr="00837E79">
        <w:rPr>
          <w:rFonts w:hint="cs"/>
          <w:b/>
          <w:bCs/>
          <w:rtl/>
        </w:rPr>
        <w:t xml:space="preserve">: </w:t>
      </w:r>
      <w:r w:rsidRPr="00972873">
        <w:rPr>
          <w:rFonts w:cs="Arial"/>
          <w:u w:val="single"/>
          <w:rtl/>
        </w:rPr>
        <w:t>אמר ליה אביי לרב יוסף</w:t>
      </w:r>
      <w:r>
        <w:rPr>
          <w:rFonts w:cs="Arial" w:hint="cs"/>
          <w:rtl/>
        </w:rPr>
        <w:t>:...</w:t>
      </w:r>
      <w:r w:rsidRPr="00972873">
        <w:rPr>
          <w:rFonts w:cs="Arial"/>
          <w:rtl/>
        </w:rPr>
        <w:t xml:space="preserve"> כתוב בו</w:t>
      </w:r>
      <w:r>
        <w:rPr>
          <w:rStyle w:val="a7"/>
          <w:rFonts w:cs="Arial"/>
          <w:rtl/>
        </w:rPr>
        <w:footnoteReference w:id="903"/>
      </w:r>
      <w:r w:rsidRPr="00972873">
        <w:rPr>
          <w:rFonts w:cs="Arial"/>
          <w:rtl/>
        </w:rPr>
        <w:t xml:space="preserve"> שבוע, שנה, חדש, שבת, מאי? </w:t>
      </w:r>
      <w:r w:rsidRPr="00972873">
        <w:rPr>
          <w:rFonts w:cs="Arial"/>
          <w:u w:val="single"/>
          <w:rtl/>
        </w:rPr>
        <w:t>אמר ליה</w:t>
      </w:r>
      <w:r w:rsidRPr="00972873">
        <w:rPr>
          <w:rFonts w:cs="Arial"/>
          <w:rtl/>
        </w:rPr>
        <w:t>: כשר</w:t>
      </w:r>
      <w:r>
        <w:rPr>
          <w:rStyle w:val="a7"/>
          <w:rFonts w:cs="Arial"/>
          <w:rtl/>
        </w:rPr>
        <w:footnoteReference w:id="904"/>
      </w:r>
      <w:r w:rsidRPr="00972873">
        <w:rPr>
          <w:rFonts w:cs="Arial"/>
          <w:rtl/>
        </w:rPr>
        <w:t>. ומה הועילו חכמים בתקנתן</w:t>
      </w:r>
      <w:r>
        <w:rPr>
          <w:rStyle w:val="a7"/>
          <w:rFonts w:cs="Arial"/>
          <w:rtl/>
        </w:rPr>
        <w:footnoteReference w:id="905"/>
      </w:r>
      <w:r w:rsidRPr="00972873">
        <w:rPr>
          <w:rFonts w:cs="Arial"/>
          <w:rtl/>
        </w:rPr>
        <w:t>? אהנו לשבוע דקמיה</w:t>
      </w:r>
      <w:r>
        <w:rPr>
          <w:rStyle w:val="a7"/>
          <w:rFonts w:cs="Arial"/>
          <w:rtl/>
        </w:rPr>
        <w:footnoteReference w:id="906"/>
      </w:r>
      <w:r w:rsidRPr="00972873">
        <w:rPr>
          <w:rFonts w:cs="Arial"/>
          <w:rtl/>
        </w:rPr>
        <w:t xml:space="preserve"> ולשבוע דבתריה</w:t>
      </w:r>
      <w:r>
        <w:rPr>
          <w:rStyle w:val="a7"/>
          <w:rFonts w:cs="Arial"/>
          <w:rtl/>
        </w:rPr>
        <w:footnoteReference w:id="907"/>
      </w:r>
      <w:r w:rsidRPr="00972873">
        <w:rPr>
          <w:rFonts w:cs="Arial"/>
          <w:rtl/>
        </w:rPr>
        <w:t xml:space="preserve">, דאי לא תימא הכי, יומא גופיה מי ידעי' אי מצפרא אי מפניא? אלא ליומא דקמיה וליומא דבתריה, הכא נמי אהני לשבוע דקמיה ולשבוע דבתריה. </w:t>
      </w:r>
      <w:r w:rsidRPr="00620076">
        <w:rPr>
          <w:rFonts w:cs="Arial" w:hint="cs"/>
          <w:sz w:val="16"/>
          <w:szCs w:val="16"/>
          <w:rtl/>
        </w:rPr>
        <w:t>(</w:t>
      </w:r>
      <w:r w:rsidRPr="00620076">
        <w:rPr>
          <w:rFonts w:cs="Arial"/>
          <w:sz w:val="16"/>
          <w:szCs w:val="16"/>
          <w:rtl/>
        </w:rPr>
        <w:t>ומשמע מדברי רש"י שכתב מה הועילו חכמים בתקנתם הא לא מימנעי מלמיכתביה ניהליה דרשאין לכתבו לכתחלה מאחר דיש בו זמן</w:t>
      </w:r>
      <w:r w:rsidRPr="00620076">
        <w:rPr>
          <w:rFonts w:cs="Arial" w:hint="cs"/>
          <w:sz w:val="16"/>
          <w:szCs w:val="16"/>
          <w:rtl/>
        </w:rPr>
        <w:t>.</w:t>
      </w:r>
      <w:r w:rsidRPr="00620076">
        <w:rPr>
          <w:rFonts w:cs="Arial"/>
          <w:sz w:val="16"/>
          <w:szCs w:val="16"/>
          <w:rtl/>
        </w:rPr>
        <w:t xml:space="preserve"> אבל בדברי הרמב"ם (פ"א הכ"ו) יש לדון מדכתב כשר אם הוא כשנכתב כך אבל לכתחלה אין כותבין</w:t>
      </w:r>
      <w:r w:rsidRPr="00620076">
        <w:rPr>
          <w:rFonts w:cs="Arial" w:hint="cs"/>
          <w:sz w:val="16"/>
          <w:szCs w:val="16"/>
          <w:rtl/>
        </w:rPr>
        <w:t>,</w:t>
      </w:r>
      <w:r w:rsidRPr="00620076">
        <w:rPr>
          <w:rFonts w:cs="Arial"/>
          <w:sz w:val="16"/>
          <w:szCs w:val="16"/>
          <w:rtl/>
        </w:rPr>
        <w:t xml:space="preserve"> או דילמא דנקט כי האי לישנא משום דלאו אורחא דמילתא למיכתב הכי</w:t>
      </w:r>
      <w:r>
        <w:rPr>
          <w:rFonts w:cs="Arial" w:hint="cs"/>
          <w:sz w:val="16"/>
          <w:szCs w:val="16"/>
          <w:rtl/>
        </w:rPr>
        <w:t>, ב"י)</w:t>
      </w:r>
    </w:p>
    <w:p w14:paraId="07C63F63" w14:textId="288D066B" w:rsidR="00FA2119" w:rsidRPr="002606BF" w:rsidRDefault="00FA2119" w:rsidP="00FA2119">
      <w:pPr>
        <w:rPr>
          <w:u w:val="single"/>
        </w:rPr>
      </w:pPr>
      <w:r w:rsidRPr="002606BF">
        <w:rPr>
          <w:rFonts w:hint="cs"/>
          <w:u w:val="single"/>
          <w:rtl/>
        </w:rPr>
        <w:t xml:space="preserve">לא כתב </w:t>
      </w:r>
      <w:r>
        <w:rPr>
          <w:rFonts w:hint="cs"/>
          <w:u w:val="single"/>
          <w:rtl/>
        </w:rPr>
        <w:t xml:space="preserve">בגט </w:t>
      </w:r>
      <w:r w:rsidRPr="002606BF">
        <w:rPr>
          <w:rFonts w:hint="cs"/>
          <w:u w:val="single"/>
          <w:rtl/>
        </w:rPr>
        <w:t>את ה</w:t>
      </w:r>
      <w:r w:rsidR="00A82951">
        <w:rPr>
          <w:rFonts w:hint="cs"/>
          <w:u w:val="single"/>
          <w:rtl/>
        </w:rPr>
        <w:t>-</w:t>
      </w:r>
      <w:r w:rsidRPr="002606BF">
        <w:rPr>
          <w:rFonts w:hint="cs"/>
          <w:u w:val="single"/>
          <w:rtl/>
        </w:rPr>
        <w:t>יום/חודש/שנה:</w:t>
      </w:r>
    </w:p>
    <w:p w14:paraId="5B7A634C" w14:textId="754EAFC3" w:rsidR="00FA2119" w:rsidRDefault="00FA2119" w:rsidP="00FA2119">
      <w:pPr>
        <w:pStyle w:val="ab"/>
        <w:numPr>
          <w:ilvl w:val="0"/>
          <w:numId w:val="15"/>
        </w:numPr>
      </w:pPr>
      <w:r>
        <w:rPr>
          <w:rFonts w:cs="Arial" w:hint="cs"/>
          <w:rtl/>
        </w:rPr>
        <w:lastRenderedPageBreak/>
        <w:t xml:space="preserve">רמב"ם </w:t>
      </w:r>
      <w:r>
        <w:rPr>
          <w:rFonts w:cs="Arial" w:hint="cs"/>
          <w:sz w:val="16"/>
          <w:szCs w:val="16"/>
          <w:rtl/>
        </w:rPr>
        <w:t>(פ"א הכ"ו)</w:t>
      </w:r>
      <w:r w:rsidR="00A82951">
        <w:rPr>
          <w:rFonts w:cs="Arial" w:hint="cs"/>
          <w:rtl/>
        </w:rPr>
        <w:t>-</w:t>
      </w:r>
      <w:r>
        <w:rPr>
          <w:rFonts w:cs="Arial" w:hint="cs"/>
          <w:rtl/>
        </w:rPr>
        <w:t xml:space="preserve"> </w:t>
      </w:r>
      <w:r w:rsidRPr="00F91324">
        <w:rPr>
          <w:rFonts w:cs="Arial"/>
          <w:rtl/>
        </w:rPr>
        <w:t>לא כתב ש</w:t>
      </w:r>
      <w:r>
        <w:rPr>
          <w:rFonts w:cs="Arial" w:hint="cs"/>
          <w:rtl/>
        </w:rPr>
        <w:t>ָ</w:t>
      </w:r>
      <w:r w:rsidRPr="00F91324">
        <w:rPr>
          <w:rFonts w:cs="Arial"/>
          <w:rtl/>
        </w:rPr>
        <w:t>ם היום אלא בשבת ראשונה או שנייה מחדש פלוני</w:t>
      </w:r>
      <w:r>
        <w:rPr>
          <w:rFonts w:cs="Arial" w:hint="cs"/>
          <w:rtl/>
        </w:rPr>
        <w:t>,</w:t>
      </w:r>
      <w:r w:rsidRPr="00F91324">
        <w:rPr>
          <w:rFonts w:cs="Arial"/>
          <w:rtl/>
        </w:rPr>
        <w:t xml:space="preserve"> או בחדש פלוני</w:t>
      </w:r>
      <w:r>
        <w:rPr>
          <w:rFonts w:cs="Arial" w:hint="cs"/>
          <w:rtl/>
        </w:rPr>
        <w:t>,</w:t>
      </w:r>
      <w:r w:rsidRPr="00F91324">
        <w:rPr>
          <w:rFonts w:cs="Arial"/>
          <w:rtl/>
        </w:rPr>
        <w:t xml:space="preserve"> או בשנה פלונית ולא הזכיר החדש</w:t>
      </w:r>
      <w:r>
        <w:rPr>
          <w:rFonts w:cs="Arial" w:hint="cs"/>
          <w:rtl/>
        </w:rPr>
        <w:t>,</w:t>
      </w:r>
      <w:r w:rsidRPr="00F91324">
        <w:rPr>
          <w:rFonts w:cs="Arial"/>
          <w:rtl/>
        </w:rPr>
        <w:t xml:space="preserve"> אפילו כתב בשבוע</w:t>
      </w:r>
      <w:r>
        <w:rPr>
          <w:rStyle w:val="a7"/>
          <w:rFonts w:cs="Arial"/>
          <w:rtl/>
        </w:rPr>
        <w:footnoteReference w:id="908"/>
      </w:r>
      <w:r w:rsidRPr="00F91324">
        <w:rPr>
          <w:rFonts w:cs="Arial"/>
          <w:rtl/>
        </w:rPr>
        <w:t xml:space="preserve"> פלוני</w:t>
      </w:r>
      <w:r>
        <w:rPr>
          <w:rFonts w:cs="Arial" w:hint="cs"/>
          <w:rtl/>
        </w:rPr>
        <w:t xml:space="preserve"> </w:t>
      </w:r>
      <w:r w:rsidR="00A82951">
        <w:rPr>
          <w:rFonts w:cs="Arial" w:hint="cs"/>
          <w:rtl/>
        </w:rPr>
        <w:t>-</w:t>
      </w:r>
      <w:r w:rsidRPr="00F91324">
        <w:rPr>
          <w:rFonts w:cs="Arial"/>
          <w:rtl/>
        </w:rPr>
        <w:t xml:space="preserve"> כשר</w:t>
      </w:r>
      <w:r>
        <w:rPr>
          <w:rFonts w:cs="Arial" w:hint="cs"/>
          <w:rtl/>
        </w:rPr>
        <w:t>.</w:t>
      </w:r>
    </w:p>
    <w:p w14:paraId="01404C81" w14:textId="4FC19109" w:rsidR="00FA2119" w:rsidRDefault="00FA2119" w:rsidP="00FA2119">
      <w:r w:rsidRPr="002606BF">
        <w:rPr>
          <w:rFonts w:cs="Arial" w:hint="cs"/>
          <w:b/>
          <w:bCs/>
          <w:rtl/>
        </w:rPr>
        <w:t xml:space="preserve">בבא בתרא </w:t>
      </w:r>
      <w:r w:rsidRPr="002606BF">
        <w:rPr>
          <w:rFonts w:cs="Arial" w:hint="cs"/>
          <w:b/>
          <w:bCs/>
          <w:sz w:val="16"/>
          <w:szCs w:val="16"/>
          <w:rtl/>
        </w:rPr>
        <w:t>(ס"פ גט פשוט)</w:t>
      </w:r>
      <w:r w:rsidRPr="002606BF">
        <w:rPr>
          <w:rFonts w:cs="Arial" w:hint="cs"/>
          <w:b/>
          <w:bCs/>
          <w:rtl/>
        </w:rPr>
        <w:t xml:space="preserve"> קעב ע"ב: </w:t>
      </w:r>
      <w:r w:rsidRPr="002606BF">
        <w:rPr>
          <w:rFonts w:cs="Arial"/>
          <w:rtl/>
        </w:rPr>
        <w:t xml:space="preserve">דתניא: גט שיש עליו עדים ואין בו זמן, </w:t>
      </w:r>
      <w:r w:rsidRPr="002606BF">
        <w:rPr>
          <w:rFonts w:cs="Arial"/>
          <w:u w:val="single"/>
          <w:rtl/>
        </w:rPr>
        <w:t>אבא שאול אומר</w:t>
      </w:r>
      <w:r w:rsidRPr="002606BF">
        <w:rPr>
          <w:rFonts w:cs="Arial"/>
          <w:rtl/>
        </w:rPr>
        <w:t xml:space="preserve">: אם כתוב בו גרשתיה היום </w:t>
      </w:r>
      <w:r w:rsidR="00A82951">
        <w:rPr>
          <w:rFonts w:cs="Arial"/>
          <w:rtl/>
        </w:rPr>
        <w:t>-</w:t>
      </w:r>
      <w:r w:rsidRPr="002606BF">
        <w:rPr>
          <w:rFonts w:cs="Arial"/>
          <w:rtl/>
        </w:rPr>
        <w:t xml:space="preserve"> כשר</w:t>
      </w:r>
      <w:r>
        <w:rPr>
          <w:rFonts w:hint="cs"/>
          <w:rtl/>
        </w:rPr>
        <w:t>.</w:t>
      </w:r>
      <w:r w:rsidRPr="002606BF">
        <w:rPr>
          <w:rtl/>
        </w:rPr>
        <w:t xml:space="preserve"> </w:t>
      </w:r>
      <w:r w:rsidRPr="002606BF">
        <w:rPr>
          <w:rFonts w:cs="Arial"/>
          <w:rtl/>
        </w:rPr>
        <w:t xml:space="preserve">אלמא היום </w:t>
      </w:r>
      <w:r w:rsidR="00A82951">
        <w:rPr>
          <w:rFonts w:cs="Arial"/>
          <w:rtl/>
        </w:rPr>
        <w:t>-</w:t>
      </w:r>
      <w:r w:rsidRPr="002606BF">
        <w:rPr>
          <w:rFonts w:cs="Arial"/>
          <w:rtl/>
        </w:rPr>
        <w:t xml:space="preserve"> ההוא יומא דנפיק</w:t>
      </w:r>
      <w:r>
        <w:rPr>
          <w:rStyle w:val="a7"/>
          <w:rFonts w:cs="Arial"/>
          <w:rtl/>
        </w:rPr>
        <w:footnoteReference w:id="909"/>
      </w:r>
      <w:r w:rsidRPr="002606BF">
        <w:rPr>
          <w:rFonts w:cs="Arial"/>
          <w:rtl/>
        </w:rPr>
        <w:t xml:space="preserve"> ביה משמע</w:t>
      </w:r>
      <w:r>
        <w:rPr>
          <w:rFonts w:cs="Arial" w:hint="cs"/>
          <w:rtl/>
        </w:rPr>
        <w:t>.</w:t>
      </w:r>
      <w:r w:rsidRPr="00BF0A63">
        <w:rPr>
          <w:rFonts w:cs="Arial"/>
          <w:sz w:val="16"/>
          <w:szCs w:val="16"/>
          <w:rtl/>
        </w:rPr>
        <w:t xml:space="preserve"> </w:t>
      </w:r>
      <w:r>
        <w:rPr>
          <w:rFonts w:cs="Arial" w:hint="cs"/>
          <w:sz w:val="16"/>
          <w:szCs w:val="16"/>
          <w:rtl/>
        </w:rPr>
        <w:t>(</w:t>
      </w:r>
      <w:r w:rsidRPr="00BF0A63">
        <w:rPr>
          <w:rFonts w:cs="Arial"/>
          <w:sz w:val="16"/>
          <w:szCs w:val="16"/>
          <w:rtl/>
        </w:rPr>
        <w:t>והאי גט נמי משמע דלרש"י</w:t>
      </w:r>
      <w:r>
        <w:rPr>
          <w:rStyle w:val="a7"/>
          <w:rFonts w:cs="Arial"/>
          <w:sz w:val="16"/>
          <w:szCs w:val="16"/>
          <w:rtl/>
        </w:rPr>
        <w:footnoteReference w:id="910"/>
      </w:r>
      <w:r w:rsidRPr="00BF0A63">
        <w:rPr>
          <w:rFonts w:cs="Arial"/>
          <w:sz w:val="16"/>
          <w:szCs w:val="16"/>
          <w:rtl/>
        </w:rPr>
        <w:t xml:space="preserve"> רשאי לכתבו לכתחלה כיון דחשיב יש בו זמן</w:t>
      </w:r>
      <w:r>
        <w:rPr>
          <w:rFonts w:cs="Arial" w:hint="cs"/>
          <w:sz w:val="16"/>
          <w:szCs w:val="16"/>
          <w:rtl/>
        </w:rPr>
        <w:t>,</w:t>
      </w:r>
      <w:r w:rsidRPr="00BF0A63">
        <w:rPr>
          <w:rFonts w:cs="Arial"/>
          <w:sz w:val="16"/>
          <w:szCs w:val="16"/>
          <w:rtl/>
        </w:rPr>
        <w:t xml:space="preserve"> ובדעת הרמב"ם יש לדון</w:t>
      </w:r>
      <w:r>
        <w:rPr>
          <w:rFonts w:cs="Arial" w:hint="cs"/>
          <w:sz w:val="16"/>
          <w:szCs w:val="16"/>
          <w:rtl/>
        </w:rPr>
        <w:t>, ב"י)</w:t>
      </w:r>
    </w:p>
    <w:p w14:paraId="1AC3A7F0" w14:textId="77777777" w:rsidR="00FA2119" w:rsidRPr="002606BF" w:rsidRDefault="00FA2119" w:rsidP="00FA2119">
      <w:pPr>
        <w:rPr>
          <w:u w:val="single"/>
        </w:rPr>
      </w:pPr>
      <w:r w:rsidRPr="002606BF">
        <w:rPr>
          <w:rFonts w:hint="cs"/>
          <w:u w:val="single"/>
          <w:rtl/>
        </w:rPr>
        <w:t>כתב בגט 'גרשתיה היום':</w:t>
      </w:r>
    </w:p>
    <w:p w14:paraId="5F0E6912" w14:textId="71EB42A7" w:rsidR="00FA2119" w:rsidRDefault="00FA2119" w:rsidP="00FA2119">
      <w:pPr>
        <w:pStyle w:val="ab"/>
        <w:numPr>
          <w:ilvl w:val="0"/>
          <w:numId w:val="15"/>
        </w:numPr>
      </w:pPr>
      <w:r>
        <w:rPr>
          <w:rFonts w:cs="Arial" w:hint="cs"/>
          <w:rtl/>
        </w:rPr>
        <w:t xml:space="preserve">רמב"ם </w:t>
      </w:r>
      <w:r>
        <w:rPr>
          <w:rFonts w:cs="Arial" w:hint="cs"/>
          <w:sz w:val="16"/>
          <w:szCs w:val="16"/>
          <w:rtl/>
        </w:rPr>
        <w:t>(פ"א הכ"ו)</w:t>
      </w:r>
      <w:r w:rsidR="00A82951">
        <w:rPr>
          <w:rFonts w:cs="Arial" w:hint="cs"/>
          <w:rtl/>
        </w:rPr>
        <w:t>-</w:t>
      </w:r>
      <w:r>
        <w:rPr>
          <w:rFonts w:cs="Arial" w:hint="cs"/>
          <w:rtl/>
        </w:rPr>
        <w:t xml:space="preserve"> </w:t>
      </w:r>
      <w:r w:rsidRPr="00F91324">
        <w:rPr>
          <w:rFonts w:cs="Arial"/>
          <w:rtl/>
        </w:rPr>
        <w:t xml:space="preserve">וכן אם כתב בו </w:t>
      </w:r>
      <w:r>
        <w:rPr>
          <w:rFonts w:cs="Arial" w:hint="cs"/>
          <w:rtl/>
        </w:rPr>
        <w:t>'</w:t>
      </w:r>
      <w:r w:rsidRPr="00F91324">
        <w:rPr>
          <w:rFonts w:cs="Arial"/>
          <w:rtl/>
        </w:rPr>
        <w:t>היום גרשתיה</w:t>
      </w:r>
      <w:r>
        <w:rPr>
          <w:rFonts w:cs="Arial" w:hint="cs"/>
          <w:rtl/>
        </w:rPr>
        <w:t>'</w:t>
      </w:r>
      <w:r w:rsidRPr="00F91324">
        <w:rPr>
          <w:rFonts w:cs="Arial"/>
          <w:rtl/>
        </w:rPr>
        <w:t xml:space="preserve"> </w:t>
      </w:r>
      <w:r w:rsidR="00A82951">
        <w:rPr>
          <w:rFonts w:cs="Arial" w:hint="cs"/>
          <w:rtl/>
        </w:rPr>
        <w:t>-</w:t>
      </w:r>
      <w:r>
        <w:rPr>
          <w:rFonts w:cs="Arial" w:hint="cs"/>
          <w:rtl/>
        </w:rPr>
        <w:t xml:space="preserve"> </w:t>
      </w:r>
      <w:r w:rsidRPr="00F91324">
        <w:rPr>
          <w:rFonts w:cs="Arial"/>
          <w:rtl/>
        </w:rPr>
        <w:t xml:space="preserve">כשר, שמשמעו היום הזה שיצא בו הגט. </w:t>
      </w:r>
    </w:p>
    <w:p w14:paraId="46E1B670" w14:textId="11EDDD7A" w:rsidR="00FA2119" w:rsidRPr="00EF013D" w:rsidRDefault="00FA2119" w:rsidP="00FA2119">
      <w:r w:rsidRPr="00837E79">
        <w:rPr>
          <w:rFonts w:hint="cs"/>
          <w:b/>
          <w:bCs/>
          <w:rtl/>
        </w:rPr>
        <w:t xml:space="preserve">גיטין </w:t>
      </w:r>
      <w:r w:rsidRPr="00837E79">
        <w:rPr>
          <w:rFonts w:hint="cs"/>
          <w:b/>
          <w:bCs/>
          <w:sz w:val="16"/>
          <w:szCs w:val="16"/>
          <w:rtl/>
        </w:rPr>
        <w:t>(</w:t>
      </w:r>
      <w:r>
        <w:rPr>
          <w:rFonts w:hint="cs"/>
          <w:b/>
          <w:bCs/>
          <w:sz w:val="16"/>
          <w:szCs w:val="16"/>
          <w:rtl/>
        </w:rPr>
        <w:t>ס"</w:t>
      </w:r>
      <w:r w:rsidRPr="00837E79">
        <w:rPr>
          <w:rFonts w:hint="cs"/>
          <w:b/>
          <w:bCs/>
          <w:sz w:val="16"/>
          <w:szCs w:val="16"/>
          <w:rtl/>
        </w:rPr>
        <w:t>פ</w:t>
      </w:r>
      <w:r>
        <w:rPr>
          <w:rFonts w:hint="cs"/>
          <w:b/>
          <w:bCs/>
          <w:sz w:val="16"/>
          <w:szCs w:val="16"/>
          <w:rtl/>
        </w:rPr>
        <w:t xml:space="preserve"> הזורק</w:t>
      </w:r>
      <w:r w:rsidRPr="00837E79">
        <w:rPr>
          <w:rFonts w:hint="cs"/>
          <w:b/>
          <w:bCs/>
          <w:sz w:val="16"/>
          <w:szCs w:val="16"/>
          <w:rtl/>
        </w:rPr>
        <w:t xml:space="preserve">) </w:t>
      </w:r>
      <w:r>
        <w:rPr>
          <w:rFonts w:hint="cs"/>
          <w:b/>
          <w:bCs/>
          <w:rtl/>
        </w:rPr>
        <w:t>עט</w:t>
      </w:r>
      <w:r w:rsidRPr="00837E79">
        <w:rPr>
          <w:rFonts w:hint="cs"/>
          <w:b/>
          <w:bCs/>
          <w:rtl/>
        </w:rPr>
        <w:t xml:space="preserve"> ע"</w:t>
      </w:r>
      <w:r>
        <w:rPr>
          <w:rFonts w:hint="cs"/>
          <w:b/>
          <w:bCs/>
          <w:rtl/>
        </w:rPr>
        <w:t>ב</w:t>
      </w:r>
      <w:r w:rsidRPr="00837E79">
        <w:rPr>
          <w:rFonts w:hint="cs"/>
          <w:b/>
          <w:bCs/>
          <w:rtl/>
        </w:rPr>
        <w:t>:</w:t>
      </w:r>
      <w:r>
        <w:rPr>
          <w:rFonts w:cs="Arial" w:hint="cs"/>
          <w:rtl/>
        </w:rPr>
        <w:t xml:space="preserve"> </w:t>
      </w:r>
      <w:r w:rsidRPr="009132FC">
        <w:rPr>
          <w:rFonts w:cs="Arial"/>
          <w:u w:val="double"/>
          <w:rtl/>
        </w:rPr>
        <w:t>מתני'</w:t>
      </w:r>
      <w:r>
        <w:rPr>
          <w:rFonts w:cs="Arial" w:hint="cs"/>
          <w:rtl/>
        </w:rPr>
        <w:t>:</w:t>
      </w:r>
      <w:r w:rsidRPr="009132FC">
        <w:rPr>
          <w:rFonts w:cs="Arial"/>
          <w:rtl/>
        </w:rPr>
        <w:t xml:space="preserve"> כתב לשום מלכות שאינה הוגנת</w:t>
      </w:r>
      <w:r>
        <w:rPr>
          <w:rStyle w:val="a7"/>
          <w:rFonts w:cs="Arial"/>
          <w:rtl/>
        </w:rPr>
        <w:footnoteReference w:id="911"/>
      </w:r>
      <w:r w:rsidRPr="009132FC">
        <w:rPr>
          <w:rFonts w:cs="Arial"/>
          <w:rtl/>
        </w:rPr>
        <w:t>, לשום מלכות מדי, לשום מלכות יון, לבנין הבית, לחורבן הבית</w:t>
      </w:r>
      <w:r>
        <w:rPr>
          <w:rStyle w:val="a7"/>
          <w:rFonts w:cs="Arial"/>
          <w:rtl/>
        </w:rPr>
        <w:footnoteReference w:id="912"/>
      </w:r>
      <w:r w:rsidRPr="009132FC">
        <w:rPr>
          <w:rFonts w:cs="Arial"/>
          <w:rtl/>
        </w:rPr>
        <w:t xml:space="preserve">, היה במזרח וכתב במערב, במערב וכתב במזרח </w:t>
      </w:r>
      <w:r w:rsidR="00A82951">
        <w:rPr>
          <w:rFonts w:cs="Arial"/>
          <w:rtl/>
        </w:rPr>
        <w:t>-</w:t>
      </w:r>
      <w:r w:rsidRPr="009132FC">
        <w:rPr>
          <w:rFonts w:cs="Arial"/>
          <w:rtl/>
        </w:rPr>
        <w:t xml:space="preserve"> תצא מזה ומזה, וצריכה גט מזה ומזה</w:t>
      </w:r>
      <w:r>
        <w:rPr>
          <w:rFonts w:cs="Arial" w:hint="cs"/>
          <w:rtl/>
        </w:rPr>
        <w:t>,</w:t>
      </w:r>
      <w:r w:rsidRPr="009132FC">
        <w:rPr>
          <w:rFonts w:cs="Arial"/>
          <w:rtl/>
        </w:rPr>
        <w:t xml:space="preserve"> ואין לה לא כתובה ולא פירות ולא מזונות ולא בלאות לא על זה ולא על זה, אם נטלה מזה ומזה תחזיר</w:t>
      </w:r>
      <w:r>
        <w:rPr>
          <w:rFonts w:cs="Arial" w:hint="cs"/>
          <w:rtl/>
        </w:rPr>
        <w:t>,</w:t>
      </w:r>
      <w:r w:rsidRPr="009132FC">
        <w:rPr>
          <w:rFonts w:cs="Arial"/>
          <w:rtl/>
        </w:rPr>
        <w:t xml:space="preserve"> והולד ממזר מזה ומזה</w:t>
      </w:r>
      <w:r>
        <w:rPr>
          <w:rFonts w:cs="Arial"/>
          <w:rtl/>
        </w:rPr>
        <w:t>..</w:t>
      </w:r>
      <w:r>
        <w:rPr>
          <w:rFonts w:cs="Arial" w:hint="cs"/>
          <w:rtl/>
        </w:rPr>
        <w:t>.</w:t>
      </w:r>
      <w:r>
        <w:rPr>
          <w:rFonts w:cs="Arial"/>
          <w:rtl/>
        </w:rPr>
        <w:t xml:space="preserve"> </w:t>
      </w:r>
      <w:r>
        <w:rPr>
          <w:rFonts w:hint="cs"/>
          <w:rtl/>
        </w:rPr>
        <w:t xml:space="preserve">       </w:t>
      </w:r>
      <w:r w:rsidRPr="0009276E">
        <w:rPr>
          <w:rFonts w:cs="Arial"/>
          <w:u w:val="double"/>
          <w:rtl/>
        </w:rPr>
        <w:t>גמ'</w:t>
      </w:r>
      <w:r w:rsidRPr="0009276E">
        <w:rPr>
          <w:rFonts w:cs="Arial" w:hint="cs"/>
          <w:sz w:val="14"/>
          <w:szCs w:val="14"/>
          <w:u w:val="double"/>
          <w:rtl/>
        </w:rPr>
        <w:t>(פ.)</w:t>
      </w:r>
      <w:r w:rsidRPr="0009276E">
        <w:rPr>
          <w:rFonts w:cs="Arial" w:hint="cs"/>
          <w:u w:val="double"/>
          <w:rtl/>
        </w:rPr>
        <w:t>:</w:t>
      </w:r>
      <w:r>
        <w:rPr>
          <w:rFonts w:cs="Arial"/>
          <w:rtl/>
        </w:rPr>
        <w:t xml:space="preserve"> מאי מלכות שאינה הוגנת? מלכות הרומיים. ואמאי קרי לה מלכות שאינה הוגנת? משום דאין להם לא כתב ולא לשון. </w:t>
      </w:r>
      <w:r w:rsidRPr="00CA2E42">
        <w:rPr>
          <w:rFonts w:cs="Arial"/>
          <w:u w:val="single"/>
          <w:rtl/>
        </w:rPr>
        <w:t>אמר עולא</w:t>
      </w:r>
      <w:r>
        <w:rPr>
          <w:rFonts w:cs="Arial"/>
          <w:rtl/>
        </w:rPr>
        <w:t xml:space="preserve">: מפני מה תקינו מלכות בגיטין? משום שלום מלכות. ומשום שלום מלכות תצא והולד ממזר? אין, ר"מ לטעמיה, דא"ר המנונא משמיה דעולא, אומר היה ר"מ: כל המשנה ממטבע שטבעו חכמים בגיטין </w:t>
      </w:r>
      <w:r w:rsidR="00A82951">
        <w:rPr>
          <w:rFonts w:cs="Arial"/>
          <w:rtl/>
        </w:rPr>
        <w:t>-</w:t>
      </w:r>
      <w:r>
        <w:rPr>
          <w:rFonts w:cs="Arial"/>
          <w:rtl/>
        </w:rPr>
        <w:t xml:space="preserve"> הולד ממזר. לשום מלכות יון. וצריכא; דאי אשמועינן מלכות שאינה הוגנת, משום דמליכא, אבל מלכות מדי ומלכות יון מאי דהוה הוה; ואי אשמעי' מלכות מדי ומלכות יון, משום דמלכותא הוו, אבל בנין הבית מאי דהוה הוה; ואי אשמעינן בנין הבית, דאמרי: קמדכרי שבחייהו, אבל חורבן הבית דצערא הוא </w:t>
      </w:r>
      <w:r w:rsidR="00A82951">
        <w:rPr>
          <w:rFonts w:cs="Arial"/>
          <w:rtl/>
        </w:rPr>
        <w:t>-</w:t>
      </w:r>
      <w:r>
        <w:rPr>
          <w:rFonts w:cs="Arial"/>
          <w:rtl/>
        </w:rPr>
        <w:t xml:space="preserve"> אימא לא, צריכא</w:t>
      </w:r>
      <w:r>
        <w:rPr>
          <w:rFonts w:cs="Arial" w:hint="cs"/>
          <w:rtl/>
        </w:rPr>
        <w:t xml:space="preserve">... </w:t>
      </w:r>
      <w:r w:rsidRPr="00EF013D">
        <w:rPr>
          <w:rFonts w:cs="Arial"/>
          <w:u w:val="single"/>
          <w:rtl/>
        </w:rPr>
        <w:t>אמר רב יהודה אמר שמואל</w:t>
      </w:r>
      <w:r>
        <w:rPr>
          <w:rFonts w:cs="Arial" w:hint="cs"/>
          <w:rtl/>
        </w:rPr>
        <w:t>:</w:t>
      </w:r>
      <w:r>
        <w:rPr>
          <w:rFonts w:cs="Arial" w:hint="cs"/>
          <w:sz w:val="20"/>
          <w:szCs w:val="14"/>
          <w:rtl/>
        </w:rPr>
        <w:t xml:space="preserve"> </w:t>
      </w:r>
      <w:r w:rsidRPr="00EF013D">
        <w:rPr>
          <w:rFonts w:cs="Arial"/>
          <w:sz w:val="20"/>
          <w:szCs w:val="14"/>
          <w:rtl/>
        </w:rPr>
        <w:t>(</w:t>
      </w:r>
      <w:r>
        <w:rPr>
          <w:rFonts w:cs="Arial" w:hint="cs"/>
          <w:sz w:val="20"/>
          <w:szCs w:val="14"/>
          <w:rtl/>
        </w:rPr>
        <w:t>פ:</w:t>
      </w:r>
      <w:r w:rsidRPr="00EF013D">
        <w:rPr>
          <w:rFonts w:cs="Arial"/>
          <w:sz w:val="20"/>
          <w:szCs w:val="14"/>
          <w:rtl/>
        </w:rPr>
        <w:t>)</w:t>
      </w:r>
      <w:r>
        <w:rPr>
          <w:rFonts w:cs="Arial" w:hint="cs"/>
          <w:sz w:val="20"/>
          <w:szCs w:val="14"/>
          <w:rtl/>
        </w:rPr>
        <w:t xml:space="preserve"> </w:t>
      </w:r>
      <w:r w:rsidRPr="00EF013D">
        <w:rPr>
          <w:rFonts w:cs="Arial"/>
          <w:rtl/>
        </w:rPr>
        <w:t>זו דברי ר"מ</w:t>
      </w:r>
      <w:r w:rsidRPr="00EF013D">
        <w:rPr>
          <w:rStyle w:val="a7"/>
          <w:rFonts w:cs="Arial"/>
          <w:rtl/>
        </w:rPr>
        <w:footnoteReference w:id="913"/>
      </w:r>
      <w:r w:rsidRPr="00EF013D">
        <w:rPr>
          <w:rFonts w:cs="Arial"/>
          <w:rtl/>
        </w:rPr>
        <w:t>, אבל חכמים אומרים: אפילו לא כתב אלא לשם סנטר</w:t>
      </w:r>
      <w:r w:rsidRPr="00EF013D">
        <w:rPr>
          <w:rStyle w:val="a7"/>
          <w:rFonts w:cs="Arial"/>
          <w:rtl/>
        </w:rPr>
        <w:footnoteReference w:id="914"/>
      </w:r>
      <w:r w:rsidRPr="00EF013D">
        <w:rPr>
          <w:rFonts w:cs="Arial"/>
          <w:rtl/>
        </w:rPr>
        <w:t xml:space="preserve"> שבעיר </w:t>
      </w:r>
      <w:r w:rsidR="00A82951">
        <w:rPr>
          <w:rFonts w:cs="Arial"/>
          <w:rtl/>
        </w:rPr>
        <w:t>-</w:t>
      </w:r>
      <w:r w:rsidRPr="00EF013D">
        <w:rPr>
          <w:rFonts w:cs="Arial"/>
          <w:rtl/>
        </w:rPr>
        <w:t xml:space="preserve"> הרי זו מגורשת.</w:t>
      </w:r>
      <w:r w:rsidRPr="00EF013D">
        <w:rPr>
          <w:rFonts w:hint="cs"/>
          <w:rtl/>
        </w:rPr>
        <w:t xml:space="preserve"> </w:t>
      </w:r>
      <w:r w:rsidRPr="00EF013D">
        <w:rPr>
          <w:rFonts w:cs="Arial"/>
          <w:u w:val="single"/>
          <w:rtl/>
        </w:rPr>
        <w:t>ההוא</w:t>
      </w:r>
      <w:r w:rsidRPr="00EF013D">
        <w:rPr>
          <w:rFonts w:cs="Arial"/>
          <w:rtl/>
        </w:rPr>
        <w:t xml:space="preserve"> גיטא דהוה כתיב ביה לשם איסטנדרא דבשכר, </w:t>
      </w:r>
      <w:r w:rsidRPr="00EF013D">
        <w:rPr>
          <w:rFonts w:cs="Arial"/>
          <w:u w:val="single"/>
          <w:rtl/>
        </w:rPr>
        <w:t>שלחה רב נחמן בר רב חסדא לקמיה דרבה</w:t>
      </w:r>
      <w:r w:rsidRPr="00EF013D">
        <w:rPr>
          <w:rFonts w:cs="Arial"/>
          <w:rtl/>
        </w:rPr>
        <w:t xml:space="preserve">: כי האי גוונא מאי? </w:t>
      </w:r>
      <w:r w:rsidRPr="00EF013D">
        <w:rPr>
          <w:rFonts w:cs="Arial"/>
          <w:u w:val="single"/>
          <w:rtl/>
        </w:rPr>
        <w:t>שלח ליה</w:t>
      </w:r>
      <w:r w:rsidRPr="00EF013D">
        <w:rPr>
          <w:rFonts w:cs="Arial"/>
          <w:rtl/>
        </w:rPr>
        <w:t>: בהא אפילו ר"מ מודי, מאי טעמא? מאותה מלכות הוא. ומאי שנא מסנטר שבעיר? התם זילא להו מילתא, הכא שביחא להו מילתא.</w:t>
      </w:r>
      <w:r w:rsidRPr="008C6CAB">
        <w:rPr>
          <w:rFonts w:cs="Arial"/>
          <w:u w:val="single"/>
          <w:rtl/>
        </w:rPr>
        <w:t xml:space="preserve"> </w:t>
      </w:r>
      <w:r w:rsidRPr="007E6332">
        <w:rPr>
          <w:rFonts w:cs="Arial"/>
          <w:u w:val="single"/>
          <w:rtl/>
        </w:rPr>
        <w:t>אמר ר' אבא אמר רב הונא אמר רב</w:t>
      </w:r>
      <w:r w:rsidRPr="007E6332">
        <w:rPr>
          <w:rFonts w:cs="Arial"/>
          <w:rtl/>
        </w:rPr>
        <w:t>: זו דברי ר"מ, אבל חכמים אומרים: הולד כשר</w:t>
      </w:r>
      <w:r>
        <w:rPr>
          <w:rStyle w:val="a7"/>
          <w:rFonts w:cs="Arial"/>
          <w:rtl/>
        </w:rPr>
        <w:footnoteReference w:id="915"/>
      </w:r>
      <w:r w:rsidRPr="007E6332">
        <w:rPr>
          <w:rFonts w:cs="Arial"/>
          <w:rtl/>
        </w:rPr>
        <w:t xml:space="preserve">; ומודים חכמים לר"מ, שאם שינה שמו ושמה, שם עירו ושם עירה </w:t>
      </w:r>
      <w:r w:rsidR="00A82951">
        <w:rPr>
          <w:rFonts w:cs="Arial"/>
          <w:rtl/>
        </w:rPr>
        <w:t>-</w:t>
      </w:r>
      <w:r w:rsidRPr="007E6332">
        <w:rPr>
          <w:rFonts w:cs="Arial"/>
          <w:rtl/>
        </w:rPr>
        <w:t xml:space="preserve"> שהולד ממזר.</w:t>
      </w:r>
    </w:p>
    <w:p w14:paraId="5C20AF37" w14:textId="644F917B" w:rsidR="00FA2119" w:rsidRPr="009132FC" w:rsidRDefault="00FA2119" w:rsidP="00FA2119">
      <w:pPr>
        <w:rPr>
          <w:u w:val="single"/>
          <w:rtl/>
        </w:rPr>
      </w:pPr>
      <w:r w:rsidRPr="009132FC">
        <w:rPr>
          <w:rFonts w:hint="cs"/>
          <w:u w:val="single"/>
          <w:rtl/>
        </w:rPr>
        <w:t>לאיזה מנין מונים בגט</w:t>
      </w:r>
      <w:r>
        <w:rPr>
          <w:rFonts w:hint="cs"/>
          <w:u w:val="single"/>
          <w:rtl/>
        </w:rPr>
        <w:t xml:space="preserve"> </w:t>
      </w:r>
      <w:r w:rsidR="00A82951">
        <w:rPr>
          <w:u w:val="single"/>
          <w:rtl/>
        </w:rPr>
        <w:t>-</w:t>
      </w:r>
      <w:r>
        <w:rPr>
          <w:rFonts w:hint="cs"/>
          <w:u w:val="single"/>
          <w:rtl/>
        </w:rPr>
        <w:t xml:space="preserve"> </w:t>
      </w:r>
      <w:r w:rsidRPr="00391090">
        <w:rPr>
          <w:rFonts w:hint="cs"/>
          <w:u w:val="single"/>
          <w:rtl/>
        </w:rPr>
        <w:t>בזמן חכמי התלמוד</w:t>
      </w:r>
      <w:r w:rsidRPr="009132FC">
        <w:rPr>
          <w:rFonts w:hint="cs"/>
          <w:u w:val="single"/>
          <w:rtl/>
        </w:rPr>
        <w:t>:</w:t>
      </w:r>
    </w:p>
    <w:p w14:paraId="6CEECA96" w14:textId="54B3659C" w:rsidR="00FA2119" w:rsidRDefault="00FA2119" w:rsidP="00FA2119">
      <w:pPr>
        <w:pStyle w:val="ab"/>
        <w:numPr>
          <w:ilvl w:val="0"/>
          <w:numId w:val="15"/>
        </w:numPr>
      </w:pPr>
      <w:r>
        <w:rPr>
          <w:rFonts w:cs="Arial" w:hint="cs"/>
          <w:rtl/>
        </w:rPr>
        <w:t>טור</w:t>
      </w:r>
      <w:r w:rsidR="00A82951">
        <w:rPr>
          <w:rFonts w:cs="Arial" w:hint="cs"/>
          <w:rtl/>
        </w:rPr>
        <w:t>-</w:t>
      </w:r>
      <w:r>
        <w:rPr>
          <w:rFonts w:cs="Arial" w:hint="cs"/>
          <w:rtl/>
        </w:rPr>
        <w:t xml:space="preserve"> </w:t>
      </w:r>
      <w:r>
        <w:rPr>
          <w:rFonts w:cs="Arial"/>
          <w:rtl/>
        </w:rPr>
        <w:t>בימי חכמי התלמוד היה דרכם למנות לשנות המלכים</w:t>
      </w:r>
      <w:r>
        <w:rPr>
          <w:rFonts w:cs="Arial" w:hint="cs"/>
          <w:rtl/>
        </w:rPr>
        <w:t>,</w:t>
      </w:r>
      <w:r>
        <w:rPr>
          <w:rFonts w:cs="Arial"/>
          <w:rtl/>
        </w:rPr>
        <w:t xml:space="preserve"> ואם שינה ומנה לחשבון אחר </w:t>
      </w:r>
      <w:r w:rsidR="00A82951">
        <w:rPr>
          <w:rFonts w:cs="Arial" w:hint="cs"/>
          <w:rtl/>
        </w:rPr>
        <w:t>-</w:t>
      </w:r>
      <w:r>
        <w:rPr>
          <w:rFonts w:cs="Arial" w:hint="cs"/>
          <w:rtl/>
        </w:rPr>
        <w:t xml:space="preserve"> </w:t>
      </w:r>
      <w:r>
        <w:rPr>
          <w:rFonts w:cs="Arial"/>
          <w:rtl/>
        </w:rPr>
        <w:t>הגט פסול</w:t>
      </w:r>
      <w:r>
        <w:rPr>
          <w:rFonts w:cs="Arial" w:hint="cs"/>
          <w:rtl/>
        </w:rPr>
        <w:t>.</w:t>
      </w:r>
      <w:r>
        <w:rPr>
          <w:rFonts w:cs="Arial"/>
          <w:rtl/>
        </w:rPr>
        <w:t xml:space="preserve"> </w:t>
      </w:r>
    </w:p>
    <w:p w14:paraId="1FDED521" w14:textId="2910E712" w:rsidR="00FA2119" w:rsidRDefault="00FA2119" w:rsidP="00FA2119">
      <w:pPr>
        <w:pStyle w:val="ab"/>
        <w:numPr>
          <w:ilvl w:val="0"/>
          <w:numId w:val="15"/>
        </w:numPr>
      </w:pPr>
      <w:r w:rsidRPr="00604968">
        <w:rPr>
          <w:rFonts w:cs="Arial"/>
          <w:rtl/>
        </w:rPr>
        <w:t>ר"ת</w:t>
      </w:r>
      <w:r w:rsidRPr="00391090">
        <w:rPr>
          <w:rFonts w:cs="Arial"/>
          <w:rtl/>
        </w:rPr>
        <w:t xml:space="preserve"> </w:t>
      </w:r>
      <w:r>
        <w:rPr>
          <w:rFonts w:cs="Arial" w:hint="cs"/>
          <w:sz w:val="16"/>
          <w:szCs w:val="16"/>
          <w:rtl/>
        </w:rPr>
        <w:t>(כ"כ התוס' [פ: ד"ה זו] בשמו)</w:t>
      </w:r>
      <w:r w:rsidR="00A82951">
        <w:rPr>
          <w:rFonts w:cs="Arial" w:hint="cs"/>
          <w:rtl/>
        </w:rPr>
        <w:t>-</w:t>
      </w:r>
      <w:r w:rsidRPr="00604968">
        <w:rPr>
          <w:rFonts w:cs="Arial"/>
          <w:rtl/>
        </w:rPr>
        <w:t xml:space="preserve"> לשום מלכות אחרת מותר לגרש בו לכתחילה לרבנן</w:t>
      </w:r>
      <w:r>
        <w:rPr>
          <w:rFonts w:cs="Arial" w:hint="cs"/>
          <w:rtl/>
        </w:rPr>
        <w:t>...</w:t>
      </w:r>
      <w:r w:rsidRPr="00604968">
        <w:rPr>
          <w:rFonts w:cs="Arial"/>
          <w:rtl/>
        </w:rPr>
        <w:t xml:space="preserve"> ומגורשת היינו שתתגרש בו לכתחילה קאמר אפי' נכתב לשם סנטר דזילא בהו מילתא</w:t>
      </w:r>
      <w:r>
        <w:rPr>
          <w:rFonts w:hint="cs"/>
          <w:rtl/>
        </w:rPr>
        <w:t>... וקיי"ל כחכמים.</w:t>
      </w:r>
    </w:p>
    <w:p w14:paraId="42A3178C" w14:textId="4B3ADC62" w:rsidR="00FA2119" w:rsidRDefault="00FA2119" w:rsidP="00FA2119">
      <w:pPr>
        <w:pStyle w:val="ab"/>
        <w:numPr>
          <w:ilvl w:val="0"/>
          <w:numId w:val="15"/>
        </w:numPr>
      </w:pPr>
      <w:r>
        <w:rPr>
          <w:rFonts w:cs="Arial" w:hint="cs"/>
          <w:rtl/>
        </w:rPr>
        <w:t xml:space="preserve">ה"ר אלחנן </w:t>
      </w:r>
      <w:r>
        <w:rPr>
          <w:rFonts w:cs="Arial" w:hint="cs"/>
          <w:sz w:val="16"/>
          <w:szCs w:val="16"/>
          <w:rtl/>
        </w:rPr>
        <w:t>(בתוס' שם)</w:t>
      </w:r>
      <w:r w:rsidR="00A82951">
        <w:rPr>
          <w:rFonts w:cs="Arial" w:hint="cs"/>
          <w:rtl/>
        </w:rPr>
        <w:t>-</w:t>
      </w:r>
      <w:r>
        <w:rPr>
          <w:rFonts w:cs="Arial" w:hint="cs"/>
          <w:rtl/>
        </w:rPr>
        <w:t xml:space="preserve"> </w:t>
      </w:r>
      <w:r w:rsidRPr="0038228A">
        <w:rPr>
          <w:rFonts w:cs="Arial"/>
          <w:rtl/>
        </w:rPr>
        <w:t>בסנטר העיר כשר טפי לפי שהוא ממלכות העיר אבל לשם מלכות אחרת אסור לגרש בו ובדיעבד הולד כשר ומשום דר"מ בעי מלכות חשובה קאמר אבל חכמים אומרים אפילו סנטר דגרע הויא מגורשת כיון דהוא מאותה מלכות ועדיף ממלכות אחרת</w:t>
      </w:r>
      <w:r>
        <w:rPr>
          <w:rFonts w:hint="cs"/>
          <w:rtl/>
        </w:rPr>
        <w:t>.</w:t>
      </w:r>
    </w:p>
    <w:p w14:paraId="05CB376B" w14:textId="19E785D3" w:rsidR="00FA2119" w:rsidRDefault="00FA2119" w:rsidP="00FA2119">
      <w:pPr>
        <w:pStyle w:val="ab"/>
        <w:numPr>
          <w:ilvl w:val="0"/>
          <w:numId w:val="15"/>
        </w:numPr>
      </w:pPr>
      <w:r>
        <w:rPr>
          <w:rFonts w:cs="Arial" w:hint="cs"/>
          <w:rtl/>
        </w:rPr>
        <w:t xml:space="preserve">רמב"ם </w:t>
      </w:r>
      <w:r>
        <w:rPr>
          <w:rFonts w:cs="Arial" w:hint="cs"/>
          <w:sz w:val="16"/>
          <w:szCs w:val="16"/>
          <w:rtl/>
        </w:rPr>
        <w:t>(פ"א הכ"ז)</w:t>
      </w:r>
      <w:r w:rsidR="00A82951">
        <w:rPr>
          <w:rFonts w:cs="Arial" w:hint="cs"/>
          <w:rtl/>
        </w:rPr>
        <w:t>-</w:t>
      </w:r>
      <w:r>
        <w:rPr>
          <w:rFonts w:cs="Arial" w:hint="cs"/>
          <w:rtl/>
        </w:rPr>
        <w:t xml:space="preserve"> </w:t>
      </w:r>
      <w:r w:rsidRPr="00973016">
        <w:rPr>
          <w:rFonts w:cs="Arial"/>
          <w:rtl/>
        </w:rPr>
        <w:t>וכן תקנו שיהו מונין בגיטין למלכות אותו הזמן משום שלום מלכות</w:t>
      </w:r>
      <w:r>
        <w:rPr>
          <w:rFonts w:cs="Arial" w:hint="cs"/>
          <w:rtl/>
        </w:rPr>
        <w:t>.</w:t>
      </w:r>
      <w:r w:rsidRPr="00973016">
        <w:rPr>
          <w:rFonts w:cs="Arial"/>
          <w:rtl/>
        </w:rPr>
        <w:t xml:space="preserve"> כתב לשם מלכות שאינה מלכות אותה המדינה</w:t>
      </w:r>
      <w:r>
        <w:rPr>
          <w:rFonts w:cs="Arial" w:hint="cs"/>
          <w:rtl/>
        </w:rPr>
        <w:t>,</w:t>
      </w:r>
      <w:r w:rsidRPr="00973016">
        <w:rPr>
          <w:rFonts w:cs="Arial"/>
          <w:rtl/>
        </w:rPr>
        <w:t xml:space="preserve"> או לבנין הבית</w:t>
      </w:r>
      <w:r>
        <w:rPr>
          <w:rFonts w:cs="Arial" w:hint="cs"/>
          <w:rtl/>
        </w:rPr>
        <w:t>,</w:t>
      </w:r>
      <w:r w:rsidRPr="00973016">
        <w:rPr>
          <w:rFonts w:cs="Arial"/>
          <w:rtl/>
        </w:rPr>
        <w:t xml:space="preserve"> או לחרבן הבית</w:t>
      </w:r>
      <w:r>
        <w:rPr>
          <w:rFonts w:cs="Arial" w:hint="cs"/>
          <w:rtl/>
        </w:rPr>
        <w:t>,</w:t>
      </w:r>
      <w:r w:rsidRPr="00973016">
        <w:rPr>
          <w:rFonts w:cs="Arial"/>
          <w:rtl/>
        </w:rPr>
        <w:t xml:space="preserve"> אם דרך אנשי אותו מקום למנות בו </w:t>
      </w:r>
      <w:r w:rsidR="00A82951">
        <w:rPr>
          <w:rFonts w:cs="Arial" w:hint="cs"/>
          <w:rtl/>
        </w:rPr>
        <w:t>-</w:t>
      </w:r>
      <w:r>
        <w:rPr>
          <w:rFonts w:cs="Arial" w:hint="cs"/>
          <w:rtl/>
        </w:rPr>
        <w:t xml:space="preserve"> </w:t>
      </w:r>
      <w:r w:rsidRPr="00973016">
        <w:rPr>
          <w:rFonts w:cs="Arial"/>
          <w:rtl/>
        </w:rPr>
        <w:t>הרי זה כשר</w:t>
      </w:r>
      <w:r>
        <w:rPr>
          <w:rFonts w:cs="Arial" w:hint="cs"/>
          <w:rtl/>
        </w:rPr>
        <w:t>.</w:t>
      </w:r>
      <w:r w:rsidRPr="00973016">
        <w:rPr>
          <w:rFonts w:cs="Arial"/>
          <w:rtl/>
        </w:rPr>
        <w:t xml:space="preserve"> ואם אין דרכן למנות בו </w:t>
      </w:r>
      <w:r w:rsidR="00A82951">
        <w:rPr>
          <w:rFonts w:cs="Arial" w:hint="cs"/>
          <w:rtl/>
        </w:rPr>
        <w:t>-</w:t>
      </w:r>
      <w:r>
        <w:rPr>
          <w:rFonts w:cs="Arial" w:hint="cs"/>
          <w:rtl/>
        </w:rPr>
        <w:t xml:space="preserve"> </w:t>
      </w:r>
      <w:r w:rsidRPr="00973016">
        <w:rPr>
          <w:rFonts w:cs="Arial"/>
          <w:rtl/>
        </w:rPr>
        <w:t>הרי זה פסול</w:t>
      </w:r>
      <w:r>
        <w:rPr>
          <w:rFonts w:cs="Arial" w:hint="cs"/>
          <w:rtl/>
        </w:rPr>
        <w:t>.</w:t>
      </w:r>
    </w:p>
    <w:p w14:paraId="6019CA61" w14:textId="77777777" w:rsidR="00FA2119" w:rsidRPr="00391090" w:rsidRDefault="00FA2119" w:rsidP="00FA2119">
      <w:pPr>
        <w:ind w:left="360"/>
        <w:rPr>
          <w:u w:val="dotted"/>
        </w:rPr>
      </w:pPr>
      <w:r w:rsidRPr="00391090">
        <w:rPr>
          <w:rFonts w:hint="cs"/>
          <w:u w:val="dotted"/>
          <w:rtl/>
        </w:rPr>
        <w:t>ומה הדין בזמננו:</w:t>
      </w:r>
    </w:p>
    <w:p w14:paraId="5875C227" w14:textId="0EE8284D" w:rsidR="00FA2119" w:rsidRPr="00E36490" w:rsidRDefault="00FA2119" w:rsidP="00FA2119">
      <w:pPr>
        <w:pStyle w:val="ab"/>
        <w:numPr>
          <w:ilvl w:val="0"/>
          <w:numId w:val="15"/>
        </w:numPr>
      </w:pPr>
      <w:r w:rsidRPr="00604968">
        <w:rPr>
          <w:rFonts w:cs="Arial"/>
          <w:rtl/>
        </w:rPr>
        <w:t>ר"ת</w:t>
      </w:r>
      <w:r>
        <w:rPr>
          <w:rStyle w:val="a7"/>
          <w:rFonts w:cs="Arial"/>
          <w:rtl/>
        </w:rPr>
        <w:footnoteReference w:id="916"/>
      </w:r>
      <w:r>
        <w:rPr>
          <w:rFonts w:cs="Arial" w:hint="cs"/>
          <w:rtl/>
        </w:rPr>
        <w:t xml:space="preserve"> </w:t>
      </w:r>
      <w:r w:rsidRPr="00604968">
        <w:rPr>
          <w:rFonts w:cs="Arial"/>
          <w:rtl/>
        </w:rPr>
        <w:t>ה</w:t>
      </w:r>
      <w:r>
        <w:rPr>
          <w:rFonts w:cs="Arial" w:hint="cs"/>
          <w:rtl/>
        </w:rPr>
        <w:t>"</w:t>
      </w:r>
      <w:r w:rsidRPr="00604968">
        <w:rPr>
          <w:rFonts w:cs="Arial"/>
          <w:rtl/>
        </w:rPr>
        <w:t>ר אלחנן ה</w:t>
      </w:r>
      <w:r>
        <w:rPr>
          <w:rFonts w:cs="Arial" w:hint="cs"/>
          <w:rtl/>
        </w:rPr>
        <w:t>"</w:t>
      </w:r>
      <w:r w:rsidRPr="00604968">
        <w:rPr>
          <w:rFonts w:cs="Arial"/>
          <w:rtl/>
        </w:rPr>
        <w:t>ר יוסף</w:t>
      </w:r>
      <w:r>
        <w:rPr>
          <w:rFonts w:cs="Arial" w:hint="cs"/>
          <w:sz w:val="16"/>
          <w:szCs w:val="16"/>
          <w:rtl/>
        </w:rPr>
        <w:t xml:space="preserve"> (כ"כ התוס' [פ: ד"ה זו] בשמם)</w:t>
      </w:r>
      <w:r w:rsidRPr="00BC0713">
        <w:rPr>
          <w:rFonts w:cs="Arial" w:hint="cs"/>
          <w:rtl/>
        </w:rPr>
        <w:t xml:space="preserve"> רא"ש </w:t>
      </w:r>
      <w:r w:rsidRPr="00BC0713">
        <w:rPr>
          <w:rFonts w:cs="Arial"/>
          <w:szCs w:val="16"/>
          <w:rtl/>
        </w:rPr>
        <w:t>(</w:t>
      </w:r>
      <w:r w:rsidRPr="00BC0713">
        <w:rPr>
          <w:rFonts w:cs="Arial" w:hint="cs"/>
          <w:szCs w:val="16"/>
          <w:rtl/>
        </w:rPr>
        <w:t>פ"ח סי' ט</w:t>
      </w:r>
      <w:r w:rsidRPr="00BC0713">
        <w:rPr>
          <w:rFonts w:cs="Arial"/>
          <w:szCs w:val="16"/>
          <w:rtl/>
        </w:rPr>
        <w:t>)</w:t>
      </w:r>
      <w:r>
        <w:rPr>
          <w:rFonts w:cs="Arial" w:hint="cs"/>
          <w:sz w:val="28"/>
          <w:rtl/>
        </w:rPr>
        <w:t xml:space="preserve"> וטור</w:t>
      </w:r>
      <w:r w:rsidR="00A82951">
        <w:rPr>
          <w:rFonts w:cs="Arial" w:hint="cs"/>
          <w:sz w:val="28"/>
          <w:rtl/>
        </w:rPr>
        <w:t>-</w:t>
      </w:r>
      <w:r w:rsidRPr="00BC0713">
        <w:rPr>
          <w:rFonts w:cs="Arial" w:hint="cs"/>
          <w:sz w:val="28"/>
          <w:rtl/>
        </w:rPr>
        <w:t xml:space="preserve"> </w:t>
      </w:r>
      <w:r w:rsidRPr="00BC0713">
        <w:rPr>
          <w:rFonts w:cs="Arial"/>
          <w:sz w:val="28"/>
          <w:rtl/>
        </w:rPr>
        <w:t>ולענין שלום מלכות אין נפקותא האידנא בפסק זה דדווקא בימיהם שהיו עובדי כוכבים מונין בשטרות לשנות המלכים</w:t>
      </w:r>
      <w:r>
        <w:rPr>
          <w:rFonts w:cs="Arial" w:hint="cs"/>
          <w:sz w:val="28"/>
          <w:rtl/>
        </w:rPr>
        <w:t>,</w:t>
      </w:r>
      <w:r w:rsidRPr="00BC0713">
        <w:rPr>
          <w:rFonts w:cs="Arial"/>
          <w:sz w:val="28"/>
          <w:rtl/>
        </w:rPr>
        <w:t xml:space="preserve"> כדאמרינן בפרק גט </w:t>
      </w:r>
      <w:r w:rsidRPr="00BC0713">
        <w:rPr>
          <w:rFonts w:cs="Arial"/>
          <w:sz w:val="28"/>
          <w:rtl/>
        </w:rPr>
        <w:lastRenderedPageBreak/>
        <w:t>פשוט (</w:t>
      </w:r>
      <w:r w:rsidRPr="00BC0713">
        <w:rPr>
          <w:rFonts w:cs="Arial" w:hint="cs"/>
          <w:sz w:val="28"/>
          <w:rtl/>
        </w:rPr>
        <w:t>ב"ב</w:t>
      </w:r>
      <w:r w:rsidRPr="00BC0713">
        <w:rPr>
          <w:rFonts w:cs="Arial"/>
          <w:sz w:val="28"/>
          <w:rtl/>
        </w:rPr>
        <w:t xml:space="preserve"> קסד</w:t>
      </w:r>
      <w:r w:rsidRPr="00BC0713">
        <w:rPr>
          <w:rFonts w:cs="Arial" w:hint="cs"/>
          <w:sz w:val="28"/>
          <w:rtl/>
        </w:rPr>
        <w:t>:</w:t>
      </w:r>
      <w:r w:rsidRPr="00BC0713">
        <w:rPr>
          <w:rFonts w:cs="Arial"/>
          <w:sz w:val="28"/>
          <w:rtl/>
        </w:rPr>
        <w:t>) כך מנהגה של אומה זו מלך שנה מונין לו שתים</w:t>
      </w:r>
      <w:r>
        <w:rPr>
          <w:rFonts w:cs="Arial" w:hint="cs"/>
          <w:sz w:val="28"/>
          <w:rtl/>
        </w:rPr>
        <w:t>,</w:t>
      </w:r>
      <w:r w:rsidRPr="00BC0713">
        <w:rPr>
          <w:rFonts w:cs="Arial"/>
          <w:sz w:val="28"/>
          <w:rtl/>
        </w:rPr>
        <w:t xml:space="preserve"> תקנו שגם הישראל יעשה כן משום שלום מלכות</w:t>
      </w:r>
      <w:r w:rsidRPr="00BC0713">
        <w:rPr>
          <w:rFonts w:cs="Arial" w:hint="cs"/>
          <w:sz w:val="28"/>
          <w:rtl/>
        </w:rPr>
        <w:t>.</w:t>
      </w:r>
      <w:r w:rsidRPr="00BC0713">
        <w:rPr>
          <w:rFonts w:cs="Arial"/>
          <w:sz w:val="28"/>
          <w:rtl/>
        </w:rPr>
        <w:t xml:space="preserve"> אבל האידנא לא קפדי וליכא שלום מלכות</w:t>
      </w:r>
      <w:r>
        <w:rPr>
          <w:rFonts w:cs="Arial" w:hint="cs"/>
          <w:sz w:val="28"/>
          <w:rtl/>
        </w:rPr>
        <w:t>.</w:t>
      </w:r>
      <w:r w:rsidRPr="00BC0713">
        <w:rPr>
          <w:rFonts w:cs="Arial"/>
          <w:sz w:val="28"/>
          <w:rtl/>
        </w:rPr>
        <w:t xml:space="preserve"> ונהגו למנות לבריאת עולם</w:t>
      </w:r>
      <w:r>
        <w:rPr>
          <w:rFonts w:cs="Arial" w:hint="cs"/>
          <w:szCs w:val="16"/>
          <w:rtl/>
        </w:rPr>
        <w:t xml:space="preserve"> (ל'  הרא"ש)</w:t>
      </w:r>
      <w:r w:rsidRPr="00BC0713">
        <w:rPr>
          <w:rFonts w:cs="Arial" w:hint="cs"/>
          <w:sz w:val="28"/>
          <w:rtl/>
        </w:rPr>
        <w:t>.</w:t>
      </w:r>
    </w:p>
    <w:p w14:paraId="38A646FB" w14:textId="7C42B009" w:rsidR="00FA2119" w:rsidRPr="00973016" w:rsidRDefault="00FA2119" w:rsidP="00FA2119">
      <w:pPr>
        <w:pStyle w:val="ab"/>
        <w:numPr>
          <w:ilvl w:val="0"/>
          <w:numId w:val="15"/>
        </w:numPr>
      </w:pPr>
      <w:r>
        <w:rPr>
          <w:rFonts w:cs="Arial" w:hint="cs"/>
          <w:rtl/>
        </w:rPr>
        <w:t xml:space="preserve">רמב"ם </w:t>
      </w:r>
      <w:r>
        <w:rPr>
          <w:rFonts w:cs="Arial" w:hint="cs"/>
          <w:sz w:val="16"/>
          <w:szCs w:val="16"/>
          <w:rtl/>
        </w:rPr>
        <w:t>(פ"א הכ"ז)</w:t>
      </w:r>
      <w:r w:rsidR="00A82951">
        <w:rPr>
          <w:rFonts w:cs="Arial" w:hint="cs"/>
          <w:rtl/>
        </w:rPr>
        <w:t>-</w:t>
      </w:r>
      <w:r>
        <w:rPr>
          <w:rFonts w:cs="Arial" w:hint="cs"/>
          <w:rtl/>
        </w:rPr>
        <w:t xml:space="preserve"> </w:t>
      </w:r>
      <w:r w:rsidRPr="00973016">
        <w:rPr>
          <w:rFonts w:cs="Arial"/>
          <w:rtl/>
        </w:rPr>
        <w:t>וכבר נהגו כל ישראל למנות בגיטין או ליצירה או למלכות אלכסנדרוס מקדון שהוא מנין שטרות</w:t>
      </w:r>
      <w:r>
        <w:rPr>
          <w:rFonts w:cs="Arial" w:hint="cs"/>
          <w:sz w:val="28"/>
          <w:rtl/>
        </w:rPr>
        <w:t>.</w:t>
      </w:r>
      <w:r w:rsidRPr="00BC0713">
        <w:rPr>
          <w:rFonts w:cs="Arial"/>
          <w:sz w:val="28"/>
          <w:rtl/>
        </w:rPr>
        <w:t xml:space="preserve"> </w:t>
      </w:r>
    </w:p>
    <w:p w14:paraId="5DFDEBD7" w14:textId="77777777" w:rsidR="00FA2119" w:rsidRPr="00973016" w:rsidRDefault="00FA2119" w:rsidP="00FA2119">
      <w:pPr>
        <w:ind w:left="360"/>
        <w:rPr>
          <w:u w:val="dotted"/>
        </w:rPr>
      </w:pPr>
      <w:r w:rsidRPr="00973016">
        <w:rPr>
          <w:rFonts w:hint="cs"/>
          <w:u w:val="dotted"/>
          <w:rtl/>
        </w:rPr>
        <w:t>ומה הדין אם בזמן הזה מנה ל</w:t>
      </w:r>
      <w:r>
        <w:rPr>
          <w:rFonts w:hint="cs"/>
          <w:u w:val="dotted"/>
          <w:rtl/>
        </w:rPr>
        <w:t>מלכות אחרת</w:t>
      </w:r>
      <w:r w:rsidRPr="00973016">
        <w:rPr>
          <w:rFonts w:hint="cs"/>
          <w:u w:val="dotted"/>
          <w:rtl/>
        </w:rPr>
        <w:t xml:space="preserve"> וכדו':</w:t>
      </w:r>
    </w:p>
    <w:p w14:paraId="714D7D15" w14:textId="12CEB37E" w:rsidR="00FA2119" w:rsidRDefault="00FA2119" w:rsidP="00FA2119">
      <w:pPr>
        <w:pStyle w:val="ab"/>
        <w:numPr>
          <w:ilvl w:val="0"/>
          <w:numId w:val="15"/>
        </w:numPr>
      </w:pPr>
      <w:r>
        <w:rPr>
          <w:rFonts w:cs="Arial" w:hint="cs"/>
          <w:rtl/>
        </w:rPr>
        <w:t xml:space="preserve">ר"ת ה"ר אלחנן ה"ר יוסף ורא"ש </w:t>
      </w:r>
      <w:r>
        <w:rPr>
          <w:rFonts w:cs="Arial" w:hint="cs"/>
          <w:sz w:val="16"/>
          <w:szCs w:val="16"/>
          <w:rtl/>
        </w:rPr>
        <w:t>(להב' הב"י)</w:t>
      </w:r>
      <w:r w:rsidR="00A82951">
        <w:rPr>
          <w:rFonts w:cs="Arial" w:hint="cs"/>
          <w:rtl/>
        </w:rPr>
        <w:t>-</w:t>
      </w:r>
      <w:r w:rsidRPr="00973016">
        <w:rPr>
          <w:rFonts w:cs="Arial" w:hint="cs"/>
          <w:rtl/>
        </w:rPr>
        <w:t xml:space="preserve"> </w:t>
      </w:r>
      <w:r>
        <w:rPr>
          <w:rStyle w:val="a7"/>
          <w:rFonts w:cs="Arial"/>
          <w:rtl/>
        </w:rPr>
        <w:footnoteReference w:id="917"/>
      </w:r>
      <w:r w:rsidRPr="00973016">
        <w:rPr>
          <w:rFonts w:cs="Arial"/>
          <w:rtl/>
        </w:rPr>
        <w:t>בזמן הזה דאין דרכן להקפיד בכך</w:t>
      </w:r>
      <w:r w:rsidRPr="00973016">
        <w:rPr>
          <w:rFonts w:cs="Arial" w:hint="cs"/>
          <w:rtl/>
        </w:rPr>
        <w:t xml:space="preserve"> </w:t>
      </w:r>
      <w:r w:rsidR="00A82951">
        <w:rPr>
          <w:rFonts w:cs="Arial" w:hint="cs"/>
          <w:rtl/>
        </w:rPr>
        <w:t>-</w:t>
      </w:r>
      <w:r w:rsidRPr="00973016">
        <w:rPr>
          <w:rFonts w:cs="Arial"/>
          <w:rtl/>
        </w:rPr>
        <w:t xml:space="preserve"> כך לי לשם מלכות אחרת כמו לבריאת עולם</w:t>
      </w:r>
      <w:r w:rsidRPr="00973016">
        <w:rPr>
          <w:rFonts w:cs="Arial" w:hint="cs"/>
          <w:rtl/>
        </w:rPr>
        <w:t>.</w:t>
      </w:r>
      <w:r w:rsidRPr="00973016">
        <w:rPr>
          <w:rFonts w:cs="Arial"/>
          <w:rtl/>
        </w:rPr>
        <w:t xml:space="preserve"> </w:t>
      </w:r>
    </w:p>
    <w:p w14:paraId="44C470A3" w14:textId="133E67FC" w:rsidR="00FA2119" w:rsidRPr="00E36490" w:rsidRDefault="00FA2119" w:rsidP="00FA2119">
      <w:pPr>
        <w:pStyle w:val="ab"/>
        <w:numPr>
          <w:ilvl w:val="0"/>
          <w:numId w:val="15"/>
        </w:numPr>
      </w:pPr>
      <w:r>
        <w:rPr>
          <w:rFonts w:cs="Arial" w:hint="cs"/>
          <w:rtl/>
        </w:rPr>
        <w:t xml:space="preserve">רמב"ם </w:t>
      </w:r>
      <w:r>
        <w:rPr>
          <w:rFonts w:cs="Arial" w:hint="cs"/>
          <w:sz w:val="16"/>
          <w:szCs w:val="16"/>
          <w:rtl/>
        </w:rPr>
        <w:t>(פ"א הכ"ז)</w:t>
      </w:r>
      <w:r w:rsidR="00A82951">
        <w:rPr>
          <w:rFonts w:cs="Arial" w:hint="cs"/>
          <w:rtl/>
        </w:rPr>
        <w:t>-</w:t>
      </w:r>
      <w:r>
        <w:rPr>
          <w:rFonts w:cs="Arial" w:hint="cs"/>
          <w:rtl/>
        </w:rPr>
        <w:t xml:space="preserve"> </w:t>
      </w:r>
      <w:r w:rsidRPr="00973016">
        <w:rPr>
          <w:rFonts w:cs="Arial"/>
          <w:rtl/>
        </w:rPr>
        <w:t>ואם כתב לשם מלכות אותו זמן במדינה שיש בה רשות אותה מלכות הרי זה כשר</w:t>
      </w:r>
      <w:r>
        <w:rPr>
          <w:rStyle w:val="a7"/>
          <w:rFonts w:cs="Arial"/>
          <w:rtl/>
        </w:rPr>
        <w:footnoteReference w:id="918"/>
      </w:r>
      <w:r w:rsidRPr="00973016">
        <w:rPr>
          <w:rFonts w:cs="Arial"/>
          <w:rtl/>
        </w:rPr>
        <w:t>.</w:t>
      </w:r>
    </w:p>
    <w:p w14:paraId="3F21E72B" w14:textId="104594A7" w:rsidR="00FA2119" w:rsidRPr="00E36490" w:rsidRDefault="00FA2119" w:rsidP="00FA2119">
      <w:pPr>
        <w:pStyle w:val="ab"/>
        <w:numPr>
          <w:ilvl w:val="1"/>
          <w:numId w:val="15"/>
        </w:numPr>
        <w:rPr>
          <w:rtl/>
        </w:rPr>
      </w:pPr>
      <w:r>
        <w:rPr>
          <w:rFonts w:cs="Arial" w:hint="cs"/>
          <w:rtl/>
        </w:rPr>
        <w:t>ב"י</w:t>
      </w:r>
      <w:r w:rsidR="00A82951">
        <w:rPr>
          <w:rFonts w:cs="Arial" w:hint="cs"/>
          <w:rtl/>
        </w:rPr>
        <w:t>-</w:t>
      </w:r>
      <w:r>
        <w:rPr>
          <w:rFonts w:cs="Arial" w:hint="cs"/>
          <w:rtl/>
        </w:rPr>
        <w:t xml:space="preserve"> </w:t>
      </w:r>
      <w:r w:rsidRPr="00E36490">
        <w:rPr>
          <w:rFonts w:cs="Arial"/>
          <w:rtl/>
        </w:rPr>
        <w:t>ואע</w:t>
      </w:r>
      <w:r w:rsidRPr="00E36490">
        <w:rPr>
          <w:rFonts w:cs="Arial" w:hint="cs"/>
          <w:rtl/>
        </w:rPr>
        <w:t>"</w:t>
      </w:r>
      <w:r w:rsidRPr="00E36490">
        <w:rPr>
          <w:rFonts w:cs="Arial"/>
          <w:rtl/>
        </w:rPr>
        <w:t>פ שלדעת הרמב"ם דפסל כתב לשם מלכות אחרת גם בזמן הזה צריכין אנו לידע דעות הפוסקים בכתב לשם מלכות אחרת</w:t>
      </w:r>
      <w:r>
        <w:rPr>
          <w:rFonts w:cs="Arial" w:hint="cs"/>
          <w:rtl/>
        </w:rPr>
        <w:t xml:space="preserve"> </w:t>
      </w:r>
      <w:r w:rsidR="00A82951">
        <w:rPr>
          <w:rFonts w:cs="Arial" w:hint="cs"/>
          <w:rtl/>
        </w:rPr>
        <w:t>-</w:t>
      </w:r>
      <w:r w:rsidRPr="00E36490">
        <w:rPr>
          <w:rFonts w:cs="Arial"/>
          <w:rtl/>
        </w:rPr>
        <w:t xml:space="preserve"> לא ראיתי לכתבם</w:t>
      </w:r>
      <w:r w:rsidRPr="00E36490">
        <w:rPr>
          <w:rFonts w:cs="Arial" w:hint="cs"/>
          <w:rtl/>
        </w:rPr>
        <w:t>,</w:t>
      </w:r>
      <w:r w:rsidRPr="00E36490">
        <w:rPr>
          <w:rFonts w:cs="Arial"/>
          <w:rtl/>
        </w:rPr>
        <w:t xml:space="preserve"> משום דמילתא דלא שכיחא היא כלל לכתוב זולתי לבריאת עולם</w:t>
      </w:r>
      <w:r w:rsidRPr="00E36490">
        <w:rPr>
          <w:rFonts w:cs="Arial" w:hint="cs"/>
          <w:rtl/>
        </w:rPr>
        <w:t>.</w:t>
      </w:r>
    </w:p>
    <w:p w14:paraId="12AE412E"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2072C0C" w14:textId="77777777" w:rsidR="00FA2119" w:rsidRDefault="00FA2119" w:rsidP="00FA2119">
      <w:pPr>
        <w:rPr>
          <w:rtl/>
        </w:rPr>
      </w:pPr>
      <w:r>
        <w:rPr>
          <w:rFonts w:cs="Arial" w:hint="cs"/>
          <w:rtl/>
        </w:rPr>
        <w:t>גט</w:t>
      </w:r>
      <w:r>
        <w:rPr>
          <w:rFonts w:cs="Arial"/>
          <w:rtl/>
        </w:rPr>
        <w:t xml:space="preserve"> </w:t>
      </w:r>
      <w:r>
        <w:rPr>
          <w:rFonts w:cs="Arial" w:hint="cs"/>
          <w:rtl/>
        </w:rPr>
        <w:t>שלא</w:t>
      </w:r>
      <w:r>
        <w:rPr>
          <w:rFonts w:cs="Arial"/>
          <w:rtl/>
        </w:rPr>
        <w:t xml:space="preserve"> </w:t>
      </w:r>
      <w:r>
        <w:rPr>
          <w:rFonts w:cs="Arial" w:hint="cs"/>
          <w:rtl/>
        </w:rPr>
        <w:t>כתב</w:t>
      </w:r>
      <w:r>
        <w:rPr>
          <w:rFonts w:cs="Arial"/>
          <w:rtl/>
        </w:rPr>
        <w:t xml:space="preserve"> </w:t>
      </w:r>
      <w:r>
        <w:rPr>
          <w:rFonts w:cs="Arial" w:hint="cs"/>
          <w:rtl/>
        </w:rPr>
        <w:t>בו</w:t>
      </w:r>
      <w:r>
        <w:rPr>
          <w:rFonts w:cs="Arial"/>
          <w:rtl/>
        </w:rPr>
        <w:t xml:space="preserve"> </w:t>
      </w:r>
      <w:r>
        <w:rPr>
          <w:rFonts w:cs="Arial" w:hint="cs"/>
          <w:rtl/>
        </w:rPr>
        <w:t>שם</w:t>
      </w:r>
      <w:r>
        <w:rPr>
          <w:rFonts w:cs="Arial"/>
          <w:rtl/>
        </w:rPr>
        <w:t xml:space="preserve"> </w:t>
      </w:r>
      <w:r>
        <w:rPr>
          <w:rFonts w:cs="Arial" w:hint="cs"/>
          <w:rtl/>
        </w:rPr>
        <w:t>היום</w:t>
      </w:r>
      <w:r>
        <w:rPr>
          <w:rStyle w:val="a7"/>
          <w:rFonts w:cs="Arial"/>
          <w:rtl/>
        </w:rPr>
        <w:footnoteReference w:id="919"/>
      </w:r>
      <w:r>
        <w:rPr>
          <w:rFonts w:cs="Arial"/>
          <w:rtl/>
        </w:rPr>
        <w:t xml:space="preserve">, </w:t>
      </w:r>
      <w:r>
        <w:rPr>
          <w:rFonts w:cs="Arial" w:hint="cs"/>
          <w:rtl/>
        </w:rPr>
        <w:t>אלא</w:t>
      </w:r>
      <w:r>
        <w:rPr>
          <w:rFonts w:cs="Arial"/>
          <w:rtl/>
        </w:rPr>
        <w:t xml:space="preserve"> </w:t>
      </w:r>
      <w:r>
        <w:rPr>
          <w:rFonts w:cs="Arial" w:hint="cs"/>
          <w:rtl/>
        </w:rPr>
        <w:t>בשבת</w:t>
      </w:r>
      <w:r>
        <w:rPr>
          <w:rFonts w:cs="Arial"/>
          <w:rtl/>
        </w:rPr>
        <w:t xml:space="preserve"> </w:t>
      </w:r>
      <w:r>
        <w:rPr>
          <w:rFonts w:cs="Arial" w:hint="cs"/>
          <w:rtl/>
        </w:rPr>
        <w:t>ראשונה</w:t>
      </w:r>
      <w:r>
        <w:rPr>
          <w:rFonts w:cs="Arial"/>
          <w:rtl/>
        </w:rPr>
        <w:t xml:space="preserve"> </w:t>
      </w:r>
      <w:r>
        <w:rPr>
          <w:rFonts w:cs="Arial" w:hint="cs"/>
          <w:rtl/>
        </w:rPr>
        <w:t>או</w:t>
      </w:r>
      <w:r>
        <w:rPr>
          <w:rFonts w:cs="Arial"/>
          <w:rtl/>
        </w:rPr>
        <w:t xml:space="preserve"> </w:t>
      </w:r>
      <w:r>
        <w:rPr>
          <w:rFonts w:cs="Arial" w:hint="cs"/>
          <w:rtl/>
        </w:rPr>
        <w:t>שנייה</w:t>
      </w:r>
      <w:r>
        <w:rPr>
          <w:rFonts w:cs="Arial"/>
          <w:rtl/>
        </w:rPr>
        <w:t xml:space="preserve"> </w:t>
      </w:r>
      <w:r>
        <w:rPr>
          <w:rFonts w:cs="Arial" w:hint="cs"/>
          <w:rtl/>
        </w:rPr>
        <w:t>מחדש</w:t>
      </w:r>
      <w:r>
        <w:rPr>
          <w:rFonts w:cs="Arial"/>
          <w:rtl/>
        </w:rPr>
        <w:t xml:space="preserve"> </w:t>
      </w:r>
      <w:r>
        <w:rPr>
          <w:rFonts w:cs="Arial" w:hint="cs"/>
          <w:rtl/>
        </w:rPr>
        <w:t>פלוני</w:t>
      </w:r>
      <w:r>
        <w:rPr>
          <w:rFonts w:cs="Arial"/>
          <w:rtl/>
        </w:rPr>
        <w:t xml:space="preserve">, </w:t>
      </w:r>
      <w:r>
        <w:rPr>
          <w:rFonts w:cs="Arial" w:hint="cs"/>
          <w:rtl/>
        </w:rPr>
        <w:t>או</w:t>
      </w:r>
      <w:r>
        <w:rPr>
          <w:rFonts w:cs="Arial"/>
          <w:rtl/>
        </w:rPr>
        <w:t xml:space="preserve"> </w:t>
      </w:r>
      <w:r>
        <w:rPr>
          <w:rFonts w:cs="Arial" w:hint="cs"/>
          <w:rtl/>
        </w:rPr>
        <w:t>בחדש</w:t>
      </w:r>
      <w:r>
        <w:rPr>
          <w:rFonts w:cs="Arial"/>
          <w:rtl/>
        </w:rPr>
        <w:t xml:space="preserve"> </w:t>
      </w:r>
      <w:r>
        <w:rPr>
          <w:rFonts w:cs="Arial" w:hint="cs"/>
          <w:rtl/>
        </w:rPr>
        <w:t>פלוני</w:t>
      </w:r>
      <w:r>
        <w:rPr>
          <w:rFonts w:cs="Arial"/>
          <w:rtl/>
        </w:rPr>
        <w:t xml:space="preserve">, </w:t>
      </w:r>
      <w:r>
        <w:rPr>
          <w:rFonts w:cs="Arial" w:hint="cs"/>
          <w:rtl/>
        </w:rPr>
        <w:t>או</w:t>
      </w:r>
      <w:r>
        <w:rPr>
          <w:rFonts w:cs="Arial"/>
          <w:rtl/>
        </w:rPr>
        <w:t xml:space="preserve"> </w:t>
      </w:r>
      <w:r>
        <w:rPr>
          <w:rFonts w:cs="Arial" w:hint="cs"/>
          <w:rtl/>
        </w:rPr>
        <w:t>בשנה</w:t>
      </w:r>
      <w:r>
        <w:rPr>
          <w:rFonts w:cs="Arial"/>
          <w:rtl/>
        </w:rPr>
        <w:t xml:space="preserve"> </w:t>
      </w:r>
      <w:r>
        <w:rPr>
          <w:rFonts w:cs="Arial" w:hint="cs"/>
          <w:rtl/>
        </w:rPr>
        <w:t>פלונית</w:t>
      </w:r>
      <w:r>
        <w:rPr>
          <w:rFonts w:cs="Arial"/>
          <w:rtl/>
        </w:rPr>
        <w:t xml:space="preserve"> </w:t>
      </w:r>
      <w:r>
        <w:rPr>
          <w:rFonts w:cs="Arial" w:hint="cs"/>
          <w:rtl/>
        </w:rPr>
        <w:t>ולא</w:t>
      </w:r>
      <w:r>
        <w:rPr>
          <w:rFonts w:cs="Arial"/>
          <w:rtl/>
        </w:rPr>
        <w:t xml:space="preserve"> </w:t>
      </w:r>
      <w:r>
        <w:rPr>
          <w:rFonts w:cs="Arial" w:hint="cs"/>
          <w:rtl/>
        </w:rPr>
        <w:t>הזכיר</w:t>
      </w:r>
      <w:r>
        <w:rPr>
          <w:rFonts w:cs="Arial"/>
          <w:rtl/>
        </w:rPr>
        <w:t xml:space="preserve"> </w:t>
      </w:r>
      <w:r>
        <w:rPr>
          <w:rFonts w:cs="Arial" w:hint="cs"/>
          <w:rtl/>
        </w:rPr>
        <w:t>החדש</w:t>
      </w:r>
      <w:r>
        <w:rPr>
          <w:rFonts w:cs="Arial"/>
          <w:rtl/>
        </w:rPr>
        <w:t xml:space="preserve">, </w:t>
      </w:r>
      <w:r>
        <w:rPr>
          <w:rFonts w:cs="Arial" w:hint="cs"/>
          <w:rtl/>
        </w:rPr>
        <w:t>אפילו</w:t>
      </w:r>
      <w:r>
        <w:rPr>
          <w:rFonts w:cs="Arial"/>
          <w:rtl/>
        </w:rPr>
        <w:t xml:space="preserve"> </w:t>
      </w:r>
      <w:r>
        <w:rPr>
          <w:rFonts w:cs="Arial" w:hint="cs"/>
          <w:rtl/>
        </w:rPr>
        <w:t>כתב</w:t>
      </w:r>
      <w:r>
        <w:rPr>
          <w:rFonts w:cs="Arial"/>
          <w:rtl/>
        </w:rPr>
        <w:t xml:space="preserve"> </w:t>
      </w:r>
      <w:r>
        <w:rPr>
          <w:rFonts w:cs="Arial" w:hint="cs"/>
          <w:rtl/>
        </w:rPr>
        <w:t>בשבוע</w:t>
      </w:r>
      <w:r>
        <w:rPr>
          <w:rFonts w:cs="Arial"/>
          <w:rtl/>
        </w:rPr>
        <w:t xml:space="preserve"> </w:t>
      </w:r>
      <w:r>
        <w:rPr>
          <w:rFonts w:cs="Arial" w:hint="cs"/>
          <w:rtl/>
        </w:rPr>
        <w:t>פלוני</w:t>
      </w:r>
      <w:r>
        <w:rPr>
          <w:rFonts w:cs="Arial"/>
          <w:rtl/>
        </w:rPr>
        <w:t xml:space="preserve">, </w:t>
      </w:r>
      <w:r>
        <w:rPr>
          <w:rFonts w:cs="Arial" w:hint="cs"/>
          <w:rtl/>
        </w:rPr>
        <w:t>כשר</w:t>
      </w:r>
      <w:r>
        <w:rPr>
          <w:rStyle w:val="a7"/>
          <w:rFonts w:cs="Arial"/>
          <w:rtl/>
        </w:rPr>
        <w:footnoteReference w:id="920"/>
      </w:r>
      <w:r>
        <w:rPr>
          <w:rFonts w:cs="Arial"/>
          <w:rtl/>
        </w:rPr>
        <w:t xml:space="preserve">. </w:t>
      </w:r>
      <w:r>
        <w:rPr>
          <w:rFonts w:cs="Arial" w:hint="cs"/>
          <w:rtl/>
        </w:rPr>
        <w:t>וכן</w:t>
      </w:r>
      <w:r>
        <w:rPr>
          <w:rFonts w:cs="Arial"/>
          <w:rtl/>
        </w:rPr>
        <w:t xml:space="preserve"> </w:t>
      </w:r>
      <w:r>
        <w:rPr>
          <w:rFonts w:cs="Arial" w:hint="cs"/>
          <w:rtl/>
        </w:rPr>
        <w:t>אם</w:t>
      </w:r>
      <w:r>
        <w:rPr>
          <w:rFonts w:cs="Arial"/>
          <w:rtl/>
        </w:rPr>
        <w:t xml:space="preserve"> </w:t>
      </w:r>
      <w:r>
        <w:rPr>
          <w:rFonts w:cs="Arial" w:hint="cs"/>
          <w:rtl/>
        </w:rPr>
        <w:t>כתב</w:t>
      </w:r>
      <w:r>
        <w:rPr>
          <w:rFonts w:cs="Arial"/>
          <w:rtl/>
        </w:rPr>
        <w:t xml:space="preserve"> </w:t>
      </w:r>
      <w:r>
        <w:rPr>
          <w:rFonts w:cs="Arial" w:hint="cs"/>
          <w:rtl/>
        </w:rPr>
        <w:t>בו</w:t>
      </w:r>
      <w:r>
        <w:rPr>
          <w:rFonts w:cs="Arial"/>
          <w:rtl/>
        </w:rPr>
        <w:t xml:space="preserve">: </w:t>
      </w:r>
      <w:r>
        <w:rPr>
          <w:rFonts w:cs="Arial" w:hint="cs"/>
          <w:rtl/>
        </w:rPr>
        <w:t>היום</w:t>
      </w:r>
      <w:r>
        <w:rPr>
          <w:rFonts w:cs="Arial"/>
          <w:rtl/>
        </w:rPr>
        <w:t xml:space="preserve"> </w:t>
      </w:r>
      <w:r>
        <w:rPr>
          <w:rFonts w:cs="Arial" w:hint="cs"/>
          <w:rtl/>
        </w:rPr>
        <w:t>גרשתיה</w:t>
      </w:r>
      <w:r>
        <w:rPr>
          <w:rFonts w:cs="Arial"/>
          <w:rtl/>
        </w:rPr>
        <w:t xml:space="preserve">, </w:t>
      </w:r>
      <w:r>
        <w:rPr>
          <w:rFonts w:cs="Arial" w:hint="cs"/>
          <w:rtl/>
        </w:rPr>
        <w:t>כשר</w:t>
      </w:r>
      <w:r>
        <w:rPr>
          <w:rFonts w:cs="Arial"/>
          <w:rtl/>
        </w:rPr>
        <w:t xml:space="preserve">, </w:t>
      </w:r>
      <w:r>
        <w:rPr>
          <w:rFonts w:cs="Arial" w:hint="cs"/>
          <w:rtl/>
        </w:rPr>
        <w:t>שמשמעו</w:t>
      </w:r>
      <w:r>
        <w:rPr>
          <w:rFonts w:cs="Arial"/>
          <w:rtl/>
        </w:rPr>
        <w:t xml:space="preserve"> </w:t>
      </w:r>
      <w:r>
        <w:rPr>
          <w:rFonts w:cs="Arial" w:hint="cs"/>
          <w:rtl/>
        </w:rPr>
        <w:t>היום</w:t>
      </w:r>
      <w:r>
        <w:rPr>
          <w:rFonts w:cs="Arial"/>
          <w:rtl/>
        </w:rPr>
        <w:t xml:space="preserve"> </w:t>
      </w:r>
      <w:r>
        <w:rPr>
          <w:rFonts w:cs="Arial" w:hint="cs"/>
          <w:rtl/>
        </w:rPr>
        <w:t>הזה</w:t>
      </w:r>
      <w:r>
        <w:rPr>
          <w:rFonts w:cs="Arial"/>
          <w:rtl/>
        </w:rPr>
        <w:t xml:space="preserve"> </w:t>
      </w:r>
      <w:r>
        <w:rPr>
          <w:rFonts w:cs="Arial" w:hint="cs"/>
          <w:rtl/>
        </w:rPr>
        <w:t>שיצא</w:t>
      </w:r>
      <w:r>
        <w:rPr>
          <w:rFonts w:cs="Arial"/>
          <w:rtl/>
        </w:rPr>
        <w:t xml:space="preserve"> </w:t>
      </w:r>
      <w:r>
        <w:rPr>
          <w:rFonts w:cs="Arial" w:hint="cs"/>
          <w:rtl/>
        </w:rPr>
        <w:t>בו</w:t>
      </w:r>
      <w:r>
        <w:rPr>
          <w:rFonts w:cs="Arial"/>
          <w:rtl/>
        </w:rPr>
        <w:t xml:space="preserve"> </w:t>
      </w:r>
      <w:r>
        <w:rPr>
          <w:rFonts w:cs="Arial" w:hint="cs"/>
          <w:rtl/>
        </w:rPr>
        <w:t>הגט</w:t>
      </w:r>
      <w:r>
        <w:rPr>
          <w:rFonts w:cs="Arial"/>
          <w:rtl/>
        </w:rPr>
        <w:t xml:space="preserve">. </w:t>
      </w:r>
    </w:p>
    <w:p w14:paraId="283193E4" w14:textId="77777777" w:rsidR="00FA2119" w:rsidRDefault="00FA2119" w:rsidP="00FA2119">
      <w:pPr>
        <w:rPr>
          <w:rtl/>
        </w:rPr>
      </w:pPr>
    </w:p>
    <w:p w14:paraId="110348E7" w14:textId="77777777" w:rsidR="00FA2119" w:rsidRDefault="00FA2119" w:rsidP="00FA2119">
      <w:pPr>
        <w:pStyle w:val="2"/>
        <w:rPr>
          <w:rtl/>
        </w:rPr>
      </w:pPr>
      <w:r>
        <w:rPr>
          <w:rFonts w:hint="cs"/>
          <w:rtl/>
        </w:rPr>
        <w:t>סעיף</w:t>
      </w:r>
      <w:r>
        <w:rPr>
          <w:rtl/>
        </w:rPr>
        <w:t xml:space="preserve"> </w:t>
      </w:r>
      <w:r>
        <w:rPr>
          <w:rFonts w:hint="cs"/>
          <w:rtl/>
        </w:rPr>
        <w:t>ח: כתב זמן בגט, חתכו, ואח"כ נתן.</w:t>
      </w:r>
    </w:p>
    <w:p w14:paraId="46108CCD" w14:textId="237E9526" w:rsidR="00FA2119" w:rsidRPr="005F2262" w:rsidRDefault="00FA2119" w:rsidP="00FA2119">
      <w:pPr>
        <w:rPr>
          <w:rtl/>
        </w:rPr>
      </w:pPr>
      <w:r w:rsidRPr="00837E79">
        <w:rPr>
          <w:rFonts w:hint="cs"/>
          <w:b/>
          <w:bCs/>
          <w:rtl/>
        </w:rPr>
        <w:t xml:space="preserve">גיטין </w:t>
      </w:r>
      <w:r w:rsidRPr="00837E79">
        <w:rPr>
          <w:rFonts w:hint="cs"/>
          <w:b/>
          <w:bCs/>
          <w:sz w:val="16"/>
          <w:szCs w:val="16"/>
          <w:rtl/>
        </w:rPr>
        <w:t>(פ</w:t>
      </w:r>
      <w:r>
        <w:rPr>
          <w:rFonts w:hint="cs"/>
          <w:b/>
          <w:bCs/>
          <w:sz w:val="16"/>
          <w:szCs w:val="16"/>
          <w:rtl/>
        </w:rPr>
        <w:t>' המגרש</w:t>
      </w:r>
      <w:r w:rsidRPr="00837E79">
        <w:rPr>
          <w:rFonts w:hint="cs"/>
          <w:b/>
          <w:bCs/>
          <w:sz w:val="16"/>
          <w:szCs w:val="16"/>
          <w:rtl/>
        </w:rPr>
        <w:t xml:space="preserve">) </w:t>
      </w:r>
      <w:r>
        <w:rPr>
          <w:rFonts w:hint="cs"/>
          <w:b/>
          <w:bCs/>
          <w:rtl/>
        </w:rPr>
        <w:t>פו</w:t>
      </w:r>
      <w:r w:rsidRPr="00837E79">
        <w:rPr>
          <w:rFonts w:hint="cs"/>
          <w:b/>
          <w:bCs/>
          <w:rtl/>
        </w:rPr>
        <w:t xml:space="preserve"> ע"א: </w:t>
      </w:r>
      <w:r w:rsidRPr="00AB367C">
        <w:rPr>
          <w:rFonts w:cs="Arial"/>
          <w:u w:val="double"/>
          <w:rtl/>
        </w:rPr>
        <w:t>מתני'</w:t>
      </w:r>
      <w:r>
        <w:rPr>
          <w:rFonts w:cs="Arial" w:hint="cs"/>
          <w:rtl/>
        </w:rPr>
        <w:t>:</w:t>
      </w:r>
      <w:r w:rsidRPr="00AB367C">
        <w:rPr>
          <w:rFonts w:cs="Arial"/>
          <w:rtl/>
        </w:rPr>
        <w:t xml:space="preserve"> שלשה גיטין פסולין, ואם נשאת הוולד כשר: כתב בכתב ידו ואין עליו עדים, יש עליו עדים ואין בו זמן, יש בו זמן ואין בו אלא עד אחד</w:t>
      </w:r>
      <w:r>
        <w:rPr>
          <w:rFonts w:cs="Arial" w:hint="cs"/>
          <w:rtl/>
        </w:rPr>
        <w:t>.</w:t>
      </w:r>
      <w:r w:rsidRPr="00AB367C">
        <w:rPr>
          <w:rFonts w:cs="Arial"/>
          <w:rtl/>
        </w:rPr>
        <w:t xml:space="preserve"> הרי אלו שלשה גיטין פסולין, ואם נשאת </w:t>
      </w:r>
      <w:r w:rsidR="00A82951">
        <w:rPr>
          <w:rFonts w:cs="Arial"/>
          <w:rtl/>
        </w:rPr>
        <w:t>-</w:t>
      </w:r>
      <w:r w:rsidRPr="00AB367C">
        <w:rPr>
          <w:rFonts w:cs="Arial"/>
          <w:rtl/>
        </w:rPr>
        <w:t xml:space="preserve"> הולד כשר.</w:t>
      </w:r>
      <w:r>
        <w:rPr>
          <w:rFonts w:cs="Arial" w:hint="cs"/>
          <w:rtl/>
        </w:rPr>
        <w:t>..</w:t>
      </w:r>
    </w:p>
    <w:p w14:paraId="03F667DF" w14:textId="2C522328" w:rsidR="00FA2119" w:rsidRPr="00F95E78" w:rsidRDefault="00FA2119" w:rsidP="00FA2119">
      <w:pPr>
        <w:rPr>
          <w:rFonts w:cs="Arial"/>
          <w:rtl/>
        </w:rPr>
      </w:pPr>
      <w:r w:rsidRPr="00837E79">
        <w:rPr>
          <w:rFonts w:hint="cs"/>
          <w:b/>
          <w:bCs/>
          <w:rtl/>
        </w:rPr>
        <w:t xml:space="preserve">גיטין </w:t>
      </w:r>
      <w:r w:rsidRPr="00837E79">
        <w:rPr>
          <w:rFonts w:hint="cs"/>
          <w:b/>
          <w:bCs/>
          <w:sz w:val="16"/>
          <w:szCs w:val="16"/>
          <w:rtl/>
        </w:rPr>
        <w:t xml:space="preserve">(פ"ב) </w:t>
      </w:r>
      <w:r w:rsidRPr="00837E79">
        <w:rPr>
          <w:rFonts w:hint="cs"/>
          <w:b/>
          <w:bCs/>
          <w:rtl/>
        </w:rPr>
        <w:t>יז ע"</w:t>
      </w:r>
      <w:r>
        <w:rPr>
          <w:rFonts w:hint="cs"/>
          <w:b/>
          <w:bCs/>
          <w:rtl/>
        </w:rPr>
        <w:t>ב</w:t>
      </w:r>
      <w:r w:rsidRPr="00837E79">
        <w:rPr>
          <w:rFonts w:hint="cs"/>
          <w:b/>
          <w:bCs/>
          <w:rtl/>
        </w:rPr>
        <w:t xml:space="preserve">: </w:t>
      </w:r>
      <w:r w:rsidRPr="00972873">
        <w:rPr>
          <w:rFonts w:cs="Arial"/>
          <w:u w:val="single"/>
          <w:rtl/>
        </w:rPr>
        <w:t>אמר ליה אביי לרב יוסף</w:t>
      </w:r>
      <w:r>
        <w:rPr>
          <w:rFonts w:cs="Arial" w:hint="cs"/>
          <w:rtl/>
        </w:rPr>
        <w:t>:</w:t>
      </w:r>
      <w:r w:rsidRPr="005F2262">
        <w:rPr>
          <w:rFonts w:cs="Arial"/>
          <w:rtl/>
        </w:rPr>
        <w:t xml:space="preserve"> ג' גיטין פסולים</w:t>
      </w:r>
      <w:r>
        <w:rPr>
          <w:rStyle w:val="a7"/>
          <w:rFonts w:cs="Arial"/>
          <w:rtl/>
        </w:rPr>
        <w:footnoteReference w:id="921"/>
      </w:r>
      <w:r w:rsidRPr="005F2262">
        <w:rPr>
          <w:rFonts w:cs="Arial"/>
          <w:rtl/>
        </w:rPr>
        <w:t xml:space="preserve">, ואם ניסת </w:t>
      </w:r>
      <w:r w:rsidR="00A82951">
        <w:rPr>
          <w:rFonts w:cs="Arial"/>
          <w:rtl/>
        </w:rPr>
        <w:t>-</w:t>
      </w:r>
      <w:r w:rsidRPr="005F2262">
        <w:rPr>
          <w:rFonts w:cs="Arial"/>
          <w:rtl/>
        </w:rPr>
        <w:t xml:space="preserve"> הולד כשר</w:t>
      </w:r>
      <w:r>
        <w:rPr>
          <w:rFonts w:cs="Arial" w:hint="cs"/>
          <w:rtl/>
        </w:rPr>
        <w:t>.</w:t>
      </w:r>
      <w:r w:rsidRPr="005F2262">
        <w:rPr>
          <w:rFonts w:cs="Arial"/>
          <w:rtl/>
        </w:rPr>
        <w:t xml:space="preserve"> מה הועילו חכמים בתקנתן</w:t>
      </w:r>
      <w:r>
        <w:rPr>
          <w:rStyle w:val="a7"/>
          <w:rFonts w:cs="Arial"/>
          <w:rtl/>
        </w:rPr>
        <w:footnoteReference w:id="922"/>
      </w:r>
      <w:r w:rsidRPr="005F2262">
        <w:rPr>
          <w:rFonts w:cs="Arial"/>
          <w:rtl/>
        </w:rPr>
        <w:t>? אהנו דלכתחילה לא תינשא</w:t>
      </w:r>
      <w:r>
        <w:rPr>
          <w:rStyle w:val="a7"/>
          <w:rFonts w:cs="Arial"/>
          <w:rtl/>
        </w:rPr>
        <w:footnoteReference w:id="923"/>
      </w:r>
      <w:r w:rsidRPr="005F2262">
        <w:rPr>
          <w:rFonts w:cs="Arial"/>
          <w:rtl/>
        </w:rPr>
        <w:t>. גזייה לזמן דידיה ויהביה ניהלה</w:t>
      </w:r>
      <w:r>
        <w:rPr>
          <w:rStyle w:val="a7"/>
          <w:rFonts w:cs="Arial"/>
          <w:rtl/>
        </w:rPr>
        <w:footnoteReference w:id="924"/>
      </w:r>
      <w:r>
        <w:rPr>
          <w:rFonts w:cs="Arial" w:hint="cs"/>
          <w:rtl/>
        </w:rPr>
        <w:t>,</w:t>
      </w:r>
      <w:r w:rsidRPr="005F2262">
        <w:rPr>
          <w:rFonts w:cs="Arial"/>
          <w:rtl/>
        </w:rPr>
        <w:t xml:space="preserve"> מאי? </w:t>
      </w:r>
      <w:r w:rsidRPr="005F2262">
        <w:rPr>
          <w:rFonts w:cs="Arial"/>
          <w:u w:val="single"/>
          <w:rtl/>
        </w:rPr>
        <w:t>אמר ליה</w:t>
      </w:r>
      <w:r w:rsidRPr="005F2262">
        <w:rPr>
          <w:rFonts w:cs="Arial"/>
          <w:rtl/>
        </w:rPr>
        <w:t>: לרמאי לא חיישינן</w:t>
      </w:r>
      <w:r>
        <w:rPr>
          <w:rStyle w:val="a7"/>
          <w:rFonts w:cs="Arial"/>
          <w:rtl/>
        </w:rPr>
        <w:footnoteReference w:id="925"/>
      </w:r>
      <w:r w:rsidRPr="005F2262">
        <w:rPr>
          <w:rFonts w:cs="Arial"/>
          <w:rtl/>
        </w:rPr>
        <w:t xml:space="preserve">. </w:t>
      </w:r>
      <w:r w:rsidRPr="00F95E78">
        <w:rPr>
          <w:rFonts w:cs="Arial" w:hint="cs"/>
          <w:sz w:val="16"/>
          <w:szCs w:val="16"/>
          <w:rtl/>
        </w:rPr>
        <w:t>(</w:t>
      </w:r>
      <w:r w:rsidRPr="00F95E78">
        <w:rPr>
          <w:rFonts w:cs="Arial"/>
          <w:sz w:val="16"/>
          <w:szCs w:val="16"/>
          <w:rtl/>
        </w:rPr>
        <w:t>דעת רש"י (שם ד"ה אהנו) לפרש דכי מפרקינן אהני דלכתחלה לא תנשא</w:t>
      </w:r>
      <w:r w:rsidRPr="00F95E78">
        <w:rPr>
          <w:rFonts w:cs="Arial" w:hint="cs"/>
          <w:sz w:val="16"/>
          <w:szCs w:val="16"/>
          <w:rtl/>
        </w:rPr>
        <w:t>,</w:t>
      </w:r>
      <w:r w:rsidRPr="00F95E78">
        <w:rPr>
          <w:rFonts w:cs="Arial"/>
          <w:sz w:val="16"/>
          <w:szCs w:val="16"/>
          <w:rtl/>
        </w:rPr>
        <w:t xml:space="preserve"> היינו לומר דכיון שכן לא כתבי ספרי דדייני ולא חתמי ליה</w:t>
      </w:r>
      <w:r w:rsidRPr="00F95E78">
        <w:rPr>
          <w:rFonts w:cs="Arial" w:hint="cs"/>
          <w:sz w:val="16"/>
          <w:szCs w:val="16"/>
          <w:rtl/>
        </w:rPr>
        <w:t>.</w:t>
      </w:r>
      <w:r w:rsidRPr="00F95E78">
        <w:rPr>
          <w:rFonts w:cs="Arial"/>
          <w:sz w:val="16"/>
          <w:szCs w:val="16"/>
          <w:rtl/>
        </w:rPr>
        <w:t xml:space="preserve"> ומשום הכי פרכינן גזייה לזמן</w:t>
      </w:r>
      <w:r w:rsidRPr="00F95E78">
        <w:rPr>
          <w:rFonts w:cs="Arial" w:hint="cs"/>
          <w:sz w:val="16"/>
          <w:szCs w:val="16"/>
          <w:rtl/>
        </w:rPr>
        <w:t>,</w:t>
      </w:r>
      <w:r w:rsidRPr="00F95E78">
        <w:rPr>
          <w:rFonts w:cs="Arial"/>
          <w:sz w:val="16"/>
          <w:szCs w:val="16"/>
          <w:rtl/>
        </w:rPr>
        <w:t xml:space="preserve"> כלומר תינח אי לא כתבי ביה זמן כלל דלא חתמי ביה סהדי</w:t>
      </w:r>
      <w:r w:rsidRPr="00F95E78">
        <w:rPr>
          <w:rFonts w:cs="Arial" w:hint="cs"/>
          <w:sz w:val="16"/>
          <w:szCs w:val="16"/>
          <w:rtl/>
        </w:rPr>
        <w:t>,</w:t>
      </w:r>
      <w:r w:rsidRPr="00F95E78">
        <w:rPr>
          <w:rFonts w:cs="Arial"/>
          <w:sz w:val="16"/>
          <w:szCs w:val="16"/>
          <w:rtl/>
        </w:rPr>
        <w:t xml:space="preserve"> אבל היכא דכתבי וחתמי ובתר הכי גזייה לזמן מאי</w:t>
      </w:r>
      <w:r w:rsidRPr="00F95E78">
        <w:rPr>
          <w:rFonts w:cs="Arial" w:hint="cs"/>
          <w:sz w:val="16"/>
          <w:szCs w:val="16"/>
          <w:rtl/>
        </w:rPr>
        <w:t>?.</w:t>
      </w:r>
      <w:r w:rsidRPr="00F95E78">
        <w:rPr>
          <w:rFonts w:cs="Arial"/>
          <w:sz w:val="16"/>
          <w:szCs w:val="16"/>
          <w:rtl/>
        </w:rPr>
        <w:t xml:space="preserve"> ואהדר דלרמאות כזה לא חשו חכמים</w:t>
      </w:r>
      <w:r w:rsidRPr="00F95E78">
        <w:rPr>
          <w:rFonts w:cs="Arial" w:hint="cs"/>
          <w:sz w:val="16"/>
          <w:szCs w:val="16"/>
          <w:rtl/>
        </w:rPr>
        <w:t>.</w:t>
      </w:r>
      <w:r w:rsidRPr="00F95E78">
        <w:rPr>
          <w:rFonts w:cs="Arial"/>
          <w:sz w:val="16"/>
          <w:szCs w:val="16"/>
          <w:rtl/>
        </w:rPr>
        <w:t xml:space="preserve"> אבל לעולם גזייה לזמן </w:t>
      </w:r>
      <w:r w:rsidR="00A82951">
        <w:rPr>
          <w:rFonts w:cs="Arial" w:hint="cs"/>
          <w:sz w:val="16"/>
          <w:szCs w:val="16"/>
          <w:rtl/>
        </w:rPr>
        <w:t>-</w:t>
      </w:r>
      <w:r w:rsidRPr="00F95E78">
        <w:rPr>
          <w:rFonts w:cs="Arial" w:hint="cs"/>
          <w:sz w:val="16"/>
          <w:szCs w:val="16"/>
          <w:rtl/>
        </w:rPr>
        <w:t xml:space="preserve"> </w:t>
      </w:r>
      <w:r w:rsidRPr="00F95E78">
        <w:rPr>
          <w:rFonts w:cs="Arial"/>
          <w:sz w:val="16"/>
          <w:szCs w:val="16"/>
          <w:rtl/>
        </w:rPr>
        <w:t>דינו כגט שאין בו זמן שהוא פסול</w:t>
      </w:r>
      <w:r w:rsidRPr="00F95E78">
        <w:rPr>
          <w:rFonts w:cs="Arial" w:hint="cs"/>
          <w:sz w:val="16"/>
          <w:szCs w:val="16"/>
          <w:rtl/>
        </w:rPr>
        <w:t>.</w:t>
      </w:r>
      <w:r w:rsidRPr="00F95E78">
        <w:rPr>
          <w:rFonts w:cs="Arial"/>
          <w:sz w:val="16"/>
          <w:szCs w:val="16"/>
          <w:rtl/>
        </w:rPr>
        <w:t xml:space="preserve"> אבל דעת הרמב"ם כדעת רבינו חננאל שפירשו לרמאי לא חיישינן וכשר</w:t>
      </w:r>
      <w:r>
        <w:rPr>
          <w:rFonts w:cs="Arial" w:hint="cs"/>
          <w:sz w:val="16"/>
          <w:szCs w:val="16"/>
          <w:rtl/>
        </w:rPr>
        <w:t xml:space="preserve">, </w:t>
      </w:r>
      <w:r w:rsidRPr="00255A9A">
        <w:rPr>
          <w:rFonts w:cs="Arial" w:hint="cs"/>
          <w:b/>
          <w:bCs/>
          <w:sz w:val="16"/>
          <w:szCs w:val="16"/>
          <w:rtl/>
        </w:rPr>
        <w:t>ב"י</w:t>
      </w:r>
      <w:r w:rsidRPr="00F95E78">
        <w:rPr>
          <w:rFonts w:cs="Arial" w:hint="cs"/>
          <w:sz w:val="16"/>
          <w:szCs w:val="16"/>
          <w:rtl/>
        </w:rPr>
        <w:t>.</w:t>
      </w:r>
      <w:r w:rsidRPr="00F95E78">
        <w:rPr>
          <w:rFonts w:cs="Arial"/>
          <w:sz w:val="16"/>
          <w:szCs w:val="16"/>
          <w:rtl/>
        </w:rPr>
        <w:t xml:space="preserve"> וכתב </w:t>
      </w:r>
      <w:r w:rsidRPr="00255A9A">
        <w:rPr>
          <w:rFonts w:cs="Arial"/>
          <w:b/>
          <w:bCs/>
          <w:sz w:val="16"/>
          <w:szCs w:val="16"/>
          <w:rtl/>
        </w:rPr>
        <w:t>הרשב"א</w:t>
      </w:r>
      <w:r w:rsidRPr="00F95E78">
        <w:rPr>
          <w:rFonts w:cs="Arial"/>
          <w:sz w:val="16"/>
          <w:szCs w:val="16"/>
          <w:rtl/>
        </w:rPr>
        <w:t xml:space="preserve"> </w:t>
      </w:r>
      <w:r w:rsidRPr="00255A9A">
        <w:rPr>
          <w:rFonts w:cs="Arial"/>
          <w:sz w:val="14"/>
          <w:szCs w:val="14"/>
          <w:rtl/>
        </w:rPr>
        <w:t>(</w:t>
      </w:r>
      <w:r w:rsidRPr="00255A9A">
        <w:rPr>
          <w:rFonts w:cs="Arial" w:hint="cs"/>
          <w:sz w:val="14"/>
          <w:szCs w:val="14"/>
          <w:rtl/>
        </w:rPr>
        <w:t>[</w:t>
      </w:r>
      <w:r w:rsidRPr="00255A9A">
        <w:rPr>
          <w:rFonts w:cs="Arial"/>
          <w:sz w:val="14"/>
          <w:szCs w:val="14"/>
          <w:rtl/>
        </w:rPr>
        <w:t>יז: ד"ה גזייה</w:t>
      </w:r>
      <w:r w:rsidRPr="00255A9A">
        <w:rPr>
          <w:rFonts w:cs="Arial" w:hint="cs"/>
          <w:sz w:val="14"/>
          <w:szCs w:val="14"/>
          <w:rtl/>
        </w:rPr>
        <w:t>],</w:t>
      </w:r>
      <w:r w:rsidRPr="00255A9A">
        <w:rPr>
          <w:rFonts w:cs="Arial"/>
          <w:sz w:val="14"/>
          <w:szCs w:val="14"/>
          <w:rtl/>
        </w:rPr>
        <w:t xml:space="preserve"> ו</w:t>
      </w:r>
      <w:r w:rsidRPr="00255A9A">
        <w:rPr>
          <w:rFonts w:cs="Arial" w:hint="cs"/>
          <w:sz w:val="14"/>
          <w:szCs w:val="14"/>
          <w:rtl/>
        </w:rPr>
        <w:t xml:space="preserve">כ"כ </w:t>
      </w:r>
      <w:r w:rsidRPr="00255A9A">
        <w:rPr>
          <w:rFonts w:cs="Arial"/>
          <w:sz w:val="14"/>
          <w:szCs w:val="14"/>
          <w:rtl/>
        </w:rPr>
        <w:t xml:space="preserve">הר"ן </w:t>
      </w:r>
      <w:r w:rsidRPr="00255A9A">
        <w:rPr>
          <w:rFonts w:cs="Arial" w:hint="cs"/>
          <w:sz w:val="14"/>
          <w:szCs w:val="14"/>
          <w:rtl/>
        </w:rPr>
        <w:t>[</w:t>
      </w:r>
      <w:r w:rsidRPr="00255A9A">
        <w:rPr>
          <w:rFonts w:cs="Arial"/>
          <w:sz w:val="14"/>
          <w:szCs w:val="14"/>
          <w:rtl/>
        </w:rPr>
        <w:t>ח. ד"ה ודאמרי'</w:t>
      </w:r>
      <w:r w:rsidRPr="00255A9A">
        <w:rPr>
          <w:rFonts w:cs="Arial" w:hint="cs"/>
          <w:sz w:val="14"/>
          <w:szCs w:val="14"/>
          <w:rtl/>
        </w:rPr>
        <w:t>]</w:t>
      </w:r>
      <w:r w:rsidRPr="00255A9A">
        <w:rPr>
          <w:rFonts w:cs="Arial"/>
          <w:sz w:val="14"/>
          <w:szCs w:val="14"/>
          <w:rtl/>
        </w:rPr>
        <w:t>)</w:t>
      </w:r>
      <w:r w:rsidRPr="00F95E78">
        <w:rPr>
          <w:rFonts w:cs="Arial"/>
          <w:sz w:val="16"/>
          <w:szCs w:val="16"/>
          <w:rtl/>
        </w:rPr>
        <w:t xml:space="preserve"> </w:t>
      </w:r>
      <w:r>
        <w:rPr>
          <w:rFonts w:cs="Arial" w:hint="cs"/>
          <w:sz w:val="16"/>
          <w:szCs w:val="16"/>
          <w:rtl/>
        </w:rPr>
        <w:t>ד</w:t>
      </w:r>
      <w:r w:rsidRPr="00255A9A">
        <w:rPr>
          <w:rFonts w:cs="Arial"/>
          <w:sz w:val="16"/>
          <w:szCs w:val="16"/>
          <w:rtl/>
        </w:rPr>
        <w:t>נראה שהוצרכו ז"ל לומר כן</w:t>
      </w:r>
      <w:r>
        <w:rPr>
          <w:rFonts w:cs="Arial" w:hint="cs"/>
          <w:sz w:val="16"/>
          <w:szCs w:val="16"/>
          <w:rtl/>
        </w:rPr>
        <w:t>,</w:t>
      </w:r>
      <w:r w:rsidRPr="00255A9A">
        <w:rPr>
          <w:rFonts w:cs="Arial"/>
          <w:sz w:val="16"/>
          <w:szCs w:val="16"/>
          <w:rtl/>
        </w:rPr>
        <w:t xml:space="preserve"> דאי בדיעבד ולומר שלא תצא ומיהו לכתחלה לא תנשא א"כ מאי קמבעיא ליה גזייה לזמן מאי</w:t>
      </w:r>
      <w:r>
        <w:rPr>
          <w:rFonts w:cs="Arial" w:hint="cs"/>
          <w:sz w:val="16"/>
          <w:szCs w:val="16"/>
          <w:rtl/>
        </w:rPr>
        <w:t>,</w:t>
      </w:r>
      <w:r w:rsidRPr="00255A9A">
        <w:rPr>
          <w:rFonts w:cs="Arial"/>
          <w:sz w:val="16"/>
          <w:szCs w:val="16"/>
          <w:rtl/>
        </w:rPr>
        <w:t xml:space="preserve"> לימא דאהני דלכתחלה לא תנשא כדמשני גבי שלשה גיטין פסולין</w:t>
      </w:r>
      <w:r>
        <w:rPr>
          <w:rFonts w:cs="Arial" w:hint="cs"/>
          <w:sz w:val="16"/>
          <w:szCs w:val="16"/>
          <w:rtl/>
        </w:rPr>
        <w:t xml:space="preserve"> </w:t>
      </w:r>
      <w:r>
        <w:rPr>
          <w:rFonts w:cs="Arial" w:hint="cs"/>
          <w:sz w:val="14"/>
          <w:szCs w:val="14"/>
          <w:rtl/>
        </w:rPr>
        <w:t>[עכ"ל הרשב"א]</w:t>
      </w:r>
      <w:r>
        <w:rPr>
          <w:rFonts w:cs="Arial" w:hint="cs"/>
          <w:sz w:val="16"/>
          <w:szCs w:val="16"/>
          <w:rtl/>
        </w:rPr>
        <w:t>.</w:t>
      </w:r>
      <w:r w:rsidRPr="00F95E78">
        <w:rPr>
          <w:rFonts w:cs="Arial"/>
          <w:sz w:val="16"/>
          <w:szCs w:val="16"/>
          <w:rtl/>
        </w:rPr>
        <w:t xml:space="preserve"> ומכל מקום כתבו הרשב"א והר"ן שכדברי רש"י הוא הנכון וכבר האריך הרשב"א בטעם הדבר</w:t>
      </w:r>
      <w:r>
        <w:rPr>
          <w:rFonts w:cs="Arial" w:hint="cs"/>
          <w:sz w:val="16"/>
          <w:szCs w:val="16"/>
          <w:rtl/>
        </w:rPr>
        <w:t>)</w:t>
      </w:r>
    </w:p>
    <w:p w14:paraId="1EFB8FDC" w14:textId="77777777" w:rsidR="00FA2119" w:rsidRPr="00620076" w:rsidRDefault="00FA2119" w:rsidP="00FA2119">
      <w:pPr>
        <w:rPr>
          <w:u w:val="single"/>
          <w:rtl/>
        </w:rPr>
      </w:pPr>
      <w:r w:rsidRPr="00620076">
        <w:rPr>
          <w:rFonts w:cs="Arial"/>
          <w:u w:val="single"/>
          <w:rtl/>
        </w:rPr>
        <w:t>חתך מ</w:t>
      </w:r>
      <w:r w:rsidRPr="00620076">
        <w:rPr>
          <w:rFonts w:cs="Arial" w:hint="cs"/>
          <w:u w:val="single"/>
          <w:rtl/>
        </w:rPr>
        <w:t>הגט את</w:t>
      </w:r>
      <w:r w:rsidRPr="00620076">
        <w:rPr>
          <w:rFonts w:cs="Arial"/>
          <w:u w:val="single"/>
          <w:rtl/>
        </w:rPr>
        <w:t xml:space="preserve"> הזמן ונתנו לה</w:t>
      </w:r>
      <w:r w:rsidRPr="00620076">
        <w:rPr>
          <w:rFonts w:hint="cs"/>
          <w:u w:val="single"/>
          <w:rtl/>
        </w:rPr>
        <w:t>:</w:t>
      </w:r>
    </w:p>
    <w:p w14:paraId="33CAA717" w14:textId="67272816" w:rsidR="00FA2119" w:rsidRPr="00F91324" w:rsidRDefault="00FA2119" w:rsidP="00FA2119">
      <w:pPr>
        <w:pStyle w:val="ab"/>
        <w:numPr>
          <w:ilvl w:val="0"/>
          <w:numId w:val="15"/>
        </w:numPr>
      </w:pPr>
      <w:r>
        <w:rPr>
          <w:rFonts w:cs="Arial" w:hint="cs"/>
          <w:rtl/>
        </w:rPr>
        <w:lastRenderedPageBreak/>
        <w:t xml:space="preserve">ר"ח </w:t>
      </w:r>
      <w:r>
        <w:rPr>
          <w:rFonts w:cs="Arial" w:hint="cs"/>
          <w:sz w:val="16"/>
          <w:szCs w:val="16"/>
          <w:rtl/>
        </w:rPr>
        <w:t>(כ"כ הרשב"א והב"י בשמו)</w:t>
      </w:r>
      <w:r>
        <w:rPr>
          <w:rFonts w:cs="Arial" w:hint="cs"/>
          <w:rtl/>
        </w:rPr>
        <w:t xml:space="preserve"> רמב"ם </w:t>
      </w:r>
      <w:r>
        <w:rPr>
          <w:rFonts w:cs="Arial" w:hint="cs"/>
          <w:sz w:val="16"/>
          <w:szCs w:val="16"/>
          <w:rtl/>
        </w:rPr>
        <w:t>(פ"א הכ"ו)</w:t>
      </w:r>
      <w:r>
        <w:rPr>
          <w:rFonts w:cs="Arial" w:hint="cs"/>
          <w:rtl/>
        </w:rPr>
        <w:t xml:space="preserve"> וראבי"ה </w:t>
      </w:r>
      <w:r>
        <w:rPr>
          <w:rFonts w:cs="Arial" w:hint="cs"/>
          <w:sz w:val="16"/>
          <w:szCs w:val="16"/>
          <w:rtl/>
        </w:rPr>
        <w:t>(סי' תתקלט, הביאו המרדכי [גיטין סי' שנד])</w:t>
      </w:r>
      <w:r w:rsidR="00A82951">
        <w:rPr>
          <w:rFonts w:cs="Arial" w:hint="cs"/>
          <w:rtl/>
        </w:rPr>
        <w:t>-</w:t>
      </w:r>
      <w:r>
        <w:rPr>
          <w:rFonts w:cs="Arial" w:hint="cs"/>
          <w:rtl/>
        </w:rPr>
        <w:t xml:space="preserve"> </w:t>
      </w:r>
      <w:r w:rsidRPr="00F91324">
        <w:rPr>
          <w:rFonts w:cs="Arial"/>
          <w:rtl/>
        </w:rPr>
        <w:t>חתך ממנו הזמן ונתנו לה</w:t>
      </w:r>
      <w:r>
        <w:rPr>
          <w:rFonts w:cs="Arial" w:hint="cs"/>
          <w:rtl/>
        </w:rPr>
        <w:t>...</w:t>
      </w:r>
      <w:r w:rsidRPr="00F91324">
        <w:rPr>
          <w:rFonts w:cs="Arial"/>
          <w:rtl/>
        </w:rPr>
        <w:t xml:space="preserve"> </w:t>
      </w:r>
      <w:r w:rsidR="00A82951">
        <w:rPr>
          <w:rFonts w:cs="Arial" w:hint="cs"/>
          <w:rtl/>
        </w:rPr>
        <w:t>-</w:t>
      </w:r>
      <w:r w:rsidRPr="00F91324">
        <w:rPr>
          <w:rFonts w:cs="Arial"/>
          <w:rtl/>
        </w:rPr>
        <w:t xml:space="preserve"> כשר</w:t>
      </w:r>
      <w:r>
        <w:rPr>
          <w:rStyle w:val="a7"/>
          <w:rFonts w:cs="Arial"/>
          <w:rtl/>
        </w:rPr>
        <w:footnoteReference w:id="926"/>
      </w:r>
      <w:r>
        <w:rPr>
          <w:rFonts w:cs="Arial" w:hint="cs"/>
          <w:sz w:val="16"/>
          <w:szCs w:val="16"/>
          <w:rtl/>
        </w:rPr>
        <w:t xml:space="preserve"> (ל' הרמב"ם)</w:t>
      </w:r>
      <w:r>
        <w:rPr>
          <w:rFonts w:cs="Arial" w:hint="cs"/>
          <w:rtl/>
        </w:rPr>
        <w:t>.</w:t>
      </w:r>
      <w:r w:rsidRPr="00255A9A">
        <w:rPr>
          <w:rFonts w:cs="Arial"/>
          <w:color w:val="E36C0A" w:themeColor="accent6" w:themeShade="BF"/>
          <w:rtl/>
        </w:rPr>
        <w:t xml:space="preserve"> </w:t>
      </w:r>
      <w:r w:rsidRPr="00255A9A">
        <w:rPr>
          <w:rFonts w:hint="cs"/>
          <w:color w:val="E36C0A" w:themeColor="accent6" w:themeShade="BF"/>
          <w:rtl/>
        </w:rPr>
        <w:t>(וכ"ס בשו"ע)</w:t>
      </w:r>
    </w:p>
    <w:p w14:paraId="0078F1BB" w14:textId="258418FC" w:rsidR="00FA2119" w:rsidRPr="00620076" w:rsidRDefault="00FA2119" w:rsidP="00FA2119">
      <w:pPr>
        <w:pStyle w:val="ab"/>
        <w:numPr>
          <w:ilvl w:val="0"/>
          <w:numId w:val="15"/>
        </w:numPr>
        <w:rPr>
          <w:rtl/>
        </w:rPr>
      </w:pPr>
      <w:r>
        <w:rPr>
          <w:rFonts w:cs="Arial" w:hint="cs"/>
          <w:rtl/>
        </w:rPr>
        <w:t xml:space="preserve">רש"י </w:t>
      </w:r>
      <w:r>
        <w:rPr>
          <w:rFonts w:cs="Arial" w:hint="cs"/>
          <w:sz w:val="16"/>
          <w:szCs w:val="16"/>
          <w:rtl/>
        </w:rPr>
        <w:t xml:space="preserve">(כ"כ הב"י בשמו) </w:t>
      </w:r>
      <w:r>
        <w:rPr>
          <w:rFonts w:cs="Arial" w:hint="cs"/>
          <w:rtl/>
        </w:rPr>
        <w:t xml:space="preserve">ראב"ד </w:t>
      </w:r>
      <w:r>
        <w:rPr>
          <w:rFonts w:cs="Arial" w:hint="cs"/>
          <w:sz w:val="16"/>
          <w:szCs w:val="16"/>
          <w:rtl/>
        </w:rPr>
        <w:t>(בהשגות שם)</w:t>
      </w:r>
      <w:r>
        <w:rPr>
          <w:rFonts w:cs="Arial" w:hint="cs"/>
          <w:rtl/>
        </w:rPr>
        <w:t xml:space="preserve"> וטור</w:t>
      </w:r>
      <w:r w:rsidR="00A82951">
        <w:rPr>
          <w:rFonts w:cs="Arial" w:hint="cs"/>
          <w:rtl/>
        </w:rPr>
        <w:t>-</w:t>
      </w:r>
      <w:r w:rsidRPr="00F91324">
        <w:rPr>
          <w:rFonts w:cs="Arial"/>
          <w:rtl/>
        </w:rPr>
        <w:t xml:space="preserve"> חתך ממנו הזמן ונתנו לה </w:t>
      </w:r>
      <w:r w:rsidR="00A82951">
        <w:rPr>
          <w:rFonts w:cs="Arial" w:hint="cs"/>
          <w:rtl/>
        </w:rPr>
        <w:t>-</w:t>
      </w:r>
      <w:r>
        <w:rPr>
          <w:rFonts w:cs="Arial" w:hint="cs"/>
          <w:rtl/>
        </w:rPr>
        <w:t xml:space="preserve"> </w:t>
      </w:r>
      <w:r w:rsidRPr="00F91324">
        <w:rPr>
          <w:rFonts w:cs="Arial"/>
          <w:rtl/>
        </w:rPr>
        <w:t>לכתחלה לא תנשא שהרי משלשה גיטין פסולין הוא זה</w:t>
      </w:r>
      <w:r>
        <w:rPr>
          <w:rFonts w:cs="Arial" w:hint="cs"/>
          <w:sz w:val="16"/>
          <w:szCs w:val="16"/>
          <w:rtl/>
        </w:rPr>
        <w:t xml:space="preserve"> (ל' הראב"ד)</w:t>
      </w:r>
      <w:r>
        <w:rPr>
          <w:rStyle w:val="a7"/>
          <w:rFonts w:cs="Arial"/>
          <w:rtl/>
        </w:rPr>
        <w:footnoteReference w:id="927"/>
      </w:r>
      <w:r w:rsidRPr="00F91324">
        <w:rPr>
          <w:rFonts w:cs="Arial"/>
          <w:rtl/>
        </w:rPr>
        <w:t>.</w:t>
      </w:r>
      <w:r>
        <w:rPr>
          <w:rFonts w:cs="Arial"/>
          <w:rtl/>
        </w:rPr>
        <w:t xml:space="preserve"> </w:t>
      </w:r>
    </w:p>
    <w:p w14:paraId="3ADE3447"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9885B1C" w14:textId="77777777" w:rsidR="00FA2119" w:rsidRDefault="00FA2119" w:rsidP="00FA2119">
      <w:pPr>
        <w:rPr>
          <w:rtl/>
        </w:rPr>
      </w:pPr>
      <w:r>
        <w:rPr>
          <w:rFonts w:cs="Arial" w:hint="cs"/>
          <w:rtl/>
        </w:rPr>
        <w:t>כתב</w:t>
      </w:r>
      <w:r>
        <w:rPr>
          <w:rFonts w:cs="Arial"/>
          <w:rtl/>
        </w:rPr>
        <w:t xml:space="preserve"> </w:t>
      </w:r>
      <w:r>
        <w:rPr>
          <w:rFonts w:cs="Arial" w:hint="cs"/>
          <w:rtl/>
        </w:rPr>
        <w:t>בו</w:t>
      </w:r>
      <w:r>
        <w:rPr>
          <w:rFonts w:cs="Arial"/>
          <w:rtl/>
        </w:rPr>
        <w:t xml:space="preserve"> </w:t>
      </w:r>
      <w:r>
        <w:rPr>
          <w:rFonts w:cs="Arial" w:hint="cs"/>
          <w:rtl/>
        </w:rPr>
        <w:t>זמן</w:t>
      </w:r>
      <w:r>
        <w:rPr>
          <w:rFonts w:cs="Arial"/>
          <w:rtl/>
        </w:rPr>
        <w:t xml:space="preserve">, </w:t>
      </w:r>
      <w:r>
        <w:rPr>
          <w:rFonts w:cs="Arial" w:hint="cs"/>
          <w:rtl/>
        </w:rPr>
        <w:t>וחתך</w:t>
      </w:r>
      <w:r>
        <w:rPr>
          <w:rFonts w:cs="Arial"/>
          <w:rtl/>
        </w:rPr>
        <w:t xml:space="preserve"> </w:t>
      </w:r>
      <w:r>
        <w:rPr>
          <w:rFonts w:cs="Arial" w:hint="cs"/>
          <w:rtl/>
        </w:rPr>
        <w:t>ממנו</w:t>
      </w:r>
      <w:r>
        <w:rPr>
          <w:rFonts w:cs="Arial"/>
          <w:rtl/>
        </w:rPr>
        <w:t xml:space="preserve"> </w:t>
      </w:r>
      <w:r>
        <w:rPr>
          <w:rFonts w:cs="Arial" w:hint="cs"/>
          <w:rtl/>
        </w:rPr>
        <w:t>הזמן</w:t>
      </w:r>
      <w:r>
        <w:rPr>
          <w:rFonts w:cs="Arial"/>
          <w:rtl/>
        </w:rPr>
        <w:t xml:space="preserve"> </w:t>
      </w:r>
      <w:r>
        <w:rPr>
          <w:rFonts w:cs="Arial" w:hint="cs"/>
          <w:rtl/>
        </w:rPr>
        <w:t>ואחר</w:t>
      </w:r>
      <w:r>
        <w:rPr>
          <w:rFonts w:cs="Arial"/>
          <w:rtl/>
        </w:rPr>
        <w:t xml:space="preserve"> </w:t>
      </w:r>
      <w:r>
        <w:rPr>
          <w:rFonts w:cs="Arial" w:hint="cs"/>
          <w:rtl/>
        </w:rPr>
        <w:t>כך</w:t>
      </w:r>
      <w:r>
        <w:rPr>
          <w:rFonts w:cs="Arial"/>
          <w:rtl/>
        </w:rPr>
        <w:t xml:space="preserve"> </w:t>
      </w:r>
      <w:r>
        <w:rPr>
          <w:rFonts w:cs="Arial" w:hint="cs"/>
          <w:rtl/>
        </w:rPr>
        <w:t>נתנו</w:t>
      </w:r>
      <w:r>
        <w:rPr>
          <w:rFonts w:cs="Arial"/>
          <w:rtl/>
        </w:rPr>
        <w:t xml:space="preserve"> </w:t>
      </w:r>
      <w:r>
        <w:rPr>
          <w:rFonts w:cs="Arial" w:hint="cs"/>
          <w:rtl/>
        </w:rPr>
        <w:t>לה</w:t>
      </w:r>
      <w:r>
        <w:rPr>
          <w:rFonts w:cs="Arial"/>
          <w:rtl/>
        </w:rPr>
        <w:t xml:space="preserve">, </w:t>
      </w:r>
      <w:r>
        <w:rPr>
          <w:rFonts w:cs="Arial" w:hint="cs"/>
          <w:rtl/>
        </w:rPr>
        <w:t>כשר</w:t>
      </w:r>
      <w:r>
        <w:rPr>
          <w:rFonts w:cs="Arial"/>
          <w:rtl/>
        </w:rPr>
        <w:t xml:space="preserve">. </w:t>
      </w:r>
      <w:r>
        <w:rPr>
          <w:rFonts w:cs="Arial" w:hint="cs"/>
          <w:rtl/>
        </w:rPr>
        <w:t>ויש</w:t>
      </w:r>
      <w:r>
        <w:rPr>
          <w:rFonts w:cs="Arial"/>
          <w:rtl/>
        </w:rPr>
        <w:t xml:space="preserve"> </w:t>
      </w:r>
      <w:r>
        <w:rPr>
          <w:rFonts w:cs="Arial" w:hint="cs"/>
          <w:rtl/>
        </w:rPr>
        <w:t>פוסלים</w:t>
      </w:r>
      <w:r>
        <w:rPr>
          <w:rFonts w:cs="Arial"/>
          <w:rtl/>
        </w:rPr>
        <w:t xml:space="preserve">. </w:t>
      </w:r>
    </w:p>
    <w:p w14:paraId="7F1C4C3C" w14:textId="77777777" w:rsidR="00FA2119" w:rsidRDefault="00FA2119" w:rsidP="00FA2119">
      <w:pPr>
        <w:rPr>
          <w:rtl/>
        </w:rPr>
      </w:pPr>
    </w:p>
    <w:p w14:paraId="7BA59ECB" w14:textId="77777777" w:rsidR="00FA2119" w:rsidRDefault="00FA2119" w:rsidP="00FA2119">
      <w:pPr>
        <w:pStyle w:val="2"/>
        <w:rPr>
          <w:rtl/>
        </w:rPr>
      </w:pPr>
      <w:r>
        <w:rPr>
          <w:rFonts w:hint="cs"/>
          <w:rtl/>
        </w:rPr>
        <w:t>סעיף</w:t>
      </w:r>
      <w:r>
        <w:rPr>
          <w:rtl/>
        </w:rPr>
        <w:t xml:space="preserve"> </w:t>
      </w:r>
      <w:r>
        <w:rPr>
          <w:rFonts w:hint="cs"/>
          <w:rtl/>
        </w:rPr>
        <w:t>ט: גט מאוחר.</w:t>
      </w:r>
    </w:p>
    <w:p w14:paraId="1BC9BB79" w14:textId="5E2537B6" w:rsidR="00FA2119" w:rsidRPr="00A91F36" w:rsidRDefault="00FA2119" w:rsidP="00FA2119">
      <w:pPr>
        <w:rPr>
          <w:rtl/>
        </w:rPr>
      </w:pPr>
      <w:r w:rsidRPr="00837E79">
        <w:rPr>
          <w:rFonts w:hint="cs"/>
          <w:b/>
          <w:bCs/>
          <w:rtl/>
        </w:rPr>
        <w:t xml:space="preserve">גיטין </w:t>
      </w:r>
      <w:r w:rsidRPr="00837E79">
        <w:rPr>
          <w:rFonts w:hint="cs"/>
          <w:b/>
          <w:bCs/>
          <w:sz w:val="16"/>
          <w:szCs w:val="16"/>
          <w:rtl/>
        </w:rPr>
        <w:t xml:space="preserve">(פ"ב) </w:t>
      </w:r>
      <w:r w:rsidRPr="00837E79">
        <w:rPr>
          <w:rFonts w:hint="cs"/>
          <w:b/>
          <w:bCs/>
          <w:rtl/>
        </w:rPr>
        <w:t xml:space="preserve">יז ע"א: </w:t>
      </w:r>
      <w:r w:rsidRPr="00E80E94">
        <w:rPr>
          <w:rFonts w:cs="Arial"/>
          <w:rtl/>
        </w:rPr>
        <w:t xml:space="preserve">איתמר: מפני מה תיקנו זמן בגיטין? </w:t>
      </w:r>
      <w:r w:rsidRPr="00E80E94">
        <w:rPr>
          <w:rFonts w:cs="Arial"/>
          <w:u w:val="single"/>
          <w:rtl/>
        </w:rPr>
        <w:t>רבי יוחנן אמר</w:t>
      </w:r>
      <w:r w:rsidRPr="00E80E94">
        <w:rPr>
          <w:rFonts w:cs="Arial"/>
          <w:rtl/>
        </w:rPr>
        <w:t>: משום בת אחותו</w:t>
      </w:r>
      <w:r>
        <w:rPr>
          <w:rFonts w:cs="Arial" w:hint="cs"/>
          <w:rtl/>
        </w:rPr>
        <w:t>.</w:t>
      </w:r>
      <w:r w:rsidRPr="00E80E94">
        <w:rPr>
          <w:rFonts w:cs="Arial"/>
          <w:rtl/>
        </w:rPr>
        <w:t xml:space="preserve"> </w:t>
      </w:r>
      <w:r w:rsidRPr="00E80E94">
        <w:rPr>
          <w:rFonts w:cs="Arial"/>
          <w:u w:val="single"/>
          <w:rtl/>
        </w:rPr>
        <w:t>ריש לקיש אמר</w:t>
      </w:r>
      <w:r w:rsidRPr="00E80E94">
        <w:rPr>
          <w:rFonts w:cs="Arial"/>
          <w:rtl/>
        </w:rPr>
        <w:t>: משום פירות.</w:t>
      </w:r>
      <w:r>
        <w:rPr>
          <w:rFonts w:hint="cs"/>
          <w:rtl/>
        </w:rPr>
        <w:t xml:space="preserve"> </w:t>
      </w:r>
      <w:r w:rsidRPr="00A91F36">
        <w:rPr>
          <w:rFonts w:hint="cs"/>
          <w:sz w:val="16"/>
          <w:szCs w:val="16"/>
          <w:rtl/>
        </w:rPr>
        <w:t>(וכתבו התוס' (ד"ה ריש)</w:t>
      </w:r>
      <w:r w:rsidR="00A82951">
        <w:rPr>
          <w:rFonts w:hint="cs"/>
          <w:sz w:val="16"/>
          <w:szCs w:val="16"/>
          <w:rtl/>
        </w:rPr>
        <w:t>-</w:t>
      </w:r>
      <w:r w:rsidRPr="00A91F36">
        <w:rPr>
          <w:rFonts w:hint="cs"/>
          <w:sz w:val="16"/>
          <w:szCs w:val="16"/>
          <w:rtl/>
        </w:rPr>
        <w:t xml:space="preserve"> </w:t>
      </w:r>
      <w:r w:rsidRPr="00A91F36">
        <w:rPr>
          <w:rFonts w:cs="Arial"/>
          <w:sz w:val="16"/>
          <w:szCs w:val="16"/>
          <w:rtl/>
        </w:rPr>
        <w:t>כדי שתדע האשה מתי נכתב ונחתם ולא תפסיד פירות עד שעת נתינה</w:t>
      </w:r>
      <w:r w:rsidRPr="00A91F36">
        <w:rPr>
          <w:rFonts w:cs="Arial" w:hint="cs"/>
          <w:sz w:val="16"/>
          <w:szCs w:val="16"/>
          <w:rtl/>
        </w:rPr>
        <w:t>.</w:t>
      </w:r>
      <w:r w:rsidRPr="00A91F36">
        <w:rPr>
          <w:rFonts w:cs="Arial"/>
          <w:sz w:val="16"/>
          <w:szCs w:val="16"/>
          <w:rtl/>
        </w:rPr>
        <w:t xml:space="preserve"> וא"ת גט מאוחר יפסל מהאי טעמא</w:t>
      </w:r>
      <w:r w:rsidRPr="00A91F36">
        <w:rPr>
          <w:rFonts w:cs="Arial" w:hint="cs"/>
          <w:sz w:val="16"/>
          <w:szCs w:val="16"/>
          <w:rtl/>
        </w:rPr>
        <w:t>,</w:t>
      </w:r>
      <w:r w:rsidRPr="00A91F36">
        <w:rPr>
          <w:rFonts w:cs="Arial"/>
          <w:sz w:val="16"/>
          <w:szCs w:val="16"/>
          <w:rtl/>
        </w:rPr>
        <w:t xml:space="preserve"> ובפ' גט פשוט (ב"ב קס.) מוכח דכשר</w:t>
      </w:r>
      <w:r w:rsidRPr="00A91F36">
        <w:rPr>
          <w:rFonts w:cs="Arial" w:hint="cs"/>
          <w:sz w:val="16"/>
          <w:szCs w:val="16"/>
          <w:rtl/>
        </w:rPr>
        <w:t>,</w:t>
      </w:r>
      <w:r w:rsidRPr="00A91F36">
        <w:rPr>
          <w:rFonts w:cs="Arial"/>
          <w:sz w:val="16"/>
          <w:szCs w:val="16"/>
          <w:rtl/>
        </w:rPr>
        <w:t xml:space="preserve"> דאמר גט מקושר שכתבו עדיו מתוכו כשר מפני שיכול לעשותו פשוט</w:t>
      </w:r>
      <w:r w:rsidRPr="00A91F36">
        <w:rPr>
          <w:rFonts w:cs="Arial" w:hint="cs"/>
          <w:sz w:val="16"/>
          <w:szCs w:val="16"/>
          <w:rtl/>
        </w:rPr>
        <w:t>.</w:t>
      </w:r>
      <w:r w:rsidRPr="00A91F36">
        <w:rPr>
          <w:rFonts w:cs="Arial"/>
          <w:sz w:val="16"/>
          <w:szCs w:val="16"/>
          <w:rtl/>
        </w:rPr>
        <w:t xml:space="preserve"> ואז יהיה מאוחר</w:t>
      </w:r>
      <w:r w:rsidRPr="00A91F36">
        <w:rPr>
          <w:rFonts w:cs="Arial" w:hint="cs"/>
          <w:sz w:val="16"/>
          <w:szCs w:val="16"/>
          <w:rtl/>
        </w:rPr>
        <w:t>.</w:t>
      </w:r>
      <w:r w:rsidRPr="00A91F36">
        <w:rPr>
          <w:rFonts w:cs="Arial"/>
          <w:sz w:val="16"/>
          <w:szCs w:val="16"/>
          <w:rtl/>
        </w:rPr>
        <w:t xml:space="preserve"> דמקושר אמרי' התם מלך שנה מונין לו שתים ועכשיו ימנו מזמן הכתוב בו כדין פשוט שלא ידעו דתחילתו מקושר היה</w:t>
      </w:r>
      <w:r w:rsidRPr="00A91F36">
        <w:rPr>
          <w:rFonts w:cs="Arial" w:hint="cs"/>
          <w:sz w:val="16"/>
          <w:szCs w:val="16"/>
          <w:rtl/>
        </w:rPr>
        <w:t>.</w:t>
      </w:r>
      <w:r w:rsidRPr="00A91F36">
        <w:rPr>
          <w:rFonts w:cs="Arial"/>
          <w:sz w:val="16"/>
          <w:szCs w:val="16"/>
          <w:rtl/>
        </w:rPr>
        <w:t xml:space="preserve"> ואומר ר"י דבמאוחר אין הבעל מפסיד פירות משעת חתימה אלא משעת הזמן</w:t>
      </w:r>
      <w:r w:rsidRPr="00A91F36">
        <w:rPr>
          <w:rFonts w:cs="Arial" w:hint="cs"/>
          <w:sz w:val="16"/>
          <w:szCs w:val="16"/>
          <w:rtl/>
        </w:rPr>
        <w:t>,</w:t>
      </w:r>
      <w:r w:rsidRPr="00A91F36">
        <w:rPr>
          <w:rFonts w:cs="Arial"/>
          <w:sz w:val="16"/>
          <w:szCs w:val="16"/>
          <w:rtl/>
        </w:rPr>
        <w:t xml:space="preserve"> דאין ראוי לגרש בו אפילו נתנו לה לאלתר</w:t>
      </w:r>
      <w:r w:rsidRPr="00A91F36">
        <w:rPr>
          <w:rFonts w:cs="Arial" w:hint="cs"/>
          <w:sz w:val="16"/>
          <w:szCs w:val="16"/>
          <w:rtl/>
        </w:rPr>
        <w:t>,</w:t>
      </w:r>
      <w:r w:rsidRPr="00A91F36">
        <w:rPr>
          <w:rFonts w:cs="Arial"/>
          <w:sz w:val="16"/>
          <w:szCs w:val="16"/>
          <w:rtl/>
        </w:rPr>
        <w:t xml:space="preserve"> ואין הגירושין חלים עד הזמן</w:t>
      </w:r>
      <w:r w:rsidRPr="00A91F36">
        <w:rPr>
          <w:rFonts w:cs="Arial" w:hint="cs"/>
          <w:sz w:val="16"/>
          <w:szCs w:val="16"/>
          <w:rtl/>
        </w:rPr>
        <w:t>)</w:t>
      </w:r>
      <w:r w:rsidRPr="00A91F36">
        <w:rPr>
          <w:rFonts w:cs="Arial"/>
          <w:rtl/>
        </w:rPr>
        <w:t xml:space="preserve"> </w:t>
      </w:r>
    </w:p>
    <w:p w14:paraId="2529CFD3" w14:textId="77777777" w:rsidR="00FA2119" w:rsidRPr="009132FC" w:rsidRDefault="00FA2119" w:rsidP="00FA2119">
      <w:pPr>
        <w:rPr>
          <w:u w:val="single"/>
          <w:rtl/>
        </w:rPr>
      </w:pPr>
      <w:r w:rsidRPr="009132FC">
        <w:rPr>
          <w:rFonts w:hint="cs"/>
          <w:u w:val="single"/>
          <w:rtl/>
        </w:rPr>
        <w:t>גט מאוחר:</w:t>
      </w:r>
    </w:p>
    <w:p w14:paraId="50169456" w14:textId="571593B6" w:rsidR="00FA2119" w:rsidRPr="00CF5CF0" w:rsidRDefault="00FA2119" w:rsidP="00FA2119">
      <w:pPr>
        <w:pStyle w:val="ab"/>
        <w:numPr>
          <w:ilvl w:val="0"/>
          <w:numId w:val="15"/>
        </w:numPr>
      </w:pPr>
      <w:r>
        <w:rPr>
          <w:rFonts w:cs="Arial" w:hint="cs"/>
          <w:rtl/>
        </w:rPr>
        <w:t xml:space="preserve">ר"י </w:t>
      </w:r>
      <w:r>
        <w:rPr>
          <w:rFonts w:cs="Arial" w:hint="cs"/>
          <w:sz w:val="16"/>
          <w:szCs w:val="16"/>
          <w:rtl/>
        </w:rPr>
        <w:t>(בתוס' יז. ד"ה ריש)</w:t>
      </w:r>
      <w:r>
        <w:rPr>
          <w:rFonts w:cs="Arial" w:hint="cs"/>
          <w:rtl/>
        </w:rPr>
        <w:t xml:space="preserve"> ורא"ש </w:t>
      </w:r>
      <w:r>
        <w:rPr>
          <w:rFonts w:cs="Arial" w:hint="cs"/>
          <w:sz w:val="16"/>
          <w:szCs w:val="16"/>
          <w:rtl/>
        </w:rPr>
        <w:t>(פ"ב ס"ה)</w:t>
      </w:r>
      <w:r w:rsidR="00A82951">
        <w:rPr>
          <w:rFonts w:cs="Arial" w:hint="cs"/>
          <w:rtl/>
        </w:rPr>
        <w:t>-</w:t>
      </w:r>
      <w:r>
        <w:rPr>
          <w:rFonts w:cs="Arial" w:hint="cs"/>
          <w:rtl/>
        </w:rPr>
        <w:t xml:space="preserve"> </w:t>
      </w:r>
      <w:r>
        <w:rPr>
          <w:rFonts w:cs="Arial"/>
          <w:rtl/>
        </w:rPr>
        <w:t>גט שזמנו מאוחר</w:t>
      </w:r>
      <w:r>
        <w:rPr>
          <w:rFonts w:cs="Arial" w:hint="cs"/>
          <w:rtl/>
        </w:rPr>
        <w:t xml:space="preserve"> </w:t>
      </w:r>
      <w:r w:rsidR="00A82951">
        <w:rPr>
          <w:rFonts w:cs="Arial" w:hint="cs"/>
          <w:rtl/>
        </w:rPr>
        <w:t>-</w:t>
      </w:r>
      <w:r>
        <w:rPr>
          <w:rFonts w:cs="Arial"/>
          <w:rtl/>
        </w:rPr>
        <w:t xml:space="preserve"> כשר לגרש בו</w:t>
      </w:r>
      <w:r>
        <w:rPr>
          <w:rStyle w:val="a7"/>
          <w:rFonts w:cs="Arial"/>
          <w:rtl/>
        </w:rPr>
        <w:footnoteReference w:id="928"/>
      </w:r>
      <w:r>
        <w:rPr>
          <w:rFonts w:cs="Arial" w:hint="cs"/>
          <w:rtl/>
        </w:rPr>
        <w:t>...</w:t>
      </w:r>
      <w:r>
        <w:rPr>
          <w:rFonts w:cs="Arial"/>
          <w:rtl/>
        </w:rPr>
        <w:t xml:space="preserve"> </w:t>
      </w:r>
      <w:r>
        <w:rPr>
          <w:rFonts w:cs="Arial" w:hint="cs"/>
          <w:rtl/>
        </w:rPr>
        <w:t>ו</w:t>
      </w:r>
      <w:r w:rsidRPr="0036533D">
        <w:rPr>
          <w:rFonts w:cs="Arial"/>
          <w:rtl/>
        </w:rPr>
        <w:t>אינו גט אלא עד הזמן שכתוב בו אפי' אם נותנו לה מיד</w:t>
      </w:r>
      <w:r w:rsidRPr="0036533D">
        <w:rPr>
          <w:rFonts w:cs="Arial" w:hint="cs"/>
          <w:rtl/>
        </w:rPr>
        <w:t>,</w:t>
      </w:r>
      <w:r w:rsidRPr="0036533D">
        <w:rPr>
          <w:rFonts w:cs="Arial"/>
          <w:rtl/>
        </w:rPr>
        <w:t xml:space="preserve"> כי אין הגירושין חלין אלא עד הזמן שכתוב בו</w:t>
      </w:r>
      <w:r w:rsidRPr="0036533D">
        <w:rPr>
          <w:rFonts w:cs="Arial" w:hint="cs"/>
          <w:rtl/>
        </w:rPr>
        <w:t>.</w:t>
      </w:r>
      <w:r w:rsidRPr="0036533D">
        <w:rPr>
          <w:rFonts w:cs="Arial"/>
          <w:rtl/>
        </w:rPr>
        <w:t xml:space="preserve"> ויש לבעל פירות עד הזמן שכתוב בו</w:t>
      </w:r>
      <w:r>
        <w:rPr>
          <w:rFonts w:cs="Arial" w:hint="cs"/>
          <w:sz w:val="16"/>
          <w:szCs w:val="16"/>
          <w:rtl/>
        </w:rPr>
        <w:t xml:space="preserve"> (ל' הטור בשם ר"י)</w:t>
      </w:r>
      <w:r w:rsidRPr="0036533D">
        <w:rPr>
          <w:rFonts w:cs="Arial" w:hint="cs"/>
          <w:rtl/>
        </w:rPr>
        <w:t>.</w:t>
      </w:r>
      <w:r w:rsidRPr="0036533D">
        <w:rPr>
          <w:rFonts w:cs="Arial"/>
          <w:rtl/>
        </w:rPr>
        <w:t xml:space="preserve"> </w:t>
      </w:r>
      <w:r w:rsidRPr="001F5043">
        <w:rPr>
          <w:color w:val="E36C0A" w:themeColor="accent6" w:themeShade="BF"/>
          <w:rtl/>
        </w:rPr>
        <w:t>(וכ"</w:t>
      </w:r>
      <w:r>
        <w:rPr>
          <w:rFonts w:hint="cs"/>
          <w:color w:val="E36C0A" w:themeColor="accent6" w:themeShade="BF"/>
          <w:rtl/>
        </w:rPr>
        <w:t>ס</w:t>
      </w:r>
      <w:r w:rsidRPr="001F5043">
        <w:rPr>
          <w:color w:val="E36C0A" w:themeColor="accent6" w:themeShade="BF"/>
          <w:rtl/>
        </w:rPr>
        <w:t xml:space="preserve"> בשו"ע)</w:t>
      </w:r>
    </w:p>
    <w:p w14:paraId="0D459A69" w14:textId="6BD6711C" w:rsidR="00FA2119" w:rsidRPr="00CF5CF0" w:rsidRDefault="00FA2119" w:rsidP="00FA2119">
      <w:pPr>
        <w:pStyle w:val="ab"/>
        <w:numPr>
          <w:ilvl w:val="0"/>
          <w:numId w:val="15"/>
        </w:numPr>
      </w:pPr>
      <w:r>
        <w:rPr>
          <w:rFonts w:cs="Arial"/>
          <w:rtl/>
        </w:rPr>
        <w:t>ראב"ד</w:t>
      </w:r>
      <w:r>
        <w:rPr>
          <w:rFonts w:cs="Arial" w:hint="cs"/>
          <w:sz w:val="16"/>
          <w:szCs w:val="16"/>
          <w:rtl/>
        </w:rPr>
        <w:t xml:space="preserve"> (שם בהשגות)</w:t>
      </w:r>
      <w:r w:rsidR="00A82951">
        <w:rPr>
          <w:rFonts w:cs="Arial" w:hint="cs"/>
          <w:rtl/>
        </w:rPr>
        <w:t>-</w:t>
      </w:r>
      <w:r>
        <w:rPr>
          <w:rFonts w:cs="Arial"/>
          <w:rtl/>
        </w:rPr>
        <w:t xml:space="preserve"> </w:t>
      </w:r>
      <w:r w:rsidRPr="008849D1">
        <w:rPr>
          <w:rFonts w:cs="Arial"/>
          <w:rtl/>
        </w:rPr>
        <w:t>מאוחר הוא כשר להנשא בו</w:t>
      </w:r>
      <w:r>
        <w:rPr>
          <w:rFonts w:cs="Arial" w:hint="cs"/>
          <w:rtl/>
        </w:rPr>
        <w:t>.</w:t>
      </w:r>
      <w:r w:rsidRPr="008849D1">
        <w:rPr>
          <w:rFonts w:cs="Arial"/>
          <w:rtl/>
        </w:rPr>
        <w:t xml:space="preserve"> ולא תימא לזמן הגט</w:t>
      </w:r>
      <w:r>
        <w:rPr>
          <w:rFonts w:cs="Arial" w:hint="cs"/>
          <w:rtl/>
        </w:rPr>
        <w:t>,</w:t>
      </w:r>
      <w:r w:rsidRPr="008849D1">
        <w:rPr>
          <w:rFonts w:cs="Arial"/>
          <w:rtl/>
        </w:rPr>
        <w:t xml:space="preserve"> אלא קיימא גיטא בבית דין או שנתנו לה בעדים ולא הזכיר לה איחור הזמן </w:t>
      </w:r>
      <w:r w:rsidR="00A82951">
        <w:rPr>
          <w:rFonts w:cs="Arial" w:hint="cs"/>
          <w:rtl/>
        </w:rPr>
        <w:t>-</w:t>
      </w:r>
      <w:r>
        <w:rPr>
          <w:rFonts w:cs="Arial" w:hint="cs"/>
          <w:rtl/>
        </w:rPr>
        <w:t xml:space="preserve"> </w:t>
      </w:r>
      <w:r w:rsidRPr="008849D1">
        <w:rPr>
          <w:rFonts w:cs="Arial"/>
          <w:rtl/>
        </w:rPr>
        <w:t>מותרת לינשא מיד</w:t>
      </w:r>
      <w:r>
        <w:rPr>
          <w:rFonts w:cs="Arial" w:hint="cs"/>
          <w:rtl/>
        </w:rPr>
        <w:t>,</w:t>
      </w:r>
      <w:r w:rsidRPr="008849D1">
        <w:rPr>
          <w:rFonts w:cs="Arial"/>
          <w:rtl/>
        </w:rPr>
        <w:t xml:space="preserve"> לפי שאינו יכול לקלקלה</w:t>
      </w:r>
      <w:r>
        <w:rPr>
          <w:rFonts w:cs="Arial" w:hint="cs"/>
          <w:rtl/>
        </w:rPr>
        <w:t>.</w:t>
      </w:r>
      <w:r w:rsidRPr="008849D1">
        <w:rPr>
          <w:rFonts w:cs="Arial"/>
          <w:rtl/>
        </w:rPr>
        <w:t xml:space="preserve"> ואומר אני שאוכל את פירותיה עד אותו זמן ואינה גובה כתובתה עד אותו זמן</w:t>
      </w:r>
      <w:r>
        <w:rPr>
          <w:rFonts w:cs="Arial" w:hint="cs"/>
          <w:rtl/>
        </w:rPr>
        <w:t>,</w:t>
      </w:r>
      <w:r w:rsidRPr="008849D1">
        <w:rPr>
          <w:rFonts w:cs="Arial"/>
          <w:rtl/>
        </w:rPr>
        <w:t xml:space="preserve"> שלכך איחרו</w:t>
      </w:r>
      <w:r>
        <w:rPr>
          <w:rFonts w:cs="Arial" w:hint="cs"/>
          <w:rtl/>
        </w:rPr>
        <w:t>,</w:t>
      </w:r>
      <w:r w:rsidRPr="008849D1">
        <w:rPr>
          <w:rFonts w:cs="Arial"/>
          <w:rtl/>
        </w:rPr>
        <w:t xml:space="preserve"> וכמי שהתנה עמה הוא</w:t>
      </w:r>
      <w:r>
        <w:rPr>
          <w:rStyle w:val="a7"/>
          <w:rFonts w:cs="Arial"/>
          <w:rtl/>
        </w:rPr>
        <w:footnoteReference w:id="929"/>
      </w:r>
      <w:r>
        <w:rPr>
          <w:rFonts w:cs="Arial" w:hint="cs"/>
          <w:rtl/>
        </w:rPr>
        <w:t>.</w:t>
      </w:r>
      <w:r>
        <w:rPr>
          <w:rFonts w:cs="Arial"/>
          <w:rtl/>
        </w:rPr>
        <w:t xml:space="preserve"> </w:t>
      </w:r>
    </w:p>
    <w:p w14:paraId="42416897" w14:textId="6FD79E4F" w:rsidR="00FA2119" w:rsidRPr="00C51FB7" w:rsidRDefault="00FA2119" w:rsidP="00FA2119">
      <w:pPr>
        <w:pStyle w:val="ab"/>
        <w:numPr>
          <w:ilvl w:val="0"/>
          <w:numId w:val="15"/>
        </w:numPr>
      </w:pPr>
      <w:r>
        <w:rPr>
          <w:rFonts w:cs="Arial"/>
          <w:rtl/>
        </w:rPr>
        <w:t>רמב"ם</w:t>
      </w:r>
      <w:r>
        <w:rPr>
          <w:rFonts w:cs="Arial" w:hint="cs"/>
          <w:sz w:val="16"/>
          <w:szCs w:val="16"/>
          <w:rtl/>
        </w:rPr>
        <w:t xml:space="preserve"> (פ"א הכ"ה)</w:t>
      </w:r>
      <w:r>
        <w:rPr>
          <w:rFonts w:cs="Arial" w:hint="cs"/>
          <w:rtl/>
        </w:rPr>
        <w:t xml:space="preserve"> </w:t>
      </w:r>
      <w:r w:rsidRPr="008B3CA9">
        <w:rPr>
          <w:rFonts w:cs="Arial"/>
          <w:rtl/>
        </w:rPr>
        <w:t xml:space="preserve">ר"ן </w:t>
      </w:r>
      <w:r w:rsidRPr="00B67C4C">
        <w:rPr>
          <w:rFonts w:cs="Arial" w:hint="cs"/>
          <w:sz w:val="16"/>
          <w:szCs w:val="16"/>
          <w:rtl/>
        </w:rPr>
        <w:t>(</w:t>
      </w:r>
      <w:r w:rsidRPr="00B67C4C">
        <w:rPr>
          <w:rFonts w:cs="Arial"/>
          <w:sz w:val="16"/>
          <w:szCs w:val="16"/>
          <w:rtl/>
        </w:rPr>
        <w:t>גיט</w:t>
      </w:r>
      <w:r w:rsidRPr="00B67C4C">
        <w:rPr>
          <w:rFonts w:cs="Arial" w:hint="cs"/>
          <w:sz w:val="16"/>
          <w:szCs w:val="16"/>
          <w:rtl/>
        </w:rPr>
        <w:t>י</w:t>
      </w:r>
      <w:r w:rsidRPr="00B67C4C">
        <w:rPr>
          <w:rFonts w:cs="Arial"/>
          <w:sz w:val="16"/>
          <w:szCs w:val="16"/>
          <w:rtl/>
        </w:rPr>
        <w:t>ן ח. ד"ה אבל)</w:t>
      </w:r>
      <w:r>
        <w:rPr>
          <w:rFonts w:cs="Arial" w:hint="cs"/>
          <w:rtl/>
        </w:rPr>
        <w:t xml:space="preserve"> ריב"ש </w:t>
      </w:r>
      <w:r>
        <w:rPr>
          <w:rFonts w:cs="Arial" w:hint="cs"/>
          <w:sz w:val="16"/>
          <w:szCs w:val="16"/>
          <w:rtl/>
        </w:rPr>
        <w:t>(סי' קיז)</w:t>
      </w:r>
      <w:r w:rsidR="00A82951">
        <w:rPr>
          <w:rFonts w:cs="Arial" w:hint="cs"/>
          <w:rtl/>
        </w:rPr>
        <w:t>-</w:t>
      </w:r>
      <w:r>
        <w:rPr>
          <w:rFonts w:cs="Arial" w:hint="cs"/>
          <w:rtl/>
        </w:rPr>
        <w:t xml:space="preserve"> </w:t>
      </w:r>
      <w:r w:rsidRPr="008849D1">
        <w:rPr>
          <w:rFonts w:cs="Arial"/>
          <w:rtl/>
        </w:rPr>
        <w:t>גט שיש עליו עדים ואין בו זמן או שהיה מוקדם או מאוחר</w:t>
      </w:r>
      <w:r>
        <w:rPr>
          <w:rFonts w:cs="Arial" w:hint="cs"/>
          <w:rtl/>
        </w:rPr>
        <w:t xml:space="preserve">... </w:t>
      </w:r>
      <w:r w:rsidR="00A82951">
        <w:rPr>
          <w:rFonts w:cs="Arial" w:hint="cs"/>
          <w:rtl/>
        </w:rPr>
        <w:t>-</w:t>
      </w:r>
      <w:r w:rsidRPr="008849D1">
        <w:rPr>
          <w:rFonts w:cs="Arial"/>
          <w:rtl/>
        </w:rPr>
        <w:t xml:space="preserve"> כל אלו פסולין</w:t>
      </w:r>
      <w:r>
        <w:rPr>
          <w:rStyle w:val="a7"/>
          <w:rFonts w:cs="Arial"/>
          <w:rtl/>
        </w:rPr>
        <w:footnoteReference w:id="930"/>
      </w:r>
      <w:r>
        <w:rPr>
          <w:rFonts w:cs="Arial" w:hint="cs"/>
          <w:rtl/>
        </w:rPr>
        <w:t>...</w:t>
      </w:r>
    </w:p>
    <w:p w14:paraId="62563668"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0720D8C" w14:textId="77777777" w:rsidR="00FA2119" w:rsidRDefault="00FA2119" w:rsidP="00FA2119">
      <w:pPr>
        <w:rPr>
          <w:rtl/>
        </w:rPr>
      </w:pPr>
      <w:r>
        <w:rPr>
          <w:rFonts w:cs="Arial" w:hint="cs"/>
          <w:rtl/>
        </w:rPr>
        <w:t>גט</w:t>
      </w:r>
      <w:r>
        <w:rPr>
          <w:rFonts w:cs="Arial"/>
          <w:rtl/>
        </w:rPr>
        <w:t xml:space="preserve"> </w:t>
      </w:r>
      <w:r>
        <w:rPr>
          <w:rFonts w:cs="Arial" w:hint="cs"/>
          <w:rtl/>
        </w:rPr>
        <w:t>שזמנו</w:t>
      </w:r>
      <w:r>
        <w:rPr>
          <w:rFonts w:cs="Arial"/>
          <w:rtl/>
        </w:rPr>
        <w:t xml:space="preserve"> </w:t>
      </w:r>
      <w:r>
        <w:rPr>
          <w:rFonts w:cs="Arial" w:hint="cs"/>
          <w:rtl/>
        </w:rPr>
        <w:t>מאוחר</w:t>
      </w:r>
      <w:r>
        <w:rPr>
          <w:rFonts w:cs="Arial"/>
          <w:rtl/>
        </w:rPr>
        <w:t xml:space="preserve">, </w:t>
      </w:r>
      <w:r>
        <w:rPr>
          <w:rFonts w:cs="Arial" w:hint="cs"/>
          <w:rtl/>
        </w:rPr>
        <w:t>כשר</w:t>
      </w:r>
      <w:r>
        <w:rPr>
          <w:rFonts w:cs="Arial"/>
          <w:rtl/>
        </w:rPr>
        <w:t xml:space="preserve"> </w:t>
      </w:r>
      <w:r>
        <w:rPr>
          <w:rFonts w:cs="Arial" w:hint="cs"/>
          <w:rtl/>
        </w:rPr>
        <w:t>לגרש</w:t>
      </w:r>
      <w:r>
        <w:rPr>
          <w:rFonts w:cs="Arial"/>
          <w:rtl/>
        </w:rPr>
        <w:t xml:space="preserve"> </w:t>
      </w:r>
      <w:r>
        <w:rPr>
          <w:rFonts w:cs="Arial" w:hint="cs"/>
          <w:rtl/>
        </w:rPr>
        <w:t>בו</w:t>
      </w:r>
      <w:r>
        <w:rPr>
          <w:rFonts w:cs="Arial"/>
          <w:rtl/>
        </w:rPr>
        <w:t xml:space="preserve">. </w:t>
      </w:r>
      <w:r>
        <w:rPr>
          <w:rFonts w:cs="Arial" w:hint="cs"/>
          <w:rtl/>
        </w:rPr>
        <w:t>ואפילו</w:t>
      </w:r>
      <w:r>
        <w:rPr>
          <w:rFonts w:cs="Arial"/>
          <w:rtl/>
        </w:rPr>
        <w:t xml:space="preserve"> </w:t>
      </w:r>
      <w:r>
        <w:rPr>
          <w:rFonts w:cs="Arial" w:hint="cs"/>
          <w:rtl/>
        </w:rPr>
        <w:t>נתנו</w:t>
      </w:r>
      <w:r>
        <w:rPr>
          <w:rFonts w:cs="Arial"/>
          <w:rtl/>
        </w:rPr>
        <w:t xml:space="preserve"> </w:t>
      </w:r>
      <w:r>
        <w:rPr>
          <w:rFonts w:cs="Arial" w:hint="cs"/>
          <w:rtl/>
        </w:rPr>
        <w:t>לה</w:t>
      </w:r>
      <w:r>
        <w:rPr>
          <w:rFonts w:cs="Arial"/>
          <w:rtl/>
        </w:rPr>
        <w:t xml:space="preserve"> </w:t>
      </w:r>
      <w:r>
        <w:rPr>
          <w:rFonts w:cs="Arial" w:hint="cs"/>
          <w:rtl/>
        </w:rPr>
        <w:t>מיד</w:t>
      </w:r>
      <w:r>
        <w:rPr>
          <w:rFonts w:cs="Arial"/>
          <w:rtl/>
        </w:rPr>
        <w:t xml:space="preserve">, </w:t>
      </w:r>
      <w:r>
        <w:rPr>
          <w:rFonts w:cs="Arial" w:hint="cs"/>
          <w:rtl/>
        </w:rPr>
        <w:t>אין</w:t>
      </w:r>
      <w:r>
        <w:rPr>
          <w:rStyle w:val="a7"/>
          <w:rFonts w:cs="Arial"/>
          <w:rtl/>
        </w:rPr>
        <w:footnoteReference w:id="931"/>
      </w:r>
      <w:r>
        <w:rPr>
          <w:rFonts w:cs="Arial"/>
          <w:rtl/>
        </w:rPr>
        <w:t xml:space="preserve"> </w:t>
      </w:r>
      <w:r>
        <w:rPr>
          <w:rFonts w:cs="Arial" w:hint="cs"/>
          <w:rtl/>
        </w:rPr>
        <w:t>הגירושין</w:t>
      </w:r>
      <w:r>
        <w:rPr>
          <w:rFonts w:cs="Arial"/>
          <w:rtl/>
        </w:rPr>
        <w:t xml:space="preserve"> </w:t>
      </w:r>
      <w:r>
        <w:rPr>
          <w:rFonts w:cs="Arial" w:hint="cs"/>
          <w:rtl/>
        </w:rPr>
        <w:t>חלין</w:t>
      </w:r>
      <w:r>
        <w:rPr>
          <w:rFonts w:cs="Arial"/>
          <w:rtl/>
        </w:rPr>
        <w:t xml:space="preserve"> </w:t>
      </w:r>
      <w:r>
        <w:rPr>
          <w:rFonts w:cs="Arial" w:hint="cs"/>
          <w:rtl/>
        </w:rPr>
        <w:t>עד</w:t>
      </w:r>
      <w:r>
        <w:rPr>
          <w:rFonts w:cs="Arial"/>
          <w:rtl/>
        </w:rPr>
        <w:t xml:space="preserve"> </w:t>
      </w:r>
      <w:r>
        <w:rPr>
          <w:rFonts w:cs="Arial" w:hint="cs"/>
          <w:rtl/>
        </w:rPr>
        <w:t>הזמן</w:t>
      </w:r>
      <w:r>
        <w:rPr>
          <w:rFonts w:cs="Arial"/>
          <w:rtl/>
        </w:rPr>
        <w:t xml:space="preserve"> </w:t>
      </w:r>
      <w:r>
        <w:rPr>
          <w:rFonts w:cs="Arial" w:hint="cs"/>
          <w:rtl/>
        </w:rPr>
        <w:t>הכתוב</w:t>
      </w:r>
      <w:r>
        <w:rPr>
          <w:rFonts w:cs="Arial"/>
          <w:rtl/>
        </w:rPr>
        <w:t xml:space="preserve"> </w:t>
      </w:r>
      <w:r>
        <w:rPr>
          <w:rFonts w:cs="Arial" w:hint="cs"/>
          <w:rtl/>
        </w:rPr>
        <w:t>בו</w:t>
      </w:r>
      <w:r>
        <w:rPr>
          <w:rFonts w:cs="Arial"/>
          <w:rtl/>
        </w:rPr>
        <w:t xml:space="preserve">. </w:t>
      </w:r>
      <w:r>
        <w:rPr>
          <w:rFonts w:cs="Arial" w:hint="cs"/>
          <w:rtl/>
        </w:rPr>
        <w:t>ויש</w:t>
      </w:r>
      <w:r>
        <w:rPr>
          <w:rFonts w:cs="Arial"/>
          <w:rtl/>
        </w:rPr>
        <w:t xml:space="preserve"> </w:t>
      </w:r>
      <w:r>
        <w:rPr>
          <w:rFonts w:cs="Arial" w:hint="cs"/>
          <w:rtl/>
        </w:rPr>
        <w:t>פוסלין</w:t>
      </w:r>
      <w:r>
        <w:rPr>
          <w:rFonts w:cs="Arial"/>
          <w:rtl/>
        </w:rPr>
        <w:t xml:space="preserve"> </w:t>
      </w:r>
      <w:r>
        <w:rPr>
          <w:rFonts w:cs="Arial" w:hint="cs"/>
          <w:rtl/>
        </w:rPr>
        <w:t>גט</w:t>
      </w:r>
      <w:r>
        <w:rPr>
          <w:rFonts w:cs="Arial"/>
          <w:rtl/>
        </w:rPr>
        <w:t xml:space="preserve"> </w:t>
      </w:r>
      <w:r>
        <w:rPr>
          <w:rFonts w:cs="Arial" w:hint="cs"/>
          <w:rtl/>
        </w:rPr>
        <w:t>מאוחר</w:t>
      </w:r>
      <w:r>
        <w:rPr>
          <w:rFonts w:cs="Arial"/>
          <w:rtl/>
        </w:rPr>
        <w:t xml:space="preserve">. </w:t>
      </w:r>
    </w:p>
    <w:p w14:paraId="527E7E90" w14:textId="77777777" w:rsidR="00FA2119" w:rsidRDefault="00FA2119" w:rsidP="00FA2119">
      <w:pPr>
        <w:rPr>
          <w:rtl/>
        </w:rPr>
      </w:pPr>
    </w:p>
    <w:p w14:paraId="59CA37D2" w14:textId="77777777" w:rsidR="00FA2119" w:rsidRDefault="00FA2119" w:rsidP="00FA2119">
      <w:pPr>
        <w:pStyle w:val="2"/>
        <w:rPr>
          <w:rtl/>
        </w:rPr>
      </w:pPr>
      <w:r>
        <w:rPr>
          <w:rFonts w:hint="cs"/>
          <w:rtl/>
        </w:rPr>
        <w:t>סעיף</w:t>
      </w:r>
      <w:r>
        <w:rPr>
          <w:rtl/>
        </w:rPr>
        <w:t xml:space="preserve"> </w:t>
      </w:r>
      <w:r>
        <w:rPr>
          <w:rFonts w:hint="cs"/>
          <w:rtl/>
        </w:rPr>
        <w:t>י: לא כתב 'לבריאת עולם'.</w:t>
      </w:r>
    </w:p>
    <w:p w14:paraId="3DCC6781" w14:textId="77777777" w:rsidR="00FA2119" w:rsidRPr="00EA693F" w:rsidRDefault="00FA2119" w:rsidP="00FA2119">
      <w:pPr>
        <w:rPr>
          <w:szCs w:val="16"/>
          <w:rtl/>
        </w:rPr>
      </w:pPr>
      <w:r>
        <w:rPr>
          <w:rFonts w:cs="Arial" w:hint="cs"/>
          <w:b/>
          <w:bCs/>
          <w:rtl/>
        </w:rPr>
        <w:t>עבודה זרה</w:t>
      </w:r>
      <w:r>
        <w:rPr>
          <w:rFonts w:cs="Arial"/>
          <w:b/>
          <w:bCs/>
          <w:rtl/>
        </w:rPr>
        <w:t xml:space="preserve"> </w:t>
      </w:r>
      <w:r>
        <w:rPr>
          <w:rFonts w:cs="Arial"/>
          <w:b/>
          <w:bCs/>
          <w:szCs w:val="16"/>
          <w:rtl/>
        </w:rPr>
        <w:t>(פ</w:t>
      </w:r>
      <w:r>
        <w:rPr>
          <w:rFonts w:cs="Arial" w:hint="cs"/>
          <w:b/>
          <w:bCs/>
          <w:szCs w:val="16"/>
          <w:rtl/>
        </w:rPr>
        <w:t>"ק</w:t>
      </w:r>
      <w:r>
        <w:rPr>
          <w:rFonts w:cs="Arial"/>
          <w:b/>
          <w:bCs/>
          <w:szCs w:val="16"/>
          <w:rtl/>
        </w:rPr>
        <w:t xml:space="preserve">) </w:t>
      </w:r>
      <w:r>
        <w:rPr>
          <w:rFonts w:cs="Arial" w:hint="cs"/>
          <w:b/>
          <w:bCs/>
          <w:rtl/>
        </w:rPr>
        <w:t>ט</w:t>
      </w:r>
      <w:r>
        <w:rPr>
          <w:rFonts w:cs="Arial"/>
          <w:b/>
          <w:bCs/>
          <w:rtl/>
        </w:rPr>
        <w:t xml:space="preserve"> ע"</w:t>
      </w:r>
      <w:r>
        <w:rPr>
          <w:rFonts w:cs="Arial" w:hint="cs"/>
          <w:b/>
          <w:bCs/>
          <w:rtl/>
        </w:rPr>
        <w:t>ב</w:t>
      </w:r>
      <w:r>
        <w:rPr>
          <w:rFonts w:cs="Arial"/>
          <w:b/>
          <w:bCs/>
          <w:rtl/>
        </w:rPr>
        <w:t>:</w:t>
      </w:r>
      <w:r>
        <w:rPr>
          <w:rFonts w:cs="Arial" w:hint="cs"/>
          <w:rtl/>
        </w:rPr>
        <w:t xml:space="preserve"> </w:t>
      </w:r>
      <w:r w:rsidRPr="00EA693F">
        <w:rPr>
          <w:rFonts w:cs="Arial"/>
          <w:rtl/>
        </w:rPr>
        <w:t xml:space="preserve">ההוא שטרא דהוה כתיב ביה </w:t>
      </w:r>
      <w:r>
        <w:rPr>
          <w:rFonts w:cs="Arial" w:hint="cs"/>
          <w:sz w:val="14"/>
          <w:szCs w:val="14"/>
          <w:rtl/>
        </w:rPr>
        <w:t>(י.)</w:t>
      </w:r>
      <w:r>
        <w:rPr>
          <w:rFonts w:cs="Arial" w:hint="cs"/>
          <w:rtl/>
        </w:rPr>
        <w:t xml:space="preserve"> </w:t>
      </w:r>
      <w:r w:rsidRPr="00EA693F">
        <w:rPr>
          <w:rFonts w:cs="Arial"/>
          <w:rtl/>
        </w:rPr>
        <w:t>שית שנין יתירתא</w:t>
      </w:r>
      <w:r>
        <w:rPr>
          <w:rFonts w:cs="Arial" w:hint="cs"/>
          <w:rtl/>
        </w:rPr>
        <w:t>.</w:t>
      </w:r>
      <w:r w:rsidRPr="00EA693F">
        <w:rPr>
          <w:rFonts w:cs="Arial"/>
          <w:rtl/>
        </w:rPr>
        <w:t xml:space="preserve"> </w:t>
      </w:r>
      <w:r w:rsidRPr="00EA693F">
        <w:rPr>
          <w:rFonts w:cs="Arial"/>
          <w:u w:val="single"/>
          <w:rtl/>
        </w:rPr>
        <w:t>סבור רבנן קמיה דרב' למימר</w:t>
      </w:r>
      <w:r w:rsidRPr="00EA693F">
        <w:rPr>
          <w:rFonts w:cs="Arial"/>
          <w:rtl/>
        </w:rPr>
        <w:t>: האי שטר מאוחר הוא, ניעכביה עד דמטיא זמניה ולא טריף</w:t>
      </w:r>
      <w:r>
        <w:rPr>
          <w:rFonts w:cs="Arial" w:hint="cs"/>
          <w:rtl/>
        </w:rPr>
        <w:t>.</w:t>
      </w:r>
      <w:r w:rsidRPr="00EA693F">
        <w:rPr>
          <w:rFonts w:cs="Arial"/>
          <w:rtl/>
        </w:rPr>
        <w:t xml:space="preserve"> </w:t>
      </w:r>
      <w:r w:rsidRPr="00EA693F">
        <w:rPr>
          <w:rFonts w:cs="Arial"/>
          <w:u w:val="single"/>
          <w:rtl/>
        </w:rPr>
        <w:t>אמר רב נחמן</w:t>
      </w:r>
      <w:r w:rsidRPr="00EA693F">
        <w:rPr>
          <w:rFonts w:cs="Arial"/>
          <w:rtl/>
        </w:rPr>
        <w:t>: האי ספרא דוקנא כתביה, והנך שית שנין דמלכו בעילם דאנן לא חשבינן להו, הוא קחשיב ליה, ובזמניה כתביה</w:t>
      </w:r>
      <w:r>
        <w:rPr>
          <w:rFonts w:cs="Arial" w:hint="cs"/>
          <w:rtl/>
        </w:rPr>
        <w:t>.</w:t>
      </w:r>
      <w:r w:rsidRPr="00EA693F">
        <w:rPr>
          <w:rFonts w:cs="Arial"/>
          <w:rtl/>
        </w:rPr>
        <w:t xml:space="preserve"> דתניא, ר' יוסי אומר: שש שנים מלכו בעילם, ואח"כ פשטה מלכותן בכל העולם כולו.</w:t>
      </w:r>
      <w:r>
        <w:rPr>
          <w:rFonts w:hint="cs"/>
          <w:rtl/>
        </w:rPr>
        <w:t xml:space="preserve"> </w:t>
      </w:r>
      <w:r>
        <w:rPr>
          <w:szCs w:val="16"/>
          <w:rtl/>
        </w:rPr>
        <w:t>(</w:t>
      </w:r>
      <w:r w:rsidRPr="00EA693F">
        <w:rPr>
          <w:rFonts w:cs="Arial"/>
          <w:szCs w:val="16"/>
          <w:rtl/>
        </w:rPr>
        <w:t xml:space="preserve">מכאן יש להכשיר שטר שדלג בו הסופר </w:t>
      </w:r>
      <w:r>
        <w:rPr>
          <w:rFonts w:cs="Arial" w:hint="cs"/>
          <w:szCs w:val="16"/>
          <w:rtl/>
        </w:rPr>
        <w:t>'</w:t>
      </w:r>
      <w:r w:rsidRPr="00EA693F">
        <w:rPr>
          <w:rFonts w:cs="Arial"/>
          <w:szCs w:val="16"/>
          <w:rtl/>
        </w:rPr>
        <w:t>לבריאת עולם</w:t>
      </w:r>
      <w:r>
        <w:rPr>
          <w:rFonts w:cs="Arial" w:hint="cs"/>
          <w:szCs w:val="16"/>
          <w:rtl/>
        </w:rPr>
        <w:t>',</w:t>
      </w:r>
      <w:r w:rsidRPr="00EA693F">
        <w:rPr>
          <w:rFonts w:cs="Arial"/>
          <w:szCs w:val="16"/>
          <w:rtl/>
        </w:rPr>
        <w:t xml:space="preserve"> ואפילו דלג האלפים והמאות רק שכתב בכך ובכך לפרט</w:t>
      </w:r>
      <w:r>
        <w:rPr>
          <w:rFonts w:cs="Arial" w:hint="cs"/>
          <w:szCs w:val="16"/>
          <w:rtl/>
        </w:rPr>
        <w:t>.</w:t>
      </w:r>
      <w:r w:rsidRPr="00EA693F">
        <w:rPr>
          <w:rFonts w:cs="Arial"/>
          <w:szCs w:val="16"/>
          <w:rtl/>
        </w:rPr>
        <w:t xml:space="preserve"> שהרי בימיהם היו כותבין למלכות יונים</w:t>
      </w:r>
      <w:r>
        <w:rPr>
          <w:rFonts w:cs="Arial" w:hint="cs"/>
          <w:szCs w:val="16"/>
          <w:rtl/>
        </w:rPr>
        <w:t>,</w:t>
      </w:r>
      <w:r w:rsidRPr="00EA693F">
        <w:rPr>
          <w:rFonts w:cs="Arial"/>
          <w:szCs w:val="16"/>
          <w:rtl/>
        </w:rPr>
        <w:t xml:space="preserve"> והסופר דלגו</w:t>
      </w:r>
      <w:r>
        <w:rPr>
          <w:rFonts w:cs="Arial" w:hint="cs"/>
          <w:szCs w:val="16"/>
          <w:rtl/>
        </w:rPr>
        <w:t>.</w:t>
      </w:r>
      <w:r w:rsidRPr="00EA693F">
        <w:rPr>
          <w:rFonts w:cs="Arial"/>
          <w:szCs w:val="16"/>
          <w:rtl/>
        </w:rPr>
        <w:t xml:space="preserve"> דאי הוה כתיב בשטר בהדיא למלכות יונים</w:t>
      </w:r>
      <w:r>
        <w:rPr>
          <w:rFonts w:cs="Arial" w:hint="cs"/>
          <w:szCs w:val="16"/>
          <w:rtl/>
        </w:rPr>
        <w:t>,</w:t>
      </w:r>
      <w:r w:rsidRPr="00EA693F">
        <w:rPr>
          <w:rFonts w:cs="Arial"/>
          <w:szCs w:val="16"/>
          <w:rtl/>
        </w:rPr>
        <w:t xml:space="preserve"> מאי הוה קאמר דלמא ליציאת מצרים וכו'</w:t>
      </w:r>
      <w:r>
        <w:rPr>
          <w:rFonts w:cs="Arial" w:hint="cs"/>
          <w:szCs w:val="16"/>
          <w:rtl/>
        </w:rPr>
        <w:t>,</w:t>
      </w:r>
      <w:r w:rsidRPr="00EA693F">
        <w:rPr>
          <w:rFonts w:cs="Arial"/>
          <w:szCs w:val="16"/>
          <w:rtl/>
        </w:rPr>
        <w:t xml:space="preserve"> ואפ"ה לא אמרינן למניינא אחרינא כתביה ועד דמטי זמניה לא טריף</w:t>
      </w:r>
      <w:r>
        <w:rPr>
          <w:rFonts w:cs="Arial" w:hint="cs"/>
          <w:szCs w:val="16"/>
          <w:rtl/>
        </w:rPr>
        <w:t>,</w:t>
      </w:r>
      <w:r w:rsidRPr="00EA693F">
        <w:rPr>
          <w:rFonts w:cs="Arial"/>
          <w:szCs w:val="16"/>
          <w:rtl/>
        </w:rPr>
        <w:t xml:space="preserve"> כיון שבגולה אין מונין אלא למלכות יון</w:t>
      </w:r>
      <w:r>
        <w:rPr>
          <w:rFonts w:cs="Arial" w:hint="cs"/>
          <w:szCs w:val="16"/>
          <w:rtl/>
        </w:rPr>
        <w:t>.</w:t>
      </w:r>
      <w:r w:rsidRPr="00EA693F">
        <w:rPr>
          <w:rFonts w:cs="Arial"/>
          <w:szCs w:val="16"/>
          <w:rtl/>
        </w:rPr>
        <w:t xml:space="preserve"> אף כאן אם דלג </w:t>
      </w:r>
      <w:r>
        <w:rPr>
          <w:rFonts w:cs="Arial" w:hint="cs"/>
          <w:szCs w:val="16"/>
          <w:rtl/>
        </w:rPr>
        <w:t>'</w:t>
      </w:r>
      <w:r w:rsidRPr="00EA693F">
        <w:rPr>
          <w:rFonts w:cs="Arial"/>
          <w:szCs w:val="16"/>
          <w:rtl/>
        </w:rPr>
        <w:t>לבריאת עולם</w:t>
      </w:r>
      <w:r>
        <w:rPr>
          <w:rFonts w:cs="Arial" w:hint="cs"/>
          <w:szCs w:val="16"/>
          <w:rtl/>
        </w:rPr>
        <w:t>',</w:t>
      </w:r>
      <w:r w:rsidRPr="00EA693F">
        <w:rPr>
          <w:rFonts w:cs="Arial"/>
          <w:szCs w:val="16"/>
          <w:rtl/>
        </w:rPr>
        <w:t xml:space="preserve"> כיון שאין אנו מונין עתה כי אם לבריאת </w:t>
      </w:r>
      <w:r w:rsidRPr="00EA693F">
        <w:rPr>
          <w:rFonts w:cs="Arial"/>
          <w:szCs w:val="16"/>
          <w:rtl/>
        </w:rPr>
        <w:lastRenderedPageBreak/>
        <w:t>עולם אין לחוש</w:t>
      </w:r>
      <w:r>
        <w:rPr>
          <w:rFonts w:cs="Arial" w:hint="cs"/>
          <w:szCs w:val="16"/>
          <w:rtl/>
        </w:rPr>
        <w:t>.</w:t>
      </w:r>
      <w:r w:rsidRPr="00EA693F">
        <w:rPr>
          <w:rFonts w:cs="Arial"/>
          <w:szCs w:val="16"/>
          <w:rtl/>
        </w:rPr>
        <w:t xml:space="preserve"> וגם אם דלג נמי האלפים אין לחוש</w:t>
      </w:r>
      <w:r>
        <w:rPr>
          <w:rFonts w:cs="Arial" w:hint="cs"/>
          <w:szCs w:val="16"/>
          <w:rtl/>
        </w:rPr>
        <w:t>,</w:t>
      </w:r>
      <w:r w:rsidRPr="00EA693F">
        <w:rPr>
          <w:rFonts w:cs="Arial"/>
          <w:szCs w:val="16"/>
          <w:rtl/>
        </w:rPr>
        <w:t xml:space="preserve"> מדקאמר בסמוך שבקיה לאלפא קמא ונקטיה לאלפא בתרא</w:t>
      </w:r>
      <w:r>
        <w:rPr>
          <w:rFonts w:cs="Arial" w:hint="cs"/>
          <w:szCs w:val="16"/>
          <w:rtl/>
        </w:rPr>
        <w:t>.</w:t>
      </w:r>
      <w:r w:rsidRPr="00EA693F">
        <w:rPr>
          <w:rFonts w:cs="Arial"/>
          <w:szCs w:val="16"/>
          <w:rtl/>
        </w:rPr>
        <w:t xml:space="preserve"> ויש ספרים שגורסין שבקיה לכללא ונקטיה לפרטא</w:t>
      </w:r>
      <w:r>
        <w:rPr>
          <w:rFonts w:cs="Arial" w:hint="cs"/>
          <w:szCs w:val="16"/>
          <w:rtl/>
        </w:rPr>
        <w:t>.</w:t>
      </w:r>
      <w:r w:rsidRPr="00EA693F">
        <w:rPr>
          <w:rFonts w:cs="Arial"/>
          <w:szCs w:val="16"/>
          <w:rtl/>
        </w:rPr>
        <w:t xml:space="preserve"> ור"ת עשה מעשה שכתב שטר </w:t>
      </w:r>
      <w:r>
        <w:rPr>
          <w:rFonts w:cs="Arial" w:hint="cs"/>
          <w:szCs w:val="16"/>
          <w:rtl/>
        </w:rPr>
        <w:t>'</w:t>
      </w:r>
      <w:r w:rsidRPr="00EA693F">
        <w:rPr>
          <w:rFonts w:cs="Arial"/>
          <w:szCs w:val="16"/>
          <w:rtl/>
        </w:rPr>
        <w:t>בכך וכך לפרט</w:t>
      </w:r>
      <w:r>
        <w:rPr>
          <w:rFonts w:cs="Arial" w:hint="cs"/>
          <w:szCs w:val="16"/>
          <w:rtl/>
        </w:rPr>
        <w:t>'</w:t>
      </w:r>
      <w:r w:rsidRPr="00EA693F">
        <w:rPr>
          <w:rFonts w:cs="Arial"/>
          <w:szCs w:val="16"/>
          <w:rtl/>
        </w:rPr>
        <w:t xml:space="preserve"> ודלג האלפים וגם בריאת עולם</w:t>
      </w:r>
      <w:r>
        <w:rPr>
          <w:rFonts w:hint="cs"/>
          <w:szCs w:val="16"/>
          <w:rtl/>
        </w:rPr>
        <w:t>, תוס' (ד"ה ספרא)</w:t>
      </w:r>
      <w:r>
        <w:rPr>
          <w:szCs w:val="16"/>
          <w:rtl/>
        </w:rPr>
        <w:t>)</w:t>
      </w:r>
    </w:p>
    <w:p w14:paraId="65AB8F23" w14:textId="77777777" w:rsidR="00FA2119" w:rsidRDefault="00FA2119" w:rsidP="00FA2119">
      <w:pPr>
        <w:rPr>
          <w:rFonts w:cs="Arial"/>
          <w:rtl/>
        </w:rPr>
      </w:pPr>
      <w:r w:rsidRPr="00643185">
        <w:rPr>
          <w:rFonts w:cs="Arial"/>
          <w:u w:val="single"/>
          <w:rtl/>
        </w:rPr>
        <w:t xml:space="preserve">סופר </w:t>
      </w:r>
      <w:r w:rsidRPr="00643185">
        <w:rPr>
          <w:rFonts w:cs="Arial" w:hint="cs"/>
          <w:u w:val="single"/>
          <w:rtl/>
        </w:rPr>
        <w:t>שדילג '</w:t>
      </w:r>
      <w:r w:rsidRPr="00643185">
        <w:rPr>
          <w:rFonts w:cs="Arial"/>
          <w:u w:val="single"/>
          <w:rtl/>
        </w:rPr>
        <w:t>לבריאת עולם</w:t>
      </w:r>
      <w:r w:rsidRPr="00643185">
        <w:rPr>
          <w:rFonts w:cs="Arial" w:hint="cs"/>
          <w:u w:val="single"/>
          <w:rtl/>
        </w:rPr>
        <w:t>':</w:t>
      </w:r>
      <w:r w:rsidRPr="008B3CA9">
        <w:rPr>
          <w:rFonts w:cs="Arial"/>
          <w:rtl/>
        </w:rPr>
        <w:t xml:space="preserve"> </w:t>
      </w:r>
    </w:p>
    <w:p w14:paraId="019F124D" w14:textId="01EABE20" w:rsidR="00FA2119" w:rsidRPr="008B3CA9" w:rsidRDefault="00FA2119" w:rsidP="00FA2119">
      <w:pPr>
        <w:pStyle w:val="ab"/>
        <w:numPr>
          <w:ilvl w:val="0"/>
          <w:numId w:val="61"/>
        </w:numPr>
        <w:rPr>
          <w:rtl/>
        </w:rPr>
      </w:pPr>
      <w:r w:rsidRPr="00643185">
        <w:rPr>
          <w:rFonts w:cs="Arial"/>
          <w:rtl/>
        </w:rPr>
        <w:t>תוס</w:t>
      </w:r>
      <w:r>
        <w:rPr>
          <w:rFonts w:cs="Arial" w:hint="cs"/>
          <w:rtl/>
        </w:rPr>
        <w:t>'</w:t>
      </w:r>
      <w:r w:rsidRPr="00643185">
        <w:rPr>
          <w:rFonts w:cs="Arial"/>
          <w:rtl/>
        </w:rPr>
        <w:t xml:space="preserve"> </w:t>
      </w:r>
      <w:r w:rsidRPr="00643185">
        <w:rPr>
          <w:rFonts w:cs="Arial"/>
          <w:sz w:val="16"/>
          <w:szCs w:val="16"/>
          <w:rtl/>
        </w:rPr>
        <w:t>(</w:t>
      </w:r>
      <w:r w:rsidRPr="00643185">
        <w:rPr>
          <w:rFonts w:cs="Arial" w:hint="cs"/>
          <w:sz w:val="16"/>
          <w:szCs w:val="16"/>
          <w:rtl/>
        </w:rPr>
        <w:t xml:space="preserve">ע"ז י. </w:t>
      </w:r>
      <w:r w:rsidRPr="00643185">
        <w:rPr>
          <w:rFonts w:cs="Arial"/>
          <w:sz w:val="16"/>
          <w:szCs w:val="16"/>
          <w:rtl/>
        </w:rPr>
        <w:t>ד"ה ספרא)</w:t>
      </w:r>
      <w:r w:rsidRPr="00643185">
        <w:rPr>
          <w:rFonts w:cs="Arial"/>
          <w:rtl/>
        </w:rPr>
        <w:t xml:space="preserve"> </w:t>
      </w:r>
      <w:r>
        <w:rPr>
          <w:rFonts w:cs="Arial" w:hint="cs"/>
          <w:rtl/>
        </w:rPr>
        <w:t xml:space="preserve">תרומה </w:t>
      </w:r>
      <w:r>
        <w:rPr>
          <w:rFonts w:cs="Arial" w:hint="cs"/>
          <w:sz w:val="16"/>
          <w:szCs w:val="16"/>
          <w:rtl/>
        </w:rPr>
        <w:t>(סי' קלו)</w:t>
      </w:r>
      <w:r>
        <w:rPr>
          <w:rFonts w:cs="Arial" w:hint="cs"/>
          <w:rtl/>
        </w:rPr>
        <w:t xml:space="preserve"> </w:t>
      </w:r>
      <w:r w:rsidRPr="00643185">
        <w:rPr>
          <w:rFonts w:cs="Arial"/>
          <w:rtl/>
        </w:rPr>
        <w:t xml:space="preserve">ורא"ש </w:t>
      </w:r>
      <w:r w:rsidRPr="00643185">
        <w:rPr>
          <w:rFonts w:cs="Arial"/>
          <w:sz w:val="16"/>
          <w:szCs w:val="16"/>
          <w:rtl/>
        </w:rPr>
        <w:t>(</w:t>
      </w:r>
      <w:r w:rsidRPr="00643185">
        <w:rPr>
          <w:rFonts w:cs="Arial" w:hint="cs"/>
          <w:sz w:val="16"/>
          <w:szCs w:val="16"/>
          <w:rtl/>
        </w:rPr>
        <w:t xml:space="preserve">ע"ז פ"א </w:t>
      </w:r>
      <w:r w:rsidRPr="00643185">
        <w:rPr>
          <w:rFonts w:cs="Arial"/>
          <w:sz w:val="16"/>
          <w:szCs w:val="16"/>
          <w:rtl/>
        </w:rPr>
        <w:t>ס"ז)</w:t>
      </w:r>
      <w:r w:rsidR="00A82951">
        <w:rPr>
          <w:rFonts w:cs="Arial" w:hint="cs"/>
          <w:rtl/>
        </w:rPr>
        <w:t>-</w:t>
      </w:r>
      <w:r w:rsidRPr="00643185">
        <w:rPr>
          <w:rFonts w:cs="Arial"/>
          <w:rtl/>
        </w:rPr>
        <w:t xml:space="preserve"> כשר</w:t>
      </w:r>
      <w:r>
        <w:rPr>
          <w:rFonts w:cs="Arial" w:hint="cs"/>
          <w:rtl/>
        </w:rPr>
        <w:t>.</w:t>
      </w:r>
      <w:r>
        <w:rPr>
          <w:rFonts w:hint="cs"/>
          <w:rtl/>
        </w:rPr>
        <w:t xml:space="preserve"> </w:t>
      </w:r>
      <w:r w:rsidRPr="00A23340">
        <w:rPr>
          <w:color w:val="E36C0A" w:themeColor="accent6" w:themeShade="BF"/>
          <w:rtl/>
        </w:rPr>
        <w:t>(וכ"פ בשו"ע)</w:t>
      </w:r>
    </w:p>
    <w:p w14:paraId="4E8DCC9E"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0EFAF87" w14:textId="77777777" w:rsidR="00FA2119" w:rsidRDefault="00FA2119" w:rsidP="00FA2119">
      <w:pPr>
        <w:rPr>
          <w:rtl/>
        </w:rPr>
      </w:pPr>
      <w:r>
        <w:rPr>
          <w:rFonts w:cs="Arial" w:hint="cs"/>
          <w:rtl/>
        </w:rPr>
        <w:t>אם</w:t>
      </w:r>
      <w:r>
        <w:rPr>
          <w:rFonts w:cs="Arial"/>
          <w:rtl/>
        </w:rPr>
        <w:t xml:space="preserve"> </w:t>
      </w:r>
      <w:r>
        <w:rPr>
          <w:rFonts w:cs="Arial" w:hint="cs"/>
          <w:rtl/>
        </w:rPr>
        <w:t>דילג</w:t>
      </w:r>
      <w:r>
        <w:rPr>
          <w:rFonts w:cs="Arial"/>
          <w:rtl/>
        </w:rPr>
        <w:t xml:space="preserve"> </w:t>
      </w:r>
      <w:r>
        <w:rPr>
          <w:rFonts w:cs="Arial" w:hint="cs"/>
          <w:rtl/>
        </w:rPr>
        <w:t>הסופר</w:t>
      </w:r>
      <w:r>
        <w:rPr>
          <w:rFonts w:cs="Arial"/>
          <w:rtl/>
        </w:rPr>
        <w:t xml:space="preserve">: </w:t>
      </w:r>
      <w:r>
        <w:rPr>
          <w:rFonts w:cs="Arial" w:hint="cs"/>
          <w:rtl/>
        </w:rPr>
        <w:t>לבריאת</w:t>
      </w:r>
      <w:r>
        <w:rPr>
          <w:rFonts w:cs="Arial"/>
          <w:rtl/>
        </w:rPr>
        <w:t xml:space="preserve"> </w:t>
      </w:r>
      <w:r>
        <w:rPr>
          <w:rFonts w:cs="Arial" w:hint="cs"/>
          <w:rtl/>
        </w:rPr>
        <w:t>עולם</w:t>
      </w:r>
      <w:r>
        <w:rPr>
          <w:rFonts w:cs="Arial"/>
          <w:rtl/>
        </w:rPr>
        <w:t xml:space="preserve">, </w:t>
      </w:r>
      <w:r>
        <w:rPr>
          <w:rFonts w:cs="Arial" w:hint="cs"/>
          <w:rtl/>
        </w:rPr>
        <w:t>כשר</w:t>
      </w:r>
      <w:r>
        <w:rPr>
          <w:rFonts w:cs="Arial"/>
          <w:rtl/>
        </w:rPr>
        <w:t xml:space="preserve">. </w:t>
      </w:r>
    </w:p>
    <w:p w14:paraId="762DA315" w14:textId="77777777" w:rsidR="00FA2119" w:rsidRDefault="00FA2119" w:rsidP="00FA2119">
      <w:pPr>
        <w:rPr>
          <w:rtl/>
        </w:rPr>
      </w:pPr>
    </w:p>
    <w:p w14:paraId="4FD6630D" w14:textId="77777777" w:rsidR="00FA2119" w:rsidRDefault="00FA2119" w:rsidP="00FA2119">
      <w:pPr>
        <w:pStyle w:val="2"/>
        <w:rPr>
          <w:rtl/>
        </w:rPr>
      </w:pPr>
      <w:r>
        <w:rPr>
          <w:rFonts w:hint="cs"/>
          <w:rtl/>
        </w:rPr>
        <w:t>סעיף</w:t>
      </w:r>
      <w:r>
        <w:rPr>
          <w:rtl/>
        </w:rPr>
        <w:t xml:space="preserve"> </w:t>
      </w:r>
      <w:r>
        <w:rPr>
          <w:rFonts w:hint="cs"/>
          <w:rtl/>
        </w:rPr>
        <w:t>יא: לא כתב את מנין האלפים והמאות.</w:t>
      </w:r>
    </w:p>
    <w:p w14:paraId="6EA2BE77" w14:textId="77777777" w:rsidR="00FA2119" w:rsidRDefault="00FA2119" w:rsidP="00FA2119">
      <w:pPr>
        <w:rPr>
          <w:rtl/>
        </w:rPr>
      </w:pPr>
      <w:r>
        <w:rPr>
          <w:rFonts w:cs="Arial" w:hint="cs"/>
          <w:rtl/>
        </w:rPr>
        <w:t>עיין במקורות בסעיף הקודם.</w:t>
      </w:r>
      <w:r w:rsidRPr="008B3CA9">
        <w:rPr>
          <w:rFonts w:cs="Arial"/>
          <w:rtl/>
        </w:rPr>
        <w:t xml:space="preserve"> </w:t>
      </w:r>
    </w:p>
    <w:p w14:paraId="7471C5C7" w14:textId="77777777" w:rsidR="00FA2119" w:rsidRDefault="00FA2119" w:rsidP="00FA2119">
      <w:pPr>
        <w:rPr>
          <w:rFonts w:cs="Arial"/>
          <w:rtl/>
        </w:rPr>
      </w:pPr>
      <w:r w:rsidRPr="00643185">
        <w:rPr>
          <w:rFonts w:cs="Arial"/>
          <w:u w:val="single"/>
          <w:rtl/>
        </w:rPr>
        <w:t xml:space="preserve">סופר </w:t>
      </w:r>
      <w:r w:rsidRPr="00643185">
        <w:rPr>
          <w:rFonts w:cs="Arial" w:hint="cs"/>
          <w:u w:val="single"/>
          <w:rtl/>
        </w:rPr>
        <w:t xml:space="preserve">שדילג </w:t>
      </w:r>
      <w:r>
        <w:rPr>
          <w:rFonts w:cs="Arial" w:hint="cs"/>
          <w:u w:val="single"/>
          <w:rtl/>
        </w:rPr>
        <w:t>האלפים והמאות</w:t>
      </w:r>
      <w:r w:rsidRPr="00643185">
        <w:rPr>
          <w:rFonts w:cs="Arial" w:hint="cs"/>
          <w:u w:val="single"/>
          <w:rtl/>
        </w:rPr>
        <w:t>:</w:t>
      </w:r>
      <w:r w:rsidRPr="008B3CA9">
        <w:rPr>
          <w:rFonts w:cs="Arial"/>
          <w:rtl/>
        </w:rPr>
        <w:t xml:space="preserve"> </w:t>
      </w:r>
    </w:p>
    <w:p w14:paraId="4BBD4885" w14:textId="18F53DFA" w:rsidR="00FA2119" w:rsidRPr="008B3CA9" w:rsidRDefault="00FA2119" w:rsidP="00FA2119">
      <w:pPr>
        <w:pStyle w:val="ab"/>
        <w:numPr>
          <w:ilvl w:val="0"/>
          <w:numId w:val="61"/>
        </w:numPr>
        <w:rPr>
          <w:rtl/>
        </w:rPr>
      </w:pPr>
      <w:r w:rsidRPr="00643185">
        <w:rPr>
          <w:rFonts w:cs="Arial"/>
          <w:rtl/>
        </w:rPr>
        <w:t>תוס</w:t>
      </w:r>
      <w:r>
        <w:rPr>
          <w:rFonts w:cs="Arial" w:hint="cs"/>
          <w:rtl/>
        </w:rPr>
        <w:t>'</w:t>
      </w:r>
      <w:r w:rsidRPr="00643185">
        <w:rPr>
          <w:rFonts w:cs="Arial"/>
          <w:rtl/>
        </w:rPr>
        <w:t xml:space="preserve"> </w:t>
      </w:r>
      <w:r w:rsidRPr="00643185">
        <w:rPr>
          <w:rFonts w:cs="Arial"/>
          <w:sz w:val="16"/>
          <w:szCs w:val="16"/>
          <w:rtl/>
        </w:rPr>
        <w:t>(</w:t>
      </w:r>
      <w:r w:rsidRPr="00643185">
        <w:rPr>
          <w:rFonts w:cs="Arial" w:hint="cs"/>
          <w:sz w:val="16"/>
          <w:szCs w:val="16"/>
          <w:rtl/>
        </w:rPr>
        <w:t xml:space="preserve">ע"ז י. </w:t>
      </w:r>
      <w:r w:rsidRPr="00643185">
        <w:rPr>
          <w:rFonts w:cs="Arial"/>
          <w:sz w:val="16"/>
          <w:szCs w:val="16"/>
          <w:rtl/>
        </w:rPr>
        <w:t>ד"ה ספרא)</w:t>
      </w:r>
      <w:r w:rsidRPr="00643185">
        <w:rPr>
          <w:rFonts w:cs="Arial"/>
          <w:rtl/>
        </w:rPr>
        <w:t xml:space="preserve"> </w:t>
      </w:r>
      <w:r>
        <w:rPr>
          <w:rFonts w:cs="Arial" w:hint="cs"/>
          <w:rtl/>
        </w:rPr>
        <w:t xml:space="preserve">תרומה </w:t>
      </w:r>
      <w:r>
        <w:rPr>
          <w:rFonts w:cs="Arial" w:hint="cs"/>
          <w:sz w:val="16"/>
          <w:szCs w:val="16"/>
          <w:rtl/>
        </w:rPr>
        <w:t>(סי' קלו)</w:t>
      </w:r>
      <w:r>
        <w:rPr>
          <w:rFonts w:cs="Arial" w:hint="cs"/>
          <w:rtl/>
        </w:rPr>
        <w:t xml:space="preserve"> </w:t>
      </w:r>
      <w:r w:rsidRPr="00643185">
        <w:rPr>
          <w:rFonts w:cs="Arial"/>
          <w:rtl/>
        </w:rPr>
        <w:t xml:space="preserve">ורא"ש </w:t>
      </w:r>
      <w:r w:rsidRPr="00643185">
        <w:rPr>
          <w:rFonts w:cs="Arial"/>
          <w:sz w:val="16"/>
          <w:szCs w:val="16"/>
          <w:rtl/>
        </w:rPr>
        <w:t>(</w:t>
      </w:r>
      <w:r w:rsidRPr="00643185">
        <w:rPr>
          <w:rFonts w:cs="Arial" w:hint="cs"/>
          <w:sz w:val="16"/>
          <w:szCs w:val="16"/>
          <w:rtl/>
        </w:rPr>
        <w:t xml:space="preserve">ע"ז פ"א </w:t>
      </w:r>
      <w:r w:rsidRPr="00643185">
        <w:rPr>
          <w:rFonts w:cs="Arial"/>
          <w:sz w:val="16"/>
          <w:szCs w:val="16"/>
          <w:rtl/>
        </w:rPr>
        <w:t>ס"ז)</w:t>
      </w:r>
      <w:r w:rsidR="00A82951">
        <w:rPr>
          <w:rFonts w:cs="Arial" w:hint="cs"/>
          <w:rtl/>
        </w:rPr>
        <w:t>-</w:t>
      </w:r>
      <w:r w:rsidRPr="00643185">
        <w:rPr>
          <w:rFonts w:cs="Arial"/>
          <w:rtl/>
        </w:rPr>
        <w:t xml:space="preserve"> כשר</w:t>
      </w:r>
      <w:r>
        <w:rPr>
          <w:rStyle w:val="a7"/>
          <w:rFonts w:cs="Arial"/>
          <w:rtl/>
        </w:rPr>
        <w:footnoteReference w:id="932"/>
      </w:r>
      <w:r>
        <w:rPr>
          <w:rFonts w:cs="Arial" w:hint="cs"/>
          <w:rtl/>
        </w:rPr>
        <w:t>.</w:t>
      </w:r>
      <w:r>
        <w:rPr>
          <w:rFonts w:hint="cs"/>
          <w:color w:val="E36C0A" w:themeColor="accent6" w:themeShade="BF"/>
          <w:rtl/>
        </w:rPr>
        <w:t xml:space="preserve"> </w:t>
      </w:r>
      <w:r w:rsidRPr="00A23340">
        <w:rPr>
          <w:color w:val="E36C0A" w:themeColor="accent6" w:themeShade="BF"/>
          <w:rtl/>
        </w:rPr>
        <w:t>(וכ"פ בשו"ע)</w:t>
      </w:r>
    </w:p>
    <w:p w14:paraId="3793FF71"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3BB65D2" w14:textId="77777777" w:rsidR="00FA2119" w:rsidRDefault="00FA2119" w:rsidP="00FA2119">
      <w:pPr>
        <w:rPr>
          <w:rtl/>
        </w:rPr>
      </w:pPr>
      <w:r>
        <w:rPr>
          <w:rFonts w:cs="Arial" w:hint="cs"/>
          <w:rtl/>
        </w:rPr>
        <w:t>אם</w:t>
      </w:r>
      <w:r>
        <w:rPr>
          <w:rFonts w:cs="Arial"/>
          <w:rtl/>
        </w:rPr>
        <w:t xml:space="preserve"> </w:t>
      </w:r>
      <w:r>
        <w:rPr>
          <w:rFonts w:cs="Arial" w:hint="cs"/>
          <w:rtl/>
        </w:rPr>
        <w:t>דילג</w:t>
      </w:r>
      <w:r>
        <w:rPr>
          <w:rFonts w:cs="Arial"/>
          <w:rtl/>
        </w:rPr>
        <w:t xml:space="preserve"> </w:t>
      </w:r>
      <w:r>
        <w:rPr>
          <w:rFonts w:cs="Arial" w:hint="cs"/>
          <w:rtl/>
        </w:rPr>
        <w:t>האלפים</w:t>
      </w:r>
      <w:r>
        <w:rPr>
          <w:rFonts w:cs="Arial"/>
          <w:rtl/>
        </w:rPr>
        <w:t xml:space="preserve"> </w:t>
      </w:r>
      <w:r>
        <w:rPr>
          <w:rFonts w:cs="Arial" w:hint="cs"/>
          <w:rtl/>
        </w:rPr>
        <w:t>והמאות</w:t>
      </w:r>
      <w:r>
        <w:rPr>
          <w:rFonts w:cs="Arial"/>
          <w:rtl/>
        </w:rPr>
        <w:t xml:space="preserve">, </w:t>
      </w:r>
      <w:r>
        <w:rPr>
          <w:rFonts w:cs="Arial" w:hint="cs"/>
          <w:rtl/>
        </w:rPr>
        <w:t>רק</w:t>
      </w:r>
      <w:r>
        <w:rPr>
          <w:rFonts w:cs="Arial"/>
          <w:rtl/>
        </w:rPr>
        <w:t xml:space="preserve"> </w:t>
      </w:r>
      <w:r>
        <w:rPr>
          <w:rFonts w:cs="Arial" w:hint="cs"/>
          <w:rtl/>
        </w:rPr>
        <w:t>שכתב</w:t>
      </w:r>
      <w:r>
        <w:rPr>
          <w:rFonts w:cs="Arial"/>
          <w:rtl/>
        </w:rPr>
        <w:t xml:space="preserve">: </w:t>
      </w:r>
      <w:r>
        <w:rPr>
          <w:rFonts w:cs="Arial" w:hint="cs"/>
          <w:rtl/>
        </w:rPr>
        <w:t>בכך</w:t>
      </w:r>
      <w:r>
        <w:rPr>
          <w:rFonts w:cs="Arial"/>
          <w:rtl/>
        </w:rPr>
        <w:t xml:space="preserve"> </w:t>
      </w:r>
      <w:r>
        <w:rPr>
          <w:rFonts w:cs="Arial" w:hint="cs"/>
          <w:rtl/>
        </w:rPr>
        <w:t>וכך</w:t>
      </w:r>
      <w:r>
        <w:rPr>
          <w:rFonts w:cs="Arial"/>
          <w:rtl/>
        </w:rPr>
        <w:t xml:space="preserve"> </w:t>
      </w:r>
      <w:r>
        <w:rPr>
          <w:rFonts w:cs="Arial" w:hint="cs"/>
          <w:rtl/>
        </w:rPr>
        <w:t>לפרט</w:t>
      </w:r>
      <w:r>
        <w:rPr>
          <w:rStyle w:val="a7"/>
          <w:rFonts w:cs="Arial"/>
          <w:rtl/>
        </w:rPr>
        <w:footnoteReference w:id="933"/>
      </w:r>
      <w:r>
        <w:rPr>
          <w:rFonts w:cs="Arial"/>
          <w:rtl/>
        </w:rPr>
        <w:t xml:space="preserve">, </w:t>
      </w:r>
      <w:r>
        <w:rPr>
          <w:rFonts w:cs="Arial" w:hint="cs"/>
          <w:rtl/>
        </w:rPr>
        <w:t>כשר</w:t>
      </w:r>
      <w:r>
        <w:rPr>
          <w:rFonts w:cs="Arial"/>
          <w:rtl/>
        </w:rPr>
        <w:t xml:space="preserve">, </w:t>
      </w:r>
      <w:r>
        <w:rPr>
          <w:rFonts w:cs="Arial" w:hint="cs"/>
          <w:rtl/>
        </w:rPr>
        <w:t>ואפילו</w:t>
      </w:r>
      <w:r>
        <w:rPr>
          <w:rFonts w:cs="Arial"/>
          <w:rtl/>
        </w:rPr>
        <w:t xml:space="preserve"> </w:t>
      </w:r>
      <w:r>
        <w:rPr>
          <w:rFonts w:cs="Arial" w:hint="cs"/>
          <w:rtl/>
        </w:rPr>
        <w:t>אם</w:t>
      </w:r>
      <w:r>
        <w:rPr>
          <w:rFonts w:cs="Arial"/>
          <w:rtl/>
        </w:rPr>
        <w:t xml:space="preserve"> </w:t>
      </w:r>
      <w:r>
        <w:rPr>
          <w:rFonts w:cs="Arial" w:hint="cs"/>
          <w:rtl/>
        </w:rPr>
        <w:t>דילג</w:t>
      </w:r>
      <w:r>
        <w:rPr>
          <w:rFonts w:cs="Arial"/>
          <w:rtl/>
        </w:rPr>
        <w:t xml:space="preserve"> </w:t>
      </w:r>
      <w:r>
        <w:rPr>
          <w:rFonts w:cs="Arial" w:hint="cs"/>
          <w:rtl/>
        </w:rPr>
        <w:t>גם</w:t>
      </w:r>
      <w:r>
        <w:rPr>
          <w:rFonts w:cs="Arial"/>
          <w:rtl/>
        </w:rPr>
        <w:t xml:space="preserve"> </w:t>
      </w:r>
      <w:r>
        <w:rPr>
          <w:rFonts w:cs="Arial" w:hint="cs"/>
          <w:rtl/>
        </w:rPr>
        <w:t>בריאת</w:t>
      </w:r>
      <w:r>
        <w:rPr>
          <w:rFonts w:cs="Arial"/>
          <w:rtl/>
        </w:rPr>
        <w:t xml:space="preserve"> </w:t>
      </w:r>
      <w:r>
        <w:rPr>
          <w:rFonts w:cs="Arial" w:hint="cs"/>
          <w:rtl/>
        </w:rPr>
        <w:t>עולם</w:t>
      </w:r>
      <w:r>
        <w:rPr>
          <w:rFonts w:cs="Arial"/>
          <w:rtl/>
        </w:rPr>
        <w:t xml:space="preserve">. </w:t>
      </w:r>
    </w:p>
    <w:p w14:paraId="073E05FB" w14:textId="77777777" w:rsidR="00FA2119" w:rsidRDefault="00FA2119" w:rsidP="00FA2119">
      <w:pPr>
        <w:rPr>
          <w:rtl/>
        </w:rPr>
      </w:pPr>
    </w:p>
    <w:p w14:paraId="717815BE" w14:textId="77777777" w:rsidR="00FA2119" w:rsidRDefault="00FA2119" w:rsidP="00FA2119">
      <w:pPr>
        <w:pStyle w:val="2"/>
        <w:rPr>
          <w:rtl/>
        </w:rPr>
      </w:pPr>
      <w:r>
        <w:rPr>
          <w:rFonts w:hint="cs"/>
          <w:rtl/>
        </w:rPr>
        <w:t>סעיף</w:t>
      </w:r>
      <w:r>
        <w:rPr>
          <w:rtl/>
        </w:rPr>
        <w:t xml:space="preserve"> </w:t>
      </w:r>
      <w:r>
        <w:rPr>
          <w:rFonts w:hint="cs"/>
          <w:rtl/>
        </w:rPr>
        <w:t>יב: כתב 'אלפים' במקום 'חמשת אלפים'.</w:t>
      </w:r>
    </w:p>
    <w:p w14:paraId="26E716A2" w14:textId="77777777" w:rsidR="00FA2119" w:rsidRDefault="00FA2119" w:rsidP="00FA2119">
      <w:pPr>
        <w:rPr>
          <w:rFonts w:cs="Arial"/>
          <w:rtl/>
        </w:rPr>
      </w:pPr>
      <w:r w:rsidRPr="009132FC">
        <w:rPr>
          <w:rFonts w:hint="cs"/>
          <w:u w:val="single"/>
          <w:rtl/>
        </w:rPr>
        <w:t>כתב 'אלפים' במקום 'חמשת אלפים':</w:t>
      </w:r>
    </w:p>
    <w:p w14:paraId="0A5BFB07" w14:textId="1C67AB24" w:rsidR="00FA2119" w:rsidRPr="008B3CA9" w:rsidRDefault="00FA2119" w:rsidP="00FA2119">
      <w:pPr>
        <w:pStyle w:val="ab"/>
        <w:numPr>
          <w:ilvl w:val="0"/>
          <w:numId w:val="61"/>
        </w:numPr>
        <w:rPr>
          <w:rtl/>
        </w:rPr>
      </w:pPr>
      <w:r w:rsidRPr="000103F0">
        <w:rPr>
          <w:rFonts w:cs="Arial"/>
          <w:rtl/>
        </w:rPr>
        <w:t xml:space="preserve">מרדכי </w:t>
      </w:r>
      <w:r w:rsidRPr="000103F0">
        <w:rPr>
          <w:rFonts w:cs="Arial" w:hint="cs"/>
          <w:sz w:val="16"/>
          <w:szCs w:val="16"/>
          <w:rtl/>
        </w:rPr>
        <w:t xml:space="preserve">(ע"ז פ"ק </w:t>
      </w:r>
      <w:r w:rsidRPr="000103F0">
        <w:rPr>
          <w:rFonts w:cs="Arial"/>
          <w:sz w:val="16"/>
          <w:szCs w:val="16"/>
          <w:rtl/>
        </w:rPr>
        <w:t>סי' תשצג)</w:t>
      </w:r>
      <w:r w:rsidR="00A82951">
        <w:rPr>
          <w:rFonts w:cs="Arial" w:hint="cs"/>
          <w:rtl/>
        </w:rPr>
        <w:t>-</w:t>
      </w:r>
      <w:r w:rsidRPr="000103F0">
        <w:rPr>
          <w:rFonts w:cs="Arial"/>
          <w:rtl/>
        </w:rPr>
        <w:t xml:space="preserve"> מעשה היה בכתובה אחת שטעה הסופר וכתב שנות אלפים ודילג </w:t>
      </w:r>
      <w:r>
        <w:rPr>
          <w:rFonts w:cs="Arial" w:hint="cs"/>
          <w:rtl/>
        </w:rPr>
        <w:t>'</w:t>
      </w:r>
      <w:r w:rsidRPr="000103F0">
        <w:rPr>
          <w:rFonts w:cs="Arial"/>
          <w:rtl/>
        </w:rPr>
        <w:t>ארבעת</w:t>
      </w:r>
      <w:r>
        <w:rPr>
          <w:rFonts w:cs="Arial" w:hint="cs"/>
          <w:rtl/>
        </w:rPr>
        <w:t>'.</w:t>
      </w:r>
      <w:r w:rsidRPr="000103F0">
        <w:rPr>
          <w:rFonts w:cs="Arial"/>
          <w:rtl/>
        </w:rPr>
        <w:t xml:space="preserve"> ושאלו לה"ר יצחק מווינ"א </w:t>
      </w:r>
      <w:r w:rsidRPr="000103F0">
        <w:rPr>
          <w:rFonts w:cs="Arial"/>
          <w:sz w:val="16"/>
          <w:szCs w:val="16"/>
          <w:rtl/>
        </w:rPr>
        <w:t>(או"ז פסקי ע"ז סי' קז)</w:t>
      </w:r>
      <w:r>
        <w:rPr>
          <w:rFonts w:cs="Arial" w:hint="cs"/>
          <w:rtl/>
        </w:rPr>
        <w:t xml:space="preserve"> </w:t>
      </w:r>
      <w:r w:rsidRPr="000103F0">
        <w:rPr>
          <w:rFonts w:cs="Arial"/>
          <w:rtl/>
        </w:rPr>
        <w:t>מה דינה של כתובה זו</w:t>
      </w:r>
      <w:r>
        <w:rPr>
          <w:rFonts w:cs="Arial" w:hint="cs"/>
          <w:rtl/>
        </w:rPr>
        <w:t>,</w:t>
      </w:r>
      <w:r w:rsidRPr="000103F0">
        <w:rPr>
          <w:rFonts w:cs="Arial"/>
          <w:rtl/>
        </w:rPr>
        <w:t xml:space="preserve"> והשיב נראה בעיני שהכתובה כשרה היא בדיעבד</w:t>
      </w:r>
      <w:r>
        <w:rPr>
          <w:rStyle w:val="a7"/>
          <w:rFonts w:cs="Arial"/>
          <w:rtl/>
        </w:rPr>
        <w:footnoteReference w:id="934"/>
      </w:r>
      <w:r>
        <w:rPr>
          <w:rFonts w:cs="Arial" w:hint="cs"/>
          <w:rtl/>
        </w:rPr>
        <w:t>,</w:t>
      </w:r>
      <w:r w:rsidRPr="000103F0">
        <w:rPr>
          <w:rFonts w:cs="Arial"/>
          <w:rtl/>
        </w:rPr>
        <w:t xml:space="preserve"> דסתם אלפים משמע שפיר ד' אלפים</w:t>
      </w:r>
      <w:r>
        <w:rPr>
          <w:rFonts w:cs="Arial" w:hint="cs"/>
          <w:rtl/>
        </w:rPr>
        <w:t>,</w:t>
      </w:r>
      <w:r w:rsidRPr="000103F0">
        <w:rPr>
          <w:rFonts w:cs="Arial"/>
          <w:rtl/>
        </w:rPr>
        <w:t xml:space="preserve"> הואיל וליכא יותר מד' אלפים</w:t>
      </w:r>
      <w:r>
        <w:rPr>
          <w:rFonts w:cs="Arial" w:hint="cs"/>
          <w:rtl/>
        </w:rPr>
        <w:t>.</w:t>
      </w:r>
      <w:r w:rsidRPr="000103F0">
        <w:rPr>
          <w:rFonts w:cs="Arial"/>
          <w:rtl/>
        </w:rPr>
        <w:t xml:space="preserve"> ואע</w:t>
      </w:r>
      <w:r>
        <w:rPr>
          <w:rFonts w:cs="Arial" w:hint="cs"/>
          <w:rtl/>
        </w:rPr>
        <w:t>"</w:t>
      </w:r>
      <w:r w:rsidRPr="000103F0">
        <w:rPr>
          <w:rFonts w:cs="Arial"/>
          <w:rtl/>
        </w:rPr>
        <w:t>ג דמיעוט אלפים שנים</w:t>
      </w:r>
      <w:r>
        <w:rPr>
          <w:rFonts w:cs="Arial" w:hint="cs"/>
          <w:rtl/>
        </w:rPr>
        <w:t>,</w:t>
      </w:r>
      <w:r w:rsidRPr="000103F0">
        <w:rPr>
          <w:rFonts w:cs="Arial"/>
          <w:rtl/>
        </w:rPr>
        <w:t xml:space="preserve"> בהא ליכא למיפסל</w:t>
      </w:r>
      <w:r>
        <w:rPr>
          <w:rFonts w:cs="Arial" w:hint="cs"/>
          <w:rtl/>
        </w:rPr>
        <w:t>,</w:t>
      </w:r>
      <w:r w:rsidRPr="000103F0">
        <w:rPr>
          <w:rFonts w:cs="Arial"/>
          <w:rtl/>
        </w:rPr>
        <w:t xml:space="preserve"> הואיל ולא כתב אלפיים בב' יודי"ן יש לנו לפרש אלפים הכתובים ארבעה ולהכשיר הכתובה הואיל ולא נפיק מיניה חורבא לענין גוביינא</w:t>
      </w:r>
      <w:r>
        <w:rPr>
          <w:rFonts w:cs="Arial" w:hint="cs"/>
          <w:rtl/>
        </w:rPr>
        <w:t>.</w:t>
      </w:r>
      <w:r w:rsidRPr="000103F0">
        <w:rPr>
          <w:rFonts w:cs="Arial"/>
          <w:rtl/>
        </w:rPr>
        <w:t xml:space="preserve"> כדאמר פרק מי שהיה נשוי הנהו תרי שטרי דאתו לקמיה דרב יוסף חד הוה כתוב ביה בחמשא בניסן וחד הוה כתוב בניסן כו'</w:t>
      </w:r>
      <w:r>
        <w:rPr>
          <w:rFonts w:cs="Arial" w:hint="cs"/>
          <w:rtl/>
        </w:rPr>
        <w:t xml:space="preserve">. </w:t>
      </w:r>
      <w:r w:rsidRPr="00A23340">
        <w:rPr>
          <w:color w:val="E36C0A" w:themeColor="accent6" w:themeShade="BF"/>
          <w:rtl/>
        </w:rPr>
        <w:t>(וכ"פ בשו"ע)</w:t>
      </w:r>
    </w:p>
    <w:p w14:paraId="05B9FB89"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AF36EE4" w14:textId="77777777" w:rsidR="00FA2119" w:rsidRDefault="00FA2119" w:rsidP="00FA2119">
      <w:pPr>
        <w:rPr>
          <w:rtl/>
        </w:rPr>
      </w:pPr>
      <w:r>
        <w:rPr>
          <w:rFonts w:cs="Arial" w:hint="cs"/>
          <w:rtl/>
        </w:rPr>
        <w:t>אם</w:t>
      </w:r>
      <w:r>
        <w:rPr>
          <w:rFonts w:cs="Arial"/>
          <w:rtl/>
        </w:rPr>
        <w:t xml:space="preserve"> </w:t>
      </w:r>
      <w:r>
        <w:rPr>
          <w:rFonts w:cs="Arial" w:hint="cs"/>
          <w:rtl/>
        </w:rPr>
        <w:t>דילג</w:t>
      </w:r>
      <w:r>
        <w:rPr>
          <w:rFonts w:cs="Arial"/>
          <w:rtl/>
        </w:rPr>
        <w:t xml:space="preserve"> </w:t>
      </w:r>
      <w:r>
        <w:rPr>
          <w:rFonts w:cs="Arial" w:hint="cs"/>
          <w:rtl/>
        </w:rPr>
        <w:t>חמשת</w:t>
      </w:r>
      <w:r>
        <w:rPr>
          <w:rFonts w:cs="Arial"/>
          <w:rtl/>
        </w:rPr>
        <w:t xml:space="preserve">, </w:t>
      </w:r>
      <w:r>
        <w:rPr>
          <w:rFonts w:cs="Arial" w:hint="cs"/>
          <w:rtl/>
        </w:rPr>
        <w:t>ולא</w:t>
      </w:r>
      <w:r>
        <w:rPr>
          <w:rFonts w:cs="Arial"/>
          <w:rtl/>
        </w:rPr>
        <w:t xml:space="preserve"> </w:t>
      </w:r>
      <w:r>
        <w:rPr>
          <w:rFonts w:cs="Arial" w:hint="cs"/>
          <w:rtl/>
        </w:rPr>
        <w:t>כתב</w:t>
      </w:r>
      <w:r>
        <w:rPr>
          <w:rFonts w:cs="Arial"/>
          <w:rtl/>
        </w:rPr>
        <w:t xml:space="preserve"> </w:t>
      </w:r>
      <w:r>
        <w:rPr>
          <w:rFonts w:cs="Arial" w:hint="cs"/>
          <w:rtl/>
        </w:rPr>
        <w:t>אלא</w:t>
      </w:r>
      <w:r>
        <w:rPr>
          <w:rFonts w:cs="Arial"/>
          <w:rtl/>
        </w:rPr>
        <w:t xml:space="preserve">: </w:t>
      </w:r>
      <w:r>
        <w:rPr>
          <w:rFonts w:cs="Arial" w:hint="cs"/>
          <w:rtl/>
        </w:rPr>
        <w:t>אלפים</w:t>
      </w:r>
      <w:r>
        <w:rPr>
          <w:rFonts w:cs="Arial"/>
          <w:rtl/>
        </w:rPr>
        <w:t xml:space="preserve">, </w:t>
      </w:r>
      <w:r>
        <w:rPr>
          <w:rFonts w:cs="Arial" w:hint="cs"/>
          <w:rtl/>
        </w:rPr>
        <w:t>כשר</w:t>
      </w:r>
      <w:r>
        <w:rPr>
          <w:rFonts w:cs="Arial"/>
          <w:rtl/>
        </w:rPr>
        <w:t xml:space="preserve">. </w:t>
      </w:r>
    </w:p>
    <w:p w14:paraId="77F1FC8A" w14:textId="77777777" w:rsidR="00FA2119" w:rsidRDefault="00FA2119" w:rsidP="00FA2119">
      <w:pPr>
        <w:rPr>
          <w:rtl/>
        </w:rPr>
      </w:pPr>
    </w:p>
    <w:p w14:paraId="19722090" w14:textId="77777777" w:rsidR="00FA2119" w:rsidRDefault="00FA2119" w:rsidP="00FA2119">
      <w:pPr>
        <w:pStyle w:val="2"/>
        <w:rPr>
          <w:rtl/>
        </w:rPr>
      </w:pPr>
      <w:r>
        <w:rPr>
          <w:rFonts w:hint="cs"/>
          <w:rtl/>
        </w:rPr>
        <w:t>סעיף</w:t>
      </w:r>
      <w:r>
        <w:rPr>
          <w:rtl/>
        </w:rPr>
        <w:t xml:space="preserve"> </w:t>
      </w:r>
      <w:r>
        <w:rPr>
          <w:rFonts w:hint="cs"/>
          <w:rtl/>
        </w:rPr>
        <w:t>יג: לא כתב את מנין המאות בלבד.</w:t>
      </w:r>
    </w:p>
    <w:p w14:paraId="4A57F37A" w14:textId="77777777" w:rsidR="00FA2119" w:rsidRPr="00A23340" w:rsidRDefault="00FA2119" w:rsidP="00FA2119">
      <w:pPr>
        <w:rPr>
          <w:u w:val="single"/>
          <w:rtl/>
        </w:rPr>
      </w:pPr>
      <w:r w:rsidRPr="00A23340">
        <w:rPr>
          <w:rFonts w:hint="cs"/>
          <w:u w:val="single"/>
          <w:rtl/>
        </w:rPr>
        <w:t>לא כתב את מנין המאות בלבד:</w:t>
      </w:r>
    </w:p>
    <w:p w14:paraId="2B246DE2" w14:textId="5CCF75E5" w:rsidR="00FA2119" w:rsidRPr="008B3CA9" w:rsidRDefault="00FA2119" w:rsidP="00FA2119">
      <w:pPr>
        <w:pStyle w:val="ab"/>
        <w:numPr>
          <w:ilvl w:val="0"/>
          <w:numId w:val="61"/>
        </w:numPr>
        <w:rPr>
          <w:rtl/>
        </w:rPr>
      </w:pPr>
      <w:r w:rsidRPr="00A23340">
        <w:rPr>
          <w:rFonts w:cs="Arial" w:hint="cs"/>
          <w:rtl/>
        </w:rPr>
        <w:t xml:space="preserve">תרוה"ד </w:t>
      </w:r>
      <w:r w:rsidRPr="00A23340">
        <w:rPr>
          <w:rFonts w:cs="Arial"/>
          <w:szCs w:val="16"/>
          <w:rtl/>
        </w:rPr>
        <w:t>(</w:t>
      </w:r>
      <w:r w:rsidRPr="00A23340">
        <w:rPr>
          <w:rFonts w:cs="Arial" w:hint="cs"/>
          <w:szCs w:val="16"/>
          <w:rtl/>
        </w:rPr>
        <w:t>פו"כ סי' יא</w:t>
      </w:r>
      <w:r>
        <w:rPr>
          <w:rFonts w:cs="Arial" w:hint="cs"/>
          <w:szCs w:val="16"/>
          <w:rtl/>
        </w:rPr>
        <w:t>, סי' יג</w:t>
      </w:r>
      <w:r w:rsidRPr="00A23340">
        <w:rPr>
          <w:rFonts w:cs="Arial"/>
          <w:szCs w:val="16"/>
          <w:rtl/>
        </w:rPr>
        <w:t>)</w:t>
      </w:r>
      <w:r w:rsidR="00A82951">
        <w:rPr>
          <w:rFonts w:cs="Arial" w:hint="cs"/>
          <w:rtl/>
        </w:rPr>
        <w:t>-</w:t>
      </w:r>
      <w:r w:rsidRPr="00A23340">
        <w:rPr>
          <w:rFonts w:cs="Arial"/>
          <w:rtl/>
        </w:rPr>
        <w:t xml:space="preserve"> אם כתב הכלל הגדול והפרט הקטן ודילג הפרט האמצעי כגון שכתב ה' אלפים וי"ז ודילג ומאתים </w:t>
      </w:r>
      <w:r w:rsidR="00A82951">
        <w:rPr>
          <w:rFonts w:cs="Arial" w:hint="cs"/>
          <w:rtl/>
        </w:rPr>
        <w:t>-</w:t>
      </w:r>
      <w:r w:rsidRPr="00A23340">
        <w:rPr>
          <w:rFonts w:cs="Arial" w:hint="cs"/>
          <w:rtl/>
        </w:rPr>
        <w:t xml:space="preserve"> </w:t>
      </w:r>
      <w:r w:rsidRPr="00A23340">
        <w:rPr>
          <w:rFonts w:cs="Arial"/>
          <w:rtl/>
        </w:rPr>
        <w:t>פסול</w:t>
      </w:r>
      <w:r>
        <w:rPr>
          <w:rStyle w:val="a7"/>
          <w:rFonts w:cs="Arial"/>
          <w:rtl/>
        </w:rPr>
        <w:footnoteReference w:id="935"/>
      </w:r>
      <w:r w:rsidRPr="00A23340">
        <w:rPr>
          <w:rFonts w:cs="Arial" w:hint="cs"/>
          <w:rtl/>
        </w:rPr>
        <w:t>.</w:t>
      </w:r>
      <w:r w:rsidRPr="00A23340">
        <w:rPr>
          <w:rFonts w:cs="Arial"/>
          <w:rtl/>
        </w:rPr>
        <w:t xml:space="preserve"> ולא דמי להיכא דלא כתב האלפים או גם המאות</w:t>
      </w:r>
      <w:r>
        <w:rPr>
          <w:rFonts w:cs="Arial" w:hint="cs"/>
          <w:rtl/>
        </w:rPr>
        <w:t>,</w:t>
      </w:r>
      <w:r w:rsidRPr="00A23340">
        <w:rPr>
          <w:rFonts w:cs="Arial"/>
          <w:rtl/>
        </w:rPr>
        <w:t xml:space="preserve"> משום דרגילות הוא למישבק כלל </w:t>
      </w:r>
      <w:r w:rsidRPr="00A23340">
        <w:rPr>
          <w:rFonts w:cs="Arial"/>
          <w:rtl/>
        </w:rPr>
        <w:lastRenderedPageBreak/>
        <w:t>ולכתוב פרטא כדאמרינן בהדיא בגמרא (ע"ז י. ובתוד"ה ספרא) וליכא למיטעי</w:t>
      </w:r>
      <w:r>
        <w:rPr>
          <w:rFonts w:cs="Arial" w:hint="cs"/>
          <w:rtl/>
        </w:rPr>
        <w:t>.</w:t>
      </w:r>
      <w:r w:rsidRPr="00A23340">
        <w:rPr>
          <w:rFonts w:cs="Arial"/>
          <w:rtl/>
        </w:rPr>
        <w:t xml:space="preserve"> אבל כהאי גוונא אין רגילות למיכתב כלל אלפים ולדלג מאות ולחזור לכתוב פרטא</w:t>
      </w:r>
      <w:r>
        <w:rPr>
          <w:rFonts w:cs="Arial" w:hint="cs"/>
          <w:rtl/>
        </w:rPr>
        <w:t>,</w:t>
      </w:r>
      <w:r w:rsidRPr="00A23340">
        <w:rPr>
          <w:rFonts w:cs="Arial"/>
          <w:rtl/>
        </w:rPr>
        <w:t xml:space="preserve"> יסברו ודאי קודם מאתים שנה נכתב.</w:t>
      </w:r>
      <w:r>
        <w:rPr>
          <w:rFonts w:cs="Arial" w:hint="cs"/>
          <w:rtl/>
        </w:rPr>
        <w:t>..</w:t>
      </w:r>
      <w:r w:rsidRPr="00A23340">
        <w:rPr>
          <w:rFonts w:cs="Arial"/>
          <w:rtl/>
        </w:rPr>
        <w:t xml:space="preserve"> ואין לדמותו לתשובת הרא"ש </w:t>
      </w:r>
      <w:r>
        <w:rPr>
          <w:rFonts w:cs="Arial" w:hint="cs"/>
          <w:rtl/>
        </w:rPr>
        <w:t>(</w:t>
      </w:r>
      <w:r w:rsidRPr="00A23340">
        <w:rPr>
          <w:rFonts w:cs="Arial"/>
          <w:rtl/>
        </w:rPr>
        <w:t xml:space="preserve">שכתב </w:t>
      </w:r>
      <w:r>
        <w:rPr>
          <w:rFonts w:cs="Arial" w:hint="cs"/>
          <w:rtl/>
        </w:rPr>
        <w:t>הטור</w:t>
      </w:r>
      <w:r w:rsidRPr="00A23340">
        <w:rPr>
          <w:rFonts w:cs="Arial"/>
          <w:rtl/>
        </w:rPr>
        <w:t xml:space="preserve"> </w:t>
      </w:r>
      <w:r>
        <w:rPr>
          <w:rFonts w:cs="Arial" w:hint="cs"/>
          <w:rtl/>
        </w:rPr>
        <w:t>ב</w:t>
      </w:r>
      <w:r w:rsidRPr="00A23340">
        <w:rPr>
          <w:rFonts w:cs="Arial"/>
          <w:rtl/>
        </w:rPr>
        <w:t>סי</w:t>
      </w:r>
      <w:r>
        <w:rPr>
          <w:rFonts w:cs="Arial" w:hint="cs"/>
          <w:rtl/>
        </w:rPr>
        <w:t>'</w:t>
      </w:r>
      <w:r w:rsidRPr="00A23340">
        <w:rPr>
          <w:rFonts w:cs="Arial"/>
          <w:rtl/>
        </w:rPr>
        <w:t xml:space="preserve"> קכו</w:t>
      </w:r>
      <w:r>
        <w:rPr>
          <w:rFonts w:cs="Arial" w:hint="cs"/>
          <w:rtl/>
        </w:rPr>
        <w:t>)</w:t>
      </w:r>
      <w:r w:rsidRPr="00A23340">
        <w:rPr>
          <w:rFonts w:cs="Arial"/>
          <w:rtl/>
        </w:rPr>
        <w:t xml:space="preserve"> שמכשיר גט שכתוב בו ברביעי ך' ימים לירח שבט</w:t>
      </w:r>
      <w:r>
        <w:rPr>
          <w:rFonts w:cs="Arial" w:hint="cs"/>
          <w:rtl/>
        </w:rPr>
        <w:t>,</w:t>
      </w:r>
      <w:r w:rsidRPr="00A23340">
        <w:rPr>
          <w:rFonts w:cs="Arial"/>
          <w:rtl/>
        </w:rPr>
        <w:t xml:space="preserve"> ויום רביעי היה כ"א לשבט</w:t>
      </w:r>
      <w:r>
        <w:rPr>
          <w:rFonts w:cs="Arial" w:hint="cs"/>
          <w:rtl/>
        </w:rPr>
        <w:t>.</w:t>
      </w:r>
      <w:r w:rsidRPr="00A23340">
        <w:rPr>
          <w:rFonts w:cs="Arial"/>
          <w:rtl/>
        </w:rPr>
        <w:t xml:space="preserve"> דשאני התם שדברי הגט סותרים אלו את אלו</w:t>
      </w:r>
      <w:r>
        <w:rPr>
          <w:rFonts w:cs="Arial" w:hint="cs"/>
          <w:rtl/>
        </w:rPr>
        <w:t>,</w:t>
      </w:r>
      <w:r w:rsidRPr="00A23340">
        <w:rPr>
          <w:rFonts w:cs="Arial"/>
          <w:rtl/>
        </w:rPr>
        <w:t xml:space="preserve"> וכדמסיים שם להדיא בתשובה</w:t>
      </w:r>
      <w:r>
        <w:rPr>
          <w:rFonts w:cs="Arial" w:hint="cs"/>
          <w:rtl/>
        </w:rPr>
        <w:t>.</w:t>
      </w:r>
      <w:r w:rsidRPr="00A23340">
        <w:rPr>
          <w:rFonts w:cs="Arial"/>
          <w:rtl/>
        </w:rPr>
        <w:t xml:space="preserve"> ולכך הואיל ומוכח טעות הסופר מיניה וביה</w:t>
      </w:r>
      <w:r>
        <w:rPr>
          <w:rFonts w:cs="Arial" w:hint="cs"/>
          <w:rtl/>
        </w:rPr>
        <w:t>,</w:t>
      </w:r>
      <w:r w:rsidRPr="00A23340">
        <w:rPr>
          <w:rFonts w:cs="Arial"/>
          <w:rtl/>
        </w:rPr>
        <w:t xml:space="preserve"> מוקמינן הטעות שטעה בעיבור החדש</w:t>
      </w:r>
      <w:r>
        <w:rPr>
          <w:rFonts w:cs="Arial" w:hint="cs"/>
          <w:rtl/>
        </w:rPr>
        <w:t>.</w:t>
      </w:r>
      <w:r w:rsidRPr="00A23340">
        <w:rPr>
          <w:rFonts w:cs="Arial"/>
          <w:rtl/>
        </w:rPr>
        <w:t xml:space="preserve"> אבל כל היכא שאין שום הוכחה מתוך הגט עצמו לא תלינן בטעות הסופר</w:t>
      </w:r>
      <w:r>
        <w:rPr>
          <w:rFonts w:cs="Arial" w:hint="cs"/>
          <w:rtl/>
        </w:rPr>
        <w:t>,</w:t>
      </w:r>
      <w:r w:rsidRPr="00A23340">
        <w:rPr>
          <w:rFonts w:cs="Arial"/>
          <w:rtl/>
        </w:rPr>
        <w:t xml:space="preserve"> הואיל ומה שכתוב לפנינו אין בו שום טעות</w:t>
      </w:r>
      <w:r>
        <w:rPr>
          <w:rFonts w:cs="Arial" w:hint="cs"/>
          <w:rtl/>
        </w:rPr>
        <w:t>.</w:t>
      </w:r>
      <w:r w:rsidRPr="00A23340">
        <w:rPr>
          <w:rFonts w:cs="Arial"/>
          <w:rtl/>
        </w:rPr>
        <w:t xml:space="preserve"> ואי משום דידוע לנו מבחוץ לפי רוב השנים דעל כרחך דילוג טעות יש כאן</w:t>
      </w:r>
      <w:r>
        <w:rPr>
          <w:rFonts w:cs="Arial" w:hint="cs"/>
          <w:rtl/>
        </w:rPr>
        <w:t>,</w:t>
      </w:r>
      <w:r w:rsidRPr="00A23340">
        <w:rPr>
          <w:rFonts w:cs="Arial"/>
          <w:rtl/>
        </w:rPr>
        <w:t xml:space="preserve"> נראה דלא דמי למוכח מיניה וביה. </w:t>
      </w:r>
      <w:r>
        <w:rPr>
          <w:rFonts w:cs="Arial"/>
          <w:szCs w:val="16"/>
          <w:rtl/>
        </w:rPr>
        <w:t>(</w:t>
      </w:r>
      <w:r>
        <w:rPr>
          <w:rFonts w:cs="Arial" w:hint="cs"/>
          <w:szCs w:val="16"/>
          <w:rtl/>
        </w:rPr>
        <w:t>וכתב עוד בסי' יג</w:t>
      </w:r>
      <w:r>
        <w:rPr>
          <w:rFonts w:cs="Arial"/>
          <w:szCs w:val="16"/>
          <w:rtl/>
        </w:rPr>
        <w:t>)</w:t>
      </w:r>
      <w:r>
        <w:rPr>
          <w:rFonts w:cs="Arial" w:hint="cs"/>
          <w:rtl/>
        </w:rPr>
        <w:t xml:space="preserve"> ו</w:t>
      </w:r>
      <w:r w:rsidRPr="00A23340">
        <w:rPr>
          <w:rFonts w:cs="Arial"/>
          <w:rtl/>
        </w:rPr>
        <w:t xml:space="preserve">אע"ג דאי חשבינן למפרע לשנה שקודם מאתים שנה לא נתכוון הימים בחדש ליום השבוע </w:t>
      </w:r>
      <w:r w:rsidR="00A82951">
        <w:rPr>
          <w:rFonts w:cs="Arial" w:hint="cs"/>
          <w:rtl/>
        </w:rPr>
        <w:t>-</w:t>
      </w:r>
      <w:r>
        <w:rPr>
          <w:rFonts w:cs="Arial" w:hint="cs"/>
          <w:rtl/>
        </w:rPr>
        <w:t xml:space="preserve"> </w:t>
      </w:r>
      <w:r w:rsidRPr="00A23340">
        <w:rPr>
          <w:rFonts w:cs="Arial"/>
          <w:rtl/>
        </w:rPr>
        <w:t>לא סלקא לן אליבא דהלכתא דליהוי משום הכי מוכח מתוכו</w:t>
      </w:r>
      <w:r>
        <w:rPr>
          <w:rFonts w:cs="Arial" w:hint="cs"/>
          <w:rtl/>
        </w:rPr>
        <w:t>,</w:t>
      </w:r>
      <w:r w:rsidRPr="00A23340">
        <w:rPr>
          <w:rFonts w:cs="Arial"/>
          <w:rtl/>
        </w:rPr>
        <w:t xml:space="preserve"> דרובא דרובא לא ידעי חושבנא. </w:t>
      </w:r>
      <w:r>
        <w:rPr>
          <w:rFonts w:cs="Arial"/>
          <w:szCs w:val="16"/>
          <w:rtl/>
        </w:rPr>
        <w:t>(</w:t>
      </w:r>
      <w:r>
        <w:rPr>
          <w:rFonts w:cs="Arial" w:hint="cs"/>
          <w:szCs w:val="16"/>
          <w:rtl/>
        </w:rPr>
        <w:t>וכתב עוד בסי' כ</w:t>
      </w:r>
      <w:r w:rsidR="00A82951">
        <w:rPr>
          <w:rFonts w:cs="Arial" w:hint="cs"/>
          <w:szCs w:val="16"/>
          <w:rtl/>
        </w:rPr>
        <w:t>-</w:t>
      </w:r>
      <w:r>
        <w:rPr>
          <w:rFonts w:cs="Arial" w:hint="cs"/>
          <w:szCs w:val="16"/>
          <w:rtl/>
        </w:rPr>
        <w:t>כא</w:t>
      </w:r>
      <w:r>
        <w:rPr>
          <w:rFonts w:cs="Arial"/>
          <w:szCs w:val="16"/>
          <w:rtl/>
        </w:rPr>
        <w:t>)</w:t>
      </w:r>
      <w:r w:rsidRPr="00A23340">
        <w:rPr>
          <w:rFonts w:cs="Arial"/>
          <w:rtl/>
        </w:rPr>
        <w:t xml:space="preserve"> </w:t>
      </w:r>
      <w:r>
        <w:rPr>
          <w:rFonts w:cs="Arial" w:hint="cs"/>
          <w:rtl/>
        </w:rPr>
        <w:t>ו</w:t>
      </w:r>
      <w:r w:rsidRPr="00A23340">
        <w:rPr>
          <w:rFonts w:cs="Arial"/>
          <w:rtl/>
        </w:rPr>
        <w:t xml:space="preserve">אע"פ שיש כמה צדדים להקל בנדון זה </w:t>
      </w:r>
      <w:r>
        <w:rPr>
          <w:rFonts w:cs="Arial" w:hint="cs"/>
          <w:rtl/>
        </w:rPr>
        <w:t>מה שאני</w:t>
      </w:r>
      <w:r w:rsidRPr="00A23340">
        <w:rPr>
          <w:rFonts w:cs="Arial"/>
          <w:rtl/>
        </w:rPr>
        <w:t xml:space="preserve"> דוחה אותם היינו להחמיר ולתת גט שני</w:t>
      </w:r>
      <w:r>
        <w:rPr>
          <w:rFonts w:cs="Arial" w:hint="cs"/>
          <w:rtl/>
        </w:rPr>
        <w:t>.</w:t>
      </w:r>
      <w:r w:rsidRPr="00A23340">
        <w:rPr>
          <w:rFonts w:cs="Arial"/>
          <w:rtl/>
        </w:rPr>
        <w:t xml:space="preserve"> אבל להחמיר כולי האי דנימא תצא </w:t>
      </w:r>
      <w:r>
        <w:rPr>
          <w:rFonts w:cs="Arial" w:hint="cs"/>
          <w:rtl/>
        </w:rPr>
        <w:t xml:space="preserve"> </w:t>
      </w:r>
      <w:r w:rsidR="00A82951">
        <w:rPr>
          <w:rFonts w:cs="Arial" w:hint="cs"/>
          <w:rtl/>
        </w:rPr>
        <w:t>-</w:t>
      </w:r>
      <w:r>
        <w:rPr>
          <w:rFonts w:cs="Arial" w:hint="cs"/>
          <w:rtl/>
        </w:rPr>
        <w:t xml:space="preserve"> </w:t>
      </w:r>
      <w:r w:rsidRPr="00A23340">
        <w:rPr>
          <w:rFonts w:cs="Arial"/>
          <w:rtl/>
        </w:rPr>
        <w:t>לא</w:t>
      </w:r>
      <w:r>
        <w:rPr>
          <w:rFonts w:cs="Arial" w:hint="cs"/>
          <w:rtl/>
        </w:rPr>
        <w:t>,</w:t>
      </w:r>
      <w:r w:rsidRPr="00A23340">
        <w:rPr>
          <w:rFonts w:cs="Arial"/>
          <w:rtl/>
        </w:rPr>
        <w:t xml:space="preserve"> דכל כהאי גוונא לכולי עלמא לא תצא.</w:t>
      </w:r>
      <w:r>
        <w:rPr>
          <w:rFonts w:cs="Arial" w:hint="cs"/>
          <w:rtl/>
        </w:rPr>
        <w:t>..</w:t>
      </w:r>
      <w:r w:rsidRPr="00A23340">
        <w:rPr>
          <w:rFonts w:cs="Arial"/>
          <w:rtl/>
        </w:rPr>
        <w:t xml:space="preserve"> </w:t>
      </w:r>
      <w:r>
        <w:rPr>
          <w:rFonts w:cs="Arial" w:hint="cs"/>
          <w:rtl/>
        </w:rPr>
        <w:t>ו</w:t>
      </w:r>
      <w:r w:rsidRPr="00A23340">
        <w:rPr>
          <w:rFonts w:cs="Arial"/>
          <w:rtl/>
        </w:rPr>
        <w:t>אע"פ שיש לה בנים צריכה גט שני</w:t>
      </w:r>
      <w:r>
        <w:rPr>
          <w:rFonts w:cs="Arial" w:hint="cs"/>
          <w:rtl/>
        </w:rPr>
        <w:t>,</w:t>
      </w:r>
      <w:r w:rsidRPr="00A23340">
        <w:rPr>
          <w:rFonts w:cs="Arial"/>
          <w:rtl/>
        </w:rPr>
        <w:t xml:space="preserve"> ולא חיישינן ללעז. </w:t>
      </w:r>
      <w:r>
        <w:rPr>
          <w:rFonts w:cs="Arial"/>
          <w:szCs w:val="16"/>
          <w:rtl/>
        </w:rPr>
        <w:t>(</w:t>
      </w:r>
      <w:r>
        <w:rPr>
          <w:rFonts w:cs="Arial" w:hint="cs"/>
          <w:szCs w:val="16"/>
          <w:rtl/>
        </w:rPr>
        <w:t>וסיים בסי' יט על דין זה</w:t>
      </w:r>
      <w:r>
        <w:rPr>
          <w:rFonts w:cs="Arial"/>
          <w:szCs w:val="16"/>
          <w:rtl/>
        </w:rPr>
        <w:t>)</w:t>
      </w:r>
      <w:r>
        <w:rPr>
          <w:rFonts w:cs="Arial" w:hint="cs"/>
          <w:rtl/>
        </w:rPr>
        <w:t xml:space="preserve"> </w:t>
      </w:r>
      <w:r w:rsidRPr="00A23340">
        <w:rPr>
          <w:rFonts w:cs="Arial"/>
          <w:rtl/>
        </w:rPr>
        <w:t>על כן נראה להצריכה גט כשר מבעלה הראשון ותשב תחת בעלה השני</w:t>
      </w:r>
      <w:r>
        <w:rPr>
          <w:rFonts w:cs="Arial" w:hint="cs"/>
          <w:rtl/>
        </w:rPr>
        <w:t>.</w:t>
      </w:r>
      <w:r w:rsidRPr="00A23340">
        <w:rPr>
          <w:rFonts w:cs="Arial"/>
          <w:rtl/>
        </w:rPr>
        <w:t xml:space="preserve"> </w:t>
      </w:r>
    </w:p>
    <w:p w14:paraId="2F98336C"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CF9722C" w14:textId="77777777" w:rsidR="00FA2119" w:rsidRDefault="00FA2119" w:rsidP="00FA2119">
      <w:pPr>
        <w:rPr>
          <w:rFonts w:cs="Arial"/>
          <w:rtl/>
        </w:rPr>
      </w:pPr>
      <w:r>
        <w:rPr>
          <w:rFonts w:cs="Arial" w:hint="cs"/>
          <w:rtl/>
        </w:rPr>
        <w:t>אם</w:t>
      </w:r>
      <w:r>
        <w:rPr>
          <w:rFonts w:cs="Arial"/>
          <w:rtl/>
        </w:rPr>
        <w:t xml:space="preserve"> </w:t>
      </w:r>
      <w:r>
        <w:rPr>
          <w:rFonts w:cs="Arial" w:hint="cs"/>
          <w:rtl/>
        </w:rPr>
        <w:t>כתב</w:t>
      </w:r>
      <w:r>
        <w:rPr>
          <w:rFonts w:cs="Arial"/>
          <w:rtl/>
        </w:rPr>
        <w:t xml:space="preserve"> </w:t>
      </w:r>
      <w:r>
        <w:rPr>
          <w:rFonts w:cs="Arial" w:hint="cs"/>
          <w:rtl/>
        </w:rPr>
        <w:t>הכלל</w:t>
      </w:r>
      <w:r>
        <w:rPr>
          <w:rFonts w:cs="Arial"/>
          <w:rtl/>
        </w:rPr>
        <w:t xml:space="preserve"> </w:t>
      </w:r>
      <w:r>
        <w:rPr>
          <w:rFonts w:cs="Arial" w:hint="cs"/>
          <w:rtl/>
        </w:rPr>
        <w:t>והפרט</w:t>
      </w:r>
      <w:r>
        <w:rPr>
          <w:rFonts w:cs="Arial"/>
          <w:rtl/>
        </w:rPr>
        <w:t xml:space="preserve"> </w:t>
      </w:r>
      <w:r>
        <w:rPr>
          <w:rFonts w:cs="Arial" w:hint="cs"/>
          <w:rtl/>
        </w:rPr>
        <w:t>הקטן</w:t>
      </w:r>
      <w:r>
        <w:rPr>
          <w:rFonts w:cs="Arial"/>
          <w:rtl/>
        </w:rPr>
        <w:t xml:space="preserve">, </w:t>
      </w:r>
      <w:r>
        <w:rPr>
          <w:rFonts w:cs="Arial" w:hint="cs"/>
          <w:rtl/>
        </w:rPr>
        <w:t>ודילג</w:t>
      </w:r>
      <w:r>
        <w:rPr>
          <w:rFonts w:cs="Arial"/>
          <w:rtl/>
        </w:rPr>
        <w:t xml:space="preserve"> </w:t>
      </w:r>
      <w:r>
        <w:rPr>
          <w:rFonts w:cs="Arial" w:hint="cs"/>
          <w:rtl/>
        </w:rPr>
        <w:t>הפרט</w:t>
      </w:r>
      <w:r>
        <w:rPr>
          <w:rFonts w:cs="Arial"/>
          <w:rtl/>
        </w:rPr>
        <w:t xml:space="preserve"> </w:t>
      </w:r>
      <w:r>
        <w:rPr>
          <w:rFonts w:cs="Arial" w:hint="cs"/>
          <w:rtl/>
        </w:rPr>
        <w:t>האמצעי</w:t>
      </w:r>
      <w:r>
        <w:rPr>
          <w:rFonts w:cs="Arial"/>
          <w:rtl/>
        </w:rPr>
        <w:t xml:space="preserve">, </w:t>
      </w:r>
      <w:r>
        <w:rPr>
          <w:rFonts w:cs="Arial" w:hint="cs"/>
          <w:rtl/>
        </w:rPr>
        <w:t>כגון</w:t>
      </w:r>
      <w:r>
        <w:rPr>
          <w:rFonts w:cs="Arial"/>
          <w:rtl/>
        </w:rPr>
        <w:t xml:space="preserve"> </w:t>
      </w:r>
      <w:r>
        <w:rPr>
          <w:rFonts w:cs="Arial" w:hint="cs"/>
          <w:rtl/>
        </w:rPr>
        <w:t>שכתב</w:t>
      </w:r>
      <w:r>
        <w:rPr>
          <w:rFonts w:cs="Arial"/>
          <w:rtl/>
        </w:rPr>
        <w:t xml:space="preserve">: </w:t>
      </w:r>
      <w:r>
        <w:rPr>
          <w:rFonts w:cs="Arial" w:hint="cs"/>
          <w:rtl/>
        </w:rPr>
        <w:t>חמשת</w:t>
      </w:r>
      <w:r>
        <w:rPr>
          <w:rFonts w:cs="Arial"/>
          <w:rtl/>
        </w:rPr>
        <w:t xml:space="preserve"> </w:t>
      </w:r>
      <w:r>
        <w:rPr>
          <w:rFonts w:cs="Arial" w:hint="cs"/>
          <w:rtl/>
        </w:rPr>
        <w:t>אלפים</w:t>
      </w:r>
      <w:r>
        <w:rPr>
          <w:rFonts w:cs="Arial"/>
          <w:rtl/>
        </w:rPr>
        <w:t xml:space="preserve"> </w:t>
      </w:r>
      <w:r>
        <w:rPr>
          <w:rFonts w:cs="Arial" w:hint="cs"/>
          <w:rtl/>
        </w:rPr>
        <w:t>וי</w:t>
      </w:r>
      <w:r>
        <w:rPr>
          <w:rFonts w:cs="Arial"/>
          <w:rtl/>
        </w:rPr>
        <w:t>"</w:t>
      </w:r>
      <w:r>
        <w:rPr>
          <w:rFonts w:cs="Arial" w:hint="cs"/>
          <w:rtl/>
        </w:rPr>
        <w:t>ז</w:t>
      </w:r>
      <w:r>
        <w:rPr>
          <w:rFonts w:cs="Arial"/>
          <w:rtl/>
        </w:rPr>
        <w:t xml:space="preserve">, </w:t>
      </w:r>
      <w:r>
        <w:rPr>
          <w:rFonts w:cs="Arial" w:hint="cs"/>
          <w:rtl/>
        </w:rPr>
        <w:t>ודילג</w:t>
      </w:r>
      <w:r>
        <w:rPr>
          <w:rFonts w:cs="Arial"/>
          <w:rtl/>
        </w:rPr>
        <w:t xml:space="preserve"> </w:t>
      </w:r>
      <w:r>
        <w:rPr>
          <w:rFonts w:cs="Arial" w:hint="cs"/>
          <w:rtl/>
        </w:rPr>
        <w:t>ושלש</w:t>
      </w:r>
      <w:r>
        <w:rPr>
          <w:rFonts w:cs="Arial"/>
          <w:rtl/>
        </w:rPr>
        <w:t xml:space="preserve"> </w:t>
      </w:r>
      <w:r>
        <w:rPr>
          <w:rFonts w:cs="Arial" w:hint="cs"/>
          <w:rtl/>
        </w:rPr>
        <w:t>מאות</w:t>
      </w:r>
      <w:r>
        <w:rPr>
          <w:rFonts w:cs="Arial"/>
          <w:rtl/>
        </w:rPr>
        <w:t xml:space="preserve">, </w:t>
      </w:r>
      <w:r>
        <w:rPr>
          <w:rFonts w:cs="Arial" w:hint="cs"/>
          <w:rtl/>
        </w:rPr>
        <w:t>פסול</w:t>
      </w:r>
      <w:r>
        <w:rPr>
          <w:rStyle w:val="a7"/>
          <w:rFonts w:cs="Arial"/>
          <w:rtl/>
        </w:rPr>
        <w:footnoteReference w:id="936"/>
      </w:r>
      <w:r>
        <w:rPr>
          <w:rFonts w:cs="Arial" w:hint="cs"/>
          <w:rtl/>
        </w:rPr>
        <w:t>.</w:t>
      </w:r>
      <w:r>
        <w:rPr>
          <w:rFonts w:cs="Arial"/>
          <w:rtl/>
        </w:rPr>
        <w:t xml:space="preserve"> </w:t>
      </w:r>
      <w:r>
        <w:rPr>
          <w:rFonts w:cs="Arial" w:hint="cs"/>
          <w:rtl/>
        </w:rPr>
        <w:t>ואם</w:t>
      </w:r>
      <w:r>
        <w:rPr>
          <w:rFonts w:cs="Arial"/>
          <w:rtl/>
        </w:rPr>
        <w:t xml:space="preserve"> </w:t>
      </w:r>
      <w:r>
        <w:rPr>
          <w:rFonts w:cs="Arial" w:hint="cs"/>
          <w:rtl/>
        </w:rPr>
        <w:t>נשאת</w:t>
      </w:r>
      <w:r>
        <w:rPr>
          <w:rFonts w:cs="Arial"/>
          <w:rtl/>
        </w:rPr>
        <w:t xml:space="preserve">, </w:t>
      </w:r>
      <w:r>
        <w:rPr>
          <w:rFonts w:cs="Arial" w:hint="cs"/>
          <w:rtl/>
        </w:rPr>
        <w:t>לא</w:t>
      </w:r>
      <w:r>
        <w:rPr>
          <w:rFonts w:cs="Arial"/>
          <w:rtl/>
        </w:rPr>
        <w:t xml:space="preserve"> </w:t>
      </w:r>
      <w:r>
        <w:rPr>
          <w:rFonts w:cs="Arial" w:hint="cs"/>
          <w:rtl/>
        </w:rPr>
        <w:t>תצא</w:t>
      </w:r>
      <w:r>
        <w:rPr>
          <w:rFonts w:cs="Arial"/>
          <w:rtl/>
        </w:rPr>
        <w:t xml:space="preserve">. </w:t>
      </w:r>
      <w:r>
        <w:rPr>
          <w:rFonts w:cs="Arial" w:hint="cs"/>
          <w:rtl/>
        </w:rPr>
        <w:t>ויש</w:t>
      </w:r>
      <w:r>
        <w:rPr>
          <w:rFonts w:cs="Arial"/>
          <w:rtl/>
        </w:rPr>
        <w:t xml:space="preserve"> </w:t>
      </w:r>
      <w:r>
        <w:rPr>
          <w:rFonts w:cs="Arial" w:hint="cs"/>
          <w:rtl/>
        </w:rPr>
        <w:t>מי</w:t>
      </w:r>
      <w:r>
        <w:rPr>
          <w:rFonts w:cs="Arial"/>
          <w:rtl/>
        </w:rPr>
        <w:t xml:space="preserve"> </w:t>
      </w:r>
      <w:r>
        <w:rPr>
          <w:rFonts w:cs="Arial" w:hint="cs"/>
          <w:rtl/>
        </w:rPr>
        <w:t>שאומר</w:t>
      </w:r>
      <w:r>
        <w:rPr>
          <w:rStyle w:val="a7"/>
          <w:rFonts w:cs="Arial"/>
          <w:rtl/>
        </w:rPr>
        <w:footnoteReference w:id="937"/>
      </w:r>
      <w:r>
        <w:rPr>
          <w:rFonts w:cs="Arial"/>
          <w:rtl/>
        </w:rPr>
        <w:t xml:space="preserve"> </w:t>
      </w:r>
      <w:r>
        <w:rPr>
          <w:rFonts w:cs="Arial" w:hint="cs"/>
          <w:rtl/>
        </w:rPr>
        <w:t>שמצריכין</w:t>
      </w:r>
      <w:r>
        <w:rPr>
          <w:rFonts w:cs="Arial"/>
          <w:rtl/>
        </w:rPr>
        <w:t xml:space="preserve"> </w:t>
      </w:r>
      <w:r>
        <w:rPr>
          <w:rFonts w:cs="Arial" w:hint="cs"/>
          <w:rtl/>
        </w:rPr>
        <w:t>לה</w:t>
      </w:r>
      <w:r>
        <w:rPr>
          <w:rFonts w:cs="Arial"/>
          <w:rtl/>
        </w:rPr>
        <w:t xml:space="preserve"> </w:t>
      </w:r>
      <w:r>
        <w:rPr>
          <w:rFonts w:cs="Arial" w:hint="cs"/>
          <w:rtl/>
        </w:rPr>
        <w:t>גט</w:t>
      </w:r>
      <w:r>
        <w:rPr>
          <w:rFonts w:cs="Arial"/>
          <w:rtl/>
        </w:rPr>
        <w:t xml:space="preserve"> </w:t>
      </w:r>
      <w:r>
        <w:rPr>
          <w:rFonts w:cs="Arial" w:hint="cs"/>
          <w:rtl/>
        </w:rPr>
        <w:t>כשר</w:t>
      </w:r>
      <w:r>
        <w:rPr>
          <w:rFonts w:cs="Arial"/>
          <w:rtl/>
        </w:rPr>
        <w:t xml:space="preserve"> </w:t>
      </w:r>
      <w:r>
        <w:rPr>
          <w:rFonts w:cs="Arial" w:hint="cs"/>
          <w:rtl/>
        </w:rPr>
        <w:t>מבעלה</w:t>
      </w:r>
      <w:r>
        <w:rPr>
          <w:rFonts w:cs="Arial"/>
          <w:rtl/>
        </w:rPr>
        <w:t xml:space="preserve"> </w:t>
      </w:r>
      <w:r>
        <w:rPr>
          <w:rFonts w:cs="Arial" w:hint="cs"/>
          <w:rtl/>
        </w:rPr>
        <w:t>הראשון</w:t>
      </w:r>
      <w:r>
        <w:rPr>
          <w:rFonts w:cs="Arial"/>
          <w:rtl/>
        </w:rPr>
        <w:t xml:space="preserve">, </w:t>
      </w:r>
      <w:r>
        <w:rPr>
          <w:rFonts w:cs="Arial" w:hint="cs"/>
          <w:rtl/>
        </w:rPr>
        <w:t>ותשב</w:t>
      </w:r>
      <w:r>
        <w:rPr>
          <w:rFonts w:cs="Arial"/>
          <w:rtl/>
        </w:rPr>
        <w:t xml:space="preserve"> </w:t>
      </w:r>
      <w:r>
        <w:rPr>
          <w:rFonts w:cs="Arial" w:hint="cs"/>
          <w:rtl/>
        </w:rPr>
        <w:t>תחת</w:t>
      </w:r>
      <w:r>
        <w:rPr>
          <w:rFonts w:cs="Arial"/>
          <w:rtl/>
        </w:rPr>
        <w:t xml:space="preserve"> </w:t>
      </w:r>
      <w:r>
        <w:rPr>
          <w:rFonts w:cs="Arial" w:hint="cs"/>
          <w:rtl/>
        </w:rPr>
        <w:t>השני</w:t>
      </w:r>
      <w:r>
        <w:rPr>
          <w:rFonts w:cs="Arial"/>
          <w:rtl/>
        </w:rPr>
        <w:t>.</w:t>
      </w:r>
    </w:p>
    <w:p w14:paraId="089E0E2E" w14:textId="77777777" w:rsidR="00FA2119" w:rsidRPr="00266F86" w:rsidRDefault="00FA2119" w:rsidP="00FA2119">
      <w:pPr>
        <w:rPr>
          <w:rFonts w:cs="Arial"/>
          <w:u w:val="single"/>
          <w:rtl/>
        </w:rPr>
      </w:pPr>
      <w:r w:rsidRPr="00266F86">
        <w:rPr>
          <w:rFonts w:cs="Arial" w:hint="cs"/>
          <w:u w:val="single"/>
          <w:rtl/>
        </w:rPr>
        <w:t>דילג את הפרט הקטן:</w:t>
      </w:r>
    </w:p>
    <w:p w14:paraId="3292A87E" w14:textId="52855629" w:rsidR="00FA2119" w:rsidRPr="00133C49" w:rsidRDefault="00FA2119" w:rsidP="00FA2119">
      <w:pPr>
        <w:pStyle w:val="ab"/>
        <w:numPr>
          <w:ilvl w:val="0"/>
          <w:numId w:val="61"/>
        </w:numPr>
        <w:rPr>
          <w:rFonts w:cs="Arial"/>
          <w:rtl/>
        </w:rPr>
      </w:pPr>
      <w:r w:rsidRPr="00133C49">
        <w:rPr>
          <w:rFonts w:cs="Arial" w:hint="cs"/>
          <w:rtl/>
        </w:rPr>
        <w:t xml:space="preserve">לבוש וב"ש </w:t>
      </w:r>
      <w:r w:rsidRPr="00133C49">
        <w:rPr>
          <w:rFonts w:cs="Arial"/>
          <w:szCs w:val="16"/>
          <w:rtl/>
        </w:rPr>
        <w:t>(</w:t>
      </w:r>
      <w:r w:rsidRPr="00133C49">
        <w:rPr>
          <w:rFonts w:cs="Arial" w:hint="cs"/>
          <w:szCs w:val="16"/>
          <w:rtl/>
        </w:rPr>
        <w:t>סקכ"א</w:t>
      </w:r>
      <w:r w:rsidRPr="00133C49">
        <w:rPr>
          <w:rFonts w:cs="Arial"/>
          <w:szCs w:val="16"/>
          <w:rtl/>
        </w:rPr>
        <w:t>)</w:t>
      </w:r>
      <w:r w:rsidR="00A82951">
        <w:rPr>
          <w:rFonts w:cs="Arial" w:hint="cs"/>
          <w:rtl/>
        </w:rPr>
        <w:t>-</w:t>
      </w:r>
      <w:r w:rsidRPr="00133C49">
        <w:rPr>
          <w:rFonts w:cs="Arial" w:hint="cs"/>
          <w:rtl/>
        </w:rPr>
        <w:t xml:space="preserve"> ואם</w:t>
      </w:r>
      <w:r w:rsidRPr="00133C49">
        <w:rPr>
          <w:rFonts w:cs="Arial"/>
          <w:rtl/>
        </w:rPr>
        <w:t xml:space="preserve"> </w:t>
      </w:r>
      <w:r w:rsidRPr="00133C49">
        <w:rPr>
          <w:rFonts w:cs="Arial" w:hint="cs"/>
          <w:rtl/>
        </w:rPr>
        <w:t>לא</w:t>
      </w:r>
      <w:r w:rsidRPr="00133C49">
        <w:rPr>
          <w:rFonts w:cs="Arial"/>
          <w:rtl/>
        </w:rPr>
        <w:t xml:space="preserve"> </w:t>
      </w:r>
      <w:r w:rsidRPr="00133C49">
        <w:rPr>
          <w:rFonts w:cs="Arial" w:hint="cs"/>
          <w:rtl/>
        </w:rPr>
        <w:t>דילג</w:t>
      </w:r>
      <w:r w:rsidRPr="00133C49">
        <w:rPr>
          <w:rFonts w:cs="Arial"/>
          <w:rtl/>
        </w:rPr>
        <w:t xml:space="preserve"> </w:t>
      </w:r>
      <w:r w:rsidRPr="00133C49">
        <w:rPr>
          <w:rFonts w:cs="Arial" w:hint="cs"/>
          <w:rtl/>
        </w:rPr>
        <w:t>אלא</w:t>
      </w:r>
      <w:r w:rsidRPr="00133C49">
        <w:rPr>
          <w:rFonts w:cs="Arial"/>
          <w:rtl/>
        </w:rPr>
        <w:t xml:space="preserve"> </w:t>
      </w:r>
      <w:r w:rsidRPr="00133C49">
        <w:rPr>
          <w:rFonts w:cs="Arial" w:hint="cs"/>
          <w:rtl/>
        </w:rPr>
        <w:t>רק</w:t>
      </w:r>
      <w:r w:rsidRPr="00133C49">
        <w:rPr>
          <w:rFonts w:cs="Arial"/>
          <w:rtl/>
        </w:rPr>
        <w:t xml:space="preserve"> </w:t>
      </w:r>
      <w:r w:rsidRPr="00133C49">
        <w:rPr>
          <w:rFonts w:cs="Arial" w:hint="cs"/>
          <w:rtl/>
        </w:rPr>
        <w:t>פרט</w:t>
      </w:r>
      <w:r w:rsidRPr="00133C49">
        <w:rPr>
          <w:rFonts w:cs="Arial"/>
          <w:rtl/>
        </w:rPr>
        <w:t xml:space="preserve"> </w:t>
      </w:r>
      <w:r w:rsidRPr="00133C49">
        <w:rPr>
          <w:rFonts w:cs="Arial" w:hint="cs"/>
          <w:rtl/>
        </w:rPr>
        <w:t>האחרון</w:t>
      </w:r>
      <w:r w:rsidRPr="00133C49">
        <w:rPr>
          <w:rFonts w:cs="Arial"/>
          <w:rtl/>
        </w:rPr>
        <w:t xml:space="preserve"> </w:t>
      </w:r>
      <w:r w:rsidRPr="00133C49">
        <w:rPr>
          <w:rFonts w:cs="Arial" w:hint="cs"/>
          <w:rtl/>
        </w:rPr>
        <w:t>כגון</w:t>
      </w:r>
      <w:r w:rsidRPr="00133C49">
        <w:rPr>
          <w:rFonts w:cs="Arial"/>
          <w:rtl/>
        </w:rPr>
        <w:t xml:space="preserve"> </w:t>
      </w:r>
      <w:r w:rsidRPr="00133C49">
        <w:rPr>
          <w:rFonts w:cs="Arial" w:hint="cs"/>
          <w:rtl/>
        </w:rPr>
        <w:t>שלא</w:t>
      </w:r>
      <w:r w:rsidRPr="00133C49">
        <w:rPr>
          <w:rFonts w:cs="Arial"/>
          <w:rtl/>
        </w:rPr>
        <w:t xml:space="preserve"> </w:t>
      </w:r>
      <w:r w:rsidRPr="00133C49">
        <w:rPr>
          <w:rFonts w:cs="Arial" w:hint="cs"/>
          <w:rtl/>
        </w:rPr>
        <w:t>כתב</w:t>
      </w:r>
      <w:r w:rsidRPr="00133C49">
        <w:rPr>
          <w:rFonts w:cs="Arial"/>
          <w:rtl/>
        </w:rPr>
        <w:t xml:space="preserve"> </w:t>
      </w:r>
      <w:r w:rsidRPr="00133C49">
        <w:rPr>
          <w:rFonts w:cs="Arial" w:hint="cs"/>
          <w:u w:val="dotted"/>
          <w:rtl/>
        </w:rPr>
        <w:t>שלשה</w:t>
      </w:r>
      <w:r w:rsidRPr="00133C49">
        <w:rPr>
          <w:rFonts w:cs="Arial"/>
          <w:rtl/>
        </w:rPr>
        <w:t xml:space="preserve"> </w:t>
      </w:r>
      <w:r w:rsidRPr="00133C49">
        <w:rPr>
          <w:rFonts w:cs="Arial" w:hint="cs"/>
          <w:rtl/>
        </w:rPr>
        <w:t>י</w:t>
      </w:r>
      <w:r w:rsidRPr="00133C49">
        <w:rPr>
          <w:rFonts w:cs="Arial"/>
          <w:rtl/>
        </w:rPr>
        <w:t>"</w:t>
      </w:r>
      <w:r w:rsidRPr="00133C49">
        <w:rPr>
          <w:rFonts w:cs="Arial" w:hint="cs"/>
          <w:rtl/>
        </w:rPr>
        <w:t>ל</w:t>
      </w:r>
      <w:r w:rsidRPr="00133C49">
        <w:rPr>
          <w:rFonts w:cs="Arial"/>
          <w:rtl/>
        </w:rPr>
        <w:t xml:space="preserve"> </w:t>
      </w:r>
      <w:r w:rsidRPr="00133C49">
        <w:rPr>
          <w:rFonts w:cs="Arial" w:hint="cs"/>
          <w:rtl/>
        </w:rPr>
        <w:t>דדומה</w:t>
      </w:r>
      <w:r w:rsidRPr="00133C49">
        <w:rPr>
          <w:rFonts w:cs="Arial"/>
          <w:rtl/>
        </w:rPr>
        <w:t xml:space="preserve"> </w:t>
      </w:r>
      <w:r w:rsidRPr="00133C49">
        <w:rPr>
          <w:rFonts w:cs="Arial" w:hint="cs"/>
          <w:rtl/>
        </w:rPr>
        <w:t>למוקדם.</w:t>
      </w:r>
    </w:p>
    <w:p w14:paraId="3F56C2F0" w14:textId="77777777" w:rsidR="00FA2119" w:rsidRDefault="00FA2119" w:rsidP="00FA2119">
      <w:pPr>
        <w:rPr>
          <w:rtl/>
        </w:rPr>
      </w:pPr>
    </w:p>
    <w:p w14:paraId="7E8150DE" w14:textId="77777777" w:rsidR="00FA2119" w:rsidRPr="004B71EB" w:rsidRDefault="00FA2119" w:rsidP="00FA2119">
      <w:pPr>
        <w:rPr>
          <w:rtl/>
        </w:rPr>
        <w:sectPr w:rsidR="00FA2119" w:rsidRPr="004B71EB" w:rsidSect="00A347B3">
          <w:headerReference w:type="default" r:id="rId20"/>
          <w:footnotePr>
            <w:numRestart w:val="eachSect"/>
          </w:footnotePr>
          <w:pgSz w:w="11906" w:h="16838"/>
          <w:pgMar w:top="720" w:right="1134" w:bottom="720" w:left="1134" w:header="0" w:footer="0" w:gutter="0"/>
          <w:cols w:space="720"/>
          <w:bidi/>
          <w:rtlGutter/>
          <w:docGrid w:linePitch="360"/>
        </w:sectPr>
      </w:pPr>
    </w:p>
    <w:p w14:paraId="42085321" w14:textId="77777777" w:rsidR="00FA2119" w:rsidRDefault="00FA2119" w:rsidP="00FA2119">
      <w:pPr>
        <w:pStyle w:val="1"/>
        <w:rPr>
          <w:rtl/>
        </w:rPr>
      </w:pPr>
      <w:r>
        <w:rPr>
          <w:rFonts w:hint="cs"/>
          <w:rtl/>
        </w:rPr>
        <w:lastRenderedPageBreak/>
        <w:t>סימן קכח:</w:t>
      </w:r>
      <w:r w:rsidRPr="00C12B74">
        <w:rPr>
          <w:rtl/>
        </w:rPr>
        <w:t xml:space="preserve"> </w:t>
      </w:r>
      <w:r>
        <w:rPr>
          <w:rFonts w:cs="Arial" w:hint="cs"/>
          <w:rtl/>
        </w:rPr>
        <w:t>שצריך</w:t>
      </w:r>
      <w:r>
        <w:rPr>
          <w:rFonts w:cs="Arial"/>
          <w:rtl/>
        </w:rPr>
        <w:t xml:space="preserve"> </w:t>
      </w:r>
      <w:r>
        <w:rPr>
          <w:rFonts w:cs="Arial" w:hint="cs"/>
          <w:rtl/>
        </w:rPr>
        <w:t>להזכיר</w:t>
      </w:r>
      <w:r>
        <w:rPr>
          <w:rFonts w:cs="Arial"/>
          <w:rtl/>
        </w:rPr>
        <w:t xml:space="preserve"> </w:t>
      </w:r>
      <w:r>
        <w:rPr>
          <w:rFonts w:cs="Arial" w:hint="cs"/>
          <w:rtl/>
        </w:rPr>
        <w:t>בגט</w:t>
      </w:r>
      <w:r>
        <w:rPr>
          <w:rFonts w:cs="Arial"/>
          <w:rtl/>
        </w:rPr>
        <w:t xml:space="preserve"> </w:t>
      </w:r>
      <w:r>
        <w:rPr>
          <w:rFonts w:cs="Arial" w:hint="cs"/>
          <w:rtl/>
        </w:rPr>
        <w:t>מקום</w:t>
      </w:r>
      <w:r>
        <w:rPr>
          <w:rFonts w:cs="Arial"/>
          <w:rtl/>
        </w:rPr>
        <w:t xml:space="preserve"> </w:t>
      </w:r>
      <w:r>
        <w:rPr>
          <w:rFonts w:cs="Arial" w:hint="cs"/>
          <w:rtl/>
        </w:rPr>
        <w:t>דירת</w:t>
      </w:r>
      <w:r>
        <w:rPr>
          <w:rFonts w:cs="Arial"/>
          <w:rtl/>
        </w:rPr>
        <w:t xml:space="preserve"> </w:t>
      </w:r>
      <w:r>
        <w:rPr>
          <w:rFonts w:cs="Arial" w:hint="cs"/>
          <w:rtl/>
        </w:rPr>
        <w:t>הבעל</w:t>
      </w:r>
      <w:r>
        <w:rPr>
          <w:rFonts w:cs="Arial"/>
          <w:rtl/>
        </w:rPr>
        <w:t xml:space="preserve"> </w:t>
      </w:r>
      <w:r>
        <w:rPr>
          <w:rFonts w:cs="Arial" w:hint="cs"/>
          <w:rtl/>
        </w:rPr>
        <w:t>ואשה</w:t>
      </w:r>
      <w:r>
        <w:rPr>
          <w:rFonts w:cs="Arial"/>
          <w:rtl/>
        </w:rPr>
        <w:t xml:space="preserve"> </w:t>
      </w:r>
      <w:r>
        <w:rPr>
          <w:rFonts w:cs="Arial" w:hint="cs"/>
          <w:rtl/>
        </w:rPr>
        <w:t>ועדים</w:t>
      </w:r>
      <w:r>
        <w:rPr>
          <w:rFonts w:cs="Arial"/>
          <w:rtl/>
        </w:rPr>
        <w:t xml:space="preserve">, </w:t>
      </w:r>
      <w:r>
        <w:rPr>
          <w:rFonts w:cs="Arial" w:hint="cs"/>
          <w:rtl/>
        </w:rPr>
        <w:t>ובו</w:t>
      </w:r>
      <w:r>
        <w:rPr>
          <w:rFonts w:cs="Arial"/>
          <w:rtl/>
        </w:rPr>
        <w:t xml:space="preserve"> </w:t>
      </w:r>
      <w:r>
        <w:rPr>
          <w:rFonts w:cs="Arial" w:hint="cs"/>
          <w:rtl/>
        </w:rPr>
        <w:t>ז</w:t>
      </w:r>
      <w:r>
        <w:rPr>
          <w:rFonts w:cs="Arial"/>
          <w:rtl/>
        </w:rPr>
        <w:t xml:space="preserve">' </w:t>
      </w:r>
      <w:r>
        <w:rPr>
          <w:rFonts w:cs="Arial" w:hint="cs"/>
          <w:rtl/>
        </w:rPr>
        <w:t>סעיפים</w:t>
      </w:r>
      <w:r>
        <w:rPr>
          <w:rFonts w:cs="Arial"/>
          <w:rtl/>
        </w:rPr>
        <w:t xml:space="preserve">. </w:t>
      </w:r>
    </w:p>
    <w:p w14:paraId="5469E3D7" w14:textId="77777777" w:rsidR="00FA2119" w:rsidRDefault="00FA2119" w:rsidP="00FA2119">
      <w:pPr>
        <w:pStyle w:val="2"/>
        <w:rPr>
          <w:rtl/>
        </w:rPr>
      </w:pPr>
      <w:r>
        <w:rPr>
          <w:rFonts w:hint="cs"/>
          <w:rtl/>
        </w:rPr>
        <w:t>סעיף</w:t>
      </w:r>
      <w:r>
        <w:rPr>
          <w:rtl/>
        </w:rPr>
        <w:t xml:space="preserve"> </w:t>
      </w:r>
      <w:r>
        <w:rPr>
          <w:rFonts w:hint="cs"/>
          <w:rtl/>
        </w:rPr>
        <w:t>א: כתיבת שם מקום הכתיבה והחתימה.</w:t>
      </w:r>
    </w:p>
    <w:p w14:paraId="7D569A8D" w14:textId="27B57307" w:rsidR="00FA2119" w:rsidRDefault="00FA2119" w:rsidP="00FA2119">
      <w:pPr>
        <w:rPr>
          <w:rFonts w:cs="Arial"/>
          <w:rtl/>
        </w:rPr>
      </w:pPr>
      <w:r w:rsidRPr="00837E79">
        <w:rPr>
          <w:rFonts w:hint="cs"/>
          <w:b/>
          <w:bCs/>
          <w:rtl/>
        </w:rPr>
        <w:t xml:space="preserve">גיטין </w:t>
      </w:r>
      <w:r w:rsidRPr="00837E79">
        <w:rPr>
          <w:rFonts w:hint="cs"/>
          <w:b/>
          <w:bCs/>
          <w:sz w:val="16"/>
          <w:szCs w:val="16"/>
          <w:rtl/>
        </w:rPr>
        <w:t>(</w:t>
      </w:r>
      <w:r>
        <w:rPr>
          <w:rFonts w:hint="cs"/>
          <w:b/>
          <w:bCs/>
          <w:sz w:val="16"/>
          <w:szCs w:val="16"/>
          <w:rtl/>
        </w:rPr>
        <w:t>ס"</w:t>
      </w:r>
      <w:r w:rsidRPr="00837E79">
        <w:rPr>
          <w:rFonts w:hint="cs"/>
          <w:b/>
          <w:bCs/>
          <w:sz w:val="16"/>
          <w:szCs w:val="16"/>
          <w:rtl/>
        </w:rPr>
        <w:t>פ</w:t>
      </w:r>
      <w:r>
        <w:rPr>
          <w:rFonts w:hint="cs"/>
          <w:b/>
          <w:bCs/>
          <w:sz w:val="16"/>
          <w:szCs w:val="16"/>
          <w:rtl/>
        </w:rPr>
        <w:t xml:space="preserve"> הזורק</w:t>
      </w:r>
      <w:r w:rsidRPr="00837E79">
        <w:rPr>
          <w:rFonts w:hint="cs"/>
          <w:b/>
          <w:bCs/>
          <w:sz w:val="16"/>
          <w:szCs w:val="16"/>
          <w:rtl/>
        </w:rPr>
        <w:t xml:space="preserve">) </w:t>
      </w:r>
      <w:r>
        <w:rPr>
          <w:rFonts w:hint="cs"/>
          <w:b/>
          <w:bCs/>
          <w:rtl/>
        </w:rPr>
        <w:t>עט</w:t>
      </w:r>
      <w:r w:rsidRPr="00837E79">
        <w:rPr>
          <w:rFonts w:hint="cs"/>
          <w:b/>
          <w:bCs/>
          <w:rtl/>
        </w:rPr>
        <w:t xml:space="preserve"> ע"</w:t>
      </w:r>
      <w:r>
        <w:rPr>
          <w:rFonts w:hint="cs"/>
          <w:b/>
          <w:bCs/>
          <w:rtl/>
        </w:rPr>
        <w:t>ב</w:t>
      </w:r>
      <w:r w:rsidRPr="00837E79">
        <w:rPr>
          <w:rFonts w:hint="cs"/>
          <w:b/>
          <w:bCs/>
          <w:rtl/>
        </w:rPr>
        <w:t>:</w:t>
      </w:r>
      <w:r>
        <w:rPr>
          <w:rFonts w:cs="Arial" w:hint="cs"/>
          <w:rtl/>
        </w:rPr>
        <w:t xml:space="preserve"> </w:t>
      </w:r>
      <w:r w:rsidRPr="009132FC">
        <w:rPr>
          <w:rFonts w:cs="Arial"/>
          <w:u w:val="double"/>
          <w:rtl/>
        </w:rPr>
        <w:t>מתני'</w:t>
      </w:r>
      <w:r>
        <w:rPr>
          <w:rFonts w:cs="Arial" w:hint="cs"/>
          <w:rtl/>
        </w:rPr>
        <w:t>:...</w:t>
      </w:r>
      <w:r w:rsidRPr="009132FC">
        <w:rPr>
          <w:rFonts w:cs="Arial"/>
          <w:rtl/>
        </w:rPr>
        <w:t xml:space="preserve"> היה במזרח וכתב במערב, במערב וכתב במזרח </w:t>
      </w:r>
      <w:r w:rsidR="00A82951">
        <w:rPr>
          <w:rFonts w:cs="Arial"/>
          <w:rtl/>
        </w:rPr>
        <w:t>-</w:t>
      </w:r>
      <w:r w:rsidRPr="009132FC">
        <w:rPr>
          <w:rFonts w:cs="Arial"/>
          <w:rtl/>
        </w:rPr>
        <w:t xml:space="preserve"> תצא מזה ומזה, וצריכה גט מזה ומזה</w:t>
      </w:r>
      <w:r>
        <w:rPr>
          <w:rFonts w:cs="Arial" w:hint="cs"/>
          <w:rtl/>
        </w:rPr>
        <w:t>,</w:t>
      </w:r>
      <w:r w:rsidRPr="009132FC">
        <w:rPr>
          <w:rFonts w:cs="Arial"/>
          <w:rtl/>
        </w:rPr>
        <w:t xml:space="preserve"> ואין לה לא כתובה ולא פירות ולא מזונות ולא בלאות לא על זה ולא על זה, אם נטלה מזה ומזה תחזיר</w:t>
      </w:r>
      <w:r>
        <w:rPr>
          <w:rFonts w:cs="Arial" w:hint="cs"/>
          <w:rtl/>
        </w:rPr>
        <w:t>,</w:t>
      </w:r>
      <w:r w:rsidRPr="009132FC">
        <w:rPr>
          <w:rFonts w:cs="Arial"/>
          <w:rtl/>
        </w:rPr>
        <w:t xml:space="preserve"> והולד ממזר מזה ומזה</w:t>
      </w:r>
      <w:r>
        <w:rPr>
          <w:rFonts w:cs="Arial" w:hint="cs"/>
          <w:rtl/>
        </w:rPr>
        <w:t xml:space="preserve"> </w:t>
      </w:r>
      <w:r w:rsidRPr="00DD6AAC">
        <w:rPr>
          <w:rFonts w:cs="Arial"/>
          <w:rtl/>
        </w:rPr>
        <w:t xml:space="preserve">ולא זה וזה מטמאין לה, ולא זה וזה זכאין לא במציאתה ולא במעשה ידיה ולא בהפרת נדריה; היתה בת ישראל </w:t>
      </w:r>
      <w:r w:rsidR="00A82951">
        <w:rPr>
          <w:rFonts w:cs="Arial"/>
          <w:rtl/>
        </w:rPr>
        <w:t>-</w:t>
      </w:r>
      <w:r w:rsidRPr="00DD6AAC">
        <w:rPr>
          <w:rFonts w:cs="Arial"/>
          <w:rtl/>
        </w:rPr>
        <w:t xml:space="preserve"> נפסלת מן הכהונה</w:t>
      </w:r>
      <w:r>
        <w:rPr>
          <w:rFonts w:cs="Arial" w:hint="cs"/>
          <w:rtl/>
        </w:rPr>
        <w:t>,</w:t>
      </w:r>
      <w:r>
        <w:rPr>
          <w:rFonts w:hint="cs"/>
          <w:sz w:val="14"/>
          <w:szCs w:val="14"/>
          <w:rtl/>
        </w:rPr>
        <w:t xml:space="preserve"> </w:t>
      </w:r>
      <w:r w:rsidRPr="00DD6AAC">
        <w:rPr>
          <w:rFonts w:hint="cs"/>
          <w:sz w:val="14"/>
          <w:szCs w:val="14"/>
          <w:rtl/>
        </w:rPr>
        <w:t>(</w:t>
      </w:r>
      <w:r>
        <w:rPr>
          <w:rFonts w:hint="cs"/>
          <w:sz w:val="14"/>
          <w:szCs w:val="14"/>
          <w:rtl/>
        </w:rPr>
        <w:t>פ.</w:t>
      </w:r>
      <w:r w:rsidRPr="00DD6AAC">
        <w:rPr>
          <w:rFonts w:hint="cs"/>
          <w:sz w:val="14"/>
          <w:szCs w:val="14"/>
          <w:rtl/>
        </w:rPr>
        <w:t>)</w:t>
      </w:r>
      <w:r>
        <w:rPr>
          <w:rFonts w:hint="cs"/>
          <w:sz w:val="16"/>
          <w:szCs w:val="16"/>
          <w:rtl/>
        </w:rPr>
        <w:t xml:space="preserve"> </w:t>
      </w:r>
      <w:r w:rsidRPr="00DD6AAC">
        <w:rPr>
          <w:rFonts w:cs="Arial"/>
          <w:rtl/>
        </w:rPr>
        <w:t xml:space="preserve">בת לוי </w:t>
      </w:r>
      <w:r w:rsidR="00A82951">
        <w:rPr>
          <w:rFonts w:cs="Arial"/>
          <w:rtl/>
        </w:rPr>
        <w:t>-</w:t>
      </w:r>
      <w:r w:rsidRPr="00DD6AAC">
        <w:rPr>
          <w:rFonts w:cs="Arial"/>
          <w:rtl/>
        </w:rPr>
        <w:t xml:space="preserve"> מן המעשר, בת כהן </w:t>
      </w:r>
      <w:r w:rsidR="00A82951">
        <w:rPr>
          <w:rFonts w:cs="Arial"/>
          <w:rtl/>
        </w:rPr>
        <w:t>-</w:t>
      </w:r>
      <w:r w:rsidRPr="00DD6AAC">
        <w:rPr>
          <w:rFonts w:cs="Arial"/>
          <w:rtl/>
        </w:rPr>
        <w:t xml:space="preserve"> מן התרומה; ואין יורשין של זה ויורשין של זה יורשים כתובתה; ואם מתו </w:t>
      </w:r>
      <w:r w:rsidR="00A82951">
        <w:rPr>
          <w:rFonts w:cs="Arial"/>
          <w:rtl/>
        </w:rPr>
        <w:t>-</w:t>
      </w:r>
      <w:r w:rsidRPr="00DD6AAC">
        <w:rPr>
          <w:rFonts w:cs="Arial"/>
          <w:rtl/>
        </w:rPr>
        <w:t xml:space="preserve"> אחיו של זה ואחיו של זה חולצין ולא מייבמין</w:t>
      </w:r>
      <w:r>
        <w:rPr>
          <w:rFonts w:cs="Arial" w:hint="cs"/>
          <w:rtl/>
        </w:rPr>
        <w:t>.</w:t>
      </w:r>
      <w:r>
        <w:rPr>
          <w:rFonts w:cs="Arial"/>
          <w:rtl/>
        </w:rPr>
        <w:t xml:space="preserve"> </w:t>
      </w:r>
      <w:r>
        <w:rPr>
          <w:rFonts w:hint="cs"/>
          <w:rtl/>
        </w:rPr>
        <w:t xml:space="preserve">       </w:t>
      </w:r>
      <w:r w:rsidRPr="0009276E">
        <w:rPr>
          <w:rFonts w:cs="Arial"/>
          <w:u w:val="double"/>
          <w:rtl/>
        </w:rPr>
        <w:t>גמ'</w:t>
      </w:r>
      <w:r w:rsidRPr="0009276E">
        <w:rPr>
          <w:rFonts w:cs="Arial" w:hint="cs"/>
          <w:u w:val="double"/>
          <w:rtl/>
        </w:rPr>
        <w:t>:</w:t>
      </w:r>
      <w:r>
        <w:rPr>
          <w:rFonts w:cs="Arial"/>
          <w:rtl/>
        </w:rPr>
        <w:t xml:space="preserve"> </w:t>
      </w:r>
      <w:r w:rsidRPr="00DD6AAC">
        <w:rPr>
          <w:rFonts w:cs="Arial"/>
          <w:rtl/>
        </w:rPr>
        <w:t>היה במזרח וכתב במערב. מאן? אילימא בעל, היינו שינה שמו ושמה, שם עירו ושם עירה! אלא לאו סופר</w:t>
      </w:r>
      <w:r>
        <w:rPr>
          <w:rFonts w:cs="Arial" w:hint="cs"/>
          <w:rtl/>
        </w:rPr>
        <w:t>.</w:t>
      </w:r>
      <w:r w:rsidRPr="00DD6AAC">
        <w:rPr>
          <w:rFonts w:cs="Arial"/>
          <w:rtl/>
        </w:rPr>
        <w:t xml:space="preserve"> </w:t>
      </w:r>
      <w:r w:rsidRPr="00037E45">
        <w:rPr>
          <w:rFonts w:cs="Arial"/>
          <w:u w:val="single"/>
          <w:rtl/>
        </w:rPr>
        <w:t>כדאמר להו רב לספריה, וכן אמר להו רב הונא לספריה</w:t>
      </w:r>
      <w:r w:rsidRPr="00DD6AAC">
        <w:rPr>
          <w:rFonts w:cs="Arial"/>
          <w:rtl/>
        </w:rPr>
        <w:t>: כי יתביתו בשילי כתובו בשילי, ואף על גב דמימסרן לכו מילי בהיני, וכי יתביתו בהיני כתובו בהיני, ואף על גב דמימסרן לכו מילי בשילי.</w:t>
      </w:r>
      <w:r>
        <w:rPr>
          <w:rFonts w:cs="Arial"/>
          <w:rtl/>
        </w:rPr>
        <w:t xml:space="preserve"> </w:t>
      </w:r>
      <w:r w:rsidRPr="007E6332">
        <w:rPr>
          <w:rFonts w:cs="Arial"/>
          <w:u w:val="single"/>
          <w:rtl/>
        </w:rPr>
        <w:t>אמר רב יהודה אמר שמואל</w:t>
      </w:r>
      <w:r w:rsidRPr="007E6332">
        <w:rPr>
          <w:rFonts w:cs="Arial"/>
          <w:rtl/>
        </w:rPr>
        <w:t>:</w:t>
      </w:r>
      <w:r w:rsidRPr="007E6332">
        <w:rPr>
          <w:rtl/>
        </w:rPr>
        <w:t xml:space="preserve"> </w:t>
      </w:r>
      <w:r w:rsidRPr="007E6332">
        <w:rPr>
          <w:rFonts w:cs="Arial"/>
          <w:rtl/>
        </w:rPr>
        <w:t xml:space="preserve">זו דברי ר"מ, אבל חכמים אומרים: </w:t>
      </w:r>
      <w:r w:rsidRPr="00EF013D">
        <w:rPr>
          <w:rFonts w:cs="Arial"/>
          <w:rtl/>
        </w:rPr>
        <w:t>אפילו לא כתב אלא לשם סנטר</w:t>
      </w:r>
      <w:r w:rsidRPr="00EF013D">
        <w:rPr>
          <w:rStyle w:val="a7"/>
          <w:rFonts w:cs="Arial"/>
          <w:rtl/>
        </w:rPr>
        <w:footnoteReference w:id="938"/>
      </w:r>
      <w:r w:rsidRPr="00EF013D">
        <w:rPr>
          <w:rFonts w:cs="Arial"/>
          <w:rtl/>
        </w:rPr>
        <w:t xml:space="preserve"> שבעיר </w:t>
      </w:r>
      <w:r w:rsidR="00A82951">
        <w:rPr>
          <w:rFonts w:cs="Arial"/>
          <w:rtl/>
        </w:rPr>
        <w:t>-</w:t>
      </w:r>
      <w:r w:rsidRPr="00EF013D">
        <w:rPr>
          <w:rFonts w:cs="Arial"/>
          <w:rtl/>
        </w:rPr>
        <w:t xml:space="preserve"> הרי זו מגורשת</w:t>
      </w:r>
      <w:r>
        <w:rPr>
          <w:rFonts w:cs="Arial" w:hint="cs"/>
          <w:rtl/>
        </w:rPr>
        <w:t>.</w:t>
      </w:r>
      <w:r w:rsidRPr="00EF013D">
        <w:rPr>
          <w:rFonts w:cs="Arial"/>
          <w:rtl/>
        </w:rPr>
        <w:t>..</w:t>
      </w:r>
      <w:r>
        <w:rPr>
          <w:rFonts w:cs="Arial" w:hint="cs"/>
          <w:rtl/>
        </w:rPr>
        <w:t xml:space="preserve"> </w:t>
      </w:r>
      <w:r w:rsidRPr="007E6332">
        <w:rPr>
          <w:rFonts w:cs="Arial"/>
          <w:u w:val="single"/>
          <w:rtl/>
        </w:rPr>
        <w:t>אמר ר' אבא אמר רב הונא אמר רב</w:t>
      </w:r>
      <w:r w:rsidRPr="007E6332">
        <w:rPr>
          <w:rFonts w:cs="Arial"/>
          <w:rtl/>
        </w:rPr>
        <w:t>: זו דברי ר"מ, אבל חכמים אומרים: הולד כשר</w:t>
      </w:r>
      <w:r>
        <w:rPr>
          <w:rStyle w:val="a7"/>
          <w:rFonts w:cs="Arial"/>
          <w:rtl/>
        </w:rPr>
        <w:footnoteReference w:id="939"/>
      </w:r>
      <w:r w:rsidRPr="007E6332">
        <w:rPr>
          <w:rFonts w:cs="Arial"/>
          <w:rtl/>
        </w:rPr>
        <w:t xml:space="preserve">; ומודים חכמים לר"מ, שאם שינה שמו ושמה, שם עירו ושם עירה </w:t>
      </w:r>
      <w:r w:rsidR="00A82951">
        <w:rPr>
          <w:rFonts w:cs="Arial"/>
          <w:rtl/>
        </w:rPr>
        <w:t>-</w:t>
      </w:r>
      <w:r w:rsidRPr="007E6332">
        <w:rPr>
          <w:rFonts w:cs="Arial"/>
          <w:rtl/>
        </w:rPr>
        <w:t xml:space="preserve"> שהולד ממזר</w:t>
      </w:r>
      <w:r>
        <w:rPr>
          <w:rFonts w:cs="Arial" w:hint="cs"/>
          <w:rtl/>
        </w:rPr>
        <w:t>.</w:t>
      </w:r>
    </w:p>
    <w:p w14:paraId="7E73FF31" w14:textId="77777777" w:rsidR="00FA2119" w:rsidRPr="00B2475D" w:rsidRDefault="00FA2119" w:rsidP="00FA2119">
      <w:pPr>
        <w:rPr>
          <w:u w:val="single"/>
          <w:rtl/>
        </w:rPr>
      </w:pPr>
      <w:r>
        <w:rPr>
          <w:rFonts w:hint="cs"/>
          <w:u w:val="single"/>
          <w:rtl/>
        </w:rPr>
        <w:t xml:space="preserve">האם צריך להזכיר את שם </w:t>
      </w:r>
      <w:r w:rsidRPr="00B2475D">
        <w:rPr>
          <w:rFonts w:hint="cs"/>
          <w:u w:val="single"/>
          <w:rtl/>
        </w:rPr>
        <w:t xml:space="preserve">מקום הכתיבה </w:t>
      </w:r>
      <w:r>
        <w:rPr>
          <w:rFonts w:hint="cs"/>
          <w:sz w:val="16"/>
          <w:szCs w:val="16"/>
          <w:u w:val="single"/>
          <w:rtl/>
        </w:rPr>
        <w:t xml:space="preserve">(הסופר) </w:t>
      </w:r>
      <w:r>
        <w:rPr>
          <w:rFonts w:hint="cs"/>
          <w:u w:val="single"/>
          <w:rtl/>
        </w:rPr>
        <w:t xml:space="preserve">או </w:t>
      </w:r>
      <w:r w:rsidRPr="00B2475D">
        <w:rPr>
          <w:rFonts w:hint="cs"/>
          <w:u w:val="single"/>
          <w:rtl/>
        </w:rPr>
        <w:t>החתימה</w:t>
      </w:r>
      <w:r>
        <w:rPr>
          <w:rFonts w:hint="cs"/>
          <w:sz w:val="16"/>
          <w:szCs w:val="16"/>
          <w:u w:val="single"/>
          <w:rtl/>
        </w:rPr>
        <w:t xml:space="preserve"> (העדים)</w:t>
      </w:r>
      <w:r w:rsidRPr="00B2475D">
        <w:rPr>
          <w:rFonts w:hint="cs"/>
          <w:u w:val="single"/>
          <w:rtl/>
        </w:rPr>
        <w:t>:</w:t>
      </w:r>
    </w:p>
    <w:p w14:paraId="4311F143" w14:textId="7CB66637" w:rsidR="00FA2119" w:rsidRPr="00172F75" w:rsidRDefault="00FA2119" w:rsidP="00FA2119">
      <w:pPr>
        <w:pStyle w:val="ab"/>
        <w:numPr>
          <w:ilvl w:val="0"/>
          <w:numId w:val="61"/>
        </w:numPr>
      </w:pPr>
      <w:r>
        <w:rPr>
          <w:rFonts w:cs="Arial" w:hint="cs"/>
          <w:rtl/>
        </w:rPr>
        <w:t>רמב</w:t>
      </w:r>
      <w:r>
        <w:rPr>
          <w:rFonts w:cs="Arial"/>
          <w:rtl/>
        </w:rPr>
        <w:t>"</w:t>
      </w:r>
      <w:r>
        <w:rPr>
          <w:rFonts w:cs="Arial" w:hint="cs"/>
          <w:rtl/>
        </w:rPr>
        <w:t>ם</w:t>
      </w:r>
      <w:r>
        <w:rPr>
          <w:rStyle w:val="a7"/>
          <w:rFonts w:cs="Arial"/>
          <w:rtl/>
        </w:rPr>
        <w:footnoteReference w:id="940"/>
      </w:r>
      <w:r>
        <w:rPr>
          <w:rFonts w:cs="Arial"/>
          <w:rtl/>
        </w:rPr>
        <w:t xml:space="preserve"> </w:t>
      </w:r>
      <w:r w:rsidRPr="00E562BA">
        <w:rPr>
          <w:rFonts w:cs="Arial"/>
          <w:sz w:val="16"/>
          <w:szCs w:val="16"/>
          <w:rtl/>
        </w:rPr>
        <w:t>(</w:t>
      </w:r>
      <w:r w:rsidRPr="00E562BA">
        <w:rPr>
          <w:rFonts w:cs="Arial" w:hint="cs"/>
          <w:sz w:val="16"/>
          <w:szCs w:val="16"/>
          <w:rtl/>
        </w:rPr>
        <w:t>פ"א הכ</w:t>
      </w:r>
      <w:r w:rsidRPr="00E562BA">
        <w:rPr>
          <w:rFonts w:cs="Arial"/>
          <w:sz w:val="16"/>
          <w:szCs w:val="16"/>
          <w:rtl/>
        </w:rPr>
        <w:t>"</w:t>
      </w:r>
      <w:r w:rsidRPr="00E562BA">
        <w:rPr>
          <w:rFonts w:cs="Arial" w:hint="cs"/>
          <w:sz w:val="16"/>
          <w:szCs w:val="16"/>
          <w:rtl/>
        </w:rPr>
        <w:t>ה, כ"כ הב"י בשמו</w:t>
      </w:r>
      <w:r w:rsidRPr="00E562BA">
        <w:rPr>
          <w:rFonts w:cs="Arial"/>
          <w:sz w:val="16"/>
          <w:szCs w:val="16"/>
          <w:rtl/>
        </w:rPr>
        <w:t>)</w:t>
      </w:r>
      <w:r>
        <w:rPr>
          <w:rFonts w:hint="cs"/>
          <w:rtl/>
        </w:rPr>
        <w:t xml:space="preserve"> רא"ש</w:t>
      </w:r>
      <w:r>
        <w:rPr>
          <w:rStyle w:val="a7"/>
          <w:rtl/>
        </w:rPr>
        <w:footnoteReference w:id="941"/>
      </w:r>
      <w:r>
        <w:rPr>
          <w:rFonts w:hint="cs"/>
          <w:sz w:val="16"/>
          <w:szCs w:val="16"/>
          <w:rtl/>
        </w:rPr>
        <w:t xml:space="preserve"> (פ"ח סי' ט)</w:t>
      </w:r>
      <w:r>
        <w:rPr>
          <w:rFonts w:hint="cs"/>
          <w:rtl/>
        </w:rPr>
        <w:t xml:space="preserve"> וטור</w:t>
      </w:r>
      <w:r w:rsidR="00A82951">
        <w:rPr>
          <w:rFonts w:hint="cs"/>
          <w:rtl/>
        </w:rPr>
        <w:t>-</w:t>
      </w:r>
      <w:r>
        <w:rPr>
          <w:rFonts w:hint="cs"/>
          <w:rtl/>
        </w:rPr>
        <w:t xml:space="preserve"> </w:t>
      </w:r>
      <w:r w:rsidRPr="003C7C89">
        <w:rPr>
          <w:rFonts w:cs="Arial" w:hint="cs"/>
          <w:rtl/>
        </w:rPr>
        <w:t>צריך</w:t>
      </w:r>
      <w:r w:rsidRPr="003C7C89">
        <w:rPr>
          <w:rFonts w:cs="Arial"/>
          <w:rtl/>
        </w:rPr>
        <w:t xml:space="preserve"> </w:t>
      </w:r>
      <w:r w:rsidRPr="003C7C89">
        <w:rPr>
          <w:rFonts w:cs="Arial" w:hint="cs"/>
          <w:rtl/>
        </w:rPr>
        <w:t>להזכיר</w:t>
      </w:r>
      <w:r w:rsidRPr="003C7C89">
        <w:rPr>
          <w:rFonts w:cs="Arial"/>
          <w:rtl/>
        </w:rPr>
        <w:t xml:space="preserve"> </w:t>
      </w:r>
      <w:r w:rsidRPr="003C7C89">
        <w:rPr>
          <w:rFonts w:cs="Arial" w:hint="cs"/>
          <w:rtl/>
        </w:rPr>
        <w:t>בגט</w:t>
      </w:r>
      <w:r w:rsidRPr="003C7C89">
        <w:rPr>
          <w:rFonts w:cs="Arial"/>
          <w:rtl/>
        </w:rPr>
        <w:t xml:space="preserve"> </w:t>
      </w:r>
      <w:r w:rsidRPr="003C7C89">
        <w:rPr>
          <w:rFonts w:cs="Arial" w:hint="cs"/>
          <w:rtl/>
        </w:rPr>
        <w:t>שם</w:t>
      </w:r>
      <w:r w:rsidRPr="003C7C89">
        <w:rPr>
          <w:rFonts w:cs="Arial"/>
          <w:rtl/>
        </w:rPr>
        <w:t xml:space="preserve"> </w:t>
      </w:r>
      <w:r w:rsidRPr="003C7C89">
        <w:rPr>
          <w:rFonts w:cs="Arial" w:hint="cs"/>
          <w:rtl/>
        </w:rPr>
        <w:t>המקום</w:t>
      </w:r>
      <w:r w:rsidRPr="003C7C89">
        <w:rPr>
          <w:rFonts w:cs="Arial"/>
          <w:rtl/>
        </w:rPr>
        <w:t xml:space="preserve"> </w:t>
      </w:r>
      <w:r w:rsidRPr="003C7C89">
        <w:rPr>
          <w:rFonts w:cs="Arial" w:hint="cs"/>
          <w:rtl/>
        </w:rPr>
        <w:t>שהעדים</w:t>
      </w:r>
      <w:r w:rsidRPr="003C7C89">
        <w:rPr>
          <w:rFonts w:cs="Arial"/>
          <w:rtl/>
        </w:rPr>
        <w:t xml:space="preserve"> </w:t>
      </w:r>
      <w:r w:rsidRPr="003C7C89">
        <w:rPr>
          <w:rFonts w:cs="Arial" w:hint="cs"/>
          <w:rtl/>
        </w:rPr>
        <w:t>עומדים</w:t>
      </w:r>
      <w:r w:rsidRPr="003C7C89">
        <w:rPr>
          <w:rFonts w:cs="Arial"/>
          <w:rtl/>
        </w:rPr>
        <w:t xml:space="preserve"> </w:t>
      </w:r>
      <w:r w:rsidRPr="003C7C89">
        <w:rPr>
          <w:rFonts w:cs="Arial" w:hint="cs"/>
          <w:rtl/>
        </w:rPr>
        <w:t>שם</w:t>
      </w:r>
      <w:r w:rsidRPr="003C7C89">
        <w:rPr>
          <w:rFonts w:cs="Arial"/>
          <w:rtl/>
        </w:rPr>
        <w:t xml:space="preserve"> </w:t>
      </w:r>
      <w:r w:rsidRPr="003C7C89">
        <w:rPr>
          <w:rFonts w:cs="Arial" w:hint="cs"/>
          <w:rtl/>
        </w:rPr>
        <w:t>בשעת</w:t>
      </w:r>
      <w:r w:rsidRPr="003C7C89">
        <w:rPr>
          <w:rFonts w:cs="Arial"/>
          <w:rtl/>
        </w:rPr>
        <w:t xml:space="preserve"> </w:t>
      </w:r>
      <w:r w:rsidRPr="003C7C89">
        <w:rPr>
          <w:rFonts w:cs="Arial" w:hint="cs"/>
          <w:rtl/>
        </w:rPr>
        <w:t>חתימה</w:t>
      </w:r>
      <w:r>
        <w:rPr>
          <w:rFonts w:cs="Arial" w:hint="cs"/>
          <w:rtl/>
        </w:rPr>
        <w:t>...</w:t>
      </w:r>
      <w:r w:rsidRPr="003C7C89">
        <w:rPr>
          <w:rFonts w:cs="Arial"/>
          <w:rtl/>
        </w:rPr>
        <w:t xml:space="preserve"> </w:t>
      </w:r>
      <w:r w:rsidRPr="003C7C89">
        <w:rPr>
          <w:rFonts w:cs="Arial" w:hint="cs"/>
          <w:rtl/>
        </w:rPr>
        <w:t>אבל</w:t>
      </w:r>
      <w:r w:rsidRPr="003C7C89">
        <w:rPr>
          <w:rFonts w:cs="Arial"/>
          <w:rtl/>
        </w:rPr>
        <w:t xml:space="preserve"> </w:t>
      </w:r>
      <w:r w:rsidRPr="003C7C89">
        <w:rPr>
          <w:rFonts w:cs="Arial" w:hint="cs"/>
          <w:rtl/>
        </w:rPr>
        <w:t>על</w:t>
      </w:r>
      <w:r w:rsidRPr="003C7C89">
        <w:rPr>
          <w:rFonts w:cs="Arial"/>
          <w:rtl/>
        </w:rPr>
        <w:t xml:space="preserve"> </w:t>
      </w:r>
      <w:r w:rsidRPr="003C7C89">
        <w:rPr>
          <w:rFonts w:cs="Arial" w:hint="cs"/>
          <w:rtl/>
        </w:rPr>
        <w:t>מקום</w:t>
      </w:r>
      <w:r w:rsidRPr="003C7C89">
        <w:rPr>
          <w:rFonts w:cs="Arial"/>
          <w:rtl/>
        </w:rPr>
        <w:t xml:space="preserve"> </w:t>
      </w:r>
      <w:r w:rsidRPr="003C7C89">
        <w:rPr>
          <w:rFonts w:cs="Arial" w:hint="cs"/>
          <w:rtl/>
        </w:rPr>
        <w:t>עמידת</w:t>
      </w:r>
      <w:r w:rsidRPr="003C7C89">
        <w:rPr>
          <w:rFonts w:cs="Arial"/>
          <w:rtl/>
        </w:rPr>
        <w:t xml:space="preserve"> </w:t>
      </w:r>
      <w:r w:rsidRPr="003C7C89">
        <w:rPr>
          <w:rFonts w:cs="Arial" w:hint="cs"/>
          <w:rtl/>
        </w:rPr>
        <w:t>הסופר</w:t>
      </w:r>
      <w:r w:rsidRPr="003C7C89">
        <w:rPr>
          <w:rFonts w:cs="Arial"/>
          <w:rtl/>
        </w:rPr>
        <w:t xml:space="preserve"> </w:t>
      </w:r>
      <w:r w:rsidRPr="003C7C89">
        <w:rPr>
          <w:rFonts w:cs="Arial" w:hint="cs"/>
          <w:rtl/>
        </w:rPr>
        <w:t>בשעת</w:t>
      </w:r>
      <w:r w:rsidRPr="003C7C89">
        <w:rPr>
          <w:rFonts w:cs="Arial"/>
          <w:rtl/>
        </w:rPr>
        <w:t xml:space="preserve"> </w:t>
      </w:r>
      <w:r w:rsidRPr="003C7C89">
        <w:rPr>
          <w:rFonts w:cs="Arial" w:hint="cs"/>
          <w:rtl/>
        </w:rPr>
        <w:t>כתיבה</w:t>
      </w:r>
      <w:r w:rsidRPr="003C7C89">
        <w:rPr>
          <w:rFonts w:cs="Arial"/>
          <w:rtl/>
        </w:rPr>
        <w:t xml:space="preserve"> </w:t>
      </w:r>
      <w:r w:rsidRPr="003C7C89">
        <w:rPr>
          <w:rFonts w:cs="Arial" w:hint="cs"/>
          <w:rtl/>
        </w:rPr>
        <w:t>אין</w:t>
      </w:r>
      <w:r w:rsidRPr="003C7C89">
        <w:rPr>
          <w:rFonts w:cs="Arial"/>
          <w:rtl/>
        </w:rPr>
        <w:t xml:space="preserve"> </w:t>
      </w:r>
      <w:r w:rsidRPr="003C7C89">
        <w:rPr>
          <w:rFonts w:cs="Arial" w:hint="cs"/>
          <w:rtl/>
        </w:rPr>
        <w:t>לחוש</w:t>
      </w:r>
      <w:r>
        <w:rPr>
          <w:rFonts w:cs="Arial" w:hint="cs"/>
          <w:rtl/>
        </w:rPr>
        <w:t>.</w:t>
      </w:r>
      <w:r w:rsidRPr="003C7C89">
        <w:rPr>
          <w:rFonts w:cs="Arial"/>
          <w:rtl/>
        </w:rPr>
        <w:t xml:space="preserve"> </w:t>
      </w:r>
      <w:r w:rsidRPr="003C7C89">
        <w:rPr>
          <w:rFonts w:cs="Arial" w:hint="cs"/>
          <w:rtl/>
        </w:rPr>
        <w:t>לפיכך</w:t>
      </w:r>
      <w:r w:rsidRPr="003C7C89">
        <w:rPr>
          <w:rFonts w:cs="Arial"/>
          <w:rtl/>
        </w:rPr>
        <w:t xml:space="preserve"> </w:t>
      </w:r>
      <w:r w:rsidRPr="003C7C89">
        <w:rPr>
          <w:rFonts w:cs="Arial" w:hint="cs"/>
          <w:rtl/>
        </w:rPr>
        <w:t>אם</w:t>
      </w:r>
      <w:r w:rsidRPr="003C7C89">
        <w:rPr>
          <w:rFonts w:cs="Arial"/>
          <w:rtl/>
        </w:rPr>
        <w:t xml:space="preserve"> </w:t>
      </w:r>
      <w:r w:rsidRPr="003C7C89">
        <w:rPr>
          <w:rFonts w:cs="Arial" w:hint="cs"/>
          <w:rtl/>
        </w:rPr>
        <w:t>נכתב</w:t>
      </w:r>
      <w:r w:rsidRPr="003C7C89">
        <w:rPr>
          <w:rFonts w:cs="Arial"/>
          <w:rtl/>
        </w:rPr>
        <w:t xml:space="preserve"> </w:t>
      </w:r>
      <w:r w:rsidRPr="003C7C89">
        <w:rPr>
          <w:rFonts w:cs="Arial" w:hint="cs"/>
          <w:rtl/>
        </w:rPr>
        <w:t>במקום</w:t>
      </w:r>
      <w:r w:rsidRPr="003C7C89">
        <w:rPr>
          <w:rFonts w:cs="Arial"/>
          <w:rtl/>
        </w:rPr>
        <w:t xml:space="preserve"> </w:t>
      </w:r>
      <w:r w:rsidRPr="003C7C89">
        <w:rPr>
          <w:rFonts w:cs="Arial" w:hint="cs"/>
          <w:rtl/>
        </w:rPr>
        <w:t>אחד</w:t>
      </w:r>
      <w:r w:rsidRPr="003C7C89">
        <w:rPr>
          <w:rFonts w:cs="Arial"/>
          <w:rtl/>
        </w:rPr>
        <w:t xml:space="preserve"> </w:t>
      </w:r>
      <w:r w:rsidRPr="003C7C89">
        <w:rPr>
          <w:rFonts w:cs="Arial" w:hint="cs"/>
          <w:rtl/>
        </w:rPr>
        <w:t>ונחתם</w:t>
      </w:r>
      <w:r w:rsidRPr="003C7C89">
        <w:rPr>
          <w:rFonts w:cs="Arial"/>
          <w:rtl/>
        </w:rPr>
        <w:t xml:space="preserve"> </w:t>
      </w:r>
      <w:r w:rsidRPr="003C7C89">
        <w:rPr>
          <w:rFonts w:cs="Arial" w:hint="cs"/>
          <w:rtl/>
        </w:rPr>
        <w:t>במקום</w:t>
      </w:r>
      <w:r w:rsidRPr="003C7C89">
        <w:rPr>
          <w:rFonts w:cs="Arial"/>
          <w:rtl/>
        </w:rPr>
        <w:t xml:space="preserve"> </w:t>
      </w:r>
      <w:r w:rsidRPr="003C7C89">
        <w:rPr>
          <w:rFonts w:cs="Arial" w:hint="cs"/>
          <w:rtl/>
        </w:rPr>
        <w:t>אחר</w:t>
      </w:r>
      <w:r w:rsidRPr="003C7C89">
        <w:rPr>
          <w:rFonts w:cs="Arial"/>
          <w:rtl/>
        </w:rPr>
        <w:t xml:space="preserve"> </w:t>
      </w:r>
      <w:r w:rsidR="00A82951">
        <w:rPr>
          <w:rFonts w:cs="Arial" w:hint="cs"/>
          <w:rtl/>
        </w:rPr>
        <w:t>-</w:t>
      </w:r>
      <w:r>
        <w:rPr>
          <w:rFonts w:cs="Arial" w:hint="cs"/>
          <w:rtl/>
        </w:rPr>
        <w:t xml:space="preserve"> </w:t>
      </w:r>
      <w:r w:rsidRPr="003C7C89">
        <w:rPr>
          <w:rFonts w:cs="Arial" w:hint="cs"/>
          <w:rtl/>
        </w:rPr>
        <w:t>יזכיר</w:t>
      </w:r>
      <w:r w:rsidRPr="003C7C89">
        <w:rPr>
          <w:rFonts w:cs="Arial"/>
          <w:rtl/>
        </w:rPr>
        <w:t xml:space="preserve"> </w:t>
      </w:r>
      <w:r w:rsidRPr="003C7C89">
        <w:rPr>
          <w:rFonts w:cs="Arial" w:hint="cs"/>
          <w:rtl/>
        </w:rPr>
        <w:t>שם</w:t>
      </w:r>
      <w:r w:rsidRPr="003C7C89">
        <w:rPr>
          <w:rFonts w:cs="Arial"/>
          <w:rtl/>
        </w:rPr>
        <w:t xml:space="preserve"> </w:t>
      </w:r>
      <w:r w:rsidRPr="003C7C89">
        <w:rPr>
          <w:rFonts w:cs="Arial" w:hint="cs"/>
          <w:rtl/>
        </w:rPr>
        <w:t>המקום</w:t>
      </w:r>
      <w:r w:rsidRPr="003C7C89">
        <w:rPr>
          <w:rFonts w:cs="Arial"/>
          <w:rtl/>
        </w:rPr>
        <w:t xml:space="preserve"> </w:t>
      </w:r>
      <w:r w:rsidRPr="003C7C89">
        <w:rPr>
          <w:rFonts w:cs="Arial" w:hint="cs"/>
          <w:rtl/>
        </w:rPr>
        <w:t>שנחתם</w:t>
      </w:r>
      <w:r w:rsidRPr="003C7C89">
        <w:rPr>
          <w:rFonts w:cs="Arial"/>
          <w:rtl/>
        </w:rPr>
        <w:t xml:space="preserve"> </w:t>
      </w:r>
      <w:r w:rsidRPr="003C7C89">
        <w:rPr>
          <w:rFonts w:cs="Arial" w:hint="cs"/>
          <w:rtl/>
        </w:rPr>
        <w:t>בו</w:t>
      </w:r>
      <w:r>
        <w:rPr>
          <w:rFonts w:cs="Arial" w:hint="cs"/>
          <w:sz w:val="16"/>
          <w:szCs w:val="16"/>
          <w:rtl/>
        </w:rPr>
        <w:t xml:space="preserve"> (ל' הטור)</w:t>
      </w:r>
      <w:r>
        <w:rPr>
          <w:rFonts w:cs="Arial" w:hint="cs"/>
          <w:rtl/>
        </w:rPr>
        <w:t>.</w:t>
      </w:r>
      <w:r w:rsidRPr="00F52451">
        <w:rPr>
          <w:rFonts w:hint="cs"/>
          <w:color w:val="E36C0A" w:themeColor="accent6" w:themeShade="BF"/>
          <w:rtl/>
        </w:rPr>
        <w:t xml:space="preserve"> </w:t>
      </w:r>
      <w:r w:rsidRPr="00F52451">
        <w:rPr>
          <w:color w:val="E36C0A" w:themeColor="accent6" w:themeShade="BF"/>
          <w:rtl/>
        </w:rPr>
        <w:t>(וכ"</w:t>
      </w:r>
      <w:r>
        <w:rPr>
          <w:rFonts w:hint="cs"/>
          <w:color w:val="E36C0A" w:themeColor="accent6" w:themeShade="BF"/>
          <w:rtl/>
        </w:rPr>
        <w:t>ס</w:t>
      </w:r>
      <w:r w:rsidRPr="00F52451">
        <w:rPr>
          <w:color w:val="E36C0A" w:themeColor="accent6" w:themeShade="BF"/>
          <w:rtl/>
        </w:rPr>
        <w:t xml:space="preserve"> בשו"ע)</w:t>
      </w:r>
    </w:p>
    <w:p w14:paraId="226177ED" w14:textId="491306EB" w:rsidR="00FA2119" w:rsidRDefault="00FA2119" w:rsidP="00FA2119">
      <w:pPr>
        <w:pStyle w:val="ab"/>
        <w:numPr>
          <w:ilvl w:val="0"/>
          <w:numId w:val="61"/>
        </w:numPr>
        <w:rPr>
          <w:rFonts w:cs="Arial"/>
        </w:rPr>
      </w:pPr>
      <w:r w:rsidRPr="00CF40F8">
        <w:rPr>
          <w:rFonts w:cs="Arial" w:hint="cs"/>
          <w:rtl/>
        </w:rPr>
        <w:t xml:space="preserve">תוס' </w:t>
      </w:r>
      <w:r w:rsidRPr="00CF40F8">
        <w:rPr>
          <w:rFonts w:cs="Arial" w:hint="cs"/>
          <w:sz w:val="16"/>
          <w:szCs w:val="16"/>
          <w:rtl/>
        </w:rPr>
        <w:t>(גיטין פ. ד"ה כי)</w:t>
      </w:r>
      <w:r w:rsidRPr="00CF40F8">
        <w:rPr>
          <w:rFonts w:cs="Arial" w:hint="cs"/>
          <w:rtl/>
        </w:rPr>
        <w:t xml:space="preserve"> </w:t>
      </w:r>
      <w:r>
        <w:rPr>
          <w:rFonts w:cs="Arial" w:hint="cs"/>
          <w:rtl/>
        </w:rPr>
        <w:t>ספר ה</w:t>
      </w:r>
      <w:r w:rsidRPr="00CF40F8">
        <w:rPr>
          <w:rFonts w:cs="Arial" w:hint="cs"/>
          <w:rtl/>
        </w:rPr>
        <w:t>תרומה</w:t>
      </w:r>
      <w:r w:rsidRPr="00CF40F8">
        <w:rPr>
          <w:rFonts w:cs="Arial"/>
          <w:rtl/>
        </w:rPr>
        <w:t xml:space="preserve"> </w:t>
      </w:r>
      <w:r w:rsidRPr="00CF40F8">
        <w:rPr>
          <w:rFonts w:cs="Arial"/>
          <w:sz w:val="16"/>
          <w:szCs w:val="16"/>
          <w:rtl/>
        </w:rPr>
        <w:t>(</w:t>
      </w:r>
      <w:r w:rsidRPr="00CF40F8">
        <w:rPr>
          <w:rFonts w:cs="Arial" w:hint="cs"/>
          <w:sz w:val="16"/>
          <w:szCs w:val="16"/>
          <w:rtl/>
        </w:rPr>
        <w:t>סי</w:t>
      </w:r>
      <w:r w:rsidRPr="00CF40F8">
        <w:rPr>
          <w:rFonts w:cs="Arial"/>
          <w:sz w:val="16"/>
          <w:szCs w:val="16"/>
          <w:rtl/>
        </w:rPr>
        <w:t xml:space="preserve">' </w:t>
      </w:r>
      <w:r w:rsidRPr="00CF40F8">
        <w:rPr>
          <w:rFonts w:cs="Arial" w:hint="cs"/>
          <w:sz w:val="16"/>
          <w:szCs w:val="16"/>
          <w:rtl/>
        </w:rPr>
        <w:t>קכט</w:t>
      </w:r>
      <w:r w:rsidRPr="00CF40F8">
        <w:rPr>
          <w:rFonts w:cs="Arial"/>
          <w:sz w:val="16"/>
          <w:szCs w:val="16"/>
          <w:rtl/>
        </w:rPr>
        <w:t>)</w:t>
      </w:r>
      <w:r>
        <w:rPr>
          <w:rFonts w:cs="Arial" w:hint="cs"/>
          <w:rtl/>
        </w:rPr>
        <w:t xml:space="preserve"> ורמ"ה </w:t>
      </w:r>
      <w:r>
        <w:rPr>
          <w:rFonts w:cs="Arial" w:hint="cs"/>
          <w:sz w:val="16"/>
          <w:szCs w:val="16"/>
          <w:rtl/>
        </w:rPr>
        <w:t>(כ"כ הטור בשמו)</w:t>
      </w:r>
      <w:r w:rsidR="00A82951">
        <w:rPr>
          <w:rFonts w:cs="Arial" w:hint="cs"/>
          <w:rtl/>
        </w:rPr>
        <w:t>-</w:t>
      </w:r>
      <w:r w:rsidRPr="00CF40F8">
        <w:rPr>
          <w:rFonts w:cs="Arial" w:hint="cs"/>
          <w:rtl/>
        </w:rPr>
        <w:t xml:space="preserve"> הסופר</w:t>
      </w:r>
      <w:r w:rsidRPr="00CF40F8">
        <w:rPr>
          <w:rFonts w:cs="Arial"/>
          <w:rtl/>
        </w:rPr>
        <w:t xml:space="preserve"> </w:t>
      </w:r>
      <w:r w:rsidRPr="00CF40F8">
        <w:rPr>
          <w:rFonts w:cs="Arial" w:hint="cs"/>
          <w:rtl/>
        </w:rPr>
        <w:t>שכתב</w:t>
      </w:r>
      <w:r w:rsidRPr="00CF40F8">
        <w:rPr>
          <w:rFonts w:cs="Arial"/>
          <w:rtl/>
        </w:rPr>
        <w:t xml:space="preserve"> </w:t>
      </w:r>
      <w:r>
        <w:rPr>
          <w:rFonts w:cs="Arial" w:hint="cs"/>
          <w:rtl/>
        </w:rPr>
        <w:t>'</w:t>
      </w:r>
      <w:r w:rsidRPr="00CF40F8">
        <w:rPr>
          <w:rFonts w:cs="Arial" w:hint="cs"/>
          <w:rtl/>
        </w:rPr>
        <w:t>למנין</w:t>
      </w:r>
      <w:r w:rsidRPr="00CF40F8">
        <w:rPr>
          <w:rFonts w:cs="Arial"/>
          <w:rtl/>
        </w:rPr>
        <w:t xml:space="preserve"> </w:t>
      </w:r>
      <w:r w:rsidRPr="00CF40F8">
        <w:rPr>
          <w:rFonts w:cs="Arial" w:hint="cs"/>
          <w:rtl/>
        </w:rPr>
        <w:t>שאנו</w:t>
      </w:r>
      <w:r w:rsidRPr="00CF40F8">
        <w:rPr>
          <w:rFonts w:cs="Arial"/>
          <w:rtl/>
        </w:rPr>
        <w:t xml:space="preserve"> </w:t>
      </w:r>
      <w:r w:rsidRPr="00CF40F8">
        <w:rPr>
          <w:rFonts w:cs="Arial" w:hint="cs"/>
          <w:rtl/>
        </w:rPr>
        <w:t>מונין</w:t>
      </w:r>
      <w:r w:rsidRPr="00CF40F8">
        <w:rPr>
          <w:rFonts w:cs="Arial"/>
          <w:rtl/>
        </w:rPr>
        <w:t xml:space="preserve"> </w:t>
      </w:r>
      <w:r w:rsidRPr="00CF40F8">
        <w:rPr>
          <w:rFonts w:cs="Arial" w:hint="cs"/>
          <w:rtl/>
        </w:rPr>
        <w:t>כאן</w:t>
      </w:r>
      <w:r>
        <w:rPr>
          <w:rFonts w:cs="Arial" w:hint="cs"/>
          <w:rtl/>
        </w:rPr>
        <w:t>'</w:t>
      </w:r>
      <w:r w:rsidRPr="00CF40F8">
        <w:rPr>
          <w:rFonts w:cs="Arial"/>
          <w:rtl/>
        </w:rPr>
        <w:t xml:space="preserve"> </w:t>
      </w:r>
      <w:r w:rsidRPr="00CF40F8">
        <w:rPr>
          <w:rFonts w:cs="Arial" w:hint="cs"/>
          <w:rtl/>
        </w:rPr>
        <w:t>יש</w:t>
      </w:r>
      <w:r w:rsidRPr="00CF40F8">
        <w:rPr>
          <w:rFonts w:cs="Arial"/>
          <w:rtl/>
        </w:rPr>
        <w:t xml:space="preserve"> </w:t>
      </w:r>
      <w:r w:rsidRPr="00CF40F8">
        <w:rPr>
          <w:rFonts w:cs="Arial" w:hint="cs"/>
          <w:rtl/>
        </w:rPr>
        <w:t>לכתוב</w:t>
      </w:r>
      <w:r w:rsidRPr="00CF40F8">
        <w:rPr>
          <w:rFonts w:cs="Arial"/>
          <w:rtl/>
        </w:rPr>
        <w:t xml:space="preserve"> </w:t>
      </w:r>
      <w:r w:rsidRPr="00CF40F8">
        <w:rPr>
          <w:rFonts w:cs="Arial" w:hint="cs"/>
          <w:rtl/>
        </w:rPr>
        <w:t>מקום</w:t>
      </w:r>
      <w:r w:rsidRPr="00CF40F8">
        <w:rPr>
          <w:rFonts w:cs="Arial"/>
          <w:rtl/>
        </w:rPr>
        <w:t xml:space="preserve"> </w:t>
      </w:r>
      <w:r w:rsidRPr="00CF40F8">
        <w:rPr>
          <w:rFonts w:cs="Arial" w:hint="cs"/>
          <w:rtl/>
        </w:rPr>
        <w:t>שעומד</w:t>
      </w:r>
      <w:r w:rsidRPr="00CF40F8">
        <w:rPr>
          <w:rFonts w:cs="Arial"/>
          <w:rtl/>
        </w:rPr>
        <w:t xml:space="preserve"> </w:t>
      </w:r>
      <w:r w:rsidRPr="00CF40F8">
        <w:rPr>
          <w:rFonts w:cs="Arial" w:hint="cs"/>
          <w:rtl/>
        </w:rPr>
        <w:t>בשעת</w:t>
      </w:r>
      <w:r w:rsidRPr="00CF40F8">
        <w:rPr>
          <w:rFonts w:cs="Arial"/>
          <w:rtl/>
        </w:rPr>
        <w:t xml:space="preserve"> </w:t>
      </w:r>
      <w:r w:rsidRPr="00CF40F8">
        <w:rPr>
          <w:rFonts w:cs="Arial" w:hint="cs"/>
          <w:rtl/>
        </w:rPr>
        <w:t>כתיבת</w:t>
      </w:r>
      <w:r w:rsidRPr="00CF40F8">
        <w:rPr>
          <w:rFonts w:cs="Arial"/>
          <w:rtl/>
        </w:rPr>
        <w:t xml:space="preserve"> </w:t>
      </w:r>
      <w:r w:rsidRPr="00CF40F8">
        <w:rPr>
          <w:rFonts w:cs="Arial" w:hint="cs"/>
          <w:rtl/>
        </w:rPr>
        <w:t>הגט</w:t>
      </w:r>
      <w:r>
        <w:rPr>
          <w:rFonts w:cs="Arial" w:hint="cs"/>
          <w:rtl/>
        </w:rPr>
        <w:t>,</w:t>
      </w:r>
      <w:r w:rsidRPr="00CF40F8">
        <w:rPr>
          <w:rFonts w:cs="Arial"/>
          <w:rtl/>
        </w:rPr>
        <w:t xml:space="preserve"> </w:t>
      </w:r>
      <w:r w:rsidRPr="00CF40F8">
        <w:rPr>
          <w:rFonts w:cs="Arial" w:hint="cs"/>
          <w:rtl/>
        </w:rPr>
        <w:t>כדתנן</w:t>
      </w:r>
      <w:r w:rsidRPr="00CF40F8">
        <w:rPr>
          <w:rFonts w:cs="Arial"/>
          <w:rtl/>
        </w:rPr>
        <w:t xml:space="preserve"> </w:t>
      </w:r>
      <w:r w:rsidRPr="00CF40F8">
        <w:rPr>
          <w:rFonts w:cs="Arial" w:hint="cs"/>
          <w:rtl/>
        </w:rPr>
        <w:t>היה</w:t>
      </w:r>
      <w:r w:rsidRPr="00CF40F8">
        <w:rPr>
          <w:rFonts w:cs="Arial"/>
          <w:rtl/>
        </w:rPr>
        <w:t xml:space="preserve"> </w:t>
      </w:r>
      <w:r w:rsidRPr="00CF40F8">
        <w:rPr>
          <w:rFonts w:cs="Arial" w:hint="cs"/>
          <w:rtl/>
        </w:rPr>
        <w:t>במזרח</w:t>
      </w:r>
      <w:r w:rsidRPr="00CF40F8">
        <w:rPr>
          <w:rFonts w:cs="Arial"/>
          <w:rtl/>
        </w:rPr>
        <w:t xml:space="preserve"> </w:t>
      </w:r>
      <w:r w:rsidRPr="00CF40F8">
        <w:rPr>
          <w:rFonts w:cs="Arial" w:hint="cs"/>
          <w:rtl/>
        </w:rPr>
        <w:t>וכתב</w:t>
      </w:r>
      <w:r w:rsidRPr="00CF40F8">
        <w:rPr>
          <w:rFonts w:cs="Arial"/>
          <w:rtl/>
        </w:rPr>
        <w:t xml:space="preserve"> </w:t>
      </w:r>
      <w:r w:rsidRPr="00CF40F8">
        <w:rPr>
          <w:rFonts w:cs="Arial" w:hint="cs"/>
          <w:rtl/>
        </w:rPr>
        <w:t>במערב</w:t>
      </w:r>
      <w:r w:rsidRPr="00CF40F8">
        <w:rPr>
          <w:rFonts w:cs="Arial"/>
          <w:rtl/>
        </w:rPr>
        <w:t xml:space="preserve"> </w:t>
      </w:r>
      <w:r w:rsidRPr="00CF40F8">
        <w:rPr>
          <w:rFonts w:cs="Arial" w:hint="cs"/>
          <w:rtl/>
        </w:rPr>
        <w:t>פסול</w:t>
      </w:r>
      <w:r>
        <w:rPr>
          <w:rFonts w:cs="Arial" w:hint="cs"/>
          <w:rtl/>
        </w:rPr>
        <w:t>,</w:t>
      </w:r>
      <w:r w:rsidRPr="00CF40F8">
        <w:rPr>
          <w:rFonts w:cs="Arial"/>
          <w:rtl/>
        </w:rPr>
        <w:t xml:space="preserve"> </w:t>
      </w:r>
      <w:r w:rsidRPr="00CF40F8">
        <w:rPr>
          <w:rFonts w:cs="Arial" w:hint="cs"/>
          <w:rtl/>
        </w:rPr>
        <w:t>ומוקי</w:t>
      </w:r>
      <w:r w:rsidRPr="00CF40F8">
        <w:rPr>
          <w:rFonts w:cs="Arial"/>
          <w:rtl/>
        </w:rPr>
        <w:t xml:space="preserve"> </w:t>
      </w:r>
      <w:r w:rsidRPr="00CF40F8">
        <w:rPr>
          <w:rFonts w:cs="Arial" w:hint="cs"/>
          <w:rtl/>
        </w:rPr>
        <w:t>לה</w:t>
      </w:r>
      <w:r w:rsidRPr="00CF40F8">
        <w:rPr>
          <w:rFonts w:cs="Arial"/>
          <w:rtl/>
        </w:rPr>
        <w:t xml:space="preserve"> </w:t>
      </w:r>
      <w:r w:rsidRPr="00CF40F8">
        <w:rPr>
          <w:rFonts w:cs="Arial" w:hint="cs"/>
          <w:rtl/>
        </w:rPr>
        <w:t>בסופר...</w:t>
      </w:r>
      <w:r w:rsidRPr="00CF40F8">
        <w:rPr>
          <w:rFonts w:cs="Arial"/>
          <w:rtl/>
        </w:rPr>
        <w:t xml:space="preserve"> </w:t>
      </w:r>
      <w:r w:rsidRPr="00CF40F8">
        <w:rPr>
          <w:rFonts w:cs="Arial" w:hint="cs"/>
          <w:rtl/>
        </w:rPr>
        <w:t>ונראה</w:t>
      </w:r>
      <w:r w:rsidRPr="00CF40F8">
        <w:rPr>
          <w:rFonts w:cs="Arial"/>
          <w:rtl/>
        </w:rPr>
        <w:t xml:space="preserve"> </w:t>
      </w:r>
      <w:r w:rsidRPr="00CF40F8">
        <w:rPr>
          <w:rFonts w:cs="Arial" w:hint="cs"/>
          <w:rtl/>
        </w:rPr>
        <w:t>כל</w:t>
      </w:r>
      <w:r w:rsidRPr="00CF40F8">
        <w:rPr>
          <w:rFonts w:cs="Arial"/>
          <w:rtl/>
        </w:rPr>
        <w:t xml:space="preserve"> </w:t>
      </w:r>
      <w:r w:rsidRPr="00CF40F8">
        <w:rPr>
          <w:rFonts w:cs="Arial" w:hint="cs"/>
          <w:rtl/>
        </w:rPr>
        <w:t>שכן</w:t>
      </w:r>
      <w:r w:rsidRPr="00CF40F8">
        <w:rPr>
          <w:rFonts w:cs="Arial"/>
          <w:rtl/>
        </w:rPr>
        <w:t xml:space="preserve"> </w:t>
      </w:r>
      <w:r w:rsidRPr="00CF40F8">
        <w:rPr>
          <w:rFonts w:cs="Arial" w:hint="cs"/>
          <w:rtl/>
        </w:rPr>
        <w:t>שצריך</w:t>
      </w:r>
      <w:r w:rsidRPr="00CF40F8">
        <w:rPr>
          <w:rFonts w:cs="Arial"/>
          <w:rtl/>
        </w:rPr>
        <w:t xml:space="preserve"> </w:t>
      </w:r>
      <w:r w:rsidRPr="00CF40F8">
        <w:rPr>
          <w:rFonts w:cs="Arial" w:hint="cs"/>
          <w:rtl/>
        </w:rPr>
        <w:t>שיעמדו</w:t>
      </w:r>
      <w:r w:rsidRPr="00CF40F8">
        <w:rPr>
          <w:rFonts w:cs="Arial"/>
          <w:rtl/>
        </w:rPr>
        <w:t xml:space="preserve"> </w:t>
      </w:r>
      <w:r w:rsidRPr="00CF40F8">
        <w:rPr>
          <w:rFonts w:cs="Arial" w:hint="cs"/>
          <w:rtl/>
        </w:rPr>
        <w:t>שם</w:t>
      </w:r>
      <w:r w:rsidRPr="00CF40F8">
        <w:rPr>
          <w:rFonts w:cs="Arial"/>
          <w:rtl/>
        </w:rPr>
        <w:t xml:space="preserve"> </w:t>
      </w:r>
      <w:r w:rsidRPr="00CF40F8">
        <w:rPr>
          <w:rFonts w:cs="Arial" w:hint="cs"/>
          <w:rtl/>
        </w:rPr>
        <w:t>העדים</w:t>
      </w:r>
      <w:r w:rsidRPr="00CF40F8">
        <w:rPr>
          <w:rFonts w:cs="Arial"/>
          <w:rtl/>
        </w:rPr>
        <w:t xml:space="preserve"> </w:t>
      </w:r>
      <w:r w:rsidRPr="00CF40F8">
        <w:rPr>
          <w:rFonts w:cs="Arial" w:hint="cs"/>
          <w:rtl/>
        </w:rPr>
        <w:t>במקום</w:t>
      </w:r>
      <w:r w:rsidRPr="00CF40F8">
        <w:rPr>
          <w:rFonts w:cs="Arial"/>
          <w:rtl/>
        </w:rPr>
        <w:t xml:space="preserve"> </w:t>
      </w:r>
      <w:r w:rsidRPr="00CF40F8">
        <w:rPr>
          <w:rFonts w:cs="Arial" w:hint="cs"/>
          <w:rtl/>
        </w:rPr>
        <w:t>שכתוב</w:t>
      </w:r>
      <w:r w:rsidRPr="00CF40F8">
        <w:rPr>
          <w:rFonts w:cs="Arial"/>
          <w:rtl/>
        </w:rPr>
        <w:t xml:space="preserve"> </w:t>
      </w:r>
      <w:r w:rsidRPr="00CF40F8">
        <w:rPr>
          <w:rFonts w:cs="Arial" w:hint="cs"/>
          <w:rtl/>
        </w:rPr>
        <w:t>הגט</w:t>
      </w:r>
      <w:r w:rsidRPr="00CF40F8">
        <w:rPr>
          <w:rFonts w:cs="Arial"/>
          <w:rtl/>
        </w:rPr>
        <w:t xml:space="preserve"> </w:t>
      </w:r>
      <w:r w:rsidRPr="00CF40F8">
        <w:rPr>
          <w:rFonts w:cs="Arial" w:hint="cs"/>
          <w:rtl/>
        </w:rPr>
        <w:t>בשעה</w:t>
      </w:r>
      <w:r w:rsidRPr="00CF40F8">
        <w:rPr>
          <w:rFonts w:cs="Arial"/>
          <w:rtl/>
        </w:rPr>
        <w:t xml:space="preserve"> </w:t>
      </w:r>
      <w:r w:rsidRPr="00CF40F8">
        <w:rPr>
          <w:rFonts w:cs="Arial" w:hint="cs"/>
          <w:rtl/>
        </w:rPr>
        <w:t>שחותמין</w:t>
      </w:r>
      <w:r w:rsidRPr="00CF40F8">
        <w:rPr>
          <w:rFonts w:cs="Arial"/>
          <w:rtl/>
        </w:rPr>
        <w:t xml:space="preserve"> </w:t>
      </w:r>
      <w:r w:rsidRPr="00CF40F8">
        <w:rPr>
          <w:rFonts w:cs="Arial" w:hint="cs"/>
          <w:rtl/>
        </w:rPr>
        <w:t>בו,</w:t>
      </w:r>
      <w:r w:rsidRPr="00CF40F8">
        <w:rPr>
          <w:rFonts w:cs="Arial"/>
          <w:rtl/>
        </w:rPr>
        <w:t xml:space="preserve"> </w:t>
      </w:r>
      <w:r w:rsidRPr="00CF40F8">
        <w:rPr>
          <w:rFonts w:cs="Arial" w:hint="cs"/>
          <w:rtl/>
        </w:rPr>
        <w:t>כי</w:t>
      </w:r>
      <w:r w:rsidRPr="00CF40F8">
        <w:rPr>
          <w:rFonts w:cs="Arial"/>
          <w:rtl/>
        </w:rPr>
        <w:t xml:space="preserve"> </w:t>
      </w:r>
      <w:r w:rsidRPr="00CF40F8">
        <w:rPr>
          <w:rFonts w:cs="Arial" w:hint="cs"/>
          <w:rtl/>
        </w:rPr>
        <w:t>אם</w:t>
      </w:r>
      <w:r w:rsidRPr="00CF40F8">
        <w:rPr>
          <w:rFonts w:cs="Arial"/>
          <w:rtl/>
        </w:rPr>
        <w:t xml:space="preserve"> </w:t>
      </w:r>
      <w:r w:rsidRPr="00CF40F8">
        <w:rPr>
          <w:rFonts w:cs="Arial" w:hint="cs"/>
          <w:rtl/>
        </w:rPr>
        <w:t>לא</w:t>
      </w:r>
      <w:r w:rsidRPr="00CF40F8">
        <w:rPr>
          <w:rFonts w:cs="Arial"/>
          <w:rtl/>
        </w:rPr>
        <w:t xml:space="preserve"> </w:t>
      </w:r>
      <w:r w:rsidRPr="00CF40F8">
        <w:rPr>
          <w:rFonts w:cs="Arial" w:hint="cs"/>
          <w:rtl/>
        </w:rPr>
        <w:t>יהיו</w:t>
      </w:r>
      <w:r w:rsidRPr="00CF40F8">
        <w:rPr>
          <w:rFonts w:cs="Arial"/>
          <w:rtl/>
        </w:rPr>
        <w:t xml:space="preserve"> </w:t>
      </w:r>
      <w:r w:rsidRPr="00CF40F8">
        <w:rPr>
          <w:rFonts w:cs="Arial" w:hint="cs"/>
          <w:rtl/>
        </w:rPr>
        <w:t>העדים</w:t>
      </w:r>
      <w:r w:rsidRPr="00CF40F8">
        <w:rPr>
          <w:rFonts w:cs="Arial"/>
          <w:rtl/>
        </w:rPr>
        <w:t xml:space="preserve"> </w:t>
      </w:r>
      <w:r w:rsidRPr="00CF40F8">
        <w:rPr>
          <w:rFonts w:cs="Arial" w:hint="cs"/>
          <w:rtl/>
        </w:rPr>
        <w:t>שם</w:t>
      </w:r>
      <w:r w:rsidRPr="00CF40F8">
        <w:rPr>
          <w:rFonts w:cs="Arial"/>
          <w:rtl/>
        </w:rPr>
        <w:t xml:space="preserve"> </w:t>
      </w:r>
      <w:r w:rsidRPr="00CF40F8">
        <w:rPr>
          <w:rFonts w:cs="Arial" w:hint="cs"/>
          <w:rtl/>
        </w:rPr>
        <w:t>אתי</w:t>
      </w:r>
      <w:r w:rsidRPr="00CF40F8">
        <w:rPr>
          <w:rFonts w:cs="Arial"/>
          <w:rtl/>
        </w:rPr>
        <w:t xml:space="preserve"> </w:t>
      </w:r>
      <w:r w:rsidRPr="00CF40F8">
        <w:rPr>
          <w:rFonts w:cs="Arial" w:hint="cs"/>
          <w:rtl/>
        </w:rPr>
        <w:t>למימר</w:t>
      </w:r>
      <w:r w:rsidRPr="00CF40F8">
        <w:rPr>
          <w:rFonts w:cs="Arial"/>
          <w:rtl/>
        </w:rPr>
        <w:t xml:space="preserve"> </w:t>
      </w:r>
      <w:r w:rsidRPr="00CF40F8">
        <w:rPr>
          <w:rFonts w:cs="Arial" w:hint="cs"/>
          <w:rtl/>
        </w:rPr>
        <w:t>אחרים</w:t>
      </w:r>
      <w:r w:rsidRPr="00CF40F8">
        <w:rPr>
          <w:rFonts w:cs="Arial"/>
          <w:rtl/>
        </w:rPr>
        <w:t xml:space="preserve"> </w:t>
      </w:r>
      <w:r w:rsidRPr="00CF40F8">
        <w:rPr>
          <w:rFonts w:cs="Arial" w:hint="cs"/>
          <w:rtl/>
        </w:rPr>
        <w:t>חתמו</w:t>
      </w:r>
      <w:r w:rsidRPr="00CF40F8">
        <w:rPr>
          <w:rFonts w:cs="Arial"/>
          <w:rtl/>
        </w:rPr>
        <w:t xml:space="preserve"> </w:t>
      </w:r>
      <w:r w:rsidRPr="00CF40F8">
        <w:rPr>
          <w:rFonts w:cs="Arial" w:hint="cs"/>
          <w:rtl/>
        </w:rPr>
        <w:t>בשמם</w:t>
      </w:r>
      <w:r w:rsidRPr="00CF40F8">
        <w:rPr>
          <w:rFonts w:cs="Arial"/>
          <w:rtl/>
        </w:rPr>
        <w:t xml:space="preserve"> </w:t>
      </w:r>
      <w:r w:rsidRPr="00CF40F8">
        <w:rPr>
          <w:rFonts w:cs="Arial" w:hint="cs"/>
          <w:rtl/>
        </w:rPr>
        <w:t>ומזוייף</w:t>
      </w:r>
      <w:r w:rsidRPr="00CF40F8">
        <w:rPr>
          <w:rFonts w:cs="Arial"/>
          <w:rtl/>
        </w:rPr>
        <w:t xml:space="preserve"> </w:t>
      </w:r>
      <w:r w:rsidRPr="00CF40F8">
        <w:rPr>
          <w:rFonts w:cs="Arial" w:hint="cs"/>
          <w:rtl/>
        </w:rPr>
        <w:t>הוא</w:t>
      </w:r>
      <w:r w:rsidRPr="00CF40F8">
        <w:rPr>
          <w:rFonts w:cs="Arial"/>
          <w:rtl/>
        </w:rPr>
        <w:t xml:space="preserve"> </w:t>
      </w:r>
      <w:r w:rsidRPr="00CF40F8">
        <w:rPr>
          <w:rFonts w:cs="Arial" w:hint="cs"/>
          <w:rtl/>
        </w:rPr>
        <w:t>שהרי</w:t>
      </w:r>
      <w:r w:rsidRPr="00CF40F8">
        <w:rPr>
          <w:rFonts w:cs="Arial"/>
          <w:rtl/>
        </w:rPr>
        <w:t xml:space="preserve"> </w:t>
      </w:r>
      <w:r w:rsidRPr="00CF40F8">
        <w:rPr>
          <w:rFonts w:cs="Arial" w:hint="cs"/>
          <w:rtl/>
        </w:rPr>
        <w:t>לא</w:t>
      </w:r>
      <w:r w:rsidRPr="00CF40F8">
        <w:rPr>
          <w:rFonts w:cs="Arial"/>
          <w:rtl/>
        </w:rPr>
        <w:t xml:space="preserve"> </w:t>
      </w:r>
      <w:r w:rsidRPr="00CF40F8">
        <w:rPr>
          <w:rFonts w:cs="Arial" w:hint="cs"/>
          <w:rtl/>
        </w:rPr>
        <w:t>היו</w:t>
      </w:r>
      <w:r w:rsidRPr="00CF40F8">
        <w:rPr>
          <w:rFonts w:cs="Arial"/>
          <w:rtl/>
        </w:rPr>
        <w:t xml:space="preserve"> </w:t>
      </w:r>
      <w:r w:rsidRPr="00CF40F8">
        <w:rPr>
          <w:rFonts w:cs="Arial" w:hint="cs"/>
          <w:rtl/>
        </w:rPr>
        <w:t>שם</w:t>
      </w:r>
      <w:r>
        <w:rPr>
          <w:rFonts w:cs="Arial" w:hint="cs"/>
          <w:sz w:val="16"/>
          <w:szCs w:val="16"/>
          <w:rtl/>
        </w:rPr>
        <w:t xml:space="preserve"> (ל' ספר התרומה)</w:t>
      </w:r>
      <w:r>
        <w:rPr>
          <w:rStyle w:val="a7"/>
          <w:rFonts w:cs="Arial"/>
          <w:rtl/>
        </w:rPr>
        <w:footnoteReference w:id="942"/>
      </w:r>
      <w:r w:rsidRPr="00CF40F8">
        <w:rPr>
          <w:rFonts w:cs="Arial"/>
          <w:rtl/>
        </w:rPr>
        <w:t xml:space="preserve">. </w:t>
      </w:r>
    </w:p>
    <w:p w14:paraId="60F89A26" w14:textId="77777777" w:rsidR="00FA2119" w:rsidRPr="00D56874" w:rsidRDefault="00FA2119" w:rsidP="00FA2119">
      <w:pPr>
        <w:ind w:left="360"/>
        <w:rPr>
          <w:u w:val="dotted"/>
        </w:rPr>
      </w:pPr>
      <w:r w:rsidRPr="00D56874">
        <w:rPr>
          <w:rFonts w:hint="cs"/>
          <w:u w:val="dotted"/>
          <w:rtl/>
        </w:rPr>
        <w:t xml:space="preserve">ומה הדין אם שינה את מקום החתימה </w:t>
      </w:r>
      <w:r w:rsidRPr="00D56874">
        <w:rPr>
          <w:rFonts w:hint="cs"/>
          <w:sz w:val="16"/>
          <w:szCs w:val="16"/>
          <w:u w:val="dotted"/>
          <w:rtl/>
        </w:rPr>
        <w:t>(</w:t>
      </w:r>
      <w:r w:rsidRPr="00D56874">
        <w:rPr>
          <w:rFonts w:cs="Arial" w:hint="cs"/>
          <w:sz w:val="16"/>
          <w:szCs w:val="16"/>
          <w:u w:val="dotted"/>
          <w:rtl/>
        </w:rPr>
        <w:t>מקום</w:t>
      </w:r>
      <w:r w:rsidRPr="00D56874">
        <w:rPr>
          <w:rFonts w:cs="Arial"/>
          <w:sz w:val="16"/>
          <w:szCs w:val="16"/>
          <w:u w:val="dotted"/>
          <w:rtl/>
        </w:rPr>
        <w:t xml:space="preserve"> </w:t>
      </w:r>
      <w:r w:rsidRPr="00D56874">
        <w:rPr>
          <w:rFonts w:cs="Arial" w:hint="cs"/>
          <w:sz w:val="16"/>
          <w:szCs w:val="16"/>
          <w:u w:val="dotted"/>
          <w:rtl/>
        </w:rPr>
        <w:t>עמידת</w:t>
      </w:r>
      <w:r w:rsidRPr="00D56874">
        <w:rPr>
          <w:rFonts w:cs="Arial"/>
          <w:sz w:val="16"/>
          <w:szCs w:val="16"/>
          <w:u w:val="dotted"/>
          <w:rtl/>
        </w:rPr>
        <w:t xml:space="preserve"> </w:t>
      </w:r>
      <w:r w:rsidRPr="00D56874">
        <w:rPr>
          <w:rFonts w:cs="Arial" w:hint="cs"/>
          <w:sz w:val="16"/>
          <w:szCs w:val="16"/>
          <w:u w:val="dotted"/>
          <w:rtl/>
        </w:rPr>
        <w:t>העדים)</w:t>
      </w:r>
      <w:r w:rsidRPr="00D56874">
        <w:rPr>
          <w:rFonts w:cs="Arial" w:hint="cs"/>
          <w:u w:val="dotted"/>
          <w:rtl/>
        </w:rPr>
        <w:t>:</w:t>
      </w:r>
      <w:r w:rsidRPr="00D56874">
        <w:rPr>
          <w:rFonts w:cs="Arial"/>
          <w:u w:val="dotted"/>
          <w:rtl/>
        </w:rPr>
        <w:t xml:space="preserve"> </w:t>
      </w:r>
    </w:p>
    <w:p w14:paraId="3C3E93C0" w14:textId="7B6D1331" w:rsidR="00FA2119" w:rsidRPr="00D56874" w:rsidRDefault="00FA2119" w:rsidP="00FA2119">
      <w:pPr>
        <w:pStyle w:val="ab"/>
        <w:numPr>
          <w:ilvl w:val="0"/>
          <w:numId w:val="61"/>
        </w:numPr>
      </w:pPr>
      <w:r w:rsidRPr="003C7C89">
        <w:rPr>
          <w:rFonts w:cs="Arial" w:hint="cs"/>
          <w:rtl/>
        </w:rPr>
        <w:t>ר</w:t>
      </w:r>
      <w:r w:rsidRPr="003C7C89">
        <w:rPr>
          <w:rFonts w:cs="Arial"/>
          <w:rtl/>
        </w:rPr>
        <w:t>"</w:t>
      </w:r>
      <w:r w:rsidRPr="003C7C89">
        <w:rPr>
          <w:rFonts w:cs="Arial" w:hint="cs"/>
          <w:rtl/>
        </w:rPr>
        <w:t>ת</w:t>
      </w:r>
      <w:r>
        <w:rPr>
          <w:rFonts w:cs="Arial" w:hint="cs"/>
          <w:sz w:val="16"/>
          <w:szCs w:val="16"/>
          <w:rtl/>
        </w:rPr>
        <w:t xml:space="preserve"> (כ"כ התוס' [פ. ד"ה זו] בשמו) </w:t>
      </w:r>
      <w:r>
        <w:rPr>
          <w:rFonts w:cs="Arial" w:hint="cs"/>
          <w:rtl/>
        </w:rPr>
        <w:t>רמב"ם</w:t>
      </w:r>
      <w:r>
        <w:rPr>
          <w:rStyle w:val="a7"/>
          <w:rFonts w:cs="Arial"/>
          <w:rtl/>
        </w:rPr>
        <w:footnoteReference w:id="943"/>
      </w:r>
      <w:r>
        <w:rPr>
          <w:rFonts w:cs="Arial" w:hint="cs"/>
          <w:rtl/>
        </w:rPr>
        <w:t xml:space="preserve"> </w:t>
      </w:r>
      <w:r>
        <w:rPr>
          <w:rFonts w:cs="Arial" w:hint="cs"/>
          <w:sz w:val="16"/>
          <w:szCs w:val="16"/>
          <w:rtl/>
        </w:rPr>
        <w:t>(פ"א הכ"ה)</w:t>
      </w:r>
      <w:r>
        <w:rPr>
          <w:rFonts w:cs="Arial" w:hint="cs"/>
          <w:rtl/>
        </w:rPr>
        <w:t xml:space="preserve"> רא"ש </w:t>
      </w:r>
      <w:r>
        <w:rPr>
          <w:rFonts w:cs="Arial" w:hint="cs"/>
          <w:sz w:val="16"/>
          <w:szCs w:val="16"/>
          <w:rtl/>
        </w:rPr>
        <w:t>(פ"ח סי' ט)</w:t>
      </w:r>
      <w:r>
        <w:rPr>
          <w:rFonts w:cs="Arial" w:hint="cs"/>
          <w:rtl/>
        </w:rPr>
        <w:t xml:space="preserve"> וטור</w:t>
      </w:r>
      <w:r>
        <w:rPr>
          <w:rStyle w:val="a7"/>
          <w:rFonts w:cs="Arial"/>
          <w:rtl/>
        </w:rPr>
        <w:footnoteReference w:id="944"/>
      </w:r>
      <w:r w:rsidR="00A82951">
        <w:rPr>
          <w:rFonts w:cs="Arial" w:hint="cs"/>
          <w:rtl/>
        </w:rPr>
        <w:t>-</w:t>
      </w:r>
      <w:r>
        <w:rPr>
          <w:rFonts w:cs="Arial" w:hint="cs"/>
          <w:rtl/>
        </w:rPr>
        <w:t xml:space="preserve"> </w:t>
      </w:r>
      <w:r w:rsidRPr="003C7C89">
        <w:rPr>
          <w:rFonts w:cs="Arial" w:hint="cs"/>
          <w:rtl/>
        </w:rPr>
        <w:t>הולד</w:t>
      </w:r>
      <w:r w:rsidRPr="003C7C89">
        <w:rPr>
          <w:rFonts w:cs="Arial"/>
          <w:rtl/>
        </w:rPr>
        <w:t xml:space="preserve"> </w:t>
      </w:r>
      <w:r w:rsidRPr="003C7C89">
        <w:rPr>
          <w:rFonts w:cs="Arial" w:hint="cs"/>
          <w:rtl/>
        </w:rPr>
        <w:t>כשר</w:t>
      </w:r>
      <w:r>
        <w:rPr>
          <w:rFonts w:cs="Arial" w:hint="cs"/>
          <w:rtl/>
        </w:rPr>
        <w:t>,</w:t>
      </w:r>
      <w:r w:rsidRPr="003C7C89">
        <w:rPr>
          <w:rFonts w:cs="Arial"/>
          <w:rtl/>
        </w:rPr>
        <w:t xml:space="preserve"> </w:t>
      </w:r>
      <w:r w:rsidRPr="003C7C89">
        <w:rPr>
          <w:rFonts w:cs="Arial" w:hint="cs"/>
          <w:rtl/>
        </w:rPr>
        <w:t>אבל</w:t>
      </w:r>
      <w:r w:rsidRPr="003C7C89">
        <w:rPr>
          <w:rFonts w:cs="Arial"/>
          <w:rtl/>
        </w:rPr>
        <w:t xml:space="preserve"> </w:t>
      </w:r>
      <w:r w:rsidRPr="003C7C89">
        <w:rPr>
          <w:rFonts w:cs="Arial" w:hint="cs"/>
          <w:rtl/>
        </w:rPr>
        <w:t>לא</w:t>
      </w:r>
      <w:r w:rsidRPr="003C7C89">
        <w:rPr>
          <w:rFonts w:cs="Arial"/>
          <w:rtl/>
        </w:rPr>
        <w:t xml:space="preserve"> </w:t>
      </w:r>
      <w:r w:rsidRPr="003C7C89">
        <w:rPr>
          <w:rFonts w:cs="Arial" w:hint="cs"/>
          <w:rtl/>
        </w:rPr>
        <w:t>תינשא</w:t>
      </w:r>
      <w:r w:rsidRPr="003C7C89">
        <w:rPr>
          <w:rFonts w:cs="Arial"/>
          <w:rtl/>
        </w:rPr>
        <w:t xml:space="preserve"> </w:t>
      </w:r>
      <w:r w:rsidRPr="003C7C89">
        <w:rPr>
          <w:rFonts w:cs="Arial" w:hint="cs"/>
          <w:rtl/>
        </w:rPr>
        <w:t>בו</w:t>
      </w:r>
      <w:r w:rsidRPr="003C7C89">
        <w:rPr>
          <w:rFonts w:cs="Arial"/>
          <w:rtl/>
        </w:rPr>
        <w:t xml:space="preserve"> </w:t>
      </w:r>
      <w:r w:rsidRPr="003C7C89">
        <w:rPr>
          <w:rFonts w:cs="Arial" w:hint="cs"/>
          <w:rtl/>
        </w:rPr>
        <w:t>לכתחילה</w:t>
      </w:r>
      <w:r>
        <w:rPr>
          <w:rStyle w:val="a7"/>
          <w:rFonts w:cs="Arial"/>
          <w:rtl/>
        </w:rPr>
        <w:footnoteReference w:id="945"/>
      </w:r>
      <w:r>
        <w:rPr>
          <w:rFonts w:cs="Arial" w:hint="cs"/>
          <w:rtl/>
        </w:rPr>
        <w:t>.</w:t>
      </w:r>
      <w:r w:rsidRPr="00F52451">
        <w:rPr>
          <w:rFonts w:hint="cs"/>
          <w:color w:val="E36C0A" w:themeColor="accent6" w:themeShade="BF"/>
          <w:rtl/>
        </w:rPr>
        <w:t xml:space="preserve"> </w:t>
      </w:r>
      <w:r w:rsidRPr="00F52451">
        <w:rPr>
          <w:color w:val="E36C0A" w:themeColor="accent6" w:themeShade="BF"/>
          <w:rtl/>
        </w:rPr>
        <w:t>(וכ"פ בשו"ע)</w:t>
      </w:r>
    </w:p>
    <w:p w14:paraId="47B6EE76" w14:textId="10D03646" w:rsidR="00FA2119" w:rsidRPr="0008149A" w:rsidRDefault="00FA2119" w:rsidP="00FA2119">
      <w:pPr>
        <w:pStyle w:val="ab"/>
        <w:numPr>
          <w:ilvl w:val="0"/>
          <w:numId w:val="61"/>
        </w:numPr>
        <w:rPr>
          <w:rtl/>
        </w:rPr>
      </w:pPr>
      <w:r>
        <w:rPr>
          <w:rFonts w:cs="Arial" w:hint="cs"/>
          <w:rtl/>
        </w:rPr>
        <w:t>רי</w:t>
      </w:r>
      <w:r>
        <w:rPr>
          <w:rFonts w:cs="Arial"/>
          <w:rtl/>
        </w:rPr>
        <w:t>"</w:t>
      </w:r>
      <w:r>
        <w:rPr>
          <w:rFonts w:cs="Arial" w:hint="cs"/>
          <w:rtl/>
        </w:rPr>
        <w:t>ף</w:t>
      </w:r>
      <w:r>
        <w:rPr>
          <w:rFonts w:cs="Arial"/>
          <w:rtl/>
        </w:rPr>
        <w:t xml:space="preserve"> </w:t>
      </w:r>
      <w:r w:rsidRPr="0017002A">
        <w:rPr>
          <w:rFonts w:cs="Arial" w:hint="cs"/>
          <w:sz w:val="16"/>
          <w:szCs w:val="16"/>
          <w:rtl/>
        </w:rPr>
        <w:t>(להב' רשב"א רא</w:t>
      </w:r>
      <w:r w:rsidRPr="0017002A">
        <w:rPr>
          <w:rFonts w:cs="Arial"/>
          <w:sz w:val="16"/>
          <w:szCs w:val="16"/>
          <w:rtl/>
        </w:rPr>
        <w:t>"</w:t>
      </w:r>
      <w:r w:rsidRPr="0017002A">
        <w:rPr>
          <w:rFonts w:cs="Arial" w:hint="cs"/>
          <w:sz w:val="16"/>
          <w:szCs w:val="16"/>
          <w:rtl/>
        </w:rPr>
        <w:t>ש ו</w:t>
      </w:r>
      <w:r>
        <w:rPr>
          <w:rFonts w:cs="Arial" w:hint="cs"/>
          <w:sz w:val="16"/>
          <w:szCs w:val="16"/>
          <w:rtl/>
        </w:rPr>
        <w:t>טור</w:t>
      </w:r>
      <w:r w:rsidRPr="0017002A">
        <w:rPr>
          <w:rFonts w:cs="Arial" w:hint="cs"/>
          <w:sz w:val="16"/>
          <w:szCs w:val="16"/>
          <w:rtl/>
        </w:rPr>
        <w:t>)</w:t>
      </w:r>
      <w:r>
        <w:rPr>
          <w:rFonts w:cs="Arial" w:hint="cs"/>
          <w:rtl/>
        </w:rPr>
        <w:t xml:space="preserve"> ו</w:t>
      </w:r>
      <w:r w:rsidRPr="003C7C89">
        <w:rPr>
          <w:rFonts w:cs="Arial" w:hint="cs"/>
          <w:rtl/>
        </w:rPr>
        <w:t>רש</w:t>
      </w:r>
      <w:r w:rsidRPr="003C7C89">
        <w:rPr>
          <w:rFonts w:cs="Arial"/>
          <w:rtl/>
        </w:rPr>
        <w:t>"</w:t>
      </w:r>
      <w:r w:rsidRPr="003C7C89">
        <w:rPr>
          <w:rFonts w:cs="Arial" w:hint="cs"/>
          <w:rtl/>
        </w:rPr>
        <w:t>י</w:t>
      </w:r>
      <w:r>
        <w:rPr>
          <w:rStyle w:val="a7"/>
          <w:rFonts w:cs="Arial"/>
          <w:rtl/>
        </w:rPr>
        <w:footnoteReference w:id="946"/>
      </w:r>
      <w:r w:rsidR="00A82951">
        <w:rPr>
          <w:rFonts w:cs="Arial" w:hint="cs"/>
          <w:rtl/>
        </w:rPr>
        <w:t>-</w:t>
      </w:r>
      <w:r w:rsidRPr="003C7C89">
        <w:rPr>
          <w:rFonts w:cs="Arial"/>
          <w:rtl/>
        </w:rPr>
        <w:t xml:space="preserve"> </w:t>
      </w:r>
      <w:r w:rsidRPr="003C7C89">
        <w:rPr>
          <w:rFonts w:cs="Arial" w:hint="cs"/>
          <w:rtl/>
        </w:rPr>
        <w:t>תינשא</w:t>
      </w:r>
      <w:r w:rsidRPr="003C7C89">
        <w:rPr>
          <w:rFonts w:cs="Arial"/>
          <w:rtl/>
        </w:rPr>
        <w:t xml:space="preserve"> </w:t>
      </w:r>
      <w:r w:rsidRPr="003C7C89">
        <w:rPr>
          <w:rFonts w:cs="Arial" w:hint="cs"/>
          <w:rtl/>
        </w:rPr>
        <w:t>בו</w:t>
      </w:r>
      <w:r w:rsidRPr="003C7C89">
        <w:rPr>
          <w:rFonts w:cs="Arial"/>
          <w:rtl/>
        </w:rPr>
        <w:t xml:space="preserve"> </w:t>
      </w:r>
      <w:r w:rsidRPr="003C7C89">
        <w:rPr>
          <w:rFonts w:cs="Arial" w:hint="cs"/>
          <w:rtl/>
        </w:rPr>
        <w:t>לכתחילה</w:t>
      </w:r>
      <w:r>
        <w:rPr>
          <w:rFonts w:cs="Arial" w:hint="cs"/>
          <w:rtl/>
        </w:rPr>
        <w:t>.</w:t>
      </w:r>
      <w:r w:rsidRPr="003C7C89">
        <w:rPr>
          <w:rFonts w:cs="Arial"/>
          <w:rtl/>
        </w:rPr>
        <w:t xml:space="preserve"> </w:t>
      </w:r>
    </w:p>
    <w:p w14:paraId="4FE70A2B" w14:textId="1784DDEF" w:rsidR="00FA2119" w:rsidRPr="00D56874" w:rsidRDefault="00FA2119" w:rsidP="00FA2119">
      <w:pPr>
        <w:pStyle w:val="ab"/>
        <w:numPr>
          <w:ilvl w:val="0"/>
          <w:numId w:val="61"/>
        </w:numPr>
      </w:pPr>
      <w:r w:rsidRPr="003C7C89">
        <w:rPr>
          <w:rFonts w:cs="Arial" w:hint="cs"/>
          <w:rtl/>
        </w:rPr>
        <w:lastRenderedPageBreak/>
        <w:t>ר</w:t>
      </w:r>
      <w:r w:rsidRPr="003C7C89">
        <w:rPr>
          <w:rFonts w:cs="Arial"/>
          <w:rtl/>
        </w:rPr>
        <w:t>"</w:t>
      </w:r>
      <w:r w:rsidRPr="003C7C89">
        <w:rPr>
          <w:rFonts w:cs="Arial" w:hint="cs"/>
          <w:rtl/>
        </w:rPr>
        <w:t>ח</w:t>
      </w:r>
      <w:r>
        <w:rPr>
          <w:rStyle w:val="a7"/>
          <w:rFonts w:cs="Arial"/>
          <w:rtl/>
        </w:rPr>
        <w:footnoteReference w:id="947"/>
      </w:r>
      <w:r>
        <w:rPr>
          <w:rFonts w:cs="Arial" w:hint="cs"/>
          <w:rtl/>
        </w:rPr>
        <w:t xml:space="preserve"> </w:t>
      </w:r>
      <w:r>
        <w:rPr>
          <w:rFonts w:cs="Arial" w:hint="cs"/>
          <w:sz w:val="16"/>
          <w:szCs w:val="16"/>
          <w:rtl/>
        </w:rPr>
        <w:t>(כ"כ הרא"ש [פ"ח סי' ט] בשמו)</w:t>
      </w:r>
      <w:r w:rsidR="00A82951">
        <w:rPr>
          <w:rFonts w:cs="Arial" w:hint="cs"/>
          <w:rtl/>
        </w:rPr>
        <w:t>-</w:t>
      </w:r>
      <w:r>
        <w:rPr>
          <w:rFonts w:cs="Arial" w:hint="cs"/>
          <w:rtl/>
        </w:rPr>
        <w:t xml:space="preserve"> </w:t>
      </w:r>
      <w:r w:rsidRPr="003C7C89">
        <w:rPr>
          <w:rFonts w:cs="Arial" w:hint="cs"/>
          <w:rtl/>
        </w:rPr>
        <w:t>אם</w:t>
      </w:r>
      <w:r w:rsidRPr="003C7C89">
        <w:rPr>
          <w:rFonts w:cs="Arial"/>
          <w:rtl/>
        </w:rPr>
        <w:t xml:space="preserve"> </w:t>
      </w:r>
      <w:r w:rsidRPr="003C7C89">
        <w:rPr>
          <w:rFonts w:cs="Arial" w:hint="cs"/>
          <w:rtl/>
        </w:rPr>
        <w:t>ניסת</w:t>
      </w:r>
      <w:r w:rsidRPr="003C7C89">
        <w:rPr>
          <w:rFonts w:cs="Arial"/>
          <w:rtl/>
        </w:rPr>
        <w:t xml:space="preserve"> </w:t>
      </w:r>
      <w:r w:rsidRPr="003C7C89">
        <w:rPr>
          <w:rFonts w:cs="Arial" w:hint="cs"/>
          <w:rtl/>
        </w:rPr>
        <w:t>בו</w:t>
      </w:r>
      <w:r w:rsidRPr="003C7C89">
        <w:rPr>
          <w:rFonts w:cs="Arial"/>
          <w:rtl/>
        </w:rPr>
        <w:t xml:space="preserve"> </w:t>
      </w:r>
      <w:r w:rsidRPr="003C7C89">
        <w:rPr>
          <w:rFonts w:cs="Arial" w:hint="cs"/>
          <w:rtl/>
        </w:rPr>
        <w:t>הולד</w:t>
      </w:r>
      <w:r w:rsidRPr="003C7C89">
        <w:rPr>
          <w:rFonts w:cs="Arial"/>
          <w:rtl/>
        </w:rPr>
        <w:t xml:space="preserve"> </w:t>
      </w:r>
      <w:r w:rsidRPr="003C7C89">
        <w:rPr>
          <w:rFonts w:cs="Arial" w:hint="cs"/>
          <w:rtl/>
        </w:rPr>
        <w:t>ממזר</w:t>
      </w:r>
      <w:r>
        <w:rPr>
          <w:rFonts w:cs="Arial" w:hint="cs"/>
          <w:rtl/>
        </w:rPr>
        <w:t>.</w:t>
      </w:r>
      <w:r w:rsidRPr="003C7C89">
        <w:rPr>
          <w:rFonts w:cs="Arial"/>
          <w:rtl/>
        </w:rPr>
        <w:t xml:space="preserve"> </w:t>
      </w:r>
    </w:p>
    <w:p w14:paraId="6D7E03A3" w14:textId="2054F9F3" w:rsidR="00FA2119" w:rsidRPr="00D56874" w:rsidRDefault="00FA2119" w:rsidP="00FA2119">
      <w:pPr>
        <w:pStyle w:val="ab"/>
        <w:numPr>
          <w:ilvl w:val="0"/>
          <w:numId w:val="61"/>
        </w:numPr>
      </w:pPr>
      <w:r w:rsidRPr="003C7C89">
        <w:rPr>
          <w:rFonts w:cs="Arial" w:hint="cs"/>
          <w:rtl/>
        </w:rPr>
        <w:t>רמ</w:t>
      </w:r>
      <w:r w:rsidRPr="003C7C89">
        <w:rPr>
          <w:rFonts w:cs="Arial"/>
          <w:rtl/>
        </w:rPr>
        <w:t>"</w:t>
      </w:r>
      <w:r w:rsidRPr="003C7C89">
        <w:rPr>
          <w:rFonts w:cs="Arial" w:hint="cs"/>
          <w:rtl/>
        </w:rPr>
        <w:t>ה</w:t>
      </w:r>
      <w:r>
        <w:rPr>
          <w:rFonts w:cs="Arial" w:hint="cs"/>
          <w:rtl/>
        </w:rPr>
        <w:t xml:space="preserve"> </w:t>
      </w:r>
      <w:r w:rsidRPr="00F652E1">
        <w:rPr>
          <w:rFonts w:cs="Arial"/>
          <w:sz w:val="16"/>
          <w:szCs w:val="16"/>
          <w:rtl/>
        </w:rPr>
        <w:t>(</w:t>
      </w:r>
      <w:r w:rsidRPr="00F652E1">
        <w:rPr>
          <w:rFonts w:cs="Arial" w:hint="cs"/>
          <w:sz w:val="16"/>
          <w:szCs w:val="16"/>
          <w:rtl/>
        </w:rPr>
        <w:t>חידושי</w:t>
      </w:r>
      <w:r w:rsidRPr="00F652E1">
        <w:rPr>
          <w:rFonts w:cs="Arial"/>
          <w:sz w:val="16"/>
          <w:szCs w:val="16"/>
          <w:rtl/>
        </w:rPr>
        <w:t xml:space="preserve"> </w:t>
      </w:r>
      <w:r w:rsidRPr="00F652E1">
        <w:rPr>
          <w:rFonts w:cs="Arial" w:hint="cs"/>
          <w:sz w:val="16"/>
          <w:szCs w:val="16"/>
          <w:rtl/>
        </w:rPr>
        <w:t>הרמ</w:t>
      </w:r>
      <w:r w:rsidRPr="00F652E1">
        <w:rPr>
          <w:rFonts w:cs="Arial"/>
          <w:sz w:val="16"/>
          <w:szCs w:val="16"/>
          <w:rtl/>
        </w:rPr>
        <w:t>"</w:t>
      </w:r>
      <w:r w:rsidRPr="00F652E1">
        <w:rPr>
          <w:rFonts w:cs="Arial" w:hint="cs"/>
          <w:sz w:val="16"/>
          <w:szCs w:val="16"/>
          <w:rtl/>
        </w:rPr>
        <w:t>ה</w:t>
      </w:r>
      <w:r w:rsidRPr="00F652E1">
        <w:rPr>
          <w:rFonts w:cs="Arial"/>
          <w:sz w:val="16"/>
          <w:szCs w:val="16"/>
          <w:rtl/>
        </w:rPr>
        <w:t xml:space="preserve"> </w:t>
      </w:r>
      <w:r w:rsidRPr="00F652E1">
        <w:rPr>
          <w:rFonts w:cs="Arial" w:hint="cs"/>
          <w:sz w:val="16"/>
          <w:szCs w:val="16"/>
          <w:rtl/>
        </w:rPr>
        <w:t>גיטין</w:t>
      </w:r>
      <w:r w:rsidRPr="00F652E1">
        <w:rPr>
          <w:rFonts w:cs="Arial"/>
          <w:sz w:val="16"/>
          <w:szCs w:val="16"/>
          <w:rtl/>
        </w:rPr>
        <w:t xml:space="preserve"> </w:t>
      </w:r>
      <w:r w:rsidRPr="00F652E1">
        <w:rPr>
          <w:rFonts w:cs="Arial" w:hint="cs"/>
          <w:sz w:val="16"/>
          <w:szCs w:val="16"/>
          <w:rtl/>
        </w:rPr>
        <w:t>פ</w:t>
      </w:r>
      <w:r w:rsidRPr="00F652E1">
        <w:rPr>
          <w:rFonts w:cs="Arial"/>
          <w:sz w:val="16"/>
          <w:szCs w:val="16"/>
          <w:rtl/>
        </w:rPr>
        <w:t xml:space="preserve">. </w:t>
      </w:r>
      <w:r w:rsidRPr="00F652E1">
        <w:rPr>
          <w:rFonts w:cs="Arial" w:hint="cs"/>
          <w:sz w:val="16"/>
          <w:szCs w:val="16"/>
          <w:rtl/>
        </w:rPr>
        <w:t>ד</w:t>
      </w:r>
      <w:r w:rsidRPr="00F652E1">
        <w:rPr>
          <w:rFonts w:cs="Arial"/>
          <w:sz w:val="16"/>
          <w:szCs w:val="16"/>
          <w:rtl/>
        </w:rPr>
        <w:t>"</w:t>
      </w:r>
      <w:r w:rsidRPr="00F652E1">
        <w:rPr>
          <w:rFonts w:cs="Arial" w:hint="cs"/>
          <w:sz w:val="16"/>
          <w:szCs w:val="16"/>
          <w:rtl/>
        </w:rPr>
        <w:t>ה</w:t>
      </w:r>
      <w:r w:rsidRPr="00F652E1">
        <w:rPr>
          <w:rFonts w:cs="Arial"/>
          <w:sz w:val="16"/>
          <w:szCs w:val="16"/>
          <w:rtl/>
        </w:rPr>
        <w:t xml:space="preserve"> </w:t>
      </w:r>
      <w:r w:rsidRPr="00F652E1">
        <w:rPr>
          <w:rFonts w:cs="Arial" w:hint="cs"/>
          <w:sz w:val="16"/>
          <w:szCs w:val="16"/>
          <w:rtl/>
        </w:rPr>
        <w:t>והא</w:t>
      </w:r>
      <w:r w:rsidRPr="00F652E1">
        <w:rPr>
          <w:rFonts w:cs="Arial"/>
          <w:sz w:val="16"/>
          <w:szCs w:val="16"/>
          <w:rtl/>
        </w:rPr>
        <w:t>)</w:t>
      </w:r>
      <w:r w:rsidR="00A82951">
        <w:rPr>
          <w:rFonts w:cs="Arial" w:hint="cs"/>
          <w:rtl/>
        </w:rPr>
        <w:t>-</w:t>
      </w:r>
      <w:r>
        <w:rPr>
          <w:rFonts w:cs="Arial" w:hint="cs"/>
          <w:rtl/>
        </w:rPr>
        <w:t xml:space="preserve"> </w:t>
      </w:r>
      <w:r w:rsidRPr="003C7C89">
        <w:rPr>
          <w:rFonts w:cs="Arial" w:hint="cs"/>
          <w:rtl/>
        </w:rPr>
        <w:t>אפילו</w:t>
      </w:r>
      <w:r w:rsidRPr="003C7C89">
        <w:rPr>
          <w:rFonts w:cs="Arial"/>
          <w:rtl/>
        </w:rPr>
        <w:t xml:space="preserve"> </w:t>
      </w:r>
      <w:r w:rsidRPr="003C7C89">
        <w:rPr>
          <w:rFonts w:cs="Arial" w:hint="cs"/>
          <w:rtl/>
        </w:rPr>
        <w:t>אם</w:t>
      </w:r>
      <w:r w:rsidRPr="003C7C89">
        <w:rPr>
          <w:rFonts w:cs="Arial"/>
          <w:rtl/>
        </w:rPr>
        <w:t xml:space="preserve"> </w:t>
      </w:r>
      <w:r w:rsidRPr="003C7C89">
        <w:rPr>
          <w:rFonts w:cs="Arial" w:hint="cs"/>
          <w:rtl/>
        </w:rPr>
        <w:t>נשאת</w:t>
      </w:r>
      <w:r w:rsidRPr="003C7C89">
        <w:rPr>
          <w:rFonts w:cs="Arial"/>
          <w:rtl/>
        </w:rPr>
        <w:t xml:space="preserve"> </w:t>
      </w:r>
      <w:r w:rsidRPr="003C7C89">
        <w:rPr>
          <w:rFonts w:cs="Arial" w:hint="cs"/>
          <w:rtl/>
        </w:rPr>
        <w:t>תצא</w:t>
      </w:r>
      <w:r>
        <w:rPr>
          <w:rFonts w:cs="Arial" w:hint="cs"/>
          <w:rtl/>
        </w:rPr>
        <w:t>,</w:t>
      </w:r>
      <w:r w:rsidRPr="003C7C89">
        <w:rPr>
          <w:rFonts w:cs="Arial"/>
          <w:rtl/>
        </w:rPr>
        <w:t xml:space="preserve"> </w:t>
      </w:r>
      <w:r w:rsidRPr="003C7C89">
        <w:rPr>
          <w:rFonts w:cs="Arial" w:hint="cs"/>
          <w:rtl/>
        </w:rPr>
        <w:t>אבל</w:t>
      </w:r>
      <w:r w:rsidRPr="003C7C89">
        <w:rPr>
          <w:rFonts w:cs="Arial"/>
          <w:rtl/>
        </w:rPr>
        <w:t xml:space="preserve"> </w:t>
      </w:r>
      <w:r w:rsidRPr="003C7C89">
        <w:rPr>
          <w:rFonts w:cs="Arial" w:hint="cs"/>
          <w:rtl/>
        </w:rPr>
        <w:t>הולד</w:t>
      </w:r>
      <w:r w:rsidRPr="003C7C89">
        <w:rPr>
          <w:rFonts w:cs="Arial"/>
          <w:rtl/>
        </w:rPr>
        <w:t xml:space="preserve"> </w:t>
      </w:r>
      <w:r w:rsidRPr="003C7C89">
        <w:rPr>
          <w:rFonts w:cs="Arial" w:hint="cs"/>
          <w:rtl/>
        </w:rPr>
        <w:t>כשר</w:t>
      </w:r>
      <w:r w:rsidRPr="003C7C89">
        <w:rPr>
          <w:rFonts w:cs="Arial"/>
          <w:rtl/>
        </w:rPr>
        <w:t xml:space="preserve"> </w:t>
      </w:r>
      <w:r w:rsidRPr="003C7C89">
        <w:rPr>
          <w:rFonts w:cs="Arial" w:hint="cs"/>
          <w:rtl/>
        </w:rPr>
        <w:t>מן</w:t>
      </w:r>
      <w:r w:rsidRPr="003C7C89">
        <w:rPr>
          <w:rFonts w:cs="Arial"/>
          <w:rtl/>
        </w:rPr>
        <w:t xml:space="preserve"> </w:t>
      </w:r>
      <w:r w:rsidRPr="003C7C89">
        <w:rPr>
          <w:rFonts w:cs="Arial" w:hint="cs"/>
          <w:rtl/>
        </w:rPr>
        <w:t>השני</w:t>
      </w:r>
      <w:r>
        <w:rPr>
          <w:rFonts w:cs="Arial" w:hint="cs"/>
          <w:rtl/>
        </w:rPr>
        <w:t>.</w:t>
      </w:r>
      <w:r w:rsidRPr="003C7C89">
        <w:rPr>
          <w:rFonts w:cs="Arial"/>
          <w:rtl/>
        </w:rPr>
        <w:t xml:space="preserve"> </w:t>
      </w:r>
      <w:r w:rsidRPr="003C7C89">
        <w:rPr>
          <w:rFonts w:cs="Arial" w:hint="cs"/>
          <w:rtl/>
        </w:rPr>
        <w:t>ודוקא</w:t>
      </w:r>
      <w:r w:rsidRPr="003C7C89">
        <w:rPr>
          <w:rFonts w:cs="Arial"/>
          <w:rtl/>
        </w:rPr>
        <w:t xml:space="preserve"> </w:t>
      </w:r>
      <w:r w:rsidRPr="003C7C89">
        <w:rPr>
          <w:rFonts w:cs="Arial" w:hint="cs"/>
          <w:rtl/>
        </w:rPr>
        <w:t>מן</w:t>
      </w:r>
      <w:r w:rsidRPr="003C7C89">
        <w:rPr>
          <w:rFonts w:cs="Arial"/>
          <w:rtl/>
        </w:rPr>
        <w:t xml:space="preserve"> </w:t>
      </w:r>
      <w:r w:rsidRPr="003C7C89">
        <w:rPr>
          <w:rFonts w:cs="Arial" w:hint="cs"/>
          <w:rtl/>
        </w:rPr>
        <w:t>השני</w:t>
      </w:r>
      <w:r>
        <w:rPr>
          <w:rFonts w:cs="Arial" w:hint="cs"/>
          <w:rtl/>
        </w:rPr>
        <w:t>,</w:t>
      </w:r>
      <w:r w:rsidRPr="003C7C89">
        <w:rPr>
          <w:rFonts w:cs="Arial"/>
          <w:rtl/>
        </w:rPr>
        <w:t xml:space="preserve"> </w:t>
      </w:r>
      <w:r w:rsidRPr="003C7C89">
        <w:rPr>
          <w:rFonts w:cs="Arial" w:hint="cs"/>
          <w:rtl/>
        </w:rPr>
        <w:t>אבל</w:t>
      </w:r>
      <w:r w:rsidRPr="003C7C89">
        <w:rPr>
          <w:rFonts w:cs="Arial"/>
          <w:rtl/>
        </w:rPr>
        <w:t xml:space="preserve"> </w:t>
      </w:r>
      <w:r w:rsidRPr="003C7C89">
        <w:rPr>
          <w:rFonts w:cs="Arial" w:hint="cs"/>
          <w:rtl/>
        </w:rPr>
        <w:t>מן</w:t>
      </w:r>
      <w:r w:rsidRPr="003C7C89">
        <w:rPr>
          <w:rFonts w:cs="Arial"/>
          <w:rtl/>
        </w:rPr>
        <w:t xml:space="preserve"> </w:t>
      </w:r>
      <w:r w:rsidRPr="003C7C89">
        <w:rPr>
          <w:rFonts w:cs="Arial" w:hint="cs"/>
          <w:rtl/>
        </w:rPr>
        <w:t>הראשון</w:t>
      </w:r>
      <w:r w:rsidRPr="003C7C89">
        <w:rPr>
          <w:rFonts w:cs="Arial"/>
          <w:rtl/>
        </w:rPr>
        <w:t xml:space="preserve"> </w:t>
      </w:r>
      <w:r w:rsidRPr="003C7C89">
        <w:rPr>
          <w:rFonts w:cs="Arial" w:hint="cs"/>
          <w:rtl/>
        </w:rPr>
        <w:t>הוי</w:t>
      </w:r>
      <w:r w:rsidRPr="003C7C89">
        <w:rPr>
          <w:rFonts w:cs="Arial"/>
          <w:rtl/>
        </w:rPr>
        <w:t xml:space="preserve"> </w:t>
      </w:r>
      <w:r w:rsidRPr="003C7C89">
        <w:rPr>
          <w:rFonts w:cs="Arial" w:hint="cs"/>
          <w:rtl/>
        </w:rPr>
        <w:t>ממזר</w:t>
      </w:r>
      <w:r>
        <w:rPr>
          <w:rStyle w:val="a7"/>
          <w:rFonts w:cs="Arial"/>
          <w:rtl/>
        </w:rPr>
        <w:footnoteReference w:id="948"/>
      </w:r>
      <w:r w:rsidRPr="0008149A">
        <w:rPr>
          <w:rFonts w:cs="Arial" w:hint="cs"/>
          <w:rtl/>
        </w:rPr>
        <w:t>.</w:t>
      </w:r>
      <w:r w:rsidRPr="0008149A">
        <w:rPr>
          <w:rFonts w:cs="Arial"/>
          <w:rtl/>
        </w:rPr>
        <w:t xml:space="preserve"> </w:t>
      </w:r>
    </w:p>
    <w:p w14:paraId="165E7343"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0788C4F" w14:textId="77777777" w:rsidR="00FA2119" w:rsidRDefault="00FA2119" w:rsidP="00FA2119">
      <w:pPr>
        <w:rPr>
          <w:rtl/>
        </w:rPr>
      </w:pPr>
      <w:r>
        <w:rPr>
          <w:rFonts w:cs="Arial" w:hint="cs"/>
          <w:rtl/>
        </w:rPr>
        <w:t>צריך</w:t>
      </w:r>
      <w:r>
        <w:rPr>
          <w:rStyle w:val="a7"/>
          <w:rFonts w:cs="Arial"/>
          <w:rtl/>
        </w:rPr>
        <w:footnoteReference w:id="949"/>
      </w:r>
      <w:r>
        <w:rPr>
          <w:rFonts w:cs="Arial"/>
          <w:rtl/>
        </w:rPr>
        <w:t xml:space="preserve"> </w:t>
      </w:r>
      <w:r>
        <w:rPr>
          <w:rFonts w:cs="Arial" w:hint="cs"/>
          <w:rtl/>
        </w:rPr>
        <w:t>להזכיר</w:t>
      </w:r>
      <w:r>
        <w:rPr>
          <w:rFonts w:cs="Arial"/>
          <w:rtl/>
        </w:rPr>
        <w:t xml:space="preserve"> </w:t>
      </w:r>
      <w:r>
        <w:rPr>
          <w:rFonts w:cs="Arial" w:hint="cs"/>
          <w:rtl/>
        </w:rPr>
        <w:t>בגט</w:t>
      </w:r>
      <w:r>
        <w:rPr>
          <w:rFonts w:cs="Arial"/>
          <w:rtl/>
        </w:rPr>
        <w:t xml:space="preserve"> </w:t>
      </w:r>
      <w:r>
        <w:rPr>
          <w:rFonts w:cs="Arial" w:hint="cs"/>
          <w:rtl/>
        </w:rPr>
        <w:t>שם</w:t>
      </w:r>
      <w:r>
        <w:rPr>
          <w:rFonts w:cs="Arial"/>
          <w:rtl/>
        </w:rPr>
        <w:t xml:space="preserve"> </w:t>
      </w:r>
      <w:r>
        <w:rPr>
          <w:rFonts w:cs="Arial" w:hint="cs"/>
          <w:rtl/>
        </w:rPr>
        <w:t>המקום</w:t>
      </w:r>
      <w:r>
        <w:rPr>
          <w:rFonts w:cs="Arial"/>
          <w:rtl/>
        </w:rPr>
        <w:t xml:space="preserve"> </w:t>
      </w:r>
      <w:r>
        <w:rPr>
          <w:rFonts w:cs="Arial" w:hint="cs"/>
          <w:rtl/>
        </w:rPr>
        <w:t>שהעדים</w:t>
      </w:r>
      <w:r>
        <w:rPr>
          <w:rFonts w:cs="Arial"/>
          <w:rtl/>
        </w:rPr>
        <w:t xml:space="preserve"> </w:t>
      </w:r>
      <w:r>
        <w:rPr>
          <w:rFonts w:cs="Arial" w:hint="cs"/>
          <w:rtl/>
        </w:rPr>
        <w:t>עומדים</w:t>
      </w:r>
      <w:r>
        <w:rPr>
          <w:rFonts w:cs="Arial"/>
          <w:rtl/>
        </w:rPr>
        <w:t xml:space="preserve"> </w:t>
      </w:r>
      <w:r>
        <w:rPr>
          <w:rFonts w:cs="Arial" w:hint="cs"/>
          <w:rtl/>
        </w:rPr>
        <w:t>שם</w:t>
      </w:r>
      <w:r>
        <w:rPr>
          <w:rFonts w:cs="Arial"/>
          <w:rtl/>
        </w:rPr>
        <w:t xml:space="preserve"> </w:t>
      </w:r>
      <w:r>
        <w:rPr>
          <w:rFonts w:cs="Arial" w:hint="cs"/>
          <w:rtl/>
        </w:rPr>
        <w:t>בשעת</w:t>
      </w:r>
      <w:r>
        <w:rPr>
          <w:rFonts w:cs="Arial"/>
          <w:rtl/>
        </w:rPr>
        <w:t xml:space="preserve"> </w:t>
      </w:r>
      <w:r>
        <w:rPr>
          <w:rFonts w:cs="Arial" w:hint="cs"/>
          <w:rtl/>
        </w:rPr>
        <w:t>חתימה</w:t>
      </w:r>
      <w:r>
        <w:rPr>
          <w:rFonts w:cs="Arial"/>
          <w:rtl/>
        </w:rPr>
        <w:t xml:space="preserve">: </w:t>
      </w:r>
      <w:r>
        <w:rPr>
          <w:rFonts w:cs="Arial" w:hint="cs"/>
          <w:rtl/>
        </w:rPr>
        <w:t>למנין</w:t>
      </w:r>
      <w:r>
        <w:rPr>
          <w:rFonts w:cs="Arial"/>
          <w:rtl/>
        </w:rPr>
        <w:t xml:space="preserve"> </w:t>
      </w:r>
      <w:r>
        <w:rPr>
          <w:rFonts w:cs="Arial" w:hint="cs"/>
          <w:rtl/>
        </w:rPr>
        <w:t>שאנו</w:t>
      </w:r>
      <w:r>
        <w:rPr>
          <w:rFonts w:cs="Arial"/>
          <w:rtl/>
        </w:rPr>
        <w:t xml:space="preserve"> </w:t>
      </w:r>
      <w:r>
        <w:rPr>
          <w:rFonts w:cs="Arial" w:hint="cs"/>
          <w:rtl/>
        </w:rPr>
        <w:t>מונין</w:t>
      </w:r>
      <w:r>
        <w:rPr>
          <w:rFonts w:cs="Arial"/>
          <w:rtl/>
        </w:rPr>
        <w:t xml:space="preserve"> </w:t>
      </w:r>
      <w:r>
        <w:rPr>
          <w:rFonts w:cs="Arial" w:hint="cs"/>
          <w:rtl/>
        </w:rPr>
        <w:t>בו</w:t>
      </w:r>
      <w:r>
        <w:rPr>
          <w:rFonts w:cs="Arial"/>
          <w:rtl/>
        </w:rPr>
        <w:t xml:space="preserve"> </w:t>
      </w:r>
      <w:r>
        <w:rPr>
          <w:rFonts w:cs="Arial" w:hint="cs"/>
          <w:rtl/>
        </w:rPr>
        <w:t>כאן</w:t>
      </w:r>
      <w:r>
        <w:rPr>
          <w:rFonts w:cs="Arial"/>
          <w:rtl/>
        </w:rPr>
        <w:t xml:space="preserve"> </w:t>
      </w:r>
      <w:r>
        <w:rPr>
          <w:rFonts w:cs="Arial" w:hint="cs"/>
          <w:rtl/>
        </w:rPr>
        <w:t>במתא</w:t>
      </w:r>
      <w:r>
        <w:rPr>
          <w:rFonts w:cs="Arial"/>
          <w:rtl/>
        </w:rPr>
        <w:t xml:space="preserve"> </w:t>
      </w:r>
      <w:r>
        <w:rPr>
          <w:rFonts w:cs="Arial" w:hint="cs"/>
          <w:rtl/>
        </w:rPr>
        <w:t>פלונית.</w:t>
      </w:r>
      <w:r>
        <w:rPr>
          <w:rFonts w:cs="Arial"/>
          <w:rtl/>
        </w:rPr>
        <w:t xml:space="preserve"> </w:t>
      </w:r>
      <w:r>
        <w:rPr>
          <w:rFonts w:cs="Arial" w:hint="cs"/>
          <w:rtl/>
        </w:rPr>
        <w:t>ואם</w:t>
      </w:r>
      <w:r>
        <w:rPr>
          <w:rFonts w:cs="Arial"/>
          <w:rtl/>
        </w:rPr>
        <w:t xml:space="preserve"> </w:t>
      </w:r>
      <w:r>
        <w:rPr>
          <w:rFonts w:cs="Arial" w:hint="cs"/>
          <w:rtl/>
        </w:rPr>
        <w:t>שינה</w:t>
      </w:r>
      <w:r>
        <w:rPr>
          <w:rFonts w:cs="Arial"/>
          <w:rtl/>
        </w:rPr>
        <w:t xml:space="preserve"> </w:t>
      </w:r>
      <w:r>
        <w:rPr>
          <w:rFonts w:cs="Arial" w:hint="cs"/>
          <w:rtl/>
        </w:rPr>
        <w:t>והזכיר</w:t>
      </w:r>
      <w:r>
        <w:rPr>
          <w:rFonts w:cs="Arial"/>
          <w:rtl/>
        </w:rPr>
        <w:t xml:space="preserve"> </w:t>
      </w:r>
      <w:r>
        <w:rPr>
          <w:rFonts w:cs="Arial" w:hint="cs"/>
          <w:rtl/>
        </w:rPr>
        <w:t>שם</w:t>
      </w:r>
      <w:r>
        <w:rPr>
          <w:rFonts w:cs="Arial"/>
          <w:rtl/>
        </w:rPr>
        <w:t xml:space="preserve"> </w:t>
      </w:r>
      <w:r>
        <w:rPr>
          <w:rFonts w:cs="Arial" w:hint="cs"/>
          <w:rtl/>
        </w:rPr>
        <w:t>מקום</w:t>
      </w:r>
      <w:r>
        <w:rPr>
          <w:rFonts w:cs="Arial"/>
          <w:rtl/>
        </w:rPr>
        <w:t xml:space="preserve"> </w:t>
      </w:r>
      <w:r>
        <w:rPr>
          <w:rFonts w:cs="Arial" w:hint="cs"/>
          <w:rtl/>
        </w:rPr>
        <w:t>אחר</w:t>
      </w:r>
      <w:r>
        <w:rPr>
          <w:rStyle w:val="a7"/>
          <w:rFonts w:cs="Arial"/>
          <w:rtl/>
        </w:rPr>
        <w:footnoteReference w:id="950"/>
      </w:r>
      <w:r>
        <w:rPr>
          <w:rFonts w:cs="Arial"/>
          <w:rtl/>
        </w:rPr>
        <w:t xml:space="preserve">, </w:t>
      </w:r>
      <w:r>
        <w:rPr>
          <w:rFonts w:cs="Arial" w:hint="cs"/>
          <w:rtl/>
        </w:rPr>
        <w:t>פסול.</w:t>
      </w:r>
      <w:r>
        <w:rPr>
          <w:rFonts w:cs="Arial"/>
          <w:rtl/>
        </w:rPr>
        <w:t xml:space="preserve"> </w:t>
      </w:r>
      <w:r>
        <w:rPr>
          <w:rFonts w:cs="Arial" w:hint="cs"/>
          <w:rtl/>
        </w:rPr>
        <w:t>ואם</w:t>
      </w:r>
      <w:r>
        <w:rPr>
          <w:rFonts w:cs="Arial"/>
          <w:rtl/>
        </w:rPr>
        <w:t xml:space="preserve"> </w:t>
      </w:r>
      <w:r>
        <w:rPr>
          <w:rFonts w:cs="Arial" w:hint="cs"/>
          <w:rtl/>
        </w:rPr>
        <w:t>נשאת</w:t>
      </w:r>
      <w:r>
        <w:rPr>
          <w:rFonts w:cs="Arial"/>
          <w:rtl/>
        </w:rPr>
        <w:t xml:space="preserve">, </w:t>
      </w:r>
      <w:r>
        <w:rPr>
          <w:rFonts w:cs="Arial" w:hint="cs"/>
          <w:rtl/>
        </w:rPr>
        <w:t>לא</w:t>
      </w:r>
      <w:r>
        <w:rPr>
          <w:rFonts w:cs="Arial"/>
          <w:rtl/>
        </w:rPr>
        <w:t xml:space="preserve"> </w:t>
      </w:r>
      <w:r>
        <w:rPr>
          <w:rFonts w:cs="Arial" w:hint="cs"/>
          <w:rtl/>
        </w:rPr>
        <w:t>תצא</w:t>
      </w:r>
      <w:r>
        <w:rPr>
          <w:rStyle w:val="a7"/>
          <w:rFonts w:cs="Arial"/>
          <w:rtl/>
        </w:rPr>
        <w:footnoteReference w:id="951"/>
      </w:r>
      <w:r>
        <w:rPr>
          <w:rFonts w:cs="Arial"/>
          <w:rtl/>
        </w:rPr>
        <w:t xml:space="preserve">. </w:t>
      </w:r>
      <w:r>
        <w:rPr>
          <w:rFonts w:cs="Arial" w:hint="cs"/>
          <w:rtl/>
        </w:rPr>
        <w:t>אבל</w:t>
      </w:r>
      <w:r>
        <w:rPr>
          <w:rFonts w:cs="Arial"/>
          <w:rtl/>
        </w:rPr>
        <w:t xml:space="preserve"> </w:t>
      </w:r>
      <w:r>
        <w:rPr>
          <w:rFonts w:cs="Arial" w:hint="cs"/>
          <w:rtl/>
        </w:rPr>
        <w:t>על</w:t>
      </w:r>
      <w:r>
        <w:rPr>
          <w:rFonts w:cs="Arial"/>
          <w:rtl/>
        </w:rPr>
        <w:t xml:space="preserve"> </w:t>
      </w:r>
      <w:r>
        <w:rPr>
          <w:rFonts w:cs="Arial" w:hint="cs"/>
          <w:rtl/>
        </w:rPr>
        <w:t>מקום</w:t>
      </w:r>
      <w:r>
        <w:rPr>
          <w:rFonts w:cs="Arial"/>
          <w:rtl/>
        </w:rPr>
        <w:t xml:space="preserve"> </w:t>
      </w:r>
      <w:r>
        <w:rPr>
          <w:rFonts w:cs="Arial" w:hint="cs"/>
          <w:rtl/>
        </w:rPr>
        <w:t>עמידת</w:t>
      </w:r>
      <w:r>
        <w:rPr>
          <w:rFonts w:cs="Arial"/>
          <w:rtl/>
        </w:rPr>
        <w:t xml:space="preserve"> </w:t>
      </w:r>
      <w:r>
        <w:rPr>
          <w:rFonts w:cs="Arial" w:hint="cs"/>
          <w:rtl/>
        </w:rPr>
        <w:t>הסופר</w:t>
      </w:r>
      <w:r>
        <w:rPr>
          <w:rFonts w:cs="Arial"/>
          <w:rtl/>
        </w:rPr>
        <w:t xml:space="preserve"> </w:t>
      </w:r>
      <w:r>
        <w:rPr>
          <w:rFonts w:cs="Arial" w:hint="cs"/>
          <w:rtl/>
        </w:rPr>
        <w:t>בשעת</w:t>
      </w:r>
      <w:r>
        <w:rPr>
          <w:rFonts w:cs="Arial"/>
          <w:rtl/>
        </w:rPr>
        <w:t xml:space="preserve"> </w:t>
      </w:r>
      <w:r>
        <w:rPr>
          <w:rFonts w:cs="Arial" w:hint="cs"/>
          <w:rtl/>
        </w:rPr>
        <w:t>כתיבה</w:t>
      </w:r>
      <w:r>
        <w:rPr>
          <w:rFonts w:cs="Arial"/>
          <w:rtl/>
        </w:rPr>
        <w:t xml:space="preserve">, </w:t>
      </w:r>
      <w:r>
        <w:rPr>
          <w:rFonts w:cs="Arial" w:hint="cs"/>
          <w:rtl/>
        </w:rPr>
        <w:t>אין</w:t>
      </w:r>
      <w:r>
        <w:rPr>
          <w:rFonts w:cs="Arial"/>
          <w:rtl/>
        </w:rPr>
        <w:t xml:space="preserve"> </w:t>
      </w:r>
      <w:r>
        <w:rPr>
          <w:rFonts w:cs="Arial" w:hint="cs"/>
          <w:rtl/>
        </w:rPr>
        <w:t>לחוש</w:t>
      </w:r>
      <w:r>
        <w:rPr>
          <w:rFonts w:cs="Arial"/>
          <w:rtl/>
        </w:rPr>
        <w:t xml:space="preserve">. </w:t>
      </w:r>
      <w:r>
        <w:rPr>
          <w:rFonts w:cs="Arial" w:hint="cs"/>
          <w:rtl/>
        </w:rPr>
        <w:t>לפיכך</w:t>
      </w:r>
      <w:r>
        <w:rPr>
          <w:rFonts w:cs="Arial"/>
          <w:rtl/>
        </w:rPr>
        <w:t xml:space="preserve"> </w:t>
      </w:r>
      <w:r>
        <w:rPr>
          <w:rFonts w:cs="Arial" w:hint="cs"/>
          <w:rtl/>
        </w:rPr>
        <w:t>אם</w:t>
      </w:r>
      <w:r>
        <w:rPr>
          <w:rFonts w:cs="Arial"/>
          <w:rtl/>
        </w:rPr>
        <w:t xml:space="preserve"> </w:t>
      </w:r>
      <w:r>
        <w:rPr>
          <w:rFonts w:cs="Arial" w:hint="cs"/>
          <w:rtl/>
        </w:rPr>
        <w:t>נכתב</w:t>
      </w:r>
      <w:r>
        <w:rPr>
          <w:rFonts w:cs="Arial"/>
          <w:rtl/>
        </w:rPr>
        <w:t xml:space="preserve"> </w:t>
      </w:r>
      <w:r>
        <w:rPr>
          <w:rFonts w:cs="Arial" w:hint="cs"/>
          <w:rtl/>
        </w:rPr>
        <w:t>במקום</w:t>
      </w:r>
      <w:r>
        <w:rPr>
          <w:rFonts w:cs="Arial"/>
          <w:rtl/>
        </w:rPr>
        <w:t xml:space="preserve"> </w:t>
      </w:r>
      <w:r>
        <w:rPr>
          <w:rFonts w:cs="Arial" w:hint="cs"/>
          <w:rtl/>
        </w:rPr>
        <w:t>אחד</w:t>
      </w:r>
      <w:r>
        <w:rPr>
          <w:rFonts w:cs="Arial"/>
          <w:rtl/>
        </w:rPr>
        <w:t xml:space="preserve"> </w:t>
      </w:r>
      <w:r>
        <w:rPr>
          <w:rFonts w:cs="Arial" w:hint="cs"/>
          <w:rtl/>
        </w:rPr>
        <w:t>ונחתם</w:t>
      </w:r>
      <w:r>
        <w:rPr>
          <w:rFonts w:cs="Arial"/>
          <w:rtl/>
        </w:rPr>
        <w:t xml:space="preserve"> </w:t>
      </w:r>
      <w:r>
        <w:rPr>
          <w:rFonts w:cs="Arial" w:hint="cs"/>
          <w:rtl/>
        </w:rPr>
        <w:t>במקום</w:t>
      </w:r>
      <w:r>
        <w:rPr>
          <w:rFonts w:cs="Arial"/>
          <w:rtl/>
        </w:rPr>
        <w:t xml:space="preserve"> </w:t>
      </w:r>
      <w:r>
        <w:rPr>
          <w:rFonts w:cs="Arial" w:hint="cs"/>
          <w:rtl/>
        </w:rPr>
        <w:t>אחר</w:t>
      </w:r>
      <w:r>
        <w:rPr>
          <w:rFonts w:cs="Arial"/>
          <w:rtl/>
        </w:rPr>
        <w:t xml:space="preserve">, </w:t>
      </w:r>
      <w:r>
        <w:rPr>
          <w:rFonts w:cs="Arial" w:hint="cs"/>
          <w:rtl/>
        </w:rPr>
        <w:t>יזכיר</w:t>
      </w:r>
      <w:r>
        <w:rPr>
          <w:rFonts w:cs="Arial"/>
          <w:rtl/>
        </w:rPr>
        <w:t xml:space="preserve"> </w:t>
      </w:r>
      <w:r>
        <w:rPr>
          <w:rFonts w:cs="Arial" w:hint="cs"/>
          <w:rtl/>
        </w:rPr>
        <w:t>שם</w:t>
      </w:r>
      <w:r>
        <w:rPr>
          <w:rFonts w:cs="Arial"/>
          <w:rtl/>
        </w:rPr>
        <w:t xml:space="preserve"> </w:t>
      </w:r>
      <w:r>
        <w:rPr>
          <w:rFonts w:cs="Arial" w:hint="cs"/>
          <w:rtl/>
        </w:rPr>
        <w:t>המקום</w:t>
      </w:r>
      <w:r>
        <w:rPr>
          <w:rFonts w:cs="Arial"/>
          <w:rtl/>
        </w:rPr>
        <w:t xml:space="preserve"> </w:t>
      </w:r>
      <w:r>
        <w:rPr>
          <w:rFonts w:cs="Arial" w:hint="cs"/>
          <w:rtl/>
        </w:rPr>
        <w:t>שנחתם</w:t>
      </w:r>
      <w:r>
        <w:rPr>
          <w:rFonts w:cs="Arial"/>
          <w:rtl/>
        </w:rPr>
        <w:t xml:space="preserve"> </w:t>
      </w:r>
      <w:r>
        <w:rPr>
          <w:rFonts w:cs="Arial" w:hint="cs"/>
          <w:rtl/>
        </w:rPr>
        <w:t>בו</w:t>
      </w:r>
      <w:r>
        <w:rPr>
          <w:rFonts w:cs="Arial"/>
          <w:rtl/>
        </w:rPr>
        <w:t xml:space="preserve">. </w:t>
      </w:r>
      <w:r>
        <w:rPr>
          <w:rFonts w:cs="Arial" w:hint="cs"/>
          <w:rtl/>
        </w:rPr>
        <w:t>ויש אומרים</w:t>
      </w:r>
      <w:r>
        <w:rPr>
          <w:rStyle w:val="a7"/>
          <w:rFonts w:cs="Arial"/>
          <w:rtl/>
        </w:rPr>
        <w:footnoteReference w:id="952"/>
      </w:r>
      <w:r>
        <w:rPr>
          <w:rFonts w:cs="Arial"/>
          <w:rtl/>
        </w:rPr>
        <w:t xml:space="preserve"> </w:t>
      </w:r>
      <w:r>
        <w:rPr>
          <w:rFonts w:cs="Arial" w:hint="cs"/>
          <w:rtl/>
        </w:rPr>
        <w:t>שגם</w:t>
      </w:r>
      <w:r>
        <w:rPr>
          <w:rFonts w:cs="Arial"/>
          <w:rtl/>
        </w:rPr>
        <w:t xml:space="preserve"> </w:t>
      </w:r>
      <w:r>
        <w:rPr>
          <w:rFonts w:cs="Arial" w:hint="cs"/>
          <w:rtl/>
        </w:rPr>
        <w:t>על</w:t>
      </w:r>
      <w:r>
        <w:rPr>
          <w:rFonts w:cs="Arial"/>
          <w:rtl/>
        </w:rPr>
        <w:t xml:space="preserve"> </w:t>
      </w:r>
      <w:r>
        <w:rPr>
          <w:rFonts w:cs="Arial" w:hint="cs"/>
          <w:rtl/>
        </w:rPr>
        <w:t>מקום</w:t>
      </w:r>
      <w:r>
        <w:rPr>
          <w:rFonts w:cs="Arial"/>
          <w:rtl/>
        </w:rPr>
        <w:t xml:space="preserve"> </w:t>
      </w:r>
      <w:r>
        <w:rPr>
          <w:rFonts w:cs="Arial" w:hint="cs"/>
          <w:rtl/>
        </w:rPr>
        <w:t>עמידת</w:t>
      </w:r>
      <w:r>
        <w:rPr>
          <w:rFonts w:cs="Arial"/>
          <w:rtl/>
        </w:rPr>
        <w:t xml:space="preserve"> </w:t>
      </w:r>
      <w:r>
        <w:rPr>
          <w:rFonts w:cs="Arial" w:hint="cs"/>
          <w:rtl/>
        </w:rPr>
        <w:t>הסופר</w:t>
      </w:r>
      <w:r>
        <w:rPr>
          <w:rFonts w:cs="Arial"/>
          <w:rtl/>
        </w:rPr>
        <w:t xml:space="preserve"> </w:t>
      </w:r>
      <w:r>
        <w:rPr>
          <w:rFonts w:cs="Arial" w:hint="cs"/>
          <w:rtl/>
        </w:rPr>
        <w:t>יש</w:t>
      </w:r>
      <w:r>
        <w:rPr>
          <w:rFonts w:cs="Arial"/>
          <w:rtl/>
        </w:rPr>
        <w:t xml:space="preserve"> </w:t>
      </w:r>
      <w:r>
        <w:rPr>
          <w:rFonts w:cs="Arial" w:hint="cs"/>
          <w:rtl/>
        </w:rPr>
        <w:t>להקפיד</w:t>
      </w:r>
      <w:r>
        <w:rPr>
          <w:rFonts w:cs="Arial"/>
          <w:rtl/>
        </w:rPr>
        <w:t xml:space="preserve">, </w:t>
      </w:r>
      <w:r>
        <w:rPr>
          <w:rFonts w:cs="Arial" w:hint="cs"/>
          <w:rtl/>
        </w:rPr>
        <w:t>וצריך</w:t>
      </w:r>
      <w:r>
        <w:rPr>
          <w:rFonts w:cs="Arial"/>
          <w:rtl/>
        </w:rPr>
        <w:t xml:space="preserve"> </w:t>
      </w:r>
      <w:r>
        <w:rPr>
          <w:rFonts w:cs="Arial" w:hint="cs"/>
          <w:rtl/>
        </w:rPr>
        <w:t>שיעמדו</w:t>
      </w:r>
      <w:r>
        <w:rPr>
          <w:rFonts w:cs="Arial"/>
          <w:rtl/>
        </w:rPr>
        <w:t xml:space="preserve"> </w:t>
      </w:r>
      <w:r>
        <w:rPr>
          <w:rFonts w:cs="Arial" w:hint="cs"/>
          <w:rtl/>
        </w:rPr>
        <w:t>הסופר</w:t>
      </w:r>
      <w:r>
        <w:rPr>
          <w:rFonts w:cs="Arial"/>
          <w:rtl/>
        </w:rPr>
        <w:t xml:space="preserve"> </w:t>
      </w:r>
      <w:r>
        <w:rPr>
          <w:rFonts w:cs="Arial" w:hint="cs"/>
          <w:rtl/>
        </w:rPr>
        <w:t>והעדים</w:t>
      </w:r>
      <w:r>
        <w:rPr>
          <w:rFonts w:cs="Arial"/>
          <w:rtl/>
        </w:rPr>
        <w:t xml:space="preserve"> </w:t>
      </w:r>
      <w:r>
        <w:rPr>
          <w:rFonts w:cs="Arial" w:hint="cs"/>
          <w:rtl/>
        </w:rPr>
        <w:t>במקום</w:t>
      </w:r>
      <w:r>
        <w:rPr>
          <w:rFonts w:cs="Arial"/>
          <w:rtl/>
        </w:rPr>
        <w:t xml:space="preserve"> </w:t>
      </w:r>
      <w:r>
        <w:rPr>
          <w:rFonts w:cs="Arial" w:hint="cs"/>
          <w:rtl/>
        </w:rPr>
        <w:t>אחד</w:t>
      </w:r>
      <w:r>
        <w:rPr>
          <w:rFonts w:cs="Arial"/>
          <w:rtl/>
        </w:rPr>
        <w:t xml:space="preserve">. </w:t>
      </w:r>
    </w:p>
    <w:p w14:paraId="6BAB8AAA" w14:textId="77777777" w:rsidR="00FA2119" w:rsidRDefault="00FA2119" w:rsidP="00FA2119">
      <w:pPr>
        <w:rPr>
          <w:rFonts w:cs="Arial"/>
          <w:rtl/>
        </w:rPr>
      </w:pPr>
      <w:r w:rsidRPr="007F6918">
        <w:rPr>
          <w:rFonts w:cs="Arial" w:hint="cs"/>
          <w:u w:val="single"/>
          <w:rtl/>
        </w:rPr>
        <w:t>המגרש בעיבורו של עיר:</w:t>
      </w:r>
    </w:p>
    <w:p w14:paraId="2EF37F0A" w14:textId="2E1D8DCB" w:rsidR="00FA2119" w:rsidRDefault="00FA2119" w:rsidP="00FA2119">
      <w:pPr>
        <w:pStyle w:val="ab"/>
        <w:numPr>
          <w:ilvl w:val="0"/>
          <w:numId w:val="62"/>
        </w:numPr>
      </w:pPr>
      <w:r>
        <w:rPr>
          <w:rFonts w:cs="Arial" w:hint="cs"/>
          <w:rtl/>
        </w:rPr>
        <w:lastRenderedPageBreak/>
        <w:t>מהרי"ו</w:t>
      </w:r>
      <w:r>
        <w:rPr>
          <w:rStyle w:val="a7"/>
          <w:rFonts w:cs="Arial"/>
          <w:rtl/>
        </w:rPr>
        <w:footnoteReference w:id="953"/>
      </w:r>
      <w:r>
        <w:rPr>
          <w:rFonts w:cs="Arial" w:hint="cs"/>
          <w:rtl/>
        </w:rPr>
        <w:t xml:space="preserve"> </w:t>
      </w:r>
      <w:r w:rsidRPr="007F6918">
        <w:rPr>
          <w:rFonts w:cs="Arial" w:hint="cs"/>
          <w:sz w:val="16"/>
          <w:szCs w:val="16"/>
          <w:rtl/>
        </w:rPr>
        <w:t>(סי' עא</w:t>
      </w:r>
      <w:r>
        <w:rPr>
          <w:rFonts w:cs="Arial" w:hint="cs"/>
          <w:sz w:val="16"/>
          <w:szCs w:val="16"/>
          <w:rtl/>
        </w:rPr>
        <w:t>, הביאוהו הדרכ"מ [סי' קכט אות כד] והב"ש [סק"א]</w:t>
      </w:r>
      <w:r w:rsidRPr="007F6918">
        <w:rPr>
          <w:rFonts w:cs="Arial" w:hint="cs"/>
          <w:sz w:val="16"/>
          <w:szCs w:val="16"/>
          <w:rtl/>
        </w:rPr>
        <w:t xml:space="preserve">) </w:t>
      </w:r>
      <w:r>
        <w:rPr>
          <w:rFonts w:cs="Arial" w:hint="cs"/>
          <w:rtl/>
        </w:rPr>
        <w:t>ו</w:t>
      </w:r>
      <w:r w:rsidRPr="007F6918">
        <w:rPr>
          <w:rFonts w:cs="Arial" w:hint="cs"/>
          <w:rtl/>
        </w:rPr>
        <w:t xml:space="preserve">ב"ש </w:t>
      </w:r>
      <w:r w:rsidRPr="007F6918">
        <w:rPr>
          <w:rFonts w:cs="Arial" w:hint="cs"/>
          <w:sz w:val="16"/>
          <w:szCs w:val="16"/>
          <w:rtl/>
        </w:rPr>
        <w:t>(סק"א)</w:t>
      </w:r>
      <w:r w:rsidR="00A82951">
        <w:rPr>
          <w:rFonts w:cs="Arial" w:hint="cs"/>
          <w:rtl/>
        </w:rPr>
        <w:t>-</w:t>
      </w:r>
      <w:r w:rsidRPr="007F6918">
        <w:rPr>
          <w:rFonts w:cs="Arial" w:hint="cs"/>
          <w:rtl/>
        </w:rPr>
        <w:t xml:space="preserve"> </w:t>
      </w:r>
      <w:r w:rsidRPr="007F6918">
        <w:rPr>
          <w:rFonts w:cs="Arial"/>
          <w:rtl/>
        </w:rPr>
        <w:t>אם כותבין גט תוך עבורה של עיר</w:t>
      </w:r>
      <w:r>
        <w:rPr>
          <w:rFonts w:cs="Arial" w:hint="cs"/>
          <w:rtl/>
        </w:rPr>
        <w:t xml:space="preserve">, </w:t>
      </w:r>
      <w:r w:rsidRPr="007F6918">
        <w:rPr>
          <w:rFonts w:cs="Arial"/>
          <w:rtl/>
        </w:rPr>
        <w:t>כותבין העומדת כאן</w:t>
      </w:r>
      <w:r>
        <w:rPr>
          <w:rFonts w:cs="Arial" w:hint="cs"/>
          <w:rtl/>
        </w:rPr>
        <w:t>,</w:t>
      </w:r>
      <w:r w:rsidRPr="007F6918">
        <w:rPr>
          <w:rFonts w:cs="Arial"/>
          <w:rtl/>
        </w:rPr>
        <w:t xml:space="preserve"> דתוך עבורה של עיר כעיר. </w:t>
      </w:r>
    </w:p>
    <w:p w14:paraId="4E5D7008" w14:textId="77777777" w:rsidR="00FA2119" w:rsidRPr="00560EF3" w:rsidRDefault="00FA2119" w:rsidP="00FA2119">
      <w:pPr>
        <w:ind w:left="360"/>
        <w:rPr>
          <w:u w:val="dotted"/>
        </w:rPr>
      </w:pPr>
      <w:r w:rsidRPr="00560EF3">
        <w:rPr>
          <w:rFonts w:hint="cs"/>
          <w:u w:val="dotted"/>
          <w:rtl/>
        </w:rPr>
        <w:t>ומה הדין אם עומדים מחוץ לעיבורה של עיר:</w:t>
      </w:r>
    </w:p>
    <w:p w14:paraId="719FD518" w14:textId="2698B692" w:rsidR="00FA2119" w:rsidRPr="00B12F48" w:rsidRDefault="00FA2119" w:rsidP="00FA2119">
      <w:pPr>
        <w:pStyle w:val="ab"/>
        <w:numPr>
          <w:ilvl w:val="0"/>
          <w:numId w:val="62"/>
        </w:numPr>
      </w:pPr>
      <w:r w:rsidRPr="007F6918">
        <w:rPr>
          <w:rFonts w:cs="Arial"/>
          <w:rtl/>
        </w:rPr>
        <w:t xml:space="preserve">פנים מאירות </w:t>
      </w:r>
      <w:r w:rsidRPr="00560EF3">
        <w:rPr>
          <w:rFonts w:cs="Arial" w:hint="cs"/>
          <w:sz w:val="16"/>
          <w:szCs w:val="16"/>
          <w:rtl/>
        </w:rPr>
        <w:t>(</w:t>
      </w:r>
      <w:r w:rsidRPr="00560EF3">
        <w:rPr>
          <w:rFonts w:cs="Arial"/>
          <w:sz w:val="16"/>
          <w:szCs w:val="16"/>
          <w:rtl/>
        </w:rPr>
        <w:t>ח"ב סי' פב</w:t>
      </w:r>
      <w:r w:rsidRPr="00560EF3">
        <w:rPr>
          <w:rFonts w:cs="Arial" w:hint="cs"/>
          <w:sz w:val="16"/>
          <w:szCs w:val="16"/>
          <w:rtl/>
        </w:rPr>
        <w:t>)</w:t>
      </w:r>
      <w:r w:rsidR="00A82951">
        <w:rPr>
          <w:rFonts w:cs="Arial" w:hint="cs"/>
          <w:rtl/>
        </w:rPr>
        <w:t>-</w:t>
      </w:r>
      <w:r w:rsidRPr="007F6918">
        <w:rPr>
          <w:rFonts w:cs="Arial"/>
          <w:rtl/>
        </w:rPr>
        <w:t xml:space="preserve"> יהודים הדרים חוץ לעיר המוקפת חומה ויש להם רחוב בפני עצמם כשרוצים לכתוב גט</w:t>
      </w:r>
      <w:r w:rsidR="00134650">
        <w:rPr>
          <w:rFonts w:cs="Arial" w:hint="cs"/>
          <w:rtl/>
        </w:rPr>
        <w:t>,</w:t>
      </w:r>
      <w:r w:rsidRPr="007F6918">
        <w:rPr>
          <w:rFonts w:cs="Arial"/>
          <w:rtl/>
        </w:rPr>
        <w:t xml:space="preserve"> אם מותרים לכתוב שם העיר אף שכותבים ברחוב שלהם</w:t>
      </w:r>
      <w:r w:rsidR="00134650">
        <w:rPr>
          <w:rFonts w:cs="Arial" w:hint="cs"/>
          <w:rtl/>
        </w:rPr>
        <w:t>,</w:t>
      </w:r>
      <w:r w:rsidRPr="007F6918">
        <w:rPr>
          <w:rFonts w:cs="Arial"/>
          <w:rtl/>
        </w:rPr>
        <w:t xml:space="preserve"> או מחוייבים לכתוב וליתן בתוך העיר. </w:t>
      </w:r>
      <w:r>
        <w:rPr>
          <w:rFonts w:cs="Arial" w:hint="cs"/>
          <w:rtl/>
        </w:rPr>
        <w:t xml:space="preserve">   תשובה:</w:t>
      </w:r>
      <w:r w:rsidRPr="007F6918">
        <w:rPr>
          <w:rFonts w:cs="Arial"/>
          <w:rtl/>
        </w:rPr>
        <w:t xml:space="preserve"> אם המקום אשר דרים היהודים חוץ לעיר</w:t>
      </w:r>
      <w:r>
        <w:rPr>
          <w:rFonts w:cs="Arial" w:hint="cs"/>
          <w:rtl/>
        </w:rPr>
        <w:t xml:space="preserve"> </w:t>
      </w:r>
      <w:r w:rsidRPr="007F6918">
        <w:rPr>
          <w:rFonts w:cs="Arial"/>
          <w:rtl/>
        </w:rPr>
        <w:t>אין לו שם בפני עצמו והם דרים בתוך עיבורה של העיר</w:t>
      </w:r>
      <w:r>
        <w:rPr>
          <w:rFonts w:cs="Arial" w:hint="cs"/>
          <w:rtl/>
        </w:rPr>
        <w:t>,</w:t>
      </w:r>
      <w:r w:rsidRPr="007F6918">
        <w:rPr>
          <w:rFonts w:cs="Arial"/>
          <w:rtl/>
        </w:rPr>
        <w:t xml:space="preserve"> </w:t>
      </w:r>
      <w:r w:rsidRPr="00560EF3">
        <w:rPr>
          <w:rFonts w:cs="Arial" w:hint="cs"/>
          <w:sz w:val="16"/>
          <w:szCs w:val="16"/>
          <w:rtl/>
        </w:rPr>
        <w:t>(</w:t>
      </w:r>
      <w:r w:rsidRPr="00560EF3">
        <w:rPr>
          <w:rFonts w:cs="Arial"/>
          <w:sz w:val="16"/>
          <w:szCs w:val="16"/>
          <w:rtl/>
        </w:rPr>
        <w:t>ואף שהרחוב היהודים אינו קרוב כ"כ להיות בתוך עיבורה של עיר מ"מ כיון שבתי נכרים סמוכים להם והם בתוך עיבורה של עיר המוקפת חומה</w:t>
      </w:r>
      <w:r>
        <w:rPr>
          <w:rFonts w:cs="Arial" w:hint="cs"/>
          <w:sz w:val="16"/>
          <w:szCs w:val="16"/>
          <w:rtl/>
        </w:rPr>
        <w:t>)</w:t>
      </w:r>
      <w:r w:rsidRPr="007F6918">
        <w:rPr>
          <w:rFonts w:cs="Arial"/>
          <w:rtl/>
        </w:rPr>
        <w:t xml:space="preserve"> </w:t>
      </w:r>
      <w:r w:rsidR="00A82951">
        <w:rPr>
          <w:rFonts w:cs="Arial" w:hint="cs"/>
          <w:rtl/>
        </w:rPr>
        <w:t>-</w:t>
      </w:r>
      <w:r>
        <w:rPr>
          <w:rFonts w:cs="Arial" w:hint="cs"/>
          <w:rtl/>
        </w:rPr>
        <w:t xml:space="preserve"> </w:t>
      </w:r>
      <w:r w:rsidRPr="007F6918">
        <w:rPr>
          <w:rFonts w:cs="Arial"/>
          <w:rtl/>
        </w:rPr>
        <w:t>הוי כאילו הם ג"כ בתוך עיבורה ורשאים לכתוב ברחוב של היהודים שם העיר</w:t>
      </w:r>
      <w:r>
        <w:rPr>
          <w:rStyle w:val="a7"/>
          <w:rFonts w:cs="Arial"/>
          <w:rtl/>
        </w:rPr>
        <w:footnoteReference w:id="954"/>
      </w:r>
      <w:r>
        <w:rPr>
          <w:rFonts w:cs="Arial" w:hint="cs"/>
          <w:rtl/>
        </w:rPr>
        <w:t>.</w:t>
      </w:r>
      <w:r w:rsidRPr="007F6918">
        <w:rPr>
          <w:rFonts w:cs="Arial"/>
          <w:rtl/>
        </w:rPr>
        <w:t xml:space="preserve"> </w:t>
      </w:r>
    </w:p>
    <w:p w14:paraId="1BBEF308" w14:textId="65A7CD65" w:rsidR="00FA2119" w:rsidRPr="00B12F48" w:rsidRDefault="00FA2119" w:rsidP="00FA2119">
      <w:pPr>
        <w:pStyle w:val="ab"/>
        <w:numPr>
          <w:ilvl w:val="0"/>
          <w:numId w:val="62"/>
        </w:numPr>
      </w:pPr>
      <w:r w:rsidRPr="007F6918">
        <w:rPr>
          <w:rFonts w:cs="Arial"/>
          <w:rtl/>
        </w:rPr>
        <w:t xml:space="preserve">ג"פ </w:t>
      </w:r>
      <w:r>
        <w:rPr>
          <w:rFonts w:cs="Arial" w:hint="cs"/>
          <w:sz w:val="16"/>
          <w:szCs w:val="16"/>
          <w:rtl/>
        </w:rPr>
        <w:t>(</w:t>
      </w:r>
      <w:r w:rsidRPr="00B12F48">
        <w:rPr>
          <w:rFonts w:cs="Arial"/>
          <w:sz w:val="16"/>
          <w:szCs w:val="16"/>
          <w:rtl/>
        </w:rPr>
        <w:t>סקכ"ו</w:t>
      </w:r>
      <w:r w:rsidRPr="00B12F48">
        <w:rPr>
          <w:rFonts w:cs="Arial" w:hint="cs"/>
          <w:sz w:val="16"/>
          <w:szCs w:val="16"/>
          <w:rtl/>
        </w:rPr>
        <w:t>)</w:t>
      </w:r>
      <w:r>
        <w:rPr>
          <w:rFonts w:cs="Arial" w:hint="cs"/>
          <w:rtl/>
        </w:rPr>
        <w:t xml:space="preserve"> ופת"ש </w:t>
      </w:r>
      <w:r>
        <w:rPr>
          <w:rFonts w:cs="Arial" w:hint="cs"/>
          <w:sz w:val="16"/>
          <w:szCs w:val="16"/>
          <w:rtl/>
        </w:rPr>
        <w:t>(סק"א)</w:t>
      </w:r>
      <w:r w:rsidR="00A82951">
        <w:rPr>
          <w:rFonts w:cs="Arial" w:hint="cs"/>
          <w:rtl/>
        </w:rPr>
        <w:t>-</w:t>
      </w:r>
      <w:r w:rsidRPr="007F6918">
        <w:rPr>
          <w:rFonts w:cs="Arial"/>
          <w:rtl/>
        </w:rPr>
        <w:t xml:space="preserve"> אם נכתב הגט חוץ לעיבורה של עיר אבל הוא תוך התחום וכתב במתא פ</w:t>
      </w:r>
      <w:r>
        <w:rPr>
          <w:rFonts w:cs="Arial" w:hint="cs"/>
          <w:rtl/>
        </w:rPr>
        <w:t>לונית</w:t>
      </w:r>
      <w:r w:rsidRPr="007F6918">
        <w:rPr>
          <w:rFonts w:cs="Arial"/>
          <w:rtl/>
        </w:rPr>
        <w:t xml:space="preserve"> </w:t>
      </w:r>
      <w:r w:rsidR="00A82951">
        <w:rPr>
          <w:rFonts w:cs="Arial" w:hint="cs"/>
          <w:rtl/>
        </w:rPr>
        <w:t>-</w:t>
      </w:r>
      <w:r>
        <w:rPr>
          <w:rFonts w:cs="Arial" w:hint="cs"/>
          <w:rtl/>
        </w:rPr>
        <w:t xml:space="preserve"> </w:t>
      </w:r>
      <w:r w:rsidRPr="007F6918">
        <w:rPr>
          <w:rFonts w:cs="Arial"/>
          <w:rtl/>
        </w:rPr>
        <w:t>משמע לכאורה דהגט פסול</w:t>
      </w:r>
      <w:r>
        <w:rPr>
          <w:rFonts w:cs="Arial" w:hint="cs"/>
          <w:rtl/>
        </w:rPr>
        <w:t>,</w:t>
      </w:r>
      <w:r w:rsidRPr="007F6918">
        <w:rPr>
          <w:rFonts w:cs="Arial"/>
          <w:rtl/>
        </w:rPr>
        <w:t xml:space="preserve"> דתוך התחום חוץ לעיבורה לא מקרי בשם העיר בלשון הכתוב ובלשון בני אדם</w:t>
      </w:r>
      <w:r>
        <w:rPr>
          <w:rFonts w:cs="Arial" w:hint="cs"/>
          <w:rtl/>
        </w:rPr>
        <w:t>,</w:t>
      </w:r>
      <w:r w:rsidRPr="007F6918">
        <w:rPr>
          <w:rFonts w:cs="Arial"/>
          <w:rtl/>
        </w:rPr>
        <w:t xml:space="preserve"> כדמוכח מההיא דנדרים דהנודר מן העיר מותר ליכנס בתחומה כו'</w:t>
      </w:r>
      <w:r>
        <w:rPr>
          <w:rFonts w:cs="Arial" w:hint="cs"/>
          <w:rtl/>
        </w:rPr>
        <w:t>.</w:t>
      </w:r>
      <w:r w:rsidRPr="007F6918">
        <w:rPr>
          <w:rFonts w:cs="Arial"/>
          <w:rtl/>
        </w:rPr>
        <w:t xml:space="preserve"> אמנם רבינו שמשון כתב </w:t>
      </w:r>
      <w:r w:rsidRPr="00FD2E0D">
        <w:rPr>
          <w:rFonts w:cs="Arial" w:hint="cs"/>
          <w:sz w:val="16"/>
          <w:szCs w:val="16"/>
          <w:rtl/>
        </w:rPr>
        <w:t>(</w:t>
      </w:r>
      <w:r w:rsidRPr="00FD2E0D">
        <w:rPr>
          <w:rFonts w:cs="Arial"/>
          <w:sz w:val="16"/>
          <w:szCs w:val="16"/>
          <w:rtl/>
        </w:rPr>
        <w:t>בתשו' לסדר נשים סי' כב הביאה מרן הב"י בסי' זה</w:t>
      </w:r>
      <w:r w:rsidRPr="00FD2E0D">
        <w:rPr>
          <w:rFonts w:cs="Arial" w:hint="cs"/>
          <w:sz w:val="16"/>
          <w:szCs w:val="16"/>
          <w:rtl/>
        </w:rPr>
        <w:t>)</w:t>
      </w:r>
      <w:r w:rsidRPr="007F6918">
        <w:rPr>
          <w:rFonts w:cs="Arial"/>
          <w:rtl/>
        </w:rPr>
        <w:t xml:space="preserve"> דנהר שהוא חוץ לעיבורה של עיר בתוך התחום כותבין אותו דחשיב כעיר</w:t>
      </w:r>
      <w:r>
        <w:rPr>
          <w:rFonts w:cs="Arial" w:hint="cs"/>
          <w:rtl/>
        </w:rPr>
        <w:t>...</w:t>
      </w:r>
      <w:r w:rsidRPr="007F6918">
        <w:rPr>
          <w:rFonts w:cs="Arial"/>
          <w:rtl/>
        </w:rPr>
        <w:t xml:space="preserve"> וכ"כ בס' בנימין זאב </w:t>
      </w:r>
      <w:r>
        <w:rPr>
          <w:rFonts w:cs="Arial" w:hint="cs"/>
          <w:rtl/>
        </w:rPr>
        <w:t>(</w:t>
      </w:r>
      <w:r w:rsidRPr="007F6918">
        <w:rPr>
          <w:rFonts w:cs="Arial"/>
          <w:rtl/>
        </w:rPr>
        <w:t>סי' קה</w:t>
      </w:r>
      <w:r>
        <w:rPr>
          <w:rFonts w:cs="Arial" w:hint="cs"/>
          <w:rtl/>
        </w:rPr>
        <w:t>)</w:t>
      </w:r>
      <w:r w:rsidRPr="007F6918">
        <w:rPr>
          <w:rFonts w:cs="Arial"/>
          <w:rtl/>
        </w:rPr>
        <w:t xml:space="preserve"> להקל בגט שנכתב בכפרים הסמוכים לעיר וכתב שם העיר דכשר יעו"ש</w:t>
      </w:r>
      <w:r>
        <w:rPr>
          <w:rFonts w:cs="Arial" w:hint="cs"/>
          <w:rtl/>
        </w:rPr>
        <w:t>.</w:t>
      </w:r>
      <w:r w:rsidRPr="007F6918">
        <w:rPr>
          <w:rFonts w:cs="Arial"/>
          <w:rtl/>
        </w:rPr>
        <w:t xml:space="preserve"> ועוד הפריזו על המדה רבינו שמשון ומהרי"ו ובנימין זאב להביא דמות ראיות דאפי' חוץ לתחום איקרו על שם העיר</w:t>
      </w:r>
      <w:r>
        <w:rPr>
          <w:rFonts w:cs="Arial" w:hint="cs"/>
          <w:rtl/>
        </w:rPr>
        <w:t>.</w:t>
      </w:r>
      <w:r w:rsidRPr="007F6918">
        <w:rPr>
          <w:rFonts w:cs="Arial"/>
          <w:rtl/>
        </w:rPr>
        <w:t xml:space="preserve"> אמנם מדברי המרדכי פ' מי שאחזו משמע דאית ליה עיקר לענין גיטין כמו בנדרים דדוקא תוך עיבורה הוי כמו העיר ויש לחוש לדבריו</w:t>
      </w:r>
      <w:r>
        <w:rPr>
          <w:rFonts w:cs="Arial" w:hint="cs"/>
          <w:rtl/>
        </w:rPr>
        <w:t>.</w:t>
      </w:r>
      <w:r w:rsidRPr="007F6918">
        <w:rPr>
          <w:rFonts w:cs="Arial"/>
          <w:rtl/>
        </w:rPr>
        <w:t xml:space="preserve"> ובדיעבד יש לסמוך על תשו' ר"ש ומהרי"ו וב"ז דתוך התחום איקרי ע</w:t>
      </w:r>
      <w:r>
        <w:rPr>
          <w:rFonts w:cs="Arial" w:hint="cs"/>
          <w:rtl/>
        </w:rPr>
        <w:t xml:space="preserve">ל </w:t>
      </w:r>
      <w:r w:rsidRPr="007F6918">
        <w:rPr>
          <w:rFonts w:cs="Arial"/>
          <w:rtl/>
        </w:rPr>
        <w:t>ש</w:t>
      </w:r>
      <w:r>
        <w:rPr>
          <w:rFonts w:cs="Arial" w:hint="cs"/>
          <w:rtl/>
        </w:rPr>
        <w:t>ם</w:t>
      </w:r>
      <w:r w:rsidRPr="007F6918">
        <w:rPr>
          <w:rFonts w:cs="Arial"/>
          <w:rtl/>
        </w:rPr>
        <w:t xml:space="preserve"> העיר</w:t>
      </w:r>
      <w:r>
        <w:rPr>
          <w:rFonts w:cs="Arial" w:hint="cs"/>
          <w:rtl/>
        </w:rPr>
        <w:t>.</w:t>
      </w:r>
      <w:r w:rsidRPr="007F6918">
        <w:rPr>
          <w:rFonts w:cs="Arial"/>
          <w:rtl/>
        </w:rPr>
        <w:t xml:space="preserve"> אבל חוץ לתחום אין להקל</w:t>
      </w:r>
      <w:r>
        <w:rPr>
          <w:rFonts w:cs="Arial" w:hint="cs"/>
          <w:rtl/>
        </w:rPr>
        <w:t>,</w:t>
      </w:r>
      <w:r w:rsidRPr="007F6918">
        <w:rPr>
          <w:rFonts w:cs="Arial"/>
          <w:rtl/>
        </w:rPr>
        <w:t xml:space="preserve"> ובשעת הדחק אפשר דגם בזה יש להקל דלא חשיב שינה אפי' חוץ לתחום</w:t>
      </w:r>
      <w:r>
        <w:rPr>
          <w:rFonts w:cs="Arial" w:hint="cs"/>
          <w:rtl/>
        </w:rPr>
        <w:t>.</w:t>
      </w:r>
      <w:r w:rsidRPr="007F6918">
        <w:rPr>
          <w:rFonts w:cs="Arial"/>
          <w:rtl/>
        </w:rPr>
        <w:t xml:space="preserve"> </w:t>
      </w:r>
    </w:p>
    <w:p w14:paraId="077E3062" w14:textId="483CA5BB" w:rsidR="00FA2119" w:rsidRDefault="00FA2119" w:rsidP="00FA2119">
      <w:pPr>
        <w:pStyle w:val="ab"/>
        <w:numPr>
          <w:ilvl w:val="0"/>
          <w:numId w:val="62"/>
        </w:numPr>
        <w:rPr>
          <w:rtl/>
        </w:rPr>
      </w:pPr>
      <w:r w:rsidRPr="007F6918">
        <w:rPr>
          <w:rFonts w:cs="Arial"/>
          <w:rtl/>
        </w:rPr>
        <w:t xml:space="preserve">מהרי"מ מבריסק </w:t>
      </w:r>
      <w:r w:rsidRPr="00FD2E0D">
        <w:rPr>
          <w:rFonts w:cs="Arial" w:hint="cs"/>
          <w:sz w:val="16"/>
          <w:szCs w:val="16"/>
          <w:rtl/>
        </w:rPr>
        <w:t>(</w:t>
      </w:r>
      <w:r w:rsidRPr="00FD2E0D">
        <w:rPr>
          <w:rFonts w:cs="Arial"/>
          <w:sz w:val="16"/>
          <w:szCs w:val="16"/>
          <w:rtl/>
        </w:rPr>
        <w:t>סי' כח</w:t>
      </w:r>
      <w:r w:rsidRPr="00FD2E0D">
        <w:rPr>
          <w:rFonts w:cs="Arial" w:hint="cs"/>
          <w:sz w:val="16"/>
          <w:szCs w:val="16"/>
          <w:rtl/>
        </w:rPr>
        <w:t>)</w:t>
      </w:r>
      <w:r w:rsidR="00A82951">
        <w:rPr>
          <w:rFonts w:cs="Arial" w:hint="cs"/>
          <w:rtl/>
        </w:rPr>
        <w:t>-</w:t>
      </w:r>
      <w:r w:rsidRPr="007F6918">
        <w:rPr>
          <w:rFonts w:cs="Arial"/>
          <w:rtl/>
        </w:rPr>
        <w:t xml:space="preserve"> י"ל דהא דאמרי' חוץ לעיבורה של עיר אינו בכלל העיר היינו דוקא כשנכתב בשדה חוץ לעיבורה של עיר</w:t>
      </w:r>
      <w:r w:rsidR="009C5804">
        <w:rPr>
          <w:rFonts w:cs="Arial" w:hint="cs"/>
          <w:rtl/>
        </w:rPr>
        <w:t>,</w:t>
      </w:r>
      <w:r w:rsidRPr="007F6918">
        <w:rPr>
          <w:rFonts w:cs="Arial"/>
          <w:rtl/>
        </w:rPr>
        <w:t xml:space="preserve"> אבל כשנבנה איזה בתים מחוץ לעיר אף חוץ לעיבורה של עיר איזה מחוז נקרא על שם העיר</w:t>
      </w:r>
      <w:r w:rsidR="009C5804">
        <w:rPr>
          <w:rFonts w:cs="Arial" w:hint="cs"/>
          <w:rtl/>
        </w:rPr>
        <w:t>.</w:t>
      </w:r>
      <w:r w:rsidRPr="007F6918">
        <w:rPr>
          <w:rFonts w:cs="Arial"/>
          <w:rtl/>
        </w:rPr>
        <w:t xml:space="preserve"> וראי' לסברא זו מהא דמכות </w:t>
      </w:r>
      <w:r w:rsidR="00134650">
        <w:rPr>
          <w:rFonts w:cs="Arial" w:hint="cs"/>
          <w:rtl/>
        </w:rPr>
        <w:t>(</w:t>
      </w:r>
      <w:r w:rsidRPr="007F6918">
        <w:rPr>
          <w:rFonts w:cs="Arial"/>
          <w:rtl/>
        </w:rPr>
        <w:t>ט</w:t>
      </w:r>
      <w:r w:rsidR="00134650">
        <w:rPr>
          <w:rFonts w:cs="Arial" w:hint="cs"/>
          <w:rtl/>
        </w:rPr>
        <w:t>:)</w:t>
      </w:r>
      <w:r w:rsidRPr="007F6918">
        <w:rPr>
          <w:rFonts w:cs="Arial"/>
          <w:rtl/>
        </w:rPr>
        <w:t xml:space="preserve"> דפריך הש"ס וחברון עיר מקלט הוא</w:t>
      </w:r>
      <w:r>
        <w:rPr>
          <w:rStyle w:val="a7"/>
          <w:rFonts w:cs="Arial"/>
          <w:rtl/>
        </w:rPr>
        <w:footnoteReference w:id="955"/>
      </w:r>
      <w:r>
        <w:rPr>
          <w:rFonts w:cs="Arial" w:hint="cs"/>
          <w:rtl/>
        </w:rPr>
        <w:t>...</w:t>
      </w:r>
    </w:p>
    <w:p w14:paraId="0F12D51B" w14:textId="77777777" w:rsidR="00FA2119" w:rsidRDefault="00FA2119" w:rsidP="00FA2119">
      <w:pPr>
        <w:rPr>
          <w:rtl/>
        </w:rPr>
      </w:pPr>
    </w:p>
    <w:p w14:paraId="60861472" w14:textId="77777777" w:rsidR="00FA2119" w:rsidRDefault="00FA2119" w:rsidP="00FA2119">
      <w:pPr>
        <w:pStyle w:val="2"/>
        <w:rPr>
          <w:rtl/>
        </w:rPr>
      </w:pPr>
      <w:r>
        <w:rPr>
          <w:rFonts w:hint="cs"/>
          <w:rtl/>
        </w:rPr>
        <w:t>סעיף</w:t>
      </w:r>
      <w:r>
        <w:rPr>
          <w:rtl/>
        </w:rPr>
        <w:t xml:space="preserve"> </w:t>
      </w:r>
      <w:r>
        <w:rPr>
          <w:rFonts w:hint="cs"/>
          <w:rtl/>
        </w:rPr>
        <w:t>ב: כתיבת שם עירו ושם עירה.</w:t>
      </w:r>
    </w:p>
    <w:p w14:paraId="12CB36A1" w14:textId="77777777" w:rsidR="00FA2119" w:rsidRDefault="00FA2119" w:rsidP="00FA2119">
      <w:pPr>
        <w:rPr>
          <w:rtl/>
        </w:rPr>
      </w:pPr>
      <w:r>
        <w:rPr>
          <w:rFonts w:cs="Arial" w:hint="cs"/>
          <w:b/>
          <w:bCs/>
          <w:rtl/>
        </w:rPr>
        <w:t>גיטין</w:t>
      </w:r>
      <w:r>
        <w:rPr>
          <w:rFonts w:cs="Arial"/>
          <w:b/>
          <w:bCs/>
          <w:rtl/>
        </w:rPr>
        <w:t xml:space="preserve"> </w:t>
      </w:r>
      <w:r>
        <w:rPr>
          <w:rFonts w:cs="Arial"/>
          <w:b/>
          <w:bCs/>
          <w:szCs w:val="16"/>
          <w:rtl/>
        </w:rPr>
        <w:t xml:space="preserve">(פ' </w:t>
      </w:r>
      <w:r>
        <w:rPr>
          <w:rFonts w:cs="Arial" w:hint="cs"/>
          <w:b/>
          <w:bCs/>
          <w:szCs w:val="16"/>
          <w:rtl/>
        </w:rPr>
        <w:t>השולח</w:t>
      </w:r>
      <w:r>
        <w:rPr>
          <w:rFonts w:cs="Arial"/>
          <w:b/>
          <w:bCs/>
          <w:szCs w:val="16"/>
          <w:rtl/>
        </w:rPr>
        <w:t xml:space="preserve">) </w:t>
      </w:r>
      <w:r>
        <w:rPr>
          <w:rFonts w:cs="Arial" w:hint="cs"/>
          <w:b/>
          <w:bCs/>
          <w:rtl/>
        </w:rPr>
        <w:t>לד</w:t>
      </w:r>
      <w:r>
        <w:rPr>
          <w:rFonts w:cs="Arial"/>
          <w:b/>
          <w:bCs/>
          <w:rtl/>
        </w:rPr>
        <w:t xml:space="preserve"> ע"</w:t>
      </w:r>
      <w:r>
        <w:rPr>
          <w:rFonts w:cs="Arial" w:hint="cs"/>
          <w:b/>
          <w:bCs/>
          <w:rtl/>
        </w:rPr>
        <w:t>ב</w:t>
      </w:r>
      <w:r>
        <w:rPr>
          <w:rFonts w:cs="Arial"/>
          <w:b/>
          <w:bCs/>
          <w:rtl/>
        </w:rPr>
        <w:t>:</w:t>
      </w:r>
      <w:r>
        <w:rPr>
          <w:rFonts w:cs="Arial" w:hint="cs"/>
          <w:b/>
          <w:bCs/>
          <w:rtl/>
        </w:rPr>
        <w:t xml:space="preserve"> </w:t>
      </w:r>
      <w:r w:rsidRPr="000606A5">
        <w:rPr>
          <w:rFonts w:cs="Arial"/>
          <w:u w:val="double"/>
          <w:rtl/>
        </w:rPr>
        <w:t>מתני'</w:t>
      </w:r>
      <w:r>
        <w:rPr>
          <w:rFonts w:cs="Arial" w:hint="cs"/>
          <w:rtl/>
        </w:rPr>
        <w:t>:</w:t>
      </w:r>
      <w:r w:rsidRPr="000606A5">
        <w:rPr>
          <w:rFonts w:cs="Arial"/>
          <w:rtl/>
        </w:rPr>
        <w:t xml:space="preserve"> בראשונה היה משנה שמו ושמה</w:t>
      </w:r>
      <w:r>
        <w:rPr>
          <w:rStyle w:val="a7"/>
          <w:rFonts w:cs="Arial"/>
          <w:rtl/>
        </w:rPr>
        <w:footnoteReference w:id="956"/>
      </w:r>
      <w:r w:rsidRPr="000606A5">
        <w:rPr>
          <w:rFonts w:cs="Arial"/>
          <w:rtl/>
        </w:rPr>
        <w:t>, שם עירו ושם עירה</w:t>
      </w:r>
      <w:r>
        <w:rPr>
          <w:rStyle w:val="a7"/>
          <w:rFonts w:cs="Arial"/>
          <w:rtl/>
        </w:rPr>
        <w:footnoteReference w:id="957"/>
      </w:r>
      <w:r>
        <w:rPr>
          <w:rFonts w:cs="Arial" w:hint="cs"/>
          <w:rtl/>
        </w:rPr>
        <w:t>.</w:t>
      </w:r>
      <w:r w:rsidRPr="000606A5">
        <w:rPr>
          <w:rFonts w:cs="Arial"/>
          <w:rtl/>
        </w:rPr>
        <w:t xml:space="preserve"> </w:t>
      </w:r>
      <w:r w:rsidRPr="009C5804">
        <w:rPr>
          <w:rFonts w:cs="Arial"/>
          <w:u w:val="single"/>
          <w:rtl/>
        </w:rPr>
        <w:t>התקין ר"ג הזקן</w:t>
      </w:r>
      <w:r w:rsidRPr="000606A5">
        <w:rPr>
          <w:rFonts w:cs="Arial"/>
          <w:rtl/>
        </w:rPr>
        <w:t>, שיהא כותב איש פלוני וכל שום שיש לו, אשה פלונית וכל שום שיש לה, מפני תיקון העולם.</w:t>
      </w:r>
    </w:p>
    <w:p w14:paraId="18FB7078" w14:textId="77777777" w:rsidR="00FA2119" w:rsidRDefault="00FA2119" w:rsidP="00FA2119">
      <w:pPr>
        <w:rPr>
          <w:rtl/>
        </w:rPr>
      </w:pPr>
      <w:r w:rsidRPr="00A270DB">
        <w:rPr>
          <w:rFonts w:cs="Arial" w:hint="cs"/>
          <w:b/>
          <w:bCs/>
          <w:rtl/>
        </w:rPr>
        <w:t xml:space="preserve">יבמות </w:t>
      </w:r>
      <w:r>
        <w:rPr>
          <w:rFonts w:cs="Arial"/>
          <w:b/>
          <w:bCs/>
          <w:szCs w:val="16"/>
          <w:rtl/>
        </w:rPr>
        <w:t>(</w:t>
      </w:r>
      <w:r>
        <w:rPr>
          <w:rFonts w:cs="Arial" w:hint="cs"/>
          <w:b/>
          <w:bCs/>
          <w:szCs w:val="16"/>
          <w:rtl/>
        </w:rPr>
        <w:t>פ' האשה שלום</w:t>
      </w:r>
      <w:r>
        <w:rPr>
          <w:rFonts w:cs="Arial"/>
          <w:b/>
          <w:bCs/>
          <w:szCs w:val="16"/>
          <w:rtl/>
        </w:rPr>
        <w:t>)</w:t>
      </w:r>
      <w:r>
        <w:rPr>
          <w:rFonts w:cs="Arial" w:hint="cs"/>
          <w:b/>
          <w:bCs/>
          <w:szCs w:val="16"/>
          <w:rtl/>
        </w:rPr>
        <w:t xml:space="preserve"> </w:t>
      </w:r>
      <w:r w:rsidRPr="00A270DB">
        <w:rPr>
          <w:rFonts w:cs="Arial" w:hint="cs"/>
          <w:b/>
          <w:bCs/>
          <w:rtl/>
        </w:rPr>
        <w:t xml:space="preserve">קטו ע"ב: </w:t>
      </w:r>
      <w:r w:rsidRPr="00A270DB">
        <w:rPr>
          <w:rFonts w:cs="Arial"/>
          <w:rtl/>
        </w:rPr>
        <w:t>דההוא גיטא דאשתכח בנהרדעא, וכתיב: בצד קלוניא מתא</w:t>
      </w:r>
      <w:r>
        <w:rPr>
          <w:rFonts w:cs="Arial" w:hint="cs"/>
          <w:rtl/>
        </w:rPr>
        <w:t>,</w:t>
      </w:r>
      <w:r w:rsidRPr="00A270DB">
        <w:rPr>
          <w:rFonts w:cs="Arial"/>
          <w:rtl/>
        </w:rPr>
        <w:t xml:space="preserve"> אנא אנדרולינאי נהרדעא</w:t>
      </w:r>
      <w:r>
        <w:rPr>
          <w:rFonts w:cs="Arial" w:hint="cs"/>
          <w:rtl/>
        </w:rPr>
        <w:t>,</w:t>
      </w:r>
      <w:r w:rsidRPr="00A270DB">
        <w:rPr>
          <w:rFonts w:cs="Arial"/>
          <w:rtl/>
        </w:rPr>
        <w:t xml:space="preserve"> פטרית ותרכית ית פלונית אנתתי</w:t>
      </w:r>
      <w:r>
        <w:rPr>
          <w:rFonts w:hint="cs"/>
          <w:rtl/>
        </w:rPr>
        <w:t>...</w:t>
      </w:r>
      <w:r w:rsidRPr="00A270DB">
        <w:rPr>
          <w:rtl/>
        </w:rPr>
        <w:t xml:space="preserve"> </w:t>
      </w:r>
      <w:r>
        <w:rPr>
          <w:rFonts w:cs="Arial" w:hint="cs"/>
          <w:sz w:val="14"/>
          <w:szCs w:val="14"/>
          <w:rtl/>
        </w:rPr>
        <w:t xml:space="preserve">(קטז.) </w:t>
      </w:r>
      <w:r w:rsidRPr="00A270DB">
        <w:rPr>
          <w:rFonts w:cs="Arial"/>
          <w:rtl/>
        </w:rPr>
        <w:t>ההוא גיטא דאשתכח בסורא, וכתיב ביה הכי: בסורא מתא</w:t>
      </w:r>
      <w:r>
        <w:rPr>
          <w:rFonts w:cs="Arial" w:hint="cs"/>
          <w:rtl/>
        </w:rPr>
        <w:t>,</w:t>
      </w:r>
      <w:r w:rsidRPr="00A270DB">
        <w:rPr>
          <w:rFonts w:cs="Arial"/>
          <w:rtl/>
        </w:rPr>
        <w:t xml:space="preserve"> אנא ענן בר חייא נהרדעא</w:t>
      </w:r>
      <w:r>
        <w:rPr>
          <w:rFonts w:cs="Arial" w:hint="cs"/>
          <w:rtl/>
        </w:rPr>
        <w:t>,</w:t>
      </w:r>
      <w:r w:rsidRPr="00A270DB">
        <w:rPr>
          <w:rFonts w:cs="Arial"/>
          <w:rtl/>
        </w:rPr>
        <w:t xml:space="preserve"> פטרית ותרכית פלונית אנתתי</w:t>
      </w:r>
      <w:r>
        <w:rPr>
          <w:rFonts w:cs="Arial" w:hint="cs"/>
          <w:rtl/>
        </w:rPr>
        <w:t>.</w:t>
      </w:r>
    </w:p>
    <w:p w14:paraId="011664FE" w14:textId="2290CB0E" w:rsidR="00FA2119" w:rsidRDefault="00FA2119" w:rsidP="00FA2119">
      <w:pPr>
        <w:rPr>
          <w:sz w:val="16"/>
          <w:szCs w:val="16"/>
          <w:rtl/>
        </w:rPr>
      </w:pPr>
      <w:r w:rsidRPr="00837E79">
        <w:rPr>
          <w:rFonts w:hint="cs"/>
          <w:b/>
          <w:bCs/>
          <w:rtl/>
        </w:rPr>
        <w:t xml:space="preserve">גיטין </w:t>
      </w:r>
      <w:r w:rsidRPr="00837E79">
        <w:rPr>
          <w:rFonts w:hint="cs"/>
          <w:b/>
          <w:bCs/>
          <w:sz w:val="16"/>
          <w:szCs w:val="16"/>
          <w:rtl/>
        </w:rPr>
        <w:t>(</w:t>
      </w:r>
      <w:r>
        <w:rPr>
          <w:rFonts w:hint="cs"/>
          <w:b/>
          <w:bCs/>
          <w:sz w:val="16"/>
          <w:szCs w:val="16"/>
          <w:rtl/>
        </w:rPr>
        <w:t>ס"</w:t>
      </w:r>
      <w:r w:rsidRPr="00837E79">
        <w:rPr>
          <w:rFonts w:hint="cs"/>
          <w:b/>
          <w:bCs/>
          <w:sz w:val="16"/>
          <w:szCs w:val="16"/>
          <w:rtl/>
        </w:rPr>
        <w:t>פ</w:t>
      </w:r>
      <w:r>
        <w:rPr>
          <w:rFonts w:hint="cs"/>
          <w:b/>
          <w:bCs/>
          <w:sz w:val="16"/>
          <w:szCs w:val="16"/>
          <w:rtl/>
        </w:rPr>
        <w:t xml:space="preserve"> הזורק</w:t>
      </w:r>
      <w:r w:rsidRPr="00837E79">
        <w:rPr>
          <w:rFonts w:hint="cs"/>
          <w:b/>
          <w:bCs/>
          <w:sz w:val="16"/>
          <w:szCs w:val="16"/>
          <w:rtl/>
        </w:rPr>
        <w:t xml:space="preserve">) </w:t>
      </w:r>
      <w:r>
        <w:rPr>
          <w:rFonts w:hint="cs"/>
          <w:b/>
          <w:bCs/>
          <w:rtl/>
        </w:rPr>
        <w:t>עט</w:t>
      </w:r>
      <w:r w:rsidRPr="00837E79">
        <w:rPr>
          <w:rFonts w:hint="cs"/>
          <w:b/>
          <w:bCs/>
          <w:rtl/>
        </w:rPr>
        <w:t xml:space="preserve"> ע"</w:t>
      </w:r>
      <w:r>
        <w:rPr>
          <w:rFonts w:hint="cs"/>
          <w:b/>
          <w:bCs/>
          <w:rtl/>
        </w:rPr>
        <w:t>ב</w:t>
      </w:r>
      <w:r w:rsidRPr="00837E79">
        <w:rPr>
          <w:rFonts w:hint="cs"/>
          <w:b/>
          <w:bCs/>
          <w:rtl/>
        </w:rPr>
        <w:t>:</w:t>
      </w:r>
      <w:r>
        <w:rPr>
          <w:rFonts w:cs="Arial" w:hint="cs"/>
          <w:rtl/>
        </w:rPr>
        <w:t xml:space="preserve"> </w:t>
      </w:r>
      <w:r w:rsidRPr="009132FC">
        <w:rPr>
          <w:rFonts w:cs="Arial"/>
          <w:u w:val="double"/>
          <w:rtl/>
        </w:rPr>
        <w:t>מתני'</w:t>
      </w:r>
      <w:r>
        <w:rPr>
          <w:rFonts w:cs="Arial" w:hint="cs"/>
          <w:rtl/>
        </w:rPr>
        <w:t>:...</w:t>
      </w:r>
      <w:r w:rsidRPr="009132FC">
        <w:rPr>
          <w:rFonts w:cs="Arial"/>
          <w:rtl/>
        </w:rPr>
        <w:t xml:space="preserve"> היה במזרח וכתב במערב, במערב וכתב במזרח </w:t>
      </w:r>
      <w:r w:rsidR="00A82951">
        <w:rPr>
          <w:rFonts w:cs="Arial"/>
          <w:rtl/>
        </w:rPr>
        <w:t>-</w:t>
      </w:r>
      <w:r w:rsidRPr="009132FC">
        <w:rPr>
          <w:rFonts w:cs="Arial"/>
          <w:rtl/>
        </w:rPr>
        <w:t xml:space="preserve"> תצא מזה ומזה</w:t>
      </w:r>
      <w:r>
        <w:rPr>
          <w:rFonts w:cs="Arial" w:hint="cs"/>
          <w:rtl/>
        </w:rPr>
        <w:t>...</w:t>
      </w:r>
      <w:r>
        <w:rPr>
          <w:rFonts w:cs="Arial"/>
          <w:rtl/>
        </w:rPr>
        <w:t xml:space="preserve"> </w:t>
      </w:r>
      <w:r>
        <w:rPr>
          <w:rFonts w:hint="cs"/>
          <w:rtl/>
        </w:rPr>
        <w:t xml:space="preserve">       </w:t>
      </w:r>
      <w:r w:rsidRPr="0009276E">
        <w:rPr>
          <w:rFonts w:cs="Arial"/>
          <w:u w:val="double"/>
          <w:rtl/>
        </w:rPr>
        <w:t>גמ'</w:t>
      </w:r>
      <w:r>
        <w:rPr>
          <w:rFonts w:cs="Arial" w:hint="cs"/>
          <w:sz w:val="14"/>
          <w:szCs w:val="14"/>
          <w:u w:val="double"/>
          <w:rtl/>
        </w:rPr>
        <w:t>(פ.)</w:t>
      </w:r>
      <w:r w:rsidRPr="0009276E">
        <w:rPr>
          <w:rFonts w:cs="Arial" w:hint="cs"/>
          <w:u w:val="double"/>
          <w:rtl/>
        </w:rPr>
        <w:t>:</w:t>
      </w:r>
      <w:r>
        <w:rPr>
          <w:rFonts w:cs="Arial"/>
          <w:rtl/>
        </w:rPr>
        <w:t xml:space="preserve"> </w:t>
      </w:r>
      <w:r w:rsidRPr="00DD6AAC">
        <w:rPr>
          <w:rFonts w:cs="Arial"/>
          <w:rtl/>
        </w:rPr>
        <w:t>היה במזרח וכתב במערב. מאן? אילימא בעל, היינו שינה שמו ושמה, שם עירו ושם עירה! אלא לאו סופר</w:t>
      </w:r>
      <w:r>
        <w:rPr>
          <w:rFonts w:cs="Arial" w:hint="cs"/>
          <w:rtl/>
        </w:rPr>
        <w:t>.</w:t>
      </w:r>
      <w:r>
        <w:rPr>
          <w:rFonts w:hint="cs"/>
          <w:sz w:val="16"/>
          <w:szCs w:val="16"/>
          <w:rtl/>
        </w:rPr>
        <w:t xml:space="preserve"> (גם מכאן הוכיח הרשב"א שצריך לכתוב העיר שהוא ממנה)</w:t>
      </w:r>
    </w:p>
    <w:p w14:paraId="532D1CFE" w14:textId="3720CE46" w:rsidR="00FA2119" w:rsidRPr="005202D4" w:rsidRDefault="00FA2119" w:rsidP="00FA2119">
      <w:pPr>
        <w:rPr>
          <w:rtl/>
        </w:rPr>
      </w:pPr>
      <w:r w:rsidRPr="00837E79">
        <w:rPr>
          <w:rFonts w:hint="cs"/>
          <w:b/>
          <w:bCs/>
          <w:rtl/>
        </w:rPr>
        <w:lastRenderedPageBreak/>
        <w:t xml:space="preserve">גיטין </w:t>
      </w:r>
      <w:r w:rsidRPr="00837E79">
        <w:rPr>
          <w:rFonts w:hint="cs"/>
          <w:b/>
          <w:bCs/>
          <w:sz w:val="16"/>
          <w:szCs w:val="16"/>
          <w:rtl/>
        </w:rPr>
        <w:t>(</w:t>
      </w:r>
      <w:r>
        <w:rPr>
          <w:rFonts w:hint="cs"/>
          <w:b/>
          <w:bCs/>
          <w:sz w:val="16"/>
          <w:szCs w:val="16"/>
          <w:rtl/>
        </w:rPr>
        <w:t>ס"</w:t>
      </w:r>
      <w:r w:rsidRPr="00837E79">
        <w:rPr>
          <w:rFonts w:hint="cs"/>
          <w:b/>
          <w:bCs/>
          <w:sz w:val="16"/>
          <w:szCs w:val="16"/>
          <w:rtl/>
        </w:rPr>
        <w:t>פ</w:t>
      </w:r>
      <w:r>
        <w:rPr>
          <w:rFonts w:hint="cs"/>
          <w:b/>
          <w:bCs/>
          <w:sz w:val="16"/>
          <w:szCs w:val="16"/>
          <w:rtl/>
        </w:rPr>
        <w:t xml:space="preserve"> הזורק</w:t>
      </w:r>
      <w:r w:rsidRPr="00837E79">
        <w:rPr>
          <w:rFonts w:hint="cs"/>
          <w:b/>
          <w:bCs/>
          <w:sz w:val="16"/>
          <w:szCs w:val="16"/>
          <w:rtl/>
        </w:rPr>
        <w:t xml:space="preserve">) </w:t>
      </w:r>
      <w:r>
        <w:rPr>
          <w:rFonts w:hint="cs"/>
          <w:b/>
          <w:bCs/>
          <w:rtl/>
        </w:rPr>
        <w:t>פ</w:t>
      </w:r>
      <w:r w:rsidRPr="00837E79">
        <w:rPr>
          <w:rFonts w:hint="cs"/>
          <w:b/>
          <w:bCs/>
          <w:rtl/>
        </w:rPr>
        <w:t xml:space="preserve"> ע"</w:t>
      </w:r>
      <w:r>
        <w:rPr>
          <w:rFonts w:hint="cs"/>
          <w:b/>
          <w:bCs/>
          <w:rtl/>
        </w:rPr>
        <w:t>א</w:t>
      </w:r>
      <w:r w:rsidRPr="00837E79">
        <w:rPr>
          <w:rFonts w:hint="cs"/>
          <w:b/>
          <w:bCs/>
          <w:rtl/>
        </w:rPr>
        <w:t>:</w:t>
      </w:r>
      <w:r>
        <w:rPr>
          <w:rFonts w:hint="cs"/>
          <w:rtl/>
        </w:rPr>
        <w:t xml:space="preserve"> </w:t>
      </w:r>
      <w:r w:rsidRPr="009132FC">
        <w:rPr>
          <w:rFonts w:cs="Arial"/>
          <w:u w:val="double"/>
          <w:rtl/>
        </w:rPr>
        <w:t>מתני'</w:t>
      </w:r>
      <w:r>
        <w:rPr>
          <w:rFonts w:cs="Arial" w:hint="cs"/>
          <w:rtl/>
        </w:rPr>
        <w:t xml:space="preserve">:... </w:t>
      </w:r>
      <w:r w:rsidRPr="00E37813">
        <w:rPr>
          <w:rFonts w:cs="Arial"/>
          <w:rtl/>
        </w:rPr>
        <w:t>שינה שמו ושמה, שם עירו ושם עירה</w:t>
      </w:r>
      <w:r>
        <w:rPr>
          <w:rStyle w:val="a7"/>
          <w:rFonts w:cs="Arial"/>
          <w:rtl/>
        </w:rPr>
        <w:footnoteReference w:id="958"/>
      </w:r>
      <w:r w:rsidRPr="00E37813">
        <w:rPr>
          <w:rFonts w:cs="Arial"/>
          <w:rtl/>
        </w:rPr>
        <w:t xml:space="preserve"> </w:t>
      </w:r>
      <w:r w:rsidR="00A82951">
        <w:rPr>
          <w:rFonts w:cs="Arial"/>
          <w:rtl/>
        </w:rPr>
        <w:t>-</w:t>
      </w:r>
      <w:r w:rsidRPr="00E37813">
        <w:rPr>
          <w:rFonts w:cs="Arial"/>
          <w:rtl/>
        </w:rPr>
        <w:t xml:space="preserve"> תצא מזה ומזה, וכל הדרכים האלו בה.</w:t>
      </w:r>
      <w:r>
        <w:rPr>
          <w:rFonts w:cs="Arial" w:hint="cs"/>
          <w:rtl/>
        </w:rPr>
        <w:t xml:space="preserve">..  </w:t>
      </w:r>
      <w:r w:rsidRPr="0009276E">
        <w:rPr>
          <w:rFonts w:cs="Arial"/>
          <w:u w:val="double"/>
          <w:rtl/>
        </w:rPr>
        <w:t>גמ'</w:t>
      </w:r>
      <w:r>
        <w:rPr>
          <w:rFonts w:cs="Arial" w:hint="cs"/>
          <w:sz w:val="14"/>
          <w:szCs w:val="14"/>
          <w:u w:val="double"/>
          <w:rtl/>
        </w:rPr>
        <w:t>(פ:)</w:t>
      </w:r>
      <w:r w:rsidRPr="0009276E">
        <w:rPr>
          <w:rFonts w:cs="Arial" w:hint="cs"/>
          <w:u w:val="double"/>
          <w:rtl/>
        </w:rPr>
        <w:t>:</w:t>
      </w:r>
      <w:r w:rsidRPr="00E37813">
        <w:rPr>
          <w:rFonts w:cs="Arial"/>
          <w:rtl/>
        </w:rPr>
        <w:t xml:space="preserve"> </w:t>
      </w:r>
      <w:r w:rsidRPr="005202D4">
        <w:rPr>
          <w:rFonts w:cs="Arial"/>
          <w:u w:val="single"/>
          <w:rtl/>
        </w:rPr>
        <w:t>אמר ר' אבא אמר רב הונא אמר רב</w:t>
      </w:r>
      <w:r w:rsidRPr="005202D4">
        <w:rPr>
          <w:rFonts w:cs="Arial"/>
          <w:rtl/>
        </w:rPr>
        <w:t>:</w:t>
      </w:r>
      <w:r>
        <w:rPr>
          <w:rFonts w:cs="Arial" w:hint="cs"/>
          <w:rtl/>
        </w:rPr>
        <w:t>...</w:t>
      </w:r>
      <w:r w:rsidRPr="005202D4">
        <w:rPr>
          <w:rFonts w:cs="Arial"/>
          <w:rtl/>
        </w:rPr>
        <w:t xml:space="preserve"> ומודים חכמים לר"מ, שאם שינה שמו ושמה, שם עירו ושם עירה </w:t>
      </w:r>
      <w:r w:rsidR="00A82951">
        <w:rPr>
          <w:rFonts w:cs="Arial"/>
          <w:rtl/>
        </w:rPr>
        <w:t>-</w:t>
      </w:r>
      <w:r w:rsidRPr="005202D4">
        <w:rPr>
          <w:rFonts w:cs="Arial"/>
          <w:rtl/>
        </w:rPr>
        <w:t xml:space="preserve"> שהולד ממזר. </w:t>
      </w:r>
    </w:p>
    <w:p w14:paraId="04BE2960" w14:textId="77777777" w:rsidR="00FA2119" w:rsidRPr="00411326" w:rsidRDefault="00FA2119" w:rsidP="00FA2119">
      <w:pPr>
        <w:rPr>
          <w:u w:val="single"/>
          <w:rtl/>
        </w:rPr>
      </w:pPr>
      <w:r w:rsidRPr="00411326">
        <w:rPr>
          <w:rFonts w:hint="cs"/>
          <w:u w:val="single"/>
          <w:rtl/>
        </w:rPr>
        <w:t xml:space="preserve">כתיבת שם </w:t>
      </w:r>
      <w:r w:rsidRPr="00630399">
        <w:rPr>
          <w:rFonts w:hint="cs"/>
          <w:b/>
          <w:bCs/>
          <w:u w:val="single"/>
          <w:rtl/>
        </w:rPr>
        <w:t xml:space="preserve">מקום הדירה </w:t>
      </w:r>
      <w:r>
        <w:rPr>
          <w:rFonts w:hint="cs"/>
          <w:u w:val="single"/>
          <w:rtl/>
        </w:rPr>
        <w:t xml:space="preserve">של </w:t>
      </w:r>
      <w:r w:rsidRPr="00411326">
        <w:rPr>
          <w:rFonts w:hint="cs"/>
          <w:u w:val="single"/>
          <w:rtl/>
        </w:rPr>
        <w:t>הבעל והאשה:</w:t>
      </w:r>
    </w:p>
    <w:p w14:paraId="0E45F270" w14:textId="182BF197" w:rsidR="00FA2119" w:rsidRDefault="00FA2119" w:rsidP="00FA2119">
      <w:pPr>
        <w:pStyle w:val="ab"/>
        <w:numPr>
          <w:ilvl w:val="0"/>
          <w:numId w:val="61"/>
        </w:numPr>
      </w:pPr>
      <w:r>
        <w:rPr>
          <w:rFonts w:hint="cs"/>
          <w:rtl/>
        </w:rPr>
        <w:t xml:space="preserve">רשב"א </w:t>
      </w:r>
      <w:r w:rsidRPr="00015ED1">
        <w:rPr>
          <w:rFonts w:hint="cs"/>
          <w:sz w:val="16"/>
          <w:szCs w:val="16"/>
          <w:rtl/>
        </w:rPr>
        <w:t>(לד:)</w:t>
      </w:r>
      <w:r>
        <w:rPr>
          <w:rFonts w:cs="Arial" w:hint="cs"/>
          <w:rtl/>
        </w:rPr>
        <w:t xml:space="preserve"> רא"ש </w:t>
      </w:r>
      <w:r w:rsidRPr="00015ED1">
        <w:rPr>
          <w:rFonts w:cs="Arial" w:hint="cs"/>
          <w:sz w:val="16"/>
          <w:szCs w:val="16"/>
          <w:rtl/>
        </w:rPr>
        <w:t>(פ"ד סי' ז)</w:t>
      </w:r>
      <w:r>
        <w:rPr>
          <w:rFonts w:hint="cs"/>
          <w:rtl/>
        </w:rPr>
        <w:t xml:space="preserve"> ו</w:t>
      </w:r>
      <w:r>
        <w:rPr>
          <w:rFonts w:cs="Arial" w:hint="cs"/>
          <w:rtl/>
        </w:rPr>
        <w:t>טור</w:t>
      </w:r>
      <w:r w:rsidR="00A82951">
        <w:rPr>
          <w:rFonts w:cs="Arial" w:hint="cs"/>
          <w:rtl/>
        </w:rPr>
        <w:t>-</w:t>
      </w:r>
      <w:r>
        <w:rPr>
          <w:rFonts w:cs="Arial" w:hint="cs"/>
          <w:rtl/>
        </w:rPr>
        <w:t xml:space="preserve"> </w:t>
      </w:r>
      <w:r w:rsidRPr="003C7C89">
        <w:rPr>
          <w:rFonts w:cs="Arial" w:hint="cs"/>
          <w:rtl/>
        </w:rPr>
        <w:t>וכותבים</w:t>
      </w:r>
      <w:r w:rsidRPr="003C7C89">
        <w:rPr>
          <w:rFonts w:cs="Arial"/>
          <w:rtl/>
        </w:rPr>
        <w:t xml:space="preserve"> </w:t>
      </w:r>
      <w:r w:rsidRPr="003C7C89">
        <w:rPr>
          <w:rFonts w:cs="Arial" w:hint="cs"/>
          <w:rtl/>
        </w:rPr>
        <w:t>שם</w:t>
      </w:r>
      <w:r w:rsidRPr="003C7C89">
        <w:rPr>
          <w:rFonts w:cs="Arial"/>
          <w:rtl/>
        </w:rPr>
        <w:t xml:space="preserve"> </w:t>
      </w:r>
      <w:r w:rsidRPr="003C7C89">
        <w:rPr>
          <w:rFonts w:cs="Arial" w:hint="cs"/>
          <w:rtl/>
        </w:rPr>
        <w:t>מקום</w:t>
      </w:r>
      <w:r w:rsidRPr="003C7C89">
        <w:rPr>
          <w:rFonts w:cs="Arial"/>
          <w:rtl/>
        </w:rPr>
        <w:t xml:space="preserve"> </w:t>
      </w:r>
      <w:r w:rsidRPr="003C7C89">
        <w:rPr>
          <w:rFonts w:cs="Arial" w:hint="cs"/>
          <w:rtl/>
        </w:rPr>
        <w:t>הבעל</w:t>
      </w:r>
      <w:r w:rsidRPr="003C7C89">
        <w:rPr>
          <w:rFonts w:cs="Arial"/>
          <w:rtl/>
        </w:rPr>
        <w:t xml:space="preserve"> </w:t>
      </w:r>
      <w:r w:rsidRPr="003C7C89">
        <w:rPr>
          <w:rFonts w:cs="Arial" w:hint="cs"/>
          <w:rtl/>
        </w:rPr>
        <w:t>והאשה</w:t>
      </w:r>
      <w:r>
        <w:rPr>
          <w:rFonts w:cs="Arial" w:hint="cs"/>
          <w:rtl/>
        </w:rPr>
        <w:t>.</w:t>
      </w:r>
      <w:r w:rsidRPr="003C7C89">
        <w:rPr>
          <w:rFonts w:cs="Arial"/>
          <w:rtl/>
        </w:rPr>
        <w:t xml:space="preserve"> </w:t>
      </w:r>
      <w:r w:rsidRPr="003C7C89">
        <w:rPr>
          <w:rFonts w:cs="Arial" w:hint="cs"/>
          <w:rtl/>
        </w:rPr>
        <w:t>פי</w:t>
      </w:r>
      <w:r w:rsidRPr="003C7C89">
        <w:rPr>
          <w:rFonts w:cs="Arial"/>
          <w:rtl/>
        </w:rPr>
        <w:t xml:space="preserve">' </w:t>
      </w:r>
      <w:r w:rsidRPr="003C7C89">
        <w:rPr>
          <w:rFonts w:cs="Arial" w:hint="cs"/>
          <w:rtl/>
        </w:rPr>
        <w:t>מקום</w:t>
      </w:r>
      <w:r w:rsidRPr="003C7C89">
        <w:rPr>
          <w:rFonts w:cs="Arial"/>
          <w:rtl/>
        </w:rPr>
        <w:t xml:space="preserve"> </w:t>
      </w:r>
      <w:r w:rsidRPr="003C7C89">
        <w:rPr>
          <w:rFonts w:cs="Arial" w:hint="cs"/>
          <w:rtl/>
        </w:rPr>
        <w:t>עיקר</w:t>
      </w:r>
      <w:r w:rsidRPr="003C7C89">
        <w:rPr>
          <w:rFonts w:cs="Arial"/>
          <w:rtl/>
        </w:rPr>
        <w:t xml:space="preserve"> </w:t>
      </w:r>
      <w:r w:rsidRPr="003C7C89">
        <w:rPr>
          <w:rFonts w:cs="Arial" w:hint="cs"/>
          <w:rtl/>
        </w:rPr>
        <w:t>דירתו</w:t>
      </w:r>
      <w:r>
        <w:rPr>
          <w:rFonts w:cs="Arial" w:hint="cs"/>
          <w:rtl/>
        </w:rPr>
        <w:t>,</w:t>
      </w:r>
      <w:r w:rsidRPr="003C7C89">
        <w:rPr>
          <w:rFonts w:cs="Arial"/>
          <w:rtl/>
        </w:rPr>
        <w:t xml:space="preserve"> </w:t>
      </w:r>
      <w:r w:rsidRPr="003C7C89">
        <w:rPr>
          <w:rFonts w:cs="Arial" w:hint="cs"/>
          <w:rtl/>
        </w:rPr>
        <w:t>כגון</w:t>
      </w:r>
      <w:r w:rsidRPr="003C7C89">
        <w:rPr>
          <w:rFonts w:cs="Arial"/>
          <w:rtl/>
        </w:rPr>
        <w:t xml:space="preserve"> </w:t>
      </w:r>
      <w:r>
        <w:rPr>
          <w:rFonts w:cs="Arial" w:hint="cs"/>
          <w:rtl/>
        </w:rPr>
        <w:t>'</w:t>
      </w:r>
      <w:r w:rsidRPr="003C7C89">
        <w:rPr>
          <w:rFonts w:cs="Arial" w:hint="cs"/>
          <w:rtl/>
        </w:rPr>
        <w:t>פלוני</w:t>
      </w:r>
      <w:r w:rsidRPr="003C7C89">
        <w:rPr>
          <w:rFonts w:cs="Arial"/>
          <w:rtl/>
        </w:rPr>
        <w:t xml:space="preserve"> </w:t>
      </w:r>
      <w:r w:rsidRPr="003C7C89">
        <w:rPr>
          <w:rFonts w:cs="Arial" w:hint="cs"/>
          <w:rtl/>
        </w:rPr>
        <w:t>שממקום</w:t>
      </w:r>
      <w:r w:rsidRPr="003C7C89">
        <w:rPr>
          <w:rFonts w:cs="Arial"/>
          <w:rtl/>
        </w:rPr>
        <w:t xml:space="preserve"> </w:t>
      </w:r>
      <w:r w:rsidRPr="003C7C89">
        <w:rPr>
          <w:rFonts w:cs="Arial" w:hint="cs"/>
          <w:rtl/>
        </w:rPr>
        <w:t>פלוני</w:t>
      </w:r>
      <w:r>
        <w:rPr>
          <w:rFonts w:cs="Arial" w:hint="cs"/>
          <w:rtl/>
        </w:rPr>
        <w:t>'</w:t>
      </w:r>
      <w:r>
        <w:rPr>
          <w:rFonts w:cs="Arial" w:hint="cs"/>
          <w:sz w:val="16"/>
          <w:szCs w:val="16"/>
          <w:rtl/>
        </w:rPr>
        <w:t xml:space="preserve"> (ל' הטור)</w:t>
      </w:r>
      <w:r>
        <w:rPr>
          <w:rFonts w:cs="Arial" w:hint="cs"/>
          <w:rtl/>
        </w:rPr>
        <w:t xml:space="preserve">. </w:t>
      </w:r>
      <w:r w:rsidRPr="00865F2C">
        <w:rPr>
          <w:rFonts w:cs="Arial"/>
          <w:color w:val="E36C0A" w:themeColor="accent6" w:themeShade="BF"/>
          <w:rtl/>
        </w:rPr>
        <w:t>(וכ"פ בשו"ע)</w:t>
      </w:r>
      <w:r w:rsidRPr="003C7C89">
        <w:rPr>
          <w:rFonts w:cs="Arial"/>
          <w:rtl/>
        </w:rPr>
        <w:t xml:space="preserve"> </w:t>
      </w:r>
    </w:p>
    <w:p w14:paraId="2C726CC2" w14:textId="77777777" w:rsidR="00FA2119" w:rsidRPr="00D61F95" w:rsidRDefault="00FA2119" w:rsidP="00FA2119">
      <w:pPr>
        <w:ind w:left="360"/>
        <w:rPr>
          <w:rFonts w:cs="Arial"/>
          <w:u w:val="dotted"/>
          <w:rtl/>
        </w:rPr>
      </w:pPr>
      <w:r w:rsidRPr="00D61F95">
        <w:rPr>
          <w:rFonts w:cs="Arial" w:hint="cs"/>
          <w:u w:val="dotted"/>
          <w:rtl/>
        </w:rPr>
        <w:t xml:space="preserve">ומה הדין אם </w:t>
      </w:r>
      <w:r w:rsidRPr="005202D4">
        <w:rPr>
          <w:rFonts w:cs="Arial" w:hint="cs"/>
          <w:b/>
          <w:bCs/>
          <w:u w:val="dotted"/>
          <w:rtl/>
        </w:rPr>
        <w:t>לא כתב</w:t>
      </w:r>
      <w:r w:rsidRPr="00D61F95">
        <w:rPr>
          <w:rFonts w:cs="Arial" w:hint="cs"/>
          <w:u w:val="dotted"/>
          <w:rtl/>
        </w:rPr>
        <w:t xml:space="preserve"> </w:t>
      </w:r>
      <w:r>
        <w:rPr>
          <w:rFonts w:cs="Arial" w:hint="cs"/>
          <w:u w:val="dotted"/>
          <w:rtl/>
        </w:rPr>
        <w:t xml:space="preserve">שם </w:t>
      </w:r>
      <w:r w:rsidRPr="00D61F95">
        <w:rPr>
          <w:rFonts w:cs="Arial" w:hint="cs"/>
          <w:u w:val="dotted"/>
          <w:rtl/>
        </w:rPr>
        <w:t>מקום הדירה:</w:t>
      </w:r>
    </w:p>
    <w:p w14:paraId="3CC31F8D" w14:textId="740D266C" w:rsidR="00FA2119" w:rsidRPr="004A54DB" w:rsidRDefault="00FA2119" w:rsidP="00FA2119">
      <w:pPr>
        <w:pStyle w:val="ab"/>
        <w:numPr>
          <w:ilvl w:val="0"/>
          <w:numId w:val="63"/>
        </w:numPr>
        <w:rPr>
          <w:rFonts w:cs="Arial"/>
        </w:rPr>
      </w:pPr>
      <w:r>
        <w:rPr>
          <w:rFonts w:cs="Arial" w:hint="cs"/>
          <w:rtl/>
        </w:rPr>
        <w:t>רא"ש</w:t>
      </w:r>
      <w:r w:rsidRPr="00CD3FDA">
        <w:rPr>
          <w:rFonts w:cs="Arial" w:hint="cs"/>
          <w:sz w:val="16"/>
          <w:szCs w:val="16"/>
          <w:rtl/>
        </w:rPr>
        <w:t xml:space="preserve"> (פ"ח סי' ט)</w:t>
      </w:r>
      <w:r w:rsidRPr="00074301">
        <w:rPr>
          <w:rFonts w:cs="Arial" w:hint="cs"/>
          <w:rtl/>
        </w:rPr>
        <w:t xml:space="preserve"> </w:t>
      </w:r>
      <w:r w:rsidRPr="001B30C3">
        <w:rPr>
          <w:rFonts w:cs="Arial" w:hint="cs"/>
          <w:rtl/>
        </w:rPr>
        <w:t>כל</w:t>
      </w:r>
      <w:r w:rsidRPr="001B30C3">
        <w:rPr>
          <w:rFonts w:cs="Arial"/>
          <w:rtl/>
        </w:rPr>
        <w:t xml:space="preserve"> </w:t>
      </w:r>
      <w:r w:rsidRPr="001B30C3">
        <w:rPr>
          <w:rFonts w:cs="Arial" w:hint="cs"/>
          <w:rtl/>
        </w:rPr>
        <w:t>בו</w:t>
      </w:r>
      <w:r w:rsidRPr="001B30C3">
        <w:rPr>
          <w:rFonts w:cs="Arial"/>
          <w:rtl/>
        </w:rPr>
        <w:t xml:space="preserve"> </w:t>
      </w:r>
      <w:r w:rsidRPr="00074301">
        <w:rPr>
          <w:rFonts w:cs="Arial"/>
          <w:sz w:val="16"/>
          <w:szCs w:val="16"/>
          <w:rtl/>
        </w:rPr>
        <w:t>(</w:t>
      </w:r>
      <w:r w:rsidRPr="00074301">
        <w:rPr>
          <w:rFonts w:cs="Arial" w:hint="cs"/>
          <w:sz w:val="16"/>
          <w:szCs w:val="16"/>
          <w:rtl/>
        </w:rPr>
        <w:t>סי</w:t>
      </w:r>
      <w:r w:rsidRPr="00074301">
        <w:rPr>
          <w:rFonts w:cs="Arial"/>
          <w:sz w:val="16"/>
          <w:szCs w:val="16"/>
          <w:rtl/>
        </w:rPr>
        <w:t xml:space="preserve">' </w:t>
      </w:r>
      <w:r w:rsidRPr="00074301">
        <w:rPr>
          <w:rFonts w:cs="Arial" w:hint="cs"/>
          <w:sz w:val="16"/>
          <w:szCs w:val="16"/>
          <w:rtl/>
        </w:rPr>
        <w:t>עו</w:t>
      </w:r>
      <w:r w:rsidRPr="00074301">
        <w:rPr>
          <w:rFonts w:cs="Arial"/>
          <w:sz w:val="16"/>
          <w:szCs w:val="16"/>
          <w:rtl/>
        </w:rPr>
        <w:t xml:space="preserve"> </w:t>
      </w:r>
      <w:r w:rsidRPr="00074301">
        <w:rPr>
          <w:rFonts w:cs="Arial" w:hint="cs"/>
          <w:sz w:val="16"/>
          <w:szCs w:val="16"/>
          <w:rtl/>
        </w:rPr>
        <w:t>מו</w:t>
      </w:r>
      <w:r w:rsidRPr="00074301">
        <w:rPr>
          <w:rFonts w:cs="Arial"/>
          <w:sz w:val="16"/>
          <w:szCs w:val="16"/>
          <w:rtl/>
        </w:rPr>
        <w:t xml:space="preserve"> </w:t>
      </w:r>
      <w:r w:rsidRPr="00074301">
        <w:rPr>
          <w:rFonts w:cs="Arial" w:hint="cs"/>
          <w:sz w:val="16"/>
          <w:szCs w:val="16"/>
          <w:rtl/>
        </w:rPr>
        <w:t>ע</w:t>
      </w:r>
      <w:r w:rsidRPr="00074301">
        <w:rPr>
          <w:rFonts w:cs="Arial"/>
          <w:sz w:val="16"/>
          <w:szCs w:val="16"/>
          <w:rtl/>
        </w:rPr>
        <w:t>"</w:t>
      </w:r>
      <w:r w:rsidRPr="00074301">
        <w:rPr>
          <w:rFonts w:cs="Arial" w:hint="cs"/>
          <w:sz w:val="16"/>
          <w:szCs w:val="16"/>
          <w:rtl/>
        </w:rPr>
        <w:t>ד</w:t>
      </w:r>
      <w:r w:rsidRPr="00074301">
        <w:rPr>
          <w:rFonts w:cs="Arial"/>
          <w:sz w:val="16"/>
          <w:szCs w:val="16"/>
          <w:rtl/>
        </w:rPr>
        <w:t xml:space="preserve">) </w:t>
      </w:r>
      <w:r w:rsidRPr="001B30C3">
        <w:rPr>
          <w:rFonts w:cs="Arial" w:hint="cs"/>
          <w:rtl/>
        </w:rPr>
        <w:t>ו</w:t>
      </w:r>
      <w:r>
        <w:rPr>
          <w:rFonts w:cs="Arial" w:hint="cs"/>
          <w:rtl/>
        </w:rPr>
        <w:t>סמ"ק</w:t>
      </w:r>
      <w:r>
        <w:rPr>
          <w:rStyle w:val="a7"/>
          <w:rFonts w:cs="Arial"/>
          <w:rtl/>
        </w:rPr>
        <w:footnoteReference w:id="959"/>
      </w:r>
      <w:r w:rsidRPr="001B30C3">
        <w:rPr>
          <w:rFonts w:cs="Arial"/>
          <w:rtl/>
        </w:rPr>
        <w:t xml:space="preserve"> </w:t>
      </w:r>
      <w:r w:rsidRPr="00074301">
        <w:rPr>
          <w:rFonts w:cs="Arial"/>
          <w:sz w:val="16"/>
          <w:szCs w:val="16"/>
          <w:rtl/>
        </w:rPr>
        <w:t>(</w:t>
      </w:r>
      <w:r w:rsidRPr="00074301">
        <w:rPr>
          <w:rFonts w:cs="Arial" w:hint="cs"/>
          <w:sz w:val="16"/>
          <w:szCs w:val="16"/>
          <w:rtl/>
        </w:rPr>
        <w:t>סי</w:t>
      </w:r>
      <w:r w:rsidRPr="00074301">
        <w:rPr>
          <w:rFonts w:cs="Arial"/>
          <w:sz w:val="16"/>
          <w:szCs w:val="16"/>
          <w:rtl/>
        </w:rPr>
        <w:t xml:space="preserve">' </w:t>
      </w:r>
      <w:r w:rsidRPr="00074301">
        <w:rPr>
          <w:rFonts w:cs="Arial" w:hint="cs"/>
          <w:sz w:val="16"/>
          <w:szCs w:val="16"/>
          <w:rtl/>
        </w:rPr>
        <w:t>קפד</w:t>
      </w:r>
      <w:r w:rsidRPr="00074301">
        <w:rPr>
          <w:rFonts w:cs="Arial"/>
          <w:sz w:val="16"/>
          <w:szCs w:val="16"/>
          <w:rtl/>
        </w:rPr>
        <w:t xml:space="preserve"> </w:t>
      </w:r>
      <w:r w:rsidRPr="00074301">
        <w:rPr>
          <w:rFonts w:cs="Arial" w:hint="cs"/>
          <w:sz w:val="16"/>
          <w:szCs w:val="16"/>
          <w:rtl/>
        </w:rPr>
        <w:t>עמ</w:t>
      </w:r>
      <w:r w:rsidRPr="00074301">
        <w:rPr>
          <w:rFonts w:cs="Arial"/>
          <w:sz w:val="16"/>
          <w:szCs w:val="16"/>
          <w:rtl/>
        </w:rPr>
        <w:t xml:space="preserve">' </w:t>
      </w:r>
      <w:r w:rsidRPr="00074301">
        <w:rPr>
          <w:rFonts w:cs="Arial" w:hint="cs"/>
          <w:sz w:val="16"/>
          <w:szCs w:val="16"/>
          <w:rtl/>
        </w:rPr>
        <w:t>קמז</w:t>
      </w:r>
      <w:r w:rsidRPr="00074301">
        <w:rPr>
          <w:rFonts w:cs="Arial"/>
          <w:sz w:val="16"/>
          <w:szCs w:val="16"/>
          <w:rtl/>
        </w:rPr>
        <w:t>)</w:t>
      </w:r>
      <w:r w:rsidR="00A82951">
        <w:rPr>
          <w:rFonts w:cs="Arial" w:hint="cs"/>
          <w:rtl/>
        </w:rPr>
        <w:t>-</w:t>
      </w:r>
      <w:r>
        <w:rPr>
          <w:rFonts w:cs="Arial" w:hint="cs"/>
          <w:rtl/>
        </w:rPr>
        <w:t xml:space="preserve"> </w:t>
      </w:r>
      <w:r w:rsidRPr="00CD3FDA">
        <w:rPr>
          <w:rFonts w:cs="Arial"/>
          <w:rtl/>
        </w:rPr>
        <w:t>גם עירו ועירה אין עיכוב בכתיבתו</w:t>
      </w:r>
      <w:r>
        <w:rPr>
          <w:rFonts w:cs="Arial" w:hint="cs"/>
          <w:rtl/>
        </w:rPr>
        <w:t>,</w:t>
      </w:r>
      <w:r w:rsidRPr="00CD3FDA">
        <w:rPr>
          <w:rFonts w:cs="Arial"/>
          <w:rtl/>
        </w:rPr>
        <w:t xml:space="preserve"> דמתני</w:t>
      </w:r>
      <w:r>
        <w:rPr>
          <w:rFonts w:cs="Arial" w:hint="cs"/>
          <w:rtl/>
        </w:rPr>
        <w:t>'</w:t>
      </w:r>
      <w:r w:rsidRPr="00CD3FDA">
        <w:rPr>
          <w:rFonts w:cs="Arial"/>
          <w:rtl/>
        </w:rPr>
        <w:t xml:space="preserve"> לא קאמר אלא שינה אבל אם לא כתב כלל לא מיפסיל גיטא בהכי</w:t>
      </w:r>
      <w:r>
        <w:rPr>
          <w:rStyle w:val="a7"/>
          <w:rFonts w:cs="Arial"/>
          <w:rtl/>
        </w:rPr>
        <w:footnoteReference w:id="960"/>
      </w:r>
      <w:r>
        <w:rPr>
          <w:rFonts w:cs="Arial" w:hint="cs"/>
          <w:sz w:val="16"/>
          <w:szCs w:val="16"/>
          <w:rtl/>
        </w:rPr>
        <w:t xml:space="preserve"> (ל' הרא"ש)</w:t>
      </w:r>
      <w:r>
        <w:rPr>
          <w:rFonts w:cs="Arial" w:hint="cs"/>
          <w:rtl/>
        </w:rPr>
        <w:t>.</w:t>
      </w:r>
    </w:p>
    <w:p w14:paraId="249E2C3B" w14:textId="76F2E4C7" w:rsidR="00FA2119" w:rsidRPr="00074301" w:rsidRDefault="00FA2119" w:rsidP="00FA2119">
      <w:pPr>
        <w:pStyle w:val="ab"/>
        <w:numPr>
          <w:ilvl w:val="0"/>
          <w:numId w:val="63"/>
        </w:numPr>
        <w:rPr>
          <w:rFonts w:cs="Arial"/>
        </w:rPr>
      </w:pPr>
      <w:r w:rsidRPr="001B30C3">
        <w:rPr>
          <w:rFonts w:cs="Arial" w:hint="cs"/>
          <w:rtl/>
        </w:rPr>
        <w:t>ראב</w:t>
      </w:r>
      <w:r w:rsidRPr="001B30C3">
        <w:rPr>
          <w:rFonts w:cs="Arial"/>
          <w:rtl/>
        </w:rPr>
        <w:t>"</w:t>
      </w:r>
      <w:r w:rsidRPr="001B30C3">
        <w:rPr>
          <w:rFonts w:cs="Arial" w:hint="cs"/>
          <w:rtl/>
        </w:rPr>
        <w:t>ד</w:t>
      </w:r>
      <w:r w:rsidRPr="001B30C3">
        <w:rPr>
          <w:rFonts w:cs="Arial"/>
          <w:rtl/>
        </w:rPr>
        <w:t xml:space="preserve"> </w:t>
      </w:r>
      <w:r w:rsidRPr="004A54DB">
        <w:rPr>
          <w:rFonts w:cs="Arial"/>
          <w:sz w:val="16"/>
          <w:szCs w:val="16"/>
          <w:rtl/>
        </w:rPr>
        <w:t>(</w:t>
      </w:r>
      <w:r w:rsidRPr="004A54DB">
        <w:rPr>
          <w:rFonts w:cs="Arial" w:hint="cs"/>
          <w:sz w:val="16"/>
          <w:szCs w:val="16"/>
          <w:rtl/>
        </w:rPr>
        <w:t>השגות</w:t>
      </w:r>
      <w:r w:rsidRPr="004A54DB">
        <w:rPr>
          <w:rFonts w:cs="Arial"/>
          <w:sz w:val="16"/>
          <w:szCs w:val="16"/>
          <w:rtl/>
        </w:rPr>
        <w:t xml:space="preserve"> </w:t>
      </w:r>
      <w:r w:rsidRPr="004A54DB">
        <w:rPr>
          <w:rFonts w:cs="Arial" w:hint="cs"/>
          <w:sz w:val="16"/>
          <w:szCs w:val="16"/>
          <w:rtl/>
        </w:rPr>
        <w:t>הראב</w:t>
      </w:r>
      <w:r w:rsidRPr="004A54DB">
        <w:rPr>
          <w:rFonts w:cs="Arial"/>
          <w:sz w:val="16"/>
          <w:szCs w:val="16"/>
          <w:rtl/>
        </w:rPr>
        <w:t>"</w:t>
      </w:r>
      <w:r w:rsidRPr="004A54DB">
        <w:rPr>
          <w:rFonts w:cs="Arial" w:hint="cs"/>
          <w:sz w:val="16"/>
          <w:szCs w:val="16"/>
          <w:rtl/>
        </w:rPr>
        <w:t>ד</w:t>
      </w:r>
      <w:r w:rsidRPr="004A54DB">
        <w:rPr>
          <w:rFonts w:cs="Arial"/>
          <w:sz w:val="16"/>
          <w:szCs w:val="16"/>
          <w:rtl/>
        </w:rPr>
        <w:t xml:space="preserve"> </w:t>
      </w:r>
      <w:r w:rsidRPr="004A54DB">
        <w:rPr>
          <w:rFonts w:cs="Arial" w:hint="cs"/>
          <w:sz w:val="16"/>
          <w:szCs w:val="16"/>
          <w:rtl/>
        </w:rPr>
        <w:t>בגליון</w:t>
      </w:r>
      <w:r w:rsidRPr="004A54DB">
        <w:rPr>
          <w:rFonts w:cs="Arial"/>
          <w:sz w:val="16"/>
          <w:szCs w:val="16"/>
          <w:rtl/>
        </w:rPr>
        <w:t xml:space="preserve"> </w:t>
      </w:r>
      <w:r w:rsidRPr="004A54DB">
        <w:rPr>
          <w:rFonts w:cs="Arial" w:hint="cs"/>
          <w:sz w:val="16"/>
          <w:szCs w:val="16"/>
          <w:rtl/>
        </w:rPr>
        <w:t>הרי</w:t>
      </w:r>
      <w:r w:rsidRPr="004A54DB">
        <w:rPr>
          <w:rFonts w:cs="Arial"/>
          <w:sz w:val="16"/>
          <w:szCs w:val="16"/>
          <w:rtl/>
        </w:rPr>
        <w:t>"</w:t>
      </w:r>
      <w:r w:rsidRPr="004A54DB">
        <w:rPr>
          <w:rFonts w:cs="Arial" w:hint="cs"/>
          <w:sz w:val="16"/>
          <w:szCs w:val="16"/>
          <w:rtl/>
        </w:rPr>
        <w:t>ף</w:t>
      </w:r>
      <w:r w:rsidRPr="004A54DB">
        <w:rPr>
          <w:rFonts w:cs="Arial"/>
          <w:sz w:val="16"/>
          <w:szCs w:val="16"/>
          <w:rtl/>
        </w:rPr>
        <w:t xml:space="preserve"> </w:t>
      </w:r>
      <w:r w:rsidRPr="004A54DB">
        <w:rPr>
          <w:rFonts w:cs="Arial" w:hint="cs"/>
          <w:sz w:val="16"/>
          <w:szCs w:val="16"/>
          <w:rtl/>
        </w:rPr>
        <w:t>גיטין</w:t>
      </w:r>
      <w:r w:rsidRPr="004A54DB">
        <w:rPr>
          <w:rFonts w:cs="Arial"/>
          <w:sz w:val="16"/>
          <w:szCs w:val="16"/>
          <w:rtl/>
        </w:rPr>
        <w:t xml:space="preserve"> </w:t>
      </w:r>
      <w:r w:rsidRPr="004A54DB">
        <w:rPr>
          <w:rFonts w:cs="Arial" w:hint="cs"/>
          <w:sz w:val="16"/>
          <w:szCs w:val="16"/>
          <w:rtl/>
        </w:rPr>
        <w:t>יז</w:t>
      </w:r>
      <w:r w:rsidRPr="004A54DB">
        <w:rPr>
          <w:rFonts w:cs="Arial"/>
          <w:sz w:val="16"/>
          <w:szCs w:val="16"/>
          <w:rtl/>
        </w:rPr>
        <w:t>.)</w:t>
      </w:r>
      <w:r w:rsidRPr="004A54DB">
        <w:rPr>
          <w:rFonts w:cs="Arial" w:hint="cs"/>
          <w:rtl/>
        </w:rPr>
        <w:t xml:space="preserve"> </w:t>
      </w:r>
      <w:r>
        <w:rPr>
          <w:rFonts w:cs="Arial" w:hint="cs"/>
          <w:rtl/>
        </w:rPr>
        <w:t>ורשב"א</w:t>
      </w:r>
      <w:r w:rsidRPr="001B30C3">
        <w:rPr>
          <w:rFonts w:cs="Arial"/>
          <w:rtl/>
        </w:rPr>
        <w:t xml:space="preserve"> </w:t>
      </w:r>
      <w:r w:rsidRPr="004A54DB">
        <w:rPr>
          <w:rFonts w:cs="Arial"/>
          <w:sz w:val="16"/>
          <w:szCs w:val="16"/>
          <w:rtl/>
        </w:rPr>
        <w:t>(</w:t>
      </w:r>
      <w:r w:rsidRPr="004A54DB">
        <w:rPr>
          <w:rFonts w:cs="Arial" w:hint="cs"/>
          <w:sz w:val="16"/>
          <w:szCs w:val="16"/>
          <w:rtl/>
        </w:rPr>
        <w:t>ח</w:t>
      </w:r>
      <w:r w:rsidRPr="004A54DB">
        <w:rPr>
          <w:rFonts w:cs="Arial"/>
          <w:sz w:val="16"/>
          <w:szCs w:val="16"/>
          <w:rtl/>
        </w:rPr>
        <w:t>"</w:t>
      </w:r>
      <w:r w:rsidRPr="004A54DB">
        <w:rPr>
          <w:rFonts w:cs="Arial" w:hint="cs"/>
          <w:sz w:val="16"/>
          <w:szCs w:val="16"/>
          <w:rtl/>
        </w:rPr>
        <w:t>א</w:t>
      </w:r>
      <w:r w:rsidRPr="004A54DB">
        <w:rPr>
          <w:rFonts w:cs="Arial"/>
          <w:sz w:val="16"/>
          <w:szCs w:val="16"/>
          <w:rtl/>
        </w:rPr>
        <w:t xml:space="preserve"> </w:t>
      </w:r>
      <w:r w:rsidRPr="004A54DB">
        <w:rPr>
          <w:rFonts w:cs="Arial" w:hint="cs"/>
          <w:sz w:val="16"/>
          <w:szCs w:val="16"/>
          <w:rtl/>
        </w:rPr>
        <w:t>סי</w:t>
      </w:r>
      <w:r w:rsidRPr="004A54DB">
        <w:rPr>
          <w:rFonts w:cs="Arial"/>
          <w:sz w:val="16"/>
          <w:szCs w:val="16"/>
          <w:rtl/>
        </w:rPr>
        <w:t xml:space="preserve">' </w:t>
      </w:r>
      <w:r w:rsidRPr="004A54DB">
        <w:rPr>
          <w:rFonts w:cs="Arial" w:hint="cs"/>
          <w:sz w:val="16"/>
          <w:szCs w:val="16"/>
          <w:rtl/>
        </w:rPr>
        <w:t>אלף</w:t>
      </w:r>
      <w:r w:rsidRPr="004A54DB">
        <w:rPr>
          <w:rFonts w:cs="Arial"/>
          <w:sz w:val="16"/>
          <w:szCs w:val="16"/>
          <w:rtl/>
        </w:rPr>
        <w:t xml:space="preserve"> </w:t>
      </w:r>
      <w:r w:rsidRPr="004A54DB">
        <w:rPr>
          <w:rFonts w:cs="Arial" w:hint="cs"/>
          <w:sz w:val="16"/>
          <w:szCs w:val="16"/>
          <w:rtl/>
        </w:rPr>
        <w:t>ריג</w:t>
      </w:r>
      <w:r>
        <w:rPr>
          <w:rFonts w:cs="Arial" w:hint="cs"/>
          <w:sz w:val="16"/>
          <w:szCs w:val="16"/>
          <w:rtl/>
        </w:rPr>
        <w:t>, וכן נראה ב</w:t>
      </w:r>
      <w:r w:rsidRPr="00B04144">
        <w:rPr>
          <w:rFonts w:cs="Arial" w:hint="cs"/>
          <w:sz w:val="16"/>
          <w:szCs w:val="16"/>
          <w:rtl/>
        </w:rPr>
        <w:t>ח</w:t>
      </w:r>
      <w:r w:rsidRPr="00B04144">
        <w:rPr>
          <w:rFonts w:cs="Arial"/>
          <w:sz w:val="16"/>
          <w:szCs w:val="16"/>
          <w:rtl/>
        </w:rPr>
        <w:t>"</w:t>
      </w:r>
      <w:r w:rsidRPr="00B04144">
        <w:rPr>
          <w:rFonts w:cs="Arial" w:hint="cs"/>
          <w:sz w:val="16"/>
          <w:szCs w:val="16"/>
          <w:rtl/>
        </w:rPr>
        <w:t>ב</w:t>
      </w:r>
      <w:r w:rsidRPr="00B04144">
        <w:rPr>
          <w:rFonts w:cs="Arial"/>
          <w:sz w:val="16"/>
          <w:szCs w:val="16"/>
          <w:rtl/>
        </w:rPr>
        <w:t xml:space="preserve"> </w:t>
      </w:r>
      <w:r w:rsidRPr="00B04144">
        <w:rPr>
          <w:rFonts w:cs="Arial" w:hint="cs"/>
          <w:sz w:val="16"/>
          <w:szCs w:val="16"/>
          <w:rtl/>
        </w:rPr>
        <w:t>סי</w:t>
      </w:r>
      <w:r w:rsidRPr="00B04144">
        <w:rPr>
          <w:rFonts w:cs="Arial"/>
          <w:sz w:val="16"/>
          <w:szCs w:val="16"/>
          <w:rtl/>
        </w:rPr>
        <w:t xml:space="preserve">' </w:t>
      </w:r>
      <w:r w:rsidRPr="00B04144">
        <w:rPr>
          <w:rFonts w:cs="Arial" w:hint="cs"/>
          <w:sz w:val="16"/>
          <w:szCs w:val="16"/>
          <w:rtl/>
        </w:rPr>
        <w:t>רעז</w:t>
      </w:r>
      <w:r w:rsidRPr="004A54DB">
        <w:rPr>
          <w:rFonts w:cs="Arial"/>
          <w:sz w:val="16"/>
          <w:szCs w:val="16"/>
          <w:rtl/>
        </w:rPr>
        <w:t>)</w:t>
      </w:r>
      <w:r>
        <w:rPr>
          <w:rStyle w:val="a7"/>
          <w:rFonts w:cs="Arial"/>
          <w:rtl/>
        </w:rPr>
        <w:footnoteReference w:id="961"/>
      </w:r>
      <w:r w:rsidR="00A82951">
        <w:rPr>
          <w:rFonts w:cs="Arial" w:hint="cs"/>
          <w:rtl/>
        </w:rPr>
        <w:t>-</w:t>
      </w:r>
      <w:r w:rsidRPr="001B30C3">
        <w:rPr>
          <w:rFonts w:cs="Arial"/>
          <w:rtl/>
        </w:rPr>
        <w:t xml:space="preserve"> </w:t>
      </w:r>
      <w:r w:rsidRPr="001B30C3">
        <w:rPr>
          <w:rFonts w:cs="Arial" w:hint="cs"/>
          <w:rtl/>
        </w:rPr>
        <w:t>פוסל</w:t>
      </w:r>
      <w:r w:rsidRPr="001B30C3">
        <w:rPr>
          <w:rFonts w:cs="Arial"/>
          <w:rtl/>
        </w:rPr>
        <w:t xml:space="preserve">. </w:t>
      </w:r>
    </w:p>
    <w:p w14:paraId="63139C43" w14:textId="28DD3CB5" w:rsidR="00FA2119" w:rsidRDefault="00FA2119" w:rsidP="00FA2119">
      <w:pPr>
        <w:pStyle w:val="ab"/>
        <w:numPr>
          <w:ilvl w:val="0"/>
          <w:numId w:val="63"/>
        </w:numPr>
        <w:rPr>
          <w:rFonts w:cs="Arial"/>
        </w:rPr>
      </w:pPr>
      <w:r>
        <w:rPr>
          <w:rFonts w:cs="Arial" w:hint="cs"/>
          <w:rtl/>
        </w:rPr>
        <w:t>תרוה"ד</w:t>
      </w:r>
      <w:r w:rsidRPr="001B30C3">
        <w:rPr>
          <w:rFonts w:cs="Arial"/>
          <w:rtl/>
        </w:rPr>
        <w:t xml:space="preserve"> </w:t>
      </w:r>
      <w:r w:rsidRPr="00074301">
        <w:rPr>
          <w:rFonts w:cs="Arial" w:hint="cs"/>
          <w:sz w:val="16"/>
          <w:szCs w:val="16"/>
          <w:rtl/>
        </w:rPr>
        <w:t>(סי'</w:t>
      </w:r>
      <w:r w:rsidRPr="00074301">
        <w:rPr>
          <w:rFonts w:cs="Arial"/>
          <w:sz w:val="16"/>
          <w:szCs w:val="16"/>
          <w:rtl/>
        </w:rPr>
        <w:t xml:space="preserve"> </w:t>
      </w:r>
      <w:r w:rsidRPr="00074301">
        <w:rPr>
          <w:rFonts w:cs="Arial" w:hint="cs"/>
          <w:sz w:val="16"/>
          <w:szCs w:val="16"/>
          <w:rtl/>
        </w:rPr>
        <w:t>קמב)</w:t>
      </w:r>
      <w:r w:rsidR="00A82951">
        <w:rPr>
          <w:rFonts w:cs="Arial" w:hint="cs"/>
          <w:rtl/>
        </w:rPr>
        <w:t>-</w:t>
      </w:r>
      <w:r w:rsidRPr="001B30C3">
        <w:rPr>
          <w:rFonts w:cs="Arial"/>
          <w:rtl/>
        </w:rPr>
        <w:t xml:space="preserve"> </w:t>
      </w:r>
      <w:r w:rsidRPr="001B30C3">
        <w:rPr>
          <w:rFonts w:cs="Arial" w:hint="cs"/>
          <w:rtl/>
        </w:rPr>
        <w:t>מקום</w:t>
      </w:r>
      <w:r w:rsidRPr="001B30C3">
        <w:rPr>
          <w:rFonts w:cs="Arial"/>
          <w:rtl/>
        </w:rPr>
        <w:t xml:space="preserve"> </w:t>
      </w:r>
      <w:r w:rsidRPr="001B30C3">
        <w:rPr>
          <w:rFonts w:cs="Arial" w:hint="cs"/>
          <w:rtl/>
        </w:rPr>
        <w:t>הדירה</w:t>
      </w:r>
      <w:r w:rsidRPr="001B30C3">
        <w:rPr>
          <w:rFonts w:cs="Arial"/>
          <w:rtl/>
        </w:rPr>
        <w:t xml:space="preserve"> </w:t>
      </w:r>
      <w:r w:rsidRPr="001B30C3">
        <w:rPr>
          <w:rFonts w:cs="Arial" w:hint="cs"/>
          <w:rtl/>
        </w:rPr>
        <w:t>שנהגו</w:t>
      </w:r>
      <w:r w:rsidRPr="001B30C3">
        <w:rPr>
          <w:rFonts w:cs="Arial"/>
          <w:rtl/>
        </w:rPr>
        <w:t xml:space="preserve"> </w:t>
      </w:r>
      <w:r w:rsidRPr="001B30C3">
        <w:rPr>
          <w:rFonts w:cs="Arial" w:hint="cs"/>
          <w:rtl/>
        </w:rPr>
        <w:t>לכתוב</w:t>
      </w:r>
      <w:r w:rsidRPr="001B30C3">
        <w:rPr>
          <w:rFonts w:cs="Arial"/>
          <w:rtl/>
        </w:rPr>
        <w:t xml:space="preserve"> </w:t>
      </w:r>
      <w:r w:rsidRPr="001B30C3">
        <w:rPr>
          <w:rFonts w:cs="Arial" w:hint="cs"/>
          <w:rtl/>
        </w:rPr>
        <w:t>כל</w:t>
      </w:r>
      <w:r w:rsidRPr="001B30C3">
        <w:rPr>
          <w:rFonts w:cs="Arial"/>
          <w:rtl/>
        </w:rPr>
        <w:t xml:space="preserve"> </w:t>
      </w:r>
      <w:r w:rsidRPr="001B30C3">
        <w:rPr>
          <w:rFonts w:cs="Arial" w:hint="cs"/>
          <w:rtl/>
        </w:rPr>
        <w:t>הקדמונים</w:t>
      </w:r>
      <w:r w:rsidRPr="001B30C3">
        <w:rPr>
          <w:rFonts w:cs="Arial"/>
          <w:rtl/>
        </w:rPr>
        <w:t xml:space="preserve"> </w:t>
      </w:r>
      <w:r w:rsidRPr="001B30C3">
        <w:rPr>
          <w:rFonts w:cs="Arial" w:hint="cs"/>
          <w:rtl/>
        </w:rPr>
        <w:t>אפילו</w:t>
      </w:r>
      <w:r w:rsidRPr="001B30C3">
        <w:rPr>
          <w:rFonts w:cs="Arial"/>
          <w:rtl/>
        </w:rPr>
        <w:t xml:space="preserve"> </w:t>
      </w:r>
      <w:r w:rsidRPr="001B30C3">
        <w:rPr>
          <w:rFonts w:cs="Arial" w:hint="cs"/>
          <w:rtl/>
        </w:rPr>
        <w:t>אותם</w:t>
      </w:r>
      <w:r w:rsidRPr="001B30C3">
        <w:rPr>
          <w:rFonts w:cs="Arial"/>
          <w:rtl/>
        </w:rPr>
        <w:t xml:space="preserve"> </w:t>
      </w:r>
      <w:r w:rsidRPr="001B30C3">
        <w:rPr>
          <w:rFonts w:cs="Arial" w:hint="cs"/>
          <w:rtl/>
        </w:rPr>
        <w:t>שלא</w:t>
      </w:r>
      <w:r w:rsidRPr="001B30C3">
        <w:rPr>
          <w:rFonts w:cs="Arial"/>
          <w:rtl/>
        </w:rPr>
        <w:t xml:space="preserve"> </w:t>
      </w:r>
      <w:r w:rsidRPr="001B30C3">
        <w:rPr>
          <w:rFonts w:cs="Arial" w:hint="cs"/>
          <w:rtl/>
        </w:rPr>
        <w:t>הנהיגו</w:t>
      </w:r>
      <w:r w:rsidRPr="001B30C3">
        <w:rPr>
          <w:rFonts w:cs="Arial"/>
          <w:rtl/>
        </w:rPr>
        <w:t xml:space="preserve"> </w:t>
      </w:r>
      <w:r w:rsidRPr="001B30C3">
        <w:rPr>
          <w:rFonts w:cs="Arial" w:hint="cs"/>
          <w:rtl/>
        </w:rPr>
        <w:t>לכתוב</w:t>
      </w:r>
      <w:r w:rsidRPr="001B30C3">
        <w:rPr>
          <w:rFonts w:cs="Arial"/>
          <w:rtl/>
        </w:rPr>
        <w:t xml:space="preserve"> </w:t>
      </w:r>
      <w:r w:rsidRPr="001B30C3">
        <w:rPr>
          <w:rFonts w:cs="Arial" w:hint="cs"/>
          <w:rtl/>
        </w:rPr>
        <w:t>מקום</w:t>
      </w:r>
      <w:r w:rsidRPr="001B30C3">
        <w:rPr>
          <w:rFonts w:cs="Arial"/>
          <w:rtl/>
        </w:rPr>
        <w:t xml:space="preserve"> </w:t>
      </w:r>
      <w:r w:rsidRPr="001B30C3">
        <w:rPr>
          <w:rFonts w:cs="Arial" w:hint="cs"/>
          <w:rtl/>
        </w:rPr>
        <w:t>הלידה</w:t>
      </w:r>
      <w:r w:rsidRPr="001B30C3">
        <w:rPr>
          <w:rFonts w:cs="Arial"/>
          <w:rtl/>
        </w:rPr>
        <w:t xml:space="preserve"> </w:t>
      </w:r>
      <w:r w:rsidRPr="001B30C3">
        <w:rPr>
          <w:rFonts w:cs="Arial" w:hint="cs"/>
          <w:rtl/>
        </w:rPr>
        <w:t>כדאיתא</w:t>
      </w:r>
      <w:r w:rsidRPr="001B30C3">
        <w:rPr>
          <w:rFonts w:cs="Arial"/>
          <w:rtl/>
        </w:rPr>
        <w:t xml:space="preserve"> </w:t>
      </w:r>
      <w:r w:rsidRPr="001B30C3">
        <w:rPr>
          <w:rFonts w:cs="Arial" w:hint="cs"/>
          <w:rtl/>
        </w:rPr>
        <w:t>להדיא</w:t>
      </w:r>
      <w:r w:rsidRPr="001B30C3">
        <w:rPr>
          <w:rFonts w:cs="Arial"/>
          <w:rtl/>
        </w:rPr>
        <w:t xml:space="preserve"> </w:t>
      </w:r>
      <w:r w:rsidRPr="001B30C3">
        <w:rPr>
          <w:rFonts w:cs="Arial" w:hint="cs"/>
          <w:rtl/>
        </w:rPr>
        <w:t>במרדכי</w:t>
      </w:r>
      <w:r>
        <w:rPr>
          <w:rFonts w:cs="Arial" w:hint="cs"/>
          <w:rtl/>
        </w:rPr>
        <w:t>,</w:t>
      </w:r>
      <w:r w:rsidRPr="001B30C3">
        <w:rPr>
          <w:rFonts w:cs="Arial"/>
          <w:rtl/>
        </w:rPr>
        <w:t xml:space="preserve"> </w:t>
      </w:r>
      <w:r w:rsidRPr="001B30C3">
        <w:rPr>
          <w:rFonts w:cs="Arial" w:hint="cs"/>
          <w:rtl/>
        </w:rPr>
        <w:t>אעפ</w:t>
      </w:r>
      <w:r>
        <w:rPr>
          <w:rFonts w:cs="Arial" w:hint="cs"/>
          <w:rtl/>
        </w:rPr>
        <w:t>"</w:t>
      </w:r>
      <w:r w:rsidRPr="001B30C3">
        <w:rPr>
          <w:rFonts w:cs="Arial" w:hint="cs"/>
          <w:rtl/>
        </w:rPr>
        <w:t>כ</w:t>
      </w:r>
      <w:r w:rsidRPr="001B30C3">
        <w:rPr>
          <w:rFonts w:cs="Arial"/>
          <w:rtl/>
        </w:rPr>
        <w:t xml:space="preserve"> </w:t>
      </w:r>
      <w:r w:rsidRPr="001B30C3">
        <w:rPr>
          <w:rFonts w:cs="Arial" w:hint="cs"/>
          <w:rtl/>
        </w:rPr>
        <w:t>אנו</w:t>
      </w:r>
      <w:r w:rsidRPr="001B30C3">
        <w:rPr>
          <w:rFonts w:cs="Arial"/>
          <w:rtl/>
        </w:rPr>
        <w:t xml:space="preserve"> </w:t>
      </w:r>
      <w:r w:rsidRPr="001B30C3">
        <w:rPr>
          <w:rFonts w:cs="Arial" w:hint="cs"/>
          <w:rtl/>
        </w:rPr>
        <w:t>בכל</w:t>
      </w:r>
      <w:r w:rsidRPr="001B30C3">
        <w:rPr>
          <w:rFonts w:cs="Arial"/>
          <w:rtl/>
        </w:rPr>
        <w:t xml:space="preserve"> </w:t>
      </w:r>
      <w:r w:rsidRPr="001B30C3">
        <w:rPr>
          <w:rFonts w:cs="Arial" w:hint="cs"/>
          <w:rtl/>
        </w:rPr>
        <w:t>גבולינו</w:t>
      </w:r>
      <w:r w:rsidRPr="001B30C3">
        <w:rPr>
          <w:rFonts w:cs="Arial"/>
          <w:rtl/>
        </w:rPr>
        <w:t xml:space="preserve"> </w:t>
      </w:r>
      <w:r w:rsidRPr="001B30C3">
        <w:rPr>
          <w:rFonts w:cs="Arial" w:hint="cs"/>
          <w:rtl/>
        </w:rPr>
        <w:t>ובדורותינו</w:t>
      </w:r>
      <w:r w:rsidRPr="001B30C3">
        <w:rPr>
          <w:rFonts w:cs="Arial"/>
          <w:rtl/>
        </w:rPr>
        <w:t xml:space="preserve"> </w:t>
      </w:r>
      <w:r w:rsidRPr="001B30C3">
        <w:rPr>
          <w:rFonts w:cs="Arial" w:hint="cs"/>
          <w:rtl/>
        </w:rPr>
        <w:t>אין</w:t>
      </w:r>
      <w:r w:rsidRPr="001B30C3">
        <w:rPr>
          <w:rFonts w:cs="Arial"/>
          <w:rtl/>
        </w:rPr>
        <w:t xml:space="preserve"> </w:t>
      </w:r>
      <w:r w:rsidRPr="001B30C3">
        <w:rPr>
          <w:rFonts w:cs="Arial" w:hint="cs"/>
          <w:rtl/>
        </w:rPr>
        <w:t>נוהגין</w:t>
      </w:r>
      <w:r w:rsidRPr="001B30C3">
        <w:rPr>
          <w:rFonts w:cs="Arial"/>
          <w:rtl/>
        </w:rPr>
        <w:t xml:space="preserve"> </w:t>
      </w:r>
      <w:r w:rsidRPr="001B30C3">
        <w:rPr>
          <w:rFonts w:cs="Arial" w:hint="cs"/>
          <w:rtl/>
        </w:rPr>
        <w:t>כך</w:t>
      </w:r>
      <w:r w:rsidRPr="001B30C3">
        <w:rPr>
          <w:rFonts w:cs="Arial"/>
          <w:rtl/>
        </w:rPr>
        <w:t xml:space="preserve"> </w:t>
      </w:r>
      <w:r w:rsidRPr="001B30C3">
        <w:rPr>
          <w:rFonts w:cs="Arial" w:hint="cs"/>
          <w:rtl/>
        </w:rPr>
        <w:t>לכתבו</w:t>
      </w:r>
      <w:r w:rsidRPr="001B30C3">
        <w:rPr>
          <w:rFonts w:cs="Arial"/>
          <w:rtl/>
        </w:rPr>
        <w:t xml:space="preserve"> </w:t>
      </w:r>
      <w:r w:rsidRPr="001B30C3">
        <w:rPr>
          <w:rFonts w:cs="Arial" w:hint="cs"/>
          <w:rtl/>
        </w:rPr>
        <w:t>כדכתוב</w:t>
      </w:r>
      <w:r w:rsidRPr="001B30C3">
        <w:rPr>
          <w:rFonts w:cs="Arial"/>
          <w:rtl/>
        </w:rPr>
        <w:t xml:space="preserve"> </w:t>
      </w:r>
      <w:r w:rsidRPr="001B30C3">
        <w:rPr>
          <w:rFonts w:cs="Arial" w:hint="cs"/>
          <w:rtl/>
        </w:rPr>
        <w:t>בהג</w:t>
      </w:r>
      <w:r>
        <w:rPr>
          <w:rFonts w:cs="Arial" w:hint="cs"/>
          <w:rtl/>
        </w:rPr>
        <w:t>ה"מ</w:t>
      </w:r>
      <w:r w:rsidRPr="001B30C3">
        <w:rPr>
          <w:rFonts w:cs="Arial"/>
          <w:rtl/>
        </w:rPr>
        <w:t xml:space="preserve"> </w:t>
      </w:r>
      <w:r w:rsidRPr="00074301">
        <w:rPr>
          <w:rFonts w:cs="Arial"/>
          <w:sz w:val="16"/>
          <w:szCs w:val="16"/>
          <w:rtl/>
        </w:rPr>
        <w:t>(</w:t>
      </w:r>
      <w:r w:rsidRPr="00074301">
        <w:rPr>
          <w:rFonts w:cs="Arial" w:hint="cs"/>
          <w:sz w:val="16"/>
          <w:szCs w:val="16"/>
          <w:rtl/>
        </w:rPr>
        <w:t>פ</w:t>
      </w:r>
      <w:r w:rsidRPr="00074301">
        <w:rPr>
          <w:rFonts w:cs="Arial"/>
          <w:sz w:val="16"/>
          <w:szCs w:val="16"/>
          <w:rtl/>
        </w:rPr>
        <w:t>"</w:t>
      </w:r>
      <w:r w:rsidRPr="00074301">
        <w:rPr>
          <w:rFonts w:cs="Arial" w:hint="cs"/>
          <w:sz w:val="16"/>
          <w:szCs w:val="16"/>
          <w:rtl/>
        </w:rPr>
        <w:t>ד</w:t>
      </w:r>
      <w:r w:rsidRPr="00074301">
        <w:rPr>
          <w:rFonts w:cs="Arial"/>
          <w:sz w:val="16"/>
          <w:szCs w:val="16"/>
          <w:rtl/>
        </w:rPr>
        <w:t xml:space="preserve"> </w:t>
      </w:r>
      <w:r w:rsidRPr="00074301">
        <w:rPr>
          <w:rFonts w:cs="Arial" w:hint="cs"/>
          <w:sz w:val="16"/>
          <w:szCs w:val="16"/>
          <w:rtl/>
        </w:rPr>
        <w:t>מגירושין</w:t>
      </w:r>
      <w:r w:rsidRPr="00074301">
        <w:rPr>
          <w:rFonts w:cs="Arial"/>
          <w:sz w:val="16"/>
          <w:szCs w:val="16"/>
          <w:rtl/>
        </w:rPr>
        <w:t xml:space="preserve"> </w:t>
      </w:r>
      <w:r w:rsidRPr="00074301">
        <w:rPr>
          <w:rFonts w:cs="Arial" w:hint="cs"/>
          <w:sz w:val="16"/>
          <w:szCs w:val="16"/>
          <w:rtl/>
        </w:rPr>
        <w:t>אות</w:t>
      </w:r>
      <w:r w:rsidRPr="00074301">
        <w:rPr>
          <w:rFonts w:cs="Arial"/>
          <w:sz w:val="16"/>
          <w:szCs w:val="16"/>
          <w:rtl/>
        </w:rPr>
        <w:t xml:space="preserve"> </w:t>
      </w:r>
      <w:r w:rsidRPr="00074301">
        <w:rPr>
          <w:rFonts w:cs="Arial" w:hint="cs"/>
          <w:sz w:val="16"/>
          <w:szCs w:val="16"/>
          <w:rtl/>
        </w:rPr>
        <w:t>ז</w:t>
      </w:r>
      <w:r w:rsidRPr="00074301">
        <w:rPr>
          <w:rFonts w:cs="Arial"/>
          <w:sz w:val="16"/>
          <w:szCs w:val="16"/>
          <w:rtl/>
        </w:rPr>
        <w:t>)</w:t>
      </w:r>
      <w:r w:rsidRPr="001B30C3">
        <w:rPr>
          <w:rFonts w:cs="Arial"/>
          <w:rtl/>
        </w:rPr>
        <w:t xml:space="preserve"> </w:t>
      </w:r>
      <w:r w:rsidRPr="001B30C3">
        <w:rPr>
          <w:rFonts w:cs="Arial" w:hint="cs"/>
          <w:rtl/>
        </w:rPr>
        <w:t>בשם</w:t>
      </w:r>
      <w:r w:rsidRPr="001B30C3">
        <w:rPr>
          <w:rFonts w:cs="Arial"/>
          <w:rtl/>
        </w:rPr>
        <w:t xml:space="preserve"> </w:t>
      </w:r>
      <w:r w:rsidRPr="001B30C3">
        <w:rPr>
          <w:rFonts w:cs="Arial" w:hint="cs"/>
          <w:rtl/>
        </w:rPr>
        <w:t>ספר</w:t>
      </w:r>
      <w:r w:rsidRPr="001B30C3">
        <w:rPr>
          <w:rFonts w:cs="Arial"/>
          <w:rtl/>
        </w:rPr>
        <w:t xml:space="preserve"> </w:t>
      </w:r>
      <w:r w:rsidRPr="001B30C3">
        <w:rPr>
          <w:rFonts w:cs="Arial" w:hint="cs"/>
          <w:rtl/>
        </w:rPr>
        <w:t>המקצועות</w:t>
      </w:r>
      <w:r w:rsidRPr="001B30C3">
        <w:rPr>
          <w:rFonts w:cs="Arial"/>
          <w:rtl/>
        </w:rPr>
        <w:t xml:space="preserve"> </w:t>
      </w:r>
      <w:r w:rsidRPr="001B30C3">
        <w:rPr>
          <w:rFonts w:cs="Arial" w:hint="cs"/>
          <w:rtl/>
        </w:rPr>
        <w:t>שאם</w:t>
      </w:r>
      <w:r w:rsidRPr="001B30C3">
        <w:rPr>
          <w:rFonts w:cs="Arial"/>
          <w:rtl/>
        </w:rPr>
        <w:t xml:space="preserve"> </w:t>
      </w:r>
      <w:r w:rsidRPr="001B30C3">
        <w:rPr>
          <w:rFonts w:cs="Arial" w:hint="cs"/>
          <w:rtl/>
        </w:rPr>
        <w:t>אין</w:t>
      </w:r>
      <w:r w:rsidRPr="001B30C3">
        <w:rPr>
          <w:rFonts w:cs="Arial"/>
          <w:rtl/>
        </w:rPr>
        <w:t xml:space="preserve"> </w:t>
      </w:r>
      <w:r w:rsidRPr="001B30C3">
        <w:rPr>
          <w:rFonts w:cs="Arial" w:hint="cs"/>
          <w:rtl/>
        </w:rPr>
        <w:t>ברור</w:t>
      </w:r>
      <w:r w:rsidRPr="001B30C3">
        <w:rPr>
          <w:rFonts w:cs="Arial"/>
          <w:rtl/>
        </w:rPr>
        <w:t xml:space="preserve"> </w:t>
      </w:r>
      <w:r w:rsidRPr="001B30C3">
        <w:rPr>
          <w:rFonts w:cs="Arial" w:hint="cs"/>
          <w:rtl/>
        </w:rPr>
        <w:t>לו</w:t>
      </w:r>
      <w:r w:rsidRPr="001B30C3">
        <w:rPr>
          <w:rFonts w:cs="Arial"/>
          <w:rtl/>
        </w:rPr>
        <w:t xml:space="preserve"> </w:t>
      </w:r>
      <w:r w:rsidRPr="001B30C3">
        <w:rPr>
          <w:rFonts w:cs="Arial" w:hint="cs"/>
          <w:rtl/>
        </w:rPr>
        <w:t>לא</w:t>
      </w:r>
      <w:r w:rsidRPr="001B30C3">
        <w:rPr>
          <w:rFonts w:cs="Arial"/>
          <w:rtl/>
        </w:rPr>
        <w:t xml:space="preserve"> </w:t>
      </w:r>
      <w:r w:rsidRPr="001B30C3">
        <w:rPr>
          <w:rFonts w:cs="Arial" w:hint="cs"/>
          <w:rtl/>
        </w:rPr>
        <w:t>יכתוב</w:t>
      </w:r>
      <w:r w:rsidRPr="001B30C3">
        <w:rPr>
          <w:rFonts w:cs="Arial"/>
          <w:rtl/>
        </w:rPr>
        <w:t xml:space="preserve"> </w:t>
      </w:r>
      <w:r w:rsidRPr="001B30C3">
        <w:rPr>
          <w:rFonts w:cs="Arial" w:hint="cs"/>
          <w:rtl/>
        </w:rPr>
        <w:t>כלום</w:t>
      </w:r>
      <w:r>
        <w:rPr>
          <w:rFonts w:cs="Arial" w:hint="cs"/>
          <w:rtl/>
        </w:rPr>
        <w:t>.</w:t>
      </w:r>
      <w:r w:rsidRPr="001B30C3">
        <w:rPr>
          <w:rFonts w:cs="Arial"/>
          <w:rtl/>
        </w:rPr>
        <w:t xml:space="preserve"> </w:t>
      </w:r>
      <w:r w:rsidRPr="001B30C3">
        <w:rPr>
          <w:rFonts w:cs="Arial" w:hint="cs"/>
          <w:rtl/>
        </w:rPr>
        <w:t>והאידנא</w:t>
      </w:r>
      <w:r w:rsidRPr="001B30C3">
        <w:rPr>
          <w:rFonts w:cs="Arial"/>
          <w:rtl/>
        </w:rPr>
        <w:t xml:space="preserve"> </w:t>
      </w:r>
      <w:r w:rsidRPr="001B30C3">
        <w:rPr>
          <w:rFonts w:cs="Arial" w:hint="cs"/>
          <w:rtl/>
        </w:rPr>
        <w:t>אנו</w:t>
      </w:r>
      <w:r w:rsidRPr="001B30C3">
        <w:rPr>
          <w:rFonts w:cs="Arial"/>
          <w:rtl/>
        </w:rPr>
        <w:t xml:space="preserve"> </w:t>
      </w:r>
      <w:r w:rsidRPr="001B30C3">
        <w:rPr>
          <w:rFonts w:cs="Arial" w:hint="cs"/>
          <w:rtl/>
        </w:rPr>
        <w:t>גולים</w:t>
      </w:r>
      <w:r w:rsidRPr="001B30C3">
        <w:rPr>
          <w:rFonts w:cs="Arial"/>
          <w:rtl/>
        </w:rPr>
        <w:t xml:space="preserve"> </w:t>
      </w:r>
      <w:r w:rsidRPr="001B30C3">
        <w:rPr>
          <w:rFonts w:cs="Arial" w:hint="cs"/>
          <w:rtl/>
        </w:rPr>
        <w:t>ומטולטלים</w:t>
      </w:r>
      <w:r w:rsidRPr="001B30C3">
        <w:rPr>
          <w:rFonts w:cs="Arial"/>
          <w:rtl/>
        </w:rPr>
        <w:t xml:space="preserve"> </w:t>
      </w:r>
      <w:r w:rsidRPr="001B30C3">
        <w:rPr>
          <w:rFonts w:cs="Arial" w:hint="cs"/>
          <w:rtl/>
        </w:rPr>
        <w:t>ומקום</w:t>
      </w:r>
      <w:r w:rsidRPr="001B30C3">
        <w:rPr>
          <w:rFonts w:cs="Arial"/>
          <w:rtl/>
        </w:rPr>
        <w:t xml:space="preserve"> </w:t>
      </w:r>
      <w:r w:rsidRPr="001B30C3">
        <w:rPr>
          <w:rFonts w:cs="Arial" w:hint="cs"/>
          <w:rtl/>
        </w:rPr>
        <w:t>דירתנו</w:t>
      </w:r>
      <w:r w:rsidRPr="001B30C3">
        <w:rPr>
          <w:rFonts w:cs="Arial"/>
          <w:rtl/>
        </w:rPr>
        <w:t xml:space="preserve"> </w:t>
      </w:r>
      <w:r w:rsidRPr="001B30C3">
        <w:rPr>
          <w:rFonts w:cs="Arial" w:hint="cs"/>
          <w:rtl/>
        </w:rPr>
        <w:t>מרופה</w:t>
      </w:r>
      <w:r w:rsidRPr="001B30C3">
        <w:rPr>
          <w:rFonts w:cs="Arial"/>
          <w:rtl/>
        </w:rPr>
        <w:t xml:space="preserve"> </w:t>
      </w:r>
      <w:r w:rsidRPr="001B30C3">
        <w:rPr>
          <w:rFonts w:cs="Arial" w:hint="cs"/>
          <w:rtl/>
        </w:rPr>
        <w:t>בידינו</w:t>
      </w:r>
      <w:r w:rsidRPr="001B30C3">
        <w:rPr>
          <w:rFonts w:cs="Arial"/>
          <w:rtl/>
        </w:rPr>
        <w:t xml:space="preserve"> </w:t>
      </w:r>
      <w:r w:rsidRPr="001B30C3">
        <w:rPr>
          <w:rFonts w:cs="Arial" w:hint="cs"/>
          <w:rtl/>
        </w:rPr>
        <w:t>ולכך</w:t>
      </w:r>
      <w:r w:rsidRPr="001B30C3">
        <w:rPr>
          <w:rFonts w:cs="Arial"/>
          <w:rtl/>
        </w:rPr>
        <w:t xml:space="preserve"> </w:t>
      </w:r>
      <w:r w:rsidRPr="001B30C3">
        <w:rPr>
          <w:rFonts w:cs="Arial" w:hint="cs"/>
          <w:rtl/>
        </w:rPr>
        <w:t>אין</w:t>
      </w:r>
      <w:r w:rsidRPr="001B30C3">
        <w:rPr>
          <w:rFonts w:cs="Arial"/>
          <w:rtl/>
        </w:rPr>
        <w:t xml:space="preserve"> </w:t>
      </w:r>
      <w:r w:rsidRPr="001B30C3">
        <w:rPr>
          <w:rFonts w:cs="Arial" w:hint="cs"/>
          <w:rtl/>
        </w:rPr>
        <w:t>כותבין</w:t>
      </w:r>
      <w:r w:rsidRPr="001B30C3">
        <w:rPr>
          <w:rFonts w:cs="Arial"/>
          <w:rtl/>
        </w:rPr>
        <w:t xml:space="preserve"> </w:t>
      </w:r>
      <w:r w:rsidRPr="001B30C3">
        <w:rPr>
          <w:rFonts w:cs="Arial" w:hint="cs"/>
          <w:rtl/>
        </w:rPr>
        <w:t>אותו</w:t>
      </w:r>
      <w:r>
        <w:rPr>
          <w:rStyle w:val="a7"/>
          <w:rFonts w:cs="Arial"/>
          <w:rtl/>
        </w:rPr>
        <w:footnoteReference w:id="962"/>
      </w:r>
      <w:r>
        <w:rPr>
          <w:rFonts w:cs="Arial" w:hint="cs"/>
          <w:rtl/>
        </w:rPr>
        <w:t>.</w:t>
      </w:r>
      <w:r w:rsidRPr="001B30C3">
        <w:rPr>
          <w:rFonts w:cs="Arial"/>
          <w:rtl/>
        </w:rPr>
        <w:t xml:space="preserve"> </w:t>
      </w:r>
      <w:r w:rsidRPr="00865F2C">
        <w:rPr>
          <w:rFonts w:cs="Arial"/>
          <w:color w:val="E36C0A" w:themeColor="accent6" w:themeShade="BF"/>
          <w:rtl/>
        </w:rPr>
        <w:t>(וכ"פ בשו"ע)</w:t>
      </w:r>
    </w:p>
    <w:p w14:paraId="025EA576" w14:textId="77777777" w:rsidR="00FA2119" w:rsidRPr="005202D4" w:rsidRDefault="00FA2119" w:rsidP="00FA2119">
      <w:pPr>
        <w:ind w:left="360"/>
        <w:rPr>
          <w:rFonts w:cs="Arial"/>
          <w:u w:val="dotted"/>
          <w:rtl/>
        </w:rPr>
      </w:pPr>
      <w:r>
        <w:rPr>
          <w:rFonts w:cs="Arial" w:hint="cs"/>
          <w:u w:val="dotted"/>
          <w:rtl/>
        </w:rPr>
        <w:t xml:space="preserve">ומה הדין אם </w:t>
      </w:r>
      <w:r w:rsidRPr="005202D4">
        <w:rPr>
          <w:rFonts w:cs="Arial" w:hint="cs"/>
          <w:b/>
          <w:bCs/>
          <w:u w:val="dotted"/>
          <w:rtl/>
        </w:rPr>
        <w:t>שינה</w:t>
      </w:r>
      <w:r w:rsidRPr="005202D4">
        <w:rPr>
          <w:rFonts w:cs="Arial" w:hint="cs"/>
          <w:u w:val="dotted"/>
          <w:rtl/>
        </w:rPr>
        <w:t xml:space="preserve"> </w:t>
      </w:r>
      <w:r>
        <w:rPr>
          <w:rFonts w:cs="Arial" w:hint="cs"/>
          <w:u w:val="dotted"/>
          <w:rtl/>
        </w:rPr>
        <w:t xml:space="preserve">שם </w:t>
      </w:r>
      <w:r w:rsidRPr="005202D4">
        <w:rPr>
          <w:rFonts w:cs="Arial" w:hint="cs"/>
          <w:u w:val="dotted"/>
          <w:rtl/>
        </w:rPr>
        <w:t>מקום דירתם:</w:t>
      </w:r>
    </w:p>
    <w:p w14:paraId="03FE61A9" w14:textId="27FD55A9" w:rsidR="00FA2119" w:rsidRPr="00FC0D1D" w:rsidRDefault="00FA2119" w:rsidP="00FA2119">
      <w:pPr>
        <w:pStyle w:val="ab"/>
        <w:numPr>
          <w:ilvl w:val="0"/>
          <w:numId w:val="64"/>
        </w:numPr>
        <w:rPr>
          <w:rFonts w:cs="Arial"/>
          <w:rtl/>
        </w:rPr>
      </w:pPr>
      <w:r>
        <w:rPr>
          <w:rFonts w:cs="Arial" w:hint="cs"/>
          <w:rtl/>
        </w:rPr>
        <w:t>ב"י</w:t>
      </w:r>
      <w:r w:rsidR="00A82951">
        <w:rPr>
          <w:rFonts w:cs="Arial" w:hint="cs"/>
          <w:rtl/>
        </w:rPr>
        <w:t>-</w:t>
      </w:r>
      <w:r>
        <w:rPr>
          <w:rFonts w:cs="Arial" w:hint="cs"/>
          <w:rtl/>
        </w:rPr>
        <w:t xml:space="preserve"> </w:t>
      </w:r>
      <w:r w:rsidRPr="001B30C3">
        <w:rPr>
          <w:rFonts w:cs="Arial" w:hint="cs"/>
          <w:rtl/>
        </w:rPr>
        <w:t>היכא</w:t>
      </w:r>
      <w:r w:rsidRPr="001B30C3">
        <w:rPr>
          <w:rFonts w:cs="Arial"/>
          <w:rtl/>
        </w:rPr>
        <w:t xml:space="preserve"> </w:t>
      </w:r>
      <w:r w:rsidRPr="001B30C3">
        <w:rPr>
          <w:rFonts w:cs="Arial" w:hint="cs"/>
          <w:rtl/>
        </w:rPr>
        <w:t>דשינה</w:t>
      </w:r>
      <w:r w:rsidRPr="001B30C3">
        <w:rPr>
          <w:rFonts w:cs="Arial"/>
          <w:rtl/>
        </w:rPr>
        <w:t xml:space="preserve"> </w:t>
      </w:r>
      <w:r w:rsidRPr="001B30C3">
        <w:rPr>
          <w:rFonts w:cs="Arial" w:hint="cs"/>
          <w:rtl/>
        </w:rPr>
        <w:t>שם</w:t>
      </w:r>
      <w:r w:rsidRPr="001B30C3">
        <w:rPr>
          <w:rFonts w:cs="Arial"/>
          <w:rtl/>
        </w:rPr>
        <w:t xml:space="preserve"> </w:t>
      </w:r>
      <w:r w:rsidRPr="001B30C3">
        <w:rPr>
          <w:rFonts w:cs="Arial" w:hint="cs"/>
          <w:rtl/>
        </w:rPr>
        <w:t>עיר</w:t>
      </w:r>
      <w:r w:rsidRPr="001B30C3">
        <w:rPr>
          <w:rFonts w:cs="Arial"/>
          <w:rtl/>
        </w:rPr>
        <w:t xml:space="preserve"> </w:t>
      </w:r>
      <w:r w:rsidRPr="001B30C3">
        <w:rPr>
          <w:rFonts w:cs="Arial" w:hint="cs"/>
          <w:rtl/>
        </w:rPr>
        <w:t>דירתן</w:t>
      </w:r>
      <w:r w:rsidRPr="001B30C3">
        <w:rPr>
          <w:rFonts w:cs="Arial"/>
          <w:rtl/>
        </w:rPr>
        <w:t xml:space="preserve"> </w:t>
      </w:r>
      <w:r w:rsidRPr="001B30C3">
        <w:rPr>
          <w:rFonts w:cs="Arial" w:hint="cs"/>
          <w:rtl/>
        </w:rPr>
        <w:t>משנה</w:t>
      </w:r>
      <w:r w:rsidRPr="001B30C3">
        <w:rPr>
          <w:rFonts w:cs="Arial"/>
          <w:rtl/>
        </w:rPr>
        <w:t xml:space="preserve"> </w:t>
      </w:r>
      <w:r w:rsidRPr="001B30C3">
        <w:rPr>
          <w:rFonts w:cs="Arial" w:hint="cs"/>
          <w:rtl/>
        </w:rPr>
        <w:t>שלמה</w:t>
      </w:r>
      <w:r w:rsidRPr="001B30C3">
        <w:rPr>
          <w:rFonts w:cs="Arial"/>
          <w:rtl/>
        </w:rPr>
        <w:t xml:space="preserve"> </w:t>
      </w:r>
      <w:r w:rsidRPr="001B30C3">
        <w:rPr>
          <w:rFonts w:cs="Arial" w:hint="cs"/>
          <w:rtl/>
        </w:rPr>
        <w:t>שנינו</w:t>
      </w:r>
      <w:r w:rsidRPr="001B30C3">
        <w:rPr>
          <w:rFonts w:cs="Arial"/>
          <w:rtl/>
        </w:rPr>
        <w:t xml:space="preserve"> </w:t>
      </w:r>
      <w:r w:rsidRPr="001B30C3">
        <w:rPr>
          <w:rFonts w:cs="Arial" w:hint="cs"/>
          <w:rtl/>
        </w:rPr>
        <w:t>בהזורק</w:t>
      </w:r>
      <w:r w:rsidRPr="001B30C3">
        <w:rPr>
          <w:rFonts w:cs="Arial"/>
          <w:rtl/>
        </w:rPr>
        <w:t xml:space="preserve"> (</w:t>
      </w:r>
      <w:r w:rsidRPr="001B30C3">
        <w:rPr>
          <w:rFonts w:cs="Arial" w:hint="cs"/>
          <w:rtl/>
        </w:rPr>
        <w:t>פ</w:t>
      </w:r>
      <w:r w:rsidRPr="001B30C3">
        <w:rPr>
          <w:rFonts w:cs="Arial"/>
          <w:rtl/>
        </w:rPr>
        <w:t xml:space="preserve">.) </w:t>
      </w:r>
      <w:r w:rsidRPr="001B30C3">
        <w:rPr>
          <w:rFonts w:cs="Arial" w:hint="cs"/>
          <w:rtl/>
        </w:rPr>
        <w:t>שינה</w:t>
      </w:r>
      <w:r w:rsidRPr="001B30C3">
        <w:rPr>
          <w:rFonts w:cs="Arial"/>
          <w:rtl/>
        </w:rPr>
        <w:t xml:space="preserve"> </w:t>
      </w:r>
      <w:r w:rsidRPr="001B30C3">
        <w:rPr>
          <w:rFonts w:cs="Arial" w:hint="cs"/>
          <w:rtl/>
        </w:rPr>
        <w:t>שמו</w:t>
      </w:r>
      <w:r w:rsidRPr="001B30C3">
        <w:rPr>
          <w:rFonts w:cs="Arial"/>
          <w:rtl/>
        </w:rPr>
        <w:t xml:space="preserve"> </w:t>
      </w:r>
      <w:r w:rsidRPr="001B30C3">
        <w:rPr>
          <w:rFonts w:cs="Arial" w:hint="cs"/>
          <w:rtl/>
        </w:rPr>
        <w:t>ושמה</w:t>
      </w:r>
      <w:r w:rsidRPr="001B30C3">
        <w:rPr>
          <w:rFonts w:cs="Arial"/>
          <w:rtl/>
        </w:rPr>
        <w:t xml:space="preserve"> </w:t>
      </w:r>
      <w:r w:rsidRPr="001B30C3">
        <w:rPr>
          <w:rFonts w:cs="Arial" w:hint="cs"/>
          <w:rtl/>
        </w:rPr>
        <w:t>שם</w:t>
      </w:r>
      <w:r w:rsidRPr="001B30C3">
        <w:rPr>
          <w:rFonts w:cs="Arial"/>
          <w:rtl/>
        </w:rPr>
        <w:t xml:space="preserve"> </w:t>
      </w:r>
      <w:r w:rsidRPr="001B30C3">
        <w:rPr>
          <w:rFonts w:cs="Arial" w:hint="cs"/>
          <w:rtl/>
        </w:rPr>
        <w:t>עירו</w:t>
      </w:r>
      <w:r w:rsidRPr="001B30C3">
        <w:rPr>
          <w:rFonts w:cs="Arial"/>
          <w:rtl/>
        </w:rPr>
        <w:t xml:space="preserve"> </w:t>
      </w:r>
      <w:r w:rsidRPr="001B30C3">
        <w:rPr>
          <w:rFonts w:cs="Arial" w:hint="cs"/>
          <w:rtl/>
        </w:rPr>
        <w:t>ושם</w:t>
      </w:r>
      <w:r w:rsidRPr="001B30C3">
        <w:rPr>
          <w:rFonts w:cs="Arial"/>
          <w:rtl/>
        </w:rPr>
        <w:t xml:space="preserve"> </w:t>
      </w:r>
      <w:r w:rsidRPr="001B30C3">
        <w:rPr>
          <w:rFonts w:cs="Arial" w:hint="cs"/>
          <w:rtl/>
        </w:rPr>
        <w:t>עירה</w:t>
      </w:r>
      <w:r w:rsidRPr="001B30C3">
        <w:rPr>
          <w:rFonts w:cs="Arial"/>
          <w:rtl/>
        </w:rPr>
        <w:t xml:space="preserve"> </w:t>
      </w:r>
      <w:r w:rsidR="002F4447">
        <w:rPr>
          <w:rFonts w:cs="Arial" w:hint="cs"/>
          <w:rtl/>
        </w:rPr>
        <w:t xml:space="preserve">- </w:t>
      </w:r>
      <w:r w:rsidRPr="001B30C3">
        <w:rPr>
          <w:rFonts w:cs="Arial" w:hint="cs"/>
          <w:rtl/>
        </w:rPr>
        <w:t>תצא</w:t>
      </w:r>
      <w:r w:rsidRPr="001B30C3">
        <w:rPr>
          <w:rFonts w:cs="Arial"/>
          <w:rtl/>
        </w:rPr>
        <w:t xml:space="preserve"> </w:t>
      </w:r>
      <w:r w:rsidRPr="001B30C3">
        <w:rPr>
          <w:rFonts w:cs="Arial" w:hint="cs"/>
          <w:rtl/>
        </w:rPr>
        <w:t>מזה</w:t>
      </w:r>
      <w:r w:rsidRPr="001B30C3">
        <w:rPr>
          <w:rFonts w:cs="Arial"/>
          <w:rtl/>
        </w:rPr>
        <w:t xml:space="preserve"> </w:t>
      </w:r>
      <w:r w:rsidRPr="001B30C3">
        <w:rPr>
          <w:rFonts w:cs="Arial" w:hint="cs"/>
          <w:rtl/>
        </w:rPr>
        <w:t>ומזה</w:t>
      </w:r>
      <w:r w:rsidRPr="001B30C3">
        <w:rPr>
          <w:rFonts w:cs="Arial"/>
          <w:rtl/>
        </w:rPr>
        <w:t xml:space="preserve"> </w:t>
      </w:r>
      <w:r w:rsidRPr="001B30C3">
        <w:rPr>
          <w:rFonts w:cs="Arial" w:hint="cs"/>
          <w:rtl/>
        </w:rPr>
        <w:t>וכל</w:t>
      </w:r>
      <w:r w:rsidRPr="001B30C3">
        <w:rPr>
          <w:rFonts w:cs="Arial"/>
          <w:rtl/>
        </w:rPr>
        <w:t xml:space="preserve"> </w:t>
      </w:r>
      <w:r w:rsidRPr="001B30C3">
        <w:rPr>
          <w:rFonts w:cs="Arial" w:hint="cs"/>
          <w:rtl/>
        </w:rPr>
        <w:t>הדרכים</w:t>
      </w:r>
      <w:r w:rsidRPr="001B30C3">
        <w:rPr>
          <w:rFonts w:cs="Arial"/>
          <w:rtl/>
        </w:rPr>
        <w:t xml:space="preserve"> </w:t>
      </w:r>
      <w:r w:rsidRPr="001B30C3">
        <w:rPr>
          <w:rFonts w:cs="Arial" w:hint="cs"/>
          <w:rtl/>
        </w:rPr>
        <w:t>האלו</w:t>
      </w:r>
      <w:r w:rsidRPr="001B30C3">
        <w:rPr>
          <w:rFonts w:cs="Arial"/>
          <w:rtl/>
        </w:rPr>
        <w:t xml:space="preserve"> </w:t>
      </w:r>
      <w:r w:rsidRPr="001B30C3">
        <w:rPr>
          <w:rFonts w:cs="Arial" w:hint="cs"/>
          <w:rtl/>
        </w:rPr>
        <w:t>בה</w:t>
      </w:r>
      <w:r>
        <w:rPr>
          <w:rFonts w:cs="Arial" w:hint="cs"/>
          <w:rtl/>
        </w:rPr>
        <w:t>.</w:t>
      </w:r>
      <w:r w:rsidRPr="001B30C3">
        <w:rPr>
          <w:rFonts w:cs="Arial"/>
          <w:rtl/>
        </w:rPr>
        <w:t xml:space="preserve"> </w:t>
      </w:r>
      <w:r w:rsidRPr="001B30C3">
        <w:rPr>
          <w:rFonts w:cs="Arial" w:hint="cs"/>
          <w:rtl/>
        </w:rPr>
        <w:t>ואמרינן</w:t>
      </w:r>
      <w:r w:rsidRPr="001B30C3">
        <w:rPr>
          <w:rFonts w:cs="Arial"/>
          <w:rtl/>
        </w:rPr>
        <w:t xml:space="preserve"> </w:t>
      </w:r>
      <w:r w:rsidRPr="001B30C3">
        <w:rPr>
          <w:rFonts w:cs="Arial" w:hint="cs"/>
          <w:rtl/>
        </w:rPr>
        <w:t>בגמרא</w:t>
      </w:r>
      <w:r w:rsidRPr="001B30C3">
        <w:rPr>
          <w:rFonts w:cs="Arial"/>
          <w:rtl/>
        </w:rPr>
        <w:t xml:space="preserve"> (</w:t>
      </w:r>
      <w:r w:rsidRPr="001B30C3">
        <w:rPr>
          <w:rFonts w:cs="Arial" w:hint="cs"/>
          <w:rtl/>
        </w:rPr>
        <w:t>פ</w:t>
      </w:r>
      <w:r w:rsidRPr="001B30C3">
        <w:rPr>
          <w:rFonts w:cs="Arial"/>
          <w:rtl/>
        </w:rPr>
        <w:t xml:space="preserve">:) </w:t>
      </w:r>
      <w:r w:rsidRPr="001B30C3">
        <w:rPr>
          <w:rFonts w:cs="Arial" w:hint="cs"/>
          <w:rtl/>
        </w:rPr>
        <w:t>מודים</w:t>
      </w:r>
      <w:r w:rsidRPr="001B30C3">
        <w:rPr>
          <w:rFonts w:cs="Arial"/>
          <w:rtl/>
        </w:rPr>
        <w:t xml:space="preserve"> </w:t>
      </w:r>
      <w:r w:rsidRPr="001B30C3">
        <w:rPr>
          <w:rFonts w:cs="Arial" w:hint="cs"/>
          <w:rtl/>
        </w:rPr>
        <w:t>חכמים</w:t>
      </w:r>
      <w:r w:rsidRPr="001B30C3">
        <w:rPr>
          <w:rFonts w:cs="Arial"/>
          <w:rtl/>
        </w:rPr>
        <w:t xml:space="preserve"> </w:t>
      </w:r>
      <w:r w:rsidRPr="001B30C3">
        <w:rPr>
          <w:rFonts w:cs="Arial" w:hint="cs"/>
          <w:rtl/>
        </w:rPr>
        <w:t>לרבי</w:t>
      </w:r>
      <w:r w:rsidRPr="001B30C3">
        <w:rPr>
          <w:rFonts w:cs="Arial"/>
          <w:rtl/>
        </w:rPr>
        <w:t xml:space="preserve"> </w:t>
      </w:r>
      <w:r w:rsidRPr="001B30C3">
        <w:rPr>
          <w:rFonts w:cs="Arial" w:hint="cs"/>
          <w:rtl/>
        </w:rPr>
        <w:t>מאיר</w:t>
      </w:r>
      <w:r w:rsidRPr="001B30C3">
        <w:rPr>
          <w:rFonts w:cs="Arial"/>
          <w:rtl/>
        </w:rPr>
        <w:t xml:space="preserve"> </w:t>
      </w:r>
      <w:r w:rsidRPr="001B30C3">
        <w:rPr>
          <w:rFonts w:cs="Arial" w:hint="cs"/>
          <w:rtl/>
        </w:rPr>
        <w:t>שאם</w:t>
      </w:r>
      <w:r w:rsidRPr="001B30C3">
        <w:rPr>
          <w:rFonts w:cs="Arial"/>
          <w:rtl/>
        </w:rPr>
        <w:t xml:space="preserve"> </w:t>
      </w:r>
      <w:r w:rsidRPr="001B30C3">
        <w:rPr>
          <w:rFonts w:cs="Arial" w:hint="cs"/>
          <w:rtl/>
        </w:rPr>
        <w:t>שינה</w:t>
      </w:r>
      <w:r w:rsidRPr="001B30C3">
        <w:rPr>
          <w:rFonts w:cs="Arial"/>
          <w:rtl/>
        </w:rPr>
        <w:t xml:space="preserve"> </w:t>
      </w:r>
      <w:r w:rsidRPr="001B30C3">
        <w:rPr>
          <w:rFonts w:cs="Arial" w:hint="cs"/>
          <w:rtl/>
        </w:rPr>
        <w:t>שמו</w:t>
      </w:r>
      <w:r w:rsidRPr="001B30C3">
        <w:rPr>
          <w:rFonts w:cs="Arial"/>
          <w:rtl/>
        </w:rPr>
        <w:t xml:space="preserve"> </w:t>
      </w:r>
      <w:r w:rsidRPr="001B30C3">
        <w:rPr>
          <w:rFonts w:cs="Arial" w:hint="cs"/>
          <w:rtl/>
        </w:rPr>
        <w:t>ושמה</w:t>
      </w:r>
      <w:r w:rsidRPr="001B30C3">
        <w:rPr>
          <w:rFonts w:cs="Arial"/>
          <w:rtl/>
        </w:rPr>
        <w:t xml:space="preserve"> </w:t>
      </w:r>
      <w:r w:rsidRPr="001B30C3">
        <w:rPr>
          <w:rFonts w:cs="Arial" w:hint="cs"/>
          <w:rtl/>
        </w:rPr>
        <w:t>שם</w:t>
      </w:r>
      <w:r w:rsidRPr="001B30C3">
        <w:rPr>
          <w:rFonts w:cs="Arial"/>
          <w:rtl/>
        </w:rPr>
        <w:t xml:space="preserve"> </w:t>
      </w:r>
      <w:r w:rsidRPr="001B30C3">
        <w:rPr>
          <w:rFonts w:cs="Arial" w:hint="cs"/>
          <w:rtl/>
        </w:rPr>
        <w:t>עירו</w:t>
      </w:r>
      <w:r w:rsidRPr="001B30C3">
        <w:rPr>
          <w:rFonts w:cs="Arial"/>
          <w:rtl/>
        </w:rPr>
        <w:t xml:space="preserve"> </w:t>
      </w:r>
      <w:r w:rsidRPr="001B30C3">
        <w:rPr>
          <w:rFonts w:cs="Arial" w:hint="cs"/>
          <w:rtl/>
        </w:rPr>
        <w:t>ושם</w:t>
      </w:r>
      <w:r w:rsidRPr="001B30C3">
        <w:rPr>
          <w:rFonts w:cs="Arial"/>
          <w:rtl/>
        </w:rPr>
        <w:t xml:space="preserve"> </w:t>
      </w:r>
      <w:r w:rsidRPr="001B30C3">
        <w:rPr>
          <w:rFonts w:cs="Arial" w:hint="cs"/>
          <w:rtl/>
        </w:rPr>
        <w:t>עירה</w:t>
      </w:r>
      <w:r w:rsidRPr="001B30C3">
        <w:rPr>
          <w:rFonts w:cs="Arial"/>
          <w:rtl/>
        </w:rPr>
        <w:t xml:space="preserve"> </w:t>
      </w:r>
      <w:r w:rsidRPr="001B30C3">
        <w:rPr>
          <w:rFonts w:cs="Arial" w:hint="cs"/>
          <w:rtl/>
        </w:rPr>
        <w:t>שהולד</w:t>
      </w:r>
      <w:r w:rsidRPr="001B30C3">
        <w:rPr>
          <w:rFonts w:cs="Arial"/>
          <w:rtl/>
        </w:rPr>
        <w:t xml:space="preserve"> </w:t>
      </w:r>
      <w:r w:rsidRPr="001B30C3">
        <w:rPr>
          <w:rFonts w:cs="Arial" w:hint="cs"/>
          <w:rtl/>
        </w:rPr>
        <w:t>ממזר</w:t>
      </w:r>
      <w:r>
        <w:rPr>
          <w:rFonts w:cs="Arial" w:hint="cs"/>
          <w:rtl/>
        </w:rPr>
        <w:t>.</w:t>
      </w:r>
      <w:r w:rsidRPr="001B30C3">
        <w:rPr>
          <w:rFonts w:cs="Arial"/>
          <w:rtl/>
        </w:rPr>
        <w:t xml:space="preserve"> </w:t>
      </w:r>
      <w:r w:rsidRPr="001B30C3">
        <w:rPr>
          <w:rFonts w:cs="Arial" w:hint="cs"/>
          <w:rtl/>
        </w:rPr>
        <w:t>וכתבו</w:t>
      </w:r>
      <w:r w:rsidRPr="001B30C3">
        <w:rPr>
          <w:rFonts w:cs="Arial"/>
          <w:rtl/>
        </w:rPr>
        <w:t xml:space="preserve"> </w:t>
      </w:r>
      <w:r w:rsidRPr="001B30C3">
        <w:rPr>
          <w:rFonts w:cs="Arial" w:hint="cs"/>
          <w:rtl/>
        </w:rPr>
        <w:t>התוספות</w:t>
      </w:r>
      <w:r w:rsidRPr="001B30C3">
        <w:rPr>
          <w:rFonts w:cs="Arial"/>
          <w:rtl/>
        </w:rPr>
        <w:t xml:space="preserve"> (</w:t>
      </w:r>
      <w:r w:rsidRPr="001B30C3">
        <w:rPr>
          <w:rFonts w:cs="Arial" w:hint="cs"/>
          <w:rtl/>
        </w:rPr>
        <w:t>פ</w:t>
      </w:r>
      <w:r w:rsidRPr="001B30C3">
        <w:rPr>
          <w:rFonts w:cs="Arial"/>
          <w:rtl/>
        </w:rPr>
        <w:t xml:space="preserve">. </w:t>
      </w:r>
      <w:r w:rsidRPr="001B30C3">
        <w:rPr>
          <w:rFonts w:cs="Arial" w:hint="cs"/>
          <w:rtl/>
        </w:rPr>
        <w:t>ד</w:t>
      </w:r>
      <w:r w:rsidRPr="001B30C3">
        <w:rPr>
          <w:rFonts w:cs="Arial"/>
          <w:rtl/>
        </w:rPr>
        <w:t>"</w:t>
      </w:r>
      <w:r w:rsidRPr="001B30C3">
        <w:rPr>
          <w:rFonts w:cs="Arial" w:hint="cs"/>
          <w:rtl/>
        </w:rPr>
        <w:t>ה</w:t>
      </w:r>
      <w:r w:rsidRPr="001B30C3">
        <w:rPr>
          <w:rFonts w:cs="Arial"/>
          <w:rtl/>
        </w:rPr>
        <w:t xml:space="preserve"> </w:t>
      </w:r>
      <w:r w:rsidRPr="001B30C3">
        <w:rPr>
          <w:rFonts w:cs="Arial" w:hint="cs"/>
          <w:rtl/>
        </w:rPr>
        <w:t>שינה</w:t>
      </w:r>
      <w:r w:rsidRPr="001B30C3">
        <w:rPr>
          <w:rFonts w:cs="Arial"/>
          <w:rtl/>
        </w:rPr>
        <w:t xml:space="preserve">) </w:t>
      </w:r>
      <w:r w:rsidRPr="001B30C3">
        <w:rPr>
          <w:rFonts w:cs="Arial" w:hint="cs"/>
          <w:rtl/>
        </w:rPr>
        <w:t>דלא</w:t>
      </w:r>
      <w:r w:rsidRPr="001B30C3">
        <w:rPr>
          <w:rFonts w:cs="Arial"/>
          <w:rtl/>
        </w:rPr>
        <w:t xml:space="preserve"> </w:t>
      </w:r>
      <w:r w:rsidRPr="001B30C3">
        <w:rPr>
          <w:rFonts w:cs="Arial" w:hint="cs"/>
          <w:rtl/>
        </w:rPr>
        <w:t>שינה</w:t>
      </w:r>
      <w:r w:rsidRPr="001B30C3">
        <w:rPr>
          <w:rFonts w:cs="Arial"/>
          <w:rtl/>
        </w:rPr>
        <w:t xml:space="preserve"> </w:t>
      </w:r>
      <w:r w:rsidRPr="001B30C3">
        <w:rPr>
          <w:rFonts w:cs="Arial" w:hint="cs"/>
          <w:rtl/>
        </w:rPr>
        <w:t>ממש</w:t>
      </w:r>
      <w:r w:rsidRPr="001B30C3">
        <w:rPr>
          <w:rFonts w:cs="Arial"/>
          <w:rtl/>
        </w:rPr>
        <w:t xml:space="preserve"> </w:t>
      </w:r>
      <w:r w:rsidRPr="001B30C3">
        <w:rPr>
          <w:rFonts w:cs="Arial" w:hint="cs"/>
          <w:rtl/>
        </w:rPr>
        <w:t>אלא</w:t>
      </w:r>
      <w:r w:rsidRPr="001B30C3">
        <w:rPr>
          <w:rFonts w:cs="Arial"/>
          <w:rtl/>
        </w:rPr>
        <w:t xml:space="preserve"> </w:t>
      </w:r>
      <w:r w:rsidRPr="001B30C3">
        <w:rPr>
          <w:rFonts w:cs="Arial" w:hint="cs"/>
          <w:rtl/>
        </w:rPr>
        <w:t>שיש</w:t>
      </w:r>
      <w:r w:rsidRPr="001B30C3">
        <w:rPr>
          <w:rFonts w:cs="Arial"/>
          <w:rtl/>
        </w:rPr>
        <w:t xml:space="preserve"> </w:t>
      </w:r>
      <w:r w:rsidRPr="001B30C3">
        <w:rPr>
          <w:rFonts w:cs="Arial" w:hint="cs"/>
          <w:rtl/>
        </w:rPr>
        <w:t>לאותה</w:t>
      </w:r>
      <w:r w:rsidRPr="001B30C3">
        <w:rPr>
          <w:rFonts w:cs="Arial"/>
          <w:rtl/>
        </w:rPr>
        <w:t xml:space="preserve"> </w:t>
      </w:r>
      <w:r w:rsidRPr="001B30C3">
        <w:rPr>
          <w:rFonts w:cs="Arial" w:hint="cs"/>
          <w:rtl/>
        </w:rPr>
        <w:t>העיר</w:t>
      </w:r>
      <w:r w:rsidRPr="001B30C3">
        <w:rPr>
          <w:rFonts w:cs="Arial"/>
          <w:rtl/>
        </w:rPr>
        <w:t xml:space="preserve"> </w:t>
      </w:r>
      <w:r w:rsidRPr="001B30C3">
        <w:rPr>
          <w:rFonts w:cs="Arial" w:hint="cs"/>
          <w:rtl/>
        </w:rPr>
        <w:t>שני</w:t>
      </w:r>
      <w:r w:rsidRPr="001B30C3">
        <w:rPr>
          <w:rFonts w:cs="Arial"/>
          <w:rtl/>
        </w:rPr>
        <w:t xml:space="preserve"> </w:t>
      </w:r>
      <w:r w:rsidRPr="001B30C3">
        <w:rPr>
          <w:rFonts w:cs="Arial" w:hint="cs"/>
          <w:rtl/>
        </w:rPr>
        <w:t>שמות</w:t>
      </w:r>
      <w:r w:rsidRPr="001B30C3">
        <w:rPr>
          <w:rFonts w:cs="Arial"/>
          <w:rtl/>
        </w:rPr>
        <w:t xml:space="preserve"> </w:t>
      </w:r>
      <w:r w:rsidRPr="001B30C3">
        <w:rPr>
          <w:rFonts w:cs="Arial" w:hint="cs"/>
          <w:rtl/>
        </w:rPr>
        <w:t>בשני</w:t>
      </w:r>
      <w:r w:rsidRPr="001B30C3">
        <w:rPr>
          <w:rFonts w:cs="Arial"/>
          <w:rtl/>
        </w:rPr>
        <w:t xml:space="preserve"> </w:t>
      </w:r>
      <w:r w:rsidRPr="001B30C3">
        <w:rPr>
          <w:rFonts w:cs="Arial" w:hint="cs"/>
          <w:rtl/>
        </w:rPr>
        <w:t>מקומות</w:t>
      </w:r>
      <w:r>
        <w:rPr>
          <w:rStyle w:val="a7"/>
          <w:rFonts w:cs="Arial"/>
          <w:rtl/>
        </w:rPr>
        <w:footnoteReference w:id="963"/>
      </w:r>
      <w:r w:rsidRPr="00FC0D1D">
        <w:rPr>
          <w:rFonts w:cs="Arial"/>
          <w:rtl/>
        </w:rPr>
        <w:t xml:space="preserve">. </w:t>
      </w:r>
      <w:r w:rsidRPr="00865F2C">
        <w:rPr>
          <w:rFonts w:cs="Arial" w:hint="cs"/>
          <w:color w:val="00B0F0"/>
          <w:rtl/>
        </w:rPr>
        <w:t>(וכ"פ הרמ"א)</w:t>
      </w:r>
    </w:p>
    <w:p w14:paraId="50F52FF1" w14:textId="77777777" w:rsidR="00FA2119" w:rsidRPr="00BF3A57" w:rsidRDefault="00FA2119" w:rsidP="00FA2119">
      <w:pPr>
        <w:ind w:left="360"/>
        <w:rPr>
          <w:rFonts w:cs="Arial"/>
          <w:u w:val="dotted"/>
        </w:rPr>
      </w:pPr>
      <w:r w:rsidRPr="00BF3A57">
        <w:rPr>
          <w:rFonts w:cs="Arial" w:hint="cs"/>
          <w:u w:val="dotted"/>
          <w:rtl/>
        </w:rPr>
        <w:t xml:space="preserve">ומה הדין </w:t>
      </w:r>
      <w:r>
        <w:rPr>
          <w:rFonts w:cs="Arial" w:hint="cs"/>
          <w:u w:val="dotted"/>
          <w:rtl/>
        </w:rPr>
        <w:t>אם הוא רגיל לדור בשתי מקומות</w:t>
      </w:r>
      <w:r w:rsidRPr="00BF3A57">
        <w:rPr>
          <w:rFonts w:cs="Arial" w:hint="cs"/>
          <w:u w:val="dotted"/>
          <w:rtl/>
        </w:rPr>
        <w:t>:</w:t>
      </w:r>
    </w:p>
    <w:p w14:paraId="693D0D13" w14:textId="77D86D2B" w:rsidR="00FA2119" w:rsidRDefault="00FA2119" w:rsidP="00FA2119">
      <w:pPr>
        <w:pStyle w:val="ab"/>
        <w:numPr>
          <w:ilvl w:val="0"/>
          <w:numId w:val="63"/>
        </w:numPr>
        <w:rPr>
          <w:rFonts w:cs="Arial"/>
        </w:rPr>
      </w:pPr>
      <w:r w:rsidRPr="003C7C89">
        <w:rPr>
          <w:rFonts w:cs="Arial" w:hint="cs"/>
          <w:rtl/>
        </w:rPr>
        <w:t>רמ</w:t>
      </w:r>
      <w:r w:rsidRPr="003C7C89">
        <w:rPr>
          <w:rFonts w:cs="Arial"/>
          <w:rtl/>
        </w:rPr>
        <w:t>"</w:t>
      </w:r>
      <w:r w:rsidRPr="003C7C89">
        <w:rPr>
          <w:rFonts w:cs="Arial" w:hint="cs"/>
          <w:rtl/>
        </w:rPr>
        <w:t>ה</w:t>
      </w:r>
      <w:r>
        <w:rPr>
          <w:rFonts w:cs="Arial" w:hint="cs"/>
          <w:rtl/>
        </w:rPr>
        <w:t xml:space="preserve"> </w:t>
      </w:r>
      <w:r w:rsidRPr="006246E9">
        <w:rPr>
          <w:rFonts w:cs="Arial"/>
          <w:sz w:val="16"/>
          <w:szCs w:val="16"/>
          <w:rtl/>
        </w:rPr>
        <w:t>(</w:t>
      </w:r>
      <w:r w:rsidRPr="006246E9">
        <w:rPr>
          <w:rFonts w:cs="Arial" w:hint="cs"/>
          <w:sz w:val="16"/>
          <w:szCs w:val="16"/>
          <w:rtl/>
        </w:rPr>
        <w:t>חידושי</w:t>
      </w:r>
      <w:r w:rsidRPr="006246E9">
        <w:rPr>
          <w:rFonts w:cs="Arial"/>
          <w:sz w:val="16"/>
          <w:szCs w:val="16"/>
          <w:rtl/>
        </w:rPr>
        <w:t xml:space="preserve"> </w:t>
      </w:r>
      <w:r w:rsidRPr="006246E9">
        <w:rPr>
          <w:rFonts w:cs="Arial" w:hint="cs"/>
          <w:sz w:val="16"/>
          <w:szCs w:val="16"/>
          <w:rtl/>
        </w:rPr>
        <w:t>הרמ</w:t>
      </w:r>
      <w:r w:rsidRPr="006246E9">
        <w:rPr>
          <w:rFonts w:cs="Arial"/>
          <w:sz w:val="16"/>
          <w:szCs w:val="16"/>
          <w:rtl/>
        </w:rPr>
        <w:t>"</w:t>
      </w:r>
      <w:r w:rsidRPr="006246E9">
        <w:rPr>
          <w:rFonts w:cs="Arial" w:hint="cs"/>
          <w:sz w:val="16"/>
          <w:szCs w:val="16"/>
          <w:rtl/>
        </w:rPr>
        <w:t>ה</w:t>
      </w:r>
      <w:r w:rsidRPr="006246E9">
        <w:rPr>
          <w:rFonts w:cs="Arial"/>
          <w:sz w:val="16"/>
          <w:szCs w:val="16"/>
          <w:rtl/>
        </w:rPr>
        <w:t xml:space="preserve"> </w:t>
      </w:r>
      <w:r w:rsidRPr="006246E9">
        <w:rPr>
          <w:rFonts w:cs="Arial" w:hint="cs"/>
          <w:sz w:val="16"/>
          <w:szCs w:val="16"/>
          <w:rtl/>
        </w:rPr>
        <w:t>גיטין</w:t>
      </w:r>
      <w:r w:rsidRPr="006246E9">
        <w:rPr>
          <w:rFonts w:cs="Arial"/>
          <w:sz w:val="16"/>
          <w:szCs w:val="16"/>
          <w:rtl/>
        </w:rPr>
        <w:t xml:space="preserve"> </w:t>
      </w:r>
      <w:r w:rsidRPr="006246E9">
        <w:rPr>
          <w:rFonts w:cs="Arial" w:hint="cs"/>
          <w:sz w:val="16"/>
          <w:szCs w:val="16"/>
          <w:rtl/>
        </w:rPr>
        <w:t>לד</w:t>
      </w:r>
      <w:r w:rsidRPr="006246E9">
        <w:rPr>
          <w:rFonts w:cs="Arial"/>
          <w:sz w:val="16"/>
          <w:szCs w:val="16"/>
          <w:rtl/>
        </w:rPr>
        <w:t xml:space="preserve">: </w:t>
      </w:r>
      <w:r w:rsidRPr="006246E9">
        <w:rPr>
          <w:rFonts w:cs="Arial" w:hint="cs"/>
          <w:sz w:val="16"/>
          <w:szCs w:val="16"/>
          <w:rtl/>
        </w:rPr>
        <w:t>וד</w:t>
      </w:r>
      <w:r w:rsidRPr="006246E9">
        <w:rPr>
          <w:rFonts w:cs="Arial"/>
          <w:sz w:val="16"/>
          <w:szCs w:val="16"/>
          <w:rtl/>
        </w:rPr>
        <w:t>"</w:t>
      </w:r>
      <w:r w:rsidRPr="006246E9">
        <w:rPr>
          <w:rFonts w:cs="Arial" w:hint="cs"/>
          <w:sz w:val="16"/>
          <w:szCs w:val="16"/>
          <w:rtl/>
        </w:rPr>
        <w:t>ה</w:t>
      </w:r>
      <w:r w:rsidRPr="006246E9">
        <w:rPr>
          <w:rFonts w:cs="Arial"/>
          <w:sz w:val="16"/>
          <w:szCs w:val="16"/>
          <w:rtl/>
        </w:rPr>
        <w:t xml:space="preserve"> </w:t>
      </w:r>
      <w:r w:rsidRPr="006246E9">
        <w:rPr>
          <w:rFonts w:cs="Arial" w:hint="cs"/>
          <w:sz w:val="16"/>
          <w:szCs w:val="16"/>
          <w:rtl/>
        </w:rPr>
        <w:t>וה</w:t>
      </w:r>
      <w:r w:rsidRPr="006246E9">
        <w:rPr>
          <w:rFonts w:cs="Arial"/>
          <w:sz w:val="16"/>
          <w:szCs w:val="16"/>
          <w:rtl/>
        </w:rPr>
        <w:t>"</w:t>
      </w:r>
      <w:r w:rsidRPr="006246E9">
        <w:rPr>
          <w:rFonts w:cs="Arial" w:hint="cs"/>
          <w:sz w:val="16"/>
          <w:szCs w:val="16"/>
          <w:rtl/>
        </w:rPr>
        <w:t>מ</w:t>
      </w:r>
      <w:r w:rsidRPr="006246E9">
        <w:rPr>
          <w:rFonts w:cs="Arial"/>
          <w:sz w:val="16"/>
          <w:szCs w:val="16"/>
          <w:rtl/>
        </w:rPr>
        <w:t xml:space="preserve"> </w:t>
      </w:r>
      <w:r w:rsidRPr="006246E9">
        <w:rPr>
          <w:rFonts w:cs="Arial" w:hint="cs"/>
          <w:sz w:val="16"/>
          <w:szCs w:val="16"/>
          <w:rtl/>
        </w:rPr>
        <w:t>בחדא</w:t>
      </w:r>
      <w:r w:rsidRPr="006246E9">
        <w:rPr>
          <w:rFonts w:cs="Arial"/>
          <w:sz w:val="16"/>
          <w:szCs w:val="16"/>
          <w:rtl/>
        </w:rPr>
        <w:t>)</w:t>
      </w:r>
      <w:r w:rsidR="00A82951">
        <w:rPr>
          <w:rFonts w:cs="Arial" w:hint="cs"/>
          <w:rtl/>
        </w:rPr>
        <w:t>-</w:t>
      </w:r>
      <w:r w:rsidRPr="003C7C89">
        <w:rPr>
          <w:rFonts w:cs="Arial"/>
          <w:rtl/>
        </w:rPr>
        <w:t xml:space="preserve"> </w:t>
      </w:r>
      <w:r w:rsidRPr="003C7C89">
        <w:rPr>
          <w:rFonts w:cs="Arial" w:hint="cs"/>
          <w:rtl/>
        </w:rPr>
        <w:t>ואם</w:t>
      </w:r>
      <w:r w:rsidRPr="003C7C89">
        <w:rPr>
          <w:rFonts w:cs="Arial"/>
          <w:rtl/>
        </w:rPr>
        <w:t xml:space="preserve"> </w:t>
      </w:r>
      <w:r w:rsidRPr="003C7C89">
        <w:rPr>
          <w:rFonts w:cs="Arial" w:hint="cs"/>
          <w:rtl/>
        </w:rPr>
        <w:t>רגיל</w:t>
      </w:r>
      <w:r w:rsidRPr="003C7C89">
        <w:rPr>
          <w:rFonts w:cs="Arial"/>
          <w:rtl/>
        </w:rPr>
        <w:t xml:space="preserve"> </w:t>
      </w:r>
      <w:r w:rsidRPr="003C7C89">
        <w:rPr>
          <w:rFonts w:cs="Arial" w:hint="cs"/>
          <w:rtl/>
        </w:rPr>
        <w:t>בשני</w:t>
      </w:r>
      <w:r w:rsidRPr="003C7C89">
        <w:rPr>
          <w:rFonts w:cs="Arial"/>
          <w:rtl/>
        </w:rPr>
        <w:t xml:space="preserve"> </w:t>
      </w:r>
      <w:r w:rsidRPr="003C7C89">
        <w:rPr>
          <w:rFonts w:cs="Arial" w:hint="cs"/>
          <w:rtl/>
        </w:rPr>
        <w:t>מקומו</w:t>
      </w:r>
      <w:r>
        <w:rPr>
          <w:rFonts w:cs="Arial" w:hint="cs"/>
          <w:rtl/>
        </w:rPr>
        <w:t xml:space="preserve">ת </w:t>
      </w:r>
      <w:r w:rsidRPr="003C7C89">
        <w:rPr>
          <w:rFonts w:cs="Arial" w:hint="cs"/>
          <w:rtl/>
        </w:rPr>
        <w:t>כותבים</w:t>
      </w:r>
      <w:r w:rsidRPr="003C7C89">
        <w:rPr>
          <w:rFonts w:cs="Arial"/>
          <w:rtl/>
        </w:rPr>
        <w:t xml:space="preserve"> </w:t>
      </w:r>
      <w:r w:rsidRPr="003C7C89">
        <w:rPr>
          <w:rFonts w:cs="Arial" w:hint="cs"/>
          <w:rtl/>
        </w:rPr>
        <w:t>שם</w:t>
      </w:r>
      <w:r w:rsidRPr="003C7C89">
        <w:rPr>
          <w:rFonts w:cs="Arial"/>
          <w:rtl/>
        </w:rPr>
        <w:t xml:space="preserve"> </w:t>
      </w:r>
      <w:r w:rsidRPr="003C7C89">
        <w:rPr>
          <w:rFonts w:cs="Arial" w:hint="cs"/>
          <w:rtl/>
        </w:rPr>
        <w:t>מקום</w:t>
      </w:r>
      <w:r w:rsidRPr="003C7C89">
        <w:rPr>
          <w:rFonts w:cs="Arial"/>
          <w:rtl/>
        </w:rPr>
        <w:t xml:space="preserve"> </w:t>
      </w:r>
      <w:r w:rsidRPr="003C7C89">
        <w:rPr>
          <w:rFonts w:cs="Arial" w:hint="cs"/>
          <w:rtl/>
        </w:rPr>
        <w:t>עיקר</w:t>
      </w:r>
      <w:r w:rsidRPr="003C7C89">
        <w:rPr>
          <w:rFonts w:cs="Arial"/>
          <w:rtl/>
        </w:rPr>
        <w:t xml:space="preserve"> </w:t>
      </w:r>
      <w:r w:rsidRPr="003C7C89">
        <w:rPr>
          <w:rFonts w:cs="Arial" w:hint="cs"/>
          <w:rtl/>
        </w:rPr>
        <w:t>דירתו</w:t>
      </w:r>
      <w:r>
        <w:rPr>
          <w:rFonts w:cs="Arial" w:hint="cs"/>
          <w:rtl/>
        </w:rPr>
        <w:t>,</w:t>
      </w:r>
      <w:r w:rsidRPr="003C7C89">
        <w:rPr>
          <w:rFonts w:cs="Arial"/>
          <w:rtl/>
        </w:rPr>
        <w:t xml:space="preserve"> </w:t>
      </w:r>
      <w:r w:rsidRPr="003C7C89">
        <w:rPr>
          <w:rFonts w:cs="Arial" w:hint="cs"/>
          <w:rtl/>
        </w:rPr>
        <w:t>והוא</w:t>
      </w:r>
      <w:r w:rsidRPr="003C7C89">
        <w:rPr>
          <w:rFonts w:cs="Arial"/>
          <w:rtl/>
        </w:rPr>
        <w:t xml:space="preserve"> </w:t>
      </w:r>
      <w:r w:rsidRPr="003C7C89">
        <w:rPr>
          <w:rFonts w:cs="Arial" w:hint="cs"/>
          <w:rtl/>
        </w:rPr>
        <w:t>אותו</w:t>
      </w:r>
      <w:r w:rsidRPr="003C7C89">
        <w:rPr>
          <w:rFonts w:cs="Arial"/>
          <w:rtl/>
        </w:rPr>
        <w:t xml:space="preserve"> </w:t>
      </w:r>
      <w:r w:rsidRPr="003C7C89">
        <w:rPr>
          <w:rFonts w:cs="Arial" w:hint="cs"/>
          <w:rtl/>
        </w:rPr>
        <w:t>שדר</w:t>
      </w:r>
      <w:r w:rsidRPr="003C7C89">
        <w:rPr>
          <w:rFonts w:cs="Arial"/>
          <w:rtl/>
        </w:rPr>
        <w:t xml:space="preserve"> </w:t>
      </w:r>
      <w:r w:rsidRPr="003C7C89">
        <w:rPr>
          <w:rFonts w:cs="Arial" w:hint="cs"/>
          <w:rtl/>
        </w:rPr>
        <w:t>בו</w:t>
      </w:r>
      <w:r w:rsidRPr="003C7C89">
        <w:rPr>
          <w:rFonts w:cs="Arial"/>
          <w:rtl/>
        </w:rPr>
        <w:t xml:space="preserve"> </w:t>
      </w:r>
      <w:r w:rsidRPr="003C7C89">
        <w:rPr>
          <w:rFonts w:cs="Arial" w:hint="cs"/>
          <w:rtl/>
        </w:rPr>
        <w:t>י</w:t>
      </w:r>
      <w:r w:rsidRPr="003C7C89">
        <w:rPr>
          <w:rFonts w:cs="Arial"/>
          <w:rtl/>
        </w:rPr>
        <w:t>"</w:t>
      </w:r>
      <w:r w:rsidRPr="003C7C89">
        <w:rPr>
          <w:rFonts w:cs="Arial" w:hint="cs"/>
          <w:rtl/>
        </w:rPr>
        <w:t>ב</w:t>
      </w:r>
      <w:r w:rsidRPr="003C7C89">
        <w:rPr>
          <w:rFonts w:cs="Arial"/>
          <w:rtl/>
        </w:rPr>
        <w:t xml:space="preserve"> </w:t>
      </w:r>
      <w:r w:rsidRPr="003C7C89">
        <w:rPr>
          <w:rFonts w:cs="Arial" w:hint="cs"/>
          <w:rtl/>
        </w:rPr>
        <w:t>חדש</w:t>
      </w:r>
      <w:r>
        <w:rPr>
          <w:rStyle w:val="a7"/>
          <w:rFonts w:cs="Arial"/>
          <w:rtl/>
        </w:rPr>
        <w:footnoteReference w:id="964"/>
      </w:r>
      <w:r>
        <w:rPr>
          <w:rFonts w:cs="Arial" w:hint="cs"/>
          <w:rtl/>
        </w:rPr>
        <w:t>.</w:t>
      </w:r>
      <w:r w:rsidRPr="003C7C89">
        <w:rPr>
          <w:rFonts w:cs="Arial"/>
          <w:rtl/>
        </w:rPr>
        <w:t xml:space="preserve"> </w:t>
      </w:r>
      <w:r w:rsidRPr="003C7C89">
        <w:rPr>
          <w:rFonts w:cs="Arial" w:hint="cs"/>
          <w:rtl/>
        </w:rPr>
        <w:t>ואם</w:t>
      </w:r>
      <w:r w:rsidRPr="003C7C89">
        <w:rPr>
          <w:rFonts w:cs="Arial"/>
          <w:rtl/>
        </w:rPr>
        <w:t xml:space="preserve"> </w:t>
      </w:r>
      <w:r w:rsidRPr="003C7C89">
        <w:rPr>
          <w:rFonts w:cs="Arial" w:hint="cs"/>
          <w:rtl/>
        </w:rPr>
        <w:t>קנה</w:t>
      </w:r>
      <w:r w:rsidRPr="003C7C89">
        <w:rPr>
          <w:rFonts w:cs="Arial"/>
          <w:rtl/>
        </w:rPr>
        <w:t xml:space="preserve"> </w:t>
      </w:r>
      <w:r w:rsidRPr="003C7C89">
        <w:rPr>
          <w:rFonts w:cs="Arial" w:hint="cs"/>
          <w:rtl/>
        </w:rPr>
        <w:t>בה</w:t>
      </w:r>
      <w:r w:rsidRPr="003C7C89">
        <w:rPr>
          <w:rFonts w:cs="Arial"/>
          <w:rtl/>
        </w:rPr>
        <w:t xml:space="preserve"> </w:t>
      </w:r>
      <w:r w:rsidRPr="003C7C89">
        <w:rPr>
          <w:rFonts w:cs="Arial" w:hint="cs"/>
          <w:rtl/>
        </w:rPr>
        <w:t>בית</w:t>
      </w:r>
      <w:r w:rsidRPr="003C7C89">
        <w:rPr>
          <w:rFonts w:cs="Arial"/>
          <w:rtl/>
        </w:rPr>
        <w:t xml:space="preserve"> </w:t>
      </w:r>
      <w:r w:rsidRPr="003C7C89">
        <w:rPr>
          <w:rFonts w:cs="Arial" w:hint="cs"/>
          <w:rtl/>
        </w:rPr>
        <w:t>דירה</w:t>
      </w:r>
      <w:r>
        <w:rPr>
          <w:rFonts w:cs="Arial" w:hint="cs"/>
          <w:rtl/>
        </w:rPr>
        <w:t>,</w:t>
      </w:r>
      <w:r w:rsidRPr="003C7C89">
        <w:rPr>
          <w:rFonts w:cs="Arial"/>
          <w:rtl/>
        </w:rPr>
        <w:t xml:space="preserve"> </w:t>
      </w:r>
      <w:r w:rsidRPr="003C7C89">
        <w:rPr>
          <w:rFonts w:cs="Arial" w:hint="cs"/>
          <w:rtl/>
        </w:rPr>
        <w:t>מספקא</w:t>
      </w:r>
      <w:r>
        <w:rPr>
          <w:rStyle w:val="a7"/>
          <w:rFonts w:cs="Arial"/>
          <w:rtl/>
        </w:rPr>
        <w:footnoteReference w:id="965"/>
      </w:r>
      <w:r w:rsidRPr="003C7C89">
        <w:rPr>
          <w:rFonts w:cs="Arial"/>
          <w:rtl/>
        </w:rPr>
        <w:t xml:space="preserve"> </w:t>
      </w:r>
      <w:r w:rsidRPr="003C7C89">
        <w:rPr>
          <w:rFonts w:cs="Arial" w:hint="cs"/>
          <w:rtl/>
        </w:rPr>
        <w:t>לן</w:t>
      </w:r>
      <w:r w:rsidRPr="003C7C89">
        <w:rPr>
          <w:rFonts w:cs="Arial"/>
          <w:rtl/>
        </w:rPr>
        <w:t xml:space="preserve"> </w:t>
      </w:r>
      <w:r w:rsidRPr="003C7C89">
        <w:rPr>
          <w:rFonts w:cs="Arial" w:hint="cs"/>
          <w:rtl/>
        </w:rPr>
        <w:t>אי</w:t>
      </w:r>
      <w:r w:rsidRPr="003C7C89">
        <w:rPr>
          <w:rFonts w:cs="Arial"/>
          <w:rtl/>
        </w:rPr>
        <w:t xml:space="preserve"> </w:t>
      </w:r>
      <w:r w:rsidRPr="003C7C89">
        <w:rPr>
          <w:rFonts w:cs="Arial" w:hint="cs"/>
          <w:rtl/>
        </w:rPr>
        <w:t>מיקרי</w:t>
      </w:r>
      <w:r w:rsidRPr="003C7C89">
        <w:rPr>
          <w:rFonts w:cs="Arial"/>
          <w:rtl/>
        </w:rPr>
        <w:t xml:space="preserve"> </w:t>
      </w:r>
      <w:r w:rsidRPr="003C7C89">
        <w:rPr>
          <w:rFonts w:cs="Arial" w:hint="cs"/>
          <w:rtl/>
        </w:rPr>
        <w:t>דירה</w:t>
      </w:r>
      <w:r>
        <w:rPr>
          <w:rFonts w:cs="Arial" w:hint="cs"/>
          <w:rtl/>
        </w:rPr>
        <w:t>.</w:t>
      </w:r>
      <w:r w:rsidRPr="00BF3A57">
        <w:rPr>
          <w:rFonts w:cs="Arial" w:hint="cs"/>
          <w:rtl/>
        </w:rPr>
        <w:t xml:space="preserve"> </w:t>
      </w:r>
    </w:p>
    <w:p w14:paraId="662B8F55" w14:textId="77777777" w:rsidR="00FA2119" w:rsidRPr="005202D4" w:rsidRDefault="00FA2119" w:rsidP="00FA2119">
      <w:pPr>
        <w:ind w:left="360"/>
        <w:rPr>
          <w:rFonts w:cs="Arial"/>
          <w:u w:val="dotted"/>
        </w:rPr>
      </w:pPr>
      <w:r w:rsidRPr="005202D4">
        <w:rPr>
          <w:rFonts w:cs="Arial" w:hint="cs"/>
          <w:u w:val="dotted"/>
          <w:rtl/>
        </w:rPr>
        <w:lastRenderedPageBreak/>
        <w:t>ומה הדין אם עבר דירה בזמן הקרוב לנתינת הגט:</w:t>
      </w:r>
    </w:p>
    <w:p w14:paraId="30268C44" w14:textId="44E1098D" w:rsidR="00FA2119" w:rsidRDefault="00FA2119" w:rsidP="00FA2119">
      <w:pPr>
        <w:pStyle w:val="ab"/>
        <w:numPr>
          <w:ilvl w:val="0"/>
          <w:numId w:val="63"/>
        </w:numPr>
        <w:rPr>
          <w:rFonts w:cs="Arial"/>
        </w:rPr>
      </w:pPr>
      <w:r w:rsidRPr="00BF3A57">
        <w:rPr>
          <w:rFonts w:cs="Arial" w:hint="cs"/>
          <w:rtl/>
        </w:rPr>
        <w:t>מרדכי</w:t>
      </w:r>
      <w:r w:rsidRPr="00BF3A57">
        <w:rPr>
          <w:rFonts w:cs="Arial"/>
          <w:sz w:val="16"/>
          <w:szCs w:val="16"/>
          <w:rtl/>
        </w:rPr>
        <w:t xml:space="preserve"> </w:t>
      </w:r>
      <w:r w:rsidRPr="00BF3A57">
        <w:rPr>
          <w:rFonts w:cs="Arial" w:hint="cs"/>
          <w:sz w:val="16"/>
          <w:szCs w:val="16"/>
          <w:rtl/>
        </w:rPr>
        <w:t>(פ'</w:t>
      </w:r>
      <w:r w:rsidRPr="00BF3A57">
        <w:rPr>
          <w:rFonts w:cs="Arial"/>
          <w:sz w:val="16"/>
          <w:szCs w:val="16"/>
          <w:rtl/>
        </w:rPr>
        <w:t xml:space="preserve"> </w:t>
      </w:r>
      <w:r w:rsidRPr="00BF3A57">
        <w:rPr>
          <w:rFonts w:cs="Arial" w:hint="cs"/>
          <w:sz w:val="16"/>
          <w:szCs w:val="16"/>
          <w:rtl/>
        </w:rPr>
        <w:t>השולח</w:t>
      </w:r>
      <w:r w:rsidRPr="00BF3A57">
        <w:rPr>
          <w:rFonts w:cs="Arial"/>
          <w:sz w:val="16"/>
          <w:szCs w:val="16"/>
          <w:rtl/>
        </w:rPr>
        <w:t xml:space="preserve"> </w:t>
      </w:r>
      <w:r w:rsidRPr="00BF3A57">
        <w:rPr>
          <w:rFonts w:cs="Arial" w:hint="cs"/>
          <w:sz w:val="16"/>
          <w:szCs w:val="16"/>
          <w:rtl/>
        </w:rPr>
        <w:t>סי</w:t>
      </w:r>
      <w:r w:rsidRPr="00BF3A57">
        <w:rPr>
          <w:rFonts w:cs="Arial"/>
          <w:sz w:val="16"/>
          <w:szCs w:val="16"/>
          <w:rtl/>
        </w:rPr>
        <w:t xml:space="preserve">' </w:t>
      </w:r>
      <w:r w:rsidRPr="00BF3A57">
        <w:rPr>
          <w:rFonts w:cs="Arial" w:hint="cs"/>
          <w:sz w:val="16"/>
          <w:szCs w:val="16"/>
          <w:rtl/>
        </w:rPr>
        <w:t>שסח</w:t>
      </w:r>
      <w:r w:rsidRPr="00BF3A57">
        <w:rPr>
          <w:rFonts w:cs="Arial"/>
          <w:sz w:val="16"/>
          <w:szCs w:val="16"/>
          <w:rtl/>
        </w:rPr>
        <w:t>)</w:t>
      </w:r>
      <w:r w:rsidR="00A82951">
        <w:rPr>
          <w:rFonts w:cs="Arial" w:hint="cs"/>
          <w:rtl/>
        </w:rPr>
        <w:t>-</w:t>
      </w:r>
      <w:r w:rsidRPr="00BF3A57">
        <w:rPr>
          <w:rFonts w:cs="Arial"/>
          <w:rtl/>
        </w:rPr>
        <w:t xml:space="preserve"> </w:t>
      </w:r>
      <w:r w:rsidRPr="00BF3A57">
        <w:rPr>
          <w:rFonts w:cs="Arial" w:hint="cs"/>
          <w:rtl/>
        </w:rPr>
        <w:t>ומקום</w:t>
      </w:r>
      <w:r w:rsidRPr="00BF3A57">
        <w:rPr>
          <w:rFonts w:cs="Arial"/>
          <w:rtl/>
        </w:rPr>
        <w:t xml:space="preserve"> </w:t>
      </w:r>
      <w:r w:rsidRPr="00BF3A57">
        <w:rPr>
          <w:rFonts w:cs="Arial" w:hint="cs"/>
          <w:rtl/>
        </w:rPr>
        <w:t>הדירה</w:t>
      </w:r>
      <w:r w:rsidRPr="00BF3A57">
        <w:rPr>
          <w:rFonts w:cs="Arial"/>
          <w:rtl/>
        </w:rPr>
        <w:t xml:space="preserve"> </w:t>
      </w:r>
      <w:r w:rsidRPr="00BF3A57">
        <w:rPr>
          <w:rFonts w:cs="Arial" w:hint="cs"/>
          <w:rtl/>
        </w:rPr>
        <w:t>אין</w:t>
      </w:r>
      <w:r w:rsidRPr="00BF3A57">
        <w:rPr>
          <w:rFonts w:cs="Arial"/>
          <w:rtl/>
        </w:rPr>
        <w:t xml:space="preserve"> </w:t>
      </w:r>
      <w:r w:rsidRPr="00BF3A57">
        <w:rPr>
          <w:rFonts w:cs="Arial" w:hint="cs"/>
          <w:rtl/>
        </w:rPr>
        <w:t>לכתוב</w:t>
      </w:r>
      <w:r w:rsidRPr="00BF3A57">
        <w:rPr>
          <w:rFonts w:cs="Arial"/>
          <w:rtl/>
        </w:rPr>
        <w:t xml:space="preserve"> </w:t>
      </w:r>
      <w:r>
        <w:rPr>
          <w:rFonts w:cs="Arial" w:hint="cs"/>
          <w:rtl/>
        </w:rPr>
        <w:t>א</w:t>
      </w:r>
      <w:r w:rsidRPr="00BF3A57">
        <w:rPr>
          <w:rFonts w:cs="Arial" w:hint="cs"/>
          <w:rtl/>
        </w:rPr>
        <w:t>א</w:t>
      </w:r>
      <w:r>
        <w:rPr>
          <w:rFonts w:cs="Arial" w:hint="cs"/>
          <w:rtl/>
        </w:rPr>
        <w:t>"</w:t>
      </w:r>
      <w:r w:rsidRPr="00BF3A57">
        <w:rPr>
          <w:rFonts w:cs="Arial" w:hint="cs"/>
          <w:rtl/>
        </w:rPr>
        <w:t>כ</w:t>
      </w:r>
      <w:r w:rsidRPr="00BF3A57">
        <w:rPr>
          <w:rFonts w:cs="Arial"/>
          <w:rtl/>
        </w:rPr>
        <w:t xml:space="preserve"> </w:t>
      </w:r>
      <w:r w:rsidRPr="00BF3A57">
        <w:rPr>
          <w:rFonts w:cs="Arial" w:hint="cs"/>
          <w:rtl/>
        </w:rPr>
        <w:t>נתיישב</w:t>
      </w:r>
      <w:r w:rsidRPr="00BF3A57">
        <w:rPr>
          <w:rFonts w:cs="Arial"/>
          <w:rtl/>
        </w:rPr>
        <w:t xml:space="preserve"> </w:t>
      </w:r>
      <w:r w:rsidRPr="00BF3A57">
        <w:rPr>
          <w:rFonts w:cs="Arial" w:hint="cs"/>
          <w:rtl/>
        </w:rPr>
        <w:t>בעיר</w:t>
      </w:r>
      <w:r w:rsidRPr="00BF3A57">
        <w:rPr>
          <w:rFonts w:cs="Arial"/>
          <w:rtl/>
        </w:rPr>
        <w:t xml:space="preserve"> </w:t>
      </w:r>
      <w:r w:rsidRPr="00BF3A57">
        <w:rPr>
          <w:rFonts w:cs="Arial" w:hint="cs"/>
          <w:rtl/>
        </w:rPr>
        <w:t>שלשים</w:t>
      </w:r>
      <w:r w:rsidRPr="00BF3A57">
        <w:rPr>
          <w:rFonts w:cs="Arial"/>
          <w:rtl/>
        </w:rPr>
        <w:t xml:space="preserve"> </w:t>
      </w:r>
      <w:r w:rsidRPr="00BF3A57">
        <w:rPr>
          <w:rFonts w:cs="Arial" w:hint="cs"/>
          <w:rtl/>
        </w:rPr>
        <w:t>יום</w:t>
      </w:r>
      <w:r w:rsidRPr="00BF3A57">
        <w:rPr>
          <w:rFonts w:cs="Arial"/>
          <w:rtl/>
        </w:rPr>
        <w:t xml:space="preserve"> </w:t>
      </w:r>
      <w:r w:rsidRPr="00BF3A57">
        <w:rPr>
          <w:rFonts w:cs="Arial" w:hint="cs"/>
          <w:rtl/>
        </w:rPr>
        <w:t>כדמפרש</w:t>
      </w:r>
      <w:r w:rsidRPr="00BF3A57">
        <w:rPr>
          <w:rFonts w:cs="Arial"/>
          <w:rtl/>
        </w:rPr>
        <w:t xml:space="preserve"> </w:t>
      </w:r>
      <w:r w:rsidRPr="00BF3A57">
        <w:rPr>
          <w:rFonts w:cs="Arial" w:hint="cs"/>
          <w:rtl/>
        </w:rPr>
        <w:t>בהשותפין</w:t>
      </w:r>
      <w:r w:rsidRPr="00BF3A57">
        <w:rPr>
          <w:rFonts w:cs="Arial"/>
          <w:rtl/>
        </w:rPr>
        <w:t xml:space="preserve"> (</w:t>
      </w:r>
      <w:r w:rsidRPr="00BF3A57">
        <w:rPr>
          <w:rFonts w:cs="Arial" w:hint="cs"/>
          <w:rtl/>
        </w:rPr>
        <w:t>ב</w:t>
      </w:r>
      <w:r w:rsidRPr="00BF3A57">
        <w:rPr>
          <w:rFonts w:cs="Arial"/>
          <w:rtl/>
        </w:rPr>
        <w:t>"</w:t>
      </w:r>
      <w:r w:rsidRPr="00BF3A57">
        <w:rPr>
          <w:rFonts w:cs="Arial" w:hint="cs"/>
          <w:rtl/>
        </w:rPr>
        <w:t>ב</w:t>
      </w:r>
      <w:r w:rsidRPr="00BF3A57">
        <w:rPr>
          <w:rFonts w:cs="Arial"/>
          <w:rtl/>
        </w:rPr>
        <w:t xml:space="preserve"> </w:t>
      </w:r>
      <w:r w:rsidRPr="00BF3A57">
        <w:rPr>
          <w:rFonts w:cs="Arial" w:hint="cs"/>
          <w:rtl/>
        </w:rPr>
        <w:t>ח</w:t>
      </w:r>
      <w:r w:rsidRPr="00BF3A57">
        <w:rPr>
          <w:rFonts w:cs="Arial"/>
          <w:rtl/>
        </w:rPr>
        <w:t>.)</w:t>
      </w:r>
      <w:r>
        <w:rPr>
          <w:rFonts w:cs="Arial" w:hint="cs"/>
          <w:rtl/>
        </w:rPr>
        <w:t>.</w:t>
      </w:r>
      <w:r w:rsidRPr="00BF3A57">
        <w:rPr>
          <w:rFonts w:cs="Arial"/>
          <w:rtl/>
        </w:rPr>
        <w:t xml:space="preserve"> </w:t>
      </w:r>
      <w:r w:rsidRPr="00BF3A57">
        <w:rPr>
          <w:rFonts w:cs="Arial" w:hint="cs"/>
          <w:rtl/>
        </w:rPr>
        <w:t>ואם</w:t>
      </w:r>
      <w:r w:rsidRPr="00BF3A57">
        <w:rPr>
          <w:rFonts w:cs="Arial"/>
          <w:rtl/>
        </w:rPr>
        <w:t xml:space="preserve"> </w:t>
      </w:r>
      <w:r w:rsidRPr="00BF3A57">
        <w:rPr>
          <w:rFonts w:cs="Arial" w:hint="cs"/>
          <w:rtl/>
        </w:rPr>
        <w:t>יצא</w:t>
      </w:r>
      <w:r w:rsidRPr="00BF3A57">
        <w:rPr>
          <w:rFonts w:cs="Arial"/>
          <w:rtl/>
        </w:rPr>
        <w:t xml:space="preserve"> </w:t>
      </w:r>
      <w:r w:rsidRPr="00BF3A57">
        <w:rPr>
          <w:rFonts w:cs="Arial" w:hint="cs"/>
          <w:rtl/>
        </w:rPr>
        <w:t>ממדינה</w:t>
      </w:r>
      <w:r w:rsidRPr="00BF3A57">
        <w:rPr>
          <w:rFonts w:cs="Arial"/>
          <w:rtl/>
        </w:rPr>
        <w:t xml:space="preserve"> </w:t>
      </w:r>
      <w:r w:rsidRPr="00BF3A57">
        <w:rPr>
          <w:rFonts w:cs="Arial" w:hint="cs"/>
          <w:rtl/>
        </w:rPr>
        <w:t>למדינה</w:t>
      </w:r>
      <w:r w:rsidRPr="00BF3A57">
        <w:rPr>
          <w:rFonts w:cs="Arial"/>
          <w:rtl/>
        </w:rPr>
        <w:t xml:space="preserve"> </w:t>
      </w:r>
      <w:r w:rsidRPr="00BF3A57">
        <w:rPr>
          <w:rFonts w:cs="Arial" w:hint="cs"/>
          <w:rtl/>
        </w:rPr>
        <w:t>אחרת</w:t>
      </w:r>
      <w:r w:rsidRPr="00BF3A57">
        <w:rPr>
          <w:rFonts w:cs="Arial"/>
          <w:rtl/>
        </w:rPr>
        <w:t xml:space="preserve"> </w:t>
      </w:r>
      <w:r w:rsidRPr="00BF3A57">
        <w:rPr>
          <w:rFonts w:cs="Arial" w:hint="cs"/>
          <w:rtl/>
        </w:rPr>
        <w:t>אחר</w:t>
      </w:r>
      <w:r w:rsidRPr="00BF3A57">
        <w:rPr>
          <w:rFonts w:cs="Arial"/>
          <w:rtl/>
        </w:rPr>
        <w:t xml:space="preserve"> </w:t>
      </w:r>
      <w:r w:rsidRPr="00BF3A57">
        <w:rPr>
          <w:rFonts w:cs="Arial" w:hint="cs"/>
          <w:rtl/>
        </w:rPr>
        <w:t>אחרון</w:t>
      </w:r>
      <w:r w:rsidRPr="00BF3A57">
        <w:rPr>
          <w:rFonts w:cs="Arial"/>
          <w:rtl/>
        </w:rPr>
        <w:t xml:space="preserve"> </w:t>
      </w:r>
      <w:r w:rsidRPr="00BF3A57">
        <w:rPr>
          <w:rFonts w:cs="Arial" w:hint="cs"/>
          <w:rtl/>
        </w:rPr>
        <w:t>אני</w:t>
      </w:r>
      <w:r w:rsidRPr="00BF3A57">
        <w:rPr>
          <w:rFonts w:cs="Arial"/>
          <w:rtl/>
        </w:rPr>
        <w:t xml:space="preserve"> </w:t>
      </w:r>
      <w:r w:rsidRPr="00BF3A57">
        <w:rPr>
          <w:rFonts w:cs="Arial" w:hint="cs"/>
          <w:rtl/>
        </w:rPr>
        <w:t>בא</w:t>
      </w:r>
      <w:r w:rsidR="002F4447">
        <w:rPr>
          <w:rFonts w:cs="Arial" w:hint="cs"/>
          <w:rtl/>
        </w:rPr>
        <w:t>,</w:t>
      </w:r>
      <w:r w:rsidRPr="00BF3A57">
        <w:rPr>
          <w:rFonts w:cs="Arial"/>
          <w:rtl/>
        </w:rPr>
        <w:t xml:space="preserve"> </w:t>
      </w:r>
      <w:r w:rsidRPr="00BF3A57">
        <w:rPr>
          <w:rFonts w:cs="Arial" w:hint="cs"/>
          <w:rtl/>
        </w:rPr>
        <w:t>כך</w:t>
      </w:r>
      <w:r w:rsidRPr="00BF3A57">
        <w:rPr>
          <w:rFonts w:cs="Arial"/>
          <w:rtl/>
        </w:rPr>
        <w:t xml:space="preserve"> </w:t>
      </w:r>
      <w:r w:rsidRPr="00BF3A57">
        <w:rPr>
          <w:rFonts w:cs="Arial" w:hint="cs"/>
          <w:rtl/>
        </w:rPr>
        <w:t>פסק</w:t>
      </w:r>
      <w:r w:rsidRPr="00BF3A57">
        <w:rPr>
          <w:rFonts w:cs="Arial"/>
          <w:rtl/>
        </w:rPr>
        <w:t xml:space="preserve"> </w:t>
      </w:r>
      <w:r w:rsidRPr="00BF3A57">
        <w:rPr>
          <w:rFonts w:cs="Arial" w:hint="cs"/>
          <w:rtl/>
        </w:rPr>
        <w:t>ראבי</w:t>
      </w:r>
      <w:r w:rsidRPr="00BF3A57">
        <w:rPr>
          <w:rFonts w:cs="Arial"/>
          <w:rtl/>
        </w:rPr>
        <w:t>"</w:t>
      </w:r>
      <w:r w:rsidRPr="00BF3A57">
        <w:rPr>
          <w:rFonts w:cs="Arial" w:hint="cs"/>
          <w:rtl/>
        </w:rPr>
        <w:t>ה</w:t>
      </w:r>
      <w:r w:rsidRPr="00BF3A57">
        <w:rPr>
          <w:rFonts w:cs="Arial"/>
          <w:rtl/>
        </w:rPr>
        <w:t xml:space="preserve"> (</w:t>
      </w:r>
      <w:r w:rsidRPr="00BF3A57">
        <w:rPr>
          <w:rFonts w:cs="Arial" w:hint="cs"/>
          <w:rtl/>
        </w:rPr>
        <w:t>בתשובה</w:t>
      </w:r>
      <w:r w:rsidRPr="00BF3A57">
        <w:rPr>
          <w:rFonts w:cs="Arial"/>
          <w:rtl/>
        </w:rPr>
        <w:t xml:space="preserve"> </w:t>
      </w:r>
      <w:r w:rsidRPr="00BF3A57">
        <w:rPr>
          <w:rFonts w:cs="Arial" w:hint="cs"/>
          <w:rtl/>
        </w:rPr>
        <w:t>סי</w:t>
      </w:r>
      <w:r w:rsidRPr="00BF3A57">
        <w:rPr>
          <w:rFonts w:cs="Arial"/>
          <w:rtl/>
        </w:rPr>
        <w:t xml:space="preserve">' </w:t>
      </w:r>
      <w:r w:rsidRPr="00BF3A57">
        <w:rPr>
          <w:rFonts w:cs="Arial" w:hint="cs"/>
          <w:rtl/>
        </w:rPr>
        <w:t>תתקכט</w:t>
      </w:r>
      <w:r w:rsidRPr="00BF3A57">
        <w:rPr>
          <w:rFonts w:cs="Arial"/>
          <w:rtl/>
        </w:rPr>
        <w:t>)</w:t>
      </w:r>
      <w:r>
        <w:rPr>
          <w:rStyle w:val="a7"/>
          <w:rFonts w:cs="Arial"/>
          <w:rtl/>
        </w:rPr>
        <w:footnoteReference w:id="966"/>
      </w:r>
      <w:r w:rsidRPr="00BF3A57">
        <w:rPr>
          <w:rFonts w:cs="Arial"/>
          <w:rtl/>
        </w:rPr>
        <w:t xml:space="preserve">.  </w:t>
      </w:r>
    </w:p>
    <w:p w14:paraId="51DFE51E" w14:textId="6F498B24" w:rsidR="00FA2119" w:rsidRPr="00BF3A57" w:rsidRDefault="00FA2119" w:rsidP="00FA2119">
      <w:pPr>
        <w:pStyle w:val="ab"/>
        <w:numPr>
          <w:ilvl w:val="0"/>
          <w:numId w:val="63"/>
        </w:numPr>
        <w:rPr>
          <w:rFonts w:cs="Arial"/>
        </w:rPr>
      </w:pPr>
      <w:r>
        <w:rPr>
          <w:rFonts w:cs="Arial" w:hint="cs"/>
          <w:rtl/>
        </w:rPr>
        <w:t>הגמ"ר</w:t>
      </w:r>
      <w:r w:rsidRPr="0090777D">
        <w:rPr>
          <w:rFonts w:cs="Arial"/>
          <w:rtl/>
        </w:rPr>
        <w:t xml:space="preserve"> </w:t>
      </w:r>
      <w:r w:rsidRPr="00FC0D1D">
        <w:rPr>
          <w:rFonts w:cs="Arial"/>
          <w:sz w:val="16"/>
          <w:szCs w:val="16"/>
          <w:rtl/>
        </w:rPr>
        <w:t>(</w:t>
      </w:r>
      <w:r w:rsidRPr="00FC0D1D">
        <w:rPr>
          <w:rFonts w:cs="Arial" w:hint="cs"/>
          <w:sz w:val="16"/>
          <w:szCs w:val="16"/>
          <w:rtl/>
        </w:rPr>
        <w:t>סי</w:t>
      </w:r>
      <w:r w:rsidRPr="00FC0D1D">
        <w:rPr>
          <w:rFonts w:cs="Arial"/>
          <w:sz w:val="16"/>
          <w:szCs w:val="16"/>
          <w:rtl/>
        </w:rPr>
        <w:t xml:space="preserve">' </w:t>
      </w:r>
      <w:r w:rsidRPr="00FC0D1D">
        <w:rPr>
          <w:rFonts w:cs="Arial" w:hint="cs"/>
          <w:sz w:val="16"/>
          <w:szCs w:val="16"/>
          <w:rtl/>
        </w:rPr>
        <w:t>תנח</w:t>
      </w:r>
      <w:r>
        <w:rPr>
          <w:rFonts w:cs="Arial" w:hint="cs"/>
          <w:sz w:val="16"/>
          <w:szCs w:val="16"/>
          <w:rtl/>
        </w:rPr>
        <w:t>, הביאו הדרכ"מ אות ג</w:t>
      </w:r>
      <w:r w:rsidRPr="00FC0D1D">
        <w:rPr>
          <w:rFonts w:cs="Arial"/>
          <w:sz w:val="16"/>
          <w:szCs w:val="16"/>
          <w:rtl/>
        </w:rPr>
        <w:t>)</w:t>
      </w:r>
      <w:r w:rsidR="00A82951">
        <w:rPr>
          <w:rFonts w:cs="Arial" w:hint="cs"/>
          <w:rtl/>
        </w:rPr>
        <w:t>-</w:t>
      </w:r>
      <w:r w:rsidRPr="0090777D">
        <w:rPr>
          <w:rFonts w:cs="Arial"/>
          <w:rtl/>
        </w:rPr>
        <w:t xml:space="preserve"> </w:t>
      </w:r>
      <w:r w:rsidRPr="0090777D">
        <w:rPr>
          <w:rFonts w:cs="Arial" w:hint="cs"/>
          <w:rtl/>
        </w:rPr>
        <w:t>אם</w:t>
      </w:r>
      <w:r w:rsidRPr="0090777D">
        <w:rPr>
          <w:rFonts w:cs="Arial"/>
          <w:rtl/>
        </w:rPr>
        <w:t xml:space="preserve"> </w:t>
      </w:r>
      <w:r w:rsidRPr="0090777D">
        <w:rPr>
          <w:rFonts w:cs="Arial" w:hint="cs"/>
          <w:rtl/>
        </w:rPr>
        <w:t>דר</w:t>
      </w:r>
      <w:r w:rsidRPr="0090777D">
        <w:rPr>
          <w:rFonts w:cs="Arial"/>
          <w:rtl/>
        </w:rPr>
        <w:t xml:space="preserve"> </w:t>
      </w:r>
      <w:r w:rsidRPr="0090777D">
        <w:rPr>
          <w:rFonts w:cs="Arial" w:hint="cs"/>
          <w:rtl/>
        </w:rPr>
        <w:t>בעיר</w:t>
      </w:r>
      <w:r w:rsidRPr="0090777D">
        <w:rPr>
          <w:rFonts w:cs="Arial"/>
          <w:rtl/>
        </w:rPr>
        <w:t xml:space="preserve"> </w:t>
      </w:r>
      <w:r w:rsidRPr="0090777D">
        <w:rPr>
          <w:rFonts w:cs="Arial" w:hint="cs"/>
          <w:rtl/>
        </w:rPr>
        <w:t>אחת</w:t>
      </w:r>
      <w:r w:rsidRPr="0090777D">
        <w:rPr>
          <w:rFonts w:cs="Arial"/>
          <w:rtl/>
        </w:rPr>
        <w:t xml:space="preserve"> </w:t>
      </w:r>
      <w:r w:rsidRPr="0090777D">
        <w:rPr>
          <w:rFonts w:cs="Arial" w:hint="cs"/>
          <w:rtl/>
        </w:rPr>
        <w:t>ויצא</w:t>
      </w:r>
      <w:r w:rsidRPr="0090777D">
        <w:rPr>
          <w:rFonts w:cs="Arial"/>
          <w:rtl/>
        </w:rPr>
        <w:t xml:space="preserve"> </w:t>
      </w:r>
      <w:r w:rsidRPr="0090777D">
        <w:rPr>
          <w:rFonts w:cs="Arial" w:hint="cs"/>
          <w:rtl/>
        </w:rPr>
        <w:t>ממנה</w:t>
      </w:r>
      <w:r w:rsidRPr="0090777D">
        <w:rPr>
          <w:rFonts w:cs="Arial"/>
          <w:rtl/>
        </w:rPr>
        <w:t xml:space="preserve"> </w:t>
      </w:r>
      <w:r w:rsidRPr="0090777D">
        <w:rPr>
          <w:rFonts w:cs="Arial" w:hint="cs"/>
          <w:rtl/>
        </w:rPr>
        <w:t>וביום</w:t>
      </w:r>
      <w:r w:rsidRPr="0090777D">
        <w:rPr>
          <w:rFonts w:cs="Arial"/>
          <w:rtl/>
        </w:rPr>
        <w:t xml:space="preserve"> </w:t>
      </w:r>
      <w:r w:rsidRPr="0090777D">
        <w:rPr>
          <w:rFonts w:cs="Arial" w:hint="cs"/>
          <w:rtl/>
        </w:rPr>
        <w:t>לכתו</w:t>
      </w:r>
      <w:r w:rsidRPr="0090777D">
        <w:rPr>
          <w:rFonts w:cs="Arial"/>
          <w:rtl/>
        </w:rPr>
        <w:t xml:space="preserve"> </w:t>
      </w:r>
      <w:r w:rsidRPr="0090777D">
        <w:rPr>
          <w:rFonts w:cs="Arial" w:hint="cs"/>
          <w:rtl/>
        </w:rPr>
        <w:t>לדור</w:t>
      </w:r>
      <w:r w:rsidRPr="0090777D">
        <w:rPr>
          <w:rFonts w:cs="Arial"/>
          <w:rtl/>
        </w:rPr>
        <w:t xml:space="preserve"> </w:t>
      </w:r>
      <w:r w:rsidRPr="0090777D">
        <w:rPr>
          <w:rFonts w:cs="Arial" w:hint="cs"/>
          <w:rtl/>
        </w:rPr>
        <w:t>בעיר</w:t>
      </w:r>
      <w:r w:rsidRPr="0090777D">
        <w:rPr>
          <w:rFonts w:cs="Arial"/>
          <w:rtl/>
        </w:rPr>
        <w:t xml:space="preserve"> </w:t>
      </w:r>
      <w:r w:rsidRPr="0090777D">
        <w:rPr>
          <w:rFonts w:cs="Arial" w:hint="cs"/>
          <w:rtl/>
        </w:rPr>
        <w:t>אחרת</w:t>
      </w:r>
      <w:r w:rsidRPr="0090777D">
        <w:rPr>
          <w:rFonts w:cs="Arial"/>
          <w:rtl/>
        </w:rPr>
        <w:t xml:space="preserve"> </w:t>
      </w:r>
      <w:r w:rsidRPr="0090777D">
        <w:rPr>
          <w:rFonts w:cs="Arial" w:hint="cs"/>
          <w:rtl/>
        </w:rPr>
        <w:t>מגרש</w:t>
      </w:r>
      <w:r w:rsidRPr="0090777D">
        <w:rPr>
          <w:rFonts w:cs="Arial"/>
          <w:rtl/>
        </w:rPr>
        <w:t xml:space="preserve"> </w:t>
      </w:r>
      <w:r w:rsidRPr="0090777D">
        <w:rPr>
          <w:rFonts w:cs="Arial" w:hint="cs"/>
          <w:rtl/>
        </w:rPr>
        <w:t>אשתו</w:t>
      </w:r>
      <w:r w:rsidRPr="0090777D">
        <w:rPr>
          <w:rFonts w:cs="Arial"/>
          <w:rtl/>
        </w:rPr>
        <w:t xml:space="preserve"> </w:t>
      </w:r>
      <w:r w:rsidR="002F4447">
        <w:rPr>
          <w:rFonts w:cs="Arial" w:hint="cs"/>
          <w:rtl/>
        </w:rPr>
        <w:t xml:space="preserve">- </w:t>
      </w:r>
      <w:r w:rsidRPr="0090777D">
        <w:rPr>
          <w:rFonts w:cs="Arial" w:hint="cs"/>
          <w:rtl/>
        </w:rPr>
        <w:t>כותבין</w:t>
      </w:r>
      <w:r w:rsidRPr="0090777D">
        <w:rPr>
          <w:rFonts w:cs="Arial"/>
          <w:rtl/>
        </w:rPr>
        <w:t xml:space="preserve"> </w:t>
      </w:r>
      <w:r w:rsidRPr="0090777D">
        <w:rPr>
          <w:rFonts w:cs="Arial" w:hint="cs"/>
          <w:rtl/>
        </w:rPr>
        <w:t>העיר</w:t>
      </w:r>
      <w:r w:rsidRPr="0090777D">
        <w:rPr>
          <w:rFonts w:cs="Arial"/>
          <w:rtl/>
        </w:rPr>
        <w:t xml:space="preserve"> </w:t>
      </w:r>
      <w:r w:rsidRPr="0090777D">
        <w:rPr>
          <w:rFonts w:cs="Arial" w:hint="cs"/>
          <w:rtl/>
        </w:rPr>
        <w:t>שיצא</w:t>
      </w:r>
      <w:r w:rsidRPr="0090777D">
        <w:rPr>
          <w:rFonts w:cs="Arial"/>
          <w:rtl/>
        </w:rPr>
        <w:t xml:space="preserve"> </w:t>
      </w:r>
      <w:r w:rsidRPr="0090777D">
        <w:rPr>
          <w:rFonts w:cs="Arial" w:hint="cs"/>
          <w:rtl/>
        </w:rPr>
        <w:t>ממנה</w:t>
      </w:r>
      <w:r>
        <w:rPr>
          <w:rFonts w:cs="Arial" w:hint="cs"/>
          <w:rtl/>
        </w:rPr>
        <w:t>.</w:t>
      </w:r>
    </w:p>
    <w:p w14:paraId="156596A1" w14:textId="1816DE46" w:rsidR="00FA2119" w:rsidRPr="00F3730C" w:rsidRDefault="00FA2119" w:rsidP="00FA2119">
      <w:pPr>
        <w:rPr>
          <w:rFonts w:cs="Arial"/>
          <w:rtl/>
        </w:rPr>
      </w:pPr>
      <w:r w:rsidRPr="00F3730C">
        <w:rPr>
          <w:rFonts w:cs="Arial" w:hint="cs"/>
          <w:b/>
          <w:bCs/>
          <w:rtl/>
        </w:rPr>
        <w:t xml:space="preserve">ירושלמי גיטין פ"ד ה"ב: </w:t>
      </w:r>
      <w:r w:rsidRPr="00F3730C">
        <w:rPr>
          <w:rFonts w:cs="Arial"/>
          <w:u w:val="single"/>
          <w:rtl/>
        </w:rPr>
        <w:t>אמר רבי אבין</w:t>
      </w:r>
      <w:r>
        <w:rPr>
          <w:rFonts w:cs="Arial" w:hint="cs"/>
          <w:rtl/>
        </w:rPr>
        <w:t>:</w:t>
      </w:r>
      <w:r w:rsidRPr="00F3730C">
        <w:rPr>
          <w:rFonts w:cs="Arial"/>
          <w:rtl/>
        </w:rPr>
        <w:t xml:space="preserve"> אם יצא לו שם במקום אחר </w:t>
      </w:r>
      <w:r w:rsidR="00A82951">
        <w:rPr>
          <w:rFonts w:cs="Arial" w:hint="cs"/>
          <w:rtl/>
        </w:rPr>
        <w:t>-</w:t>
      </w:r>
      <w:r>
        <w:rPr>
          <w:rFonts w:cs="Arial" w:hint="cs"/>
          <w:rtl/>
        </w:rPr>
        <w:t xml:space="preserve"> </w:t>
      </w:r>
      <w:r w:rsidRPr="00F3730C">
        <w:rPr>
          <w:rFonts w:cs="Arial"/>
          <w:rtl/>
        </w:rPr>
        <w:t>צריך להזכיר שלשתן.</w:t>
      </w:r>
    </w:p>
    <w:p w14:paraId="75505316" w14:textId="77777777" w:rsidR="00FA2119" w:rsidRPr="00B819EB" w:rsidRDefault="00FA2119" w:rsidP="00FA2119">
      <w:pPr>
        <w:rPr>
          <w:u w:val="single"/>
          <w:rtl/>
        </w:rPr>
      </w:pPr>
      <w:r>
        <w:rPr>
          <w:rFonts w:hint="cs"/>
          <w:u w:val="single"/>
          <w:rtl/>
        </w:rPr>
        <w:t xml:space="preserve">האם צריך לכתוב בגט את </w:t>
      </w:r>
      <w:r w:rsidRPr="00630399">
        <w:rPr>
          <w:rFonts w:hint="cs"/>
          <w:b/>
          <w:bCs/>
          <w:u w:val="single"/>
          <w:rtl/>
        </w:rPr>
        <w:t xml:space="preserve">מקום </w:t>
      </w:r>
      <w:r>
        <w:rPr>
          <w:rFonts w:hint="cs"/>
          <w:b/>
          <w:bCs/>
          <w:u w:val="single"/>
          <w:rtl/>
        </w:rPr>
        <w:t>העמידה</w:t>
      </w:r>
      <w:r>
        <w:rPr>
          <w:rFonts w:hint="cs"/>
          <w:u w:val="single"/>
          <w:rtl/>
        </w:rPr>
        <w:t xml:space="preserve"> ואת </w:t>
      </w:r>
      <w:r w:rsidRPr="00630399">
        <w:rPr>
          <w:rFonts w:hint="cs"/>
          <w:b/>
          <w:bCs/>
          <w:u w:val="single"/>
          <w:rtl/>
        </w:rPr>
        <w:t>מקום הלידה</w:t>
      </w:r>
      <w:r>
        <w:rPr>
          <w:rFonts w:hint="cs"/>
          <w:u w:val="single"/>
          <w:rtl/>
        </w:rPr>
        <w:t>:</w:t>
      </w:r>
    </w:p>
    <w:p w14:paraId="25906077" w14:textId="2BD1DB8D" w:rsidR="00FA2119" w:rsidRDefault="00FA2119" w:rsidP="00FA2119">
      <w:pPr>
        <w:pStyle w:val="ab"/>
      </w:pPr>
      <w:r>
        <w:rPr>
          <w:rFonts w:cs="Arial" w:hint="cs"/>
          <w:rtl/>
        </w:rPr>
        <w:t>תוס'</w:t>
      </w:r>
      <w:r>
        <w:rPr>
          <w:rStyle w:val="a7"/>
          <w:rFonts w:cs="Arial"/>
          <w:rtl/>
        </w:rPr>
        <w:footnoteReference w:id="967"/>
      </w:r>
      <w:r>
        <w:rPr>
          <w:rFonts w:cs="Arial" w:hint="cs"/>
          <w:rtl/>
        </w:rPr>
        <w:t xml:space="preserve"> </w:t>
      </w:r>
      <w:r w:rsidRPr="00F8793A">
        <w:rPr>
          <w:rFonts w:cs="Arial" w:hint="cs"/>
          <w:sz w:val="16"/>
          <w:szCs w:val="16"/>
          <w:rtl/>
        </w:rPr>
        <w:t xml:space="preserve">(פ. ד"ה </w:t>
      </w:r>
      <w:r w:rsidRPr="00F8793A">
        <w:rPr>
          <w:rFonts w:cs="Arial"/>
          <w:sz w:val="16"/>
          <w:szCs w:val="16"/>
          <w:rtl/>
        </w:rPr>
        <w:t>ושם עירו</w:t>
      </w:r>
      <w:r w:rsidRPr="00F8793A">
        <w:rPr>
          <w:rFonts w:cs="Arial" w:hint="cs"/>
          <w:sz w:val="16"/>
          <w:szCs w:val="16"/>
          <w:rtl/>
        </w:rPr>
        <w:t>)</w:t>
      </w:r>
      <w:r>
        <w:rPr>
          <w:rFonts w:cs="Arial" w:hint="cs"/>
          <w:rtl/>
        </w:rPr>
        <w:t xml:space="preserve"> סמ"ג </w:t>
      </w:r>
      <w:r>
        <w:rPr>
          <w:rFonts w:cs="Arial" w:hint="cs"/>
          <w:sz w:val="16"/>
          <w:szCs w:val="16"/>
          <w:rtl/>
        </w:rPr>
        <w:t>(עשין נ)</w:t>
      </w:r>
      <w:r>
        <w:rPr>
          <w:rFonts w:cs="Arial" w:hint="cs"/>
          <w:rtl/>
        </w:rPr>
        <w:t xml:space="preserve"> מרדכי </w:t>
      </w:r>
      <w:r w:rsidRPr="000F5C2D">
        <w:rPr>
          <w:rFonts w:cs="Arial"/>
          <w:sz w:val="16"/>
          <w:szCs w:val="16"/>
          <w:rtl/>
        </w:rPr>
        <w:t>(</w:t>
      </w:r>
      <w:r w:rsidRPr="000F5C2D">
        <w:rPr>
          <w:rFonts w:cs="Arial" w:hint="cs"/>
          <w:sz w:val="16"/>
          <w:szCs w:val="16"/>
          <w:rtl/>
        </w:rPr>
        <w:t>סי</w:t>
      </w:r>
      <w:r w:rsidRPr="000F5C2D">
        <w:rPr>
          <w:rFonts w:cs="Arial"/>
          <w:sz w:val="16"/>
          <w:szCs w:val="16"/>
          <w:rtl/>
        </w:rPr>
        <w:t xml:space="preserve">' </w:t>
      </w:r>
      <w:r w:rsidRPr="000F5C2D">
        <w:rPr>
          <w:rFonts w:cs="Arial" w:hint="cs"/>
          <w:sz w:val="16"/>
          <w:szCs w:val="16"/>
          <w:rtl/>
        </w:rPr>
        <w:t>שסח</w:t>
      </w:r>
      <w:r w:rsidRPr="000F5C2D">
        <w:rPr>
          <w:rFonts w:cs="Arial"/>
          <w:sz w:val="16"/>
          <w:szCs w:val="16"/>
          <w:rtl/>
        </w:rPr>
        <w:t xml:space="preserve">) </w:t>
      </w:r>
      <w:r>
        <w:rPr>
          <w:rFonts w:cs="Arial" w:hint="cs"/>
          <w:rtl/>
        </w:rPr>
        <w:t xml:space="preserve">הגה"מ </w:t>
      </w:r>
      <w:r>
        <w:rPr>
          <w:rFonts w:cs="Arial" w:hint="cs"/>
          <w:sz w:val="16"/>
          <w:szCs w:val="16"/>
          <w:rtl/>
        </w:rPr>
        <w:t>(פ"ד אות ז)</w:t>
      </w:r>
      <w:r>
        <w:rPr>
          <w:rFonts w:cs="Arial" w:hint="cs"/>
          <w:rtl/>
        </w:rPr>
        <w:t xml:space="preserve"> </w:t>
      </w:r>
      <w:r w:rsidRPr="003C7C89">
        <w:rPr>
          <w:rFonts w:cs="Arial" w:hint="cs"/>
          <w:rtl/>
        </w:rPr>
        <w:t>רא</w:t>
      </w:r>
      <w:r w:rsidRPr="003C7C89">
        <w:rPr>
          <w:rFonts w:cs="Arial"/>
          <w:rtl/>
        </w:rPr>
        <w:t>"</w:t>
      </w:r>
      <w:r w:rsidRPr="003C7C89">
        <w:rPr>
          <w:rFonts w:cs="Arial" w:hint="cs"/>
          <w:rtl/>
        </w:rPr>
        <w:t>ש</w:t>
      </w:r>
      <w:r>
        <w:rPr>
          <w:rStyle w:val="a7"/>
          <w:rFonts w:cs="Arial"/>
          <w:rtl/>
        </w:rPr>
        <w:footnoteReference w:id="968"/>
      </w:r>
      <w:r w:rsidRPr="003C7C89">
        <w:rPr>
          <w:rFonts w:cs="Arial"/>
          <w:rtl/>
        </w:rPr>
        <w:t xml:space="preserve"> </w:t>
      </w:r>
      <w:r>
        <w:rPr>
          <w:rFonts w:cs="Arial" w:hint="cs"/>
          <w:sz w:val="16"/>
          <w:szCs w:val="16"/>
          <w:rtl/>
        </w:rPr>
        <w:t xml:space="preserve">(פ"ח סי' ט) </w:t>
      </w:r>
      <w:r>
        <w:rPr>
          <w:rFonts w:cs="Arial" w:hint="cs"/>
          <w:rtl/>
        </w:rPr>
        <w:t>ו</w:t>
      </w:r>
      <w:r w:rsidRPr="00D90542">
        <w:rPr>
          <w:rFonts w:cs="Arial" w:hint="cs"/>
          <w:rtl/>
        </w:rPr>
        <w:t>ר</w:t>
      </w:r>
      <w:r w:rsidRPr="00D90542">
        <w:rPr>
          <w:rFonts w:cs="Arial"/>
          <w:rtl/>
        </w:rPr>
        <w:t>"</w:t>
      </w:r>
      <w:r w:rsidRPr="00D90542">
        <w:rPr>
          <w:rFonts w:cs="Arial" w:hint="cs"/>
          <w:rtl/>
        </w:rPr>
        <w:t>ן</w:t>
      </w:r>
      <w:r w:rsidRPr="00D90542">
        <w:rPr>
          <w:rFonts w:cs="Arial"/>
          <w:rtl/>
        </w:rPr>
        <w:t xml:space="preserve"> </w:t>
      </w:r>
      <w:r w:rsidRPr="00D90542">
        <w:rPr>
          <w:rFonts w:cs="Arial"/>
          <w:sz w:val="16"/>
          <w:szCs w:val="16"/>
          <w:rtl/>
        </w:rPr>
        <w:t>(</w:t>
      </w:r>
      <w:r w:rsidRPr="00D90542">
        <w:rPr>
          <w:rFonts w:cs="Arial" w:hint="cs"/>
          <w:sz w:val="16"/>
          <w:szCs w:val="16"/>
          <w:rtl/>
        </w:rPr>
        <w:t>מא</w:t>
      </w:r>
      <w:r w:rsidRPr="00D90542">
        <w:rPr>
          <w:rFonts w:cs="Arial"/>
          <w:sz w:val="16"/>
          <w:szCs w:val="16"/>
          <w:rtl/>
        </w:rPr>
        <w:t xml:space="preserve">: </w:t>
      </w:r>
      <w:r w:rsidRPr="00D90542">
        <w:rPr>
          <w:rFonts w:cs="Arial" w:hint="cs"/>
          <w:sz w:val="16"/>
          <w:szCs w:val="16"/>
          <w:rtl/>
        </w:rPr>
        <w:t>ד</w:t>
      </w:r>
      <w:r w:rsidRPr="00D90542">
        <w:rPr>
          <w:rFonts w:cs="Arial"/>
          <w:sz w:val="16"/>
          <w:szCs w:val="16"/>
          <w:rtl/>
        </w:rPr>
        <w:t>"</w:t>
      </w:r>
      <w:r w:rsidRPr="00D90542">
        <w:rPr>
          <w:rFonts w:cs="Arial" w:hint="cs"/>
          <w:sz w:val="16"/>
          <w:szCs w:val="16"/>
          <w:rtl/>
        </w:rPr>
        <w:t>ה</w:t>
      </w:r>
      <w:r w:rsidRPr="00D90542">
        <w:rPr>
          <w:rFonts w:cs="Arial"/>
          <w:sz w:val="16"/>
          <w:szCs w:val="16"/>
          <w:rtl/>
        </w:rPr>
        <w:t xml:space="preserve"> </w:t>
      </w:r>
      <w:r w:rsidRPr="00D90542">
        <w:rPr>
          <w:rFonts w:cs="Arial" w:hint="cs"/>
          <w:sz w:val="16"/>
          <w:szCs w:val="16"/>
          <w:rtl/>
        </w:rPr>
        <w:t>שינה</w:t>
      </w:r>
      <w:r w:rsidRPr="00D90542">
        <w:rPr>
          <w:rFonts w:cs="Arial"/>
          <w:sz w:val="16"/>
          <w:szCs w:val="16"/>
          <w:rtl/>
        </w:rPr>
        <w:t>)</w:t>
      </w:r>
      <w:r w:rsidR="00A82951">
        <w:rPr>
          <w:rFonts w:cs="Arial" w:hint="cs"/>
          <w:rtl/>
        </w:rPr>
        <w:t>-</w:t>
      </w:r>
      <w:r w:rsidRPr="00D90542">
        <w:rPr>
          <w:rFonts w:cs="Arial" w:hint="cs"/>
          <w:rtl/>
        </w:rPr>
        <w:t xml:space="preserve"> אין</w:t>
      </w:r>
      <w:r w:rsidRPr="00D90542">
        <w:rPr>
          <w:rFonts w:cs="Arial"/>
          <w:rtl/>
        </w:rPr>
        <w:t xml:space="preserve"> </w:t>
      </w:r>
      <w:r w:rsidRPr="00D90542">
        <w:rPr>
          <w:rFonts w:cs="Arial" w:hint="cs"/>
          <w:rtl/>
        </w:rPr>
        <w:t>צריך</w:t>
      </w:r>
      <w:r w:rsidRPr="00D90542">
        <w:rPr>
          <w:rFonts w:cs="Arial"/>
          <w:rtl/>
        </w:rPr>
        <w:t xml:space="preserve"> </w:t>
      </w:r>
      <w:r w:rsidRPr="00D90542">
        <w:rPr>
          <w:rFonts w:cs="Arial" w:hint="cs"/>
          <w:rtl/>
        </w:rPr>
        <w:t>לכתוב</w:t>
      </w:r>
      <w:r w:rsidRPr="00D90542">
        <w:rPr>
          <w:rFonts w:cs="Arial"/>
          <w:rtl/>
        </w:rPr>
        <w:t xml:space="preserve"> </w:t>
      </w:r>
      <w:r w:rsidRPr="00D90542">
        <w:rPr>
          <w:rFonts w:cs="Arial" w:hint="cs"/>
          <w:rtl/>
        </w:rPr>
        <w:t>מקום</w:t>
      </w:r>
      <w:r w:rsidRPr="00D90542">
        <w:rPr>
          <w:rFonts w:cs="Arial"/>
          <w:rtl/>
        </w:rPr>
        <w:t xml:space="preserve"> </w:t>
      </w:r>
      <w:r w:rsidRPr="00D90542">
        <w:rPr>
          <w:rFonts w:cs="Arial" w:hint="cs"/>
          <w:rtl/>
        </w:rPr>
        <w:t>הלידה</w:t>
      </w:r>
      <w:r w:rsidRPr="00D90542">
        <w:rPr>
          <w:rFonts w:cs="Arial"/>
          <w:rtl/>
        </w:rPr>
        <w:t xml:space="preserve"> </w:t>
      </w:r>
      <w:r w:rsidRPr="00D90542">
        <w:rPr>
          <w:rFonts w:cs="Arial" w:hint="cs"/>
          <w:rtl/>
        </w:rPr>
        <w:t>ולא</w:t>
      </w:r>
      <w:r w:rsidRPr="00D90542">
        <w:rPr>
          <w:rFonts w:cs="Arial"/>
          <w:rtl/>
        </w:rPr>
        <w:t xml:space="preserve"> </w:t>
      </w:r>
      <w:r w:rsidRPr="00D90542">
        <w:rPr>
          <w:rFonts w:cs="Arial" w:hint="cs"/>
          <w:rtl/>
        </w:rPr>
        <w:t>מקום</w:t>
      </w:r>
      <w:r w:rsidRPr="00D90542">
        <w:rPr>
          <w:rFonts w:cs="Arial"/>
          <w:rtl/>
        </w:rPr>
        <w:t xml:space="preserve"> </w:t>
      </w:r>
      <w:r w:rsidRPr="00D90542">
        <w:rPr>
          <w:rFonts w:cs="Arial" w:hint="cs"/>
          <w:rtl/>
        </w:rPr>
        <w:t>העמידה.</w:t>
      </w:r>
      <w:r w:rsidRPr="00D90542">
        <w:rPr>
          <w:rFonts w:cs="Arial"/>
          <w:rtl/>
        </w:rPr>
        <w:t xml:space="preserve"> </w:t>
      </w:r>
      <w:r w:rsidRPr="00D90542">
        <w:rPr>
          <w:rFonts w:cs="Arial" w:hint="cs"/>
          <w:rtl/>
        </w:rPr>
        <w:t>ואם</w:t>
      </w:r>
      <w:r w:rsidRPr="00D90542">
        <w:rPr>
          <w:rFonts w:cs="Arial"/>
          <w:rtl/>
        </w:rPr>
        <w:t xml:space="preserve"> </w:t>
      </w:r>
      <w:r w:rsidRPr="00D90542">
        <w:rPr>
          <w:rFonts w:cs="Arial" w:hint="cs"/>
          <w:rtl/>
        </w:rPr>
        <w:t>טעה</w:t>
      </w:r>
      <w:r w:rsidRPr="00D90542">
        <w:rPr>
          <w:rFonts w:cs="Arial"/>
          <w:rtl/>
        </w:rPr>
        <w:t xml:space="preserve"> </w:t>
      </w:r>
      <w:r w:rsidRPr="00D90542">
        <w:rPr>
          <w:rFonts w:cs="Arial" w:hint="cs"/>
          <w:rtl/>
        </w:rPr>
        <w:t>ושינה</w:t>
      </w:r>
      <w:r w:rsidRPr="00D90542">
        <w:rPr>
          <w:rFonts w:cs="Arial"/>
          <w:rtl/>
        </w:rPr>
        <w:t xml:space="preserve"> </w:t>
      </w:r>
      <w:r w:rsidRPr="00D90542">
        <w:rPr>
          <w:rFonts w:cs="Arial" w:hint="cs"/>
          <w:rtl/>
        </w:rPr>
        <w:t>מקום</w:t>
      </w:r>
      <w:r w:rsidRPr="00D90542">
        <w:rPr>
          <w:rFonts w:cs="Arial"/>
          <w:rtl/>
        </w:rPr>
        <w:t xml:space="preserve"> </w:t>
      </w:r>
      <w:r w:rsidRPr="00D90542">
        <w:rPr>
          <w:rFonts w:cs="Arial" w:hint="cs"/>
          <w:rtl/>
        </w:rPr>
        <w:t>הלידה</w:t>
      </w:r>
      <w:r>
        <w:rPr>
          <w:rFonts w:cs="Arial" w:hint="cs"/>
          <w:rtl/>
        </w:rPr>
        <w:t xml:space="preserve"> </w:t>
      </w:r>
      <w:r w:rsidR="00A82951">
        <w:rPr>
          <w:rFonts w:cs="Arial" w:hint="cs"/>
          <w:rtl/>
        </w:rPr>
        <w:t>-</w:t>
      </w:r>
      <w:r w:rsidRPr="00D90542">
        <w:rPr>
          <w:rFonts w:cs="Arial"/>
          <w:rtl/>
        </w:rPr>
        <w:t xml:space="preserve"> </w:t>
      </w:r>
      <w:r w:rsidRPr="00D90542">
        <w:rPr>
          <w:rFonts w:cs="Arial" w:hint="cs"/>
          <w:rtl/>
        </w:rPr>
        <w:t>כשר</w:t>
      </w:r>
      <w:r>
        <w:rPr>
          <w:rStyle w:val="a7"/>
          <w:rFonts w:cs="Arial"/>
          <w:rtl/>
        </w:rPr>
        <w:footnoteReference w:id="969"/>
      </w:r>
      <w:r w:rsidRPr="00D90542">
        <w:rPr>
          <w:rFonts w:cs="Arial" w:hint="cs"/>
          <w:rtl/>
        </w:rPr>
        <w:t>.</w:t>
      </w:r>
      <w:r w:rsidRPr="00D90542">
        <w:rPr>
          <w:rFonts w:cs="Arial"/>
          <w:rtl/>
        </w:rPr>
        <w:t xml:space="preserve"> </w:t>
      </w:r>
    </w:p>
    <w:p w14:paraId="2ED1773E" w14:textId="2457B537" w:rsidR="00FA2119" w:rsidRDefault="00FA2119" w:rsidP="00FA2119">
      <w:pPr>
        <w:pStyle w:val="ab"/>
        <w:numPr>
          <w:ilvl w:val="0"/>
          <w:numId w:val="61"/>
        </w:numPr>
        <w:rPr>
          <w:rtl/>
        </w:rPr>
      </w:pPr>
      <w:r w:rsidRPr="003C7C89">
        <w:rPr>
          <w:rFonts w:cs="Arial" w:hint="cs"/>
          <w:rtl/>
        </w:rPr>
        <w:t>רמ</w:t>
      </w:r>
      <w:r w:rsidRPr="003C7C89">
        <w:rPr>
          <w:rFonts w:cs="Arial"/>
          <w:rtl/>
        </w:rPr>
        <w:t>"</w:t>
      </w:r>
      <w:r w:rsidRPr="003C7C89">
        <w:rPr>
          <w:rFonts w:cs="Arial" w:hint="cs"/>
          <w:rtl/>
        </w:rPr>
        <w:t>ה</w:t>
      </w:r>
      <w:r>
        <w:rPr>
          <w:rFonts w:cs="Arial" w:hint="cs"/>
          <w:rtl/>
        </w:rPr>
        <w:t xml:space="preserve"> </w:t>
      </w:r>
      <w:r w:rsidRPr="006246E9">
        <w:rPr>
          <w:rFonts w:cs="Arial"/>
          <w:sz w:val="16"/>
          <w:szCs w:val="16"/>
          <w:rtl/>
        </w:rPr>
        <w:t>(</w:t>
      </w:r>
      <w:r w:rsidRPr="006246E9">
        <w:rPr>
          <w:rFonts w:cs="Arial" w:hint="cs"/>
          <w:sz w:val="16"/>
          <w:szCs w:val="16"/>
          <w:rtl/>
        </w:rPr>
        <w:t>חידושי</w:t>
      </w:r>
      <w:r w:rsidRPr="006246E9">
        <w:rPr>
          <w:rFonts w:cs="Arial"/>
          <w:sz w:val="16"/>
          <w:szCs w:val="16"/>
          <w:rtl/>
        </w:rPr>
        <w:t xml:space="preserve"> </w:t>
      </w:r>
      <w:r w:rsidRPr="006246E9">
        <w:rPr>
          <w:rFonts w:cs="Arial" w:hint="cs"/>
          <w:sz w:val="16"/>
          <w:szCs w:val="16"/>
          <w:rtl/>
        </w:rPr>
        <w:t>הרמ</w:t>
      </w:r>
      <w:r w:rsidRPr="006246E9">
        <w:rPr>
          <w:rFonts w:cs="Arial"/>
          <w:sz w:val="16"/>
          <w:szCs w:val="16"/>
          <w:rtl/>
        </w:rPr>
        <w:t>"</w:t>
      </w:r>
      <w:r w:rsidRPr="006246E9">
        <w:rPr>
          <w:rFonts w:cs="Arial" w:hint="cs"/>
          <w:sz w:val="16"/>
          <w:szCs w:val="16"/>
          <w:rtl/>
        </w:rPr>
        <w:t>ה</w:t>
      </w:r>
      <w:r w:rsidRPr="006246E9">
        <w:rPr>
          <w:rFonts w:cs="Arial"/>
          <w:sz w:val="16"/>
          <w:szCs w:val="16"/>
          <w:rtl/>
        </w:rPr>
        <w:t xml:space="preserve"> </w:t>
      </w:r>
      <w:r w:rsidRPr="006246E9">
        <w:rPr>
          <w:rFonts w:cs="Arial" w:hint="cs"/>
          <w:sz w:val="16"/>
          <w:szCs w:val="16"/>
          <w:rtl/>
        </w:rPr>
        <w:t>גיטין</w:t>
      </w:r>
      <w:r w:rsidRPr="006246E9">
        <w:rPr>
          <w:rFonts w:cs="Arial"/>
          <w:sz w:val="16"/>
          <w:szCs w:val="16"/>
          <w:rtl/>
        </w:rPr>
        <w:t xml:space="preserve"> </w:t>
      </w:r>
      <w:r w:rsidRPr="006246E9">
        <w:rPr>
          <w:rFonts w:cs="Arial" w:hint="cs"/>
          <w:sz w:val="16"/>
          <w:szCs w:val="16"/>
          <w:rtl/>
        </w:rPr>
        <w:t>לד</w:t>
      </w:r>
      <w:r w:rsidRPr="006246E9">
        <w:rPr>
          <w:rFonts w:cs="Arial"/>
          <w:sz w:val="16"/>
          <w:szCs w:val="16"/>
          <w:rtl/>
        </w:rPr>
        <w:t xml:space="preserve">: </w:t>
      </w:r>
      <w:r w:rsidRPr="006246E9">
        <w:rPr>
          <w:rFonts w:cs="Arial" w:hint="cs"/>
          <w:sz w:val="16"/>
          <w:szCs w:val="16"/>
          <w:rtl/>
        </w:rPr>
        <w:t>ד</w:t>
      </w:r>
      <w:r w:rsidRPr="006246E9">
        <w:rPr>
          <w:rFonts w:cs="Arial"/>
          <w:sz w:val="16"/>
          <w:szCs w:val="16"/>
          <w:rtl/>
        </w:rPr>
        <w:t>"</w:t>
      </w:r>
      <w:r w:rsidRPr="006246E9">
        <w:rPr>
          <w:rFonts w:cs="Arial" w:hint="cs"/>
          <w:sz w:val="16"/>
          <w:szCs w:val="16"/>
          <w:rtl/>
        </w:rPr>
        <w:t>ה</w:t>
      </w:r>
      <w:r w:rsidRPr="006246E9">
        <w:rPr>
          <w:rFonts w:cs="Arial"/>
          <w:sz w:val="16"/>
          <w:szCs w:val="16"/>
          <w:rtl/>
        </w:rPr>
        <w:t xml:space="preserve"> </w:t>
      </w:r>
      <w:r w:rsidRPr="006246E9">
        <w:rPr>
          <w:rFonts w:cs="Arial" w:hint="cs"/>
          <w:sz w:val="16"/>
          <w:szCs w:val="16"/>
          <w:rtl/>
        </w:rPr>
        <w:t>תניא</w:t>
      </w:r>
      <w:r w:rsidRPr="006246E9">
        <w:rPr>
          <w:rFonts w:cs="Arial"/>
          <w:sz w:val="16"/>
          <w:szCs w:val="16"/>
          <w:rtl/>
        </w:rPr>
        <w:t xml:space="preserve"> </w:t>
      </w:r>
      <w:r w:rsidRPr="006246E9">
        <w:rPr>
          <w:rFonts w:cs="Arial" w:hint="cs"/>
          <w:sz w:val="16"/>
          <w:szCs w:val="16"/>
          <w:rtl/>
        </w:rPr>
        <w:t>וד</w:t>
      </w:r>
      <w:r w:rsidRPr="006246E9">
        <w:rPr>
          <w:rFonts w:cs="Arial"/>
          <w:sz w:val="16"/>
          <w:szCs w:val="16"/>
          <w:rtl/>
        </w:rPr>
        <w:t>"</w:t>
      </w:r>
      <w:r w:rsidRPr="006246E9">
        <w:rPr>
          <w:rFonts w:cs="Arial" w:hint="cs"/>
          <w:sz w:val="16"/>
          <w:szCs w:val="16"/>
          <w:rtl/>
        </w:rPr>
        <w:t>ה</w:t>
      </w:r>
      <w:r w:rsidRPr="006246E9">
        <w:rPr>
          <w:rFonts w:cs="Arial"/>
          <w:sz w:val="16"/>
          <w:szCs w:val="16"/>
          <w:rtl/>
        </w:rPr>
        <w:t xml:space="preserve"> </w:t>
      </w:r>
      <w:r w:rsidRPr="006246E9">
        <w:rPr>
          <w:rFonts w:cs="Arial" w:hint="cs"/>
          <w:sz w:val="16"/>
          <w:szCs w:val="16"/>
          <w:rtl/>
        </w:rPr>
        <w:t>וה</w:t>
      </w:r>
      <w:r w:rsidRPr="006246E9">
        <w:rPr>
          <w:rFonts w:cs="Arial"/>
          <w:sz w:val="16"/>
          <w:szCs w:val="16"/>
          <w:rtl/>
        </w:rPr>
        <w:t>"</w:t>
      </w:r>
      <w:r w:rsidRPr="006246E9">
        <w:rPr>
          <w:rFonts w:cs="Arial" w:hint="cs"/>
          <w:sz w:val="16"/>
          <w:szCs w:val="16"/>
          <w:rtl/>
        </w:rPr>
        <w:t>מ</w:t>
      </w:r>
      <w:r w:rsidRPr="006246E9">
        <w:rPr>
          <w:rFonts w:cs="Arial"/>
          <w:sz w:val="16"/>
          <w:szCs w:val="16"/>
          <w:rtl/>
        </w:rPr>
        <w:t xml:space="preserve"> </w:t>
      </w:r>
      <w:r w:rsidRPr="006246E9">
        <w:rPr>
          <w:rFonts w:cs="Arial" w:hint="cs"/>
          <w:sz w:val="16"/>
          <w:szCs w:val="16"/>
          <w:rtl/>
        </w:rPr>
        <w:t>היכא</w:t>
      </w:r>
      <w:r w:rsidRPr="006246E9">
        <w:rPr>
          <w:rFonts w:cs="Arial"/>
          <w:sz w:val="16"/>
          <w:szCs w:val="16"/>
          <w:rtl/>
        </w:rPr>
        <w:t>)</w:t>
      </w:r>
      <w:r w:rsidR="00A82951">
        <w:rPr>
          <w:rFonts w:cs="Arial" w:hint="cs"/>
          <w:rtl/>
        </w:rPr>
        <w:t>-</w:t>
      </w:r>
      <w:r w:rsidRPr="003C7C89">
        <w:rPr>
          <w:rFonts w:cs="Arial"/>
          <w:rtl/>
        </w:rPr>
        <w:t xml:space="preserve"> </w:t>
      </w:r>
      <w:r w:rsidRPr="003C7C89">
        <w:rPr>
          <w:rFonts w:cs="Arial" w:hint="cs"/>
          <w:rtl/>
        </w:rPr>
        <w:t>מן</w:t>
      </w:r>
      <w:r w:rsidRPr="003C7C89">
        <w:rPr>
          <w:rFonts w:cs="Arial"/>
          <w:rtl/>
        </w:rPr>
        <w:t xml:space="preserve"> </w:t>
      </w:r>
      <w:r w:rsidRPr="003C7C89">
        <w:rPr>
          <w:rFonts w:cs="Arial" w:hint="cs"/>
          <w:rtl/>
        </w:rPr>
        <w:t>הדין</w:t>
      </w:r>
      <w:r>
        <w:rPr>
          <w:rStyle w:val="a7"/>
          <w:rFonts w:cs="Arial"/>
          <w:rtl/>
        </w:rPr>
        <w:footnoteReference w:id="970"/>
      </w:r>
      <w:r w:rsidRPr="003C7C89">
        <w:rPr>
          <w:rFonts w:cs="Arial"/>
          <w:rtl/>
        </w:rPr>
        <w:t xml:space="preserve"> </w:t>
      </w:r>
      <w:r w:rsidRPr="003C7C89">
        <w:rPr>
          <w:rFonts w:cs="Arial" w:hint="cs"/>
          <w:rtl/>
        </w:rPr>
        <w:t>היה</w:t>
      </w:r>
      <w:r w:rsidRPr="003C7C89">
        <w:rPr>
          <w:rFonts w:cs="Arial"/>
          <w:rtl/>
        </w:rPr>
        <w:t xml:space="preserve"> </w:t>
      </w:r>
      <w:r w:rsidRPr="003C7C89">
        <w:rPr>
          <w:rFonts w:cs="Arial" w:hint="cs"/>
          <w:rtl/>
        </w:rPr>
        <w:t>צריך</w:t>
      </w:r>
      <w:r w:rsidRPr="003C7C89">
        <w:rPr>
          <w:rFonts w:cs="Arial"/>
          <w:rtl/>
        </w:rPr>
        <w:t xml:space="preserve"> </w:t>
      </w:r>
      <w:r w:rsidRPr="003C7C89">
        <w:rPr>
          <w:rFonts w:cs="Arial" w:hint="cs"/>
          <w:rtl/>
        </w:rPr>
        <w:t>לכתוב</w:t>
      </w:r>
      <w:r w:rsidRPr="003C7C89">
        <w:rPr>
          <w:rFonts w:cs="Arial"/>
          <w:rtl/>
        </w:rPr>
        <w:t xml:space="preserve"> </w:t>
      </w:r>
      <w:r w:rsidRPr="003C7C89">
        <w:rPr>
          <w:rFonts w:cs="Arial" w:hint="cs"/>
          <w:rtl/>
        </w:rPr>
        <w:t>שם</w:t>
      </w:r>
      <w:r w:rsidRPr="003C7C89">
        <w:rPr>
          <w:rFonts w:cs="Arial"/>
          <w:rtl/>
        </w:rPr>
        <w:t xml:space="preserve"> </w:t>
      </w:r>
      <w:r w:rsidRPr="003C7C89">
        <w:rPr>
          <w:rFonts w:cs="Arial" w:hint="cs"/>
          <w:rtl/>
        </w:rPr>
        <w:t>העיר</w:t>
      </w:r>
      <w:r w:rsidRPr="003C7C89">
        <w:rPr>
          <w:rFonts w:cs="Arial"/>
          <w:rtl/>
        </w:rPr>
        <w:t xml:space="preserve"> </w:t>
      </w:r>
      <w:r w:rsidRPr="003C7C89">
        <w:rPr>
          <w:rFonts w:cs="Arial" w:hint="cs"/>
          <w:rtl/>
        </w:rPr>
        <w:t>של</w:t>
      </w:r>
      <w:r w:rsidRPr="003C7C89">
        <w:rPr>
          <w:rFonts w:cs="Arial"/>
          <w:rtl/>
        </w:rPr>
        <w:t xml:space="preserve"> </w:t>
      </w:r>
      <w:r w:rsidRPr="003C7C89">
        <w:rPr>
          <w:rFonts w:cs="Arial" w:hint="cs"/>
          <w:rtl/>
        </w:rPr>
        <w:t>הלידה</w:t>
      </w:r>
      <w:r>
        <w:rPr>
          <w:rFonts w:cs="Arial" w:hint="cs"/>
          <w:rtl/>
        </w:rPr>
        <w:t>,</w:t>
      </w:r>
      <w:r w:rsidRPr="003C7C89">
        <w:rPr>
          <w:rFonts w:cs="Arial"/>
          <w:rtl/>
        </w:rPr>
        <w:t xml:space="preserve"> </w:t>
      </w:r>
      <w:r w:rsidRPr="003C7C89">
        <w:rPr>
          <w:rFonts w:cs="Arial" w:hint="cs"/>
          <w:rtl/>
        </w:rPr>
        <w:t>אלא</w:t>
      </w:r>
      <w:r w:rsidRPr="003C7C89">
        <w:rPr>
          <w:rFonts w:cs="Arial"/>
          <w:rtl/>
        </w:rPr>
        <w:t xml:space="preserve"> </w:t>
      </w:r>
      <w:r w:rsidRPr="003C7C89">
        <w:rPr>
          <w:rFonts w:cs="Arial" w:hint="cs"/>
          <w:rtl/>
        </w:rPr>
        <w:t>דחיישינן</w:t>
      </w:r>
      <w:r w:rsidRPr="003C7C89">
        <w:rPr>
          <w:rFonts w:cs="Arial"/>
          <w:rtl/>
        </w:rPr>
        <w:t xml:space="preserve"> </w:t>
      </w:r>
      <w:r w:rsidRPr="003C7C89">
        <w:rPr>
          <w:rFonts w:cs="Arial" w:hint="cs"/>
          <w:rtl/>
        </w:rPr>
        <w:t>שמא</w:t>
      </w:r>
      <w:r w:rsidRPr="003C7C89">
        <w:rPr>
          <w:rFonts w:cs="Arial"/>
          <w:rtl/>
        </w:rPr>
        <w:t xml:space="preserve"> </w:t>
      </w:r>
      <w:r w:rsidRPr="003C7C89">
        <w:rPr>
          <w:rFonts w:cs="Arial" w:hint="cs"/>
          <w:rtl/>
        </w:rPr>
        <w:t>יטעה</w:t>
      </w:r>
      <w:r w:rsidRPr="003C7C89">
        <w:rPr>
          <w:rFonts w:cs="Arial"/>
          <w:rtl/>
        </w:rPr>
        <w:t xml:space="preserve"> </w:t>
      </w:r>
      <w:r w:rsidRPr="003C7C89">
        <w:rPr>
          <w:rFonts w:cs="Arial" w:hint="cs"/>
          <w:rtl/>
        </w:rPr>
        <w:t>בעיר</w:t>
      </w:r>
      <w:r w:rsidRPr="003C7C89">
        <w:rPr>
          <w:rFonts w:cs="Arial"/>
          <w:rtl/>
        </w:rPr>
        <w:t xml:space="preserve"> </w:t>
      </w:r>
      <w:r w:rsidRPr="003C7C89">
        <w:rPr>
          <w:rFonts w:cs="Arial" w:hint="cs"/>
          <w:rtl/>
        </w:rPr>
        <w:t>מולדתו</w:t>
      </w:r>
      <w:r>
        <w:rPr>
          <w:rFonts w:cs="Arial" w:hint="cs"/>
          <w:sz w:val="16"/>
          <w:szCs w:val="16"/>
          <w:rtl/>
        </w:rPr>
        <w:t xml:space="preserve"> {ולכן א"צ לכתוב מקום הלידה}</w:t>
      </w:r>
      <w:r>
        <w:rPr>
          <w:rFonts w:cs="Arial" w:hint="cs"/>
          <w:rtl/>
        </w:rPr>
        <w:t>.</w:t>
      </w:r>
      <w:r w:rsidRPr="003C7C89">
        <w:rPr>
          <w:rFonts w:cs="Arial"/>
          <w:rtl/>
        </w:rPr>
        <w:t xml:space="preserve"> </w:t>
      </w:r>
      <w:r w:rsidRPr="003C7C89">
        <w:rPr>
          <w:rFonts w:cs="Arial" w:hint="cs"/>
          <w:rtl/>
        </w:rPr>
        <w:t>ואם</w:t>
      </w:r>
      <w:r w:rsidRPr="003C7C89">
        <w:rPr>
          <w:rFonts w:cs="Arial"/>
          <w:rtl/>
        </w:rPr>
        <w:t xml:space="preserve"> </w:t>
      </w:r>
      <w:r w:rsidRPr="003C7C89">
        <w:rPr>
          <w:rFonts w:cs="Arial" w:hint="cs"/>
          <w:rtl/>
        </w:rPr>
        <w:t>כתבה</w:t>
      </w:r>
      <w:r w:rsidRPr="003C7C89">
        <w:rPr>
          <w:rFonts w:cs="Arial"/>
          <w:rtl/>
        </w:rPr>
        <w:t xml:space="preserve"> </w:t>
      </w:r>
      <w:r w:rsidRPr="003C7C89">
        <w:rPr>
          <w:rFonts w:cs="Arial" w:hint="cs"/>
          <w:rtl/>
        </w:rPr>
        <w:t>ולא</w:t>
      </w:r>
      <w:r w:rsidRPr="003C7C89">
        <w:rPr>
          <w:rFonts w:cs="Arial"/>
          <w:rtl/>
        </w:rPr>
        <w:t xml:space="preserve"> </w:t>
      </w:r>
      <w:r w:rsidRPr="003C7C89">
        <w:rPr>
          <w:rFonts w:cs="Arial" w:hint="cs"/>
          <w:rtl/>
        </w:rPr>
        <w:t>טעה</w:t>
      </w:r>
      <w:r w:rsidRPr="003C7C89">
        <w:rPr>
          <w:rFonts w:cs="Arial"/>
          <w:rtl/>
        </w:rPr>
        <w:t xml:space="preserve"> </w:t>
      </w:r>
      <w:r w:rsidRPr="003C7C89">
        <w:rPr>
          <w:rFonts w:cs="Arial" w:hint="cs"/>
          <w:rtl/>
        </w:rPr>
        <w:t>בה</w:t>
      </w:r>
      <w:r w:rsidRPr="003C7C89">
        <w:rPr>
          <w:rFonts w:cs="Arial"/>
          <w:rtl/>
        </w:rPr>
        <w:t xml:space="preserve"> </w:t>
      </w:r>
      <w:r w:rsidR="00A82951">
        <w:rPr>
          <w:rFonts w:cs="Arial" w:hint="cs"/>
          <w:rtl/>
        </w:rPr>
        <w:t>-</w:t>
      </w:r>
      <w:r>
        <w:rPr>
          <w:rFonts w:cs="Arial" w:hint="cs"/>
          <w:rtl/>
        </w:rPr>
        <w:t xml:space="preserve"> </w:t>
      </w:r>
      <w:r w:rsidRPr="003C7C89">
        <w:rPr>
          <w:rFonts w:cs="Arial" w:hint="cs"/>
          <w:rtl/>
        </w:rPr>
        <w:t>כשר</w:t>
      </w:r>
      <w:r>
        <w:rPr>
          <w:rStyle w:val="a7"/>
          <w:rFonts w:cs="Arial"/>
          <w:rtl/>
        </w:rPr>
        <w:footnoteReference w:id="971"/>
      </w:r>
      <w:r>
        <w:rPr>
          <w:rFonts w:cs="Arial" w:hint="cs"/>
          <w:rtl/>
        </w:rPr>
        <w:t>.</w:t>
      </w:r>
      <w:r w:rsidRPr="003C7C89">
        <w:rPr>
          <w:rFonts w:cs="Arial"/>
          <w:rtl/>
        </w:rPr>
        <w:t xml:space="preserve"> </w:t>
      </w:r>
    </w:p>
    <w:p w14:paraId="34D86056" w14:textId="792AC1F2" w:rsidR="00FA2119" w:rsidRPr="00C301DD" w:rsidRDefault="00FA2119" w:rsidP="00FA2119">
      <w:pPr>
        <w:pStyle w:val="ab"/>
        <w:numPr>
          <w:ilvl w:val="0"/>
          <w:numId w:val="61"/>
        </w:numPr>
        <w:rPr>
          <w:rtl/>
        </w:rPr>
      </w:pPr>
      <w:r w:rsidRPr="00B84A63">
        <w:rPr>
          <w:rFonts w:cs="Arial" w:hint="cs"/>
          <w:rtl/>
        </w:rPr>
        <w:t>רשב</w:t>
      </w:r>
      <w:r w:rsidRPr="00B84A63">
        <w:rPr>
          <w:rFonts w:cs="Arial"/>
          <w:rtl/>
        </w:rPr>
        <w:t>"</w:t>
      </w:r>
      <w:r w:rsidRPr="00B84A63">
        <w:rPr>
          <w:rFonts w:cs="Arial" w:hint="cs"/>
          <w:rtl/>
        </w:rPr>
        <w:t>א</w:t>
      </w:r>
      <w:r w:rsidRPr="00B84A63">
        <w:rPr>
          <w:rFonts w:cs="Arial"/>
          <w:rtl/>
        </w:rPr>
        <w:t xml:space="preserve"> </w:t>
      </w:r>
      <w:r w:rsidRPr="003F0EA1">
        <w:rPr>
          <w:rFonts w:cs="Arial"/>
          <w:sz w:val="16"/>
          <w:szCs w:val="16"/>
          <w:rtl/>
        </w:rPr>
        <w:t>(</w:t>
      </w:r>
      <w:r w:rsidRPr="003F0EA1">
        <w:rPr>
          <w:rFonts w:cs="Arial" w:hint="cs"/>
          <w:sz w:val="16"/>
          <w:szCs w:val="16"/>
          <w:rtl/>
        </w:rPr>
        <w:t>ח</w:t>
      </w:r>
      <w:r w:rsidRPr="003F0EA1">
        <w:rPr>
          <w:rFonts w:cs="Arial"/>
          <w:sz w:val="16"/>
          <w:szCs w:val="16"/>
          <w:rtl/>
        </w:rPr>
        <w:t>"</w:t>
      </w:r>
      <w:r w:rsidRPr="003F0EA1">
        <w:rPr>
          <w:rFonts w:cs="Arial" w:hint="cs"/>
          <w:sz w:val="16"/>
          <w:szCs w:val="16"/>
          <w:rtl/>
        </w:rPr>
        <w:t>ד</w:t>
      </w:r>
      <w:r w:rsidRPr="003F0EA1">
        <w:rPr>
          <w:rFonts w:cs="Arial"/>
          <w:sz w:val="16"/>
          <w:szCs w:val="16"/>
          <w:rtl/>
        </w:rPr>
        <w:t xml:space="preserve"> </w:t>
      </w:r>
      <w:r w:rsidRPr="003F0EA1">
        <w:rPr>
          <w:rFonts w:cs="Arial" w:hint="cs"/>
          <w:sz w:val="16"/>
          <w:szCs w:val="16"/>
          <w:rtl/>
        </w:rPr>
        <w:t>סי</w:t>
      </w:r>
      <w:r w:rsidRPr="003F0EA1">
        <w:rPr>
          <w:rFonts w:cs="Arial"/>
          <w:sz w:val="16"/>
          <w:szCs w:val="16"/>
          <w:rtl/>
        </w:rPr>
        <w:t xml:space="preserve">' </w:t>
      </w:r>
      <w:r w:rsidRPr="003F0EA1">
        <w:rPr>
          <w:rFonts w:cs="Arial" w:hint="cs"/>
          <w:sz w:val="16"/>
          <w:szCs w:val="16"/>
          <w:rtl/>
        </w:rPr>
        <w:t>קצז</w:t>
      </w:r>
      <w:r w:rsidRPr="003F0EA1">
        <w:rPr>
          <w:rFonts w:cs="Arial"/>
          <w:sz w:val="16"/>
          <w:szCs w:val="16"/>
          <w:rtl/>
        </w:rPr>
        <w:t>)</w:t>
      </w:r>
      <w:r w:rsidR="00A82951">
        <w:rPr>
          <w:rFonts w:cs="Arial" w:hint="cs"/>
          <w:rtl/>
        </w:rPr>
        <w:t>-</w:t>
      </w:r>
      <w:r>
        <w:rPr>
          <w:rFonts w:cs="Arial" w:hint="cs"/>
          <w:rtl/>
        </w:rPr>
        <w:t xml:space="preserve"> </w:t>
      </w:r>
      <w:r w:rsidRPr="00B84A63">
        <w:rPr>
          <w:rFonts w:cs="Arial" w:hint="cs"/>
          <w:rtl/>
        </w:rPr>
        <w:t>אשה</w:t>
      </w:r>
      <w:r w:rsidRPr="00B84A63">
        <w:rPr>
          <w:rFonts w:cs="Arial"/>
          <w:rtl/>
        </w:rPr>
        <w:t xml:space="preserve"> </w:t>
      </w:r>
      <w:r w:rsidRPr="00B84A63">
        <w:rPr>
          <w:rFonts w:cs="Arial" w:hint="cs"/>
          <w:rtl/>
        </w:rPr>
        <w:t>שנולדה</w:t>
      </w:r>
      <w:r w:rsidRPr="00B84A63">
        <w:rPr>
          <w:rFonts w:cs="Arial"/>
          <w:rtl/>
        </w:rPr>
        <w:t xml:space="preserve"> </w:t>
      </w:r>
      <w:r w:rsidRPr="00B84A63">
        <w:rPr>
          <w:rFonts w:cs="Arial" w:hint="cs"/>
          <w:rtl/>
        </w:rPr>
        <w:t>בנרבונה</w:t>
      </w:r>
      <w:r>
        <w:rPr>
          <w:rFonts w:cs="Arial" w:hint="cs"/>
          <w:rtl/>
        </w:rPr>
        <w:t>,</w:t>
      </w:r>
      <w:r w:rsidRPr="00B84A63">
        <w:rPr>
          <w:rFonts w:cs="Arial"/>
          <w:rtl/>
        </w:rPr>
        <w:t xml:space="preserve"> </w:t>
      </w:r>
      <w:r w:rsidRPr="00B84A63">
        <w:rPr>
          <w:rFonts w:cs="Arial" w:hint="cs"/>
          <w:rtl/>
        </w:rPr>
        <w:t>ונתרבתה</w:t>
      </w:r>
      <w:r w:rsidRPr="00B84A63">
        <w:rPr>
          <w:rFonts w:cs="Arial"/>
          <w:rtl/>
        </w:rPr>
        <w:t xml:space="preserve"> </w:t>
      </w:r>
      <w:r w:rsidRPr="00B84A63">
        <w:rPr>
          <w:rFonts w:cs="Arial" w:hint="cs"/>
          <w:rtl/>
        </w:rPr>
        <w:t>במרשיליא</w:t>
      </w:r>
      <w:r>
        <w:rPr>
          <w:rFonts w:cs="Arial" w:hint="cs"/>
          <w:rtl/>
        </w:rPr>
        <w:t>,</w:t>
      </w:r>
      <w:r w:rsidRPr="00B84A63">
        <w:rPr>
          <w:rFonts w:cs="Arial"/>
          <w:rtl/>
        </w:rPr>
        <w:t xml:space="preserve"> </w:t>
      </w:r>
      <w:r w:rsidRPr="00B84A63">
        <w:rPr>
          <w:rFonts w:cs="Arial" w:hint="cs"/>
          <w:rtl/>
        </w:rPr>
        <w:t>וכתב</w:t>
      </w:r>
      <w:r w:rsidRPr="00B84A63">
        <w:rPr>
          <w:rFonts w:cs="Arial"/>
          <w:rtl/>
        </w:rPr>
        <w:t xml:space="preserve"> </w:t>
      </w:r>
      <w:r w:rsidRPr="00B84A63">
        <w:rPr>
          <w:rFonts w:cs="Arial" w:hint="cs"/>
          <w:rtl/>
        </w:rPr>
        <w:t>בגט</w:t>
      </w:r>
      <w:r w:rsidRPr="00B84A63">
        <w:rPr>
          <w:rFonts w:cs="Arial"/>
          <w:rtl/>
        </w:rPr>
        <w:t xml:space="preserve"> </w:t>
      </w:r>
      <w:r w:rsidRPr="00B84A63">
        <w:rPr>
          <w:rFonts w:cs="Arial" w:hint="cs"/>
          <w:rtl/>
        </w:rPr>
        <w:t>שנולדה</w:t>
      </w:r>
      <w:r w:rsidRPr="00B84A63">
        <w:rPr>
          <w:rFonts w:cs="Arial"/>
          <w:rtl/>
        </w:rPr>
        <w:t xml:space="preserve"> </w:t>
      </w:r>
      <w:r w:rsidRPr="00B84A63">
        <w:rPr>
          <w:rFonts w:cs="Arial" w:hint="cs"/>
          <w:rtl/>
        </w:rPr>
        <w:t>במרשיליא</w:t>
      </w:r>
      <w:r>
        <w:rPr>
          <w:rFonts w:cs="Arial" w:hint="cs"/>
          <w:rtl/>
        </w:rPr>
        <w:t>.</w:t>
      </w:r>
      <w:r w:rsidRPr="00B84A63">
        <w:rPr>
          <w:rFonts w:cs="Arial"/>
          <w:rtl/>
        </w:rPr>
        <w:t xml:space="preserve"> </w:t>
      </w:r>
      <w:r w:rsidRPr="00B84A63">
        <w:rPr>
          <w:rFonts w:cs="Arial" w:hint="cs"/>
          <w:rtl/>
        </w:rPr>
        <w:t>אף</w:t>
      </w:r>
      <w:r w:rsidRPr="00B84A63">
        <w:rPr>
          <w:rFonts w:cs="Arial"/>
          <w:rtl/>
        </w:rPr>
        <w:t xml:space="preserve"> </w:t>
      </w:r>
      <w:r w:rsidRPr="00B84A63">
        <w:rPr>
          <w:rFonts w:cs="Arial" w:hint="cs"/>
          <w:rtl/>
        </w:rPr>
        <w:t>אם</w:t>
      </w:r>
      <w:r w:rsidRPr="00B84A63">
        <w:rPr>
          <w:rFonts w:cs="Arial"/>
          <w:rtl/>
        </w:rPr>
        <w:t xml:space="preserve"> </w:t>
      </w:r>
      <w:r w:rsidRPr="00B84A63">
        <w:rPr>
          <w:rFonts w:cs="Arial" w:hint="cs"/>
          <w:rtl/>
        </w:rPr>
        <w:t>תמצא</w:t>
      </w:r>
      <w:r w:rsidRPr="00B84A63">
        <w:rPr>
          <w:rFonts w:cs="Arial"/>
          <w:rtl/>
        </w:rPr>
        <w:t xml:space="preserve"> </w:t>
      </w:r>
      <w:r w:rsidRPr="00B84A63">
        <w:rPr>
          <w:rFonts w:cs="Arial" w:hint="cs"/>
          <w:rtl/>
        </w:rPr>
        <w:t>לומר</w:t>
      </w:r>
      <w:r w:rsidRPr="00B84A63">
        <w:rPr>
          <w:rFonts w:cs="Arial"/>
          <w:rtl/>
        </w:rPr>
        <w:t xml:space="preserve"> </w:t>
      </w:r>
      <w:r w:rsidRPr="00B84A63">
        <w:rPr>
          <w:rFonts w:cs="Arial" w:hint="cs"/>
          <w:rtl/>
        </w:rPr>
        <w:t>שאין</w:t>
      </w:r>
      <w:r w:rsidRPr="00B84A63">
        <w:rPr>
          <w:rFonts w:cs="Arial"/>
          <w:rtl/>
        </w:rPr>
        <w:t xml:space="preserve"> </w:t>
      </w:r>
      <w:r w:rsidRPr="00B84A63">
        <w:rPr>
          <w:rFonts w:cs="Arial" w:hint="cs"/>
          <w:rtl/>
        </w:rPr>
        <w:t>שם</w:t>
      </w:r>
      <w:r w:rsidRPr="00B84A63">
        <w:rPr>
          <w:rFonts w:cs="Arial"/>
          <w:rtl/>
        </w:rPr>
        <w:t xml:space="preserve"> </w:t>
      </w:r>
      <w:r w:rsidRPr="00B84A63">
        <w:rPr>
          <w:rFonts w:cs="Arial" w:hint="cs"/>
          <w:rtl/>
        </w:rPr>
        <w:t>עירו</w:t>
      </w:r>
      <w:r w:rsidRPr="00B84A63">
        <w:rPr>
          <w:rFonts w:cs="Arial"/>
          <w:rtl/>
        </w:rPr>
        <w:t xml:space="preserve"> </w:t>
      </w:r>
      <w:r w:rsidRPr="00B84A63">
        <w:rPr>
          <w:rFonts w:cs="Arial" w:hint="cs"/>
          <w:rtl/>
        </w:rPr>
        <w:t>ושם</w:t>
      </w:r>
      <w:r w:rsidRPr="00B84A63">
        <w:rPr>
          <w:rFonts w:cs="Arial"/>
          <w:rtl/>
        </w:rPr>
        <w:t xml:space="preserve"> </w:t>
      </w:r>
      <w:r w:rsidRPr="00B84A63">
        <w:rPr>
          <w:rFonts w:cs="Arial" w:hint="cs"/>
          <w:rtl/>
        </w:rPr>
        <w:t>עירה</w:t>
      </w:r>
      <w:r w:rsidRPr="00B84A63">
        <w:rPr>
          <w:rFonts w:cs="Arial"/>
          <w:rtl/>
        </w:rPr>
        <w:t xml:space="preserve"> </w:t>
      </w:r>
      <w:r w:rsidRPr="00B84A63">
        <w:rPr>
          <w:rFonts w:cs="Arial" w:hint="cs"/>
          <w:rtl/>
        </w:rPr>
        <w:t>מעכב</w:t>
      </w:r>
      <w:r>
        <w:rPr>
          <w:rFonts w:cs="Arial" w:hint="cs"/>
          <w:rtl/>
        </w:rPr>
        <w:t>,</w:t>
      </w:r>
      <w:r w:rsidRPr="00B84A63">
        <w:rPr>
          <w:rFonts w:cs="Arial"/>
          <w:rtl/>
        </w:rPr>
        <w:t xml:space="preserve"> </w:t>
      </w:r>
      <w:r w:rsidRPr="00B84A63">
        <w:rPr>
          <w:rFonts w:cs="Arial" w:hint="cs"/>
          <w:rtl/>
        </w:rPr>
        <w:t>מכל</w:t>
      </w:r>
      <w:r w:rsidRPr="00B84A63">
        <w:rPr>
          <w:rFonts w:cs="Arial"/>
          <w:rtl/>
        </w:rPr>
        <w:t xml:space="preserve"> </w:t>
      </w:r>
      <w:r w:rsidRPr="00B84A63">
        <w:rPr>
          <w:rFonts w:cs="Arial" w:hint="cs"/>
          <w:rtl/>
        </w:rPr>
        <w:t>מקום</w:t>
      </w:r>
      <w:r w:rsidRPr="00B84A63">
        <w:rPr>
          <w:rFonts w:cs="Arial"/>
          <w:rtl/>
        </w:rPr>
        <w:t xml:space="preserve"> </w:t>
      </w:r>
      <w:r w:rsidRPr="00B84A63">
        <w:rPr>
          <w:rFonts w:cs="Arial" w:hint="cs"/>
          <w:rtl/>
        </w:rPr>
        <w:t>במשנה</w:t>
      </w:r>
      <w:r w:rsidRPr="00B84A63">
        <w:rPr>
          <w:rFonts w:cs="Arial"/>
          <w:rtl/>
        </w:rPr>
        <w:t xml:space="preserve"> </w:t>
      </w:r>
      <w:r w:rsidR="00A82951">
        <w:rPr>
          <w:rFonts w:cs="Arial" w:hint="cs"/>
          <w:rtl/>
        </w:rPr>
        <w:t>-</w:t>
      </w:r>
      <w:r>
        <w:rPr>
          <w:rFonts w:cs="Arial" w:hint="cs"/>
          <w:rtl/>
        </w:rPr>
        <w:t xml:space="preserve"> </w:t>
      </w:r>
      <w:r w:rsidRPr="00B84A63">
        <w:rPr>
          <w:rFonts w:cs="Arial" w:hint="cs"/>
          <w:rtl/>
        </w:rPr>
        <w:t>ודאי</w:t>
      </w:r>
      <w:r w:rsidRPr="00B84A63">
        <w:rPr>
          <w:rFonts w:cs="Arial"/>
          <w:rtl/>
        </w:rPr>
        <w:t xml:space="preserve"> </w:t>
      </w:r>
      <w:r w:rsidRPr="00B84A63">
        <w:rPr>
          <w:rFonts w:cs="Arial" w:hint="cs"/>
          <w:rtl/>
        </w:rPr>
        <w:t>פסול</w:t>
      </w:r>
      <w:r>
        <w:rPr>
          <w:rFonts w:cs="Arial" w:hint="cs"/>
          <w:rtl/>
        </w:rPr>
        <w:t>.</w:t>
      </w:r>
      <w:r w:rsidRPr="00B84A63">
        <w:rPr>
          <w:rFonts w:cs="Arial"/>
          <w:rtl/>
        </w:rPr>
        <w:t xml:space="preserve"> </w:t>
      </w:r>
      <w:r w:rsidRPr="00B84A63">
        <w:rPr>
          <w:rFonts w:cs="Arial" w:hint="cs"/>
          <w:rtl/>
        </w:rPr>
        <w:t>דהא</w:t>
      </w:r>
      <w:r w:rsidRPr="00B84A63">
        <w:rPr>
          <w:rFonts w:cs="Arial"/>
          <w:rtl/>
        </w:rPr>
        <w:t xml:space="preserve"> </w:t>
      </w:r>
      <w:r w:rsidRPr="00B84A63">
        <w:rPr>
          <w:rFonts w:cs="Arial" w:hint="cs"/>
          <w:rtl/>
        </w:rPr>
        <w:t>קתני</w:t>
      </w:r>
      <w:r w:rsidRPr="00B84A63">
        <w:rPr>
          <w:rFonts w:cs="Arial"/>
          <w:rtl/>
        </w:rPr>
        <w:t xml:space="preserve"> </w:t>
      </w:r>
      <w:r w:rsidRPr="00B84A63">
        <w:rPr>
          <w:rFonts w:cs="Arial" w:hint="cs"/>
          <w:rtl/>
        </w:rPr>
        <w:t>בהזורק</w:t>
      </w:r>
      <w:r w:rsidRPr="00B84A63">
        <w:rPr>
          <w:rFonts w:cs="Arial"/>
          <w:rtl/>
        </w:rPr>
        <w:t xml:space="preserve"> (</w:t>
      </w:r>
      <w:r w:rsidRPr="00B84A63">
        <w:rPr>
          <w:rFonts w:cs="Arial" w:hint="cs"/>
          <w:rtl/>
        </w:rPr>
        <w:t>פ</w:t>
      </w:r>
      <w:r w:rsidRPr="00B84A63">
        <w:rPr>
          <w:rFonts w:cs="Arial"/>
          <w:rtl/>
        </w:rPr>
        <w:t xml:space="preserve">.) </w:t>
      </w:r>
      <w:r w:rsidRPr="00B84A63">
        <w:rPr>
          <w:rFonts w:cs="Arial" w:hint="cs"/>
          <w:rtl/>
        </w:rPr>
        <w:t>שינה</w:t>
      </w:r>
      <w:r w:rsidRPr="00B84A63">
        <w:rPr>
          <w:rFonts w:cs="Arial"/>
          <w:rtl/>
        </w:rPr>
        <w:t xml:space="preserve"> </w:t>
      </w:r>
      <w:r w:rsidRPr="00B84A63">
        <w:rPr>
          <w:rFonts w:cs="Arial" w:hint="cs"/>
          <w:rtl/>
        </w:rPr>
        <w:t>שמו</w:t>
      </w:r>
      <w:r w:rsidRPr="00B84A63">
        <w:rPr>
          <w:rFonts w:cs="Arial"/>
          <w:rtl/>
        </w:rPr>
        <w:t xml:space="preserve"> </w:t>
      </w:r>
      <w:r w:rsidRPr="00B84A63">
        <w:rPr>
          <w:rFonts w:cs="Arial" w:hint="cs"/>
          <w:rtl/>
        </w:rPr>
        <w:t>ושמה</w:t>
      </w:r>
      <w:r w:rsidRPr="00B84A63">
        <w:rPr>
          <w:rFonts w:cs="Arial"/>
          <w:rtl/>
        </w:rPr>
        <w:t xml:space="preserve"> </w:t>
      </w:r>
      <w:r w:rsidRPr="00B84A63">
        <w:rPr>
          <w:rFonts w:cs="Arial" w:hint="cs"/>
          <w:rtl/>
        </w:rPr>
        <w:t>שם</w:t>
      </w:r>
      <w:r w:rsidRPr="00B84A63">
        <w:rPr>
          <w:rFonts w:cs="Arial"/>
          <w:rtl/>
        </w:rPr>
        <w:t xml:space="preserve"> </w:t>
      </w:r>
      <w:r w:rsidRPr="00B84A63">
        <w:rPr>
          <w:rFonts w:cs="Arial" w:hint="cs"/>
          <w:rtl/>
        </w:rPr>
        <w:t>עירו</w:t>
      </w:r>
      <w:r w:rsidRPr="00B84A63">
        <w:rPr>
          <w:rFonts w:cs="Arial"/>
          <w:rtl/>
        </w:rPr>
        <w:t xml:space="preserve"> </w:t>
      </w:r>
      <w:r w:rsidRPr="00B84A63">
        <w:rPr>
          <w:rFonts w:cs="Arial" w:hint="cs"/>
          <w:rtl/>
        </w:rPr>
        <w:t>ושם</w:t>
      </w:r>
      <w:r w:rsidRPr="00B84A63">
        <w:rPr>
          <w:rFonts w:cs="Arial"/>
          <w:rtl/>
        </w:rPr>
        <w:t xml:space="preserve"> </w:t>
      </w:r>
      <w:r w:rsidRPr="00B84A63">
        <w:rPr>
          <w:rFonts w:cs="Arial" w:hint="cs"/>
          <w:rtl/>
        </w:rPr>
        <w:t>עירה</w:t>
      </w:r>
      <w:r w:rsidRPr="00B84A63">
        <w:rPr>
          <w:rFonts w:cs="Arial"/>
          <w:rtl/>
        </w:rPr>
        <w:t xml:space="preserve"> </w:t>
      </w:r>
      <w:r w:rsidRPr="00B84A63">
        <w:rPr>
          <w:rFonts w:cs="Arial" w:hint="cs"/>
          <w:rtl/>
        </w:rPr>
        <w:t>תצא</w:t>
      </w:r>
      <w:r w:rsidRPr="00B84A63">
        <w:rPr>
          <w:rFonts w:cs="Arial"/>
          <w:rtl/>
        </w:rPr>
        <w:t xml:space="preserve"> </w:t>
      </w:r>
      <w:r w:rsidRPr="00B84A63">
        <w:rPr>
          <w:rFonts w:cs="Arial" w:hint="cs"/>
          <w:rtl/>
        </w:rPr>
        <w:t>מזה</w:t>
      </w:r>
      <w:r w:rsidRPr="00B84A63">
        <w:rPr>
          <w:rFonts w:cs="Arial"/>
          <w:rtl/>
        </w:rPr>
        <w:t xml:space="preserve"> </w:t>
      </w:r>
      <w:r w:rsidRPr="00B84A63">
        <w:rPr>
          <w:rFonts w:cs="Arial" w:hint="cs"/>
          <w:rtl/>
        </w:rPr>
        <w:t>ומזה</w:t>
      </w:r>
      <w:r w:rsidRPr="00B84A63">
        <w:rPr>
          <w:rFonts w:cs="Arial"/>
          <w:rtl/>
        </w:rPr>
        <w:t xml:space="preserve"> </w:t>
      </w:r>
      <w:r w:rsidRPr="00B84A63">
        <w:rPr>
          <w:rFonts w:cs="Arial" w:hint="cs"/>
          <w:rtl/>
        </w:rPr>
        <w:t>וכו</w:t>
      </w:r>
      <w:r w:rsidRPr="00B84A63">
        <w:rPr>
          <w:rFonts w:cs="Arial"/>
          <w:rtl/>
        </w:rPr>
        <w:t>'</w:t>
      </w:r>
      <w:r>
        <w:rPr>
          <w:rFonts w:cs="Arial" w:hint="cs"/>
          <w:rtl/>
        </w:rPr>
        <w:t>,</w:t>
      </w:r>
      <w:r w:rsidRPr="00B84A63">
        <w:rPr>
          <w:rFonts w:cs="Arial"/>
          <w:rtl/>
        </w:rPr>
        <w:t xml:space="preserve"> </w:t>
      </w:r>
      <w:r w:rsidRPr="00B84A63">
        <w:rPr>
          <w:rFonts w:cs="Arial" w:hint="cs"/>
          <w:rtl/>
        </w:rPr>
        <w:t>וכשתיקן</w:t>
      </w:r>
      <w:r w:rsidRPr="00B84A63">
        <w:rPr>
          <w:rFonts w:cs="Arial"/>
          <w:rtl/>
        </w:rPr>
        <w:t xml:space="preserve"> </w:t>
      </w:r>
      <w:r w:rsidRPr="00B84A63">
        <w:rPr>
          <w:rFonts w:cs="Arial" w:hint="cs"/>
          <w:rtl/>
        </w:rPr>
        <w:t>רבן</w:t>
      </w:r>
      <w:r w:rsidRPr="00B84A63">
        <w:rPr>
          <w:rFonts w:cs="Arial"/>
          <w:rtl/>
        </w:rPr>
        <w:t xml:space="preserve"> </w:t>
      </w:r>
      <w:r w:rsidRPr="00B84A63">
        <w:rPr>
          <w:rFonts w:cs="Arial" w:hint="cs"/>
          <w:rtl/>
        </w:rPr>
        <w:t>גמליאל</w:t>
      </w:r>
      <w:r w:rsidRPr="00B84A63">
        <w:rPr>
          <w:rFonts w:cs="Arial"/>
          <w:rtl/>
        </w:rPr>
        <w:t xml:space="preserve"> </w:t>
      </w:r>
      <w:r w:rsidRPr="00B84A63">
        <w:rPr>
          <w:rFonts w:cs="Arial" w:hint="cs"/>
          <w:rtl/>
        </w:rPr>
        <w:t>שיהא</w:t>
      </w:r>
      <w:r w:rsidRPr="00B84A63">
        <w:rPr>
          <w:rFonts w:cs="Arial"/>
          <w:rtl/>
        </w:rPr>
        <w:t xml:space="preserve"> </w:t>
      </w:r>
      <w:r w:rsidRPr="00B84A63">
        <w:rPr>
          <w:rFonts w:cs="Arial" w:hint="cs"/>
          <w:rtl/>
        </w:rPr>
        <w:t>כותב</w:t>
      </w:r>
      <w:r w:rsidRPr="00B84A63">
        <w:rPr>
          <w:rFonts w:cs="Arial"/>
          <w:rtl/>
        </w:rPr>
        <w:t xml:space="preserve"> </w:t>
      </w:r>
      <w:r w:rsidRPr="00B84A63">
        <w:rPr>
          <w:rFonts w:cs="Arial" w:hint="cs"/>
          <w:rtl/>
        </w:rPr>
        <w:t>איש</w:t>
      </w:r>
      <w:r w:rsidRPr="00B84A63">
        <w:rPr>
          <w:rFonts w:cs="Arial"/>
          <w:rtl/>
        </w:rPr>
        <w:t xml:space="preserve"> </w:t>
      </w:r>
      <w:r w:rsidRPr="00B84A63">
        <w:rPr>
          <w:rFonts w:cs="Arial" w:hint="cs"/>
          <w:rtl/>
        </w:rPr>
        <w:t>פלוני</w:t>
      </w:r>
      <w:r w:rsidRPr="00B84A63">
        <w:rPr>
          <w:rFonts w:cs="Arial"/>
          <w:rtl/>
        </w:rPr>
        <w:t xml:space="preserve"> </w:t>
      </w:r>
      <w:r w:rsidRPr="00B84A63">
        <w:rPr>
          <w:rFonts w:cs="Arial" w:hint="cs"/>
          <w:rtl/>
        </w:rPr>
        <w:t>וכל</w:t>
      </w:r>
      <w:r w:rsidRPr="00B84A63">
        <w:rPr>
          <w:rFonts w:cs="Arial"/>
          <w:rtl/>
        </w:rPr>
        <w:t xml:space="preserve"> </w:t>
      </w:r>
      <w:r w:rsidRPr="00B84A63">
        <w:rPr>
          <w:rFonts w:cs="Arial" w:hint="cs"/>
          <w:rtl/>
        </w:rPr>
        <w:t>שם</w:t>
      </w:r>
      <w:r w:rsidRPr="00B84A63">
        <w:rPr>
          <w:rFonts w:cs="Arial"/>
          <w:rtl/>
        </w:rPr>
        <w:t xml:space="preserve"> </w:t>
      </w:r>
      <w:r w:rsidRPr="00B84A63">
        <w:rPr>
          <w:rFonts w:cs="Arial" w:hint="cs"/>
          <w:rtl/>
        </w:rPr>
        <w:t>שיש</w:t>
      </w:r>
      <w:r w:rsidRPr="00B84A63">
        <w:rPr>
          <w:rFonts w:cs="Arial"/>
          <w:rtl/>
        </w:rPr>
        <w:t xml:space="preserve"> </w:t>
      </w:r>
      <w:r w:rsidRPr="00B84A63">
        <w:rPr>
          <w:rFonts w:cs="Arial" w:hint="cs"/>
          <w:rtl/>
        </w:rPr>
        <w:t>לו</w:t>
      </w:r>
      <w:r>
        <w:rPr>
          <w:rFonts w:cs="Arial" w:hint="cs"/>
          <w:rtl/>
        </w:rPr>
        <w:t>,</w:t>
      </w:r>
      <w:r w:rsidRPr="00B84A63">
        <w:rPr>
          <w:rFonts w:cs="Arial"/>
          <w:rtl/>
        </w:rPr>
        <w:t xml:space="preserve"> </w:t>
      </w:r>
      <w:r w:rsidRPr="00B84A63">
        <w:rPr>
          <w:rFonts w:cs="Arial" w:hint="cs"/>
          <w:rtl/>
        </w:rPr>
        <w:t>אפשר</w:t>
      </w:r>
      <w:r w:rsidRPr="00B84A63">
        <w:rPr>
          <w:rFonts w:cs="Arial"/>
          <w:rtl/>
        </w:rPr>
        <w:t xml:space="preserve"> </w:t>
      </w:r>
      <w:r w:rsidRPr="00B84A63">
        <w:rPr>
          <w:rFonts w:cs="Arial" w:hint="cs"/>
          <w:rtl/>
        </w:rPr>
        <w:t>שגם</w:t>
      </w:r>
      <w:r w:rsidRPr="00B84A63">
        <w:rPr>
          <w:rFonts w:cs="Arial"/>
          <w:rtl/>
        </w:rPr>
        <w:t xml:space="preserve"> </w:t>
      </w:r>
      <w:r w:rsidRPr="00B84A63">
        <w:rPr>
          <w:rFonts w:cs="Arial" w:hint="cs"/>
          <w:rtl/>
        </w:rPr>
        <w:t>כן</w:t>
      </w:r>
      <w:r w:rsidRPr="00B84A63">
        <w:rPr>
          <w:rFonts w:cs="Arial"/>
          <w:rtl/>
        </w:rPr>
        <w:t xml:space="preserve"> </w:t>
      </w:r>
      <w:r w:rsidRPr="00B84A63">
        <w:rPr>
          <w:rFonts w:cs="Arial" w:hint="cs"/>
          <w:rtl/>
        </w:rPr>
        <w:t>תיקן</w:t>
      </w:r>
      <w:r w:rsidRPr="00B84A63">
        <w:rPr>
          <w:rFonts w:cs="Arial"/>
          <w:rtl/>
        </w:rPr>
        <w:t xml:space="preserve"> </w:t>
      </w:r>
      <w:r w:rsidRPr="00B84A63">
        <w:rPr>
          <w:rFonts w:cs="Arial" w:hint="cs"/>
          <w:rtl/>
        </w:rPr>
        <w:t>במקומותיהן</w:t>
      </w:r>
      <w:r w:rsidRPr="00B84A63">
        <w:rPr>
          <w:rFonts w:cs="Arial"/>
          <w:rtl/>
        </w:rPr>
        <w:t xml:space="preserve"> </w:t>
      </w:r>
      <w:r w:rsidRPr="00B84A63">
        <w:rPr>
          <w:rFonts w:cs="Arial" w:hint="cs"/>
          <w:rtl/>
        </w:rPr>
        <w:t>שצריך</w:t>
      </w:r>
      <w:r w:rsidRPr="00B84A63">
        <w:rPr>
          <w:rFonts w:cs="Arial"/>
          <w:rtl/>
        </w:rPr>
        <w:t xml:space="preserve"> </w:t>
      </w:r>
      <w:r w:rsidRPr="00B84A63">
        <w:rPr>
          <w:rFonts w:cs="Arial" w:hint="cs"/>
          <w:rtl/>
        </w:rPr>
        <w:t>להזכיר</w:t>
      </w:r>
      <w:r w:rsidRPr="00B84A63">
        <w:rPr>
          <w:rFonts w:cs="Arial"/>
          <w:rtl/>
        </w:rPr>
        <w:t xml:space="preserve"> </w:t>
      </w:r>
      <w:r w:rsidRPr="00B84A63">
        <w:rPr>
          <w:rFonts w:cs="Arial" w:hint="cs"/>
          <w:rtl/>
        </w:rPr>
        <w:t>בגט</w:t>
      </w:r>
      <w:r w:rsidRPr="00B84A63">
        <w:rPr>
          <w:rFonts w:cs="Arial"/>
          <w:rtl/>
        </w:rPr>
        <w:t xml:space="preserve"> </w:t>
      </w:r>
      <w:r w:rsidRPr="00B84A63">
        <w:rPr>
          <w:rFonts w:cs="Arial" w:hint="cs"/>
          <w:rtl/>
        </w:rPr>
        <w:t>כל</w:t>
      </w:r>
      <w:r w:rsidRPr="00B84A63">
        <w:rPr>
          <w:rFonts w:cs="Arial"/>
          <w:rtl/>
        </w:rPr>
        <w:t xml:space="preserve"> </w:t>
      </w:r>
      <w:r w:rsidRPr="00B84A63">
        <w:rPr>
          <w:rFonts w:cs="Arial" w:hint="cs"/>
          <w:rtl/>
        </w:rPr>
        <w:t>המקומות</w:t>
      </w:r>
      <w:r w:rsidRPr="00B84A63">
        <w:rPr>
          <w:rFonts w:cs="Arial"/>
          <w:rtl/>
        </w:rPr>
        <w:t xml:space="preserve"> </w:t>
      </w:r>
      <w:r w:rsidRPr="00B84A63">
        <w:rPr>
          <w:rFonts w:cs="Arial" w:hint="cs"/>
          <w:rtl/>
        </w:rPr>
        <w:t>שדרו</w:t>
      </w:r>
      <w:r w:rsidRPr="00B84A63">
        <w:rPr>
          <w:rFonts w:cs="Arial"/>
          <w:rtl/>
        </w:rPr>
        <w:t xml:space="preserve"> </w:t>
      </w:r>
      <w:r w:rsidRPr="00B84A63">
        <w:rPr>
          <w:rFonts w:cs="Arial" w:hint="cs"/>
          <w:rtl/>
        </w:rPr>
        <w:t>בהם</w:t>
      </w:r>
      <w:r w:rsidRPr="00B84A63">
        <w:rPr>
          <w:rFonts w:cs="Arial"/>
          <w:rtl/>
        </w:rPr>
        <w:t xml:space="preserve"> </w:t>
      </w:r>
      <w:r w:rsidRPr="00B84A63">
        <w:rPr>
          <w:rFonts w:cs="Arial" w:hint="cs"/>
          <w:rtl/>
        </w:rPr>
        <w:t>דירת</w:t>
      </w:r>
      <w:r w:rsidRPr="00B84A63">
        <w:rPr>
          <w:rFonts w:cs="Arial"/>
          <w:rtl/>
        </w:rPr>
        <w:t xml:space="preserve"> </w:t>
      </w:r>
      <w:r w:rsidRPr="00B84A63">
        <w:rPr>
          <w:rFonts w:cs="Arial" w:hint="cs"/>
          <w:rtl/>
        </w:rPr>
        <w:t>קבע</w:t>
      </w:r>
      <w:r>
        <w:rPr>
          <w:rFonts w:cs="Arial" w:hint="cs"/>
          <w:rtl/>
        </w:rPr>
        <w:t>,</w:t>
      </w:r>
      <w:r w:rsidRPr="00B84A63">
        <w:rPr>
          <w:rFonts w:cs="Arial"/>
          <w:rtl/>
        </w:rPr>
        <w:t xml:space="preserve"> </w:t>
      </w:r>
      <w:r w:rsidRPr="00B84A63">
        <w:rPr>
          <w:rFonts w:cs="Arial" w:hint="cs"/>
          <w:rtl/>
        </w:rPr>
        <w:t>וכן</w:t>
      </w:r>
      <w:r w:rsidRPr="00B84A63">
        <w:rPr>
          <w:rFonts w:cs="Arial"/>
          <w:rtl/>
        </w:rPr>
        <w:t xml:space="preserve"> </w:t>
      </w:r>
      <w:r w:rsidRPr="00B84A63">
        <w:rPr>
          <w:rFonts w:cs="Arial" w:hint="cs"/>
          <w:rtl/>
        </w:rPr>
        <w:t>אנו</w:t>
      </w:r>
      <w:r w:rsidRPr="00B84A63">
        <w:rPr>
          <w:rFonts w:cs="Arial"/>
          <w:rtl/>
        </w:rPr>
        <w:t xml:space="preserve"> </w:t>
      </w:r>
      <w:r w:rsidRPr="00B84A63">
        <w:rPr>
          <w:rFonts w:cs="Arial" w:hint="cs"/>
          <w:rtl/>
        </w:rPr>
        <w:t>נוהגים</w:t>
      </w:r>
      <w:r w:rsidRPr="00B84A63">
        <w:rPr>
          <w:rFonts w:cs="Arial"/>
          <w:rtl/>
        </w:rPr>
        <w:t xml:space="preserve"> </w:t>
      </w:r>
      <w:r w:rsidRPr="00B84A63">
        <w:rPr>
          <w:rFonts w:cs="Arial" w:hint="cs"/>
          <w:rtl/>
        </w:rPr>
        <w:t>בגט</w:t>
      </w:r>
      <w:r>
        <w:rPr>
          <w:rStyle w:val="a7"/>
          <w:rFonts w:cs="Arial"/>
          <w:rtl/>
        </w:rPr>
        <w:footnoteReference w:id="972"/>
      </w:r>
      <w:r>
        <w:rPr>
          <w:rFonts w:cs="Arial" w:hint="cs"/>
          <w:rtl/>
        </w:rPr>
        <w:t>.</w:t>
      </w:r>
      <w:r w:rsidRPr="00C301DD">
        <w:rPr>
          <w:rFonts w:cs="Arial"/>
          <w:rtl/>
        </w:rPr>
        <w:t xml:space="preserve"> </w:t>
      </w:r>
    </w:p>
    <w:p w14:paraId="6BF4A2C6" w14:textId="77777777" w:rsidR="00FA2119" w:rsidRPr="00FD6125" w:rsidRDefault="00FA2119" w:rsidP="00FA2119">
      <w:pPr>
        <w:ind w:left="360"/>
        <w:rPr>
          <w:rFonts w:cs="Arial"/>
          <w:u w:val="dotted"/>
          <w:rtl/>
        </w:rPr>
      </w:pPr>
      <w:r w:rsidRPr="00FD6125">
        <w:rPr>
          <w:rFonts w:cs="Arial" w:hint="cs"/>
          <w:u w:val="dotted"/>
          <w:rtl/>
        </w:rPr>
        <w:lastRenderedPageBreak/>
        <w:t>ומה הדין אם שינה מקום העמידה:</w:t>
      </w:r>
    </w:p>
    <w:p w14:paraId="23157679" w14:textId="7F53FFAD" w:rsidR="00FA2119" w:rsidRPr="001B30C3" w:rsidRDefault="00FA2119" w:rsidP="00FA2119">
      <w:pPr>
        <w:pStyle w:val="ab"/>
        <w:numPr>
          <w:ilvl w:val="0"/>
          <w:numId w:val="63"/>
        </w:numPr>
        <w:rPr>
          <w:rFonts w:cs="Arial"/>
          <w:rtl/>
        </w:rPr>
      </w:pPr>
      <w:r>
        <w:rPr>
          <w:rFonts w:cs="Arial" w:hint="cs"/>
          <w:rtl/>
        </w:rPr>
        <w:t>ב"י</w:t>
      </w:r>
      <w:r w:rsidR="00A82951">
        <w:rPr>
          <w:rFonts w:cs="Arial" w:hint="cs"/>
          <w:rtl/>
        </w:rPr>
        <w:t>-</w:t>
      </w:r>
      <w:r>
        <w:rPr>
          <w:rFonts w:cs="Arial" w:hint="cs"/>
          <w:rtl/>
        </w:rPr>
        <w:t xml:space="preserve"> </w:t>
      </w:r>
      <w:r w:rsidRPr="001B30C3">
        <w:rPr>
          <w:rFonts w:cs="Arial" w:hint="cs"/>
          <w:rtl/>
        </w:rPr>
        <w:t>אם</w:t>
      </w:r>
      <w:r w:rsidRPr="001B30C3">
        <w:rPr>
          <w:rFonts w:cs="Arial"/>
          <w:rtl/>
        </w:rPr>
        <w:t xml:space="preserve"> </w:t>
      </w:r>
      <w:r w:rsidRPr="001B30C3">
        <w:rPr>
          <w:rFonts w:cs="Arial" w:hint="cs"/>
          <w:rtl/>
        </w:rPr>
        <w:t>שינה</w:t>
      </w:r>
      <w:r w:rsidRPr="001B30C3">
        <w:rPr>
          <w:rFonts w:cs="Arial"/>
          <w:rtl/>
        </w:rPr>
        <w:t xml:space="preserve"> </w:t>
      </w:r>
      <w:r w:rsidRPr="001B30C3">
        <w:rPr>
          <w:rFonts w:cs="Arial" w:hint="cs"/>
          <w:rtl/>
        </w:rPr>
        <w:t>מקום</w:t>
      </w:r>
      <w:r w:rsidRPr="001B30C3">
        <w:rPr>
          <w:rFonts w:cs="Arial"/>
          <w:rtl/>
        </w:rPr>
        <w:t xml:space="preserve"> </w:t>
      </w:r>
      <w:r w:rsidRPr="001B30C3">
        <w:rPr>
          <w:rFonts w:cs="Arial" w:hint="cs"/>
          <w:rtl/>
        </w:rPr>
        <w:t>העמידה</w:t>
      </w:r>
      <w:r w:rsidRPr="001B30C3">
        <w:rPr>
          <w:rFonts w:cs="Arial"/>
          <w:rtl/>
        </w:rPr>
        <w:t xml:space="preserve"> </w:t>
      </w:r>
      <w:r w:rsidRPr="001B30C3">
        <w:rPr>
          <w:rFonts w:cs="Arial" w:hint="cs"/>
          <w:rtl/>
        </w:rPr>
        <w:t>משמע</w:t>
      </w:r>
      <w:r w:rsidRPr="001B30C3">
        <w:rPr>
          <w:rFonts w:cs="Arial"/>
          <w:rtl/>
        </w:rPr>
        <w:t xml:space="preserve"> </w:t>
      </w:r>
      <w:r w:rsidRPr="001B30C3">
        <w:rPr>
          <w:rFonts w:cs="Arial" w:hint="cs"/>
          <w:rtl/>
        </w:rPr>
        <w:t>מדברי</w:t>
      </w:r>
      <w:r w:rsidRPr="001B30C3">
        <w:rPr>
          <w:rFonts w:cs="Arial"/>
          <w:rtl/>
        </w:rPr>
        <w:t xml:space="preserve"> </w:t>
      </w:r>
      <w:r w:rsidRPr="001B30C3">
        <w:rPr>
          <w:rFonts w:cs="Arial" w:hint="cs"/>
          <w:rtl/>
        </w:rPr>
        <w:t>הספרים</w:t>
      </w:r>
      <w:r w:rsidRPr="001B30C3">
        <w:rPr>
          <w:rFonts w:cs="Arial"/>
          <w:rtl/>
        </w:rPr>
        <w:t xml:space="preserve"> </w:t>
      </w:r>
      <w:r w:rsidRPr="001B30C3">
        <w:rPr>
          <w:rFonts w:cs="Arial" w:hint="cs"/>
          <w:rtl/>
        </w:rPr>
        <w:t>הנזכרים</w:t>
      </w:r>
      <w:r w:rsidRPr="001B30C3">
        <w:rPr>
          <w:rFonts w:cs="Arial"/>
          <w:rtl/>
        </w:rPr>
        <w:t xml:space="preserve"> </w:t>
      </w:r>
      <w:r w:rsidRPr="001B30C3">
        <w:rPr>
          <w:rFonts w:cs="Arial" w:hint="cs"/>
          <w:rtl/>
        </w:rPr>
        <w:t>שדינו</w:t>
      </w:r>
      <w:r w:rsidRPr="001B30C3">
        <w:rPr>
          <w:rFonts w:cs="Arial"/>
          <w:rtl/>
        </w:rPr>
        <w:t xml:space="preserve"> </w:t>
      </w:r>
      <w:r w:rsidRPr="001B30C3">
        <w:rPr>
          <w:rFonts w:cs="Arial" w:hint="cs"/>
          <w:rtl/>
        </w:rPr>
        <w:t>כשינה</w:t>
      </w:r>
      <w:r w:rsidRPr="001B30C3">
        <w:rPr>
          <w:rFonts w:cs="Arial"/>
          <w:rtl/>
        </w:rPr>
        <w:t xml:space="preserve"> </w:t>
      </w:r>
      <w:r w:rsidRPr="001B30C3">
        <w:rPr>
          <w:rFonts w:cs="Arial" w:hint="cs"/>
          <w:rtl/>
        </w:rPr>
        <w:t>מקום</w:t>
      </w:r>
      <w:r w:rsidRPr="001B30C3">
        <w:rPr>
          <w:rFonts w:cs="Arial"/>
          <w:rtl/>
        </w:rPr>
        <w:t xml:space="preserve"> </w:t>
      </w:r>
      <w:r w:rsidRPr="001B30C3">
        <w:rPr>
          <w:rFonts w:cs="Arial" w:hint="cs"/>
          <w:rtl/>
        </w:rPr>
        <w:t>הלידה</w:t>
      </w:r>
      <w:r w:rsidRPr="001B30C3">
        <w:rPr>
          <w:rFonts w:cs="Arial"/>
          <w:rtl/>
        </w:rPr>
        <w:t xml:space="preserve"> </w:t>
      </w:r>
      <w:r w:rsidRPr="001B30C3">
        <w:rPr>
          <w:rFonts w:cs="Arial" w:hint="cs"/>
          <w:rtl/>
        </w:rPr>
        <w:t>וכשר</w:t>
      </w:r>
      <w:r>
        <w:rPr>
          <w:rFonts w:cs="Arial" w:hint="cs"/>
          <w:rtl/>
        </w:rPr>
        <w:t>,</w:t>
      </w:r>
      <w:r w:rsidRPr="001B30C3">
        <w:rPr>
          <w:rFonts w:cs="Arial"/>
          <w:rtl/>
        </w:rPr>
        <w:t xml:space="preserve"> </w:t>
      </w:r>
      <w:r w:rsidRPr="001B30C3">
        <w:rPr>
          <w:rFonts w:cs="Arial" w:hint="cs"/>
          <w:rtl/>
        </w:rPr>
        <w:t>דכל</w:t>
      </w:r>
      <w:r w:rsidRPr="001B30C3">
        <w:rPr>
          <w:rFonts w:cs="Arial"/>
          <w:rtl/>
        </w:rPr>
        <w:t xml:space="preserve"> </w:t>
      </w:r>
      <w:r w:rsidRPr="001B30C3">
        <w:rPr>
          <w:rFonts w:cs="Arial" w:hint="cs"/>
          <w:rtl/>
        </w:rPr>
        <w:t>שאין</w:t>
      </w:r>
      <w:r w:rsidRPr="001B30C3">
        <w:rPr>
          <w:rFonts w:cs="Arial"/>
          <w:rtl/>
        </w:rPr>
        <w:t xml:space="preserve"> </w:t>
      </w:r>
      <w:r w:rsidRPr="001B30C3">
        <w:rPr>
          <w:rFonts w:cs="Arial" w:hint="cs"/>
          <w:rtl/>
        </w:rPr>
        <w:t>צריך</w:t>
      </w:r>
      <w:r w:rsidRPr="001B30C3">
        <w:rPr>
          <w:rFonts w:cs="Arial"/>
          <w:rtl/>
        </w:rPr>
        <w:t xml:space="preserve"> </w:t>
      </w:r>
      <w:r w:rsidRPr="001B30C3">
        <w:rPr>
          <w:rFonts w:cs="Arial" w:hint="cs"/>
          <w:rtl/>
        </w:rPr>
        <w:t>לכתבו</w:t>
      </w:r>
      <w:r w:rsidRPr="001B30C3">
        <w:rPr>
          <w:rFonts w:cs="Arial"/>
          <w:rtl/>
        </w:rPr>
        <w:t xml:space="preserve"> </w:t>
      </w:r>
      <w:r w:rsidRPr="001B30C3">
        <w:rPr>
          <w:rFonts w:cs="Arial" w:hint="cs"/>
          <w:rtl/>
        </w:rPr>
        <w:t>אם</w:t>
      </w:r>
      <w:r w:rsidRPr="001B30C3">
        <w:rPr>
          <w:rFonts w:cs="Arial"/>
          <w:rtl/>
        </w:rPr>
        <w:t xml:space="preserve"> </w:t>
      </w:r>
      <w:r w:rsidRPr="001B30C3">
        <w:rPr>
          <w:rFonts w:cs="Arial" w:hint="cs"/>
          <w:rtl/>
        </w:rPr>
        <w:t>כתוב</w:t>
      </w:r>
      <w:r w:rsidRPr="001B30C3">
        <w:rPr>
          <w:rFonts w:cs="Arial"/>
          <w:rtl/>
        </w:rPr>
        <w:t xml:space="preserve"> </w:t>
      </w:r>
      <w:r w:rsidRPr="001B30C3">
        <w:rPr>
          <w:rFonts w:cs="Arial" w:hint="cs"/>
          <w:rtl/>
        </w:rPr>
        <w:t>בשינוי</w:t>
      </w:r>
      <w:r w:rsidRPr="001B30C3">
        <w:rPr>
          <w:rFonts w:cs="Arial"/>
          <w:rtl/>
        </w:rPr>
        <w:t xml:space="preserve"> </w:t>
      </w:r>
      <w:r w:rsidRPr="001B30C3">
        <w:rPr>
          <w:rFonts w:cs="Arial" w:hint="cs"/>
          <w:rtl/>
        </w:rPr>
        <w:t>כשר</w:t>
      </w:r>
      <w:r w:rsidRPr="001B30C3">
        <w:rPr>
          <w:rFonts w:cs="Arial"/>
          <w:rtl/>
        </w:rPr>
        <w:t xml:space="preserve">. </w:t>
      </w:r>
      <w:r w:rsidRPr="001B30C3">
        <w:rPr>
          <w:rFonts w:cs="Arial" w:hint="cs"/>
          <w:rtl/>
        </w:rPr>
        <w:t>ובדברי</w:t>
      </w:r>
      <w:r w:rsidRPr="001B30C3">
        <w:rPr>
          <w:rFonts w:cs="Arial"/>
          <w:rtl/>
        </w:rPr>
        <w:t xml:space="preserve"> </w:t>
      </w:r>
      <w:r w:rsidRPr="001B30C3">
        <w:rPr>
          <w:rFonts w:cs="Arial" w:hint="cs"/>
          <w:rtl/>
        </w:rPr>
        <w:t>סמ</w:t>
      </w:r>
      <w:r w:rsidRPr="001B30C3">
        <w:rPr>
          <w:rFonts w:cs="Arial"/>
          <w:rtl/>
        </w:rPr>
        <w:t>"</w:t>
      </w:r>
      <w:r w:rsidRPr="001B30C3">
        <w:rPr>
          <w:rFonts w:cs="Arial" w:hint="cs"/>
          <w:rtl/>
        </w:rPr>
        <w:t>ג</w:t>
      </w:r>
      <w:r w:rsidRPr="001B30C3">
        <w:rPr>
          <w:rFonts w:cs="Arial"/>
          <w:rtl/>
        </w:rPr>
        <w:t xml:space="preserve"> (</w:t>
      </w:r>
      <w:r w:rsidRPr="001B30C3">
        <w:rPr>
          <w:rFonts w:cs="Arial" w:hint="cs"/>
          <w:rtl/>
        </w:rPr>
        <w:t>עשין</w:t>
      </w:r>
      <w:r w:rsidRPr="001B30C3">
        <w:rPr>
          <w:rFonts w:cs="Arial"/>
          <w:rtl/>
        </w:rPr>
        <w:t xml:space="preserve"> </w:t>
      </w:r>
      <w:r w:rsidRPr="001B30C3">
        <w:rPr>
          <w:rFonts w:cs="Arial" w:hint="cs"/>
          <w:rtl/>
        </w:rPr>
        <w:t>נ</w:t>
      </w:r>
      <w:r w:rsidRPr="001B30C3">
        <w:rPr>
          <w:rFonts w:cs="Arial"/>
          <w:rtl/>
        </w:rPr>
        <w:t xml:space="preserve"> </w:t>
      </w:r>
      <w:r w:rsidRPr="001B30C3">
        <w:rPr>
          <w:rFonts w:cs="Arial" w:hint="cs"/>
          <w:rtl/>
        </w:rPr>
        <w:t>קלא</w:t>
      </w:r>
      <w:r w:rsidRPr="001B30C3">
        <w:rPr>
          <w:rFonts w:cs="Arial"/>
          <w:rtl/>
        </w:rPr>
        <w:t xml:space="preserve"> </w:t>
      </w:r>
      <w:r w:rsidRPr="001B30C3">
        <w:rPr>
          <w:rFonts w:cs="Arial" w:hint="cs"/>
          <w:rtl/>
        </w:rPr>
        <w:t>ע</w:t>
      </w:r>
      <w:r w:rsidRPr="001B30C3">
        <w:rPr>
          <w:rFonts w:cs="Arial"/>
          <w:rtl/>
        </w:rPr>
        <w:t>"</w:t>
      </w:r>
      <w:r w:rsidRPr="001B30C3">
        <w:rPr>
          <w:rFonts w:cs="Arial" w:hint="cs"/>
          <w:rtl/>
        </w:rPr>
        <w:t>ג</w:t>
      </w:r>
      <w:r w:rsidRPr="001B30C3">
        <w:rPr>
          <w:rFonts w:cs="Arial"/>
          <w:rtl/>
        </w:rPr>
        <w:t xml:space="preserve">) </w:t>
      </w:r>
      <w:r w:rsidRPr="001B30C3">
        <w:rPr>
          <w:rFonts w:cs="Arial" w:hint="cs"/>
          <w:rtl/>
        </w:rPr>
        <w:t>מפורש</w:t>
      </w:r>
      <w:r w:rsidRPr="001B30C3">
        <w:rPr>
          <w:rFonts w:cs="Arial"/>
          <w:rtl/>
        </w:rPr>
        <w:t xml:space="preserve"> </w:t>
      </w:r>
      <w:r w:rsidRPr="001B30C3">
        <w:rPr>
          <w:rFonts w:cs="Arial" w:hint="cs"/>
          <w:rtl/>
        </w:rPr>
        <w:t>יותר</w:t>
      </w:r>
      <w:r w:rsidRPr="001B30C3">
        <w:rPr>
          <w:rFonts w:cs="Arial"/>
          <w:rtl/>
        </w:rPr>
        <w:t xml:space="preserve"> </w:t>
      </w:r>
      <w:r w:rsidRPr="001B30C3">
        <w:rPr>
          <w:rFonts w:cs="Arial" w:hint="cs"/>
          <w:rtl/>
        </w:rPr>
        <w:t>שכתב</w:t>
      </w:r>
      <w:r w:rsidRPr="001B30C3">
        <w:rPr>
          <w:rFonts w:cs="Arial"/>
          <w:rtl/>
        </w:rPr>
        <w:t xml:space="preserve"> </w:t>
      </w:r>
      <w:r w:rsidRPr="001B30C3">
        <w:rPr>
          <w:rFonts w:cs="Arial" w:hint="cs"/>
          <w:rtl/>
        </w:rPr>
        <w:t>שלא</w:t>
      </w:r>
      <w:r w:rsidRPr="001B30C3">
        <w:rPr>
          <w:rFonts w:cs="Arial"/>
          <w:rtl/>
        </w:rPr>
        <w:t xml:space="preserve"> </w:t>
      </w:r>
      <w:r w:rsidRPr="001B30C3">
        <w:rPr>
          <w:rFonts w:cs="Arial" w:hint="cs"/>
          <w:rtl/>
        </w:rPr>
        <w:t>היה</w:t>
      </w:r>
      <w:r w:rsidRPr="001B30C3">
        <w:rPr>
          <w:rFonts w:cs="Arial"/>
          <w:rtl/>
        </w:rPr>
        <w:t xml:space="preserve"> </w:t>
      </w:r>
      <w:r w:rsidRPr="001B30C3">
        <w:rPr>
          <w:rFonts w:cs="Arial" w:hint="cs"/>
          <w:rtl/>
        </w:rPr>
        <w:t>יכול</w:t>
      </w:r>
      <w:r w:rsidRPr="001B30C3">
        <w:rPr>
          <w:rFonts w:cs="Arial"/>
          <w:rtl/>
        </w:rPr>
        <w:t xml:space="preserve"> </w:t>
      </w:r>
      <w:r w:rsidRPr="001B30C3">
        <w:rPr>
          <w:rFonts w:cs="Arial" w:hint="cs"/>
          <w:rtl/>
        </w:rPr>
        <w:t>להעמיד</w:t>
      </w:r>
      <w:r w:rsidRPr="001B30C3">
        <w:rPr>
          <w:rFonts w:cs="Arial"/>
          <w:rtl/>
        </w:rPr>
        <w:t xml:space="preserve"> </w:t>
      </w:r>
      <w:r w:rsidRPr="001B30C3">
        <w:rPr>
          <w:rFonts w:cs="Arial" w:hint="cs"/>
          <w:rtl/>
        </w:rPr>
        <w:t>מתניתין</w:t>
      </w:r>
      <w:r w:rsidRPr="001B30C3">
        <w:rPr>
          <w:rFonts w:cs="Arial"/>
          <w:rtl/>
        </w:rPr>
        <w:t xml:space="preserve"> (</w:t>
      </w:r>
      <w:r w:rsidRPr="001B30C3">
        <w:rPr>
          <w:rFonts w:cs="Arial" w:hint="cs"/>
          <w:rtl/>
        </w:rPr>
        <w:t>עט</w:t>
      </w:r>
      <w:r w:rsidRPr="001B30C3">
        <w:rPr>
          <w:rFonts w:cs="Arial"/>
          <w:rtl/>
        </w:rPr>
        <w:t xml:space="preserve">:) </w:t>
      </w:r>
      <w:r w:rsidRPr="001B30C3">
        <w:rPr>
          <w:rFonts w:cs="Arial" w:hint="cs"/>
          <w:rtl/>
        </w:rPr>
        <w:t>דהיה</w:t>
      </w:r>
      <w:r w:rsidRPr="001B30C3">
        <w:rPr>
          <w:rFonts w:cs="Arial"/>
          <w:rtl/>
        </w:rPr>
        <w:t xml:space="preserve"> </w:t>
      </w:r>
      <w:r w:rsidRPr="001B30C3">
        <w:rPr>
          <w:rFonts w:cs="Arial" w:hint="cs"/>
          <w:rtl/>
        </w:rPr>
        <w:t>במזרח</w:t>
      </w:r>
      <w:r w:rsidRPr="001B30C3">
        <w:rPr>
          <w:rFonts w:cs="Arial"/>
          <w:rtl/>
        </w:rPr>
        <w:t xml:space="preserve"> </w:t>
      </w:r>
      <w:r w:rsidRPr="001B30C3">
        <w:rPr>
          <w:rFonts w:cs="Arial" w:hint="cs"/>
          <w:rtl/>
        </w:rPr>
        <w:t>וכתב</w:t>
      </w:r>
      <w:r w:rsidRPr="001B30C3">
        <w:rPr>
          <w:rFonts w:cs="Arial"/>
          <w:rtl/>
        </w:rPr>
        <w:t xml:space="preserve"> </w:t>
      </w:r>
      <w:r w:rsidRPr="001B30C3">
        <w:rPr>
          <w:rFonts w:cs="Arial" w:hint="cs"/>
          <w:rtl/>
        </w:rPr>
        <w:t>במערב</w:t>
      </w:r>
      <w:r w:rsidRPr="001B30C3">
        <w:rPr>
          <w:rFonts w:cs="Arial"/>
          <w:rtl/>
        </w:rPr>
        <w:t xml:space="preserve"> </w:t>
      </w:r>
      <w:r w:rsidRPr="001B30C3">
        <w:rPr>
          <w:rFonts w:cs="Arial" w:hint="cs"/>
          <w:rtl/>
        </w:rPr>
        <w:t>בבעל</w:t>
      </w:r>
      <w:r>
        <w:rPr>
          <w:rFonts w:cs="Arial" w:hint="cs"/>
          <w:rtl/>
        </w:rPr>
        <w:t>,</w:t>
      </w:r>
      <w:r w:rsidRPr="001B30C3">
        <w:rPr>
          <w:rFonts w:cs="Arial"/>
          <w:rtl/>
        </w:rPr>
        <w:t xml:space="preserve"> </w:t>
      </w:r>
      <w:r w:rsidRPr="001B30C3">
        <w:rPr>
          <w:rFonts w:cs="Arial" w:hint="cs"/>
          <w:rtl/>
        </w:rPr>
        <w:t>ולומר</w:t>
      </w:r>
      <w:r w:rsidRPr="001B30C3">
        <w:rPr>
          <w:rFonts w:cs="Arial"/>
          <w:rtl/>
        </w:rPr>
        <w:t xml:space="preserve"> </w:t>
      </w:r>
      <w:r w:rsidRPr="001B30C3">
        <w:rPr>
          <w:rFonts w:cs="Arial" w:hint="cs"/>
          <w:rtl/>
        </w:rPr>
        <w:t>ששינה</w:t>
      </w:r>
      <w:r w:rsidRPr="001B30C3">
        <w:rPr>
          <w:rFonts w:cs="Arial"/>
          <w:rtl/>
        </w:rPr>
        <w:t xml:space="preserve"> </w:t>
      </w:r>
      <w:r w:rsidRPr="001B30C3">
        <w:rPr>
          <w:rFonts w:cs="Arial" w:hint="cs"/>
          <w:rtl/>
        </w:rPr>
        <w:t>מקום</w:t>
      </w:r>
      <w:r w:rsidRPr="001B30C3">
        <w:rPr>
          <w:rFonts w:cs="Arial"/>
          <w:rtl/>
        </w:rPr>
        <w:t xml:space="preserve"> </w:t>
      </w:r>
      <w:r w:rsidRPr="001B30C3">
        <w:rPr>
          <w:rFonts w:cs="Arial" w:hint="cs"/>
          <w:rtl/>
        </w:rPr>
        <w:t>עמידתו</w:t>
      </w:r>
      <w:r w:rsidRPr="001B30C3">
        <w:rPr>
          <w:rFonts w:cs="Arial"/>
          <w:rtl/>
        </w:rPr>
        <w:t xml:space="preserve"> </w:t>
      </w:r>
      <w:r w:rsidRPr="001B30C3">
        <w:rPr>
          <w:rFonts w:cs="Arial" w:hint="cs"/>
          <w:rtl/>
        </w:rPr>
        <w:t>ביום</w:t>
      </w:r>
      <w:r w:rsidRPr="001B30C3">
        <w:rPr>
          <w:rFonts w:cs="Arial"/>
          <w:rtl/>
        </w:rPr>
        <w:t xml:space="preserve"> </w:t>
      </w:r>
      <w:r w:rsidRPr="001B30C3">
        <w:rPr>
          <w:rFonts w:cs="Arial" w:hint="cs"/>
          <w:rtl/>
        </w:rPr>
        <w:t>כתיבת</w:t>
      </w:r>
      <w:r w:rsidRPr="001B30C3">
        <w:rPr>
          <w:rFonts w:cs="Arial"/>
          <w:rtl/>
        </w:rPr>
        <w:t xml:space="preserve"> </w:t>
      </w:r>
      <w:r w:rsidRPr="001B30C3">
        <w:rPr>
          <w:rFonts w:cs="Arial" w:hint="cs"/>
          <w:rtl/>
        </w:rPr>
        <w:t>הגט</w:t>
      </w:r>
      <w:r>
        <w:rPr>
          <w:rFonts w:cs="Arial" w:hint="cs"/>
          <w:rtl/>
        </w:rPr>
        <w:t>,</w:t>
      </w:r>
      <w:r w:rsidRPr="001B30C3">
        <w:rPr>
          <w:rFonts w:cs="Arial"/>
          <w:rtl/>
        </w:rPr>
        <w:t xml:space="preserve"> </w:t>
      </w:r>
      <w:r w:rsidRPr="001B30C3">
        <w:rPr>
          <w:rFonts w:cs="Arial" w:hint="cs"/>
          <w:rtl/>
        </w:rPr>
        <w:t>משום</w:t>
      </w:r>
      <w:r w:rsidRPr="001B30C3">
        <w:rPr>
          <w:rFonts w:cs="Arial"/>
          <w:rtl/>
        </w:rPr>
        <w:t xml:space="preserve"> </w:t>
      </w:r>
      <w:r w:rsidRPr="001B30C3">
        <w:rPr>
          <w:rFonts w:cs="Arial" w:hint="cs"/>
          <w:rtl/>
        </w:rPr>
        <w:t>דפשיטא</w:t>
      </w:r>
      <w:r w:rsidRPr="001B30C3">
        <w:rPr>
          <w:rFonts w:cs="Arial"/>
          <w:rtl/>
        </w:rPr>
        <w:t xml:space="preserve"> </w:t>
      </w:r>
      <w:r w:rsidRPr="001B30C3">
        <w:rPr>
          <w:rFonts w:cs="Arial" w:hint="cs"/>
          <w:rtl/>
        </w:rPr>
        <w:t>ליה</w:t>
      </w:r>
      <w:r w:rsidRPr="001B30C3">
        <w:rPr>
          <w:rFonts w:cs="Arial"/>
          <w:rtl/>
        </w:rPr>
        <w:t xml:space="preserve"> </w:t>
      </w:r>
      <w:r w:rsidRPr="001B30C3">
        <w:rPr>
          <w:rFonts w:cs="Arial" w:hint="cs"/>
          <w:rtl/>
        </w:rPr>
        <w:t>שאין</w:t>
      </w:r>
      <w:r w:rsidRPr="001B30C3">
        <w:rPr>
          <w:rFonts w:cs="Arial"/>
          <w:rtl/>
        </w:rPr>
        <w:t xml:space="preserve"> </w:t>
      </w:r>
      <w:r w:rsidRPr="001B30C3">
        <w:rPr>
          <w:rFonts w:cs="Arial" w:hint="cs"/>
          <w:rtl/>
        </w:rPr>
        <w:t>לחוש</w:t>
      </w:r>
      <w:r w:rsidRPr="001B30C3">
        <w:rPr>
          <w:rFonts w:cs="Arial"/>
          <w:rtl/>
        </w:rPr>
        <w:t xml:space="preserve"> </w:t>
      </w:r>
      <w:r w:rsidRPr="001B30C3">
        <w:rPr>
          <w:rFonts w:cs="Arial" w:hint="cs"/>
          <w:rtl/>
        </w:rPr>
        <w:t>בענין</w:t>
      </w:r>
      <w:r w:rsidRPr="001B30C3">
        <w:rPr>
          <w:rFonts w:cs="Arial"/>
          <w:rtl/>
        </w:rPr>
        <w:t xml:space="preserve"> </w:t>
      </w:r>
      <w:r w:rsidRPr="001B30C3">
        <w:rPr>
          <w:rFonts w:cs="Arial" w:hint="cs"/>
          <w:rtl/>
        </w:rPr>
        <w:t>הבעל</w:t>
      </w:r>
      <w:r w:rsidRPr="001B30C3">
        <w:rPr>
          <w:rFonts w:cs="Arial"/>
          <w:rtl/>
        </w:rPr>
        <w:t xml:space="preserve"> </w:t>
      </w:r>
      <w:r w:rsidRPr="001B30C3">
        <w:rPr>
          <w:rFonts w:cs="Arial" w:hint="cs"/>
          <w:rtl/>
        </w:rPr>
        <w:t>כי</w:t>
      </w:r>
      <w:r w:rsidRPr="001B30C3">
        <w:rPr>
          <w:rFonts w:cs="Arial"/>
          <w:rtl/>
        </w:rPr>
        <w:t xml:space="preserve"> </w:t>
      </w:r>
      <w:r w:rsidRPr="001B30C3">
        <w:rPr>
          <w:rFonts w:cs="Arial" w:hint="cs"/>
          <w:rtl/>
        </w:rPr>
        <w:t>אם</w:t>
      </w:r>
      <w:r w:rsidRPr="001B30C3">
        <w:rPr>
          <w:rFonts w:cs="Arial"/>
          <w:rtl/>
        </w:rPr>
        <w:t xml:space="preserve"> </w:t>
      </w:r>
      <w:r w:rsidRPr="001B30C3">
        <w:rPr>
          <w:rFonts w:cs="Arial" w:hint="cs"/>
          <w:rtl/>
        </w:rPr>
        <w:t>בשינוי</w:t>
      </w:r>
      <w:r w:rsidRPr="001B30C3">
        <w:rPr>
          <w:rFonts w:cs="Arial"/>
          <w:rtl/>
        </w:rPr>
        <w:t xml:space="preserve"> </w:t>
      </w:r>
      <w:r w:rsidRPr="001B30C3">
        <w:rPr>
          <w:rFonts w:cs="Arial" w:hint="cs"/>
          <w:rtl/>
        </w:rPr>
        <w:t>עיקר</w:t>
      </w:r>
      <w:r w:rsidRPr="001B30C3">
        <w:rPr>
          <w:rFonts w:cs="Arial"/>
          <w:rtl/>
        </w:rPr>
        <w:t xml:space="preserve"> </w:t>
      </w:r>
      <w:r w:rsidRPr="001B30C3">
        <w:rPr>
          <w:rFonts w:cs="Arial" w:hint="cs"/>
          <w:rtl/>
        </w:rPr>
        <w:t>דירתו</w:t>
      </w:r>
      <w:r>
        <w:rPr>
          <w:rStyle w:val="a7"/>
          <w:rFonts w:cs="Arial"/>
          <w:rtl/>
        </w:rPr>
        <w:footnoteReference w:id="973"/>
      </w:r>
      <w:r>
        <w:rPr>
          <w:rFonts w:cs="Arial" w:hint="cs"/>
          <w:rtl/>
        </w:rPr>
        <w:t>.</w:t>
      </w:r>
      <w:r w:rsidRPr="001B30C3">
        <w:rPr>
          <w:rFonts w:cs="Arial"/>
          <w:rtl/>
        </w:rPr>
        <w:t xml:space="preserve"> </w:t>
      </w:r>
    </w:p>
    <w:p w14:paraId="096ED335" w14:textId="77777777" w:rsidR="00FA2119" w:rsidRPr="00910D41" w:rsidRDefault="00FA2119" w:rsidP="00FA2119">
      <w:pPr>
        <w:rPr>
          <w:u w:val="single"/>
        </w:rPr>
      </w:pPr>
      <w:r w:rsidRPr="00910D41">
        <w:rPr>
          <w:rFonts w:hint="cs"/>
          <w:u w:val="single"/>
          <w:rtl/>
        </w:rPr>
        <w:t xml:space="preserve">גט שכתוב בו </w:t>
      </w:r>
      <w:r w:rsidRPr="00FD6125">
        <w:rPr>
          <w:rFonts w:hint="cs"/>
          <w:b/>
          <w:bCs/>
          <w:u w:val="single"/>
          <w:rtl/>
        </w:rPr>
        <w:t>רק</w:t>
      </w:r>
      <w:r w:rsidRPr="00910D41">
        <w:rPr>
          <w:rFonts w:hint="cs"/>
          <w:u w:val="single"/>
          <w:rtl/>
        </w:rPr>
        <w:t xml:space="preserve"> </w:t>
      </w:r>
      <w:r w:rsidRPr="00910D41">
        <w:rPr>
          <w:rFonts w:hint="cs"/>
          <w:b/>
          <w:bCs/>
          <w:u w:val="single"/>
          <w:rtl/>
        </w:rPr>
        <w:t>מקום הלידה</w:t>
      </w:r>
      <w:r w:rsidRPr="00910D41">
        <w:rPr>
          <w:rFonts w:hint="cs"/>
          <w:u w:val="single"/>
          <w:rtl/>
        </w:rPr>
        <w:t>:</w:t>
      </w:r>
    </w:p>
    <w:p w14:paraId="7BA94429" w14:textId="7CB6B148" w:rsidR="00FA2119" w:rsidRPr="006E1425" w:rsidRDefault="00FA2119" w:rsidP="00FA2119">
      <w:pPr>
        <w:pStyle w:val="ab"/>
        <w:numPr>
          <w:ilvl w:val="0"/>
          <w:numId w:val="61"/>
        </w:numPr>
      </w:pPr>
      <w:r w:rsidRPr="003F0EA1">
        <w:rPr>
          <w:rFonts w:cs="Arial" w:hint="cs"/>
          <w:rtl/>
        </w:rPr>
        <w:t>ריב</w:t>
      </w:r>
      <w:r w:rsidRPr="003F0EA1">
        <w:rPr>
          <w:rFonts w:cs="Arial"/>
          <w:rtl/>
        </w:rPr>
        <w:t>"</w:t>
      </w:r>
      <w:r w:rsidRPr="003F0EA1">
        <w:rPr>
          <w:rFonts w:cs="Arial" w:hint="cs"/>
          <w:rtl/>
        </w:rPr>
        <w:t>ש</w:t>
      </w:r>
      <w:r w:rsidRPr="003F0EA1">
        <w:rPr>
          <w:rFonts w:cs="Arial"/>
          <w:rtl/>
        </w:rPr>
        <w:t xml:space="preserve"> </w:t>
      </w:r>
      <w:r w:rsidRPr="003F0EA1">
        <w:rPr>
          <w:rFonts w:cs="Arial" w:hint="cs"/>
          <w:sz w:val="16"/>
          <w:szCs w:val="16"/>
          <w:rtl/>
        </w:rPr>
        <w:t>(סי'</w:t>
      </w:r>
      <w:r w:rsidRPr="003F0EA1">
        <w:rPr>
          <w:rFonts w:cs="Arial"/>
          <w:sz w:val="16"/>
          <w:szCs w:val="16"/>
          <w:rtl/>
        </w:rPr>
        <w:t xml:space="preserve"> </w:t>
      </w:r>
      <w:r w:rsidRPr="003F0EA1">
        <w:rPr>
          <w:rFonts w:cs="Arial" w:hint="cs"/>
          <w:sz w:val="16"/>
          <w:szCs w:val="16"/>
          <w:rtl/>
        </w:rPr>
        <w:t>שיד)</w:t>
      </w:r>
      <w:r w:rsidR="00A82951">
        <w:rPr>
          <w:rFonts w:cs="Arial" w:hint="cs"/>
          <w:rtl/>
        </w:rPr>
        <w:t>-</w:t>
      </w:r>
      <w:r w:rsidRPr="003F0EA1">
        <w:rPr>
          <w:rFonts w:cs="Arial"/>
          <w:rtl/>
        </w:rPr>
        <w:t xml:space="preserve"> </w:t>
      </w:r>
      <w:r w:rsidRPr="003F0EA1">
        <w:rPr>
          <w:rFonts w:cs="Arial" w:hint="cs"/>
          <w:rtl/>
        </w:rPr>
        <w:t>לא</w:t>
      </w:r>
      <w:r w:rsidRPr="003F0EA1">
        <w:rPr>
          <w:rFonts w:cs="Arial"/>
          <w:rtl/>
        </w:rPr>
        <w:t xml:space="preserve"> </w:t>
      </w:r>
      <w:r w:rsidRPr="003F0EA1">
        <w:rPr>
          <w:rFonts w:cs="Arial" w:hint="cs"/>
          <w:rtl/>
        </w:rPr>
        <w:t>דברו</w:t>
      </w:r>
      <w:r w:rsidRPr="003F0EA1">
        <w:rPr>
          <w:rFonts w:cs="Arial"/>
          <w:rtl/>
        </w:rPr>
        <w:t xml:space="preserve"> </w:t>
      </w:r>
      <w:r w:rsidRPr="003F0EA1">
        <w:rPr>
          <w:rFonts w:cs="Arial" w:hint="cs"/>
          <w:rtl/>
        </w:rPr>
        <w:t>הראב</w:t>
      </w:r>
      <w:r w:rsidRPr="003F0EA1">
        <w:rPr>
          <w:rFonts w:cs="Arial"/>
          <w:rtl/>
        </w:rPr>
        <w:t>"</w:t>
      </w:r>
      <w:r w:rsidRPr="003F0EA1">
        <w:rPr>
          <w:rFonts w:cs="Arial" w:hint="cs"/>
          <w:rtl/>
        </w:rPr>
        <w:t>ד</w:t>
      </w:r>
      <w:r w:rsidRPr="003F0EA1">
        <w:rPr>
          <w:rFonts w:cs="Arial"/>
          <w:rtl/>
        </w:rPr>
        <w:t xml:space="preserve"> </w:t>
      </w:r>
      <w:r w:rsidRPr="003F0EA1">
        <w:rPr>
          <w:rFonts w:cs="Arial" w:hint="cs"/>
          <w:rtl/>
        </w:rPr>
        <w:t>והרשב</w:t>
      </w:r>
      <w:r w:rsidRPr="003F0EA1">
        <w:rPr>
          <w:rFonts w:cs="Arial"/>
          <w:rtl/>
        </w:rPr>
        <w:t>"</w:t>
      </w:r>
      <w:r w:rsidRPr="003F0EA1">
        <w:rPr>
          <w:rFonts w:cs="Arial" w:hint="cs"/>
          <w:rtl/>
        </w:rPr>
        <w:t>א</w:t>
      </w:r>
      <w:r w:rsidRPr="003F0EA1">
        <w:rPr>
          <w:rFonts w:cs="Arial"/>
          <w:rtl/>
        </w:rPr>
        <w:t xml:space="preserve"> </w:t>
      </w:r>
      <w:r w:rsidRPr="003F0EA1">
        <w:rPr>
          <w:rFonts w:cs="Arial" w:hint="cs"/>
          <w:rtl/>
        </w:rPr>
        <w:t>אלא</w:t>
      </w:r>
      <w:r w:rsidRPr="003F0EA1">
        <w:rPr>
          <w:rFonts w:cs="Arial"/>
          <w:rtl/>
        </w:rPr>
        <w:t xml:space="preserve"> </w:t>
      </w:r>
      <w:r w:rsidRPr="003F0EA1">
        <w:rPr>
          <w:rFonts w:cs="Arial" w:hint="cs"/>
          <w:rtl/>
        </w:rPr>
        <w:t>בשלא</w:t>
      </w:r>
      <w:r w:rsidRPr="003F0EA1">
        <w:rPr>
          <w:rFonts w:cs="Arial"/>
          <w:rtl/>
        </w:rPr>
        <w:t xml:space="preserve"> </w:t>
      </w:r>
      <w:r w:rsidRPr="003F0EA1">
        <w:rPr>
          <w:rFonts w:cs="Arial" w:hint="cs"/>
          <w:rtl/>
        </w:rPr>
        <w:t>כתב</w:t>
      </w:r>
      <w:r w:rsidRPr="003F0EA1">
        <w:rPr>
          <w:rFonts w:cs="Arial"/>
          <w:rtl/>
        </w:rPr>
        <w:t xml:space="preserve"> </w:t>
      </w:r>
      <w:r w:rsidRPr="003F0EA1">
        <w:rPr>
          <w:rFonts w:cs="Arial" w:hint="cs"/>
          <w:rtl/>
        </w:rPr>
        <w:t>כלל</w:t>
      </w:r>
      <w:r w:rsidRPr="003F0EA1">
        <w:rPr>
          <w:rFonts w:cs="Arial"/>
          <w:rtl/>
        </w:rPr>
        <w:t xml:space="preserve"> </w:t>
      </w:r>
      <w:r w:rsidRPr="003F0EA1">
        <w:rPr>
          <w:rFonts w:cs="Arial" w:hint="cs"/>
          <w:rtl/>
        </w:rPr>
        <w:t>שם</w:t>
      </w:r>
      <w:r w:rsidRPr="003F0EA1">
        <w:rPr>
          <w:rFonts w:cs="Arial"/>
          <w:rtl/>
        </w:rPr>
        <w:t xml:space="preserve"> </w:t>
      </w:r>
      <w:r w:rsidRPr="003F0EA1">
        <w:rPr>
          <w:rFonts w:cs="Arial" w:hint="cs"/>
          <w:rtl/>
        </w:rPr>
        <w:t>עירו</w:t>
      </w:r>
      <w:r w:rsidRPr="003F0EA1">
        <w:rPr>
          <w:rFonts w:cs="Arial"/>
          <w:rtl/>
        </w:rPr>
        <w:t xml:space="preserve"> </w:t>
      </w:r>
      <w:r w:rsidRPr="003F0EA1">
        <w:rPr>
          <w:rFonts w:cs="Arial" w:hint="cs"/>
          <w:rtl/>
        </w:rPr>
        <w:t>ושם</w:t>
      </w:r>
      <w:r w:rsidRPr="003F0EA1">
        <w:rPr>
          <w:rFonts w:cs="Arial"/>
          <w:rtl/>
        </w:rPr>
        <w:t xml:space="preserve"> </w:t>
      </w:r>
      <w:r w:rsidRPr="003F0EA1">
        <w:rPr>
          <w:rFonts w:cs="Arial" w:hint="cs"/>
          <w:rtl/>
        </w:rPr>
        <w:t>עירה</w:t>
      </w:r>
      <w:r>
        <w:rPr>
          <w:rFonts w:cs="Arial" w:hint="cs"/>
          <w:rtl/>
        </w:rPr>
        <w:t>,</w:t>
      </w:r>
      <w:r w:rsidRPr="003F0EA1">
        <w:rPr>
          <w:rFonts w:cs="Arial"/>
          <w:rtl/>
        </w:rPr>
        <w:t xml:space="preserve"> </w:t>
      </w:r>
      <w:r w:rsidRPr="003F0EA1">
        <w:rPr>
          <w:rFonts w:cs="Arial" w:hint="cs"/>
          <w:rtl/>
        </w:rPr>
        <w:t>לא</w:t>
      </w:r>
      <w:r w:rsidRPr="003F0EA1">
        <w:rPr>
          <w:rFonts w:cs="Arial"/>
          <w:rtl/>
        </w:rPr>
        <w:t xml:space="preserve"> </w:t>
      </w:r>
      <w:r w:rsidRPr="003F0EA1">
        <w:rPr>
          <w:rFonts w:cs="Arial" w:hint="cs"/>
          <w:rtl/>
        </w:rPr>
        <w:t>מקום</w:t>
      </w:r>
      <w:r w:rsidRPr="003F0EA1">
        <w:rPr>
          <w:rFonts w:cs="Arial"/>
          <w:rtl/>
        </w:rPr>
        <w:t xml:space="preserve"> </w:t>
      </w:r>
      <w:r w:rsidRPr="003F0EA1">
        <w:rPr>
          <w:rFonts w:cs="Arial" w:hint="cs"/>
          <w:rtl/>
        </w:rPr>
        <w:t>דירתן</w:t>
      </w:r>
      <w:r w:rsidRPr="003F0EA1">
        <w:rPr>
          <w:rFonts w:cs="Arial"/>
          <w:rtl/>
        </w:rPr>
        <w:t xml:space="preserve"> </w:t>
      </w:r>
      <w:r w:rsidRPr="003F0EA1">
        <w:rPr>
          <w:rFonts w:cs="Arial" w:hint="cs"/>
          <w:rtl/>
        </w:rPr>
        <w:t>ולא</w:t>
      </w:r>
      <w:r w:rsidRPr="003F0EA1">
        <w:rPr>
          <w:rFonts w:cs="Arial"/>
          <w:rtl/>
        </w:rPr>
        <w:t xml:space="preserve"> </w:t>
      </w:r>
      <w:r w:rsidRPr="003F0EA1">
        <w:rPr>
          <w:rFonts w:cs="Arial" w:hint="cs"/>
          <w:rtl/>
        </w:rPr>
        <w:t>מקום</w:t>
      </w:r>
      <w:r w:rsidRPr="003F0EA1">
        <w:rPr>
          <w:rFonts w:cs="Arial"/>
          <w:rtl/>
        </w:rPr>
        <w:t xml:space="preserve"> </w:t>
      </w:r>
      <w:r w:rsidRPr="003F0EA1">
        <w:rPr>
          <w:rFonts w:cs="Arial" w:hint="cs"/>
          <w:rtl/>
        </w:rPr>
        <w:t>לידתן</w:t>
      </w:r>
      <w:r>
        <w:rPr>
          <w:rFonts w:cs="Arial" w:hint="cs"/>
          <w:rtl/>
        </w:rPr>
        <w:t>.</w:t>
      </w:r>
      <w:r w:rsidRPr="003F0EA1">
        <w:rPr>
          <w:rFonts w:cs="Arial"/>
          <w:rtl/>
        </w:rPr>
        <w:t xml:space="preserve"> </w:t>
      </w:r>
      <w:r w:rsidRPr="003F0EA1">
        <w:rPr>
          <w:rFonts w:cs="Arial" w:hint="cs"/>
          <w:rtl/>
        </w:rPr>
        <w:t>אבל</w:t>
      </w:r>
      <w:r w:rsidRPr="003F0EA1">
        <w:rPr>
          <w:rFonts w:cs="Arial"/>
          <w:rtl/>
        </w:rPr>
        <w:t xml:space="preserve"> </w:t>
      </w:r>
      <w:r w:rsidRPr="003F0EA1">
        <w:rPr>
          <w:rFonts w:cs="Arial" w:hint="cs"/>
          <w:rtl/>
        </w:rPr>
        <w:t>בנדון</w:t>
      </w:r>
      <w:r w:rsidRPr="003F0EA1">
        <w:rPr>
          <w:rFonts w:cs="Arial"/>
          <w:rtl/>
        </w:rPr>
        <w:t xml:space="preserve"> </w:t>
      </w:r>
      <w:r w:rsidRPr="003F0EA1">
        <w:rPr>
          <w:rFonts w:cs="Arial" w:hint="cs"/>
          <w:rtl/>
        </w:rPr>
        <w:t>זה</w:t>
      </w:r>
      <w:r w:rsidRPr="003F0EA1">
        <w:rPr>
          <w:rFonts w:cs="Arial"/>
          <w:rtl/>
        </w:rPr>
        <w:t xml:space="preserve"> </w:t>
      </w:r>
      <w:r w:rsidRPr="003F0EA1">
        <w:rPr>
          <w:rFonts w:cs="Arial" w:hint="cs"/>
          <w:rtl/>
        </w:rPr>
        <w:t>שנכתב</w:t>
      </w:r>
      <w:r w:rsidRPr="003F0EA1">
        <w:rPr>
          <w:rFonts w:cs="Arial"/>
          <w:rtl/>
        </w:rPr>
        <w:t xml:space="preserve"> </w:t>
      </w:r>
      <w:r w:rsidRPr="003F0EA1">
        <w:rPr>
          <w:rFonts w:cs="Arial" w:hint="cs"/>
          <w:rtl/>
        </w:rPr>
        <w:t>מקום</w:t>
      </w:r>
      <w:r w:rsidRPr="003F0EA1">
        <w:rPr>
          <w:rFonts w:cs="Arial"/>
          <w:rtl/>
        </w:rPr>
        <w:t xml:space="preserve"> </w:t>
      </w:r>
      <w:r w:rsidRPr="003F0EA1">
        <w:rPr>
          <w:rFonts w:cs="Arial" w:hint="cs"/>
          <w:rtl/>
        </w:rPr>
        <w:t>לידתן</w:t>
      </w:r>
      <w:r w:rsidRPr="003F0EA1">
        <w:rPr>
          <w:rFonts w:cs="Arial"/>
          <w:rtl/>
        </w:rPr>
        <w:t xml:space="preserve"> </w:t>
      </w:r>
      <w:r w:rsidR="00A82951">
        <w:rPr>
          <w:rFonts w:cs="Arial" w:hint="cs"/>
          <w:rtl/>
        </w:rPr>
        <w:t>-</w:t>
      </w:r>
      <w:r>
        <w:rPr>
          <w:rFonts w:cs="Arial" w:hint="cs"/>
          <w:rtl/>
        </w:rPr>
        <w:t xml:space="preserve"> </w:t>
      </w:r>
      <w:r w:rsidRPr="003F0EA1">
        <w:rPr>
          <w:rFonts w:cs="Arial" w:hint="cs"/>
          <w:rtl/>
        </w:rPr>
        <w:t>פשיטא</w:t>
      </w:r>
      <w:r w:rsidRPr="003F0EA1">
        <w:rPr>
          <w:rFonts w:cs="Arial"/>
          <w:rtl/>
        </w:rPr>
        <w:t xml:space="preserve"> </w:t>
      </w:r>
      <w:r w:rsidRPr="003F0EA1">
        <w:rPr>
          <w:rFonts w:cs="Arial" w:hint="cs"/>
          <w:rtl/>
        </w:rPr>
        <w:t>דכשר</w:t>
      </w:r>
      <w:r>
        <w:rPr>
          <w:rFonts w:cs="Arial" w:hint="cs"/>
          <w:rtl/>
        </w:rPr>
        <w:t>,</w:t>
      </w:r>
      <w:r w:rsidRPr="003F0EA1">
        <w:rPr>
          <w:rFonts w:cs="Arial"/>
          <w:rtl/>
        </w:rPr>
        <w:t xml:space="preserve"> </w:t>
      </w:r>
      <w:r w:rsidRPr="003F0EA1">
        <w:rPr>
          <w:rFonts w:cs="Arial" w:hint="cs"/>
          <w:rtl/>
        </w:rPr>
        <w:t>דהא</w:t>
      </w:r>
      <w:r w:rsidRPr="003F0EA1">
        <w:rPr>
          <w:rFonts w:cs="Arial"/>
          <w:rtl/>
        </w:rPr>
        <w:t xml:space="preserve"> </w:t>
      </w:r>
      <w:r w:rsidRPr="003F0EA1">
        <w:rPr>
          <w:rFonts w:cs="Arial" w:hint="cs"/>
          <w:rtl/>
        </w:rPr>
        <w:t>ליכא</w:t>
      </w:r>
      <w:r w:rsidRPr="003F0EA1">
        <w:rPr>
          <w:rFonts w:cs="Arial"/>
          <w:rtl/>
        </w:rPr>
        <w:t xml:space="preserve"> </w:t>
      </w:r>
      <w:r w:rsidRPr="003F0EA1">
        <w:rPr>
          <w:rFonts w:cs="Arial" w:hint="cs"/>
          <w:rtl/>
        </w:rPr>
        <w:t>חששא</w:t>
      </w:r>
      <w:r w:rsidRPr="003F0EA1">
        <w:rPr>
          <w:rFonts w:cs="Arial"/>
          <w:rtl/>
        </w:rPr>
        <w:t xml:space="preserve"> </w:t>
      </w:r>
      <w:r w:rsidRPr="003F0EA1">
        <w:rPr>
          <w:rFonts w:cs="Arial" w:hint="cs"/>
          <w:rtl/>
        </w:rPr>
        <w:t>דשני</w:t>
      </w:r>
      <w:r w:rsidRPr="003F0EA1">
        <w:rPr>
          <w:rFonts w:cs="Arial"/>
          <w:rtl/>
        </w:rPr>
        <w:t xml:space="preserve"> </w:t>
      </w:r>
      <w:r w:rsidRPr="003F0EA1">
        <w:rPr>
          <w:rFonts w:cs="Arial" w:hint="cs"/>
          <w:rtl/>
        </w:rPr>
        <w:t>יוסף</w:t>
      </w:r>
      <w:r w:rsidRPr="003F0EA1">
        <w:rPr>
          <w:rFonts w:cs="Arial"/>
          <w:rtl/>
        </w:rPr>
        <w:t xml:space="preserve"> </w:t>
      </w:r>
      <w:r w:rsidRPr="003F0EA1">
        <w:rPr>
          <w:rFonts w:cs="Arial" w:hint="cs"/>
          <w:rtl/>
        </w:rPr>
        <w:t>בן</w:t>
      </w:r>
      <w:r w:rsidRPr="003F0EA1">
        <w:rPr>
          <w:rFonts w:cs="Arial"/>
          <w:rtl/>
        </w:rPr>
        <w:t xml:space="preserve"> </w:t>
      </w:r>
      <w:r w:rsidRPr="003F0EA1">
        <w:rPr>
          <w:rFonts w:cs="Arial" w:hint="cs"/>
          <w:rtl/>
        </w:rPr>
        <w:t>שמעון</w:t>
      </w:r>
      <w:r w:rsidRPr="003F0EA1">
        <w:rPr>
          <w:rFonts w:cs="Arial"/>
          <w:rtl/>
        </w:rPr>
        <w:t xml:space="preserve"> </w:t>
      </w:r>
      <w:r w:rsidRPr="003F0EA1">
        <w:rPr>
          <w:rFonts w:cs="Arial" w:hint="cs"/>
          <w:rtl/>
        </w:rPr>
        <w:t>וניכר</w:t>
      </w:r>
      <w:r w:rsidRPr="003F0EA1">
        <w:rPr>
          <w:rFonts w:cs="Arial"/>
          <w:rtl/>
        </w:rPr>
        <w:t xml:space="preserve"> </w:t>
      </w:r>
      <w:r w:rsidRPr="003F0EA1">
        <w:rPr>
          <w:rFonts w:cs="Arial" w:hint="cs"/>
          <w:rtl/>
        </w:rPr>
        <w:t>מתוך</w:t>
      </w:r>
      <w:r w:rsidRPr="003F0EA1">
        <w:rPr>
          <w:rFonts w:cs="Arial"/>
          <w:rtl/>
        </w:rPr>
        <w:t xml:space="preserve"> </w:t>
      </w:r>
      <w:r w:rsidRPr="003F0EA1">
        <w:rPr>
          <w:rFonts w:cs="Arial" w:hint="cs"/>
          <w:rtl/>
        </w:rPr>
        <w:t>הגט</w:t>
      </w:r>
      <w:r w:rsidRPr="003F0EA1">
        <w:rPr>
          <w:rFonts w:cs="Arial"/>
          <w:rtl/>
        </w:rPr>
        <w:t xml:space="preserve"> </w:t>
      </w:r>
      <w:r w:rsidRPr="003F0EA1">
        <w:rPr>
          <w:rFonts w:cs="Arial" w:hint="cs"/>
          <w:rtl/>
        </w:rPr>
        <w:t>מי</w:t>
      </w:r>
      <w:r w:rsidRPr="003F0EA1">
        <w:rPr>
          <w:rFonts w:cs="Arial"/>
          <w:rtl/>
        </w:rPr>
        <w:t xml:space="preserve"> </w:t>
      </w:r>
      <w:r w:rsidRPr="003F0EA1">
        <w:rPr>
          <w:rFonts w:cs="Arial" w:hint="cs"/>
          <w:rtl/>
        </w:rPr>
        <w:t>הוא</w:t>
      </w:r>
      <w:r w:rsidRPr="003F0EA1">
        <w:rPr>
          <w:rFonts w:cs="Arial"/>
          <w:rtl/>
        </w:rPr>
        <w:t xml:space="preserve"> </w:t>
      </w:r>
      <w:r w:rsidRPr="003F0EA1">
        <w:rPr>
          <w:rFonts w:cs="Arial" w:hint="cs"/>
          <w:rtl/>
        </w:rPr>
        <w:t>המגרש</w:t>
      </w:r>
      <w:r w:rsidRPr="003F0EA1">
        <w:rPr>
          <w:rFonts w:cs="Arial"/>
          <w:rtl/>
        </w:rPr>
        <w:t>.</w:t>
      </w:r>
      <w:r w:rsidRPr="003F0EA1">
        <w:rPr>
          <w:rFonts w:cs="Arial" w:hint="cs"/>
          <w:rtl/>
        </w:rPr>
        <w:t>..</w:t>
      </w:r>
      <w:r w:rsidRPr="003F0EA1">
        <w:rPr>
          <w:rFonts w:cs="Arial"/>
          <w:rtl/>
        </w:rPr>
        <w:t xml:space="preserve"> </w:t>
      </w:r>
      <w:r w:rsidRPr="003F0EA1">
        <w:rPr>
          <w:rFonts w:cs="Arial" w:hint="cs"/>
          <w:rtl/>
        </w:rPr>
        <w:t>וכבר</w:t>
      </w:r>
      <w:r w:rsidRPr="003F0EA1">
        <w:rPr>
          <w:rFonts w:cs="Arial"/>
          <w:rtl/>
        </w:rPr>
        <w:t xml:space="preserve"> </w:t>
      </w:r>
      <w:r w:rsidRPr="003F0EA1">
        <w:rPr>
          <w:rFonts w:cs="Arial" w:hint="cs"/>
          <w:rtl/>
        </w:rPr>
        <w:t>ראיתי</w:t>
      </w:r>
      <w:r w:rsidRPr="003F0EA1">
        <w:rPr>
          <w:rFonts w:cs="Arial"/>
          <w:rtl/>
        </w:rPr>
        <w:t xml:space="preserve"> </w:t>
      </w:r>
      <w:r w:rsidRPr="003F0EA1">
        <w:rPr>
          <w:rFonts w:cs="Arial" w:hint="cs"/>
          <w:rtl/>
        </w:rPr>
        <w:t>הרבה</w:t>
      </w:r>
      <w:r w:rsidRPr="003F0EA1">
        <w:rPr>
          <w:rFonts w:cs="Arial"/>
          <w:rtl/>
        </w:rPr>
        <w:t xml:space="preserve"> </w:t>
      </w:r>
      <w:r w:rsidRPr="003F0EA1">
        <w:rPr>
          <w:rFonts w:cs="Arial" w:hint="cs"/>
          <w:rtl/>
        </w:rPr>
        <w:t>גיטין</w:t>
      </w:r>
      <w:r w:rsidRPr="003F0EA1">
        <w:rPr>
          <w:rFonts w:cs="Arial"/>
          <w:rtl/>
        </w:rPr>
        <w:t xml:space="preserve"> </w:t>
      </w:r>
      <w:r w:rsidRPr="003F0EA1">
        <w:rPr>
          <w:rFonts w:cs="Arial" w:hint="cs"/>
          <w:rtl/>
        </w:rPr>
        <w:t>הבאים</w:t>
      </w:r>
      <w:r w:rsidRPr="003F0EA1">
        <w:rPr>
          <w:rFonts w:cs="Arial"/>
          <w:rtl/>
        </w:rPr>
        <w:t xml:space="preserve"> </w:t>
      </w:r>
      <w:r w:rsidRPr="003F0EA1">
        <w:rPr>
          <w:rFonts w:cs="Arial" w:hint="cs"/>
          <w:rtl/>
        </w:rPr>
        <w:t>ממרחק</w:t>
      </w:r>
      <w:r w:rsidRPr="003F0EA1">
        <w:rPr>
          <w:rFonts w:cs="Arial"/>
          <w:rtl/>
        </w:rPr>
        <w:t xml:space="preserve"> </w:t>
      </w:r>
      <w:r w:rsidRPr="003F0EA1">
        <w:rPr>
          <w:rFonts w:cs="Arial" w:hint="cs"/>
          <w:rtl/>
        </w:rPr>
        <w:t>שיש</w:t>
      </w:r>
      <w:r w:rsidRPr="003F0EA1">
        <w:rPr>
          <w:rFonts w:cs="Arial"/>
          <w:rtl/>
        </w:rPr>
        <w:t xml:space="preserve"> </w:t>
      </w:r>
      <w:r w:rsidRPr="003F0EA1">
        <w:rPr>
          <w:rFonts w:cs="Arial" w:hint="cs"/>
          <w:rtl/>
        </w:rPr>
        <w:t>מהם</w:t>
      </w:r>
      <w:r w:rsidRPr="003F0EA1">
        <w:rPr>
          <w:rFonts w:cs="Arial"/>
          <w:rtl/>
        </w:rPr>
        <w:t xml:space="preserve"> </w:t>
      </w:r>
      <w:r w:rsidRPr="003F0EA1">
        <w:rPr>
          <w:rFonts w:cs="Arial" w:hint="cs"/>
          <w:rtl/>
        </w:rPr>
        <w:t>שכתוב</w:t>
      </w:r>
      <w:r w:rsidRPr="003F0EA1">
        <w:rPr>
          <w:rFonts w:cs="Arial"/>
          <w:rtl/>
        </w:rPr>
        <w:t xml:space="preserve"> </w:t>
      </w:r>
      <w:r w:rsidRPr="003F0EA1">
        <w:rPr>
          <w:rFonts w:cs="Arial" w:hint="cs"/>
          <w:rtl/>
        </w:rPr>
        <w:t>בהם</w:t>
      </w:r>
      <w:r w:rsidRPr="003F0EA1">
        <w:rPr>
          <w:rFonts w:cs="Arial"/>
          <w:rtl/>
        </w:rPr>
        <w:t xml:space="preserve"> </w:t>
      </w:r>
      <w:r w:rsidRPr="003F0EA1">
        <w:rPr>
          <w:rFonts w:cs="Arial" w:hint="cs"/>
          <w:rtl/>
        </w:rPr>
        <w:t>שם</w:t>
      </w:r>
      <w:r w:rsidRPr="003F0EA1">
        <w:rPr>
          <w:rFonts w:cs="Arial"/>
          <w:rtl/>
        </w:rPr>
        <w:t xml:space="preserve"> </w:t>
      </w:r>
      <w:r w:rsidRPr="003F0EA1">
        <w:rPr>
          <w:rFonts w:cs="Arial" w:hint="cs"/>
          <w:rtl/>
        </w:rPr>
        <w:t>הדירה</w:t>
      </w:r>
      <w:r w:rsidRPr="003F0EA1">
        <w:rPr>
          <w:rFonts w:cs="Arial"/>
          <w:rtl/>
        </w:rPr>
        <w:t xml:space="preserve"> </w:t>
      </w:r>
      <w:r w:rsidRPr="003F0EA1">
        <w:rPr>
          <w:rFonts w:cs="Arial" w:hint="cs"/>
          <w:rtl/>
        </w:rPr>
        <w:t>ויש</w:t>
      </w:r>
      <w:r w:rsidRPr="003F0EA1">
        <w:rPr>
          <w:rFonts w:cs="Arial"/>
          <w:rtl/>
        </w:rPr>
        <w:t xml:space="preserve"> </w:t>
      </w:r>
      <w:r w:rsidRPr="003F0EA1">
        <w:rPr>
          <w:rFonts w:cs="Arial" w:hint="cs"/>
          <w:rtl/>
        </w:rPr>
        <w:t>מקום</w:t>
      </w:r>
      <w:r w:rsidRPr="003F0EA1">
        <w:rPr>
          <w:rFonts w:cs="Arial"/>
          <w:rtl/>
        </w:rPr>
        <w:t xml:space="preserve"> </w:t>
      </w:r>
      <w:r w:rsidRPr="003F0EA1">
        <w:rPr>
          <w:rFonts w:cs="Arial" w:hint="cs"/>
          <w:rtl/>
        </w:rPr>
        <w:t>הלידה</w:t>
      </w:r>
      <w:r w:rsidRPr="003F0EA1">
        <w:rPr>
          <w:rFonts w:cs="Arial"/>
          <w:rtl/>
        </w:rPr>
        <w:t xml:space="preserve"> </w:t>
      </w:r>
      <w:r w:rsidRPr="003F0EA1">
        <w:rPr>
          <w:rFonts w:cs="Arial" w:hint="cs"/>
          <w:rtl/>
        </w:rPr>
        <w:t>ויש</w:t>
      </w:r>
      <w:r w:rsidRPr="003F0EA1">
        <w:rPr>
          <w:rFonts w:cs="Arial"/>
          <w:rtl/>
        </w:rPr>
        <w:t xml:space="preserve"> </w:t>
      </w:r>
      <w:r w:rsidRPr="003F0EA1">
        <w:rPr>
          <w:rFonts w:cs="Arial" w:hint="cs"/>
          <w:rtl/>
        </w:rPr>
        <w:t>מקום</w:t>
      </w:r>
      <w:r w:rsidRPr="003F0EA1">
        <w:rPr>
          <w:rFonts w:cs="Arial"/>
          <w:rtl/>
        </w:rPr>
        <w:t xml:space="preserve"> </w:t>
      </w:r>
      <w:r w:rsidRPr="003F0EA1">
        <w:rPr>
          <w:rFonts w:cs="Arial" w:hint="cs"/>
          <w:rtl/>
        </w:rPr>
        <w:t>העמידה</w:t>
      </w:r>
      <w:r w:rsidRPr="003F0EA1">
        <w:rPr>
          <w:rFonts w:cs="Arial"/>
          <w:rtl/>
        </w:rPr>
        <w:t xml:space="preserve"> </w:t>
      </w:r>
      <w:r w:rsidRPr="003F0EA1">
        <w:rPr>
          <w:rFonts w:cs="Arial" w:hint="cs"/>
          <w:rtl/>
        </w:rPr>
        <w:t>ואיני</w:t>
      </w:r>
      <w:r w:rsidRPr="003F0EA1">
        <w:rPr>
          <w:rFonts w:cs="Arial"/>
          <w:rtl/>
        </w:rPr>
        <w:t xml:space="preserve"> </w:t>
      </w:r>
      <w:r w:rsidRPr="003F0EA1">
        <w:rPr>
          <w:rFonts w:cs="Arial" w:hint="cs"/>
          <w:rtl/>
        </w:rPr>
        <w:t>חושש</w:t>
      </w:r>
      <w:r w:rsidRPr="003F0EA1">
        <w:rPr>
          <w:rFonts w:cs="Arial"/>
          <w:rtl/>
        </w:rPr>
        <w:t xml:space="preserve"> </w:t>
      </w:r>
      <w:r w:rsidRPr="003F0EA1">
        <w:rPr>
          <w:rFonts w:cs="Arial" w:hint="cs"/>
          <w:rtl/>
        </w:rPr>
        <w:t>לדקדק</w:t>
      </w:r>
      <w:r w:rsidRPr="003F0EA1">
        <w:rPr>
          <w:rFonts w:cs="Arial"/>
          <w:rtl/>
        </w:rPr>
        <w:t xml:space="preserve"> </w:t>
      </w:r>
      <w:r w:rsidRPr="003F0EA1">
        <w:rPr>
          <w:rFonts w:cs="Arial" w:hint="cs"/>
          <w:rtl/>
        </w:rPr>
        <w:t>עליהם</w:t>
      </w:r>
      <w:r w:rsidRPr="003F0EA1">
        <w:rPr>
          <w:rFonts w:cs="Arial"/>
          <w:rtl/>
        </w:rPr>
        <w:t xml:space="preserve"> </w:t>
      </w:r>
      <w:r w:rsidRPr="003F0EA1">
        <w:rPr>
          <w:rFonts w:cs="Arial" w:hint="cs"/>
          <w:rtl/>
        </w:rPr>
        <w:t>כל</w:t>
      </w:r>
      <w:r w:rsidRPr="003F0EA1">
        <w:rPr>
          <w:rFonts w:cs="Arial"/>
          <w:rtl/>
        </w:rPr>
        <w:t xml:space="preserve"> </w:t>
      </w:r>
      <w:r w:rsidRPr="003F0EA1">
        <w:rPr>
          <w:rFonts w:cs="Arial" w:hint="cs"/>
          <w:rtl/>
        </w:rPr>
        <w:t>שלא</w:t>
      </w:r>
      <w:r w:rsidRPr="003F0EA1">
        <w:rPr>
          <w:rFonts w:cs="Arial"/>
          <w:rtl/>
        </w:rPr>
        <w:t xml:space="preserve"> </w:t>
      </w:r>
      <w:r w:rsidRPr="003F0EA1">
        <w:rPr>
          <w:rFonts w:cs="Arial" w:hint="cs"/>
          <w:rtl/>
        </w:rPr>
        <w:t>שינו</w:t>
      </w:r>
      <w:r>
        <w:rPr>
          <w:rFonts w:cs="Arial" w:hint="cs"/>
          <w:rtl/>
        </w:rPr>
        <w:t>,</w:t>
      </w:r>
      <w:r w:rsidRPr="003F0EA1">
        <w:rPr>
          <w:rFonts w:cs="Arial"/>
          <w:rtl/>
        </w:rPr>
        <w:t xml:space="preserve"> </w:t>
      </w:r>
      <w:r w:rsidRPr="003F0EA1">
        <w:rPr>
          <w:rFonts w:cs="Arial" w:hint="cs"/>
          <w:rtl/>
        </w:rPr>
        <w:t>לפי</w:t>
      </w:r>
      <w:r w:rsidRPr="003F0EA1">
        <w:rPr>
          <w:rFonts w:cs="Arial"/>
          <w:rtl/>
        </w:rPr>
        <w:t xml:space="preserve"> </w:t>
      </w:r>
      <w:r w:rsidRPr="003F0EA1">
        <w:rPr>
          <w:rFonts w:cs="Arial" w:hint="cs"/>
          <w:rtl/>
        </w:rPr>
        <w:t>שאני</w:t>
      </w:r>
      <w:r w:rsidRPr="003F0EA1">
        <w:rPr>
          <w:rFonts w:cs="Arial"/>
          <w:rtl/>
        </w:rPr>
        <w:t xml:space="preserve"> </w:t>
      </w:r>
      <w:r w:rsidRPr="003F0EA1">
        <w:rPr>
          <w:rFonts w:cs="Arial" w:hint="cs"/>
          <w:rtl/>
        </w:rPr>
        <w:t>סומך</w:t>
      </w:r>
      <w:r w:rsidRPr="003F0EA1">
        <w:rPr>
          <w:rFonts w:cs="Arial"/>
          <w:rtl/>
        </w:rPr>
        <w:t xml:space="preserve"> </w:t>
      </w:r>
      <w:r w:rsidRPr="003F0EA1">
        <w:rPr>
          <w:rFonts w:cs="Arial" w:hint="cs"/>
          <w:rtl/>
        </w:rPr>
        <w:t>על</w:t>
      </w:r>
      <w:r w:rsidRPr="003F0EA1">
        <w:rPr>
          <w:rFonts w:cs="Arial"/>
          <w:rtl/>
        </w:rPr>
        <w:t xml:space="preserve"> </w:t>
      </w:r>
      <w:r w:rsidRPr="003F0EA1">
        <w:rPr>
          <w:rFonts w:cs="Arial" w:hint="cs"/>
          <w:rtl/>
        </w:rPr>
        <w:t>הסופר</w:t>
      </w:r>
      <w:r w:rsidRPr="003F0EA1">
        <w:rPr>
          <w:rFonts w:cs="Arial"/>
          <w:rtl/>
        </w:rPr>
        <w:t xml:space="preserve"> </w:t>
      </w:r>
      <w:r w:rsidRPr="003F0EA1">
        <w:rPr>
          <w:rFonts w:cs="Arial" w:hint="cs"/>
          <w:rtl/>
        </w:rPr>
        <w:t>והעדים</w:t>
      </w:r>
      <w:r w:rsidRPr="003F0EA1">
        <w:rPr>
          <w:rFonts w:cs="Arial"/>
          <w:rtl/>
        </w:rPr>
        <w:t xml:space="preserve"> </w:t>
      </w:r>
      <w:r w:rsidRPr="003F0EA1">
        <w:rPr>
          <w:rFonts w:cs="Arial" w:hint="cs"/>
          <w:rtl/>
        </w:rPr>
        <w:t>שכתבו</w:t>
      </w:r>
      <w:r w:rsidRPr="003F0EA1">
        <w:rPr>
          <w:rFonts w:cs="Arial"/>
          <w:rtl/>
        </w:rPr>
        <w:t xml:space="preserve"> </w:t>
      </w:r>
      <w:r w:rsidRPr="003F0EA1">
        <w:rPr>
          <w:rFonts w:cs="Arial" w:hint="cs"/>
          <w:rtl/>
        </w:rPr>
        <w:t>הברור</w:t>
      </w:r>
      <w:r w:rsidRPr="003F0EA1">
        <w:rPr>
          <w:rFonts w:cs="Arial"/>
          <w:rtl/>
        </w:rPr>
        <w:t xml:space="preserve"> </w:t>
      </w:r>
      <w:r w:rsidRPr="003F0EA1">
        <w:rPr>
          <w:rFonts w:cs="Arial" w:hint="cs"/>
          <w:rtl/>
        </w:rPr>
        <w:t>להם</w:t>
      </w:r>
      <w:r w:rsidRPr="003F0EA1">
        <w:rPr>
          <w:rFonts w:cs="Arial"/>
          <w:rtl/>
        </w:rPr>
        <w:t xml:space="preserve"> </w:t>
      </w:r>
      <w:r w:rsidRPr="003F0EA1">
        <w:rPr>
          <w:rFonts w:cs="Arial" w:hint="cs"/>
          <w:rtl/>
        </w:rPr>
        <w:t>יותר</w:t>
      </w:r>
      <w:r w:rsidRPr="003F0EA1">
        <w:rPr>
          <w:rFonts w:cs="Arial"/>
          <w:rtl/>
        </w:rPr>
        <w:t xml:space="preserve"> </w:t>
      </w:r>
      <w:r w:rsidRPr="003F0EA1">
        <w:rPr>
          <w:rFonts w:cs="Arial" w:hint="cs"/>
          <w:rtl/>
        </w:rPr>
        <w:t>או</w:t>
      </w:r>
      <w:r w:rsidRPr="003F0EA1">
        <w:rPr>
          <w:rFonts w:cs="Arial"/>
          <w:rtl/>
        </w:rPr>
        <w:t xml:space="preserve"> </w:t>
      </w:r>
      <w:r w:rsidRPr="003F0EA1">
        <w:rPr>
          <w:rFonts w:cs="Arial" w:hint="cs"/>
          <w:rtl/>
        </w:rPr>
        <w:t>כפי</w:t>
      </w:r>
      <w:r w:rsidRPr="003F0EA1">
        <w:rPr>
          <w:rFonts w:cs="Arial"/>
          <w:rtl/>
        </w:rPr>
        <w:t xml:space="preserve"> </w:t>
      </w:r>
      <w:r w:rsidRPr="003F0EA1">
        <w:rPr>
          <w:rFonts w:cs="Arial" w:hint="cs"/>
          <w:rtl/>
        </w:rPr>
        <w:t>מנהג</w:t>
      </w:r>
      <w:r w:rsidRPr="003F0EA1">
        <w:rPr>
          <w:rFonts w:cs="Arial"/>
          <w:rtl/>
        </w:rPr>
        <w:t xml:space="preserve"> </w:t>
      </w:r>
      <w:r w:rsidRPr="003F0EA1">
        <w:rPr>
          <w:rFonts w:cs="Arial" w:hint="cs"/>
          <w:rtl/>
        </w:rPr>
        <w:t>מקומם</w:t>
      </w:r>
      <w:r w:rsidRPr="003F0EA1">
        <w:rPr>
          <w:rFonts w:cs="Arial"/>
          <w:rtl/>
        </w:rPr>
        <w:t xml:space="preserve">. </w:t>
      </w:r>
      <w:r w:rsidRPr="007A2F9E">
        <w:rPr>
          <w:rFonts w:hint="cs"/>
          <w:color w:val="00B0F0"/>
          <w:rtl/>
        </w:rPr>
        <w:t>(וכ"פ הרמ"א)</w:t>
      </w:r>
    </w:p>
    <w:p w14:paraId="27A8C3AB" w14:textId="570108EC" w:rsidR="00FA2119" w:rsidRDefault="00FA2119" w:rsidP="00FA2119">
      <w:pPr>
        <w:rPr>
          <w:rFonts w:cs="Arial"/>
          <w:rtl/>
        </w:rPr>
      </w:pPr>
      <w:r>
        <w:rPr>
          <w:rFonts w:cs="Arial" w:hint="cs"/>
          <w:u w:val="single"/>
          <w:rtl/>
        </w:rPr>
        <w:t xml:space="preserve">כיצד כותבים את שם העיר </w:t>
      </w:r>
      <w:r w:rsidR="00A82951">
        <w:rPr>
          <w:rFonts w:cs="Arial" w:hint="cs"/>
          <w:u w:val="single"/>
          <w:rtl/>
        </w:rPr>
        <w:t>-</w:t>
      </w:r>
      <w:r>
        <w:rPr>
          <w:rFonts w:cs="Arial" w:hint="cs"/>
          <w:u w:val="single"/>
          <w:rtl/>
        </w:rPr>
        <w:t xml:space="preserve"> </w:t>
      </w:r>
      <w:r w:rsidRPr="005E0F0B">
        <w:rPr>
          <w:rFonts w:cs="Arial" w:hint="cs"/>
          <w:u w:val="single"/>
          <w:rtl/>
        </w:rPr>
        <w:t>במתא</w:t>
      </w:r>
      <w:r w:rsidRPr="005E0F0B">
        <w:rPr>
          <w:rFonts w:cs="Arial"/>
          <w:u w:val="single"/>
          <w:rtl/>
        </w:rPr>
        <w:t xml:space="preserve"> </w:t>
      </w:r>
      <w:r w:rsidRPr="005E0F0B">
        <w:rPr>
          <w:rFonts w:cs="Arial" w:hint="cs"/>
          <w:u w:val="single"/>
          <w:rtl/>
        </w:rPr>
        <w:t>פלונית</w:t>
      </w:r>
      <w:r>
        <w:rPr>
          <w:rFonts w:cs="Arial" w:hint="cs"/>
          <w:u w:val="single"/>
          <w:rtl/>
        </w:rPr>
        <w:t>/במגרש פלוני/במדינה פלונית</w:t>
      </w:r>
      <w:r w:rsidRPr="005E0F0B">
        <w:rPr>
          <w:rFonts w:cs="Arial" w:hint="cs"/>
          <w:u w:val="single"/>
          <w:rtl/>
        </w:rPr>
        <w:t>:</w:t>
      </w:r>
    </w:p>
    <w:p w14:paraId="10674AD2" w14:textId="302EA911" w:rsidR="00FA2119" w:rsidRDefault="00FA2119" w:rsidP="00FA2119">
      <w:pPr>
        <w:pStyle w:val="ab"/>
        <w:numPr>
          <w:ilvl w:val="0"/>
          <w:numId w:val="66"/>
        </w:numPr>
        <w:rPr>
          <w:rFonts w:cs="Arial"/>
        </w:rPr>
      </w:pPr>
      <w:r>
        <w:rPr>
          <w:rFonts w:cs="Arial" w:hint="cs"/>
          <w:rtl/>
        </w:rPr>
        <w:t xml:space="preserve">מרדכי </w:t>
      </w:r>
      <w:r>
        <w:rPr>
          <w:rFonts w:cs="Arial" w:hint="cs"/>
          <w:sz w:val="16"/>
          <w:szCs w:val="16"/>
          <w:rtl/>
        </w:rPr>
        <w:t>(הל' הגט סי' תנד)</w:t>
      </w:r>
      <w:r>
        <w:rPr>
          <w:rFonts w:cs="Arial" w:hint="cs"/>
          <w:rtl/>
        </w:rPr>
        <w:t xml:space="preserve"> ו</w:t>
      </w:r>
      <w:r w:rsidRPr="005E0F0B">
        <w:rPr>
          <w:rFonts w:cs="Arial" w:hint="cs"/>
          <w:rtl/>
        </w:rPr>
        <w:t>ב"י</w:t>
      </w:r>
      <w:r w:rsidR="00A82951">
        <w:rPr>
          <w:rFonts w:cs="Arial" w:hint="cs"/>
          <w:rtl/>
        </w:rPr>
        <w:t>-</w:t>
      </w:r>
      <w:r w:rsidRPr="005E0F0B">
        <w:rPr>
          <w:rFonts w:cs="Arial" w:hint="cs"/>
          <w:rtl/>
        </w:rPr>
        <w:t xml:space="preserve"> 'במתא פלונית' כן</w:t>
      </w:r>
      <w:r w:rsidRPr="005E0F0B">
        <w:rPr>
          <w:rFonts w:cs="Arial"/>
          <w:rtl/>
        </w:rPr>
        <w:t xml:space="preserve"> </w:t>
      </w:r>
      <w:r w:rsidRPr="005E0F0B">
        <w:rPr>
          <w:rFonts w:cs="Arial" w:hint="cs"/>
          <w:rtl/>
        </w:rPr>
        <w:t>נוהגין</w:t>
      </w:r>
      <w:r w:rsidRPr="005E0F0B">
        <w:rPr>
          <w:rFonts w:cs="Arial"/>
          <w:rtl/>
        </w:rPr>
        <w:t xml:space="preserve"> </w:t>
      </w:r>
      <w:r w:rsidRPr="005E0F0B">
        <w:rPr>
          <w:rFonts w:cs="Arial" w:hint="cs"/>
          <w:rtl/>
        </w:rPr>
        <w:t>לכתוב</w:t>
      </w:r>
      <w:r w:rsidRPr="005E0F0B">
        <w:rPr>
          <w:rFonts w:cs="Arial"/>
          <w:rtl/>
        </w:rPr>
        <w:t xml:space="preserve"> </w:t>
      </w:r>
      <w:r w:rsidRPr="005E0F0B">
        <w:rPr>
          <w:rFonts w:cs="Arial" w:hint="cs"/>
          <w:rtl/>
        </w:rPr>
        <w:t>בין</w:t>
      </w:r>
      <w:r w:rsidRPr="005E0F0B">
        <w:rPr>
          <w:rFonts w:cs="Arial"/>
          <w:rtl/>
        </w:rPr>
        <w:t xml:space="preserve"> </w:t>
      </w:r>
      <w:r w:rsidRPr="005E0F0B">
        <w:rPr>
          <w:rFonts w:cs="Arial" w:hint="cs"/>
          <w:rtl/>
        </w:rPr>
        <w:t>שהיא</w:t>
      </w:r>
      <w:r w:rsidRPr="005E0F0B">
        <w:rPr>
          <w:rFonts w:cs="Arial"/>
          <w:rtl/>
        </w:rPr>
        <w:t xml:space="preserve"> </w:t>
      </w:r>
      <w:r w:rsidRPr="005E0F0B">
        <w:rPr>
          <w:rFonts w:cs="Arial" w:hint="cs"/>
          <w:rtl/>
        </w:rPr>
        <w:t>עיר</w:t>
      </w:r>
      <w:r w:rsidRPr="005E0F0B">
        <w:rPr>
          <w:rFonts w:cs="Arial"/>
          <w:rtl/>
        </w:rPr>
        <w:t xml:space="preserve"> </w:t>
      </w:r>
      <w:r w:rsidRPr="005E0F0B">
        <w:rPr>
          <w:rFonts w:cs="Arial" w:hint="cs"/>
          <w:rtl/>
        </w:rPr>
        <w:t>גדולה</w:t>
      </w:r>
      <w:r w:rsidRPr="005E0F0B">
        <w:rPr>
          <w:rFonts w:cs="Arial"/>
          <w:rtl/>
        </w:rPr>
        <w:t xml:space="preserve"> </w:t>
      </w:r>
      <w:r w:rsidRPr="005E0F0B">
        <w:rPr>
          <w:rFonts w:cs="Arial" w:hint="cs"/>
          <w:rtl/>
        </w:rPr>
        <w:t>בין</w:t>
      </w:r>
      <w:r w:rsidRPr="005E0F0B">
        <w:rPr>
          <w:rFonts w:cs="Arial"/>
          <w:rtl/>
        </w:rPr>
        <w:t xml:space="preserve"> </w:t>
      </w:r>
      <w:r w:rsidRPr="005E0F0B">
        <w:rPr>
          <w:rFonts w:cs="Arial" w:hint="cs"/>
          <w:rtl/>
        </w:rPr>
        <w:t>שהיא</w:t>
      </w:r>
      <w:r w:rsidRPr="005E0F0B">
        <w:rPr>
          <w:rFonts w:cs="Arial"/>
          <w:rtl/>
        </w:rPr>
        <w:t xml:space="preserve"> </w:t>
      </w:r>
      <w:r w:rsidRPr="005E0F0B">
        <w:rPr>
          <w:rFonts w:cs="Arial" w:hint="cs"/>
          <w:rtl/>
        </w:rPr>
        <w:t>עיר</w:t>
      </w:r>
      <w:r w:rsidRPr="005E0F0B">
        <w:rPr>
          <w:rFonts w:cs="Arial"/>
          <w:rtl/>
        </w:rPr>
        <w:t xml:space="preserve"> </w:t>
      </w:r>
      <w:r w:rsidRPr="005E0F0B">
        <w:rPr>
          <w:rFonts w:cs="Arial" w:hint="cs"/>
          <w:rtl/>
        </w:rPr>
        <w:t>קטנה</w:t>
      </w:r>
      <w:r>
        <w:rPr>
          <w:rFonts w:cs="Arial" w:hint="cs"/>
          <w:rtl/>
        </w:rPr>
        <w:t>.</w:t>
      </w:r>
      <w:r w:rsidRPr="005E0F0B">
        <w:rPr>
          <w:rFonts w:cs="Arial"/>
          <w:rtl/>
        </w:rPr>
        <w:t xml:space="preserve"> </w:t>
      </w:r>
      <w:r w:rsidRPr="007A2F9E">
        <w:rPr>
          <w:rFonts w:hint="cs"/>
          <w:color w:val="00B0F0"/>
          <w:rtl/>
        </w:rPr>
        <w:t>(וכ"פ הרמ"א)</w:t>
      </w:r>
    </w:p>
    <w:p w14:paraId="65AE09A4" w14:textId="5EEB60F3" w:rsidR="00FA2119" w:rsidRDefault="00FA2119" w:rsidP="00FA2119">
      <w:pPr>
        <w:pStyle w:val="ab"/>
        <w:numPr>
          <w:ilvl w:val="0"/>
          <w:numId w:val="66"/>
        </w:numPr>
        <w:rPr>
          <w:rFonts w:cs="Arial"/>
        </w:rPr>
      </w:pPr>
      <w:r w:rsidRPr="005E0F0B">
        <w:rPr>
          <w:rFonts w:cs="Arial" w:hint="cs"/>
          <w:rtl/>
        </w:rPr>
        <w:t>י</w:t>
      </w:r>
      <w:r w:rsidR="00EE72EF">
        <w:rPr>
          <w:rFonts w:cs="Arial" w:hint="cs"/>
          <w:rtl/>
        </w:rPr>
        <w:t>"א</w:t>
      </w:r>
      <w:r w:rsidR="00AA1079">
        <w:rPr>
          <w:rStyle w:val="a7"/>
          <w:rFonts w:cs="Arial"/>
          <w:rtl/>
        </w:rPr>
        <w:footnoteReference w:id="974"/>
      </w:r>
      <w:r w:rsidR="00EE72EF">
        <w:rPr>
          <w:rFonts w:cs="Arial" w:hint="cs"/>
          <w:sz w:val="16"/>
          <w:szCs w:val="16"/>
          <w:rtl/>
        </w:rPr>
        <w:t xml:space="preserve"> (הביאם המרדכי סי' תמו)</w:t>
      </w:r>
      <w:r w:rsidR="00A82951">
        <w:rPr>
          <w:rFonts w:cs="Arial" w:hint="cs"/>
          <w:rtl/>
        </w:rPr>
        <w:t>-</w:t>
      </w:r>
      <w:r w:rsidRPr="005E0F0B">
        <w:rPr>
          <w:rFonts w:cs="Arial"/>
          <w:rtl/>
        </w:rPr>
        <w:t xml:space="preserve"> </w:t>
      </w:r>
      <w:r w:rsidRPr="005E0F0B">
        <w:rPr>
          <w:rFonts w:cs="Arial" w:hint="cs"/>
          <w:rtl/>
        </w:rPr>
        <w:t>במגרש</w:t>
      </w:r>
      <w:r w:rsidRPr="005E0F0B">
        <w:rPr>
          <w:rFonts w:cs="Arial"/>
          <w:rtl/>
        </w:rPr>
        <w:t xml:space="preserve"> </w:t>
      </w:r>
      <w:r w:rsidRPr="005E0F0B">
        <w:rPr>
          <w:rFonts w:cs="Arial" w:hint="cs"/>
          <w:rtl/>
        </w:rPr>
        <w:t>פלוני</w:t>
      </w:r>
      <w:r>
        <w:rPr>
          <w:rFonts w:cs="Arial" w:hint="cs"/>
          <w:rtl/>
        </w:rPr>
        <w:t>.</w:t>
      </w:r>
      <w:r w:rsidRPr="005E0F0B">
        <w:rPr>
          <w:rFonts w:cs="Arial"/>
          <w:rtl/>
        </w:rPr>
        <w:t xml:space="preserve"> </w:t>
      </w:r>
    </w:p>
    <w:p w14:paraId="60B4D0FC" w14:textId="5F3DEBD0" w:rsidR="00FA2119" w:rsidRPr="002C4F0A" w:rsidRDefault="00FA2119" w:rsidP="00FA2119">
      <w:pPr>
        <w:pStyle w:val="ab"/>
        <w:numPr>
          <w:ilvl w:val="0"/>
          <w:numId w:val="66"/>
        </w:numPr>
        <w:rPr>
          <w:rFonts w:cs="Arial"/>
        </w:rPr>
      </w:pPr>
      <w:r w:rsidRPr="005E0F0B">
        <w:rPr>
          <w:rFonts w:cs="Arial" w:hint="cs"/>
          <w:rtl/>
        </w:rPr>
        <w:t>ראבי</w:t>
      </w:r>
      <w:r w:rsidRPr="005E0F0B">
        <w:rPr>
          <w:rFonts w:cs="Arial"/>
          <w:rtl/>
        </w:rPr>
        <w:t>"</w:t>
      </w:r>
      <w:r w:rsidRPr="005E0F0B">
        <w:rPr>
          <w:rFonts w:cs="Arial" w:hint="cs"/>
          <w:rtl/>
        </w:rPr>
        <w:t>ה</w:t>
      </w:r>
      <w:r w:rsidRPr="007D6126">
        <w:rPr>
          <w:rFonts w:cs="Arial"/>
          <w:sz w:val="16"/>
          <w:szCs w:val="16"/>
          <w:rtl/>
        </w:rPr>
        <w:t xml:space="preserve"> (</w:t>
      </w:r>
      <w:r w:rsidRPr="007D6126">
        <w:rPr>
          <w:rFonts w:cs="Arial" w:hint="cs"/>
          <w:sz w:val="16"/>
          <w:szCs w:val="16"/>
          <w:rtl/>
        </w:rPr>
        <w:t>בתשובותיו</w:t>
      </w:r>
      <w:r w:rsidRPr="007D6126">
        <w:rPr>
          <w:rFonts w:cs="Arial"/>
          <w:sz w:val="16"/>
          <w:szCs w:val="16"/>
          <w:rtl/>
        </w:rPr>
        <w:t xml:space="preserve"> </w:t>
      </w:r>
      <w:r w:rsidRPr="007D6126">
        <w:rPr>
          <w:rFonts w:cs="Arial" w:hint="cs"/>
          <w:sz w:val="16"/>
          <w:szCs w:val="16"/>
          <w:rtl/>
        </w:rPr>
        <w:t>סי</w:t>
      </w:r>
      <w:r w:rsidRPr="007D6126">
        <w:rPr>
          <w:rFonts w:cs="Arial"/>
          <w:sz w:val="16"/>
          <w:szCs w:val="16"/>
          <w:rtl/>
        </w:rPr>
        <w:t xml:space="preserve">' </w:t>
      </w:r>
      <w:r w:rsidRPr="007D6126">
        <w:rPr>
          <w:rFonts w:cs="Arial" w:hint="cs"/>
          <w:sz w:val="16"/>
          <w:szCs w:val="16"/>
          <w:rtl/>
        </w:rPr>
        <w:t>תתצד</w:t>
      </w:r>
      <w:r>
        <w:rPr>
          <w:rFonts w:cs="Arial" w:hint="cs"/>
          <w:sz w:val="16"/>
          <w:szCs w:val="16"/>
          <w:rtl/>
        </w:rPr>
        <w:t>, כ"כ המרדכי בשמו [סי' תנד]</w:t>
      </w:r>
      <w:r w:rsidRPr="007D6126">
        <w:rPr>
          <w:rFonts w:cs="Arial"/>
          <w:sz w:val="16"/>
          <w:szCs w:val="16"/>
          <w:rtl/>
        </w:rPr>
        <w:t>)</w:t>
      </w:r>
      <w:r w:rsidR="00A82951">
        <w:rPr>
          <w:rFonts w:cs="Arial" w:hint="cs"/>
          <w:rtl/>
        </w:rPr>
        <w:t>-</w:t>
      </w:r>
      <w:r w:rsidRPr="005E0F0B">
        <w:rPr>
          <w:rFonts w:cs="Arial"/>
          <w:rtl/>
        </w:rPr>
        <w:t xml:space="preserve"> </w:t>
      </w:r>
      <w:r w:rsidRPr="005E0F0B">
        <w:rPr>
          <w:rFonts w:cs="Arial" w:hint="cs"/>
          <w:rtl/>
        </w:rPr>
        <w:t>במדינה</w:t>
      </w:r>
      <w:r w:rsidRPr="005E0F0B">
        <w:rPr>
          <w:rFonts w:cs="Arial"/>
          <w:rtl/>
        </w:rPr>
        <w:t xml:space="preserve"> </w:t>
      </w:r>
      <w:r w:rsidRPr="005E0F0B">
        <w:rPr>
          <w:rFonts w:cs="Arial" w:hint="cs"/>
          <w:rtl/>
        </w:rPr>
        <w:t>פלונית</w:t>
      </w:r>
      <w:r>
        <w:rPr>
          <w:rStyle w:val="a7"/>
          <w:rFonts w:cs="Arial"/>
          <w:rtl/>
        </w:rPr>
        <w:footnoteReference w:id="975"/>
      </w:r>
      <w:r w:rsidRPr="002C4F0A">
        <w:rPr>
          <w:rFonts w:cs="Arial" w:hint="cs"/>
          <w:rtl/>
        </w:rPr>
        <w:t>.</w:t>
      </w:r>
    </w:p>
    <w:p w14:paraId="13C24FC8" w14:textId="42F16D29" w:rsidR="00FA2119" w:rsidRDefault="00FA2119" w:rsidP="00FA2119">
      <w:pPr>
        <w:pStyle w:val="ab"/>
        <w:numPr>
          <w:ilvl w:val="1"/>
          <w:numId w:val="66"/>
        </w:numPr>
        <w:rPr>
          <w:rFonts w:cs="Arial"/>
        </w:rPr>
      </w:pPr>
      <w:r w:rsidRPr="00743C99">
        <w:rPr>
          <w:rFonts w:cs="Arial" w:hint="cs"/>
          <w:rtl/>
        </w:rPr>
        <w:t>ב"י</w:t>
      </w:r>
      <w:r w:rsidR="00A82951">
        <w:rPr>
          <w:rFonts w:cs="Arial" w:hint="cs"/>
          <w:rtl/>
        </w:rPr>
        <w:t>-</w:t>
      </w:r>
      <w:r w:rsidRPr="00743C99">
        <w:rPr>
          <w:rFonts w:cs="Arial" w:hint="cs"/>
          <w:rtl/>
        </w:rPr>
        <w:t xml:space="preserve"> והמנהג</w:t>
      </w:r>
      <w:r w:rsidRPr="00743C99">
        <w:rPr>
          <w:rFonts w:cs="Arial"/>
          <w:rtl/>
        </w:rPr>
        <w:t xml:space="preserve"> </w:t>
      </w:r>
      <w:r w:rsidRPr="00743C99">
        <w:rPr>
          <w:rFonts w:cs="Arial" w:hint="cs"/>
          <w:rtl/>
        </w:rPr>
        <w:t>הפשוט</w:t>
      </w:r>
      <w:r w:rsidRPr="00743C99">
        <w:rPr>
          <w:rFonts w:cs="Arial"/>
          <w:rtl/>
        </w:rPr>
        <w:t xml:space="preserve"> </w:t>
      </w:r>
      <w:r w:rsidRPr="00743C99">
        <w:rPr>
          <w:rFonts w:cs="Arial" w:hint="cs"/>
          <w:rtl/>
        </w:rPr>
        <w:t>לכתוב</w:t>
      </w:r>
      <w:r w:rsidRPr="00743C99">
        <w:rPr>
          <w:rFonts w:cs="Arial"/>
          <w:rtl/>
        </w:rPr>
        <w:t xml:space="preserve"> </w:t>
      </w:r>
      <w:r w:rsidRPr="00743C99">
        <w:rPr>
          <w:rFonts w:cs="Arial" w:hint="cs"/>
          <w:rtl/>
        </w:rPr>
        <w:t>מתא</w:t>
      </w:r>
      <w:r>
        <w:rPr>
          <w:rStyle w:val="a7"/>
          <w:rFonts w:cs="Arial"/>
          <w:rtl/>
        </w:rPr>
        <w:footnoteReference w:id="976"/>
      </w:r>
      <w:r w:rsidRPr="00743C99">
        <w:rPr>
          <w:rFonts w:cs="Arial"/>
          <w:rtl/>
        </w:rPr>
        <w:t xml:space="preserve"> </w:t>
      </w:r>
      <w:r w:rsidRPr="00743C99">
        <w:rPr>
          <w:rFonts w:cs="Arial" w:hint="cs"/>
          <w:rtl/>
        </w:rPr>
        <w:t>ולא</w:t>
      </w:r>
      <w:r w:rsidRPr="00743C99">
        <w:rPr>
          <w:rFonts w:cs="Arial"/>
          <w:rtl/>
        </w:rPr>
        <w:t xml:space="preserve"> </w:t>
      </w:r>
      <w:r w:rsidRPr="00743C99">
        <w:rPr>
          <w:rFonts w:cs="Arial" w:hint="cs"/>
          <w:rtl/>
        </w:rPr>
        <w:t>לכתוב</w:t>
      </w:r>
      <w:r w:rsidRPr="00743C99">
        <w:rPr>
          <w:rFonts w:cs="Arial"/>
          <w:rtl/>
        </w:rPr>
        <w:t xml:space="preserve"> </w:t>
      </w:r>
      <w:r w:rsidRPr="00743C99">
        <w:rPr>
          <w:rFonts w:cs="Arial" w:hint="cs"/>
          <w:rtl/>
        </w:rPr>
        <w:t>לא</w:t>
      </w:r>
      <w:r w:rsidRPr="00743C99">
        <w:rPr>
          <w:rFonts w:cs="Arial"/>
          <w:rtl/>
        </w:rPr>
        <w:t xml:space="preserve"> </w:t>
      </w:r>
      <w:r w:rsidRPr="00743C99">
        <w:rPr>
          <w:rFonts w:cs="Arial" w:hint="cs"/>
          <w:rtl/>
        </w:rPr>
        <w:t>מגרש</w:t>
      </w:r>
      <w:r w:rsidRPr="00743C99">
        <w:rPr>
          <w:rFonts w:cs="Arial"/>
          <w:rtl/>
        </w:rPr>
        <w:t xml:space="preserve"> </w:t>
      </w:r>
      <w:r w:rsidRPr="00743C99">
        <w:rPr>
          <w:rFonts w:cs="Arial" w:hint="cs"/>
          <w:rtl/>
        </w:rPr>
        <w:t>ולא</w:t>
      </w:r>
      <w:r w:rsidRPr="00743C99">
        <w:rPr>
          <w:rFonts w:cs="Arial"/>
          <w:rtl/>
        </w:rPr>
        <w:t xml:space="preserve"> </w:t>
      </w:r>
      <w:r w:rsidRPr="00743C99">
        <w:rPr>
          <w:rFonts w:cs="Arial" w:hint="cs"/>
          <w:rtl/>
        </w:rPr>
        <w:t>מדינה</w:t>
      </w:r>
      <w:r>
        <w:rPr>
          <w:rFonts w:cs="Arial" w:hint="cs"/>
          <w:rtl/>
        </w:rPr>
        <w:t>,</w:t>
      </w:r>
      <w:r w:rsidRPr="00743C99">
        <w:rPr>
          <w:rFonts w:cs="Arial"/>
          <w:rtl/>
        </w:rPr>
        <w:t xml:space="preserve"> </w:t>
      </w:r>
      <w:r w:rsidRPr="00743C99">
        <w:rPr>
          <w:rFonts w:cs="Arial" w:hint="cs"/>
          <w:rtl/>
        </w:rPr>
        <w:t>ונכון</w:t>
      </w:r>
      <w:r w:rsidRPr="00743C99">
        <w:rPr>
          <w:rFonts w:cs="Arial"/>
          <w:rtl/>
        </w:rPr>
        <w:t xml:space="preserve"> </w:t>
      </w:r>
      <w:r w:rsidRPr="00743C99">
        <w:rPr>
          <w:rFonts w:cs="Arial" w:hint="cs"/>
          <w:rtl/>
        </w:rPr>
        <w:t>הוא</w:t>
      </w:r>
      <w:r>
        <w:rPr>
          <w:rFonts w:cs="Arial" w:hint="cs"/>
          <w:rtl/>
        </w:rPr>
        <w:t>,</w:t>
      </w:r>
      <w:r w:rsidRPr="00743C99">
        <w:rPr>
          <w:rFonts w:cs="Arial"/>
          <w:rtl/>
        </w:rPr>
        <w:t xml:space="preserve"> </w:t>
      </w:r>
      <w:r w:rsidRPr="00743C99">
        <w:rPr>
          <w:rFonts w:cs="Arial" w:hint="cs"/>
          <w:rtl/>
        </w:rPr>
        <w:t>דלית</w:t>
      </w:r>
      <w:r w:rsidRPr="00743C99">
        <w:rPr>
          <w:rFonts w:cs="Arial"/>
          <w:rtl/>
        </w:rPr>
        <w:t xml:space="preserve"> </w:t>
      </w:r>
      <w:r w:rsidRPr="00743C99">
        <w:rPr>
          <w:rFonts w:cs="Arial" w:hint="cs"/>
          <w:rtl/>
        </w:rPr>
        <w:t>ביה</w:t>
      </w:r>
      <w:r w:rsidRPr="00743C99">
        <w:rPr>
          <w:rFonts w:cs="Arial"/>
          <w:rtl/>
        </w:rPr>
        <w:t xml:space="preserve"> </w:t>
      </w:r>
      <w:r w:rsidRPr="00743C99">
        <w:rPr>
          <w:rFonts w:cs="Arial" w:hint="cs"/>
          <w:rtl/>
        </w:rPr>
        <w:t>ספיקא</w:t>
      </w:r>
      <w:r w:rsidRPr="00743C99">
        <w:rPr>
          <w:rFonts w:cs="Arial"/>
          <w:rtl/>
        </w:rPr>
        <w:t xml:space="preserve"> </w:t>
      </w:r>
      <w:r w:rsidRPr="00743C99">
        <w:rPr>
          <w:rFonts w:cs="Arial" w:hint="cs"/>
          <w:rtl/>
        </w:rPr>
        <w:t>כמו</w:t>
      </w:r>
      <w:r w:rsidRPr="00743C99">
        <w:rPr>
          <w:rFonts w:cs="Arial"/>
          <w:rtl/>
        </w:rPr>
        <w:t xml:space="preserve"> </w:t>
      </w:r>
      <w:r w:rsidRPr="00743C99">
        <w:rPr>
          <w:rFonts w:cs="Arial" w:hint="cs"/>
          <w:rtl/>
        </w:rPr>
        <w:t>במגרש</w:t>
      </w:r>
      <w:r w:rsidRPr="00743C99">
        <w:rPr>
          <w:rFonts w:cs="Arial"/>
          <w:rtl/>
        </w:rPr>
        <w:t xml:space="preserve"> </w:t>
      </w:r>
      <w:r w:rsidRPr="00743C99">
        <w:rPr>
          <w:rFonts w:cs="Arial" w:hint="cs"/>
          <w:rtl/>
        </w:rPr>
        <w:t>או</w:t>
      </w:r>
      <w:r w:rsidRPr="00743C99">
        <w:rPr>
          <w:rFonts w:cs="Arial"/>
          <w:rtl/>
        </w:rPr>
        <w:t xml:space="preserve"> </w:t>
      </w:r>
      <w:r w:rsidRPr="00743C99">
        <w:rPr>
          <w:rFonts w:cs="Arial" w:hint="cs"/>
          <w:rtl/>
        </w:rPr>
        <w:t>מדינה</w:t>
      </w:r>
      <w:r>
        <w:rPr>
          <w:rFonts w:cs="Arial" w:hint="cs"/>
          <w:rtl/>
        </w:rPr>
        <w:t>.</w:t>
      </w:r>
      <w:r w:rsidRPr="00743C99">
        <w:rPr>
          <w:rFonts w:cs="Arial"/>
          <w:rtl/>
        </w:rPr>
        <w:t xml:space="preserve"> </w:t>
      </w:r>
      <w:r w:rsidRPr="00743C99">
        <w:rPr>
          <w:rFonts w:cs="Arial" w:hint="cs"/>
          <w:rtl/>
        </w:rPr>
        <w:t>וכן</w:t>
      </w:r>
      <w:r w:rsidRPr="00743C99">
        <w:rPr>
          <w:rFonts w:cs="Arial"/>
          <w:rtl/>
        </w:rPr>
        <w:t xml:space="preserve"> </w:t>
      </w:r>
      <w:r w:rsidRPr="00743C99">
        <w:rPr>
          <w:rFonts w:cs="Arial" w:hint="cs"/>
          <w:rtl/>
        </w:rPr>
        <w:t>כתוב</w:t>
      </w:r>
      <w:r w:rsidRPr="00743C99">
        <w:rPr>
          <w:rFonts w:cs="Arial"/>
          <w:rtl/>
        </w:rPr>
        <w:t xml:space="preserve"> </w:t>
      </w:r>
      <w:r w:rsidRPr="00743C99">
        <w:rPr>
          <w:rFonts w:cs="Arial" w:hint="cs"/>
          <w:rtl/>
        </w:rPr>
        <w:t>בטופסי</w:t>
      </w:r>
      <w:r w:rsidRPr="00743C99">
        <w:rPr>
          <w:rFonts w:cs="Arial"/>
          <w:rtl/>
        </w:rPr>
        <w:t xml:space="preserve"> </w:t>
      </w:r>
      <w:r w:rsidRPr="00743C99">
        <w:rPr>
          <w:rFonts w:cs="Arial" w:hint="cs"/>
          <w:rtl/>
        </w:rPr>
        <w:t>המחברים.</w:t>
      </w:r>
    </w:p>
    <w:p w14:paraId="207B6547" w14:textId="77777777" w:rsidR="00FA2119" w:rsidRPr="004D6D58" w:rsidRDefault="00FA2119" w:rsidP="00FA2119">
      <w:pPr>
        <w:ind w:left="360"/>
        <w:rPr>
          <w:rFonts w:cs="Arial"/>
          <w:u w:val="dotted"/>
        </w:rPr>
      </w:pPr>
      <w:r w:rsidRPr="004D6D58">
        <w:rPr>
          <w:rFonts w:cs="Arial" w:hint="cs"/>
          <w:u w:val="dotted"/>
          <w:rtl/>
        </w:rPr>
        <w:t xml:space="preserve">האם </w:t>
      </w:r>
      <w:r>
        <w:rPr>
          <w:rFonts w:cs="Arial" w:hint="cs"/>
          <w:u w:val="dotted"/>
          <w:rtl/>
        </w:rPr>
        <w:t>כותבים 'במתא פלונית' או 'בפלונית מתא':</w:t>
      </w:r>
    </w:p>
    <w:p w14:paraId="38E9226B" w14:textId="260E8E3D" w:rsidR="00FA2119" w:rsidRDefault="00FA2119" w:rsidP="00FA2119">
      <w:pPr>
        <w:pStyle w:val="ab"/>
        <w:numPr>
          <w:ilvl w:val="0"/>
          <w:numId w:val="66"/>
        </w:numPr>
        <w:rPr>
          <w:rFonts w:cs="Arial"/>
        </w:rPr>
      </w:pPr>
      <w:r>
        <w:rPr>
          <w:rFonts w:cs="Arial" w:hint="cs"/>
          <w:rtl/>
        </w:rPr>
        <w:t>הגמ"ר</w:t>
      </w:r>
      <w:r w:rsidRPr="004D6D58">
        <w:rPr>
          <w:rFonts w:cs="Arial"/>
          <w:rtl/>
        </w:rPr>
        <w:t xml:space="preserve"> </w:t>
      </w:r>
      <w:r w:rsidRPr="004D6D58">
        <w:rPr>
          <w:rFonts w:cs="Arial"/>
          <w:sz w:val="16"/>
          <w:szCs w:val="16"/>
          <w:rtl/>
        </w:rPr>
        <w:t>(</w:t>
      </w:r>
      <w:r w:rsidRPr="004D6D58">
        <w:rPr>
          <w:rFonts w:cs="Arial" w:hint="cs"/>
          <w:sz w:val="16"/>
          <w:szCs w:val="16"/>
          <w:rtl/>
        </w:rPr>
        <w:t>סי</w:t>
      </w:r>
      <w:r w:rsidRPr="004D6D58">
        <w:rPr>
          <w:rFonts w:cs="Arial"/>
          <w:sz w:val="16"/>
          <w:szCs w:val="16"/>
          <w:rtl/>
        </w:rPr>
        <w:t xml:space="preserve">' </w:t>
      </w:r>
      <w:r w:rsidRPr="004D6D58">
        <w:rPr>
          <w:rFonts w:cs="Arial" w:hint="cs"/>
          <w:sz w:val="16"/>
          <w:szCs w:val="16"/>
          <w:rtl/>
        </w:rPr>
        <w:t>תנו</w:t>
      </w:r>
      <w:r w:rsidRPr="004D6D58">
        <w:rPr>
          <w:rFonts w:cs="Arial"/>
          <w:sz w:val="16"/>
          <w:szCs w:val="16"/>
          <w:rtl/>
        </w:rPr>
        <w:t>)</w:t>
      </w:r>
      <w:r w:rsidR="00A82951">
        <w:rPr>
          <w:rFonts w:cs="Arial" w:hint="cs"/>
          <w:rtl/>
        </w:rPr>
        <w:t>-</w:t>
      </w:r>
      <w:r w:rsidRPr="004D6D58">
        <w:rPr>
          <w:rFonts w:cs="Arial"/>
          <w:rtl/>
        </w:rPr>
        <w:t xml:space="preserve"> </w:t>
      </w:r>
      <w:r w:rsidRPr="004D6D58">
        <w:rPr>
          <w:rFonts w:cs="Arial" w:hint="cs"/>
          <w:rtl/>
        </w:rPr>
        <w:t>ולענין</w:t>
      </w:r>
      <w:r w:rsidRPr="004D6D58">
        <w:rPr>
          <w:rFonts w:cs="Arial"/>
          <w:rtl/>
        </w:rPr>
        <w:t xml:space="preserve"> </w:t>
      </w:r>
      <w:r w:rsidRPr="004D6D58">
        <w:rPr>
          <w:rFonts w:cs="Arial" w:hint="cs"/>
          <w:rtl/>
        </w:rPr>
        <w:t>להקדים</w:t>
      </w:r>
      <w:r w:rsidRPr="004D6D58">
        <w:rPr>
          <w:rFonts w:cs="Arial"/>
          <w:rtl/>
        </w:rPr>
        <w:t xml:space="preserve"> </w:t>
      </w:r>
      <w:r w:rsidRPr="004D6D58">
        <w:rPr>
          <w:rFonts w:cs="Arial" w:hint="cs"/>
          <w:rtl/>
        </w:rPr>
        <w:t>שם</w:t>
      </w:r>
      <w:r w:rsidRPr="004D6D58">
        <w:rPr>
          <w:rFonts w:cs="Arial"/>
          <w:rtl/>
        </w:rPr>
        <w:t xml:space="preserve"> </w:t>
      </w:r>
      <w:r w:rsidRPr="004D6D58">
        <w:rPr>
          <w:rFonts w:cs="Arial" w:hint="cs"/>
          <w:rtl/>
        </w:rPr>
        <w:t>העיר</w:t>
      </w:r>
      <w:r w:rsidRPr="004D6D58">
        <w:rPr>
          <w:rFonts w:cs="Arial"/>
          <w:rtl/>
        </w:rPr>
        <w:t xml:space="preserve"> </w:t>
      </w:r>
      <w:r w:rsidRPr="004D6D58">
        <w:rPr>
          <w:rFonts w:cs="Arial" w:hint="cs"/>
          <w:rtl/>
        </w:rPr>
        <w:t>למלת</w:t>
      </w:r>
      <w:r w:rsidRPr="004D6D58">
        <w:rPr>
          <w:rFonts w:cs="Arial"/>
          <w:rtl/>
        </w:rPr>
        <w:t xml:space="preserve"> </w:t>
      </w:r>
      <w:r w:rsidRPr="004D6D58">
        <w:rPr>
          <w:rFonts w:cs="Arial" w:hint="cs"/>
          <w:rtl/>
        </w:rPr>
        <w:t>מתא</w:t>
      </w:r>
      <w:r w:rsidRPr="004D6D58">
        <w:rPr>
          <w:rFonts w:cs="Arial"/>
          <w:rtl/>
        </w:rPr>
        <w:t xml:space="preserve"> </w:t>
      </w:r>
      <w:r w:rsidRPr="004D6D58">
        <w:rPr>
          <w:rFonts w:cs="Arial" w:hint="cs"/>
          <w:rtl/>
        </w:rPr>
        <w:t>כגון</w:t>
      </w:r>
      <w:r w:rsidRPr="004D6D58">
        <w:rPr>
          <w:rFonts w:cs="Arial"/>
          <w:rtl/>
        </w:rPr>
        <w:t xml:space="preserve"> </w:t>
      </w:r>
      <w:r w:rsidRPr="004D6D58">
        <w:rPr>
          <w:rFonts w:cs="Arial" w:hint="cs"/>
          <w:rtl/>
        </w:rPr>
        <w:t>שיכתוב</w:t>
      </w:r>
      <w:r w:rsidRPr="004D6D58">
        <w:rPr>
          <w:rFonts w:cs="Arial"/>
          <w:rtl/>
        </w:rPr>
        <w:t xml:space="preserve"> </w:t>
      </w:r>
      <w:r>
        <w:rPr>
          <w:rFonts w:cs="Arial" w:hint="cs"/>
          <w:rtl/>
        </w:rPr>
        <w:t>'</w:t>
      </w:r>
      <w:r w:rsidRPr="004D6D58">
        <w:rPr>
          <w:rFonts w:cs="Arial" w:hint="cs"/>
          <w:rtl/>
        </w:rPr>
        <w:t>בפלונית</w:t>
      </w:r>
      <w:r w:rsidRPr="004D6D58">
        <w:rPr>
          <w:rFonts w:cs="Arial"/>
          <w:rtl/>
        </w:rPr>
        <w:t xml:space="preserve"> </w:t>
      </w:r>
      <w:r w:rsidRPr="004D6D58">
        <w:rPr>
          <w:rFonts w:cs="Arial" w:hint="cs"/>
          <w:rtl/>
        </w:rPr>
        <w:t>מתא</w:t>
      </w:r>
      <w:r>
        <w:rPr>
          <w:rFonts w:cs="Arial" w:hint="cs"/>
          <w:rtl/>
        </w:rPr>
        <w:t>',</w:t>
      </w:r>
      <w:r w:rsidRPr="004D6D58">
        <w:rPr>
          <w:rFonts w:cs="Arial"/>
          <w:rtl/>
        </w:rPr>
        <w:t xml:space="preserve"> </w:t>
      </w:r>
      <w:r w:rsidRPr="004D6D58">
        <w:rPr>
          <w:rFonts w:cs="Arial" w:hint="cs"/>
          <w:rtl/>
        </w:rPr>
        <w:t>או</w:t>
      </w:r>
      <w:r w:rsidRPr="004D6D58">
        <w:rPr>
          <w:rFonts w:cs="Arial"/>
          <w:rtl/>
        </w:rPr>
        <w:t xml:space="preserve"> </w:t>
      </w:r>
      <w:r w:rsidRPr="004D6D58">
        <w:rPr>
          <w:rFonts w:cs="Arial" w:hint="cs"/>
          <w:rtl/>
        </w:rPr>
        <w:t>להקדים</w:t>
      </w:r>
      <w:r w:rsidRPr="004D6D58">
        <w:rPr>
          <w:rFonts w:cs="Arial"/>
          <w:rtl/>
        </w:rPr>
        <w:t xml:space="preserve"> </w:t>
      </w:r>
      <w:r w:rsidRPr="004D6D58">
        <w:rPr>
          <w:rFonts w:cs="Arial" w:hint="cs"/>
          <w:rtl/>
        </w:rPr>
        <w:t>מלת</w:t>
      </w:r>
      <w:r w:rsidRPr="004D6D58">
        <w:rPr>
          <w:rFonts w:cs="Arial"/>
          <w:rtl/>
        </w:rPr>
        <w:t xml:space="preserve"> </w:t>
      </w:r>
      <w:r w:rsidRPr="004D6D58">
        <w:rPr>
          <w:rFonts w:cs="Arial" w:hint="cs"/>
          <w:rtl/>
        </w:rPr>
        <w:t>מתא</w:t>
      </w:r>
      <w:r w:rsidRPr="004D6D58">
        <w:rPr>
          <w:rFonts w:cs="Arial"/>
          <w:rtl/>
        </w:rPr>
        <w:t xml:space="preserve"> </w:t>
      </w:r>
      <w:r w:rsidRPr="004D6D58">
        <w:rPr>
          <w:rFonts w:cs="Arial" w:hint="cs"/>
          <w:rtl/>
        </w:rPr>
        <w:t>לשם</w:t>
      </w:r>
      <w:r w:rsidRPr="004D6D58">
        <w:rPr>
          <w:rFonts w:cs="Arial"/>
          <w:rtl/>
        </w:rPr>
        <w:t xml:space="preserve"> </w:t>
      </w:r>
      <w:r w:rsidRPr="004D6D58">
        <w:rPr>
          <w:rFonts w:cs="Arial" w:hint="cs"/>
          <w:rtl/>
        </w:rPr>
        <w:t>העיר</w:t>
      </w:r>
      <w:r w:rsidRPr="004D6D58">
        <w:rPr>
          <w:rFonts w:cs="Arial"/>
          <w:rtl/>
        </w:rPr>
        <w:t xml:space="preserve"> </w:t>
      </w:r>
      <w:r w:rsidRPr="004D6D58">
        <w:rPr>
          <w:rFonts w:cs="Arial" w:hint="cs"/>
          <w:rtl/>
        </w:rPr>
        <w:t>כגון</w:t>
      </w:r>
      <w:r w:rsidRPr="004D6D58">
        <w:rPr>
          <w:rFonts w:cs="Arial"/>
          <w:rtl/>
        </w:rPr>
        <w:t xml:space="preserve"> </w:t>
      </w:r>
      <w:r w:rsidRPr="004D6D58">
        <w:rPr>
          <w:rFonts w:cs="Arial" w:hint="cs"/>
          <w:rtl/>
        </w:rPr>
        <w:t>שיכתוב</w:t>
      </w:r>
      <w:r w:rsidRPr="004D6D58">
        <w:rPr>
          <w:rFonts w:cs="Arial"/>
          <w:rtl/>
        </w:rPr>
        <w:t xml:space="preserve"> </w:t>
      </w:r>
      <w:r>
        <w:rPr>
          <w:rFonts w:cs="Arial" w:hint="cs"/>
          <w:rtl/>
        </w:rPr>
        <w:t>'</w:t>
      </w:r>
      <w:r w:rsidRPr="004D6D58">
        <w:rPr>
          <w:rFonts w:cs="Arial" w:hint="cs"/>
          <w:rtl/>
        </w:rPr>
        <w:t>במתא</w:t>
      </w:r>
      <w:r w:rsidRPr="004D6D58">
        <w:rPr>
          <w:rFonts w:cs="Arial"/>
          <w:rtl/>
        </w:rPr>
        <w:t xml:space="preserve"> </w:t>
      </w:r>
      <w:r w:rsidRPr="004D6D58">
        <w:rPr>
          <w:rFonts w:cs="Arial" w:hint="cs"/>
          <w:rtl/>
        </w:rPr>
        <w:t>פלונית</w:t>
      </w:r>
      <w:r>
        <w:rPr>
          <w:rFonts w:cs="Arial" w:hint="cs"/>
          <w:rtl/>
        </w:rPr>
        <w:t>'</w:t>
      </w:r>
      <w:r w:rsidRPr="004D6D58">
        <w:rPr>
          <w:rFonts w:cs="Arial"/>
          <w:rtl/>
        </w:rPr>
        <w:t xml:space="preserve"> </w:t>
      </w:r>
      <w:r w:rsidR="00A82951">
        <w:rPr>
          <w:rFonts w:cs="Arial" w:hint="cs"/>
          <w:rtl/>
        </w:rPr>
        <w:t>-</w:t>
      </w:r>
      <w:r>
        <w:rPr>
          <w:rFonts w:cs="Arial" w:hint="cs"/>
          <w:rtl/>
        </w:rPr>
        <w:t xml:space="preserve"> </w:t>
      </w:r>
      <w:r w:rsidRPr="004D6D58">
        <w:rPr>
          <w:rFonts w:cs="Arial" w:hint="cs"/>
          <w:rtl/>
        </w:rPr>
        <w:t>אין</w:t>
      </w:r>
      <w:r w:rsidRPr="004D6D58">
        <w:rPr>
          <w:rFonts w:cs="Arial"/>
          <w:rtl/>
        </w:rPr>
        <w:t xml:space="preserve"> </w:t>
      </w:r>
      <w:r w:rsidRPr="004D6D58">
        <w:rPr>
          <w:rFonts w:cs="Arial" w:hint="cs"/>
          <w:rtl/>
        </w:rPr>
        <w:t>קפידא</w:t>
      </w:r>
      <w:r w:rsidRPr="004D6D58">
        <w:rPr>
          <w:rFonts w:cs="Arial"/>
          <w:rtl/>
        </w:rPr>
        <w:t xml:space="preserve"> </w:t>
      </w:r>
      <w:r w:rsidRPr="004D6D58">
        <w:rPr>
          <w:rFonts w:cs="Arial" w:hint="cs"/>
          <w:rtl/>
        </w:rPr>
        <w:t>מדאמרינן</w:t>
      </w:r>
      <w:r w:rsidRPr="004D6D58">
        <w:rPr>
          <w:rFonts w:cs="Arial"/>
          <w:rtl/>
        </w:rPr>
        <w:t xml:space="preserve"> </w:t>
      </w:r>
      <w:r w:rsidRPr="004D6D58">
        <w:rPr>
          <w:rFonts w:cs="Arial" w:hint="cs"/>
          <w:rtl/>
        </w:rPr>
        <w:t>בהאשה</w:t>
      </w:r>
      <w:r w:rsidRPr="004D6D58">
        <w:rPr>
          <w:rFonts w:cs="Arial"/>
          <w:rtl/>
        </w:rPr>
        <w:t xml:space="preserve"> </w:t>
      </w:r>
      <w:r w:rsidRPr="004D6D58">
        <w:rPr>
          <w:rFonts w:cs="Arial" w:hint="cs"/>
          <w:rtl/>
        </w:rPr>
        <w:t>שלום</w:t>
      </w:r>
      <w:r w:rsidRPr="004D6D58">
        <w:rPr>
          <w:rFonts w:cs="Arial"/>
          <w:rtl/>
        </w:rPr>
        <w:t xml:space="preserve"> </w:t>
      </w:r>
      <w:r w:rsidRPr="004D6D58">
        <w:rPr>
          <w:rFonts w:cs="Arial"/>
          <w:sz w:val="16"/>
          <w:szCs w:val="16"/>
          <w:rtl/>
        </w:rPr>
        <w:t>(</w:t>
      </w:r>
      <w:r w:rsidRPr="004D6D58">
        <w:rPr>
          <w:rFonts w:cs="Arial" w:hint="cs"/>
          <w:sz w:val="16"/>
          <w:szCs w:val="16"/>
          <w:rtl/>
        </w:rPr>
        <w:t>יבמות</w:t>
      </w:r>
      <w:r w:rsidRPr="004D6D58">
        <w:rPr>
          <w:rFonts w:cs="Arial"/>
          <w:sz w:val="16"/>
          <w:szCs w:val="16"/>
          <w:rtl/>
        </w:rPr>
        <w:t xml:space="preserve"> </w:t>
      </w:r>
      <w:r w:rsidRPr="004D6D58">
        <w:rPr>
          <w:rFonts w:cs="Arial" w:hint="cs"/>
          <w:sz w:val="16"/>
          <w:szCs w:val="16"/>
          <w:rtl/>
        </w:rPr>
        <w:t>קטו</w:t>
      </w:r>
      <w:r w:rsidRPr="004D6D58">
        <w:rPr>
          <w:rFonts w:cs="Arial"/>
          <w:sz w:val="16"/>
          <w:szCs w:val="16"/>
          <w:rtl/>
        </w:rPr>
        <w:t xml:space="preserve">: </w:t>
      </w:r>
      <w:r w:rsidRPr="004D6D58">
        <w:rPr>
          <w:rFonts w:cs="Arial" w:hint="cs"/>
          <w:sz w:val="16"/>
          <w:szCs w:val="16"/>
          <w:rtl/>
        </w:rPr>
        <w:t>קטז</w:t>
      </w:r>
      <w:r w:rsidRPr="004D6D58">
        <w:rPr>
          <w:rFonts w:cs="Arial"/>
          <w:sz w:val="16"/>
          <w:szCs w:val="16"/>
          <w:rtl/>
        </w:rPr>
        <w:t xml:space="preserve">.) </w:t>
      </w:r>
      <w:r w:rsidRPr="004D6D58">
        <w:rPr>
          <w:rFonts w:cs="Arial" w:hint="cs"/>
          <w:rtl/>
        </w:rPr>
        <w:t>בסורא</w:t>
      </w:r>
      <w:r w:rsidRPr="004D6D58">
        <w:rPr>
          <w:rFonts w:cs="Arial"/>
          <w:rtl/>
        </w:rPr>
        <w:t xml:space="preserve"> </w:t>
      </w:r>
      <w:r w:rsidRPr="004D6D58">
        <w:rPr>
          <w:rFonts w:cs="Arial" w:hint="cs"/>
          <w:rtl/>
        </w:rPr>
        <w:t>מתא</w:t>
      </w:r>
      <w:r w:rsidRPr="004D6D58">
        <w:rPr>
          <w:rFonts w:cs="Arial"/>
          <w:rtl/>
        </w:rPr>
        <w:t xml:space="preserve"> </w:t>
      </w:r>
      <w:r w:rsidRPr="004D6D58">
        <w:rPr>
          <w:rFonts w:cs="Arial" w:hint="cs"/>
          <w:rtl/>
        </w:rPr>
        <w:t>בצד</w:t>
      </w:r>
      <w:r w:rsidRPr="004D6D58">
        <w:rPr>
          <w:rFonts w:cs="Arial"/>
          <w:rtl/>
        </w:rPr>
        <w:t xml:space="preserve"> </w:t>
      </w:r>
      <w:r w:rsidRPr="004D6D58">
        <w:rPr>
          <w:rFonts w:cs="Arial" w:hint="cs"/>
          <w:rtl/>
        </w:rPr>
        <w:t>קלניא</w:t>
      </w:r>
      <w:r w:rsidRPr="004D6D58">
        <w:rPr>
          <w:rFonts w:cs="Arial"/>
          <w:rtl/>
        </w:rPr>
        <w:t xml:space="preserve"> </w:t>
      </w:r>
      <w:r w:rsidRPr="004D6D58">
        <w:rPr>
          <w:rFonts w:cs="Arial" w:hint="cs"/>
          <w:rtl/>
        </w:rPr>
        <w:t>מתא</w:t>
      </w:r>
      <w:r>
        <w:rPr>
          <w:rFonts w:cs="Arial" w:hint="cs"/>
          <w:sz w:val="16"/>
          <w:szCs w:val="16"/>
          <w:rtl/>
        </w:rPr>
        <w:t xml:space="preserve"> (ל' הב"י בשמו)</w:t>
      </w:r>
      <w:r w:rsidRPr="004D6D58">
        <w:rPr>
          <w:rFonts w:cs="Arial" w:hint="cs"/>
          <w:rtl/>
        </w:rPr>
        <w:t>.</w:t>
      </w:r>
    </w:p>
    <w:p w14:paraId="62DA439A" w14:textId="7C19C1D8" w:rsidR="00FA2119" w:rsidRPr="004D6D58" w:rsidRDefault="00FA2119" w:rsidP="00FA2119">
      <w:pPr>
        <w:pStyle w:val="ab"/>
        <w:numPr>
          <w:ilvl w:val="0"/>
          <w:numId w:val="66"/>
        </w:numPr>
        <w:rPr>
          <w:rFonts w:cs="Arial"/>
          <w:rtl/>
        </w:rPr>
      </w:pPr>
      <w:r w:rsidRPr="003C7C89">
        <w:rPr>
          <w:rFonts w:cs="Arial" w:hint="cs"/>
          <w:rtl/>
        </w:rPr>
        <w:t>סדר</w:t>
      </w:r>
      <w:r w:rsidRPr="003C7C89">
        <w:rPr>
          <w:rFonts w:cs="Arial"/>
          <w:rtl/>
        </w:rPr>
        <w:t xml:space="preserve"> </w:t>
      </w:r>
      <w:r w:rsidRPr="003C7C89">
        <w:rPr>
          <w:rFonts w:cs="Arial" w:hint="cs"/>
          <w:rtl/>
        </w:rPr>
        <w:t>גיטין</w:t>
      </w:r>
      <w:r w:rsidRPr="003C7C89">
        <w:rPr>
          <w:rFonts w:cs="Arial"/>
          <w:rtl/>
        </w:rPr>
        <w:t xml:space="preserve"> </w:t>
      </w:r>
      <w:r w:rsidRPr="004D6D58">
        <w:rPr>
          <w:rFonts w:cs="Arial" w:hint="cs"/>
          <w:sz w:val="16"/>
          <w:szCs w:val="16"/>
          <w:rtl/>
        </w:rPr>
        <w:t>(סי'</w:t>
      </w:r>
      <w:r w:rsidRPr="004D6D58">
        <w:rPr>
          <w:rFonts w:cs="Arial"/>
          <w:sz w:val="16"/>
          <w:szCs w:val="16"/>
          <w:rtl/>
        </w:rPr>
        <w:t xml:space="preserve"> </w:t>
      </w:r>
      <w:r w:rsidRPr="004D6D58">
        <w:rPr>
          <w:rFonts w:cs="Arial" w:hint="cs"/>
          <w:sz w:val="16"/>
          <w:szCs w:val="16"/>
          <w:rtl/>
        </w:rPr>
        <w:t>יט</w:t>
      </w:r>
      <w:r w:rsidRPr="004D6D58">
        <w:rPr>
          <w:rFonts w:cs="Arial"/>
          <w:sz w:val="16"/>
          <w:szCs w:val="16"/>
          <w:rtl/>
        </w:rPr>
        <w:t xml:space="preserve"> </w:t>
      </w:r>
      <w:r w:rsidRPr="004D6D58">
        <w:rPr>
          <w:rFonts w:cs="Arial" w:hint="cs"/>
          <w:sz w:val="16"/>
          <w:szCs w:val="16"/>
          <w:rtl/>
        </w:rPr>
        <w:t>סע'</w:t>
      </w:r>
      <w:r w:rsidRPr="004D6D58">
        <w:rPr>
          <w:rFonts w:cs="Arial"/>
          <w:sz w:val="16"/>
          <w:szCs w:val="16"/>
          <w:rtl/>
        </w:rPr>
        <w:t xml:space="preserve"> </w:t>
      </w:r>
      <w:r w:rsidRPr="004D6D58">
        <w:rPr>
          <w:rFonts w:cs="Arial" w:hint="cs"/>
          <w:sz w:val="16"/>
          <w:szCs w:val="16"/>
          <w:rtl/>
        </w:rPr>
        <w:t>ט</w:t>
      </w:r>
      <w:r>
        <w:rPr>
          <w:rFonts w:cs="Arial" w:hint="cs"/>
          <w:sz w:val="16"/>
          <w:szCs w:val="16"/>
          <w:rtl/>
        </w:rPr>
        <w:t>, הביאו הדרכ"מ [אות ז]</w:t>
      </w:r>
      <w:r w:rsidRPr="004D6D58">
        <w:rPr>
          <w:rFonts w:cs="Arial"/>
          <w:sz w:val="16"/>
          <w:szCs w:val="16"/>
          <w:rtl/>
        </w:rPr>
        <w:t>)</w:t>
      </w:r>
      <w:r w:rsidR="00A82951">
        <w:rPr>
          <w:rFonts w:cs="Arial" w:hint="cs"/>
          <w:rtl/>
        </w:rPr>
        <w:t>-</w:t>
      </w:r>
      <w:r w:rsidRPr="003C7C89">
        <w:rPr>
          <w:rFonts w:cs="Arial"/>
          <w:rtl/>
        </w:rPr>
        <w:t xml:space="preserve"> </w:t>
      </w:r>
      <w:r w:rsidRPr="003C7C89">
        <w:rPr>
          <w:rFonts w:cs="Arial" w:hint="cs"/>
          <w:rtl/>
        </w:rPr>
        <w:t>במקום</w:t>
      </w:r>
      <w:r w:rsidRPr="003C7C89">
        <w:rPr>
          <w:rFonts w:cs="Arial"/>
          <w:rtl/>
        </w:rPr>
        <w:t xml:space="preserve"> </w:t>
      </w:r>
      <w:r w:rsidRPr="003C7C89">
        <w:rPr>
          <w:rFonts w:cs="Arial" w:hint="cs"/>
          <w:rtl/>
        </w:rPr>
        <w:t>דנוהגין</w:t>
      </w:r>
      <w:r w:rsidRPr="003C7C89">
        <w:rPr>
          <w:rFonts w:cs="Arial"/>
          <w:rtl/>
        </w:rPr>
        <w:t xml:space="preserve"> </w:t>
      </w:r>
      <w:r w:rsidRPr="003C7C89">
        <w:rPr>
          <w:rFonts w:cs="Arial" w:hint="cs"/>
          <w:rtl/>
        </w:rPr>
        <w:t>לכתוב</w:t>
      </w:r>
      <w:r w:rsidRPr="003C7C89">
        <w:rPr>
          <w:rFonts w:cs="Arial"/>
          <w:rtl/>
        </w:rPr>
        <w:t xml:space="preserve"> </w:t>
      </w:r>
      <w:r w:rsidRPr="003C7C89">
        <w:rPr>
          <w:rFonts w:cs="Arial" w:hint="cs"/>
          <w:rtl/>
        </w:rPr>
        <w:t>מדינה</w:t>
      </w:r>
      <w:r w:rsidRPr="003C7C89">
        <w:rPr>
          <w:rFonts w:cs="Arial"/>
          <w:rtl/>
        </w:rPr>
        <w:t xml:space="preserve"> </w:t>
      </w:r>
      <w:r w:rsidRPr="003C7C89">
        <w:rPr>
          <w:rFonts w:cs="Arial" w:hint="cs"/>
          <w:rtl/>
        </w:rPr>
        <w:t>כותבין</w:t>
      </w:r>
      <w:r w:rsidRPr="003C7C89">
        <w:rPr>
          <w:rFonts w:cs="Arial"/>
          <w:rtl/>
        </w:rPr>
        <w:t xml:space="preserve"> </w:t>
      </w:r>
      <w:r w:rsidRPr="003C7C89">
        <w:rPr>
          <w:rFonts w:cs="Arial" w:hint="cs"/>
          <w:rtl/>
        </w:rPr>
        <w:t>מדינה</w:t>
      </w:r>
      <w:r w:rsidRPr="003C7C89">
        <w:rPr>
          <w:rFonts w:cs="Arial"/>
          <w:rtl/>
        </w:rPr>
        <w:t xml:space="preserve"> </w:t>
      </w:r>
      <w:r w:rsidRPr="003C7C89">
        <w:rPr>
          <w:rFonts w:cs="Arial" w:hint="cs"/>
          <w:rtl/>
        </w:rPr>
        <w:t>פלונית</w:t>
      </w:r>
      <w:r w:rsidRPr="003C7C89">
        <w:rPr>
          <w:rFonts w:cs="Arial"/>
          <w:rtl/>
        </w:rPr>
        <w:t xml:space="preserve"> </w:t>
      </w:r>
      <w:r w:rsidRPr="003C7C89">
        <w:rPr>
          <w:rFonts w:cs="Arial" w:hint="cs"/>
          <w:rtl/>
        </w:rPr>
        <w:t>דיתבא</w:t>
      </w:r>
      <w:r w:rsidRPr="003C7C89">
        <w:rPr>
          <w:rFonts w:cs="Arial"/>
          <w:rtl/>
        </w:rPr>
        <w:t xml:space="preserve"> </w:t>
      </w:r>
      <w:r w:rsidRPr="003C7C89">
        <w:rPr>
          <w:rFonts w:cs="Arial" w:hint="cs"/>
          <w:rtl/>
        </w:rPr>
        <w:t>על</w:t>
      </w:r>
      <w:r w:rsidRPr="003C7C89">
        <w:rPr>
          <w:rFonts w:cs="Arial"/>
          <w:rtl/>
        </w:rPr>
        <w:t xml:space="preserve"> </w:t>
      </w:r>
      <w:r w:rsidRPr="003C7C89">
        <w:rPr>
          <w:rFonts w:cs="Arial" w:hint="cs"/>
          <w:rtl/>
        </w:rPr>
        <w:t>נהר</w:t>
      </w:r>
      <w:r w:rsidRPr="003C7C89">
        <w:rPr>
          <w:rFonts w:cs="Arial"/>
          <w:rtl/>
        </w:rPr>
        <w:t xml:space="preserve"> </w:t>
      </w:r>
      <w:r w:rsidRPr="003C7C89">
        <w:rPr>
          <w:rFonts w:cs="Arial" w:hint="cs"/>
          <w:rtl/>
        </w:rPr>
        <w:t>וכו</w:t>
      </w:r>
      <w:r w:rsidRPr="003C7C89">
        <w:rPr>
          <w:rFonts w:cs="Arial"/>
          <w:rtl/>
        </w:rPr>
        <w:t>'</w:t>
      </w:r>
      <w:r w:rsidR="00AA1079">
        <w:rPr>
          <w:rFonts w:cs="Arial" w:hint="cs"/>
          <w:rtl/>
        </w:rPr>
        <w:t>,</w:t>
      </w:r>
      <w:r w:rsidRPr="003C7C89">
        <w:rPr>
          <w:rFonts w:cs="Arial"/>
          <w:rtl/>
        </w:rPr>
        <w:t xml:space="preserve"> </w:t>
      </w:r>
      <w:r w:rsidRPr="003C7C89">
        <w:rPr>
          <w:rFonts w:cs="Arial" w:hint="cs"/>
          <w:rtl/>
        </w:rPr>
        <w:t>כדי</w:t>
      </w:r>
      <w:r w:rsidRPr="003C7C89">
        <w:rPr>
          <w:rFonts w:cs="Arial"/>
          <w:rtl/>
        </w:rPr>
        <w:t xml:space="preserve"> </w:t>
      </w:r>
      <w:r w:rsidRPr="003C7C89">
        <w:rPr>
          <w:rFonts w:cs="Arial" w:hint="cs"/>
          <w:rtl/>
        </w:rPr>
        <w:t>שמלת</w:t>
      </w:r>
      <w:r w:rsidRPr="003C7C89">
        <w:rPr>
          <w:rFonts w:cs="Arial"/>
          <w:rtl/>
        </w:rPr>
        <w:t xml:space="preserve"> </w:t>
      </w:r>
      <w:r w:rsidRPr="003C7C89">
        <w:rPr>
          <w:rFonts w:cs="Arial" w:hint="cs"/>
          <w:rtl/>
        </w:rPr>
        <w:t>דיתבא</w:t>
      </w:r>
      <w:r w:rsidRPr="003C7C89">
        <w:rPr>
          <w:rFonts w:cs="Arial"/>
          <w:rtl/>
        </w:rPr>
        <w:t xml:space="preserve"> </w:t>
      </w:r>
      <w:r w:rsidRPr="003C7C89">
        <w:rPr>
          <w:rFonts w:cs="Arial" w:hint="cs"/>
          <w:rtl/>
        </w:rPr>
        <w:t>יהא</w:t>
      </w:r>
      <w:r w:rsidRPr="003C7C89">
        <w:rPr>
          <w:rFonts w:cs="Arial"/>
          <w:rtl/>
        </w:rPr>
        <w:t xml:space="preserve"> </w:t>
      </w:r>
      <w:r w:rsidRPr="003C7C89">
        <w:rPr>
          <w:rFonts w:cs="Arial" w:hint="cs"/>
          <w:rtl/>
        </w:rPr>
        <w:t>קאי</w:t>
      </w:r>
      <w:r w:rsidRPr="003C7C89">
        <w:rPr>
          <w:rFonts w:cs="Arial"/>
          <w:rtl/>
        </w:rPr>
        <w:t xml:space="preserve"> </w:t>
      </w:r>
      <w:r w:rsidRPr="003C7C89">
        <w:rPr>
          <w:rFonts w:cs="Arial" w:hint="cs"/>
          <w:rtl/>
        </w:rPr>
        <w:t>על</w:t>
      </w:r>
      <w:r w:rsidRPr="003C7C89">
        <w:rPr>
          <w:rFonts w:cs="Arial"/>
          <w:rtl/>
        </w:rPr>
        <w:t xml:space="preserve"> </w:t>
      </w:r>
      <w:r w:rsidRPr="003C7C89">
        <w:rPr>
          <w:rFonts w:cs="Arial" w:hint="cs"/>
          <w:rtl/>
        </w:rPr>
        <w:t>שם</w:t>
      </w:r>
      <w:r w:rsidRPr="003C7C89">
        <w:rPr>
          <w:rFonts w:cs="Arial"/>
          <w:rtl/>
        </w:rPr>
        <w:t xml:space="preserve"> </w:t>
      </w:r>
      <w:r w:rsidRPr="003C7C89">
        <w:rPr>
          <w:rFonts w:cs="Arial" w:hint="cs"/>
          <w:rtl/>
        </w:rPr>
        <w:t>המדינה</w:t>
      </w:r>
      <w:r w:rsidRPr="003C7C89">
        <w:rPr>
          <w:rFonts w:cs="Arial"/>
          <w:rtl/>
        </w:rPr>
        <w:t xml:space="preserve"> </w:t>
      </w:r>
      <w:r w:rsidRPr="003C7C89">
        <w:rPr>
          <w:rFonts w:cs="Arial" w:hint="cs"/>
          <w:rtl/>
        </w:rPr>
        <w:t>ולא</w:t>
      </w:r>
      <w:r w:rsidRPr="003C7C89">
        <w:rPr>
          <w:rFonts w:cs="Arial"/>
          <w:rtl/>
        </w:rPr>
        <w:t xml:space="preserve"> </w:t>
      </w:r>
      <w:r w:rsidRPr="003C7C89">
        <w:rPr>
          <w:rFonts w:cs="Arial" w:hint="cs"/>
          <w:rtl/>
        </w:rPr>
        <w:t>נטעה</w:t>
      </w:r>
      <w:r w:rsidRPr="003C7C89">
        <w:rPr>
          <w:rFonts w:cs="Arial"/>
          <w:rtl/>
        </w:rPr>
        <w:t xml:space="preserve"> </w:t>
      </w:r>
      <w:r w:rsidRPr="003C7C89">
        <w:rPr>
          <w:rFonts w:cs="Arial" w:hint="cs"/>
          <w:rtl/>
        </w:rPr>
        <w:t>לומר</w:t>
      </w:r>
      <w:r w:rsidRPr="003C7C89">
        <w:rPr>
          <w:rFonts w:cs="Arial"/>
          <w:rtl/>
        </w:rPr>
        <w:t xml:space="preserve"> </w:t>
      </w:r>
      <w:r w:rsidRPr="003C7C89">
        <w:rPr>
          <w:rFonts w:cs="Arial" w:hint="cs"/>
          <w:rtl/>
        </w:rPr>
        <w:t>דכל</w:t>
      </w:r>
      <w:r w:rsidRPr="003C7C89">
        <w:rPr>
          <w:rFonts w:cs="Arial"/>
          <w:rtl/>
        </w:rPr>
        <w:t xml:space="preserve"> </w:t>
      </w:r>
      <w:r w:rsidRPr="003C7C89">
        <w:rPr>
          <w:rFonts w:cs="Arial" w:hint="cs"/>
          <w:rtl/>
        </w:rPr>
        <w:t>המדינה</w:t>
      </w:r>
      <w:r w:rsidRPr="003C7C89">
        <w:rPr>
          <w:rFonts w:cs="Arial"/>
          <w:rtl/>
        </w:rPr>
        <w:t xml:space="preserve"> </w:t>
      </w:r>
      <w:r w:rsidRPr="003C7C89">
        <w:rPr>
          <w:rFonts w:cs="Arial" w:hint="cs"/>
          <w:rtl/>
        </w:rPr>
        <w:t>יושבת</w:t>
      </w:r>
      <w:r w:rsidRPr="003C7C89">
        <w:rPr>
          <w:rFonts w:cs="Arial"/>
          <w:rtl/>
        </w:rPr>
        <w:t xml:space="preserve"> </w:t>
      </w:r>
      <w:r w:rsidRPr="003C7C89">
        <w:rPr>
          <w:rFonts w:cs="Arial" w:hint="cs"/>
          <w:rtl/>
        </w:rPr>
        <w:t>על</w:t>
      </w:r>
      <w:r w:rsidRPr="003C7C89">
        <w:rPr>
          <w:rFonts w:cs="Arial"/>
          <w:rtl/>
        </w:rPr>
        <w:t xml:space="preserve"> </w:t>
      </w:r>
      <w:r w:rsidRPr="003C7C89">
        <w:rPr>
          <w:rFonts w:cs="Arial" w:hint="cs"/>
          <w:rtl/>
        </w:rPr>
        <w:t>הנהר</w:t>
      </w:r>
      <w:r>
        <w:rPr>
          <w:rFonts w:cs="Arial" w:hint="cs"/>
          <w:rtl/>
        </w:rPr>
        <w:t>.</w:t>
      </w:r>
      <w:r w:rsidRPr="003C7C89">
        <w:rPr>
          <w:rFonts w:cs="Arial"/>
          <w:rtl/>
        </w:rPr>
        <w:t xml:space="preserve"> </w:t>
      </w:r>
      <w:r w:rsidRPr="003C7C89">
        <w:rPr>
          <w:rFonts w:cs="Arial" w:hint="cs"/>
          <w:rtl/>
        </w:rPr>
        <w:t>ובמקום</w:t>
      </w:r>
      <w:r w:rsidRPr="003C7C89">
        <w:rPr>
          <w:rFonts w:cs="Arial"/>
          <w:rtl/>
        </w:rPr>
        <w:t xml:space="preserve"> </w:t>
      </w:r>
      <w:r w:rsidRPr="003C7C89">
        <w:rPr>
          <w:rFonts w:cs="Arial" w:hint="cs"/>
          <w:rtl/>
        </w:rPr>
        <w:t>שכותבין</w:t>
      </w:r>
      <w:r w:rsidRPr="003C7C89">
        <w:rPr>
          <w:rFonts w:cs="Arial"/>
          <w:rtl/>
        </w:rPr>
        <w:t xml:space="preserve"> </w:t>
      </w:r>
      <w:r w:rsidRPr="003C7C89">
        <w:rPr>
          <w:rFonts w:cs="Arial" w:hint="cs"/>
          <w:rtl/>
        </w:rPr>
        <w:t>מתא</w:t>
      </w:r>
      <w:r w:rsidRPr="003C7C89">
        <w:rPr>
          <w:rFonts w:cs="Arial"/>
          <w:rtl/>
        </w:rPr>
        <w:t xml:space="preserve"> </w:t>
      </w:r>
      <w:r w:rsidRPr="003C7C89">
        <w:rPr>
          <w:rFonts w:cs="Arial" w:hint="cs"/>
          <w:rtl/>
        </w:rPr>
        <w:t>כותבין</w:t>
      </w:r>
      <w:r w:rsidRPr="003C7C89">
        <w:rPr>
          <w:rFonts w:cs="Arial"/>
          <w:rtl/>
        </w:rPr>
        <w:t xml:space="preserve"> </w:t>
      </w:r>
      <w:r>
        <w:rPr>
          <w:rFonts w:cs="Arial" w:hint="cs"/>
          <w:rtl/>
        </w:rPr>
        <w:t>'</w:t>
      </w:r>
      <w:r w:rsidRPr="003C7C89">
        <w:rPr>
          <w:rFonts w:cs="Arial" w:hint="cs"/>
          <w:rtl/>
        </w:rPr>
        <w:t>פלונית</w:t>
      </w:r>
      <w:r w:rsidRPr="003C7C89">
        <w:rPr>
          <w:rFonts w:cs="Arial"/>
          <w:rtl/>
        </w:rPr>
        <w:t xml:space="preserve"> </w:t>
      </w:r>
      <w:r w:rsidRPr="003C7C89">
        <w:rPr>
          <w:rFonts w:cs="Arial" w:hint="cs"/>
          <w:rtl/>
        </w:rPr>
        <w:t>מתא</w:t>
      </w:r>
      <w:r>
        <w:rPr>
          <w:rFonts w:cs="Arial" w:hint="cs"/>
          <w:rtl/>
        </w:rPr>
        <w:t>'</w:t>
      </w:r>
      <w:r w:rsidRPr="003C7C89">
        <w:rPr>
          <w:rFonts w:cs="Arial"/>
          <w:rtl/>
        </w:rPr>
        <w:t xml:space="preserve"> </w:t>
      </w:r>
      <w:r w:rsidRPr="003C7C89">
        <w:rPr>
          <w:rFonts w:cs="Arial" w:hint="cs"/>
          <w:rtl/>
        </w:rPr>
        <w:t>לומר</w:t>
      </w:r>
      <w:r w:rsidRPr="003C7C89">
        <w:rPr>
          <w:rFonts w:cs="Arial"/>
          <w:rtl/>
        </w:rPr>
        <w:t xml:space="preserve"> </w:t>
      </w:r>
      <w:r w:rsidRPr="003C7C89">
        <w:rPr>
          <w:rFonts w:cs="Arial" w:hint="cs"/>
          <w:rtl/>
        </w:rPr>
        <w:t>שהעיר</w:t>
      </w:r>
      <w:r w:rsidRPr="003C7C89">
        <w:rPr>
          <w:rFonts w:cs="Arial"/>
          <w:rtl/>
        </w:rPr>
        <w:t xml:space="preserve"> </w:t>
      </w:r>
      <w:r w:rsidRPr="003C7C89">
        <w:rPr>
          <w:rFonts w:cs="Arial" w:hint="cs"/>
          <w:rtl/>
        </w:rPr>
        <w:t>יושבת</w:t>
      </w:r>
      <w:r w:rsidRPr="003C7C89">
        <w:rPr>
          <w:rFonts w:cs="Arial"/>
          <w:rtl/>
        </w:rPr>
        <w:t xml:space="preserve"> </w:t>
      </w:r>
      <w:r w:rsidRPr="003C7C89">
        <w:rPr>
          <w:rFonts w:cs="Arial" w:hint="cs"/>
          <w:rtl/>
        </w:rPr>
        <w:t>על</w:t>
      </w:r>
      <w:r w:rsidRPr="003C7C89">
        <w:rPr>
          <w:rFonts w:cs="Arial"/>
          <w:rtl/>
        </w:rPr>
        <w:t xml:space="preserve"> </w:t>
      </w:r>
      <w:r w:rsidRPr="003C7C89">
        <w:rPr>
          <w:rFonts w:cs="Arial" w:hint="cs"/>
          <w:rtl/>
        </w:rPr>
        <w:t>הנהר</w:t>
      </w:r>
      <w:r>
        <w:rPr>
          <w:rFonts w:cs="Arial" w:hint="cs"/>
          <w:rtl/>
        </w:rPr>
        <w:t>.</w:t>
      </w:r>
    </w:p>
    <w:p w14:paraId="6A6057E4" w14:textId="77777777" w:rsidR="00FA2119" w:rsidRPr="00656810" w:rsidRDefault="00FA2119" w:rsidP="00FA2119">
      <w:pPr>
        <w:rPr>
          <w:rFonts w:cs="Arial"/>
          <w:u w:val="single"/>
        </w:rPr>
      </w:pPr>
      <w:r w:rsidRPr="00656810">
        <w:rPr>
          <w:rFonts w:cs="Arial" w:hint="cs"/>
          <w:u w:val="single"/>
          <w:rtl/>
        </w:rPr>
        <w:lastRenderedPageBreak/>
        <w:t>גט ש</w:t>
      </w:r>
      <w:r>
        <w:rPr>
          <w:rFonts w:cs="Arial" w:hint="cs"/>
          <w:u w:val="single"/>
          <w:rtl/>
        </w:rPr>
        <w:t>כתוב בו 'דממתא מיורקא' שהיא עיר לידתו, במקום לכתוב 'דממתא אשביליא' שהיא עיר מגוריו</w:t>
      </w:r>
      <w:r w:rsidRPr="00656810">
        <w:rPr>
          <w:rFonts w:cs="Arial" w:hint="cs"/>
          <w:u w:val="single"/>
          <w:rtl/>
        </w:rPr>
        <w:t>:</w:t>
      </w:r>
    </w:p>
    <w:p w14:paraId="0D18A3B7" w14:textId="23DD2B86" w:rsidR="00FA2119" w:rsidRPr="00305B1A" w:rsidRDefault="00FA2119" w:rsidP="00FA2119">
      <w:pPr>
        <w:pStyle w:val="ab"/>
        <w:numPr>
          <w:ilvl w:val="0"/>
          <w:numId w:val="61"/>
        </w:numPr>
        <w:rPr>
          <w:rFonts w:cs="Arial"/>
          <w:rtl/>
        </w:rPr>
      </w:pPr>
      <w:r w:rsidRPr="00305B1A">
        <w:rPr>
          <w:rFonts w:cs="Arial" w:hint="cs"/>
          <w:rtl/>
        </w:rPr>
        <w:t>ר</w:t>
      </w:r>
      <w:r w:rsidRPr="00305B1A">
        <w:rPr>
          <w:rFonts w:cs="Arial"/>
          <w:rtl/>
        </w:rPr>
        <w:t>"</w:t>
      </w:r>
      <w:r w:rsidRPr="00305B1A">
        <w:rPr>
          <w:rFonts w:cs="Arial" w:hint="cs"/>
          <w:rtl/>
        </w:rPr>
        <w:t>ן</w:t>
      </w:r>
      <w:r w:rsidRPr="00305B1A">
        <w:rPr>
          <w:rFonts w:cs="Arial"/>
          <w:rtl/>
        </w:rPr>
        <w:t xml:space="preserve"> </w:t>
      </w:r>
      <w:r w:rsidRPr="00305B1A">
        <w:rPr>
          <w:rFonts w:cs="Arial"/>
          <w:sz w:val="16"/>
          <w:szCs w:val="16"/>
          <w:rtl/>
        </w:rPr>
        <w:t>(</w:t>
      </w:r>
      <w:r w:rsidRPr="00305B1A">
        <w:rPr>
          <w:rFonts w:cs="Arial" w:hint="cs"/>
          <w:sz w:val="16"/>
          <w:szCs w:val="16"/>
          <w:rtl/>
        </w:rPr>
        <w:t>סי'</w:t>
      </w:r>
      <w:r w:rsidRPr="00305B1A">
        <w:rPr>
          <w:rFonts w:cs="Arial"/>
          <w:sz w:val="16"/>
          <w:szCs w:val="16"/>
          <w:rtl/>
        </w:rPr>
        <w:t xml:space="preserve"> </w:t>
      </w:r>
      <w:r w:rsidRPr="00305B1A">
        <w:rPr>
          <w:rFonts w:cs="Arial" w:hint="cs"/>
          <w:sz w:val="16"/>
          <w:szCs w:val="16"/>
          <w:rtl/>
        </w:rPr>
        <w:t>מב</w:t>
      </w:r>
      <w:r w:rsidRPr="00305B1A">
        <w:rPr>
          <w:rFonts w:cs="Arial"/>
          <w:sz w:val="16"/>
          <w:szCs w:val="16"/>
          <w:rtl/>
        </w:rPr>
        <w:t>)</w:t>
      </w:r>
      <w:r w:rsidR="00A82951">
        <w:rPr>
          <w:rFonts w:cs="Arial" w:hint="cs"/>
          <w:rtl/>
        </w:rPr>
        <w:t>-</w:t>
      </w:r>
      <w:r w:rsidRPr="00305B1A">
        <w:rPr>
          <w:rFonts w:cs="Arial"/>
          <w:rtl/>
        </w:rPr>
        <w:t xml:space="preserve"> </w:t>
      </w:r>
      <w:r w:rsidRPr="00305B1A">
        <w:rPr>
          <w:rFonts w:cs="Arial" w:hint="cs"/>
          <w:rtl/>
        </w:rPr>
        <w:t>שאלת</w:t>
      </w:r>
      <w:r w:rsidRPr="00305B1A">
        <w:rPr>
          <w:rFonts w:cs="Arial"/>
          <w:rtl/>
        </w:rPr>
        <w:t xml:space="preserve"> </w:t>
      </w:r>
      <w:r w:rsidRPr="00305B1A">
        <w:rPr>
          <w:rFonts w:cs="Arial" w:hint="cs"/>
          <w:rtl/>
        </w:rPr>
        <w:t>מעשה</w:t>
      </w:r>
      <w:r w:rsidRPr="00305B1A">
        <w:rPr>
          <w:rFonts w:cs="Arial"/>
          <w:rtl/>
        </w:rPr>
        <w:t xml:space="preserve"> </w:t>
      </w:r>
      <w:r w:rsidRPr="00305B1A">
        <w:rPr>
          <w:rFonts w:cs="Arial" w:hint="cs"/>
          <w:rtl/>
        </w:rPr>
        <w:t>בא</w:t>
      </w:r>
      <w:r w:rsidRPr="00305B1A">
        <w:rPr>
          <w:rFonts w:cs="Arial"/>
          <w:rtl/>
        </w:rPr>
        <w:t xml:space="preserve"> </w:t>
      </w:r>
      <w:r w:rsidRPr="00305B1A">
        <w:rPr>
          <w:rFonts w:cs="Arial" w:hint="cs"/>
          <w:rtl/>
        </w:rPr>
        <w:t>הנה</w:t>
      </w:r>
      <w:r w:rsidRPr="00305B1A">
        <w:rPr>
          <w:rFonts w:cs="Arial"/>
          <w:rtl/>
        </w:rPr>
        <w:t xml:space="preserve"> </w:t>
      </w:r>
      <w:r w:rsidRPr="00305B1A">
        <w:rPr>
          <w:rFonts w:cs="Arial" w:hint="cs"/>
          <w:rtl/>
        </w:rPr>
        <w:t>באשה</w:t>
      </w:r>
      <w:r w:rsidRPr="00305B1A">
        <w:rPr>
          <w:rFonts w:cs="Arial"/>
          <w:rtl/>
        </w:rPr>
        <w:t xml:space="preserve"> </w:t>
      </w:r>
      <w:r w:rsidRPr="00305B1A">
        <w:rPr>
          <w:rFonts w:cs="Arial" w:hint="cs"/>
          <w:rtl/>
        </w:rPr>
        <w:t>שהיה</w:t>
      </w:r>
      <w:r w:rsidRPr="00305B1A">
        <w:rPr>
          <w:rFonts w:cs="Arial"/>
          <w:rtl/>
        </w:rPr>
        <w:t xml:space="preserve"> </w:t>
      </w:r>
      <w:r w:rsidRPr="00305B1A">
        <w:rPr>
          <w:rFonts w:cs="Arial" w:hint="cs"/>
          <w:rtl/>
        </w:rPr>
        <w:t>בעלה</w:t>
      </w:r>
      <w:r w:rsidRPr="00305B1A">
        <w:rPr>
          <w:rFonts w:cs="Arial"/>
          <w:rtl/>
        </w:rPr>
        <w:t xml:space="preserve"> </w:t>
      </w:r>
      <w:r w:rsidRPr="00305B1A">
        <w:rPr>
          <w:rFonts w:cs="Arial" w:hint="cs"/>
          <w:rtl/>
        </w:rPr>
        <w:t>בעיר</w:t>
      </w:r>
      <w:r w:rsidRPr="00305B1A">
        <w:rPr>
          <w:rFonts w:cs="Arial"/>
          <w:rtl/>
        </w:rPr>
        <w:t xml:space="preserve"> </w:t>
      </w:r>
      <w:r w:rsidRPr="00305B1A">
        <w:rPr>
          <w:rFonts w:cs="Arial" w:hint="cs"/>
          <w:rtl/>
        </w:rPr>
        <w:t>אשביליא,</w:t>
      </w:r>
      <w:r w:rsidRPr="00305B1A">
        <w:rPr>
          <w:rFonts w:cs="Arial"/>
          <w:rtl/>
        </w:rPr>
        <w:t xml:space="preserve"> </w:t>
      </w:r>
      <w:r w:rsidRPr="00305B1A">
        <w:rPr>
          <w:rFonts w:cs="Arial" w:hint="cs"/>
          <w:rtl/>
        </w:rPr>
        <w:t>ואותו</w:t>
      </w:r>
      <w:r w:rsidRPr="00305B1A">
        <w:rPr>
          <w:rFonts w:cs="Arial"/>
          <w:rtl/>
        </w:rPr>
        <w:t xml:space="preserve"> </w:t>
      </w:r>
      <w:r w:rsidRPr="00305B1A">
        <w:rPr>
          <w:rFonts w:cs="Arial" w:hint="cs"/>
          <w:rtl/>
        </w:rPr>
        <w:t>הבעל</w:t>
      </w:r>
      <w:r w:rsidRPr="00305B1A">
        <w:rPr>
          <w:rFonts w:cs="Arial"/>
          <w:rtl/>
        </w:rPr>
        <w:t xml:space="preserve"> </w:t>
      </w:r>
      <w:r w:rsidRPr="00305B1A">
        <w:rPr>
          <w:rFonts w:cs="Arial" w:hint="cs"/>
          <w:rtl/>
        </w:rPr>
        <w:t>נולד</w:t>
      </w:r>
      <w:r w:rsidRPr="00305B1A">
        <w:rPr>
          <w:rFonts w:cs="Arial"/>
          <w:rtl/>
        </w:rPr>
        <w:t xml:space="preserve"> </w:t>
      </w:r>
      <w:r w:rsidRPr="00305B1A">
        <w:rPr>
          <w:rFonts w:cs="Arial" w:hint="cs"/>
          <w:rtl/>
        </w:rPr>
        <w:t>בעיר</w:t>
      </w:r>
      <w:r w:rsidRPr="00305B1A">
        <w:rPr>
          <w:rFonts w:cs="Arial"/>
          <w:rtl/>
        </w:rPr>
        <w:t xml:space="preserve"> </w:t>
      </w:r>
      <w:r w:rsidRPr="00305B1A">
        <w:rPr>
          <w:rFonts w:cs="Arial" w:hint="cs"/>
          <w:rtl/>
        </w:rPr>
        <w:t>מיורקא</w:t>
      </w:r>
      <w:r w:rsidRPr="00305B1A">
        <w:rPr>
          <w:rFonts w:cs="Arial"/>
          <w:rtl/>
        </w:rPr>
        <w:t xml:space="preserve"> </w:t>
      </w:r>
      <w:r w:rsidRPr="00305B1A">
        <w:rPr>
          <w:rFonts w:cs="Arial" w:hint="cs"/>
          <w:rtl/>
        </w:rPr>
        <w:t>ודר</w:t>
      </w:r>
      <w:r w:rsidRPr="00305B1A">
        <w:rPr>
          <w:rFonts w:cs="Arial"/>
          <w:rtl/>
        </w:rPr>
        <w:t xml:space="preserve"> </w:t>
      </w:r>
      <w:r w:rsidRPr="00305B1A">
        <w:rPr>
          <w:rFonts w:cs="Arial" w:hint="cs"/>
          <w:rtl/>
        </w:rPr>
        <w:t>בה</w:t>
      </w:r>
      <w:r w:rsidRPr="00305B1A">
        <w:rPr>
          <w:rFonts w:cs="Arial"/>
          <w:rtl/>
        </w:rPr>
        <w:t xml:space="preserve"> </w:t>
      </w:r>
      <w:r w:rsidRPr="00305B1A">
        <w:rPr>
          <w:rFonts w:cs="Arial" w:hint="cs"/>
          <w:rtl/>
        </w:rPr>
        <w:t>כמה</w:t>
      </w:r>
      <w:r w:rsidRPr="00305B1A">
        <w:rPr>
          <w:rFonts w:cs="Arial"/>
          <w:rtl/>
        </w:rPr>
        <w:t xml:space="preserve"> </w:t>
      </w:r>
      <w:r w:rsidRPr="00305B1A">
        <w:rPr>
          <w:rFonts w:cs="Arial" w:hint="cs"/>
          <w:rtl/>
        </w:rPr>
        <w:t>שנים</w:t>
      </w:r>
      <w:r>
        <w:rPr>
          <w:rFonts w:cs="Arial" w:hint="cs"/>
          <w:rtl/>
        </w:rPr>
        <w:t>,</w:t>
      </w:r>
      <w:r w:rsidRPr="00305B1A">
        <w:rPr>
          <w:rFonts w:cs="Arial"/>
          <w:rtl/>
        </w:rPr>
        <w:t xml:space="preserve"> </w:t>
      </w:r>
      <w:r w:rsidRPr="00305B1A">
        <w:rPr>
          <w:rFonts w:cs="Arial" w:hint="cs"/>
          <w:rtl/>
        </w:rPr>
        <w:t>ונשא</w:t>
      </w:r>
      <w:r w:rsidRPr="00305B1A">
        <w:rPr>
          <w:rFonts w:cs="Arial"/>
          <w:rtl/>
        </w:rPr>
        <w:t xml:space="preserve"> </w:t>
      </w:r>
      <w:r w:rsidRPr="00305B1A">
        <w:rPr>
          <w:rFonts w:cs="Arial" w:hint="cs"/>
          <w:rtl/>
        </w:rPr>
        <w:t>האשה</w:t>
      </w:r>
      <w:r w:rsidRPr="00305B1A">
        <w:rPr>
          <w:rFonts w:cs="Arial"/>
          <w:rtl/>
        </w:rPr>
        <w:t xml:space="preserve"> </w:t>
      </w:r>
      <w:r w:rsidRPr="00305B1A">
        <w:rPr>
          <w:rFonts w:cs="Arial" w:hint="cs"/>
          <w:rtl/>
        </w:rPr>
        <w:t>הזאת</w:t>
      </w:r>
      <w:r w:rsidRPr="00305B1A">
        <w:rPr>
          <w:rFonts w:cs="Arial"/>
          <w:rtl/>
        </w:rPr>
        <w:t xml:space="preserve"> </w:t>
      </w:r>
      <w:r w:rsidRPr="00305B1A">
        <w:rPr>
          <w:rFonts w:cs="Arial" w:hint="cs"/>
          <w:rtl/>
        </w:rPr>
        <w:t>פה</w:t>
      </w:r>
      <w:r w:rsidRPr="00305B1A">
        <w:rPr>
          <w:rFonts w:cs="Arial"/>
          <w:rtl/>
        </w:rPr>
        <w:t xml:space="preserve"> </w:t>
      </w:r>
      <w:r w:rsidRPr="00305B1A">
        <w:rPr>
          <w:rFonts w:cs="Arial" w:hint="cs"/>
          <w:rtl/>
        </w:rPr>
        <w:t>פירפיניאן</w:t>
      </w:r>
      <w:r>
        <w:rPr>
          <w:rFonts w:cs="Arial" w:hint="cs"/>
          <w:rtl/>
        </w:rPr>
        <w:t>,</w:t>
      </w:r>
      <w:r w:rsidRPr="00305B1A">
        <w:rPr>
          <w:rFonts w:cs="Arial"/>
          <w:rtl/>
        </w:rPr>
        <w:t xml:space="preserve"> </w:t>
      </w:r>
      <w:r w:rsidRPr="00305B1A">
        <w:rPr>
          <w:rFonts w:cs="Arial" w:hint="cs"/>
          <w:rtl/>
        </w:rPr>
        <w:t>ואח</w:t>
      </w:r>
      <w:r w:rsidRPr="00305B1A">
        <w:rPr>
          <w:rFonts w:cs="Arial"/>
          <w:rtl/>
        </w:rPr>
        <w:t>"</w:t>
      </w:r>
      <w:r w:rsidRPr="00305B1A">
        <w:rPr>
          <w:rFonts w:cs="Arial" w:hint="cs"/>
          <w:rtl/>
        </w:rPr>
        <w:t>כ</w:t>
      </w:r>
      <w:r w:rsidRPr="00305B1A">
        <w:rPr>
          <w:rFonts w:cs="Arial"/>
          <w:rtl/>
        </w:rPr>
        <w:t xml:space="preserve"> </w:t>
      </w:r>
      <w:r w:rsidRPr="00305B1A">
        <w:rPr>
          <w:rFonts w:cs="Arial" w:hint="cs"/>
          <w:rtl/>
        </w:rPr>
        <w:t>הלך</w:t>
      </w:r>
      <w:r w:rsidRPr="00305B1A">
        <w:rPr>
          <w:rFonts w:cs="Arial"/>
          <w:rtl/>
        </w:rPr>
        <w:t xml:space="preserve"> </w:t>
      </w:r>
      <w:r w:rsidRPr="00305B1A">
        <w:rPr>
          <w:rFonts w:cs="Arial" w:hint="cs"/>
          <w:rtl/>
        </w:rPr>
        <w:t>לו</w:t>
      </w:r>
      <w:r w:rsidRPr="00305B1A">
        <w:rPr>
          <w:rFonts w:cs="Arial"/>
          <w:rtl/>
        </w:rPr>
        <w:t xml:space="preserve"> </w:t>
      </w:r>
      <w:r w:rsidRPr="00305B1A">
        <w:rPr>
          <w:rFonts w:cs="Arial" w:hint="cs"/>
          <w:rtl/>
        </w:rPr>
        <w:t>לאשביליא</w:t>
      </w:r>
      <w:r>
        <w:rPr>
          <w:rFonts w:cs="Arial" w:hint="cs"/>
          <w:rtl/>
        </w:rPr>
        <w:t>.</w:t>
      </w:r>
      <w:r w:rsidRPr="00305B1A">
        <w:rPr>
          <w:rFonts w:cs="Arial"/>
          <w:rtl/>
        </w:rPr>
        <w:t xml:space="preserve"> </w:t>
      </w:r>
      <w:r w:rsidRPr="00305B1A">
        <w:rPr>
          <w:rFonts w:cs="Arial" w:hint="cs"/>
          <w:rtl/>
        </w:rPr>
        <w:t>והנה</w:t>
      </w:r>
      <w:r w:rsidRPr="00305B1A">
        <w:rPr>
          <w:rFonts w:cs="Arial"/>
          <w:rtl/>
        </w:rPr>
        <w:t xml:space="preserve"> </w:t>
      </w:r>
      <w:r w:rsidRPr="00305B1A">
        <w:rPr>
          <w:rFonts w:cs="Arial" w:hint="cs"/>
          <w:rtl/>
        </w:rPr>
        <w:t>הוא</w:t>
      </w:r>
      <w:r w:rsidRPr="00305B1A">
        <w:rPr>
          <w:rFonts w:cs="Arial"/>
          <w:rtl/>
        </w:rPr>
        <w:t xml:space="preserve"> </w:t>
      </w:r>
      <w:r w:rsidRPr="00305B1A">
        <w:rPr>
          <w:rFonts w:cs="Arial" w:hint="cs"/>
          <w:rtl/>
        </w:rPr>
        <w:t>היום</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בקביעות</w:t>
      </w:r>
      <w:r w:rsidRPr="00305B1A">
        <w:rPr>
          <w:rFonts w:cs="Arial"/>
          <w:rtl/>
        </w:rPr>
        <w:t xml:space="preserve"> </w:t>
      </w:r>
      <w:r w:rsidRPr="00305B1A">
        <w:rPr>
          <w:rFonts w:cs="Arial" w:hint="cs"/>
          <w:rtl/>
        </w:rPr>
        <w:t>דירה</w:t>
      </w:r>
      <w:r w:rsidRPr="00305B1A">
        <w:rPr>
          <w:rFonts w:cs="Arial"/>
          <w:rtl/>
        </w:rPr>
        <w:t xml:space="preserve"> </w:t>
      </w:r>
      <w:r w:rsidRPr="00305B1A">
        <w:rPr>
          <w:rFonts w:cs="Arial" w:hint="cs"/>
          <w:rtl/>
        </w:rPr>
        <w:t>עם</w:t>
      </w:r>
      <w:r w:rsidRPr="00305B1A">
        <w:rPr>
          <w:rFonts w:cs="Arial"/>
          <w:rtl/>
        </w:rPr>
        <w:t xml:space="preserve"> </w:t>
      </w:r>
      <w:r w:rsidRPr="00305B1A">
        <w:rPr>
          <w:rFonts w:cs="Arial" w:hint="cs"/>
          <w:rtl/>
        </w:rPr>
        <w:t>אשה</w:t>
      </w:r>
      <w:r w:rsidRPr="00305B1A">
        <w:rPr>
          <w:rFonts w:cs="Arial"/>
          <w:rtl/>
        </w:rPr>
        <w:t xml:space="preserve"> </w:t>
      </w:r>
      <w:r w:rsidRPr="00305B1A">
        <w:rPr>
          <w:rFonts w:cs="Arial" w:hint="cs"/>
          <w:rtl/>
        </w:rPr>
        <w:t>אחרת</w:t>
      </w:r>
      <w:r w:rsidRPr="00305B1A">
        <w:rPr>
          <w:rFonts w:cs="Arial"/>
          <w:rtl/>
        </w:rPr>
        <w:t xml:space="preserve"> </w:t>
      </w:r>
      <w:r w:rsidRPr="00305B1A">
        <w:rPr>
          <w:rFonts w:cs="Arial" w:hint="cs"/>
          <w:rtl/>
        </w:rPr>
        <w:t>אשר</w:t>
      </w:r>
      <w:r w:rsidRPr="00305B1A">
        <w:rPr>
          <w:rFonts w:cs="Arial"/>
          <w:rtl/>
        </w:rPr>
        <w:t xml:space="preserve"> </w:t>
      </w:r>
      <w:r w:rsidRPr="00305B1A">
        <w:rPr>
          <w:rFonts w:cs="Arial" w:hint="cs"/>
          <w:rtl/>
        </w:rPr>
        <w:t>לקח</w:t>
      </w:r>
      <w:r w:rsidRPr="00305B1A">
        <w:rPr>
          <w:rFonts w:cs="Arial"/>
          <w:rtl/>
        </w:rPr>
        <w:t xml:space="preserve"> </w:t>
      </w:r>
      <w:r w:rsidRPr="00305B1A">
        <w:rPr>
          <w:rFonts w:cs="Arial" w:hint="cs"/>
          <w:rtl/>
        </w:rPr>
        <w:t>לו</w:t>
      </w:r>
      <w:r w:rsidRPr="00305B1A">
        <w:rPr>
          <w:rFonts w:cs="Arial"/>
          <w:rtl/>
        </w:rPr>
        <w:t xml:space="preserve"> </w:t>
      </w:r>
      <w:r w:rsidRPr="00305B1A">
        <w:rPr>
          <w:rFonts w:cs="Arial" w:hint="cs"/>
          <w:rtl/>
        </w:rPr>
        <w:t>שם</w:t>
      </w:r>
      <w:r>
        <w:rPr>
          <w:rFonts w:cs="Arial" w:hint="cs"/>
          <w:rtl/>
        </w:rPr>
        <w:t>,</w:t>
      </w:r>
      <w:r w:rsidRPr="00305B1A">
        <w:rPr>
          <w:rFonts w:cs="Arial"/>
          <w:rtl/>
        </w:rPr>
        <w:t xml:space="preserve"> </w:t>
      </w:r>
      <w:r w:rsidRPr="00305B1A">
        <w:rPr>
          <w:rFonts w:cs="Arial" w:hint="cs"/>
          <w:rtl/>
        </w:rPr>
        <w:t>ועתה</w:t>
      </w:r>
      <w:r w:rsidRPr="00305B1A">
        <w:rPr>
          <w:rFonts w:cs="Arial"/>
          <w:rtl/>
        </w:rPr>
        <w:t xml:space="preserve"> </w:t>
      </w:r>
      <w:r w:rsidRPr="00305B1A">
        <w:rPr>
          <w:rFonts w:cs="Arial" w:hint="cs"/>
          <w:rtl/>
        </w:rPr>
        <w:t>שלח</w:t>
      </w:r>
      <w:r w:rsidRPr="00305B1A">
        <w:rPr>
          <w:rFonts w:cs="Arial"/>
          <w:rtl/>
        </w:rPr>
        <w:t xml:space="preserve"> </w:t>
      </w:r>
      <w:r w:rsidRPr="00305B1A">
        <w:rPr>
          <w:rFonts w:cs="Arial" w:hint="cs"/>
          <w:rtl/>
        </w:rPr>
        <w:t>לו</w:t>
      </w:r>
      <w:r w:rsidRPr="00305B1A">
        <w:rPr>
          <w:rFonts w:cs="Arial"/>
          <w:rtl/>
        </w:rPr>
        <w:t xml:space="preserve"> </w:t>
      </w:r>
      <w:r w:rsidRPr="00305B1A">
        <w:rPr>
          <w:rFonts w:cs="Arial" w:hint="cs"/>
          <w:rtl/>
        </w:rPr>
        <w:t>גט</w:t>
      </w:r>
      <w:r w:rsidRPr="00305B1A">
        <w:rPr>
          <w:rFonts w:cs="Arial"/>
          <w:rtl/>
        </w:rPr>
        <w:t xml:space="preserve"> </w:t>
      </w:r>
      <w:r w:rsidRPr="00305B1A">
        <w:rPr>
          <w:rFonts w:cs="Arial" w:hint="cs"/>
          <w:rtl/>
        </w:rPr>
        <w:t>לאשתו</w:t>
      </w:r>
      <w:r w:rsidRPr="00305B1A">
        <w:rPr>
          <w:rFonts w:cs="Arial"/>
          <w:rtl/>
        </w:rPr>
        <w:t xml:space="preserve"> </w:t>
      </w:r>
      <w:r w:rsidRPr="00305B1A">
        <w:rPr>
          <w:rFonts w:cs="Arial" w:hint="cs"/>
          <w:rtl/>
        </w:rPr>
        <w:t>אשר</w:t>
      </w:r>
      <w:r w:rsidRPr="00305B1A">
        <w:rPr>
          <w:rFonts w:cs="Arial"/>
          <w:rtl/>
        </w:rPr>
        <w:t xml:space="preserve"> </w:t>
      </w:r>
      <w:r w:rsidRPr="00305B1A">
        <w:rPr>
          <w:rFonts w:cs="Arial" w:hint="cs"/>
          <w:rtl/>
        </w:rPr>
        <w:t>לו</w:t>
      </w:r>
      <w:r w:rsidRPr="00305B1A">
        <w:rPr>
          <w:rFonts w:cs="Arial"/>
          <w:rtl/>
        </w:rPr>
        <w:t xml:space="preserve"> </w:t>
      </w:r>
      <w:r w:rsidRPr="00305B1A">
        <w:rPr>
          <w:rFonts w:cs="Arial" w:hint="cs"/>
          <w:rtl/>
        </w:rPr>
        <w:t>הנה</w:t>
      </w:r>
      <w:r w:rsidRPr="00305B1A">
        <w:rPr>
          <w:rFonts w:cs="Arial"/>
          <w:rtl/>
        </w:rPr>
        <w:t xml:space="preserve"> </w:t>
      </w:r>
      <w:r w:rsidRPr="00305B1A">
        <w:rPr>
          <w:rFonts w:cs="Arial" w:hint="cs"/>
          <w:rtl/>
        </w:rPr>
        <w:t>פירפיניאן</w:t>
      </w:r>
      <w:r>
        <w:rPr>
          <w:rFonts w:cs="Arial" w:hint="cs"/>
          <w:rtl/>
        </w:rPr>
        <w:t>.</w:t>
      </w:r>
      <w:r w:rsidRPr="00305B1A">
        <w:rPr>
          <w:rFonts w:cs="Arial"/>
          <w:rtl/>
        </w:rPr>
        <w:t xml:space="preserve"> </w:t>
      </w:r>
      <w:r w:rsidRPr="00305B1A">
        <w:rPr>
          <w:rFonts w:cs="Arial" w:hint="cs"/>
          <w:rtl/>
        </w:rPr>
        <w:t>וזה</w:t>
      </w:r>
      <w:r w:rsidRPr="00305B1A">
        <w:rPr>
          <w:rFonts w:cs="Arial"/>
          <w:rtl/>
        </w:rPr>
        <w:t xml:space="preserve"> </w:t>
      </w:r>
      <w:r w:rsidRPr="00305B1A">
        <w:rPr>
          <w:rFonts w:cs="Arial" w:hint="cs"/>
          <w:rtl/>
        </w:rPr>
        <w:t>טופס</w:t>
      </w:r>
      <w:r w:rsidRPr="00305B1A">
        <w:rPr>
          <w:rFonts w:cs="Arial"/>
          <w:rtl/>
        </w:rPr>
        <w:t xml:space="preserve"> </w:t>
      </w:r>
      <w:r w:rsidRPr="00305B1A">
        <w:rPr>
          <w:rFonts w:cs="Arial" w:hint="cs"/>
          <w:rtl/>
        </w:rPr>
        <w:t>הגט</w:t>
      </w:r>
      <w:r>
        <w:rPr>
          <w:rFonts w:cs="Arial" w:hint="cs"/>
          <w:rtl/>
        </w:rPr>
        <w:t>:</w:t>
      </w:r>
      <w:r w:rsidRPr="00305B1A">
        <w:rPr>
          <w:rFonts w:cs="Arial"/>
          <w:rtl/>
        </w:rPr>
        <w:t xml:space="preserve"> </w:t>
      </w:r>
      <w:r>
        <w:rPr>
          <w:rFonts w:cs="Arial" w:hint="cs"/>
          <w:rtl/>
        </w:rPr>
        <w:t>"</w:t>
      </w:r>
      <w:r w:rsidRPr="00305B1A">
        <w:rPr>
          <w:rFonts w:cs="Arial" w:hint="cs"/>
          <w:rtl/>
        </w:rPr>
        <w:t>בכך</w:t>
      </w:r>
      <w:r w:rsidRPr="00305B1A">
        <w:rPr>
          <w:rFonts w:cs="Arial"/>
          <w:rtl/>
        </w:rPr>
        <w:t xml:space="preserve"> </w:t>
      </w:r>
      <w:r w:rsidRPr="00305B1A">
        <w:rPr>
          <w:rFonts w:cs="Arial" w:hint="cs"/>
          <w:rtl/>
        </w:rPr>
        <w:t>בשבת</w:t>
      </w:r>
      <w:r w:rsidRPr="00305B1A">
        <w:rPr>
          <w:rFonts w:cs="Arial"/>
          <w:rtl/>
        </w:rPr>
        <w:t xml:space="preserve"> </w:t>
      </w:r>
      <w:r w:rsidRPr="00305B1A">
        <w:rPr>
          <w:rFonts w:cs="Arial" w:hint="cs"/>
          <w:rtl/>
        </w:rPr>
        <w:t>וכו</w:t>
      </w:r>
      <w:r w:rsidRPr="00305B1A">
        <w:rPr>
          <w:rFonts w:cs="Arial"/>
          <w:rtl/>
        </w:rPr>
        <w:t xml:space="preserve">' </w:t>
      </w:r>
      <w:r w:rsidRPr="00305B1A">
        <w:rPr>
          <w:rFonts w:cs="Arial" w:hint="cs"/>
          <w:rtl/>
        </w:rPr>
        <w:t>למנין</w:t>
      </w:r>
      <w:r w:rsidRPr="00305B1A">
        <w:rPr>
          <w:rFonts w:cs="Arial"/>
          <w:rtl/>
        </w:rPr>
        <w:t xml:space="preserve"> </w:t>
      </w:r>
      <w:r w:rsidRPr="00305B1A">
        <w:rPr>
          <w:rFonts w:cs="Arial" w:hint="cs"/>
          <w:rtl/>
        </w:rPr>
        <w:t>שאנו</w:t>
      </w:r>
      <w:r w:rsidRPr="00305B1A">
        <w:rPr>
          <w:rFonts w:cs="Arial"/>
          <w:rtl/>
        </w:rPr>
        <w:t xml:space="preserve"> </w:t>
      </w:r>
      <w:r w:rsidRPr="00305B1A">
        <w:rPr>
          <w:rFonts w:cs="Arial" w:hint="cs"/>
          <w:rtl/>
        </w:rPr>
        <w:t>מונין</w:t>
      </w:r>
      <w:r w:rsidRPr="00305B1A">
        <w:rPr>
          <w:rFonts w:cs="Arial"/>
          <w:rtl/>
        </w:rPr>
        <w:t xml:space="preserve"> </w:t>
      </w:r>
      <w:r w:rsidRPr="00305B1A">
        <w:rPr>
          <w:rFonts w:cs="Arial" w:hint="cs"/>
          <w:rtl/>
        </w:rPr>
        <w:t>כאן</w:t>
      </w:r>
      <w:r w:rsidRPr="00305B1A">
        <w:rPr>
          <w:rFonts w:cs="Arial"/>
          <w:rtl/>
        </w:rPr>
        <w:t xml:space="preserve"> </w:t>
      </w:r>
      <w:r w:rsidRPr="00305B1A">
        <w:rPr>
          <w:rFonts w:cs="Arial" w:hint="cs"/>
          <w:rtl/>
        </w:rPr>
        <w:t>במתא</w:t>
      </w:r>
      <w:r w:rsidRPr="00305B1A">
        <w:rPr>
          <w:rFonts w:cs="Arial"/>
          <w:rtl/>
        </w:rPr>
        <w:t xml:space="preserve"> </w:t>
      </w:r>
      <w:r w:rsidRPr="00305B1A">
        <w:rPr>
          <w:rFonts w:cs="Arial" w:hint="cs"/>
          <w:rtl/>
        </w:rPr>
        <w:t>אשביליא</w:t>
      </w:r>
      <w:r w:rsidRPr="00305B1A">
        <w:rPr>
          <w:rFonts w:cs="Arial"/>
          <w:rtl/>
        </w:rPr>
        <w:t xml:space="preserve"> </w:t>
      </w:r>
      <w:r w:rsidRPr="00305B1A">
        <w:rPr>
          <w:rFonts w:cs="Arial" w:hint="cs"/>
          <w:rtl/>
        </w:rPr>
        <w:t>איך</w:t>
      </w:r>
      <w:r w:rsidRPr="00305B1A">
        <w:rPr>
          <w:rFonts w:cs="Arial"/>
          <w:rtl/>
        </w:rPr>
        <w:t xml:space="preserve"> </w:t>
      </w:r>
      <w:r w:rsidRPr="00305B1A">
        <w:rPr>
          <w:rFonts w:cs="Arial" w:hint="cs"/>
          <w:rtl/>
        </w:rPr>
        <w:t>אנא</w:t>
      </w:r>
      <w:r w:rsidRPr="00305B1A">
        <w:rPr>
          <w:rFonts w:cs="Arial"/>
          <w:rtl/>
        </w:rPr>
        <w:t xml:space="preserve"> </w:t>
      </w:r>
      <w:r w:rsidRPr="00305B1A">
        <w:rPr>
          <w:rFonts w:cs="Arial" w:hint="cs"/>
          <w:rtl/>
        </w:rPr>
        <w:t>פלוני</w:t>
      </w:r>
      <w:r w:rsidRPr="00305B1A">
        <w:rPr>
          <w:rFonts w:cs="Arial"/>
          <w:rtl/>
        </w:rPr>
        <w:t xml:space="preserve"> </w:t>
      </w:r>
      <w:r w:rsidRPr="00305B1A">
        <w:rPr>
          <w:rFonts w:cs="Arial" w:hint="cs"/>
          <w:rtl/>
        </w:rPr>
        <w:t>דממתא</w:t>
      </w:r>
      <w:r w:rsidRPr="00305B1A">
        <w:rPr>
          <w:rFonts w:cs="Arial"/>
          <w:rtl/>
        </w:rPr>
        <w:t xml:space="preserve"> </w:t>
      </w:r>
      <w:r w:rsidRPr="00305B1A">
        <w:rPr>
          <w:rFonts w:cs="Arial" w:hint="cs"/>
          <w:rtl/>
        </w:rPr>
        <w:t>מיורקא</w:t>
      </w:r>
      <w:r w:rsidRPr="00305B1A">
        <w:rPr>
          <w:rFonts w:cs="Arial"/>
          <w:rtl/>
        </w:rPr>
        <w:t xml:space="preserve"> </w:t>
      </w:r>
      <w:r w:rsidRPr="00305B1A">
        <w:rPr>
          <w:rFonts w:cs="Arial" w:hint="cs"/>
          <w:rtl/>
        </w:rPr>
        <w:t>ב</w:t>
      </w:r>
      <w:r w:rsidRPr="00305B1A">
        <w:rPr>
          <w:rFonts w:cs="Arial"/>
          <w:rtl/>
        </w:rPr>
        <w:t>"</w:t>
      </w:r>
      <w:r w:rsidRPr="00305B1A">
        <w:rPr>
          <w:rFonts w:cs="Arial" w:hint="cs"/>
          <w:rtl/>
        </w:rPr>
        <w:t>ר</w:t>
      </w:r>
      <w:r w:rsidRPr="00305B1A">
        <w:rPr>
          <w:rFonts w:cs="Arial"/>
          <w:rtl/>
        </w:rPr>
        <w:t xml:space="preserve"> </w:t>
      </w:r>
      <w:r w:rsidRPr="00305B1A">
        <w:rPr>
          <w:rFonts w:cs="Arial" w:hint="cs"/>
          <w:rtl/>
        </w:rPr>
        <w:t>בנבנשת</w:t>
      </w:r>
      <w:r>
        <w:rPr>
          <w:rFonts w:cs="Arial" w:hint="cs"/>
          <w:rtl/>
        </w:rPr>
        <w:t>".</w:t>
      </w:r>
      <w:r w:rsidRPr="00305B1A">
        <w:rPr>
          <w:rFonts w:cs="Arial"/>
          <w:rtl/>
        </w:rPr>
        <w:t xml:space="preserve"> </w:t>
      </w:r>
      <w:r w:rsidRPr="00305B1A">
        <w:rPr>
          <w:rFonts w:cs="Arial" w:hint="cs"/>
          <w:rtl/>
        </w:rPr>
        <w:t>אם</w:t>
      </w:r>
      <w:r w:rsidRPr="00305B1A">
        <w:rPr>
          <w:rFonts w:cs="Arial"/>
          <w:rtl/>
        </w:rPr>
        <w:t xml:space="preserve"> </w:t>
      </w:r>
      <w:r w:rsidRPr="00305B1A">
        <w:rPr>
          <w:rFonts w:cs="Arial" w:hint="cs"/>
          <w:rtl/>
        </w:rPr>
        <w:t>נאמר</w:t>
      </w:r>
      <w:r w:rsidRPr="00305B1A">
        <w:rPr>
          <w:rFonts w:cs="Arial"/>
          <w:rtl/>
        </w:rPr>
        <w:t xml:space="preserve"> </w:t>
      </w:r>
      <w:r w:rsidRPr="00305B1A">
        <w:rPr>
          <w:rFonts w:cs="Arial" w:hint="cs"/>
          <w:rtl/>
        </w:rPr>
        <w:t>דמאי</w:t>
      </w:r>
      <w:r w:rsidRPr="00305B1A">
        <w:rPr>
          <w:rFonts w:cs="Arial"/>
          <w:rtl/>
        </w:rPr>
        <w:t xml:space="preserve"> </w:t>
      </w:r>
      <w:r w:rsidRPr="00305B1A">
        <w:rPr>
          <w:rFonts w:cs="Arial" w:hint="cs"/>
          <w:rtl/>
        </w:rPr>
        <w:t>דכתב</w:t>
      </w:r>
      <w:r w:rsidRPr="00305B1A">
        <w:rPr>
          <w:rFonts w:cs="Arial"/>
          <w:rtl/>
        </w:rPr>
        <w:t xml:space="preserve"> </w:t>
      </w:r>
      <w:r w:rsidRPr="00305B1A">
        <w:rPr>
          <w:rFonts w:cs="Arial" w:hint="cs"/>
          <w:rtl/>
        </w:rPr>
        <w:t>דממתא</w:t>
      </w:r>
      <w:r w:rsidRPr="00305B1A">
        <w:rPr>
          <w:rFonts w:cs="Arial"/>
          <w:rtl/>
        </w:rPr>
        <w:t xml:space="preserve"> </w:t>
      </w:r>
      <w:r w:rsidRPr="00305B1A">
        <w:rPr>
          <w:rFonts w:cs="Arial" w:hint="cs"/>
          <w:rtl/>
        </w:rPr>
        <w:t>מיורקא</w:t>
      </w:r>
      <w:r w:rsidRPr="00305B1A">
        <w:rPr>
          <w:rFonts w:cs="Arial"/>
          <w:rtl/>
        </w:rPr>
        <w:t xml:space="preserve"> </w:t>
      </w:r>
      <w:r w:rsidRPr="00305B1A">
        <w:rPr>
          <w:rFonts w:cs="Arial" w:hint="cs"/>
          <w:rtl/>
        </w:rPr>
        <w:t>הוא</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היחס</w:t>
      </w:r>
      <w:r w:rsidRPr="00305B1A">
        <w:rPr>
          <w:rFonts w:cs="Arial"/>
          <w:rtl/>
        </w:rPr>
        <w:t xml:space="preserve"> </w:t>
      </w:r>
      <w:r w:rsidRPr="00305B1A">
        <w:rPr>
          <w:rFonts w:cs="Arial" w:hint="cs"/>
          <w:rtl/>
        </w:rPr>
        <w:t>לא</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Pr>
          <w:rFonts w:cs="Arial" w:hint="cs"/>
          <w:rtl/>
        </w:rPr>
        <w:t>.</w:t>
      </w:r>
      <w:r w:rsidRPr="00305B1A">
        <w:rPr>
          <w:rFonts w:cs="Arial"/>
          <w:rtl/>
        </w:rPr>
        <w:t xml:space="preserve"> </w:t>
      </w:r>
      <w:r w:rsidRPr="00305B1A">
        <w:rPr>
          <w:rFonts w:cs="Arial" w:hint="cs"/>
          <w:rtl/>
        </w:rPr>
        <w:t>ועוד</w:t>
      </w:r>
      <w:r w:rsidRPr="00305B1A">
        <w:rPr>
          <w:rFonts w:cs="Arial"/>
          <w:rtl/>
        </w:rPr>
        <w:t xml:space="preserve"> </w:t>
      </w:r>
      <w:r w:rsidRPr="00305B1A">
        <w:rPr>
          <w:rFonts w:cs="Arial" w:hint="cs"/>
          <w:rtl/>
        </w:rPr>
        <w:t>שהעידו</w:t>
      </w:r>
      <w:r w:rsidRPr="00305B1A">
        <w:rPr>
          <w:rFonts w:cs="Arial"/>
          <w:rtl/>
        </w:rPr>
        <w:t xml:space="preserve"> </w:t>
      </w:r>
      <w:r w:rsidRPr="00305B1A">
        <w:rPr>
          <w:rFonts w:cs="Arial" w:hint="cs"/>
          <w:rtl/>
        </w:rPr>
        <w:t>רבים</w:t>
      </w:r>
      <w:r w:rsidRPr="00305B1A">
        <w:rPr>
          <w:rFonts w:cs="Arial"/>
          <w:rtl/>
        </w:rPr>
        <w:t xml:space="preserve"> </w:t>
      </w:r>
      <w:r w:rsidRPr="00305B1A">
        <w:rPr>
          <w:rFonts w:cs="Arial" w:hint="cs"/>
          <w:rtl/>
        </w:rPr>
        <w:t>שזה</w:t>
      </w:r>
      <w:r w:rsidRPr="00305B1A">
        <w:rPr>
          <w:rFonts w:cs="Arial"/>
          <w:rtl/>
        </w:rPr>
        <w:t xml:space="preserve"> </w:t>
      </w:r>
      <w:r w:rsidRPr="00305B1A">
        <w:rPr>
          <w:rFonts w:cs="Arial" w:hint="cs"/>
          <w:rtl/>
        </w:rPr>
        <w:t>האיש</w:t>
      </w:r>
      <w:r w:rsidRPr="00305B1A">
        <w:rPr>
          <w:rFonts w:cs="Arial"/>
          <w:rtl/>
        </w:rPr>
        <w:t xml:space="preserve"> </w:t>
      </w:r>
      <w:r w:rsidRPr="00305B1A">
        <w:rPr>
          <w:rFonts w:cs="Arial" w:hint="cs"/>
          <w:rtl/>
        </w:rPr>
        <w:t>גם</w:t>
      </w:r>
      <w:r w:rsidRPr="00305B1A">
        <w:rPr>
          <w:rFonts w:cs="Arial"/>
          <w:rtl/>
        </w:rPr>
        <w:t xml:space="preserve"> </w:t>
      </w:r>
      <w:r w:rsidRPr="00305B1A">
        <w:rPr>
          <w:rFonts w:cs="Arial" w:hint="cs"/>
          <w:rtl/>
        </w:rPr>
        <w:t>כשהיה</w:t>
      </w:r>
      <w:r w:rsidRPr="00305B1A">
        <w:rPr>
          <w:rFonts w:cs="Arial"/>
          <w:rtl/>
        </w:rPr>
        <w:t xml:space="preserve"> </w:t>
      </w:r>
      <w:r w:rsidRPr="00305B1A">
        <w:rPr>
          <w:rFonts w:cs="Arial" w:hint="cs"/>
          <w:rtl/>
        </w:rPr>
        <w:t>דר</w:t>
      </w:r>
      <w:r w:rsidRPr="00305B1A">
        <w:rPr>
          <w:rFonts w:cs="Arial"/>
          <w:rtl/>
        </w:rPr>
        <w:t xml:space="preserve"> </w:t>
      </w:r>
      <w:r w:rsidRPr="00305B1A">
        <w:rPr>
          <w:rFonts w:cs="Arial" w:hint="cs"/>
          <w:rtl/>
        </w:rPr>
        <w:t>הנה</w:t>
      </w:r>
      <w:r w:rsidRPr="00305B1A">
        <w:rPr>
          <w:rFonts w:cs="Arial"/>
          <w:rtl/>
        </w:rPr>
        <w:t xml:space="preserve"> </w:t>
      </w:r>
      <w:r w:rsidRPr="00305B1A">
        <w:rPr>
          <w:rFonts w:cs="Arial" w:hint="cs"/>
          <w:rtl/>
        </w:rPr>
        <w:t>היו</w:t>
      </w:r>
      <w:r w:rsidRPr="00305B1A">
        <w:rPr>
          <w:rFonts w:cs="Arial"/>
          <w:rtl/>
        </w:rPr>
        <w:t xml:space="preserve"> </w:t>
      </w:r>
      <w:r w:rsidRPr="00305B1A">
        <w:rPr>
          <w:rFonts w:cs="Arial" w:hint="cs"/>
          <w:rtl/>
        </w:rPr>
        <w:t>קורין</w:t>
      </w:r>
      <w:r w:rsidRPr="00305B1A">
        <w:rPr>
          <w:rFonts w:cs="Arial"/>
          <w:rtl/>
        </w:rPr>
        <w:t xml:space="preserve"> </w:t>
      </w:r>
      <w:r w:rsidRPr="00305B1A">
        <w:rPr>
          <w:rFonts w:cs="Arial" w:hint="cs"/>
          <w:rtl/>
        </w:rPr>
        <w:t>אותו</w:t>
      </w:r>
      <w:r w:rsidRPr="00305B1A">
        <w:rPr>
          <w:rFonts w:cs="Arial"/>
          <w:rtl/>
        </w:rPr>
        <w:t xml:space="preserve"> </w:t>
      </w:r>
      <w:r w:rsidRPr="00305B1A">
        <w:rPr>
          <w:rFonts w:cs="Arial" w:hint="cs"/>
          <w:rtl/>
        </w:rPr>
        <w:t>דוראן</w:t>
      </w:r>
      <w:r w:rsidRPr="00305B1A">
        <w:rPr>
          <w:rFonts w:cs="Arial"/>
          <w:rtl/>
        </w:rPr>
        <w:t xml:space="preserve"> </w:t>
      </w:r>
      <w:r w:rsidRPr="00305B1A">
        <w:rPr>
          <w:rFonts w:cs="Arial" w:hint="cs"/>
          <w:rtl/>
        </w:rPr>
        <w:t xml:space="preserve">דמיורקא.    </w:t>
      </w:r>
      <w:r w:rsidRPr="00305B1A">
        <w:rPr>
          <w:rFonts w:cs="Arial"/>
          <w:rtl/>
        </w:rPr>
        <w:t xml:space="preserve"> </w:t>
      </w:r>
      <w:r w:rsidRPr="00305B1A">
        <w:rPr>
          <w:rFonts w:cs="Arial" w:hint="cs"/>
          <w:rtl/>
        </w:rPr>
        <w:t>תשובה</w:t>
      </w:r>
      <w:r w:rsidRPr="00305B1A">
        <w:rPr>
          <w:rFonts w:cs="Arial"/>
          <w:rtl/>
        </w:rPr>
        <w:t xml:space="preserve"> </w:t>
      </w:r>
      <w:r w:rsidRPr="00A5243E">
        <w:rPr>
          <w:rFonts w:cs="Arial"/>
          <w:sz w:val="16"/>
          <w:szCs w:val="16"/>
          <w:rtl/>
        </w:rPr>
        <w:t>(</w:t>
      </w:r>
      <w:r w:rsidRPr="00A5243E">
        <w:rPr>
          <w:rFonts w:cs="Arial" w:hint="cs"/>
          <w:sz w:val="16"/>
          <w:szCs w:val="16"/>
          <w:rtl/>
        </w:rPr>
        <w:t>שם</w:t>
      </w:r>
      <w:r w:rsidRPr="00A5243E">
        <w:rPr>
          <w:rFonts w:cs="Arial"/>
          <w:sz w:val="16"/>
          <w:szCs w:val="16"/>
          <w:rtl/>
        </w:rPr>
        <w:t xml:space="preserve"> </w:t>
      </w:r>
      <w:r w:rsidRPr="00A5243E">
        <w:rPr>
          <w:rFonts w:cs="Arial" w:hint="cs"/>
          <w:sz w:val="16"/>
          <w:szCs w:val="16"/>
          <w:rtl/>
        </w:rPr>
        <w:t>אות</w:t>
      </w:r>
      <w:r w:rsidRPr="00A5243E">
        <w:rPr>
          <w:rFonts w:cs="Arial"/>
          <w:sz w:val="16"/>
          <w:szCs w:val="16"/>
          <w:rtl/>
        </w:rPr>
        <w:t xml:space="preserve"> </w:t>
      </w:r>
      <w:r w:rsidRPr="00A5243E">
        <w:rPr>
          <w:rFonts w:cs="Arial" w:hint="cs"/>
          <w:sz w:val="16"/>
          <w:szCs w:val="16"/>
          <w:rtl/>
        </w:rPr>
        <w:t>ב</w:t>
      </w:r>
      <w:r w:rsidRPr="00A5243E">
        <w:rPr>
          <w:rFonts w:cs="Arial"/>
          <w:sz w:val="16"/>
          <w:szCs w:val="16"/>
          <w:rtl/>
        </w:rPr>
        <w:t>)</w:t>
      </w:r>
      <w:r w:rsidRPr="00305B1A">
        <w:rPr>
          <w:rFonts w:cs="Arial" w:hint="cs"/>
          <w:rtl/>
        </w:rPr>
        <w:t>:</w:t>
      </w:r>
      <w:r w:rsidRPr="00305B1A">
        <w:rPr>
          <w:rFonts w:cs="Arial"/>
          <w:rtl/>
        </w:rPr>
        <w:t xml:space="preserve"> </w:t>
      </w:r>
      <w:r w:rsidRPr="00305B1A">
        <w:rPr>
          <w:rFonts w:cs="Arial" w:hint="cs"/>
          <w:rtl/>
        </w:rPr>
        <w:t>רואה</w:t>
      </w:r>
      <w:r w:rsidRPr="00305B1A">
        <w:rPr>
          <w:rFonts w:cs="Arial"/>
          <w:rtl/>
        </w:rPr>
        <w:t xml:space="preserve"> </w:t>
      </w:r>
      <w:r w:rsidRPr="00305B1A">
        <w:rPr>
          <w:rFonts w:cs="Arial" w:hint="cs"/>
          <w:rtl/>
        </w:rPr>
        <w:t>אני</w:t>
      </w:r>
      <w:r w:rsidRPr="00305B1A">
        <w:rPr>
          <w:rFonts w:cs="Arial"/>
          <w:rtl/>
        </w:rPr>
        <w:t xml:space="preserve"> </w:t>
      </w:r>
      <w:r w:rsidRPr="00305B1A">
        <w:rPr>
          <w:rFonts w:cs="Arial" w:hint="cs"/>
          <w:rtl/>
        </w:rPr>
        <w:t>פיסול</w:t>
      </w:r>
      <w:r w:rsidRPr="00305B1A">
        <w:rPr>
          <w:rFonts w:cs="Arial"/>
          <w:rtl/>
        </w:rPr>
        <w:t xml:space="preserve"> </w:t>
      </w:r>
      <w:r w:rsidRPr="00305B1A">
        <w:rPr>
          <w:rFonts w:cs="Arial" w:hint="cs"/>
          <w:rtl/>
        </w:rPr>
        <w:t>בגט</w:t>
      </w:r>
      <w:r w:rsidRPr="00305B1A">
        <w:rPr>
          <w:rFonts w:cs="Arial"/>
          <w:rtl/>
        </w:rPr>
        <w:t xml:space="preserve"> </w:t>
      </w:r>
      <w:r w:rsidRPr="00305B1A">
        <w:rPr>
          <w:rFonts w:cs="Arial" w:hint="cs"/>
          <w:rtl/>
        </w:rPr>
        <w:t>זה</w:t>
      </w:r>
      <w:r w:rsidRPr="00305B1A">
        <w:rPr>
          <w:rFonts w:cs="Arial"/>
          <w:rtl/>
        </w:rPr>
        <w:t xml:space="preserve"> </w:t>
      </w:r>
      <w:r w:rsidRPr="00305B1A">
        <w:rPr>
          <w:rFonts w:cs="Arial" w:hint="cs"/>
          <w:rtl/>
        </w:rPr>
        <w:t>מפני</w:t>
      </w:r>
      <w:r w:rsidRPr="00305B1A">
        <w:rPr>
          <w:rFonts w:cs="Arial"/>
          <w:rtl/>
        </w:rPr>
        <w:t xml:space="preserve"> </w:t>
      </w:r>
      <w:r w:rsidRPr="00305B1A">
        <w:rPr>
          <w:rFonts w:cs="Arial" w:hint="cs"/>
          <w:rtl/>
        </w:rPr>
        <w:t>שכתוב</w:t>
      </w:r>
      <w:r w:rsidRPr="00305B1A">
        <w:rPr>
          <w:rFonts w:cs="Arial"/>
          <w:rtl/>
        </w:rPr>
        <w:t xml:space="preserve"> </w:t>
      </w:r>
      <w:r w:rsidRPr="00305B1A">
        <w:rPr>
          <w:rFonts w:cs="Arial" w:hint="cs"/>
          <w:rtl/>
        </w:rPr>
        <w:t>בו</w:t>
      </w:r>
      <w:r w:rsidRPr="00305B1A">
        <w:rPr>
          <w:rFonts w:cs="Arial"/>
          <w:rtl/>
        </w:rPr>
        <w:t xml:space="preserve"> </w:t>
      </w:r>
      <w:r w:rsidRPr="00305B1A">
        <w:rPr>
          <w:rFonts w:cs="Arial" w:hint="cs"/>
          <w:rtl/>
        </w:rPr>
        <w:t>דממתא</w:t>
      </w:r>
      <w:r w:rsidRPr="00305B1A">
        <w:rPr>
          <w:rFonts w:cs="Arial"/>
          <w:rtl/>
        </w:rPr>
        <w:t xml:space="preserve"> </w:t>
      </w:r>
      <w:r w:rsidRPr="00305B1A">
        <w:rPr>
          <w:rFonts w:cs="Arial" w:hint="cs"/>
          <w:rtl/>
        </w:rPr>
        <w:t>מיורקא</w:t>
      </w:r>
      <w:r>
        <w:rPr>
          <w:rFonts w:cs="Arial" w:hint="cs"/>
          <w:rtl/>
        </w:rPr>
        <w:t>,</w:t>
      </w:r>
      <w:r w:rsidRPr="00305B1A">
        <w:rPr>
          <w:rFonts w:cs="Arial"/>
          <w:rtl/>
        </w:rPr>
        <w:t xml:space="preserve"> </w:t>
      </w:r>
      <w:r w:rsidRPr="00305B1A">
        <w:rPr>
          <w:rFonts w:cs="Arial" w:hint="cs"/>
          <w:rtl/>
        </w:rPr>
        <w:t>וזה</w:t>
      </w:r>
      <w:r w:rsidRPr="00305B1A">
        <w:rPr>
          <w:rFonts w:cs="Arial"/>
          <w:rtl/>
        </w:rPr>
        <w:t xml:space="preserve"> </w:t>
      </w:r>
      <w:r w:rsidRPr="00305B1A">
        <w:rPr>
          <w:rFonts w:cs="Arial" w:hint="cs"/>
          <w:rtl/>
        </w:rPr>
        <w:t>היה</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sidRPr="00305B1A">
        <w:rPr>
          <w:rFonts w:cs="Arial"/>
          <w:rtl/>
        </w:rPr>
        <w:t xml:space="preserve"> </w:t>
      </w:r>
      <w:r w:rsidRPr="00305B1A">
        <w:rPr>
          <w:rFonts w:cs="Arial" w:hint="cs"/>
          <w:rtl/>
        </w:rPr>
        <w:t>אשביליא</w:t>
      </w:r>
      <w:r>
        <w:rPr>
          <w:rFonts w:cs="Arial" w:hint="cs"/>
          <w:rtl/>
        </w:rPr>
        <w:t>.</w:t>
      </w:r>
      <w:r w:rsidRPr="00305B1A">
        <w:rPr>
          <w:rFonts w:cs="Arial"/>
          <w:rtl/>
        </w:rPr>
        <w:t xml:space="preserve"> </w:t>
      </w:r>
      <w:r w:rsidRPr="00305B1A">
        <w:rPr>
          <w:rFonts w:cs="Arial" w:hint="cs"/>
          <w:rtl/>
        </w:rPr>
        <w:t>נמצא</w:t>
      </w:r>
      <w:r w:rsidRPr="00305B1A">
        <w:rPr>
          <w:rFonts w:cs="Arial"/>
          <w:rtl/>
        </w:rPr>
        <w:t xml:space="preserve"> </w:t>
      </w:r>
      <w:r w:rsidRPr="00305B1A">
        <w:rPr>
          <w:rFonts w:cs="Arial" w:hint="cs"/>
          <w:rtl/>
        </w:rPr>
        <w:t>ששינה</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Pr>
          <w:rFonts w:cs="Arial" w:hint="cs"/>
          <w:rtl/>
        </w:rPr>
        <w:t>.</w:t>
      </w:r>
      <w:r w:rsidRPr="00305B1A">
        <w:rPr>
          <w:rFonts w:cs="Arial"/>
          <w:rtl/>
        </w:rPr>
        <w:t xml:space="preserve"> </w:t>
      </w:r>
      <w:r w:rsidRPr="00305B1A">
        <w:rPr>
          <w:rFonts w:cs="Arial" w:hint="cs"/>
          <w:rtl/>
        </w:rPr>
        <w:t>שמה</w:t>
      </w:r>
      <w:r w:rsidRPr="00305B1A">
        <w:rPr>
          <w:rFonts w:cs="Arial"/>
          <w:rtl/>
        </w:rPr>
        <w:t xml:space="preserve"> </w:t>
      </w:r>
      <w:r w:rsidRPr="00305B1A">
        <w:rPr>
          <w:rFonts w:cs="Arial" w:hint="cs"/>
          <w:rtl/>
        </w:rPr>
        <w:t>שדחקתם</w:t>
      </w:r>
      <w:r w:rsidRPr="00305B1A">
        <w:rPr>
          <w:rFonts w:cs="Arial"/>
          <w:rtl/>
        </w:rPr>
        <w:t xml:space="preserve"> </w:t>
      </w:r>
      <w:r w:rsidRPr="00305B1A">
        <w:rPr>
          <w:rFonts w:cs="Arial" w:hint="cs"/>
          <w:rtl/>
        </w:rPr>
        <w:t>לפרש</w:t>
      </w:r>
      <w:r w:rsidRPr="00305B1A">
        <w:rPr>
          <w:rFonts w:cs="Arial"/>
          <w:rtl/>
        </w:rPr>
        <w:t xml:space="preserve"> </w:t>
      </w:r>
      <w:r w:rsidRPr="00305B1A">
        <w:rPr>
          <w:rFonts w:cs="Arial" w:hint="cs"/>
          <w:rtl/>
        </w:rPr>
        <w:t>דמאי</w:t>
      </w:r>
      <w:r w:rsidRPr="00305B1A">
        <w:rPr>
          <w:rFonts w:cs="Arial"/>
          <w:rtl/>
        </w:rPr>
        <w:t xml:space="preserve"> </w:t>
      </w:r>
      <w:r w:rsidRPr="00305B1A">
        <w:rPr>
          <w:rFonts w:cs="Arial" w:hint="cs"/>
          <w:rtl/>
        </w:rPr>
        <w:t>דכתיב</w:t>
      </w:r>
      <w:r w:rsidRPr="00305B1A">
        <w:rPr>
          <w:rFonts w:cs="Arial"/>
          <w:rtl/>
        </w:rPr>
        <w:t xml:space="preserve"> </w:t>
      </w:r>
      <w:r w:rsidRPr="00305B1A">
        <w:rPr>
          <w:rFonts w:cs="Arial" w:hint="cs"/>
          <w:rtl/>
        </w:rPr>
        <w:t>דממתא</w:t>
      </w:r>
      <w:r w:rsidRPr="00305B1A">
        <w:rPr>
          <w:rFonts w:cs="Arial"/>
          <w:rtl/>
        </w:rPr>
        <w:t xml:space="preserve"> </w:t>
      </w:r>
      <w:r w:rsidRPr="00305B1A">
        <w:rPr>
          <w:rFonts w:cs="Arial" w:hint="cs"/>
          <w:rtl/>
        </w:rPr>
        <w:t>מיורקא</w:t>
      </w:r>
      <w:r w:rsidRPr="00305B1A">
        <w:rPr>
          <w:rFonts w:cs="Arial"/>
          <w:rtl/>
        </w:rPr>
        <w:t xml:space="preserve"> </w:t>
      </w:r>
      <w:r w:rsidRPr="00305B1A">
        <w:rPr>
          <w:rFonts w:cs="Arial" w:hint="cs"/>
          <w:rtl/>
        </w:rPr>
        <w:t>הוא</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היחס</w:t>
      </w:r>
      <w:r w:rsidRPr="00305B1A">
        <w:rPr>
          <w:rFonts w:cs="Arial"/>
          <w:rtl/>
        </w:rPr>
        <w:t xml:space="preserve"> </w:t>
      </w:r>
      <w:r w:rsidRPr="00305B1A">
        <w:rPr>
          <w:rFonts w:cs="Arial" w:hint="cs"/>
          <w:rtl/>
        </w:rPr>
        <w:t>לא</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sidRPr="00305B1A">
        <w:rPr>
          <w:rFonts w:cs="Arial"/>
          <w:rtl/>
        </w:rPr>
        <w:t xml:space="preserve"> </w:t>
      </w:r>
      <w:r w:rsidRPr="00305B1A">
        <w:rPr>
          <w:rFonts w:cs="Arial" w:hint="cs"/>
          <w:rtl/>
        </w:rPr>
        <w:t>כאשר</w:t>
      </w:r>
      <w:r w:rsidRPr="00305B1A">
        <w:rPr>
          <w:rFonts w:cs="Arial"/>
          <w:rtl/>
        </w:rPr>
        <w:t xml:space="preserve"> </w:t>
      </w:r>
      <w:r w:rsidRPr="00305B1A">
        <w:rPr>
          <w:rFonts w:cs="Arial" w:hint="cs"/>
          <w:rtl/>
        </w:rPr>
        <w:t>יתייחסו</w:t>
      </w:r>
      <w:r w:rsidRPr="00305B1A">
        <w:rPr>
          <w:rFonts w:cs="Arial"/>
          <w:rtl/>
        </w:rPr>
        <w:t xml:space="preserve"> </w:t>
      </w:r>
      <w:r w:rsidRPr="00305B1A">
        <w:rPr>
          <w:rFonts w:cs="Arial" w:hint="cs"/>
          <w:rtl/>
        </w:rPr>
        <w:t>רבים</w:t>
      </w:r>
      <w:r w:rsidRPr="00305B1A">
        <w:rPr>
          <w:rFonts w:cs="Arial"/>
          <w:rtl/>
        </w:rPr>
        <w:t xml:space="preserve"> </w:t>
      </w:r>
      <w:r w:rsidRPr="00305B1A">
        <w:rPr>
          <w:rFonts w:cs="Arial" w:hint="cs"/>
          <w:rtl/>
        </w:rPr>
        <w:t>אל</w:t>
      </w:r>
      <w:r w:rsidRPr="00305B1A">
        <w:rPr>
          <w:rFonts w:cs="Arial"/>
          <w:rtl/>
        </w:rPr>
        <w:t xml:space="preserve"> </w:t>
      </w:r>
      <w:r w:rsidRPr="00305B1A">
        <w:rPr>
          <w:rFonts w:cs="Arial" w:hint="cs"/>
          <w:rtl/>
        </w:rPr>
        <w:t>מקום</w:t>
      </w:r>
      <w:r w:rsidRPr="00305B1A">
        <w:rPr>
          <w:rFonts w:cs="Arial"/>
          <w:rtl/>
        </w:rPr>
        <w:t xml:space="preserve"> </w:t>
      </w:r>
      <w:r w:rsidRPr="00305B1A">
        <w:rPr>
          <w:rFonts w:cs="Arial" w:hint="cs"/>
          <w:rtl/>
        </w:rPr>
        <w:t>אחד</w:t>
      </w:r>
      <w:r>
        <w:rPr>
          <w:rFonts w:cs="Arial" w:hint="cs"/>
          <w:rtl/>
        </w:rPr>
        <w:t>,</w:t>
      </w:r>
      <w:r w:rsidRPr="00305B1A">
        <w:rPr>
          <w:rFonts w:cs="Arial"/>
          <w:rtl/>
        </w:rPr>
        <w:t xml:space="preserve"> </w:t>
      </w:r>
      <w:r w:rsidRPr="00305B1A">
        <w:rPr>
          <w:rFonts w:cs="Arial" w:hint="cs"/>
          <w:rtl/>
        </w:rPr>
        <w:t>זה</w:t>
      </w:r>
      <w:r w:rsidRPr="00305B1A">
        <w:rPr>
          <w:rFonts w:cs="Arial"/>
          <w:rtl/>
        </w:rPr>
        <w:t xml:space="preserve"> </w:t>
      </w:r>
      <w:r w:rsidRPr="00305B1A">
        <w:rPr>
          <w:rFonts w:cs="Arial" w:hint="cs"/>
          <w:rtl/>
        </w:rPr>
        <w:t>אינו</w:t>
      </w:r>
      <w:r w:rsidRPr="00305B1A">
        <w:rPr>
          <w:rFonts w:cs="Arial"/>
          <w:rtl/>
        </w:rPr>
        <w:t xml:space="preserve"> </w:t>
      </w:r>
      <w:r w:rsidRPr="00305B1A">
        <w:rPr>
          <w:rFonts w:cs="Arial" w:hint="cs"/>
          <w:rtl/>
        </w:rPr>
        <w:t>מורה</w:t>
      </w:r>
      <w:r w:rsidRPr="00305B1A">
        <w:rPr>
          <w:rFonts w:cs="Arial"/>
          <w:rtl/>
        </w:rPr>
        <w:t xml:space="preserve"> </w:t>
      </w:r>
      <w:r w:rsidRPr="00305B1A">
        <w:rPr>
          <w:rFonts w:cs="Arial" w:hint="cs"/>
          <w:rtl/>
        </w:rPr>
        <w:t>הלשון</w:t>
      </w:r>
      <w:r w:rsidRPr="00305B1A">
        <w:rPr>
          <w:rFonts w:cs="Arial"/>
          <w:rtl/>
        </w:rPr>
        <w:t xml:space="preserve"> </w:t>
      </w:r>
      <w:r w:rsidRPr="00305B1A">
        <w:rPr>
          <w:rFonts w:cs="Arial" w:hint="cs"/>
          <w:rtl/>
        </w:rPr>
        <w:t>כלל</w:t>
      </w:r>
      <w:r w:rsidRPr="00305B1A">
        <w:rPr>
          <w:rFonts w:cs="Arial"/>
          <w:rtl/>
        </w:rPr>
        <w:t xml:space="preserve"> </w:t>
      </w:r>
      <w:r w:rsidRPr="00305B1A">
        <w:rPr>
          <w:rFonts w:cs="Arial" w:hint="cs"/>
          <w:rtl/>
        </w:rPr>
        <w:t>שהמתיחסין</w:t>
      </w:r>
      <w:r w:rsidRPr="00305B1A">
        <w:rPr>
          <w:rFonts w:cs="Arial"/>
          <w:rtl/>
        </w:rPr>
        <w:t xml:space="preserve"> </w:t>
      </w:r>
      <w:r w:rsidRPr="00305B1A">
        <w:rPr>
          <w:rFonts w:cs="Arial" w:hint="cs"/>
          <w:rtl/>
        </w:rPr>
        <w:t>אל</w:t>
      </w:r>
      <w:r w:rsidRPr="00305B1A">
        <w:rPr>
          <w:rFonts w:cs="Arial"/>
          <w:rtl/>
        </w:rPr>
        <w:t xml:space="preserve"> </w:t>
      </w:r>
      <w:r w:rsidRPr="00305B1A">
        <w:rPr>
          <w:rFonts w:cs="Arial" w:hint="cs"/>
          <w:rtl/>
        </w:rPr>
        <w:t>מקום</w:t>
      </w:r>
      <w:r w:rsidRPr="00305B1A">
        <w:rPr>
          <w:rFonts w:cs="Arial"/>
          <w:rtl/>
        </w:rPr>
        <w:t xml:space="preserve"> </w:t>
      </w:r>
      <w:r w:rsidRPr="00305B1A">
        <w:rPr>
          <w:rFonts w:cs="Arial" w:hint="cs"/>
          <w:rtl/>
        </w:rPr>
        <w:t>ידוע</w:t>
      </w:r>
      <w:r w:rsidRPr="00305B1A">
        <w:rPr>
          <w:rFonts w:cs="Arial"/>
          <w:rtl/>
        </w:rPr>
        <w:t xml:space="preserve"> </w:t>
      </w:r>
      <w:r w:rsidRPr="00305B1A">
        <w:rPr>
          <w:rFonts w:cs="Arial" w:hint="cs"/>
          <w:rtl/>
        </w:rPr>
        <w:t>כותבין</w:t>
      </w:r>
      <w:r w:rsidRPr="00305B1A">
        <w:rPr>
          <w:rFonts w:cs="Arial"/>
          <w:rtl/>
        </w:rPr>
        <w:t xml:space="preserve"> </w:t>
      </w:r>
      <w:r w:rsidRPr="00305B1A">
        <w:rPr>
          <w:rFonts w:cs="Arial" w:hint="cs"/>
          <w:rtl/>
        </w:rPr>
        <w:t>בחתימותיהם</w:t>
      </w:r>
      <w:r w:rsidRPr="00305B1A">
        <w:rPr>
          <w:rFonts w:cs="Arial"/>
          <w:rtl/>
        </w:rPr>
        <w:t xml:space="preserve"> </w:t>
      </w:r>
      <w:r w:rsidRPr="00305B1A">
        <w:rPr>
          <w:rFonts w:cs="Arial" w:hint="cs"/>
          <w:rtl/>
        </w:rPr>
        <w:t>פלוני</w:t>
      </w:r>
      <w:r w:rsidRPr="00305B1A">
        <w:rPr>
          <w:rFonts w:cs="Arial"/>
          <w:rtl/>
        </w:rPr>
        <w:t xml:space="preserve"> </w:t>
      </w:r>
      <w:r w:rsidRPr="00305B1A">
        <w:rPr>
          <w:rFonts w:cs="Arial" w:hint="cs"/>
          <w:rtl/>
        </w:rPr>
        <w:t>דמיורקא</w:t>
      </w:r>
      <w:r>
        <w:rPr>
          <w:rFonts w:cs="Arial" w:hint="cs"/>
          <w:rtl/>
        </w:rPr>
        <w:t>,</w:t>
      </w:r>
      <w:r w:rsidRPr="00305B1A">
        <w:rPr>
          <w:rFonts w:cs="Arial"/>
          <w:rtl/>
        </w:rPr>
        <w:t xml:space="preserve"> </w:t>
      </w:r>
      <w:r w:rsidRPr="00305B1A">
        <w:rPr>
          <w:rFonts w:cs="Arial" w:hint="cs"/>
          <w:rtl/>
        </w:rPr>
        <w:t>או</w:t>
      </w:r>
      <w:r w:rsidRPr="00305B1A">
        <w:rPr>
          <w:rFonts w:cs="Arial"/>
          <w:rtl/>
        </w:rPr>
        <w:t xml:space="preserve"> </w:t>
      </w:r>
      <w:r w:rsidRPr="00305B1A">
        <w:rPr>
          <w:rFonts w:cs="Arial" w:hint="cs"/>
          <w:rtl/>
        </w:rPr>
        <w:t>כשמזכירים</w:t>
      </w:r>
      <w:r w:rsidRPr="00305B1A">
        <w:rPr>
          <w:rFonts w:cs="Arial"/>
          <w:rtl/>
        </w:rPr>
        <w:t xml:space="preserve"> </w:t>
      </w:r>
      <w:r w:rsidRPr="00305B1A">
        <w:rPr>
          <w:rFonts w:cs="Arial" w:hint="cs"/>
          <w:rtl/>
        </w:rPr>
        <w:t>ראשונה</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קדשם</w:t>
      </w:r>
      <w:r w:rsidRPr="00305B1A">
        <w:rPr>
          <w:rFonts w:cs="Arial"/>
          <w:rtl/>
        </w:rPr>
        <w:t xml:space="preserve"> </w:t>
      </w:r>
      <w:r w:rsidRPr="00305B1A">
        <w:rPr>
          <w:rFonts w:cs="Arial" w:hint="cs"/>
          <w:rtl/>
        </w:rPr>
        <w:t>כותבין</w:t>
      </w:r>
      <w:r w:rsidRPr="00305B1A">
        <w:rPr>
          <w:rFonts w:cs="Arial"/>
          <w:rtl/>
        </w:rPr>
        <w:t xml:space="preserve"> </w:t>
      </w:r>
      <w:r w:rsidRPr="00305B1A">
        <w:rPr>
          <w:rFonts w:cs="Arial" w:hint="cs"/>
          <w:rtl/>
        </w:rPr>
        <w:t>אח</w:t>
      </w:r>
      <w:r w:rsidRPr="00305B1A">
        <w:rPr>
          <w:rFonts w:cs="Arial"/>
          <w:rtl/>
        </w:rPr>
        <w:t>"</w:t>
      </w:r>
      <w:r w:rsidRPr="00305B1A">
        <w:rPr>
          <w:rFonts w:cs="Arial" w:hint="cs"/>
          <w:rtl/>
        </w:rPr>
        <w:t>כ</w:t>
      </w:r>
      <w:r w:rsidRPr="00305B1A">
        <w:rPr>
          <w:rFonts w:cs="Arial"/>
          <w:rtl/>
        </w:rPr>
        <w:t xml:space="preserve"> </w:t>
      </w:r>
      <w:r w:rsidRPr="00305B1A">
        <w:rPr>
          <w:rFonts w:cs="Arial" w:hint="cs"/>
          <w:rtl/>
        </w:rPr>
        <w:t>פלוני</w:t>
      </w:r>
      <w:r w:rsidRPr="00305B1A">
        <w:rPr>
          <w:rFonts w:cs="Arial"/>
          <w:rtl/>
        </w:rPr>
        <w:t xml:space="preserve"> </w:t>
      </w:r>
      <w:r w:rsidRPr="00305B1A">
        <w:rPr>
          <w:rFonts w:cs="Arial" w:hint="cs"/>
          <w:rtl/>
        </w:rPr>
        <w:t>המכונה</w:t>
      </w:r>
      <w:r w:rsidRPr="00305B1A">
        <w:rPr>
          <w:rFonts w:cs="Arial"/>
          <w:rtl/>
        </w:rPr>
        <w:t xml:space="preserve"> </w:t>
      </w:r>
      <w:r w:rsidRPr="00305B1A">
        <w:rPr>
          <w:rFonts w:cs="Arial" w:hint="cs"/>
          <w:rtl/>
        </w:rPr>
        <w:t>פלוני</w:t>
      </w:r>
      <w:r w:rsidRPr="00305B1A">
        <w:rPr>
          <w:rFonts w:cs="Arial"/>
          <w:rtl/>
        </w:rPr>
        <w:t xml:space="preserve"> </w:t>
      </w:r>
      <w:r w:rsidRPr="00305B1A">
        <w:rPr>
          <w:rFonts w:cs="Arial" w:hint="cs"/>
          <w:rtl/>
        </w:rPr>
        <w:t>דמיורקא</w:t>
      </w:r>
      <w:r w:rsidRPr="00305B1A">
        <w:rPr>
          <w:rFonts w:cs="Arial"/>
          <w:rtl/>
        </w:rPr>
        <w:t xml:space="preserve"> </w:t>
      </w:r>
      <w:r w:rsidRPr="00305B1A">
        <w:rPr>
          <w:rFonts w:cs="Arial" w:hint="cs"/>
          <w:rtl/>
        </w:rPr>
        <w:t>ואינם</w:t>
      </w:r>
      <w:r w:rsidRPr="00305B1A">
        <w:rPr>
          <w:rFonts w:cs="Arial"/>
          <w:rtl/>
        </w:rPr>
        <w:t xml:space="preserve"> </w:t>
      </w:r>
      <w:r w:rsidRPr="00305B1A">
        <w:rPr>
          <w:rFonts w:cs="Arial" w:hint="cs"/>
          <w:rtl/>
        </w:rPr>
        <w:t>כותבין</w:t>
      </w:r>
      <w:r w:rsidRPr="00305B1A">
        <w:rPr>
          <w:rFonts w:cs="Arial"/>
          <w:rtl/>
        </w:rPr>
        <w:t xml:space="preserve"> </w:t>
      </w:r>
      <w:r w:rsidRPr="00305B1A">
        <w:rPr>
          <w:rFonts w:cs="Arial" w:hint="cs"/>
          <w:rtl/>
        </w:rPr>
        <w:t>דממתא</w:t>
      </w:r>
      <w:r w:rsidRPr="00305B1A">
        <w:rPr>
          <w:rFonts w:cs="Arial"/>
          <w:rtl/>
        </w:rPr>
        <w:t xml:space="preserve"> </w:t>
      </w:r>
      <w:r w:rsidRPr="00305B1A">
        <w:rPr>
          <w:rFonts w:cs="Arial" w:hint="cs"/>
          <w:rtl/>
        </w:rPr>
        <w:t>פלונית</w:t>
      </w:r>
      <w:r>
        <w:rPr>
          <w:rFonts w:cs="Arial" w:hint="cs"/>
          <w:rtl/>
        </w:rPr>
        <w:t>,</w:t>
      </w:r>
      <w:r w:rsidRPr="00305B1A">
        <w:rPr>
          <w:rFonts w:cs="Arial"/>
          <w:rtl/>
        </w:rPr>
        <w:t xml:space="preserve"> </w:t>
      </w:r>
      <w:r w:rsidRPr="00305B1A">
        <w:rPr>
          <w:rFonts w:cs="Arial" w:hint="cs"/>
          <w:rtl/>
        </w:rPr>
        <w:t>שלשון</w:t>
      </w:r>
      <w:r w:rsidRPr="00305B1A">
        <w:rPr>
          <w:rFonts w:cs="Arial"/>
          <w:rtl/>
        </w:rPr>
        <w:t xml:space="preserve"> </w:t>
      </w:r>
      <w:r w:rsidRPr="00305B1A">
        <w:rPr>
          <w:rFonts w:cs="Arial" w:hint="cs"/>
          <w:rtl/>
        </w:rPr>
        <w:t>ממתא</w:t>
      </w:r>
      <w:r w:rsidRPr="00305B1A">
        <w:rPr>
          <w:rFonts w:cs="Arial"/>
          <w:rtl/>
        </w:rPr>
        <w:t xml:space="preserve"> </w:t>
      </w:r>
      <w:r w:rsidRPr="00305B1A">
        <w:rPr>
          <w:rFonts w:cs="Arial" w:hint="cs"/>
          <w:rtl/>
        </w:rPr>
        <w:t>מורה</w:t>
      </w:r>
      <w:r w:rsidRPr="00305B1A">
        <w:rPr>
          <w:rFonts w:cs="Arial"/>
          <w:rtl/>
        </w:rPr>
        <w:t xml:space="preserve"> </w:t>
      </w:r>
      <w:r w:rsidRPr="00305B1A">
        <w:rPr>
          <w:rFonts w:cs="Arial" w:hint="cs"/>
          <w:rtl/>
        </w:rPr>
        <w:t>שאינו</w:t>
      </w:r>
      <w:r w:rsidRPr="00305B1A">
        <w:rPr>
          <w:rFonts w:cs="Arial"/>
          <w:rtl/>
        </w:rPr>
        <w:t xml:space="preserve"> </w:t>
      </w:r>
      <w:r w:rsidRPr="00305B1A">
        <w:rPr>
          <w:rFonts w:cs="Arial" w:hint="cs"/>
          <w:rtl/>
        </w:rPr>
        <w:t>נכתב</w:t>
      </w:r>
      <w:r w:rsidRPr="00305B1A">
        <w:rPr>
          <w:rFonts w:cs="Arial"/>
          <w:rtl/>
        </w:rPr>
        <w:t xml:space="preserve"> </w:t>
      </w:r>
      <w:r w:rsidRPr="00305B1A">
        <w:rPr>
          <w:rFonts w:cs="Arial" w:hint="cs"/>
          <w:rtl/>
        </w:rPr>
        <w:t>על</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היחס</w:t>
      </w:r>
      <w:r w:rsidRPr="00305B1A">
        <w:rPr>
          <w:rFonts w:cs="Arial"/>
          <w:rtl/>
        </w:rPr>
        <w:t xml:space="preserve"> </w:t>
      </w:r>
      <w:r w:rsidRPr="00305B1A">
        <w:rPr>
          <w:rFonts w:cs="Arial" w:hint="cs"/>
          <w:rtl/>
        </w:rPr>
        <w:t>אלא</w:t>
      </w:r>
      <w:r w:rsidRPr="00305B1A">
        <w:rPr>
          <w:rFonts w:cs="Arial"/>
          <w:rtl/>
        </w:rPr>
        <w:t xml:space="preserve"> </w:t>
      </w:r>
      <w:r w:rsidRPr="00305B1A">
        <w:rPr>
          <w:rFonts w:cs="Arial" w:hint="cs"/>
          <w:rtl/>
        </w:rPr>
        <w:t>על</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Pr>
          <w:rFonts w:cs="Arial" w:hint="cs"/>
          <w:rtl/>
        </w:rPr>
        <w:t>.</w:t>
      </w:r>
      <w:r w:rsidRPr="00305B1A">
        <w:rPr>
          <w:rFonts w:cs="Arial"/>
          <w:rtl/>
        </w:rPr>
        <w:t xml:space="preserve"> </w:t>
      </w:r>
      <w:r w:rsidRPr="00305B1A">
        <w:rPr>
          <w:rFonts w:cs="Arial" w:hint="cs"/>
          <w:rtl/>
        </w:rPr>
        <w:t>ואע</w:t>
      </w:r>
      <w:r>
        <w:rPr>
          <w:rFonts w:cs="Arial" w:hint="cs"/>
          <w:rtl/>
        </w:rPr>
        <w:t>"</w:t>
      </w:r>
      <w:r w:rsidRPr="00305B1A">
        <w:rPr>
          <w:rFonts w:cs="Arial" w:hint="cs"/>
          <w:rtl/>
        </w:rPr>
        <w:t>פ</w:t>
      </w:r>
      <w:r w:rsidRPr="00305B1A">
        <w:rPr>
          <w:rFonts w:cs="Arial"/>
          <w:rtl/>
        </w:rPr>
        <w:t xml:space="preserve"> </w:t>
      </w:r>
      <w:r w:rsidRPr="00305B1A">
        <w:rPr>
          <w:rFonts w:cs="Arial" w:hint="cs"/>
          <w:rtl/>
        </w:rPr>
        <w:t>שנוכל</w:t>
      </w:r>
      <w:r w:rsidRPr="00305B1A">
        <w:rPr>
          <w:rFonts w:cs="Arial"/>
          <w:rtl/>
        </w:rPr>
        <w:t xml:space="preserve"> </w:t>
      </w:r>
      <w:r w:rsidRPr="00305B1A">
        <w:rPr>
          <w:rFonts w:cs="Arial" w:hint="cs"/>
          <w:rtl/>
        </w:rPr>
        <w:t>לומר</w:t>
      </w:r>
      <w:r w:rsidRPr="00305B1A">
        <w:rPr>
          <w:rFonts w:cs="Arial"/>
          <w:rtl/>
        </w:rPr>
        <w:t xml:space="preserve"> </w:t>
      </w:r>
      <w:r w:rsidRPr="00305B1A">
        <w:rPr>
          <w:rFonts w:cs="Arial" w:hint="cs"/>
          <w:rtl/>
        </w:rPr>
        <w:t>שהמכוון</w:t>
      </w:r>
      <w:r w:rsidRPr="00305B1A">
        <w:rPr>
          <w:rFonts w:cs="Arial"/>
          <w:rtl/>
        </w:rPr>
        <w:t xml:space="preserve"> </w:t>
      </w:r>
      <w:r w:rsidRPr="00305B1A">
        <w:rPr>
          <w:rFonts w:cs="Arial" w:hint="cs"/>
          <w:rtl/>
        </w:rPr>
        <w:t>אחד</w:t>
      </w:r>
      <w:r>
        <w:rPr>
          <w:rFonts w:cs="Arial" w:hint="cs"/>
          <w:rtl/>
        </w:rPr>
        <w:t>,</w:t>
      </w:r>
      <w:r w:rsidRPr="00305B1A">
        <w:rPr>
          <w:rFonts w:cs="Arial"/>
          <w:rtl/>
        </w:rPr>
        <w:t xml:space="preserve"> </w:t>
      </w:r>
      <w:r w:rsidRPr="00305B1A">
        <w:rPr>
          <w:rFonts w:cs="Arial" w:hint="cs"/>
          <w:rtl/>
        </w:rPr>
        <w:t>בין</w:t>
      </w:r>
      <w:r w:rsidRPr="00305B1A">
        <w:rPr>
          <w:rFonts w:cs="Arial"/>
          <w:rtl/>
        </w:rPr>
        <w:t xml:space="preserve"> </w:t>
      </w:r>
      <w:r w:rsidRPr="00305B1A">
        <w:rPr>
          <w:rFonts w:cs="Arial" w:hint="cs"/>
          <w:rtl/>
        </w:rPr>
        <w:t>שיכתוב</w:t>
      </w:r>
      <w:r w:rsidRPr="00305B1A">
        <w:rPr>
          <w:rFonts w:cs="Arial"/>
          <w:rtl/>
        </w:rPr>
        <w:t xml:space="preserve"> </w:t>
      </w:r>
      <w:r w:rsidRPr="00305B1A">
        <w:rPr>
          <w:rFonts w:cs="Arial" w:hint="cs"/>
          <w:rtl/>
        </w:rPr>
        <w:t>דממתא</w:t>
      </w:r>
      <w:r>
        <w:rPr>
          <w:rFonts w:cs="Arial" w:hint="cs"/>
          <w:rtl/>
        </w:rPr>
        <w:t>,</w:t>
      </w:r>
      <w:r w:rsidRPr="00305B1A">
        <w:rPr>
          <w:rFonts w:cs="Arial"/>
          <w:rtl/>
        </w:rPr>
        <w:t xml:space="preserve"> </w:t>
      </w:r>
      <w:r w:rsidRPr="00305B1A">
        <w:rPr>
          <w:rFonts w:cs="Arial" w:hint="cs"/>
          <w:rtl/>
        </w:rPr>
        <w:t>בין</w:t>
      </w:r>
      <w:r w:rsidRPr="00305B1A">
        <w:rPr>
          <w:rFonts w:cs="Arial"/>
          <w:rtl/>
        </w:rPr>
        <w:t xml:space="preserve"> </w:t>
      </w:r>
      <w:r w:rsidRPr="00305B1A">
        <w:rPr>
          <w:rFonts w:cs="Arial" w:hint="cs"/>
          <w:rtl/>
        </w:rPr>
        <w:t>שיכתוב</w:t>
      </w:r>
      <w:r w:rsidRPr="00305B1A">
        <w:rPr>
          <w:rFonts w:cs="Arial"/>
          <w:rtl/>
        </w:rPr>
        <w:t xml:space="preserve"> </w:t>
      </w:r>
      <w:r w:rsidRPr="00305B1A">
        <w:rPr>
          <w:rFonts w:cs="Arial" w:hint="cs"/>
          <w:rtl/>
        </w:rPr>
        <w:t>פלוני</w:t>
      </w:r>
      <w:r w:rsidRPr="00305B1A">
        <w:rPr>
          <w:rFonts w:cs="Arial"/>
          <w:rtl/>
        </w:rPr>
        <w:t xml:space="preserve"> </w:t>
      </w:r>
      <w:r w:rsidRPr="00305B1A">
        <w:rPr>
          <w:rFonts w:cs="Arial" w:hint="cs"/>
          <w:rtl/>
        </w:rPr>
        <w:t>דמיורקא</w:t>
      </w:r>
      <w:r>
        <w:rPr>
          <w:rFonts w:cs="Arial" w:hint="cs"/>
          <w:rtl/>
        </w:rPr>
        <w:t>,</w:t>
      </w:r>
      <w:r w:rsidRPr="00305B1A">
        <w:rPr>
          <w:rFonts w:cs="Arial"/>
          <w:rtl/>
        </w:rPr>
        <w:t xml:space="preserve"> </w:t>
      </w:r>
      <w:r w:rsidRPr="00305B1A">
        <w:rPr>
          <w:rFonts w:cs="Arial" w:hint="cs"/>
          <w:rtl/>
        </w:rPr>
        <w:t>ושגם</w:t>
      </w:r>
      <w:r w:rsidRPr="00305B1A">
        <w:rPr>
          <w:rFonts w:cs="Arial"/>
          <w:rtl/>
        </w:rPr>
        <w:t xml:space="preserve"> </w:t>
      </w:r>
      <w:r w:rsidRPr="00305B1A">
        <w:rPr>
          <w:rFonts w:cs="Arial" w:hint="cs"/>
          <w:rtl/>
        </w:rPr>
        <w:t>כשכתב</w:t>
      </w:r>
      <w:r w:rsidRPr="00305B1A">
        <w:rPr>
          <w:rFonts w:cs="Arial"/>
          <w:rtl/>
        </w:rPr>
        <w:t xml:space="preserve"> </w:t>
      </w:r>
      <w:r w:rsidRPr="00305B1A">
        <w:rPr>
          <w:rFonts w:cs="Arial" w:hint="cs"/>
          <w:rtl/>
        </w:rPr>
        <w:t>דממתא</w:t>
      </w:r>
      <w:r w:rsidRPr="00305B1A">
        <w:rPr>
          <w:rFonts w:cs="Arial"/>
          <w:rtl/>
        </w:rPr>
        <w:t xml:space="preserve"> </w:t>
      </w:r>
      <w:r w:rsidRPr="00305B1A">
        <w:rPr>
          <w:rFonts w:cs="Arial" w:hint="cs"/>
          <w:rtl/>
        </w:rPr>
        <w:t>הוא</w:t>
      </w:r>
      <w:r w:rsidRPr="00305B1A">
        <w:rPr>
          <w:rFonts w:cs="Arial"/>
          <w:rtl/>
        </w:rPr>
        <w:t xml:space="preserve"> </w:t>
      </w:r>
      <w:r w:rsidRPr="00305B1A">
        <w:rPr>
          <w:rFonts w:cs="Arial" w:hint="cs"/>
          <w:rtl/>
        </w:rPr>
        <w:t>על</w:t>
      </w:r>
      <w:r w:rsidRPr="00305B1A">
        <w:rPr>
          <w:rFonts w:cs="Arial"/>
          <w:rtl/>
        </w:rPr>
        <w:t xml:space="preserve"> </w:t>
      </w:r>
      <w:r w:rsidRPr="00305B1A">
        <w:rPr>
          <w:rFonts w:cs="Arial" w:hint="cs"/>
          <w:rtl/>
        </w:rPr>
        <w:t>דרך</w:t>
      </w:r>
      <w:r w:rsidRPr="00305B1A">
        <w:rPr>
          <w:rFonts w:cs="Arial"/>
          <w:rtl/>
        </w:rPr>
        <w:t xml:space="preserve"> </w:t>
      </w:r>
      <w:r w:rsidRPr="00305B1A">
        <w:rPr>
          <w:rFonts w:cs="Arial" w:hint="cs"/>
          <w:rtl/>
        </w:rPr>
        <w:t>היחס</w:t>
      </w:r>
      <w:r w:rsidRPr="00305B1A">
        <w:rPr>
          <w:rFonts w:cs="Arial"/>
          <w:rtl/>
        </w:rPr>
        <w:t xml:space="preserve"> </w:t>
      </w:r>
      <w:r w:rsidRPr="00305B1A">
        <w:rPr>
          <w:rFonts w:cs="Arial" w:hint="cs"/>
          <w:rtl/>
        </w:rPr>
        <w:t>לא</w:t>
      </w:r>
      <w:r w:rsidRPr="00305B1A">
        <w:rPr>
          <w:rFonts w:cs="Arial"/>
          <w:rtl/>
        </w:rPr>
        <w:t xml:space="preserve"> </w:t>
      </w:r>
      <w:r w:rsidRPr="00305B1A">
        <w:rPr>
          <w:rFonts w:cs="Arial" w:hint="cs"/>
          <w:rtl/>
        </w:rPr>
        <w:t>על</w:t>
      </w:r>
      <w:r w:rsidRPr="00305B1A">
        <w:rPr>
          <w:rFonts w:cs="Arial"/>
          <w:rtl/>
        </w:rPr>
        <w:t xml:space="preserve"> </w:t>
      </w:r>
      <w:r w:rsidRPr="00305B1A">
        <w:rPr>
          <w:rFonts w:cs="Arial" w:hint="cs"/>
          <w:rtl/>
        </w:rPr>
        <w:t>דרך</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Pr>
          <w:rFonts w:cs="Arial" w:hint="cs"/>
          <w:rtl/>
        </w:rPr>
        <w:t>,</w:t>
      </w:r>
      <w:r w:rsidRPr="00305B1A">
        <w:rPr>
          <w:rFonts w:cs="Arial"/>
          <w:rtl/>
        </w:rPr>
        <w:t xml:space="preserve"> </w:t>
      </w:r>
      <w:r w:rsidRPr="00305B1A">
        <w:rPr>
          <w:rFonts w:cs="Arial" w:hint="cs"/>
          <w:rtl/>
        </w:rPr>
        <w:t>כיון</w:t>
      </w:r>
      <w:r w:rsidRPr="00305B1A">
        <w:rPr>
          <w:rFonts w:cs="Arial"/>
          <w:rtl/>
        </w:rPr>
        <w:t xml:space="preserve"> </w:t>
      </w:r>
      <w:r w:rsidRPr="00305B1A">
        <w:rPr>
          <w:rFonts w:cs="Arial" w:hint="cs"/>
          <w:rtl/>
        </w:rPr>
        <w:t>שהורגלו</w:t>
      </w:r>
      <w:r w:rsidRPr="00305B1A">
        <w:rPr>
          <w:rFonts w:cs="Arial"/>
          <w:rtl/>
        </w:rPr>
        <w:t xml:space="preserve"> </w:t>
      </w:r>
      <w:r w:rsidRPr="00305B1A">
        <w:rPr>
          <w:rFonts w:cs="Arial" w:hint="cs"/>
          <w:rtl/>
        </w:rPr>
        <w:t>ההדיוטות</w:t>
      </w:r>
      <w:r w:rsidRPr="00305B1A">
        <w:rPr>
          <w:rFonts w:cs="Arial"/>
          <w:rtl/>
        </w:rPr>
        <w:t xml:space="preserve"> </w:t>
      </w:r>
      <w:r w:rsidRPr="00305B1A">
        <w:rPr>
          <w:rFonts w:cs="Arial" w:hint="cs"/>
          <w:rtl/>
        </w:rPr>
        <w:t>לכתוב</w:t>
      </w:r>
      <w:r w:rsidRPr="00305B1A">
        <w:rPr>
          <w:rFonts w:cs="Arial"/>
          <w:rtl/>
        </w:rPr>
        <w:t xml:space="preserve"> </w:t>
      </w:r>
      <w:r w:rsidRPr="00305B1A">
        <w:rPr>
          <w:rFonts w:cs="Arial" w:hint="cs"/>
          <w:rtl/>
        </w:rPr>
        <w:t>בלא</w:t>
      </w:r>
      <w:r w:rsidRPr="00305B1A">
        <w:rPr>
          <w:rFonts w:cs="Arial"/>
          <w:rtl/>
        </w:rPr>
        <w:t xml:space="preserve"> </w:t>
      </w:r>
      <w:r w:rsidRPr="00305B1A">
        <w:rPr>
          <w:rFonts w:cs="Arial" w:hint="cs"/>
          <w:rtl/>
        </w:rPr>
        <w:t>ממתא</w:t>
      </w:r>
      <w:r w:rsidRPr="00305B1A">
        <w:rPr>
          <w:rFonts w:cs="Arial"/>
          <w:rtl/>
        </w:rPr>
        <w:t xml:space="preserve"> </w:t>
      </w:r>
      <w:r w:rsidRPr="00305B1A">
        <w:rPr>
          <w:rFonts w:cs="Arial" w:hint="cs"/>
          <w:rtl/>
        </w:rPr>
        <w:t>על</w:t>
      </w:r>
      <w:r w:rsidRPr="00305B1A">
        <w:rPr>
          <w:rFonts w:cs="Arial"/>
          <w:rtl/>
        </w:rPr>
        <w:t xml:space="preserve"> </w:t>
      </w:r>
      <w:r w:rsidRPr="00305B1A">
        <w:rPr>
          <w:rFonts w:cs="Arial" w:hint="cs"/>
          <w:rtl/>
        </w:rPr>
        <w:t>דרך</w:t>
      </w:r>
      <w:r w:rsidRPr="00305B1A">
        <w:rPr>
          <w:rFonts w:cs="Arial"/>
          <w:rtl/>
        </w:rPr>
        <w:t xml:space="preserve"> </w:t>
      </w:r>
      <w:r w:rsidRPr="00305B1A">
        <w:rPr>
          <w:rFonts w:cs="Arial" w:hint="cs"/>
          <w:rtl/>
        </w:rPr>
        <w:t>היחס</w:t>
      </w:r>
      <w:r>
        <w:rPr>
          <w:rFonts w:cs="Arial" w:hint="cs"/>
          <w:rtl/>
        </w:rPr>
        <w:t>,</w:t>
      </w:r>
      <w:r w:rsidRPr="00305B1A">
        <w:rPr>
          <w:rFonts w:cs="Arial"/>
          <w:rtl/>
        </w:rPr>
        <w:t xml:space="preserve"> </w:t>
      </w:r>
      <w:r w:rsidRPr="00305B1A">
        <w:rPr>
          <w:rFonts w:cs="Arial" w:hint="cs"/>
          <w:rtl/>
        </w:rPr>
        <w:t>ובממתא</w:t>
      </w:r>
      <w:r w:rsidRPr="00305B1A">
        <w:rPr>
          <w:rFonts w:cs="Arial"/>
          <w:rtl/>
        </w:rPr>
        <w:t xml:space="preserve"> </w:t>
      </w:r>
      <w:r w:rsidRPr="00305B1A">
        <w:rPr>
          <w:rFonts w:cs="Arial" w:hint="cs"/>
          <w:rtl/>
        </w:rPr>
        <w:t>על</w:t>
      </w:r>
      <w:r w:rsidRPr="00305B1A">
        <w:rPr>
          <w:rFonts w:cs="Arial"/>
          <w:rtl/>
        </w:rPr>
        <w:t xml:space="preserve"> </w:t>
      </w:r>
      <w:r w:rsidRPr="00305B1A">
        <w:rPr>
          <w:rFonts w:cs="Arial" w:hint="cs"/>
          <w:rtl/>
        </w:rPr>
        <w:t>דרך</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Pr>
          <w:rFonts w:cs="Arial" w:hint="cs"/>
          <w:rtl/>
        </w:rPr>
        <w:t>,</w:t>
      </w:r>
      <w:r w:rsidRPr="00305B1A">
        <w:rPr>
          <w:rFonts w:cs="Arial"/>
          <w:rtl/>
        </w:rPr>
        <w:t xml:space="preserve"> </w:t>
      </w:r>
      <w:r w:rsidRPr="00305B1A">
        <w:rPr>
          <w:rFonts w:cs="Arial" w:hint="cs"/>
          <w:rtl/>
        </w:rPr>
        <w:t>בכמו</w:t>
      </w:r>
      <w:r w:rsidRPr="00305B1A">
        <w:rPr>
          <w:rFonts w:cs="Arial"/>
          <w:rtl/>
        </w:rPr>
        <w:t xml:space="preserve"> </w:t>
      </w:r>
      <w:r w:rsidRPr="00305B1A">
        <w:rPr>
          <w:rFonts w:cs="Arial" w:hint="cs"/>
          <w:rtl/>
        </w:rPr>
        <w:t>זה</w:t>
      </w:r>
      <w:r w:rsidRPr="00305B1A">
        <w:rPr>
          <w:rFonts w:cs="Arial"/>
          <w:rtl/>
        </w:rPr>
        <w:t xml:space="preserve"> </w:t>
      </w:r>
      <w:r w:rsidRPr="00305B1A">
        <w:rPr>
          <w:rFonts w:cs="Arial" w:hint="cs"/>
          <w:rtl/>
        </w:rPr>
        <w:t>צריך</w:t>
      </w:r>
      <w:r w:rsidRPr="00305B1A">
        <w:rPr>
          <w:rFonts w:cs="Arial"/>
          <w:rtl/>
        </w:rPr>
        <w:t xml:space="preserve"> </w:t>
      </w:r>
      <w:r w:rsidRPr="00305B1A">
        <w:rPr>
          <w:rFonts w:cs="Arial" w:hint="cs"/>
          <w:rtl/>
        </w:rPr>
        <w:t>לדרוש</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ההדיוט</w:t>
      </w:r>
      <w:r>
        <w:rPr>
          <w:rStyle w:val="a7"/>
          <w:rFonts w:cs="Arial"/>
          <w:rtl/>
        </w:rPr>
        <w:footnoteReference w:id="977"/>
      </w:r>
      <w:r>
        <w:rPr>
          <w:rFonts w:cs="Arial" w:hint="cs"/>
          <w:rtl/>
        </w:rPr>
        <w:t>.</w:t>
      </w:r>
      <w:r w:rsidRPr="00305B1A">
        <w:rPr>
          <w:rFonts w:cs="Arial"/>
          <w:rtl/>
        </w:rPr>
        <w:t xml:space="preserve"> </w:t>
      </w:r>
      <w:r w:rsidRPr="00305B1A">
        <w:rPr>
          <w:rFonts w:cs="Arial" w:hint="cs"/>
          <w:rtl/>
        </w:rPr>
        <w:t>וכיון</w:t>
      </w:r>
      <w:r w:rsidRPr="00305B1A">
        <w:rPr>
          <w:rFonts w:cs="Arial"/>
          <w:rtl/>
        </w:rPr>
        <w:t xml:space="preserve"> </w:t>
      </w:r>
      <w:r w:rsidRPr="00305B1A">
        <w:rPr>
          <w:rFonts w:cs="Arial" w:hint="cs"/>
          <w:rtl/>
        </w:rPr>
        <w:t>שכן</w:t>
      </w:r>
      <w:r w:rsidRPr="00305B1A">
        <w:rPr>
          <w:rFonts w:cs="Arial"/>
          <w:rtl/>
        </w:rPr>
        <w:t xml:space="preserve"> </w:t>
      </w:r>
      <w:r w:rsidRPr="00305B1A">
        <w:rPr>
          <w:rFonts w:cs="Arial" w:hint="cs"/>
          <w:rtl/>
        </w:rPr>
        <w:t>נמצא</w:t>
      </w:r>
      <w:r w:rsidRPr="00305B1A">
        <w:rPr>
          <w:rFonts w:cs="Arial"/>
          <w:rtl/>
        </w:rPr>
        <w:t xml:space="preserve"> </w:t>
      </w:r>
      <w:r w:rsidRPr="00305B1A">
        <w:rPr>
          <w:rFonts w:cs="Arial" w:hint="cs"/>
          <w:rtl/>
        </w:rPr>
        <w:t>שזה</w:t>
      </w:r>
      <w:r w:rsidRPr="00305B1A">
        <w:rPr>
          <w:rFonts w:cs="Arial"/>
          <w:rtl/>
        </w:rPr>
        <w:t xml:space="preserve"> </w:t>
      </w:r>
      <w:r w:rsidRPr="00305B1A">
        <w:rPr>
          <w:rFonts w:cs="Arial" w:hint="cs"/>
          <w:rtl/>
        </w:rPr>
        <w:t>שינה</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Pr>
          <w:rFonts w:cs="Arial" w:hint="cs"/>
          <w:rtl/>
        </w:rPr>
        <w:t>.</w:t>
      </w:r>
      <w:r w:rsidRPr="00305B1A">
        <w:rPr>
          <w:rFonts w:cs="Arial"/>
          <w:rtl/>
        </w:rPr>
        <w:t xml:space="preserve"> </w:t>
      </w:r>
      <w:r w:rsidRPr="00305B1A">
        <w:rPr>
          <w:rFonts w:cs="Arial" w:hint="cs"/>
          <w:rtl/>
        </w:rPr>
        <w:t>ואפילו</w:t>
      </w:r>
      <w:r w:rsidRPr="00305B1A">
        <w:rPr>
          <w:rFonts w:cs="Arial"/>
          <w:rtl/>
        </w:rPr>
        <w:t xml:space="preserve"> </w:t>
      </w:r>
      <w:r w:rsidRPr="00305B1A">
        <w:rPr>
          <w:rFonts w:cs="Arial" w:hint="cs"/>
          <w:rtl/>
        </w:rPr>
        <w:t>נדחוק</w:t>
      </w:r>
      <w:r w:rsidRPr="00305B1A">
        <w:rPr>
          <w:rFonts w:cs="Arial"/>
          <w:rtl/>
        </w:rPr>
        <w:t xml:space="preserve"> </w:t>
      </w:r>
      <w:r w:rsidRPr="00305B1A">
        <w:rPr>
          <w:rFonts w:cs="Arial" w:hint="cs"/>
          <w:rtl/>
        </w:rPr>
        <w:t>ונאמר</w:t>
      </w:r>
      <w:r w:rsidRPr="00305B1A">
        <w:rPr>
          <w:rFonts w:cs="Arial"/>
          <w:rtl/>
        </w:rPr>
        <w:t xml:space="preserve"> </w:t>
      </w:r>
      <w:r w:rsidRPr="00305B1A">
        <w:rPr>
          <w:rFonts w:cs="Arial" w:hint="cs"/>
          <w:rtl/>
        </w:rPr>
        <w:t>שלא</w:t>
      </w:r>
      <w:r w:rsidRPr="00305B1A">
        <w:rPr>
          <w:rFonts w:cs="Arial"/>
          <w:rtl/>
        </w:rPr>
        <w:t xml:space="preserve"> </w:t>
      </w:r>
      <w:r w:rsidRPr="00305B1A">
        <w:rPr>
          <w:rFonts w:cs="Arial" w:hint="cs"/>
          <w:rtl/>
        </w:rPr>
        <w:t>נכתב</w:t>
      </w:r>
      <w:r w:rsidRPr="00305B1A">
        <w:rPr>
          <w:rFonts w:cs="Arial"/>
          <w:rtl/>
        </w:rPr>
        <w:t xml:space="preserve"> </w:t>
      </w:r>
      <w:r w:rsidRPr="00305B1A">
        <w:rPr>
          <w:rFonts w:cs="Arial" w:hint="cs"/>
          <w:rtl/>
        </w:rPr>
        <w:t>אלא</w:t>
      </w:r>
      <w:r w:rsidRPr="00305B1A">
        <w:rPr>
          <w:rFonts w:cs="Arial"/>
          <w:rtl/>
        </w:rPr>
        <w:t xml:space="preserve"> </w:t>
      </w:r>
      <w:r w:rsidRPr="00305B1A">
        <w:rPr>
          <w:rFonts w:cs="Arial" w:hint="cs"/>
          <w:rtl/>
        </w:rPr>
        <w:t>על</w:t>
      </w:r>
      <w:r w:rsidRPr="00305B1A">
        <w:rPr>
          <w:rFonts w:cs="Arial"/>
          <w:rtl/>
        </w:rPr>
        <w:t xml:space="preserve"> </w:t>
      </w:r>
      <w:r w:rsidRPr="00305B1A">
        <w:rPr>
          <w:rFonts w:cs="Arial" w:hint="cs"/>
          <w:rtl/>
        </w:rPr>
        <w:t>דרך</w:t>
      </w:r>
      <w:r w:rsidRPr="00305B1A">
        <w:rPr>
          <w:rFonts w:cs="Arial"/>
          <w:rtl/>
        </w:rPr>
        <w:t xml:space="preserve"> </w:t>
      </w:r>
      <w:r w:rsidRPr="00305B1A">
        <w:rPr>
          <w:rFonts w:cs="Arial" w:hint="cs"/>
          <w:rtl/>
        </w:rPr>
        <w:t>היחס</w:t>
      </w:r>
      <w:r>
        <w:rPr>
          <w:rFonts w:cs="Arial" w:hint="cs"/>
          <w:rtl/>
        </w:rPr>
        <w:t>,</w:t>
      </w:r>
      <w:r w:rsidRPr="00305B1A">
        <w:rPr>
          <w:rFonts w:cs="Arial"/>
          <w:rtl/>
        </w:rPr>
        <w:t xml:space="preserve"> </w:t>
      </w:r>
      <w:r w:rsidRPr="00305B1A">
        <w:rPr>
          <w:rFonts w:cs="Arial" w:hint="cs"/>
          <w:rtl/>
        </w:rPr>
        <w:t>נמצא</w:t>
      </w:r>
      <w:r w:rsidRPr="00305B1A">
        <w:rPr>
          <w:rFonts w:cs="Arial"/>
          <w:rtl/>
        </w:rPr>
        <w:t xml:space="preserve"> </w:t>
      </w:r>
      <w:r w:rsidRPr="00305B1A">
        <w:rPr>
          <w:rFonts w:cs="Arial" w:hint="cs"/>
          <w:rtl/>
        </w:rPr>
        <w:t>שאין</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sidRPr="00305B1A">
        <w:rPr>
          <w:rFonts w:cs="Arial"/>
          <w:rtl/>
        </w:rPr>
        <w:t xml:space="preserve"> </w:t>
      </w:r>
      <w:r w:rsidRPr="00305B1A">
        <w:rPr>
          <w:rFonts w:cs="Arial" w:hint="cs"/>
          <w:rtl/>
        </w:rPr>
        <w:t>כתוב</w:t>
      </w:r>
      <w:r w:rsidRPr="00305B1A">
        <w:rPr>
          <w:rFonts w:cs="Arial"/>
          <w:rtl/>
        </w:rPr>
        <w:t xml:space="preserve"> </w:t>
      </w:r>
      <w:r w:rsidRPr="00305B1A">
        <w:rPr>
          <w:rFonts w:cs="Arial" w:hint="cs"/>
          <w:rtl/>
        </w:rPr>
        <w:t>בגט</w:t>
      </w:r>
      <w:r w:rsidRPr="00305B1A">
        <w:rPr>
          <w:rFonts w:cs="Arial"/>
          <w:rtl/>
        </w:rPr>
        <w:t xml:space="preserve"> </w:t>
      </w:r>
      <w:r w:rsidRPr="00305B1A">
        <w:rPr>
          <w:rFonts w:cs="Arial" w:hint="cs"/>
          <w:rtl/>
        </w:rPr>
        <w:t>זה</w:t>
      </w:r>
      <w:r>
        <w:rPr>
          <w:rFonts w:cs="Arial" w:hint="cs"/>
          <w:rtl/>
        </w:rPr>
        <w:t>,</w:t>
      </w:r>
      <w:r w:rsidRPr="00305B1A">
        <w:rPr>
          <w:rFonts w:cs="Arial"/>
          <w:rtl/>
        </w:rPr>
        <w:t xml:space="preserve"> </w:t>
      </w:r>
      <w:r w:rsidRPr="00305B1A">
        <w:rPr>
          <w:rFonts w:cs="Arial" w:hint="cs"/>
          <w:rtl/>
        </w:rPr>
        <w:t>ושם</w:t>
      </w:r>
      <w:r w:rsidRPr="00305B1A">
        <w:rPr>
          <w:rFonts w:cs="Arial"/>
          <w:rtl/>
        </w:rPr>
        <w:t xml:space="preserve"> </w:t>
      </w:r>
      <w:r w:rsidRPr="00305B1A">
        <w:rPr>
          <w:rFonts w:cs="Arial" w:hint="cs"/>
          <w:rtl/>
        </w:rPr>
        <w:t>עירו</w:t>
      </w:r>
      <w:r w:rsidRPr="00305B1A">
        <w:rPr>
          <w:rFonts w:cs="Arial"/>
          <w:rtl/>
        </w:rPr>
        <w:t xml:space="preserve"> </w:t>
      </w:r>
      <w:r w:rsidRPr="00305B1A">
        <w:rPr>
          <w:rFonts w:cs="Arial" w:hint="cs"/>
          <w:rtl/>
        </w:rPr>
        <w:t>ושם</w:t>
      </w:r>
      <w:r w:rsidRPr="00305B1A">
        <w:rPr>
          <w:rFonts w:cs="Arial"/>
          <w:rtl/>
        </w:rPr>
        <w:t xml:space="preserve"> </w:t>
      </w:r>
      <w:r w:rsidRPr="00305B1A">
        <w:rPr>
          <w:rFonts w:cs="Arial" w:hint="cs"/>
          <w:rtl/>
        </w:rPr>
        <w:t>עירה</w:t>
      </w:r>
      <w:r w:rsidRPr="00305B1A">
        <w:rPr>
          <w:rFonts w:cs="Arial"/>
          <w:rtl/>
        </w:rPr>
        <w:t xml:space="preserve"> </w:t>
      </w:r>
      <w:r w:rsidRPr="00305B1A">
        <w:rPr>
          <w:rFonts w:cs="Arial" w:hint="cs"/>
          <w:rtl/>
        </w:rPr>
        <w:t>מן</w:t>
      </w:r>
      <w:r w:rsidRPr="00305B1A">
        <w:rPr>
          <w:rFonts w:cs="Arial"/>
          <w:rtl/>
        </w:rPr>
        <w:t xml:space="preserve"> </w:t>
      </w:r>
      <w:r w:rsidRPr="00305B1A">
        <w:rPr>
          <w:rFonts w:cs="Arial" w:hint="cs"/>
          <w:rtl/>
        </w:rPr>
        <w:t>הדברים</w:t>
      </w:r>
      <w:r w:rsidRPr="00305B1A">
        <w:rPr>
          <w:rFonts w:cs="Arial"/>
          <w:rtl/>
        </w:rPr>
        <w:t xml:space="preserve"> </w:t>
      </w:r>
      <w:r w:rsidRPr="00305B1A">
        <w:rPr>
          <w:rFonts w:cs="Arial" w:hint="cs"/>
          <w:rtl/>
        </w:rPr>
        <w:t>המעכבים</w:t>
      </w:r>
      <w:r w:rsidRPr="00305B1A">
        <w:rPr>
          <w:rFonts w:cs="Arial"/>
          <w:rtl/>
        </w:rPr>
        <w:t xml:space="preserve"> </w:t>
      </w:r>
      <w:r w:rsidRPr="00305B1A">
        <w:rPr>
          <w:rFonts w:cs="Arial" w:hint="cs"/>
          <w:rtl/>
        </w:rPr>
        <w:t>בגט</w:t>
      </w:r>
      <w:r>
        <w:rPr>
          <w:rFonts w:cs="Arial" w:hint="cs"/>
          <w:rtl/>
        </w:rPr>
        <w:t>.</w:t>
      </w:r>
      <w:r w:rsidRPr="00305B1A">
        <w:rPr>
          <w:rFonts w:cs="Arial"/>
          <w:rtl/>
        </w:rPr>
        <w:t xml:space="preserve"> </w:t>
      </w:r>
      <w:r w:rsidRPr="00305B1A">
        <w:rPr>
          <w:rFonts w:cs="Arial" w:hint="cs"/>
          <w:rtl/>
        </w:rPr>
        <w:t>וכן</w:t>
      </w:r>
      <w:r w:rsidRPr="00305B1A">
        <w:rPr>
          <w:rFonts w:cs="Arial"/>
          <w:rtl/>
        </w:rPr>
        <w:t xml:space="preserve"> </w:t>
      </w:r>
      <w:r w:rsidRPr="00305B1A">
        <w:rPr>
          <w:rFonts w:cs="Arial" w:hint="cs"/>
          <w:rtl/>
        </w:rPr>
        <w:t>כתב</w:t>
      </w:r>
      <w:r w:rsidRPr="00305B1A">
        <w:rPr>
          <w:rFonts w:cs="Arial"/>
          <w:rtl/>
        </w:rPr>
        <w:t xml:space="preserve"> </w:t>
      </w:r>
      <w:r w:rsidRPr="00305B1A">
        <w:rPr>
          <w:rFonts w:cs="Arial" w:hint="cs"/>
          <w:rtl/>
        </w:rPr>
        <w:t>הראב</w:t>
      </w:r>
      <w:r w:rsidRPr="00305B1A">
        <w:rPr>
          <w:rFonts w:cs="Arial"/>
          <w:rtl/>
        </w:rPr>
        <w:t>"</w:t>
      </w:r>
      <w:r w:rsidRPr="00305B1A">
        <w:rPr>
          <w:rFonts w:cs="Arial" w:hint="cs"/>
          <w:rtl/>
        </w:rPr>
        <w:t>ד</w:t>
      </w:r>
      <w:r w:rsidRPr="00305B1A">
        <w:rPr>
          <w:rFonts w:cs="Arial"/>
          <w:rtl/>
        </w:rPr>
        <w:t xml:space="preserve"> </w:t>
      </w:r>
      <w:r w:rsidRPr="00305B1A">
        <w:rPr>
          <w:rFonts w:cs="Arial" w:hint="cs"/>
          <w:rtl/>
        </w:rPr>
        <w:t>בפרק</w:t>
      </w:r>
      <w:r w:rsidRPr="00305B1A">
        <w:rPr>
          <w:rFonts w:cs="Arial"/>
          <w:rtl/>
        </w:rPr>
        <w:t xml:space="preserve"> </w:t>
      </w:r>
      <w:r w:rsidRPr="00305B1A">
        <w:rPr>
          <w:rFonts w:cs="Arial" w:hint="cs"/>
          <w:rtl/>
        </w:rPr>
        <w:t>גט</w:t>
      </w:r>
      <w:r w:rsidRPr="00305B1A">
        <w:rPr>
          <w:rFonts w:cs="Arial"/>
          <w:rtl/>
        </w:rPr>
        <w:t xml:space="preserve"> </w:t>
      </w:r>
      <w:r w:rsidRPr="00305B1A">
        <w:rPr>
          <w:rFonts w:cs="Arial" w:hint="cs"/>
          <w:rtl/>
        </w:rPr>
        <w:t>פשוט</w:t>
      </w:r>
      <w:r w:rsidRPr="00305B1A">
        <w:rPr>
          <w:rFonts w:cs="Arial"/>
          <w:rtl/>
        </w:rPr>
        <w:t xml:space="preserve"> </w:t>
      </w:r>
      <w:r w:rsidRPr="00305B1A">
        <w:rPr>
          <w:rFonts w:cs="Arial" w:hint="cs"/>
          <w:rtl/>
        </w:rPr>
        <w:t>וז</w:t>
      </w:r>
      <w:r w:rsidRPr="00305B1A">
        <w:rPr>
          <w:rFonts w:cs="Arial"/>
          <w:rtl/>
        </w:rPr>
        <w:t>"</w:t>
      </w:r>
      <w:r w:rsidRPr="00305B1A">
        <w:rPr>
          <w:rFonts w:cs="Arial" w:hint="cs"/>
          <w:rtl/>
        </w:rPr>
        <w:t>ל</w:t>
      </w:r>
      <w:r w:rsidRPr="00305B1A">
        <w:rPr>
          <w:rFonts w:cs="Arial"/>
          <w:rtl/>
        </w:rPr>
        <w:t xml:space="preserve"> </w:t>
      </w:r>
      <w:r w:rsidRPr="00305B1A">
        <w:rPr>
          <w:rFonts w:cs="Arial" w:hint="cs"/>
          <w:rtl/>
        </w:rPr>
        <w:t>ומי</w:t>
      </w:r>
      <w:r w:rsidRPr="00305B1A">
        <w:rPr>
          <w:rFonts w:cs="Arial"/>
          <w:rtl/>
        </w:rPr>
        <w:t xml:space="preserve"> </w:t>
      </w:r>
      <w:r w:rsidRPr="00305B1A">
        <w:rPr>
          <w:rFonts w:cs="Arial" w:hint="cs"/>
          <w:rtl/>
        </w:rPr>
        <w:t>שאומר</w:t>
      </w:r>
      <w:r w:rsidRPr="00305B1A">
        <w:rPr>
          <w:rFonts w:cs="Arial"/>
          <w:rtl/>
        </w:rPr>
        <w:t xml:space="preserve"> </w:t>
      </w:r>
      <w:r w:rsidRPr="00305B1A">
        <w:rPr>
          <w:rFonts w:cs="Arial" w:hint="cs"/>
          <w:rtl/>
        </w:rPr>
        <w:t>שאין</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sidRPr="00305B1A">
        <w:rPr>
          <w:rFonts w:cs="Arial"/>
          <w:rtl/>
        </w:rPr>
        <w:t xml:space="preserve"> </w:t>
      </w:r>
      <w:r w:rsidRPr="00305B1A">
        <w:rPr>
          <w:rFonts w:cs="Arial" w:hint="cs"/>
          <w:rtl/>
        </w:rPr>
        <w:t>ושם</w:t>
      </w:r>
      <w:r w:rsidRPr="00305B1A">
        <w:rPr>
          <w:rFonts w:cs="Arial"/>
          <w:rtl/>
        </w:rPr>
        <w:t xml:space="preserve"> </w:t>
      </w:r>
      <w:r w:rsidRPr="00305B1A">
        <w:rPr>
          <w:rFonts w:cs="Arial" w:hint="cs"/>
          <w:rtl/>
        </w:rPr>
        <w:t>עירה</w:t>
      </w:r>
      <w:r w:rsidRPr="00305B1A">
        <w:rPr>
          <w:rFonts w:cs="Arial"/>
          <w:rtl/>
        </w:rPr>
        <w:t xml:space="preserve"> </w:t>
      </w:r>
      <w:r w:rsidRPr="00305B1A">
        <w:rPr>
          <w:rFonts w:cs="Arial" w:hint="cs"/>
          <w:rtl/>
        </w:rPr>
        <w:t>מעכבין</w:t>
      </w:r>
      <w:r w:rsidRPr="00305B1A">
        <w:rPr>
          <w:rFonts w:cs="Arial"/>
          <w:rtl/>
        </w:rPr>
        <w:t xml:space="preserve"> </w:t>
      </w:r>
      <w:r w:rsidRPr="00305B1A">
        <w:rPr>
          <w:rFonts w:cs="Arial" w:hint="cs"/>
          <w:rtl/>
        </w:rPr>
        <w:t>בגט</w:t>
      </w:r>
      <w:r w:rsidRPr="00305B1A">
        <w:rPr>
          <w:rFonts w:cs="Arial"/>
          <w:rtl/>
        </w:rPr>
        <w:t xml:space="preserve"> </w:t>
      </w:r>
      <w:r w:rsidRPr="00305B1A">
        <w:rPr>
          <w:rFonts w:cs="Arial" w:hint="cs"/>
          <w:rtl/>
        </w:rPr>
        <w:t>אא</w:t>
      </w:r>
      <w:r>
        <w:rPr>
          <w:rFonts w:cs="Arial" w:hint="cs"/>
          <w:rtl/>
        </w:rPr>
        <w:t>"</w:t>
      </w:r>
      <w:r w:rsidRPr="00305B1A">
        <w:rPr>
          <w:rFonts w:cs="Arial" w:hint="cs"/>
          <w:rtl/>
        </w:rPr>
        <w:t>כ</w:t>
      </w:r>
      <w:r w:rsidRPr="00305B1A">
        <w:rPr>
          <w:rFonts w:cs="Arial"/>
          <w:rtl/>
        </w:rPr>
        <w:t xml:space="preserve"> </w:t>
      </w:r>
      <w:r w:rsidRPr="00305B1A">
        <w:rPr>
          <w:rFonts w:cs="Arial" w:hint="cs"/>
          <w:rtl/>
        </w:rPr>
        <w:t>שינה</w:t>
      </w:r>
      <w:r w:rsidRPr="00305B1A">
        <w:rPr>
          <w:rFonts w:cs="Arial"/>
          <w:rtl/>
        </w:rPr>
        <w:t xml:space="preserve"> </w:t>
      </w:r>
      <w:r w:rsidRPr="00305B1A">
        <w:rPr>
          <w:rFonts w:cs="Arial" w:hint="cs"/>
          <w:rtl/>
        </w:rPr>
        <w:t>שמם</w:t>
      </w:r>
      <w:r w:rsidRPr="00305B1A">
        <w:rPr>
          <w:rFonts w:cs="Arial"/>
          <w:rtl/>
        </w:rPr>
        <w:t xml:space="preserve"> </w:t>
      </w:r>
      <w:r w:rsidRPr="00305B1A">
        <w:rPr>
          <w:rFonts w:cs="Arial" w:hint="cs"/>
          <w:rtl/>
        </w:rPr>
        <w:t>כדקתני</w:t>
      </w:r>
      <w:r w:rsidRPr="00305B1A">
        <w:rPr>
          <w:rFonts w:cs="Arial"/>
          <w:rtl/>
        </w:rPr>
        <w:t xml:space="preserve"> </w:t>
      </w:r>
      <w:r w:rsidRPr="00305B1A">
        <w:rPr>
          <w:rFonts w:cs="Arial" w:hint="cs"/>
          <w:rtl/>
        </w:rPr>
        <w:t>במתניתין</w:t>
      </w:r>
      <w:r w:rsidRPr="00305B1A">
        <w:rPr>
          <w:rFonts w:cs="Arial"/>
          <w:rtl/>
        </w:rPr>
        <w:t xml:space="preserve"> (</w:t>
      </w:r>
      <w:r w:rsidRPr="00305B1A">
        <w:rPr>
          <w:rFonts w:cs="Arial" w:hint="cs"/>
          <w:rtl/>
        </w:rPr>
        <w:t>גיטין</w:t>
      </w:r>
      <w:r w:rsidRPr="00305B1A">
        <w:rPr>
          <w:rFonts w:cs="Arial"/>
          <w:rtl/>
        </w:rPr>
        <w:t xml:space="preserve"> </w:t>
      </w:r>
      <w:r w:rsidRPr="00305B1A">
        <w:rPr>
          <w:rFonts w:cs="Arial" w:hint="cs"/>
          <w:rtl/>
        </w:rPr>
        <w:t>פ</w:t>
      </w:r>
      <w:r w:rsidRPr="00305B1A">
        <w:rPr>
          <w:rFonts w:cs="Arial"/>
          <w:rtl/>
        </w:rPr>
        <w:t xml:space="preserve">.) </w:t>
      </w:r>
      <w:r w:rsidRPr="00305B1A">
        <w:rPr>
          <w:rFonts w:cs="Arial" w:hint="cs"/>
          <w:rtl/>
        </w:rPr>
        <w:t>שינה</w:t>
      </w:r>
      <w:r w:rsidRPr="00305B1A">
        <w:rPr>
          <w:rFonts w:cs="Arial"/>
          <w:rtl/>
        </w:rPr>
        <w:t xml:space="preserve"> </w:t>
      </w:r>
      <w:r w:rsidRPr="00305B1A">
        <w:rPr>
          <w:rFonts w:cs="Arial" w:hint="cs"/>
          <w:rtl/>
        </w:rPr>
        <w:t>שמו</w:t>
      </w:r>
      <w:r w:rsidRPr="00305B1A">
        <w:rPr>
          <w:rFonts w:cs="Arial"/>
          <w:rtl/>
        </w:rPr>
        <w:t xml:space="preserve"> </w:t>
      </w:r>
      <w:r w:rsidRPr="00305B1A">
        <w:rPr>
          <w:rFonts w:cs="Arial" w:hint="cs"/>
          <w:rtl/>
        </w:rPr>
        <w:t>ושמה</w:t>
      </w:r>
      <w:r w:rsidRPr="00305B1A">
        <w:rPr>
          <w:rFonts w:cs="Arial"/>
          <w:rtl/>
        </w:rPr>
        <w:t xml:space="preserve"> </w:t>
      </w:r>
      <w:r w:rsidR="00A82951">
        <w:rPr>
          <w:rFonts w:cs="Arial" w:hint="cs"/>
          <w:rtl/>
        </w:rPr>
        <w:t>-</w:t>
      </w:r>
      <w:r>
        <w:rPr>
          <w:rFonts w:cs="Arial" w:hint="cs"/>
          <w:rtl/>
        </w:rPr>
        <w:t xml:space="preserve"> </w:t>
      </w:r>
      <w:r w:rsidRPr="00305B1A">
        <w:rPr>
          <w:rFonts w:cs="Arial" w:hint="cs"/>
          <w:rtl/>
        </w:rPr>
        <w:t>טועה</w:t>
      </w:r>
      <w:r w:rsidRPr="00305B1A">
        <w:rPr>
          <w:rFonts w:cs="Arial"/>
          <w:rtl/>
        </w:rPr>
        <w:t xml:space="preserve"> </w:t>
      </w:r>
      <w:r w:rsidRPr="00305B1A">
        <w:rPr>
          <w:rFonts w:cs="Arial" w:hint="cs"/>
          <w:rtl/>
        </w:rPr>
        <w:t>הוא</w:t>
      </w:r>
      <w:r>
        <w:rPr>
          <w:rFonts w:cs="Arial" w:hint="cs"/>
          <w:rtl/>
        </w:rPr>
        <w:t>,</w:t>
      </w:r>
      <w:r w:rsidRPr="00305B1A">
        <w:rPr>
          <w:rFonts w:cs="Arial"/>
          <w:rtl/>
        </w:rPr>
        <w:t xml:space="preserve"> </w:t>
      </w:r>
      <w:r w:rsidRPr="00305B1A">
        <w:rPr>
          <w:rFonts w:cs="Arial" w:hint="cs"/>
          <w:rtl/>
        </w:rPr>
        <w:t>דא</w:t>
      </w:r>
      <w:r w:rsidRPr="00305B1A">
        <w:rPr>
          <w:rFonts w:cs="Arial"/>
          <w:rtl/>
        </w:rPr>
        <w:t>"</w:t>
      </w:r>
      <w:r w:rsidRPr="00305B1A">
        <w:rPr>
          <w:rFonts w:cs="Arial" w:hint="cs"/>
          <w:rtl/>
        </w:rPr>
        <w:t>כ</w:t>
      </w:r>
      <w:r w:rsidRPr="00305B1A">
        <w:rPr>
          <w:rFonts w:cs="Arial"/>
          <w:rtl/>
        </w:rPr>
        <w:t xml:space="preserve"> </w:t>
      </w:r>
      <w:r w:rsidRPr="00305B1A">
        <w:rPr>
          <w:rFonts w:cs="Arial" w:hint="cs"/>
          <w:rtl/>
        </w:rPr>
        <w:t>ליחוש</w:t>
      </w:r>
      <w:r w:rsidRPr="00305B1A">
        <w:rPr>
          <w:rFonts w:cs="Arial"/>
          <w:rtl/>
        </w:rPr>
        <w:t xml:space="preserve"> </w:t>
      </w:r>
      <w:r w:rsidRPr="00305B1A">
        <w:rPr>
          <w:rFonts w:cs="Arial" w:hint="cs"/>
          <w:rtl/>
        </w:rPr>
        <w:t>דילמא</w:t>
      </w:r>
      <w:r w:rsidRPr="00305B1A">
        <w:rPr>
          <w:rFonts w:cs="Arial"/>
          <w:rtl/>
        </w:rPr>
        <w:t xml:space="preserve"> </w:t>
      </w:r>
      <w:r w:rsidRPr="00305B1A">
        <w:rPr>
          <w:rFonts w:cs="Arial" w:hint="cs"/>
          <w:rtl/>
        </w:rPr>
        <w:t>איכא</w:t>
      </w:r>
      <w:r w:rsidRPr="00305B1A">
        <w:rPr>
          <w:rFonts w:cs="Arial"/>
          <w:rtl/>
        </w:rPr>
        <w:t xml:space="preserve"> </w:t>
      </w:r>
      <w:r w:rsidRPr="00305B1A">
        <w:rPr>
          <w:rFonts w:cs="Arial" w:hint="cs"/>
          <w:rtl/>
        </w:rPr>
        <w:t>יוסף</w:t>
      </w:r>
      <w:r w:rsidRPr="00305B1A">
        <w:rPr>
          <w:rFonts w:cs="Arial"/>
          <w:rtl/>
        </w:rPr>
        <w:t xml:space="preserve"> </w:t>
      </w:r>
      <w:r w:rsidRPr="00305B1A">
        <w:rPr>
          <w:rFonts w:cs="Arial" w:hint="cs"/>
          <w:rtl/>
        </w:rPr>
        <w:t>בן</w:t>
      </w:r>
      <w:r w:rsidRPr="00305B1A">
        <w:rPr>
          <w:rFonts w:cs="Arial"/>
          <w:rtl/>
        </w:rPr>
        <w:t xml:space="preserve"> </w:t>
      </w:r>
      <w:r w:rsidRPr="00305B1A">
        <w:rPr>
          <w:rFonts w:cs="Arial" w:hint="cs"/>
          <w:rtl/>
        </w:rPr>
        <w:t>שמעון</w:t>
      </w:r>
      <w:r w:rsidRPr="00305B1A">
        <w:rPr>
          <w:rFonts w:cs="Arial"/>
          <w:rtl/>
        </w:rPr>
        <w:t xml:space="preserve"> </w:t>
      </w:r>
      <w:r w:rsidRPr="00305B1A">
        <w:rPr>
          <w:rFonts w:cs="Arial" w:hint="cs"/>
          <w:rtl/>
        </w:rPr>
        <w:t>הכא</w:t>
      </w:r>
      <w:r w:rsidRPr="00305B1A">
        <w:rPr>
          <w:rFonts w:cs="Arial"/>
          <w:rtl/>
        </w:rPr>
        <w:t xml:space="preserve"> </w:t>
      </w:r>
      <w:r w:rsidRPr="00305B1A">
        <w:rPr>
          <w:rFonts w:cs="Arial" w:hint="cs"/>
          <w:rtl/>
        </w:rPr>
        <w:t>ואיכא</w:t>
      </w:r>
      <w:r w:rsidRPr="00305B1A">
        <w:rPr>
          <w:rFonts w:cs="Arial"/>
          <w:rtl/>
        </w:rPr>
        <w:t xml:space="preserve"> </w:t>
      </w:r>
      <w:r w:rsidRPr="00305B1A">
        <w:rPr>
          <w:rFonts w:cs="Arial" w:hint="cs"/>
          <w:rtl/>
        </w:rPr>
        <w:t>אחרינא</w:t>
      </w:r>
      <w:r w:rsidRPr="00305B1A">
        <w:rPr>
          <w:rFonts w:cs="Arial"/>
          <w:rtl/>
        </w:rPr>
        <w:t xml:space="preserve"> </w:t>
      </w:r>
      <w:r w:rsidRPr="00305B1A">
        <w:rPr>
          <w:rFonts w:cs="Arial" w:hint="cs"/>
          <w:rtl/>
        </w:rPr>
        <w:t>במתא</w:t>
      </w:r>
      <w:r w:rsidRPr="00305B1A">
        <w:rPr>
          <w:rFonts w:cs="Arial"/>
          <w:rtl/>
        </w:rPr>
        <w:t xml:space="preserve"> </w:t>
      </w:r>
      <w:r w:rsidRPr="00305B1A">
        <w:rPr>
          <w:rFonts w:cs="Arial" w:hint="cs"/>
          <w:rtl/>
        </w:rPr>
        <w:t>אחריתא</w:t>
      </w:r>
      <w:r w:rsidRPr="00305B1A">
        <w:rPr>
          <w:rFonts w:cs="Arial"/>
          <w:rtl/>
        </w:rPr>
        <w:t xml:space="preserve"> </w:t>
      </w:r>
      <w:r w:rsidRPr="00305B1A">
        <w:rPr>
          <w:rFonts w:cs="Arial" w:hint="cs"/>
          <w:rtl/>
        </w:rPr>
        <w:t>ויכתוב</w:t>
      </w:r>
      <w:r w:rsidRPr="00305B1A">
        <w:rPr>
          <w:rFonts w:cs="Arial"/>
          <w:rtl/>
        </w:rPr>
        <w:t xml:space="preserve"> </w:t>
      </w:r>
      <w:r w:rsidRPr="00305B1A">
        <w:rPr>
          <w:rFonts w:cs="Arial" w:hint="cs"/>
          <w:rtl/>
        </w:rPr>
        <w:t>היאך</w:t>
      </w:r>
      <w:r w:rsidRPr="00305B1A">
        <w:rPr>
          <w:rFonts w:cs="Arial"/>
          <w:rtl/>
        </w:rPr>
        <w:t xml:space="preserve"> </w:t>
      </w:r>
      <w:r w:rsidRPr="00305B1A">
        <w:rPr>
          <w:rFonts w:cs="Arial" w:hint="cs"/>
          <w:rtl/>
        </w:rPr>
        <w:t>גיטא</w:t>
      </w:r>
      <w:r w:rsidRPr="00305B1A">
        <w:rPr>
          <w:rFonts w:cs="Arial"/>
          <w:rtl/>
        </w:rPr>
        <w:t xml:space="preserve"> </w:t>
      </w:r>
      <w:r w:rsidRPr="00305B1A">
        <w:rPr>
          <w:rFonts w:cs="Arial" w:hint="cs"/>
          <w:rtl/>
        </w:rPr>
        <w:t>הכא</w:t>
      </w:r>
      <w:r w:rsidRPr="00305B1A">
        <w:rPr>
          <w:rFonts w:cs="Arial"/>
          <w:rtl/>
        </w:rPr>
        <w:t xml:space="preserve"> </w:t>
      </w:r>
      <w:r w:rsidRPr="00305B1A">
        <w:rPr>
          <w:rFonts w:cs="Arial" w:hint="cs"/>
          <w:rtl/>
        </w:rPr>
        <w:t>סתם</w:t>
      </w:r>
      <w:r w:rsidRPr="00305B1A">
        <w:rPr>
          <w:rFonts w:cs="Arial"/>
          <w:rtl/>
        </w:rPr>
        <w:t xml:space="preserve"> </w:t>
      </w:r>
      <w:r w:rsidRPr="00305B1A">
        <w:rPr>
          <w:rFonts w:cs="Arial" w:hint="cs"/>
          <w:rtl/>
        </w:rPr>
        <w:t>וממטי</w:t>
      </w:r>
      <w:r w:rsidRPr="00305B1A">
        <w:rPr>
          <w:rFonts w:cs="Arial"/>
          <w:rtl/>
        </w:rPr>
        <w:t xml:space="preserve"> </w:t>
      </w:r>
      <w:r w:rsidRPr="00305B1A">
        <w:rPr>
          <w:rFonts w:cs="Arial" w:hint="cs"/>
          <w:rtl/>
        </w:rPr>
        <w:t>ליה</w:t>
      </w:r>
      <w:r w:rsidRPr="00305B1A">
        <w:rPr>
          <w:rFonts w:cs="Arial"/>
          <w:rtl/>
        </w:rPr>
        <w:t xml:space="preserve"> </w:t>
      </w:r>
      <w:r w:rsidRPr="00305B1A">
        <w:rPr>
          <w:rFonts w:cs="Arial" w:hint="cs"/>
          <w:rtl/>
        </w:rPr>
        <w:t>לההיא</w:t>
      </w:r>
      <w:r w:rsidRPr="00305B1A">
        <w:rPr>
          <w:rFonts w:cs="Arial"/>
          <w:rtl/>
        </w:rPr>
        <w:t xml:space="preserve"> </w:t>
      </w:r>
      <w:r w:rsidRPr="00305B1A">
        <w:rPr>
          <w:rFonts w:cs="Arial" w:hint="cs"/>
          <w:rtl/>
        </w:rPr>
        <w:t>מתא</w:t>
      </w:r>
      <w:r w:rsidRPr="00305B1A">
        <w:rPr>
          <w:rFonts w:cs="Arial"/>
          <w:rtl/>
        </w:rPr>
        <w:t xml:space="preserve"> </w:t>
      </w:r>
      <w:r w:rsidRPr="00305B1A">
        <w:rPr>
          <w:rFonts w:cs="Arial" w:hint="cs"/>
          <w:rtl/>
        </w:rPr>
        <w:t>לאנתתיה</w:t>
      </w:r>
      <w:r w:rsidRPr="00305B1A">
        <w:rPr>
          <w:rFonts w:cs="Arial"/>
          <w:rtl/>
        </w:rPr>
        <w:t xml:space="preserve"> </w:t>
      </w:r>
      <w:r w:rsidRPr="00305B1A">
        <w:rPr>
          <w:rFonts w:cs="Arial" w:hint="cs"/>
          <w:rtl/>
        </w:rPr>
        <w:t>דהאיך</w:t>
      </w:r>
      <w:r>
        <w:rPr>
          <w:rFonts w:cs="Arial" w:hint="cs"/>
          <w:rtl/>
        </w:rPr>
        <w:t>.</w:t>
      </w:r>
      <w:r w:rsidRPr="00305B1A">
        <w:rPr>
          <w:rFonts w:cs="Arial"/>
          <w:rtl/>
        </w:rPr>
        <w:t xml:space="preserve"> </w:t>
      </w:r>
      <w:r w:rsidRPr="00305B1A">
        <w:rPr>
          <w:rFonts w:cs="Arial" w:hint="cs"/>
          <w:rtl/>
        </w:rPr>
        <w:t>אלא</w:t>
      </w:r>
      <w:r w:rsidRPr="00305B1A">
        <w:rPr>
          <w:rFonts w:cs="Arial"/>
          <w:rtl/>
        </w:rPr>
        <w:t xml:space="preserve"> </w:t>
      </w:r>
      <w:r w:rsidRPr="00305B1A">
        <w:rPr>
          <w:rFonts w:cs="Arial" w:hint="cs"/>
          <w:rtl/>
        </w:rPr>
        <w:t>שמע</w:t>
      </w:r>
      <w:r w:rsidRPr="00305B1A">
        <w:rPr>
          <w:rFonts w:cs="Arial"/>
          <w:rtl/>
        </w:rPr>
        <w:t xml:space="preserve"> </w:t>
      </w:r>
      <w:r w:rsidRPr="00305B1A">
        <w:rPr>
          <w:rFonts w:cs="Arial" w:hint="cs"/>
          <w:rtl/>
        </w:rPr>
        <w:t>מינה</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sidRPr="00305B1A">
        <w:rPr>
          <w:rFonts w:cs="Arial"/>
          <w:rtl/>
        </w:rPr>
        <w:t xml:space="preserve"> </w:t>
      </w:r>
      <w:r w:rsidRPr="00305B1A">
        <w:rPr>
          <w:rFonts w:cs="Arial" w:hint="cs"/>
          <w:rtl/>
        </w:rPr>
        <w:t>ושם</w:t>
      </w:r>
      <w:r w:rsidRPr="00305B1A">
        <w:rPr>
          <w:rFonts w:cs="Arial"/>
          <w:rtl/>
        </w:rPr>
        <w:t xml:space="preserve"> </w:t>
      </w:r>
      <w:r w:rsidRPr="00305B1A">
        <w:rPr>
          <w:rFonts w:cs="Arial" w:hint="cs"/>
          <w:rtl/>
        </w:rPr>
        <w:t>עירה</w:t>
      </w:r>
      <w:r w:rsidRPr="00305B1A">
        <w:rPr>
          <w:rFonts w:cs="Arial"/>
          <w:rtl/>
        </w:rPr>
        <w:t xml:space="preserve"> </w:t>
      </w:r>
      <w:r w:rsidRPr="00305B1A">
        <w:rPr>
          <w:rFonts w:cs="Arial" w:hint="cs"/>
          <w:rtl/>
        </w:rPr>
        <w:t>מעכבין</w:t>
      </w:r>
      <w:r w:rsidRPr="00305B1A">
        <w:rPr>
          <w:rFonts w:cs="Arial"/>
          <w:rtl/>
        </w:rPr>
        <w:t xml:space="preserve"> </w:t>
      </w:r>
      <w:r w:rsidRPr="00305B1A">
        <w:rPr>
          <w:rFonts w:cs="Arial" w:hint="cs"/>
          <w:rtl/>
        </w:rPr>
        <w:t>ע</w:t>
      </w:r>
      <w:r w:rsidRPr="00305B1A">
        <w:rPr>
          <w:rFonts w:cs="Arial"/>
          <w:rtl/>
        </w:rPr>
        <w:t>"</w:t>
      </w:r>
      <w:r w:rsidRPr="00305B1A">
        <w:rPr>
          <w:rFonts w:cs="Arial" w:hint="cs"/>
          <w:rtl/>
        </w:rPr>
        <w:t>כ</w:t>
      </w:r>
      <w:r>
        <w:rPr>
          <w:rFonts w:cs="Arial" w:hint="cs"/>
          <w:rtl/>
        </w:rPr>
        <w:t>.</w:t>
      </w:r>
      <w:r w:rsidRPr="00305B1A">
        <w:rPr>
          <w:rFonts w:cs="Arial"/>
          <w:rtl/>
        </w:rPr>
        <w:t xml:space="preserve"> </w:t>
      </w:r>
      <w:r w:rsidRPr="00305B1A">
        <w:rPr>
          <w:rFonts w:cs="Arial" w:hint="cs"/>
          <w:rtl/>
        </w:rPr>
        <w:t>ואע</w:t>
      </w:r>
      <w:r>
        <w:rPr>
          <w:rFonts w:cs="Arial" w:hint="cs"/>
          <w:rtl/>
        </w:rPr>
        <w:t>"</w:t>
      </w:r>
      <w:r w:rsidRPr="00305B1A">
        <w:rPr>
          <w:rFonts w:cs="Arial" w:hint="cs"/>
          <w:rtl/>
        </w:rPr>
        <w:t>פ</w:t>
      </w:r>
      <w:r w:rsidRPr="00305B1A">
        <w:rPr>
          <w:rFonts w:cs="Arial"/>
          <w:rtl/>
        </w:rPr>
        <w:t xml:space="preserve"> </w:t>
      </w:r>
      <w:r w:rsidRPr="00305B1A">
        <w:rPr>
          <w:rFonts w:cs="Arial" w:hint="cs"/>
          <w:rtl/>
        </w:rPr>
        <w:t>שהרמב</w:t>
      </w:r>
      <w:r w:rsidRPr="00305B1A">
        <w:rPr>
          <w:rFonts w:cs="Arial"/>
          <w:rtl/>
        </w:rPr>
        <w:t>"</w:t>
      </w:r>
      <w:r w:rsidRPr="00305B1A">
        <w:rPr>
          <w:rFonts w:cs="Arial" w:hint="cs"/>
          <w:rtl/>
        </w:rPr>
        <w:t>ן</w:t>
      </w:r>
      <w:r w:rsidRPr="00305B1A">
        <w:rPr>
          <w:rFonts w:cs="Arial"/>
          <w:rtl/>
        </w:rPr>
        <w:t xml:space="preserve"> </w:t>
      </w:r>
      <w:r w:rsidRPr="00305B1A">
        <w:rPr>
          <w:rFonts w:cs="Arial" w:hint="cs"/>
          <w:rtl/>
        </w:rPr>
        <w:t>הביא</w:t>
      </w:r>
      <w:r w:rsidRPr="00305B1A">
        <w:rPr>
          <w:rFonts w:cs="Arial"/>
          <w:rtl/>
        </w:rPr>
        <w:t xml:space="preserve"> </w:t>
      </w:r>
      <w:r w:rsidRPr="00305B1A">
        <w:rPr>
          <w:rFonts w:cs="Arial" w:hint="cs"/>
          <w:rtl/>
        </w:rPr>
        <w:t>בזה</w:t>
      </w:r>
      <w:r w:rsidRPr="00305B1A">
        <w:rPr>
          <w:rFonts w:cs="Arial"/>
          <w:rtl/>
        </w:rPr>
        <w:t xml:space="preserve"> </w:t>
      </w:r>
      <w:r w:rsidRPr="00305B1A">
        <w:rPr>
          <w:rFonts w:cs="Arial" w:hint="cs"/>
          <w:rtl/>
        </w:rPr>
        <w:t>סברות</w:t>
      </w:r>
      <w:r w:rsidRPr="00305B1A">
        <w:rPr>
          <w:rFonts w:cs="Arial"/>
          <w:rtl/>
        </w:rPr>
        <w:t xml:space="preserve"> </w:t>
      </w:r>
      <w:r w:rsidRPr="00305B1A">
        <w:rPr>
          <w:rFonts w:cs="Arial" w:hint="cs"/>
          <w:rtl/>
        </w:rPr>
        <w:t>בפרק</w:t>
      </w:r>
      <w:r w:rsidRPr="00305B1A">
        <w:rPr>
          <w:rFonts w:cs="Arial"/>
          <w:rtl/>
        </w:rPr>
        <w:t xml:space="preserve"> </w:t>
      </w:r>
      <w:r w:rsidRPr="00305B1A">
        <w:rPr>
          <w:rFonts w:cs="Arial" w:hint="cs"/>
          <w:rtl/>
        </w:rPr>
        <w:t>המביא</w:t>
      </w:r>
      <w:r w:rsidRPr="00305B1A">
        <w:rPr>
          <w:rFonts w:cs="Arial"/>
          <w:rtl/>
        </w:rPr>
        <w:t xml:space="preserve"> </w:t>
      </w:r>
      <w:r w:rsidRPr="00305B1A">
        <w:rPr>
          <w:rFonts w:cs="Arial" w:hint="cs"/>
          <w:rtl/>
        </w:rPr>
        <w:t>תניין</w:t>
      </w:r>
      <w:r w:rsidRPr="00305B1A">
        <w:rPr>
          <w:rFonts w:cs="Arial"/>
          <w:rtl/>
        </w:rPr>
        <w:t xml:space="preserve"> (</w:t>
      </w:r>
      <w:r w:rsidRPr="00305B1A">
        <w:rPr>
          <w:rFonts w:cs="Arial" w:hint="cs"/>
          <w:rtl/>
        </w:rPr>
        <w:t>כ</w:t>
      </w:r>
      <w:r w:rsidRPr="00305B1A">
        <w:rPr>
          <w:rFonts w:cs="Arial"/>
          <w:rtl/>
        </w:rPr>
        <w:t xml:space="preserve">. </w:t>
      </w:r>
      <w:r w:rsidRPr="00305B1A">
        <w:rPr>
          <w:rFonts w:cs="Arial" w:hint="cs"/>
          <w:rtl/>
        </w:rPr>
        <w:t>ד</w:t>
      </w:r>
      <w:r w:rsidRPr="00305B1A">
        <w:rPr>
          <w:rFonts w:cs="Arial"/>
          <w:rtl/>
        </w:rPr>
        <w:t>"</w:t>
      </w:r>
      <w:r w:rsidRPr="00305B1A">
        <w:rPr>
          <w:rFonts w:cs="Arial" w:hint="cs"/>
          <w:rtl/>
        </w:rPr>
        <w:t>ה</w:t>
      </w:r>
      <w:r w:rsidRPr="00305B1A">
        <w:rPr>
          <w:rFonts w:cs="Arial"/>
          <w:rtl/>
        </w:rPr>
        <w:t xml:space="preserve"> </w:t>
      </w:r>
      <w:r w:rsidRPr="00305B1A">
        <w:rPr>
          <w:rFonts w:cs="Arial" w:hint="cs"/>
          <w:rtl/>
        </w:rPr>
        <w:t>הא</w:t>
      </w:r>
      <w:r w:rsidRPr="00305B1A">
        <w:rPr>
          <w:rFonts w:cs="Arial"/>
          <w:rtl/>
        </w:rPr>
        <w:t xml:space="preserve">) </w:t>
      </w:r>
      <w:r w:rsidRPr="00305B1A">
        <w:rPr>
          <w:rFonts w:cs="Arial" w:hint="cs"/>
          <w:rtl/>
        </w:rPr>
        <w:t>ולא</w:t>
      </w:r>
      <w:r w:rsidRPr="00305B1A">
        <w:rPr>
          <w:rFonts w:cs="Arial"/>
          <w:rtl/>
        </w:rPr>
        <w:t xml:space="preserve"> </w:t>
      </w:r>
      <w:r w:rsidRPr="00305B1A">
        <w:rPr>
          <w:rFonts w:cs="Arial" w:hint="cs"/>
          <w:rtl/>
        </w:rPr>
        <w:t>הכריע</w:t>
      </w:r>
      <w:r w:rsidRPr="00305B1A">
        <w:rPr>
          <w:rFonts w:cs="Arial"/>
          <w:rtl/>
        </w:rPr>
        <w:t xml:space="preserve"> </w:t>
      </w:r>
      <w:r w:rsidRPr="00305B1A">
        <w:rPr>
          <w:rFonts w:cs="Arial" w:hint="cs"/>
          <w:rtl/>
        </w:rPr>
        <w:t>בהן</w:t>
      </w:r>
      <w:r>
        <w:rPr>
          <w:rFonts w:cs="Arial" w:hint="cs"/>
          <w:rtl/>
        </w:rPr>
        <w:t>,</w:t>
      </w:r>
      <w:r w:rsidRPr="00305B1A">
        <w:rPr>
          <w:rFonts w:cs="Arial"/>
          <w:rtl/>
        </w:rPr>
        <w:t xml:space="preserve"> </w:t>
      </w:r>
      <w:r w:rsidRPr="00305B1A">
        <w:rPr>
          <w:rFonts w:cs="Arial" w:hint="cs"/>
          <w:rtl/>
        </w:rPr>
        <w:t>על</w:t>
      </w:r>
      <w:r w:rsidRPr="00305B1A">
        <w:rPr>
          <w:rFonts w:cs="Arial"/>
          <w:rtl/>
        </w:rPr>
        <w:t xml:space="preserve"> </w:t>
      </w:r>
      <w:r w:rsidRPr="00305B1A">
        <w:rPr>
          <w:rFonts w:cs="Arial" w:hint="cs"/>
          <w:rtl/>
        </w:rPr>
        <w:t>דברי</w:t>
      </w:r>
      <w:r w:rsidRPr="00305B1A">
        <w:rPr>
          <w:rFonts w:cs="Arial"/>
          <w:rtl/>
        </w:rPr>
        <w:t xml:space="preserve"> </w:t>
      </w:r>
      <w:r w:rsidRPr="00305B1A">
        <w:rPr>
          <w:rFonts w:cs="Arial" w:hint="cs"/>
          <w:rtl/>
        </w:rPr>
        <w:t>הראב</w:t>
      </w:r>
      <w:r w:rsidRPr="00305B1A">
        <w:rPr>
          <w:rFonts w:cs="Arial"/>
          <w:rtl/>
        </w:rPr>
        <w:t>"</w:t>
      </w:r>
      <w:r w:rsidRPr="00305B1A">
        <w:rPr>
          <w:rFonts w:cs="Arial" w:hint="cs"/>
          <w:rtl/>
        </w:rPr>
        <w:t>ד</w:t>
      </w:r>
      <w:r w:rsidRPr="00305B1A">
        <w:rPr>
          <w:rFonts w:cs="Arial"/>
          <w:rtl/>
        </w:rPr>
        <w:t xml:space="preserve"> </w:t>
      </w:r>
      <w:r w:rsidRPr="00305B1A">
        <w:rPr>
          <w:rFonts w:cs="Arial" w:hint="cs"/>
          <w:rtl/>
        </w:rPr>
        <w:t>סומכין</w:t>
      </w:r>
      <w:r w:rsidRPr="00305B1A">
        <w:rPr>
          <w:rFonts w:cs="Arial"/>
          <w:rtl/>
        </w:rPr>
        <w:t xml:space="preserve"> </w:t>
      </w:r>
      <w:r w:rsidRPr="00305B1A">
        <w:rPr>
          <w:rFonts w:cs="Arial" w:hint="cs"/>
          <w:rtl/>
        </w:rPr>
        <w:t>להחמיר</w:t>
      </w:r>
      <w:r>
        <w:rPr>
          <w:rFonts w:cs="Arial" w:hint="cs"/>
          <w:rtl/>
        </w:rPr>
        <w:t>.</w:t>
      </w:r>
      <w:r w:rsidRPr="00305B1A">
        <w:rPr>
          <w:rFonts w:cs="Arial"/>
          <w:rtl/>
        </w:rPr>
        <w:t xml:space="preserve"> </w:t>
      </w:r>
      <w:r w:rsidRPr="00305B1A">
        <w:rPr>
          <w:rFonts w:cs="Arial" w:hint="cs"/>
          <w:rtl/>
        </w:rPr>
        <w:t>ולדבריו</w:t>
      </w:r>
      <w:r w:rsidRPr="00305B1A">
        <w:rPr>
          <w:rFonts w:cs="Arial"/>
          <w:rtl/>
        </w:rPr>
        <w:t xml:space="preserve"> </w:t>
      </w:r>
      <w:r w:rsidRPr="00305B1A">
        <w:rPr>
          <w:rFonts w:cs="Arial" w:hint="cs"/>
          <w:rtl/>
        </w:rPr>
        <w:t>הסכים</w:t>
      </w:r>
      <w:r w:rsidRPr="00305B1A">
        <w:rPr>
          <w:rFonts w:cs="Arial"/>
          <w:rtl/>
        </w:rPr>
        <w:t xml:space="preserve"> </w:t>
      </w:r>
      <w:r w:rsidRPr="00305B1A">
        <w:rPr>
          <w:rFonts w:cs="Arial" w:hint="cs"/>
          <w:rtl/>
        </w:rPr>
        <w:t>הרשב</w:t>
      </w:r>
      <w:r w:rsidRPr="00305B1A">
        <w:rPr>
          <w:rFonts w:cs="Arial"/>
          <w:rtl/>
        </w:rPr>
        <w:t>"</w:t>
      </w:r>
      <w:r w:rsidRPr="00305B1A">
        <w:rPr>
          <w:rFonts w:cs="Arial" w:hint="cs"/>
          <w:rtl/>
        </w:rPr>
        <w:t>א</w:t>
      </w:r>
      <w:r w:rsidRPr="00305B1A">
        <w:rPr>
          <w:rFonts w:cs="Arial"/>
          <w:rtl/>
        </w:rPr>
        <w:t xml:space="preserve"> </w:t>
      </w:r>
      <w:r w:rsidRPr="00305B1A">
        <w:rPr>
          <w:rFonts w:cs="Arial" w:hint="cs"/>
          <w:rtl/>
        </w:rPr>
        <w:t>בתשובה</w:t>
      </w:r>
      <w:r w:rsidRPr="00305B1A">
        <w:rPr>
          <w:rFonts w:cs="Arial"/>
          <w:rtl/>
        </w:rPr>
        <w:t xml:space="preserve"> (</w:t>
      </w:r>
      <w:r w:rsidRPr="00305B1A">
        <w:rPr>
          <w:rFonts w:cs="Arial" w:hint="cs"/>
          <w:rtl/>
        </w:rPr>
        <w:t>ח</w:t>
      </w:r>
      <w:r w:rsidRPr="00305B1A">
        <w:rPr>
          <w:rFonts w:cs="Arial"/>
          <w:rtl/>
        </w:rPr>
        <w:t>"</w:t>
      </w:r>
      <w:r w:rsidRPr="00305B1A">
        <w:rPr>
          <w:rFonts w:cs="Arial" w:hint="cs"/>
          <w:rtl/>
        </w:rPr>
        <w:t>א</w:t>
      </w:r>
      <w:r w:rsidRPr="00305B1A">
        <w:rPr>
          <w:rFonts w:cs="Arial"/>
          <w:rtl/>
        </w:rPr>
        <w:t xml:space="preserve"> </w:t>
      </w:r>
      <w:r w:rsidRPr="00305B1A">
        <w:rPr>
          <w:rFonts w:cs="Arial" w:hint="cs"/>
          <w:rtl/>
        </w:rPr>
        <w:t>סי</w:t>
      </w:r>
      <w:r w:rsidRPr="00305B1A">
        <w:rPr>
          <w:rFonts w:cs="Arial"/>
          <w:rtl/>
        </w:rPr>
        <w:t xml:space="preserve">' </w:t>
      </w:r>
      <w:r w:rsidRPr="00305B1A">
        <w:rPr>
          <w:rFonts w:cs="Arial" w:hint="cs"/>
          <w:rtl/>
        </w:rPr>
        <w:t>אלף</w:t>
      </w:r>
      <w:r w:rsidRPr="00305B1A">
        <w:rPr>
          <w:rFonts w:cs="Arial"/>
          <w:rtl/>
        </w:rPr>
        <w:t xml:space="preserve"> </w:t>
      </w:r>
      <w:r w:rsidRPr="00305B1A">
        <w:rPr>
          <w:rFonts w:cs="Arial" w:hint="cs"/>
          <w:rtl/>
        </w:rPr>
        <w:t>קטז</w:t>
      </w:r>
      <w:r w:rsidRPr="00305B1A">
        <w:rPr>
          <w:rFonts w:cs="Arial"/>
          <w:rtl/>
        </w:rPr>
        <w:t xml:space="preserve"> </w:t>
      </w:r>
      <w:r w:rsidRPr="00305B1A">
        <w:rPr>
          <w:rFonts w:cs="Arial" w:hint="cs"/>
          <w:rtl/>
        </w:rPr>
        <w:t>וסי</w:t>
      </w:r>
      <w:r w:rsidRPr="00305B1A">
        <w:rPr>
          <w:rFonts w:cs="Arial"/>
          <w:rtl/>
        </w:rPr>
        <w:t xml:space="preserve">' </w:t>
      </w:r>
      <w:r w:rsidRPr="00305B1A">
        <w:rPr>
          <w:rFonts w:cs="Arial" w:hint="cs"/>
          <w:rtl/>
        </w:rPr>
        <w:t>אלף</w:t>
      </w:r>
      <w:r w:rsidRPr="00305B1A">
        <w:rPr>
          <w:rFonts w:cs="Arial"/>
          <w:rtl/>
        </w:rPr>
        <w:t xml:space="preserve"> </w:t>
      </w:r>
      <w:r w:rsidRPr="00305B1A">
        <w:rPr>
          <w:rFonts w:cs="Arial" w:hint="cs"/>
          <w:rtl/>
        </w:rPr>
        <w:t>ריג</w:t>
      </w:r>
      <w:r w:rsidRPr="00305B1A">
        <w:rPr>
          <w:rFonts w:cs="Arial"/>
          <w:rtl/>
        </w:rPr>
        <w:t xml:space="preserve"> </w:t>
      </w:r>
      <w:r w:rsidRPr="00305B1A">
        <w:rPr>
          <w:rFonts w:cs="Arial" w:hint="cs"/>
          <w:rtl/>
        </w:rPr>
        <w:t>וח</w:t>
      </w:r>
      <w:r w:rsidRPr="00305B1A">
        <w:rPr>
          <w:rFonts w:cs="Arial"/>
          <w:rtl/>
        </w:rPr>
        <w:t>"</w:t>
      </w:r>
      <w:r w:rsidRPr="00305B1A">
        <w:rPr>
          <w:rFonts w:cs="Arial" w:hint="cs"/>
          <w:rtl/>
        </w:rPr>
        <w:t>ב</w:t>
      </w:r>
      <w:r w:rsidRPr="00305B1A">
        <w:rPr>
          <w:rFonts w:cs="Arial"/>
          <w:rtl/>
        </w:rPr>
        <w:t xml:space="preserve"> </w:t>
      </w:r>
      <w:r w:rsidRPr="00305B1A">
        <w:rPr>
          <w:rFonts w:cs="Arial" w:hint="cs"/>
          <w:rtl/>
        </w:rPr>
        <w:t>סי</w:t>
      </w:r>
      <w:r w:rsidRPr="00305B1A">
        <w:rPr>
          <w:rFonts w:cs="Arial"/>
          <w:rtl/>
        </w:rPr>
        <w:t xml:space="preserve">' </w:t>
      </w:r>
      <w:r w:rsidRPr="00305B1A">
        <w:rPr>
          <w:rFonts w:cs="Arial" w:hint="cs"/>
          <w:rtl/>
        </w:rPr>
        <w:t>רעז</w:t>
      </w:r>
      <w:r w:rsidRPr="00305B1A">
        <w:rPr>
          <w:rFonts w:cs="Arial"/>
          <w:rtl/>
        </w:rPr>
        <w:t>)</w:t>
      </w:r>
      <w:r>
        <w:rPr>
          <w:rFonts w:cs="Arial" w:hint="cs"/>
          <w:rtl/>
        </w:rPr>
        <w:t>.</w:t>
      </w:r>
      <w:r w:rsidRPr="00305B1A">
        <w:rPr>
          <w:rFonts w:cs="Arial"/>
          <w:rtl/>
        </w:rPr>
        <w:t xml:space="preserve"> </w:t>
      </w:r>
      <w:r w:rsidRPr="00305B1A">
        <w:rPr>
          <w:rFonts w:cs="Arial" w:hint="cs"/>
          <w:rtl/>
        </w:rPr>
        <w:t>נמצא</w:t>
      </w:r>
      <w:r w:rsidRPr="00305B1A">
        <w:rPr>
          <w:rFonts w:cs="Arial"/>
          <w:rtl/>
        </w:rPr>
        <w:t xml:space="preserve"> </w:t>
      </w:r>
      <w:r w:rsidRPr="00305B1A">
        <w:rPr>
          <w:rFonts w:cs="Arial" w:hint="cs"/>
          <w:rtl/>
        </w:rPr>
        <w:t>שאם</w:t>
      </w:r>
      <w:r w:rsidRPr="00305B1A">
        <w:rPr>
          <w:rFonts w:cs="Arial"/>
          <w:rtl/>
        </w:rPr>
        <w:t xml:space="preserve"> </w:t>
      </w:r>
      <w:r w:rsidRPr="00305B1A">
        <w:rPr>
          <w:rFonts w:cs="Arial" w:hint="cs"/>
          <w:rtl/>
        </w:rPr>
        <w:t>נפרש</w:t>
      </w:r>
      <w:r w:rsidRPr="00305B1A">
        <w:rPr>
          <w:rFonts w:cs="Arial"/>
          <w:rtl/>
        </w:rPr>
        <w:t xml:space="preserve"> </w:t>
      </w:r>
      <w:r w:rsidRPr="00305B1A">
        <w:rPr>
          <w:rFonts w:cs="Arial" w:hint="cs"/>
          <w:rtl/>
        </w:rPr>
        <w:t>לשון</w:t>
      </w:r>
      <w:r w:rsidRPr="00305B1A">
        <w:rPr>
          <w:rFonts w:cs="Arial"/>
          <w:rtl/>
        </w:rPr>
        <w:t xml:space="preserve"> </w:t>
      </w:r>
      <w:r w:rsidRPr="00305B1A">
        <w:rPr>
          <w:rFonts w:cs="Arial" w:hint="cs"/>
          <w:rtl/>
        </w:rPr>
        <w:t>הגט</w:t>
      </w:r>
      <w:r w:rsidRPr="00305B1A">
        <w:rPr>
          <w:rFonts w:cs="Arial"/>
          <w:rtl/>
        </w:rPr>
        <w:t xml:space="preserve"> </w:t>
      </w:r>
      <w:r w:rsidRPr="00305B1A">
        <w:rPr>
          <w:rFonts w:cs="Arial" w:hint="cs"/>
          <w:rtl/>
        </w:rPr>
        <w:t>שכתוב</w:t>
      </w:r>
      <w:r w:rsidRPr="00305B1A">
        <w:rPr>
          <w:rFonts w:cs="Arial"/>
          <w:rtl/>
        </w:rPr>
        <w:t xml:space="preserve"> </w:t>
      </w:r>
      <w:r w:rsidRPr="00305B1A">
        <w:rPr>
          <w:rFonts w:cs="Arial" w:hint="cs"/>
          <w:rtl/>
        </w:rPr>
        <w:t>בו</w:t>
      </w:r>
      <w:r w:rsidRPr="00305B1A">
        <w:rPr>
          <w:rFonts w:cs="Arial"/>
          <w:rtl/>
        </w:rPr>
        <w:t xml:space="preserve"> </w:t>
      </w:r>
      <w:r w:rsidRPr="00305B1A">
        <w:rPr>
          <w:rFonts w:cs="Arial" w:hint="cs"/>
          <w:rtl/>
        </w:rPr>
        <w:t>דממתא</w:t>
      </w:r>
      <w:r w:rsidRPr="00305B1A">
        <w:rPr>
          <w:rFonts w:cs="Arial"/>
          <w:rtl/>
        </w:rPr>
        <w:t xml:space="preserve"> </w:t>
      </w:r>
      <w:r w:rsidRPr="00305B1A">
        <w:rPr>
          <w:rFonts w:cs="Arial" w:hint="cs"/>
          <w:rtl/>
        </w:rPr>
        <w:t>מיורקא</w:t>
      </w:r>
      <w:r w:rsidRPr="00305B1A">
        <w:rPr>
          <w:rFonts w:cs="Arial"/>
          <w:rtl/>
        </w:rPr>
        <w:t xml:space="preserve"> </w:t>
      </w:r>
      <w:r w:rsidRPr="00305B1A">
        <w:rPr>
          <w:rFonts w:cs="Arial" w:hint="cs"/>
          <w:rtl/>
        </w:rPr>
        <w:t>על</w:t>
      </w:r>
      <w:r w:rsidRPr="00305B1A">
        <w:rPr>
          <w:rFonts w:cs="Arial"/>
          <w:rtl/>
        </w:rPr>
        <w:t xml:space="preserve"> </w:t>
      </w:r>
      <w:r w:rsidRPr="00305B1A">
        <w:rPr>
          <w:rFonts w:cs="Arial" w:hint="cs"/>
          <w:rtl/>
        </w:rPr>
        <w:t>דרך</w:t>
      </w:r>
      <w:r w:rsidRPr="00305B1A">
        <w:rPr>
          <w:rFonts w:cs="Arial"/>
          <w:rtl/>
        </w:rPr>
        <w:t xml:space="preserve"> </w:t>
      </w:r>
      <w:r w:rsidRPr="00305B1A">
        <w:rPr>
          <w:rFonts w:cs="Arial" w:hint="cs"/>
          <w:rtl/>
        </w:rPr>
        <w:t>היחס</w:t>
      </w:r>
      <w:r w:rsidRPr="00305B1A">
        <w:rPr>
          <w:rFonts w:cs="Arial"/>
          <w:rtl/>
        </w:rPr>
        <w:t xml:space="preserve"> </w:t>
      </w:r>
      <w:r w:rsidRPr="00305B1A">
        <w:rPr>
          <w:rFonts w:cs="Arial" w:hint="cs"/>
          <w:rtl/>
        </w:rPr>
        <w:t>הרי</w:t>
      </w:r>
      <w:r w:rsidRPr="00305B1A">
        <w:rPr>
          <w:rFonts w:cs="Arial"/>
          <w:rtl/>
        </w:rPr>
        <w:t xml:space="preserve"> </w:t>
      </w:r>
      <w:r w:rsidRPr="00305B1A">
        <w:rPr>
          <w:rFonts w:cs="Arial" w:hint="cs"/>
          <w:rtl/>
        </w:rPr>
        <w:t>אין</w:t>
      </w:r>
      <w:r w:rsidRPr="00305B1A">
        <w:rPr>
          <w:rFonts w:cs="Arial"/>
          <w:rtl/>
        </w:rPr>
        <w:t xml:space="preserve"> </w:t>
      </w:r>
      <w:r w:rsidRPr="00305B1A">
        <w:rPr>
          <w:rFonts w:cs="Arial" w:hint="cs"/>
          <w:rtl/>
        </w:rPr>
        <w:t>כאן</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sidRPr="00305B1A">
        <w:rPr>
          <w:rFonts w:cs="Arial"/>
          <w:rtl/>
        </w:rPr>
        <w:t xml:space="preserve"> </w:t>
      </w:r>
      <w:r w:rsidRPr="00305B1A">
        <w:rPr>
          <w:rFonts w:cs="Arial" w:hint="cs"/>
          <w:rtl/>
        </w:rPr>
        <w:t>ופסול</w:t>
      </w:r>
      <w:r>
        <w:rPr>
          <w:rFonts w:cs="Arial" w:hint="cs"/>
          <w:rtl/>
        </w:rPr>
        <w:t>,</w:t>
      </w:r>
      <w:r w:rsidRPr="00305B1A">
        <w:rPr>
          <w:rFonts w:cs="Arial"/>
          <w:rtl/>
        </w:rPr>
        <w:t xml:space="preserve"> </w:t>
      </w:r>
      <w:r w:rsidRPr="00305B1A">
        <w:rPr>
          <w:rFonts w:cs="Arial" w:hint="cs"/>
          <w:rtl/>
        </w:rPr>
        <w:t>ואם</w:t>
      </w:r>
      <w:r w:rsidRPr="00305B1A">
        <w:rPr>
          <w:rFonts w:cs="Arial"/>
          <w:rtl/>
        </w:rPr>
        <w:t xml:space="preserve"> </w:t>
      </w:r>
      <w:r w:rsidRPr="00305B1A">
        <w:rPr>
          <w:rFonts w:cs="Arial" w:hint="cs"/>
          <w:rtl/>
        </w:rPr>
        <w:t>הוא</w:t>
      </w:r>
      <w:r w:rsidRPr="00305B1A">
        <w:rPr>
          <w:rFonts w:cs="Arial"/>
          <w:rtl/>
        </w:rPr>
        <w:t xml:space="preserve"> </w:t>
      </w:r>
      <w:r w:rsidRPr="00305B1A">
        <w:rPr>
          <w:rFonts w:cs="Arial" w:hint="cs"/>
          <w:rtl/>
        </w:rPr>
        <w:t>על</w:t>
      </w:r>
      <w:r w:rsidRPr="00305B1A">
        <w:rPr>
          <w:rFonts w:cs="Arial"/>
          <w:rtl/>
        </w:rPr>
        <w:t xml:space="preserve"> </w:t>
      </w:r>
      <w:r w:rsidRPr="00305B1A">
        <w:rPr>
          <w:rFonts w:cs="Arial" w:hint="cs"/>
          <w:rtl/>
        </w:rPr>
        <w:t>דרך</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sidRPr="00305B1A">
        <w:rPr>
          <w:rFonts w:cs="Arial"/>
          <w:rtl/>
        </w:rPr>
        <w:t xml:space="preserve"> </w:t>
      </w:r>
      <w:r w:rsidRPr="00305B1A">
        <w:rPr>
          <w:rFonts w:cs="Arial" w:hint="cs"/>
          <w:rtl/>
        </w:rPr>
        <w:t>הרי</w:t>
      </w:r>
      <w:r w:rsidRPr="00305B1A">
        <w:rPr>
          <w:rFonts w:cs="Arial"/>
          <w:rtl/>
        </w:rPr>
        <w:t xml:space="preserve"> </w:t>
      </w:r>
      <w:r w:rsidRPr="00305B1A">
        <w:rPr>
          <w:rFonts w:cs="Arial" w:hint="cs"/>
          <w:rtl/>
        </w:rPr>
        <w:t>שינה</w:t>
      </w:r>
      <w:r w:rsidRPr="00305B1A">
        <w:rPr>
          <w:rFonts w:cs="Arial"/>
          <w:rtl/>
        </w:rPr>
        <w:t xml:space="preserve"> </w:t>
      </w:r>
      <w:r w:rsidRPr="00305B1A">
        <w:rPr>
          <w:rFonts w:cs="Arial" w:hint="cs"/>
          <w:rtl/>
        </w:rPr>
        <w:t>שמו</w:t>
      </w:r>
      <w:r w:rsidRPr="00305B1A">
        <w:rPr>
          <w:rFonts w:cs="Arial"/>
          <w:rtl/>
        </w:rPr>
        <w:t xml:space="preserve"> </w:t>
      </w:r>
      <w:r w:rsidRPr="00305B1A">
        <w:rPr>
          <w:rFonts w:cs="Arial" w:hint="cs"/>
          <w:rtl/>
        </w:rPr>
        <w:t>ופסול</w:t>
      </w:r>
      <w:r w:rsidRPr="00305B1A">
        <w:rPr>
          <w:rFonts w:cs="Arial"/>
          <w:rtl/>
        </w:rPr>
        <w:t xml:space="preserve">. </w:t>
      </w:r>
      <w:r w:rsidRPr="00305B1A">
        <w:rPr>
          <w:rFonts w:cs="Arial" w:hint="cs"/>
          <w:rtl/>
        </w:rPr>
        <w:t>אלא</w:t>
      </w:r>
      <w:r w:rsidRPr="00305B1A">
        <w:rPr>
          <w:rFonts w:cs="Arial"/>
          <w:rtl/>
        </w:rPr>
        <w:t xml:space="preserve"> </w:t>
      </w:r>
      <w:r w:rsidRPr="00305B1A">
        <w:rPr>
          <w:rFonts w:cs="Arial" w:hint="cs"/>
          <w:rtl/>
        </w:rPr>
        <w:t>שיש</w:t>
      </w:r>
      <w:r w:rsidRPr="00305B1A">
        <w:rPr>
          <w:rFonts w:cs="Arial"/>
          <w:rtl/>
        </w:rPr>
        <w:t xml:space="preserve"> </w:t>
      </w:r>
      <w:r w:rsidRPr="00305B1A">
        <w:rPr>
          <w:rFonts w:cs="Arial" w:hint="cs"/>
          <w:rtl/>
        </w:rPr>
        <w:t>כאן</w:t>
      </w:r>
      <w:r w:rsidRPr="00305B1A">
        <w:rPr>
          <w:rFonts w:cs="Arial"/>
          <w:rtl/>
        </w:rPr>
        <w:t xml:space="preserve"> </w:t>
      </w:r>
      <w:r w:rsidRPr="00305B1A">
        <w:rPr>
          <w:rFonts w:cs="Arial" w:hint="cs"/>
          <w:rtl/>
        </w:rPr>
        <w:t>מקום</w:t>
      </w:r>
      <w:r w:rsidRPr="00305B1A">
        <w:rPr>
          <w:rFonts w:cs="Arial"/>
          <w:rtl/>
        </w:rPr>
        <w:t xml:space="preserve"> </w:t>
      </w:r>
      <w:r w:rsidRPr="00305B1A">
        <w:rPr>
          <w:rFonts w:cs="Arial" w:hint="cs"/>
          <w:rtl/>
        </w:rPr>
        <w:t>עיון</w:t>
      </w:r>
      <w:r w:rsidRPr="00305B1A">
        <w:rPr>
          <w:rFonts w:cs="Arial"/>
          <w:rtl/>
        </w:rPr>
        <w:t xml:space="preserve"> </w:t>
      </w:r>
      <w:r w:rsidRPr="00305B1A">
        <w:rPr>
          <w:rFonts w:cs="Arial" w:hint="cs"/>
          <w:rtl/>
        </w:rPr>
        <w:t>אחר</w:t>
      </w:r>
      <w:r>
        <w:rPr>
          <w:rFonts w:cs="Arial" w:hint="cs"/>
          <w:rtl/>
        </w:rPr>
        <w:t>,</w:t>
      </w:r>
      <w:r w:rsidRPr="00305B1A">
        <w:rPr>
          <w:rFonts w:cs="Arial"/>
          <w:rtl/>
        </w:rPr>
        <w:t xml:space="preserve"> </w:t>
      </w:r>
      <w:r w:rsidRPr="00305B1A">
        <w:rPr>
          <w:rFonts w:cs="Arial" w:hint="cs"/>
          <w:rtl/>
        </w:rPr>
        <w:t>שאפשר</w:t>
      </w:r>
      <w:r w:rsidRPr="00305B1A">
        <w:rPr>
          <w:rFonts w:cs="Arial"/>
          <w:rtl/>
        </w:rPr>
        <w:t xml:space="preserve"> </w:t>
      </w:r>
      <w:r w:rsidRPr="00305B1A">
        <w:rPr>
          <w:rFonts w:cs="Arial" w:hint="cs"/>
          <w:rtl/>
        </w:rPr>
        <w:t>לפרש</w:t>
      </w:r>
      <w:r w:rsidRPr="00305B1A">
        <w:rPr>
          <w:rFonts w:cs="Arial"/>
          <w:rtl/>
        </w:rPr>
        <w:t xml:space="preserve"> </w:t>
      </w:r>
      <w:r w:rsidRPr="00305B1A">
        <w:rPr>
          <w:rFonts w:cs="Arial" w:hint="cs"/>
          <w:rtl/>
        </w:rPr>
        <w:t>שזה</w:t>
      </w:r>
      <w:r w:rsidRPr="00305B1A">
        <w:rPr>
          <w:rFonts w:cs="Arial"/>
          <w:rtl/>
        </w:rPr>
        <w:t xml:space="preserve"> </w:t>
      </w:r>
      <w:r w:rsidRPr="00305B1A">
        <w:rPr>
          <w:rFonts w:cs="Arial" w:hint="cs"/>
          <w:rtl/>
        </w:rPr>
        <w:t>שכתב</w:t>
      </w:r>
      <w:r w:rsidRPr="00305B1A">
        <w:rPr>
          <w:rFonts w:cs="Arial"/>
          <w:rtl/>
        </w:rPr>
        <w:t xml:space="preserve"> </w:t>
      </w:r>
      <w:r w:rsidRPr="00305B1A">
        <w:rPr>
          <w:rFonts w:cs="Arial" w:hint="cs"/>
          <w:rtl/>
        </w:rPr>
        <w:t>דממתא</w:t>
      </w:r>
      <w:r w:rsidRPr="00305B1A">
        <w:rPr>
          <w:rFonts w:cs="Arial"/>
          <w:rtl/>
        </w:rPr>
        <w:t xml:space="preserve"> </w:t>
      </w:r>
      <w:r w:rsidRPr="00305B1A">
        <w:rPr>
          <w:rFonts w:cs="Arial" w:hint="cs"/>
          <w:rtl/>
        </w:rPr>
        <w:t>מיורקא</w:t>
      </w:r>
      <w:r>
        <w:rPr>
          <w:rFonts w:cs="Arial" w:hint="cs"/>
          <w:rtl/>
        </w:rPr>
        <w:t>,</w:t>
      </w:r>
      <w:r w:rsidRPr="00305B1A">
        <w:rPr>
          <w:rFonts w:cs="Arial"/>
          <w:rtl/>
        </w:rPr>
        <w:t xml:space="preserve"> </w:t>
      </w:r>
      <w:r w:rsidRPr="00305B1A">
        <w:rPr>
          <w:rFonts w:cs="Arial" w:hint="cs"/>
          <w:rtl/>
        </w:rPr>
        <w:t>כיוון</w:t>
      </w:r>
      <w:r w:rsidRPr="00305B1A">
        <w:rPr>
          <w:rFonts w:cs="Arial"/>
          <w:rtl/>
        </w:rPr>
        <w:t xml:space="preserve"> </w:t>
      </w:r>
      <w:r w:rsidRPr="00305B1A">
        <w:rPr>
          <w:rFonts w:cs="Arial" w:hint="cs"/>
          <w:rtl/>
        </w:rPr>
        <w:t>לומר</w:t>
      </w:r>
      <w:r w:rsidRPr="00305B1A">
        <w:rPr>
          <w:rFonts w:cs="Arial"/>
          <w:rtl/>
        </w:rPr>
        <w:t xml:space="preserve"> </w:t>
      </w:r>
      <w:r w:rsidRPr="00305B1A">
        <w:rPr>
          <w:rFonts w:cs="Arial" w:hint="cs"/>
          <w:rtl/>
        </w:rPr>
        <w:t>על</w:t>
      </w:r>
      <w:r w:rsidRPr="00305B1A">
        <w:rPr>
          <w:rFonts w:cs="Arial"/>
          <w:rtl/>
        </w:rPr>
        <w:t xml:space="preserve"> </w:t>
      </w:r>
      <w:r w:rsidRPr="00305B1A">
        <w:rPr>
          <w:rFonts w:cs="Arial" w:hint="cs"/>
          <w:rtl/>
        </w:rPr>
        <w:t>מקום</w:t>
      </w:r>
      <w:r w:rsidRPr="00305B1A">
        <w:rPr>
          <w:rFonts w:cs="Arial"/>
          <w:rtl/>
        </w:rPr>
        <w:t xml:space="preserve"> </w:t>
      </w:r>
      <w:r w:rsidRPr="00305B1A">
        <w:rPr>
          <w:rFonts w:cs="Arial" w:hint="cs"/>
          <w:rtl/>
        </w:rPr>
        <w:t>לידתו</w:t>
      </w:r>
      <w:r w:rsidRPr="00305B1A">
        <w:rPr>
          <w:rFonts w:cs="Arial"/>
          <w:rtl/>
        </w:rPr>
        <w:t xml:space="preserve"> </w:t>
      </w:r>
      <w:r w:rsidRPr="00305B1A">
        <w:rPr>
          <w:rFonts w:cs="Arial" w:hint="cs"/>
          <w:rtl/>
        </w:rPr>
        <w:t>שהיה</w:t>
      </w:r>
      <w:r w:rsidRPr="00305B1A">
        <w:rPr>
          <w:rFonts w:cs="Arial"/>
          <w:rtl/>
        </w:rPr>
        <w:t xml:space="preserve"> </w:t>
      </w:r>
      <w:r w:rsidRPr="00305B1A">
        <w:rPr>
          <w:rFonts w:cs="Arial" w:hint="cs"/>
          <w:rtl/>
        </w:rPr>
        <w:t>במיורקא</w:t>
      </w:r>
      <w:r w:rsidRPr="00305B1A">
        <w:rPr>
          <w:rFonts w:cs="Arial"/>
          <w:rtl/>
        </w:rPr>
        <w:t xml:space="preserve"> </w:t>
      </w:r>
      <w:r w:rsidRPr="00305B1A">
        <w:rPr>
          <w:rFonts w:cs="Arial" w:hint="cs"/>
          <w:rtl/>
        </w:rPr>
        <w:t>כמו</w:t>
      </w:r>
      <w:r w:rsidRPr="00305B1A">
        <w:rPr>
          <w:rFonts w:cs="Arial"/>
          <w:rtl/>
        </w:rPr>
        <w:t xml:space="preserve"> </w:t>
      </w:r>
      <w:r w:rsidRPr="00305B1A">
        <w:rPr>
          <w:rFonts w:cs="Arial" w:hint="cs"/>
          <w:rtl/>
        </w:rPr>
        <w:t>שבא</w:t>
      </w:r>
      <w:r w:rsidRPr="00305B1A">
        <w:rPr>
          <w:rFonts w:cs="Arial"/>
          <w:rtl/>
        </w:rPr>
        <w:t xml:space="preserve"> </w:t>
      </w:r>
      <w:r w:rsidRPr="00305B1A">
        <w:rPr>
          <w:rFonts w:cs="Arial" w:hint="cs"/>
          <w:rtl/>
        </w:rPr>
        <w:t>בלשון</w:t>
      </w:r>
      <w:r w:rsidRPr="00305B1A">
        <w:rPr>
          <w:rFonts w:cs="Arial"/>
          <w:rtl/>
        </w:rPr>
        <w:t xml:space="preserve"> </w:t>
      </w:r>
      <w:r w:rsidRPr="00305B1A">
        <w:rPr>
          <w:rFonts w:cs="Arial" w:hint="cs"/>
          <w:rtl/>
        </w:rPr>
        <w:t>השאלה</w:t>
      </w:r>
      <w:r>
        <w:rPr>
          <w:rFonts w:cs="Arial" w:hint="cs"/>
          <w:rtl/>
        </w:rPr>
        <w:t>.</w:t>
      </w:r>
      <w:r w:rsidRPr="00305B1A">
        <w:rPr>
          <w:rFonts w:cs="Arial"/>
          <w:rtl/>
        </w:rPr>
        <w:t xml:space="preserve"> </w:t>
      </w:r>
      <w:r w:rsidRPr="00305B1A">
        <w:rPr>
          <w:rFonts w:cs="Arial" w:hint="cs"/>
          <w:rtl/>
        </w:rPr>
        <w:t>וכיון</w:t>
      </w:r>
      <w:r w:rsidRPr="00305B1A">
        <w:rPr>
          <w:rFonts w:cs="Arial"/>
          <w:rtl/>
        </w:rPr>
        <w:t xml:space="preserve"> </w:t>
      </w:r>
      <w:r w:rsidRPr="00305B1A">
        <w:rPr>
          <w:rFonts w:cs="Arial" w:hint="cs"/>
          <w:rtl/>
        </w:rPr>
        <w:t>שכן</w:t>
      </w:r>
      <w:r w:rsidRPr="00305B1A">
        <w:rPr>
          <w:rFonts w:cs="Arial"/>
          <w:rtl/>
        </w:rPr>
        <w:t xml:space="preserve"> </w:t>
      </w:r>
      <w:r w:rsidRPr="00305B1A">
        <w:rPr>
          <w:rFonts w:cs="Arial" w:hint="cs"/>
          <w:rtl/>
        </w:rPr>
        <w:t>אפשר</w:t>
      </w:r>
      <w:r w:rsidRPr="00305B1A">
        <w:rPr>
          <w:rFonts w:cs="Arial"/>
          <w:rtl/>
        </w:rPr>
        <w:t xml:space="preserve"> </w:t>
      </w:r>
      <w:r w:rsidRPr="00305B1A">
        <w:rPr>
          <w:rFonts w:cs="Arial" w:hint="cs"/>
          <w:rtl/>
        </w:rPr>
        <w:t>שהוא</w:t>
      </w:r>
      <w:r w:rsidRPr="00305B1A">
        <w:rPr>
          <w:rFonts w:cs="Arial"/>
          <w:rtl/>
        </w:rPr>
        <w:t xml:space="preserve"> </w:t>
      </w:r>
      <w:r w:rsidRPr="00305B1A">
        <w:rPr>
          <w:rFonts w:cs="Arial" w:hint="cs"/>
          <w:rtl/>
        </w:rPr>
        <w:t>מספיק</w:t>
      </w:r>
      <w:r>
        <w:rPr>
          <w:rFonts w:cs="Arial" w:hint="cs"/>
          <w:rtl/>
        </w:rPr>
        <w:t>.</w:t>
      </w:r>
      <w:r w:rsidRPr="00305B1A">
        <w:rPr>
          <w:rFonts w:cs="Arial"/>
          <w:rtl/>
        </w:rPr>
        <w:t xml:space="preserve"> </w:t>
      </w:r>
      <w:r w:rsidRPr="00305B1A">
        <w:rPr>
          <w:rFonts w:cs="Arial" w:hint="cs"/>
          <w:rtl/>
        </w:rPr>
        <w:t>שהרשב</w:t>
      </w:r>
      <w:r w:rsidRPr="00305B1A">
        <w:rPr>
          <w:rFonts w:cs="Arial"/>
          <w:rtl/>
        </w:rPr>
        <w:t>"</w:t>
      </w:r>
      <w:r w:rsidRPr="00305B1A">
        <w:rPr>
          <w:rFonts w:cs="Arial" w:hint="cs"/>
          <w:rtl/>
        </w:rPr>
        <w:t>א</w:t>
      </w:r>
      <w:r w:rsidRPr="00305B1A">
        <w:rPr>
          <w:rFonts w:cs="Arial"/>
          <w:rtl/>
        </w:rPr>
        <w:t xml:space="preserve"> </w:t>
      </w:r>
      <w:r w:rsidRPr="00305B1A">
        <w:rPr>
          <w:rFonts w:cs="Arial" w:hint="cs"/>
          <w:rtl/>
        </w:rPr>
        <w:t>כתב</w:t>
      </w:r>
      <w:r w:rsidRPr="00305B1A">
        <w:rPr>
          <w:rFonts w:cs="Arial"/>
          <w:rtl/>
        </w:rPr>
        <w:t xml:space="preserve"> </w:t>
      </w:r>
      <w:r w:rsidRPr="00305B1A">
        <w:rPr>
          <w:rFonts w:cs="Arial" w:hint="cs"/>
          <w:rtl/>
        </w:rPr>
        <w:t>בתשובה</w:t>
      </w:r>
      <w:r w:rsidRPr="00305B1A">
        <w:rPr>
          <w:rFonts w:cs="Arial"/>
          <w:rtl/>
        </w:rPr>
        <w:t xml:space="preserve"> (</w:t>
      </w:r>
      <w:r w:rsidRPr="00305B1A">
        <w:rPr>
          <w:rFonts w:cs="Arial" w:hint="cs"/>
          <w:rtl/>
        </w:rPr>
        <w:t>ח</w:t>
      </w:r>
      <w:r w:rsidRPr="00305B1A">
        <w:rPr>
          <w:rFonts w:cs="Arial"/>
          <w:rtl/>
        </w:rPr>
        <w:t>"</w:t>
      </w:r>
      <w:r w:rsidRPr="00305B1A">
        <w:rPr>
          <w:rFonts w:cs="Arial" w:hint="cs"/>
          <w:rtl/>
        </w:rPr>
        <w:t>א</w:t>
      </w:r>
      <w:r w:rsidRPr="00305B1A">
        <w:rPr>
          <w:rFonts w:cs="Arial"/>
          <w:rtl/>
        </w:rPr>
        <w:t xml:space="preserve"> </w:t>
      </w:r>
      <w:r w:rsidRPr="00305B1A">
        <w:rPr>
          <w:rFonts w:cs="Arial" w:hint="cs"/>
          <w:rtl/>
        </w:rPr>
        <w:t>סי</w:t>
      </w:r>
      <w:r w:rsidRPr="00305B1A">
        <w:rPr>
          <w:rFonts w:cs="Arial"/>
          <w:rtl/>
        </w:rPr>
        <w:t xml:space="preserve">' </w:t>
      </w:r>
      <w:r w:rsidRPr="00305B1A">
        <w:rPr>
          <w:rFonts w:cs="Arial" w:hint="cs"/>
          <w:rtl/>
        </w:rPr>
        <w:t>אלף</w:t>
      </w:r>
      <w:r w:rsidRPr="00305B1A">
        <w:rPr>
          <w:rFonts w:cs="Arial"/>
          <w:rtl/>
        </w:rPr>
        <w:t xml:space="preserve"> </w:t>
      </w:r>
      <w:r w:rsidRPr="00305B1A">
        <w:rPr>
          <w:rFonts w:cs="Arial" w:hint="cs"/>
          <w:rtl/>
        </w:rPr>
        <w:t>רח</w:t>
      </w:r>
      <w:r w:rsidRPr="00305B1A">
        <w:rPr>
          <w:rFonts w:cs="Arial"/>
          <w:rtl/>
        </w:rPr>
        <w:t xml:space="preserve">) </w:t>
      </w:r>
      <w:r w:rsidRPr="00305B1A">
        <w:rPr>
          <w:rFonts w:cs="Arial" w:hint="cs"/>
          <w:rtl/>
        </w:rPr>
        <w:t>שמי</w:t>
      </w:r>
      <w:r w:rsidRPr="00305B1A">
        <w:rPr>
          <w:rFonts w:cs="Arial"/>
          <w:rtl/>
        </w:rPr>
        <w:t xml:space="preserve"> </w:t>
      </w:r>
      <w:r w:rsidRPr="00305B1A">
        <w:rPr>
          <w:rFonts w:cs="Arial" w:hint="cs"/>
          <w:rtl/>
        </w:rPr>
        <w:t>שנולד</w:t>
      </w:r>
      <w:r w:rsidRPr="00305B1A">
        <w:rPr>
          <w:rFonts w:cs="Arial"/>
          <w:rtl/>
        </w:rPr>
        <w:t xml:space="preserve"> </w:t>
      </w:r>
      <w:r w:rsidRPr="00305B1A">
        <w:rPr>
          <w:rFonts w:cs="Arial" w:hint="cs"/>
          <w:rtl/>
        </w:rPr>
        <w:t>במקום</w:t>
      </w:r>
      <w:r w:rsidRPr="00305B1A">
        <w:rPr>
          <w:rFonts w:cs="Arial"/>
          <w:rtl/>
        </w:rPr>
        <w:t xml:space="preserve"> </w:t>
      </w:r>
      <w:r w:rsidRPr="00305B1A">
        <w:rPr>
          <w:rFonts w:cs="Arial" w:hint="cs"/>
          <w:rtl/>
        </w:rPr>
        <w:t>אחד</w:t>
      </w:r>
      <w:r w:rsidRPr="00305B1A">
        <w:rPr>
          <w:rFonts w:cs="Arial"/>
          <w:rtl/>
        </w:rPr>
        <w:t xml:space="preserve"> </w:t>
      </w:r>
      <w:r w:rsidRPr="00305B1A">
        <w:rPr>
          <w:rFonts w:cs="Arial" w:hint="cs"/>
          <w:rtl/>
        </w:rPr>
        <w:t>ודר</w:t>
      </w:r>
      <w:r w:rsidRPr="00305B1A">
        <w:rPr>
          <w:rFonts w:cs="Arial"/>
          <w:rtl/>
        </w:rPr>
        <w:t xml:space="preserve"> </w:t>
      </w:r>
      <w:r w:rsidRPr="00305B1A">
        <w:rPr>
          <w:rFonts w:cs="Arial" w:hint="cs"/>
          <w:rtl/>
        </w:rPr>
        <w:t>במקום</w:t>
      </w:r>
      <w:r w:rsidRPr="00305B1A">
        <w:rPr>
          <w:rFonts w:cs="Arial"/>
          <w:rtl/>
        </w:rPr>
        <w:t xml:space="preserve"> </w:t>
      </w:r>
      <w:r w:rsidRPr="00305B1A">
        <w:rPr>
          <w:rFonts w:cs="Arial" w:hint="cs"/>
          <w:rtl/>
        </w:rPr>
        <w:t>אחר</w:t>
      </w:r>
      <w:r w:rsidRPr="00305B1A">
        <w:rPr>
          <w:rFonts w:cs="Arial"/>
          <w:rtl/>
        </w:rPr>
        <w:t xml:space="preserve"> </w:t>
      </w:r>
      <w:r w:rsidRPr="00305B1A">
        <w:rPr>
          <w:rFonts w:cs="Arial" w:hint="cs"/>
          <w:rtl/>
        </w:rPr>
        <w:t>שאם</w:t>
      </w:r>
      <w:r w:rsidRPr="00305B1A">
        <w:rPr>
          <w:rFonts w:cs="Arial"/>
          <w:rtl/>
        </w:rPr>
        <w:t xml:space="preserve"> </w:t>
      </w:r>
      <w:r w:rsidRPr="00305B1A">
        <w:rPr>
          <w:rFonts w:cs="Arial" w:hint="cs"/>
          <w:rtl/>
        </w:rPr>
        <w:t>הוא</w:t>
      </w:r>
      <w:r w:rsidRPr="00305B1A">
        <w:rPr>
          <w:rFonts w:cs="Arial"/>
          <w:rtl/>
        </w:rPr>
        <w:t xml:space="preserve"> </w:t>
      </w:r>
      <w:r w:rsidRPr="00305B1A">
        <w:rPr>
          <w:rFonts w:cs="Arial" w:hint="cs"/>
          <w:rtl/>
        </w:rPr>
        <w:t>כותב</w:t>
      </w:r>
      <w:r w:rsidRPr="00305B1A">
        <w:rPr>
          <w:rFonts w:cs="Arial"/>
          <w:rtl/>
        </w:rPr>
        <w:t xml:space="preserve"> </w:t>
      </w:r>
      <w:r w:rsidRPr="00305B1A">
        <w:rPr>
          <w:rFonts w:cs="Arial" w:hint="cs"/>
          <w:rtl/>
        </w:rPr>
        <w:t>גט</w:t>
      </w:r>
      <w:r w:rsidRPr="00305B1A">
        <w:rPr>
          <w:rFonts w:cs="Arial"/>
          <w:rtl/>
        </w:rPr>
        <w:t xml:space="preserve"> </w:t>
      </w:r>
      <w:r w:rsidRPr="00305B1A">
        <w:rPr>
          <w:rFonts w:cs="Arial" w:hint="cs"/>
          <w:rtl/>
        </w:rPr>
        <w:t>במקום</w:t>
      </w:r>
      <w:r w:rsidRPr="00305B1A">
        <w:rPr>
          <w:rFonts w:cs="Arial"/>
          <w:rtl/>
        </w:rPr>
        <w:t xml:space="preserve"> </w:t>
      </w:r>
      <w:r w:rsidRPr="00305B1A">
        <w:rPr>
          <w:rFonts w:cs="Arial" w:hint="cs"/>
          <w:rtl/>
        </w:rPr>
        <w:t>שנולד</w:t>
      </w:r>
      <w:r w:rsidRPr="00305B1A">
        <w:rPr>
          <w:rFonts w:cs="Arial"/>
          <w:rtl/>
        </w:rPr>
        <w:t xml:space="preserve"> </w:t>
      </w:r>
      <w:r w:rsidRPr="00305B1A">
        <w:rPr>
          <w:rFonts w:cs="Arial" w:hint="cs"/>
          <w:rtl/>
        </w:rPr>
        <w:t>די</w:t>
      </w:r>
      <w:r w:rsidRPr="00305B1A">
        <w:rPr>
          <w:rFonts w:cs="Arial"/>
          <w:rtl/>
        </w:rPr>
        <w:t xml:space="preserve"> </w:t>
      </w:r>
      <w:r w:rsidRPr="00305B1A">
        <w:rPr>
          <w:rFonts w:cs="Arial" w:hint="cs"/>
          <w:rtl/>
        </w:rPr>
        <w:t>שיכתוב</w:t>
      </w:r>
      <w:r w:rsidRPr="00305B1A">
        <w:rPr>
          <w:rFonts w:cs="Arial"/>
          <w:rtl/>
        </w:rPr>
        <w:t xml:space="preserve"> </w:t>
      </w:r>
      <w:r w:rsidRPr="00305B1A">
        <w:rPr>
          <w:rFonts w:cs="Arial" w:hint="cs"/>
          <w:rtl/>
        </w:rPr>
        <w:t>במקום</w:t>
      </w:r>
      <w:r w:rsidRPr="00305B1A">
        <w:rPr>
          <w:rFonts w:cs="Arial"/>
          <w:rtl/>
        </w:rPr>
        <w:t xml:space="preserve"> </w:t>
      </w:r>
      <w:r w:rsidRPr="00305B1A">
        <w:rPr>
          <w:rFonts w:cs="Arial" w:hint="cs"/>
          <w:rtl/>
        </w:rPr>
        <w:t>פלוני</w:t>
      </w:r>
      <w:r w:rsidRPr="00305B1A">
        <w:rPr>
          <w:rFonts w:cs="Arial"/>
          <w:rtl/>
        </w:rPr>
        <w:t xml:space="preserve"> </w:t>
      </w:r>
      <w:r w:rsidRPr="00305B1A">
        <w:rPr>
          <w:rFonts w:cs="Arial" w:hint="cs"/>
          <w:rtl/>
        </w:rPr>
        <w:t>שנולדתי</w:t>
      </w:r>
      <w:r w:rsidRPr="00305B1A">
        <w:rPr>
          <w:rFonts w:cs="Arial"/>
          <w:rtl/>
        </w:rPr>
        <w:t xml:space="preserve"> </w:t>
      </w:r>
      <w:r w:rsidRPr="00305B1A">
        <w:rPr>
          <w:rFonts w:cs="Arial" w:hint="cs"/>
          <w:rtl/>
        </w:rPr>
        <w:t>בו</w:t>
      </w:r>
      <w:r w:rsidRPr="00305B1A">
        <w:rPr>
          <w:rFonts w:cs="Arial"/>
          <w:rtl/>
        </w:rPr>
        <w:t xml:space="preserve"> </w:t>
      </w:r>
      <w:r w:rsidRPr="00305B1A">
        <w:rPr>
          <w:rFonts w:cs="Arial" w:hint="cs"/>
          <w:rtl/>
        </w:rPr>
        <w:t>אע</w:t>
      </w:r>
      <w:r>
        <w:rPr>
          <w:rFonts w:cs="Arial" w:hint="cs"/>
          <w:rtl/>
        </w:rPr>
        <w:t>"</w:t>
      </w:r>
      <w:r w:rsidRPr="00305B1A">
        <w:rPr>
          <w:rFonts w:cs="Arial" w:hint="cs"/>
          <w:rtl/>
        </w:rPr>
        <w:t>פ</w:t>
      </w:r>
      <w:r w:rsidRPr="00305B1A">
        <w:rPr>
          <w:rFonts w:cs="Arial"/>
          <w:rtl/>
        </w:rPr>
        <w:t xml:space="preserve"> </w:t>
      </w:r>
      <w:r w:rsidRPr="00305B1A">
        <w:rPr>
          <w:rFonts w:cs="Arial" w:hint="cs"/>
          <w:rtl/>
        </w:rPr>
        <w:t>שלא</w:t>
      </w:r>
      <w:r w:rsidRPr="00305B1A">
        <w:rPr>
          <w:rFonts w:cs="Arial"/>
          <w:rtl/>
        </w:rPr>
        <w:t xml:space="preserve"> </w:t>
      </w:r>
      <w:r w:rsidRPr="00305B1A">
        <w:rPr>
          <w:rFonts w:cs="Arial" w:hint="cs"/>
          <w:rtl/>
        </w:rPr>
        <w:t>כתב</w:t>
      </w:r>
      <w:r w:rsidRPr="00305B1A">
        <w:rPr>
          <w:rFonts w:cs="Arial"/>
          <w:rtl/>
        </w:rPr>
        <w:t xml:space="preserve"> </w:t>
      </w:r>
      <w:r w:rsidRPr="00305B1A">
        <w:rPr>
          <w:rFonts w:cs="Arial" w:hint="cs"/>
          <w:rtl/>
        </w:rPr>
        <w:t>מקום</w:t>
      </w:r>
      <w:r w:rsidRPr="00305B1A">
        <w:rPr>
          <w:rFonts w:cs="Arial"/>
          <w:rtl/>
        </w:rPr>
        <w:t xml:space="preserve"> </w:t>
      </w:r>
      <w:r w:rsidRPr="00305B1A">
        <w:rPr>
          <w:rFonts w:cs="Arial" w:hint="cs"/>
          <w:rtl/>
        </w:rPr>
        <w:t>דירתו</w:t>
      </w:r>
      <w:r>
        <w:rPr>
          <w:rFonts w:cs="Arial" w:hint="cs"/>
          <w:rtl/>
        </w:rPr>
        <w:t>.</w:t>
      </w:r>
      <w:r w:rsidRPr="00305B1A">
        <w:rPr>
          <w:rFonts w:cs="Arial"/>
          <w:rtl/>
        </w:rPr>
        <w:t xml:space="preserve"> </w:t>
      </w:r>
      <w:r w:rsidRPr="00305B1A">
        <w:rPr>
          <w:rFonts w:cs="Arial" w:hint="cs"/>
          <w:rtl/>
        </w:rPr>
        <w:t>ולמדה</w:t>
      </w:r>
      <w:r w:rsidRPr="00305B1A">
        <w:rPr>
          <w:rFonts w:cs="Arial"/>
          <w:rtl/>
        </w:rPr>
        <w:t xml:space="preserve"> </w:t>
      </w:r>
      <w:r w:rsidRPr="00305B1A">
        <w:rPr>
          <w:rFonts w:cs="Arial" w:hint="cs"/>
          <w:rtl/>
        </w:rPr>
        <w:t>הרב</w:t>
      </w:r>
      <w:r w:rsidRPr="00305B1A">
        <w:rPr>
          <w:rFonts w:cs="Arial"/>
          <w:rtl/>
        </w:rPr>
        <w:t xml:space="preserve"> </w:t>
      </w:r>
      <w:r w:rsidRPr="00305B1A">
        <w:rPr>
          <w:rFonts w:cs="Arial" w:hint="cs"/>
          <w:rtl/>
        </w:rPr>
        <w:t>מההיא</w:t>
      </w:r>
      <w:r w:rsidRPr="00305B1A">
        <w:rPr>
          <w:rFonts w:cs="Arial"/>
          <w:rtl/>
        </w:rPr>
        <w:t xml:space="preserve"> </w:t>
      </w:r>
      <w:r w:rsidRPr="00305B1A">
        <w:rPr>
          <w:rFonts w:cs="Arial" w:hint="cs"/>
          <w:rtl/>
        </w:rPr>
        <w:t>דתניא</w:t>
      </w:r>
      <w:r w:rsidRPr="00305B1A">
        <w:rPr>
          <w:rFonts w:cs="Arial"/>
          <w:rtl/>
        </w:rPr>
        <w:t xml:space="preserve"> </w:t>
      </w:r>
      <w:r w:rsidRPr="00305B1A">
        <w:rPr>
          <w:rFonts w:cs="Arial" w:hint="cs"/>
          <w:rtl/>
        </w:rPr>
        <w:t>בתוספתא</w:t>
      </w:r>
      <w:r w:rsidRPr="00305B1A">
        <w:rPr>
          <w:rFonts w:cs="Arial"/>
          <w:rtl/>
        </w:rPr>
        <w:t xml:space="preserve"> (</w:t>
      </w:r>
      <w:r w:rsidRPr="00305B1A">
        <w:rPr>
          <w:rFonts w:cs="Arial" w:hint="cs"/>
          <w:rtl/>
        </w:rPr>
        <w:t>גיטין</w:t>
      </w:r>
      <w:r w:rsidRPr="00305B1A">
        <w:rPr>
          <w:rFonts w:cs="Arial"/>
          <w:rtl/>
        </w:rPr>
        <w:t xml:space="preserve"> </w:t>
      </w:r>
      <w:r w:rsidRPr="00305B1A">
        <w:rPr>
          <w:rFonts w:cs="Arial" w:hint="cs"/>
          <w:rtl/>
        </w:rPr>
        <w:t>פ</w:t>
      </w:r>
      <w:r w:rsidRPr="00305B1A">
        <w:rPr>
          <w:rFonts w:cs="Arial"/>
          <w:rtl/>
        </w:rPr>
        <w:t>"</w:t>
      </w:r>
      <w:r w:rsidRPr="00305B1A">
        <w:rPr>
          <w:rFonts w:cs="Arial" w:hint="cs"/>
          <w:rtl/>
        </w:rPr>
        <w:t>ו</w:t>
      </w:r>
      <w:r w:rsidRPr="00305B1A">
        <w:rPr>
          <w:rFonts w:cs="Arial"/>
          <w:rtl/>
        </w:rPr>
        <w:t xml:space="preserve"> </w:t>
      </w:r>
      <w:r w:rsidRPr="00305B1A">
        <w:rPr>
          <w:rFonts w:cs="Arial" w:hint="cs"/>
          <w:rtl/>
        </w:rPr>
        <w:t>ה</w:t>
      </w:r>
      <w:r w:rsidRPr="00305B1A">
        <w:rPr>
          <w:rFonts w:cs="Arial"/>
          <w:rtl/>
        </w:rPr>
        <w:t>"</w:t>
      </w:r>
      <w:r w:rsidRPr="00305B1A">
        <w:rPr>
          <w:rFonts w:cs="Arial" w:hint="cs"/>
          <w:rtl/>
        </w:rPr>
        <w:t>ז</w:t>
      </w:r>
      <w:r w:rsidRPr="00305B1A">
        <w:rPr>
          <w:rFonts w:cs="Arial"/>
          <w:rtl/>
        </w:rPr>
        <w:t xml:space="preserve">) </w:t>
      </w:r>
      <w:r w:rsidRPr="00305B1A">
        <w:rPr>
          <w:rFonts w:cs="Arial" w:hint="cs"/>
          <w:rtl/>
        </w:rPr>
        <w:t>גבי</w:t>
      </w:r>
      <w:r w:rsidRPr="00305B1A">
        <w:rPr>
          <w:rFonts w:cs="Arial"/>
          <w:rtl/>
        </w:rPr>
        <w:t xml:space="preserve"> </w:t>
      </w:r>
      <w:r w:rsidRPr="00305B1A">
        <w:rPr>
          <w:rFonts w:cs="Arial" w:hint="cs"/>
          <w:rtl/>
        </w:rPr>
        <w:t>מי</w:t>
      </w:r>
      <w:r w:rsidRPr="00305B1A">
        <w:rPr>
          <w:rFonts w:cs="Arial"/>
          <w:rtl/>
        </w:rPr>
        <w:t xml:space="preserve"> </w:t>
      </w:r>
      <w:r w:rsidRPr="00305B1A">
        <w:rPr>
          <w:rFonts w:cs="Arial" w:hint="cs"/>
          <w:rtl/>
        </w:rPr>
        <w:t>שהיו</w:t>
      </w:r>
      <w:r w:rsidRPr="00305B1A">
        <w:rPr>
          <w:rFonts w:cs="Arial"/>
          <w:rtl/>
        </w:rPr>
        <w:t xml:space="preserve"> </w:t>
      </w:r>
      <w:r w:rsidRPr="00305B1A">
        <w:rPr>
          <w:rFonts w:cs="Arial" w:hint="cs"/>
          <w:rtl/>
        </w:rPr>
        <w:t>לו</w:t>
      </w:r>
      <w:r w:rsidRPr="00305B1A">
        <w:rPr>
          <w:rFonts w:cs="Arial"/>
          <w:rtl/>
        </w:rPr>
        <w:t xml:space="preserve"> </w:t>
      </w:r>
      <w:r w:rsidRPr="00305B1A">
        <w:rPr>
          <w:rFonts w:cs="Arial" w:hint="cs"/>
          <w:rtl/>
        </w:rPr>
        <w:t>שני</w:t>
      </w:r>
      <w:r w:rsidRPr="00305B1A">
        <w:rPr>
          <w:rFonts w:cs="Arial"/>
          <w:rtl/>
        </w:rPr>
        <w:t xml:space="preserve"> </w:t>
      </w:r>
      <w:r w:rsidRPr="00305B1A">
        <w:rPr>
          <w:rFonts w:cs="Arial" w:hint="cs"/>
          <w:rtl/>
        </w:rPr>
        <w:t>שמות</w:t>
      </w:r>
      <w:r w:rsidRPr="00305B1A">
        <w:rPr>
          <w:rFonts w:cs="Arial"/>
          <w:rtl/>
        </w:rPr>
        <w:t xml:space="preserve"> </w:t>
      </w:r>
      <w:r w:rsidRPr="00305B1A">
        <w:rPr>
          <w:rFonts w:cs="Arial" w:hint="cs"/>
          <w:rtl/>
        </w:rPr>
        <w:t>אם</w:t>
      </w:r>
      <w:r w:rsidRPr="00305B1A">
        <w:rPr>
          <w:rFonts w:cs="Arial"/>
          <w:rtl/>
        </w:rPr>
        <w:t xml:space="preserve"> </w:t>
      </w:r>
      <w:r w:rsidRPr="00305B1A">
        <w:rPr>
          <w:rFonts w:cs="Arial" w:hint="cs"/>
          <w:rtl/>
        </w:rPr>
        <w:t>היה</w:t>
      </w:r>
      <w:r w:rsidRPr="00305B1A">
        <w:rPr>
          <w:rFonts w:cs="Arial"/>
          <w:rtl/>
        </w:rPr>
        <w:t xml:space="preserve"> </w:t>
      </w:r>
      <w:r w:rsidRPr="00305B1A">
        <w:rPr>
          <w:rFonts w:cs="Arial" w:hint="cs"/>
          <w:rtl/>
        </w:rPr>
        <w:t>במקום</w:t>
      </w:r>
      <w:r w:rsidRPr="00305B1A">
        <w:rPr>
          <w:rFonts w:cs="Arial"/>
          <w:rtl/>
        </w:rPr>
        <w:t xml:space="preserve"> </w:t>
      </w:r>
      <w:r w:rsidRPr="00305B1A">
        <w:rPr>
          <w:rFonts w:cs="Arial" w:hint="cs"/>
          <w:rtl/>
        </w:rPr>
        <w:t>אחד</w:t>
      </w:r>
      <w:r w:rsidRPr="00305B1A">
        <w:rPr>
          <w:rFonts w:cs="Arial"/>
          <w:rtl/>
        </w:rPr>
        <w:t xml:space="preserve"> </w:t>
      </w:r>
      <w:r w:rsidRPr="00305B1A">
        <w:rPr>
          <w:rFonts w:cs="Arial" w:hint="cs"/>
          <w:rtl/>
        </w:rPr>
        <w:t>וכתב</w:t>
      </w:r>
      <w:r w:rsidRPr="00305B1A">
        <w:rPr>
          <w:rFonts w:cs="Arial"/>
          <w:rtl/>
        </w:rPr>
        <w:t xml:space="preserve"> </w:t>
      </w:r>
      <w:r w:rsidRPr="00305B1A">
        <w:rPr>
          <w:rFonts w:cs="Arial" w:hint="cs"/>
          <w:rtl/>
        </w:rPr>
        <w:t>לשם</w:t>
      </w:r>
      <w:r w:rsidRPr="00305B1A">
        <w:rPr>
          <w:rFonts w:cs="Arial"/>
          <w:rtl/>
        </w:rPr>
        <w:t xml:space="preserve"> </w:t>
      </w:r>
      <w:r w:rsidRPr="00305B1A">
        <w:rPr>
          <w:rFonts w:cs="Arial" w:hint="cs"/>
          <w:rtl/>
        </w:rPr>
        <w:t>אחד</w:t>
      </w:r>
      <w:r w:rsidRPr="00305B1A">
        <w:rPr>
          <w:rFonts w:cs="Arial"/>
          <w:rtl/>
        </w:rPr>
        <w:t xml:space="preserve"> </w:t>
      </w:r>
      <w:r w:rsidRPr="00305B1A">
        <w:rPr>
          <w:rFonts w:cs="Arial" w:hint="cs"/>
          <w:rtl/>
        </w:rPr>
        <w:t>מהם</w:t>
      </w:r>
      <w:r w:rsidRPr="00305B1A">
        <w:rPr>
          <w:rFonts w:cs="Arial"/>
          <w:rtl/>
        </w:rPr>
        <w:t xml:space="preserve"> </w:t>
      </w:r>
      <w:r w:rsidRPr="00305B1A">
        <w:rPr>
          <w:rFonts w:cs="Arial" w:hint="cs"/>
          <w:rtl/>
        </w:rPr>
        <w:t>כשר</w:t>
      </w:r>
      <w:r>
        <w:rPr>
          <w:rFonts w:cs="Arial" w:hint="cs"/>
          <w:rtl/>
        </w:rPr>
        <w:t>.</w:t>
      </w:r>
      <w:r w:rsidRPr="00305B1A">
        <w:rPr>
          <w:rFonts w:cs="Arial"/>
          <w:rtl/>
        </w:rPr>
        <w:t xml:space="preserve"> </w:t>
      </w:r>
      <w:r w:rsidRPr="00305B1A">
        <w:rPr>
          <w:rFonts w:cs="Arial" w:hint="cs"/>
          <w:rtl/>
        </w:rPr>
        <w:t>וסבר</w:t>
      </w:r>
      <w:r w:rsidRPr="00305B1A">
        <w:rPr>
          <w:rFonts w:cs="Arial"/>
          <w:rtl/>
        </w:rPr>
        <w:t xml:space="preserve"> </w:t>
      </w:r>
      <w:r w:rsidRPr="00305B1A">
        <w:rPr>
          <w:rFonts w:cs="Arial" w:hint="cs"/>
          <w:rtl/>
        </w:rPr>
        <w:t>הרב</w:t>
      </w:r>
      <w:r w:rsidRPr="00305B1A">
        <w:rPr>
          <w:rFonts w:cs="Arial"/>
          <w:rtl/>
        </w:rPr>
        <w:t xml:space="preserve"> </w:t>
      </w:r>
      <w:r w:rsidRPr="00305B1A">
        <w:rPr>
          <w:rFonts w:cs="Arial" w:hint="cs"/>
          <w:rtl/>
        </w:rPr>
        <w:t>ז</w:t>
      </w:r>
      <w:r w:rsidRPr="00305B1A">
        <w:rPr>
          <w:rFonts w:cs="Arial"/>
          <w:rtl/>
        </w:rPr>
        <w:t>"</w:t>
      </w:r>
      <w:r w:rsidRPr="00305B1A">
        <w:rPr>
          <w:rFonts w:cs="Arial" w:hint="cs"/>
          <w:rtl/>
        </w:rPr>
        <w:t>ל</w:t>
      </w:r>
      <w:r w:rsidRPr="00305B1A">
        <w:rPr>
          <w:rFonts w:cs="Arial"/>
          <w:rtl/>
        </w:rPr>
        <w:t xml:space="preserve"> </w:t>
      </w:r>
      <w:r w:rsidRPr="00305B1A">
        <w:rPr>
          <w:rFonts w:cs="Arial" w:hint="cs"/>
          <w:rtl/>
        </w:rPr>
        <w:t>ששני</w:t>
      </w:r>
      <w:r w:rsidRPr="00305B1A">
        <w:rPr>
          <w:rFonts w:cs="Arial"/>
          <w:rtl/>
        </w:rPr>
        <w:t xml:space="preserve"> </w:t>
      </w:r>
      <w:r w:rsidRPr="00305B1A">
        <w:rPr>
          <w:rFonts w:cs="Arial" w:hint="cs"/>
          <w:rtl/>
        </w:rPr>
        <w:t>מקומות</w:t>
      </w:r>
      <w:r w:rsidRPr="00305B1A">
        <w:rPr>
          <w:rFonts w:cs="Arial"/>
          <w:rtl/>
        </w:rPr>
        <w:t xml:space="preserve"> </w:t>
      </w:r>
      <w:r w:rsidRPr="00305B1A">
        <w:rPr>
          <w:rFonts w:cs="Arial" w:hint="cs"/>
          <w:rtl/>
        </w:rPr>
        <w:t>הרי</w:t>
      </w:r>
      <w:r w:rsidRPr="00305B1A">
        <w:rPr>
          <w:rFonts w:cs="Arial"/>
          <w:rtl/>
        </w:rPr>
        <w:t xml:space="preserve"> </w:t>
      </w:r>
      <w:r w:rsidRPr="00305B1A">
        <w:rPr>
          <w:rFonts w:cs="Arial" w:hint="cs"/>
          <w:rtl/>
        </w:rPr>
        <w:t>הן</w:t>
      </w:r>
      <w:r w:rsidRPr="00305B1A">
        <w:rPr>
          <w:rFonts w:cs="Arial"/>
          <w:rtl/>
        </w:rPr>
        <w:t xml:space="preserve"> </w:t>
      </w:r>
      <w:r w:rsidRPr="00305B1A">
        <w:rPr>
          <w:rFonts w:cs="Arial" w:hint="cs"/>
          <w:rtl/>
        </w:rPr>
        <w:t>כשני</w:t>
      </w:r>
      <w:r w:rsidRPr="00305B1A">
        <w:rPr>
          <w:rFonts w:cs="Arial"/>
          <w:rtl/>
        </w:rPr>
        <w:t xml:space="preserve"> </w:t>
      </w:r>
      <w:r w:rsidRPr="00305B1A">
        <w:rPr>
          <w:rFonts w:cs="Arial" w:hint="cs"/>
          <w:rtl/>
        </w:rPr>
        <w:t>שמות</w:t>
      </w:r>
      <w:r>
        <w:rPr>
          <w:rFonts w:cs="Arial" w:hint="cs"/>
          <w:rtl/>
        </w:rPr>
        <w:t>.</w:t>
      </w:r>
      <w:r w:rsidRPr="00305B1A">
        <w:rPr>
          <w:rFonts w:cs="Arial"/>
          <w:rtl/>
        </w:rPr>
        <w:t xml:space="preserve"> </w:t>
      </w:r>
      <w:r w:rsidRPr="00305B1A">
        <w:rPr>
          <w:rFonts w:cs="Arial" w:hint="cs"/>
          <w:rtl/>
        </w:rPr>
        <w:t>וכיון</w:t>
      </w:r>
      <w:r w:rsidRPr="00305B1A">
        <w:rPr>
          <w:rFonts w:cs="Arial"/>
          <w:rtl/>
        </w:rPr>
        <w:t xml:space="preserve"> </w:t>
      </w:r>
      <w:r w:rsidRPr="00305B1A">
        <w:rPr>
          <w:rFonts w:cs="Arial" w:hint="cs"/>
          <w:rtl/>
        </w:rPr>
        <w:t>דבדיעבד</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אחד</w:t>
      </w:r>
      <w:r w:rsidRPr="00305B1A">
        <w:rPr>
          <w:rFonts w:cs="Arial"/>
          <w:rtl/>
        </w:rPr>
        <w:t xml:space="preserve"> </w:t>
      </w:r>
      <w:r w:rsidRPr="00305B1A">
        <w:rPr>
          <w:rFonts w:cs="Arial" w:hint="cs"/>
          <w:rtl/>
        </w:rPr>
        <w:t>מספיק</w:t>
      </w:r>
      <w:r>
        <w:rPr>
          <w:rFonts w:cs="Arial" w:hint="cs"/>
          <w:rtl/>
        </w:rPr>
        <w:t>,</w:t>
      </w:r>
      <w:r w:rsidRPr="00305B1A">
        <w:rPr>
          <w:rFonts w:cs="Arial"/>
          <w:rtl/>
        </w:rPr>
        <w:t xml:space="preserve"> </w:t>
      </w:r>
      <w:r w:rsidRPr="00305B1A">
        <w:rPr>
          <w:rFonts w:cs="Arial" w:hint="cs"/>
          <w:rtl/>
        </w:rPr>
        <w:t>אף</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w:t>
      </w:r>
      <w:r w:rsidRPr="00305B1A">
        <w:rPr>
          <w:rFonts w:cs="Arial"/>
          <w:rtl/>
        </w:rPr>
        <w:t xml:space="preserve"> </w:t>
      </w:r>
      <w:r w:rsidRPr="00305B1A">
        <w:rPr>
          <w:rFonts w:cs="Arial" w:hint="cs"/>
          <w:rtl/>
        </w:rPr>
        <w:t>אחת</w:t>
      </w:r>
      <w:r w:rsidRPr="00305B1A">
        <w:rPr>
          <w:rFonts w:cs="Arial"/>
          <w:rtl/>
        </w:rPr>
        <w:t xml:space="preserve"> </w:t>
      </w:r>
      <w:r w:rsidRPr="00305B1A">
        <w:rPr>
          <w:rFonts w:cs="Arial" w:hint="cs"/>
          <w:rtl/>
        </w:rPr>
        <w:t>מספיק</w:t>
      </w:r>
      <w:r>
        <w:rPr>
          <w:rFonts w:cs="Arial" w:hint="cs"/>
          <w:rtl/>
        </w:rPr>
        <w:t>.</w:t>
      </w:r>
      <w:r w:rsidRPr="00305B1A">
        <w:rPr>
          <w:rFonts w:cs="Arial"/>
          <w:rtl/>
        </w:rPr>
        <w:t xml:space="preserve"> </w:t>
      </w:r>
      <w:r w:rsidRPr="00305B1A">
        <w:rPr>
          <w:rFonts w:cs="Arial" w:hint="cs"/>
          <w:rtl/>
        </w:rPr>
        <w:t>וכיון</w:t>
      </w:r>
      <w:r w:rsidRPr="00305B1A">
        <w:rPr>
          <w:rFonts w:cs="Arial"/>
          <w:rtl/>
        </w:rPr>
        <w:t xml:space="preserve"> </w:t>
      </w:r>
      <w:r w:rsidRPr="00305B1A">
        <w:rPr>
          <w:rFonts w:cs="Arial" w:hint="cs"/>
          <w:rtl/>
        </w:rPr>
        <w:t>שכן</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w:t>
      </w:r>
      <w:r w:rsidRPr="00305B1A">
        <w:rPr>
          <w:rFonts w:cs="Arial"/>
          <w:rtl/>
        </w:rPr>
        <w:t xml:space="preserve"> </w:t>
      </w:r>
      <w:r w:rsidRPr="00305B1A">
        <w:rPr>
          <w:rFonts w:cs="Arial" w:hint="cs"/>
          <w:rtl/>
        </w:rPr>
        <w:t>שנולד</w:t>
      </w:r>
      <w:r w:rsidRPr="00305B1A">
        <w:rPr>
          <w:rFonts w:cs="Arial"/>
          <w:rtl/>
        </w:rPr>
        <w:t xml:space="preserve"> </w:t>
      </w:r>
      <w:r w:rsidRPr="00305B1A">
        <w:rPr>
          <w:rFonts w:cs="Arial" w:hint="cs"/>
          <w:rtl/>
        </w:rPr>
        <w:t>בו</w:t>
      </w:r>
      <w:r w:rsidRPr="00305B1A">
        <w:rPr>
          <w:rFonts w:cs="Arial"/>
          <w:rtl/>
        </w:rPr>
        <w:t xml:space="preserve"> </w:t>
      </w:r>
      <w:r w:rsidRPr="00305B1A">
        <w:rPr>
          <w:rFonts w:cs="Arial" w:hint="cs"/>
          <w:rtl/>
        </w:rPr>
        <w:t>מספיק</w:t>
      </w:r>
      <w:r w:rsidRPr="00305B1A">
        <w:rPr>
          <w:rFonts w:cs="Arial"/>
          <w:rtl/>
        </w:rPr>
        <w:t xml:space="preserve"> </w:t>
      </w:r>
      <w:r w:rsidRPr="00305B1A">
        <w:rPr>
          <w:rFonts w:cs="Arial" w:hint="cs"/>
          <w:rtl/>
        </w:rPr>
        <w:t>לשם</w:t>
      </w:r>
      <w:r w:rsidRPr="00305B1A">
        <w:rPr>
          <w:rFonts w:cs="Arial"/>
          <w:rtl/>
        </w:rPr>
        <w:t xml:space="preserve"> </w:t>
      </w:r>
      <w:r w:rsidRPr="00305B1A">
        <w:rPr>
          <w:rFonts w:cs="Arial" w:hint="cs"/>
          <w:rtl/>
        </w:rPr>
        <w:t>עירו</w:t>
      </w:r>
      <w:r>
        <w:rPr>
          <w:rFonts w:cs="Arial" w:hint="cs"/>
          <w:rtl/>
        </w:rPr>
        <w:t>,</w:t>
      </w:r>
      <w:r w:rsidRPr="00305B1A">
        <w:rPr>
          <w:rFonts w:cs="Arial"/>
          <w:rtl/>
        </w:rPr>
        <w:t xml:space="preserve"> </w:t>
      </w:r>
      <w:r w:rsidRPr="00305B1A">
        <w:rPr>
          <w:rFonts w:cs="Arial" w:hint="cs"/>
          <w:rtl/>
        </w:rPr>
        <w:t>אלו</w:t>
      </w:r>
      <w:r w:rsidRPr="00305B1A">
        <w:rPr>
          <w:rFonts w:cs="Arial"/>
          <w:rtl/>
        </w:rPr>
        <w:t xml:space="preserve"> </w:t>
      </w:r>
      <w:r w:rsidRPr="00305B1A">
        <w:rPr>
          <w:rFonts w:cs="Arial" w:hint="cs"/>
          <w:rtl/>
        </w:rPr>
        <w:t>דבריו</w:t>
      </w:r>
      <w:r w:rsidRPr="00305B1A">
        <w:rPr>
          <w:rFonts w:cs="Arial"/>
          <w:rtl/>
        </w:rPr>
        <w:t xml:space="preserve"> </w:t>
      </w:r>
      <w:r w:rsidRPr="00305B1A">
        <w:rPr>
          <w:rFonts w:cs="Arial" w:hint="cs"/>
          <w:rtl/>
        </w:rPr>
        <w:t>ז</w:t>
      </w:r>
      <w:r w:rsidRPr="00305B1A">
        <w:rPr>
          <w:rFonts w:cs="Arial"/>
          <w:rtl/>
        </w:rPr>
        <w:t>"</w:t>
      </w:r>
      <w:r w:rsidRPr="00305B1A">
        <w:rPr>
          <w:rFonts w:cs="Arial" w:hint="cs"/>
          <w:rtl/>
        </w:rPr>
        <w:t>ל</w:t>
      </w:r>
      <w:r>
        <w:rPr>
          <w:rFonts w:cs="Arial" w:hint="cs"/>
          <w:rtl/>
        </w:rPr>
        <w:t>.</w:t>
      </w:r>
      <w:r w:rsidRPr="00305B1A">
        <w:rPr>
          <w:rFonts w:cs="Arial"/>
          <w:rtl/>
        </w:rPr>
        <w:t xml:space="preserve"> </w:t>
      </w:r>
      <w:r w:rsidRPr="00305B1A">
        <w:rPr>
          <w:rFonts w:cs="Arial" w:hint="cs"/>
          <w:rtl/>
        </w:rPr>
        <w:t>ואינן</w:t>
      </w:r>
      <w:r w:rsidRPr="00305B1A">
        <w:rPr>
          <w:rFonts w:cs="Arial"/>
          <w:rtl/>
        </w:rPr>
        <w:t xml:space="preserve"> </w:t>
      </w:r>
      <w:r w:rsidRPr="00305B1A">
        <w:rPr>
          <w:rFonts w:cs="Arial" w:hint="cs"/>
          <w:rtl/>
        </w:rPr>
        <w:t>מתבררין</w:t>
      </w:r>
      <w:r w:rsidRPr="00305B1A">
        <w:rPr>
          <w:rFonts w:cs="Arial"/>
          <w:rtl/>
        </w:rPr>
        <w:t xml:space="preserve"> </w:t>
      </w:r>
      <w:r w:rsidRPr="00305B1A">
        <w:rPr>
          <w:rFonts w:cs="Arial" w:hint="cs"/>
          <w:rtl/>
        </w:rPr>
        <w:t>אצלי</w:t>
      </w:r>
      <w:r w:rsidRPr="00305B1A">
        <w:rPr>
          <w:rFonts w:cs="Arial"/>
          <w:rtl/>
        </w:rPr>
        <w:t xml:space="preserve"> </w:t>
      </w:r>
      <w:r w:rsidRPr="00305B1A">
        <w:rPr>
          <w:rFonts w:cs="Arial" w:hint="cs"/>
          <w:rtl/>
        </w:rPr>
        <w:t>כלל</w:t>
      </w:r>
      <w:r>
        <w:rPr>
          <w:rFonts w:cs="Arial" w:hint="cs"/>
          <w:rtl/>
        </w:rPr>
        <w:t>,</w:t>
      </w:r>
      <w:r w:rsidRPr="00305B1A">
        <w:rPr>
          <w:rFonts w:cs="Arial"/>
          <w:rtl/>
        </w:rPr>
        <w:t xml:space="preserve"> </w:t>
      </w:r>
      <w:r w:rsidRPr="00305B1A">
        <w:rPr>
          <w:rFonts w:cs="Arial" w:hint="cs"/>
          <w:rtl/>
        </w:rPr>
        <w:t>לפי</w:t>
      </w:r>
      <w:r w:rsidRPr="00305B1A">
        <w:rPr>
          <w:rFonts w:cs="Arial"/>
          <w:rtl/>
        </w:rPr>
        <w:t xml:space="preserve"> </w:t>
      </w:r>
      <w:r w:rsidRPr="00305B1A">
        <w:rPr>
          <w:rFonts w:cs="Arial" w:hint="cs"/>
          <w:rtl/>
        </w:rPr>
        <w:t>שאין</w:t>
      </w:r>
      <w:r w:rsidRPr="00305B1A">
        <w:rPr>
          <w:rFonts w:cs="Arial"/>
          <w:rtl/>
        </w:rPr>
        <w:t xml:space="preserve"> </w:t>
      </w:r>
      <w:r w:rsidRPr="00305B1A">
        <w:rPr>
          <w:rFonts w:cs="Arial" w:hint="cs"/>
          <w:rtl/>
        </w:rPr>
        <w:t>השמות</w:t>
      </w:r>
      <w:r w:rsidRPr="00305B1A">
        <w:rPr>
          <w:rFonts w:cs="Arial"/>
          <w:rtl/>
        </w:rPr>
        <w:t xml:space="preserve"> </w:t>
      </w:r>
      <w:r w:rsidRPr="00305B1A">
        <w:rPr>
          <w:rFonts w:cs="Arial" w:hint="cs"/>
          <w:rtl/>
        </w:rPr>
        <w:t>דומין</w:t>
      </w:r>
      <w:r w:rsidRPr="00305B1A">
        <w:rPr>
          <w:rFonts w:cs="Arial"/>
          <w:rtl/>
        </w:rPr>
        <w:t xml:space="preserve"> </w:t>
      </w:r>
      <w:r w:rsidRPr="00305B1A">
        <w:rPr>
          <w:rFonts w:cs="Arial" w:hint="cs"/>
          <w:rtl/>
        </w:rPr>
        <w:t>למקומות</w:t>
      </w:r>
      <w:r w:rsidRPr="00305B1A">
        <w:rPr>
          <w:rFonts w:cs="Arial"/>
          <w:rtl/>
        </w:rPr>
        <w:t xml:space="preserve"> </w:t>
      </w:r>
      <w:r w:rsidRPr="00305B1A">
        <w:rPr>
          <w:rFonts w:cs="Arial" w:hint="cs"/>
          <w:rtl/>
        </w:rPr>
        <w:t>כלל</w:t>
      </w:r>
      <w:r>
        <w:rPr>
          <w:rFonts w:cs="Arial" w:hint="cs"/>
          <w:rtl/>
        </w:rPr>
        <w:t>.</w:t>
      </w:r>
      <w:r w:rsidRPr="00305B1A">
        <w:rPr>
          <w:rFonts w:cs="Arial"/>
          <w:rtl/>
        </w:rPr>
        <w:t xml:space="preserve"> </w:t>
      </w:r>
      <w:r w:rsidRPr="00305B1A">
        <w:rPr>
          <w:rFonts w:cs="Arial" w:hint="cs"/>
          <w:rtl/>
        </w:rPr>
        <w:t>לפי</w:t>
      </w:r>
      <w:r w:rsidRPr="00305B1A">
        <w:rPr>
          <w:rFonts w:cs="Arial"/>
          <w:rtl/>
        </w:rPr>
        <w:t xml:space="preserve"> </w:t>
      </w:r>
      <w:r w:rsidRPr="00305B1A">
        <w:rPr>
          <w:rFonts w:cs="Arial" w:hint="cs"/>
          <w:rtl/>
        </w:rPr>
        <w:t>שמי</w:t>
      </w:r>
      <w:r w:rsidRPr="00305B1A">
        <w:rPr>
          <w:rFonts w:cs="Arial"/>
          <w:rtl/>
        </w:rPr>
        <w:t xml:space="preserve"> </w:t>
      </w:r>
      <w:r w:rsidRPr="00305B1A">
        <w:rPr>
          <w:rFonts w:cs="Arial" w:hint="cs"/>
          <w:rtl/>
        </w:rPr>
        <w:t>שיש</w:t>
      </w:r>
      <w:r w:rsidRPr="00305B1A">
        <w:rPr>
          <w:rFonts w:cs="Arial"/>
          <w:rtl/>
        </w:rPr>
        <w:t xml:space="preserve"> </w:t>
      </w:r>
      <w:r w:rsidRPr="00305B1A">
        <w:rPr>
          <w:rFonts w:cs="Arial" w:hint="cs"/>
          <w:rtl/>
        </w:rPr>
        <w:t>לו</w:t>
      </w:r>
      <w:r w:rsidRPr="00305B1A">
        <w:rPr>
          <w:rFonts w:cs="Arial"/>
          <w:rtl/>
        </w:rPr>
        <w:t xml:space="preserve"> </w:t>
      </w:r>
      <w:r>
        <w:rPr>
          <w:rFonts w:cs="Arial" w:hint="cs"/>
          <w:rtl/>
        </w:rPr>
        <w:t>שני שמות</w:t>
      </w:r>
      <w:r w:rsidRPr="00305B1A">
        <w:rPr>
          <w:rFonts w:cs="Arial"/>
          <w:rtl/>
        </w:rPr>
        <w:t xml:space="preserve"> </w:t>
      </w:r>
      <w:r w:rsidRPr="00305B1A">
        <w:rPr>
          <w:rFonts w:cs="Arial" w:hint="cs"/>
          <w:rtl/>
        </w:rPr>
        <w:t>כל</w:t>
      </w:r>
      <w:r w:rsidRPr="00305B1A">
        <w:rPr>
          <w:rFonts w:cs="Arial"/>
          <w:rtl/>
        </w:rPr>
        <w:t xml:space="preserve"> </w:t>
      </w:r>
      <w:r w:rsidRPr="00305B1A">
        <w:rPr>
          <w:rFonts w:cs="Arial" w:hint="cs"/>
          <w:rtl/>
        </w:rPr>
        <w:t>אחד</w:t>
      </w:r>
      <w:r w:rsidRPr="00305B1A">
        <w:rPr>
          <w:rFonts w:cs="Arial"/>
          <w:rtl/>
        </w:rPr>
        <w:t xml:space="preserve"> </w:t>
      </w:r>
      <w:r w:rsidRPr="00305B1A">
        <w:rPr>
          <w:rFonts w:cs="Arial" w:hint="cs"/>
          <w:rtl/>
        </w:rPr>
        <w:t>מהם</w:t>
      </w:r>
      <w:r w:rsidRPr="00305B1A">
        <w:rPr>
          <w:rFonts w:cs="Arial"/>
          <w:rtl/>
        </w:rPr>
        <w:t xml:space="preserve"> </w:t>
      </w:r>
      <w:r w:rsidRPr="00305B1A">
        <w:rPr>
          <w:rFonts w:cs="Arial" w:hint="cs"/>
          <w:rtl/>
        </w:rPr>
        <w:t>הוא</w:t>
      </w:r>
      <w:r w:rsidRPr="00305B1A">
        <w:rPr>
          <w:rFonts w:cs="Arial"/>
          <w:rtl/>
        </w:rPr>
        <w:t xml:space="preserve"> </w:t>
      </w:r>
      <w:r w:rsidRPr="00305B1A">
        <w:rPr>
          <w:rFonts w:cs="Arial" w:hint="cs"/>
          <w:rtl/>
        </w:rPr>
        <w:t>שמו</w:t>
      </w:r>
      <w:r>
        <w:rPr>
          <w:rFonts w:cs="Arial" w:hint="cs"/>
          <w:rtl/>
        </w:rPr>
        <w:t>,</w:t>
      </w:r>
      <w:r w:rsidRPr="00305B1A">
        <w:rPr>
          <w:rFonts w:cs="Arial"/>
          <w:rtl/>
        </w:rPr>
        <w:t xml:space="preserve"> </w:t>
      </w:r>
      <w:r w:rsidRPr="00305B1A">
        <w:rPr>
          <w:rFonts w:cs="Arial" w:hint="cs"/>
          <w:rtl/>
        </w:rPr>
        <w:t>ואין</w:t>
      </w:r>
      <w:r w:rsidRPr="00305B1A">
        <w:rPr>
          <w:rFonts w:cs="Arial"/>
          <w:rtl/>
        </w:rPr>
        <w:t xml:space="preserve"> </w:t>
      </w:r>
      <w:r w:rsidRPr="00305B1A">
        <w:rPr>
          <w:rFonts w:cs="Arial" w:hint="cs"/>
          <w:rtl/>
        </w:rPr>
        <w:t>אחד</w:t>
      </w:r>
      <w:r w:rsidRPr="00305B1A">
        <w:rPr>
          <w:rFonts w:cs="Arial"/>
          <w:rtl/>
        </w:rPr>
        <w:t xml:space="preserve"> </w:t>
      </w:r>
      <w:r w:rsidRPr="00305B1A">
        <w:rPr>
          <w:rFonts w:cs="Arial" w:hint="cs"/>
          <w:rtl/>
        </w:rPr>
        <w:t>מהם</w:t>
      </w:r>
      <w:r w:rsidRPr="00305B1A">
        <w:rPr>
          <w:rFonts w:cs="Arial"/>
          <w:rtl/>
        </w:rPr>
        <w:t xml:space="preserve"> </w:t>
      </w:r>
      <w:r w:rsidRPr="00305B1A">
        <w:rPr>
          <w:rFonts w:cs="Arial" w:hint="cs"/>
          <w:rtl/>
        </w:rPr>
        <w:t>נעקר</w:t>
      </w:r>
      <w:r w:rsidRPr="00305B1A">
        <w:rPr>
          <w:rFonts w:cs="Arial"/>
          <w:rtl/>
        </w:rPr>
        <w:t xml:space="preserve"> </w:t>
      </w:r>
      <w:r w:rsidRPr="00305B1A">
        <w:rPr>
          <w:rFonts w:cs="Arial" w:hint="cs"/>
          <w:rtl/>
        </w:rPr>
        <w:t>בהנחת</w:t>
      </w:r>
      <w:r w:rsidRPr="00305B1A">
        <w:rPr>
          <w:rFonts w:cs="Arial"/>
          <w:rtl/>
        </w:rPr>
        <w:t xml:space="preserve"> </w:t>
      </w:r>
      <w:r w:rsidRPr="00305B1A">
        <w:rPr>
          <w:rFonts w:cs="Arial" w:hint="cs"/>
          <w:rtl/>
        </w:rPr>
        <w:t>חבירו</w:t>
      </w:r>
      <w:r>
        <w:rPr>
          <w:rFonts w:cs="Arial" w:hint="cs"/>
          <w:rtl/>
        </w:rPr>
        <w:t>.</w:t>
      </w:r>
      <w:r w:rsidRPr="00305B1A">
        <w:rPr>
          <w:rFonts w:cs="Arial"/>
          <w:rtl/>
        </w:rPr>
        <w:t xml:space="preserve"> </w:t>
      </w:r>
      <w:r w:rsidRPr="00305B1A">
        <w:rPr>
          <w:rFonts w:cs="Arial" w:hint="cs"/>
          <w:rtl/>
        </w:rPr>
        <w:t>אבל</w:t>
      </w:r>
      <w:r w:rsidRPr="00305B1A">
        <w:rPr>
          <w:rFonts w:cs="Arial"/>
          <w:rtl/>
        </w:rPr>
        <w:t xml:space="preserve"> </w:t>
      </w:r>
      <w:r w:rsidRPr="00305B1A">
        <w:rPr>
          <w:rFonts w:cs="Arial" w:hint="cs"/>
          <w:rtl/>
        </w:rPr>
        <w:t>מי</w:t>
      </w:r>
      <w:r w:rsidRPr="00305B1A">
        <w:rPr>
          <w:rFonts w:cs="Arial"/>
          <w:rtl/>
        </w:rPr>
        <w:t xml:space="preserve"> </w:t>
      </w:r>
      <w:r w:rsidRPr="00305B1A">
        <w:rPr>
          <w:rFonts w:cs="Arial" w:hint="cs"/>
          <w:rtl/>
        </w:rPr>
        <w:t>שיוצא</w:t>
      </w:r>
      <w:r w:rsidRPr="00305B1A">
        <w:rPr>
          <w:rFonts w:cs="Arial"/>
          <w:rtl/>
        </w:rPr>
        <w:t xml:space="preserve"> </w:t>
      </w:r>
      <w:r w:rsidRPr="00305B1A">
        <w:rPr>
          <w:rFonts w:cs="Arial" w:hint="cs"/>
          <w:rtl/>
        </w:rPr>
        <w:t>ממקום</w:t>
      </w:r>
      <w:r w:rsidRPr="00305B1A">
        <w:rPr>
          <w:rFonts w:cs="Arial"/>
          <w:rtl/>
        </w:rPr>
        <w:t xml:space="preserve"> </w:t>
      </w:r>
      <w:r w:rsidRPr="00305B1A">
        <w:rPr>
          <w:rFonts w:cs="Arial" w:hint="cs"/>
          <w:rtl/>
        </w:rPr>
        <w:t>למקום</w:t>
      </w:r>
      <w:r w:rsidRPr="00305B1A">
        <w:rPr>
          <w:rFonts w:cs="Arial"/>
          <w:rtl/>
        </w:rPr>
        <w:t xml:space="preserve"> </w:t>
      </w:r>
      <w:r w:rsidRPr="00305B1A">
        <w:rPr>
          <w:rFonts w:cs="Arial" w:hint="cs"/>
          <w:rtl/>
        </w:rPr>
        <w:t>כיון</w:t>
      </w:r>
      <w:r w:rsidRPr="00305B1A">
        <w:rPr>
          <w:rFonts w:cs="Arial"/>
          <w:rtl/>
        </w:rPr>
        <w:t xml:space="preserve"> </w:t>
      </w:r>
      <w:r w:rsidRPr="00305B1A">
        <w:rPr>
          <w:rFonts w:cs="Arial" w:hint="cs"/>
          <w:rtl/>
        </w:rPr>
        <w:t>שנשתהה</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עד</w:t>
      </w:r>
      <w:r w:rsidRPr="00305B1A">
        <w:rPr>
          <w:rFonts w:cs="Arial"/>
          <w:rtl/>
        </w:rPr>
        <w:t xml:space="preserve"> </w:t>
      </w:r>
      <w:r w:rsidRPr="00305B1A">
        <w:rPr>
          <w:rFonts w:cs="Arial" w:hint="cs"/>
          <w:rtl/>
        </w:rPr>
        <w:t>שהוא</w:t>
      </w:r>
      <w:r w:rsidRPr="00305B1A">
        <w:rPr>
          <w:rFonts w:cs="Arial"/>
          <w:rtl/>
        </w:rPr>
        <w:t xml:space="preserve"> </w:t>
      </w:r>
      <w:r w:rsidRPr="00305B1A">
        <w:rPr>
          <w:rFonts w:cs="Arial" w:hint="cs"/>
          <w:rtl/>
        </w:rPr>
        <w:t>כאנשי</w:t>
      </w:r>
      <w:r w:rsidRPr="00305B1A">
        <w:rPr>
          <w:rFonts w:cs="Arial"/>
          <w:rtl/>
        </w:rPr>
        <w:t xml:space="preserve"> </w:t>
      </w:r>
      <w:r w:rsidRPr="00305B1A">
        <w:rPr>
          <w:rFonts w:cs="Arial" w:hint="cs"/>
          <w:rtl/>
        </w:rPr>
        <w:t>העיר</w:t>
      </w:r>
      <w:r>
        <w:rPr>
          <w:rFonts w:cs="Arial" w:hint="cs"/>
          <w:rtl/>
        </w:rPr>
        <w:t>,</w:t>
      </w:r>
      <w:r w:rsidRPr="00305B1A">
        <w:rPr>
          <w:rFonts w:cs="Arial"/>
          <w:rtl/>
        </w:rPr>
        <w:t xml:space="preserve"> </w:t>
      </w:r>
      <w:r w:rsidRPr="00305B1A">
        <w:rPr>
          <w:rFonts w:cs="Arial" w:hint="cs"/>
          <w:rtl/>
        </w:rPr>
        <w:t>אין</w:t>
      </w:r>
      <w:r w:rsidRPr="00305B1A">
        <w:rPr>
          <w:rFonts w:cs="Arial"/>
          <w:rtl/>
        </w:rPr>
        <w:t xml:space="preserve"> </w:t>
      </w:r>
      <w:r w:rsidRPr="00305B1A">
        <w:rPr>
          <w:rFonts w:cs="Arial" w:hint="cs"/>
          <w:rtl/>
        </w:rPr>
        <w:t>אותה</w:t>
      </w:r>
      <w:r w:rsidRPr="00305B1A">
        <w:rPr>
          <w:rFonts w:cs="Arial"/>
          <w:rtl/>
        </w:rPr>
        <w:t xml:space="preserve"> </w:t>
      </w:r>
      <w:r w:rsidRPr="00305B1A">
        <w:rPr>
          <w:rFonts w:cs="Arial" w:hint="cs"/>
          <w:rtl/>
        </w:rPr>
        <w:t>עיר</w:t>
      </w:r>
      <w:r w:rsidRPr="00305B1A">
        <w:rPr>
          <w:rFonts w:cs="Arial"/>
          <w:rtl/>
        </w:rPr>
        <w:t xml:space="preserve"> </w:t>
      </w:r>
      <w:r w:rsidRPr="00305B1A">
        <w:rPr>
          <w:rFonts w:cs="Arial" w:hint="cs"/>
          <w:rtl/>
        </w:rPr>
        <w:t>ראשונה</w:t>
      </w:r>
      <w:r w:rsidRPr="00305B1A">
        <w:rPr>
          <w:rFonts w:cs="Arial"/>
          <w:rtl/>
        </w:rPr>
        <w:t xml:space="preserve"> </w:t>
      </w:r>
      <w:r w:rsidRPr="00305B1A">
        <w:rPr>
          <w:rFonts w:cs="Arial" w:hint="cs"/>
          <w:rtl/>
        </w:rPr>
        <w:t>עירו</w:t>
      </w:r>
      <w:r w:rsidRPr="00305B1A">
        <w:rPr>
          <w:rFonts w:cs="Arial"/>
          <w:rtl/>
        </w:rPr>
        <w:t xml:space="preserve"> </w:t>
      </w:r>
      <w:r w:rsidRPr="00305B1A">
        <w:rPr>
          <w:rFonts w:cs="Arial" w:hint="cs"/>
          <w:rtl/>
        </w:rPr>
        <w:t>לשום</w:t>
      </w:r>
      <w:r w:rsidRPr="00305B1A">
        <w:rPr>
          <w:rFonts w:cs="Arial"/>
          <w:rtl/>
        </w:rPr>
        <w:t xml:space="preserve"> </w:t>
      </w:r>
      <w:r w:rsidRPr="00305B1A">
        <w:rPr>
          <w:rFonts w:cs="Arial" w:hint="cs"/>
          <w:rtl/>
        </w:rPr>
        <w:t>דבר</w:t>
      </w:r>
      <w:r w:rsidRPr="00305B1A">
        <w:rPr>
          <w:rFonts w:cs="Arial"/>
          <w:rtl/>
        </w:rPr>
        <w:t xml:space="preserve"> </w:t>
      </w:r>
      <w:r w:rsidRPr="00305B1A">
        <w:rPr>
          <w:rFonts w:cs="Arial" w:hint="cs"/>
          <w:rtl/>
        </w:rPr>
        <w:t>שבעולם</w:t>
      </w:r>
      <w:r w:rsidRPr="00305B1A">
        <w:rPr>
          <w:rFonts w:cs="Arial"/>
          <w:rtl/>
        </w:rPr>
        <w:t xml:space="preserve">. </w:t>
      </w:r>
      <w:r w:rsidRPr="00305B1A">
        <w:rPr>
          <w:rFonts w:cs="Arial" w:hint="cs"/>
          <w:rtl/>
        </w:rPr>
        <w:t>ועוד</w:t>
      </w:r>
      <w:r w:rsidRPr="00305B1A">
        <w:rPr>
          <w:rFonts w:cs="Arial"/>
          <w:rtl/>
        </w:rPr>
        <w:t xml:space="preserve"> </w:t>
      </w:r>
      <w:r w:rsidRPr="00305B1A">
        <w:rPr>
          <w:rFonts w:cs="Arial" w:hint="cs"/>
          <w:rtl/>
        </w:rPr>
        <w:t>שעיקר</w:t>
      </w:r>
      <w:r w:rsidRPr="00305B1A">
        <w:rPr>
          <w:rFonts w:cs="Arial"/>
          <w:rtl/>
        </w:rPr>
        <w:t xml:space="preserve"> </w:t>
      </w:r>
      <w:r w:rsidRPr="00305B1A">
        <w:rPr>
          <w:rFonts w:cs="Arial" w:hint="cs"/>
          <w:rtl/>
        </w:rPr>
        <w:t>מה</w:t>
      </w:r>
      <w:r w:rsidRPr="00305B1A">
        <w:rPr>
          <w:rFonts w:cs="Arial"/>
          <w:rtl/>
        </w:rPr>
        <w:t xml:space="preserve"> </w:t>
      </w:r>
      <w:r w:rsidRPr="00305B1A">
        <w:rPr>
          <w:rFonts w:cs="Arial" w:hint="cs"/>
          <w:rtl/>
        </w:rPr>
        <w:t>שאנו</w:t>
      </w:r>
      <w:r w:rsidRPr="00305B1A">
        <w:rPr>
          <w:rFonts w:cs="Arial"/>
          <w:rtl/>
        </w:rPr>
        <w:t xml:space="preserve"> </w:t>
      </w:r>
      <w:r w:rsidRPr="00305B1A">
        <w:rPr>
          <w:rFonts w:cs="Arial" w:hint="cs"/>
          <w:rtl/>
        </w:rPr>
        <w:t>מצריכים</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sidRPr="00305B1A">
        <w:rPr>
          <w:rFonts w:cs="Arial"/>
          <w:rtl/>
        </w:rPr>
        <w:t xml:space="preserve"> </w:t>
      </w:r>
      <w:r w:rsidRPr="00305B1A">
        <w:rPr>
          <w:rFonts w:cs="Arial" w:hint="cs"/>
          <w:rtl/>
        </w:rPr>
        <w:t>הוא</w:t>
      </w:r>
      <w:r w:rsidRPr="00305B1A">
        <w:rPr>
          <w:rFonts w:cs="Arial"/>
          <w:rtl/>
        </w:rPr>
        <w:t xml:space="preserve"> </w:t>
      </w:r>
      <w:r w:rsidRPr="00305B1A">
        <w:rPr>
          <w:rFonts w:cs="Arial" w:hint="cs"/>
          <w:rtl/>
        </w:rPr>
        <w:t>מפני</w:t>
      </w:r>
      <w:r w:rsidRPr="00305B1A">
        <w:rPr>
          <w:rFonts w:cs="Arial"/>
          <w:rtl/>
        </w:rPr>
        <w:t xml:space="preserve"> </w:t>
      </w:r>
      <w:r w:rsidRPr="00305B1A">
        <w:rPr>
          <w:rFonts w:cs="Arial" w:hint="cs"/>
          <w:rtl/>
        </w:rPr>
        <w:t>שני</w:t>
      </w:r>
      <w:r w:rsidRPr="00305B1A">
        <w:rPr>
          <w:rFonts w:cs="Arial"/>
          <w:rtl/>
        </w:rPr>
        <w:t xml:space="preserve"> </w:t>
      </w:r>
      <w:r w:rsidRPr="00305B1A">
        <w:rPr>
          <w:rFonts w:cs="Arial" w:hint="cs"/>
          <w:rtl/>
        </w:rPr>
        <w:t>יוסף</w:t>
      </w:r>
      <w:r w:rsidRPr="00305B1A">
        <w:rPr>
          <w:rFonts w:cs="Arial"/>
          <w:rtl/>
        </w:rPr>
        <w:t xml:space="preserve"> </w:t>
      </w:r>
      <w:r w:rsidRPr="00305B1A">
        <w:rPr>
          <w:rFonts w:cs="Arial" w:hint="cs"/>
          <w:rtl/>
        </w:rPr>
        <w:t>בן</w:t>
      </w:r>
      <w:r w:rsidRPr="00305B1A">
        <w:rPr>
          <w:rFonts w:cs="Arial"/>
          <w:rtl/>
        </w:rPr>
        <w:t xml:space="preserve"> </w:t>
      </w:r>
      <w:r w:rsidRPr="00305B1A">
        <w:rPr>
          <w:rFonts w:cs="Arial" w:hint="cs"/>
          <w:rtl/>
        </w:rPr>
        <w:t>שמעון</w:t>
      </w:r>
      <w:r>
        <w:rPr>
          <w:rFonts w:cs="Arial" w:hint="cs"/>
          <w:rtl/>
        </w:rPr>
        <w:t>,</w:t>
      </w:r>
      <w:r w:rsidRPr="00305B1A">
        <w:rPr>
          <w:rFonts w:cs="Arial"/>
          <w:rtl/>
        </w:rPr>
        <w:t xml:space="preserve"> </w:t>
      </w:r>
      <w:r w:rsidRPr="00305B1A">
        <w:rPr>
          <w:rFonts w:cs="Arial" w:hint="cs"/>
          <w:rtl/>
        </w:rPr>
        <w:t>ובשם</w:t>
      </w:r>
      <w:r w:rsidRPr="00305B1A">
        <w:rPr>
          <w:rFonts w:cs="Arial"/>
          <w:rtl/>
        </w:rPr>
        <w:t xml:space="preserve"> </w:t>
      </w:r>
      <w:r w:rsidRPr="00305B1A">
        <w:rPr>
          <w:rFonts w:cs="Arial" w:hint="cs"/>
          <w:rtl/>
        </w:rPr>
        <w:t>עירו</w:t>
      </w:r>
      <w:r w:rsidRPr="00305B1A">
        <w:rPr>
          <w:rFonts w:cs="Arial"/>
          <w:rtl/>
        </w:rPr>
        <w:t xml:space="preserve"> </w:t>
      </w:r>
      <w:r w:rsidRPr="00305B1A">
        <w:rPr>
          <w:rFonts w:cs="Arial" w:hint="cs"/>
          <w:rtl/>
        </w:rPr>
        <w:t>אנו</w:t>
      </w:r>
      <w:r w:rsidRPr="00305B1A">
        <w:rPr>
          <w:rFonts w:cs="Arial"/>
          <w:rtl/>
        </w:rPr>
        <w:t xml:space="preserve"> </w:t>
      </w:r>
      <w:r w:rsidRPr="00305B1A">
        <w:rPr>
          <w:rFonts w:cs="Arial" w:hint="cs"/>
          <w:rtl/>
        </w:rPr>
        <w:t>יוצאין</w:t>
      </w:r>
      <w:r w:rsidRPr="00305B1A">
        <w:rPr>
          <w:rFonts w:cs="Arial"/>
          <w:rtl/>
        </w:rPr>
        <w:t xml:space="preserve"> </w:t>
      </w:r>
      <w:r w:rsidRPr="00305B1A">
        <w:rPr>
          <w:rFonts w:cs="Arial" w:hint="cs"/>
          <w:rtl/>
        </w:rPr>
        <w:t>מידי</w:t>
      </w:r>
      <w:r w:rsidRPr="00305B1A">
        <w:rPr>
          <w:rFonts w:cs="Arial"/>
          <w:rtl/>
        </w:rPr>
        <w:t xml:space="preserve"> </w:t>
      </w:r>
      <w:r w:rsidRPr="00305B1A">
        <w:rPr>
          <w:rFonts w:cs="Arial" w:hint="cs"/>
          <w:rtl/>
        </w:rPr>
        <w:t>ספק</w:t>
      </w:r>
      <w:r w:rsidRPr="00305B1A">
        <w:rPr>
          <w:rFonts w:cs="Arial"/>
          <w:rtl/>
        </w:rPr>
        <w:t xml:space="preserve"> </w:t>
      </w:r>
      <w:r w:rsidRPr="00305B1A">
        <w:rPr>
          <w:rFonts w:cs="Arial" w:hint="cs"/>
          <w:rtl/>
        </w:rPr>
        <w:t>זה</w:t>
      </w:r>
      <w:r>
        <w:rPr>
          <w:rFonts w:cs="Arial" w:hint="cs"/>
          <w:rtl/>
        </w:rPr>
        <w:t>,</w:t>
      </w:r>
      <w:r w:rsidRPr="00305B1A">
        <w:rPr>
          <w:rFonts w:cs="Arial"/>
          <w:rtl/>
        </w:rPr>
        <w:t xml:space="preserve"> </w:t>
      </w:r>
      <w:r w:rsidRPr="00305B1A">
        <w:rPr>
          <w:rFonts w:cs="Arial" w:hint="cs"/>
          <w:rtl/>
        </w:rPr>
        <w:t>שמן</w:t>
      </w:r>
      <w:r w:rsidRPr="00305B1A">
        <w:rPr>
          <w:rFonts w:cs="Arial"/>
          <w:rtl/>
        </w:rPr>
        <w:t xml:space="preserve"> </w:t>
      </w:r>
      <w:r w:rsidRPr="00305B1A">
        <w:rPr>
          <w:rFonts w:cs="Arial" w:hint="cs"/>
          <w:rtl/>
        </w:rPr>
        <w:t>הסתם</w:t>
      </w:r>
      <w:r w:rsidRPr="00305B1A">
        <w:rPr>
          <w:rFonts w:cs="Arial"/>
          <w:rtl/>
        </w:rPr>
        <w:t xml:space="preserve"> </w:t>
      </w:r>
      <w:r w:rsidRPr="00305B1A">
        <w:rPr>
          <w:rFonts w:cs="Arial" w:hint="cs"/>
          <w:rtl/>
        </w:rPr>
        <w:t>אם</w:t>
      </w:r>
      <w:r w:rsidRPr="00305B1A">
        <w:rPr>
          <w:rFonts w:cs="Arial"/>
          <w:rtl/>
        </w:rPr>
        <w:t xml:space="preserve"> </w:t>
      </w:r>
      <w:r w:rsidRPr="00305B1A">
        <w:rPr>
          <w:rFonts w:cs="Arial" w:hint="cs"/>
          <w:rtl/>
        </w:rPr>
        <w:t>יש</w:t>
      </w:r>
      <w:r w:rsidRPr="00305B1A">
        <w:rPr>
          <w:rFonts w:cs="Arial"/>
          <w:rtl/>
        </w:rPr>
        <w:t xml:space="preserve"> </w:t>
      </w:r>
      <w:r w:rsidRPr="00305B1A">
        <w:rPr>
          <w:rFonts w:cs="Arial" w:hint="cs"/>
          <w:rtl/>
        </w:rPr>
        <w:t>שני</w:t>
      </w:r>
      <w:r w:rsidRPr="00305B1A">
        <w:rPr>
          <w:rFonts w:cs="Arial"/>
          <w:rtl/>
        </w:rPr>
        <w:t xml:space="preserve"> </w:t>
      </w:r>
      <w:r w:rsidRPr="00305B1A">
        <w:rPr>
          <w:rFonts w:cs="Arial" w:hint="cs"/>
          <w:rtl/>
        </w:rPr>
        <w:t>יוסף</w:t>
      </w:r>
      <w:r w:rsidRPr="00305B1A">
        <w:rPr>
          <w:rFonts w:cs="Arial"/>
          <w:rtl/>
        </w:rPr>
        <w:t xml:space="preserve"> </w:t>
      </w:r>
      <w:r w:rsidRPr="00305B1A">
        <w:rPr>
          <w:rFonts w:cs="Arial" w:hint="cs"/>
          <w:rtl/>
        </w:rPr>
        <w:t>בן</w:t>
      </w:r>
      <w:r w:rsidRPr="00305B1A">
        <w:rPr>
          <w:rFonts w:cs="Arial"/>
          <w:rtl/>
        </w:rPr>
        <w:t xml:space="preserve"> </w:t>
      </w:r>
      <w:r w:rsidRPr="00305B1A">
        <w:rPr>
          <w:rFonts w:cs="Arial" w:hint="cs"/>
          <w:rtl/>
        </w:rPr>
        <w:t>שמעון</w:t>
      </w:r>
      <w:r w:rsidRPr="00305B1A">
        <w:rPr>
          <w:rFonts w:cs="Arial"/>
          <w:rtl/>
        </w:rPr>
        <w:t xml:space="preserve"> </w:t>
      </w:r>
      <w:r w:rsidRPr="00305B1A">
        <w:rPr>
          <w:rFonts w:cs="Arial" w:hint="cs"/>
          <w:rtl/>
        </w:rPr>
        <w:t>בעיר</w:t>
      </w:r>
      <w:r w:rsidRPr="00305B1A">
        <w:rPr>
          <w:rFonts w:cs="Arial"/>
          <w:rtl/>
        </w:rPr>
        <w:t xml:space="preserve"> </w:t>
      </w:r>
      <w:r w:rsidRPr="00305B1A">
        <w:rPr>
          <w:rFonts w:cs="Arial" w:hint="cs"/>
          <w:rtl/>
        </w:rPr>
        <w:t>זו</w:t>
      </w:r>
      <w:r w:rsidRPr="00305B1A">
        <w:rPr>
          <w:rFonts w:cs="Arial"/>
          <w:rtl/>
        </w:rPr>
        <w:t xml:space="preserve"> </w:t>
      </w:r>
      <w:r w:rsidRPr="00305B1A">
        <w:rPr>
          <w:rFonts w:cs="Arial" w:hint="cs"/>
          <w:rtl/>
        </w:rPr>
        <w:t>היינו</w:t>
      </w:r>
      <w:r w:rsidRPr="00305B1A">
        <w:rPr>
          <w:rFonts w:cs="Arial"/>
          <w:rtl/>
        </w:rPr>
        <w:t xml:space="preserve"> </w:t>
      </w:r>
      <w:r w:rsidRPr="00305B1A">
        <w:rPr>
          <w:rFonts w:cs="Arial" w:hint="cs"/>
          <w:rtl/>
        </w:rPr>
        <w:t>בקיאין</w:t>
      </w:r>
      <w:r w:rsidRPr="00305B1A">
        <w:rPr>
          <w:rFonts w:cs="Arial"/>
          <w:rtl/>
        </w:rPr>
        <w:t xml:space="preserve"> </w:t>
      </w:r>
      <w:r w:rsidRPr="00305B1A">
        <w:rPr>
          <w:rFonts w:cs="Arial" w:hint="cs"/>
          <w:rtl/>
        </w:rPr>
        <w:t>בהם</w:t>
      </w:r>
      <w:r>
        <w:rPr>
          <w:rFonts w:cs="Arial" w:hint="cs"/>
          <w:rtl/>
        </w:rPr>
        <w:t>,</w:t>
      </w:r>
      <w:r w:rsidRPr="00305B1A">
        <w:rPr>
          <w:rFonts w:cs="Arial"/>
          <w:rtl/>
        </w:rPr>
        <w:t xml:space="preserve"> </w:t>
      </w:r>
      <w:r w:rsidRPr="00305B1A">
        <w:rPr>
          <w:rFonts w:cs="Arial" w:hint="cs"/>
          <w:rtl/>
        </w:rPr>
        <w:t>ואין</w:t>
      </w:r>
      <w:r w:rsidRPr="00305B1A">
        <w:rPr>
          <w:rFonts w:cs="Arial"/>
          <w:rtl/>
        </w:rPr>
        <w:t xml:space="preserve"> </w:t>
      </w:r>
      <w:r w:rsidRPr="00305B1A">
        <w:rPr>
          <w:rFonts w:cs="Arial" w:hint="cs"/>
          <w:rtl/>
        </w:rPr>
        <w:t>מגרשין</w:t>
      </w:r>
      <w:r w:rsidRPr="00305B1A">
        <w:rPr>
          <w:rFonts w:cs="Arial"/>
          <w:rtl/>
        </w:rPr>
        <w:t xml:space="preserve"> </w:t>
      </w:r>
      <w:r w:rsidRPr="00305B1A">
        <w:rPr>
          <w:rFonts w:cs="Arial" w:hint="cs"/>
          <w:rtl/>
        </w:rPr>
        <w:t>נשותיהם</w:t>
      </w:r>
      <w:r w:rsidRPr="00305B1A">
        <w:rPr>
          <w:rFonts w:cs="Arial"/>
          <w:rtl/>
        </w:rPr>
        <w:t xml:space="preserve"> </w:t>
      </w:r>
      <w:r w:rsidRPr="00305B1A">
        <w:rPr>
          <w:rFonts w:cs="Arial" w:hint="cs"/>
          <w:rtl/>
        </w:rPr>
        <w:t>אלא</w:t>
      </w:r>
      <w:r w:rsidRPr="00305B1A">
        <w:rPr>
          <w:rFonts w:cs="Arial"/>
          <w:rtl/>
        </w:rPr>
        <w:t xml:space="preserve"> </w:t>
      </w:r>
      <w:r w:rsidRPr="00305B1A">
        <w:rPr>
          <w:rFonts w:cs="Arial" w:hint="cs"/>
          <w:rtl/>
        </w:rPr>
        <w:t>זה</w:t>
      </w:r>
      <w:r w:rsidRPr="00305B1A">
        <w:rPr>
          <w:rFonts w:cs="Arial"/>
          <w:rtl/>
        </w:rPr>
        <w:t xml:space="preserve"> </w:t>
      </w:r>
      <w:r w:rsidRPr="00305B1A">
        <w:rPr>
          <w:rFonts w:cs="Arial" w:hint="cs"/>
          <w:rtl/>
        </w:rPr>
        <w:t>בפני</w:t>
      </w:r>
      <w:r w:rsidRPr="00305B1A">
        <w:rPr>
          <w:rFonts w:cs="Arial"/>
          <w:rtl/>
        </w:rPr>
        <w:t xml:space="preserve"> </w:t>
      </w:r>
      <w:r w:rsidRPr="00305B1A">
        <w:rPr>
          <w:rFonts w:cs="Arial" w:hint="cs"/>
          <w:rtl/>
        </w:rPr>
        <w:t>זה</w:t>
      </w:r>
      <w:r>
        <w:rPr>
          <w:rFonts w:cs="Arial" w:hint="cs"/>
          <w:rtl/>
        </w:rPr>
        <w:t>.</w:t>
      </w:r>
      <w:r w:rsidRPr="00305B1A">
        <w:rPr>
          <w:rFonts w:cs="Arial"/>
          <w:rtl/>
        </w:rPr>
        <w:t xml:space="preserve"> </w:t>
      </w:r>
      <w:r w:rsidRPr="00305B1A">
        <w:rPr>
          <w:rFonts w:cs="Arial" w:hint="cs"/>
          <w:rtl/>
        </w:rPr>
        <w:t>ואם</w:t>
      </w:r>
      <w:r w:rsidRPr="00305B1A">
        <w:rPr>
          <w:rFonts w:cs="Arial"/>
          <w:rtl/>
        </w:rPr>
        <w:t xml:space="preserve"> </w:t>
      </w:r>
      <w:r w:rsidRPr="00305B1A">
        <w:rPr>
          <w:rFonts w:cs="Arial" w:hint="cs"/>
          <w:rtl/>
        </w:rPr>
        <w:t>אין</w:t>
      </w:r>
      <w:r w:rsidRPr="00305B1A">
        <w:rPr>
          <w:rFonts w:cs="Arial"/>
          <w:rtl/>
        </w:rPr>
        <w:t xml:space="preserve"> </w:t>
      </w:r>
      <w:r w:rsidRPr="00305B1A">
        <w:rPr>
          <w:rFonts w:cs="Arial" w:hint="cs"/>
          <w:rtl/>
        </w:rPr>
        <w:t>אנו</w:t>
      </w:r>
      <w:r w:rsidRPr="00305B1A">
        <w:rPr>
          <w:rFonts w:cs="Arial"/>
          <w:rtl/>
        </w:rPr>
        <w:t xml:space="preserve"> </w:t>
      </w:r>
      <w:r w:rsidRPr="00305B1A">
        <w:rPr>
          <w:rFonts w:cs="Arial" w:hint="cs"/>
          <w:rtl/>
        </w:rPr>
        <w:t>יודעין</w:t>
      </w:r>
      <w:r w:rsidRPr="00305B1A">
        <w:rPr>
          <w:rFonts w:cs="Arial"/>
          <w:rtl/>
        </w:rPr>
        <w:t xml:space="preserve"> </w:t>
      </w:r>
      <w:r w:rsidRPr="00305B1A">
        <w:rPr>
          <w:rFonts w:cs="Arial" w:hint="cs"/>
          <w:rtl/>
        </w:rPr>
        <w:t>אותם</w:t>
      </w:r>
      <w:r>
        <w:rPr>
          <w:rFonts w:cs="Arial" w:hint="cs"/>
          <w:rtl/>
        </w:rPr>
        <w:t>,</w:t>
      </w:r>
      <w:r w:rsidRPr="00305B1A">
        <w:rPr>
          <w:rFonts w:cs="Arial"/>
          <w:rtl/>
        </w:rPr>
        <w:t xml:space="preserve"> </w:t>
      </w:r>
      <w:r w:rsidRPr="00305B1A">
        <w:rPr>
          <w:rFonts w:cs="Arial" w:hint="cs"/>
          <w:rtl/>
        </w:rPr>
        <w:t>אין</w:t>
      </w:r>
      <w:r w:rsidRPr="00305B1A">
        <w:rPr>
          <w:rFonts w:cs="Arial"/>
          <w:rtl/>
        </w:rPr>
        <w:t xml:space="preserve"> </w:t>
      </w:r>
      <w:r w:rsidRPr="00305B1A">
        <w:rPr>
          <w:rFonts w:cs="Arial" w:hint="cs"/>
          <w:rtl/>
        </w:rPr>
        <w:t>חוששין</w:t>
      </w:r>
      <w:r w:rsidRPr="00305B1A">
        <w:rPr>
          <w:rFonts w:cs="Arial"/>
          <w:rtl/>
        </w:rPr>
        <w:t xml:space="preserve"> </w:t>
      </w:r>
      <w:r w:rsidRPr="00305B1A">
        <w:rPr>
          <w:rFonts w:cs="Arial" w:hint="cs"/>
          <w:rtl/>
        </w:rPr>
        <w:t>להם</w:t>
      </w:r>
      <w:r>
        <w:rPr>
          <w:rFonts w:cs="Arial" w:hint="cs"/>
          <w:rtl/>
        </w:rPr>
        <w:t>.</w:t>
      </w:r>
      <w:r w:rsidRPr="00305B1A">
        <w:rPr>
          <w:rFonts w:cs="Arial"/>
          <w:rtl/>
        </w:rPr>
        <w:t xml:space="preserve"> </w:t>
      </w:r>
      <w:r w:rsidRPr="00305B1A">
        <w:rPr>
          <w:rFonts w:cs="Arial" w:hint="cs"/>
          <w:rtl/>
        </w:rPr>
        <w:t>שכל</w:t>
      </w:r>
      <w:r w:rsidRPr="00305B1A">
        <w:rPr>
          <w:rFonts w:cs="Arial"/>
          <w:rtl/>
        </w:rPr>
        <w:t xml:space="preserve"> </w:t>
      </w:r>
      <w:r w:rsidRPr="00305B1A">
        <w:rPr>
          <w:rFonts w:cs="Arial" w:hint="cs"/>
          <w:rtl/>
        </w:rPr>
        <w:t>שמות</w:t>
      </w:r>
      <w:r w:rsidRPr="00305B1A">
        <w:rPr>
          <w:rFonts w:cs="Arial"/>
          <w:rtl/>
        </w:rPr>
        <w:t xml:space="preserve"> </w:t>
      </w:r>
      <w:r w:rsidRPr="00305B1A">
        <w:rPr>
          <w:rFonts w:cs="Arial" w:hint="cs"/>
          <w:rtl/>
        </w:rPr>
        <w:t>שוין</w:t>
      </w:r>
      <w:r w:rsidRPr="00305B1A">
        <w:rPr>
          <w:rFonts w:cs="Arial"/>
          <w:rtl/>
        </w:rPr>
        <w:t xml:space="preserve"> </w:t>
      </w:r>
      <w:r w:rsidRPr="00305B1A">
        <w:rPr>
          <w:rFonts w:cs="Arial" w:hint="cs"/>
          <w:rtl/>
        </w:rPr>
        <w:t>שהם</w:t>
      </w:r>
      <w:r w:rsidRPr="00305B1A">
        <w:rPr>
          <w:rFonts w:cs="Arial"/>
          <w:rtl/>
        </w:rPr>
        <w:t xml:space="preserve"> </w:t>
      </w:r>
      <w:r w:rsidRPr="00305B1A">
        <w:rPr>
          <w:rFonts w:cs="Arial" w:hint="cs"/>
          <w:rtl/>
        </w:rPr>
        <w:t>בעיר</w:t>
      </w:r>
      <w:r w:rsidRPr="00305B1A">
        <w:rPr>
          <w:rFonts w:cs="Arial"/>
          <w:rtl/>
        </w:rPr>
        <w:t xml:space="preserve"> </w:t>
      </w:r>
      <w:r w:rsidRPr="00305B1A">
        <w:rPr>
          <w:rFonts w:cs="Arial" w:hint="cs"/>
          <w:rtl/>
        </w:rPr>
        <w:t>אחת</w:t>
      </w:r>
      <w:r w:rsidRPr="00305B1A">
        <w:rPr>
          <w:rFonts w:cs="Arial"/>
          <w:rtl/>
        </w:rPr>
        <w:t xml:space="preserve"> </w:t>
      </w:r>
      <w:r w:rsidRPr="00305B1A">
        <w:rPr>
          <w:rFonts w:cs="Arial" w:hint="cs"/>
          <w:rtl/>
        </w:rPr>
        <w:t>קול</w:t>
      </w:r>
      <w:r w:rsidRPr="00305B1A">
        <w:rPr>
          <w:rFonts w:cs="Arial"/>
          <w:rtl/>
        </w:rPr>
        <w:t xml:space="preserve"> </w:t>
      </w:r>
      <w:r w:rsidRPr="00305B1A">
        <w:rPr>
          <w:rFonts w:cs="Arial" w:hint="cs"/>
          <w:rtl/>
        </w:rPr>
        <w:t>יש</w:t>
      </w:r>
      <w:r w:rsidRPr="00305B1A">
        <w:rPr>
          <w:rFonts w:cs="Arial"/>
          <w:rtl/>
        </w:rPr>
        <w:t xml:space="preserve"> </w:t>
      </w:r>
      <w:r w:rsidRPr="00305B1A">
        <w:rPr>
          <w:rFonts w:cs="Arial" w:hint="cs"/>
          <w:rtl/>
        </w:rPr>
        <w:t>להם</w:t>
      </w:r>
      <w:r>
        <w:rPr>
          <w:rFonts w:cs="Arial" w:hint="cs"/>
          <w:rtl/>
        </w:rPr>
        <w:t>.</w:t>
      </w:r>
      <w:r w:rsidRPr="00305B1A">
        <w:rPr>
          <w:rFonts w:cs="Arial"/>
          <w:rtl/>
        </w:rPr>
        <w:t xml:space="preserve"> </w:t>
      </w:r>
      <w:r w:rsidRPr="00305B1A">
        <w:rPr>
          <w:rFonts w:cs="Arial" w:hint="cs"/>
          <w:rtl/>
        </w:rPr>
        <w:t>ובהכי</w:t>
      </w:r>
      <w:r w:rsidRPr="00305B1A">
        <w:rPr>
          <w:rFonts w:cs="Arial"/>
          <w:rtl/>
        </w:rPr>
        <w:t xml:space="preserve"> </w:t>
      </w:r>
      <w:r w:rsidRPr="00305B1A">
        <w:rPr>
          <w:rFonts w:cs="Arial" w:hint="cs"/>
          <w:rtl/>
        </w:rPr>
        <w:t>ריהטא</w:t>
      </w:r>
      <w:r w:rsidRPr="00305B1A">
        <w:rPr>
          <w:rFonts w:cs="Arial"/>
          <w:rtl/>
        </w:rPr>
        <w:t xml:space="preserve"> </w:t>
      </w:r>
      <w:r w:rsidRPr="00305B1A">
        <w:rPr>
          <w:rFonts w:cs="Arial" w:hint="cs"/>
          <w:rtl/>
        </w:rPr>
        <w:t>סוגיא</w:t>
      </w:r>
      <w:r w:rsidRPr="00305B1A">
        <w:rPr>
          <w:rFonts w:cs="Arial"/>
          <w:rtl/>
        </w:rPr>
        <w:t xml:space="preserve"> </w:t>
      </w:r>
      <w:r w:rsidRPr="00305B1A">
        <w:rPr>
          <w:rFonts w:cs="Arial" w:hint="cs"/>
          <w:rtl/>
        </w:rPr>
        <w:t>דפרק</w:t>
      </w:r>
      <w:r w:rsidRPr="00305B1A">
        <w:rPr>
          <w:rFonts w:cs="Arial"/>
          <w:rtl/>
        </w:rPr>
        <w:t xml:space="preserve"> </w:t>
      </w:r>
      <w:r w:rsidRPr="00305B1A">
        <w:rPr>
          <w:rFonts w:cs="Arial" w:hint="cs"/>
          <w:rtl/>
        </w:rPr>
        <w:t>גט</w:t>
      </w:r>
      <w:r w:rsidRPr="00305B1A">
        <w:rPr>
          <w:rFonts w:cs="Arial"/>
          <w:rtl/>
        </w:rPr>
        <w:t xml:space="preserve"> </w:t>
      </w:r>
      <w:r w:rsidRPr="00305B1A">
        <w:rPr>
          <w:rFonts w:cs="Arial" w:hint="cs"/>
          <w:rtl/>
        </w:rPr>
        <w:t>פשוט</w:t>
      </w:r>
      <w:r w:rsidRPr="00305B1A">
        <w:rPr>
          <w:rFonts w:cs="Arial"/>
          <w:rtl/>
        </w:rPr>
        <w:t xml:space="preserve"> (</w:t>
      </w:r>
      <w:r w:rsidRPr="00305B1A">
        <w:rPr>
          <w:rFonts w:cs="Arial" w:hint="cs"/>
          <w:rtl/>
        </w:rPr>
        <w:t>ב</w:t>
      </w:r>
      <w:r w:rsidRPr="00305B1A">
        <w:rPr>
          <w:rFonts w:cs="Arial"/>
          <w:rtl/>
        </w:rPr>
        <w:t>"</w:t>
      </w:r>
      <w:r w:rsidRPr="00305B1A">
        <w:rPr>
          <w:rFonts w:cs="Arial" w:hint="cs"/>
          <w:rtl/>
        </w:rPr>
        <w:t>ב</w:t>
      </w:r>
      <w:r w:rsidRPr="00305B1A">
        <w:rPr>
          <w:rFonts w:cs="Arial"/>
          <w:rtl/>
        </w:rPr>
        <w:t xml:space="preserve"> </w:t>
      </w:r>
      <w:r w:rsidRPr="00305B1A">
        <w:rPr>
          <w:rFonts w:cs="Arial" w:hint="cs"/>
          <w:rtl/>
        </w:rPr>
        <w:t>קסז</w:t>
      </w:r>
      <w:r w:rsidRPr="00305B1A">
        <w:rPr>
          <w:rFonts w:cs="Arial"/>
          <w:rtl/>
        </w:rPr>
        <w:t>:)</w:t>
      </w:r>
      <w:r>
        <w:rPr>
          <w:rFonts w:cs="Arial" w:hint="cs"/>
          <w:rtl/>
        </w:rPr>
        <w:t>.</w:t>
      </w:r>
      <w:r w:rsidRPr="00305B1A">
        <w:rPr>
          <w:rFonts w:cs="Arial"/>
          <w:rtl/>
        </w:rPr>
        <w:t xml:space="preserve"> </w:t>
      </w:r>
      <w:r w:rsidRPr="00305B1A">
        <w:rPr>
          <w:rFonts w:cs="Arial" w:hint="cs"/>
          <w:rtl/>
        </w:rPr>
        <w:t>וכל</w:t>
      </w:r>
      <w:r w:rsidRPr="00305B1A">
        <w:rPr>
          <w:rFonts w:cs="Arial"/>
          <w:rtl/>
        </w:rPr>
        <w:t xml:space="preserve"> </w:t>
      </w:r>
      <w:r w:rsidRPr="00305B1A">
        <w:rPr>
          <w:rFonts w:cs="Arial" w:hint="cs"/>
          <w:rtl/>
        </w:rPr>
        <w:t>זה</w:t>
      </w:r>
      <w:r w:rsidRPr="00305B1A">
        <w:rPr>
          <w:rFonts w:cs="Arial"/>
          <w:rtl/>
        </w:rPr>
        <w:t xml:space="preserve"> </w:t>
      </w:r>
      <w:r w:rsidRPr="00305B1A">
        <w:rPr>
          <w:rFonts w:cs="Arial" w:hint="cs"/>
          <w:rtl/>
        </w:rPr>
        <w:t>אם</w:t>
      </w:r>
      <w:r w:rsidRPr="00305B1A">
        <w:rPr>
          <w:rFonts w:cs="Arial"/>
          <w:rtl/>
        </w:rPr>
        <w:t xml:space="preserve"> </w:t>
      </w:r>
      <w:r w:rsidRPr="00305B1A">
        <w:rPr>
          <w:rFonts w:cs="Arial" w:hint="cs"/>
          <w:rtl/>
        </w:rPr>
        <w:t>נפרש</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עיקר</w:t>
      </w:r>
      <w:r w:rsidRPr="00305B1A">
        <w:rPr>
          <w:rFonts w:cs="Arial"/>
          <w:rtl/>
        </w:rPr>
        <w:t xml:space="preserve"> </w:t>
      </w:r>
      <w:r w:rsidRPr="00305B1A">
        <w:rPr>
          <w:rFonts w:cs="Arial" w:hint="cs"/>
          <w:rtl/>
        </w:rPr>
        <w:t>שהוא</w:t>
      </w:r>
      <w:r w:rsidRPr="00305B1A">
        <w:rPr>
          <w:rFonts w:cs="Arial"/>
          <w:rtl/>
        </w:rPr>
        <w:t xml:space="preserve"> </w:t>
      </w:r>
      <w:r w:rsidRPr="00305B1A">
        <w:rPr>
          <w:rFonts w:cs="Arial" w:hint="cs"/>
          <w:rtl/>
        </w:rPr>
        <w:t>עיקר</w:t>
      </w:r>
      <w:r w:rsidRPr="00305B1A">
        <w:rPr>
          <w:rFonts w:cs="Arial"/>
          <w:rtl/>
        </w:rPr>
        <w:t xml:space="preserve"> </w:t>
      </w:r>
      <w:r w:rsidRPr="00305B1A">
        <w:rPr>
          <w:rFonts w:cs="Arial" w:hint="cs"/>
          <w:rtl/>
        </w:rPr>
        <w:t>דירתו</w:t>
      </w:r>
      <w:r w:rsidRPr="00305B1A">
        <w:rPr>
          <w:rFonts w:cs="Arial"/>
          <w:rtl/>
        </w:rPr>
        <w:t xml:space="preserve"> </w:t>
      </w:r>
      <w:r w:rsidRPr="00305B1A">
        <w:rPr>
          <w:rFonts w:cs="Arial" w:hint="cs"/>
          <w:rtl/>
        </w:rPr>
        <w:t>היום</w:t>
      </w:r>
      <w:r>
        <w:rPr>
          <w:rFonts w:cs="Arial" w:hint="cs"/>
          <w:rtl/>
        </w:rPr>
        <w:t>,</w:t>
      </w:r>
      <w:r w:rsidRPr="00305B1A">
        <w:rPr>
          <w:rFonts w:cs="Arial"/>
          <w:rtl/>
        </w:rPr>
        <w:t xml:space="preserve"> </w:t>
      </w:r>
      <w:r w:rsidRPr="00305B1A">
        <w:rPr>
          <w:rFonts w:cs="Arial" w:hint="cs"/>
          <w:rtl/>
        </w:rPr>
        <w:t>לפי</w:t>
      </w:r>
      <w:r w:rsidRPr="00305B1A">
        <w:rPr>
          <w:rFonts w:cs="Arial"/>
          <w:rtl/>
        </w:rPr>
        <w:t xml:space="preserve"> </w:t>
      </w:r>
      <w:r w:rsidRPr="00305B1A">
        <w:rPr>
          <w:rFonts w:cs="Arial" w:hint="cs"/>
          <w:rtl/>
        </w:rPr>
        <w:t>שזה</w:t>
      </w:r>
      <w:r w:rsidRPr="00305B1A">
        <w:rPr>
          <w:rFonts w:cs="Arial"/>
          <w:rtl/>
        </w:rPr>
        <w:t xml:space="preserve"> </w:t>
      </w:r>
      <w:r w:rsidRPr="00305B1A">
        <w:rPr>
          <w:rFonts w:cs="Arial" w:hint="cs"/>
          <w:rtl/>
        </w:rPr>
        <w:t>מפורסם</w:t>
      </w:r>
      <w:r w:rsidRPr="00305B1A">
        <w:rPr>
          <w:rFonts w:cs="Arial"/>
          <w:rtl/>
        </w:rPr>
        <w:t xml:space="preserve"> </w:t>
      </w:r>
      <w:r w:rsidRPr="00305B1A">
        <w:rPr>
          <w:rFonts w:cs="Arial" w:hint="cs"/>
          <w:rtl/>
        </w:rPr>
        <w:t>לעדים</w:t>
      </w:r>
      <w:r>
        <w:rPr>
          <w:rFonts w:cs="Arial" w:hint="cs"/>
          <w:rtl/>
        </w:rPr>
        <w:t>.</w:t>
      </w:r>
      <w:r w:rsidRPr="00305B1A">
        <w:rPr>
          <w:rFonts w:cs="Arial"/>
          <w:rtl/>
        </w:rPr>
        <w:t xml:space="preserve"> </w:t>
      </w:r>
      <w:r w:rsidRPr="00305B1A">
        <w:rPr>
          <w:rFonts w:cs="Arial" w:hint="cs"/>
          <w:rtl/>
        </w:rPr>
        <w:t>אבל</w:t>
      </w:r>
      <w:r w:rsidRPr="00305B1A">
        <w:rPr>
          <w:rFonts w:cs="Arial"/>
          <w:rtl/>
        </w:rPr>
        <w:t xml:space="preserve"> </w:t>
      </w:r>
      <w:r w:rsidRPr="00305B1A">
        <w:rPr>
          <w:rFonts w:cs="Arial" w:hint="cs"/>
          <w:rtl/>
        </w:rPr>
        <w:t>אם</w:t>
      </w:r>
      <w:r w:rsidRPr="00305B1A">
        <w:rPr>
          <w:rFonts w:cs="Arial"/>
          <w:rtl/>
        </w:rPr>
        <w:t xml:space="preserve"> </w:t>
      </w:r>
      <w:r w:rsidRPr="00305B1A">
        <w:rPr>
          <w:rFonts w:cs="Arial" w:hint="cs"/>
          <w:rtl/>
        </w:rPr>
        <w:t>נאמר</w:t>
      </w:r>
      <w:r w:rsidRPr="00305B1A">
        <w:rPr>
          <w:rFonts w:cs="Arial"/>
          <w:rtl/>
        </w:rPr>
        <w:t xml:space="preserve"> </w:t>
      </w:r>
      <w:r w:rsidRPr="00305B1A">
        <w:rPr>
          <w:rFonts w:cs="Arial" w:hint="cs"/>
          <w:rtl/>
        </w:rPr>
        <w:t>שמקום</w:t>
      </w:r>
      <w:r w:rsidRPr="00305B1A">
        <w:rPr>
          <w:rFonts w:cs="Arial"/>
          <w:rtl/>
        </w:rPr>
        <w:t xml:space="preserve"> </w:t>
      </w:r>
      <w:r w:rsidRPr="00305B1A">
        <w:rPr>
          <w:rFonts w:cs="Arial" w:hint="cs"/>
          <w:rtl/>
        </w:rPr>
        <w:t>הלידה</w:t>
      </w:r>
      <w:r w:rsidRPr="00305B1A">
        <w:rPr>
          <w:rFonts w:cs="Arial"/>
          <w:rtl/>
        </w:rPr>
        <w:t xml:space="preserve"> </w:t>
      </w:r>
      <w:r w:rsidRPr="00305B1A">
        <w:rPr>
          <w:rFonts w:cs="Arial" w:hint="cs"/>
          <w:rtl/>
        </w:rPr>
        <w:t>מספיק</w:t>
      </w:r>
      <w:r>
        <w:rPr>
          <w:rFonts w:cs="Arial" w:hint="cs"/>
          <w:rtl/>
        </w:rPr>
        <w:t>,</w:t>
      </w:r>
      <w:r w:rsidRPr="00305B1A">
        <w:rPr>
          <w:rFonts w:cs="Arial"/>
          <w:rtl/>
        </w:rPr>
        <w:t xml:space="preserve"> </w:t>
      </w:r>
      <w:r w:rsidRPr="00305B1A">
        <w:rPr>
          <w:rFonts w:cs="Arial" w:hint="cs"/>
          <w:rtl/>
        </w:rPr>
        <w:t>חזר</w:t>
      </w:r>
      <w:r w:rsidRPr="00305B1A">
        <w:rPr>
          <w:rFonts w:cs="Arial"/>
          <w:rtl/>
        </w:rPr>
        <w:t xml:space="preserve"> </w:t>
      </w:r>
      <w:r w:rsidRPr="00305B1A">
        <w:rPr>
          <w:rFonts w:cs="Arial" w:hint="cs"/>
          <w:rtl/>
        </w:rPr>
        <w:t>חשש</w:t>
      </w:r>
      <w:r w:rsidRPr="00305B1A">
        <w:rPr>
          <w:rFonts w:cs="Arial"/>
          <w:rtl/>
        </w:rPr>
        <w:t xml:space="preserve"> </w:t>
      </w:r>
      <w:r w:rsidRPr="00305B1A">
        <w:rPr>
          <w:rFonts w:cs="Arial" w:hint="cs"/>
          <w:rtl/>
        </w:rPr>
        <w:t>התלמוד</w:t>
      </w:r>
      <w:r w:rsidRPr="00305B1A">
        <w:rPr>
          <w:rFonts w:cs="Arial"/>
          <w:rtl/>
        </w:rPr>
        <w:t xml:space="preserve"> </w:t>
      </w:r>
      <w:r w:rsidRPr="00305B1A">
        <w:rPr>
          <w:rFonts w:cs="Arial" w:hint="cs"/>
          <w:rtl/>
        </w:rPr>
        <w:t>למקומו</w:t>
      </w:r>
      <w:r w:rsidRPr="00305B1A">
        <w:rPr>
          <w:rFonts w:cs="Arial"/>
          <w:rtl/>
        </w:rPr>
        <w:t xml:space="preserve"> </w:t>
      </w:r>
      <w:r w:rsidRPr="00305B1A">
        <w:rPr>
          <w:rFonts w:cs="Arial" w:hint="cs"/>
          <w:rtl/>
        </w:rPr>
        <w:t>ניחוש</w:t>
      </w:r>
      <w:r w:rsidRPr="00305B1A">
        <w:rPr>
          <w:rFonts w:cs="Arial"/>
          <w:rtl/>
        </w:rPr>
        <w:t xml:space="preserve"> </w:t>
      </w:r>
      <w:r w:rsidRPr="00305B1A">
        <w:rPr>
          <w:rFonts w:cs="Arial" w:hint="cs"/>
          <w:rtl/>
        </w:rPr>
        <w:t>דילמא</w:t>
      </w:r>
      <w:r w:rsidRPr="00305B1A">
        <w:rPr>
          <w:rFonts w:cs="Arial"/>
          <w:rtl/>
        </w:rPr>
        <w:t xml:space="preserve"> </w:t>
      </w:r>
      <w:r w:rsidRPr="00305B1A">
        <w:rPr>
          <w:rFonts w:cs="Arial" w:hint="cs"/>
          <w:rtl/>
        </w:rPr>
        <w:t>אזיל</w:t>
      </w:r>
      <w:r w:rsidRPr="00305B1A">
        <w:rPr>
          <w:rFonts w:cs="Arial"/>
          <w:rtl/>
        </w:rPr>
        <w:t xml:space="preserve"> </w:t>
      </w:r>
      <w:r w:rsidRPr="00305B1A">
        <w:rPr>
          <w:rFonts w:cs="Arial" w:hint="cs"/>
          <w:rtl/>
        </w:rPr>
        <w:t>וממטי</w:t>
      </w:r>
      <w:r w:rsidRPr="00305B1A">
        <w:rPr>
          <w:rFonts w:cs="Arial"/>
          <w:rtl/>
        </w:rPr>
        <w:t xml:space="preserve"> </w:t>
      </w:r>
      <w:r w:rsidRPr="00305B1A">
        <w:rPr>
          <w:rFonts w:cs="Arial" w:hint="cs"/>
          <w:rtl/>
        </w:rPr>
        <w:t>לאנתתיה</w:t>
      </w:r>
      <w:r w:rsidRPr="00305B1A">
        <w:rPr>
          <w:rFonts w:cs="Arial"/>
          <w:rtl/>
        </w:rPr>
        <w:t xml:space="preserve"> </w:t>
      </w:r>
      <w:r w:rsidRPr="00305B1A">
        <w:rPr>
          <w:rFonts w:cs="Arial" w:hint="cs"/>
          <w:rtl/>
        </w:rPr>
        <w:t>דהאיך</w:t>
      </w:r>
      <w:r>
        <w:rPr>
          <w:rFonts w:cs="Arial" w:hint="cs"/>
          <w:rtl/>
        </w:rPr>
        <w:t>.</w:t>
      </w:r>
      <w:r w:rsidRPr="00305B1A">
        <w:rPr>
          <w:rFonts w:cs="Arial"/>
          <w:rtl/>
        </w:rPr>
        <w:t xml:space="preserve"> </w:t>
      </w:r>
      <w:r w:rsidRPr="00305B1A">
        <w:rPr>
          <w:rFonts w:cs="Arial" w:hint="cs"/>
          <w:rtl/>
        </w:rPr>
        <w:t>שהרי</w:t>
      </w:r>
      <w:r w:rsidRPr="00305B1A">
        <w:rPr>
          <w:rFonts w:cs="Arial"/>
          <w:rtl/>
        </w:rPr>
        <w:t xml:space="preserve"> </w:t>
      </w:r>
      <w:r w:rsidRPr="00305B1A">
        <w:rPr>
          <w:rFonts w:cs="Arial" w:hint="cs"/>
          <w:rtl/>
        </w:rPr>
        <w:t>כל</w:t>
      </w:r>
      <w:r w:rsidRPr="00305B1A">
        <w:rPr>
          <w:rFonts w:cs="Arial"/>
          <w:rtl/>
        </w:rPr>
        <w:t xml:space="preserve"> </w:t>
      </w:r>
      <w:r w:rsidRPr="00305B1A">
        <w:rPr>
          <w:rFonts w:cs="Arial" w:hint="cs"/>
          <w:rtl/>
        </w:rPr>
        <w:t>התינוקות</w:t>
      </w:r>
      <w:r w:rsidRPr="00305B1A">
        <w:rPr>
          <w:rFonts w:cs="Arial"/>
          <w:rtl/>
        </w:rPr>
        <w:t xml:space="preserve"> </w:t>
      </w:r>
      <w:r w:rsidRPr="00305B1A">
        <w:rPr>
          <w:rFonts w:cs="Arial" w:hint="cs"/>
          <w:rtl/>
        </w:rPr>
        <w:t>שנולדו</w:t>
      </w:r>
      <w:r w:rsidRPr="00305B1A">
        <w:rPr>
          <w:rFonts w:cs="Arial"/>
          <w:rtl/>
        </w:rPr>
        <w:t xml:space="preserve"> </w:t>
      </w:r>
      <w:r w:rsidRPr="00305B1A">
        <w:rPr>
          <w:rFonts w:cs="Arial" w:hint="cs"/>
          <w:rtl/>
        </w:rPr>
        <w:t>בכאן</w:t>
      </w:r>
      <w:r w:rsidRPr="00305B1A">
        <w:rPr>
          <w:rFonts w:cs="Arial"/>
          <w:rtl/>
        </w:rPr>
        <w:t xml:space="preserve"> </w:t>
      </w:r>
      <w:r w:rsidRPr="00305B1A">
        <w:rPr>
          <w:rFonts w:cs="Arial" w:hint="cs"/>
          <w:rtl/>
        </w:rPr>
        <w:t>והלכו</w:t>
      </w:r>
      <w:r w:rsidRPr="00305B1A">
        <w:rPr>
          <w:rFonts w:cs="Arial"/>
          <w:rtl/>
        </w:rPr>
        <w:t xml:space="preserve"> </w:t>
      </w:r>
      <w:r w:rsidRPr="00305B1A">
        <w:rPr>
          <w:rFonts w:cs="Arial" w:hint="cs"/>
          <w:rtl/>
        </w:rPr>
        <w:t>להם</w:t>
      </w:r>
      <w:r w:rsidRPr="00305B1A">
        <w:rPr>
          <w:rFonts w:cs="Arial"/>
          <w:rtl/>
        </w:rPr>
        <w:t xml:space="preserve"> </w:t>
      </w:r>
      <w:r w:rsidRPr="00305B1A">
        <w:rPr>
          <w:rFonts w:cs="Arial" w:hint="cs"/>
          <w:rtl/>
        </w:rPr>
        <w:t>זה</w:t>
      </w:r>
      <w:r w:rsidRPr="00305B1A">
        <w:rPr>
          <w:rFonts w:cs="Arial"/>
          <w:rtl/>
        </w:rPr>
        <w:t xml:space="preserve"> </w:t>
      </w:r>
      <w:r w:rsidRPr="00305B1A">
        <w:rPr>
          <w:rFonts w:cs="Arial" w:hint="cs"/>
          <w:rtl/>
        </w:rPr>
        <w:t>שנים</w:t>
      </w:r>
      <w:r w:rsidRPr="00305B1A">
        <w:rPr>
          <w:rFonts w:cs="Arial"/>
          <w:rtl/>
        </w:rPr>
        <w:t xml:space="preserve"> </w:t>
      </w:r>
      <w:r w:rsidRPr="00305B1A">
        <w:rPr>
          <w:rFonts w:cs="Arial" w:hint="cs"/>
          <w:rtl/>
        </w:rPr>
        <w:t>רבות</w:t>
      </w:r>
      <w:r w:rsidRPr="00305B1A">
        <w:rPr>
          <w:rFonts w:cs="Arial"/>
          <w:rtl/>
        </w:rPr>
        <w:t xml:space="preserve"> </w:t>
      </w:r>
      <w:r w:rsidRPr="00305B1A">
        <w:rPr>
          <w:rFonts w:cs="Arial" w:hint="cs"/>
          <w:rtl/>
        </w:rPr>
        <w:t>אין</w:t>
      </w:r>
      <w:r w:rsidRPr="00305B1A">
        <w:rPr>
          <w:rFonts w:cs="Arial"/>
          <w:rtl/>
        </w:rPr>
        <w:t xml:space="preserve"> </w:t>
      </w:r>
      <w:r w:rsidRPr="00305B1A">
        <w:rPr>
          <w:rFonts w:cs="Arial" w:hint="cs"/>
          <w:rtl/>
        </w:rPr>
        <w:t>להם</w:t>
      </w:r>
      <w:r w:rsidRPr="00305B1A">
        <w:rPr>
          <w:rFonts w:cs="Arial"/>
          <w:rtl/>
        </w:rPr>
        <w:t xml:space="preserve"> </w:t>
      </w:r>
      <w:r w:rsidRPr="00305B1A">
        <w:rPr>
          <w:rFonts w:cs="Arial" w:hint="cs"/>
          <w:rtl/>
        </w:rPr>
        <w:t>קול</w:t>
      </w:r>
      <w:r w:rsidRPr="00305B1A">
        <w:rPr>
          <w:rFonts w:cs="Arial"/>
          <w:rtl/>
        </w:rPr>
        <w:t xml:space="preserve"> </w:t>
      </w:r>
      <w:r w:rsidRPr="00305B1A">
        <w:rPr>
          <w:rFonts w:cs="Arial" w:hint="cs"/>
          <w:rtl/>
        </w:rPr>
        <w:t>ואין</w:t>
      </w:r>
      <w:r w:rsidRPr="00305B1A">
        <w:rPr>
          <w:rFonts w:cs="Arial"/>
          <w:rtl/>
        </w:rPr>
        <w:t xml:space="preserve"> </w:t>
      </w:r>
      <w:r w:rsidRPr="00305B1A">
        <w:rPr>
          <w:rFonts w:cs="Arial" w:hint="cs"/>
          <w:rtl/>
        </w:rPr>
        <w:t>העדים</w:t>
      </w:r>
      <w:r w:rsidRPr="00305B1A">
        <w:rPr>
          <w:rFonts w:cs="Arial"/>
          <w:rtl/>
        </w:rPr>
        <w:t xml:space="preserve"> </w:t>
      </w:r>
      <w:r w:rsidRPr="00305B1A">
        <w:rPr>
          <w:rFonts w:cs="Arial" w:hint="cs"/>
          <w:rtl/>
        </w:rPr>
        <w:t>יודעין</w:t>
      </w:r>
      <w:r w:rsidRPr="00305B1A">
        <w:rPr>
          <w:rFonts w:cs="Arial"/>
          <w:rtl/>
        </w:rPr>
        <w:t xml:space="preserve"> </w:t>
      </w:r>
      <w:r w:rsidRPr="00305B1A">
        <w:rPr>
          <w:rFonts w:cs="Arial" w:hint="cs"/>
          <w:rtl/>
        </w:rPr>
        <w:t>אותם</w:t>
      </w:r>
      <w:r>
        <w:rPr>
          <w:rFonts w:cs="Arial" w:hint="cs"/>
          <w:rtl/>
        </w:rPr>
        <w:t>,</w:t>
      </w:r>
      <w:r w:rsidRPr="00305B1A">
        <w:rPr>
          <w:rFonts w:cs="Arial"/>
          <w:rtl/>
        </w:rPr>
        <w:t xml:space="preserve"> </w:t>
      </w:r>
      <w:r w:rsidRPr="00305B1A">
        <w:rPr>
          <w:rFonts w:cs="Arial" w:hint="cs"/>
          <w:rtl/>
        </w:rPr>
        <w:t>וליחוש</w:t>
      </w:r>
      <w:r w:rsidRPr="00305B1A">
        <w:rPr>
          <w:rFonts w:cs="Arial"/>
          <w:rtl/>
        </w:rPr>
        <w:t xml:space="preserve"> </w:t>
      </w:r>
      <w:r w:rsidRPr="00305B1A">
        <w:rPr>
          <w:rFonts w:cs="Arial" w:hint="cs"/>
          <w:rtl/>
        </w:rPr>
        <w:t>דילמא</w:t>
      </w:r>
      <w:r w:rsidRPr="00305B1A">
        <w:rPr>
          <w:rFonts w:cs="Arial"/>
          <w:rtl/>
        </w:rPr>
        <w:t xml:space="preserve"> </w:t>
      </w:r>
      <w:r w:rsidRPr="00305B1A">
        <w:rPr>
          <w:rFonts w:cs="Arial" w:hint="cs"/>
          <w:rtl/>
        </w:rPr>
        <w:t>נולד</w:t>
      </w:r>
      <w:r w:rsidRPr="00305B1A">
        <w:rPr>
          <w:rFonts w:cs="Arial"/>
          <w:rtl/>
        </w:rPr>
        <w:t xml:space="preserve"> </w:t>
      </w:r>
      <w:r w:rsidRPr="00305B1A">
        <w:rPr>
          <w:rFonts w:cs="Arial" w:hint="cs"/>
          <w:rtl/>
        </w:rPr>
        <w:t>אחר</w:t>
      </w:r>
      <w:r w:rsidRPr="00305B1A">
        <w:rPr>
          <w:rFonts w:cs="Arial"/>
          <w:rtl/>
        </w:rPr>
        <w:t xml:space="preserve"> </w:t>
      </w:r>
      <w:r w:rsidRPr="00305B1A">
        <w:rPr>
          <w:rFonts w:cs="Arial" w:hint="cs"/>
          <w:rtl/>
        </w:rPr>
        <w:t>בכאן</w:t>
      </w:r>
      <w:r w:rsidRPr="00305B1A">
        <w:rPr>
          <w:rFonts w:cs="Arial"/>
          <w:rtl/>
        </w:rPr>
        <w:t xml:space="preserve"> </w:t>
      </w:r>
      <w:r w:rsidRPr="00305B1A">
        <w:rPr>
          <w:rFonts w:cs="Arial" w:hint="cs"/>
          <w:rtl/>
        </w:rPr>
        <w:t>ששמו</w:t>
      </w:r>
      <w:r w:rsidRPr="00305B1A">
        <w:rPr>
          <w:rFonts w:cs="Arial"/>
          <w:rtl/>
        </w:rPr>
        <w:t xml:space="preserve"> </w:t>
      </w:r>
      <w:r w:rsidRPr="00305B1A">
        <w:rPr>
          <w:rFonts w:cs="Arial" w:hint="cs"/>
          <w:rtl/>
        </w:rPr>
        <w:t>כשם</w:t>
      </w:r>
      <w:r w:rsidRPr="00305B1A">
        <w:rPr>
          <w:rFonts w:cs="Arial"/>
          <w:rtl/>
        </w:rPr>
        <w:t xml:space="preserve"> </w:t>
      </w:r>
      <w:r w:rsidRPr="00305B1A">
        <w:rPr>
          <w:rFonts w:cs="Arial" w:hint="cs"/>
          <w:rtl/>
        </w:rPr>
        <w:t>זה</w:t>
      </w:r>
      <w:r w:rsidRPr="00305B1A">
        <w:rPr>
          <w:rFonts w:cs="Arial"/>
          <w:rtl/>
        </w:rPr>
        <w:t xml:space="preserve"> </w:t>
      </w:r>
      <w:r w:rsidRPr="00305B1A">
        <w:rPr>
          <w:rFonts w:cs="Arial" w:hint="cs"/>
          <w:rtl/>
        </w:rPr>
        <w:t>המגרש</w:t>
      </w:r>
      <w:r w:rsidRPr="00305B1A">
        <w:rPr>
          <w:rFonts w:cs="Arial"/>
          <w:rtl/>
        </w:rPr>
        <w:t xml:space="preserve"> </w:t>
      </w:r>
      <w:r w:rsidRPr="00305B1A">
        <w:rPr>
          <w:rFonts w:cs="Arial" w:hint="cs"/>
          <w:rtl/>
        </w:rPr>
        <w:t>וממטי</w:t>
      </w:r>
      <w:r w:rsidRPr="00305B1A">
        <w:rPr>
          <w:rFonts w:cs="Arial"/>
          <w:rtl/>
        </w:rPr>
        <w:t xml:space="preserve"> </w:t>
      </w:r>
      <w:r w:rsidRPr="00305B1A">
        <w:rPr>
          <w:rFonts w:cs="Arial" w:hint="cs"/>
          <w:rtl/>
        </w:rPr>
        <w:t>ליה</w:t>
      </w:r>
      <w:r w:rsidRPr="00305B1A">
        <w:rPr>
          <w:rFonts w:cs="Arial"/>
          <w:rtl/>
        </w:rPr>
        <w:t xml:space="preserve"> </w:t>
      </w:r>
      <w:r w:rsidRPr="00305B1A">
        <w:rPr>
          <w:rFonts w:cs="Arial" w:hint="cs"/>
          <w:rtl/>
        </w:rPr>
        <w:t>לאנתתיה</w:t>
      </w:r>
      <w:r>
        <w:rPr>
          <w:rFonts w:cs="Arial" w:hint="cs"/>
          <w:rtl/>
        </w:rPr>
        <w:t>.</w:t>
      </w:r>
      <w:r w:rsidRPr="00305B1A">
        <w:rPr>
          <w:rFonts w:cs="Arial"/>
          <w:rtl/>
        </w:rPr>
        <w:t xml:space="preserve"> </w:t>
      </w:r>
      <w:r w:rsidRPr="00305B1A">
        <w:rPr>
          <w:rFonts w:cs="Arial" w:hint="cs"/>
          <w:rtl/>
        </w:rPr>
        <w:t>ולפיכך</w:t>
      </w:r>
      <w:r w:rsidRPr="00305B1A">
        <w:rPr>
          <w:rFonts w:cs="Arial"/>
          <w:rtl/>
        </w:rPr>
        <w:t xml:space="preserve"> </w:t>
      </w:r>
      <w:r w:rsidRPr="00305B1A">
        <w:rPr>
          <w:rFonts w:cs="Arial" w:hint="cs"/>
          <w:rtl/>
        </w:rPr>
        <w:t>אין</w:t>
      </w:r>
      <w:r w:rsidRPr="00305B1A">
        <w:rPr>
          <w:rFonts w:cs="Arial"/>
          <w:rtl/>
        </w:rPr>
        <w:t xml:space="preserve"> </w:t>
      </w:r>
      <w:r w:rsidRPr="00305B1A">
        <w:rPr>
          <w:rFonts w:cs="Arial" w:hint="cs"/>
          <w:rtl/>
        </w:rPr>
        <w:t>דברי</w:t>
      </w:r>
      <w:r w:rsidRPr="00305B1A">
        <w:rPr>
          <w:rFonts w:cs="Arial"/>
          <w:rtl/>
        </w:rPr>
        <w:t xml:space="preserve"> </w:t>
      </w:r>
      <w:r w:rsidRPr="00305B1A">
        <w:rPr>
          <w:rFonts w:cs="Arial" w:hint="cs"/>
          <w:rtl/>
        </w:rPr>
        <w:t>הרשב</w:t>
      </w:r>
      <w:r w:rsidRPr="00305B1A">
        <w:rPr>
          <w:rFonts w:cs="Arial"/>
          <w:rtl/>
        </w:rPr>
        <w:t>"</w:t>
      </w:r>
      <w:r w:rsidRPr="00305B1A">
        <w:rPr>
          <w:rFonts w:cs="Arial" w:hint="cs"/>
          <w:rtl/>
        </w:rPr>
        <w:t>א</w:t>
      </w:r>
      <w:r w:rsidRPr="00305B1A">
        <w:rPr>
          <w:rFonts w:cs="Arial"/>
          <w:rtl/>
        </w:rPr>
        <w:t xml:space="preserve"> </w:t>
      </w:r>
      <w:r w:rsidRPr="00305B1A">
        <w:rPr>
          <w:rFonts w:cs="Arial" w:hint="cs"/>
          <w:rtl/>
        </w:rPr>
        <w:t>ז</w:t>
      </w:r>
      <w:r w:rsidRPr="00305B1A">
        <w:rPr>
          <w:rFonts w:cs="Arial"/>
          <w:rtl/>
        </w:rPr>
        <w:t>"</w:t>
      </w:r>
      <w:r w:rsidRPr="00305B1A">
        <w:rPr>
          <w:rFonts w:cs="Arial" w:hint="cs"/>
          <w:rtl/>
        </w:rPr>
        <w:t>ל</w:t>
      </w:r>
      <w:r w:rsidRPr="00305B1A">
        <w:rPr>
          <w:rFonts w:cs="Arial"/>
          <w:rtl/>
        </w:rPr>
        <w:t xml:space="preserve"> </w:t>
      </w:r>
      <w:r w:rsidRPr="00305B1A">
        <w:rPr>
          <w:rFonts w:cs="Arial" w:hint="cs"/>
          <w:rtl/>
        </w:rPr>
        <w:t>מתחוורין</w:t>
      </w:r>
      <w:r w:rsidRPr="00305B1A">
        <w:rPr>
          <w:rFonts w:cs="Arial"/>
          <w:rtl/>
        </w:rPr>
        <w:t xml:space="preserve"> </w:t>
      </w:r>
      <w:r w:rsidRPr="00305B1A">
        <w:rPr>
          <w:rFonts w:cs="Arial" w:hint="cs"/>
          <w:rtl/>
        </w:rPr>
        <w:t>אצלי</w:t>
      </w:r>
      <w:r w:rsidRPr="00305B1A">
        <w:rPr>
          <w:rFonts w:cs="Arial"/>
          <w:rtl/>
        </w:rPr>
        <w:t xml:space="preserve"> </w:t>
      </w:r>
      <w:r w:rsidRPr="00305B1A">
        <w:rPr>
          <w:rFonts w:cs="Arial" w:hint="cs"/>
          <w:rtl/>
        </w:rPr>
        <w:t>בזה</w:t>
      </w:r>
      <w:r w:rsidRPr="00305B1A">
        <w:rPr>
          <w:rFonts w:cs="Arial"/>
          <w:rtl/>
        </w:rPr>
        <w:t xml:space="preserve">. </w:t>
      </w:r>
      <w:r w:rsidRPr="00305B1A">
        <w:rPr>
          <w:rFonts w:cs="Arial" w:hint="cs"/>
          <w:rtl/>
        </w:rPr>
        <w:t>ומ</w:t>
      </w:r>
      <w:r w:rsidRPr="00305B1A">
        <w:rPr>
          <w:rFonts w:cs="Arial"/>
          <w:rtl/>
        </w:rPr>
        <w:t>"</w:t>
      </w:r>
      <w:r w:rsidRPr="00305B1A">
        <w:rPr>
          <w:rFonts w:cs="Arial" w:hint="cs"/>
          <w:rtl/>
        </w:rPr>
        <w:t>מ</w:t>
      </w:r>
      <w:r w:rsidRPr="00305B1A">
        <w:rPr>
          <w:rFonts w:cs="Arial"/>
          <w:rtl/>
        </w:rPr>
        <w:t xml:space="preserve"> </w:t>
      </w:r>
      <w:r w:rsidRPr="00305B1A">
        <w:rPr>
          <w:rFonts w:cs="Arial" w:hint="cs"/>
          <w:rtl/>
        </w:rPr>
        <w:t>אף</w:t>
      </w:r>
      <w:r w:rsidRPr="00305B1A">
        <w:rPr>
          <w:rFonts w:cs="Arial"/>
          <w:rtl/>
        </w:rPr>
        <w:t xml:space="preserve"> </w:t>
      </w:r>
      <w:r w:rsidRPr="00305B1A">
        <w:rPr>
          <w:rFonts w:cs="Arial" w:hint="cs"/>
          <w:rtl/>
        </w:rPr>
        <w:t>לפי</w:t>
      </w:r>
      <w:r w:rsidRPr="00305B1A">
        <w:rPr>
          <w:rFonts w:cs="Arial"/>
          <w:rtl/>
        </w:rPr>
        <w:t xml:space="preserve"> </w:t>
      </w:r>
      <w:r w:rsidRPr="00305B1A">
        <w:rPr>
          <w:rFonts w:cs="Arial" w:hint="cs"/>
          <w:rtl/>
        </w:rPr>
        <w:t>דבריו</w:t>
      </w:r>
      <w:r w:rsidRPr="00305B1A">
        <w:rPr>
          <w:rFonts w:cs="Arial"/>
          <w:rtl/>
        </w:rPr>
        <w:t xml:space="preserve"> </w:t>
      </w:r>
      <w:r w:rsidRPr="00305B1A">
        <w:rPr>
          <w:rFonts w:cs="Arial" w:hint="cs"/>
          <w:rtl/>
        </w:rPr>
        <w:t>גט</w:t>
      </w:r>
      <w:r w:rsidRPr="00305B1A">
        <w:rPr>
          <w:rFonts w:cs="Arial"/>
          <w:rtl/>
        </w:rPr>
        <w:t xml:space="preserve"> </w:t>
      </w:r>
      <w:r w:rsidRPr="00305B1A">
        <w:rPr>
          <w:rFonts w:cs="Arial" w:hint="cs"/>
          <w:rtl/>
        </w:rPr>
        <w:t>זה</w:t>
      </w:r>
      <w:r w:rsidRPr="00305B1A">
        <w:rPr>
          <w:rFonts w:cs="Arial"/>
          <w:rtl/>
        </w:rPr>
        <w:t xml:space="preserve"> </w:t>
      </w:r>
      <w:r w:rsidRPr="00305B1A">
        <w:rPr>
          <w:rFonts w:cs="Arial" w:hint="cs"/>
          <w:rtl/>
        </w:rPr>
        <w:t>פסול</w:t>
      </w:r>
      <w:r>
        <w:rPr>
          <w:rFonts w:cs="Arial" w:hint="cs"/>
          <w:rtl/>
        </w:rPr>
        <w:t>,</w:t>
      </w:r>
      <w:r w:rsidRPr="00305B1A">
        <w:rPr>
          <w:rFonts w:cs="Arial"/>
          <w:rtl/>
        </w:rPr>
        <w:t xml:space="preserve"> </w:t>
      </w:r>
      <w:r w:rsidRPr="00305B1A">
        <w:rPr>
          <w:rFonts w:cs="Arial" w:hint="cs"/>
          <w:rtl/>
        </w:rPr>
        <w:t>שהוא</w:t>
      </w:r>
      <w:r w:rsidRPr="00305B1A">
        <w:rPr>
          <w:rFonts w:cs="Arial"/>
          <w:rtl/>
        </w:rPr>
        <w:t xml:space="preserve"> </w:t>
      </w:r>
      <w:r w:rsidRPr="00305B1A">
        <w:rPr>
          <w:rFonts w:cs="Arial" w:hint="cs"/>
          <w:rtl/>
        </w:rPr>
        <w:t>ז</w:t>
      </w:r>
      <w:r w:rsidRPr="00305B1A">
        <w:rPr>
          <w:rFonts w:cs="Arial"/>
          <w:rtl/>
        </w:rPr>
        <w:t>"</w:t>
      </w:r>
      <w:r w:rsidRPr="00305B1A">
        <w:rPr>
          <w:rFonts w:cs="Arial" w:hint="cs"/>
          <w:rtl/>
        </w:rPr>
        <w:t>ל</w:t>
      </w:r>
      <w:r w:rsidRPr="00305B1A">
        <w:rPr>
          <w:rFonts w:cs="Arial"/>
          <w:rtl/>
        </w:rPr>
        <w:t xml:space="preserve"> </w:t>
      </w:r>
      <w:r w:rsidRPr="00305B1A">
        <w:rPr>
          <w:rFonts w:cs="Arial" w:hint="cs"/>
          <w:rtl/>
        </w:rPr>
        <w:t>לא</w:t>
      </w:r>
      <w:r w:rsidRPr="00305B1A">
        <w:rPr>
          <w:rFonts w:cs="Arial"/>
          <w:rtl/>
        </w:rPr>
        <w:t xml:space="preserve"> </w:t>
      </w:r>
      <w:r w:rsidRPr="00305B1A">
        <w:rPr>
          <w:rFonts w:cs="Arial" w:hint="cs"/>
          <w:rtl/>
        </w:rPr>
        <w:t>אמרה</w:t>
      </w:r>
      <w:r w:rsidRPr="00305B1A">
        <w:rPr>
          <w:rFonts w:cs="Arial"/>
          <w:rtl/>
        </w:rPr>
        <w:t xml:space="preserve"> </w:t>
      </w:r>
      <w:r w:rsidRPr="00305B1A">
        <w:rPr>
          <w:rFonts w:cs="Arial" w:hint="cs"/>
          <w:rtl/>
        </w:rPr>
        <w:t>אלא</w:t>
      </w:r>
      <w:r w:rsidRPr="00305B1A">
        <w:rPr>
          <w:rFonts w:cs="Arial"/>
          <w:rtl/>
        </w:rPr>
        <w:t xml:space="preserve"> </w:t>
      </w:r>
      <w:r w:rsidRPr="00305B1A">
        <w:rPr>
          <w:rFonts w:cs="Arial" w:hint="cs"/>
          <w:rtl/>
        </w:rPr>
        <w:t>במגרש</w:t>
      </w:r>
      <w:r w:rsidRPr="00305B1A">
        <w:rPr>
          <w:rFonts w:cs="Arial"/>
          <w:rtl/>
        </w:rPr>
        <w:t xml:space="preserve"> </w:t>
      </w:r>
      <w:r w:rsidRPr="00305B1A">
        <w:rPr>
          <w:rFonts w:cs="Arial" w:hint="cs"/>
          <w:rtl/>
        </w:rPr>
        <w:t>באותו</w:t>
      </w:r>
      <w:r w:rsidRPr="00305B1A">
        <w:rPr>
          <w:rFonts w:cs="Arial"/>
          <w:rtl/>
        </w:rPr>
        <w:t xml:space="preserve"> </w:t>
      </w:r>
      <w:r w:rsidRPr="00305B1A">
        <w:rPr>
          <w:rFonts w:cs="Arial" w:hint="cs"/>
          <w:rtl/>
        </w:rPr>
        <w:t>מקום</w:t>
      </w:r>
      <w:r w:rsidRPr="00305B1A">
        <w:rPr>
          <w:rFonts w:cs="Arial"/>
          <w:rtl/>
        </w:rPr>
        <w:t xml:space="preserve"> </w:t>
      </w:r>
      <w:r w:rsidRPr="00305B1A">
        <w:rPr>
          <w:rFonts w:cs="Arial" w:hint="cs"/>
          <w:rtl/>
        </w:rPr>
        <w:t>שנולד</w:t>
      </w:r>
      <w:r w:rsidRPr="00305B1A">
        <w:rPr>
          <w:rFonts w:cs="Arial"/>
          <w:rtl/>
        </w:rPr>
        <w:t xml:space="preserve"> </w:t>
      </w:r>
      <w:r w:rsidRPr="00305B1A">
        <w:rPr>
          <w:rFonts w:cs="Arial" w:hint="cs"/>
          <w:rtl/>
        </w:rPr>
        <w:t>בו</w:t>
      </w:r>
      <w:r>
        <w:rPr>
          <w:rFonts w:cs="Arial" w:hint="cs"/>
          <w:rtl/>
        </w:rPr>
        <w:t>,</w:t>
      </w:r>
      <w:r w:rsidRPr="00305B1A">
        <w:rPr>
          <w:rFonts w:cs="Arial"/>
          <w:rtl/>
        </w:rPr>
        <w:t xml:space="preserve"> </w:t>
      </w:r>
      <w:r w:rsidRPr="00305B1A">
        <w:rPr>
          <w:rFonts w:cs="Arial" w:hint="cs"/>
          <w:rtl/>
        </w:rPr>
        <w:t>לפי</w:t>
      </w:r>
      <w:r w:rsidRPr="00305B1A">
        <w:rPr>
          <w:rFonts w:cs="Arial"/>
          <w:rtl/>
        </w:rPr>
        <w:t xml:space="preserve"> </w:t>
      </w:r>
      <w:r w:rsidRPr="00305B1A">
        <w:rPr>
          <w:rFonts w:cs="Arial" w:hint="cs"/>
          <w:rtl/>
        </w:rPr>
        <w:t>שנראה</w:t>
      </w:r>
      <w:r w:rsidRPr="00305B1A">
        <w:rPr>
          <w:rFonts w:cs="Arial"/>
          <w:rtl/>
        </w:rPr>
        <w:t xml:space="preserve"> </w:t>
      </w:r>
      <w:r w:rsidRPr="00305B1A">
        <w:rPr>
          <w:rFonts w:cs="Arial" w:hint="cs"/>
          <w:rtl/>
        </w:rPr>
        <w:t>שסבור</w:t>
      </w:r>
      <w:r w:rsidRPr="00305B1A">
        <w:rPr>
          <w:rFonts w:cs="Arial"/>
          <w:rtl/>
        </w:rPr>
        <w:t xml:space="preserve"> </w:t>
      </w:r>
      <w:r w:rsidRPr="00305B1A">
        <w:rPr>
          <w:rFonts w:cs="Arial" w:hint="cs"/>
          <w:rtl/>
        </w:rPr>
        <w:t>הרב</w:t>
      </w:r>
      <w:r w:rsidRPr="00305B1A">
        <w:rPr>
          <w:rFonts w:cs="Arial"/>
          <w:rtl/>
        </w:rPr>
        <w:t xml:space="preserve"> </w:t>
      </w:r>
      <w:r w:rsidRPr="00305B1A">
        <w:rPr>
          <w:rFonts w:cs="Arial" w:hint="cs"/>
          <w:rtl/>
        </w:rPr>
        <w:t>ז</w:t>
      </w:r>
      <w:r w:rsidRPr="00305B1A">
        <w:rPr>
          <w:rFonts w:cs="Arial"/>
          <w:rtl/>
        </w:rPr>
        <w:t>"</w:t>
      </w:r>
      <w:r w:rsidRPr="00305B1A">
        <w:rPr>
          <w:rFonts w:cs="Arial" w:hint="cs"/>
          <w:rtl/>
        </w:rPr>
        <w:t>ל</w:t>
      </w:r>
      <w:r w:rsidRPr="00305B1A">
        <w:rPr>
          <w:rFonts w:cs="Arial"/>
          <w:rtl/>
        </w:rPr>
        <w:t xml:space="preserve"> </w:t>
      </w:r>
      <w:r w:rsidRPr="00305B1A">
        <w:rPr>
          <w:rFonts w:cs="Arial" w:hint="cs"/>
          <w:rtl/>
        </w:rPr>
        <w:t>שהוא</w:t>
      </w:r>
      <w:r w:rsidRPr="00305B1A">
        <w:rPr>
          <w:rFonts w:cs="Arial"/>
          <w:rtl/>
        </w:rPr>
        <w:t xml:space="preserve"> </w:t>
      </w:r>
      <w:r w:rsidRPr="00305B1A">
        <w:rPr>
          <w:rFonts w:cs="Arial" w:hint="cs"/>
          <w:rtl/>
        </w:rPr>
        <w:t>עיקר</w:t>
      </w:r>
      <w:r w:rsidRPr="00305B1A">
        <w:rPr>
          <w:rFonts w:cs="Arial"/>
          <w:rtl/>
        </w:rPr>
        <w:t xml:space="preserve"> </w:t>
      </w:r>
      <w:r w:rsidRPr="00305B1A">
        <w:rPr>
          <w:rFonts w:cs="Arial" w:hint="cs"/>
          <w:rtl/>
        </w:rPr>
        <w:t>שם</w:t>
      </w:r>
      <w:r w:rsidRPr="00305B1A">
        <w:rPr>
          <w:rFonts w:cs="Arial"/>
          <w:rtl/>
        </w:rPr>
        <w:t xml:space="preserve"> </w:t>
      </w:r>
      <w:r w:rsidRPr="00305B1A">
        <w:rPr>
          <w:rFonts w:cs="Arial" w:hint="cs"/>
          <w:rtl/>
        </w:rPr>
        <w:t>עירו</w:t>
      </w:r>
      <w:r w:rsidRPr="00305B1A">
        <w:rPr>
          <w:rFonts w:cs="Arial"/>
          <w:rtl/>
        </w:rPr>
        <w:t xml:space="preserve"> </w:t>
      </w:r>
      <w:r w:rsidRPr="00305B1A">
        <w:rPr>
          <w:rFonts w:cs="Arial" w:hint="cs"/>
          <w:rtl/>
        </w:rPr>
        <w:t>באותו</w:t>
      </w:r>
      <w:r w:rsidRPr="00305B1A">
        <w:rPr>
          <w:rFonts w:cs="Arial"/>
          <w:rtl/>
        </w:rPr>
        <w:t xml:space="preserve"> </w:t>
      </w:r>
      <w:r w:rsidRPr="00305B1A">
        <w:rPr>
          <w:rFonts w:cs="Arial" w:hint="cs"/>
          <w:rtl/>
        </w:rPr>
        <w:t>מקום</w:t>
      </w:r>
      <w:r w:rsidRPr="00305B1A">
        <w:rPr>
          <w:rFonts w:cs="Arial"/>
          <w:rtl/>
        </w:rPr>
        <w:t xml:space="preserve">. </w:t>
      </w:r>
      <w:r w:rsidRPr="00305B1A">
        <w:rPr>
          <w:rFonts w:cs="Arial" w:hint="cs"/>
          <w:rtl/>
        </w:rPr>
        <w:t>ועוד</w:t>
      </w:r>
      <w:r w:rsidRPr="00305B1A">
        <w:rPr>
          <w:rFonts w:cs="Arial"/>
          <w:rtl/>
        </w:rPr>
        <w:t xml:space="preserve"> </w:t>
      </w:r>
      <w:r w:rsidRPr="00305B1A">
        <w:rPr>
          <w:rFonts w:cs="Arial" w:hint="cs"/>
          <w:rtl/>
        </w:rPr>
        <w:t>שזה</w:t>
      </w:r>
      <w:r w:rsidRPr="00305B1A">
        <w:rPr>
          <w:rFonts w:cs="Arial"/>
          <w:rtl/>
        </w:rPr>
        <w:t xml:space="preserve"> </w:t>
      </w:r>
      <w:r w:rsidRPr="00305B1A">
        <w:rPr>
          <w:rFonts w:cs="Arial" w:hint="cs"/>
          <w:rtl/>
        </w:rPr>
        <w:t>שכתב</w:t>
      </w:r>
      <w:r w:rsidRPr="00305B1A">
        <w:rPr>
          <w:rFonts w:cs="Arial"/>
          <w:rtl/>
        </w:rPr>
        <w:t xml:space="preserve"> </w:t>
      </w:r>
      <w:r w:rsidRPr="00305B1A">
        <w:rPr>
          <w:rFonts w:cs="Arial" w:hint="cs"/>
          <w:rtl/>
        </w:rPr>
        <w:t>דממתא</w:t>
      </w:r>
      <w:r w:rsidRPr="00305B1A">
        <w:rPr>
          <w:rFonts w:cs="Arial"/>
          <w:rtl/>
        </w:rPr>
        <w:t xml:space="preserve"> </w:t>
      </w:r>
      <w:r w:rsidRPr="00305B1A">
        <w:rPr>
          <w:rFonts w:cs="Arial" w:hint="cs"/>
          <w:rtl/>
        </w:rPr>
        <w:t>אין</w:t>
      </w:r>
      <w:r w:rsidRPr="00305B1A">
        <w:rPr>
          <w:rFonts w:cs="Arial"/>
          <w:rtl/>
        </w:rPr>
        <w:t xml:space="preserve"> </w:t>
      </w:r>
      <w:r w:rsidRPr="00305B1A">
        <w:rPr>
          <w:rFonts w:cs="Arial" w:hint="cs"/>
          <w:rtl/>
        </w:rPr>
        <w:t>פירושו</w:t>
      </w:r>
      <w:r w:rsidRPr="00305B1A">
        <w:rPr>
          <w:rFonts w:cs="Arial"/>
          <w:rtl/>
        </w:rPr>
        <w:t xml:space="preserve"> </w:t>
      </w:r>
      <w:r w:rsidRPr="00305B1A">
        <w:rPr>
          <w:rFonts w:cs="Arial" w:hint="cs"/>
          <w:rtl/>
        </w:rPr>
        <w:t>על</w:t>
      </w:r>
      <w:r w:rsidRPr="00305B1A">
        <w:rPr>
          <w:rFonts w:cs="Arial"/>
          <w:rtl/>
        </w:rPr>
        <w:t xml:space="preserve"> </w:t>
      </w:r>
      <w:r w:rsidRPr="00305B1A">
        <w:rPr>
          <w:rFonts w:cs="Arial" w:hint="cs"/>
          <w:rtl/>
        </w:rPr>
        <w:t>מקום</w:t>
      </w:r>
      <w:r w:rsidRPr="00305B1A">
        <w:rPr>
          <w:rFonts w:cs="Arial"/>
          <w:rtl/>
        </w:rPr>
        <w:t xml:space="preserve"> </w:t>
      </w:r>
      <w:r w:rsidRPr="00305B1A">
        <w:rPr>
          <w:rFonts w:cs="Arial" w:hint="cs"/>
          <w:rtl/>
        </w:rPr>
        <w:t>לידתו</w:t>
      </w:r>
      <w:r>
        <w:rPr>
          <w:rFonts w:cs="Arial" w:hint="cs"/>
          <w:rtl/>
        </w:rPr>
        <w:t>,</w:t>
      </w:r>
      <w:r w:rsidRPr="00305B1A">
        <w:rPr>
          <w:rFonts w:cs="Arial"/>
          <w:rtl/>
        </w:rPr>
        <w:t xml:space="preserve"> </w:t>
      </w:r>
      <w:r w:rsidRPr="00305B1A">
        <w:rPr>
          <w:rFonts w:cs="Arial" w:hint="cs"/>
          <w:rtl/>
        </w:rPr>
        <w:t>שכשהסופרים</w:t>
      </w:r>
      <w:r w:rsidRPr="00305B1A">
        <w:rPr>
          <w:rFonts w:cs="Arial"/>
          <w:rtl/>
        </w:rPr>
        <w:t xml:space="preserve"> </w:t>
      </w:r>
      <w:r w:rsidRPr="00305B1A">
        <w:rPr>
          <w:rFonts w:cs="Arial" w:hint="cs"/>
          <w:rtl/>
        </w:rPr>
        <w:t>כותבין</w:t>
      </w:r>
      <w:r w:rsidRPr="00305B1A">
        <w:rPr>
          <w:rFonts w:cs="Arial"/>
          <w:rtl/>
        </w:rPr>
        <w:t xml:space="preserve"> </w:t>
      </w:r>
      <w:r w:rsidRPr="00305B1A">
        <w:rPr>
          <w:rFonts w:cs="Arial" w:hint="cs"/>
          <w:rtl/>
        </w:rPr>
        <w:t>מלה</w:t>
      </w:r>
      <w:r w:rsidRPr="00305B1A">
        <w:rPr>
          <w:rFonts w:cs="Arial"/>
          <w:rtl/>
        </w:rPr>
        <w:t xml:space="preserve"> </w:t>
      </w:r>
      <w:r w:rsidRPr="00305B1A">
        <w:rPr>
          <w:rFonts w:cs="Arial" w:hint="cs"/>
          <w:rtl/>
        </w:rPr>
        <w:t>זו</w:t>
      </w:r>
      <w:r w:rsidRPr="00305B1A">
        <w:rPr>
          <w:rFonts w:cs="Arial"/>
          <w:rtl/>
        </w:rPr>
        <w:t xml:space="preserve"> </w:t>
      </w:r>
      <w:r w:rsidRPr="00305B1A">
        <w:rPr>
          <w:rFonts w:cs="Arial" w:hint="cs"/>
          <w:rtl/>
        </w:rPr>
        <w:t>מתכוונין</w:t>
      </w:r>
      <w:r w:rsidRPr="00305B1A">
        <w:rPr>
          <w:rFonts w:cs="Arial"/>
          <w:rtl/>
        </w:rPr>
        <w:t xml:space="preserve"> </w:t>
      </w:r>
      <w:r w:rsidRPr="00305B1A">
        <w:rPr>
          <w:rFonts w:cs="Arial" w:hint="cs"/>
          <w:rtl/>
        </w:rPr>
        <w:t>בה</w:t>
      </w:r>
      <w:r w:rsidRPr="00305B1A">
        <w:rPr>
          <w:rFonts w:cs="Arial"/>
          <w:rtl/>
        </w:rPr>
        <w:t xml:space="preserve"> </w:t>
      </w:r>
      <w:r w:rsidRPr="00305B1A">
        <w:rPr>
          <w:rFonts w:cs="Arial" w:hint="cs"/>
          <w:rtl/>
        </w:rPr>
        <w:t>על</w:t>
      </w:r>
      <w:r w:rsidRPr="00305B1A">
        <w:rPr>
          <w:rFonts w:cs="Arial"/>
          <w:rtl/>
        </w:rPr>
        <w:t xml:space="preserve"> </w:t>
      </w:r>
      <w:r w:rsidRPr="00305B1A">
        <w:rPr>
          <w:rFonts w:cs="Arial" w:hint="cs"/>
          <w:rtl/>
        </w:rPr>
        <w:t>עיקר</w:t>
      </w:r>
      <w:r w:rsidRPr="00305B1A">
        <w:rPr>
          <w:rFonts w:cs="Arial"/>
          <w:rtl/>
        </w:rPr>
        <w:t xml:space="preserve"> </w:t>
      </w:r>
      <w:r w:rsidRPr="00305B1A">
        <w:rPr>
          <w:rFonts w:cs="Arial" w:hint="cs"/>
          <w:rtl/>
        </w:rPr>
        <w:t>מקום</w:t>
      </w:r>
      <w:r w:rsidRPr="00305B1A">
        <w:rPr>
          <w:rFonts w:cs="Arial"/>
          <w:rtl/>
        </w:rPr>
        <w:t xml:space="preserve"> </w:t>
      </w:r>
      <w:r w:rsidRPr="00305B1A">
        <w:rPr>
          <w:rFonts w:cs="Arial" w:hint="cs"/>
          <w:rtl/>
        </w:rPr>
        <w:t>דירתו</w:t>
      </w:r>
      <w:r>
        <w:rPr>
          <w:rFonts w:cs="Arial" w:hint="cs"/>
          <w:rtl/>
        </w:rPr>
        <w:t>,</w:t>
      </w:r>
      <w:r w:rsidRPr="00305B1A">
        <w:rPr>
          <w:rFonts w:cs="Arial"/>
          <w:rtl/>
        </w:rPr>
        <w:t xml:space="preserve"> </w:t>
      </w:r>
      <w:r w:rsidRPr="00305B1A">
        <w:rPr>
          <w:rFonts w:cs="Arial" w:hint="cs"/>
          <w:rtl/>
        </w:rPr>
        <w:t>והוה</w:t>
      </w:r>
      <w:r w:rsidRPr="00305B1A">
        <w:rPr>
          <w:rFonts w:cs="Arial"/>
          <w:rtl/>
        </w:rPr>
        <w:t xml:space="preserve"> </w:t>
      </w:r>
      <w:r w:rsidRPr="00305B1A">
        <w:rPr>
          <w:rFonts w:cs="Arial" w:hint="cs"/>
          <w:rtl/>
        </w:rPr>
        <w:t>ליה</w:t>
      </w:r>
      <w:r w:rsidRPr="00305B1A">
        <w:rPr>
          <w:rFonts w:cs="Arial"/>
          <w:rtl/>
        </w:rPr>
        <w:t xml:space="preserve"> </w:t>
      </w:r>
      <w:r w:rsidRPr="00305B1A">
        <w:rPr>
          <w:rFonts w:cs="Arial" w:hint="cs"/>
          <w:rtl/>
        </w:rPr>
        <w:t>שינה</w:t>
      </w:r>
      <w:r w:rsidRPr="00305B1A">
        <w:rPr>
          <w:rFonts w:cs="Arial"/>
          <w:rtl/>
        </w:rPr>
        <w:t xml:space="preserve"> </w:t>
      </w:r>
      <w:r w:rsidRPr="00305B1A">
        <w:rPr>
          <w:rFonts w:cs="Arial" w:hint="cs"/>
          <w:rtl/>
        </w:rPr>
        <w:t>ופסול</w:t>
      </w:r>
      <w:r>
        <w:rPr>
          <w:rFonts w:cs="Arial" w:hint="cs"/>
          <w:rtl/>
        </w:rPr>
        <w:t>,</w:t>
      </w:r>
      <w:r w:rsidRPr="00305B1A">
        <w:rPr>
          <w:rFonts w:cs="Arial"/>
          <w:rtl/>
        </w:rPr>
        <w:t xml:space="preserve"> </w:t>
      </w:r>
      <w:r w:rsidRPr="00305B1A">
        <w:rPr>
          <w:rFonts w:cs="Arial" w:hint="cs"/>
          <w:rtl/>
        </w:rPr>
        <w:t>שהרי</w:t>
      </w:r>
      <w:r w:rsidRPr="00305B1A">
        <w:rPr>
          <w:rFonts w:cs="Arial"/>
          <w:rtl/>
        </w:rPr>
        <w:t xml:space="preserve"> </w:t>
      </w:r>
      <w:r w:rsidRPr="00305B1A">
        <w:rPr>
          <w:rFonts w:cs="Arial" w:hint="cs"/>
          <w:rtl/>
        </w:rPr>
        <w:t>עיקר</w:t>
      </w:r>
      <w:r w:rsidRPr="00305B1A">
        <w:rPr>
          <w:rFonts w:cs="Arial"/>
          <w:rtl/>
        </w:rPr>
        <w:t xml:space="preserve"> </w:t>
      </w:r>
      <w:r w:rsidRPr="00305B1A">
        <w:rPr>
          <w:rFonts w:cs="Arial" w:hint="cs"/>
          <w:rtl/>
        </w:rPr>
        <w:t>דירתו</w:t>
      </w:r>
      <w:r w:rsidRPr="00305B1A">
        <w:rPr>
          <w:rFonts w:cs="Arial"/>
          <w:rtl/>
        </w:rPr>
        <w:t xml:space="preserve"> </w:t>
      </w:r>
      <w:r w:rsidRPr="00305B1A">
        <w:rPr>
          <w:rFonts w:cs="Arial" w:hint="cs"/>
          <w:rtl/>
        </w:rPr>
        <w:t>של</w:t>
      </w:r>
      <w:r w:rsidRPr="00305B1A">
        <w:rPr>
          <w:rFonts w:cs="Arial"/>
          <w:rtl/>
        </w:rPr>
        <w:t xml:space="preserve"> </w:t>
      </w:r>
      <w:r w:rsidRPr="00305B1A">
        <w:rPr>
          <w:rFonts w:cs="Arial" w:hint="cs"/>
          <w:rtl/>
        </w:rPr>
        <w:t>זה</w:t>
      </w:r>
      <w:r w:rsidRPr="00305B1A">
        <w:rPr>
          <w:rFonts w:cs="Arial"/>
          <w:rtl/>
        </w:rPr>
        <w:t xml:space="preserve"> </w:t>
      </w:r>
      <w:r w:rsidRPr="00305B1A">
        <w:rPr>
          <w:rFonts w:cs="Arial" w:hint="cs"/>
          <w:rtl/>
        </w:rPr>
        <w:t>היה</w:t>
      </w:r>
      <w:r w:rsidRPr="00305B1A">
        <w:rPr>
          <w:rFonts w:cs="Arial"/>
          <w:rtl/>
        </w:rPr>
        <w:t xml:space="preserve"> </w:t>
      </w:r>
      <w:r w:rsidRPr="00305B1A">
        <w:rPr>
          <w:rFonts w:cs="Arial" w:hint="cs"/>
          <w:rtl/>
        </w:rPr>
        <w:t>באשביליא</w:t>
      </w:r>
      <w:r w:rsidRPr="00305B1A">
        <w:rPr>
          <w:rFonts w:cs="Arial"/>
          <w:rtl/>
        </w:rPr>
        <w:t xml:space="preserve">. </w:t>
      </w:r>
      <w:r w:rsidRPr="00305B1A">
        <w:rPr>
          <w:rFonts w:cs="Arial" w:hint="cs"/>
          <w:rtl/>
        </w:rPr>
        <w:t>ועוד</w:t>
      </w:r>
      <w:r w:rsidRPr="00305B1A">
        <w:rPr>
          <w:rFonts w:cs="Arial"/>
          <w:rtl/>
        </w:rPr>
        <w:t xml:space="preserve"> </w:t>
      </w:r>
      <w:r w:rsidRPr="00305B1A">
        <w:rPr>
          <w:rFonts w:cs="Arial" w:hint="cs"/>
          <w:rtl/>
        </w:rPr>
        <w:t>דאיכא</w:t>
      </w:r>
      <w:r w:rsidRPr="00305B1A">
        <w:rPr>
          <w:rFonts w:cs="Arial"/>
          <w:rtl/>
        </w:rPr>
        <w:t xml:space="preserve"> </w:t>
      </w:r>
      <w:r w:rsidRPr="00305B1A">
        <w:rPr>
          <w:rFonts w:cs="Arial" w:hint="cs"/>
          <w:rtl/>
        </w:rPr>
        <w:t>הכא</w:t>
      </w:r>
      <w:r w:rsidRPr="00305B1A">
        <w:rPr>
          <w:rFonts w:cs="Arial"/>
          <w:rtl/>
        </w:rPr>
        <w:t xml:space="preserve"> </w:t>
      </w:r>
      <w:r w:rsidRPr="00305B1A">
        <w:rPr>
          <w:rFonts w:cs="Arial" w:hint="cs"/>
          <w:rtl/>
        </w:rPr>
        <w:t>ריעותא</w:t>
      </w:r>
      <w:r w:rsidRPr="00305B1A">
        <w:rPr>
          <w:rFonts w:cs="Arial"/>
          <w:rtl/>
        </w:rPr>
        <w:t xml:space="preserve"> </w:t>
      </w:r>
      <w:r w:rsidRPr="00305B1A">
        <w:rPr>
          <w:rFonts w:cs="Arial" w:hint="cs"/>
          <w:rtl/>
        </w:rPr>
        <w:t>אחריתא</w:t>
      </w:r>
      <w:r w:rsidRPr="00305B1A">
        <w:rPr>
          <w:rFonts w:cs="Arial"/>
          <w:rtl/>
        </w:rPr>
        <w:t xml:space="preserve"> </w:t>
      </w:r>
      <w:r w:rsidRPr="00305B1A">
        <w:rPr>
          <w:rFonts w:cs="Arial" w:hint="cs"/>
          <w:rtl/>
        </w:rPr>
        <w:t>וכמו</w:t>
      </w:r>
      <w:r w:rsidRPr="00305B1A">
        <w:rPr>
          <w:rFonts w:cs="Arial"/>
          <w:rtl/>
        </w:rPr>
        <w:t xml:space="preserve"> </w:t>
      </w:r>
      <w:r w:rsidRPr="00305B1A">
        <w:rPr>
          <w:rFonts w:cs="Arial" w:hint="cs"/>
          <w:rtl/>
        </w:rPr>
        <w:t>שכתבת</w:t>
      </w:r>
      <w:r w:rsidRPr="00305B1A">
        <w:rPr>
          <w:rFonts w:cs="Arial"/>
          <w:rtl/>
        </w:rPr>
        <w:t xml:space="preserve"> </w:t>
      </w:r>
      <w:r w:rsidRPr="00305B1A">
        <w:rPr>
          <w:rFonts w:cs="Arial" w:hint="cs"/>
          <w:rtl/>
        </w:rPr>
        <w:t>שנמצא</w:t>
      </w:r>
      <w:r w:rsidRPr="00305B1A">
        <w:rPr>
          <w:rFonts w:cs="Arial"/>
          <w:rtl/>
        </w:rPr>
        <w:t xml:space="preserve"> </w:t>
      </w:r>
      <w:r w:rsidRPr="00305B1A">
        <w:rPr>
          <w:rFonts w:cs="Arial" w:hint="cs"/>
          <w:rtl/>
        </w:rPr>
        <w:t>בכתובה</w:t>
      </w:r>
      <w:r w:rsidRPr="00305B1A">
        <w:rPr>
          <w:rFonts w:cs="Arial"/>
          <w:rtl/>
        </w:rPr>
        <w:t xml:space="preserve"> </w:t>
      </w:r>
      <w:r w:rsidRPr="00305B1A">
        <w:rPr>
          <w:rFonts w:cs="Arial" w:hint="cs"/>
          <w:rtl/>
        </w:rPr>
        <w:t>ב</w:t>
      </w:r>
      <w:r w:rsidRPr="00305B1A">
        <w:rPr>
          <w:rFonts w:cs="Arial"/>
          <w:rtl/>
        </w:rPr>
        <w:t>"</w:t>
      </w:r>
      <w:r w:rsidRPr="00305B1A">
        <w:rPr>
          <w:rFonts w:cs="Arial" w:hint="cs"/>
          <w:rtl/>
        </w:rPr>
        <w:t>ר</w:t>
      </w:r>
      <w:r w:rsidRPr="00305B1A">
        <w:rPr>
          <w:rFonts w:cs="Arial"/>
          <w:rtl/>
        </w:rPr>
        <w:t xml:space="preserve"> </w:t>
      </w:r>
      <w:r w:rsidRPr="00305B1A">
        <w:rPr>
          <w:rFonts w:cs="Arial" w:hint="cs"/>
          <w:rtl/>
        </w:rPr>
        <w:t>אליעזר</w:t>
      </w:r>
      <w:r>
        <w:rPr>
          <w:rFonts w:cs="Arial" w:hint="cs"/>
          <w:rtl/>
        </w:rPr>
        <w:t>,</w:t>
      </w:r>
      <w:r w:rsidRPr="00305B1A">
        <w:rPr>
          <w:rFonts w:cs="Arial"/>
          <w:rtl/>
        </w:rPr>
        <w:t xml:space="preserve"> </w:t>
      </w:r>
      <w:r w:rsidRPr="00305B1A">
        <w:rPr>
          <w:rFonts w:cs="Arial" w:hint="cs"/>
          <w:rtl/>
        </w:rPr>
        <w:t>ובגט</w:t>
      </w:r>
      <w:r w:rsidRPr="00305B1A">
        <w:rPr>
          <w:rFonts w:cs="Arial"/>
          <w:rtl/>
        </w:rPr>
        <w:t xml:space="preserve"> </w:t>
      </w:r>
      <w:r w:rsidRPr="00305B1A">
        <w:rPr>
          <w:rFonts w:cs="Arial" w:hint="cs"/>
          <w:rtl/>
        </w:rPr>
        <w:t>כתוב</w:t>
      </w:r>
      <w:r w:rsidRPr="00305B1A">
        <w:rPr>
          <w:rFonts w:cs="Arial"/>
          <w:rtl/>
        </w:rPr>
        <w:t xml:space="preserve"> </w:t>
      </w:r>
      <w:r w:rsidRPr="00305B1A">
        <w:rPr>
          <w:rFonts w:cs="Arial" w:hint="cs"/>
          <w:rtl/>
        </w:rPr>
        <w:t>ב</w:t>
      </w:r>
      <w:r w:rsidRPr="00305B1A">
        <w:rPr>
          <w:rFonts w:cs="Arial"/>
          <w:rtl/>
        </w:rPr>
        <w:t>"</w:t>
      </w:r>
      <w:r w:rsidRPr="00305B1A">
        <w:rPr>
          <w:rFonts w:cs="Arial" w:hint="cs"/>
          <w:rtl/>
        </w:rPr>
        <w:t>ר</w:t>
      </w:r>
      <w:r w:rsidRPr="00305B1A">
        <w:rPr>
          <w:rFonts w:cs="Arial"/>
          <w:rtl/>
        </w:rPr>
        <w:t xml:space="preserve"> </w:t>
      </w:r>
      <w:r w:rsidRPr="00305B1A">
        <w:rPr>
          <w:rFonts w:cs="Arial" w:hint="cs"/>
          <w:rtl/>
        </w:rPr>
        <w:t>בנבנשת</w:t>
      </w:r>
      <w:r>
        <w:rPr>
          <w:rFonts w:cs="Arial" w:hint="cs"/>
          <w:rtl/>
        </w:rPr>
        <w:t>,</w:t>
      </w:r>
      <w:r w:rsidRPr="00305B1A">
        <w:rPr>
          <w:rFonts w:cs="Arial"/>
          <w:rtl/>
        </w:rPr>
        <w:t xml:space="preserve"> </w:t>
      </w:r>
      <w:r w:rsidRPr="00305B1A">
        <w:rPr>
          <w:rFonts w:cs="Arial" w:hint="cs"/>
          <w:rtl/>
        </w:rPr>
        <w:t>נמצא</w:t>
      </w:r>
      <w:r w:rsidRPr="00305B1A">
        <w:rPr>
          <w:rFonts w:cs="Arial"/>
          <w:rtl/>
        </w:rPr>
        <w:t xml:space="preserve"> </w:t>
      </w:r>
      <w:r w:rsidRPr="00305B1A">
        <w:rPr>
          <w:rFonts w:cs="Arial" w:hint="cs"/>
          <w:rtl/>
        </w:rPr>
        <w:t>שאפשר</w:t>
      </w:r>
      <w:r w:rsidRPr="00305B1A">
        <w:rPr>
          <w:rFonts w:cs="Arial"/>
          <w:rtl/>
        </w:rPr>
        <w:t xml:space="preserve"> </w:t>
      </w:r>
      <w:r w:rsidRPr="00305B1A">
        <w:rPr>
          <w:rFonts w:cs="Arial" w:hint="cs"/>
          <w:rtl/>
        </w:rPr>
        <w:t>ששינה</w:t>
      </w:r>
      <w:r w:rsidRPr="00305B1A">
        <w:rPr>
          <w:rFonts w:cs="Arial"/>
          <w:rtl/>
        </w:rPr>
        <w:t xml:space="preserve"> </w:t>
      </w:r>
      <w:r w:rsidRPr="00305B1A">
        <w:rPr>
          <w:rFonts w:cs="Arial" w:hint="cs"/>
          <w:rtl/>
        </w:rPr>
        <w:t>שמו</w:t>
      </w:r>
      <w:r w:rsidRPr="00305B1A">
        <w:rPr>
          <w:rFonts w:cs="Arial"/>
          <w:rtl/>
        </w:rPr>
        <w:t xml:space="preserve"> </w:t>
      </w:r>
      <w:r w:rsidRPr="00305B1A">
        <w:rPr>
          <w:rFonts w:cs="Arial" w:hint="cs"/>
          <w:rtl/>
        </w:rPr>
        <w:t>בגט</w:t>
      </w:r>
      <w:r>
        <w:rPr>
          <w:rFonts w:cs="Arial" w:hint="cs"/>
          <w:rtl/>
        </w:rPr>
        <w:t>.</w:t>
      </w:r>
      <w:r w:rsidRPr="00305B1A">
        <w:rPr>
          <w:rFonts w:cs="Arial"/>
          <w:rtl/>
        </w:rPr>
        <w:t xml:space="preserve"> </w:t>
      </w:r>
      <w:r w:rsidRPr="00305B1A">
        <w:rPr>
          <w:rFonts w:cs="Arial" w:hint="cs"/>
          <w:rtl/>
        </w:rPr>
        <w:t>סוף</w:t>
      </w:r>
      <w:r w:rsidRPr="00305B1A">
        <w:rPr>
          <w:rFonts w:cs="Arial"/>
          <w:rtl/>
        </w:rPr>
        <w:t xml:space="preserve"> </w:t>
      </w:r>
      <w:r w:rsidRPr="00305B1A">
        <w:rPr>
          <w:rFonts w:cs="Arial" w:hint="cs"/>
          <w:rtl/>
        </w:rPr>
        <w:t>דבר</w:t>
      </w:r>
      <w:r w:rsidRPr="00305B1A">
        <w:rPr>
          <w:rFonts w:cs="Arial"/>
          <w:rtl/>
        </w:rPr>
        <w:t xml:space="preserve"> </w:t>
      </w:r>
      <w:r w:rsidRPr="00305B1A">
        <w:rPr>
          <w:rFonts w:cs="Arial" w:hint="cs"/>
          <w:rtl/>
        </w:rPr>
        <w:t>דעתי</w:t>
      </w:r>
      <w:r w:rsidRPr="00305B1A">
        <w:rPr>
          <w:rFonts w:cs="Arial"/>
          <w:rtl/>
        </w:rPr>
        <w:t xml:space="preserve"> </w:t>
      </w:r>
      <w:r w:rsidRPr="00305B1A">
        <w:rPr>
          <w:rFonts w:cs="Arial" w:hint="cs"/>
          <w:rtl/>
        </w:rPr>
        <w:t>מסכמת</w:t>
      </w:r>
      <w:r w:rsidRPr="00305B1A">
        <w:rPr>
          <w:rFonts w:cs="Arial"/>
          <w:rtl/>
        </w:rPr>
        <w:t xml:space="preserve"> </w:t>
      </w:r>
      <w:r w:rsidRPr="00305B1A">
        <w:rPr>
          <w:rFonts w:cs="Arial" w:hint="cs"/>
          <w:rtl/>
        </w:rPr>
        <w:t>הלכה</w:t>
      </w:r>
      <w:r w:rsidRPr="00305B1A">
        <w:rPr>
          <w:rFonts w:cs="Arial"/>
          <w:rtl/>
        </w:rPr>
        <w:t xml:space="preserve"> </w:t>
      </w:r>
      <w:r w:rsidRPr="00305B1A">
        <w:rPr>
          <w:rFonts w:cs="Arial" w:hint="cs"/>
          <w:rtl/>
        </w:rPr>
        <w:t>למעשה</w:t>
      </w:r>
      <w:r w:rsidRPr="00305B1A">
        <w:rPr>
          <w:rFonts w:cs="Arial"/>
          <w:rtl/>
        </w:rPr>
        <w:t xml:space="preserve"> </w:t>
      </w:r>
      <w:r w:rsidRPr="00305B1A">
        <w:rPr>
          <w:rFonts w:cs="Arial" w:hint="cs"/>
          <w:rtl/>
        </w:rPr>
        <w:t>שלא</w:t>
      </w:r>
      <w:r w:rsidRPr="00305B1A">
        <w:rPr>
          <w:rFonts w:cs="Arial"/>
          <w:rtl/>
        </w:rPr>
        <w:t xml:space="preserve"> </w:t>
      </w:r>
      <w:r w:rsidRPr="00305B1A">
        <w:rPr>
          <w:rFonts w:cs="Arial" w:hint="cs"/>
          <w:rtl/>
        </w:rPr>
        <w:t>תתגרש</w:t>
      </w:r>
      <w:r w:rsidRPr="00305B1A">
        <w:rPr>
          <w:rFonts w:cs="Arial"/>
          <w:rtl/>
        </w:rPr>
        <w:t xml:space="preserve"> </w:t>
      </w:r>
      <w:r w:rsidRPr="00305B1A">
        <w:rPr>
          <w:rFonts w:cs="Arial" w:hint="cs"/>
          <w:rtl/>
        </w:rPr>
        <w:t>בגט</w:t>
      </w:r>
      <w:r w:rsidRPr="00305B1A">
        <w:rPr>
          <w:rFonts w:cs="Arial"/>
          <w:rtl/>
        </w:rPr>
        <w:t xml:space="preserve"> </w:t>
      </w:r>
      <w:r w:rsidRPr="00305B1A">
        <w:rPr>
          <w:rFonts w:cs="Arial" w:hint="cs"/>
          <w:rtl/>
        </w:rPr>
        <w:t>זה</w:t>
      </w:r>
      <w:r>
        <w:rPr>
          <w:rFonts w:cs="Arial" w:hint="cs"/>
          <w:rtl/>
        </w:rPr>
        <w:t>,</w:t>
      </w:r>
      <w:r w:rsidRPr="00305B1A">
        <w:rPr>
          <w:rFonts w:cs="Arial"/>
          <w:rtl/>
        </w:rPr>
        <w:t xml:space="preserve"> </w:t>
      </w:r>
      <w:r w:rsidRPr="00305B1A">
        <w:rPr>
          <w:rFonts w:cs="Arial" w:hint="cs"/>
          <w:rtl/>
        </w:rPr>
        <w:t>ואם</w:t>
      </w:r>
      <w:r w:rsidRPr="00305B1A">
        <w:rPr>
          <w:rFonts w:cs="Arial"/>
          <w:rtl/>
        </w:rPr>
        <w:t xml:space="preserve"> </w:t>
      </w:r>
      <w:r w:rsidRPr="00305B1A">
        <w:rPr>
          <w:rFonts w:cs="Arial" w:hint="cs"/>
          <w:rtl/>
        </w:rPr>
        <w:t>נתגרשה</w:t>
      </w:r>
      <w:r w:rsidRPr="00305B1A">
        <w:rPr>
          <w:rFonts w:cs="Arial"/>
          <w:rtl/>
        </w:rPr>
        <w:t xml:space="preserve"> </w:t>
      </w:r>
      <w:r w:rsidRPr="00305B1A">
        <w:rPr>
          <w:rFonts w:cs="Arial" w:hint="cs"/>
          <w:rtl/>
        </w:rPr>
        <w:t>לא</w:t>
      </w:r>
      <w:r w:rsidRPr="00305B1A">
        <w:rPr>
          <w:rFonts w:cs="Arial"/>
          <w:rtl/>
        </w:rPr>
        <w:t xml:space="preserve"> </w:t>
      </w:r>
      <w:r w:rsidRPr="00305B1A">
        <w:rPr>
          <w:rFonts w:cs="Arial" w:hint="cs"/>
          <w:rtl/>
        </w:rPr>
        <w:t>תנשא</w:t>
      </w:r>
      <w:r>
        <w:rPr>
          <w:rFonts w:cs="Arial" w:hint="cs"/>
          <w:rtl/>
        </w:rPr>
        <w:t>.</w:t>
      </w:r>
    </w:p>
    <w:p w14:paraId="054D6DD0"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67A7F3C" w14:textId="5DFD370C" w:rsidR="00FA2119" w:rsidRPr="00F422F2" w:rsidRDefault="00FA2119" w:rsidP="00FA2119">
      <w:pPr>
        <w:rPr>
          <w:rtl/>
        </w:rPr>
      </w:pPr>
      <w:r>
        <w:rPr>
          <w:rFonts w:cs="Arial" w:hint="cs"/>
          <w:rtl/>
        </w:rPr>
        <w:lastRenderedPageBreak/>
        <w:t>כותבין</w:t>
      </w:r>
      <w:r>
        <w:rPr>
          <w:rFonts w:cs="Arial"/>
          <w:rtl/>
        </w:rPr>
        <w:t xml:space="preserve"> </w:t>
      </w:r>
      <w:r>
        <w:rPr>
          <w:rFonts w:cs="Arial" w:hint="cs"/>
          <w:rtl/>
        </w:rPr>
        <w:t>שם</w:t>
      </w:r>
      <w:r>
        <w:rPr>
          <w:rFonts w:cs="Arial"/>
          <w:rtl/>
        </w:rPr>
        <w:t xml:space="preserve"> </w:t>
      </w:r>
      <w:r>
        <w:rPr>
          <w:rFonts w:cs="Arial" w:hint="cs"/>
          <w:rtl/>
        </w:rPr>
        <w:t>עירו</w:t>
      </w:r>
      <w:r>
        <w:rPr>
          <w:rFonts w:cs="Arial"/>
          <w:rtl/>
        </w:rPr>
        <w:t xml:space="preserve"> </w:t>
      </w:r>
      <w:r>
        <w:rPr>
          <w:rFonts w:cs="Arial" w:hint="cs"/>
          <w:rtl/>
        </w:rPr>
        <w:t>ושם</w:t>
      </w:r>
      <w:r>
        <w:rPr>
          <w:rFonts w:cs="Arial"/>
          <w:rtl/>
        </w:rPr>
        <w:t xml:space="preserve"> </w:t>
      </w:r>
      <w:r>
        <w:rPr>
          <w:rFonts w:cs="Arial" w:hint="cs"/>
          <w:rtl/>
        </w:rPr>
        <w:t>עירה</w:t>
      </w:r>
      <w:r>
        <w:rPr>
          <w:rFonts w:cs="Arial"/>
          <w:rtl/>
        </w:rPr>
        <w:t xml:space="preserve">. </w:t>
      </w:r>
      <w:r>
        <w:rPr>
          <w:rFonts w:cs="Arial" w:hint="cs"/>
          <w:rtl/>
        </w:rPr>
        <w:t>ואין</w:t>
      </w:r>
      <w:r>
        <w:rPr>
          <w:rFonts w:cs="Arial"/>
          <w:rtl/>
        </w:rPr>
        <w:t xml:space="preserve"> </w:t>
      </w:r>
      <w:r>
        <w:rPr>
          <w:rFonts w:cs="Arial" w:hint="cs"/>
          <w:rtl/>
        </w:rPr>
        <w:t>כותבין</w:t>
      </w:r>
      <w:r>
        <w:rPr>
          <w:rFonts w:cs="Arial"/>
          <w:rtl/>
        </w:rPr>
        <w:t xml:space="preserve"> </w:t>
      </w:r>
      <w:r>
        <w:rPr>
          <w:rFonts w:cs="Arial" w:hint="cs"/>
          <w:rtl/>
        </w:rPr>
        <w:t>שם</w:t>
      </w:r>
      <w:r>
        <w:rPr>
          <w:rFonts w:cs="Arial"/>
          <w:rtl/>
        </w:rPr>
        <w:t xml:space="preserve"> </w:t>
      </w:r>
      <w:r>
        <w:rPr>
          <w:rFonts w:cs="Arial" w:hint="cs"/>
          <w:rtl/>
        </w:rPr>
        <w:t>מקום</w:t>
      </w:r>
      <w:r>
        <w:rPr>
          <w:rFonts w:cs="Arial"/>
          <w:rtl/>
        </w:rPr>
        <w:t xml:space="preserve"> </w:t>
      </w:r>
      <w:r>
        <w:rPr>
          <w:rFonts w:cs="Arial" w:hint="cs"/>
          <w:rtl/>
        </w:rPr>
        <w:t>הלידה,</w:t>
      </w:r>
      <w:r>
        <w:rPr>
          <w:rFonts w:cs="Arial"/>
          <w:rtl/>
        </w:rPr>
        <w:t xml:space="preserve"> </w:t>
      </w:r>
      <w:r>
        <w:rPr>
          <w:rFonts w:cs="Arial" w:hint="cs"/>
          <w:rtl/>
        </w:rPr>
        <w:t>ואף</w:t>
      </w:r>
      <w:r>
        <w:rPr>
          <w:rFonts w:cs="Arial"/>
          <w:rtl/>
        </w:rPr>
        <w:t xml:space="preserve"> </w:t>
      </w:r>
      <w:r>
        <w:rPr>
          <w:rFonts w:cs="Arial" w:hint="cs"/>
          <w:rtl/>
        </w:rPr>
        <w:t>על</w:t>
      </w:r>
      <w:r>
        <w:rPr>
          <w:rFonts w:cs="Arial"/>
          <w:rtl/>
        </w:rPr>
        <w:t xml:space="preserve"> </w:t>
      </w:r>
      <w:r>
        <w:rPr>
          <w:rFonts w:cs="Arial" w:hint="cs"/>
          <w:rtl/>
        </w:rPr>
        <w:t>פי</w:t>
      </w:r>
      <w:r>
        <w:rPr>
          <w:rFonts w:cs="Arial"/>
          <w:rtl/>
        </w:rPr>
        <w:t xml:space="preserve"> </w:t>
      </w:r>
      <w:r>
        <w:rPr>
          <w:rFonts w:cs="Arial" w:hint="cs"/>
          <w:rtl/>
        </w:rPr>
        <w:t>שאם</w:t>
      </w:r>
      <w:r>
        <w:rPr>
          <w:rFonts w:cs="Arial"/>
          <w:rtl/>
        </w:rPr>
        <w:t xml:space="preserve"> </w:t>
      </w:r>
      <w:r>
        <w:rPr>
          <w:rFonts w:cs="Arial" w:hint="cs"/>
          <w:rtl/>
        </w:rPr>
        <w:t>שינה</w:t>
      </w:r>
      <w:r>
        <w:rPr>
          <w:rFonts w:cs="Arial"/>
          <w:rtl/>
        </w:rPr>
        <w:t xml:space="preserve"> </w:t>
      </w:r>
      <w:r>
        <w:rPr>
          <w:rFonts w:cs="Arial" w:hint="cs"/>
          <w:rtl/>
        </w:rPr>
        <w:t>לא</w:t>
      </w:r>
      <w:r>
        <w:rPr>
          <w:rFonts w:cs="Arial"/>
          <w:rtl/>
        </w:rPr>
        <w:t xml:space="preserve"> </w:t>
      </w:r>
      <w:r>
        <w:rPr>
          <w:rFonts w:cs="Arial" w:hint="cs"/>
          <w:rtl/>
        </w:rPr>
        <w:t>פסל</w:t>
      </w:r>
      <w:r>
        <w:rPr>
          <w:rFonts w:cs="Arial"/>
          <w:rtl/>
        </w:rPr>
        <w:t xml:space="preserve">, </w:t>
      </w:r>
      <w:r>
        <w:rPr>
          <w:rFonts w:cs="Arial" w:hint="cs"/>
          <w:rtl/>
        </w:rPr>
        <w:t>מכל מקום</w:t>
      </w:r>
      <w:r>
        <w:rPr>
          <w:rFonts w:cs="Arial"/>
          <w:rtl/>
        </w:rPr>
        <w:t xml:space="preserve"> </w:t>
      </w:r>
      <w:r>
        <w:rPr>
          <w:rFonts w:cs="Arial" w:hint="cs"/>
          <w:rtl/>
        </w:rPr>
        <w:t>מוטב</w:t>
      </w:r>
      <w:r>
        <w:rPr>
          <w:rFonts w:cs="Arial"/>
          <w:rtl/>
        </w:rPr>
        <w:t xml:space="preserve"> </w:t>
      </w:r>
      <w:r>
        <w:rPr>
          <w:rFonts w:cs="Arial" w:hint="cs"/>
          <w:rtl/>
        </w:rPr>
        <w:t>שלא</w:t>
      </w:r>
      <w:r>
        <w:rPr>
          <w:rFonts w:cs="Arial"/>
          <w:rtl/>
        </w:rPr>
        <w:t xml:space="preserve"> </w:t>
      </w:r>
      <w:r>
        <w:rPr>
          <w:rFonts w:cs="Arial" w:hint="cs"/>
          <w:rtl/>
        </w:rPr>
        <w:t>לכתוב</w:t>
      </w:r>
      <w:r>
        <w:rPr>
          <w:rFonts w:cs="Arial"/>
          <w:rtl/>
        </w:rPr>
        <w:t xml:space="preserve">, </w:t>
      </w:r>
      <w:r>
        <w:rPr>
          <w:rFonts w:cs="Arial" w:hint="cs"/>
          <w:rtl/>
        </w:rPr>
        <w:t>כדי</w:t>
      </w:r>
      <w:r>
        <w:rPr>
          <w:rFonts w:cs="Arial"/>
          <w:rtl/>
        </w:rPr>
        <w:t xml:space="preserve"> </w:t>
      </w:r>
      <w:r>
        <w:rPr>
          <w:rFonts w:cs="Arial" w:hint="cs"/>
          <w:rtl/>
        </w:rPr>
        <w:t>שלא</w:t>
      </w:r>
      <w:r>
        <w:rPr>
          <w:rFonts w:cs="Arial"/>
          <w:rtl/>
        </w:rPr>
        <w:t xml:space="preserve"> </w:t>
      </w:r>
      <w:r>
        <w:rPr>
          <w:rFonts w:cs="Arial" w:hint="cs"/>
          <w:rtl/>
        </w:rPr>
        <w:t>יבואו</w:t>
      </w:r>
      <w:r>
        <w:rPr>
          <w:rFonts w:cs="Arial"/>
          <w:rtl/>
        </w:rPr>
        <w:t xml:space="preserve"> </w:t>
      </w:r>
      <w:r>
        <w:rPr>
          <w:rFonts w:cs="Arial" w:hint="cs"/>
          <w:rtl/>
        </w:rPr>
        <w:t>לטעות</w:t>
      </w:r>
      <w:r>
        <w:rPr>
          <w:rFonts w:cs="Arial"/>
          <w:rtl/>
        </w:rPr>
        <w:t xml:space="preserve"> </w:t>
      </w:r>
      <w:r>
        <w:rPr>
          <w:rFonts w:cs="Arial" w:hint="cs"/>
          <w:rtl/>
        </w:rPr>
        <w:t>ומחזי</w:t>
      </w:r>
      <w:r>
        <w:rPr>
          <w:rFonts w:cs="Arial"/>
          <w:rtl/>
        </w:rPr>
        <w:t xml:space="preserve"> </w:t>
      </w:r>
      <w:r>
        <w:rPr>
          <w:rFonts w:cs="Arial" w:hint="cs"/>
          <w:rtl/>
        </w:rPr>
        <w:t>כמשנה</w:t>
      </w:r>
      <w:r>
        <w:rPr>
          <w:rFonts w:cs="Arial"/>
          <w:rtl/>
        </w:rPr>
        <w:t xml:space="preserve">. </w:t>
      </w:r>
      <w:r>
        <w:rPr>
          <w:rFonts w:cs="Arial" w:hint="cs"/>
          <w:rtl/>
        </w:rPr>
        <w:t>וגם</w:t>
      </w:r>
      <w:r>
        <w:rPr>
          <w:rFonts w:cs="Arial"/>
          <w:rtl/>
        </w:rPr>
        <w:t xml:space="preserve"> </w:t>
      </w:r>
      <w:r>
        <w:rPr>
          <w:rFonts w:cs="Arial" w:hint="cs"/>
          <w:rtl/>
        </w:rPr>
        <w:t>אין</w:t>
      </w:r>
      <w:r>
        <w:rPr>
          <w:rFonts w:cs="Arial"/>
          <w:rtl/>
        </w:rPr>
        <w:t xml:space="preserve"> </w:t>
      </w:r>
      <w:r>
        <w:rPr>
          <w:rFonts w:cs="Arial" w:hint="cs"/>
          <w:rtl/>
        </w:rPr>
        <w:t>כותבין</w:t>
      </w:r>
      <w:r>
        <w:rPr>
          <w:rFonts w:cs="Arial"/>
          <w:rtl/>
        </w:rPr>
        <w:t xml:space="preserve"> </w:t>
      </w:r>
      <w:r>
        <w:rPr>
          <w:rFonts w:cs="Arial" w:hint="cs"/>
          <w:rtl/>
        </w:rPr>
        <w:t>שם</w:t>
      </w:r>
      <w:r>
        <w:rPr>
          <w:rFonts w:cs="Arial"/>
          <w:rtl/>
        </w:rPr>
        <w:t xml:space="preserve"> </w:t>
      </w:r>
      <w:r>
        <w:rPr>
          <w:rFonts w:cs="Arial" w:hint="cs"/>
          <w:rtl/>
        </w:rPr>
        <w:t>מקום</w:t>
      </w:r>
      <w:r>
        <w:rPr>
          <w:rFonts w:cs="Arial"/>
          <w:rtl/>
        </w:rPr>
        <w:t xml:space="preserve"> </w:t>
      </w:r>
      <w:r>
        <w:rPr>
          <w:rFonts w:cs="Arial" w:hint="cs"/>
          <w:rtl/>
        </w:rPr>
        <w:t>הדירה</w:t>
      </w:r>
      <w:r>
        <w:rPr>
          <w:rStyle w:val="a7"/>
          <w:rFonts w:cs="Arial"/>
          <w:rtl/>
        </w:rPr>
        <w:footnoteReference w:id="978"/>
      </w:r>
      <w:r>
        <w:rPr>
          <w:rFonts w:cs="Arial"/>
          <w:rtl/>
        </w:rPr>
        <w:t xml:space="preserve">, </w:t>
      </w:r>
      <w:r>
        <w:rPr>
          <w:rFonts w:cs="Arial" w:hint="cs"/>
          <w:rtl/>
        </w:rPr>
        <w:t>מפני</w:t>
      </w:r>
      <w:r>
        <w:rPr>
          <w:rFonts w:cs="Arial"/>
          <w:rtl/>
        </w:rPr>
        <w:t xml:space="preserve"> </w:t>
      </w:r>
      <w:r>
        <w:rPr>
          <w:rFonts w:cs="Arial" w:hint="cs"/>
          <w:rtl/>
        </w:rPr>
        <w:t>שאנו</w:t>
      </w:r>
      <w:r>
        <w:rPr>
          <w:rFonts w:cs="Arial"/>
          <w:rtl/>
        </w:rPr>
        <w:t xml:space="preserve"> </w:t>
      </w:r>
      <w:r>
        <w:rPr>
          <w:rFonts w:cs="Arial" w:hint="cs"/>
          <w:rtl/>
        </w:rPr>
        <w:t>גולים</w:t>
      </w:r>
      <w:r>
        <w:rPr>
          <w:rFonts w:cs="Arial"/>
          <w:rtl/>
        </w:rPr>
        <w:t xml:space="preserve"> </w:t>
      </w:r>
      <w:r>
        <w:rPr>
          <w:rFonts w:cs="Arial" w:hint="cs"/>
          <w:rtl/>
        </w:rPr>
        <w:t>ומטולטלים,</w:t>
      </w:r>
      <w:r>
        <w:rPr>
          <w:rFonts w:cs="Arial"/>
          <w:rtl/>
        </w:rPr>
        <w:t xml:space="preserve"> </w:t>
      </w:r>
      <w:r>
        <w:rPr>
          <w:rFonts w:cs="Arial" w:hint="cs"/>
          <w:rtl/>
        </w:rPr>
        <w:t>ומקום</w:t>
      </w:r>
      <w:r>
        <w:rPr>
          <w:rFonts w:cs="Arial"/>
          <w:rtl/>
        </w:rPr>
        <w:t xml:space="preserve"> </w:t>
      </w:r>
      <w:r>
        <w:rPr>
          <w:rFonts w:cs="Arial" w:hint="cs"/>
          <w:rtl/>
        </w:rPr>
        <w:t>דירתינו</w:t>
      </w:r>
      <w:r>
        <w:rPr>
          <w:rFonts w:cs="Arial"/>
          <w:rtl/>
        </w:rPr>
        <w:t xml:space="preserve"> </w:t>
      </w:r>
      <w:r>
        <w:rPr>
          <w:rFonts w:cs="Arial" w:hint="cs"/>
          <w:rtl/>
        </w:rPr>
        <w:t>מרופה</w:t>
      </w:r>
      <w:r>
        <w:rPr>
          <w:rFonts w:cs="Arial"/>
          <w:rtl/>
        </w:rPr>
        <w:t xml:space="preserve"> </w:t>
      </w:r>
      <w:r>
        <w:rPr>
          <w:rFonts w:cs="Arial" w:hint="cs"/>
          <w:rtl/>
        </w:rPr>
        <w:t>בידינו</w:t>
      </w:r>
      <w:r>
        <w:rPr>
          <w:rFonts w:cs="Arial"/>
          <w:rtl/>
        </w:rPr>
        <w:t xml:space="preserve">. </w:t>
      </w:r>
      <w:r>
        <w:rPr>
          <w:rFonts w:cs="Arial" w:hint="cs"/>
          <w:rtl/>
        </w:rPr>
        <w:t>אבל</w:t>
      </w:r>
      <w:r>
        <w:rPr>
          <w:rFonts w:cs="Arial"/>
          <w:rtl/>
        </w:rPr>
        <w:t xml:space="preserve"> </w:t>
      </w:r>
      <w:r>
        <w:rPr>
          <w:rFonts w:cs="Arial" w:hint="cs"/>
          <w:rtl/>
        </w:rPr>
        <w:t>כותבים</w:t>
      </w:r>
      <w:r>
        <w:rPr>
          <w:rFonts w:cs="Arial"/>
          <w:rtl/>
        </w:rPr>
        <w:t xml:space="preserve"> </w:t>
      </w:r>
      <w:r>
        <w:rPr>
          <w:rFonts w:cs="Arial" w:hint="cs"/>
          <w:rtl/>
        </w:rPr>
        <w:t>שם</w:t>
      </w:r>
      <w:r>
        <w:rPr>
          <w:rFonts w:cs="Arial"/>
          <w:rtl/>
        </w:rPr>
        <w:t xml:space="preserve"> </w:t>
      </w:r>
      <w:r>
        <w:rPr>
          <w:rFonts w:cs="Arial" w:hint="cs"/>
          <w:rtl/>
        </w:rPr>
        <w:t>מקום</w:t>
      </w:r>
      <w:r>
        <w:rPr>
          <w:rFonts w:cs="Arial"/>
          <w:rtl/>
        </w:rPr>
        <w:t xml:space="preserve"> </w:t>
      </w:r>
      <w:r>
        <w:rPr>
          <w:rFonts w:cs="Arial" w:hint="cs"/>
          <w:rtl/>
        </w:rPr>
        <w:t>עמידת</w:t>
      </w:r>
      <w:r>
        <w:rPr>
          <w:rFonts w:cs="Arial"/>
          <w:rtl/>
        </w:rPr>
        <w:t xml:space="preserve"> </w:t>
      </w:r>
      <w:r>
        <w:rPr>
          <w:rFonts w:cs="Arial" w:hint="cs"/>
          <w:rtl/>
        </w:rPr>
        <w:t>האיש</w:t>
      </w:r>
      <w:r>
        <w:rPr>
          <w:rFonts w:cs="Arial"/>
          <w:rtl/>
        </w:rPr>
        <w:t xml:space="preserve"> </w:t>
      </w:r>
      <w:r>
        <w:rPr>
          <w:rFonts w:cs="Arial" w:hint="cs"/>
          <w:rtl/>
        </w:rPr>
        <w:t>'העומד</w:t>
      </w:r>
      <w:r>
        <w:rPr>
          <w:rFonts w:cs="Arial"/>
          <w:rtl/>
        </w:rPr>
        <w:t xml:space="preserve"> </w:t>
      </w:r>
      <w:r>
        <w:rPr>
          <w:rFonts w:cs="Arial" w:hint="cs"/>
          <w:rtl/>
        </w:rPr>
        <w:t>היום</w:t>
      </w:r>
      <w:r>
        <w:rPr>
          <w:rFonts w:cs="Arial"/>
          <w:rtl/>
        </w:rPr>
        <w:t xml:space="preserve"> </w:t>
      </w:r>
      <w:r>
        <w:rPr>
          <w:rFonts w:cs="Arial" w:hint="cs"/>
          <w:rtl/>
        </w:rPr>
        <w:t>במתא</w:t>
      </w:r>
      <w:r>
        <w:rPr>
          <w:rFonts w:cs="Arial"/>
          <w:rtl/>
        </w:rPr>
        <w:t xml:space="preserve"> </w:t>
      </w:r>
      <w:r>
        <w:rPr>
          <w:rFonts w:cs="Arial" w:hint="cs"/>
          <w:rtl/>
        </w:rPr>
        <w:t>פלוני'</w:t>
      </w:r>
      <w:r>
        <w:rPr>
          <w:rFonts w:cs="Arial"/>
          <w:rtl/>
        </w:rPr>
        <w:t xml:space="preserve"> </w:t>
      </w:r>
      <w:r>
        <w:rPr>
          <w:rFonts w:cs="Arial" w:hint="cs"/>
          <w:rtl/>
        </w:rPr>
        <w:t>אם</w:t>
      </w:r>
      <w:r>
        <w:rPr>
          <w:rFonts w:cs="Arial"/>
          <w:rtl/>
        </w:rPr>
        <w:t xml:space="preserve"> </w:t>
      </w:r>
      <w:r>
        <w:rPr>
          <w:rFonts w:cs="Arial" w:hint="cs"/>
          <w:rtl/>
        </w:rPr>
        <w:t>הוא</w:t>
      </w:r>
      <w:r>
        <w:rPr>
          <w:rFonts w:cs="Arial"/>
          <w:rtl/>
        </w:rPr>
        <w:t xml:space="preserve"> </w:t>
      </w:r>
      <w:r>
        <w:rPr>
          <w:rFonts w:cs="Arial" w:hint="cs"/>
          <w:rtl/>
        </w:rPr>
        <w:t>מצוי</w:t>
      </w:r>
      <w:r>
        <w:rPr>
          <w:rFonts w:cs="Arial"/>
          <w:rtl/>
        </w:rPr>
        <w:t xml:space="preserve"> </w:t>
      </w:r>
      <w:r>
        <w:rPr>
          <w:rFonts w:cs="Arial" w:hint="cs"/>
          <w:rtl/>
        </w:rPr>
        <w:t>במקום</w:t>
      </w:r>
      <w:r>
        <w:rPr>
          <w:rFonts w:cs="Arial"/>
          <w:rtl/>
        </w:rPr>
        <w:t xml:space="preserve"> </w:t>
      </w:r>
      <w:r>
        <w:rPr>
          <w:rFonts w:cs="Arial" w:hint="cs"/>
          <w:rtl/>
        </w:rPr>
        <w:t>חתימת</w:t>
      </w:r>
      <w:r>
        <w:rPr>
          <w:rFonts w:cs="Arial"/>
          <w:rtl/>
        </w:rPr>
        <w:t xml:space="preserve"> </w:t>
      </w:r>
      <w:r>
        <w:rPr>
          <w:rFonts w:cs="Arial" w:hint="cs"/>
          <w:rtl/>
        </w:rPr>
        <w:t>הגט.</w:t>
      </w:r>
      <w:r>
        <w:rPr>
          <w:rFonts w:cs="Arial"/>
          <w:rtl/>
        </w:rPr>
        <w:t xml:space="preserve"> </w:t>
      </w:r>
      <w:r>
        <w:rPr>
          <w:rFonts w:cs="Arial" w:hint="cs"/>
          <w:rtl/>
        </w:rPr>
        <w:t>ואם</w:t>
      </w:r>
      <w:r>
        <w:rPr>
          <w:rFonts w:cs="Arial"/>
          <w:rtl/>
        </w:rPr>
        <w:t xml:space="preserve"> </w:t>
      </w:r>
      <w:r>
        <w:rPr>
          <w:rFonts w:cs="Arial" w:hint="cs"/>
          <w:rtl/>
        </w:rPr>
        <w:t>אינו</w:t>
      </w:r>
      <w:r>
        <w:rPr>
          <w:rFonts w:cs="Arial"/>
          <w:rtl/>
        </w:rPr>
        <w:t xml:space="preserve"> </w:t>
      </w:r>
      <w:r>
        <w:rPr>
          <w:rFonts w:cs="Arial" w:hint="cs"/>
          <w:rtl/>
        </w:rPr>
        <w:t>מצוי</w:t>
      </w:r>
      <w:r>
        <w:rPr>
          <w:rFonts w:cs="Arial"/>
          <w:rtl/>
        </w:rPr>
        <w:t xml:space="preserve"> </w:t>
      </w:r>
      <w:r>
        <w:rPr>
          <w:rFonts w:cs="Arial" w:hint="cs"/>
          <w:rtl/>
        </w:rPr>
        <w:t>שם</w:t>
      </w:r>
      <w:r>
        <w:rPr>
          <w:rFonts w:cs="Arial"/>
          <w:rtl/>
        </w:rPr>
        <w:t xml:space="preserve">, </w:t>
      </w:r>
      <w:r>
        <w:rPr>
          <w:rFonts w:cs="Arial" w:hint="cs"/>
          <w:rtl/>
        </w:rPr>
        <w:t>אין</w:t>
      </w:r>
      <w:r>
        <w:rPr>
          <w:rFonts w:cs="Arial"/>
          <w:rtl/>
        </w:rPr>
        <w:t xml:space="preserve"> </w:t>
      </w:r>
      <w:r>
        <w:rPr>
          <w:rFonts w:cs="Arial" w:hint="cs"/>
          <w:rtl/>
        </w:rPr>
        <w:t>כותבין</w:t>
      </w:r>
      <w:r>
        <w:rPr>
          <w:rFonts w:cs="Arial"/>
          <w:rtl/>
        </w:rPr>
        <w:t xml:space="preserve"> </w:t>
      </w:r>
      <w:r>
        <w:rPr>
          <w:rFonts w:cs="Arial" w:hint="cs"/>
          <w:rtl/>
        </w:rPr>
        <w:t>מקומו</w:t>
      </w:r>
      <w:r>
        <w:rPr>
          <w:rFonts w:cs="Arial"/>
          <w:rtl/>
        </w:rPr>
        <w:t xml:space="preserve"> </w:t>
      </w:r>
      <w:r>
        <w:rPr>
          <w:rFonts w:cs="Arial" w:hint="cs"/>
          <w:rtl/>
        </w:rPr>
        <w:t>כלל</w:t>
      </w:r>
      <w:r>
        <w:rPr>
          <w:rFonts w:cs="Arial"/>
          <w:rtl/>
        </w:rPr>
        <w:t xml:space="preserve">. </w:t>
      </w:r>
      <w:r>
        <w:rPr>
          <w:rFonts w:cs="Arial" w:hint="cs"/>
          <w:rtl/>
        </w:rPr>
        <w:t>וכן</w:t>
      </w:r>
      <w:r>
        <w:rPr>
          <w:rFonts w:cs="Arial"/>
          <w:rtl/>
        </w:rPr>
        <w:t xml:space="preserve"> </w:t>
      </w:r>
      <w:r>
        <w:rPr>
          <w:rFonts w:cs="Arial" w:hint="cs"/>
          <w:rtl/>
        </w:rPr>
        <w:t>באשה</w:t>
      </w:r>
      <w:r>
        <w:rPr>
          <w:rFonts w:cs="Arial"/>
          <w:rtl/>
        </w:rPr>
        <w:t xml:space="preserve">, </w:t>
      </w:r>
      <w:r>
        <w:rPr>
          <w:rFonts w:cs="Arial" w:hint="cs"/>
          <w:rtl/>
        </w:rPr>
        <w:t>אם</w:t>
      </w:r>
      <w:r>
        <w:rPr>
          <w:rFonts w:cs="Arial"/>
          <w:rtl/>
        </w:rPr>
        <w:t xml:space="preserve"> </w:t>
      </w:r>
      <w:r>
        <w:rPr>
          <w:rFonts w:cs="Arial" w:hint="cs"/>
          <w:rtl/>
        </w:rPr>
        <w:t>היא</w:t>
      </w:r>
      <w:r>
        <w:rPr>
          <w:rFonts w:cs="Arial"/>
          <w:rtl/>
        </w:rPr>
        <w:t xml:space="preserve"> </w:t>
      </w:r>
      <w:r>
        <w:rPr>
          <w:rFonts w:cs="Arial" w:hint="cs"/>
          <w:rtl/>
        </w:rPr>
        <w:t>עומדת</w:t>
      </w:r>
      <w:r>
        <w:rPr>
          <w:rFonts w:cs="Arial"/>
          <w:rtl/>
        </w:rPr>
        <w:t xml:space="preserve"> </w:t>
      </w:r>
      <w:r>
        <w:rPr>
          <w:rFonts w:cs="Arial" w:hint="cs"/>
          <w:rtl/>
        </w:rPr>
        <w:t>במקום</w:t>
      </w:r>
      <w:r>
        <w:rPr>
          <w:rFonts w:cs="Arial"/>
          <w:rtl/>
        </w:rPr>
        <w:t xml:space="preserve"> </w:t>
      </w:r>
      <w:r>
        <w:rPr>
          <w:rFonts w:cs="Arial" w:hint="cs"/>
          <w:rtl/>
        </w:rPr>
        <w:t>חתימת</w:t>
      </w:r>
      <w:r>
        <w:rPr>
          <w:rFonts w:cs="Arial"/>
          <w:rtl/>
        </w:rPr>
        <w:t xml:space="preserve"> </w:t>
      </w:r>
      <w:r>
        <w:rPr>
          <w:rFonts w:cs="Arial" w:hint="cs"/>
          <w:rtl/>
        </w:rPr>
        <w:t>הגט</w:t>
      </w:r>
      <w:r>
        <w:rPr>
          <w:rFonts w:cs="Arial"/>
          <w:rtl/>
        </w:rPr>
        <w:t xml:space="preserve"> </w:t>
      </w:r>
      <w:r>
        <w:rPr>
          <w:rFonts w:cs="Arial" w:hint="cs"/>
          <w:rtl/>
        </w:rPr>
        <w:t>כותבין</w:t>
      </w:r>
      <w:r>
        <w:rPr>
          <w:rFonts w:cs="Arial"/>
          <w:rtl/>
        </w:rPr>
        <w:t xml:space="preserve"> </w:t>
      </w:r>
      <w:r>
        <w:rPr>
          <w:rFonts w:cs="Arial" w:hint="cs"/>
          <w:rtl/>
        </w:rPr>
        <w:t>מקום</w:t>
      </w:r>
      <w:r>
        <w:rPr>
          <w:rFonts w:cs="Arial"/>
          <w:rtl/>
        </w:rPr>
        <w:t xml:space="preserve"> </w:t>
      </w:r>
      <w:r>
        <w:rPr>
          <w:rFonts w:cs="Arial" w:hint="cs"/>
          <w:rtl/>
        </w:rPr>
        <w:t>עמידתה</w:t>
      </w:r>
      <w:r>
        <w:rPr>
          <w:rFonts w:cs="Arial"/>
          <w:rtl/>
        </w:rPr>
        <w:t xml:space="preserve">: </w:t>
      </w:r>
      <w:r>
        <w:rPr>
          <w:rFonts w:cs="Arial" w:hint="cs"/>
          <w:rtl/>
        </w:rPr>
        <w:t>'העומדת</w:t>
      </w:r>
      <w:r>
        <w:rPr>
          <w:rFonts w:cs="Arial"/>
          <w:rtl/>
        </w:rPr>
        <w:t xml:space="preserve"> </w:t>
      </w:r>
      <w:r>
        <w:rPr>
          <w:rFonts w:cs="Arial" w:hint="cs"/>
          <w:rtl/>
        </w:rPr>
        <w:t>היום</w:t>
      </w:r>
      <w:r>
        <w:rPr>
          <w:rFonts w:cs="Arial"/>
          <w:rtl/>
        </w:rPr>
        <w:t xml:space="preserve"> </w:t>
      </w:r>
      <w:r>
        <w:rPr>
          <w:rFonts w:cs="Arial" w:hint="cs"/>
          <w:rtl/>
        </w:rPr>
        <w:t>במתא</w:t>
      </w:r>
      <w:r>
        <w:rPr>
          <w:rFonts w:cs="Arial"/>
          <w:rtl/>
        </w:rPr>
        <w:t xml:space="preserve"> </w:t>
      </w:r>
      <w:r>
        <w:rPr>
          <w:rFonts w:cs="Arial" w:hint="cs"/>
          <w:rtl/>
        </w:rPr>
        <w:t>פלוני'.</w:t>
      </w:r>
      <w:r>
        <w:rPr>
          <w:rFonts w:cs="Arial"/>
          <w:rtl/>
        </w:rPr>
        <w:t xml:space="preserve"> </w:t>
      </w:r>
      <w:r>
        <w:rPr>
          <w:rFonts w:cs="Arial" w:hint="cs"/>
          <w:rtl/>
        </w:rPr>
        <w:t>ואם</w:t>
      </w:r>
      <w:r>
        <w:rPr>
          <w:rFonts w:cs="Arial"/>
          <w:rtl/>
        </w:rPr>
        <w:t xml:space="preserve"> </w:t>
      </w:r>
      <w:r>
        <w:rPr>
          <w:rFonts w:cs="Arial" w:hint="cs"/>
          <w:rtl/>
        </w:rPr>
        <w:t>לאו</w:t>
      </w:r>
      <w:r>
        <w:rPr>
          <w:rFonts w:cs="Arial"/>
          <w:rtl/>
        </w:rPr>
        <w:t xml:space="preserve">, </w:t>
      </w:r>
      <w:r>
        <w:rPr>
          <w:rFonts w:cs="Arial" w:hint="cs"/>
          <w:rtl/>
        </w:rPr>
        <w:t>אין</w:t>
      </w:r>
      <w:r>
        <w:rPr>
          <w:rFonts w:cs="Arial"/>
          <w:rtl/>
        </w:rPr>
        <w:t xml:space="preserve"> </w:t>
      </w:r>
      <w:r>
        <w:rPr>
          <w:rFonts w:cs="Arial" w:hint="cs"/>
          <w:rtl/>
        </w:rPr>
        <w:t>כותבין</w:t>
      </w:r>
      <w:r>
        <w:rPr>
          <w:rFonts w:cs="Arial"/>
          <w:rtl/>
        </w:rPr>
        <w:t xml:space="preserve"> </w:t>
      </w:r>
      <w:r>
        <w:rPr>
          <w:rFonts w:cs="Arial" w:hint="cs"/>
          <w:rtl/>
        </w:rPr>
        <w:t>מקומה</w:t>
      </w:r>
      <w:r>
        <w:rPr>
          <w:rFonts w:cs="Arial"/>
          <w:rtl/>
        </w:rPr>
        <w:t xml:space="preserve"> </w:t>
      </w:r>
      <w:r>
        <w:rPr>
          <w:rFonts w:cs="Arial" w:hint="cs"/>
          <w:rtl/>
        </w:rPr>
        <w:t>כלל</w:t>
      </w:r>
      <w:r>
        <w:rPr>
          <w:rFonts w:cs="Arial"/>
          <w:rtl/>
        </w:rPr>
        <w:t xml:space="preserve">. </w:t>
      </w:r>
      <w:r w:rsidRPr="007E0728">
        <w:rPr>
          <w:rFonts w:cs="Arial" w:hint="cs"/>
          <w:sz w:val="18"/>
          <w:szCs w:val="18"/>
          <w:rtl/>
        </w:rPr>
        <w:t>הגה</w:t>
      </w:r>
      <w:r w:rsidRPr="007E0728">
        <w:rPr>
          <w:rFonts w:cs="Arial"/>
          <w:sz w:val="18"/>
          <w:szCs w:val="18"/>
          <w:rtl/>
        </w:rPr>
        <w:t xml:space="preserve">: </w:t>
      </w:r>
      <w:r w:rsidRPr="007E0728">
        <w:rPr>
          <w:rFonts w:cs="Arial" w:hint="cs"/>
          <w:sz w:val="18"/>
          <w:szCs w:val="18"/>
          <w:rtl/>
        </w:rPr>
        <w:t>ואם</w:t>
      </w:r>
      <w:r w:rsidRPr="007E0728">
        <w:rPr>
          <w:rFonts w:cs="Arial"/>
          <w:sz w:val="18"/>
          <w:szCs w:val="18"/>
          <w:rtl/>
        </w:rPr>
        <w:t xml:space="preserve"> </w:t>
      </w:r>
      <w:r w:rsidRPr="007E0728">
        <w:rPr>
          <w:rFonts w:cs="Arial" w:hint="cs"/>
          <w:sz w:val="18"/>
          <w:szCs w:val="18"/>
          <w:rtl/>
        </w:rPr>
        <w:t>כתב</w:t>
      </w:r>
      <w:r w:rsidRPr="007E0728">
        <w:rPr>
          <w:rFonts w:cs="Arial"/>
          <w:sz w:val="18"/>
          <w:szCs w:val="18"/>
          <w:rtl/>
        </w:rPr>
        <w:t xml:space="preserve"> </w:t>
      </w:r>
      <w:r w:rsidRPr="007E0728">
        <w:rPr>
          <w:rFonts w:cs="Arial" w:hint="cs"/>
          <w:sz w:val="18"/>
          <w:szCs w:val="18"/>
          <w:rtl/>
        </w:rPr>
        <w:t>שם</w:t>
      </w:r>
      <w:r w:rsidRPr="007E0728">
        <w:rPr>
          <w:rFonts w:cs="Arial"/>
          <w:sz w:val="18"/>
          <w:szCs w:val="18"/>
          <w:rtl/>
        </w:rPr>
        <w:t xml:space="preserve"> </w:t>
      </w:r>
      <w:r w:rsidRPr="007E0728">
        <w:rPr>
          <w:rFonts w:cs="Arial" w:hint="cs"/>
          <w:sz w:val="18"/>
          <w:szCs w:val="18"/>
          <w:rtl/>
        </w:rPr>
        <w:t>הלידה</w:t>
      </w:r>
      <w:r w:rsidRPr="007E0728">
        <w:rPr>
          <w:rFonts w:cs="Arial"/>
          <w:sz w:val="18"/>
          <w:szCs w:val="18"/>
          <w:rtl/>
        </w:rPr>
        <w:t xml:space="preserve"> </w:t>
      </w:r>
      <w:r w:rsidRPr="007E0728">
        <w:rPr>
          <w:rFonts w:cs="Arial" w:hint="cs"/>
          <w:sz w:val="18"/>
          <w:szCs w:val="18"/>
          <w:rtl/>
        </w:rPr>
        <w:t>או</w:t>
      </w:r>
      <w:r w:rsidRPr="007E0728">
        <w:rPr>
          <w:rFonts w:cs="Arial"/>
          <w:sz w:val="18"/>
          <w:szCs w:val="18"/>
          <w:rtl/>
        </w:rPr>
        <w:t xml:space="preserve"> </w:t>
      </w:r>
      <w:r w:rsidRPr="007E0728">
        <w:rPr>
          <w:rFonts w:cs="Arial" w:hint="cs"/>
          <w:sz w:val="18"/>
          <w:szCs w:val="18"/>
          <w:rtl/>
        </w:rPr>
        <w:t>שם</w:t>
      </w:r>
      <w:r w:rsidRPr="007E0728">
        <w:rPr>
          <w:rFonts w:cs="Arial"/>
          <w:sz w:val="18"/>
          <w:szCs w:val="18"/>
          <w:rtl/>
        </w:rPr>
        <w:t xml:space="preserve"> </w:t>
      </w:r>
      <w:r w:rsidRPr="007E0728">
        <w:rPr>
          <w:rFonts w:cs="Arial" w:hint="cs"/>
          <w:sz w:val="18"/>
          <w:szCs w:val="18"/>
          <w:rtl/>
        </w:rPr>
        <w:t>הדירה</w:t>
      </w:r>
      <w:r w:rsidRPr="007E0728">
        <w:rPr>
          <w:rFonts w:cs="Arial"/>
          <w:sz w:val="18"/>
          <w:szCs w:val="18"/>
          <w:rtl/>
        </w:rPr>
        <w:t xml:space="preserve">, </w:t>
      </w:r>
      <w:r w:rsidRPr="007E0728">
        <w:rPr>
          <w:rFonts w:cs="Arial" w:hint="cs"/>
          <w:sz w:val="18"/>
          <w:szCs w:val="18"/>
          <w:rtl/>
        </w:rPr>
        <w:t>ולא</w:t>
      </w:r>
      <w:r w:rsidRPr="007E0728">
        <w:rPr>
          <w:rFonts w:cs="Arial"/>
          <w:sz w:val="18"/>
          <w:szCs w:val="18"/>
          <w:rtl/>
        </w:rPr>
        <w:t xml:space="preserve"> </w:t>
      </w:r>
      <w:r w:rsidRPr="007E0728">
        <w:rPr>
          <w:rFonts w:cs="Arial" w:hint="cs"/>
          <w:sz w:val="18"/>
          <w:szCs w:val="18"/>
          <w:rtl/>
        </w:rPr>
        <w:t>שינה</w:t>
      </w:r>
      <w:r w:rsidRPr="007E0728">
        <w:rPr>
          <w:rFonts w:cs="Arial"/>
          <w:sz w:val="18"/>
          <w:szCs w:val="18"/>
          <w:rtl/>
        </w:rPr>
        <w:t xml:space="preserve">, </w:t>
      </w:r>
      <w:r w:rsidRPr="007E0728">
        <w:rPr>
          <w:rFonts w:cs="Arial" w:hint="cs"/>
          <w:sz w:val="18"/>
          <w:szCs w:val="18"/>
          <w:rtl/>
        </w:rPr>
        <w:t>כשר</w:t>
      </w:r>
      <w:r w:rsidRPr="007E0728">
        <w:rPr>
          <w:rFonts w:cs="Arial"/>
          <w:sz w:val="18"/>
          <w:szCs w:val="18"/>
          <w:rtl/>
        </w:rPr>
        <w:t xml:space="preserve"> (</w:t>
      </w:r>
      <w:r w:rsidRPr="007E0728">
        <w:rPr>
          <w:rFonts w:cs="Arial" w:hint="cs"/>
          <w:sz w:val="18"/>
          <w:szCs w:val="18"/>
          <w:rtl/>
        </w:rPr>
        <w:t>ריב</w:t>
      </w:r>
      <w:r w:rsidRPr="007E0728">
        <w:rPr>
          <w:rFonts w:cs="Arial"/>
          <w:sz w:val="18"/>
          <w:szCs w:val="18"/>
          <w:rtl/>
        </w:rPr>
        <w:t>"</w:t>
      </w:r>
      <w:r w:rsidRPr="007E0728">
        <w:rPr>
          <w:rFonts w:cs="Arial" w:hint="cs"/>
          <w:sz w:val="18"/>
          <w:szCs w:val="18"/>
          <w:rtl/>
        </w:rPr>
        <w:t>ש</w:t>
      </w:r>
      <w:r w:rsidRPr="007E0728">
        <w:rPr>
          <w:rFonts w:cs="Arial"/>
          <w:sz w:val="18"/>
          <w:szCs w:val="18"/>
          <w:rtl/>
        </w:rPr>
        <w:t xml:space="preserve">). </w:t>
      </w:r>
      <w:r w:rsidRPr="007E0728">
        <w:rPr>
          <w:rFonts w:cs="Arial" w:hint="cs"/>
          <w:sz w:val="18"/>
          <w:szCs w:val="18"/>
          <w:rtl/>
        </w:rPr>
        <w:t>ואם</w:t>
      </w:r>
      <w:r w:rsidRPr="007E0728">
        <w:rPr>
          <w:rFonts w:cs="Arial"/>
          <w:sz w:val="18"/>
          <w:szCs w:val="18"/>
          <w:rtl/>
        </w:rPr>
        <w:t xml:space="preserve"> </w:t>
      </w:r>
      <w:r w:rsidRPr="007E0728">
        <w:rPr>
          <w:rFonts w:cs="Arial" w:hint="cs"/>
          <w:sz w:val="18"/>
          <w:szCs w:val="18"/>
          <w:rtl/>
        </w:rPr>
        <w:t>שינה</w:t>
      </w:r>
      <w:r w:rsidRPr="007E0728">
        <w:rPr>
          <w:rFonts w:cs="Arial"/>
          <w:sz w:val="18"/>
          <w:szCs w:val="18"/>
          <w:rtl/>
        </w:rPr>
        <w:t xml:space="preserve"> </w:t>
      </w:r>
      <w:r w:rsidRPr="007E0728">
        <w:rPr>
          <w:rFonts w:cs="Arial" w:hint="cs"/>
          <w:sz w:val="18"/>
          <w:szCs w:val="18"/>
          <w:rtl/>
        </w:rPr>
        <w:t>מקום</w:t>
      </w:r>
      <w:r w:rsidRPr="007E0728">
        <w:rPr>
          <w:rFonts w:cs="Arial"/>
          <w:sz w:val="18"/>
          <w:szCs w:val="18"/>
          <w:rtl/>
        </w:rPr>
        <w:t xml:space="preserve"> </w:t>
      </w:r>
      <w:r w:rsidRPr="007E0728">
        <w:rPr>
          <w:rFonts w:cs="Arial" w:hint="cs"/>
          <w:sz w:val="18"/>
          <w:szCs w:val="18"/>
          <w:rtl/>
        </w:rPr>
        <w:t>העמידה</w:t>
      </w:r>
      <w:r>
        <w:rPr>
          <w:rStyle w:val="a7"/>
          <w:rFonts w:cs="Arial"/>
          <w:sz w:val="18"/>
          <w:szCs w:val="18"/>
          <w:rtl/>
        </w:rPr>
        <w:footnoteReference w:id="979"/>
      </w:r>
      <w:r w:rsidRPr="007E0728">
        <w:rPr>
          <w:rFonts w:cs="Arial"/>
          <w:sz w:val="18"/>
          <w:szCs w:val="18"/>
          <w:rtl/>
        </w:rPr>
        <w:t xml:space="preserve">, </w:t>
      </w:r>
      <w:r w:rsidRPr="007E0728">
        <w:rPr>
          <w:rFonts w:cs="Arial" w:hint="cs"/>
          <w:sz w:val="18"/>
          <w:szCs w:val="18"/>
          <w:rtl/>
        </w:rPr>
        <w:t>יש</w:t>
      </w:r>
      <w:r w:rsidRPr="007E0728">
        <w:rPr>
          <w:rFonts w:cs="Arial"/>
          <w:sz w:val="18"/>
          <w:szCs w:val="18"/>
          <w:rtl/>
        </w:rPr>
        <w:t xml:space="preserve"> </w:t>
      </w:r>
      <w:r w:rsidRPr="007E0728">
        <w:rPr>
          <w:rFonts w:cs="Arial" w:hint="cs"/>
          <w:sz w:val="18"/>
          <w:szCs w:val="18"/>
          <w:rtl/>
        </w:rPr>
        <w:t>מכשירין</w:t>
      </w:r>
      <w:r w:rsidRPr="007E0728">
        <w:rPr>
          <w:rFonts w:cs="Arial"/>
          <w:sz w:val="18"/>
          <w:szCs w:val="18"/>
          <w:rtl/>
        </w:rPr>
        <w:t xml:space="preserve"> </w:t>
      </w:r>
      <w:r w:rsidRPr="007E0728">
        <w:rPr>
          <w:rFonts w:cs="Arial" w:hint="cs"/>
          <w:sz w:val="18"/>
          <w:szCs w:val="18"/>
          <w:rtl/>
        </w:rPr>
        <w:t>כמו</w:t>
      </w:r>
      <w:r w:rsidRPr="007E0728">
        <w:rPr>
          <w:rFonts w:cs="Arial"/>
          <w:sz w:val="18"/>
          <w:szCs w:val="18"/>
          <w:rtl/>
        </w:rPr>
        <w:t xml:space="preserve"> </w:t>
      </w:r>
      <w:r w:rsidRPr="007E0728">
        <w:rPr>
          <w:rFonts w:cs="Arial" w:hint="cs"/>
          <w:sz w:val="18"/>
          <w:szCs w:val="18"/>
          <w:rtl/>
        </w:rPr>
        <w:t>במקום</w:t>
      </w:r>
      <w:r w:rsidRPr="007E0728">
        <w:rPr>
          <w:rFonts w:cs="Arial"/>
          <w:sz w:val="18"/>
          <w:szCs w:val="18"/>
          <w:rtl/>
        </w:rPr>
        <w:t xml:space="preserve"> </w:t>
      </w:r>
      <w:r w:rsidRPr="007E0728">
        <w:rPr>
          <w:rFonts w:cs="Arial" w:hint="cs"/>
          <w:sz w:val="18"/>
          <w:szCs w:val="18"/>
          <w:rtl/>
        </w:rPr>
        <w:t>הלידה</w:t>
      </w:r>
      <w:r w:rsidRPr="007E0728">
        <w:rPr>
          <w:rFonts w:cs="Arial"/>
          <w:sz w:val="18"/>
          <w:szCs w:val="18"/>
          <w:rtl/>
        </w:rPr>
        <w:t xml:space="preserve">, </w:t>
      </w:r>
      <w:r w:rsidRPr="007E0728">
        <w:rPr>
          <w:rFonts w:cs="Arial" w:hint="cs"/>
          <w:sz w:val="18"/>
          <w:szCs w:val="18"/>
          <w:rtl/>
        </w:rPr>
        <w:t>דכל</w:t>
      </w:r>
      <w:r w:rsidRPr="007E0728">
        <w:rPr>
          <w:rFonts w:cs="Arial"/>
          <w:sz w:val="18"/>
          <w:szCs w:val="18"/>
          <w:rtl/>
        </w:rPr>
        <w:t xml:space="preserve"> </w:t>
      </w:r>
      <w:r w:rsidRPr="007E0728">
        <w:rPr>
          <w:rFonts w:cs="Arial" w:hint="cs"/>
          <w:sz w:val="18"/>
          <w:szCs w:val="18"/>
          <w:rtl/>
        </w:rPr>
        <w:t>דבר</w:t>
      </w:r>
      <w:r w:rsidRPr="007E0728">
        <w:rPr>
          <w:rFonts w:cs="Arial"/>
          <w:sz w:val="18"/>
          <w:szCs w:val="18"/>
          <w:rtl/>
        </w:rPr>
        <w:t xml:space="preserve"> </w:t>
      </w:r>
      <w:r w:rsidRPr="007E0728">
        <w:rPr>
          <w:rFonts w:cs="Arial" w:hint="cs"/>
          <w:sz w:val="18"/>
          <w:szCs w:val="18"/>
          <w:rtl/>
        </w:rPr>
        <w:t>שאינו</w:t>
      </w:r>
      <w:r w:rsidRPr="007E0728">
        <w:rPr>
          <w:rFonts w:cs="Arial"/>
          <w:sz w:val="18"/>
          <w:szCs w:val="18"/>
          <w:rtl/>
        </w:rPr>
        <w:t xml:space="preserve"> </w:t>
      </w:r>
      <w:r w:rsidRPr="007E0728">
        <w:rPr>
          <w:rFonts w:cs="Arial" w:hint="cs"/>
          <w:sz w:val="18"/>
          <w:szCs w:val="18"/>
          <w:rtl/>
        </w:rPr>
        <w:t>צריך</w:t>
      </w:r>
      <w:r w:rsidRPr="007E0728">
        <w:rPr>
          <w:rFonts w:cs="Arial"/>
          <w:sz w:val="18"/>
          <w:szCs w:val="18"/>
          <w:rtl/>
        </w:rPr>
        <w:t xml:space="preserve"> </w:t>
      </w:r>
      <w:r w:rsidRPr="007E0728">
        <w:rPr>
          <w:rFonts w:cs="Arial" w:hint="cs"/>
          <w:sz w:val="18"/>
          <w:szCs w:val="18"/>
          <w:rtl/>
        </w:rPr>
        <w:t>לכתוב</w:t>
      </w:r>
      <w:r w:rsidRPr="007E0728">
        <w:rPr>
          <w:rFonts w:cs="Arial"/>
          <w:sz w:val="18"/>
          <w:szCs w:val="18"/>
          <w:rtl/>
        </w:rPr>
        <w:t xml:space="preserve">, </w:t>
      </w:r>
      <w:r w:rsidRPr="007E0728">
        <w:rPr>
          <w:rFonts w:cs="Arial" w:hint="cs"/>
          <w:sz w:val="18"/>
          <w:szCs w:val="18"/>
          <w:rtl/>
        </w:rPr>
        <w:t>אף</w:t>
      </w:r>
      <w:r w:rsidRPr="007E0728">
        <w:rPr>
          <w:rFonts w:cs="Arial"/>
          <w:sz w:val="18"/>
          <w:szCs w:val="18"/>
          <w:rtl/>
        </w:rPr>
        <w:t xml:space="preserve"> </w:t>
      </w:r>
      <w:r w:rsidRPr="007E0728">
        <w:rPr>
          <w:rFonts w:cs="Arial" w:hint="cs"/>
          <w:sz w:val="18"/>
          <w:szCs w:val="18"/>
          <w:rtl/>
        </w:rPr>
        <w:t>אם</w:t>
      </w:r>
      <w:r w:rsidRPr="007E0728">
        <w:rPr>
          <w:rFonts w:cs="Arial"/>
          <w:sz w:val="18"/>
          <w:szCs w:val="18"/>
          <w:rtl/>
        </w:rPr>
        <w:t xml:space="preserve"> </w:t>
      </w:r>
      <w:r w:rsidRPr="007E0728">
        <w:rPr>
          <w:rFonts w:cs="Arial" w:hint="cs"/>
          <w:sz w:val="18"/>
          <w:szCs w:val="18"/>
          <w:rtl/>
        </w:rPr>
        <w:t>שינה</w:t>
      </w:r>
      <w:r w:rsidRPr="007E0728">
        <w:rPr>
          <w:rFonts w:cs="Arial"/>
          <w:sz w:val="18"/>
          <w:szCs w:val="18"/>
          <w:rtl/>
        </w:rPr>
        <w:t xml:space="preserve"> </w:t>
      </w:r>
      <w:r w:rsidRPr="007E0728">
        <w:rPr>
          <w:rFonts w:cs="Arial" w:hint="cs"/>
          <w:sz w:val="18"/>
          <w:szCs w:val="18"/>
          <w:rtl/>
        </w:rPr>
        <w:t>בו</w:t>
      </w:r>
      <w:r w:rsidRPr="007E0728">
        <w:rPr>
          <w:rFonts w:cs="Arial"/>
          <w:sz w:val="18"/>
          <w:szCs w:val="18"/>
          <w:rtl/>
        </w:rPr>
        <w:t xml:space="preserve">, </w:t>
      </w:r>
      <w:r w:rsidRPr="007E0728">
        <w:rPr>
          <w:rFonts w:cs="Arial" w:hint="cs"/>
          <w:sz w:val="18"/>
          <w:szCs w:val="18"/>
          <w:rtl/>
        </w:rPr>
        <w:t>כשר</w:t>
      </w:r>
      <w:r>
        <w:rPr>
          <w:rFonts w:cs="Arial" w:hint="cs"/>
          <w:sz w:val="18"/>
          <w:szCs w:val="18"/>
          <w:rtl/>
        </w:rPr>
        <w:t>.</w:t>
      </w:r>
      <w:r w:rsidRPr="007E0728">
        <w:rPr>
          <w:rFonts w:cs="Arial"/>
          <w:sz w:val="18"/>
          <w:szCs w:val="18"/>
          <w:rtl/>
        </w:rPr>
        <w:t xml:space="preserve"> </w:t>
      </w:r>
      <w:r w:rsidRPr="007E0728">
        <w:rPr>
          <w:rFonts w:cs="Arial" w:hint="cs"/>
          <w:sz w:val="18"/>
          <w:szCs w:val="18"/>
          <w:rtl/>
        </w:rPr>
        <w:t>ויש</w:t>
      </w:r>
      <w:r w:rsidRPr="007E0728">
        <w:rPr>
          <w:rFonts w:cs="Arial"/>
          <w:sz w:val="18"/>
          <w:szCs w:val="18"/>
          <w:rtl/>
        </w:rPr>
        <w:t xml:space="preserve"> </w:t>
      </w:r>
      <w:r w:rsidRPr="007E0728">
        <w:rPr>
          <w:rFonts w:cs="Arial" w:hint="cs"/>
          <w:sz w:val="18"/>
          <w:szCs w:val="18"/>
          <w:rtl/>
        </w:rPr>
        <w:t>פוסלין</w:t>
      </w:r>
      <w:r w:rsidRPr="007E0728">
        <w:rPr>
          <w:rFonts w:cs="Arial"/>
          <w:sz w:val="18"/>
          <w:szCs w:val="18"/>
          <w:rtl/>
        </w:rPr>
        <w:t xml:space="preserve"> (</w:t>
      </w:r>
      <w:r w:rsidRPr="007E0728">
        <w:rPr>
          <w:rFonts w:cs="Arial" w:hint="cs"/>
          <w:sz w:val="18"/>
          <w:szCs w:val="18"/>
          <w:rtl/>
        </w:rPr>
        <w:t>בב</w:t>
      </w:r>
      <w:r w:rsidRPr="007E0728">
        <w:rPr>
          <w:rFonts w:cs="Arial"/>
          <w:sz w:val="18"/>
          <w:szCs w:val="18"/>
          <w:rtl/>
        </w:rPr>
        <w:t>"</w:t>
      </w:r>
      <w:r w:rsidRPr="007E0728">
        <w:rPr>
          <w:rFonts w:cs="Arial" w:hint="cs"/>
          <w:sz w:val="18"/>
          <w:szCs w:val="18"/>
          <w:rtl/>
        </w:rPr>
        <w:t>י</w:t>
      </w:r>
      <w:r w:rsidRPr="007E0728">
        <w:rPr>
          <w:rFonts w:cs="Arial"/>
          <w:sz w:val="18"/>
          <w:szCs w:val="18"/>
          <w:rtl/>
        </w:rPr>
        <w:t xml:space="preserve"> </w:t>
      </w:r>
      <w:r w:rsidRPr="007E0728">
        <w:rPr>
          <w:rFonts w:cs="Arial" w:hint="cs"/>
          <w:sz w:val="18"/>
          <w:szCs w:val="18"/>
          <w:rtl/>
        </w:rPr>
        <w:t>הביא</w:t>
      </w:r>
      <w:r w:rsidRPr="007E0728">
        <w:rPr>
          <w:rFonts w:cs="Arial"/>
          <w:sz w:val="18"/>
          <w:szCs w:val="18"/>
          <w:rtl/>
        </w:rPr>
        <w:t xml:space="preserve"> </w:t>
      </w:r>
      <w:r w:rsidRPr="007E0728">
        <w:rPr>
          <w:rFonts w:cs="Arial" w:hint="cs"/>
          <w:sz w:val="18"/>
          <w:szCs w:val="18"/>
          <w:rtl/>
        </w:rPr>
        <w:t>הב</w:t>
      </w:r>
      <w:r w:rsidRPr="007E0728">
        <w:rPr>
          <w:rFonts w:cs="Arial"/>
          <w:sz w:val="18"/>
          <w:szCs w:val="18"/>
          <w:rtl/>
        </w:rPr>
        <w:t xml:space="preserve">' </w:t>
      </w:r>
      <w:r w:rsidRPr="007E0728">
        <w:rPr>
          <w:rFonts w:cs="Arial" w:hint="cs"/>
          <w:sz w:val="18"/>
          <w:szCs w:val="18"/>
          <w:rtl/>
        </w:rPr>
        <w:t>דעות</w:t>
      </w:r>
      <w:r w:rsidRPr="007E0728">
        <w:rPr>
          <w:rFonts w:cs="Arial"/>
          <w:sz w:val="18"/>
          <w:szCs w:val="18"/>
          <w:rtl/>
        </w:rPr>
        <w:t xml:space="preserve">), </w:t>
      </w:r>
      <w:r w:rsidRPr="007E0728">
        <w:rPr>
          <w:rFonts w:cs="Arial" w:hint="cs"/>
          <w:sz w:val="18"/>
          <w:szCs w:val="18"/>
          <w:rtl/>
        </w:rPr>
        <w:t>במקום</w:t>
      </w:r>
      <w:r w:rsidRPr="007E0728">
        <w:rPr>
          <w:rFonts w:cs="Arial"/>
          <w:sz w:val="18"/>
          <w:szCs w:val="18"/>
          <w:rtl/>
        </w:rPr>
        <w:t xml:space="preserve"> </w:t>
      </w:r>
      <w:r w:rsidRPr="007E0728">
        <w:rPr>
          <w:rFonts w:cs="Arial" w:hint="cs"/>
          <w:sz w:val="18"/>
          <w:szCs w:val="18"/>
          <w:rtl/>
        </w:rPr>
        <w:t>הדחק</w:t>
      </w:r>
      <w:r w:rsidRPr="007E0728">
        <w:rPr>
          <w:rFonts w:cs="Arial"/>
          <w:sz w:val="18"/>
          <w:szCs w:val="18"/>
          <w:rtl/>
        </w:rPr>
        <w:t xml:space="preserve"> </w:t>
      </w:r>
      <w:r w:rsidRPr="007E0728">
        <w:rPr>
          <w:rFonts w:cs="Arial" w:hint="cs"/>
          <w:sz w:val="18"/>
          <w:szCs w:val="18"/>
          <w:rtl/>
        </w:rPr>
        <w:t>יש</w:t>
      </w:r>
      <w:r w:rsidRPr="007E0728">
        <w:rPr>
          <w:rFonts w:cs="Arial"/>
          <w:sz w:val="18"/>
          <w:szCs w:val="18"/>
          <w:rtl/>
        </w:rPr>
        <w:t xml:space="preserve"> </w:t>
      </w:r>
      <w:r w:rsidRPr="007E0728">
        <w:rPr>
          <w:rFonts w:cs="Arial" w:hint="cs"/>
          <w:sz w:val="18"/>
          <w:szCs w:val="18"/>
          <w:rtl/>
        </w:rPr>
        <w:t>להקל</w:t>
      </w:r>
      <w:r>
        <w:rPr>
          <w:rStyle w:val="a7"/>
          <w:rFonts w:cs="Arial"/>
          <w:sz w:val="18"/>
          <w:szCs w:val="18"/>
          <w:rtl/>
        </w:rPr>
        <w:footnoteReference w:id="980"/>
      </w:r>
      <w:r w:rsidRPr="007E0728">
        <w:rPr>
          <w:rFonts w:cs="Arial"/>
          <w:sz w:val="18"/>
          <w:szCs w:val="18"/>
          <w:rtl/>
        </w:rPr>
        <w:t xml:space="preserve">. </w:t>
      </w:r>
      <w:r w:rsidRPr="007E0728">
        <w:rPr>
          <w:rFonts w:cs="Arial" w:hint="cs"/>
          <w:sz w:val="18"/>
          <w:szCs w:val="18"/>
          <w:rtl/>
        </w:rPr>
        <w:t>אבל</w:t>
      </w:r>
      <w:r w:rsidRPr="007E0728">
        <w:rPr>
          <w:rFonts w:cs="Arial"/>
          <w:sz w:val="18"/>
          <w:szCs w:val="18"/>
          <w:rtl/>
        </w:rPr>
        <w:t xml:space="preserve"> </w:t>
      </w:r>
      <w:r w:rsidRPr="007E0728">
        <w:rPr>
          <w:rFonts w:cs="Arial" w:hint="cs"/>
          <w:sz w:val="18"/>
          <w:szCs w:val="18"/>
          <w:rtl/>
        </w:rPr>
        <w:t>אם</w:t>
      </w:r>
      <w:r w:rsidRPr="007E0728">
        <w:rPr>
          <w:rFonts w:cs="Arial"/>
          <w:sz w:val="18"/>
          <w:szCs w:val="18"/>
          <w:rtl/>
        </w:rPr>
        <w:t xml:space="preserve"> </w:t>
      </w:r>
      <w:r w:rsidRPr="007E0728">
        <w:rPr>
          <w:rFonts w:cs="Arial" w:hint="cs"/>
          <w:sz w:val="18"/>
          <w:szCs w:val="18"/>
          <w:rtl/>
        </w:rPr>
        <w:t>שינה</w:t>
      </w:r>
      <w:r w:rsidRPr="007E0728">
        <w:rPr>
          <w:rFonts w:cs="Arial"/>
          <w:sz w:val="18"/>
          <w:szCs w:val="18"/>
          <w:rtl/>
        </w:rPr>
        <w:t xml:space="preserve"> </w:t>
      </w:r>
      <w:r w:rsidRPr="007E0728">
        <w:rPr>
          <w:rFonts w:cs="Arial" w:hint="cs"/>
          <w:sz w:val="18"/>
          <w:szCs w:val="18"/>
          <w:rtl/>
        </w:rPr>
        <w:t>במקום</w:t>
      </w:r>
      <w:r w:rsidRPr="007E0728">
        <w:rPr>
          <w:rFonts w:cs="Arial"/>
          <w:sz w:val="18"/>
          <w:szCs w:val="18"/>
          <w:rtl/>
        </w:rPr>
        <w:t xml:space="preserve"> </w:t>
      </w:r>
      <w:r w:rsidRPr="007E0728">
        <w:rPr>
          <w:rFonts w:cs="Arial" w:hint="cs"/>
          <w:sz w:val="18"/>
          <w:szCs w:val="18"/>
          <w:rtl/>
        </w:rPr>
        <w:t>דירה</w:t>
      </w:r>
      <w:r w:rsidRPr="007E0728">
        <w:rPr>
          <w:rFonts w:cs="Arial"/>
          <w:sz w:val="18"/>
          <w:szCs w:val="18"/>
          <w:rtl/>
        </w:rPr>
        <w:t xml:space="preserve">, </w:t>
      </w:r>
      <w:r w:rsidRPr="007E0728">
        <w:rPr>
          <w:rFonts w:cs="Arial" w:hint="cs"/>
          <w:sz w:val="18"/>
          <w:szCs w:val="18"/>
          <w:rtl/>
        </w:rPr>
        <w:t>פסול</w:t>
      </w:r>
      <w:r w:rsidRPr="007E0728">
        <w:rPr>
          <w:rFonts w:cs="Arial"/>
          <w:sz w:val="18"/>
          <w:szCs w:val="18"/>
          <w:rtl/>
        </w:rPr>
        <w:t xml:space="preserve"> </w:t>
      </w:r>
      <w:r w:rsidRPr="007E0728">
        <w:rPr>
          <w:rFonts w:cs="Arial" w:hint="cs"/>
          <w:sz w:val="18"/>
          <w:szCs w:val="18"/>
          <w:rtl/>
        </w:rPr>
        <w:t>לכ</w:t>
      </w:r>
      <w:r w:rsidRPr="007E0728">
        <w:rPr>
          <w:rFonts w:cs="Arial"/>
          <w:sz w:val="18"/>
          <w:szCs w:val="18"/>
          <w:rtl/>
        </w:rPr>
        <w:t>"</w:t>
      </w:r>
      <w:r w:rsidRPr="007E0728">
        <w:rPr>
          <w:rFonts w:cs="Arial" w:hint="cs"/>
          <w:sz w:val="18"/>
          <w:szCs w:val="18"/>
          <w:rtl/>
        </w:rPr>
        <w:t>ע</w:t>
      </w:r>
      <w:r w:rsidR="00B11CB9">
        <w:rPr>
          <w:rFonts w:cs="Arial" w:hint="cs"/>
          <w:sz w:val="18"/>
          <w:szCs w:val="18"/>
          <w:rtl/>
        </w:rPr>
        <w:t>,</w:t>
      </w:r>
      <w:r w:rsidRPr="007E0728">
        <w:rPr>
          <w:rFonts w:cs="Arial"/>
          <w:sz w:val="18"/>
          <w:szCs w:val="18"/>
          <w:rtl/>
        </w:rPr>
        <w:t xml:space="preserve"> </w:t>
      </w:r>
      <w:r w:rsidRPr="007E0728">
        <w:rPr>
          <w:rFonts w:cs="Arial" w:hint="cs"/>
          <w:sz w:val="18"/>
          <w:szCs w:val="18"/>
          <w:rtl/>
        </w:rPr>
        <w:t>ואפילו</w:t>
      </w:r>
      <w:r w:rsidRPr="007E0728">
        <w:rPr>
          <w:rFonts w:cs="Arial"/>
          <w:sz w:val="18"/>
          <w:szCs w:val="18"/>
          <w:rtl/>
        </w:rPr>
        <w:t xml:space="preserve"> </w:t>
      </w:r>
      <w:r w:rsidRPr="007E0728">
        <w:rPr>
          <w:rFonts w:cs="Arial" w:hint="cs"/>
          <w:sz w:val="18"/>
          <w:szCs w:val="18"/>
          <w:rtl/>
        </w:rPr>
        <w:t>אם</w:t>
      </w:r>
      <w:r w:rsidRPr="007E0728">
        <w:rPr>
          <w:rFonts w:cs="Arial"/>
          <w:sz w:val="18"/>
          <w:szCs w:val="18"/>
          <w:rtl/>
        </w:rPr>
        <w:t xml:space="preserve"> </w:t>
      </w:r>
      <w:r w:rsidRPr="007E0728">
        <w:rPr>
          <w:rFonts w:cs="Arial" w:hint="cs"/>
          <w:sz w:val="18"/>
          <w:szCs w:val="18"/>
          <w:rtl/>
        </w:rPr>
        <w:t>נשאת</w:t>
      </w:r>
      <w:r w:rsidRPr="007E0728">
        <w:rPr>
          <w:rFonts w:cs="Arial"/>
          <w:sz w:val="18"/>
          <w:szCs w:val="18"/>
          <w:rtl/>
        </w:rPr>
        <w:t xml:space="preserve">, </w:t>
      </w:r>
      <w:r w:rsidRPr="007E0728">
        <w:rPr>
          <w:rFonts w:cs="Arial" w:hint="cs"/>
          <w:sz w:val="18"/>
          <w:szCs w:val="18"/>
          <w:rtl/>
        </w:rPr>
        <w:t>תצא</w:t>
      </w:r>
      <w:r w:rsidR="00B11CB9">
        <w:rPr>
          <w:rFonts w:cs="Arial" w:hint="cs"/>
          <w:sz w:val="18"/>
          <w:szCs w:val="18"/>
          <w:rtl/>
        </w:rPr>
        <w:t xml:space="preserve"> (משנה)</w:t>
      </w:r>
      <w:r w:rsidRPr="007E0728">
        <w:rPr>
          <w:rFonts w:cs="Arial"/>
          <w:sz w:val="18"/>
          <w:szCs w:val="18"/>
          <w:rtl/>
        </w:rPr>
        <w:t xml:space="preserve">. </w:t>
      </w:r>
      <w:r w:rsidRPr="007E0728">
        <w:rPr>
          <w:rFonts w:cs="Arial" w:hint="cs"/>
          <w:sz w:val="18"/>
          <w:szCs w:val="18"/>
          <w:rtl/>
        </w:rPr>
        <w:t>וכותבין</w:t>
      </w:r>
      <w:r w:rsidRPr="007E0728">
        <w:rPr>
          <w:rFonts w:cs="Arial"/>
          <w:sz w:val="18"/>
          <w:szCs w:val="18"/>
          <w:rtl/>
        </w:rPr>
        <w:t xml:space="preserve">: </w:t>
      </w:r>
      <w:r w:rsidRPr="007E0728">
        <w:rPr>
          <w:rFonts w:cs="Arial" w:hint="cs"/>
          <w:sz w:val="18"/>
          <w:szCs w:val="18"/>
          <w:rtl/>
        </w:rPr>
        <w:t>מתא</w:t>
      </w:r>
      <w:r w:rsidRPr="007E0728">
        <w:rPr>
          <w:rFonts w:cs="Arial"/>
          <w:sz w:val="18"/>
          <w:szCs w:val="18"/>
          <w:rtl/>
        </w:rPr>
        <w:t xml:space="preserve"> </w:t>
      </w:r>
      <w:r w:rsidRPr="007E0728">
        <w:rPr>
          <w:rFonts w:cs="Arial" w:hint="cs"/>
          <w:sz w:val="18"/>
          <w:szCs w:val="18"/>
          <w:rtl/>
        </w:rPr>
        <w:t>פלונית</w:t>
      </w:r>
      <w:r w:rsidR="00434B8D">
        <w:rPr>
          <w:rStyle w:val="a7"/>
          <w:rFonts w:cs="Arial"/>
          <w:sz w:val="18"/>
          <w:szCs w:val="18"/>
          <w:rtl/>
        </w:rPr>
        <w:footnoteReference w:id="981"/>
      </w:r>
      <w:r w:rsidRPr="007E0728">
        <w:rPr>
          <w:rFonts w:cs="Arial"/>
          <w:sz w:val="18"/>
          <w:szCs w:val="18"/>
          <w:rtl/>
        </w:rPr>
        <w:t xml:space="preserve">, </w:t>
      </w:r>
      <w:r w:rsidRPr="007E0728">
        <w:rPr>
          <w:rFonts w:cs="Arial" w:hint="cs"/>
          <w:sz w:val="18"/>
          <w:szCs w:val="18"/>
          <w:rtl/>
        </w:rPr>
        <w:t>בין</w:t>
      </w:r>
      <w:r w:rsidRPr="007E0728">
        <w:rPr>
          <w:rFonts w:cs="Arial"/>
          <w:sz w:val="18"/>
          <w:szCs w:val="18"/>
          <w:rtl/>
        </w:rPr>
        <w:t xml:space="preserve"> </w:t>
      </w:r>
      <w:r w:rsidRPr="007E0728">
        <w:rPr>
          <w:rFonts w:cs="Arial" w:hint="cs"/>
          <w:sz w:val="18"/>
          <w:szCs w:val="18"/>
          <w:rtl/>
        </w:rPr>
        <w:t>שהעיר</w:t>
      </w:r>
      <w:r w:rsidRPr="007E0728">
        <w:rPr>
          <w:rFonts w:cs="Arial"/>
          <w:sz w:val="18"/>
          <w:szCs w:val="18"/>
          <w:rtl/>
        </w:rPr>
        <w:t xml:space="preserve"> </w:t>
      </w:r>
      <w:r w:rsidRPr="007E0728">
        <w:rPr>
          <w:rFonts w:cs="Arial" w:hint="cs"/>
          <w:sz w:val="18"/>
          <w:szCs w:val="18"/>
          <w:rtl/>
        </w:rPr>
        <w:t>גדולה</w:t>
      </w:r>
      <w:r w:rsidRPr="007E0728">
        <w:rPr>
          <w:rFonts w:cs="Arial"/>
          <w:sz w:val="18"/>
          <w:szCs w:val="18"/>
          <w:rtl/>
        </w:rPr>
        <w:t xml:space="preserve"> </w:t>
      </w:r>
      <w:r w:rsidRPr="007E0728">
        <w:rPr>
          <w:rFonts w:cs="Arial" w:hint="cs"/>
          <w:sz w:val="18"/>
          <w:szCs w:val="18"/>
          <w:rtl/>
        </w:rPr>
        <w:t>או</w:t>
      </w:r>
      <w:r w:rsidRPr="007E0728">
        <w:rPr>
          <w:rFonts w:cs="Arial"/>
          <w:sz w:val="18"/>
          <w:szCs w:val="18"/>
          <w:rtl/>
        </w:rPr>
        <w:t xml:space="preserve"> </w:t>
      </w:r>
      <w:r w:rsidRPr="007E0728">
        <w:rPr>
          <w:rFonts w:cs="Arial" w:hint="cs"/>
          <w:sz w:val="18"/>
          <w:szCs w:val="18"/>
          <w:rtl/>
        </w:rPr>
        <w:t>קטנה</w:t>
      </w:r>
      <w:r w:rsidRPr="007E0728">
        <w:rPr>
          <w:rFonts w:cs="Arial"/>
          <w:sz w:val="18"/>
          <w:szCs w:val="18"/>
          <w:rtl/>
        </w:rPr>
        <w:t xml:space="preserve">; </w:t>
      </w:r>
      <w:r w:rsidRPr="007E0728">
        <w:rPr>
          <w:rFonts w:cs="Arial" w:hint="cs"/>
          <w:sz w:val="18"/>
          <w:szCs w:val="18"/>
          <w:rtl/>
        </w:rPr>
        <w:t>ולא</w:t>
      </w:r>
      <w:r w:rsidRPr="007E0728">
        <w:rPr>
          <w:rFonts w:cs="Arial"/>
          <w:sz w:val="18"/>
          <w:szCs w:val="18"/>
          <w:rtl/>
        </w:rPr>
        <w:t xml:space="preserve"> </w:t>
      </w:r>
      <w:r w:rsidRPr="007E0728">
        <w:rPr>
          <w:rFonts w:cs="Arial" w:hint="cs"/>
          <w:sz w:val="18"/>
          <w:szCs w:val="18"/>
          <w:rtl/>
        </w:rPr>
        <w:t>יכתוב</w:t>
      </w:r>
      <w:r w:rsidRPr="007E0728">
        <w:rPr>
          <w:rFonts w:cs="Arial"/>
          <w:sz w:val="18"/>
          <w:szCs w:val="18"/>
          <w:rtl/>
        </w:rPr>
        <w:t xml:space="preserve">: </w:t>
      </w:r>
      <w:r w:rsidRPr="007E0728">
        <w:rPr>
          <w:rFonts w:cs="Arial" w:hint="cs"/>
          <w:sz w:val="18"/>
          <w:szCs w:val="18"/>
          <w:rtl/>
        </w:rPr>
        <w:t>פלונית</w:t>
      </w:r>
      <w:r w:rsidRPr="007E0728">
        <w:rPr>
          <w:rFonts w:cs="Arial"/>
          <w:sz w:val="18"/>
          <w:szCs w:val="18"/>
          <w:rtl/>
        </w:rPr>
        <w:t xml:space="preserve"> </w:t>
      </w:r>
      <w:r w:rsidRPr="007E0728">
        <w:rPr>
          <w:rFonts w:cs="Arial" w:hint="cs"/>
          <w:sz w:val="18"/>
          <w:szCs w:val="18"/>
          <w:rtl/>
        </w:rPr>
        <w:t>מתא</w:t>
      </w:r>
      <w:r w:rsidRPr="007E0728">
        <w:rPr>
          <w:rFonts w:cs="Arial"/>
          <w:sz w:val="18"/>
          <w:szCs w:val="18"/>
          <w:rtl/>
        </w:rPr>
        <w:t xml:space="preserve">, </w:t>
      </w:r>
      <w:r w:rsidRPr="007E0728">
        <w:rPr>
          <w:rFonts w:cs="Arial" w:hint="cs"/>
          <w:sz w:val="18"/>
          <w:szCs w:val="18"/>
          <w:rtl/>
        </w:rPr>
        <w:t>אלא</w:t>
      </w:r>
      <w:r w:rsidRPr="007E0728">
        <w:rPr>
          <w:rFonts w:cs="Arial"/>
          <w:sz w:val="18"/>
          <w:szCs w:val="18"/>
          <w:rtl/>
        </w:rPr>
        <w:t xml:space="preserve">: </w:t>
      </w:r>
      <w:r w:rsidRPr="007E0728">
        <w:rPr>
          <w:rFonts w:cs="Arial" w:hint="cs"/>
          <w:sz w:val="18"/>
          <w:szCs w:val="18"/>
          <w:rtl/>
        </w:rPr>
        <w:t>מתא</w:t>
      </w:r>
      <w:r w:rsidRPr="007E0728">
        <w:rPr>
          <w:rFonts w:cs="Arial"/>
          <w:sz w:val="18"/>
          <w:szCs w:val="18"/>
          <w:rtl/>
        </w:rPr>
        <w:t xml:space="preserve"> </w:t>
      </w:r>
      <w:r w:rsidRPr="007E0728">
        <w:rPr>
          <w:rFonts w:cs="Arial" w:hint="cs"/>
          <w:sz w:val="18"/>
          <w:szCs w:val="18"/>
          <w:rtl/>
        </w:rPr>
        <w:t>פלונית</w:t>
      </w:r>
      <w:r w:rsidR="00434B8D">
        <w:rPr>
          <w:rFonts w:cs="Arial" w:hint="cs"/>
          <w:sz w:val="18"/>
          <w:szCs w:val="18"/>
          <w:rtl/>
        </w:rPr>
        <w:t xml:space="preserve"> (רי"ף ורא"ש בסדר הגט)</w:t>
      </w:r>
      <w:r w:rsidRPr="007E0728">
        <w:rPr>
          <w:rFonts w:cs="Arial"/>
          <w:sz w:val="18"/>
          <w:szCs w:val="18"/>
          <w:rtl/>
        </w:rPr>
        <w:t xml:space="preserve">. </w:t>
      </w:r>
      <w:r w:rsidRPr="007E0728">
        <w:rPr>
          <w:rFonts w:cs="Arial" w:hint="cs"/>
          <w:sz w:val="18"/>
          <w:szCs w:val="18"/>
          <w:rtl/>
        </w:rPr>
        <w:t>ואם</w:t>
      </w:r>
      <w:r w:rsidRPr="007E0728">
        <w:rPr>
          <w:rFonts w:cs="Arial"/>
          <w:sz w:val="18"/>
          <w:szCs w:val="18"/>
          <w:rtl/>
        </w:rPr>
        <w:t xml:space="preserve"> </w:t>
      </w:r>
      <w:r w:rsidRPr="007E0728">
        <w:rPr>
          <w:rFonts w:cs="Arial" w:hint="cs"/>
          <w:sz w:val="18"/>
          <w:szCs w:val="18"/>
          <w:rtl/>
        </w:rPr>
        <w:t>דילג</w:t>
      </w:r>
      <w:r w:rsidRPr="007E0728">
        <w:rPr>
          <w:rFonts w:cs="Arial"/>
          <w:sz w:val="18"/>
          <w:szCs w:val="18"/>
          <w:rtl/>
        </w:rPr>
        <w:t xml:space="preserve"> </w:t>
      </w:r>
      <w:r w:rsidRPr="007E0728">
        <w:rPr>
          <w:rFonts w:cs="Arial" w:hint="cs"/>
          <w:sz w:val="18"/>
          <w:szCs w:val="18"/>
          <w:rtl/>
        </w:rPr>
        <w:t>מלת</w:t>
      </w:r>
      <w:r w:rsidRPr="007E0728">
        <w:rPr>
          <w:rFonts w:cs="Arial"/>
          <w:sz w:val="18"/>
          <w:szCs w:val="18"/>
          <w:rtl/>
        </w:rPr>
        <w:t xml:space="preserve"> </w:t>
      </w:r>
      <w:r w:rsidRPr="007E0728">
        <w:rPr>
          <w:rFonts w:cs="Arial" w:hint="cs"/>
          <w:sz w:val="18"/>
          <w:szCs w:val="18"/>
          <w:rtl/>
        </w:rPr>
        <w:t>מתא</w:t>
      </w:r>
      <w:r w:rsidRPr="007E0728">
        <w:rPr>
          <w:rFonts w:cs="Arial"/>
          <w:sz w:val="18"/>
          <w:szCs w:val="18"/>
          <w:rtl/>
        </w:rPr>
        <w:t xml:space="preserve">, </w:t>
      </w:r>
      <w:r w:rsidRPr="007E0728">
        <w:rPr>
          <w:rFonts w:cs="Arial" w:hint="cs"/>
          <w:sz w:val="18"/>
          <w:szCs w:val="18"/>
          <w:rtl/>
        </w:rPr>
        <w:t>כשר</w:t>
      </w:r>
      <w:r w:rsidRPr="007E0728">
        <w:rPr>
          <w:rFonts w:cs="Arial"/>
          <w:sz w:val="18"/>
          <w:szCs w:val="18"/>
          <w:rtl/>
        </w:rPr>
        <w:t>.</w:t>
      </w:r>
      <w:r>
        <w:rPr>
          <w:rFonts w:cs="Arial"/>
          <w:rtl/>
        </w:rPr>
        <w:t xml:space="preserve"> </w:t>
      </w:r>
    </w:p>
    <w:p w14:paraId="246FDCE4" w14:textId="77777777" w:rsidR="00FA2119" w:rsidRDefault="00FA2119" w:rsidP="00FA2119">
      <w:pPr>
        <w:rPr>
          <w:rFonts w:cs="Arial"/>
          <w:rtl/>
        </w:rPr>
      </w:pPr>
      <w:r w:rsidRPr="00F422F2">
        <w:rPr>
          <w:rFonts w:cs="Arial" w:hint="cs"/>
          <w:u w:val="single"/>
          <w:rtl/>
        </w:rPr>
        <w:t>אשה מוציאה גט שכתוב בו מקום עמידת הבעל, והבעל טוען שלא גירשה, ומקום העמידה הוא מקום דירתו:</w:t>
      </w:r>
    </w:p>
    <w:p w14:paraId="7279E43A" w14:textId="72252DE7" w:rsidR="00FA2119" w:rsidRPr="00F12B81" w:rsidRDefault="00FA2119" w:rsidP="00FA2119">
      <w:pPr>
        <w:pStyle w:val="ab"/>
        <w:numPr>
          <w:ilvl w:val="0"/>
          <w:numId w:val="67"/>
        </w:numPr>
        <w:rPr>
          <w:rFonts w:cs="Arial"/>
          <w:rtl/>
        </w:rPr>
      </w:pPr>
      <w:r w:rsidRPr="00F422F2">
        <w:rPr>
          <w:rFonts w:cs="Arial"/>
          <w:rtl/>
        </w:rPr>
        <w:t>תו"ג</w:t>
      </w:r>
      <w:r>
        <w:rPr>
          <w:rFonts w:cs="Arial" w:hint="cs"/>
          <w:sz w:val="16"/>
          <w:szCs w:val="16"/>
          <w:rtl/>
        </w:rPr>
        <w:t xml:space="preserve"> (כ"כ הפת"ש [סק"ו] </w:t>
      </w:r>
      <w:r w:rsidRPr="00F422F2">
        <w:rPr>
          <w:rFonts w:cs="Arial" w:hint="cs"/>
          <w:sz w:val="16"/>
          <w:szCs w:val="16"/>
          <w:rtl/>
        </w:rPr>
        <w:t>בשמו)</w:t>
      </w:r>
      <w:r w:rsidR="00A82951">
        <w:rPr>
          <w:rFonts w:cs="Arial" w:hint="cs"/>
          <w:rtl/>
        </w:rPr>
        <w:t>-</w:t>
      </w:r>
      <w:r w:rsidRPr="00F422F2">
        <w:rPr>
          <w:rFonts w:cs="Arial" w:hint="cs"/>
          <w:rtl/>
        </w:rPr>
        <w:t xml:space="preserve"> </w:t>
      </w:r>
      <w:r w:rsidRPr="00F422F2">
        <w:rPr>
          <w:rFonts w:cs="Arial"/>
          <w:rtl/>
        </w:rPr>
        <w:t>אף שאין כותבין מקום הדירה מ"מ אם האשה מוציאה גט על בעלה שנכתב מקום עמידתו</w:t>
      </w:r>
      <w:r w:rsidRPr="00F422F2">
        <w:rPr>
          <w:rFonts w:cs="Arial" w:hint="cs"/>
          <w:rtl/>
        </w:rPr>
        <w:t>.</w:t>
      </w:r>
      <w:r w:rsidRPr="00F422F2">
        <w:rPr>
          <w:rFonts w:cs="Arial"/>
          <w:rtl/>
        </w:rPr>
        <w:t xml:space="preserve"> והוא ג"כ מקום דירתו והוא טוען שלא גירשה רק איש אחר ממקום אחר נתן לה גט זה</w:t>
      </w:r>
      <w:r w:rsidRPr="00F422F2">
        <w:rPr>
          <w:rFonts w:cs="Arial" w:hint="cs"/>
          <w:rtl/>
        </w:rPr>
        <w:t xml:space="preserve"> </w:t>
      </w:r>
      <w:r w:rsidR="00A82951">
        <w:rPr>
          <w:rFonts w:cs="Arial" w:hint="cs"/>
          <w:rtl/>
        </w:rPr>
        <w:t>-</w:t>
      </w:r>
      <w:r w:rsidRPr="00F422F2">
        <w:rPr>
          <w:rFonts w:cs="Arial"/>
          <w:rtl/>
        </w:rPr>
        <w:t xml:space="preserve"> היא נאמנת דאמרי' כאן נמצא כאן היה והוא האיש שממקום זה. ולכן אם בא איש ממקום אחר לגרש כאן אזי אם יש גם במקום העומד ג"כ איש ששמו כך אסור לכתוב לו גט בלא שילוש משום חשש דדילמא ממטי גיטא לאשת הדר כאן</w:t>
      </w:r>
      <w:r w:rsidRPr="00F422F2">
        <w:rPr>
          <w:rFonts w:cs="Arial" w:hint="cs"/>
          <w:rtl/>
        </w:rPr>
        <w:t>..</w:t>
      </w:r>
      <w:r w:rsidRPr="00F422F2">
        <w:rPr>
          <w:rFonts w:cs="Arial"/>
          <w:rtl/>
        </w:rPr>
        <w:t>. ואם האשה שנתגרשה שלא במקום דירתה באה להנשא א"א לה להנשא עד שתביא ע"מ לפנינו ויכירו שזאת אשת המגרש שנתגרשה</w:t>
      </w:r>
      <w:r>
        <w:rPr>
          <w:rStyle w:val="a7"/>
          <w:rFonts w:cs="Arial"/>
          <w:rtl/>
        </w:rPr>
        <w:footnoteReference w:id="982"/>
      </w:r>
      <w:r w:rsidRPr="00F422F2">
        <w:rPr>
          <w:rFonts w:cs="Arial"/>
          <w:rtl/>
        </w:rPr>
        <w:t>.</w:t>
      </w:r>
    </w:p>
    <w:p w14:paraId="49357743" w14:textId="77777777" w:rsidR="00FA2119" w:rsidRDefault="00FA2119" w:rsidP="00FA2119">
      <w:pPr>
        <w:rPr>
          <w:rtl/>
        </w:rPr>
      </w:pPr>
    </w:p>
    <w:p w14:paraId="232D184A" w14:textId="77777777" w:rsidR="00FA2119" w:rsidRDefault="00FA2119" w:rsidP="00FA2119">
      <w:pPr>
        <w:pStyle w:val="2"/>
        <w:rPr>
          <w:rtl/>
        </w:rPr>
      </w:pPr>
      <w:r>
        <w:rPr>
          <w:rFonts w:hint="cs"/>
          <w:rtl/>
        </w:rPr>
        <w:t>סעיף</w:t>
      </w:r>
      <w:r>
        <w:rPr>
          <w:rtl/>
        </w:rPr>
        <w:t xml:space="preserve"> </w:t>
      </w:r>
      <w:r>
        <w:rPr>
          <w:rFonts w:hint="cs"/>
          <w:rtl/>
        </w:rPr>
        <w:t>ג: עיר שיש לה שני שמות.</w:t>
      </w:r>
    </w:p>
    <w:p w14:paraId="14098549" w14:textId="77777777" w:rsidR="00FA2119" w:rsidRPr="009F709F" w:rsidRDefault="00FA2119" w:rsidP="00FA2119">
      <w:pPr>
        <w:rPr>
          <w:u w:val="single"/>
        </w:rPr>
      </w:pPr>
      <w:r w:rsidRPr="009F709F">
        <w:rPr>
          <w:rFonts w:hint="cs"/>
          <w:u w:val="single"/>
          <w:rtl/>
        </w:rPr>
        <w:t>עיר שיש לה שני שמות:</w:t>
      </w:r>
    </w:p>
    <w:p w14:paraId="4C4AF00D" w14:textId="2F25A043" w:rsidR="00FA2119" w:rsidRDefault="00FA2119" w:rsidP="00FA2119">
      <w:pPr>
        <w:pStyle w:val="ab"/>
        <w:numPr>
          <w:ilvl w:val="0"/>
          <w:numId w:val="61"/>
        </w:numPr>
      </w:pPr>
      <w:r>
        <w:rPr>
          <w:rFonts w:cs="Arial" w:hint="cs"/>
          <w:rtl/>
        </w:rPr>
        <w:lastRenderedPageBreak/>
        <w:t>טור</w:t>
      </w:r>
      <w:r w:rsidR="00A82951">
        <w:rPr>
          <w:rFonts w:cs="Arial" w:hint="cs"/>
          <w:rtl/>
        </w:rPr>
        <w:t>-</w:t>
      </w:r>
      <w:r>
        <w:rPr>
          <w:rFonts w:cs="Arial" w:hint="cs"/>
          <w:rtl/>
        </w:rPr>
        <w:t xml:space="preserve"> </w:t>
      </w:r>
      <w:r w:rsidRPr="003C7C89">
        <w:rPr>
          <w:rFonts w:cs="Arial" w:hint="cs"/>
          <w:rtl/>
        </w:rPr>
        <w:t>ואם</w:t>
      </w:r>
      <w:r w:rsidRPr="003C7C89">
        <w:rPr>
          <w:rFonts w:cs="Arial"/>
          <w:rtl/>
        </w:rPr>
        <w:t xml:space="preserve"> </w:t>
      </w:r>
      <w:r w:rsidRPr="003C7C89">
        <w:rPr>
          <w:rFonts w:cs="Arial" w:hint="cs"/>
          <w:rtl/>
        </w:rPr>
        <w:t>יש</w:t>
      </w:r>
      <w:r w:rsidRPr="003C7C89">
        <w:rPr>
          <w:rFonts w:cs="Arial"/>
          <w:rtl/>
        </w:rPr>
        <w:t xml:space="preserve"> </w:t>
      </w:r>
      <w:r w:rsidRPr="003C7C89">
        <w:rPr>
          <w:rFonts w:cs="Arial" w:hint="cs"/>
          <w:rtl/>
        </w:rPr>
        <w:t>לה</w:t>
      </w:r>
      <w:r>
        <w:rPr>
          <w:rStyle w:val="a7"/>
          <w:rFonts w:cs="Arial"/>
          <w:rtl/>
        </w:rPr>
        <w:footnoteReference w:id="983"/>
      </w:r>
      <w:r w:rsidRPr="003C7C89">
        <w:rPr>
          <w:rFonts w:cs="Arial"/>
          <w:rtl/>
        </w:rPr>
        <w:t xml:space="preserve"> </w:t>
      </w:r>
      <w:r w:rsidRPr="003C7C89">
        <w:rPr>
          <w:rFonts w:cs="Arial" w:hint="cs"/>
          <w:rtl/>
        </w:rPr>
        <w:t>שתי</w:t>
      </w:r>
      <w:r w:rsidRPr="003C7C89">
        <w:rPr>
          <w:rFonts w:cs="Arial"/>
          <w:rtl/>
        </w:rPr>
        <w:t xml:space="preserve"> </w:t>
      </w:r>
      <w:r w:rsidRPr="003C7C89">
        <w:rPr>
          <w:rFonts w:cs="Arial" w:hint="cs"/>
          <w:rtl/>
        </w:rPr>
        <w:t>שמות</w:t>
      </w:r>
      <w:r>
        <w:rPr>
          <w:rFonts w:cs="Arial" w:hint="cs"/>
          <w:rtl/>
        </w:rPr>
        <w:t xml:space="preserve"> </w:t>
      </w:r>
      <w:r w:rsidRPr="003C7C89">
        <w:rPr>
          <w:rFonts w:cs="Arial" w:hint="cs"/>
          <w:rtl/>
        </w:rPr>
        <w:t>כותב</w:t>
      </w:r>
      <w:r w:rsidRPr="003C7C89">
        <w:rPr>
          <w:rFonts w:cs="Arial"/>
          <w:rtl/>
        </w:rPr>
        <w:t xml:space="preserve"> </w:t>
      </w:r>
      <w:r>
        <w:rPr>
          <w:rFonts w:cs="Arial" w:hint="cs"/>
          <w:rtl/>
        </w:rPr>
        <w:t>'</w:t>
      </w:r>
      <w:r w:rsidRPr="003C7C89">
        <w:rPr>
          <w:rFonts w:cs="Arial" w:hint="cs"/>
          <w:rtl/>
        </w:rPr>
        <w:t>שממקום</w:t>
      </w:r>
      <w:r w:rsidRPr="003C7C89">
        <w:rPr>
          <w:rFonts w:cs="Arial"/>
          <w:rtl/>
        </w:rPr>
        <w:t xml:space="preserve"> </w:t>
      </w:r>
      <w:r w:rsidRPr="003C7C89">
        <w:rPr>
          <w:rFonts w:cs="Arial" w:hint="cs"/>
          <w:rtl/>
        </w:rPr>
        <w:t>עיר</w:t>
      </w:r>
      <w:r w:rsidRPr="003C7C89">
        <w:rPr>
          <w:rFonts w:cs="Arial"/>
          <w:rtl/>
        </w:rPr>
        <w:t xml:space="preserve"> </w:t>
      </w:r>
      <w:r w:rsidRPr="003C7C89">
        <w:rPr>
          <w:rFonts w:cs="Arial" w:hint="cs"/>
          <w:rtl/>
        </w:rPr>
        <w:t>פלוני</w:t>
      </w:r>
      <w:r w:rsidRPr="003C7C89">
        <w:rPr>
          <w:rFonts w:cs="Arial"/>
          <w:rtl/>
        </w:rPr>
        <w:t xml:space="preserve"> </w:t>
      </w:r>
      <w:r w:rsidRPr="003C7C89">
        <w:rPr>
          <w:rFonts w:cs="Arial" w:hint="cs"/>
          <w:rtl/>
        </w:rPr>
        <w:t>וכל</w:t>
      </w:r>
      <w:r w:rsidRPr="003C7C89">
        <w:rPr>
          <w:rFonts w:cs="Arial"/>
          <w:rtl/>
        </w:rPr>
        <w:t xml:space="preserve"> </w:t>
      </w:r>
      <w:r w:rsidRPr="003C7C89">
        <w:rPr>
          <w:rFonts w:cs="Arial" w:hint="cs"/>
          <w:rtl/>
        </w:rPr>
        <w:t>שום</w:t>
      </w:r>
      <w:r w:rsidRPr="003C7C89">
        <w:rPr>
          <w:rFonts w:cs="Arial"/>
          <w:rtl/>
        </w:rPr>
        <w:t xml:space="preserve"> </w:t>
      </w:r>
      <w:r w:rsidRPr="003C7C89">
        <w:rPr>
          <w:rFonts w:cs="Arial" w:hint="cs"/>
          <w:rtl/>
        </w:rPr>
        <w:t>וחניכה</w:t>
      </w:r>
      <w:r w:rsidRPr="003C7C89">
        <w:rPr>
          <w:rFonts w:cs="Arial"/>
          <w:rtl/>
        </w:rPr>
        <w:t xml:space="preserve"> </w:t>
      </w:r>
      <w:r w:rsidRPr="003C7C89">
        <w:rPr>
          <w:rFonts w:cs="Arial" w:hint="cs"/>
          <w:rtl/>
        </w:rPr>
        <w:t>דאית</w:t>
      </w:r>
      <w:r w:rsidRPr="003C7C89">
        <w:rPr>
          <w:rFonts w:cs="Arial"/>
          <w:rtl/>
        </w:rPr>
        <w:t xml:space="preserve"> </w:t>
      </w:r>
      <w:r w:rsidRPr="003C7C89">
        <w:rPr>
          <w:rFonts w:cs="Arial" w:hint="cs"/>
          <w:rtl/>
        </w:rPr>
        <w:t>לה</w:t>
      </w:r>
      <w:r>
        <w:rPr>
          <w:rFonts w:cs="Arial" w:hint="cs"/>
          <w:rtl/>
        </w:rPr>
        <w:t>'</w:t>
      </w:r>
      <w:r>
        <w:rPr>
          <w:rStyle w:val="a7"/>
          <w:rFonts w:cs="Arial"/>
          <w:rtl/>
        </w:rPr>
        <w:footnoteReference w:id="984"/>
      </w:r>
      <w:r>
        <w:rPr>
          <w:rFonts w:cs="Arial" w:hint="cs"/>
          <w:rtl/>
        </w:rPr>
        <w:t>. וכתב ה</w:t>
      </w:r>
      <w:r w:rsidRPr="003C7C89">
        <w:rPr>
          <w:rFonts w:cs="Arial" w:hint="cs"/>
          <w:rtl/>
        </w:rPr>
        <w:t>רמ</w:t>
      </w:r>
      <w:r w:rsidRPr="003C7C89">
        <w:rPr>
          <w:rFonts w:cs="Arial"/>
          <w:rtl/>
        </w:rPr>
        <w:t>"</w:t>
      </w:r>
      <w:r w:rsidRPr="003C7C89">
        <w:rPr>
          <w:rFonts w:cs="Arial" w:hint="cs"/>
          <w:rtl/>
        </w:rPr>
        <w:t>ה</w:t>
      </w:r>
      <w:r>
        <w:rPr>
          <w:rFonts w:cs="Arial" w:hint="cs"/>
          <w:rtl/>
        </w:rPr>
        <w:t xml:space="preserve"> </w:t>
      </w:r>
      <w:r w:rsidRPr="006246E9">
        <w:rPr>
          <w:rFonts w:cs="Arial"/>
          <w:sz w:val="16"/>
          <w:szCs w:val="16"/>
          <w:rtl/>
        </w:rPr>
        <w:t>(</w:t>
      </w:r>
      <w:r w:rsidRPr="006246E9">
        <w:rPr>
          <w:rFonts w:cs="Arial" w:hint="cs"/>
          <w:sz w:val="16"/>
          <w:szCs w:val="16"/>
          <w:rtl/>
        </w:rPr>
        <w:t>חידושי</w:t>
      </w:r>
      <w:r w:rsidRPr="006246E9">
        <w:rPr>
          <w:rFonts w:cs="Arial"/>
          <w:sz w:val="16"/>
          <w:szCs w:val="16"/>
          <w:rtl/>
        </w:rPr>
        <w:t xml:space="preserve"> </w:t>
      </w:r>
      <w:r w:rsidRPr="006246E9">
        <w:rPr>
          <w:rFonts w:cs="Arial" w:hint="cs"/>
          <w:sz w:val="16"/>
          <w:szCs w:val="16"/>
          <w:rtl/>
        </w:rPr>
        <w:t>הרמ</w:t>
      </w:r>
      <w:r w:rsidRPr="006246E9">
        <w:rPr>
          <w:rFonts w:cs="Arial"/>
          <w:sz w:val="16"/>
          <w:szCs w:val="16"/>
          <w:rtl/>
        </w:rPr>
        <w:t>"</w:t>
      </w:r>
      <w:r w:rsidRPr="006246E9">
        <w:rPr>
          <w:rFonts w:cs="Arial" w:hint="cs"/>
          <w:sz w:val="16"/>
          <w:szCs w:val="16"/>
          <w:rtl/>
        </w:rPr>
        <w:t>ה</w:t>
      </w:r>
      <w:r w:rsidRPr="006246E9">
        <w:rPr>
          <w:rFonts w:cs="Arial"/>
          <w:sz w:val="16"/>
          <w:szCs w:val="16"/>
          <w:rtl/>
        </w:rPr>
        <w:t xml:space="preserve"> </w:t>
      </w:r>
      <w:r w:rsidRPr="006246E9">
        <w:rPr>
          <w:rFonts w:cs="Arial" w:hint="cs"/>
          <w:sz w:val="16"/>
          <w:szCs w:val="16"/>
          <w:rtl/>
        </w:rPr>
        <w:t>גיטין</w:t>
      </w:r>
      <w:r w:rsidRPr="006246E9">
        <w:rPr>
          <w:rFonts w:cs="Arial"/>
          <w:sz w:val="16"/>
          <w:szCs w:val="16"/>
          <w:rtl/>
        </w:rPr>
        <w:t xml:space="preserve"> </w:t>
      </w:r>
      <w:r w:rsidRPr="006246E9">
        <w:rPr>
          <w:rFonts w:cs="Arial" w:hint="cs"/>
          <w:sz w:val="16"/>
          <w:szCs w:val="16"/>
          <w:rtl/>
        </w:rPr>
        <w:t>לד</w:t>
      </w:r>
      <w:r w:rsidRPr="006246E9">
        <w:rPr>
          <w:rFonts w:cs="Arial"/>
          <w:sz w:val="16"/>
          <w:szCs w:val="16"/>
          <w:rtl/>
        </w:rPr>
        <w:t xml:space="preserve">: </w:t>
      </w:r>
      <w:r w:rsidRPr="006246E9">
        <w:rPr>
          <w:rFonts w:cs="Arial" w:hint="cs"/>
          <w:sz w:val="16"/>
          <w:szCs w:val="16"/>
          <w:rtl/>
        </w:rPr>
        <w:t>ד</w:t>
      </w:r>
      <w:r w:rsidRPr="006246E9">
        <w:rPr>
          <w:rFonts w:cs="Arial"/>
          <w:sz w:val="16"/>
          <w:szCs w:val="16"/>
          <w:rtl/>
        </w:rPr>
        <w:t>"</w:t>
      </w:r>
      <w:r w:rsidRPr="006246E9">
        <w:rPr>
          <w:rFonts w:cs="Arial" w:hint="cs"/>
          <w:sz w:val="16"/>
          <w:szCs w:val="16"/>
          <w:rtl/>
        </w:rPr>
        <w:t>ה</w:t>
      </w:r>
      <w:r w:rsidRPr="006246E9">
        <w:rPr>
          <w:rFonts w:cs="Arial"/>
          <w:sz w:val="16"/>
          <w:szCs w:val="16"/>
          <w:rtl/>
        </w:rPr>
        <w:t xml:space="preserve"> </w:t>
      </w:r>
      <w:r w:rsidRPr="006246E9">
        <w:rPr>
          <w:rFonts w:cs="Arial" w:hint="cs"/>
          <w:sz w:val="16"/>
          <w:szCs w:val="16"/>
          <w:rtl/>
        </w:rPr>
        <w:t>תניא</w:t>
      </w:r>
      <w:r w:rsidRPr="006246E9">
        <w:rPr>
          <w:rFonts w:cs="Arial"/>
          <w:sz w:val="16"/>
          <w:szCs w:val="16"/>
          <w:rtl/>
        </w:rPr>
        <w:t xml:space="preserve"> </w:t>
      </w:r>
      <w:r w:rsidRPr="006246E9">
        <w:rPr>
          <w:rFonts w:cs="Arial" w:hint="cs"/>
          <w:sz w:val="16"/>
          <w:szCs w:val="16"/>
          <w:rtl/>
        </w:rPr>
        <w:t>וד</w:t>
      </w:r>
      <w:r w:rsidRPr="006246E9">
        <w:rPr>
          <w:rFonts w:cs="Arial"/>
          <w:sz w:val="16"/>
          <w:szCs w:val="16"/>
          <w:rtl/>
        </w:rPr>
        <w:t>"</w:t>
      </w:r>
      <w:r w:rsidRPr="006246E9">
        <w:rPr>
          <w:rFonts w:cs="Arial" w:hint="cs"/>
          <w:sz w:val="16"/>
          <w:szCs w:val="16"/>
          <w:rtl/>
        </w:rPr>
        <w:t>ה</w:t>
      </w:r>
      <w:r w:rsidRPr="006246E9">
        <w:rPr>
          <w:rFonts w:cs="Arial"/>
          <w:sz w:val="16"/>
          <w:szCs w:val="16"/>
          <w:rtl/>
        </w:rPr>
        <w:t xml:space="preserve"> </w:t>
      </w:r>
      <w:r w:rsidRPr="006246E9">
        <w:rPr>
          <w:rFonts w:cs="Arial" w:hint="cs"/>
          <w:sz w:val="16"/>
          <w:szCs w:val="16"/>
          <w:rtl/>
        </w:rPr>
        <w:t>וה</w:t>
      </w:r>
      <w:r w:rsidRPr="006246E9">
        <w:rPr>
          <w:rFonts w:cs="Arial"/>
          <w:sz w:val="16"/>
          <w:szCs w:val="16"/>
          <w:rtl/>
        </w:rPr>
        <w:t>"</w:t>
      </w:r>
      <w:r w:rsidRPr="006246E9">
        <w:rPr>
          <w:rFonts w:cs="Arial" w:hint="cs"/>
          <w:sz w:val="16"/>
          <w:szCs w:val="16"/>
          <w:rtl/>
        </w:rPr>
        <w:t>מ</w:t>
      </w:r>
      <w:r w:rsidRPr="006246E9">
        <w:rPr>
          <w:rFonts w:cs="Arial"/>
          <w:sz w:val="16"/>
          <w:szCs w:val="16"/>
          <w:rtl/>
        </w:rPr>
        <w:t xml:space="preserve"> </w:t>
      </w:r>
      <w:r w:rsidRPr="006246E9">
        <w:rPr>
          <w:rFonts w:cs="Arial" w:hint="cs"/>
          <w:sz w:val="16"/>
          <w:szCs w:val="16"/>
          <w:rtl/>
        </w:rPr>
        <w:t>היכא</w:t>
      </w:r>
      <w:r w:rsidRPr="006246E9">
        <w:rPr>
          <w:rFonts w:cs="Arial"/>
          <w:sz w:val="16"/>
          <w:szCs w:val="16"/>
          <w:rtl/>
        </w:rPr>
        <w:t>)</w:t>
      </w:r>
      <w:r w:rsidRPr="003C7C89">
        <w:rPr>
          <w:rFonts w:cs="Arial"/>
          <w:rtl/>
        </w:rPr>
        <w:t xml:space="preserve"> </w:t>
      </w:r>
      <w:r w:rsidRPr="003C7C89">
        <w:rPr>
          <w:rFonts w:cs="Arial" w:hint="cs"/>
          <w:rtl/>
        </w:rPr>
        <w:t>כשמגרש</w:t>
      </w:r>
      <w:r w:rsidRPr="003C7C89">
        <w:rPr>
          <w:rFonts w:cs="Arial"/>
          <w:rtl/>
        </w:rPr>
        <w:t xml:space="preserve"> </w:t>
      </w:r>
      <w:r w:rsidRPr="003C7C89">
        <w:rPr>
          <w:rFonts w:cs="Arial" w:hint="cs"/>
          <w:rtl/>
        </w:rPr>
        <w:t>בעירו</w:t>
      </w:r>
      <w:r w:rsidRPr="003C7C89">
        <w:rPr>
          <w:rFonts w:cs="Arial"/>
          <w:rtl/>
        </w:rPr>
        <w:t xml:space="preserve"> </w:t>
      </w:r>
      <w:r w:rsidR="00A82951">
        <w:rPr>
          <w:rFonts w:cs="Arial" w:hint="cs"/>
          <w:rtl/>
        </w:rPr>
        <w:t>-</w:t>
      </w:r>
      <w:r>
        <w:rPr>
          <w:rFonts w:cs="Arial" w:hint="cs"/>
          <w:rtl/>
        </w:rPr>
        <w:t xml:space="preserve"> </w:t>
      </w:r>
      <w:r w:rsidRPr="003C7C89">
        <w:rPr>
          <w:rFonts w:cs="Arial" w:hint="cs"/>
          <w:rtl/>
        </w:rPr>
        <w:t>כותב</w:t>
      </w:r>
      <w:r w:rsidRPr="003C7C89">
        <w:rPr>
          <w:rFonts w:cs="Arial"/>
          <w:rtl/>
        </w:rPr>
        <w:t xml:space="preserve"> </w:t>
      </w:r>
      <w:r w:rsidRPr="003C7C89">
        <w:rPr>
          <w:rFonts w:cs="Arial" w:hint="cs"/>
          <w:rtl/>
        </w:rPr>
        <w:t>שם</w:t>
      </w:r>
      <w:r w:rsidRPr="003C7C89">
        <w:rPr>
          <w:rFonts w:cs="Arial"/>
          <w:rtl/>
        </w:rPr>
        <w:t xml:space="preserve"> </w:t>
      </w:r>
      <w:r w:rsidRPr="003C7C89">
        <w:rPr>
          <w:rFonts w:cs="Arial" w:hint="cs"/>
          <w:rtl/>
        </w:rPr>
        <w:t>העיקר</w:t>
      </w:r>
      <w:r w:rsidRPr="003C7C89">
        <w:rPr>
          <w:rFonts w:cs="Arial"/>
          <w:rtl/>
        </w:rPr>
        <w:t xml:space="preserve"> </w:t>
      </w:r>
      <w:r w:rsidRPr="003C7C89">
        <w:rPr>
          <w:rFonts w:cs="Arial" w:hint="cs"/>
          <w:rtl/>
        </w:rPr>
        <w:t>בפרט</w:t>
      </w:r>
      <w:r>
        <w:rPr>
          <w:rFonts w:cs="Arial" w:hint="cs"/>
          <w:rtl/>
        </w:rPr>
        <w:t>,</w:t>
      </w:r>
      <w:r w:rsidRPr="003C7C89">
        <w:rPr>
          <w:rFonts w:cs="Arial"/>
          <w:rtl/>
        </w:rPr>
        <w:t xml:space="preserve"> </w:t>
      </w:r>
      <w:r w:rsidRPr="003C7C89">
        <w:rPr>
          <w:rFonts w:cs="Arial" w:hint="cs"/>
          <w:rtl/>
        </w:rPr>
        <w:t>וכולל</w:t>
      </w:r>
      <w:r w:rsidRPr="003C7C89">
        <w:rPr>
          <w:rFonts w:cs="Arial"/>
          <w:rtl/>
        </w:rPr>
        <w:t xml:space="preserve"> </w:t>
      </w:r>
      <w:r w:rsidRPr="003C7C89">
        <w:rPr>
          <w:rFonts w:cs="Arial" w:hint="cs"/>
          <w:rtl/>
        </w:rPr>
        <w:t>שם</w:t>
      </w:r>
      <w:r w:rsidRPr="003C7C89">
        <w:rPr>
          <w:rFonts w:cs="Arial"/>
          <w:rtl/>
        </w:rPr>
        <w:t xml:space="preserve"> </w:t>
      </w:r>
      <w:r w:rsidRPr="003C7C89">
        <w:rPr>
          <w:rFonts w:cs="Arial" w:hint="cs"/>
          <w:rtl/>
        </w:rPr>
        <w:t>הטפל</w:t>
      </w:r>
      <w:r w:rsidRPr="003C7C89">
        <w:rPr>
          <w:rFonts w:cs="Arial"/>
          <w:rtl/>
        </w:rPr>
        <w:t xml:space="preserve"> </w:t>
      </w:r>
      <w:r w:rsidRPr="003C7C89">
        <w:rPr>
          <w:rFonts w:cs="Arial" w:hint="cs"/>
          <w:rtl/>
        </w:rPr>
        <w:t>בכלל</w:t>
      </w:r>
      <w:r w:rsidRPr="003C7C89">
        <w:rPr>
          <w:rFonts w:cs="Arial"/>
          <w:rtl/>
        </w:rPr>
        <w:t xml:space="preserve"> </w:t>
      </w:r>
      <w:r w:rsidRPr="003C7C89">
        <w:rPr>
          <w:rFonts w:cs="Arial" w:hint="cs"/>
          <w:rtl/>
        </w:rPr>
        <w:t>שום</w:t>
      </w:r>
      <w:r w:rsidRPr="003C7C89">
        <w:rPr>
          <w:rFonts w:cs="Arial"/>
          <w:rtl/>
        </w:rPr>
        <w:t xml:space="preserve"> </w:t>
      </w:r>
      <w:r w:rsidRPr="003C7C89">
        <w:rPr>
          <w:rFonts w:cs="Arial" w:hint="cs"/>
          <w:rtl/>
        </w:rPr>
        <w:t>וחניכה</w:t>
      </w:r>
      <w:r>
        <w:rPr>
          <w:rStyle w:val="a7"/>
          <w:rFonts w:cs="Arial"/>
          <w:rtl/>
        </w:rPr>
        <w:footnoteReference w:id="985"/>
      </w:r>
      <w:r>
        <w:rPr>
          <w:rFonts w:cs="Arial" w:hint="cs"/>
          <w:rtl/>
        </w:rPr>
        <w:t>...</w:t>
      </w:r>
      <w:r w:rsidRPr="00F15A9C">
        <w:rPr>
          <w:rFonts w:cs="Arial" w:hint="cs"/>
          <w:rtl/>
        </w:rPr>
        <w:t xml:space="preserve"> </w:t>
      </w:r>
      <w:r w:rsidRPr="003C7C89">
        <w:rPr>
          <w:rFonts w:cs="Arial" w:hint="cs"/>
          <w:rtl/>
        </w:rPr>
        <w:t>ולכך</w:t>
      </w:r>
      <w:r>
        <w:rPr>
          <w:rStyle w:val="a7"/>
          <w:rFonts w:cs="Arial"/>
          <w:rtl/>
        </w:rPr>
        <w:footnoteReference w:id="986"/>
      </w:r>
      <w:r w:rsidRPr="003C7C89">
        <w:rPr>
          <w:rFonts w:cs="Arial"/>
          <w:rtl/>
        </w:rPr>
        <w:t xml:space="preserve"> </w:t>
      </w:r>
      <w:r w:rsidRPr="003C7C89">
        <w:rPr>
          <w:rFonts w:cs="Arial" w:hint="cs"/>
          <w:rtl/>
        </w:rPr>
        <w:t>טוב</w:t>
      </w:r>
      <w:r w:rsidRPr="003C7C89">
        <w:rPr>
          <w:rFonts w:cs="Arial"/>
          <w:rtl/>
        </w:rPr>
        <w:t xml:space="preserve"> </w:t>
      </w:r>
      <w:r w:rsidRPr="003C7C89">
        <w:rPr>
          <w:rFonts w:cs="Arial" w:hint="cs"/>
          <w:rtl/>
        </w:rPr>
        <w:t>לכתוב</w:t>
      </w:r>
      <w:r w:rsidR="00A54E2C">
        <w:rPr>
          <w:rFonts w:cs="Arial" w:hint="cs"/>
          <w:sz w:val="16"/>
          <w:szCs w:val="16"/>
          <w:rtl/>
        </w:rPr>
        <w:t xml:space="preserve"> {תמיד}</w:t>
      </w:r>
      <w:r w:rsidR="008E79D8">
        <w:rPr>
          <w:rFonts w:cs="Arial" w:hint="cs"/>
          <w:rtl/>
        </w:rPr>
        <w:t>:</w:t>
      </w:r>
      <w:r w:rsidRPr="003C7C89">
        <w:rPr>
          <w:rFonts w:cs="Arial"/>
          <w:rtl/>
        </w:rPr>
        <w:t xml:space="preserve"> </w:t>
      </w:r>
      <w:r w:rsidRPr="003C7C89">
        <w:rPr>
          <w:rFonts w:cs="Arial" w:hint="cs"/>
          <w:rtl/>
        </w:rPr>
        <w:t>וכל</w:t>
      </w:r>
      <w:r w:rsidRPr="003C7C89">
        <w:rPr>
          <w:rFonts w:cs="Arial"/>
          <w:rtl/>
        </w:rPr>
        <w:t xml:space="preserve"> </w:t>
      </w:r>
      <w:r w:rsidRPr="003C7C89">
        <w:rPr>
          <w:rFonts w:cs="Arial" w:hint="cs"/>
          <w:rtl/>
        </w:rPr>
        <w:t>שום</w:t>
      </w:r>
      <w:r w:rsidRPr="003C7C89">
        <w:rPr>
          <w:rFonts w:cs="Arial"/>
          <w:rtl/>
        </w:rPr>
        <w:t xml:space="preserve"> </w:t>
      </w:r>
      <w:r w:rsidRPr="003C7C89">
        <w:rPr>
          <w:rFonts w:cs="Arial" w:hint="cs"/>
          <w:rtl/>
        </w:rPr>
        <w:t>אחרן</w:t>
      </w:r>
      <w:r w:rsidRPr="003C7C89">
        <w:rPr>
          <w:rFonts w:cs="Arial"/>
          <w:rtl/>
        </w:rPr>
        <w:t xml:space="preserve"> </w:t>
      </w:r>
      <w:r w:rsidRPr="003C7C89">
        <w:rPr>
          <w:rFonts w:cs="Arial" w:hint="cs"/>
          <w:rtl/>
        </w:rPr>
        <w:t>דאית</w:t>
      </w:r>
      <w:r w:rsidRPr="003C7C89">
        <w:rPr>
          <w:rFonts w:cs="Arial"/>
          <w:rtl/>
        </w:rPr>
        <w:t xml:space="preserve"> </w:t>
      </w:r>
      <w:r w:rsidRPr="003C7C89">
        <w:rPr>
          <w:rFonts w:cs="Arial" w:hint="cs"/>
          <w:rtl/>
        </w:rPr>
        <w:t>ליה</w:t>
      </w:r>
      <w:r w:rsidRPr="003C7C89">
        <w:rPr>
          <w:rFonts w:cs="Arial"/>
          <w:rtl/>
        </w:rPr>
        <w:t xml:space="preserve"> </w:t>
      </w:r>
      <w:r w:rsidRPr="003C7C89">
        <w:rPr>
          <w:rFonts w:cs="Arial" w:hint="cs"/>
          <w:rtl/>
        </w:rPr>
        <w:t>ולאתריה</w:t>
      </w:r>
      <w:r>
        <w:rPr>
          <w:rStyle w:val="a7"/>
          <w:rFonts w:cs="Arial"/>
          <w:rtl/>
        </w:rPr>
        <w:footnoteReference w:id="987"/>
      </w:r>
      <w:r w:rsidRPr="00481A1D">
        <w:rPr>
          <w:rFonts w:cs="Arial" w:hint="cs"/>
          <w:rtl/>
        </w:rPr>
        <w:t>.</w:t>
      </w:r>
      <w:r w:rsidRPr="00481A1D">
        <w:rPr>
          <w:rFonts w:cs="Arial"/>
          <w:rtl/>
        </w:rPr>
        <w:t xml:space="preserve"> </w:t>
      </w:r>
      <w:r w:rsidRPr="00A5285E">
        <w:rPr>
          <w:rFonts w:hint="cs"/>
          <w:color w:val="E36C0A" w:themeColor="accent6" w:themeShade="BF"/>
          <w:rtl/>
        </w:rPr>
        <w:t>(וכ"פ בשו"ע)</w:t>
      </w:r>
    </w:p>
    <w:p w14:paraId="71E7F4D7" w14:textId="77777777" w:rsidR="00FA2119" w:rsidRPr="009F709F" w:rsidRDefault="00FA2119" w:rsidP="00FA2119">
      <w:pPr>
        <w:ind w:left="360"/>
        <w:rPr>
          <w:u w:val="dotted"/>
        </w:rPr>
      </w:pPr>
      <w:r w:rsidRPr="009F709F">
        <w:rPr>
          <w:rFonts w:hint="cs"/>
          <w:u w:val="dotted"/>
          <w:rtl/>
        </w:rPr>
        <w:t>ומה הדין אם משלח את הגט למקום אחר:</w:t>
      </w:r>
    </w:p>
    <w:p w14:paraId="6AA8DF4D" w14:textId="47D0AF21" w:rsidR="00FA2119" w:rsidRDefault="00FA2119" w:rsidP="00FA2119">
      <w:pPr>
        <w:pStyle w:val="ab"/>
        <w:numPr>
          <w:ilvl w:val="0"/>
          <w:numId w:val="61"/>
        </w:numPr>
      </w:pPr>
      <w:r>
        <w:rPr>
          <w:rFonts w:cs="Arial" w:hint="cs"/>
          <w:rtl/>
        </w:rPr>
        <w:t xml:space="preserve">רמ"ה </w:t>
      </w:r>
      <w:r>
        <w:rPr>
          <w:rFonts w:cs="Arial" w:hint="cs"/>
          <w:sz w:val="16"/>
          <w:szCs w:val="16"/>
          <w:rtl/>
        </w:rPr>
        <w:t>(שם, כ"כ הטור בשמו)</w:t>
      </w:r>
      <w:r w:rsidR="00A82951">
        <w:rPr>
          <w:rFonts w:cs="Arial" w:hint="cs"/>
          <w:rtl/>
        </w:rPr>
        <w:t>-</w:t>
      </w:r>
      <w:r>
        <w:rPr>
          <w:rFonts w:cs="Arial" w:hint="cs"/>
          <w:rtl/>
        </w:rPr>
        <w:t xml:space="preserve"> </w:t>
      </w:r>
      <w:r w:rsidRPr="003C7C89">
        <w:rPr>
          <w:rFonts w:cs="Arial" w:hint="cs"/>
          <w:rtl/>
        </w:rPr>
        <w:t>וכשמשלח</w:t>
      </w:r>
      <w:r w:rsidRPr="003C7C89">
        <w:rPr>
          <w:rFonts w:cs="Arial"/>
          <w:rtl/>
        </w:rPr>
        <w:t xml:space="preserve"> </w:t>
      </w:r>
      <w:r w:rsidRPr="003C7C89">
        <w:rPr>
          <w:rFonts w:cs="Arial" w:hint="cs"/>
          <w:rtl/>
        </w:rPr>
        <w:t>הגט</w:t>
      </w:r>
      <w:r w:rsidRPr="003C7C89">
        <w:rPr>
          <w:rFonts w:cs="Arial"/>
          <w:rtl/>
        </w:rPr>
        <w:t xml:space="preserve"> </w:t>
      </w:r>
      <w:r w:rsidRPr="003C7C89">
        <w:rPr>
          <w:rFonts w:cs="Arial" w:hint="cs"/>
          <w:rtl/>
        </w:rPr>
        <w:t>למקום</w:t>
      </w:r>
      <w:r w:rsidRPr="003C7C89">
        <w:rPr>
          <w:rFonts w:cs="Arial"/>
          <w:rtl/>
        </w:rPr>
        <w:t xml:space="preserve"> </w:t>
      </w:r>
      <w:r w:rsidRPr="003C7C89">
        <w:rPr>
          <w:rFonts w:cs="Arial" w:hint="cs"/>
          <w:rtl/>
        </w:rPr>
        <w:t>אחר</w:t>
      </w:r>
      <w:r w:rsidRPr="003C7C89">
        <w:rPr>
          <w:rFonts w:cs="Arial"/>
          <w:rtl/>
        </w:rPr>
        <w:t xml:space="preserve"> </w:t>
      </w:r>
      <w:r w:rsidRPr="003C7C89">
        <w:rPr>
          <w:rFonts w:cs="Arial" w:hint="cs"/>
          <w:rtl/>
        </w:rPr>
        <w:t>צריך</w:t>
      </w:r>
      <w:r w:rsidRPr="003C7C89">
        <w:rPr>
          <w:rFonts w:cs="Arial"/>
          <w:rtl/>
        </w:rPr>
        <w:t xml:space="preserve"> </w:t>
      </w:r>
      <w:r w:rsidRPr="003C7C89">
        <w:rPr>
          <w:rFonts w:cs="Arial" w:hint="cs"/>
          <w:rtl/>
        </w:rPr>
        <w:t>לפרט</w:t>
      </w:r>
      <w:r w:rsidRPr="003C7C89">
        <w:rPr>
          <w:rFonts w:cs="Arial"/>
          <w:rtl/>
        </w:rPr>
        <w:t xml:space="preserve"> </w:t>
      </w:r>
      <w:r w:rsidRPr="003C7C89">
        <w:rPr>
          <w:rFonts w:cs="Arial" w:hint="cs"/>
          <w:rtl/>
        </w:rPr>
        <w:t>שניהם</w:t>
      </w:r>
      <w:r>
        <w:rPr>
          <w:rFonts w:cs="Arial" w:hint="cs"/>
          <w:rtl/>
        </w:rPr>
        <w:t>,</w:t>
      </w:r>
      <w:r w:rsidRPr="003C7C89">
        <w:rPr>
          <w:rFonts w:cs="Arial"/>
          <w:rtl/>
        </w:rPr>
        <w:t xml:space="preserve"> </w:t>
      </w:r>
      <w:r w:rsidRPr="003C7C89">
        <w:rPr>
          <w:rFonts w:cs="Arial" w:hint="cs"/>
          <w:rtl/>
        </w:rPr>
        <w:t>שם</w:t>
      </w:r>
      <w:r w:rsidRPr="003C7C89">
        <w:rPr>
          <w:rFonts w:cs="Arial"/>
          <w:rtl/>
        </w:rPr>
        <w:t xml:space="preserve"> </w:t>
      </w:r>
      <w:r w:rsidRPr="003C7C89">
        <w:rPr>
          <w:rFonts w:cs="Arial" w:hint="cs"/>
          <w:rtl/>
        </w:rPr>
        <w:t>מקום</w:t>
      </w:r>
      <w:r w:rsidRPr="003C7C89">
        <w:rPr>
          <w:rFonts w:cs="Arial"/>
          <w:rtl/>
        </w:rPr>
        <w:t xml:space="preserve"> </w:t>
      </w:r>
      <w:r w:rsidRPr="003C7C89">
        <w:rPr>
          <w:rFonts w:cs="Arial" w:hint="cs"/>
          <w:rtl/>
        </w:rPr>
        <w:t>הכתיבה</w:t>
      </w:r>
      <w:r w:rsidRPr="003C7C89">
        <w:rPr>
          <w:rFonts w:cs="Arial"/>
          <w:rtl/>
        </w:rPr>
        <w:t xml:space="preserve"> </w:t>
      </w:r>
      <w:r w:rsidRPr="003C7C89">
        <w:rPr>
          <w:rFonts w:cs="Arial" w:hint="cs"/>
          <w:rtl/>
        </w:rPr>
        <w:t>ושם</w:t>
      </w:r>
      <w:r w:rsidRPr="003C7C89">
        <w:rPr>
          <w:rFonts w:cs="Arial"/>
          <w:rtl/>
        </w:rPr>
        <w:t xml:space="preserve"> </w:t>
      </w:r>
      <w:r w:rsidRPr="003C7C89">
        <w:rPr>
          <w:rFonts w:cs="Arial" w:hint="cs"/>
          <w:rtl/>
        </w:rPr>
        <w:t>מקום</w:t>
      </w:r>
      <w:r w:rsidRPr="003C7C89">
        <w:rPr>
          <w:rFonts w:cs="Arial"/>
          <w:rtl/>
        </w:rPr>
        <w:t xml:space="preserve"> </w:t>
      </w:r>
      <w:r w:rsidRPr="003C7C89">
        <w:rPr>
          <w:rFonts w:cs="Arial" w:hint="cs"/>
          <w:rtl/>
        </w:rPr>
        <w:t>הנתינה</w:t>
      </w:r>
      <w:r>
        <w:rPr>
          <w:rFonts w:hint="cs"/>
          <w:rtl/>
        </w:rPr>
        <w:t>.</w:t>
      </w:r>
    </w:p>
    <w:p w14:paraId="6B8B8F45" w14:textId="77777777" w:rsidR="00FA2119" w:rsidRPr="00C8189C" w:rsidRDefault="00FA2119" w:rsidP="00FA2119">
      <w:pPr>
        <w:ind w:left="360"/>
        <w:rPr>
          <w:u w:val="dotted"/>
        </w:rPr>
      </w:pPr>
      <w:r w:rsidRPr="00C8189C">
        <w:rPr>
          <w:rFonts w:hint="cs"/>
          <w:u w:val="dotted"/>
          <w:rtl/>
        </w:rPr>
        <w:t>ומה הדין אם לא כתב אלא שם אחד:</w:t>
      </w:r>
    </w:p>
    <w:p w14:paraId="64044566" w14:textId="7BAEA773" w:rsidR="00FA2119" w:rsidRPr="00E60E2C" w:rsidRDefault="00FA2119" w:rsidP="00FA2119">
      <w:pPr>
        <w:pStyle w:val="ab"/>
        <w:numPr>
          <w:ilvl w:val="0"/>
          <w:numId w:val="61"/>
        </w:numPr>
      </w:pPr>
      <w:r>
        <w:rPr>
          <w:rFonts w:cs="Arial" w:hint="cs"/>
          <w:rtl/>
        </w:rPr>
        <w:t>ב"י</w:t>
      </w:r>
      <w:r w:rsidR="00A82951">
        <w:rPr>
          <w:rFonts w:cs="Arial" w:hint="cs"/>
          <w:rtl/>
        </w:rPr>
        <w:t>-</w:t>
      </w:r>
      <w:r>
        <w:rPr>
          <w:rFonts w:cs="Arial" w:hint="cs"/>
          <w:rtl/>
        </w:rPr>
        <w:t xml:space="preserve"> </w:t>
      </w:r>
      <w:r w:rsidRPr="00C8189C">
        <w:rPr>
          <w:rFonts w:cs="Arial" w:hint="cs"/>
          <w:rtl/>
        </w:rPr>
        <w:t>אם</w:t>
      </w:r>
      <w:r w:rsidRPr="00C8189C">
        <w:rPr>
          <w:rFonts w:cs="Arial"/>
          <w:rtl/>
        </w:rPr>
        <w:t xml:space="preserve"> </w:t>
      </w:r>
      <w:r w:rsidRPr="00C8189C">
        <w:rPr>
          <w:rFonts w:cs="Arial" w:hint="cs"/>
          <w:rtl/>
        </w:rPr>
        <w:t>לא</w:t>
      </w:r>
      <w:r w:rsidRPr="00C8189C">
        <w:rPr>
          <w:rFonts w:cs="Arial"/>
          <w:rtl/>
        </w:rPr>
        <w:t xml:space="preserve"> </w:t>
      </w:r>
      <w:r w:rsidRPr="00C8189C">
        <w:rPr>
          <w:rFonts w:cs="Arial" w:hint="cs"/>
          <w:rtl/>
        </w:rPr>
        <w:t>כתב</w:t>
      </w:r>
      <w:r w:rsidRPr="00C8189C">
        <w:rPr>
          <w:rFonts w:cs="Arial"/>
          <w:rtl/>
        </w:rPr>
        <w:t xml:space="preserve"> </w:t>
      </w:r>
      <w:r w:rsidRPr="00C8189C">
        <w:rPr>
          <w:rFonts w:cs="Arial" w:hint="cs"/>
          <w:rtl/>
        </w:rPr>
        <w:t>אלא</w:t>
      </w:r>
      <w:r w:rsidRPr="00C8189C">
        <w:rPr>
          <w:rFonts w:cs="Arial"/>
          <w:rtl/>
        </w:rPr>
        <w:t xml:space="preserve"> </w:t>
      </w:r>
      <w:r w:rsidRPr="00C8189C">
        <w:rPr>
          <w:rFonts w:cs="Arial" w:hint="cs"/>
          <w:rtl/>
        </w:rPr>
        <w:t>שם</w:t>
      </w:r>
      <w:r w:rsidRPr="00C8189C">
        <w:rPr>
          <w:rFonts w:cs="Arial"/>
          <w:rtl/>
        </w:rPr>
        <w:t xml:space="preserve"> </w:t>
      </w:r>
      <w:r w:rsidRPr="00C8189C">
        <w:rPr>
          <w:rFonts w:cs="Arial" w:hint="cs"/>
          <w:rtl/>
        </w:rPr>
        <w:t>דמקום</w:t>
      </w:r>
      <w:r w:rsidRPr="00C8189C">
        <w:rPr>
          <w:rFonts w:cs="Arial"/>
          <w:rtl/>
        </w:rPr>
        <w:t xml:space="preserve"> </w:t>
      </w:r>
      <w:r w:rsidRPr="00C8189C">
        <w:rPr>
          <w:rFonts w:cs="Arial" w:hint="cs"/>
          <w:rtl/>
        </w:rPr>
        <w:t>כתיבה</w:t>
      </w:r>
      <w:r w:rsidRPr="00C8189C">
        <w:rPr>
          <w:rFonts w:cs="Arial"/>
          <w:rtl/>
        </w:rPr>
        <w:t xml:space="preserve"> </w:t>
      </w:r>
      <w:r w:rsidRPr="00C8189C">
        <w:rPr>
          <w:rFonts w:cs="Arial" w:hint="cs"/>
          <w:rtl/>
        </w:rPr>
        <w:t>או</w:t>
      </w:r>
      <w:r w:rsidRPr="00C8189C">
        <w:rPr>
          <w:rFonts w:cs="Arial"/>
          <w:rtl/>
        </w:rPr>
        <w:t xml:space="preserve"> </w:t>
      </w:r>
      <w:r w:rsidRPr="00C8189C">
        <w:rPr>
          <w:rFonts w:cs="Arial" w:hint="cs"/>
          <w:rtl/>
        </w:rPr>
        <w:t>שם</w:t>
      </w:r>
      <w:r w:rsidRPr="00C8189C">
        <w:rPr>
          <w:rFonts w:cs="Arial"/>
          <w:rtl/>
        </w:rPr>
        <w:t xml:space="preserve"> </w:t>
      </w:r>
      <w:r w:rsidRPr="00C8189C">
        <w:rPr>
          <w:rFonts w:cs="Arial" w:hint="cs"/>
          <w:rtl/>
        </w:rPr>
        <w:t>דמקום</w:t>
      </w:r>
      <w:r w:rsidRPr="00C8189C">
        <w:rPr>
          <w:rFonts w:cs="Arial"/>
          <w:rtl/>
        </w:rPr>
        <w:t xml:space="preserve"> </w:t>
      </w:r>
      <w:r w:rsidRPr="00C8189C">
        <w:rPr>
          <w:rFonts w:cs="Arial" w:hint="cs"/>
          <w:rtl/>
        </w:rPr>
        <w:t>נתינה</w:t>
      </w:r>
      <w:r w:rsidRPr="00C8189C">
        <w:rPr>
          <w:rFonts w:cs="Arial"/>
          <w:rtl/>
        </w:rPr>
        <w:t xml:space="preserve"> </w:t>
      </w:r>
      <w:r w:rsidRPr="00C8189C">
        <w:rPr>
          <w:rFonts w:cs="Arial" w:hint="cs"/>
          <w:rtl/>
        </w:rPr>
        <w:t>נ</w:t>
      </w:r>
      <w:r w:rsidRPr="00C8189C">
        <w:rPr>
          <w:rFonts w:cs="Arial"/>
          <w:rtl/>
        </w:rPr>
        <w:t>"</w:t>
      </w:r>
      <w:r w:rsidRPr="00C8189C">
        <w:rPr>
          <w:rFonts w:cs="Arial" w:hint="cs"/>
          <w:rtl/>
        </w:rPr>
        <w:t>ל</w:t>
      </w:r>
      <w:r w:rsidRPr="00C8189C">
        <w:rPr>
          <w:rFonts w:cs="Arial"/>
          <w:rtl/>
        </w:rPr>
        <w:t xml:space="preserve"> </w:t>
      </w:r>
      <w:r w:rsidRPr="00C8189C">
        <w:rPr>
          <w:rFonts w:cs="Arial" w:hint="cs"/>
          <w:rtl/>
        </w:rPr>
        <w:t>שדינו</w:t>
      </w:r>
      <w:r w:rsidRPr="00C8189C">
        <w:rPr>
          <w:rFonts w:cs="Arial"/>
          <w:rtl/>
        </w:rPr>
        <w:t xml:space="preserve"> </w:t>
      </w:r>
      <w:r w:rsidRPr="00C8189C">
        <w:rPr>
          <w:rFonts w:cs="Arial" w:hint="cs"/>
          <w:rtl/>
        </w:rPr>
        <w:t>שוה</w:t>
      </w:r>
      <w:r w:rsidRPr="00C8189C">
        <w:rPr>
          <w:rFonts w:cs="Arial"/>
          <w:rtl/>
        </w:rPr>
        <w:t xml:space="preserve"> </w:t>
      </w:r>
      <w:r w:rsidRPr="00C8189C">
        <w:rPr>
          <w:rFonts w:cs="Arial" w:hint="cs"/>
          <w:rtl/>
        </w:rPr>
        <w:t>לאיש</w:t>
      </w:r>
      <w:r w:rsidRPr="00C8189C">
        <w:rPr>
          <w:rFonts w:cs="Arial"/>
          <w:rtl/>
        </w:rPr>
        <w:t xml:space="preserve"> </w:t>
      </w:r>
      <w:r w:rsidRPr="00C8189C">
        <w:rPr>
          <w:rFonts w:cs="Arial" w:hint="cs"/>
          <w:rtl/>
        </w:rPr>
        <w:t>שיש</w:t>
      </w:r>
      <w:r w:rsidRPr="00C8189C">
        <w:rPr>
          <w:rFonts w:cs="Arial"/>
          <w:rtl/>
        </w:rPr>
        <w:t xml:space="preserve"> </w:t>
      </w:r>
      <w:r w:rsidRPr="00C8189C">
        <w:rPr>
          <w:rFonts w:cs="Arial" w:hint="cs"/>
          <w:rtl/>
        </w:rPr>
        <w:t>לו</w:t>
      </w:r>
      <w:r w:rsidRPr="00C8189C">
        <w:rPr>
          <w:rFonts w:cs="Arial"/>
          <w:rtl/>
        </w:rPr>
        <w:t xml:space="preserve"> </w:t>
      </w:r>
      <w:r w:rsidRPr="00C8189C">
        <w:rPr>
          <w:rFonts w:cs="Arial" w:hint="cs"/>
          <w:rtl/>
        </w:rPr>
        <w:t>שני</w:t>
      </w:r>
      <w:r w:rsidRPr="00C8189C">
        <w:rPr>
          <w:rFonts w:cs="Arial"/>
          <w:rtl/>
        </w:rPr>
        <w:t xml:space="preserve"> </w:t>
      </w:r>
      <w:r w:rsidRPr="00C8189C">
        <w:rPr>
          <w:rFonts w:cs="Arial" w:hint="cs"/>
          <w:rtl/>
        </w:rPr>
        <w:t>שמות</w:t>
      </w:r>
      <w:r w:rsidRPr="00C8189C">
        <w:rPr>
          <w:rFonts w:cs="Arial"/>
          <w:rtl/>
        </w:rPr>
        <w:t xml:space="preserve"> </w:t>
      </w:r>
      <w:r w:rsidRPr="00C8189C">
        <w:rPr>
          <w:rFonts w:cs="Arial" w:hint="cs"/>
          <w:rtl/>
        </w:rPr>
        <w:t>שיתבארו</w:t>
      </w:r>
      <w:r w:rsidRPr="00C8189C">
        <w:rPr>
          <w:rFonts w:cs="Arial"/>
          <w:rtl/>
        </w:rPr>
        <w:t xml:space="preserve"> </w:t>
      </w:r>
      <w:r w:rsidRPr="00C8189C">
        <w:rPr>
          <w:rFonts w:cs="Arial" w:hint="cs"/>
          <w:rtl/>
        </w:rPr>
        <w:t>דיניו</w:t>
      </w:r>
      <w:r w:rsidRPr="00C8189C">
        <w:rPr>
          <w:rFonts w:cs="Arial"/>
          <w:rtl/>
        </w:rPr>
        <w:t xml:space="preserve"> </w:t>
      </w:r>
      <w:r w:rsidRPr="00C8189C">
        <w:rPr>
          <w:rFonts w:cs="Arial" w:hint="cs"/>
          <w:rtl/>
        </w:rPr>
        <w:t>בסימן</w:t>
      </w:r>
      <w:r w:rsidRPr="00C8189C">
        <w:rPr>
          <w:rFonts w:cs="Arial"/>
          <w:rtl/>
        </w:rPr>
        <w:t xml:space="preserve"> </w:t>
      </w:r>
      <w:r w:rsidRPr="00C8189C">
        <w:rPr>
          <w:rFonts w:cs="Arial" w:hint="cs"/>
          <w:rtl/>
        </w:rPr>
        <w:t>שאחר</w:t>
      </w:r>
      <w:r w:rsidRPr="00C8189C">
        <w:rPr>
          <w:rFonts w:cs="Arial"/>
          <w:rtl/>
        </w:rPr>
        <w:t xml:space="preserve"> </w:t>
      </w:r>
      <w:r w:rsidRPr="00C8189C">
        <w:rPr>
          <w:rFonts w:cs="Arial" w:hint="cs"/>
          <w:rtl/>
        </w:rPr>
        <w:t>זה</w:t>
      </w:r>
      <w:r>
        <w:rPr>
          <w:rStyle w:val="a7"/>
          <w:rFonts w:cs="Arial"/>
          <w:rtl/>
        </w:rPr>
        <w:footnoteReference w:id="988"/>
      </w:r>
      <w:r w:rsidRPr="00C8189C">
        <w:rPr>
          <w:rFonts w:cs="Arial" w:hint="cs"/>
          <w:rtl/>
        </w:rPr>
        <w:t>.</w:t>
      </w:r>
      <w:r w:rsidRPr="00C8189C">
        <w:rPr>
          <w:rFonts w:cs="Arial"/>
          <w:rtl/>
        </w:rPr>
        <w:t xml:space="preserve"> </w:t>
      </w:r>
    </w:p>
    <w:p w14:paraId="12E7334C" w14:textId="77777777" w:rsidR="00FA2119" w:rsidRPr="00E60E2C" w:rsidRDefault="00FA2119" w:rsidP="00FA2119">
      <w:pPr>
        <w:ind w:left="360"/>
        <w:rPr>
          <w:u w:val="dotted"/>
        </w:rPr>
      </w:pPr>
      <w:r w:rsidRPr="00E60E2C">
        <w:rPr>
          <w:rFonts w:hint="cs"/>
          <w:u w:val="dotted"/>
          <w:rtl/>
        </w:rPr>
        <w:t xml:space="preserve">כשיש לעיר </w:t>
      </w:r>
      <w:r>
        <w:rPr>
          <w:rFonts w:hint="cs"/>
          <w:u w:val="dotted"/>
          <w:rtl/>
        </w:rPr>
        <w:t>שני שמות</w:t>
      </w:r>
      <w:r w:rsidRPr="00E60E2C">
        <w:rPr>
          <w:rFonts w:hint="cs"/>
          <w:u w:val="dotted"/>
          <w:rtl/>
        </w:rPr>
        <w:t xml:space="preserve"> כיצד יחליטו איזה שם עיקר, ע"פ לשוננו או ע"פ לשון הגוים:</w:t>
      </w:r>
    </w:p>
    <w:p w14:paraId="4AA7AAE6" w14:textId="159E9C7D" w:rsidR="00FA2119" w:rsidRPr="00E60E2C" w:rsidRDefault="00FA2119" w:rsidP="00FA2119">
      <w:pPr>
        <w:pStyle w:val="ab"/>
        <w:numPr>
          <w:ilvl w:val="0"/>
          <w:numId w:val="61"/>
        </w:numPr>
        <w:rPr>
          <w:rtl/>
        </w:rPr>
      </w:pPr>
      <w:r w:rsidRPr="00E60E2C">
        <w:rPr>
          <w:rFonts w:cs="Arial" w:hint="cs"/>
          <w:rtl/>
        </w:rPr>
        <w:t>מהרי</w:t>
      </w:r>
      <w:r w:rsidRPr="00E60E2C">
        <w:rPr>
          <w:rFonts w:cs="Arial"/>
          <w:rtl/>
        </w:rPr>
        <w:t>"</w:t>
      </w:r>
      <w:r w:rsidRPr="00E60E2C">
        <w:rPr>
          <w:rFonts w:cs="Arial" w:hint="cs"/>
          <w:rtl/>
        </w:rPr>
        <w:t>ק</w:t>
      </w:r>
      <w:r w:rsidRPr="00E60E2C">
        <w:rPr>
          <w:rFonts w:cs="Arial"/>
          <w:rtl/>
        </w:rPr>
        <w:t xml:space="preserve"> </w:t>
      </w:r>
      <w:r w:rsidRPr="00E60E2C">
        <w:rPr>
          <w:rFonts w:cs="Arial" w:hint="cs"/>
          <w:sz w:val="16"/>
          <w:szCs w:val="16"/>
          <w:rtl/>
        </w:rPr>
        <w:t>(שורש</w:t>
      </w:r>
      <w:r w:rsidRPr="00E60E2C">
        <w:rPr>
          <w:rFonts w:cs="Arial"/>
          <w:sz w:val="16"/>
          <w:szCs w:val="16"/>
          <w:rtl/>
        </w:rPr>
        <w:t xml:space="preserve"> </w:t>
      </w:r>
      <w:r w:rsidRPr="00E60E2C">
        <w:rPr>
          <w:rFonts w:cs="Arial" w:hint="cs"/>
          <w:sz w:val="16"/>
          <w:szCs w:val="16"/>
          <w:rtl/>
        </w:rPr>
        <w:t>קו)</w:t>
      </w:r>
      <w:r w:rsidRPr="00E60E2C">
        <w:rPr>
          <w:rFonts w:cs="Arial" w:hint="cs"/>
          <w:rtl/>
        </w:rPr>
        <w:t xml:space="preserve"> </w:t>
      </w:r>
      <w:r>
        <w:rPr>
          <w:rFonts w:cs="Arial" w:hint="cs"/>
          <w:rtl/>
        </w:rPr>
        <w:t>ו</w:t>
      </w:r>
      <w:r w:rsidRPr="00E60E2C">
        <w:rPr>
          <w:rFonts w:cs="Arial" w:hint="cs"/>
          <w:rtl/>
        </w:rPr>
        <w:t>תרוה</w:t>
      </w:r>
      <w:r w:rsidRPr="00E60E2C">
        <w:rPr>
          <w:rFonts w:cs="Arial"/>
          <w:rtl/>
        </w:rPr>
        <w:t>"</w:t>
      </w:r>
      <w:r w:rsidRPr="00E60E2C">
        <w:rPr>
          <w:rFonts w:cs="Arial" w:hint="cs"/>
          <w:rtl/>
        </w:rPr>
        <w:t>ד</w:t>
      </w:r>
      <w:r>
        <w:rPr>
          <w:rStyle w:val="a7"/>
          <w:rFonts w:cs="Arial"/>
          <w:rtl/>
        </w:rPr>
        <w:footnoteReference w:id="989"/>
      </w:r>
      <w:r w:rsidRPr="00E60E2C">
        <w:rPr>
          <w:rFonts w:cs="Arial"/>
          <w:rtl/>
        </w:rPr>
        <w:t xml:space="preserve"> </w:t>
      </w:r>
      <w:r w:rsidRPr="00E60E2C">
        <w:rPr>
          <w:rFonts w:cs="Arial" w:hint="cs"/>
          <w:sz w:val="16"/>
          <w:szCs w:val="16"/>
          <w:rtl/>
        </w:rPr>
        <w:t>(כתבים ח</w:t>
      </w:r>
      <w:r w:rsidRPr="00E60E2C">
        <w:rPr>
          <w:rFonts w:cs="Arial"/>
          <w:sz w:val="16"/>
          <w:szCs w:val="16"/>
          <w:rtl/>
        </w:rPr>
        <w:t>"</w:t>
      </w:r>
      <w:r w:rsidRPr="00E60E2C">
        <w:rPr>
          <w:rFonts w:cs="Arial" w:hint="cs"/>
          <w:sz w:val="16"/>
          <w:szCs w:val="16"/>
          <w:rtl/>
        </w:rPr>
        <w:t>ב</w:t>
      </w:r>
      <w:r w:rsidRPr="00E60E2C">
        <w:rPr>
          <w:rFonts w:cs="Arial"/>
          <w:sz w:val="16"/>
          <w:szCs w:val="16"/>
          <w:rtl/>
        </w:rPr>
        <w:t xml:space="preserve"> </w:t>
      </w:r>
      <w:r w:rsidRPr="00E60E2C">
        <w:rPr>
          <w:rFonts w:cs="Arial" w:hint="cs"/>
          <w:sz w:val="16"/>
          <w:szCs w:val="16"/>
          <w:rtl/>
        </w:rPr>
        <w:t>סי'</w:t>
      </w:r>
      <w:r w:rsidRPr="00E60E2C">
        <w:rPr>
          <w:rFonts w:cs="Arial"/>
          <w:sz w:val="16"/>
          <w:szCs w:val="16"/>
          <w:rtl/>
        </w:rPr>
        <w:t xml:space="preserve"> </w:t>
      </w:r>
      <w:r w:rsidRPr="00E60E2C">
        <w:rPr>
          <w:rFonts w:cs="Arial" w:hint="cs"/>
          <w:sz w:val="16"/>
          <w:szCs w:val="16"/>
          <w:rtl/>
        </w:rPr>
        <w:t>קמב)</w:t>
      </w:r>
      <w:r w:rsidR="00A82951">
        <w:rPr>
          <w:rFonts w:cs="Arial" w:hint="cs"/>
          <w:rtl/>
        </w:rPr>
        <w:t>-</w:t>
      </w:r>
      <w:r w:rsidRPr="00E60E2C">
        <w:rPr>
          <w:rFonts w:cs="Arial"/>
          <w:rtl/>
        </w:rPr>
        <w:t xml:space="preserve"> </w:t>
      </w:r>
      <w:r w:rsidRPr="00E60E2C">
        <w:rPr>
          <w:rFonts w:cs="Arial" w:hint="cs"/>
          <w:rtl/>
        </w:rPr>
        <w:t>אין</w:t>
      </w:r>
      <w:r w:rsidRPr="00E60E2C">
        <w:rPr>
          <w:rFonts w:cs="Arial"/>
          <w:rtl/>
        </w:rPr>
        <w:t xml:space="preserve"> </w:t>
      </w:r>
      <w:r w:rsidRPr="00E60E2C">
        <w:rPr>
          <w:rFonts w:cs="Arial" w:hint="cs"/>
          <w:rtl/>
        </w:rPr>
        <w:t>לומר</w:t>
      </w:r>
      <w:r w:rsidRPr="00E60E2C">
        <w:rPr>
          <w:rFonts w:cs="Arial"/>
          <w:rtl/>
        </w:rPr>
        <w:t xml:space="preserve"> </w:t>
      </w:r>
      <w:r w:rsidRPr="00E60E2C">
        <w:rPr>
          <w:rFonts w:cs="Arial" w:hint="cs"/>
          <w:rtl/>
        </w:rPr>
        <w:t>שיכתוב</w:t>
      </w:r>
      <w:r w:rsidRPr="00E60E2C">
        <w:rPr>
          <w:rFonts w:cs="Arial"/>
          <w:rtl/>
        </w:rPr>
        <w:t xml:space="preserve"> </w:t>
      </w:r>
      <w:r w:rsidRPr="00E60E2C">
        <w:rPr>
          <w:rFonts w:cs="Arial" w:hint="cs"/>
          <w:rtl/>
        </w:rPr>
        <w:t>השם</w:t>
      </w:r>
      <w:r w:rsidRPr="00E60E2C">
        <w:rPr>
          <w:rFonts w:cs="Arial"/>
          <w:rtl/>
        </w:rPr>
        <w:t xml:space="preserve"> </w:t>
      </w:r>
      <w:r w:rsidRPr="00E60E2C">
        <w:rPr>
          <w:rFonts w:cs="Arial" w:hint="cs"/>
          <w:rtl/>
        </w:rPr>
        <w:t>המיוחד</w:t>
      </w:r>
      <w:r w:rsidRPr="00E60E2C">
        <w:rPr>
          <w:rFonts w:cs="Arial"/>
          <w:rtl/>
        </w:rPr>
        <w:t xml:space="preserve"> </w:t>
      </w:r>
      <w:r w:rsidRPr="00E60E2C">
        <w:rPr>
          <w:rFonts w:cs="Arial" w:hint="cs"/>
          <w:rtl/>
        </w:rPr>
        <w:t>לה</w:t>
      </w:r>
      <w:r w:rsidRPr="00E60E2C">
        <w:rPr>
          <w:rFonts w:cs="Arial"/>
          <w:rtl/>
        </w:rPr>
        <w:t xml:space="preserve"> </w:t>
      </w:r>
      <w:r w:rsidRPr="00E60E2C">
        <w:rPr>
          <w:rFonts w:cs="Arial" w:hint="cs"/>
          <w:rtl/>
        </w:rPr>
        <w:t>בלשון</w:t>
      </w:r>
      <w:r w:rsidRPr="00E60E2C">
        <w:rPr>
          <w:rFonts w:cs="Arial"/>
          <w:rtl/>
        </w:rPr>
        <w:t xml:space="preserve"> </w:t>
      </w:r>
      <w:r w:rsidRPr="00E60E2C">
        <w:rPr>
          <w:rFonts w:cs="Arial" w:hint="cs"/>
          <w:rtl/>
        </w:rPr>
        <w:t>לטין,</w:t>
      </w:r>
      <w:r w:rsidRPr="00E60E2C">
        <w:rPr>
          <w:rFonts w:cs="Arial"/>
          <w:rtl/>
        </w:rPr>
        <w:t xml:space="preserve"> </w:t>
      </w:r>
      <w:r w:rsidRPr="00E60E2C">
        <w:rPr>
          <w:rFonts w:cs="Arial" w:hint="cs"/>
          <w:rtl/>
        </w:rPr>
        <w:t>אלא</w:t>
      </w:r>
      <w:r w:rsidRPr="00E60E2C">
        <w:rPr>
          <w:rFonts w:cs="Arial"/>
          <w:rtl/>
        </w:rPr>
        <w:t xml:space="preserve"> </w:t>
      </w:r>
      <w:r w:rsidRPr="00E60E2C">
        <w:rPr>
          <w:rFonts w:cs="Arial" w:hint="cs"/>
          <w:rtl/>
        </w:rPr>
        <w:t>יש</w:t>
      </w:r>
      <w:r w:rsidRPr="00E60E2C">
        <w:rPr>
          <w:rFonts w:cs="Arial"/>
          <w:rtl/>
        </w:rPr>
        <w:t xml:space="preserve"> </w:t>
      </w:r>
      <w:r w:rsidRPr="00E60E2C">
        <w:rPr>
          <w:rFonts w:cs="Arial" w:hint="cs"/>
          <w:rtl/>
        </w:rPr>
        <w:t>לכתוב</w:t>
      </w:r>
      <w:r w:rsidRPr="00E60E2C">
        <w:rPr>
          <w:rFonts w:cs="Arial"/>
          <w:rtl/>
        </w:rPr>
        <w:t xml:space="preserve"> </w:t>
      </w:r>
      <w:r w:rsidRPr="00E60E2C">
        <w:rPr>
          <w:rFonts w:cs="Arial" w:hint="cs"/>
          <w:rtl/>
        </w:rPr>
        <w:t>השם</w:t>
      </w:r>
      <w:r w:rsidRPr="00E60E2C">
        <w:rPr>
          <w:rFonts w:cs="Arial"/>
          <w:rtl/>
        </w:rPr>
        <w:t xml:space="preserve"> </w:t>
      </w:r>
      <w:r w:rsidRPr="00E60E2C">
        <w:rPr>
          <w:rFonts w:cs="Arial" w:hint="cs"/>
          <w:rtl/>
        </w:rPr>
        <w:t>המפורסם</w:t>
      </w:r>
      <w:r w:rsidRPr="00E60E2C">
        <w:rPr>
          <w:rFonts w:cs="Arial"/>
          <w:rtl/>
        </w:rPr>
        <w:t xml:space="preserve"> </w:t>
      </w:r>
      <w:r w:rsidRPr="00E60E2C">
        <w:rPr>
          <w:rFonts w:cs="Arial" w:hint="cs"/>
          <w:rtl/>
        </w:rPr>
        <w:t>יותר</w:t>
      </w:r>
      <w:r w:rsidRPr="00E60E2C">
        <w:rPr>
          <w:rFonts w:cs="Arial"/>
          <w:rtl/>
        </w:rPr>
        <w:t xml:space="preserve"> </w:t>
      </w:r>
      <w:r w:rsidRPr="00E60E2C">
        <w:rPr>
          <w:rFonts w:cs="Arial" w:hint="cs"/>
          <w:rtl/>
        </w:rPr>
        <w:t>בין</w:t>
      </w:r>
      <w:r w:rsidRPr="00E60E2C">
        <w:rPr>
          <w:rFonts w:cs="Arial"/>
          <w:rtl/>
        </w:rPr>
        <w:t xml:space="preserve"> </w:t>
      </w:r>
      <w:r w:rsidRPr="00E60E2C">
        <w:rPr>
          <w:rFonts w:cs="Arial" w:hint="cs"/>
          <w:rtl/>
        </w:rPr>
        <w:t>העברים,</w:t>
      </w:r>
      <w:r w:rsidRPr="00E60E2C">
        <w:rPr>
          <w:rFonts w:cs="Arial"/>
          <w:rtl/>
        </w:rPr>
        <w:t xml:space="preserve"> </w:t>
      </w:r>
      <w:r w:rsidRPr="00E60E2C">
        <w:rPr>
          <w:rFonts w:cs="Arial" w:hint="cs"/>
          <w:rtl/>
        </w:rPr>
        <w:t>דפירסום</w:t>
      </w:r>
      <w:r w:rsidRPr="00E60E2C">
        <w:rPr>
          <w:rFonts w:cs="Arial"/>
          <w:rtl/>
        </w:rPr>
        <w:t xml:space="preserve"> </w:t>
      </w:r>
      <w:r w:rsidRPr="00E60E2C">
        <w:rPr>
          <w:rFonts w:cs="Arial" w:hint="cs"/>
          <w:rtl/>
        </w:rPr>
        <w:t>הגוים</w:t>
      </w:r>
      <w:r w:rsidRPr="00E60E2C">
        <w:rPr>
          <w:rFonts w:cs="Arial"/>
          <w:rtl/>
        </w:rPr>
        <w:t xml:space="preserve"> </w:t>
      </w:r>
      <w:r w:rsidRPr="00E60E2C">
        <w:rPr>
          <w:rFonts w:cs="Arial" w:hint="cs"/>
          <w:rtl/>
        </w:rPr>
        <w:t>לא</w:t>
      </w:r>
      <w:r w:rsidRPr="00E60E2C">
        <w:rPr>
          <w:rFonts w:cs="Arial"/>
          <w:rtl/>
        </w:rPr>
        <w:t xml:space="preserve"> </w:t>
      </w:r>
      <w:r w:rsidRPr="00E60E2C">
        <w:rPr>
          <w:rFonts w:cs="Arial" w:hint="cs"/>
          <w:rtl/>
        </w:rPr>
        <w:t>מעלה</w:t>
      </w:r>
      <w:r w:rsidRPr="00E60E2C">
        <w:rPr>
          <w:rFonts w:cs="Arial"/>
          <w:rtl/>
        </w:rPr>
        <w:t xml:space="preserve"> </w:t>
      </w:r>
      <w:r w:rsidRPr="00E60E2C">
        <w:rPr>
          <w:rFonts w:cs="Arial" w:hint="cs"/>
          <w:rtl/>
        </w:rPr>
        <w:t>ולא</w:t>
      </w:r>
      <w:r w:rsidRPr="00E60E2C">
        <w:rPr>
          <w:rFonts w:cs="Arial"/>
          <w:rtl/>
        </w:rPr>
        <w:t xml:space="preserve"> </w:t>
      </w:r>
      <w:r w:rsidRPr="00E60E2C">
        <w:rPr>
          <w:rFonts w:cs="Arial" w:hint="cs"/>
          <w:rtl/>
        </w:rPr>
        <w:t>מוריד</w:t>
      </w:r>
      <w:r>
        <w:rPr>
          <w:rFonts w:cs="Arial" w:hint="cs"/>
          <w:sz w:val="16"/>
          <w:szCs w:val="16"/>
          <w:rtl/>
        </w:rPr>
        <w:t xml:space="preserve"> (ל' מהרי"ק)</w:t>
      </w:r>
      <w:r>
        <w:rPr>
          <w:rStyle w:val="a7"/>
          <w:rFonts w:cs="Arial"/>
          <w:rtl/>
        </w:rPr>
        <w:footnoteReference w:id="990"/>
      </w:r>
      <w:r>
        <w:rPr>
          <w:rFonts w:cs="Arial" w:hint="cs"/>
          <w:rtl/>
        </w:rPr>
        <w:t>.</w:t>
      </w:r>
      <w:r w:rsidRPr="00E60E2C">
        <w:rPr>
          <w:rFonts w:cs="Arial"/>
          <w:rtl/>
        </w:rPr>
        <w:t xml:space="preserve"> </w:t>
      </w:r>
      <w:r w:rsidRPr="00566424">
        <w:rPr>
          <w:rFonts w:hint="cs"/>
          <w:color w:val="00B0F0"/>
          <w:rtl/>
        </w:rPr>
        <w:t xml:space="preserve">(וכ"פ </w:t>
      </w:r>
      <w:r>
        <w:rPr>
          <w:rFonts w:hint="cs"/>
          <w:color w:val="00B0F0"/>
          <w:rtl/>
        </w:rPr>
        <w:t>הרמ"א</w:t>
      </w:r>
      <w:r w:rsidRPr="00566424">
        <w:rPr>
          <w:rFonts w:hint="cs"/>
          <w:color w:val="00B0F0"/>
          <w:rtl/>
        </w:rPr>
        <w:t>)</w:t>
      </w:r>
    </w:p>
    <w:p w14:paraId="1D540D8D" w14:textId="77777777" w:rsidR="00FA2119" w:rsidRDefault="00FA2119" w:rsidP="00FA2119">
      <w:pPr>
        <w:rPr>
          <w:rFonts w:cs="Arial"/>
          <w:rtl/>
        </w:rPr>
      </w:pPr>
      <w:r w:rsidRPr="008C1A5E">
        <w:rPr>
          <w:rFonts w:cs="Arial" w:hint="cs"/>
          <w:u w:val="single"/>
          <w:rtl/>
        </w:rPr>
        <w:t>האם הבעל צריך להביא ראיה שכך שם עירו:</w:t>
      </w:r>
    </w:p>
    <w:p w14:paraId="3C98A574" w14:textId="18D5AECB" w:rsidR="00FA2119" w:rsidRDefault="00FA2119" w:rsidP="00FA2119">
      <w:pPr>
        <w:pStyle w:val="ab"/>
        <w:numPr>
          <w:ilvl w:val="0"/>
          <w:numId w:val="61"/>
        </w:numPr>
        <w:rPr>
          <w:rFonts w:cs="Arial"/>
        </w:rPr>
      </w:pPr>
      <w:r w:rsidRPr="008C1A5E">
        <w:rPr>
          <w:rFonts w:cs="Arial" w:hint="cs"/>
          <w:rtl/>
        </w:rPr>
        <w:t>ראב</w:t>
      </w:r>
      <w:r w:rsidRPr="008C1A5E">
        <w:rPr>
          <w:rFonts w:cs="Arial"/>
          <w:rtl/>
        </w:rPr>
        <w:t>"</w:t>
      </w:r>
      <w:r w:rsidRPr="008C1A5E">
        <w:rPr>
          <w:rFonts w:cs="Arial" w:hint="cs"/>
          <w:rtl/>
        </w:rPr>
        <w:t>ד</w:t>
      </w:r>
      <w:r>
        <w:rPr>
          <w:rFonts w:cs="Arial" w:hint="cs"/>
          <w:rtl/>
        </w:rPr>
        <w:t xml:space="preserve"> </w:t>
      </w:r>
      <w:r>
        <w:rPr>
          <w:rFonts w:cs="Arial" w:hint="cs"/>
          <w:sz w:val="16"/>
          <w:szCs w:val="16"/>
          <w:rtl/>
        </w:rPr>
        <w:t>(כ"כ הר"ן בשמו)</w:t>
      </w:r>
      <w:r w:rsidRPr="008C1A5E">
        <w:rPr>
          <w:rFonts w:cs="Arial"/>
          <w:sz w:val="16"/>
          <w:szCs w:val="16"/>
          <w:rtl/>
        </w:rPr>
        <w:t xml:space="preserve"> </w:t>
      </w:r>
      <w:r>
        <w:rPr>
          <w:rFonts w:cs="Arial" w:hint="cs"/>
          <w:rtl/>
        </w:rPr>
        <w:t xml:space="preserve">ור"ן </w:t>
      </w:r>
      <w:r w:rsidRPr="008C1A5E">
        <w:rPr>
          <w:rFonts w:cs="Arial"/>
          <w:sz w:val="16"/>
          <w:szCs w:val="16"/>
          <w:rtl/>
        </w:rPr>
        <w:t>(</w:t>
      </w:r>
      <w:r w:rsidRPr="008C1A5E">
        <w:rPr>
          <w:rFonts w:cs="Arial" w:hint="cs"/>
          <w:sz w:val="16"/>
          <w:szCs w:val="16"/>
          <w:rtl/>
        </w:rPr>
        <w:t>ב</w:t>
      </w:r>
      <w:r w:rsidRPr="008C1A5E">
        <w:rPr>
          <w:rFonts w:cs="Arial"/>
          <w:sz w:val="16"/>
          <w:szCs w:val="16"/>
          <w:rtl/>
        </w:rPr>
        <w:t>"</w:t>
      </w:r>
      <w:r w:rsidRPr="008C1A5E">
        <w:rPr>
          <w:rFonts w:cs="Arial" w:hint="cs"/>
          <w:sz w:val="16"/>
          <w:szCs w:val="16"/>
          <w:rtl/>
        </w:rPr>
        <w:t>ב</w:t>
      </w:r>
      <w:r w:rsidRPr="008C1A5E">
        <w:rPr>
          <w:rFonts w:cs="Arial"/>
          <w:sz w:val="16"/>
          <w:szCs w:val="16"/>
          <w:rtl/>
        </w:rPr>
        <w:t xml:space="preserve"> </w:t>
      </w:r>
      <w:r w:rsidRPr="008C1A5E">
        <w:rPr>
          <w:rFonts w:cs="Arial" w:hint="cs"/>
          <w:sz w:val="16"/>
          <w:szCs w:val="16"/>
          <w:rtl/>
        </w:rPr>
        <w:t>קסז</w:t>
      </w:r>
      <w:r w:rsidRPr="008C1A5E">
        <w:rPr>
          <w:rFonts w:cs="Arial"/>
          <w:sz w:val="16"/>
          <w:szCs w:val="16"/>
          <w:rtl/>
        </w:rPr>
        <w:t xml:space="preserve">: </w:t>
      </w:r>
      <w:r w:rsidRPr="008C1A5E">
        <w:rPr>
          <w:rFonts w:cs="Arial" w:hint="cs"/>
          <w:sz w:val="16"/>
          <w:szCs w:val="16"/>
          <w:rtl/>
        </w:rPr>
        <w:t>ד</w:t>
      </w:r>
      <w:r w:rsidRPr="008C1A5E">
        <w:rPr>
          <w:rFonts w:cs="Arial"/>
          <w:sz w:val="16"/>
          <w:szCs w:val="16"/>
          <w:rtl/>
        </w:rPr>
        <w:t>"</w:t>
      </w:r>
      <w:r w:rsidRPr="008C1A5E">
        <w:rPr>
          <w:rFonts w:cs="Arial" w:hint="cs"/>
          <w:sz w:val="16"/>
          <w:szCs w:val="16"/>
          <w:rtl/>
        </w:rPr>
        <w:t>ה</w:t>
      </w:r>
      <w:r w:rsidRPr="008C1A5E">
        <w:rPr>
          <w:rFonts w:cs="Arial"/>
          <w:sz w:val="16"/>
          <w:szCs w:val="16"/>
          <w:rtl/>
        </w:rPr>
        <w:t xml:space="preserve"> </w:t>
      </w:r>
      <w:r w:rsidRPr="008C1A5E">
        <w:rPr>
          <w:rFonts w:cs="Arial" w:hint="cs"/>
          <w:sz w:val="16"/>
          <w:szCs w:val="16"/>
          <w:rtl/>
        </w:rPr>
        <w:t>כל</w:t>
      </w:r>
      <w:r w:rsidRPr="008C1A5E">
        <w:rPr>
          <w:rFonts w:cs="Arial"/>
          <w:sz w:val="16"/>
          <w:szCs w:val="16"/>
          <w:rtl/>
        </w:rPr>
        <w:t>)</w:t>
      </w:r>
      <w:r w:rsidR="00A82951">
        <w:rPr>
          <w:rFonts w:cs="Arial" w:hint="cs"/>
          <w:rtl/>
        </w:rPr>
        <w:t>-</w:t>
      </w:r>
      <w:r>
        <w:rPr>
          <w:rFonts w:cs="Arial" w:hint="cs"/>
          <w:rtl/>
        </w:rPr>
        <w:t xml:space="preserve"> </w:t>
      </w:r>
      <w:r>
        <w:rPr>
          <w:rStyle w:val="a7"/>
          <w:rFonts w:cs="Arial"/>
          <w:rtl/>
        </w:rPr>
        <w:footnoteReference w:id="991"/>
      </w:r>
      <w:r w:rsidRPr="008C1A5E">
        <w:rPr>
          <w:rFonts w:cs="Arial" w:hint="cs"/>
          <w:rtl/>
        </w:rPr>
        <w:t>אין</w:t>
      </w:r>
      <w:r w:rsidRPr="008C1A5E">
        <w:rPr>
          <w:rFonts w:cs="Arial"/>
          <w:rtl/>
        </w:rPr>
        <w:t xml:space="preserve"> </w:t>
      </w:r>
      <w:r w:rsidRPr="008C1A5E">
        <w:rPr>
          <w:rFonts w:cs="Arial" w:hint="cs"/>
          <w:rtl/>
        </w:rPr>
        <w:t>מאמינין</w:t>
      </w:r>
      <w:r w:rsidRPr="008C1A5E">
        <w:rPr>
          <w:rFonts w:cs="Arial"/>
          <w:rtl/>
        </w:rPr>
        <w:t xml:space="preserve"> </w:t>
      </w:r>
      <w:r w:rsidRPr="008C1A5E">
        <w:rPr>
          <w:rFonts w:cs="Arial" w:hint="cs"/>
          <w:rtl/>
        </w:rPr>
        <w:t>אותו</w:t>
      </w:r>
      <w:r w:rsidRPr="008C1A5E">
        <w:rPr>
          <w:rFonts w:cs="Arial"/>
          <w:rtl/>
        </w:rPr>
        <w:t xml:space="preserve"> </w:t>
      </w:r>
      <w:r w:rsidRPr="008C1A5E">
        <w:rPr>
          <w:rFonts w:cs="Arial" w:hint="cs"/>
          <w:rtl/>
        </w:rPr>
        <w:t>על</w:t>
      </w:r>
      <w:r w:rsidRPr="008C1A5E">
        <w:rPr>
          <w:rFonts w:cs="Arial"/>
          <w:rtl/>
        </w:rPr>
        <w:t xml:space="preserve"> </w:t>
      </w:r>
      <w:r w:rsidRPr="008C1A5E">
        <w:rPr>
          <w:rFonts w:cs="Arial" w:hint="cs"/>
          <w:rtl/>
        </w:rPr>
        <w:t>שם</w:t>
      </w:r>
      <w:r w:rsidRPr="008C1A5E">
        <w:rPr>
          <w:rFonts w:cs="Arial"/>
          <w:rtl/>
        </w:rPr>
        <w:t xml:space="preserve"> </w:t>
      </w:r>
      <w:r w:rsidRPr="008C1A5E">
        <w:rPr>
          <w:rFonts w:cs="Arial" w:hint="cs"/>
          <w:rtl/>
        </w:rPr>
        <w:t>עירו</w:t>
      </w:r>
      <w:r w:rsidRPr="008C1A5E">
        <w:rPr>
          <w:rFonts w:cs="Arial"/>
          <w:rtl/>
        </w:rPr>
        <w:t xml:space="preserve"> </w:t>
      </w:r>
      <w:r w:rsidRPr="008C1A5E">
        <w:rPr>
          <w:rFonts w:cs="Arial" w:hint="cs"/>
          <w:rtl/>
        </w:rPr>
        <w:t>אלא</w:t>
      </w:r>
      <w:r w:rsidRPr="008C1A5E">
        <w:rPr>
          <w:rFonts w:cs="Arial"/>
          <w:rtl/>
        </w:rPr>
        <w:t xml:space="preserve"> </w:t>
      </w:r>
      <w:r w:rsidRPr="008C1A5E">
        <w:rPr>
          <w:rFonts w:cs="Arial" w:hint="cs"/>
          <w:rtl/>
        </w:rPr>
        <w:t>צריך</w:t>
      </w:r>
      <w:r w:rsidRPr="008C1A5E">
        <w:rPr>
          <w:rFonts w:cs="Arial"/>
          <w:rtl/>
        </w:rPr>
        <w:t xml:space="preserve"> </w:t>
      </w:r>
      <w:r w:rsidRPr="008C1A5E">
        <w:rPr>
          <w:rFonts w:cs="Arial" w:hint="cs"/>
          <w:rtl/>
        </w:rPr>
        <w:t>להביא</w:t>
      </w:r>
      <w:r w:rsidRPr="008C1A5E">
        <w:rPr>
          <w:rFonts w:cs="Arial"/>
          <w:rtl/>
        </w:rPr>
        <w:t xml:space="preserve"> </w:t>
      </w:r>
      <w:r w:rsidRPr="008C1A5E">
        <w:rPr>
          <w:rFonts w:cs="Arial" w:hint="cs"/>
          <w:rtl/>
        </w:rPr>
        <w:t>ראיה</w:t>
      </w:r>
      <w:r>
        <w:rPr>
          <w:rFonts w:cs="Arial" w:hint="cs"/>
          <w:sz w:val="16"/>
          <w:szCs w:val="16"/>
          <w:rtl/>
        </w:rPr>
        <w:t xml:space="preserve"> (ל' הר"ן)</w:t>
      </w:r>
      <w:r w:rsidRPr="008C1A5E">
        <w:rPr>
          <w:rFonts w:cs="Arial" w:hint="cs"/>
          <w:rtl/>
        </w:rPr>
        <w:t>.</w:t>
      </w:r>
      <w:r w:rsidRPr="008C1A5E">
        <w:rPr>
          <w:rFonts w:cs="Arial"/>
          <w:rtl/>
        </w:rPr>
        <w:t xml:space="preserve"> </w:t>
      </w:r>
    </w:p>
    <w:p w14:paraId="471014B4" w14:textId="73338D46" w:rsidR="00FA2119" w:rsidRDefault="00FA2119" w:rsidP="00FA2119">
      <w:pPr>
        <w:pStyle w:val="ab"/>
        <w:numPr>
          <w:ilvl w:val="0"/>
          <w:numId w:val="61"/>
        </w:numPr>
        <w:rPr>
          <w:rFonts w:cs="Arial"/>
        </w:rPr>
      </w:pPr>
      <w:r w:rsidRPr="008C1A5E">
        <w:rPr>
          <w:rFonts w:cs="Arial" w:hint="cs"/>
          <w:rtl/>
        </w:rPr>
        <w:t>רשב</w:t>
      </w:r>
      <w:r w:rsidRPr="008C1A5E">
        <w:rPr>
          <w:rFonts w:cs="Arial"/>
          <w:rtl/>
        </w:rPr>
        <w:t>"</w:t>
      </w:r>
      <w:r w:rsidRPr="008C1A5E">
        <w:rPr>
          <w:rFonts w:cs="Arial" w:hint="cs"/>
          <w:rtl/>
        </w:rPr>
        <w:t>א</w:t>
      </w:r>
      <w:r w:rsidRPr="008C1A5E">
        <w:rPr>
          <w:rFonts w:cs="Arial"/>
          <w:rtl/>
        </w:rPr>
        <w:t xml:space="preserve"> </w:t>
      </w:r>
      <w:r w:rsidRPr="008C1A5E">
        <w:rPr>
          <w:rFonts w:cs="Arial"/>
          <w:sz w:val="16"/>
          <w:szCs w:val="16"/>
          <w:rtl/>
        </w:rPr>
        <w:t>(</w:t>
      </w:r>
      <w:r w:rsidRPr="008C1A5E">
        <w:rPr>
          <w:rFonts w:cs="Arial" w:hint="cs"/>
          <w:sz w:val="16"/>
          <w:szCs w:val="16"/>
          <w:rtl/>
        </w:rPr>
        <w:t>שם</w:t>
      </w:r>
      <w:r w:rsidRPr="008C1A5E">
        <w:rPr>
          <w:rFonts w:cs="Arial"/>
          <w:sz w:val="16"/>
          <w:szCs w:val="16"/>
          <w:rtl/>
        </w:rPr>
        <w:t xml:space="preserve"> </w:t>
      </w:r>
      <w:r w:rsidRPr="008C1A5E">
        <w:rPr>
          <w:rFonts w:cs="Arial" w:hint="cs"/>
          <w:sz w:val="16"/>
          <w:szCs w:val="16"/>
          <w:rtl/>
        </w:rPr>
        <w:t>ד</w:t>
      </w:r>
      <w:r w:rsidRPr="008C1A5E">
        <w:rPr>
          <w:rFonts w:cs="Arial"/>
          <w:sz w:val="16"/>
          <w:szCs w:val="16"/>
          <w:rtl/>
        </w:rPr>
        <w:t>"</w:t>
      </w:r>
      <w:r w:rsidRPr="008C1A5E">
        <w:rPr>
          <w:rFonts w:cs="Arial" w:hint="cs"/>
          <w:sz w:val="16"/>
          <w:szCs w:val="16"/>
          <w:rtl/>
        </w:rPr>
        <w:t>ה</w:t>
      </w:r>
      <w:r w:rsidRPr="008C1A5E">
        <w:rPr>
          <w:rFonts w:cs="Arial"/>
          <w:sz w:val="16"/>
          <w:szCs w:val="16"/>
          <w:rtl/>
        </w:rPr>
        <w:t xml:space="preserve"> </w:t>
      </w:r>
      <w:r w:rsidRPr="008C1A5E">
        <w:rPr>
          <w:rFonts w:cs="Arial" w:hint="cs"/>
          <w:sz w:val="16"/>
          <w:szCs w:val="16"/>
          <w:rtl/>
        </w:rPr>
        <w:t>כל</w:t>
      </w:r>
      <w:r w:rsidRPr="008C1A5E">
        <w:rPr>
          <w:rFonts w:cs="Arial"/>
          <w:sz w:val="16"/>
          <w:szCs w:val="16"/>
          <w:rtl/>
        </w:rPr>
        <w:t>)</w:t>
      </w:r>
      <w:r w:rsidR="00A82951">
        <w:rPr>
          <w:rFonts w:cs="Arial" w:hint="cs"/>
          <w:rtl/>
        </w:rPr>
        <w:t>-</w:t>
      </w:r>
      <w:r w:rsidRPr="008C1A5E">
        <w:rPr>
          <w:rFonts w:cs="Arial"/>
          <w:rtl/>
        </w:rPr>
        <w:t xml:space="preserve"> </w:t>
      </w:r>
      <w:r w:rsidRPr="008C1A5E">
        <w:rPr>
          <w:rFonts w:cs="Arial" w:hint="cs"/>
          <w:rtl/>
        </w:rPr>
        <w:t>כיון</w:t>
      </w:r>
      <w:r w:rsidRPr="008C1A5E">
        <w:rPr>
          <w:rFonts w:cs="Arial"/>
          <w:rtl/>
        </w:rPr>
        <w:t xml:space="preserve"> </w:t>
      </w:r>
      <w:r w:rsidRPr="008C1A5E">
        <w:rPr>
          <w:rFonts w:cs="Arial" w:hint="cs"/>
          <w:rtl/>
        </w:rPr>
        <w:t>שלא</w:t>
      </w:r>
      <w:r w:rsidRPr="008C1A5E">
        <w:rPr>
          <w:rFonts w:cs="Arial"/>
          <w:rtl/>
        </w:rPr>
        <w:t xml:space="preserve"> </w:t>
      </w:r>
      <w:r w:rsidRPr="008C1A5E">
        <w:rPr>
          <w:rFonts w:cs="Arial" w:hint="cs"/>
          <w:rtl/>
        </w:rPr>
        <w:t>שמענו</w:t>
      </w:r>
      <w:r w:rsidRPr="008C1A5E">
        <w:rPr>
          <w:rFonts w:cs="Arial"/>
          <w:rtl/>
        </w:rPr>
        <w:t xml:space="preserve"> </w:t>
      </w:r>
      <w:r w:rsidRPr="008C1A5E">
        <w:rPr>
          <w:rFonts w:cs="Arial" w:hint="cs"/>
          <w:rtl/>
        </w:rPr>
        <w:t>בשום</w:t>
      </w:r>
      <w:r w:rsidRPr="008C1A5E">
        <w:rPr>
          <w:rFonts w:cs="Arial"/>
          <w:rtl/>
        </w:rPr>
        <w:t xml:space="preserve"> </w:t>
      </w:r>
      <w:r w:rsidRPr="008C1A5E">
        <w:rPr>
          <w:rFonts w:cs="Arial" w:hint="cs"/>
          <w:rtl/>
        </w:rPr>
        <w:t>מקום</w:t>
      </w:r>
      <w:r w:rsidRPr="008C1A5E">
        <w:rPr>
          <w:rFonts w:cs="Arial"/>
          <w:rtl/>
        </w:rPr>
        <w:t xml:space="preserve"> </w:t>
      </w:r>
      <w:r w:rsidRPr="008C1A5E">
        <w:rPr>
          <w:rFonts w:cs="Arial" w:hint="cs"/>
          <w:rtl/>
        </w:rPr>
        <w:t>שהוא</w:t>
      </w:r>
      <w:r w:rsidRPr="008C1A5E">
        <w:rPr>
          <w:rFonts w:cs="Arial"/>
          <w:rtl/>
        </w:rPr>
        <w:t xml:space="preserve"> </w:t>
      </w:r>
      <w:r w:rsidRPr="008C1A5E">
        <w:rPr>
          <w:rFonts w:cs="Arial" w:hint="cs"/>
          <w:rtl/>
        </w:rPr>
        <w:t>צריך</w:t>
      </w:r>
      <w:r w:rsidRPr="008C1A5E">
        <w:rPr>
          <w:rFonts w:cs="Arial"/>
          <w:rtl/>
        </w:rPr>
        <w:t xml:space="preserve"> </w:t>
      </w:r>
      <w:r w:rsidRPr="008C1A5E">
        <w:rPr>
          <w:rFonts w:cs="Arial" w:hint="cs"/>
          <w:rtl/>
        </w:rPr>
        <w:t>להביא</w:t>
      </w:r>
      <w:r w:rsidRPr="008C1A5E">
        <w:rPr>
          <w:rFonts w:cs="Arial"/>
          <w:rtl/>
        </w:rPr>
        <w:t xml:space="preserve"> </w:t>
      </w:r>
      <w:r w:rsidRPr="008C1A5E">
        <w:rPr>
          <w:rFonts w:cs="Arial" w:hint="cs"/>
          <w:rtl/>
        </w:rPr>
        <w:t>ראיה</w:t>
      </w:r>
      <w:r w:rsidRPr="008C1A5E">
        <w:rPr>
          <w:rFonts w:cs="Arial"/>
          <w:rtl/>
        </w:rPr>
        <w:t xml:space="preserve"> </w:t>
      </w:r>
      <w:r w:rsidRPr="008C1A5E">
        <w:rPr>
          <w:rFonts w:cs="Arial" w:hint="cs"/>
          <w:rtl/>
        </w:rPr>
        <w:t>על</w:t>
      </w:r>
      <w:r w:rsidRPr="008C1A5E">
        <w:rPr>
          <w:rFonts w:cs="Arial"/>
          <w:rtl/>
        </w:rPr>
        <w:t xml:space="preserve"> </w:t>
      </w:r>
      <w:r w:rsidRPr="008C1A5E">
        <w:rPr>
          <w:rFonts w:cs="Arial" w:hint="cs"/>
          <w:rtl/>
        </w:rPr>
        <w:t>עירו</w:t>
      </w:r>
      <w:r w:rsidRPr="008C1A5E">
        <w:rPr>
          <w:rFonts w:cs="Arial"/>
          <w:rtl/>
        </w:rPr>
        <w:t xml:space="preserve"> </w:t>
      </w:r>
      <w:r w:rsidRPr="008C1A5E">
        <w:rPr>
          <w:rFonts w:cs="Arial" w:hint="cs"/>
          <w:rtl/>
        </w:rPr>
        <w:t>מסתברא</w:t>
      </w:r>
      <w:r w:rsidRPr="008C1A5E">
        <w:rPr>
          <w:rFonts w:cs="Arial"/>
          <w:rtl/>
        </w:rPr>
        <w:t xml:space="preserve"> </w:t>
      </w:r>
      <w:r w:rsidRPr="008C1A5E">
        <w:rPr>
          <w:rFonts w:cs="Arial" w:hint="cs"/>
          <w:rtl/>
        </w:rPr>
        <w:t>דנאמן</w:t>
      </w:r>
      <w:r>
        <w:rPr>
          <w:rStyle w:val="a7"/>
          <w:rFonts w:cs="Arial"/>
          <w:rtl/>
        </w:rPr>
        <w:footnoteReference w:id="992"/>
      </w:r>
      <w:r>
        <w:rPr>
          <w:rFonts w:cs="Arial" w:hint="cs"/>
          <w:sz w:val="16"/>
          <w:szCs w:val="16"/>
          <w:rtl/>
        </w:rPr>
        <w:t xml:space="preserve"> (ל' הר"ן בשמו)</w:t>
      </w:r>
      <w:r w:rsidRPr="008C1A5E">
        <w:rPr>
          <w:rFonts w:cs="Arial" w:hint="cs"/>
          <w:rtl/>
        </w:rPr>
        <w:t>.</w:t>
      </w:r>
    </w:p>
    <w:p w14:paraId="4EF714C2" w14:textId="4DD2D7E3" w:rsidR="00FA2119" w:rsidRPr="00BE1DE1" w:rsidRDefault="00FA2119" w:rsidP="00FA2119">
      <w:pPr>
        <w:rPr>
          <w:rFonts w:cs="Arial"/>
          <w:u w:val="single"/>
        </w:rPr>
      </w:pPr>
      <w:r w:rsidRPr="00BE1DE1">
        <w:rPr>
          <w:rFonts w:cs="Arial" w:hint="cs"/>
          <w:u w:val="single"/>
          <w:rtl/>
        </w:rPr>
        <w:lastRenderedPageBreak/>
        <w:t>עיר</w:t>
      </w:r>
      <w:r w:rsidRPr="00BE1DE1">
        <w:rPr>
          <w:rFonts w:cs="Arial"/>
          <w:u w:val="single"/>
          <w:rtl/>
        </w:rPr>
        <w:t xml:space="preserve"> </w:t>
      </w:r>
      <w:r w:rsidRPr="00BE1DE1">
        <w:rPr>
          <w:rFonts w:cs="Arial" w:hint="cs"/>
          <w:u w:val="single"/>
          <w:rtl/>
        </w:rPr>
        <w:t>שנשתקע</w:t>
      </w:r>
      <w:r w:rsidRPr="00BE1DE1">
        <w:rPr>
          <w:rFonts w:cs="Arial"/>
          <w:u w:val="single"/>
          <w:rtl/>
        </w:rPr>
        <w:t xml:space="preserve"> </w:t>
      </w:r>
      <w:r w:rsidRPr="00BE1DE1">
        <w:rPr>
          <w:rFonts w:cs="Arial" w:hint="cs"/>
          <w:u w:val="single"/>
          <w:rtl/>
        </w:rPr>
        <w:t>ממנה</w:t>
      </w:r>
      <w:r w:rsidRPr="00BE1DE1">
        <w:rPr>
          <w:rFonts w:cs="Arial"/>
          <w:u w:val="single"/>
          <w:rtl/>
        </w:rPr>
        <w:t xml:space="preserve"> </w:t>
      </w:r>
      <w:r w:rsidRPr="00BE1DE1">
        <w:rPr>
          <w:rFonts w:cs="Arial" w:hint="cs"/>
          <w:u w:val="single"/>
          <w:rtl/>
        </w:rPr>
        <w:t>שמה</w:t>
      </w:r>
      <w:r w:rsidRPr="00BE1DE1">
        <w:rPr>
          <w:rFonts w:cs="Arial"/>
          <w:u w:val="single"/>
          <w:rtl/>
        </w:rPr>
        <w:t xml:space="preserve"> </w:t>
      </w:r>
      <w:r w:rsidRPr="00BE1DE1">
        <w:rPr>
          <w:rFonts w:cs="Arial" w:hint="cs"/>
          <w:u w:val="single"/>
          <w:rtl/>
        </w:rPr>
        <w:t xml:space="preserve">הראשון </w:t>
      </w:r>
      <w:r w:rsidR="00A82951">
        <w:rPr>
          <w:rFonts w:cs="Arial"/>
          <w:u w:val="single"/>
          <w:rtl/>
        </w:rPr>
        <w:t>-</w:t>
      </w:r>
      <w:r w:rsidRPr="00BE1DE1">
        <w:rPr>
          <w:rFonts w:cs="Arial" w:hint="cs"/>
          <w:u w:val="single"/>
          <w:rtl/>
        </w:rPr>
        <w:t xml:space="preserve"> האם צריך לכתוב רק את השם החדש:</w:t>
      </w:r>
    </w:p>
    <w:p w14:paraId="77E4285F" w14:textId="47F4A2C7" w:rsidR="00FA2119" w:rsidRDefault="00FA2119" w:rsidP="00FA2119">
      <w:pPr>
        <w:pStyle w:val="ab"/>
        <w:numPr>
          <w:ilvl w:val="0"/>
          <w:numId w:val="61"/>
        </w:numPr>
        <w:rPr>
          <w:rFonts w:cs="Arial"/>
        </w:rPr>
      </w:pPr>
      <w:r w:rsidRPr="007424C0">
        <w:rPr>
          <w:rFonts w:cs="Arial" w:hint="cs"/>
          <w:rtl/>
        </w:rPr>
        <w:t>תיקון</w:t>
      </w:r>
      <w:r w:rsidRPr="007424C0">
        <w:rPr>
          <w:rFonts w:cs="Arial"/>
          <w:rtl/>
        </w:rPr>
        <w:t xml:space="preserve"> </w:t>
      </w:r>
      <w:r w:rsidRPr="007424C0">
        <w:rPr>
          <w:rFonts w:cs="Arial" w:hint="cs"/>
          <w:rtl/>
        </w:rPr>
        <w:t>ישן</w:t>
      </w:r>
      <w:r>
        <w:rPr>
          <w:rFonts w:cs="Arial" w:hint="cs"/>
          <w:sz w:val="16"/>
          <w:szCs w:val="16"/>
          <w:rtl/>
        </w:rPr>
        <w:t xml:space="preserve"> (הביאו הדרכ"מ [אות טז])</w:t>
      </w:r>
      <w:r w:rsidR="00A82951">
        <w:rPr>
          <w:rFonts w:cs="Arial" w:hint="cs"/>
          <w:rtl/>
        </w:rPr>
        <w:t>-</w:t>
      </w:r>
      <w:r w:rsidRPr="007424C0">
        <w:rPr>
          <w:rFonts w:cs="Arial"/>
          <w:rtl/>
        </w:rPr>
        <w:t xml:space="preserve"> </w:t>
      </w:r>
      <w:r w:rsidRPr="007424C0">
        <w:rPr>
          <w:rFonts w:cs="Arial" w:hint="cs"/>
          <w:rtl/>
        </w:rPr>
        <w:t>עיר</w:t>
      </w:r>
      <w:r w:rsidRPr="007424C0">
        <w:rPr>
          <w:rFonts w:cs="Arial"/>
          <w:rtl/>
        </w:rPr>
        <w:t xml:space="preserve"> </w:t>
      </w:r>
      <w:r w:rsidRPr="007424C0">
        <w:rPr>
          <w:rFonts w:cs="Arial" w:hint="cs"/>
          <w:rtl/>
        </w:rPr>
        <w:t>שנשתקע</w:t>
      </w:r>
      <w:r w:rsidRPr="007424C0">
        <w:rPr>
          <w:rFonts w:cs="Arial"/>
          <w:rtl/>
        </w:rPr>
        <w:t xml:space="preserve"> </w:t>
      </w:r>
      <w:r w:rsidRPr="007424C0">
        <w:rPr>
          <w:rFonts w:cs="Arial" w:hint="cs"/>
          <w:rtl/>
        </w:rPr>
        <w:t>ממנה</w:t>
      </w:r>
      <w:r w:rsidRPr="007424C0">
        <w:rPr>
          <w:rFonts w:cs="Arial"/>
          <w:rtl/>
        </w:rPr>
        <w:t xml:space="preserve"> </w:t>
      </w:r>
      <w:r w:rsidRPr="007424C0">
        <w:rPr>
          <w:rFonts w:cs="Arial" w:hint="cs"/>
          <w:rtl/>
        </w:rPr>
        <w:t>שמה</w:t>
      </w:r>
      <w:r w:rsidRPr="007424C0">
        <w:rPr>
          <w:rFonts w:cs="Arial"/>
          <w:rtl/>
        </w:rPr>
        <w:t xml:space="preserve"> </w:t>
      </w:r>
      <w:r w:rsidRPr="007424C0">
        <w:rPr>
          <w:rFonts w:cs="Arial" w:hint="cs"/>
          <w:rtl/>
        </w:rPr>
        <w:t>הראשון</w:t>
      </w:r>
      <w:r w:rsidRPr="007424C0">
        <w:rPr>
          <w:rFonts w:cs="Arial"/>
          <w:rtl/>
        </w:rPr>
        <w:t xml:space="preserve"> </w:t>
      </w:r>
      <w:r w:rsidRPr="007424C0">
        <w:rPr>
          <w:rFonts w:cs="Arial" w:hint="cs"/>
          <w:rtl/>
        </w:rPr>
        <w:t>אין</w:t>
      </w:r>
      <w:r w:rsidRPr="007424C0">
        <w:rPr>
          <w:rFonts w:cs="Arial"/>
          <w:rtl/>
        </w:rPr>
        <w:t xml:space="preserve"> </w:t>
      </w:r>
      <w:r w:rsidRPr="007424C0">
        <w:rPr>
          <w:rFonts w:cs="Arial" w:hint="cs"/>
          <w:rtl/>
        </w:rPr>
        <w:t>צריך</w:t>
      </w:r>
      <w:r w:rsidRPr="007424C0">
        <w:rPr>
          <w:rFonts w:cs="Arial"/>
          <w:rtl/>
        </w:rPr>
        <w:t xml:space="preserve"> </w:t>
      </w:r>
      <w:r w:rsidRPr="007424C0">
        <w:rPr>
          <w:rFonts w:cs="Arial" w:hint="cs"/>
          <w:rtl/>
        </w:rPr>
        <w:t>לכתוב</w:t>
      </w:r>
      <w:r w:rsidRPr="007424C0">
        <w:rPr>
          <w:rFonts w:cs="Arial"/>
          <w:rtl/>
        </w:rPr>
        <w:t xml:space="preserve"> </w:t>
      </w:r>
      <w:r w:rsidRPr="007424C0">
        <w:rPr>
          <w:rFonts w:cs="Arial" w:hint="cs"/>
          <w:rtl/>
        </w:rPr>
        <w:t>בה</w:t>
      </w:r>
      <w:r w:rsidRPr="007424C0">
        <w:rPr>
          <w:rFonts w:cs="Arial"/>
          <w:rtl/>
        </w:rPr>
        <w:t xml:space="preserve"> </w:t>
      </w:r>
      <w:r w:rsidRPr="007424C0">
        <w:rPr>
          <w:rFonts w:cs="Arial" w:hint="cs"/>
          <w:rtl/>
        </w:rPr>
        <w:t>רק</w:t>
      </w:r>
      <w:r w:rsidRPr="007424C0">
        <w:rPr>
          <w:rFonts w:cs="Arial"/>
          <w:rtl/>
        </w:rPr>
        <w:t xml:space="preserve"> </w:t>
      </w:r>
      <w:r w:rsidRPr="007424C0">
        <w:rPr>
          <w:rFonts w:cs="Arial" w:hint="cs"/>
          <w:rtl/>
        </w:rPr>
        <w:t>שמה</w:t>
      </w:r>
      <w:r w:rsidRPr="007424C0">
        <w:rPr>
          <w:rFonts w:cs="Arial"/>
          <w:rtl/>
        </w:rPr>
        <w:t xml:space="preserve"> </w:t>
      </w:r>
      <w:r w:rsidRPr="007424C0">
        <w:rPr>
          <w:rFonts w:cs="Arial" w:hint="cs"/>
          <w:rtl/>
        </w:rPr>
        <w:t>השני</w:t>
      </w:r>
      <w:r>
        <w:rPr>
          <w:rFonts w:cs="Arial" w:hint="cs"/>
          <w:rtl/>
        </w:rPr>
        <w:t>.</w:t>
      </w:r>
      <w:r w:rsidRPr="007424C0">
        <w:rPr>
          <w:rFonts w:cs="Arial"/>
          <w:rtl/>
        </w:rPr>
        <w:t xml:space="preserve"> </w:t>
      </w:r>
      <w:r w:rsidRPr="007424C0">
        <w:rPr>
          <w:rFonts w:cs="Arial" w:hint="cs"/>
          <w:rtl/>
        </w:rPr>
        <w:t>ואם</w:t>
      </w:r>
      <w:r w:rsidRPr="007424C0">
        <w:rPr>
          <w:rFonts w:cs="Arial"/>
          <w:rtl/>
        </w:rPr>
        <w:t xml:space="preserve"> </w:t>
      </w:r>
      <w:r w:rsidRPr="007424C0">
        <w:rPr>
          <w:rFonts w:cs="Arial" w:hint="cs"/>
          <w:rtl/>
        </w:rPr>
        <w:t>כתב</w:t>
      </w:r>
      <w:r w:rsidRPr="007424C0">
        <w:rPr>
          <w:rFonts w:cs="Arial"/>
          <w:rtl/>
        </w:rPr>
        <w:t xml:space="preserve"> </w:t>
      </w:r>
      <w:r w:rsidRPr="007424C0">
        <w:rPr>
          <w:rFonts w:cs="Arial" w:hint="cs"/>
          <w:rtl/>
        </w:rPr>
        <w:t>בגט</w:t>
      </w:r>
      <w:r w:rsidRPr="007424C0">
        <w:rPr>
          <w:rFonts w:cs="Arial"/>
          <w:rtl/>
        </w:rPr>
        <w:t xml:space="preserve"> </w:t>
      </w:r>
      <w:r w:rsidRPr="007424C0">
        <w:rPr>
          <w:rFonts w:cs="Arial" w:hint="cs"/>
          <w:rtl/>
        </w:rPr>
        <w:t>שם</w:t>
      </w:r>
      <w:r w:rsidRPr="007424C0">
        <w:rPr>
          <w:rFonts w:cs="Arial"/>
          <w:rtl/>
        </w:rPr>
        <w:t xml:space="preserve"> </w:t>
      </w:r>
      <w:r w:rsidRPr="007424C0">
        <w:rPr>
          <w:rFonts w:cs="Arial" w:hint="cs"/>
          <w:rtl/>
        </w:rPr>
        <w:t>המדינה</w:t>
      </w:r>
      <w:r w:rsidRPr="007424C0">
        <w:rPr>
          <w:rFonts w:cs="Arial"/>
          <w:rtl/>
        </w:rPr>
        <w:t xml:space="preserve"> </w:t>
      </w:r>
      <w:r w:rsidRPr="007424C0">
        <w:rPr>
          <w:rFonts w:cs="Arial" w:hint="cs"/>
          <w:rtl/>
        </w:rPr>
        <w:t>ולא</w:t>
      </w:r>
      <w:r w:rsidRPr="007424C0">
        <w:rPr>
          <w:rFonts w:cs="Arial"/>
          <w:rtl/>
        </w:rPr>
        <w:t xml:space="preserve"> </w:t>
      </w:r>
      <w:r w:rsidRPr="007424C0">
        <w:rPr>
          <w:rFonts w:cs="Arial" w:hint="cs"/>
          <w:rtl/>
        </w:rPr>
        <w:t>שם</w:t>
      </w:r>
      <w:r w:rsidRPr="007424C0">
        <w:rPr>
          <w:rFonts w:cs="Arial"/>
          <w:rtl/>
        </w:rPr>
        <w:t xml:space="preserve"> </w:t>
      </w:r>
      <w:r w:rsidRPr="007424C0">
        <w:rPr>
          <w:rFonts w:cs="Arial" w:hint="cs"/>
          <w:rtl/>
        </w:rPr>
        <w:t>העיר</w:t>
      </w:r>
      <w:r>
        <w:rPr>
          <w:rFonts w:cs="Arial" w:hint="cs"/>
          <w:rtl/>
        </w:rPr>
        <w:t>,</w:t>
      </w:r>
      <w:r w:rsidRPr="007424C0">
        <w:rPr>
          <w:rFonts w:cs="Arial"/>
          <w:rtl/>
        </w:rPr>
        <w:t xml:space="preserve"> </w:t>
      </w:r>
      <w:r w:rsidRPr="007424C0">
        <w:rPr>
          <w:rFonts w:cs="Arial" w:hint="cs"/>
          <w:rtl/>
        </w:rPr>
        <w:t>או</w:t>
      </w:r>
      <w:r w:rsidRPr="007424C0">
        <w:rPr>
          <w:rFonts w:cs="Arial"/>
          <w:rtl/>
        </w:rPr>
        <w:t xml:space="preserve"> </w:t>
      </w:r>
      <w:r w:rsidRPr="007424C0">
        <w:rPr>
          <w:rFonts w:cs="Arial" w:hint="cs"/>
          <w:rtl/>
        </w:rPr>
        <w:t>אפילו</w:t>
      </w:r>
      <w:r w:rsidRPr="007424C0">
        <w:rPr>
          <w:rFonts w:cs="Arial"/>
          <w:rtl/>
        </w:rPr>
        <w:t xml:space="preserve"> </w:t>
      </w:r>
      <w:r w:rsidRPr="007424C0">
        <w:rPr>
          <w:rFonts w:cs="Arial" w:hint="cs"/>
          <w:rtl/>
        </w:rPr>
        <w:t>שכתב</w:t>
      </w:r>
      <w:r w:rsidRPr="007424C0">
        <w:rPr>
          <w:rFonts w:cs="Arial"/>
          <w:rtl/>
        </w:rPr>
        <w:t xml:space="preserve"> </w:t>
      </w:r>
      <w:r w:rsidRPr="007424C0">
        <w:rPr>
          <w:rFonts w:cs="Arial" w:hint="cs"/>
          <w:rtl/>
        </w:rPr>
        <w:t>שתיהן</w:t>
      </w:r>
      <w:r w:rsidRPr="007424C0">
        <w:rPr>
          <w:rFonts w:cs="Arial"/>
          <w:rtl/>
        </w:rPr>
        <w:t xml:space="preserve"> </w:t>
      </w:r>
      <w:r w:rsidRPr="007424C0">
        <w:rPr>
          <w:rFonts w:cs="Arial" w:hint="cs"/>
          <w:rtl/>
        </w:rPr>
        <w:t>בגט</w:t>
      </w:r>
      <w:r w:rsidRPr="007424C0">
        <w:rPr>
          <w:rFonts w:cs="Arial"/>
          <w:rtl/>
        </w:rPr>
        <w:t xml:space="preserve"> </w:t>
      </w:r>
      <w:r w:rsidR="00A82951">
        <w:rPr>
          <w:rFonts w:cs="Arial" w:hint="cs"/>
          <w:rtl/>
        </w:rPr>
        <w:t>-</w:t>
      </w:r>
      <w:r>
        <w:rPr>
          <w:rFonts w:cs="Arial" w:hint="cs"/>
          <w:rtl/>
        </w:rPr>
        <w:t xml:space="preserve"> </w:t>
      </w:r>
      <w:r w:rsidRPr="007424C0">
        <w:rPr>
          <w:rFonts w:cs="Arial" w:hint="cs"/>
          <w:rtl/>
        </w:rPr>
        <w:t>פסול</w:t>
      </w:r>
      <w:r>
        <w:rPr>
          <w:rStyle w:val="a7"/>
          <w:rFonts w:cs="Arial"/>
          <w:rtl/>
        </w:rPr>
        <w:footnoteReference w:id="993"/>
      </w:r>
      <w:r>
        <w:rPr>
          <w:rFonts w:cs="Arial" w:hint="cs"/>
          <w:rtl/>
        </w:rPr>
        <w:t>.</w:t>
      </w:r>
    </w:p>
    <w:p w14:paraId="06EDB2CF"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7F1710F" w14:textId="2CD05C2B" w:rsidR="00FA2119" w:rsidRDefault="00FA2119" w:rsidP="00FA2119">
      <w:pPr>
        <w:rPr>
          <w:rFonts w:cs="Arial"/>
          <w:rtl/>
        </w:rPr>
      </w:pPr>
      <w:r>
        <w:rPr>
          <w:rFonts w:cs="Arial" w:hint="cs"/>
          <w:rtl/>
        </w:rPr>
        <w:t>יכתוב</w:t>
      </w:r>
      <w:r>
        <w:rPr>
          <w:rFonts w:cs="Arial"/>
          <w:rtl/>
        </w:rPr>
        <w:t xml:space="preserve">: </w:t>
      </w:r>
      <w:r>
        <w:rPr>
          <w:rFonts w:cs="Arial" w:hint="cs"/>
          <w:rtl/>
        </w:rPr>
        <w:t>וכל</w:t>
      </w:r>
      <w:r>
        <w:rPr>
          <w:rFonts w:cs="Arial"/>
          <w:rtl/>
        </w:rPr>
        <w:t xml:space="preserve"> </w:t>
      </w:r>
      <w:r>
        <w:rPr>
          <w:rFonts w:cs="Arial" w:hint="cs"/>
          <w:rtl/>
        </w:rPr>
        <w:t>שום</w:t>
      </w:r>
      <w:r>
        <w:rPr>
          <w:rFonts w:cs="Arial"/>
          <w:rtl/>
        </w:rPr>
        <w:t xml:space="preserve"> </w:t>
      </w:r>
      <w:r>
        <w:rPr>
          <w:rFonts w:cs="Arial" w:hint="cs"/>
          <w:rtl/>
        </w:rPr>
        <w:t>דאית</w:t>
      </w:r>
      <w:r>
        <w:rPr>
          <w:rFonts w:cs="Arial"/>
          <w:rtl/>
        </w:rPr>
        <w:t xml:space="preserve"> </w:t>
      </w:r>
      <w:r>
        <w:rPr>
          <w:rFonts w:cs="Arial" w:hint="cs"/>
          <w:rtl/>
        </w:rPr>
        <w:t>לי</w:t>
      </w:r>
      <w:r>
        <w:rPr>
          <w:rFonts w:cs="Arial"/>
          <w:rtl/>
        </w:rPr>
        <w:t xml:space="preserve"> </w:t>
      </w:r>
      <w:r>
        <w:rPr>
          <w:rFonts w:cs="Arial" w:hint="cs"/>
          <w:rtl/>
        </w:rPr>
        <w:t>ולאתרי.</w:t>
      </w:r>
      <w:r>
        <w:rPr>
          <w:rFonts w:cs="Arial"/>
          <w:rtl/>
        </w:rPr>
        <w:t xml:space="preserve"> </w:t>
      </w:r>
      <w:r>
        <w:rPr>
          <w:rFonts w:cs="Arial" w:hint="cs"/>
          <w:rtl/>
        </w:rPr>
        <w:t>ומלבד</w:t>
      </w:r>
      <w:r>
        <w:rPr>
          <w:rFonts w:cs="Arial"/>
          <w:rtl/>
        </w:rPr>
        <w:t xml:space="preserve"> </w:t>
      </w:r>
      <w:r>
        <w:rPr>
          <w:rFonts w:cs="Arial" w:hint="cs"/>
          <w:rtl/>
        </w:rPr>
        <w:t>זה</w:t>
      </w:r>
      <w:r>
        <w:rPr>
          <w:rFonts w:cs="Arial"/>
          <w:rtl/>
        </w:rPr>
        <w:t xml:space="preserve">, </w:t>
      </w:r>
      <w:r>
        <w:rPr>
          <w:rFonts w:cs="Arial" w:hint="cs"/>
          <w:rtl/>
        </w:rPr>
        <w:t>אם</w:t>
      </w:r>
      <w:r>
        <w:rPr>
          <w:rFonts w:cs="Arial"/>
          <w:rtl/>
        </w:rPr>
        <w:t xml:space="preserve"> </w:t>
      </w:r>
      <w:r>
        <w:rPr>
          <w:rFonts w:cs="Arial" w:hint="cs"/>
          <w:rtl/>
        </w:rPr>
        <w:t>יש</w:t>
      </w:r>
      <w:r>
        <w:rPr>
          <w:rFonts w:cs="Arial"/>
          <w:rtl/>
        </w:rPr>
        <w:t xml:space="preserve"> </w:t>
      </w:r>
      <w:r>
        <w:rPr>
          <w:rFonts w:cs="Arial" w:hint="cs"/>
          <w:rtl/>
        </w:rPr>
        <w:t>לעיר</w:t>
      </w:r>
      <w:r>
        <w:rPr>
          <w:rFonts w:cs="Arial"/>
          <w:rtl/>
        </w:rPr>
        <w:t xml:space="preserve"> </w:t>
      </w:r>
      <w:r>
        <w:rPr>
          <w:rFonts w:cs="Arial" w:hint="cs"/>
          <w:rtl/>
        </w:rPr>
        <w:t>שני שמות</w:t>
      </w:r>
      <w:r>
        <w:rPr>
          <w:rFonts w:cs="Arial"/>
          <w:rtl/>
        </w:rPr>
        <w:t xml:space="preserve"> </w:t>
      </w:r>
      <w:r>
        <w:rPr>
          <w:rFonts w:cs="Arial" w:hint="cs"/>
          <w:rtl/>
        </w:rPr>
        <w:t>יכתוב</w:t>
      </w:r>
      <w:r>
        <w:rPr>
          <w:rFonts w:cs="Arial"/>
          <w:rtl/>
        </w:rPr>
        <w:t xml:space="preserve">: </w:t>
      </w:r>
      <w:r>
        <w:rPr>
          <w:rFonts w:cs="Arial" w:hint="cs"/>
          <w:rtl/>
        </w:rPr>
        <w:t>מתא</w:t>
      </w:r>
      <w:r>
        <w:rPr>
          <w:rFonts w:cs="Arial"/>
          <w:rtl/>
        </w:rPr>
        <w:t xml:space="preserve"> </w:t>
      </w:r>
      <w:r>
        <w:rPr>
          <w:rFonts w:cs="Arial" w:hint="cs"/>
          <w:rtl/>
        </w:rPr>
        <w:t>פלונית</w:t>
      </w:r>
      <w:r>
        <w:rPr>
          <w:rFonts w:cs="Arial"/>
          <w:rtl/>
        </w:rPr>
        <w:t xml:space="preserve"> </w:t>
      </w:r>
      <w:r>
        <w:rPr>
          <w:rFonts w:cs="Arial" w:hint="cs"/>
          <w:rtl/>
        </w:rPr>
        <w:t>דמתקריא</w:t>
      </w:r>
      <w:r>
        <w:rPr>
          <w:rFonts w:cs="Arial"/>
          <w:rtl/>
        </w:rPr>
        <w:t xml:space="preserve"> </w:t>
      </w:r>
      <w:r>
        <w:rPr>
          <w:rFonts w:cs="Arial" w:hint="cs"/>
          <w:rtl/>
        </w:rPr>
        <w:t>פלונית</w:t>
      </w:r>
      <w:r>
        <w:rPr>
          <w:rFonts w:cs="Arial"/>
          <w:rtl/>
        </w:rPr>
        <w:t xml:space="preserve">. </w:t>
      </w:r>
      <w:r w:rsidRPr="00325111">
        <w:rPr>
          <w:rFonts w:cs="Arial" w:hint="cs"/>
          <w:sz w:val="18"/>
          <w:szCs w:val="18"/>
          <w:rtl/>
        </w:rPr>
        <w:t>הגה</w:t>
      </w:r>
      <w:r w:rsidRPr="00325111">
        <w:rPr>
          <w:rFonts w:cs="Arial"/>
          <w:sz w:val="18"/>
          <w:szCs w:val="18"/>
          <w:rtl/>
        </w:rPr>
        <w:t xml:space="preserve">: </w:t>
      </w:r>
      <w:r w:rsidRPr="00325111">
        <w:rPr>
          <w:rFonts w:cs="Arial" w:hint="cs"/>
          <w:sz w:val="18"/>
          <w:szCs w:val="18"/>
          <w:rtl/>
        </w:rPr>
        <w:t>ולא</w:t>
      </w:r>
      <w:r w:rsidRPr="00325111">
        <w:rPr>
          <w:rFonts w:cs="Arial"/>
          <w:sz w:val="18"/>
          <w:szCs w:val="18"/>
          <w:rtl/>
        </w:rPr>
        <w:t xml:space="preserve"> </w:t>
      </w:r>
      <w:r w:rsidRPr="00325111">
        <w:rPr>
          <w:rFonts w:cs="Arial" w:hint="cs"/>
          <w:sz w:val="18"/>
          <w:szCs w:val="18"/>
          <w:rtl/>
        </w:rPr>
        <w:t>יכתוב</w:t>
      </w:r>
      <w:r w:rsidRPr="00325111">
        <w:rPr>
          <w:rFonts w:cs="Arial"/>
          <w:sz w:val="18"/>
          <w:szCs w:val="18"/>
          <w:rtl/>
        </w:rPr>
        <w:t xml:space="preserve"> </w:t>
      </w:r>
      <w:r w:rsidRPr="00325111">
        <w:rPr>
          <w:rFonts w:cs="Arial" w:hint="cs"/>
          <w:sz w:val="18"/>
          <w:szCs w:val="18"/>
          <w:rtl/>
        </w:rPr>
        <w:t>יו</w:t>
      </w:r>
      <w:r w:rsidRPr="00325111">
        <w:rPr>
          <w:rFonts w:cs="Arial"/>
          <w:sz w:val="18"/>
          <w:szCs w:val="18"/>
          <w:rtl/>
        </w:rPr>
        <w:t>"</w:t>
      </w:r>
      <w:r w:rsidRPr="00325111">
        <w:rPr>
          <w:rFonts w:cs="Arial" w:hint="cs"/>
          <w:sz w:val="18"/>
          <w:szCs w:val="18"/>
          <w:rtl/>
        </w:rPr>
        <w:t>ד</w:t>
      </w:r>
      <w:r w:rsidRPr="00325111">
        <w:rPr>
          <w:rFonts w:cs="Arial"/>
          <w:sz w:val="18"/>
          <w:szCs w:val="18"/>
          <w:rtl/>
        </w:rPr>
        <w:t xml:space="preserve"> </w:t>
      </w:r>
      <w:r w:rsidRPr="00325111">
        <w:rPr>
          <w:rFonts w:cs="Arial" w:hint="cs"/>
          <w:sz w:val="18"/>
          <w:szCs w:val="18"/>
          <w:rtl/>
        </w:rPr>
        <w:t>אצל</w:t>
      </w:r>
      <w:r w:rsidRPr="00325111">
        <w:rPr>
          <w:rFonts w:cs="Arial"/>
          <w:sz w:val="18"/>
          <w:szCs w:val="18"/>
          <w:rtl/>
        </w:rPr>
        <w:t xml:space="preserve"> </w:t>
      </w:r>
      <w:r w:rsidRPr="00325111">
        <w:rPr>
          <w:rFonts w:cs="Arial" w:hint="cs"/>
          <w:sz w:val="18"/>
          <w:szCs w:val="18"/>
          <w:rtl/>
        </w:rPr>
        <w:t>המ</w:t>
      </w:r>
      <w:r w:rsidRPr="00325111">
        <w:rPr>
          <w:rFonts w:cs="Arial"/>
          <w:sz w:val="18"/>
          <w:szCs w:val="18"/>
          <w:rtl/>
        </w:rPr>
        <w:t>"</w:t>
      </w:r>
      <w:r w:rsidRPr="00325111">
        <w:rPr>
          <w:rFonts w:cs="Arial" w:hint="cs"/>
          <w:sz w:val="18"/>
          <w:szCs w:val="18"/>
          <w:rtl/>
        </w:rPr>
        <w:t>ם</w:t>
      </w:r>
      <w:r w:rsidRPr="00325111">
        <w:rPr>
          <w:rFonts w:cs="Arial"/>
          <w:sz w:val="18"/>
          <w:szCs w:val="18"/>
          <w:rtl/>
        </w:rPr>
        <w:t xml:space="preserve"> (</w:t>
      </w:r>
      <w:r w:rsidRPr="00325111">
        <w:rPr>
          <w:rFonts w:cs="Arial" w:hint="cs"/>
          <w:sz w:val="18"/>
          <w:szCs w:val="18"/>
          <w:rtl/>
        </w:rPr>
        <w:t>סדר</w:t>
      </w:r>
      <w:r w:rsidRPr="00325111">
        <w:rPr>
          <w:rFonts w:cs="Arial"/>
          <w:sz w:val="18"/>
          <w:szCs w:val="18"/>
          <w:rtl/>
        </w:rPr>
        <w:t xml:space="preserve"> </w:t>
      </w:r>
      <w:r w:rsidRPr="00325111">
        <w:rPr>
          <w:rFonts w:cs="Arial" w:hint="cs"/>
          <w:sz w:val="18"/>
          <w:szCs w:val="18"/>
          <w:rtl/>
        </w:rPr>
        <w:t>גיטין</w:t>
      </w:r>
      <w:r w:rsidRPr="00325111">
        <w:rPr>
          <w:rFonts w:cs="Arial"/>
          <w:sz w:val="18"/>
          <w:szCs w:val="18"/>
          <w:rtl/>
        </w:rPr>
        <w:t xml:space="preserve">). </w:t>
      </w:r>
      <w:r w:rsidRPr="00325111">
        <w:rPr>
          <w:rFonts w:cs="Arial" w:hint="cs"/>
          <w:sz w:val="18"/>
          <w:szCs w:val="18"/>
          <w:rtl/>
        </w:rPr>
        <w:t>מיהו</w:t>
      </w:r>
      <w:r w:rsidRPr="00325111">
        <w:rPr>
          <w:rFonts w:cs="Arial"/>
          <w:sz w:val="18"/>
          <w:szCs w:val="18"/>
          <w:rtl/>
        </w:rPr>
        <w:t xml:space="preserve"> </w:t>
      </w:r>
      <w:r w:rsidRPr="00325111">
        <w:rPr>
          <w:rFonts w:cs="Arial" w:hint="cs"/>
          <w:sz w:val="18"/>
          <w:szCs w:val="18"/>
          <w:rtl/>
        </w:rPr>
        <w:t>אם</w:t>
      </w:r>
      <w:r w:rsidRPr="00325111">
        <w:rPr>
          <w:rFonts w:cs="Arial"/>
          <w:sz w:val="18"/>
          <w:szCs w:val="18"/>
          <w:rtl/>
        </w:rPr>
        <w:t xml:space="preserve"> </w:t>
      </w:r>
      <w:r w:rsidRPr="00325111">
        <w:rPr>
          <w:rFonts w:cs="Arial" w:hint="cs"/>
          <w:sz w:val="18"/>
          <w:szCs w:val="18"/>
          <w:rtl/>
        </w:rPr>
        <w:t>כתב</w:t>
      </w:r>
      <w:r w:rsidRPr="00325111">
        <w:rPr>
          <w:rFonts w:cs="Arial"/>
          <w:sz w:val="18"/>
          <w:szCs w:val="18"/>
          <w:rtl/>
        </w:rPr>
        <w:t xml:space="preserve"> </w:t>
      </w:r>
      <w:r w:rsidRPr="00325111">
        <w:rPr>
          <w:rFonts w:cs="Arial" w:hint="cs"/>
          <w:sz w:val="18"/>
          <w:szCs w:val="18"/>
          <w:rtl/>
        </w:rPr>
        <w:t>יו</w:t>
      </w:r>
      <w:r w:rsidRPr="00325111">
        <w:rPr>
          <w:rFonts w:cs="Arial"/>
          <w:sz w:val="18"/>
          <w:szCs w:val="18"/>
          <w:rtl/>
        </w:rPr>
        <w:t>"</w:t>
      </w:r>
      <w:r w:rsidRPr="00325111">
        <w:rPr>
          <w:rFonts w:cs="Arial" w:hint="cs"/>
          <w:sz w:val="18"/>
          <w:szCs w:val="18"/>
          <w:rtl/>
        </w:rPr>
        <w:t>ד</w:t>
      </w:r>
      <w:r w:rsidRPr="00325111">
        <w:rPr>
          <w:rFonts w:cs="Arial"/>
          <w:sz w:val="18"/>
          <w:szCs w:val="18"/>
          <w:rtl/>
        </w:rPr>
        <w:t xml:space="preserve">: </w:t>
      </w:r>
      <w:r w:rsidRPr="00325111">
        <w:rPr>
          <w:rFonts w:cs="Arial" w:hint="cs"/>
          <w:sz w:val="18"/>
          <w:szCs w:val="18"/>
          <w:rtl/>
        </w:rPr>
        <w:t>דמיתקרייא</w:t>
      </w:r>
      <w:r w:rsidRPr="00325111">
        <w:rPr>
          <w:rFonts w:cs="Arial"/>
          <w:sz w:val="18"/>
          <w:szCs w:val="18"/>
          <w:rtl/>
        </w:rPr>
        <w:t xml:space="preserve">, </w:t>
      </w:r>
      <w:r w:rsidRPr="00325111">
        <w:rPr>
          <w:rFonts w:cs="Arial" w:hint="cs"/>
          <w:sz w:val="18"/>
          <w:szCs w:val="18"/>
          <w:rtl/>
        </w:rPr>
        <w:t>כשר</w:t>
      </w:r>
      <w:r w:rsidRPr="00325111">
        <w:rPr>
          <w:rFonts w:cs="Arial"/>
          <w:sz w:val="18"/>
          <w:szCs w:val="18"/>
          <w:rtl/>
        </w:rPr>
        <w:t xml:space="preserve"> (</w:t>
      </w:r>
      <w:r w:rsidRPr="00325111">
        <w:rPr>
          <w:rFonts w:cs="Arial" w:hint="cs"/>
          <w:sz w:val="18"/>
          <w:szCs w:val="18"/>
          <w:rtl/>
        </w:rPr>
        <w:t>שם</w:t>
      </w:r>
      <w:r w:rsidRPr="00325111">
        <w:rPr>
          <w:rFonts w:cs="Arial"/>
          <w:sz w:val="18"/>
          <w:szCs w:val="18"/>
          <w:rtl/>
        </w:rPr>
        <w:t xml:space="preserve">). </w:t>
      </w:r>
      <w:r w:rsidRPr="00325111">
        <w:rPr>
          <w:rFonts w:cs="Arial" w:hint="cs"/>
          <w:sz w:val="18"/>
          <w:szCs w:val="18"/>
          <w:rtl/>
        </w:rPr>
        <w:t>ואנו</w:t>
      </w:r>
      <w:r w:rsidRPr="00325111">
        <w:rPr>
          <w:rFonts w:cs="Arial"/>
          <w:sz w:val="18"/>
          <w:szCs w:val="18"/>
          <w:rtl/>
        </w:rPr>
        <w:t xml:space="preserve"> </w:t>
      </w:r>
      <w:r w:rsidRPr="00325111">
        <w:rPr>
          <w:rFonts w:cs="Arial" w:hint="cs"/>
          <w:sz w:val="18"/>
          <w:szCs w:val="18"/>
          <w:rtl/>
        </w:rPr>
        <w:t>לא</w:t>
      </w:r>
      <w:r w:rsidRPr="00325111">
        <w:rPr>
          <w:rFonts w:cs="Arial"/>
          <w:sz w:val="18"/>
          <w:szCs w:val="18"/>
          <w:rtl/>
        </w:rPr>
        <w:t xml:space="preserve"> </w:t>
      </w:r>
      <w:r w:rsidRPr="00325111">
        <w:rPr>
          <w:rFonts w:cs="Arial" w:hint="cs"/>
          <w:sz w:val="18"/>
          <w:szCs w:val="18"/>
          <w:rtl/>
        </w:rPr>
        <w:t>נהגינן</w:t>
      </w:r>
      <w:r w:rsidRPr="00325111">
        <w:rPr>
          <w:rFonts w:cs="Arial"/>
          <w:sz w:val="18"/>
          <w:szCs w:val="18"/>
          <w:rtl/>
        </w:rPr>
        <w:t xml:space="preserve"> </w:t>
      </w:r>
      <w:r w:rsidRPr="00325111">
        <w:rPr>
          <w:rFonts w:cs="Arial" w:hint="cs"/>
          <w:sz w:val="18"/>
          <w:szCs w:val="18"/>
          <w:rtl/>
        </w:rPr>
        <w:t>לכתוב</w:t>
      </w:r>
      <w:r w:rsidRPr="00325111">
        <w:rPr>
          <w:rFonts w:cs="Arial"/>
          <w:sz w:val="18"/>
          <w:szCs w:val="18"/>
          <w:rtl/>
        </w:rPr>
        <w:t xml:space="preserve">: </w:t>
      </w:r>
      <w:r w:rsidRPr="00325111">
        <w:rPr>
          <w:rFonts w:cs="Arial" w:hint="cs"/>
          <w:sz w:val="18"/>
          <w:szCs w:val="18"/>
          <w:rtl/>
        </w:rPr>
        <w:t>וכל</w:t>
      </w:r>
      <w:r w:rsidRPr="00325111">
        <w:rPr>
          <w:rFonts w:cs="Arial"/>
          <w:sz w:val="18"/>
          <w:szCs w:val="18"/>
          <w:rtl/>
        </w:rPr>
        <w:t xml:space="preserve"> </w:t>
      </w:r>
      <w:r w:rsidRPr="00325111">
        <w:rPr>
          <w:rFonts w:cs="Arial" w:hint="cs"/>
          <w:sz w:val="18"/>
          <w:szCs w:val="18"/>
          <w:rtl/>
        </w:rPr>
        <w:t>שום</w:t>
      </w:r>
      <w:r w:rsidRPr="00325111">
        <w:rPr>
          <w:rFonts w:cs="Arial"/>
          <w:sz w:val="18"/>
          <w:szCs w:val="18"/>
          <w:rtl/>
        </w:rPr>
        <w:t xml:space="preserve"> </w:t>
      </w:r>
      <w:r w:rsidRPr="00325111">
        <w:rPr>
          <w:rFonts w:cs="Arial" w:hint="cs"/>
          <w:sz w:val="18"/>
          <w:szCs w:val="18"/>
          <w:rtl/>
        </w:rPr>
        <w:t>דאית</w:t>
      </w:r>
      <w:r w:rsidRPr="00325111">
        <w:rPr>
          <w:rFonts w:cs="Arial"/>
          <w:sz w:val="18"/>
          <w:szCs w:val="18"/>
          <w:rtl/>
        </w:rPr>
        <w:t xml:space="preserve"> </w:t>
      </w:r>
      <w:r w:rsidRPr="00325111">
        <w:rPr>
          <w:rFonts w:cs="Arial" w:hint="cs"/>
          <w:sz w:val="18"/>
          <w:szCs w:val="18"/>
          <w:rtl/>
        </w:rPr>
        <w:t>לי</w:t>
      </w:r>
      <w:r w:rsidRPr="00325111">
        <w:rPr>
          <w:rFonts w:cs="Arial"/>
          <w:sz w:val="18"/>
          <w:szCs w:val="18"/>
          <w:rtl/>
        </w:rPr>
        <w:t xml:space="preserve"> </w:t>
      </w:r>
      <w:r w:rsidRPr="00325111">
        <w:rPr>
          <w:rFonts w:cs="Arial" w:hint="cs"/>
          <w:sz w:val="18"/>
          <w:szCs w:val="18"/>
          <w:rtl/>
        </w:rPr>
        <w:t>ולאתרי</w:t>
      </w:r>
      <w:r w:rsidRPr="00325111">
        <w:rPr>
          <w:rFonts w:cs="Arial"/>
          <w:sz w:val="18"/>
          <w:szCs w:val="18"/>
          <w:rtl/>
        </w:rPr>
        <w:t xml:space="preserve">, </w:t>
      </w:r>
      <w:r w:rsidRPr="00325111">
        <w:rPr>
          <w:rFonts w:cs="Arial" w:hint="cs"/>
          <w:sz w:val="18"/>
          <w:szCs w:val="18"/>
          <w:rtl/>
        </w:rPr>
        <w:t>אלא</w:t>
      </w:r>
      <w:r w:rsidRPr="00325111">
        <w:rPr>
          <w:rFonts w:cs="Arial"/>
          <w:sz w:val="18"/>
          <w:szCs w:val="18"/>
          <w:rtl/>
        </w:rPr>
        <w:t xml:space="preserve"> </w:t>
      </w:r>
      <w:r w:rsidRPr="00325111">
        <w:rPr>
          <w:rFonts w:cs="Arial" w:hint="cs"/>
          <w:sz w:val="18"/>
          <w:szCs w:val="18"/>
          <w:rtl/>
        </w:rPr>
        <w:t>אם</w:t>
      </w:r>
      <w:r w:rsidRPr="00325111">
        <w:rPr>
          <w:rFonts w:cs="Arial"/>
          <w:sz w:val="18"/>
          <w:szCs w:val="18"/>
          <w:rtl/>
        </w:rPr>
        <w:t xml:space="preserve"> </w:t>
      </w:r>
      <w:r w:rsidRPr="00325111">
        <w:rPr>
          <w:rFonts w:cs="Arial" w:hint="cs"/>
          <w:sz w:val="18"/>
          <w:szCs w:val="18"/>
          <w:rtl/>
        </w:rPr>
        <w:t>יש</w:t>
      </w:r>
      <w:r w:rsidRPr="00325111">
        <w:rPr>
          <w:rFonts w:cs="Arial"/>
          <w:sz w:val="18"/>
          <w:szCs w:val="18"/>
          <w:rtl/>
        </w:rPr>
        <w:t xml:space="preserve"> </w:t>
      </w:r>
      <w:r w:rsidRPr="00325111">
        <w:rPr>
          <w:rFonts w:cs="Arial" w:hint="cs"/>
          <w:sz w:val="18"/>
          <w:szCs w:val="18"/>
          <w:rtl/>
        </w:rPr>
        <w:t>לעיר</w:t>
      </w:r>
      <w:r w:rsidRPr="00325111">
        <w:rPr>
          <w:rFonts w:cs="Arial"/>
          <w:sz w:val="18"/>
          <w:szCs w:val="18"/>
          <w:rtl/>
        </w:rPr>
        <w:t xml:space="preserve"> </w:t>
      </w:r>
      <w:r>
        <w:rPr>
          <w:rFonts w:cs="Arial" w:hint="cs"/>
          <w:sz w:val="18"/>
          <w:szCs w:val="18"/>
          <w:rtl/>
        </w:rPr>
        <w:t>שני שמות</w:t>
      </w:r>
      <w:r w:rsidRPr="00325111">
        <w:rPr>
          <w:rFonts w:cs="Arial"/>
          <w:sz w:val="18"/>
          <w:szCs w:val="18"/>
          <w:rtl/>
        </w:rPr>
        <w:t xml:space="preserve"> </w:t>
      </w:r>
      <w:r w:rsidRPr="00325111">
        <w:rPr>
          <w:rFonts w:cs="Arial" w:hint="cs"/>
          <w:sz w:val="18"/>
          <w:szCs w:val="18"/>
          <w:rtl/>
        </w:rPr>
        <w:t>כותבין</w:t>
      </w:r>
      <w:r w:rsidRPr="00325111">
        <w:rPr>
          <w:rFonts w:cs="Arial"/>
          <w:sz w:val="18"/>
          <w:szCs w:val="18"/>
          <w:rtl/>
        </w:rPr>
        <w:t xml:space="preserve">: </w:t>
      </w:r>
      <w:r w:rsidRPr="00325111">
        <w:rPr>
          <w:rFonts w:cs="Arial" w:hint="cs"/>
          <w:sz w:val="18"/>
          <w:szCs w:val="18"/>
          <w:rtl/>
        </w:rPr>
        <w:t>מתא</w:t>
      </w:r>
      <w:r w:rsidRPr="00325111">
        <w:rPr>
          <w:rFonts w:cs="Arial"/>
          <w:sz w:val="18"/>
          <w:szCs w:val="18"/>
          <w:rtl/>
        </w:rPr>
        <w:t xml:space="preserve"> </w:t>
      </w:r>
      <w:r w:rsidRPr="00325111">
        <w:rPr>
          <w:rFonts w:cs="Arial" w:hint="cs"/>
          <w:sz w:val="18"/>
          <w:szCs w:val="18"/>
          <w:rtl/>
        </w:rPr>
        <w:t>פלונית</w:t>
      </w:r>
      <w:r w:rsidRPr="00325111">
        <w:rPr>
          <w:rFonts w:cs="Arial"/>
          <w:sz w:val="18"/>
          <w:szCs w:val="18"/>
          <w:rtl/>
        </w:rPr>
        <w:t xml:space="preserve"> </w:t>
      </w:r>
      <w:r w:rsidRPr="00325111">
        <w:rPr>
          <w:rFonts w:cs="Arial" w:hint="cs"/>
          <w:sz w:val="18"/>
          <w:szCs w:val="18"/>
          <w:rtl/>
        </w:rPr>
        <w:t>דמתקריא</w:t>
      </w:r>
      <w:r w:rsidRPr="00325111">
        <w:rPr>
          <w:rFonts w:cs="Arial"/>
          <w:sz w:val="18"/>
          <w:szCs w:val="18"/>
          <w:rtl/>
        </w:rPr>
        <w:t xml:space="preserve"> </w:t>
      </w:r>
      <w:r w:rsidRPr="00325111">
        <w:rPr>
          <w:rFonts w:cs="Arial" w:hint="cs"/>
          <w:sz w:val="18"/>
          <w:szCs w:val="18"/>
          <w:rtl/>
        </w:rPr>
        <w:t>פלונית</w:t>
      </w:r>
      <w:r w:rsidRPr="00325111">
        <w:rPr>
          <w:rFonts w:cs="Arial"/>
          <w:sz w:val="18"/>
          <w:szCs w:val="18"/>
          <w:rtl/>
        </w:rPr>
        <w:t xml:space="preserve"> </w:t>
      </w:r>
      <w:r w:rsidRPr="00325111">
        <w:rPr>
          <w:rFonts w:cs="Arial" w:hint="cs"/>
          <w:sz w:val="18"/>
          <w:szCs w:val="18"/>
          <w:rtl/>
        </w:rPr>
        <w:t>או</w:t>
      </w:r>
      <w:r w:rsidRPr="00325111">
        <w:rPr>
          <w:rFonts w:cs="Arial"/>
          <w:sz w:val="18"/>
          <w:szCs w:val="18"/>
          <w:rtl/>
        </w:rPr>
        <w:t xml:space="preserve"> </w:t>
      </w:r>
      <w:r w:rsidRPr="00325111">
        <w:rPr>
          <w:rFonts w:cs="Arial" w:hint="cs"/>
          <w:sz w:val="18"/>
          <w:szCs w:val="18"/>
          <w:rtl/>
        </w:rPr>
        <w:t>דמתקרית</w:t>
      </w:r>
      <w:r w:rsidRPr="00325111">
        <w:rPr>
          <w:rFonts w:cs="Arial"/>
          <w:sz w:val="18"/>
          <w:szCs w:val="18"/>
          <w:rtl/>
        </w:rPr>
        <w:t xml:space="preserve"> </w:t>
      </w:r>
      <w:r w:rsidRPr="00325111">
        <w:rPr>
          <w:rFonts w:cs="Arial" w:hint="cs"/>
          <w:sz w:val="18"/>
          <w:szCs w:val="18"/>
          <w:rtl/>
        </w:rPr>
        <w:t>פלונית</w:t>
      </w:r>
      <w:r w:rsidRPr="00325111">
        <w:rPr>
          <w:rFonts w:cs="Arial"/>
          <w:sz w:val="18"/>
          <w:szCs w:val="18"/>
          <w:rtl/>
        </w:rPr>
        <w:t xml:space="preserve"> (</w:t>
      </w:r>
      <w:r>
        <w:rPr>
          <w:rFonts w:cs="Arial" w:hint="cs"/>
          <w:sz w:val="18"/>
          <w:szCs w:val="18"/>
          <w:rtl/>
        </w:rPr>
        <w:t>תרוה"ד</w:t>
      </w:r>
      <w:r w:rsidRPr="00325111">
        <w:rPr>
          <w:rFonts w:cs="Arial"/>
          <w:sz w:val="18"/>
          <w:szCs w:val="18"/>
          <w:rtl/>
        </w:rPr>
        <w:t xml:space="preserve"> </w:t>
      </w:r>
      <w:r w:rsidRPr="00325111">
        <w:rPr>
          <w:rFonts w:cs="Arial" w:hint="cs"/>
          <w:sz w:val="18"/>
          <w:szCs w:val="18"/>
          <w:rtl/>
        </w:rPr>
        <w:t>סי</w:t>
      </w:r>
      <w:r w:rsidRPr="00325111">
        <w:rPr>
          <w:rFonts w:cs="Arial"/>
          <w:sz w:val="18"/>
          <w:szCs w:val="18"/>
          <w:rtl/>
        </w:rPr>
        <w:t xml:space="preserve">' </w:t>
      </w:r>
      <w:r w:rsidRPr="00325111">
        <w:rPr>
          <w:rFonts w:cs="Arial" w:hint="cs"/>
          <w:sz w:val="18"/>
          <w:szCs w:val="18"/>
          <w:rtl/>
        </w:rPr>
        <w:t>קפה</w:t>
      </w:r>
      <w:r w:rsidRPr="00325111">
        <w:rPr>
          <w:rFonts w:cs="Arial"/>
          <w:sz w:val="18"/>
          <w:szCs w:val="18"/>
          <w:rtl/>
        </w:rPr>
        <w:t>)</w:t>
      </w:r>
      <w:r>
        <w:rPr>
          <w:rFonts w:cs="Arial" w:hint="cs"/>
          <w:sz w:val="18"/>
          <w:szCs w:val="18"/>
          <w:rtl/>
        </w:rPr>
        <w:t>,</w:t>
      </w:r>
      <w:r w:rsidRPr="00325111">
        <w:rPr>
          <w:rFonts w:cs="Arial"/>
          <w:sz w:val="18"/>
          <w:szCs w:val="18"/>
          <w:rtl/>
        </w:rPr>
        <w:t xml:space="preserve"> </w:t>
      </w:r>
      <w:r w:rsidRPr="00325111">
        <w:rPr>
          <w:rFonts w:cs="Arial" w:hint="cs"/>
          <w:sz w:val="18"/>
          <w:szCs w:val="18"/>
          <w:rtl/>
        </w:rPr>
        <w:t>וה</w:t>
      </w:r>
      <w:r w:rsidRPr="00325111">
        <w:rPr>
          <w:rFonts w:cs="Arial"/>
          <w:sz w:val="18"/>
          <w:szCs w:val="18"/>
          <w:rtl/>
        </w:rPr>
        <w:t>"</w:t>
      </w:r>
      <w:r w:rsidRPr="00325111">
        <w:rPr>
          <w:rFonts w:cs="Arial" w:hint="cs"/>
          <w:sz w:val="18"/>
          <w:szCs w:val="18"/>
          <w:rtl/>
        </w:rPr>
        <w:t>ה</w:t>
      </w:r>
      <w:r w:rsidRPr="00325111">
        <w:rPr>
          <w:rFonts w:cs="Arial"/>
          <w:sz w:val="18"/>
          <w:szCs w:val="18"/>
          <w:rtl/>
        </w:rPr>
        <w:t xml:space="preserve"> </w:t>
      </w:r>
      <w:r w:rsidRPr="00325111">
        <w:rPr>
          <w:rFonts w:cs="Arial" w:hint="cs"/>
          <w:sz w:val="18"/>
          <w:szCs w:val="18"/>
          <w:rtl/>
        </w:rPr>
        <w:t>אם</w:t>
      </w:r>
      <w:r w:rsidRPr="00325111">
        <w:rPr>
          <w:rFonts w:cs="Arial"/>
          <w:sz w:val="18"/>
          <w:szCs w:val="18"/>
          <w:rtl/>
        </w:rPr>
        <w:t xml:space="preserve"> </w:t>
      </w:r>
      <w:r w:rsidRPr="00325111">
        <w:rPr>
          <w:rFonts w:cs="Arial" w:hint="cs"/>
          <w:sz w:val="18"/>
          <w:szCs w:val="18"/>
          <w:rtl/>
        </w:rPr>
        <w:t>יש</w:t>
      </w:r>
      <w:r w:rsidRPr="00325111">
        <w:rPr>
          <w:rFonts w:cs="Arial"/>
          <w:sz w:val="18"/>
          <w:szCs w:val="18"/>
          <w:rtl/>
        </w:rPr>
        <w:t xml:space="preserve"> </w:t>
      </w:r>
      <w:r w:rsidRPr="00325111">
        <w:rPr>
          <w:rFonts w:cs="Arial" w:hint="cs"/>
          <w:sz w:val="18"/>
          <w:szCs w:val="18"/>
          <w:rtl/>
        </w:rPr>
        <w:t>לנהר</w:t>
      </w:r>
      <w:r w:rsidRPr="00325111">
        <w:rPr>
          <w:rFonts w:cs="Arial"/>
          <w:sz w:val="18"/>
          <w:szCs w:val="18"/>
          <w:rtl/>
        </w:rPr>
        <w:t xml:space="preserve"> </w:t>
      </w:r>
      <w:r w:rsidRPr="00325111">
        <w:rPr>
          <w:rFonts w:cs="Arial" w:hint="cs"/>
          <w:sz w:val="18"/>
          <w:szCs w:val="18"/>
          <w:rtl/>
        </w:rPr>
        <w:t>שני</w:t>
      </w:r>
      <w:r w:rsidRPr="00325111">
        <w:rPr>
          <w:rFonts w:cs="Arial"/>
          <w:sz w:val="18"/>
          <w:szCs w:val="18"/>
          <w:rtl/>
        </w:rPr>
        <w:t xml:space="preserve"> </w:t>
      </w:r>
      <w:r w:rsidRPr="00325111">
        <w:rPr>
          <w:rFonts w:cs="Arial" w:hint="cs"/>
          <w:sz w:val="18"/>
          <w:szCs w:val="18"/>
          <w:rtl/>
        </w:rPr>
        <w:t>שמות</w:t>
      </w:r>
      <w:r w:rsidRPr="00325111">
        <w:rPr>
          <w:rFonts w:cs="Arial"/>
          <w:sz w:val="18"/>
          <w:szCs w:val="18"/>
          <w:rtl/>
        </w:rPr>
        <w:t xml:space="preserve">. </w:t>
      </w:r>
      <w:r w:rsidRPr="00325111">
        <w:rPr>
          <w:rFonts w:cs="Arial" w:hint="cs"/>
          <w:sz w:val="18"/>
          <w:szCs w:val="18"/>
          <w:rtl/>
        </w:rPr>
        <w:t>ואם</w:t>
      </w:r>
      <w:r w:rsidRPr="00325111">
        <w:rPr>
          <w:rFonts w:cs="Arial"/>
          <w:sz w:val="18"/>
          <w:szCs w:val="18"/>
          <w:rtl/>
        </w:rPr>
        <w:t xml:space="preserve"> </w:t>
      </w:r>
      <w:r w:rsidRPr="00325111">
        <w:rPr>
          <w:rFonts w:cs="Arial" w:hint="cs"/>
          <w:sz w:val="18"/>
          <w:szCs w:val="18"/>
          <w:rtl/>
        </w:rPr>
        <w:t>יש</w:t>
      </w:r>
      <w:r w:rsidRPr="00325111">
        <w:rPr>
          <w:rFonts w:cs="Arial"/>
          <w:sz w:val="18"/>
          <w:szCs w:val="18"/>
          <w:rtl/>
        </w:rPr>
        <w:t xml:space="preserve"> </w:t>
      </w:r>
      <w:r w:rsidRPr="00325111">
        <w:rPr>
          <w:rFonts w:cs="Arial" w:hint="cs"/>
          <w:sz w:val="18"/>
          <w:szCs w:val="18"/>
          <w:rtl/>
        </w:rPr>
        <w:t>להן</w:t>
      </w:r>
      <w:r w:rsidRPr="00325111">
        <w:rPr>
          <w:rFonts w:cs="Arial"/>
          <w:sz w:val="18"/>
          <w:szCs w:val="18"/>
          <w:rtl/>
        </w:rPr>
        <w:t xml:space="preserve"> </w:t>
      </w:r>
      <w:r w:rsidRPr="00325111">
        <w:rPr>
          <w:rFonts w:cs="Arial" w:hint="cs"/>
          <w:sz w:val="18"/>
          <w:szCs w:val="18"/>
          <w:rtl/>
        </w:rPr>
        <w:t>שם</w:t>
      </w:r>
      <w:r w:rsidRPr="00325111">
        <w:rPr>
          <w:rFonts w:cs="Arial"/>
          <w:sz w:val="18"/>
          <w:szCs w:val="18"/>
          <w:rtl/>
        </w:rPr>
        <w:t xml:space="preserve"> </w:t>
      </w:r>
      <w:r w:rsidRPr="00325111">
        <w:rPr>
          <w:rFonts w:cs="Arial" w:hint="cs"/>
          <w:sz w:val="18"/>
          <w:szCs w:val="18"/>
          <w:rtl/>
        </w:rPr>
        <w:t>אחד</w:t>
      </w:r>
      <w:r w:rsidRPr="00325111">
        <w:rPr>
          <w:rFonts w:cs="Arial"/>
          <w:sz w:val="18"/>
          <w:szCs w:val="18"/>
          <w:rtl/>
        </w:rPr>
        <w:t xml:space="preserve"> </w:t>
      </w:r>
      <w:r w:rsidRPr="00325111">
        <w:rPr>
          <w:rFonts w:cs="Arial" w:hint="cs"/>
          <w:sz w:val="18"/>
          <w:szCs w:val="18"/>
          <w:rtl/>
        </w:rPr>
        <w:t>במקום</w:t>
      </w:r>
      <w:r w:rsidRPr="00325111">
        <w:rPr>
          <w:rFonts w:cs="Arial"/>
          <w:sz w:val="18"/>
          <w:szCs w:val="18"/>
          <w:rtl/>
        </w:rPr>
        <w:t xml:space="preserve"> </w:t>
      </w:r>
      <w:r w:rsidRPr="00325111">
        <w:rPr>
          <w:rFonts w:cs="Arial" w:hint="cs"/>
          <w:sz w:val="18"/>
          <w:szCs w:val="18"/>
          <w:rtl/>
        </w:rPr>
        <w:t>הכתיבה</w:t>
      </w:r>
      <w:r w:rsidRPr="00325111">
        <w:rPr>
          <w:rFonts w:cs="Arial"/>
          <w:sz w:val="18"/>
          <w:szCs w:val="18"/>
          <w:rtl/>
        </w:rPr>
        <w:t xml:space="preserve"> </w:t>
      </w:r>
      <w:r w:rsidRPr="00325111">
        <w:rPr>
          <w:rFonts w:cs="Arial" w:hint="cs"/>
          <w:sz w:val="18"/>
          <w:szCs w:val="18"/>
          <w:rtl/>
        </w:rPr>
        <w:t>ושם</w:t>
      </w:r>
      <w:r w:rsidRPr="00325111">
        <w:rPr>
          <w:rFonts w:cs="Arial"/>
          <w:sz w:val="18"/>
          <w:szCs w:val="18"/>
          <w:rtl/>
        </w:rPr>
        <w:t xml:space="preserve"> </w:t>
      </w:r>
      <w:r w:rsidRPr="00325111">
        <w:rPr>
          <w:rFonts w:cs="Arial" w:hint="cs"/>
          <w:sz w:val="18"/>
          <w:szCs w:val="18"/>
          <w:rtl/>
        </w:rPr>
        <w:t>אחר</w:t>
      </w:r>
      <w:r w:rsidRPr="00325111">
        <w:rPr>
          <w:rFonts w:cs="Arial"/>
          <w:sz w:val="18"/>
          <w:szCs w:val="18"/>
          <w:rtl/>
        </w:rPr>
        <w:t xml:space="preserve"> </w:t>
      </w:r>
      <w:r w:rsidRPr="00325111">
        <w:rPr>
          <w:rFonts w:cs="Arial" w:hint="cs"/>
          <w:sz w:val="18"/>
          <w:szCs w:val="18"/>
          <w:rtl/>
        </w:rPr>
        <w:t>במקום</w:t>
      </w:r>
      <w:r w:rsidRPr="00325111">
        <w:rPr>
          <w:rFonts w:cs="Arial"/>
          <w:sz w:val="18"/>
          <w:szCs w:val="18"/>
          <w:rtl/>
        </w:rPr>
        <w:t xml:space="preserve"> </w:t>
      </w:r>
      <w:r w:rsidRPr="00325111">
        <w:rPr>
          <w:rFonts w:cs="Arial" w:hint="cs"/>
          <w:sz w:val="18"/>
          <w:szCs w:val="18"/>
          <w:rtl/>
        </w:rPr>
        <w:t>הנתינה</w:t>
      </w:r>
      <w:r w:rsidRPr="00325111">
        <w:rPr>
          <w:rFonts w:cs="Arial"/>
          <w:sz w:val="18"/>
          <w:szCs w:val="18"/>
          <w:rtl/>
        </w:rPr>
        <w:t xml:space="preserve">, </w:t>
      </w:r>
      <w:r w:rsidRPr="00325111">
        <w:rPr>
          <w:rFonts w:cs="Arial" w:hint="cs"/>
          <w:sz w:val="18"/>
          <w:szCs w:val="18"/>
          <w:rtl/>
        </w:rPr>
        <w:t>דינן</w:t>
      </w:r>
      <w:r w:rsidRPr="00325111">
        <w:rPr>
          <w:rFonts w:cs="Arial"/>
          <w:sz w:val="18"/>
          <w:szCs w:val="18"/>
          <w:rtl/>
        </w:rPr>
        <w:t xml:space="preserve"> </w:t>
      </w:r>
      <w:r w:rsidRPr="00325111">
        <w:rPr>
          <w:rFonts w:cs="Arial" w:hint="cs"/>
          <w:sz w:val="18"/>
          <w:szCs w:val="18"/>
          <w:rtl/>
        </w:rPr>
        <w:t>כמו</w:t>
      </w:r>
      <w:r w:rsidRPr="00325111">
        <w:rPr>
          <w:rFonts w:cs="Arial"/>
          <w:sz w:val="18"/>
          <w:szCs w:val="18"/>
          <w:rtl/>
        </w:rPr>
        <w:t xml:space="preserve"> </w:t>
      </w:r>
      <w:r w:rsidRPr="00325111">
        <w:rPr>
          <w:rFonts w:cs="Arial" w:hint="cs"/>
          <w:sz w:val="18"/>
          <w:szCs w:val="18"/>
          <w:rtl/>
        </w:rPr>
        <w:t>בשמות</w:t>
      </w:r>
      <w:r w:rsidRPr="00325111">
        <w:rPr>
          <w:rFonts w:cs="Arial"/>
          <w:sz w:val="18"/>
          <w:szCs w:val="18"/>
          <w:rtl/>
        </w:rPr>
        <w:t xml:space="preserve"> </w:t>
      </w:r>
      <w:r w:rsidRPr="00325111">
        <w:rPr>
          <w:rFonts w:cs="Arial" w:hint="cs"/>
          <w:sz w:val="18"/>
          <w:szCs w:val="18"/>
          <w:rtl/>
        </w:rPr>
        <w:t>הבעל</w:t>
      </w:r>
      <w:r>
        <w:rPr>
          <w:rStyle w:val="a7"/>
          <w:rFonts w:cs="Arial"/>
          <w:sz w:val="18"/>
          <w:szCs w:val="18"/>
          <w:rtl/>
        </w:rPr>
        <w:footnoteReference w:id="994"/>
      </w:r>
      <w:r w:rsidRPr="00325111">
        <w:rPr>
          <w:rFonts w:cs="Arial"/>
          <w:sz w:val="18"/>
          <w:szCs w:val="18"/>
          <w:rtl/>
        </w:rPr>
        <w:t xml:space="preserve"> (</w:t>
      </w:r>
      <w:r w:rsidRPr="00325111">
        <w:rPr>
          <w:rFonts w:cs="Arial" w:hint="cs"/>
          <w:sz w:val="18"/>
          <w:szCs w:val="18"/>
          <w:rtl/>
        </w:rPr>
        <w:t>רא</w:t>
      </w:r>
      <w:r w:rsidRPr="00325111">
        <w:rPr>
          <w:rFonts w:cs="Arial"/>
          <w:sz w:val="18"/>
          <w:szCs w:val="18"/>
          <w:rtl/>
        </w:rPr>
        <w:t>"</w:t>
      </w:r>
      <w:r w:rsidRPr="00325111">
        <w:rPr>
          <w:rFonts w:cs="Arial" w:hint="cs"/>
          <w:sz w:val="18"/>
          <w:szCs w:val="18"/>
          <w:rtl/>
        </w:rPr>
        <w:t>ש</w:t>
      </w:r>
      <w:r w:rsidRPr="00325111">
        <w:rPr>
          <w:rFonts w:cs="Arial"/>
          <w:sz w:val="18"/>
          <w:szCs w:val="18"/>
          <w:rtl/>
        </w:rPr>
        <w:t xml:space="preserve"> </w:t>
      </w:r>
      <w:r w:rsidRPr="00325111">
        <w:rPr>
          <w:rFonts w:cs="Arial" w:hint="cs"/>
          <w:sz w:val="18"/>
          <w:szCs w:val="18"/>
          <w:rtl/>
        </w:rPr>
        <w:t>ור</w:t>
      </w:r>
      <w:r w:rsidRPr="00325111">
        <w:rPr>
          <w:rFonts w:cs="Arial"/>
          <w:sz w:val="18"/>
          <w:szCs w:val="18"/>
          <w:rtl/>
        </w:rPr>
        <w:t>"</w:t>
      </w:r>
      <w:r w:rsidRPr="00325111">
        <w:rPr>
          <w:rFonts w:cs="Arial" w:hint="cs"/>
          <w:sz w:val="18"/>
          <w:szCs w:val="18"/>
          <w:rtl/>
        </w:rPr>
        <w:t>ן</w:t>
      </w:r>
      <w:r w:rsidRPr="00325111">
        <w:rPr>
          <w:rFonts w:cs="Arial"/>
          <w:sz w:val="18"/>
          <w:szCs w:val="18"/>
          <w:rtl/>
        </w:rPr>
        <w:t xml:space="preserve">), </w:t>
      </w:r>
      <w:r w:rsidRPr="00325111">
        <w:rPr>
          <w:rFonts w:cs="Arial" w:hint="cs"/>
          <w:sz w:val="18"/>
          <w:szCs w:val="18"/>
          <w:rtl/>
        </w:rPr>
        <w:t>וע</w:t>
      </w:r>
      <w:r w:rsidRPr="00325111">
        <w:rPr>
          <w:rFonts w:cs="Arial"/>
          <w:sz w:val="18"/>
          <w:szCs w:val="18"/>
          <w:rtl/>
        </w:rPr>
        <w:t>"</w:t>
      </w:r>
      <w:r w:rsidRPr="00325111">
        <w:rPr>
          <w:rFonts w:cs="Arial" w:hint="cs"/>
          <w:sz w:val="18"/>
          <w:szCs w:val="18"/>
          <w:rtl/>
        </w:rPr>
        <w:t>ל</w:t>
      </w:r>
      <w:r w:rsidRPr="00325111">
        <w:rPr>
          <w:rFonts w:cs="Arial"/>
          <w:sz w:val="18"/>
          <w:szCs w:val="18"/>
          <w:rtl/>
        </w:rPr>
        <w:t xml:space="preserve"> </w:t>
      </w:r>
      <w:r w:rsidRPr="00325111">
        <w:rPr>
          <w:rFonts w:cs="Arial" w:hint="cs"/>
          <w:sz w:val="18"/>
          <w:szCs w:val="18"/>
          <w:rtl/>
        </w:rPr>
        <w:t>סי</w:t>
      </w:r>
      <w:r w:rsidRPr="00325111">
        <w:rPr>
          <w:rFonts w:cs="Arial"/>
          <w:sz w:val="18"/>
          <w:szCs w:val="18"/>
          <w:rtl/>
        </w:rPr>
        <w:t xml:space="preserve">' </w:t>
      </w:r>
      <w:r w:rsidRPr="00325111">
        <w:rPr>
          <w:rFonts w:cs="Arial" w:hint="cs"/>
          <w:sz w:val="18"/>
          <w:szCs w:val="18"/>
          <w:rtl/>
        </w:rPr>
        <w:t>קכ</w:t>
      </w:r>
      <w:r w:rsidRPr="00325111">
        <w:rPr>
          <w:rFonts w:cs="Arial"/>
          <w:sz w:val="18"/>
          <w:szCs w:val="18"/>
          <w:rtl/>
        </w:rPr>
        <w:t>"</w:t>
      </w:r>
      <w:r w:rsidRPr="00325111">
        <w:rPr>
          <w:rFonts w:cs="Arial" w:hint="cs"/>
          <w:sz w:val="18"/>
          <w:szCs w:val="18"/>
          <w:rtl/>
        </w:rPr>
        <w:t>ט</w:t>
      </w:r>
      <w:r w:rsidRPr="00325111">
        <w:rPr>
          <w:rFonts w:cs="Arial"/>
          <w:sz w:val="18"/>
          <w:szCs w:val="18"/>
          <w:rtl/>
        </w:rPr>
        <w:t xml:space="preserve">. </w:t>
      </w:r>
      <w:r w:rsidRPr="00325111">
        <w:rPr>
          <w:rFonts w:cs="Arial" w:hint="cs"/>
          <w:sz w:val="18"/>
          <w:szCs w:val="18"/>
          <w:rtl/>
        </w:rPr>
        <w:t>ואם</w:t>
      </w:r>
      <w:r w:rsidRPr="00325111">
        <w:rPr>
          <w:rFonts w:cs="Arial"/>
          <w:sz w:val="18"/>
          <w:szCs w:val="18"/>
          <w:rtl/>
        </w:rPr>
        <w:t xml:space="preserve"> </w:t>
      </w:r>
      <w:r w:rsidRPr="00325111">
        <w:rPr>
          <w:rFonts w:cs="Arial" w:hint="cs"/>
          <w:sz w:val="18"/>
          <w:szCs w:val="18"/>
          <w:rtl/>
        </w:rPr>
        <w:t>יש</w:t>
      </w:r>
      <w:r w:rsidRPr="00325111">
        <w:rPr>
          <w:rFonts w:cs="Arial"/>
          <w:sz w:val="18"/>
          <w:szCs w:val="18"/>
          <w:rtl/>
        </w:rPr>
        <w:t xml:space="preserve"> </w:t>
      </w:r>
      <w:r w:rsidRPr="00325111">
        <w:rPr>
          <w:rFonts w:cs="Arial" w:hint="cs"/>
          <w:sz w:val="18"/>
          <w:szCs w:val="18"/>
          <w:rtl/>
        </w:rPr>
        <w:t>לעיר</w:t>
      </w:r>
      <w:r w:rsidRPr="00325111">
        <w:rPr>
          <w:rFonts w:cs="Arial"/>
          <w:sz w:val="18"/>
          <w:szCs w:val="18"/>
          <w:rtl/>
        </w:rPr>
        <w:t xml:space="preserve"> </w:t>
      </w:r>
      <w:r>
        <w:rPr>
          <w:rFonts w:cs="Arial" w:hint="cs"/>
          <w:sz w:val="18"/>
          <w:szCs w:val="18"/>
          <w:rtl/>
        </w:rPr>
        <w:t>שני שמות</w:t>
      </w:r>
      <w:r w:rsidRPr="00325111">
        <w:rPr>
          <w:rFonts w:cs="Arial"/>
          <w:sz w:val="18"/>
          <w:szCs w:val="18"/>
          <w:rtl/>
        </w:rPr>
        <w:t xml:space="preserve">, </w:t>
      </w:r>
      <w:r w:rsidRPr="00325111">
        <w:rPr>
          <w:rFonts w:cs="Arial" w:hint="cs"/>
          <w:sz w:val="18"/>
          <w:szCs w:val="18"/>
          <w:rtl/>
        </w:rPr>
        <w:t>א</w:t>
      </w:r>
      <w:r w:rsidRPr="00325111">
        <w:rPr>
          <w:rFonts w:cs="Arial"/>
          <w:sz w:val="18"/>
          <w:szCs w:val="18"/>
          <w:rtl/>
        </w:rPr>
        <w:t xml:space="preserve">' </w:t>
      </w:r>
      <w:r w:rsidRPr="00325111">
        <w:rPr>
          <w:rFonts w:cs="Arial" w:hint="cs"/>
          <w:sz w:val="18"/>
          <w:szCs w:val="18"/>
          <w:rtl/>
        </w:rPr>
        <w:t>נקרא</w:t>
      </w:r>
      <w:r w:rsidRPr="00325111">
        <w:rPr>
          <w:rFonts w:cs="Arial"/>
          <w:sz w:val="18"/>
          <w:szCs w:val="18"/>
          <w:rtl/>
        </w:rPr>
        <w:t xml:space="preserve"> </w:t>
      </w:r>
      <w:r w:rsidRPr="00325111">
        <w:rPr>
          <w:rFonts w:cs="Arial" w:hint="cs"/>
          <w:sz w:val="18"/>
          <w:szCs w:val="18"/>
          <w:rtl/>
        </w:rPr>
        <w:t>כפי</w:t>
      </w:r>
      <w:r w:rsidRPr="00325111">
        <w:rPr>
          <w:rFonts w:cs="Arial"/>
          <w:sz w:val="18"/>
          <w:szCs w:val="18"/>
          <w:rtl/>
        </w:rPr>
        <w:t xml:space="preserve"> </w:t>
      </w:r>
      <w:r w:rsidRPr="00325111">
        <w:rPr>
          <w:rFonts w:cs="Arial" w:hint="cs"/>
          <w:sz w:val="18"/>
          <w:szCs w:val="18"/>
          <w:rtl/>
        </w:rPr>
        <w:t>ישראל</w:t>
      </w:r>
      <w:r w:rsidRPr="00325111">
        <w:rPr>
          <w:rFonts w:cs="Arial"/>
          <w:sz w:val="18"/>
          <w:szCs w:val="18"/>
          <w:rtl/>
        </w:rPr>
        <w:t xml:space="preserve"> </w:t>
      </w:r>
      <w:r w:rsidRPr="00325111">
        <w:rPr>
          <w:rFonts w:cs="Arial" w:hint="cs"/>
          <w:sz w:val="18"/>
          <w:szCs w:val="18"/>
          <w:rtl/>
        </w:rPr>
        <w:t>ואחד</w:t>
      </w:r>
      <w:r w:rsidRPr="00325111">
        <w:rPr>
          <w:rFonts w:cs="Arial"/>
          <w:sz w:val="18"/>
          <w:szCs w:val="18"/>
          <w:rtl/>
        </w:rPr>
        <w:t xml:space="preserve"> </w:t>
      </w:r>
      <w:r w:rsidRPr="00325111">
        <w:rPr>
          <w:rFonts w:cs="Arial" w:hint="cs"/>
          <w:sz w:val="18"/>
          <w:szCs w:val="18"/>
          <w:rtl/>
        </w:rPr>
        <w:t>בלשון</w:t>
      </w:r>
      <w:r w:rsidRPr="00325111">
        <w:rPr>
          <w:rFonts w:cs="Arial"/>
          <w:sz w:val="18"/>
          <w:szCs w:val="18"/>
          <w:rtl/>
        </w:rPr>
        <w:t xml:space="preserve"> </w:t>
      </w:r>
      <w:r>
        <w:rPr>
          <w:rFonts w:cs="Arial" w:hint="cs"/>
          <w:sz w:val="18"/>
          <w:szCs w:val="18"/>
          <w:rtl/>
        </w:rPr>
        <w:t>גוים</w:t>
      </w:r>
      <w:r w:rsidRPr="00325111">
        <w:rPr>
          <w:rFonts w:cs="Arial"/>
          <w:sz w:val="18"/>
          <w:szCs w:val="18"/>
          <w:rtl/>
        </w:rPr>
        <w:t xml:space="preserve">, </w:t>
      </w:r>
      <w:r w:rsidRPr="00325111">
        <w:rPr>
          <w:rFonts w:cs="Arial" w:hint="cs"/>
          <w:sz w:val="18"/>
          <w:szCs w:val="18"/>
          <w:rtl/>
        </w:rPr>
        <w:t>שם</w:t>
      </w:r>
      <w:r w:rsidRPr="00325111">
        <w:rPr>
          <w:rFonts w:cs="Arial"/>
          <w:sz w:val="18"/>
          <w:szCs w:val="18"/>
          <w:rtl/>
        </w:rPr>
        <w:t xml:space="preserve"> </w:t>
      </w:r>
      <w:r w:rsidRPr="00325111">
        <w:rPr>
          <w:rFonts w:cs="Arial" w:hint="cs"/>
          <w:sz w:val="18"/>
          <w:szCs w:val="18"/>
          <w:rtl/>
        </w:rPr>
        <w:t>שקורים</w:t>
      </w:r>
      <w:r w:rsidRPr="00325111">
        <w:rPr>
          <w:rFonts w:cs="Arial"/>
          <w:sz w:val="18"/>
          <w:szCs w:val="18"/>
          <w:rtl/>
        </w:rPr>
        <w:t xml:space="preserve"> </w:t>
      </w:r>
      <w:r w:rsidRPr="00325111">
        <w:rPr>
          <w:rFonts w:cs="Arial" w:hint="cs"/>
          <w:sz w:val="18"/>
          <w:szCs w:val="18"/>
          <w:rtl/>
        </w:rPr>
        <w:t>לו</w:t>
      </w:r>
      <w:r w:rsidRPr="00325111">
        <w:rPr>
          <w:rFonts w:cs="Arial"/>
          <w:sz w:val="18"/>
          <w:szCs w:val="18"/>
          <w:rtl/>
        </w:rPr>
        <w:t xml:space="preserve"> </w:t>
      </w:r>
      <w:r w:rsidRPr="00325111">
        <w:rPr>
          <w:rFonts w:cs="Arial" w:hint="cs"/>
          <w:sz w:val="18"/>
          <w:szCs w:val="18"/>
          <w:rtl/>
        </w:rPr>
        <w:t>ישראל</w:t>
      </w:r>
      <w:r w:rsidRPr="00325111">
        <w:rPr>
          <w:rFonts w:cs="Arial"/>
          <w:sz w:val="18"/>
          <w:szCs w:val="18"/>
          <w:rtl/>
        </w:rPr>
        <w:t xml:space="preserve"> </w:t>
      </w:r>
      <w:r w:rsidRPr="00325111">
        <w:rPr>
          <w:rFonts w:cs="Arial" w:hint="cs"/>
          <w:sz w:val="18"/>
          <w:szCs w:val="18"/>
          <w:rtl/>
        </w:rPr>
        <w:t>עיקר</w:t>
      </w:r>
      <w:r w:rsidRPr="00325111">
        <w:rPr>
          <w:rFonts w:cs="Arial"/>
          <w:sz w:val="18"/>
          <w:szCs w:val="18"/>
          <w:rtl/>
        </w:rPr>
        <w:t xml:space="preserve">, </w:t>
      </w:r>
      <w:r w:rsidRPr="00325111">
        <w:rPr>
          <w:rFonts w:cs="Arial" w:hint="cs"/>
          <w:sz w:val="18"/>
          <w:szCs w:val="18"/>
          <w:rtl/>
        </w:rPr>
        <w:t>וכותבין</w:t>
      </w:r>
      <w:r w:rsidRPr="00325111">
        <w:rPr>
          <w:rFonts w:cs="Arial"/>
          <w:sz w:val="18"/>
          <w:szCs w:val="18"/>
          <w:rtl/>
        </w:rPr>
        <w:t xml:space="preserve"> </w:t>
      </w:r>
      <w:r w:rsidRPr="00325111">
        <w:rPr>
          <w:rFonts w:cs="Arial" w:hint="cs"/>
          <w:sz w:val="18"/>
          <w:szCs w:val="18"/>
          <w:rtl/>
        </w:rPr>
        <w:t>כפי</w:t>
      </w:r>
      <w:r w:rsidRPr="00325111">
        <w:rPr>
          <w:rFonts w:cs="Arial"/>
          <w:sz w:val="18"/>
          <w:szCs w:val="18"/>
          <w:rtl/>
        </w:rPr>
        <w:t xml:space="preserve"> </w:t>
      </w:r>
      <w:r w:rsidRPr="00325111">
        <w:rPr>
          <w:rFonts w:cs="Arial" w:hint="cs"/>
          <w:sz w:val="18"/>
          <w:szCs w:val="18"/>
          <w:rtl/>
        </w:rPr>
        <w:t>משמעות</w:t>
      </w:r>
      <w:r w:rsidRPr="00325111">
        <w:rPr>
          <w:rFonts w:cs="Arial"/>
          <w:sz w:val="18"/>
          <w:szCs w:val="18"/>
          <w:rtl/>
        </w:rPr>
        <w:t xml:space="preserve"> </w:t>
      </w:r>
      <w:r w:rsidRPr="00325111">
        <w:rPr>
          <w:rFonts w:cs="Arial" w:hint="cs"/>
          <w:sz w:val="18"/>
          <w:szCs w:val="18"/>
          <w:rtl/>
        </w:rPr>
        <w:t>לשונם</w:t>
      </w:r>
      <w:r w:rsidRPr="00325111">
        <w:rPr>
          <w:rFonts w:cs="Arial"/>
          <w:sz w:val="18"/>
          <w:szCs w:val="18"/>
          <w:rtl/>
        </w:rPr>
        <w:t xml:space="preserve"> (</w:t>
      </w:r>
      <w:r>
        <w:rPr>
          <w:rFonts w:cs="Arial" w:hint="cs"/>
          <w:sz w:val="18"/>
          <w:szCs w:val="18"/>
          <w:rtl/>
        </w:rPr>
        <w:t>תרוה"ד</w:t>
      </w:r>
      <w:r w:rsidRPr="00325111">
        <w:rPr>
          <w:rFonts w:cs="Arial"/>
          <w:sz w:val="18"/>
          <w:szCs w:val="18"/>
          <w:rtl/>
        </w:rPr>
        <w:t xml:space="preserve"> </w:t>
      </w:r>
      <w:r w:rsidRPr="00325111">
        <w:rPr>
          <w:rFonts w:cs="Arial" w:hint="cs"/>
          <w:sz w:val="18"/>
          <w:szCs w:val="18"/>
          <w:rtl/>
        </w:rPr>
        <w:t>ומהרי</w:t>
      </w:r>
      <w:r w:rsidRPr="00325111">
        <w:rPr>
          <w:rFonts w:cs="Arial"/>
          <w:sz w:val="18"/>
          <w:szCs w:val="18"/>
          <w:rtl/>
        </w:rPr>
        <w:t>"</w:t>
      </w:r>
      <w:r w:rsidRPr="00325111">
        <w:rPr>
          <w:rFonts w:cs="Arial" w:hint="cs"/>
          <w:sz w:val="18"/>
          <w:szCs w:val="18"/>
          <w:rtl/>
        </w:rPr>
        <w:t>ק</w:t>
      </w:r>
      <w:r w:rsidRPr="00325111">
        <w:rPr>
          <w:rFonts w:cs="Arial"/>
          <w:sz w:val="18"/>
          <w:szCs w:val="18"/>
          <w:rtl/>
        </w:rPr>
        <w:t xml:space="preserve">). </w:t>
      </w:r>
      <w:r w:rsidRPr="00325111">
        <w:rPr>
          <w:rFonts w:cs="Arial" w:hint="cs"/>
          <w:sz w:val="18"/>
          <w:szCs w:val="18"/>
          <w:rtl/>
        </w:rPr>
        <w:t>ואם</w:t>
      </w:r>
      <w:r w:rsidRPr="00325111">
        <w:rPr>
          <w:rFonts w:cs="Arial"/>
          <w:sz w:val="18"/>
          <w:szCs w:val="18"/>
          <w:rtl/>
        </w:rPr>
        <w:t xml:space="preserve"> </w:t>
      </w:r>
      <w:r w:rsidRPr="00325111">
        <w:rPr>
          <w:rFonts w:cs="Arial" w:hint="cs"/>
          <w:sz w:val="18"/>
          <w:szCs w:val="18"/>
          <w:rtl/>
        </w:rPr>
        <w:t>הב</w:t>
      </w:r>
      <w:r w:rsidRPr="00325111">
        <w:rPr>
          <w:rFonts w:cs="Arial"/>
          <w:sz w:val="18"/>
          <w:szCs w:val="18"/>
          <w:rtl/>
        </w:rPr>
        <w:t xml:space="preserve">' </w:t>
      </w:r>
      <w:r w:rsidRPr="00325111">
        <w:rPr>
          <w:rFonts w:cs="Arial" w:hint="cs"/>
          <w:sz w:val="18"/>
          <w:szCs w:val="18"/>
          <w:rtl/>
        </w:rPr>
        <w:t>לשונות</w:t>
      </w:r>
      <w:r w:rsidRPr="00325111">
        <w:rPr>
          <w:rFonts w:cs="Arial"/>
          <w:sz w:val="18"/>
          <w:szCs w:val="18"/>
          <w:rtl/>
        </w:rPr>
        <w:t xml:space="preserve"> </w:t>
      </w:r>
      <w:r w:rsidRPr="00325111">
        <w:rPr>
          <w:rFonts w:cs="Arial" w:hint="cs"/>
          <w:sz w:val="18"/>
          <w:szCs w:val="18"/>
          <w:rtl/>
        </w:rPr>
        <w:t>קרובים</w:t>
      </w:r>
      <w:r w:rsidRPr="00325111">
        <w:rPr>
          <w:rFonts w:cs="Arial"/>
          <w:sz w:val="18"/>
          <w:szCs w:val="18"/>
          <w:rtl/>
        </w:rPr>
        <w:t xml:space="preserve"> </w:t>
      </w:r>
      <w:r w:rsidRPr="00325111">
        <w:rPr>
          <w:rFonts w:cs="Arial" w:hint="cs"/>
          <w:sz w:val="18"/>
          <w:szCs w:val="18"/>
          <w:rtl/>
        </w:rPr>
        <w:t>זה</w:t>
      </w:r>
      <w:r w:rsidRPr="00325111">
        <w:rPr>
          <w:rFonts w:cs="Arial"/>
          <w:sz w:val="18"/>
          <w:szCs w:val="18"/>
          <w:rtl/>
        </w:rPr>
        <w:t xml:space="preserve"> </w:t>
      </w:r>
      <w:r w:rsidRPr="00325111">
        <w:rPr>
          <w:rFonts w:cs="Arial" w:hint="cs"/>
          <w:sz w:val="18"/>
          <w:szCs w:val="18"/>
          <w:rtl/>
        </w:rPr>
        <w:t>לזה</w:t>
      </w:r>
      <w:r w:rsidRPr="00325111">
        <w:rPr>
          <w:rFonts w:cs="Arial"/>
          <w:sz w:val="18"/>
          <w:szCs w:val="18"/>
          <w:rtl/>
        </w:rPr>
        <w:t xml:space="preserve">, </w:t>
      </w:r>
      <w:r w:rsidRPr="00325111">
        <w:rPr>
          <w:rFonts w:cs="Arial" w:hint="cs"/>
          <w:sz w:val="18"/>
          <w:szCs w:val="18"/>
          <w:rtl/>
        </w:rPr>
        <w:t>ושם</w:t>
      </w:r>
      <w:r w:rsidRPr="00325111">
        <w:rPr>
          <w:rFonts w:cs="Arial"/>
          <w:sz w:val="18"/>
          <w:szCs w:val="18"/>
          <w:rtl/>
        </w:rPr>
        <w:t xml:space="preserve"> </w:t>
      </w:r>
      <w:r w:rsidRPr="00325111">
        <w:rPr>
          <w:rFonts w:cs="Arial" w:hint="cs"/>
          <w:sz w:val="18"/>
          <w:szCs w:val="18"/>
          <w:rtl/>
        </w:rPr>
        <w:t>שקורין</w:t>
      </w:r>
      <w:r w:rsidRPr="00325111">
        <w:rPr>
          <w:rFonts w:cs="Arial"/>
          <w:sz w:val="18"/>
          <w:szCs w:val="18"/>
          <w:rtl/>
        </w:rPr>
        <w:t xml:space="preserve"> </w:t>
      </w:r>
      <w:r w:rsidRPr="00325111">
        <w:rPr>
          <w:rFonts w:cs="Arial" w:hint="cs"/>
          <w:sz w:val="18"/>
          <w:szCs w:val="18"/>
          <w:rtl/>
        </w:rPr>
        <w:t>לו</w:t>
      </w:r>
      <w:r w:rsidRPr="00325111">
        <w:rPr>
          <w:rFonts w:cs="Arial"/>
          <w:sz w:val="18"/>
          <w:szCs w:val="18"/>
          <w:rtl/>
        </w:rPr>
        <w:t xml:space="preserve"> </w:t>
      </w:r>
      <w:r w:rsidRPr="00325111">
        <w:rPr>
          <w:rFonts w:cs="Arial" w:hint="cs"/>
          <w:sz w:val="18"/>
          <w:szCs w:val="18"/>
          <w:rtl/>
        </w:rPr>
        <w:t>ישראל</w:t>
      </w:r>
      <w:r w:rsidRPr="00325111">
        <w:rPr>
          <w:rFonts w:cs="Arial"/>
          <w:sz w:val="18"/>
          <w:szCs w:val="18"/>
          <w:rtl/>
        </w:rPr>
        <w:t xml:space="preserve"> </w:t>
      </w:r>
      <w:r w:rsidRPr="00325111">
        <w:rPr>
          <w:rFonts w:cs="Arial" w:hint="cs"/>
          <w:sz w:val="18"/>
          <w:szCs w:val="18"/>
          <w:rtl/>
        </w:rPr>
        <w:t>אינו</w:t>
      </w:r>
      <w:r w:rsidRPr="00325111">
        <w:rPr>
          <w:rFonts w:cs="Arial"/>
          <w:sz w:val="18"/>
          <w:szCs w:val="18"/>
          <w:rtl/>
        </w:rPr>
        <w:t xml:space="preserve"> </w:t>
      </w:r>
      <w:r w:rsidRPr="00325111">
        <w:rPr>
          <w:rFonts w:cs="Arial" w:hint="cs"/>
          <w:sz w:val="18"/>
          <w:szCs w:val="18"/>
          <w:rtl/>
        </w:rPr>
        <w:t>אלא</w:t>
      </w:r>
      <w:r w:rsidRPr="00325111">
        <w:rPr>
          <w:rFonts w:cs="Arial"/>
          <w:sz w:val="18"/>
          <w:szCs w:val="18"/>
          <w:rtl/>
        </w:rPr>
        <w:t xml:space="preserve"> </w:t>
      </w:r>
      <w:r w:rsidRPr="00325111">
        <w:rPr>
          <w:rFonts w:cs="Arial" w:hint="cs"/>
          <w:sz w:val="18"/>
          <w:szCs w:val="18"/>
          <w:rtl/>
        </w:rPr>
        <w:t>קיצור</w:t>
      </w:r>
      <w:r w:rsidRPr="00325111">
        <w:rPr>
          <w:rFonts w:cs="Arial"/>
          <w:sz w:val="18"/>
          <w:szCs w:val="18"/>
          <w:rtl/>
        </w:rPr>
        <w:t xml:space="preserve"> </w:t>
      </w:r>
      <w:r w:rsidRPr="00325111">
        <w:rPr>
          <w:rFonts w:cs="Arial" w:hint="cs"/>
          <w:sz w:val="18"/>
          <w:szCs w:val="18"/>
          <w:rtl/>
        </w:rPr>
        <w:t>לשון</w:t>
      </w:r>
      <w:r w:rsidRPr="00325111">
        <w:rPr>
          <w:rFonts w:cs="Arial"/>
          <w:sz w:val="18"/>
          <w:szCs w:val="18"/>
          <w:rtl/>
        </w:rPr>
        <w:t xml:space="preserve">, </w:t>
      </w:r>
      <w:r w:rsidRPr="00325111">
        <w:rPr>
          <w:rFonts w:cs="Arial" w:hint="cs"/>
          <w:sz w:val="18"/>
          <w:szCs w:val="18"/>
          <w:rtl/>
        </w:rPr>
        <w:t>כגון</w:t>
      </w:r>
      <w:r w:rsidRPr="00325111">
        <w:rPr>
          <w:rFonts w:cs="Arial"/>
          <w:sz w:val="18"/>
          <w:szCs w:val="18"/>
          <w:rtl/>
        </w:rPr>
        <w:t xml:space="preserve"> </w:t>
      </w:r>
      <w:r w:rsidRPr="00325111">
        <w:rPr>
          <w:rFonts w:cs="Arial" w:hint="cs"/>
          <w:sz w:val="18"/>
          <w:szCs w:val="18"/>
          <w:rtl/>
        </w:rPr>
        <w:t>עיר</w:t>
      </w:r>
      <w:r w:rsidRPr="00325111">
        <w:rPr>
          <w:rFonts w:cs="Arial"/>
          <w:sz w:val="18"/>
          <w:szCs w:val="18"/>
          <w:rtl/>
        </w:rPr>
        <w:t xml:space="preserve"> </w:t>
      </w:r>
      <w:r>
        <w:rPr>
          <w:rFonts w:cs="Arial" w:hint="cs"/>
          <w:sz w:val="18"/>
          <w:szCs w:val="18"/>
          <w:rtl/>
        </w:rPr>
        <w:t>שגוים</w:t>
      </w:r>
      <w:r w:rsidRPr="00325111">
        <w:rPr>
          <w:rFonts w:cs="Arial"/>
          <w:sz w:val="18"/>
          <w:szCs w:val="18"/>
          <w:rtl/>
        </w:rPr>
        <w:t xml:space="preserve"> </w:t>
      </w:r>
      <w:r w:rsidRPr="00325111">
        <w:rPr>
          <w:rFonts w:cs="Arial" w:hint="cs"/>
          <w:sz w:val="18"/>
          <w:szCs w:val="18"/>
          <w:rtl/>
        </w:rPr>
        <w:t>קורין</w:t>
      </w:r>
      <w:r w:rsidRPr="00325111">
        <w:rPr>
          <w:rFonts w:cs="Arial"/>
          <w:sz w:val="18"/>
          <w:szCs w:val="18"/>
          <w:rtl/>
        </w:rPr>
        <w:t xml:space="preserve">: </w:t>
      </w:r>
      <w:r w:rsidRPr="00325111">
        <w:rPr>
          <w:rFonts w:cs="Arial" w:hint="cs"/>
          <w:sz w:val="18"/>
          <w:szCs w:val="18"/>
          <w:rtl/>
        </w:rPr>
        <w:t>הרעדי</w:t>
      </w:r>
      <w:r w:rsidRPr="00325111">
        <w:rPr>
          <w:rFonts w:cs="Arial"/>
          <w:sz w:val="18"/>
          <w:szCs w:val="18"/>
          <w:rtl/>
        </w:rPr>
        <w:t>"</w:t>
      </w:r>
      <w:r w:rsidRPr="00325111">
        <w:rPr>
          <w:rFonts w:cs="Arial" w:hint="cs"/>
          <w:sz w:val="18"/>
          <w:szCs w:val="18"/>
          <w:rtl/>
        </w:rPr>
        <w:t>ש</w:t>
      </w:r>
      <w:r w:rsidRPr="00325111">
        <w:rPr>
          <w:rFonts w:cs="Arial"/>
          <w:sz w:val="18"/>
          <w:szCs w:val="18"/>
          <w:rtl/>
        </w:rPr>
        <w:t xml:space="preserve">, </w:t>
      </w:r>
      <w:r w:rsidRPr="00325111">
        <w:rPr>
          <w:rFonts w:cs="Arial" w:hint="cs"/>
          <w:sz w:val="18"/>
          <w:szCs w:val="18"/>
          <w:rtl/>
        </w:rPr>
        <w:t>וישראל</w:t>
      </w:r>
      <w:r w:rsidRPr="00325111">
        <w:rPr>
          <w:rFonts w:cs="Arial"/>
          <w:sz w:val="18"/>
          <w:szCs w:val="18"/>
          <w:rtl/>
        </w:rPr>
        <w:t xml:space="preserve">; </w:t>
      </w:r>
      <w:r w:rsidRPr="00325111">
        <w:rPr>
          <w:rFonts w:cs="Arial" w:hint="cs"/>
          <w:sz w:val="18"/>
          <w:szCs w:val="18"/>
          <w:rtl/>
        </w:rPr>
        <w:t>רעדי</w:t>
      </w:r>
      <w:r w:rsidRPr="00325111">
        <w:rPr>
          <w:rFonts w:cs="Arial"/>
          <w:sz w:val="18"/>
          <w:szCs w:val="18"/>
          <w:rtl/>
        </w:rPr>
        <w:t>"</w:t>
      </w:r>
      <w:r w:rsidRPr="00325111">
        <w:rPr>
          <w:rFonts w:cs="Arial" w:hint="cs"/>
          <w:sz w:val="18"/>
          <w:szCs w:val="18"/>
          <w:rtl/>
        </w:rPr>
        <w:t>ש</w:t>
      </w:r>
      <w:r w:rsidRPr="00325111">
        <w:rPr>
          <w:rFonts w:cs="Arial"/>
          <w:sz w:val="18"/>
          <w:szCs w:val="18"/>
          <w:rtl/>
        </w:rPr>
        <w:t xml:space="preserve">, </w:t>
      </w:r>
      <w:r w:rsidRPr="00325111">
        <w:rPr>
          <w:rFonts w:cs="Arial" w:hint="cs"/>
          <w:sz w:val="18"/>
          <w:szCs w:val="18"/>
          <w:rtl/>
        </w:rPr>
        <w:t>אין</w:t>
      </w:r>
      <w:r w:rsidRPr="00325111">
        <w:rPr>
          <w:rFonts w:cs="Arial"/>
          <w:sz w:val="18"/>
          <w:szCs w:val="18"/>
          <w:rtl/>
        </w:rPr>
        <w:t xml:space="preserve"> </w:t>
      </w:r>
      <w:r w:rsidRPr="00325111">
        <w:rPr>
          <w:rFonts w:cs="Arial" w:hint="cs"/>
          <w:sz w:val="18"/>
          <w:szCs w:val="18"/>
          <w:rtl/>
        </w:rPr>
        <w:t>כותבין</w:t>
      </w:r>
      <w:r w:rsidRPr="00325111">
        <w:rPr>
          <w:rFonts w:cs="Arial"/>
          <w:sz w:val="18"/>
          <w:szCs w:val="18"/>
          <w:rtl/>
        </w:rPr>
        <w:t xml:space="preserve"> </w:t>
      </w:r>
      <w:r w:rsidRPr="00325111">
        <w:rPr>
          <w:rFonts w:cs="Arial" w:hint="cs"/>
          <w:sz w:val="18"/>
          <w:szCs w:val="18"/>
          <w:rtl/>
        </w:rPr>
        <w:t>רק</w:t>
      </w:r>
      <w:r w:rsidRPr="00325111">
        <w:rPr>
          <w:rFonts w:cs="Arial"/>
          <w:sz w:val="18"/>
          <w:szCs w:val="18"/>
          <w:rtl/>
        </w:rPr>
        <w:t xml:space="preserve"> </w:t>
      </w:r>
      <w:r w:rsidRPr="00325111">
        <w:rPr>
          <w:rFonts w:cs="Arial" w:hint="cs"/>
          <w:sz w:val="18"/>
          <w:szCs w:val="18"/>
          <w:rtl/>
        </w:rPr>
        <w:t>שם</w:t>
      </w:r>
      <w:r w:rsidRPr="00325111">
        <w:rPr>
          <w:rFonts w:cs="Arial"/>
          <w:sz w:val="18"/>
          <w:szCs w:val="18"/>
          <w:rtl/>
        </w:rPr>
        <w:t xml:space="preserve"> </w:t>
      </w:r>
      <w:r w:rsidRPr="00325111">
        <w:rPr>
          <w:rFonts w:cs="Arial" w:hint="cs"/>
          <w:sz w:val="18"/>
          <w:szCs w:val="18"/>
          <w:rtl/>
        </w:rPr>
        <w:t>ישראל</w:t>
      </w:r>
      <w:r w:rsidRPr="00325111">
        <w:rPr>
          <w:rFonts w:cs="Arial"/>
          <w:sz w:val="18"/>
          <w:szCs w:val="18"/>
          <w:rtl/>
        </w:rPr>
        <w:t xml:space="preserve"> (</w:t>
      </w:r>
      <w:r>
        <w:rPr>
          <w:rFonts w:cs="Arial" w:hint="cs"/>
          <w:sz w:val="18"/>
          <w:szCs w:val="18"/>
          <w:rtl/>
        </w:rPr>
        <w:t>תרוה"ד</w:t>
      </w:r>
      <w:r w:rsidRPr="00325111">
        <w:rPr>
          <w:rFonts w:cs="Arial"/>
          <w:sz w:val="18"/>
          <w:szCs w:val="18"/>
          <w:rtl/>
        </w:rPr>
        <w:t xml:space="preserve"> </w:t>
      </w:r>
      <w:r w:rsidRPr="00325111">
        <w:rPr>
          <w:rFonts w:cs="Arial" w:hint="cs"/>
          <w:sz w:val="18"/>
          <w:szCs w:val="18"/>
          <w:rtl/>
        </w:rPr>
        <w:t>סי</w:t>
      </w:r>
      <w:r>
        <w:rPr>
          <w:rFonts w:cs="Arial" w:hint="cs"/>
          <w:sz w:val="18"/>
          <w:szCs w:val="18"/>
          <w:rtl/>
        </w:rPr>
        <w:t>'</w:t>
      </w:r>
      <w:r w:rsidRPr="00325111">
        <w:rPr>
          <w:rFonts w:cs="Arial"/>
          <w:sz w:val="18"/>
          <w:szCs w:val="18"/>
          <w:rtl/>
        </w:rPr>
        <w:t xml:space="preserve"> </w:t>
      </w:r>
      <w:r w:rsidRPr="00325111">
        <w:rPr>
          <w:rFonts w:cs="Arial" w:hint="cs"/>
          <w:sz w:val="18"/>
          <w:szCs w:val="18"/>
          <w:rtl/>
        </w:rPr>
        <w:t>רנא</w:t>
      </w:r>
      <w:r w:rsidRPr="00325111">
        <w:rPr>
          <w:rFonts w:cs="Arial"/>
          <w:sz w:val="18"/>
          <w:szCs w:val="18"/>
          <w:rtl/>
        </w:rPr>
        <w:t xml:space="preserve">). </w:t>
      </w:r>
      <w:r w:rsidRPr="00325111">
        <w:rPr>
          <w:rFonts w:cs="Arial" w:hint="cs"/>
          <w:sz w:val="18"/>
          <w:szCs w:val="18"/>
          <w:rtl/>
        </w:rPr>
        <w:t>אבל</w:t>
      </w:r>
      <w:r w:rsidRPr="00325111">
        <w:rPr>
          <w:rFonts w:cs="Arial"/>
          <w:sz w:val="18"/>
          <w:szCs w:val="18"/>
          <w:rtl/>
        </w:rPr>
        <w:t xml:space="preserve"> </w:t>
      </w:r>
      <w:r w:rsidRPr="00325111">
        <w:rPr>
          <w:rFonts w:cs="Arial" w:hint="cs"/>
          <w:sz w:val="18"/>
          <w:szCs w:val="18"/>
          <w:rtl/>
        </w:rPr>
        <w:t>בלאו</w:t>
      </w:r>
      <w:r w:rsidRPr="00325111">
        <w:rPr>
          <w:rFonts w:cs="Arial"/>
          <w:sz w:val="18"/>
          <w:szCs w:val="18"/>
          <w:rtl/>
        </w:rPr>
        <w:t xml:space="preserve"> </w:t>
      </w:r>
      <w:r w:rsidRPr="00325111">
        <w:rPr>
          <w:rFonts w:cs="Arial" w:hint="cs"/>
          <w:sz w:val="18"/>
          <w:szCs w:val="18"/>
          <w:rtl/>
        </w:rPr>
        <w:t>הכי</w:t>
      </w:r>
      <w:r w:rsidRPr="00325111">
        <w:rPr>
          <w:rFonts w:cs="Arial"/>
          <w:sz w:val="18"/>
          <w:szCs w:val="18"/>
          <w:rtl/>
        </w:rPr>
        <w:t xml:space="preserve"> </w:t>
      </w:r>
      <w:r w:rsidRPr="00325111">
        <w:rPr>
          <w:rFonts w:cs="Arial" w:hint="cs"/>
          <w:sz w:val="18"/>
          <w:szCs w:val="18"/>
          <w:rtl/>
        </w:rPr>
        <w:t>כותבים</w:t>
      </w:r>
      <w:r w:rsidRPr="00325111">
        <w:rPr>
          <w:rFonts w:cs="Arial"/>
          <w:sz w:val="18"/>
          <w:szCs w:val="18"/>
          <w:rtl/>
        </w:rPr>
        <w:t xml:space="preserve"> </w:t>
      </w:r>
      <w:r w:rsidRPr="00325111">
        <w:rPr>
          <w:rFonts w:cs="Arial" w:hint="cs"/>
          <w:sz w:val="18"/>
          <w:szCs w:val="18"/>
          <w:rtl/>
        </w:rPr>
        <w:t>שניהם</w:t>
      </w:r>
      <w:r>
        <w:rPr>
          <w:rFonts w:cs="Arial" w:hint="cs"/>
          <w:sz w:val="18"/>
          <w:szCs w:val="18"/>
          <w:rtl/>
        </w:rPr>
        <w:t>,</w:t>
      </w:r>
      <w:r w:rsidRPr="00325111">
        <w:rPr>
          <w:rFonts w:cs="Arial"/>
          <w:sz w:val="18"/>
          <w:szCs w:val="18"/>
          <w:rtl/>
        </w:rPr>
        <w:t xml:space="preserve"> </w:t>
      </w:r>
      <w:r w:rsidRPr="00325111">
        <w:rPr>
          <w:rFonts w:cs="Arial" w:hint="cs"/>
          <w:sz w:val="18"/>
          <w:szCs w:val="18"/>
          <w:rtl/>
        </w:rPr>
        <w:t>שם</w:t>
      </w:r>
      <w:r w:rsidRPr="00325111">
        <w:rPr>
          <w:rFonts w:cs="Arial"/>
          <w:sz w:val="18"/>
          <w:szCs w:val="18"/>
          <w:rtl/>
        </w:rPr>
        <w:t xml:space="preserve"> </w:t>
      </w:r>
      <w:r w:rsidRPr="00325111">
        <w:rPr>
          <w:rFonts w:cs="Arial" w:hint="cs"/>
          <w:sz w:val="18"/>
          <w:szCs w:val="18"/>
          <w:rtl/>
        </w:rPr>
        <w:t>ישראל</w:t>
      </w:r>
      <w:r w:rsidRPr="00325111">
        <w:rPr>
          <w:rFonts w:cs="Arial"/>
          <w:sz w:val="18"/>
          <w:szCs w:val="18"/>
          <w:rtl/>
        </w:rPr>
        <w:t xml:space="preserve"> </w:t>
      </w:r>
      <w:r w:rsidRPr="00325111">
        <w:rPr>
          <w:rFonts w:cs="Arial" w:hint="cs"/>
          <w:sz w:val="18"/>
          <w:szCs w:val="18"/>
          <w:rtl/>
        </w:rPr>
        <w:t>תחלה</w:t>
      </w:r>
      <w:r>
        <w:rPr>
          <w:rStyle w:val="a7"/>
          <w:rFonts w:cs="Arial"/>
          <w:sz w:val="18"/>
          <w:szCs w:val="18"/>
          <w:rtl/>
        </w:rPr>
        <w:footnoteReference w:id="995"/>
      </w:r>
      <w:r w:rsidRPr="00325111">
        <w:rPr>
          <w:rFonts w:cs="Arial"/>
          <w:sz w:val="18"/>
          <w:szCs w:val="18"/>
          <w:rtl/>
        </w:rPr>
        <w:t xml:space="preserve"> (</w:t>
      </w:r>
      <w:r w:rsidRPr="00325111">
        <w:rPr>
          <w:rFonts w:cs="Arial" w:hint="cs"/>
          <w:sz w:val="18"/>
          <w:szCs w:val="18"/>
          <w:rtl/>
        </w:rPr>
        <w:t>כן</w:t>
      </w:r>
      <w:r w:rsidRPr="00325111">
        <w:rPr>
          <w:rFonts w:cs="Arial"/>
          <w:sz w:val="18"/>
          <w:szCs w:val="18"/>
          <w:rtl/>
        </w:rPr>
        <w:t xml:space="preserve"> </w:t>
      </w:r>
      <w:r w:rsidRPr="00325111">
        <w:rPr>
          <w:rFonts w:cs="Arial" w:hint="cs"/>
          <w:sz w:val="18"/>
          <w:szCs w:val="18"/>
          <w:rtl/>
        </w:rPr>
        <w:t>משמע</w:t>
      </w:r>
      <w:r w:rsidRPr="00325111">
        <w:rPr>
          <w:rFonts w:cs="Arial"/>
          <w:sz w:val="18"/>
          <w:szCs w:val="18"/>
          <w:rtl/>
        </w:rPr>
        <w:t xml:space="preserve"> </w:t>
      </w:r>
      <w:r w:rsidRPr="00325111">
        <w:rPr>
          <w:rFonts w:cs="Arial" w:hint="cs"/>
          <w:sz w:val="18"/>
          <w:szCs w:val="18"/>
          <w:rtl/>
        </w:rPr>
        <w:t>שם</w:t>
      </w:r>
      <w:r w:rsidRPr="00325111">
        <w:rPr>
          <w:rFonts w:cs="Arial"/>
          <w:sz w:val="18"/>
          <w:szCs w:val="18"/>
          <w:rtl/>
        </w:rPr>
        <w:t xml:space="preserve">), </w:t>
      </w:r>
      <w:r w:rsidRPr="00325111">
        <w:rPr>
          <w:rFonts w:cs="Arial" w:hint="cs"/>
          <w:sz w:val="18"/>
          <w:szCs w:val="18"/>
          <w:rtl/>
        </w:rPr>
        <w:t>ועל</w:t>
      </w:r>
      <w:r w:rsidRPr="00325111">
        <w:rPr>
          <w:rFonts w:cs="Arial"/>
          <w:sz w:val="18"/>
          <w:szCs w:val="18"/>
          <w:rtl/>
        </w:rPr>
        <w:t xml:space="preserve"> </w:t>
      </w:r>
      <w:r w:rsidRPr="00325111">
        <w:rPr>
          <w:rFonts w:cs="Arial" w:hint="cs"/>
          <w:sz w:val="18"/>
          <w:szCs w:val="18"/>
          <w:rtl/>
        </w:rPr>
        <w:t>שם</w:t>
      </w:r>
      <w:r w:rsidRPr="00325111">
        <w:rPr>
          <w:rFonts w:cs="Arial"/>
          <w:sz w:val="18"/>
          <w:szCs w:val="18"/>
          <w:rtl/>
        </w:rPr>
        <w:t xml:space="preserve"> </w:t>
      </w:r>
      <w:r>
        <w:rPr>
          <w:rFonts w:cs="Arial" w:hint="cs"/>
          <w:sz w:val="18"/>
          <w:szCs w:val="18"/>
          <w:rtl/>
        </w:rPr>
        <w:t>גוים</w:t>
      </w:r>
      <w:r w:rsidRPr="00325111">
        <w:rPr>
          <w:rFonts w:cs="Arial"/>
          <w:sz w:val="18"/>
          <w:szCs w:val="18"/>
          <w:rtl/>
        </w:rPr>
        <w:t xml:space="preserve">: </w:t>
      </w:r>
      <w:r w:rsidRPr="00325111">
        <w:rPr>
          <w:rFonts w:cs="Arial" w:hint="cs"/>
          <w:sz w:val="18"/>
          <w:szCs w:val="18"/>
          <w:rtl/>
        </w:rPr>
        <w:t>דמתקריא</w:t>
      </w:r>
      <w:r>
        <w:rPr>
          <w:rStyle w:val="a7"/>
          <w:rFonts w:cs="Arial"/>
          <w:sz w:val="18"/>
          <w:szCs w:val="18"/>
          <w:rtl/>
        </w:rPr>
        <w:footnoteReference w:id="996"/>
      </w:r>
      <w:r w:rsidRPr="00325111">
        <w:rPr>
          <w:rFonts w:cs="Arial"/>
          <w:sz w:val="18"/>
          <w:szCs w:val="18"/>
          <w:rtl/>
        </w:rPr>
        <w:t>.</w:t>
      </w:r>
      <w:r>
        <w:rPr>
          <w:rFonts w:cs="Arial"/>
          <w:rtl/>
        </w:rPr>
        <w:t xml:space="preserve"> </w:t>
      </w:r>
    </w:p>
    <w:p w14:paraId="348B3FB1" w14:textId="77777777" w:rsidR="00FA2119" w:rsidRPr="00DF0AD1" w:rsidRDefault="00FA2119" w:rsidP="00FA2119">
      <w:pPr>
        <w:rPr>
          <w:rFonts w:cs="Arial"/>
        </w:rPr>
      </w:pPr>
      <w:r w:rsidRPr="00DF0AD1">
        <w:rPr>
          <w:rFonts w:cs="Arial" w:hint="cs"/>
          <w:u w:val="single"/>
          <w:rtl/>
        </w:rPr>
        <w:t xml:space="preserve">האם כותבים בשם הנהר בלשון זכר </w:t>
      </w:r>
      <w:r w:rsidRPr="00DF0AD1">
        <w:rPr>
          <w:rFonts w:cs="Arial" w:hint="cs"/>
          <w:sz w:val="16"/>
          <w:szCs w:val="16"/>
          <w:u w:val="single"/>
          <w:rtl/>
        </w:rPr>
        <w:t xml:space="preserve">(דמתקרי) </w:t>
      </w:r>
      <w:r w:rsidRPr="00DF0AD1">
        <w:rPr>
          <w:rFonts w:cs="Arial" w:hint="cs"/>
          <w:u w:val="single"/>
          <w:rtl/>
        </w:rPr>
        <w:t xml:space="preserve">או בלשון נקבה </w:t>
      </w:r>
      <w:r w:rsidRPr="00DF0AD1">
        <w:rPr>
          <w:rFonts w:cs="Arial" w:hint="cs"/>
          <w:sz w:val="16"/>
          <w:szCs w:val="16"/>
          <w:u w:val="single"/>
          <w:rtl/>
        </w:rPr>
        <w:t>(דמתקריא)</w:t>
      </w:r>
      <w:r w:rsidRPr="00DF0AD1">
        <w:rPr>
          <w:rFonts w:cs="Arial" w:hint="cs"/>
          <w:u w:val="single"/>
          <w:rtl/>
        </w:rPr>
        <w:t>:</w:t>
      </w:r>
      <w:r>
        <w:rPr>
          <w:rFonts w:cs="Arial" w:hint="cs"/>
          <w:rtl/>
        </w:rPr>
        <w:t xml:space="preserve"> </w:t>
      </w:r>
      <w:r w:rsidRPr="00DF0AD1">
        <w:rPr>
          <w:rFonts w:cs="Arial"/>
          <w:sz w:val="16"/>
          <w:szCs w:val="16"/>
          <w:rtl/>
        </w:rPr>
        <w:t>(</w:t>
      </w:r>
      <w:r w:rsidRPr="00DF0AD1">
        <w:rPr>
          <w:rFonts w:cs="Arial" w:hint="cs"/>
          <w:sz w:val="16"/>
          <w:szCs w:val="16"/>
          <w:rtl/>
        </w:rPr>
        <w:t>פת"ש סק"</w:t>
      </w:r>
      <w:r w:rsidRPr="00DF0AD1">
        <w:rPr>
          <w:rFonts w:cs="Arial"/>
          <w:sz w:val="16"/>
          <w:szCs w:val="16"/>
          <w:rtl/>
        </w:rPr>
        <w:t>י)</w:t>
      </w:r>
    </w:p>
    <w:p w14:paraId="5D172AB6" w14:textId="17B06169" w:rsidR="00FA2119" w:rsidRDefault="00FA2119" w:rsidP="00FA2119">
      <w:pPr>
        <w:pStyle w:val="ab"/>
        <w:numPr>
          <w:ilvl w:val="0"/>
          <w:numId w:val="61"/>
        </w:numPr>
        <w:rPr>
          <w:rFonts w:cs="Arial"/>
        </w:rPr>
      </w:pPr>
      <w:r w:rsidRPr="00DF0AD1">
        <w:rPr>
          <w:rFonts w:cs="Arial"/>
          <w:rtl/>
        </w:rPr>
        <w:t xml:space="preserve">נו"ב </w:t>
      </w:r>
      <w:r w:rsidRPr="00DF0AD1">
        <w:rPr>
          <w:rFonts w:cs="Arial" w:hint="cs"/>
          <w:sz w:val="16"/>
          <w:szCs w:val="16"/>
          <w:rtl/>
        </w:rPr>
        <w:t>(</w:t>
      </w:r>
      <w:r w:rsidRPr="00DF0AD1">
        <w:rPr>
          <w:rFonts w:cs="Arial"/>
          <w:sz w:val="16"/>
          <w:szCs w:val="16"/>
          <w:rtl/>
        </w:rPr>
        <w:t>תניינא</w:t>
      </w:r>
      <w:r w:rsidRPr="00DF0AD1">
        <w:rPr>
          <w:rFonts w:cs="Arial" w:hint="cs"/>
          <w:sz w:val="16"/>
          <w:szCs w:val="16"/>
          <w:rtl/>
        </w:rPr>
        <w:t>)</w:t>
      </w:r>
      <w:r w:rsidRPr="00DF0AD1">
        <w:rPr>
          <w:rFonts w:cs="Arial"/>
          <w:rtl/>
        </w:rPr>
        <w:t xml:space="preserve"> שיבת ציון </w:t>
      </w:r>
      <w:r w:rsidRPr="00DF0AD1">
        <w:rPr>
          <w:rFonts w:cs="Arial" w:hint="cs"/>
          <w:sz w:val="16"/>
          <w:szCs w:val="16"/>
          <w:rtl/>
        </w:rPr>
        <w:t>(</w:t>
      </w:r>
      <w:r w:rsidRPr="00DF0AD1">
        <w:rPr>
          <w:rFonts w:cs="Arial"/>
          <w:sz w:val="16"/>
          <w:szCs w:val="16"/>
          <w:rtl/>
        </w:rPr>
        <w:t>סי' פג</w:t>
      </w:r>
      <w:r w:rsidR="00A82951">
        <w:rPr>
          <w:rFonts w:cs="Arial" w:hint="cs"/>
          <w:sz w:val="16"/>
          <w:szCs w:val="16"/>
          <w:rtl/>
        </w:rPr>
        <w:t>-</w:t>
      </w:r>
      <w:r w:rsidRPr="00DF0AD1">
        <w:rPr>
          <w:rFonts w:cs="Arial"/>
          <w:sz w:val="16"/>
          <w:szCs w:val="16"/>
          <w:rtl/>
        </w:rPr>
        <w:t>פד</w:t>
      </w:r>
      <w:r>
        <w:rPr>
          <w:rFonts w:cs="Arial" w:hint="cs"/>
          <w:sz w:val="16"/>
          <w:szCs w:val="16"/>
          <w:rtl/>
        </w:rPr>
        <w:t>, וסי' צא</w:t>
      </w:r>
      <w:r w:rsidRPr="00DF0AD1">
        <w:rPr>
          <w:rFonts w:cs="Arial" w:hint="cs"/>
          <w:sz w:val="16"/>
          <w:szCs w:val="16"/>
          <w:rtl/>
        </w:rPr>
        <w:t>)</w:t>
      </w:r>
      <w:r>
        <w:rPr>
          <w:rFonts w:cs="Arial" w:hint="cs"/>
          <w:sz w:val="16"/>
          <w:szCs w:val="16"/>
          <w:rtl/>
        </w:rPr>
        <w:t xml:space="preserve"> </w:t>
      </w:r>
      <w:r>
        <w:rPr>
          <w:rFonts w:cs="Arial" w:hint="cs"/>
          <w:rtl/>
        </w:rPr>
        <w:t>ו</w:t>
      </w:r>
      <w:r w:rsidRPr="00DF0AD1">
        <w:rPr>
          <w:rFonts w:cs="Arial"/>
          <w:rtl/>
        </w:rPr>
        <w:t>ברית אברהם</w:t>
      </w:r>
      <w:r w:rsidRPr="00DF0AD1">
        <w:rPr>
          <w:rFonts w:cs="Arial"/>
          <w:sz w:val="16"/>
          <w:szCs w:val="16"/>
          <w:rtl/>
        </w:rPr>
        <w:t xml:space="preserve"> </w:t>
      </w:r>
      <w:r>
        <w:rPr>
          <w:rFonts w:cs="Arial" w:hint="cs"/>
          <w:sz w:val="16"/>
          <w:szCs w:val="16"/>
          <w:rtl/>
        </w:rPr>
        <w:t>(</w:t>
      </w:r>
      <w:r w:rsidRPr="00DF0AD1">
        <w:rPr>
          <w:rFonts w:cs="Arial"/>
          <w:sz w:val="16"/>
          <w:szCs w:val="16"/>
          <w:rtl/>
        </w:rPr>
        <w:t>ס"ס קיד</w:t>
      </w:r>
      <w:r w:rsidRPr="00DF0AD1">
        <w:rPr>
          <w:rFonts w:cs="Arial" w:hint="cs"/>
          <w:sz w:val="16"/>
          <w:szCs w:val="16"/>
          <w:rtl/>
        </w:rPr>
        <w:t>)</w:t>
      </w:r>
      <w:r w:rsidR="00A82951">
        <w:rPr>
          <w:rFonts w:cs="Arial" w:hint="cs"/>
          <w:rtl/>
        </w:rPr>
        <w:t>-</w:t>
      </w:r>
      <w:r w:rsidRPr="00DF0AD1">
        <w:rPr>
          <w:rFonts w:cs="Arial"/>
          <w:rtl/>
        </w:rPr>
        <w:t xml:space="preserve"> </w:t>
      </w:r>
      <w:r>
        <w:rPr>
          <w:rFonts w:cs="Arial" w:hint="cs"/>
          <w:rtl/>
        </w:rPr>
        <w:t xml:space="preserve">יש </w:t>
      </w:r>
      <w:r w:rsidRPr="00DF0AD1">
        <w:rPr>
          <w:rFonts w:cs="Arial"/>
          <w:rtl/>
        </w:rPr>
        <w:t>לכתוב דמתקרי כי נהר הוא ל' זכר כדכתיב ונהר יוצא כו' הנהר הרביעי הוא פרת</w:t>
      </w:r>
      <w:r w:rsidR="0065409E">
        <w:rPr>
          <w:rFonts w:cs="Arial" w:hint="cs"/>
          <w:sz w:val="16"/>
          <w:szCs w:val="16"/>
          <w:rtl/>
        </w:rPr>
        <w:t xml:space="preserve"> (ל' הפת"ש בשם שיבת ציון)</w:t>
      </w:r>
      <w:r>
        <w:rPr>
          <w:rFonts w:cs="Arial" w:hint="cs"/>
          <w:rtl/>
        </w:rPr>
        <w:t>.</w:t>
      </w:r>
      <w:r w:rsidRPr="00DF0AD1">
        <w:rPr>
          <w:rFonts w:cs="Arial"/>
          <w:rtl/>
        </w:rPr>
        <w:t xml:space="preserve"> </w:t>
      </w:r>
    </w:p>
    <w:p w14:paraId="5CCE77E9" w14:textId="19305F79" w:rsidR="00FA2119" w:rsidRPr="00655455" w:rsidRDefault="00FA2119" w:rsidP="00FA2119">
      <w:pPr>
        <w:pStyle w:val="ab"/>
        <w:numPr>
          <w:ilvl w:val="0"/>
          <w:numId w:val="61"/>
        </w:numPr>
        <w:rPr>
          <w:rFonts w:cs="Arial"/>
          <w:rtl/>
        </w:rPr>
      </w:pPr>
      <w:r w:rsidRPr="00DF0AD1">
        <w:rPr>
          <w:rFonts w:cs="Arial"/>
          <w:rtl/>
        </w:rPr>
        <w:t>טיב גיטין</w:t>
      </w:r>
      <w:r w:rsidRPr="002941A1">
        <w:rPr>
          <w:rFonts w:cs="Arial" w:hint="cs"/>
          <w:sz w:val="16"/>
          <w:szCs w:val="16"/>
          <w:rtl/>
        </w:rPr>
        <w:t xml:space="preserve"> (שם</w:t>
      </w:r>
      <w:r>
        <w:rPr>
          <w:rFonts w:cs="Arial" w:hint="cs"/>
          <w:sz w:val="16"/>
          <w:szCs w:val="16"/>
          <w:rtl/>
        </w:rPr>
        <w:t xml:space="preserve"> אות לב</w:t>
      </w:r>
      <w:r w:rsidR="00A82951">
        <w:rPr>
          <w:rFonts w:cs="Arial" w:hint="cs"/>
          <w:sz w:val="16"/>
          <w:szCs w:val="16"/>
          <w:rtl/>
        </w:rPr>
        <w:t>-</w:t>
      </w:r>
      <w:r>
        <w:rPr>
          <w:rFonts w:cs="Arial" w:hint="cs"/>
          <w:sz w:val="16"/>
          <w:szCs w:val="16"/>
          <w:rtl/>
        </w:rPr>
        <w:t>לג</w:t>
      </w:r>
      <w:r w:rsidRPr="002941A1">
        <w:rPr>
          <w:rFonts w:cs="Arial" w:hint="cs"/>
          <w:sz w:val="16"/>
          <w:szCs w:val="16"/>
          <w:rtl/>
        </w:rPr>
        <w:t>)</w:t>
      </w:r>
      <w:r w:rsidRPr="00DF0AD1">
        <w:rPr>
          <w:rFonts w:cs="Arial"/>
          <w:rtl/>
        </w:rPr>
        <w:t xml:space="preserve"> </w:t>
      </w:r>
      <w:r>
        <w:rPr>
          <w:rFonts w:cs="Arial" w:hint="cs"/>
          <w:rtl/>
        </w:rPr>
        <w:t>בשם</w:t>
      </w:r>
      <w:r w:rsidRPr="00DF0AD1">
        <w:rPr>
          <w:rFonts w:cs="Arial"/>
          <w:rtl/>
        </w:rPr>
        <w:t xml:space="preserve"> רבי משה סופר</w:t>
      </w:r>
      <w:r w:rsidR="00A82951">
        <w:rPr>
          <w:rFonts w:cs="Arial" w:hint="cs"/>
          <w:rtl/>
        </w:rPr>
        <w:t>-</w:t>
      </w:r>
      <w:r w:rsidRPr="00DF0AD1">
        <w:rPr>
          <w:rFonts w:cs="Arial"/>
          <w:rtl/>
        </w:rPr>
        <w:t xml:space="preserve"> לא נאמר </w:t>
      </w:r>
      <w:r>
        <w:rPr>
          <w:rFonts w:cs="Arial" w:hint="cs"/>
          <w:rtl/>
        </w:rPr>
        <w:t xml:space="preserve">לכתוב דמתקרי אלא </w:t>
      </w:r>
      <w:r w:rsidRPr="00DF0AD1">
        <w:rPr>
          <w:rFonts w:cs="Arial"/>
          <w:rtl/>
        </w:rPr>
        <w:t>רק בנהר שקורין בלשון זכר כמו דער ריין וכהנה אבל נהרות שקורין בלשון נקבה כמו די עלבע וכהנה יש לכתוב ג"כ בלשון נקבה דמתקריא</w:t>
      </w:r>
      <w:r>
        <w:rPr>
          <w:rStyle w:val="a7"/>
          <w:rFonts w:cs="Arial"/>
          <w:rtl/>
        </w:rPr>
        <w:footnoteReference w:id="997"/>
      </w:r>
      <w:r>
        <w:rPr>
          <w:rFonts w:cs="Arial" w:hint="cs"/>
          <w:rtl/>
        </w:rPr>
        <w:t>.</w:t>
      </w:r>
    </w:p>
    <w:p w14:paraId="77DAFFC8" w14:textId="77777777" w:rsidR="00FA2119" w:rsidRDefault="00FA2119" w:rsidP="00FA2119">
      <w:pPr>
        <w:rPr>
          <w:rFonts w:cs="Arial"/>
          <w:rtl/>
        </w:rPr>
      </w:pPr>
      <w:r w:rsidRPr="002472C2">
        <w:rPr>
          <w:rFonts w:cs="Arial" w:hint="cs"/>
          <w:u w:val="single"/>
          <w:rtl/>
        </w:rPr>
        <w:t xml:space="preserve">עיר </w:t>
      </w:r>
      <w:r>
        <w:rPr>
          <w:rFonts w:cs="Arial" w:hint="cs"/>
          <w:u w:val="single"/>
          <w:rtl/>
        </w:rPr>
        <w:t>ש</w:t>
      </w:r>
      <w:r w:rsidRPr="002472C2">
        <w:rPr>
          <w:rFonts w:cs="Arial" w:hint="cs"/>
          <w:u w:val="single"/>
          <w:rtl/>
        </w:rPr>
        <w:t>הספר</w:t>
      </w:r>
      <w:r>
        <w:rPr>
          <w:rFonts w:cs="Arial" w:hint="cs"/>
          <w:u w:val="single"/>
          <w:rtl/>
        </w:rPr>
        <w:t>ד</w:t>
      </w:r>
      <w:r w:rsidRPr="002472C2">
        <w:rPr>
          <w:rFonts w:cs="Arial" w:hint="cs"/>
          <w:u w:val="single"/>
          <w:rtl/>
        </w:rPr>
        <w:t>ים קוראים לה כך והאשכנזים קוראים לה אחרת:</w:t>
      </w:r>
      <w:r>
        <w:rPr>
          <w:rFonts w:cs="Arial" w:hint="cs"/>
          <w:rtl/>
        </w:rPr>
        <w:t xml:space="preserve"> </w:t>
      </w:r>
      <w:r w:rsidRPr="002472C2">
        <w:rPr>
          <w:rFonts w:cs="Arial"/>
          <w:sz w:val="16"/>
          <w:szCs w:val="16"/>
          <w:rtl/>
        </w:rPr>
        <w:t>(</w:t>
      </w:r>
      <w:r w:rsidRPr="002472C2">
        <w:rPr>
          <w:rFonts w:cs="Arial" w:hint="cs"/>
          <w:sz w:val="16"/>
          <w:szCs w:val="16"/>
          <w:rtl/>
        </w:rPr>
        <w:t>פת"ש סק</w:t>
      </w:r>
      <w:r w:rsidRPr="002472C2">
        <w:rPr>
          <w:rFonts w:cs="Arial"/>
          <w:sz w:val="16"/>
          <w:szCs w:val="16"/>
          <w:rtl/>
        </w:rPr>
        <w:t>י</w:t>
      </w:r>
      <w:r w:rsidRPr="002472C2">
        <w:rPr>
          <w:rFonts w:cs="Arial" w:hint="cs"/>
          <w:sz w:val="16"/>
          <w:szCs w:val="16"/>
          <w:rtl/>
        </w:rPr>
        <w:t>"</w:t>
      </w:r>
      <w:r w:rsidRPr="002472C2">
        <w:rPr>
          <w:rFonts w:cs="Arial"/>
          <w:sz w:val="16"/>
          <w:szCs w:val="16"/>
          <w:rtl/>
        </w:rPr>
        <w:t>ד)</w:t>
      </w:r>
      <w:r>
        <w:rPr>
          <w:rFonts w:cs="Arial"/>
          <w:rtl/>
        </w:rPr>
        <w:t xml:space="preserve"> </w:t>
      </w:r>
    </w:p>
    <w:p w14:paraId="27938934" w14:textId="61F303C2" w:rsidR="00FA2119" w:rsidRDefault="00FA2119" w:rsidP="00FA2119">
      <w:pPr>
        <w:pStyle w:val="ab"/>
        <w:numPr>
          <w:ilvl w:val="0"/>
          <w:numId w:val="68"/>
        </w:numPr>
        <w:rPr>
          <w:rtl/>
        </w:rPr>
      </w:pPr>
      <w:r w:rsidRPr="002472C2">
        <w:rPr>
          <w:rFonts w:cs="Arial"/>
          <w:rtl/>
        </w:rPr>
        <w:t>פנים מאירות</w:t>
      </w:r>
      <w:r w:rsidRPr="002472C2">
        <w:rPr>
          <w:rFonts w:cs="Arial"/>
          <w:sz w:val="16"/>
          <w:szCs w:val="16"/>
          <w:rtl/>
        </w:rPr>
        <w:t xml:space="preserve"> </w:t>
      </w:r>
      <w:r w:rsidRPr="002472C2">
        <w:rPr>
          <w:rFonts w:cs="Arial" w:hint="cs"/>
          <w:sz w:val="16"/>
          <w:szCs w:val="16"/>
          <w:rtl/>
        </w:rPr>
        <w:t>(</w:t>
      </w:r>
      <w:r w:rsidRPr="002472C2">
        <w:rPr>
          <w:rFonts w:cs="Arial"/>
          <w:sz w:val="16"/>
          <w:szCs w:val="16"/>
          <w:rtl/>
        </w:rPr>
        <w:t>ח"ב סי' יט</w:t>
      </w:r>
      <w:r w:rsidRPr="002472C2">
        <w:rPr>
          <w:rFonts w:cs="Arial" w:hint="cs"/>
          <w:sz w:val="16"/>
          <w:szCs w:val="16"/>
          <w:rtl/>
        </w:rPr>
        <w:t>)</w:t>
      </w:r>
      <w:r w:rsidR="00A82951">
        <w:rPr>
          <w:rFonts w:cs="Arial" w:hint="cs"/>
          <w:rtl/>
        </w:rPr>
        <w:t>-</w:t>
      </w:r>
      <w:r w:rsidRPr="002472C2">
        <w:rPr>
          <w:rFonts w:cs="Arial"/>
          <w:rtl/>
        </w:rPr>
        <w:t xml:space="preserve"> ע</w:t>
      </w:r>
      <w:r w:rsidR="0065409E">
        <w:rPr>
          <w:rFonts w:cs="Arial" w:hint="cs"/>
          <w:rtl/>
        </w:rPr>
        <w:t xml:space="preserve">ל </w:t>
      </w:r>
      <w:r w:rsidRPr="002472C2">
        <w:rPr>
          <w:rFonts w:cs="Arial"/>
          <w:rtl/>
        </w:rPr>
        <w:t>ד</w:t>
      </w:r>
      <w:r w:rsidR="0065409E">
        <w:rPr>
          <w:rFonts w:cs="Arial" w:hint="cs"/>
          <w:rtl/>
        </w:rPr>
        <w:t>בר</w:t>
      </w:r>
      <w:r w:rsidRPr="002472C2">
        <w:rPr>
          <w:rFonts w:cs="Arial"/>
          <w:rtl/>
        </w:rPr>
        <w:t xml:space="preserve"> הגט הנכתב וניתן בטעמשוואר</w:t>
      </w:r>
      <w:r w:rsidR="0065409E">
        <w:rPr>
          <w:rFonts w:cs="Arial" w:hint="cs"/>
          <w:rtl/>
        </w:rPr>
        <w:t>,</w:t>
      </w:r>
      <w:r w:rsidRPr="002472C2">
        <w:rPr>
          <w:rFonts w:cs="Arial"/>
          <w:rtl/>
        </w:rPr>
        <w:t xml:space="preserve"> וכתב הסופר טימשבאר כמו שכותבים הספרדים על שם העיר הזאת</w:t>
      </w:r>
      <w:r w:rsidR="0065409E">
        <w:rPr>
          <w:rFonts w:cs="Arial" w:hint="cs"/>
          <w:rtl/>
        </w:rPr>
        <w:t xml:space="preserve"> -</w:t>
      </w:r>
      <w:r w:rsidRPr="002472C2">
        <w:rPr>
          <w:rFonts w:cs="Arial"/>
          <w:rtl/>
        </w:rPr>
        <w:t xml:space="preserve"> </w:t>
      </w:r>
      <w:r>
        <w:rPr>
          <w:rFonts w:cs="Arial" w:hint="cs"/>
          <w:rtl/>
        </w:rPr>
        <w:t>יש</w:t>
      </w:r>
      <w:r w:rsidRPr="002472C2">
        <w:rPr>
          <w:rFonts w:cs="Arial"/>
          <w:rtl/>
        </w:rPr>
        <w:t xml:space="preserve"> להכשיר</w:t>
      </w:r>
      <w:r w:rsidR="0065409E">
        <w:rPr>
          <w:rFonts w:cs="Arial" w:hint="cs"/>
          <w:rtl/>
        </w:rPr>
        <w:t>,</w:t>
      </w:r>
      <w:r w:rsidRPr="002472C2">
        <w:rPr>
          <w:rFonts w:cs="Arial"/>
          <w:rtl/>
        </w:rPr>
        <w:t xml:space="preserve"> כיון שרוב הקהל הם ספרדים והם כותבים שם המקום כך אנן בתרייהו גרירן שלא לשנות שם העיר שלא להוציא לעז כו'</w:t>
      </w:r>
      <w:r>
        <w:rPr>
          <w:rFonts w:cs="Arial" w:hint="cs"/>
          <w:rtl/>
        </w:rPr>
        <w:t>.</w:t>
      </w:r>
      <w:r w:rsidRPr="002472C2">
        <w:rPr>
          <w:rFonts w:cs="Arial"/>
          <w:rtl/>
        </w:rPr>
        <w:t xml:space="preserve"> </w:t>
      </w:r>
      <w:r w:rsidRPr="002472C2">
        <w:rPr>
          <w:rFonts w:cs="Arial" w:hint="cs"/>
          <w:sz w:val="16"/>
          <w:szCs w:val="16"/>
          <w:rtl/>
        </w:rPr>
        <w:t>(</w:t>
      </w:r>
      <w:r w:rsidRPr="002472C2">
        <w:rPr>
          <w:rFonts w:cs="Arial"/>
          <w:sz w:val="16"/>
          <w:szCs w:val="16"/>
          <w:rtl/>
        </w:rPr>
        <w:t>ע"ש עוד בסי' מ"ה אודות עיר אובן שיש ג"כ חילוק בין אשכנזים לספרדים שכותבים הספרדים בודן דמתקרי אובן והאשכנזים קורין אובן ע"ש</w:t>
      </w:r>
      <w:r>
        <w:rPr>
          <w:rFonts w:cs="Arial" w:hint="cs"/>
          <w:sz w:val="16"/>
          <w:szCs w:val="16"/>
          <w:rtl/>
        </w:rPr>
        <w:t>)</w:t>
      </w:r>
      <w:r>
        <w:rPr>
          <w:rFonts w:hint="cs"/>
          <w:rtl/>
        </w:rPr>
        <w:t>.</w:t>
      </w:r>
    </w:p>
    <w:p w14:paraId="620358F2" w14:textId="77777777" w:rsidR="00FA2119" w:rsidRDefault="00FA2119" w:rsidP="00FA2119">
      <w:pPr>
        <w:rPr>
          <w:rtl/>
        </w:rPr>
      </w:pPr>
    </w:p>
    <w:p w14:paraId="35781993" w14:textId="77777777" w:rsidR="00FA2119" w:rsidRDefault="00FA2119" w:rsidP="00FA2119">
      <w:pPr>
        <w:pStyle w:val="2"/>
        <w:rPr>
          <w:rtl/>
        </w:rPr>
      </w:pPr>
      <w:r>
        <w:rPr>
          <w:rFonts w:hint="cs"/>
          <w:rtl/>
        </w:rPr>
        <w:t>סעיף</w:t>
      </w:r>
      <w:r>
        <w:rPr>
          <w:rtl/>
        </w:rPr>
        <w:t xml:space="preserve"> </w:t>
      </w:r>
      <w:r>
        <w:rPr>
          <w:rFonts w:hint="cs"/>
          <w:rtl/>
        </w:rPr>
        <w:t>ד: כתיבת שם הנהר שבעיר.</w:t>
      </w:r>
    </w:p>
    <w:p w14:paraId="5B79F830" w14:textId="77777777" w:rsidR="00FA2119" w:rsidRDefault="00FA2119" w:rsidP="00FA2119">
      <w:pPr>
        <w:rPr>
          <w:rFonts w:cs="Arial"/>
          <w:rtl/>
        </w:rPr>
      </w:pPr>
      <w:r w:rsidRPr="003A21A0">
        <w:rPr>
          <w:rFonts w:cs="Arial" w:hint="cs"/>
          <w:u w:val="single"/>
          <w:rtl/>
        </w:rPr>
        <w:t>כתיבת שם הנהר שבעיר:</w:t>
      </w:r>
    </w:p>
    <w:p w14:paraId="713336D5" w14:textId="267A6821" w:rsidR="00FA2119" w:rsidRPr="003A21A0" w:rsidRDefault="00FA2119" w:rsidP="00FA2119">
      <w:pPr>
        <w:pStyle w:val="ab"/>
        <w:numPr>
          <w:ilvl w:val="0"/>
          <w:numId w:val="68"/>
        </w:numPr>
        <w:rPr>
          <w:rFonts w:cs="Arial"/>
          <w:rtl/>
        </w:rPr>
      </w:pPr>
      <w:r>
        <w:rPr>
          <w:rFonts w:cs="Arial" w:hint="cs"/>
          <w:rtl/>
        </w:rPr>
        <w:t>ב"י</w:t>
      </w:r>
      <w:r w:rsidR="00A82951">
        <w:rPr>
          <w:rFonts w:cs="Arial" w:hint="cs"/>
          <w:rtl/>
        </w:rPr>
        <w:t>-</w:t>
      </w:r>
      <w:r>
        <w:rPr>
          <w:rFonts w:cs="Arial" w:hint="cs"/>
          <w:rtl/>
        </w:rPr>
        <w:t xml:space="preserve"> </w:t>
      </w:r>
      <w:r w:rsidRPr="003A21A0">
        <w:rPr>
          <w:rFonts w:cs="Arial" w:hint="cs"/>
          <w:rtl/>
        </w:rPr>
        <w:t>נוהגים</w:t>
      </w:r>
      <w:r w:rsidRPr="003A21A0">
        <w:rPr>
          <w:rFonts w:cs="Arial"/>
          <w:rtl/>
        </w:rPr>
        <w:t xml:space="preserve"> </w:t>
      </w:r>
      <w:r w:rsidRPr="003A21A0">
        <w:rPr>
          <w:rFonts w:cs="Arial" w:hint="cs"/>
          <w:rtl/>
        </w:rPr>
        <w:t>לכתוב</w:t>
      </w:r>
      <w:r w:rsidRPr="003A21A0">
        <w:rPr>
          <w:rFonts w:cs="Arial"/>
          <w:rtl/>
        </w:rPr>
        <w:t xml:space="preserve"> </w:t>
      </w:r>
      <w:r w:rsidRPr="003A21A0">
        <w:rPr>
          <w:rFonts w:cs="Arial" w:hint="cs"/>
          <w:rtl/>
        </w:rPr>
        <w:t>שם</w:t>
      </w:r>
      <w:r w:rsidRPr="003A21A0">
        <w:rPr>
          <w:rFonts w:cs="Arial"/>
          <w:rtl/>
        </w:rPr>
        <w:t xml:space="preserve"> </w:t>
      </w:r>
      <w:r w:rsidRPr="003A21A0">
        <w:rPr>
          <w:rFonts w:cs="Arial" w:hint="cs"/>
          <w:rtl/>
        </w:rPr>
        <w:t>נהר</w:t>
      </w:r>
      <w:r w:rsidRPr="003A21A0">
        <w:rPr>
          <w:rFonts w:cs="Arial"/>
          <w:rtl/>
        </w:rPr>
        <w:t xml:space="preserve"> </w:t>
      </w:r>
      <w:r w:rsidRPr="003A21A0">
        <w:rPr>
          <w:rFonts w:cs="Arial" w:hint="cs"/>
          <w:rtl/>
        </w:rPr>
        <w:t>שבעיר</w:t>
      </w:r>
      <w:r w:rsidRPr="003A21A0">
        <w:rPr>
          <w:rFonts w:cs="Arial"/>
          <w:rtl/>
        </w:rPr>
        <w:t xml:space="preserve"> </w:t>
      </w:r>
      <w:r w:rsidRPr="003A21A0">
        <w:rPr>
          <w:rFonts w:cs="Arial" w:hint="cs"/>
          <w:rtl/>
        </w:rPr>
        <w:t>בפלונית</w:t>
      </w:r>
      <w:r w:rsidRPr="003A21A0">
        <w:rPr>
          <w:rFonts w:cs="Arial"/>
          <w:rtl/>
        </w:rPr>
        <w:t xml:space="preserve"> </w:t>
      </w:r>
      <w:r w:rsidRPr="003A21A0">
        <w:rPr>
          <w:rFonts w:cs="Arial" w:hint="cs"/>
          <w:rtl/>
        </w:rPr>
        <w:t>'מתא</w:t>
      </w:r>
      <w:r w:rsidRPr="003A21A0">
        <w:rPr>
          <w:rFonts w:cs="Arial"/>
          <w:rtl/>
        </w:rPr>
        <w:t xml:space="preserve"> </w:t>
      </w:r>
      <w:r w:rsidRPr="003A21A0">
        <w:rPr>
          <w:rFonts w:cs="Arial" w:hint="cs"/>
          <w:rtl/>
        </w:rPr>
        <w:t>דיתבא</w:t>
      </w:r>
      <w:r w:rsidRPr="003A21A0">
        <w:rPr>
          <w:rFonts w:cs="Arial"/>
          <w:rtl/>
        </w:rPr>
        <w:t xml:space="preserve"> </w:t>
      </w:r>
      <w:r w:rsidRPr="003A21A0">
        <w:rPr>
          <w:rFonts w:cs="Arial" w:hint="cs"/>
          <w:rtl/>
        </w:rPr>
        <w:t>על</w:t>
      </w:r>
      <w:r w:rsidRPr="003A21A0">
        <w:rPr>
          <w:rFonts w:cs="Arial"/>
          <w:rtl/>
        </w:rPr>
        <w:t xml:space="preserve"> </w:t>
      </w:r>
      <w:r w:rsidRPr="003A21A0">
        <w:rPr>
          <w:rFonts w:cs="Arial" w:hint="cs"/>
          <w:rtl/>
        </w:rPr>
        <w:t>נהר</w:t>
      </w:r>
      <w:r w:rsidRPr="003A21A0">
        <w:rPr>
          <w:rFonts w:cs="Arial"/>
          <w:rtl/>
        </w:rPr>
        <w:t xml:space="preserve"> </w:t>
      </w:r>
      <w:r w:rsidRPr="003A21A0">
        <w:rPr>
          <w:rFonts w:cs="Arial" w:hint="cs"/>
          <w:rtl/>
        </w:rPr>
        <w:t>פלוני'.</w:t>
      </w:r>
      <w:r w:rsidRPr="003A21A0">
        <w:rPr>
          <w:rFonts w:cs="Arial"/>
          <w:rtl/>
        </w:rPr>
        <w:t xml:space="preserve"> </w:t>
      </w:r>
      <w:r w:rsidRPr="003A21A0">
        <w:rPr>
          <w:rFonts w:cs="Arial" w:hint="cs"/>
          <w:rtl/>
        </w:rPr>
        <w:t>ומן</w:t>
      </w:r>
      <w:r w:rsidRPr="003A21A0">
        <w:rPr>
          <w:rFonts w:cs="Arial"/>
          <w:rtl/>
        </w:rPr>
        <w:t xml:space="preserve"> </w:t>
      </w:r>
      <w:r w:rsidRPr="003A21A0">
        <w:rPr>
          <w:rFonts w:cs="Arial" w:hint="cs"/>
          <w:rtl/>
        </w:rPr>
        <w:t>הדין</w:t>
      </w:r>
      <w:r w:rsidRPr="003A21A0">
        <w:rPr>
          <w:rFonts w:cs="Arial"/>
          <w:rtl/>
        </w:rPr>
        <w:t xml:space="preserve"> </w:t>
      </w:r>
      <w:r w:rsidRPr="003A21A0">
        <w:rPr>
          <w:rFonts w:cs="Arial" w:hint="cs"/>
          <w:rtl/>
        </w:rPr>
        <w:t>לא</w:t>
      </w:r>
      <w:r w:rsidRPr="003A21A0">
        <w:rPr>
          <w:rFonts w:cs="Arial"/>
          <w:rtl/>
        </w:rPr>
        <w:t xml:space="preserve"> </w:t>
      </w:r>
      <w:r w:rsidRPr="003A21A0">
        <w:rPr>
          <w:rFonts w:cs="Arial" w:hint="cs"/>
          <w:rtl/>
        </w:rPr>
        <w:t>היה</w:t>
      </w:r>
      <w:r w:rsidRPr="003A21A0">
        <w:rPr>
          <w:rFonts w:cs="Arial"/>
          <w:rtl/>
        </w:rPr>
        <w:t xml:space="preserve"> </w:t>
      </w:r>
      <w:r w:rsidRPr="003A21A0">
        <w:rPr>
          <w:rFonts w:cs="Arial" w:hint="cs"/>
          <w:rtl/>
        </w:rPr>
        <w:t>צריך</w:t>
      </w:r>
      <w:r w:rsidRPr="003A21A0">
        <w:rPr>
          <w:rFonts w:cs="Arial"/>
          <w:rtl/>
        </w:rPr>
        <w:t xml:space="preserve"> </w:t>
      </w:r>
      <w:r w:rsidRPr="003A21A0">
        <w:rPr>
          <w:rFonts w:cs="Arial" w:hint="cs"/>
          <w:rtl/>
        </w:rPr>
        <w:t>להזכיר</w:t>
      </w:r>
      <w:r w:rsidRPr="003A21A0">
        <w:rPr>
          <w:rFonts w:cs="Arial"/>
          <w:rtl/>
        </w:rPr>
        <w:t xml:space="preserve"> </w:t>
      </w:r>
      <w:r w:rsidRPr="003A21A0">
        <w:rPr>
          <w:rFonts w:cs="Arial" w:hint="cs"/>
          <w:rtl/>
        </w:rPr>
        <w:t>הנהר</w:t>
      </w:r>
      <w:r>
        <w:rPr>
          <w:rFonts w:cs="Arial" w:hint="cs"/>
          <w:rtl/>
        </w:rPr>
        <w:t>,</w:t>
      </w:r>
      <w:r w:rsidRPr="003A21A0">
        <w:rPr>
          <w:rFonts w:cs="Arial"/>
          <w:rtl/>
        </w:rPr>
        <w:t xml:space="preserve"> </w:t>
      </w:r>
      <w:r w:rsidRPr="003A21A0">
        <w:rPr>
          <w:rFonts w:cs="Arial" w:hint="cs"/>
          <w:rtl/>
        </w:rPr>
        <w:t>כדאשכחן</w:t>
      </w:r>
      <w:r w:rsidRPr="003A21A0">
        <w:rPr>
          <w:rFonts w:cs="Arial"/>
          <w:rtl/>
        </w:rPr>
        <w:t xml:space="preserve"> (</w:t>
      </w:r>
      <w:r w:rsidRPr="003A21A0">
        <w:rPr>
          <w:rFonts w:cs="Arial" w:hint="cs"/>
          <w:rtl/>
        </w:rPr>
        <w:t>יבמות</w:t>
      </w:r>
      <w:r w:rsidRPr="003A21A0">
        <w:rPr>
          <w:rFonts w:cs="Arial"/>
          <w:rtl/>
        </w:rPr>
        <w:t xml:space="preserve"> </w:t>
      </w:r>
      <w:r w:rsidRPr="003A21A0">
        <w:rPr>
          <w:rFonts w:cs="Arial" w:hint="cs"/>
          <w:rtl/>
        </w:rPr>
        <w:t>קטו</w:t>
      </w:r>
      <w:r w:rsidRPr="003A21A0">
        <w:rPr>
          <w:rFonts w:cs="Arial"/>
          <w:rtl/>
        </w:rPr>
        <w:t xml:space="preserve">:) </w:t>
      </w:r>
      <w:r w:rsidRPr="003A21A0">
        <w:rPr>
          <w:rFonts w:cs="Arial" w:hint="cs"/>
          <w:rtl/>
        </w:rPr>
        <w:t>בההוא</w:t>
      </w:r>
      <w:r w:rsidRPr="003A21A0">
        <w:rPr>
          <w:rFonts w:cs="Arial"/>
          <w:rtl/>
        </w:rPr>
        <w:t xml:space="preserve"> </w:t>
      </w:r>
      <w:r w:rsidRPr="003A21A0">
        <w:rPr>
          <w:rFonts w:cs="Arial" w:hint="cs"/>
          <w:rtl/>
        </w:rPr>
        <w:t>גיטא</w:t>
      </w:r>
      <w:r w:rsidRPr="003A21A0">
        <w:rPr>
          <w:rFonts w:cs="Arial"/>
          <w:rtl/>
        </w:rPr>
        <w:t xml:space="preserve"> </w:t>
      </w:r>
      <w:r w:rsidRPr="003A21A0">
        <w:rPr>
          <w:rFonts w:cs="Arial" w:hint="cs"/>
          <w:rtl/>
        </w:rPr>
        <w:t>דאשתכח</w:t>
      </w:r>
      <w:r w:rsidRPr="003A21A0">
        <w:rPr>
          <w:rFonts w:cs="Arial"/>
          <w:rtl/>
        </w:rPr>
        <w:t xml:space="preserve"> </w:t>
      </w:r>
      <w:r w:rsidRPr="003A21A0">
        <w:rPr>
          <w:rFonts w:cs="Arial" w:hint="cs"/>
          <w:rtl/>
        </w:rPr>
        <w:t>בנהרדעא</w:t>
      </w:r>
      <w:r w:rsidRPr="003A21A0">
        <w:rPr>
          <w:rFonts w:cs="Arial"/>
          <w:rtl/>
        </w:rPr>
        <w:t xml:space="preserve"> </w:t>
      </w:r>
      <w:r w:rsidRPr="003A21A0">
        <w:rPr>
          <w:rFonts w:cs="Arial" w:hint="cs"/>
          <w:rtl/>
        </w:rPr>
        <w:t>והוה</w:t>
      </w:r>
      <w:r w:rsidRPr="003A21A0">
        <w:rPr>
          <w:rFonts w:cs="Arial"/>
          <w:rtl/>
        </w:rPr>
        <w:t xml:space="preserve"> </w:t>
      </w:r>
      <w:r w:rsidRPr="003A21A0">
        <w:rPr>
          <w:rFonts w:cs="Arial" w:hint="cs"/>
          <w:rtl/>
        </w:rPr>
        <w:t>כתוב</w:t>
      </w:r>
      <w:r w:rsidRPr="003A21A0">
        <w:rPr>
          <w:rFonts w:cs="Arial"/>
          <w:rtl/>
        </w:rPr>
        <w:t xml:space="preserve"> </w:t>
      </w:r>
      <w:r w:rsidRPr="003A21A0">
        <w:rPr>
          <w:rFonts w:cs="Arial" w:hint="cs"/>
          <w:rtl/>
        </w:rPr>
        <w:t>ביה</w:t>
      </w:r>
      <w:r w:rsidRPr="003A21A0">
        <w:rPr>
          <w:rFonts w:cs="Arial"/>
          <w:rtl/>
        </w:rPr>
        <w:t xml:space="preserve"> </w:t>
      </w:r>
      <w:r w:rsidRPr="003A21A0">
        <w:rPr>
          <w:rFonts w:cs="Arial" w:hint="cs"/>
          <w:rtl/>
        </w:rPr>
        <w:t>בצד</w:t>
      </w:r>
      <w:r w:rsidRPr="003A21A0">
        <w:rPr>
          <w:rFonts w:cs="Arial"/>
          <w:rtl/>
        </w:rPr>
        <w:t xml:space="preserve"> </w:t>
      </w:r>
      <w:r w:rsidRPr="003A21A0">
        <w:rPr>
          <w:rFonts w:cs="Arial" w:hint="cs"/>
          <w:rtl/>
        </w:rPr>
        <w:t>קלניא</w:t>
      </w:r>
      <w:r w:rsidRPr="003A21A0">
        <w:rPr>
          <w:rFonts w:cs="Arial"/>
          <w:rtl/>
        </w:rPr>
        <w:t xml:space="preserve"> </w:t>
      </w:r>
      <w:r w:rsidRPr="003A21A0">
        <w:rPr>
          <w:rFonts w:cs="Arial" w:hint="cs"/>
          <w:rtl/>
        </w:rPr>
        <w:t>וכו</w:t>
      </w:r>
      <w:r w:rsidRPr="003A21A0">
        <w:rPr>
          <w:rFonts w:cs="Arial"/>
          <w:rtl/>
        </w:rPr>
        <w:t>'</w:t>
      </w:r>
      <w:r>
        <w:rPr>
          <w:rFonts w:cs="Arial" w:hint="cs"/>
          <w:rtl/>
        </w:rPr>
        <w:t>,</w:t>
      </w:r>
      <w:r w:rsidRPr="003A21A0">
        <w:rPr>
          <w:rFonts w:cs="Arial"/>
          <w:rtl/>
        </w:rPr>
        <w:t xml:space="preserve"> </w:t>
      </w:r>
      <w:r w:rsidRPr="003A21A0">
        <w:rPr>
          <w:rFonts w:cs="Arial" w:hint="cs"/>
          <w:rtl/>
        </w:rPr>
        <w:t>והיה</w:t>
      </w:r>
      <w:r w:rsidRPr="003A21A0">
        <w:rPr>
          <w:rFonts w:cs="Arial"/>
          <w:rtl/>
        </w:rPr>
        <w:t xml:space="preserve"> </w:t>
      </w:r>
      <w:r w:rsidRPr="003A21A0">
        <w:rPr>
          <w:rFonts w:cs="Arial" w:hint="cs"/>
          <w:rtl/>
        </w:rPr>
        <w:t>בהם</w:t>
      </w:r>
      <w:r w:rsidRPr="003A21A0">
        <w:rPr>
          <w:rFonts w:cs="Arial"/>
          <w:rtl/>
        </w:rPr>
        <w:t xml:space="preserve"> </w:t>
      </w:r>
      <w:r w:rsidRPr="003A21A0">
        <w:rPr>
          <w:rFonts w:cs="Arial" w:hint="cs"/>
          <w:rtl/>
        </w:rPr>
        <w:t>נהרות</w:t>
      </w:r>
      <w:r w:rsidRPr="003A21A0">
        <w:rPr>
          <w:rFonts w:cs="Arial"/>
          <w:rtl/>
        </w:rPr>
        <w:t xml:space="preserve"> </w:t>
      </w:r>
      <w:r w:rsidRPr="003A21A0">
        <w:rPr>
          <w:rFonts w:cs="Arial" w:hint="cs"/>
          <w:rtl/>
        </w:rPr>
        <w:t>ולא</w:t>
      </w:r>
      <w:r w:rsidRPr="003A21A0">
        <w:rPr>
          <w:rFonts w:cs="Arial"/>
          <w:rtl/>
        </w:rPr>
        <w:t xml:space="preserve"> </w:t>
      </w:r>
      <w:r w:rsidRPr="003A21A0">
        <w:rPr>
          <w:rFonts w:cs="Arial" w:hint="cs"/>
          <w:rtl/>
        </w:rPr>
        <w:t>הזכירם</w:t>
      </w:r>
      <w:r>
        <w:rPr>
          <w:rStyle w:val="a7"/>
          <w:rFonts w:cs="Arial"/>
          <w:rtl/>
        </w:rPr>
        <w:footnoteReference w:id="998"/>
      </w:r>
      <w:r w:rsidRPr="003A21A0">
        <w:rPr>
          <w:rFonts w:cs="Arial" w:hint="cs"/>
          <w:rtl/>
        </w:rPr>
        <w:t>.</w:t>
      </w:r>
      <w:r w:rsidRPr="003A21A0">
        <w:rPr>
          <w:rFonts w:cs="Arial"/>
          <w:rtl/>
        </w:rPr>
        <w:t xml:space="preserve"> </w:t>
      </w:r>
      <w:r w:rsidRPr="00A5285E">
        <w:rPr>
          <w:rFonts w:hint="cs"/>
          <w:color w:val="E36C0A" w:themeColor="accent6" w:themeShade="BF"/>
          <w:rtl/>
        </w:rPr>
        <w:t>(וכ"פ בשו"ע)</w:t>
      </w:r>
    </w:p>
    <w:p w14:paraId="54CB6AB6" w14:textId="77777777" w:rsidR="00FA2119" w:rsidRPr="00BB2FEA" w:rsidRDefault="00FA2119" w:rsidP="00FA2119">
      <w:pPr>
        <w:rPr>
          <w:rFonts w:cs="Arial"/>
          <w:u w:val="single"/>
          <w:rtl/>
        </w:rPr>
      </w:pPr>
      <w:r w:rsidRPr="00BB2FEA">
        <w:rPr>
          <w:rFonts w:cs="Arial" w:hint="cs"/>
          <w:u w:val="single"/>
          <w:rtl/>
        </w:rPr>
        <w:lastRenderedPageBreak/>
        <w:t>עיר</w:t>
      </w:r>
      <w:r w:rsidRPr="00BB2FEA">
        <w:rPr>
          <w:rFonts w:cs="Arial"/>
          <w:u w:val="single"/>
          <w:rtl/>
        </w:rPr>
        <w:t xml:space="preserve"> </w:t>
      </w:r>
      <w:r w:rsidRPr="00BB2FEA">
        <w:rPr>
          <w:rFonts w:cs="Arial" w:hint="cs"/>
          <w:u w:val="single"/>
          <w:rtl/>
        </w:rPr>
        <w:t>שיש בה שנים</w:t>
      </w:r>
      <w:r w:rsidRPr="00BB2FEA">
        <w:rPr>
          <w:rFonts w:cs="Arial"/>
          <w:u w:val="single"/>
          <w:rtl/>
        </w:rPr>
        <w:t xml:space="preserve"> </w:t>
      </w:r>
      <w:r w:rsidRPr="00BB2FEA">
        <w:rPr>
          <w:rFonts w:cs="Arial" w:hint="cs"/>
          <w:u w:val="single"/>
          <w:rtl/>
        </w:rPr>
        <w:t>או</w:t>
      </w:r>
      <w:r w:rsidRPr="00BB2FEA">
        <w:rPr>
          <w:rFonts w:cs="Arial"/>
          <w:u w:val="single"/>
          <w:rtl/>
        </w:rPr>
        <w:t xml:space="preserve"> </w:t>
      </w:r>
      <w:r w:rsidRPr="00BB2FEA">
        <w:rPr>
          <w:rFonts w:cs="Arial" w:hint="cs"/>
          <w:u w:val="single"/>
          <w:rtl/>
        </w:rPr>
        <w:t>שלשה</w:t>
      </w:r>
      <w:r w:rsidRPr="00BB2FEA">
        <w:rPr>
          <w:rFonts w:cs="Arial"/>
          <w:u w:val="single"/>
          <w:rtl/>
        </w:rPr>
        <w:t xml:space="preserve"> </w:t>
      </w:r>
      <w:r w:rsidRPr="00BB2FEA">
        <w:rPr>
          <w:rFonts w:cs="Arial" w:hint="cs"/>
          <w:u w:val="single"/>
          <w:rtl/>
        </w:rPr>
        <w:t>נהרות:</w:t>
      </w:r>
    </w:p>
    <w:p w14:paraId="1AC9A029" w14:textId="43C5B4F4" w:rsidR="00FA2119" w:rsidRDefault="00FA2119" w:rsidP="00FA2119">
      <w:pPr>
        <w:pStyle w:val="ab"/>
        <w:numPr>
          <w:ilvl w:val="0"/>
          <w:numId w:val="68"/>
        </w:numPr>
      </w:pPr>
      <w:r w:rsidRPr="00BB2FEA">
        <w:rPr>
          <w:rFonts w:cs="Arial" w:hint="cs"/>
          <w:rtl/>
        </w:rPr>
        <w:t>כל</w:t>
      </w:r>
      <w:r w:rsidRPr="00BB2FEA">
        <w:rPr>
          <w:rFonts w:cs="Arial"/>
          <w:rtl/>
        </w:rPr>
        <w:t xml:space="preserve"> </w:t>
      </w:r>
      <w:r w:rsidRPr="00BB2FEA">
        <w:rPr>
          <w:rFonts w:cs="Arial" w:hint="cs"/>
          <w:rtl/>
        </w:rPr>
        <w:t>בו</w:t>
      </w:r>
      <w:r w:rsidRPr="00BB2FEA">
        <w:rPr>
          <w:rFonts w:cs="Arial"/>
          <w:rtl/>
        </w:rPr>
        <w:t xml:space="preserve"> </w:t>
      </w:r>
      <w:r w:rsidRPr="00BB2FEA">
        <w:rPr>
          <w:rFonts w:cs="Arial"/>
          <w:sz w:val="16"/>
          <w:szCs w:val="16"/>
          <w:rtl/>
        </w:rPr>
        <w:t>(</w:t>
      </w:r>
      <w:r w:rsidRPr="00BB2FEA">
        <w:rPr>
          <w:rFonts w:cs="Arial" w:hint="cs"/>
          <w:sz w:val="16"/>
          <w:szCs w:val="16"/>
          <w:rtl/>
        </w:rPr>
        <w:t>סי</w:t>
      </w:r>
      <w:r w:rsidRPr="00BB2FEA">
        <w:rPr>
          <w:rFonts w:cs="Arial"/>
          <w:sz w:val="16"/>
          <w:szCs w:val="16"/>
          <w:rtl/>
        </w:rPr>
        <w:t xml:space="preserve">' </w:t>
      </w:r>
      <w:r w:rsidRPr="00BB2FEA">
        <w:rPr>
          <w:rFonts w:cs="Arial" w:hint="cs"/>
          <w:sz w:val="16"/>
          <w:szCs w:val="16"/>
          <w:rtl/>
        </w:rPr>
        <w:t>עו</w:t>
      </w:r>
      <w:r w:rsidRPr="00BB2FEA">
        <w:rPr>
          <w:rFonts w:cs="Arial"/>
          <w:sz w:val="16"/>
          <w:szCs w:val="16"/>
          <w:rtl/>
        </w:rPr>
        <w:t xml:space="preserve"> </w:t>
      </w:r>
      <w:r w:rsidRPr="00BB2FEA">
        <w:rPr>
          <w:rFonts w:cs="Arial" w:hint="cs"/>
          <w:sz w:val="16"/>
          <w:szCs w:val="16"/>
          <w:rtl/>
        </w:rPr>
        <w:t>מז</w:t>
      </w:r>
      <w:r w:rsidRPr="00BB2FEA">
        <w:rPr>
          <w:rFonts w:cs="Arial"/>
          <w:sz w:val="16"/>
          <w:szCs w:val="16"/>
          <w:rtl/>
        </w:rPr>
        <w:t xml:space="preserve"> </w:t>
      </w:r>
      <w:r w:rsidRPr="00BB2FEA">
        <w:rPr>
          <w:rFonts w:cs="Arial" w:hint="cs"/>
          <w:sz w:val="16"/>
          <w:szCs w:val="16"/>
          <w:rtl/>
        </w:rPr>
        <w:t>ע</w:t>
      </w:r>
      <w:r w:rsidRPr="00BB2FEA">
        <w:rPr>
          <w:rFonts w:cs="Arial"/>
          <w:sz w:val="16"/>
          <w:szCs w:val="16"/>
          <w:rtl/>
        </w:rPr>
        <w:t>"</w:t>
      </w:r>
      <w:r w:rsidRPr="00BB2FEA">
        <w:rPr>
          <w:rFonts w:cs="Arial" w:hint="cs"/>
          <w:sz w:val="16"/>
          <w:szCs w:val="16"/>
          <w:rtl/>
        </w:rPr>
        <w:t>ד</w:t>
      </w:r>
      <w:r w:rsidRPr="00BB2FEA">
        <w:rPr>
          <w:rFonts w:cs="Arial"/>
          <w:sz w:val="16"/>
          <w:szCs w:val="16"/>
          <w:rtl/>
        </w:rPr>
        <w:t>)</w:t>
      </w:r>
      <w:r w:rsidRPr="00BB2FEA">
        <w:rPr>
          <w:rFonts w:cs="Arial" w:hint="cs"/>
          <w:rtl/>
        </w:rPr>
        <w:t xml:space="preserve"> </w:t>
      </w:r>
      <w:r>
        <w:rPr>
          <w:rFonts w:cs="Arial" w:hint="cs"/>
          <w:rtl/>
        </w:rPr>
        <w:t>הגמ"ר</w:t>
      </w:r>
      <w:r w:rsidRPr="00BB2FEA">
        <w:rPr>
          <w:rFonts w:cs="Arial" w:hint="cs"/>
          <w:sz w:val="16"/>
          <w:szCs w:val="16"/>
          <w:rtl/>
        </w:rPr>
        <w:t xml:space="preserve"> </w:t>
      </w:r>
      <w:r w:rsidRPr="00BB2FEA">
        <w:rPr>
          <w:rFonts w:cs="Arial"/>
          <w:sz w:val="16"/>
          <w:szCs w:val="16"/>
          <w:rtl/>
        </w:rPr>
        <w:t>(</w:t>
      </w:r>
      <w:r w:rsidRPr="00BB2FEA">
        <w:rPr>
          <w:rFonts w:cs="Arial" w:hint="cs"/>
          <w:sz w:val="16"/>
          <w:szCs w:val="16"/>
          <w:rtl/>
        </w:rPr>
        <w:t>סי</w:t>
      </w:r>
      <w:r w:rsidRPr="00BB2FEA">
        <w:rPr>
          <w:rFonts w:cs="Arial"/>
          <w:sz w:val="16"/>
          <w:szCs w:val="16"/>
          <w:rtl/>
        </w:rPr>
        <w:t xml:space="preserve">' </w:t>
      </w:r>
      <w:r w:rsidRPr="00BB2FEA">
        <w:rPr>
          <w:rFonts w:cs="Arial" w:hint="cs"/>
          <w:sz w:val="16"/>
          <w:szCs w:val="16"/>
          <w:rtl/>
        </w:rPr>
        <w:t>תכז</w:t>
      </w:r>
      <w:r w:rsidRPr="00BB2FEA">
        <w:rPr>
          <w:rFonts w:cs="Arial"/>
          <w:sz w:val="16"/>
          <w:szCs w:val="16"/>
          <w:rtl/>
        </w:rPr>
        <w:t>)</w:t>
      </w:r>
      <w:r w:rsidRPr="00BB2FEA">
        <w:rPr>
          <w:rFonts w:cs="Arial"/>
          <w:rtl/>
        </w:rPr>
        <w:t xml:space="preserve"> </w:t>
      </w:r>
      <w:r>
        <w:rPr>
          <w:rFonts w:cs="Arial" w:hint="cs"/>
          <w:rtl/>
        </w:rPr>
        <w:t>ו</w:t>
      </w:r>
      <w:r w:rsidRPr="00BB2FEA">
        <w:rPr>
          <w:rFonts w:cs="Arial" w:hint="cs"/>
          <w:rtl/>
        </w:rPr>
        <w:t>סמ</w:t>
      </w:r>
      <w:r w:rsidRPr="00BB2FEA">
        <w:rPr>
          <w:rFonts w:cs="Arial"/>
          <w:rtl/>
        </w:rPr>
        <w:t>"</w:t>
      </w:r>
      <w:r w:rsidRPr="00BB2FEA">
        <w:rPr>
          <w:rFonts w:cs="Arial" w:hint="cs"/>
          <w:rtl/>
        </w:rPr>
        <w:t>ק</w:t>
      </w:r>
      <w:r w:rsidRPr="00BB2FEA">
        <w:rPr>
          <w:rFonts w:cs="Arial"/>
          <w:rtl/>
        </w:rPr>
        <w:t xml:space="preserve"> </w:t>
      </w:r>
      <w:r w:rsidRPr="00BB2FEA">
        <w:rPr>
          <w:rFonts w:cs="Arial"/>
          <w:sz w:val="16"/>
          <w:szCs w:val="16"/>
          <w:rtl/>
        </w:rPr>
        <w:t>(</w:t>
      </w:r>
      <w:r w:rsidRPr="00BB2FEA">
        <w:rPr>
          <w:rFonts w:cs="Arial" w:hint="cs"/>
          <w:sz w:val="16"/>
          <w:szCs w:val="16"/>
          <w:rtl/>
        </w:rPr>
        <w:t>סי</w:t>
      </w:r>
      <w:r w:rsidRPr="00BB2FEA">
        <w:rPr>
          <w:rFonts w:cs="Arial"/>
          <w:sz w:val="16"/>
          <w:szCs w:val="16"/>
          <w:rtl/>
        </w:rPr>
        <w:t xml:space="preserve">' </w:t>
      </w:r>
      <w:r w:rsidRPr="00BB2FEA">
        <w:rPr>
          <w:rFonts w:cs="Arial" w:hint="cs"/>
          <w:sz w:val="16"/>
          <w:szCs w:val="16"/>
          <w:rtl/>
        </w:rPr>
        <w:t>קפד</w:t>
      </w:r>
      <w:r w:rsidRPr="00BB2FEA">
        <w:rPr>
          <w:rFonts w:cs="Arial"/>
          <w:sz w:val="16"/>
          <w:szCs w:val="16"/>
          <w:rtl/>
        </w:rPr>
        <w:t xml:space="preserve"> </w:t>
      </w:r>
      <w:r w:rsidRPr="00BB2FEA">
        <w:rPr>
          <w:rFonts w:cs="Arial" w:hint="cs"/>
          <w:sz w:val="16"/>
          <w:szCs w:val="16"/>
          <w:rtl/>
        </w:rPr>
        <w:t>בטופס</w:t>
      </w:r>
      <w:r w:rsidRPr="00BB2FEA">
        <w:rPr>
          <w:rFonts w:cs="Arial"/>
          <w:sz w:val="16"/>
          <w:szCs w:val="16"/>
          <w:rtl/>
        </w:rPr>
        <w:t xml:space="preserve"> </w:t>
      </w:r>
      <w:r w:rsidRPr="00BB2FEA">
        <w:rPr>
          <w:rFonts w:cs="Arial" w:hint="cs"/>
          <w:sz w:val="16"/>
          <w:szCs w:val="16"/>
          <w:rtl/>
        </w:rPr>
        <w:t>הגט, וכ"כ בשמו הגה"מ</w:t>
      </w:r>
      <w:r w:rsidRPr="00BB2FEA">
        <w:rPr>
          <w:rFonts w:cs="Arial"/>
          <w:sz w:val="16"/>
          <w:szCs w:val="16"/>
          <w:rtl/>
        </w:rPr>
        <w:t xml:space="preserve"> </w:t>
      </w:r>
      <w:r w:rsidRPr="00BB2FEA">
        <w:rPr>
          <w:rFonts w:cs="Arial" w:hint="cs"/>
          <w:sz w:val="16"/>
          <w:szCs w:val="16"/>
          <w:rtl/>
        </w:rPr>
        <w:t>[פ"ד ד"ק הי</w:t>
      </w:r>
      <w:r w:rsidRPr="00BB2FEA">
        <w:rPr>
          <w:rFonts w:cs="Arial"/>
          <w:sz w:val="16"/>
          <w:szCs w:val="16"/>
          <w:rtl/>
        </w:rPr>
        <w:t>"</w:t>
      </w:r>
      <w:r w:rsidRPr="00BB2FEA">
        <w:rPr>
          <w:rFonts w:cs="Arial" w:hint="cs"/>
          <w:sz w:val="16"/>
          <w:szCs w:val="16"/>
          <w:rtl/>
        </w:rPr>
        <w:t>ב</w:t>
      </w:r>
      <w:r w:rsidRPr="00BB2FEA">
        <w:rPr>
          <w:rFonts w:cs="Arial"/>
          <w:sz w:val="16"/>
          <w:szCs w:val="16"/>
          <w:rtl/>
        </w:rPr>
        <w:t xml:space="preserve"> </w:t>
      </w:r>
      <w:r w:rsidRPr="00BB2FEA">
        <w:rPr>
          <w:rFonts w:cs="Arial" w:hint="cs"/>
          <w:sz w:val="16"/>
          <w:szCs w:val="16"/>
          <w:rtl/>
        </w:rPr>
        <w:t>ד</w:t>
      </w:r>
      <w:r w:rsidRPr="00BB2FEA">
        <w:rPr>
          <w:rFonts w:cs="Arial"/>
          <w:sz w:val="16"/>
          <w:szCs w:val="16"/>
          <w:rtl/>
        </w:rPr>
        <w:t>"</w:t>
      </w:r>
      <w:r w:rsidRPr="00BB2FEA">
        <w:rPr>
          <w:rFonts w:cs="Arial" w:hint="cs"/>
          <w:sz w:val="16"/>
          <w:szCs w:val="16"/>
          <w:rtl/>
        </w:rPr>
        <w:t>ה</w:t>
      </w:r>
      <w:r w:rsidRPr="00BB2FEA">
        <w:rPr>
          <w:rFonts w:cs="Arial"/>
          <w:sz w:val="16"/>
          <w:szCs w:val="16"/>
          <w:rtl/>
        </w:rPr>
        <w:t xml:space="preserve"> </w:t>
      </w:r>
      <w:r w:rsidRPr="00BB2FEA">
        <w:rPr>
          <w:rFonts w:cs="Arial" w:hint="cs"/>
          <w:sz w:val="16"/>
          <w:szCs w:val="16"/>
          <w:rtl/>
        </w:rPr>
        <w:t>דיתבא]</w:t>
      </w:r>
      <w:r w:rsidRPr="00BB2FEA">
        <w:rPr>
          <w:rFonts w:cs="Arial"/>
          <w:sz w:val="16"/>
          <w:szCs w:val="16"/>
          <w:rtl/>
        </w:rPr>
        <w:t>)</w:t>
      </w:r>
      <w:r w:rsidR="00A82951">
        <w:rPr>
          <w:rFonts w:cs="Arial" w:hint="cs"/>
          <w:rtl/>
        </w:rPr>
        <w:t>-</w:t>
      </w:r>
      <w:r w:rsidRPr="00BB2FEA">
        <w:rPr>
          <w:rFonts w:cs="Arial" w:hint="cs"/>
          <w:rtl/>
        </w:rPr>
        <w:t xml:space="preserve"> צריך</w:t>
      </w:r>
      <w:r w:rsidRPr="00BB2FEA">
        <w:rPr>
          <w:rFonts w:cs="Arial"/>
          <w:rtl/>
        </w:rPr>
        <w:t xml:space="preserve"> </w:t>
      </w:r>
      <w:r w:rsidRPr="00BB2FEA">
        <w:rPr>
          <w:rFonts w:cs="Arial" w:hint="cs"/>
          <w:rtl/>
        </w:rPr>
        <w:t>לכתוב</w:t>
      </w:r>
      <w:r w:rsidRPr="00BB2FEA">
        <w:rPr>
          <w:rFonts w:cs="Arial"/>
          <w:rtl/>
        </w:rPr>
        <w:t xml:space="preserve"> </w:t>
      </w:r>
      <w:r w:rsidRPr="00BB2FEA">
        <w:rPr>
          <w:rFonts w:cs="Arial" w:hint="cs"/>
          <w:rtl/>
        </w:rPr>
        <w:t>כולם</w:t>
      </w:r>
      <w:r w:rsidR="0067010F">
        <w:rPr>
          <w:rFonts w:cs="Arial" w:hint="cs"/>
          <w:rtl/>
        </w:rPr>
        <w:t>,</w:t>
      </w:r>
      <w:r w:rsidRPr="00BB2FEA">
        <w:rPr>
          <w:rFonts w:cs="Arial"/>
          <w:rtl/>
        </w:rPr>
        <w:t xml:space="preserve"> </w:t>
      </w:r>
      <w:r w:rsidRPr="00BB2FEA">
        <w:rPr>
          <w:rFonts w:cs="Arial" w:hint="cs"/>
          <w:rtl/>
        </w:rPr>
        <w:t>דיתבא</w:t>
      </w:r>
      <w:r w:rsidRPr="00BB2FEA">
        <w:rPr>
          <w:rFonts w:cs="Arial"/>
          <w:rtl/>
        </w:rPr>
        <w:t xml:space="preserve"> </w:t>
      </w:r>
      <w:r w:rsidRPr="00BB2FEA">
        <w:rPr>
          <w:rFonts w:cs="Arial" w:hint="cs"/>
          <w:rtl/>
        </w:rPr>
        <w:t>על</w:t>
      </w:r>
      <w:r w:rsidRPr="00BB2FEA">
        <w:rPr>
          <w:rFonts w:cs="Arial"/>
          <w:rtl/>
        </w:rPr>
        <w:t xml:space="preserve"> </w:t>
      </w:r>
      <w:r w:rsidRPr="00BB2FEA">
        <w:rPr>
          <w:rFonts w:cs="Arial" w:hint="cs"/>
          <w:rtl/>
        </w:rPr>
        <w:t>נהר</w:t>
      </w:r>
      <w:r w:rsidRPr="00BB2FEA">
        <w:rPr>
          <w:rFonts w:cs="Arial"/>
          <w:rtl/>
        </w:rPr>
        <w:t xml:space="preserve"> </w:t>
      </w:r>
      <w:r w:rsidRPr="00BB2FEA">
        <w:rPr>
          <w:rFonts w:cs="Arial" w:hint="cs"/>
          <w:rtl/>
        </w:rPr>
        <w:t>פלוני</w:t>
      </w:r>
      <w:r w:rsidRPr="00BB2FEA">
        <w:rPr>
          <w:rFonts w:cs="Arial"/>
          <w:rtl/>
        </w:rPr>
        <w:t xml:space="preserve"> </w:t>
      </w:r>
      <w:r w:rsidRPr="00BB2FEA">
        <w:rPr>
          <w:rFonts w:cs="Arial" w:hint="cs"/>
          <w:rtl/>
        </w:rPr>
        <w:t>ופלוני</w:t>
      </w:r>
      <w:r w:rsidRPr="00BB2FEA">
        <w:rPr>
          <w:rFonts w:cs="Arial"/>
          <w:rtl/>
        </w:rPr>
        <w:t xml:space="preserve"> </w:t>
      </w:r>
      <w:r w:rsidRPr="00BB2FEA">
        <w:rPr>
          <w:rFonts w:cs="Arial" w:hint="cs"/>
          <w:rtl/>
        </w:rPr>
        <w:t>ופלוני</w:t>
      </w:r>
      <w:r>
        <w:rPr>
          <w:rFonts w:cs="Arial" w:hint="cs"/>
          <w:rtl/>
        </w:rPr>
        <w:t>.</w:t>
      </w:r>
      <w:r w:rsidRPr="00BB2FEA">
        <w:rPr>
          <w:rFonts w:cs="Arial"/>
          <w:rtl/>
        </w:rPr>
        <w:t xml:space="preserve"> </w:t>
      </w:r>
      <w:r w:rsidRPr="00A5285E">
        <w:rPr>
          <w:rFonts w:hint="cs"/>
          <w:color w:val="E36C0A" w:themeColor="accent6" w:themeShade="BF"/>
          <w:rtl/>
        </w:rPr>
        <w:t>(וכ"פ בשו"ע)</w:t>
      </w:r>
    </w:p>
    <w:p w14:paraId="441208C8" w14:textId="77777777" w:rsidR="00FA2119" w:rsidRPr="00BB2FEA" w:rsidRDefault="00FA2119" w:rsidP="00FA2119">
      <w:pPr>
        <w:rPr>
          <w:u w:val="single"/>
        </w:rPr>
      </w:pPr>
      <w:r>
        <w:rPr>
          <w:rFonts w:hint="cs"/>
          <w:u w:val="single"/>
          <w:rtl/>
        </w:rPr>
        <w:t>כתיבת המילה '</w:t>
      </w:r>
      <w:r w:rsidRPr="00BB2FEA">
        <w:rPr>
          <w:rFonts w:hint="cs"/>
          <w:u w:val="single"/>
          <w:rtl/>
        </w:rPr>
        <w:t>דיתבא</w:t>
      </w:r>
      <w:r>
        <w:rPr>
          <w:rFonts w:hint="cs"/>
          <w:u w:val="single"/>
          <w:rtl/>
        </w:rPr>
        <w:t>'</w:t>
      </w:r>
      <w:r w:rsidRPr="00BB2FEA">
        <w:rPr>
          <w:rFonts w:hint="cs"/>
          <w:u w:val="single"/>
          <w:rtl/>
        </w:rPr>
        <w:t>:</w:t>
      </w:r>
    </w:p>
    <w:p w14:paraId="02E7A9DE" w14:textId="625E7F83" w:rsidR="00FA2119" w:rsidRDefault="00FA2119" w:rsidP="00FA2119">
      <w:pPr>
        <w:pStyle w:val="ab"/>
        <w:numPr>
          <w:ilvl w:val="0"/>
          <w:numId w:val="68"/>
        </w:numPr>
      </w:pPr>
      <w:r w:rsidRPr="00BB2FEA">
        <w:rPr>
          <w:rFonts w:cs="Arial" w:hint="cs"/>
          <w:rtl/>
        </w:rPr>
        <w:t>תוס</w:t>
      </w:r>
      <w:r w:rsidRPr="00BB2FEA">
        <w:rPr>
          <w:rFonts w:cs="Arial"/>
          <w:rtl/>
        </w:rPr>
        <w:t xml:space="preserve">' </w:t>
      </w:r>
      <w:r w:rsidRPr="00BB2FEA">
        <w:rPr>
          <w:rFonts w:cs="Arial"/>
          <w:sz w:val="16"/>
          <w:szCs w:val="16"/>
          <w:rtl/>
        </w:rPr>
        <w:t>(</w:t>
      </w:r>
      <w:r w:rsidRPr="00BB2FEA">
        <w:rPr>
          <w:rFonts w:cs="Arial" w:hint="cs"/>
          <w:sz w:val="16"/>
          <w:szCs w:val="16"/>
          <w:rtl/>
        </w:rPr>
        <w:t>פה: ד</w:t>
      </w:r>
      <w:r w:rsidRPr="00BB2FEA">
        <w:rPr>
          <w:rFonts w:cs="Arial"/>
          <w:sz w:val="16"/>
          <w:szCs w:val="16"/>
          <w:rtl/>
        </w:rPr>
        <w:t>"</w:t>
      </w:r>
      <w:r w:rsidRPr="00BB2FEA">
        <w:rPr>
          <w:rFonts w:cs="Arial" w:hint="cs"/>
          <w:sz w:val="16"/>
          <w:szCs w:val="16"/>
          <w:rtl/>
        </w:rPr>
        <w:t>ה</w:t>
      </w:r>
      <w:r w:rsidRPr="00BB2FEA">
        <w:rPr>
          <w:rFonts w:cs="Arial"/>
          <w:sz w:val="16"/>
          <w:szCs w:val="16"/>
          <w:rtl/>
        </w:rPr>
        <w:t xml:space="preserve"> </w:t>
      </w:r>
      <w:r w:rsidRPr="00BB2FEA">
        <w:rPr>
          <w:rFonts w:cs="Arial" w:hint="cs"/>
          <w:sz w:val="16"/>
          <w:szCs w:val="16"/>
          <w:rtl/>
        </w:rPr>
        <w:t>דתהויין</w:t>
      </w:r>
      <w:r w:rsidRPr="00BB2FEA">
        <w:rPr>
          <w:rFonts w:cs="Arial"/>
          <w:sz w:val="16"/>
          <w:szCs w:val="16"/>
          <w:rtl/>
        </w:rPr>
        <w:t xml:space="preserve">) </w:t>
      </w:r>
      <w:r w:rsidRPr="00BB2FEA">
        <w:rPr>
          <w:rFonts w:cs="Arial" w:hint="cs"/>
          <w:rtl/>
        </w:rPr>
        <w:t>מרדכי</w:t>
      </w:r>
      <w:r w:rsidRPr="00BB2FEA">
        <w:rPr>
          <w:rFonts w:cs="Arial"/>
          <w:rtl/>
        </w:rPr>
        <w:t xml:space="preserve"> </w:t>
      </w:r>
      <w:r w:rsidRPr="00BB2FEA">
        <w:rPr>
          <w:rFonts w:cs="Arial"/>
          <w:sz w:val="16"/>
          <w:szCs w:val="16"/>
          <w:rtl/>
        </w:rPr>
        <w:t>(</w:t>
      </w:r>
      <w:r w:rsidRPr="00BB2FEA">
        <w:rPr>
          <w:rFonts w:cs="Arial" w:hint="cs"/>
          <w:sz w:val="16"/>
          <w:szCs w:val="16"/>
          <w:rtl/>
        </w:rPr>
        <w:t>סי</w:t>
      </w:r>
      <w:r w:rsidRPr="00BB2FEA">
        <w:rPr>
          <w:rFonts w:cs="Arial"/>
          <w:sz w:val="16"/>
          <w:szCs w:val="16"/>
          <w:rtl/>
        </w:rPr>
        <w:t xml:space="preserve">' </w:t>
      </w:r>
      <w:r w:rsidRPr="00BB2FEA">
        <w:rPr>
          <w:rFonts w:cs="Arial" w:hint="cs"/>
          <w:sz w:val="16"/>
          <w:szCs w:val="16"/>
          <w:rtl/>
        </w:rPr>
        <w:t>תנג</w:t>
      </w:r>
      <w:r w:rsidRPr="00BB2FEA">
        <w:rPr>
          <w:rFonts w:cs="Arial"/>
          <w:sz w:val="16"/>
          <w:szCs w:val="16"/>
          <w:rtl/>
        </w:rPr>
        <w:t>)</w:t>
      </w:r>
      <w:r w:rsidRPr="00BB2FEA">
        <w:rPr>
          <w:rFonts w:cs="Arial"/>
          <w:rtl/>
        </w:rPr>
        <w:t xml:space="preserve"> </w:t>
      </w:r>
      <w:r w:rsidRPr="00BB2FEA">
        <w:rPr>
          <w:rFonts w:cs="Arial" w:hint="cs"/>
          <w:rtl/>
        </w:rPr>
        <w:t>כל</w:t>
      </w:r>
      <w:r w:rsidRPr="00BB2FEA">
        <w:rPr>
          <w:rFonts w:cs="Arial"/>
          <w:rtl/>
        </w:rPr>
        <w:t xml:space="preserve"> </w:t>
      </w:r>
      <w:r w:rsidRPr="00BB2FEA">
        <w:rPr>
          <w:rFonts w:cs="Arial" w:hint="cs"/>
          <w:rtl/>
        </w:rPr>
        <w:t>בו</w:t>
      </w:r>
      <w:r w:rsidRPr="00BB2FEA">
        <w:rPr>
          <w:rFonts w:cs="Arial"/>
          <w:rtl/>
        </w:rPr>
        <w:t xml:space="preserve"> </w:t>
      </w:r>
      <w:r w:rsidRPr="00BB2FEA">
        <w:rPr>
          <w:rFonts w:cs="Arial"/>
          <w:sz w:val="16"/>
          <w:szCs w:val="16"/>
          <w:rtl/>
        </w:rPr>
        <w:t>(</w:t>
      </w:r>
      <w:r w:rsidRPr="00BB2FEA">
        <w:rPr>
          <w:rFonts w:cs="Arial" w:hint="cs"/>
          <w:sz w:val="16"/>
          <w:szCs w:val="16"/>
          <w:rtl/>
        </w:rPr>
        <w:t>שם</w:t>
      </w:r>
      <w:r w:rsidRPr="00BB2FEA">
        <w:rPr>
          <w:rFonts w:cs="Arial"/>
          <w:sz w:val="16"/>
          <w:szCs w:val="16"/>
          <w:rtl/>
        </w:rPr>
        <w:t>)</w:t>
      </w:r>
      <w:r>
        <w:rPr>
          <w:rFonts w:cs="Arial" w:hint="cs"/>
          <w:sz w:val="16"/>
          <w:szCs w:val="16"/>
          <w:rtl/>
        </w:rPr>
        <w:t xml:space="preserve"> </w:t>
      </w:r>
      <w:r w:rsidRPr="00BB2FEA">
        <w:rPr>
          <w:rFonts w:cs="Arial" w:hint="cs"/>
          <w:rtl/>
        </w:rPr>
        <w:t>ורא</w:t>
      </w:r>
      <w:r w:rsidRPr="00BB2FEA">
        <w:rPr>
          <w:rFonts w:cs="Arial"/>
          <w:rtl/>
        </w:rPr>
        <w:t>"</w:t>
      </w:r>
      <w:r w:rsidRPr="00BB2FEA">
        <w:rPr>
          <w:rFonts w:cs="Arial" w:hint="cs"/>
          <w:rtl/>
        </w:rPr>
        <w:t>ש</w:t>
      </w:r>
      <w:r w:rsidRPr="00BB2FEA">
        <w:rPr>
          <w:rFonts w:cs="Arial"/>
          <w:rtl/>
        </w:rPr>
        <w:t xml:space="preserve"> </w:t>
      </w:r>
      <w:r w:rsidRPr="00BB2FEA">
        <w:rPr>
          <w:rFonts w:cs="Arial"/>
          <w:sz w:val="16"/>
          <w:szCs w:val="16"/>
          <w:rtl/>
        </w:rPr>
        <w:t>(</w:t>
      </w:r>
      <w:r>
        <w:rPr>
          <w:rFonts w:cs="Arial" w:hint="cs"/>
          <w:sz w:val="16"/>
          <w:szCs w:val="16"/>
          <w:rtl/>
        </w:rPr>
        <w:t xml:space="preserve">פ' המגרש </w:t>
      </w:r>
      <w:r w:rsidRPr="00BB2FEA">
        <w:rPr>
          <w:rFonts w:cs="Arial" w:hint="cs"/>
          <w:sz w:val="16"/>
          <w:szCs w:val="16"/>
          <w:rtl/>
        </w:rPr>
        <w:t>ס</w:t>
      </w:r>
      <w:r w:rsidRPr="00BB2FEA">
        <w:rPr>
          <w:rFonts w:cs="Arial"/>
          <w:sz w:val="16"/>
          <w:szCs w:val="16"/>
          <w:rtl/>
        </w:rPr>
        <w:t>"</w:t>
      </w:r>
      <w:r w:rsidRPr="00BB2FEA">
        <w:rPr>
          <w:rFonts w:cs="Arial" w:hint="cs"/>
          <w:sz w:val="16"/>
          <w:szCs w:val="16"/>
          <w:rtl/>
        </w:rPr>
        <w:t>ד</w:t>
      </w:r>
      <w:r w:rsidRPr="00BB2FEA">
        <w:rPr>
          <w:rFonts w:cs="Arial"/>
          <w:sz w:val="16"/>
          <w:szCs w:val="16"/>
          <w:rtl/>
        </w:rPr>
        <w:t>)</w:t>
      </w:r>
      <w:r w:rsidR="00A82951">
        <w:rPr>
          <w:rFonts w:cs="Arial" w:hint="cs"/>
          <w:rtl/>
        </w:rPr>
        <w:t>-</w:t>
      </w:r>
      <w:r>
        <w:rPr>
          <w:rFonts w:cs="Arial" w:hint="cs"/>
          <w:rtl/>
        </w:rPr>
        <w:t xml:space="preserve"> </w:t>
      </w:r>
      <w:r w:rsidRPr="00BB2FEA">
        <w:rPr>
          <w:rFonts w:cs="Arial" w:hint="cs"/>
          <w:rtl/>
        </w:rPr>
        <w:t>דיתבא</w:t>
      </w:r>
      <w:r w:rsidRPr="00BB2FEA">
        <w:rPr>
          <w:rFonts w:cs="Arial"/>
          <w:rtl/>
        </w:rPr>
        <w:t xml:space="preserve"> </w:t>
      </w:r>
      <w:r w:rsidRPr="00BB2FEA">
        <w:rPr>
          <w:rFonts w:cs="Arial" w:hint="cs"/>
          <w:rtl/>
        </w:rPr>
        <w:t>על</w:t>
      </w:r>
      <w:r w:rsidRPr="00BB2FEA">
        <w:rPr>
          <w:rFonts w:cs="Arial"/>
          <w:rtl/>
        </w:rPr>
        <w:t xml:space="preserve"> </w:t>
      </w:r>
      <w:r w:rsidRPr="00BB2FEA">
        <w:rPr>
          <w:rFonts w:cs="Arial" w:hint="cs"/>
          <w:rtl/>
        </w:rPr>
        <w:t>נהר</w:t>
      </w:r>
      <w:r w:rsidRPr="00BB2FEA">
        <w:rPr>
          <w:rFonts w:cs="Arial"/>
          <w:rtl/>
        </w:rPr>
        <w:t xml:space="preserve"> </w:t>
      </w:r>
      <w:r w:rsidRPr="00BB2FEA">
        <w:rPr>
          <w:rFonts w:cs="Arial" w:hint="cs"/>
          <w:rtl/>
        </w:rPr>
        <w:t>פלוני</w:t>
      </w:r>
      <w:r w:rsidRPr="00BB2FEA">
        <w:rPr>
          <w:rFonts w:cs="Arial"/>
          <w:rtl/>
        </w:rPr>
        <w:t xml:space="preserve"> </w:t>
      </w:r>
      <w:r w:rsidRPr="00BB2FEA">
        <w:rPr>
          <w:rFonts w:cs="Arial" w:hint="cs"/>
          <w:rtl/>
        </w:rPr>
        <w:t>בחד</w:t>
      </w:r>
      <w:r w:rsidRPr="00BB2FEA">
        <w:rPr>
          <w:rFonts w:cs="Arial"/>
          <w:rtl/>
        </w:rPr>
        <w:t xml:space="preserve"> </w:t>
      </w:r>
      <w:r w:rsidRPr="00BB2FEA">
        <w:rPr>
          <w:rFonts w:cs="Arial" w:hint="cs"/>
          <w:rtl/>
        </w:rPr>
        <w:t>יו</w:t>
      </w:r>
      <w:r w:rsidRPr="00BB2FEA">
        <w:rPr>
          <w:rFonts w:cs="Arial"/>
          <w:rtl/>
        </w:rPr>
        <w:t>"</w:t>
      </w:r>
      <w:r w:rsidRPr="00BB2FEA">
        <w:rPr>
          <w:rFonts w:cs="Arial" w:hint="cs"/>
          <w:rtl/>
        </w:rPr>
        <w:t>ד</w:t>
      </w:r>
      <w:r>
        <w:rPr>
          <w:rStyle w:val="a7"/>
          <w:rFonts w:cs="Arial"/>
          <w:rtl/>
        </w:rPr>
        <w:footnoteReference w:id="999"/>
      </w:r>
      <w:r>
        <w:rPr>
          <w:rFonts w:cs="Arial" w:hint="cs"/>
          <w:rtl/>
        </w:rPr>
        <w:t>,</w:t>
      </w:r>
      <w:r w:rsidRPr="00BB2FEA">
        <w:rPr>
          <w:rFonts w:cs="Arial"/>
          <w:rtl/>
        </w:rPr>
        <w:t xml:space="preserve"> </w:t>
      </w:r>
      <w:r w:rsidRPr="00BB2FEA">
        <w:rPr>
          <w:rFonts w:cs="Arial" w:hint="cs"/>
          <w:rtl/>
        </w:rPr>
        <w:t>דתיבה</w:t>
      </w:r>
      <w:r w:rsidRPr="00BB2FEA">
        <w:rPr>
          <w:rFonts w:cs="Arial"/>
          <w:rtl/>
        </w:rPr>
        <w:t xml:space="preserve"> </w:t>
      </w:r>
      <w:r w:rsidRPr="00BB2FEA">
        <w:rPr>
          <w:rFonts w:cs="Arial" w:hint="cs"/>
          <w:rtl/>
        </w:rPr>
        <w:t>אחת</w:t>
      </w:r>
      <w:r w:rsidRPr="00BB2FEA">
        <w:rPr>
          <w:rFonts w:cs="Arial"/>
          <w:rtl/>
        </w:rPr>
        <w:t xml:space="preserve"> </w:t>
      </w:r>
      <w:r w:rsidRPr="00BB2FEA">
        <w:rPr>
          <w:rFonts w:cs="Arial" w:hint="cs"/>
          <w:rtl/>
        </w:rPr>
        <w:t>היא</w:t>
      </w:r>
      <w:r w:rsidRPr="00BB2FEA">
        <w:rPr>
          <w:rFonts w:cs="Arial"/>
          <w:rtl/>
        </w:rPr>
        <w:t xml:space="preserve"> </w:t>
      </w:r>
      <w:r w:rsidRPr="00BB2FEA">
        <w:rPr>
          <w:rFonts w:cs="Arial" w:hint="cs"/>
          <w:rtl/>
        </w:rPr>
        <w:t>במקום</w:t>
      </w:r>
      <w:r w:rsidRPr="00BB2FEA">
        <w:rPr>
          <w:rFonts w:cs="Arial"/>
          <w:rtl/>
        </w:rPr>
        <w:t xml:space="preserve"> </w:t>
      </w:r>
      <w:r w:rsidRPr="00BB2FEA">
        <w:rPr>
          <w:rFonts w:cs="Arial" w:hint="cs"/>
          <w:rtl/>
        </w:rPr>
        <w:t>היושבת</w:t>
      </w:r>
      <w:r>
        <w:rPr>
          <w:rFonts w:cs="Arial" w:hint="cs"/>
          <w:rtl/>
        </w:rPr>
        <w:t>.</w:t>
      </w:r>
      <w:r w:rsidRPr="00BB2FEA">
        <w:rPr>
          <w:rFonts w:cs="Arial"/>
          <w:rtl/>
        </w:rPr>
        <w:t xml:space="preserve"> </w:t>
      </w:r>
      <w:r w:rsidRPr="00A5285E">
        <w:rPr>
          <w:rFonts w:hint="cs"/>
          <w:color w:val="E36C0A" w:themeColor="accent6" w:themeShade="BF"/>
          <w:rtl/>
        </w:rPr>
        <w:t>(וכ"פ בשו"ע)</w:t>
      </w:r>
    </w:p>
    <w:p w14:paraId="0C6C4886" w14:textId="77777777" w:rsidR="00FA2119" w:rsidRPr="00BB2FEA" w:rsidRDefault="00FA2119" w:rsidP="00FA2119">
      <w:pPr>
        <w:rPr>
          <w:u w:val="single"/>
        </w:rPr>
      </w:pPr>
      <w:r w:rsidRPr="00BB2FEA">
        <w:rPr>
          <w:rFonts w:hint="cs"/>
          <w:u w:val="single"/>
          <w:rtl/>
        </w:rPr>
        <w:t xml:space="preserve">נהר שרחוק </w:t>
      </w:r>
      <w:r>
        <w:rPr>
          <w:rFonts w:hint="cs"/>
          <w:u w:val="single"/>
          <w:rtl/>
        </w:rPr>
        <w:t>מ</w:t>
      </w:r>
      <w:r w:rsidRPr="00BB2FEA">
        <w:rPr>
          <w:rFonts w:hint="cs"/>
          <w:u w:val="single"/>
          <w:rtl/>
        </w:rPr>
        <w:t>העיר:</w:t>
      </w:r>
    </w:p>
    <w:p w14:paraId="3126E9DD" w14:textId="6999B3A3" w:rsidR="00FA2119" w:rsidRPr="001125DE" w:rsidRDefault="00FA2119" w:rsidP="00FA2119">
      <w:pPr>
        <w:pStyle w:val="ab"/>
        <w:numPr>
          <w:ilvl w:val="0"/>
          <w:numId w:val="68"/>
        </w:numPr>
      </w:pPr>
      <w:r w:rsidRPr="00BB2FEA">
        <w:rPr>
          <w:rFonts w:cs="Arial" w:hint="cs"/>
          <w:rtl/>
        </w:rPr>
        <w:t>כל</w:t>
      </w:r>
      <w:r w:rsidRPr="00BB2FEA">
        <w:rPr>
          <w:rFonts w:cs="Arial"/>
          <w:rtl/>
        </w:rPr>
        <w:t xml:space="preserve"> </w:t>
      </w:r>
      <w:r w:rsidRPr="00BB2FEA">
        <w:rPr>
          <w:rFonts w:cs="Arial" w:hint="cs"/>
          <w:rtl/>
        </w:rPr>
        <w:t>בו</w:t>
      </w:r>
      <w:r w:rsidRPr="00BB2FEA">
        <w:rPr>
          <w:rFonts w:cs="Arial"/>
          <w:rtl/>
        </w:rPr>
        <w:t xml:space="preserve"> </w:t>
      </w:r>
      <w:r w:rsidRPr="001125DE">
        <w:rPr>
          <w:rFonts w:cs="Arial"/>
          <w:sz w:val="16"/>
          <w:szCs w:val="16"/>
          <w:rtl/>
        </w:rPr>
        <w:t>(</w:t>
      </w:r>
      <w:r w:rsidRPr="001125DE">
        <w:rPr>
          <w:rFonts w:cs="Arial" w:hint="cs"/>
          <w:sz w:val="16"/>
          <w:szCs w:val="16"/>
          <w:rtl/>
        </w:rPr>
        <w:t>שם</w:t>
      </w:r>
      <w:r w:rsidRPr="001125DE">
        <w:rPr>
          <w:rFonts w:cs="Arial"/>
          <w:sz w:val="16"/>
          <w:szCs w:val="16"/>
          <w:rtl/>
        </w:rPr>
        <w:t xml:space="preserve"> </w:t>
      </w:r>
      <w:r w:rsidRPr="001125DE">
        <w:rPr>
          <w:rFonts w:cs="Arial" w:hint="cs"/>
          <w:sz w:val="16"/>
          <w:szCs w:val="16"/>
          <w:rtl/>
        </w:rPr>
        <w:t>מח</w:t>
      </w:r>
      <w:r w:rsidRPr="001125DE">
        <w:rPr>
          <w:rFonts w:cs="Arial"/>
          <w:sz w:val="16"/>
          <w:szCs w:val="16"/>
          <w:rtl/>
        </w:rPr>
        <w:t xml:space="preserve"> </w:t>
      </w:r>
      <w:r w:rsidRPr="001125DE">
        <w:rPr>
          <w:rFonts w:cs="Arial" w:hint="cs"/>
          <w:sz w:val="16"/>
          <w:szCs w:val="16"/>
          <w:rtl/>
        </w:rPr>
        <w:t>ע</w:t>
      </w:r>
      <w:r w:rsidRPr="001125DE">
        <w:rPr>
          <w:rFonts w:cs="Arial"/>
          <w:sz w:val="16"/>
          <w:szCs w:val="16"/>
          <w:rtl/>
        </w:rPr>
        <w:t>"</w:t>
      </w:r>
      <w:r w:rsidRPr="001125DE">
        <w:rPr>
          <w:rFonts w:cs="Arial" w:hint="cs"/>
          <w:sz w:val="16"/>
          <w:szCs w:val="16"/>
          <w:rtl/>
        </w:rPr>
        <w:t>א</w:t>
      </w:r>
      <w:r w:rsidRPr="001125DE">
        <w:rPr>
          <w:rFonts w:cs="Arial"/>
          <w:sz w:val="16"/>
          <w:szCs w:val="16"/>
          <w:rtl/>
        </w:rPr>
        <w:t>)</w:t>
      </w:r>
      <w:r w:rsidR="00A82951">
        <w:rPr>
          <w:rFonts w:cs="Arial" w:hint="cs"/>
          <w:rtl/>
        </w:rPr>
        <w:t>-</w:t>
      </w:r>
      <w:r>
        <w:rPr>
          <w:rFonts w:cs="Arial" w:hint="cs"/>
          <w:rtl/>
        </w:rPr>
        <w:t xml:space="preserve"> </w:t>
      </w:r>
      <w:r w:rsidRPr="00BB2FEA">
        <w:rPr>
          <w:rFonts w:cs="Arial" w:hint="cs"/>
          <w:rtl/>
        </w:rPr>
        <w:t>אם</w:t>
      </w:r>
      <w:r w:rsidRPr="00BB2FEA">
        <w:rPr>
          <w:rFonts w:cs="Arial"/>
          <w:rtl/>
        </w:rPr>
        <w:t xml:space="preserve"> </w:t>
      </w:r>
      <w:r w:rsidRPr="00BB2FEA">
        <w:rPr>
          <w:rFonts w:cs="Arial" w:hint="cs"/>
          <w:rtl/>
        </w:rPr>
        <w:t>הנהר</w:t>
      </w:r>
      <w:r w:rsidRPr="00BB2FEA">
        <w:rPr>
          <w:rFonts w:cs="Arial"/>
          <w:rtl/>
        </w:rPr>
        <w:t xml:space="preserve"> </w:t>
      </w:r>
      <w:r w:rsidRPr="00BB2FEA">
        <w:rPr>
          <w:rFonts w:cs="Arial" w:hint="cs"/>
          <w:rtl/>
        </w:rPr>
        <w:t>רחוק</w:t>
      </w:r>
      <w:r w:rsidRPr="00BB2FEA">
        <w:rPr>
          <w:rFonts w:cs="Arial"/>
          <w:rtl/>
        </w:rPr>
        <w:t xml:space="preserve"> </w:t>
      </w:r>
      <w:r w:rsidRPr="00BB2FEA">
        <w:rPr>
          <w:rFonts w:cs="Arial" w:hint="cs"/>
          <w:rtl/>
        </w:rPr>
        <w:t>מהעיר</w:t>
      </w:r>
      <w:r w:rsidRPr="00BB2FEA">
        <w:rPr>
          <w:rFonts w:cs="Arial"/>
          <w:rtl/>
        </w:rPr>
        <w:t xml:space="preserve"> </w:t>
      </w:r>
      <w:r w:rsidRPr="00BB2FEA">
        <w:rPr>
          <w:rFonts w:cs="Arial" w:hint="cs"/>
          <w:rtl/>
        </w:rPr>
        <w:t>יותר</w:t>
      </w:r>
      <w:r w:rsidRPr="00BB2FEA">
        <w:rPr>
          <w:rFonts w:cs="Arial"/>
          <w:rtl/>
        </w:rPr>
        <w:t xml:space="preserve"> </w:t>
      </w:r>
      <w:r w:rsidRPr="00BB2FEA">
        <w:rPr>
          <w:rFonts w:cs="Arial" w:hint="cs"/>
          <w:rtl/>
        </w:rPr>
        <w:t>מהתחום</w:t>
      </w:r>
      <w:r>
        <w:rPr>
          <w:rFonts w:cs="Arial" w:hint="cs"/>
          <w:rtl/>
        </w:rPr>
        <w:t>,</w:t>
      </w:r>
      <w:r w:rsidRPr="00BB2FEA">
        <w:rPr>
          <w:rFonts w:cs="Arial"/>
          <w:rtl/>
        </w:rPr>
        <w:t xml:space="preserve"> </w:t>
      </w:r>
      <w:r w:rsidRPr="00BB2FEA">
        <w:rPr>
          <w:rFonts w:cs="Arial" w:hint="cs"/>
          <w:rtl/>
        </w:rPr>
        <w:t>ובני</w:t>
      </w:r>
      <w:r w:rsidRPr="00BB2FEA">
        <w:rPr>
          <w:rFonts w:cs="Arial"/>
          <w:rtl/>
        </w:rPr>
        <w:t xml:space="preserve"> </w:t>
      </w:r>
      <w:r w:rsidRPr="00BB2FEA">
        <w:rPr>
          <w:rFonts w:cs="Arial" w:hint="cs"/>
          <w:rtl/>
        </w:rPr>
        <w:t>העיר</w:t>
      </w:r>
      <w:r w:rsidRPr="00BB2FEA">
        <w:rPr>
          <w:rFonts w:cs="Arial"/>
          <w:rtl/>
        </w:rPr>
        <w:t xml:space="preserve"> </w:t>
      </w:r>
      <w:r w:rsidRPr="00BB2FEA">
        <w:rPr>
          <w:rFonts w:cs="Arial" w:hint="cs"/>
          <w:rtl/>
        </w:rPr>
        <w:t>מסתפקין</w:t>
      </w:r>
      <w:r w:rsidRPr="00BB2FEA">
        <w:rPr>
          <w:rFonts w:cs="Arial"/>
          <w:rtl/>
        </w:rPr>
        <w:t xml:space="preserve"> </w:t>
      </w:r>
      <w:r w:rsidRPr="00BB2FEA">
        <w:rPr>
          <w:rFonts w:cs="Arial" w:hint="cs"/>
          <w:rtl/>
        </w:rPr>
        <w:t>ממנו</w:t>
      </w:r>
      <w:r w:rsidRPr="00BB2FEA">
        <w:rPr>
          <w:rFonts w:cs="Arial"/>
          <w:rtl/>
        </w:rPr>
        <w:t xml:space="preserve"> </w:t>
      </w:r>
      <w:r w:rsidRPr="00BB2FEA">
        <w:rPr>
          <w:rFonts w:cs="Arial" w:hint="cs"/>
          <w:rtl/>
        </w:rPr>
        <w:t>להוליך</w:t>
      </w:r>
      <w:r w:rsidRPr="00BB2FEA">
        <w:rPr>
          <w:rFonts w:cs="Arial"/>
          <w:rtl/>
        </w:rPr>
        <w:t xml:space="preserve"> </w:t>
      </w:r>
      <w:r w:rsidRPr="00BB2FEA">
        <w:rPr>
          <w:rFonts w:cs="Arial" w:hint="cs"/>
          <w:rtl/>
        </w:rPr>
        <w:t>שם</w:t>
      </w:r>
      <w:r w:rsidRPr="00BB2FEA">
        <w:rPr>
          <w:rFonts w:cs="Arial"/>
          <w:rtl/>
        </w:rPr>
        <w:t xml:space="preserve"> </w:t>
      </w:r>
      <w:r w:rsidRPr="00BB2FEA">
        <w:rPr>
          <w:rFonts w:cs="Arial" w:hint="cs"/>
          <w:rtl/>
        </w:rPr>
        <w:t>הסוסים</w:t>
      </w:r>
      <w:r w:rsidRPr="00BB2FEA">
        <w:rPr>
          <w:rFonts w:cs="Arial"/>
          <w:rtl/>
        </w:rPr>
        <w:t xml:space="preserve"> </w:t>
      </w:r>
      <w:r w:rsidRPr="00BB2FEA">
        <w:rPr>
          <w:rFonts w:cs="Arial" w:hint="cs"/>
          <w:rtl/>
        </w:rPr>
        <w:t>וללבן</w:t>
      </w:r>
      <w:r w:rsidRPr="00BB2FEA">
        <w:rPr>
          <w:rFonts w:cs="Arial"/>
          <w:rtl/>
        </w:rPr>
        <w:t xml:space="preserve"> </w:t>
      </w:r>
      <w:r w:rsidRPr="00BB2FEA">
        <w:rPr>
          <w:rFonts w:cs="Arial" w:hint="cs"/>
          <w:rtl/>
        </w:rPr>
        <w:t>הבגדים</w:t>
      </w:r>
      <w:r w:rsidRPr="00BB2FEA">
        <w:rPr>
          <w:rFonts w:cs="Arial"/>
          <w:rtl/>
        </w:rPr>
        <w:t xml:space="preserve"> </w:t>
      </w:r>
      <w:r w:rsidR="00A82951">
        <w:rPr>
          <w:rFonts w:cs="Arial" w:hint="cs"/>
          <w:rtl/>
        </w:rPr>
        <w:t>-</w:t>
      </w:r>
      <w:r>
        <w:rPr>
          <w:rFonts w:cs="Arial" w:hint="cs"/>
          <w:rtl/>
        </w:rPr>
        <w:t xml:space="preserve"> </w:t>
      </w:r>
      <w:r w:rsidRPr="00BB2FEA">
        <w:rPr>
          <w:rFonts w:cs="Arial" w:hint="cs"/>
          <w:rtl/>
        </w:rPr>
        <w:t>צריך</w:t>
      </w:r>
      <w:r w:rsidRPr="00BB2FEA">
        <w:rPr>
          <w:rFonts w:cs="Arial"/>
          <w:rtl/>
        </w:rPr>
        <w:t xml:space="preserve"> </w:t>
      </w:r>
      <w:r w:rsidRPr="00BB2FEA">
        <w:rPr>
          <w:rFonts w:cs="Arial" w:hint="cs"/>
          <w:rtl/>
        </w:rPr>
        <w:t>לכתבו</w:t>
      </w:r>
      <w:r w:rsidRPr="00BB2FEA">
        <w:rPr>
          <w:rFonts w:cs="Arial"/>
          <w:rtl/>
        </w:rPr>
        <w:t xml:space="preserve"> </w:t>
      </w:r>
      <w:r w:rsidRPr="00BB2FEA">
        <w:rPr>
          <w:rFonts w:cs="Arial" w:hint="cs"/>
          <w:rtl/>
        </w:rPr>
        <w:t>כיון</w:t>
      </w:r>
      <w:r w:rsidRPr="00BB2FEA">
        <w:rPr>
          <w:rFonts w:cs="Arial"/>
          <w:rtl/>
        </w:rPr>
        <w:t xml:space="preserve"> </w:t>
      </w:r>
      <w:r w:rsidRPr="00BB2FEA">
        <w:rPr>
          <w:rFonts w:cs="Arial" w:hint="cs"/>
          <w:rtl/>
        </w:rPr>
        <w:t>שסיפוק</w:t>
      </w:r>
      <w:r w:rsidRPr="00BB2FEA">
        <w:rPr>
          <w:rFonts w:cs="Arial"/>
          <w:rtl/>
        </w:rPr>
        <w:t xml:space="preserve"> </w:t>
      </w:r>
      <w:r w:rsidRPr="00BB2FEA">
        <w:rPr>
          <w:rFonts w:cs="Arial" w:hint="cs"/>
          <w:rtl/>
        </w:rPr>
        <w:t>העיר</w:t>
      </w:r>
      <w:r w:rsidRPr="00BB2FEA">
        <w:rPr>
          <w:rFonts w:cs="Arial"/>
          <w:rtl/>
        </w:rPr>
        <w:t xml:space="preserve"> </w:t>
      </w:r>
      <w:r w:rsidRPr="00BB2FEA">
        <w:rPr>
          <w:rFonts w:cs="Arial" w:hint="cs"/>
          <w:rtl/>
        </w:rPr>
        <w:t>ממנו</w:t>
      </w:r>
      <w:r w:rsidRPr="00BB2FEA">
        <w:rPr>
          <w:rFonts w:cs="Arial"/>
          <w:rtl/>
        </w:rPr>
        <w:t xml:space="preserve">. </w:t>
      </w:r>
    </w:p>
    <w:p w14:paraId="3CE6A210" w14:textId="1DB433C4" w:rsidR="00FA2119" w:rsidRPr="001125DE" w:rsidRDefault="00FA2119" w:rsidP="00FA2119">
      <w:pPr>
        <w:pStyle w:val="ab"/>
        <w:numPr>
          <w:ilvl w:val="0"/>
          <w:numId w:val="68"/>
        </w:numPr>
      </w:pPr>
      <w:r w:rsidRPr="00BB2FEA">
        <w:rPr>
          <w:rFonts w:cs="Arial" w:hint="cs"/>
          <w:rtl/>
        </w:rPr>
        <w:t>ר</w:t>
      </w:r>
      <w:r w:rsidRPr="00BB2FEA">
        <w:rPr>
          <w:rFonts w:cs="Arial"/>
          <w:rtl/>
        </w:rPr>
        <w:t xml:space="preserve">' </w:t>
      </w:r>
      <w:r w:rsidRPr="00BB2FEA">
        <w:rPr>
          <w:rFonts w:cs="Arial" w:hint="cs"/>
          <w:rtl/>
        </w:rPr>
        <w:t>שמשון</w:t>
      </w:r>
      <w:r w:rsidRPr="00BB2FEA">
        <w:rPr>
          <w:rFonts w:cs="Arial"/>
          <w:rtl/>
        </w:rPr>
        <w:t xml:space="preserve"> </w:t>
      </w:r>
      <w:r w:rsidRPr="00BB2FEA">
        <w:rPr>
          <w:rFonts w:cs="Arial" w:hint="cs"/>
          <w:rtl/>
        </w:rPr>
        <w:t>ב</w:t>
      </w:r>
      <w:r w:rsidRPr="00BB2FEA">
        <w:rPr>
          <w:rFonts w:cs="Arial"/>
          <w:rtl/>
        </w:rPr>
        <w:t>"</w:t>
      </w:r>
      <w:r w:rsidRPr="00BB2FEA">
        <w:rPr>
          <w:rFonts w:cs="Arial" w:hint="cs"/>
          <w:rtl/>
        </w:rPr>
        <w:t>ר</w:t>
      </w:r>
      <w:r w:rsidRPr="00BB2FEA">
        <w:rPr>
          <w:rFonts w:cs="Arial"/>
          <w:rtl/>
        </w:rPr>
        <w:t xml:space="preserve"> </w:t>
      </w:r>
      <w:r w:rsidRPr="00BB2FEA">
        <w:rPr>
          <w:rFonts w:cs="Arial" w:hint="cs"/>
          <w:rtl/>
        </w:rPr>
        <w:t>אברהם</w:t>
      </w:r>
      <w:r w:rsidRPr="00BB2FEA">
        <w:rPr>
          <w:rFonts w:cs="Arial"/>
          <w:rtl/>
        </w:rPr>
        <w:t xml:space="preserve"> </w:t>
      </w:r>
      <w:r>
        <w:rPr>
          <w:rFonts w:cs="Arial" w:hint="cs"/>
          <w:sz w:val="16"/>
          <w:szCs w:val="16"/>
          <w:rtl/>
        </w:rPr>
        <w:t>(בתשובה, כ"כ בשמו הגה"מ ספר נשים סי' כב)</w:t>
      </w:r>
      <w:r w:rsidR="00A82951">
        <w:rPr>
          <w:rFonts w:cs="Arial" w:hint="cs"/>
          <w:rtl/>
        </w:rPr>
        <w:t>-</w:t>
      </w:r>
      <w:r>
        <w:rPr>
          <w:rFonts w:cs="Arial" w:hint="cs"/>
          <w:rtl/>
        </w:rPr>
        <w:t xml:space="preserve"> </w:t>
      </w:r>
      <w:r w:rsidRPr="00BB2FEA">
        <w:rPr>
          <w:rFonts w:cs="Arial" w:hint="cs"/>
          <w:rtl/>
        </w:rPr>
        <w:t>נהר</w:t>
      </w:r>
      <w:r w:rsidRPr="00BB2FEA">
        <w:rPr>
          <w:rFonts w:cs="Arial"/>
          <w:rtl/>
        </w:rPr>
        <w:t xml:space="preserve"> </w:t>
      </w:r>
      <w:r w:rsidRPr="00BB2FEA">
        <w:rPr>
          <w:rFonts w:cs="Arial" w:hint="cs"/>
          <w:rtl/>
        </w:rPr>
        <w:t>שהוא</w:t>
      </w:r>
      <w:r w:rsidRPr="00BB2FEA">
        <w:rPr>
          <w:rFonts w:cs="Arial"/>
          <w:rtl/>
        </w:rPr>
        <w:t xml:space="preserve"> </w:t>
      </w:r>
      <w:r w:rsidRPr="00BB2FEA">
        <w:rPr>
          <w:rFonts w:cs="Arial" w:hint="cs"/>
          <w:rtl/>
        </w:rPr>
        <w:t>חוץ</w:t>
      </w:r>
      <w:r w:rsidRPr="00BB2FEA">
        <w:rPr>
          <w:rFonts w:cs="Arial"/>
          <w:rtl/>
        </w:rPr>
        <w:t xml:space="preserve"> </w:t>
      </w:r>
      <w:r w:rsidRPr="00BB2FEA">
        <w:rPr>
          <w:rFonts w:cs="Arial" w:hint="cs"/>
          <w:rtl/>
        </w:rPr>
        <w:t>לעיבורה</w:t>
      </w:r>
      <w:r w:rsidRPr="00BB2FEA">
        <w:rPr>
          <w:rFonts w:cs="Arial"/>
          <w:rtl/>
        </w:rPr>
        <w:t xml:space="preserve"> </w:t>
      </w:r>
      <w:r w:rsidRPr="00BB2FEA">
        <w:rPr>
          <w:rFonts w:cs="Arial" w:hint="cs"/>
          <w:rtl/>
        </w:rPr>
        <w:t>של</w:t>
      </w:r>
      <w:r w:rsidRPr="00BB2FEA">
        <w:rPr>
          <w:rFonts w:cs="Arial"/>
          <w:rtl/>
        </w:rPr>
        <w:t xml:space="preserve"> </w:t>
      </w:r>
      <w:r w:rsidRPr="00BB2FEA">
        <w:rPr>
          <w:rFonts w:cs="Arial" w:hint="cs"/>
          <w:rtl/>
        </w:rPr>
        <w:t>עיר</w:t>
      </w:r>
      <w:r w:rsidRPr="00BB2FEA">
        <w:rPr>
          <w:rFonts w:cs="Arial"/>
          <w:rtl/>
        </w:rPr>
        <w:t xml:space="preserve"> </w:t>
      </w:r>
      <w:r w:rsidRPr="00BB2FEA">
        <w:rPr>
          <w:rFonts w:cs="Arial" w:hint="cs"/>
          <w:rtl/>
        </w:rPr>
        <w:t>קרוב</w:t>
      </w:r>
      <w:r w:rsidRPr="00BB2FEA">
        <w:rPr>
          <w:rFonts w:cs="Arial"/>
          <w:rtl/>
        </w:rPr>
        <w:t xml:space="preserve"> </w:t>
      </w:r>
      <w:r w:rsidRPr="00BB2FEA">
        <w:rPr>
          <w:rFonts w:cs="Arial" w:hint="cs"/>
          <w:rtl/>
        </w:rPr>
        <w:t>לתחום</w:t>
      </w:r>
      <w:r w:rsidRPr="00BB2FEA">
        <w:rPr>
          <w:rFonts w:cs="Arial"/>
          <w:rtl/>
        </w:rPr>
        <w:t xml:space="preserve"> </w:t>
      </w:r>
      <w:r w:rsidRPr="00BB2FEA">
        <w:rPr>
          <w:rFonts w:cs="Arial" w:hint="cs"/>
          <w:rtl/>
        </w:rPr>
        <w:t>שבת</w:t>
      </w:r>
      <w:r>
        <w:rPr>
          <w:rFonts w:cs="Arial" w:hint="cs"/>
          <w:rtl/>
        </w:rPr>
        <w:t>,</w:t>
      </w:r>
      <w:r w:rsidRPr="00BB2FEA">
        <w:rPr>
          <w:rFonts w:cs="Arial"/>
          <w:rtl/>
        </w:rPr>
        <w:t xml:space="preserve"> </w:t>
      </w:r>
      <w:r w:rsidRPr="00BB2FEA">
        <w:rPr>
          <w:rFonts w:cs="Arial" w:hint="cs"/>
          <w:rtl/>
        </w:rPr>
        <w:t>אי</w:t>
      </w:r>
      <w:r w:rsidRPr="00BB2FEA">
        <w:rPr>
          <w:rFonts w:cs="Arial"/>
          <w:rtl/>
        </w:rPr>
        <w:t xml:space="preserve"> </w:t>
      </w:r>
      <w:r w:rsidRPr="00BB2FEA">
        <w:rPr>
          <w:rFonts w:cs="Arial" w:hint="cs"/>
          <w:rtl/>
        </w:rPr>
        <w:t>מסתפקים</w:t>
      </w:r>
      <w:r w:rsidRPr="00BB2FEA">
        <w:rPr>
          <w:rFonts w:cs="Arial"/>
          <w:rtl/>
        </w:rPr>
        <w:t xml:space="preserve"> </w:t>
      </w:r>
      <w:r w:rsidRPr="00BB2FEA">
        <w:rPr>
          <w:rFonts w:cs="Arial" w:hint="cs"/>
          <w:rtl/>
        </w:rPr>
        <w:t>מן</w:t>
      </w:r>
      <w:r w:rsidRPr="00BB2FEA">
        <w:rPr>
          <w:rFonts w:cs="Arial"/>
          <w:rtl/>
        </w:rPr>
        <w:t xml:space="preserve"> </w:t>
      </w:r>
      <w:r w:rsidRPr="00BB2FEA">
        <w:rPr>
          <w:rFonts w:cs="Arial" w:hint="cs"/>
          <w:rtl/>
        </w:rPr>
        <w:t>הנהר</w:t>
      </w:r>
      <w:r w:rsidRPr="00BB2FEA">
        <w:rPr>
          <w:rFonts w:cs="Arial"/>
          <w:rtl/>
        </w:rPr>
        <w:t xml:space="preserve"> </w:t>
      </w:r>
      <w:r w:rsidRPr="00BB2FEA">
        <w:rPr>
          <w:rFonts w:cs="Arial" w:hint="cs"/>
          <w:rtl/>
        </w:rPr>
        <w:t>לכל</w:t>
      </w:r>
      <w:r w:rsidRPr="00BB2FEA">
        <w:rPr>
          <w:rFonts w:cs="Arial"/>
          <w:rtl/>
        </w:rPr>
        <w:t xml:space="preserve"> </w:t>
      </w:r>
      <w:r w:rsidRPr="00BB2FEA">
        <w:rPr>
          <w:rFonts w:cs="Arial" w:hint="cs"/>
          <w:rtl/>
        </w:rPr>
        <w:t>תשמישן</w:t>
      </w:r>
      <w:r w:rsidRPr="00BB2FEA">
        <w:rPr>
          <w:rFonts w:cs="Arial"/>
          <w:rtl/>
        </w:rPr>
        <w:t xml:space="preserve"> </w:t>
      </w:r>
      <w:r w:rsidRPr="00BB2FEA">
        <w:rPr>
          <w:rFonts w:cs="Arial" w:hint="cs"/>
          <w:rtl/>
        </w:rPr>
        <w:t>למשרה</w:t>
      </w:r>
      <w:r w:rsidRPr="00BB2FEA">
        <w:rPr>
          <w:rFonts w:cs="Arial"/>
          <w:rtl/>
        </w:rPr>
        <w:t xml:space="preserve"> </w:t>
      </w:r>
      <w:r w:rsidRPr="00BB2FEA">
        <w:rPr>
          <w:rFonts w:cs="Arial" w:hint="cs"/>
          <w:rtl/>
        </w:rPr>
        <w:t>ולכביסה</w:t>
      </w:r>
      <w:r w:rsidRPr="00BB2FEA">
        <w:rPr>
          <w:rFonts w:cs="Arial"/>
          <w:rtl/>
        </w:rPr>
        <w:t xml:space="preserve"> </w:t>
      </w:r>
      <w:r w:rsidRPr="00BB2FEA">
        <w:rPr>
          <w:rFonts w:cs="Arial" w:hint="cs"/>
          <w:rtl/>
        </w:rPr>
        <w:t>ולטחון</w:t>
      </w:r>
      <w:r w:rsidRPr="00BB2FEA">
        <w:rPr>
          <w:rFonts w:cs="Arial"/>
          <w:rtl/>
        </w:rPr>
        <w:t xml:space="preserve"> </w:t>
      </w:r>
      <w:r w:rsidRPr="00BB2FEA">
        <w:rPr>
          <w:rFonts w:cs="Arial" w:hint="cs"/>
          <w:rtl/>
        </w:rPr>
        <w:t>בריחים</w:t>
      </w:r>
      <w:r w:rsidRPr="00BB2FEA">
        <w:rPr>
          <w:rFonts w:cs="Arial"/>
          <w:rtl/>
        </w:rPr>
        <w:t xml:space="preserve"> </w:t>
      </w:r>
      <w:r w:rsidR="00A82951">
        <w:rPr>
          <w:rFonts w:cs="Arial" w:hint="cs"/>
          <w:rtl/>
        </w:rPr>
        <w:t>-</w:t>
      </w:r>
      <w:r>
        <w:rPr>
          <w:rFonts w:cs="Arial" w:hint="cs"/>
          <w:rtl/>
        </w:rPr>
        <w:t xml:space="preserve"> </w:t>
      </w:r>
      <w:r w:rsidRPr="00BB2FEA">
        <w:rPr>
          <w:rFonts w:cs="Arial" w:hint="cs"/>
          <w:rtl/>
        </w:rPr>
        <w:t>כותבין</w:t>
      </w:r>
      <w:r w:rsidRPr="00BB2FEA">
        <w:rPr>
          <w:rFonts w:cs="Arial"/>
          <w:rtl/>
        </w:rPr>
        <w:t xml:space="preserve"> </w:t>
      </w:r>
      <w:r w:rsidRPr="00BB2FEA">
        <w:rPr>
          <w:rFonts w:cs="Arial" w:hint="cs"/>
          <w:rtl/>
        </w:rPr>
        <w:t>שם</w:t>
      </w:r>
      <w:r w:rsidRPr="00BB2FEA">
        <w:rPr>
          <w:rFonts w:cs="Arial"/>
          <w:rtl/>
        </w:rPr>
        <w:t xml:space="preserve"> </w:t>
      </w:r>
      <w:r w:rsidRPr="00BB2FEA">
        <w:rPr>
          <w:rFonts w:cs="Arial" w:hint="cs"/>
          <w:rtl/>
        </w:rPr>
        <w:t>הנהר</w:t>
      </w:r>
      <w:r>
        <w:rPr>
          <w:rFonts w:cs="Arial" w:hint="cs"/>
          <w:rtl/>
        </w:rPr>
        <w:t>.</w:t>
      </w:r>
      <w:r w:rsidRPr="00BB2FEA">
        <w:rPr>
          <w:rFonts w:cs="Arial"/>
          <w:rtl/>
        </w:rPr>
        <w:t xml:space="preserve"> </w:t>
      </w:r>
      <w:r w:rsidRPr="00BB2FEA">
        <w:rPr>
          <w:rFonts w:cs="Arial" w:hint="cs"/>
          <w:rtl/>
        </w:rPr>
        <w:t>ואם</w:t>
      </w:r>
      <w:r w:rsidRPr="00BB2FEA">
        <w:rPr>
          <w:rFonts w:cs="Arial"/>
          <w:rtl/>
        </w:rPr>
        <w:t xml:space="preserve"> </w:t>
      </w:r>
      <w:r w:rsidRPr="00BB2FEA">
        <w:rPr>
          <w:rFonts w:cs="Arial" w:hint="cs"/>
          <w:rtl/>
        </w:rPr>
        <w:t>לאו</w:t>
      </w:r>
      <w:r w:rsidRPr="00BB2FEA">
        <w:rPr>
          <w:rFonts w:cs="Arial"/>
          <w:rtl/>
        </w:rPr>
        <w:t xml:space="preserve"> </w:t>
      </w:r>
      <w:r w:rsidR="00A82951">
        <w:rPr>
          <w:rFonts w:cs="Arial" w:hint="cs"/>
          <w:rtl/>
        </w:rPr>
        <w:t>-</w:t>
      </w:r>
      <w:r>
        <w:rPr>
          <w:rFonts w:cs="Arial" w:hint="cs"/>
          <w:rtl/>
        </w:rPr>
        <w:t xml:space="preserve"> </w:t>
      </w:r>
      <w:r w:rsidRPr="00BB2FEA">
        <w:rPr>
          <w:rFonts w:cs="Arial" w:hint="cs"/>
          <w:rtl/>
        </w:rPr>
        <w:t>לא</w:t>
      </w:r>
      <w:r w:rsidRPr="00BB2FEA">
        <w:rPr>
          <w:rFonts w:cs="Arial"/>
          <w:rtl/>
        </w:rPr>
        <w:t xml:space="preserve"> </w:t>
      </w:r>
      <w:r w:rsidRPr="00BB2FEA">
        <w:rPr>
          <w:rFonts w:cs="Arial" w:hint="cs"/>
          <w:rtl/>
        </w:rPr>
        <w:t>יכתבו</w:t>
      </w:r>
      <w:r w:rsidRPr="00BB2FEA">
        <w:rPr>
          <w:rFonts w:cs="Arial"/>
          <w:rtl/>
        </w:rPr>
        <w:t xml:space="preserve"> </w:t>
      </w:r>
      <w:r w:rsidRPr="00BB2FEA">
        <w:rPr>
          <w:rFonts w:cs="Arial" w:hint="cs"/>
          <w:rtl/>
        </w:rPr>
        <w:t>כלל</w:t>
      </w:r>
      <w:r w:rsidRPr="00BB2FEA">
        <w:rPr>
          <w:rFonts w:cs="Arial"/>
          <w:rtl/>
        </w:rPr>
        <w:t xml:space="preserve"> </w:t>
      </w:r>
      <w:r w:rsidRPr="00BB2FEA">
        <w:rPr>
          <w:rFonts w:cs="Arial" w:hint="cs"/>
          <w:rtl/>
        </w:rPr>
        <w:t>דיתבא</w:t>
      </w:r>
      <w:r w:rsidRPr="00BB2FEA">
        <w:rPr>
          <w:rFonts w:cs="Arial"/>
          <w:rtl/>
        </w:rPr>
        <w:t xml:space="preserve"> </w:t>
      </w:r>
      <w:r w:rsidRPr="00BB2FEA">
        <w:rPr>
          <w:rFonts w:cs="Arial" w:hint="cs"/>
          <w:rtl/>
        </w:rPr>
        <w:t>על</w:t>
      </w:r>
      <w:r w:rsidRPr="00BB2FEA">
        <w:rPr>
          <w:rFonts w:cs="Arial"/>
          <w:rtl/>
        </w:rPr>
        <w:t xml:space="preserve"> </w:t>
      </w:r>
      <w:r w:rsidRPr="00BB2FEA">
        <w:rPr>
          <w:rFonts w:cs="Arial" w:hint="cs"/>
          <w:rtl/>
        </w:rPr>
        <w:t>נהר</w:t>
      </w:r>
      <w:r w:rsidRPr="00BB2FEA">
        <w:rPr>
          <w:rFonts w:cs="Arial"/>
          <w:rtl/>
        </w:rPr>
        <w:t xml:space="preserve"> </w:t>
      </w:r>
      <w:r w:rsidRPr="00BB2FEA">
        <w:rPr>
          <w:rFonts w:cs="Arial" w:hint="cs"/>
          <w:rtl/>
        </w:rPr>
        <w:t>פלוני</w:t>
      </w:r>
      <w:r>
        <w:rPr>
          <w:rFonts w:cs="Arial" w:hint="cs"/>
          <w:rtl/>
        </w:rPr>
        <w:t>.</w:t>
      </w:r>
      <w:r w:rsidRPr="00BB2FEA">
        <w:rPr>
          <w:rFonts w:cs="Arial"/>
          <w:rtl/>
        </w:rPr>
        <w:t xml:space="preserve"> </w:t>
      </w:r>
      <w:r w:rsidRPr="00BB2FEA">
        <w:rPr>
          <w:rFonts w:cs="Arial" w:hint="cs"/>
          <w:rtl/>
        </w:rPr>
        <w:t>מיהו</w:t>
      </w:r>
      <w:r w:rsidRPr="00BB2FEA">
        <w:rPr>
          <w:rFonts w:cs="Arial"/>
          <w:rtl/>
        </w:rPr>
        <w:t xml:space="preserve"> </w:t>
      </w:r>
      <w:r w:rsidRPr="00BB2FEA">
        <w:rPr>
          <w:rFonts w:cs="Arial" w:hint="cs"/>
          <w:rtl/>
        </w:rPr>
        <w:t>נראה</w:t>
      </w:r>
      <w:r w:rsidRPr="00BB2FEA">
        <w:rPr>
          <w:rFonts w:cs="Arial"/>
          <w:rtl/>
        </w:rPr>
        <w:t xml:space="preserve"> </w:t>
      </w:r>
      <w:r w:rsidRPr="00BB2FEA">
        <w:rPr>
          <w:rFonts w:cs="Arial" w:hint="cs"/>
          <w:rtl/>
        </w:rPr>
        <w:t>שנהר</w:t>
      </w:r>
      <w:r w:rsidRPr="00BB2FEA">
        <w:rPr>
          <w:rFonts w:cs="Arial"/>
          <w:rtl/>
        </w:rPr>
        <w:t xml:space="preserve"> </w:t>
      </w:r>
      <w:r w:rsidRPr="00BB2FEA">
        <w:rPr>
          <w:rFonts w:cs="Arial" w:hint="cs"/>
          <w:rtl/>
        </w:rPr>
        <w:t>שהוא</w:t>
      </w:r>
      <w:r w:rsidRPr="00BB2FEA">
        <w:rPr>
          <w:rFonts w:cs="Arial"/>
          <w:rtl/>
        </w:rPr>
        <w:t xml:space="preserve"> </w:t>
      </w:r>
      <w:r w:rsidRPr="00BB2FEA">
        <w:rPr>
          <w:rFonts w:cs="Arial" w:hint="cs"/>
          <w:rtl/>
        </w:rPr>
        <w:t>בתוך</w:t>
      </w:r>
      <w:r w:rsidRPr="00BB2FEA">
        <w:rPr>
          <w:rFonts w:cs="Arial"/>
          <w:rtl/>
        </w:rPr>
        <w:t xml:space="preserve"> </w:t>
      </w:r>
      <w:r w:rsidRPr="00BB2FEA">
        <w:rPr>
          <w:rFonts w:cs="Arial" w:hint="cs"/>
          <w:rtl/>
        </w:rPr>
        <w:t>התחום</w:t>
      </w:r>
      <w:r w:rsidRPr="00BB2FEA">
        <w:rPr>
          <w:rFonts w:cs="Arial"/>
          <w:rtl/>
        </w:rPr>
        <w:t xml:space="preserve"> </w:t>
      </w:r>
      <w:r>
        <w:rPr>
          <w:rFonts w:cs="Arial" w:hint="cs"/>
          <w:sz w:val="16"/>
          <w:szCs w:val="16"/>
          <w:rtl/>
        </w:rPr>
        <w:t xml:space="preserve">{ואין מסתפקין ממנו לכל תשמישן} </w:t>
      </w:r>
      <w:r w:rsidRPr="00BB2FEA">
        <w:rPr>
          <w:rFonts w:cs="Arial" w:hint="cs"/>
          <w:rtl/>
        </w:rPr>
        <w:t>וכתבוהו</w:t>
      </w:r>
      <w:r w:rsidRPr="00BB2FEA">
        <w:rPr>
          <w:rFonts w:cs="Arial"/>
          <w:rtl/>
        </w:rPr>
        <w:t xml:space="preserve"> </w:t>
      </w:r>
      <w:r w:rsidRPr="00BB2FEA">
        <w:rPr>
          <w:rFonts w:cs="Arial" w:hint="cs"/>
          <w:rtl/>
        </w:rPr>
        <w:t>בגט</w:t>
      </w:r>
      <w:r w:rsidRPr="00BB2FEA">
        <w:rPr>
          <w:rFonts w:cs="Arial"/>
          <w:rtl/>
        </w:rPr>
        <w:t xml:space="preserve"> </w:t>
      </w:r>
      <w:r w:rsidRPr="00BB2FEA">
        <w:rPr>
          <w:rFonts w:cs="Arial" w:hint="cs"/>
          <w:rtl/>
        </w:rPr>
        <w:t>אפילו</w:t>
      </w:r>
      <w:r w:rsidRPr="00BB2FEA">
        <w:rPr>
          <w:rFonts w:cs="Arial"/>
          <w:rtl/>
        </w:rPr>
        <w:t xml:space="preserve"> </w:t>
      </w:r>
      <w:r w:rsidRPr="00BB2FEA">
        <w:rPr>
          <w:rFonts w:cs="Arial" w:hint="cs"/>
          <w:rtl/>
        </w:rPr>
        <w:t>הוא</w:t>
      </w:r>
      <w:r w:rsidRPr="00BB2FEA">
        <w:rPr>
          <w:rFonts w:cs="Arial"/>
          <w:rtl/>
        </w:rPr>
        <w:t xml:space="preserve"> </w:t>
      </w:r>
      <w:r w:rsidRPr="00BB2FEA">
        <w:rPr>
          <w:rFonts w:cs="Arial" w:hint="cs"/>
          <w:rtl/>
        </w:rPr>
        <w:t>חוץ</w:t>
      </w:r>
      <w:r w:rsidRPr="00BB2FEA">
        <w:rPr>
          <w:rFonts w:cs="Arial"/>
          <w:rtl/>
        </w:rPr>
        <w:t xml:space="preserve"> </w:t>
      </w:r>
      <w:r w:rsidRPr="00BB2FEA">
        <w:rPr>
          <w:rFonts w:cs="Arial" w:hint="cs"/>
          <w:rtl/>
        </w:rPr>
        <w:t>לעיבורה</w:t>
      </w:r>
      <w:r w:rsidRPr="00BB2FEA">
        <w:rPr>
          <w:rFonts w:cs="Arial"/>
          <w:rtl/>
        </w:rPr>
        <w:t xml:space="preserve"> </w:t>
      </w:r>
      <w:r w:rsidRPr="00BB2FEA">
        <w:rPr>
          <w:rFonts w:cs="Arial" w:hint="cs"/>
          <w:rtl/>
        </w:rPr>
        <w:t>של</w:t>
      </w:r>
      <w:r w:rsidRPr="00BB2FEA">
        <w:rPr>
          <w:rFonts w:cs="Arial"/>
          <w:rtl/>
        </w:rPr>
        <w:t xml:space="preserve"> </w:t>
      </w:r>
      <w:r w:rsidRPr="00BB2FEA">
        <w:rPr>
          <w:rFonts w:cs="Arial" w:hint="cs"/>
          <w:rtl/>
        </w:rPr>
        <w:t>עיר</w:t>
      </w:r>
      <w:r>
        <w:rPr>
          <w:rFonts w:cs="Arial" w:hint="cs"/>
          <w:rtl/>
        </w:rPr>
        <w:t xml:space="preserve"> </w:t>
      </w:r>
      <w:r w:rsidR="00A82951">
        <w:rPr>
          <w:rFonts w:cs="Arial" w:hint="cs"/>
          <w:rtl/>
        </w:rPr>
        <w:t>-</w:t>
      </w:r>
      <w:r w:rsidRPr="00BB2FEA">
        <w:rPr>
          <w:rFonts w:cs="Arial"/>
          <w:rtl/>
        </w:rPr>
        <w:t xml:space="preserve"> </w:t>
      </w:r>
      <w:r w:rsidRPr="00BB2FEA">
        <w:rPr>
          <w:rFonts w:cs="Arial" w:hint="cs"/>
          <w:rtl/>
        </w:rPr>
        <w:t>לא</w:t>
      </w:r>
      <w:r w:rsidRPr="00BB2FEA">
        <w:rPr>
          <w:rFonts w:cs="Arial"/>
          <w:rtl/>
        </w:rPr>
        <w:t xml:space="preserve"> </w:t>
      </w:r>
      <w:r w:rsidRPr="00BB2FEA">
        <w:rPr>
          <w:rFonts w:cs="Arial" w:hint="cs"/>
          <w:rtl/>
        </w:rPr>
        <w:t>חשיב</w:t>
      </w:r>
      <w:r w:rsidRPr="00BB2FEA">
        <w:rPr>
          <w:rFonts w:cs="Arial"/>
          <w:rtl/>
        </w:rPr>
        <w:t xml:space="preserve"> </w:t>
      </w:r>
      <w:r w:rsidRPr="00BB2FEA">
        <w:rPr>
          <w:rFonts w:cs="Arial" w:hint="cs"/>
          <w:rtl/>
        </w:rPr>
        <w:t>בהך</w:t>
      </w:r>
      <w:r w:rsidRPr="00BB2FEA">
        <w:rPr>
          <w:rFonts w:cs="Arial"/>
          <w:rtl/>
        </w:rPr>
        <w:t xml:space="preserve"> </w:t>
      </w:r>
      <w:r w:rsidRPr="00BB2FEA">
        <w:rPr>
          <w:rFonts w:cs="Arial" w:hint="cs"/>
          <w:rtl/>
        </w:rPr>
        <w:t>שינה</w:t>
      </w:r>
      <w:r w:rsidRPr="00BB2FEA">
        <w:rPr>
          <w:rFonts w:cs="Arial"/>
          <w:rtl/>
        </w:rPr>
        <w:t xml:space="preserve"> </w:t>
      </w:r>
      <w:r w:rsidRPr="00BB2FEA">
        <w:rPr>
          <w:rFonts w:cs="Arial" w:hint="cs"/>
          <w:rtl/>
        </w:rPr>
        <w:t>שם</w:t>
      </w:r>
      <w:r w:rsidRPr="00BB2FEA">
        <w:rPr>
          <w:rFonts w:cs="Arial"/>
          <w:rtl/>
        </w:rPr>
        <w:t xml:space="preserve"> </w:t>
      </w:r>
      <w:r w:rsidRPr="00BB2FEA">
        <w:rPr>
          <w:rFonts w:cs="Arial" w:hint="cs"/>
          <w:rtl/>
        </w:rPr>
        <w:t>עיר</w:t>
      </w:r>
      <w:r>
        <w:rPr>
          <w:rStyle w:val="a7"/>
          <w:rFonts w:cs="Arial"/>
          <w:rtl/>
        </w:rPr>
        <w:footnoteReference w:id="1000"/>
      </w:r>
      <w:r>
        <w:rPr>
          <w:rFonts w:cs="Arial" w:hint="cs"/>
          <w:rtl/>
        </w:rPr>
        <w:t>,</w:t>
      </w:r>
      <w:r w:rsidRPr="00BB2FEA">
        <w:rPr>
          <w:rFonts w:cs="Arial"/>
          <w:rtl/>
        </w:rPr>
        <w:t xml:space="preserve"> </w:t>
      </w:r>
      <w:r w:rsidRPr="00BB2FEA">
        <w:rPr>
          <w:rFonts w:cs="Arial" w:hint="cs"/>
          <w:rtl/>
        </w:rPr>
        <w:t>כדאמרינן</w:t>
      </w:r>
      <w:r w:rsidRPr="00BB2FEA">
        <w:rPr>
          <w:rFonts w:cs="Arial"/>
          <w:rtl/>
        </w:rPr>
        <w:t xml:space="preserve"> </w:t>
      </w:r>
      <w:r w:rsidRPr="00BB2FEA">
        <w:rPr>
          <w:rFonts w:cs="Arial" w:hint="cs"/>
          <w:rtl/>
        </w:rPr>
        <w:t>בגמרא</w:t>
      </w:r>
      <w:r w:rsidRPr="00BB2FEA">
        <w:rPr>
          <w:rFonts w:cs="Arial"/>
          <w:rtl/>
        </w:rPr>
        <w:t xml:space="preserve"> (</w:t>
      </w:r>
      <w:r w:rsidRPr="00BB2FEA">
        <w:rPr>
          <w:rFonts w:cs="Arial" w:hint="cs"/>
          <w:rtl/>
        </w:rPr>
        <w:t>ר</w:t>
      </w:r>
      <w:r w:rsidRPr="00BB2FEA">
        <w:rPr>
          <w:rFonts w:cs="Arial"/>
          <w:rtl/>
        </w:rPr>
        <w:t>"</w:t>
      </w:r>
      <w:r w:rsidRPr="00BB2FEA">
        <w:rPr>
          <w:rFonts w:cs="Arial" w:hint="cs"/>
          <w:rtl/>
        </w:rPr>
        <w:t>ה</w:t>
      </w:r>
      <w:r w:rsidRPr="00BB2FEA">
        <w:rPr>
          <w:rFonts w:cs="Arial"/>
          <w:rtl/>
        </w:rPr>
        <w:t xml:space="preserve"> </w:t>
      </w:r>
      <w:r w:rsidRPr="00BB2FEA">
        <w:rPr>
          <w:rFonts w:cs="Arial" w:hint="cs"/>
          <w:rtl/>
        </w:rPr>
        <w:t>ל</w:t>
      </w:r>
      <w:r w:rsidRPr="00BB2FEA">
        <w:rPr>
          <w:rFonts w:cs="Arial"/>
          <w:rtl/>
        </w:rPr>
        <w:t xml:space="preserve">.) </w:t>
      </w:r>
      <w:r w:rsidRPr="00BB2FEA">
        <w:rPr>
          <w:rFonts w:cs="Arial" w:hint="cs"/>
          <w:rtl/>
        </w:rPr>
        <w:t>קרובה</w:t>
      </w:r>
      <w:r w:rsidRPr="00BB2FEA">
        <w:rPr>
          <w:rFonts w:cs="Arial"/>
          <w:rtl/>
        </w:rPr>
        <w:t xml:space="preserve"> </w:t>
      </w:r>
      <w:r w:rsidRPr="00BB2FEA">
        <w:rPr>
          <w:rFonts w:cs="Arial" w:hint="cs"/>
          <w:rtl/>
        </w:rPr>
        <w:t>פרט</w:t>
      </w:r>
      <w:r w:rsidRPr="00BB2FEA">
        <w:rPr>
          <w:rFonts w:cs="Arial"/>
          <w:rtl/>
        </w:rPr>
        <w:t xml:space="preserve"> </w:t>
      </w:r>
      <w:r w:rsidRPr="00BB2FEA">
        <w:rPr>
          <w:rFonts w:cs="Arial" w:hint="cs"/>
          <w:rtl/>
        </w:rPr>
        <w:t>ליושבת</w:t>
      </w:r>
      <w:r w:rsidRPr="00BB2FEA">
        <w:rPr>
          <w:rFonts w:cs="Arial"/>
          <w:rtl/>
        </w:rPr>
        <w:t xml:space="preserve"> </w:t>
      </w:r>
      <w:r w:rsidRPr="00BB2FEA">
        <w:rPr>
          <w:rFonts w:cs="Arial" w:hint="cs"/>
          <w:rtl/>
        </w:rPr>
        <w:t>חוץ</w:t>
      </w:r>
      <w:r w:rsidRPr="00BB2FEA">
        <w:rPr>
          <w:rFonts w:cs="Arial"/>
          <w:rtl/>
        </w:rPr>
        <w:t xml:space="preserve"> </w:t>
      </w:r>
      <w:r w:rsidRPr="00BB2FEA">
        <w:rPr>
          <w:rFonts w:cs="Arial" w:hint="cs"/>
          <w:rtl/>
        </w:rPr>
        <w:t>לתחום</w:t>
      </w:r>
      <w:r>
        <w:rPr>
          <w:rFonts w:cs="Arial" w:hint="cs"/>
          <w:rtl/>
        </w:rPr>
        <w:t>,</w:t>
      </w:r>
      <w:r w:rsidRPr="00BB2FEA">
        <w:rPr>
          <w:rFonts w:cs="Arial"/>
          <w:rtl/>
        </w:rPr>
        <w:t xml:space="preserve"> </w:t>
      </w:r>
      <w:r w:rsidRPr="00BB2FEA">
        <w:rPr>
          <w:rFonts w:cs="Arial" w:hint="cs"/>
          <w:rtl/>
        </w:rPr>
        <w:t>משמע</w:t>
      </w:r>
      <w:r w:rsidRPr="00BB2FEA">
        <w:rPr>
          <w:rFonts w:cs="Arial"/>
          <w:rtl/>
        </w:rPr>
        <w:t xml:space="preserve"> </w:t>
      </w:r>
      <w:r w:rsidRPr="00BB2FEA">
        <w:rPr>
          <w:rFonts w:cs="Arial" w:hint="cs"/>
          <w:rtl/>
        </w:rPr>
        <w:t>דיושבת</w:t>
      </w:r>
      <w:r w:rsidRPr="00BB2FEA">
        <w:rPr>
          <w:rFonts w:cs="Arial"/>
          <w:rtl/>
        </w:rPr>
        <w:t xml:space="preserve"> </w:t>
      </w:r>
      <w:r w:rsidRPr="00BB2FEA">
        <w:rPr>
          <w:rFonts w:cs="Arial" w:hint="cs"/>
          <w:rtl/>
        </w:rPr>
        <w:t>תוך</w:t>
      </w:r>
      <w:r w:rsidRPr="00BB2FEA">
        <w:rPr>
          <w:rFonts w:cs="Arial"/>
          <w:rtl/>
        </w:rPr>
        <w:t xml:space="preserve"> </w:t>
      </w:r>
      <w:r w:rsidRPr="00BB2FEA">
        <w:rPr>
          <w:rFonts w:cs="Arial" w:hint="cs"/>
          <w:rtl/>
        </w:rPr>
        <w:t>התחום</w:t>
      </w:r>
      <w:r w:rsidRPr="00BB2FEA">
        <w:rPr>
          <w:rFonts w:cs="Arial"/>
          <w:rtl/>
        </w:rPr>
        <w:t xml:space="preserve"> </w:t>
      </w:r>
      <w:r w:rsidRPr="00BB2FEA">
        <w:rPr>
          <w:rFonts w:cs="Arial" w:hint="cs"/>
          <w:rtl/>
        </w:rPr>
        <w:t>כוותיה</w:t>
      </w:r>
      <w:r w:rsidRPr="00BB2FEA">
        <w:rPr>
          <w:rFonts w:cs="Arial"/>
          <w:rtl/>
        </w:rPr>
        <w:t xml:space="preserve"> </w:t>
      </w:r>
      <w:r w:rsidRPr="00BB2FEA">
        <w:rPr>
          <w:rFonts w:cs="Arial" w:hint="cs"/>
          <w:rtl/>
        </w:rPr>
        <w:t>חשיב</w:t>
      </w:r>
      <w:r>
        <w:rPr>
          <w:rStyle w:val="a7"/>
          <w:rFonts w:cs="Arial"/>
          <w:rtl/>
        </w:rPr>
        <w:footnoteReference w:id="1001"/>
      </w:r>
      <w:r>
        <w:rPr>
          <w:rFonts w:cs="Arial" w:hint="cs"/>
          <w:rtl/>
        </w:rPr>
        <w:t>.</w:t>
      </w:r>
      <w:r w:rsidRPr="00BB2FEA">
        <w:rPr>
          <w:rFonts w:cs="Arial"/>
          <w:rtl/>
        </w:rPr>
        <w:t xml:space="preserve"> </w:t>
      </w:r>
      <w:r w:rsidRPr="00BB2FEA">
        <w:rPr>
          <w:rFonts w:cs="Arial" w:hint="cs"/>
          <w:rtl/>
        </w:rPr>
        <w:t>ואפילו</w:t>
      </w:r>
      <w:r w:rsidRPr="00BB2FEA">
        <w:rPr>
          <w:rFonts w:cs="Arial"/>
          <w:rtl/>
        </w:rPr>
        <w:t xml:space="preserve"> </w:t>
      </w:r>
      <w:r w:rsidRPr="00BB2FEA">
        <w:rPr>
          <w:rFonts w:cs="Arial" w:hint="cs"/>
          <w:rtl/>
        </w:rPr>
        <w:t>חוץ</w:t>
      </w:r>
      <w:r w:rsidRPr="00BB2FEA">
        <w:rPr>
          <w:rFonts w:cs="Arial"/>
          <w:rtl/>
        </w:rPr>
        <w:t xml:space="preserve"> </w:t>
      </w:r>
      <w:r w:rsidRPr="00BB2FEA">
        <w:rPr>
          <w:rFonts w:cs="Arial" w:hint="cs"/>
          <w:rtl/>
        </w:rPr>
        <w:t>לתחום</w:t>
      </w:r>
      <w:r w:rsidRPr="00BB2FEA">
        <w:rPr>
          <w:rFonts w:cs="Arial"/>
          <w:rtl/>
        </w:rPr>
        <w:t xml:space="preserve"> </w:t>
      </w:r>
      <w:r w:rsidRPr="00BB2FEA">
        <w:rPr>
          <w:rFonts w:cs="Arial" w:hint="cs"/>
          <w:rtl/>
        </w:rPr>
        <w:t>אם</w:t>
      </w:r>
      <w:r w:rsidRPr="00BB2FEA">
        <w:rPr>
          <w:rFonts w:cs="Arial"/>
          <w:rtl/>
        </w:rPr>
        <w:t xml:space="preserve"> </w:t>
      </w:r>
      <w:r w:rsidRPr="00BB2FEA">
        <w:rPr>
          <w:rFonts w:cs="Arial" w:hint="cs"/>
          <w:rtl/>
        </w:rPr>
        <w:t>נראה</w:t>
      </w:r>
      <w:r w:rsidRPr="00BB2FEA">
        <w:rPr>
          <w:rFonts w:cs="Arial"/>
          <w:rtl/>
        </w:rPr>
        <w:t xml:space="preserve"> </w:t>
      </w:r>
      <w:r w:rsidRPr="00BB2FEA">
        <w:rPr>
          <w:rFonts w:cs="Arial" w:hint="cs"/>
          <w:rtl/>
        </w:rPr>
        <w:t>עמה</w:t>
      </w:r>
      <w:r>
        <w:rPr>
          <w:rFonts w:cs="Arial" w:hint="cs"/>
          <w:rtl/>
        </w:rPr>
        <w:t xml:space="preserve"> </w:t>
      </w:r>
      <w:r w:rsidR="00A82951">
        <w:rPr>
          <w:rFonts w:cs="Arial" w:hint="cs"/>
          <w:rtl/>
        </w:rPr>
        <w:t>-</w:t>
      </w:r>
      <w:r w:rsidRPr="00BB2FEA">
        <w:rPr>
          <w:rFonts w:cs="Arial"/>
          <w:rtl/>
        </w:rPr>
        <w:t xml:space="preserve"> </w:t>
      </w:r>
      <w:r w:rsidRPr="00BB2FEA">
        <w:rPr>
          <w:rFonts w:cs="Arial" w:hint="cs"/>
          <w:rtl/>
        </w:rPr>
        <w:t>לא</w:t>
      </w:r>
      <w:r w:rsidRPr="00BB2FEA">
        <w:rPr>
          <w:rFonts w:cs="Arial"/>
          <w:rtl/>
        </w:rPr>
        <w:t xml:space="preserve"> </w:t>
      </w:r>
      <w:r w:rsidRPr="00BB2FEA">
        <w:rPr>
          <w:rFonts w:cs="Arial" w:hint="cs"/>
          <w:rtl/>
        </w:rPr>
        <w:t>חשיב</w:t>
      </w:r>
      <w:r w:rsidRPr="00BB2FEA">
        <w:rPr>
          <w:rFonts w:cs="Arial"/>
          <w:rtl/>
        </w:rPr>
        <w:t xml:space="preserve"> </w:t>
      </w:r>
      <w:r w:rsidRPr="00BB2FEA">
        <w:rPr>
          <w:rFonts w:cs="Arial" w:hint="cs"/>
          <w:rtl/>
        </w:rPr>
        <w:t>שינה</w:t>
      </w:r>
      <w:r>
        <w:rPr>
          <w:rFonts w:cs="Arial" w:hint="cs"/>
          <w:rtl/>
        </w:rPr>
        <w:t>,</w:t>
      </w:r>
      <w:r w:rsidRPr="00BB2FEA">
        <w:rPr>
          <w:rFonts w:cs="Arial"/>
          <w:rtl/>
        </w:rPr>
        <w:t xml:space="preserve"> </w:t>
      </w:r>
      <w:r w:rsidRPr="00BB2FEA">
        <w:rPr>
          <w:rFonts w:cs="Arial" w:hint="cs"/>
          <w:rtl/>
        </w:rPr>
        <w:t>כדמשמע</w:t>
      </w:r>
      <w:r w:rsidRPr="00BB2FEA">
        <w:rPr>
          <w:rFonts w:cs="Arial"/>
          <w:rtl/>
        </w:rPr>
        <w:t xml:space="preserve"> </w:t>
      </w:r>
      <w:r w:rsidRPr="00BB2FEA">
        <w:rPr>
          <w:rFonts w:cs="Arial" w:hint="cs"/>
          <w:rtl/>
        </w:rPr>
        <w:t>בפ</w:t>
      </w:r>
      <w:r>
        <w:rPr>
          <w:rFonts w:cs="Arial" w:hint="cs"/>
          <w:rtl/>
        </w:rPr>
        <w:t>"</w:t>
      </w:r>
      <w:r w:rsidRPr="00BB2FEA">
        <w:rPr>
          <w:rFonts w:cs="Arial" w:hint="cs"/>
          <w:rtl/>
        </w:rPr>
        <w:t>ק</w:t>
      </w:r>
      <w:r w:rsidRPr="00BB2FEA">
        <w:rPr>
          <w:rFonts w:cs="Arial"/>
          <w:rtl/>
        </w:rPr>
        <w:t xml:space="preserve"> </w:t>
      </w:r>
      <w:r w:rsidRPr="00BB2FEA">
        <w:rPr>
          <w:rFonts w:cs="Arial" w:hint="cs"/>
          <w:rtl/>
        </w:rPr>
        <w:t>דמגילה</w:t>
      </w:r>
      <w:r w:rsidRPr="00BB2FEA">
        <w:rPr>
          <w:rFonts w:cs="Arial"/>
          <w:rtl/>
        </w:rPr>
        <w:t xml:space="preserve"> (</w:t>
      </w:r>
      <w:r w:rsidRPr="00BB2FEA">
        <w:rPr>
          <w:rFonts w:cs="Arial" w:hint="cs"/>
          <w:rtl/>
        </w:rPr>
        <w:t>ג</w:t>
      </w:r>
      <w:r w:rsidRPr="00BB2FEA">
        <w:rPr>
          <w:rFonts w:cs="Arial"/>
          <w:rtl/>
        </w:rPr>
        <w:t xml:space="preserve">:) </w:t>
      </w:r>
      <w:r w:rsidRPr="00BB2FEA">
        <w:rPr>
          <w:rFonts w:cs="Arial" w:hint="cs"/>
          <w:rtl/>
        </w:rPr>
        <w:t>ובדוכתי</w:t>
      </w:r>
      <w:r w:rsidRPr="00BB2FEA">
        <w:rPr>
          <w:rFonts w:cs="Arial"/>
          <w:rtl/>
        </w:rPr>
        <w:t xml:space="preserve"> </w:t>
      </w:r>
      <w:r w:rsidRPr="00BB2FEA">
        <w:rPr>
          <w:rFonts w:cs="Arial" w:hint="cs"/>
          <w:rtl/>
        </w:rPr>
        <w:t>אחריני</w:t>
      </w:r>
      <w:r>
        <w:rPr>
          <w:rStyle w:val="a7"/>
          <w:rFonts w:cs="Arial"/>
          <w:rtl/>
        </w:rPr>
        <w:footnoteReference w:id="1002"/>
      </w:r>
      <w:r w:rsidRPr="00BB2FEA">
        <w:rPr>
          <w:rFonts w:cs="Arial"/>
          <w:rtl/>
        </w:rPr>
        <w:t xml:space="preserve">. </w:t>
      </w:r>
      <w:r w:rsidRPr="00EB4A74">
        <w:rPr>
          <w:rFonts w:cs="Arial" w:hint="cs"/>
          <w:color w:val="00B0F0"/>
          <w:rtl/>
        </w:rPr>
        <w:t>(וכ"פ הרמ"א)</w:t>
      </w:r>
    </w:p>
    <w:p w14:paraId="76E401C9" w14:textId="77777777" w:rsidR="00FA2119" w:rsidRPr="0094176A" w:rsidRDefault="00FA2119" w:rsidP="00FA2119">
      <w:pPr>
        <w:rPr>
          <w:u w:val="single"/>
        </w:rPr>
      </w:pPr>
      <w:r w:rsidRPr="0094176A">
        <w:rPr>
          <w:rFonts w:cs="Arial" w:hint="cs"/>
          <w:u w:val="single"/>
          <w:rtl/>
        </w:rPr>
        <w:t>נהר</w:t>
      </w:r>
      <w:r w:rsidRPr="0094176A">
        <w:rPr>
          <w:rFonts w:cs="Arial"/>
          <w:u w:val="single"/>
          <w:rtl/>
        </w:rPr>
        <w:t xml:space="preserve"> </w:t>
      </w:r>
      <w:r w:rsidRPr="0094176A">
        <w:rPr>
          <w:rFonts w:cs="Arial" w:hint="cs"/>
          <w:u w:val="single"/>
          <w:rtl/>
        </w:rPr>
        <w:t>שמסתפקין</w:t>
      </w:r>
      <w:r w:rsidRPr="0094176A">
        <w:rPr>
          <w:rFonts w:cs="Arial"/>
          <w:u w:val="single"/>
          <w:rtl/>
        </w:rPr>
        <w:t xml:space="preserve"> </w:t>
      </w:r>
      <w:r w:rsidRPr="0094176A">
        <w:rPr>
          <w:rFonts w:cs="Arial" w:hint="cs"/>
          <w:u w:val="single"/>
          <w:rtl/>
        </w:rPr>
        <w:t>ממנו</w:t>
      </w:r>
      <w:r w:rsidRPr="0094176A">
        <w:rPr>
          <w:rFonts w:cs="Arial"/>
          <w:u w:val="single"/>
          <w:rtl/>
        </w:rPr>
        <w:t xml:space="preserve"> </w:t>
      </w:r>
      <w:r w:rsidRPr="0094176A">
        <w:rPr>
          <w:rFonts w:cs="Arial" w:hint="cs"/>
          <w:u w:val="single"/>
          <w:rtl/>
        </w:rPr>
        <w:t>לצורך</w:t>
      </w:r>
      <w:r w:rsidRPr="0094176A">
        <w:rPr>
          <w:rFonts w:cs="Arial"/>
          <w:u w:val="single"/>
          <w:rtl/>
        </w:rPr>
        <w:t xml:space="preserve"> </w:t>
      </w:r>
      <w:r w:rsidRPr="0094176A">
        <w:rPr>
          <w:rFonts w:cs="Arial" w:hint="cs"/>
          <w:u w:val="single"/>
          <w:rtl/>
        </w:rPr>
        <w:t>כרמים</w:t>
      </w:r>
      <w:r w:rsidRPr="0094176A">
        <w:rPr>
          <w:rFonts w:hint="cs"/>
          <w:u w:val="single"/>
          <w:rtl/>
        </w:rPr>
        <w:t>:</w:t>
      </w:r>
    </w:p>
    <w:p w14:paraId="24256692" w14:textId="7432AB47" w:rsidR="00FA2119" w:rsidRPr="0094176A" w:rsidRDefault="00FA2119" w:rsidP="00FA2119">
      <w:pPr>
        <w:pStyle w:val="ab"/>
        <w:numPr>
          <w:ilvl w:val="0"/>
          <w:numId w:val="68"/>
        </w:numPr>
      </w:pPr>
      <w:r w:rsidRPr="0094176A">
        <w:rPr>
          <w:rFonts w:hint="cs"/>
          <w:rtl/>
        </w:rPr>
        <w:t>תרוה"ד</w:t>
      </w:r>
      <w:r w:rsidRPr="0094176A">
        <w:rPr>
          <w:rFonts w:cs="Arial"/>
          <w:rtl/>
        </w:rPr>
        <w:t xml:space="preserve"> </w:t>
      </w:r>
      <w:r w:rsidRPr="0094176A">
        <w:rPr>
          <w:rFonts w:cs="Arial" w:hint="cs"/>
          <w:sz w:val="16"/>
          <w:szCs w:val="16"/>
          <w:rtl/>
        </w:rPr>
        <w:t>(כתבים ח</w:t>
      </w:r>
      <w:r w:rsidRPr="0094176A">
        <w:rPr>
          <w:rFonts w:cs="Arial"/>
          <w:sz w:val="16"/>
          <w:szCs w:val="16"/>
          <w:rtl/>
        </w:rPr>
        <w:t>"</w:t>
      </w:r>
      <w:r w:rsidRPr="0094176A">
        <w:rPr>
          <w:rFonts w:cs="Arial" w:hint="cs"/>
          <w:sz w:val="16"/>
          <w:szCs w:val="16"/>
          <w:rtl/>
        </w:rPr>
        <w:t>ב</w:t>
      </w:r>
      <w:r w:rsidRPr="0094176A">
        <w:rPr>
          <w:rFonts w:cs="Arial"/>
          <w:sz w:val="16"/>
          <w:szCs w:val="16"/>
          <w:rtl/>
        </w:rPr>
        <w:t xml:space="preserve"> </w:t>
      </w:r>
      <w:r w:rsidRPr="0094176A">
        <w:rPr>
          <w:rFonts w:cs="Arial" w:hint="cs"/>
          <w:sz w:val="16"/>
          <w:szCs w:val="16"/>
          <w:rtl/>
        </w:rPr>
        <w:t>סי'</w:t>
      </w:r>
      <w:r w:rsidRPr="0094176A">
        <w:rPr>
          <w:rFonts w:cs="Arial"/>
          <w:sz w:val="16"/>
          <w:szCs w:val="16"/>
          <w:rtl/>
        </w:rPr>
        <w:t xml:space="preserve"> </w:t>
      </w:r>
      <w:r w:rsidRPr="0094176A">
        <w:rPr>
          <w:rFonts w:cs="Arial" w:hint="cs"/>
          <w:sz w:val="16"/>
          <w:szCs w:val="16"/>
          <w:rtl/>
        </w:rPr>
        <w:t>קמב)</w:t>
      </w:r>
      <w:r w:rsidR="00A82951">
        <w:rPr>
          <w:rFonts w:cs="Arial" w:hint="cs"/>
          <w:rtl/>
        </w:rPr>
        <w:t>-</w:t>
      </w:r>
      <w:r w:rsidRPr="0094176A">
        <w:rPr>
          <w:rFonts w:cs="Arial" w:hint="cs"/>
          <w:rtl/>
        </w:rPr>
        <w:t xml:space="preserve"> נהר</w:t>
      </w:r>
      <w:r w:rsidRPr="0094176A">
        <w:rPr>
          <w:rFonts w:cs="Arial"/>
          <w:rtl/>
        </w:rPr>
        <w:t xml:space="preserve"> </w:t>
      </w:r>
      <w:r w:rsidRPr="0094176A">
        <w:rPr>
          <w:rFonts w:cs="Arial" w:hint="cs"/>
          <w:rtl/>
        </w:rPr>
        <w:t>שמסתפקין</w:t>
      </w:r>
      <w:r w:rsidRPr="0094176A">
        <w:rPr>
          <w:rFonts w:cs="Arial"/>
          <w:rtl/>
        </w:rPr>
        <w:t xml:space="preserve"> </w:t>
      </w:r>
      <w:r w:rsidRPr="0094176A">
        <w:rPr>
          <w:rFonts w:cs="Arial" w:hint="cs"/>
          <w:rtl/>
        </w:rPr>
        <w:t>ממנו</w:t>
      </w:r>
      <w:r w:rsidRPr="0094176A">
        <w:rPr>
          <w:rFonts w:cs="Arial"/>
          <w:rtl/>
        </w:rPr>
        <w:t xml:space="preserve"> </w:t>
      </w:r>
      <w:r w:rsidRPr="0094176A">
        <w:rPr>
          <w:rFonts w:cs="Arial" w:hint="cs"/>
          <w:rtl/>
        </w:rPr>
        <w:t>לצורך</w:t>
      </w:r>
      <w:r w:rsidRPr="0094176A">
        <w:rPr>
          <w:rFonts w:cs="Arial"/>
          <w:rtl/>
        </w:rPr>
        <w:t xml:space="preserve"> </w:t>
      </w:r>
      <w:r w:rsidRPr="0094176A">
        <w:rPr>
          <w:rFonts w:cs="Arial" w:hint="cs"/>
          <w:rtl/>
        </w:rPr>
        <w:t xml:space="preserve">כרמים </w:t>
      </w:r>
      <w:r w:rsidR="00A82951">
        <w:rPr>
          <w:rFonts w:cs="Arial" w:hint="cs"/>
          <w:rtl/>
        </w:rPr>
        <w:t>-</w:t>
      </w:r>
      <w:r>
        <w:rPr>
          <w:rFonts w:cs="Arial" w:hint="cs"/>
          <w:rtl/>
        </w:rPr>
        <w:t xml:space="preserve"> </w:t>
      </w:r>
      <w:r w:rsidRPr="0094176A">
        <w:rPr>
          <w:rFonts w:cs="Arial" w:hint="cs"/>
          <w:rtl/>
        </w:rPr>
        <w:t>לא</w:t>
      </w:r>
      <w:r w:rsidRPr="0094176A">
        <w:rPr>
          <w:rFonts w:cs="Arial"/>
          <w:rtl/>
        </w:rPr>
        <w:t xml:space="preserve"> </w:t>
      </w:r>
      <w:r w:rsidRPr="0094176A">
        <w:rPr>
          <w:rFonts w:cs="Arial" w:hint="cs"/>
          <w:rtl/>
        </w:rPr>
        <w:t>מיקרי</w:t>
      </w:r>
      <w:r w:rsidRPr="0094176A">
        <w:rPr>
          <w:rFonts w:cs="Arial"/>
          <w:rtl/>
        </w:rPr>
        <w:t xml:space="preserve"> </w:t>
      </w:r>
      <w:r w:rsidRPr="0094176A">
        <w:rPr>
          <w:rFonts w:cs="Arial" w:hint="cs"/>
          <w:rtl/>
        </w:rPr>
        <w:t>משום</w:t>
      </w:r>
      <w:r w:rsidRPr="0094176A">
        <w:rPr>
          <w:rFonts w:cs="Arial"/>
          <w:rtl/>
        </w:rPr>
        <w:t xml:space="preserve"> </w:t>
      </w:r>
      <w:r w:rsidRPr="0094176A">
        <w:rPr>
          <w:rFonts w:cs="Arial" w:hint="cs"/>
          <w:rtl/>
        </w:rPr>
        <w:t>הכי</w:t>
      </w:r>
      <w:r w:rsidRPr="0094176A">
        <w:rPr>
          <w:rFonts w:cs="Arial"/>
          <w:rtl/>
        </w:rPr>
        <w:t xml:space="preserve"> </w:t>
      </w:r>
      <w:r w:rsidRPr="0094176A">
        <w:rPr>
          <w:rFonts w:cs="Arial" w:hint="cs"/>
          <w:rtl/>
        </w:rPr>
        <w:t>תשמיש</w:t>
      </w:r>
      <w:r w:rsidRPr="0094176A">
        <w:rPr>
          <w:rFonts w:cs="Arial"/>
          <w:rtl/>
        </w:rPr>
        <w:t xml:space="preserve"> </w:t>
      </w:r>
      <w:r w:rsidRPr="0094176A">
        <w:rPr>
          <w:rFonts w:cs="Arial" w:hint="cs"/>
          <w:rtl/>
        </w:rPr>
        <w:t>העיר</w:t>
      </w:r>
      <w:r>
        <w:rPr>
          <w:rFonts w:cs="Arial" w:hint="cs"/>
          <w:rtl/>
        </w:rPr>
        <w:t>,</w:t>
      </w:r>
      <w:r w:rsidRPr="0094176A">
        <w:rPr>
          <w:rFonts w:cs="Arial"/>
          <w:rtl/>
        </w:rPr>
        <w:t xml:space="preserve"> </w:t>
      </w:r>
      <w:r w:rsidRPr="0094176A">
        <w:rPr>
          <w:rFonts w:cs="Arial" w:hint="cs"/>
          <w:rtl/>
        </w:rPr>
        <w:t>דאין</w:t>
      </w:r>
      <w:r w:rsidRPr="0094176A">
        <w:rPr>
          <w:rFonts w:cs="Arial"/>
          <w:rtl/>
        </w:rPr>
        <w:t xml:space="preserve"> </w:t>
      </w:r>
      <w:r w:rsidRPr="0094176A">
        <w:rPr>
          <w:rFonts w:cs="Arial" w:hint="cs"/>
          <w:rtl/>
        </w:rPr>
        <w:t>בני</w:t>
      </w:r>
      <w:r w:rsidRPr="00BB2FEA">
        <w:rPr>
          <w:rFonts w:cs="Arial"/>
          <w:rtl/>
        </w:rPr>
        <w:t xml:space="preserve"> </w:t>
      </w:r>
      <w:r w:rsidRPr="00BB2FEA">
        <w:rPr>
          <w:rFonts w:cs="Arial" w:hint="cs"/>
          <w:rtl/>
        </w:rPr>
        <w:t>העיר</w:t>
      </w:r>
      <w:r w:rsidRPr="00BB2FEA">
        <w:rPr>
          <w:rFonts w:cs="Arial"/>
          <w:rtl/>
        </w:rPr>
        <w:t xml:space="preserve"> </w:t>
      </w:r>
      <w:r w:rsidRPr="00BB2FEA">
        <w:rPr>
          <w:rFonts w:cs="Arial" w:hint="cs"/>
          <w:rtl/>
        </w:rPr>
        <w:t>יוצאים</w:t>
      </w:r>
      <w:r w:rsidRPr="00BB2FEA">
        <w:rPr>
          <w:rFonts w:cs="Arial"/>
          <w:rtl/>
        </w:rPr>
        <w:t xml:space="preserve"> </w:t>
      </w:r>
      <w:r w:rsidRPr="00BB2FEA">
        <w:rPr>
          <w:rFonts w:cs="Arial" w:hint="cs"/>
          <w:rtl/>
        </w:rPr>
        <w:t>שם</w:t>
      </w:r>
      <w:r w:rsidRPr="00BB2FEA">
        <w:rPr>
          <w:rFonts w:cs="Arial"/>
          <w:rtl/>
        </w:rPr>
        <w:t xml:space="preserve"> </w:t>
      </w:r>
      <w:r w:rsidRPr="00BB2FEA">
        <w:rPr>
          <w:rFonts w:cs="Arial" w:hint="cs"/>
          <w:rtl/>
        </w:rPr>
        <w:t>בשביל</w:t>
      </w:r>
      <w:r w:rsidRPr="00BB2FEA">
        <w:rPr>
          <w:rFonts w:cs="Arial"/>
          <w:rtl/>
        </w:rPr>
        <w:t xml:space="preserve"> </w:t>
      </w:r>
      <w:r w:rsidRPr="00BB2FEA">
        <w:rPr>
          <w:rFonts w:cs="Arial" w:hint="cs"/>
          <w:rtl/>
        </w:rPr>
        <w:t>הנהר</w:t>
      </w:r>
      <w:r w:rsidRPr="00BB2FEA">
        <w:rPr>
          <w:rFonts w:cs="Arial"/>
          <w:rtl/>
        </w:rPr>
        <w:t xml:space="preserve"> </w:t>
      </w:r>
      <w:r w:rsidRPr="00BB2FEA">
        <w:rPr>
          <w:rFonts w:cs="Arial" w:hint="cs"/>
          <w:rtl/>
        </w:rPr>
        <w:t>אלא</w:t>
      </w:r>
      <w:r w:rsidRPr="00BB2FEA">
        <w:rPr>
          <w:rFonts w:cs="Arial"/>
          <w:rtl/>
        </w:rPr>
        <w:t xml:space="preserve"> </w:t>
      </w:r>
      <w:r w:rsidRPr="00BB2FEA">
        <w:rPr>
          <w:rFonts w:cs="Arial" w:hint="cs"/>
          <w:rtl/>
        </w:rPr>
        <w:t>בשביל</w:t>
      </w:r>
      <w:r w:rsidRPr="00BB2FEA">
        <w:rPr>
          <w:rFonts w:cs="Arial"/>
          <w:rtl/>
        </w:rPr>
        <w:t xml:space="preserve"> </w:t>
      </w:r>
      <w:r w:rsidRPr="00BB2FEA">
        <w:rPr>
          <w:rFonts w:cs="Arial" w:hint="cs"/>
          <w:rtl/>
        </w:rPr>
        <w:t>הכרמים</w:t>
      </w:r>
      <w:r>
        <w:rPr>
          <w:rFonts w:cs="Arial" w:hint="cs"/>
          <w:rtl/>
        </w:rPr>
        <w:t>.</w:t>
      </w:r>
      <w:r w:rsidRPr="00BB2FEA">
        <w:rPr>
          <w:rFonts w:cs="Arial"/>
          <w:rtl/>
        </w:rPr>
        <w:t xml:space="preserve"> </w:t>
      </w:r>
      <w:r w:rsidRPr="00BB2FEA">
        <w:rPr>
          <w:rFonts w:cs="Arial" w:hint="cs"/>
          <w:rtl/>
        </w:rPr>
        <w:t>ואם</w:t>
      </w:r>
      <w:r w:rsidRPr="00BB2FEA">
        <w:rPr>
          <w:rFonts w:cs="Arial"/>
          <w:rtl/>
        </w:rPr>
        <w:t xml:space="preserve"> </w:t>
      </w:r>
      <w:r w:rsidRPr="00BB2FEA">
        <w:rPr>
          <w:rFonts w:cs="Arial" w:hint="cs"/>
          <w:rtl/>
        </w:rPr>
        <w:t>אגב</w:t>
      </w:r>
      <w:r w:rsidRPr="00BB2FEA">
        <w:rPr>
          <w:rFonts w:cs="Arial"/>
          <w:rtl/>
        </w:rPr>
        <w:t xml:space="preserve"> </w:t>
      </w:r>
      <w:r w:rsidRPr="00BB2FEA">
        <w:rPr>
          <w:rFonts w:cs="Arial" w:hint="cs"/>
          <w:rtl/>
        </w:rPr>
        <w:t>זה</w:t>
      </w:r>
      <w:r w:rsidRPr="00BB2FEA">
        <w:rPr>
          <w:rFonts w:cs="Arial"/>
          <w:rtl/>
        </w:rPr>
        <w:t xml:space="preserve"> </w:t>
      </w:r>
      <w:r w:rsidRPr="00BB2FEA">
        <w:rPr>
          <w:rFonts w:cs="Arial" w:hint="cs"/>
          <w:rtl/>
        </w:rPr>
        <w:t>שותים</w:t>
      </w:r>
      <w:r w:rsidRPr="00BB2FEA">
        <w:rPr>
          <w:rFonts w:cs="Arial"/>
          <w:rtl/>
        </w:rPr>
        <w:t xml:space="preserve"> </w:t>
      </w:r>
      <w:r w:rsidRPr="00BB2FEA">
        <w:rPr>
          <w:rFonts w:cs="Arial" w:hint="cs"/>
          <w:rtl/>
        </w:rPr>
        <w:t>ממנו</w:t>
      </w:r>
      <w:r>
        <w:rPr>
          <w:rFonts w:cs="Arial" w:hint="cs"/>
          <w:rtl/>
        </w:rPr>
        <w:t>,</w:t>
      </w:r>
      <w:r w:rsidRPr="00BB2FEA">
        <w:rPr>
          <w:rFonts w:cs="Arial"/>
          <w:rtl/>
        </w:rPr>
        <w:t xml:space="preserve"> </w:t>
      </w:r>
      <w:r w:rsidRPr="00BB2FEA">
        <w:rPr>
          <w:rFonts w:cs="Arial" w:hint="cs"/>
          <w:rtl/>
        </w:rPr>
        <w:t>לא</w:t>
      </w:r>
      <w:r w:rsidRPr="00BB2FEA">
        <w:rPr>
          <w:rFonts w:cs="Arial"/>
          <w:rtl/>
        </w:rPr>
        <w:t xml:space="preserve"> </w:t>
      </w:r>
      <w:r w:rsidRPr="00BB2FEA">
        <w:rPr>
          <w:rFonts w:cs="Arial" w:hint="cs"/>
          <w:rtl/>
        </w:rPr>
        <w:t>מיקרי</w:t>
      </w:r>
      <w:r w:rsidRPr="00BB2FEA">
        <w:rPr>
          <w:rFonts w:cs="Arial"/>
          <w:rtl/>
        </w:rPr>
        <w:t xml:space="preserve"> </w:t>
      </w:r>
      <w:r w:rsidRPr="00BB2FEA">
        <w:rPr>
          <w:rFonts w:cs="Arial" w:hint="cs"/>
          <w:rtl/>
        </w:rPr>
        <w:t>בשביל</w:t>
      </w:r>
      <w:r w:rsidRPr="00BB2FEA">
        <w:rPr>
          <w:rFonts w:cs="Arial"/>
          <w:rtl/>
        </w:rPr>
        <w:t xml:space="preserve"> </w:t>
      </w:r>
      <w:r w:rsidRPr="00BB2FEA">
        <w:rPr>
          <w:rFonts w:cs="Arial" w:hint="cs"/>
          <w:rtl/>
        </w:rPr>
        <w:t>כך</w:t>
      </w:r>
      <w:r w:rsidRPr="00BB2FEA">
        <w:rPr>
          <w:rFonts w:cs="Arial"/>
          <w:rtl/>
        </w:rPr>
        <w:t xml:space="preserve"> </w:t>
      </w:r>
      <w:r w:rsidRPr="00BB2FEA">
        <w:rPr>
          <w:rFonts w:cs="Arial" w:hint="cs"/>
          <w:rtl/>
        </w:rPr>
        <w:t>תשמיש</w:t>
      </w:r>
      <w:r w:rsidRPr="00BB2FEA">
        <w:rPr>
          <w:rFonts w:cs="Arial"/>
          <w:rtl/>
        </w:rPr>
        <w:t xml:space="preserve"> </w:t>
      </w:r>
      <w:r w:rsidRPr="00BB2FEA">
        <w:rPr>
          <w:rFonts w:cs="Arial" w:hint="cs"/>
          <w:rtl/>
        </w:rPr>
        <w:t>העיר</w:t>
      </w:r>
      <w:r>
        <w:rPr>
          <w:rFonts w:cs="Arial" w:hint="cs"/>
          <w:rtl/>
        </w:rPr>
        <w:t>.</w:t>
      </w:r>
      <w:r w:rsidRPr="00BB2FEA">
        <w:rPr>
          <w:rFonts w:cs="Arial"/>
          <w:rtl/>
        </w:rPr>
        <w:t xml:space="preserve"> </w:t>
      </w:r>
      <w:r w:rsidRPr="00BB2FEA">
        <w:rPr>
          <w:rFonts w:cs="Arial" w:hint="cs"/>
          <w:rtl/>
        </w:rPr>
        <w:t>דלא</w:t>
      </w:r>
      <w:r w:rsidRPr="00BB2FEA">
        <w:rPr>
          <w:rFonts w:cs="Arial"/>
          <w:rtl/>
        </w:rPr>
        <w:t xml:space="preserve"> </w:t>
      </w:r>
      <w:r w:rsidRPr="00BB2FEA">
        <w:rPr>
          <w:rFonts w:cs="Arial" w:hint="cs"/>
          <w:rtl/>
        </w:rPr>
        <w:t>דמי</w:t>
      </w:r>
      <w:r w:rsidRPr="00BB2FEA">
        <w:rPr>
          <w:rFonts w:cs="Arial"/>
          <w:rtl/>
        </w:rPr>
        <w:t xml:space="preserve"> </w:t>
      </w:r>
      <w:r w:rsidRPr="00BB2FEA">
        <w:rPr>
          <w:rFonts w:cs="Arial" w:hint="cs"/>
          <w:rtl/>
        </w:rPr>
        <w:t>לטחינה</w:t>
      </w:r>
      <w:r w:rsidRPr="00BB2FEA">
        <w:rPr>
          <w:rFonts w:cs="Arial"/>
          <w:rtl/>
        </w:rPr>
        <w:t xml:space="preserve"> </w:t>
      </w:r>
      <w:r w:rsidRPr="00BB2FEA">
        <w:rPr>
          <w:rFonts w:cs="Arial" w:hint="cs"/>
          <w:rtl/>
        </w:rPr>
        <w:t>וכביסה</w:t>
      </w:r>
      <w:r w:rsidRPr="00BB2FEA">
        <w:rPr>
          <w:rFonts w:cs="Arial"/>
          <w:rtl/>
        </w:rPr>
        <w:t xml:space="preserve"> </w:t>
      </w:r>
      <w:r w:rsidRPr="00BB2FEA">
        <w:rPr>
          <w:rFonts w:cs="Arial" w:hint="cs"/>
          <w:rtl/>
        </w:rPr>
        <w:t>ומשרה</w:t>
      </w:r>
      <w:r w:rsidRPr="00BB2FEA">
        <w:rPr>
          <w:rFonts w:cs="Arial"/>
          <w:rtl/>
        </w:rPr>
        <w:t xml:space="preserve"> </w:t>
      </w:r>
      <w:r w:rsidRPr="00BB2FEA">
        <w:rPr>
          <w:rFonts w:cs="Arial" w:hint="cs"/>
          <w:rtl/>
        </w:rPr>
        <w:t>שבני</w:t>
      </w:r>
      <w:r w:rsidRPr="00BB2FEA">
        <w:rPr>
          <w:rFonts w:cs="Arial"/>
          <w:rtl/>
        </w:rPr>
        <w:t xml:space="preserve"> </w:t>
      </w:r>
      <w:r w:rsidRPr="00BB2FEA">
        <w:rPr>
          <w:rFonts w:cs="Arial" w:hint="cs"/>
          <w:rtl/>
        </w:rPr>
        <w:t>העיר</w:t>
      </w:r>
      <w:r w:rsidRPr="00BB2FEA">
        <w:rPr>
          <w:rFonts w:cs="Arial"/>
          <w:rtl/>
        </w:rPr>
        <w:t xml:space="preserve"> </w:t>
      </w:r>
      <w:r w:rsidRPr="00BB2FEA">
        <w:rPr>
          <w:rFonts w:cs="Arial" w:hint="cs"/>
          <w:rtl/>
        </w:rPr>
        <w:t>הולכים</w:t>
      </w:r>
      <w:r w:rsidRPr="00BB2FEA">
        <w:rPr>
          <w:rFonts w:cs="Arial"/>
          <w:rtl/>
        </w:rPr>
        <w:t xml:space="preserve"> </w:t>
      </w:r>
      <w:r w:rsidRPr="00BB2FEA">
        <w:rPr>
          <w:rFonts w:cs="Arial" w:hint="cs"/>
          <w:rtl/>
        </w:rPr>
        <w:t>אל</w:t>
      </w:r>
      <w:r w:rsidRPr="00BB2FEA">
        <w:rPr>
          <w:rFonts w:cs="Arial"/>
          <w:rtl/>
        </w:rPr>
        <w:t xml:space="preserve"> </w:t>
      </w:r>
      <w:r w:rsidRPr="00BB2FEA">
        <w:rPr>
          <w:rFonts w:cs="Arial" w:hint="cs"/>
          <w:rtl/>
        </w:rPr>
        <w:t>הנהר</w:t>
      </w:r>
      <w:r w:rsidRPr="00BB2FEA">
        <w:rPr>
          <w:rFonts w:cs="Arial"/>
          <w:rtl/>
        </w:rPr>
        <w:t xml:space="preserve"> </w:t>
      </w:r>
      <w:r w:rsidRPr="00BB2FEA">
        <w:rPr>
          <w:rFonts w:cs="Arial" w:hint="cs"/>
          <w:rtl/>
        </w:rPr>
        <w:t>בשביל</w:t>
      </w:r>
      <w:r w:rsidRPr="00BB2FEA">
        <w:rPr>
          <w:rFonts w:cs="Arial"/>
          <w:rtl/>
        </w:rPr>
        <w:t xml:space="preserve"> </w:t>
      </w:r>
      <w:r w:rsidRPr="00BB2FEA">
        <w:rPr>
          <w:rFonts w:cs="Arial" w:hint="cs"/>
          <w:rtl/>
        </w:rPr>
        <w:t>תשמישין</w:t>
      </w:r>
      <w:r w:rsidRPr="00BB2FEA">
        <w:rPr>
          <w:rFonts w:cs="Arial"/>
          <w:rtl/>
        </w:rPr>
        <w:t xml:space="preserve"> </w:t>
      </w:r>
      <w:r w:rsidRPr="00BB2FEA">
        <w:rPr>
          <w:rFonts w:cs="Arial" w:hint="cs"/>
          <w:rtl/>
        </w:rPr>
        <w:t>אלו</w:t>
      </w:r>
      <w:r>
        <w:rPr>
          <w:rFonts w:cs="Arial" w:hint="cs"/>
          <w:rtl/>
        </w:rPr>
        <w:t>.</w:t>
      </w:r>
      <w:r w:rsidRPr="00BB2FEA">
        <w:rPr>
          <w:rFonts w:cs="Arial"/>
          <w:rtl/>
        </w:rPr>
        <w:t xml:space="preserve"> </w:t>
      </w:r>
    </w:p>
    <w:p w14:paraId="49DCADE7" w14:textId="77777777" w:rsidR="00FA2119" w:rsidRPr="0094176A" w:rsidRDefault="00FA2119" w:rsidP="00FA2119">
      <w:pPr>
        <w:rPr>
          <w:u w:val="single"/>
        </w:rPr>
      </w:pPr>
      <w:r w:rsidRPr="0094176A">
        <w:rPr>
          <w:rFonts w:cs="Arial" w:hint="cs"/>
          <w:u w:val="single"/>
          <w:rtl/>
        </w:rPr>
        <w:t>נהר</w:t>
      </w:r>
      <w:r w:rsidRPr="0094176A">
        <w:rPr>
          <w:rFonts w:cs="Arial"/>
          <w:u w:val="single"/>
          <w:rtl/>
        </w:rPr>
        <w:t xml:space="preserve"> </w:t>
      </w:r>
      <w:r w:rsidRPr="0094176A">
        <w:rPr>
          <w:rFonts w:cs="Arial" w:hint="cs"/>
          <w:u w:val="single"/>
          <w:rtl/>
        </w:rPr>
        <w:t>שהוא</w:t>
      </w:r>
      <w:r w:rsidRPr="0094176A">
        <w:rPr>
          <w:rFonts w:cs="Arial"/>
          <w:u w:val="single"/>
          <w:rtl/>
        </w:rPr>
        <w:t xml:space="preserve"> </w:t>
      </w:r>
      <w:r w:rsidRPr="0094176A">
        <w:rPr>
          <w:rFonts w:cs="Arial" w:hint="cs"/>
          <w:u w:val="single"/>
          <w:rtl/>
        </w:rPr>
        <w:t>חוץ</w:t>
      </w:r>
      <w:r w:rsidRPr="0094176A">
        <w:rPr>
          <w:rFonts w:cs="Arial"/>
          <w:u w:val="single"/>
          <w:rtl/>
        </w:rPr>
        <w:t xml:space="preserve"> </w:t>
      </w:r>
      <w:r w:rsidRPr="0094176A">
        <w:rPr>
          <w:rFonts w:cs="Arial" w:hint="cs"/>
          <w:u w:val="single"/>
          <w:rtl/>
        </w:rPr>
        <w:t>לעיר</w:t>
      </w:r>
      <w:r>
        <w:rPr>
          <w:rFonts w:cs="Arial" w:hint="cs"/>
          <w:u w:val="single"/>
          <w:rtl/>
        </w:rPr>
        <w:t>,</w:t>
      </w:r>
      <w:r w:rsidRPr="0094176A">
        <w:rPr>
          <w:rFonts w:cs="Arial"/>
          <w:u w:val="single"/>
          <w:rtl/>
        </w:rPr>
        <w:t xml:space="preserve"> </w:t>
      </w:r>
      <w:r w:rsidRPr="0094176A">
        <w:rPr>
          <w:rFonts w:cs="Arial" w:hint="cs"/>
          <w:u w:val="single"/>
          <w:rtl/>
        </w:rPr>
        <w:t>וסיפוק</w:t>
      </w:r>
      <w:r w:rsidRPr="0094176A">
        <w:rPr>
          <w:rFonts w:cs="Arial"/>
          <w:u w:val="single"/>
          <w:rtl/>
        </w:rPr>
        <w:t xml:space="preserve"> </w:t>
      </w:r>
      <w:r w:rsidRPr="0094176A">
        <w:rPr>
          <w:rFonts w:cs="Arial" w:hint="cs"/>
          <w:u w:val="single"/>
          <w:rtl/>
        </w:rPr>
        <w:t>העיר</w:t>
      </w:r>
      <w:r w:rsidRPr="0094176A">
        <w:rPr>
          <w:rFonts w:cs="Arial"/>
          <w:u w:val="single"/>
          <w:rtl/>
        </w:rPr>
        <w:t xml:space="preserve"> </w:t>
      </w:r>
      <w:r w:rsidRPr="0094176A">
        <w:rPr>
          <w:rFonts w:cs="Arial" w:hint="cs"/>
          <w:u w:val="single"/>
          <w:rtl/>
        </w:rPr>
        <w:t>בתוך</w:t>
      </w:r>
      <w:r w:rsidRPr="0094176A">
        <w:rPr>
          <w:rFonts w:cs="Arial"/>
          <w:u w:val="single"/>
          <w:rtl/>
        </w:rPr>
        <w:t xml:space="preserve"> </w:t>
      </w:r>
      <w:r w:rsidRPr="0094176A">
        <w:rPr>
          <w:rFonts w:cs="Arial" w:hint="cs"/>
          <w:u w:val="single"/>
          <w:rtl/>
        </w:rPr>
        <w:t>העיר</w:t>
      </w:r>
      <w:r w:rsidRPr="0094176A">
        <w:rPr>
          <w:rFonts w:hint="cs"/>
          <w:u w:val="single"/>
          <w:rtl/>
        </w:rPr>
        <w:t>:</w:t>
      </w:r>
    </w:p>
    <w:p w14:paraId="32085FF8" w14:textId="3B016B65" w:rsidR="00FA2119" w:rsidRPr="0094176A" w:rsidRDefault="00FA2119" w:rsidP="00FA2119">
      <w:pPr>
        <w:pStyle w:val="ab"/>
        <w:numPr>
          <w:ilvl w:val="0"/>
          <w:numId w:val="68"/>
        </w:numPr>
      </w:pPr>
      <w:r w:rsidRPr="00BB2FEA">
        <w:rPr>
          <w:rFonts w:cs="Arial" w:hint="cs"/>
          <w:rtl/>
        </w:rPr>
        <w:t>כל</w:t>
      </w:r>
      <w:r w:rsidRPr="00BB2FEA">
        <w:rPr>
          <w:rFonts w:cs="Arial"/>
          <w:rtl/>
        </w:rPr>
        <w:t xml:space="preserve"> </w:t>
      </w:r>
      <w:r w:rsidRPr="00BB2FEA">
        <w:rPr>
          <w:rFonts w:cs="Arial" w:hint="cs"/>
          <w:rtl/>
        </w:rPr>
        <w:t>בו</w:t>
      </w:r>
      <w:r w:rsidRPr="00BB2FEA">
        <w:rPr>
          <w:rFonts w:cs="Arial"/>
          <w:rtl/>
        </w:rPr>
        <w:t xml:space="preserve"> </w:t>
      </w:r>
      <w:r w:rsidRPr="0094176A">
        <w:rPr>
          <w:rFonts w:cs="Arial"/>
          <w:sz w:val="16"/>
          <w:szCs w:val="16"/>
          <w:rtl/>
        </w:rPr>
        <w:t>(</w:t>
      </w:r>
      <w:r w:rsidRPr="0094176A">
        <w:rPr>
          <w:rFonts w:cs="Arial" w:hint="cs"/>
          <w:sz w:val="16"/>
          <w:szCs w:val="16"/>
          <w:rtl/>
        </w:rPr>
        <w:t>שם</w:t>
      </w:r>
      <w:r w:rsidRPr="0094176A">
        <w:rPr>
          <w:rFonts w:cs="Arial"/>
          <w:sz w:val="16"/>
          <w:szCs w:val="16"/>
          <w:rtl/>
        </w:rPr>
        <w:t>)</w:t>
      </w:r>
      <w:r w:rsidR="00A82951">
        <w:rPr>
          <w:rFonts w:cs="Arial" w:hint="cs"/>
          <w:rtl/>
        </w:rPr>
        <w:t>-</w:t>
      </w:r>
      <w:r>
        <w:rPr>
          <w:rFonts w:cs="Arial" w:hint="cs"/>
          <w:rtl/>
        </w:rPr>
        <w:t xml:space="preserve"> </w:t>
      </w:r>
      <w:r w:rsidRPr="00BB2FEA">
        <w:rPr>
          <w:rFonts w:cs="Arial" w:hint="cs"/>
          <w:rtl/>
        </w:rPr>
        <w:t>נהר</w:t>
      </w:r>
      <w:r w:rsidRPr="00BB2FEA">
        <w:rPr>
          <w:rFonts w:cs="Arial"/>
          <w:rtl/>
        </w:rPr>
        <w:t xml:space="preserve"> </w:t>
      </w:r>
      <w:r w:rsidRPr="00BB2FEA">
        <w:rPr>
          <w:rFonts w:cs="Arial" w:hint="cs"/>
          <w:rtl/>
        </w:rPr>
        <w:t>שהוא</w:t>
      </w:r>
      <w:r w:rsidRPr="00BB2FEA">
        <w:rPr>
          <w:rFonts w:cs="Arial"/>
          <w:rtl/>
        </w:rPr>
        <w:t xml:space="preserve"> </w:t>
      </w:r>
      <w:r w:rsidRPr="00BB2FEA">
        <w:rPr>
          <w:rFonts w:cs="Arial" w:hint="cs"/>
          <w:rtl/>
        </w:rPr>
        <w:t>חוץ</w:t>
      </w:r>
      <w:r w:rsidRPr="00BB2FEA">
        <w:rPr>
          <w:rFonts w:cs="Arial"/>
          <w:rtl/>
        </w:rPr>
        <w:t xml:space="preserve"> </w:t>
      </w:r>
      <w:r w:rsidRPr="00BB2FEA">
        <w:rPr>
          <w:rFonts w:cs="Arial" w:hint="cs"/>
          <w:rtl/>
        </w:rPr>
        <w:t>לעיר</w:t>
      </w:r>
      <w:r w:rsidRPr="00BB2FEA">
        <w:rPr>
          <w:rFonts w:cs="Arial"/>
          <w:rtl/>
        </w:rPr>
        <w:t xml:space="preserve"> </w:t>
      </w:r>
      <w:r w:rsidRPr="00BB2FEA">
        <w:rPr>
          <w:rFonts w:cs="Arial" w:hint="cs"/>
          <w:rtl/>
        </w:rPr>
        <w:t>וסיפוק</w:t>
      </w:r>
      <w:r w:rsidRPr="00BB2FEA">
        <w:rPr>
          <w:rFonts w:cs="Arial"/>
          <w:rtl/>
        </w:rPr>
        <w:t xml:space="preserve"> </w:t>
      </w:r>
      <w:r w:rsidRPr="00BB2FEA">
        <w:rPr>
          <w:rFonts w:cs="Arial" w:hint="cs"/>
          <w:rtl/>
        </w:rPr>
        <w:t>העיר</w:t>
      </w:r>
      <w:r w:rsidRPr="00BB2FEA">
        <w:rPr>
          <w:rFonts w:cs="Arial"/>
          <w:rtl/>
        </w:rPr>
        <w:t xml:space="preserve"> </w:t>
      </w:r>
      <w:r w:rsidRPr="00BB2FEA">
        <w:rPr>
          <w:rFonts w:cs="Arial" w:hint="cs"/>
          <w:rtl/>
        </w:rPr>
        <w:t>בתוך</w:t>
      </w:r>
      <w:r w:rsidRPr="00BB2FEA">
        <w:rPr>
          <w:rFonts w:cs="Arial"/>
          <w:rtl/>
        </w:rPr>
        <w:t xml:space="preserve"> </w:t>
      </w:r>
      <w:r w:rsidRPr="00BB2FEA">
        <w:rPr>
          <w:rFonts w:cs="Arial" w:hint="cs"/>
          <w:rtl/>
        </w:rPr>
        <w:t>העיר</w:t>
      </w:r>
      <w:r w:rsidRPr="00BB2FEA">
        <w:rPr>
          <w:rFonts w:cs="Arial"/>
          <w:rtl/>
        </w:rPr>
        <w:t xml:space="preserve"> </w:t>
      </w:r>
      <w:r w:rsidR="00A82951">
        <w:rPr>
          <w:rFonts w:cs="Arial" w:hint="cs"/>
          <w:rtl/>
        </w:rPr>
        <w:t>-</w:t>
      </w:r>
      <w:r>
        <w:rPr>
          <w:rFonts w:cs="Arial" w:hint="cs"/>
          <w:rtl/>
        </w:rPr>
        <w:t xml:space="preserve"> </w:t>
      </w:r>
      <w:r w:rsidRPr="00BB2FEA">
        <w:rPr>
          <w:rFonts w:cs="Arial" w:hint="cs"/>
          <w:rtl/>
        </w:rPr>
        <w:t>אפ</w:t>
      </w:r>
      <w:r w:rsidRPr="00BB2FEA">
        <w:rPr>
          <w:rFonts w:cs="Arial"/>
          <w:rtl/>
        </w:rPr>
        <w:t>"</w:t>
      </w:r>
      <w:r w:rsidRPr="00BB2FEA">
        <w:rPr>
          <w:rFonts w:cs="Arial" w:hint="cs"/>
          <w:rtl/>
        </w:rPr>
        <w:t>ה</w:t>
      </w:r>
      <w:r w:rsidRPr="00BB2FEA">
        <w:rPr>
          <w:rFonts w:cs="Arial"/>
          <w:rtl/>
        </w:rPr>
        <w:t xml:space="preserve"> </w:t>
      </w:r>
      <w:r w:rsidRPr="00BB2FEA">
        <w:rPr>
          <w:rFonts w:cs="Arial" w:hint="cs"/>
          <w:rtl/>
        </w:rPr>
        <w:t>צריך</w:t>
      </w:r>
      <w:r w:rsidRPr="00BB2FEA">
        <w:rPr>
          <w:rFonts w:cs="Arial"/>
          <w:rtl/>
        </w:rPr>
        <w:t xml:space="preserve"> </w:t>
      </w:r>
      <w:r w:rsidRPr="00BB2FEA">
        <w:rPr>
          <w:rFonts w:cs="Arial" w:hint="cs"/>
          <w:rtl/>
        </w:rPr>
        <w:t>לכתבו</w:t>
      </w:r>
      <w:r>
        <w:rPr>
          <w:rStyle w:val="a7"/>
          <w:rFonts w:cs="Arial"/>
          <w:rtl/>
        </w:rPr>
        <w:footnoteReference w:id="1003"/>
      </w:r>
      <w:r w:rsidRPr="00BB2FEA">
        <w:rPr>
          <w:rFonts w:cs="Arial"/>
          <w:rtl/>
        </w:rPr>
        <w:t xml:space="preserve">. </w:t>
      </w:r>
    </w:p>
    <w:p w14:paraId="065679E6" w14:textId="31302E3D" w:rsidR="00FA2119" w:rsidRPr="0094176A" w:rsidRDefault="00FA2119" w:rsidP="00FA2119">
      <w:pPr>
        <w:rPr>
          <w:u w:val="single"/>
        </w:rPr>
      </w:pPr>
      <w:r w:rsidRPr="0094176A">
        <w:rPr>
          <w:rFonts w:cs="Arial" w:hint="cs"/>
          <w:u w:val="single"/>
          <w:rtl/>
        </w:rPr>
        <w:t>עיר</w:t>
      </w:r>
      <w:r w:rsidRPr="0094176A">
        <w:rPr>
          <w:rFonts w:cs="Arial"/>
          <w:u w:val="single"/>
          <w:rtl/>
        </w:rPr>
        <w:t xml:space="preserve"> </w:t>
      </w:r>
      <w:r w:rsidRPr="0094176A">
        <w:rPr>
          <w:rFonts w:cs="Arial" w:hint="cs"/>
          <w:u w:val="single"/>
          <w:rtl/>
        </w:rPr>
        <w:t>שנתווסף</w:t>
      </w:r>
      <w:r w:rsidRPr="0094176A">
        <w:rPr>
          <w:rFonts w:cs="Arial"/>
          <w:u w:val="single"/>
          <w:rtl/>
        </w:rPr>
        <w:t xml:space="preserve"> </w:t>
      </w:r>
      <w:r w:rsidRPr="0094176A">
        <w:rPr>
          <w:rFonts w:cs="Arial" w:hint="cs"/>
          <w:u w:val="single"/>
          <w:rtl/>
        </w:rPr>
        <w:t>בה</w:t>
      </w:r>
      <w:r w:rsidRPr="0094176A">
        <w:rPr>
          <w:rFonts w:cs="Arial"/>
          <w:u w:val="single"/>
          <w:rtl/>
        </w:rPr>
        <w:t xml:space="preserve"> </w:t>
      </w:r>
      <w:r w:rsidRPr="0094176A">
        <w:rPr>
          <w:rFonts w:cs="Arial" w:hint="cs"/>
          <w:u w:val="single"/>
          <w:rtl/>
        </w:rPr>
        <w:t>נהר</w:t>
      </w:r>
      <w:r w:rsidR="0067010F">
        <w:rPr>
          <w:rFonts w:cs="Arial" w:hint="cs"/>
          <w:u w:val="single"/>
          <w:rtl/>
        </w:rPr>
        <w:t>,</w:t>
      </w:r>
      <w:r w:rsidRPr="0094176A">
        <w:rPr>
          <w:rFonts w:cs="Arial"/>
          <w:u w:val="single"/>
          <w:rtl/>
        </w:rPr>
        <w:t xml:space="preserve"> </w:t>
      </w:r>
      <w:r w:rsidRPr="0094176A">
        <w:rPr>
          <w:rFonts w:cs="Arial" w:hint="cs"/>
          <w:u w:val="single"/>
          <w:rtl/>
        </w:rPr>
        <w:t>האם יש לחשוש</w:t>
      </w:r>
      <w:r w:rsidRPr="0094176A">
        <w:rPr>
          <w:rFonts w:cs="Arial"/>
          <w:u w:val="single"/>
          <w:rtl/>
        </w:rPr>
        <w:t xml:space="preserve"> </w:t>
      </w:r>
      <w:r w:rsidRPr="0094176A">
        <w:rPr>
          <w:rFonts w:cs="Arial" w:hint="cs"/>
          <w:u w:val="single"/>
          <w:rtl/>
        </w:rPr>
        <w:t>ללעז על</w:t>
      </w:r>
      <w:r w:rsidRPr="0094176A">
        <w:rPr>
          <w:rFonts w:cs="Arial"/>
          <w:u w:val="single"/>
          <w:rtl/>
        </w:rPr>
        <w:t xml:space="preserve"> </w:t>
      </w:r>
      <w:r w:rsidRPr="0094176A">
        <w:rPr>
          <w:rFonts w:cs="Arial" w:hint="cs"/>
          <w:u w:val="single"/>
          <w:rtl/>
        </w:rPr>
        <w:t>הגיטין</w:t>
      </w:r>
      <w:r w:rsidRPr="0094176A">
        <w:rPr>
          <w:rFonts w:cs="Arial"/>
          <w:u w:val="single"/>
          <w:rtl/>
        </w:rPr>
        <w:t xml:space="preserve"> </w:t>
      </w:r>
      <w:r w:rsidRPr="0094176A">
        <w:rPr>
          <w:rFonts w:cs="Arial" w:hint="cs"/>
          <w:u w:val="single"/>
          <w:rtl/>
        </w:rPr>
        <w:t>הראשונים:</w:t>
      </w:r>
    </w:p>
    <w:p w14:paraId="3E8F2700" w14:textId="71FD3205" w:rsidR="00FA2119" w:rsidRDefault="00FA2119" w:rsidP="00FA2119">
      <w:pPr>
        <w:pStyle w:val="ab"/>
        <w:numPr>
          <w:ilvl w:val="0"/>
          <w:numId w:val="68"/>
        </w:numPr>
      </w:pPr>
      <w:r w:rsidRPr="00BB2FEA">
        <w:rPr>
          <w:rFonts w:cs="Arial" w:hint="cs"/>
          <w:rtl/>
        </w:rPr>
        <w:t>מהרי</w:t>
      </w:r>
      <w:r w:rsidRPr="00BB2FEA">
        <w:rPr>
          <w:rFonts w:cs="Arial"/>
          <w:rtl/>
        </w:rPr>
        <w:t>"</w:t>
      </w:r>
      <w:r w:rsidRPr="00BB2FEA">
        <w:rPr>
          <w:rFonts w:cs="Arial" w:hint="cs"/>
          <w:rtl/>
        </w:rPr>
        <w:t>ל</w:t>
      </w:r>
      <w:r w:rsidRPr="00BB2FEA">
        <w:rPr>
          <w:rFonts w:cs="Arial"/>
          <w:rtl/>
        </w:rPr>
        <w:t xml:space="preserve"> </w:t>
      </w:r>
      <w:r w:rsidRPr="0094176A">
        <w:rPr>
          <w:rFonts w:cs="Arial"/>
          <w:sz w:val="16"/>
          <w:szCs w:val="16"/>
          <w:rtl/>
        </w:rPr>
        <w:t>(</w:t>
      </w:r>
      <w:r w:rsidRPr="0094176A">
        <w:rPr>
          <w:rFonts w:cs="Arial" w:hint="cs"/>
          <w:sz w:val="16"/>
          <w:szCs w:val="16"/>
          <w:rtl/>
        </w:rPr>
        <w:t>סי</w:t>
      </w:r>
      <w:r w:rsidRPr="0094176A">
        <w:rPr>
          <w:rFonts w:cs="Arial"/>
          <w:sz w:val="16"/>
          <w:szCs w:val="16"/>
          <w:rtl/>
        </w:rPr>
        <w:t xml:space="preserve">' </w:t>
      </w:r>
      <w:r w:rsidRPr="0094176A">
        <w:rPr>
          <w:rFonts w:cs="Arial" w:hint="cs"/>
          <w:sz w:val="16"/>
          <w:szCs w:val="16"/>
          <w:rtl/>
        </w:rPr>
        <w:t>קד</w:t>
      </w:r>
      <w:r w:rsidRPr="0094176A">
        <w:rPr>
          <w:rFonts w:cs="Arial"/>
          <w:sz w:val="16"/>
          <w:szCs w:val="16"/>
          <w:rtl/>
        </w:rPr>
        <w:t>)</w:t>
      </w:r>
      <w:r w:rsidR="00A82951">
        <w:rPr>
          <w:rFonts w:cs="Arial" w:hint="cs"/>
          <w:rtl/>
        </w:rPr>
        <w:t>-</w:t>
      </w:r>
      <w:r w:rsidRPr="00BB2FEA">
        <w:rPr>
          <w:rFonts w:cs="Arial"/>
          <w:rtl/>
        </w:rPr>
        <w:t xml:space="preserve"> </w:t>
      </w:r>
      <w:r w:rsidRPr="00BB2FEA">
        <w:rPr>
          <w:rFonts w:cs="Arial" w:hint="cs"/>
          <w:rtl/>
        </w:rPr>
        <w:t>עיר</w:t>
      </w:r>
      <w:r w:rsidRPr="00BB2FEA">
        <w:rPr>
          <w:rFonts w:cs="Arial"/>
          <w:rtl/>
        </w:rPr>
        <w:t xml:space="preserve"> </w:t>
      </w:r>
      <w:r w:rsidRPr="00BB2FEA">
        <w:rPr>
          <w:rFonts w:cs="Arial" w:hint="cs"/>
          <w:rtl/>
        </w:rPr>
        <w:t>שניתוסף</w:t>
      </w:r>
      <w:r w:rsidRPr="00BB2FEA">
        <w:rPr>
          <w:rFonts w:cs="Arial"/>
          <w:rtl/>
        </w:rPr>
        <w:t xml:space="preserve"> </w:t>
      </w:r>
      <w:r w:rsidRPr="00BB2FEA">
        <w:rPr>
          <w:rFonts w:cs="Arial" w:hint="cs"/>
          <w:rtl/>
        </w:rPr>
        <w:t>בה</w:t>
      </w:r>
      <w:r w:rsidRPr="00BB2FEA">
        <w:rPr>
          <w:rFonts w:cs="Arial"/>
          <w:rtl/>
        </w:rPr>
        <w:t xml:space="preserve"> </w:t>
      </w:r>
      <w:r w:rsidRPr="00BB2FEA">
        <w:rPr>
          <w:rFonts w:cs="Arial" w:hint="cs"/>
          <w:rtl/>
        </w:rPr>
        <w:t>נהר</w:t>
      </w:r>
      <w:r w:rsidRPr="00BB2FEA">
        <w:rPr>
          <w:rFonts w:cs="Arial"/>
          <w:rtl/>
        </w:rPr>
        <w:t xml:space="preserve"> </w:t>
      </w:r>
      <w:r w:rsidRPr="00BB2FEA">
        <w:rPr>
          <w:rFonts w:cs="Arial" w:hint="cs"/>
          <w:rtl/>
        </w:rPr>
        <w:t>וקא</w:t>
      </w:r>
      <w:r w:rsidRPr="00BB2FEA">
        <w:rPr>
          <w:rFonts w:cs="Arial"/>
          <w:rtl/>
        </w:rPr>
        <w:t xml:space="preserve"> </w:t>
      </w:r>
      <w:r w:rsidRPr="00BB2FEA">
        <w:rPr>
          <w:rFonts w:cs="Arial" w:hint="cs"/>
          <w:rtl/>
        </w:rPr>
        <w:t>חייש</w:t>
      </w:r>
      <w:r w:rsidRPr="00BB2FEA">
        <w:rPr>
          <w:rFonts w:cs="Arial"/>
          <w:rtl/>
        </w:rPr>
        <w:t xml:space="preserve"> </w:t>
      </w:r>
      <w:r w:rsidRPr="00BB2FEA">
        <w:rPr>
          <w:rFonts w:cs="Arial" w:hint="cs"/>
          <w:rtl/>
        </w:rPr>
        <w:t>ללעז</w:t>
      </w:r>
      <w:r w:rsidRPr="00BB2FEA">
        <w:rPr>
          <w:rFonts w:cs="Arial"/>
          <w:rtl/>
        </w:rPr>
        <w:t xml:space="preserve"> </w:t>
      </w:r>
      <w:r w:rsidRPr="00BB2FEA">
        <w:rPr>
          <w:rFonts w:cs="Arial" w:hint="cs"/>
          <w:rtl/>
        </w:rPr>
        <w:t>גיטין</w:t>
      </w:r>
      <w:r w:rsidRPr="00BB2FEA">
        <w:rPr>
          <w:rFonts w:cs="Arial"/>
          <w:rtl/>
        </w:rPr>
        <w:t xml:space="preserve"> </w:t>
      </w:r>
      <w:r w:rsidRPr="00BB2FEA">
        <w:rPr>
          <w:rFonts w:cs="Arial" w:hint="cs"/>
          <w:rtl/>
        </w:rPr>
        <w:t>הראשונים</w:t>
      </w:r>
      <w:r>
        <w:rPr>
          <w:rFonts w:cs="Arial" w:hint="cs"/>
          <w:rtl/>
        </w:rPr>
        <w:t xml:space="preserve"> </w:t>
      </w:r>
      <w:r w:rsidR="00A82951">
        <w:rPr>
          <w:rFonts w:cs="Arial" w:hint="cs"/>
          <w:rtl/>
        </w:rPr>
        <w:t>-</w:t>
      </w:r>
      <w:r w:rsidRPr="00BB2FEA">
        <w:rPr>
          <w:rFonts w:cs="Arial"/>
          <w:rtl/>
        </w:rPr>
        <w:t xml:space="preserve"> </w:t>
      </w:r>
      <w:r w:rsidRPr="00BB2FEA">
        <w:rPr>
          <w:rFonts w:cs="Arial" w:hint="cs"/>
          <w:rtl/>
        </w:rPr>
        <w:t>נראה</w:t>
      </w:r>
      <w:r w:rsidRPr="00BB2FEA">
        <w:rPr>
          <w:rFonts w:cs="Arial"/>
          <w:rtl/>
        </w:rPr>
        <w:t xml:space="preserve"> </w:t>
      </w:r>
      <w:r w:rsidRPr="00BB2FEA">
        <w:rPr>
          <w:rFonts w:cs="Arial" w:hint="cs"/>
          <w:rtl/>
        </w:rPr>
        <w:t>דאין</w:t>
      </w:r>
      <w:r w:rsidRPr="00BB2FEA">
        <w:rPr>
          <w:rFonts w:cs="Arial"/>
          <w:rtl/>
        </w:rPr>
        <w:t xml:space="preserve"> </w:t>
      </w:r>
      <w:r w:rsidRPr="00BB2FEA">
        <w:rPr>
          <w:rFonts w:cs="Arial" w:hint="cs"/>
          <w:rtl/>
        </w:rPr>
        <w:t>לחוש</w:t>
      </w:r>
      <w:r>
        <w:rPr>
          <w:rFonts w:cs="Arial" w:hint="cs"/>
          <w:rtl/>
        </w:rPr>
        <w:t>.</w:t>
      </w:r>
      <w:r w:rsidRPr="00BB2FEA">
        <w:rPr>
          <w:rFonts w:cs="Arial"/>
          <w:rtl/>
        </w:rPr>
        <w:t xml:space="preserve"> </w:t>
      </w:r>
      <w:r w:rsidRPr="00BB2FEA">
        <w:rPr>
          <w:rFonts w:cs="Arial" w:hint="cs"/>
          <w:rtl/>
        </w:rPr>
        <w:t>וראיה</w:t>
      </w:r>
      <w:r w:rsidRPr="00BB2FEA">
        <w:rPr>
          <w:rFonts w:cs="Arial"/>
          <w:rtl/>
        </w:rPr>
        <w:t xml:space="preserve"> </w:t>
      </w:r>
      <w:r w:rsidRPr="00BB2FEA">
        <w:rPr>
          <w:rFonts w:cs="Arial" w:hint="cs"/>
          <w:rtl/>
        </w:rPr>
        <w:t>מדגרסינן</w:t>
      </w:r>
      <w:r w:rsidRPr="00BB2FEA">
        <w:rPr>
          <w:rFonts w:cs="Arial"/>
          <w:rtl/>
        </w:rPr>
        <w:t xml:space="preserve"> </w:t>
      </w:r>
      <w:r w:rsidRPr="00BB2FEA">
        <w:rPr>
          <w:rFonts w:cs="Arial" w:hint="cs"/>
          <w:rtl/>
        </w:rPr>
        <w:t>בשילהי</w:t>
      </w:r>
      <w:r w:rsidRPr="00BB2FEA">
        <w:rPr>
          <w:rFonts w:cs="Arial"/>
          <w:rtl/>
        </w:rPr>
        <w:t xml:space="preserve"> </w:t>
      </w:r>
      <w:r w:rsidRPr="00BB2FEA">
        <w:rPr>
          <w:rFonts w:cs="Arial" w:hint="cs"/>
          <w:rtl/>
        </w:rPr>
        <w:t>במה</w:t>
      </w:r>
      <w:r w:rsidRPr="00BB2FEA">
        <w:rPr>
          <w:rFonts w:cs="Arial"/>
          <w:rtl/>
        </w:rPr>
        <w:t xml:space="preserve"> </w:t>
      </w:r>
      <w:r w:rsidRPr="00BB2FEA">
        <w:rPr>
          <w:rFonts w:cs="Arial" w:hint="cs"/>
          <w:rtl/>
        </w:rPr>
        <w:t>מדליקין</w:t>
      </w:r>
      <w:r w:rsidRPr="00BB2FEA">
        <w:rPr>
          <w:rFonts w:cs="Arial"/>
          <w:rtl/>
        </w:rPr>
        <w:t xml:space="preserve"> (</w:t>
      </w:r>
      <w:r w:rsidRPr="00BB2FEA">
        <w:rPr>
          <w:rFonts w:cs="Arial" w:hint="cs"/>
          <w:rtl/>
        </w:rPr>
        <w:t>שבת</w:t>
      </w:r>
      <w:r w:rsidRPr="00BB2FEA">
        <w:rPr>
          <w:rFonts w:cs="Arial"/>
          <w:rtl/>
        </w:rPr>
        <w:t xml:space="preserve"> </w:t>
      </w:r>
      <w:r w:rsidRPr="00BB2FEA">
        <w:rPr>
          <w:rFonts w:cs="Arial" w:hint="cs"/>
          <w:rtl/>
        </w:rPr>
        <w:t>לו</w:t>
      </w:r>
      <w:r w:rsidRPr="00BB2FEA">
        <w:rPr>
          <w:rFonts w:cs="Arial"/>
          <w:rtl/>
        </w:rPr>
        <w:t xml:space="preserve">.) </w:t>
      </w:r>
      <w:r w:rsidRPr="00BB2FEA">
        <w:rPr>
          <w:rFonts w:cs="Arial" w:hint="cs"/>
          <w:rtl/>
        </w:rPr>
        <w:t>ופרק</w:t>
      </w:r>
      <w:r w:rsidRPr="00BB2FEA">
        <w:rPr>
          <w:rFonts w:cs="Arial"/>
          <w:rtl/>
        </w:rPr>
        <w:t xml:space="preserve"> </w:t>
      </w:r>
      <w:r w:rsidRPr="00BB2FEA">
        <w:rPr>
          <w:rFonts w:cs="Arial" w:hint="cs"/>
          <w:rtl/>
        </w:rPr>
        <w:t>לולב</w:t>
      </w:r>
      <w:r w:rsidRPr="00BB2FEA">
        <w:rPr>
          <w:rFonts w:cs="Arial"/>
          <w:rtl/>
        </w:rPr>
        <w:t xml:space="preserve"> </w:t>
      </w:r>
      <w:r w:rsidRPr="00BB2FEA">
        <w:rPr>
          <w:rFonts w:cs="Arial" w:hint="cs"/>
          <w:rtl/>
        </w:rPr>
        <w:t>הגזול</w:t>
      </w:r>
      <w:r w:rsidRPr="00BB2FEA">
        <w:rPr>
          <w:rFonts w:cs="Arial"/>
          <w:rtl/>
        </w:rPr>
        <w:t xml:space="preserve"> (</w:t>
      </w:r>
      <w:r w:rsidRPr="00BB2FEA">
        <w:rPr>
          <w:rFonts w:cs="Arial" w:hint="cs"/>
          <w:rtl/>
        </w:rPr>
        <w:t>סוכה</w:t>
      </w:r>
      <w:r w:rsidRPr="00BB2FEA">
        <w:rPr>
          <w:rFonts w:cs="Arial"/>
          <w:rtl/>
        </w:rPr>
        <w:t xml:space="preserve"> </w:t>
      </w:r>
      <w:r w:rsidRPr="00BB2FEA">
        <w:rPr>
          <w:rFonts w:cs="Arial" w:hint="cs"/>
          <w:rtl/>
        </w:rPr>
        <w:t>לד</w:t>
      </w:r>
      <w:r w:rsidRPr="00BB2FEA">
        <w:rPr>
          <w:rFonts w:cs="Arial"/>
          <w:rtl/>
        </w:rPr>
        <w:t xml:space="preserve">.) </w:t>
      </w:r>
      <w:r w:rsidRPr="00BB2FEA">
        <w:rPr>
          <w:rFonts w:cs="Arial" w:hint="cs"/>
          <w:rtl/>
        </w:rPr>
        <w:t>בבל</w:t>
      </w:r>
      <w:r w:rsidRPr="00BB2FEA">
        <w:rPr>
          <w:rFonts w:cs="Arial"/>
          <w:rtl/>
        </w:rPr>
        <w:t xml:space="preserve"> </w:t>
      </w:r>
      <w:r w:rsidRPr="00BB2FEA">
        <w:rPr>
          <w:rFonts w:cs="Arial" w:hint="cs"/>
          <w:rtl/>
        </w:rPr>
        <w:t>בורסיף</w:t>
      </w:r>
      <w:r>
        <w:rPr>
          <w:rFonts w:cs="Arial" w:hint="cs"/>
          <w:rtl/>
        </w:rPr>
        <w:t>,</w:t>
      </w:r>
      <w:r w:rsidRPr="00BB2FEA">
        <w:rPr>
          <w:rFonts w:cs="Arial"/>
          <w:rtl/>
        </w:rPr>
        <w:t xml:space="preserve"> </w:t>
      </w:r>
      <w:r w:rsidRPr="00BB2FEA">
        <w:rPr>
          <w:rFonts w:cs="Arial" w:hint="cs"/>
          <w:rtl/>
        </w:rPr>
        <w:t>בורסיף</w:t>
      </w:r>
      <w:r w:rsidRPr="00BB2FEA">
        <w:rPr>
          <w:rFonts w:cs="Arial"/>
          <w:rtl/>
        </w:rPr>
        <w:t xml:space="preserve"> </w:t>
      </w:r>
      <w:r w:rsidRPr="00BB2FEA">
        <w:rPr>
          <w:rFonts w:cs="Arial" w:hint="cs"/>
          <w:rtl/>
        </w:rPr>
        <w:t>בבל</w:t>
      </w:r>
      <w:r>
        <w:rPr>
          <w:rFonts w:cs="Arial" w:hint="cs"/>
          <w:rtl/>
        </w:rPr>
        <w:t>,</w:t>
      </w:r>
      <w:r w:rsidRPr="00BB2FEA">
        <w:rPr>
          <w:rFonts w:cs="Arial"/>
          <w:rtl/>
        </w:rPr>
        <w:t xml:space="preserve"> </w:t>
      </w:r>
      <w:r w:rsidRPr="00BB2FEA">
        <w:rPr>
          <w:rFonts w:cs="Arial" w:hint="cs"/>
          <w:rtl/>
        </w:rPr>
        <w:t>למאי</w:t>
      </w:r>
      <w:r w:rsidRPr="00BB2FEA">
        <w:rPr>
          <w:rFonts w:cs="Arial"/>
          <w:rtl/>
        </w:rPr>
        <w:t xml:space="preserve"> </w:t>
      </w:r>
      <w:r w:rsidRPr="00BB2FEA">
        <w:rPr>
          <w:rFonts w:cs="Arial" w:hint="cs"/>
          <w:rtl/>
        </w:rPr>
        <w:t>נ</w:t>
      </w:r>
      <w:r w:rsidRPr="00BB2FEA">
        <w:rPr>
          <w:rFonts w:cs="Arial"/>
          <w:rtl/>
        </w:rPr>
        <w:t>"</w:t>
      </w:r>
      <w:r w:rsidRPr="00BB2FEA">
        <w:rPr>
          <w:rFonts w:cs="Arial" w:hint="cs"/>
          <w:rtl/>
        </w:rPr>
        <w:t>מ</w:t>
      </w:r>
      <w:r w:rsidRPr="00BB2FEA">
        <w:rPr>
          <w:rFonts w:cs="Arial"/>
          <w:rtl/>
        </w:rPr>
        <w:t xml:space="preserve"> </w:t>
      </w:r>
      <w:r w:rsidRPr="00BB2FEA">
        <w:rPr>
          <w:rFonts w:cs="Arial" w:hint="cs"/>
          <w:rtl/>
        </w:rPr>
        <w:t>לגיטי</w:t>
      </w:r>
      <w:r w:rsidRPr="00BB2FEA">
        <w:rPr>
          <w:rFonts w:cs="Arial"/>
          <w:rtl/>
        </w:rPr>
        <w:t xml:space="preserve"> </w:t>
      </w:r>
      <w:r w:rsidRPr="00BB2FEA">
        <w:rPr>
          <w:rFonts w:cs="Arial" w:hint="cs"/>
          <w:rtl/>
        </w:rPr>
        <w:t>נשים</w:t>
      </w:r>
      <w:r>
        <w:rPr>
          <w:rFonts w:cs="Arial" w:hint="cs"/>
          <w:rtl/>
        </w:rPr>
        <w:t>.</w:t>
      </w:r>
      <w:r w:rsidRPr="00BB2FEA">
        <w:rPr>
          <w:rFonts w:cs="Arial"/>
          <w:rtl/>
        </w:rPr>
        <w:t xml:space="preserve"> </w:t>
      </w:r>
      <w:r w:rsidRPr="00BB2FEA">
        <w:rPr>
          <w:rFonts w:cs="Arial" w:hint="cs"/>
          <w:rtl/>
        </w:rPr>
        <w:t>ופירש</w:t>
      </w:r>
      <w:r w:rsidRPr="00BB2FEA">
        <w:rPr>
          <w:rFonts w:cs="Arial"/>
          <w:rtl/>
        </w:rPr>
        <w:t xml:space="preserve"> </w:t>
      </w:r>
      <w:r w:rsidRPr="00BB2FEA">
        <w:rPr>
          <w:rFonts w:cs="Arial" w:hint="cs"/>
          <w:rtl/>
        </w:rPr>
        <w:t>רש</w:t>
      </w:r>
      <w:r w:rsidRPr="00BB2FEA">
        <w:rPr>
          <w:rFonts w:cs="Arial"/>
          <w:rtl/>
        </w:rPr>
        <w:t>"</w:t>
      </w:r>
      <w:r w:rsidRPr="00BB2FEA">
        <w:rPr>
          <w:rFonts w:cs="Arial" w:hint="cs"/>
          <w:rtl/>
        </w:rPr>
        <w:t>י</w:t>
      </w:r>
      <w:r w:rsidRPr="00BB2FEA">
        <w:rPr>
          <w:rFonts w:cs="Arial"/>
          <w:rtl/>
        </w:rPr>
        <w:t xml:space="preserve"> </w:t>
      </w:r>
      <w:r w:rsidRPr="00BB2FEA">
        <w:rPr>
          <w:rFonts w:cs="Arial" w:hint="cs"/>
          <w:rtl/>
        </w:rPr>
        <w:t>בחד</w:t>
      </w:r>
      <w:r w:rsidRPr="00BB2FEA">
        <w:rPr>
          <w:rFonts w:cs="Arial"/>
          <w:rtl/>
        </w:rPr>
        <w:t xml:space="preserve"> </w:t>
      </w:r>
      <w:r w:rsidRPr="00BB2FEA">
        <w:rPr>
          <w:rFonts w:cs="Arial" w:hint="cs"/>
          <w:rtl/>
        </w:rPr>
        <w:t>דוכתא</w:t>
      </w:r>
      <w:r w:rsidRPr="00BB2FEA">
        <w:rPr>
          <w:rFonts w:cs="Arial"/>
          <w:rtl/>
        </w:rPr>
        <w:t xml:space="preserve"> (</w:t>
      </w:r>
      <w:r w:rsidRPr="00BB2FEA">
        <w:rPr>
          <w:rFonts w:cs="Arial" w:hint="cs"/>
          <w:rtl/>
        </w:rPr>
        <w:t>שבת</w:t>
      </w:r>
      <w:r w:rsidRPr="00BB2FEA">
        <w:rPr>
          <w:rFonts w:cs="Arial"/>
          <w:rtl/>
        </w:rPr>
        <w:t xml:space="preserve"> </w:t>
      </w:r>
      <w:r w:rsidRPr="00BB2FEA">
        <w:rPr>
          <w:rFonts w:cs="Arial" w:hint="cs"/>
          <w:rtl/>
        </w:rPr>
        <w:t>לו</w:t>
      </w:r>
      <w:r w:rsidRPr="00BB2FEA">
        <w:rPr>
          <w:rFonts w:cs="Arial"/>
          <w:rtl/>
        </w:rPr>
        <w:t xml:space="preserve">: </w:t>
      </w:r>
      <w:r w:rsidRPr="00BB2FEA">
        <w:rPr>
          <w:rFonts w:cs="Arial" w:hint="cs"/>
          <w:rtl/>
        </w:rPr>
        <w:t>ד</w:t>
      </w:r>
      <w:r w:rsidRPr="00BB2FEA">
        <w:rPr>
          <w:rFonts w:cs="Arial"/>
          <w:rtl/>
        </w:rPr>
        <w:t>"</w:t>
      </w:r>
      <w:r w:rsidRPr="00BB2FEA">
        <w:rPr>
          <w:rFonts w:cs="Arial" w:hint="cs"/>
          <w:rtl/>
        </w:rPr>
        <w:t>ה</w:t>
      </w:r>
      <w:r w:rsidRPr="00BB2FEA">
        <w:rPr>
          <w:rFonts w:cs="Arial"/>
          <w:rtl/>
        </w:rPr>
        <w:t xml:space="preserve"> </w:t>
      </w:r>
      <w:r w:rsidRPr="00BB2FEA">
        <w:rPr>
          <w:rFonts w:cs="Arial" w:hint="cs"/>
          <w:rtl/>
        </w:rPr>
        <w:t>לגיטי</w:t>
      </w:r>
      <w:r w:rsidRPr="00BB2FEA">
        <w:rPr>
          <w:rFonts w:cs="Arial"/>
          <w:rtl/>
        </w:rPr>
        <w:t xml:space="preserve">) </w:t>
      </w:r>
      <w:r w:rsidRPr="00BB2FEA">
        <w:rPr>
          <w:rFonts w:cs="Arial" w:hint="cs"/>
          <w:rtl/>
        </w:rPr>
        <w:t>לענין</w:t>
      </w:r>
      <w:r w:rsidRPr="00BB2FEA">
        <w:rPr>
          <w:rFonts w:cs="Arial"/>
          <w:rtl/>
        </w:rPr>
        <w:t xml:space="preserve"> </w:t>
      </w:r>
      <w:r w:rsidRPr="00BB2FEA">
        <w:rPr>
          <w:rFonts w:cs="Arial" w:hint="cs"/>
          <w:rtl/>
        </w:rPr>
        <w:t>שינה</w:t>
      </w:r>
      <w:r w:rsidRPr="00BB2FEA">
        <w:rPr>
          <w:rFonts w:cs="Arial"/>
          <w:rtl/>
        </w:rPr>
        <w:t xml:space="preserve"> </w:t>
      </w:r>
      <w:r w:rsidRPr="00BB2FEA">
        <w:rPr>
          <w:rFonts w:cs="Arial" w:hint="cs"/>
          <w:rtl/>
        </w:rPr>
        <w:t>שמו</w:t>
      </w:r>
      <w:r w:rsidRPr="00BB2FEA">
        <w:rPr>
          <w:rFonts w:cs="Arial"/>
          <w:rtl/>
        </w:rPr>
        <w:t xml:space="preserve"> </w:t>
      </w:r>
      <w:r w:rsidRPr="00BB2FEA">
        <w:rPr>
          <w:rFonts w:cs="Arial" w:hint="cs"/>
          <w:rtl/>
        </w:rPr>
        <w:t>ושמה</w:t>
      </w:r>
      <w:r w:rsidRPr="00BB2FEA">
        <w:rPr>
          <w:rFonts w:cs="Arial"/>
          <w:rtl/>
        </w:rPr>
        <w:t xml:space="preserve"> </w:t>
      </w:r>
      <w:r w:rsidRPr="00BB2FEA">
        <w:rPr>
          <w:rFonts w:cs="Arial" w:hint="cs"/>
          <w:rtl/>
        </w:rPr>
        <w:t>שם</w:t>
      </w:r>
      <w:r w:rsidRPr="00BB2FEA">
        <w:rPr>
          <w:rFonts w:cs="Arial"/>
          <w:rtl/>
        </w:rPr>
        <w:t xml:space="preserve"> </w:t>
      </w:r>
      <w:r w:rsidRPr="00BB2FEA">
        <w:rPr>
          <w:rFonts w:cs="Arial" w:hint="cs"/>
          <w:rtl/>
        </w:rPr>
        <w:t>עירו</w:t>
      </w:r>
      <w:r w:rsidRPr="00BB2FEA">
        <w:rPr>
          <w:rFonts w:cs="Arial"/>
          <w:rtl/>
        </w:rPr>
        <w:t xml:space="preserve"> </w:t>
      </w:r>
      <w:r w:rsidRPr="00BB2FEA">
        <w:rPr>
          <w:rFonts w:cs="Arial" w:hint="cs"/>
          <w:rtl/>
        </w:rPr>
        <w:t>ושם</w:t>
      </w:r>
      <w:r w:rsidRPr="00BB2FEA">
        <w:rPr>
          <w:rFonts w:cs="Arial"/>
          <w:rtl/>
        </w:rPr>
        <w:t xml:space="preserve"> </w:t>
      </w:r>
      <w:r w:rsidRPr="00BB2FEA">
        <w:rPr>
          <w:rFonts w:cs="Arial" w:hint="cs"/>
          <w:rtl/>
        </w:rPr>
        <w:t>עירה</w:t>
      </w:r>
      <w:r w:rsidRPr="00BB2FEA">
        <w:rPr>
          <w:rFonts w:cs="Arial"/>
          <w:rtl/>
        </w:rPr>
        <w:t xml:space="preserve"> </w:t>
      </w:r>
      <w:r w:rsidRPr="00BB2FEA">
        <w:rPr>
          <w:rFonts w:cs="Arial" w:hint="cs"/>
          <w:rtl/>
        </w:rPr>
        <w:t>וצריך</w:t>
      </w:r>
      <w:r w:rsidRPr="00BB2FEA">
        <w:rPr>
          <w:rFonts w:cs="Arial"/>
          <w:rtl/>
        </w:rPr>
        <w:t xml:space="preserve"> </w:t>
      </w:r>
      <w:r w:rsidRPr="00BB2FEA">
        <w:rPr>
          <w:rFonts w:cs="Arial" w:hint="cs"/>
          <w:rtl/>
        </w:rPr>
        <w:t>לכתוב</w:t>
      </w:r>
      <w:r w:rsidRPr="00BB2FEA">
        <w:rPr>
          <w:rFonts w:cs="Arial"/>
          <w:rtl/>
        </w:rPr>
        <w:t xml:space="preserve"> </w:t>
      </w:r>
      <w:r w:rsidRPr="00BB2FEA">
        <w:rPr>
          <w:rFonts w:cs="Arial" w:hint="cs"/>
          <w:rtl/>
        </w:rPr>
        <w:t>שם</w:t>
      </w:r>
      <w:r w:rsidRPr="00BB2FEA">
        <w:rPr>
          <w:rFonts w:cs="Arial"/>
          <w:rtl/>
        </w:rPr>
        <w:t xml:space="preserve"> </w:t>
      </w:r>
      <w:r w:rsidRPr="00BB2FEA">
        <w:rPr>
          <w:rFonts w:cs="Arial" w:hint="cs"/>
          <w:rtl/>
        </w:rPr>
        <w:t>של</w:t>
      </w:r>
      <w:r w:rsidRPr="00BB2FEA">
        <w:rPr>
          <w:rFonts w:cs="Arial"/>
          <w:rtl/>
        </w:rPr>
        <w:t xml:space="preserve"> </w:t>
      </w:r>
      <w:r w:rsidRPr="00BB2FEA">
        <w:rPr>
          <w:rFonts w:cs="Arial" w:hint="cs"/>
          <w:rtl/>
        </w:rPr>
        <w:t>עכשיו</w:t>
      </w:r>
      <w:r>
        <w:rPr>
          <w:rFonts w:cs="Arial" w:hint="cs"/>
          <w:rtl/>
        </w:rPr>
        <w:t>,</w:t>
      </w:r>
      <w:r w:rsidRPr="00BB2FEA">
        <w:rPr>
          <w:rFonts w:cs="Arial"/>
          <w:rtl/>
        </w:rPr>
        <w:t xml:space="preserve"> </w:t>
      </w:r>
      <w:r w:rsidRPr="00BB2FEA">
        <w:rPr>
          <w:rFonts w:cs="Arial" w:hint="cs"/>
          <w:rtl/>
        </w:rPr>
        <w:t>אלמא</w:t>
      </w:r>
      <w:r w:rsidRPr="00BB2FEA">
        <w:rPr>
          <w:rFonts w:cs="Arial"/>
          <w:rtl/>
        </w:rPr>
        <w:t xml:space="preserve"> </w:t>
      </w:r>
      <w:r w:rsidRPr="00BB2FEA">
        <w:rPr>
          <w:rFonts w:cs="Arial" w:hint="cs"/>
          <w:rtl/>
        </w:rPr>
        <w:t>דליכא</w:t>
      </w:r>
      <w:r w:rsidRPr="00BB2FEA">
        <w:rPr>
          <w:rFonts w:cs="Arial"/>
          <w:rtl/>
        </w:rPr>
        <w:t xml:space="preserve"> </w:t>
      </w:r>
      <w:r w:rsidRPr="00BB2FEA">
        <w:rPr>
          <w:rFonts w:cs="Arial" w:hint="cs"/>
          <w:rtl/>
        </w:rPr>
        <w:t>לעז</w:t>
      </w:r>
      <w:r>
        <w:rPr>
          <w:rFonts w:cs="Arial" w:hint="cs"/>
          <w:rtl/>
        </w:rPr>
        <w:t>.</w:t>
      </w:r>
      <w:r w:rsidRPr="00BB2FEA">
        <w:rPr>
          <w:rFonts w:cs="Arial"/>
          <w:rtl/>
        </w:rPr>
        <w:t xml:space="preserve"> </w:t>
      </w:r>
      <w:r w:rsidRPr="00BB2FEA">
        <w:rPr>
          <w:rFonts w:cs="Arial" w:hint="cs"/>
          <w:rtl/>
        </w:rPr>
        <w:t>ועוד</w:t>
      </w:r>
      <w:r w:rsidRPr="00BB2FEA">
        <w:rPr>
          <w:rFonts w:cs="Arial"/>
          <w:rtl/>
        </w:rPr>
        <w:t xml:space="preserve"> </w:t>
      </w:r>
      <w:r w:rsidRPr="00BB2FEA">
        <w:rPr>
          <w:rFonts w:cs="Arial" w:hint="cs"/>
          <w:rtl/>
        </w:rPr>
        <w:t>דאין</w:t>
      </w:r>
      <w:r w:rsidRPr="00BB2FEA">
        <w:rPr>
          <w:rFonts w:cs="Arial"/>
          <w:rtl/>
        </w:rPr>
        <w:t xml:space="preserve"> </w:t>
      </w:r>
      <w:r w:rsidRPr="00BB2FEA">
        <w:rPr>
          <w:rFonts w:cs="Arial" w:hint="cs"/>
          <w:rtl/>
        </w:rPr>
        <w:t>כל</w:t>
      </w:r>
      <w:r w:rsidRPr="00BB2FEA">
        <w:rPr>
          <w:rFonts w:cs="Arial"/>
          <w:rtl/>
        </w:rPr>
        <w:t xml:space="preserve"> </w:t>
      </w:r>
      <w:r w:rsidRPr="00BB2FEA">
        <w:rPr>
          <w:rFonts w:cs="Arial" w:hint="cs"/>
          <w:rtl/>
        </w:rPr>
        <w:t>כך</w:t>
      </w:r>
      <w:r w:rsidRPr="00BB2FEA">
        <w:rPr>
          <w:rFonts w:cs="Arial"/>
          <w:rtl/>
        </w:rPr>
        <w:t xml:space="preserve"> </w:t>
      </w:r>
      <w:r w:rsidRPr="00BB2FEA">
        <w:rPr>
          <w:rFonts w:cs="Arial" w:hint="cs"/>
          <w:rtl/>
        </w:rPr>
        <w:t>נפקותא</w:t>
      </w:r>
      <w:r w:rsidRPr="00BB2FEA">
        <w:rPr>
          <w:rFonts w:cs="Arial"/>
          <w:rtl/>
        </w:rPr>
        <w:t xml:space="preserve"> </w:t>
      </w:r>
      <w:r w:rsidRPr="00BB2FEA">
        <w:rPr>
          <w:rFonts w:cs="Arial" w:hint="cs"/>
          <w:rtl/>
        </w:rPr>
        <w:t>בענין</w:t>
      </w:r>
      <w:r w:rsidRPr="00BB2FEA">
        <w:rPr>
          <w:rFonts w:cs="Arial"/>
          <w:rtl/>
        </w:rPr>
        <w:t xml:space="preserve"> </w:t>
      </w:r>
      <w:r w:rsidRPr="00BB2FEA">
        <w:rPr>
          <w:rFonts w:cs="Arial" w:hint="cs"/>
          <w:rtl/>
        </w:rPr>
        <w:t>הנהרות</w:t>
      </w:r>
      <w:r w:rsidRPr="00BB2FEA">
        <w:rPr>
          <w:rFonts w:cs="Arial"/>
          <w:rtl/>
        </w:rPr>
        <w:t xml:space="preserve"> </w:t>
      </w:r>
      <w:r w:rsidRPr="00BB2FEA">
        <w:rPr>
          <w:rFonts w:cs="Arial" w:hint="cs"/>
          <w:rtl/>
        </w:rPr>
        <w:t>כמו</w:t>
      </w:r>
      <w:r w:rsidRPr="00BB2FEA">
        <w:rPr>
          <w:rFonts w:cs="Arial"/>
          <w:rtl/>
        </w:rPr>
        <w:t xml:space="preserve"> </w:t>
      </w:r>
      <w:r w:rsidRPr="00BB2FEA">
        <w:rPr>
          <w:rFonts w:cs="Arial" w:hint="cs"/>
          <w:rtl/>
        </w:rPr>
        <w:t>שכתב</w:t>
      </w:r>
      <w:r w:rsidRPr="00BB2FEA">
        <w:rPr>
          <w:rFonts w:cs="Arial"/>
          <w:rtl/>
        </w:rPr>
        <w:t xml:space="preserve"> </w:t>
      </w:r>
      <w:r w:rsidRPr="00BB2FEA">
        <w:rPr>
          <w:rFonts w:cs="Arial" w:hint="cs"/>
          <w:rtl/>
        </w:rPr>
        <w:t>רבינו</w:t>
      </w:r>
      <w:r w:rsidRPr="00BB2FEA">
        <w:rPr>
          <w:rFonts w:cs="Arial"/>
          <w:rtl/>
        </w:rPr>
        <w:t xml:space="preserve"> </w:t>
      </w:r>
      <w:r w:rsidRPr="00BB2FEA">
        <w:rPr>
          <w:rFonts w:cs="Arial" w:hint="cs"/>
          <w:rtl/>
        </w:rPr>
        <w:t>שמחה</w:t>
      </w:r>
      <w:r w:rsidRPr="00BB2FEA">
        <w:rPr>
          <w:rFonts w:cs="Arial"/>
          <w:rtl/>
        </w:rPr>
        <w:t xml:space="preserve"> </w:t>
      </w:r>
      <w:r w:rsidRPr="00BB2FEA">
        <w:rPr>
          <w:rFonts w:cs="Arial" w:hint="cs"/>
          <w:rtl/>
        </w:rPr>
        <w:t>בתשובה</w:t>
      </w:r>
      <w:r w:rsidRPr="00BB2FEA">
        <w:rPr>
          <w:rFonts w:cs="Arial"/>
          <w:rtl/>
        </w:rPr>
        <w:t xml:space="preserve"> </w:t>
      </w:r>
      <w:r w:rsidRPr="00BB2FEA">
        <w:rPr>
          <w:rFonts w:cs="Arial" w:hint="cs"/>
          <w:rtl/>
        </w:rPr>
        <w:t>שבמיימון</w:t>
      </w:r>
      <w:r w:rsidRPr="00BB2FEA">
        <w:rPr>
          <w:rFonts w:cs="Arial"/>
          <w:rtl/>
        </w:rPr>
        <w:t xml:space="preserve"> (</w:t>
      </w:r>
      <w:r w:rsidRPr="00BB2FEA">
        <w:rPr>
          <w:rFonts w:cs="Arial" w:hint="cs"/>
          <w:rtl/>
        </w:rPr>
        <w:t>סי</w:t>
      </w:r>
      <w:r w:rsidRPr="00BB2FEA">
        <w:rPr>
          <w:rFonts w:cs="Arial"/>
          <w:rtl/>
        </w:rPr>
        <w:t xml:space="preserve">' </w:t>
      </w:r>
      <w:r w:rsidRPr="00BB2FEA">
        <w:rPr>
          <w:rFonts w:cs="Arial" w:hint="cs"/>
          <w:rtl/>
        </w:rPr>
        <w:t>כב</w:t>
      </w:r>
      <w:r w:rsidRPr="00BB2FEA">
        <w:rPr>
          <w:rFonts w:cs="Arial"/>
          <w:rtl/>
        </w:rPr>
        <w:t xml:space="preserve">) </w:t>
      </w:r>
      <w:r w:rsidRPr="00BB2FEA">
        <w:rPr>
          <w:rFonts w:cs="Arial" w:hint="cs"/>
          <w:rtl/>
        </w:rPr>
        <w:t>שאפילו</w:t>
      </w:r>
      <w:r w:rsidRPr="00BB2FEA">
        <w:rPr>
          <w:rFonts w:cs="Arial"/>
          <w:rtl/>
        </w:rPr>
        <w:t xml:space="preserve"> </w:t>
      </w:r>
      <w:r w:rsidRPr="00BB2FEA">
        <w:rPr>
          <w:rFonts w:cs="Arial" w:hint="cs"/>
          <w:rtl/>
        </w:rPr>
        <w:t>שינה</w:t>
      </w:r>
      <w:r w:rsidRPr="00BB2FEA">
        <w:rPr>
          <w:rFonts w:cs="Arial"/>
          <w:rtl/>
        </w:rPr>
        <w:t xml:space="preserve"> </w:t>
      </w:r>
      <w:r w:rsidRPr="00BB2FEA">
        <w:rPr>
          <w:rFonts w:cs="Arial" w:hint="cs"/>
          <w:rtl/>
        </w:rPr>
        <w:t>כשר</w:t>
      </w:r>
      <w:r>
        <w:rPr>
          <w:rFonts w:cs="Arial" w:hint="cs"/>
          <w:rtl/>
        </w:rPr>
        <w:t>.</w:t>
      </w:r>
      <w:r w:rsidRPr="00BB2FEA">
        <w:rPr>
          <w:rFonts w:cs="Arial"/>
          <w:rtl/>
        </w:rPr>
        <w:t xml:space="preserve"> </w:t>
      </w:r>
      <w:r w:rsidRPr="00BB2FEA">
        <w:rPr>
          <w:rFonts w:cs="Arial" w:hint="cs"/>
          <w:rtl/>
        </w:rPr>
        <w:t>הילכך</w:t>
      </w:r>
      <w:r w:rsidRPr="00BB2FEA">
        <w:rPr>
          <w:rFonts w:cs="Arial"/>
          <w:rtl/>
        </w:rPr>
        <w:t xml:space="preserve"> </w:t>
      </w:r>
      <w:r w:rsidRPr="00BB2FEA">
        <w:rPr>
          <w:rFonts w:cs="Arial" w:hint="cs"/>
          <w:rtl/>
        </w:rPr>
        <w:t>אם</w:t>
      </w:r>
      <w:r w:rsidRPr="00BB2FEA">
        <w:rPr>
          <w:rFonts w:cs="Arial"/>
          <w:rtl/>
        </w:rPr>
        <w:t xml:space="preserve"> </w:t>
      </w:r>
      <w:r w:rsidRPr="00BB2FEA">
        <w:rPr>
          <w:rFonts w:cs="Arial" w:hint="cs"/>
          <w:rtl/>
        </w:rPr>
        <w:t>הנהר</w:t>
      </w:r>
      <w:r w:rsidRPr="00BB2FEA">
        <w:rPr>
          <w:rFonts w:cs="Arial"/>
          <w:rtl/>
        </w:rPr>
        <w:t xml:space="preserve"> </w:t>
      </w:r>
      <w:r w:rsidRPr="00BB2FEA">
        <w:rPr>
          <w:rFonts w:cs="Arial" w:hint="cs"/>
          <w:rtl/>
        </w:rPr>
        <w:t>החדש</w:t>
      </w:r>
      <w:r w:rsidRPr="00BB2FEA">
        <w:rPr>
          <w:rFonts w:cs="Arial"/>
          <w:rtl/>
        </w:rPr>
        <w:t xml:space="preserve"> </w:t>
      </w:r>
      <w:r w:rsidRPr="00BB2FEA">
        <w:rPr>
          <w:rFonts w:cs="Arial" w:hint="cs"/>
          <w:rtl/>
        </w:rPr>
        <w:t>מסתפקין</w:t>
      </w:r>
      <w:r w:rsidRPr="00BB2FEA">
        <w:rPr>
          <w:rFonts w:cs="Arial"/>
          <w:rtl/>
        </w:rPr>
        <w:t xml:space="preserve"> </w:t>
      </w:r>
      <w:r w:rsidRPr="00BB2FEA">
        <w:rPr>
          <w:rFonts w:cs="Arial" w:hint="cs"/>
          <w:rtl/>
        </w:rPr>
        <w:t>ממנו</w:t>
      </w:r>
      <w:r w:rsidRPr="00BB2FEA">
        <w:rPr>
          <w:rFonts w:cs="Arial"/>
          <w:rtl/>
        </w:rPr>
        <w:t xml:space="preserve"> </w:t>
      </w:r>
      <w:r w:rsidRPr="00BB2FEA">
        <w:rPr>
          <w:rFonts w:cs="Arial" w:hint="cs"/>
          <w:rtl/>
        </w:rPr>
        <w:t>סיפוק</w:t>
      </w:r>
      <w:r w:rsidRPr="00BB2FEA">
        <w:rPr>
          <w:rFonts w:cs="Arial"/>
          <w:rtl/>
        </w:rPr>
        <w:t xml:space="preserve"> </w:t>
      </w:r>
      <w:r w:rsidRPr="00BB2FEA">
        <w:rPr>
          <w:rFonts w:cs="Arial" w:hint="cs"/>
          <w:rtl/>
        </w:rPr>
        <w:t>הוה</w:t>
      </w:r>
      <w:r w:rsidRPr="00BB2FEA">
        <w:rPr>
          <w:rFonts w:cs="Arial"/>
          <w:rtl/>
        </w:rPr>
        <w:t xml:space="preserve"> </w:t>
      </w:r>
      <w:r w:rsidRPr="00BB2FEA">
        <w:rPr>
          <w:rFonts w:cs="Arial" w:hint="cs"/>
          <w:rtl/>
        </w:rPr>
        <w:t>ותדיר</w:t>
      </w:r>
      <w:r>
        <w:rPr>
          <w:rFonts w:cs="Arial" w:hint="cs"/>
          <w:rtl/>
        </w:rPr>
        <w:t xml:space="preserve"> </w:t>
      </w:r>
      <w:r w:rsidR="00A82951">
        <w:rPr>
          <w:rFonts w:cs="Arial" w:hint="cs"/>
          <w:rtl/>
        </w:rPr>
        <w:t>-</w:t>
      </w:r>
      <w:r w:rsidRPr="00BB2FEA">
        <w:rPr>
          <w:rFonts w:cs="Arial"/>
          <w:rtl/>
        </w:rPr>
        <w:t xml:space="preserve"> </w:t>
      </w:r>
      <w:r w:rsidRPr="00BB2FEA">
        <w:rPr>
          <w:rFonts w:cs="Arial" w:hint="cs"/>
          <w:rtl/>
        </w:rPr>
        <w:t>נכון</w:t>
      </w:r>
      <w:r w:rsidRPr="00BB2FEA">
        <w:rPr>
          <w:rFonts w:cs="Arial"/>
          <w:rtl/>
        </w:rPr>
        <w:t xml:space="preserve"> </w:t>
      </w:r>
      <w:r w:rsidRPr="00BB2FEA">
        <w:rPr>
          <w:rFonts w:cs="Arial" w:hint="cs"/>
          <w:rtl/>
        </w:rPr>
        <w:t>להזכירו</w:t>
      </w:r>
      <w:r>
        <w:rPr>
          <w:rFonts w:cs="Arial" w:hint="cs"/>
          <w:rtl/>
        </w:rPr>
        <w:t>.</w:t>
      </w:r>
      <w:r w:rsidRPr="00BB2FEA">
        <w:rPr>
          <w:rFonts w:cs="Arial"/>
          <w:rtl/>
        </w:rPr>
        <w:t xml:space="preserve"> </w:t>
      </w:r>
      <w:r w:rsidRPr="00BB2FEA">
        <w:rPr>
          <w:rFonts w:cs="Arial" w:hint="cs"/>
          <w:rtl/>
        </w:rPr>
        <w:t>ואם</w:t>
      </w:r>
      <w:r w:rsidRPr="00BB2FEA">
        <w:rPr>
          <w:rFonts w:cs="Arial"/>
          <w:rtl/>
        </w:rPr>
        <w:t xml:space="preserve"> </w:t>
      </w:r>
      <w:r w:rsidRPr="00BB2FEA">
        <w:rPr>
          <w:rFonts w:cs="Arial" w:hint="cs"/>
          <w:rtl/>
        </w:rPr>
        <w:t>נהר</w:t>
      </w:r>
      <w:r w:rsidRPr="00BB2FEA">
        <w:rPr>
          <w:rFonts w:cs="Arial"/>
          <w:rtl/>
        </w:rPr>
        <w:t xml:space="preserve"> </w:t>
      </w:r>
      <w:r w:rsidRPr="00BB2FEA">
        <w:rPr>
          <w:rFonts w:cs="Arial" w:hint="cs"/>
          <w:rtl/>
        </w:rPr>
        <w:t>קטן</w:t>
      </w:r>
      <w:r w:rsidRPr="00BB2FEA">
        <w:rPr>
          <w:rFonts w:cs="Arial"/>
          <w:rtl/>
        </w:rPr>
        <w:t xml:space="preserve"> </w:t>
      </w:r>
      <w:r w:rsidRPr="00BB2FEA">
        <w:rPr>
          <w:rFonts w:cs="Arial" w:hint="cs"/>
          <w:rtl/>
        </w:rPr>
        <w:t>הוא</w:t>
      </w:r>
      <w:r w:rsidRPr="00BB2FEA">
        <w:rPr>
          <w:rFonts w:cs="Arial"/>
          <w:rtl/>
        </w:rPr>
        <w:t xml:space="preserve"> </w:t>
      </w:r>
      <w:r w:rsidRPr="00BB2FEA">
        <w:rPr>
          <w:rFonts w:cs="Arial" w:hint="cs"/>
          <w:rtl/>
        </w:rPr>
        <w:t>וכותבין</w:t>
      </w:r>
      <w:r w:rsidRPr="00BB2FEA">
        <w:rPr>
          <w:rFonts w:cs="Arial"/>
          <w:rtl/>
        </w:rPr>
        <w:t xml:space="preserve"> </w:t>
      </w:r>
      <w:r w:rsidRPr="00BB2FEA">
        <w:rPr>
          <w:rFonts w:cs="Arial" w:hint="cs"/>
          <w:rtl/>
        </w:rPr>
        <w:t>באותו</w:t>
      </w:r>
      <w:r w:rsidRPr="00BB2FEA">
        <w:rPr>
          <w:rFonts w:cs="Arial"/>
          <w:rtl/>
        </w:rPr>
        <w:t xml:space="preserve"> </w:t>
      </w:r>
      <w:r w:rsidRPr="00BB2FEA">
        <w:rPr>
          <w:rFonts w:cs="Arial" w:hint="cs"/>
          <w:rtl/>
        </w:rPr>
        <w:t>העיר</w:t>
      </w:r>
      <w:r w:rsidRPr="00BB2FEA">
        <w:rPr>
          <w:rFonts w:cs="Arial"/>
          <w:rtl/>
        </w:rPr>
        <w:t xml:space="preserve"> </w:t>
      </w:r>
      <w:r>
        <w:rPr>
          <w:rFonts w:cs="Arial" w:hint="cs"/>
          <w:rtl/>
        </w:rPr>
        <w:t>'</w:t>
      </w:r>
      <w:r w:rsidRPr="00BB2FEA">
        <w:rPr>
          <w:rFonts w:cs="Arial" w:hint="cs"/>
          <w:rtl/>
        </w:rPr>
        <w:t>על</w:t>
      </w:r>
      <w:r w:rsidRPr="00BB2FEA">
        <w:rPr>
          <w:rFonts w:cs="Arial"/>
          <w:rtl/>
        </w:rPr>
        <w:t xml:space="preserve"> </w:t>
      </w:r>
      <w:r w:rsidRPr="00BB2FEA">
        <w:rPr>
          <w:rFonts w:cs="Arial" w:hint="cs"/>
          <w:rtl/>
        </w:rPr>
        <w:t>מי</w:t>
      </w:r>
      <w:r w:rsidRPr="00BB2FEA">
        <w:rPr>
          <w:rFonts w:cs="Arial"/>
          <w:rtl/>
        </w:rPr>
        <w:t xml:space="preserve"> </w:t>
      </w:r>
      <w:r w:rsidRPr="00BB2FEA">
        <w:rPr>
          <w:rFonts w:cs="Arial" w:hint="cs"/>
          <w:rtl/>
        </w:rPr>
        <w:t>מעינות</w:t>
      </w:r>
      <w:r>
        <w:rPr>
          <w:rFonts w:cs="Arial" w:hint="cs"/>
          <w:rtl/>
        </w:rPr>
        <w:t>'</w:t>
      </w:r>
      <w:r w:rsidRPr="00BB2FEA">
        <w:rPr>
          <w:rFonts w:cs="Arial"/>
          <w:rtl/>
        </w:rPr>
        <w:t xml:space="preserve"> </w:t>
      </w:r>
      <w:r w:rsidRPr="00BB2FEA">
        <w:rPr>
          <w:rFonts w:cs="Arial" w:hint="cs"/>
          <w:rtl/>
        </w:rPr>
        <w:t>או</w:t>
      </w:r>
      <w:r w:rsidRPr="00BB2FEA">
        <w:rPr>
          <w:rFonts w:cs="Arial"/>
          <w:rtl/>
        </w:rPr>
        <w:t xml:space="preserve"> </w:t>
      </w:r>
      <w:r>
        <w:rPr>
          <w:rFonts w:cs="Arial" w:hint="cs"/>
          <w:rtl/>
        </w:rPr>
        <w:t>'</w:t>
      </w:r>
      <w:r w:rsidRPr="00BB2FEA">
        <w:rPr>
          <w:rFonts w:cs="Arial" w:hint="cs"/>
          <w:rtl/>
        </w:rPr>
        <w:t>על</w:t>
      </w:r>
      <w:r w:rsidRPr="00BB2FEA">
        <w:rPr>
          <w:rFonts w:cs="Arial"/>
          <w:rtl/>
        </w:rPr>
        <w:t xml:space="preserve"> </w:t>
      </w:r>
      <w:r w:rsidRPr="00BB2FEA">
        <w:rPr>
          <w:rFonts w:cs="Arial" w:hint="cs"/>
          <w:rtl/>
        </w:rPr>
        <w:t>מי</w:t>
      </w:r>
      <w:r w:rsidRPr="00BB2FEA">
        <w:rPr>
          <w:rFonts w:cs="Arial"/>
          <w:rtl/>
        </w:rPr>
        <w:t xml:space="preserve"> </w:t>
      </w:r>
      <w:r w:rsidRPr="00BB2FEA">
        <w:rPr>
          <w:rFonts w:cs="Arial" w:hint="cs"/>
          <w:rtl/>
        </w:rPr>
        <w:t>נהרות</w:t>
      </w:r>
      <w:r>
        <w:rPr>
          <w:rFonts w:cs="Arial" w:hint="cs"/>
          <w:rtl/>
        </w:rPr>
        <w:t>'</w:t>
      </w:r>
      <w:r w:rsidRPr="00BB2FEA">
        <w:rPr>
          <w:rFonts w:cs="Arial"/>
          <w:rtl/>
        </w:rPr>
        <w:t xml:space="preserve"> </w:t>
      </w:r>
      <w:r w:rsidR="00A82951">
        <w:rPr>
          <w:rFonts w:cs="Arial" w:hint="cs"/>
          <w:rtl/>
        </w:rPr>
        <w:t>-</w:t>
      </w:r>
      <w:r>
        <w:rPr>
          <w:rFonts w:cs="Arial" w:hint="cs"/>
          <w:rtl/>
        </w:rPr>
        <w:t xml:space="preserve"> </w:t>
      </w:r>
      <w:r w:rsidRPr="00BB2FEA">
        <w:rPr>
          <w:rFonts w:cs="Arial" w:hint="cs"/>
          <w:rtl/>
        </w:rPr>
        <w:t>הוי</w:t>
      </w:r>
      <w:r w:rsidRPr="00BB2FEA">
        <w:rPr>
          <w:rFonts w:cs="Arial"/>
          <w:rtl/>
        </w:rPr>
        <w:t xml:space="preserve"> </w:t>
      </w:r>
      <w:r w:rsidRPr="00BB2FEA">
        <w:rPr>
          <w:rFonts w:cs="Arial" w:hint="cs"/>
          <w:rtl/>
        </w:rPr>
        <w:t>האי</w:t>
      </w:r>
      <w:r w:rsidRPr="00BB2FEA">
        <w:rPr>
          <w:rFonts w:cs="Arial"/>
          <w:rtl/>
        </w:rPr>
        <w:t xml:space="preserve"> </w:t>
      </w:r>
      <w:r w:rsidRPr="00BB2FEA">
        <w:rPr>
          <w:rFonts w:cs="Arial" w:hint="cs"/>
          <w:rtl/>
        </w:rPr>
        <w:t>נהר</w:t>
      </w:r>
      <w:r w:rsidRPr="00BB2FEA">
        <w:rPr>
          <w:rFonts w:cs="Arial"/>
          <w:rtl/>
        </w:rPr>
        <w:t xml:space="preserve"> </w:t>
      </w:r>
      <w:r w:rsidRPr="00BB2FEA">
        <w:rPr>
          <w:rFonts w:cs="Arial" w:hint="cs"/>
          <w:rtl/>
        </w:rPr>
        <w:t>בכלל</w:t>
      </w:r>
      <w:r>
        <w:rPr>
          <w:rFonts w:cs="Arial" w:hint="cs"/>
          <w:rtl/>
        </w:rPr>
        <w:t>.</w:t>
      </w:r>
      <w:r w:rsidRPr="00BB2FEA">
        <w:rPr>
          <w:rFonts w:cs="Arial"/>
          <w:rtl/>
        </w:rPr>
        <w:t xml:space="preserve"> </w:t>
      </w:r>
      <w:r w:rsidRPr="00BB2FEA">
        <w:rPr>
          <w:rFonts w:cs="Arial" w:hint="cs"/>
          <w:rtl/>
        </w:rPr>
        <w:t>כמו</w:t>
      </w:r>
      <w:r w:rsidRPr="00BB2FEA">
        <w:rPr>
          <w:rFonts w:cs="Arial"/>
          <w:rtl/>
        </w:rPr>
        <w:t xml:space="preserve"> </w:t>
      </w:r>
      <w:r w:rsidRPr="00BB2FEA">
        <w:rPr>
          <w:rFonts w:cs="Arial" w:hint="cs"/>
          <w:rtl/>
        </w:rPr>
        <w:t>פה</w:t>
      </w:r>
      <w:r w:rsidRPr="00BB2FEA">
        <w:rPr>
          <w:rFonts w:cs="Arial"/>
          <w:rtl/>
        </w:rPr>
        <w:t xml:space="preserve"> </w:t>
      </w:r>
      <w:r w:rsidRPr="00BB2FEA">
        <w:rPr>
          <w:rFonts w:cs="Arial" w:hint="cs"/>
          <w:rtl/>
        </w:rPr>
        <w:t>בעירנו</w:t>
      </w:r>
      <w:r w:rsidRPr="00BB2FEA">
        <w:rPr>
          <w:rFonts w:cs="Arial"/>
          <w:rtl/>
        </w:rPr>
        <w:t xml:space="preserve"> </w:t>
      </w:r>
      <w:r w:rsidRPr="00BB2FEA">
        <w:rPr>
          <w:rFonts w:cs="Arial" w:hint="cs"/>
          <w:rtl/>
        </w:rPr>
        <w:t>נהר</w:t>
      </w:r>
      <w:r w:rsidRPr="00BB2FEA">
        <w:rPr>
          <w:rFonts w:cs="Arial"/>
          <w:rtl/>
        </w:rPr>
        <w:t xml:space="preserve"> </w:t>
      </w:r>
      <w:r w:rsidRPr="00BB2FEA">
        <w:rPr>
          <w:rFonts w:cs="Arial" w:hint="cs"/>
          <w:rtl/>
        </w:rPr>
        <w:t>אומב</w:t>
      </w:r>
      <w:r w:rsidRPr="00BB2FEA">
        <w:rPr>
          <w:rFonts w:cs="Arial"/>
          <w:rtl/>
        </w:rPr>
        <w:t>"</w:t>
      </w:r>
      <w:r w:rsidRPr="00BB2FEA">
        <w:rPr>
          <w:rFonts w:cs="Arial" w:hint="cs"/>
          <w:rtl/>
        </w:rPr>
        <w:t>ך</w:t>
      </w:r>
      <w:r w:rsidRPr="00BB2FEA">
        <w:rPr>
          <w:rFonts w:cs="Arial"/>
          <w:rtl/>
        </w:rPr>
        <w:t xml:space="preserve"> </w:t>
      </w:r>
      <w:r w:rsidRPr="00BB2FEA">
        <w:rPr>
          <w:rFonts w:cs="Arial" w:hint="cs"/>
          <w:rtl/>
        </w:rPr>
        <w:t>יש</w:t>
      </w:r>
      <w:r w:rsidRPr="00BB2FEA">
        <w:rPr>
          <w:rFonts w:cs="Arial"/>
          <w:rtl/>
        </w:rPr>
        <w:t xml:space="preserve"> </w:t>
      </w:r>
      <w:r w:rsidRPr="00BB2FEA">
        <w:rPr>
          <w:rFonts w:cs="Arial" w:hint="cs"/>
          <w:rtl/>
        </w:rPr>
        <w:t>כמה</w:t>
      </w:r>
      <w:r w:rsidRPr="00BB2FEA">
        <w:rPr>
          <w:rFonts w:cs="Arial"/>
          <w:rtl/>
        </w:rPr>
        <w:t xml:space="preserve"> </w:t>
      </w:r>
      <w:r w:rsidRPr="00BB2FEA">
        <w:rPr>
          <w:rFonts w:cs="Arial" w:hint="cs"/>
          <w:rtl/>
        </w:rPr>
        <w:t>וכמה</w:t>
      </w:r>
      <w:r w:rsidRPr="00BB2FEA">
        <w:rPr>
          <w:rFonts w:cs="Arial"/>
          <w:rtl/>
        </w:rPr>
        <w:t xml:space="preserve"> </w:t>
      </w:r>
      <w:r w:rsidRPr="00BB2FEA">
        <w:rPr>
          <w:rFonts w:cs="Arial" w:hint="cs"/>
          <w:rtl/>
        </w:rPr>
        <w:t>תשמישין</w:t>
      </w:r>
      <w:r w:rsidRPr="00BB2FEA">
        <w:rPr>
          <w:rFonts w:cs="Arial"/>
          <w:rtl/>
        </w:rPr>
        <w:t xml:space="preserve"> </w:t>
      </w:r>
      <w:r w:rsidRPr="00BB2FEA">
        <w:rPr>
          <w:rFonts w:cs="Arial" w:hint="cs"/>
          <w:rtl/>
        </w:rPr>
        <w:t>עליה</w:t>
      </w:r>
      <w:r w:rsidRPr="00BB2FEA">
        <w:rPr>
          <w:rFonts w:cs="Arial"/>
          <w:rtl/>
        </w:rPr>
        <w:t xml:space="preserve"> </w:t>
      </w:r>
      <w:r w:rsidRPr="00BB2FEA">
        <w:rPr>
          <w:rFonts w:cs="Arial" w:hint="cs"/>
          <w:rtl/>
        </w:rPr>
        <w:t>כביסה</w:t>
      </w:r>
      <w:r w:rsidRPr="00BB2FEA">
        <w:rPr>
          <w:rFonts w:cs="Arial"/>
          <w:rtl/>
        </w:rPr>
        <w:t xml:space="preserve"> </w:t>
      </w:r>
      <w:r w:rsidRPr="00BB2FEA">
        <w:rPr>
          <w:rFonts w:cs="Arial" w:hint="cs"/>
          <w:rtl/>
        </w:rPr>
        <w:t>וצביעה</w:t>
      </w:r>
      <w:r w:rsidRPr="00BB2FEA">
        <w:rPr>
          <w:rFonts w:cs="Arial"/>
          <w:rtl/>
        </w:rPr>
        <w:t xml:space="preserve"> </w:t>
      </w:r>
      <w:r w:rsidRPr="00BB2FEA">
        <w:rPr>
          <w:rFonts w:cs="Arial" w:hint="cs"/>
          <w:rtl/>
        </w:rPr>
        <w:t>וריחים</w:t>
      </w:r>
      <w:r w:rsidRPr="00BB2FEA">
        <w:rPr>
          <w:rFonts w:cs="Arial"/>
          <w:rtl/>
        </w:rPr>
        <w:t xml:space="preserve"> </w:t>
      </w:r>
      <w:r w:rsidRPr="00BB2FEA">
        <w:rPr>
          <w:rFonts w:cs="Arial" w:hint="cs"/>
          <w:rtl/>
        </w:rPr>
        <w:t>ואפ</w:t>
      </w:r>
      <w:r w:rsidRPr="00BB2FEA">
        <w:rPr>
          <w:rFonts w:cs="Arial"/>
          <w:rtl/>
        </w:rPr>
        <w:t>"</w:t>
      </w:r>
      <w:r w:rsidRPr="00BB2FEA">
        <w:rPr>
          <w:rFonts w:cs="Arial" w:hint="cs"/>
          <w:rtl/>
        </w:rPr>
        <w:t>ה</w:t>
      </w:r>
      <w:r w:rsidRPr="00BB2FEA">
        <w:rPr>
          <w:rFonts w:cs="Arial"/>
          <w:rtl/>
        </w:rPr>
        <w:t xml:space="preserve"> </w:t>
      </w:r>
      <w:r w:rsidRPr="00BB2FEA">
        <w:rPr>
          <w:rFonts w:cs="Arial" w:hint="cs"/>
          <w:rtl/>
        </w:rPr>
        <w:t>כלול</w:t>
      </w:r>
      <w:r w:rsidRPr="00BB2FEA">
        <w:rPr>
          <w:rFonts w:cs="Arial"/>
          <w:rtl/>
        </w:rPr>
        <w:t xml:space="preserve"> </w:t>
      </w:r>
      <w:r w:rsidRPr="00BB2FEA">
        <w:rPr>
          <w:rFonts w:cs="Arial" w:hint="cs"/>
          <w:rtl/>
        </w:rPr>
        <w:t>במי</w:t>
      </w:r>
      <w:r w:rsidRPr="00BB2FEA">
        <w:rPr>
          <w:rFonts w:cs="Arial"/>
          <w:rtl/>
        </w:rPr>
        <w:t xml:space="preserve"> </w:t>
      </w:r>
      <w:r w:rsidRPr="00BB2FEA">
        <w:rPr>
          <w:rFonts w:cs="Arial" w:hint="cs"/>
          <w:rtl/>
        </w:rPr>
        <w:t>מעינות</w:t>
      </w:r>
      <w:r>
        <w:rPr>
          <w:rFonts w:cs="Arial" w:hint="cs"/>
          <w:rtl/>
        </w:rPr>
        <w:t>.</w:t>
      </w:r>
      <w:r w:rsidRPr="00BB2FEA">
        <w:rPr>
          <w:rFonts w:cs="Arial"/>
          <w:rtl/>
        </w:rPr>
        <w:t xml:space="preserve"> </w:t>
      </w:r>
      <w:r w:rsidRPr="00BB2FEA">
        <w:rPr>
          <w:rFonts w:cs="Arial" w:hint="cs"/>
          <w:rtl/>
        </w:rPr>
        <w:t>וכן</w:t>
      </w:r>
      <w:r w:rsidRPr="00BB2FEA">
        <w:rPr>
          <w:rFonts w:cs="Arial"/>
          <w:rtl/>
        </w:rPr>
        <w:t xml:space="preserve"> </w:t>
      </w:r>
      <w:r w:rsidRPr="00BB2FEA">
        <w:rPr>
          <w:rFonts w:cs="Arial" w:hint="cs"/>
          <w:rtl/>
        </w:rPr>
        <w:t>נהר</w:t>
      </w:r>
      <w:r w:rsidRPr="00BB2FEA">
        <w:rPr>
          <w:rFonts w:cs="Arial"/>
          <w:rtl/>
        </w:rPr>
        <w:t xml:space="preserve"> </w:t>
      </w:r>
      <w:r w:rsidRPr="00BB2FEA">
        <w:rPr>
          <w:rFonts w:cs="Arial" w:hint="cs"/>
          <w:rtl/>
        </w:rPr>
        <w:t>דונאו</w:t>
      </w:r>
      <w:r w:rsidRPr="00BB2FEA">
        <w:rPr>
          <w:rFonts w:cs="Arial"/>
          <w:rtl/>
        </w:rPr>
        <w:t>"</w:t>
      </w:r>
      <w:r w:rsidRPr="00BB2FEA">
        <w:rPr>
          <w:rFonts w:cs="Arial" w:hint="cs"/>
          <w:rtl/>
        </w:rPr>
        <w:t>ו</w:t>
      </w:r>
      <w:r w:rsidRPr="00BB2FEA">
        <w:rPr>
          <w:rFonts w:cs="Arial"/>
          <w:rtl/>
        </w:rPr>
        <w:t xml:space="preserve"> </w:t>
      </w:r>
      <w:r w:rsidRPr="00BB2FEA">
        <w:rPr>
          <w:rFonts w:cs="Arial" w:hint="cs"/>
          <w:rtl/>
        </w:rPr>
        <w:t>שישנו</w:t>
      </w:r>
      <w:r w:rsidRPr="00BB2FEA">
        <w:rPr>
          <w:rFonts w:cs="Arial"/>
          <w:rtl/>
        </w:rPr>
        <w:t xml:space="preserve"> </w:t>
      </w:r>
      <w:r w:rsidRPr="00BB2FEA">
        <w:rPr>
          <w:rFonts w:cs="Arial" w:hint="cs"/>
          <w:rtl/>
        </w:rPr>
        <w:t>פה</w:t>
      </w:r>
      <w:r>
        <w:rPr>
          <w:rFonts w:cs="Arial" w:hint="cs"/>
          <w:rtl/>
        </w:rPr>
        <w:t>.</w:t>
      </w:r>
      <w:r w:rsidRPr="00BB2FEA">
        <w:rPr>
          <w:rFonts w:cs="Arial"/>
          <w:rtl/>
        </w:rPr>
        <w:t xml:space="preserve"> </w:t>
      </w:r>
      <w:r w:rsidRPr="00BB2FEA">
        <w:rPr>
          <w:rFonts w:cs="Arial" w:hint="cs"/>
          <w:rtl/>
        </w:rPr>
        <w:t>ועוד</w:t>
      </w:r>
      <w:r w:rsidRPr="00BB2FEA">
        <w:rPr>
          <w:rFonts w:cs="Arial"/>
          <w:rtl/>
        </w:rPr>
        <w:t xml:space="preserve"> </w:t>
      </w:r>
      <w:r w:rsidRPr="00BB2FEA">
        <w:rPr>
          <w:rFonts w:cs="Arial" w:hint="cs"/>
          <w:rtl/>
        </w:rPr>
        <w:t>דכהאי</w:t>
      </w:r>
      <w:r w:rsidRPr="00BB2FEA">
        <w:rPr>
          <w:rFonts w:cs="Arial"/>
          <w:rtl/>
        </w:rPr>
        <w:t xml:space="preserve"> </w:t>
      </w:r>
      <w:r w:rsidRPr="00BB2FEA">
        <w:rPr>
          <w:rFonts w:cs="Arial" w:hint="cs"/>
          <w:rtl/>
        </w:rPr>
        <w:t>גוונא</w:t>
      </w:r>
      <w:r w:rsidRPr="00BB2FEA">
        <w:rPr>
          <w:rFonts w:cs="Arial"/>
          <w:rtl/>
        </w:rPr>
        <w:t xml:space="preserve"> </w:t>
      </w:r>
      <w:r w:rsidRPr="00BB2FEA">
        <w:rPr>
          <w:rFonts w:cs="Arial" w:hint="cs"/>
          <w:rtl/>
        </w:rPr>
        <w:t>שמוסיפין</w:t>
      </w:r>
      <w:r w:rsidRPr="00BB2FEA">
        <w:rPr>
          <w:rFonts w:cs="Arial"/>
          <w:rtl/>
        </w:rPr>
        <w:t xml:space="preserve"> </w:t>
      </w:r>
      <w:r w:rsidRPr="00BB2FEA">
        <w:rPr>
          <w:rFonts w:cs="Arial" w:hint="cs"/>
          <w:rtl/>
        </w:rPr>
        <w:t>לשופרא</w:t>
      </w:r>
      <w:r w:rsidRPr="00BB2FEA">
        <w:rPr>
          <w:rFonts w:cs="Arial"/>
          <w:rtl/>
        </w:rPr>
        <w:t xml:space="preserve"> </w:t>
      </w:r>
      <w:r w:rsidRPr="00BB2FEA">
        <w:rPr>
          <w:rFonts w:cs="Arial" w:hint="cs"/>
          <w:rtl/>
        </w:rPr>
        <w:t>דשטרא</w:t>
      </w:r>
      <w:r w:rsidRPr="00BB2FEA">
        <w:rPr>
          <w:rFonts w:cs="Arial"/>
          <w:rtl/>
        </w:rPr>
        <w:t xml:space="preserve"> </w:t>
      </w:r>
      <w:r w:rsidRPr="00BB2FEA">
        <w:rPr>
          <w:rFonts w:cs="Arial" w:hint="cs"/>
          <w:rtl/>
        </w:rPr>
        <w:t>לא</w:t>
      </w:r>
      <w:r w:rsidRPr="00BB2FEA">
        <w:rPr>
          <w:rFonts w:cs="Arial"/>
          <w:rtl/>
        </w:rPr>
        <w:t xml:space="preserve"> </w:t>
      </w:r>
      <w:r w:rsidRPr="00BB2FEA">
        <w:rPr>
          <w:rFonts w:cs="Arial" w:hint="cs"/>
          <w:rtl/>
        </w:rPr>
        <w:t>שייך</w:t>
      </w:r>
      <w:r w:rsidRPr="00BB2FEA">
        <w:rPr>
          <w:rFonts w:cs="Arial"/>
          <w:rtl/>
        </w:rPr>
        <w:t xml:space="preserve"> </w:t>
      </w:r>
      <w:r w:rsidRPr="00BB2FEA">
        <w:rPr>
          <w:rFonts w:cs="Arial" w:hint="cs"/>
          <w:rtl/>
        </w:rPr>
        <w:t>לעז</w:t>
      </w:r>
      <w:r>
        <w:rPr>
          <w:rFonts w:cs="Arial" w:hint="cs"/>
          <w:rtl/>
        </w:rPr>
        <w:t>.</w:t>
      </w:r>
      <w:r w:rsidRPr="00BB2FEA">
        <w:rPr>
          <w:rFonts w:cs="Arial"/>
          <w:rtl/>
        </w:rPr>
        <w:t xml:space="preserve"> </w:t>
      </w:r>
      <w:r w:rsidRPr="00EB4A74">
        <w:rPr>
          <w:rFonts w:cs="Arial" w:hint="cs"/>
          <w:color w:val="00B0F0"/>
          <w:rtl/>
        </w:rPr>
        <w:t>(וכ"פ הרמ"א)</w:t>
      </w:r>
    </w:p>
    <w:p w14:paraId="14D7F88E" w14:textId="77777777" w:rsidR="00FA2119" w:rsidRPr="007639BC" w:rsidRDefault="00FA2119" w:rsidP="00FA2119">
      <w:pPr>
        <w:rPr>
          <w:u w:val="single"/>
        </w:rPr>
      </w:pPr>
      <w:r w:rsidRPr="007639BC">
        <w:rPr>
          <w:rFonts w:hint="cs"/>
          <w:u w:val="single"/>
          <w:rtl/>
        </w:rPr>
        <w:t>כתיבת המילים 'ועל כיף ימא מותבא' לעיר שיושבת על חוף הים:</w:t>
      </w:r>
    </w:p>
    <w:p w14:paraId="3C6712FD" w14:textId="32C19054" w:rsidR="00FA2119" w:rsidRPr="007639BC" w:rsidRDefault="00FA2119" w:rsidP="00FA2119">
      <w:pPr>
        <w:pStyle w:val="ab"/>
        <w:numPr>
          <w:ilvl w:val="0"/>
          <w:numId w:val="68"/>
        </w:numPr>
      </w:pPr>
      <w:r>
        <w:rPr>
          <w:rFonts w:cs="Arial" w:hint="cs"/>
          <w:rtl/>
        </w:rPr>
        <w:lastRenderedPageBreak/>
        <w:t>ב"י</w:t>
      </w:r>
      <w:r w:rsidR="00A82951">
        <w:rPr>
          <w:rFonts w:cs="Arial" w:hint="cs"/>
          <w:rtl/>
        </w:rPr>
        <w:t>-</w:t>
      </w:r>
      <w:r>
        <w:rPr>
          <w:rFonts w:cs="Arial" w:hint="cs"/>
          <w:rtl/>
        </w:rPr>
        <w:t xml:space="preserve"> </w:t>
      </w:r>
      <w:r w:rsidRPr="00BB2FEA">
        <w:rPr>
          <w:rFonts w:cs="Arial" w:hint="cs"/>
          <w:rtl/>
        </w:rPr>
        <w:t>ראיתי</w:t>
      </w:r>
      <w:r w:rsidRPr="00BB2FEA">
        <w:rPr>
          <w:rFonts w:cs="Arial"/>
          <w:rtl/>
        </w:rPr>
        <w:t xml:space="preserve"> </w:t>
      </w:r>
      <w:r w:rsidRPr="00BB2FEA">
        <w:rPr>
          <w:rFonts w:cs="Arial" w:hint="cs"/>
          <w:rtl/>
        </w:rPr>
        <w:t>נוהגים</w:t>
      </w:r>
      <w:r w:rsidRPr="00BB2FEA">
        <w:rPr>
          <w:rFonts w:cs="Arial"/>
          <w:rtl/>
        </w:rPr>
        <w:t xml:space="preserve"> </w:t>
      </w:r>
      <w:r w:rsidRPr="00BB2FEA">
        <w:rPr>
          <w:rFonts w:cs="Arial" w:hint="cs"/>
          <w:rtl/>
        </w:rPr>
        <w:t>ביושבת</w:t>
      </w:r>
      <w:r w:rsidRPr="00BB2FEA">
        <w:rPr>
          <w:rFonts w:cs="Arial"/>
          <w:rtl/>
        </w:rPr>
        <w:t xml:space="preserve"> </w:t>
      </w:r>
      <w:r w:rsidRPr="00BB2FEA">
        <w:rPr>
          <w:rFonts w:cs="Arial" w:hint="cs"/>
          <w:rtl/>
        </w:rPr>
        <w:t>על</w:t>
      </w:r>
      <w:r w:rsidRPr="00BB2FEA">
        <w:rPr>
          <w:rFonts w:cs="Arial"/>
          <w:rtl/>
        </w:rPr>
        <w:t xml:space="preserve"> </w:t>
      </w:r>
      <w:r w:rsidRPr="00BB2FEA">
        <w:rPr>
          <w:rFonts w:cs="Arial" w:hint="cs"/>
          <w:rtl/>
        </w:rPr>
        <w:t>חוף</w:t>
      </w:r>
      <w:r w:rsidRPr="00BB2FEA">
        <w:rPr>
          <w:rFonts w:cs="Arial"/>
          <w:rtl/>
        </w:rPr>
        <w:t xml:space="preserve"> </w:t>
      </w:r>
      <w:r w:rsidRPr="00BB2FEA">
        <w:rPr>
          <w:rFonts w:cs="Arial" w:hint="cs"/>
          <w:rtl/>
        </w:rPr>
        <w:t>הים</w:t>
      </w:r>
      <w:r w:rsidRPr="00BB2FEA">
        <w:rPr>
          <w:rFonts w:cs="Arial"/>
          <w:rtl/>
        </w:rPr>
        <w:t xml:space="preserve"> </w:t>
      </w:r>
      <w:r w:rsidRPr="00BB2FEA">
        <w:rPr>
          <w:rFonts w:cs="Arial" w:hint="cs"/>
          <w:rtl/>
        </w:rPr>
        <w:t>לכתוב</w:t>
      </w:r>
      <w:r w:rsidRPr="00BB2FEA">
        <w:rPr>
          <w:rFonts w:cs="Arial"/>
          <w:rtl/>
        </w:rPr>
        <w:t xml:space="preserve"> </w:t>
      </w:r>
      <w:r>
        <w:rPr>
          <w:rFonts w:cs="Arial" w:hint="cs"/>
          <w:rtl/>
        </w:rPr>
        <w:t>'</w:t>
      </w:r>
      <w:r w:rsidRPr="00BB2FEA">
        <w:rPr>
          <w:rFonts w:cs="Arial" w:hint="cs"/>
          <w:rtl/>
        </w:rPr>
        <w:t>ועל</w:t>
      </w:r>
      <w:r w:rsidRPr="00BB2FEA">
        <w:rPr>
          <w:rFonts w:cs="Arial"/>
          <w:rtl/>
        </w:rPr>
        <w:t xml:space="preserve"> </w:t>
      </w:r>
      <w:r w:rsidRPr="00BB2FEA">
        <w:rPr>
          <w:rFonts w:cs="Arial" w:hint="cs"/>
          <w:rtl/>
        </w:rPr>
        <w:t>כיף</w:t>
      </w:r>
      <w:r w:rsidRPr="00BB2FEA">
        <w:rPr>
          <w:rFonts w:cs="Arial"/>
          <w:rtl/>
        </w:rPr>
        <w:t xml:space="preserve"> </w:t>
      </w:r>
      <w:r w:rsidRPr="00BB2FEA">
        <w:rPr>
          <w:rFonts w:cs="Arial" w:hint="cs"/>
          <w:rtl/>
        </w:rPr>
        <w:t>ימא</w:t>
      </w:r>
      <w:r w:rsidRPr="00BB2FEA">
        <w:rPr>
          <w:rFonts w:cs="Arial"/>
          <w:rtl/>
        </w:rPr>
        <w:t xml:space="preserve"> </w:t>
      </w:r>
      <w:r w:rsidRPr="00BB2FEA">
        <w:rPr>
          <w:rFonts w:cs="Arial" w:hint="cs"/>
          <w:rtl/>
        </w:rPr>
        <w:t>מותבא</w:t>
      </w:r>
      <w:r>
        <w:rPr>
          <w:rFonts w:cs="Arial" w:hint="cs"/>
          <w:rtl/>
        </w:rPr>
        <w:t>'</w:t>
      </w:r>
      <w:r>
        <w:rPr>
          <w:rStyle w:val="a7"/>
          <w:rFonts w:cs="Arial"/>
          <w:rtl/>
        </w:rPr>
        <w:footnoteReference w:id="1004"/>
      </w:r>
      <w:r>
        <w:rPr>
          <w:rFonts w:cs="Arial" w:hint="cs"/>
          <w:rtl/>
        </w:rPr>
        <w:t>.</w:t>
      </w:r>
      <w:r w:rsidRPr="00BB2FEA">
        <w:rPr>
          <w:rFonts w:cs="Arial"/>
          <w:rtl/>
        </w:rPr>
        <w:t xml:space="preserve"> </w:t>
      </w:r>
      <w:r w:rsidRPr="00BB2FEA">
        <w:rPr>
          <w:rFonts w:cs="Arial" w:hint="cs"/>
          <w:rtl/>
        </w:rPr>
        <w:t>ולא</w:t>
      </w:r>
      <w:r w:rsidRPr="00BB2FEA">
        <w:rPr>
          <w:rFonts w:cs="Arial"/>
          <w:rtl/>
        </w:rPr>
        <w:t xml:space="preserve"> </w:t>
      </w:r>
      <w:r w:rsidRPr="00BB2FEA">
        <w:rPr>
          <w:rFonts w:cs="Arial" w:hint="cs"/>
          <w:rtl/>
        </w:rPr>
        <w:t>ראיתי</w:t>
      </w:r>
      <w:r w:rsidRPr="00BB2FEA">
        <w:rPr>
          <w:rFonts w:cs="Arial"/>
          <w:rtl/>
        </w:rPr>
        <w:t xml:space="preserve"> </w:t>
      </w:r>
      <w:r w:rsidRPr="00BB2FEA">
        <w:rPr>
          <w:rFonts w:cs="Arial" w:hint="cs"/>
          <w:rtl/>
        </w:rPr>
        <w:t>שנזכר</w:t>
      </w:r>
      <w:r w:rsidRPr="00BB2FEA">
        <w:rPr>
          <w:rFonts w:cs="Arial"/>
          <w:rtl/>
        </w:rPr>
        <w:t xml:space="preserve"> </w:t>
      </w:r>
      <w:r w:rsidRPr="00BB2FEA">
        <w:rPr>
          <w:rFonts w:cs="Arial" w:hint="cs"/>
          <w:rtl/>
        </w:rPr>
        <w:t>זה</w:t>
      </w:r>
      <w:r w:rsidRPr="00BB2FEA">
        <w:rPr>
          <w:rFonts w:cs="Arial"/>
          <w:rtl/>
        </w:rPr>
        <w:t xml:space="preserve"> </w:t>
      </w:r>
      <w:r w:rsidRPr="00BB2FEA">
        <w:rPr>
          <w:rFonts w:cs="Arial" w:hint="cs"/>
          <w:rtl/>
        </w:rPr>
        <w:t>בשום</w:t>
      </w:r>
      <w:r w:rsidRPr="00BB2FEA">
        <w:rPr>
          <w:rFonts w:cs="Arial"/>
          <w:rtl/>
        </w:rPr>
        <w:t xml:space="preserve"> </w:t>
      </w:r>
      <w:r w:rsidRPr="00BB2FEA">
        <w:rPr>
          <w:rFonts w:cs="Arial" w:hint="cs"/>
          <w:rtl/>
        </w:rPr>
        <w:t>ספר</w:t>
      </w:r>
      <w:r>
        <w:rPr>
          <w:rFonts w:cs="Arial" w:hint="cs"/>
          <w:rtl/>
        </w:rPr>
        <w:t>.</w:t>
      </w:r>
      <w:r w:rsidRPr="00BB2FEA">
        <w:rPr>
          <w:rFonts w:cs="Arial"/>
          <w:rtl/>
        </w:rPr>
        <w:t xml:space="preserve"> </w:t>
      </w:r>
      <w:r w:rsidRPr="00A5285E">
        <w:rPr>
          <w:rFonts w:hint="cs"/>
          <w:color w:val="E36C0A" w:themeColor="accent6" w:themeShade="BF"/>
          <w:rtl/>
        </w:rPr>
        <w:t>(וכ"פ בשו"ע)</w:t>
      </w:r>
    </w:p>
    <w:p w14:paraId="59503E9D" w14:textId="77777777" w:rsidR="00FA2119" w:rsidRPr="007639BC" w:rsidRDefault="00FA2119" w:rsidP="00FA2119">
      <w:pPr>
        <w:rPr>
          <w:u w:val="single"/>
        </w:rPr>
      </w:pPr>
      <w:r w:rsidRPr="007639BC">
        <w:rPr>
          <w:rFonts w:hint="cs"/>
          <w:u w:val="single"/>
          <w:rtl/>
        </w:rPr>
        <w:t>עיר שסיפוקה ממי בארות</w:t>
      </w:r>
      <w:r>
        <w:rPr>
          <w:rFonts w:hint="cs"/>
          <w:u w:val="single"/>
          <w:rtl/>
        </w:rPr>
        <w:t>/מעינות</w:t>
      </w:r>
      <w:r w:rsidRPr="007639BC">
        <w:rPr>
          <w:rFonts w:hint="cs"/>
          <w:u w:val="single"/>
          <w:rtl/>
        </w:rPr>
        <w:t>:</w:t>
      </w:r>
    </w:p>
    <w:p w14:paraId="767EEA8B" w14:textId="6AEED87B" w:rsidR="00FA2119" w:rsidRPr="0090777D" w:rsidRDefault="00FA2119" w:rsidP="00FA2119">
      <w:pPr>
        <w:pStyle w:val="ab"/>
        <w:numPr>
          <w:ilvl w:val="0"/>
          <w:numId w:val="68"/>
        </w:numPr>
        <w:rPr>
          <w:rtl/>
        </w:rPr>
      </w:pPr>
      <w:r>
        <w:rPr>
          <w:rFonts w:cs="Arial" w:hint="cs"/>
          <w:rtl/>
        </w:rPr>
        <w:t>ב"י</w:t>
      </w:r>
      <w:r w:rsidR="00A82951">
        <w:rPr>
          <w:rFonts w:cs="Arial" w:hint="cs"/>
          <w:rtl/>
        </w:rPr>
        <w:t>-</w:t>
      </w:r>
      <w:r>
        <w:rPr>
          <w:rFonts w:cs="Arial" w:hint="cs"/>
          <w:rtl/>
        </w:rPr>
        <w:t xml:space="preserve"> </w:t>
      </w:r>
      <w:r w:rsidRPr="00BB2FEA">
        <w:rPr>
          <w:rFonts w:cs="Arial" w:hint="cs"/>
          <w:rtl/>
        </w:rPr>
        <w:t>עיר</w:t>
      </w:r>
      <w:r w:rsidRPr="00BB2FEA">
        <w:rPr>
          <w:rFonts w:cs="Arial"/>
          <w:rtl/>
        </w:rPr>
        <w:t xml:space="preserve"> </w:t>
      </w:r>
      <w:r w:rsidRPr="00BB2FEA">
        <w:rPr>
          <w:rFonts w:cs="Arial" w:hint="cs"/>
          <w:rtl/>
        </w:rPr>
        <w:t>שסיפוקה</w:t>
      </w:r>
      <w:r w:rsidRPr="00BB2FEA">
        <w:rPr>
          <w:rFonts w:cs="Arial"/>
          <w:rtl/>
        </w:rPr>
        <w:t xml:space="preserve"> </w:t>
      </w:r>
      <w:r w:rsidRPr="00BB2FEA">
        <w:rPr>
          <w:rFonts w:cs="Arial" w:hint="cs"/>
          <w:rtl/>
        </w:rPr>
        <w:t>ממי</w:t>
      </w:r>
      <w:r w:rsidRPr="00BB2FEA">
        <w:rPr>
          <w:rFonts w:cs="Arial"/>
          <w:rtl/>
        </w:rPr>
        <w:t xml:space="preserve"> </w:t>
      </w:r>
      <w:r w:rsidRPr="00BB2FEA">
        <w:rPr>
          <w:rFonts w:cs="Arial" w:hint="cs"/>
          <w:rtl/>
        </w:rPr>
        <w:t>בארות</w:t>
      </w:r>
      <w:r w:rsidRPr="00BB2FEA">
        <w:rPr>
          <w:rFonts w:cs="Arial"/>
          <w:rtl/>
        </w:rPr>
        <w:t xml:space="preserve"> </w:t>
      </w:r>
      <w:r w:rsidRPr="00BB2FEA">
        <w:rPr>
          <w:rFonts w:cs="Arial" w:hint="cs"/>
          <w:rtl/>
        </w:rPr>
        <w:t>כותבין</w:t>
      </w:r>
      <w:r w:rsidRPr="00BB2FEA">
        <w:rPr>
          <w:rFonts w:cs="Arial"/>
          <w:rtl/>
        </w:rPr>
        <w:t xml:space="preserve"> </w:t>
      </w:r>
      <w:r w:rsidRPr="00BB2FEA">
        <w:rPr>
          <w:rFonts w:cs="Arial" w:hint="cs"/>
          <w:rtl/>
        </w:rPr>
        <w:t>על</w:t>
      </w:r>
      <w:r w:rsidRPr="00BB2FEA">
        <w:rPr>
          <w:rFonts w:cs="Arial"/>
          <w:rtl/>
        </w:rPr>
        <w:t xml:space="preserve"> </w:t>
      </w:r>
      <w:r>
        <w:rPr>
          <w:rFonts w:cs="Arial" w:hint="cs"/>
          <w:rtl/>
        </w:rPr>
        <w:t>'</w:t>
      </w:r>
      <w:r w:rsidRPr="00BB2FEA">
        <w:rPr>
          <w:rFonts w:cs="Arial" w:hint="cs"/>
          <w:rtl/>
        </w:rPr>
        <w:t>מי</w:t>
      </w:r>
      <w:r w:rsidRPr="00BB2FEA">
        <w:rPr>
          <w:rFonts w:cs="Arial"/>
          <w:rtl/>
        </w:rPr>
        <w:t xml:space="preserve"> </w:t>
      </w:r>
      <w:r w:rsidRPr="00BB2FEA">
        <w:rPr>
          <w:rFonts w:cs="Arial" w:hint="cs"/>
          <w:rtl/>
        </w:rPr>
        <w:t>בארות</w:t>
      </w:r>
      <w:r>
        <w:rPr>
          <w:rFonts w:cs="Arial" w:hint="cs"/>
          <w:rtl/>
        </w:rPr>
        <w:t>'</w:t>
      </w:r>
      <w:r>
        <w:rPr>
          <w:rStyle w:val="a7"/>
          <w:rFonts w:cs="Arial"/>
          <w:rtl/>
        </w:rPr>
        <w:footnoteReference w:id="1005"/>
      </w:r>
      <w:r>
        <w:rPr>
          <w:rFonts w:cs="Arial" w:hint="cs"/>
          <w:rtl/>
        </w:rPr>
        <w:t>.</w:t>
      </w:r>
      <w:r w:rsidRPr="00BB2FEA">
        <w:rPr>
          <w:rFonts w:cs="Arial"/>
          <w:rtl/>
        </w:rPr>
        <w:t xml:space="preserve"> </w:t>
      </w:r>
      <w:r w:rsidRPr="00BB2FEA">
        <w:rPr>
          <w:rFonts w:cs="Arial" w:hint="cs"/>
          <w:rtl/>
        </w:rPr>
        <w:t>ועיר</w:t>
      </w:r>
      <w:r w:rsidRPr="00BB2FEA">
        <w:rPr>
          <w:rFonts w:cs="Arial"/>
          <w:rtl/>
        </w:rPr>
        <w:t xml:space="preserve"> </w:t>
      </w:r>
      <w:r w:rsidRPr="00BB2FEA">
        <w:rPr>
          <w:rFonts w:cs="Arial" w:hint="cs"/>
          <w:rtl/>
        </w:rPr>
        <w:t>שסיפוקה</w:t>
      </w:r>
      <w:r w:rsidRPr="00BB2FEA">
        <w:rPr>
          <w:rFonts w:cs="Arial"/>
          <w:rtl/>
        </w:rPr>
        <w:t xml:space="preserve"> </w:t>
      </w:r>
      <w:r w:rsidRPr="00BB2FEA">
        <w:rPr>
          <w:rFonts w:cs="Arial" w:hint="cs"/>
          <w:rtl/>
        </w:rPr>
        <w:t>ממי</w:t>
      </w:r>
      <w:r w:rsidRPr="00BB2FEA">
        <w:rPr>
          <w:rFonts w:cs="Arial"/>
          <w:rtl/>
        </w:rPr>
        <w:t xml:space="preserve"> </w:t>
      </w:r>
      <w:r w:rsidRPr="00BB2FEA">
        <w:rPr>
          <w:rFonts w:cs="Arial" w:hint="cs"/>
          <w:rtl/>
        </w:rPr>
        <w:t>מעינות</w:t>
      </w:r>
      <w:r w:rsidRPr="00BB2FEA">
        <w:rPr>
          <w:rFonts w:cs="Arial"/>
          <w:rtl/>
        </w:rPr>
        <w:t xml:space="preserve"> </w:t>
      </w:r>
      <w:r w:rsidRPr="00BB2FEA">
        <w:rPr>
          <w:rFonts w:cs="Arial" w:hint="cs"/>
          <w:rtl/>
        </w:rPr>
        <w:t>כותבין</w:t>
      </w:r>
      <w:r w:rsidRPr="00BB2FEA">
        <w:rPr>
          <w:rFonts w:cs="Arial"/>
          <w:rtl/>
        </w:rPr>
        <w:t xml:space="preserve"> </w:t>
      </w:r>
      <w:r>
        <w:rPr>
          <w:rFonts w:cs="Arial" w:hint="cs"/>
          <w:rtl/>
        </w:rPr>
        <w:t>'</w:t>
      </w:r>
      <w:r w:rsidRPr="00BB2FEA">
        <w:rPr>
          <w:rFonts w:cs="Arial" w:hint="cs"/>
          <w:rtl/>
        </w:rPr>
        <w:t>מי</w:t>
      </w:r>
      <w:r w:rsidRPr="00BB2FEA">
        <w:rPr>
          <w:rFonts w:cs="Arial"/>
          <w:rtl/>
        </w:rPr>
        <w:t xml:space="preserve"> </w:t>
      </w:r>
      <w:r w:rsidRPr="00BB2FEA">
        <w:rPr>
          <w:rFonts w:cs="Arial" w:hint="cs"/>
          <w:rtl/>
        </w:rPr>
        <w:t>מעינות</w:t>
      </w:r>
      <w:r>
        <w:rPr>
          <w:rFonts w:cs="Arial" w:hint="cs"/>
          <w:rtl/>
        </w:rPr>
        <w:t>',</w:t>
      </w:r>
      <w:r w:rsidRPr="00BB2FEA">
        <w:rPr>
          <w:rFonts w:cs="Arial"/>
          <w:rtl/>
        </w:rPr>
        <w:t xml:space="preserve"> </w:t>
      </w:r>
      <w:r w:rsidRPr="00BB2FEA">
        <w:rPr>
          <w:rFonts w:cs="Arial" w:hint="cs"/>
          <w:rtl/>
        </w:rPr>
        <w:t>ובחד</w:t>
      </w:r>
      <w:r w:rsidRPr="00BB2FEA">
        <w:rPr>
          <w:rFonts w:cs="Arial"/>
          <w:rtl/>
        </w:rPr>
        <w:t xml:space="preserve"> </w:t>
      </w:r>
      <w:r w:rsidRPr="00BB2FEA">
        <w:rPr>
          <w:rFonts w:cs="Arial" w:hint="cs"/>
          <w:rtl/>
        </w:rPr>
        <w:t>יו</w:t>
      </w:r>
      <w:r w:rsidRPr="00BB2FEA">
        <w:rPr>
          <w:rFonts w:cs="Arial"/>
          <w:rtl/>
        </w:rPr>
        <w:t>"</w:t>
      </w:r>
      <w:r w:rsidRPr="00BB2FEA">
        <w:rPr>
          <w:rFonts w:cs="Arial" w:hint="cs"/>
          <w:rtl/>
        </w:rPr>
        <w:t>ד</w:t>
      </w:r>
      <w:r>
        <w:rPr>
          <w:rStyle w:val="a7"/>
          <w:rFonts w:cs="Arial"/>
          <w:rtl/>
        </w:rPr>
        <w:footnoteReference w:id="1006"/>
      </w:r>
      <w:r>
        <w:rPr>
          <w:rFonts w:cs="Arial" w:hint="cs"/>
          <w:rtl/>
        </w:rPr>
        <w:t>.</w:t>
      </w:r>
      <w:r w:rsidRPr="00BB2FEA">
        <w:rPr>
          <w:rFonts w:cs="Arial"/>
          <w:rtl/>
        </w:rPr>
        <w:t xml:space="preserve"> </w:t>
      </w:r>
      <w:r w:rsidRPr="00A5285E">
        <w:rPr>
          <w:rFonts w:hint="cs"/>
          <w:color w:val="E36C0A" w:themeColor="accent6" w:themeShade="BF"/>
          <w:rtl/>
        </w:rPr>
        <w:t>(וכ"פ בשו"ע)</w:t>
      </w:r>
    </w:p>
    <w:p w14:paraId="7DF8CAB5" w14:textId="77777777" w:rsidR="00FA2119" w:rsidRPr="00EC1F48" w:rsidRDefault="00FA2119" w:rsidP="00FA2119">
      <w:pPr>
        <w:rPr>
          <w:rFonts w:cs="Arial"/>
          <w:u w:val="single"/>
        </w:rPr>
      </w:pPr>
      <w:r w:rsidRPr="00EC1F48">
        <w:rPr>
          <w:rFonts w:cs="Arial" w:hint="cs"/>
          <w:u w:val="single"/>
          <w:rtl/>
        </w:rPr>
        <w:t>גט שלא הוזכר בו שם הנהר שליד העיר:</w:t>
      </w:r>
    </w:p>
    <w:p w14:paraId="4C857777" w14:textId="719748F6" w:rsidR="00FA2119" w:rsidRDefault="00FA2119" w:rsidP="00FA2119">
      <w:pPr>
        <w:pStyle w:val="ab"/>
        <w:numPr>
          <w:ilvl w:val="0"/>
          <w:numId w:val="61"/>
        </w:numPr>
        <w:rPr>
          <w:rFonts w:cs="Arial"/>
        </w:rPr>
      </w:pPr>
      <w:r w:rsidRPr="00E62054">
        <w:rPr>
          <w:rFonts w:cs="Arial" w:hint="cs"/>
          <w:rtl/>
        </w:rPr>
        <w:t>ר</w:t>
      </w:r>
      <w:r w:rsidRPr="00E62054">
        <w:rPr>
          <w:rFonts w:cs="Arial"/>
          <w:rtl/>
        </w:rPr>
        <w:t>"</w:t>
      </w:r>
      <w:r w:rsidRPr="00E62054">
        <w:rPr>
          <w:rFonts w:cs="Arial" w:hint="cs"/>
          <w:rtl/>
        </w:rPr>
        <w:t>ן</w:t>
      </w:r>
      <w:r w:rsidRPr="00E62054">
        <w:rPr>
          <w:rFonts w:cs="Arial"/>
          <w:rtl/>
        </w:rPr>
        <w:t xml:space="preserve"> </w:t>
      </w:r>
      <w:r w:rsidRPr="00E62054">
        <w:rPr>
          <w:rFonts w:cs="Arial"/>
          <w:sz w:val="16"/>
          <w:szCs w:val="16"/>
          <w:rtl/>
        </w:rPr>
        <w:t>(</w:t>
      </w:r>
      <w:r w:rsidRPr="00E62054">
        <w:rPr>
          <w:rFonts w:cs="Arial" w:hint="cs"/>
          <w:sz w:val="16"/>
          <w:szCs w:val="16"/>
          <w:rtl/>
        </w:rPr>
        <w:t>סי</w:t>
      </w:r>
      <w:r w:rsidRPr="00E62054">
        <w:rPr>
          <w:rFonts w:cs="Arial"/>
          <w:sz w:val="16"/>
          <w:szCs w:val="16"/>
          <w:rtl/>
        </w:rPr>
        <w:t xml:space="preserve">' </w:t>
      </w:r>
      <w:r w:rsidRPr="00E62054">
        <w:rPr>
          <w:rFonts w:cs="Arial" w:hint="cs"/>
          <w:sz w:val="16"/>
          <w:szCs w:val="16"/>
          <w:rtl/>
        </w:rPr>
        <w:t>מב</w:t>
      </w:r>
      <w:r w:rsidRPr="00E62054">
        <w:rPr>
          <w:rFonts w:cs="Arial"/>
          <w:sz w:val="16"/>
          <w:szCs w:val="16"/>
          <w:rtl/>
        </w:rPr>
        <w:t xml:space="preserve"> </w:t>
      </w:r>
      <w:r w:rsidRPr="00E62054">
        <w:rPr>
          <w:rFonts w:cs="Arial" w:hint="cs"/>
          <w:sz w:val="16"/>
          <w:szCs w:val="16"/>
          <w:rtl/>
        </w:rPr>
        <w:t>אות</w:t>
      </w:r>
      <w:r w:rsidRPr="00E62054">
        <w:rPr>
          <w:rFonts w:cs="Arial"/>
          <w:sz w:val="16"/>
          <w:szCs w:val="16"/>
          <w:rtl/>
        </w:rPr>
        <w:t xml:space="preserve"> </w:t>
      </w:r>
      <w:r w:rsidRPr="00E62054">
        <w:rPr>
          <w:rFonts w:cs="Arial" w:hint="cs"/>
          <w:sz w:val="16"/>
          <w:szCs w:val="16"/>
          <w:rtl/>
        </w:rPr>
        <w:t>א</w:t>
      </w:r>
      <w:r w:rsidRPr="00E62054">
        <w:rPr>
          <w:rFonts w:cs="Arial"/>
          <w:sz w:val="16"/>
          <w:szCs w:val="16"/>
          <w:rtl/>
        </w:rPr>
        <w:t>)</w:t>
      </w:r>
      <w:r w:rsidR="00A82951">
        <w:rPr>
          <w:rFonts w:cs="Arial" w:hint="cs"/>
          <w:rtl/>
        </w:rPr>
        <w:t>-</w:t>
      </w:r>
      <w:r w:rsidRPr="00E62054">
        <w:rPr>
          <w:rFonts w:cs="Arial"/>
          <w:rtl/>
        </w:rPr>
        <w:t xml:space="preserve"> </w:t>
      </w:r>
      <w:r w:rsidRPr="00E62054">
        <w:rPr>
          <w:rFonts w:cs="Arial" w:hint="cs"/>
          <w:rtl/>
        </w:rPr>
        <w:t>אע</w:t>
      </w:r>
      <w:r>
        <w:rPr>
          <w:rFonts w:cs="Arial" w:hint="cs"/>
          <w:rtl/>
        </w:rPr>
        <w:t>"</w:t>
      </w:r>
      <w:r w:rsidRPr="00E62054">
        <w:rPr>
          <w:rFonts w:cs="Arial" w:hint="cs"/>
          <w:rtl/>
        </w:rPr>
        <w:t>פ</w:t>
      </w:r>
      <w:r w:rsidRPr="00E62054">
        <w:rPr>
          <w:rFonts w:cs="Arial"/>
          <w:rtl/>
        </w:rPr>
        <w:t xml:space="preserve"> </w:t>
      </w:r>
      <w:r w:rsidRPr="00E62054">
        <w:rPr>
          <w:rFonts w:cs="Arial" w:hint="cs"/>
          <w:rtl/>
        </w:rPr>
        <w:t>שלא</w:t>
      </w:r>
      <w:r w:rsidRPr="00E62054">
        <w:rPr>
          <w:rFonts w:cs="Arial"/>
          <w:rtl/>
        </w:rPr>
        <w:t xml:space="preserve"> </w:t>
      </w:r>
      <w:r w:rsidRPr="00E62054">
        <w:rPr>
          <w:rFonts w:cs="Arial" w:hint="cs"/>
          <w:rtl/>
        </w:rPr>
        <w:t>כתבו</w:t>
      </w:r>
      <w:r w:rsidRPr="00E62054">
        <w:rPr>
          <w:rFonts w:cs="Arial"/>
          <w:rtl/>
        </w:rPr>
        <w:t xml:space="preserve"> </w:t>
      </w:r>
      <w:r w:rsidRPr="00E62054">
        <w:rPr>
          <w:rFonts w:cs="Arial" w:hint="cs"/>
          <w:rtl/>
        </w:rPr>
        <w:t>שם</w:t>
      </w:r>
      <w:r w:rsidRPr="00E62054">
        <w:rPr>
          <w:rFonts w:cs="Arial"/>
          <w:rtl/>
        </w:rPr>
        <w:t xml:space="preserve"> </w:t>
      </w:r>
      <w:r w:rsidRPr="00E62054">
        <w:rPr>
          <w:rFonts w:cs="Arial" w:hint="cs"/>
          <w:rtl/>
        </w:rPr>
        <w:t>הנהרות</w:t>
      </w:r>
      <w:r w:rsidRPr="00E62054">
        <w:rPr>
          <w:rFonts w:cs="Arial"/>
          <w:rtl/>
        </w:rPr>
        <w:t xml:space="preserve"> </w:t>
      </w:r>
      <w:r w:rsidRPr="00E62054">
        <w:rPr>
          <w:rFonts w:cs="Arial" w:hint="cs"/>
          <w:rtl/>
        </w:rPr>
        <w:t>בעירו</w:t>
      </w:r>
      <w:r w:rsidRPr="00E62054">
        <w:rPr>
          <w:rFonts w:cs="Arial"/>
          <w:rtl/>
        </w:rPr>
        <w:t xml:space="preserve"> </w:t>
      </w:r>
      <w:r w:rsidRPr="00E62054">
        <w:rPr>
          <w:rFonts w:cs="Arial" w:hint="cs"/>
          <w:rtl/>
        </w:rPr>
        <w:t>ועירה</w:t>
      </w:r>
      <w:r>
        <w:rPr>
          <w:rFonts w:cs="Arial" w:hint="cs"/>
          <w:rtl/>
        </w:rPr>
        <w:t>,</w:t>
      </w:r>
      <w:r w:rsidRPr="00E62054">
        <w:rPr>
          <w:rFonts w:cs="Arial"/>
          <w:rtl/>
        </w:rPr>
        <w:t xml:space="preserve"> </w:t>
      </w:r>
      <w:r w:rsidRPr="00E62054">
        <w:rPr>
          <w:rFonts w:cs="Arial" w:hint="cs"/>
          <w:rtl/>
        </w:rPr>
        <w:t>איני</w:t>
      </w:r>
      <w:r w:rsidRPr="00E62054">
        <w:rPr>
          <w:rFonts w:cs="Arial"/>
          <w:rtl/>
        </w:rPr>
        <w:t xml:space="preserve"> </w:t>
      </w:r>
      <w:r w:rsidRPr="00E62054">
        <w:rPr>
          <w:rFonts w:cs="Arial" w:hint="cs"/>
          <w:rtl/>
        </w:rPr>
        <w:t>רואה</w:t>
      </w:r>
      <w:r w:rsidRPr="00E62054">
        <w:rPr>
          <w:rFonts w:cs="Arial"/>
          <w:rtl/>
        </w:rPr>
        <w:t xml:space="preserve"> </w:t>
      </w:r>
      <w:r w:rsidRPr="00E62054">
        <w:rPr>
          <w:rFonts w:cs="Arial" w:hint="cs"/>
          <w:rtl/>
        </w:rPr>
        <w:t>שיהא</w:t>
      </w:r>
      <w:r w:rsidRPr="00E62054">
        <w:rPr>
          <w:rFonts w:cs="Arial"/>
          <w:rtl/>
        </w:rPr>
        <w:t xml:space="preserve"> </w:t>
      </w:r>
      <w:r w:rsidRPr="00E62054">
        <w:rPr>
          <w:rFonts w:cs="Arial" w:hint="cs"/>
          <w:rtl/>
        </w:rPr>
        <w:t>בו</w:t>
      </w:r>
      <w:r w:rsidRPr="00E62054">
        <w:rPr>
          <w:rFonts w:cs="Arial"/>
          <w:rtl/>
        </w:rPr>
        <w:t xml:space="preserve"> </w:t>
      </w:r>
      <w:r w:rsidRPr="00E62054">
        <w:rPr>
          <w:rFonts w:cs="Arial" w:hint="cs"/>
          <w:rtl/>
        </w:rPr>
        <w:t>חשש</w:t>
      </w:r>
      <w:r w:rsidRPr="00E62054">
        <w:rPr>
          <w:rFonts w:cs="Arial"/>
          <w:rtl/>
        </w:rPr>
        <w:t xml:space="preserve"> </w:t>
      </w:r>
      <w:r w:rsidRPr="00E62054">
        <w:rPr>
          <w:rFonts w:cs="Arial" w:hint="cs"/>
          <w:rtl/>
        </w:rPr>
        <w:t>פיסול</w:t>
      </w:r>
      <w:r w:rsidRPr="00E62054">
        <w:rPr>
          <w:rFonts w:cs="Arial"/>
          <w:rtl/>
        </w:rPr>
        <w:t xml:space="preserve"> </w:t>
      </w:r>
      <w:r w:rsidRPr="00E62054">
        <w:rPr>
          <w:rFonts w:cs="Arial" w:hint="cs"/>
          <w:rtl/>
        </w:rPr>
        <w:t>מחמת</w:t>
      </w:r>
      <w:r w:rsidRPr="00E62054">
        <w:rPr>
          <w:rFonts w:cs="Arial"/>
          <w:rtl/>
        </w:rPr>
        <w:t xml:space="preserve"> </w:t>
      </w:r>
      <w:r w:rsidRPr="00E62054">
        <w:rPr>
          <w:rFonts w:cs="Arial" w:hint="cs"/>
          <w:rtl/>
        </w:rPr>
        <w:t>כך</w:t>
      </w:r>
      <w:r>
        <w:rPr>
          <w:rFonts w:cs="Arial" w:hint="cs"/>
          <w:rtl/>
        </w:rPr>
        <w:t>.</w:t>
      </w:r>
      <w:r w:rsidRPr="00E62054">
        <w:rPr>
          <w:rFonts w:cs="Arial"/>
          <w:rtl/>
        </w:rPr>
        <w:t xml:space="preserve"> </w:t>
      </w:r>
      <w:r w:rsidRPr="00E62054">
        <w:rPr>
          <w:rFonts w:cs="Arial" w:hint="cs"/>
          <w:rtl/>
        </w:rPr>
        <w:t>שאם</w:t>
      </w:r>
      <w:r w:rsidRPr="00E62054">
        <w:rPr>
          <w:rFonts w:cs="Arial"/>
          <w:rtl/>
        </w:rPr>
        <w:t xml:space="preserve"> </w:t>
      </w:r>
      <w:r w:rsidRPr="00E62054">
        <w:rPr>
          <w:rFonts w:cs="Arial" w:hint="cs"/>
          <w:rtl/>
        </w:rPr>
        <w:t>נחוש</w:t>
      </w:r>
      <w:r w:rsidRPr="00E62054">
        <w:rPr>
          <w:rFonts w:cs="Arial"/>
          <w:rtl/>
        </w:rPr>
        <w:t xml:space="preserve"> </w:t>
      </w:r>
      <w:r w:rsidRPr="00E62054">
        <w:rPr>
          <w:rFonts w:cs="Arial" w:hint="cs"/>
          <w:rtl/>
        </w:rPr>
        <w:t>לשני</w:t>
      </w:r>
      <w:r w:rsidRPr="00E62054">
        <w:rPr>
          <w:rFonts w:cs="Arial"/>
          <w:rtl/>
        </w:rPr>
        <w:t xml:space="preserve"> </w:t>
      </w:r>
      <w:r w:rsidRPr="00E62054">
        <w:rPr>
          <w:rFonts w:cs="Arial" w:hint="cs"/>
          <w:rtl/>
        </w:rPr>
        <w:t>שוירי</w:t>
      </w:r>
      <w:r w:rsidRPr="00E62054">
        <w:rPr>
          <w:rFonts w:cs="Arial"/>
          <w:rtl/>
        </w:rPr>
        <w:t xml:space="preserve"> </w:t>
      </w:r>
      <w:r w:rsidRPr="00E62054">
        <w:rPr>
          <w:rFonts w:cs="Arial" w:hint="cs"/>
          <w:rtl/>
        </w:rPr>
        <w:t>כשלא</w:t>
      </w:r>
      <w:r w:rsidRPr="00E62054">
        <w:rPr>
          <w:rFonts w:cs="Arial"/>
          <w:rtl/>
        </w:rPr>
        <w:t xml:space="preserve"> </w:t>
      </w:r>
      <w:r w:rsidRPr="00E62054">
        <w:rPr>
          <w:rFonts w:cs="Arial" w:hint="cs"/>
          <w:rtl/>
        </w:rPr>
        <w:t>הוזכרו</w:t>
      </w:r>
      <w:r w:rsidRPr="00E62054">
        <w:rPr>
          <w:rFonts w:cs="Arial"/>
          <w:rtl/>
        </w:rPr>
        <w:t xml:space="preserve"> </w:t>
      </w:r>
      <w:r w:rsidRPr="00E62054">
        <w:rPr>
          <w:rFonts w:cs="Arial" w:hint="cs"/>
          <w:rtl/>
        </w:rPr>
        <w:t>הנהרות</w:t>
      </w:r>
      <w:r>
        <w:rPr>
          <w:rFonts w:cs="Arial" w:hint="cs"/>
          <w:rtl/>
        </w:rPr>
        <w:t>,</w:t>
      </w:r>
      <w:r w:rsidRPr="00E62054">
        <w:rPr>
          <w:rFonts w:cs="Arial"/>
          <w:rtl/>
        </w:rPr>
        <w:t xml:space="preserve"> </w:t>
      </w:r>
      <w:r w:rsidRPr="00E62054">
        <w:rPr>
          <w:rFonts w:cs="Arial" w:hint="cs"/>
          <w:rtl/>
        </w:rPr>
        <w:t>אף</w:t>
      </w:r>
      <w:r w:rsidRPr="00E62054">
        <w:rPr>
          <w:rFonts w:cs="Arial"/>
          <w:rtl/>
        </w:rPr>
        <w:t xml:space="preserve"> </w:t>
      </w:r>
      <w:r w:rsidRPr="00E62054">
        <w:rPr>
          <w:rFonts w:cs="Arial" w:hint="cs"/>
          <w:rtl/>
        </w:rPr>
        <w:t>כשהוזכרו</w:t>
      </w:r>
      <w:r w:rsidRPr="00E62054">
        <w:rPr>
          <w:rFonts w:cs="Arial"/>
          <w:rtl/>
        </w:rPr>
        <w:t xml:space="preserve"> </w:t>
      </w:r>
      <w:r w:rsidRPr="00E62054">
        <w:rPr>
          <w:rFonts w:cs="Arial" w:hint="cs"/>
          <w:rtl/>
        </w:rPr>
        <w:t>לא</w:t>
      </w:r>
      <w:r w:rsidRPr="00E62054">
        <w:rPr>
          <w:rFonts w:cs="Arial"/>
          <w:rtl/>
        </w:rPr>
        <w:t xml:space="preserve"> </w:t>
      </w:r>
      <w:r w:rsidRPr="00E62054">
        <w:rPr>
          <w:rFonts w:cs="Arial" w:hint="cs"/>
          <w:rtl/>
        </w:rPr>
        <w:t>הוציאנו</w:t>
      </w:r>
      <w:r w:rsidRPr="00E62054">
        <w:rPr>
          <w:rFonts w:cs="Arial"/>
          <w:rtl/>
        </w:rPr>
        <w:t xml:space="preserve"> </w:t>
      </w:r>
      <w:r w:rsidRPr="00E62054">
        <w:rPr>
          <w:rFonts w:cs="Arial" w:hint="cs"/>
          <w:rtl/>
        </w:rPr>
        <w:t>מידי</w:t>
      </w:r>
      <w:r w:rsidRPr="00E62054">
        <w:rPr>
          <w:rFonts w:cs="Arial"/>
          <w:rtl/>
        </w:rPr>
        <w:t xml:space="preserve"> </w:t>
      </w:r>
      <w:r w:rsidRPr="00E62054">
        <w:rPr>
          <w:rFonts w:cs="Arial" w:hint="cs"/>
          <w:rtl/>
        </w:rPr>
        <w:t>ספק</w:t>
      </w:r>
      <w:r>
        <w:rPr>
          <w:rFonts w:cs="Arial" w:hint="cs"/>
          <w:rtl/>
        </w:rPr>
        <w:t>,</w:t>
      </w:r>
      <w:r w:rsidRPr="00E62054">
        <w:rPr>
          <w:rFonts w:cs="Arial"/>
          <w:rtl/>
        </w:rPr>
        <w:t xml:space="preserve"> </w:t>
      </w:r>
      <w:r w:rsidRPr="00E62054">
        <w:rPr>
          <w:rFonts w:cs="Arial" w:hint="cs"/>
          <w:rtl/>
        </w:rPr>
        <w:t>שהרי</w:t>
      </w:r>
      <w:r w:rsidRPr="00E62054">
        <w:rPr>
          <w:rFonts w:cs="Arial"/>
          <w:rtl/>
        </w:rPr>
        <w:t xml:space="preserve"> </w:t>
      </w:r>
      <w:r w:rsidRPr="00E62054">
        <w:rPr>
          <w:rFonts w:cs="Arial" w:hint="cs"/>
          <w:rtl/>
        </w:rPr>
        <w:t>אנו</w:t>
      </w:r>
      <w:r w:rsidRPr="00E62054">
        <w:rPr>
          <w:rFonts w:cs="Arial"/>
          <w:rtl/>
        </w:rPr>
        <w:t xml:space="preserve"> </w:t>
      </w:r>
      <w:r w:rsidRPr="00E62054">
        <w:rPr>
          <w:rFonts w:cs="Arial" w:hint="cs"/>
          <w:rtl/>
        </w:rPr>
        <w:t>רואים</w:t>
      </w:r>
      <w:r w:rsidRPr="00E62054">
        <w:rPr>
          <w:rFonts w:cs="Arial"/>
          <w:rtl/>
        </w:rPr>
        <w:t xml:space="preserve"> </w:t>
      </w:r>
      <w:r w:rsidRPr="00E62054">
        <w:rPr>
          <w:rFonts w:cs="Arial" w:hint="cs"/>
          <w:rtl/>
        </w:rPr>
        <w:t>סימן</w:t>
      </w:r>
      <w:r w:rsidRPr="00E62054">
        <w:rPr>
          <w:rFonts w:cs="Arial"/>
          <w:rtl/>
        </w:rPr>
        <w:t xml:space="preserve"> </w:t>
      </w:r>
      <w:r w:rsidRPr="00E62054">
        <w:rPr>
          <w:rFonts w:cs="Arial" w:hint="cs"/>
          <w:rtl/>
        </w:rPr>
        <w:t>בההוא</w:t>
      </w:r>
      <w:r w:rsidRPr="00E62054">
        <w:rPr>
          <w:rFonts w:cs="Arial"/>
          <w:rtl/>
        </w:rPr>
        <w:t xml:space="preserve"> </w:t>
      </w:r>
      <w:r w:rsidRPr="00E62054">
        <w:rPr>
          <w:rFonts w:cs="Arial" w:hint="cs"/>
          <w:rtl/>
        </w:rPr>
        <w:t>גיטא</w:t>
      </w:r>
      <w:r w:rsidRPr="00E62054">
        <w:rPr>
          <w:rFonts w:cs="Arial"/>
          <w:rtl/>
        </w:rPr>
        <w:t xml:space="preserve"> </w:t>
      </w:r>
      <w:r w:rsidRPr="00E62054">
        <w:rPr>
          <w:rFonts w:cs="Arial" w:hint="cs"/>
          <w:rtl/>
        </w:rPr>
        <w:t>דהוה</w:t>
      </w:r>
      <w:r w:rsidRPr="00E62054">
        <w:rPr>
          <w:rFonts w:cs="Arial"/>
          <w:rtl/>
        </w:rPr>
        <w:t xml:space="preserve"> </w:t>
      </w:r>
      <w:r w:rsidRPr="00E62054">
        <w:rPr>
          <w:rFonts w:cs="Arial" w:hint="cs"/>
          <w:rtl/>
        </w:rPr>
        <w:t>כתיב</w:t>
      </w:r>
      <w:r w:rsidRPr="00E62054">
        <w:rPr>
          <w:rFonts w:cs="Arial"/>
          <w:rtl/>
        </w:rPr>
        <w:t xml:space="preserve"> </w:t>
      </w:r>
      <w:r w:rsidRPr="00E62054">
        <w:rPr>
          <w:rFonts w:cs="Arial" w:hint="cs"/>
          <w:rtl/>
        </w:rPr>
        <w:t>ביה</w:t>
      </w:r>
      <w:r w:rsidRPr="00E62054">
        <w:rPr>
          <w:rFonts w:cs="Arial"/>
          <w:rtl/>
        </w:rPr>
        <w:t xml:space="preserve"> </w:t>
      </w:r>
      <w:r w:rsidRPr="00E62054">
        <w:rPr>
          <w:rFonts w:cs="Arial" w:hint="cs"/>
          <w:rtl/>
        </w:rPr>
        <w:t>בשוירי</w:t>
      </w:r>
      <w:r w:rsidRPr="00E62054">
        <w:rPr>
          <w:rFonts w:cs="Arial"/>
          <w:rtl/>
        </w:rPr>
        <w:t xml:space="preserve"> </w:t>
      </w:r>
      <w:r w:rsidRPr="00E62054">
        <w:rPr>
          <w:rFonts w:cs="Arial" w:hint="cs"/>
          <w:rtl/>
        </w:rPr>
        <w:t>מתא</w:t>
      </w:r>
      <w:r w:rsidRPr="00E62054">
        <w:rPr>
          <w:rFonts w:cs="Arial"/>
          <w:rtl/>
        </w:rPr>
        <w:t xml:space="preserve"> </w:t>
      </w:r>
      <w:r w:rsidRPr="00E62054">
        <w:rPr>
          <w:rFonts w:cs="Arial" w:hint="cs"/>
          <w:rtl/>
        </w:rPr>
        <w:t>דעל</w:t>
      </w:r>
      <w:r w:rsidRPr="00E62054">
        <w:rPr>
          <w:rFonts w:cs="Arial"/>
          <w:rtl/>
        </w:rPr>
        <w:t xml:space="preserve"> </w:t>
      </w:r>
      <w:r w:rsidRPr="00E62054">
        <w:rPr>
          <w:rFonts w:cs="Arial" w:hint="cs"/>
          <w:rtl/>
        </w:rPr>
        <w:t>רכיס</w:t>
      </w:r>
      <w:r w:rsidRPr="00E62054">
        <w:rPr>
          <w:rFonts w:cs="Arial"/>
          <w:rtl/>
        </w:rPr>
        <w:t xml:space="preserve"> </w:t>
      </w:r>
      <w:r w:rsidRPr="00E62054">
        <w:rPr>
          <w:rFonts w:cs="Arial" w:hint="cs"/>
          <w:rtl/>
        </w:rPr>
        <w:t>נהרא</w:t>
      </w:r>
      <w:r w:rsidRPr="00E62054">
        <w:rPr>
          <w:rFonts w:cs="Arial"/>
          <w:rtl/>
        </w:rPr>
        <w:t xml:space="preserve"> (</w:t>
      </w:r>
      <w:r w:rsidRPr="00E62054">
        <w:rPr>
          <w:rFonts w:cs="Arial" w:hint="cs"/>
          <w:rtl/>
        </w:rPr>
        <w:t>גיטין</w:t>
      </w:r>
      <w:r w:rsidRPr="00E62054">
        <w:rPr>
          <w:rFonts w:cs="Arial"/>
          <w:rtl/>
        </w:rPr>
        <w:t xml:space="preserve"> </w:t>
      </w:r>
      <w:r w:rsidRPr="00E62054">
        <w:rPr>
          <w:rFonts w:cs="Arial" w:hint="cs"/>
          <w:rtl/>
        </w:rPr>
        <w:t>כז</w:t>
      </w:r>
      <w:r w:rsidRPr="00E62054">
        <w:rPr>
          <w:rFonts w:cs="Arial"/>
          <w:rtl/>
        </w:rPr>
        <w:t>.)</w:t>
      </w:r>
      <w:r>
        <w:rPr>
          <w:rFonts w:cs="Arial" w:hint="cs"/>
          <w:rtl/>
        </w:rPr>
        <w:t>,</w:t>
      </w:r>
      <w:r w:rsidRPr="00E62054">
        <w:rPr>
          <w:rFonts w:cs="Arial"/>
          <w:rtl/>
        </w:rPr>
        <w:t xml:space="preserve"> </w:t>
      </w:r>
      <w:r w:rsidRPr="00E62054">
        <w:rPr>
          <w:rFonts w:cs="Arial" w:hint="cs"/>
          <w:rtl/>
        </w:rPr>
        <w:t>דשקלינן</w:t>
      </w:r>
      <w:r w:rsidRPr="00E62054">
        <w:rPr>
          <w:rFonts w:cs="Arial"/>
          <w:rtl/>
        </w:rPr>
        <w:t xml:space="preserve"> </w:t>
      </w:r>
      <w:r w:rsidRPr="00E62054">
        <w:rPr>
          <w:rFonts w:cs="Arial" w:hint="cs"/>
          <w:rtl/>
        </w:rPr>
        <w:t>וטרינן</w:t>
      </w:r>
      <w:r w:rsidRPr="00E62054">
        <w:rPr>
          <w:rFonts w:cs="Arial"/>
          <w:rtl/>
        </w:rPr>
        <w:t xml:space="preserve"> </w:t>
      </w:r>
      <w:r w:rsidRPr="00E62054">
        <w:rPr>
          <w:rFonts w:cs="Arial" w:hint="cs"/>
          <w:rtl/>
        </w:rPr>
        <w:t>אי</w:t>
      </w:r>
      <w:r w:rsidRPr="00E62054">
        <w:rPr>
          <w:rFonts w:cs="Arial"/>
          <w:rtl/>
        </w:rPr>
        <w:t xml:space="preserve"> </w:t>
      </w:r>
      <w:r w:rsidRPr="00E62054">
        <w:rPr>
          <w:rFonts w:cs="Arial" w:hint="cs"/>
          <w:rtl/>
        </w:rPr>
        <w:t>חיישינן</w:t>
      </w:r>
      <w:r w:rsidRPr="00E62054">
        <w:rPr>
          <w:rFonts w:cs="Arial"/>
          <w:rtl/>
        </w:rPr>
        <w:t xml:space="preserve"> </w:t>
      </w:r>
      <w:r w:rsidRPr="00E62054">
        <w:rPr>
          <w:rFonts w:cs="Arial" w:hint="cs"/>
          <w:rtl/>
        </w:rPr>
        <w:t>לשני</w:t>
      </w:r>
      <w:r w:rsidRPr="00E62054">
        <w:rPr>
          <w:rFonts w:cs="Arial"/>
          <w:rtl/>
        </w:rPr>
        <w:t xml:space="preserve"> </w:t>
      </w:r>
      <w:r w:rsidRPr="00E62054">
        <w:rPr>
          <w:rFonts w:cs="Arial" w:hint="cs"/>
          <w:rtl/>
        </w:rPr>
        <w:t>שוירי</w:t>
      </w:r>
      <w:r>
        <w:rPr>
          <w:rFonts w:cs="Arial" w:hint="cs"/>
          <w:rtl/>
        </w:rPr>
        <w:t>,</w:t>
      </w:r>
      <w:r w:rsidRPr="00E62054">
        <w:rPr>
          <w:rFonts w:cs="Arial"/>
          <w:rtl/>
        </w:rPr>
        <w:t xml:space="preserve"> </w:t>
      </w:r>
      <w:r w:rsidRPr="00E62054">
        <w:rPr>
          <w:rFonts w:cs="Arial" w:hint="cs"/>
          <w:rtl/>
        </w:rPr>
        <w:t>כלומר</w:t>
      </w:r>
      <w:r w:rsidRPr="00E62054">
        <w:rPr>
          <w:rFonts w:cs="Arial"/>
          <w:rtl/>
        </w:rPr>
        <w:t xml:space="preserve"> </w:t>
      </w:r>
      <w:r w:rsidRPr="00E62054">
        <w:rPr>
          <w:rFonts w:cs="Arial" w:hint="cs"/>
          <w:rtl/>
        </w:rPr>
        <w:t>שני</w:t>
      </w:r>
      <w:r w:rsidRPr="00E62054">
        <w:rPr>
          <w:rFonts w:cs="Arial"/>
          <w:rtl/>
        </w:rPr>
        <w:t xml:space="preserve"> </w:t>
      </w:r>
      <w:r w:rsidRPr="00E62054">
        <w:rPr>
          <w:rFonts w:cs="Arial" w:hint="cs"/>
          <w:rtl/>
        </w:rPr>
        <w:t>שוירי</w:t>
      </w:r>
      <w:r w:rsidRPr="00E62054">
        <w:rPr>
          <w:rFonts w:cs="Arial"/>
          <w:rtl/>
        </w:rPr>
        <w:t xml:space="preserve"> </w:t>
      </w:r>
      <w:r w:rsidRPr="00E62054">
        <w:rPr>
          <w:rFonts w:cs="Arial" w:hint="cs"/>
          <w:rtl/>
        </w:rPr>
        <w:t>דיתבן</w:t>
      </w:r>
      <w:r w:rsidRPr="00E62054">
        <w:rPr>
          <w:rFonts w:cs="Arial"/>
          <w:rtl/>
        </w:rPr>
        <w:t xml:space="preserve"> </w:t>
      </w:r>
      <w:r w:rsidRPr="00E62054">
        <w:rPr>
          <w:rFonts w:cs="Arial" w:hint="cs"/>
          <w:rtl/>
        </w:rPr>
        <w:t>על</w:t>
      </w:r>
      <w:r w:rsidRPr="00E62054">
        <w:rPr>
          <w:rFonts w:cs="Arial"/>
          <w:rtl/>
        </w:rPr>
        <w:t xml:space="preserve"> </w:t>
      </w:r>
      <w:r w:rsidRPr="00E62054">
        <w:rPr>
          <w:rFonts w:cs="Arial" w:hint="cs"/>
          <w:rtl/>
        </w:rPr>
        <w:t>רכיס</w:t>
      </w:r>
      <w:r w:rsidRPr="00E62054">
        <w:rPr>
          <w:rFonts w:cs="Arial"/>
          <w:rtl/>
        </w:rPr>
        <w:t xml:space="preserve"> </w:t>
      </w:r>
      <w:r w:rsidRPr="00E62054">
        <w:rPr>
          <w:rFonts w:cs="Arial" w:hint="cs"/>
          <w:rtl/>
        </w:rPr>
        <w:t>נהרא</w:t>
      </w:r>
      <w:r>
        <w:rPr>
          <w:rFonts w:cs="Arial" w:hint="cs"/>
          <w:rtl/>
        </w:rPr>
        <w:t>.</w:t>
      </w:r>
      <w:r w:rsidRPr="00E62054">
        <w:rPr>
          <w:rFonts w:cs="Arial"/>
          <w:rtl/>
        </w:rPr>
        <w:t xml:space="preserve"> </w:t>
      </w:r>
      <w:r w:rsidRPr="00E62054">
        <w:rPr>
          <w:rFonts w:cs="Arial" w:hint="cs"/>
          <w:rtl/>
        </w:rPr>
        <w:t>אלמא</w:t>
      </w:r>
      <w:r w:rsidRPr="00E62054">
        <w:rPr>
          <w:rFonts w:cs="Arial"/>
          <w:rtl/>
        </w:rPr>
        <w:t xml:space="preserve"> </w:t>
      </w:r>
      <w:r w:rsidRPr="00E62054">
        <w:rPr>
          <w:rFonts w:cs="Arial" w:hint="cs"/>
          <w:rtl/>
        </w:rPr>
        <w:t>אין</w:t>
      </w:r>
      <w:r w:rsidRPr="00E62054">
        <w:rPr>
          <w:rFonts w:cs="Arial"/>
          <w:rtl/>
        </w:rPr>
        <w:t xml:space="preserve"> </w:t>
      </w:r>
      <w:r w:rsidRPr="00E62054">
        <w:rPr>
          <w:rFonts w:cs="Arial" w:hint="cs"/>
          <w:rtl/>
        </w:rPr>
        <w:t>הזכרת</w:t>
      </w:r>
      <w:r w:rsidRPr="00E62054">
        <w:rPr>
          <w:rFonts w:cs="Arial"/>
          <w:rtl/>
        </w:rPr>
        <w:t xml:space="preserve"> </w:t>
      </w:r>
      <w:r w:rsidRPr="00E62054">
        <w:rPr>
          <w:rFonts w:cs="Arial" w:hint="cs"/>
          <w:rtl/>
        </w:rPr>
        <w:t>הנהרות</w:t>
      </w:r>
      <w:r w:rsidRPr="00E62054">
        <w:rPr>
          <w:rFonts w:cs="Arial"/>
          <w:rtl/>
        </w:rPr>
        <w:t xml:space="preserve"> </w:t>
      </w:r>
      <w:r w:rsidRPr="00E62054">
        <w:rPr>
          <w:rFonts w:cs="Arial" w:hint="cs"/>
          <w:rtl/>
        </w:rPr>
        <w:t>מוציאנו</w:t>
      </w:r>
      <w:r w:rsidRPr="00E62054">
        <w:rPr>
          <w:rFonts w:cs="Arial"/>
          <w:rtl/>
        </w:rPr>
        <w:t xml:space="preserve"> </w:t>
      </w:r>
      <w:r w:rsidRPr="00E62054">
        <w:rPr>
          <w:rFonts w:cs="Arial" w:hint="cs"/>
          <w:rtl/>
        </w:rPr>
        <w:t>מידי</w:t>
      </w:r>
      <w:r w:rsidRPr="00E62054">
        <w:rPr>
          <w:rFonts w:cs="Arial"/>
          <w:rtl/>
        </w:rPr>
        <w:t xml:space="preserve"> </w:t>
      </w:r>
      <w:r w:rsidRPr="00E62054">
        <w:rPr>
          <w:rFonts w:cs="Arial" w:hint="cs"/>
          <w:rtl/>
        </w:rPr>
        <w:t>ספק</w:t>
      </w:r>
      <w:r w:rsidRPr="00E62054">
        <w:rPr>
          <w:rFonts w:cs="Arial"/>
          <w:rtl/>
        </w:rPr>
        <w:t xml:space="preserve"> </w:t>
      </w:r>
      <w:r w:rsidRPr="00E62054">
        <w:rPr>
          <w:rFonts w:cs="Arial" w:hint="cs"/>
          <w:rtl/>
        </w:rPr>
        <w:t>זה</w:t>
      </w:r>
      <w:r>
        <w:rPr>
          <w:rFonts w:cs="Arial" w:hint="cs"/>
          <w:rtl/>
        </w:rPr>
        <w:t>.</w:t>
      </w:r>
      <w:r w:rsidRPr="00E62054">
        <w:rPr>
          <w:rFonts w:cs="Arial"/>
          <w:rtl/>
        </w:rPr>
        <w:t xml:space="preserve"> </w:t>
      </w:r>
      <w:r w:rsidRPr="00E62054">
        <w:rPr>
          <w:rFonts w:cs="Arial" w:hint="cs"/>
          <w:rtl/>
        </w:rPr>
        <w:t>והאי</w:t>
      </w:r>
      <w:r w:rsidRPr="00E62054">
        <w:rPr>
          <w:rFonts w:cs="Arial"/>
          <w:rtl/>
        </w:rPr>
        <w:t xml:space="preserve"> </w:t>
      </w:r>
      <w:r w:rsidRPr="00E62054">
        <w:rPr>
          <w:rFonts w:cs="Arial" w:hint="cs"/>
          <w:rtl/>
        </w:rPr>
        <w:t>דכתיב</w:t>
      </w:r>
      <w:r w:rsidRPr="00E62054">
        <w:rPr>
          <w:rFonts w:cs="Arial"/>
          <w:rtl/>
        </w:rPr>
        <w:t xml:space="preserve"> </w:t>
      </w:r>
      <w:r w:rsidRPr="00E62054">
        <w:rPr>
          <w:rFonts w:cs="Arial" w:hint="cs"/>
          <w:rtl/>
        </w:rPr>
        <w:t>בההוא</w:t>
      </w:r>
      <w:r w:rsidRPr="00E62054">
        <w:rPr>
          <w:rFonts w:cs="Arial"/>
          <w:rtl/>
        </w:rPr>
        <w:t xml:space="preserve"> </w:t>
      </w:r>
      <w:r w:rsidRPr="00E62054">
        <w:rPr>
          <w:rFonts w:cs="Arial" w:hint="cs"/>
          <w:rtl/>
        </w:rPr>
        <w:t>גיטא</w:t>
      </w:r>
      <w:r w:rsidRPr="00E62054">
        <w:rPr>
          <w:rFonts w:cs="Arial"/>
          <w:rtl/>
        </w:rPr>
        <w:t xml:space="preserve"> </w:t>
      </w:r>
      <w:r w:rsidRPr="00E62054">
        <w:rPr>
          <w:rFonts w:cs="Arial" w:hint="cs"/>
          <w:rtl/>
        </w:rPr>
        <w:t>דעל</w:t>
      </w:r>
      <w:r w:rsidRPr="00E62054">
        <w:rPr>
          <w:rFonts w:cs="Arial"/>
          <w:rtl/>
        </w:rPr>
        <w:t xml:space="preserve"> </w:t>
      </w:r>
      <w:r w:rsidRPr="00E62054">
        <w:rPr>
          <w:rFonts w:cs="Arial" w:hint="cs"/>
          <w:rtl/>
        </w:rPr>
        <w:t>רכיס</w:t>
      </w:r>
      <w:r w:rsidRPr="00E62054">
        <w:rPr>
          <w:rFonts w:cs="Arial"/>
          <w:rtl/>
        </w:rPr>
        <w:t xml:space="preserve"> </w:t>
      </w:r>
      <w:r w:rsidRPr="00E62054">
        <w:rPr>
          <w:rFonts w:cs="Arial" w:hint="cs"/>
          <w:rtl/>
        </w:rPr>
        <w:t>נהרא</w:t>
      </w:r>
      <w:r>
        <w:rPr>
          <w:rFonts w:cs="Arial" w:hint="cs"/>
          <w:rtl/>
        </w:rPr>
        <w:t>,</w:t>
      </w:r>
      <w:r w:rsidRPr="00E62054">
        <w:rPr>
          <w:rFonts w:cs="Arial"/>
          <w:rtl/>
        </w:rPr>
        <w:t xml:space="preserve"> </w:t>
      </w:r>
      <w:r w:rsidRPr="00E62054">
        <w:rPr>
          <w:rFonts w:cs="Arial" w:hint="cs"/>
          <w:rtl/>
        </w:rPr>
        <w:t>אפשר</w:t>
      </w:r>
      <w:r w:rsidRPr="00E62054">
        <w:rPr>
          <w:rFonts w:cs="Arial"/>
          <w:rtl/>
        </w:rPr>
        <w:t xml:space="preserve"> </w:t>
      </w:r>
      <w:r w:rsidRPr="00E62054">
        <w:rPr>
          <w:rFonts w:cs="Arial" w:hint="cs"/>
          <w:rtl/>
        </w:rPr>
        <w:t>שהיו</w:t>
      </w:r>
      <w:r w:rsidRPr="00E62054">
        <w:rPr>
          <w:rFonts w:cs="Arial"/>
          <w:rtl/>
        </w:rPr>
        <w:t xml:space="preserve"> </w:t>
      </w:r>
      <w:r w:rsidRPr="00E62054">
        <w:rPr>
          <w:rFonts w:cs="Arial" w:hint="cs"/>
          <w:rtl/>
        </w:rPr>
        <w:t>שם</w:t>
      </w:r>
      <w:r w:rsidRPr="00E62054">
        <w:rPr>
          <w:rFonts w:cs="Arial"/>
          <w:rtl/>
        </w:rPr>
        <w:t xml:space="preserve"> </w:t>
      </w:r>
      <w:r w:rsidRPr="00E62054">
        <w:rPr>
          <w:rFonts w:cs="Arial" w:hint="cs"/>
          <w:rtl/>
        </w:rPr>
        <w:t>שני</w:t>
      </w:r>
      <w:r w:rsidRPr="00E62054">
        <w:rPr>
          <w:rFonts w:cs="Arial"/>
          <w:rtl/>
        </w:rPr>
        <w:t xml:space="preserve"> </w:t>
      </w:r>
      <w:r w:rsidRPr="00E62054">
        <w:rPr>
          <w:rFonts w:cs="Arial" w:hint="cs"/>
          <w:rtl/>
        </w:rPr>
        <w:t>שוירי</w:t>
      </w:r>
      <w:r w:rsidRPr="00E62054">
        <w:rPr>
          <w:rFonts w:cs="Arial"/>
          <w:rtl/>
        </w:rPr>
        <w:t xml:space="preserve"> </w:t>
      </w:r>
      <w:r w:rsidRPr="00E62054">
        <w:rPr>
          <w:rFonts w:cs="Arial" w:hint="cs"/>
          <w:rtl/>
        </w:rPr>
        <w:t>ולא</w:t>
      </w:r>
      <w:r w:rsidRPr="00E62054">
        <w:rPr>
          <w:rFonts w:cs="Arial"/>
          <w:rtl/>
        </w:rPr>
        <w:t xml:space="preserve"> </w:t>
      </w:r>
      <w:r w:rsidRPr="00E62054">
        <w:rPr>
          <w:rFonts w:cs="Arial" w:hint="cs"/>
          <w:rtl/>
        </w:rPr>
        <w:t>היה</w:t>
      </w:r>
      <w:r w:rsidRPr="00E62054">
        <w:rPr>
          <w:rFonts w:cs="Arial"/>
          <w:rtl/>
        </w:rPr>
        <w:t xml:space="preserve"> </w:t>
      </w:r>
      <w:r w:rsidRPr="00E62054">
        <w:rPr>
          <w:rFonts w:cs="Arial" w:hint="cs"/>
          <w:rtl/>
        </w:rPr>
        <w:t>הבדל</w:t>
      </w:r>
      <w:r w:rsidRPr="00E62054">
        <w:rPr>
          <w:rFonts w:cs="Arial"/>
          <w:rtl/>
        </w:rPr>
        <w:t xml:space="preserve"> </w:t>
      </w:r>
      <w:r w:rsidRPr="00E62054">
        <w:rPr>
          <w:rFonts w:cs="Arial" w:hint="cs"/>
          <w:rtl/>
        </w:rPr>
        <w:t>ביניהם</w:t>
      </w:r>
      <w:r w:rsidRPr="00E62054">
        <w:rPr>
          <w:rFonts w:cs="Arial"/>
          <w:rtl/>
        </w:rPr>
        <w:t xml:space="preserve"> </w:t>
      </w:r>
      <w:r w:rsidRPr="00E62054">
        <w:rPr>
          <w:rFonts w:cs="Arial" w:hint="cs"/>
          <w:rtl/>
        </w:rPr>
        <w:t>כי</w:t>
      </w:r>
      <w:r w:rsidRPr="00E62054">
        <w:rPr>
          <w:rFonts w:cs="Arial"/>
          <w:rtl/>
        </w:rPr>
        <w:t xml:space="preserve"> </w:t>
      </w:r>
      <w:r w:rsidRPr="00E62054">
        <w:rPr>
          <w:rFonts w:cs="Arial" w:hint="cs"/>
          <w:rtl/>
        </w:rPr>
        <w:t>אם</w:t>
      </w:r>
      <w:r w:rsidRPr="00E62054">
        <w:rPr>
          <w:rFonts w:cs="Arial"/>
          <w:rtl/>
        </w:rPr>
        <w:t xml:space="preserve"> </w:t>
      </w:r>
      <w:r w:rsidRPr="00E62054">
        <w:rPr>
          <w:rFonts w:cs="Arial" w:hint="cs"/>
          <w:rtl/>
        </w:rPr>
        <w:t>בנהרות</w:t>
      </w:r>
      <w:r>
        <w:rPr>
          <w:rFonts w:cs="Arial" w:hint="cs"/>
          <w:rtl/>
        </w:rPr>
        <w:t>,</w:t>
      </w:r>
      <w:r w:rsidRPr="00E62054">
        <w:rPr>
          <w:rFonts w:cs="Arial"/>
          <w:rtl/>
        </w:rPr>
        <w:t xml:space="preserve"> </w:t>
      </w:r>
      <w:r w:rsidRPr="00E62054">
        <w:rPr>
          <w:rFonts w:cs="Arial" w:hint="cs"/>
          <w:rtl/>
        </w:rPr>
        <w:t>ואפ</w:t>
      </w:r>
      <w:r w:rsidRPr="00E62054">
        <w:rPr>
          <w:rFonts w:cs="Arial"/>
          <w:rtl/>
        </w:rPr>
        <w:t>"</w:t>
      </w:r>
      <w:r w:rsidRPr="00E62054">
        <w:rPr>
          <w:rFonts w:cs="Arial" w:hint="cs"/>
          <w:rtl/>
        </w:rPr>
        <w:t>ה</w:t>
      </w:r>
      <w:r w:rsidRPr="00E62054">
        <w:rPr>
          <w:rFonts w:cs="Arial"/>
          <w:rtl/>
        </w:rPr>
        <w:t xml:space="preserve"> </w:t>
      </w:r>
      <w:r w:rsidRPr="00E62054">
        <w:rPr>
          <w:rFonts w:cs="Arial" w:hint="cs"/>
          <w:rtl/>
        </w:rPr>
        <w:t>שקלינן</w:t>
      </w:r>
      <w:r w:rsidRPr="00E62054">
        <w:rPr>
          <w:rFonts w:cs="Arial"/>
          <w:rtl/>
        </w:rPr>
        <w:t xml:space="preserve"> </w:t>
      </w:r>
      <w:r w:rsidRPr="00E62054">
        <w:rPr>
          <w:rFonts w:cs="Arial" w:hint="cs"/>
          <w:rtl/>
        </w:rPr>
        <w:t>וטרינן</w:t>
      </w:r>
      <w:r w:rsidRPr="00E62054">
        <w:rPr>
          <w:rFonts w:cs="Arial"/>
          <w:rtl/>
        </w:rPr>
        <w:t xml:space="preserve"> </w:t>
      </w:r>
      <w:r w:rsidRPr="00E62054">
        <w:rPr>
          <w:rFonts w:cs="Arial" w:hint="cs"/>
          <w:rtl/>
        </w:rPr>
        <w:t>אי</w:t>
      </w:r>
      <w:r w:rsidRPr="00E62054">
        <w:rPr>
          <w:rFonts w:cs="Arial"/>
          <w:rtl/>
        </w:rPr>
        <w:t xml:space="preserve"> </w:t>
      </w:r>
      <w:r w:rsidRPr="00E62054">
        <w:rPr>
          <w:rFonts w:cs="Arial" w:hint="cs"/>
          <w:rtl/>
        </w:rPr>
        <w:t>חיישינן</w:t>
      </w:r>
      <w:r w:rsidRPr="00E62054">
        <w:rPr>
          <w:rFonts w:cs="Arial"/>
          <w:rtl/>
        </w:rPr>
        <w:t xml:space="preserve"> </w:t>
      </w:r>
      <w:r w:rsidRPr="00E62054">
        <w:rPr>
          <w:rFonts w:cs="Arial" w:hint="cs"/>
          <w:rtl/>
        </w:rPr>
        <w:t>לשני</w:t>
      </w:r>
      <w:r w:rsidRPr="00E62054">
        <w:rPr>
          <w:rFonts w:cs="Arial"/>
          <w:rtl/>
        </w:rPr>
        <w:t xml:space="preserve"> </w:t>
      </w:r>
      <w:r w:rsidRPr="00E62054">
        <w:rPr>
          <w:rFonts w:cs="Arial" w:hint="cs"/>
          <w:rtl/>
        </w:rPr>
        <w:t>שוירי</w:t>
      </w:r>
      <w:r>
        <w:rPr>
          <w:rFonts w:cs="Arial" w:hint="cs"/>
          <w:rtl/>
        </w:rPr>
        <w:t>,</w:t>
      </w:r>
      <w:r w:rsidRPr="00E62054">
        <w:rPr>
          <w:rFonts w:cs="Arial"/>
          <w:rtl/>
        </w:rPr>
        <w:t xml:space="preserve"> </w:t>
      </w:r>
      <w:r w:rsidRPr="00E62054">
        <w:rPr>
          <w:rFonts w:cs="Arial" w:hint="cs"/>
          <w:rtl/>
        </w:rPr>
        <w:t>ואסיקנא</w:t>
      </w:r>
      <w:r w:rsidRPr="00E62054">
        <w:rPr>
          <w:rFonts w:cs="Arial"/>
          <w:rtl/>
        </w:rPr>
        <w:t xml:space="preserve"> </w:t>
      </w:r>
      <w:r w:rsidRPr="00E62054">
        <w:rPr>
          <w:rFonts w:cs="Arial" w:hint="cs"/>
          <w:rtl/>
        </w:rPr>
        <w:t>דלא</w:t>
      </w:r>
      <w:r w:rsidRPr="00E62054">
        <w:rPr>
          <w:rFonts w:cs="Arial"/>
          <w:rtl/>
        </w:rPr>
        <w:t xml:space="preserve"> </w:t>
      </w:r>
      <w:r w:rsidRPr="00E62054">
        <w:rPr>
          <w:rFonts w:cs="Arial" w:hint="cs"/>
          <w:rtl/>
        </w:rPr>
        <w:t>חיישינן</w:t>
      </w:r>
      <w:r w:rsidRPr="00E62054">
        <w:rPr>
          <w:rFonts w:cs="Arial"/>
          <w:rtl/>
        </w:rPr>
        <w:t xml:space="preserve"> </w:t>
      </w:r>
      <w:r w:rsidRPr="00E62054">
        <w:rPr>
          <w:rFonts w:cs="Arial" w:hint="cs"/>
          <w:rtl/>
        </w:rPr>
        <w:t>אא</w:t>
      </w:r>
      <w:r>
        <w:rPr>
          <w:rFonts w:cs="Arial" w:hint="cs"/>
          <w:rtl/>
        </w:rPr>
        <w:t>"</w:t>
      </w:r>
      <w:r w:rsidRPr="00E62054">
        <w:rPr>
          <w:rFonts w:cs="Arial" w:hint="cs"/>
          <w:rtl/>
        </w:rPr>
        <w:t>כ</w:t>
      </w:r>
      <w:r w:rsidRPr="00E62054">
        <w:rPr>
          <w:rFonts w:cs="Arial"/>
          <w:rtl/>
        </w:rPr>
        <w:t xml:space="preserve"> </w:t>
      </w:r>
      <w:r w:rsidRPr="00E62054">
        <w:rPr>
          <w:rFonts w:cs="Arial" w:hint="cs"/>
          <w:rtl/>
        </w:rPr>
        <w:t>שיירות</w:t>
      </w:r>
      <w:r w:rsidRPr="00E62054">
        <w:rPr>
          <w:rFonts w:cs="Arial"/>
          <w:rtl/>
        </w:rPr>
        <w:t xml:space="preserve"> </w:t>
      </w:r>
      <w:r w:rsidRPr="00E62054">
        <w:rPr>
          <w:rFonts w:cs="Arial" w:hint="cs"/>
          <w:rtl/>
        </w:rPr>
        <w:t>מצויות</w:t>
      </w:r>
      <w:r w:rsidRPr="00E62054">
        <w:rPr>
          <w:rFonts w:cs="Arial"/>
          <w:rtl/>
        </w:rPr>
        <w:t xml:space="preserve"> </w:t>
      </w:r>
      <w:r w:rsidRPr="00E62054">
        <w:rPr>
          <w:rFonts w:cs="Arial" w:hint="cs"/>
          <w:rtl/>
        </w:rPr>
        <w:t>והוחזקו</w:t>
      </w:r>
      <w:r>
        <w:rPr>
          <w:rFonts w:cs="Arial" w:hint="cs"/>
          <w:rtl/>
        </w:rPr>
        <w:t>,</w:t>
      </w:r>
      <w:r w:rsidRPr="00E62054">
        <w:rPr>
          <w:rFonts w:cs="Arial"/>
          <w:rtl/>
        </w:rPr>
        <w:t xml:space="preserve"> </w:t>
      </w:r>
      <w:r w:rsidRPr="00E62054">
        <w:rPr>
          <w:rFonts w:cs="Arial" w:hint="cs"/>
          <w:rtl/>
        </w:rPr>
        <w:t>או</w:t>
      </w:r>
      <w:r w:rsidRPr="00E62054">
        <w:rPr>
          <w:rFonts w:cs="Arial"/>
          <w:rtl/>
        </w:rPr>
        <w:t xml:space="preserve"> </w:t>
      </w:r>
      <w:r w:rsidRPr="00E62054">
        <w:rPr>
          <w:rFonts w:cs="Arial" w:hint="cs"/>
          <w:rtl/>
        </w:rPr>
        <w:t>בחדא</w:t>
      </w:r>
      <w:r w:rsidRPr="00E62054">
        <w:rPr>
          <w:rFonts w:cs="Arial"/>
          <w:rtl/>
        </w:rPr>
        <w:t xml:space="preserve"> </w:t>
      </w:r>
      <w:r w:rsidRPr="00E62054">
        <w:rPr>
          <w:rFonts w:cs="Arial" w:hint="cs"/>
          <w:rtl/>
        </w:rPr>
        <w:t>מינייהו</w:t>
      </w:r>
      <w:r w:rsidRPr="00E62054">
        <w:rPr>
          <w:rFonts w:cs="Arial"/>
          <w:rtl/>
        </w:rPr>
        <w:t xml:space="preserve"> </w:t>
      </w:r>
      <w:r w:rsidRPr="00E62054">
        <w:rPr>
          <w:rFonts w:cs="Arial" w:hint="cs"/>
          <w:rtl/>
        </w:rPr>
        <w:t>וכפי</w:t>
      </w:r>
      <w:r w:rsidRPr="00E62054">
        <w:rPr>
          <w:rFonts w:cs="Arial"/>
          <w:rtl/>
        </w:rPr>
        <w:t xml:space="preserve"> </w:t>
      </w:r>
      <w:r w:rsidRPr="00E62054">
        <w:rPr>
          <w:rFonts w:cs="Arial" w:hint="cs"/>
          <w:rtl/>
        </w:rPr>
        <w:t>מחלוקתן</w:t>
      </w:r>
      <w:r w:rsidRPr="00E62054">
        <w:rPr>
          <w:rFonts w:cs="Arial"/>
          <w:rtl/>
        </w:rPr>
        <w:t xml:space="preserve"> </w:t>
      </w:r>
      <w:r w:rsidRPr="00E62054">
        <w:rPr>
          <w:rFonts w:cs="Arial" w:hint="cs"/>
          <w:rtl/>
        </w:rPr>
        <w:t>של</w:t>
      </w:r>
      <w:r w:rsidRPr="00E62054">
        <w:rPr>
          <w:rFonts w:cs="Arial"/>
          <w:rtl/>
        </w:rPr>
        <w:t xml:space="preserve"> </w:t>
      </w:r>
      <w:r w:rsidRPr="00E62054">
        <w:rPr>
          <w:rFonts w:cs="Arial" w:hint="cs"/>
          <w:rtl/>
        </w:rPr>
        <w:t>ראשונים</w:t>
      </w:r>
      <w:r w:rsidRPr="00E62054">
        <w:rPr>
          <w:rFonts w:cs="Arial"/>
          <w:rtl/>
        </w:rPr>
        <w:t xml:space="preserve"> </w:t>
      </w:r>
      <w:r w:rsidRPr="00E62054">
        <w:rPr>
          <w:rFonts w:cs="Arial" w:hint="cs"/>
          <w:rtl/>
        </w:rPr>
        <w:t>בזה</w:t>
      </w:r>
      <w:r>
        <w:rPr>
          <w:rFonts w:cs="Arial" w:hint="cs"/>
          <w:rtl/>
        </w:rPr>
        <w:t>.</w:t>
      </w:r>
      <w:r w:rsidRPr="00E62054">
        <w:rPr>
          <w:rFonts w:cs="Arial"/>
          <w:rtl/>
        </w:rPr>
        <w:t xml:space="preserve"> </w:t>
      </w:r>
      <w:r w:rsidRPr="00E62054">
        <w:rPr>
          <w:rFonts w:cs="Arial" w:hint="cs"/>
          <w:rtl/>
        </w:rPr>
        <w:t>הילכך</w:t>
      </w:r>
      <w:r w:rsidRPr="00E62054">
        <w:rPr>
          <w:rFonts w:cs="Arial"/>
          <w:rtl/>
        </w:rPr>
        <w:t xml:space="preserve"> </w:t>
      </w:r>
      <w:r w:rsidRPr="00E62054">
        <w:rPr>
          <w:rFonts w:cs="Arial" w:hint="cs"/>
          <w:rtl/>
        </w:rPr>
        <w:t>בנדון</w:t>
      </w:r>
      <w:r w:rsidRPr="00E62054">
        <w:rPr>
          <w:rFonts w:cs="Arial"/>
          <w:rtl/>
        </w:rPr>
        <w:t xml:space="preserve"> </w:t>
      </w:r>
      <w:r w:rsidRPr="00E62054">
        <w:rPr>
          <w:rFonts w:cs="Arial" w:hint="cs"/>
          <w:rtl/>
        </w:rPr>
        <w:t>זה</w:t>
      </w:r>
      <w:r w:rsidRPr="00E62054">
        <w:rPr>
          <w:rFonts w:cs="Arial"/>
          <w:rtl/>
        </w:rPr>
        <w:t xml:space="preserve"> </w:t>
      </w:r>
      <w:r w:rsidRPr="00E62054">
        <w:rPr>
          <w:rFonts w:cs="Arial" w:hint="cs"/>
          <w:rtl/>
        </w:rPr>
        <w:t>שלפנינו</w:t>
      </w:r>
      <w:r w:rsidRPr="00E62054">
        <w:rPr>
          <w:rFonts w:cs="Arial"/>
          <w:rtl/>
        </w:rPr>
        <w:t xml:space="preserve"> </w:t>
      </w:r>
      <w:r w:rsidRPr="00E62054">
        <w:rPr>
          <w:rFonts w:cs="Arial" w:hint="cs"/>
          <w:rtl/>
        </w:rPr>
        <w:t>אין</w:t>
      </w:r>
      <w:r w:rsidRPr="00E62054">
        <w:rPr>
          <w:rFonts w:cs="Arial"/>
          <w:rtl/>
        </w:rPr>
        <w:t xml:space="preserve"> </w:t>
      </w:r>
      <w:r w:rsidRPr="00E62054">
        <w:rPr>
          <w:rFonts w:cs="Arial" w:hint="cs"/>
          <w:rtl/>
        </w:rPr>
        <w:t>כתיבת</w:t>
      </w:r>
      <w:r w:rsidRPr="00E62054">
        <w:rPr>
          <w:rFonts w:cs="Arial"/>
          <w:rtl/>
        </w:rPr>
        <w:t xml:space="preserve"> </w:t>
      </w:r>
      <w:r w:rsidRPr="00E62054">
        <w:rPr>
          <w:rFonts w:cs="Arial" w:hint="cs"/>
          <w:rtl/>
        </w:rPr>
        <w:t>הנהרות</w:t>
      </w:r>
      <w:r w:rsidRPr="00E62054">
        <w:rPr>
          <w:rFonts w:cs="Arial"/>
          <w:rtl/>
        </w:rPr>
        <w:t xml:space="preserve"> </w:t>
      </w:r>
      <w:r w:rsidRPr="00E62054">
        <w:rPr>
          <w:rFonts w:cs="Arial" w:hint="cs"/>
          <w:rtl/>
        </w:rPr>
        <w:t>מעכבת</w:t>
      </w:r>
      <w:r>
        <w:rPr>
          <w:rFonts w:cs="Arial" w:hint="cs"/>
          <w:rtl/>
        </w:rPr>
        <w:t>.</w:t>
      </w:r>
      <w:r w:rsidRPr="00E62054">
        <w:rPr>
          <w:rFonts w:cs="Arial"/>
          <w:rtl/>
        </w:rPr>
        <w:t xml:space="preserve"> </w:t>
      </w:r>
      <w:r w:rsidRPr="00E62054">
        <w:rPr>
          <w:rFonts w:cs="Arial" w:hint="cs"/>
          <w:rtl/>
        </w:rPr>
        <w:t>ואע</w:t>
      </w:r>
      <w:r>
        <w:rPr>
          <w:rFonts w:cs="Arial" w:hint="cs"/>
          <w:rtl/>
        </w:rPr>
        <w:t>"</w:t>
      </w:r>
      <w:r w:rsidRPr="00E62054">
        <w:rPr>
          <w:rFonts w:cs="Arial" w:hint="cs"/>
          <w:rtl/>
        </w:rPr>
        <w:t>פ</w:t>
      </w:r>
      <w:r w:rsidRPr="00E62054">
        <w:rPr>
          <w:rFonts w:cs="Arial"/>
          <w:rtl/>
        </w:rPr>
        <w:t xml:space="preserve"> </w:t>
      </w:r>
      <w:r w:rsidRPr="00E62054">
        <w:rPr>
          <w:rFonts w:cs="Arial" w:hint="cs"/>
          <w:rtl/>
        </w:rPr>
        <w:t>שמקצת</w:t>
      </w:r>
      <w:r w:rsidRPr="00E62054">
        <w:rPr>
          <w:rFonts w:cs="Arial"/>
          <w:rtl/>
        </w:rPr>
        <w:t xml:space="preserve"> </w:t>
      </w:r>
      <w:r w:rsidRPr="00E62054">
        <w:rPr>
          <w:rFonts w:cs="Arial" w:hint="cs"/>
          <w:rtl/>
        </w:rPr>
        <w:t>ראשונים</w:t>
      </w:r>
      <w:r w:rsidRPr="00E62054">
        <w:rPr>
          <w:rFonts w:cs="Arial"/>
          <w:rtl/>
        </w:rPr>
        <w:t xml:space="preserve"> </w:t>
      </w:r>
      <w:r w:rsidRPr="00E62054">
        <w:rPr>
          <w:rFonts w:cs="Arial" w:hint="cs"/>
          <w:rtl/>
        </w:rPr>
        <w:t>ז</w:t>
      </w:r>
      <w:r w:rsidRPr="00E62054">
        <w:rPr>
          <w:rFonts w:cs="Arial"/>
          <w:rtl/>
        </w:rPr>
        <w:t>"</w:t>
      </w:r>
      <w:r w:rsidRPr="00E62054">
        <w:rPr>
          <w:rFonts w:cs="Arial" w:hint="cs"/>
          <w:rtl/>
        </w:rPr>
        <w:t>ל</w:t>
      </w:r>
      <w:r w:rsidRPr="00E62054">
        <w:rPr>
          <w:rFonts w:cs="Arial"/>
          <w:rtl/>
        </w:rPr>
        <w:t xml:space="preserve"> </w:t>
      </w:r>
      <w:r w:rsidRPr="00E62054">
        <w:rPr>
          <w:rFonts w:cs="Arial" w:hint="cs"/>
          <w:rtl/>
        </w:rPr>
        <w:t>הזכירום</w:t>
      </w:r>
      <w:r w:rsidRPr="00E62054">
        <w:rPr>
          <w:rFonts w:cs="Arial"/>
          <w:rtl/>
        </w:rPr>
        <w:t xml:space="preserve"> </w:t>
      </w:r>
      <w:r w:rsidRPr="00E62054">
        <w:rPr>
          <w:rFonts w:cs="Arial" w:hint="cs"/>
          <w:rtl/>
        </w:rPr>
        <w:t>בטופסי</w:t>
      </w:r>
      <w:r w:rsidRPr="00E62054">
        <w:rPr>
          <w:rFonts w:cs="Arial"/>
          <w:rtl/>
        </w:rPr>
        <w:t xml:space="preserve"> </w:t>
      </w:r>
      <w:r w:rsidRPr="00E62054">
        <w:rPr>
          <w:rFonts w:cs="Arial" w:hint="cs"/>
          <w:rtl/>
        </w:rPr>
        <w:t>גיטין</w:t>
      </w:r>
      <w:r w:rsidRPr="00E62054">
        <w:rPr>
          <w:rFonts w:cs="Arial"/>
          <w:rtl/>
        </w:rPr>
        <w:t xml:space="preserve"> </w:t>
      </w:r>
      <w:r w:rsidRPr="00E62054">
        <w:rPr>
          <w:rFonts w:cs="Arial" w:hint="cs"/>
          <w:rtl/>
        </w:rPr>
        <w:t>שלהם</w:t>
      </w:r>
      <w:r>
        <w:rPr>
          <w:rFonts w:cs="Arial" w:hint="cs"/>
          <w:rtl/>
        </w:rPr>
        <w:t xml:space="preserve">, </w:t>
      </w:r>
      <w:r w:rsidRPr="00E62054">
        <w:rPr>
          <w:rFonts w:cs="Arial" w:hint="cs"/>
          <w:rtl/>
        </w:rPr>
        <w:t>לרווחא</w:t>
      </w:r>
      <w:r w:rsidRPr="00E62054">
        <w:rPr>
          <w:rFonts w:cs="Arial"/>
          <w:rtl/>
        </w:rPr>
        <w:t xml:space="preserve"> </w:t>
      </w:r>
      <w:r w:rsidRPr="00E62054">
        <w:rPr>
          <w:rFonts w:cs="Arial" w:hint="cs"/>
          <w:rtl/>
        </w:rPr>
        <w:t>דמילתא</w:t>
      </w:r>
      <w:r w:rsidRPr="00E62054">
        <w:rPr>
          <w:rFonts w:cs="Arial"/>
          <w:rtl/>
        </w:rPr>
        <w:t xml:space="preserve"> </w:t>
      </w:r>
      <w:r w:rsidRPr="00E62054">
        <w:rPr>
          <w:rFonts w:cs="Arial" w:hint="cs"/>
          <w:rtl/>
        </w:rPr>
        <w:t>תקנו</w:t>
      </w:r>
      <w:r w:rsidRPr="00E62054">
        <w:rPr>
          <w:rFonts w:cs="Arial"/>
          <w:rtl/>
        </w:rPr>
        <w:t xml:space="preserve"> </w:t>
      </w:r>
      <w:r w:rsidRPr="00E62054">
        <w:rPr>
          <w:rFonts w:cs="Arial" w:hint="cs"/>
          <w:rtl/>
        </w:rPr>
        <w:t>כך</w:t>
      </w:r>
      <w:r>
        <w:rPr>
          <w:rFonts w:cs="Arial" w:hint="cs"/>
          <w:rtl/>
        </w:rPr>
        <w:t>,</w:t>
      </w:r>
      <w:r w:rsidRPr="00E62054">
        <w:rPr>
          <w:rFonts w:cs="Arial"/>
          <w:rtl/>
        </w:rPr>
        <w:t xml:space="preserve"> </w:t>
      </w:r>
      <w:r w:rsidRPr="00E62054">
        <w:rPr>
          <w:rFonts w:cs="Arial" w:hint="cs"/>
          <w:rtl/>
        </w:rPr>
        <w:t>מפני</w:t>
      </w:r>
      <w:r w:rsidRPr="00E62054">
        <w:rPr>
          <w:rFonts w:cs="Arial"/>
          <w:rtl/>
        </w:rPr>
        <w:t xml:space="preserve"> </w:t>
      </w:r>
      <w:r w:rsidRPr="00E62054">
        <w:rPr>
          <w:rFonts w:cs="Arial" w:hint="cs"/>
          <w:rtl/>
        </w:rPr>
        <w:t>קצת</w:t>
      </w:r>
      <w:r w:rsidRPr="00E62054">
        <w:rPr>
          <w:rFonts w:cs="Arial"/>
          <w:rtl/>
        </w:rPr>
        <w:t xml:space="preserve"> </w:t>
      </w:r>
      <w:r w:rsidRPr="00E62054">
        <w:rPr>
          <w:rFonts w:cs="Arial" w:hint="cs"/>
          <w:rtl/>
        </w:rPr>
        <w:t>מקומות</w:t>
      </w:r>
      <w:r w:rsidRPr="00E62054">
        <w:rPr>
          <w:rFonts w:cs="Arial"/>
          <w:rtl/>
        </w:rPr>
        <w:t xml:space="preserve"> </w:t>
      </w:r>
      <w:r w:rsidRPr="00E62054">
        <w:rPr>
          <w:rFonts w:cs="Arial" w:hint="cs"/>
          <w:rtl/>
        </w:rPr>
        <w:t>שוין</w:t>
      </w:r>
      <w:r w:rsidRPr="00E62054">
        <w:rPr>
          <w:rFonts w:cs="Arial"/>
          <w:rtl/>
        </w:rPr>
        <w:t xml:space="preserve"> </w:t>
      </w:r>
      <w:r w:rsidRPr="00E62054">
        <w:rPr>
          <w:rFonts w:cs="Arial" w:hint="cs"/>
          <w:rtl/>
        </w:rPr>
        <w:t>בשמותיהם</w:t>
      </w:r>
      <w:r w:rsidRPr="00E62054">
        <w:rPr>
          <w:rFonts w:cs="Arial"/>
          <w:rtl/>
        </w:rPr>
        <w:t xml:space="preserve"> </w:t>
      </w:r>
      <w:r w:rsidRPr="00E62054">
        <w:rPr>
          <w:rFonts w:cs="Arial" w:hint="cs"/>
          <w:rtl/>
        </w:rPr>
        <w:t>והנהרות</w:t>
      </w:r>
      <w:r w:rsidRPr="00E62054">
        <w:rPr>
          <w:rFonts w:cs="Arial"/>
          <w:rtl/>
        </w:rPr>
        <w:t xml:space="preserve"> </w:t>
      </w:r>
      <w:r w:rsidRPr="00E62054">
        <w:rPr>
          <w:rFonts w:cs="Arial" w:hint="cs"/>
          <w:rtl/>
        </w:rPr>
        <w:t>מבדילין</w:t>
      </w:r>
      <w:r w:rsidRPr="00E62054">
        <w:rPr>
          <w:rFonts w:cs="Arial"/>
          <w:rtl/>
        </w:rPr>
        <w:t xml:space="preserve"> </w:t>
      </w:r>
      <w:r w:rsidRPr="00E62054">
        <w:rPr>
          <w:rFonts w:cs="Arial" w:hint="cs"/>
          <w:rtl/>
        </w:rPr>
        <w:t>אותם</w:t>
      </w:r>
      <w:r>
        <w:rPr>
          <w:rStyle w:val="a7"/>
          <w:rFonts w:cs="Arial"/>
          <w:rtl/>
        </w:rPr>
        <w:footnoteReference w:id="1007"/>
      </w:r>
      <w:r>
        <w:rPr>
          <w:rFonts w:cs="Arial" w:hint="cs"/>
          <w:rtl/>
        </w:rPr>
        <w:t>.</w:t>
      </w:r>
      <w:r w:rsidRPr="00E62054">
        <w:rPr>
          <w:rFonts w:cs="Arial"/>
          <w:rtl/>
        </w:rPr>
        <w:t xml:space="preserve"> </w:t>
      </w:r>
      <w:r w:rsidRPr="00E62054">
        <w:rPr>
          <w:rFonts w:cs="Arial" w:hint="cs"/>
          <w:rtl/>
        </w:rPr>
        <w:t>אבל</w:t>
      </w:r>
      <w:r w:rsidRPr="00E62054">
        <w:rPr>
          <w:rFonts w:cs="Arial"/>
          <w:rtl/>
        </w:rPr>
        <w:t xml:space="preserve"> </w:t>
      </w:r>
      <w:r w:rsidRPr="00E62054">
        <w:rPr>
          <w:rFonts w:cs="Arial" w:hint="cs"/>
          <w:rtl/>
        </w:rPr>
        <w:t>בשאר</w:t>
      </w:r>
      <w:r w:rsidRPr="00E62054">
        <w:rPr>
          <w:rFonts w:cs="Arial"/>
          <w:rtl/>
        </w:rPr>
        <w:t xml:space="preserve"> </w:t>
      </w:r>
      <w:r w:rsidRPr="00E62054">
        <w:rPr>
          <w:rFonts w:cs="Arial" w:hint="cs"/>
          <w:rtl/>
        </w:rPr>
        <w:t>מקומות</w:t>
      </w:r>
      <w:r w:rsidRPr="00E62054">
        <w:rPr>
          <w:rFonts w:cs="Arial"/>
          <w:rtl/>
        </w:rPr>
        <w:t xml:space="preserve"> </w:t>
      </w:r>
      <w:r w:rsidRPr="00E62054">
        <w:rPr>
          <w:rFonts w:cs="Arial" w:hint="cs"/>
          <w:rtl/>
        </w:rPr>
        <w:t>שאין</w:t>
      </w:r>
      <w:r w:rsidRPr="00E62054">
        <w:rPr>
          <w:rFonts w:cs="Arial"/>
          <w:rtl/>
        </w:rPr>
        <w:t xml:space="preserve"> </w:t>
      </w:r>
      <w:r w:rsidRPr="00E62054">
        <w:rPr>
          <w:rFonts w:cs="Arial" w:hint="cs"/>
          <w:rtl/>
        </w:rPr>
        <w:t>ידועין</w:t>
      </w:r>
      <w:r w:rsidRPr="00E62054">
        <w:rPr>
          <w:rFonts w:cs="Arial"/>
          <w:rtl/>
        </w:rPr>
        <w:t xml:space="preserve"> </w:t>
      </w:r>
      <w:r w:rsidRPr="00E62054">
        <w:rPr>
          <w:rFonts w:cs="Arial" w:hint="cs"/>
          <w:rtl/>
        </w:rPr>
        <w:t>בכך</w:t>
      </w:r>
      <w:r>
        <w:rPr>
          <w:rFonts w:cs="Arial" w:hint="cs"/>
          <w:rtl/>
        </w:rPr>
        <w:t>,</w:t>
      </w:r>
      <w:r w:rsidRPr="00E62054">
        <w:rPr>
          <w:rFonts w:cs="Arial"/>
          <w:rtl/>
        </w:rPr>
        <w:t xml:space="preserve"> </w:t>
      </w:r>
      <w:r w:rsidRPr="00E62054">
        <w:rPr>
          <w:rFonts w:cs="Arial" w:hint="cs"/>
          <w:rtl/>
        </w:rPr>
        <w:t>אם</w:t>
      </w:r>
      <w:r w:rsidRPr="00E62054">
        <w:rPr>
          <w:rFonts w:cs="Arial"/>
          <w:rtl/>
        </w:rPr>
        <w:t xml:space="preserve"> </w:t>
      </w:r>
      <w:r w:rsidRPr="00E62054">
        <w:rPr>
          <w:rFonts w:cs="Arial" w:hint="cs"/>
          <w:rtl/>
        </w:rPr>
        <w:t>לא</w:t>
      </w:r>
      <w:r w:rsidRPr="00E62054">
        <w:rPr>
          <w:rFonts w:cs="Arial"/>
          <w:rtl/>
        </w:rPr>
        <w:t xml:space="preserve"> </w:t>
      </w:r>
      <w:r w:rsidRPr="00E62054">
        <w:rPr>
          <w:rFonts w:cs="Arial" w:hint="cs"/>
          <w:rtl/>
        </w:rPr>
        <w:t>נכתב</w:t>
      </w:r>
      <w:r>
        <w:rPr>
          <w:rFonts w:cs="Arial" w:hint="cs"/>
          <w:rtl/>
        </w:rPr>
        <w:t xml:space="preserve"> </w:t>
      </w:r>
      <w:r w:rsidR="00A82951">
        <w:rPr>
          <w:rFonts w:cs="Arial" w:hint="cs"/>
          <w:rtl/>
        </w:rPr>
        <w:t>-</w:t>
      </w:r>
      <w:r w:rsidRPr="00E62054">
        <w:rPr>
          <w:rFonts w:cs="Arial"/>
          <w:rtl/>
        </w:rPr>
        <w:t xml:space="preserve"> </w:t>
      </w:r>
      <w:r w:rsidRPr="00E62054">
        <w:rPr>
          <w:rFonts w:cs="Arial" w:hint="cs"/>
          <w:rtl/>
        </w:rPr>
        <w:t>לא</w:t>
      </w:r>
      <w:r w:rsidRPr="00E62054">
        <w:rPr>
          <w:rFonts w:cs="Arial"/>
          <w:rtl/>
        </w:rPr>
        <w:t xml:space="preserve"> </w:t>
      </w:r>
      <w:r w:rsidRPr="00E62054">
        <w:rPr>
          <w:rFonts w:cs="Arial" w:hint="cs"/>
          <w:rtl/>
        </w:rPr>
        <w:t>עכב</w:t>
      </w:r>
      <w:r>
        <w:rPr>
          <w:rFonts w:cs="Arial" w:hint="cs"/>
          <w:rtl/>
        </w:rPr>
        <w:t xml:space="preserve">. </w:t>
      </w:r>
      <w:r w:rsidRPr="00EB4A74">
        <w:rPr>
          <w:rFonts w:cs="Arial" w:hint="cs"/>
          <w:color w:val="00B0F0"/>
          <w:rtl/>
        </w:rPr>
        <w:t>(וכ"פ הרמ"א)</w:t>
      </w:r>
    </w:p>
    <w:p w14:paraId="3744F7DB" w14:textId="77777777" w:rsidR="00FA2119" w:rsidRPr="005020A8" w:rsidRDefault="00FA2119" w:rsidP="00FA2119">
      <w:pPr>
        <w:rPr>
          <w:rFonts w:cs="Arial"/>
        </w:rPr>
      </w:pPr>
      <w:r w:rsidRPr="005020A8">
        <w:rPr>
          <w:rFonts w:cs="Arial" w:hint="cs"/>
          <w:u w:val="single"/>
          <w:rtl/>
        </w:rPr>
        <w:t>גט שכתבו את שם העיר בשם הנהר:</w:t>
      </w:r>
      <w:r>
        <w:rPr>
          <w:rFonts w:cs="Arial" w:hint="cs"/>
          <w:rtl/>
        </w:rPr>
        <w:t xml:space="preserve"> </w:t>
      </w:r>
      <w:r w:rsidRPr="005020A8">
        <w:rPr>
          <w:rFonts w:cs="Arial" w:hint="cs"/>
          <w:sz w:val="16"/>
          <w:szCs w:val="16"/>
          <w:rtl/>
        </w:rPr>
        <w:t>(דרכ"מ אות יח</w:t>
      </w:r>
      <w:r>
        <w:rPr>
          <w:rFonts w:cs="Arial" w:hint="cs"/>
          <w:sz w:val="16"/>
          <w:szCs w:val="16"/>
          <w:rtl/>
        </w:rPr>
        <w:t>)</w:t>
      </w:r>
    </w:p>
    <w:p w14:paraId="6BE56E6A" w14:textId="206AAAEF" w:rsidR="00FA2119" w:rsidRPr="00125DB5" w:rsidRDefault="00FA2119" w:rsidP="00FA2119">
      <w:pPr>
        <w:pStyle w:val="ab"/>
        <w:numPr>
          <w:ilvl w:val="0"/>
          <w:numId w:val="61"/>
        </w:numPr>
        <w:rPr>
          <w:rFonts w:cs="Arial"/>
          <w:rtl/>
        </w:rPr>
      </w:pPr>
      <w:r w:rsidRPr="0090777D">
        <w:rPr>
          <w:rFonts w:cs="Arial" w:hint="cs"/>
          <w:rtl/>
        </w:rPr>
        <w:t>בנימ</w:t>
      </w:r>
      <w:r>
        <w:rPr>
          <w:rFonts w:cs="Arial" w:hint="cs"/>
          <w:rtl/>
        </w:rPr>
        <w:t>י</w:t>
      </w:r>
      <w:r w:rsidRPr="0090777D">
        <w:rPr>
          <w:rFonts w:cs="Arial" w:hint="cs"/>
          <w:rtl/>
        </w:rPr>
        <w:t>ן</w:t>
      </w:r>
      <w:r w:rsidRPr="0090777D">
        <w:rPr>
          <w:rFonts w:cs="Arial"/>
          <w:rtl/>
        </w:rPr>
        <w:t xml:space="preserve"> </w:t>
      </w:r>
      <w:r w:rsidRPr="0090777D">
        <w:rPr>
          <w:rFonts w:cs="Arial" w:hint="cs"/>
          <w:rtl/>
        </w:rPr>
        <w:t>זאב</w:t>
      </w:r>
      <w:r w:rsidRPr="0090777D">
        <w:rPr>
          <w:rFonts w:cs="Arial"/>
          <w:rtl/>
        </w:rPr>
        <w:t xml:space="preserve"> </w:t>
      </w:r>
      <w:r w:rsidRPr="00EC1F48">
        <w:rPr>
          <w:rFonts w:cs="Arial" w:hint="cs"/>
          <w:sz w:val="16"/>
          <w:szCs w:val="16"/>
          <w:rtl/>
        </w:rPr>
        <w:t>(סי'</w:t>
      </w:r>
      <w:r w:rsidRPr="00EC1F48">
        <w:rPr>
          <w:rFonts w:cs="Arial"/>
          <w:sz w:val="16"/>
          <w:szCs w:val="16"/>
          <w:rtl/>
        </w:rPr>
        <w:t xml:space="preserve"> </w:t>
      </w:r>
      <w:r w:rsidRPr="00EC1F48">
        <w:rPr>
          <w:rFonts w:cs="Arial" w:hint="cs"/>
          <w:sz w:val="16"/>
          <w:szCs w:val="16"/>
          <w:rtl/>
        </w:rPr>
        <w:t>קח)</w:t>
      </w:r>
      <w:r w:rsidR="00A82951">
        <w:rPr>
          <w:rFonts w:cs="Arial" w:hint="cs"/>
          <w:rtl/>
        </w:rPr>
        <w:t>-</w:t>
      </w:r>
      <w:r w:rsidRPr="0090777D">
        <w:rPr>
          <w:rFonts w:cs="Arial"/>
          <w:rtl/>
        </w:rPr>
        <w:t xml:space="preserve"> </w:t>
      </w:r>
      <w:r w:rsidRPr="0090777D">
        <w:rPr>
          <w:rFonts w:cs="Arial" w:hint="cs"/>
          <w:rtl/>
        </w:rPr>
        <w:t>מעשה</w:t>
      </w:r>
      <w:r w:rsidRPr="0090777D">
        <w:rPr>
          <w:rFonts w:cs="Arial"/>
          <w:rtl/>
        </w:rPr>
        <w:t xml:space="preserve"> </w:t>
      </w:r>
      <w:r w:rsidRPr="0090777D">
        <w:rPr>
          <w:rFonts w:cs="Arial" w:hint="cs"/>
          <w:rtl/>
        </w:rPr>
        <w:t>שכתבו</w:t>
      </w:r>
      <w:r w:rsidRPr="0090777D">
        <w:rPr>
          <w:rFonts w:cs="Arial"/>
          <w:rtl/>
        </w:rPr>
        <w:t xml:space="preserve"> </w:t>
      </w:r>
      <w:r w:rsidRPr="0090777D">
        <w:rPr>
          <w:rFonts w:cs="Arial" w:hint="cs"/>
          <w:rtl/>
        </w:rPr>
        <w:t>בגט</w:t>
      </w:r>
      <w:r w:rsidRPr="0090777D">
        <w:rPr>
          <w:rFonts w:cs="Arial"/>
          <w:rtl/>
        </w:rPr>
        <w:t xml:space="preserve"> </w:t>
      </w:r>
      <w:r w:rsidRPr="0090777D">
        <w:rPr>
          <w:rFonts w:cs="Arial" w:hint="cs"/>
          <w:rtl/>
        </w:rPr>
        <w:t>בעיר</w:t>
      </w:r>
      <w:r w:rsidRPr="0090777D">
        <w:rPr>
          <w:rFonts w:cs="Arial"/>
          <w:rtl/>
        </w:rPr>
        <w:t xml:space="preserve"> </w:t>
      </w:r>
      <w:r w:rsidRPr="0090777D">
        <w:rPr>
          <w:rFonts w:cs="Arial" w:hint="cs"/>
          <w:rtl/>
        </w:rPr>
        <w:t>אר</w:t>
      </w:r>
      <w:r w:rsidRPr="0090777D">
        <w:rPr>
          <w:rFonts w:cs="Arial"/>
          <w:rtl/>
        </w:rPr>
        <w:t>"</w:t>
      </w:r>
      <w:r w:rsidRPr="0090777D">
        <w:rPr>
          <w:rFonts w:cs="Arial" w:hint="cs"/>
          <w:rtl/>
        </w:rPr>
        <w:t>ט</w:t>
      </w:r>
      <w:r w:rsidR="0067010F">
        <w:rPr>
          <w:rFonts w:cs="Arial" w:hint="cs"/>
          <w:rtl/>
        </w:rPr>
        <w:t>,</w:t>
      </w:r>
      <w:r w:rsidRPr="0090777D">
        <w:rPr>
          <w:rFonts w:cs="Arial"/>
          <w:rtl/>
        </w:rPr>
        <w:t xml:space="preserve"> </w:t>
      </w:r>
      <w:r w:rsidRPr="0090777D">
        <w:rPr>
          <w:rFonts w:cs="Arial" w:hint="cs"/>
          <w:rtl/>
        </w:rPr>
        <w:t>והיו</w:t>
      </w:r>
      <w:r w:rsidRPr="0090777D">
        <w:rPr>
          <w:rFonts w:cs="Arial"/>
          <w:rtl/>
        </w:rPr>
        <w:t xml:space="preserve"> </w:t>
      </w:r>
      <w:r w:rsidRPr="0090777D">
        <w:rPr>
          <w:rFonts w:cs="Arial" w:hint="cs"/>
          <w:rtl/>
        </w:rPr>
        <w:t>רגילין</w:t>
      </w:r>
      <w:r w:rsidRPr="0090777D">
        <w:rPr>
          <w:rFonts w:cs="Arial"/>
          <w:rtl/>
        </w:rPr>
        <w:t xml:space="preserve"> </w:t>
      </w:r>
      <w:r w:rsidRPr="0090777D">
        <w:rPr>
          <w:rFonts w:cs="Arial" w:hint="cs"/>
          <w:rtl/>
        </w:rPr>
        <w:t>לכתוב</w:t>
      </w:r>
      <w:r w:rsidRPr="0090777D">
        <w:rPr>
          <w:rFonts w:cs="Arial"/>
          <w:rtl/>
        </w:rPr>
        <w:t xml:space="preserve"> </w:t>
      </w:r>
      <w:r w:rsidRPr="0090777D">
        <w:rPr>
          <w:rFonts w:cs="Arial" w:hint="cs"/>
          <w:rtl/>
        </w:rPr>
        <w:t>מתא</w:t>
      </w:r>
      <w:r w:rsidRPr="0090777D">
        <w:rPr>
          <w:rFonts w:cs="Arial"/>
          <w:rtl/>
        </w:rPr>
        <w:t xml:space="preserve"> </w:t>
      </w:r>
      <w:r w:rsidRPr="0090777D">
        <w:rPr>
          <w:rFonts w:cs="Arial" w:hint="cs"/>
          <w:rtl/>
        </w:rPr>
        <w:t>קריינ</w:t>
      </w:r>
      <w:r w:rsidRPr="0090777D">
        <w:rPr>
          <w:rFonts w:cs="Arial"/>
          <w:rtl/>
        </w:rPr>
        <w:t>"</w:t>
      </w:r>
      <w:r w:rsidRPr="0090777D">
        <w:rPr>
          <w:rFonts w:cs="Arial" w:hint="cs"/>
          <w:rtl/>
        </w:rPr>
        <w:t>א</w:t>
      </w:r>
      <w:r w:rsidRPr="0090777D">
        <w:rPr>
          <w:rFonts w:cs="Arial"/>
          <w:rtl/>
        </w:rPr>
        <w:t xml:space="preserve"> </w:t>
      </w:r>
      <w:r w:rsidRPr="0090777D">
        <w:rPr>
          <w:rFonts w:cs="Arial" w:hint="cs"/>
          <w:rtl/>
        </w:rPr>
        <w:t>דיתבא</w:t>
      </w:r>
      <w:r w:rsidRPr="0090777D">
        <w:rPr>
          <w:rFonts w:cs="Arial"/>
          <w:rtl/>
        </w:rPr>
        <w:t xml:space="preserve"> </w:t>
      </w:r>
      <w:r w:rsidRPr="0090777D">
        <w:rPr>
          <w:rFonts w:cs="Arial" w:hint="cs"/>
          <w:rtl/>
        </w:rPr>
        <w:t>על</w:t>
      </w:r>
      <w:r w:rsidRPr="0090777D">
        <w:rPr>
          <w:rFonts w:cs="Arial"/>
          <w:rtl/>
        </w:rPr>
        <w:t xml:space="preserve"> </w:t>
      </w:r>
      <w:r w:rsidRPr="0090777D">
        <w:rPr>
          <w:rFonts w:cs="Arial" w:hint="cs"/>
          <w:rtl/>
        </w:rPr>
        <w:t>נהר</w:t>
      </w:r>
      <w:r w:rsidRPr="0090777D">
        <w:rPr>
          <w:rFonts w:cs="Arial"/>
          <w:rtl/>
        </w:rPr>
        <w:t xml:space="preserve"> </w:t>
      </w:r>
      <w:r w:rsidRPr="0090777D">
        <w:rPr>
          <w:rFonts w:cs="Arial" w:hint="cs"/>
          <w:rtl/>
        </w:rPr>
        <w:t>אר</w:t>
      </w:r>
      <w:r w:rsidRPr="0090777D">
        <w:rPr>
          <w:rFonts w:cs="Arial"/>
          <w:rtl/>
        </w:rPr>
        <w:t>"</w:t>
      </w:r>
      <w:r w:rsidRPr="0090777D">
        <w:rPr>
          <w:rFonts w:cs="Arial" w:hint="cs"/>
          <w:rtl/>
        </w:rPr>
        <w:t>ט</w:t>
      </w:r>
      <w:r>
        <w:rPr>
          <w:rFonts w:cs="Arial" w:hint="cs"/>
          <w:rtl/>
        </w:rPr>
        <w:t>,</w:t>
      </w:r>
      <w:r w:rsidRPr="0090777D">
        <w:rPr>
          <w:rFonts w:cs="Arial"/>
          <w:rtl/>
        </w:rPr>
        <w:t xml:space="preserve"> </w:t>
      </w:r>
      <w:r w:rsidRPr="0090777D">
        <w:rPr>
          <w:rFonts w:cs="Arial" w:hint="cs"/>
          <w:rtl/>
        </w:rPr>
        <w:t>והכשירוהו</w:t>
      </w:r>
      <w:r w:rsidRPr="0090777D">
        <w:rPr>
          <w:rFonts w:cs="Arial"/>
          <w:rtl/>
        </w:rPr>
        <w:t xml:space="preserve"> </w:t>
      </w:r>
      <w:r w:rsidRPr="0090777D">
        <w:rPr>
          <w:rFonts w:cs="Arial" w:hint="cs"/>
          <w:rtl/>
        </w:rPr>
        <w:t>משום</w:t>
      </w:r>
      <w:r w:rsidRPr="0090777D">
        <w:rPr>
          <w:rFonts w:cs="Arial"/>
          <w:rtl/>
        </w:rPr>
        <w:t xml:space="preserve"> </w:t>
      </w:r>
      <w:r w:rsidRPr="0090777D">
        <w:rPr>
          <w:rFonts w:cs="Arial" w:hint="cs"/>
          <w:rtl/>
        </w:rPr>
        <w:t>דרגילי</w:t>
      </w:r>
      <w:r w:rsidRPr="0090777D">
        <w:rPr>
          <w:rFonts w:cs="Arial"/>
          <w:rtl/>
        </w:rPr>
        <w:t xml:space="preserve"> </w:t>
      </w:r>
      <w:r w:rsidRPr="0090777D">
        <w:rPr>
          <w:rFonts w:cs="Arial" w:hint="cs"/>
          <w:rtl/>
        </w:rPr>
        <w:t>אינשי</w:t>
      </w:r>
      <w:r w:rsidRPr="0090777D">
        <w:rPr>
          <w:rFonts w:cs="Arial"/>
          <w:rtl/>
        </w:rPr>
        <w:t xml:space="preserve"> </w:t>
      </w:r>
      <w:r w:rsidRPr="0090777D">
        <w:rPr>
          <w:rFonts w:cs="Arial" w:hint="cs"/>
          <w:rtl/>
        </w:rPr>
        <w:t>למיקרי</w:t>
      </w:r>
      <w:r w:rsidRPr="0090777D">
        <w:rPr>
          <w:rFonts w:cs="Arial"/>
          <w:rtl/>
        </w:rPr>
        <w:t xml:space="preserve"> </w:t>
      </w:r>
      <w:r w:rsidRPr="0090777D">
        <w:rPr>
          <w:rFonts w:cs="Arial" w:hint="cs"/>
          <w:rtl/>
        </w:rPr>
        <w:t>העיר</w:t>
      </w:r>
      <w:r w:rsidRPr="0090777D">
        <w:rPr>
          <w:rFonts w:cs="Arial"/>
          <w:rtl/>
        </w:rPr>
        <w:t xml:space="preserve"> </w:t>
      </w:r>
      <w:r w:rsidRPr="0090777D">
        <w:rPr>
          <w:rFonts w:cs="Arial" w:hint="cs"/>
          <w:rtl/>
        </w:rPr>
        <w:t>אר</w:t>
      </w:r>
      <w:r w:rsidRPr="0090777D">
        <w:rPr>
          <w:rFonts w:cs="Arial"/>
          <w:rtl/>
        </w:rPr>
        <w:t>"</w:t>
      </w:r>
      <w:r w:rsidRPr="0090777D">
        <w:rPr>
          <w:rFonts w:cs="Arial" w:hint="cs"/>
          <w:rtl/>
        </w:rPr>
        <w:t>ט</w:t>
      </w:r>
      <w:r w:rsidRPr="005020A8">
        <w:rPr>
          <w:rFonts w:cs="Arial"/>
          <w:rtl/>
        </w:rPr>
        <w:t xml:space="preserve">. </w:t>
      </w:r>
    </w:p>
    <w:p w14:paraId="5BC9BAE3"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5138355" w14:textId="77777777" w:rsidR="00FA2119" w:rsidRDefault="00FA2119" w:rsidP="00FA2119">
      <w:pPr>
        <w:rPr>
          <w:rtl/>
        </w:rPr>
      </w:pPr>
      <w:r>
        <w:rPr>
          <w:rFonts w:cs="Arial" w:hint="cs"/>
          <w:rtl/>
        </w:rPr>
        <w:t>אין צריך</w:t>
      </w:r>
      <w:r>
        <w:rPr>
          <w:rFonts w:cs="Arial"/>
          <w:rtl/>
        </w:rPr>
        <w:t xml:space="preserve"> </w:t>
      </w:r>
      <w:r>
        <w:rPr>
          <w:rFonts w:cs="Arial" w:hint="cs"/>
          <w:rtl/>
        </w:rPr>
        <w:t>לכתוב</w:t>
      </w:r>
      <w:r>
        <w:rPr>
          <w:rFonts w:cs="Arial"/>
          <w:rtl/>
        </w:rPr>
        <w:t xml:space="preserve"> </w:t>
      </w:r>
      <w:r>
        <w:rPr>
          <w:rFonts w:cs="Arial" w:hint="cs"/>
          <w:rtl/>
        </w:rPr>
        <w:t>שם</w:t>
      </w:r>
      <w:r>
        <w:rPr>
          <w:rFonts w:cs="Arial"/>
          <w:rtl/>
        </w:rPr>
        <w:t xml:space="preserve"> </w:t>
      </w:r>
      <w:r>
        <w:rPr>
          <w:rFonts w:cs="Arial" w:hint="cs"/>
          <w:rtl/>
        </w:rPr>
        <w:t>הנהר</w:t>
      </w:r>
      <w:r>
        <w:rPr>
          <w:rFonts w:cs="Arial"/>
          <w:rtl/>
        </w:rPr>
        <w:t xml:space="preserve">, </w:t>
      </w:r>
      <w:r>
        <w:rPr>
          <w:rFonts w:cs="Arial" w:hint="cs"/>
          <w:rtl/>
        </w:rPr>
        <w:t>אבל</w:t>
      </w:r>
      <w:r>
        <w:rPr>
          <w:rFonts w:cs="Arial"/>
          <w:rtl/>
        </w:rPr>
        <w:t xml:space="preserve"> </w:t>
      </w:r>
      <w:r>
        <w:rPr>
          <w:rFonts w:cs="Arial" w:hint="cs"/>
          <w:rtl/>
        </w:rPr>
        <w:t>נהגו</w:t>
      </w:r>
      <w:r>
        <w:rPr>
          <w:rFonts w:cs="Arial"/>
          <w:rtl/>
        </w:rPr>
        <w:t xml:space="preserve"> </w:t>
      </w:r>
      <w:r>
        <w:rPr>
          <w:rFonts w:cs="Arial" w:hint="cs"/>
          <w:rtl/>
        </w:rPr>
        <w:t>לכתבו</w:t>
      </w:r>
      <w:r>
        <w:rPr>
          <w:rFonts w:cs="Arial"/>
          <w:rtl/>
        </w:rPr>
        <w:t xml:space="preserve">. </w:t>
      </w:r>
      <w:r>
        <w:rPr>
          <w:rFonts w:cs="Arial" w:hint="cs"/>
          <w:rtl/>
        </w:rPr>
        <w:t>ואם</w:t>
      </w:r>
      <w:r>
        <w:rPr>
          <w:rFonts w:cs="Arial"/>
          <w:rtl/>
        </w:rPr>
        <w:t xml:space="preserve"> </w:t>
      </w:r>
      <w:r>
        <w:rPr>
          <w:rFonts w:cs="Arial" w:hint="cs"/>
          <w:rtl/>
        </w:rPr>
        <w:t>יש</w:t>
      </w:r>
      <w:r>
        <w:rPr>
          <w:rFonts w:cs="Arial"/>
          <w:rtl/>
        </w:rPr>
        <w:t xml:space="preserve"> </w:t>
      </w:r>
      <w:r>
        <w:rPr>
          <w:rFonts w:cs="Arial" w:hint="cs"/>
          <w:rtl/>
        </w:rPr>
        <w:t>שנים</w:t>
      </w:r>
      <w:r>
        <w:rPr>
          <w:rFonts w:cs="Arial"/>
          <w:rtl/>
        </w:rPr>
        <w:t xml:space="preserve"> </w:t>
      </w:r>
      <w:r>
        <w:rPr>
          <w:rFonts w:cs="Arial" w:hint="cs"/>
          <w:rtl/>
        </w:rPr>
        <w:t>או</w:t>
      </w:r>
      <w:r>
        <w:rPr>
          <w:rFonts w:cs="Arial"/>
          <w:rtl/>
        </w:rPr>
        <w:t xml:space="preserve"> </w:t>
      </w:r>
      <w:r>
        <w:rPr>
          <w:rFonts w:cs="Arial" w:hint="cs"/>
          <w:rtl/>
        </w:rPr>
        <w:t>שלשה</w:t>
      </w:r>
      <w:r>
        <w:rPr>
          <w:rFonts w:cs="Arial"/>
          <w:rtl/>
        </w:rPr>
        <w:t xml:space="preserve"> </w:t>
      </w:r>
      <w:r>
        <w:rPr>
          <w:rFonts w:cs="Arial" w:hint="cs"/>
          <w:rtl/>
        </w:rPr>
        <w:t>נהרות</w:t>
      </w:r>
      <w:r>
        <w:rPr>
          <w:rFonts w:cs="Arial"/>
          <w:rtl/>
        </w:rPr>
        <w:t xml:space="preserve">, </w:t>
      </w:r>
      <w:r>
        <w:rPr>
          <w:rFonts w:cs="Arial" w:hint="cs"/>
          <w:rtl/>
        </w:rPr>
        <w:t>כותבין</w:t>
      </w:r>
      <w:r>
        <w:rPr>
          <w:rFonts w:cs="Arial"/>
          <w:rtl/>
        </w:rPr>
        <w:t xml:space="preserve"> </w:t>
      </w:r>
      <w:r>
        <w:rPr>
          <w:rFonts w:cs="Arial" w:hint="cs"/>
          <w:rtl/>
        </w:rPr>
        <w:t>כלם</w:t>
      </w:r>
      <w:r>
        <w:rPr>
          <w:rStyle w:val="a7"/>
          <w:rFonts w:cs="Arial"/>
          <w:rtl/>
        </w:rPr>
        <w:footnoteReference w:id="1008"/>
      </w:r>
      <w:r>
        <w:rPr>
          <w:rFonts w:cs="Arial"/>
          <w:rtl/>
        </w:rPr>
        <w:t xml:space="preserve">: </w:t>
      </w:r>
      <w:r>
        <w:rPr>
          <w:rFonts w:cs="Arial" w:hint="cs"/>
          <w:rtl/>
        </w:rPr>
        <w:t>דיתבא</w:t>
      </w:r>
      <w:r>
        <w:rPr>
          <w:rFonts w:cs="Arial"/>
          <w:rtl/>
        </w:rPr>
        <w:t xml:space="preserve"> </w:t>
      </w:r>
      <w:r>
        <w:rPr>
          <w:rFonts w:cs="Arial" w:hint="cs"/>
          <w:rtl/>
        </w:rPr>
        <w:t>על</w:t>
      </w:r>
      <w:r>
        <w:rPr>
          <w:rFonts w:cs="Arial"/>
          <w:rtl/>
        </w:rPr>
        <w:t xml:space="preserve"> </w:t>
      </w:r>
      <w:r>
        <w:rPr>
          <w:rFonts w:cs="Arial" w:hint="cs"/>
          <w:rtl/>
        </w:rPr>
        <w:t>נהר</w:t>
      </w:r>
      <w:r>
        <w:rPr>
          <w:rFonts w:cs="Arial"/>
          <w:rtl/>
        </w:rPr>
        <w:t xml:space="preserve"> </w:t>
      </w:r>
      <w:r>
        <w:rPr>
          <w:rFonts w:cs="Arial" w:hint="cs"/>
          <w:rtl/>
        </w:rPr>
        <w:t>פלוני</w:t>
      </w:r>
      <w:r>
        <w:rPr>
          <w:rFonts w:cs="Arial"/>
          <w:rtl/>
        </w:rPr>
        <w:t xml:space="preserve"> </w:t>
      </w:r>
      <w:r>
        <w:rPr>
          <w:rFonts w:cs="Arial" w:hint="cs"/>
          <w:rtl/>
        </w:rPr>
        <w:t>ופלוני</w:t>
      </w:r>
      <w:r>
        <w:rPr>
          <w:rStyle w:val="a7"/>
          <w:rFonts w:cs="Arial"/>
          <w:rtl/>
        </w:rPr>
        <w:footnoteReference w:id="1009"/>
      </w:r>
      <w:r>
        <w:rPr>
          <w:rFonts w:cs="Arial"/>
          <w:rtl/>
        </w:rPr>
        <w:t xml:space="preserve">. </w:t>
      </w:r>
      <w:r w:rsidRPr="00656810">
        <w:rPr>
          <w:rFonts w:cs="Arial" w:hint="cs"/>
          <w:sz w:val="18"/>
          <w:szCs w:val="18"/>
          <w:rtl/>
        </w:rPr>
        <w:t>הגה</w:t>
      </w:r>
      <w:r w:rsidRPr="00656810">
        <w:rPr>
          <w:rFonts w:cs="Arial"/>
          <w:sz w:val="18"/>
          <w:szCs w:val="18"/>
          <w:rtl/>
        </w:rPr>
        <w:t xml:space="preserve">: </w:t>
      </w:r>
      <w:r w:rsidRPr="00656810">
        <w:rPr>
          <w:rFonts w:cs="Arial" w:hint="cs"/>
          <w:sz w:val="18"/>
          <w:szCs w:val="18"/>
          <w:rtl/>
        </w:rPr>
        <w:t>ואם</w:t>
      </w:r>
      <w:r w:rsidRPr="00656810">
        <w:rPr>
          <w:rFonts w:cs="Arial"/>
          <w:sz w:val="18"/>
          <w:szCs w:val="18"/>
          <w:rtl/>
        </w:rPr>
        <w:t xml:space="preserve"> </w:t>
      </w:r>
      <w:r w:rsidRPr="00656810">
        <w:rPr>
          <w:rFonts w:cs="Arial" w:hint="cs"/>
          <w:sz w:val="18"/>
          <w:szCs w:val="18"/>
          <w:rtl/>
        </w:rPr>
        <w:t>לא</w:t>
      </w:r>
      <w:r w:rsidRPr="00656810">
        <w:rPr>
          <w:rFonts w:cs="Arial"/>
          <w:sz w:val="18"/>
          <w:szCs w:val="18"/>
          <w:rtl/>
        </w:rPr>
        <w:t xml:space="preserve"> </w:t>
      </w:r>
      <w:r w:rsidRPr="00656810">
        <w:rPr>
          <w:rFonts w:cs="Arial" w:hint="cs"/>
          <w:sz w:val="18"/>
          <w:szCs w:val="18"/>
          <w:rtl/>
        </w:rPr>
        <w:t>כתב</w:t>
      </w:r>
      <w:r w:rsidRPr="00656810">
        <w:rPr>
          <w:rFonts w:cs="Arial"/>
          <w:sz w:val="18"/>
          <w:szCs w:val="18"/>
          <w:rtl/>
        </w:rPr>
        <w:t xml:space="preserve"> </w:t>
      </w:r>
      <w:r w:rsidRPr="00656810">
        <w:rPr>
          <w:rFonts w:cs="Arial" w:hint="cs"/>
          <w:sz w:val="18"/>
          <w:szCs w:val="18"/>
          <w:rtl/>
        </w:rPr>
        <w:t>שם</w:t>
      </w:r>
      <w:r w:rsidRPr="00656810">
        <w:rPr>
          <w:rFonts w:cs="Arial"/>
          <w:sz w:val="18"/>
          <w:szCs w:val="18"/>
          <w:rtl/>
        </w:rPr>
        <w:t xml:space="preserve"> </w:t>
      </w:r>
      <w:r w:rsidRPr="00656810">
        <w:rPr>
          <w:rFonts w:cs="Arial" w:hint="cs"/>
          <w:sz w:val="18"/>
          <w:szCs w:val="18"/>
          <w:rtl/>
        </w:rPr>
        <w:t>הנהר</w:t>
      </w:r>
      <w:r w:rsidRPr="00656810">
        <w:rPr>
          <w:rFonts w:cs="Arial"/>
          <w:sz w:val="18"/>
          <w:szCs w:val="18"/>
          <w:rtl/>
        </w:rPr>
        <w:t xml:space="preserve"> </w:t>
      </w:r>
      <w:r w:rsidRPr="00656810">
        <w:rPr>
          <w:rFonts w:cs="Arial" w:hint="cs"/>
          <w:sz w:val="18"/>
          <w:szCs w:val="18"/>
          <w:rtl/>
        </w:rPr>
        <w:t>כלל</w:t>
      </w:r>
      <w:r w:rsidRPr="00656810">
        <w:rPr>
          <w:rFonts w:cs="Arial"/>
          <w:sz w:val="18"/>
          <w:szCs w:val="18"/>
          <w:rtl/>
        </w:rPr>
        <w:t xml:space="preserve"> (</w:t>
      </w:r>
      <w:r>
        <w:rPr>
          <w:rFonts w:cs="Arial" w:hint="cs"/>
          <w:sz w:val="18"/>
          <w:szCs w:val="18"/>
          <w:rtl/>
        </w:rPr>
        <w:t>רא"ש זכרון יהודה ו</w:t>
      </w:r>
      <w:r w:rsidRPr="00656810">
        <w:rPr>
          <w:rFonts w:cs="Arial" w:hint="cs"/>
          <w:sz w:val="18"/>
          <w:szCs w:val="18"/>
          <w:rtl/>
        </w:rPr>
        <w:t>ר</w:t>
      </w:r>
      <w:r w:rsidRPr="00656810">
        <w:rPr>
          <w:rFonts w:cs="Arial"/>
          <w:sz w:val="18"/>
          <w:szCs w:val="18"/>
          <w:rtl/>
        </w:rPr>
        <w:t>"</w:t>
      </w:r>
      <w:r w:rsidRPr="00656810">
        <w:rPr>
          <w:rFonts w:cs="Arial" w:hint="cs"/>
          <w:sz w:val="18"/>
          <w:szCs w:val="18"/>
          <w:rtl/>
        </w:rPr>
        <w:t>ן</w:t>
      </w:r>
      <w:r w:rsidRPr="00656810">
        <w:rPr>
          <w:rFonts w:cs="Arial"/>
          <w:sz w:val="18"/>
          <w:szCs w:val="18"/>
          <w:rtl/>
        </w:rPr>
        <w:t xml:space="preserve">), </w:t>
      </w:r>
      <w:r w:rsidRPr="00656810">
        <w:rPr>
          <w:rFonts w:cs="Arial" w:hint="cs"/>
          <w:sz w:val="18"/>
          <w:szCs w:val="18"/>
          <w:rtl/>
        </w:rPr>
        <w:t>או</w:t>
      </w:r>
      <w:r w:rsidRPr="00656810">
        <w:rPr>
          <w:rFonts w:cs="Arial"/>
          <w:sz w:val="18"/>
          <w:szCs w:val="18"/>
          <w:rtl/>
        </w:rPr>
        <w:t xml:space="preserve"> </w:t>
      </w:r>
      <w:r w:rsidRPr="00656810">
        <w:rPr>
          <w:rFonts w:cs="Arial" w:hint="cs"/>
          <w:sz w:val="18"/>
          <w:szCs w:val="18"/>
          <w:rtl/>
        </w:rPr>
        <w:t>ששינה</w:t>
      </w:r>
      <w:r w:rsidRPr="00656810">
        <w:rPr>
          <w:rFonts w:cs="Arial"/>
          <w:sz w:val="18"/>
          <w:szCs w:val="18"/>
          <w:rtl/>
        </w:rPr>
        <w:t xml:space="preserve"> </w:t>
      </w:r>
      <w:r w:rsidRPr="00656810">
        <w:rPr>
          <w:rFonts w:cs="Arial" w:hint="cs"/>
          <w:sz w:val="18"/>
          <w:szCs w:val="18"/>
          <w:rtl/>
        </w:rPr>
        <w:t>בו</w:t>
      </w:r>
      <w:r w:rsidRPr="00656810">
        <w:rPr>
          <w:rFonts w:cs="Arial"/>
          <w:sz w:val="18"/>
          <w:szCs w:val="18"/>
          <w:rtl/>
        </w:rPr>
        <w:t xml:space="preserve"> (</w:t>
      </w:r>
      <w:r w:rsidRPr="00656810">
        <w:rPr>
          <w:rFonts w:cs="Arial" w:hint="cs"/>
          <w:sz w:val="18"/>
          <w:szCs w:val="18"/>
          <w:rtl/>
        </w:rPr>
        <w:t>מהרי</w:t>
      </w:r>
      <w:r w:rsidRPr="00656810">
        <w:rPr>
          <w:rFonts w:cs="Arial"/>
          <w:sz w:val="18"/>
          <w:szCs w:val="18"/>
          <w:rtl/>
        </w:rPr>
        <w:t>"</w:t>
      </w:r>
      <w:r w:rsidRPr="00656810">
        <w:rPr>
          <w:rFonts w:cs="Arial" w:hint="cs"/>
          <w:sz w:val="18"/>
          <w:szCs w:val="18"/>
          <w:rtl/>
        </w:rPr>
        <w:t>ל</w:t>
      </w:r>
      <w:r w:rsidRPr="00656810">
        <w:rPr>
          <w:rFonts w:cs="Arial"/>
          <w:sz w:val="18"/>
          <w:szCs w:val="18"/>
          <w:rtl/>
        </w:rPr>
        <w:t xml:space="preserve">), </w:t>
      </w:r>
      <w:r w:rsidRPr="00656810">
        <w:rPr>
          <w:rFonts w:cs="Arial" w:hint="cs"/>
          <w:sz w:val="18"/>
          <w:szCs w:val="18"/>
          <w:rtl/>
        </w:rPr>
        <w:t>כשר</w:t>
      </w:r>
      <w:r w:rsidRPr="00656810">
        <w:rPr>
          <w:rFonts w:cs="Arial"/>
          <w:sz w:val="18"/>
          <w:szCs w:val="18"/>
          <w:rtl/>
        </w:rPr>
        <w:t xml:space="preserve">. </w:t>
      </w:r>
      <w:r w:rsidRPr="00656810">
        <w:rPr>
          <w:rFonts w:cs="Arial" w:hint="cs"/>
          <w:sz w:val="18"/>
          <w:szCs w:val="18"/>
          <w:rtl/>
        </w:rPr>
        <w:t>וכל</w:t>
      </w:r>
      <w:r w:rsidRPr="00656810">
        <w:rPr>
          <w:rFonts w:cs="Arial"/>
          <w:sz w:val="18"/>
          <w:szCs w:val="18"/>
          <w:rtl/>
        </w:rPr>
        <w:t xml:space="preserve"> </w:t>
      </w:r>
      <w:r w:rsidRPr="00656810">
        <w:rPr>
          <w:rFonts w:cs="Arial" w:hint="cs"/>
          <w:sz w:val="18"/>
          <w:szCs w:val="18"/>
          <w:rtl/>
        </w:rPr>
        <w:t>נהר</w:t>
      </w:r>
      <w:r w:rsidRPr="00656810">
        <w:rPr>
          <w:rFonts w:cs="Arial"/>
          <w:sz w:val="18"/>
          <w:szCs w:val="18"/>
          <w:rtl/>
        </w:rPr>
        <w:t xml:space="preserve"> </w:t>
      </w:r>
      <w:r w:rsidRPr="00656810">
        <w:rPr>
          <w:rFonts w:cs="Arial" w:hint="cs"/>
          <w:sz w:val="18"/>
          <w:szCs w:val="18"/>
          <w:rtl/>
        </w:rPr>
        <w:t>שהוא</w:t>
      </w:r>
      <w:r w:rsidRPr="00656810">
        <w:rPr>
          <w:rFonts w:cs="Arial"/>
          <w:sz w:val="18"/>
          <w:szCs w:val="18"/>
          <w:rtl/>
        </w:rPr>
        <w:t xml:space="preserve"> </w:t>
      </w:r>
      <w:r w:rsidRPr="00656810">
        <w:rPr>
          <w:rFonts w:cs="Arial" w:hint="cs"/>
          <w:sz w:val="18"/>
          <w:szCs w:val="18"/>
          <w:rtl/>
        </w:rPr>
        <w:t>חוץ</w:t>
      </w:r>
      <w:r w:rsidRPr="00656810">
        <w:rPr>
          <w:rFonts w:cs="Arial"/>
          <w:sz w:val="18"/>
          <w:szCs w:val="18"/>
          <w:rtl/>
        </w:rPr>
        <w:t xml:space="preserve"> </w:t>
      </w:r>
      <w:r w:rsidRPr="00656810">
        <w:rPr>
          <w:rFonts w:cs="Arial" w:hint="cs"/>
          <w:sz w:val="18"/>
          <w:szCs w:val="18"/>
          <w:rtl/>
        </w:rPr>
        <w:t>לתחום</w:t>
      </w:r>
      <w:r w:rsidRPr="00656810">
        <w:rPr>
          <w:rFonts w:cs="Arial"/>
          <w:sz w:val="18"/>
          <w:szCs w:val="18"/>
          <w:rtl/>
        </w:rPr>
        <w:t xml:space="preserve"> </w:t>
      </w:r>
      <w:r w:rsidRPr="00656810">
        <w:rPr>
          <w:rFonts w:cs="Arial" w:hint="cs"/>
          <w:sz w:val="18"/>
          <w:szCs w:val="18"/>
          <w:rtl/>
        </w:rPr>
        <w:t>העיר</w:t>
      </w:r>
      <w:r w:rsidRPr="00656810">
        <w:rPr>
          <w:rFonts w:cs="Arial"/>
          <w:sz w:val="18"/>
          <w:szCs w:val="18"/>
          <w:rtl/>
        </w:rPr>
        <w:t xml:space="preserve">, </w:t>
      </w:r>
      <w:r w:rsidRPr="00656810">
        <w:rPr>
          <w:rFonts w:cs="Arial" w:hint="cs"/>
          <w:sz w:val="18"/>
          <w:szCs w:val="18"/>
          <w:rtl/>
        </w:rPr>
        <w:t>אין</w:t>
      </w:r>
      <w:r w:rsidRPr="00656810">
        <w:rPr>
          <w:rFonts w:cs="Arial"/>
          <w:sz w:val="18"/>
          <w:szCs w:val="18"/>
          <w:rtl/>
        </w:rPr>
        <w:t xml:space="preserve"> </w:t>
      </w:r>
      <w:r w:rsidRPr="00656810">
        <w:rPr>
          <w:rFonts w:cs="Arial" w:hint="cs"/>
          <w:sz w:val="18"/>
          <w:szCs w:val="18"/>
          <w:rtl/>
        </w:rPr>
        <w:lastRenderedPageBreak/>
        <w:t>לכתבו</w:t>
      </w:r>
      <w:r w:rsidRPr="00656810">
        <w:rPr>
          <w:rFonts w:cs="Arial"/>
          <w:sz w:val="18"/>
          <w:szCs w:val="18"/>
          <w:rtl/>
        </w:rPr>
        <w:t xml:space="preserve"> </w:t>
      </w:r>
      <w:r w:rsidRPr="00656810">
        <w:rPr>
          <w:rFonts w:cs="Arial" w:hint="cs"/>
          <w:sz w:val="18"/>
          <w:szCs w:val="18"/>
          <w:rtl/>
        </w:rPr>
        <w:t>כלל</w:t>
      </w:r>
      <w:r w:rsidRPr="00656810">
        <w:rPr>
          <w:rFonts w:cs="Arial"/>
          <w:sz w:val="18"/>
          <w:szCs w:val="18"/>
          <w:rtl/>
        </w:rPr>
        <w:t xml:space="preserve">, </w:t>
      </w:r>
      <w:r w:rsidRPr="00656810">
        <w:rPr>
          <w:rFonts w:cs="Arial" w:hint="cs"/>
          <w:sz w:val="18"/>
          <w:szCs w:val="18"/>
          <w:rtl/>
        </w:rPr>
        <w:t>אפילו</w:t>
      </w:r>
      <w:r w:rsidRPr="00656810">
        <w:rPr>
          <w:rFonts w:cs="Arial"/>
          <w:sz w:val="18"/>
          <w:szCs w:val="18"/>
          <w:rtl/>
        </w:rPr>
        <w:t xml:space="preserve"> </w:t>
      </w:r>
      <w:r w:rsidRPr="00656810">
        <w:rPr>
          <w:rFonts w:cs="Arial" w:hint="cs"/>
          <w:sz w:val="18"/>
          <w:szCs w:val="18"/>
          <w:rtl/>
        </w:rPr>
        <w:t>מסתפקים</w:t>
      </w:r>
      <w:r w:rsidRPr="00656810">
        <w:rPr>
          <w:rFonts w:cs="Arial"/>
          <w:sz w:val="18"/>
          <w:szCs w:val="18"/>
          <w:rtl/>
        </w:rPr>
        <w:t xml:space="preserve"> </w:t>
      </w:r>
      <w:r w:rsidRPr="00656810">
        <w:rPr>
          <w:rFonts w:cs="Arial" w:hint="cs"/>
          <w:sz w:val="18"/>
          <w:szCs w:val="18"/>
          <w:rtl/>
        </w:rPr>
        <w:t>ממנו</w:t>
      </w:r>
      <w:r w:rsidRPr="00656810">
        <w:rPr>
          <w:rFonts w:cs="Arial"/>
          <w:sz w:val="18"/>
          <w:szCs w:val="18"/>
          <w:rtl/>
        </w:rPr>
        <w:t xml:space="preserve">, </w:t>
      </w:r>
      <w:r w:rsidRPr="00656810">
        <w:rPr>
          <w:rFonts w:cs="Arial" w:hint="cs"/>
          <w:sz w:val="18"/>
          <w:szCs w:val="18"/>
          <w:rtl/>
        </w:rPr>
        <w:t>ואפילו</w:t>
      </w:r>
      <w:r w:rsidRPr="00656810">
        <w:rPr>
          <w:rFonts w:cs="Arial"/>
          <w:sz w:val="18"/>
          <w:szCs w:val="18"/>
          <w:rtl/>
        </w:rPr>
        <w:t xml:space="preserve"> </w:t>
      </w:r>
      <w:r w:rsidRPr="00656810">
        <w:rPr>
          <w:rFonts w:cs="Arial" w:hint="cs"/>
          <w:sz w:val="18"/>
          <w:szCs w:val="18"/>
          <w:rtl/>
        </w:rPr>
        <w:t>בדיעבד</w:t>
      </w:r>
      <w:r w:rsidRPr="00656810">
        <w:rPr>
          <w:rFonts w:cs="Arial"/>
          <w:sz w:val="18"/>
          <w:szCs w:val="18"/>
          <w:rtl/>
        </w:rPr>
        <w:t xml:space="preserve">, </w:t>
      </w:r>
      <w:r w:rsidRPr="00656810">
        <w:rPr>
          <w:rFonts w:cs="Arial" w:hint="cs"/>
          <w:sz w:val="18"/>
          <w:szCs w:val="18"/>
          <w:rtl/>
        </w:rPr>
        <w:t>אם</w:t>
      </w:r>
      <w:r w:rsidRPr="00656810">
        <w:rPr>
          <w:rFonts w:cs="Arial"/>
          <w:sz w:val="18"/>
          <w:szCs w:val="18"/>
          <w:rtl/>
        </w:rPr>
        <w:t xml:space="preserve"> </w:t>
      </w:r>
      <w:r w:rsidRPr="00656810">
        <w:rPr>
          <w:rFonts w:cs="Arial" w:hint="cs"/>
          <w:sz w:val="18"/>
          <w:szCs w:val="18"/>
          <w:rtl/>
        </w:rPr>
        <w:t>כתבו</w:t>
      </w:r>
      <w:r w:rsidRPr="00656810">
        <w:rPr>
          <w:rFonts w:cs="Arial"/>
          <w:sz w:val="18"/>
          <w:szCs w:val="18"/>
          <w:rtl/>
        </w:rPr>
        <w:t xml:space="preserve">, </w:t>
      </w:r>
      <w:r w:rsidRPr="00656810">
        <w:rPr>
          <w:rFonts w:cs="Arial" w:hint="cs"/>
          <w:sz w:val="18"/>
          <w:szCs w:val="18"/>
          <w:rtl/>
        </w:rPr>
        <w:t>יש</w:t>
      </w:r>
      <w:r w:rsidRPr="00656810">
        <w:rPr>
          <w:rFonts w:cs="Arial"/>
          <w:sz w:val="18"/>
          <w:szCs w:val="18"/>
          <w:rtl/>
        </w:rPr>
        <w:t xml:space="preserve"> </w:t>
      </w:r>
      <w:r w:rsidRPr="00656810">
        <w:rPr>
          <w:rFonts w:cs="Arial" w:hint="cs"/>
          <w:sz w:val="18"/>
          <w:szCs w:val="18"/>
          <w:rtl/>
        </w:rPr>
        <w:t>פוסלין</w:t>
      </w:r>
      <w:r>
        <w:rPr>
          <w:rStyle w:val="a7"/>
          <w:rFonts w:cs="Arial"/>
          <w:sz w:val="18"/>
          <w:szCs w:val="18"/>
          <w:rtl/>
        </w:rPr>
        <w:footnoteReference w:id="1010"/>
      </w:r>
      <w:r w:rsidRPr="00656810">
        <w:rPr>
          <w:rFonts w:cs="Arial"/>
          <w:sz w:val="18"/>
          <w:szCs w:val="18"/>
          <w:rtl/>
        </w:rPr>
        <w:t xml:space="preserve"> (</w:t>
      </w:r>
      <w:r w:rsidRPr="00656810">
        <w:rPr>
          <w:rFonts w:cs="Arial" w:hint="cs"/>
          <w:sz w:val="18"/>
          <w:szCs w:val="18"/>
          <w:rtl/>
        </w:rPr>
        <w:t>ר</w:t>
      </w:r>
      <w:r>
        <w:rPr>
          <w:rFonts w:cs="Arial" w:hint="cs"/>
          <w:sz w:val="18"/>
          <w:szCs w:val="18"/>
          <w:rtl/>
        </w:rPr>
        <w:t xml:space="preserve">' </w:t>
      </w:r>
      <w:r w:rsidRPr="00656810">
        <w:rPr>
          <w:rFonts w:cs="Arial" w:hint="cs"/>
          <w:sz w:val="18"/>
          <w:szCs w:val="18"/>
          <w:rtl/>
        </w:rPr>
        <w:t>ש</w:t>
      </w:r>
      <w:r>
        <w:rPr>
          <w:rFonts w:cs="Arial" w:hint="cs"/>
          <w:sz w:val="18"/>
          <w:szCs w:val="18"/>
          <w:rtl/>
        </w:rPr>
        <w:t xml:space="preserve">משון </w:t>
      </w:r>
      <w:r w:rsidRPr="00656810">
        <w:rPr>
          <w:rFonts w:cs="Arial" w:hint="cs"/>
          <w:sz w:val="18"/>
          <w:szCs w:val="18"/>
          <w:rtl/>
        </w:rPr>
        <w:t>ב</w:t>
      </w:r>
      <w:r>
        <w:rPr>
          <w:rFonts w:cs="Arial" w:hint="cs"/>
          <w:sz w:val="18"/>
          <w:szCs w:val="18"/>
          <w:rtl/>
        </w:rPr>
        <w:t xml:space="preserve">ר </w:t>
      </w:r>
      <w:r w:rsidRPr="00656810">
        <w:rPr>
          <w:rFonts w:cs="Arial" w:hint="cs"/>
          <w:sz w:val="18"/>
          <w:szCs w:val="18"/>
          <w:rtl/>
        </w:rPr>
        <w:t>א</w:t>
      </w:r>
      <w:r>
        <w:rPr>
          <w:rFonts w:cs="Arial" w:hint="cs"/>
          <w:sz w:val="18"/>
          <w:szCs w:val="18"/>
          <w:rtl/>
        </w:rPr>
        <w:t>ברהם</w:t>
      </w:r>
      <w:r w:rsidRPr="00656810">
        <w:rPr>
          <w:rFonts w:cs="Arial"/>
          <w:sz w:val="18"/>
          <w:szCs w:val="18"/>
          <w:rtl/>
        </w:rPr>
        <w:t xml:space="preserve">). </w:t>
      </w:r>
      <w:r w:rsidRPr="00656810">
        <w:rPr>
          <w:rFonts w:cs="Arial" w:hint="cs"/>
          <w:sz w:val="18"/>
          <w:szCs w:val="18"/>
          <w:rtl/>
        </w:rPr>
        <w:t>ואפילו</w:t>
      </w:r>
      <w:r w:rsidRPr="00656810">
        <w:rPr>
          <w:rFonts w:cs="Arial"/>
          <w:sz w:val="18"/>
          <w:szCs w:val="18"/>
          <w:rtl/>
        </w:rPr>
        <w:t xml:space="preserve"> </w:t>
      </w:r>
      <w:r w:rsidRPr="00656810">
        <w:rPr>
          <w:rFonts w:cs="Arial" w:hint="cs"/>
          <w:sz w:val="18"/>
          <w:szCs w:val="18"/>
          <w:rtl/>
        </w:rPr>
        <w:t>הוא</w:t>
      </w:r>
      <w:r w:rsidRPr="00656810">
        <w:rPr>
          <w:rFonts w:cs="Arial"/>
          <w:sz w:val="18"/>
          <w:szCs w:val="18"/>
          <w:rtl/>
        </w:rPr>
        <w:t xml:space="preserve"> </w:t>
      </w:r>
      <w:r w:rsidRPr="00656810">
        <w:rPr>
          <w:rFonts w:cs="Arial" w:hint="cs"/>
          <w:sz w:val="18"/>
          <w:szCs w:val="18"/>
          <w:rtl/>
        </w:rPr>
        <w:t>תוך</w:t>
      </w:r>
      <w:r w:rsidRPr="00656810">
        <w:rPr>
          <w:rFonts w:cs="Arial"/>
          <w:sz w:val="18"/>
          <w:szCs w:val="18"/>
          <w:rtl/>
        </w:rPr>
        <w:t xml:space="preserve"> </w:t>
      </w:r>
      <w:r w:rsidRPr="00656810">
        <w:rPr>
          <w:rFonts w:cs="Arial" w:hint="cs"/>
          <w:sz w:val="18"/>
          <w:szCs w:val="18"/>
          <w:rtl/>
        </w:rPr>
        <w:t>התחום</w:t>
      </w:r>
      <w:r w:rsidRPr="00656810">
        <w:rPr>
          <w:rFonts w:cs="Arial"/>
          <w:sz w:val="18"/>
          <w:szCs w:val="18"/>
          <w:rtl/>
        </w:rPr>
        <w:t xml:space="preserve"> </w:t>
      </w:r>
      <w:r w:rsidRPr="00656810">
        <w:rPr>
          <w:rFonts w:cs="Arial" w:hint="cs"/>
          <w:sz w:val="18"/>
          <w:szCs w:val="18"/>
          <w:rtl/>
        </w:rPr>
        <w:t>חוץ</w:t>
      </w:r>
      <w:r w:rsidRPr="00656810">
        <w:rPr>
          <w:rFonts w:cs="Arial"/>
          <w:sz w:val="18"/>
          <w:szCs w:val="18"/>
          <w:rtl/>
        </w:rPr>
        <w:t xml:space="preserve"> </w:t>
      </w:r>
      <w:r w:rsidRPr="00656810">
        <w:rPr>
          <w:rFonts w:cs="Arial" w:hint="cs"/>
          <w:sz w:val="18"/>
          <w:szCs w:val="18"/>
          <w:rtl/>
        </w:rPr>
        <w:t>לעיבור</w:t>
      </w:r>
      <w:r>
        <w:rPr>
          <w:rStyle w:val="a7"/>
          <w:rFonts w:cs="Arial"/>
          <w:sz w:val="18"/>
          <w:szCs w:val="18"/>
          <w:rtl/>
        </w:rPr>
        <w:footnoteReference w:id="1011"/>
      </w:r>
      <w:r w:rsidRPr="00656810">
        <w:rPr>
          <w:rFonts w:cs="Arial"/>
          <w:sz w:val="18"/>
          <w:szCs w:val="18"/>
          <w:rtl/>
        </w:rPr>
        <w:t xml:space="preserve"> </w:t>
      </w:r>
      <w:r w:rsidRPr="00656810">
        <w:rPr>
          <w:rFonts w:cs="Arial" w:hint="cs"/>
          <w:sz w:val="18"/>
          <w:szCs w:val="18"/>
          <w:rtl/>
        </w:rPr>
        <w:t>העיר</w:t>
      </w:r>
      <w:r w:rsidRPr="00656810">
        <w:rPr>
          <w:rFonts w:cs="Arial"/>
          <w:sz w:val="18"/>
          <w:szCs w:val="18"/>
          <w:rtl/>
        </w:rPr>
        <w:t xml:space="preserve">, </w:t>
      </w:r>
      <w:r w:rsidRPr="00656810">
        <w:rPr>
          <w:rFonts w:cs="Arial" w:hint="cs"/>
          <w:sz w:val="18"/>
          <w:szCs w:val="18"/>
          <w:rtl/>
        </w:rPr>
        <w:t>אין</w:t>
      </w:r>
      <w:r w:rsidRPr="00656810">
        <w:rPr>
          <w:rFonts w:cs="Arial"/>
          <w:sz w:val="18"/>
          <w:szCs w:val="18"/>
          <w:rtl/>
        </w:rPr>
        <w:t xml:space="preserve"> </w:t>
      </w:r>
      <w:r w:rsidRPr="00656810">
        <w:rPr>
          <w:rFonts w:cs="Arial" w:hint="cs"/>
          <w:sz w:val="18"/>
          <w:szCs w:val="18"/>
          <w:rtl/>
        </w:rPr>
        <w:t>כותבין</w:t>
      </w:r>
      <w:r w:rsidRPr="00656810">
        <w:rPr>
          <w:rFonts w:cs="Arial"/>
          <w:sz w:val="18"/>
          <w:szCs w:val="18"/>
          <w:rtl/>
        </w:rPr>
        <w:t xml:space="preserve">, </w:t>
      </w:r>
      <w:r w:rsidRPr="00656810">
        <w:rPr>
          <w:rFonts w:cs="Arial" w:hint="cs"/>
          <w:sz w:val="18"/>
          <w:szCs w:val="18"/>
          <w:rtl/>
        </w:rPr>
        <w:t>אא</w:t>
      </w:r>
      <w:r>
        <w:rPr>
          <w:rFonts w:cs="Arial" w:hint="cs"/>
          <w:sz w:val="18"/>
          <w:szCs w:val="18"/>
          <w:rtl/>
        </w:rPr>
        <w:t>"</w:t>
      </w:r>
      <w:r w:rsidRPr="00656810">
        <w:rPr>
          <w:rFonts w:cs="Arial" w:hint="cs"/>
          <w:sz w:val="18"/>
          <w:szCs w:val="18"/>
          <w:rtl/>
        </w:rPr>
        <w:t>כ</w:t>
      </w:r>
      <w:r w:rsidRPr="00656810">
        <w:rPr>
          <w:rFonts w:cs="Arial"/>
          <w:sz w:val="18"/>
          <w:szCs w:val="18"/>
          <w:rtl/>
        </w:rPr>
        <w:t xml:space="preserve"> </w:t>
      </w:r>
      <w:r w:rsidRPr="00656810">
        <w:rPr>
          <w:rFonts w:cs="Arial" w:hint="cs"/>
          <w:sz w:val="18"/>
          <w:szCs w:val="18"/>
          <w:rtl/>
        </w:rPr>
        <w:t>כל</w:t>
      </w:r>
      <w:r>
        <w:rPr>
          <w:rStyle w:val="a7"/>
          <w:rFonts w:cs="Arial"/>
          <w:sz w:val="18"/>
          <w:szCs w:val="18"/>
          <w:rtl/>
        </w:rPr>
        <w:footnoteReference w:id="1012"/>
      </w:r>
      <w:r w:rsidRPr="00656810">
        <w:rPr>
          <w:rFonts w:cs="Arial"/>
          <w:sz w:val="18"/>
          <w:szCs w:val="18"/>
          <w:rtl/>
        </w:rPr>
        <w:t xml:space="preserve"> </w:t>
      </w:r>
      <w:r w:rsidRPr="00656810">
        <w:rPr>
          <w:rFonts w:cs="Arial" w:hint="cs"/>
          <w:sz w:val="18"/>
          <w:szCs w:val="18"/>
          <w:rtl/>
        </w:rPr>
        <w:t>תשמישי</w:t>
      </w:r>
      <w:r w:rsidRPr="00656810">
        <w:rPr>
          <w:rFonts w:cs="Arial"/>
          <w:sz w:val="18"/>
          <w:szCs w:val="18"/>
          <w:rtl/>
        </w:rPr>
        <w:t xml:space="preserve"> </w:t>
      </w:r>
      <w:r w:rsidRPr="00656810">
        <w:rPr>
          <w:rFonts w:cs="Arial" w:hint="cs"/>
          <w:sz w:val="18"/>
          <w:szCs w:val="18"/>
          <w:rtl/>
        </w:rPr>
        <w:t>העיר</w:t>
      </w:r>
      <w:r w:rsidRPr="00656810">
        <w:rPr>
          <w:rFonts w:cs="Arial"/>
          <w:sz w:val="18"/>
          <w:szCs w:val="18"/>
          <w:rtl/>
        </w:rPr>
        <w:t xml:space="preserve"> </w:t>
      </w:r>
      <w:r w:rsidRPr="00656810">
        <w:rPr>
          <w:rFonts w:cs="Arial" w:hint="cs"/>
          <w:sz w:val="18"/>
          <w:szCs w:val="18"/>
          <w:rtl/>
        </w:rPr>
        <w:t>ממנו</w:t>
      </w:r>
      <w:r>
        <w:rPr>
          <w:rStyle w:val="a7"/>
          <w:rFonts w:cs="Arial"/>
          <w:sz w:val="18"/>
          <w:szCs w:val="18"/>
          <w:rtl/>
        </w:rPr>
        <w:footnoteReference w:id="1013"/>
      </w:r>
      <w:r w:rsidRPr="00656810">
        <w:rPr>
          <w:rFonts w:cs="Arial"/>
          <w:sz w:val="18"/>
          <w:szCs w:val="18"/>
          <w:rtl/>
        </w:rPr>
        <w:t xml:space="preserve"> (</w:t>
      </w:r>
      <w:r>
        <w:rPr>
          <w:rFonts w:cs="Arial" w:hint="cs"/>
          <w:sz w:val="18"/>
          <w:szCs w:val="18"/>
          <w:rtl/>
        </w:rPr>
        <w:t>שם, וכ"כ תרוה"ד</w:t>
      </w:r>
      <w:r w:rsidRPr="00656810">
        <w:rPr>
          <w:rFonts w:cs="Arial"/>
          <w:sz w:val="18"/>
          <w:szCs w:val="18"/>
          <w:rtl/>
        </w:rPr>
        <w:t xml:space="preserve">). </w:t>
      </w:r>
      <w:r w:rsidRPr="00BE1DE1">
        <w:rPr>
          <w:rFonts w:cs="Arial" w:hint="cs"/>
          <w:rtl/>
        </w:rPr>
        <w:t>וכותבין</w:t>
      </w:r>
      <w:r w:rsidRPr="00BE1DE1">
        <w:rPr>
          <w:rFonts w:cs="Arial"/>
          <w:rtl/>
        </w:rPr>
        <w:t xml:space="preserve">: </w:t>
      </w:r>
      <w:r w:rsidRPr="00BE1DE1">
        <w:rPr>
          <w:rFonts w:cs="Arial" w:hint="cs"/>
          <w:rtl/>
        </w:rPr>
        <w:t>דיתבא</w:t>
      </w:r>
      <w:r w:rsidRPr="00BE1DE1">
        <w:rPr>
          <w:rFonts w:cs="Arial"/>
          <w:rtl/>
        </w:rPr>
        <w:t xml:space="preserve">, </w:t>
      </w:r>
      <w:r w:rsidRPr="00BE1DE1">
        <w:rPr>
          <w:rFonts w:cs="Arial" w:hint="cs"/>
          <w:rtl/>
        </w:rPr>
        <w:t>בחד</w:t>
      </w:r>
      <w:r w:rsidRPr="00BE1DE1">
        <w:rPr>
          <w:rFonts w:cs="Arial"/>
          <w:rtl/>
        </w:rPr>
        <w:t xml:space="preserve"> </w:t>
      </w:r>
      <w:r w:rsidRPr="00BE1DE1">
        <w:rPr>
          <w:rFonts w:cs="Arial" w:hint="cs"/>
          <w:rtl/>
        </w:rPr>
        <w:t>יו</w:t>
      </w:r>
      <w:r w:rsidRPr="00BE1DE1">
        <w:rPr>
          <w:rFonts w:cs="Arial"/>
          <w:rtl/>
        </w:rPr>
        <w:t>"</w:t>
      </w:r>
      <w:r w:rsidRPr="00BE1DE1">
        <w:rPr>
          <w:rFonts w:cs="Arial" w:hint="cs"/>
          <w:rtl/>
        </w:rPr>
        <w:t>ד</w:t>
      </w:r>
      <w:r w:rsidRPr="00BE1DE1">
        <w:rPr>
          <w:rFonts w:cs="Arial"/>
          <w:rtl/>
        </w:rPr>
        <w:t xml:space="preserve">. </w:t>
      </w:r>
      <w:r w:rsidRPr="00BE1DE1">
        <w:rPr>
          <w:rFonts w:cs="Arial" w:hint="cs"/>
          <w:rtl/>
        </w:rPr>
        <w:t>ואם</w:t>
      </w:r>
      <w:r w:rsidRPr="00BE1DE1">
        <w:rPr>
          <w:rFonts w:cs="Arial"/>
          <w:rtl/>
        </w:rPr>
        <w:t xml:space="preserve"> </w:t>
      </w:r>
      <w:r w:rsidRPr="00BE1DE1">
        <w:rPr>
          <w:rFonts w:cs="Arial" w:hint="cs"/>
          <w:rtl/>
        </w:rPr>
        <w:t>יושבת</w:t>
      </w:r>
      <w:r w:rsidRPr="00BE1DE1">
        <w:rPr>
          <w:rFonts w:cs="Arial"/>
          <w:rtl/>
        </w:rPr>
        <w:t xml:space="preserve"> </w:t>
      </w:r>
      <w:r w:rsidRPr="00BE1DE1">
        <w:rPr>
          <w:rFonts w:cs="Arial" w:hint="cs"/>
          <w:rtl/>
        </w:rPr>
        <w:t>על</w:t>
      </w:r>
      <w:r w:rsidRPr="00BE1DE1">
        <w:rPr>
          <w:rFonts w:cs="Arial"/>
          <w:rtl/>
        </w:rPr>
        <w:t xml:space="preserve"> </w:t>
      </w:r>
      <w:r w:rsidRPr="00BE1DE1">
        <w:rPr>
          <w:rFonts w:cs="Arial" w:hint="cs"/>
          <w:rtl/>
        </w:rPr>
        <w:t>חוף</w:t>
      </w:r>
      <w:r w:rsidRPr="00BE1DE1">
        <w:rPr>
          <w:rFonts w:cs="Arial"/>
          <w:rtl/>
        </w:rPr>
        <w:t xml:space="preserve"> </w:t>
      </w:r>
      <w:r w:rsidRPr="00BE1DE1">
        <w:rPr>
          <w:rFonts w:cs="Arial" w:hint="cs"/>
          <w:rtl/>
        </w:rPr>
        <w:t>הים</w:t>
      </w:r>
      <w:r w:rsidRPr="00BE1DE1">
        <w:rPr>
          <w:rFonts w:cs="Arial"/>
          <w:rtl/>
        </w:rPr>
        <w:t xml:space="preserve">, </w:t>
      </w:r>
      <w:r w:rsidRPr="00BE1DE1">
        <w:rPr>
          <w:rFonts w:cs="Arial" w:hint="cs"/>
          <w:rtl/>
        </w:rPr>
        <w:t>נהגו</w:t>
      </w:r>
      <w:r w:rsidRPr="00BE1DE1">
        <w:rPr>
          <w:rFonts w:cs="Arial"/>
          <w:rtl/>
        </w:rPr>
        <w:t xml:space="preserve"> </w:t>
      </w:r>
      <w:r w:rsidRPr="00BE1DE1">
        <w:rPr>
          <w:rFonts w:cs="Arial" w:hint="cs"/>
          <w:rtl/>
        </w:rPr>
        <w:t>לכתוב</w:t>
      </w:r>
      <w:r w:rsidRPr="00BE1DE1">
        <w:rPr>
          <w:rFonts w:cs="Arial"/>
          <w:rtl/>
        </w:rPr>
        <w:t xml:space="preserve">: </w:t>
      </w:r>
      <w:r w:rsidRPr="00BE1DE1">
        <w:rPr>
          <w:rFonts w:cs="Arial" w:hint="cs"/>
          <w:rtl/>
        </w:rPr>
        <w:t>דעל</w:t>
      </w:r>
      <w:r w:rsidRPr="00BE1DE1">
        <w:rPr>
          <w:rFonts w:cs="Arial"/>
          <w:rtl/>
        </w:rPr>
        <w:t xml:space="preserve"> </w:t>
      </w:r>
      <w:r w:rsidRPr="00BE1DE1">
        <w:rPr>
          <w:rFonts w:cs="Arial" w:hint="cs"/>
          <w:rtl/>
        </w:rPr>
        <w:t>כיף</w:t>
      </w:r>
      <w:r w:rsidRPr="00BE1DE1">
        <w:rPr>
          <w:rFonts w:cs="Arial"/>
          <w:rtl/>
        </w:rPr>
        <w:t xml:space="preserve"> </w:t>
      </w:r>
      <w:r w:rsidRPr="00BE1DE1">
        <w:rPr>
          <w:rFonts w:cs="Arial" w:hint="cs"/>
          <w:rtl/>
        </w:rPr>
        <w:t>ימא</w:t>
      </w:r>
      <w:r w:rsidRPr="00BE1DE1">
        <w:rPr>
          <w:rFonts w:cs="Arial"/>
          <w:rtl/>
        </w:rPr>
        <w:t xml:space="preserve"> </w:t>
      </w:r>
      <w:r w:rsidRPr="00BE1DE1">
        <w:rPr>
          <w:rFonts w:cs="Arial" w:hint="cs"/>
          <w:rtl/>
        </w:rPr>
        <w:t>מותבא</w:t>
      </w:r>
      <w:r w:rsidRPr="00BE1DE1">
        <w:rPr>
          <w:rFonts w:cs="Arial"/>
          <w:rtl/>
        </w:rPr>
        <w:t xml:space="preserve">. </w:t>
      </w:r>
      <w:r w:rsidRPr="00BE1DE1">
        <w:rPr>
          <w:rFonts w:cs="Arial" w:hint="cs"/>
          <w:rtl/>
        </w:rPr>
        <w:t>ועיר</w:t>
      </w:r>
      <w:r w:rsidRPr="00BE1DE1">
        <w:rPr>
          <w:rFonts w:cs="Arial"/>
          <w:rtl/>
        </w:rPr>
        <w:t xml:space="preserve"> </w:t>
      </w:r>
      <w:r w:rsidRPr="00BE1DE1">
        <w:rPr>
          <w:rFonts w:cs="Arial" w:hint="cs"/>
          <w:rtl/>
        </w:rPr>
        <w:t>שסיפוקה</w:t>
      </w:r>
      <w:r w:rsidRPr="00BE1DE1">
        <w:rPr>
          <w:rFonts w:cs="Arial"/>
          <w:rtl/>
        </w:rPr>
        <w:t xml:space="preserve"> </w:t>
      </w:r>
      <w:r w:rsidRPr="00BE1DE1">
        <w:rPr>
          <w:rFonts w:cs="Arial" w:hint="cs"/>
          <w:rtl/>
        </w:rPr>
        <w:t>ממי</w:t>
      </w:r>
      <w:r w:rsidRPr="00BE1DE1">
        <w:rPr>
          <w:rFonts w:cs="Arial"/>
          <w:rtl/>
        </w:rPr>
        <w:t xml:space="preserve"> </w:t>
      </w:r>
      <w:r w:rsidRPr="00BE1DE1">
        <w:rPr>
          <w:rFonts w:cs="Arial" w:hint="cs"/>
          <w:rtl/>
        </w:rPr>
        <w:t>בארות</w:t>
      </w:r>
      <w:r w:rsidRPr="00BE1DE1">
        <w:rPr>
          <w:rFonts w:cs="Arial"/>
          <w:rtl/>
        </w:rPr>
        <w:t xml:space="preserve">, </w:t>
      </w:r>
      <w:r w:rsidRPr="00BE1DE1">
        <w:rPr>
          <w:rFonts w:cs="Arial" w:hint="cs"/>
          <w:rtl/>
        </w:rPr>
        <w:t>כותבין</w:t>
      </w:r>
      <w:r w:rsidRPr="00BE1DE1">
        <w:rPr>
          <w:rFonts w:cs="Arial"/>
          <w:rtl/>
        </w:rPr>
        <w:t xml:space="preserve">: </w:t>
      </w:r>
      <w:r w:rsidRPr="00BE1DE1">
        <w:rPr>
          <w:rFonts w:cs="Arial" w:hint="cs"/>
          <w:rtl/>
        </w:rPr>
        <w:t>על</w:t>
      </w:r>
      <w:r w:rsidRPr="00BE1DE1">
        <w:rPr>
          <w:rFonts w:cs="Arial"/>
          <w:rtl/>
        </w:rPr>
        <w:t xml:space="preserve"> </w:t>
      </w:r>
      <w:r w:rsidRPr="00BE1DE1">
        <w:rPr>
          <w:rFonts w:cs="Arial" w:hint="cs"/>
          <w:rtl/>
        </w:rPr>
        <w:t>מי</w:t>
      </w:r>
      <w:r w:rsidRPr="00BE1DE1">
        <w:rPr>
          <w:rFonts w:cs="Arial"/>
          <w:rtl/>
        </w:rPr>
        <w:t xml:space="preserve"> </w:t>
      </w:r>
      <w:r w:rsidRPr="00BE1DE1">
        <w:rPr>
          <w:rFonts w:cs="Arial" w:hint="cs"/>
          <w:rtl/>
        </w:rPr>
        <w:t>בארות</w:t>
      </w:r>
      <w:r>
        <w:rPr>
          <w:rStyle w:val="a7"/>
          <w:rFonts w:cs="Arial"/>
          <w:rtl/>
        </w:rPr>
        <w:footnoteReference w:id="1014"/>
      </w:r>
      <w:r w:rsidRPr="00BE1DE1">
        <w:rPr>
          <w:rFonts w:cs="Arial"/>
          <w:rtl/>
        </w:rPr>
        <w:t xml:space="preserve">. </w:t>
      </w:r>
      <w:r w:rsidRPr="00BE1DE1">
        <w:rPr>
          <w:rFonts w:cs="Arial" w:hint="cs"/>
          <w:rtl/>
        </w:rPr>
        <w:t>ועיר</w:t>
      </w:r>
      <w:r w:rsidRPr="00BE1DE1">
        <w:rPr>
          <w:rFonts w:cs="Arial"/>
          <w:rtl/>
        </w:rPr>
        <w:t xml:space="preserve"> </w:t>
      </w:r>
      <w:r w:rsidRPr="00BE1DE1">
        <w:rPr>
          <w:rFonts w:cs="Arial" w:hint="cs"/>
          <w:rtl/>
        </w:rPr>
        <w:t>שסיפוקה</w:t>
      </w:r>
      <w:r w:rsidRPr="00BE1DE1">
        <w:rPr>
          <w:rFonts w:cs="Arial"/>
          <w:rtl/>
        </w:rPr>
        <w:t xml:space="preserve"> </w:t>
      </w:r>
      <w:r w:rsidRPr="00BE1DE1">
        <w:rPr>
          <w:rFonts w:cs="Arial" w:hint="cs"/>
          <w:rtl/>
        </w:rPr>
        <w:t>ממי</w:t>
      </w:r>
      <w:r w:rsidRPr="00BE1DE1">
        <w:rPr>
          <w:rFonts w:cs="Arial"/>
          <w:rtl/>
        </w:rPr>
        <w:t xml:space="preserve"> </w:t>
      </w:r>
      <w:r w:rsidRPr="00BE1DE1">
        <w:rPr>
          <w:rFonts w:cs="Arial" w:hint="cs"/>
          <w:rtl/>
        </w:rPr>
        <w:t>מעינות</w:t>
      </w:r>
      <w:r w:rsidRPr="00BE1DE1">
        <w:rPr>
          <w:rFonts w:cs="Arial"/>
          <w:rtl/>
        </w:rPr>
        <w:t xml:space="preserve">, </w:t>
      </w:r>
      <w:r w:rsidRPr="00BE1DE1">
        <w:rPr>
          <w:rFonts w:cs="Arial" w:hint="cs"/>
          <w:rtl/>
        </w:rPr>
        <w:t>כותבין</w:t>
      </w:r>
      <w:r w:rsidRPr="00BE1DE1">
        <w:rPr>
          <w:rFonts w:cs="Arial"/>
          <w:rtl/>
        </w:rPr>
        <w:t xml:space="preserve">: </w:t>
      </w:r>
      <w:r w:rsidRPr="00BE1DE1">
        <w:rPr>
          <w:rFonts w:cs="Arial" w:hint="cs"/>
          <w:rtl/>
        </w:rPr>
        <w:t>מי</w:t>
      </w:r>
      <w:r w:rsidRPr="00BE1DE1">
        <w:rPr>
          <w:rFonts w:cs="Arial"/>
          <w:rtl/>
        </w:rPr>
        <w:t xml:space="preserve"> </w:t>
      </w:r>
      <w:r w:rsidRPr="00BE1DE1">
        <w:rPr>
          <w:rFonts w:cs="Arial" w:hint="cs"/>
          <w:rtl/>
        </w:rPr>
        <w:t>מעינות</w:t>
      </w:r>
      <w:r>
        <w:rPr>
          <w:rStyle w:val="a7"/>
          <w:rFonts w:cs="Arial"/>
          <w:rtl/>
        </w:rPr>
        <w:footnoteReference w:id="1015"/>
      </w:r>
      <w:r w:rsidRPr="00BE1DE1">
        <w:rPr>
          <w:rFonts w:cs="Arial"/>
          <w:rtl/>
        </w:rPr>
        <w:t xml:space="preserve">, </w:t>
      </w:r>
      <w:r w:rsidRPr="00BE1DE1">
        <w:rPr>
          <w:rFonts w:cs="Arial" w:hint="cs"/>
          <w:rtl/>
        </w:rPr>
        <w:t>ובחד</w:t>
      </w:r>
      <w:r w:rsidRPr="00BE1DE1">
        <w:rPr>
          <w:rFonts w:cs="Arial"/>
          <w:rtl/>
        </w:rPr>
        <w:t xml:space="preserve"> </w:t>
      </w:r>
      <w:r w:rsidRPr="00BE1DE1">
        <w:rPr>
          <w:rFonts w:cs="Arial" w:hint="cs"/>
          <w:rtl/>
        </w:rPr>
        <w:t>יו</w:t>
      </w:r>
      <w:r w:rsidRPr="00BE1DE1">
        <w:rPr>
          <w:rFonts w:cs="Arial"/>
          <w:rtl/>
        </w:rPr>
        <w:t>"</w:t>
      </w:r>
      <w:r w:rsidRPr="00BE1DE1">
        <w:rPr>
          <w:rFonts w:cs="Arial" w:hint="cs"/>
          <w:rtl/>
        </w:rPr>
        <w:t>ד</w:t>
      </w:r>
      <w:r w:rsidRPr="00BE1DE1">
        <w:rPr>
          <w:rFonts w:cs="Arial"/>
          <w:rtl/>
        </w:rPr>
        <w:t xml:space="preserve">. </w:t>
      </w:r>
      <w:r w:rsidRPr="00656810">
        <w:rPr>
          <w:rFonts w:cs="Arial" w:hint="cs"/>
          <w:sz w:val="18"/>
          <w:szCs w:val="18"/>
          <w:rtl/>
        </w:rPr>
        <w:t>הגה</w:t>
      </w:r>
      <w:r w:rsidRPr="00656810">
        <w:rPr>
          <w:rFonts w:cs="Arial"/>
          <w:sz w:val="18"/>
          <w:szCs w:val="18"/>
          <w:rtl/>
        </w:rPr>
        <w:t xml:space="preserve">: </w:t>
      </w:r>
      <w:r w:rsidRPr="00656810">
        <w:rPr>
          <w:rFonts w:cs="Arial" w:hint="cs"/>
          <w:sz w:val="18"/>
          <w:szCs w:val="18"/>
          <w:rtl/>
        </w:rPr>
        <w:t>וכותבין</w:t>
      </w:r>
      <w:r w:rsidRPr="00656810">
        <w:rPr>
          <w:rFonts w:cs="Arial"/>
          <w:sz w:val="18"/>
          <w:szCs w:val="18"/>
          <w:rtl/>
        </w:rPr>
        <w:t xml:space="preserve">: </w:t>
      </w:r>
      <w:r w:rsidRPr="00656810">
        <w:rPr>
          <w:rFonts w:cs="Arial" w:hint="cs"/>
          <w:sz w:val="18"/>
          <w:szCs w:val="18"/>
          <w:rtl/>
        </w:rPr>
        <w:t>בארת</w:t>
      </w:r>
      <w:r w:rsidRPr="00656810">
        <w:rPr>
          <w:rFonts w:cs="Arial"/>
          <w:sz w:val="18"/>
          <w:szCs w:val="18"/>
          <w:rtl/>
        </w:rPr>
        <w:t xml:space="preserve">, </w:t>
      </w:r>
      <w:r w:rsidRPr="00656810">
        <w:rPr>
          <w:rFonts w:cs="Arial" w:hint="cs"/>
          <w:sz w:val="18"/>
          <w:szCs w:val="18"/>
          <w:rtl/>
        </w:rPr>
        <w:t>בלא</w:t>
      </w:r>
      <w:r w:rsidRPr="00656810">
        <w:rPr>
          <w:rFonts w:cs="Arial"/>
          <w:sz w:val="18"/>
          <w:szCs w:val="18"/>
          <w:rtl/>
        </w:rPr>
        <w:t xml:space="preserve"> </w:t>
      </w:r>
      <w:r w:rsidRPr="00656810">
        <w:rPr>
          <w:rFonts w:cs="Arial" w:hint="cs"/>
          <w:sz w:val="18"/>
          <w:szCs w:val="18"/>
          <w:rtl/>
        </w:rPr>
        <w:t>וי</w:t>
      </w:r>
      <w:r w:rsidRPr="00656810">
        <w:rPr>
          <w:rFonts w:cs="Arial"/>
          <w:sz w:val="18"/>
          <w:szCs w:val="18"/>
          <w:rtl/>
        </w:rPr>
        <w:t>"</w:t>
      </w:r>
      <w:r w:rsidRPr="00656810">
        <w:rPr>
          <w:rFonts w:cs="Arial" w:hint="cs"/>
          <w:sz w:val="18"/>
          <w:szCs w:val="18"/>
          <w:rtl/>
        </w:rPr>
        <w:t>ו</w:t>
      </w:r>
      <w:r w:rsidRPr="00656810">
        <w:rPr>
          <w:rFonts w:cs="Arial"/>
          <w:sz w:val="18"/>
          <w:szCs w:val="18"/>
          <w:rtl/>
        </w:rPr>
        <w:t xml:space="preserve"> (</w:t>
      </w:r>
      <w:r w:rsidRPr="00656810">
        <w:rPr>
          <w:rFonts w:cs="Arial" w:hint="cs"/>
          <w:sz w:val="18"/>
          <w:szCs w:val="18"/>
          <w:rtl/>
        </w:rPr>
        <w:t>סדר</w:t>
      </w:r>
      <w:r w:rsidRPr="00656810">
        <w:rPr>
          <w:rFonts w:cs="Arial"/>
          <w:sz w:val="18"/>
          <w:szCs w:val="18"/>
          <w:rtl/>
        </w:rPr>
        <w:t xml:space="preserve"> </w:t>
      </w:r>
      <w:r w:rsidRPr="00656810">
        <w:rPr>
          <w:rFonts w:cs="Arial" w:hint="cs"/>
          <w:sz w:val="18"/>
          <w:szCs w:val="18"/>
          <w:rtl/>
        </w:rPr>
        <w:t>גיטין</w:t>
      </w:r>
      <w:r w:rsidRPr="00656810">
        <w:rPr>
          <w:rFonts w:cs="Arial"/>
          <w:sz w:val="18"/>
          <w:szCs w:val="18"/>
          <w:rtl/>
        </w:rPr>
        <w:t xml:space="preserve">). </w:t>
      </w:r>
      <w:r w:rsidRPr="00656810">
        <w:rPr>
          <w:rFonts w:cs="Arial" w:hint="cs"/>
          <w:sz w:val="18"/>
          <w:szCs w:val="18"/>
          <w:rtl/>
        </w:rPr>
        <w:t>ואם</w:t>
      </w:r>
      <w:r w:rsidRPr="00656810">
        <w:rPr>
          <w:rFonts w:cs="Arial"/>
          <w:sz w:val="18"/>
          <w:szCs w:val="18"/>
          <w:rtl/>
        </w:rPr>
        <w:t xml:space="preserve"> </w:t>
      </w:r>
      <w:r w:rsidRPr="00656810">
        <w:rPr>
          <w:rFonts w:cs="Arial" w:hint="cs"/>
          <w:sz w:val="18"/>
          <w:szCs w:val="18"/>
          <w:rtl/>
        </w:rPr>
        <w:t>המעיין</w:t>
      </w:r>
      <w:r w:rsidRPr="00656810">
        <w:rPr>
          <w:rFonts w:cs="Arial"/>
          <w:sz w:val="18"/>
          <w:szCs w:val="18"/>
          <w:rtl/>
        </w:rPr>
        <w:t xml:space="preserve"> </w:t>
      </w:r>
      <w:r w:rsidRPr="00656810">
        <w:rPr>
          <w:rFonts w:cs="Arial" w:hint="cs"/>
          <w:sz w:val="18"/>
          <w:szCs w:val="18"/>
          <w:rtl/>
        </w:rPr>
        <w:t>מים</w:t>
      </w:r>
      <w:r w:rsidRPr="00656810">
        <w:rPr>
          <w:rFonts w:cs="Arial"/>
          <w:sz w:val="18"/>
          <w:szCs w:val="18"/>
          <w:rtl/>
        </w:rPr>
        <w:t xml:space="preserve"> </w:t>
      </w:r>
      <w:r w:rsidRPr="00656810">
        <w:rPr>
          <w:rFonts w:cs="Arial" w:hint="cs"/>
          <w:sz w:val="18"/>
          <w:szCs w:val="18"/>
          <w:rtl/>
        </w:rPr>
        <w:t>חמין</w:t>
      </w:r>
      <w:r w:rsidRPr="00656810">
        <w:rPr>
          <w:rFonts w:cs="Arial"/>
          <w:sz w:val="18"/>
          <w:szCs w:val="18"/>
          <w:rtl/>
        </w:rPr>
        <w:t xml:space="preserve">, </w:t>
      </w:r>
      <w:r w:rsidRPr="00656810">
        <w:rPr>
          <w:rFonts w:cs="Arial" w:hint="cs"/>
          <w:sz w:val="18"/>
          <w:szCs w:val="18"/>
          <w:rtl/>
        </w:rPr>
        <w:t>כותבין</w:t>
      </w:r>
      <w:r w:rsidRPr="00656810">
        <w:rPr>
          <w:rFonts w:cs="Arial"/>
          <w:sz w:val="18"/>
          <w:szCs w:val="18"/>
          <w:rtl/>
        </w:rPr>
        <w:t xml:space="preserve">: </w:t>
      </w:r>
      <w:r w:rsidRPr="00656810">
        <w:rPr>
          <w:rFonts w:cs="Arial" w:hint="cs"/>
          <w:sz w:val="18"/>
          <w:szCs w:val="18"/>
          <w:rtl/>
        </w:rPr>
        <w:t>על</w:t>
      </w:r>
      <w:r w:rsidRPr="00656810">
        <w:rPr>
          <w:rFonts w:cs="Arial"/>
          <w:sz w:val="18"/>
          <w:szCs w:val="18"/>
          <w:rtl/>
        </w:rPr>
        <w:t xml:space="preserve"> </w:t>
      </w:r>
      <w:r w:rsidRPr="00656810">
        <w:rPr>
          <w:rFonts w:cs="Arial" w:hint="cs"/>
          <w:sz w:val="18"/>
          <w:szCs w:val="18"/>
          <w:rtl/>
        </w:rPr>
        <w:t>מי</w:t>
      </w:r>
      <w:r w:rsidRPr="00656810">
        <w:rPr>
          <w:rFonts w:cs="Arial"/>
          <w:sz w:val="18"/>
          <w:szCs w:val="18"/>
          <w:rtl/>
        </w:rPr>
        <w:t xml:space="preserve"> </w:t>
      </w:r>
      <w:r w:rsidRPr="00656810">
        <w:rPr>
          <w:rFonts w:cs="Arial" w:hint="cs"/>
          <w:sz w:val="18"/>
          <w:szCs w:val="18"/>
          <w:rtl/>
        </w:rPr>
        <w:t>מעיינות</w:t>
      </w:r>
      <w:r w:rsidRPr="00656810">
        <w:rPr>
          <w:rFonts w:cs="Arial"/>
          <w:sz w:val="18"/>
          <w:szCs w:val="18"/>
          <w:rtl/>
        </w:rPr>
        <w:t xml:space="preserve"> </w:t>
      </w:r>
      <w:r w:rsidRPr="00656810">
        <w:rPr>
          <w:rFonts w:cs="Arial" w:hint="cs"/>
          <w:sz w:val="18"/>
          <w:szCs w:val="18"/>
          <w:rtl/>
        </w:rPr>
        <w:t>חמין</w:t>
      </w:r>
      <w:r w:rsidRPr="00656810">
        <w:rPr>
          <w:rFonts w:cs="Arial"/>
          <w:sz w:val="18"/>
          <w:szCs w:val="18"/>
          <w:rtl/>
        </w:rPr>
        <w:t xml:space="preserve"> (</w:t>
      </w:r>
      <w:r w:rsidRPr="00656810">
        <w:rPr>
          <w:rFonts w:cs="Arial" w:hint="cs"/>
          <w:sz w:val="18"/>
          <w:szCs w:val="18"/>
          <w:rtl/>
        </w:rPr>
        <w:t>מ</w:t>
      </w:r>
      <w:r w:rsidRPr="00656810">
        <w:rPr>
          <w:rFonts w:cs="Arial"/>
          <w:sz w:val="18"/>
          <w:szCs w:val="18"/>
          <w:rtl/>
        </w:rPr>
        <w:t>"</w:t>
      </w:r>
      <w:r w:rsidRPr="00656810">
        <w:rPr>
          <w:rFonts w:cs="Arial" w:hint="cs"/>
          <w:sz w:val="18"/>
          <w:szCs w:val="18"/>
          <w:rtl/>
        </w:rPr>
        <w:t>כ</w:t>
      </w:r>
      <w:r w:rsidRPr="00656810">
        <w:rPr>
          <w:rFonts w:cs="Arial"/>
          <w:sz w:val="18"/>
          <w:szCs w:val="18"/>
          <w:rtl/>
        </w:rPr>
        <w:t xml:space="preserve"> </w:t>
      </w:r>
      <w:r w:rsidRPr="00656810">
        <w:rPr>
          <w:rFonts w:cs="Arial" w:hint="cs"/>
          <w:sz w:val="18"/>
          <w:szCs w:val="18"/>
          <w:rtl/>
        </w:rPr>
        <w:t>בתיקון</w:t>
      </w:r>
      <w:r w:rsidRPr="00656810">
        <w:rPr>
          <w:rFonts w:cs="Arial"/>
          <w:sz w:val="18"/>
          <w:szCs w:val="18"/>
          <w:rtl/>
        </w:rPr>
        <w:t xml:space="preserve"> </w:t>
      </w:r>
      <w:r w:rsidRPr="00656810">
        <w:rPr>
          <w:rFonts w:cs="Arial" w:hint="cs"/>
          <w:sz w:val="18"/>
          <w:szCs w:val="18"/>
          <w:rtl/>
        </w:rPr>
        <w:t>ישן</w:t>
      </w:r>
      <w:r w:rsidRPr="00656810">
        <w:rPr>
          <w:rFonts w:cs="Arial"/>
          <w:sz w:val="18"/>
          <w:szCs w:val="18"/>
          <w:rtl/>
        </w:rPr>
        <w:t>).</w:t>
      </w:r>
      <w:r>
        <w:rPr>
          <w:rFonts w:cs="Arial"/>
          <w:rtl/>
        </w:rPr>
        <w:t xml:space="preserve"> </w:t>
      </w:r>
    </w:p>
    <w:p w14:paraId="38A25129" w14:textId="77777777" w:rsidR="00FA2119" w:rsidRPr="00BE28BE" w:rsidRDefault="00FA2119" w:rsidP="00FA2119">
      <w:pPr>
        <w:rPr>
          <w:u w:val="single"/>
          <w:rtl/>
        </w:rPr>
      </w:pPr>
      <w:r w:rsidRPr="00BE28BE">
        <w:rPr>
          <w:rFonts w:hint="cs"/>
          <w:u w:val="single"/>
          <w:rtl/>
        </w:rPr>
        <w:t>מה נחשב מעין ומה נחשב נהר:</w:t>
      </w:r>
    </w:p>
    <w:p w14:paraId="46106058" w14:textId="4E29D96A" w:rsidR="00FA2119" w:rsidRDefault="00FA2119" w:rsidP="00FA2119">
      <w:pPr>
        <w:pStyle w:val="ab"/>
        <w:numPr>
          <w:ilvl w:val="0"/>
          <w:numId w:val="61"/>
        </w:numPr>
        <w:rPr>
          <w:rtl/>
        </w:rPr>
      </w:pPr>
      <w:r w:rsidRPr="00BE28BE">
        <w:rPr>
          <w:rFonts w:cs="Arial" w:hint="cs"/>
          <w:rtl/>
        </w:rPr>
        <w:t xml:space="preserve">ג"פ </w:t>
      </w:r>
      <w:r w:rsidRPr="00BE28BE">
        <w:rPr>
          <w:rFonts w:cs="Arial" w:hint="cs"/>
          <w:sz w:val="16"/>
          <w:szCs w:val="16"/>
          <w:rtl/>
        </w:rPr>
        <w:t>(סקנ"ב)</w:t>
      </w:r>
      <w:r w:rsidR="00A82951">
        <w:rPr>
          <w:rFonts w:cs="Arial" w:hint="cs"/>
          <w:rtl/>
        </w:rPr>
        <w:t>-</w:t>
      </w:r>
      <w:r w:rsidRPr="00BE28BE">
        <w:rPr>
          <w:rFonts w:cs="Arial" w:hint="cs"/>
          <w:rtl/>
        </w:rPr>
        <w:t xml:space="preserve"> </w:t>
      </w:r>
      <w:r w:rsidRPr="00BE28BE">
        <w:rPr>
          <w:rFonts w:cs="Arial"/>
          <w:rtl/>
        </w:rPr>
        <w:t>מה נקרא נהר ומה נקרא מעין יש לדקדק מל' רש"י ז"ל פ' משילין דאם יש לו משך להלאה ממקום מקור נביעתו נקר' נהר ואם אינו מושך להלאה ממקור מקו' נביעתו נקר' מעין ולי יראה דגם אם נמשך המעין ע"י בני אדם שעושין צינור מבנין ממקום נביעת המעין וממשיכין מי המעין ע"י צנור תוך העיר ובונין לפני הצינור שוקת לקבל המים נקרא מעין. ואם מתערבים עם מי המעין מי גשמים אם רובא הוי מי מעין יכולים לכתוב דיתבא על מי מעין אבל אם מחצית המים הם מי גשמים צ"ע. וגומות הנובעים ובונים ע"פ הגומא בנין כמו פי הבורות הם נקראים בארות. ואם במקום בארות כתב מעינות הוי שינוי כמ"ש מהרי"ק שורש ק"ו הובא בב"י כו'</w:t>
      </w:r>
      <w:r>
        <w:rPr>
          <w:rFonts w:cs="Arial" w:hint="cs"/>
          <w:rtl/>
        </w:rPr>
        <w:t>.</w:t>
      </w:r>
      <w:r w:rsidRPr="00BE28BE">
        <w:rPr>
          <w:rFonts w:cs="Arial"/>
          <w:rtl/>
        </w:rPr>
        <w:t xml:space="preserve"> וגומות וחפירות הנובעים דנקראים מעין</w:t>
      </w:r>
      <w:r>
        <w:rPr>
          <w:rFonts w:cs="Arial" w:hint="cs"/>
          <w:rtl/>
        </w:rPr>
        <w:t>,</w:t>
      </w:r>
      <w:r w:rsidRPr="00BE28BE">
        <w:rPr>
          <w:rFonts w:cs="Arial"/>
          <w:rtl/>
        </w:rPr>
        <w:t xml:space="preserve"> אם כתב בארות הוי שינוי כו'</w:t>
      </w:r>
      <w:r>
        <w:rPr>
          <w:rFonts w:cs="Arial" w:hint="cs"/>
          <w:rtl/>
        </w:rPr>
        <w:t>.</w:t>
      </w:r>
      <w:r w:rsidRPr="00BE28BE">
        <w:rPr>
          <w:rFonts w:cs="Arial"/>
          <w:rtl/>
        </w:rPr>
        <w:t xml:space="preserve"> ומ"מ כבר כתבתי דבמקום עיגון ושעת הדחק אם שינה בנהרות ומעינות ובארות ובורות יש להקל מטעם פסק ר"י וחבריו דכ"ד שא"צ לכותבו אם שינה כשר</w:t>
      </w:r>
      <w:r>
        <w:rPr>
          <w:rFonts w:hint="cs"/>
          <w:rtl/>
        </w:rPr>
        <w:t>.</w:t>
      </w:r>
    </w:p>
    <w:p w14:paraId="7D4CF09F" w14:textId="77777777" w:rsidR="00FA2119" w:rsidRDefault="00FA2119" w:rsidP="00FA2119">
      <w:pPr>
        <w:rPr>
          <w:rtl/>
        </w:rPr>
      </w:pPr>
    </w:p>
    <w:p w14:paraId="0BB8101B" w14:textId="77777777" w:rsidR="00FA2119" w:rsidRDefault="00FA2119" w:rsidP="00FA2119">
      <w:pPr>
        <w:pStyle w:val="2"/>
        <w:rPr>
          <w:rtl/>
        </w:rPr>
      </w:pPr>
      <w:r>
        <w:rPr>
          <w:rFonts w:hint="cs"/>
          <w:rtl/>
        </w:rPr>
        <w:t>סעיף</w:t>
      </w:r>
      <w:r>
        <w:rPr>
          <w:rtl/>
        </w:rPr>
        <w:t xml:space="preserve"> </w:t>
      </w:r>
      <w:r>
        <w:rPr>
          <w:rFonts w:hint="cs"/>
          <w:rtl/>
        </w:rPr>
        <w:t xml:space="preserve">ה: </w:t>
      </w:r>
      <w:r w:rsidRPr="007E66B2">
        <w:rPr>
          <w:rFonts w:cs="Arial" w:hint="cs"/>
          <w:rtl/>
        </w:rPr>
        <w:t>כתב</w:t>
      </w:r>
      <w:r w:rsidRPr="007E66B2">
        <w:rPr>
          <w:rFonts w:cs="Arial"/>
          <w:rtl/>
        </w:rPr>
        <w:t xml:space="preserve"> </w:t>
      </w:r>
      <w:r w:rsidRPr="007E66B2">
        <w:rPr>
          <w:rFonts w:cs="Arial" w:hint="cs"/>
          <w:rtl/>
        </w:rPr>
        <w:t>'דיתבא</w:t>
      </w:r>
      <w:r w:rsidRPr="007E66B2">
        <w:rPr>
          <w:rFonts w:cs="Arial"/>
          <w:rtl/>
        </w:rPr>
        <w:t xml:space="preserve"> </w:t>
      </w:r>
      <w:r w:rsidRPr="007E66B2">
        <w:rPr>
          <w:rFonts w:cs="Arial" w:hint="cs"/>
          <w:rtl/>
        </w:rPr>
        <w:t>על</w:t>
      </w:r>
      <w:r w:rsidRPr="007E66B2">
        <w:rPr>
          <w:rFonts w:cs="Arial"/>
          <w:rtl/>
        </w:rPr>
        <w:t xml:space="preserve"> </w:t>
      </w:r>
      <w:r w:rsidRPr="007E66B2">
        <w:rPr>
          <w:rFonts w:cs="Arial" w:hint="cs"/>
          <w:rtl/>
        </w:rPr>
        <w:t>מי</w:t>
      </w:r>
      <w:r w:rsidRPr="007E66B2">
        <w:rPr>
          <w:rFonts w:cs="Arial"/>
          <w:rtl/>
        </w:rPr>
        <w:t xml:space="preserve"> </w:t>
      </w:r>
      <w:r w:rsidRPr="007E66B2">
        <w:rPr>
          <w:rFonts w:cs="Arial" w:hint="cs"/>
          <w:rtl/>
        </w:rPr>
        <w:t>בורות'</w:t>
      </w:r>
      <w:r>
        <w:rPr>
          <w:rFonts w:hint="cs"/>
          <w:rtl/>
        </w:rPr>
        <w:t xml:space="preserve"> במקום שיש רק בארות.</w:t>
      </w:r>
    </w:p>
    <w:p w14:paraId="2F4E9787" w14:textId="1F97B1A3" w:rsidR="00FA2119" w:rsidRPr="007E66B2" w:rsidRDefault="00FA2119" w:rsidP="00FA2119">
      <w:pPr>
        <w:rPr>
          <w:u w:val="single"/>
          <w:rtl/>
        </w:rPr>
      </w:pPr>
      <w:r w:rsidRPr="007E66B2">
        <w:rPr>
          <w:rFonts w:cs="Arial" w:hint="cs"/>
          <w:u w:val="single"/>
          <w:rtl/>
        </w:rPr>
        <w:t>כתב</w:t>
      </w:r>
      <w:r w:rsidRPr="007E66B2">
        <w:rPr>
          <w:rFonts w:cs="Arial"/>
          <w:u w:val="single"/>
          <w:rtl/>
        </w:rPr>
        <w:t xml:space="preserve"> </w:t>
      </w:r>
      <w:r w:rsidRPr="007E66B2">
        <w:rPr>
          <w:rFonts w:cs="Arial" w:hint="cs"/>
          <w:u w:val="single"/>
          <w:rtl/>
        </w:rPr>
        <w:t>'דיתבא</w:t>
      </w:r>
      <w:r w:rsidRPr="007E66B2">
        <w:rPr>
          <w:rFonts w:cs="Arial"/>
          <w:u w:val="single"/>
          <w:rtl/>
        </w:rPr>
        <w:t xml:space="preserve"> </w:t>
      </w:r>
      <w:r w:rsidRPr="007E66B2">
        <w:rPr>
          <w:rFonts w:cs="Arial" w:hint="cs"/>
          <w:u w:val="single"/>
          <w:rtl/>
        </w:rPr>
        <w:t>על</w:t>
      </w:r>
      <w:r w:rsidRPr="007E66B2">
        <w:rPr>
          <w:rFonts w:cs="Arial"/>
          <w:u w:val="single"/>
          <w:rtl/>
        </w:rPr>
        <w:t xml:space="preserve"> </w:t>
      </w:r>
      <w:r w:rsidRPr="007E66B2">
        <w:rPr>
          <w:rFonts w:cs="Arial" w:hint="cs"/>
          <w:u w:val="single"/>
          <w:rtl/>
        </w:rPr>
        <w:t>מי</w:t>
      </w:r>
      <w:r w:rsidRPr="007E66B2">
        <w:rPr>
          <w:rFonts w:cs="Arial"/>
          <w:u w:val="single"/>
          <w:rtl/>
        </w:rPr>
        <w:t xml:space="preserve"> </w:t>
      </w:r>
      <w:r w:rsidRPr="00F55193">
        <w:rPr>
          <w:rFonts w:cs="Arial" w:hint="cs"/>
          <w:b/>
          <w:bCs/>
          <w:u w:val="single"/>
          <w:rtl/>
        </w:rPr>
        <w:t>בורות</w:t>
      </w:r>
      <w:r>
        <w:rPr>
          <w:rFonts w:cs="Arial" w:hint="cs"/>
          <w:u w:val="single"/>
          <w:rtl/>
        </w:rPr>
        <w:t>'</w:t>
      </w:r>
      <w:r>
        <w:rPr>
          <w:rFonts w:cs="Arial" w:hint="cs"/>
          <w:sz w:val="16"/>
          <w:szCs w:val="16"/>
          <w:u w:val="single"/>
          <w:rtl/>
        </w:rPr>
        <w:t xml:space="preserve"> (בור </w:t>
      </w:r>
      <w:r w:rsidR="00A82951">
        <w:rPr>
          <w:rFonts w:cs="Arial"/>
          <w:sz w:val="16"/>
          <w:szCs w:val="16"/>
          <w:u w:val="single"/>
          <w:rtl/>
        </w:rPr>
        <w:t>-</w:t>
      </w:r>
      <w:r>
        <w:rPr>
          <w:rFonts w:cs="Arial" w:hint="cs"/>
          <w:sz w:val="16"/>
          <w:szCs w:val="16"/>
          <w:u w:val="single"/>
          <w:rtl/>
        </w:rPr>
        <w:t xml:space="preserve"> מים לא נובעים)</w:t>
      </w:r>
      <w:r>
        <w:rPr>
          <w:rFonts w:cs="Arial" w:hint="cs"/>
          <w:u w:val="single"/>
          <w:rtl/>
        </w:rPr>
        <w:t>,</w:t>
      </w:r>
      <w:r w:rsidRPr="007E66B2">
        <w:rPr>
          <w:rFonts w:cs="Arial" w:hint="cs"/>
          <w:u w:val="single"/>
          <w:rtl/>
        </w:rPr>
        <w:t xml:space="preserve"> </w:t>
      </w:r>
      <w:r>
        <w:rPr>
          <w:rFonts w:cs="Arial" w:hint="cs"/>
          <w:u w:val="single"/>
          <w:rtl/>
        </w:rPr>
        <w:t>ו</w:t>
      </w:r>
      <w:r w:rsidRPr="007E66B2">
        <w:rPr>
          <w:rFonts w:cs="Arial" w:hint="cs"/>
          <w:u w:val="single"/>
          <w:rtl/>
        </w:rPr>
        <w:t>יש</w:t>
      </w:r>
      <w:r w:rsidRPr="007E66B2">
        <w:rPr>
          <w:rFonts w:cs="Arial"/>
          <w:u w:val="single"/>
          <w:rtl/>
        </w:rPr>
        <w:t xml:space="preserve"> </w:t>
      </w:r>
      <w:r w:rsidRPr="007E66B2">
        <w:rPr>
          <w:rFonts w:cs="Arial" w:hint="cs"/>
          <w:u w:val="single"/>
          <w:rtl/>
        </w:rPr>
        <w:t>בעיר</w:t>
      </w:r>
      <w:r w:rsidRPr="007E66B2">
        <w:rPr>
          <w:rFonts w:cs="Arial"/>
          <w:u w:val="single"/>
          <w:rtl/>
        </w:rPr>
        <w:t xml:space="preserve"> </w:t>
      </w:r>
      <w:r>
        <w:rPr>
          <w:rFonts w:cs="Arial" w:hint="cs"/>
          <w:u w:val="single"/>
          <w:rtl/>
        </w:rPr>
        <w:t xml:space="preserve">רק </w:t>
      </w:r>
      <w:r w:rsidRPr="00F55193">
        <w:rPr>
          <w:rFonts w:cs="Arial" w:hint="cs"/>
          <w:b/>
          <w:bCs/>
          <w:u w:val="single"/>
          <w:rtl/>
        </w:rPr>
        <w:t>בארות</w:t>
      </w:r>
      <w:r w:rsidRPr="007E66B2">
        <w:rPr>
          <w:rFonts w:cs="Arial"/>
          <w:u w:val="single"/>
          <w:rtl/>
        </w:rPr>
        <w:t xml:space="preserve"> </w:t>
      </w:r>
      <w:r w:rsidRPr="007E66B2">
        <w:rPr>
          <w:rFonts w:cs="Arial" w:hint="cs"/>
          <w:u w:val="single"/>
          <w:rtl/>
        </w:rPr>
        <w:t>נובעים:</w:t>
      </w:r>
    </w:p>
    <w:p w14:paraId="7517E6F6" w14:textId="473D62AA" w:rsidR="00FA2119" w:rsidRDefault="00FA2119" w:rsidP="00FA2119">
      <w:pPr>
        <w:pStyle w:val="ab"/>
        <w:numPr>
          <w:ilvl w:val="0"/>
          <w:numId w:val="61"/>
        </w:numPr>
      </w:pPr>
      <w:r w:rsidRPr="007E66B2">
        <w:rPr>
          <w:rFonts w:cs="Arial" w:hint="cs"/>
          <w:rtl/>
        </w:rPr>
        <w:t>הגה"מ</w:t>
      </w:r>
      <w:r w:rsidRPr="007E66B2">
        <w:rPr>
          <w:rFonts w:cs="Arial"/>
          <w:rtl/>
        </w:rPr>
        <w:t xml:space="preserve"> </w:t>
      </w:r>
      <w:r w:rsidRPr="007E66B2">
        <w:rPr>
          <w:rFonts w:cs="Arial" w:hint="cs"/>
          <w:sz w:val="16"/>
          <w:szCs w:val="16"/>
          <w:rtl/>
        </w:rPr>
        <w:t>(פ"ג</w:t>
      </w:r>
      <w:r w:rsidRPr="007E66B2">
        <w:rPr>
          <w:rFonts w:cs="Arial"/>
          <w:sz w:val="16"/>
          <w:szCs w:val="16"/>
          <w:rtl/>
        </w:rPr>
        <w:t xml:space="preserve"> </w:t>
      </w:r>
      <w:r w:rsidRPr="007E66B2">
        <w:rPr>
          <w:rFonts w:cs="Arial" w:hint="cs"/>
          <w:sz w:val="16"/>
          <w:szCs w:val="16"/>
          <w:rtl/>
        </w:rPr>
        <w:t>ד"ק</w:t>
      </w:r>
      <w:r w:rsidRPr="007E66B2">
        <w:rPr>
          <w:rFonts w:cs="Arial"/>
          <w:sz w:val="16"/>
          <w:szCs w:val="16"/>
          <w:rtl/>
        </w:rPr>
        <w:t xml:space="preserve"> </w:t>
      </w:r>
      <w:r w:rsidRPr="007E66B2">
        <w:rPr>
          <w:rFonts w:cs="Arial" w:hint="cs"/>
          <w:sz w:val="16"/>
          <w:szCs w:val="16"/>
          <w:rtl/>
        </w:rPr>
        <w:t>הי</w:t>
      </w:r>
      <w:r w:rsidRPr="007E66B2">
        <w:rPr>
          <w:rFonts w:cs="Arial"/>
          <w:sz w:val="16"/>
          <w:szCs w:val="16"/>
          <w:rtl/>
        </w:rPr>
        <w:t>"</w:t>
      </w:r>
      <w:r w:rsidRPr="007E66B2">
        <w:rPr>
          <w:rFonts w:cs="Arial" w:hint="cs"/>
          <w:sz w:val="16"/>
          <w:szCs w:val="16"/>
          <w:rtl/>
        </w:rPr>
        <w:t>ד</w:t>
      </w:r>
      <w:r w:rsidRPr="007E66B2">
        <w:rPr>
          <w:rFonts w:cs="Arial"/>
          <w:sz w:val="16"/>
          <w:szCs w:val="16"/>
          <w:rtl/>
        </w:rPr>
        <w:t xml:space="preserve">) </w:t>
      </w:r>
      <w:r w:rsidRPr="007E66B2">
        <w:rPr>
          <w:rFonts w:cs="Arial" w:hint="cs"/>
          <w:rtl/>
        </w:rPr>
        <w:t>בשם</w:t>
      </w:r>
      <w:r w:rsidRPr="007E66B2">
        <w:rPr>
          <w:rFonts w:cs="Arial"/>
          <w:rtl/>
        </w:rPr>
        <w:t xml:space="preserve"> </w:t>
      </w:r>
      <w:r w:rsidRPr="007E66B2">
        <w:rPr>
          <w:rFonts w:cs="Arial" w:hint="cs"/>
          <w:rtl/>
        </w:rPr>
        <w:t>התוספות</w:t>
      </w:r>
      <w:r w:rsidR="00A82951">
        <w:rPr>
          <w:rFonts w:cs="Arial" w:hint="cs"/>
          <w:rtl/>
        </w:rPr>
        <w:t>-</w:t>
      </w:r>
      <w:r w:rsidRPr="007E66B2">
        <w:rPr>
          <w:rFonts w:cs="Arial" w:hint="cs"/>
          <w:rtl/>
        </w:rPr>
        <w:t xml:space="preserve"> אם</w:t>
      </w:r>
      <w:r w:rsidRPr="007E66B2">
        <w:rPr>
          <w:rFonts w:cs="Arial"/>
          <w:rtl/>
        </w:rPr>
        <w:t xml:space="preserve"> </w:t>
      </w:r>
      <w:r w:rsidRPr="007E66B2">
        <w:rPr>
          <w:rFonts w:cs="Arial" w:hint="cs"/>
          <w:rtl/>
        </w:rPr>
        <w:t>יש</w:t>
      </w:r>
      <w:r w:rsidRPr="007E66B2">
        <w:rPr>
          <w:rFonts w:cs="Arial"/>
          <w:rtl/>
        </w:rPr>
        <w:t xml:space="preserve"> </w:t>
      </w:r>
      <w:r w:rsidRPr="007E66B2">
        <w:rPr>
          <w:rFonts w:cs="Arial" w:hint="cs"/>
          <w:rtl/>
        </w:rPr>
        <w:t>בעיר</w:t>
      </w:r>
      <w:r w:rsidRPr="007E66B2">
        <w:rPr>
          <w:rFonts w:cs="Arial"/>
          <w:rtl/>
        </w:rPr>
        <w:t xml:space="preserve"> </w:t>
      </w:r>
      <w:r w:rsidRPr="007E66B2">
        <w:rPr>
          <w:rFonts w:cs="Arial" w:hint="cs"/>
          <w:rtl/>
        </w:rPr>
        <w:t>בארות</w:t>
      </w:r>
      <w:r w:rsidRPr="007E66B2">
        <w:rPr>
          <w:rFonts w:cs="Arial"/>
          <w:rtl/>
        </w:rPr>
        <w:t xml:space="preserve"> </w:t>
      </w:r>
      <w:r w:rsidRPr="007E66B2">
        <w:rPr>
          <w:rFonts w:cs="Arial" w:hint="cs"/>
          <w:rtl/>
        </w:rPr>
        <w:t>נובעים</w:t>
      </w:r>
      <w:r w:rsidRPr="007E66B2">
        <w:rPr>
          <w:rFonts w:cs="Arial"/>
          <w:rtl/>
        </w:rPr>
        <w:t xml:space="preserve"> </w:t>
      </w:r>
      <w:r w:rsidRPr="007E66B2">
        <w:rPr>
          <w:rFonts w:cs="Arial" w:hint="cs"/>
          <w:rtl/>
        </w:rPr>
        <w:t>וכתב</w:t>
      </w:r>
      <w:r w:rsidRPr="007E66B2">
        <w:rPr>
          <w:rFonts w:cs="Arial"/>
          <w:rtl/>
        </w:rPr>
        <w:t xml:space="preserve"> </w:t>
      </w:r>
      <w:r w:rsidRPr="007E66B2">
        <w:rPr>
          <w:rFonts w:cs="Arial" w:hint="cs"/>
          <w:rtl/>
        </w:rPr>
        <w:t>דיתבא</w:t>
      </w:r>
      <w:r w:rsidRPr="007E66B2">
        <w:rPr>
          <w:rFonts w:cs="Arial"/>
          <w:rtl/>
        </w:rPr>
        <w:t xml:space="preserve"> </w:t>
      </w:r>
      <w:r w:rsidRPr="007E66B2">
        <w:rPr>
          <w:rFonts w:cs="Arial" w:hint="cs"/>
          <w:rtl/>
        </w:rPr>
        <w:t>על</w:t>
      </w:r>
      <w:r w:rsidRPr="007E66B2">
        <w:rPr>
          <w:rFonts w:cs="Arial"/>
          <w:rtl/>
        </w:rPr>
        <w:t xml:space="preserve"> </w:t>
      </w:r>
      <w:r w:rsidRPr="007E66B2">
        <w:rPr>
          <w:rFonts w:cs="Arial" w:hint="cs"/>
          <w:rtl/>
        </w:rPr>
        <w:t>מי</w:t>
      </w:r>
      <w:r w:rsidRPr="007E66B2">
        <w:rPr>
          <w:rFonts w:cs="Arial"/>
          <w:rtl/>
        </w:rPr>
        <w:t xml:space="preserve"> </w:t>
      </w:r>
      <w:r w:rsidRPr="007E66B2">
        <w:rPr>
          <w:rFonts w:cs="Arial" w:hint="cs"/>
          <w:rtl/>
        </w:rPr>
        <w:t xml:space="preserve">בורות </w:t>
      </w:r>
      <w:r w:rsidR="00A82951">
        <w:rPr>
          <w:rFonts w:cs="Arial" w:hint="cs"/>
          <w:rtl/>
        </w:rPr>
        <w:t>-</w:t>
      </w:r>
      <w:r w:rsidRPr="007E66B2">
        <w:rPr>
          <w:rFonts w:cs="Arial" w:hint="cs"/>
          <w:rtl/>
        </w:rPr>
        <w:t xml:space="preserve"> כשר</w:t>
      </w:r>
      <w:r>
        <w:rPr>
          <w:rFonts w:cs="Arial" w:hint="cs"/>
          <w:rtl/>
        </w:rPr>
        <w:t>,</w:t>
      </w:r>
      <w:r w:rsidRPr="007E66B2">
        <w:rPr>
          <w:rFonts w:cs="Arial"/>
          <w:rtl/>
        </w:rPr>
        <w:t xml:space="preserve"> </w:t>
      </w:r>
      <w:r w:rsidRPr="007E66B2">
        <w:rPr>
          <w:rFonts w:cs="Arial" w:hint="cs"/>
          <w:rtl/>
        </w:rPr>
        <w:t>שאע</w:t>
      </w:r>
      <w:r w:rsidRPr="007E66B2">
        <w:rPr>
          <w:rFonts w:cs="Arial"/>
          <w:rtl/>
        </w:rPr>
        <w:t>"</w:t>
      </w:r>
      <w:r w:rsidRPr="007E66B2">
        <w:rPr>
          <w:rFonts w:cs="Arial" w:hint="cs"/>
          <w:rtl/>
        </w:rPr>
        <w:t>פ</w:t>
      </w:r>
      <w:r w:rsidRPr="007E66B2">
        <w:rPr>
          <w:rFonts w:cs="Arial"/>
          <w:rtl/>
        </w:rPr>
        <w:t xml:space="preserve"> </w:t>
      </w:r>
      <w:r w:rsidRPr="007E66B2">
        <w:rPr>
          <w:rFonts w:cs="Arial" w:hint="cs"/>
          <w:rtl/>
        </w:rPr>
        <w:t>שנובעים</w:t>
      </w:r>
      <w:r w:rsidRPr="007E66B2">
        <w:rPr>
          <w:rFonts w:cs="Arial"/>
          <w:rtl/>
        </w:rPr>
        <w:t xml:space="preserve"> </w:t>
      </w:r>
      <w:r w:rsidR="00A82951">
        <w:rPr>
          <w:rFonts w:cs="Arial" w:hint="cs"/>
          <w:rtl/>
        </w:rPr>
        <w:t>-</w:t>
      </w:r>
      <w:r>
        <w:rPr>
          <w:rFonts w:cs="Arial" w:hint="cs"/>
          <w:rtl/>
        </w:rPr>
        <w:t xml:space="preserve"> </w:t>
      </w:r>
      <w:r w:rsidRPr="007E66B2">
        <w:rPr>
          <w:rFonts w:cs="Arial" w:hint="cs"/>
          <w:rtl/>
        </w:rPr>
        <w:t>מיקרו</w:t>
      </w:r>
      <w:r w:rsidRPr="007E66B2">
        <w:rPr>
          <w:rFonts w:cs="Arial"/>
          <w:rtl/>
        </w:rPr>
        <w:t xml:space="preserve"> </w:t>
      </w:r>
      <w:r w:rsidRPr="007E66B2">
        <w:rPr>
          <w:rFonts w:cs="Arial" w:hint="cs"/>
          <w:rtl/>
        </w:rPr>
        <w:t>שפיר</w:t>
      </w:r>
      <w:r w:rsidRPr="007E66B2">
        <w:rPr>
          <w:rFonts w:cs="Arial"/>
          <w:rtl/>
        </w:rPr>
        <w:t xml:space="preserve"> </w:t>
      </w:r>
      <w:r w:rsidRPr="007E66B2">
        <w:rPr>
          <w:rFonts w:cs="Arial" w:hint="cs"/>
          <w:rtl/>
        </w:rPr>
        <w:t>בורות</w:t>
      </w:r>
      <w:r>
        <w:rPr>
          <w:rFonts w:cs="Arial" w:hint="cs"/>
          <w:rtl/>
        </w:rPr>
        <w:t>,</w:t>
      </w:r>
      <w:r w:rsidRPr="007E66B2">
        <w:rPr>
          <w:rFonts w:cs="Arial"/>
          <w:rtl/>
        </w:rPr>
        <w:t xml:space="preserve"> </w:t>
      </w:r>
      <w:r w:rsidRPr="007E66B2">
        <w:rPr>
          <w:rFonts w:cs="Arial" w:hint="cs"/>
          <w:rtl/>
        </w:rPr>
        <w:t>כדאיתא</w:t>
      </w:r>
      <w:r w:rsidRPr="007E66B2">
        <w:rPr>
          <w:rFonts w:cs="Arial"/>
          <w:rtl/>
        </w:rPr>
        <w:t xml:space="preserve"> </w:t>
      </w:r>
      <w:r w:rsidRPr="007E66B2">
        <w:rPr>
          <w:rFonts w:cs="Arial" w:hint="cs"/>
          <w:rtl/>
        </w:rPr>
        <w:t>גבי</w:t>
      </w:r>
      <w:r w:rsidRPr="007E66B2">
        <w:rPr>
          <w:rFonts w:cs="Arial"/>
          <w:rtl/>
        </w:rPr>
        <w:t xml:space="preserve"> </w:t>
      </w:r>
      <w:r w:rsidRPr="007E66B2">
        <w:rPr>
          <w:rFonts w:cs="Arial" w:hint="cs"/>
          <w:rtl/>
        </w:rPr>
        <w:t>בור</w:t>
      </w:r>
      <w:r w:rsidRPr="007E66B2">
        <w:rPr>
          <w:rFonts w:cs="Arial"/>
          <w:rtl/>
        </w:rPr>
        <w:t xml:space="preserve"> </w:t>
      </w:r>
      <w:r w:rsidRPr="007E66B2">
        <w:rPr>
          <w:rFonts w:cs="Arial" w:hint="cs"/>
          <w:rtl/>
        </w:rPr>
        <w:t>היחיד</w:t>
      </w:r>
      <w:r w:rsidRPr="007E66B2">
        <w:rPr>
          <w:rFonts w:cs="Arial"/>
          <w:rtl/>
        </w:rPr>
        <w:t xml:space="preserve"> </w:t>
      </w:r>
      <w:r w:rsidRPr="007E66B2">
        <w:rPr>
          <w:rFonts w:cs="Arial" w:hint="cs"/>
          <w:rtl/>
        </w:rPr>
        <w:t>בפרק</w:t>
      </w:r>
      <w:r w:rsidRPr="007E66B2">
        <w:rPr>
          <w:rFonts w:cs="Arial"/>
          <w:rtl/>
        </w:rPr>
        <w:t xml:space="preserve"> </w:t>
      </w:r>
      <w:r w:rsidRPr="007E66B2">
        <w:rPr>
          <w:rFonts w:cs="Arial" w:hint="cs"/>
          <w:rtl/>
        </w:rPr>
        <w:t>עושין</w:t>
      </w:r>
      <w:r w:rsidRPr="007E66B2">
        <w:rPr>
          <w:rFonts w:cs="Arial"/>
          <w:rtl/>
        </w:rPr>
        <w:t xml:space="preserve"> </w:t>
      </w:r>
      <w:r w:rsidRPr="007E66B2">
        <w:rPr>
          <w:rFonts w:cs="Arial" w:hint="cs"/>
          <w:rtl/>
        </w:rPr>
        <w:t>פסין</w:t>
      </w:r>
      <w:r w:rsidRPr="007E66B2">
        <w:rPr>
          <w:rFonts w:cs="Arial"/>
          <w:rtl/>
        </w:rPr>
        <w:t xml:space="preserve"> (</w:t>
      </w:r>
      <w:r w:rsidRPr="007E66B2">
        <w:rPr>
          <w:rFonts w:cs="Arial" w:hint="cs"/>
          <w:rtl/>
        </w:rPr>
        <w:t>עירובין</w:t>
      </w:r>
      <w:r w:rsidRPr="007E66B2">
        <w:rPr>
          <w:rFonts w:cs="Arial"/>
          <w:rtl/>
        </w:rPr>
        <w:t xml:space="preserve"> </w:t>
      </w:r>
      <w:r w:rsidRPr="007E66B2">
        <w:rPr>
          <w:rFonts w:cs="Arial" w:hint="cs"/>
          <w:rtl/>
        </w:rPr>
        <w:t>יח</w:t>
      </w:r>
      <w:r w:rsidRPr="007E66B2">
        <w:rPr>
          <w:rFonts w:cs="Arial"/>
          <w:rtl/>
        </w:rPr>
        <w:t>.)</w:t>
      </w:r>
      <w:r>
        <w:rPr>
          <w:rFonts w:cs="Arial" w:hint="cs"/>
          <w:rtl/>
        </w:rPr>
        <w:t>.</w:t>
      </w:r>
      <w:r w:rsidRPr="007E66B2">
        <w:rPr>
          <w:rFonts w:cs="Arial"/>
          <w:rtl/>
        </w:rPr>
        <w:t xml:space="preserve"> </w:t>
      </w:r>
      <w:r w:rsidRPr="00F55193">
        <w:rPr>
          <w:rFonts w:hint="cs"/>
          <w:color w:val="E36C0A" w:themeColor="accent6" w:themeShade="BF"/>
          <w:rtl/>
        </w:rPr>
        <w:t>(וכ"פ בשו"ע)</w:t>
      </w:r>
    </w:p>
    <w:p w14:paraId="3104722A" w14:textId="54D794B9" w:rsidR="00FA2119" w:rsidRPr="00F55193" w:rsidRDefault="00FA2119" w:rsidP="00FA2119">
      <w:pPr>
        <w:rPr>
          <w:u w:val="single"/>
        </w:rPr>
      </w:pPr>
      <w:r w:rsidRPr="00F55193">
        <w:rPr>
          <w:rFonts w:hint="cs"/>
          <w:u w:val="single"/>
          <w:rtl/>
        </w:rPr>
        <w:t xml:space="preserve">עיר שיש בה הרבה בורות, וגם מעיין במרחק יותר משני מילין </w:t>
      </w:r>
      <w:r w:rsidR="00A82951">
        <w:rPr>
          <w:u w:val="single"/>
          <w:rtl/>
        </w:rPr>
        <w:t>-</w:t>
      </w:r>
      <w:r w:rsidRPr="00F55193">
        <w:rPr>
          <w:rFonts w:hint="cs"/>
          <w:u w:val="single"/>
          <w:rtl/>
        </w:rPr>
        <w:t xml:space="preserve"> מה יכתוב: </w:t>
      </w:r>
    </w:p>
    <w:p w14:paraId="129C8669" w14:textId="20D4D050" w:rsidR="00FA2119" w:rsidRPr="0090777D" w:rsidRDefault="00FA2119" w:rsidP="00FA2119">
      <w:pPr>
        <w:pStyle w:val="ab"/>
        <w:numPr>
          <w:ilvl w:val="0"/>
          <w:numId w:val="61"/>
        </w:numPr>
        <w:rPr>
          <w:rtl/>
        </w:rPr>
      </w:pPr>
      <w:r w:rsidRPr="007E66B2">
        <w:rPr>
          <w:rFonts w:cs="Arial" w:hint="cs"/>
          <w:rtl/>
        </w:rPr>
        <w:t>מהרי</w:t>
      </w:r>
      <w:r w:rsidRPr="007E66B2">
        <w:rPr>
          <w:rFonts w:cs="Arial"/>
          <w:rtl/>
        </w:rPr>
        <w:t>"</w:t>
      </w:r>
      <w:r w:rsidRPr="007E66B2">
        <w:rPr>
          <w:rFonts w:cs="Arial" w:hint="cs"/>
          <w:rtl/>
        </w:rPr>
        <w:t>ק</w:t>
      </w:r>
      <w:r w:rsidRPr="007E66B2">
        <w:rPr>
          <w:rFonts w:cs="Arial"/>
          <w:rtl/>
        </w:rPr>
        <w:t xml:space="preserve"> </w:t>
      </w:r>
      <w:r>
        <w:rPr>
          <w:rFonts w:cs="Arial" w:hint="cs"/>
          <w:sz w:val="16"/>
          <w:szCs w:val="16"/>
          <w:rtl/>
        </w:rPr>
        <w:t>(</w:t>
      </w:r>
      <w:r w:rsidRPr="00F55193">
        <w:rPr>
          <w:rFonts w:cs="Arial" w:hint="cs"/>
          <w:sz w:val="16"/>
          <w:szCs w:val="16"/>
          <w:rtl/>
        </w:rPr>
        <w:t>שורש</w:t>
      </w:r>
      <w:r w:rsidRPr="00F55193">
        <w:rPr>
          <w:rFonts w:cs="Arial"/>
          <w:sz w:val="16"/>
          <w:szCs w:val="16"/>
          <w:rtl/>
        </w:rPr>
        <w:t xml:space="preserve"> </w:t>
      </w:r>
      <w:r w:rsidRPr="00F55193">
        <w:rPr>
          <w:rFonts w:cs="Arial" w:hint="cs"/>
          <w:sz w:val="16"/>
          <w:szCs w:val="16"/>
          <w:rtl/>
        </w:rPr>
        <w:t>קו)</w:t>
      </w:r>
      <w:r w:rsidR="00A82951">
        <w:rPr>
          <w:rFonts w:cs="Arial" w:hint="cs"/>
          <w:rtl/>
        </w:rPr>
        <w:t>-</w:t>
      </w:r>
      <w:r>
        <w:rPr>
          <w:rFonts w:cs="Arial" w:hint="cs"/>
          <w:rtl/>
        </w:rPr>
        <w:t xml:space="preserve"> </w:t>
      </w:r>
      <w:r w:rsidRPr="007E66B2">
        <w:rPr>
          <w:rFonts w:cs="Arial" w:hint="cs"/>
          <w:rtl/>
        </w:rPr>
        <w:t>אם</w:t>
      </w:r>
      <w:r w:rsidRPr="007E66B2">
        <w:rPr>
          <w:rFonts w:cs="Arial"/>
          <w:rtl/>
        </w:rPr>
        <w:t xml:space="preserve"> </w:t>
      </w:r>
      <w:r w:rsidRPr="007E66B2">
        <w:rPr>
          <w:rFonts w:cs="Arial" w:hint="cs"/>
          <w:rtl/>
        </w:rPr>
        <w:t>יש</w:t>
      </w:r>
      <w:r w:rsidRPr="007E66B2">
        <w:rPr>
          <w:rFonts w:cs="Arial"/>
          <w:rtl/>
        </w:rPr>
        <w:t xml:space="preserve"> </w:t>
      </w:r>
      <w:r w:rsidRPr="007E66B2">
        <w:rPr>
          <w:rFonts w:cs="Arial" w:hint="cs"/>
          <w:rtl/>
        </w:rPr>
        <w:t>מעין</w:t>
      </w:r>
      <w:r w:rsidRPr="007E66B2">
        <w:rPr>
          <w:rFonts w:cs="Arial"/>
          <w:rtl/>
        </w:rPr>
        <w:t xml:space="preserve"> </w:t>
      </w:r>
      <w:r w:rsidRPr="007E66B2">
        <w:rPr>
          <w:rFonts w:cs="Arial" w:hint="cs"/>
          <w:rtl/>
        </w:rPr>
        <w:t>רחוק</w:t>
      </w:r>
      <w:r w:rsidRPr="007E66B2">
        <w:rPr>
          <w:rFonts w:cs="Arial"/>
          <w:rtl/>
        </w:rPr>
        <w:t xml:space="preserve"> </w:t>
      </w:r>
      <w:r w:rsidRPr="007E66B2">
        <w:rPr>
          <w:rFonts w:cs="Arial" w:hint="cs"/>
          <w:rtl/>
        </w:rPr>
        <w:t>מהעיר</w:t>
      </w:r>
      <w:r w:rsidRPr="007E66B2">
        <w:rPr>
          <w:rFonts w:cs="Arial"/>
          <w:rtl/>
        </w:rPr>
        <w:t xml:space="preserve"> </w:t>
      </w:r>
      <w:r w:rsidRPr="007E66B2">
        <w:rPr>
          <w:rFonts w:cs="Arial" w:hint="cs"/>
          <w:rtl/>
        </w:rPr>
        <w:t>יותר</w:t>
      </w:r>
      <w:r w:rsidRPr="007E66B2">
        <w:rPr>
          <w:rFonts w:cs="Arial"/>
          <w:rtl/>
        </w:rPr>
        <w:t xml:space="preserve"> </w:t>
      </w:r>
      <w:r w:rsidRPr="007E66B2">
        <w:rPr>
          <w:rFonts w:cs="Arial" w:hint="cs"/>
          <w:rtl/>
        </w:rPr>
        <w:t>משני</w:t>
      </w:r>
      <w:r w:rsidRPr="007E66B2">
        <w:rPr>
          <w:rFonts w:cs="Arial"/>
          <w:rtl/>
        </w:rPr>
        <w:t xml:space="preserve"> </w:t>
      </w:r>
      <w:r w:rsidRPr="007E66B2">
        <w:rPr>
          <w:rFonts w:cs="Arial" w:hint="cs"/>
          <w:rtl/>
        </w:rPr>
        <w:t>מילין</w:t>
      </w:r>
      <w:r w:rsidRPr="007E66B2">
        <w:rPr>
          <w:rFonts w:cs="Arial"/>
          <w:rtl/>
        </w:rPr>
        <w:t xml:space="preserve"> </w:t>
      </w:r>
      <w:r w:rsidRPr="007E66B2">
        <w:rPr>
          <w:rFonts w:cs="Arial" w:hint="cs"/>
          <w:rtl/>
        </w:rPr>
        <w:t>ואין</w:t>
      </w:r>
      <w:r w:rsidRPr="007E66B2">
        <w:rPr>
          <w:rFonts w:cs="Arial"/>
          <w:rtl/>
        </w:rPr>
        <w:t xml:space="preserve"> </w:t>
      </w:r>
      <w:r w:rsidRPr="007E66B2">
        <w:rPr>
          <w:rFonts w:cs="Arial" w:hint="cs"/>
          <w:rtl/>
        </w:rPr>
        <w:t>קרוב</w:t>
      </w:r>
      <w:r w:rsidRPr="007E66B2">
        <w:rPr>
          <w:rFonts w:cs="Arial"/>
          <w:rtl/>
        </w:rPr>
        <w:t xml:space="preserve"> </w:t>
      </w:r>
      <w:r w:rsidRPr="007E66B2">
        <w:rPr>
          <w:rFonts w:cs="Arial" w:hint="cs"/>
          <w:rtl/>
        </w:rPr>
        <w:t>יותר</w:t>
      </w:r>
      <w:r w:rsidRPr="007E66B2">
        <w:rPr>
          <w:rFonts w:cs="Arial"/>
          <w:rtl/>
        </w:rPr>
        <w:t xml:space="preserve"> </w:t>
      </w:r>
      <w:r w:rsidRPr="007E66B2">
        <w:rPr>
          <w:rFonts w:cs="Arial" w:hint="cs"/>
          <w:rtl/>
        </w:rPr>
        <w:t>מזה</w:t>
      </w:r>
      <w:r w:rsidRPr="007E66B2">
        <w:rPr>
          <w:rFonts w:cs="Arial"/>
          <w:rtl/>
        </w:rPr>
        <w:t xml:space="preserve"> </w:t>
      </w:r>
      <w:r w:rsidRPr="007E66B2">
        <w:rPr>
          <w:rFonts w:cs="Arial" w:hint="cs"/>
          <w:rtl/>
        </w:rPr>
        <w:t>וכל</w:t>
      </w:r>
      <w:r w:rsidRPr="007E66B2">
        <w:rPr>
          <w:rFonts w:cs="Arial"/>
          <w:rtl/>
        </w:rPr>
        <w:t xml:space="preserve"> </w:t>
      </w:r>
      <w:r w:rsidRPr="007E66B2">
        <w:rPr>
          <w:rFonts w:cs="Arial" w:hint="cs"/>
          <w:rtl/>
        </w:rPr>
        <w:t>העיר</w:t>
      </w:r>
      <w:r w:rsidRPr="007E66B2">
        <w:rPr>
          <w:rFonts w:cs="Arial"/>
          <w:rtl/>
        </w:rPr>
        <w:t xml:space="preserve"> </w:t>
      </w:r>
      <w:r w:rsidRPr="007E66B2">
        <w:rPr>
          <w:rFonts w:cs="Arial" w:hint="cs"/>
          <w:rtl/>
        </w:rPr>
        <w:t>מלאה</w:t>
      </w:r>
      <w:r w:rsidRPr="007E66B2">
        <w:rPr>
          <w:rFonts w:cs="Arial"/>
          <w:rtl/>
        </w:rPr>
        <w:t xml:space="preserve"> </w:t>
      </w:r>
      <w:r w:rsidRPr="007E66B2">
        <w:rPr>
          <w:rFonts w:cs="Arial" w:hint="cs"/>
          <w:rtl/>
        </w:rPr>
        <w:t>בארות</w:t>
      </w:r>
      <w:r w:rsidRPr="007E66B2">
        <w:rPr>
          <w:rFonts w:cs="Arial"/>
          <w:rtl/>
        </w:rPr>
        <w:t xml:space="preserve"> </w:t>
      </w:r>
      <w:r w:rsidR="00A82951">
        <w:rPr>
          <w:rFonts w:cs="Arial" w:hint="cs"/>
          <w:rtl/>
        </w:rPr>
        <w:t>-</w:t>
      </w:r>
      <w:r>
        <w:rPr>
          <w:rFonts w:cs="Arial" w:hint="cs"/>
          <w:rtl/>
        </w:rPr>
        <w:t xml:space="preserve"> </w:t>
      </w:r>
      <w:r w:rsidRPr="007E66B2">
        <w:rPr>
          <w:rFonts w:cs="Arial" w:hint="cs"/>
          <w:rtl/>
        </w:rPr>
        <w:t>דבר</w:t>
      </w:r>
      <w:r w:rsidRPr="007E66B2">
        <w:rPr>
          <w:rFonts w:cs="Arial"/>
          <w:rtl/>
        </w:rPr>
        <w:t xml:space="preserve"> </w:t>
      </w:r>
      <w:r w:rsidRPr="007E66B2">
        <w:rPr>
          <w:rFonts w:cs="Arial" w:hint="cs"/>
          <w:rtl/>
        </w:rPr>
        <w:t>פשוט</w:t>
      </w:r>
      <w:r w:rsidRPr="007E66B2">
        <w:rPr>
          <w:rFonts w:cs="Arial"/>
          <w:rtl/>
        </w:rPr>
        <w:t xml:space="preserve"> </w:t>
      </w:r>
      <w:r w:rsidRPr="007E66B2">
        <w:rPr>
          <w:rFonts w:cs="Arial" w:hint="cs"/>
          <w:rtl/>
        </w:rPr>
        <w:t>הוא</w:t>
      </w:r>
      <w:r w:rsidRPr="007E66B2">
        <w:rPr>
          <w:rFonts w:cs="Arial"/>
          <w:rtl/>
        </w:rPr>
        <w:t xml:space="preserve"> </w:t>
      </w:r>
      <w:r>
        <w:rPr>
          <w:rFonts w:cs="Arial" w:hint="cs"/>
          <w:rtl/>
        </w:rPr>
        <w:t>(שאין)[</w:t>
      </w:r>
      <w:r w:rsidRPr="007E66B2">
        <w:rPr>
          <w:rFonts w:cs="Arial" w:hint="cs"/>
          <w:rtl/>
        </w:rPr>
        <w:t>ש</w:t>
      </w:r>
      <w:r>
        <w:rPr>
          <w:rFonts w:cs="Arial" w:hint="cs"/>
          <w:rtl/>
        </w:rPr>
        <w:t>יש]</w:t>
      </w:r>
      <w:r>
        <w:rPr>
          <w:rStyle w:val="a7"/>
          <w:rFonts w:cs="Arial"/>
          <w:rtl/>
        </w:rPr>
        <w:footnoteReference w:id="1016"/>
      </w:r>
      <w:r w:rsidRPr="007E66B2">
        <w:rPr>
          <w:rFonts w:cs="Arial"/>
          <w:rtl/>
        </w:rPr>
        <w:t xml:space="preserve"> </w:t>
      </w:r>
      <w:r w:rsidRPr="007E66B2">
        <w:rPr>
          <w:rFonts w:cs="Arial" w:hint="cs"/>
          <w:rtl/>
        </w:rPr>
        <w:t>לכתוב</w:t>
      </w:r>
      <w:r w:rsidRPr="007E66B2">
        <w:rPr>
          <w:rFonts w:cs="Arial"/>
          <w:rtl/>
        </w:rPr>
        <w:t xml:space="preserve"> </w:t>
      </w:r>
      <w:r w:rsidRPr="007E66B2">
        <w:rPr>
          <w:rFonts w:cs="Arial" w:hint="cs"/>
          <w:rtl/>
        </w:rPr>
        <w:t>בארות</w:t>
      </w:r>
      <w:r w:rsidRPr="007E66B2">
        <w:rPr>
          <w:rFonts w:cs="Arial"/>
          <w:rtl/>
        </w:rPr>
        <w:t xml:space="preserve"> </w:t>
      </w:r>
      <w:r w:rsidRPr="007E66B2">
        <w:rPr>
          <w:rFonts w:cs="Arial" w:hint="cs"/>
          <w:rtl/>
        </w:rPr>
        <w:t>ולא</w:t>
      </w:r>
      <w:r w:rsidRPr="007E66B2">
        <w:rPr>
          <w:rFonts w:cs="Arial"/>
          <w:rtl/>
        </w:rPr>
        <w:t xml:space="preserve"> </w:t>
      </w:r>
      <w:r w:rsidRPr="007E66B2">
        <w:rPr>
          <w:rFonts w:cs="Arial" w:hint="cs"/>
          <w:rtl/>
        </w:rPr>
        <w:t>מעינות</w:t>
      </w:r>
      <w:r>
        <w:rPr>
          <w:rFonts w:cs="Arial" w:hint="cs"/>
          <w:rtl/>
        </w:rPr>
        <w:t>,</w:t>
      </w:r>
      <w:r w:rsidRPr="007E66B2">
        <w:rPr>
          <w:rFonts w:cs="Arial"/>
          <w:rtl/>
        </w:rPr>
        <w:t xml:space="preserve"> </w:t>
      </w:r>
      <w:r w:rsidRPr="007E66B2">
        <w:rPr>
          <w:rFonts w:cs="Arial" w:hint="cs"/>
          <w:rtl/>
        </w:rPr>
        <w:t>ואם</w:t>
      </w:r>
      <w:r w:rsidRPr="007E66B2">
        <w:rPr>
          <w:rFonts w:cs="Arial"/>
          <w:rtl/>
        </w:rPr>
        <w:t xml:space="preserve"> </w:t>
      </w:r>
      <w:r w:rsidRPr="007E66B2">
        <w:rPr>
          <w:rFonts w:cs="Arial" w:hint="cs"/>
          <w:rtl/>
        </w:rPr>
        <w:t>יכתבו</w:t>
      </w:r>
      <w:r w:rsidRPr="007E66B2">
        <w:rPr>
          <w:rFonts w:cs="Arial"/>
          <w:rtl/>
        </w:rPr>
        <w:t xml:space="preserve"> </w:t>
      </w:r>
      <w:r w:rsidRPr="007E66B2">
        <w:rPr>
          <w:rFonts w:cs="Arial" w:hint="cs"/>
          <w:rtl/>
        </w:rPr>
        <w:t>מעינות</w:t>
      </w:r>
      <w:r w:rsidRPr="007E66B2">
        <w:rPr>
          <w:rFonts w:cs="Arial"/>
          <w:rtl/>
        </w:rPr>
        <w:t xml:space="preserve"> </w:t>
      </w:r>
      <w:r w:rsidR="00A82951">
        <w:rPr>
          <w:rFonts w:cs="Arial" w:hint="cs"/>
          <w:rtl/>
        </w:rPr>
        <w:t>-</w:t>
      </w:r>
      <w:r>
        <w:rPr>
          <w:rFonts w:cs="Arial" w:hint="cs"/>
          <w:rtl/>
        </w:rPr>
        <w:t xml:space="preserve"> </w:t>
      </w:r>
      <w:r w:rsidRPr="007E66B2">
        <w:rPr>
          <w:rFonts w:cs="Arial" w:hint="cs"/>
          <w:rtl/>
        </w:rPr>
        <w:t>הוי</w:t>
      </w:r>
      <w:r w:rsidRPr="007E66B2">
        <w:rPr>
          <w:rFonts w:cs="Arial"/>
          <w:rtl/>
        </w:rPr>
        <w:t xml:space="preserve"> </w:t>
      </w:r>
      <w:r w:rsidRPr="007E66B2">
        <w:rPr>
          <w:rFonts w:cs="Arial" w:hint="cs"/>
          <w:rtl/>
        </w:rPr>
        <w:t>גט</w:t>
      </w:r>
      <w:r w:rsidRPr="007E66B2">
        <w:rPr>
          <w:rFonts w:cs="Arial"/>
          <w:rtl/>
        </w:rPr>
        <w:t xml:space="preserve"> </w:t>
      </w:r>
      <w:r w:rsidRPr="007E66B2">
        <w:rPr>
          <w:rFonts w:cs="Arial" w:hint="cs"/>
          <w:rtl/>
        </w:rPr>
        <w:t>פסול</w:t>
      </w:r>
      <w:r w:rsidRPr="007E66B2">
        <w:rPr>
          <w:rFonts w:cs="Arial"/>
          <w:rtl/>
        </w:rPr>
        <w:t xml:space="preserve"> </w:t>
      </w:r>
      <w:r w:rsidRPr="007E66B2">
        <w:rPr>
          <w:rFonts w:cs="Arial" w:hint="cs"/>
          <w:rtl/>
        </w:rPr>
        <w:t>לדברי</w:t>
      </w:r>
      <w:r w:rsidRPr="007E66B2">
        <w:rPr>
          <w:rFonts w:cs="Arial"/>
          <w:rtl/>
        </w:rPr>
        <w:t xml:space="preserve"> </w:t>
      </w:r>
      <w:r w:rsidRPr="007E66B2">
        <w:rPr>
          <w:rFonts w:cs="Arial" w:hint="cs"/>
          <w:rtl/>
        </w:rPr>
        <w:t>פוסקים</w:t>
      </w:r>
      <w:r w:rsidRPr="007E66B2">
        <w:rPr>
          <w:rFonts w:cs="Arial"/>
          <w:rtl/>
        </w:rPr>
        <w:t xml:space="preserve"> </w:t>
      </w:r>
      <w:r w:rsidRPr="007E66B2">
        <w:rPr>
          <w:rFonts w:cs="Arial" w:hint="cs"/>
          <w:rtl/>
        </w:rPr>
        <w:t>גדולים</w:t>
      </w:r>
      <w:r w:rsidRPr="007E66B2">
        <w:rPr>
          <w:rFonts w:cs="Arial"/>
          <w:rtl/>
        </w:rPr>
        <w:t xml:space="preserve">. </w:t>
      </w:r>
    </w:p>
    <w:p w14:paraId="19DD12C2"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125612F" w14:textId="77777777" w:rsidR="00FA2119" w:rsidRDefault="00FA2119" w:rsidP="00FA2119">
      <w:pPr>
        <w:rPr>
          <w:rtl/>
        </w:rPr>
      </w:pPr>
      <w:r>
        <w:rPr>
          <w:rFonts w:cs="Arial" w:hint="cs"/>
          <w:rtl/>
        </w:rPr>
        <w:lastRenderedPageBreak/>
        <w:t>אם</w:t>
      </w:r>
      <w:r>
        <w:rPr>
          <w:rFonts w:cs="Arial"/>
          <w:rtl/>
        </w:rPr>
        <w:t xml:space="preserve"> </w:t>
      </w:r>
      <w:r>
        <w:rPr>
          <w:rFonts w:cs="Arial" w:hint="cs"/>
          <w:rtl/>
        </w:rPr>
        <w:t>יש</w:t>
      </w:r>
      <w:r>
        <w:rPr>
          <w:rFonts w:cs="Arial"/>
          <w:rtl/>
        </w:rPr>
        <w:t xml:space="preserve"> </w:t>
      </w:r>
      <w:r>
        <w:rPr>
          <w:rFonts w:cs="Arial" w:hint="cs"/>
          <w:rtl/>
        </w:rPr>
        <w:t>בעיר</w:t>
      </w:r>
      <w:r>
        <w:rPr>
          <w:rFonts w:cs="Arial"/>
          <w:rtl/>
        </w:rPr>
        <w:t xml:space="preserve"> </w:t>
      </w:r>
      <w:r>
        <w:rPr>
          <w:rFonts w:cs="Arial" w:hint="cs"/>
          <w:rtl/>
        </w:rPr>
        <w:t>בארות</w:t>
      </w:r>
      <w:r>
        <w:rPr>
          <w:rFonts w:cs="Arial"/>
          <w:rtl/>
        </w:rPr>
        <w:t xml:space="preserve"> </w:t>
      </w:r>
      <w:r>
        <w:rPr>
          <w:rFonts w:cs="Arial" w:hint="cs"/>
          <w:rtl/>
        </w:rPr>
        <w:t>נובעים</w:t>
      </w:r>
      <w:r>
        <w:rPr>
          <w:rFonts w:cs="Arial"/>
          <w:rtl/>
        </w:rPr>
        <w:t xml:space="preserve">, </w:t>
      </w:r>
      <w:r>
        <w:rPr>
          <w:rFonts w:cs="Arial" w:hint="cs"/>
          <w:rtl/>
        </w:rPr>
        <w:t>וכתב</w:t>
      </w:r>
      <w:r>
        <w:rPr>
          <w:rFonts w:cs="Arial"/>
          <w:rtl/>
        </w:rPr>
        <w:t xml:space="preserve">: </w:t>
      </w:r>
      <w:r>
        <w:rPr>
          <w:rFonts w:cs="Arial" w:hint="cs"/>
          <w:rtl/>
        </w:rPr>
        <w:t>דיתבה</w:t>
      </w:r>
      <w:r>
        <w:rPr>
          <w:rFonts w:cs="Arial"/>
          <w:rtl/>
        </w:rPr>
        <w:t xml:space="preserve"> </w:t>
      </w:r>
      <w:r>
        <w:rPr>
          <w:rFonts w:cs="Arial" w:hint="cs"/>
          <w:rtl/>
        </w:rPr>
        <w:t>על</w:t>
      </w:r>
      <w:r>
        <w:rPr>
          <w:rFonts w:cs="Arial"/>
          <w:rtl/>
        </w:rPr>
        <w:t xml:space="preserve"> </w:t>
      </w:r>
      <w:r>
        <w:rPr>
          <w:rFonts w:cs="Arial" w:hint="cs"/>
          <w:rtl/>
        </w:rPr>
        <w:t>מי</w:t>
      </w:r>
      <w:r>
        <w:rPr>
          <w:rFonts w:cs="Arial"/>
          <w:rtl/>
        </w:rPr>
        <w:t xml:space="preserve"> </w:t>
      </w:r>
      <w:r>
        <w:rPr>
          <w:rFonts w:cs="Arial" w:hint="cs"/>
          <w:rtl/>
        </w:rPr>
        <w:t>בורות</w:t>
      </w:r>
      <w:r>
        <w:rPr>
          <w:rFonts w:cs="Arial"/>
          <w:rtl/>
        </w:rPr>
        <w:t xml:space="preserve">, </w:t>
      </w:r>
      <w:r>
        <w:rPr>
          <w:rFonts w:cs="Arial" w:hint="cs"/>
          <w:rtl/>
        </w:rPr>
        <w:t>כשר</w:t>
      </w:r>
      <w:r>
        <w:rPr>
          <w:rStyle w:val="a7"/>
          <w:rFonts w:cs="Arial"/>
          <w:rtl/>
        </w:rPr>
        <w:footnoteReference w:id="1017"/>
      </w:r>
      <w:r>
        <w:rPr>
          <w:rFonts w:cs="Arial"/>
          <w:rtl/>
        </w:rPr>
        <w:t xml:space="preserve">. </w:t>
      </w:r>
    </w:p>
    <w:p w14:paraId="220E3792" w14:textId="77777777" w:rsidR="00FA2119" w:rsidRDefault="00FA2119" w:rsidP="00FA2119">
      <w:pPr>
        <w:rPr>
          <w:rtl/>
        </w:rPr>
      </w:pPr>
    </w:p>
    <w:p w14:paraId="16769A4F" w14:textId="77777777" w:rsidR="00FA2119" w:rsidRDefault="00FA2119" w:rsidP="00FA2119">
      <w:pPr>
        <w:pStyle w:val="2"/>
        <w:rPr>
          <w:rtl/>
        </w:rPr>
      </w:pPr>
      <w:r>
        <w:rPr>
          <w:rFonts w:hint="cs"/>
          <w:rtl/>
        </w:rPr>
        <w:t>סעיף</w:t>
      </w:r>
      <w:r>
        <w:rPr>
          <w:rtl/>
        </w:rPr>
        <w:t xml:space="preserve"> </w:t>
      </w:r>
      <w:r>
        <w:rPr>
          <w:rFonts w:hint="cs"/>
          <w:rtl/>
        </w:rPr>
        <w:t>ו: עיר שיש לה כמה מקורות מים.</w:t>
      </w:r>
    </w:p>
    <w:p w14:paraId="5F0A7A00" w14:textId="30BD922E" w:rsidR="00FA2119" w:rsidRPr="00BE28BE" w:rsidRDefault="00FA2119" w:rsidP="00FA2119">
      <w:pPr>
        <w:rPr>
          <w:u w:val="single"/>
          <w:rtl/>
        </w:rPr>
      </w:pPr>
      <w:r w:rsidRPr="00BE28BE">
        <w:rPr>
          <w:rFonts w:hint="cs"/>
          <w:u w:val="single"/>
          <w:rtl/>
        </w:rPr>
        <w:t xml:space="preserve">עיר </w:t>
      </w:r>
      <w:r>
        <w:rPr>
          <w:rFonts w:hint="cs"/>
          <w:u w:val="single"/>
          <w:rtl/>
        </w:rPr>
        <w:t xml:space="preserve">שיש לה כמה מקורות מים לסיפוקן </w:t>
      </w:r>
      <w:r w:rsidR="00A82951">
        <w:rPr>
          <w:u w:val="single"/>
          <w:rtl/>
        </w:rPr>
        <w:t>-</w:t>
      </w:r>
      <w:r>
        <w:rPr>
          <w:rFonts w:hint="cs"/>
          <w:u w:val="single"/>
          <w:rtl/>
        </w:rPr>
        <w:t xml:space="preserve"> האם מזכירים הכל או רק חלק מהם</w:t>
      </w:r>
      <w:r w:rsidRPr="00BE28BE">
        <w:rPr>
          <w:rFonts w:hint="cs"/>
          <w:u w:val="single"/>
          <w:rtl/>
        </w:rPr>
        <w:t>:</w:t>
      </w:r>
    </w:p>
    <w:p w14:paraId="2FF73FC5" w14:textId="691D5AE3" w:rsidR="00FA2119" w:rsidRDefault="00FA2119" w:rsidP="00FA2119">
      <w:pPr>
        <w:pStyle w:val="ab"/>
        <w:numPr>
          <w:ilvl w:val="0"/>
          <w:numId w:val="61"/>
        </w:numPr>
      </w:pPr>
      <w:r w:rsidRPr="00BE28BE">
        <w:rPr>
          <w:rFonts w:cs="Arial" w:hint="cs"/>
          <w:rtl/>
        </w:rPr>
        <w:t>קונדריסים</w:t>
      </w:r>
      <w:r w:rsidRPr="00BE28BE">
        <w:rPr>
          <w:rFonts w:cs="Arial"/>
          <w:rtl/>
        </w:rPr>
        <w:t xml:space="preserve"> </w:t>
      </w:r>
      <w:r w:rsidRPr="00BE28BE">
        <w:rPr>
          <w:rFonts w:cs="Arial"/>
          <w:sz w:val="16"/>
          <w:szCs w:val="16"/>
          <w:rtl/>
        </w:rPr>
        <w:t>(</w:t>
      </w:r>
      <w:r w:rsidRPr="00BE28BE">
        <w:rPr>
          <w:rFonts w:cs="Arial" w:hint="cs"/>
          <w:sz w:val="16"/>
          <w:szCs w:val="16"/>
          <w:rtl/>
        </w:rPr>
        <w:t>סי</w:t>
      </w:r>
      <w:r w:rsidRPr="00BE28BE">
        <w:rPr>
          <w:rFonts w:cs="Arial"/>
          <w:sz w:val="16"/>
          <w:szCs w:val="16"/>
          <w:rtl/>
        </w:rPr>
        <w:t xml:space="preserve">' </w:t>
      </w:r>
      <w:r w:rsidRPr="00BE28BE">
        <w:rPr>
          <w:rFonts w:cs="Arial" w:hint="cs"/>
          <w:sz w:val="16"/>
          <w:szCs w:val="16"/>
          <w:rtl/>
        </w:rPr>
        <w:t>יא</w:t>
      </w:r>
      <w:r w:rsidRPr="00BE28BE">
        <w:rPr>
          <w:rFonts w:cs="Arial"/>
          <w:sz w:val="16"/>
          <w:szCs w:val="16"/>
          <w:rtl/>
        </w:rPr>
        <w:t xml:space="preserve"> </w:t>
      </w:r>
      <w:r w:rsidRPr="00BE28BE">
        <w:rPr>
          <w:rFonts w:cs="Arial" w:hint="cs"/>
          <w:sz w:val="16"/>
          <w:szCs w:val="16"/>
          <w:rtl/>
        </w:rPr>
        <w:t>סעי</w:t>
      </w:r>
      <w:r w:rsidRPr="00BE28BE">
        <w:rPr>
          <w:rFonts w:cs="Arial"/>
          <w:sz w:val="16"/>
          <w:szCs w:val="16"/>
          <w:rtl/>
        </w:rPr>
        <w:t xml:space="preserve">' </w:t>
      </w:r>
      <w:r w:rsidRPr="00BE28BE">
        <w:rPr>
          <w:rFonts w:cs="Arial" w:hint="cs"/>
          <w:sz w:val="16"/>
          <w:szCs w:val="16"/>
          <w:rtl/>
        </w:rPr>
        <w:t>ג</w:t>
      </w:r>
      <w:r w:rsidRPr="00BE28BE">
        <w:rPr>
          <w:rFonts w:cs="Arial"/>
          <w:sz w:val="16"/>
          <w:szCs w:val="16"/>
          <w:rtl/>
        </w:rPr>
        <w:t xml:space="preserve">) </w:t>
      </w:r>
      <w:r w:rsidRPr="00BE28BE">
        <w:rPr>
          <w:rFonts w:cs="Arial" w:hint="cs"/>
          <w:rtl/>
        </w:rPr>
        <w:t>בשם</w:t>
      </w:r>
      <w:r w:rsidRPr="00BE28BE">
        <w:rPr>
          <w:rFonts w:cs="Arial"/>
          <w:rtl/>
        </w:rPr>
        <w:t xml:space="preserve"> </w:t>
      </w:r>
      <w:r w:rsidRPr="00BE28BE">
        <w:rPr>
          <w:rFonts w:cs="Arial" w:hint="cs"/>
          <w:rtl/>
        </w:rPr>
        <w:t>מהרי</w:t>
      </w:r>
      <w:r w:rsidRPr="00BE28BE">
        <w:rPr>
          <w:rFonts w:cs="Arial"/>
          <w:rtl/>
        </w:rPr>
        <w:t>"</w:t>
      </w:r>
      <w:r w:rsidRPr="00BE28BE">
        <w:rPr>
          <w:rFonts w:cs="Arial" w:hint="cs"/>
          <w:rtl/>
        </w:rPr>
        <w:t>ק</w:t>
      </w:r>
      <w:r w:rsidR="00A82951">
        <w:rPr>
          <w:rFonts w:cs="Arial" w:hint="cs"/>
          <w:rtl/>
        </w:rPr>
        <w:t>-</w:t>
      </w:r>
      <w:r w:rsidRPr="00BE28BE">
        <w:rPr>
          <w:rFonts w:cs="Arial"/>
          <w:rtl/>
        </w:rPr>
        <w:t xml:space="preserve"> </w:t>
      </w:r>
      <w:r w:rsidRPr="00BE28BE">
        <w:rPr>
          <w:rFonts w:cs="Arial" w:hint="cs"/>
          <w:rtl/>
        </w:rPr>
        <w:t>בענין</w:t>
      </w:r>
      <w:r w:rsidRPr="00BE28BE">
        <w:rPr>
          <w:rFonts w:cs="Arial"/>
          <w:rtl/>
        </w:rPr>
        <w:t xml:space="preserve"> </w:t>
      </w:r>
      <w:r w:rsidRPr="00BE28BE">
        <w:rPr>
          <w:rFonts w:cs="Arial" w:hint="cs"/>
          <w:rtl/>
        </w:rPr>
        <w:t>מי</w:t>
      </w:r>
      <w:r w:rsidRPr="00BE28BE">
        <w:rPr>
          <w:rFonts w:cs="Arial"/>
          <w:rtl/>
        </w:rPr>
        <w:t xml:space="preserve"> </w:t>
      </w:r>
      <w:r w:rsidRPr="00BE28BE">
        <w:rPr>
          <w:rFonts w:cs="Arial" w:hint="cs"/>
          <w:rtl/>
        </w:rPr>
        <w:t>סיפוק</w:t>
      </w:r>
      <w:r w:rsidRPr="00BE28BE">
        <w:rPr>
          <w:rFonts w:cs="Arial"/>
          <w:rtl/>
        </w:rPr>
        <w:t xml:space="preserve"> </w:t>
      </w:r>
      <w:r w:rsidRPr="00BE28BE">
        <w:rPr>
          <w:rFonts w:cs="Arial" w:hint="cs"/>
          <w:rtl/>
        </w:rPr>
        <w:t>העיר</w:t>
      </w:r>
      <w:r w:rsidRPr="00BE28BE">
        <w:rPr>
          <w:rFonts w:cs="Arial"/>
          <w:rtl/>
        </w:rPr>
        <w:t xml:space="preserve"> </w:t>
      </w:r>
      <w:r w:rsidRPr="00BE28BE">
        <w:rPr>
          <w:rFonts w:cs="Arial" w:hint="cs"/>
          <w:rtl/>
        </w:rPr>
        <w:t>אע</w:t>
      </w:r>
      <w:r>
        <w:rPr>
          <w:rFonts w:cs="Arial" w:hint="cs"/>
          <w:rtl/>
        </w:rPr>
        <w:t>"</w:t>
      </w:r>
      <w:r w:rsidRPr="00BE28BE">
        <w:rPr>
          <w:rFonts w:cs="Arial" w:hint="cs"/>
          <w:rtl/>
        </w:rPr>
        <w:t>פ</w:t>
      </w:r>
      <w:r w:rsidRPr="00BE28BE">
        <w:rPr>
          <w:rFonts w:cs="Arial"/>
          <w:rtl/>
        </w:rPr>
        <w:t xml:space="preserve"> </w:t>
      </w:r>
      <w:r w:rsidRPr="00BE28BE">
        <w:rPr>
          <w:rFonts w:cs="Arial" w:hint="cs"/>
          <w:rtl/>
        </w:rPr>
        <w:t>שיש</w:t>
      </w:r>
      <w:r w:rsidRPr="00BE28BE">
        <w:rPr>
          <w:rFonts w:cs="Arial"/>
          <w:rtl/>
        </w:rPr>
        <w:t xml:space="preserve"> </w:t>
      </w:r>
      <w:r w:rsidRPr="00BE28BE">
        <w:rPr>
          <w:rFonts w:cs="Arial" w:hint="cs"/>
          <w:rtl/>
        </w:rPr>
        <w:t>פוסקים</w:t>
      </w:r>
      <w:r w:rsidRPr="00BE28BE">
        <w:rPr>
          <w:rFonts w:cs="Arial"/>
          <w:rtl/>
        </w:rPr>
        <w:t xml:space="preserve"> </w:t>
      </w:r>
      <w:r w:rsidRPr="00BE28BE">
        <w:rPr>
          <w:rFonts w:cs="Arial" w:hint="cs"/>
          <w:rtl/>
        </w:rPr>
        <w:t>שיש</w:t>
      </w:r>
      <w:r w:rsidRPr="00BE28BE">
        <w:rPr>
          <w:rFonts w:cs="Arial"/>
          <w:rtl/>
        </w:rPr>
        <w:t xml:space="preserve"> </w:t>
      </w:r>
      <w:r w:rsidRPr="00BE28BE">
        <w:rPr>
          <w:rFonts w:cs="Arial" w:hint="cs"/>
          <w:rtl/>
        </w:rPr>
        <w:t>לכתוב</w:t>
      </w:r>
      <w:r w:rsidRPr="00BE28BE">
        <w:rPr>
          <w:rFonts w:cs="Arial"/>
          <w:rtl/>
        </w:rPr>
        <w:t xml:space="preserve"> </w:t>
      </w:r>
      <w:r w:rsidRPr="00BE28BE">
        <w:rPr>
          <w:rFonts w:cs="Arial" w:hint="cs"/>
          <w:rtl/>
        </w:rPr>
        <w:t>כל</w:t>
      </w:r>
      <w:r w:rsidRPr="00BE28BE">
        <w:rPr>
          <w:rFonts w:cs="Arial"/>
          <w:rtl/>
        </w:rPr>
        <w:t xml:space="preserve"> </w:t>
      </w:r>
      <w:r w:rsidRPr="00BE28BE">
        <w:rPr>
          <w:rFonts w:cs="Arial" w:hint="cs"/>
          <w:rtl/>
        </w:rPr>
        <w:t>מימי</w:t>
      </w:r>
      <w:r w:rsidRPr="00BE28BE">
        <w:rPr>
          <w:rFonts w:cs="Arial"/>
          <w:rtl/>
        </w:rPr>
        <w:t xml:space="preserve"> </w:t>
      </w:r>
      <w:r w:rsidRPr="00BE28BE">
        <w:rPr>
          <w:rFonts w:cs="Arial" w:hint="cs"/>
          <w:rtl/>
        </w:rPr>
        <w:t>הסיפוק</w:t>
      </w:r>
      <w:r w:rsidRPr="00BE28BE">
        <w:rPr>
          <w:rFonts w:cs="Arial"/>
          <w:rtl/>
        </w:rPr>
        <w:t xml:space="preserve"> </w:t>
      </w:r>
      <w:r w:rsidRPr="00BE28BE">
        <w:rPr>
          <w:rFonts w:cs="Arial" w:hint="cs"/>
          <w:rtl/>
        </w:rPr>
        <w:t>מהעיר</w:t>
      </w:r>
      <w:r>
        <w:rPr>
          <w:rFonts w:cs="Arial" w:hint="cs"/>
          <w:rtl/>
        </w:rPr>
        <w:t>,</w:t>
      </w:r>
      <w:r w:rsidRPr="00BE28BE">
        <w:rPr>
          <w:rFonts w:cs="Arial"/>
          <w:rtl/>
        </w:rPr>
        <w:t xml:space="preserve"> </w:t>
      </w:r>
      <w:r w:rsidRPr="00BE28BE">
        <w:rPr>
          <w:rFonts w:cs="Arial" w:hint="cs"/>
          <w:rtl/>
        </w:rPr>
        <w:t>מכל</w:t>
      </w:r>
      <w:r w:rsidRPr="00BE28BE">
        <w:rPr>
          <w:rFonts w:cs="Arial"/>
          <w:rtl/>
        </w:rPr>
        <w:t xml:space="preserve"> </w:t>
      </w:r>
      <w:r w:rsidRPr="00BE28BE">
        <w:rPr>
          <w:rFonts w:cs="Arial" w:hint="cs"/>
          <w:rtl/>
        </w:rPr>
        <w:t>מקום</w:t>
      </w:r>
      <w:r w:rsidRPr="00BE28BE">
        <w:rPr>
          <w:rFonts w:cs="Arial"/>
          <w:rtl/>
        </w:rPr>
        <w:t xml:space="preserve"> </w:t>
      </w:r>
      <w:r w:rsidRPr="00BE28BE">
        <w:rPr>
          <w:rFonts w:cs="Arial" w:hint="cs"/>
          <w:rtl/>
        </w:rPr>
        <w:t>הפוסקים</w:t>
      </w:r>
      <w:r w:rsidRPr="00BE28BE">
        <w:rPr>
          <w:rFonts w:cs="Arial"/>
          <w:rtl/>
        </w:rPr>
        <w:t xml:space="preserve"> </w:t>
      </w:r>
      <w:r w:rsidRPr="00BE28BE">
        <w:rPr>
          <w:rFonts w:cs="Arial" w:hint="cs"/>
          <w:rtl/>
        </w:rPr>
        <w:t>האחרונים</w:t>
      </w:r>
      <w:r w:rsidRPr="00BE28BE">
        <w:rPr>
          <w:rFonts w:cs="Arial"/>
          <w:rtl/>
        </w:rPr>
        <w:t xml:space="preserve"> </w:t>
      </w:r>
      <w:r w:rsidRPr="00BE28BE">
        <w:rPr>
          <w:rFonts w:cs="Arial" w:hint="cs"/>
          <w:rtl/>
        </w:rPr>
        <w:t>הסכימו</w:t>
      </w:r>
      <w:r w:rsidRPr="00BE28BE">
        <w:rPr>
          <w:rFonts w:cs="Arial"/>
          <w:rtl/>
        </w:rPr>
        <w:t xml:space="preserve"> </w:t>
      </w:r>
      <w:r w:rsidRPr="00BE28BE">
        <w:rPr>
          <w:rFonts w:cs="Arial" w:hint="cs"/>
          <w:rtl/>
        </w:rPr>
        <w:t>שלא</w:t>
      </w:r>
      <w:r w:rsidRPr="00BE28BE">
        <w:rPr>
          <w:rFonts w:cs="Arial"/>
          <w:rtl/>
        </w:rPr>
        <w:t xml:space="preserve"> </w:t>
      </w:r>
      <w:r w:rsidRPr="00BE28BE">
        <w:rPr>
          <w:rFonts w:cs="Arial" w:hint="cs"/>
          <w:rtl/>
        </w:rPr>
        <w:t>לכתוב</w:t>
      </w:r>
      <w:r w:rsidRPr="00BE28BE">
        <w:rPr>
          <w:rFonts w:cs="Arial"/>
          <w:rtl/>
        </w:rPr>
        <w:t xml:space="preserve"> </w:t>
      </w:r>
      <w:r w:rsidRPr="00BE28BE">
        <w:rPr>
          <w:rFonts w:cs="Arial" w:hint="cs"/>
          <w:rtl/>
        </w:rPr>
        <w:t>כי</w:t>
      </w:r>
      <w:r w:rsidRPr="00BE28BE">
        <w:rPr>
          <w:rFonts w:cs="Arial"/>
          <w:rtl/>
        </w:rPr>
        <w:t xml:space="preserve"> </w:t>
      </w:r>
      <w:r w:rsidRPr="00BE28BE">
        <w:rPr>
          <w:rFonts w:cs="Arial" w:hint="cs"/>
          <w:rtl/>
        </w:rPr>
        <w:t>אם</w:t>
      </w:r>
      <w:r w:rsidRPr="00BE28BE">
        <w:rPr>
          <w:rFonts w:cs="Arial"/>
          <w:rtl/>
        </w:rPr>
        <w:t xml:space="preserve"> </w:t>
      </w:r>
      <w:r w:rsidRPr="00BE28BE">
        <w:rPr>
          <w:rFonts w:cs="Arial" w:hint="cs"/>
          <w:rtl/>
        </w:rPr>
        <w:t>רוב</w:t>
      </w:r>
      <w:r w:rsidRPr="00BE28BE">
        <w:rPr>
          <w:rFonts w:cs="Arial"/>
          <w:rtl/>
        </w:rPr>
        <w:t xml:space="preserve"> </w:t>
      </w:r>
      <w:r w:rsidRPr="00BE28BE">
        <w:rPr>
          <w:rFonts w:cs="Arial" w:hint="cs"/>
          <w:rtl/>
        </w:rPr>
        <w:t>סיפוקי</w:t>
      </w:r>
      <w:r w:rsidRPr="00BE28BE">
        <w:rPr>
          <w:rFonts w:cs="Arial"/>
          <w:rtl/>
        </w:rPr>
        <w:t xml:space="preserve"> </w:t>
      </w:r>
      <w:r w:rsidRPr="00BE28BE">
        <w:rPr>
          <w:rFonts w:cs="Arial" w:hint="cs"/>
          <w:rtl/>
        </w:rPr>
        <w:t>העיר</w:t>
      </w:r>
      <w:r w:rsidRPr="00BE28BE">
        <w:rPr>
          <w:rFonts w:cs="Arial"/>
          <w:rtl/>
        </w:rPr>
        <w:t xml:space="preserve"> </w:t>
      </w:r>
      <w:r w:rsidRPr="00BE28BE">
        <w:rPr>
          <w:rFonts w:cs="Arial" w:hint="cs"/>
          <w:rtl/>
        </w:rPr>
        <w:t>אם</w:t>
      </w:r>
      <w:r w:rsidRPr="00BE28BE">
        <w:rPr>
          <w:rFonts w:cs="Arial"/>
          <w:rtl/>
        </w:rPr>
        <w:t xml:space="preserve"> </w:t>
      </w:r>
      <w:r w:rsidRPr="00BE28BE">
        <w:rPr>
          <w:rFonts w:cs="Arial" w:hint="cs"/>
          <w:rtl/>
        </w:rPr>
        <w:t>בארות</w:t>
      </w:r>
      <w:r w:rsidRPr="00BE28BE">
        <w:rPr>
          <w:rFonts w:cs="Arial"/>
          <w:rtl/>
        </w:rPr>
        <w:t xml:space="preserve"> </w:t>
      </w:r>
      <w:r w:rsidRPr="00BE28BE">
        <w:rPr>
          <w:rFonts w:cs="Arial" w:hint="cs"/>
          <w:rtl/>
        </w:rPr>
        <w:t>אם</w:t>
      </w:r>
      <w:r w:rsidRPr="00BE28BE">
        <w:rPr>
          <w:rFonts w:cs="Arial"/>
          <w:rtl/>
        </w:rPr>
        <w:t xml:space="preserve"> </w:t>
      </w:r>
      <w:r w:rsidRPr="00BE28BE">
        <w:rPr>
          <w:rFonts w:cs="Arial" w:hint="cs"/>
          <w:rtl/>
        </w:rPr>
        <w:t>מעינות</w:t>
      </w:r>
      <w:r>
        <w:rPr>
          <w:rFonts w:cs="Arial" w:hint="cs"/>
          <w:rtl/>
        </w:rPr>
        <w:t>.</w:t>
      </w:r>
      <w:r w:rsidRPr="00BE28BE">
        <w:rPr>
          <w:rFonts w:cs="Arial"/>
          <w:rtl/>
        </w:rPr>
        <w:t xml:space="preserve"> </w:t>
      </w:r>
      <w:r w:rsidRPr="00BE28BE">
        <w:rPr>
          <w:rFonts w:cs="Arial" w:hint="cs"/>
          <w:rtl/>
        </w:rPr>
        <w:t>גם</w:t>
      </w:r>
      <w:r w:rsidRPr="00BE28BE">
        <w:rPr>
          <w:rFonts w:cs="Arial"/>
          <w:rtl/>
        </w:rPr>
        <w:t xml:space="preserve"> </w:t>
      </w:r>
      <w:r w:rsidRPr="00BE28BE">
        <w:rPr>
          <w:rFonts w:cs="Arial" w:hint="cs"/>
          <w:rtl/>
        </w:rPr>
        <w:t>נמצא</w:t>
      </w:r>
      <w:r w:rsidRPr="00BE28BE">
        <w:rPr>
          <w:rFonts w:cs="Arial"/>
          <w:rtl/>
        </w:rPr>
        <w:t xml:space="preserve"> </w:t>
      </w:r>
      <w:r w:rsidRPr="00BE28BE">
        <w:rPr>
          <w:rFonts w:cs="Arial" w:hint="cs"/>
          <w:rtl/>
        </w:rPr>
        <w:t>כתוב</w:t>
      </w:r>
      <w:r w:rsidRPr="00BE28BE">
        <w:rPr>
          <w:rFonts w:cs="Arial"/>
          <w:rtl/>
        </w:rPr>
        <w:t xml:space="preserve"> (</w:t>
      </w:r>
      <w:r w:rsidRPr="00BE28BE">
        <w:rPr>
          <w:rFonts w:cs="Arial" w:hint="cs"/>
          <w:rtl/>
        </w:rPr>
        <w:t>שם</w:t>
      </w:r>
      <w:r w:rsidRPr="00BE28BE">
        <w:rPr>
          <w:rFonts w:cs="Arial"/>
          <w:rtl/>
        </w:rPr>
        <w:t xml:space="preserve"> </w:t>
      </w:r>
      <w:r w:rsidRPr="00BE28BE">
        <w:rPr>
          <w:rFonts w:cs="Arial" w:hint="cs"/>
          <w:rtl/>
        </w:rPr>
        <w:t>סעי</w:t>
      </w:r>
      <w:r w:rsidRPr="00BE28BE">
        <w:rPr>
          <w:rFonts w:cs="Arial"/>
          <w:rtl/>
        </w:rPr>
        <w:t xml:space="preserve">' </w:t>
      </w:r>
      <w:r w:rsidRPr="00BE28BE">
        <w:rPr>
          <w:rFonts w:cs="Arial" w:hint="cs"/>
          <w:rtl/>
        </w:rPr>
        <w:t>ג</w:t>
      </w:r>
      <w:r w:rsidR="00A82951">
        <w:rPr>
          <w:rFonts w:cs="Arial"/>
          <w:rtl/>
        </w:rPr>
        <w:t>-</w:t>
      </w:r>
      <w:r w:rsidRPr="00BE28BE">
        <w:rPr>
          <w:rFonts w:cs="Arial" w:hint="cs"/>
          <w:rtl/>
        </w:rPr>
        <w:t>ד</w:t>
      </w:r>
      <w:r w:rsidRPr="00BE28BE">
        <w:rPr>
          <w:rFonts w:cs="Arial"/>
          <w:rtl/>
        </w:rPr>
        <w:t xml:space="preserve">) </w:t>
      </w:r>
      <w:r w:rsidRPr="00BE28BE">
        <w:rPr>
          <w:rFonts w:cs="Arial" w:hint="cs"/>
          <w:rtl/>
        </w:rPr>
        <w:t>בשם</w:t>
      </w:r>
      <w:r w:rsidRPr="00BE28BE">
        <w:rPr>
          <w:rFonts w:cs="Arial"/>
          <w:rtl/>
        </w:rPr>
        <w:t xml:space="preserve"> </w:t>
      </w:r>
      <w:r w:rsidRPr="00BE28BE">
        <w:rPr>
          <w:rFonts w:cs="Arial" w:hint="cs"/>
          <w:rtl/>
        </w:rPr>
        <w:t>רבינו</w:t>
      </w:r>
      <w:r w:rsidRPr="00BE28BE">
        <w:rPr>
          <w:rFonts w:cs="Arial"/>
          <w:rtl/>
        </w:rPr>
        <w:t xml:space="preserve"> </w:t>
      </w:r>
      <w:r w:rsidRPr="00BE28BE">
        <w:rPr>
          <w:rFonts w:cs="Arial" w:hint="cs"/>
          <w:rtl/>
        </w:rPr>
        <w:t>פרץ</w:t>
      </w:r>
      <w:r w:rsidRPr="00BE28BE">
        <w:rPr>
          <w:rFonts w:cs="Arial"/>
          <w:rtl/>
        </w:rPr>
        <w:t xml:space="preserve"> </w:t>
      </w:r>
      <w:r w:rsidRPr="00BE28BE">
        <w:rPr>
          <w:rFonts w:cs="Arial" w:hint="cs"/>
          <w:rtl/>
        </w:rPr>
        <w:t>ור</w:t>
      </w:r>
      <w:r w:rsidRPr="00BE28BE">
        <w:rPr>
          <w:rFonts w:cs="Arial"/>
          <w:rtl/>
        </w:rPr>
        <w:t>"</w:t>
      </w:r>
      <w:r w:rsidRPr="00BE28BE">
        <w:rPr>
          <w:rFonts w:cs="Arial" w:hint="cs"/>
          <w:rtl/>
        </w:rPr>
        <w:t>י</w:t>
      </w:r>
      <w:r w:rsidRPr="00BE28BE">
        <w:rPr>
          <w:rFonts w:cs="Arial"/>
          <w:rtl/>
        </w:rPr>
        <w:t xml:space="preserve"> </w:t>
      </w:r>
      <w:r w:rsidRPr="00BE28BE">
        <w:rPr>
          <w:rFonts w:cs="Arial" w:hint="cs"/>
          <w:rtl/>
        </w:rPr>
        <w:t>מקורוי</w:t>
      </w:r>
      <w:r w:rsidRPr="00BE28BE">
        <w:rPr>
          <w:rFonts w:cs="Arial"/>
          <w:rtl/>
        </w:rPr>
        <w:t>"</w:t>
      </w:r>
      <w:r w:rsidRPr="00BE28BE">
        <w:rPr>
          <w:rFonts w:cs="Arial" w:hint="cs"/>
          <w:rtl/>
        </w:rPr>
        <w:t>ל</w:t>
      </w:r>
      <w:r w:rsidRPr="00BE28BE">
        <w:rPr>
          <w:rFonts w:cs="Arial"/>
          <w:rtl/>
        </w:rPr>
        <w:t xml:space="preserve"> </w:t>
      </w:r>
      <w:r w:rsidRPr="00BE28BE">
        <w:rPr>
          <w:rFonts w:cs="Arial" w:hint="cs"/>
          <w:rtl/>
        </w:rPr>
        <w:t>שלא</w:t>
      </w:r>
      <w:r w:rsidRPr="00BE28BE">
        <w:rPr>
          <w:rFonts w:cs="Arial"/>
          <w:rtl/>
        </w:rPr>
        <w:t xml:space="preserve"> </w:t>
      </w:r>
      <w:r w:rsidRPr="00BE28BE">
        <w:rPr>
          <w:rFonts w:cs="Arial" w:hint="cs"/>
          <w:rtl/>
        </w:rPr>
        <w:t>לכתוב</w:t>
      </w:r>
      <w:r w:rsidRPr="00BE28BE">
        <w:rPr>
          <w:rFonts w:cs="Arial"/>
          <w:rtl/>
        </w:rPr>
        <w:t xml:space="preserve"> </w:t>
      </w:r>
      <w:r w:rsidRPr="00BE28BE">
        <w:rPr>
          <w:rFonts w:cs="Arial" w:hint="cs"/>
          <w:rtl/>
        </w:rPr>
        <w:t>כלל</w:t>
      </w:r>
      <w:r w:rsidRPr="00BE28BE">
        <w:rPr>
          <w:rFonts w:cs="Arial"/>
          <w:rtl/>
        </w:rPr>
        <w:t xml:space="preserve"> </w:t>
      </w:r>
      <w:r w:rsidRPr="00BE28BE">
        <w:rPr>
          <w:rFonts w:cs="Arial" w:hint="cs"/>
          <w:rtl/>
        </w:rPr>
        <w:t>לא</w:t>
      </w:r>
      <w:r w:rsidRPr="00BE28BE">
        <w:rPr>
          <w:rFonts w:cs="Arial"/>
          <w:rtl/>
        </w:rPr>
        <w:t xml:space="preserve"> </w:t>
      </w:r>
      <w:r w:rsidRPr="00BE28BE">
        <w:rPr>
          <w:rFonts w:cs="Arial" w:hint="cs"/>
          <w:rtl/>
        </w:rPr>
        <w:t>בארות</w:t>
      </w:r>
      <w:r w:rsidRPr="00BE28BE">
        <w:rPr>
          <w:rFonts w:cs="Arial"/>
          <w:rtl/>
        </w:rPr>
        <w:t xml:space="preserve"> </w:t>
      </w:r>
      <w:r w:rsidRPr="00BE28BE">
        <w:rPr>
          <w:rFonts w:cs="Arial" w:hint="cs"/>
          <w:rtl/>
        </w:rPr>
        <w:t>ולא</w:t>
      </w:r>
      <w:r w:rsidRPr="00BE28BE">
        <w:rPr>
          <w:rFonts w:cs="Arial"/>
          <w:rtl/>
        </w:rPr>
        <w:t xml:space="preserve"> </w:t>
      </w:r>
      <w:r w:rsidRPr="00BE28BE">
        <w:rPr>
          <w:rFonts w:cs="Arial" w:hint="cs"/>
          <w:rtl/>
        </w:rPr>
        <w:t>מעינות</w:t>
      </w:r>
      <w:r w:rsidRPr="00BE28BE">
        <w:rPr>
          <w:rFonts w:cs="Arial"/>
          <w:rtl/>
        </w:rPr>
        <w:t xml:space="preserve"> </w:t>
      </w:r>
      <w:r w:rsidRPr="00BE28BE">
        <w:rPr>
          <w:rFonts w:cs="Arial" w:hint="cs"/>
          <w:rtl/>
        </w:rPr>
        <w:t>כי</w:t>
      </w:r>
      <w:r w:rsidRPr="00BE28BE">
        <w:rPr>
          <w:rFonts w:cs="Arial"/>
          <w:rtl/>
        </w:rPr>
        <w:t xml:space="preserve"> </w:t>
      </w:r>
      <w:r w:rsidRPr="00BE28BE">
        <w:rPr>
          <w:rFonts w:cs="Arial" w:hint="cs"/>
          <w:rtl/>
        </w:rPr>
        <w:t>אם</w:t>
      </w:r>
      <w:r w:rsidRPr="00BE28BE">
        <w:rPr>
          <w:rFonts w:cs="Arial"/>
          <w:rtl/>
        </w:rPr>
        <w:t xml:space="preserve"> </w:t>
      </w:r>
      <w:r w:rsidRPr="00BE28BE">
        <w:rPr>
          <w:rFonts w:cs="Arial" w:hint="cs"/>
          <w:rtl/>
        </w:rPr>
        <w:t>הנהר</w:t>
      </w:r>
      <w:r w:rsidRPr="00BE28BE">
        <w:rPr>
          <w:rFonts w:cs="Arial"/>
          <w:rtl/>
        </w:rPr>
        <w:t xml:space="preserve"> </w:t>
      </w:r>
      <w:r w:rsidRPr="00BE28BE">
        <w:rPr>
          <w:rFonts w:cs="Arial" w:hint="cs"/>
          <w:rtl/>
        </w:rPr>
        <w:t>אם</w:t>
      </w:r>
      <w:r w:rsidRPr="00BE28BE">
        <w:rPr>
          <w:rFonts w:cs="Arial"/>
          <w:rtl/>
        </w:rPr>
        <w:t xml:space="preserve"> </w:t>
      </w:r>
      <w:r w:rsidRPr="00BE28BE">
        <w:rPr>
          <w:rFonts w:cs="Arial" w:hint="cs"/>
          <w:rtl/>
        </w:rPr>
        <w:t>העיר</w:t>
      </w:r>
      <w:r w:rsidRPr="00BE28BE">
        <w:rPr>
          <w:rFonts w:cs="Arial"/>
          <w:rtl/>
        </w:rPr>
        <w:t xml:space="preserve"> </w:t>
      </w:r>
      <w:r w:rsidRPr="00BE28BE">
        <w:rPr>
          <w:rFonts w:cs="Arial" w:hint="cs"/>
          <w:rtl/>
        </w:rPr>
        <w:t>יושבת</w:t>
      </w:r>
      <w:r w:rsidRPr="00BE28BE">
        <w:rPr>
          <w:rFonts w:cs="Arial"/>
          <w:rtl/>
        </w:rPr>
        <w:t xml:space="preserve"> </w:t>
      </w:r>
      <w:r w:rsidRPr="00BE28BE">
        <w:rPr>
          <w:rFonts w:cs="Arial" w:hint="cs"/>
          <w:rtl/>
        </w:rPr>
        <w:t>על</w:t>
      </w:r>
      <w:r w:rsidRPr="00BE28BE">
        <w:rPr>
          <w:rFonts w:cs="Arial"/>
          <w:rtl/>
        </w:rPr>
        <w:t xml:space="preserve"> </w:t>
      </w:r>
      <w:r w:rsidRPr="00BE28BE">
        <w:rPr>
          <w:rFonts w:cs="Arial" w:hint="cs"/>
          <w:rtl/>
        </w:rPr>
        <w:t>הנהר</w:t>
      </w:r>
      <w:r w:rsidR="00FE5FAF">
        <w:rPr>
          <w:rFonts w:cs="Arial" w:hint="cs"/>
          <w:rtl/>
        </w:rPr>
        <w:t>,</w:t>
      </w:r>
      <w:r w:rsidRPr="00BE28BE">
        <w:rPr>
          <w:rFonts w:cs="Arial"/>
          <w:rtl/>
        </w:rPr>
        <w:t xml:space="preserve"> </w:t>
      </w:r>
      <w:r w:rsidRPr="00BE28BE">
        <w:rPr>
          <w:rFonts w:cs="Arial" w:hint="cs"/>
          <w:rtl/>
        </w:rPr>
        <w:t>פן</w:t>
      </w:r>
      <w:r w:rsidRPr="00BE28BE">
        <w:rPr>
          <w:rFonts w:cs="Arial"/>
          <w:rtl/>
        </w:rPr>
        <w:t xml:space="preserve"> </w:t>
      </w:r>
      <w:r w:rsidRPr="00BE28BE">
        <w:rPr>
          <w:rFonts w:cs="Arial" w:hint="cs"/>
          <w:rtl/>
        </w:rPr>
        <w:t>יבוא</w:t>
      </w:r>
      <w:r w:rsidRPr="00BE28BE">
        <w:rPr>
          <w:rFonts w:cs="Arial"/>
          <w:rtl/>
        </w:rPr>
        <w:t xml:space="preserve"> </w:t>
      </w:r>
      <w:r w:rsidRPr="00BE28BE">
        <w:rPr>
          <w:rFonts w:cs="Arial" w:hint="cs"/>
          <w:rtl/>
        </w:rPr>
        <w:t>לטעות</w:t>
      </w:r>
      <w:r>
        <w:rPr>
          <w:rFonts w:cs="Arial" w:hint="cs"/>
          <w:rtl/>
        </w:rPr>
        <w:t>.</w:t>
      </w:r>
      <w:r w:rsidRPr="00BE28BE">
        <w:rPr>
          <w:rFonts w:cs="Arial"/>
          <w:rtl/>
        </w:rPr>
        <w:t xml:space="preserve"> </w:t>
      </w:r>
      <w:r w:rsidRPr="00BE28BE">
        <w:rPr>
          <w:rFonts w:cs="Arial" w:hint="cs"/>
          <w:rtl/>
        </w:rPr>
        <w:t>לכן</w:t>
      </w:r>
      <w:r w:rsidRPr="00BE28BE">
        <w:rPr>
          <w:rFonts w:cs="Arial"/>
          <w:rtl/>
        </w:rPr>
        <w:t xml:space="preserve"> </w:t>
      </w:r>
      <w:r w:rsidRPr="00BE28BE">
        <w:rPr>
          <w:rFonts w:cs="Arial" w:hint="cs"/>
          <w:rtl/>
        </w:rPr>
        <w:t>טוב</w:t>
      </w:r>
      <w:r w:rsidRPr="00BE28BE">
        <w:rPr>
          <w:rFonts w:cs="Arial"/>
          <w:rtl/>
        </w:rPr>
        <w:t xml:space="preserve"> </w:t>
      </w:r>
      <w:r w:rsidRPr="00BE28BE">
        <w:rPr>
          <w:rFonts w:cs="Arial" w:hint="cs"/>
          <w:rtl/>
        </w:rPr>
        <w:t>שלא</w:t>
      </w:r>
      <w:r w:rsidRPr="00BE28BE">
        <w:rPr>
          <w:rFonts w:cs="Arial"/>
          <w:rtl/>
        </w:rPr>
        <w:t xml:space="preserve"> </w:t>
      </w:r>
      <w:r w:rsidRPr="00BE28BE">
        <w:rPr>
          <w:rFonts w:cs="Arial" w:hint="cs"/>
          <w:rtl/>
        </w:rPr>
        <w:t>לכתוב</w:t>
      </w:r>
      <w:r w:rsidRPr="00BE28BE">
        <w:rPr>
          <w:rFonts w:cs="Arial"/>
          <w:rtl/>
        </w:rPr>
        <w:t xml:space="preserve"> </w:t>
      </w:r>
      <w:r w:rsidRPr="00BE28BE">
        <w:rPr>
          <w:rFonts w:cs="Arial" w:hint="cs"/>
          <w:rtl/>
        </w:rPr>
        <w:t>כי</w:t>
      </w:r>
      <w:r w:rsidRPr="00BE28BE">
        <w:rPr>
          <w:rFonts w:cs="Arial"/>
          <w:rtl/>
        </w:rPr>
        <w:t xml:space="preserve"> </w:t>
      </w:r>
      <w:r w:rsidRPr="00BE28BE">
        <w:rPr>
          <w:rFonts w:cs="Arial" w:hint="cs"/>
          <w:rtl/>
        </w:rPr>
        <w:t>אם</w:t>
      </w:r>
      <w:r w:rsidRPr="00BE28BE">
        <w:rPr>
          <w:rFonts w:cs="Arial"/>
          <w:rtl/>
        </w:rPr>
        <w:t xml:space="preserve"> </w:t>
      </w:r>
      <w:r w:rsidRPr="00BE28BE">
        <w:rPr>
          <w:rFonts w:cs="Arial" w:hint="cs"/>
          <w:rtl/>
        </w:rPr>
        <w:t>רוב</w:t>
      </w:r>
      <w:r w:rsidRPr="00BE28BE">
        <w:rPr>
          <w:rFonts w:cs="Arial"/>
          <w:rtl/>
        </w:rPr>
        <w:t xml:space="preserve"> </w:t>
      </w:r>
      <w:r w:rsidRPr="00BE28BE">
        <w:rPr>
          <w:rFonts w:cs="Arial" w:hint="cs"/>
          <w:rtl/>
        </w:rPr>
        <w:t>סיפוקי</w:t>
      </w:r>
      <w:r w:rsidRPr="00BE28BE">
        <w:rPr>
          <w:rFonts w:cs="Arial"/>
          <w:rtl/>
        </w:rPr>
        <w:t xml:space="preserve"> </w:t>
      </w:r>
      <w:r w:rsidRPr="00BE28BE">
        <w:rPr>
          <w:rFonts w:cs="Arial" w:hint="cs"/>
          <w:rtl/>
        </w:rPr>
        <w:t>העיר</w:t>
      </w:r>
      <w:r>
        <w:rPr>
          <w:rFonts w:cs="Arial" w:hint="cs"/>
          <w:rtl/>
        </w:rPr>
        <w:t>.</w:t>
      </w:r>
      <w:r w:rsidRPr="00BE28BE">
        <w:rPr>
          <w:rFonts w:cs="Arial"/>
          <w:rtl/>
        </w:rPr>
        <w:t xml:space="preserve"> </w:t>
      </w:r>
      <w:r w:rsidRPr="00BE28BE">
        <w:rPr>
          <w:rFonts w:cs="Arial" w:hint="cs"/>
          <w:rtl/>
        </w:rPr>
        <w:t>היכא</w:t>
      </w:r>
      <w:r w:rsidRPr="00BE28BE">
        <w:rPr>
          <w:rFonts w:cs="Arial"/>
          <w:rtl/>
        </w:rPr>
        <w:t xml:space="preserve"> </w:t>
      </w:r>
      <w:r w:rsidRPr="00BE28BE">
        <w:rPr>
          <w:rFonts w:cs="Arial" w:hint="cs"/>
          <w:rtl/>
        </w:rPr>
        <w:t>שהאחד</w:t>
      </w:r>
      <w:r w:rsidRPr="00BE28BE">
        <w:rPr>
          <w:rFonts w:cs="Arial"/>
          <w:rtl/>
        </w:rPr>
        <w:t xml:space="preserve"> </w:t>
      </w:r>
      <w:r w:rsidRPr="00BE28BE">
        <w:rPr>
          <w:rFonts w:cs="Arial" w:hint="cs"/>
          <w:rtl/>
        </w:rPr>
        <w:t>מהם</w:t>
      </w:r>
      <w:r w:rsidRPr="00BE28BE">
        <w:rPr>
          <w:rFonts w:cs="Arial"/>
          <w:rtl/>
        </w:rPr>
        <w:t xml:space="preserve"> </w:t>
      </w:r>
      <w:r w:rsidRPr="00BE28BE">
        <w:rPr>
          <w:rFonts w:cs="Arial" w:hint="cs"/>
          <w:rtl/>
        </w:rPr>
        <w:t>מן</w:t>
      </w:r>
      <w:r w:rsidRPr="00BE28BE">
        <w:rPr>
          <w:rFonts w:cs="Arial"/>
          <w:rtl/>
        </w:rPr>
        <w:t xml:space="preserve"> </w:t>
      </w:r>
      <w:r w:rsidRPr="00BE28BE">
        <w:rPr>
          <w:rFonts w:cs="Arial" w:hint="cs"/>
          <w:rtl/>
        </w:rPr>
        <w:t>הבארות</w:t>
      </w:r>
      <w:r w:rsidRPr="00BE28BE">
        <w:rPr>
          <w:rFonts w:cs="Arial"/>
          <w:rtl/>
        </w:rPr>
        <w:t xml:space="preserve"> </w:t>
      </w:r>
      <w:r w:rsidRPr="00BE28BE">
        <w:rPr>
          <w:rFonts w:cs="Arial" w:hint="cs"/>
          <w:rtl/>
        </w:rPr>
        <w:t>או</w:t>
      </w:r>
      <w:r w:rsidRPr="00BE28BE">
        <w:rPr>
          <w:rFonts w:cs="Arial"/>
          <w:rtl/>
        </w:rPr>
        <w:t xml:space="preserve"> </w:t>
      </w:r>
      <w:r w:rsidRPr="00BE28BE">
        <w:rPr>
          <w:rFonts w:cs="Arial" w:hint="cs"/>
          <w:rtl/>
        </w:rPr>
        <w:t>המעינות</w:t>
      </w:r>
      <w:r w:rsidRPr="00BE28BE">
        <w:rPr>
          <w:rFonts w:cs="Arial"/>
          <w:rtl/>
        </w:rPr>
        <w:t xml:space="preserve"> </w:t>
      </w:r>
      <w:r w:rsidRPr="00BE28BE">
        <w:rPr>
          <w:rFonts w:cs="Arial" w:hint="cs"/>
          <w:rtl/>
        </w:rPr>
        <w:t>הוי</w:t>
      </w:r>
      <w:r w:rsidRPr="00BE28BE">
        <w:rPr>
          <w:rFonts w:cs="Arial"/>
          <w:rtl/>
        </w:rPr>
        <w:t xml:space="preserve"> </w:t>
      </w:r>
      <w:r w:rsidRPr="00BE28BE">
        <w:rPr>
          <w:rFonts w:cs="Arial" w:hint="cs"/>
          <w:rtl/>
        </w:rPr>
        <w:t>רובא</w:t>
      </w:r>
      <w:r w:rsidRPr="00BE28BE">
        <w:rPr>
          <w:rFonts w:cs="Arial"/>
          <w:rtl/>
        </w:rPr>
        <w:t xml:space="preserve"> </w:t>
      </w:r>
      <w:r w:rsidRPr="00BE28BE">
        <w:rPr>
          <w:rFonts w:cs="Arial" w:hint="cs"/>
          <w:rtl/>
        </w:rPr>
        <w:t>דרובא</w:t>
      </w:r>
      <w:r w:rsidRPr="00BE28BE">
        <w:rPr>
          <w:rFonts w:cs="Arial"/>
          <w:rtl/>
        </w:rPr>
        <w:t xml:space="preserve"> </w:t>
      </w:r>
      <w:r w:rsidRPr="00BE28BE">
        <w:rPr>
          <w:rFonts w:cs="Arial" w:hint="cs"/>
          <w:rtl/>
        </w:rPr>
        <w:t>ואידך</w:t>
      </w:r>
      <w:r w:rsidRPr="00BE28BE">
        <w:rPr>
          <w:rFonts w:cs="Arial"/>
          <w:rtl/>
        </w:rPr>
        <w:t xml:space="preserve"> </w:t>
      </w:r>
      <w:r w:rsidRPr="00BE28BE">
        <w:rPr>
          <w:rFonts w:cs="Arial" w:hint="cs"/>
          <w:rtl/>
        </w:rPr>
        <w:t>הוי</w:t>
      </w:r>
      <w:r w:rsidRPr="00BE28BE">
        <w:rPr>
          <w:rFonts w:cs="Arial"/>
          <w:rtl/>
        </w:rPr>
        <w:t xml:space="preserve"> </w:t>
      </w:r>
      <w:r w:rsidRPr="00BE28BE">
        <w:rPr>
          <w:rFonts w:cs="Arial" w:hint="cs"/>
          <w:rtl/>
        </w:rPr>
        <w:t>מיעוטא</w:t>
      </w:r>
      <w:r w:rsidRPr="00BE28BE">
        <w:rPr>
          <w:rFonts w:cs="Arial"/>
          <w:rtl/>
        </w:rPr>
        <w:t xml:space="preserve"> </w:t>
      </w:r>
      <w:r w:rsidRPr="00BE28BE">
        <w:rPr>
          <w:rFonts w:cs="Arial" w:hint="cs"/>
          <w:rtl/>
        </w:rPr>
        <w:t>דמיעוטא</w:t>
      </w:r>
      <w:r>
        <w:rPr>
          <w:rFonts w:cs="Arial" w:hint="cs"/>
          <w:rtl/>
        </w:rPr>
        <w:t>,</w:t>
      </w:r>
      <w:r w:rsidRPr="00BE28BE">
        <w:rPr>
          <w:rFonts w:cs="Arial"/>
          <w:rtl/>
        </w:rPr>
        <w:t xml:space="preserve"> </w:t>
      </w:r>
      <w:r w:rsidRPr="00BE28BE">
        <w:rPr>
          <w:rFonts w:cs="Arial" w:hint="cs"/>
          <w:rtl/>
        </w:rPr>
        <w:t>כמו</w:t>
      </w:r>
      <w:r w:rsidRPr="00BE28BE">
        <w:rPr>
          <w:rFonts w:cs="Arial"/>
          <w:rtl/>
        </w:rPr>
        <w:t xml:space="preserve"> </w:t>
      </w:r>
      <w:r w:rsidRPr="00BE28BE">
        <w:rPr>
          <w:rFonts w:cs="Arial" w:hint="cs"/>
          <w:rtl/>
        </w:rPr>
        <w:t>אם</w:t>
      </w:r>
      <w:r w:rsidRPr="00BE28BE">
        <w:rPr>
          <w:rFonts w:cs="Arial"/>
          <w:rtl/>
        </w:rPr>
        <w:t xml:space="preserve"> </w:t>
      </w:r>
      <w:r w:rsidRPr="00BE28BE">
        <w:rPr>
          <w:rFonts w:cs="Arial" w:hint="cs"/>
          <w:rtl/>
        </w:rPr>
        <w:t>תשע</w:t>
      </w:r>
      <w:r w:rsidRPr="00BE28BE">
        <w:rPr>
          <w:rFonts w:cs="Arial"/>
          <w:rtl/>
        </w:rPr>
        <w:t xml:space="preserve"> </w:t>
      </w:r>
      <w:r w:rsidRPr="00BE28BE">
        <w:rPr>
          <w:rFonts w:cs="Arial" w:hint="cs"/>
          <w:rtl/>
        </w:rPr>
        <w:t>הידות</w:t>
      </w:r>
      <w:r w:rsidRPr="00BE28BE">
        <w:rPr>
          <w:rFonts w:cs="Arial"/>
          <w:rtl/>
        </w:rPr>
        <w:t xml:space="preserve"> </w:t>
      </w:r>
      <w:r w:rsidRPr="00BE28BE">
        <w:rPr>
          <w:rFonts w:cs="Arial" w:hint="cs"/>
          <w:rtl/>
        </w:rPr>
        <w:t>שותים</w:t>
      </w:r>
      <w:r w:rsidRPr="00BE28BE">
        <w:rPr>
          <w:rFonts w:cs="Arial"/>
          <w:rtl/>
        </w:rPr>
        <w:t xml:space="preserve"> </w:t>
      </w:r>
      <w:r w:rsidRPr="00BE28BE">
        <w:rPr>
          <w:rFonts w:cs="Arial" w:hint="cs"/>
          <w:rtl/>
        </w:rPr>
        <w:t>מי</w:t>
      </w:r>
      <w:r w:rsidRPr="00BE28BE">
        <w:rPr>
          <w:rFonts w:cs="Arial"/>
          <w:rtl/>
        </w:rPr>
        <w:t xml:space="preserve"> </w:t>
      </w:r>
      <w:r w:rsidRPr="00BE28BE">
        <w:rPr>
          <w:rFonts w:cs="Arial" w:hint="cs"/>
          <w:rtl/>
        </w:rPr>
        <w:t>באר</w:t>
      </w:r>
      <w:r w:rsidRPr="00BE28BE">
        <w:rPr>
          <w:rFonts w:cs="Arial"/>
          <w:rtl/>
        </w:rPr>
        <w:t xml:space="preserve"> </w:t>
      </w:r>
      <w:r w:rsidRPr="00BE28BE">
        <w:rPr>
          <w:rFonts w:cs="Arial" w:hint="cs"/>
          <w:rtl/>
        </w:rPr>
        <w:t>והעשירית</w:t>
      </w:r>
      <w:r w:rsidRPr="00BE28BE">
        <w:rPr>
          <w:rFonts w:cs="Arial"/>
          <w:rtl/>
        </w:rPr>
        <w:t xml:space="preserve"> </w:t>
      </w:r>
      <w:r w:rsidRPr="00BE28BE">
        <w:rPr>
          <w:rFonts w:cs="Arial" w:hint="cs"/>
          <w:rtl/>
        </w:rPr>
        <w:t>מי</w:t>
      </w:r>
      <w:r w:rsidRPr="00BE28BE">
        <w:rPr>
          <w:rFonts w:cs="Arial"/>
          <w:rtl/>
        </w:rPr>
        <w:t xml:space="preserve"> </w:t>
      </w:r>
      <w:r w:rsidRPr="00BE28BE">
        <w:rPr>
          <w:rFonts w:cs="Arial" w:hint="cs"/>
          <w:rtl/>
        </w:rPr>
        <w:t>מעין</w:t>
      </w:r>
      <w:r w:rsidRPr="00BE28BE">
        <w:rPr>
          <w:rFonts w:cs="Arial"/>
          <w:rtl/>
        </w:rPr>
        <w:t xml:space="preserve"> </w:t>
      </w:r>
      <w:r w:rsidRPr="00BE28BE">
        <w:rPr>
          <w:rFonts w:cs="Arial" w:hint="cs"/>
          <w:rtl/>
        </w:rPr>
        <w:t>או</w:t>
      </w:r>
      <w:r w:rsidRPr="00BE28BE">
        <w:rPr>
          <w:rFonts w:cs="Arial"/>
          <w:rtl/>
        </w:rPr>
        <w:t xml:space="preserve"> </w:t>
      </w:r>
      <w:r w:rsidRPr="00BE28BE">
        <w:rPr>
          <w:rFonts w:cs="Arial" w:hint="cs"/>
          <w:rtl/>
        </w:rPr>
        <w:t>בהיפך</w:t>
      </w:r>
      <w:r>
        <w:rPr>
          <w:rFonts w:cs="Arial" w:hint="cs"/>
          <w:rtl/>
        </w:rPr>
        <w:t>,</w:t>
      </w:r>
      <w:r w:rsidRPr="00BE28BE">
        <w:rPr>
          <w:rFonts w:cs="Arial"/>
          <w:rtl/>
        </w:rPr>
        <w:t xml:space="preserve"> </w:t>
      </w:r>
      <w:r w:rsidRPr="00BE28BE">
        <w:rPr>
          <w:rFonts w:cs="Arial" w:hint="cs"/>
          <w:rtl/>
        </w:rPr>
        <w:t>היה</w:t>
      </w:r>
      <w:r w:rsidRPr="00BE28BE">
        <w:rPr>
          <w:rFonts w:cs="Arial"/>
          <w:rtl/>
        </w:rPr>
        <w:t xml:space="preserve"> </w:t>
      </w:r>
      <w:r w:rsidRPr="00BE28BE">
        <w:rPr>
          <w:rFonts w:cs="Arial" w:hint="cs"/>
          <w:rtl/>
        </w:rPr>
        <w:t>ראוי</w:t>
      </w:r>
      <w:r w:rsidRPr="00BE28BE">
        <w:rPr>
          <w:rFonts w:cs="Arial"/>
          <w:rtl/>
        </w:rPr>
        <w:t xml:space="preserve"> </w:t>
      </w:r>
      <w:r w:rsidRPr="00BE28BE">
        <w:rPr>
          <w:rFonts w:cs="Arial" w:hint="cs"/>
          <w:rtl/>
        </w:rPr>
        <w:t>לכתוב</w:t>
      </w:r>
      <w:r w:rsidRPr="00BE28BE">
        <w:rPr>
          <w:rFonts w:cs="Arial"/>
          <w:rtl/>
        </w:rPr>
        <w:t xml:space="preserve"> </w:t>
      </w:r>
      <w:r w:rsidRPr="00BE28BE">
        <w:rPr>
          <w:rFonts w:cs="Arial" w:hint="cs"/>
          <w:rtl/>
        </w:rPr>
        <w:t>מי</w:t>
      </w:r>
      <w:r w:rsidRPr="00BE28BE">
        <w:rPr>
          <w:rFonts w:cs="Arial"/>
          <w:rtl/>
        </w:rPr>
        <w:t xml:space="preserve"> </w:t>
      </w:r>
      <w:r w:rsidRPr="00BE28BE">
        <w:rPr>
          <w:rFonts w:cs="Arial" w:hint="cs"/>
          <w:rtl/>
        </w:rPr>
        <w:t>בארות</w:t>
      </w:r>
      <w:r w:rsidRPr="00BE28BE">
        <w:rPr>
          <w:rFonts w:cs="Arial"/>
          <w:rtl/>
        </w:rPr>
        <w:t xml:space="preserve"> </w:t>
      </w:r>
      <w:r w:rsidRPr="00BE28BE">
        <w:rPr>
          <w:rFonts w:cs="Arial" w:hint="cs"/>
          <w:rtl/>
        </w:rPr>
        <w:t>ועל</w:t>
      </w:r>
      <w:r w:rsidRPr="00BE28BE">
        <w:rPr>
          <w:rFonts w:cs="Arial"/>
          <w:rtl/>
        </w:rPr>
        <w:t xml:space="preserve"> </w:t>
      </w:r>
      <w:r w:rsidRPr="00BE28BE">
        <w:rPr>
          <w:rFonts w:cs="Arial" w:hint="cs"/>
          <w:rtl/>
        </w:rPr>
        <w:t>מי</w:t>
      </w:r>
      <w:r w:rsidRPr="00BE28BE">
        <w:rPr>
          <w:rFonts w:cs="Arial"/>
          <w:rtl/>
        </w:rPr>
        <w:t xml:space="preserve"> </w:t>
      </w:r>
      <w:r w:rsidRPr="00BE28BE">
        <w:rPr>
          <w:rFonts w:cs="Arial" w:hint="cs"/>
          <w:rtl/>
        </w:rPr>
        <w:t>מעינות</w:t>
      </w:r>
      <w:r>
        <w:rPr>
          <w:rFonts w:cs="Arial" w:hint="cs"/>
          <w:rtl/>
        </w:rPr>
        <w:t>,</w:t>
      </w:r>
      <w:r w:rsidRPr="00BE28BE">
        <w:rPr>
          <w:rFonts w:cs="Arial"/>
          <w:rtl/>
        </w:rPr>
        <w:t xml:space="preserve"> </w:t>
      </w:r>
      <w:r w:rsidRPr="00BE28BE">
        <w:rPr>
          <w:rFonts w:cs="Arial" w:hint="cs"/>
          <w:rtl/>
        </w:rPr>
        <w:t>כי</w:t>
      </w:r>
      <w:r w:rsidRPr="00BE28BE">
        <w:rPr>
          <w:rFonts w:cs="Arial"/>
          <w:rtl/>
        </w:rPr>
        <w:t xml:space="preserve"> </w:t>
      </w:r>
      <w:r w:rsidRPr="00BE28BE">
        <w:rPr>
          <w:rFonts w:cs="Arial" w:hint="cs"/>
          <w:rtl/>
        </w:rPr>
        <w:t>אם</w:t>
      </w:r>
      <w:r w:rsidRPr="00BE28BE">
        <w:rPr>
          <w:rFonts w:cs="Arial"/>
          <w:rtl/>
        </w:rPr>
        <w:t xml:space="preserve"> </w:t>
      </w:r>
      <w:r w:rsidRPr="00BE28BE">
        <w:rPr>
          <w:rFonts w:cs="Arial" w:hint="cs"/>
          <w:rtl/>
        </w:rPr>
        <w:t>לתפוס</w:t>
      </w:r>
      <w:r w:rsidRPr="00BE28BE">
        <w:rPr>
          <w:rFonts w:cs="Arial"/>
          <w:rtl/>
        </w:rPr>
        <w:t xml:space="preserve"> </w:t>
      </w:r>
      <w:r w:rsidRPr="00BE28BE">
        <w:rPr>
          <w:rFonts w:cs="Arial" w:hint="cs"/>
          <w:rtl/>
        </w:rPr>
        <w:t>רובא</w:t>
      </w:r>
      <w:r w:rsidRPr="00BE28BE">
        <w:rPr>
          <w:rFonts w:cs="Arial"/>
          <w:rtl/>
        </w:rPr>
        <w:t xml:space="preserve"> </w:t>
      </w:r>
      <w:r w:rsidRPr="00BE28BE">
        <w:rPr>
          <w:rFonts w:cs="Arial" w:hint="cs"/>
          <w:rtl/>
        </w:rPr>
        <w:t>דרובא</w:t>
      </w:r>
      <w:r w:rsidRPr="00BE28BE">
        <w:rPr>
          <w:rFonts w:cs="Arial"/>
          <w:rtl/>
        </w:rPr>
        <w:t xml:space="preserve"> </w:t>
      </w:r>
      <w:r w:rsidRPr="00BE28BE">
        <w:rPr>
          <w:rFonts w:cs="Arial" w:hint="cs"/>
          <w:rtl/>
        </w:rPr>
        <w:t>ולהניח</w:t>
      </w:r>
      <w:r w:rsidRPr="00BE28BE">
        <w:rPr>
          <w:rFonts w:cs="Arial"/>
          <w:rtl/>
        </w:rPr>
        <w:t xml:space="preserve"> </w:t>
      </w:r>
      <w:r w:rsidRPr="00BE28BE">
        <w:rPr>
          <w:rFonts w:cs="Arial" w:hint="cs"/>
          <w:rtl/>
        </w:rPr>
        <w:t>מיעוטא</w:t>
      </w:r>
      <w:r w:rsidRPr="00BE28BE">
        <w:rPr>
          <w:rFonts w:cs="Arial"/>
          <w:rtl/>
        </w:rPr>
        <w:t xml:space="preserve"> </w:t>
      </w:r>
      <w:r w:rsidRPr="00BE28BE">
        <w:rPr>
          <w:rFonts w:cs="Arial" w:hint="cs"/>
          <w:rtl/>
        </w:rPr>
        <w:t>דמיעוטא</w:t>
      </w:r>
      <w:r>
        <w:rPr>
          <w:rFonts w:cs="Arial" w:hint="cs"/>
          <w:rtl/>
        </w:rPr>
        <w:t>,</w:t>
      </w:r>
      <w:r w:rsidRPr="00BE28BE">
        <w:rPr>
          <w:rFonts w:cs="Arial"/>
          <w:rtl/>
        </w:rPr>
        <w:t xml:space="preserve"> </w:t>
      </w:r>
      <w:r w:rsidRPr="00BE28BE">
        <w:rPr>
          <w:rFonts w:cs="Arial" w:hint="cs"/>
          <w:rtl/>
        </w:rPr>
        <w:t>מאחר</w:t>
      </w:r>
      <w:r w:rsidRPr="00BE28BE">
        <w:rPr>
          <w:rFonts w:cs="Arial"/>
          <w:rtl/>
        </w:rPr>
        <w:t xml:space="preserve"> </w:t>
      </w:r>
      <w:r w:rsidRPr="00BE28BE">
        <w:rPr>
          <w:rFonts w:cs="Arial" w:hint="cs"/>
          <w:rtl/>
        </w:rPr>
        <w:t>שכתבו</w:t>
      </w:r>
      <w:r w:rsidRPr="00BE28BE">
        <w:rPr>
          <w:rFonts w:cs="Arial"/>
          <w:rtl/>
        </w:rPr>
        <w:t xml:space="preserve"> </w:t>
      </w:r>
      <w:r w:rsidRPr="00BE28BE">
        <w:rPr>
          <w:rFonts w:cs="Arial" w:hint="cs"/>
          <w:rtl/>
        </w:rPr>
        <w:t>הפוסקים</w:t>
      </w:r>
      <w:r w:rsidRPr="00BE28BE">
        <w:rPr>
          <w:rFonts w:cs="Arial"/>
          <w:rtl/>
        </w:rPr>
        <w:t xml:space="preserve"> </w:t>
      </w:r>
      <w:r w:rsidRPr="00BE28BE">
        <w:rPr>
          <w:rFonts w:cs="Arial" w:hint="cs"/>
          <w:rtl/>
        </w:rPr>
        <w:t>האחרונים</w:t>
      </w:r>
      <w:r w:rsidRPr="00BE28BE">
        <w:rPr>
          <w:rFonts w:cs="Arial"/>
          <w:rtl/>
        </w:rPr>
        <w:t xml:space="preserve"> </w:t>
      </w:r>
      <w:r w:rsidRPr="00BE28BE">
        <w:rPr>
          <w:rFonts w:cs="Arial" w:hint="cs"/>
          <w:rtl/>
        </w:rPr>
        <w:t>שלא</w:t>
      </w:r>
      <w:r w:rsidRPr="00BE28BE">
        <w:rPr>
          <w:rFonts w:cs="Arial"/>
          <w:rtl/>
        </w:rPr>
        <w:t xml:space="preserve"> </w:t>
      </w:r>
      <w:r w:rsidRPr="00BE28BE">
        <w:rPr>
          <w:rFonts w:cs="Arial" w:hint="cs"/>
          <w:rtl/>
        </w:rPr>
        <w:t>לכתבם</w:t>
      </w:r>
      <w:r w:rsidRPr="00BE28BE">
        <w:rPr>
          <w:rFonts w:cs="Arial"/>
          <w:rtl/>
        </w:rPr>
        <w:t xml:space="preserve"> </w:t>
      </w:r>
      <w:r w:rsidRPr="00BE28BE">
        <w:rPr>
          <w:rFonts w:cs="Arial" w:hint="cs"/>
          <w:rtl/>
        </w:rPr>
        <w:t>כלל</w:t>
      </w:r>
      <w:r>
        <w:rPr>
          <w:rFonts w:cs="Arial" w:hint="cs"/>
          <w:rtl/>
        </w:rPr>
        <w:t>.</w:t>
      </w:r>
      <w:r w:rsidRPr="00BE28BE">
        <w:rPr>
          <w:rFonts w:cs="Arial"/>
          <w:rtl/>
        </w:rPr>
        <w:t xml:space="preserve"> </w:t>
      </w:r>
      <w:r w:rsidRPr="00BE28BE">
        <w:rPr>
          <w:rFonts w:cs="Arial" w:hint="cs"/>
          <w:rtl/>
        </w:rPr>
        <w:t>ולכל</w:t>
      </w:r>
      <w:r w:rsidRPr="00BE28BE">
        <w:rPr>
          <w:rFonts w:cs="Arial"/>
          <w:rtl/>
        </w:rPr>
        <w:t xml:space="preserve"> </w:t>
      </w:r>
      <w:r w:rsidRPr="00BE28BE">
        <w:rPr>
          <w:rFonts w:cs="Arial" w:hint="cs"/>
          <w:rtl/>
        </w:rPr>
        <w:t>הדיעות</w:t>
      </w:r>
      <w:r w:rsidRPr="00BE28BE">
        <w:rPr>
          <w:rFonts w:cs="Arial"/>
          <w:rtl/>
        </w:rPr>
        <w:t xml:space="preserve"> </w:t>
      </w:r>
      <w:r w:rsidRPr="00BE28BE">
        <w:rPr>
          <w:rFonts w:cs="Arial" w:hint="cs"/>
          <w:rtl/>
        </w:rPr>
        <w:t>אם</w:t>
      </w:r>
      <w:r w:rsidRPr="00BE28BE">
        <w:rPr>
          <w:rFonts w:cs="Arial"/>
          <w:rtl/>
        </w:rPr>
        <w:t xml:space="preserve"> </w:t>
      </w:r>
      <w:r w:rsidRPr="00BE28BE">
        <w:rPr>
          <w:rFonts w:cs="Arial" w:hint="cs"/>
          <w:rtl/>
        </w:rPr>
        <w:t>לא</w:t>
      </w:r>
      <w:r w:rsidRPr="00BE28BE">
        <w:rPr>
          <w:rFonts w:cs="Arial"/>
          <w:rtl/>
        </w:rPr>
        <w:t xml:space="preserve"> </w:t>
      </w:r>
      <w:r w:rsidRPr="00BE28BE">
        <w:rPr>
          <w:rFonts w:cs="Arial" w:hint="cs"/>
          <w:rtl/>
        </w:rPr>
        <w:t>נכתב</w:t>
      </w:r>
      <w:r w:rsidRPr="00BE28BE">
        <w:rPr>
          <w:rFonts w:cs="Arial"/>
          <w:rtl/>
        </w:rPr>
        <w:t xml:space="preserve"> </w:t>
      </w:r>
      <w:r w:rsidRPr="00BE28BE">
        <w:rPr>
          <w:rFonts w:cs="Arial" w:hint="cs"/>
          <w:rtl/>
        </w:rPr>
        <w:t>כלל</w:t>
      </w:r>
      <w:r>
        <w:rPr>
          <w:rFonts w:cs="Arial" w:hint="cs"/>
          <w:rtl/>
        </w:rPr>
        <w:t>,</w:t>
      </w:r>
      <w:r w:rsidRPr="00BE28BE">
        <w:rPr>
          <w:rFonts w:cs="Arial"/>
          <w:rtl/>
        </w:rPr>
        <w:t xml:space="preserve"> </w:t>
      </w:r>
      <w:r w:rsidRPr="00BE28BE">
        <w:rPr>
          <w:rFonts w:cs="Arial" w:hint="cs"/>
          <w:rtl/>
        </w:rPr>
        <w:t>כשר</w:t>
      </w:r>
      <w:r>
        <w:rPr>
          <w:rFonts w:cs="Arial" w:hint="cs"/>
          <w:rtl/>
        </w:rPr>
        <w:t>.</w:t>
      </w:r>
      <w:r w:rsidRPr="00BE28BE">
        <w:rPr>
          <w:rFonts w:cs="Arial"/>
          <w:rtl/>
        </w:rPr>
        <w:t xml:space="preserve"> </w:t>
      </w:r>
      <w:r w:rsidRPr="00BE28BE">
        <w:rPr>
          <w:rFonts w:cs="Arial" w:hint="cs"/>
          <w:rtl/>
        </w:rPr>
        <w:t>ואם</w:t>
      </w:r>
      <w:r w:rsidRPr="00BE28BE">
        <w:rPr>
          <w:rFonts w:cs="Arial"/>
          <w:rtl/>
        </w:rPr>
        <w:t xml:space="preserve"> </w:t>
      </w:r>
      <w:r w:rsidRPr="00BE28BE">
        <w:rPr>
          <w:rFonts w:cs="Arial" w:hint="cs"/>
          <w:rtl/>
        </w:rPr>
        <w:t>היה</w:t>
      </w:r>
      <w:r w:rsidRPr="00BE28BE">
        <w:rPr>
          <w:rFonts w:cs="Arial"/>
          <w:rtl/>
        </w:rPr>
        <w:t xml:space="preserve"> </w:t>
      </w:r>
      <w:r w:rsidRPr="00BE28BE">
        <w:rPr>
          <w:rFonts w:cs="Arial" w:hint="cs"/>
          <w:rtl/>
        </w:rPr>
        <w:t>כותב</w:t>
      </w:r>
      <w:r w:rsidRPr="00BE28BE">
        <w:rPr>
          <w:rFonts w:cs="Arial"/>
          <w:rtl/>
        </w:rPr>
        <w:t xml:space="preserve"> </w:t>
      </w:r>
      <w:r w:rsidRPr="00BE28BE">
        <w:rPr>
          <w:rFonts w:cs="Arial" w:hint="cs"/>
          <w:rtl/>
        </w:rPr>
        <w:t>על</w:t>
      </w:r>
      <w:r w:rsidRPr="00BE28BE">
        <w:rPr>
          <w:rFonts w:cs="Arial"/>
          <w:rtl/>
        </w:rPr>
        <w:t xml:space="preserve"> </w:t>
      </w:r>
      <w:r w:rsidRPr="00BE28BE">
        <w:rPr>
          <w:rFonts w:cs="Arial" w:hint="cs"/>
          <w:rtl/>
        </w:rPr>
        <w:t>מי</w:t>
      </w:r>
      <w:r w:rsidRPr="00BE28BE">
        <w:rPr>
          <w:rFonts w:cs="Arial"/>
          <w:rtl/>
        </w:rPr>
        <w:t xml:space="preserve"> </w:t>
      </w:r>
      <w:r w:rsidRPr="00BE28BE">
        <w:rPr>
          <w:rFonts w:cs="Arial" w:hint="cs"/>
          <w:rtl/>
        </w:rPr>
        <w:t>בארות</w:t>
      </w:r>
      <w:r w:rsidRPr="00BE28BE">
        <w:rPr>
          <w:rFonts w:cs="Arial"/>
          <w:rtl/>
        </w:rPr>
        <w:t xml:space="preserve"> </w:t>
      </w:r>
      <w:r w:rsidRPr="00BE28BE">
        <w:rPr>
          <w:rFonts w:cs="Arial" w:hint="cs"/>
          <w:rtl/>
        </w:rPr>
        <w:t>או</w:t>
      </w:r>
      <w:r w:rsidRPr="00BE28BE">
        <w:rPr>
          <w:rFonts w:cs="Arial"/>
          <w:rtl/>
        </w:rPr>
        <w:t xml:space="preserve"> </w:t>
      </w:r>
      <w:r w:rsidRPr="00BE28BE">
        <w:rPr>
          <w:rFonts w:cs="Arial" w:hint="cs"/>
          <w:rtl/>
        </w:rPr>
        <w:t>על</w:t>
      </w:r>
      <w:r w:rsidRPr="00BE28BE">
        <w:rPr>
          <w:rFonts w:cs="Arial"/>
          <w:rtl/>
        </w:rPr>
        <w:t xml:space="preserve"> </w:t>
      </w:r>
      <w:r w:rsidRPr="00BE28BE">
        <w:rPr>
          <w:rFonts w:cs="Arial" w:hint="cs"/>
          <w:rtl/>
        </w:rPr>
        <w:t>מי</w:t>
      </w:r>
      <w:r w:rsidRPr="00BE28BE">
        <w:rPr>
          <w:rFonts w:cs="Arial"/>
          <w:rtl/>
        </w:rPr>
        <w:t xml:space="preserve"> </w:t>
      </w:r>
      <w:r w:rsidRPr="00BE28BE">
        <w:rPr>
          <w:rFonts w:cs="Arial" w:hint="cs"/>
          <w:rtl/>
        </w:rPr>
        <w:t>מעינות</w:t>
      </w:r>
      <w:r w:rsidRPr="00BE28BE">
        <w:rPr>
          <w:rFonts w:cs="Arial"/>
          <w:rtl/>
        </w:rPr>
        <w:t xml:space="preserve"> </w:t>
      </w:r>
      <w:r w:rsidRPr="00BE28BE">
        <w:rPr>
          <w:rFonts w:cs="Arial" w:hint="cs"/>
          <w:rtl/>
        </w:rPr>
        <w:t>ולפי</w:t>
      </w:r>
      <w:r w:rsidRPr="00BE28BE">
        <w:rPr>
          <w:rFonts w:cs="Arial"/>
          <w:rtl/>
        </w:rPr>
        <w:t xml:space="preserve"> </w:t>
      </w:r>
      <w:r w:rsidRPr="00BE28BE">
        <w:rPr>
          <w:rFonts w:cs="Arial" w:hint="cs"/>
          <w:rtl/>
        </w:rPr>
        <w:t>האמת</w:t>
      </w:r>
      <w:r w:rsidRPr="00BE28BE">
        <w:rPr>
          <w:rFonts w:cs="Arial"/>
          <w:rtl/>
        </w:rPr>
        <w:t xml:space="preserve"> </w:t>
      </w:r>
      <w:r w:rsidRPr="00BE28BE">
        <w:rPr>
          <w:rFonts w:cs="Arial" w:hint="cs"/>
          <w:rtl/>
        </w:rPr>
        <w:t>לא</w:t>
      </w:r>
      <w:r w:rsidRPr="00BE28BE">
        <w:rPr>
          <w:rFonts w:cs="Arial"/>
          <w:rtl/>
        </w:rPr>
        <w:t xml:space="preserve"> </w:t>
      </w:r>
      <w:r w:rsidRPr="00BE28BE">
        <w:rPr>
          <w:rFonts w:cs="Arial" w:hint="cs"/>
          <w:rtl/>
        </w:rPr>
        <w:t>תחשב</w:t>
      </w:r>
      <w:r w:rsidRPr="00BE28BE">
        <w:rPr>
          <w:rFonts w:cs="Arial"/>
          <w:rtl/>
        </w:rPr>
        <w:t xml:space="preserve"> </w:t>
      </w:r>
      <w:r w:rsidRPr="00BE28BE">
        <w:rPr>
          <w:rFonts w:cs="Arial" w:hint="cs"/>
          <w:rtl/>
        </w:rPr>
        <w:t>יושבת</w:t>
      </w:r>
      <w:r w:rsidRPr="00BE28BE">
        <w:rPr>
          <w:rFonts w:cs="Arial"/>
          <w:rtl/>
        </w:rPr>
        <w:t xml:space="preserve"> </w:t>
      </w:r>
      <w:r w:rsidRPr="00BE28BE">
        <w:rPr>
          <w:rFonts w:cs="Arial" w:hint="cs"/>
          <w:rtl/>
        </w:rPr>
        <w:t>על</w:t>
      </w:r>
      <w:r w:rsidRPr="00BE28BE">
        <w:rPr>
          <w:rFonts w:cs="Arial"/>
          <w:rtl/>
        </w:rPr>
        <w:t xml:space="preserve"> </w:t>
      </w:r>
      <w:r w:rsidRPr="00BE28BE">
        <w:rPr>
          <w:rFonts w:cs="Arial" w:hint="cs"/>
          <w:rtl/>
        </w:rPr>
        <w:t>מי</w:t>
      </w:r>
      <w:r w:rsidRPr="00BE28BE">
        <w:rPr>
          <w:rFonts w:cs="Arial"/>
          <w:rtl/>
        </w:rPr>
        <w:t xml:space="preserve"> </w:t>
      </w:r>
      <w:r w:rsidRPr="00BE28BE">
        <w:rPr>
          <w:rFonts w:cs="Arial" w:hint="cs"/>
          <w:rtl/>
        </w:rPr>
        <w:t>בארות</w:t>
      </w:r>
      <w:r w:rsidRPr="00BE28BE">
        <w:rPr>
          <w:rFonts w:cs="Arial"/>
          <w:rtl/>
        </w:rPr>
        <w:t xml:space="preserve"> </w:t>
      </w:r>
      <w:r w:rsidRPr="00BE28BE">
        <w:rPr>
          <w:rFonts w:cs="Arial" w:hint="cs"/>
          <w:rtl/>
        </w:rPr>
        <w:t>או</w:t>
      </w:r>
      <w:r w:rsidRPr="00BE28BE">
        <w:rPr>
          <w:rFonts w:cs="Arial"/>
          <w:rtl/>
        </w:rPr>
        <w:t xml:space="preserve"> </w:t>
      </w:r>
      <w:r w:rsidRPr="00BE28BE">
        <w:rPr>
          <w:rFonts w:cs="Arial" w:hint="cs"/>
          <w:rtl/>
        </w:rPr>
        <w:t>מי</w:t>
      </w:r>
      <w:r w:rsidRPr="00BE28BE">
        <w:rPr>
          <w:rFonts w:cs="Arial"/>
          <w:rtl/>
        </w:rPr>
        <w:t xml:space="preserve"> </w:t>
      </w:r>
      <w:r w:rsidRPr="00BE28BE">
        <w:rPr>
          <w:rFonts w:cs="Arial" w:hint="cs"/>
          <w:rtl/>
        </w:rPr>
        <w:t>מעינות</w:t>
      </w:r>
      <w:r w:rsidRPr="00BE28BE">
        <w:rPr>
          <w:rFonts w:cs="Arial"/>
          <w:rtl/>
        </w:rPr>
        <w:t xml:space="preserve"> </w:t>
      </w:r>
      <w:r w:rsidRPr="00BE28BE">
        <w:rPr>
          <w:rFonts w:cs="Arial" w:hint="cs"/>
          <w:rtl/>
        </w:rPr>
        <w:t>כאשר</w:t>
      </w:r>
      <w:r w:rsidRPr="00BE28BE">
        <w:rPr>
          <w:rFonts w:cs="Arial"/>
          <w:rtl/>
        </w:rPr>
        <w:t xml:space="preserve"> </w:t>
      </w:r>
      <w:r w:rsidRPr="00BE28BE">
        <w:rPr>
          <w:rFonts w:cs="Arial" w:hint="cs"/>
          <w:rtl/>
        </w:rPr>
        <w:t>אין</w:t>
      </w:r>
      <w:r w:rsidRPr="00BE28BE">
        <w:rPr>
          <w:rFonts w:cs="Arial"/>
          <w:rtl/>
        </w:rPr>
        <w:t xml:space="preserve"> </w:t>
      </w:r>
      <w:r w:rsidRPr="00BE28BE">
        <w:rPr>
          <w:rFonts w:cs="Arial" w:hint="cs"/>
          <w:rtl/>
        </w:rPr>
        <w:t>מסתפקין</w:t>
      </w:r>
      <w:r w:rsidRPr="00BE28BE">
        <w:rPr>
          <w:rFonts w:cs="Arial"/>
          <w:rtl/>
        </w:rPr>
        <w:t xml:space="preserve"> </w:t>
      </w:r>
      <w:r w:rsidRPr="00BE28BE">
        <w:rPr>
          <w:rFonts w:cs="Arial" w:hint="cs"/>
          <w:rtl/>
        </w:rPr>
        <w:t>מהם</w:t>
      </w:r>
      <w:r w:rsidRPr="00BE28BE">
        <w:rPr>
          <w:rFonts w:cs="Arial"/>
          <w:rtl/>
        </w:rPr>
        <w:t xml:space="preserve"> </w:t>
      </w:r>
      <w:r w:rsidRPr="00BE28BE">
        <w:rPr>
          <w:rFonts w:cs="Arial" w:hint="cs"/>
          <w:rtl/>
        </w:rPr>
        <w:t>כי</w:t>
      </w:r>
      <w:r w:rsidRPr="00BE28BE">
        <w:rPr>
          <w:rFonts w:cs="Arial"/>
          <w:rtl/>
        </w:rPr>
        <w:t xml:space="preserve"> </w:t>
      </w:r>
      <w:r w:rsidRPr="00BE28BE">
        <w:rPr>
          <w:rFonts w:cs="Arial" w:hint="cs"/>
          <w:rtl/>
        </w:rPr>
        <w:t>אם</w:t>
      </w:r>
      <w:r w:rsidRPr="00BE28BE">
        <w:rPr>
          <w:rFonts w:cs="Arial"/>
          <w:rtl/>
        </w:rPr>
        <w:t xml:space="preserve"> </w:t>
      </w:r>
      <w:r w:rsidRPr="00BE28BE">
        <w:rPr>
          <w:rFonts w:cs="Arial" w:hint="cs"/>
          <w:rtl/>
        </w:rPr>
        <w:t>מיעוטא</w:t>
      </w:r>
      <w:r w:rsidRPr="00BE28BE">
        <w:rPr>
          <w:rFonts w:cs="Arial"/>
          <w:rtl/>
        </w:rPr>
        <w:t xml:space="preserve"> </w:t>
      </w:r>
      <w:r w:rsidRPr="00BE28BE">
        <w:rPr>
          <w:rFonts w:cs="Arial" w:hint="cs"/>
          <w:rtl/>
        </w:rPr>
        <w:t>דמיעוטא</w:t>
      </w:r>
      <w:r w:rsidRPr="00BE28BE">
        <w:rPr>
          <w:rFonts w:cs="Arial"/>
          <w:rtl/>
        </w:rPr>
        <w:t xml:space="preserve"> </w:t>
      </w:r>
      <w:r w:rsidR="00A82951">
        <w:rPr>
          <w:rFonts w:cs="Arial" w:hint="cs"/>
          <w:rtl/>
        </w:rPr>
        <w:t>-</w:t>
      </w:r>
      <w:r>
        <w:rPr>
          <w:rFonts w:cs="Arial" w:hint="cs"/>
          <w:rtl/>
        </w:rPr>
        <w:t xml:space="preserve"> </w:t>
      </w:r>
      <w:r w:rsidRPr="00BE28BE">
        <w:rPr>
          <w:rFonts w:cs="Arial" w:hint="cs"/>
          <w:rtl/>
        </w:rPr>
        <w:t>איכא</w:t>
      </w:r>
      <w:r w:rsidRPr="00BE28BE">
        <w:rPr>
          <w:rFonts w:cs="Arial"/>
          <w:rtl/>
        </w:rPr>
        <w:t xml:space="preserve"> </w:t>
      </w:r>
      <w:r w:rsidRPr="00BE28BE">
        <w:rPr>
          <w:rFonts w:cs="Arial" w:hint="cs"/>
          <w:rtl/>
        </w:rPr>
        <w:t>למיחש</w:t>
      </w:r>
      <w:r w:rsidRPr="00BE28BE">
        <w:rPr>
          <w:rFonts w:cs="Arial"/>
          <w:rtl/>
        </w:rPr>
        <w:t xml:space="preserve"> </w:t>
      </w:r>
      <w:r w:rsidRPr="00BE28BE">
        <w:rPr>
          <w:rFonts w:cs="Arial" w:hint="cs"/>
          <w:rtl/>
        </w:rPr>
        <w:t>לפסול</w:t>
      </w:r>
      <w:r w:rsidRPr="00BE28BE">
        <w:rPr>
          <w:rFonts w:cs="Arial"/>
          <w:rtl/>
        </w:rPr>
        <w:t xml:space="preserve"> </w:t>
      </w:r>
      <w:r w:rsidRPr="00BE28BE">
        <w:rPr>
          <w:rFonts w:cs="Arial" w:hint="cs"/>
          <w:rtl/>
        </w:rPr>
        <w:t>הגט</w:t>
      </w:r>
      <w:r w:rsidRPr="00BE28BE">
        <w:rPr>
          <w:rFonts w:cs="Arial"/>
          <w:rtl/>
        </w:rPr>
        <w:t xml:space="preserve"> </w:t>
      </w:r>
      <w:r w:rsidRPr="00BE28BE">
        <w:rPr>
          <w:rFonts w:cs="Arial" w:hint="cs"/>
          <w:rtl/>
        </w:rPr>
        <w:t>לדעת</w:t>
      </w:r>
      <w:r w:rsidRPr="00BE28BE">
        <w:rPr>
          <w:rFonts w:cs="Arial"/>
          <w:rtl/>
        </w:rPr>
        <w:t xml:space="preserve"> </w:t>
      </w:r>
      <w:r w:rsidRPr="00BE28BE">
        <w:rPr>
          <w:rFonts w:cs="Arial" w:hint="cs"/>
          <w:rtl/>
        </w:rPr>
        <w:t>מקצת</w:t>
      </w:r>
      <w:r w:rsidRPr="00BE28BE">
        <w:rPr>
          <w:rFonts w:cs="Arial"/>
          <w:rtl/>
        </w:rPr>
        <w:t xml:space="preserve"> </w:t>
      </w:r>
      <w:r w:rsidRPr="00BE28BE">
        <w:rPr>
          <w:rFonts w:cs="Arial" w:hint="cs"/>
          <w:rtl/>
        </w:rPr>
        <w:t>פוסקים</w:t>
      </w:r>
      <w:r>
        <w:rPr>
          <w:rFonts w:cs="Arial" w:hint="cs"/>
          <w:rtl/>
        </w:rPr>
        <w:t>,</w:t>
      </w:r>
      <w:r w:rsidRPr="00BE28BE">
        <w:rPr>
          <w:rFonts w:cs="Arial"/>
          <w:rtl/>
        </w:rPr>
        <w:t xml:space="preserve"> </w:t>
      </w:r>
      <w:r w:rsidRPr="00BE28BE">
        <w:rPr>
          <w:rFonts w:cs="Arial" w:hint="cs"/>
          <w:rtl/>
        </w:rPr>
        <w:t>דנראה</w:t>
      </w:r>
      <w:r w:rsidRPr="00BE28BE">
        <w:rPr>
          <w:rFonts w:cs="Arial"/>
          <w:rtl/>
        </w:rPr>
        <w:t xml:space="preserve"> </w:t>
      </w:r>
      <w:r w:rsidRPr="00BE28BE">
        <w:rPr>
          <w:rFonts w:cs="Arial" w:hint="cs"/>
          <w:rtl/>
        </w:rPr>
        <w:t>כמזוייף</w:t>
      </w:r>
      <w:r w:rsidRPr="00BE28BE">
        <w:rPr>
          <w:rFonts w:cs="Arial"/>
          <w:rtl/>
        </w:rPr>
        <w:t xml:space="preserve"> </w:t>
      </w:r>
      <w:r w:rsidRPr="00BE28BE">
        <w:rPr>
          <w:rFonts w:cs="Arial" w:hint="cs"/>
          <w:rtl/>
        </w:rPr>
        <w:t>מתוכו</w:t>
      </w:r>
      <w:r w:rsidRPr="00BE28BE">
        <w:rPr>
          <w:rFonts w:cs="Arial"/>
          <w:rtl/>
        </w:rPr>
        <w:t xml:space="preserve"> </w:t>
      </w:r>
      <w:r w:rsidRPr="00BE28BE">
        <w:rPr>
          <w:rFonts w:cs="Arial" w:hint="cs"/>
          <w:rtl/>
        </w:rPr>
        <w:t>שהרי</w:t>
      </w:r>
      <w:r w:rsidRPr="00BE28BE">
        <w:rPr>
          <w:rFonts w:cs="Arial"/>
          <w:rtl/>
        </w:rPr>
        <w:t xml:space="preserve"> </w:t>
      </w:r>
      <w:r w:rsidRPr="00BE28BE">
        <w:rPr>
          <w:rFonts w:cs="Arial" w:hint="cs"/>
          <w:rtl/>
        </w:rPr>
        <w:t>בסיפוק</w:t>
      </w:r>
      <w:r w:rsidRPr="00BE28BE">
        <w:rPr>
          <w:rFonts w:cs="Arial"/>
          <w:rtl/>
        </w:rPr>
        <w:t xml:space="preserve"> </w:t>
      </w:r>
      <w:r w:rsidRPr="00BE28BE">
        <w:rPr>
          <w:rFonts w:cs="Arial" w:hint="cs"/>
          <w:rtl/>
        </w:rPr>
        <w:t>תליא</w:t>
      </w:r>
      <w:r w:rsidRPr="00BE28BE">
        <w:rPr>
          <w:rFonts w:cs="Arial"/>
          <w:rtl/>
        </w:rPr>
        <w:t xml:space="preserve"> </w:t>
      </w:r>
      <w:r w:rsidRPr="00BE28BE">
        <w:rPr>
          <w:rFonts w:cs="Arial" w:hint="cs"/>
          <w:rtl/>
        </w:rPr>
        <w:t>מילתא</w:t>
      </w:r>
      <w:r w:rsidRPr="00BE28BE">
        <w:rPr>
          <w:rFonts w:cs="Arial"/>
          <w:rtl/>
        </w:rPr>
        <w:t xml:space="preserve"> </w:t>
      </w:r>
      <w:r w:rsidRPr="00BE28BE">
        <w:rPr>
          <w:rFonts w:cs="Arial" w:hint="cs"/>
          <w:rtl/>
        </w:rPr>
        <w:t>כמו</w:t>
      </w:r>
      <w:r w:rsidRPr="00BE28BE">
        <w:rPr>
          <w:rFonts w:cs="Arial"/>
          <w:rtl/>
        </w:rPr>
        <w:t xml:space="preserve"> </w:t>
      </w:r>
      <w:r w:rsidRPr="00BE28BE">
        <w:rPr>
          <w:rFonts w:cs="Arial" w:hint="cs"/>
          <w:rtl/>
        </w:rPr>
        <w:t>שכתב</w:t>
      </w:r>
      <w:r w:rsidRPr="00BE28BE">
        <w:rPr>
          <w:rFonts w:cs="Arial"/>
          <w:rtl/>
        </w:rPr>
        <w:t xml:space="preserve"> </w:t>
      </w:r>
      <w:r w:rsidRPr="00BE28BE">
        <w:rPr>
          <w:rFonts w:cs="Arial" w:hint="cs"/>
          <w:rtl/>
        </w:rPr>
        <w:t>המרדכי</w:t>
      </w:r>
      <w:r>
        <w:rPr>
          <w:rFonts w:cs="Arial" w:hint="cs"/>
          <w:rtl/>
        </w:rPr>
        <w:t>.</w:t>
      </w:r>
      <w:r w:rsidRPr="00BE28BE">
        <w:rPr>
          <w:rFonts w:cs="Arial"/>
          <w:rtl/>
        </w:rPr>
        <w:t xml:space="preserve"> </w:t>
      </w:r>
      <w:r w:rsidRPr="00BE28BE">
        <w:rPr>
          <w:rFonts w:cs="Arial" w:hint="cs"/>
          <w:rtl/>
        </w:rPr>
        <w:t>אם</w:t>
      </w:r>
      <w:r w:rsidRPr="00BE28BE">
        <w:rPr>
          <w:rFonts w:cs="Arial"/>
          <w:rtl/>
        </w:rPr>
        <w:t xml:space="preserve"> </w:t>
      </w:r>
      <w:r w:rsidRPr="00BE28BE">
        <w:rPr>
          <w:rFonts w:cs="Arial" w:hint="cs"/>
          <w:rtl/>
        </w:rPr>
        <w:t>כן</w:t>
      </w:r>
      <w:r w:rsidRPr="00BE28BE">
        <w:rPr>
          <w:rFonts w:cs="Arial"/>
          <w:rtl/>
        </w:rPr>
        <w:t xml:space="preserve"> </w:t>
      </w:r>
      <w:r w:rsidRPr="00BE28BE">
        <w:rPr>
          <w:rFonts w:cs="Arial" w:hint="cs"/>
          <w:rtl/>
        </w:rPr>
        <w:t>פשיטא</w:t>
      </w:r>
      <w:r w:rsidRPr="00BE28BE">
        <w:rPr>
          <w:rFonts w:cs="Arial"/>
          <w:rtl/>
        </w:rPr>
        <w:t xml:space="preserve"> </w:t>
      </w:r>
      <w:r w:rsidRPr="00BE28BE">
        <w:rPr>
          <w:rFonts w:cs="Arial" w:hint="cs"/>
          <w:rtl/>
        </w:rPr>
        <w:t>שיש</w:t>
      </w:r>
      <w:r w:rsidRPr="00BE28BE">
        <w:rPr>
          <w:rFonts w:cs="Arial"/>
          <w:rtl/>
        </w:rPr>
        <w:t xml:space="preserve"> </w:t>
      </w:r>
      <w:r w:rsidRPr="00BE28BE">
        <w:rPr>
          <w:rFonts w:cs="Arial" w:hint="cs"/>
          <w:rtl/>
        </w:rPr>
        <w:t>למנוע</w:t>
      </w:r>
      <w:r w:rsidRPr="00BE28BE">
        <w:rPr>
          <w:rFonts w:cs="Arial"/>
          <w:rtl/>
        </w:rPr>
        <w:t xml:space="preserve"> </w:t>
      </w:r>
      <w:r w:rsidRPr="00BE28BE">
        <w:rPr>
          <w:rFonts w:cs="Arial" w:hint="cs"/>
          <w:rtl/>
        </w:rPr>
        <w:t>מלהכניס</w:t>
      </w:r>
      <w:r w:rsidRPr="00BE28BE">
        <w:rPr>
          <w:rFonts w:cs="Arial"/>
          <w:rtl/>
        </w:rPr>
        <w:t xml:space="preserve"> </w:t>
      </w:r>
      <w:r w:rsidRPr="00BE28BE">
        <w:rPr>
          <w:rFonts w:cs="Arial" w:hint="cs"/>
          <w:rtl/>
        </w:rPr>
        <w:t>עצמו</w:t>
      </w:r>
      <w:r w:rsidRPr="00BE28BE">
        <w:rPr>
          <w:rFonts w:cs="Arial"/>
          <w:rtl/>
        </w:rPr>
        <w:t xml:space="preserve"> </w:t>
      </w:r>
      <w:r w:rsidRPr="00BE28BE">
        <w:rPr>
          <w:rFonts w:cs="Arial" w:hint="cs"/>
          <w:rtl/>
        </w:rPr>
        <w:t>באותו</w:t>
      </w:r>
      <w:r w:rsidRPr="00BE28BE">
        <w:rPr>
          <w:rFonts w:cs="Arial"/>
          <w:rtl/>
        </w:rPr>
        <w:t xml:space="preserve"> </w:t>
      </w:r>
      <w:r w:rsidRPr="00BE28BE">
        <w:rPr>
          <w:rFonts w:cs="Arial" w:hint="cs"/>
          <w:rtl/>
        </w:rPr>
        <w:t>ספק</w:t>
      </w:r>
      <w:r w:rsidRPr="00BE28BE">
        <w:rPr>
          <w:rFonts w:cs="Arial"/>
          <w:rtl/>
        </w:rPr>
        <w:t xml:space="preserve"> </w:t>
      </w:r>
      <w:r w:rsidRPr="00BE28BE">
        <w:rPr>
          <w:rFonts w:cs="Arial" w:hint="cs"/>
          <w:rtl/>
        </w:rPr>
        <w:t>אלא</w:t>
      </w:r>
      <w:r w:rsidRPr="00BE28BE">
        <w:rPr>
          <w:rFonts w:cs="Arial"/>
          <w:rtl/>
        </w:rPr>
        <w:t xml:space="preserve"> </w:t>
      </w:r>
      <w:r w:rsidRPr="00BE28BE">
        <w:rPr>
          <w:rFonts w:cs="Arial" w:hint="cs"/>
          <w:rtl/>
        </w:rPr>
        <w:t>יכתוב</w:t>
      </w:r>
      <w:r w:rsidRPr="00BE28BE">
        <w:rPr>
          <w:rFonts w:cs="Arial"/>
          <w:rtl/>
        </w:rPr>
        <w:t xml:space="preserve"> </w:t>
      </w:r>
      <w:r w:rsidRPr="00BE28BE">
        <w:rPr>
          <w:rFonts w:cs="Arial" w:hint="cs"/>
          <w:rtl/>
        </w:rPr>
        <w:t>רוב</w:t>
      </w:r>
      <w:r w:rsidRPr="00BE28BE">
        <w:rPr>
          <w:rFonts w:cs="Arial"/>
          <w:rtl/>
        </w:rPr>
        <w:t xml:space="preserve"> </w:t>
      </w:r>
      <w:r w:rsidRPr="00BE28BE">
        <w:rPr>
          <w:rFonts w:cs="Arial" w:hint="cs"/>
          <w:rtl/>
        </w:rPr>
        <w:t>הסיפוק</w:t>
      </w:r>
      <w:r w:rsidRPr="00BE28BE">
        <w:rPr>
          <w:rFonts w:cs="Arial"/>
          <w:rtl/>
        </w:rPr>
        <w:t xml:space="preserve"> </w:t>
      </w:r>
      <w:r w:rsidRPr="00BE28BE">
        <w:rPr>
          <w:rFonts w:cs="Arial" w:hint="cs"/>
          <w:rtl/>
        </w:rPr>
        <w:t>ויניח</w:t>
      </w:r>
      <w:r w:rsidRPr="00BE28BE">
        <w:rPr>
          <w:rFonts w:cs="Arial"/>
          <w:rtl/>
        </w:rPr>
        <w:t xml:space="preserve"> </w:t>
      </w:r>
      <w:r w:rsidRPr="00BE28BE">
        <w:rPr>
          <w:rFonts w:cs="Arial" w:hint="cs"/>
          <w:rtl/>
        </w:rPr>
        <w:t>המיעוט</w:t>
      </w:r>
      <w:r>
        <w:rPr>
          <w:rStyle w:val="a7"/>
          <w:rFonts w:cs="Arial"/>
          <w:rtl/>
        </w:rPr>
        <w:footnoteReference w:id="1018"/>
      </w:r>
      <w:r w:rsidRPr="00BE28BE">
        <w:rPr>
          <w:rFonts w:cs="Arial"/>
          <w:rtl/>
        </w:rPr>
        <w:t xml:space="preserve">. </w:t>
      </w:r>
    </w:p>
    <w:p w14:paraId="3B564661" w14:textId="4774E1CF" w:rsidR="00FA2119" w:rsidRDefault="00FA2119" w:rsidP="00FA2119">
      <w:pPr>
        <w:pStyle w:val="ab"/>
        <w:numPr>
          <w:ilvl w:val="0"/>
          <w:numId w:val="61"/>
        </w:numPr>
      </w:pPr>
      <w:r>
        <w:rPr>
          <w:rFonts w:cs="Arial" w:hint="cs"/>
          <w:rtl/>
        </w:rPr>
        <w:t xml:space="preserve">מרדכי </w:t>
      </w:r>
      <w:r>
        <w:rPr>
          <w:rFonts w:cs="Arial" w:hint="cs"/>
          <w:sz w:val="16"/>
          <w:szCs w:val="16"/>
          <w:rtl/>
        </w:rPr>
        <w:t>(סי' תסז)</w:t>
      </w:r>
      <w:r w:rsidR="00A82951">
        <w:rPr>
          <w:rFonts w:cs="Arial" w:hint="cs"/>
          <w:rtl/>
        </w:rPr>
        <w:t>-</w:t>
      </w:r>
      <w:r>
        <w:rPr>
          <w:rFonts w:cs="Arial" w:hint="cs"/>
          <w:rtl/>
        </w:rPr>
        <w:t xml:space="preserve"> </w:t>
      </w:r>
      <w:r w:rsidRPr="009C6B2F">
        <w:rPr>
          <w:rFonts w:cs="Arial"/>
          <w:rtl/>
        </w:rPr>
        <w:t>ר"י מפריש וחתנו</w:t>
      </w:r>
      <w:r>
        <w:rPr>
          <w:rFonts w:cs="Arial" w:hint="cs"/>
          <w:rtl/>
        </w:rPr>
        <w:t xml:space="preserve"> </w:t>
      </w:r>
      <w:r w:rsidRPr="009C6B2F">
        <w:rPr>
          <w:rFonts w:cs="Arial"/>
          <w:rtl/>
        </w:rPr>
        <w:t>היו מונעין מלכתוב לא מעיינות ולא בארות בעיר שיש שם נהר</w:t>
      </w:r>
      <w:r>
        <w:rPr>
          <w:rFonts w:cs="Arial" w:hint="cs"/>
          <w:rtl/>
        </w:rPr>
        <w:t>.</w:t>
      </w:r>
      <w:r w:rsidRPr="009C6B2F">
        <w:rPr>
          <w:rFonts w:cs="Arial"/>
          <w:rtl/>
        </w:rPr>
        <w:t xml:space="preserve"> וגם בטרויש שיש כמה בארות אין כותבין רק הנהרות</w:t>
      </w:r>
      <w:r>
        <w:rPr>
          <w:rFonts w:cs="Arial" w:hint="cs"/>
          <w:rtl/>
        </w:rPr>
        <w:t>.</w:t>
      </w:r>
      <w:r w:rsidRPr="009C6B2F">
        <w:rPr>
          <w:rFonts w:cs="Arial"/>
          <w:rtl/>
        </w:rPr>
        <w:t xml:space="preserve"> וכן הנהיג ר"פ בסוף ימיו</w:t>
      </w:r>
      <w:r>
        <w:rPr>
          <w:rFonts w:cs="Arial" w:hint="cs"/>
          <w:rtl/>
        </w:rPr>
        <w:t>,</w:t>
      </w:r>
      <w:r w:rsidRPr="009C6B2F">
        <w:rPr>
          <w:rFonts w:cs="Arial"/>
          <w:rtl/>
        </w:rPr>
        <w:t xml:space="preserve"> וכן נכון</w:t>
      </w:r>
      <w:r>
        <w:rPr>
          <w:rFonts w:cs="Arial" w:hint="cs"/>
          <w:rtl/>
        </w:rPr>
        <w:t>.</w:t>
      </w:r>
      <w:r w:rsidRPr="007E66B2">
        <w:rPr>
          <w:rFonts w:cs="Arial"/>
          <w:rtl/>
        </w:rPr>
        <w:t xml:space="preserve"> </w:t>
      </w:r>
      <w:r w:rsidRPr="00F55193">
        <w:rPr>
          <w:rFonts w:hint="cs"/>
          <w:color w:val="E36C0A" w:themeColor="accent6" w:themeShade="BF"/>
          <w:rtl/>
        </w:rPr>
        <w:t>(וכ"פ בשו"ע)</w:t>
      </w:r>
    </w:p>
    <w:p w14:paraId="77D6BA99" w14:textId="5416962C" w:rsidR="00FA2119" w:rsidRPr="0090777D" w:rsidRDefault="00FA2119" w:rsidP="00FA2119">
      <w:pPr>
        <w:pStyle w:val="ab"/>
        <w:numPr>
          <w:ilvl w:val="0"/>
          <w:numId w:val="61"/>
        </w:numPr>
        <w:rPr>
          <w:rtl/>
        </w:rPr>
      </w:pPr>
      <w:r w:rsidRPr="009C6B2F">
        <w:rPr>
          <w:rFonts w:cs="Arial"/>
          <w:rtl/>
        </w:rPr>
        <w:t xml:space="preserve">רבינו יהודה </w:t>
      </w:r>
      <w:r>
        <w:rPr>
          <w:rFonts w:cs="Arial" w:hint="cs"/>
          <w:sz w:val="16"/>
          <w:szCs w:val="16"/>
          <w:rtl/>
        </w:rPr>
        <w:t>(בסוף ביצה, הביאו המרדכי שם)</w:t>
      </w:r>
      <w:r w:rsidR="00A82951">
        <w:rPr>
          <w:rFonts w:cs="Arial" w:hint="cs"/>
          <w:rtl/>
        </w:rPr>
        <w:t>-</w:t>
      </w:r>
      <w:r w:rsidRPr="009C6B2F">
        <w:rPr>
          <w:rFonts w:cs="Arial"/>
          <w:rtl/>
        </w:rPr>
        <w:t xml:space="preserve"> יש לכתוב כל סיפוקי העיר בגט</w:t>
      </w:r>
      <w:r>
        <w:rPr>
          <w:rFonts w:cs="Arial" w:hint="cs"/>
          <w:rtl/>
        </w:rPr>
        <w:t>.</w:t>
      </w:r>
      <w:r w:rsidRPr="009C6B2F">
        <w:rPr>
          <w:rFonts w:cs="Arial"/>
          <w:rtl/>
        </w:rPr>
        <w:t xml:space="preserve"> ועיר שיש בארות ומעיינות ונהרות </w:t>
      </w:r>
      <w:r w:rsidR="00A82951">
        <w:rPr>
          <w:rFonts w:cs="Arial" w:hint="cs"/>
          <w:rtl/>
        </w:rPr>
        <w:t>-</w:t>
      </w:r>
      <w:r>
        <w:rPr>
          <w:rFonts w:cs="Arial" w:hint="cs"/>
          <w:rtl/>
        </w:rPr>
        <w:t xml:space="preserve"> </w:t>
      </w:r>
      <w:r w:rsidRPr="009C6B2F">
        <w:rPr>
          <w:rFonts w:cs="Arial"/>
          <w:rtl/>
        </w:rPr>
        <w:t>יכתוב כולן</w:t>
      </w:r>
      <w:r>
        <w:rPr>
          <w:rStyle w:val="a7"/>
          <w:rFonts w:cs="Arial"/>
          <w:rtl/>
        </w:rPr>
        <w:footnoteReference w:id="1019"/>
      </w:r>
      <w:r>
        <w:rPr>
          <w:rFonts w:cs="Arial" w:hint="cs"/>
          <w:rtl/>
        </w:rPr>
        <w:t>.</w:t>
      </w:r>
      <w:r w:rsidRPr="009C6B2F">
        <w:rPr>
          <w:rFonts w:cs="Arial"/>
          <w:rtl/>
        </w:rPr>
        <w:t xml:space="preserve"> </w:t>
      </w:r>
      <w:r w:rsidRPr="00380C96">
        <w:rPr>
          <w:rFonts w:hint="cs"/>
          <w:color w:val="00B0F0"/>
          <w:rtl/>
        </w:rPr>
        <w:t>(וכ"פ הרמ"א)</w:t>
      </w:r>
    </w:p>
    <w:p w14:paraId="03C164BD"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D426288" w14:textId="77777777" w:rsidR="00FA2119" w:rsidRDefault="00FA2119" w:rsidP="00FA2119">
      <w:pPr>
        <w:rPr>
          <w:rtl/>
        </w:rPr>
      </w:pPr>
      <w:r>
        <w:rPr>
          <w:rFonts w:cs="Arial" w:hint="cs"/>
          <w:rtl/>
        </w:rPr>
        <w:t>אם</w:t>
      </w:r>
      <w:r>
        <w:rPr>
          <w:rFonts w:cs="Arial"/>
          <w:rtl/>
        </w:rPr>
        <w:t xml:space="preserve"> </w:t>
      </w:r>
      <w:r>
        <w:rPr>
          <w:rFonts w:cs="Arial" w:hint="cs"/>
          <w:rtl/>
        </w:rPr>
        <w:t>העיר</w:t>
      </w:r>
      <w:r>
        <w:rPr>
          <w:rFonts w:cs="Arial"/>
          <w:rtl/>
        </w:rPr>
        <w:t xml:space="preserve"> </w:t>
      </w:r>
      <w:r>
        <w:rPr>
          <w:rFonts w:cs="Arial" w:hint="cs"/>
          <w:rtl/>
        </w:rPr>
        <w:t>יושבת</w:t>
      </w:r>
      <w:r>
        <w:rPr>
          <w:rFonts w:cs="Arial"/>
          <w:rtl/>
        </w:rPr>
        <w:t xml:space="preserve"> </w:t>
      </w:r>
      <w:r>
        <w:rPr>
          <w:rFonts w:cs="Arial" w:hint="cs"/>
          <w:rtl/>
        </w:rPr>
        <w:t>על</w:t>
      </w:r>
      <w:r>
        <w:rPr>
          <w:rFonts w:cs="Arial"/>
          <w:rtl/>
        </w:rPr>
        <w:t xml:space="preserve"> </w:t>
      </w:r>
      <w:r>
        <w:rPr>
          <w:rFonts w:cs="Arial" w:hint="cs"/>
          <w:rtl/>
        </w:rPr>
        <w:t>הנהר</w:t>
      </w:r>
      <w:r>
        <w:rPr>
          <w:rFonts w:cs="Arial"/>
          <w:rtl/>
        </w:rPr>
        <w:t xml:space="preserve">, </w:t>
      </w:r>
      <w:r>
        <w:rPr>
          <w:rFonts w:cs="Arial" w:hint="cs"/>
          <w:rtl/>
        </w:rPr>
        <w:t>אין</w:t>
      </w:r>
      <w:r>
        <w:rPr>
          <w:rFonts w:cs="Arial"/>
          <w:rtl/>
        </w:rPr>
        <w:t xml:space="preserve"> </w:t>
      </w:r>
      <w:r>
        <w:rPr>
          <w:rFonts w:cs="Arial" w:hint="cs"/>
          <w:rtl/>
        </w:rPr>
        <w:t>לכתוב</w:t>
      </w:r>
      <w:r>
        <w:rPr>
          <w:rFonts w:cs="Arial"/>
          <w:rtl/>
        </w:rPr>
        <w:t xml:space="preserve"> </w:t>
      </w:r>
      <w:r>
        <w:rPr>
          <w:rFonts w:cs="Arial" w:hint="cs"/>
          <w:rtl/>
        </w:rPr>
        <w:t>לא</w:t>
      </w:r>
      <w:r>
        <w:rPr>
          <w:rFonts w:cs="Arial"/>
          <w:rtl/>
        </w:rPr>
        <w:t xml:space="preserve"> </w:t>
      </w:r>
      <w:r>
        <w:rPr>
          <w:rFonts w:cs="Arial" w:hint="cs"/>
          <w:rtl/>
        </w:rPr>
        <w:t>בארות</w:t>
      </w:r>
      <w:r>
        <w:rPr>
          <w:rFonts w:cs="Arial"/>
          <w:rtl/>
        </w:rPr>
        <w:t xml:space="preserve"> </w:t>
      </w:r>
      <w:r>
        <w:rPr>
          <w:rFonts w:cs="Arial" w:hint="cs"/>
          <w:rtl/>
        </w:rPr>
        <w:t>ולא</w:t>
      </w:r>
      <w:r>
        <w:rPr>
          <w:rFonts w:cs="Arial"/>
          <w:rtl/>
        </w:rPr>
        <w:t xml:space="preserve"> </w:t>
      </w:r>
      <w:r>
        <w:rPr>
          <w:rFonts w:cs="Arial" w:hint="cs"/>
          <w:rtl/>
        </w:rPr>
        <w:t>מעיינות</w:t>
      </w:r>
      <w:r>
        <w:rPr>
          <w:rFonts w:cs="Arial"/>
          <w:rtl/>
        </w:rPr>
        <w:t xml:space="preserve">, </w:t>
      </w:r>
      <w:r>
        <w:rPr>
          <w:rFonts w:cs="Arial" w:hint="cs"/>
          <w:rtl/>
        </w:rPr>
        <w:t>כי</w:t>
      </w:r>
      <w:r>
        <w:rPr>
          <w:rFonts w:cs="Arial"/>
          <w:rtl/>
        </w:rPr>
        <w:t xml:space="preserve"> </w:t>
      </w:r>
      <w:r>
        <w:rPr>
          <w:rFonts w:cs="Arial" w:hint="cs"/>
          <w:rtl/>
        </w:rPr>
        <w:t>אם</w:t>
      </w:r>
      <w:r>
        <w:rPr>
          <w:rFonts w:cs="Arial"/>
          <w:rtl/>
        </w:rPr>
        <w:t xml:space="preserve"> </w:t>
      </w:r>
      <w:r>
        <w:rPr>
          <w:rFonts w:cs="Arial" w:hint="cs"/>
          <w:rtl/>
        </w:rPr>
        <w:t>הנהר</w:t>
      </w:r>
      <w:r>
        <w:rPr>
          <w:rFonts w:cs="Arial"/>
          <w:rtl/>
        </w:rPr>
        <w:t xml:space="preserve">. </w:t>
      </w:r>
      <w:r w:rsidRPr="00656810">
        <w:rPr>
          <w:rFonts w:cs="Arial" w:hint="cs"/>
          <w:sz w:val="18"/>
          <w:szCs w:val="18"/>
          <w:rtl/>
        </w:rPr>
        <w:t>הגה</w:t>
      </w:r>
      <w:r w:rsidRPr="00656810">
        <w:rPr>
          <w:rFonts w:cs="Arial"/>
          <w:sz w:val="18"/>
          <w:szCs w:val="18"/>
          <w:rtl/>
        </w:rPr>
        <w:t xml:space="preserve">: </w:t>
      </w:r>
      <w:r w:rsidRPr="00656810">
        <w:rPr>
          <w:rFonts w:cs="Arial" w:hint="cs"/>
          <w:sz w:val="18"/>
          <w:szCs w:val="18"/>
          <w:rtl/>
        </w:rPr>
        <w:t>ויש</w:t>
      </w:r>
      <w:r w:rsidRPr="00656810">
        <w:rPr>
          <w:rFonts w:cs="Arial"/>
          <w:sz w:val="18"/>
          <w:szCs w:val="18"/>
          <w:rtl/>
        </w:rPr>
        <w:t xml:space="preserve"> </w:t>
      </w:r>
      <w:r w:rsidRPr="00656810">
        <w:rPr>
          <w:rFonts w:cs="Arial" w:hint="cs"/>
          <w:sz w:val="18"/>
          <w:szCs w:val="18"/>
          <w:rtl/>
        </w:rPr>
        <w:t>חולקים</w:t>
      </w:r>
      <w:r w:rsidRPr="00656810">
        <w:rPr>
          <w:rFonts w:cs="Arial"/>
          <w:sz w:val="18"/>
          <w:szCs w:val="18"/>
          <w:rtl/>
        </w:rPr>
        <w:t xml:space="preserve">, </w:t>
      </w:r>
      <w:r w:rsidRPr="00656810">
        <w:rPr>
          <w:rFonts w:cs="Arial" w:hint="cs"/>
          <w:sz w:val="18"/>
          <w:szCs w:val="18"/>
          <w:rtl/>
        </w:rPr>
        <w:t>וס</w:t>
      </w:r>
      <w:r w:rsidRPr="00656810">
        <w:rPr>
          <w:rFonts w:cs="Arial"/>
          <w:sz w:val="18"/>
          <w:szCs w:val="18"/>
          <w:rtl/>
        </w:rPr>
        <w:t>"</w:t>
      </w:r>
      <w:r w:rsidRPr="00656810">
        <w:rPr>
          <w:rFonts w:cs="Arial" w:hint="cs"/>
          <w:sz w:val="18"/>
          <w:szCs w:val="18"/>
          <w:rtl/>
        </w:rPr>
        <w:t>ל</w:t>
      </w:r>
      <w:r w:rsidRPr="00656810">
        <w:rPr>
          <w:rFonts w:cs="Arial"/>
          <w:sz w:val="18"/>
          <w:szCs w:val="18"/>
          <w:rtl/>
        </w:rPr>
        <w:t xml:space="preserve"> </w:t>
      </w:r>
      <w:r w:rsidRPr="00656810">
        <w:rPr>
          <w:rFonts w:cs="Arial" w:hint="cs"/>
          <w:sz w:val="18"/>
          <w:szCs w:val="18"/>
          <w:rtl/>
        </w:rPr>
        <w:t>דיש</w:t>
      </w:r>
      <w:r w:rsidRPr="00656810">
        <w:rPr>
          <w:rFonts w:cs="Arial"/>
          <w:sz w:val="18"/>
          <w:szCs w:val="18"/>
          <w:rtl/>
        </w:rPr>
        <w:t xml:space="preserve"> </w:t>
      </w:r>
      <w:r w:rsidRPr="00656810">
        <w:rPr>
          <w:rFonts w:cs="Arial" w:hint="cs"/>
          <w:sz w:val="18"/>
          <w:szCs w:val="18"/>
          <w:rtl/>
        </w:rPr>
        <w:t>לכתוב</w:t>
      </w:r>
      <w:r w:rsidRPr="00656810">
        <w:rPr>
          <w:rFonts w:cs="Arial"/>
          <w:sz w:val="18"/>
          <w:szCs w:val="18"/>
          <w:rtl/>
        </w:rPr>
        <w:t xml:space="preserve"> </w:t>
      </w:r>
      <w:r w:rsidRPr="00656810">
        <w:rPr>
          <w:rFonts w:cs="Arial" w:hint="cs"/>
          <w:sz w:val="18"/>
          <w:szCs w:val="18"/>
          <w:rtl/>
        </w:rPr>
        <w:t>כל</w:t>
      </w:r>
      <w:r w:rsidRPr="00656810">
        <w:rPr>
          <w:rFonts w:cs="Arial"/>
          <w:sz w:val="18"/>
          <w:szCs w:val="18"/>
          <w:rtl/>
        </w:rPr>
        <w:t xml:space="preserve"> </w:t>
      </w:r>
      <w:r w:rsidRPr="00656810">
        <w:rPr>
          <w:rFonts w:cs="Arial" w:hint="cs"/>
          <w:sz w:val="18"/>
          <w:szCs w:val="18"/>
          <w:rtl/>
        </w:rPr>
        <w:t>סיפוקי</w:t>
      </w:r>
      <w:r w:rsidRPr="00656810">
        <w:rPr>
          <w:rFonts w:cs="Arial"/>
          <w:sz w:val="18"/>
          <w:szCs w:val="18"/>
          <w:rtl/>
        </w:rPr>
        <w:t xml:space="preserve"> </w:t>
      </w:r>
      <w:r w:rsidRPr="00656810">
        <w:rPr>
          <w:rFonts w:cs="Arial" w:hint="cs"/>
          <w:sz w:val="18"/>
          <w:szCs w:val="18"/>
          <w:rtl/>
        </w:rPr>
        <w:t>העיר</w:t>
      </w:r>
      <w:r w:rsidRPr="00656810">
        <w:rPr>
          <w:rFonts w:cs="Arial"/>
          <w:sz w:val="18"/>
          <w:szCs w:val="18"/>
          <w:rtl/>
        </w:rPr>
        <w:t xml:space="preserve"> (</w:t>
      </w:r>
      <w:r w:rsidRPr="00656810">
        <w:rPr>
          <w:rFonts w:cs="Arial" w:hint="cs"/>
          <w:sz w:val="18"/>
          <w:szCs w:val="18"/>
          <w:rtl/>
        </w:rPr>
        <w:t>בהגהות</w:t>
      </w:r>
      <w:r w:rsidRPr="00656810">
        <w:rPr>
          <w:rFonts w:cs="Arial"/>
          <w:sz w:val="18"/>
          <w:szCs w:val="18"/>
          <w:rtl/>
        </w:rPr>
        <w:t xml:space="preserve"> </w:t>
      </w:r>
      <w:r w:rsidRPr="00656810">
        <w:rPr>
          <w:rFonts w:cs="Arial" w:hint="cs"/>
          <w:sz w:val="18"/>
          <w:szCs w:val="18"/>
          <w:rtl/>
        </w:rPr>
        <w:t>מרדכי</w:t>
      </w:r>
      <w:r w:rsidRPr="00656810">
        <w:rPr>
          <w:rFonts w:cs="Arial"/>
          <w:sz w:val="18"/>
          <w:szCs w:val="18"/>
          <w:rtl/>
        </w:rPr>
        <w:t xml:space="preserve"> </w:t>
      </w:r>
      <w:r w:rsidRPr="00656810">
        <w:rPr>
          <w:rFonts w:cs="Arial" w:hint="cs"/>
          <w:sz w:val="18"/>
          <w:szCs w:val="18"/>
          <w:rtl/>
        </w:rPr>
        <w:t>בשם</w:t>
      </w:r>
      <w:r w:rsidRPr="00656810">
        <w:rPr>
          <w:rFonts w:cs="Arial"/>
          <w:sz w:val="18"/>
          <w:szCs w:val="18"/>
          <w:rtl/>
        </w:rPr>
        <w:t xml:space="preserve"> </w:t>
      </w:r>
      <w:r w:rsidRPr="00656810">
        <w:rPr>
          <w:rFonts w:cs="Arial" w:hint="cs"/>
          <w:sz w:val="18"/>
          <w:szCs w:val="18"/>
          <w:rtl/>
        </w:rPr>
        <w:t>ר</w:t>
      </w:r>
      <w:r w:rsidRPr="00656810">
        <w:rPr>
          <w:rFonts w:cs="Arial"/>
          <w:sz w:val="18"/>
          <w:szCs w:val="18"/>
          <w:rtl/>
        </w:rPr>
        <w:t xml:space="preserve">' </w:t>
      </w:r>
      <w:r w:rsidRPr="00656810">
        <w:rPr>
          <w:rFonts w:cs="Arial" w:hint="cs"/>
          <w:sz w:val="18"/>
          <w:szCs w:val="18"/>
          <w:rtl/>
        </w:rPr>
        <w:t>יודא</w:t>
      </w:r>
      <w:r w:rsidRPr="00656810">
        <w:rPr>
          <w:rFonts w:cs="Arial"/>
          <w:sz w:val="18"/>
          <w:szCs w:val="18"/>
          <w:rtl/>
        </w:rPr>
        <w:t xml:space="preserve">), </w:t>
      </w:r>
      <w:r w:rsidRPr="00656810">
        <w:rPr>
          <w:rFonts w:cs="Arial" w:hint="cs"/>
          <w:sz w:val="18"/>
          <w:szCs w:val="18"/>
          <w:rtl/>
        </w:rPr>
        <w:t>וכן</w:t>
      </w:r>
      <w:r w:rsidRPr="00656810">
        <w:rPr>
          <w:rFonts w:cs="Arial"/>
          <w:sz w:val="18"/>
          <w:szCs w:val="18"/>
          <w:rtl/>
        </w:rPr>
        <w:t xml:space="preserve"> </w:t>
      </w:r>
      <w:r w:rsidRPr="00656810">
        <w:rPr>
          <w:rFonts w:cs="Arial" w:hint="cs"/>
          <w:sz w:val="18"/>
          <w:szCs w:val="18"/>
          <w:rtl/>
        </w:rPr>
        <w:t>נוהגין</w:t>
      </w:r>
      <w:r w:rsidRPr="00656810">
        <w:rPr>
          <w:rFonts w:cs="Arial"/>
          <w:sz w:val="18"/>
          <w:szCs w:val="18"/>
          <w:rtl/>
        </w:rPr>
        <w:t xml:space="preserve"> </w:t>
      </w:r>
      <w:r w:rsidRPr="00656810">
        <w:rPr>
          <w:rFonts w:cs="Arial" w:hint="cs"/>
          <w:sz w:val="18"/>
          <w:szCs w:val="18"/>
          <w:rtl/>
        </w:rPr>
        <w:t>במדינות</w:t>
      </w:r>
      <w:r w:rsidRPr="00656810">
        <w:rPr>
          <w:rFonts w:cs="Arial"/>
          <w:sz w:val="18"/>
          <w:szCs w:val="18"/>
          <w:rtl/>
        </w:rPr>
        <w:t xml:space="preserve"> </w:t>
      </w:r>
      <w:r w:rsidRPr="00656810">
        <w:rPr>
          <w:rFonts w:cs="Arial" w:hint="cs"/>
          <w:sz w:val="18"/>
          <w:szCs w:val="18"/>
          <w:rtl/>
        </w:rPr>
        <w:t>אלו</w:t>
      </w:r>
      <w:r w:rsidRPr="00656810">
        <w:rPr>
          <w:rFonts w:cs="Arial"/>
          <w:sz w:val="18"/>
          <w:szCs w:val="18"/>
          <w:rtl/>
        </w:rPr>
        <w:t xml:space="preserve">, </w:t>
      </w:r>
      <w:r w:rsidRPr="00656810">
        <w:rPr>
          <w:rFonts w:cs="Arial" w:hint="cs"/>
          <w:sz w:val="18"/>
          <w:szCs w:val="18"/>
          <w:rtl/>
        </w:rPr>
        <w:t>כאשר</w:t>
      </w:r>
      <w:r w:rsidRPr="00656810">
        <w:rPr>
          <w:rFonts w:cs="Arial"/>
          <w:sz w:val="18"/>
          <w:szCs w:val="18"/>
          <w:rtl/>
        </w:rPr>
        <w:t xml:space="preserve"> </w:t>
      </w:r>
      <w:r w:rsidRPr="00656810">
        <w:rPr>
          <w:rFonts w:cs="Arial" w:hint="cs"/>
          <w:sz w:val="18"/>
          <w:szCs w:val="18"/>
          <w:rtl/>
        </w:rPr>
        <w:t>יתבאר</w:t>
      </w:r>
      <w:r w:rsidRPr="00656810">
        <w:rPr>
          <w:rFonts w:cs="Arial"/>
          <w:sz w:val="18"/>
          <w:szCs w:val="18"/>
          <w:rtl/>
        </w:rPr>
        <w:t xml:space="preserve"> </w:t>
      </w:r>
      <w:r w:rsidRPr="00656810">
        <w:rPr>
          <w:rFonts w:cs="Arial" w:hint="cs"/>
          <w:sz w:val="18"/>
          <w:szCs w:val="18"/>
          <w:rtl/>
        </w:rPr>
        <w:t>לך</w:t>
      </w:r>
      <w:r w:rsidRPr="00656810">
        <w:rPr>
          <w:rFonts w:cs="Arial"/>
          <w:sz w:val="18"/>
          <w:szCs w:val="18"/>
          <w:rtl/>
        </w:rPr>
        <w:t xml:space="preserve"> </w:t>
      </w:r>
      <w:r w:rsidRPr="00656810">
        <w:rPr>
          <w:rFonts w:cs="Arial" w:hint="cs"/>
          <w:sz w:val="18"/>
          <w:szCs w:val="18"/>
          <w:rtl/>
        </w:rPr>
        <w:t>מנוסח</w:t>
      </w:r>
      <w:r w:rsidRPr="00656810">
        <w:rPr>
          <w:rFonts w:cs="Arial"/>
          <w:sz w:val="18"/>
          <w:szCs w:val="18"/>
          <w:rtl/>
        </w:rPr>
        <w:t xml:space="preserve"> </w:t>
      </w:r>
      <w:r w:rsidRPr="00656810">
        <w:rPr>
          <w:rFonts w:cs="Arial" w:hint="cs"/>
          <w:sz w:val="18"/>
          <w:szCs w:val="18"/>
          <w:rtl/>
        </w:rPr>
        <w:t>הגט</w:t>
      </w:r>
      <w:r w:rsidRPr="00656810">
        <w:rPr>
          <w:rFonts w:cs="Arial"/>
          <w:sz w:val="18"/>
          <w:szCs w:val="18"/>
          <w:rtl/>
        </w:rPr>
        <w:t xml:space="preserve"> </w:t>
      </w:r>
      <w:r w:rsidRPr="00656810">
        <w:rPr>
          <w:rFonts w:cs="Arial" w:hint="cs"/>
          <w:sz w:val="18"/>
          <w:szCs w:val="18"/>
          <w:rtl/>
        </w:rPr>
        <w:t>שכתבתי</w:t>
      </w:r>
      <w:r w:rsidRPr="00656810">
        <w:rPr>
          <w:rFonts w:cs="Arial"/>
          <w:sz w:val="18"/>
          <w:szCs w:val="18"/>
          <w:rtl/>
        </w:rPr>
        <w:t xml:space="preserve"> </w:t>
      </w:r>
      <w:r w:rsidRPr="00656810">
        <w:rPr>
          <w:rFonts w:cs="Arial" w:hint="cs"/>
          <w:sz w:val="18"/>
          <w:szCs w:val="18"/>
          <w:rtl/>
        </w:rPr>
        <w:t>סוף</w:t>
      </w:r>
      <w:r w:rsidRPr="00656810">
        <w:rPr>
          <w:rFonts w:cs="Arial"/>
          <w:sz w:val="18"/>
          <w:szCs w:val="18"/>
          <w:rtl/>
        </w:rPr>
        <w:t xml:space="preserve"> </w:t>
      </w:r>
      <w:r w:rsidRPr="00656810">
        <w:rPr>
          <w:rFonts w:cs="Arial" w:hint="cs"/>
          <w:sz w:val="18"/>
          <w:szCs w:val="18"/>
          <w:rtl/>
        </w:rPr>
        <w:t>סימן</w:t>
      </w:r>
      <w:r w:rsidRPr="00656810">
        <w:rPr>
          <w:rFonts w:cs="Arial"/>
          <w:sz w:val="18"/>
          <w:szCs w:val="18"/>
          <w:rtl/>
        </w:rPr>
        <w:t xml:space="preserve"> </w:t>
      </w:r>
      <w:r w:rsidRPr="00656810">
        <w:rPr>
          <w:rFonts w:cs="Arial" w:hint="cs"/>
          <w:sz w:val="18"/>
          <w:szCs w:val="18"/>
          <w:rtl/>
        </w:rPr>
        <w:t>קנ</w:t>
      </w:r>
      <w:r w:rsidRPr="00656810">
        <w:rPr>
          <w:rFonts w:cs="Arial"/>
          <w:sz w:val="18"/>
          <w:szCs w:val="18"/>
          <w:rtl/>
        </w:rPr>
        <w:t>"</w:t>
      </w:r>
      <w:r w:rsidRPr="00656810">
        <w:rPr>
          <w:rFonts w:cs="Arial" w:hint="cs"/>
          <w:sz w:val="18"/>
          <w:szCs w:val="18"/>
          <w:rtl/>
        </w:rPr>
        <w:t>ד</w:t>
      </w:r>
      <w:r w:rsidRPr="00656810">
        <w:rPr>
          <w:rFonts w:cs="Arial"/>
          <w:sz w:val="18"/>
          <w:szCs w:val="18"/>
          <w:rtl/>
        </w:rPr>
        <w:t>.</w:t>
      </w:r>
      <w:r>
        <w:rPr>
          <w:rFonts w:cs="Arial"/>
          <w:rtl/>
        </w:rPr>
        <w:t xml:space="preserve"> </w:t>
      </w:r>
    </w:p>
    <w:p w14:paraId="66CAB3E6" w14:textId="77777777" w:rsidR="00FA2119" w:rsidRDefault="00FA2119" w:rsidP="00FA2119">
      <w:pPr>
        <w:rPr>
          <w:rtl/>
        </w:rPr>
      </w:pPr>
    </w:p>
    <w:p w14:paraId="09647D1D" w14:textId="77777777" w:rsidR="00FA2119" w:rsidRDefault="00FA2119" w:rsidP="00FA2119">
      <w:pPr>
        <w:pStyle w:val="2"/>
        <w:rPr>
          <w:rtl/>
        </w:rPr>
      </w:pPr>
      <w:r>
        <w:rPr>
          <w:rFonts w:hint="cs"/>
          <w:rtl/>
        </w:rPr>
        <w:t>סעיף</w:t>
      </w:r>
      <w:r>
        <w:rPr>
          <w:rtl/>
        </w:rPr>
        <w:t xml:space="preserve"> </w:t>
      </w:r>
      <w:r>
        <w:rPr>
          <w:rFonts w:hint="cs"/>
          <w:rtl/>
        </w:rPr>
        <w:t>ז: עיר שיש בה רק בורות ואגמים.</w:t>
      </w:r>
    </w:p>
    <w:p w14:paraId="6F206CFE" w14:textId="77777777" w:rsidR="00FA2119" w:rsidRPr="00380C96" w:rsidRDefault="00FA2119" w:rsidP="00FA2119">
      <w:pPr>
        <w:rPr>
          <w:u w:val="single"/>
          <w:rtl/>
        </w:rPr>
      </w:pPr>
      <w:r w:rsidRPr="00380C96">
        <w:rPr>
          <w:rFonts w:hint="cs"/>
          <w:u w:val="single"/>
          <w:rtl/>
        </w:rPr>
        <w:t>עיר שיש בה רק בורות ואגמים:</w:t>
      </w:r>
    </w:p>
    <w:p w14:paraId="4A023399" w14:textId="4227853C" w:rsidR="00FA2119" w:rsidRDefault="00FA2119" w:rsidP="00FA2119">
      <w:pPr>
        <w:pStyle w:val="ab"/>
        <w:numPr>
          <w:ilvl w:val="0"/>
          <w:numId w:val="61"/>
        </w:numPr>
      </w:pPr>
      <w:r>
        <w:rPr>
          <w:rFonts w:cs="Arial" w:hint="cs"/>
          <w:rtl/>
        </w:rPr>
        <w:t xml:space="preserve">הגה"מ </w:t>
      </w:r>
      <w:r w:rsidRPr="00605CB5">
        <w:rPr>
          <w:rFonts w:cs="Arial" w:hint="cs"/>
          <w:sz w:val="16"/>
          <w:szCs w:val="16"/>
          <w:rtl/>
        </w:rPr>
        <w:t>(פ"ד</w:t>
      </w:r>
      <w:r w:rsidRPr="00605CB5">
        <w:rPr>
          <w:rFonts w:cs="Arial"/>
          <w:sz w:val="16"/>
          <w:szCs w:val="16"/>
          <w:rtl/>
        </w:rPr>
        <w:t xml:space="preserve"> </w:t>
      </w:r>
      <w:r w:rsidRPr="00605CB5">
        <w:rPr>
          <w:rFonts w:cs="Arial" w:hint="cs"/>
          <w:sz w:val="16"/>
          <w:szCs w:val="16"/>
          <w:rtl/>
        </w:rPr>
        <w:t>ד"ק</w:t>
      </w:r>
      <w:r w:rsidRPr="00605CB5">
        <w:rPr>
          <w:rFonts w:cs="Arial"/>
          <w:sz w:val="16"/>
          <w:szCs w:val="16"/>
          <w:rtl/>
        </w:rPr>
        <w:t xml:space="preserve"> </w:t>
      </w:r>
      <w:r w:rsidRPr="00605CB5">
        <w:rPr>
          <w:rFonts w:cs="Arial" w:hint="cs"/>
          <w:sz w:val="16"/>
          <w:szCs w:val="16"/>
          <w:rtl/>
        </w:rPr>
        <w:t>הי</w:t>
      </w:r>
      <w:r w:rsidRPr="00605CB5">
        <w:rPr>
          <w:rFonts w:cs="Arial"/>
          <w:sz w:val="16"/>
          <w:szCs w:val="16"/>
          <w:rtl/>
        </w:rPr>
        <w:t>"</w:t>
      </w:r>
      <w:r w:rsidRPr="00605CB5">
        <w:rPr>
          <w:rFonts w:cs="Arial" w:hint="cs"/>
          <w:sz w:val="16"/>
          <w:szCs w:val="16"/>
          <w:rtl/>
        </w:rPr>
        <w:t>ב</w:t>
      </w:r>
      <w:r w:rsidRPr="00605CB5">
        <w:rPr>
          <w:rFonts w:cs="Arial"/>
          <w:sz w:val="16"/>
          <w:szCs w:val="16"/>
          <w:rtl/>
        </w:rPr>
        <w:t xml:space="preserve"> </w:t>
      </w:r>
      <w:r w:rsidRPr="00605CB5">
        <w:rPr>
          <w:rFonts w:cs="Arial" w:hint="cs"/>
          <w:sz w:val="16"/>
          <w:szCs w:val="16"/>
          <w:rtl/>
        </w:rPr>
        <w:t>ד</w:t>
      </w:r>
      <w:r w:rsidRPr="00605CB5">
        <w:rPr>
          <w:rFonts w:cs="Arial"/>
          <w:sz w:val="16"/>
          <w:szCs w:val="16"/>
          <w:rtl/>
        </w:rPr>
        <w:t>"</w:t>
      </w:r>
      <w:r w:rsidRPr="00605CB5">
        <w:rPr>
          <w:rFonts w:cs="Arial" w:hint="cs"/>
          <w:sz w:val="16"/>
          <w:szCs w:val="16"/>
          <w:rtl/>
        </w:rPr>
        <w:t>ה</w:t>
      </w:r>
      <w:r w:rsidRPr="00605CB5">
        <w:rPr>
          <w:rFonts w:cs="Arial"/>
          <w:sz w:val="16"/>
          <w:szCs w:val="16"/>
          <w:rtl/>
        </w:rPr>
        <w:t xml:space="preserve"> </w:t>
      </w:r>
      <w:r w:rsidRPr="00605CB5">
        <w:rPr>
          <w:rFonts w:cs="Arial" w:hint="cs"/>
          <w:sz w:val="16"/>
          <w:szCs w:val="16"/>
          <w:rtl/>
        </w:rPr>
        <w:t>דיתבא</w:t>
      </w:r>
      <w:r w:rsidRPr="00605CB5">
        <w:rPr>
          <w:rFonts w:cs="Arial"/>
          <w:sz w:val="16"/>
          <w:szCs w:val="16"/>
          <w:rtl/>
        </w:rPr>
        <w:t>)</w:t>
      </w:r>
      <w:r w:rsidRPr="00BE28BE">
        <w:rPr>
          <w:rFonts w:cs="Arial"/>
          <w:rtl/>
        </w:rPr>
        <w:t xml:space="preserve"> </w:t>
      </w:r>
      <w:r w:rsidRPr="00BE28BE">
        <w:rPr>
          <w:rFonts w:cs="Arial" w:hint="cs"/>
          <w:rtl/>
        </w:rPr>
        <w:t>בשם</w:t>
      </w:r>
      <w:r w:rsidRPr="00BE28BE">
        <w:rPr>
          <w:rFonts w:cs="Arial"/>
          <w:rtl/>
        </w:rPr>
        <w:t xml:space="preserve"> </w:t>
      </w:r>
      <w:r w:rsidRPr="00BE28BE">
        <w:rPr>
          <w:rFonts w:cs="Arial" w:hint="cs"/>
          <w:rtl/>
        </w:rPr>
        <w:t>סמ</w:t>
      </w:r>
      <w:r w:rsidRPr="00BE28BE">
        <w:rPr>
          <w:rFonts w:cs="Arial"/>
          <w:rtl/>
        </w:rPr>
        <w:t>"</w:t>
      </w:r>
      <w:r w:rsidRPr="00BE28BE">
        <w:rPr>
          <w:rFonts w:cs="Arial" w:hint="cs"/>
          <w:rtl/>
        </w:rPr>
        <w:t>ק</w:t>
      </w:r>
      <w:r w:rsidR="00A82951">
        <w:rPr>
          <w:rFonts w:cs="Arial" w:hint="cs"/>
          <w:rtl/>
        </w:rPr>
        <w:t>-</w:t>
      </w:r>
      <w:r w:rsidRPr="00BE28BE">
        <w:rPr>
          <w:rFonts w:cs="Arial" w:hint="cs"/>
          <w:rtl/>
        </w:rPr>
        <w:t xml:space="preserve"> עיר</w:t>
      </w:r>
      <w:r w:rsidRPr="00BE28BE">
        <w:rPr>
          <w:rFonts w:cs="Arial"/>
          <w:rtl/>
        </w:rPr>
        <w:t xml:space="preserve"> </w:t>
      </w:r>
      <w:r w:rsidRPr="00BE28BE">
        <w:rPr>
          <w:rFonts w:cs="Arial" w:hint="cs"/>
          <w:rtl/>
        </w:rPr>
        <w:t>שאין</w:t>
      </w:r>
      <w:r w:rsidRPr="00BE28BE">
        <w:rPr>
          <w:rFonts w:cs="Arial"/>
          <w:rtl/>
        </w:rPr>
        <w:t xml:space="preserve"> </w:t>
      </w:r>
      <w:r w:rsidRPr="00BE28BE">
        <w:rPr>
          <w:rFonts w:cs="Arial" w:hint="cs"/>
          <w:rtl/>
        </w:rPr>
        <w:t>בה</w:t>
      </w:r>
      <w:r w:rsidRPr="00BE28BE">
        <w:rPr>
          <w:rFonts w:cs="Arial"/>
          <w:rtl/>
        </w:rPr>
        <w:t xml:space="preserve"> </w:t>
      </w:r>
      <w:r w:rsidRPr="00BE28BE">
        <w:rPr>
          <w:rFonts w:cs="Arial" w:hint="cs"/>
          <w:rtl/>
        </w:rPr>
        <w:t>אלא</w:t>
      </w:r>
      <w:r w:rsidRPr="00BE28BE">
        <w:rPr>
          <w:rFonts w:cs="Arial"/>
          <w:rtl/>
        </w:rPr>
        <w:t xml:space="preserve"> </w:t>
      </w:r>
      <w:r w:rsidRPr="00BE28BE">
        <w:rPr>
          <w:rFonts w:cs="Arial" w:hint="cs"/>
          <w:rtl/>
        </w:rPr>
        <w:t>בורות</w:t>
      </w:r>
      <w:r w:rsidRPr="00BE28BE">
        <w:rPr>
          <w:rFonts w:cs="Arial"/>
          <w:rtl/>
        </w:rPr>
        <w:t xml:space="preserve"> </w:t>
      </w:r>
      <w:r w:rsidRPr="00BE28BE">
        <w:rPr>
          <w:rFonts w:cs="Arial" w:hint="cs"/>
          <w:rtl/>
        </w:rPr>
        <w:t>ואגמים</w:t>
      </w:r>
      <w:r w:rsidR="00FE5FAF">
        <w:rPr>
          <w:rFonts w:cs="Arial" w:hint="cs"/>
          <w:rtl/>
        </w:rPr>
        <w:t>,</w:t>
      </w:r>
      <w:r>
        <w:rPr>
          <w:rFonts w:cs="Arial" w:hint="cs"/>
          <w:rtl/>
        </w:rPr>
        <w:t xml:space="preserve"> </w:t>
      </w:r>
      <w:r w:rsidRPr="00BE28BE">
        <w:rPr>
          <w:rFonts w:cs="Arial" w:hint="cs"/>
          <w:rtl/>
        </w:rPr>
        <w:t>לא</w:t>
      </w:r>
      <w:r w:rsidRPr="00BE28BE">
        <w:rPr>
          <w:rFonts w:cs="Arial"/>
          <w:rtl/>
        </w:rPr>
        <w:t xml:space="preserve"> </w:t>
      </w:r>
      <w:r w:rsidRPr="00BE28BE">
        <w:rPr>
          <w:rFonts w:cs="Arial" w:hint="cs"/>
          <w:rtl/>
        </w:rPr>
        <w:t>יזכירם</w:t>
      </w:r>
      <w:r w:rsidRPr="00BE28BE">
        <w:rPr>
          <w:rFonts w:cs="Arial"/>
          <w:rtl/>
        </w:rPr>
        <w:t xml:space="preserve"> </w:t>
      </w:r>
      <w:r w:rsidRPr="00BE28BE">
        <w:rPr>
          <w:rFonts w:cs="Arial" w:hint="cs"/>
          <w:rtl/>
        </w:rPr>
        <w:t>כלל</w:t>
      </w:r>
      <w:r>
        <w:rPr>
          <w:rFonts w:cs="Arial" w:hint="cs"/>
          <w:rtl/>
        </w:rPr>
        <w:t>,</w:t>
      </w:r>
      <w:r w:rsidRPr="00BE28BE">
        <w:rPr>
          <w:rFonts w:cs="Arial"/>
          <w:rtl/>
        </w:rPr>
        <w:t xml:space="preserve"> </w:t>
      </w:r>
      <w:r w:rsidRPr="00BE28BE">
        <w:rPr>
          <w:rFonts w:cs="Arial" w:hint="cs"/>
          <w:rtl/>
        </w:rPr>
        <w:t>שלא</w:t>
      </w:r>
      <w:r w:rsidRPr="00BE28BE">
        <w:rPr>
          <w:rFonts w:cs="Arial"/>
          <w:rtl/>
        </w:rPr>
        <w:t xml:space="preserve"> </w:t>
      </w:r>
      <w:r w:rsidRPr="00BE28BE">
        <w:rPr>
          <w:rFonts w:cs="Arial" w:hint="cs"/>
          <w:rtl/>
        </w:rPr>
        <w:t>לחלק</w:t>
      </w:r>
      <w:r w:rsidRPr="00BE28BE">
        <w:rPr>
          <w:rFonts w:cs="Arial"/>
          <w:rtl/>
        </w:rPr>
        <w:t xml:space="preserve"> </w:t>
      </w:r>
      <w:r w:rsidRPr="00BE28BE">
        <w:rPr>
          <w:rFonts w:cs="Arial" w:hint="cs"/>
          <w:rtl/>
        </w:rPr>
        <w:t>בין</w:t>
      </w:r>
      <w:r w:rsidRPr="00BE28BE">
        <w:rPr>
          <w:rFonts w:cs="Arial"/>
          <w:rtl/>
        </w:rPr>
        <w:t xml:space="preserve"> </w:t>
      </w:r>
      <w:r w:rsidRPr="00BE28BE">
        <w:rPr>
          <w:rFonts w:cs="Arial" w:hint="cs"/>
          <w:rtl/>
        </w:rPr>
        <w:t>גיטין</w:t>
      </w:r>
      <w:r w:rsidRPr="00BE28BE">
        <w:rPr>
          <w:rFonts w:cs="Arial"/>
          <w:rtl/>
        </w:rPr>
        <w:t xml:space="preserve"> </w:t>
      </w:r>
      <w:r w:rsidRPr="00BE28BE">
        <w:rPr>
          <w:rFonts w:cs="Arial" w:hint="cs"/>
          <w:rtl/>
        </w:rPr>
        <w:t>שנכתבו</w:t>
      </w:r>
      <w:r w:rsidRPr="00BE28BE">
        <w:rPr>
          <w:rFonts w:cs="Arial"/>
          <w:rtl/>
        </w:rPr>
        <w:t xml:space="preserve"> </w:t>
      </w:r>
      <w:r w:rsidRPr="00BE28BE">
        <w:rPr>
          <w:rFonts w:cs="Arial" w:hint="cs"/>
          <w:rtl/>
        </w:rPr>
        <w:t>קודם</w:t>
      </w:r>
      <w:r w:rsidRPr="00BE28BE">
        <w:rPr>
          <w:rFonts w:cs="Arial"/>
          <w:rtl/>
        </w:rPr>
        <w:t xml:space="preserve"> </w:t>
      </w:r>
      <w:r w:rsidRPr="00BE28BE">
        <w:rPr>
          <w:rFonts w:cs="Arial" w:hint="cs"/>
          <w:rtl/>
        </w:rPr>
        <w:t>שנעשו</w:t>
      </w:r>
      <w:r>
        <w:rPr>
          <w:rFonts w:cs="Arial" w:hint="cs"/>
          <w:sz w:val="16"/>
          <w:szCs w:val="16"/>
          <w:rtl/>
        </w:rPr>
        <w:t xml:space="preserve"> {הבורות והאגמים}</w:t>
      </w:r>
      <w:r>
        <w:rPr>
          <w:rFonts w:cs="Arial" w:hint="cs"/>
          <w:rtl/>
        </w:rPr>
        <w:t>,</w:t>
      </w:r>
      <w:r w:rsidRPr="00BE28BE">
        <w:rPr>
          <w:rFonts w:cs="Arial"/>
          <w:rtl/>
        </w:rPr>
        <w:t xml:space="preserve"> </w:t>
      </w:r>
      <w:r w:rsidRPr="00BE28BE">
        <w:rPr>
          <w:rFonts w:cs="Arial" w:hint="cs"/>
          <w:rtl/>
        </w:rPr>
        <w:t>לנכתבו</w:t>
      </w:r>
      <w:r w:rsidRPr="00BE28BE">
        <w:rPr>
          <w:rFonts w:cs="Arial"/>
          <w:rtl/>
        </w:rPr>
        <w:t xml:space="preserve"> </w:t>
      </w:r>
      <w:r w:rsidRPr="00BE28BE">
        <w:rPr>
          <w:rFonts w:cs="Arial" w:hint="cs"/>
          <w:rtl/>
        </w:rPr>
        <w:t>אחר</w:t>
      </w:r>
      <w:r w:rsidRPr="00BE28BE">
        <w:rPr>
          <w:rFonts w:cs="Arial"/>
          <w:rtl/>
        </w:rPr>
        <w:t xml:space="preserve"> </w:t>
      </w:r>
      <w:r w:rsidRPr="00BE28BE">
        <w:rPr>
          <w:rFonts w:cs="Arial" w:hint="cs"/>
          <w:rtl/>
        </w:rPr>
        <w:t>שנעשו</w:t>
      </w:r>
      <w:r>
        <w:rPr>
          <w:rFonts w:cs="Arial" w:hint="cs"/>
          <w:rtl/>
        </w:rPr>
        <w:t>.</w:t>
      </w:r>
      <w:r w:rsidRPr="00BE28BE">
        <w:rPr>
          <w:rFonts w:cs="Arial"/>
          <w:rtl/>
        </w:rPr>
        <w:t xml:space="preserve"> </w:t>
      </w:r>
      <w:r w:rsidRPr="00F55193">
        <w:rPr>
          <w:rFonts w:hint="cs"/>
          <w:color w:val="E36C0A" w:themeColor="accent6" w:themeShade="BF"/>
          <w:rtl/>
        </w:rPr>
        <w:t>(וכ"פ בשו"ע)</w:t>
      </w:r>
    </w:p>
    <w:p w14:paraId="51826101" w14:textId="0318C975" w:rsidR="00FA2119" w:rsidRPr="00327457" w:rsidRDefault="00FA2119" w:rsidP="00FA2119">
      <w:pPr>
        <w:rPr>
          <w:u w:val="single"/>
        </w:rPr>
      </w:pPr>
      <w:r w:rsidRPr="00327457">
        <w:rPr>
          <w:rFonts w:cs="Arial" w:hint="cs"/>
          <w:u w:val="single"/>
          <w:rtl/>
        </w:rPr>
        <w:t>שני</w:t>
      </w:r>
      <w:r w:rsidRPr="00327457">
        <w:rPr>
          <w:rFonts w:cs="Arial"/>
          <w:u w:val="single"/>
          <w:rtl/>
        </w:rPr>
        <w:t xml:space="preserve"> </w:t>
      </w:r>
      <w:r w:rsidRPr="00327457">
        <w:rPr>
          <w:rFonts w:cs="Arial" w:hint="cs"/>
          <w:u w:val="single"/>
          <w:rtl/>
        </w:rPr>
        <w:t>נהרות</w:t>
      </w:r>
      <w:r w:rsidRPr="00327457">
        <w:rPr>
          <w:rFonts w:cs="Arial"/>
          <w:u w:val="single"/>
          <w:rtl/>
        </w:rPr>
        <w:t xml:space="preserve"> </w:t>
      </w:r>
      <w:r w:rsidRPr="00327457">
        <w:rPr>
          <w:rFonts w:cs="Arial" w:hint="cs"/>
          <w:u w:val="single"/>
          <w:rtl/>
        </w:rPr>
        <w:t>שקודם</w:t>
      </w:r>
      <w:r w:rsidRPr="00327457">
        <w:rPr>
          <w:rFonts w:cs="Arial"/>
          <w:u w:val="single"/>
          <w:rtl/>
        </w:rPr>
        <w:t xml:space="preserve"> </w:t>
      </w:r>
      <w:r w:rsidRPr="00327457">
        <w:rPr>
          <w:rFonts w:cs="Arial" w:hint="cs"/>
          <w:u w:val="single"/>
          <w:rtl/>
        </w:rPr>
        <w:t>שיגיעו</w:t>
      </w:r>
      <w:r w:rsidRPr="00327457">
        <w:rPr>
          <w:rFonts w:cs="Arial"/>
          <w:u w:val="single"/>
          <w:rtl/>
        </w:rPr>
        <w:t xml:space="preserve"> </w:t>
      </w:r>
      <w:r w:rsidRPr="00327457">
        <w:rPr>
          <w:rFonts w:cs="Arial" w:hint="cs"/>
          <w:u w:val="single"/>
          <w:rtl/>
        </w:rPr>
        <w:t>לעיר</w:t>
      </w:r>
      <w:r w:rsidRPr="00327457">
        <w:rPr>
          <w:rFonts w:cs="Arial"/>
          <w:u w:val="single"/>
          <w:rtl/>
        </w:rPr>
        <w:t xml:space="preserve"> </w:t>
      </w:r>
      <w:r w:rsidRPr="00327457">
        <w:rPr>
          <w:rFonts w:cs="Arial" w:hint="cs"/>
          <w:u w:val="single"/>
          <w:rtl/>
        </w:rPr>
        <w:t>הם</w:t>
      </w:r>
      <w:r w:rsidRPr="00327457">
        <w:rPr>
          <w:rFonts w:cs="Arial"/>
          <w:u w:val="single"/>
          <w:rtl/>
        </w:rPr>
        <w:t xml:space="preserve"> </w:t>
      </w:r>
      <w:r w:rsidRPr="00327457">
        <w:rPr>
          <w:rFonts w:cs="Arial" w:hint="cs"/>
          <w:u w:val="single"/>
          <w:rtl/>
        </w:rPr>
        <w:t>מתערבים</w:t>
      </w:r>
      <w:r>
        <w:rPr>
          <w:rFonts w:hint="cs"/>
          <w:u w:val="single"/>
          <w:rtl/>
        </w:rPr>
        <w:t xml:space="preserve"> </w:t>
      </w:r>
      <w:r w:rsidR="00A82951">
        <w:rPr>
          <w:u w:val="single"/>
          <w:rtl/>
        </w:rPr>
        <w:t>-</w:t>
      </w:r>
      <w:r>
        <w:rPr>
          <w:rFonts w:hint="cs"/>
          <w:u w:val="single"/>
          <w:rtl/>
        </w:rPr>
        <w:t xml:space="preserve"> איזה נהר לכתוב בגט</w:t>
      </w:r>
      <w:r w:rsidRPr="00327457">
        <w:rPr>
          <w:rFonts w:hint="cs"/>
          <w:u w:val="single"/>
          <w:rtl/>
        </w:rPr>
        <w:t>:</w:t>
      </w:r>
    </w:p>
    <w:p w14:paraId="11D036D6" w14:textId="08233807" w:rsidR="00FA2119" w:rsidRPr="0090777D" w:rsidRDefault="00FA2119" w:rsidP="00FA2119">
      <w:pPr>
        <w:pStyle w:val="ab"/>
        <w:numPr>
          <w:ilvl w:val="0"/>
          <w:numId w:val="61"/>
        </w:numPr>
        <w:rPr>
          <w:rtl/>
        </w:rPr>
      </w:pPr>
      <w:r w:rsidRPr="00BE28BE">
        <w:rPr>
          <w:rFonts w:cs="Arial" w:hint="cs"/>
          <w:rtl/>
        </w:rPr>
        <w:t>מהרי</w:t>
      </w:r>
      <w:r w:rsidRPr="00BE28BE">
        <w:rPr>
          <w:rFonts w:cs="Arial"/>
          <w:rtl/>
        </w:rPr>
        <w:t>"</w:t>
      </w:r>
      <w:r w:rsidRPr="00BE28BE">
        <w:rPr>
          <w:rFonts w:cs="Arial" w:hint="cs"/>
          <w:rtl/>
        </w:rPr>
        <w:t>ק</w:t>
      </w:r>
      <w:r>
        <w:rPr>
          <w:rFonts w:cs="Arial" w:hint="cs"/>
          <w:rtl/>
        </w:rPr>
        <w:t xml:space="preserve"> </w:t>
      </w:r>
      <w:r>
        <w:rPr>
          <w:rFonts w:cs="Arial" w:hint="cs"/>
          <w:sz w:val="16"/>
          <w:szCs w:val="16"/>
          <w:rtl/>
        </w:rPr>
        <w:t>(</w:t>
      </w:r>
      <w:r w:rsidRPr="00327457">
        <w:rPr>
          <w:rFonts w:cs="Arial" w:hint="cs"/>
          <w:sz w:val="16"/>
          <w:szCs w:val="16"/>
          <w:rtl/>
        </w:rPr>
        <w:t>שורש</w:t>
      </w:r>
      <w:r w:rsidRPr="00327457">
        <w:rPr>
          <w:rFonts w:cs="Arial"/>
          <w:sz w:val="16"/>
          <w:szCs w:val="16"/>
          <w:rtl/>
        </w:rPr>
        <w:t xml:space="preserve"> </w:t>
      </w:r>
      <w:r w:rsidRPr="00327457">
        <w:rPr>
          <w:rFonts w:cs="Arial" w:hint="cs"/>
          <w:sz w:val="16"/>
          <w:szCs w:val="16"/>
          <w:rtl/>
        </w:rPr>
        <w:t>קו)</w:t>
      </w:r>
      <w:r w:rsidR="00A82951">
        <w:rPr>
          <w:rFonts w:cs="Arial" w:hint="cs"/>
          <w:rtl/>
        </w:rPr>
        <w:t>-</w:t>
      </w:r>
      <w:r>
        <w:rPr>
          <w:rFonts w:cs="Arial" w:hint="cs"/>
          <w:rtl/>
        </w:rPr>
        <w:t xml:space="preserve"> </w:t>
      </w:r>
      <w:r w:rsidRPr="00BE28BE">
        <w:rPr>
          <w:rFonts w:cs="Arial" w:hint="cs"/>
          <w:rtl/>
        </w:rPr>
        <w:t>ולענין</w:t>
      </w:r>
      <w:r w:rsidRPr="00BE28BE">
        <w:rPr>
          <w:rFonts w:cs="Arial"/>
          <w:rtl/>
        </w:rPr>
        <w:t xml:space="preserve"> </w:t>
      </w:r>
      <w:r w:rsidRPr="00BE28BE">
        <w:rPr>
          <w:rFonts w:cs="Arial" w:hint="cs"/>
          <w:rtl/>
        </w:rPr>
        <w:t>שני</w:t>
      </w:r>
      <w:r w:rsidRPr="00BE28BE">
        <w:rPr>
          <w:rFonts w:cs="Arial"/>
          <w:rtl/>
        </w:rPr>
        <w:t xml:space="preserve"> </w:t>
      </w:r>
      <w:r w:rsidRPr="00BE28BE">
        <w:rPr>
          <w:rFonts w:cs="Arial" w:hint="cs"/>
          <w:rtl/>
        </w:rPr>
        <w:t>נהרות</w:t>
      </w:r>
      <w:r w:rsidRPr="00BE28BE">
        <w:rPr>
          <w:rFonts w:cs="Arial"/>
          <w:rtl/>
        </w:rPr>
        <w:t xml:space="preserve"> </w:t>
      </w:r>
      <w:r w:rsidRPr="00BE28BE">
        <w:rPr>
          <w:rFonts w:cs="Arial" w:hint="cs"/>
          <w:rtl/>
        </w:rPr>
        <w:t>שקודם</w:t>
      </w:r>
      <w:r w:rsidRPr="00BE28BE">
        <w:rPr>
          <w:rFonts w:cs="Arial"/>
          <w:rtl/>
        </w:rPr>
        <w:t xml:space="preserve"> </w:t>
      </w:r>
      <w:r w:rsidRPr="00BE28BE">
        <w:rPr>
          <w:rFonts w:cs="Arial" w:hint="cs"/>
          <w:rtl/>
        </w:rPr>
        <w:t>שיגיעו</w:t>
      </w:r>
      <w:r w:rsidRPr="00BE28BE">
        <w:rPr>
          <w:rFonts w:cs="Arial"/>
          <w:rtl/>
        </w:rPr>
        <w:t xml:space="preserve"> </w:t>
      </w:r>
      <w:r w:rsidRPr="00BE28BE">
        <w:rPr>
          <w:rFonts w:cs="Arial" w:hint="cs"/>
          <w:rtl/>
        </w:rPr>
        <w:t>לעיר</w:t>
      </w:r>
      <w:r w:rsidRPr="00BE28BE">
        <w:rPr>
          <w:rFonts w:cs="Arial"/>
          <w:rtl/>
        </w:rPr>
        <w:t xml:space="preserve"> </w:t>
      </w:r>
      <w:r w:rsidRPr="00BE28BE">
        <w:rPr>
          <w:rFonts w:cs="Arial" w:hint="cs"/>
          <w:rtl/>
        </w:rPr>
        <w:t>הם</w:t>
      </w:r>
      <w:r w:rsidRPr="00BE28BE">
        <w:rPr>
          <w:rFonts w:cs="Arial"/>
          <w:rtl/>
        </w:rPr>
        <w:t xml:space="preserve"> </w:t>
      </w:r>
      <w:r w:rsidRPr="00BE28BE">
        <w:rPr>
          <w:rFonts w:cs="Arial" w:hint="cs"/>
          <w:rtl/>
        </w:rPr>
        <w:t>מתערבים</w:t>
      </w:r>
      <w:r>
        <w:rPr>
          <w:rFonts w:cs="Arial" w:hint="cs"/>
          <w:rtl/>
        </w:rPr>
        <w:t xml:space="preserve">, </w:t>
      </w:r>
      <w:r w:rsidRPr="00BE28BE">
        <w:rPr>
          <w:rFonts w:cs="Arial" w:hint="cs"/>
          <w:rtl/>
        </w:rPr>
        <w:t>לע</w:t>
      </w:r>
      <w:r w:rsidRPr="00BE28BE">
        <w:rPr>
          <w:rFonts w:cs="Arial"/>
          <w:rtl/>
        </w:rPr>
        <w:t>"</w:t>
      </w:r>
      <w:r w:rsidRPr="00BE28BE">
        <w:rPr>
          <w:rFonts w:cs="Arial" w:hint="cs"/>
          <w:rtl/>
        </w:rPr>
        <w:t>ד</w:t>
      </w:r>
      <w:r w:rsidRPr="00BE28BE">
        <w:rPr>
          <w:rFonts w:cs="Arial"/>
          <w:rtl/>
        </w:rPr>
        <w:t xml:space="preserve"> </w:t>
      </w:r>
      <w:r w:rsidRPr="00BE28BE">
        <w:rPr>
          <w:rFonts w:cs="Arial" w:hint="cs"/>
          <w:rtl/>
        </w:rPr>
        <w:t>שאם</w:t>
      </w:r>
      <w:r w:rsidRPr="00BE28BE">
        <w:rPr>
          <w:rFonts w:cs="Arial"/>
          <w:rtl/>
        </w:rPr>
        <w:t xml:space="preserve"> </w:t>
      </w:r>
      <w:r w:rsidRPr="00BE28BE">
        <w:rPr>
          <w:rFonts w:cs="Arial" w:hint="cs"/>
          <w:rtl/>
        </w:rPr>
        <w:t>כן</w:t>
      </w:r>
      <w:r w:rsidRPr="00BE28BE">
        <w:rPr>
          <w:rFonts w:cs="Arial"/>
          <w:rtl/>
        </w:rPr>
        <w:t xml:space="preserve"> </w:t>
      </w:r>
      <w:r w:rsidRPr="00BE28BE">
        <w:rPr>
          <w:rFonts w:cs="Arial" w:hint="cs"/>
          <w:rtl/>
        </w:rPr>
        <w:t>הוא</w:t>
      </w:r>
      <w:r w:rsidRPr="00BE28BE">
        <w:rPr>
          <w:rFonts w:cs="Arial"/>
          <w:rtl/>
        </w:rPr>
        <w:t xml:space="preserve"> </w:t>
      </w:r>
      <w:r w:rsidRPr="00BE28BE">
        <w:rPr>
          <w:rFonts w:cs="Arial" w:hint="cs"/>
          <w:rtl/>
        </w:rPr>
        <w:t>שנהר</w:t>
      </w:r>
      <w:r w:rsidRPr="00BE28BE">
        <w:rPr>
          <w:rFonts w:cs="Arial"/>
          <w:rtl/>
        </w:rPr>
        <w:t xml:space="preserve"> </w:t>
      </w:r>
      <w:r w:rsidRPr="00BE28BE">
        <w:rPr>
          <w:rFonts w:cs="Arial" w:hint="cs"/>
          <w:rtl/>
        </w:rPr>
        <w:t>מרצאנ</w:t>
      </w:r>
      <w:r w:rsidRPr="00BE28BE">
        <w:rPr>
          <w:rFonts w:cs="Arial"/>
          <w:rtl/>
        </w:rPr>
        <w:t>"</w:t>
      </w:r>
      <w:r w:rsidRPr="00BE28BE">
        <w:rPr>
          <w:rFonts w:cs="Arial" w:hint="cs"/>
          <w:rtl/>
        </w:rPr>
        <w:t>ו</w:t>
      </w:r>
      <w:r w:rsidRPr="00BE28BE">
        <w:rPr>
          <w:rFonts w:cs="Arial"/>
          <w:rtl/>
        </w:rPr>
        <w:t xml:space="preserve"> </w:t>
      </w:r>
      <w:r w:rsidRPr="00BE28BE">
        <w:rPr>
          <w:rFonts w:cs="Arial" w:hint="cs"/>
          <w:rtl/>
        </w:rPr>
        <w:t>כשמתערב</w:t>
      </w:r>
      <w:r w:rsidRPr="00BE28BE">
        <w:rPr>
          <w:rFonts w:cs="Arial"/>
          <w:rtl/>
        </w:rPr>
        <w:t xml:space="preserve"> </w:t>
      </w:r>
      <w:r w:rsidRPr="00BE28BE">
        <w:rPr>
          <w:rFonts w:cs="Arial" w:hint="cs"/>
          <w:rtl/>
        </w:rPr>
        <w:t>באיימונ</w:t>
      </w:r>
      <w:r w:rsidRPr="00BE28BE">
        <w:rPr>
          <w:rFonts w:cs="Arial"/>
          <w:rtl/>
        </w:rPr>
        <w:t>"</w:t>
      </w:r>
      <w:r w:rsidRPr="00BE28BE">
        <w:rPr>
          <w:rFonts w:cs="Arial" w:hint="cs"/>
          <w:rtl/>
        </w:rPr>
        <w:t>י</w:t>
      </w:r>
      <w:r w:rsidRPr="00BE28BE">
        <w:rPr>
          <w:rFonts w:cs="Arial"/>
          <w:rtl/>
        </w:rPr>
        <w:t xml:space="preserve"> </w:t>
      </w:r>
      <w:r w:rsidRPr="00BE28BE">
        <w:rPr>
          <w:rFonts w:cs="Arial" w:hint="cs"/>
          <w:rtl/>
        </w:rPr>
        <w:t>קרוב</w:t>
      </w:r>
      <w:r w:rsidRPr="00BE28BE">
        <w:rPr>
          <w:rFonts w:cs="Arial"/>
          <w:rtl/>
        </w:rPr>
        <w:t xml:space="preserve"> </w:t>
      </w:r>
      <w:r w:rsidRPr="00BE28BE">
        <w:rPr>
          <w:rFonts w:cs="Arial" w:hint="cs"/>
          <w:rtl/>
        </w:rPr>
        <w:t>לעיר</w:t>
      </w:r>
      <w:r w:rsidRPr="00BE28BE">
        <w:rPr>
          <w:rFonts w:cs="Arial"/>
          <w:rtl/>
        </w:rPr>
        <w:t xml:space="preserve"> </w:t>
      </w:r>
      <w:r w:rsidRPr="00BE28BE">
        <w:rPr>
          <w:rFonts w:cs="Arial" w:hint="cs"/>
          <w:rtl/>
        </w:rPr>
        <w:t>אבד</w:t>
      </w:r>
      <w:r w:rsidRPr="00BE28BE">
        <w:rPr>
          <w:rFonts w:cs="Arial"/>
          <w:rtl/>
        </w:rPr>
        <w:t xml:space="preserve"> </w:t>
      </w:r>
      <w:r w:rsidRPr="00BE28BE">
        <w:rPr>
          <w:rFonts w:cs="Arial" w:hint="cs"/>
          <w:rtl/>
        </w:rPr>
        <w:t>זכרו</w:t>
      </w:r>
      <w:r w:rsidRPr="00BE28BE">
        <w:rPr>
          <w:rFonts w:cs="Arial"/>
          <w:rtl/>
        </w:rPr>
        <w:t xml:space="preserve"> </w:t>
      </w:r>
      <w:r w:rsidRPr="00BE28BE">
        <w:rPr>
          <w:rFonts w:cs="Arial" w:hint="cs"/>
          <w:rtl/>
        </w:rPr>
        <w:t>משם</w:t>
      </w:r>
      <w:r w:rsidRPr="00BE28BE">
        <w:rPr>
          <w:rFonts w:cs="Arial"/>
          <w:rtl/>
        </w:rPr>
        <w:t xml:space="preserve"> </w:t>
      </w:r>
      <w:r w:rsidRPr="00BE28BE">
        <w:rPr>
          <w:rFonts w:cs="Arial" w:hint="cs"/>
          <w:rtl/>
        </w:rPr>
        <w:t>והלאה</w:t>
      </w:r>
      <w:r w:rsidRPr="00BE28BE">
        <w:rPr>
          <w:rFonts w:cs="Arial"/>
          <w:rtl/>
        </w:rPr>
        <w:t xml:space="preserve"> </w:t>
      </w:r>
      <w:r w:rsidRPr="00BE28BE">
        <w:rPr>
          <w:rFonts w:cs="Arial" w:hint="cs"/>
          <w:rtl/>
        </w:rPr>
        <w:t>ואינו</w:t>
      </w:r>
      <w:r w:rsidRPr="00BE28BE">
        <w:rPr>
          <w:rFonts w:cs="Arial"/>
          <w:rtl/>
        </w:rPr>
        <w:t xml:space="preserve"> </w:t>
      </w:r>
      <w:r w:rsidRPr="00BE28BE">
        <w:rPr>
          <w:rFonts w:cs="Arial" w:hint="cs"/>
          <w:rtl/>
        </w:rPr>
        <w:t>נקרא</w:t>
      </w:r>
      <w:r w:rsidRPr="00BE28BE">
        <w:rPr>
          <w:rFonts w:cs="Arial"/>
          <w:rtl/>
        </w:rPr>
        <w:t xml:space="preserve"> </w:t>
      </w:r>
      <w:r w:rsidRPr="00BE28BE">
        <w:rPr>
          <w:rFonts w:cs="Arial" w:hint="cs"/>
          <w:rtl/>
        </w:rPr>
        <w:t>רק</w:t>
      </w:r>
      <w:r w:rsidRPr="00BE28BE">
        <w:rPr>
          <w:rFonts w:cs="Arial"/>
          <w:rtl/>
        </w:rPr>
        <w:t xml:space="preserve"> </w:t>
      </w:r>
      <w:r w:rsidRPr="00BE28BE">
        <w:rPr>
          <w:rFonts w:cs="Arial" w:hint="cs"/>
          <w:rtl/>
        </w:rPr>
        <w:t>איימונ</w:t>
      </w:r>
      <w:r w:rsidRPr="00BE28BE">
        <w:rPr>
          <w:rFonts w:cs="Arial"/>
          <w:rtl/>
        </w:rPr>
        <w:t>"</w:t>
      </w:r>
      <w:r w:rsidRPr="00BE28BE">
        <w:rPr>
          <w:rFonts w:cs="Arial" w:hint="cs"/>
          <w:rtl/>
        </w:rPr>
        <w:t>י</w:t>
      </w:r>
      <w:r>
        <w:rPr>
          <w:rFonts w:cs="Arial" w:hint="cs"/>
          <w:rtl/>
        </w:rPr>
        <w:t>,</w:t>
      </w:r>
      <w:r w:rsidRPr="00BE28BE">
        <w:rPr>
          <w:rFonts w:cs="Arial"/>
          <w:rtl/>
        </w:rPr>
        <w:t xml:space="preserve"> </w:t>
      </w:r>
      <w:r w:rsidRPr="00BE28BE">
        <w:rPr>
          <w:rFonts w:cs="Arial" w:hint="cs"/>
          <w:rtl/>
        </w:rPr>
        <w:t>פשוט</w:t>
      </w:r>
      <w:r w:rsidRPr="00BE28BE">
        <w:rPr>
          <w:rFonts w:cs="Arial"/>
          <w:rtl/>
        </w:rPr>
        <w:t xml:space="preserve"> </w:t>
      </w:r>
      <w:r w:rsidRPr="00BE28BE">
        <w:rPr>
          <w:rFonts w:cs="Arial" w:hint="cs"/>
          <w:rtl/>
        </w:rPr>
        <w:t>הוא</w:t>
      </w:r>
      <w:r w:rsidRPr="00BE28BE">
        <w:rPr>
          <w:rFonts w:cs="Arial"/>
          <w:rtl/>
        </w:rPr>
        <w:t xml:space="preserve"> </w:t>
      </w:r>
      <w:r w:rsidRPr="00BE28BE">
        <w:rPr>
          <w:rFonts w:cs="Arial" w:hint="cs"/>
          <w:rtl/>
        </w:rPr>
        <w:t>שאין</w:t>
      </w:r>
      <w:r w:rsidRPr="00BE28BE">
        <w:rPr>
          <w:rFonts w:cs="Arial"/>
          <w:rtl/>
        </w:rPr>
        <w:t xml:space="preserve"> </w:t>
      </w:r>
      <w:r w:rsidRPr="00BE28BE">
        <w:rPr>
          <w:rFonts w:cs="Arial" w:hint="cs"/>
          <w:rtl/>
        </w:rPr>
        <w:t>לכתוב</w:t>
      </w:r>
      <w:r w:rsidRPr="00BE28BE">
        <w:rPr>
          <w:rFonts w:cs="Arial"/>
          <w:rtl/>
        </w:rPr>
        <w:t xml:space="preserve"> </w:t>
      </w:r>
      <w:r w:rsidRPr="00BE28BE">
        <w:rPr>
          <w:rFonts w:cs="Arial" w:hint="cs"/>
          <w:rtl/>
        </w:rPr>
        <w:t>כלל</w:t>
      </w:r>
      <w:r w:rsidRPr="00BE28BE">
        <w:rPr>
          <w:rFonts w:cs="Arial"/>
          <w:rtl/>
        </w:rPr>
        <w:t xml:space="preserve"> </w:t>
      </w:r>
      <w:r w:rsidRPr="00BE28BE">
        <w:rPr>
          <w:rFonts w:cs="Arial" w:hint="cs"/>
          <w:rtl/>
        </w:rPr>
        <w:t>אלא</w:t>
      </w:r>
      <w:r w:rsidRPr="00BE28BE">
        <w:rPr>
          <w:rFonts w:cs="Arial"/>
          <w:rtl/>
        </w:rPr>
        <w:t xml:space="preserve"> </w:t>
      </w:r>
      <w:r w:rsidRPr="00BE28BE">
        <w:rPr>
          <w:rFonts w:cs="Arial" w:hint="cs"/>
          <w:rtl/>
        </w:rPr>
        <w:t>איימונ</w:t>
      </w:r>
      <w:r w:rsidRPr="00BE28BE">
        <w:rPr>
          <w:rFonts w:cs="Arial"/>
          <w:rtl/>
        </w:rPr>
        <w:t>"</w:t>
      </w:r>
      <w:r w:rsidRPr="00BE28BE">
        <w:rPr>
          <w:rFonts w:cs="Arial" w:hint="cs"/>
          <w:rtl/>
        </w:rPr>
        <w:t>י</w:t>
      </w:r>
      <w:r>
        <w:rPr>
          <w:rFonts w:cs="Arial" w:hint="cs"/>
          <w:rtl/>
        </w:rPr>
        <w:t>,</w:t>
      </w:r>
      <w:r w:rsidRPr="00BE28BE">
        <w:rPr>
          <w:rFonts w:cs="Arial"/>
          <w:rtl/>
        </w:rPr>
        <w:t xml:space="preserve"> </w:t>
      </w:r>
      <w:r w:rsidRPr="00BE28BE">
        <w:rPr>
          <w:rFonts w:cs="Arial" w:hint="cs"/>
          <w:rtl/>
        </w:rPr>
        <w:t>ואין</w:t>
      </w:r>
      <w:r w:rsidRPr="00BE28BE">
        <w:rPr>
          <w:rFonts w:cs="Arial"/>
          <w:rtl/>
        </w:rPr>
        <w:t xml:space="preserve"> </w:t>
      </w:r>
      <w:r w:rsidRPr="00BE28BE">
        <w:rPr>
          <w:rFonts w:cs="Arial" w:hint="cs"/>
          <w:rtl/>
        </w:rPr>
        <w:t>להזכיר</w:t>
      </w:r>
      <w:r w:rsidRPr="00BE28BE">
        <w:rPr>
          <w:rFonts w:cs="Arial"/>
          <w:rtl/>
        </w:rPr>
        <w:t xml:space="preserve"> </w:t>
      </w:r>
      <w:r w:rsidRPr="00BE28BE">
        <w:rPr>
          <w:rFonts w:cs="Arial" w:hint="cs"/>
          <w:rtl/>
        </w:rPr>
        <w:t>כלל</w:t>
      </w:r>
      <w:r w:rsidRPr="00BE28BE">
        <w:rPr>
          <w:rFonts w:cs="Arial"/>
          <w:rtl/>
        </w:rPr>
        <w:t xml:space="preserve"> </w:t>
      </w:r>
      <w:r w:rsidRPr="00BE28BE">
        <w:rPr>
          <w:rFonts w:cs="Arial" w:hint="cs"/>
          <w:rtl/>
        </w:rPr>
        <w:t>נהר</w:t>
      </w:r>
      <w:r w:rsidRPr="00BE28BE">
        <w:rPr>
          <w:rFonts w:cs="Arial"/>
          <w:rtl/>
        </w:rPr>
        <w:t xml:space="preserve"> </w:t>
      </w:r>
      <w:r w:rsidRPr="00BE28BE">
        <w:rPr>
          <w:rFonts w:cs="Arial" w:hint="cs"/>
          <w:rtl/>
        </w:rPr>
        <w:t>מרצאנ</w:t>
      </w:r>
      <w:r w:rsidRPr="00BE28BE">
        <w:rPr>
          <w:rFonts w:cs="Arial"/>
          <w:rtl/>
        </w:rPr>
        <w:t>"</w:t>
      </w:r>
      <w:r w:rsidRPr="00BE28BE">
        <w:rPr>
          <w:rFonts w:cs="Arial" w:hint="cs"/>
          <w:rtl/>
        </w:rPr>
        <w:t>ו</w:t>
      </w:r>
      <w:r>
        <w:rPr>
          <w:rFonts w:cs="Arial" w:hint="cs"/>
          <w:rtl/>
        </w:rPr>
        <w:t>.</w:t>
      </w:r>
      <w:r w:rsidRPr="00BE28BE">
        <w:rPr>
          <w:rFonts w:cs="Arial"/>
          <w:rtl/>
        </w:rPr>
        <w:t xml:space="preserve"> </w:t>
      </w:r>
      <w:r w:rsidRPr="00BE28BE">
        <w:rPr>
          <w:rFonts w:cs="Arial" w:hint="cs"/>
          <w:rtl/>
        </w:rPr>
        <w:t>ואם</w:t>
      </w:r>
      <w:r w:rsidRPr="00BE28BE">
        <w:rPr>
          <w:rFonts w:cs="Arial"/>
          <w:rtl/>
        </w:rPr>
        <w:t xml:space="preserve"> </w:t>
      </w:r>
      <w:r w:rsidRPr="00BE28BE">
        <w:rPr>
          <w:rFonts w:cs="Arial" w:hint="cs"/>
          <w:rtl/>
        </w:rPr>
        <w:t>הוא</w:t>
      </w:r>
      <w:r w:rsidRPr="00BE28BE">
        <w:rPr>
          <w:rFonts w:cs="Arial"/>
          <w:rtl/>
        </w:rPr>
        <w:t xml:space="preserve"> </w:t>
      </w:r>
      <w:r w:rsidRPr="00BE28BE">
        <w:rPr>
          <w:rFonts w:cs="Arial" w:hint="cs"/>
          <w:rtl/>
        </w:rPr>
        <w:t>בהיפך</w:t>
      </w:r>
      <w:r w:rsidRPr="00BE28BE">
        <w:rPr>
          <w:rFonts w:cs="Arial"/>
          <w:rtl/>
        </w:rPr>
        <w:t xml:space="preserve"> </w:t>
      </w:r>
      <w:r w:rsidRPr="00BE28BE">
        <w:rPr>
          <w:rFonts w:cs="Arial" w:hint="cs"/>
          <w:rtl/>
        </w:rPr>
        <w:t>שאדרבא</w:t>
      </w:r>
      <w:r w:rsidRPr="00BE28BE">
        <w:rPr>
          <w:rFonts w:cs="Arial"/>
          <w:rtl/>
        </w:rPr>
        <w:t xml:space="preserve"> </w:t>
      </w:r>
      <w:r w:rsidRPr="00BE28BE">
        <w:rPr>
          <w:rFonts w:cs="Arial" w:hint="cs"/>
          <w:rtl/>
        </w:rPr>
        <w:t>אין</w:t>
      </w:r>
      <w:r w:rsidRPr="00BE28BE">
        <w:rPr>
          <w:rFonts w:cs="Arial"/>
          <w:rtl/>
        </w:rPr>
        <w:t xml:space="preserve"> </w:t>
      </w:r>
      <w:r w:rsidRPr="00BE28BE">
        <w:rPr>
          <w:rFonts w:cs="Arial" w:hint="cs"/>
          <w:rtl/>
        </w:rPr>
        <w:t>מזכירין</w:t>
      </w:r>
      <w:r w:rsidRPr="00BE28BE">
        <w:rPr>
          <w:rFonts w:cs="Arial"/>
          <w:rtl/>
        </w:rPr>
        <w:t xml:space="preserve"> </w:t>
      </w:r>
      <w:r w:rsidRPr="00BE28BE">
        <w:rPr>
          <w:rFonts w:cs="Arial" w:hint="cs"/>
          <w:rtl/>
        </w:rPr>
        <w:t>נהר</w:t>
      </w:r>
      <w:r w:rsidRPr="00BE28BE">
        <w:rPr>
          <w:rFonts w:cs="Arial"/>
          <w:rtl/>
        </w:rPr>
        <w:t xml:space="preserve"> </w:t>
      </w:r>
      <w:r w:rsidRPr="00BE28BE">
        <w:rPr>
          <w:rFonts w:cs="Arial" w:hint="cs"/>
          <w:rtl/>
        </w:rPr>
        <w:t>איימונ</w:t>
      </w:r>
      <w:r w:rsidRPr="00BE28BE">
        <w:rPr>
          <w:rFonts w:cs="Arial"/>
          <w:rtl/>
        </w:rPr>
        <w:t>"</w:t>
      </w:r>
      <w:r w:rsidRPr="00BE28BE">
        <w:rPr>
          <w:rFonts w:cs="Arial" w:hint="cs"/>
          <w:rtl/>
        </w:rPr>
        <w:t>י</w:t>
      </w:r>
      <w:r w:rsidRPr="00BE28BE">
        <w:rPr>
          <w:rFonts w:cs="Arial"/>
          <w:rtl/>
        </w:rPr>
        <w:t xml:space="preserve"> </w:t>
      </w:r>
      <w:r w:rsidRPr="00BE28BE">
        <w:rPr>
          <w:rFonts w:cs="Arial" w:hint="cs"/>
          <w:rtl/>
        </w:rPr>
        <w:t>אלא</w:t>
      </w:r>
      <w:r w:rsidRPr="00BE28BE">
        <w:rPr>
          <w:rFonts w:cs="Arial"/>
          <w:rtl/>
        </w:rPr>
        <w:t xml:space="preserve"> </w:t>
      </w:r>
      <w:r w:rsidRPr="00BE28BE">
        <w:rPr>
          <w:rFonts w:cs="Arial" w:hint="cs"/>
          <w:rtl/>
        </w:rPr>
        <w:t>מרצאנ</w:t>
      </w:r>
      <w:r w:rsidRPr="00BE28BE">
        <w:rPr>
          <w:rFonts w:cs="Arial"/>
          <w:rtl/>
        </w:rPr>
        <w:t>"</w:t>
      </w:r>
      <w:r w:rsidRPr="00BE28BE">
        <w:rPr>
          <w:rFonts w:cs="Arial" w:hint="cs"/>
          <w:rtl/>
        </w:rPr>
        <w:t>ו</w:t>
      </w:r>
      <w:r w:rsidRPr="00BE28BE">
        <w:rPr>
          <w:rFonts w:cs="Arial"/>
          <w:rtl/>
        </w:rPr>
        <w:t xml:space="preserve"> </w:t>
      </w:r>
      <w:r w:rsidRPr="00BE28BE">
        <w:rPr>
          <w:rFonts w:cs="Arial" w:hint="cs"/>
          <w:rtl/>
        </w:rPr>
        <w:t>ממקום</w:t>
      </w:r>
      <w:r w:rsidRPr="00BE28BE">
        <w:rPr>
          <w:rFonts w:cs="Arial"/>
          <w:rtl/>
        </w:rPr>
        <w:t xml:space="preserve"> </w:t>
      </w:r>
      <w:r w:rsidRPr="00BE28BE">
        <w:rPr>
          <w:rFonts w:cs="Arial" w:hint="cs"/>
          <w:rtl/>
        </w:rPr>
        <w:t>התערובות</w:t>
      </w:r>
      <w:r w:rsidRPr="00BE28BE">
        <w:rPr>
          <w:rFonts w:cs="Arial"/>
          <w:rtl/>
        </w:rPr>
        <w:t xml:space="preserve"> </w:t>
      </w:r>
      <w:r w:rsidRPr="00BE28BE">
        <w:rPr>
          <w:rFonts w:cs="Arial" w:hint="cs"/>
          <w:rtl/>
        </w:rPr>
        <w:t>ואילך</w:t>
      </w:r>
      <w:r>
        <w:rPr>
          <w:rFonts w:cs="Arial" w:hint="cs"/>
          <w:rtl/>
        </w:rPr>
        <w:t xml:space="preserve"> </w:t>
      </w:r>
      <w:r w:rsidR="00A82951">
        <w:rPr>
          <w:rFonts w:cs="Arial" w:hint="cs"/>
          <w:rtl/>
        </w:rPr>
        <w:t>-</w:t>
      </w:r>
      <w:r w:rsidRPr="00BE28BE">
        <w:rPr>
          <w:rFonts w:cs="Arial"/>
          <w:rtl/>
        </w:rPr>
        <w:t xml:space="preserve"> </w:t>
      </w:r>
      <w:r w:rsidRPr="00BE28BE">
        <w:rPr>
          <w:rFonts w:cs="Arial" w:hint="cs"/>
          <w:rtl/>
        </w:rPr>
        <w:t>יש</w:t>
      </w:r>
      <w:r w:rsidRPr="00BE28BE">
        <w:rPr>
          <w:rFonts w:cs="Arial"/>
          <w:rtl/>
        </w:rPr>
        <w:t xml:space="preserve"> </w:t>
      </w:r>
      <w:r w:rsidRPr="00BE28BE">
        <w:rPr>
          <w:rFonts w:cs="Arial" w:hint="cs"/>
          <w:rtl/>
        </w:rPr>
        <w:t>לכתוב</w:t>
      </w:r>
      <w:r w:rsidRPr="00BE28BE">
        <w:rPr>
          <w:rFonts w:cs="Arial"/>
          <w:rtl/>
        </w:rPr>
        <w:t xml:space="preserve"> </w:t>
      </w:r>
      <w:r w:rsidRPr="00BE28BE">
        <w:rPr>
          <w:rFonts w:cs="Arial" w:hint="cs"/>
          <w:rtl/>
        </w:rPr>
        <w:t>שניהן</w:t>
      </w:r>
      <w:r w:rsidRPr="00BE28BE">
        <w:rPr>
          <w:rFonts w:cs="Arial"/>
          <w:rtl/>
        </w:rPr>
        <w:t xml:space="preserve"> </w:t>
      </w:r>
      <w:r w:rsidRPr="00BE28BE">
        <w:rPr>
          <w:rFonts w:cs="Arial" w:hint="cs"/>
          <w:rtl/>
        </w:rPr>
        <w:t>בגט</w:t>
      </w:r>
      <w:r>
        <w:rPr>
          <w:rFonts w:cs="Arial" w:hint="cs"/>
          <w:rtl/>
        </w:rPr>
        <w:t>.</w:t>
      </w:r>
      <w:r w:rsidRPr="00BE28BE">
        <w:rPr>
          <w:rFonts w:cs="Arial"/>
          <w:rtl/>
        </w:rPr>
        <w:t xml:space="preserve"> </w:t>
      </w:r>
      <w:r w:rsidRPr="00BE28BE">
        <w:rPr>
          <w:rFonts w:cs="Arial" w:hint="cs"/>
          <w:rtl/>
        </w:rPr>
        <w:t>ואם</w:t>
      </w:r>
      <w:r w:rsidRPr="00BE28BE">
        <w:rPr>
          <w:rFonts w:cs="Arial"/>
          <w:rtl/>
        </w:rPr>
        <w:t xml:space="preserve"> </w:t>
      </w:r>
      <w:r w:rsidRPr="00BE28BE">
        <w:rPr>
          <w:rFonts w:cs="Arial" w:hint="cs"/>
          <w:rtl/>
        </w:rPr>
        <w:t>יש</w:t>
      </w:r>
      <w:r w:rsidRPr="00BE28BE">
        <w:rPr>
          <w:rFonts w:cs="Arial"/>
          <w:rtl/>
        </w:rPr>
        <w:t xml:space="preserve"> </w:t>
      </w:r>
      <w:r w:rsidRPr="00BE28BE">
        <w:rPr>
          <w:rFonts w:cs="Arial" w:hint="cs"/>
          <w:rtl/>
        </w:rPr>
        <w:t>ספק</w:t>
      </w:r>
      <w:r w:rsidRPr="00BE28BE">
        <w:rPr>
          <w:rFonts w:cs="Arial"/>
          <w:rtl/>
        </w:rPr>
        <w:t xml:space="preserve"> </w:t>
      </w:r>
      <w:r w:rsidRPr="00BE28BE">
        <w:rPr>
          <w:rFonts w:cs="Arial" w:hint="cs"/>
          <w:rtl/>
        </w:rPr>
        <w:t>בדבר</w:t>
      </w:r>
      <w:r w:rsidRPr="00BE28BE">
        <w:rPr>
          <w:rFonts w:cs="Arial"/>
          <w:rtl/>
        </w:rPr>
        <w:t xml:space="preserve"> </w:t>
      </w:r>
      <w:r w:rsidRPr="00BE28BE">
        <w:rPr>
          <w:rFonts w:cs="Arial" w:hint="cs"/>
          <w:rtl/>
        </w:rPr>
        <w:t>כגון</w:t>
      </w:r>
      <w:r w:rsidRPr="00BE28BE">
        <w:rPr>
          <w:rFonts w:cs="Arial"/>
          <w:rtl/>
        </w:rPr>
        <w:t xml:space="preserve"> </w:t>
      </w:r>
      <w:r w:rsidRPr="00BE28BE">
        <w:rPr>
          <w:rFonts w:cs="Arial" w:hint="cs"/>
          <w:rtl/>
        </w:rPr>
        <w:t>שקצת</w:t>
      </w:r>
      <w:r w:rsidRPr="00BE28BE">
        <w:rPr>
          <w:rFonts w:cs="Arial"/>
          <w:rtl/>
        </w:rPr>
        <w:t xml:space="preserve"> </w:t>
      </w:r>
      <w:r w:rsidRPr="00BE28BE">
        <w:rPr>
          <w:rFonts w:cs="Arial" w:hint="cs"/>
          <w:rtl/>
        </w:rPr>
        <w:t>בני</w:t>
      </w:r>
      <w:r w:rsidRPr="00BE28BE">
        <w:rPr>
          <w:rFonts w:cs="Arial"/>
          <w:rtl/>
        </w:rPr>
        <w:t xml:space="preserve"> </w:t>
      </w:r>
      <w:r w:rsidRPr="00BE28BE">
        <w:rPr>
          <w:rFonts w:cs="Arial" w:hint="cs"/>
          <w:rtl/>
        </w:rPr>
        <w:t>העיר</w:t>
      </w:r>
      <w:r w:rsidRPr="00BE28BE">
        <w:rPr>
          <w:rFonts w:cs="Arial"/>
          <w:rtl/>
        </w:rPr>
        <w:t xml:space="preserve"> </w:t>
      </w:r>
      <w:r w:rsidRPr="00BE28BE">
        <w:rPr>
          <w:rFonts w:cs="Arial" w:hint="cs"/>
          <w:rtl/>
        </w:rPr>
        <w:t>יקראו</w:t>
      </w:r>
      <w:r w:rsidRPr="00BE28BE">
        <w:rPr>
          <w:rFonts w:cs="Arial"/>
          <w:rtl/>
        </w:rPr>
        <w:t xml:space="preserve"> </w:t>
      </w:r>
      <w:r w:rsidRPr="00BE28BE">
        <w:rPr>
          <w:rFonts w:cs="Arial" w:hint="cs"/>
          <w:rtl/>
        </w:rPr>
        <w:t>למי</w:t>
      </w:r>
      <w:r w:rsidRPr="00BE28BE">
        <w:rPr>
          <w:rFonts w:cs="Arial"/>
          <w:rtl/>
        </w:rPr>
        <w:t xml:space="preserve"> </w:t>
      </w:r>
      <w:r w:rsidRPr="00BE28BE">
        <w:rPr>
          <w:rFonts w:cs="Arial" w:hint="cs"/>
          <w:rtl/>
        </w:rPr>
        <w:t>התערובות</w:t>
      </w:r>
      <w:r w:rsidRPr="00BE28BE">
        <w:rPr>
          <w:rFonts w:cs="Arial"/>
          <w:rtl/>
        </w:rPr>
        <w:t xml:space="preserve"> </w:t>
      </w:r>
      <w:r w:rsidRPr="00BE28BE">
        <w:rPr>
          <w:rFonts w:cs="Arial" w:hint="cs"/>
          <w:rtl/>
        </w:rPr>
        <w:t>בשם</w:t>
      </w:r>
      <w:r w:rsidRPr="00BE28BE">
        <w:rPr>
          <w:rFonts w:cs="Arial"/>
          <w:rtl/>
        </w:rPr>
        <w:t xml:space="preserve"> </w:t>
      </w:r>
      <w:r w:rsidRPr="00BE28BE">
        <w:rPr>
          <w:rFonts w:cs="Arial" w:hint="cs"/>
          <w:rtl/>
        </w:rPr>
        <w:t>איימונ</w:t>
      </w:r>
      <w:r w:rsidRPr="00BE28BE">
        <w:rPr>
          <w:rFonts w:cs="Arial"/>
          <w:rtl/>
        </w:rPr>
        <w:t>"</w:t>
      </w:r>
      <w:r w:rsidRPr="00BE28BE">
        <w:rPr>
          <w:rFonts w:cs="Arial" w:hint="cs"/>
          <w:rtl/>
        </w:rPr>
        <w:t>י</w:t>
      </w:r>
      <w:r w:rsidRPr="00BE28BE">
        <w:rPr>
          <w:rFonts w:cs="Arial"/>
          <w:rtl/>
        </w:rPr>
        <w:t xml:space="preserve"> </w:t>
      </w:r>
      <w:r w:rsidRPr="00BE28BE">
        <w:rPr>
          <w:rFonts w:cs="Arial" w:hint="cs"/>
          <w:rtl/>
        </w:rPr>
        <w:t>והשאר</w:t>
      </w:r>
      <w:r w:rsidRPr="00BE28BE">
        <w:rPr>
          <w:rFonts w:cs="Arial"/>
          <w:rtl/>
        </w:rPr>
        <w:t xml:space="preserve"> </w:t>
      </w:r>
      <w:r w:rsidRPr="00BE28BE">
        <w:rPr>
          <w:rFonts w:cs="Arial" w:hint="cs"/>
          <w:rtl/>
        </w:rPr>
        <w:t>יקראו</w:t>
      </w:r>
      <w:r w:rsidRPr="00BE28BE">
        <w:rPr>
          <w:rFonts w:cs="Arial"/>
          <w:rtl/>
        </w:rPr>
        <w:t xml:space="preserve"> </w:t>
      </w:r>
      <w:r w:rsidRPr="00BE28BE">
        <w:rPr>
          <w:rFonts w:cs="Arial" w:hint="cs"/>
          <w:rtl/>
        </w:rPr>
        <w:t>בשם</w:t>
      </w:r>
      <w:r w:rsidRPr="00BE28BE">
        <w:rPr>
          <w:rFonts w:cs="Arial"/>
          <w:rtl/>
        </w:rPr>
        <w:t xml:space="preserve"> </w:t>
      </w:r>
      <w:r w:rsidRPr="00BE28BE">
        <w:rPr>
          <w:rFonts w:cs="Arial" w:hint="cs"/>
          <w:rtl/>
        </w:rPr>
        <w:t>מרצאנ</w:t>
      </w:r>
      <w:r w:rsidRPr="00BE28BE">
        <w:rPr>
          <w:rFonts w:cs="Arial"/>
          <w:rtl/>
        </w:rPr>
        <w:t>"</w:t>
      </w:r>
      <w:r w:rsidRPr="00BE28BE">
        <w:rPr>
          <w:rFonts w:cs="Arial" w:hint="cs"/>
          <w:rtl/>
        </w:rPr>
        <w:t>ו</w:t>
      </w:r>
      <w:r w:rsidRPr="00BE28BE">
        <w:rPr>
          <w:rFonts w:cs="Arial"/>
          <w:rtl/>
        </w:rPr>
        <w:t xml:space="preserve"> </w:t>
      </w:r>
      <w:r w:rsidR="00A82951">
        <w:rPr>
          <w:rFonts w:cs="Arial" w:hint="cs"/>
          <w:rtl/>
        </w:rPr>
        <w:t>-</w:t>
      </w:r>
      <w:r>
        <w:rPr>
          <w:rFonts w:cs="Arial" w:hint="cs"/>
          <w:rtl/>
        </w:rPr>
        <w:t xml:space="preserve"> </w:t>
      </w:r>
      <w:r w:rsidRPr="00BE28BE">
        <w:rPr>
          <w:rFonts w:cs="Arial" w:hint="cs"/>
          <w:rtl/>
        </w:rPr>
        <w:t>אז</w:t>
      </w:r>
      <w:r w:rsidRPr="00BE28BE">
        <w:rPr>
          <w:rFonts w:cs="Arial"/>
          <w:rtl/>
        </w:rPr>
        <w:t xml:space="preserve"> </w:t>
      </w:r>
      <w:r w:rsidRPr="00BE28BE">
        <w:rPr>
          <w:rFonts w:cs="Arial" w:hint="cs"/>
          <w:rtl/>
        </w:rPr>
        <w:t>נראה</w:t>
      </w:r>
      <w:r w:rsidRPr="00BE28BE">
        <w:rPr>
          <w:rFonts w:cs="Arial"/>
          <w:rtl/>
        </w:rPr>
        <w:t xml:space="preserve"> </w:t>
      </w:r>
      <w:r w:rsidRPr="00BE28BE">
        <w:rPr>
          <w:rFonts w:cs="Arial" w:hint="cs"/>
          <w:rtl/>
        </w:rPr>
        <w:t>לעניות</w:t>
      </w:r>
      <w:r w:rsidRPr="00BE28BE">
        <w:rPr>
          <w:rFonts w:cs="Arial"/>
          <w:rtl/>
        </w:rPr>
        <w:t xml:space="preserve"> </w:t>
      </w:r>
      <w:r w:rsidRPr="00BE28BE">
        <w:rPr>
          <w:rFonts w:cs="Arial" w:hint="cs"/>
          <w:rtl/>
        </w:rPr>
        <w:t>דעתי</w:t>
      </w:r>
      <w:r w:rsidRPr="00BE28BE">
        <w:rPr>
          <w:rFonts w:cs="Arial"/>
          <w:rtl/>
        </w:rPr>
        <w:t xml:space="preserve"> </w:t>
      </w:r>
      <w:r w:rsidRPr="00BE28BE">
        <w:rPr>
          <w:rFonts w:cs="Arial" w:hint="cs"/>
          <w:rtl/>
        </w:rPr>
        <w:t>שאין</w:t>
      </w:r>
      <w:r w:rsidRPr="00BE28BE">
        <w:rPr>
          <w:rFonts w:cs="Arial"/>
          <w:rtl/>
        </w:rPr>
        <w:t xml:space="preserve"> </w:t>
      </w:r>
      <w:r w:rsidRPr="00BE28BE">
        <w:rPr>
          <w:rFonts w:cs="Arial" w:hint="cs"/>
          <w:rtl/>
        </w:rPr>
        <w:t>להזכיר</w:t>
      </w:r>
      <w:r w:rsidRPr="00BE28BE">
        <w:rPr>
          <w:rFonts w:cs="Arial"/>
          <w:rtl/>
        </w:rPr>
        <w:t xml:space="preserve"> </w:t>
      </w:r>
      <w:r w:rsidRPr="00BE28BE">
        <w:rPr>
          <w:rFonts w:cs="Arial" w:hint="cs"/>
          <w:rtl/>
        </w:rPr>
        <w:t>כי</w:t>
      </w:r>
      <w:r w:rsidRPr="00BE28BE">
        <w:rPr>
          <w:rFonts w:cs="Arial"/>
          <w:rtl/>
        </w:rPr>
        <w:t xml:space="preserve"> </w:t>
      </w:r>
      <w:r w:rsidRPr="00BE28BE">
        <w:rPr>
          <w:rFonts w:cs="Arial" w:hint="cs"/>
          <w:rtl/>
        </w:rPr>
        <w:t>אם</w:t>
      </w:r>
      <w:r w:rsidRPr="00BE28BE">
        <w:rPr>
          <w:rFonts w:cs="Arial"/>
          <w:rtl/>
        </w:rPr>
        <w:t xml:space="preserve"> </w:t>
      </w:r>
      <w:r w:rsidRPr="00BE28BE">
        <w:rPr>
          <w:rFonts w:cs="Arial" w:hint="cs"/>
          <w:rtl/>
        </w:rPr>
        <w:t>שם</w:t>
      </w:r>
      <w:r w:rsidRPr="00BE28BE">
        <w:rPr>
          <w:rFonts w:cs="Arial"/>
          <w:rtl/>
        </w:rPr>
        <w:t xml:space="preserve"> </w:t>
      </w:r>
      <w:r w:rsidRPr="00BE28BE">
        <w:rPr>
          <w:rFonts w:cs="Arial" w:hint="cs"/>
          <w:rtl/>
        </w:rPr>
        <w:lastRenderedPageBreak/>
        <w:t>איימונ</w:t>
      </w:r>
      <w:r w:rsidRPr="00BE28BE">
        <w:rPr>
          <w:rFonts w:cs="Arial"/>
          <w:rtl/>
        </w:rPr>
        <w:t>"</w:t>
      </w:r>
      <w:r w:rsidRPr="00BE28BE">
        <w:rPr>
          <w:rFonts w:cs="Arial" w:hint="cs"/>
          <w:rtl/>
        </w:rPr>
        <w:t>י</w:t>
      </w:r>
      <w:r>
        <w:rPr>
          <w:rFonts w:cs="Arial" w:hint="cs"/>
          <w:rtl/>
        </w:rPr>
        <w:t>,</w:t>
      </w:r>
      <w:r w:rsidRPr="00BE28BE">
        <w:rPr>
          <w:rFonts w:cs="Arial"/>
          <w:rtl/>
        </w:rPr>
        <w:t xml:space="preserve"> </w:t>
      </w:r>
      <w:r w:rsidRPr="00BE28BE">
        <w:rPr>
          <w:rFonts w:cs="Arial" w:hint="cs"/>
          <w:rtl/>
        </w:rPr>
        <w:t>שהוא</w:t>
      </w:r>
      <w:r w:rsidRPr="00BE28BE">
        <w:rPr>
          <w:rFonts w:cs="Arial"/>
          <w:rtl/>
        </w:rPr>
        <w:t xml:space="preserve"> </w:t>
      </w:r>
      <w:r w:rsidRPr="00BE28BE">
        <w:rPr>
          <w:rFonts w:cs="Arial" w:hint="cs"/>
          <w:rtl/>
        </w:rPr>
        <w:t>עיקר</w:t>
      </w:r>
      <w:r w:rsidRPr="00BE28BE">
        <w:rPr>
          <w:rFonts w:cs="Arial"/>
          <w:rtl/>
        </w:rPr>
        <w:t xml:space="preserve"> </w:t>
      </w:r>
      <w:r w:rsidRPr="00BE28BE">
        <w:rPr>
          <w:rFonts w:cs="Arial" w:hint="cs"/>
          <w:rtl/>
        </w:rPr>
        <w:t>סיפוק</w:t>
      </w:r>
      <w:r w:rsidRPr="00BE28BE">
        <w:rPr>
          <w:rFonts w:cs="Arial"/>
          <w:rtl/>
        </w:rPr>
        <w:t xml:space="preserve"> </w:t>
      </w:r>
      <w:r w:rsidRPr="00BE28BE">
        <w:rPr>
          <w:rFonts w:cs="Arial" w:hint="cs"/>
          <w:rtl/>
        </w:rPr>
        <w:t>מימיו</w:t>
      </w:r>
      <w:r>
        <w:rPr>
          <w:rFonts w:cs="Arial" w:hint="cs"/>
          <w:rtl/>
        </w:rPr>
        <w:t>.</w:t>
      </w:r>
      <w:r w:rsidRPr="00BE28BE">
        <w:rPr>
          <w:rFonts w:cs="Arial"/>
          <w:rtl/>
        </w:rPr>
        <w:t xml:space="preserve"> </w:t>
      </w:r>
      <w:r w:rsidRPr="00BE28BE">
        <w:rPr>
          <w:rFonts w:cs="Arial" w:hint="cs"/>
          <w:rtl/>
        </w:rPr>
        <w:t>וטוב</w:t>
      </w:r>
      <w:r w:rsidRPr="00BE28BE">
        <w:rPr>
          <w:rFonts w:cs="Arial"/>
          <w:rtl/>
        </w:rPr>
        <w:t xml:space="preserve"> </w:t>
      </w:r>
      <w:r w:rsidRPr="00BE28BE">
        <w:rPr>
          <w:rFonts w:cs="Arial" w:hint="cs"/>
          <w:rtl/>
        </w:rPr>
        <w:t>ליכנס</w:t>
      </w:r>
      <w:r w:rsidRPr="00BE28BE">
        <w:rPr>
          <w:rFonts w:cs="Arial"/>
          <w:rtl/>
        </w:rPr>
        <w:t xml:space="preserve"> </w:t>
      </w:r>
      <w:r w:rsidRPr="00BE28BE">
        <w:rPr>
          <w:rFonts w:cs="Arial" w:hint="cs"/>
          <w:rtl/>
        </w:rPr>
        <w:t>בספק</w:t>
      </w:r>
      <w:r w:rsidRPr="00BE28BE">
        <w:rPr>
          <w:rFonts w:cs="Arial"/>
          <w:rtl/>
        </w:rPr>
        <w:t xml:space="preserve"> </w:t>
      </w:r>
      <w:r w:rsidRPr="00BE28BE">
        <w:rPr>
          <w:rFonts w:cs="Arial" w:hint="cs"/>
          <w:rtl/>
        </w:rPr>
        <w:t>חיסור</w:t>
      </w:r>
      <w:r w:rsidRPr="00BE28BE">
        <w:rPr>
          <w:rFonts w:cs="Arial"/>
          <w:rtl/>
        </w:rPr>
        <w:t xml:space="preserve"> </w:t>
      </w:r>
      <w:r w:rsidRPr="00BE28BE">
        <w:rPr>
          <w:rFonts w:cs="Arial" w:hint="cs"/>
          <w:rtl/>
        </w:rPr>
        <w:t>מבספק</w:t>
      </w:r>
      <w:r w:rsidRPr="00BE28BE">
        <w:rPr>
          <w:rFonts w:cs="Arial"/>
          <w:rtl/>
        </w:rPr>
        <w:t xml:space="preserve"> </w:t>
      </w:r>
      <w:r w:rsidRPr="00BE28BE">
        <w:rPr>
          <w:rFonts w:cs="Arial" w:hint="cs"/>
          <w:rtl/>
        </w:rPr>
        <w:t>שינוי</w:t>
      </w:r>
      <w:r>
        <w:rPr>
          <w:rFonts w:cs="Arial" w:hint="cs"/>
          <w:rtl/>
        </w:rPr>
        <w:t>.</w:t>
      </w:r>
      <w:r w:rsidRPr="00BE28BE">
        <w:rPr>
          <w:rFonts w:cs="Arial"/>
          <w:rtl/>
        </w:rPr>
        <w:t xml:space="preserve"> </w:t>
      </w:r>
      <w:r w:rsidRPr="00BE28BE">
        <w:rPr>
          <w:rFonts w:cs="Arial" w:hint="cs"/>
          <w:rtl/>
        </w:rPr>
        <w:t>שבחסר</w:t>
      </w:r>
      <w:r w:rsidRPr="00BE28BE">
        <w:rPr>
          <w:rFonts w:cs="Arial"/>
          <w:rtl/>
        </w:rPr>
        <w:t xml:space="preserve"> </w:t>
      </w:r>
      <w:r w:rsidRPr="00BE28BE">
        <w:rPr>
          <w:rFonts w:cs="Arial" w:hint="cs"/>
          <w:rtl/>
        </w:rPr>
        <w:t>כשר</w:t>
      </w:r>
      <w:r w:rsidRPr="00BE28BE">
        <w:rPr>
          <w:rFonts w:cs="Arial"/>
          <w:rtl/>
        </w:rPr>
        <w:t xml:space="preserve"> </w:t>
      </w:r>
      <w:r w:rsidRPr="00BE28BE">
        <w:rPr>
          <w:rFonts w:cs="Arial" w:hint="cs"/>
          <w:rtl/>
        </w:rPr>
        <w:t>לכולי</w:t>
      </w:r>
      <w:r w:rsidRPr="00BE28BE">
        <w:rPr>
          <w:rFonts w:cs="Arial"/>
          <w:rtl/>
        </w:rPr>
        <w:t xml:space="preserve"> </w:t>
      </w:r>
      <w:r w:rsidRPr="00BE28BE">
        <w:rPr>
          <w:rFonts w:cs="Arial" w:hint="cs"/>
          <w:rtl/>
        </w:rPr>
        <w:t>עלמא</w:t>
      </w:r>
      <w:r w:rsidRPr="00BE28BE">
        <w:rPr>
          <w:rFonts w:cs="Arial"/>
          <w:rtl/>
        </w:rPr>
        <w:t xml:space="preserve"> </w:t>
      </w:r>
      <w:r w:rsidRPr="00BE28BE">
        <w:rPr>
          <w:rFonts w:cs="Arial" w:hint="cs"/>
          <w:rtl/>
        </w:rPr>
        <w:t>בדיעבד</w:t>
      </w:r>
      <w:r>
        <w:rPr>
          <w:rFonts w:cs="Arial" w:hint="cs"/>
          <w:rtl/>
        </w:rPr>
        <w:t>,</w:t>
      </w:r>
      <w:r w:rsidRPr="00BE28BE">
        <w:rPr>
          <w:rFonts w:cs="Arial"/>
          <w:rtl/>
        </w:rPr>
        <w:t xml:space="preserve"> </w:t>
      </w:r>
      <w:r w:rsidRPr="00BE28BE">
        <w:rPr>
          <w:rFonts w:cs="Arial" w:hint="cs"/>
          <w:rtl/>
        </w:rPr>
        <w:t>ובשינוי</w:t>
      </w:r>
      <w:r w:rsidRPr="00BE28BE">
        <w:rPr>
          <w:rFonts w:cs="Arial"/>
          <w:rtl/>
        </w:rPr>
        <w:t xml:space="preserve"> </w:t>
      </w:r>
      <w:r w:rsidRPr="00BE28BE">
        <w:rPr>
          <w:rFonts w:cs="Arial" w:hint="cs"/>
          <w:rtl/>
        </w:rPr>
        <w:t>יש</w:t>
      </w:r>
      <w:r w:rsidRPr="00BE28BE">
        <w:rPr>
          <w:rFonts w:cs="Arial"/>
          <w:rtl/>
        </w:rPr>
        <w:t xml:space="preserve"> </w:t>
      </w:r>
      <w:r w:rsidRPr="00BE28BE">
        <w:rPr>
          <w:rFonts w:cs="Arial" w:hint="cs"/>
          <w:rtl/>
        </w:rPr>
        <w:t>פוסלין</w:t>
      </w:r>
      <w:r w:rsidRPr="00BE28BE">
        <w:rPr>
          <w:rFonts w:cs="Arial"/>
          <w:rtl/>
        </w:rPr>
        <w:t xml:space="preserve"> </w:t>
      </w:r>
      <w:r w:rsidRPr="00BE28BE">
        <w:rPr>
          <w:rFonts w:cs="Arial" w:hint="cs"/>
          <w:rtl/>
        </w:rPr>
        <w:t>אפילו</w:t>
      </w:r>
      <w:r w:rsidRPr="00BE28BE">
        <w:rPr>
          <w:rFonts w:cs="Arial"/>
          <w:rtl/>
        </w:rPr>
        <w:t xml:space="preserve"> </w:t>
      </w:r>
      <w:r w:rsidRPr="00BE28BE">
        <w:rPr>
          <w:rFonts w:cs="Arial" w:hint="cs"/>
          <w:rtl/>
        </w:rPr>
        <w:t>בדבר</w:t>
      </w:r>
      <w:r w:rsidRPr="00BE28BE">
        <w:rPr>
          <w:rFonts w:cs="Arial"/>
          <w:rtl/>
        </w:rPr>
        <w:t xml:space="preserve"> </w:t>
      </w:r>
      <w:r w:rsidRPr="00BE28BE">
        <w:rPr>
          <w:rFonts w:cs="Arial" w:hint="cs"/>
          <w:rtl/>
        </w:rPr>
        <w:t>שאילו</w:t>
      </w:r>
      <w:r w:rsidRPr="00BE28BE">
        <w:rPr>
          <w:rFonts w:cs="Arial"/>
          <w:rtl/>
        </w:rPr>
        <w:t xml:space="preserve"> </w:t>
      </w:r>
      <w:r w:rsidRPr="00BE28BE">
        <w:rPr>
          <w:rFonts w:cs="Arial" w:hint="cs"/>
          <w:rtl/>
        </w:rPr>
        <w:t>חסרו</w:t>
      </w:r>
      <w:r w:rsidRPr="00BE28BE">
        <w:rPr>
          <w:rFonts w:cs="Arial"/>
          <w:rtl/>
        </w:rPr>
        <w:t xml:space="preserve"> </w:t>
      </w:r>
      <w:r w:rsidRPr="00BE28BE">
        <w:rPr>
          <w:rFonts w:cs="Arial" w:hint="cs"/>
          <w:rtl/>
        </w:rPr>
        <w:t>לא</w:t>
      </w:r>
      <w:r w:rsidRPr="00BE28BE">
        <w:rPr>
          <w:rFonts w:cs="Arial"/>
          <w:rtl/>
        </w:rPr>
        <w:t xml:space="preserve"> </w:t>
      </w:r>
      <w:r w:rsidRPr="00BE28BE">
        <w:rPr>
          <w:rFonts w:cs="Arial" w:hint="cs"/>
          <w:rtl/>
        </w:rPr>
        <w:t>נפסל</w:t>
      </w:r>
      <w:r w:rsidRPr="00BE28BE">
        <w:rPr>
          <w:rFonts w:cs="Arial"/>
          <w:rtl/>
        </w:rPr>
        <w:t xml:space="preserve"> </w:t>
      </w:r>
      <w:r w:rsidRPr="00BE28BE">
        <w:rPr>
          <w:rFonts w:cs="Arial" w:hint="cs"/>
          <w:rtl/>
        </w:rPr>
        <w:t>בכך</w:t>
      </w:r>
      <w:r>
        <w:rPr>
          <w:rStyle w:val="a7"/>
          <w:rFonts w:cs="Arial"/>
          <w:rtl/>
        </w:rPr>
        <w:footnoteReference w:id="1020"/>
      </w:r>
      <w:r w:rsidRPr="00BE28BE">
        <w:rPr>
          <w:rFonts w:cs="Arial"/>
          <w:rtl/>
        </w:rPr>
        <w:t>.</w:t>
      </w:r>
      <w:r>
        <w:rPr>
          <w:rFonts w:hint="cs"/>
          <w:rtl/>
        </w:rPr>
        <w:t xml:space="preserve"> </w:t>
      </w:r>
      <w:r w:rsidRPr="00A81F1E">
        <w:rPr>
          <w:rFonts w:hint="cs"/>
          <w:color w:val="00B0F0"/>
          <w:rtl/>
        </w:rPr>
        <w:t>(וכ"פ הרמ"א)</w:t>
      </w:r>
    </w:p>
    <w:p w14:paraId="7BD4708D"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FEED5FF" w14:textId="77777777" w:rsidR="00FA2119" w:rsidRDefault="00FA2119" w:rsidP="00FA2119">
      <w:pPr>
        <w:rPr>
          <w:rFonts w:cs="Arial"/>
          <w:sz w:val="18"/>
          <w:szCs w:val="18"/>
          <w:rtl/>
        </w:rPr>
      </w:pPr>
      <w:r>
        <w:rPr>
          <w:rFonts w:cs="Arial" w:hint="cs"/>
          <w:rtl/>
        </w:rPr>
        <w:t>עיר</w:t>
      </w:r>
      <w:r>
        <w:rPr>
          <w:rFonts w:cs="Arial"/>
          <w:rtl/>
        </w:rPr>
        <w:t xml:space="preserve"> </w:t>
      </w:r>
      <w:r>
        <w:rPr>
          <w:rFonts w:cs="Arial" w:hint="cs"/>
          <w:rtl/>
        </w:rPr>
        <w:t>שאין</w:t>
      </w:r>
      <w:r>
        <w:rPr>
          <w:rFonts w:cs="Arial"/>
          <w:rtl/>
        </w:rPr>
        <w:t xml:space="preserve"> </w:t>
      </w:r>
      <w:r>
        <w:rPr>
          <w:rFonts w:cs="Arial" w:hint="cs"/>
          <w:rtl/>
        </w:rPr>
        <w:t>בה</w:t>
      </w:r>
      <w:r>
        <w:rPr>
          <w:rFonts w:cs="Arial"/>
          <w:rtl/>
        </w:rPr>
        <w:t xml:space="preserve"> </w:t>
      </w:r>
      <w:r>
        <w:rPr>
          <w:rFonts w:cs="Arial" w:hint="cs"/>
          <w:rtl/>
        </w:rPr>
        <w:t>אלא</w:t>
      </w:r>
      <w:r>
        <w:rPr>
          <w:rFonts w:cs="Arial"/>
          <w:rtl/>
        </w:rPr>
        <w:t xml:space="preserve"> </w:t>
      </w:r>
      <w:r>
        <w:rPr>
          <w:rFonts w:cs="Arial" w:hint="cs"/>
          <w:rtl/>
        </w:rPr>
        <w:t>בורות</w:t>
      </w:r>
      <w:r>
        <w:rPr>
          <w:rFonts w:cs="Arial"/>
          <w:rtl/>
        </w:rPr>
        <w:t xml:space="preserve"> </w:t>
      </w:r>
      <w:r>
        <w:rPr>
          <w:rFonts w:cs="Arial" w:hint="cs"/>
          <w:rtl/>
        </w:rPr>
        <w:t>ואגמים</w:t>
      </w:r>
      <w:r>
        <w:rPr>
          <w:rFonts w:cs="Arial"/>
          <w:rtl/>
        </w:rPr>
        <w:t xml:space="preserve">, </w:t>
      </w:r>
      <w:r>
        <w:rPr>
          <w:rFonts w:cs="Arial" w:hint="cs"/>
          <w:rtl/>
        </w:rPr>
        <w:t>לא</w:t>
      </w:r>
      <w:r>
        <w:rPr>
          <w:rFonts w:cs="Arial"/>
          <w:rtl/>
        </w:rPr>
        <w:t xml:space="preserve"> </w:t>
      </w:r>
      <w:r>
        <w:rPr>
          <w:rFonts w:cs="Arial" w:hint="cs"/>
          <w:rtl/>
        </w:rPr>
        <w:t>יזכירם</w:t>
      </w:r>
      <w:r>
        <w:rPr>
          <w:rFonts w:cs="Arial"/>
          <w:rtl/>
        </w:rPr>
        <w:t xml:space="preserve"> </w:t>
      </w:r>
      <w:r>
        <w:rPr>
          <w:rFonts w:cs="Arial" w:hint="cs"/>
          <w:rtl/>
        </w:rPr>
        <w:t>כלל</w:t>
      </w:r>
      <w:r>
        <w:rPr>
          <w:rFonts w:cs="Arial"/>
          <w:rtl/>
        </w:rPr>
        <w:t xml:space="preserve">, </w:t>
      </w:r>
      <w:r>
        <w:rPr>
          <w:rFonts w:cs="Arial" w:hint="cs"/>
          <w:rtl/>
        </w:rPr>
        <w:t>שלא</w:t>
      </w:r>
      <w:r>
        <w:rPr>
          <w:rFonts w:cs="Arial"/>
          <w:rtl/>
        </w:rPr>
        <w:t xml:space="preserve"> </w:t>
      </w:r>
      <w:r>
        <w:rPr>
          <w:rFonts w:cs="Arial" w:hint="cs"/>
          <w:rtl/>
        </w:rPr>
        <w:t>לחלק</w:t>
      </w:r>
      <w:r>
        <w:rPr>
          <w:rFonts w:cs="Arial"/>
          <w:rtl/>
        </w:rPr>
        <w:t xml:space="preserve"> </w:t>
      </w:r>
      <w:r>
        <w:rPr>
          <w:rFonts w:cs="Arial" w:hint="cs"/>
          <w:rtl/>
        </w:rPr>
        <w:t>בין</w:t>
      </w:r>
      <w:r>
        <w:rPr>
          <w:rFonts w:cs="Arial"/>
          <w:rtl/>
        </w:rPr>
        <w:t xml:space="preserve"> </w:t>
      </w:r>
      <w:r>
        <w:rPr>
          <w:rFonts w:cs="Arial" w:hint="cs"/>
          <w:rtl/>
        </w:rPr>
        <w:t>גיטין</w:t>
      </w:r>
      <w:r>
        <w:rPr>
          <w:rFonts w:cs="Arial"/>
          <w:rtl/>
        </w:rPr>
        <w:t xml:space="preserve"> </w:t>
      </w:r>
      <w:r>
        <w:rPr>
          <w:rFonts w:cs="Arial" w:hint="cs"/>
          <w:rtl/>
        </w:rPr>
        <w:t>שנכתבו</w:t>
      </w:r>
      <w:r>
        <w:rPr>
          <w:rFonts w:cs="Arial"/>
          <w:rtl/>
        </w:rPr>
        <w:t xml:space="preserve"> </w:t>
      </w:r>
      <w:r>
        <w:rPr>
          <w:rFonts w:cs="Arial" w:hint="cs"/>
          <w:rtl/>
        </w:rPr>
        <w:t>קודם</w:t>
      </w:r>
      <w:r>
        <w:rPr>
          <w:rFonts w:cs="Arial"/>
          <w:rtl/>
        </w:rPr>
        <w:t xml:space="preserve"> </w:t>
      </w:r>
      <w:r>
        <w:rPr>
          <w:rFonts w:cs="Arial" w:hint="cs"/>
          <w:rtl/>
        </w:rPr>
        <w:t>שנעשו</w:t>
      </w:r>
      <w:r>
        <w:rPr>
          <w:rFonts w:cs="Arial"/>
          <w:rtl/>
        </w:rPr>
        <w:t xml:space="preserve"> </w:t>
      </w:r>
      <w:r>
        <w:rPr>
          <w:rFonts w:cs="Arial" w:hint="cs"/>
          <w:rtl/>
        </w:rPr>
        <w:t>לנכתבו</w:t>
      </w:r>
      <w:r>
        <w:rPr>
          <w:rFonts w:cs="Arial"/>
          <w:rtl/>
        </w:rPr>
        <w:t xml:space="preserve"> </w:t>
      </w:r>
      <w:r>
        <w:rPr>
          <w:rFonts w:cs="Arial" w:hint="cs"/>
          <w:rtl/>
        </w:rPr>
        <w:t>אחר</w:t>
      </w:r>
      <w:r>
        <w:rPr>
          <w:rFonts w:cs="Arial"/>
          <w:rtl/>
        </w:rPr>
        <w:t xml:space="preserve"> </w:t>
      </w:r>
      <w:r>
        <w:rPr>
          <w:rFonts w:cs="Arial" w:hint="cs"/>
          <w:rtl/>
        </w:rPr>
        <w:t>שנעשו</w:t>
      </w:r>
      <w:r>
        <w:rPr>
          <w:rFonts w:cs="Arial"/>
          <w:rtl/>
        </w:rPr>
        <w:t xml:space="preserve">. </w:t>
      </w:r>
      <w:r w:rsidRPr="00656810">
        <w:rPr>
          <w:rFonts w:cs="Arial" w:hint="cs"/>
          <w:sz w:val="18"/>
          <w:szCs w:val="18"/>
          <w:rtl/>
        </w:rPr>
        <w:t>הגה</w:t>
      </w:r>
      <w:r w:rsidRPr="00656810">
        <w:rPr>
          <w:rFonts w:cs="Arial"/>
          <w:sz w:val="18"/>
          <w:szCs w:val="18"/>
          <w:rtl/>
        </w:rPr>
        <w:t xml:space="preserve">: </w:t>
      </w:r>
      <w:r w:rsidRPr="00656810">
        <w:rPr>
          <w:rFonts w:cs="Arial" w:hint="cs"/>
          <w:sz w:val="18"/>
          <w:szCs w:val="18"/>
          <w:rtl/>
        </w:rPr>
        <w:t>שתי</w:t>
      </w:r>
      <w:r w:rsidRPr="00656810">
        <w:rPr>
          <w:rFonts w:cs="Arial"/>
          <w:sz w:val="18"/>
          <w:szCs w:val="18"/>
          <w:rtl/>
        </w:rPr>
        <w:t xml:space="preserve"> </w:t>
      </w:r>
      <w:r w:rsidRPr="00656810">
        <w:rPr>
          <w:rFonts w:cs="Arial" w:hint="cs"/>
          <w:sz w:val="18"/>
          <w:szCs w:val="18"/>
          <w:rtl/>
        </w:rPr>
        <w:t>נהרות</w:t>
      </w:r>
      <w:r w:rsidRPr="00656810">
        <w:rPr>
          <w:rFonts w:cs="Arial"/>
          <w:sz w:val="18"/>
          <w:szCs w:val="18"/>
          <w:rtl/>
        </w:rPr>
        <w:t xml:space="preserve"> </w:t>
      </w:r>
      <w:r w:rsidRPr="00656810">
        <w:rPr>
          <w:rFonts w:cs="Arial" w:hint="cs"/>
          <w:sz w:val="18"/>
          <w:szCs w:val="18"/>
          <w:rtl/>
        </w:rPr>
        <w:t>השופכין</w:t>
      </w:r>
      <w:r w:rsidRPr="00656810">
        <w:rPr>
          <w:rFonts w:cs="Arial"/>
          <w:sz w:val="18"/>
          <w:szCs w:val="18"/>
          <w:rtl/>
        </w:rPr>
        <w:t xml:space="preserve"> </w:t>
      </w:r>
      <w:r w:rsidRPr="00656810">
        <w:rPr>
          <w:rFonts w:cs="Arial" w:hint="cs"/>
          <w:sz w:val="18"/>
          <w:szCs w:val="18"/>
          <w:rtl/>
        </w:rPr>
        <w:t>זו</w:t>
      </w:r>
      <w:r w:rsidRPr="00656810">
        <w:rPr>
          <w:rFonts w:cs="Arial"/>
          <w:sz w:val="18"/>
          <w:szCs w:val="18"/>
          <w:rtl/>
        </w:rPr>
        <w:t xml:space="preserve"> </w:t>
      </w:r>
      <w:r w:rsidRPr="00656810">
        <w:rPr>
          <w:rFonts w:cs="Arial" w:hint="cs"/>
          <w:sz w:val="18"/>
          <w:szCs w:val="18"/>
          <w:rtl/>
        </w:rPr>
        <w:t>לזו</w:t>
      </w:r>
      <w:r w:rsidRPr="00656810">
        <w:rPr>
          <w:rFonts w:cs="Arial"/>
          <w:sz w:val="18"/>
          <w:szCs w:val="18"/>
          <w:rtl/>
        </w:rPr>
        <w:t xml:space="preserve">, </w:t>
      </w:r>
      <w:r w:rsidRPr="00656810">
        <w:rPr>
          <w:rFonts w:cs="Arial" w:hint="cs"/>
          <w:sz w:val="18"/>
          <w:szCs w:val="18"/>
          <w:rtl/>
        </w:rPr>
        <w:t>אם</w:t>
      </w:r>
      <w:r w:rsidRPr="00656810">
        <w:rPr>
          <w:rFonts w:cs="Arial"/>
          <w:sz w:val="18"/>
          <w:szCs w:val="18"/>
          <w:rtl/>
        </w:rPr>
        <w:t xml:space="preserve"> </w:t>
      </w:r>
      <w:r w:rsidRPr="00656810">
        <w:rPr>
          <w:rFonts w:cs="Arial" w:hint="cs"/>
          <w:sz w:val="18"/>
          <w:szCs w:val="18"/>
          <w:rtl/>
        </w:rPr>
        <w:t>קרוב</w:t>
      </w:r>
      <w:r w:rsidRPr="00656810">
        <w:rPr>
          <w:rFonts w:cs="Arial"/>
          <w:sz w:val="18"/>
          <w:szCs w:val="18"/>
          <w:rtl/>
        </w:rPr>
        <w:t xml:space="preserve"> </w:t>
      </w:r>
      <w:r w:rsidRPr="00656810">
        <w:rPr>
          <w:rFonts w:cs="Arial" w:hint="cs"/>
          <w:sz w:val="18"/>
          <w:szCs w:val="18"/>
          <w:rtl/>
        </w:rPr>
        <w:t>לעיר</w:t>
      </w:r>
      <w:r w:rsidRPr="00656810">
        <w:rPr>
          <w:rFonts w:cs="Arial"/>
          <w:sz w:val="18"/>
          <w:szCs w:val="18"/>
          <w:rtl/>
        </w:rPr>
        <w:t xml:space="preserve"> </w:t>
      </w:r>
      <w:r w:rsidRPr="00656810">
        <w:rPr>
          <w:rFonts w:cs="Arial" w:hint="cs"/>
          <w:sz w:val="18"/>
          <w:szCs w:val="18"/>
          <w:rtl/>
        </w:rPr>
        <w:t>אבד</w:t>
      </w:r>
      <w:r w:rsidRPr="00656810">
        <w:rPr>
          <w:rFonts w:cs="Arial"/>
          <w:sz w:val="18"/>
          <w:szCs w:val="18"/>
          <w:rtl/>
        </w:rPr>
        <w:t xml:space="preserve"> </w:t>
      </w:r>
      <w:r w:rsidRPr="00656810">
        <w:rPr>
          <w:rFonts w:cs="Arial" w:hint="cs"/>
          <w:sz w:val="18"/>
          <w:szCs w:val="18"/>
          <w:rtl/>
        </w:rPr>
        <w:t>אחד</w:t>
      </w:r>
      <w:r w:rsidRPr="00656810">
        <w:rPr>
          <w:rFonts w:cs="Arial"/>
          <w:sz w:val="18"/>
          <w:szCs w:val="18"/>
          <w:rtl/>
        </w:rPr>
        <w:t xml:space="preserve"> </w:t>
      </w:r>
      <w:r w:rsidRPr="00656810">
        <w:rPr>
          <w:rFonts w:cs="Arial" w:hint="cs"/>
          <w:sz w:val="18"/>
          <w:szCs w:val="18"/>
          <w:rtl/>
        </w:rPr>
        <w:t>שמו</w:t>
      </w:r>
      <w:r>
        <w:rPr>
          <w:rStyle w:val="a7"/>
          <w:rFonts w:cs="Arial"/>
          <w:sz w:val="18"/>
          <w:szCs w:val="18"/>
          <w:rtl/>
        </w:rPr>
        <w:footnoteReference w:id="1021"/>
      </w:r>
      <w:r w:rsidRPr="00656810">
        <w:rPr>
          <w:rFonts w:cs="Arial"/>
          <w:sz w:val="18"/>
          <w:szCs w:val="18"/>
          <w:rtl/>
        </w:rPr>
        <w:t xml:space="preserve">, </w:t>
      </w:r>
      <w:r w:rsidRPr="00656810">
        <w:rPr>
          <w:rFonts w:cs="Arial" w:hint="cs"/>
          <w:sz w:val="18"/>
          <w:szCs w:val="18"/>
          <w:rtl/>
        </w:rPr>
        <w:t>אין</w:t>
      </w:r>
      <w:r w:rsidRPr="00656810">
        <w:rPr>
          <w:rFonts w:cs="Arial"/>
          <w:sz w:val="18"/>
          <w:szCs w:val="18"/>
          <w:rtl/>
        </w:rPr>
        <w:t xml:space="preserve"> </w:t>
      </w:r>
      <w:r w:rsidRPr="00656810">
        <w:rPr>
          <w:rFonts w:cs="Arial" w:hint="cs"/>
          <w:sz w:val="18"/>
          <w:szCs w:val="18"/>
          <w:rtl/>
        </w:rPr>
        <w:t>כותבין</w:t>
      </w:r>
      <w:r w:rsidRPr="00656810">
        <w:rPr>
          <w:rFonts w:cs="Arial"/>
          <w:sz w:val="18"/>
          <w:szCs w:val="18"/>
          <w:rtl/>
        </w:rPr>
        <w:t xml:space="preserve"> </w:t>
      </w:r>
      <w:r w:rsidRPr="00656810">
        <w:rPr>
          <w:rFonts w:cs="Arial" w:hint="cs"/>
          <w:sz w:val="18"/>
          <w:szCs w:val="18"/>
          <w:rtl/>
        </w:rPr>
        <w:t>אלא</w:t>
      </w:r>
      <w:r w:rsidRPr="00656810">
        <w:rPr>
          <w:rFonts w:cs="Arial"/>
          <w:sz w:val="18"/>
          <w:szCs w:val="18"/>
          <w:rtl/>
        </w:rPr>
        <w:t xml:space="preserve"> </w:t>
      </w:r>
      <w:r w:rsidRPr="00656810">
        <w:rPr>
          <w:rFonts w:cs="Arial" w:hint="cs"/>
          <w:sz w:val="18"/>
          <w:szCs w:val="18"/>
          <w:rtl/>
        </w:rPr>
        <w:t>האחד</w:t>
      </w:r>
      <w:r w:rsidRPr="00656810">
        <w:rPr>
          <w:rFonts w:cs="Arial"/>
          <w:sz w:val="18"/>
          <w:szCs w:val="18"/>
          <w:rtl/>
        </w:rPr>
        <w:t xml:space="preserve">. </w:t>
      </w:r>
      <w:r w:rsidRPr="00656810">
        <w:rPr>
          <w:rFonts w:cs="Arial" w:hint="cs"/>
          <w:sz w:val="18"/>
          <w:szCs w:val="18"/>
          <w:rtl/>
        </w:rPr>
        <w:t>ואם</w:t>
      </w:r>
      <w:r w:rsidRPr="00656810">
        <w:rPr>
          <w:rFonts w:cs="Arial"/>
          <w:sz w:val="18"/>
          <w:szCs w:val="18"/>
          <w:rtl/>
        </w:rPr>
        <w:t xml:space="preserve"> </w:t>
      </w:r>
      <w:r w:rsidRPr="00656810">
        <w:rPr>
          <w:rFonts w:cs="Arial" w:hint="cs"/>
          <w:sz w:val="18"/>
          <w:szCs w:val="18"/>
          <w:rtl/>
        </w:rPr>
        <w:t>שם</w:t>
      </w:r>
      <w:r w:rsidRPr="00656810">
        <w:rPr>
          <w:rFonts w:cs="Arial"/>
          <w:sz w:val="18"/>
          <w:szCs w:val="18"/>
          <w:rtl/>
        </w:rPr>
        <w:t xml:space="preserve"> </w:t>
      </w:r>
      <w:r w:rsidRPr="00656810">
        <w:rPr>
          <w:rFonts w:cs="Arial" w:hint="cs"/>
          <w:sz w:val="18"/>
          <w:szCs w:val="18"/>
          <w:rtl/>
        </w:rPr>
        <w:t>שניהם</w:t>
      </w:r>
      <w:r w:rsidRPr="00656810">
        <w:rPr>
          <w:rFonts w:cs="Arial"/>
          <w:sz w:val="18"/>
          <w:szCs w:val="18"/>
          <w:rtl/>
        </w:rPr>
        <w:t xml:space="preserve"> </w:t>
      </w:r>
      <w:r w:rsidRPr="00656810">
        <w:rPr>
          <w:rFonts w:cs="Arial" w:hint="cs"/>
          <w:sz w:val="18"/>
          <w:szCs w:val="18"/>
          <w:rtl/>
        </w:rPr>
        <w:t>עליהם</w:t>
      </w:r>
      <w:r w:rsidRPr="00656810">
        <w:rPr>
          <w:rFonts w:cs="Arial"/>
          <w:sz w:val="18"/>
          <w:szCs w:val="18"/>
          <w:rtl/>
        </w:rPr>
        <w:t xml:space="preserve">, </w:t>
      </w:r>
      <w:r w:rsidRPr="00656810">
        <w:rPr>
          <w:rFonts w:cs="Arial" w:hint="cs"/>
          <w:sz w:val="18"/>
          <w:szCs w:val="18"/>
          <w:rtl/>
        </w:rPr>
        <w:t>כותבין</w:t>
      </w:r>
      <w:r w:rsidRPr="00656810">
        <w:rPr>
          <w:rFonts w:cs="Arial"/>
          <w:sz w:val="18"/>
          <w:szCs w:val="18"/>
          <w:rtl/>
        </w:rPr>
        <w:t xml:space="preserve"> </w:t>
      </w:r>
      <w:r w:rsidRPr="00656810">
        <w:rPr>
          <w:rFonts w:cs="Arial" w:hint="cs"/>
          <w:sz w:val="18"/>
          <w:szCs w:val="18"/>
          <w:rtl/>
        </w:rPr>
        <w:t>שניהם</w:t>
      </w:r>
      <w:r w:rsidRPr="00656810">
        <w:rPr>
          <w:rFonts w:cs="Arial"/>
          <w:sz w:val="18"/>
          <w:szCs w:val="18"/>
          <w:rtl/>
        </w:rPr>
        <w:t xml:space="preserve">. </w:t>
      </w:r>
      <w:r w:rsidRPr="00656810">
        <w:rPr>
          <w:rFonts w:cs="Arial" w:hint="cs"/>
          <w:sz w:val="18"/>
          <w:szCs w:val="18"/>
          <w:rtl/>
        </w:rPr>
        <w:t>ואם</w:t>
      </w:r>
      <w:r w:rsidRPr="00656810">
        <w:rPr>
          <w:rFonts w:cs="Arial"/>
          <w:sz w:val="18"/>
          <w:szCs w:val="18"/>
          <w:rtl/>
        </w:rPr>
        <w:t xml:space="preserve"> </w:t>
      </w:r>
      <w:r w:rsidRPr="00656810">
        <w:rPr>
          <w:rFonts w:cs="Arial" w:hint="cs"/>
          <w:sz w:val="18"/>
          <w:szCs w:val="18"/>
          <w:rtl/>
        </w:rPr>
        <w:t>יש</w:t>
      </w:r>
      <w:r w:rsidRPr="00656810">
        <w:rPr>
          <w:rFonts w:cs="Arial"/>
          <w:sz w:val="18"/>
          <w:szCs w:val="18"/>
          <w:rtl/>
        </w:rPr>
        <w:t xml:space="preserve"> </w:t>
      </w:r>
      <w:r w:rsidRPr="00656810">
        <w:rPr>
          <w:rFonts w:cs="Arial" w:hint="cs"/>
          <w:sz w:val="18"/>
          <w:szCs w:val="18"/>
          <w:rtl/>
        </w:rPr>
        <w:t>ספק</w:t>
      </w:r>
      <w:r w:rsidRPr="00656810">
        <w:rPr>
          <w:rFonts w:cs="Arial"/>
          <w:sz w:val="18"/>
          <w:szCs w:val="18"/>
          <w:rtl/>
        </w:rPr>
        <w:t xml:space="preserve"> </w:t>
      </w:r>
      <w:r w:rsidRPr="00656810">
        <w:rPr>
          <w:rFonts w:cs="Arial" w:hint="cs"/>
          <w:sz w:val="18"/>
          <w:szCs w:val="18"/>
          <w:rtl/>
        </w:rPr>
        <w:t>בדבר</w:t>
      </w:r>
      <w:r w:rsidRPr="00656810">
        <w:rPr>
          <w:rFonts w:cs="Arial"/>
          <w:sz w:val="18"/>
          <w:szCs w:val="18"/>
          <w:rtl/>
        </w:rPr>
        <w:t xml:space="preserve">, </w:t>
      </w:r>
      <w:r w:rsidRPr="00656810">
        <w:rPr>
          <w:rFonts w:cs="Arial" w:hint="cs"/>
          <w:sz w:val="18"/>
          <w:szCs w:val="18"/>
          <w:rtl/>
        </w:rPr>
        <w:t>אין</w:t>
      </w:r>
      <w:r w:rsidRPr="00656810">
        <w:rPr>
          <w:rFonts w:cs="Arial"/>
          <w:sz w:val="18"/>
          <w:szCs w:val="18"/>
          <w:rtl/>
        </w:rPr>
        <w:t xml:space="preserve"> </w:t>
      </w:r>
      <w:r w:rsidRPr="00656810">
        <w:rPr>
          <w:rFonts w:cs="Arial" w:hint="cs"/>
          <w:sz w:val="18"/>
          <w:szCs w:val="18"/>
          <w:rtl/>
        </w:rPr>
        <w:t>כותבין</w:t>
      </w:r>
      <w:r w:rsidRPr="00656810">
        <w:rPr>
          <w:rFonts w:cs="Arial"/>
          <w:sz w:val="18"/>
          <w:szCs w:val="18"/>
          <w:rtl/>
        </w:rPr>
        <w:t xml:space="preserve"> </w:t>
      </w:r>
      <w:r w:rsidRPr="00656810">
        <w:rPr>
          <w:rFonts w:cs="Arial" w:hint="cs"/>
          <w:sz w:val="18"/>
          <w:szCs w:val="18"/>
          <w:rtl/>
        </w:rPr>
        <w:t>אלא</w:t>
      </w:r>
      <w:r w:rsidRPr="00656810">
        <w:rPr>
          <w:rFonts w:cs="Arial"/>
          <w:sz w:val="18"/>
          <w:szCs w:val="18"/>
          <w:rtl/>
        </w:rPr>
        <w:t xml:space="preserve"> </w:t>
      </w:r>
      <w:r w:rsidRPr="00656810">
        <w:rPr>
          <w:rFonts w:cs="Arial" w:hint="cs"/>
          <w:sz w:val="18"/>
          <w:szCs w:val="18"/>
          <w:rtl/>
        </w:rPr>
        <w:t>אחד</w:t>
      </w:r>
      <w:r w:rsidRPr="00656810">
        <w:rPr>
          <w:rFonts w:cs="Arial"/>
          <w:sz w:val="18"/>
          <w:szCs w:val="18"/>
          <w:rtl/>
        </w:rPr>
        <w:t xml:space="preserve">. </w:t>
      </w:r>
      <w:r w:rsidRPr="00656810">
        <w:rPr>
          <w:rFonts w:cs="Arial" w:hint="cs"/>
          <w:sz w:val="18"/>
          <w:szCs w:val="18"/>
          <w:rtl/>
        </w:rPr>
        <w:t>וכן</w:t>
      </w:r>
      <w:r w:rsidRPr="00656810">
        <w:rPr>
          <w:rFonts w:cs="Arial"/>
          <w:sz w:val="18"/>
          <w:szCs w:val="18"/>
          <w:rtl/>
        </w:rPr>
        <w:t xml:space="preserve"> </w:t>
      </w:r>
      <w:r w:rsidRPr="00656810">
        <w:rPr>
          <w:rFonts w:cs="Arial" w:hint="cs"/>
          <w:sz w:val="18"/>
          <w:szCs w:val="18"/>
          <w:rtl/>
        </w:rPr>
        <w:t>תמיד</w:t>
      </w:r>
      <w:r w:rsidRPr="00656810">
        <w:rPr>
          <w:rFonts w:cs="Arial"/>
          <w:sz w:val="18"/>
          <w:szCs w:val="18"/>
          <w:rtl/>
        </w:rPr>
        <w:t xml:space="preserve">, </w:t>
      </w:r>
      <w:r w:rsidRPr="00656810">
        <w:rPr>
          <w:rFonts w:cs="Arial" w:hint="cs"/>
          <w:sz w:val="18"/>
          <w:szCs w:val="18"/>
          <w:rtl/>
        </w:rPr>
        <w:t>יותר</w:t>
      </w:r>
      <w:r w:rsidRPr="00656810">
        <w:rPr>
          <w:rFonts w:cs="Arial"/>
          <w:sz w:val="18"/>
          <w:szCs w:val="18"/>
          <w:rtl/>
        </w:rPr>
        <w:t xml:space="preserve"> </w:t>
      </w:r>
      <w:r w:rsidRPr="00656810">
        <w:rPr>
          <w:rFonts w:cs="Arial" w:hint="cs"/>
          <w:sz w:val="18"/>
          <w:szCs w:val="18"/>
          <w:rtl/>
        </w:rPr>
        <w:t>יש</w:t>
      </w:r>
      <w:r w:rsidRPr="00656810">
        <w:rPr>
          <w:rFonts w:cs="Arial"/>
          <w:sz w:val="18"/>
          <w:szCs w:val="18"/>
          <w:rtl/>
        </w:rPr>
        <w:t xml:space="preserve"> </w:t>
      </w:r>
      <w:r w:rsidRPr="00656810">
        <w:rPr>
          <w:rFonts w:cs="Arial" w:hint="cs"/>
          <w:sz w:val="18"/>
          <w:szCs w:val="18"/>
          <w:rtl/>
        </w:rPr>
        <w:t>ליכנס</w:t>
      </w:r>
      <w:r w:rsidRPr="00656810">
        <w:rPr>
          <w:rFonts w:cs="Arial"/>
          <w:sz w:val="18"/>
          <w:szCs w:val="18"/>
          <w:rtl/>
        </w:rPr>
        <w:t xml:space="preserve"> </w:t>
      </w:r>
      <w:r w:rsidRPr="00656810">
        <w:rPr>
          <w:rFonts w:cs="Arial" w:hint="cs"/>
          <w:sz w:val="18"/>
          <w:szCs w:val="18"/>
          <w:rtl/>
        </w:rPr>
        <w:t>לספק</w:t>
      </w:r>
      <w:r w:rsidRPr="00656810">
        <w:rPr>
          <w:rFonts w:cs="Arial"/>
          <w:sz w:val="18"/>
          <w:szCs w:val="18"/>
          <w:rtl/>
        </w:rPr>
        <w:t xml:space="preserve"> </w:t>
      </w:r>
      <w:r w:rsidRPr="00656810">
        <w:rPr>
          <w:rFonts w:cs="Arial" w:hint="cs"/>
          <w:sz w:val="18"/>
          <w:szCs w:val="18"/>
          <w:rtl/>
        </w:rPr>
        <w:t>חסרון</w:t>
      </w:r>
      <w:r w:rsidRPr="00656810">
        <w:rPr>
          <w:rFonts w:cs="Arial"/>
          <w:sz w:val="18"/>
          <w:szCs w:val="18"/>
          <w:rtl/>
        </w:rPr>
        <w:t xml:space="preserve"> </w:t>
      </w:r>
      <w:r w:rsidRPr="00656810">
        <w:rPr>
          <w:rFonts w:cs="Arial" w:hint="cs"/>
          <w:sz w:val="18"/>
          <w:szCs w:val="18"/>
          <w:rtl/>
        </w:rPr>
        <w:t>מלספק</w:t>
      </w:r>
      <w:r w:rsidRPr="00656810">
        <w:rPr>
          <w:rFonts w:cs="Arial"/>
          <w:sz w:val="18"/>
          <w:szCs w:val="18"/>
          <w:rtl/>
        </w:rPr>
        <w:t xml:space="preserve"> </w:t>
      </w:r>
      <w:r w:rsidRPr="00656810">
        <w:rPr>
          <w:rFonts w:cs="Arial" w:hint="cs"/>
          <w:sz w:val="18"/>
          <w:szCs w:val="18"/>
          <w:rtl/>
        </w:rPr>
        <w:t>שנוי</w:t>
      </w:r>
      <w:r w:rsidRPr="00656810">
        <w:rPr>
          <w:rFonts w:cs="Arial"/>
          <w:sz w:val="18"/>
          <w:szCs w:val="18"/>
          <w:rtl/>
        </w:rPr>
        <w:t xml:space="preserve"> (</w:t>
      </w:r>
      <w:r w:rsidRPr="00656810">
        <w:rPr>
          <w:rFonts w:cs="Arial" w:hint="cs"/>
          <w:sz w:val="18"/>
          <w:szCs w:val="18"/>
          <w:rtl/>
        </w:rPr>
        <w:t>מהרי</w:t>
      </w:r>
      <w:r w:rsidRPr="00656810">
        <w:rPr>
          <w:rFonts w:cs="Arial"/>
          <w:sz w:val="18"/>
          <w:szCs w:val="18"/>
          <w:rtl/>
        </w:rPr>
        <w:t>"</w:t>
      </w:r>
      <w:r w:rsidRPr="00656810">
        <w:rPr>
          <w:rFonts w:cs="Arial" w:hint="cs"/>
          <w:sz w:val="18"/>
          <w:szCs w:val="18"/>
          <w:rtl/>
        </w:rPr>
        <w:t>ק</w:t>
      </w:r>
      <w:r w:rsidRPr="00656810">
        <w:rPr>
          <w:rFonts w:cs="Arial"/>
          <w:sz w:val="18"/>
          <w:szCs w:val="18"/>
          <w:rtl/>
        </w:rPr>
        <w:t>).</w:t>
      </w:r>
    </w:p>
    <w:p w14:paraId="28946C62" w14:textId="77777777" w:rsidR="00FA2119" w:rsidRDefault="00FA2119" w:rsidP="00FA2119">
      <w:pPr>
        <w:rPr>
          <w:rFonts w:cs="Arial"/>
          <w:rtl/>
        </w:rPr>
      </w:pPr>
      <w:r w:rsidRPr="000468C0">
        <w:rPr>
          <w:rFonts w:cs="Arial" w:hint="cs"/>
          <w:u w:val="single"/>
          <w:rtl/>
        </w:rPr>
        <w:t>עיר שיש לידה רק נהר אחד ואין לו שם ידוע:</w:t>
      </w:r>
      <w:r>
        <w:rPr>
          <w:rFonts w:cs="Arial" w:hint="cs"/>
          <w:rtl/>
        </w:rPr>
        <w:t xml:space="preserve">  </w:t>
      </w:r>
      <w:r w:rsidRPr="000468C0">
        <w:rPr>
          <w:rFonts w:cs="Arial"/>
          <w:sz w:val="16"/>
          <w:szCs w:val="16"/>
          <w:rtl/>
        </w:rPr>
        <w:t>(</w:t>
      </w:r>
      <w:r w:rsidRPr="000468C0">
        <w:rPr>
          <w:rFonts w:cs="Arial" w:hint="cs"/>
          <w:sz w:val="16"/>
          <w:szCs w:val="16"/>
          <w:rtl/>
        </w:rPr>
        <w:t>פת"ש סק</w:t>
      </w:r>
      <w:r w:rsidRPr="000468C0">
        <w:rPr>
          <w:rFonts w:cs="Arial"/>
          <w:sz w:val="16"/>
          <w:szCs w:val="16"/>
          <w:rtl/>
        </w:rPr>
        <w:t>ל</w:t>
      </w:r>
      <w:r w:rsidRPr="000468C0">
        <w:rPr>
          <w:rFonts w:cs="Arial" w:hint="cs"/>
          <w:sz w:val="16"/>
          <w:szCs w:val="16"/>
          <w:rtl/>
        </w:rPr>
        <w:t>"</w:t>
      </w:r>
      <w:r w:rsidRPr="000468C0">
        <w:rPr>
          <w:rFonts w:cs="Arial"/>
          <w:sz w:val="16"/>
          <w:szCs w:val="16"/>
          <w:rtl/>
        </w:rPr>
        <w:t>ד)</w:t>
      </w:r>
      <w:r>
        <w:rPr>
          <w:rFonts w:cs="Arial"/>
          <w:rtl/>
        </w:rPr>
        <w:t xml:space="preserve"> </w:t>
      </w:r>
    </w:p>
    <w:p w14:paraId="610EAFC9" w14:textId="23E90C4F" w:rsidR="00FA2119" w:rsidRPr="000468C0" w:rsidRDefault="00FA2119" w:rsidP="00FA2119">
      <w:pPr>
        <w:pStyle w:val="ab"/>
        <w:numPr>
          <w:ilvl w:val="0"/>
          <w:numId w:val="61"/>
        </w:numPr>
        <w:rPr>
          <w:rFonts w:cs="Arial"/>
          <w:u w:val="single"/>
        </w:rPr>
      </w:pPr>
      <w:r w:rsidRPr="000468C0">
        <w:rPr>
          <w:rFonts w:cs="Arial"/>
          <w:rtl/>
        </w:rPr>
        <w:t xml:space="preserve">נו"ב </w:t>
      </w:r>
      <w:r w:rsidRPr="000468C0">
        <w:rPr>
          <w:rFonts w:cs="Arial" w:hint="cs"/>
          <w:sz w:val="16"/>
          <w:szCs w:val="16"/>
          <w:rtl/>
        </w:rPr>
        <w:t>(</w:t>
      </w:r>
      <w:r w:rsidRPr="000468C0">
        <w:rPr>
          <w:rFonts w:cs="Arial"/>
          <w:sz w:val="16"/>
          <w:szCs w:val="16"/>
          <w:rtl/>
        </w:rPr>
        <w:t>תניינא ס"ס קטז</w:t>
      </w:r>
      <w:r>
        <w:rPr>
          <w:rFonts w:cs="Arial" w:hint="cs"/>
          <w:sz w:val="16"/>
          <w:szCs w:val="16"/>
          <w:rtl/>
        </w:rPr>
        <w:t>)</w:t>
      </w:r>
      <w:r w:rsidR="00A82951">
        <w:rPr>
          <w:rFonts w:cs="Arial" w:hint="cs"/>
          <w:rtl/>
        </w:rPr>
        <w:t>-</w:t>
      </w:r>
      <w:r w:rsidRPr="000468C0">
        <w:rPr>
          <w:rFonts w:cs="Arial"/>
          <w:rtl/>
        </w:rPr>
        <w:t xml:space="preserve"> ע</w:t>
      </w:r>
      <w:r>
        <w:rPr>
          <w:rFonts w:cs="Arial" w:hint="cs"/>
          <w:rtl/>
        </w:rPr>
        <w:t xml:space="preserve">ל </w:t>
      </w:r>
      <w:r w:rsidRPr="000468C0">
        <w:rPr>
          <w:rFonts w:cs="Arial"/>
          <w:rtl/>
        </w:rPr>
        <w:t>ד</w:t>
      </w:r>
      <w:r>
        <w:rPr>
          <w:rFonts w:cs="Arial" w:hint="cs"/>
          <w:rtl/>
        </w:rPr>
        <w:t>בר</w:t>
      </w:r>
      <w:r w:rsidRPr="000468C0">
        <w:rPr>
          <w:rFonts w:cs="Arial"/>
          <w:rtl/>
        </w:rPr>
        <w:t xml:space="preserve"> הנהר שאין שם רק נהר א' ואין לו שם ידוע כלל ויש שם בארות ומעינות כו' יכתוב מתא דיתבא על מי מעינות ועל מי בארת</w:t>
      </w:r>
      <w:r>
        <w:rPr>
          <w:rFonts w:cs="Arial" w:hint="cs"/>
          <w:rtl/>
        </w:rPr>
        <w:t>.</w:t>
      </w:r>
      <w:r w:rsidRPr="000468C0">
        <w:rPr>
          <w:rFonts w:cs="Arial"/>
          <w:rtl/>
        </w:rPr>
        <w:t xml:space="preserve"> </w:t>
      </w:r>
    </w:p>
    <w:p w14:paraId="0B7A971A" w14:textId="4BFF7621" w:rsidR="00FA2119" w:rsidRPr="000468C0" w:rsidRDefault="00FA2119" w:rsidP="00FA2119">
      <w:pPr>
        <w:pStyle w:val="ab"/>
        <w:numPr>
          <w:ilvl w:val="0"/>
          <w:numId w:val="61"/>
        </w:numPr>
        <w:rPr>
          <w:rFonts w:cs="Arial"/>
          <w:u w:val="single"/>
          <w:rtl/>
        </w:rPr>
        <w:sectPr w:rsidR="00FA2119" w:rsidRPr="000468C0" w:rsidSect="00A347B3">
          <w:headerReference w:type="default" r:id="rId21"/>
          <w:footnotePr>
            <w:numRestart w:val="eachSect"/>
          </w:footnotePr>
          <w:pgSz w:w="11906" w:h="16838"/>
          <w:pgMar w:top="720" w:right="1134" w:bottom="720" w:left="1134" w:header="0" w:footer="0" w:gutter="0"/>
          <w:cols w:space="720"/>
          <w:bidi/>
          <w:rtlGutter/>
          <w:docGrid w:linePitch="360"/>
        </w:sectPr>
      </w:pPr>
      <w:r w:rsidRPr="000468C0">
        <w:rPr>
          <w:rFonts w:cs="Arial"/>
          <w:rtl/>
        </w:rPr>
        <w:t>ט"ג</w:t>
      </w:r>
      <w:r w:rsidRPr="000468C0">
        <w:rPr>
          <w:rFonts w:cs="Arial"/>
          <w:sz w:val="16"/>
          <w:szCs w:val="16"/>
          <w:rtl/>
        </w:rPr>
        <w:t xml:space="preserve"> </w:t>
      </w:r>
      <w:r w:rsidRPr="000468C0">
        <w:rPr>
          <w:rFonts w:cs="Arial" w:hint="cs"/>
          <w:sz w:val="16"/>
          <w:szCs w:val="16"/>
          <w:rtl/>
        </w:rPr>
        <w:t>(</w:t>
      </w:r>
      <w:r w:rsidRPr="000468C0">
        <w:rPr>
          <w:rFonts w:cs="Arial"/>
          <w:sz w:val="16"/>
          <w:szCs w:val="16"/>
          <w:rtl/>
        </w:rPr>
        <w:t>בשמות עיירות אות כח</w:t>
      </w:r>
      <w:r w:rsidRPr="000468C0">
        <w:rPr>
          <w:rFonts w:cs="Arial" w:hint="cs"/>
          <w:sz w:val="16"/>
          <w:szCs w:val="16"/>
          <w:rtl/>
        </w:rPr>
        <w:t>)</w:t>
      </w:r>
      <w:r w:rsidR="00A82951">
        <w:rPr>
          <w:rFonts w:cs="Arial" w:hint="cs"/>
          <w:rtl/>
        </w:rPr>
        <w:t>-</w:t>
      </w:r>
      <w:r w:rsidRPr="000468C0">
        <w:rPr>
          <w:rFonts w:cs="Arial"/>
          <w:rtl/>
        </w:rPr>
        <w:t xml:space="preserve"> ראוי לכתוב דיתבא על מי נהר ועל מי מעינות </w:t>
      </w:r>
      <w:r w:rsidRPr="000468C0">
        <w:rPr>
          <w:rFonts w:cs="Arial" w:hint="cs"/>
          <w:sz w:val="16"/>
          <w:szCs w:val="16"/>
          <w:rtl/>
        </w:rPr>
        <w:t xml:space="preserve">(ותמה על הנו"ב, </w:t>
      </w:r>
      <w:r w:rsidRPr="000468C0">
        <w:rPr>
          <w:rFonts w:cs="Arial"/>
          <w:sz w:val="16"/>
          <w:szCs w:val="16"/>
          <w:rtl/>
        </w:rPr>
        <w:t>דכיון דשביק רברבי שהוא הנהר ושקיל זוטרי דהיינו מעינות ובארות מגרע גרע</w:t>
      </w:r>
      <w:r>
        <w:rPr>
          <w:rFonts w:cs="Arial" w:hint="cs"/>
          <w:sz w:val="16"/>
          <w:szCs w:val="16"/>
          <w:rtl/>
        </w:rPr>
        <w:t>, ועיין בפנמ"א [ח"א סי' יח])</w:t>
      </w:r>
      <w:r w:rsidRPr="000468C0">
        <w:rPr>
          <w:rFonts w:cs="Arial"/>
          <w:rtl/>
        </w:rPr>
        <w:t>.</w:t>
      </w:r>
    </w:p>
    <w:p w14:paraId="79037531" w14:textId="77777777" w:rsidR="00FA2119" w:rsidRDefault="00FA2119" w:rsidP="00FA2119">
      <w:pPr>
        <w:pStyle w:val="1"/>
        <w:rPr>
          <w:rtl/>
        </w:rPr>
      </w:pPr>
      <w:r>
        <w:rPr>
          <w:rFonts w:hint="cs"/>
          <w:rtl/>
        </w:rPr>
        <w:lastRenderedPageBreak/>
        <w:t>סימן קכט:</w:t>
      </w:r>
      <w:r w:rsidRPr="00C12B74">
        <w:rPr>
          <w:rtl/>
        </w:rPr>
        <w:t xml:space="preserve"> </w:t>
      </w:r>
      <w:r>
        <w:rPr>
          <w:rFonts w:cs="Arial" w:hint="cs"/>
          <w:rtl/>
        </w:rPr>
        <w:t>דיני</w:t>
      </w:r>
      <w:r>
        <w:rPr>
          <w:rFonts w:cs="Arial"/>
          <w:rtl/>
        </w:rPr>
        <w:t xml:space="preserve"> </w:t>
      </w:r>
      <w:r>
        <w:rPr>
          <w:rFonts w:cs="Arial" w:hint="cs"/>
          <w:rtl/>
        </w:rPr>
        <w:t>שם</w:t>
      </w:r>
      <w:r>
        <w:rPr>
          <w:rFonts w:cs="Arial"/>
          <w:rtl/>
        </w:rPr>
        <w:t xml:space="preserve"> </w:t>
      </w:r>
      <w:r>
        <w:rPr>
          <w:rFonts w:cs="Arial" w:hint="cs"/>
          <w:rtl/>
        </w:rPr>
        <w:t>האיש</w:t>
      </w:r>
      <w:r>
        <w:rPr>
          <w:rFonts w:cs="Arial"/>
          <w:rtl/>
        </w:rPr>
        <w:t xml:space="preserve"> </w:t>
      </w:r>
      <w:r>
        <w:rPr>
          <w:rFonts w:cs="Arial" w:hint="cs"/>
          <w:rtl/>
        </w:rPr>
        <w:t>והאשה</w:t>
      </w:r>
      <w:r>
        <w:rPr>
          <w:rFonts w:cs="Arial"/>
          <w:rtl/>
        </w:rPr>
        <w:t xml:space="preserve">, </w:t>
      </w:r>
      <w:r>
        <w:rPr>
          <w:rFonts w:cs="Arial" w:hint="cs"/>
          <w:rtl/>
        </w:rPr>
        <w:t>וחתימת</w:t>
      </w:r>
      <w:r>
        <w:rPr>
          <w:rFonts w:cs="Arial"/>
          <w:rtl/>
        </w:rPr>
        <w:t xml:space="preserve"> </w:t>
      </w:r>
      <w:r>
        <w:rPr>
          <w:rFonts w:cs="Arial" w:hint="cs"/>
          <w:rtl/>
        </w:rPr>
        <w:t>הגט</w:t>
      </w:r>
      <w:r>
        <w:rPr>
          <w:rFonts w:cs="Arial"/>
          <w:rtl/>
        </w:rPr>
        <w:t xml:space="preserve">, </w:t>
      </w:r>
      <w:r>
        <w:rPr>
          <w:rFonts w:cs="Arial" w:hint="cs"/>
          <w:rtl/>
        </w:rPr>
        <w:t>ודין</w:t>
      </w:r>
      <w:r>
        <w:rPr>
          <w:rFonts w:cs="Arial"/>
          <w:rtl/>
        </w:rPr>
        <w:t xml:space="preserve"> </w:t>
      </w:r>
      <w:r>
        <w:rPr>
          <w:rFonts w:cs="Arial" w:hint="cs"/>
          <w:rtl/>
        </w:rPr>
        <w:t>מומר</w:t>
      </w:r>
      <w:r>
        <w:rPr>
          <w:rFonts w:cs="Arial"/>
          <w:rtl/>
        </w:rPr>
        <w:t xml:space="preserve"> </w:t>
      </w:r>
      <w:r>
        <w:rPr>
          <w:rFonts w:cs="Arial" w:hint="cs"/>
          <w:rtl/>
        </w:rPr>
        <w:t>המגרש</w:t>
      </w:r>
      <w:r>
        <w:rPr>
          <w:rFonts w:cs="Arial"/>
          <w:rtl/>
        </w:rPr>
        <w:t xml:space="preserve">, </w:t>
      </w:r>
      <w:r>
        <w:rPr>
          <w:rFonts w:cs="Arial" w:hint="cs"/>
          <w:rtl/>
        </w:rPr>
        <w:t>ובו</w:t>
      </w:r>
      <w:r>
        <w:rPr>
          <w:rFonts w:cs="Arial"/>
          <w:rtl/>
        </w:rPr>
        <w:t xml:space="preserve"> </w:t>
      </w:r>
      <w:r>
        <w:rPr>
          <w:rFonts w:cs="Arial" w:hint="cs"/>
          <w:rtl/>
        </w:rPr>
        <w:t>ל</w:t>
      </w:r>
      <w:r>
        <w:rPr>
          <w:rFonts w:cs="Arial"/>
          <w:rtl/>
        </w:rPr>
        <w:t>"</w:t>
      </w:r>
      <w:r>
        <w:rPr>
          <w:rFonts w:cs="Arial" w:hint="cs"/>
          <w:rtl/>
        </w:rPr>
        <w:t>ד</w:t>
      </w:r>
      <w:r>
        <w:rPr>
          <w:rFonts w:cs="Arial"/>
          <w:rtl/>
        </w:rPr>
        <w:t xml:space="preserve"> </w:t>
      </w:r>
      <w:r>
        <w:rPr>
          <w:rFonts w:cs="Arial" w:hint="cs"/>
          <w:rtl/>
        </w:rPr>
        <w:t>סעיפים</w:t>
      </w:r>
      <w:r>
        <w:rPr>
          <w:rFonts w:cs="Arial"/>
          <w:rtl/>
        </w:rPr>
        <w:t xml:space="preserve">. </w:t>
      </w:r>
    </w:p>
    <w:p w14:paraId="14B3D436" w14:textId="77777777" w:rsidR="00FA2119" w:rsidRDefault="00FA2119" w:rsidP="00FA2119">
      <w:pPr>
        <w:pStyle w:val="2"/>
        <w:rPr>
          <w:rtl/>
        </w:rPr>
      </w:pPr>
      <w:r>
        <w:rPr>
          <w:rFonts w:hint="cs"/>
          <w:rtl/>
        </w:rPr>
        <w:t>סעיף</w:t>
      </w:r>
      <w:r>
        <w:rPr>
          <w:rtl/>
        </w:rPr>
        <w:t xml:space="preserve"> </w:t>
      </w:r>
      <w:r>
        <w:rPr>
          <w:rFonts w:hint="cs"/>
          <w:rtl/>
        </w:rPr>
        <w:t>א: כתיבת שם האיש והאשה.</w:t>
      </w:r>
    </w:p>
    <w:p w14:paraId="51E0D563" w14:textId="66F7FED9" w:rsidR="00FA2119" w:rsidRDefault="00FA2119" w:rsidP="00FA2119">
      <w:pPr>
        <w:rPr>
          <w:rtl/>
        </w:rPr>
      </w:pPr>
      <w:r>
        <w:rPr>
          <w:rFonts w:cs="Arial" w:hint="cs"/>
          <w:b/>
          <w:bCs/>
          <w:rtl/>
        </w:rPr>
        <w:t>גיטין</w:t>
      </w:r>
      <w:r>
        <w:rPr>
          <w:rFonts w:cs="Arial"/>
          <w:b/>
          <w:bCs/>
          <w:rtl/>
        </w:rPr>
        <w:t xml:space="preserve"> </w:t>
      </w:r>
      <w:r>
        <w:rPr>
          <w:rFonts w:cs="Arial"/>
          <w:b/>
          <w:bCs/>
          <w:szCs w:val="16"/>
          <w:rtl/>
        </w:rPr>
        <w:t xml:space="preserve">(פ' </w:t>
      </w:r>
      <w:r>
        <w:rPr>
          <w:rFonts w:cs="Arial" w:hint="cs"/>
          <w:b/>
          <w:bCs/>
          <w:szCs w:val="16"/>
          <w:rtl/>
        </w:rPr>
        <w:t>כל הגט</w:t>
      </w:r>
      <w:r>
        <w:rPr>
          <w:rFonts w:cs="Arial"/>
          <w:b/>
          <w:bCs/>
          <w:szCs w:val="16"/>
          <w:rtl/>
        </w:rPr>
        <w:t xml:space="preserve">) </w:t>
      </w:r>
      <w:r>
        <w:rPr>
          <w:rFonts w:cs="Arial" w:hint="cs"/>
          <w:b/>
          <w:bCs/>
          <w:rtl/>
        </w:rPr>
        <w:t>כו</w:t>
      </w:r>
      <w:r>
        <w:rPr>
          <w:rFonts w:cs="Arial"/>
          <w:b/>
          <w:bCs/>
          <w:rtl/>
        </w:rPr>
        <w:t xml:space="preserve"> ע"א:</w:t>
      </w:r>
      <w:r>
        <w:rPr>
          <w:rFonts w:cs="Arial" w:hint="cs"/>
          <w:b/>
          <w:bCs/>
          <w:rtl/>
        </w:rPr>
        <w:t xml:space="preserve"> </w:t>
      </w:r>
      <w:r w:rsidRPr="00194EAD">
        <w:rPr>
          <w:rFonts w:cs="Arial"/>
          <w:u w:val="double"/>
          <w:rtl/>
        </w:rPr>
        <w:t>מתני</w:t>
      </w:r>
      <w:r w:rsidRPr="00194EAD">
        <w:rPr>
          <w:rFonts w:cs="Arial" w:hint="cs"/>
          <w:u w:val="double"/>
          <w:rtl/>
        </w:rPr>
        <w:t>'</w:t>
      </w:r>
      <w:r>
        <w:rPr>
          <w:rFonts w:cs="Arial" w:hint="cs"/>
          <w:rtl/>
        </w:rPr>
        <w:t>:</w:t>
      </w:r>
      <w:r w:rsidRPr="005A4C3C">
        <w:rPr>
          <w:rFonts w:cs="Arial"/>
          <w:rtl/>
        </w:rPr>
        <w:t xml:space="preserve"> הכותב טופסי גיטין </w:t>
      </w:r>
      <w:r w:rsidR="00A82951">
        <w:rPr>
          <w:rFonts w:cs="Arial"/>
          <w:rtl/>
        </w:rPr>
        <w:t>-</w:t>
      </w:r>
      <w:r w:rsidRPr="005A4C3C">
        <w:rPr>
          <w:rFonts w:cs="Arial"/>
          <w:rtl/>
        </w:rPr>
        <w:t xml:space="preserve"> צריך שיניח מקום האיש, ומקום האשה, ומקום הזמן</w:t>
      </w:r>
      <w:r>
        <w:rPr>
          <w:rFonts w:hint="cs"/>
          <w:rtl/>
        </w:rPr>
        <w:t xml:space="preserve">... </w:t>
      </w:r>
      <w:r w:rsidRPr="00FD3E45">
        <w:rPr>
          <w:rFonts w:cs="Arial" w:hint="cs"/>
          <w:sz w:val="16"/>
          <w:szCs w:val="16"/>
          <w:rtl/>
        </w:rPr>
        <w:t>(</w:t>
      </w:r>
      <w:r>
        <w:rPr>
          <w:rFonts w:cs="Arial" w:hint="cs"/>
          <w:sz w:val="16"/>
          <w:szCs w:val="16"/>
          <w:rtl/>
        </w:rPr>
        <w:t xml:space="preserve">מכאן (וכן מדף לד:) פשוט </w:t>
      </w:r>
      <w:r w:rsidRPr="00FD3E45">
        <w:rPr>
          <w:rFonts w:cs="Arial"/>
          <w:sz w:val="16"/>
          <w:szCs w:val="16"/>
          <w:rtl/>
        </w:rPr>
        <w:t>דשמו ושמה הוו מתורף הגט</w:t>
      </w:r>
      <w:r>
        <w:rPr>
          <w:rFonts w:cs="Arial" w:hint="cs"/>
          <w:sz w:val="16"/>
          <w:szCs w:val="16"/>
          <w:rtl/>
        </w:rPr>
        <w:t>)</w:t>
      </w:r>
    </w:p>
    <w:p w14:paraId="39671287" w14:textId="280309F6" w:rsidR="00FA2119" w:rsidRDefault="00FA2119" w:rsidP="00FA2119">
      <w:pPr>
        <w:rPr>
          <w:rtl/>
        </w:rPr>
      </w:pPr>
      <w:r>
        <w:rPr>
          <w:rFonts w:cs="Arial" w:hint="cs"/>
          <w:b/>
          <w:bCs/>
          <w:rtl/>
        </w:rPr>
        <w:t>גיטין</w:t>
      </w:r>
      <w:r>
        <w:rPr>
          <w:rFonts w:cs="Arial"/>
          <w:b/>
          <w:bCs/>
          <w:rtl/>
        </w:rPr>
        <w:t xml:space="preserve"> </w:t>
      </w:r>
      <w:r>
        <w:rPr>
          <w:rFonts w:cs="Arial"/>
          <w:b/>
          <w:bCs/>
          <w:szCs w:val="16"/>
          <w:rtl/>
        </w:rPr>
        <w:t xml:space="preserve">(פ' </w:t>
      </w:r>
      <w:r>
        <w:rPr>
          <w:rFonts w:cs="Arial" w:hint="cs"/>
          <w:b/>
          <w:bCs/>
          <w:szCs w:val="16"/>
          <w:rtl/>
        </w:rPr>
        <w:t>השולח</w:t>
      </w:r>
      <w:r>
        <w:rPr>
          <w:rFonts w:cs="Arial"/>
          <w:b/>
          <w:bCs/>
          <w:szCs w:val="16"/>
          <w:rtl/>
        </w:rPr>
        <w:t xml:space="preserve">) </w:t>
      </w:r>
      <w:r>
        <w:rPr>
          <w:rFonts w:cs="Arial" w:hint="cs"/>
          <w:b/>
          <w:bCs/>
          <w:rtl/>
        </w:rPr>
        <w:t>לד</w:t>
      </w:r>
      <w:r>
        <w:rPr>
          <w:rFonts w:cs="Arial"/>
          <w:b/>
          <w:bCs/>
          <w:rtl/>
        </w:rPr>
        <w:t xml:space="preserve"> ע"</w:t>
      </w:r>
      <w:r>
        <w:rPr>
          <w:rFonts w:cs="Arial" w:hint="cs"/>
          <w:b/>
          <w:bCs/>
          <w:rtl/>
        </w:rPr>
        <w:t>ב</w:t>
      </w:r>
      <w:r>
        <w:rPr>
          <w:rFonts w:cs="Arial"/>
          <w:b/>
          <w:bCs/>
          <w:rtl/>
        </w:rPr>
        <w:t>:</w:t>
      </w:r>
      <w:r>
        <w:rPr>
          <w:rFonts w:cs="Arial" w:hint="cs"/>
          <w:b/>
          <w:bCs/>
          <w:rtl/>
        </w:rPr>
        <w:t xml:space="preserve"> </w:t>
      </w:r>
      <w:r w:rsidRPr="00194EAD">
        <w:rPr>
          <w:rFonts w:cs="Arial"/>
          <w:u w:val="double"/>
          <w:rtl/>
        </w:rPr>
        <w:t>מתני</w:t>
      </w:r>
      <w:r w:rsidRPr="00194EAD">
        <w:rPr>
          <w:rFonts w:cs="Arial" w:hint="cs"/>
          <w:u w:val="double"/>
          <w:rtl/>
        </w:rPr>
        <w:t>'</w:t>
      </w:r>
      <w:r>
        <w:rPr>
          <w:rFonts w:cs="Arial" w:hint="cs"/>
          <w:rtl/>
        </w:rPr>
        <w:t>:</w:t>
      </w:r>
      <w:r>
        <w:rPr>
          <w:rFonts w:cs="Arial"/>
          <w:rtl/>
        </w:rPr>
        <w:t xml:space="preserve"> בראשונה היה משנה שמו ושמה, שם עירו ושם עירה</w:t>
      </w:r>
      <w:r>
        <w:rPr>
          <w:rFonts w:cs="Arial" w:hint="cs"/>
          <w:rtl/>
        </w:rPr>
        <w:t>.</w:t>
      </w:r>
      <w:r>
        <w:rPr>
          <w:rFonts w:cs="Arial"/>
          <w:rtl/>
        </w:rPr>
        <w:t xml:space="preserve"> התקין ר"ג הזקן, שיהא כותב איש פלוני וכל שום שיש לו, אשה פלונית וכל שום שיש לה, מפני תיקון העולם. </w:t>
      </w:r>
      <w:r>
        <w:rPr>
          <w:rFonts w:hint="cs"/>
          <w:rtl/>
        </w:rPr>
        <w:t xml:space="preserve">      </w:t>
      </w:r>
      <w:r w:rsidRPr="00FD3E45">
        <w:rPr>
          <w:rFonts w:cs="Arial"/>
          <w:u w:val="double"/>
          <w:rtl/>
        </w:rPr>
        <w:t>גמ'</w:t>
      </w:r>
      <w:r>
        <w:rPr>
          <w:rFonts w:cs="Arial" w:hint="cs"/>
          <w:rtl/>
        </w:rPr>
        <w:t>:</w:t>
      </w:r>
      <w:r w:rsidRPr="00942B46">
        <w:rPr>
          <w:rFonts w:cs="Arial"/>
          <w:rtl/>
        </w:rPr>
        <w:t xml:space="preserve"> </w:t>
      </w:r>
      <w:r w:rsidRPr="00942B46">
        <w:rPr>
          <w:rFonts w:cs="Arial"/>
          <w:u w:val="single"/>
          <w:rtl/>
        </w:rPr>
        <w:t>אמר רב יהודה אמר שמואל</w:t>
      </w:r>
      <w:r>
        <w:rPr>
          <w:rFonts w:cs="Arial" w:hint="cs"/>
          <w:rtl/>
        </w:rPr>
        <w:t>:</w:t>
      </w:r>
      <w:r w:rsidRPr="00942B46">
        <w:rPr>
          <w:rFonts w:cs="Arial"/>
          <w:rtl/>
        </w:rPr>
        <w:t xml:space="preserve"> שלחו ליה בני מדינת הים לרבן גמליאל: בני אדם הבאים משם לכאן, שמו יוסף וקוראין לו יוחנן, יוחנן </w:t>
      </w:r>
      <w:r w:rsidR="00A82951">
        <w:rPr>
          <w:rFonts w:cs="Arial"/>
          <w:rtl/>
        </w:rPr>
        <w:t>-</w:t>
      </w:r>
      <w:r w:rsidRPr="00942B46">
        <w:rPr>
          <w:rFonts w:cs="Arial"/>
          <w:rtl/>
        </w:rPr>
        <w:t xml:space="preserve"> וקוראין לו יוסף, היאך מגרשין נשותיהן? עמד ר"ג והתקין, שיהו כותבין איש פלוני וכל שום שיש לו, אשה פלונית וכל שום שיש לה, מפני תיקון העולם. </w:t>
      </w:r>
      <w:r w:rsidRPr="00942B46">
        <w:rPr>
          <w:rFonts w:cs="Arial"/>
          <w:u w:val="single"/>
          <w:rtl/>
        </w:rPr>
        <w:t>אמר רב אשי</w:t>
      </w:r>
      <w:r w:rsidRPr="00942B46">
        <w:rPr>
          <w:rFonts w:cs="Arial"/>
          <w:rtl/>
        </w:rPr>
        <w:t>: והוא דאתחזק בתרי שמי.</w:t>
      </w:r>
      <w:r>
        <w:rPr>
          <w:rFonts w:cs="Arial" w:hint="cs"/>
          <w:rtl/>
        </w:rPr>
        <w:t>..</w:t>
      </w:r>
      <w:r w:rsidRPr="00942B46">
        <w:rPr>
          <w:rFonts w:cs="Arial"/>
          <w:rtl/>
        </w:rPr>
        <w:t xml:space="preserve"> </w:t>
      </w:r>
      <w:r>
        <w:rPr>
          <w:rFonts w:cs="Arial"/>
          <w:rtl/>
        </w:rPr>
        <w:t>ההיא דהוו קרו לה מרים, ופורתא שרה</w:t>
      </w:r>
      <w:r>
        <w:rPr>
          <w:rStyle w:val="a7"/>
          <w:rFonts w:cs="Arial"/>
          <w:rtl/>
        </w:rPr>
        <w:footnoteReference w:id="1022"/>
      </w:r>
      <w:r>
        <w:rPr>
          <w:rFonts w:cs="Arial"/>
          <w:rtl/>
        </w:rPr>
        <w:t xml:space="preserve">, </w:t>
      </w:r>
      <w:r w:rsidRPr="00FD3E45">
        <w:rPr>
          <w:rFonts w:cs="Arial"/>
          <w:u w:val="single"/>
          <w:rtl/>
        </w:rPr>
        <w:t>אמרי נהרדעי</w:t>
      </w:r>
      <w:r>
        <w:rPr>
          <w:rFonts w:cs="Arial"/>
          <w:rtl/>
        </w:rPr>
        <w:t>: מרים</w:t>
      </w:r>
      <w:r>
        <w:rPr>
          <w:rStyle w:val="a7"/>
          <w:rFonts w:cs="Arial"/>
          <w:rtl/>
        </w:rPr>
        <w:footnoteReference w:id="1023"/>
      </w:r>
      <w:r>
        <w:rPr>
          <w:rFonts w:cs="Arial"/>
          <w:rtl/>
        </w:rPr>
        <w:t xml:space="preserve"> וכל שום שיש לה, ולא שרה וכל שום שיש לה.</w:t>
      </w:r>
    </w:p>
    <w:p w14:paraId="423E9D89" w14:textId="37842668" w:rsidR="00FA2119" w:rsidRDefault="00FA2119" w:rsidP="00FA2119">
      <w:pPr>
        <w:rPr>
          <w:rtl/>
        </w:rPr>
      </w:pPr>
      <w:r w:rsidRPr="00023342">
        <w:rPr>
          <w:rFonts w:cs="Arial" w:hint="cs"/>
          <w:b/>
          <w:bCs/>
          <w:rtl/>
        </w:rPr>
        <w:t>ירושלמי גיטין פ"ד ה"ב:</w:t>
      </w:r>
      <w:r w:rsidRPr="005F4AF2">
        <w:rPr>
          <w:rtl/>
        </w:rPr>
        <w:t xml:space="preserve"> </w:t>
      </w:r>
      <w:r w:rsidRPr="005F4AF2">
        <w:rPr>
          <w:rFonts w:cs="Arial"/>
          <w:u w:val="single"/>
          <w:rtl/>
        </w:rPr>
        <w:t>אמר רבי אילי</w:t>
      </w:r>
      <w:r>
        <w:rPr>
          <w:rFonts w:cs="Arial" w:hint="cs"/>
          <w:rtl/>
        </w:rPr>
        <w:t>:</w:t>
      </w:r>
      <w:r w:rsidRPr="005F4AF2">
        <w:rPr>
          <w:rFonts w:cs="Arial"/>
          <w:rtl/>
        </w:rPr>
        <w:t xml:space="preserve"> בתחילה צריך לומר אני פלוני שמיהודה עם כל שם שיש לי בגליל</w:t>
      </w:r>
      <w:r>
        <w:rPr>
          <w:rFonts w:cs="Arial" w:hint="cs"/>
          <w:rtl/>
        </w:rPr>
        <w:t>.</w:t>
      </w:r>
      <w:r w:rsidRPr="005F4AF2">
        <w:rPr>
          <w:rFonts w:cs="Arial"/>
          <w:rtl/>
        </w:rPr>
        <w:t xml:space="preserve"> אם היה שרוי במקום אחר</w:t>
      </w:r>
      <w:r>
        <w:rPr>
          <w:rStyle w:val="a7"/>
          <w:rFonts w:cs="Arial"/>
          <w:rtl/>
        </w:rPr>
        <w:footnoteReference w:id="1024"/>
      </w:r>
      <w:r>
        <w:rPr>
          <w:rFonts w:cs="Arial" w:hint="cs"/>
          <w:rtl/>
        </w:rPr>
        <w:t xml:space="preserve"> </w:t>
      </w:r>
      <w:r w:rsidR="00A82951">
        <w:rPr>
          <w:rFonts w:cs="Arial" w:hint="cs"/>
          <w:rtl/>
        </w:rPr>
        <w:t>-</w:t>
      </w:r>
      <w:r w:rsidRPr="005F4AF2">
        <w:rPr>
          <w:rFonts w:cs="Arial"/>
          <w:rtl/>
        </w:rPr>
        <w:t xml:space="preserve"> מגרש לאי זה שירצה</w:t>
      </w:r>
      <w:r>
        <w:rPr>
          <w:rStyle w:val="a7"/>
          <w:rFonts w:cs="Arial"/>
          <w:rtl/>
        </w:rPr>
        <w:footnoteReference w:id="1025"/>
      </w:r>
      <w:r w:rsidRPr="005F4AF2">
        <w:rPr>
          <w:rFonts w:cs="Arial"/>
          <w:rtl/>
        </w:rPr>
        <w:t xml:space="preserve">. </w:t>
      </w:r>
      <w:r w:rsidRPr="00982F20">
        <w:rPr>
          <w:rFonts w:cs="Arial"/>
          <w:u w:val="single"/>
          <w:rtl/>
        </w:rPr>
        <w:t>אמר ר' יוסי</w:t>
      </w:r>
      <w:r>
        <w:rPr>
          <w:rFonts w:cs="Arial" w:hint="cs"/>
          <w:rtl/>
        </w:rPr>
        <w:t>:</w:t>
      </w:r>
      <w:r w:rsidRPr="005F4AF2">
        <w:rPr>
          <w:rFonts w:cs="Arial"/>
          <w:rtl/>
        </w:rPr>
        <w:t xml:space="preserve"> הדא דאת אמר לשעבר</w:t>
      </w:r>
      <w:r>
        <w:rPr>
          <w:rStyle w:val="a7"/>
          <w:rFonts w:cs="Arial"/>
          <w:rtl/>
        </w:rPr>
        <w:footnoteReference w:id="1026"/>
      </w:r>
      <w:r>
        <w:rPr>
          <w:rFonts w:cs="Arial" w:hint="cs"/>
          <w:rtl/>
        </w:rPr>
        <w:t>,</w:t>
      </w:r>
      <w:r w:rsidRPr="005F4AF2">
        <w:rPr>
          <w:rFonts w:cs="Arial"/>
          <w:rtl/>
        </w:rPr>
        <w:t xml:space="preserve"> אבל לכתחילה צריך למיעבד כהדא דרבי אילי. </w:t>
      </w:r>
      <w:r w:rsidRPr="00982F20">
        <w:rPr>
          <w:rFonts w:cs="Arial"/>
          <w:u w:val="single"/>
          <w:rtl/>
        </w:rPr>
        <w:t>אמר רבי אבין</w:t>
      </w:r>
      <w:r>
        <w:rPr>
          <w:rFonts w:cs="Arial" w:hint="cs"/>
          <w:rtl/>
        </w:rPr>
        <w:t>:</w:t>
      </w:r>
      <w:r w:rsidRPr="005F4AF2">
        <w:rPr>
          <w:rFonts w:cs="Arial"/>
          <w:rtl/>
        </w:rPr>
        <w:t xml:space="preserve"> אם יצא לו שם במקום אחר צריך להזכיר שלשתן</w:t>
      </w:r>
      <w:r w:rsidRPr="00023342">
        <w:rPr>
          <w:rFonts w:cs="Arial"/>
          <w:rtl/>
        </w:rPr>
        <w:t>.</w:t>
      </w:r>
    </w:p>
    <w:p w14:paraId="772E5819" w14:textId="41313F35" w:rsidR="00FA2119" w:rsidRDefault="00FA2119" w:rsidP="00FA2119">
      <w:pPr>
        <w:rPr>
          <w:rtl/>
        </w:rPr>
      </w:pPr>
      <w:r w:rsidRPr="00446BDB">
        <w:rPr>
          <w:rFonts w:cs="Arial" w:hint="cs"/>
          <w:b/>
          <w:bCs/>
          <w:rtl/>
        </w:rPr>
        <w:t>תוספתא גיטין פ</w:t>
      </w:r>
      <w:r>
        <w:rPr>
          <w:rFonts w:cs="Arial" w:hint="cs"/>
          <w:b/>
          <w:bCs/>
          <w:rtl/>
        </w:rPr>
        <w:t>"</w:t>
      </w:r>
      <w:r w:rsidRPr="00446BDB">
        <w:rPr>
          <w:rFonts w:cs="Arial" w:hint="cs"/>
          <w:b/>
          <w:bCs/>
          <w:rtl/>
        </w:rPr>
        <w:t xml:space="preserve">ו ה"ה: </w:t>
      </w:r>
      <w:r w:rsidRPr="00446BDB">
        <w:rPr>
          <w:rFonts w:cs="Arial"/>
          <w:rtl/>
        </w:rPr>
        <w:t>יש לו שתי נשים אחת ביהודה ואחת בגליל</w:t>
      </w:r>
      <w:r>
        <w:rPr>
          <w:rFonts w:cs="Arial" w:hint="cs"/>
          <w:rtl/>
        </w:rPr>
        <w:t>,</w:t>
      </w:r>
      <w:r w:rsidRPr="00446BDB">
        <w:rPr>
          <w:rFonts w:cs="Arial"/>
          <w:rtl/>
        </w:rPr>
        <w:t xml:space="preserve"> ולו שני שמות אחד ביהודה ואחד בגליל</w:t>
      </w:r>
      <w:r>
        <w:rPr>
          <w:rFonts w:cs="Arial" w:hint="cs"/>
          <w:rtl/>
        </w:rPr>
        <w:t>,</w:t>
      </w:r>
      <w:r w:rsidRPr="00446BDB">
        <w:rPr>
          <w:rFonts w:cs="Arial"/>
          <w:rtl/>
        </w:rPr>
        <w:t xml:space="preserve"> גירש אשתו שביהודה בשמו שבגליל</w:t>
      </w:r>
      <w:r>
        <w:rPr>
          <w:rFonts w:cs="Arial" w:hint="cs"/>
          <w:rtl/>
        </w:rPr>
        <w:t>,</w:t>
      </w:r>
      <w:r w:rsidRPr="00446BDB">
        <w:rPr>
          <w:rFonts w:cs="Arial"/>
          <w:rtl/>
        </w:rPr>
        <w:t xml:space="preserve"> ואשתו שבגליל בשמו שביהודה </w:t>
      </w:r>
      <w:r w:rsidR="00A82951">
        <w:rPr>
          <w:rFonts w:cs="Arial" w:hint="cs"/>
          <w:rtl/>
        </w:rPr>
        <w:t>-</w:t>
      </w:r>
      <w:r>
        <w:rPr>
          <w:rFonts w:cs="Arial" w:hint="cs"/>
          <w:rtl/>
        </w:rPr>
        <w:t xml:space="preserve"> </w:t>
      </w:r>
      <w:r w:rsidRPr="00446BDB">
        <w:rPr>
          <w:rFonts w:cs="Arial"/>
          <w:rtl/>
        </w:rPr>
        <w:t>פסול</w:t>
      </w:r>
      <w:r>
        <w:rPr>
          <w:rFonts w:cs="Arial" w:hint="cs"/>
          <w:rtl/>
        </w:rPr>
        <w:t>.</w:t>
      </w:r>
      <w:r w:rsidRPr="00446BDB">
        <w:rPr>
          <w:rFonts w:cs="Arial"/>
          <w:rtl/>
        </w:rPr>
        <w:t xml:space="preserve"> אם אמ</w:t>
      </w:r>
      <w:r>
        <w:rPr>
          <w:rFonts w:cs="Arial" w:hint="cs"/>
          <w:rtl/>
        </w:rPr>
        <w:t>ר</w:t>
      </w:r>
      <w:r w:rsidRPr="00446BDB">
        <w:rPr>
          <w:rFonts w:cs="Arial"/>
          <w:rtl/>
        </w:rPr>
        <w:t xml:space="preserve"> אני פלני שמיהודה עם השם שיש לי בגליל ונשוי אשה מגליל</w:t>
      </w:r>
      <w:r>
        <w:rPr>
          <w:rFonts w:cs="Arial" w:hint="cs"/>
          <w:rtl/>
        </w:rPr>
        <w:t>,</w:t>
      </w:r>
      <w:r w:rsidRPr="00446BDB">
        <w:rPr>
          <w:rFonts w:cs="Arial"/>
          <w:rtl/>
        </w:rPr>
        <w:t xml:space="preserve"> או שהיה במקום אחר</w:t>
      </w:r>
      <w:r>
        <w:rPr>
          <w:rStyle w:val="a7"/>
          <w:rFonts w:cs="Arial"/>
          <w:rtl/>
        </w:rPr>
        <w:footnoteReference w:id="1027"/>
      </w:r>
      <w:r w:rsidRPr="00446BDB">
        <w:rPr>
          <w:rFonts w:cs="Arial"/>
          <w:rtl/>
        </w:rPr>
        <w:t xml:space="preserve"> וכתב לשם אחד מהן </w:t>
      </w:r>
      <w:r w:rsidR="00A82951">
        <w:rPr>
          <w:rFonts w:cs="Arial" w:hint="cs"/>
          <w:rtl/>
        </w:rPr>
        <w:t>-</w:t>
      </w:r>
      <w:r>
        <w:rPr>
          <w:rFonts w:cs="Arial" w:hint="cs"/>
          <w:rtl/>
        </w:rPr>
        <w:t xml:space="preserve"> </w:t>
      </w:r>
      <w:r w:rsidRPr="00446BDB">
        <w:rPr>
          <w:rFonts w:cs="Arial"/>
          <w:rtl/>
        </w:rPr>
        <w:t>כשר</w:t>
      </w:r>
      <w:r>
        <w:rPr>
          <w:rFonts w:cs="Arial" w:hint="cs"/>
          <w:rtl/>
        </w:rPr>
        <w:t>.</w:t>
      </w:r>
      <w:r w:rsidRPr="00864F38">
        <w:rPr>
          <w:rtl/>
        </w:rPr>
        <w:t xml:space="preserve"> </w:t>
      </w:r>
      <w:r w:rsidRPr="00864F38">
        <w:rPr>
          <w:rFonts w:cs="Arial"/>
          <w:u w:val="single"/>
          <w:rtl/>
        </w:rPr>
        <w:t>ר' שמעון או</w:t>
      </w:r>
      <w:r w:rsidRPr="00864F38">
        <w:rPr>
          <w:rFonts w:cs="Arial" w:hint="cs"/>
          <w:u w:val="single"/>
          <w:rtl/>
        </w:rPr>
        <w:t>מר</w:t>
      </w:r>
      <w:r>
        <w:rPr>
          <w:rFonts w:cs="Arial" w:hint="cs"/>
          <w:rtl/>
        </w:rPr>
        <w:t>:</w:t>
      </w:r>
      <w:r w:rsidRPr="00864F38">
        <w:rPr>
          <w:rFonts w:cs="Arial"/>
          <w:rtl/>
        </w:rPr>
        <w:t xml:space="preserve"> אפי' כתב עמו שמו שביהודה בגליל ושמו שבגליל ביהודה כשר</w:t>
      </w:r>
      <w:r>
        <w:rPr>
          <w:rFonts w:hint="cs"/>
          <w:rtl/>
        </w:rPr>
        <w:t>.</w:t>
      </w:r>
    </w:p>
    <w:p w14:paraId="47F6B449" w14:textId="154970BF" w:rsidR="00FA2119" w:rsidRDefault="00FA2119" w:rsidP="00FA2119">
      <w:pPr>
        <w:rPr>
          <w:rtl/>
        </w:rPr>
      </w:pPr>
      <w:r w:rsidRPr="00924B9D">
        <w:rPr>
          <w:rFonts w:cs="Arial" w:hint="cs"/>
          <w:b/>
          <w:bCs/>
          <w:rtl/>
        </w:rPr>
        <w:t>גיטין</w:t>
      </w:r>
      <w:r w:rsidRPr="00924B9D">
        <w:rPr>
          <w:rFonts w:cs="Arial"/>
          <w:b/>
          <w:bCs/>
          <w:rtl/>
        </w:rPr>
        <w:t xml:space="preserve"> </w:t>
      </w:r>
      <w:r w:rsidRPr="00924B9D">
        <w:rPr>
          <w:rFonts w:cs="Arial"/>
          <w:b/>
          <w:bCs/>
          <w:szCs w:val="16"/>
          <w:rtl/>
        </w:rPr>
        <w:t xml:space="preserve">(פ' </w:t>
      </w:r>
      <w:r w:rsidRPr="00924B9D">
        <w:rPr>
          <w:rFonts w:cs="Arial" w:hint="cs"/>
          <w:b/>
          <w:bCs/>
          <w:szCs w:val="16"/>
          <w:rtl/>
        </w:rPr>
        <w:t>המגרש</w:t>
      </w:r>
      <w:r w:rsidRPr="00924B9D">
        <w:rPr>
          <w:rFonts w:cs="Arial"/>
          <w:b/>
          <w:bCs/>
          <w:szCs w:val="16"/>
          <w:rtl/>
        </w:rPr>
        <w:t xml:space="preserve">) </w:t>
      </w:r>
      <w:r w:rsidRPr="00924B9D">
        <w:rPr>
          <w:rFonts w:cs="Arial" w:hint="cs"/>
          <w:b/>
          <w:bCs/>
          <w:rtl/>
        </w:rPr>
        <w:t>פז</w:t>
      </w:r>
      <w:r w:rsidRPr="00924B9D">
        <w:rPr>
          <w:rFonts w:cs="Arial"/>
          <w:b/>
          <w:bCs/>
          <w:rtl/>
        </w:rPr>
        <w:t xml:space="preserve"> ע"</w:t>
      </w:r>
      <w:r w:rsidRPr="00924B9D">
        <w:rPr>
          <w:rFonts w:cs="Arial" w:hint="cs"/>
          <w:b/>
          <w:bCs/>
          <w:rtl/>
        </w:rPr>
        <w:t>ב</w:t>
      </w:r>
      <w:r w:rsidRPr="00924B9D">
        <w:rPr>
          <w:rFonts w:cs="Arial"/>
          <w:b/>
          <w:bCs/>
          <w:rtl/>
        </w:rPr>
        <w:t>:</w:t>
      </w:r>
      <w:r w:rsidRPr="00924B9D">
        <w:rPr>
          <w:rFonts w:cs="Arial" w:hint="cs"/>
          <w:rtl/>
        </w:rPr>
        <w:t xml:space="preserve"> </w:t>
      </w:r>
      <w:r w:rsidRPr="00924B9D">
        <w:rPr>
          <w:rFonts w:cs="Arial"/>
          <w:u w:val="double"/>
          <w:rtl/>
        </w:rPr>
        <w:t>מתני</w:t>
      </w:r>
      <w:r w:rsidRPr="00924B9D">
        <w:rPr>
          <w:rFonts w:cs="Arial" w:hint="cs"/>
          <w:u w:val="double"/>
          <w:rtl/>
        </w:rPr>
        <w:t>'</w:t>
      </w:r>
      <w:r w:rsidRPr="00924B9D">
        <w:rPr>
          <w:rFonts w:cs="Arial" w:hint="cs"/>
          <w:rtl/>
        </w:rPr>
        <w:t>:..</w:t>
      </w:r>
      <w:r w:rsidRPr="00924B9D">
        <w:rPr>
          <w:rFonts w:cs="Arial"/>
          <w:rtl/>
        </w:rPr>
        <w:t xml:space="preserve">. כתב חניכתו וחניכתה </w:t>
      </w:r>
      <w:r w:rsidR="00A82951">
        <w:rPr>
          <w:rFonts w:cs="Arial"/>
          <w:rtl/>
        </w:rPr>
        <w:t>-</w:t>
      </w:r>
      <w:r w:rsidRPr="00924B9D">
        <w:rPr>
          <w:rFonts w:cs="Arial"/>
          <w:rtl/>
        </w:rPr>
        <w:t xml:space="preserve"> כשר.</w:t>
      </w:r>
    </w:p>
    <w:p w14:paraId="5E6F4270" w14:textId="77777777" w:rsidR="00FA2119" w:rsidRPr="00FD3E45" w:rsidRDefault="00FA2119" w:rsidP="00FA2119">
      <w:pPr>
        <w:rPr>
          <w:u w:val="single"/>
          <w:rtl/>
        </w:rPr>
      </w:pPr>
      <w:r w:rsidRPr="00FD3E45">
        <w:rPr>
          <w:rFonts w:hint="cs"/>
          <w:u w:val="single"/>
          <w:rtl/>
        </w:rPr>
        <w:t>כתיבת שם האיש והאשה בגט:</w:t>
      </w:r>
    </w:p>
    <w:p w14:paraId="6D54AE6F" w14:textId="19A74A9B" w:rsidR="00FA2119" w:rsidRPr="009E1E57" w:rsidRDefault="00FA2119" w:rsidP="00FA2119">
      <w:pPr>
        <w:pStyle w:val="ab"/>
        <w:numPr>
          <w:ilvl w:val="0"/>
          <w:numId w:val="69"/>
        </w:numPr>
      </w:pPr>
      <w:r>
        <w:rPr>
          <w:rFonts w:hint="cs"/>
          <w:rtl/>
        </w:rPr>
        <w:t>טור</w:t>
      </w:r>
      <w:r w:rsidR="00A82951">
        <w:rPr>
          <w:rFonts w:hint="cs"/>
          <w:rtl/>
        </w:rPr>
        <w:t>-</w:t>
      </w:r>
      <w:r>
        <w:rPr>
          <w:rFonts w:hint="cs"/>
          <w:rtl/>
        </w:rPr>
        <w:t xml:space="preserve"> </w:t>
      </w:r>
      <w:r w:rsidRPr="00390632">
        <w:rPr>
          <w:rFonts w:cs="Arial"/>
          <w:rtl/>
        </w:rPr>
        <w:t>כותבין שם האיש והאשה בגט</w:t>
      </w:r>
      <w:r>
        <w:rPr>
          <w:rFonts w:cs="Arial" w:hint="cs"/>
          <w:rtl/>
        </w:rPr>
        <w:t>.</w:t>
      </w:r>
      <w:r w:rsidRPr="00390632">
        <w:rPr>
          <w:rFonts w:cs="Arial"/>
          <w:rtl/>
        </w:rPr>
        <w:t xml:space="preserve"> </w:t>
      </w:r>
      <w:r w:rsidRPr="009A20BF">
        <w:rPr>
          <w:rFonts w:hint="cs"/>
          <w:color w:val="E36C0A" w:themeColor="accent6" w:themeShade="BF"/>
          <w:rtl/>
        </w:rPr>
        <w:t>(וכ"פ בשו"ע)</w:t>
      </w:r>
    </w:p>
    <w:p w14:paraId="64B4B9CE" w14:textId="77777777" w:rsidR="00FA2119" w:rsidRPr="009E1E57" w:rsidRDefault="00FA2119" w:rsidP="00FA2119">
      <w:pPr>
        <w:ind w:left="360"/>
        <w:rPr>
          <w:u w:val="dotted"/>
        </w:rPr>
      </w:pPr>
      <w:r w:rsidRPr="009E1E57">
        <w:rPr>
          <w:rFonts w:hint="cs"/>
          <w:u w:val="dotted"/>
          <w:rtl/>
        </w:rPr>
        <w:t>ומה הדין אם יש למי מהם שני שמות:</w:t>
      </w:r>
    </w:p>
    <w:p w14:paraId="0448F9D1" w14:textId="7A7F2DEA" w:rsidR="00FA2119" w:rsidRDefault="00FA2119" w:rsidP="00FA2119">
      <w:pPr>
        <w:pStyle w:val="ab"/>
        <w:numPr>
          <w:ilvl w:val="0"/>
          <w:numId w:val="69"/>
        </w:numPr>
      </w:pPr>
      <w:r>
        <w:rPr>
          <w:rFonts w:cs="Arial" w:hint="cs"/>
          <w:rtl/>
        </w:rPr>
        <w:t>טור</w:t>
      </w:r>
      <w:r w:rsidR="00A82951">
        <w:rPr>
          <w:rFonts w:cs="Arial" w:hint="cs"/>
          <w:rtl/>
        </w:rPr>
        <w:t>-</w:t>
      </w:r>
      <w:r>
        <w:rPr>
          <w:rFonts w:cs="Arial" w:hint="cs"/>
          <w:rtl/>
        </w:rPr>
        <w:t xml:space="preserve"> </w:t>
      </w:r>
      <w:r w:rsidRPr="00390632">
        <w:rPr>
          <w:rFonts w:cs="Arial"/>
          <w:rtl/>
        </w:rPr>
        <w:t>ואם יש לאחד מהם שני שמות</w:t>
      </w:r>
      <w:r w:rsidR="00BB5DD5">
        <w:rPr>
          <w:rFonts w:cs="Arial" w:hint="cs"/>
          <w:rtl/>
        </w:rPr>
        <w:t>,</w:t>
      </w:r>
      <w:r>
        <w:rPr>
          <w:rFonts w:cs="Arial" w:hint="cs"/>
          <w:rtl/>
        </w:rPr>
        <w:t xml:space="preserve"> </w:t>
      </w:r>
      <w:r w:rsidRPr="00390632">
        <w:rPr>
          <w:rFonts w:cs="Arial"/>
          <w:rtl/>
        </w:rPr>
        <w:t>כותבין שם העיקר שלו וכל שום וחניכה דאית ליה</w:t>
      </w:r>
      <w:r>
        <w:rPr>
          <w:rFonts w:cs="Arial" w:hint="cs"/>
          <w:rtl/>
        </w:rPr>
        <w:t>.</w:t>
      </w:r>
      <w:r w:rsidRPr="00390632">
        <w:rPr>
          <w:rFonts w:cs="Arial"/>
          <w:rtl/>
        </w:rPr>
        <w:t xml:space="preserve"> אבל אין כותבין שם הטפל וכל שום וחניכה דאית ליה</w:t>
      </w:r>
      <w:r>
        <w:rPr>
          <w:rFonts w:cs="Arial" w:hint="cs"/>
          <w:rtl/>
        </w:rPr>
        <w:t>.</w:t>
      </w:r>
      <w:r w:rsidRPr="009A20BF">
        <w:rPr>
          <w:rFonts w:hint="cs"/>
          <w:color w:val="E36C0A" w:themeColor="accent6" w:themeShade="BF"/>
          <w:rtl/>
        </w:rPr>
        <w:t xml:space="preserve"> (וכ"פ בשו"ע)</w:t>
      </w:r>
      <w:r w:rsidRPr="00390632">
        <w:rPr>
          <w:rFonts w:cs="Arial"/>
          <w:rtl/>
        </w:rPr>
        <w:t xml:space="preserve"> </w:t>
      </w:r>
    </w:p>
    <w:p w14:paraId="7EA48291" w14:textId="77777777" w:rsidR="00FA2119" w:rsidRPr="00C72F43" w:rsidRDefault="00FA2119" w:rsidP="00FA2119">
      <w:pPr>
        <w:ind w:left="360"/>
        <w:rPr>
          <w:u w:val="dotted"/>
        </w:rPr>
      </w:pPr>
      <w:r w:rsidRPr="00C72F43">
        <w:rPr>
          <w:rFonts w:hint="cs"/>
          <w:u w:val="dotted"/>
          <w:rtl/>
        </w:rPr>
        <w:t>ומה הדין אם כתב את השם הטפל וכל שום וחניכא דאית ליה:</w:t>
      </w:r>
    </w:p>
    <w:p w14:paraId="0831E4FF" w14:textId="21DC451B" w:rsidR="00FA2119" w:rsidRPr="005A4C3C" w:rsidRDefault="00FA2119" w:rsidP="00FA2119">
      <w:pPr>
        <w:pStyle w:val="ab"/>
        <w:numPr>
          <w:ilvl w:val="0"/>
          <w:numId w:val="69"/>
        </w:numPr>
      </w:pPr>
      <w:r>
        <w:rPr>
          <w:rFonts w:cs="Arial"/>
          <w:rtl/>
        </w:rPr>
        <w:lastRenderedPageBreak/>
        <w:t>ר"ת</w:t>
      </w:r>
      <w:r>
        <w:rPr>
          <w:rFonts w:cs="Arial" w:hint="cs"/>
          <w:rtl/>
        </w:rPr>
        <w:t xml:space="preserve"> </w:t>
      </w:r>
      <w:r>
        <w:rPr>
          <w:rFonts w:cs="Arial"/>
          <w:rtl/>
        </w:rPr>
        <w:t>תוס'</w:t>
      </w:r>
      <w:r>
        <w:rPr>
          <w:rStyle w:val="a7"/>
          <w:rFonts w:cs="Arial"/>
          <w:rtl/>
        </w:rPr>
        <w:footnoteReference w:id="1028"/>
      </w:r>
      <w:r>
        <w:rPr>
          <w:rFonts w:cs="Arial"/>
          <w:sz w:val="16"/>
          <w:szCs w:val="16"/>
        </w:rPr>
        <w:t xml:space="preserve"> </w:t>
      </w:r>
      <w:r>
        <w:rPr>
          <w:rFonts w:cs="Arial"/>
          <w:rtl/>
        </w:rPr>
        <w:t xml:space="preserve">רמב"ן </w:t>
      </w:r>
      <w:r>
        <w:rPr>
          <w:rFonts w:cs="Arial" w:hint="cs"/>
          <w:rtl/>
        </w:rPr>
        <w:t>רא"ש הה"מ וטור</w:t>
      </w:r>
      <w:r>
        <w:rPr>
          <w:rStyle w:val="a7"/>
          <w:rFonts w:cs="Arial"/>
          <w:rtl/>
        </w:rPr>
        <w:footnoteReference w:id="1029"/>
      </w:r>
      <w:r w:rsidR="00A82951">
        <w:rPr>
          <w:rFonts w:cs="Arial" w:hint="cs"/>
          <w:rtl/>
        </w:rPr>
        <w:t>-</w:t>
      </w:r>
      <w:r>
        <w:rPr>
          <w:rFonts w:cs="Arial" w:hint="cs"/>
          <w:rtl/>
        </w:rPr>
        <w:t xml:space="preserve"> </w:t>
      </w:r>
      <w:r w:rsidRPr="00390632">
        <w:rPr>
          <w:rFonts w:cs="Arial"/>
          <w:rtl/>
        </w:rPr>
        <w:t xml:space="preserve">בד"א </w:t>
      </w:r>
      <w:r>
        <w:rPr>
          <w:rFonts w:cs="Arial" w:hint="cs"/>
          <w:sz w:val="16"/>
          <w:szCs w:val="16"/>
          <w:rtl/>
        </w:rPr>
        <w:t xml:space="preserve">{שצריך לכתוב שם העיקר ואז כל שום וכו' </w:t>
      </w:r>
      <w:r w:rsidR="00A82951">
        <w:rPr>
          <w:rFonts w:cs="Arial" w:hint="cs"/>
          <w:sz w:val="16"/>
          <w:szCs w:val="16"/>
          <w:rtl/>
        </w:rPr>
        <w:t>-</w:t>
      </w:r>
      <w:r>
        <w:rPr>
          <w:rFonts w:cs="Arial" w:hint="cs"/>
          <w:sz w:val="16"/>
          <w:szCs w:val="16"/>
          <w:rtl/>
        </w:rPr>
        <w:t xml:space="preserve">} </w:t>
      </w:r>
      <w:r w:rsidRPr="00390632">
        <w:rPr>
          <w:rFonts w:cs="Arial"/>
          <w:rtl/>
        </w:rPr>
        <w:t>לכתחלה</w:t>
      </w:r>
      <w:r>
        <w:rPr>
          <w:rFonts w:cs="Arial" w:hint="cs"/>
          <w:rtl/>
        </w:rPr>
        <w:t>,</w:t>
      </w:r>
      <w:r w:rsidRPr="00390632">
        <w:rPr>
          <w:rFonts w:cs="Arial"/>
          <w:rtl/>
        </w:rPr>
        <w:t xml:space="preserve"> אבל בדיעבד אפילו לא נכתב אלא אחד מהם</w:t>
      </w:r>
      <w:r>
        <w:rPr>
          <w:rFonts w:cs="Arial" w:hint="cs"/>
          <w:rtl/>
        </w:rPr>
        <w:t xml:space="preserve"> </w:t>
      </w:r>
      <w:r w:rsidR="00A82951">
        <w:rPr>
          <w:rFonts w:cs="Arial"/>
          <w:rtl/>
        </w:rPr>
        <w:t>-</w:t>
      </w:r>
      <w:r w:rsidRPr="00390632">
        <w:rPr>
          <w:rFonts w:cs="Arial"/>
          <w:rtl/>
        </w:rPr>
        <w:t xml:space="preserve"> כשר</w:t>
      </w:r>
      <w:r>
        <w:rPr>
          <w:rStyle w:val="a7"/>
          <w:rFonts w:cs="Arial"/>
          <w:rtl/>
        </w:rPr>
        <w:footnoteReference w:id="1030"/>
      </w:r>
      <w:r>
        <w:rPr>
          <w:rFonts w:cs="Arial" w:hint="cs"/>
          <w:sz w:val="16"/>
          <w:szCs w:val="16"/>
          <w:rtl/>
        </w:rPr>
        <w:t xml:space="preserve"> (ל' הטור)</w:t>
      </w:r>
      <w:r>
        <w:rPr>
          <w:rFonts w:hint="cs"/>
          <w:rtl/>
        </w:rPr>
        <w:t>.</w:t>
      </w:r>
    </w:p>
    <w:p w14:paraId="7D2AC8E6" w14:textId="4B2031CB" w:rsidR="00FA2119" w:rsidRPr="00E401E7" w:rsidRDefault="00FA2119" w:rsidP="00FA2119">
      <w:pPr>
        <w:pStyle w:val="ab"/>
        <w:numPr>
          <w:ilvl w:val="0"/>
          <w:numId w:val="69"/>
        </w:numPr>
      </w:pPr>
      <w:r w:rsidRPr="00390632">
        <w:rPr>
          <w:rFonts w:cs="Arial"/>
          <w:rtl/>
        </w:rPr>
        <w:t>רמב"ם</w:t>
      </w:r>
      <w:r>
        <w:rPr>
          <w:rFonts w:cs="Arial" w:hint="cs"/>
          <w:rtl/>
        </w:rPr>
        <w:t xml:space="preserve"> </w:t>
      </w:r>
      <w:r w:rsidRPr="0019305B">
        <w:rPr>
          <w:rFonts w:cs="Arial" w:hint="cs"/>
          <w:sz w:val="16"/>
          <w:szCs w:val="16"/>
          <w:rtl/>
        </w:rPr>
        <w:t>(</w:t>
      </w:r>
      <w:r w:rsidRPr="0019305B">
        <w:rPr>
          <w:rFonts w:cs="Arial"/>
          <w:sz w:val="16"/>
          <w:szCs w:val="16"/>
          <w:rtl/>
        </w:rPr>
        <w:t>פ</w:t>
      </w:r>
      <w:r w:rsidRPr="0019305B">
        <w:rPr>
          <w:rFonts w:cs="Arial" w:hint="cs"/>
          <w:sz w:val="16"/>
          <w:szCs w:val="16"/>
          <w:rtl/>
        </w:rPr>
        <w:t>"</w:t>
      </w:r>
      <w:r w:rsidRPr="0019305B">
        <w:rPr>
          <w:rFonts w:cs="Arial"/>
          <w:sz w:val="16"/>
          <w:szCs w:val="16"/>
          <w:rtl/>
        </w:rPr>
        <w:t>ג ה</w:t>
      </w:r>
      <w:r>
        <w:rPr>
          <w:rFonts w:cs="Arial" w:hint="cs"/>
          <w:sz w:val="16"/>
          <w:szCs w:val="16"/>
          <w:rtl/>
        </w:rPr>
        <w:t>י"ג</w:t>
      </w:r>
      <w:r w:rsidR="00A82951">
        <w:rPr>
          <w:rFonts w:cs="Arial" w:hint="cs"/>
          <w:sz w:val="16"/>
          <w:szCs w:val="16"/>
          <w:rtl/>
        </w:rPr>
        <w:t>-</w:t>
      </w:r>
      <w:r w:rsidRPr="0019305B">
        <w:rPr>
          <w:rFonts w:cs="Arial"/>
          <w:sz w:val="16"/>
          <w:szCs w:val="16"/>
          <w:rtl/>
        </w:rPr>
        <w:t>יד)</w:t>
      </w:r>
      <w:r w:rsidR="00A82951">
        <w:rPr>
          <w:rFonts w:cs="Arial" w:hint="cs"/>
          <w:rtl/>
        </w:rPr>
        <w:t>-</w:t>
      </w:r>
      <w:r>
        <w:rPr>
          <w:rFonts w:cs="Arial" w:hint="cs"/>
          <w:rtl/>
        </w:rPr>
        <w:t xml:space="preserve"> </w:t>
      </w:r>
      <w:r w:rsidRPr="00684B92">
        <w:rPr>
          <w:rFonts w:cs="Arial"/>
          <w:rtl/>
        </w:rPr>
        <w:t>מי שהיו לו שני שמות</w:t>
      </w:r>
      <w:r w:rsidR="000B6326">
        <w:rPr>
          <w:rFonts w:cs="Arial" w:hint="cs"/>
          <w:rtl/>
        </w:rPr>
        <w:t>,</w:t>
      </w:r>
      <w:r w:rsidRPr="00684B92">
        <w:rPr>
          <w:rFonts w:cs="Arial"/>
          <w:rtl/>
        </w:rPr>
        <w:t xml:space="preserve"> וכן אשה שיש לה שני שמות</w:t>
      </w:r>
      <w:r w:rsidR="000B6326">
        <w:rPr>
          <w:rFonts w:cs="Arial" w:hint="cs"/>
          <w:rtl/>
        </w:rPr>
        <w:t>,</w:t>
      </w:r>
      <w:r w:rsidRPr="00684B92">
        <w:rPr>
          <w:rFonts w:cs="Arial"/>
          <w:rtl/>
        </w:rPr>
        <w:t xml:space="preserve"> כשמגרש כותב שמו ושמה שהן רגילין בו וידועין בו ביותר</w:t>
      </w:r>
      <w:r>
        <w:rPr>
          <w:rFonts w:cs="Arial" w:hint="cs"/>
          <w:rtl/>
        </w:rPr>
        <w:t>.</w:t>
      </w:r>
      <w:r w:rsidRPr="00684B92">
        <w:rPr>
          <w:rFonts w:cs="Arial"/>
          <w:rtl/>
        </w:rPr>
        <w:t xml:space="preserve"> ואומר </w:t>
      </w:r>
      <w:r>
        <w:rPr>
          <w:rFonts w:cs="Arial" w:hint="cs"/>
          <w:rtl/>
        </w:rPr>
        <w:t>'</w:t>
      </w:r>
      <w:r w:rsidRPr="00684B92">
        <w:rPr>
          <w:rFonts w:cs="Arial"/>
          <w:rtl/>
        </w:rPr>
        <w:t>איש פלוני וכל שם שיש לו גירש אשה פלונית וכל שם שיש לה</w:t>
      </w:r>
      <w:r>
        <w:rPr>
          <w:rFonts w:cs="Arial" w:hint="cs"/>
          <w:rtl/>
        </w:rPr>
        <w:t>'.</w:t>
      </w:r>
      <w:r w:rsidRPr="00684B92">
        <w:rPr>
          <w:rFonts w:cs="Arial"/>
          <w:rtl/>
        </w:rPr>
        <w:t xml:space="preserve"> ואם כתב חניכתו וחניכתה</w:t>
      </w:r>
      <w:r>
        <w:rPr>
          <w:rStyle w:val="a7"/>
          <w:rFonts w:cs="Arial"/>
          <w:rtl/>
        </w:rPr>
        <w:footnoteReference w:id="1031"/>
      </w:r>
      <w:r>
        <w:rPr>
          <w:rFonts w:cs="Arial" w:hint="cs"/>
          <w:rtl/>
        </w:rPr>
        <w:t xml:space="preserve"> </w:t>
      </w:r>
      <w:r w:rsidR="00A82951">
        <w:rPr>
          <w:rFonts w:cs="Arial" w:hint="cs"/>
          <w:rtl/>
        </w:rPr>
        <w:t>-</w:t>
      </w:r>
      <w:r w:rsidRPr="00684B92">
        <w:rPr>
          <w:rFonts w:cs="Arial"/>
          <w:rtl/>
        </w:rPr>
        <w:t xml:space="preserve"> כשר. </w:t>
      </w:r>
      <w:r w:rsidRPr="0019305B">
        <w:rPr>
          <w:rFonts w:cs="Arial"/>
          <w:rtl/>
        </w:rPr>
        <w:t xml:space="preserve">כתב השם שאינם ידועין בו ביותר וכתב כל שם שיש לו </w:t>
      </w:r>
      <w:r w:rsidR="00A82951">
        <w:rPr>
          <w:rFonts w:cs="Arial" w:hint="cs"/>
          <w:rtl/>
        </w:rPr>
        <w:t>-</w:t>
      </w:r>
      <w:r>
        <w:rPr>
          <w:rFonts w:cs="Arial" w:hint="cs"/>
          <w:rtl/>
        </w:rPr>
        <w:t xml:space="preserve"> </w:t>
      </w:r>
      <w:r w:rsidRPr="0019305B">
        <w:rPr>
          <w:rFonts w:cs="Arial"/>
          <w:rtl/>
        </w:rPr>
        <w:t>הרי זה פסול.</w:t>
      </w:r>
      <w:r w:rsidRPr="009E1E57">
        <w:rPr>
          <w:rFonts w:cs="Arial"/>
          <w:rtl/>
        </w:rPr>
        <w:t xml:space="preserve"> </w:t>
      </w:r>
      <w:r w:rsidRPr="009A20BF">
        <w:rPr>
          <w:rFonts w:hint="cs"/>
          <w:color w:val="E36C0A" w:themeColor="accent6" w:themeShade="BF"/>
          <w:rtl/>
        </w:rPr>
        <w:t>(וכ"פ בשו"ע</w:t>
      </w:r>
      <w:r w:rsidRPr="008C6DCE">
        <w:rPr>
          <w:rFonts w:hint="cs"/>
          <w:color w:val="000000" w:themeColor="text1"/>
          <w:sz w:val="16"/>
          <w:szCs w:val="16"/>
          <w:rtl/>
        </w:rPr>
        <w:t xml:space="preserve"> [</w:t>
      </w:r>
      <w:r>
        <w:rPr>
          <w:rFonts w:hint="cs"/>
          <w:color w:val="000000" w:themeColor="text1"/>
          <w:sz w:val="16"/>
          <w:szCs w:val="16"/>
          <w:rtl/>
        </w:rPr>
        <w:t>כאן ובסע' ב</w:t>
      </w:r>
      <w:r w:rsidRPr="008C6DCE">
        <w:rPr>
          <w:rFonts w:hint="cs"/>
          <w:color w:val="000000" w:themeColor="text1"/>
          <w:sz w:val="16"/>
          <w:szCs w:val="16"/>
          <w:rtl/>
        </w:rPr>
        <w:t>]</w:t>
      </w:r>
      <w:r w:rsidRPr="009A20BF">
        <w:rPr>
          <w:rFonts w:hint="cs"/>
          <w:color w:val="E36C0A" w:themeColor="accent6" w:themeShade="BF"/>
          <w:rtl/>
        </w:rPr>
        <w:t>)</w:t>
      </w:r>
    </w:p>
    <w:p w14:paraId="6D6A1D95" w14:textId="4EFDE2E1" w:rsidR="00FA2119" w:rsidRDefault="00FA2119" w:rsidP="00FA2119">
      <w:pPr>
        <w:pStyle w:val="ab"/>
        <w:numPr>
          <w:ilvl w:val="0"/>
          <w:numId w:val="69"/>
        </w:numPr>
      </w:pPr>
      <w:r w:rsidRPr="00E401E7">
        <w:rPr>
          <w:rFonts w:cs="Arial"/>
          <w:rtl/>
        </w:rPr>
        <w:t xml:space="preserve">רשב"א </w:t>
      </w:r>
      <w:r w:rsidRPr="00E401E7">
        <w:rPr>
          <w:rFonts w:cs="Arial"/>
          <w:sz w:val="16"/>
          <w:szCs w:val="16"/>
          <w:rtl/>
        </w:rPr>
        <w:t>(</w:t>
      </w:r>
      <w:r w:rsidRPr="00E401E7">
        <w:rPr>
          <w:rFonts w:cs="Arial" w:hint="cs"/>
          <w:sz w:val="16"/>
          <w:szCs w:val="16"/>
          <w:rtl/>
        </w:rPr>
        <w:t xml:space="preserve">לד: </w:t>
      </w:r>
      <w:r w:rsidRPr="00E401E7">
        <w:rPr>
          <w:rFonts w:cs="Arial"/>
          <w:sz w:val="16"/>
          <w:szCs w:val="16"/>
          <w:rtl/>
        </w:rPr>
        <w:t>שם ד"ה גמרא)</w:t>
      </w:r>
      <w:r w:rsidR="00A82951">
        <w:rPr>
          <w:rFonts w:cs="Arial" w:hint="cs"/>
          <w:rtl/>
        </w:rPr>
        <w:t>-</w:t>
      </w:r>
      <w:r w:rsidRPr="00E401E7">
        <w:rPr>
          <w:rFonts w:cs="Arial" w:hint="cs"/>
          <w:rtl/>
        </w:rPr>
        <w:t xml:space="preserve"> </w:t>
      </w:r>
      <w:r w:rsidRPr="00942B46">
        <w:rPr>
          <w:rFonts w:cs="Arial"/>
          <w:rtl/>
        </w:rPr>
        <w:t>הוחזק בשני שמות במקום אחד מגרש לכתחלה באחד מהן</w:t>
      </w:r>
      <w:r>
        <w:rPr>
          <w:rStyle w:val="a7"/>
          <w:rFonts w:cs="Arial"/>
          <w:rtl/>
        </w:rPr>
        <w:footnoteReference w:id="1032"/>
      </w:r>
      <w:r w:rsidRPr="00942B46">
        <w:rPr>
          <w:rFonts w:cs="Arial"/>
          <w:rtl/>
        </w:rPr>
        <w:t xml:space="preserve"> ואינו חושש</w:t>
      </w:r>
      <w:r>
        <w:rPr>
          <w:rStyle w:val="a7"/>
          <w:rFonts w:cs="Arial"/>
          <w:rtl/>
        </w:rPr>
        <w:footnoteReference w:id="1033"/>
      </w:r>
      <w:r>
        <w:rPr>
          <w:rFonts w:cs="Arial" w:hint="cs"/>
          <w:rtl/>
        </w:rPr>
        <w:t>... ו</w:t>
      </w:r>
      <w:r w:rsidRPr="00942B46">
        <w:rPr>
          <w:rFonts w:cs="Arial"/>
          <w:rtl/>
        </w:rPr>
        <w:t>אם בא לכתוב שניהם לא יכתוב הטפל עיקר והעיקר טפל</w:t>
      </w:r>
      <w:r>
        <w:rPr>
          <w:rFonts w:cs="Arial" w:hint="cs"/>
          <w:rtl/>
        </w:rPr>
        <w:t>,</w:t>
      </w:r>
      <w:r w:rsidRPr="00942B46">
        <w:rPr>
          <w:rFonts w:cs="Arial"/>
          <w:rtl/>
        </w:rPr>
        <w:t xml:space="preserve"> שאין דרך העולם בכך ואיכא לעז</w:t>
      </w:r>
      <w:r>
        <w:rPr>
          <w:rFonts w:cs="Arial" w:hint="cs"/>
          <w:rtl/>
        </w:rPr>
        <w:t>.</w:t>
      </w:r>
      <w:r w:rsidRPr="00942B46">
        <w:rPr>
          <w:rFonts w:cs="Arial"/>
          <w:rtl/>
        </w:rPr>
        <w:t xml:space="preserve"> וטפי עדיף לכתוב שם הטפל לבדו ממה שיכתוב שניהם ויכתוב שם הטפל בעיקר והעיקר בטפל</w:t>
      </w:r>
      <w:r>
        <w:rPr>
          <w:rFonts w:cs="Arial" w:hint="cs"/>
          <w:rtl/>
        </w:rPr>
        <w:t>,</w:t>
      </w:r>
      <w:r w:rsidRPr="00942B46">
        <w:rPr>
          <w:rFonts w:cs="Arial"/>
          <w:rtl/>
        </w:rPr>
        <w:t xml:space="preserve"> שזה דרכן של בריות וזה אין דרכן</w:t>
      </w:r>
      <w:r w:rsidRPr="00942B46">
        <w:rPr>
          <w:rFonts w:cs="Arial" w:hint="cs"/>
          <w:rtl/>
        </w:rPr>
        <w:t>.</w:t>
      </w:r>
    </w:p>
    <w:p w14:paraId="1AFDCB0D" w14:textId="6278195D" w:rsidR="00FA2119" w:rsidRPr="00241BD1" w:rsidRDefault="00FA2119" w:rsidP="00FA2119">
      <w:pPr>
        <w:pStyle w:val="ab"/>
        <w:numPr>
          <w:ilvl w:val="0"/>
          <w:numId w:val="69"/>
        </w:numPr>
      </w:pPr>
      <w:r w:rsidRPr="00390632">
        <w:rPr>
          <w:rFonts w:cs="Arial"/>
          <w:rtl/>
        </w:rPr>
        <w:t xml:space="preserve">רמ"ה </w:t>
      </w:r>
      <w:r w:rsidRPr="00BD3D8D">
        <w:rPr>
          <w:rFonts w:cs="Arial"/>
          <w:sz w:val="16"/>
          <w:szCs w:val="16"/>
          <w:rtl/>
        </w:rPr>
        <w:t xml:space="preserve">(חידושי הרמ"ה גיטין לד: סי' נג </w:t>
      </w:r>
      <w:r w:rsidR="00A82951">
        <w:rPr>
          <w:rFonts w:cs="Arial"/>
          <w:sz w:val="16"/>
          <w:szCs w:val="16"/>
          <w:rtl/>
        </w:rPr>
        <w:t>-</w:t>
      </w:r>
      <w:r w:rsidRPr="00BD3D8D">
        <w:rPr>
          <w:rFonts w:cs="Arial"/>
          <w:sz w:val="16"/>
          <w:szCs w:val="16"/>
          <w:rtl/>
        </w:rPr>
        <w:t xml:space="preserve"> נה)</w:t>
      </w:r>
      <w:r w:rsidR="00A82951">
        <w:rPr>
          <w:rFonts w:cs="Arial" w:hint="cs"/>
          <w:rtl/>
        </w:rPr>
        <w:t>-</w:t>
      </w:r>
      <w:r>
        <w:rPr>
          <w:rFonts w:cs="Arial" w:hint="cs"/>
          <w:rtl/>
        </w:rPr>
        <w:t xml:space="preserve"> </w:t>
      </w:r>
      <w:r w:rsidRPr="00390632">
        <w:rPr>
          <w:rFonts w:cs="Arial"/>
          <w:rtl/>
        </w:rPr>
        <w:t xml:space="preserve">אם כתב שם טפל בפרט וכולל שם העיקר </w:t>
      </w:r>
      <w:r w:rsidR="00A82951">
        <w:rPr>
          <w:rFonts w:cs="Arial" w:hint="cs"/>
          <w:rtl/>
        </w:rPr>
        <w:t>-</w:t>
      </w:r>
      <w:r>
        <w:rPr>
          <w:rFonts w:cs="Arial" w:hint="cs"/>
          <w:rtl/>
        </w:rPr>
        <w:t xml:space="preserve"> </w:t>
      </w:r>
      <w:r w:rsidRPr="00390632">
        <w:rPr>
          <w:rFonts w:cs="Arial"/>
          <w:rtl/>
        </w:rPr>
        <w:t>הויא ספק מגורשת</w:t>
      </w:r>
      <w:r>
        <w:rPr>
          <w:rFonts w:cs="Arial" w:hint="cs"/>
          <w:sz w:val="16"/>
          <w:szCs w:val="16"/>
          <w:rtl/>
        </w:rPr>
        <w:t xml:space="preserve"> (ל' הטור בשם הרמ"ה)</w:t>
      </w:r>
      <w:r>
        <w:rPr>
          <w:rFonts w:cs="Arial" w:hint="cs"/>
          <w:rtl/>
        </w:rPr>
        <w:t>.</w:t>
      </w:r>
    </w:p>
    <w:p w14:paraId="1563772F" w14:textId="77777777" w:rsidR="00FA2119" w:rsidRPr="00884E33" w:rsidRDefault="00FA2119" w:rsidP="00FA2119">
      <w:pPr>
        <w:ind w:left="360"/>
        <w:rPr>
          <w:u w:val="dotted"/>
        </w:rPr>
      </w:pPr>
      <w:r w:rsidRPr="00884E33">
        <w:rPr>
          <w:rFonts w:hint="cs"/>
          <w:u w:val="dotted"/>
          <w:rtl/>
        </w:rPr>
        <w:t xml:space="preserve">ומה הדין אם </w:t>
      </w:r>
      <w:r>
        <w:rPr>
          <w:rFonts w:hint="cs"/>
          <w:u w:val="dotted"/>
          <w:rtl/>
        </w:rPr>
        <w:t xml:space="preserve">כתב את השם הטפל לבד </w:t>
      </w:r>
      <w:r w:rsidRPr="00925BA2">
        <w:rPr>
          <w:rFonts w:hint="cs"/>
          <w:sz w:val="16"/>
          <w:szCs w:val="16"/>
          <w:u w:val="dotted"/>
          <w:rtl/>
        </w:rPr>
        <w:t>(בלא 'וכל שום דאית ליה')</w:t>
      </w:r>
      <w:r w:rsidRPr="00884E33">
        <w:rPr>
          <w:rFonts w:hint="cs"/>
          <w:u w:val="dotted"/>
          <w:rtl/>
        </w:rPr>
        <w:t>:</w:t>
      </w:r>
    </w:p>
    <w:p w14:paraId="23E0082A" w14:textId="1CC92DED" w:rsidR="00FA2119" w:rsidRPr="00884E33" w:rsidRDefault="00FA2119" w:rsidP="00FA2119">
      <w:pPr>
        <w:pStyle w:val="ab"/>
        <w:numPr>
          <w:ilvl w:val="0"/>
          <w:numId w:val="69"/>
        </w:numPr>
      </w:pPr>
      <w:r>
        <w:rPr>
          <w:rFonts w:cs="Arial" w:hint="cs"/>
          <w:rtl/>
        </w:rPr>
        <w:t>טור</w:t>
      </w:r>
      <w:r w:rsidR="00A82951">
        <w:rPr>
          <w:rFonts w:cs="Arial" w:hint="cs"/>
          <w:rtl/>
        </w:rPr>
        <w:t>-</w:t>
      </w:r>
      <w:r>
        <w:rPr>
          <w:rFonts w:cs="Arial" w:hint="cs"/>
          <w:rtl/>
        </w:rPr>
        <w:t xml:space="preserve"> </w:t>
      </w:r>
      <w:r w:rsidRPr="00390632">
        <w:rPr>
          <w:rFonts w:cs="Arial"/>
          <w:rtl/>
        </w:rPr>
        <w:t xml:space="preserve">בד"א </w:t>
      </w:r>
      <w:r>
        <w:rPr>
          <w:rFonts w:cs="Arial" w:hint="cs"/>
          <w:sz w:val="16"/>
          <w:szCs w:val="16"/>
          <w:rtl/>
        </w:rPr>
        <w:t xml:space="preserve">{שצריך לכתוב שם העיקר ואז כל שום וכו' </w:t>
      </w:r>
      <w:r w:rsidR="00A82951">
        <w:rPr>
          <w:rFonts w:cs="Arial" w:hint="cs"/>
          <w:sz w:val="16"/>
          <w:szCs w:val="16"/>
          <w:rtl/>
        </w:rPr>
        <w:t>-</w:t>
      </w:r>
      <w:r>
        <w:rPr>
          <w:rFonts w:cs="Arial" w:hint="cs"/>
          <w:sz w:val="16"/>
          <w:szCs w:val="16"/>
          <w:rtl/>
        </w:rPr>
        <w:t xml:space="preserve">} </w:t>
      </w:r>
      <w:r w:rsidRPr="00390632">
        <w:rPr>
          <w:rFonts w:cs="Arial"/>
          <w:rtl/>
        </w:rPr>
        <w:t>לכתחלה</w:t>
      </w:r>
      <w:r>
        <w:rPr>
          <w:rFonts w:cs="Arial" w:hint="cs"/>
          <w:rtl/>
        </w:rPr>
        <w:t>,</w:t>
      </w:r>
      <w:r w:rsidRPr="00390632">
        <w:rPr>
          <w:rFonts w:cs="Arial"/>
          <w:rtl/>
        </w:rPr>
        <w:t xml:space="preserve"> אבל בדיעבד אפילו לא נכתב אלא אחד מהם</w:t>
      </w:r>
      <w:r>
        <w:rPr>
          <w:rFonts w:cs="Arial" w:hint="cs"/>
          <w:rtl/>
        </w:rPr>
        <w:t xml:space="preserve"> </w:t>
      </w:r>
      <w:r w:rsidR="00A82951">
        <w:rPr>
          <w:rFonts w:cs="Arial"/>
          <w:rtl/>
        </w:rPr>
        <w:t>-</w:t>
      </w:r>
      <w:r w:rsidRPr="00390632">
        <w:rPr>
          <w:rFonts w:cs="Arial"/>
          <w:rtl/>
        </w:rPr>
        <w:t xml:space="preserve"> כשר</w:t>
      </w:r>
      <w:r>
        <w:rPr>
          <w:rFonts w:cs="Arial" w:hint="cs"/>
          <w:rtl/>
        </w:rPr>
        <w:t>...</w:t>
      </w:r>
      <w:r w:rsidRPr="00B35483">
        <w:rPr>
          <w:rFonts w:cs="Arial"/>
          <w:rtl/>
        </w:rPr>
        <w:t xml:space="preserve"> </w:t>
      </w:r>
      <w:r w:rsidRPr="008D6412">
        <w:rPr>
          <w:rFonts w:cs="Arial"/>
          <w:rtl/>
        </w:rPr>
        <w:t>והא דכשר בדיעבד כשכתב שם הטפל וכל שום וחניכה דאית ליה</w:t>
      </w:r>
      <w:r w:rsidRPr="008D6412">
        <w:rPr>
          <w:rFonts w:cs="Arial" w:hint="cs"/>
          <w:rtl/>
        </w:rPr>
        <w:t>,</w:t>
      </w:r>
      <w:r w:rsidRPr="008D6412">
        <w:rPr>
          <w:rFonts w:cs="Arial"/>
          <w:rtl/>
        </w:rPr>
        <w:t xml:space="preserve"> דוקא למגרש במקום הכתיבה</w:t>
      </w:r>
      <w:r>
        <w:rPr>
          <w:rStyle w:val="a7"/>
          <w:rFonts w:cs="Arial"/>
          <w:rtl/>
        </w:rPr>
        <w:footnoteReference w:id="1034"/>
      </w:r>
      <w:r>
        <w:rPr>
          <w:rFonts w:cs="Arial" w:hint="cs"/>
          <w:rtl/>
        </w:rPr>
        <w:t xml:space="preserve">. </w:t>
      </w:r>
    </w:p>
    <w:p w14:paraId="64A5EEAD" w14:textId="71526E6F" w:rsidR="00FA2119" w:rsidRDefault="00FA2119" w:rsidP="00FA2119">
      <w:pPr>
        <w:pStyle w:val="ab"/>
        <w:numPr>
          <w:ilvl w:val="0"/>
          <w:numId w:val="69"/>
        </w:numPr>
      </w:pPr>
      <w:r>
        <w:rPr>
          <w:rFonts w:cs="Arial" w:hint="cs"/>
          <w:rtl/>
        </w:rPr>
        <w:lastRenderedPageBreak/>
        <w:t>(</w:t>
      </w:r>
      <w:r w:rsidRPr="00884E33">
        <w:rPr>
          <w:rFonts w:cs="Arial" w:hint="cs"/>
          <w:rtl/>
        </w:rPr>
        <w:t>טור</w:t>
      </w:r>
      <w:r w:rsidRPr="00884E33">
        <w:rPr>
          <w:rFonts w:cs="Arial" w:hint="cs"/>
          <w:sz w:val="16"/>
          <w:szCs w:val="16"/>
          <w:rtl/>
        </w:rPr>
        <w:t xml:space="preserve"> להב' ה</w:t>
      </w:r>
      <w:r>
        <w:rPr>
          <w:rFonts w:cs="Arial" w:hint="cs"/>
          <w:sz w:val="16"/>
          <w:szCs w:val="16"/>
          <w:rtl/>
        </w:rPr>
        <w:t>דרכ"מ</w:t>
      </w:r>
      <w:r>
        <w:rPr>
          <w:rFonts w:cs="Arial" w:hint="cs"/>
          <w:rtl/>
        </w:rPr>
        <w:t>) ו</w:t>
      </w:r>
      <w:r w:rsidRPr="00884E33">
        <w:rPr>
          <w:rFonts w:cs="Arial" w:hint="cs"/>
          <w:rtl/>
        </w:rPr>
        <w:t>ב"י</w:t>
      </w:r>
      <w:r w:rsidR="00A82951">
        <w:rPr>
          <w:rFonts w:cs="Arial" w:hint="cs"/>
          <w:rtl/>
        </w:rPr>
        <w:t>-</w:t>
      </w:r>
      <w:r w:rsidRPr="00884E33">
        <w:rPr>
          <w:rFonts w:cs="Arial" w:hint="cs"/>
          <w:rtl/>
        </w:rPr>
        <w:t xml:space="preserve"> </w:t>
      </w:r>
      <w:r w:rsidRPr="00884E33">
        <w:rPr>
          <w:rFonts w:cs="Arial"/>
          <w:rtl/>
        </w:rPr>
        <w:t>בכותב שם עיקר בלא וכל שום</w:t>
      </w:r>
      <w:r w:rsidR="00551549">
        <w:rPr>
          <w:rFonts w:cs="Arial" w:hint="cs"/>
          <w:rtl/>
        </w:rPr>
        <w:t>,</w:t>
      </w:r>
      <w:r w:rsidRPr="00884E33">
        <w:rPr>
          <w:rFonts w:cs="Arial" w:hint="cs"/>
          <w:rtl/>
        </w:rPr>
        <w:t xml:space="preserve"> </w:t>
      </w:r>
      <w:r w:rsidRPr="00884E33">
        <w:rPr>
          <w:rFonts w:cs="Arial"/>
          <w:rtl/>
        </w:rPr>
        <w:t>לכולי עלמא כשר</w:t>
      </w:r>
      <w:r w:rsidRPr="00884E33">
        <w:rPr>
          <w:rFonts w:cs="Arial" w:hint="cs"/>
          <w:rtl/>
        </w:rPr>
        <w:t>.</w:t>
      </w:r>
      <w:r w:rsidRPr="00884E33">
        <w:rPr>
          <w:rFonts w:cs="Arial"/>
          <w:rtl/>
        </w:rPr>
        <w:t xml:space="preserve"> ואפילו בכותב שם הטפל בלא וכל שום</w:t>
      </w:r>
      <w:r w:rsidRPr="00884E33">
        <w:rPr>
          <w:rFonts w:cs="Arial" w:hint="cs"/>
          <w:rtl/>
        </w:rPr>
        <w:t xml:space="preserve"> </w:t>
      </w:r>
      <w:r w:rsidRPr="00884E33">
        <w:rPr>
          <w:rFonts w:cs="Arial"/>
          <w:rtl/>
        </w:rPr>
        <w:t>מכשיר הרמב"ם בדיעבד</w:t>
      </w:r>
      <w:r>
        <w:rPr>
          <w:rStyle w:val="a7"/>
          <w:rFonts w:cs="Arial"/>
          <w:rtl/>
        </w:rPr>
        <w:footnoteReference w:id="1035"/>
      </w:r>
      <w:r w:rsidRPr="00884E33">
        <w:rPr>
          <w:rFonts w:cs="Arial" w:hint="cs"/>
          <w:rtl/>
        </w:rPr>
        <w:t>,</w:t>
      </w:r>
      <w:r w:rsidRPr="00884E33">
        <w:rPr>
          <w:rFonts w:cs="Arial"/>
          <w:rtl/>
        </w:rPr>
        <w:t xml:space="preserve"> דלא גרע מחניכתו וחניכתה</w:t>
      </w:r>
      <w:r>
        <w:rPr>
          <w:rStyle w:val="a7"/>
          <w:rFonts w:cs="Arial"/>
          <w:rtl/>
        </w:rPr>
        <w:footnoteReference w:id="1036"/>
      </w:r>
      <w:r>
        <w:rPr>
          <w:rFonts w:cs="Arial" w:hint="cs"/>
          <w:sz w:val="16"/>
          <w:szCs w:val="16"/>
          <w:rtl/>
        </w:rPr>
        <w:t xml:space="preserve"> (ל' הב"י)</w:t>
      </w:r>
      <w:r w:rsidRPr="00884E33">
        <w:rPr>
          <w:rFonts w:cs="Arial" w:hint="cs"/>
          <w:rtl/>
        </w:rPr>
        <w:t>.</w:t>
      </w:r>
      <w:r w:rsidRPr="00884E33">
        <w:rPr>
          <w:rFonts w:cs="Arial"/>
          <w:rtl/>
        </w:rPr>
        <w:t xml:space="preserve"> </w:t>
      </w:r>
      <w:r w:rsidRPr="008500D2">
        <w:rPr>
          <w:rFonts w:hint="cs"/>
          <w:color w:val="00B0F0"/>
          <w:rtl/>
        </w:rPr>
        <w:t>(וכ"פ הרמ"א)</w:t>
      </w:r>
    </w:p>
    <w:p w14:paraId="4CC23E42" w14:textId="77777777" w:rsidR="00FA2119" w:rsidRPr="00993F86" w:rsidRDefault="00FA2119" w:rsidP="00FA2119">
      <w:pPr>
        <w:ind w:left="360"/>
        <w:rPr>
          <w:u w:val="dotted"/>
        </w:rPr>
      </w:pPr>
      <w:r w:rsidRPr="00993F86">
        <w:rPr>
          <w:rFonts w:hint="cs"/>
          <w:u w:val="dotted"/>
          <w:rtl/>
        </w:rPr>
        <w:t>ומה הדין אם כתב שם שלא הוחזק בו כלל:</w:t>
      </w:r>
    </w:p>
    <w:p w14:paraId="52DB5AE5" w14:textId="5B19DF8D" w:rsidR="00FA2119" w:rsidRDefault="00FA2119" w:rsidP="00FA2119">
      <w:pPr>
        <w:pStyle w:val="ab"/>
        <w:numPr>
          <w:ilvl w:val="0"/>
          <w:numId w:val="69"/>
        </w:numPr>
      </w:pPr>
      <w:r>
        <w:rPr>
          <w:rFonts w:cs="Arial"/>
          <w:rtl/>
        </w:rPr>
        <w:t xml:space="preserve">רמב"ם </w:t>
      </w:r>
      <w:r w:rsidRPr="00993F86">
        <w:rPr>
          <w:rFonts w:cs="Arial" w:hint="cs"/>
          <w:sz w:val="16"/>
          <w:szCs w:val="16"/>
          <w:rtl/>
        </w:rPr>
        <w:t>(</w:t>
      </w:r>
      <w:r w:rsidRPr="00993F86">
        <w:rPr>
          <w:rFonts w:cs="Arial"/>
          <w:sz w:val="16"/>
          <w:szCs w:val="16"/>
          <w:rtl/>
        </w:rPr>
        <w:t>פ</w:t>
      </w:r>
      <w:r w:rsidRPr="00993F86">
        <w:rPr>
          <w:rFonts w:cs="Arial" w:hint="cs"/>
          <w:sz w:val="16"/>
          <w:szCs w:val="16"/>
          <w:rtl/>
        </w:rPr>
        <w:t>"</w:t>
      </w:r>
      <w:r w:rsidRPr="00993F86">
        <w:rPr>
          <w:rFonts w:cs="Arial"/>
          <w:sz w:val="16"/>
          <w:szCs w:val="16"/>
          <w:rtl/>
        </w:rPr>
        <w:t>ג שם)</w:t>
      </w:r>
      <w:r>
        <w:rPr>
          <w:rFonts w:cs="Arial" w:hint="cs"/>
          <w:sz w:val="16"/>
          <w:szCs w:val="16"/>
          <w:rtl/>
        </w:rPr>
        <w:t xml:space="preserve"> </w:t>
      </w:r>
      <w:r w:rsidRPr="00390632">
        <w:rPr>
          <w:rFonts w:cs="Arial"/>
          <w:rtl/>
        </w:rPr>
        <w:t xml:space="preserve">רמ"ה </w:t>
      </w:r>
      <w:r w:rsidRPr="00BD3D8D">
        <w:rPr>
          <w:rFonts w:cs="Arial"/>
          <w:sz w:val="16"/>
          <w:szCs w:val="16"/>
          <w:rtl/>
        </w:rPr>
        <w:t>(חידושי הרמ"ה גיטין לד: סי' נג</w:t>
      </w:r>
      <w:r w:rsidR="00A82951">
        <w:rPr>
          <w:rFonts w:cs="Arial"/>
          <w:sz w:val="16"/>
          <w:szCs w:val="16"/>
          <w:rtl/>
        </w:rPr>
        <w:t>-</w:t>
      </w:r>
      <w:r w:rsidRPr="00BD3D8D">
        <w:rPr>
          <w:rFonts w:cs="Arial"/>
          <w:sz w:val="16"/>
          <w:szCs w:val="16"/>
          <w:rtl/>
        </w:rPr>
        <w:t>נה)</w:t>
      </w:r>
      <w:r w:rsidRPr="00993F86">
        <w:rPr>
          <w:rFonts w:cs="Arial" w:hint="cs"/>
          <w:rtl/>
        </w:rPr>
        <w:t xml:space="preserve"> </w:t>
      </w:r>
      <w:r>
        <w:rPr>
          <w:rFonts w:cs="Arial" w:hint="cs"/>
          <w:rtl/>
        </w:rPr>
        <w:t>ורא"ש</w:t>
      </w:r>
      <w:r w:rsidRPr="00993F86">
        <w:rPr>
          <w:rFonts w:cs="Arial" w:hint="cs"/>
          <w:sz w:val="16"/>
          <w:szCs w:val="16"/>
          <w:rtl/>
        </w:rPr>
        <w:t xml:space="preserve"> (</w:t>
      </w:r>
      <w:r w:rsidRPr="00993F86">
        <w:rPr>
          <w:rFonts w:cs="Arial"/>
          <w:sz w:val="16"/>
          <w:szCs w:val="16"/>
          <w:rtl/>
        </w:rPr>
        <w:t>כלל טו סי</w:t>
      </w:r>
      <w:r w:rsidRPr="00993F86">
        <w:rPr>
          <w:rFonts w:cs="Arial" w:hint="cs"/>
          <w:sz w:val="16"/>
          <w:szCs w:val="16"/>
          <w:rtl/>
        </w:rPr>
        <w:t>'</w:t>
      </w:r>
      <w:r w:rsidRPr="00993F86">
        <w:rPr>
          <w:rFonts w:cs="Arial"/>
          <w:sz w:val="16"/>
          <w:szCs w:val="16"/>
          <w:rtl/>
        </w:rPr>
        <w:t xml:space="preserve"> ד</w:t>
      </w:r>
      <w:r w:rsidRPr="00993F86">
        <w:rPr>
          <w:rFonts w:cs="Arial" w:hint="cs"/>
          <w:sz w:val="16"/>
          <w:szCs w:val="16"/>
          <w:rtl/>
        </w:rPr>
        <w:t>)</w:t>
      </w:r>
      <w:r w:rsidR="00A82951">
        <w:rPr>
          <w:rFonts w:cs="Arial" w:hint="cs"/>
          <w:rtl/>
        </w:rPr>
        <w:t>-</w:t>
      </w:r>
      <w:r w:rsidRPr="00390632">
        <w:rPr>
          <w:rFonts w:cs="Arial"/>
          <w:rtl/>
        </w:rPr>
        <w:t xml:space="preserve"> ואם גירש בשם שלא הוחזק בו כלל אע</w:t>
      </w:r>
      <w:r>
        <w:rPr>
          <w:rFonts w:cs="Arial" w:hint="cs"/>
          <w:rtl/>
        </w:rPr>
        <w:t>"</w:t>
      </w:r>
      <w:r w:rsidRPr="00390632">
        <w:rPr>
          <w:rFonts w:cs="Arial"/>
          <w:rtl/>
        </w:rPr>
        <w:t xml:space="preserve">ג דכתב וכל שום וחניכה דאית לי </w:t>
      </w:r>
      <w:r w:rsidR="00A82951">
        <w:rPr>
          <w:rFonts w:cs="Arial" w:hint="cs"/>
          <w:rtl/>
        </w:rPr>
        <w:t>-</w:t>
      </w:r>
      <w:r>
        <w:rPr>
          <w:rFonts w:cs="Arial" w:hint="cs"/>
          <w:rtl/>
        </w:rPr>
        <w:t xml:space="preserve"> </w:t>
      </w:r>
      <w:r w:rsidRPr="00390632">
        <w:rPr>
          <w:rFonts w:cs="Arial"/>
          <w:rtl/>
        </w:rPr>
        <w:t>לא הוי גט כלל</w:t>
      </w:r>
      <w:r>
        <w:rPr>
          <w:rFonts w:cs="Arial" w:hint="cs"/>
          <w:sz w:val="16"/>
          <w:szCs w:val="16"/>
          <w:rtl/>
        </w:rPr>
        <w:t xml:space="preserve"> (ל' הטור בשם הרמ"ה)</w:t>
      </w:r>
      <w:r>
        <w:rPr>
          <w:rFonts w:cs="Arial" w:hint="cs"/>
          <w:rtl/>
        </w:rPr>
        <w:t>.</w:t>
      </w:r>
      <w:r w:rsidRPr="00390632">
        <w:rPr>
          <w:rFonts w:cs="Arial"/>
          <w:rtl/>
        </w:rPr>
        <w:t xml:space="preserve"> </w:t>
      </w:r>
    </w:p>
    <w:p w14:paraId="443AD2C4" w14:textId="41A3E9D2" w:rsidR="00FA2119" w:rsidRDefault="00FA2119" w:rsidP="00FA2119">
      <w:pPr>
        <w:rPr>
          <w:rFonts w:cs="Arial"/>
          <w:rtl/>
        </w:rPr>
      </w:pPr>
      <w:r w:rsidRPr="00924B9D">
        <w:rPr>
          <w:rFonts w:cs="Arial" w:hint="cs"/>
          <w:b/>
          <w:bCs/>
          <w:rtl/>
        </w:rPr>
        <w:t>גיטין</w:t>
      </w:r>
      <w:r w:rsidRPr="00924B9D">
        <w:rPr>
          <w:rFonts w:cs="Arial"/>
          <w:b/>
          <w:bCs/>
          <w:rtl/>
        </w:rPr>
        <w:t xml:space="preserve"> </w:t>
      </w:r>
      <w:r w:rsidRPr="00924B9D">
        <w:rPr>
          <w:rFonts w:cs="Arial"/>
          <w:b/>
          <w:bCs/>
          <w:szCs w:val="16"/>
          <w:rtl/>
        </w:rPr>
        <w:t xml:space="preserve">(פ' </w:t>
      </w:r>
      <w:r w:rsidRPr="00924B9D">
        <w:rPr>
          <w:rFonts w:cs="Arial" w:hint="cs"/>
          <w:b/>
          <w:bCs/>
          <w:szCs w:val="16"/>
          <w:rtl/>
        </w:rPr>
        <w:t>המגרש</w:t>
      </w:r>
      <w:r w:rsidRPr="00924B9D">
        <w:rPr>
          <w:rFonts w:cs="Arial"/>
          <w:b/>
          <w:bCs/>
          <w:szCs w:val="16"/>
          <w:rtl/>
        </w:rPr>
        <w:t xml:space="preserve">) </w:t>
      </w:r>
      <w:r w:rsidRPr="00924B9D">
        <w:rPr>
          <w:rFonts w:cs="Arial" w:hint="cs"/>
          <w:b/>
          <w:bCs/>
          <w:rtl/>
        </w:rPr>
        <w:t>פז</w:t>
      </w:r>
      <w:r w:rsidRPr="00924B9D">
        <w:rPr>
          <w:rFonts w:cs="Arial"/>
          <w:b/>
          <w:bCs/>
          <w:rtl/>
        </w:rPr>
        <w:t xml:space="preserve"> ע"</w:t>
      </w:r>
      <w:r w:rsidRPr="00924B9D">
        <w:rPr>
          <w:rFonts w:cs="Arial" w:hint="cs"/>
          <w:b/>
          <w:bCs/>
          <w:rtl/>
        </w:rPr>
        <w:t>ב</w:t>
      </w:r>
      <w:r>
        <w:rPr>
          <w:rFonts w:cs="Arial" w:hint="cs"/>
          <w:b/>
          <w:bCs/>
          <w:sz w:val="16"/>
          <w:szCs w:val="16"/>
          <w:rtl/>
        </w:rPr>
        <w:t xml:space="preserve"> [לגיר' רש"י ורמב"ם]</w:t>
      </w:r>
      <w:r w:rsidRPr="00924B9D">
        <w:rPr>
          <w:rFonts w:cs="Arial"/>
          <w:b/>
          <w:bCs/>
          <w:rtl/>
        </w:rPr>
        <w:t>:</w:t>
      </w:r>
      <w:r w:rsidRPr="00924B9D">
        <w:rPr>
          <w:rFonts w:cs="Arial" w:hint="cs"/>
          <w:rtl/>
        </w:rPr>
        <w:t xml:space="preserve"> </w:t>
      </w:r>
      <w:r w:rsidRPr="00924B9D">
        <w:rPr>
          <w:rFonts w:cs="Arial"/>
          <w:u w:val="double"/>
          <w:rtl/>
        </w:rPr>
        <w:t>מתני</w:t>
      </w:r>
      <w:r w:rsidRPr="00924B9D">
        <w:rPr>
          <w:rFonts w:cs="Arial" w:hint="cs"/>
          <w:u w:val="double"/>
          <w:rtl/>
        </w:rPr>
        <w:t>'</w:t>
      </w:r>
      <w:r w:rsidRPr="00924B9D">
        <w:rPr>
          <w:rFonts w:cs="Arial" w:hint="cs"/>
          <w:rtl/>
        </w:rPr>
        <w:t xml:space="preserve">:... </w:t>
      </w:r>
      <w:r w:rsidRPr="00924B9D">
        <w:rPr>
          <w:rFonts w:cs="Arial"/>
          <w:rtl/>
        </w:rPr>
        <w:t xml:space="preserve">איש פלוני בן איש פלוני ולא כתב עד </w:t>
      </w:r>
      <w:r w:rsidR="00A82951">
        <w:rPr>
          <w:rFonts w:cs="Arial" w:hint="cs"/>
          <w:rtl/>
        </w:rPr>
        <w:t>-</w:t>
      </w:r>
      <w:r w:rsidRPr="00924B9D">
        <w:rPr>
          <w:rFonts w:cs="Arial"/>
          <w:rtl/>
        </w:rPr>
        <w:t xml:space="preserve"> כשר</w:t>
      </w:r>
      <w:r w:rsidRPr="00924B9D">
        <w:rPr>
          <w:rFonts w:cs="Arial" w:hint="cs"/>
          <w:rtl/>
        </w:rPr>
        <w:t>.</w:t>
      </w:r>
      <w:r w:rsidRPr="00924B9D">
        <w:rPr>
          <w:rFonts w:cs="Arial"/>
          <w:rtl/>
        </w:rPr>
        <w:t xml:space="preserve"> וכך היו נקיי הדעת שבירושלים עושין. כתב חניכתו וחניכתה </w:t>
      </w:r>
      <w:r w:rsidR="00A82951">
        <w:rPr>
          <w:rFonts w:cs="Arial"/>
          <w:rtl/>
        </w:rPr>
        <w:t>-</w:t>
      </w:r>
      <w:r w:rsidRPr="00924B9D">
        <w:rPr>
          <w:rFonts w:cs="Arial"/>
          <w:rtl/>
        </w:rPr>
        <w:t xml:space="preserve"> כשר.</w:t>
      </w:r>
      <w:r w:rsidRPr="00924B9D">
        <w:rPr>
          <w:rFonts w:hint="cs"/>
          <w:sz w:val="16"/>
          <w:szCs w:val="16"/>
          <w:rtl/>
        </w:rPr>
        <w:t xml:space="preserve"> </w:t>
      </w:r>
      <w:r>
        <w:rPr>
          <w:rFonts w:hint="cs"/>
          <w:sz w:val="16"/>
          <w:szCs w:val="16"/>
          <w:rtl/>
        </w:rPr>
        <w:t>(</w:t>
      </w:r>
      <w:r w:rsidRPr="00924B9D">
        <w:rPr>
          <w:rFonts w:hint="cs"/>
          <w:sz w:val="16"/>
          <w:szCs w:val="16"/>
          <w:rtl/>
        </w:rPr>
        <w:t>וכך היא גירסתינו</w:t>
      </w:r>
      <w:r>
        <w:rPr>
          <w:rFonts w:hint="cs"/>
          <w:sz w:val="16"/>
          <w:szCs w:val="16"/>
          <w:rtl/>
        </w:rPr>
        <w:t>)</w:t>
      </w:r>
    </w:p>
    <w:p w14:paraId="1FB47F4C" w14:textId="41E9B5D4" w:rsidR="00FA2119" w:rsidRPr="00924B9D" w:rsidRDefault="00FA2119" w:rsidP="00FA2119">
      <w:pPr>
        <w:rPr>
          <w:sz w:val="16"/>
          <w:szCs w:val="16"/>
        </w:rPr>
      </w:pPr>
      <w:r w:rsidRPr="00924B9D">
        <w:rPr>
          <w:rFonts w:cs="Arial" w:hint="cs"/>
          <w:b/>
          <w:bCs/>
          <w:rtl/>
        </w:rPr>
        <w:t>גיטין</w:t>
      </w:r>
      <w:r w:rsidRPr="00924B9D">
        <w:rPr>
          <w:rFonts w:cs="Arial"/>
          <w:b/>
          <w:bCs/>
          <w:rtl/>
        </w:rPr>
        <w:t xml:space="preserve"> </w:t>
      </w:r>
      <w:r w:rsidRPr="00924B9D">
        <w:rPr>
          <w:rFonts w:cs="Arial"/>
          <w:b/>
          <w:bCs/>
          <w:szCs w:val="16"/>
          <w:rtl/>
        </w:rPr>
        <w:t xml:space="preserve">(פ' </w:t>
      </w:r>
      <w:r w:rsidRPr="00924B9D">
        <w:rPr>
          <w:rFonts w:cs="Arial" w:hint="cs"/>
          <w:b/>
          <w:bCs/>
          <w:szCs w:val="16"/>
          <w:rtl/>
        </w:rPr>
        <w:t>המגרש</w:t>
      </w:r>
      <w:r w:rsidRPr="00924B9D">
        <w:rPr>
          <w:rFonts w:cs="Arial"/>
          <w:b/>
          <w:bCs/>
          <w:szCs w:val="16"/>
          <w:rtl/>
        </w:rPr>
        <w:t xml:space="preserve">) </w:t>
      </w:r>
      <w:r w:rsidRPr="00924B9D">
        <w:rPr>
          <w:rFonts w:cs="Arial" w:hint="cs"/>
          <w:b/>
          <w:bCs/>
          <w:rtl/>
        </w:rPr>
        <w:t>פז</w:t>
      </w:r>
      <w:r w:rsidRPr="00924B9D">
        <w:rPr>
          <w:rFonts w:cs="Arial"/>
          <w:b/>
          <w:bCs/>
          <w:rtl/>
        </w:rPr>
        <w:t xml:space="preserve"> ע"</w:t>
      </w:r>
      <w:r w:rsidRPr="00924B9D">
        <w:rPr>
          <w:rFonts w:cs="Arial" w:hint="cs"/>
          <w:b/>
          <w:bCs/>
          <w:rtl/>
        </w:rPr>
        <w:t>ב</w:t>
      </w:r>
      <w:r>
        <w:rPr>
          <w:rFonts w:cs="Arial" w:hint="cs"/>
          <w:b/>
          <w:bCs/>
          <w:sz w:val="16"/>
          <w:szCs w:val="16"/>
          <w:rtl/>
        </w:rPr>
        <w:t xml:space="preserve"> [לגיר' ר"ח ר"ת ורא"ש]</w:t>
      </w:r>
      <w:r w:rsidRPr="00924B9D">
        <w:rPr>
          <w:rFonts w:cs="Arial"/>
          <w:b/>
          <w:bCs/>
          <w:rtl/>
        </w:rPr>
        <w:t>:</w:t>
      </w:r>
      <w:r w:rsidRPr="00924B9D">
        <w:rPr>
          <w:rFonts w:cs="Arial" w:hint="cs"/>
          <w:rtl/>
        </w:rPr>
        <w:t xml:space="preserve"> </w:t>
      </w:r>
      <w:r w:rsidRPr="00924B9D">
        <w:rPr>
          <w:rFonts w:cs="Arial"/>
          <w:u w:val="double"/>
          <w:rtl/>
        </w:rPr>
        <w:t>מתני</w:t>
      </w:r>
      <w:r w:rsidRPr="00924B9D">
        <w:rPr>
          <w:rFonts w:cs="Arial" w:hint="cs"/>
          <w:u w:val="double"/>
          <w:rtl/>
        </w:rPr>
        <w:t>'</w:t>
      </w:r>
      <w:r w:rsidRPr="00924B9D">
        <w:rPr>
          <w:rFonts w:cs="Arial" w:hint="cs"/>
          <w:rtl/>
        </w:rPr>
        <w:t xml:space="preserve">:... </w:t>
      </w:r>
      <w:r w:rsidRPr="00924B9D">
        <w:rPr>
          <w:rFonts w:cs="Arial"/>
          <w:rtl/>
        </w:rPr>
        <w:t xml:space="preserve">איש פלוני בן איש פלוני ולא כתב עד </w:t>
      </w:r>
      <w:r w:rsidR="00A82951">
        <w:rPr>
          <w:rFonts w:cs="Arial" w:hint="cs"/>
          <w:rtl/>
        </w:rPr>
        <w:t>-</w:t>
      </w:r>
      <w:r w:rsidRPr="00924B9D">
        <w:rPr>
          <w:rFonts w:cs="Arial"/>
          <w:rtl/>
        </w:rPr>
        <w:t xml:space="preserve"> כשר</w:t>
      </w:r>
      <w:r w:rsidRPr="00924B9D">
        <w:rPr>
          <w:rFonts w:cs="Arial" w:hint="cs"/>
          <w:rtl/>
        </w:rPr>
        <w:t>.</w:t>
      </w:r>
      <w:r w:rsidRPr="00924B9D">
        <w:rPr>
          <w:rFonts w:cs="Arial"/>
          <w:rtl/>
        </w:rPr>
        <w:t xml:space="preserve"> כתב חניכתו וחניכתה </w:t>
      </w:r>
      <w:r w:rsidR="00A82951">
        <w:rPr>
          <w:rFonts w:cs="Arial"/>
          <w:rtl/>
        </w:rPr>
        <w:t>-</w:t>
      </w:r>
      <w:r w:rsidRPr="00924B9D">
        <w:rPr>
          <w:rFonts w:cs="Arial"/>
          <w:rtl/>
        </w:rPr>
        <w:t xml:space="preserve"> כשר.</w:t>
      </w:r>
      <w:r w:rsidRPr="00A42253">
        <w:rPr>
          <w:rFonts w:cs="Arial"/>
          <w:rtl/>
        </w:rPr>
        <w:t xml:space="preserve"> </w:t>
      </w:r>
      <w:r w:rsidRPr="00924B9D">
        <w:rPr>
          <w:rFonts w:cs="Arial"/>
          <w:rtl/>
        </w:rPr>
        <w:t>וכך היו נקיי הדעת שבירושלים עושין.</w:t>
      </w:r>
      <w:r w:rsidRPr="00924B9D">
        <w:rPr>
          <w:rFonts w:hint="cs"/>
          <w:sz w:val="16"/>
          <w:szCs w:val="16"/>
          <w:rtl/>
        </w:rPr>
        <w:t xml:space="preserve"> (</w:t>
      </w:r>
      <w:r w:rsidRPr="00A42253">
        <w:rPr>
          <w:sz w:val="16"/>
          <w:szCs w:val="16"/>
          <w:rtl/>
        </w:rPr>
        <w:t>משמע אפילו לכתחלה אין צריך לכתוב שניהם</w:t>
      </w:r>
      <w:r w:rsidRPr="00A42253">
        <w:rPr>
          <w:rFonts w:hint="cs"/>
          <w:sz w:val="16"/>
          <w:szCs w:val="16"/>
          <w:rtl/>
        </w:rPr>
        <w:t>,</w:t>
      </w:r>
      <w:r w:rsidRPr="00A42253">
        <w:rPr>
          <w:sz w:val="16"/>
          <w:szCs w:val="16"/>
          <w:rtl/>
        </w:rPr>
        <w:t xml:space="preserve"> אע</w:t>
      </w:r>
      <w:r w:rsidRPr="00A42253">
        <w:rPr>
          <w:rFonts w:hint="cs"/>
          <w:sz w:val="16"/>
          <w:szCs w:val="16"/>
          <w:rtl/>
        </w:rPr>
        <w:t>"</w:t>
      </w:r>
      <w:r w:rsidRPr="00A42253">
        <w:rPr>
          <w:sz w:val="16"/>
          <w:szCs w:val="16"/>
          <w:rtl/>
        </w:rPr>
        <w:t>ג דגבי מרים שבסמוך ובירושלמי אמרינן דדוקא בדיעבד כשר</w:t>
      </w:r>
      <w:r w:rsidRPr="00A42253">
        <w:rPr>
          <w:rFonts w:hint="cs"/>
          <w:sz w:val="16"/>
          <w:szCs w:val="16"/>
          <w:rtl/>
        </w:rPr>
        <w:t>,</w:t>
      </w:r>
      <w:r w:rsidRPr="00A42253">
        <w:rPr>
          <w:sz w:val="16"/>
          <w:szCs w:val="16"/>
          <w:rtl/>
        </w:rPr>
        <w:t xml:space="preserve"> צ"ל דנקיי הדעת שבירושלים היו שמותיהן ידועים וליכא לעז</w:t>
      </w:r>
      <w:r w:rsidRPr="00A42253">
        <w:rPr>
          <w:rFonts w:hint="cs"/>
          <w:sz w:val="16"/>
          <w:szCs w:val="16"/>
          <w:rtl/>
        </w:rPr>
        <w:t>.</w:t>
      </w:r>
      <w:r w:rsidRPr="00A42253">
        <w:rPr>
          <w:sz w:val="16"/>
          <w:szCs w:val="16"/>
          <w:rtl/>
        </w:rPr>
        <w:t xml:space="preserve"> אי נמי כשהשמות דומין זה לזה שהכנוי דומה לשם</w:t>
      </w:r>
      <w:r w:rsidRPr="00A42253">
        <w:rPr>
          <w:rFonts w:hint="cs"/>
          <w:sz w:val="16"/>
          <w:szCs w:val="16"/>
          <w:rtl/>
        </w:rPr>
        <w:t xml:space="preserve"> </w:t>
      </w:r>
      <w:r w:rsidR="00A82951">
        <w:rPr>
          <w:rFonts w:hint="cs"/>
          <w:sz w:val="16"/>
          <w:szCs w:val="16"/>
          <w:rtl/>
        </w:rPr>
        <w:t>-</w:t>
      </w:r>
      <w:r w:rsidRPr="00A42253">
        <w:rPr>
          <w:sz w:val="16"/>
          <w:szCs w:val="16"/>
          <w:rtl/>
        </w:rPr>
        <w:t xml:space="preserve"> לכתחילה כשר אף בכינוי</w:t>
      </w:r>
      <w:r>
        <w:rPr>
          <w:rFonts w:hint="cs"/>
          <w:sz w:val="16"/>
          <w:szCs w:val="16"/>
          <w:rtl/>
        </w:rPr>
        <w:t>,</w:t>
      </w:r>
      <w:r w:rsidRPr="00924B9D">
        <w:rPr>
          <w:rFonts w:hint="cs"/>
          <w:sz w:val="16"/>
          <w:szCs w:val="16"/>
          <w:rtl/>
        </w:rPr>
        <w:t xml:space="preserve"> </w:t>
      </w:r>
      <w:r w:rsidRPr="00A42253">
        <w:rPr>
          <w:rFonts w:hint="cs"/>
          <w:b/>
          <w:bCs/>
          <w:sz w:val="16"/>
          <w:szCs w:val="16"/>
          <w:rtl/>
        </w:rPr>
        <w:t>תוס'</w:t>
      </w:r>
      <w:r w:rsidRPr="00924B9D">
        <w:rPr>
          <w:rFonts w:hint="cs"/>
          <w:sz w:val="16"/>
          <w:szCs w:val="16"/>
          <w:rtl/>
        </w:rPr>
        <w:t xml:space="preserve"> </w:t>
      </w:r>
      <w:r>
        <w:rPr>
          <w:rFonts w:hint="cs"/>
          <w:sz w:val="16"/>
          <w:szCs w:val="16"/>
          <w:rtl/>
        </w:rPr>
        <w:t>(</w:t>
      </w:r>
      <w:r w:rsidRPr="00924B9D">
        <w:rPr>
          <w:rFonts w:hint="cs"/>
          <w:sz w:val="16"/>
          <w:szCs w:val="16"/>
          <w:rtl/>
        </w:rPr>
        <w:t>לד: ד"ה והוא, לח. ד"ה וכך)</w:t>
      </w:r>
      <w:r>
        <w:rPr>
          <w:rFonts w:hint="cs"/>
          <w:sz w:val="16"/>
          <w:szCs w:val="16"/>
          <w:rtl/>
        </w:rPr>
        <w:t xml:space="preserve">. אך </w:t>
      </w:r>
      <w:r w:rsidRPr="00A42253">
        <w:rPr>
          <w:rFonts w:hint="cs"/>
          <w:b/>
          <w:bCs/>
          <w:sz w:val="16"/>
          <w:szCs w:val="16"/>
          <w:rtl/>
        </w:rPr>
        <w:t xml:space="preserve">הרא"ש </w:t>
      </w:r>
      <w:r>
        <w:rPr>
          <w:rFonts w:hint="cs"/>
          <w:sz w:val="16"/>
          <w:szCs w:val="16"/>
          <w:rtl/>
        </w:rPr>
        <w:t>(פ"ד סי' ז)</w:t>
      </w:r>
      <w:r w:rsidRPr="00924B9D">
        <w:rPr>
          <w:rFonts w:hint="cs"/>
          <w:sz w:val="16"/>
          <w:szCs w:val="16"/>
          <w:rtl/>
        </w:rPr>
        <w:t xml:space="preserve"> </w:t>
      </w:r>
      <w:r>
        <w:rPr>
          <w:rFonts w:hint="cs"/>
          <w:sz w:val="16"/>
          <w:szCs w:val="16"/>
          <w:rtl/>
        </w:rPr>
        <w:t xml:space="preserve">הזכיר רק את התירוץ הראשון, וז"ל: </w:t>
      </w:r>
      <w:r w:rsidRPr="00A42253">
        <w:rPr>
          <w:rFonts w:cs="Arial"/>
          <w:sz w:val="16"/>
          <w:szCs w:val="16"/>
          <w:rtl/>
        </w:rPr>
        <w:t>יש לומר דמיירי התם בחניכה שמכירין אותו בכל מקום והכל קורין אותו בשם זה אלא כשהוא חותם בשטר או קורא בתורה קוראין אותו בשם המובהק להכי סגי בשם חניכה לחוד</w:t>
      </w:r>
      <w:r>
        <w:rPr>
          <w:rFonts w:cs="Arial" w:hint="cs"/>
          <w:sz w:val="16"/>
          <w:szCs w:val="16"/>
          <w:rtl/>
        </w:rPr>
        <w:t>.</w:t>
      </w:r>
      <w:r w:rsidRPr="00A42253">
        <w:rPr>
          <w:rFonts w:cs="Arial"/>
          <w:sz w:val="16"/>
          <w:szCs w:val="16"/>
          <w:rtl/>
        </w:rPr>
        <w:t xml:space="preserve"> ומהאי טעמא נמי מומר אין צריך לכתוב אלא שם יהדות בגט שהוא עיקר וכל ישראל קורין אותו בשם הזה</w:t>
      </w:r>
      <w:r>
        <w:rPr>
          <w:rFonts w:hint="cs"/>
          <w:sz w:val="16"/>
          <w:szCs w:val="16"/>
          <w:rtl/>
        </w:rPr>
        <w:t xml:space="preserve">. עכ"ל. </w:t>
      </w:r>
      <w:r>
        <w:rPr>
          <w:rFonts w:cs="Arial" w:hint="cs"/>
          <w:sz w:val="16"/>
          <w:szCs w:val="16"/>
          <w:rtl/>
        </w:rPr>
        <w:t xml:space="preserve">וכתב </w:t>
      </w:r>
      <w:r w:rsidRPr="00A42253">
        <w:rPr>
          <w:rFonts w:cs="Arial" w:hint="cs"/>
          <w:b/>
          <w:bCs/>
          <w:sz w:val="16"/>
          <w:szCs w:val="16"/>
          <w:rtl/>
        </w:rPr>
        <w:t>הב"י</w:t>
      </w:r>
      <w:r w:rsidRPr="00A42253">
        <w:rPr>
          <w:rFonts w:cs="Arial"/>
          <w:sz w:val="16"/>
          <w:szCs w:val="16"/>
          <w:rtl/>
        </w:rPr>
        <w:t xml:space="preserve"> </w:t>
      </w:r>
      <w:r>
        <w:rPr>
          <w:rFonts w:cs="Arial" w:hint="cs"/>
          <w:sz w:val="16"/>
          <w:szCs w:val="16"/>
          <w:rtl/>
        </w:rPr>
        <w:t xml:space="preserve">שמזה שהרא"ש לא הזכיר את התירוץ השני של התוס' </w:t>
      </w:r>
      <w:r w:rsidRPr="00A42253">
        <w:rPr>
          <w:rFonts w:cs="Arial"/>
          <w:sz w:val="16"/>
          <w:szCs w:val="16"/>
          <w:rtl/>
        </w:rPr>
        <w:t>נראה שלא ישר בעיניו</w:t>
      </w:r>
      <w:r>
        <w:rPr>
          <w:rFonts w:cs="Arial" w:hint="cs"/>
          <w:sz w:val="16"/>
          <w:szCs w:val="16"/>
          <w:rtl/>
        </w:rPr>
        <w:t>.</w:t>
      </w:r>
      <w:r w:rsidRPr="00A42253">
        <w:rPr>
          <w:rFonts w:cs="Arial"/>
          <w:sz w:val="16"/>
          <w:szCs w:val="16"/>
          <w:rtl/>
        </w:rPr>
        <w:t xml:space="preserve"> ולכן לא הזכירו </w:t>
      </w:r>
      <w:r>
        <w:rPr>
          <w:rFonts w:cs="Arial" w:hint="cs"/>
          <w:sz w:val="16"/>
          <w:szCs w:val="16"/>
          <w:rtl/>
        </w:rPr>
        <w:t>הטור</w:t>
      </w:r>
      <w:r w:rsidRPr="00924B9D">
        <w:rPr>
          <w:rFonts w:hint="cs"/>
          <w:sz w:val="16"/>
          <w:szCs w:val="16"/>
          <w:rtl/>
        </w:rPr>
        <w:t>)</w:t>
      </w:r>
      <w:r>
        <w:rPr>
          <w:rFonts w:hint="cs"/>
          <w:sz w:val="16"/>
          <w:szCs w:val="16"/>
          <w:rtl/>
        </w:rPr>
        <w:t xml:space="preserve"> </w:t>
      </w:r>
    </w:p>
    <w:p w14:paraId="6A845522" w14:textId="77777777" w:rsidR="00FA2119" w:rsidRPr="00924B9D" w:rsidRDefault="00FA2119" w:rsidP="00FA2119">
      <w:pPr>
        <w:rPr>
          <w:u w:val="single"/>
        </w:rPr>
      </w:pPr>
      <w:r w:rsidRPr="00924B9D">
        <w:rPr>
          <w:rFonts w:hint="cs"/>
          <w:u w:val="single"/>
          <w:rtl/>
        </w:rPr>
        <w:t>כתיבת שם החניכה לבד:</w:t>
      </w:r>
    </w:p>
    <w:p w14:paraId="71C2E0FA" w14:textId="6D706354" w:rsidR="00FA2119" w:rsidRPr="00F56AAF" w:rsidRDefault="00FA2119" w:rsidP="00FA2119">
      <w:pPr>
        <w:pStyle w:val="ab"/>
        <w:numPr>
          <w:ilvl w:val="0"/>
          <w:numId w:val="69"/>
        </w:numPr>
      </w:pPr>
      <w:r>
        <w:rPr>
          <w:rFonts w:cs="Arial" w:hint="cs"/>
          <w:rtl/>
        </w:rPr>
        <w:t xml:space="preserve">רא"ש </w:t>
      </w:r>
      <w:r>
        <w:rPr>
          <w:rFonts w:cs="Arial" w:hint="cs"/>
          <w:sz w:val="16"/>
          <w:szCs w:val="16"/>
          <w:rtl/>
        </w:rPr>
        <w:t>(שם)</w:t>
      </w:r>
      <w:r>
        <w:rPr>
          <w:rFonts w:cs="Arial" w:hint="cs"/>
          <w:rtl/>
        </w:rPr>
        <w:t xml:space="preserve"> וטור</w:t>
      </w:r>
      <w:r w:rsidR="00A82951">
        <w:rPr>
          <w:rFonts w:cs="Arial" w:hint="cs"/>
          <w:rtl/>
        </w:rPr>
        <w:t>-</w:t>
      </w:r>
      <w:r>
        <w:rPr>
          <w:rFonts w:cs="Arial" w:hint="cs"/>
          <w:rtl/>
        </w:rPr>
        <w:t xml:space="preserve"> </w:t>
      </w:r>
      <w:r w:rsidRPr="00390632">
        <w:rPr>
          <w:rFonts w:cs="Arial"/>
          <w:rtl/>
        </w:rPr>
        <w:t>ואם חניכתו ידוע וניכרת בכ</w:t>
      </w:r>
      <w:r>
        <w:rPr>
          <w:rFonts w:cs="Arial" w:hint="cs"/>
          <w:rtl/>
        </w:rPr>
        <w:t xml:space="preserve">ל </w:t>
      </w:r>
      <w:r w:rsidRPr="00390632">
        <w:rPr>
          <w:rFonts w:cs="Arial"/>
          <w:rtl/>
        </w:rPr>
        <w:t>מ</w:t>
      </w:r>
      <w:r>
        <w:rPr>
          <w:rFonts w:cs="Arial" w:hint="cs"/>
          <w:rtl/>
        </w:rPr>
        <w:t>קום</w:t>
      </w:r>
      <w:r w:rsidRPr="00390632">
        <w:rPr>
          <w:rFonts w:cs="Arial"/>
          <w:rtl/>
        </w:rPr>
        <w:t xml:space="preserve"> והכל קורין אותו בה</w:t>
      </w:r>
      <w:r>
        <w:rPr>
          <w:rFonts w:cs="Arial" w:hint="cs"/>
          <w:rtl/>
        </w:rPr>
        <w:t>,</w:t>
      </w:r>
      <w:r w:rsidRPr="00390632">
        <w:rPr>
          <w:rFonts w:cs="Arial"/>
          <w:rtl/>
        </w:rPr>
        <w:t xml:space="preserve"> אלא כשחותם בשטר או קורא בספר קורין אותו בשם המובהק</w:t>
      </w:r>
      <w:r>
        <w:rPr>
          <w:rFonts w:cs="Arial" w:hint="cs"/>
          <w:rtl/>
        </w:rPr>
        <w:t>,</w:t>
      </w:r>
      <w:r w:rsidRPr="00390632">
        <w:rPr>
          <w:rFonts w:cs="Arial"/>
          <w:rtl/>
        </w:rPr>
        <w:t xml:space="preserve"> אז סגי בחניכה לחוד אפי' לכתחילה</w:t>
      </w:r>
      <w:r>
        <w:rPr>
          <w:rFonts w:cs="Arial" w:hint="cs"/>
          <w:rtl/>
        </w:rPr>
        <w:t>.</w:t>
      </w:r>
      <w:r w:rsidRPr="00390632">
        <w:rPr>
          <w:rFonts w:cs="Arial"/>
          <w:rtl/>
        </w:rPr>
        <w:t xml:space="preserve"> </w:t>
      </w:r>
    </w:p>
    <w:p w14:paraId="5C3DB8AD" w14:textId="7BA8D1F8" w:rsidR="00FA2119" w:rsidRDefault="00FA2119" w:rsidP="00FA2119">
      <w:pPr>
        <w:pStyle w:val="ab"/>
        <w:numPr>
          <w:ilvl w:val="0"/>
          <w:numId w:val="69"/>
        </w:numPr>
      </w:pPr>
      <w:r>
        <w:rPr>
          <w:rFonts w:cs="Arial" w:hint="cs"/>
          <w:rtl/>
        </w:rPr>
        <w:t xml:space="preserve">רש"י </w:t>
      </w:r>
      <w:r>
        <w:rPr>
          <w:rFonts w:cs="Arial" w:hint="cs"/>
          <w:sz w:val="16"/>
          <w:szCs w:val="16"/>
          <w:rtl/>
        </w:rPr>
        <w:t>(כ"כ הדרכ"מ [אות ג] בשמו)</w:t>
      </w:r>
      <w:r>
        <w:rPr>
          <w:rFonts w:cs="Arial" w:hint="cs"/>
          <w:rtl/>
        </w:rPr>
        <w:t xml:space="preserve"> ו</w:t>
      </w:r>
      <w:r w:rsidRPr="008D6412">
        <w:rPr>
          <w:rFonts w:cs="Arial"/>
          <w:rtl/>
        </w:rPr>
        <w:t>רמב"ם</w:t>
      </w:r>
      <w:r w:rsidRPr="008D6412">
        <w:rPr>
          <w:rFonts w:cs="Arial" w:hint="cs"/>
          <w:rtl/>
        </w:rPr>
        <w:t xml:space="preserve"> </w:t>
      </w:r>
      <w:r w:rsidRPr="008D6412">
        <w:rPr>
          <w:rFonts w:cs="Arial" w:hint="cs"/>
          <w:sz w:val="16"/>
          <w:szCs w:val="16"/>
          <w:rtl/>
        </w:rPr>
        <w:t>(</w:t>
      </w:r>
      <w:r w:rsidRPr="008D6412">
        <w:rPr>
          <w:rFonts w:cs="Arial"/>
          <w:sz w:val="16"/>
          <w:szCs w:val="16"/>
          <w:rtl/>
        </w:rPr>
        <w:t>פ</w:t>
      </w:r>
      <w:r w:rsidRPr="008D6412">
        <w:rPr>
          <w:rFonts w:cs="Arial" w:hint="cs"/>
          <w:sz w:val="16"/>
          <w:szCs w:val="16"/>
          <w:rtl/>
        </w:rPr>
        <w:t>"</w:t>
      </w:r>
      <w:r w:rsidRPr="008D6412">
        <w:rPr>
          <w:rFonts w:cs="Arial"/>
          <w:sz w:val="16"/>
          <w:szCs w:val="16"/>
          <w:rtl/>
        </w:rPr>
        <w:t>ג ה</w:t>
      </w:r>
      <w:r w:rsidRPr="008D6412">
        <w:rPr>
          <w:rFonts w:cs="Arial" w:hint="cs"/>
          <w:sz w:val="16"/>
          <w:szCs w:val="16"/>
          <w:rtl/>
        </w:rPr>
        <w:t>י"ג</w:t>
      </w:r>
      <w:r w:rsidR="00A82951">
        <w:rPr>
          <w:rFonts w:cs="Arial" w:hint="cs"/>
          <w:sz w:val="16"/>
          <w:szCs w:val="16"/>
          <w:rtl/>
        </w:rPr>
        <w:t>-</w:t>
      </w:r>
      <w:r w:rsidRPr="008D6412">
        <w:rPr>
          <w:rFonts w:cs="Arial"/>
          <w:sz w:val="16"/>
          <w:szCs w:val="16"/>
          <w:rtl/>
        </w:rPr>
        <w:t>יד)</w:t>
      </w:r>
      <w:r w:rsidR="00A82951">
        <w:rPr>
          <w:rFonts w:cs="Arial" w:hint="cs"/>
          <w:rtl/>
        </w:rPr>
        <w:t>-</w:t>
      </w:r>
      <w:r w:rsidRPr="008D6412">
        <w:rPr>
          <w:rFonts w:cs="Arial" w:hint="cs"/>
          <w:rtl/>
        </w:rPr>
        <w:t xml:space="preserve"> </w:t>
      </w:r>
      <w:r w:rsidRPr="008D6412">
        <w:rPr>
          <w:rFonts w:cs="Arial"/>
          <w:rtl/>
        </w:rPr>
        <w:t>מי שהיו לו שני שמות</w:t>
      </w:r>
      <w:r w:rsidR="00552811">
        <w:rPr>
          <w:rFonts w:cs="Arial" w:hint="cs"/>
          <w:rtl/>
        </w:rPr>
        <w:t>,</w:t>
      </w:r>
      <w:r w:rsidRPr="008D6412">
        <w:rPr>
          <w:rFonts w:cs="Arial"/>
          <w:rtl/>
        </w:rPr>
        <w:t xml:space="preserve"> וכן אשה שיש לה שני שמות</w:t>
      </w:r>
      <w:r w:rsidR="00552811">
        <w:rPr>
          <w:rFonts w:cs="Arial" w:hint="cs"/>
          <w:rtl/>
        </w:rPr>
        <w:t>,</w:t>
      </w:r>
      <w:r w:rsidRPr="008D6412">
        <w:rPr>
          <w:rFonts w:cs="Arial"/>
          <w:rtl/>
        </w:rPr>
        <w:t xml:space="preserve"> כשמגרש כותב שמו ושמה שהן רגילין בו וידועין בו ביותר</w:t>
      </w:r>
      <w:r w:rsidRPr="008D6412">
        <w:rPr>
          <w:rFonts w:cs="Arial" w:hint="cs"/>
          <w:rtl/>
        </w:rPr>
        <w:t>.</w:t>
      </w:r>
      <w:r w:rsidRPr="008D6412">
        <w:rPr>
          <w:rFonts w:cs="Arial"/>
          <w:rtl/>
        </w:rPr>
        <w:t xml:space="preserve"> ואומר </w:t>
      </w:r>
      <w:r w:rsidRPr="008D6412">
        <w:rPr>
          <w:rFonts w:cs="Arial" w:hint="cs"/>
          <w:rtl/>
        </w:rPr>
        <w:t>'</w:t>
      </w:r>
      <w:r w:rsidRPr="008D6412">
        <w:rPr>
          <w:rFonts w:cs="Arial"/>
          <w:rtl/>
        </w:rPr>
        <w:t>איש פלוני וכל שם שיש לו גירש אשה פלונית וכל שם שיש לה</w:t>
      </w:r>
      <w:r w:rsidRPr="008D6412">
        <w:rPr>
          <w:rFonts w:cs="Arial" w:hint="cs"/>
          <w:rtl/>
        </w:rPr>
        <w:t>'.</w:t>
      </w:r>
      <w:r w:rsidRPr="008D6412">
        <w:rPr>
          <w:rFonts w:cs="Arial"/>
          <w:rtl/>
        </w:rPr>
        <w:t xml:space="preserve"> ואם כתב חניכתו וחניכתה</w:t>
      </w:r>
      <w:r>
        <w:rPr>
          <w:rStyle w:val="a7"/>
          <w:rFonts w:cs="Arial"/>
          <w:rtl/>
        </w:rPr>
        <w:footnoteReference w:id="1037"/>
      </w:r>
      <w:r w:rsidRPr="008D6412">
        <w:rPr>
          <w:rFonts w:cs="Arial" w:hint="cs"/>
          <w:rtl/>
        </w:rPr>
        <w:t xml:space="preserve"> </w:t>
      </w:r>
      <w:r w:rsidR="00A82951">
        <w:rPr>
          <w:rFonts w:cs="Arial" w:hint="cs"/>
          <w:rtl/>
        </w:rPr>
        <w:t>-</w:t>
      </w:r>
      <w:r w:rsidRPr="008D6412">
        <w:rPr>
          <w:rFonts w:cs="Arial"/>
          <w:rtl/>
        </w:rPr>
        <w:t xml:space="preserve"> כשר</w:t>
      </w:r>
      <w:r>
        <w:rPr>
          <w:rStyle w:val="a7"/>
          <w:rFonts w:cs="Arial"/>
          <w:rtl/>
        </w:rPr>
        <w:footnoteReference w:id="1038"/>
      </w:r>
      <w:r>
        <w:rPr>
          <w:rFonts w:cs="Arial" w:hint="cs"/>
          <w:sz w:val="16"/>
          <w:szCs w:val="16"/>
          <w:rtl/>
        </w:rPr>
        <w:t xml:space="preserve"> (ל' הרמב"ם)</w:t>
      </w:r>
      <w:r w:rsidRPr="008D6412">
        <w:rPr>
          <w:rFonts w:cs="Arial"/>
          <w:rtl/>
        </w:rPr>
        <w:t xml:space="preserve">. </w:t>
      </w:r>
      <w:r w:rsidRPr="009A20BF">
        <w:rPr>
          <w:rFonts w:hint="cs"/>
          <w:color w:val="E36C0A" w:themeColor="accent6" w:themeShade="BF"/>
          <w:rtl/>
        </w:rPr>
        <w:t>(וכ"פ בשו"ע)</w:t>
      </w:r>
    </w:p>
    <w:p w14:paraId="46E2A761" w14:textId="204A6DF1" w:rsidR="00FA2119" w:rsidRDefault="00FA2119" w:rsidP="00FA2119">
      <w:r w:rsidRPr="00CD043D">
        <w:rPr>
          <w:rFonts w:cs="Arial" w:hint="cs"/>
          <w:b/>
          <w:bCs/>
          <w:rtl/>
        </w:rPr>
        <w:t xml:space="preserve">תוספתא גיטין פ"ו ה"ג: </w:t>
      </w:r>
      <w:r w:rsidRPr="00CD043D">
        <w:rPr>
          <w:rFonts w:cs="Arial"/>
          <w:rtl/>
        </w:rPr>
        <w:t xml:space="preserve">לשם אבי אביו </w:t>
      </w:r>
      <w:r w:rsidR="00A82951">
        <w:rPr>
          <w:rFonts w:cs="Arial" w:hint="cs"/>
          <w:rtl/>
        </w:rPr>
        <w:t>-</w:t>
      </w:r>
      <w:r>
        <w:rPr>
          <w:rFonts w:cs="Arial" w:hint="cs"/>
          <w:rtl/>
        </w:rPr>
        <w:t xml:space="preserve"> </w:t>
      </w:r>
      <w:r w:rsidRPr="00CD043D">
        <w:rPr>
          <w:rFonts w:cs="Arial"/>
          <w:rtl/>
        </w:rPr>
        <w:t>כשר</w:t>
      </w:r>
      <w:r>
        <w:rPr>
          <w:rFonts w:cs="Arial" w:hint="cs"/>
          <w:rtl/>
        </w:rPr>
        <w:t>.</w:t>
      </w:r>
      <w:r w:rsidRPr="00CD043D">
        <w:rPr>
          <w:rFonts w:cs="Arial"/>
          <w:rtl/>
        </w:rPr>
        <w:t xml:space="preserve"> לשם אבי משפחה </w:t>
      </w:r>
      <w:r w:rsidR="00A82951">
        <w:rPr>
          <w:rFonts w:cs="Arial" w:hint="cs"/>
          <w:rtl/>
        </w:rPr>
        <w:t>-</w:t>
      </w:r>
      <w:r>
        <w:rPr>
          <w:rFonts w:cs="Arial" w:hint="cs"/>
          <w:rtl/>
        </w:rPr>
        <w:t xml:space="preserve"> </w:t>
      </w:r>
      <w:r w:rsidRPr="00CD043D">
        <w:rPr>
          <w:rFonts w:cs="Arial"/>
          <w:rtl/>
        </w:rPr>
        <w:t>פסול</w:t>
      </w:r>
      <w:r>
        <w:rPr>
          <w:rFonts w:cs="Arial" w:hint="cs"/>
          <w:rtl/>
        </w:rPr>
        <w:t>.</w:t>
      </w:r>
      <w:r w:rsidRPr="00CD043D">
        <w:rPr>
          <w:rFonts w:cs="Arial"/>
          <w:rtl/>
        </w:rPr>
        <w:t xml:space="preserve"> אם היו נקראין על שמו </w:t>
      </w:r>
      <w:r w:rsidR="00A82951">
        <w:rPr>
          <w:rFonts w:cs="Arial" w:hint="cs"/>
          <w:rtl/>
        </w:rPr>
        <w:t>-</w:t>
      </w:r>
      <w:r>
        <w:rPr>
          <w:rFonts w:cs="Arial" w:hint="cs"/>
          <w:rtl/>
        </w:rPr>
        <w:t xml:space="preserve"> </w:t>
      </w:r>
      <w:r w:rsidRPr="00CD043D">
        <w:rPr>
          <w:rFonts w:cs="Arial"/>
          <w:rtl/>
        </w:rPr>
        <w:t>כשר</w:t>
      </w:r>
      <w:r>
        <w:rPr>
          <w:rFonts w:cs="Arial" w:hint="cs"/>
          <w:rtl/>
        </w:rPr>
        <w:t>.</w:t>
      </w:r>
    </w:p>
    <w:p w14:paraId="003C089D" w14:textId="168C0192" w:rsidR="00FA2119" w:rsidRDefault="00FA2119" w:rsidP="00FA2119">
      <w:pPr>
        <w:rPr>
          <w:rtl/>
        </w:rPr>
      </w:pPr>
      <w:r w:rsidRPr="00924B9D">
        <w:rPr>
          <w:rFonts w:cs="Arial" w:hint="cs"/>
          <w:b/>
          <w:bCs/>
          <w:rtl/>
        </w:rPr>
        <w:t>גיטין</w:t>
      </w:r>
      <w:r w:rsidRPr="00924B9D">
        <w:rPr>
          <w:rFonts w:cs="Arial"/>
          <w:b/>
          <w:bCs/>
          <w:rtl/>
        </w:rPr>
        <w:t xml:space="preserve"> </w:t>
      </w:r>
      <w:r w:rsidRPr="00924B9D">
        <w:rPr>
          <w:rFonts w:cs="Arial"/>
          <w:b/>
          <w:bCs/>
          <w:szCs w:val="16"/>
          <w:rtl/>
        </w:rPr>
        <w:t xml:space="preserve">(פ' </w:t>
      </w:r>
      <w:r w:rsidRPr="00924B9D">
        <w:rPr>
          <w:rFonts w:cs="Arial" w:hint="cs"/>
          <w:b/>
          <w:bCs/>
          <w:szCs w:val="16"/>
          <w:rtl/>
        </w:rPr>
        <w:t>המגרש</w:t>
      </w:r>
      <w:r w:rsidRPr="00924B9D">
        <w:rPr>
          <w:rFonts w:cs="Arial"/>
          <w:b/>
          <w:bCs/>
          <w:szCs w:val="16"/>
          <w:rtl/>
        </w:rPr>
        <w:t xml:space="preserve">) </w:t>
      </w:r>
      <w:r w:rsidRPr="00924B9D">
        <w:rPr>
          <w:rFonts w:cs="Arial" w:hint="cs"/>
          <w:b/>
          <w:bCs/>
          <w:rtl/>
        </w:rPr>
        <w:t>פ</w:t>
      </w:r>
      <w:r>
        <w:rPr>
          <w:rFonts w:cs="Arial" w:hint="cs"/>
          <w:b/>
          <w:bCs/>
          <w:rtl/>
        </w:rPr>
        <w:t>ח</w:t>
      </w:r>
      <w:r w:rsidRPr="00924B9D">
        <w:rPr>
          <w:rFonts w:cs="Arial"/>
          <w:b/>
          <w:bCs/>
          <w:rtl/>
        </w:rPr>
        <w:t xml:space="preserve"> ע"</w:t>
      </w:r>
      <w:r>
        <w:rPr>
          <w:rFonts w:cs="Arial" w:hint="cs"/>
          <w:b/>
          <w:bCs/>
          <w:rtl/>
        </w:rPr>
        <w:t>א:</w:t>
      </w:r>
      <w:r w:rsidRPr="00F56AAF">
        <w:rPr>
          <w:rFonts w:cs="Arial"/>
          <w:rtl/>
        </w:rPr>
        <w:t xml:space="preserve"> כתב חניכתו וחניכתה </w:t>
      </w:r>
      <w:r w:rsidR="00A82951">
        <w:rPr>
          <w:rFonts w:cs="Arial"/>
          <w:rtl/>
        </w:rPr>
        <w:t>-</w:t>
      </w:r>
      <w:r w:rsidRPr="00F56AAF">
        <w:rPr>
          <w:rFonts w:cs="Arial"/>
          <w:rtl/>
        </w:rPr>
        <w:t xml:space="preserve"> כשר. ת"ר: חניכת אבות בגיטין </w:t>
      </w:r>
      <w:r w:rsidR="00A82951">
        <w:rPr>
          <w:rFonts w:cs="Arial"/>
          <w:rtl/>
        </w:rPr>
        <w:t>-</w:t>
      </w:r>
      <w:r w:rsidRPr="00F56AAF">
        <w:rPr>
          <w:rFonts w:cs="Arial"/>
          <w:rtl/>
        </w:rPr>
        <w:t xml:space="preserve"> עד י' דורות</w:t>
      </w:r>
      <w:r>
        <w:rPr>
          <w:rFonts w:cs="Arial" w:hint="cs"/>
          <w:rtl/>
        </w:rPr>
        <w:t>.</w:t>
      </w:r>
      <w:r w:rsidRPr="00F56AAF">
        <w:rPr>
          <w:rFonts w:cs="Arial"/>
          <w:rtl/>
        </w:rPr>
        <w:t xml:space="preserve"> </w:t>
      </w:r>
      <w:r w:rsidRPr="00B008CA">
        <w:rPr>
          <w:rFonts w:cs="Arial"/>
          <w:u w:val="single"/>
          <w:rtl/>
        </w:rPr>
        <w:t>רבי שמעון בן אלעזר אומר</w:t>
      </w:r>
      <w:r w:rsidRPr="00F56AAF">
        <w:rPr>
          <w:rFonts w:cs="Arial"/>
          <w:rtl/>
        </w:rPr>
        <w:t xml:space="preserve">: ג' דורות </w:t>
      </w:r>
      <w:r w:rsidR="00A82951">
        <w:rPr>
          <w:rFonts w:cs="Arial"/>
          <w:rtl/>
        </w:rPr>
        <w:t>-</w:t>
      </w:r>
      <w:r w:rsidRPr="00F56AAF">
        <w:rPr>
          <w:rFonts w:cs="Arial"/>
          <w:rtl/>
        </w:rPr>
        <w:t xml:space="preserve"> כשר, מכאן ואילך </w:t>
      </w:r>
      <w:r w:rsidR="00A82951">
        <w:rPr>
          <w:rFonts w:cs="Arial"/>
          <w:rtl/>
        </w:rPr>
        <w:t>-</w:t>
      </w:r>
      <w:r w:rsidRPr="00F56AAF">
        <w:rPr>
          <w:rFonts w:cs="Arial"/>
          <w:rtl/>
        </w:rPr>
        <w:t xml:space="preserve"> פסול. כמאן אזלא הא </w:t>
      </w:r>
      <w:r w:rsidRPr="008C1B3C">
        <w:rPr>
          <w:rFonts w:cs="Arial"/>
          <w:u w:val="single"/>
          <w:rtl/>
        </w:rPr>
        <w:t>דא"ר חנינא</w:t>
      </w:r>
      <w:r w:rsidRPr="00F56AAF">
        <w:rPr>
          <w:rFonts w:cs="Arial"/>
          <w:rtl/>
        </w:rPr>
        <w:t xml:space="preserve">: כתב חניכת אבות בגיטין עד ג' דורות, כמאן? כר"ש ב"א. </w:t>
      </w:r>
      <w:r w:rsidRPr="008C1B3C">
        <w:rPr>
          <w:rFonts w:cs="Arial"/>
          <w:u w:val="single"/>
          <w:rtl/>
        </w:rPr>
        <w:t>אמר רב הונא</w:t>
      </w:r>
      <w:r w:rsidRPr="00F56AAF">
        <w:rPr>
          <w:rFonts w:cs="Arial"/>
          <w:rtl/>
        </w:rPr>
        <w:t>: מאי קראה? כי תוליד בנים ובני בנים ונושנתם.</w:t>
      </w:r>
      <w:r w:rsidRPr="00971CD5">
        <w:rPr>
          <w:rFonts w:cs="Arial"/>
          <w:sz w:val="16"/>
          <w:szCs w:val="16"/>
          <w:rtl/>
        </w:rPr>
        <w:t xml:space="preserve"> </w:t>
      </w:r>
      <w:r>
        <w:rPr>
          <w:rFonts w:cs="Arial" w:hint="cs"/>
          <w:sz w:val="16"/>
          <w:szCs w:val="16"/>
          <w:rtl/>
        </w:rPr>
        <w:t>(</w:t>
      </w:r>
      <w:r w:rsidRPr="00971CD5">
        <w:rPr>
          <w:rFonts w:cs="Arial"/>
          <w:sz w:val="16"/>
          <w:szCs w:val="16"/>
          <w:rtl/>
        </w:rPr>
        <w:t>ופסקו הרי"ף (מט.) והרא"ש (סי' ט) כרבי שמעון בן אלעזר משום דרבי חנינא קאי התם כוותיה</w:t>
      </w:r>
      <w:r>
        <w:rPr>
          <w:rFonts w:cs="Arial" w:hint="cs"/>
          <w:sz w:val="16"/>
          <w:szCs w:val="16"/>
          <w:rtl/>
        </w:rPr>
        <w:t>...</w:t>
      </w:r>
      <w:r w:rsidRPr="00971CD5">
        <w:rPr>
          <w:rFonts w:cs="Arial"/>
          <w:sz w:val="16"/>
          <w:szCs w:val="16"/>
          <w:rtl/>
        </w:rPr>
        <w:t xml:space="preserve"> ובעיקר דין חניכה הנזכרת בברייתא לא ידענא למה אחר ג' דורות או עשרה דורות אין כותבין</w:t>
      </w:r>
      <w:r w:rsidR="00552811">
        <w:rPr>
          <w:rFonts w:cs="Arial" w:hint="cs"/>
          <w:sz w:val="16"/>
          <w:szCs w:val="16"/>
          <w:rtl/>
        </w:rPr>
        <w:t>,</w:t>
      </w:r>
      <w:r w:rsidRPr="00971CD5">
        <w:rPr>
          <w:rFonts w:cs="Arial"/>
          <w:sz w:val="16"/>
          <w:szCs w:val="16"/>
          <w:rtl/>
        </w:rPr>
        <w:t xml:space="preserve"> דאדרבא משמע שכל שהוחזקו דורות הרבה להיות נקראים באותה חניכא חשיבא טפי</w:t>
      </w:r>
      <w:r w:rsidRPr="00971CD5">
        <w:rPr>
          <w:rFonts w:cs="Arial" w:hint="cs"/>
          <w:sz w:val="16"/>
          <w:szCs w:val="16"/>
          <w:rtl/>
        </w:rPr>
        <w:t>,</w:t>
      </w:r>
      <w:r w:rsidRPr="00971CD5">
        <w:rPr>
          <w:rFonts w:cs="Arial"/>
          <w:sz w:val="16"/>
          <w:szCs w:val="16"/>
          <w:rtl/>
        </w:rPr>
        <w:t xml:space="preserve"> וצ"ע. ולכן נראה דבשלא הוזכרו שמותיהן עסקינן</w:t>
      </w:r>
      <w:r w:rsidRPr="00971CD5">
        <w:rPr>
          <w:rFonts w:cs="Arial" w:hint="cs"/>
          <w:sz w:val="16"/>
          <w:szCs w:val="16"/>
          <w:rtl/>
        </w:rPr>
        <w:t>,</w:t>
      </w:r>
      <w:r w:rsidRPr="00971CD5">
        <w:rPr>
          <w:rFonts w:cs="Arial"/>
          <w:sz w:val="16"/>
          <w:szCs w:val="16"/>
          <w:rtl/>
        </w:rPr>
        <w:t xml:space="preserve"> וכמו שנכתוב בסמוך בשם המרדכי</w:t>
      </w:r>
      <w:r w:rsidRPr="00971CD5">
        <w:rPr>
          <w:rFonts w:cs="Arial" w:hint="cs"/>
          <w:sz w:val="16"/>
          <w:szCs w:val="16"/>
          <w:rtl/>
        </w:rPr>
        <w:t>,</w:t>
      </w:r>
      <w:r w:rsidRPr="00971CD5">
        <w:rPr>
          <w:rFonts w:cs="Arial"/>
          <w:sz w:val="16"/>
          <w:szCs w:val="16"/>
          <w:rtl/>
        </w:rPr>
        <w:t xml:space="preserve"> דהשתא כיון שאינו כותב אלא שם ראש המשפחה לבד</w:t>
      </w:r>
      <w:r w:rsidRPr="00971CD5">
        <w:rPr>
          <w:rFonts w:cs="Arial" w:hint="cs"/>
          <w:sz w:val="16"/>
          <w:szCs w:val="16"/>
          <w:rtl/>
        </w:rPr>
        <w:t>,</w:t>
      </w:r>
      <w:r w:rsidRPr="00971CD5">
        <w:rPr>
          <w:rFonts w:cs="Arial"/>
          <w:sz w:val="16"/>
          <w:szCs w:val="16"/>
          <w:rtl/>
        </w:rPr>
        <w:t xml:space="preserve"> כל שהוא תוך ג' דורות מוכחא מילתא דבן אותו ראש המשפחה הוא</w:t>
      </w:r>
      <w:r w:rsidRPr="00971CD5">
        <w:rPr>
          <w:rFonts w:cs="Arial" w:hint="cs"/>
          <w:sz w:val="16"/>
          <w:szCs w:val="16"/>
          <w:rtl/>
        </w:rPr>
        <w:t>,</w:t>
      </w:r>
      <w:r w:rsidRPr="00971CD5">
        <w:rPr>
          <w:rFonts w:cs="Arial"/>
          <w:sz w:val="16"/>
          <w:szCs w:val="16"/>
          <w:rtl/>
        </w:rPr>
        <w:t xml:space="preserve"> אבל כל שמרוחק יותר מג' דורות ליכא הוכחה דבן אותו ראש המשפחה הוא</w:t>
      </w:r>
      <w:r>
        <w:rPr>
          <w:rFonts w:cs="Arial" w:hint="cs"/>
          <w:sz w:val="16"/>
          <w:szCs w:val="16"/>
          <w:rtl/>
        </w:rPr>
        <w:t>, ב"י)</w:t>
      </w:r>
    </w:p>
    <w:p w14:paraId="1A231062" w14:textId="77777777" w:rsidR="00FA2119" w:rsidRPr="0096582E" w:rsidRDefault="00FA2119" w:rsidP="00FA2119">
      <w:pPr>
        <w:rPr>
          <w:u w:val="single"/>
          <w:rtl/>
        </w:rPr>
      </w:pPr>
      <w:r w:rsidRPr="00F74A6F">
        <w:rPr>
          <w:rFonts w:cs="Arial" w:hint="cs"/>
          <w:u w:val="single"/>
          <w:rtl/>
        </w:rPr>
        <w:t>מה פירוש '</w:t>
      </w:r>
      <w:r w:rsidRPr="00F74A6F">
        <w:rPr>
          <w:rFonts w:cs="Arial"/>
          <w:u w:val="single"/>
          <w:rtl/>
        </w:rPr>
        <w:t>חניכת אבות</w:t>
      </w:r>
      <w:r w:rsidRPr="00F74A6F">
        <w:rPr>
          <w:rFonts w:cs="Arial" w:hint="cs"/>
          <w:u w:val="single"/>
          <w:rtl/>
        </w:rPr>
        <w:t>':</w:t>
      </w:r>
    </w:p>
    <w:p w14:paraId="4E382C8F" w14:textId="38A642D7" w:rsidR="00FA2119" w:rsidRDefault="00FA2119" w:rsidP="00FA2119">
      <w:pPr>
        <w:pStyle w:val="ab"/>
        <w:numPr>
          <w:ilvl w:val="0"/>
          <w:numId w:val="71"/>
        </w:numPr>
      </w:pPr>
      <w:r>
        <w:rPr>
          <w:rFonts w:cs="Arial" w:hint="cs"/>
          <w:rtl/>
        </w:rPr>
        <w:lastRenderedPageBreak/>
        <w:t xml:space="preserve">ר"ח ר"ת </w:t>
      </w:r>
      <w:r w:rsidRPr="0096582E">
        <w:rPr>
          <w:rFonts w:cs="Arial" w:hint="cs"/>
          <w:sz w:val="16"/>
          <w:szCs w:val="16"/>
          <w:rtl/>
        </w:rPr>
        <w:t>(כ"כ התוס' הרשב"א והרא"ש בשמם)</w:t>
      </w:r>
      <w:r>
        <w:rPr>
          <w:rFonts w:cs="Arial" w:hint="cs"/>
          <w:rtl/>
        </w:rPr>
        <w:t xml:space="preserve"> </w:t>
      </w:r>
      <w:r w:rsidRPr="00F01BA9">
        <w:rPr>
          <w:rFonts w:cs="Arial" w:hint="cs"/>
          <w:rtl/>
        </w:rPr>
        <w:t>תוס'</w:t>
      </w:r>
      <w:r>
        <w:rPr>
          <w:rStyle w:val="a7"/>
          <w:rFonts w:cs="Arial"/>
          <w:rtl/>
        </w:rPr>
        <w:footnoteReference w:id="1039"/>
      </w:r>
      <w:r w:rsidRPr="00F74A6F">
        <w:rPr>
          <w:rFonts w:cs="Arial" w:hint="cs"/>
          <w:sz w:val="16"/>
          <w:szCs w:val="16"/>
          <w:rtl/>
        </w:rPr>
        <w:t xml:space="preserve"> (פח. ד"ה וכך היו)</w:t>
      </w:r>
      <w:r>
        <w:rPr>
          <w:rFonts w:cs="Arial" w:hint="cs"/>
          <w:rtl/>
        </w:rPr>
        <w:t xml:space="preserve"> </w:t>
      </w:r>
      <w:r w:rsidRPr="00971CD5">
        <w:rPr>
          <w:rFonts w:cs="Arial"/>
          <w:sz w:val="16"/>
          <w:szCs w:val="16"/>
          <w:rtl/>
        </w:rPr>
        <w:t xml:space="preserve">רשב"א (פז: ד"ה כתב) </w:t>
      </w:r>
      <w:r>
        <w:rPr>
          <w:rFonts w:cs="Arial" w:hint="cs"/>
          <w:rtl/>
        </w:rPr>
        <w:t>ו</w:t>
      </w:r>
      <w:r w:rsidRPr="00F01BA9">
        <w:rPr>
          <w:rFonts w:cs="Arial" w:hint="cs"/>
          <w:rtl/>
        </w:rPr>
        <w:t xml:space="preserve">ר"ן </w:t>
      </w:r>
      <w:r w:rsidRPr="00F01BA9">
        <w:rPr>
          <w:rFonts w:cs="Arial" w:hint="cs"/>
          <w:sz w:val="16"/>
          <w:szCs w:val="16"/>
          <w:rtl/>
        </w:rPr>
        <w:t>(מט. ד"ה כתב חניכתו)</w:t>
      </w:r>
      <w:r w:rsidR="00A82951">
        <w:rPr>
          <w:rFonts w:cs="Arial" w:hint="cs"/>
          <w:rtl/>
        </w:rPr>
        <w:t>-</w:t>
      </w:r>
      <w:r w:rsidRPr="00F01BA9">
        <w:rPr>
          <w:rFonts w:cs="Arial" w:hint="cs"/>
          <w:rtl/>
        </w:rPr>
        <w:t xml:space="preserve"> </w:t>
      </w:r>
      <w:r w:rsidRPr="00F01BA9">
        <w:rPr>
          <w:rFonts w:cs="Arial"/>
          <w:rtl/>
        </w:rPr>
        <w:t>חניכת אבות דברייתא הוא חניכה אחרת</w:t>
      </w:r>
      <w:r>
        <w:rPr>
          <w:rFonts w:cs="Arial" w:hint="cs"/>
          <w:rtl/>
        </w:rPr>
        <w:t>,</w:t>
      </w:r>
      <w:r w:rsidRPr="00F01BA9">
        <w:rPr>
          <w:rFonts w:cs="Arial"/>
          <w:rtl/>
        </w:rPr>
        <w:t xml:space="preserve"> דהיינו חניכת המשפחה שנקראין כולה על שמה</w:t>
      </w:r>
      <w:r>
        <w:rPr>
          <w:rFonts w:cs="Arial" w:hint="cs"/>
          <w:rtl/>
        </w:rPr>
        <w:t>,</w:t>
      </w:r>
      <w:r w:rsidRPr="00F01BA9">
        <w:rPr>
          <w:rFonts w:cs="Arial"/>
          <w:rtl/>
        </w:rPr>
        <w:t xml:space="preserve"> ולא מיירי בשם לווי דבגופיה</w:t>
      </w:r>
      <w:r>
        <w:rPr>
          <w:rFonts w:cs="Arial" w:hint="cs"/>
          <w:sz w:val="16"/>
          <w:szCs w:val="16"/>
          <w:rtl/>
        </w:rPr>
        <w:t xml:space="preserve"> (ל' הר"ן)</w:t>
      </w:r>
      <w:r>
        <w:rPr>
          <w:rFonts w:hint="cs"/>
          <w:rtl/>
        </w:rPr>
        <w:t>.</w:t>
      </w:r>
    </w:p>
    <w:p w14:paraId="5C12518E" w14:textId="2279B32A" w:rsidR="00FA2119" w:rsidRDefault="00FA2119" w:rsidP="00FA2119">
      <w:pPr>
        <w:pStyle w:val="ab"/>
        <w:numPr>
          <w:ilvl w:val="0"/>
          <w:numId w:val="71"/>
        </w:numPr>
        <w:rPr>
          <w:rtl/>
        </w:rPr>
      </w:pPr>
      <w:r>
        <w:rPr>
          <w:rFonts w:cs="Arial" w:hint="cs"/>
          <w:rtl/>
        </w:rPr>
        <w:t xml:space="preserve">רש"י </w:t>
      </w:r>
      <w:r>
        <w:rPr>
          <w:rFonts w:cs="Arial" w:hint="cs"/>
          <w:sz w:val="16"/>
          <w:szCs w:val="16"/>
          <w:rtl/>
        </w:rPr>
        <w:t>(פז: ד"ה חניכתו)</w:t>
      </w:r>
      <w:r w:rsidR="00A82951">
        <w:rPr>
          <w:rFonts w:cs="Arial" w:hint="cs"/>
          <w:rtl/>
        </w:rPr>
        <w:t>-</w:t>
      </w:r>
      <w:r>
        <w:rPr>
          <w:rFonts w:cs="Arial" w:hint="cs"/>
          <w:rtl/>
        </w:rPr>
        <w:t xml:space="preserve"> </w:t>
      </w:r>
      <w:r w:rsidRPr="00CD043D">
        <w:rPr>
          <w:rFonts w:cs="Arial"/>
          <w:rtl/>
        </w:rPr>
        <w:t>שם לווי של משפחה כולה</w:t>
      </w:r>
      <w:r>
        <w:rPr>
          <w:rStyle w:val="a7"/>
          <w:rFonts w:cs="Arial"/>
          <w:rtl/>
        </w:rPr>
        <w:footnoteReference w:id="1040"/>
      </w:r>
      <w:r w:rsidRPr="00CD043D">
        <w:rPr>
          <w:rFonts w:cs="Arial"/>
          <w:rtl/>
        </w:rPr>
        <w:t>.</w:t>
      </w:r>
    </w:p>
    <w:p w14:paraId="45CF9E4F" w14:textId="2E511BC1" w:rsidR="00FA2119" w:rsidRDefault="00FA2119" w:rsidP="00FA2119">
      <w:pPr>
        <w:pStyle w:val="ab"/>
        <w:numPr>
          <w:ilvl w:val="0"/>
          <w:numId w:val="71"/>
        </w:numPr>
        <w:rPr>
          <w:rtl/>
        </w:rPr>
      </w:pPr>
      <w:r w:rsidRPr="00F01BA9">
        <w:rPr>
          <w:rFonts w:cs="Arial" w:hint="cs"/>
          <w:rtl/>
        </w:rPr>
        <w:t>שלט"ג</w:t>
      </w:r>
      <w:r w:rsidRPr="00F01BA9">
        <w:rPr>
          <w:rFonts w:cs="Arial"/>
          <w:rtl/>
        </w:rPr>
        <w:t xml:space="preserve"> </w:t>
      </w:r>
      <w:r w:rsidRPr="00F01BA9">
        <w:rPr>
          <w:rFonts w:cs="Arial" w:hint="cs"/>
          <w:sz w:val="16"/>
          <w:szCs w:val="16"/>
          <w:rtl/>
        </w:rPr>
        <w:t>(</w:t>
      </w:r>
      <w:r w:rsidRPr="00F01BA9">
        <w:rPr>
          <w:rFonts w:cs="Arial"/>
          <w:sz w:val="16"/>
          <w:szCs w:val="16"/>
          <w:rtl/>
        </w:rPr>
        <w:t>פ</w:t>
      </w:r>
      <w:r w:rsidRPr="00F01BA9">
        <w:rPr>
          <w:rFonts w:cs="Arial" w:hint="cs"/>
          <w:sz w:val="16"/>
          <w:szCs w:val="16"/>
          <w:rtl/>
        </w:rPr>
        <w:t>'</w:t>
      </w:r>
      <w:r w:rsidRPr="00F01BA9">
        <w:rPr>
          <w:rFonts w:cs="Arial"/>
          <w:sz w:val="16"/>
          <w:szCs w:val="16"/>
          <w:rtl/>
        </w:rPr>
        <w:t xml:space="preserve"> השולח דף תק"ע ע"ב)</w:t>
      </w:r>
      <w:r w:rsidRPr="00F01BA9">
        <w:rPr>
          <w:rFonts w:cs="Arial"/>
          <w:rtl/>
        </w:rPr>
        <w:t xml:space="preserve"> בשם ריא"ז</w:t>
      </w:r>
      <w:r w:rsidR="00A82951">
        <w:rPr>
          <w:rFonts w:cs="Arial" w:hint="cs"/>
          <w:rtl/>
        </w:rPr>
        <w:t>-</w:t>
      </w:r>
      <w:r w:rsidRPr="00F01BA9">
        <w:rPr>
          <w:rFonts w:cs="Arial"/>
          <w:rtl/>
        </w:rPr>
        <w:t xml:space="preserve"> כתב חניכת אבותיהם</w:t>
      </w:r>
      <w:r w:rsidR="009937CF">
        <w:rPr>
          <w:rFonts w:cs="Arial" w:hint="cs"/>
          <w:rtl/>
        </w:rPr>
        <w:t>,</w:t>
      </w:r>
      <w:r w:rsidRPr="00F01BA9">
        <w:rPr>
          <w:rFonts w:cs="Arial"/>
          <w:rtl/>
        </w:rPr>
        <w:t xml:space="preserve"> כשבא לכתוב פב"פ לא כתב שם אביו אלא חניכת זקנו שהיה גדול המשפחה ובני המשפחה נקראים על שמו</w:t>
      </w:r>
      <w:r w:rsidR="009937CF">
        <w:rPr>
          <w:rFonts w:cs="Arial" w:hint="cs"/>
          <w:rtl/>
        </w:rPr>
        <w:t xml:space="preserve"> -</w:t>
      </w:r>
      <w:r w:rsidRPr="00F01BA9">
        <w:rPr>
          <w:rFonts w:cs="Arial"/>
          <w:rtl/>
        </w:rPr>
        <w:t xml:space="preserve"> כשר, ובלבד שיכתוב שם המגרש ושם המתגרשת</w:t>
      </w:r>
      <w:r w:rsidR="009937CF">
        <w:rPr>
          <w:rFonts w:cs="Arial" w:hint="cs"/>
          <w:rtl/>
        </w:rPr>
        <w:t>.</w:t>
      </w:r>
      <w:r w:rsidRPr="00F01BA9">
        <w:rPr>
          <w:rFonts w:cs="Arial"/>
          <w:rtl/>
        </w:rPr>
        <w:t xml:space="preserve"> ואין כותבין חניכות אלא עד ג' דורות</w:t>
      </w:r>
      <w:r w:rsidR="009937CF">
        <w:rPr>
          <w:rFonts w:cs="Arial" w:hint="cs"/>
          <w:rtl/>
        </w:rPr>
        <w:t>,</w:t>
      </w:r>
      <w:r w:rsidRPr="00F01BA9">
        <w:rPr>
          <w:rFonts w:cs="Arial"/>
          <w:rtl/>
        </w:rPr>
        <w:t xml:space="preserve"> ואם כתב מג' דורות ומעלה </w:t>
      </w:r>
      <w:r w:rsidR="009937CF">
        <w:rPr>
          <w:rFonts w:cs="Arial" w:hint="cs"/>
          <w:rtl/>
        </w:rPr>
        <w:t xml:space="preserve">- </w:t>
      </w:r>
      <w:r w:rsidRPr="00F01BA9">
        <w:rPr>
          <w:rFonts w:cs="Arial"/>
          <w:rtl/>
        </w:rPr>
        <w:t>הרי הוא כשינוי השם ופסול</w:t>
      </w:r>
      <w:r w:rsidRPr="00F01BA9">
        <w:rPr>
          <w:rFonts w:cs="Arial" w:hint="cs"/>
          <w:rtl/>
        </w:rPr>
        <w:t>.</w:t>
      </w:r>
    </w:p>
    <w:p w14:paraId="48F921DA" w14:textId="48009C04" w:rsidR="00FA2119" w:rsidRDefault="00FA2119" w:rsidP="00FA2119">
      <w:pPr>
        <w:pStyle w:val="ab"/>
        <w:numPr>
          <w:ilvl w:val="0"/>
          <w:numId w:val="71"/>
        </w:numPr>
        <w:rPr>
          <w:rtl/>
        </w:rPr>
      </w:pPr>
      <w:r w:rsidRPr="008D6412">
        <w:rPr>
          <w:rFonts w:cs="Arial"/>
          <w:rtl/>
        </w:rPr>
        <w:t>ראבי"ה</w:t>
      </w:r>
      <w:r w:rsidRPr="00312913">
        <w:rPr>
          <w:rFonts w:cs="Arial"/>
          <w:sz w:val="16"/>
          <w:szCs w:val="16"/>
          <w:rtl/>
        </w:rPr>
        <w:t xml:space="preserve"> </w:t>
      </w:r>
      <w:r w:rsidRPr="00312913">
        <w:rPr>
          <w:rFonts w:cs="Arial" w:hint="cs"/>
          <w:sz w:val="16"/>
          <w:szCs w:val="16"/>
          <w:rtl/>
        </w:rPr>
        <w:t>(</w:t>
      </w:r>
      <w:r w:rsidRPr="00312913">
        <w:rPr>
          <w:rFonts w:cs="Arial"/>
          <w:sz w:val="16"/>
          <w:szCs w:val="16"/>
          <w:rtl/>
        </w:rPr>
        <w:t>סי' תתקלט</w:t>
      </w:r>
      <w:r>
        <w:rPr>
          <w:rFonts w:cs="Arial" w:hint="cs"/>
          <w:sz w:val="16"/>
          <w:szCs w:val="16"/>
          <w:rtl/>
        </w:rPr>
        <w:t>, והביאו המרדכי [סי' שנד]</w:t>
      </w:r>
      <w:r w:rsidRPr="00312913">
        <w:rPr>
          <w:rFonts w:cs="Arial"/>
          <w:sz w:val="16"/>
          <w:szCs w:val="16"/>
          <w:rtl/>
        </w:rPr>
        <w:t>)</w:t>
      </w:r>
      <w:r w:rsidR="00A82951">
        <w:rPr>
          <w:rFonts w:cs="Arial" w:hint="cs"/>
          <w:rtl/>
        </w:rPr>
        <w:t>-</w:t>
      </w:r>
      <w:r>
        <w:rPr>
          <w:rFonts w:cs="Arial" w:hint="cs"/>
          <w:rtl/>
        </w:rPr>
        <w:t xml:space="preserve"> </w:t>
      </w:r>
      <w:r w:rsidRPr="006620BE">
        <w:rPr>
          <w:rFonts w:cs="Arial"/>
          <w:rtl/>
        </w:rPr>
        <w:t>שלא הוזכר שמותן כי אם ראש המשפחה של שניהם.</w:t>
      </w:r>
    </w:p>
    <w:p w14:paraId="18948A47" w14:textId="3E68DC14" w:rsidR="00FA2119" w:rsidRDefault="00FA2119" w:rsidP="00FA2119">
      <w:pPr>
        <w:pStyle w:val="ab"/>
        <w:numPr>
          <w:ilvl w:val="0"/>
          <w:numId w:val="71"/>
        </w:numPr>
      </w:pPr>
      <w:r w:rsidRPr="00F01BA9">
        <w:rPr>
          <w:rFonts w:cs="Arial" w:hint="cs"/>
          <w:rtl/>
        </w:rPr>
        <w:t xml:space="preserve">רי"ו </w:t>
      </w:r>
      <w:r w:rsidRPr="00F01BA9">
        <w:rPr>
          <w:rFonts w:cs="Arial" w:hint="cs"/>
          <w:sz w:val="16"/>
          <w:szCs w:val="16"/>
          <w:rtl/>
        </w:rPr>
        <w:t>(</w:t>
      </w:r>
      <w:r w:rsidRPr="00F01BA9">
        <w:rPr>
          <w:rFonts w:cs="Arial"/>
          <w:sz w:val="16"/>
          <w:szCs w:val="16"/>
          <w:rtl/>
        </w:rPr>
        <w:t>תא</w:t>
      </w:r>
      <w:r w:rsidRPr="00F01BA9">
        <w:rPr>
          <w:rFonts w:cs="Arial" w:hint="cs"/>
          <w:sz w:val="16"/>
          <w:szCs w:val="16"/>
          <w:rtl/>
        </w:rPr>
        <w:t>"</w:t>
      </w:r>
      <w:r w:rsidRPr="00F01BA9">
        <w:rPr>
          <w:rFonts w:cs="Arial"/>
          <w:sz w:val="16"/>
          <w:szCs w:val="16"/>
          <w:rtl/>
        </w:rPr>
        <w:t>ו נכ</w:t>
      </w:r>
      <w:r w:rsidRPr="00F01BA9">
        <w:rPr>
          <w:rFonts w:cs="Arial" w:hint="cs"/>
          <w:sz w:val="16"/>
          <w:szCs w:val="16"/>
          <w:rtl/>
        </w:rPr>
        <w:t>"</w:t>
      </w:r>
      <w:r w:rsidRPr="00F01BA9">
        <w:rPr>
          <w:rFonts w:cs="Arial"/>
          <w:sz w:val="16"/>
          <w:szCs w:val="16"/>
          <w:rtl/>
        </w:rPr>
        <w:t>ד ח</w:t>
      </w:r>
      <w:r w:rsidRPr="00F01BA9">
        <w:rPr>
          <w:rFonts w:cs="Arial" w:hint="cs"/>
          <w:sz w:val="16"/>
          <w:szCs w:val="16"/>
          <w:rtl/>
        </w:rPr>
        <w:t>"</w:t>
      </w:r>
      <w:r w:rsidRPr="00F01BA9">
        <w:rPr>
          <w:rFonts w:cs="Arial"/>
          <w:sz w:val="16"/>
          <w:szCs w:val="16"/>
          <w:rtl/>
        </w:rPr>
        <w:t>ב רו א</w:t>
      </w:r>
      <w:r w:rsidRPr="00F01BA9">
        <w:rPr>
          <w:rFonts w:cs="Arial" w:hint="cs"/>
          <w:sz w:val="16"/>
          <w:szCs w:val="16"/>
          <w:rtl/>
        </w:rPr>
        <w:t>)</w:t>
      </w:r>
      <w:r w:rsidR="00A82951">
        <w:rPr>
          <w:rFonts w:cs="Arial" w:hint="cs"/>
          <w:rtl/>
        </w:rPr>
        <w:t>-</w:t>
      </w:r>
      <w:r w:rsidRPr="00F01BA9">
        <w:rPr>
          <w:rFonts w:cs="Arial" w:hint="cs"/>
          <w:rtl/>
        </w:rPr>
        <w:t xml:space="preserve"> </w:t>
      </w:r>
      <w:r w:rsidRPr="00F01BA9">
        <w:rPr>
          <w:rFonts w:cs="Arial"/>
          <w:rtl/>
        </w:rPr>
        <w:t>ר"ל שלא כתב שמו או שמה אלא חניכת אבות</w:t>
      </w:r>
      <w:r>
        <w:rPr>
          <w:rFonts w:cs="Arial" w:hint="cs"/>
          <w:rtl/>
        </w:rPr>
        <w:t>,</w:t>
      </w:r>
      <w:r w:rsidRPr="00F01BA9">
        <w:rPr>
          <w:rFonts w:cs="Arial"/>
          <w:rtl/>
        </w:rPr>
        <w:t xml:space="preserve"> רוצה לומר שם לווי מן</w:t>
      </w:r>
      <w:r w:rsidRPr="00644C65">
        <w:rPr>
          <w:rtl/>
        </w:rPr>
        <w:t xml:space="preserve"> </w:t>
      </w:r>
      <w:r w:rsidRPr="00F01BA9">
        <w:rPr>
          <w:rFonts w:cs="Arial"/>
          <w:rtl/>
        </w:rPr>
        <w:t>המשפח</w:t>
      </w:r>
      <w:r>
        <w:rPr>
          <w:rFonts w:cs="Arial" w:hint="cs"/>
          <w:rtl/>
        </w:rPr>
        <w:t>ה,</w:t>
      </w:r>
      <w:r w:rsidRPr="00F01BA9">
        <w:rPr>
          <w:rFonts w:cs="Arial"/>
          <w:rtl/>
        </w:rPr>
        <w:t xml:space="preserve"> אם אין עדין כי אם ג' דורו</w:t>
      </w:r>
      <w:r>
        <w:rPr>
          <w:rFonts w:cs="Arial" w:hint="cs"/>
          <w:rtl/>
        </w:rPr>
        <w:t>ת</w:t>
      </w:r>
      <w:r w:rsidRPr="00F01BA9">
        <w:rPr>
          <w:rFonts w:cs="Arial"/>
          <w:rtl/>
        </w:rPr>
        <w:t xml:space="preserve"> אב ובנו ובן בנו שלקחו זאת החניכה </w:t>
      </w:r>
      <w:r w:rsidR="009937CF">
        <w:rPr>
          <w:rFonts w:cs="Arial" w:hint="cs"/>
          <w:rtl/>
        </w:rPr>
        <w:t xml:space="preserve">- </w:t>
      </w:r>
      <w:r w:rsidRPr="00F01BA9">
        <w:rPr>
          <w:rFonts w:cs="Arial"/>
          <w:rtl/>
        </w:rPr>
        <w:t>כשר</w:t>
      </w:r>
      <w:r>
        <w:rPr>
          <w:rFonts w:cs="Arial" w:hint="cs"/>
          <w:rtl/>
        </w:rPr>
        <w:t>.</w:t>
      </w:r>
      <w:r w:rsidRPr="00F01BA9">
        <w:rPr>
          <w:rFonts w:cs="Arial"/>
          <w:rtl/>
        </w:rPr>
        <w:t xml:space="preserve"> ואם יש יותר מג' דורות</w:t>
      </w:r>
      <w:r w:rsidR="009937CF">
        <w:rPr>
          <w:rFonts w:cs="Arial" w:hint="cs"/>
          <w:rtl/>
        </w:rPr>
        <w:t xml:space="preserve"> -</w:t>
      </w:r>
      <w:r w:rsidRPr="00F01BA9">
        <w:rPr>
          <w:rFonts w:cs="Arial"/>
          <w:rtl/>
        </w:rPr>
        <w:t xml:space="preserve"> פסול עד שיכתוב שמו ושמה</w:t>
      </w:r>
      <w:r>
        <w:rPr>
          <w:rFonts w:cs="Arial" w:hint="cs"/>
          <w:rtl/>
        </w:rPr>
        <w:t>.</w:t>
      </w:r>
      <w:r w:rsidRPr="00F01BA9">
        <w:rPr>
          <w:rFonts w:cs="Arial"/>
          <w:rtl/>
        </w:rPr>
        <w:t xml:space="preserve"> פרש"י חניכת המשנה וחניכת הגמ' פי</w:t>
      </w:r>
      <w:r>
        <w:rPr>
          <w:rFonts w:cs="Arial" w:hint="cs"/>
          <w:rtl/>
        </w:rPr>
        <w:t>רוש</w:t>
      </w:r>
      <w:r w:rsidRPr="00F01BA9">
        <w:rPr>
          <w:rFonts w:cs="Arial"/>
          <w:rtl/>
        </w:rPr>
        <w:t xml:space="preserve"> אח</w:t>
      </w:r>
      <w:r>
        <w:rPr>
          <w:rFonts w:cs="Arial" w:hint="cs"/>
          <w:rtl/>
        </w:rPr>
        <w:t>ד,</w:t>
      </w:r>
      <w:r w:rsidRPr="00F01BA9">
        <w:rPr>
          <w:rFonts w:cs="Arial"/>
          <w:rtl/>
        </w:rPr>
        <w:t xml:space="preserve"> כלומר שם לווי משם המשפחה</w:t>
      </w:r>
      <w:r>
        <w:rPr>
          <w:rFonts w:cs="Arial" w:hint="cs"/>
          <w:rtl/>
        </w:rPr>
        <w:t>.</w:t>
      </w:r>
      <w:r w:rsidRPr="00F01BA9">
        <w:rPr>
          <w:rFonts w:cs="Arial"/>
          <w:rtl/>
        </w:rPr>
        <w:t xml:space="preserve"> ור"ת פי' חניכת המשנה שם לווי של האיש עצמו או של האשה עצמה וחניכת הגמ' מאבותיו. ולפי דברי ר</w:t>
      </w:r>
      <w:r w:rsidR="009937CF">
        <w:rPr>
          <w:rFonts w:cs="Arial" w:hint="cs"/>
          <w:rtl/>
        </w:rPr>
        <w:t>"</w:t>
      </w:r>
      <w:r w:rsidRPr="00F01BA9">
        <w:rPr>
          <w:rFonts w:cs="Arial"/>
          <w:rtl/>
        </w:rPr>
        <w:t>ת אם כתב שם לווי של עצמו כשר</w:t>
      </w:r>
      <w:r>
        <w:rPr>
          <w:rFonts w:cs="Arial" w:hint="cs"/>
          <w:rtl/>
        </w:rPr>
        <w:t>,</w:t>
      </w:r>
      <w:r w:rsidRPr="00F01BA9">
        <w:rPr>
          <w:rFonts w:cs="Arial"/>
          <w:rtl/>
        </w:rPr>
        <w:t xml:space="preserve"> ואפי' שלא כתב שמו</w:t>
      </w:r>
      <w:r>
        <w:rPr>
          <w:rFonts w:cs="Arial" w:hint="cs"/>
          <w:rtl/>
        </w:rPr>
        <w:t>,</w:t>
      </w:r>
      <w:r w:rsidRPr="00F01BA9">
        <w:rPr>
          <w:rFonts w:cs="Arial"/>
          <w:rtl/>
        </w:rPr>
        <w:t xml:space="preserve"> כגון שקורין לכמה אנשים בכנוי שמכנין לו שם והוא שם לווי שלו</w:t>
      </w:r>
      <w:r>
        <w:rPr>
          <w:rFonts w:cs="Arial" w:hint="cs"/>
          <w:rtl/>
        </w:rPr>
        <w:t>,</w:t>
      </w:r>
      <w:r w:rsidRPr="00F01BA9">
        <w:rPr>
          <w:rFonts w:cs="Arial"/>
          <w:rtl/>
        </w:rPr>
        <w:t xml:space="preserve"> ואינו חניכת אבותיו הנקרא אלקוניא.</w:t>
      </w:r>
    </w:p>
    <w:p w14:paraId="158996B8" w14:textId="77777777" w:rsidR="00FA2119" w:rsidRPr="00F56AAF" w:rsidRDefault="00FA2119" w:rsidP="00FA2119">
      <w:pPr>
        <w:rPr>
          <w:u w:val="single"/>
          <w:rtl/>
        </w:rPr>
      </w:pPr>
      <w:r w:rsidRPr="00F56AAF">
        <w:rPr>
          <w:rFonts w:hint="cs"/>
          <w:u w:val="single"/>
          <w:rtl/>
        </w:rPr>
        <w:t>כתיבת שם החניכה של המשפחה:</w:t>
      </w:r>
    </w:p>
    <w:p w14:paraId="5A67CAE9" w14:textId="19F6A312" w:rsidR="00FA2119" w:rsidRDefault="00FA2119" w:rsidP="00FA2119">
      <w:pPr>
        <w:pStyle w:val="ab"/>
        <w:numPr>
          <w:ilvl w:val="0"/>
          <w:numId w:val="69"/>
        </w:numPr>
      </w:pPr>
      <w:r>
        <w:rPr>
          <w:rFonts w:cs="Arial" w:hint="cs"/>
          <w:rtl/>
        </w:rPr>
        <w:t>טור</w:t>
      </w:r>
      <w:r w:rsidR="00A82951">
        <w:rPr>
          <w:rFonts w:cs="Arial" w:hint="cs"/>
          <w:rtl/>
        </w:rPr>
        <w:t>-</w:t>
      </w:r>
      <w:r>
        <w:rPr>
          <w:rFonts w:cs="Arial" w:hint="cs"/>
          <w:rtl/>
        </w:rPr>
        <w:t xml:space="preserve"> </w:t>
      </w:r>
      <w:r w:rsidRPr="00390632">
        <w:rPr>
          <w:rFonts w:cs="Arial"/>
          <w:rtl/>
        </w:rPr>
        <w:t>וכן בחניכת שם המשפחה סגי</w:t>
      </w:r>
      <w:r>
        <w:rPr>
          <w:rFonts w:cs="Arial" w:hint="cs"/>
          <w:rtl/>
        </w:rPr>
        <w:t>.</w:t>
      </w:r>
      <w:r w:rsidRPr="00390632">
        <w:rPr>
          <w:rFonts w:cs="Arial"/>
          <w:rtl/>
        </w:rPr>
        <w:t xml:space="preserve"> ודוקא עד שלשה דורות</w:t>
      </w:r>
      <w:r>
        <w:rPr>
          <w:rFonts w:cs="Arial" w:hint="cs"/>
          <w:rtl/>
        </w:rPr>
        <w:t>,</w:t>
      </w:r>
      <w:r w:rsidRPr="00390632">
        <w:rPr>
          <w:rFonts w:cs="Arial"/>
          <w:rtl/>
        </w:rPr>
        <w:t xml:space="preserve"> אבל מכאן ואילך לא</w:t>
      </w:r>
      <w:r>
        <w:rPr>
          <w:rFonts w:hint="cs"/>
          <w:rtl/>
        </w:rPr>
        <w:t>.</w:t>
      </w:r>
      <w:r w:rsidRPr="00971CD5">
        <w:rPr>
          <w:rFonts w:cs="Arial"/>
          <w:rtl/>
        </w:rPr>
        <w:t xml:space="preserve"> </w:t>
      </w:r>
    </w:p>
    <w:p w14:paraId="5AE04414" w14:textId="7B5F4B8D" w:rsidR="00FA2119" w:rsidRPr="004A665F" w:rsidRDefault="00FA2119" w:rsidP="00FA2119">
      <w:pPr>
        <w:pStyle w:val="ab"/>
        <w:numPr>
          <w:ilvl w:val="0"/>
          <w:numId w:val="69"/>
        </w:numPr>
        <w:rPr>
          <w:rFonts w:cs="Arial"/>
        </w:rPr>
      </w:pPr>
      <w:r w:rsidRPr="008D6412">
        <w:rPr>
          <w:rFonts w:cs="Arial"/>
          <w:rtl/>
        </w:rPr>
        <w:t>רשב"א</w:t>
      </w:r>
      <w:r>
        <w:rPr>
          <w:rFonts w:cs="Arial" w:hint="cs"/>
          <w:sz w:val="16"/>
          <w:szCs w:val="16"/>
          <w:rtl/>
        </w:rPr>
        <w:t xml:space="preserve"> (</w:t>
      </w:r>
      <w:r w:rsidRPr="0072772B">
        <w:rPr>
          <w:rFonts w:cs="Arial"/>
          <w:sz w:val="16"/>
          <w:szCs w:val="16"/>
          <w:rtl/>
        </w:rPr>
        <w:t>שו"ת הרשב"א החדשות מכ</w:t>
      </w:r>
      <w:r>
        <w:rPr>
          <w:rFonts w:cs="Arial" w:hint="cs"/>
          <w:sz w:val="16"/>
          <w:szCs w:val="16"/>
          <w:rtl/>
        </w:rPr>
        <w:t>"</w:t>
      </w:r>
      <w:r w:rsidRPr="0072772B">
        <w:rPr>
          <w:rFonts w:cs="Arial"/>
          <w:sz w:val="16"/>
          <w:szCs w:val="16"/>
          <w:rtl/>
        </w:rPr>
        <w:t>י סי</w:t>
      </w:r>
      <w:r>
        <w:rPr>
          <w:rFonts w:cs="Arial" w:hint="cs"/>
          <w:sz w:val="16"/>
          <w:szCs w:val="16"/>
          <w:rtl/>
        </w:rPr>
        <w:t>'</w:t>
      </w:r>
      <w:r w:rsidRPr="0072772B">
        <w:rPr>
          <w:rFonts w:cs="Arial"/>
          <w:sz w:val="16"/>
          <w:szCs w:val="16"/>
          <w:rtl/>
        </w:rPr>
        <w:t xml:space="preserve"> ריא</w:t>
      </w:r>
      <w:r>
        <w:rPr>
          <w:rFonts w:cs="Arial" w:hint="cs"/>
          <w:sz w:val="16"/>
          <w:szCs w:val="16"/>
          <w:rtl/>
        </w:rPr>
        <w:t>)</w:t>
      </w:r>
      <w:r w:rsidR="00A82951">
        <w:rPr>
          <w:rFonts w:cs="Arial" w:hint="cs"/>
          <w:rtl/>
        </w:rPr>
        <w:t>-</w:t>
      </w:r>
      <w:r w:rsidRPr="008D6412">
        <w:rPr>
          <w:rFonts w:cs="Arial"/>
          <w:rtl/>
        </w:rPr>
        <w:t xml:space="preserve"> </w:t>
      </w:r>
      <w:r w:rsidRPr="0072772B">
        <w:rPr>
          <w:rFonts w:cs="Arial"/>
          <w:rtl/>
        </w:rPr>
        <w:t>שאלת</w:t>
      </w:r>
      <w:r>
        <w:rPr>
          <w:rFonts w:cs="Arial" w:hint="cs"/>
          <w:rtl/>
        </w:rPr>
        <w:t>:</w:t>
      </w:r>
      <w:r w:rsidRPr="0072772B">
        <w:rPr>
          <w:rFonts w:cs="Arial"/>
          <w:rtl/>
        </w:rPr>
        <w:t xml:space="preserve"> גט שצריך לכתוב בו שמו ושמה. אם כתוב בן פלוני ובת פלוני בלבד, ולא פירש שם המגרש ממש ולא שמה ממש, כשר או לא. מי אמרינן דכשר, דלא גרע שם האב מחניכא, ששנינו כתב חניכתו וחניכתה כשר</w:t>
      </w:r>
      <w:r>
        <w:rPr>
          <w:rFonts w:cs="Arial" w:hint="cs"/>
          <w:rtl/>
        </w:rPr>
        <w:t>..</w:t>
      </w:r>
      <w:r w:rsidRPr="0072772B">
        <w:rPr>
          <w:rFonts w:cs="Arial"/>
          <w:rtl/>
        </w:rPr>
        <w:t xml:space="preserve">. </w:t>
      </w:r>
      <w:r>
        <w:rPr>
          <w:rFonts w:cs="Arial" w:hint="cs"/>
          <w:rtl/>
        </w:rPr>
        <w:t xml:space="preserve">     </w:t>
      </w:r>
      <w:r w:rsidRPr="0072772B">
        <w:rPr>
          <w:rFonts w:cs="Arial"/>
          <w:rtl/>
        </w:rPr>
        <w:t>תשובה</w:t>
      </w:r>
      <w:r>
        <w:rPr>
          <w:rFonts w:cs="Arial" w:hint="cs"/>
          <w:rtl/>
        </w:rPr>
        <w:t>:</w:t>
      </w:r>
      <w:r w:rsidRPr="0072772B">
        <w:rPr>
          <w:rFonts w:cs="Arial"/>
          <w:rtl/>
        </w:rPr>
        <w:t xml:space="preserve"> כל שאין כתוב בו אלא בת פלוני </w:t>
      </w:r>
      <w:r w:rsidR="00A82951">
        <w:rPr>
          <w:rFonts w:cs="Arial" w:hint="cs"/>
          <w:rtl/>
        </w:rPr>
        <w:t>-</w:t>
      </w:r>
      <w:r>
        <w:rPr>
          <w:rFonts w:cs="Arial" w:hint="cs"/>
          <w:rtl/>
        </w:rPr>
        <w:t xml:space="preserve"> </w:t>
      </w:r>
      <w:r w:rsidRPr="0072772B">
        <w:rPr>
          <w:rFonts w:cs="Arial"/>
          <w:rtl/>
        </w:rPr>
        <w:t>אינו כשר, דשמו ושמה בעינן. וחניכא דקא אמרינן, היינו דקרו ליה אינשי באותה חניכא כנהוג היום, ושקורין אותה לבד באותה חניכה ולא אחרת עמה</w:t>
      </w:r>
      <w:r>
        <w:rPr>
          <w:rFonts w:cs="Arial" w:hint="cs"/>
          <w:rtl/>
        </w:rPr>
        <w:t>.</w:t>
      </w:r>
      <w:r w:rsidRPr="0072772B">
        <w:rPr>
          <w:rFonts w:cs="Arial"/>
          <w:rtl/>
        </w:rPr>
        <w:t xml:space="preserve"> דאי לא</w:t>
      </w:r>
      <w:r>
        <w:rPr>
          <w:rFonts w:cs="Arial" w:hint="cs"/>
          <w:rtl/>
        </w:rPr>
        <w:t>,</w:t>
      </w:r>
      <w:r w:rsidRPr="0072772B">
        <w:rPr>
          <w:rFonts w:cs="Arial"/>
          <w:rtl/>
        </w:rPr>
        <w:t xml:space="preserve"> לא מינכר לאי זו מגרש</w:t>
      </w:r>
      <w:r>
        <w:rPr>
          <w:rFonts w:cs="Arial" w:hint="cs"/>
          <w:rtl/>
        </w:rPr>
        <w:t>.</w:t>
      </w:r>
      <w:r w:rsidRPr="0072772B">
        <w:rPr>
          <w:rFonts w:cs="Arial"/>
          <w:rtl/>
        </w:rPr>
        <w:t xml:space="preserve"> כדעת ר</w:t>
      </w:r>
      <w:r>
        <w:rPr>
          <w:rFonts w:cs="Arial" w:hint="cs"/>
          <w:rtl/>
        </w:rPr>
        <w:t>"</w:t>
      </w:r>
      <w:r w:rsidRPr="0072772B">
        <w:rPr>
          <w:rFonts w:cs="Arial"/>
          <w:rtl/>
        </w:rPr>
        <w:t xml:space="preserve">ת ז"ל </w:t>
      </w:r>
      <w:r w:rsidRPr="0072772B">
        <w:rPr>
          <w:rFonts w:cs="Arial"/>
          <w:sz w:val="16"/>
          <w:szCs w:val="16"/>
          <w:rtl/>
        </w:rPr>
        <w:t>(ספר הישר חלק השו"ת סי</w:t>
      </w:r>
      <w:r>
        <w:rPr>
          <w:rFonts w:cs="Arial" w:hint="cs"/>
          <w:sz w:val="16"/>
          <w:szCs w:val="16"/>
          <w:rtl/>
        </w:rPr>
        <w:t>'</w:t>
      </w:r>
      <w:r w:rsidRPr="0072772B">
        <w:rPr>
          <w:rFonts w:cs="Arial"/>
          <w:sz w:val="16"/>
          <w:szCs w:val="16"/>
          <w:rtl/>
        </w:rPr>
        <w:t xml:space="preserve"> טו)</w:t>
      </w:r>
      <w:r>
        <w:rPr>
          <w:rFonts w:cs="Arial" w:hint="cs"/>
          <w:sz w:val="16"/>
          <w:szCs w:val="16"/>
          <w:rtl/>
        </w:rPr>
        <w:t xml:space="preserve"> </w:t>
      </w:r>
      <w:r w:rsidRPr="0072772B">
        <w:rPr>
          <w:rFonts w:cs="Arial"/>
          <w:rtl/>
        </w:rPr>
        <w:t>שכתב דבעינן שיהא ניכר מתוך הגט אי זו מגרש. אבל בת פלוני אינה נכרת באותו שם</w:t>
      </w:r>
      <w:r>
        <w:rPr>
          <w:rStyle w:val="a7"/>
          <w:rtl/>
        </w:rPr>
        <w:footnoteReference w:id="1041"/>
      </w:r>
      <w:r w:rsidRPr="0072772B">
        <w:rPr>
          <w:rFonts w:cs="Arial" w:hint="cs"/>
          <w:rtl/>
        </w:rPr>
        <w:t>.</w:t>
      </w:r>
    </w:p>
    <w:p w14:paraId="68A0A1A2" w14:textId="3429EC50" w:rsidR="00FA2119" w:rsidRPr="005359B7" w:rsidRDefault="00FA2119" w:rsidP="00FA2119">
      <w:pPr>
        <w:ind w:left="360"/>
      </w:pPr>
      <w:r>
        <w:rPr>
          <w:rFonts w:cs="Arial" w:hint="cs"/>
          <w:u w:val="dotted"/>
          <w:rtl/>
        </w:rPr>
        <w:t xml:space="preserve">לטור וסיעתו </w:t>
      </w:r>
      <w:r w:rsidR="00A82951">
        <w:rPr>
          <w:rFonts w:cs="Arial" w:hint="cs"/>
          <w:u w:val="dotted"/>
          <w:rtl/>
        </w:rPr>
        <w:t>-</w:t>
      </w:r>
      <w:r>
        <w:rPr>
          <w:rFonts w:cs="Arial" w:hint="cs"/>
          <w:u w:val="dotted"/>
          <w:rtl/>
        </w:rPr>
        <w:t xml:space="preserve"> האם צריך לתת גט זה בעדי מסירה </w:t>
      </w:r>
      <w:r>
        <w:rPr>
          <w:rFonts w:cs="Arial" w:hint="cs"/>
          <w:sz w:val="16"/>
          <w:szCs w:val="16"/>
          <w:u w:val="dotted"/>
          <w:rtl/>
        </w:rPr>
        <w:t>(כדי שנדע מי מסר הגט)</w:t>
      </w:r>
      <w:r>
        <w:rPr>
          <w:rFonts w:cs="Arial" w:hint="cs"/>
          <w:u w:val="dotted"/>
          <w:rtl/>
        </w:rPr>
        <w:t>:</w:t>
      </w:r>
    </w:p>
    <w:p w14:paraId="7565B30B" w14:textId="20250DD3" w:rsidR="00FA2119" w:rsidRDefault="00FA2119" w:rsidP="00FA2119">
      <w:pPr>
        <w:pStyle w:val="ab"/>
        <w:numPr>
          <w:ilvl w:val="0"/>
          <w:numId w:val="69"/>
        </w:numPr>
        <w:rPr>
          <w:rFonts w:cs="Arial"/>
        </w:rPr>
      </w:pPr>
      <w:r w:rsidRPr="008D6412">
        <w:rPr>
          <w:rFonts w:cs="Arial"/>
          <w:rtl/>
        </w:rPr>
        <w:t>ראבי"ה</w:t>
      </w:r>
      <w:r w:rsidRPr="00312913">
        <w:rPr>
          <w:rFonts w:cs="Arial"/>
          <w:sz w:val="16"/>
          <w:szCs w:val="16"/>
          <w:rtl/>
        </w:rPr>
        <w:t xml:space="preserve"> </w:t>
      </w:r>
      <w:r w:rsidRPr="00312913">
        <w:rPr>
          <w:rFonts w:cs="Arial" w:hint="cs"/>
          <w:sz w:val="16"/>
          <w:szCs w:val="16"/>
          <w:rtl/>
        </w:rPr>
        <w:t>(</w:t>
      </w:r>
      <w:r w:rsidRPr="00312913">
        <w:rPr>
          <w:rFonts w:cs="Arial"/>
          <w:sz w:val="16"/>
          <w:szCs w:val="16"/>
          <w:rtl/>
        </w:rPr>
        <w:t>סי' תתקלט</w:t>
      </w:r>
      <w:r>
        <w:rPr>
          <w:rFonts w:cs="Arial" w:hint="cs"/>
          <w:sz w:val="16"/>
          <w:szCs w:val="16"/>
          <w:rtl/>
        </w:rPr>
        <w:t>, והביאו המרדכי [סי' שנד]</w:t>
      </w:r>
      <w:r w:rsidRPr="00312913">
        <w:rPr>
          <w:rFonts w:cs="Arial"/>
          <w:sz w:val="16"/>
          <w:szCs w:val="16"/>
          <w:rtl/>
        </w:rPr>
        <w:t>)</w:t>
      </w:r>
      <w:r w:rsidR="00A82951">
        <w:rPr>
          <w:rFonts w:cs="Arial" w:hint="cs"/>
          <w:rtl/>
        </w:rPr>
        <w:t>-</w:t>
      </w:r>
      <w:r>
        <w:rPr>
          <w:rFonts w:cs="Arial" w:hint="cs"/>
          <w:rtl/>
        </w:rPr>
        <w:t xml:space="preserve"> </w:t>
      </w:r>
      <w:r>
        <w:rPr>
          <w:rStyle w:val="a7"/>
          <w:rFonts w:cs="Arial"/>
          <w:rtl/>
        </w:rPr>
        <w:footnoteReference w:id="1042"/>
      </w:r>
      <w:r w:rsidRPr="006620BE">
        <w:rPr>
          <w:rFonts w:cs="Arial"/>
          <w:rtl/>
        </w:rPr>
        <w:t>אמרינן בפרק בתרא (פז</w:t>
      </w:r>
      <w:r>
        <w:rPr>
          <w:rFonts w:cs="Arial" w:hint="cs"/>
          <w:rtl/>
        </w:rPr>
        <w:t>:</w:t>
      </w:r>
      <w:r w:rsidRPr="006620BE">
        <w:rPr>
          <w:rFonts w:cs="Arial"/>
          <w:rtl/>
        </w:rPr>
        <w:t>) כתב חניכתו וחניכתה כשר. ומפרשי רבוותא אע</w:t>
      </w:r>
      <w:r>
        <w:rPr>
          <w:rFonts w:cs="Arial" w:hint="cs"/>
          <w:rtl/>
        </w:rPr>
        <w:t>"</w:t>
      </w:r>
      <w:r w:rsidRPr="006620BE">
        <w:rPr>
          <w:rFonts w:cs="Arial"/>
          <w:rtl/>
        </w:rPr>
        <w:t>פ שלא הוזכר שמותן כי אם ראש המשפחה של שניהם. ובעל כורחי' אית לן לאוקמי בעידי מסירה, דאי לא תימא הכי מה אנו יודעין איזו מן המשפחה גירש הואיל שלא הוזכר שמותן</w:t>
      </w:r>
      <w:r>
        <w:rPr>
          <w:rStyle w:val="a7"/>
          <w:rFonts w:cs="Arial"/>
          <w:rtl/>
        </w:rPr>
        <w:footnoteReference w:id="1043"/>
      </w:r>
      <w:r w:rsidRPr="006620BE">
        <w:rPr>
          <w:rFonts w:cs="Arial"/>
          <w:rtl/>
        </w:rPr>
        <w:t xml:space="preserve">. </w:t>
      </w:r>
    </w:p>
    <w:p w14:paraId="59929C1D" w14:textId="77777777" w:rsidR="00FA2119" w:rsidRPr="00CB120E" w:rsidRDefault="00FA2119" w:rsidP="00FA2119">
      <w:pPr>
        <w:rPr>
          <w:u w:val="single"/>
        </w:rPr>
      </w:pPr>
      <w:r w:rsidRPr="00CB120E">
        <w:rPr>
          <w:rFonts w:hint="cs"/>
          <w:u w:val="single"/>
          <w:rtl/>
        </w:rPr>
        <w:t>כתב גט לאשתו ולא כתב 'וכל שום וחניכא דאית לי</w:t>
      </w:r>
      <w:r>
        <w:rPr>
          <w:rFonts w:hint="cs"/>
          <w:u w:val="single"/>
          <w:rtl/>
        </w:rPr>
        <w:t>ה</w:t>
      </w:r>
      <w:r w:rsidRPr="00CB120E">
        <w:rPr>
          <w:rFonts w:hint="cs"/>
          <w:u w:val="single"/>
          <w:rtl/>
        </w:rPr>
        <w:t>':</w:t>
      </w:r>
    </w:p>
    <w:p w14:paraId="687BECC2" w14:textId="5A411490" w:rsidR="00FA2119" w:rsidRPr="00BA4C51" w:rsidRDefault="00FA2119" w:rsidP="00FA2119">
      <w:pPr>
        <w:pStyle w:val="ab"/>
        <w:numPr>
          <w:ilvl w:val="0"/>
          <w:numId w:val="69"/>
        </w:numPr>
        <w:rPr>
          <w:rtl/>
        </w:rPr>
      </w:pPr>
      <w:r w:rsidRPr="00CB120E">
        <w:rPr>
          <w:rFonts w:cs="Arial"/>
          <w:rtl/>
        </w:rPr>
        <w:t xml:space="preserve">רשב"א </w:t>
      </w:r>
      <w:r w:rsidRPr="00CB120E">
        <w:rPr>
          <w:rFonts w:cs="Arial"/>
          <w:sz w:val="16"/>
          <w:szCs w:val="16"/>
          <w:rtl/>
        </w:rPr>
        <w:t>(ח"א סי' אלף ריג)</w:t>
      </w:r>
      <w:r w:rsidR="00A82951">
        <w:rPr>
          <w:rFonts w:cs="Arial" w:hint="cs"/>
          <w:rtl/>
        </w:rPr>
        <w:t>-</w:t>
      </w:r>
      <w:r w:rsidRPr="00D66E38">
        <w:rPr>
          <w:rtl/>
        </w:rPr>
        <w:t xml:space="preserve"> </w:t>
      </w:r>
      <w:r w:rsidRPr="00CB120E">
        <w:rPr>
          <w:rFonts w:cs="Arial"/>
          <w:rtl/>
        </w:rPr>
        <w:t xml:space="preserve">שאלת אחד מיושבי מיורקא הלך לעכו וכתב שם גט לאשתו שבמיורקא. ולא חששו לכתוב לו אלא שמו ושמה אבל לא כתבו בו וכל שום וחנוכה דאית ליה ודאית לה. </w:t>
      </w:r>
      <w:r w:rsidRPr="00CB120E">
        <w:rPr>
          <w:rFonts w:cs="Arial" w:hint="cs"/>
          <w:rtl/>
        </w:rPr>
        <w:t xml:space="preserve">   תשובה:</w:t>
      </w:r>
      <w:r w:rsidRPr="00CB120E">
        <w:rPr>
          <w:rFonts w:cs="Arial"/>
          <w:rtl/>
        </w:rPr>
        <w:t xml:space="preserve"> חניכתו וחניכתה אינו מעכב אם אין להם שם וחניכא ידועים</w:t>
      </w:r>
      <w:r w:rsidRPr="00CB120E">
        <w:rPr>
          <w:rFonts w:cs="Arial" w:hint="cs"/>
          <w:rtl/>
        </w:rPr>
        <w:t>.</w:t>
      </w:r>
      <w:r w:rsidRPr="00CB120E">
        <w:rPr>
          <w:rFonts w:cs="Arial"/>
          <w:rtl/>
        </w:rPr>
        <w:t xml:space="preserve"> ואדרבה</w:t>
      </w:r>
      <w:r w:rsidRPr="00CB120E">
        <w:rPr>
          <w:rFonts w:cs="Arial" w:hint="cs"/>
          <w:rtl/>
        </w:rPr>
        <w:t>,</w:t>
      </w:r>
      <w:r w:rsidRPr="00CB120E">
        <w:rPr>
          <w:rFonts w:cs="Arial"/>
          <w:rtl/>
        </w:rPr>
        <w:t xml:space="preserve"> ר"ת </w:t>
      </w:r>
      <w:r w:rsidRPr="0042794E">
        <w:rPr>
          <w:rFonts w:cs="Arial" w:hint="cs"/>
          <w:sz w:val="16"/>
          <w:szCs w:val="16"/>
          <w:rtl/>
        </w:rPr>
        <w:t>(בתוס' לד: ד"ה וכל)</w:t>
      </w:r>
      <w:r w:rsidRPr="00CB120E">
        <w:rPr>
          <w:rFonts w:cs="Arial"/>
          <w:rtl/>
        </w:rPr>
        <w:t xml:space="preserve"> כתב שאם אין להם שם וחניכא ידועים וכתב וכל שום וחניכא דאית לי פוסל בגט</w:t>
      </w:r>
      <w:r w:rsidRPr="00CB120E">
        <w:rPr>
          <w:rFonts w:cs="Arial" w:hint="cs"/>
          <w:rtl/>
        </w:rPr>
        <w:t>,</w:t>
      </w:r>
      <w:r w:rsidRPr="00CB120E">
        <w:rPr>
          <w:rFonts w:cs="Arial"/>
          <w:rtl/>
        </w:rPr>
        <w:t xml:space="preserve"> שהרי נראה שאין זה שמגרש אלא אחר שהרי אין לזה שם וחניכא</w:t>
      </w:r>
      <w:r w:rsidRPr="00CB120E">
        <w:rPr>
          <w:rFonts w:cs="Arial" w:hint="cs"/>
          <w:rtl/>
        </w:rPr>
        <w:t>.</w:t>
      </w:r>
      <w:r w:rsidRPr="00CB120E">
        <w:rPr>
          <w:rFonts w:cs="Arial"/>
          <w:rtl/>
        </w:rPr>
        <w:t xml:space="preserve"> וכשהתקין רבן גמליאל לכתוב איש פלוני וכל שום דאית ליה לא אתקין אלא בדאיתחזק בתרי שמי</w:t>
      </w:r>
      <w:r w:rsidRPr="00CB120E">
        <w:rPr>
          <w:rFonts w:cs="Arial" w:hint="cs"/>
          <w:rtl/>
        </w:rPr>
        <w:t>,</w:t>
      </w:r>
      <w:r w:rsidRPr="00CB120E">
        <w:rPr>
          <w:rFonts w:cs="Arial"/>
          <w:rtl/>
        </w:rPr>
        <w:t xml:space="preserve"> </w:t>
      </w:r>
      <w:r w:rsidRPr="00CB120E">
        <w:rPr>
          <w:rFonts w:cs="Arial"/>
          <w:rtl/>
        </w:rPr>
        <w:lastRenderedPageBreak/>
        <w:t>וכדאמר רב אשי בפרק השולח</w:t>
      </w:r>
      <w:r w:rsidRPr="00CB120E">
        <w:rPr>
          <w:rFonts w:cs="Arial" w:hint="cs"/>
          <w:rtl/>
        </w:rPr>
        <w:t>.</w:t>
      </w:r>
      <w:r w:rsidRPr="00CB120E">
        <w:rPr>
          <w:rFonts w:cs="Arial"/>
          <w:rtl/>
        </w:rPr>
        <w:t xml:space="preserve"> ואע</w:t>
      </w:r>
      <w:r w:rsidRPr="00CB120E">
        <w:rPr>
          <w:rFonts w:cs="Arial" w:hint="cs"/>
          <w:rtl/>
        </w:rPr>
        <w:t>"</w:t>
      </w:r>
      <w:r w:rsidRPr="00CB120E">
        <w:rPr>
          <w:rFonts w:cs="Arial"/>
          <w:rtl/>
        </w:rPr>
        <w:t>פ שבטופסי הראשונים כתוב כן בכל הגיטין</w:t>
      </w:r>
      <w:r w:rsidRPr="00CB120E">
        <w:rPr>
          <w:rFonts w:cs="Arial" w:hint="cs"/>
          <w:rtl/>
        </w:rPr>
        <w:t>,</w:t>
      </w:r>
      <w:r w:rsidRPr="00CB120E">
        <w:rPr>
          <w:rFonts w:cs="Arial"/>
          <w:rtl/>
        </w:rPr>
        <w:t xml:space="preserve"> מכל מקום כל שלא כתב אינו מעכב בדיעבד</w:t>
      </w:r>
      <w:r w:rsidRPr="00CB120E">
        <w:rPr>
          <w:rFonts w:cs="Arial" w:hint="cs"/>
          <w:rtl/>
        </w:rPr>
        <w:t>.</w:t>
      </w:r>
      <w:r w:rsidRPr="00CB120E">
        <w:rPr>
          <w:rFonts w:cs="Arial"/>
          <w:rtl/>
        </w:rPr>
        <w:t xml:space="preserve"> ואם יש להם ב' וג' שמות</w:t>
      </w:r>
      <w:r w:rsidRPr="00CB120E">
        <w:rPr>
          <w:rFonts w:cs="Arial" w:hint="cs"/>
          <w:rtl/>
        </w:rPr>
        <w:t>,</w:t>
      </w:r>
      <w:r w:rsidRPr="00CB120E">
        <w:rPr>
          <w:rFonts w:cs="Arial"/>
          <w:rtl/>
        </w:rPr>
        <w:t xml:space="preserve"> יראה מן התוספתא (פ"ו ה"ז) ומגמרא דבני מערבא (שם) שצריך לכתוב את כולן</w:t>
      </w:r>
      <w:r w:rsidRPr="00CB120E">
        <w:rPr>
          <w:rFonts w:cs="Arial" w:hint="cs"/>
          <w:rtl/>
        </w:rPr>
        <w:t>.</w:t>
      </w:r>
      <w:r w:rsidRPr="00CB120E">
        <w:rPr>
          <w:rFonts w:cs="Arial"/>
          <w:rtl/>
        </w:rPr>
        <w:t xml:space="preserve"> גם מגמרין נראה כן קצת</w:t>
      </w:r>
      <w:r w:rsidRPr="00CB120E">
        <w:rPr>
          <w:rFonts w:cs="Arial" w:hint="cs"/>
          <w:rtl/>
        </w:rPr>
        <w:t>.</w:t>
      </w:r>
      <w:r w:rsidRPr="00CB120E">
        <w:rPr>
          <w:rFonts w:cs="Arial"/>
          <w:rtl/>
        </w:rPr>
        <w:t xml:space="preserve"> מכל מקום יראה דבדיעבד אינו מעכב כל שכתב שם שיש לו במקום הנתינה ושבמקום הכתיבה</w:t>
      </w:r>
      <w:r w:rsidRPr="00CB120E">
        <w:rPr>
          <w:rFonts w:cs="Arial" w:hint="cs"/>
          <w:rtl/>
        </w:rPr>
        <w:t>.</w:t>
      </w:r>
      <w:r w:rsidRPr="00CB120E">
        <w:rPr>
          <w:rFonts w:cs="Arial"/>
          <w:rtl/>
        </w:rPr>
        <w:t xml:space="preserve"> ואם הם במקום אחד די לו באחד מהם</w:t>
      </w:r>
      <w:r w:rsidRPr="00CB120E">
        <w:rPr>
          <w:rFonts w:cs="Arial" w:hint="cs"/>
          <w:rtl/>
        </w:rPr>
        <w:t>.</w:t>
      </w:r>
      <w:r>
        <w:rPr>
          <w:rFonts w:hint="cs"/>
          <w:rtl/>
        </w:rPr>
        <w:t xml:space="preserve"> </w:t>
      </w:r>
      <w:r w:rsidRPr="00CA6529">
        <w:rPr>
          <w:rFonts w:hint="cs"/>
          <w:color w:val="00B0F0"/>
          <w:rtl/>
        </w:rPr>
        <w:t>(וכ"פ הרמ"א)</w:t>
      </w:r>
    </w:p>
    <w:p w14:paraId="7536C1B7"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0B27141" w14:textId="77777777" w:rsidR="00FA2119" w:rsidRDefault="00FA2119" w:rsidP="00FA2119">
      <w:pPr>
        <w:rPr>
          <w:rtl/>
        </w:rPr>
      </w:pPr>
      <w:r>
        <w:rPr>
          <w:rFonts w:cs="Arial" w:hint="cs"/>
          <w:rtl/>
        </w:rPr>
        <w:t>כותבין</w:t>
      </w:r>
      <w:r>
        <w:rPr>
          <w:rFonts w:cs="Arial"/>
          <w:rtl/>
        </w:rPr>
        <w:t xml:space="preserve"> </w:t>
      </w:r>
      <w:r>
        <w:rPr>
          <w:rFonts w:cs="Arial" w:hint="cs"/>
          <w:rtl/>
        </w:rPr>
        <w:t>שם</w:t>
      </w:r>
      <w:r>
        <w:rPr>
          <w:rFonts w:cs="Arial"/>
          <w:rtl/>
        </w:rPr>
        <w:t xml:space="preserve"> </w:t>
      </w:r>
      <w:r>
        <w:rPr>
          <w:rFonts w:cs="Arial" w:hint="cs"/>
          <w:rtl/>
        </w:rPr>
        <w:t>האיש</w:t>
      </w:r>
      <w:r>
        <w:rPr>
          <w:rFonts w:cs="Arial"/>
          <w:rtl/>
        </w:rPr>
        <w:t xml:space="preserve"> </w:t>
      </w:r>
      <w:r>
        <w:rPr>
          <w:rFonts w:cs="Arial" w:hint="cs"/>
          <w:rtl/>
        </w:rPr>
        <w:t>והאשה</w:t>
      </w:r>
      <w:r>
        <w:rPr>
          <w:rFonts w:cs="Arial"/>
          <w:rtl/>
        </w:rPr>
        <w:t xml:space="preserve"> </w:t>
      </w:r>
      <w:r>
        <w:rPr>
          <w:rFonts w:cs="Arial" w:hint="cs"/>
          <w:rtl/>
        </w:rPr>
        <w:t>בגט</w:t>
      </w:r>
      <w:r>
        <w:rPr>
          <w:rFonts w:cs="Arial"/>
          <w:rtl/>
        </w:rPr>
        <w:t xml:space="preserve">. </w:t>
      </w:r>
      <w:r>
        <w:rPr>
          <w:rFonts w:cs="Arial" w:hint="cs"/>
          <w:rtl/>
        </w:rPr>
        <w:t>ואם</w:t>
      </w:r>
      <w:r>
        <w:rPr>
          <w:rFonts w:cs="Arial"/>
          <w:rtl/>
        </w:rPr>
        <w:t xml:space="preserve"> </w:t>
      </w:r>
      <w:r>
        <w:rPr>
          <w:rFonts w:cs="Arial" w:hint="cs"/>
          <w:rtl/>
        </w:rPr>
        <w:t>יש</w:t>
      </w:r>
      <w:r>
        <w:rPr>
          <w:rFonts w:cs="Arial"/>
          <w:rtl/>
        </w:rPr>
        <w:t xml:space="preserve"> </w:t>
      </w:r>
      <w:r>
        <w:rPr>
          <w:rFonts w:cs="Arial" w:hint="cs"/>
          <w:rtl/>
        </w:rPr>
        <w:t>לאחד</w:t>
      </w:r>
      <w:r>
        <w:rPr>
          <w:rFonts w:cs="Arial"/>
          <w:rtl/>
        </w:rPr>
        <w:t xml:space="preserve"> </w:t>
      </w:r>
      <w:r>
        <w:rPr>
          <w:rFonts w:cs="Arial" w:hint="cs"/>
          <w:rtl/>
        </w:rPr>
        <w:t>מהם</w:t>
      </w:r>
      <w:r>
        <w:rPr>
          <w:rFonts w:cs="Arial"/>
          <w:rtl/>
        </w:rPr>
        <w:t xml:space="preserve"> </w:t>
      </w:r>
      <w:r>
        <w:rPr>
          <w:rFonts w:cs="Arial" w:hint="cs"/>
          <w:rtl/>
        </w:rPr>
        <w:t>שתי</w:t>
      </w:r>
      <w:r>
        <w:rPr>
          <w:rFonts w:cs="Arial"/>
          <w:rtl/>
        </w:rPr>
        <w:t xml:space="preserve"> </w:t>
      </w:r>
      <w:r>
        <w:rPr>
          <w:rFonts w:cs="Arial" w:hint="cs"/>
          <w:rtl/>
        </w:rPr>
        <w:t>שמות</w:t>
      </w:r>
      <w:r>
        <w:rPr>
          <w:rFonts w:cs="Arial"/>
          <w:rtl/>
        </w:rPr>
        <w:t xml:space="preserve">, </w:t>
      </w:r>
      <w:r>
        <w:rPr>
          <w:rFonts w:cs="Arial" w:hint="cs"/>
          <w:rtl/>
        </w:rPr>
        <w:t>כותבין</w:t>
      </w:r>
      <w:r>
        <w:rPr>
          <w:rFonts w:cs="Arial"/>
          <w:rtl/>
        </w:rPr>
        <w:t xml:space="preserve"> </w:t>
      </w:r>
      <w:r>
        <w:rPr>
          <w:rFonts w:cs="Arial" w:hint="cs"/>
          <w:rtl/>
        </w:rPr>
        <w:t>שם</w:t>
      </w:r>
      <w:r>
        <w:rPr>
          <w:rFonts w:cs="Arial"/>
          <w:rtl/>
        </w:rPr>
        <w:t xml:space="preserve"> </w:t>
      </w:r>
      <w:r>
        <w:rPr>
          <w:rFonts w:cs="Arial" w:hint="cs"/>
          <w:rtl/>
        </w:rPr>
        <w:t>שהם</w:t>
      </w:r>
      <w:r>
        <w:rPr>
          <w:rFonts w:cs="Arial"/>
          <w:rtl/>
        </w:rPr>
        <w:t xml:space="preserve"> </w:t>
      </w:r>
      <w:r>
        <w:rPr>
          <w:rFonts w:cs="Arial" w:hint="cs"/>
          <w:rtl/>
        </w:rPr>
        <w:t>רגילים</w:t>
      </w:r>
      <w:r>
        <w:rPr>
          <w:rFonts w:cs="Arial"/>
          <w:rtl/>
        </w:rPr>
        <w:t xml:space="preserve"> </w:t>
      </w:r>
      <w:r>
        <w:rPr>
          <w:rFonts w:cs="Arial" w:hint="cs"/>
          <w:rtl/>
        </w:rPr>
        <w:t>בו</w:t>
      </w:r>
      <w:r>
        <w:rPr>
          <w:rFonts w:cs="Arial"/>
          <w:rtl/>
        </w:rPr>
        <w:t xml:space="preserve"> </w:t>
      </w:r>
      <w:r>
        <w:rPr>
          <w:rFonts w:cs="Arial" w:hint="cs"/>
          <w:rtl/>
        </w:rPr>
        <w:t>ויודעים</w:t>
      </w:r>
      <w:r>
        <w:rPr>
          <w:rFonts w:cs="Arial"/>
          <w:rtl/>
        </w:rPr>
        <w:t xml:space="preserve"> </w:t>
      </w:r>
      <w:r>
        <w:rPr>
          <w:rFonts w:cs="Arial" w:hint="cs"/>
          <w:rtl/>
        </w:rPr>
        <w:t>בו</w:t>
      </w:r>
      <w:r>
        <w:rPr>
          <w:rFonts w:cs="Arial"/>
          <w:rtl/>
        </w:rPr>
        <w:t xml:space="preserve"> </w:t>
      </w:r>
      <w:r>
        <w:rPr>
          <w:rFonts w:cs="Arial" w:hint="cs"/>
          <w:rtl/>
        </w:rPr>
        <w:t>ביותר</w:t>
      </w:r>
      <w:r>
        <w:rPr>
          <w:rFonts w:cs="Arial"/>
          <w:rtl/>
        </w:rPr>
        <w:t xml:space="preserve">, </w:t>
      </w:r>
      <w:r>
        <w:rPr>
          <w:rFonts w:cs="Arial" w:hint="cs"/>
          <w:rtl/>
        </w:rPr>
        <w:t>וכותבים</w:t>
      </w:r>
      <w:r>
        <w:rPr>
          <w:rFonts w:cs="Arial"/>
          <w:rtl/>
        </w:rPr>
        <w:t xml:space="preserve">: </w:t>
      </w:r>
      <w:r>
        <w:rPr>
          <w:rFonts w:cs="Arial" w:hint="cs"/>
          <w:rtl/>
        </w:rPr>
        <w:t>איש</w:t>
      </w:r>
      <w:r>
        <w:rPr>
          <w:rFonts w:cs="Arial"/>
          <w:rtl/>
        </w:rPr>
        <w:t xml:space="preserve"> </w:t>
      </w:r>
      <w:r>
        <w:rPr>
          <w:rFonts w:cs="Arial" w:hint="cs"/>
          <w:rtl/>
        </w:rPr>
        <w:t>פלוני</w:t>
      </w:r>
      <w:r>
        <w:rPr>
          <w:rFonts w:cs="Arial"/>
          <w:rtl/>
        </w:rPr>
        <w:t xml:space="preserve"> </w:t>
      </w:r>
      <w:r>
        <w:rPr>
          <w:rFonts w:cs="Arial" w:hint="cs"/>
          <w:rtl/>
        </w:rPr>
        <w:t>וכל</w:t>
      </w:r>
      <w:r>
        <w:rPr>
          <w:rFonts w:cs="Arial"/>
          <w:rtl/>
        </w:rPr>
        <w:t xml:space="preserve"> </w:t>
      </w:r>
      <w:r>
        <w:rPr>
          <w:rFonts w:cs="Arial" w:hint="cs"/>
          <w:rtl/>
        </w:rPr>
        <w:t>שם</w:t>
      </w:r>
      <w:r>
        <w:rPr>
          <w:rFonts w:cs="Arial"/>
          <w:rtl/>
        </w:rPr>
        <w:t xml:space="preserve"> </w:t>
      </w:r>
      <w:r>
        <w:rPr>
          <w:rFonts w:cs="Arial" w:hint="cs"/>
          <w:rtl/>
        </w:rPr>
        <w:t>שיש</w:t>
      </w:r>
      <w:r>
        <w:rPr>
          <w:rFonts w:cs="Arial"/>
          <w:rtl/>
        </w:rPr>
        <w:t xml:space="preserve"> </w:t>
      </w:r>
      <w:r>
        <w:rPr>
          <w:rFonts w:cs="Arial" w:hint="cs"/>
          <w:rtl/>
        </w:rPr>
        <w:t>לו</w:t>
      </w:r>
      <w:r>
        <w:rPr>
          <w:rFonts w:cs="Arial"/>
          <w:rtl/>
        </w:rPr>
        <w:t xml:space="preserve"> </w:t>
      </w:r>
      <w:r>
        <w:rPr>
          <w:rFonts w:cs="Arial" w:hint="cs"/>
          <w:rtl/>
        </w:rPr>
        <w:t>גירש</w:t>
      </w:r>
      <w:r>
        <w:rPr>
          <w:rFonts w:cs="Arial"/>
          <w:rtl/>
        </w:rPr>
        <w:t xml:space="preserve"> </w:t>
      </w:r>
      <w:r>
        <w:rPr>
          <w:rFonts w:cs="Arial" w:hint="cs"/>
          <w:rtl/>
        </w:rPr>
        <w:t>אשה</w:t>
      </w:r>
      <w:r>
        <w:rPr>
          <w:rFonts w:cs="Arial"/>
          <w:rtl/>
        </w:rPr>
        <w:t xml:space="preserve"> </w:t>
      </w:r>
      <w:r>
        <w:rPr>
          <w:rFonts w:cs="Arial" w:hint="cs"/>
          <w:rtl/>
        </w:rPr>
        <w:t>פלונית</w:t>
      </w:r>
      <w:r>
        <w:rPr>
          <w:rFonts w:cs="Arial"/>
          <w:rtl/>
        </w:rPr>
        <w:t xml:space="preserve"> </w:t>
      </w:r>
      <w:r>
        <w:rPr>
          <w:rFonts w:cs="Arial" w:hint="cs"/>
          <w:rtl/>
        </w:rPr>
        <w:t>וכל</w:t>
      </w:r>
      <w:r>
        <w:rPr>
          <w:rFonts w:cs="Arial"/>
          <w:rtl/>
        </w:rPr>
        <w:t xml:space="preserve"> </w:t>
      </w:r>
      <w:r>
        <w:rPr>
          <w:rFonts w:cs="Arial" w:hint="cs"/>
          <w:rtl/>
        </w:rPr>
        <w:t>שום</w:t>
      </w:r>
      <w:r>
        <w:rPr>
          <w:rFonts w:cs="Arial"/>
          <w:rtl/>
        </w:rPr>
        <w:t xml:space="preserve"> </w:t>
      </w:r>
      <w:r>
        <w:rPr>
          <w:rFonts w:cs="Arial" w:hint="cs"/>
          <w:rtl/>
        </w:rPr>
        <w:t>שיש</w:t>
      </w:r>
      <w:r>
        <w:rPr>
          <w:rFonts w:cs="Arial"/>
          <w:rtl/>
        </w:rPr>
        <w:t xml:space="preserve"> </w:t>
      </w:r>
      <w:r>
        <w:rPr>
          <w:rFonts w:cs="Arial" w:hint="cs"/>
          <w:rtl/>
        </w:rPr>
        <w:t>לה</w:t>
      </w:r>
      <w:r>
        <w:rPr>
          <w:rFonts w:cs="Arial"/>
          <w:rtl/>
        </w:rPr>
        <w:t xml:space="preserve">. </w:t>
      </w:r>
      <w:r>
        <w:rPr>
          <w:rFonts w:cs="Arial" w:hint="cs"/>
          <w:rtl/>
        </w:rPr>
        <w:t>ואם</w:t>
      </w:r>
      <w:r>
        <w:rPr>
          <w:rFonts w:cs="Arial"/>
          <w:rtl/>
        </w:rPr>
        <w:t xml:space="preserve"> </w:t>
      </w:r>
      <w:r>
        <w:rPr>
          <w:rFonts w:cs="Arial" w:hint="cs"/>
          <w:rtl/>
        </w:rPr>
        <w:t>כתב</w:t>
      </w:r>
      <w:r>
        <w:rPr>
          <w:rFonts w:cs="Arial"/>
          <w:rtl/>
        </w:rPr>
        <w:t xml:space="preserve"> </w:t>
      </w:r>
      <w:r>
        <w:rPr>
          <w:rFonts w:cs="Arial" w:hint="cs"/>
          <w:rtl/>
        </w:rPr>
        <w:t>חניכתו</w:t>
      </w:r>
      <w:r>
        <w:rPr>
          <w:rFonts w:cs="Arial"/>
          <w:rtl/>
        </w:rPr>
        <w:t xml:space="preserve"> </w:t>
      </w:r>
      <w:r>
        <w:rPr>
          <w:rFonts w:cs="Arial" w:hint="cs"/>
          <w:rtl/>
        </w:rPr>
        <w:t>וחניכתה</w:t>
      </w:r>
      <w:r>
        <w:rPr>
          <w:rFonts w:cs="Arial"/>
          <w:rtl/>
        </w:rPr>
        <w:t xml:space="preserve">, </w:t>
      </w:r>
      <w:r>
        <w:rPr>
          <w:rFonts w:cs="Arial" w:hint="cs"/>
          <w:rtl/>
        </w:rPr>
        <w:t>כשר</w:t>
      </w:r>
      <w:r>
        <w:rPr>
          <w:rFonts w:cs="Arial"/>
          <w:rtl/>
        </w:rPr>
        <w:t xml:space="preserve">. </w:t>
      </w:r>
      <w:r w:rsidRPr="00390632">
        <w:rPr>
          <w:rFonts w:cs="Arial" w:hint="cs"/>
          <w:sz w:val="18"/>
          <w:szCs w:val="18"/>
          <w:rtl/>
        </w:rPr>
        <w:t>הגה</w:t>
      </w:r>
      <w:r w:rsidRPr="00390632">
        <w:rPr>
          <w:rFonts w:cs="Arial"/>
          <w:sz w:val="18"/>
          <w:szCs w:val="18"/>
          <w:rtl/>
        </w:rPr>
        <w:t xml:space="preserve">: </w:t>
      </w:r>
      <w:r w:rsidRPr="00390632">
        <w:rPr>
          <w:rFonts w:cs="Arial" w:hint="cs"/>
          <w:sz w:val="18"/>
          <w:szCs w:val="18"/>
          <w:rtl/>
        </w:rPr>
        <w:t>וכל</w:t>
      </w:r>
      <w:r w:rsidRPr="00390632">
        <w:rPr>
          <w:rFonts w:cs="Arial"/>
          <w:sz w:val="18"/>
          <w:szCs w:val="18"/>
          <w:rtl/>
        </w:rPr>
        <w:t xml:space="preserve"> </w:t>
      </w:r>
      <w:r w:rsidRPr="00390632">
        <w:rPr>
          <w:rFonts w:cs="Arial" w:hint="cs"/>
          <w:sz w:val="18"/>
          <w:szCs w:val="18"/>
          <w:rtl/>
        </w:rPr>
        <w:t>שכן</w:t>
      </w:r>
      <w:r w:rsidRPr="00390632">
        <w:rPr>
          <w:rFonts w:cs="Arial"/>
          <w:sz w:val="18"/>
          <w:szCs w:val="18"/>
          <w:rtl/>
        </w:rPr>
        <w:t xml:space="preserve"> </w:t>
      </w:r>
      <w:r w:rsidRPr="00390632">
        <w:rPr>
          <w:rFonts w:cs="Arial" w:hint="cs"/>
          <w:sz w:val="18"/>
          <w:szCs w:val="18"/>
          <w:rtl/>
        </w:rPr>
        <w:t>אם</w:t>
      </w:r>
      <w:r w:rsidRPr="00390632">
        <w:rPr>
          <w:rFonts w:cs="Arial"/>
          <w:sz w:val="18"/>
          <w:szCs w:val="18"/>
          <w:rtl/>
        </w:rPr>
        <w:t xml:space="preserve"> </w:t>
      </w:r>
      <w:r w:rsidRPr="00390632">
        <w:rPr>
          <w:rFonts w:cs="Arial" w:hint="cs"/>
          <w:sz w:val="18"/>
          <w:szCs w:val="18"/>
          <w:rtl/>
        </w:rPr>
        <w:t>כתב</w:t>
      </w:r>
      <w:r w:rsidRPr="00390632">
        <w:rPr>
          <w:rFonts w:cs="Arial"/>
          <w:sz w:val="18"/>
          <w:szCs w:val="18"/>
          <w:rtl/>
        </w:rPr>
        <w:t xml:space="preserve"> </w:t>
      </w:r>
      <w:r w:rsidRPr="00390632">
        <w:rPr>
          <w:rFonts w:cs="Arial" w:hint="cs"/>
          <w:sz w:val="18"/>
          <w:szCs w:val="18"/>
          <w:rtl/>
        </w:rPr>
        <w:t>עיקר</w:t>
      </w:r>
      <w:r w:rsidRPr="00390632">
        <w:rPr>
          <w:rFonts w:cs="Arial"/>
          <w:sz w:val="18"/>
          <w:szCs w:val="18"/>
          <w:rtl/>
        </w:rPr>
        <w:t xml:space="preserve"> </w:t>
      </w:r>
      <w:r w:rsidRPr="00390632">
        <w:rPr>
          <w:rFonts w:cs="Arial" w:hint="cs"/>
          <w:sz w:val="18"/>
          <w:szCs w:val="18"/>
          <w:rtl/>
        </w:rPr>
        <w:t>השם</w:t>
      </w:r>
      <w:r w:rsidRPr="00390632">
        <w:rPr>
          <w:rFonts w:cs="Arial"/>
          <w:sz w:val="18"/>
          <w:szCs w:val="18"/>
          <w:rtl/>
        </w:rPr>
        <w:t xml:space="preserve"> </w:t>
      </w:r>
      <w:r w:rsidRPr="00390632">
        <w:rPr>
          <w:rFonts w:cs="Arial" w:hint="cs"/>
          <w:sz w:val="18"/>
          <w:szCs w:val="18"/>
          <w:rtl/>
        </w:rPr>
        <w:t>לבד</w:t>
      </w:r>
      <w:r w:rsidRPr="00390632">
        <w:rPr>
          <w:rFonts w:cs="Arial"/>
          <w:sz w:val="18"/>
          <w:szCs w:val="18"/>
          <w:rtl/>
        </w:rPr>
        <w:t xml:space="preserve">, </w:t>
      </w:r>
      <w:r w:rsidRPr="00390632">
        <w:rPr>
          <w:rFonts w:cs="Arial" w:hint="cs"/>
          <w:sz w:val="18"/>
          <w:szCs w:val="18"/>
          <w:rtl/>
        </w:rPr>
        <w:t>דכשר</w:t>
      </w:r>
      <w:r w:rsidRPr="00390632">
        <w:rPr>
          <w:rFonts w:cs="Arial"/>
          <w:sz w:val="18"/>
          <w:szCs w:val="18"/>
          <w:rtl/>
        </w:rPr>
        <w:t xml:space="preserve">, </w:t>
      </w:r>
      <w:r w:rsidRPr="00390632">
        <w:rPr>
          <w:rFonts w:cs="Arial" w:hint="cs"/>
          <w:sz w:val="18"/>
          <w:szCs w:val="18"/>
          <w:rtl/>
        </w:rPr>
        <w:t>ולכן</w:t>
      </w:r>
      <w:r w:rsidRPr="00390632">
        <w:rPr>
          <w:rFonts w:cs="Arial"/>
          <w:sz w:val="18"/>
          <w:szCs w:val="18"/>
          <w:rtl/>
        </w:rPr>
        <w:t xml:space="preserve"> </w:t>
      </w:r>
      <w:r w:rsidRPr="00390632">
        <w:rPr>
          <w:rFonts w:cs="Arial" w:hint="cs"/>
          <w:sz w:val="18"/>
          <w:szCs w:val="18"/>
          <w:rtl/>
        </w:rPr>
        <w:t>אין</w:t>
      </w:r>
      <w:r w:rsidRPr="00390632">
        <w:rPr>
          <w:rFonts w:cs="Arial"/>
          <w:sz w:val="18"/>
          <w:szCs w:val="18"/>
          <w:rtl/>
        </w:rPr>
        <w:t xml:space="preserve"> </w:t>
      </w:r>
      <w:r w:rsidRPr="00390632">
        <w:rPr>
          <w:rFonts w:cs="Arial" w:hint="cs"/>
          <w:sz w:val="18"/>
          <w:szCs w:val="18"/>
          <w:rtl/>
        </w:rPr>
        <w:t>להקפיד</w:t>
      </w:r>
      <w:r w:rsidRPr="00390632">
        <w:rPr>
          <w:rFonts w:cs="Arial"/>
          <w:sz w:val="18"/>
          <w:szCs w:val="18"/>
          <w:rtl/>
        </w:rPr>
        <w:t xml:space="preserve"> </w:t>
      </w:r>
      <w:r w:rsidRPr="00390632">
        <w:rPr>
          <w:rFonts w:cs="Arial" w:hint="cs"/>
          <w:sz w:val="18"/>
          <w:szCs w:val="18"/>
          <w:rtl/>
        </w:rPr>
        <w:t>על</w:t>
      </w:r>
      <w:r w:rsidRPr="00390632">
        <w:rPr>
          <w:rFonts w:cs="Arial"/>
          <w:sz w:val="18"/>
          <w:szCs w:val="18"/>
          <w:rtl/>
        </w:rPr>
        <w:t xml:space="preserve"> </w:t>
      </w:r>
      <w:r w:rsidRPr="00390632">
        <w:rPr>
          <w:rFonts w:cs="Arial" w:hint="cs"/>
          <w:sz w:val="18"/>
          <w:szCs w:val="18"/>
          <w:rtl/>
        </w:rPr>
        <w:t>הכינויים</w:t>
      </w:r>
      <w:r w:rsidRPr="00390632">
        <w:rPr>
          <w:rFonts w:cs="Arial"/>
          <w:sz w:val="18"/>
          <w:szCs w:val="18"/>
          <w:rtl/>
        </w:rPr>
        <w:t xml:space="preserve"> </w:t>
      </w:r>
      <w:r w:rsidRPr="00390632">
        <w:rPr>
          <w:rFonts w:cs="Arial" w:hint="cs"/>
          <w:sz w:val="18"/>
          <w:szCs w:val="18"/>
          <w:rtl/>
        </w:rPr>
        <w:t>כל</w:t>
      </w:r>
      <w:r w:rsidRPr="00390632">
        <w:rPr>
          <w:rFonts w:cs="Arial"/>
          <w:sz w:val="18"/>
          <w:szCs w:val="18"/>
          <w:rtl/>
        </w:rPr>
        <w:t xml:space="preserve"> </w:t>
      </w:r>
      <w:r w:rsidRPr="00390632">
        <w:rPr>
          <w:rFonts w:cs="Arial" w:hint="cs"/>
          <w:sz w:val="18"/>
          <w:szCs w:val="18"/>
          <w:rtl/>
        </w:rPr>
        <w:t>כך</w:t>
      </w:r>
      <w:r w:rsidRPr="00390632">
        <w:rPr>
          <w:rFonts w:cs="Arial"/>
          <w:sz w:val="18"/>
          <w:szCs w:val="18"/>
          <w:rtl/>
        </w:rPr>
        <w:t xml:space="preserve">. </w:t>
      </w:r>
      <w:r w:rsidRPr="00390632">
        <w:rPr>
          <w:rFonts w:cs="Arial" w:hint="cs"/>
          <w:sz w:val="18"/>
          <w:szCs w:val="18"/>
          <w:rtl/>
        </w:rPr>
        <w:t>וי</w:t>
      </w:r>
      <w:r w:rsidRPr="00390632">
        <w:rPr>
          <w:rFonts w:cs="Arial"/>
          <w:sz w:val="18"/>
          <w:szCs w:val="18"/>
          <w:rtl/>
        </w:rPr>
        <w:t>"</w:t>
      </w:r>
      <w:r w:rsidRPr="00390632">
        <w:rPr>
          <w:rFonts w:cs="Arial" w:hint="cs"/>
          <w:sz w:val="18"/>
          <w:szCs w:val="18"/>
          <w:rtl/>
        </w:rPr>
        <w:t>א</w:t>
      </w:r>
      <w:r w:rsidRPr="00390632">
        <w:rPr>
          <w:rFonts w:cs="Arial"/>
          <w:sz w:val="18"/>
          <w:szCs w:val="18"/>
          <w:rtl/>
        </w:rPr>
        <w:t xml:space="preserve"> </w:t>
      </w:r>
      <w:r w:rsidRPr="00390632">
        <w:rPr>
          <w:rFonts w:cs="Arial" w:hint="cs"/>
          <w:sz w:val="18"/>
          <w:szCs w:val="18"/>
          <w:rtl/>
        </w:rPr>
        <w:t>דאין</w:t>
      </w:r>
      <w:r w:rsidRPr="00390632">
        <w:rPr>
          <w:rFonts w:cs="Arial"/>
          <w:sz w:val="18"/>
          <w:szCs w:val="18"/>
          <w:rtl/>
        </w:rPr>
        <w:t xml:space="preserve"> </w:t>
      </w:r>
      <w:r w:rsidRPr="00390632">
        <w:rPr>
          <w:rFonts w:cs="Arial" w:hint="cs"/>
          <w:sz w:val="18"/>
          <w:szCs w:val="18"/>
          <w:rtl/>
        </w:rPr>
        <w:t>לכתוב</w:t>
      </w:r>
      <w:r w:rsidRPr="00390632">
        <w:rPr>
          <w:rFonts w:cs="Arial"/>
          <w:sz w:val="18"/>
          <w:szCs w:val="18"/>
          <w:rtl/>
        </w:rPr>
        <w:t xml:space="preserve"> </w:t>
      </w:r>
      <w:r w:rsidRPr="00390632">
        <w:rPr>
          <w:rFonts w:cs="Arial" w:hint="cs"/>
          <w:sz w:val="18"/>
          <w:szCs w:val="18"/>
          <w:rtl/>
        </w:rPr>
        <w:t>כל</w:t>
      </w:r>
      <w:r w:rsidRPr="00390632">
        <w:rPr>
          <w:rFonts w:cs="Arial"/>
          <w:sz w:val="18"/>
          <w:szCs w:val="18"/>
          <w:rtl/>
        </w:rPr>
        <w:t xml:space="preserve"> </w:t>
      </w:r>
      <w:r w:rsidRPr="00390632">
        <w:rPr>
          <w:rFonts w:cs="Arial" w:hint="cs"/>
          <w:sz w:val="18"/>
          <w:szCs w:val="18"/>
          <w:rtl/>
        </w:rPr>
        <w:t>שום</w:t>
      </w:r>
      <w:r w:rsidRPr="00390632">
        <w:rPr>
          <w:rFonts w:cs="Arial"/>
          <w:sz w:val="18"/>
          <w:szCs w:val="18"/>
          <w:rtl/>
        </w:rPr>
        <w:t xml:space="preserve"> </w:t>
      </w:r>
      <w:r w:rsidRPr="00390632">
        <w:rPr>
          <w:rFonts w:cs="Arial" w:hint="cs"/>
          <w:sz w:val="18"/>
          <w:szCs w:val="18"/>
          <w:rtl/>
        </w:rPr>
        <w:t>שיש</w:t>
      </w:r>
      <w:r w:rsidRPr="00390632">
        <w:rPr>
          <w:rFonts w:cs="Arial"/>
          <w:sz w:val="18"/>
          <w:szCs w:val="18"/>
          <w:rtl/>
        </w:rPr>
        <w:t xml:space="preserve"> </w:t>
      </w:r>
      <w:r w:rsidRPr="00390632">
        <w:rPr>
          <w:rFonts w:cs="Arial" w:hint="cs"/>
          <w:sz w:val="18"/>
          <w:szCs w:val="18"/>
          <w:rtl/>
        </w:rPr>
        <w:t>לו</w:t>
      </w:r>
      <w:r w:rsidRPr="00390632">
        <w:rPr>
          <w:rFonts w:cs="Arial"/>
          <w:sz w:val="18"/>
          <w:szCs w:val="18"/>
          <w:rtl/>
        </w:rPr>
        <w:t xml:space="preserve">, </w:t>
      </w:r>
      <w:r w:rsidRPr="00390632">
        <w:rPr>
          <w:rFonts w:cs="Arial" w:hint="cs"/>
          <w:sz w:val="18"/>
          <w:szCs w:val="18"/>
          <w:rtl/>
        </w:rPr>
        <w:t>אלא</w:t>
      </w:r>
      <w:r w:rsidRPr="00390632">
        <w:rPr>
          <w:rFonts w:cs="Arial"/>
          <w:sz w:val="18"/>
          <w:szCs w:val="18"/>
          <w:rtl/>
        </w:rPr>
        <w:t xml:space="preserve"> </w:t>
      </w:r>
      <w:r w:rsidRPr="00390632">
        <w:rPr>
          <w:rFonts w:cs="Arial" w:hint="cs"/>
          <w:sz w:val="18"/>
          <w:szCs w:val="18"/>
          <w:rtl/>
        </w:rPr>
        <w:t>אם</w:t>
      </w:r>
      <w:r w:rsidRPr="00390632">
        <w:rPr>
          <w:rFonts w:cs="Arial"/>
          <w:sz w:val="18"/>
          <w:szCs w:val="18"/>
          <w:rtl/>
        </w:rPr>
        <w:t xml:space="preserve"> </w:t>
      </w:r>
      <w:r w:rsidRPr="00390632">
        <w:rPr>
          <w:rFonts w:cs="Arial" w:hint="cs"/>
          <w:sz w:val="18"/>
          <w:szCs w:val="18"/>
          <w:rtl/>
        </w:rPr>
        <w:t>יש</w:t>
      </w:r>
      <w:r w:rsidRPr="00390632">
        <w:rPr>
          <w:rFonts w:cs="Arial"/>
          <w:sz w:val="18"/>
          <w:szCs w:val="18"/>
          <w:rtl/>
        </w:rPr>
        <w:t xml:space="preserve"> </w:t>
      </w:r>
      <w:r w:rsidRPr="00390632">
        <w:rPr>
          <w:rFonts w:cs="Arial" w:hint="cs"/>
          <w:sz w:val="18"/>
          <w:szCs w:val="18"/>
          <w:rtl/>
        </w:rPr>
        <w:t>לו</w:t>
      </w:r>
      <w:r w:rsidRPr="00390632">
        <w:rPr>
          <w:rFonts w:cs="Arial"/>
          <w:sz w:val="18"/>
          <w:szCs w:val="18"/>
          <w:rtl/>
        </w:rPr>
        <w:t xml:space="preserve"> </w:t>
      </w:r>
      <w:r w:rsidRPr="00390632">
        <w:rPr>
          <w:rFonts w:cs="Arial" w:hint="cs"/>
          <w:sz w:val="18"/>
          <w:szCs w:val="18"/>
          <w:rtl/>
        </w:rPr>
        <w:t>שני</w:t>
      </w:r>
      <w:r w:rsidRPr="00390632">
        <w:rPr>
          <w:rFonts w:cs="Arial"/>
          <w:sz w:val="18"/>
          <w:szCs w:val="18"/>
          <w:rtl/>
        </w:rPr>
        <w:t xml:space="preserve"> </w:t>
      </w:r>
      <w:r w:rsidRPr="00390632">
        <w:rPr>
          <w:rFonts w:cs="Arial" w:hint="cs"/>
          <w:sz w:val="18"/>
          <w:szCs w:val="18"/>
          <w:rtl/>
        </w:rPr>
        <w:t>שמות</w:t>
      </w:r>
      <w:r w:rsidRPr="00390632">
        <w:rPr>
          <w:rFonts w:cs="Arial"/>
          <w:sz w:val="18"/>
          <w:szCs w:val="18"/>
          <w:rtl/>
        </w:rPr>
        <w:t xml:space="preserve"> </w:t>
      </w:r>
      <w:r w:rsidRPr="00390632">
        <w:rPr>
          <w:rFonts w:cs="Arial" w:hint="cs"/>
          <w:sz w:val="18"/>
          <w:szCs w:val="18"/>
          <w:rtl/>
        </w:rPr>
        <w:t>יכתוב</w:t>
      </w:r>
      <w:r w:rsidRPr="00390632">
        <w:rPr>
          <w:rFonts w:cs="Arial"/>
          <w:sz w:val="18"/>
          <w:szCs w:val="18"/>
          <w:rtl/>
        </w:rPr>
        <w:t xml:space="preserve">: </w:t>
      </w:r>
      <w:r w:rsidRPr="00390632">
        <w:rPr>
          <w:rFonts w:cs="Arial" w:hint="cs"/>
          <w:sz w:val="18"/>
          <w:szCs w:val="18"/>
          <w:rtl/>
        </w:rPr>
        <w:t>פלוני</w:t>
      </w:r>
      <w:r w:rsidRPr="00390632">
        <w:rPr>
          <w:rFonts w:cs="Arial"/>
          <w:sz w:val="18"/>
          <w:szCs w:val="18"/>
          <w:rtl/>
        </w:rPr>
        <w:t xml:space="preserve"> </w:t>
      </w:r>
      <w:r w:rsidRPr="00390632">
        <w:rPr>
          <w:rFonts w:cs="Arial" w:hint="cs"/>
          <w:sz w:val="18"/>
          <w:szCs w:val="18"/>
          <w:rtl/>
        </w:rPr>
        <w:t>דמתקריא</w:t>
      </w:r>
      <w:r w:rsidRPr="00390632">
        <w:rPr>
          <w:rFonts w:cs="Arial"/>
          <w:sz w:val="18"/>
          <w:szCs w:val="18"/>
          <w:rtl/>
        </w:rPr>
        <w:t xml:space="preserve"> </w:t>
      </w:r>
      <w:r w:rsidRPr="00390632">
        <w:rPr>
          <w:rFonts w:cs="Arial" w:hint="cs"/>
          <w:sz w:val="18"/>
          <w:szCs w:val="18"/>
          <w:rtl/>
        </w:rPr>
        <w:t>פלוני</w:t>
      </w:r>
      <w:r w:rsidRPr="00390632">
        <w:rPr>
          <w:rFonts w:cs="Arial"/>
          <w:sz w:val="18"/>
          <w:szCs w:val="18"/>
          <w:rtl/>
        </w:rPr>
        <w:t xml:space="preserve"> (</w:t>
      </w:r>
      <w:r w:rsidRPr="00390632">
        <w:rPr>
          <w:rFonts w:cs="Arial" w:hint="cs"/>
          <w:sz w:val="18"/>
          <w:szCs w:val="18"/>
          <w:rtl/>
        </w:rPr>
        <w:t>ר</w:t>
      </w:r>
      <w:r w:rsidRPr="00390632">
        <w:rPr>
          <w:rFonts w:cs="Arial"/>
          <w:sz w:val="18"/>
          <w:szCs w:val="18"/>
          <w:rtl/>
        </w:rPr>
        <w:t>"</w:t>
      </w:r>
      <w:r w:rsidRPr="00390632">
        <w:rPr>
          <w:rFonts w:cs="Arial" w:hint="cs"/>
          <w:sz w:val="18"/>
          <w:szCs w:val="18"/>
          <w:rtl/>
        </w:rPr>
        <w:t>ת</w:t>
      </w:r>
      <w:r>
        <w:rPr>
          <w:rFonts w:cs="Arial" w:hint="cs"/>
          <w:sz w:val="18"/>
          <w:szCs w:val="18"/>
          <w:rtl/>
        </w:rPr>
        <w:t xml:space="preserve"> [בתוס' לד: ד"ה וכל], וכ"כ ה</w:t>
      </w:r>
      <w:r w:rsidRPr="00390632">
        <w:rPr>
          <w:rFonts w:cs="Arial" w:hint="cs"/>
          <w:sz w:val="18"/>
          <w:szCs w:val="18"/>
          <w:rtl/>
        </w:rPr>
        <w:t>רשב</w:t>
      </w:r>
      <w:r w:rsidRPr="00390632">
        <w:rPr>
          <w:rFonts w:cs="Arial"/>
          <w:sz w:val="18"/>
          <w:szCs w:val="18"/>
          <w:rtl/>
        </w:rPr>
        <w:t>"</w:t>
      </w:r>
      <w:r w:rsidRPr="00390632">
        <w:rPr>
          <w:rFonts w:cs="Arial" w:hint="cs"/>
          <w:sz w:val="18"/>
          <w:szCs w:val="18"/>
          <w:rtl/>
        </w:rPr>
        <w:t>א</w:t>
      </w:r>
      <w:r>
        <w:rPr>
          <w:rFonts w:cs="Arial" w:hint="cs"/>
          <w:sz w:val="18"/>
          <w:szCs w:val="18"/>
          <w:rtl/>
        </w:rPr>
        <w:t xml:space="preserve"> בשמו</w:t>
      </w:r>
      <w:r w:rsidRPr="00390632">
        <w:rPr>
          <w:rFonts w:cs="Arial"/>
          <w:sz w:val="18"/>
          <w:szCs w:val="18"/>
          <w:rtl/>
        </w:rPr>
        <w:t xml:space="preserve">), </w:t>
      </w:r>
      <w:r w:rsidRPr="00390632">
        <w:rPr>
          <w:rFonts w:cs="Arial" w:hint="cs"/>
          <w:sz w:val="18"/>
          <w:szCs w:val="18"/>
          <w:rtl/>
        </w:rPr>
        <w:t>וכן</w:t>
      </w:r>
      <w:r w:rsidRPr="00390632">
        <w:rPr>
          <w:rFonts w:cs="Arial"/>
          <w:sz w:val="18"/>
          <w:szCs w:val="18"/>
          <w:rtl/>
        </w:rPr>
        <w:t xml:space="preserve"> </w:t>
      </w:r>
      <w:r w:rsidRPr="00390632">
        <w:rPr>
          <w:rFonts w:cs="Arial" w:hint="cs"/>
          <w:sz w:val="18"/>
          <w:szCs w:val="18"/>
          <w:rtl/>
        </w:rPr>
        <w:t>נוהגין</w:t>
      </w:r>
      <w:r w:rsidRPr="00390632">
        <w:rPr>
          <w:rFonts w:cs="Arial"/>
          <w:sz w:val="18"/>
          <w:szCs w:val="18"/>
          <w:rtl/>
        </w:rPr>
        <w:t xml:space="preserve">, </w:t>
      </w:r>
      <w:r w:rsidRPr="00390632">
        <w:rPr>
          <w:rFonts w:cs="Arial" w:hint="cs"/>
          <w:sz w:val="18"/>
          <w:szCs w:val="18"/>
          <w:rtl/>
        </w:rPr>
        <w:t>ואין</w:t>
      </w:r>
      <w:r w:rsidRPr="00390632">
        <w:rPr>
          <w:rFonts w:cs="Arial"/>
          <w:sz w:val="18"/>
          <w:szCs w:val="18"/>
          <w:rtl/>
        </w:rPr>
        <w:t xml:space="preserve"> </w:t>
      </w:r>
      <w:r w:rsidRPr="00390632">
        <w:rPr>
          <w:rFonts w:cs="Arial" w:hint="cs"/>
          <w:sz w:val="18"/>
          <w:szCs w:val="18"/>
          <w:rtl/>
        </w:rPr>
        <w:t>לשנות</w:t>
      </w:r>
      <w:r w:rsidRPr="00390632">
        <w:rPr>
          <w:rFonts w:cs="Arial"/>
          <w:sz w:val="18"/>
          <w:szCs w:val="18"/>
          <w:rtl/>
        </w:rPr>
        <w:t xml:space="preserve">. </w:t>
      </w:r>
      <w:r w:rsidRPr="00390632">
        <w:rPr>
          <w:rFonts w:cs="Arial" w:hint="cs"/>
          <w:sz w:val="18"/>
          <w:szCs w:val="18"/>
          <w:rtl/>
        </w:rPr>
        <w:t>ואפילו</w:t>
      </w:r>
      <w:r w:rsidRPr="00390632">
        <w:rPr>
          <w:rFonts w:cs="Arial"/>
          <w:sz w:val="18"/>
          <w:szCs w:val="18"/>
          <w:rtl/>
        </w:rPr>
        <w:t xml:space="preserve"> </w:t>
      </w:r>
      <w:r w:rsidRPr="00390632">
        <w:rPr>
          <w:rFonts w:cs="Arial" w:hint="cs"/>
          <w:sz w:val="18"/>
          <w:szCs w:val="18"/>
          <w:rtl/>
        </w:rPr>
        <w:t>נכתב</w:t>
      </w:r>
      <w:r w:rsidRPr="00390632">
        <w:rPr>
          <w:rFonts w:cs="Arial"/>
          <w:sz w:val="18"/>
          <w:szCs w:val="18"/>
          <w:rtl/>
        </w:rPr>
        <w:t xml:space="preserve"> </w:t>
      </w:r>
      <w:r w:rsidRPr="00390632">
        <w:rPr>
          <w:rFonts w:cs="Arial" w:hint="cs"/>
          <w:sz w:val="18"/>
          <w:szCs w:val="18"/>
          <w:rtl/>
        </w:rPr>
        <w:t>הגט</w:t>
      </w:r>
      <w:r w:rsidRPr="00390632">
        <w:rPr>
          <w:rFonts w:cs="Arial"/>
          <w:sz w:val="18"/>
          <w:szCs w:val="18"/>
          <w:rtl/>
        </w:rPr>
        <w:t xml:space="preserve"> </w:t>
      </w:r>
      <w:r w:rsidRPr="00390632">
        <w:rPr>
          <w:rFonts w:cs="Arial" w:hint="cs"/>
          <w:sz w:val="18"/>
          <w:szCs w:val="18"/>
          <w:rtl/>
        </w:rPr>
        <w:t>אין</w:t>
      </w:r>
      <w:r w:rsidRPr="00390632">
        <w:rPr>
          <w:rFonts w:cs="Arial"/>
          <w:sz w:val="18"/>
          <w:szCs w:val="18"/>
          <w:rtl/>
        </w:rPr>
        <w:t xml:space="preserve"> </w:t>
      </w:r>
      <w:r w:rsidRPr="00390632">
        <w:rPr>
          <w:rFonts w:cs="Arial" w:hint="cs"/>
          <w:sz w:val="18"/>
          <w:szCs w:val="18"/>
          <w:rtl/>
        </w:rPr>
        <w:t>לגרש</w:t>
      </w:r>
      <w:r w:rsidRPr="00390632">
        <w:rPr>
          <w:rFonts w:cs="Arial"/>
          <w:sz w:val="18"/>
          <w:szCs w:val="18"/>
          <w:rtl/>
        </w:rPr>
        <w:t xml:space="preserve"> </w:t>
      </w:r>
      <w:r w:rsidRPr="00390632">
        <w:rPr>
          <w:rFonts w:cs="Arial" w:hint="cs"/>
          <w:sz w:val="18"/>
          <w:szCs w:val="18"/>
          <w:rtl/>
        </w:rPr>
        <w:t>בו</w:t>
      </w:r>
      <w:r w:rsidRPr="00390632">
        <w:rPr>
          <w:rFonts w:cs="Arial"/>
          <w:sz w:val="18"/>
          <w:szCs w:val="18"/>
          <w:rtl/>
        </w:rPr>
        <w:t xml:space="preserve">, </w:t>
      </w:r>
      <w:r w:rsidRPr="00390632">
        <w:rPr>
          <w:rFonts w:cs="Arial" w:hint="cs"/>
          <w:sz w:val="18"/>
          <w:szCs w:val="18"/>
          <w:rtl/>
        </w:rPr>
        <w:t>אע</w:t>
      </w:r>
      <w:r>
        <w:rPr>
          <w:rFonts w:cs="Arial" w:hint="cs"/>
          <w:sz w:val="18"/>
          <w:szCs w:val="18"/>
          <w:rtl/>
        </w:rPr>
        <w:t>"</w:t>
      </w:r>
      <w:r w:rsidRPr="00390632">
        <w:rPr>
          <w:rFonts w:cs="Arial" w:hint="cs"/>
          <w:sz w:val="18"/>
          <w:szCs w:val="18"/>
          <w:rtl/>
        </w:rPr>
        <w:t>פ</w:t>
      </w:r>
      <w:r w:rsidRPr="00390632">
        <w:rPr>
          <w:rFonts w:cs="Arial"/>
          <w:sz w:val="18"/>
          <w:szCs w:val="18"/>
          <w:rtl/>
        </w:rPr>
        <w:t xml:space="preserve"> </w:t>
      </w:r>
      <w:r w:rsidRPr="00390632">
        <w:rPr>
          <w:rFonts w:cs="Arial" w:hint="cs"/>
          <w:sz w:val="18"/>
          <w:szCs w:val="18"/>
          <w:rtl/>
        </w:rPr>
        <w:t>שכתב</w:t>
      </w:r>
      <w:r w:rsidRPr="00390632">
        <w:rPr>
          <w:rFonts w:cs="Arial"/>
          <w:sz w:val="18"/>
          <w:szCs w:val="18"/>
          <w:rtl/>
        </w:rPr>
        <w:t xml:space="preserve">: </w:t>
      </w:r>
      <w:r w:rsidRPr="00390632">
        <w:rPr>
          <w:rFonts w:cs="Arial" w:hint="cs"/>
          <w:sz w:val="18"/>
          <w:szCs w:val="18"/>
          <w:rtl/>
        </w:rPr>
        <w:t>וכל</w:t>
      </w:r>
      <w:r w:rsidRPr="00390632">
        <w:rPr>
          <w:rFonts w:cs="Arial"/>
          <w:sz w:val="18"/>
          <w:szCs w:val="18"/>
          <w:rtl/>
        </w:rPr>
        <w:t xml:space="preserve"> </w:t>
      </w:r>
      <w:r w:rsidRPr="00390632">
        <w:rPr>
          <w:rFonts w:cs="Arial" w:hint="cs"/>
          <w:sz w:val="18"/>
          <w:szCs w:val="18"/>
          <w:rtl/>
        </w:rPr>
        <w:t>שם</w:t>
      </w:r>
      <w:r w:rsidRPr="00390632">
        <w:rPr>
          <w:rFonts w:cs="Arial"/>
          <w:sz w:val="18"/>
          <w:szCs w:val="18"/>
          <w:rtl/>
        </w:rPr>
        <w:t xml:space="preserve">, </w:t>
      </w:r>
      <w:r w:rsidRPr="00390632">
        <w:rPr>
          <w:rFonts w:cs="Arial" w:hint="cs"/>
          <w:sz w:val="18"/>
          <w:szCs w:val="18"/>
          <w:rtl/>
        </w:rPr>
        <w:t>עד</w:t>
      </w:r>
      <w:r w:rsidRPr="00390632">
        <w:rPr>
          <w:rFonts w:cs="Arial"/>
          <w:sz w:val="18"/>
          <w:szCs w:val="18"/>
          <w:rtl/>
        </w:rPr>
        <w:t xml:space="preserve"> </w:t>
      </w:r>
      <w:r w:rsidRPr="00390632">
        <w:rPr>
          <w:rFonts w:cs="Arial" w:hint="cs"/>
          <w:sz w:val="18"/>
          <w:szCs w:val="18"/>
          <w:rtl/>
        </w:rPr>
        <w:t>שיכתוב</w:t>
      </w:r>
      <w:r w:rsidRPr="00390632">
        <w:rPr>
          <w:rFonts w:cs="Arial"/>
          <w:sz w:val="18"/>
          <w:szCs w:val="18"/>
          <w:rtl/>
        </w:rPr>
        <w:t xml:space="preserve"> </w:t>
      </w:r>
      <w:r w:rsidRPr="00390632">
        <w:rPr>
          <w:rFonts w:cs="Arial" w:hint="cs"/>
          <w:sz w:val="18"/>
          <w:szCs w:val="18"/>
          <w:rtl/>
        </w:rPr>
        <w:t>שני</w:t>
      </w:r>
      <w:r w:rsidRPr="00390632">
        <w:rPr>
          <w:rFonts w:cs="Arial"/>
          <w:sz w:val="18"/>
          <w:szCs w:val="18"/>
          <w:rtl/>
        </w:rPr>
        <w:t xml:space="preserve"> </w:t>
      </w:r>
      <w:r w:rsidRPr="00390632">
        <w:rPr>
          <w:rFonts w:cs="Arial" w:hint="cs"/>
          <w:sz w:val="18"/>
          <w:szCs w:val="18"/>
          <w:rtl/>
        </w:rPr>
        <w:t>השמות</w:t>
      </w:r>
      <w:r w:rsidRPr="00390632">
        <w:rPr>
          <w:rFonts w:cs="Arial"/>
          <w:sz w:val="18"/>
          <w:szCs w:val="18"/>
          <w:rtl/>
        </w:rPr>
        <w:t xml:space="preserve"> (</w:t>
      </w:r>
      <w:r w:rsidRPr="00390632">
        <w:rPr>
          <w:rFonts w:cs="Arial" w:hint="cs"/>
          <w:sz w:val="18"/>
          <w:szCs w:val="18"/>
          <w:rtl/>
        </w:rPr>
        <w:t>בקונטריס</w:t>
      </w:r>
      <w:r w:rsidRPr="00390632">
        <w:rPr>
          <w:rFonts w:cs="Arial"/>
          <w:sz w:val="18"/>
          <w:szCs w:val="18"/>
          <w:rtl/>
        </w:rPr>
        <w:t xml:space="preserve">). </w:t>
      </w:r>
      <w:r w:rsidRPr="00390632">
        <w:rPr>
          <w:rFonts w:cs="Arial" w:hint="cs"/>
          <w:sz w:val="18"/>
          <w:szCs w:val="18"/>
          <w:rtl/>
        </w:rPr>
        <w:t>לא</w:t>
      </w:r>
      <w:r w:rsidRPr="00390632">
        <w:rPr>
          <w:rFonts w:cs="Arial"/>
          <w:sz w:val="18"/>
          <w:szCs w:val="18"/>
          <w:rtl/>
        </w:rPr>
        <w:t xml:space="preserve"> </w:t>
      </w:r>
      <w:r w:rsidRPr="00390632">
        <w:rPr>
          <w:rFonts w:cs="Arial" w:hint="cs"/>
          <w:sz w:val="18"/>
          <w:szCs w:val="18"/>
          <w:rtl/>
        </w:rPr>
        <w:t>כתב</w:t>
      </w:r>
      <w:r w:rsidRPr="00390632">
        <w:rPr>
          <w:rFonts w:cs="Arial"/>
          <w:sz w:val="18"/>
          <w:szCs w:val="18"/>
          <w:rtl/>
        </w:rPr>
        <w:t xml:space="preserve"> </w:t>
      </w:r>
      <w:r w:rsidRPr="00390632">
        <w:rPr>
          <w:rFonts w:cs="Arial" w:hint="cs"/>
          <w:sz w:val="18"/>
          <w:szCs w:val="18"/>
          <w:rtl/>
        </w:rPr>
        <w:t>אלא</w:t>
      </w:r>
      <w:r w:rsidRPr="00390632">
        <w:rPr>
          <w:rFonts w:cs="Arial"/>
          <w:sz w:val="18"/>
          <w:szCs w:val="18"/>
          <w:rtl/>
        </w:rPr>
        <w:t xml:space="preserve"> </w:t>
      </w:r>
      <w:r w:rsidRPr="00390632">
        <w:rPr>
          <w:rFonts w:cs="Arial" w:hint="cs"/>
          <w:sz w:val="18"/>
          <w:szCs w:val="18"/>
          <w:rtl/>
        </w:rPr>
        <w:t>שם</w:t>
      </w:r>
      <w:r w:rsidRPr="00390632">
        <w:rPr>
          <w:rFonts w:cs="Arial"/>
          <w:sz w:val="18"/>
          <w:szCs w:val="18"/>
          <w:rtl/>
        </w:rPr>
        <w:t xml:space="preserve"> </w:t>
      </w:r>
      <w:r w:rsidRPr="00390632">
        <w:rPr>
          <w:rFonts w:cs="Arial" w:hint="cs"/>
          <w:sz w:val="18"/>
          <w:szCs w:val="18"/>
          <w:rtl/>
        </w:rPr>
        <w:t>האחד</w:t>
      </w:r>
      <w:r w:rsidRPr="00390632">
        <w:rPr>
          <w:rFonts w:cs="Arial"/>
          <w:sz w:val="18"/>
          <w:szCs w:val="18"/>
          <w:rtl/>
        </w:rPr>
        <w:t xml:space="preserve">, </w:t>
      </w:r>
      <w:r w:rsidRPr="00390632">
        <w:rPr>
          <w:rFonts w:cs="Arial" w:hint="cs"/>
          <w:sz w:val="18"/>
          <w:szCs w:val="18"/>
          <w:rtl/>
        </w:rPr>
        <w:t>אפילו</w:t>
      </w:r>
      <w:r w:rsidRPr="00390632">
        <w:rPr>
          <w:rFonts w:cs="Arial"/>
          <w:sz w:val="18"/>
          <w:szCs w:val="18"/>
          <w:rtl/>
        </w:rPr>
        <w:t xml:space="preserve"> </w:t>
      </w:r>
      <w:r w:rsidRPr="00390632">
        <w:rPr>
          <w:rFonts w:cs="Arial" w:hint="cs"/>
          <w:sz w:val="18"/>
          <w:szCs w:val="18"/>
          <w:rtl/>
        </w:rPr>
        <w:t>הוא</w:t>
      </w:r>
      <w:r w:rsidRPr="00390632">
        <w:rPr>
          <w:rFonts w:cs="Arial"/>
          <w:sz w:val="18"/>
          <w:szCs w:val="18"/>
          <w:rtl/>
        </w:rPr>
        <w:t xml:space="preserve"> </w:t>
      </w:r>
      <w:r w:rsidRPr="00390632">
        <w:rPr>
          <w:rFonts w:cs="Arial" w:hint="cs"/>
          <w:sz w:val="18"/>
          <w:szCs w:val="18"/>
          <w:rtl/>
        </w:rPr>
        <w:t>שם</w:t>
      </w:r>
      <w:r w:rsidRPr="00390632">
        <w:rPr>
          <w:rFonts w:cs="Arial"/>
          <w:sz w:val="18"/>
          <w:szCs w:val="18"/>
          <w:rtl/>
        </w:rPr>
        <w:t xml:space="preserve"> </w:t>
      </w:r>
      <w:r w:rsidRPr="00390632">
        <w:rPr>
          <w:rFonts w:cs="Arial" w:hint="cs"/>
          <w:sz w:val="18"/>
          <w:szCs w:val="18"/>
          <w:rtl/>
        </w:rPr>
        <w:t>הטפל</w:t>
      </w:r>
      <w:r w:rsidRPr="00390632">
        <w:rPr>
          <w:rFonts w:cs="Arial"/>
          <w:sz w:val="18"/>
          <w:szCs w:val="18"/>
          <w:rtl/>
        </w:rPr>
        <w:t xml:space="preserve"> </w:t>
      </w:r>
      <w:r w:rsidRPr="00390632">
        <w:rPr>
          <w:rFonts w:cs="Arial" w:hint="cs"/>
          <w:sz w:val="18"/>
          <w:szCs w:val="18"/>
          <w:rtl/>
        </w:rPr>
        <w:t>וגירש</w:t>
      </w:r>
      <w:r w:rsidRPr="00390632">
        <w:rPr>
          <w:rFonts w:cs="Arial"/>
          <w:sz w:val="18"/>
          <w:szCs w:val="18"/>
          <w:rtl/>
        </w:rPr>
        <w:t xml:space="preserve"> </w:t>
      </w:r>
      <w:r w:rsidRPr="00390632">
        <w:rPr>
          <w:rFonts w:cs="Arial" w:hint="cs"/>
          <w:sz w:val="18"/>
          <w:szCs w:val="18"/>
          <w:rtl/>
        </w:rPr>
        <w:t>בו</w:t>
      </w:r>
      <w:r w:rsidRPr="00390632">
        <w:rPr>
          <w:rFonts w:cs="Arial"/>
          <w:sz w:val="18"/>
          <w:szCs w:val="18"/>
          <w:rtl/>
        </w:rPr>
        <w:t xml:space="preserve">, </w:t>
      </w:r>
      <w:r w:rsidRPr="00390632">
        <w:rPr>
          <w:rFonts w:cs="Arial" w:hint="cs"/>
          <w:sz w:val="18"/>
          <w:szCs w:val="18"/>
          <w:rtl/>
        </w:rPr>
        <w:t>כשר</w:t>
      </w:r>
      <w:r>
        <w:rPr>
          <w:rStyle w:val="a7"/>
          <w:rFonts w:cs="Arial"/>
          <w:sz w:val="18"/>
          <w:szCs w:val="18"/>
          <w:rtl/>
        </w:rPr>
        <w:footnoteReference w:id="1044"/>
      </w:r>
      <w:r w:rsidRPr="00390632">
        <w:rPr>
          <w:rFonts w:cs="Arial"/>
          <w:sz w:val="18"/>
          <w:szCs w:val="18"/>
          <w:rtl/>
        </w:rPr>
        <w:t xml:space="preserve"> (</w:t>
      </w:r>
      <w:r>
        <w:rPr>
          <w:rFonts w:cs="Arial" w:hint="cs"/>
          <w:sz w:val="18"/>
          <w:szCs w:val="18"/>
          <w:rtl/>
        </w:rPr>
        <w:t>ב"י</w:t>
      </w:r>
      <w:r w:rsidRPr="00390632">
        <w:rPr>
          <w:rFonts w:cs="Arial"/>
          <w:sz w:val="18"/>
          <w:szCs w:val="18"/>
          <w:rtl/>
        </w:rPr>
        <w:t xml:space="preserve">). </w:t>
      </w:r>
    </w:p>
    <w:p w14:paraId="68AFBA7B" w14:textId="77777777" w:rsidR="00FA2119" w:rsidRDefault="00FA2119" w:rsidP="00FA2119">
      <w:pPr>
        <w:rPr>
          <w:rtl/>
        </w:rPr>
      </w:pPr>
    </w:p>
    <w:p w14:paraId="3891E1CB" w14:textId="77777777" w:rsidR="00FA2119" w:rsidRDefault="00FA2119" w:rsidP="00FA2119">
      <w:pPr>
        <w:pStyle w:val="2"/>
        <w:rPr>
          <w:rtl/>
        </w:rPr>
      </w:pPr>
      <w:r>
        <w:rPr>
          <w:rFonts w:hint="cs"/>
          <w:rtl/>
        </w:rPr>
        <w:t>סעיף</w:t>
      </w:r>
      <w:r>
        <w:rPr>
          <w:rtl/>
        </w:rPr>
        <w:t xml:space="preserve"> </w:t>
      </w:r>
      <w:r>
        <w:rPr>
          <w:rFonts w:hint="cs"/>
          <w:rtl/>
        </w:rPr>
        <w:t>ב: כתב את השם שפחות מוכר.</w:t>
      </w:r>
    </w:p>
    <w:p w14:paraId="4F8FEBCE" w14:textId="77777777" w:rsidR="00FA2119" w:rsidRPr="009F001B" w:rsidRDefault="00FA2119" w:rsidP="00FA2119">
      <w:pPr>
        <w:rPr>
          <w:rtl/>
        </w:rPr>
      </w:pPr>
      <w:r>
        <w:rPr>
          <w:rFonts w:hint="cs"/>
          <w:rtl/>
        </w:rPr>
        <w:t>עיין במקורות בסעיף הקודם.</w:t>
      </w:r>
    </w:p>
    <w:p w14:paraId="5F562D7A" w14:textId="77777777" w:rsidR="00FA2119" w:rsidRPr="00684B92" w:rsidRDefault="00FA2119" w:rsidP="00FA2119">
      <w:pPr>
        <w:rPr>
          <w:rFonts w:cs="Arial"/>
          <w:u w:val="single"/>
          <w:rtl/>
        </w:rPr>
      </w:pPr>
      <w:r>
        <w:rPr>
          <w:rFonts w:cs="Arial" w:hint="cs"/>
          <w:u w:val="single"/>
          <w:rtl/>
        </w:rPr>
        <w:t>כתב את השם שפחות מוכר ראשון, ואח"כ את השם שיודעין בו ביותר</w:t>
      </w:r>
      <w:r w:rsidRPr="00684B92">
        <w:rPr>
          <w:rFonts w:cs="Arial" w:hint="cs"/>
          <w:u w:val="single"/>
          <w:rtl/>
        </w:rPr>
        <w:t>:</w:t>
      </w:r>
    </w:p>
    <w:p w14:paraId="081B93E4" w14:textId="0C970221" w:rsidR="00FA2119" w:rsidRPr="00CA6529" w:rsidRDefault="00FA2119" w:rsidP="00FA2119">
      <w:pPr>
        <w:pStyle w:val="ab"/>
        <w:numPr>
          <w:ilvl w:val="0"/>
          <w:numId w:val="70"/>
        </w:numPr>
        <w:rPr>
          <w:rtl/>
        </w:rPr>
      </w:pPr>
      <w:r w:rsidRPr="00684B92">
        <w:rPr>
          <w:rFonts w:cs="Arial"/>
          <w:rtl/>
        </w:rPr>
        <w:t xml:space="preserve">ריב"ש </w:t>
      </w:r>
      <w:r w:rsidRPr="00684B92">
        <w:rPr>
          <w:rFonts w:cs="Arial" w:hint="cs"/>
          <w:sz w:val="16"/>
          <w:szCs w:val="16"/>
          <w:rtl/>
        </w:rPr>
        <w:t>(</w:t>
      </w:r>
      <w:r w:rsidRPr="00684B92">
        <w:rPr>
          <w:rFonts w:cs="Arial"/>
          <w:sz w:val="16"/>
          <w:szCs w:val="16"/>
          <w:rtl/>
        </w:rPr>
        <w:t>סי</w:t>
      </w:r>
      <w:r w:rsidRPr="00684B92">
        <w:rPr>
          <w:rFonts w:cs="Arial" w:hint="cs"/>
          <w:sz w:val="16"/>
          <w:szCs w:val="16"/>
          <w:rtl/>
        </w:rPr>
        <w:t>'</w:t>
      </w:r>
      <w:r w:rsidRPr="00684B92">
        <w:rPr>
          <w:rFonts w:cs="Arial"/>
          <w:sz w:val="16"/>
          <w:szCs w:val="16"/>
          <w:rtl/>
        </w:rPr>
        <w:t xml:space="preserve"> מג</w:t>
      </w:r>
      <w:r w:rsidRPr="00684B92">
        <w:rPr>
          <w:rFonts w:cs="Arial" w:hint="cs"/>
          <w:sz w:val="16"/>
          <w:szCs w:val="16"/>
          <w:rtl/>
        </w:rPr>
        <w:t>)</w:t>
      </w:r>
      <w:r w:rsidR="00A82951">
        <w:rPr>
          <w:rFonts w:cs="Arial" w:hint="cs"/>
          <w:rtl/>
        </w:rPr>
        <w:t>-</w:t>
      </w:r>
      <w:r w:rsidRPr="00684B92">
        <w:rPr>
          <w:rFonts w:cs="Arial"/>
          <w:rtl/>
        </w:rPr>
        <w:t xml:space="preserve"> אהא דמרים וכל שום שיש לה וכו' פירוש שאינו כותב השם העיקרי בפירוש</w:t>
      </w:r>
      <w:r w:rsidR="004667D8">
        <w:rPr>
          <w:rFonts w:cs="Arial" w:hint="cs"/>
          <w:rtl/>
        </w:rPr>
        <w:t>,</w:t>
      </w:r>
      <w:r w:rsidRPr="00684B92">
        <w:rPr>
          <w:rFonts w:cs="Arial"/>
          <w:rtl/>
        </w:rPr>
        <w:t xml:space="preserve"> אלא כותב השם הטפל בפירוש והעיקרי כולל סתם בלשון וכל שום דאית לי</w:t>
      </w:r>
      <w:r>
        <w:rPr>
          <w:rFonts w:cs="Arial" w:hint="cs"/>
          <w:rtl/>
        </w:rPr>
        <w:t>,</w:t>
      </w:r>
      <w:r w:rsidRPr="00684B92">
        <w:rPr>
          <w:rFonts w:cs="Arial"/>
          <w:rtl/>
        </w:rPr>
        <w:t xml:space="preserve"> ומשום הכי פסול</w:t>
      </w:r>
      <w:r>
        <w:rPr>
          <w:rFonts w:cs="Arial" w:hint="cs"/>
          <w:rtl/>
        </w:rPr>
        <w:t>.</w:t>
      </w:r>
      <w:r w:rsidRPr="00684B92">
        <w:rPr>
          <w:rFonts w:cs="Arial"/>
          <w:rtl/>
        </w:rPr>
        <w:t xml:space="preserve"> אבל אם השני שמות כתובים בגט בפירוש </w:t>
      </w:r>
      <w:r w:rsidR="00A82951">
        <w:rPr>
          <w:rFonts w:cs="Arial" w:hint="cs"/>
          <w:rtl/>
        </w:rPr>
        <w:t>-</w:t>
      </w:r>
      <w:r>
        <w:rPr>
          <w:rFonts w:cs="Arial" w:hint="cs"/>
          <w:rtl/>
        </w:rPr>
        <w:t xml:space="preserve"> </w:t>
      </w:r>
      <w:r w:rsidRPr="00684B92">
        <w:rPr>
          <w:rFonts w:cs="Arial"/>
          <w:rtl/>
        </w:rPr>
        <w:t>אין הפרש בין שכותב זה ראשון או זה</w:t>
      </w:r>
      <w:r>
        <w:rPr>
          <w:rFonts w:cs="Arial" w:hint="cs"/>
          <w:rtl/>
        </w:rPr>
        <w:t>,</w:t>
      </w:r>
      <w:r w:rsidRPr="00684B92">
        <w:rPr>
          <w:rFonts w:cs="Arial"/>
          <w:rtl/>
        </w:rPr>
        <w:t xml:space="preserve"> דאפילו שרה דמתקריא מרים כשר אפילו לכתחלה ולא פסל אלא כשכולל מרים שהוא השם העיקר בלשון וכל שום</w:t>
      </w:r>
      <w:r>
        <w:rPr>
          <w:rFonts w:cs="Arial" w:hint="cs"/>
          <w:rtl/>
        </w:rPr>
        <w:t>.</w:t>
      </w:r>
      <w:r>
        <w:rPr>
          <w:rFonts w:cs="Arial" w:hint="cs"/>
          <w:sz w:val="16"/>
          <w:szCs w:val="16"/>
          <w:rtl/>
        </w:rPr>
        <w:t xml:space="preserve"> </w:t>
      </w:r>
      <w:r w:rsidRPr="00A73EE5">
        <w:rPr>
          <w:rFonts w:cs="Arial" w:hint="cs"/>
          <w:color w:val="E36C0A" w:themeColor="accent6" w:themeShade="BF"/>
          <w:rtl/>
        </w:rPr>
        <w:t>(וכ"פ בשו"ע)</w:t>
      </w:r>
      <w:r w:rsidRPr="00684B92">
        <w:rPr>
          <w:rFonts w:cs="Arial"/>
          <w:rtl/>
        </w:rPr>
        <w:t xml:space="preserve"> </w:t>
      </w:r>
    </w:p>
    <w:p w14:paraId="25053AE4"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B104FC" w14:textId="77777777" w:rsidR="00FA2119" w:rsidRDefault="00FA2119" w:rsidP="00FA2119">
      <w:pPr>
        <w:rPr>
          <w:rtl/>
        </w:rPr>
      </w:pPr>
      <w:r>
        <w:rPr>
          <w:rFonts w:cs="Arial" w:hint="cs"/>
          <w:rtl/>
        </w:rPr>
        <w:t>כתב</w:t>
      </w:r>
      <w:r>
        <w:rPr>
          <w:rFonts w:cs="Arial"/>
          <w:rtl/>
        </w:rPr>
        <w:t xml:space="preserve"> </w:t>
      </w:r>
      <w:r>
        <w:rPr>
          <w:rFonts w:cs="Arial" w:hint="cs"/>
          <w:rtl/>
        </w:rPr>
        <w:t>השם</w:t>
      </w:r>
      <w:r>
        <w:rPr>
          <w:rFonts w:cs="Arial"/>
          <w:rtl/>
        </w:rPr>
        <w:t xml:space="preserve"> </w:t>
      </w:r>
      <w:r>
        <w:rPr>
          <w:rFonts w:cs="Arial" w:hint="cs"/>
          <w:rtl/>
        </w:rPr>
        <w:t>שאינם</w:t>
      </w:r>
      <w:r>
        <w:rPr>
          <w:rFonts w:cs="Arial"/>
          <w:rtl/>
        </w:rPr>
        <w:t xml:space="preserve"> </w:t>
      </w:r>
      <w:r>
        <w:rPr>
          <w:rFonts w:cs="Arial" w:hint="cs"/>
          <w:rtl/>
        </w:rPr>
        <w:t>ידועים</w:t>
      </w:r>
      <w:r>
        <w:rPr>
          <w:rFonts w:cs="Arial"/>
          <w:rtl/>
        </w:rPr>
        <w:t xml:space="preserve"> </w:t>
      </w:r>
      <w:r>
        <w:rPr>
          <w:rFonts w:cs="Arial" w:hint="cs"/>
          <w:rtl/>
        </w:rPr>
        <w:t>בו</w:t>
      </w:r>
      <w:r>
        <w:rPr>
          <w:rFonts w:cs="Arial"/>
          <w:rtl/>
        </w:rPr>
        <w:t xml:space="preserve"> </w:t>
      </w:r>
      <w:r>
        <w:rPr>
          <w:rFonts w:cs="Arial" w:hint="cs"/>
          <w:rtl/>
        </w:rPr>
        <w:t>ביותר</w:t>
      </w:r>
      <w:r>
        <w:rPr>
          <w:rFonts w:cs="Arial"/>
          <w:rtl/>
        </w:rPr>
        <w:t xml:space="preserve">, </w:t>
      </w:r>
      <w:r>
        <w:rPr>
          <w:rFonts w:cs="Arial" w:hint="cs"/>
          <w:rtl/>
        </w:rPr>
        <w:t>וכתב</w:t>
      </w:r>
      <w:r>
        <w:rPr>
          <w:rFonts w:cs="Arial"/>
          <w:rtl/>
        </w:rPr>
        <w:t xml:space="preserve">: </w:t>
      </w:r>
      <w:r>
        <w:rPr>
          <w:rFonts w:cs="Arial" w:hint="cs"/>
          <w:rtl/>
        </w:rPr>
        <w:t>כל</w:t>
      </w:r>
      <w:r>
        <w:rPr>
          <w:rFonts w:cs="Arial"/>
          <w:rtl/>
        </w:rPr>
        <w:t xml:space="preserve"> </w:t>
      </w:r>
      <w:r>
        <w:rPr>
          <w:rFonts w:cs="Arial" w:hint="cs"/>
          <w:rtl/>
        </w:rPr>
        <w:t>שם</w:t>
      </w:r>
      <w:r>
        <w:rPr>
          <w:rFonts w:cs="Arial"/>
          <w:rtl/>
        </w:rPr>
        <w:t xml:space="preserve"> </w:t>
      </w:r>
      <w:r>
        <w:rPr>
          <w:rFonts w:cs="Arial" w:hint="cs"/>
          <w:rtl/>
        </w:rPr>
        <w:t>שיש</w:t>
      </w:r>
      <w:r>
        <w:rPr>
          <w:rFonts w:cs="Arial"/>
          <w:rtl/>
        </w:rPr>
        <w:t xml:space="preserve"> </w:t>
      </w:r>
      <w:r>
        <w:rPr>
          <w:rFonts w:cs="Arial" w:hint="cs"/>
          <w:rtl/>
        </w:rPr>
        <w:t>לו</w:t>
      </w:r>
      <w:r>
        <w:rPr>
          <w:rFonts w:cs="Arial"/>
          <w:rtl/>
        </w:rPr>
        <w:t xml:space="preserve">, </w:t>
      </w:r>
      <w:r>
        <w:rPr>
          <w:rFonts w:cs="Arial" w:hint="cs"/>
          <w:rtl/>
        </w:rPr>
        <w:t>הרי</w:t>
      </w:r>
      <w:r>
        <w:rPr>
          <w:rFonts w:cs="Arial"/>
          <w:rtl/>
        </w:rPr>
        <w:t xml:space="preserve"> </w:t>
      </w:r>
      <w:r>
        <w:rPr>
          <w:rFonts w:cs="Arial" w:hint="cs"/>
          <w:rtl/>
        </w:rPr>
        <w:t>זה</w:t>
      </w:r>
      <w:r>
        <w:rPr>
          <w:rFonts w:cs="Arial"/>
          <w:rtl/>
        </w:rPr>
        <w:t xml:space="preserve"> </w:t>
      </w:r>
      <w:r>
        <w:rPr>
          <w:rFonts w:cs="Arial" w:hint="cs"/>
          <w:rtl/>
        </w:rPr>
        <w:t>פסול</w:t>
      </w:r>
      <w:r>
        <w:rPr>
          <w:rFonts w:cs="Arial"/>
          <w:rtl/>
        </w:rPr>
        <w:t xml:space="preserve">. </w:t>
      </w:r>
      <w:r>
        <w:rPr>
          <w:rFonts w:cs="Arial" w:hint="cs"/>
          <w:rtl/>
        </w:rPr>
        <w:t>אבל</w:t>
      </w:r>
      <w:r>
        <w:rPr>
          <w:rFonts w:cs="Arial"/>
          <w:rtl/>
        </w:rPr>
        <w:t xml:space="preserve"> </w:t>
      </w:r>
      <w:r>
        <w:rPr>
          <w:rFonts w:cs="Arial" w:hint="cs"/>
          <w:rtl/>
        </w:rPr>
        <w:t>אם</w:t>
      </w:r>
      <w:r>
        <w:rPr>
          <w:rFonts w:cs="Arial"/>
          <w:rtl/>
        </w:rPr>
        <w:t xml:space="preserve"> </w:t>
      </w:r>
      <w:r>
        <w:rPr>
          <w:rFonts w:cs="Arial" w:hint="cs"/>
          <w:rtl/>
        </w:rPr>
        <w:t>השני</w:t>
      </w:r>
      <w:r>
        <w:rPr>
          <w:rFonts w:cs="Arial"/>
          <w:rtl/>
        </w:rPr>
        <w:t xml:space="preserve"> </w:t>
      </w:r>
      <w:r>
        <w:rPr>
          <w:rFonts w:cs="Arial" w:hint="cs"/>
          <w:rtl/>
        </w:rPr>
        <w:t>שמות</w:t>
      </w:r>
      <w:r>
        <w:rPr>
          <w:rFonts w:cs="Arial"/>
          <w:rtl/>
        </w:rPr>
        <w:t xml:space="preserve"> </w:t>
      </w:r>
      <w:r>
        <w:rPr>
          <w:rFonts w:cs="Arial" w:hint="cs"/>
          <w:rtl/>
        </w:rPr>
        <w:t>כתובים</w:t>
      </w:r>
      <w:r>
        <w:rPr>
          <w:rFonts w:cs="Arial"/>
          <w:rtl/>
        </w:rPr>
        <w:t xml:space="preserve"> </w:t>
      </w:r>
      <w:r>
        <w:rPr>
          <w:rFonts w:cs="Arial" w:hint="cs"/>
          <w:rtl/>
        </w:rPr>
        <w:t>בפירוש</w:t>
      </w:r>
      <w:r>
        <w:rPr>
          <w:rFonts w:cs="Arial"/>
          <w:rtl/>
        </w:rPr>
        <w:t xml:space="preserve"> </w:t>
      </w:r>
      <w:r>
        <w:rPr>
          <w:rFonts w:cs="Arial" w:hint="cs"/>
          <w:rtl/>
        </w:rPr>
        <w:t>בגט</w:t>
      </w:r>
      <w:r>
        <w:rPr>
          <w:rFonts w:cs="Arial"/>
          <w:rtl/>
        </w:rPr>
        <w:t xml:space="preserve">, </w:t>
      </w:r>
      <w:r>
        <w:rPr>
          <w:rFonts w:cs="Arial" w:hint="cs"/>
          <w:rtl/>
        </w:rPr>
        <w:t>אין</w:t>
      </w:r>
      <w:r>
        <w:rPr>
          <w:rFonts w:cs="Arial"/>
          <w:rtl/>
        </w:rPr>
        <w:t xml:space="preserve"> </w:t>
      </w:r>
      <w:r>
        <w:rPr>
          <w:rFonts w:cs="Arial" w:hint="cs"/>
          <w:rtl/>
        </w:rPr>
        <w:t>הפרש</w:t>
      </w:r>
      <w:r>
        <w:rPr>
          <w:rFonts w:cs="Arial"/>
          <w:rtl/>
        </w:rPr>
        <w:t xml:space="preserve"> </w:t>
      </w:r>
      <w:r>
        <w:rPr>
          <w:rFonts w:cs="Arial" w:hint="cs"/>
          <w:rtl/>
        </w:rPr>
        <w:t>בין</w:t>
      </w:r>
      <w:r>
        <w:rPr>
          <w:rFonts w:cs="Arial"/>
          <w:rtl/>
        </w:rPr>
        <w:t xml:space="preserve"> </w:t>
      </w:r>
      <w:r>
        <w:rPr>
          <w:rFonts w:cs="Arial" w:hint="cs"/>
          <w:rtl/>
        </w:rPr>
        <w:t>שכותב</w:t>
      </w:r>
      <w:r>
        <w:rPr>
          <w:rFonts w:cs="Arial"/>
          <w:rtl/>
        </w:rPr>
        <w:t xml:space="preserve"> </w:t>
      </w:r>
      <w:r>
        <w:rPr>
          <w:rFonts w:cs="Arial" w:hint="cs"/>
          <w:rtl/>
        </w:rPr>
        <w:t>זה</w:t>
      </w:r>
      <w:r>
        <w:rPr>
          <w:rFonts w:cs="Arial"/>
          <w:rtl/>
        </w:rPr>
        <w:t xml:space="preserve"> </w:t>
      </w:r>
      <w:r>
        <w:rPr>
          <w:rFonts w:cs="Arial" w:hint="cs"/>
          <w:rtl/>
        </w:rPr>
        <w:t>ראשון</w:t>
      </w:r>
      <w:r>
        <w:rPr>
          <w:rFonts w:cs="Arial"/>
          <w:rtl/>
        </w:rPr>
        <w:t xml:space="preserve"> </w:t>
      </w:r>
      <w:r>
        <w:rPr>
          <w:rFonts w:cs="Arial" w:hint="cs"/>
          <w:rtl/>
        </w:rPr>
        <w:t>או</w:t>
      </w:r>
      <w:r>
        <w:rPr>
          <w:rFonts w:cs="Arial"/>
          <w:rtl/>
        </w:rPr>
        <w:t xml:space="preserve"> </w:t>
      </w:r>
      <w:r>
        <w:rPr>
          <w:rFonts w:cs="Arial" w:hint="cs"/>
          <w:rtl/>
        </w:rPr>
        <w:t>זה</w:t>
      </w:r>
      <w:r>
        <w:rPr>
          <w:rFonts w:cs="Arial"/>
          <w:rtl/>
        </w:rPr>
        <w:t xml:space="preserve">. </w:t>
      </w:r>
    </w:p>
    <w:p w14:paraId="26190E51" w14:textId="77777777" w:rsidR="00FA2119" w:rsidRDefault="00FA2119" w:rsidP="00FA2119">
      <w:pPr>
        <w:rPr>
          <w:rtl/>
        </w:rPr>
      </w:pPr>
    </w:p>
    <w:p w14:paraId="2A46F9F1" w14:textId="77777777" w:rsidR="00FA2119" w:rsidRPr="00CE0742" w:rsidRDefault="00FA2119" w:rsidP="00FA2119">
      <w:pPr>
        <w:pStyle w:val="2"/>
        <w:rPr>
          <w:rtl/>
        </w:rPr>
      </w:pPr>
      <w:r>
        <w:rPr>
          <w:rFonts w:hint="cs"/>
          <w:rtl/>
        </w:rPr>
        <w:t>סעיף</w:t>
      </w:r>
      <w:r>
        <w:rPr>
          <w:rtl/>
        </w:rPr>
        <w:t xml:space="preserve"> </w:t>
      </w:r>
      <w:r>
        <w:rPr>
          <w:rFonts w:hint="cs"/>
          <w:rtl/>
        </w:rPr>
        <w:t>ג: שינה שמו ושמה, שם עירו ושם עירה.</w:t>
      </w:r>
    </w:p>
    <w:p w14:paraId="7FEF5515" w14:textId="120C2E7E" w:rsidR="00FA2119" w:rsidRDefault="00FA2119" w:rsidP="00FA2119">
      <w:pPr>
        <w:rPr>
          <w:rFonts w:cs="Arial"/>
          <w:rtl/>
        </w:rPr>
      </w:pPr>
      <w:r w:rsidRPr="00A5037E">
        <w:rPr>
          <w:rFonts w:cs="Arial" w:hint="cs"/>
          <w:b/>
          <w:bCs/>
          <w:rtl/>
        </w:rPr>
        <w:t>גיטין</w:t>
      </w:r>
      <w:r w:rsidRPr="00A5037E">
        <w:rPr>
          <w:rFonts w:cs="Arial"/>
          <w:b/>
          <w:bCs/>
          <w:rtl/>
        </w:rPr>
        <w:t xml:space="preserve"> </w:t>
      </w:r>
      <w:r w:rsidRPr="00A5037E">
        <w:rPr>
          <w:rFonts w:cs="Arial"/>
          <w:b/>
          <w:bCs/>
          <w:szCs w:val="16"/>
          <w:rtl/>
        </w:rPr>
        <w:t xml:space="preserve">(פ' </w:t>
      </w:r>
      <w:r w:rsidRPr="00A5037E">
        <w:rPr>
          <w:rFonts w:cs="Arial" w:hint="cs"/>
          <w:b/>
          <w:bCs/>
          <w:szCs w:val="16"/>
          <w:rtl/>
        </w:rPr>
        <w:t>השולח</w:t>
      </w:r>
      <w:r w:rsidRPr="00A5037E">
        <w:rPr>
          <w:rFonts w:cs="Arial"/>
          <w:b/>
          <w:bCs/>
          <w:szCs w:val="16"/>
          <w:rtl/>
        </w:rPr>
        <w:t xml:space="preserve">) </w:t>
      </w:r>
      <w:r w:rsidRPr="00A5037E">
        <w:rPr>
          <w:rFonts w:cs="Arial" w:hint="cs"/>
          <w:b/>
          <w:bCs/>
          <w:rtl/>
        </w:rPr>
        <w:t>לד</w:t>
      </w:r>
      <w:r w:rsidRPr="00A5037E">
        <w:rPr>
          <w:rFonts w:cs="Arial"/>
          <w:b/>
          <w:bCs/>
          <w:rtl/>
        </w:rPr>
        <w:t xml:space="preserve"> ע"</w:t>
      </w:r>
      <w:r w:rsidRPr="00A5037E">
        <w:rPr>
          <w:rFonts w:cs="Arial" w:hint="cs"/>
          <w:b/>
          <w:bCs/>
          <w:rtl/>
        </w:rPr>
        <w:t>ב</w:t>
      </w:r>
      <w:r w:rsidRPr="00A5037E">
        <w:rPr>
          <w:rFonts w:cs="Arial"/>
          <w:b/>
          <w:bCs/>
          <w:rtl/>
        </w:rPr>
        <w:t>:</w:t>
      </w:r>
      <w:r w:rsidRPr="00A5037E">
        <w:rPr>
          <w:rFonts w:cs="Arial" w:hint="cs"/>
          <w:b/>
          <w:bCs/>
          <w:rtl/>
        </w:rPr>
        <w:t xml:space="preserve"> </w:t>
      </w:r>
      <w:r w:rsidRPr="00A5037E">
        <w:rPr>
          <w:rFonts w:cs="Arial"/>
          <w:u w:val="double"/>
          <w:rtl/>
        </w:rPr>
        <w:t>מתני</w:t>
      </w:r>
      <w:r w:rsidRPr="00A5037E">
        <w:rPr>
          <w:rFonts w:cs="Arial" w:hint="cs"/>
          <w:u w:val="double"/>
          <w:rtl/>
        </w:rPr>
        <w:t>'</w:t>
      </w:r>
      <w:r w:rsidRPr="00A5037E">
        <w:rPr>
          <w:rFonts w:cs="Arial" w:hint="cs"/>
          <w:rtl/>
        </w:rPr>
        <w:t>:</w:t>
      </w:r>
      <w:r w:rsidRPr="00A5037E">
        <w:rPr>
          <w:rFonts w:cs="Arial"/>
          <w:rtl/>
        </w:rPr>
        <w:t xml:space="preserve"> בראשונה היה משנה שמו ושמה</w:t>
      </w:r>
      <w:r>
        <w:rPr>
          <w:rStyle w:val="a7"/>
          <w:rFonts w:cs="Arial"/>
          <w:rtl/>
        </w:rPr>
        <w:footnoteReference w:id="1045"/>
      </w:r>
      <w:r w:rsidRPr="00A5037E">
        <w:rPr>
          <w:rFonts w:cs="Arial"/>
          <w:rtl/>
        </w:rPr>
        <w:t>, שם עירו ושם עירה</w:t>
      </w:r>
      <w:r w:rsidRPr="00A5037E">
        <w:rPr>
          <w:rFonts w:cs="Arial" w:hint="cs"/>
          <w:rtl/>
        </w:rPr>
        <w:t>.</w:t>
      </w:r>
      <w:r w:rsidRPr="00A5037E">
        <w:rPr>
          <w:rFonts w:cs="Arial"/>
          <w:rtl/>
        </w:rPr>
        <w:t xml:space="preserve"> </w:t>
      </w:r>
      <w:r w:rsidRPr="00A5037E">
        <w:rPr>
          <w:rFonts w:cs="Arial"/>
          <w:u w:val="single"/>
          <w:rtl/>
        </w:rPr>
        <w:t>התקין ר"ג הזקן</w:t>
      </w:r>
      <w:r w:rsidRPr="00A5037E">
        <w:rPr>
          <w:rFonts w:cs="Arial"/>
          <w:rtl/>
        </w:rPr>
        <w:t xml:space="preserve">, שיהא כותב איש פלוני וכל שום שיש לו, אשה פלונית וכל שום שיש לה, מפני תיקון העולם. </w:t>
      </w:r>
      <w:r>
        <w:rPr>
          <w:rFonts w:hint="cs"/>
          <w:rtl/>
        </w:rPr>
        <w:t xml:space="preserve">      </w:t>
      </w:r>
      <w:r w:rsidRPr="00A5037E">
        <w:rPr>
          <w:rFonts w:cs="Arial"/>
          <w:u w:val="double"/>
          <w:rtl/>
        </w:rPr>
        <w:t>גמ'</w:t>
      </w:r>
      <w:r w:rsidRPr="00A5037E">
        <w:rPr>
          <w:rFonts w:cs="Arial" w:hint="cs"/>
          <w:rtl/>
        </w:rPr>
        <w:t>:</w:t>
      </w:r>
      <w:r w:rsidRPr="00A5037E">
        <w:rPr>
          <w:rFonts w:cs="Arial"/>
          <w:rtl/>
        </w:rPr>
        <w:t xml:space="preserve"> </w:t>
      </w:r>
      <w:r w:rsidRPr="00A5037E">
        <w:rPr>
          <w:rFonts w:cs="Arial"/>
          <w:u w:val="single"/>
          <w:rtl/>
        </w:rPr>
        <w:t>אמר רב יהודה אמר שמואל</w:t>
      </w:r>
      <w:r w:rsidRPr="00A5037E">
        <w:rPr>
          <w:rFonts w:cs="Arial" w:hint="cs"/>
          <w:rtl/>
        </w:rPr>
        <w:t>:</w:t>
      </w:r>
      <w:r w:rsidRPr="00A5037E">
        <w:rPr>
          <w:rFonts w:cs="Arial"/>
          <w:rtl/>
        </w:rPr>
        <w:t xml:space="preserve"> שלחו ליה בני מדינת הים לרבן גמליאל: בני אדם הבאים משם לכאן, שמו יוסף וקוראין לו יוחנן, יוחנן </w:t>
      </w:r>
      <w:r w:rsidR="00A82951">
        <w:rPr>
          <w:rFonts w:cs="Arial"/>
          <w:rtl/>
        </w:rPr>
        <w:t>-</w:t>
      </w:r>
      <w:r w:rsidRPr="00A5037E">
        <w:rPr>
          <w:rFonts w:cs="Arial"/>
          <w:rtl/>
        </w:rPr>
        <w:t xml:space="preserve"> וקוראין לו יוסף, היאך מגרשין נשותיהן? עמד ר"ג והתקין, שיהו כותבין איש פלוני וכל שום שיש לו, אשה פלונית וכל שום שיש </w:t>
      </w:r>
      <w:r w:rsidRPr="00A5037E">
        <w:rPr>
          <w:rFonts w:cs="Arial"/>
          <w:rtl/>
        </w:rPr>
        <w:lastRenderedPageBreak/>
        <w:t xml:space="preserve">לה, מפני תיקון העולם. </w:t>
      </w:r>
      <w:r w:rsidRPr="00A5037E">
        <w:rPr>
          <w:rFonts w:cs="Arial"/>
          <w:u w:val="single"/>
          <w:rtl/>
        </w:rPr>
        <w:t>אמר רב אשי</w:t>
      </w:r>
      <w:r w:rsidRPr="00A5037E">
        <w:rPr>
          <w:rFonts w:cs="Arial"/>
          <w:rtl/>
        </w:rPr>
        <w:t>: והוא דאתחזק בתרי שמי</w:t>
      </w:r>
      <w:r>
        <w:rPr>
          <w:rStyle w:val="a7"/>
          <w:rFonts w:cs="Arial"/>
          <w:rtl/>
        </w:rPr>
        <w:footnoteReference w:id="1046"/>
      </w:r>
      <w:r w:rsidRPr="00A5037E">
        <w:rPr>
          <w:rFonts w:cs="Arial"/>
          <w:rtl/>
        </w:rPr>
        <w:t>.</w:t>
      </w:r>
      <w:r w:rsidRPr="00A5037E">
        <w:rPr>
          <w:rtl/>
        </w:rPr>
        <w:t xml:space="preserve"> </w:t>
      </w:r>
      <w:r w:rsidRPr="00A5037E">
        <w:rPr>
          <w:rFonts w:cs="Arial"/>
          <w:rtl/>
        </w:rPr>
        <w:t xml:space="preserve">תניא כוותיה דרב אשי: היו לו שתי נשים </w:t>
      </w:r>
      <w:r w:rsidR="00A82951">
        <w:rPr>
          <w:rFonts w:cs="Arial"/>
          <w:rtl/>
        </w:rPr>
        <w:t>-</w:t>
      </w:r>
      <w:r w:rsidRPr="00A5037E">
        <w:rPr>
          <w:rFonts w:cs="Arial"/>
          <w:rtl/>
        </w:rPr>
        <w:t xml:space="preserve"> אחת ביהודה ואחת בגליל, ולו שני שמות </w:t>
      </w:r>
      <w:r w:rsidR="00A82951">
        <w:rPr>
          <w:rFonts w:cs="Arial"/>
          <w:rtl/>
        </w:rPr>
        <w:t>-</w:t>
      </w:r>
      <w:r w:rsidRPr="00A5037E">
        <w:rPr>
          <w:rFonts w:cs="Arial"/>
          <w:rtl/>
        </w:rPr>
        <w:t xml:space="preserve"> אחד ביהודה ואחד בגליל, וגרש את אשתו שביהודה בשמו שביהודה, ואת אשתו שבגליל בשמו שבגליל </w:t>
      </w:r>
      <w:r w:rsidR="00A82951">
        <w:rPr>
          <w:rFonts w:cs="Arial"/>
          <w:rtl/>
        </w:rPr>
        <w:t>-</w:t>
      </w:r>
      <w:r w:rsidRPr="00A5037E">
        <w:rPr>
          <w:rFonts w:cs="Arial"/>
          <w:rtl/>
        </w:rPr>
        <w:t xml:space="preserve"> אינה מגורשת, עד שיגרש את אשתו שביהודה בשמו שביהודה ושם דגליל עמו, ואת אשתו שבגליל בשמו שבגליל ושם דיהודה עמו</w:t>
      </w:r>
      <w:r>
        <w:rPr>
          <w:rFonts w:cs="Arial" w:hint="cs"/>
          <w:rtl/>
        </w:rPr>
        <w:t>.</w:t>
      </w:r>
      <w:r w:rsidRPr="00A5037E">
        <w:rPr>
          <w:rFonts w:cs="Arial"/>
          <w:rtl/>
        </w:rPr>
        <w:t xml:space="preserve"> יצא למקום אחר</w:t>
      </w:r>
      <w:r w:rsidR="000653A7">
        <w:rPr>
          <w:rStyle w:val="a7"/>
          <w:rFonts w:cs="Arial"/>
          <w:rtl/>
        </w:rPr>
        <w:footnoteReference w:id="1047"/>
      </w:r>
      <w:r w:rsidRPr="00A5037E">
        <w:rPr>
          <w:rFonts w:cs="Arial"/>
          <w:rtl/>
        </w:rPr>
        <w:t xml:space="preserve"> וגרש באחד מהן </w:t>
      </w:r>
      <w:r w:rsidR="00A82951">
        <w:rPr>
          <w:rFonts w:cs="Arial"/>
          <w:rtl/>
        </w:rPr>
        <w:t>-</w:t>
      </w:r>
      <w:r w:rsidRPr="00A5037E">
        <w:rPr>
          <w:rFonts w:cs="Arial"/>
          <w:rtl/>
        </w:rPr>
        <w:t xml:space="preserve"> מגורשת</w:t>
      </w:r>
      <w:r w:rsidR="000653A7">
        <w:rPr>
          <w:rStyle w:val="a7"/>
          <w:rFonts w:cs="Arial"/>
          <w:rtl/>
        </w:rPr>
        <w:footnoteReference w:id="1048"/>
      </w:r>
      <w:r>
        <w:rPr>
          <w:rFonts w:cs="Arial" w:hint="cs"/>
          <w:rtl/>
        </w:rPr>
        <w:t>.</w:t>
      </w:r>
      <w:r w:rsidRPr="00A5037E">
        <w:rPr>
          <w:rFonts w:cs="Arial"/>
          <w:rtl/>
        </w:rPr>
        <w:t xml:space="preserve"> והאמרת: שם דגליל עמו! אלא שמע מינה: הא דאתחזק, הא דלא אתחזק, שמע מינה.</w:t>
      </w:r>
      <w:r>
        <w:rPr>
          <w:rFonts w:cs="Arial"/>
          <w:rtl/>
        </w:rPr>
        <w:t xml:space="preserve"> </w:t>
      </w:r>
    </w:p>
    <w:p w14:paraId="1BA01239" w14:textId="4601D25D" w:rsidR="00FA2119" w:rsidRDefault="00FA2119" w:rsidP="00FA2119">
      <w:pPr>
        <w:rPr>
          <w:rtl/>
        </w:rPr>
      </w:pPr>
      <w:r w:rsidRPr="00837E79">
        <w:rPr>
          <w:rFonts w:hint="cs"/>
          <w:b/>
          <w:bCs/>
          <w:rtl/>
        </w:rPr>
        <w:t xml:space="preserve">גיטין </w:t>
      </w:r>
      <w:r w:rsidRPr="00837E79">
        <w:rPr>
          <w:rFonts w:hint="cs"/>
          <w:b/>
          <w:bCs/>
          <w:sz w:val="16"/>
          <w:szCs w:val="16"/>
          <w:rtl/>
        </w:rPr>
        <w:t>(</w:t>
      </w:r>
      <w:r>
        <w:rPr>
          <w:rFonts w:hint="cs"/>
          <w:b/>
          <w:bCs/>
          <w:sz w:val="16"/>
          <w:szCs w:val="16"/>
          <w:rtl/>
        </w:rPr>
        <w:t>ס"</w:t>
      </w:r>
      <w:r w:rsidRPr="00837E79">
        <w:rPr>
          <w:rFonts w:hint="cs"/>
          <w:b/>
          <w:bCs/>
          <w:sz w:val="16"/>
          <w:szCs w:val="16"/>
          <w:rtl/>
        </w:rPr>
        <w:t>פ</w:t>
      </w:r>
      <w:r>
        <w:rPr>
          <w:rFonts w:hint="cs"/>
          <w:b/>
          <w:bCs/>
          <w:sz w:val="16"/>
          <w:szCs w:val="16"/>
          <w:rtl/>
        </w:rPr>
        <w:t xml:space="preserve"> הזורק</w:t>
      </w:r>
      <w:r w:rsidRPr="00837E79">
        <w:rPr>
          <w:rFonts w:hint="cs"/>
          <w:b/>
          <w:bCs/>
          <w:sz w:val="16"/>
          <w:szCs w:val="16"/>
          <w:rtl/>
        </w:rPr>
        <w:t xml:space="preserve">) </w:t>
      </w:r>
      <w:r>
        <w:rPr>
          <w:rFonts w:hint="cs"/>
          <w:b/>
          <w:bCs/>
          <w:rtl/>
        </w:rPr>
        <w:t>פ</w:t>
      </w:r>
      <w:r w:rsidRPr="00837E79">
        <w:rPr>
          <w:rFonts w:hint="cs"/>
          <w:b/>
          <w:bCs/>
          <w:rtl/>
        </w:rPr>
        <w:t xml:space="preserve"> ע"</w:t>
      </w:r>
      <w:r>
        <w:rPr>
          <w:rFonts w:hint="cs"/>
          <w:b/>
          <w:bCs/>
          <w:rtl/>
        </w:rPr>
        <w:t>א</w:t>
      </w:r>
      <w:r w:rsidRPr="00837E79">
        <w:rPr>
          <w:rFonts w:hint="cs"/>
          <w:b/>
          <w:bCs/>
          <w:rtl/>
        </w:rPr>
        <w:t>:</w:t>
      </w:r>
      <w:r>
        <w:rPr>
          <w:rFonts w:hint="cs"/>
          <w:rtl/>
        </w:rPr>
        <w:t xml:space="preserve"> </w:t>
      </w:r>
      <w:r w:rsidRPr="009132FC">
        <w:rPr>
          <w:rFonts w:cs="Arial"/>
          <w:u w:val="double"/>
          <w:rtl/>
        </w:rPr>
        <w:t>מתני'</w:t>
      </w:r>
      <w:r>
        <w:rPr>
          <w:rFonts w:cs="Arial" w:hint="cs"/>
          <w:rtl/>
        </w:rPr>
        <w:t xml:space="preserve">:... </w:t>
      </w:r>
      <w:r w:rsidRPr="00E37813">
        <w:rPr>
          <w:rFonts w:cs="Arial"/>
          <w:rtl/>
        </w:rPr>
        <w:t>שינה שמו ושמה, שם עירו ושם עירה</w:t>
      </w:r>
      <w:r>
        <w:rPr>
          <w:rStyle w:val="a7"/>
          <w:rFonts w:cs="Arial"/>
          <w:rtl/>
        </w:rPr>
        <w:footnoteReference w:id="1049"/>
      </w:r>
      <w:r w:rsidRPr="00E37813">
        <w:rPr>
          <w:rFonts w:cs="Arial"/>
          <w:rtl/>
        </w:rPr>
        <w:t xml:space="preserve"> </w:t>
      </w:r>
      <w:r w:rsidR="00A82951">
        <w:rPr>
          <w:rFonts w:cs="Arial"/>
          <w:rtl/>
        </w:rPr>
        <w:t>-</w:t>
      </w:r>
      <w:r w:rsidRPr="00E37813">
        <w:rPr>
          <w:rFonts w:cs="Arial"/>
          <w:rtl/>
        </w:rPr>
        <w:t xml:space="preserve"> תצא מזה ומזה, וכל הדרכים האלו בה.</w:t>
      </w:r>
      <w:r>
        <w:rPr>
          <w:rFonts w:cs="Arial" w:hint="cs"/>
          <w:rtl/>
        </w:rPr>
        <w:t xml:space="preserve">..  </w:t>
      </w:r>
      <w:r w:rsidRPr="0009276E">
        <w:rPr>
          <w:rFonts w:cs="Arial"/>
          <w:u w:val="double"/>
          <w:rtl/>
        </w:rPr>
        <w:t>גמ'</w:t>
      </w:r>
      <w:r>
        <w:rPr>
          <w:rFonts w:cs="Arial" w:hint="cs"/>
          <w:sz w:val="14"/>
          <w:szCs w:val="14"/>
          <w:u w:val="double"/>
          <w:rtl/>
        </w:rPr>
        <w:t>(פ:)</w:t>
      </w:r>
      <w:r w:rsidRPr="0009276E">
        <w:rPr>
          <w:rFonts w:cs="Arial" w:hint="cs"/>
          <w:u w:val="double"/>
          <w:rtl/>
        </w:rPr>
        <w:t>:</w:t>
      </w:r>
      <w:r w:rsidRPr="00E37813">
        <w:rPr>
          <w:rFonts w:cs="Arial"/>
          <w:rtl/>
        </w:rPr>
        <w:t xml:space="preserve"> </w:t>
      </w:r>
      <w:r w:rsidRPr="005202D4">
        <w:rPr>
          <w:rFonts w:cs="Arial"/>
          <w:u w:val="single"/>
          <w:rtl/>
        </w:rPr>
        <w:t>אמר ר' אבא אמר רב הונא אמר רב</w:t>
      </w:r>
      <w:r w:rsidRPr="005202D4">
        <w:rPr>
          <w:rFonts w:cs="Arial"/>
          <w:rtl/>
        </w:rPr>
        <w:t>:</w:t>
      </w:r>
      <w:r>
        <w:rPr>
          <w:rFonts w:cs="Arial" w:hint="cs"/>
          <w:rtl/>
        </w:rPr>
        <w:t>...</w:t>
      </w:r>
      <w:r w:rsidRPr="005202D4">
        <w:rPr>
          <w:rFonts w:cs="Arial"/>
          <w:rtl/>
        </w:rPr>
        <w:t xml:space="preserve"> ומודים חכמים לר"מ, שאם שינה שמו ושמה, שם עירו ושם עירה </w:t>
      </w:r>
      <w:r w:rsidR="00A82951">
        <w:rPr>
          <w:rFonts w:cs="Arial"/>
          <w:rtl/>
        </w:rPr>
        <w:t>-</w:t>
      </w:r>
      <w:r w:rsidRPr="005202D4">
        <w:rPr>
          <w:rFonts w:cs="Arial"/>
          <w:rtl/>
        </w:rPr>
        <w:t xml:space="preserve"> שהולד ממזר. </w:t>
      </w:r>
      <w:r>
        <w:rPr>
          <w:rFonts w:cs="Arial" w:hint="cs"/>
          <w:sz w:val="16"/>
          <w:szCs w:val="16"/>
          <w:rtl/>
        </w:rPr>
        <w:t>(</w:t>
      </w:r>
      <w:r w:rsidRPr="00344EBB">
        <w:rPr>
          <w:rFonts w:cs="Arial"/>
          <w:sz w:val="16"/>
          <w:szCs w:val="16"/>
          <w:rtl/>
        </w:rPr>
        <w:t>ופירשו שם התוספות (פ. ד"ה שינה) דהא דקתני שינה שמו ושמה לאו שינוי ממש קאמר</w:t>
      </w:r>
      <w:r w:rsidRPr="00344EBB">
        <w:rPr>
          <w:rFonts w:cs="Arial" w:hint="cs"/>
          <w:sz w:val="16"/>
          <w:szCs w:val="16"/>
          <w:rtl/>
        </w:rPr>
        <w:t>,</w:t>
      </w:r>
      <w:r w:rsidRPr="00344EBB">
        <w:rPr>
          <w:rFonts w:cs="Arial"/>
          <w:sz w:val="16"/>
          <w:szCs w:val="16"/>
          <w:rtl/>
        </w:rPr>
        <w:t xml:space="preserve"> אלא כגון שהלך מיהודה לגליל ושמו יוסי וקורין לו יוחנן</w:t>
      </w:r>
      <w:r w:rsidRPr="00344EBB">
        <w:rPr>
          <w:rFonts w:cs="Arial" w:hint="cs"/>
          <w:sz w:val="16"/>
          <w:szCs w:val="16"/>
          <w:rtl/>
        </w:rPr>
        <w:t>.</w:t>
      </w:r>
      <w:r w:rsidRPr="00344EBB">
        <w:rPr>
          <w:rFonts w:cs="Arial"/>
          <w:sz w:val="16"/>
          <w:szCs w:val="16"/>
          <w:rtl/>
        </w:rPr>
        <w:t xml:space="preserve"> וכ</w:t>
      </w:r>
      <w:r w:rsidRPr="00344EBB">
        <w:rPr>
          <w:rFonts w:cs="Arial" w:hint="cs"/>
          <w:sz w:val="16"/>
          <w:szCs w:val="16"/>
          <w:rtl/>
        </w:rPr>
        <w:t>"</w:t>
      </w:r>
      <w:r w:rsidRPr="00344EBB">
        <w:rPr>
          <w:rFonts w:cs="Arial"/>
          <w:sz w:val="16"/>
          <w:szCs w:val="16"/>
          <w:rtl/>
        </w:rPr>
        <w:t>כ הר"ן (מא: ד"ה שינה)</w:t>
      </w:r>
      <w:r w:rsidRPr="00344EBB">
        <w:rPr>
          <w:rFonts w:cs="Arial" w:hint="cs"/>
          <w:sz w:val="16"/>
          <w:szCs w:val="16"/>
          <w:rtl/>
        </w:rPr>
        <w:t>.</w:t>
      </w:r>
      <w:r w:rsidRPr="00344EBB">
        <w:rPr>
          <w:rFonts w:cs="Arial"/>
          <w:sz w:val="16"/>
          <w:szCs w:val="16"/>
          <w:rtl/>
        </w:rPr>
        <w:t xml:space="preserve"> וכ</w:t>
      </w:r>
      <w:r w:rsidRPr="00344EBB">
        <w:rPr>
          <w:rFonts w:cs="Arial" w:hint="cs"/>
          <w:sz w:val="16"/>
          <w:szCs w:val="16"/>
          <w:rtl/>
        </w:rPr>
        <w:t>"</w:t>
      </w:r>
      <w:r w:rsidRPr="00344EBB">
        <w:rPr>
          <w:rFonts w:cs="Arial"/>
          <w:sz w:val="16"/>
          <w:szCs w:val="16"/>
          <w:rtl/>
        </w:rPr>
        <w:t>כ הרא"ש בהשולח (סי' ז) דבהכי מיירי שינה שמו</w:t>
      </w:r>
      <w:r w:rsidRPr="00344EBB">
        <w:rPr>
          <w:rFonts w:cs="Arial" w:hint="cs"/>
          <w:sz w:val="16"/>
          <w:szCs w:val="16"/>
          <w:rtl/>
        </w:rPr>
        <w:t>,</w:t>
      </w:r>
      <w:r w:rsidRPr="00344EBB">
        <w:rPr>
          <w:rFonts w:cs="Arial"/>
          <w:sz w:val="16"/>
          <w:szCs w:val="16"/>
          <w:rtl/>
        </w:rPr>
        <w:t xml:space="preserve"> וכתבתיו בסמוך</w:t>
      </w:r>
      <w:r w:rsidRPr="00344EBB">
        <w:rPr>
          <w:rFonts w:cs="Arial" w:hint="cs"/>
          <w:sz w:val="16"/>
          <w:szCs w:val="16"/>
          <w:rtl/>
        </w:rPr>
        <w:t>.</w:t>
      </w:r>
      <w:r w:rsidRPr="00344EBB">
        <w:rPr>
          <w:rFonts w:cs="Arial"/>
          <w:sz w:val="16"/>
          <w:szCs w:val="16"/>
          <w:rtl/>
        </w:rPr>
        <w:t xml:space="preserve"> וכן נראה מדברי רש"י שם (לד: ד"ה מתני')</w:t>
      </w:r>
      <w:r w:rsidRPr="00344EBB">
        <w:rPr>
          <w:rFonts w:cs="Arial" w:hint="cs"/>
          <w:sz w:val="16"/>
          <w:szCs w:val="16"/>
          <w:rtl/>
        </w:rPr>
        <w:t>.</w:t>
      </w:r>
      <w:r w:rsidRPr="00344EBB">
        <w:rPr>
          <w:rFonts w:cs="Arial"/>
          <w:sz w:val="16"/>
          <w:szCs w:val="16"/>
          <w:rtl/>
        </w:rPr>
        <w:t xml:space="preserve"> וכן כתוב בסמ"ג (עשין נ קלא.)</w:t>
      </w:r>
      <w:r w:rsidRPr="00344EBB">
        <w:rPr>
          <w:rFonts w:cs="Arial" w:hint="cs"/>
          <w:sz w:val="16"/>
          <w:szCs w:val="16"/>
          <w:rtl/>
        </w:rPr>
        <w:t>.</w:t>
      </w:r>
      <w:r w:rsidRPr="00344EBB">
        <w:rPr>
          <w:rFonts w:cs="Arial"/>
          <w:sz w:val="16"/>
          <w:szCs w:val="16"/>
          <w:rtl/>
        </w:rPr>
        <w:t xml:space="preserve"> וכן כתוב בספר התרומה (סי' קכו) דמתניתין דשינה שמו ושמה וכו' לא בשינוי השם ממש היא</w:t>
      </w:r>
      <w:r w:rsidRPr="00344EBB">
        <w:rPr>
          <w:rFonts w:cs="Arial" w:hint="cs"/>
          <w:sz w:val="16"/>
          <w:szCs w:val="16"/>
          <w:rtl/>
        </w:rPr>
        <w:t>,</w:t>
      </w:r>
      <w:r w:rsidRPr="00344EBB">
        <w:rPr>
          <w:rFonts w:cs="Arial"/>
          <w:sz w:val="16"/>
          <w:szCs w:val="16"/>
          <w:rtl/>
        </w:rPr>
        <w:t xml:space="preserve"> דהא פשיטא שהגט פסול שלא נכתב לשם בעלה כלל</w:t>
      </w:r>
      <w:r w:rsidRPr="00344EBB">
        <w:rPr>
          <w:rFonts w:cs="Arial" w:hint="cs"/>
          <w:sz w:val="16"/>
          <w:szCs w:val="16"/>
          <w:rtl/>
        </w:rPr>
        <w:t>,</w:t>
      </w:r>
      <w:r w:rsidRPr="00344EBB">
        <w:rPr>
          <w:rFonts w:cs="Arial"/>
          <w:sz w:val="16"/>
          <w:szCs w:val="16"/>
          <w:rtl/>
        </w:rPr>
        <w:t xml:space="preserve"> אלא בפיסולא דרבנן מיירי שלא כתב שם דיהודה ושם דגליל עמו עכ</w:t>
      </w:r>
      <w:r w:rsidRPr="00344EBB">
        <w:rPr>
          <w:rFonts w:cs="Arial" w:hint="cs"/>
          <w:sz w:val="16"/>
          <w:szCs w:val="16"/>
          <w:rtl/>
        </w:rPr>
        <w:t>"ל...</w:t>
      </w:r>
      <w:r w:rsidRPr="00344EBB">
        <w:rPr>
          <w:rFonts w:cs="Arial"/>
          <w:sz w:val="16"/>
          <w:szCs w:val="16"/>
          <w:rtl/>
        </w:rPr>
        <w:t xml:space="preserve"> ולפי זה הא דתניא בהשולח (לד:) היו לו שתי נשים אחת ביהודה ואחת בגליל וכו' אינה מגורשת היינו מדרבנן</w:t>
      </w:r>
      <w:r w:rsidRPr="00344EBB">
        <w:rPr>
          <w:rFonts w:cs="Arial" w:hint="cs"/>
          <w:sz w:val="16"/>
          <w:szCs w:val="16"/>
          <w:rtl/>
        </w:rPr>
        <w:t>, ב"י)</w:t>
      </w:r>
      <w:r>
        <w:rPr>
          <w:rFonts w:cs="Arial"/>
          <w:rtl/>
        </w:rPr>
        <w:t xml:space="preserve"> </w:t>
      </w:r>
    </w:p>
    <w:p w14:paraId="66E7D777" w14:textId="77777777" w:rsidR="00FA2119" w:rsidRPr="00344D0B" w:rsidRDefault="00FA2119" w:rsidP="00FA2119">
      <w:pPr>
        <w:rPr>
          <w:u w:val="single"/>
          <w:rtl/>
        </w:rPr>
      </w:pPr>
      <w:r w:rsidRPr="00344D0B">
        <w:rPr>
          <w:rFonts w:cs="Arial"/>
          <w:u w:val="single"/>
          <w:rtl/>
        </w:rPr>
        <w:t>שינה שמו או שמה</w:t>
      </w:r>
      <w:r w:rsidRPr="00344D0B">
        <w:rPr>
          <w:rFonts w:hint="cs"/>
          <w:u w:val="single"/>
          <w:rtl/>
        </w:rPr>
        <w:t>:</w:t>
      </w:r>
    </w:p>
    <w:p w14:paraId="6741EA5D" w14:textId="4C559A74" w:rsidR="00FA2119" w:rsidRPr="00344EBB" w:rsidRDefault="00FA2119" w:rsidP="00FA2119">
      <w:pPr>
        <w:pStyle w:val="ab"/>
        <w:numPr>
          <w:ilvl w:val="0"/>
          <w:numId w:val="70"/>
        </w:numPr>
        <w:rPr>
          <w:rtl/>
        </w:rPr>
      </w:pPr>
      <w:r w:rsidRPr="00344D0B">
        <w:rPr>
          <w:rFonts w:cs="Arial" w:hint="cs"/>
          <w:rtl/>
        </w:rPr>
        <w:t>רמב"ם</w:t>
      </w:r>
      <w:r w:rsidRPr="00344D0B">
        <w:rPr>
          <w:rFonts w:cs="Arial" w:hint="cs"/>
          <w:sz w:val="16"/>
          <w:szCs w:val="16"/>
          <w:rtl/>
        </w:rPr>
        <w:t xml:space="preserve"> (פ"ג הי"ד)</w:t>
      </w:r>
      <w:r w:rsidR="00A82951">
        <w:rPr>
          <w:rFonts w:cs="Arial" w:hint="cs"/>
          <w:rtl/>
        </w:rPr>
        <w:t>-</w:t>
      </w:r>
      <w:r w:rsidRPr="00344D0B">
        <w:rPr>
          <w:rFonts w:cs="Arial" w:hint="cs"/>
          <w:rtl/>
        </w:rPr>
        <w:t xml:space="preserve"> </w:t>
      </w:r>
      <w:r w:rsidRPr="00344D0B">
        <w:rPr>
          <w:rFonts w:cs="Arial"/>
          <w:rtl/>
        </w:rPr>
        <w:t>שינה שמו או שמה</w:t>
      </w:r>
      <w:r w:rsidR="00B53EFB">
        <w:rPr>
          <w:rFonts w:cs="Arial" w:hint="cs"/>
          <w:rtl/>
        </w:rPr>
        <w:t>,</w:t>
      </w:r>
      <w:r w:rsidRPr="00344D0B">
        <w:rPr>
          <w:rFonts w:cs="Arial"/>
          <w:rtl/>
        </w:rPr>
        <w:t xml:space="preserve"> ושם עירו או שם עירה</w:t>
      </w:r>
      <w:r>
        <w:rPr>
          <w:rFonts w:cs="Arial" w:hint="cs"/>
          <w:rtl/>
        </w:rPr>
        <w:t>,</w:t>
      </w:r>
      <w:r w:rsidRPr="00344D0B">
        <w:rPr>
          <w:rFonts w:cs="Arial"/>
          <w:rtl/>
        </w:rPr>
        <w:t xml:space="preserve"> אע</w:t>
      </w:r>
      <w:r>
        <w:rPr>
          <w:rFonts w:cs="Arial" w:hint="cs"/>
          <w:rtl/>
        </w:rPr>
        <w:t>"</w:t>
      </w:r>
      <w:r w:rsidRPr="00344D0B">
        <w:rPr>
          <w:rFonts w:cs="Arial"/>
          <w:rtl/>
        </w:rPr>
        <w:t xml:space="preserve">פ שכתב כל שם שיש לו וכל שם שיש לה </w:t>
      </w:r>
      <w:r w:rsidR="00A82951">
        <w:rPr>
          <w:rFonts w:cs="Arial" w:hint="cs"/>
          <w:rtl/>
        </w:rPr>
        <w:t>-</w:t>
      </w:r>
      <w:r>
        <w:rPr>
          <w:rFonts w:cs="Arial" w:hint="cs"/>
          <w:rtl/>
        </w:rPr>
        <w:t xml:space="preserve"> </w:t>
      </w:r>
      <w:r w:rsidRPr="00344D0B">
        <w:rPr>
          <w:rFonts w:cs="Arial"/>
          <w:rtl/>
        </w:rPr>
        <w:t>אינו גט</w:t>
      </w:r>
      <w:r>
        <w:rPr>
          <w:rStyle w:val="a7"/>
          <w:rFonts w:cs="Arial"/>
          <w:rtl/>
        </w:rPr>
        <w:footnoteReference w:id="1050"/>
      </w:r>
      <w:r w:rsidRPr="00344D0B">
        <w:rPr>
          <w:rFonts w:cs="Arial"/>
          <w:rtl/>
        </w:rPr>
        <w:t>.</w:t>
      </w:r>
      <w:r>
        <w:rPr>
          <w:rFonts w:hint="cs"/>
          <w:rtl/>
        </w:rPr>
        <w:t xml:space="preserve"> </w:t>
      </w:r>
      <w:r w:rsidRPr="00344D0B">
        <w:rPr>
          <w:rFonts w:hint="cs"/>
          <w:color w:val="E36C0A" w:themeColor="accent6" w:themeShade="BF"/>
          <w:rtl/>
        </w:rPr>
        <w:t>(וכ"פ בשו"ע)</w:t>
      </w:r>
    </w:p>
    <w:p w14:paraId="66C8CE78" w14:textId="598AABB7" w:rsidR="00FA2119" w:rsidRDefault="00FA2119" w:rsidP="00FA2119">
      <w:pPr>
        <w:rPr>
          <w:rFonts w:cs="Arial"/>
          <w:rtl/>
        </w:rPr>
      </w:pPr>
      <w:r w:rsidRPr="008F4272">
        <w:rPr>
          <w:rFonts w:cs="Arial" w:hint="cs"/>
          <w:u w:val="single"/>
          <w:rtl/>
        </w:rPr>
        <w:t xml:space="preserve">יש לו שם אחד במקום הכתיבה, ושם אחר במקום הנתינה </w:t>
      </w:r>
      <w:r w:rsidR="00A82951">
        <w:rPr>
          <w:rFonts w:cs="Arial"/>
          <w:u w:val="single"/>
          <w:rtl/>
        </w:rPr>
        <w:t>-</w:t>
      </w:r>
      <w:r w:rsidRPr="008F4272">
        <w:rPr>
          <w:rFonts w:cs="Arial" w:hint="cs"/>
          <w:u w:val="single"/>
          <w:rtl/>
        </w:rPr>
        <w:t xml:space="preserve"> </w:t>
      </w:r>
      <w:r>
        <w:rPr>
          <w:rFonts w:cs="Arial" w:hint="cs"/>
          <w:u w:val="single"/>
          <w:rtl/>
        </w:rPr>
        <w:t>כיצד יכתוב גט</w:t>
      </w:r>
      <w:r w:rsidRPr="008F4272">
        <w:rPr>
          <w:rFonts w:cs="Arial" w:hint="cs"/>
          <w:u w:val="single"/>
          <w:rtl/>
        </w:rPr>
        <w:t>:</w:t>
      </w:r>
    </w:p>
    <w:p w14:paraId="40A5C5E2" w14:textId="1DE140C7" w:rsidR="00FA2119" w:rsidRDefault="00FA2119" w:rsidP="00FA2119">
      <w:pPr>
        <w:pStyle w:val="ab"/>
        <w:numPr>
          <w:ilvl w:val="0"/>
          <w:numId w:val="70"/>
        </w:numPr>
        <w:rPr>
          <w:rFonts w:cs="Arial"/>
        </w:rPr>
      </w:pPr>
      <w:r>
        <w:rPr>
          <w:rFonts w:cs="Arial"/>
          <w:rtl/>
        </w:rPr>
        <w:t xml:space="preserve">תרומה </w:t>
      </w:r>
      <w:r w:rsidRPr="00DE5896">
        <w:rPr>
          <w:rFonts w:cs="Arial"/>
          <w:sz w:val="16"/>
          <w:szCs w:val="16"/>
          <w:rtl/>
        </w:rPr>
        <w:t xml:space="preserve">(סי' קכז) </w:t>
      </w:r>
      <w:r>
        <w:rPr>
          <w:rFonts w:cs="Arial"/>
          <w:rtl/>
        </w:rPr>
        <w:t xml:space="preserve">סמ"ג </w:t>
      </w:r>
      <w:r w:rsidRPr="00DE5896">
        <w:rPr>
          <w:rFonts w:cs="Arial"/>
          <w:sz w:val="16"/>
          <w:szCs w:val="16"/>
          <w:rtl/>
        </w:rPr>
        <w:t xml:space="preserve">(עשין נ) </w:t>
      </w:r>
      <w:r>
        <w:rPr>
          <w:rFonts w:cs="Arial" w:hint="cs"/>
          <w:rtl/>
        </w:rPr>
        <w:t xml:space="preserve">רשב"א </w:t>
      </w:r>
      <w:r w:rsidRPr="00DE5896">
        <w:rPr>
          <w:rFonts w:cs="Arial"/>
          <w:sz w:val="16"/>
          <w:szCs w:val="16"/>
          <w:rtl/>
        </w:rPr>
        <w:t>(לד: ד"ה גמ')</w:t>
      </w:r>
      <w:r>
        <w:rPr>
          <w:rFonts w:cs="Arial" w:hint="cs"/>
          <w:rtl/>
        </w:rPr>
        <w:t xml:space="preserve"> רא"ש </w:t>
      </w:r>
      <w:r>
        <w:rPr>
          <w:rFonts w:cs="Arial" w:hint="cs"/>
          <w:sz w:val="16"/>
          <w:szCs w:val="16"/>
          <w:rtl/>
        </w:rPr>
        <w:t>(פ"ד סי' ז)</w:t>
      </w:r>
      <w:r>
        <w:rPr>
          <w:rFonts w:cs="Arial" w:hint="cs"/>
          <w:rtl/>
        </w:rPr>
        <w:t xml:space="preserve"> הה"מ </w:t>
      </w:r>
      <w:r w:rsidRPr="00DE5896">
        <w:rPr>
          <w:rFonts w:cs="Arial" w:hint="cs"/>
          <w:sz w:val="16"/>
          <w:szCs w:val="16"/>
          <w:rtl/>
        </w:rPr>
        <w:t>(</w:t>
      </w:r>
      <w:r w:rsidRPr="00DE5896">
        <w:rPr>
          <w:rFonts w:cs="Arial"/>
          <w:sz w:val="16"/>
          <w:szCs w:val="16"/>
          <w:rtl/>
        </w:rPr>
        <w:t>פ</w:t>
      </w:r>
      <w:r w:rsidRPr="00DE5896">
        <w:rPr>
          <w:rFonts w:cs="Arial" w:hint="cs"/>
          <w:sz w:val="16"/>
          <w:szCs w:val="16"/>
          <w:rtl/>
        </w:rPr>
        <w:t>"</w:t>
      </w:r>
      <w:r w:rsidRPr="00DE5896">
        <w:rPr>
          <w:rFonts w:cs="Arial"/>
          <w:sz w:val="16"/>
          <w:szCs w:val="16"/>
          <w:rtl/>
        </w:rPr>
        <w:t>ג הי"ג)</w:t>
      </w:r>
      <w:r>
        <w:rPr>
          <w:rFonts w:cs="Arial" w:hint="cs"/>
          <w:rtl/>
        </w:rPr>
        <w:t xml:space="preserve"> </w:t>
      </w:r>
      <w:r>
        <w:rPr>
          <w:rFonts w:hint="cs"/>
          <w:rtl/>
        </w:rPr>
        <w:t>טור</w:t>
      </w:r>
      <w:r w:rsidRPr="007F40F5">
        <w:rPr>
          <w:rFonts w:cs="Arial" w:hint="cs"/>
          <w:rtl/>
        </w:rPr>
        <w:t xml:space="preserve"> </w:t>
      </w:r>
      <w:r>
        <w:rPr>
          <w:rFonts w:cs="Arial" w:hint="cs"/>
          <w:rtl/>
        </w:rPr>
        <w:t>ור"ן</w:t>
      </w:r>
      <w:r>
        <w:rPr>
          <w:rFonts w:cs="Arial" w:hint="cs"/>
          <w:sz w:val="16"/>
          <w:szCs w:val="16"/>
          <w:rtl/>
        </w:rPr>
        <w:t xml:space="preserve"> </w:t>
      </w:r>
      <w:r w:rsidRPr="00DE5896">
        <w:rPr>
          <w:rFonts w:cs="Arial"/>
          <w:sz w:val="16"/>
          <w:szCs w:val="16"/>
          <w:rtl/>
        </w:rPr>
        <w:t>(יז: ד"ה ואין זה)</w:t>
      </w:r>
      <w:r w:rsidR="00A82951">
        <w:rPr>
          <w:rFonts w:hint="cs"/>
          <w:rtl/>
        </w:rPr>
        <w:t>-</w:t>
      </w:r>
      <w:r w:rsidRPr="007F40F5">
        <w:rPr>
          <w:rFonts w:cs="Arial" w:hint="cs"/>
          <w:rtl/>
        </w:rPr>
        <w:t xml:space="preserve"> </w:t>
      </w:r>
      <w:r>
        <w:rPr>
          <w:rStyle w:val="a7"/>
          <w:rFonts w:cs="Arial"/>
          <w:rtl/>
        </w:rPr>
        <w:footnoteReference w:id="1051"/>
      </w:r>
      <w:r w:rsidRPr="007F40F5">
        <w:rPr>
          <w:rFonts w:cs="Arial"/>
          <w:rtl/>
        </w:rPr>
        <w:t>אם עומד במקום אחד ומגרש במקום אחר</w:t>
      </w:r>
      <w:r w:rsidRPr="007F40F5">
        <w:rPr>
          <w:rFonts w:cs="Arial" w:hint="cs"/>
          <w:rtl/>
        </w:rPr>
        <w:t>, ו</w:t>
      </w:r>
      <w:r w:rsidRPr="007F40F5">
        <w:rPr>
          <w:rFonts w:cs="Arial"/>
          <w:rtl/>
        </w:rPr>
        <w:t>הוחזק בשני המקומות באלו שני השמות</w:t>
      </w:r>
      <w:r w:rsidRPr="007F40F5">
        <w:rPr>
          <w:rFonts w:cs="Arial" w:hint="cs"/>
          <w:rtl/>
        </w:rPr>
        <w:t>,</w:t>
      </w:r>
      <w:r w:rsidRPr="007F40F5">
        <w:rPr>
          <w:rFonts w:cs="Arial"/>
          <w:rtl/>
        </w:rPr>
        <w:t xml:space="preserve"> שידוע הוא שיש לו שני שמות אבל בני מקום זה אין מכירין בשם שיש לו במקום אחר</w:t>
      </w:r>
      <w:r w:rsidRPr="007F40F5">
        <w:rPr>
          <w:rFonts w:cs="Arial" w:hint="cs"/>
          <w:rtl/>
        </w:rPr>
        <w:t xml:space="preserve"> </w:t>
      </w:r>
      <w:r w:rsidR="00A82951">
        <w:rPr>
          <w:rFonts w:cs="Arial" w:hint="cs"/>
          <w:rtl/>
        </w:rPr>
        <w:t>-</w:t>
      </w:r>
      <w:r w:rsidRPr="007F40F5">
        <w:rPr>
          <w:rFonts w:cs="Arial"/>
          <w:rtl/>
        </w:rPr>
        <w:t xml:space="preserve"> צריך לכתוב שניהם</w:t>
      </w:r>
      <w:r w:rsidRPr="007F40F5">
        <w:rPr>
          <w:rFonts w:cs="Arial" w:hint="cs"/>
          <w:rtl/>
        </w:rPr>
        <w:t>.</w:t>
      </w:r>
      <w:r w:rsidRPr="007F40F5">
        <w:rPr>
          <w:rFonts w:cs="Arial"/>
          <w:rtl/>
        </w:rPr>
        <w:t xml:space="preserve"> וכותב שם מקום הנתינה וכל שום וחניכה דאית ליה</w:t>
      </w:r>
      <w:r>
        <w:rPr>
          <w:rFonts w:cs="Arial" w:hint="cs"/>
          <w:sz w:val="16"/>
          <w:szCs w:val="16"/>
          <w:rtl/>
        </w:rPr>
        <w:t xml:space="preserve"> (ל' הטור)</w:t>
      </w:r>
      <w:r w:rsidRPr="007F40F5">
        <w:rPr>
          <w:rFonts w:cs="Arial" w:hint="cs"/>
          <w:rtl/>
        </w:rPr>
        <w:t>.</w:t>
      </w:r>
      <w:r w:rsidRPr="007F40F5">
        <w:rPr>
          <w:rFonts w:cs="Arial"/>
          <w:rtl/>
        </w:rPr>
        <w:t xml:space="preserve"> </w:t>
      </w:r>
      <w:r w:rsidRPr="00344D0B">
        <w:rPr>
          <w:rFonts w:hint="cs"/>
          <w:color w:val="E36C0A" w:themeColor="accent6" w:themeShade="BF"/>
          <w:rtl/>
        </w:rPr>
        <w:t>(וכ"פ בשו"ע</w:t>
      </w:r>
      <w:r>
        <w:rPr>
          <w:rFonts w:hint="cs"/>
          <w:color w:val="E36C0A" w:themeColor="accent6" w:themeShade="BF"/>
          <w:sz w:val="16"/>
          <w:szCs w:val="16"/>
          <w:rtl/>
        </w:rPr>
        <w:t xml:space="preserve"> </w:t>
      </w:r>
      <w:r w:rsidRPr="00722180">
        <w:rPr>
          <w:rFonts w:hint="cs"/>
          <w:color w:val="000000" w:themeColor="text1"/>
          <w:sz w:val="16"/>
          <w:szCs w:val="16"/>
          <w:rtl/>
        </w:rPr>
        <w:t>[</w:t>
      </w:r>
      <w:r>
        <w:rPr>
          <w:rFonts w:hint="cs"/>
          <w:color w:val="000000" w:themeColor="text1"/>
          <w:sz w:val="16"/>
          <w:szCs w:val="16"/>
          <w:rtl/>
        </w:rPr>
        <w:t>בסע' הבא ובסע' יב</w:t>
      </w:r>
      <w:r w:rsidRPr="00722180">
        <w:rPr>
          <w:rFonts w:hint="cs"/>
          <w:color w:val="000000" w:themeColor="text1"/>
          <w:sz w:val="16"/>
          <w:szCs w:val="16"/>
          <w:rtl/>
        </w:rPr>
        <w:t>]</w:t>
      </w:r>
      <w:r w:rsidRPr="00344D0B">
        <w:rPr>
          <w:rFonts w:hint="cs"/>
          <w:color w:val="E36C0A" w:themeColor="accent6" w:themeShade="BF"/>
          <w:rtl/>
        </w:rPr>
        <w:t>)</w:t>
      </w:r>
    </w:p>
    <w:p w14:paraId="32A54558" w14:textId="15703FAD" w:rsidR="00FA2119" w:rsidRPr="007F40F5" w:rsidRDefault="00FA2119" w:rsidP="00FA2119">
      <w:pPr>
        <w:pStyle w:val="ab"/>
        <w:numPr>
          <w:ilvl w:val="0"/>
          <w:numId w:val="70"/>
        </w:numPr>
        <w:rPr>
          <w:rFonts w:cs="Arial"/>
        </w:rPr>
      </w:pPr>
      <w:r w:rsidRPr="00390632">
        <w:rPr>
          <w:rFonts w:cs="Arial"/>
          <w:rtl/>
        </w:rPr>
        <w:t xml:space="preserve">רמ"ה </w:t>
      </w:r>
      <w:r w:rsidRPr="00BD3D8D">
        <w:rPr>
          <w:rFonts w:cs="Arial"/>
          <w:sz w:val="16"/>
          <w:szCs w:val="16"/>
          <w:rtl/>
        </w:rPr>
        <w:t xml:space="preserve">(חידושי הרמ"ה גיטין לד: סי' נג </w:t>
      </w:r>
      <w:r w:rsidR="00A82951">
        <w:rPr>
          <w:rFonts w:cs="Arial"/>
          <w:sz w:val="16"/>
          <w:szCs w:val="16"/>
          <w:rtl/>
        </w:rPr>
        <w:t>-</w:t>
      </w:r>
      <w:r w:rsidRPr="00BD3D8D">
        <w:rPr>
          <w:rFonts w:cs="Arial"/>
          <w:sz w:val="16"/>
          <w:szCs w:val="16"/>
          <w:rtl/>
        </w:rPr>
        <w:t xml:space="preserve"> נה)</w:t>
      </w:r>
      <w:r w:rsidR="00A82951">
        <w:rPr>
          <w:rFonts w:cs="Arial" w:hint="cs"/>
          <w:rtl/>
        </w:rPr>
        <w:t>-</w:t>
      </w:r>
      <w:r>
        <w:rPr>
          <w:rFonts w:cs="Arial" w:hint="cs"/>
          <w:rtl/>
        </w:rPr>
        <w:t xml:space="preserve"> </w:t>
      </w:r>
      <w:r w:rsidRPr="00390632">
        <w:rPr>
          <w:rFonts w:cs="Arial"/>
          <w:rtl/>
        </w:rPr>
        <w:t>כששולח הגט למקום אחר צריך לפרט שני השמות בפרט</w:t>
      </w:r>
      <w:r>
        <w:rPr>
          <w:rFonts w:cs="Arial" w:hint="cs"/>
          <w:rtl/>
        </w:rPr>
        <w:t>,</w:t>
      </w:r>
      <w:r w:rsidRPr="00390632">
        <w:rPr>
          <w:rFonts w:cs="Arial"/>
          <w:rtl/>
        </w:rPr>
        <w:t xml:space="preserve"> שם מקום הכתיבה ושם מקום הנתינה</w:t>
      </w:r>
      <w:r>
        <w:rPr>
          <w:rStyle w:val="a7"/>
          <w:rFonts w:cs="Arial"/>
          <w:rtl/>
        </w:rPr>
        <w:footnoteReference w:id="1052"/>
      </w:r>
      <w:r>
        <w:rPr>
          <w:rFonts w:cs="Arial" w:hint="cs"/>
          <w:sz w:val="16"/>
          <w:szCs w:val="16"/>
          <w:rtl/>
        </w:rPr>
        <w:t xml:space="preserve"> (ל' הטור בשמו)</w:t>
      </w:r>
      <w:r>
        <w:rPr>
          <w:rFonts w:cs="Arial" w:hint="cs"/>
          <w:rtl/>
        </w:rPr>
        <w:t>.</w:t>
      </w:r>
      <w:r w:rsidRPr="00895549">
        <w:rPr>
          <w:rFonts w:hint="cs"/>
          <w:color w:val="E36C0A" w:themeColor="accent6" w:themeShade="BF"/>
          <w:rtl/>
        </w:rPr>
        <w:t xml:space="preserve"> </w:t>
      </w:r>
      <w:r w:rsidRPr="00344D0B">
        <w:rPr>
          <w:rFonts w:hint="cs"/>
          <w:color w:val="E36C0A" w:themeColor="accent6" w:themeShade="BF"/>
          <w:rtl/>
        </w:rPr>
        <w:t>(וכ"פ בשו"ע</w:t>
      </w:r>
      <w:r>
        <w:rPr>
          <w:rFonts w:hint="cs"/>
          <w:color w:val="E36C0A" w:themeColor="accent6" w:themeShade="BF"/>
          <w:sz w:val="16"/>
          <w:szCs w:val="16"/>
          <w:rtl/>
        </w:rPr>
        <w:t xml:space="preserve"> </w:t>
      </w:r>
      <w:r w:rsidRPr="00722180">
        <w:rPr>
          <w:rFonts w:hint="cs"/>
          <w:color w:val="000000" w:themeColor="text1"/>
          <w:sz w:val="16"/>
          <w:szCs w:val="16"/>
          <w:rtl/>
        </w:rPr>
        <w:t>[</w:t>
      </w:r>
      <w:r>
        <w:rPr>
          <w:rFonts w:hint="cs"/>
          <w:color w:val="000000" w:themeColor="text1"/>
          <w:sz w:val="16"/>
          <w:szCs w:val="16"/>
          <w:rtl/>
        </w:rPr>
        <w:t>בסע' הבא ובסע' יב</w:t>
      </w:r>
      <w:r w:rsidRPr="00722180">
        <w:rPr>
          <w:rFonts w:hint="cs"/>
          <w:color w:val="000000" w:themeColor="text1"/>
          <w:sz w:val="16"/>
          <w:szCs w:val="16"/>
          <w:rtl/>
        </w:rPr>
        <w:t>]</w:t>
      </w:r>
      <w:r w:rsidRPr="00344D0B">
        <w:rPr>
          <w:rFonts w:hint="cs"/>
          <w:color w:val="E36C0A" w:themeColor="accent6" w:themeShade="BF"/>
          <w:rtl/>
        </w:rPr>
        <w:t>)</w:t>
      </w:r>
    </w:p>
    <w:p w14:paraId="09621D6F" w14:textId="77777777" w:rsidR="00FA2119" w:rsidRDefault="00FA2119" w:rsidP="00FA2119">
      <w:pPr>
        <w:ind w:left="360"/>
        <w:rPr>
          <w:rFonts w:cs="Arial"/>
          <w:rtl/>
        </w:rPr>
      </w:pPr>
      <w:r>
        <w:rPr>
          <w:rFonts w:cs="Arial" w:hint="cs"/>
          <w:u w:val="dotted"/>
          <w:rtl/>
        </w:rPr>
        <w:t>ו</w:t>
      </w:r>
      <w:r w:rsidRPr="004C6FA3">
        <w:rPr>
          <w:rFonts w:cs="Arial" w:hint="cs"/>
          <w:u w:val="dotted"/>
          <w:rtl/>
        </w:rPr>
        <w:t xml:space="preserve">מה הדין אם </w:t>
      </w:r>
      <w:r>
        <w:rPr>
          <w:rFonts w:cs="Arial" w:hint="cs"/>
          <w:u w:val="dotted"/>
          <w:rtl/>
        </w:rPr>
        <w:t>לא כתב כן</w:t>
      </w:r>
      <w:r>
        <w:rPr>
          <w:rFonts w:cs="Arial" w:hint="cs"/>
          <w:sz w:val="16"/>
          <w:szCs w:val="16"/>
          <w:u w:val="dotted"/>
          <w:rtl/>
        </w:rPr>
        <w:t xml:space="preserve"> (אלא עשה</w:t>
      </w:r>
      <w:r w:rsidRPr="00641F11">
        <w:rPr>
          <w:rFonts w:cs="Arial" w:hint="cs"/>
          <w:sz w:val="16"/>
          <w:szCs w:val="16"/>
          <w:u w:val="dotted"/>
          <w:rtl/>
        </w:rPr>
        <w:t xml:space="preserve"> </w:t>
      </w:r>
      <w:r>
        <w:rPr>
          <w:rFonts w:cs="Arial" w:hint="cs"/>
          <w:sz w:val="16"/>
          <w:szCs w:val="16"/>
          <w:u w:val="dotted"/>
          <w:rtl/>
        </w:rPr>
        <w:t>מקום הכתיבה עיקר)</w:t>
      </w:r>
      <w:r w:rsidRPr="004C6FA3">
        <w:rPr>
          <w:rFonts w:cs="Arial" w:hint="cs"/>
          <w:u w:val="dotted"/>
          <w:rtl/>
        </w:rPr>
        <w:t>:</w:t>
      </w:r>
    </w:p>
    <w:p w14:paraId="140FE459" w14:textId="07E57852" w:rsidR="00FA2119" w:rsidRPr="0054579F" w:rsidRDefault="00FA2119" w:rsidP="00FA2119">
      <w:pPr>
        <w:pStyle w:val="ab"/>
        <w:numPr>
          <w:ilvl w:val="0"/>
          <w:numId w:val="70"/>
        </w:numPr>
        <w:rPr>
          <w:rFonts w:cs="Arial"/>
          <w:rtl/>
        </w:rPr>
      </w:pPr>
      <w:r>
        <w:rPr>
          <w:rFonts w:cs="Arial" w:hint="cs"/>
          <w:rtl/>
        </w:rPr>
        <w:t>טור</w:t>
      </w:r>
      <w:r w:rsidR="00A82951">
        <w:rPr>
          <w:rFonts w:cs="Arial" w:hint="cs"/>
          <w:rtl/>
        </w:rPr>
        <w:t>-</w:t>
      </w:r>
      <w:r>
        <w:rPr>
          <w:rFonts w:cs="Arial" w:hint="cs"/>
          <w:rtl/>
        </w:rPr>
        <w:t xml:space="preserve"> </w:t>
      </w:r>
      <w:r w:rsidRPr="00390632">
        <w:rPr>
          <w:rFonts w:cs="Arial"/>
          <w:rtl/>
        </w:rPr>
        <w:t>אם לא כתב כן</w:t>
      </w:r>
      <w:r>
        <w:rPr>
          <w:rFonts w:cs="Arial" w:hint="cs"/>
          <w:rtl/>
        </w:rPr>
        <w:t xml:space="preserve"> </w:t>
      </w:r>
      <w:r w:rsidRPr="00390632">
        <w:rPr>
          <w:rFonts w:cs="Arial"/>
          <w:rtl/>
        </w:rPr>
        <w:t>פסול</w:t>
      </w:r>
      <w:r>
        <w:rPr>
          <w:rStyle w:val="a7"/>
          <w:rFonts w:cs="Arial"/>
          <w:rtl/>
        </w:rPr>
        <w:footnoteReference w:id="1053"/>
      </w:r>
      <w:r>
        <w:rPr>
          <w:rFonts w:cs="Arial" w:hint="cs"/>
          <w:rtl/>
        </w:rPr>
        <w:t>,</w:t>
      </w:r>
      <w:r w:rsidRPr="00390632">
        <w:rPr>
          <w:rFonts w:cs="Arial"/>
          <w:rtl/>
        </w:rPr>
        <w:t xml:space="preserve"> ואם ניסת בו הולד ממזר וכל י"ג דרכים האלו בה</w:t>
      </w:r>
      <w:r>
        <w:rPr>
          <w:rFonts w:cs="Arial" w:hint="cs"/>
          <w:rtl/>
        </w:rPr>
        <w:t>.</w:t>
      </w:r>
      <w:r w:rsidRPr="00390632">
        <w:rPr>
          <w:rFonts w:cs="Arial"/>
          <w:rtl/>
        </w:rPr>
        <w:t xml:space="preserve"> </w:t>
      </w:r>
      <w:r w:rsidRPr="00722180">
        <w:rPr>
          <w:rFonts w:hint="cs"/>
          <w:color w:val="00B0F0"/>
          <w:rtl/>
        </w:rPr>
        <w:t>(וכ"פ הרמ"א</w:t>
      </w:r>
      <w:r w:rsidRPr="00722180">
        <w:rPr>
          <w:rFonts w:hint="cs"/>
          <w:color w:val="00B0F0"/>
          <w:sz w:val="16"/>
          <w:szCs w:val="16"/>
          <w:rtl/>
        </w:rPr>
        <w:t xml:space="preserve"> </w:t>
      </w:r>
      <w:r w:rsidRPr="00722180">
        <w:rPr>
          <w:rFonts w:hint="cs"/>
          <w:color w:val="000000" w:themeColor="text1"/>
          <w:sz w:val="16"/>
          <w:szCs w:val="16"/>
          <w:rtl/>
        </w:rPr>
        <w:t>[</w:t>
      </w:r>
      <w:r>
        <w:rPr>
          <w:rFonts w:hint="cs"/>
          <w:color w:val="000000" w:themeColor="text1"/>
          <w:sz w:val="16"/>
          <w:szCs w:val="16"/>
          <w:rtl/>
        </w:rPr>
        <w:t>בסע' הבא</w:t>
      </w:r>
      <w:r w:rsidRPr="00722180">
        <w:rPr>
          <w:rFonts w:hint="cs"/>
          <w:color w:val="000000" w:themeColor="text1"/>
          <w:sz w:val="16"/>
          <w:szCs w:val="16"/>
          <w:rtl/>
        </w:rPr>
        <w:t>]</w:t>
      </w:r>
      <w:r w:rsidRPr="00722180">
        <w:rPr>
          <w:rFonts w:hint="cs"/>
          <w:color w:val="00B0F0"/>
          <w:rtl/>
        </w:rPr>
        <w:t>)</w:t>
      </w:r>
    </w:p>
    <w:p w14:paraId="40B7E693" w14:textId="0C05D9ED" w:rsidR="00FA2119" w:rsidRPr="004C6FA3" w:rsidRDefault="00FA2119" w:rsidP="00FA2119">
      <w:pPr>
        <w:pStyle w:val="ab"/>
        <w:numPr>
          <w:ilvl w:val="0"/>
          <w:numId w:val="70"/>
        </w:numPr>
        <w:rPr>
          <w:rFonts w:cs="Arial"/>
          <w:rtl/>
        </w:rPr>
      </w:pPr>
      <w:r>
        <w:rPr>
          <w:rFonts w:cs="Arial" w:hint="cs"/>
          <w:rtl/>
        </w:rPr>
        <w:t>רי"ו</w:t>
      </w:r>
      <w:r w:rsidRPr="004C6FA3">
        <w:rPr>
          <w:rFonts w:cs="Arial"/>
          <w:rtl/>
        </w:rPr>
        <w:t xml:space="preserve"> </w:t>
      </w:r>
      <w:r w:rsidRPr="00DE5896">
        <w:rPr>
          <w:rFonts w:cs="Arial" w:hint="cs"/>
          <w:sz w:val="16"/>
          <w:szCs w:val="16"/>
          <w:rtl/>
        </w:rPr>
        <w:t>(</w:t>
      </w:r>
      <w:r w:rsidRPr="00DE5896">
        <w:rPr>
          <w:rFonts w:cs="Arial"/>
          <w:sz w:val="16"/>
          <w:szCs w:val="16"/>
          <w:rtl/>
        </w:rPr>
        <w:t>ח</w:t>
      </w:r>
      <w:r w:rsidRPr="00DE5896">
        <w:rPr>
          <w:rFonts w:cs="Arial" w:hint="cs"/>
          <w:sz w:val="16"/>
          <w:szCs w:val="16"/>
          <w:rtl/>
        </w:rPr>
        <w:t>"</w:t>
      </w:r>
      <w:r w:rsidRPr="00DE5896">
        <w:rPr>
          <w:rFonts w:cs="Arial"/>
          <w:sz w:val="16"/>
          <w:szCs w:val="16"/>
          <w:rtl/>
        </w:rPr>
        <w:t>ב נכ"ד רד ע"ג)</w:t>
      </w:r>
      <w:r>
        <w:rPr>
          <w:rFonts w:cs="Arial" w:hint="cs"/>
          <w:rtl/>
        </w:rPr>
        <w:t xml:space="preserve"> ו</w:t>
      </w:r>
      <w:r w:rsidRPr="004C6FA3">
        <w:rPr>
          <w:rFonts w:cs="Arial"/>
          <w:rtl/>
        </w:rPr>
        <w:t xml:space="preserve">ר"ן </w:t>
      </w:r>
      <w:r w:rsidRPr="00DE5896">
        <w:rPr>
          <w:rFonts w:cs="Arial"/>
          <w:sz w:val="16"/>
          <w:szCs w:val="16"/>
          <w:rtl/>
        </w:rPr>
        <w:t>(שם ד"ה ונמצינו)</w:t>
      </w:r>
      <w:r w:rsidR="00A82951">
        <w:rPr>
          <w:rFonts w:cs="Arial" w:hint="cs"/>
          <w:rtl/>
        </w:rPr>
        <w:t>-</w:t>
      </w:r>
      <w:r>
        <w:rPr>
          <w:rFonts w:cs="Arial" w:hint="cs"/>
          <w:rtl/>
        </w:rPr>
        <w:t xml:space="preserve"> </w:t>
      </w:r>
      <w:r w:rsidRPr="004C6FA3">
        <w:rPr>
          <w:rFonts w:cs="Arial"/>
          <w:rtl/>
        </w:rPr>
        <w:t xml:space="preserve">אם עשה מקום כתיבה עיקר </w:t>
      </w:r>
      <w:r w:rsidR="00A82951">
        <w:rPr>
          <w:rFonts w:cs="Arial" w:hint="cs"/>
          <w:rtl/>
        </w:rPr>
        <w:t>-</w:t>
      </w:r>
      <w:r>
        <w:rPr>
          <w:rFonts w:cs="Arial" w:hint="cs"/>
          <w:rtl/>
        </w:rPr>
        <w:t xml:space="preserve"> </w:t>
      </w:r>
      <w:r w:rsidRPr="004C6FA3">
        <w:rPr>
          <w:rFonts w:cs="Arial"/>
          <w:rtl/>
        </w:rPr>
        <w:t>כשר בדיעבד</w:t>
      </w:r>
      <w:r>
        <w:rPr>
          <w:rFonts w:cs="Arial" w:hint="cs"/>
          <w:sz w:val="16"/>
          <w:szCs w:val="16"/>
          <w:rtl/>
        </w:rPr>
        <w:t xml:space="preserve"> (ל' הר"ן)</w:t>
      </w:r>
      <w:r>
        <w:rPr>
          <w:rFonts w:cs="Arial" w:hint="cs"/>
          <w:rtl/>
        </w:rPr>
        <w:t>.</w:t>
      </w:r>
      <w:r w:rsidRPr="004C6FA3">
        <w:rPr>
          <w:rFonts w:cs="Arial"/>
          <w:rtl/>
        </w:rPr>
        <w:t xml:space="preserve"> </w:t>
      </w:r>
    </w:p>
    <w:p w14:paraId="5392EC9C" w14:textId="77777777" w:rsidR="00FA2119" w:rsidRDefault="00FA2119" w:rsidP="00FA2119">
      <w:pPr>
        <w:ind w:left="360"/>
        <w:rPr>
          <w:rFonts w:cs="Arial"/>
          <w:rtl/>
        </w:rPr>
      </w:pPr>
      <w:r w:rsidRPr="00AA0DEB">
        <w:rPr>
          <w:rFonts w:cs="Arial" w:hint="cs"/>
          <w:u w:val="dotted"/>
          <w:rtl/>
        </w:rPr>
        <w:t xml:space="preserve">ומה הדין אם </w:t>
      </w:r>
      <w:r>
        <w:rPr>
          <w:rFonts w:cs="Arial" w:hint="cs"/>
          <w:u w:val="dotted"/>
          <w:rtl/>
        </w:rPr>
        <w:t>לא אתחזק בשתי שמות במקום הכתיבה והנתינה</w:t>
      </w:r>
      <w:r w:rsidRPr="00AA0DEB">
        <w:rPr>
          <w:rFonts w:cs="Arial" w:hint="cs"/>
          <w:u w:val="dotted"/>
          <w:rtl/>
        </w:rPr>
        <w:t>:</w:t>
      </w:r>
      <w:r>
        <w:rPr>
          <w:rFonts w:cs="Arial" w:hint="cs"/>
          <w:rtl/>
        </w:rPr>
        <w:t xml:space="preserve"> </w:t>
      </w:r>
    </w:p>
    <w:p w14:paraId="468BF05E" w14:textId="51FD19DA" w:rsidR="00FA2119" w:rsidRDefault="00FA2119" w:rsidP="00FA2119">
      <w:pPr>
        <w:pStyle w:val="ab"/>
        <w:numPr>
          <w:ilvl w:val="0"/>
          <w:numId w:val="72"/>
        </w:numPr>
        <w:rPr>
          <w:rFonts w:cs="Arial"/>
        </w:rPr>
      </w:pPr>
      <w:r w:rsidRPr="0054579F">
        <w:rPr>
          <w:rFonts w:cs="Arial"/>
          <w:rtl/>
        </w:rPr>
        <w:lastRenderedPageBreak/>
        <w:t xml:space="preserve">רא"ש </w:t>
      </w:r>
      <w:r w:rsidRPr="00FB7F68">
        <w:rPr>
          <w:rFonts w:cs="Arial"/>
          <w:sz w:val="16"/>
          <w:szCs w:val="16"/>
          <w:rtl/>
        </w:rPr>
        <w:t>(סי' ז)</w:t>
      </w:r>
      <w:r>
        <w:rPr>
          <w:rFonts w:cs="Arial" w:hint="cs"/>
          <w:rtl/>
        </w:rPr>
        <w:t xml:space="preserve"> וטור</w:t>
      </w:r>
      <w:r w:rsidR="00A82951">
        <w:rPr>
          <w:rFonts w:cs="Arial" w:hint="cs"/>
          <w:rtl/>
        </w:rPr>
        <w:t>-</w:t>
      </w:r>
      <w:r w:rsidRPr="0054579F">
        <w:rPr>
          <w:rFonts w:cs="Arial" w:hint="cs"/>
          <w:rtl/>
        </w:rPr>
        <w:t xml:space="preserve"> </w:t>
      </w:r>
      <w:r w:rsidRPr="0054579F">
        <w:rPr>
          <w:rFonts w:cs="Arial"/>
          <w:rtl/>
        </w:rPr>
        <w:t>אבל לא אתחזק בתרי שמי</w:t>
      </w:r>
      <w:r w:rsidRPr="0054579F">
        <w:rPr>
          <w:rFonts w:cs="Arial" w:hint="cs"/>
          <w:rtl/>
        </w:rPr>
        <w:t>,</w:t>
      </w:r>
      <w:r w:rsidRPr="0054579F">
        <w:rPr>
          <w:rFonts w:cs="Arial"/>
          <w:rtl/>
        </w:rPr>
        <w:t xml:space="preserve"> שאינם יודעים במקום הכתיבה שיש לו שם אחר במקום הנתינה</w:t>
      </w:r>
      <w:r w:rsidRPr="0054579F">
        <w:rPr>
          <w:rFonts w:cs="Arial" w:hint="cs"/>
          <w:rtl/>
        </w:rPr>
        <w:t>,</w:t>
      </w:r>
      <w:r w:rsidRPr="0054579F">
        <w:rPr>
          <w:rFonts w:cs="Arial"/>
          <w:rtl/>
        </w:rPr>
        <w:t xml:space="preserve"> וגם</w:t>
      </w:r>
      <w:r>
        <w:rPr>
          <w:rStyle w:val="a7"/>
          <w:rFonts w:cs="Arial"/>
          <w:rtl/>
        </w:rPr>
        <w:footnoteReference w:id="1054"/>
      </w:r>
      <w:r w:rsidRPr="0054579F">
        <w:rPr>
          <w:rFonts w:cs="Arial"/>
          <w:rtl/>
        </w:rPr>
        <w:t xml:space="preserve"> במקום הנתינה אין יודעים שיש לו שם אחר במקום הכתיבה </w:t>
      </w:r>
      <w:r w:rsidR="00A82951">
        <w:rPr>
          <w:rFonts w:cs="Arial" w:hint="cs"/>
          <w:rtl/>
        </w:rPr>
        <w:t>-</w:t>
      </w:r>
      <w:r w:rsidRPr="0054579F">
        <w:rPr>
          <w:rFonts w:cs="Arial" w:hint="cs"/>
          <w:rtl/>
        </w:rPr>
        <w:t xml:space="preserve"> </w:t>
      </w:r>
      <w:r w:rsidRPr="0054579F">
        <w:rPr>
          <w:rFonts w:cs="Arial"/>
          <w:rtl/>
        </w:rPr>
        <w:t>אין צריך</w:t>
      </w:r>
      <w:r>
        <w:rPr>
          <w:rStyle w:val="a7"/>
          <w:rFonts w:cs="Arial"/>
          <w:rtl/>
        </w:rPr>
        <w:footnoteReference w:id="1055"/>
      </w:r>
      <w:r w:rsidRPr="0054579F">
        <w:rPr>
          <w:rFonts w:cs="Arial"/>
          <w:rtl/>
        </w:rPr>
        <w:t xml:space="preserve"> לכתוב</w:t>
      </w:r>
      <w:r>
        <w:rPr>
          <w:rStyle w:val="a7"/>
          <w:rFonts w:cs="Arial"/>
          <w:rtl/>
        </w:rPr>
        <w:footnoteReference w:id="1056"/>
      </w:r>
      <w:r w:rsidRPr="0054579F">
        <w:rPr>
          <w:rFonts w:cs="Arial"/>
          <w:rtl/>
        </w:rPr>
        <w:t xml:space="preserve"> וכל שום וחניכה דאית לי</w:t>
      </w:r>
      <w:r w:rsidRPr="0054579F">
        <w:rPr>
          <w:rFonts w:cs="Arial" w:hint="cs"/>
          <w:rtl/>
        </w:rPr>
        <w:t>.</w:t>
      </w:r>
      <w:r w:rsidRPr="0054579F">
        <w:rPr>
          <w:rFonts w:cs="Arial"/>
          <w:rtl/>
        </w:rPr>
        <w:t xml:space="preserve"> ואפילו אם יודע לנו אח"כ שיש לו שם אחר במקום אחר </w:t>
      </w:r>
      <w:r w:rsidR="00A82951">
        <w:rPr>
          <w:rFonts w:cs="Arial" w:hint="cs"/>
          <w:rtl/>
        </w:rPr>
        <w:t>-</w:t>
      </w:r>
      <w:r>
        <w:rPr>
          <w:rFonts w:cs="Arial" w:hint="cs"/>
          <w:rtl/>
        </w:rPr>
        <w:t xml:space="preserve"> </w:t>
      </w:r>
      <w:r w:rsidRPr="0054579F">
        <w:rPr>
          <w:rFonts w:cs="Arial"/>
          <w:rtl/>
        </w:rPr>
        <w:t>הגט כשר</w:t>
      </w:r>
      <w:r>
        <w:rPr>
          <w:rFonts w:cs="Arial" w:hint="cs"/>
          <w:rtl/>
        </w:rPr>
        <w:t>,</w:t>
      </w:r>
      <w:r w:rsidRPr="0054579F">
        <w:rPr>
          <w:rFonts w:cs="Arial"/>
          <w:rtl/>
        </w:rPr>
        <w:t xml:space="preserve"> דאין לנו אלא שם שהחזיק עצמו בו</w:t>
      </w:r>
      <w:r>
        <w:rPr>
          <w:rFonts w:cs="Arial" w:hint="cs"/>
          <w:sz w:val="16"/>
          <w:szCs w:val="16"/>
          <w:rtl/>
        </w:rPr>
        <w:t xml:space="preserve"> (ל' הרא"ש)</w:t>
      </w:r>
      <w:r>
        <w:rPr>
          <w:rFonts w:cs="Arial" w:hint="cs"/>
          <w:rtl/>
        </w:rPr>
        <w:t>.</w:t>
      </w:r>
      <w:r w:rsidRPr="0054579F">
        <w:rPr>
          <w:rFonts w:cs="Arial"/>
          <w:rtl/>
        </w:rPr>
        <w:t xml:space="preserve"> </w:t>
      </w:r>
    </w:p>
    <w:p w14:paraId="01911BDF"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6E6E5B2" w14:textId="77777777" w:rsidR="00FA2119" w:rsidRDefault="00FA2119" w:rsidP="00FA2119">
      <w:pPr>
        <w:rPr>
          <w:rtl/>
        </w:rPr>
      </w:pPr>
      <w:r>
        <w:rPr>
          <w:rFonts w:cs="Arial" w:hint="cs"/>
          <w:rtl/>
        </w:rPr>
        <w:t>שינה</w:t>
      </w:r>
      <w:r>
        <w:rPr>
          <w:rFonts w:cs="Arial"/>
          <w:rtl/>
        </w:rPr>
        <w:t xml:space="preserve"> </w:t>
      </w:r>
      <w:r>
        <w:rPr>
          <w:rFonts w:cs="Arial" w:hint="cs"/>
          <w:rtl/>
        </w:rPr>
        <w:t>שמו</w:t>
      </w:r>
      <w:r>
        <w:rPr>
          <w:rFonts w:cs="Arial"/>
          <w:rtl/>
        </w:rPr>
        <w:t xml:space="preserve"> </w:t>
      </w:r>
      <w:r>
        <w:rPr>
          <w:rFonts w:cs="Arial" w:hint="cs"/>
          <w:rtl/>
        </w:rPr>
        <w:t>או</w:t>
      </w:r>
      <w:r>
        <w:rPr>
          <w:rFonts w:cs="Arial"/>
          <w:rtl/>
        </w:rPr>
        <w:t xml:space="preserve"> </w:t>
      </w:r>
      <w:r>
        <w:rPr>
          <w:rFonts w:cs="Arial" w:hint="cs"/>
          <w:rtl/>
        </w:rPr>
        <w:t>שמה</w:t>
      </w:r>
      <w:r>
        <w:rPr>
          <w:rFonts w:cs="Arial"/>
          <w:rtl/>
        </w:rPr>
        <w:t xml:space="preserve">, </w:t>
      </w:r>
      <w:r>
        <w:rPr>
          <w:rFonts w:cs="Arial" w:hint="cs"/>
          <w:rtl/>
        </w:rPr>
        <w:t>או</w:t>
      </w:r>
      <w:r>
        <w:rPr>
          <w:rFonts w:cs="Arial"/>
          <w:rtl/>
        </w:rPr>
        <w:t xml:space="preserve"> </w:t>
      </w:r>
      <w:r>
        <w:rPr>
          <w:rFonts w:cs="Arial" w:hint="cs"/>
          <w:rtl/>
        </w:rPr>
        <w:t>שם</w:t>
      </w:r>
      <w:r>
        <w:rPr>
          <w:rFonts w:cs="Arial"/>
          <w:rtl/>
        </w:rPr>
        <w:t xml:space="preserve"> </w:t>
      </w:r>
      <w:r>
        <w:rPr>
          <w:rFonts w:cs="Arial" w:hint="cs"/>
          <w:rtl/>
        </w:rPr>
        <w:t>עירו</w:t>
      </w:r>
      <w:r>
        <w:rPr>
          <w:rFonts w:cs="Arial"/>
          <w:rtl/>
        </w:rPr>
        <w:t xml:space="preserve"> </w:t>
      </w:r>
      <w:r>
        <w:rPr>
          <w:rFonts w:cs="Arial" w:hint="cs"/>
          <w:rtl/>
        </w:rPr>
        <w:t>או</w:t>
      </w:r>
      <w:r>
        <w:rPr>
          <w:rFonts w:cs="Arial"/>
          <w:rtl/>
        </w:rPr>
        <w:t xml:space="preserve"> </w:t>
      </w:r>
      <w:r>
        <w:rPr>
          <w:rFonts w:cs="Arial" w:hint="cs"/>
          <w:rtl/>
        </w:rPr>
        <w:t>שם</w:t>
      </w:r>
      <w:r>
        <w:rPr>
          <w:rFonts w:cs="Arial"/>
          <w:rtl/>
        </w:rPr>
        <w:t xml:space="preserve"> </w:t>
      </w:r>
      <w:r>
        <w:rPr>
          <w:rFonts w:cs="Arial" w:hint="cs"/>
          <w:rtl/>
        </w:rPr>
        <w:t>עירה</w:t>
      </w:r>
      <w:r>
        <w:rPr>
          <w:rFonts w:cs="Arial"/>
          <w:rtl/>
        </w:rPr>
        <w:t xml:space="preserve">, </w:t>
      </w:r>
      <w:r>
        <w:rPr>
          <w:rFonts w:cs="Arial" w:hint="cs"/>
          <w:rtl/>
        </w:rPr>
        <w:t>אף</w:t>
      </w:r>
      <w:r>
        <w:rPr>
          <w:rFonts w:cs="Arial"/>
          <w:rtl/>
        </w:rPr>
        <w:t xml:space="preserve"> </w:t>
      </w:r>
      <w:r>
        <w:rPr>
          <w:rFonts w:cs="Arial" w:hint="cs"/>
          <w:rtl/>
        </w:rPr>
        <w:t>על</w:t>
      </w:r>
      <w:r>
        <w:rPr>
          <w:rFonts w:cs="Arial"/>
          <w:rtl/>
        </w:rPr>
        <w:t xml:space="preserve"> </w:t>
      </w:r>
      <w:r>
        <w:rPr>
          <w:rFonts w:cs="Arial" w:hint="cs"/>
          <w:rtl/>
        </w:rPr>
        <w:t>פי</w:t>
      </w:r>
      <w:r>
        <w:rPr>
          <w:rFonts w:cs="Arial"/>
          <w:rtl/>
        </w:rPr>
        <w:t xml:space="preserve"> </w:t>
      </w:r>
      <w:r>
        <w:rPr>
          <w:rFonts w:cs="Arial" w:hint="cs"/>
          <w:rtl/>
        </w:rPr>
        <w:t>שכתב</w:t>
      </w:r>
      <w:r>
        <w:rPr>
          <w:rFonts w:cs="Arial"/>
          <w:rtl/>
        </w:rPr>
        <w:t xml:space="preserve">: </w:t>
      </w:r>
      <w:r>
        <w:rPr>
          <w:rFonts w:cs="Arial" w:hint="cs"/>
          <w:rtl/>
        </w:rPr>
        <w:t>כל</w:t>
      </w:r>
      <w:r>
        <w:rPr>
          <w:rFonts w:cs="Arial"/>
          <w:rtl/>
        </w:rPr>
        <w:t xml:space="preserve"> </w:t>
      </w:r>
      <w:r>
        <w:rPr>
          <w:rFonts w:cs="Arial" w:hint="cs"/>
          <w:rtl/>
        </w:rPr>
        <w:t>שם</w:t>
      </w:r>
      <w:r>
        <w:rPr>
          <w:rFonts w:cs="Arial"/>
          <w:rtl/>
        </w:rPr>
        <w:t xml:space="preserve"> </w:t>
      </w:r>
      <w:r>
        <w:rPr>
          <w:rFonts w:cs="Arial" w:hint="cs"/>
          <w:rtl/>
        </w:rPr>
        <w:t>שיש</w:t>
      </w:r>
      <w:r>
        <w:rPr>
          <w:rFonts w:cs="Arial"/>
          <w:rtl/>
        </w:rPr>
        <w:t xml:space="preserve"> </w:t>
      </w:r>
      <w:r>
        <w:rPr>
          <w:rFonts w:cs="Arial" w:hint="cs"/>
          <w:rtl/>
        </w:rPr>
        <w:t>לו</w:t>
      </w:r>
      <w:r>
        <w:rPr>
          <w:rFonts w:cs="Arial"/>
          <w:rtl/>
        </w:rPr>
        <w:t xml:space="preserve"> </w:t>
      </w:r>
      <w:r>
        <w:rPr>
          <w:rFonts w:cs="Arial" w:hint="cs"/>
          <w:rtl/>
        </w:rPr>
        <w:t>וכל</w:t>
      </w:r>
      <w:r>
        <w:rPr>
          <w:rFonts w:cs="Arial"/>
          <w:rtl/>
        </w:rPr>
        <w:t xml:space="preserve"> </w:t>
      </w:r>
      <w:r>
        <w:rPr>
          <w:rFonts w:cs="Arial" w:hint="cs"/>
          <w:rtl/>
        </w:rPr>
        <w:t>שם</w:t>
      </w:r>
      <w:r>
        <w:rPr>
          <w:rFonts w:cs="Arial"/>
          <w:rtl/>
        </w:rPr>
        <w:t xml:space="preserve"> </w:t>
      </w:r>
      <w:r>
        <w:rPr>
          <w:rFonts w:cs="Arial" w:hint="cs"/>
          <w:rtl/>
        </w:rPr>
        <w:t>שיש</w:t>
      </w:r>
      <w:r>
        <w:rPr>
          <w:rFonts w:cs="Arial"/>
          <w:rtl/>
        </w:rPr>
        <w:t xml:space="preserve"> </w:t>
      </w:r>
      <w:r>
        <w:rPr>
          <w:rFonts w:cs="Arial" w:hint="cs"/>
          <w:rtl/>
        </w:rPr>
        <w:t>לה</w:t>
      </w:r>
      <w:r>
        <w:rPr>
          <w:rFonts w:cs="Arial"/>
          <w:rtl/>
        </w:rPr>
        <w:t xml:space="preserve">, </w:t>
      </w:r>
      <w:r>
        <w:rPr>
          <w:rFonts w:cs="Arial" w:hint="cs"/>
          <w:rtl/>
        </w:rPr>
        <w:t>אינו</w:t>
      </w:r>
      <w:r>
        <w:rPr>
          <w:rFonts w:cs="Arial"/>
          <w:rtl/>
        </w:rPr>
        <w:t xml:space="preserve"> </w:t>
      </w:r>
      <w:r>
        <w:rPr>
          <w:rFonts w:cs="Arial" w:hint="cs"/>
          <w:rtl/>
        </w:rPr>
        <w:t>גט</w:t>
      </w:r>
      <w:r>
        <w:rPr>
          <w:rStyle w:val="a7"/>
          <w:rFonts w:cs="Arial"/>
          <w:rtl/>
        </w:rPr>
        <w:footnoteReference w:id="1057"/>
      </w:r>
      <w:r>
        <w:rPr>
          <w:rFonts w:cs="Arial"/>
          <w:rtl/>
        </w:rPr>
        <w:t xml:space="preserve">. </w:t>
      </w:r>
    </w:p>
    <w:p w14:paraId="5306B388" w14:textId="77777777" w:rsidR="00FA2119" w:rsidRDefault="00FA2119" w:rsidP="00FA2119">
      <w:pPr>
        <w:rPr>
          <w:rtl/>
        </w:rPr>
      </w:pPr>
    </w:p>
    <w:p w14:paraId="432253DB" w14:textId="77777777" w:rsidR="00FA2119" w:rsidRDefault="00FA2119" w:rsidP="00FA2119">
      <w:pPr>
        <w:pStyle w:val="2"/>
        <w:rPr>
          <w:rtl/>
        </w:rPr>
      </w:pPr>
      <w:r>
        <w:rPr>
          <w:rFonts w:hint="cs"/>
          <w:rtl/>
        </w:rPr>
        <w:t>סעיף</w:t>
      </w:r>
      <w:r>
        <w:rPr>
          <w:rtl/>
        </w:rPr>
        <w:t xml:space="preserve"> </w:t>
      </w:r>
      <w:r>
        <w:rPr>
          <w:rFonts w:hint="cs"/>
          <w:rtl/>
        </w:rPr>
        <w:t>ד: עומד במקום אחד ושולח הגט למקום אחר.</w:t>
      </w:r>
    </w:p>
    <w:p w14:paraId="16F7BE2B" w14:textId="77777777" w:rsidR="00FA2119" w:rsidRPr="00AB709F" w:rsidRDefault="00FA2119" w:rsidP="00FA2119">
      <w:pPr>
        <w:rPr>
          <w:rtl/>
        </w:rPr>
      </w:pPr>
      <w:r>
        <w:rPr>
          <w:rFonts w:hint="cs"/>
          <w:rtl/>
        </w:rPr>
        <w:t>עיין במקורות בסעיף הקודם.</w:t>
      </w:r>
    </w:p>
    <w:p w14:paraId="394747A5"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E945E7A" w14:textId="6FF30517" w:rsidR="00FA2119" w:rsidRDefault="00FA2119" w:rsidP="00FA2119">
      <w:pPr>
        <w:rPr>
          <w:rtl/>
        </w:rPr>
      </w:pPr>
      <w:r>
        <w:rPr>
          <w:rFonts w:cs="Arial" w:hint="cs"/>
          <w:rtl/>
        </w:rPr>
        <w:t>אם</w:t>
      </w:r>
      <w:r>
        <w:rPr>
          <w:rFonts w:cs="Arial"/>
          <w:rtl/>
        </w:rPr>
        <w:t xml:space="preserve"> </w:t>
      </w:r>
      <w:r>
        <w:rPr>
          <w:rFonts w:cs="Arial" w:hint="cs"/>
          <w:rtl/>
        </w:rPr>
        <w:t>עומד</w:t>
      </w:r>
      <w:r>
        <w:rPr>
          <w:rFonts w:cs="Arial"/>
          <w:rtl/>
        </w:rPr>
        <w:t xml:space="preserve"> </w:t>
      </w:r>
      <w:r>
        <w:rPr>
          <w:rFonts w:cs="Arial" w:hint="cs"/>
          <w:rtl/>
        </w:rPr>
        <w:t>במקום</w:t>
      </w:r>
      <w:r>
        <w:rPr>
          <w:rFonts w:cs="Arial"/>
          <w:rtl/>
        </w:rPr>
        <w:t xml:space="preserve"> </w:t>
      </w:r>
      <w:r>
        <w:rPr>
          <w:rFonts w:cs="Arial" w:hint="cs"/>
          <w:rtl/>
        </w:rPr>
        <w:t>אחד</w:t>
      </w:r>
      <w:r>
        <w:rPr>
          <w:rFonts w:cs="Arial"/>
          <w:rtl/>
        </w:rPr>
        <w:t xml:space="preserve"> </w:t>
      </w:r>
      <w:r>
        <w:rPr>
          <w:rFonts w:cs="Arial" w:hint="cs"/>
          <w:rtl/>
        </w:rPr>
        <w:t>ושולח</w:t>
      </w:r>
      <w:r>
        <w:rPr>
          <w:rFonts w:cs="Arial"/>
          <w:rtl/>
        </w:rPr>
        <w:t xml:space="preserve"> </w:t>
      </w:r>
      <w:r>
        <w:rPr>
          <w:rFonts w:cs="Arial" w:hint="cs"/>
          <w:rtl/>
        </w:rPr>
        <w:t>הגט</w:t>
      </w:r>
      <w:r>
        <w:rPr>
          <w:rFonts w:cs="Arial"/>
          <w:rtl/>
        </w:rPr>
        <w:t xml:space="preserve"> </w:t>
      </w:r>
      <w:r>
        <w:rPr>
          <w:rFonts w:cs="Arial" w:hint="cs"/>
          <w:rtl/>
        </w:rPr>
        <w:t>למקום</w:t>
      </w:r>
      <w:r>
        <w:rPr>
          <w:rFonts w:cs="Arial"/>
          <w:rtl/>
        </w:rPr>
        <w:t xml:space="preserve"> </w:t>
      </w:r>
      <w:r>
        <w:rPr>
          <w:rFonts w:cs="Arial" w:hint="cs"/>
          <w:rtl/>
        </w:rPr>
        <w:t>אחר</w:t>
      </w:r>
      <w:r>
        <w:rPr>
          <w:rFonts w:cs="Arial"/>
          <w:rtl/>
        </w:rPr>
        <w:t xml:space="preserve">, </w:t>
      </w:r>
      <w:r>
        <w:rPr>
          <w:rFonts w:cs="Arial" w:hint="cs"/>
          <w:rtl/>
        </w:rPr>
        <w:t>ובכל</w:t>
      </w:r>
      <w:r>
        <w:rPr>
          <w:rFonts w:cs="Arial"/>
          <w:rtl/>
        </w:rPr>
        <w:t xml:space="preserve"> </w:t>
      </w:r>
      <w:r>
        <w:rPr>
          <w:rFonts w:cs="Arial" w:hint="cs"/>
          <w:rtl/>
        </w:rPr>
        <w:t>מקום</w:t>
      </w:r>
      <w:r>
        <w:rPr>
          <w:rFonts w:cs="Arial"/>
          <w:rtl/>
        </w:rPr>
        <w:t xml:space="preserve"> </w:t>
      </w:r>
      <w:r>
        <w:rPr>
          <w:rFonts w:cs="Arial" w:hint="cs"/>
          <w:rtl/>
        </w:rPr>
        <w:t>מהם</w:t>
      </w:r>
      <w:r>
        <w:rPr>
          <w:rFonts w:cs="Arial"/>
          <w:rtl/>
        </w:rPr>
        <w:t xml:space="preserve"> </w:t>
      </w:r>
      <w:r>
        <w:rPr>
          <w:rFonts w:cs="Arial" w:hint="cs"/>
          <w:rtl/>
        </w:rPr>
        <w:t>יש</w:t>
      </w:r>
      <w:r>
        <w:rPr>
          <w:rFonts w:cs="Arial"/>
          <w:rtl/>
        </w:rPr>
        <w:t xml:space="preserve"> </w:t>
      </w:r>
      <w:r>
        <w:rPr>
          <w:rFonts w:cs="Arial" w:hint="cs"/>
          <w:rtl/>
        </w:rPr>
        <w:t>לו</w:t>
      </w:r>
      <w:r>
        <w:rPr>
          <w:rFonts w:cs="Arial"/>
          <w:rtl/>
        </w:rPr>
        <w:t xml:space="preserve"> </w:t>
      </w:r>
      <w:r>
        <w:rPr>
          <w:rFonts w:cs="Arial" w:hint="cs"/>
          <w:rtl/>
        </w:rPr>
        <w:t>שם</w:t>
      </w:r>
      <w:r>
        <w:rPr>
          <w:rFonts w:cs="Arial"/>
          <w:rtl/>
        </w:rPr>
        <w:t xml:space="preserve"> </w:t>
      </w:r>
      <w:r>
        <w:rPr>
          <w:rFonts w:cs="Arial" w:hint="cs"/>
          <w:rtl/>
        </w:rPr>
        <w:t>אחר</w:t>
      </w:r>
      <w:r>
        <w:rPr>
          <w:rFonts w:cs="Arial"/>
          <w:rtl/>
        </w:rPr>
        <w:t xml:space="preserve">, </w:t>
      </w:r>
      <w:r>
        <w:rPr>
          <w:rFonts w:cs="Arial" w:hint="cs"/>
          <w:rtl/>
        </w:rPr>
        <w:t>כותב</w:t>
      </w:r>
      <w:r>
        <w:rPr>
          <w:rFonts w:cs="Arial"/>
          <w:rtl/>
        </w:rPr>
        <w:t xml:space="preserve"> </w:t>
      </w:r>
      <w:r>
        <w:rPr>
          <w:rFonts w:cs="Arial" w:hint="cs"/>
          <w:rtl/>
        </w:rPr>
        <w:t>שם</w:t>
      </w:r>
      <w:r>
        <w:rPr>
          <w:rFonts w:cs="Arial"/>
          <w:rtl/>
        </w:rPr>
        <w:t xml:space="preserve"> </w:t>
      </w:r>
      <w:r>
        <w:rPr>
          <w:rFonts w:cs="Arial" w:hint="cs"/>
          <w:rtl/>
        </w:rPr>
        <w:t>מקום</w:t>
      </w:r>
      <w:r>
        <w:rPr>
          <w:rFonts w:cs="Arial"/>
          <w:rtl/>
        </w:rPr>
        <w:t xml:space="preserve"> </w:t>
      </w:r>
      <w:r>
        <w:rPr>
          <w:rFonts w:cs="Arial" w:hint="cs"/>
          <w:rtl/>
        </w:rPr>
        <w:t>הנתינה</w:t>
      </w:r>
      <w:r>
        <w:rPr>
          <w:rFonts w:cs="Arial"/>
          <w:rtl/>
        </w:rPr>
        <w:t xml:space="preserve">, </w:t>
      </w:r>
      <w:r>
        <w:rPr>
          <w:rFonts w:cs="Arial" w:hint="cs"/>
          <w:rtl/>
        </w:rPr>
        <w:t>ויכתוב</w:t>
      </w:r>
      <w:r>
        <w:rPr>
          <w:rFonts w:cs="Arial"/>
          <w:rtl/>
        </w:rPr>
        <w:t xml:space="preserve"> </w:t>
      </w:r>
      <w:r>
        <w:rPr>
          <w:rFonts w:cs="Arial" w:hint="cs"/>
          <w:rtl/>
        </w:rPr>
        <w:t>שם</w:t>
      </w:r>
      <w:r>
        <w:rPr>
          <w:rFonts w:cs="Arial"/>
          <w:rtl/>
        </w:rPr>
        <w:t xml:space="preserve"> </w:t>
      </w:r>
      <w:r>
        <w:rPr>
          <w:rFonts w:cs="Arial" w:hint="cs"/>
          <w:rtl/>
        </w:rPr>
        <w:t>מקום</w:t>
      </w:r>
      <w:r>
        <w:rPr>
          <w:rFonts w:cs="Arial"/>
          <w:rtl/>
        </w:rPr>
        <w:t xml:space="preserve"> </w:t>
      </w:r>
      <w:r>
        <w:rPr>
          <w:rFonts w:cs="Arial" w:hint="cs"/>
          <w:rtl/>
        </w:rPr>
        <w:t>הכתיבה</w:t>
      </w:r>
      <w:r>
        <w:rPr>
          <w:rFonts w:cs="Arial"/>
          <w:rtl/>
        </w:rPr>
        <w:t xml:space="preserve">: </w:t>
      </w:r>
      <w:r>
        <w:rPr>
          <w:rFonts w:cs="Arial" w:hint="cs"/>
          <w:rtl/>
        </w:rPr>
        <w:t>דמתקרי</w:t>
      </w:r>
      <w:r>
        <w:rPr>
          <w:rStyle w:val="a7"/>
          <w:rFonts w:cs="Arial"/>
          <w:rtl/>
        </w:rPr>
        <w:footnoteReference w:id="1058"/>
      </w:r>
      <w:r>
        <w:rPr>
          <w:rFonts w:cs="Arial" w:hint="cs"/>
          <w:rtl/>
        </w:rPr>
        <w:t>.</w:t>
      </w:r>
      <w:r>
        <w:rPr>
          <w:rFonts w:cs="Arial"/>
          <w:rtl/>
        </w:rPr>
        <w:t xml:space="preserve"> </w:t>
      </w:r>
      <w:r>
        <w:rPr>
          <w:rFonts w:cs="Arial" w:hint="cs"/>
          <w:rtl/>
        </w:rPr>
        <w:t>ואם</w:t>
      </w:r>
      <w:r>
        <w:rPr>
          <w:rFonts w:cs="Arial"/>
          <w:rtl/>
        </w:rPr>
        <w:t xml:space="preserve"> </w:t>
      </w:r>
      <w:r>
        <w:rPr>
          <w:rFonts w:cs="Arial" w:hint="cs"/>
          <w:rtl/>
        </w:rPr>
        <w:t>כתב</w:t>
      </w:r>
      <w:r>
        <w:rPr>
          <w:rFonts w:cs="Arial"/>
          <w:rtl/>
        </w:rPr>
        <w:t xml:space="preserve"> </w:t>
      </w:r>
      <w:r>
        <w:rPr>
          <w:rFonts w:cs="Arial" w:hint="cs"/>
          <w:rtl/>
        </w:rPr>
        <w:t>שם</w:t>
      </w:r>
      <w:r>
        <w:rPr>
          <w:rFonts w:cs="Arial"/>
          <w:rtl/>
        </w:rPr>
        <w:t xml:space="preserve"> </w:t>
      </w:r>
      <w:r>
        <w:rPr>
          <w:rFonts w:cs="Arial" w:hint="cs"/>
          <w:rtl/>
        </w:rPr>
        <w:t>מקום</w:t>
      </w:r>
      <w:r>
        <w:rPr>
          <w:rFonts w:cs="Arial"/>
          <w:rtl/>
        </w:rPr>
        <w:t xml:space="preserve"> </w:t>
      </w:r>
      <w:r>
        <w:rPr>
          <w:rFonts w:cs="Arial" w:hint="cs"/>
          <w:rtl/>
        </w:rPr>
        <w:t>הנתינה</w:t>
      </w:r>
      <w:r>
        <w:rPr>
          <w:rFonts w:cs="Arial"/>
          <w:rtl/>
        </w:rPr>
        <w:t xml:space="preserve">, </w:t>
      </w:r>
      <w:r>
        <w:rPr>
          <w:rFonts w:cs="Arial" w:hint="cs"/>
          <w:rtl/>
        </w:rPr>
        <w:t>וכלל</w:t>
      </w:r>
      <w:r>
        <w:rPr>
          <w:rFonts w:cs="Arial"/>
          <w:rtl/>
        </w:rPr>
        <w:t xml:space="preserve"> </w:t>
      </w:r>
      <w:r>
        <w:rPr>
          <w:rFonts w:cs="Arial" w:hint="cs"/>
          <w:rtl/>
        </w:rPr>
        <w:t>שם</w:t>
      </w:r>
      <w:r>
        <w:rPr>
          <w:rFonts w:cs="Arial"/>
          <w:rtl/>
        </w:rPr>
        <w:t xml:space="preserve"> </w:t>
      </w:r>
      <w:r>
        <w:rPr>
          <w:rFonts w:cs="Arial" w:hint="cs"/>
          <w:rtl/>
        </w:rPr>
        <w:t>מקום</w:t>
      </w:r>
      <w:r>
        <w:rPr>
          <w:rFonts w:cs="Arial"/>
          <w:rtl/>
        </w:rPr>
        <w:t xml:space="preserve"> </w:t>
      </w:r>
      <w:r>
        <w:rPr>
          <w:rFonts w:cs="Arial" w:hint="cs"/>
          <w:rtl/>
        </w:rPr>
        <w:t>הכתיבה</w:t>
      </w:r>
      <w:r>
        <w:rPr>
          <w:rFonts w:cs="Arial"/>
          <w:rtl/>
        </w:rPr>
        <w:t xml:space="preserve"> </w:t>
      </w:r>
      <w:r>
        <w:rPr>
          <w:rFonts w:cs="Arial" w:hint="cs"/>
          <w:rtl/>
        </w:rPr>
        <w:t>בוכל</w:t>
      </w:r>
      <w:r>
        <w:rPr>
          <w:rFonts w:cs="Arial"/>
          <w:rtl/>
        </w:rPr>
        <w:t xml:space="preserve"> </w:t>
      </w:r>
      <w:r>
        <w:rPr>
          <w:rFonts w:cs="Arial" w:hint="cs"/>
          <w:rtl/>
        </w:rPr>
        <w:t>שום</w:t>
      </w:r>
      <w:r>
        <w:rPr>
          <w:rFonts w:cs="Arial"/>
          <w:rtl/>
        </w:rPr>
        <w:t xml:space="preserve">, </w:t>
      </w:r>
      <w:r>
        <w:rPr>
          <w:rFonts w:cs="Arial" w:hint="cs"/>
          <w:rtl/>
        </w:rPr>
        <w:t>כשר</w:t>
      </w:r>
      <w:r>
        <w:rPr>
          <w:rFonts w:cs="Arial"/>
          <w:rtl/>
        </w:rPr>
        <w:t xml:space="preserve">. </w:t>
      </w:r>
      <w:r w:rsidRPr="00BD3D8D">
        <w:rPr>
          <w:rFonts w:cs="Arial" w:hint="cs"/>
          <w:sz w:val="18"/>
          <w:szCs w:val="18"/>
          <w:rtl/>
        </w:rPr>
        <w:t>הגה</w:t>
      </w:r>
      <w:r w:rsidRPr="00BD3D8D">
        <w:rPr>
          <w:rFonts w:cs="Arial"/>
          <w:sz w:val="18"/>
          <w:szCs w:val="18"/>
          <w:rtl/>
        </w:rPr>
        <w:t xml:space="preserve">: </w:t>
      </w:r>
      <w:r w:rsidRPr="00BD3D8D">
        <w:rPr>
          <w:rFonts w:cs="Arial" w:hint="cs"/>
          <w:sz w:val="18"/>
          <w:szCs w:val="18"/>
          <w:rtl/>
        </w:rPr>
        <w:t>אבל</w:t>
      </w:r>
      <w:r w:rsidRPr="00BD3D8D">
        <w:rPr>
          <w:rFonts w:cs="Arial"/>
          <w:sz w:val="18"/>
          <w:szCs w:val="18"/>
          <w:rtl/>
        </w:rPr>
        <w:t xml:space="preserve"> </w:t>
      </w:r>
      <w:r w:rsidRPr="00BD3D8D">
        <w:rPr>
          <w:rFonts w:cs="Arial" w:hint="cs"/>
          <w:sz w:val="18"/>
          <w:szCs w:val="18"/>
          <w:rtl/>
        </w:rPr>
        <w:t>אם</w:t>
      </w:r>
      <w:r w:rsidRPr="00BD3D8D">
        <w:rPr>
          <w:rFonts w:cs="Arial"/>
          <w:sz w:val="18"/>
          <w:szCs w:val="18"/>
          <w:rtl/>
        </w:rPr>
        <w:t xml:space="preserve"> </w:t>
      </w:r>
      <w:r w:rsidRPr="00BD3D8D">
        <w:rPr>
          <w:rFonts w:cs="Arial" w:hint="cs"/>
          <w:sz w:val="18"/>
          <w:szCs w:val="18"/>
          <w:rtl/>
        </w:rPr>
        <w:t>עשה</w:t>
      </w:r>
      <w:r w:rsidRPr="00BD3D8D">
        <w:rPr>
          <w:rFonts w:cs="Arial"/>
          <w:sz w:val="18"/>
          <w:szCs w:val="18"/>
          <w:rtl/>
        </w:rPr>
        <w:t xml:space="preserve"> </w:t>
      </w:r>
      <w:r w:rsidRPr="00BD3D8D">
        <w:rPr>
          <w:rFonts w:cs="Arial" w:hint="cs"/>
          <w:sz w:val="18"/>
          <w:szCs w:val="18"/>
          <w:rtl/>
        </w:rPr>
        <w:t>שם</w:t>
      </w:r>
      <w:r w:rsidRPr="00BD3D8D">
        <w:rPr>
          <w:rFonts w:cs="Arial"/>
          <w:sz w:val="18"/>
          <w:szCs w:val="18"/>
          <w:rtl/>
        </w:rPr>
        <w:t xml:space="preserve"> </w:t>
      </w:r>
      <w:r w:rsidRPr="00BD3D8D">
        <w:rPr>
          <w:rFonts w:cs="Arial" w:hint="cs"/>
          <w:sz w:val="18"/>
          <w:szCs w:val="18"/>
          <w:rtl/>
        </w:rPr>
        <w:t>מקום</w:t>
      </w:r>
      <w:r w:rsidRPr="00BD3D8D">
        <w:rPr>
          <w:rFonts w:cs="Arial"/>
          <w:sz w:val="18"/>
          <w:szCs w:val="18"/>
          <w:rtl/>
        </w:rPr>
        <w:t xml:space="preserve"> </w:t>
      </w:r>
      <w:r w:rsidRPr="00BD3D8D">
        <w:rPr>
          <w:rFonts w:cs="Arial" w:hint="cs"/>
          <w:sz w:val="18"/>
          <w:szCs w:val="18"/>
          <w:rtl/>
        </w:rPr>
        <w:t>הכתיבה</w:t>
      </w:r>
      <w:r w:rsidRPr="00BD3D8D">
        <w:rPr>
          <w:rFonts w:cs="Arial"/>
          <w:sz w:val="18"/>
          <w:szCs w:val="18"/>
          <w:rtl/>
        </w:rPr>
        <w:t xml:space="preserve"> </w:t>
      </w:r>
      <w:r w:rsidRPr="00BD3D8D">
        <w:rPr>
          <w:rFonts w:cs="Arial" w:hint="cs"/>
          <w:sz w:val="18"/>
          <w:szCs w:val="18"/>
          <w:rtl/>
        </w:rPr>
        <w:t>עיקר</w:t>
      </w:r>
      <w:r w:rsidRPr="00BD3D8D">
        <w:rPr>
          <w:rFonts w:cs="Arial"/>
          <w:sz w:val="18"/>
          <w:szCs w:val="18"/>
          <w:rtl/>
        </w:rPr>
        <w:t xml:space="preserve"> </w:t>
      </w:r>
      <w:r w:rsidRPr="00BD3D8D">
        <w:rPr>
          <w:rFonts w:cs="Arial" w:hint="cs"/>
          <w:sz w:val="18"/>
          <w:szCs w:val="18"/>
          <w:rtl/>
        </w:rPr>
        <w:t>וכתב</w:t>
      </w:r>
      <w:r w:rsidRPr="00BD3D8D">
        <w:rPr>
          <w:rFonts w:cs="Arial"/>
          <w:sz w:val="18"/>
          <w:szCs w:val="18"/>
          <w:rtl/>
        </w:rPr>
        <w:t xml:space="preserve"> </w:t>
      </w:r>
      <w:r w:rsidRPr="00BD3D8D">
        <w:rPr>
          <w:rFonts w:cs="Arial" w:hint="cs"/>
          <w:sz w:val="18"/>
          <w:szCs w:val="18"/>
          <w:rtl/>
        </w:rPr>
        <w:t>על</w:t>
      </w:r>
      <w:r w:rsidRPr="00BD3D8D">
        <w:rPr>
          <w:rFonts w:cs="Arial"/>
          <w:sz w:val="18"/>
          <w:szCs w:val="18"/>
          <w:rtl/>
        </w:rPr>
        <w:t xml:space="preserve"> </w:t>
      </w:r>
      <w:r w:rsidRPr="00BD3D8D">
        <w:rPr>
          <w:rFonts w:cs="Arial" w:hint="cs"/>
          <w:sz w:val="18"/>
          <w:szCs w:val="18"/>
          <w:rtl/>
        </w:rPr>
        <w:t>שם</w:t>
      </w:r>
      <w:r w:rsidRPr="00BD3D8D">
        <w:rPr>
          <w:rFonts w:cs="Arial"/>
          <w:sz w:val="18"/>
          <w:szCs w:val="18"/>
          <w:rtl/>
        </w:rPr>
        <w:t xml:space="preserve"> </w:t>
      </w:r>
      <w:r w:rsidRPr="00BD3D8D">
        <w:rPr>
          <w:rFonts w:cs="Arial" w:hint="cs"/>
          <w:sz w:val="18"/>
          <w:szCs w:val="18"/>
          <w:rtl/>
        </w:rPr>
        <w:t>מקום</w:t>
      </w:r>
      <w:r w:rsidRPr="00BD3D8D">
        <w:rPr>
          <w:rFonts w:cs="Arial"/>
          <w:sz w:val="18"/>
          <w:szCs w:val="18"/>
          <w:rtl/>
        </w:rPr>
        <w:t xml:space="preserve"> </w:t>
      </w:r>
      <w:r w:rsidRPr="00BD3D8D">
        <w:rPr>
          <w:rFonts w:cs="Arial" w:hint="cs"/>
          <w:sz w:val="18"/>
          <w:szCs w:val="18"/>
          <w:rtl/>
        </w:rPr>
        <w:t>הנתינה</w:t>
      </w:r>
      <w:r w:rsidRPr="00BD3D8D">
        <w:rPr>
          <w:rFonts w:cs="Arial"/>
          <w:sz w:val="18"/>
          <w:szCs w:val="18"/>
          <w:rtl/>
        </w:rPr>
        <w:t xml:space="preserve"> </w:t>
      </w:r>
      <w:r w:rsidRPr="00BD3D8D">
        <w:rPr>
          <w:rFonts w:cs="Arial" w:hint="cs"/>
          <w:sz w:val="18"/>
          <w:szCs w:val="18"/>
          <w:rtl/>
        </w:rPr>
        <w:t>דמתקרי</w:t>
      </w:r>
      <w:r>
        <w:rPr>
          <w:rStyle w:val="a7"/>
          <w:rFonts w:cs="Arial"/>
          <w:sz w:val="18"/>
          <w:szCs w:val="18"/>
          <w:rtl/>
        </w:rPr>
        <w:footnoteReference w:id="1059"/>
      </w:r>
      <w:r>
        <w:rPr>
          <w:rFonts w:cs="Arial" w:hint="cs"/>
          <w:sz w:val="18"/>
          <w:szCs w:val="18"/>
          <w:rtl/>
        </w:rPr>
        <w:t>,</w:t>
      </w:r>
      <w:r w:rsidRPr="00BD3D8D">
        <w:rPr>
          <w:rFonts w:cs="Arial"/>
          <w:sz w:val="18"/>
          <w:szCs w:val="18"/>
          <w:rtl/>
        </w:rPr>
        <w:t xml:space="preserve"> </w:t>
      </w:r>
      <w:r w:rsidRPr="00BD3D8D">
        <w:rPr>
          <w:rFonts w:cs="Arial" w:hint="cs"/>
          <w:sz w:val="18"/>
          <w:szCs w:val="18"/>
          <w:rtl/>
        </w:rPr>
        <w:t>או</w:t>
      </w:r>
      <w:r w:rsidRPr="00BD3D8D">
        <w:rPr>
          <w:rFonts w:cs="Arial"/>
          <w:sz w:val="18"/>
          <w:szCs w:val="18"/>
          <w:rtl/>
        </w:rPr>
        <w:t xml:space="preserve"> </w:t>
      </w:r>
      <w:r w:rsidRPr="00BD3D8D">
        <w:rPr>
          <w:rFonts w:cs="Arial" w:hint="cs"/>
          <w:sz w:val="18"/>
          <w:szCs w:val="18"/>
          <w:rtl/>
        </w:rPr>
        <w:t>כל</w:t>
      </w:r>
      <w:r w:rsidRPr="00BD3D8D">
        <w:rPr>
          <w:rFonts w:cs="Arial"/>
          <w:sz w:val="18"/>
          <w:szCs w:val="18"/>
          <w:rtl/>
        </w:rPr>
        <w:t xml:space="preserve"> </w:t>
      </w:r>
      <w:r w:rsidRPr="00BD3D8D">
        <w:rPr>
          <w:rFonts w:cs="Arial" w:hint="cs"/>
          <w:sz w:val="18"/>
          <w:szCs w:val="18"/>
          <w:rtl/>
        </w:rPr>
        <w:t>שום</w:t>
      </w:r>
      <w:r w:rsidRPr="00BD3D8D">
        <w:rPr>
          <w:rFonts w:cs="Arial"/>
          <w:sz w:val="18"/>
          <w:szCs w:val="18"/>
          <w:rtl/>
        </w:rPr>
        <w:t xml:space="preserve">, </w:t>
      </w:r>
      <w:r w:rsidRPr="00BD3D8D">
        <w:rPr>
          <w:rFonts w:cs="Arial" w:hint="cs"/>
          <w:sz w:val="18"/>
          <w:szCs w:val="18"/>
          <w:rtl/>
        </w:rPr>
        <w:t>פסול</w:t>
      </w:r>
      <w:r>
        <w:rPr>
          <w:rStyle w:val="a7"/>
          <w:rFonts w:cs="Arial"/>
          <w:sz w:val="18"/>
          <w:szCs w:val="18"/>
          <w:rtl/>
        </w:rPr>
        <w:footnoteReference w:id="1060"/>
      </w:r>
      <w:r w:rsidRPr="00BD3D8D">
        <w:rPr>
          <w:rFonts w:cs="Arial"/>
          <w:sz w:val="18"/>
          <w:szCs w:val="18"/>
          <w:rtl/>
        </w:rPr>
        <w:t xml:space="preserve"> (</w:t>
      </w:r>
      <w:r w:rsidRPr="00BD3D8D">
        <w:rPr>
          <w:rFonts w:cs="Arial" w:hint="cs"/>
          <w:sz w:val="18"/>
          <w:szCs w:val="18"/>
          <w:rtl/>
        </w:rPr>
        <w:t>הב</w:t>
      </w:r>
      <w:r w:rsidRPr="00BD3D8D">
        <w:rPr>
          <w:rFonts w:cs="Arial"/>
          <w:sz w:val="18"/>
          <w:szCs w:val="18"/>
          <w:rtl/>
        </w:rPr>
        <w:t>"</w:t>
      </w:r>
      <w:r w:rsidRPr="00BD3D8D">
        <w:rPr>
          <w:rFonts w:cs="Arial" w:hint="cs"/>
          <w:sz w:val="18"/>
          <w:szCs w:val="18"/>
          <w:rtl/>
        </w:rPr>
        <w:t>י</w:t>
      </w:r>
      <w:r w:rsidRPr="00BD3D8D">
        <w:rPr>
          <w:rFonts w:cs="Arial"/>
          <w:sz w:val="18"/>
          <w:szCs w:val="18"/>
          <w:rtl/>
        </w:rPr>
        <w:t xml:space="preserve"> </w:t>
      </w:r>
      <w:r w:rsidRPr="00BD3D8D">
        <w:rPr>
          <w:rFonts w:cs="Arial" w:hint="cs"/>
          <w:sz w:val="18"/>
          <w:szCs w:val="18"/>
          <w:rtl/>
        </w:rPr>
        <w:t>כתב</w:t>
      </w:r>
      <w:r w:rsidRPr="00BD3D8D">
        <w:rPr>
          <w:rFonts w:cs="Arial"/>
          <w:sz w:val="18"/>
          <w:szCs w:val="18"/>
          <w:rtl/>
        </w:rPr>
        <w:t xml:space="preserve"> </w:t>
      </w:r>
      <w:r w:rsidRPr="00BD3D8D">
        <w:rPr>
          <w:rFonts w:cs="Arial" w:hint="cs"/>
          <w:sz w:val="18"/>
          <w:szCs w:val="18"/>
          <w:rtl/>
        </w:rPr>
        <w:t>שכן</w:t>
      </w:r>
      <w:r w:rsidRPr="00BD3D8D">
        <w:rPr>
          <w:rFonts w:cs="Arial"/>
          <w:sz w:val="18"/>
          <w:szCs w:val="18"/>
          <w:rtl/>
        </w:rPr>
        <w:t xml:space="preserve"> </w:t>
      </w:r>
      <w:r w:rsidRPr="00BD3D8D">
        <w:rPr>
          <w:rFonts w:cs="Arial" w:hint="cs"/>
          <w:sz w:val="18"/>
          <w:szCs w:val="18"/>
          <w:rtl/>
        </w:rPr>
        <w:t>משמע</w:t>
      </w:r>
      <w:r w:rsidRPr="00BD3D8D">
        <w:rPr>
          <w:rFonts w:cs="Arial"/>
          <w:sz w:val="18"/>
          <w:szCs w:val="18"/>
          <w:rtl/>
        </w:rPr>
        <w:t xml:space="preserve"> </w:t>
      </w:r>
      <w:r w:rsidRPr="00BD3D8D">
        <w:rPr>
          <w:rFonts w:cs="Arial" w:hint="cs"/>
          <w:sz w:val="18"/>
          <w:szCs w:val="18"/>
          <w:rtl/>
        </w:rPr>
        <w:t>מלשון</w:t>
      </w:r>
      <w:r w:rsidRPr="00BD3D8D">
        <w:rPr>
          <w:rFonts w:cs="Arial"/>
          <w:sz w:val="18"/>
          <w:szCs w:val="18"/>
          <w:rtl/>
        </w:rPr>
        <w:t xml:space="preserve"> </w:t>
      </w:r>
      <w:r w:rsidRPr="00BD3D8D">
        <w:rPr>
          <w:rFonts w:cs="Arial" w:hint="cs"/>
          <w:sz w:val="18"/>
          <w:szCs w:val="18"/>
          <w:rtl/>
        </w:rPr>
        <w:t>הטור</w:t>
      </w:r>
      <w:r w:rsidRPr="00BD3D8D">
        <w:rPr>
          <w:rFonts w:cs="Arial"/>
          <w:sz w:val="18"/>
          <w:szCs w:val="18"/>
          <w:rtl/>
        </w:rPr>
        <w:t>).</w:t>
      </w:r>
      <w:r>
        <w:rPr>
          <w:rFonts w:cs="Arial"/>
          <w:rtl/>
        </w:rPr>
        <w:t xml:space="preserve"> </w:t>
      </w:r>
    </w:p>
    <w:p w14:paraId="1CF970D9" w14:textId="77777777" w:rsidR="00FA2119" w:rsidRDefault="00FA2119" w:rsidP="00FA2119">
      <w:pPr>
        <w:rPr>
          <w:rtl/>
        </w:rPr>
      </w:pPr>
    </w:p>
    <w:p w14:paraId="286AF87E" w14:textId="77777777" w:rsidR="00FA2119" w:rsidRDefault="00FA2119" w:rsidP="00FA2119">
      <w:pPr>
        <w:pStyle w:val="2"/>
        <w:rPr>
          <w:rtl/>
        </w:rPr>
      </w:pPr>
      <w:r>
        <w:rPr>
          <w:rFonts w:hint="cs"/>
          <w:rtl/>
        </w:rPr>
        <w:t>סעיף</w:t>
      </w:r>
      <w:r>
        <w:rPr>
          <w:rtl/>
        </w:rPr>
        <w:t xml:space="preserve"> </w:t>
      </w:r>
      <w:r>
        <w:rPr>
          <w:rFonts w:hint="cs"/>
          <w:rtl/>
        </w:rPr>
        <w:t>ה: מומר.</w:t>
      </w:r>
    </w:p>
    <w:p w14:paraId="2ACBD470" w14:textId="39B8E45F" w:rsidR="00FA2119" w:rsidRPr="00AB290C" w:rsidRDefault="00FA2119" w:rsidP="00FA2119">
      <w:pPr>
        <w:rPr>
          <w:u w:val="single"/>
        </w:rPr>
      </w:pPr>
      <w:r w:rsidRPr="00AB290C">
        <w:rPr>
          <w:rFonts w:hint="cs"/>
          <w:u w:val="single"/>
          <w:rtl/>
        </w:rPr>
        <w:t xml:space="preserve">מי שקידש בעודו ישראל, ואח"כ המיר </w:t>
      </w:r>
      <w:r w:rsidR="00A82951">
        <w:rPr>
          <w:u w:val="single"/>
          <w:rtl/>
        </w:rPr>
        <w:t>-</w:t>
      </w:r>
      <w:r w:rsidRPr="00AB290C">
        <w:rPr>
          <w:rFonts w:hint="cs"/>
          <w:u w:val="single"/>
          <w:rtl/>
        </w:rPr>
        <w:t xml:space="preserve"> האם גירושיו גירושין:</w:t>
      </w:r>
    </w:p>
    <w:p w14:paraId="68A19E48" w14:textId="7984AB2A" w:rsidR="00FA2119" w:rsidRPr="003123B3" w:rsidRDefault="00FA2119" w:rsidP="00FA2119">
      <w:pPr>
        <w:pStyle w:val="ab"/>
        <w:numPr>
          <w:ilvl w:val="0"/>
          <w:numId w:val="72"/>
        </w:numPr>
      </w:pPr>
      <w:r>
        <w:rPr>
          <w:rFonts w:cs="Arial" w:hint="cs"/>
          <w:rtl/>
        </w:rPr>
        <w:t xml:space="preserve">ראבי"ה </w:t>
      </w:r>
      <w:r>
        <w:rPr>
          <w:rFonts w:cs="Arial" w:hint="cs"/>
          <w:sz w:val="16"/>
          <w:szCs w:val="16"/>
          <w:rtl/>
        </w:rPr>
        <w:t>(שו"ת סי' קנא, הובא בארוכה בתשובות מיימוניות</w:t>
      </w:r>
      <w:r>
        <w:rPr>
          <w:rStyle w:val="a7"/>
          <w:rFonts w:cs="Arial"/>
          <w:sz w:val="16"/>
          <w:szCs w:val="16"/>
          <w:rtl/>
        </w:rPr>
        <w:footnoteReference w:id="1061"/>
      </w:r>
      <w:r>
        <w:rPr>
          <w:rFonts w:cs="Arial" w:hint="cs"/>
          <w:sz w:val="16"/>
          <w:szCs w:val="16"/>
          <w:rtl/>
        </w:rPr>
        <w:t xml:space="preserve"> </w:t>
      </w:r>
      <w:r w:rsidR="00CD5141">
        <w:rPr>
          <w:rFonts w:cs="Arial" w:hint="cs"/>
          <w:sz w:val="16"/>
          <w:szCs w:val="16"/>
          <w:rtl/>
        </w:rPr>
        <w:t>[</w:t>
      </w:r>
      <w:r>
        <w:rPr>
          <w:rFonts w:cs="Arial" w:hint="cs"/>
          <w:sz w:val="16"/>
          <w:szCs w:val="16"/>
          <w:rtl/>
        </w:rPr>
        <w:t>נשים סי' יב</w:t>
      </w:r>
      <w:r w:rsidR="00CD5141">
        <w:rPr>
          <w:rFonts w:cs="Arial" w:hint="cs"/>
          <w:sz w:val="16"/>
          <w:szCs w:val="16"/>
          <w:rtl/>
        </w:rPr>
        <w:t>]</w:t>
      </w:r>
      <w:r>
        <w:rPr>
          <w:rFonts w:cs="Arial" w:hint="cs"/>
          <w:sz w:val="16"/>
          <w:szCs w:val="16"/>
          <w:rtl/>
        </w:rPr>
        <w:t>)</w:t>
      </w:r>
      <w:r w:rsidR="00A82951">
        <w:rPr>
          <w:rFonts w:cs="Arial" w:hint="cs"/>
          <w:rtl/>
        </w:rPr>
        <w:t>-</w:t>
      </w:r>
      <w:r>
        <w:rPr>
          <w:rFonts w:cs="Arial" w:hint="cs"/>
          <w:rtl/>
        </w:rPr>
        <w:t xml:space="preserve"> </w:t>
      </w:r>
      <w:r w:rsidRPr="003123B3">
        <w:rPr>
          <w:rFonts w:cs="Arial"/>
          <w:rtl/>
        </w:rPr>
        <w:t>וראיתי בתשובת רבינו נתן בעל הערוך ואחיו ר' אברהם דמה שאמרו בישראל מומר אע</w:t>
      </w:r>
      <w:r>
        <w:rPr>
          <w:rFonts w:cs="Arial" w:hint="cs"/>
          <w:rtl/>
        </w:rPr>
        <w:t>"</w:t>
      </w:r>
      <w:r w:rsidRPr="003123B3">
        <w:rPr>
          <w:rFonts w:cs="Arial"/>
          <w:rtl/>
        </w:rPr>
        <w:t>פ שחטא ישראל הוא, לענין גט וחליצה הוא דאמרו</w:t>
      </w:r>
      <w:r>
        <w:rPr>
          <w:rFonts w:cs="Arial" w:hint="cs"/>
          <w:rtl/>
        </w:rPr>
        <w:t>.</w:t>
      </w:r>
      <w:r w:rsidRPr="003123B3">
        <w:rPr>
          <w:rFonts w:cs="Arial"/>
          <w:rtl/>
        </w:rPr>
        <w:t xml:space="preserve"> ויש שמחמירים בגט ואומרים קידושי תורה שקידש בעודו ישראל אינו יכול להפקיע בהמרתו, מידי דהוה אשפוי ונשתטה, אך אם קבל קידושי בתו קטנה כשהוא מומר מקודשת, ומקבל גם הגירושין. ואין הנדון דומה לראיה, דבממונא ראוי לקונסו. </w:t>
      </w:r>
    </w:p>
    <w:p w14:paraId="1B4228F1" w14:textId="6948DC25" w:rsidR="00FA2119" w:rsidRPr="00AB290C" w:rsidRDefault="00FA2119" w:rsidP="00FA2119">
      <w:pPr>
        <w:pStyle w:val="ab"/>
        <w:numPr>
          <w:ilvl w:val="0"/>
          <w:numId w:val="72"/>
        </w:numPr>
      </w:pPr>
      <w:r w:rsidRPr="0099169F">
        <w:rPr>
          <w:rFonts w:cs="Arial"/>
          <w:rtl/>
        </w:rPr>
        <w:t>ר</w:t>
      </w:r>
      <w:r>
        <w:rPr>
          <w:rFonts w:cs="Arial" w:hint="cs"/>
          <w:rtl/>
        </w:rPr>
        <w:t>"</w:t>
      </w:r>
      <w:r w:rsidRPr="0099169F">
        <w:rPr>
          <w:rFonts w:cs="Arial"/>
          <w:rtl/>
        </w:rPr>
        <w:t xml:space="preserve">ת </w:t>
      </w:r>
      <w:r w:rsidRPr="00517025">
        <w:rPr>
          <w:rFonts w:cs="Arial"/>
          <w:sz w:val="16"/>
          <w:szCs w:val="16"/>
          <w:rtl/>
        </w:rPr>
        <w:t>(ספר הישר חלק השו"ת סי' כה)</w:t>
      </w:r>
      <w:r>
        <w:rPr>
          <w:rFonts w:cs="Arial" w:hint="cs"/>
          <w:rtl/>
        </w:rPr>
        <w:t xml:space="preserve"> והה"מ </w:t>
      </w:r>
      <w:r>
        <w:rPr>
          <w:rFonts w:cs="Arial" w:hint="cs"/>
          <w:sz w:val="16"/>
          <w:szCs w:val="16"/>
          <w:rtl/>
        </w:rPr>
        <w:t>(פ"ג הט"ו)</w:t>
      </w:r>
      <w:r w:rsidR="00A82951">
        <w:rPr>
          <w:rFonts w:cs="Arial" w:hint="cs"/>
          <w:rtl/>
        </w:rPr>
        <w:t>-</w:t>
      </w:r>
      <w:r>
        <w:rPr>
          <w:rFonts w:cs="Arial" w:hint="cs"/>
          <w:rtl/>
        </w:rPr>
        <w:t xml:space="preserve"> </w:t>
      </w:r>
      <w:r w:rsidRPr="003123B3">
        <w:rPr>
          <w:rFonts w:cs="Arial"/>
          <w:rtl/>
        </w:rPr>
        <w:t>ודאי אפילו קדש בעודו ישראל מגרש הוא לאחר שהמיר</w:t>
      </w:r>
      <w:r w:rsidR="00CD5141">
        <w:rPr>
          <w:rFonts w:cs="Arial" w:hint="cs"/>
          <w:rtl/>
        </w:rPr>
        <w:t>,</w:t>
      </w:r>
      <w:r w:rsidRPr="003123B3">
        <w:rPr>
          <w:rFonts w:cs="Arial"/>
          <w:rtl/>
        </w:rPr>
        <w:t xml:space="preserve"> וכן כתבו כל הגאונים ז"ל</w:t>
      </w:r>
      <w:r w:rsidR="00CD5141">
        <w:rPr>
          <w:rFonts w:cs="Arial" w:hint="cs"/>
          <w:rtl/>
        </w:rPr>
        <w:t>,</w:t>
      </w:r>
      <w:r w:rsidRPr="003123B3">
        <w:rPr>
          <w:rFonts w:cs="Arial"/>
          <w:rtl/>
        </w:rPr>
        <w:t xml:space="preserve"> ופשוט הוא שכיון שקדושיו קדושין אף גטו גט גמור</w:t>
      </w:r>
      <w:r>
        <w:rPr>
          <w:rFonts w:cs="Arial" w:hint="cs"/>
          <w:sz w:val="16"/>
          <w:szCs w:val="16"/>
          <w:rtl/>
        </w:rPr>
        <w:t xml:space="preserve"> (ל' הה"מ)</w:t>
      </w:r>
      <w:r>
        <w:rPr>
          <w:rFonts w:cs="Arial" w:hint="cs"/>
          <w:rtl/>
        </w:rPr>
        <w:t>.</w:t>
      </w:r>
      <w:r w:rsidRPr="003123B3">
        <w:rPr>
          <w:rFonts w:cs="Arial"/>
          <w:rtl/>
        </w:rPr>
        <w:t xml:space="preserve"> </w:t>
      </w:r>
      <w:r w:rsidRPr="00A73EE5">
        <w:rPr>
          <w:rFonts w:hint="cs"/>
          <w:color w:val="E36C0A" w:themeColor="accent6" w:themeShade="BF"/>
          <w:rtl/>
        </w:rPr>
        <w:t>(וכ"פ בשו"ע)</w:t>
      </w:r>
    </w:p>
    <w:p w14:paraId="542977E5" w14:textId="41686358" w:rsidR="00FA2119" w:rsidRPr="009004F9" w:rsidRDefault="00FA2119" w:rsidP="00FA2119">
      <w:pPr>
        <w:rPr>
          <w:rFonts w:cs="Arial"/>
          <w:rtl/>
        </w:rPr>
      </w:pPr>
      <w:r w:rsidRPr="009004F9">
        <w:rPr>
          <w:rFonts w:cs="Arial" w:hint="cs"/>
          <w:b/>
          <w:bCs/>
          <w:rtl/>
        </w:rPr>
        <w:t>תוספתא גיטין פ"</w:t>
      </w:r>
      <w:r>
        <w:rPr>
          <w:rFonts w:cs="Arial" w:hint="cs"/>
          <w:b/>
          <w:bCs/>
          <w:rtl/>
        </w:rPr>
        <w:t>ו</w:t>
      </w:r>
      <w:r w:rsidRPr="009004F9">
        <w:rPr>
          <w:rFonts w:cs="Arial" w:hint="cs"/>
          <w:b/>
          <w:bCs/>
          <w:rtl/>
        </w:rPr>
        <w:t xml:space="preserve"> ה"</w:t>
      </w:r>
      <w:r>
        <w:rPr>
          <w:rFonts w:cs="Arial" w:hint="cs"/>
          <w:b/>
          <w:bCs/>
          <w:rtl/>
        </w:rPr>
        <w:t>ד</w:t>
      </w:r>
      <w:r w:rsidRPr="009004F9">
        <w:rPr>
          <w:rFonts w:cs="Arial" w:hint="cs"/>
          <w:b/>
          <w:bCs/>
          <w:rtl/>
        </w:rPr>
        <w:t>:</w:t>
      </w:r>
      <w:r w:rsidRPr="009004F9">
        <w:rPr>
          <w:rFonts w:cs="Arial" w:hint="cs"/>
          <w:rtl/>
        </w:rPr>
        <w:t xml:space="preserve"> </w:t>
      </w:r>
      <w:r w:rsidRPr="009004F9">
        <w:rPr>
          <w:rFonts w:cs="Arial"/>
          <w:rtl/>
        </w:rPr>
        <w:t xml:space="preserve">גר ששינה שמו בשם הגוים </w:t>
      </w:r>
      <w:r w:rsidR="00A82951">
        <w:rPr>
          <w:rFonts w:cs="Arial" w:hint="cs"/>
          <w:rtl/>
        </w:rPr>
        <w:t>-</w:t>
      </w:r>
      <w:r>
        <w:rPr>
          <w:rFonts w:cs="Arial" w:hint="cs"/>
          <w:rtl/>
        </w:rPr>
        <w:t xml:space="preserve"> </w:t>
      </w:r>
      <w:r w:rsidRPr="009004F9">
        <w:rPr>
          <w:rFonts w:cs="Arial"/>
          <w:rtl/>
        </w:rPr>
        <w:t>כשר</w:t>
      </w:r>
      <w:r>
        <w:rPr>
          <w:rStyle w:val="a7"/>
          <w:rFonts w:cs="Arial"/>
          <w:rtl/>
        </w:rPr>
        <w:footnoteReference w:id="1062"/>
      </w:r>
      <w:r>
        <w:rPr>
          <w:rFonts w:cs="Arial" w:hint="cs"/>
          <w:rtl/>
        </w:rPr>
        <w:t>.</w:t>
      </w:r>
      <w:r w:rsidRPr="009004F9">
        <w:rPr>
          <w:rFonts w:cs="Arial"/>
          <w:rtl/>
        </w:rPr>
        <w:t xml:space="preserve"> וכן אתה אומ' בגירה</w:t>
      </w:r>
      <w:r>
        <w:rPr>
          <w:rFonts w:cs="Arial" w:hint="cs"/>
          <w:rtl/>
        </w:rPr>
        <w:t>.</w:t>
      </w:r>
    </w:p>
    <w:p w14:paraId="55E97DEE" w14:textId="65E8650F" w:rsidR="00FA2119" w:rsidRPr="00B65177" w:rsidRDefault="00FA2119" w:rsidP="00FA2119">
      <w:r w:rsidRPr="00993F86">
        <w:rPr>
          <w:rFonts w:hint="cs"/>
          <w:u w:val="single"/>
          <w:rtl/>
        </w:rPr>
        <w:t xml:space="preserve">מומר ששינה שמו לשם של גוים </w:t>
      </w:r>
      <w:r w:rsidR="00A82951">
        <w:rPr>
          <w:u w:val="single"/>
          <w:rtl/>
        </w:rPr>
        <w:t>-</w:t>
      </w:r>
      <w:r w:rsidRPr="00993F86">
        <w:rPr>
          <w:rFonts w:hint="cs"/>
          <w:u w:val="single"/>
          <w:rtl/>
        </w:rPr>
        <w:t xml:space="preserve"> באיזה שם יגרש:</w:t>
      </w:r>
      <w:r>
        <w:rPr>
          <w:rFonts w:hint="cs"/>
          <w:rtl/>
        </w:rPr>
        <w:t xml:space="preserve"> </w:t>
      </w:r>
    </w:p>
    <w:p w14:paraId="79910952" w14:textId="2A48A789" w:rsidR="00FA2119" w:rsidRDefault="00FA2119" w:rsidP="00FA2119">
      <w:pPr>
        <w:pStyle w:val="ab"/>
        <w:numPr>
          <w:ilvl w:val="0"/>
          <w:numId w:val="72"/>
        </w:numPr>
      </w:pPr>
      <w:r w:rsidRPr="0099169F">
        <w:rPr>
          <w:rFonts w:cs="Arial"/>
          <w:rtl/>
        </w:rPr>
        <w:t>ר</w:t>
      </w:r>
      <w:r>
        <w:rPr>
          <w:rFonts w:cs="Arial" w:hint="cs"/>
          <w:rtl/>
        </w:rPr>
        <w:t>"</w:t>
      </w:r>
      <w:r w:rsidRPr="0099169F">
        <w:rPr>
          <w:rFonts w:cs="Arial"/>
          <w:rtl/>
        </w:rPr>
        <w:t>ת</w:t>
      </w:r>
      <w:r>
        <w:rPr>
          <w:rStyle w:val="a7"/>
          <w:rFonts w:cs="Arial"/>
          <w:rtl/>
        </w:rPr>
        <w:footnoteReference w:id="1063"/>
      </w:r>
      <w:r w:rsidRPr="0099169F">
        <w:rPr>
          <w:rFonts w:cs="Arial"/>
          <w:rtl/>
        </w:rPr>
        <w:t xml:space="preserve"> </w:t>
      </w:r>
      <w:r w:rsidRPr="00517025">
        <w:rPr>
          <w:rFonts w:cs="Arial"/>
          <w:sz w:val="16"/>
          <w:szCs w:val="16"/>
          <w:rtl/>
        </w:rPr>
        <w:t>(ספר הישר</w:t>
      </w:r>
      <w:r w:rsidR="009334FF">
        <w:rPr>
          <w:rFonts w:cs="Arial" w:hint="cs"/>
          <w:sz w:val="16"/>
          <w:szCs w:val="16"/>
          <w:rtl/>
        </w:rPr>
        <w:t>,</w:t>
      </w:r>
      <w:r w:rsidRPr="00517025">
        <w:rPr>
          <w:rFonts w:cs="Arial"/>
          <w:sz w:val="16"/>
          <w:szCs w:val="16"/>
          <w:rtl/>
        </w:rPr>
        <w:t xml:space="preserve"> שו"ת סי' כה</w:t>
      </w:r>
      <w:r>
        <w:rPr>
          <w:rFonts w:cs="Arial" w:hint="cs"/>
          <w:sz w:val="16"/>
          <w:szCs w:val="16"/>
          <w:rtl/>
        </w:rPr>
        <w:t>, וחלק מדבריו מובאים בתוס'</w:t>
      </w:r>
      <w:r>
        <w:rPr>
          <w:rStyle w:val="a7"/>
          <w:rFonts w:cs="Arial"/>
          <w:rtl/>
        </w:rPr>
        <w:footnoteReference w:id="1064"/>
      </w:r>
      <w:r>
        <w:rPr>
          <w:rFonts w:cs="Arial" w:hint="cs"/>
          <w:sz w:val="16"/>
          <w:szCs w:val="16"/>
          <w:rtl/>
        </w:rPr>
        <w:t xml:space="preserve"> [לד: ד"ה והוא]</w:t>
      </w:r>
      <w:r w:rsidRPr="00517025">
        <w:rPr>
          <w:rFonts w:cs="Arial"/>
          <w:sz w:val="16"/>
          <w:szCs w:val="16"/>
          <w:rtl/>
        </w:rPr>
        <w:t>)</w:t>
      </w:r>
      <w:r>
        <w:rPr>
          <w:rFonts w:cs="Arial" w:hint="cs"/>
          <w:rtl/>
        </w:rPr>
        <w:t xml:space="preserve"> ו</w:t>
      </w:r>
      <w:r w:rsidRPr="00390632">
        <w:rPr>
          <w:rFonts w:cs="Arial"/>
          <w:rtl/>
        </w:rPr>
        <w:t xml:space="preserve">רמ"ה </w:t>
      </w:r>
      <w:r w:rsidRPr="00BD3D8D">
        <w:rPr>
          <w:rFonts w:cs="Arial"/>
          <w:sz w:val="16"/>
          <w:szCs w:val="16"/>
          <w:rtl/>
        </w:rPr>
        <w:t>(</w:t>
      </w:r>
      <w:r w:rsidR="009334FF">
        <w:rPr>
          <w:rFonts w:cs="Arial" w:hint="cs"/>
          <w:sz w:val="16"/>
          <w:szCs w:val="16"/>
          <w:rtl/>
        </w:rPr>
        <w:t>ב</w:t>
      </w:r>
      <w:r w:rsidRPr="00BD3D8D">
        <w:rPr>
          <w:rFonts w:cs="Arial"/>
          <w:sz w:val="16"/>
          <w:szCs w:val="16"/>
          <w:rtl/>
        </w:rPr>
        <w:t>חיד</w:t>
      </w:r>
      <w:r w:rsidR="009334FF">
        <w:rPr>
          <w:rFonts w:cs="Arial" w:hint="cs"/>
          <w:sz w:val="16"/>
          <w:szCs w:val="16"/>
          <w:rtl/>
        </w:rPr>
        <w:t>ו'</w:t>
      </w:r>
      <w:r w:rsidRPr="00BD3D8D">
        <w:rPr>
          <w:rFonts w:cs="Arial"/>
          <w:sz w:val="16"/>
          <w:szCs w:val="16"/>
          <w:rtl/>
        </w:rPr>
        <w:t xml:space="preserve"> גיטין לד: סי' נג</w:t>
      </w:r>
      <w:r w:rsidR="00A82951">
        <w:rPr>
          <w:rFonts w:cs="Arial"/>
          <w:sz w:val="16"/>
          <w:szCs w:val="16"/>
          <w:rtl/>
        </w:rPr>
        <w:t>-</w:t>
      </w:r>
      <w:r w:rsidRPr="00BD3D8D">
        <w:rPr>
          <w:rFonts w:cs="Arial"/>
          <w:sz w:val="16"/>
          <w:szCs w:val="16"/>
          <w:rtl/>
        </w:rPr>
        <w:t>נה)</w:t>
      </w:r>
      <w:r w:rsidR="00A82951">
        <w:rPr>
          <w:rFonts w:cs="Arial" w:hint="cs"/>
          <w:rtl/>
        </w:rPr>
        <w:t>-</w:t>
      </w:r>
      <w:r>
        <w:rPr>
          <w:rFonts w:cs="Arial" w:hint="cs"/>
          <w:rtl/>
        </w:rPr>
        <w:t xml:space="preserve"> </w:t>
      </w:r>
      <w:r w:rsidRPr="00463579">
        <w:rPr>
          <w:rFonts w:cs="Arial"/>
          <w:rtl/>
        </w:rPr>
        <w:t>מומר</w:t>
      </w:r>
      <w:r>
        <w:rPr>
          <w:rStyle w:val="a7"/>
          <w:rFonts w:cs="Arial"/>
          <w:rtl/>
        </w:rPr>
        <w:footnoteReference w:id="1065"/>
      </w:r>
      <w:r w:rsidRPr="00463579">
        <w:rPr>
          <w:rFonts w:cs="Arial"/>
          <w:rtl/>
        </w:rPr>
        <w:t xml:space="preserve"> אין לו לגרש אלא בשם ישראל</w:t>
      </w:r>
      <w:r>
        <w:rPr>
          <w:rStyle w:val="a7"/>
          <w:rFonts w:cs="Arial"/>
          <w:rtl/>
        </w:rPr>
        <w:footnoteReference w:id="1066"/>
      </w:r>
      <w:r w:rsidRPr="00463579">
        <w:rPr>
          <w:rFonts w:cs="Arial" w:hint="cs"/>
          <w:rtl/>
        </w:rPr>
        <w:t>.</w:t>
      </w:r>
      <w:r w:rsidRPr="00463579">
        <w:rPr>
          <w:rFonts w:cs="Arial"/>
          <w:rtl/>
        </w:rPr>
        <w:t xml:space="preserve"> ואם גירש בשם </w:t>
      </w:r>
      <w:r>
        <w:rPr>
          <w:rFonts w:cs="Arial"/>
          <w:rtl/>
        </w:rPr>
        <w:t>גוים</w:t>
      </w:r>
      <w:r w:rsidRPr="00463579">
        <w:rPr>
          <w:rFonts w:cs="Arial"/>
          <w:rtl/>
        </w:rPr>
        <w:t xml:space="preserve"> אע</w:t>
      </w:r>
      <w:r w:rsidRPr="00463579">
        <w:rPr>
          <w:rFonts w:cs="Arial" w:hint="cs"/>
          <w:rtl/>
        </w:rPr>
        <w:t>"</w:t>
      </w:r>
      <w:r w:rsidRPr="00463579">
        <w:rPr>
          <w:rFonts w:cs="Arial"/>
          <w:rtl/>
        </w:rPr>
        <w:t>פ דכתב וכל שם שיש לו</w:t>
      </w:r>
      <w:r w:rsidRPr="00463579">
        <w:rPr>
          <w:rFonts w:cs="Arial" w:hint="cs"/>
          <w:rtl/>
        </w:rPr>
        <w:t xml:space="preserve"> </w:t>
      </w:r>
      <w:r w:rsidR="00A82951">
        <w:rPr>
          <w:rFonts w:cs="Arial"/>
          <w:rtl/>
        </w:rPr>
        <w:t>-</w:t>
      </w:r>
      <w:r w:rsidRPr="00463579">
        <w:rPr>
          <w:rFonts w:cs="Arial"/>
          <w:rtl/>
        </w:rPr>
        <w:t xml:space="preserve"> פסול</w:t>
      </w:r>
      <w:r>
        <w:rPr>
          <w:rStyle w:val="a7"/>
          <w:rFonts w:cs="Arial"/>
          <w:rtl/>
        </w:rPr>
        <w:footnoteReference w:id="1067"/>
      </w:r>
      <w:r>
        <w:rPr>
          <w:rFonts w:cs="Arial" w:hint="cs"/>
          <w:sz w:val="16"/>
          <w:szCs w:val="16"/>
          <w:rtl/>
        </w:rPr>
        <w:t xml:space="preserve"> (ל' הטור בשם הרמ"ה)</w:t>
      </w:r>
      <w:r w:rsidRPr="00463579">
        <w:rPr>
          <w:rFonts w:cs="Arial" w:hint="cs"/>
          <w:rtl/>
        </w:rPr>
        <w:t>.</w:t>
      </w:r>
      <w:r w:rsidRPr="00463579">
        <w:rPr>
          <w:rFonts w:cs="Arial"/>
          <w:rtl/>
        </w:rPr>
        <w:t xml:space="preserve"> </w:t>
      </w:r>
      <w:r w:rsidRPr="00A73EE5">
        <w:rPr>
          <w:rFonts w:hint="cs"/>
          <w:color w:val="E36C0A" w:themeColor="accent6" w:themeShade="BF"/>
          <w:rtl/>
        </w:rPr>
        <w:t>(וכ"פ בשו"ע)</w:t>
      </w:r>
      <w:r w:rsidRPr="003D67A0">
        <w:rPr>
          <w:rFonts w:cs="Arial" w:hint="cs"/>
          <w:color w:val="00B0F0"/>
          <w:rtl/>
        </w:rPr>
        <w:t xml:space="preserve"> (וכ"פ </w:t>
      </w:r>
      <w:r>
        <w:rPr>
          <w:rFonts w:cs="Arial" w:hint="cs"/>
          <w:color w:val="00B0F0"/>
          <w:rtl/>
        </w:rPr>
        <w:t>הרמ"א</w:t>
      </w:r>
      <w:r w:rsidRPr="003D67A0">
        <w:rPr>
          <w:rFonts w:cs="Arial" w:hint="cs"/>
          <w:color w:val="00B0F0"/>
          <w:rtl/>
        </w:rPr>
        <w:t>)</w:t>
      </w:r>
    </w:p>
    <w:p w14:paraId="70226A70" w14:textId="674565A0" w:rsidR="00FA2119" w:rsidRDefault="00FA2119" w:rsidP="00FA2119">
      <w:pPr>
        <w:pStyle w:val="ab"/>
        <w:numPr>
          <w:ilvl w:val="0"/>
          <w:numId w:val="72"/>
        </w:numPr>
      </w:pPr>
      <w:r>
        <w:rPr>
          <w:rFonts w:cs="Arial" w:hint="cs"/>
          <w:rtl/>
        </w:rPr>
        <w:lastRenderedPageBreak/>
        <w:t xml:space="preserve">ר"ן </w:t>
      </w:r>
      <w:r>
        <w:rPr>
          <w:rFonts w:cs="Arial" w:hint="cs"/>
          <w:sz w:val="16"/>
          <w:szCs w:val="16"/>
          <w:rtl/>
        </w:rPr>
        <w:t>(גיטין יח.)</w:t>
      </w:r>
      <w:r w:rsidR="00A82951">
        <w:rPr>
          <w:rFonts w:cs="Arial" w:hint="cs"/>
          <w:rtl/>
        </w:rPr>
        <w:t>-</w:t>
      </w:r>
      <w:r>
        <w:rPr>
          <w:rFonts w:cs="Arial" w:hint="cs"/>
          <w:rtl/>
        </w:rPr>
        <w:t xml:space="preserve"> </w:t>
      </w:r>
      <w:r w:rsidRPr="009C4324">
        <w:rPr>
          <w:rFonts w:cs="Arial"/>
          <w:rtl/>
        </w:rPr>
        <w:t xml:space="preserve">ומומר </w:t>
      </w:r>
      <w:r>
        <w:rPr>
          <w:rFonts w:cs="Arial" w:hint="cs"/>
          <w:rtl/>
        </w:rPr>
        <w:t>ל</w:t>
      </w:r>
      <w:r w:rsidRPr="009C4324">
        <w:rPr>
          <w:rFonts w:cs="Arial"/>
          <w:rtl/>
        </w:rPr>
        <w:t>ע</w:t>
      </w:r>
      <w:r>
        <w:rPr>
          <w:rFonts w:cs="Arial" w:hint="cs"/>
          <w:rtl/>
        </w:rPr>
        <w:t>בודת כוכבים</w:t>
      </w:r>
      <w:r w:rsidRPr="009C4324">
        <w:rPr>
          <w:rFonts w:cs="Arial"/>
          <w:rtl/>
        </w:rPr>
        <w:t xml:space="preserve"> שגירש מסתברא שיש לו לכתוב השם שיש לו עכשיו</w:t>
      </w:r>
      <w:r>
        <w:rPr>
          <w:rFonts w:cs="Arial" w:hint="cs"/>
          <w:rtl/>
        </w:rPr>
        <w:t>,</w:t>
      </w:r>
      <w:r w:rsidRPr="009C4324">
        <w:rPr>
          <w:rFonts w:cs="Arial"/>
          <w:rtl/>
        </w:rPr>
        <w:t xml:space="preserve"> שהשם שהיה לו בעודו ישראל כבר נעתק ממנו. אבל ר"ת ז"ל כתב דכיון דאמרינן בהמגרש דאפי' בחניכתו וחניכתה כשר</w:t>
      </w:r>
      <w:r w:rsidR="009334FF">
        <w:rPr>
          <w:rFonts w:cs="Arial" w:hint="cs"/>
          <w:rtl/>
        </w:rPr>
        <w:t>,</w:t>
      </w:r>
      <w:r w:rsidRPr="009C4324">
        <w:rPr>
          <w:rFonts w:cs="Arial"/>
          <w:rtl/>
        </w:rPr>
        <w:t xml:space="preserve"> שם ישראל לא גרע מחניכה</w:t>
      </w:r>
      <w:r>
        <w:rPr>
          <w:rFonts w:cs="Arial" w:hint="cs"/>
          <w:rtl/>
        </w:rPr>
        <w:t>,</w:t>
      </w:r>
      <w:r w:rsidRPr="009C4324">
        <w:rPr>
          <w:rFonts w:cs="Arial"/>
          <w:rtl/>
        </w:rPr>
        <w:t xml:space="preserve"> וכיון שכתב וכל שום בשביל שם של עכשיו סגי</w:t>
      </w:r>
      <w:r>
        <w:rPr>
          <w:rFonts w:cs="Arial" w:hint="cs"/>
          <w:rtl/>
        </w:rPr>
        <w:t>,</w:t>
      </w:r>
      <w:r w:rsidRPr="009C4324">
        <w:rPr>
          <w:rFonts w:cs="Arial"/>
          <w:rtl/>
        </w:rPr>
        <w:t xml:space="preserve"> וטפי עדיף מלכתוב שם ע</w:t>
      </w:r>
      <w:r>
        <w:rPr>
          <w:rFonts w:cs="Arial" w:hint="cs"/>
          <w:rtl/>
        </w:rPr>
        <w:t>בודת כוכבים</w:t>
      </w:r>
      <w:r w:rsidRPr="009C4324">
        <w:rPr>
          <w:rFonts w:cs="Arial"/>
          <w:rtl/>
        </w:rPr>
        <w:t xml:space="preserve"> עם כדת משה וישראל</w:t>
      </w:r>
      <w:r>
        <w:rPr>
          <w:rFonts w:cs="Arial" w:hint="cs"/>
          <w:rtl/>
        </w:rPr>
        <w:t>.</w:t>
      </w:r>
      <w:r w:rsidRPr="009C4324">
        <w:rPr>
          <w:rFonts w:cs="Arial"/>
          <w:rtl/>
        </w:rPr>
        <w:t xml:space="preserve"> ולמכתבינהו לתרוייהו עדיף טפי</w:t>
      </w:r>
      <w:r>
        <w:rPr>
          <w:rFonts w:hint="cs"/>
          <w:rtl/>
        </w:rPr>
        <w:t>.</w:t>
      </w:r>
    </w:p>
    <w:p w14:paraId="735A31F0" w14:textId="77777777" w:rsidR="00FA2119" w:rsidRPr="000B5342" w:rsidRDefault="00FA2119" w:rsidP="00FA2119">
      <w:pPr>
        <w:ind w:left="360"/>
        <w:rPr>
          <w:rFonts w:cs="Arial"/>
          <w:u w:val="dotted"/>
          <w:rtl/>
        </w:rPr>
      </w:pPr>
      <w:r>
        <w:rPr>
          <w:rFonts w:cs="Arial" w:hint="cs"/>
          <w:u w:val="dotted"/>
          <w:rtl/>
        </w:rPr>
        <w:t>ו</w:t>
      </w:r>
      <w:r w:rsidRPr="000B5342">
        <w:rPr>
          <w:rFonts w:cs="Arial" w:hint="cs"/>
          <w:u w:val="dotted"/>
          <w:rtl/>
        </w:rPr>
        <w:t xml:space="preserve">מה </w:t>
      </w:r>
      <w:r>
        <w:rPr>
          <w:rFonts w:cs="Arial" w:hint="cs"/>
          <w:u w:val="dotted"/>
          <w:rtl/>
        </w:rPr>
        <w:t xml:space="preserve">הדין אם </w:t>
      </w:r>
      <w:r w:rsidRPr="000B5342">
        <w:rPr>
          <w:rFonts w:cs="Arial" w:hint="cs"/>
          <w:u w:val="dotted"/>
          <w:rtl/>
        </w:rPr>
        <w:t xml:space="preserve">כתב את </w:t>
      </w:r>
      <w:r>
        <w:rPr>
          <w:rFonts w:cs="Arial" w:hint="cs"/>
          <w:u w:val="dotted"/>
          <w:rtl/>
        </w:rPr>
        <w:t xml:space="preserve">שניהם בפירוש אך כתב </w:t>
      </w:r>
      <w:r w:rsidRPr="000B5342">
        <w:rPr>
          <w:rFonts w:cs="Arial" w:hint="cs"/>
          <w:u w:val="dotted"/>
          <w:rtl/>
        </w:rPr>
        <w:t>שם גיותו עיקר</w:t>
      </w:r>
      <w:r>
        <w:rPr>
          <w:rFonts w:cs="Arial" w:hint="cs"/>
          <w:u w:val="dotted"/>
          <w:rtl/>
        </w:rPr>
        <w:t xml:space="preserve"> ואת שם יהדותו טפל</w:t>
      </w:r>
      <w:r w:rsidRPr="000B5342">
        <w:rPr>
          <w:rFonts w:cs="Arial" w:hint="cs"/>
          <w:u w:val="dotted"/>
          <w:rtl/>
        </w:rPr>
        <w:t>:</w:t>
      </w:r>
    </w:p>
    <w:p w14:paraId="663AA9B7" w14:textId="5CD15F7B" w:rsidR="00FA2119" w:rsidRDefault="00FA2119" w:rsidP="00FA2119">
      <w:pPr>
        <w:pStyle w:val="ab"/>
        <w:numPr>
          <w:ilvl w:val="0"/>
          <w:numId w:val="72"/>
        </w:numPr>
      </w:pPr>
      <w:r w:rsidRPr="00684B92">
        <w:rPr>
          <w:rFonts w:cs="Arial"/>
          <w:rtl/>
        </w:rPr>
        <w:t xml:space="preserve">ריב"ש </w:t>
      </w:r>
      <w:r w:rsidRPr="00684B92">
        <w:rPr>
          <w:rFonts w:cs="Arial" w:hint="cs"/>
          <w:sz w:val="16"/>
          <w:szCs w:val="16"/>
          <w:rtl/>
        </w:rPr>
        <w:t>(</w:t>
      </w:r>
      <w:r w:rsidRPr="00684B92">
        <w:rPr>
          <w:rFonts w:cs="Arial"/>
          <w:sz w:val="16"/>
          <w:szCs w:val="16"/>
          <w:rtl/>
        </w:rPr>
        <w:t>סי</w:t>
      </w:r>
      <w:r w:rsidRPr="00684B92">
        <w:rPr>
          <w:rFonts w:cs="Arial" w:hint="cs"/>
          <w:sz w:val="16"/>
          <w:szCs w:val="16"/>
          <w:rtl/>
        </w:rPr>
        <w:t>'</w:t>
      </w:r>
      <w:r w:rsidRPr="00684B92">
        <w:rPr>
          <w:rFonts w:cs="Arial"/>
          <w:sz w:val="16"/>
          <w:szCs w:val="16"/>
          <w:rtl/>
        </w:rPr>
        <w:t xml:space="preserve"> מג</w:t>
      </w:r>
      <w:r w:rsidRPr="00684B92">
        <w:rPr>
          <w:rFonts w:cs="Arial" w:hint="cs"/>
          <w:sz w:val="16"/>
          <w:szCs w:val="16"/>
          <w:rtl/>
        </w:rPr>
        <w:t>)</w:t>
      </w:r>
      <w:r w:rsidR="00A82951">
        <w:rPr>
          <w:rFonts w:cs="Arial" w:hint="cs"/>
          <w:rtl/>
        </w:rPr>
        <w:t>-</w:t>
      </w:r>
      <w:r w:rsidRPr="00684B92">
        <w:rPr>
          <w:rFonts w:cs="Arial"/>
          <w:rtl/>
        </w:rPr>
        <w:t xml:space="preserve"> אהא דמרים וכל שום שיש לה וכו' פירוש שאינו כותב השם העיקרי בפירוש אלא כותב השם הטפל בפירוש והעיקרי כולל סתם בלשון וכל שום דאית לי</w:t>
      </w:r>
      <w:r>
        <w:rPr>
          <w:rFonts w:cs="Arial" w:hint="cs"/>
          <w:rtl/>
        </w:rPr>
        <w:t>,</w:t>
      </w:r>
      <w:r w:rsidRPr="00684B92">
        <w:rPr>
          <w:rFonts w:cs="Arial"/>
          <w:rtl/>
        </w:rPr>
        <w:t xml:space="preserve"> ומשום הכי פסול</w:t>
      </w:r>
      <w:r>
        <w:rPr>
          <w:rFonts w:cs="Arial" w:hint="cs"/>
          <w:rtl/>
        </w:rPr>
        <w:t>.</w:t>
      </w:r>
      <w:r w:rsidRPr="00684B92">
        <w:rPr>
          <w:rFonts w:cs="Arial"/>
          <w:rtl/>
        </w:rPr>
        <w:t xml:space="preserve"> אבל אם השני שמות כתובים בגט בפירוש </w:t>
      </w:r>
      <w:r w:rsidR="00A82951">
        <w:rPr>
          <w:rFonts w:cs="Arial" w:hint="cs"/>
          <w:rtl/>
        </w:rPr>
        <w:t>-</w:t>
      </w:r>
      <w:r>
        <w:rPr>
          <w:rFonts w:cs="Arial" w:hint="cs"/>
          <w:rtl/>
        </w:rPr>
        <w:t xml:space="preserve"> </w:t>
      </w:r>
      <w:r w:rsidRPr="00684B92">
        <w:rPr>
          <w:rFonts w:cs="Arial"/>
          <w:rtl/>
        </w:rPr>
        <w:t>אין הפרש בין שכותב זה ראשון או זה</w:t>
      </w:r>
      <w:r>
        <w:rPr>
          <w:rFonts w:cs="Arial" w:hint="cs"/>
          <w:rtl/>
        </w:rPr>
        <w:t>,</w:t>
      </w:r>
      <w:r w:rsidRPr="00684B92">
        <w:rPr>
          <w:rFonts w:cs="Arial"/>
          <w:rtl/>
        </w:rPr>
        <w:t xml:space="preserve"> דאפילו שרה דמתקריא מרים כשר אפילו לכתחלה ולא פסל אלא כשכולל מרים שהוא השם העיקר בלשון וכל שום. והוא הדין נמי אם כתוב בגט שם גיות של הבעל עיקרי ושם של יהודי בלשון דמתקרי דכשר</w:t>
      </w:r>
      <w:r w:rsidRPr="00684B92">
        <w:rPr>
          <w:rFonts w:cs="Arial" w:hint="cs"/>
          <w:rtl/>
        </w:rPr>
        <w:t>,</w:t>
      </w:r>
      <w:r w:rsidRPr="00684B92">
        <w:rPr>
          <w:rFonts w:cs="Arial"/>
          <w:rtl/>
        </w:rPr>
        <w:t xml:space="preserve"> אלא דלר</w:t>
      </w:r>
      <w:r>
        <w:rPr>
          <w:rFonts w:cs="Arial" w:hint="cs"/>
          <w:rtl/>
        </w:rPr>
        <w:t>"</w:t>
      </w:r>
      <w:r w:rsidRPr="00684B92">
        <w:rPr>
          <w:rFonts w:cs="Arial"/>
          <w:rtl/>
        </w:rPr>
        <w:t>ת בדיעבד</w:t>
      </w:r>
      <w:r w:rsidRPr="00684B92">
        <w:rPr>
          <w:rFonts w:cs="Arial" w:hint="cs"/>
          <w:rtl/>
        </w:rPr>
        <w:t>,</w:t>
      </w:r>
      <w:r w:rsidRPr="00684B92">
        <w:rPr>
          <w:rFonts w:cs="Arial"/>
          <w:rtl/>
        </w:rPr>
        <w:t xml:space="preserve"> ולהרמ"ה והרמב"ן (לד: ד"ה מתני') אפילו לכתחלה. ומ"ש ר</w:t>
      </w:r>
      <w:r>
        <w:rPr>
          <w:rFonts w:cs="Arial" w:hint="cs"/>
          <w:rtl/>
        </w:rPr>
        <w:t>"</w:t>
      </w:r>
      <w:r w:rsidRPr="00684B92">
        <w:rPr>
          <w:rFonts w:cs="Arial"/>
          <w:rtl/>
        </w:rPr>
        <w:t>ת בתשובה (ספר הישר לר"ת חלק השו"ת סי' כה) חלילה מלהזכיר שם גיות בתורת משה היינו לפי שנשאל במומר שגירש את אשתו בשם יהדות ולא נזכר בגט שם של גיות</w:t>
      </w:r>
      <w:r w:rsidRPr="00684B92">
        <w:rPr>
          <w:rFonts w:cs="Arial" w:hint="cs"/>
          <w:rtl/>
        </w:rPr>
        <w:t>,</w:t>
      </w:r>
      <w:r w:rsidRPr="00684B92">
        <w:rPr>
          <w:rFonts w:cs="Arial"/>
          <w:rtl/>
        </w:rPr>
        <w:t xml:space="preserve"> והיו נוהגים על פיו לכתוב גם שם הטפל בפירוש בלשון דמתקרי</w:t>
      </w:r>
      <w:r w:rsidRPr="00684B92">
        <w:rPr>
          <w:rFonts w:cs="Arial" w:hint="cs"/>
          <w:rtl/>
        </w:rPr>
        <w:t>,</w:t>
      </w:r>
      <w:r w:rsidRPr="00684B92">
        <w:rPr>
          <w:rFonts w:cs="Arial"/>
          <w:rtl/>
        </w:rPr>
        <w:t xml:space="preserve"> לזה אמר דהיינו בשאר שמות אבל שם של גיות אין צריך להזכירו דלא גרע שם יהדות מחניכתו ולא אמרו בהיו לו שני שמות בעיר אחת שיהא צריך לכתוב שניהם אלא כשיש לו שם אחד ביהודה ושם אחר בגליל ואין מכירין ביהודה בשם דגליל ולא בגליל שם דיהודה ויאמרו שלא גירש</w:t>
      </w:r>
      <w:r w:rsidRPr="00684B92">
        <w:rPr>
          <w:rFonts w:cs="Arial" w:hint="cs"/>
          <w:rtl/>
        </w:rPr>
        <w:t>,</w:t>
      </w:r>
      <w:r w:rsidRPr="00684B92">
        <w:rPr>
          <w:rFonts w:cs="Arial"/>
          <w:rtl/>
        </w:rPr>
        <w:t xml:space="preserve"> אבל כל שהוחזק בשני שמות בעיר הזה די באחד אפילו בחניכא. אמנם לכתחלה צריך שניהם בפירוש והיינו ההיא דרובא מרים ופורתא שרה לפי פירושו</w:t>
      </w:r>
      <w:r w:rsidRPr="00684B92">
        <w:rPr>
          <w:rFonts w:cs="Arial" w:hint="cs"/>
          <w:rtl/>
        </w:rPr>
        <w:t>,</w:t>
      </w:r>
      <w:r w:rsidRPr="00684B92">
        <w:rPr>
          <w:rFonts w:cs="Arial"/>
          <w:rtl/>
        </w:rPr>
        <w:t xml:space="preserve"> ולכתחלה איתמר. ומי שמפרש ההיא דתנן בהמגרש (פז:) כך היו נקיי הדעת שבירושלים עושים דקאי אחניכא דאלמא דאפילו לכתחלה די בחניכא ואין צריך לכתוב עיקר השם, י"ל דמיירי בחניכא שמכירים אותה בכל מקום והכל קורין אותו בשם זה אלא כשחותם בשטר או כשקורא בתורה קורין אותו בשם המובהק משום הכי סגי בשם החניכא לחוד</w:t>
      </w:r>
      <w:r>
        <w:rPr>
          <w:rFonts w:cs="Arial" w:hint="cs"/>
          <w:rtl/>
        </w:rPr>
        <w:t>.</w:t>
      </w:r>
      <w:r w:rsidRPr="00684B92">
        <w:rPr>
          <w:rFonts w:cs="Arial"/>
          <w:rtl/>
        </w:rPr>
        <w:t xml:space="preserve"> ומשום הכי משומד אין צריך לכתוב אלא שם יהדות בגט</w:t>
      </w:r>
      <w:r>
        <w:rPr>
          <w:rFonts w:cs="Arial" w:hint="cs"/>
          <w:rtl/>
        </w:rPr>
        <w:t>,</w:t>
      </w:r>
      <w:r w:rsidRPr="00684B92">
        <w:rPr>
          <w:rFonts w:cs="Arial"/>
          <w:rtl/>
        </w:rPr>
        <w:t xml:space="preserve"> שהוא עיקר וכל ישראל קורין אותו בשם הזה</w:t>
      </w:r>
      <w:r>
        <w:rPr>
          <w:rFonts w:cs="Arial" w:hint="cs"/>
          <w:rtl/>
        </w:rPr>
        <w:t>,</w:t>
      </w:r>
      <w:r w:rsidRPr="00684B92">
        <w:rPr>
          <w:rFonts w:cs="Arial"/>
          <w:rtl/>
        </w:rPr>
        <w:t xml:space="preserve"> ואף אם לא כתב </w:t>
      </w:r>
      <w:r>
        <w:rPr>
          <w:rFonts w:cs="Arial" w:hint="cs"/>
          <w:rtl/>
        </w:rPr>
        <w:t>'</w:t>
      </w:r>
      <w:r w:rsidRPr="00684B92">
        <w:rPr>
          <w:rFonts w:cs="Arial"/>
          <w:rtl/>
        </w:rPr>
        <w:t>וכל שום וחניכא</w:t>
      </w:r>
      <w:r>
        <w:rPr>
          <w:rFonts w:cs="Arial" w:hint="cs"/>
          <w:rtl/>
        </w:rPr>
        <w:t>',</w:t>
      </w:r>
      <w:r w:rsidRPr="00684B92">
        <w:rPr>
          <w:rFonts w:cs="Arial"/>
          <w:rtl/>
        </w:rPr>
        <w:t xml:space="preserve"> אלא שנהגו לכתבו בכל הגיטין</w:t>
      </w:r>
      <w:r w:rsidRPr="00684B92">
        <w:rPr>
          <w:rFonts w:cs="Arial" w:hint="cs"/>
          <w:rtl/>
        </w:rPr>
        <w:t>.</w:t>
      </w:r>
      <w:r w:rsidRPr="00684B92">
        <w:rPr>
          <w:rFonts w:cs="Arial"/>
          <w:rtl/>
        </w:rPr>
        <w:t xml:space="preserve"> אמנם כל שכתב שם גיות ברישא ושם יהדות בלשון דמתקרי </w:t>
      </w:r>
      <w:r w:rsidR="00A82951">
        <w:rPr>
          <w:rFonts w:cs="Arial" w:hint="cs"/>
          <w:rtl/>
        </w:rPr>
        <w:t>-</w:t>
      </w:r>
      <w:r>
        <w:rPr>
          <w:rFonts w:cs="Arial" w:hint="cs"/>
          <w:rtl/>
        </w:rPr>
        <w:t xml:space="preserve"> </w:t>
      </w:r>
      <w:r w:rsidRPr="00684B92">
        <w:rPr>
          <w:rFonts w:cs="Arial"/>
          <w:rtl/>
        </w:rPr>
        <w:t>לא גרע. עוד היה אפשר לומר דכיון שהמלכות מקפדת שלא להזכיר המומר בשם יהדות</w:t>
      </w:r>
      <w:r w:rsidRPr="00684B92">
        <w:rPr>
          <w:rFonts w:cs="Arial" w:hint="cs"/>
          <w:rtl/>
        </w:rPr>
        <w:t>,</w:t>
      </w:r>
      <w:r w:rsidRPr="00684B92">
        <w:rPr>
          <w:rFonts w:cs="Arial"/>
          <w:rtl/>
        </w:rPr>
        <w:t xml:space="preserve"> והעדים יראים לנפשם מלכתוב בשטר שם יהדות בעיקר</w:t>
      </w:r>
      <w:r w:rsidRPr="00684B92">
        <w:rPr>
          <w:rFonts w:cs="Arial" w:hint="cs"/>
          <w:rtl/>
        </w:rPr>
        <w:t>,</w:t>
      </w:r>
      <w:r w:rsidRPr="00684B92">
        <w:rPr>
          <w:rFonts w:cs="Arial"/>
          <w:rtl/>
        </w:rPr>
        <w:t xml:space="preserve"> אם כן אפשר לומר דשם גיות עיקר ודי לכלול שם יהדות בלשון וכל שום</w:t>
      </w:r>
      <w:r w:rsidRPr="00684B92">
        <w:rPr>
          <w:rFonts w:cs="Arial" w:hint="cs"/>
          <w:rtl/>
        </w:rPr>
        <w:t>,</w:t>
      </w:r>
      <w:r w:rsidRPr="00684B92">
        <w:rPr>
          <w:rFonts w:cs="Arial"/>
          <w:rtl/>
        </w:rPr>
        <w:t xml:space="preserve"> וכבר מצינו שחשו חכמים למה שהמלכות מקפדת ותקנו משום שלום מלכות למיכתב זמן בגט למלכות המולך בעיר שנכתב בו הגט כדאיתא בהזורק (פ.), ואצ"ל בזה שמקפידים שהוא כנגד אמונתם ולזה אפשר לומר שיש לכתוב שם גיות עיקר אפילו לכתחלה מפני אימת המלכות ולכלול שם יהדות בלשון וכל שום</w:t>
      </w:r>
      <w:r w:rsidRPr="00684B92">
        <w:rPr>
          <w:rFonts w:cs="Arial" w:hint="cs"/>
          <w:rtl/>
        </w:rPr>
        <w:t>,</w:t>
      </w:r>
      <w:r w:rsidRPr="00684B92">
        <w:rPr>
          <w:rFonts w:cs="Arial"/>
          <w:rtl/>
        </w:rPr>
        <w:t xml:space="preserve"> אלא אם נכתב במקום שאין סכנה בדבר</w:t>
      </w:r>
      <w:r w:rsidRPr="00684B92">
        <w:rPr>
          <w:rFonts w:cs="Arial" w:hint="cs"/>
          <w:rtl/>
        </w:rPr>
        <w:t>.</w:t>
      </w:r>
      <w:r w:rsidRPr="00684B92">
        <w:rPr>
          <w:rFonts w:cs="Arial"/>
          <w:rtl/>
        </w:rPr>
        <w:t xml:space="preserve"> וכשהורה ר"ת</w:t>
      </w:r>
      <w:r w:rsidRPr="00684B92">
        <w:rPr>
          <w:rFonts w:cs="Arial" w:hint="cs"/>
          <w:rtl/>
        </w:rPr>
        <w:t>,</w:t>
      </w:r>
      <w:r w:rsidRPr="00684B92">
        <w:rPr>
          <w:rFonts w:cs="Arial"/>
          <w:rtl/>
        </w:rPr>
        <w:t xml:space="preserve"> לדורו ולמקומו הורה</w:t>
      </w:r>
      <w:r w:rsidRPr="00684B92">
        <w:rPr>
          <w:rFonts w:cs="Arial" w:hint="cs"/>
          <w:rtl/>
        </w:rPr>
        <w:t>.</w:t>
      </w:r>
      <w:r w:rsidRPr="00684B92">
        <w:rPr>
          <w:rFonts w:cs="Arial"/>
          <w:rtl/>
        </w:rPr>
        <w:t xml:space="preserve"> ובדברים כאלה אין לך אלא מקומם ושעתם</w:t>
      </w:r>
      <w:r>
        <w:rPr>
          <w:rStyle w:val="a7"/>
          <w:rFonts w:cs="Arial"/>
          <w:rtl/>
        </w:rPr>
        <w:footnoteReference w:id="1068"/>
      </w:r>
      <w:r w:rsidRPr="00684B92">
        <w:rPr>
          <w:rFonts w:cs="Arial" w:hint="cs"/>
          <w:rtl/>
        </w:rPr>
        <w:t>.</w:t>
      </w:r>
      <w:r>
        <w:rPr>
          <w:rFonts w:cs="Arial" w:hint="cs"/>
          <w:rtl/>
        </w:rPr>
        <w:t xml:space="preserve"> </w:t>
      </w:r>
      <w:r w:rsidRPr="000B5342">
        <w:rPr>
          <w:rFonts w:cs="Arial" w:hint="cs"/>
          <w:color w:val="E36C0A" w:themeColor="accent6" w:themeShade="BF"/>
          <w:rtl/>
        </w:rPr>
        <w:t>(וכ"פ בשו"ע)</w:t>
      </w:r>
    </w:p>
    <w:p w14:paraId="738DB01D" w14:textId="77777777" w:rsidR="00FA2119" w:rsidRPr="000B5342" w:rsidRDefault="00FA2119" w:rsidP="00FA2119">
      <w:pPr>
        <w:rPr>
          <w:u w:val="single"/>
        </w:rPr>
      </w:pPr>
      <w:r w:rsidRPr="000B5342">
        <w:rPr>
          <w:rFonts w:hint="cs"/>
          <w:u w:val="single"/>
          <w:rtl/>
        </w:rPr>
        <w:t>מומר שנשתקע שם ישראל ממנו:</w:t>
      </w:r>
    </w:p>
    <w:p w14:paraId="1DAA3230" w14:textId="20C75B98" w:rsidR="00FA2119" w:rsidRDefault="00FA2119" w:rsidP="00FA2119">
      <w:pPr>
        <w:pStyle w:val="ab"/>
        <w:numPr>
          <w:ilvl w:val="0"/>
          <w:numId w:val="72"/>
        </w:numPr>
        <w:rPr>
          <w:rtl/>
        </w:rPr>
      </w:pPr>
      <w:r>
        <w:rPr>
          <w:rFonts w:cs="Arial" w:hint="cs"/>
          <w:rtl/>
        </w:rPr>
        <w:t>ב"י</w:t>
      </w:r>
      <w:r w:rsidR="00A82951">
        <w:rPr>
          <w:rFonts w:cs="Arial" w:hint="cs"/>
          <w:rtl/>
        </w:rPr>
        <w:t>-</w:t>
      </w:r>
      <w:r>
        <w:rPr>
          <w:rFonts w:cs="Arial" w:hint="cs"/>
          <w:rtl/>
        </w:rPr>
        <w:t xml:space="preserve"> </w:t>
      </w:r>
      <w:r w:rsidRPr="0099169F">
        <w:rPr>
          <w:rFonts w:cs="Arial"/>
          <w:rtl/>
        </w:rPr>
        <w:t xml:space="preserve">ואם נשתקע שם דישראל ממנו כתב מהרי"ק </w:t>
      </w:r>
      <w:r w:rsidR="006761E2">
        <w:rPr>
          <w:rFonts w:cs="Arial" w:hint="cs"/>
          <w:rtl/>
        </w:rPr>
        <w:t>(</w:t>
      </w:r>
      <w:r w:rsidRPr="0099169F">
        <w:rPr>
          <w:rFonts w:cs="Arial"/>
          <w:rtl/>
        </w:rPr>
        <w:t>שורש פו</w:t>
      </w:r>
      <w:r w:rsidR="006761E2">
        <w:rPr>
          <w:rFonts w:cs="Arial" w:hint="cs"/>
          <w:rtl/>
        </w:rPr>
        <w:t>)</w:t>
      </w:r>
      <w:r w:rsidRPr="0099169F">
        <w:rPr>
          <w:rFonts w:cs="Arial"/>
          <w:rtl/>
        </w:rPr>
        <w:t xml:space="preserve"> שדינו שוה ללא נשתקע</w:t>
      </w:r>
      <w:r w:rsidR="006761E2">
        <w:rPr>
          <w:rFonts w:cs="Arial" w:hint="cs"/>
          <w:rtl/>
        </w:rPr>
        <w:t>,</w:t>
      </w:r>
      <w:r w:rsidRPr="0099169F">
        <w:rPr>
          <w:rFonts w:cs="Arial"/>
          <w:rtl/>
        </w:rPr>
        <w:t xml:space="preserve"> דלעולם מגרש בשם דיהדות ולא להזכיר שם דגיות. ותימה</w:t>
      </w:r>
      <w:r w:rsidR="006761E2">
        <w:rPr>
          <w:rFonts w:cs="Arial" w:hint="cs"/>
          <w:rtl/>
        </w:rPr>
        <w:t>,</w:t>
      </w:r>
      <w:r w:rsidRPr="0099169F">
        <w:rPr>
          <w:rFonts w:cs="Arial"/>
          <w:rtl/>
        </w:rPr>
        <w:t xml:space="preserve"> שהרי התוספות והרשב"א והרא"ש והר"ן (שם) כתבו דטעמא דר</w:t>
      </w:r>
      <w:r w:rsidR="006761E2">
        <w:rPr>
          <w:rFonts w:cs="Arial" w:hint="cs"/>
          <w:rtl/>
        </w:rPr>
        <w:t>"</w:t>
      </w:r>
      <w:r w:rsidRPr="0099169F">
        <w:rPr>
          <w:rFonts w:cs="Arial"/>
          <w:rtl/>
        </w:rPr>
        <w:t>ת משום דשם דיהדות לא גרע מחניכתו וחניכתה דכשר</w:t>
      </w:r>
      <w:r w:rsidR="006761E2">
        <w:rPr>
          <w:rFonts w:cs="Arial" w:hint="cs"/>
          <w:rtl/>
        </w:rPr>
        <w:t>,</w:t>
      </w:r>
      <w:r w:rsidRPr="0099169F">
        <w:rPr>
          <w:rFonts w:cs="Arial"/>
          <w:rtl/>
        </w:rPr>
        <w:t xml:space="preserve"> והתם משמע ודאי שאם אינם ניכרים בחניכתן כלל פסול הוי. ועוד שהרא"ש והרשב"א הביאו ראיה לדברי ר</w:t>
      </w:r>
      <w:r w:rsidR="006761E2">
        <w:rPr>
          <w:rFonts w:cs="Arial" w:hint="cs"/>
          <w:rtl/>
        </w:rPr>
        <w:t>"</w:t>
      </w:r>
      <w:r w:rsidRPr="0099169F">
        <w:rPr>
          <w:rFonts w:cs="Arial"/>
          <w:rtl/>
        </w:rPr>
        <w:t xml:space="preserve">ת מדלא תנן היו לו </w:t>
      </w:r>
      <w:r>
        <w:rPr>
          <w:rFonts w:cs="Arial"/>
          <w:rtl/>
        </w:rPr>
        <w:t>שני שמות</w:t>
      </w:r>
      <w:r w:rsidRPr="0099169F">
        <w:rPr>
          <w:rFonts w:cs="Arial"/>
          <w:rtl/>
        </w:rPr>
        <w:t xml:space="preserve"> ביהודה וכו' אבל כשהוא מוחזק בשני שמות במקום אחד די באחד אפילו בחניכא ע"כ</w:t>
      </w:r>
      <w:r w:rsidR="006761E2">
        <w:rPr>
          <w:rFonts w:cs="Arial" w:hint="cs"/>
          <w:rtl/>
        </w:rPr>
        <w:t>.</w:t>
      </w:r>
      <w:r w:rsidRPr="0099169F">
        <w:rPr>
          <w:rFonts w:cs="Arial"/>
          <w:rtl/>
        </w:rPr>
        <w:t xml:space="preserve"> משמע דדוקא כשהוא מוחזק בשני שמות עסקינן. ואע</w:t>
      </w:r>
      <w:r w:rsidR="006761E2">
        <w:rPr>
          <w:rFonts w:cs="Arial" w:hint="cs"/>
          <w:rtl/>
        </w:rPr>
        <w:t>"</w:t>
      </w:r>
      <w:r w:rsidRPr="0099169F">
        <w:rPr>
          <w:rFonts w:cs="Arial"/>
          <w:rtl/>
        </w:rPr>
        <w:t>פ שהר"ן כתב גבי מומר שהשם שהיה לו בעודו ישראל כבר נעתק ממנו, אע</w:t>
      </w:r>
      <w:r>
        <w:rPr>
          <w:rFonts w:cs="Arial" w:hint="cs"/>
          <w:rtl/>
        </w:rPr>
        <w:t>"</w:t>
      </w:r>
      <w:r w:rsidRPr="0099169F">
        <w:rPr>
          <w:rFonts w:cs="Arial"/>
          <w:rtl/>
        </w:rPr>
        <w:t>פ שהוא מוחזק בו מיקרי שפיר נעתק מאחר שיצא מכלל ישראל וקנה שם אחר לעצמו</w:t>
      </w:r>
      <w:r>
        <w:rPr>
          <w:rFonts w:cs="Arial" w:hint="cs"/>
          <w:rtl/>
        </w:rPr>
        <w:t>,</w:t>
      </w:r>
      <w:r w:rsidRPr="0099169F">
        <w:rPr>
          <w:rFonts w:cs="Arial"/>
          <w:rtl/>
        </w:rPr>
        <w:t xml:space="preserve"> אבל בנשתקע ממנו שם יהדות משמע דלא מכשיר. ומה שהביא ראיה מהרי"ק מדסתם ר</w:t>
      </w:r>
      <w:r>
        <w:rPr>
          <w:rFonts w:cs="Arial" w:hint="cs"/>
          <w:rtl/>
        </w:rPr>
        <w:t xml:space="preserve">"ת </w:t>
      </w:r>
      <w:r w:rsidRPr="0099169F">
        <w:rPr>
          <w:rFonts w:cs="Arial"/>
          <w:rtl/>
        </w:rPr>
        <w:t>דבריו ולא חילק בין נשתקע ללא נשתקע</w:t>
      </w:r>
      <w:r w:rsidR="006761E2">
        <w:rPr>
          <w:rFonts w:cs="Arial" w:hint="cs"/>
          <w:rtl/>
        </w:rPr>
        <w:t>,</w:t>
      </w:r>
      <w:r w:rsidRPr="0099169F">
        <w:rPr>
          <w:rFonts w:cs="Arial"/>
          <w:rtl/>
        </w:rPr>
        <w:t xml:space="preserve"> איכא למידחי דאורחא דמילתא נקט</w:t>
      </w:r>
      <w:r w:rsidR="006761E2">
        <w:rPr>
          <w:rFonts w:cs="Arial" w:hint="cs"/>
          <w:rtl/>
        </w:rPr>
        <w:t>,</w:t>
      </w:r>
      <w:r w:rsidRPr="0099169F">
        <w:rPr>
          <w:rFonts w:cs="Arial"/>
          <w:rtl/>
        </w:rPr>
        <w:t xml:space="preserve"> דלעולם המומר נקרא בין היהודים בשם דיהדות</w:t>
      </w:r>
      <w:r w:rsidR="000B355B">
        <w:rPr>
          <w:rFonts w:cs="Arial" w:hint="cs"/>
          <w:rtl/>
        </w:rPr>
        <w:t>,</w:t>
      </w:r>
      <w:r w:rsidRPr="0099169F">
        <w:rPr>
          <w:rFonts w:cs="Arial"/>
          <w:rtl/>
        </w:rPr>
        <w:t xml:space="preserve"> וגם אם הלך למקום שלא היו מכירים בשם דיהדות דידיה והחזיק עצמו לומר שהיה נקרא כך</w:t>
      </w:r>
      <w:r w:rsidR="000B355B">
        <w:rPr>
          <w:rFonts w:cs="Arial" w:hint="cs"/>
          <w:rtl/>
        </w:rPr>
        <w:t>,</w:t>
      </w:r>
      <w:r w:rsidRPr="0099169F">
        <w:rPr>
          <w:rFonts w:cs="Arial"/>
          <w:rtl/>
        </w:rPr>
        <w:t xml:space="preserve"> אפשר דכותבין על פיו כל שהוחזק בשם זה שלשים יום כדין ישראל שהתבאר בסימן זה (כה: ד"ה תנן), אבל אם אירע הדבר שנשתקע שם דיהדות ממנו משמע שאין כותבין שם דיהדות עד שיחזיק עצמו שלשים יום</w:t>
      </w:r>
      <w:r>
        <w:rPr>
          <w:rFonts w:cs="Arial" w:hint="cs"/>
          <w:rtl/>
        </w:rPr>
        <w:t>.</w:t>
      </w:r>
      <w:r w:rsidRPr="0099169F">
        <w:rPr>
          <w:rFonts w:cs="Arial"/>
          <w:rtl/>
        </w:rPr>
        <w:t xml:space="preserve"> וצ"ע</w:t>
      </w:r>
      <w:r>
        <w:rPr>
          <w:rFonts w:cs="Arial" w:hint="cs"/>
          <w:rtl/>
        </w:rPr>
        <w:t>.</w:t>
      </w:r>
    </w:p>
    <w:p w14:paraId="25541369"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257970EC" w14:textId="77777777" w:rsidR="00FA2119" w:rsidRDefault="00FA2119" w:rsidP="00FA2119">
      <w:pPr>
        <w:rPr>
          <w:rFonts w:cs="Arial"/>
          <w:rtl/>
        </w:rPr>
      </w:pPr>
      <w:r>
        <w:rPr>
          <w:rFonts w:cs="Arial" w:hint="cs"/>
          <w:rtl/>
        </w:rPr>
        <w:t>מומר</w:t>
      </w:r>
      <w:r>
        <w:rPr>
          <w:rFonts w:cs="Arial"/>
          <w:rtl/>
        </w:rPr>
        <w:t xml:space="preserve">, </w:t>
      </w:r>
      <w:r>
        <w:rPr>
          <w:rFonts w:cs="Arial" w:hint="cs"/>
          <w:rtl/>
        </w:rPr>
        <w:t>אין</w:t>
      </w:r>
      <w:r>
        <w:rPr>
          <w:rFonts w:cs="Arial"/>
          <w:rtl/>
        </w:rPr>
        <w:t xml:space="preserve"> </w:t>
      </w:r>
      <w:r>
        <w:rPr>
          <w:rFonts w:cs="Arial" w:hint="cs"/>
          <w:rtl/>
        </w:rPr>
        <w:t>לו</w:t>
      </w:r>
      <w:r>
        <w:rPr>
          <w:rFonts w:cs="Arial"/>
          <w:rtl/>
        </w:rPr>
        <w:t xml:space="preserve"> </w:t>
      </w:r>
      <w:r>
        <w:rPr>
          <w:rFonts w:cs="Arial" w:hint="cs"/>
          <w:rtl/>
        </w:rPr>
        <w:t>לגרש</w:t>
      </w:r>
      <w:r>
        <w:rPr>
          <w:rFonts w:cs="Arial"/>
          <w:rtl/>
        </w:rPr>
        <w:t xml:space="preserve"> </w:t>
      </w:r>
      <w:r>
        <w:rPr>
          <w:rFonts w:cs="Arial" w:hint="cs"/>
          <w:rtl/>
        </w:rPr>
        <w:t>בשם</w:t>
      </w:r>
      <w:r>
        <w:rPr>
          <w:rFonts w:cs="Arial"/>
          <w:rtl/>
        </w:rPr>
        <w:t xml:space="preserve"> </w:t>
      </w:r>
      <w:r>
        <w:rPr>
          <w:rFonts w:cs="Arial" w:hint="cs"/>
          <w:rtl/>
        </w:rPr>
        <w:t>גוים</w:t>
      </w:r>
      <w:r>
        <w:rPr>
          <w:rStyle w:val="a7"/>
          <w:rFonts w:cs="Arial"/>
          <w:rtl/>
        </w:rPr>
        <w:footnoteReference w:id="1069"/>
      </w:r>
      <w:r>
        <w:rPr>
          <w:rFonts w:cs="Arial"/>
          <w:rtl/>
        </w:rPr>
        <w:t xml:space="preserve">, </w:t>
      </w:r>
      <w:r>
        <w:rPr>
          <w:rFonts w:cs="Arial" w:hint="cs"/>
          <w:rtl/>
        </w:rPr>
        <w:t>אלא</w:t>
      </w:r>
      <w:r>
        <w:rPr>
          <w:rFonts w:cs="Arial"/>
          <w:rtl/>
        </w:rPr>
        <w:t xml:space="preserve"> </w:t>
      </w:r>
      <w:r>
        <w:rPr>
          <w:rFonts w:cs="Arial" w:hint="cs"/>
          <w:rtl/>
        </w:rPr>
        <w:t>בשם</w:t>
      </w:r>
      <w:r>
        <w:rPr>
          <w:rFonts w:cs="Arial"/>
          <w:rtl/>
        </w:rPr>
        <w:t xml:space="preserve"> </w:t>
      </w:r>
      <w:r>
        <w:rPr>
          <w:rFonts w:cs="Arial" w:hint="cs"/>
          <w:rtl/>
        </w:rPr>
        <w:t>ישראל</w:t>
      </w:r>
      <w:r>
        <w:rPr>
          <w:rStyle w:val="a7"/>
          <w:rFonts w:cs="Arial"/>
          <w:rtl/>
        </w:rPr>
        <w:footnoteReference w:id="1070"/>
      </w:r>
      <w:r>
        <w:rPr>
          <w:rFonts w:cs="Arial"/>
          <w:rtl/>
        </w:rPr>
        <w:t xml:space="preserve">. </w:t>
      </w:r>
      <w:r>
        <w:rPr>
          <w:rFonts w:cs="Arial" w:hint="cs"/>
          <w:rtl/>
        </w:rPr>
        <w:t>ואם</w:t>
      </w:r>
      <w:r>
        <w:rPr>
          <w:rFonts w:cs="Arial"/>
          <w:rtl/>
        </w:rPr>
        <w:t xml:space="preserve"> </w:t>
      </w:r>
      <w:r>
        <w:rPr>
          <w:rFonts w:cs="Arial" w:hint="cs"/>
          <w:rtl/>
        </w:rPr>
        <w:t>כתב</w:t>
      </w:r>
      <w:r>
        <w:rPr>
          <w:rFonts w:cs="Arial"/>
          <w:rtl/>
        </w:rPr>
        <w:t xml:space="preserve"> </w:t>
      </w:r>
      <w:r>
        <w:rPr>
          <w:rFonts w:cs="Arial" w:hint="cs"/>
          <w:rtl/>
        </w:rPr>
        <w:t>שם</w:t>
      </w:r>
      <w:r>
        <w:rPr>
          <w:rFonts w:cs="Arial"/>
          <w:rtl/>
        </w:rPr>
        <w:t xml:space="preserve"> </w:t>
      </w:r>
      <w:r>
        <w:rPr>
          <w:rFonts w:cs="Arial" w:hint="cs"/>
          <w:rtl/>
        </w:rPr>
        <w:t>גוים</w:t>
      </w:r>
      <w:r>
        <w:rPr>
          <w:rFonts w:cs="Arial"/>
          <w:rtl/>
        </w:rPr>
        <w:t xml:space="preserve"> </w:t>
      </w:r>
      <w:r>
        <w:rPr>
          <w:rFonts w:cs="Arial" w:hint="cs"/>
          <w:rtl/>
        </w:rPr>
        <w:t>עיקר</w:t>
      </w:r>
      <w:r>
        <w:rPr>
          <w:rFonts w:cs="Arial"/>
          <w:rtl/>
        </w:rPr>
        <w:t xml:space="preserve"> </w:t>
      </w:r>
      <w:r>
        <w:rPr>
          <w:rFonts w:cs="Arial" w:hint="cs"/>
          <w:rtl/>
        </w:rPr>
        <w:t>ושם</w:t>
      </w:r>
      <w:r>
        <w:rPr>
          <w:rFonts w:cs="Arial"/>
          <w:rtl/>
        </w:rPr>
        <w:t xml:space="preserve"> </w:t>
      </w:r>
      <w:r>
        <w:rPr>
          <w:rFonts w:cs="Arial" w:hint="cs"/>
          <w:rtl/>
        </w:rPr>
        <w:t>ישראל</w:t>
      </w:r>
      <w:r>
        <w:rPr>
          <w:rFonts w:cs="Arial"/>
          <w:rtl/>
        </w:rPr>
        <w:t xml:space="preserve"> </w:t>
      </w:r>
      <w:r>
        <w:rPr>
          <w:rFonts w:cs="Arial" w:hint="cs"/>
          <w:rtl/>
        </w:rPr>
        <w:t>בלשון</w:t>
      </w:r>
      <w:r>
        <w:rPr>
          <w:rFonts w:cs="Arial"/>
          <w:rtl/>
        </w:rPr>
        <w:t xml:space="preserve"> </w:t>
      </w:r>
      <w:r>
        <w:rPr>
          <w:rFonts w:cs="Arial" w:hint="cs"/>
          <w:rtl/>
        </w:rPr>
        <w:t>דמתקרי</w:t>
      </w:r>
      <w:r>
        <w:rPr>
          <w:rFonts w:cs="Arial"/>
          <w:rtl/>
        </w:rPr>
        <w:t xml:space="preserve">, </w:t>
      </w:r>
      <w:r>
        <w:rPr>
          <w:rFonts w:cs="Arial" w:hint="cs"/>
          <w:rtl/>
        </w:rPr>
        <w:t>כשר</w:t>
      </w:r>
      <w:r>
        <w:rPr>
          <w:rFonts w:cs="Arial"/>
          <w:rtl/>
        </w:rPr>
        <w:t xml:space="preserve">. </w:t>
      </w:r>
      <w:r w:rsidRPr="007B265E">
        <w:rPr>
          <w:rFonts w:cs="Arial" w:hint="cs"/>
          <w:sz w:val="18"/>
          <w:szCs w:val="18"/>
          <w:rtl/>
        </w:rPr>
        <w:t>הגה</w:t>
      </w:r>
      <w:r w:rsidRPr="007B265E">
        <w:rPr>
          <w:rFonts w:cs="Arial"/>
          <w:sz w:val="18"/>
          <w:szCs w:val="18"/>
          <w:rtl/>
        </w:rPr>
        <w:t xml:space="preserve">: </w:t>
      </w:r>
      <w:r w:rsidRPr="007B265E">
        <w:rPr>
          <w:rFonts w:cs="Arial" w:hint="cs"/>
          <w:sz w:val="18"/>
          <w:szCs w:val="18"/>
          <w:rtl/>
        </w:rPr>
        <w:t>ולכתחלה</w:t>
      </w:r>
      <w:r w:rsidRPr="007B265E">
        <w:rPr>
          <w:rFonts w:cs="Arial"/>
          <w:sz w:val="18"/>
          <w:szCs w:val="18"/>
          <w:rtl/>
        </w:rPr>
        <w:t xml:space="preserve"> </w:t>
      </w:r>
      <w:r w:rsidRPr="007B265E">
        <w:rPr>
          <w:rFonts w:cs="Arial" w:hint="cs"/>
          <w:sz w:val="18"/>
          <w:szCs w:val="18"/>
          <w:rtl/>
        </w:rPr>
        <w:t>כותבין</w:t>
      </w:r>
      <w:r w:rsidRPr="007B265E">
        <w:rPr>
          <w:rFonts w:cs="Arial"/>
          <w:sz w:val="18"/>
          <w:szCs w:val="18"/>
          <w:rtl/>
        </w:rPr>
        <w:t xml:space="preserve"> </w:t>
      </w:r>
      <w:r w:rsidRPr="007B265E">
        <w:rPr>
          <w:rFonts w:cs="Arial" w:hint="cs"/>
          <w:sz w:val="18"/>
          <w:szCs w:val="18"/>
          <w:rtl/>
        </w:rPr>
        <w:t>שם</w:t>
      </w:r>
      <w:r w:rsidRPr="007B265E">
        <w:rPr>
          <w:rFonts w:cs="Arial"/>
          <w:sz w:val="18"/>
          <w:szCs w:val="18"/>
          <w:rtl/>
        </w:rPr>
        <w:t xml:space="preserve"> </w:t>
      </w:r>
      <w:r w:rsidRPr="007B265E">
        <w:rPr>
          <w:rFonts w:cs="Arial" w:hint="cs"/>
          <w:sz w:val="18"/>
          <w:szCs w:val="18"/>
          <w:rtl/>
        </w:rPr>
        <w:t>ישראל</w:t>
      </w:r>
      <w:r w:rsidRPr="007B265E">
        <w:rPr>
          <w:rFonts w:cs="Arial"/>
          <w:sz w:val="18"/>
          <w:szCs w:val="18"/>
          <w:rtl/>
        </w:rPr>
        <w:t xml:space="preserve"> </w:t>
      </w:r>
      <w:r w:rsidRPr="007B265E">
        <w:rPr>
          <w:rFonts w:cs="Arial" w:hint="cs"/>
          <w:sz w:val="18"/>
          <w:szCs w:val="18"/>
          <w:rtl/>
        </w:rPr>
        <w:t>וכל</w:t>
      </w:r>
      <w:r w:rsidRPr="007B265E">
        <w:rPr>
          <w:rFonts w:cs="Arial"/>
          <w:sz w:val="18"/>
          <w:szCs w:val="18"/>
          <w:rtl/>
        </w:rPr>
        <w:t xml:space="preserve"> </w:t>
      </w:r>
      <w:r w:rsidRPr="007B265E">
        <w:rPr>
          <w:rFonts w:cs="Arial" w:hint="cs"/>
          <w:sz w:val="18"/>
          <w:szCs w:val="18"/>
          <w:rtl/>
        </w:rPr>
        <w:t>שום</w:t>
      </w:r>
      <w:r w:rsidRPr="007B265E">
        <w:rPr>
          <w:rFonts w:cs="Arial"/>
          <w:sz w:val="18"/>
          <w:szCs w:val="18"/>
          <w:rtl/>
        </w:rPr>
        <w:t xml:space="preserve"> </w:t>
      </w:r>
      <w:r w:rsidRPr="007B265E">
        <w:rPr>
          <w:rFonts w:cs="Arial" w:hint="cs"/>
          <w:sz w:val="18"/>
          <w:szCs w:val="18"/>
          <w:rtl/>
        </w:rPr>
        <w:t>וחניכה</w:t>
      </w:r>
      <w:r w:rsidRPr="007B265E">
        <w:rPr>
          <w:rFonts w:cs="Arial"/>
          <w:sz w:val="18"/>
          <w:szCs w:val="18"/>
          <w:rtl/>
        </w:rPr>
        <w:t xml:space="preserve"> </w:t>
      </w:r>
      <w:r w:rsidRPr="007B265E">
        <w:rPr>
          <w:rFonts w:cs="Arial" w:hint="cs"/>
          <w:sz w:val="18"/>
          <w:szCs w:val="18"/>
          <w:rtl/>
        </w:rPr>
        <w:t>דאית</w:t>
      </w:r>
      <w:r w:rsidRPr="007B265E">
        <w:rPr>
          <w:rFonts w:cs="Arial"/>
          <w:sz w:val="18"/>
          <w:szCs w:val="18"/>
          <w:rtl/>
        </w:rPr>
        <w:t xml:space="preserve"> </w:t>
      </w:r>
      <w:r w:rsidRPr="007B265E">
        <w:rPr>
          <w:rFonts w:cs="Arial" w:hint="cs"/>
          <w:sz w:val="18"/>
          <w:szCs w:val="18"/>
          <w:rtl/>
        </w:rPr>
        <w:t>ליה</w:t>
      </w:r>
      <w:r w:rsidRPr="007B265E">
        <w:rPr>
          <w:rFonts w:cs="Arial"/>
          <w:sz w:val="18"/>
          <w:szCs w:val="18"/>
          <w:rtl/>
        </w:rPr>
        <w:t xml:space="preserve"> (</w:t>
      </w:r>
      <w:r w:rsidRPr="007B265E">
        <w:rPr>
          <w:rFonts w:cs="Arial" w:hint="cs"/>
          <w:sz w:val="18"/>
          <w:szCs w:val="18"/>
          <w:rtl/>
        </w:rPr>
        <w:t>סמ</w:t>
      </w:r>
      <w:r w:rsidRPr="007B265E">
        <w:rPr>
          <w:rFonts w:cs="Arial"/>
          <w:sz w:val="18"/>
          <w:szCs w:val="18"/>
          <w:rtl/>
        </w:rPr>
        <w:t>"</w:t>
      </w:r>
      <w:r w:rsidRPr="007B265E">
        <w:rPr>
          <w:rFonts w:cs="Arial" w:hint="cs"/>
          <w:sz w:val="18"/>
          <w:szCs w:val="18"/>
          <w:rtl/>
        </w:rPr>
        <w:t>ק</w:t>
      </w:r>
      <w:r w:rsidRPr="007B265E">
        <w:rPr>
          <w:rFonts w:cs="Arial"/>
          <w:sz w:val="18"/>
          <w:szCs w:val="18"/>
          <w:rtl/>
        </w:rPr>
        <w:t xml:space="preserve"> </w:t>
      </w:r>
      <w:r w:rsidRPr="007B265E">
        <w:rPr>
          <w:rFonts w:cs="Arial" w:hint="cs"/>
          <w:sz w:val="18"/>
          <w:szCs w:val="18"/>
          <w:rtl/>
        </w:rPr>
        <w:t>סמ</w:t>
      </w:r>
      <w:r w:rsidRPr="007B265E">
        <w:rPr>
          <w:rFonts w:cs="Arial"/>
          <w:sz w:val="18"/>
          <w:szCs w:val="18"/>
          <w:rtl/>
        </w:rPr>
        <w:t>"</w:t>
      </w:r>
      <w:r w:rsidRPr="007B265E">
        <w:rPr>
          <w:rFonts w:cs="Arial" w:hint="cs"/>
          <w:sz w:val="18"/>
          <w:szCs w:val="18"/>
          <w:rtl/>
        </w:rPr>
        <w:t>ג</w:t>
      </w:r>
      <w:r w:rsidRPr="007B265E">
        <w:rPr>
          <w:rFonts w:cs="Arial"/>
          <w:sz w:val="18"/>
          <w:szCs w:val="18"/>
          <w:rtl/>
        </w:rPr>
        <w:t xml:space="preserve"> </w:t>
      </w:r>
      <w:r w:rsidRPr="007B265E">
        <w:rPr>
          <w:rFonts w:cs="Arial" w:hint="cs"/>
          <w:sz w:val="18"/>
          <w:szCs w:val="18"/>
          <w:rtl/>
        </w:rPr>
        <w:t>כל</w:t>
      </w:r>
      <w:r w:rsidRPr="007B265E">
        <w:rPr>
          <w:rFonts w:cs="Arial"/>
          <w:sz w:val="18"/>
          <w:szCs w:val="18"/>
          <w:rtl/>
        </w:rPr>
        <w:t xml:space="preserve"> </w:t>
      </w:r>
      <w:r w:rsidRPr="007B265E">
        <w:rPr>
          <w:rFonts w:cs="Arial" w:hint="cs"/>
          <w:sz w:val="18"/>
          <w:szCs w:val="18"/>
          <w:rtl/>
        </w:rPr>
        <w:t>בו</w:t>
      </w:r>
      <w:r w:rsidRPr="007B265E">
        <w:rPr>
          <w:rFonts w:cs="Arial"/>
          <w:sz w:val="18"/>
          <w:szCs w:val="18"/>
          <w:rtl/>
        </w:rPr>
        <w:t xml:space="preserve"> </w:t>
      </w:r>
      <w:r w:rsidRPr="007B265E">
        <w:rPr>
          <w:rFonts w:cs="Arial" w:hint="cs"/>
          <w:sz w:val="18"/>
          <w:szCs w:val="18"/>
          <w:rtl/>
        </w:rPr>
        <w:t>ות</w:t>
      </w:r>
      <w:r>
        <w:rPr>
          <w:rFonts w:cs="Arial" w:hint="cs"/>
          <w:sz w:val="18"/>
          <w:szCs w:val="18"/>
          <w:rtl/>
        </w:rPr>
        <w:t>רו</w:t>
      </w:r>
      <w:r w:rsidRPr="007B265E">
        <w:rPr>
          <w:rFonts w:cs="Arial" w:hint="cs"/>
          <w:sz w:val="18"/>
          <w:szCs w:val="18"/>
          <w:rtl/>
        </w:rPr>
        <w:t>ה</w:t>
      </w:r>
      <w:r>
        <w:rPr>
          <w:rFonts w:cs="Arial" w:hint="cs"/>
          <w:sz w:val="18"/>
          <w:szCs w:val="18"/>
          <w:rtl/>
        </w:rPr>
        <w:t>"ד</w:t>
      </w:r>
      <w:r w:rsidRPr="007B265E">
        <w:rPr>
          <w:rFonts w:cs="Arial"/>
          <w:sz w:val="18"/>
          <w:szCs w:val="18"/>
          <w:rtl/>
        </w:rPr>
        <w:t xml:space="preserve">). </w:t>
      </w:r>
      <w:r w:rsidRPr="007B265E">
        <w:rPr>
          <w:rFonts w:cs="Arial" w:hint="cs"/>
          <w:sz w:val="18"/>
          <w:szCs w:val="18"/>
          <w:rtl/>
        </w:rPr>
        <w:t>ואם</w:t>
      </w:r>
      <w:r w:rsidRPr="007B265E">
        <w:rPr>
          <w:rFonts w:cs="Arial"/>
          <w:sz w:val="18"/>
          <w:szCs w:val="18"/>
          <w:rtl/>
        </w:rPr>
        <w:t xml:space="preserve"> </w:t>
      </w:r>
      <w:r w:rsidRPr="007B265E">
        <w:rPr>
          <w:rFonts w:cs="Arial" w:hint="cs"/>
          <w:sz w:val="18"/>
          <w:szCs w:val="18"/>
          <w:rtl/>
        </w:rPr>
        <w:t>כתב</w:t>
      </w:r>
      <w:r w:rsidRPr="007B265E">
        <w:rPr>
          <w:rFonts w:cs="Arial"/>
          <w:sz w:val="18"/>
          <w:szCs w:val="18"/>
          <w:rtl/>
        </w:rPr>
        <w:t xml:space="preserve"> </w:t>
      </w:r>
      <w:r w:rsidRPr="007B265E">
        <w:rPr>
          <w:rFonts w:cs="Arial" w:hint="cs"/>
          <w:sz w:val="18"/>
          <w:szCs w:val="18"/>
          <w:rtl/>
        </w:rPr>
        <w:t>שם</w:t>
      </w:r>
      <w:r w:rsidRPr="007B265E">
        <w:rPr>
          <w:rFonts w:cs="Arial"/>
          <w:sz w:val="18"/>
          <w:szCs w:val="18"/>
          <w:rtl/>
        </w:rPr>
        <w:t xml:space="preserve"> </w:t>
      </w:r>
      <w:r w:rsidRPr="007B265E">
        <w:rPr>
          <w:rFonts w:cs="Arial" w:hint="cs"/>
          <w:sz w:val="18"/>
          <w:szCs w:val="18"/>
          <w:rtl/>
        </w:rPr>
        <w:t>של</w:t>
      </w:r>
      <w:r w:rsidRPr="007B265E">
        <w:rPr>
          <w:rFonts w:cs="Arial"/>
          <w:sz w:val="18"/>
          <w:szCs w:val="18"/>
          <w:rtl/>
        </w:rPr>
        <w:t xml:space="preserve"> </w:t>
      </w:r>
      <w:r w:rsidRPr="007B265E">
        <w:rPr>
          <w:rFonts w:cs="Arial" w:hint="cs"/>
          <w:sz w:val="18"/>
          <w:szCs w:val="18"/>
          <w:rtl/>
        </w:rPr>
        <w:t>עובד</w:t>
      </w:r>
      <w:r w:rsidRPr="007B265E">
        <w:rPr>
          <w:rFonts w:cs="Arial"/>
          <w:sz w:val="18"/>
          <w:szCs w:val="18"/>
          <w:rtl/>
        </w:rPr>
        <w:t xml:space="preserve"> </w:t>
      </w:r>
      <w:r w:rsidRPr="007B265E">
        <w:rPr>
          <w:rFonts w:cs="Arial" w:hint="cs"/>
          <w:sz w:val="18"/>
          <w:szCs w:val="18"/>
          <w:rtl/>
        </w:rPr>
        <w:t>כוכבים</w:t>
      </w:r>
      <w:r w:rsidRPr="007B265E">
        <w:rPr>
          <w:rFonts w:cs="Arial"/>
          <w:sz w:val="18"/>
          <w:szCs w:val="18"/>
          <w:rtl/>
        </w:rPr>
        <w:t xml:space="preserve">, </w:t>
      </w:r>
      <w:r w:rsidRPr="007B265E">
        <w:rPr>
          <w:rFonts w:cs="Arial" w:hint="cs"/>
          <w:sz w:val="18"/>
          <w:szCs w:val="18"/>
          <w:rtl/>
        </w:rPr>
        <w:t>וכתבו</w:t>
      </w:r>
      <w:r w:rsidRPr="007B265E">
        <w:rPr>
          <w:rFonts w:cs="Arial"/>
          <w:sz w:val="18"/>
          <w:szCs w:val="18"/>
          <w:rtl/>
        </w:rPr>
        <w:t xml:space="preserve">: </w:t>
      </w:r>
      <w:r w:rsidRPr="007B265E">
        <w:rPr>
          <w:rFonts w:cs="Arial" w:hint="cs"/>
          <w:sz w:val="18"/>
          <w:szCs w:val="18"/>
          <w:rtl/>
        </w:rPr>
        <w:t>כל</w:t>
      </w:r>
      <w:r w:rsidRPr="007B265E">
        <w:rPr>
          <w:rFonts w:cs="Arial"/>
          <w:sz w:val="18"/>
          <w:szCs w:val="18"/>
          <w:rtl/>
        </w:rPr>
        <w:t xml:space="preserve"> </w:t>
      </w:r>
      <w:r w:rsidRPr="007B265E">
        <w:rPr>
          <w:rFonts w:cs="Arial" w:hint="cs"/>
          <w:sz w:val="18"/>
          <w:szCs w:val="18"/>
          <w:rtl/>
        </w:rPr>
        <w:t>שום</w:t>
      </w:r>
      <w:r w:rsidRPr="007B265E">
        <w:rPr>
          <w:rFonts w:cs="Arial"/>
          <w:sz w:val="18"/>
          <w:szCs w:val="18"/>
          <w:rtl/>
        </w:rPr>
        <w:t xml:space="preserve"> </w:t>
      </w:r>
      <w:r w:rsidRPr="007B265E">
        <w:rPr>
          <w:rFonts w:cs="Arial" w:hint="cs"/>
          <w:sz w:val="18"/>
          <w:szCs w:val="18"/>
          <w:rtl/>
        </w:rPr>
        <w:t>וחניכה</w:t>
      </w:r>
      <w:r w:rsidRPr="007B265E">
        <w:rPr>
          <w:rFonts w:cs="Arial"/>
          <w:sz w:val="18"/>
          <w:szCs w:val="18"/>
          <w:rtl/>
        </w:rPr>
        <w:t xml:space="preserve"> </w:t>
      </w:r>
      <w:r w:rsidRPr="007B265E">
        <w:rPr>
          <w:rFonts w:cs="Arial" w:hint="cs"/>
          <w:sz w:val="18"/>
          <w:szCs w:val="18"/>
          <w:rtl/>
        </w:rPr>
        <w:t>דאית</w:t>
      </w:r>
      <w:r w:rsidRPr="007B265E">
        <w:rPr>
          <w:rFonts w:cs="Arial"/>
          <w:sz w:val="18"/>
          <w:szCs w:val="18"/>
          <w:rtl/>
        </w:rPr>
        <w:t xml:space="preserve"> </w:t>
      </w:r>
      <w:r w:rsidRPr="007B265E">
        <w:rPr>
          <w:rFonts w:cs="Arial" w:hint="cs"/>
          <w:sz w:val="18"/>
          <w:szCs w:val="18"/>
          <w:rtl/>
        </w:rPr>
        <w:t>ליה</w:t>
      </w:r>
      <w:r w:rsidRPr="007B265E">
        <w:rPr>
          <w:rFonts w:cs="Arial"/>
          <w:sz w:val="18"/>
          <w:szCs w:val="18"/>
          <w:rtl/>
        </w:rPr>
        <w:t xml:space="preserve">, </w:t>
      </w:r>
      <w:r w:rsidRPr="007B265E">
        <w:rPr>
          <w:rFonts w:cs="Arial" w:hint="cs"/>
          <w:sz w:val="18"/>
          <w:szCs w:val="18"/>
          <w:rtl/>
        </w:rPr>
        <w:t>פסול</w:t>
      </w:r>
      <w:r>
        <w:rPr>
          <w:rStyle w:val="a7"/>
          <w:rFonts w:cs="Arial"/>
          <w:sz w:val="18"/>
          <w:szCs w:val="18"/>
          <w:rtl/>
        </w:rPr>
        <w:footnoteReference w:id="1071"/>
      </w:r>
      <w:r w:rsidRPr="007B265E">
        <w:rPr>
          <w:rFonts w:cs="Arial"/>
          <w:sz w:val="18"/>
          <w:szCs w:val="18"/>
          <w:rtl/>
        </w:rPr>
        <w:t xml:space="preserve"> (</w:t>
      </w:r>
      <w:r w:rsidRPr="007B265E">
        <w:rPr>
          <w:rFonts w:cs="Arial" w:hint="cs"/>
          <w:sz w:val="18"/>
          <w:szCs w:val="18"/>
          <w:rtl/>
        </w:rPr>
        <w:t>ריב</w:t>
      </w:r>
      <w:r w:rsidRPr="007B265E">
        <w:rPr>
          <w:rFonts w:cs="Arial"/>
          <w:sz w:val="18"/>
          <w:szCs w:val="18"/>
          <w:rtl/>
        </w:rPr>
        <w:t>"</w:t>
      </w:r>
      <w:r w:rsidRPr="007B265E">
        <w:rPr>
          <w:rFonts w:cs="Arial" w:hint="cs"/>
          <w:sz w:val="18"/>
          <w:szCs w:val="18"/>
          <w:rtl/>
        </w:rPr>
        <w:t>ש</w:t>
      </w:r>
      <w:r w:rsidRPr="007B265E">
        <w:rPr>
          <w:rFonts w:cs="Arial"/>
          <w:sz w:val="18"/>
          <w:szCs w:val="18"/>
          <w:rtl/>
        </w:rPr>
        <w:t xml:space="preserve"> </w:t>
      </w:r>
      <w:r w:rsidRPr="007B265E">
        <w:rPr>
          <w:rFonts w:cs="Arial" w:hint="cs"/>
          <w:sz w:val="18"/>
          <w:szCs w:val="18"/>
          <w:rtl/>
        </w:rPr>
        <w:t>סי</w:t>
      </w:r>
      <w:r>
        <w:rPr>
          <w:rFonts w:cs="Arial" w:hint="cs"/>
          <w:sz w:val="18"/>
          <w:szCs w:val="18"/>
          <w:rtl/>
        </w:rPr>
        <w:t>'</w:t>
      </w:r>
      <w:r w:rsidRPr="007B265E">
        <w:rPr>
          <w:rFonts w:cs="Arial"/>
          <w:sz w:val="18"/>
          <w:szCs w:val="18"/>
          <w:rtl/>
        </w:rPr>
        <w:t xml:space="preserve"> </w:t>
      </w:r>
      <w:r w:rsidRPr="007B265E">
        <w:rPr>
          <w:rFonts w:cs="Arial" w:hint="cs"/>
          <w:sz w:val="18"/>
          <w:szCs w:val="18"/>
          <w:rtl/>
        </w:rPr>
        <w:t>מג</w:t>
      </w:r>
      <w:r w:rsidRPr="007B265E">
        <w:rPr>
          <w:rFonts w:cs="Arial"/>
          <w:sz w:val="18"/>
          <w:szCs w:val="18"/>
          <w:rtl/>
        </w:rPr>
        <w:t xml:space="preserve"> </w:t>
      </w:r>
      <w:r w:rsidRPr="007B265E">
        <w:rPr>
          <w:rFonts w:cs="Arial" w:hint="cs"/>
          <w:sz w:val="18"/>
          <w:szCs w:val="18"/>
          <w:rtl/>
        </w:rPr>
        <w:t>וטור</w:t>
      </w:r>
      <w:r w:rsidRPr="007B265E">
        <w:rPr>
          <w:rFonts w:cs="Arial"/>
          <w:sz w:val="18"/>
          <w:szCs w:val="18"/>
          <w:rtl/>
        </w:rPr>
        <w:t xml:space="preserve">). </w:t>
      </w:r>
      <w:r w:rsidRPr="007B265E">
        <w:rPr>
          <w:rFonts w:cs="Arial" w:hint="cs"/>
          <w:sz w:val="18"/>
          <w:szCs w:val="18"/>
          <w:rtl/>
        </w:rPr>
        <w:t>היה</w:t>
      </w:r>
      <w:r w:rsidRPr="007B265E">
        <w:rPr>
          <w:rFonts w:cs="Arial"/>
          <w:sz w:val="18"/>
          <w:szCs w:val="18"/>
          <w:rtl/>
        </w:rPr>
        <w:t xml:space="preserve"> </w:t>
      </w:r>
      <w:r w:rsidRPr="007B265E">
        <w:rPr>
          <w:rFonts w:cs="Arial" w:hint="cs"/>
          <w:sz w:val="18"/>
          <w:szCs w:val="18"/>
          <w:rtl/>
        </w:rPr>
        <w:t>לו</w:t>
      </w:r>
      <w:r w:rsidRPr="007B265E">
        <w:rPr>
          <w:rFonts w:cs="Arial"/>
          <w:sz w:val="18"/>
          <w:szCs w:val="18"/>
          <w:rtl/>
        </w:rPr>
        <w:t xml:space="preserve"> </w:t>
      </w:r>
      <w:r w:rsidRPr="007B265E">
        <w:rPr>
          <w:rFonts w:cs="Arial" w:hint="cs"/>
          <w:sz w:val="18"/>
          <w:szCs w:val="18"/>
          <w:rtl/>
        </w:rPr>
        <w:t>שם</w:t>
      </w:r>
      <w:r w:rsidRPr="007B265E">
        <w:rPr>
          <w:rFonts w:cs="Arial"/>
          <w:sz w:val="18"/>
          <w:szCs w:val="18"/>
          <w:rtl/>
        </w:rPr>
        <w:t xml:space="preserve"> </w:t>
      </w:r>
      <w:r w:rsidRPr="007B265E">
        <w:rPr>
          <w:rFonts w:cs="Arial" w:hint="cs"/>
          <w:sz w:val="18"/>
          <w:szCs w:val="18"/>
          <w:rtl/>
        </w:rPr>
        <w:t>כינוי</w:t>
      </w:r>
      <w:r w:rsidRPr="007B265E">
        <w:rPr>
          <w:rFonts w:cs="Arial"/>
          <w:sz w:val="18"/>
          <w:szCs w:val="18"/>
          <w:rtl/>
        </w:rPr>
        <w:t xml:space="preserve"> </w:t>
      </w:r>
      <w:r w:rsidRPr="007B265E">
        <w:rPr>
          <w:rFonts w:cs="Arial" w:hint="cs"/>
          <w:sz w:val="18"/>
          <w:szCs w:val="18"/>
          <w:rtl/>
        </w:rPr>
        <w:t>כשהיה</w:t>
      </w:r>
      <w:r w:rsidRPr="007B265E">
        <w:rPr>
          <w:rFonts w:cs="Arial"/>
          <w:sz w:val="18"/>
          <w:szCs w:val="18"/>
          <w:rtl/>
        </w:rPr>
        <w:t xml:space="preserve"> </w:t>
      </w:r>
      <w:r w:rsidRPr="007B265E">
        <w:rPr>
          <w:rFonts w:cs="Arial" w:hint="cs"/>
          <w:sz w:val="18"/>
          <w:szCs w:val="18"/>
          <w:rtl/>
        </w:rPr>
        <w:t>יהודי</w:t>
      </w:r>
      <w:r w:rsidRPr="007B265E">
        <w:rPr>
          <w:rFonts w:cs="Arial"/>
          <w:sz w:val="18"/>
          <w:szCs w:val="18"/>
          <w:rtl/>
        </w:rPr>
        <w:t xml:space="preserve">, </w:t>
      </w:r>
      <w:r w:rsidRPr="007B265E">
        <w:rPr>
          <w:rFonts w:cs="Arial" w:hint="cs"/>
          <w:sz w:val="18"/>
          <w:szCs w:val="18"/>
          <w:rtl/>
        </w:rPr>
        <w:t>כותבין</w:t>
      </w:r>
      <w:r w:rsidRPr="007B265E">
        <w:rPr>
          <w:rFonts w:cs="Arial"/>
          <w:sz w:val="18"/>
          <w:szCs w:val="18"/>
          <w:rtl/>
        </w:rPr>
        <w:t xml:space="preserve"> </w:t>
      </w:r>
      <w:r w:rsidRPr="007B265E">
        <w:rPr>
          <w:rFonts w:cs="Arial" w:hint="cs"/>
          <w:sz w:val="18"/>
          <w:szCs w:val="18"/>
          <w:rtl/>
        </w:rPr>
        <w:t>לו</w:t>
      </w:r>
      <w:r w:rsidRPr="007B265E">
        <w:rPr>
          <w:rFonts w:cs="Arial"/>
          <w:sz w:val="18"/>
          <w:szCs w:val="18"/>
          <w:rtl/>
        </w:rPr>
        <w:t xml:space="preserve"> </w:t>
      </w:r>
      <w:r w:rsidRPr="007B265E">
        <w:rPr>
          <w:rFonts w:cs="Arial" w:hint="cs"/>
          <w:sz w:val="18"/>
          <w:szCs w:val="18"/>
          <w:rtl/>
        </w:rPr>
        <w:t>שם</w:t>
      </w:r>
      <w:r w:rsidRPr="007B265E">
        <w:rPr>
          <w:rFonts w:cs="Arial"/>
          <w:sz w:val="18"/>
          <w:szCs w:val="18"/>
          <w:rtl/>
        </w:rPr>
        <w:t xml:space="preserve"> </w:t>
      </w:r>
      <w:r w:rsidRPr="007B265E">
        <w:rPr>
          <w:rFonts w:cs="Arial" w:hint="cs"/>
          <w:sz w:val="18"/>
          <w:szCs w:val="18"/>
          <w:rtl/>
        </w:rPr>
        <w:t>ישראל</w:t>
      </w:r>
      <w:r w:rsidRPr="007B265E">
        <w:rPr>
          <w:rFonts w:cs="Arial"/>
          <w:sz w:val="18"/>
          <w:szCs w:val="18"/>
          <w:rtl/>
        </w:rPr>
        <w:t xml:space="preserve"> </w:t>
      </w:r>
      <w:r w:rsidRPr="007B265E">
        <w:rPr>
          <w:rFonts w:cs="Arial" w:hint="cs"/>
          <w:sz w:val="18"/>
          <w:szCs w:val="18"/>
          <w:rtl/>
        </w:rPr>
        <w:t>המכונה</w:t>
      </w:r>
      <w:r w:rsidRPr="007B265E">
        <w:rPr>
          <w:rFonts w:cs="Arial"/>
          <w:sz w:val="18"/>
          <w:szCs w:val="18"/>
          <w:rtl/>
        </w:rPr>
        <w:t xml:space="preserve"> </w:t>
      </w:r>
      <w:r w:rsidRPr="007B265E">
        <w:rPr>
          <w:rFonts w:cs="Arial" w:hint="cs"/>
          <w:sz w:val="18"/>
          <w:szCs w:val="18"/>
          <w:rtl/>
        </w:rPr>
        <w:t>פלוני</w:t>
      </w:r>
      <w:r w:rsidRPr="007B265E">
        <w:rPr>
          <w:rFonts w:cs="Arial"/>
          <w:sz w:val="18"/>
          <w:szCs w:val="18"/>
          <w:rtl/>
        </w:rPr>
        <w:t xml:space="preserve"> </w:t>
      </w:r>
      <w:r w:rsidRPr="007B265E">
        <w:rPr>
          <w:rFonts w:cs="Arial" w:hint="cs"/>
          <w:sz w:val="18"/>
          <w:szCs w:val="18"/>
          <w:rtl/>
        </w:rPr>
        <w:t>וכל</w:t>
      </w:r>
      <w:r w:rsidRPr="007B265E">
        <w:rPr>
          <w:rFonts w:cs="Arial"/>
          <w:sz w:val="18"/>
          <w:szCs w:val="18"/>
          <w:rtl/>
        </w:rPr>
        <w:t xml:space="preserve"> </w:t>
      </w:r>
      <w:r w:rsidRPr="007B265E">
        <w:rPr>
          <w:rFonts w:cs="Arial" w:hint="cs"/>
          <w:sz w:val="18"/>
          <w:szCs w:val="18"/>
          <w:rtl/>
        </w:rPr>
        <w:t>שום</w:t>
      </w:r>
      <w:r w:rsidRPr="007B265E">
        <w:rPr>
          <w:rFonts w:cs="Arial"/>
          <w:sz w:val="18"/>
          <w:szCs w:val="18"/>
          <w:rtl/>
        </w:rPr>
        <w:t xml:space="preserve"> </w:t>
      </w:r>
      <w:r w:rsidRPr="007B265E">
        <w:rPr>
          <w:rFonts w:cs="Arial" w:hint="cs"/>
          <w:sz w:val="18"/>
          <w:szCs w:val="18"/>
          <w:rtl/>
        </w:rPr>
        <w:t>וחניכה</w:t>
      </w:r>
      <w:r w:rsidRPr="007B265E">
        <w:rPr>
          <w:rFonts w:cs="Arial"/>
          <w:sz w:val="18"/>
          <w:szCs w:val="18"/>
          <w:rtl/>
        </w:rPr>
        <w:t xml:space="preserve"> </w:t>
      </w:r>
      <w:r w:rsidRPr="007B265E">
        <w:rPr>
          <w:rFonts w:cs="Arial" w:hint="cs"/>
          <w:sz w:val="18"/>
          <w:szCs w:val="18"/>
          <w:rtl/>
        </w:rPr>
        <w:t>דאית</w:t>
      </w:r>
      <w:r w:rsidRPr="007B265E">
        <w:rPr>
          <w:rFonts w:cs="Arial"/>
          <w:sz w:val="18"/>
          <w:szCs w:val="18"/>
          <w:rtl/>
        </w:rPr>
        <w:t xml:space="preserve"> </w:t>
      </w:r>
      <w:r w:rsidRPr="007B265E">
        <w:rPr>
          <w:rFonts w:cs="Arial" w:hint="cs"/>
          <w:sz w:val="18"/>
          <w:szCs w:val="18"/>
          <w:rtl/>
        </w:rPr>
        <w:t>ליה</w:t>
      </w:r>
      <w:r>
        <w:rPr>
          <w:rStyle w:val="a7"/>
          <w:rFonts w:cs="Arial"/>
          <w:sz w:val="18"/>
          <w:szCs w:val="18"/>
          <w:rtl/>
        </w:rPr>
        <w:footnoteReference w:id="1072"/>
      </w:r>
      <w:r w:rsidRPr="007B265E">
        <w:rPr>
          <w:rFonts w:cs="Arial"/>
          <w:sz w:val="18"/>
          <w:szCs w:val="18"/>
          <w:rtl/>
        </w:rPr>
        <w:t xml:space="preserve"> (</w:t>
      </w:r>
      <w:r w:rsidRPr="007B265E">
        <w:rPr>
          <w:rFonts w:cs="Arial" w:hint="cs"/>
          <w:sz w:val="18"/>
          <w:szCs w:val="18"/>
          <w:rtl/>
        </w:rPr>
        <w:t>סדר</w:t>
      </w:r>
      <w:r w:rsidRPr="007B265E">
        <w:rPr>
          <w:rFonts w:cs="Arial"/>
          <w:sz w:val="18"/>
          <w:szCs w:val="18"/>
          <w:rtl/>
        </w:rPr>
        <w:t xml:space="preserve"> </w:t>
      </w:r>
      <w:r w:rsidRPr="007B265E">
        <w:rPr>
          <w:rFonts w:cs="Arial" w:hint="cs"/>
          <w:sz w:val="18"/>
          <w:szCs w:val="18"/>
          <w:rtl/>
        </w:rPr>
        <w:t>הגיטין</w:t>
      </w:r>
      <w:r w:rsidRPr="007B265E">
        <w:rPr>
          <w:rFonts w:cs="Arial"/>
          <w:sz w:val="18"/>
          <w:szCs w:val="18"/>
          <w:rtl/>
        </w:rPr>
        <w:t>).</w:t>
      </w:r>
    </w:p>
    <w:p w14:paraId="3EEDD60A" w14:textId="77777777" w:rsidR="00FA2119" w:rsidRDefault="00FA2119" w:rsidP="00FA2119">
      <w:pPr>
        <w:rPr>
          <w:rFonts w:cs="Arial"/>
          <w:rtl/>
        </w:rPr>
      </w:pPr>
      <w:r w:rsidRPr="00FF4D7C">
        <w:rPr>
          <w:rFonts w:cs="Arial" w:hint="cs"/>
          <w:u w:val="single"/>
          <w:rtl/>
        </w:rPr>
        <w:t>מי שהיה לו שם ישראל, והמיר, ונתנו לו שם כשמות ישראל:</w:t>
      </w:r>
      <w:r w:rsidRPr="00FF4D7C">
        <w:rPr>
          <w:rFonts w:cs="Arial" w:hint="cs"/>
          <w:sz w:val="16"/>
          <w:szCs w:val="16"/>
          <w:rtl/>
        </w:rPr>
        <w:t xml:space="preserve"> </w:t>
      </w:r>
      <w:r w:rsidRPr="00FF4D7C">
        <w:rPr>
          <w:rFonts w:cs="Arial"/>
          <w:sz w:val="16"/>
          <w:szCs w:val="16"/>
          <w:rtl/>
        </w:rPr>
        <w:t>(</w:t>
      </w:r>
      <w:r w:rsidRPr="00FF4D7C">
        <w:rPr>
          <w:rFonts w:cs="Arial" w:hint="cs"/>
          <w:sz w:val="16"/>
          <w:szCs w:val="16"/>
          <w:rtl/>
        </w:rPr>
        <w:t>פת"ש סק</w:t>
      </w:r>
      <w:r w:rsidRPr="00FF4D7C">
        <w:rPr>
          <w:rFonts w:cs="Arial"/>
          <w:sz w:val="16"/>
          <w:szCs w:val="16"/>
          <w:rtl/>
        </w:rPr>
        <w:t>י</w:t>
      </w:r>
      <w:r w:rsidRPr="00FF4D7C">
        <w:rPr>
          <w:rFonts w:cs="Arial" w:hint="cs"/>
          <w:sz w:val="16"/>
          <w:szCs w:val="16"/>
          <w:rtl/>
        </w:rPr>
        <w:t>"</w:t>
      </w:r>
      <w:r w:rsidRPr="00FF4D7C">
        <w:rPr>
          <w:rFonts w:cs="Arial"/>
          <w:sz w:val="16"/>
          <w:szCs w:val="16"/>
          <w:rtl/>
        </w:rPr>
        <w:t>א)</w:t>
      </w:r>
      <w:r>
        <w:rPr>
          <w:rFonts w:cs="Arial"/>
          <w:rtl/>
        </w:rPr>
        <w:t xml:space="preserve"> </w:t>
      </w:r>
    </w:p>
    <w:p w14:paraId="45392256" w14:textId="22CBD7A3" w:rsidR="00FA2119" w:rsidRPr="00FF4D7C" w:rsidRDefault="00FA2119" w:rsidP="00FA2119">
      <w:pPr>
        <w:pStyle w:val="ab"/>
        <w:numPr>
          <w:ilvl w:val="0"/>
          <w:numId w:val="72"/>
        </w:numPr>
      </w:pPr>
      <w:r w:rsidRPr="00FF4D7C">
        <w:rPr>
          <w:rFonts w:cs="Arial"/>
          <w:rtl/>
        </w:rPr>
        <w:t xml:space="preserve">ג"פ </w:t>
      </w:r>
      <w:r w:rsidRPr="00FF4D7C">
        <w:rPr>
          <w:rFonts w:cs="Arial" w:hint="cs"/>
          <w:sz w:val="16"/>
          <w:szCs w:val="16"/>
          <w:rtl/>
        </w:rPr>
        <w:t>(</w:t>
      </w:r>
      <w:r w:rsidRPr="00FF4D7C">
        <w:rPr>
          <w:rFonts w:cs="Arial"/>
          <w:sz w:val="16"/>
          <w:szCs w:val="16"/>
          <w:rtl/>
        </w:rPr>
        <w:t>סקכ"ג</w:t>
      </w:r>
      <w:r w:rsidRPr="00FF4D7C">
        <w:rPr>
          <w:rFonts w:cs="Arial" w:hint="cs"/>
          <w:sz w:val="16"/>
          <w:szCs w:val="16"/>
          <w:rtl/>
        </w:rPr>
        <w:t>)</w:t>
      </w:r>
      <w:r w:rsidR="00A82951">
        <w:rPr>
          <w:rFonts w:cs="Arial" w:hint="cs"/>
          <w:rtl/>
        </w:rPr>
        <w:t>-</w:t>
      </w:r>
      <w:r w:rsidRPr="00FF4D7C">
        <w:rPr>
          <w:rFonts w:cs="Arial"/>
          <w:rtl/>
        </w:rPr>
        <w:t xml:space="preserve"> </w:t>
      </w:r>
      <w:r>
        <w:rPr>
          <w:rFonts w:cs="Arial" w:hint="cs"/>
          <w:rtl/>
        </w:rPr>
        <w:t xml:space="preserve">הא דפסול </w:t>
      </w:r>
      <w:r w:rsidRPr="00FF4D7C">
        <w:rPr>
          <w:rFonts w:cs="Arial"/>
          <w:rtl/>
        </w:rPr>
        <w:t xml:space="preserve">היינו דוקא בשם מיוחד </w:t>
      </w:r>
      <w:r>
        <w:rPr>
          <w:rFonts w:cs="Arial" w:hint="cs"/>
          <w:rtl/>
        </w:rPr>
        <w:t>לגוים</w:t>
      </w:r>
      <w:r w:rsidR="000B355B">
        <w:rPr>
          <w:rFonts w:cs="Arial" w:hint="cs"/>
          <w:rtl/>
        </w:rPr>
        <w:t>,</w:t>
      </w:r>
      <w:r w:rsidRPr="00FF4D7C">
        <w:rPr>
          <w:rFonts w:cs="Arial"/>
          <w:rtl/>
        </w:rPr>
        <w:t xml:space="preserve"> אבל מי שהיה נקרא ביהדות יוחנן ואחר שהחליף דתו קראו לו ה</w:t>
      </w:r>
      <w:r>
        <w:rPr>
          <w:rFonts w:cs="Arial" w:hint="cs"/>
          <w:rtl/>
        </w:rPr>
        <w:t>גוים</w:t>
      </w:r>
      <w:r w:rsidRPr="00FF4D7C">
        <w:rPr>
          <w:rFonts w:cs="Arial"/>
          <w:rtl/>
        </w:rPr>
        <w:t xml:space="preserve"> יוסף </w:t>
      </w:r>
      <w:r w:rsidR="000B355B">
        <w:rPr>
          <w:rFonts w:cs="Arial" w:hint="cs"/>
          <w:rtl/>
        </w:rPr>
        <w:t xml:space="preserve">- </w:t>
      </w:r>
      <w:r w:rsidRPr="00FF4D7C">
        <w:rPr>
          <w:rFonts w:cs="Arial"/>
          <w:rtl/>
        </w:rPr>
        <w:t>מצי מגרש בו</w:t>
      </w:r>
      <w:r w:rsidR="000B355B">
        <w:rPr>
          <w:rFonts w:cs="Arial" w:hint="cs"/>
          <w:rtl/>
        </w:rPr>
        <w:t>,</w:t>
      </w:r>
      <w:r w:rsidRPr="00FF4D7C">
        <w:rPr>
          <w:rFonts w:cs="Arial"/>
          <w:rtl/>
        </w:rPr>
        <w:t xml:space="preserve"> דהרואה הגט יאמר שמא ביהדות נשתנה שמו יוסף</w:t>
      </w:r>
      <w:r>
        <w:rPr>
          <w:rFonts w:cs="Arial" w:hint="cs"/>
          <w:rtl/>
        </w:rPr>
        <w:t>.</w:t>
      </w:r>
    </w:p>
    <w:p w14:paraId="3BE71BE1" w14:textId="5982E36F" w:rsidR="00FA2119" w:rsidRDefault="00FA2119" w:rsidP="00FA2119">
      <w:pPr>
        <w:pStyle w:val="ab"/>
        <w:numPr>
          <w:ilvl w:val="0"/>
          <w:numId w:val="72"/>
        </w:numPr>
        <w:rPr>
          <w:rtl/>
        </w:rPr>
      </w:pPr>
      <w:r w:rsidRPr="00FF4D7C">
        <w:rPr>
          <w:rFonts w:cs="Arial"/>
          <w:rtl/>
        </w:rPr>
        <w:t xml:space="preserve">ישועות יעקב </w:t>
      </w:r>
      <w:r w:rsidRPr="00FF4D7C">
        <w:rPr>
          <w:rFonts w:cs="Arial" w:hint="cs"/>
          <w:sz w:val="16"/>
          <w:szCs w:val="16"/>
          <w:rtl/>
        </w:rPr>
        <w:t>(</w:t>
      </w:r>
      <w:r w:rsidRPr="00FF4D7C">
        <w:rPr>
          <w:rFonts w:cs="Arial"/>
          <w:sz w:val="16"/>
          <w:szCs w:val="16"/>
          <w:rtl/>
        </w:rPr>
        <w:t>סק"י</w:t>
      </w:r>
      <w:r>
        <w:rPr>
          <w:rFonts w:cs="Arial" w:hint="cs"/>
          <w:sz w:val="16"/>
          <w:szCs w:val="16"/>
          <w:rtl/>
        </w:rPr>
        <w:t>)</w:t>
      </w:r>
      <w:r w:rsidRPr="00FF4D7C">
        <w:rPr>
          <w:rFonts w:cs="Arial"/>
          <w:rtl/>
        </w:rPr>
        <w:t xml:space="preserve"> </w:t>
      </w:r>
      <w:r>
        <w:rPr>
          <w:rFonts w:cs="Arial" w:hint="cs"/>
          <w:rtl/>
        </w:rPr>
        <w:t>ו</w:t>
      </w:r>
      <w:r w:rsidRPr="00FF4D7C">
        <w:rPr>
          <w:rFonts w:cs="Arial"/>
          <w:rtl/>
        </w:rPr>
        <w:t>תו"ג</w:t>
      </w:r>
      <w:r w:rsidR="00A82951">
        <w:rPr>
          <w:rFonts w:cs="Arial" w:hint="cs"/>
          <w:rtl/>
        </w:rPr>
        <w:t>-</w:t>
      </w:r>
      <w:r w:rsidRPr="00FF4D7C">
        <w:rPr>
          <w:rFonts w:cs="Arial"/>
          <w:rtl/>
        </w:rPr>
        <w:t xml:space="preserve"> אין הטעם כלל משום דזהו שמות </w:t>
      </w:r>
      <w:r>
        <w:rPr>
          <w:rFonts w:cs="Arial" w:hint="cs"/>
          <w:rtl/>
        </w:rPr>
        <w:t>גוים</w:t>
      </w:r>
      <w:r w:rsidR="000B355B">
        <w:rPr>
          <w:rFonts w:cs="Arial" w:hint="cs"/>
          <w:rtl/>
        </w:rPr>
        <w:t>,</w:t>
      </w:r>
      <w:r w:rsidRPr="00FF4D7C">
        <w:rPr>
          <w:rFonts w:cs="Arial"/>
          <w:rtl/>
        </w:rPr>
        <w:t xml:space="preserve"> דהרי מבואר בגיטין ט' דרוב ישראל שבח"ל שמותיהן כשמות כנעני'</w:t>
      </w:r>
      <w:r w:rsidR="000B355B">
        <w:rPr>
          <w:rFonts w:cs="Arial" w:hint="cs"/>
          <w:rtl/>
        </w:rPr>
        <w:t>.</w:t>
      </w:r>
      <w:r w:rsidRPr="00FF4D7C">
        <w:rPr>
          <w:rFonts w:cs="Arial"/>
          <w:rtl/>
        </w:rPr>
        <w:t xml:space="preserve"> אלא דעיקר הטעם משום כיון שה</w:t>
      </w:r>
      <w:r>
        <w:rPr>
          <w:rFonts w:cs="Arial" w:hint="cs"/>
          <w:rtl/>
        </w:rPr>
        <w:t>גוי</w:t>
      </w:r>
      <w:r w:rsidRPr="00FF4D7C">
        <w:rPr>
          <w:rFonts w:cs="Arial"/>
          <w:rtl/>
        </w:rPr>
        <w:t>ם קראו אותו בשם הזה בשעה שהחליף דתו ובטלו שם ישראל ע"י שם זה חלילה לנו להזכירו בגט</w:t>
      </w:r>
      <w:r w:rsidR="000B355B">
        <w:rPr>
          <w:rFonts w:cs="Arial" w:hint="cs"/>
          <w:rtl/>
        </w:rPr>
        <w:t>,</w:t>
      </w:r>
      <w:r w:rsidRPr="00FF4D7C">
        <w:rPr>
          <w:rFonts w:cs="Arial"/>
          <w:rtl/>
        </w:rPr>
        <w:t xml:space="preserve"> וא"כ אף אם היה לו מתחילה שם של כנעני' וכעת שמו כשם ישראל אין להזכירו בשם השני</w:t>
      </w:r>
      <w:r>
        <w:rPr>
          <w:rFonts w:cs="Arial" w:hint="cs"/>
          <w:rtl/>
        </w:rPr>
        <w:t>.</w:t>
      </w:r>
      <w:r w:rsidRPr="00FF4D7C">
        <w:rPr>
          <w:rFonts w:cs="Arial"/>
          <w:rtl/>
        </w:rPr>
        <w:t xml:space="preserve"> וכן מבואר מדברי הט"ז</w:t>
      </w:r>
      <w:r>
        <w:rPr>
          <w:rFonts w:cs="Arial" w:hint="cs"/>
          <w:rtl/>
        </w:rPr>
        <w:t xml:space="preserve">... </w:t>
      </w:r>
      <w:r w:rsidRPr="00FF4D7C">
        <w:rPr>
          <w:rFonts w:cs="Arial"/>
          <w:rtl/>
        </w:rPr>
        <w:t>וזה ברור לדינא דאף בזה פסול</w:t>
      </w:r>
      <w:r>
        <w:rPr>
          <w:rFonts w:cs="Arial" w:hint="cs"/>
          <w:sz w:val="16"/>
          <w:szCs w:val="16"/>
          <w:rtl/>
        </w:rPr>
        <w:t xml:space="preserve"> (ל' ישועות יעקב)</w:t>
      </w:r>
      <w:r>
        <w:rPr>
          <w:rFonts w:cs="Arial" w:hint="cs"/>
          <w:rtl/>
        </w:rPr>
        <w:t>.</w:t>
      </w:r>
    </w:p>
    <w:p w14:paraId="2C254A07" w14:textId="005DE380" w:rsidR="00FA2119" w:rsidRDefault="000B355B" w:rsidP="00FA2119">
      <w:pPr>
        <w:rPr>
          <w:rFonts w:cs="Arial"/>
          <w:rtl/>
        </w:rPr>
      </w:pPr>
      <w:r>
        <w:rPr>
          <w:rFonts w:cs="Arial" w:hint="cs"/>
          <w:u w:val="single"/>
          <w:rtl/>
        </w:rPr>
        <w:t>כש</w:t>
      </w:r>
      <w:r w:rsidR="00FA2119" w:rsidRPr="00FF4D7C">
        <w:rPr>
          <w:rFonts w:cs="Arial" w:hint="cs"/>
          <w:u w:val="single"/>
          <w:rtl/>
        </w:rPr>
        <w:t xml:space="preserve">היה לו כינוי, </w:t>
      </w:r>
      <w:r>
        <w:rPr>
          <w:rFonts w:cs="Arial" w:hint="cs"/>
          <w:u w:val="single"/>
          <w:rtl/>
        </w:rPr>
        <w:t>מתי</w:t>
      </w:r>
      <w:r w:rsidR="00FA2119" w:rsidRPr="00FF4D7C">
        <w:rPr>
          <w:rFonts w:cs="Arial" w:hint="cs"/>
          <w:u w:val="single"/>
          <w:rtl/>
        </w:rPr>
        <w:t xml:space="preserve"> כותבים 'וכל שום וחניכא דאית ליה'</w:t>
      </w:r>
      <w:r>
        <w:rPr>
          <w:rFonts w:cs="Arial" w:hint="cs"/>
          <w:u w:val="single"/>
          <w:rtl/>
        </w:rPr>
        <w:t>,</w:t>
      </w:r>
      <w:r w:rsidR="00FA2119" w:rsidRPr="00FF4D7C">
        <w:rPr>
          <w:rFonts w:cs="Arial" w:hint="cs"/>
          <w:u w:val="single"/>
          <w:rtl/>
        </w:rPr>
        <w:t xml:space="preserve"> קודם שם אביו</w:t>
      </w:r>
      <w:r>
        <w:rPr>
          <w:rFonts w:cs="Arial" w:hint="cs"/>
          <w:u w:val="single"/>
          <w:rtl/>
        </w:rPr>
        <w:t xml:space="preserve"> או לאחריו</w:t>
      </w:r>
      <w:r w:rsidR="00FA2119" w:rsidRPr="00FF4D7C">
        <w:rPr>
          <w:rFonts w:cs="Arial" w:hint="cs"/>
          <w:u w:val="single"/>
          <w:rtl/>
        </w:rPr>
        <w:t>:</w:t>
      </w:r>
      <w:r w:rsidR="00FA2119">
        <w:rPr>
          <w:rFonts w:cs="Arial" w:hint="cs"/>
          <w:rtl/>
        </w:rPr>
        <w:t xml:space="preserve"> </w:t>
      </w:r>
      <w:r w:rsidR="00FA2119" w:rsidRPr="00FF4D7C">
        <w:rPr>
          <w:rFonts w:cs="Arial"/>
          <w:sz w:val="16"/>
          <w:szCs w:val="16"/>
          <w:rtl/>
        </w:rPr>
        <w:t>(</w:t>
      </w:r>
      <w:r w:rsidR="00FA2119" w:rsidRPr="00FF4D7C">
        <w:rPr>
          <w:rFonts w:cs="Arial" w:hint="cs"/>
          <w:sz w:val="16"/>
          <w:szCs w:val="16"/>
          <w:rtl/>
        </w:rPr>
        <w:t>פת"ש סק</w:t>
      </w:r>
      <w:r w:rsidR="00FA2119" w:rsidRPr="00FF4D7C">
        <w:rPr>
          <w:rFonts w:cs="Arial"/>
          <w:sz w:val="16"/>
          <w:szCs w:val="16"/>
          <w:rtl/>
        </w:rPr>
        <w:t>י</w:t>
      </w:r>
      <w:r w:rsidR="00FA2119" w:rsidRPr="00FF4D7C">
        <w:rPr>
          <w:rFonts w:cs="Arial" w:hint="cs"/>
          <w:sz w:val="16"/>
          <w:szCs w:val="16"/>
          <w:rtl/>
        </w:rPr>
        <w:t>"</w:t>
      </w:r>
      <w:r w:rsidR="00FA2119" w:rsidRPr="00FF4D7C">
        <w:rPr>
          <w:rFonts w:cs="Arial"/>
          <w:sz w:val="16"/>
          <w:szCs w:val="16"/>
          <w:rtl/>
        </w:rPr>
        <w:t>ב)</w:t>
      </w:r>
      <w:r w:rsidR="00FA2119">
        <w:rPr>
          <w:rFonts w:cs="Arial"/>
          <w:rtl/>
        </w:rPr>
        <w:t xml:space="preserve"> </w:t>
      </w:r>
    </w:p>
    <w:p w14:paraId="2D95A65E" w14:textId="2DF8990C" w:rsidR="00FA2119" w:rsidRPr="000173CF" w:rsidRDefault="00FA2119" w:rsidP="00FA2119">
      <w:pPr>
        <w:pStyle w:val="ab"/>
        <w:numPr>
          <w:ilvl w:val="0"/>
          <w:numId w:val="73"/>
        </w:numPr>
      </w:pPr>
      <w:r w:rsidRPr="00FF4D7C">
        <w:rPr>
          <w:rFonts w:cs="Arial"/>
          <w:rtl/>
        </w:rPr>
        <w:t xml:space="preserve">סדר הגט </w:t>
      </w:r>
      <w:r w:rsidRPr="000173CF">
        <w:rPr>
          <w:rFonts w:cs="Arial" w:hint="cs"/>
          <w:sz w:val="16"/>
          <w:szCs w:val="16"/>
          <w:rtl/>
        </w:rPr>
        <w:t>(</w:t>
      </w:r>
      <w:r w:rsidRPr="000173CF">
        <w:rPr>
          <w:rFonts w:cs="Arial"/>
          <w:sz w:val="16"/>
          <w:szCs w:val="16"/>
          <w:rtl/>
        </w:rPr>
        <w:t>מהר"י מינץ סי</w:t>
      </w:r>
      <w:r w:rsidRPr="000173CF">
        <w:rPr>
          <w:rFonts w:cs="Arial" w:hint="cs"/>
          <w:sz w:val="16"/>
          <w:szCs w:val="16"/>
          <w:rtl/>
        </w:rPr>
        <w:t>'</w:t>
      </w:r>
      <w:r w:rsidRPr="000173CF">
        <w:rPr>
          <w:rFonts w:cs="Arial"/>
          <w:sz w:val="16"/>
          <w:szCs w:val="16"/>
          <w:rtl/>
        </w:rPr>
        <w:t xml:space="preserve"> לה</w:t>
      </w:r>
      <w:r w:rsidR="00A82951">
        <w:rPr>
          <w:rFonts w:cs="Arial" w:hint="cs"/>
          <w:sz w:val="16"/>
          <w:szCs w:val="16"/>
          <w:rtl/>
        </w:rPr>
        <w:t>-</w:t>
      </w:r>
      <w:r w:rsidRPr="000173CF">
        <w:rPr>
          <w:rFonts w:cs="Arial"/>
          <w:sz w:val="16"/>
          <w:szCs w:val="16"/>
          <w:rtl/>
        </w:rPr>
        <w:t>לו</w:t>
      </w:r>
      <w:r w:rsidRPr="000173CF">
        <w:rPr>
          <w:rFonts w:cs="Arial" w:hint="cs"/>
          <w:sz w:val="16"/>
          <w:szCs w:val="16"/>
          <w:rtl/>
        </w:rPr>
        <w:t>)</w:t>
      </w:r>
      <w:r w:rsidRPr="000173CF">
        <w:rPr>
          <w:rFonts w:cs="Arial"/>
          <w:rtl/>
        </w:rPr>
        <w:t xml:space="preserve"> </w:t>
      </w:r>
      <w:r w:rsidRPr="00FF4D7C">
        <w:rPr>
          <w:rFonts w:cs="Arial"/>
          <w:rtl/>
        </w:rPr>
        <w:t xml:space="preserve">מהר"ם פאדוה </w:t>
      </w:r>
      <w:r w:rsidRPr="000173CF">
        <w:rPr>
          <w:rFonts w:cs="Arial" w:hint="cs"/>
          <w:sz w:val="16"/>
          <w:szCs w:val="16"/>
          <w:rtl/>
        </w:rPr>
        <w:t>(</w:t>
      </w:r>
      <w:r w:rsidRPr="000173CF">
        <w:rPr>
          <w:rFonts w:cs="Arial"/>
          <w:sz w:val="16"/>
          <w:szCs w:val="16"/>
          <w:rtl/>
        </w:rPr>
        <w:t>סי</w:t>
      </w:r>
      <w:r w:rsidRPr="000173CF">
        <w:rPr>
          <w:rFonts w:cs="Arial" w:hint="cs"/>
          <w:sz w:val="16"/>
          <w:szCs w:val="16"/>
          <w:rtl/>
        </w:rPr>
        <w:t>'</w:t>
      </w:r>
      <w:r w:rsidRPr="000173CF">
        <w:rPr>
          <w:rFonts w:cs="Arial"/>
          <w:sz w:val="16"/>
          <w:szCs w:val="16"/>
          <w:rtl/>
        </w:rPr>
        <w:t xml:space="preserve"> לח</w:t>
      </w:r>
      <w:r w:rsidRPr="000173CF">
        <w:rPr>
          <w:rFonts w:cs="Arial" w:hint="cs"/>
          <w:sz w:val="16"/>
          <w:szCs w:val="16"/>
          <w:rtl/>
        </w:rPr>
        <w:t>)</w:t>
      </w:r>
      <w:r w:rsidR="00A82951">
        <w:rPr>
          <w:rFonts w:cs="Arial" w:hint="cs"/>
          <w:rtl/>
        </w:rPr>
        <w:t>-</w:t>
      </w:r>
      <w:r w:rsidRPr="00FF4D7C">
        <w:rPr>
          <w:rFonts w:cs="Arial"/>
          <w:rtl/>
        </w:rPr>
        <w:t xml:space="preserve"> יש לכתוב וכל שום וחניכה דאית לי קודם שהזכיר שם אביו</w:t>
      </w:r>
      <w:r>
        <w:rPr>
          <w:rFonts w:cs="Arial" w:hint="cs"/>
          <w:rtl/>
        </w:rPr>
        <w:t>.</w:t>
      </w:r>
      <w:r w:rsidRPr="00FF4D7C">
        <w:rPr>
          <w:rFonts w:cs="Arial"/>
          <w:rtl/>
        </w:rPr>
        <w:t xml:space="preserve"> </w:t>
      </w:r>
    </w:p>
    <w:p w14:paraId="611C23FC" w14:textId="613EC715" w:rsidR="00FA2119" w:rsidRDefault="00FA2119" w:rsidP="00FA2119">
      <w:pPr>
        <w:pStyle w:val="ab"/>
        <w:numPr>
          <w:ilvl w:val="0"/>
          <w:numId w:val="73"/>
        </w:numPr>
        <w:rPr>
          <w:rtl/>
        </w:rPr>
      </w:pPr>
      <w:r>
        <w:rPr>
          <w:rFonts w:cs="Arial" w:hint="cs"/>
          <w:rtl/>
        </w:rPr>
        <w:t>ב"ח</w:t>
      </w:r>
      <w:r w:rsidRPr="00FF4D7C">
        <w:rPr>
          <w:rFonts w:cs="Arial"/>
          <w:rtl/>
        </w:rPr>
        <w:t xml:space="preserve"> </w:t>
      </w:r>
      <w:r w:rsidRPr="000173CF">
        <w:rPr>
          <w:rFonts w:cs="Arial" w:hint="cs"/>
          <w:sz w:val="16"/>
          <w:szCs w:val="16"/>
          <w:rtl/>
        </w:rPr>
        <w:t>(</w:t>
      </w:r>
      <w:r>
        <w:rPr>
          <w:rFonts w:cs="Arial" w:hint="cs"/>
          <w:sz w:val="16"/>
          <w:szCs w:val="16"/>
          <w:rtl/>
        </w:rPr>
        <w:t xml:space="preserve">בתשו', מובא בתשובות גאוני בתראי </w:t>
      </w:r>
      <w:r w:rsidRPr="000173CF">
        <w:rPr>
          <w:rFonts w:cs="Arial"/>
          <w:sz w:val="16"/>
          <w:szCs w:val="16"/>
          <w:rtl/>
        </w:rPr>
        <w:t>סי</w:t>
      </w:r>
      <w:r w:rsidRPr="000173CF">
        <w:rPr>
          <w:rFonts w:cs="Arial" w:hint="cs"/>
          <w:sz w:val="16"/>
          <w:szCs w:val="16"/>
          <w:rtl/>
        </w:rPr>
        <w:t xml:space="preserve">' </w:t>
      </w:r>
      <w:r w:rsidRPr="000173CF">
        <w:rPr>
          <w:rFonts w:cs="Arial"/>
          <w:sz w:val="16"/>
          <w:szCs w:val="16"/>
          <w:rtl/>
        </w:rPr>
        <w:t>ג</w:t>
      </w:r>
      <w:r w:rsidRPr="000173CF">
        <w:rPr>
          <w:rFonts w:cs="Arial" w:hint="cs"/>
          <w:sz w:val="16"/>
          <w:szCs w:val="16"/>
          <w:rtl/>
        </w:rPr>
        <w:t>)</w:t>
      </w:r>
      <w:r w:rsidR="00A82951">
        <w:rPr>
          <w:rFonts w:cs="Arial" w:hint="cs"/>
          <w:rtl/>
        </w:rPr>
        <w:t>-</w:t>
      </w:r>
      <w:r>
        <w:rPr>
          <w:rFonts w:cs="Arial" w:hint="cs"/>
          <w:rtl/>
        </w:rPr>
        <w:t xml:space="preserve"> </w:t>
      </w:r>
      <w:r w:rsidRPr="00FF4D7C">
        <w:rPr>
          <w:rFonts w:cs="Arial"/>
          <w:rtl/>
        </w:rPr>
        <w:t>ראוי לכתוב וכל שום אחר שהזכיר שם אביו</w:t>
      </w:r>
      <w:r>
        <w:rPr>
          <w:rStyle w:val="a7"/>
          <w:rFonts w:cs="Arial"/>
          <w:rtl/>
        </w:rPr>
        <w:footnoteReference w:id="1073"/>
      </w:r>
      <w:r>
        <w:rPr>
          <w:rFonts w:cs="Arial" w:hint="cs"/>
          <w:rtl/>
        </w:rPr>
        <w:t>.</w:t>
      </w:r>
    </w:p>
    <w:p w14:paraId="0F9D7176" w14:textId="77777777" w:rsidR="00FA2119" w:rsidRDefault="00FA2119" w:rsidP="00FA2119">
      <w:pPr>
        <w:rPr>
          <w:rtl/>
        </w:rPr>
      </w:pPr>
    </w:p>
    <w:p w14:paraId="26167976" w14:textId="77777777" w:rsidR="00FA2119" w:rsidRDefault="00FA2119" w:rsidP="00FA2119">
      <w:pPr>
        <w:pStyle w:val="2"/>
        <w:rPr>
          <w:rtl/>
        </w:rPr>
      </w:pPr>
      <w:r>
        <w:rPr>
          <w:rFonts w:hint="cs"/>
          <w:rtl/>
        </w:rPr>
        <w:t>סעיף</w:t>
      </w:r>
      <w:r>
        <w:rPr>
          <w:rtl/>
        </w:rPr>
        <w:t xml:space="preserve"> </w:t>
      </w:r>
      <w:r>
        <w:rPr>
          <w:rFonts w:hint="cs"/>
          <w:rtl/>
        </w:rPr>
        <w:t>ו: גר שכתב שם גיותו.</w:t>
      </w:r>
    </w:p>
    <w:p w14:paraId="473E632E" w14:textId="7CC12678" w:rsidR="00FA2119" w:rsidRPr="00687EE0" w:rsidRDefault="00FA2119" w:rsidP="00FA2119">
      <w:pPr>
        <w:rPr>
          <w:rFonts w:cs="Arial"/>
          <w:rtl/>
        </w:rPr>
      </w:pPr>
      <w:r w:rsidRPr="00687EE0">
        <w:rPr>
          <w:rFonts w:cs="Arial" w:hint="cs"/>
          <w:b/>
          <w:bCs/>
          <w:rtl/>
        </w:rPr>
        <w:t>תוספתא גיטין פ"ו ה"ד:</w:t>
      </w:r>
      <w:r w:rsidRPr="00687EE0">
        <w:rPr>
          <w:rFonts w:cs="Arial" w:hint="cs"/>
          <w:rtl/>
        </w:rPr>
        <w:t xml:space="preserve"> </w:t>
      </w:r>
      <w:r w:rsidRPr="00687EE0">
        <w:rPr>
          <w:rFonts w:cs="Arial"/>
          <w:rtl/>
        </w:rPr>
        <w:t xml:space="preserve">גר ששינה שמו בשם הגוים </w:t>
      </w:r>
      <w:r w:rsidR="00A82951">
        <w:rPr>
          <w:rFonts w:cs="Arial" w:hint="cs"/>
          <w:rtl/>
        </w:rPr>
        <w:t>-</w:t>
      </w:r>
      <w:r w:rsidRPr="00687EE0">
        <w:rPr>
          <w:rFonts w:cs="Arial" w:hint="cs"/>
          <w:rtl/>
        </w:rPr>
        <w:t xml:space="preserve"> </w:t>
      </w:r>
      <w:r w:rsidRPr="00687EE0">
        <w:rPr>
          <w:rFonts w:cs="Arial"/>
          <w:rtl/>
        </w:rPr>
        <w:t>כשר</w:t>
      </w:r>
      <w:r w:rsidRPr="00687EE0">
        <w:rPr>
          <w:rFonts w:cs="Arial" w:hint="cs"/>
          <w:rtl/>
        </w:rPr>
        <w:t>.</w:t>
      </w:r>
      <w:r w:rsidRPr="00687EE0">
        <w:rPr>
          <w:rFonts w:cs="Arial"/>
          <w:rtl/>
        </w:rPr>
        <w:t xml:space="preserve"> וכן אתה אומ' בגירה</w:t>
      </w:r>
      <w:r w:rsidRPr="00687EE0">
        <w:rPr>
          <w:rFonts w:cs="Arial" w:hint="cs"/>
          <w:rtl/>
        </w:rPr>
        <w:t>.</w:t>
      </w:r>
    </w:p>
    <w:p w14:paraId="3F6FC835" w14:textId="77777777" w:rsidR="00FA2119" w:rsidRPr="00993F86" w:rsidRDefault="00FA2119" w:rsidP="00FA2119">
      <w:r>
        <w:rPr>
          <w:rFonts w:hint="cs"/>
          <w:u w:val="single"/>
          <w:rtl/>
        </w:rPr>
        <w:t>גר</w:t>
      </w:r>
      <w:r w:rsidRPr="00993F86">
        <w:rPr>
          <w:rFonts w:hint="cs"/>
          <w:u w:val="single"/>
          <w:rtl/>
        </w:rPr>
        <w:t xml:space="preserve"> ששינה שמו לשם של </w:t>
      </w:r>
      <w:r>
        <w:rPr>
          <w:rFonts w:hint="cs"/>
          <w:u w:val="single"/>
          <w:rtl/>
        </w:rPr>
        <w:t>ישראל, וכתב בגט שם גיותו</w:t>
      </w:r>
      <w:r w:rsidRPr="00993F86">
        <w:rPr>
          <w:rFonts w:hint="cs"/>
          <w:u w:val="single"/>
          <w:rtl/>
        </w:rPr>
        <w:t>:</w:t>
      </w:r>
    </w:p>
    <w:p w14:paraId="3E6073B1" w14:textId="539935A0" w:rsidR="00FA2119" w:rsidRPr="00BD3D8D" w:rsidRDefault="00FA2119" w:rsidP="00FA2119">
      <w:pPr>
        <w:pStyle w:val="ab"/>
        <w:numPr>
          <w:ilvl w:val="0"/>
          <w:numId w:val="72"/>
        </w:numPr>
        <w:rPr>
          <w:rtl/>
        </w:rPr>
      </w:pPr>
      <w:r>
        <w:rPr>
          <w:rFonts w:cs="Arial" w:hint="cs"/>
          <w:rtl/>
        </w:rPr>
        <w:t xml:space="preserve">ר"ת </w:t>
      </w:r>
      <w:r>
        <w:rPr>
          <w:rFonts w:cs="Arial" w:hint="cs"/>
          <w:sz w:val="16"/>
          <w:szCs w:val="16"/>
          <w:rtl/>
        </w:rPr>
        <w:t>(שם)</w:t>
      </w:r>
      <w:r>
        <w:rPr>
          <w:rFonts w:cs="Arial" w:hint="cs"/>
          <w:rtl/>
        </w:rPr>
        <w:t xml:space="preserve"> ו</w:t>
      </w:r>
      <w:r w:rsidRPr="00390632">
        <w:rPr>
          <w:rFonts w:cs="Arial"/>
          <w:rtl/>
        </w:rPr>
        <w:t xml:space="preserve">רמ"ה </w:t>
      </w:r>
      <w:r w:rsidRPr="00BD3D8D">
        <w:rPr>
          <w:rFonts w:cs="Arial"/>
          <w:sz w:val="16"/>
          <w:szCs w:val="16"/>
          <w:rtl/>
        </w:rPr>
        <w:t>(</w:t>
      </w:r>
      <w:r>
        <w:rPr>
          <w:rFonts w:cs="Arial" w:hint="cs"/>
          <w:sz w:val="16"/>
          <w:szCs w:val="16"/>
          <w:rtl/>
        </w:rPr>
        <w:t>שם)</w:t>
      </w:r>
      <w:r w:rsidR="00A82951">
        <w:rPr>
          <w:rFonts w:cs="Arial" w:hint="cs"/>
          <w:rtl/>
        </w:rPr>
        <w:t>-</w:t>
      </w:r>
      <w:r>
        <w:rPr>
          <w:rFonts w:cs="Arial" w:hint="cs"/>
          <w:rtl/>
        </w:rPr>
        <w:t xml:space="preserve"> </w:t>
      </w:r>
      <w:r w:rsidRPr="00463579">
        <w:rPr>
          <w:rFonts w:cs="Arial"/>
          <w:rtl/>
        </w:rPr>
        <w:t>גר ששינה וכתב שמו של גיותו</w:t>
      </w:r>
      <w:r w:rsidRPr="00463579">
        <w:rPr>
          <w:rFonts w:cs="Arial" w:hint="cs"/>
          <w:rtl/>
        </w:rPr>
        <w:t xml:space="preserve"> </w:t>
      </w:r>
      <w:r w:rsidR="00A82951">
        <w:rPr>
          <w:rFonts w:cs="Arial" w:hint="cs"/>
          <w:rtl/>
        </w:rPr>
        <w:t>-</w:t>
      </w:r>
      <w:r w:rsidRPr="00463579">
        <w:rPr>
          <w:rFonts w:cs="Arial"/>
          <w:rtl/>
        </w:rPr>
        <w:t xml:space="preserve"> כשר</w:t>
      </w:r>
      <w:r>
        <w:rPr>
          <w:rStyle w:val="a7"/>
          <w:rFonts w:cs="Arial"/>
          <w:rtl/>
        </w:rPr>
        <w:footnoteReference w:id="1074"/>
      </w:r>
      <w:r>
        <w:rPr>
          <w:rFonts w:cs="Arial" w:hint="cs"/>
          <w:rtl/>
        </w:rPr>
        <w:t xml:space="preserve"> </w:t>
      </w:r>
      <w:r>
        <w:rPr>
          <w:rFonts w:cs="Arial" w:hint="cs"/>
          <w:sz w:val="16"/>
          <w:szCs w:val="16"/>
          <w:rtl/>
        </w:rPr>
        <w:t>(ל' הטור בשם הרמ"ה)</w:t>
      </w:r>
      <w:r w:rsidRPr="00463579">
        <w:rPr>
          <w:rFonts w:cs="Arial" w:hint="cs"/>
          <w:rtl/>
        </w:rPr>
        <w:t>.</w:t>
      </w:r>
      <w:r w:rsidRPr="00463579">
        <w:rPr>
          <w:rFonts w:cs="Arial"/>
          <w:rtl/>
        </w:rPr>
        <w:t xml:space="preserve"> </w:t>
      </w:r>
      <w:r w:rsidRPr="00A73EE5">
        <w:rPr>
          <w:rFonts w:hint="cs"/>
          <w:color w:val="E36C0A" w:themeColor="accent6" w:themeShade="BF"/>
          <w:rtl/>
        </w:rPr>
        <w:t>(וכ"פ בשו"ע)</w:t>
      </w:r>
    </w:p>
    <w:p w14:paraId="1543305C"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DA2F1D8" w14:textId="77777777" w:rsidR="00FA2119" w:rsidRDefault="00FA2119" w:rsidP="00FA2119">
      <w:pPr>
        <w:rPr>
          <w:rFonts w:cs="Arial"/>
          <w:rtl/>
        </w:rPr>
      </w:pPr>
      <w:r>
        <w:rPr>
          <w:rFonts w:cs="Arial" w:hint="cs"/>
          <w:rtl/>
        </w:rPr>
        <w:t>גר</w:t>
      </w:r>
      <w:r>
        <w:rPr>
          <w:rFonts w:cs="Arial"/>
          <w:rtl/>
        </w:rPr>
        <w:t xml:space="preserve"> </w:t>
      </w:r>
      <w:r>
        <w:rPr>
          <w:rFonts w:cs="Arial" w:hint="cs"/>
          <w:rtl/>
        </w:rPr>
        <w:t>שכתב</w:t>
      </w:r>
      <w:r>
        <w:rPr>
          <w:rFonts w:cs="Arial"/>
          <w:rtl/>
        </w:rPr>
        <w:t xml:space="preserve"> </w:t>
      </w:r>
      <w:r>
        <w:rPr>
          <w:rFonts w:cs="Arial" w:hint="cs"/>
          <w:rtl/>
        </w:rPr>
        <w:t>שם</w:t>
      </w:r>
      <w:r>
        <w:rPr>
          <w:rFonts w:cs="Arial"/>
          <w:rtl/>
        </w:rPr>
        <w:t xml:space="preserve"> </w:t>
      </w:r>
      <w:r>
        <w:rPr>
          <w:rFonts w:cs="Arial" w:hint="cs"/>
          <w:rtl/>
        </w:rPr>
        <w:t>גיותו</w:t>
      </w:r>
      <w:r>
        <w:rPr>
          <w:rFonts w:cs="Arial"/>
          <w:rtl/>
        </w:rPr>
        <w:t xml:space="preserve">, </w:t>
      </w:r>
      <w:r>
        <w:rPr>
          <w:rFonts w:cs="Arial" w:hint="cs"/>
          <w:rtl/>
        </w:rPr>
        <w:t>כשר</w:t>
      </w:r>
      <w:r>
        <w:rPr>
          <w:rFonts w:cs="Arial"/>
          <w:rtl/>
        </w:rPr>
        <w:t xml:space="preserve">, </w:t>
      </w:r>
      <w:r>
        <w:rPr>
          <w:rFonts w:cs="Arial" w:hint="cs"/>
          <w:rtl/>
        </w:rPr>
        <w:t>אפילו</w:t>
      </w:r>
      <w:r>
        <w:rPr>
          <w:rFonts w:cs="Arial"/>
          <w:rtl/>
        </w:rPr>
        <w:t xml:space="preserve"> </w:t>
      </w:r>
      <w:r>
        <w:rPr>
          <w:rFonts w:cs="Arial" w:hint="cs"/>
          <w:rtl/>
        </w:rPr>
        <w:t>אם</w:t>
      </w:r>
      <w:r>
        <w:rPr>
          <w:rFonts w:cs="Arial"/>
          <w:rtl/>
        </w:rPr>
        <w:t xml:space="preserve"> </w:t>
      </w:r>
      <w:r>
        <w:rPr>
          <w:rFonts w:cs="Arial" w:hint="cs"/>
          <w:rtl/>
        </w:rPr>
        <w:t>נשתקע</w:t>
      </w:r>
      <w:r>
        <w:rPr>
          <w:rFonts w:cs="Arial"/>
          <w:rtl/>
        </w:rPr>
        <w:t xml:space="preserve"> </w:t>
      </w:r>
      <w:r>
        <w:rPr>
          <w:rFonts w:cs="Arial" w:hint="cs"/>
          <w:rtl/>
        </w:rPr>
        <w:t>ממנו</w:t>
      </w:r>
      <w:r>
        <w:rPr>
          <w:rFonts w:cs="Arial"/>
          <w:rtl/>
        </w:rPr>
        <w:t xml:space="preserve">. </w:t>
      </w:r>
    </w:p>
    <w:p w14:paraId="7F24BCB0" w14:textId="77777777" w:rsidR="00FA2119" w:rsidRDefault="00FA2119" w:rsidP="00FA2119">
      <w:pPr>
        <w:rPr>
          <w:rtl/>
        </w:rPr>
      </w:pPr>
    </w:p>
    <w:p w14:paraId="3F67A83E" w14:textId="77777777" w:rsidR="00FA2119" w:rsidRDefault="00FA2119" w:rsidP="00FA2119">
      <w:pPr>
        <w:pStyle w:val="2"/>
        <w:rPr>
          <w:rtl/>
        </w:rPr>
      </w:pPr>
      <w:r>
        <w:rPr>
          <w:rFonts w:hint="cs"/>
          <w:rtl/>
        </w:rPr>
        <w:lastRenderedPageBreak/>
        <w:t>סעיף</w:t>
      </w:r>
      <w:r>
        <w:rPr>
          <w:rtl/>
        </w:rPr>
        <w:t xml:space="preserve"> </w:t>
      </w:r>
      <w:r>
        <w:rPr>
          <w:rFonts w:hint="cs"/>
          <w:rtl/>
        </w:rPr>
        <w:t>ז: הוספת תואר כבוד לשם. וגט של כהן או לוי.</w:t>
      </w:r>
    </w:p>
    <w:p w14:paraId="06AE398E" w14:textId="756A314B" w:rsidR="00FA2119" w:rsidRPr="0099169F" w:rsidRDefault="00FA2119" w:rsidP="00FA2119">
      <w:pPr>
        <w:rPr>
          <w:u w:val="single"/>
        </w:rPr>
      </w:pPr>
      <w:r w:rsidRPr="0099169F">
        <w:rPr>
          <w:rFonts w:hint="cs"/>
          <w:u w:val="single"/>
          <w:rtl/>
        </w:rPr>
        <w:t xml:space="preserve">גט שנכתב בו לשון כבוד כתוספת לשם, ותוספת זו אינה ראויה לו באמת </w:t>
      </w:r>
      <w:r w:rsidR="00A82951">
        <w:rPr>
          <w:u w:val="single"/>
          <w:rtl/>
        </w:rPr>
        <w:t>-</w:t>
      </w:r>
      <w:r w:rsidRPr="0099169F">
        <w:rPr>
          <w:rFonts w:hint="cs"/>
          <w:u w:val="single"/>
          <w:rtl/>
        </w:rPr>
        <w:t xml:space="preserve"> האם מקרי שינה שמו:</w:t>
      </w:r>
    </w:p>
    <w:p w14:paraId="64E2A6B2" w14:textId="53E101C0" w:rsidR="00FA2119" w:rsidRDefault="00FA2119" w:rsidP="00FA2119">
      <w:pPr>
        <w:pStyle w:val="ab"/>
        <w:numPr>
          <w:ilvl w:val="0"/>
          <w:numId w:val="72"/>
        </w:numPr>
      </w:pPr>
      <w:r w:rsidRPr="00390632">
        <w:rPr>
          <w:rFonts w:cs="Arial"/>
          <w:rtl/>
        </w:rPr>
        <w:t xml:space="preserve">רמ"ה </w:t>
      </w:r>
      <w:r w:rsidRPr="00BD3D8D">
        <w:rPr>
          <w:rFonts w:cs="Arial"/>
          <w:sz w:val="16"/>
          <w:szCs w:val="16"/>
          <w:rtl/>
        </w:rPr>
        <w:t>(</w:t>
      </w:r>
      <w:r>
        <w:rPr>
          <w:rFonts w:cs="Arial" w:hint="cs"/>
          <w:sz w:val="16"/>
          <w:szCs w:val="16"/>
          <w:rtl/>
        </w:rPr>
        <w:t>שם, וכ"כ רי"ו בשמו [ח"ב נכ"ד רד ע"ד])</w:t>
      </w:r>
      <w:r w:rsidR="00A82951">
        <w:rPr>
          <w:rFonts w:cs="Arial" w:hint="cs"/>
          <w:rtl/>
        </w:rPr>
        <w:t>-</w:t>
      </w:r>
      <w:r>
        <w:rPr>
          <w:rFonts w:cs="Arial" w:hint="cs"/>
          <w:rtl/>
        </w:rPr>
        <w:t xml:space="preserve"> </w:t>
      </w:r>
      <w:r w:rsidRPr="00463579">
        <w:rPr>
          <w:rFonts w:cs="Arial"/>
          <w:rtl/>
        </w:rPr>
        <w:t>והני ספרי דפלגי יקרא לבעלי זרועות וכתב פלוני החכם או רב או נשיא אע</w:t>
      </w:r>
      <w:r w:rsidRPr="00463579">
        <w:rPr>
          <w:rFonts w:cs="Arial" w:hint="cs"/>
          <w:rtl/>
        </w:rPr>
        <w:t>"</w:t>
      </w:r>
      <w:r w:rsidRPr="00463579">
        <w:rPr>
          <w:rFonts w:cs="Arial"/>
          <w:rtl/>
        </w:rPr>
        <w:t>ג דלא קרו ליה אינשי הכי</w:t>
      </w:r>
      <w:r w:rsidRPr="00463579">
        <w:rPr>
          <w:rFonts w:cs="Arial" w:hint="cs"/>
          <w:rtl/>
        </w:rPr>
        <w:t>,</w:t>
      </w:r>
      <w:r w:rsidRPr="00463579">
        <w:rPr>
          <w:rFonts w:cs="Arial"/>
          <w:rtl/>
        </w:rPr>
        <w:t xml:space="preserve"> ואיהו נמי לאו בר הכי </w:t>
      </w:r>
      <w:r w:rsidR="00A82951">
        <w:rPr>
          <w:rFonts w:cs="Arial" w:hint="cs"/>
          <w:rtl/>
        </w:rPr>
        <w:t>-</w:t>
      </w:r>
      <w:r w:rsidRPr="00463579">
        <w:rPr>
          <w:rFonts w:cs="Arial" w:hint="cs"/>
          <w:rtl/>
        </w:rPr>
        <w:t xml:space="preserve"> </w:t>
      </w:r>
      <w:r w:rsidRPr="00463579">
        <w:rPr>
          <w:rFonts w:cs="Arial"/>
          <w:rtl/>
        </w:rPr>
        <w:t>אין זה שינה שמו</w:t>
      </w:r>
      <w:r>
        <w:rPr>
          <w:rStyle w:val="a7"/>
          <w:rFonts w:cs="Arial"/>
          <w:rtl/>
        </w:rPr>
        <w:footnoteReference w:id="1075"/>
      </w:r>
      <w:r w:rsidRPr="00463579">
        <w:rPr>
          <w:rFonts w:cs="Arial"/>
          <w:rtl/>
        </w:rPr>
        <w:t xml:space="preserve"> והגט כשר כיון דקרי ליה בשמיה בפירוש</w:t>
      </w:r>
      <w:r w:rsidRPr="00463579">
        <w:rPr>
          <w:rFonts w:cs="Arial" w:hint="cs"/>
          <w:rtl/>
        </w:rPr>
        <w:t>,</w:t>
      </w:r>
      <w:r w:rsidRPr="00463579">
        <w:rPr>
          <w:rFonts w:cs="Arial"/>
          <w:rtl/>
        </w:rPr>
        <w:t xml:space="preserve"> אע</w:t>
      </w:r>
      <w:r w:rsidRPr="00463579">
        <w:rPr>
          <w:rFonts w:cs="Arial" w:hint="cs"/>
          <w:rtl/>
        </w:rPr>
        <w:t>"</w:t>
      </w:r>
      <w:r w:rsidRPr="00463579">
        <w:rPr>
          <w:rFonts w:cs="Arial"/>
          <w:rtl/>
        </w:rPr>
        <w:t>ג דפליג יקרא דלא חזי ליה לאו שינוי השם הוא</w:t>
      </w:r>
      <w:r>
        <w:rPr>
          <w:rFonts w:cs="Arial" w:hint="cs"/>
          <w:rtl/>
        </w:rPr>
        <w:t xml:space="preserve"> </w:t>
      </w:r>
      <w:r>
        <w:rPr>
          <w:rFonts w:cs="Arial" w:hint="cs"/>
          <w:sz w:val="16"/>
          <w:szCs w:val="16"/>
          <w:rtl/>
        </w:rPr>
        <w:t>(ל' הטור בשם הרמ"ה)</w:t>
      </w:r>
      <w:r w:rsidRPr="00463579">
        <w:rPr>
          <w:rFonts w:cs="Arial" w:hint="cs"/>
          <w:rtl/>
        </w:rPr>
        <w:t>.</w:t>
      </w:r>
      <w:r w:rsidRPr="00463579">
        <w:rPr>
          <w:rFonts w:cs="Arial"/>
          <w:rtl/>
        </w:rPr>
        <w:t xml:space="preserve"> </w:t>
      </w:r>
      <w:r w:rsidRPr="00A73EE5">
        <w:rPr>
          <w:rFonts w:hint="cs"/>
          <w:color w:val="E36C0A" w:themeColor="accent6" w:themeShade="BF"/>
          <w:rtl/>
        </w:rPr>
        <w:t>(וכ"פ בשו"ע)</w:t>
      </w:r>
    </w:p>
    <w:p w14:paraId="6621D7A6" w14:textId="77777777" w:rsidR="00FA2119" w:rsidRPr="00A73EE5" w:rsidRDefault="00FA2119" w:rsidP="00FA2119">
      <w:pPr>
        <w:rPr>
          <w:sz w:val="16"/>
          <w:szCs w:val="16"/>
          <w:u w:val="single"/>
        </w:rPr>
      </w:pPr>
      <w:r>
        <w:rPr>
          <w:rFonts w:hint="cs"/>
          <w:u w:val="single"/>
          <w:rtl/>
        </w:rPr>
        <w:t>כיצד כותבים גט כשהמגרש הוא כהן/לוי</w:t>
      </w:r>
      <w:r w:rsidRPr="00895549">
        <w:rPr>
          <w:rFonts w:hint="cs"/>
          <w:u w:val="single"/>
          <w:rtl/>
        </w:rPr>
        <w:t>:</w:t>
      </w:r>
      <w:r>
        <w:rPr>
          <w:rFonts w:hint="cs"/>
          <w:sz w:val="16"/>
          <w:szCs w:val="16"/>
          <w:rtl/>
        </w:rPr>
        <w:t xml:space="preserve"> </w:t>
      </w:r>
      <w:r w:rsidRPr="00A73EE5">
        <w:rPr>
          <w:rFonts w:hint="cs"/>
          <w:sz w:val="16"/>
          <w:szCs w:val="16"/>
          <w:rtl/>
        </w:rPr>
        <w:t>(דרכ"מ אות ט)</w:t>
      </w:r>
    </w:p>
    <w:p w14:paraId="3B5AE51B" w14:textId="31ABB578" w:rsidR="00FA2119" w:rsidRPr="00463579" w:rsidRDefault="00FA2119" w:rsidP="00FA2119">
      <w:pPr>
        <w:pStyle w:val="ab"/>
        <w:numPr>
          <w:ilvl w:val="0"/>
          <w:numId w:val="72"/>
        </w:numPr>
      </w:pPr>
      <w:r w:rsidRPr="00390632">
        <w:rPr>
          <w:rFonts w:cs="Arial"/>
          <w:rtl/>
        </w:rPr>
        <w:t xml:space="preserve">סדר גיטין </w:t>
      </w:r>
      <w:r w:rsidRPr="00962425">
        <w:rPr>
          <w:rFonts w:cs="Arial"/>
          <w:sz w:val="16"/>
          <w:szCs w:val="16"/>
          <w:rtl/>
        </w:rPr>
        <w:t>(שם)</w:t>
      </w:r>
      <w:r w:rsidR="00A82951">
        <w:rPr>
          <w:rFonts w:cs="Arial" w:hint="cs"/>
          <w:rtl/>
        </w:rPr>
        <w:t>-</w:t>
      </w:r>
      <w:r>
        <w:rPr>
          <w:rFonts w:cs="Arial" w:hint="cs"/>
          <w:rtl/>
        </w:rPr>
        <w:t xml:space="preserve"> </w:t>
      </w:r>
      <w:r w:rsidRPr="00390632">
        <w:rPr>
          <w:rFonts w:cs="Arial"/>
          <w:rtl/>
        </w:rPr>
        <w:t>ואם הוא כהן או לוי יכתוב</w:t>
      </w:r>
      <w:r w:rsidR="00483E63">
        <w:rPr>
          <w:rFonts w:cs="Arial" w:hint="cs"/>
          <w:rtl/>
        </w:rPr>
        <w:t>:</w:t>
      </w:r>
      <w:r w:rsidRPr="00390632">
        <w:rPr>
          <w:rFonts w:cs="Arial"/>
          <w:rtl/>
        </w:rPr>
        <w:t xml:space="preserve"> פלוני בן פלוני הכהן או הלוי</w:t>
      </w:r>
      <w:r w:rsidR="00483E63">
        <w:rPr>
          <w:rFonts w:cs="Arial" w:hint="cs"/>
          <w:rtl/>
        </w:rPr>
        <w:t>,</w:t>
      </w:r>
      <w:r w:rsidRPr="00390632">
        <w:rPr>
          <w:rFonts w:cs="Arial"/>
          <w:rtl/>
        </w:rPr>
        <w:t xml:space="preserve"> פלונית בת פלוני הכהן או הלוי</w:t>
      </w:r>
      <w:r>
        <w:rPr>
          <w:rFonts w:cs="Arial" w:hint="cs"/>
          <w:rtl/>
        </w:rPr>
        <w:t>.</w:t>
      </w:r>
      <w:r w:rsidRPr="00390632">
        <w:rPr>
          <w:rFonts w:cs="Arial"/>
          <w:rtl/>
        </w:rPr>
        <w:t xml:space="preserve"> </w:t>
      </w:r>
      <w:r w:rsidRPr="00962425">
        <w:rPr>
          <w:rFonts w:hint="cs"/>
          <w:color w:val="00B0F0"/>
          <w:rtl/>
        </w:rPr>
        <w:t>(וכ"פ הרמ"א)</w:t>
      </w:r>
    </w:p>
    <w:p w14:paraId="29140292" w14:textId="77777777" w:rsidR="00FA2119" w:rsidRPr="00962425" w:rsidRDefault="00FA2119" w:rsidP="00FA2119">
      <w:pPr>
        <w:ind w:left="360"/>
        <w:rPr>
          <w:rFonts w:cs="Arial"/>
          <w:u w:val="dotted"/>
          <w:rtl/>
        </w:rPr>
      </w:pPr>
      <w:r w:rsidRPr="00962425">
        <w:rPr>
          <w:rFonts w:cs="Arial" w:hint="cs"/>
          <w:u w:val="dotted"/>
          <w:rtl/>
        </w:rPr>
        <w:t>ומה הדין אם לא</w:t>
      </w:r>
      <w:r w:rsidRPr="00962425">
        <w:rPr>
          <w:rFonts w:cs="Arial"/>
          <w:u w:val="dotted"/>
          <w:rtl/>
        </w:rPr>
        <w:t xml:space="preserve"> כתב בגט </w:t>
      </w:r>
      <w:r w:rsidRPr="00962425">
        <w:rPr>
          <w:rFonts w:cs="Arial" w:hint="cs"/>
          <w:u w:val="dotted"/>
          <w:rtl/>
        </w:rPr>
        <w:t>'</w:t>
      </w:r>
      <w:r w:rsidRPr="00962425">
        <w:rPr>
          <w:rFonts w:cs="Arial"/>
          <w:u w:val="dotted"/>
          <w:rtl/>
        </w:rPr>
        <w:t>הכהן</w:t>
      </w:r>
      <w:r w:rsidRPr="00962425">
        <w:rPr>
          <w:rFonts w:cs="Arial" w:hint="cs"/>
          <w:u w:val="dotted"/>
          <w:rtl/>
        </w:rPr>
        <w:t>':</w:t>
      </w:r>
      <w:r w:rsidRPr="00962425">
        <w:rPr>
          <w:rFonts w:cs="Arial"/>
          <w:u w:val="dotted"/>
          <w:rtl/>
        </w:rPr>
        <w:t xml:space="preserve"> </w:t>
      </w:r>
    </w:p>
    <w:p w14:paraId="7FB352A2" w14:textId="5E0EA550" w:rsidR="00FA2119" w:rsidRDefault="00FA2119" w:rsidP="00FA2119">
      <w:pPr>
        <w:pStyle w:val="ab"/>
        <w:numPr>
          <w:ilvl w:val="0"/>
          <w:numId w:val="72"/>
        </w:numPr>
        <w:rPr>
          <w:rFonts w:cs="Arial"/>
        </w:rPr>
      </w:pPr>
      <w:r w:rsidRPr="00C54218">
        <w:rPr>
          <w:rFonts w:cs="Arial"/>
          <w:rtl/>
        </w:rPr>
        <w:t>תרוה"ד</w:t>
      </w:r>
      <w:r w:rsidRPr="00C54218">
        <w:rPr>
          <w:rFonts w:cs="Arial"/>
          <w:sz w:val="16"/>
          <w:szCs w:val="16"/>
          <w:rtl/>
        </w:rPr>
        <w:t xml:space="preserve"> </w:t>
      </w:r>
      <w:r w:rsidRPr="00C54218">
        <w:rPr>
          <w:rFonts w:cs="Arial" w:hint="cs"/>
          <w:sz w:val="16"/>
          <w:szCs w:val="16"/>
          <w:rtl/>
        </w:rPr>
        <w:t>(</w:t>
      </w:r>
      <w:r w:rsidRPr="00C54218">
        <w:rPr>
          <w:rFonts w:cs="Arial"/>
          <w:sz w:val="16"/>
          <w:szCs w:val="16"/>
          <w:rtl/>
        </w:rPr>
        <w:t>ח"ב סי</w:t>
      </w:r>
      <w:r w:rsidRPr="00C54218">
        <w:rPr>
          <w:rFonts w:cs="Arial" w:hint="cs"/>
          <w:sz w:val="16"/>
          <w:szCs w:val="16"/>
          <w:rtl/>
        </w:rPr>
        <w:t>'</w:t>
      </w:r>
      <w:r w:rsidRPr="00C54218">
        <w:rPr>
          <w:rFonts w:cs="Arial"/>
          <w:sz w:val="16"/>
          <w:szCs w:val="16"/>
          <w:rtl/>
        </w:rPr>
        <w:t xml:space="preserve"> ז</w:t>
      </w:r>
      <w:r w:rsidRPr="00C54218">
        <w:rPr>
          <w:rFonts w:cs="Arial" w:hint="cs"/>
          <w:sz w:val="16"/>
          <w:szCs w:val="16"/>
          <w:rtl/>
        </w:rPr>
        <w:t>)</w:t>
      </w:r>
      <w:r w:rsidR="00A82951">
        <w:rPr>
          <w:rFonts w:cs="Arial" w:hint="cs"/>
          <w:rtl/>
        </w:rPr>
        <w:t>-</w:t>
      </w:r>
      <w:r w:rsidRPr="00C54218">
        <w:rPr>
          <w:rFonts w:cs="Arial"/>
          <w:rtl/>
        </w:rPr>
        <w:t xml:space="preserve"> אמר מהר"ר אלעזר בשם מה"ר יעקב מויינא שיש לפסלו אפילו בימי האמוראים כדאיתא בפרק ב' דכתובות (כד:) אין מעלין משטרות ליוחסין משמע שכתבו בשטרות כהן</w:t>
      </w:r>
      <w:r>
        <w:rPr>
          <w:rStyle w:val="a7"/>
          <w:rFonts w:cs="Arial"/>
          <w:rtl/>
        </w:rPr>
        <w:footnoteReference w:id="1076"/>
      </w:r>
      <w:r w:rsidRPr="00C54218">
        <w:rPr>
          <w:rFonts w:cs="Arial"/>
          <w:rtl/>
        </w:rPr>
        <w:t xml:space="preserve">. </w:t>
      </w:r>
    </w:p>
    <w:p w14:paraId="1D760884" w14:textId="6A129A84" w:rsidR="00FA2119" w:rsidRPr="00C54218" w:rsidRDefault="00FA2119" w:rsidP="00FA2119">
      <w:pPr>
        <w:pStyle w:val="ab"/>
        <w:numPr>
          <w:ilvl w:val="0"/>
          <w:numId w:val="72"/>
        </w:numPr>
        <w:rPr>
          <w:rFonts w:cs="Arial"/>
          <w:rtl/>
        </w:rPr>
      </w:pPr>
      <w:r>
        <w:rPr>
          <w:rFonts w:cs="Arial" w:hint="cs"/>
          <w:rtl/>
        </w:rPr>
        <w:t>ב"י</w:t>
      </w:r>
      <w:r w:rsidR="00A82951">
        <w:rPr>
          <w:rFonts w:cs="Arial" w:hint="cs"/>
          <w:rtl/>
        </w:rPr>
        <w:t>-</w:t>
      </w:r>
      <w:r>
        <w:rPr>
          <w:rFonts w:cs="Arial" w:hint="cs"/>
          <w:rtl/>
        </w:rPr>
        <w:t xml:space="preserve"> כשר</w:t>
      </w:r>
      <w:r>
        <w:rPr>
          <w:rStyle w:val="a7"/>
          <w:rFonts w:cs="Arial"/>
          <w:rtl/>
        </w:rPr>
        <w:footnoteReference w:id="1077"/>
      </w:r>
      <w:r>
        <w:rPr>
          <w:rFonts w:cs="Arial" w:hint="cs"/>
          <w:rtl/>
        </w:rPr>
        <w:t>.</w:t>
      </w:r>
    </w:p>
    <w:p w14:paraId="54316693" w14:textId="3A3E0D24" w:rsidR="00FA2119" w:rsidRPr="00D3264D" w:rsidRDefault="00FA2119" w:rsidP="00FA2119">
      <w:pPr>
        <w:pStyle w:val="ab"/>
        <w:numPr>
          <w:ilvl w:val="1"/>
          <w:numId w:val="72"/>
        </w:numPr>
        <w:rPr>
          <w:rFonts w:cs="Arial"/>
          <w:rtl/>
        </w:rPr>
      </w:pPr>
      <w:r w:rsidRPr="00DD696F">
        <w:rPr>
          <w:rFonts w:cs="Arial" w:hint="cs"/>
          <w:rtl/>
        </w:rPr>
        <w:t xml:space="preserve">ב"י </w:t>
      </w:r>
      <w:r w:rsidRPr="00DD696F">
        <w:rPr>
          <w:rFonts w:cs="Arial" w:hint="cs"/>
          <w:sz w:val="16"/>
          <w:szCs w:val="16"/>
          <w:rtl/>
        </w:rPr>
        <w:t>(בדה"ב)</w:t>
      </w:r>
      <w:r w:rsidR="00A82951">
        <w:rPr>
          <w:rFonts w:cs="Arial" w:hint="cs"/>
          <w:rtl/>
        </w:rPr>
        <w:t>-</w:t>
      </w:r>
      <w:r w:rsidRPr="00DD696F">
        <w:rPr>
          <w:rFonts w:cs="Arial" w:hint="cs"/>
          <w:rtl/>
        </w:rPr>
        <w:t xml:space="preserve"> </w:t>
      </w:r>
      <w:r w:rsidRPr="00DD696F">
        <w:rPr>
          <w:rFonts w:cs="Arial"/>
          <w:rtl/>
        </w:rPr>
        <w:t xml:space="preserve">ועכשיו לא נהגו לכתוב בגט לא כהן ולא לוי ולא שום כינוי אלא </w:t>
      </w:r>
      <w:r w:rsidRPr="00DD696F">
        <w:rPr>
          <w:rFonts w:cs="Arial" w:hint="cs"/>
          <w:rtl/>
        </w:rPr>
        <w:t>'</w:t>
      </w:r>
      <w:r w:rsidRPr="00DD696F">
        <w:rPr>
          <w:rFonts w:cs="Arial"/>
          <w:rtl/>
        </w:rPr>
        <w:t>פלוני בן פלוני וכל שום אחרן וחניכא דאית לי ולאבהתי</w:t>
      </w:r>
      <w:r w:rsidRPr="00DD696F">
        <w:rPr>
          <w:rFonts w:cs="Arial" w:hint="cs"/>
          <w:rtl/>
        </w:rPr>
        <w:t>'.</w:t>
      </w:r>
      <w:r>
        <w:rPr>
          <w:rFonts w:cs="Arial" w:hint="cs"/>
          <w:rtl/>
        </w:rPr>
        <w:t xml:space="preserve"> </w:t>
      </w:r>
      <w:r w:rsidRPr="00DD696F">
        <w:rPr>
          <w:rFonts w:cs="Arial" w:hint="cs"/>
          <w:color w:val="E36C0A" w:themeColor="accent6" w:themeShade="BF"/>
          <w:rtl/>
        </w:rPr>
        <w:t>(וכ"פ בשו"ע</w:t>
      </w:r>
      <w:r>
        <w:rPr>
          <w:rFonts w:cs="Arial" w:hint="cs"/>
          <w:color w:val="E36C0A" w:themeColor="accent6" w:themeShade="BF"/>
          <w:sz w:val="16"/>
          <w:szCs w:val="16"/>
          <w:rtl/>
        </w:rPr>
        <w:t xml:space="preserve"> </w:t>
      </w:r>
      <w:r w:rsidRPr="00071024">
        <w:rPr>
          <w:rFonts w:cs="Arial" w:hint="cs"/>
          <w:color w:val="000000" w:themeColor="text1"/>
          <w:sz w:val="16"/>
          <w:szCs w:val="16"/>
          <w:rtl/>
        </w:rPr>
        <w:t>[סע' יט]</w:t>
      </w:r>
      <w:r w:rsidRPr="00DD696F">
        <w:rPr>
          <w:rFonts w:cs="Arial" w:hint="cs"/>
          <w:color w:val="E36C0A" w:themeColor="accent6" w:themeShade="BF"/>
          <w:rtl/>
        </w:rPr>
        <w:t>)</w:t>
      </w:r>
    </w:p>
    <w:p w14:paraId="0638FF34" w14:textId="2DEA192B" w:rsidR="00FA2119" w:rsidRDefault="00FA2119" w:rsidP="00FA2119">
      <w:pPr>
        <w:rPr>
          <w:rFonts w:cs="Arial"/>
          <w:rtl/>
        </w:rPr>
      </w:pPr>
      <w:r w:rsidRPr="005B7B8B">
        <w:rPr>
          <w:rFonts w:cs="Arial" w:hint="cs"/>
          <w:u w:val="single"/>
          <w:rtl/>
        </w:rPr>
        <w:t xml:space="preserve">כהן שיש לו כינוי </w:t>
      </w:r>
      <w:r w:rsidR="00A82951">
        <w:rPr>
          <w:rFonts w:cs="Arial"/>
          <w:u w:val="single"/>
          <w:rtl/>
        </w:rPr>
        <w:t>-</w:t>
      </w:r>
      <w:r w:rsidRPr="005B7B8B">
        <w:rPr>
          <w:rFonts w:cs="Arial" w:hint="cs"/>
          <w:u w:val="single"/>
          <w:rtl/>
        </w:rPr>
        <w:t xml:space="preserve"> כיצד יכתוב בגט:</w:t>
      </w:r>
    </w:p>
    <w:p w14:paraId="53A333A6" w14:textId="5734E719" w:rsidR="00FA2119" w:rsidRPr="005B7B8B" w:rsidRDefault="00FA2119" w:rsidP="00FA2119">
      <w:pPr>
        <w:pStyle w:val="ab"/>
        <w:numPr>
          <w:ilvl w:val="0"/>
          <w:numId w:val="74"/>
        </w:numPr>
      </w:pPr>
      <w:r w:rsidRPr="00C54218">
        <w:rPr>
          <w:rFonts w:cs="Arial"/>
          <w:rtl/>
        </w:rPr>
        <w:t>תרוה"ד</w:t>
      </w:r>
      <w:r w:rsidRPr="00C54218">
        <w:rPr>
          <w:rFonts w:cs="Arial"/>
          <w:sz w:val="16"/>
          <w:szCs w:val="16"/>
          <w:rtl/>
        </w:rPr>
        <w:t xml:space="preserve"> </w:t>
      </w:r>
      <w:r w:rsidRPr="00C54218">
        <w:rPr>
          <w:rFonts w:cs="Arial" w:hint="cs"/>
          <w:sz w:val="16"/>
          <w:szCs w:val="16"/>
          <w:rtl/>
        </w:rPr>
        <w:t>(</w:t>
      </w:r>
      <w:r w:rsidRPr="00C54218">
        <w:rPr>
          <w:rFonts w:cs="Arial"/>
          <w:sz w:val="16"/>
          <w:szCs w:val="16"/>
          <w:rtl/>
        </w:rPr>
        <w:t>ח"ב סי</w:t>
      </w:r>
      <w:r w:rsidRPr="00C54218">
        <w:rPr>
          <w:rFonts w:cs="Arial" w:hint="cs"/>
          <w:sz w:val="16"/>
          <w:szCs w:val="16"/>
          <w:rtl/>
        </w:rPr>
        <w:t>'</w:t>
      </w:r>
      <w:r w:rsidRPr="00C54218">
        <w:rPr>
          <w:rFonts w:cs="Arial"/>
          <w:sz w:val="16"/>
          <w:szCs w:val="16"/>
          <w:rtl/>
        </w:rPr>
        <w:t xml:space="preserve"> </w:t>
      </w:r>
      <w:r>
        <w:rPr>
          <w:rFonts w:cs="Arial" w:hint="cs"/>
          <w:sz w:val="16"/>
          <w:szCs w:val="16"/>
          <w:rtl/>
        </w:rPr>
        <w:t>ו</w:t>
      </w:r>
      <w:r w:rsidRPr="00C54218">
        <w:rPr>
          <w:rFonts w:cs="Arial" w:hint="cs"/>
          <w:sz w:val="16"/>
          <w:szCs w:val="16"/>
          <w:rtl/>
        </w:rPr>
        <w:t>)</w:t>
      </w:r>
      <w:r w:rsidR="00A82951">
        <w:rPr>
          <w:rFonts w:cs="Arial" w:hint="cs"/>
          <w:rtl/>
        </w:rPr>
        <w:t>-</w:t>
      </w:r>
      <w:r w:rsidRPr="00C54218">
        <w:rPr>
          <w:rFonts w:cs="Arial"/>
          <w:rtl/>
        </w:rPr>
        <w:t xml:space="preserve"> </w:t>
      </w:r>
      <w:r w:rsidRPr="005B7B8B">
        <w:rPr>
          <w:rFonts w:cs="Arial"/>
          <w:rtl/>
        </w:rPr>
        <w:t>אם המגרש הוא כהן ויש לו כינוי שהוא קיצור השם</w:t>
      </w:r>
      <w:r>
        <w:rPr>
          <w:rFonts w:cs="Arial" w:hint="cs"/>
          <w:rtl/>
        </w:rPr>
        <w:t>,</w:t>
      </w:r>
      <w:r w:rsidRPr="005B7B8B">
        <w:rPr>
          <w:rFonts w:cs="Arial"/>
          <w:rtl/>
        </w:rPr>
        <w:t xml:space="preserve"> כיון שנוהגים לכתוב הכהן או הלוי </w:t>
      </w:r>
      <w:r w:rsidR="00A82951">
        <w:rPr>
          <w:rFonts w:cs="Arial" w:hint="cs"/>
          <w:rtl/>
        </w:rPr>
        <w:t>-</w:t>
      </w:r>
      <w:r>
        <w:rPr>
          <w:rFonts w:cs="Arial" w:hint="cs"/>
          <w:rtl/>
        </w:rPr>
        <w:t xml:space="preserve"> </w:t>
      </w:r>
      <w:r w:rsidRPr="005B7B8B">
        <w:rPr>
          <w:rFonts w:cs="Arial"/>
          <w:rtl/>
        </w:rPr>
        <w:t>בהכי סגי ואין צריך לכתוב הכינוי</w:t>
      </w:r>
      <w:r>
        <w:rPr>
          <w:rFonts w:cs="Arial" w:hint="cs"/>
          <w:rtl/>
        </w:rPr>
        <w:t>,</w:t>
      </w:r>
      <w:r w:rsidRPr="005B7B8B">
        <w:rPr>
          <w:rFonts w:cs="Arial"/>
          <w:rtl/>
        </w:rPr>
        <w:t xml:space="preserve"> ואפילו יש בעיר אחר ששמו כשמו כיון שאותו אחר אינו לא כהן ולא לוי</w:t>
      </w:r>
      <w:r>
        <w:rPr>
          <w:rStyle w:val="a7"/>
          <w:rFonts w:cs="Arial"/>
          <w:rtl/>
        </w:rPr>
        <w:footnoteReference w:id="1078"/>
      </w:r>
      <w:r w:rsidRPr="005B7B8B">
        <w:rPr>
          <w:rFonts w:cs="Arial"/>
          <w:rtl/>
        </w:rPr>
        <w:t xml:space="preserve">. </w:t>
      </w:r>
    </w:p>
    <w:p w14:paraId="37014544" w14:textId="46B38837" w:rsidR="00FA2119" w:rsidRPr="00731657" w:rsidRDefault="00FA2119" w:rsidP="00FA2119">
      <w:pPr>
        <w:pStyle w:val="ab"/>
        <w:numPr>
          <w:ilvl w:val="0"/>
          <w:numId w:val="74"/>
        </w:numPr>
      </w:pPr>
      <w:r w:rsidRPr="005B7B8B">
        <w:rPr>
          <w:rFonts w:cs="Arial"/>
          <w:rtl/>
        </w:rPr>
        <w:t xml:space="preserve">קונדריסים </w:t>
      </w:r>
      <w:r w:rsidRPr="005B7B8B">
        <w:rPr>
          <w:rFonts w:cs="Arial"/>
          <w:sz w:val="16"/>
          <w:szCs w:val="16"/>
          <w:rtl/>
        </w:rPr>
        <w:t>(סי' י סעי' יא)</w:t>
      </w:r>
      <w:r w:rsidR="00A82951">
        <w:rPr>
          <w:rFonts w:cs="Arial" w:hint="cs"/>
          <w:rtl/>
        </w:rPr>
        <w:t>-</w:t>
      </w:r>
      <w:r w:rsidRPr="005B7B8B">
        <w:rPr>
          <w:rFonts w:cs="Arial"/>
          <w:rtl/>
        </w:rPr>
        <w:t xml:space="preserve"> כשיש כינוי למגרש כמו ששמו שלמה וקורין אותו שלמן והוא כהן</w:t>
      </w:r>
      <w:r>
        <w:rPr>
          <w:rFonts w:cs="Arial" w:hint="cs"/>
          <w:rtl/>
        </w:rPr>
        <w:t xml:space="preserve">, </w:t>
      </w:r>
      <w:r w:rsidRPr="005B7B8B">
        <w:rPr>
          <w:rFonts w:cs="Arial"/>
          <w:rtl/>
        </w:rPr>
        <w:t>כותבין שלמה הכהן המכונה שלמן</w:t>
      </w:r>
      <w:r>
        <w:rPr>
          <w:rFonts w:cs="Arial" w:hint="cs"/>
          <w:rtl/>
        </w:rPr>
        <w:t>.</w:t>
      </w:r>
      <w:r w:rsidRPr="005B7B8B">
        <w:rPr>
          <w:rFonts w:cs="Arial"/>
          <w:rtl/>
        </w:rPr>
        <w:t xml:space="preserve"> ואין כותבין שלמה המכונה שלמן הכהן</w:t>
      </w:r>
      <w:r>
        <w:rPr>
          <w:rFonts w:cs="Arial" w:hint="cs"/>
          <w:rtl/>
        </w:rPr>
        <w:t>,</w:t>
      </w:r>
      <w:r w:rsidRPr="005B7B8B">
        <w:rPr>
          <w:rFonts w:cs="Arial"/>
          <w:rtl/>
        </w:rPr>
        <w:t xml:space="preserve"> כדי שלא יהא משמע שהכינוי הוא כהן אבל אינו כהן</w:t>
      </w:r>
      <w:r w:rsidRPr="005B7B8B">
        <w:rPr>
          <w:rFonts w:cs="Arial" w:hint="cs"/>
          <w:rtl/>
        </w:rPr>
        <w:t>.</w:t>
      </w:r>
      <w:r w:rsidRPr="005B7B8B">
        <w:rPr>
          <w:rFonts w:cs="Arial"/>
          <w:rtl/>
        </w:rPr>
        <w:t xml:space="preserve"> והריחוק אינו מזיק, וראיה מפסוק (בראשית יד יב) ויקחו את לוט ואת רכושו בן אחי אברם ולא חש לכתוב לוט בן אחי אברם מאחר שהוא מוכרח</w:t>
      </w:r>
      <w:r w:rsidRPr="005B7B8B">
        <w:rPr>
          <w:rFonts w:cs="Arial" w:hint="cs"/>
          <w:rtl/>
        </w:rPr>
        <w:t>,</w:t>
      </w:r>
      <w:r w:rsidRPr="005B7B8B">
        <w:rPr>
          <w:rFonts w:cs="Arial"/>
          <w:rtl/>
        </w:rPr>
        <w:t xml:space="preserve"> אבל כשאינו מוכרח יש לדקדק</w:t>
      </w:r>
      <w:r w:rsidRPr="005B7B8B">
        <w:rPr>
          <w:rFonts w:cs="Arial" w:hint="cs"/>
          <w:rtl/>
        </w:rPr>
        <w:t>.</w:t>
      </w:r>
    </w:p>
    <w:p w14:paraId="46CB1300" w14:textId="1C71CC60" w:rsidR="00FA2119" w:rsidRPr="00463579" w:rsidRDefault="00FA2119" w:rsidP="00FA2119">
      <w:pPr>
        <w:pStyle w:val="ab"/>
        <w:numPr>
          <w:ilvl w:val="0"/>
          <w:numId w:val="72"/>
        </w:numPr>
      </w:pPr>
      <w:r w:rsidRPr="00390632">
        <w:rPr>
          <w:rFonts w:cs="Arial"/>
          <w:rtl/>
        </w:rPr>
        <w:t xml:space="preserve">סדר גיטין </w:t>
      </w:r>
      <w:r w:rsidRPr="00A73EE5">
        <w:rPr>
          <w:rFonts w:hint="cs"/>
          <w:sz w:val="16"/>
          <w:szCs w:val="16"/>
          <w:rtl/>
        </w:rPr>
        <w:t>(</w:t>
      </w:r>
      <w:r>
        <w:rPr>
          <w:rFonts w:hint="cs"/>
          <w:sz w:val="16"/>
          <w:szCs w:val="16"/>
          <w:rtl/>
        </w:rPr>
        <w:t>שם, הביאו ה</w:t>
      </w:r>
      <w:r w:rsidRPr="00A73EE5">
        <w:rPr>
          <w:rFonts w:hint="cs"/>
          <w:sz w:val="16"/>
          <w:szCs w:val="16"/>
          <w:rtl/>
        </w:rPr>
        <w:t xml:space="preserve">דרכ"מ </w:t>
      </w:r>
      <w:r>
        <w:rPr>
          <w:rFonts w:hint="cs"/>
          <w:sz w:val="16"/>
          <w:szCs w:val="16"/>
          <w:rtl/>
        </w:rPr>
        <w:t>[</w:t>
      </w:r>
      <w:r w:rsidRPr="00A73EE5">
        <w:rPr>
          <w:rFonts w:hint="cs"/>
          <w:sz w:val="16"/>
          <w:szCs w:val="16"/>
          <w:rtl/>
        </w:rPr>
        <w:t>אות ט</w:t>
      </w:r>
      <w:r>
        <w:rPr>
          <w:rFonts w:hint="cs"/>
          <w:sz w:val="16"/>
          <w:szCs w:val="16"/>
          <w:rtl/>
        </w:rPr>
        <w:t>]</w:t>
      </w:r>
      <w:r w:rsidRPr="00A73EE5">
        <w:rPr>
          <w:rFonts w:hint="cs"/>
          <w:sz w:val="16"/>
          <w:szCs w:val="16"/>
          <w:rtl/>
        </w:rPr>
        <w:t>)</w:t>
      </w:r>
      <w:r w:rsidR="00A82951">
        <w:rPr>
          <w:rFonts w:cs="Arial" w:hint="cs"/>
          <w:rtl/>
        </w:rPr>
        <w:t>-</w:t>
      </w:r>
      <w:r>
        <w:rPr>
          <w:rFonts w:cs="Arial" w:hint="cs"/>
          <w:rtl/>
        </w:rPr>
        <w:t xml:space="preserve"> </w:t>
      </w:r>
      <w:r w:rsidRPr="00390632">
        <w:rPr>
          <w:rFonts w:cs="Arial"/>
          <w:rtl/>
        </w:rPr>
        <w:t>ואם יש להן כינוי יכתוב כהן או לוי קודם הכינוי</w:t>
      </w:r>
      <w:r>
        <w:rPr>
          <w:rFonts w:cs="Arial" w:hint="cs"/>
          <w:rtl/>
        </w:rPr>
        <w:t>.</w:t>
      </w:r>
      <w:r w:rsidRPr="00390632">
        <w:rPr>
          <w:rFonts w:cs="Arial"/>
          <w:rtl/>
        </w:rPr>
        <w:t xml:space="preserve"> וכן יש לנהוג</w:t>
      </w:r>
      <w:r>
        <w:rPr>
          <w:rStyle w:val="a7"/>
          <w:rFonts w:cs="Arial"/>
          <w:rtl/>
        </w:rPr>
        <w:footnoteReference w:id="1079"/>
      </w:r>
      <w:r>
        <w:rPr>
          <w:rFonts w:cs="Arial" w:hint="cs"/>
          <w:rtl/>
        </w:rPr>
        <w:t>.</w:t>
      </w:r>
      <w:r w:rsidRPr="00390632">
        <w:rPr>
          <w:rFonts w:cs="Arial"/>
          <w:rtl/>
        </w:rPr>
        <w:t xml:space="preserve"> </w:t>
      </w:r>
      <w:r w:rsidRPr="00962425">
        <w:rPr>
          <w:rFonts w:hint="cs"/>
          <w:color w:val="00B0F0"/>
          <w:rtl/>
        </w:rPr>
        <w:t>(וכ"פ הרמ"א)</w:t>
      </w:r>
    </w:p>
    <w:p w14:paraId="77A4C3E8" w14:textId="05B77D8B" w:rsidR="00FA2119" w:rsidRPr="00A73EE5" w:rsidRDefault="00FA2119" w:rsidP="00FA2119">
      <w:pPr>
        <w:rPr>
          <w:sz w:val="16"/>
          <w:szCs w:val="16"/>
          <w:u w:val="single"/>
        </w:rPr>
      </w:pPr>
      <w:r>
        <w:rPr>
          <w:rFonts w:hint="cs"/>
          <w:u w:val="single"/>
          <w:rtl/>
        </w:rPr>
        <w:t>כיצד כותבים</w:t>
      </w:r>
      <w:r w:rsidR="00A82951">
        <w:rPr>
          <w:rFonts w:hint="cs"/>
          <w:u w:val="single"/>
          <w:rtl/>
        </w:rPr>
        <w:t>-</w:t>
      </w:r>
      <w:r>
        <w:rPr>
          <w:rFonts w:hint="cs"/>
          <w:u w:val="single"/>
          <w:rtl/>
        </w:rPr>
        <w:t xml:space="preserve"> '</w:t>
      </w:r>
      <w:r w:rsidRPr="00895549">
        <w:rPr>
          <w:rFonts w:hint="cs"/>
          <w:u w:val="single"/>
          <w:rtl/>
        </w:rPr>
        <w:t xml:space="preserve">פלוני </w:t>
      </w:r>
      <w:r w:rsidRPr="00895549">
        <w:rPr>
          <w:rFonts w:hint="cs"/>
          <w:b/>
          <w:bCs/>
          <w:u w:val="single"/>
          <w:rtl/>
        </w:rPr>
        <w:t>בר</w:t>
      </w:r>
      <w:r w:rsidRPr="00895549">
        <w:rPr>
          <w:rFonts w:hint="cs"/>
          <w:u w:val="single"/>
          <w:rtl/>
        </w:rPr>
        <w:t xml:space="preserve"> פלוני</w:t>
      </w:r>
      <w:r>
        <w:rPr>
          <w:rFonts w:hint="cs"/>
          <w:u w:val="single"/>
          <w:rtl/>
        </w:rPr>
        <w:t>'</w:t>
      </w:r>
      <w:r w:rsidRPr="00895549">
        <w:rPr>
          <w:rFonts w:hint="cs"/>
          <w:u w:val="single"/>
          <w:rtl/>
        </w:rPr>
        <w:t xml:space="preserve">, או </w:t>
      </w:r>
      <w:r>
        <w:rPr>
          <w:rFonts w:hint="cs"/>
          <w:u w:val="single"/>
          <w:rtl/>
        </w:rPr>
        <w:t>'</w:t>
      </w:r>
      <w:r w:rsidRPr="00895549">
        <w:rPr>
          <w:rFonts w:hint="cs"/>
          <w:u w:val="single"/>
          <w:rtl/>
        </w:rPr>
        <w:t xml:space="preserve">פלוני </w:t>
      </w:r>
      <w:r w:rsidRPr="00895549">
        <w:rPr>
          <w:rFonts w:hint="cs"/>
          <w:b/>
          <w:bCs/>
          <w:u w:val="single"/>
          <w:rtl/>
        </w:rPr>
        <w:t>בן</w:t>
      </w:r>
      <w:r w:rsidRPr="00895549">
        <w:rPr>
          <w:rFonts w:hint="cs"/>
          <w:u w:val="single"/>
          <w:rtl/>
        </w:rPr>
        <w:t xml:space="preserve"> פלוני</w:t>
      </w:r>
      <w:r>
        <w:rPr>
          <w:rFonts w:hint="cs"/>
          <w:u w:val="single"/>
          <w:rtl/>
        </w:rPr>
        <w:t>'</w:t>
      </w:r>
      <w:r w:rsidRPr="00895549">
        <w:rPr>
          <w:rFonts w:hint="cs"/>
          <w:u w:val="single"/>
          <w:rtl/>
        </w:rPr>
        <w:t>:</w:t>
      </w:r>
      <w:r>
        <w:rPr>
          <w:rFonts w:hint="cs"/>
          <w:sz w:val="16"/>
          <w:szCs w:val="16"/>
          <w:rtl/>
        </w:rPr>
        <w:t xml:space="preserve"> </w:t>
      </w:r>
      <w:r w:rsidRPr="00A73EE5">
        <w:rPr>
          <w:rFonts w:hint="cs"/>
          <w:sz w:val="16"/>
          <w:szCs w:val="16"/>
          <w:rtl/>
        </w:rPr>
        <w:t>(דרכ"מ אות ט)</w:t>
      </w:r>
    </w:p>
    <w:p w14:paraId="06FCA47B" w14:textId="6E98D534" w:rsidR="00FA2119" w:rsidRPr="004B16C3" w:rsidRDefault="00CF7185" w:rsidP="00FA2119">
      <w:pPr>
        <w:pStyle w:val="ab"/>
        <w:numPr>
          <w:ilvl w:val="0"/>
          <w:numId w:val="72"/>
        </w:numPr>
      </w:pPr>
      <w:r>
        <w:rPr>
          <w:rFonts w:hint="cs"/>
          <w:rtl/>
        </w:rPr>
        <w:t xml:space="preserve">רי"ף </w:t>
      </w:r>
      <w:r>
        <w:rPr>
          <w:rFonts w:hint="cs"/>
          <w:sz w:val="16"/>
          <w:szCs w:val="16"/>
          <w:rtl/>
        </w:rPr>
        <w:t>(מה:)</w:t>
      </w:r>
      <w:r>
        <w:rPr>
          <w:rFonts w:hint="cs"/>
          <w:rtl/>
        </w:rPr>
        <w:t xml:space="preserve"> </w:t>
      </w:r>
      <w:r w:rsidR="00FA2119">
        <w:rPr>
          <w:rFonts w:hint="cs"/>
          <w:rtl/>
        </w:rPr>
        <w:t xml:space="preserve">רמב"ם </w:t>
      </w:r>
      <w:r w:rsidR="00FA2119">
        <w:rPr>
          <w:rFonts w:hint="cs"/>
          <w:sz w:val="16"/>
          <w:szCs w:val="16"/>
          <w:rtl/>
        </w:rPr>
        <w:t>(פ"ד הי"ב)</w:t>
      </w:r>
      <w:r w:rsidR="00085029">
        <w:rPr>
          <w:rFonts w:hint="cs"/>
          <w:rtl/>
        </w:rPr>
        <w:t xml:space="preserve"> ורא"ש</w:t>
      </w:r>
      <w:r>
        <w:rPr>
          <w:rFonts w:hint="cs"/>
          <w:sz w:val="16"/>
          <w:szCs w:val="16"/>
          <w:rtl/>
        </w:rPr>
        <w:t xml:space="preserve"> (סדר הגט)</w:t>
      </w:r>
      <w:r w:rsidR="00A82951">
        <w:rPr>
          <w:rFonts w:hint="cs"/>
          <w:rtl/>
        </w:rPr>
        <w:t>-</w:t>
      </w:r>
      <w:r w:rsidR="00FA2119">
        <w:rPr>
          <w:rFonts w:hint="cs"/>
          <w:rtl/>
        </w:rPr>
        <w:t xml:space="preserve"> פלוני בר פלוני.</w:t>
      </w:r>
    </w:p>
    <w:p w14:paraId="253EA647" w14:textId="4DE83611" w:rsidR="00FA2119" w:rsidRPr="00463579" w:rsidRDefault="00FA2119" w:rsidP="00FA2119">
      <w:pPr>
        <w:pStyle w:val="ab"/>
        <w:numPr>
          <w:ilvl w:val="0"/>
          <w:numId w:val="72"/>
        </w:numPr>
      </w:pPr>
      <w:r w:rsidRPr="00390632">
        <w:rPr>
          <w:rFonts w:cs="Arial"/>
          <w:rtl/>
        </w:rPr>
        <w:t xml:space="preserve">סדר גיטין </w:t>
      </w:r>
      <w:r w:rsidRPr="00962425">
        <w:rPr>
          <w:rFonts w:cs="Arial"/>
          <w:sz w:val="16"/>
          <w:szCs w:val="16"/>
          <w:rtl/>
        </w:rPr>
        <w:t>(שם)</w:t>
      </w:r>
      <w:r w:rsidR="00A82951">
        <w:rPr>
          <w:rFonts w:cs="Arial" w:hint="cs"/>
          <w:rtl/>
        </w:rPr>
        <w:t>-</w:t>
      </w:r>
      <w:r>
        <w:rPr>
          <w:rFonts w:cs="Arial" w:hint="cs"/>
          <w:rtl/>
        </w:rPr>
        <w:t xml:space="preserve"> </w:t>
      </w:r>
      <w:r w:rsidRPr="00390632">
        <w:rPr>
          <w:rFonts w:cs="Arial"/>
          <w:rtl/>
        </w:rPr>
        <w:t>כותבין בן פלוני ולא בר פלוני</w:t>
      </w:r>
      <w:r>
        <w:rPr>
          <w:rFonts w:cs="Arial" w:hint="cs"/>
          <w:rtl/>
        </w:rPr>
        <w:t>.</w:t>
      </w:r>
      <w:r w:rsidRPr="00390632">
        <w:rPr>
          <w:rFonts w:cs="Arial"/>
          <w:rtl/>
        </w:rPr>
        <w:t xml:space="preserve"> </w:t>
      </w:r>
      <w:r w:rsidRPr="00962425">
        <w:rPr>
          <w:rFonts w:hint="cs"/>
          <w:color w:val="00B0F0"/>
          <w:rtl/>
        </w:rPr>
        <w:t>(וכ"פ הרמ"א)</w:t>
      </w:r>
    </w:p>
    <w:p w14:paraId="6F7DAFFB"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3D5273F" w14:textId="77777777" w:rsidR="00FA2119" w:rsidRDefault="00FA2119" w:rsidP="00FA2119">
      <w:pPr>
        <w:rPr>
          <w:rtl/>
        </w:rPr>
      </w:pPr>
      <w:r>
        <w:rPr>
          <w:rFonts w:cs="Arial" w:hint="cs"/>
          <w:rtl/>
        </w:rPr>
        <w:t>אם</w:t>
      </w:r>
      <w:r>
        <w:rPr>
          <w:rFonts w:cs="Arial"/>
          <w:rtl/>
        </w:rPr>
        <w:t xml:space="preserve"> </w:t>
      </w:r>
      <w:r>
        <w:rPr>
          <w:rFonts w:cs="Arial" w:hint="cs"/>
          <w:rtl/>
        </w:rPr>
        <w:t>כתב</w:t>
      </w:r>
      <w:r>
        <w:rPr>
          <w:rFonts w:cs="Arial"/>
          <w:rtl/>
        </w:rPr>
        <w:t xml:space="preserve">: </w:t>
      </w:r>
      <w:r>
        <w:rPr>
          <w:rFonts w:cs="Arial" w:hint="cs"/>
          <w:rtl/>
        </w:rPr>
        <w:t>פלוני</w:t>
      </w:r>
      <w:r>
        <w:rPr>
          <w:rFonts w:cs="Arial"/>
          <w:rtl/>
        </w:rPr>
        <w:t xml:space="preserve"> </w:t>
      </w:r>
      <w:r>
        <w:rPr>
          <w:rFonts w:cs="Arial" w:hint="cs"/>
          <w:rtl/>
        </w:rPr>
        <w:t>החכם</w:t>
      </w:r>
      <w:r>
        <w:rPr>
          <w:rFonts w:cs="Arial"/>
          <w:rtl/>
        </w:rPr>
        <w:t xml:space="preserve">, </w:t>
      </w:r>
      <w:r>
        <w:rPr>
          <w:rFonts w:cs="Arial" w:hint="cs"/>
          <w:rtl/>
        </w:rPr>
        <w:t>או</w:t>
      </w:r>
      <w:r>
        <w:rPr>
          <w:rFonts w:cs="Arial"/>
          <w:rtl/>
        </w:rPr>
        <w:t xml:space="preserve"> </w:t>
      </w:r>
      <w:r>
        <w:rPr>
          <w:rFonts w:cs="Arial" w:hint="cs"/>
          <w:rtl/>
        </w:rPr>
        <w:t>הרב</w:t>
      </w:r>
      <w:r>
        <w:rPr>
          <w:rFonts w:cs="Arial"/>
          <w:rtl/>
        </w:rPr>
        <w:t xml:space="preserve">, </w:t>
      </w:r>
      <w:r>
        <w:rPr>
          <w:rFonts w:cs="Arial" w:hint="cs"/>
          <w:rtl/>
        </w:rPr>
        <w:t>או</w:t>
      </w:r>
      <w:r>
        <w:rPr>
          <w:rFonts w:cs="Arial"/>
          <w:rtl/>
        </w:rPr>
        <w:t xml:space="preserve"> </w:t>
      </w:r>
      <w:r>
        <w:rPr>
          <w:rFonts w:cs="Arial" w:hint="cs"/>
          <w:rtl/>
        </w:rPr>
        <w:t>הנשיא</w:t>
      </w:r>
      <w:r>
        <w:rPr>
          <w:rFonts w:cs="Arial"/>
          <w:rtl/>
        </w:rPr>
        <w:t xml:space="preserve">, </w:t>
      </w:r>
      <w:r>
        <w:rPr>
          <w:rFonts w:cs="Arial" w:hint="cs"/>
          <w:rtl/>
        </w:rPr>
        <w:t>אף</w:t>
      </w:r>
      <w:r>
        <w:rPr>
          <w:rFonts w:cs="Arial"/>
          <w:rtl/>
        </w:rPr>
        <w:t xml:space="preserve"> </w:t>
      </w:r>
      <w:r>
        <w:rPr>
          <w:rFonts w:cs="Arial" w:hint="cs"/>
          <w:rtl/>
        </w:rPr>
        <w:t>על</w:t>
      </w:r>
      <w:r>
        <w:rPr>
          <w:rFonts w:cs="Arial"/>
          <w:rtl/>
        </w:rPr>
        <w:t xml:space="preserve"> </w:t>
      </w:r>
      <w:r>
        <w:rPr>
          <w:rFonts w:cs="Arial" w:hint="cs"/>
          <w:rtl/>
        </w:rPr>
        <w:t>פי</w:t>
      </w:r>
      <w:r>
        <w:rPr>
          <w:rFonts w:cs="Arial"/>
          <w:rtl/>
        </w:rPr>
        <w:t xml:space="preserve"> </w:t>
      </w:r>
      <w:r>
        <w:rPr>
          <w:rFonts w:cs="Arial" w:hint="cs"/>
          <w:rtl/>
        </w:rPr>
        <w:t>שאין</w:t>
      </w:r>
      <w:r>
        <w:rPr>
          <w:rFonts w:cs="Arial"/>
          <w:rtl/>
        </w:rPr>
        <w:t xml:space="preserve"> </w:t>
      </w:r>
      <w:r>
        <w:rPr>
          <w:rFonts w:cs="Arial" w:hint="cs"/>
          <w:rtl/>
        </w:rPr>
        <w:t>קורין</w:t>
      </w:r>
      <w:r>
        <w:rPr>
          <w:rFonts w:cs="Arial"/>
          <w:rtl/>
        </w:rPr>
        <w:t xml:space="preserve"> </w:t>
      </w:r>
      <w:r>
        <w:rPr>
          <w:rFonts w:cs="Arial" w:hint="cs"/>
          <w:rtl/>
        </w:rPr>
        <w:t>אותו</w:t>
      </w:r>
      <w:r>
        <w:rPr>
          <w:rFonts w:cs="Arial"/>
          <w:rtl/>
        </w:rPr>
        <w:t xml:space="preserve"> </w:t>
      </w:r>
      <w:r>
        <w:rPr>
          <w:rFonts w:cs="Arial" w:hint="cs"/>
          <w:rtl/>
        </w:rPr>
        <w:t>כן</w:t>
      </w:r>
      <w:r>
        <w:rPr>
          <w:rFonts w:cs="Arial"/>
          <w:rtl/>
        </w:rPr>
        <w:t xml:space="preserve"> </w:t>
      </w:r>
      <w:r>
        <w:rPr>
          <w:rFonts w:cs="Arial" w:hint="cs"/>
          <w:rtl/>
        </w:rPr>
        <w:t>וגם</w:t>
      </w:r>
      <w:r>
        <w:rPr>
          <w:rFonts w:cs="Arial"/>
          <w:rtl/>
        </w:rPr>
        <w:t xml:space="preserve"> </w:t>
      </w:r>
      <w:r>
        <w:rPr>
          <w:rFonts w:cs="Arial" w:hint="cs"/>
          <w:rtl/>
        </w:rPr>
        <w:t>אינו</w:t>
      </w:r>
      <w:r>
        <w:rPr>
          <w:rFonts w:cs="Arial"/>
          <w:rtl/>
        </w:rPr>
        <w:t xml:space="preserve"> </w:t>
      </w:r>
      <w:r>
        <w:rPr>
          <w:rFonts w:cs="Arial" w:hint="cs"/>
          <w:rtl/>
        </w:rPr>
        <w:t>בר</w:t>
      </w:r>
      <w:r>
        <w:rPr>
          <w:rFonts w:cs="Arial"/>
          <w:rtl/>
        </w:rPr>
        <w:t xml:space="preserve"> </w:t>
      </w:r>
      <w:r>
        <w:rPr>
          <w:rFonts w:cs="Arial" w:hint="cs"/>
          <w:rtl/>
        </w:rPr>
        <w:t>הכי</w:t>
      </w:r>
      <w:r>
        <w:rPr>
          <w:rFonts w:cs="Arial"/>
          <w:rtl/>
        </w:rPr>
        <w:t xml:space="preserve">, </w:t>
      </w:r>
      <w:r>
        <w:rPr>
          <w:rFonts w:cs="Arial" w:hint="cs"/>
          <w:rtl/>
        </w:rPr>
        <w:t>הגט</w:t>
      </w:r>
      <w:r>
        <w:rPr>
          <w:rFonts w:cs="Arial"/>
          <w:rtl/>
        </w:rPr>
        <w:t xml:space="preserve"> </w:t>
      </w:r>
      <w:r>
        <w:rPr>
          <w:rFonts w:cs="Arial" w:hint="cs"/>
          <w:rtl/>
        </w:rPr>
        <w:t>כשר</w:t>
      </w:r>
      <w:r>
        <w:rPr>
          <w:rFonts w:cs="Arial"/>
          <w:rtl/>
        </w:rPr>
        <w:t xml:space="preserve">, </w:t>
      </w:r>
      <w:r>
        <w:rPr>
          <w:rFonts w:cs="Arial" w:hint="cs"/>
          <w:rtl/>
        </w:rPr>
        <w:t>כיון</w:t>
      </w:r>
      <w:r>
        <w:rPr>
          <w:rFonts w:cs="Arial"/>
          <w:rtl/>
        </w:rPr>
        <w:t xml:space="preserve"> </w:t>
      </w:r>
      <w:r>
        <w:rPr>
          <w:rFonts w:cs="Arial" w:hint="cs"/>
          <w:rtl/>
        </w:rPr>
        <w:t>שהזכיר</w:t>
      </w:r>
      <w:r>
        <w:rPr>
          <w:rFonts w:cs="Arial"/>
          <w:rtl/>
        </w:rPr>
        <w:t xml:space="preserve"> </w:t>
      </w:r>
      <w:r>
        <w:rPr>
          <w:rFonts w:cs="Arial" w:hint="cs"/>
          <w:rtl/>
        </w:rPr>
        <w:t>שמו</w:t>
      </w:r>
      <w:r>
        <w:rPr>
          <w:rFonts w:cs="Arial"/>
          <w:rtl/>
        </w:rPr>
        <w:t xml:space="preserve"> </w:t>
      </w:r>
      <w:r>
        <w:rPr>
          <w:rFonts w:cs="Arial" w:hint="cs"/>
          <w:rtl/>
        </w:rPr>
        <w:t>בפירוש</w:t>
      </w:r>
      <w:r>
        <w:rPr>
          <w:rFonts w:cs="Arial"/>
          <w:rtl/>
        </w:rPr>
        <w:t xml:space="preserve">. </w:t>
      </w:r>
      <w:r w:rsidRPr="00F505FD">
        <w:rPr>
          <w:rFonts w:cs="Arial" w:hint="cs"/>
          <w:sz w:val="18"/>
          <w:szCs w:val="18"/>
          <w:rtl/>
        </w:rPr>
        <w:t>הגה</w:t>
      </w:r>
      <w:r w:rsidRPr="00F505FD">
        <w:rPr>
          <w:rFonts w:cs="Arial"/>
          <w:sz w:val="18"/>
          <w:szCs w:val="18"/>
          <w:rtl/>
        </w:rPr>
        <w:t xml:space="preserve">: </w:t>
      </w:r>
      <w:r w:rsidRPr="00F505FD">
        <w:rPr>
          <w:rFonts w:cs="Arial" w:hint="cs"/>
          <w:sz w:val="18"/>
          <w:szCs w:val="18"/>
          <w:rtl/>
        </w:rPr>
        <w:t>אבל</w:t>
      </w:r>
      <w:r w:rsidRPr="00F505FD">
        <w:rPr>
          <w:rFonts w:cs="Arial"/>
          <w:sz w:val="18"/>
          <w:szCs w:val="18"/>
          <w:rtl/>
        </w:rPr>
        <w:t xml:space="preserve"> </w:t>
      </w:r>
      <w:r w:rsidRPr="00F505FD">
        <w:rPr>
          <w:rFonts w:cs="Arial" w:hint="cs"/>
          <w:sz w:val="18"/>
          <w:szCs w:val="18"/>
          <w:rtl/>
        </w:rPr>
        <w:t>לכתחלה</w:t>
      </w:r>
      <w:r w:rsidRPr="00F505FD">
        <w:rPr>
          <w:rFonts w:cs="Arial"/>
          <w:sz w:val="18"/>
          <w:szCs w:val="18"/>
          <w:rtl/>
        </w:rPr>
        <w:t xml:space="preserve"> </w:t>
      </w:r>
      <w:r w:rsidRPr="00F505FD">
        <w:rPr>
          <w:rFonts w:cs="Arial" w:hint="cs"/>
          <w:sz w:val="18"/>
          <w:szCs w:val="18"/>
          <w:rtl/>
        </w:rPr>
        <w:t>אין</w:t>
      </w:r>
      <w:r w:rsidRPr="00F505FD">
        <w:rPr>
          <w:rFonts w:cs="Arial"/>
          <w:sz w:val="18"/>
          <w:szCs w:val="18"/>
          <w:rtl/>
        </w:rPr>
        <w:t xml:space="preserve"> </w:t>
      </w:r>
      <w:r w:rsidRPr="00F505FD">
        <w:rPr>
          <w:rFonts w:cs="Arial" w:hint="cs"/>
          <w:sz w:val="18"/>
          <w:szCs w:val="18"/>
          <w:rtl/>
        </w:rPr>
        <w:t>כותבין</w:t>
      </w:r>
      <w:r w:rsidRPr="00F505FD">
        <w:rPr>
          <w:rFonts w:cs="Arial"/>
          <w:sz w:val="18"/>
          <w:szCs w:val="18"/>
          <w:rtl/>
        </w:rPr>
        <w:t xml:space="preserve"> </w:t>
      </w:r>
      <w:r w:rsidRPr="00F505FD">
        <w:rPr>
          <w:rFonts w:cs="Arial" w:hint="cs"/>
          <w:sz w:val="18"/>
          <w:szCs w:val="18"/>
          <w:rtl/>
        </w:rPr>
        <w:t>רב</w:t>
      </w:r>
      <w:r w:rsidRPr="00F505FD">
        <w:rPr>
          <w:rFonts w:cs="Arial"/>
          <w:sz w:val="18"/>
          <w:szCs w:val="18"/>
          <w:rtl/>
        </w:rPr>
        <w:t xml:space="preserve"> </w:t>
      </w:r>
      <w:r w:rsidRPr="00F505FD">
        <w:rPr>
          <w:rFonts w:cs="Arial" w:hint="cs"/>
          <w:sz w:val="18"/>
          <w:szCs w:val="18"/>
          <w:rtl/>
        </w:rPr>
        <w:t>או</w:t>
      </w:r>
      <w:r w:rsidRPr="00F505FD">
        <w:rPr>
          <w:rFonts w:cs="Arial"/>
          <w:sz w:val="18"/>
          <w:szCs w:val="18"/>
          <w:rtl/>
        </w:rPr>
        <w:t xml:space="preserve"> </w:t>
      </w:r>
      <w:r w:rsidRPr="00F505FD">
        <w:rPr>
          <w:rFonts w:cs="Arial" w:hint="cs"/>
          <w:sz w:val="18"/>
          <w:szCs w:val="18"/>
          <w:rtl/>
        </w:rPr>
        <w:t>חכם</w:t>
      </w:r>
      <w:r>
        <w:rPr>
          <w:rStyle w:val="a7"/>
          <w:rFonts w:cs="Arial"/>
          <w:sz w:val="18"/>
          <w:szCs w:val="18"/>
          <w:rtl/>
        </w:rPr>
        <w:footnoteReference w:id="1080"/>
      </w:r>
      <w:r w:rsidRPr="00F505FD">
        <w:rPr>
          <w:rFonts w:cs="Arial"/>
          <w:sz w:val="18"/>
          <w:szCs w:val="18"/>
          <w:rtl/>
        </w:rPr>
        <w:t xml:space="preserve">, </w:t>
      </w:r>
      <w:r w:rsidRPr="00F505FD">
        <w:rPr>
          <w:rFonts w:cs="Arial" w:hint="cs"/>
          <w:sz w:val="18"/>
          <w:szCs w:val="18"/>
          <w:rtl/>
        </w:rPr>
        <w:t>אפילו</w:t>
      </w:r>
      <w:r w:rsidRPr="00F505FD">
        <w:rPr>
          <w:rFonts w:cs="Arial"/>
          <w:sz w:val="18"/>
          <w:szCs w:val="18"/>
          <w:rtl/>
        </w:rPr>
        <w:t xml:space="preserve"> </w:t>
      </w:r>
      <w:r w:rsidRPr="00F505FD">
        <w:rPr>
          <w:rFonts w:cs="Arial" w:hint="cs"/>
          <w:sz w:val="18"/>
          <w:szCs w:val="18"/>
          <w:rtl/>
        </w:rPr>
        <w:t>הוא</w:t>
      </w:r>
      <w:r w:rsidRPr="00F505FD">
        <w:rPr>
          <w:rFonts w:cs="Arial"/>
          <w:sz w:val="18"/>
          <w:szCs w:val="18"/>
          <w:rtl/>
        </w:rPr>
        <w:t xml:space="preserve"> </w:t>
      </w:r>
      <w:r w:rsidRPr="00F505FD">
        <w:rPr>
          <w:rFonts w:cs="Arial" w:hint="cs"/>
          <w:sz w:val="18"/>
          <w:szCs w:val="18"/>
          <w:rtl/>
        </w:rPr>
        <w:t>אביו</w:t>
      </w:r>
      <w:r w:rsidRPr="00F505FD">
        <w:rPr>
          <w:rFonts w:cs="Arial"/>
          <w:sz w:val="18"/>
          <w:szCs w:val="18"/>
          <w:rtl/>
        </w:rPr>
        <w:t xml:space="preserve"> </w:t>
      </w:r>
      <w:r w:rsidRPr="00F505FD">
        <w:rPr>
          <w:rFonts w:cs="Arial" w:hint="cs"/>
          <w:sz w:val="18"/>
          <w:szCs w:val="18"/>
          <w:rtl/>
        </w:rPr>
        <w:t>רב</w:t>
      </w:r>
      <w:r w:rsidRPr="00F505FD">
        <w:rPr>
          <w:rFonts w:cs="Arial"/>
          <w:sz w:val="18"/>
          <w:szCs w:val="18"/>
          <w:rtl/>
        </w:rPr>
        <w:t xml:space="preserve"> </w:t>
      </w:r>
      <w:r w:rsidRPr="00F505FD">
        <w:rPr>
          <w:rFonts w:cs="Arial" w:hint="cs"/>
          <w:sz w:val="18"/>
          <w:szCs w:val="18"/>
          <w:rtl/>
        </w:rPr>
        <w:t>או</w:t>
      </w:r>
      <w:r w:rsidRPr="00F505FD">
        <w:rPr>
          <w:rFonts w:cs="Arial"/>
          <w:sz w:val="18"/>
          <w:szCs w:val="18"/>
          <w:rtl/>
        </w:rPr>
        <w:t xml:space="preserve"> </w:t>
      </w:r>
      <w:r w:rsidRPr="00F505FD">
        <w:rPr>
          <w:rFonts w:cs="Arial" w:hint="cs"/>
          <w:sz w:val="18"/>
          <w:szCs w:val="18"/>
          <w:rtl/>
        </w:rPr>
        <w:t>חכם</w:t>
      </w:r>
      <w:r w:rsidRPr="00F505FD">
        <w:rPr>
          <w:rFonts w:cs="Arial"/>
          <w:sz w:val="18"/>
          <w:szCs w:val="18"/>
          <w:rtl/>
        </w:rPr>
        <w:t xml:space="preserve"> </w:t>
      </w:r>
      <w:r w:rsidRPr="00F505FD">
        <w:rPr>
          <w:rFonts w:cs="Arial" w:hint="cs"/>
          <w:sz w:val="18"/>
          <w:szCs w:val="18"/>
          <w:rtl/>
        </w:rPr>
        <w:t>והוחזק</w:t>
      </w:r>
      <w:r w:rsidRPr="00F505FD">
        <w:rPr>
          <w:rFonts w:cs="Arial"/>
          <w:sz w:val="18"/>
          <w:szCs w:val="18"/>
          <w:rtl/>
        </w:rPr>
        <w:t xml:space="preserve"> </w:t>
      </w:r>
      <w:r w:rsidRPr="00F505FD">
        <w:rPr>
          <w:rFonts w:cs="Arial" w:hint="cs"/>
          <w:sz w:val="18"/>
          <w:szCs w:val="18"/>
          <w:rtl/>
        </w:rPr>
        <w:t>בכך</w:t>
      </w:r>
      <w:r w:rsidRPr="00F505FD">
        <w:rPr>
          <w:rFonts w:cs="Arial"/>
          <w:sz w:val="18"/>
          <w:szCs w:val="18"/>
          <w:rtl/>
        </w:rPr>
        <w:t xml:space="preserve">, </w:t>
      </w:r>
      <w:r w:rsidRPr="00F505FD">
        <w:rPr>
          <w:rFonts w:cs="Arial" w:hint="cs"/>
          <w:sz w:val="18"/>
          <w:szCs w:val="18"/>
          <w:rtl/>
        </w:rPr>
        <w:t>אלא</w:t>
      </w:r>
      <w:r w:rsidRPr="00F505FD">
        <w:rPr>
          <w:rFonts w:cs="Arial"/>
          <w:sz w:val="18"/>
          <w:szCs w:val="18"/>
          <w:rtl/>
        </w:rPr>
        <w:t xml:space="preserve"> </w:t>
      </w:r>
      <w:r w:rsidRPr="00F505FD">
        <w:rPr>
          <w:rFonts w:cs="Arial" w:hint="cs"/>
          <w:sz w:val="18"/>
          <w:szCs w:val="18"/>
          <w:rtl/>
        </w:rPr>
        <w:t>כותבין</w:t>
      </w:r>
      <w:r w:rsidRPr="00F505FD">
        <w:rPr>
          <w:rFonts w:cs="Arial"/>
          <w:sz w:val="18"/>
          <w:szCs w:val="18"/>
          <w:rtl/>
        </w:rPr>
        <w:t xml:space="preserve">: </w:t>
      </w:r>
      <w:r w:rsidRPr="00F505FD">
        <w:rPr>
          <w:rFonts w:cs="Arial" w:hint="cs"/>
          <w:sz w:val="18"/>
          <w:szCs w:val="18"/>
          <w:rtl/>
        </w:rPr>
        <w:t>פלוני</w:t>
      </w:r>
      <w:r w:rsidRPr="00F505FD">
        <w:rPr>
          <w:rFonts w:cs="Arial"/>
          <w:sz w:val="18"/>
          <w:szCs w:val="18"/>
          <w:rtl/>
        </w:rPr>
        <w:t xml:space="preserve"> </w:t>
      </w:r>
      <w:r w:rsidRPr="00F505FD">
        <w:rPr>
          <w:rFonts w:cs="Arial" w:hint="cs"/>
          <w:sz w:val="18"/>
          <w:szCs w:val="18"/>
          <w:rtl/>
        </w:rPr>
        <w:t>או</w:t>
      </w:r>
      <w:r w:rsidRPr="00F505FD">
        <w:rPr>
          <w:rFonts w:cs="Arial"/>
          <w:sz w:val="18"/>
          <w:szCs w:val="18"/>
          <w:rtl/>
        </w:rPr>
        <w:t xml:space="preserve"> </w:t>
      </w:r>
      <w:r w:rsidRPr="00F505FD">
        <w:rPr>
          <w:rFonts w:cs="Arial" w:hint="cs"/>
          <w:sz w:val="18"/>
          <w:szCs w:val="18"/>
          <w:rtl/>
        </w:rPr>
        <w:t>בן</w:t>
      </w:r>
      <w:r w:rsidRPr="00F505FD">
        <w:rPr>
          <w:rFonts w:cs="Arial"/>
          <w:sz w:val="18"/>
          <w:szCs w:val="18"/>
          <w:rtl/>
        </w:rPr>
        <w:t xml:space="preserve"> </w:t>
      </w:r>
      <w:r w:rsidRPr="00F505FD">
        <w:rPr>
          <w:rFonts w:cs="Arial" w:hint="cs"/>
          <w:sz w:val="18"/>
          <w:szCs w:val="18"/>
          <w:rtl/>
        </w:rPr>
        <w:t>פלוני</w:t>
      </w:r>
      <w:r w:rsidRPr="00F505FD">
        <w:rPr>
          <w:rFonts w:cs="Arial"/>
          <w:sz w:val="18"/>
          <w:szCs w:val="18"/>
          <w:rtl/>
        </w:rPr>
        <w:t xml:space="preserve"> (</w:t>
      </w:r>
      <w:r w:rsidRPr="00F505FD">
        <w:rPr>
          <w:rFonts w:cs="Arial" w:hint="cs"/>
          <w:sz w:val="18"/>
          <w:szCs w:val="18"/>
          <w:rtl/>
        </w:rPr>
        <w:t>סדר</w:t>
      </w:r>
      <w:r w:rsidRPr="00F505FD">
        <w:rPr>
          <w:rFonts w:cs="Arial"/>
          <w:sz w:val="18"/>
          <w:szCs w:val="18"/>
          <w:rtl/>
        </w:rPr>
        <w:t xml:space="preserve"> </w:t>
      </w:r>
      <w:r w:rsidRPr="00F505FD">
        <w:rPr>
          <w:rFonts w:cs="Arial" w:hint="cs"/>
          <w:sz w:val="18"/>
          <w:szCs w:val="18"/>
          <w:rtl/>
        </w:rPr>
        <w:t>גיטין</w:t>
      </w:r>
      <w:r w:rsidRPr="00F505FD">
        <w:rPr>
          <w:rFonts w:cs="Arial"/>
          <w:sz w:val="18"/>
          <w:szCs w:val="18"/>
          <w:rtl/>
        </w:rPr>
        <w:t xml:space="preserve">). </w:t>
      </w:r>
      <w:r w:rsidRPr="00F505FD">
        <w:rPr>
          <w:rFonts w:cs="Arial" w:hint="cs"/>
          <w:sz w:val="18"/>
          <w:szCs w:val="18"/>
          <w:rtl/>
        </w:rPr>
        <w:t>וכן</w:t>
      </w:r>
      <w:r w:rsidRPr="00F505FD">
        <w:rPr>
          <w:rFonts w:cs="Arial"/>
          <w:sz w:val="18"/>
          <w:szCs w:val="18"/>
          <w:rtl/>
        </w:rPr>
        <w:t xml:space="preserve"> </w:t>
      </w:r>
      <w:r w:rsidRPr="00F505FD">
        <w:rPr>
          <w:rFonts w:cs="Arial" w:hint="cs"/>
          <w:sz w:val="18"/>
          <w:szCs w:val="18"/>
          <w:rtl/>
        </w:rPr>
        <w:lastRenderedPageBreak/>
        <w:t>אין</w:t>
      </w:r>
      <w:r w:rsidRPr="00F505FD">
        <w:rPr>
          <w:rFonts w:cs="Arial"/>
          <w:sz w:val="18"/>
          <w:szCs w:val="18"/>
          <w:rtl/>
        </w:rPr>
        <w:t xml:space="preserve"> </w:t>
      </w:r>
      <w:r w:rsidRPr="00F505FD">
        <w:rPr>
          <w:rFonts w:cs="Arial" w:hint="cs"/>
          <w:sz w:val="18"/>
          <w:szCs w:val="18"/>
          <w:rtl/>
        </w:rPr>
        <w:t>כותבין</w:t>
      </w:r>
      <w:r w:rsidRPr="00F505FD">
        <w:rPr>
          <w:rFonts w:cs="Arial"/>
          <w:sz w:val="18"/>
          <w:szCs w:val="18"/>
          <w:rtl/>
        </w:rPr>
        <w:t xml:space="preserve"> </w:t>
      </w:r>
      <w:r w:rsidRPr="00F505FD">
        <w:rPr>
          <w:rFonts w:cs="Arial" w:hint="cs"/>
          <w:sz w:val="18"/>
          <w:szCs w:val="18"/>
          <w:rtl/>
        </w:rPr>
        <w:t>בן</w:t>
      </w:r>
      <w:r w:rsidRPr="00F505FD">
        <w:rPr>
          <w:rFonts w:cs="Arial"/>
          <w:sz w:val="18"/>
          <w:szCs w:val="18"/>
          <w:rtl/>
        </w:rPr>
        <w:t xml:space="preserve"> </w:t>
      </w:r>
      <w:r w:rsidRPr="00F505FD">
        <w:rPr>
          <w:rFonts w:cs="Arial" w:hint="cs"/>
          <w:sz w:val="18"/>
          <w:szCs w:val="18"/>
          <w:rtl/>
        </w:rPr>
        <w:t>הקדוש</w:t>
      </w:r>
      <w:r w:rsidRPr="00F505FD">
        <w:rPr>
          <w:rFonts w:cs="Arial"/>
          <w:sz w:val="18"/>
          <w:szCs w:val="18"/>
          <w:rtl/>
        </w:rPr>
        <w:t xml:space="preserve"> (</w:t>
      </w:r>
      <w:r w:rsidRPr="00F505FD">
        <w:rPr>
          <w:rFonts w:cs="Arial" w:hint="cs"/>
          <w:sz w:val="18"/>
          <w:szCs w:val="18"/>
          <w:rtl/>
        </w:rPr>
        <w:t>ר</w:t>
      </w:r>
      <w:r w:rsidRPr="00F505FD">
        <w:rPr>
          <w:rFonts w:cs="Arial"/>
          <w:sz w:val="18"/>
          <w:szCs w:val="18"/>
          <w:rtl/>
        </w:rPr>
        <w:t>"</w:t>
      </w:r>
      <w:r w:rsidRPr="00F505FD">
        <w:rPr>
          <w:rFonts w:cs="Arial" w:hint="cs"/>
          <w:sz w:val="18"/>
          <w:szCs w:val="18"/>
          <w:rtl/>
        </w:rPr>
        <w:t>י</w:t>
      </w:r>
      <w:r w:rsidRPr="00F505FD">
        <w:rPr>
          <w:rFonts w:cs="Arial"/>
          <w:sz w:val="18"/>
          <w:szCs w:val="18"/>
          <w:rtl/>
        </w:rPr>
        <w:t xml:space="preserve"> </w:t>
      </w:r>
      <w:r w:rsidRPr="00F505FD">
        <w:rPr>
          <w:rFonts w:cs="Arial" w:hint="cs"/>
          <w:sz w:val="18"/>
          <w:szCs w:val="18"/>
          <w:rtl/>
        </w:rPr>
        <w:t>מינץ</w:t>
      </w:r>
      <w:r w:rsidRPr="00F505FD">
        <w:rPr>
          <w:rFonts w:cs="Arial"/>
          <w:sz w:val="18"/>
          <w:szCs w:val="18"/>
          <w:rtl/>
        </w:rPr>
        <w:t>)</w:t>
      </w:r>
      <w:r>
        <w:rPr>
          <w:rFonts w:cs="Arial" w:hint="cs"/>
          <w:sz w:val="18"/>
          <w:szCs w:val="18"/>
          <w:rtl/>
        </w:rPr>
        <w:t>.</w:t>
      </w:r>
      <w:r w:rsidRPr="00F505FD">
        <w:rPr>
          <w:rFonts w:cs="Arial"/>
          <w:sz w:val="18"/>
          <w:szCs w:val="18"/>
          <w:rtl/>
        </w:rPr>
        <w:t xml:space="preserve"> </w:t>
      </w:r>
      <w:r w:rsidRPr="00F505FD">
        <w:rPr>
          <w:rFonts w:cs="Arial" w:hint="cs"/>
          <w:sz w:val="18"/>
          <w:szCs w:val="18"/>
          <w:rtl/>
        </w:rPr>
        <w:t>אבל</w:t>
      </w:r>
      <w:r w:rsidRPr="00F505FD">
        <w:rPr>
          <w:rFonts w:cs="Arial"/>
          <w:sz w:val="18"/>
          <w:szCs w:val="18"/>
          <w:rtl/>
        </w:rPr>
        <w:t xml:space="preserve"> </w:t>
      </w:r>
      <w:r w:rsidRPr="00F505FD">
        <w:rPr>
          <w:rFonts w:cs="Arial" w:hint="cs"/>
          <w:sz w:val="18"/>
          <w:szCs w:val="18"/>
          <w:rtl/>
        </w:rPr>
        <w:t>כותבין</w:t>
      </w:r>
      <w:r w:rsidRPr="00F505FD">
        <w:rPr>
          <w:rFonts w:cs="Arial"/>
          <w:sz w:val="18"/>
          <w:szCs w:val="18"/>
          <w:rtl/>
        </w:rPr>
        <w:t xml:space="preserve"> </w:t>
      </w:r>
      <w:r w:rsidRPr="00F505FD">
        <w:rPr>
          <w:rFonts w:cs="Arial" w:hint="cs"/>
          <w:sz w:val="18"/>
          <w:szCs w:val="18"/>
          <w:rtl/>
        </w:rPr>
        <w:t>כהן</w:t>
      </w:r>
      <w:r w:rsidRPr="00F505FD">
        <w:rPr>
          <w:rFonts w:cs="Arial"/>
          <w:sz w:val="18"/>
          <w:szCs w:val="18"/>
          <w:rtl/>
        </w:rPr>
        <w:t xml:space="preserve"> </w:t>
      </w:r>
      <w:r w:rsidRPr="00F505FD">
        <w:rPr>
          <w:rFonts w:cs="Arial" w:hint="cs"/>
          <w:sz w:val="18"/>
          <w:szCs w:val="18"/>
          <w:rtl/>
        </w:rPr>
        <w:t>או</w:t>
      </w:r>
      <w:r w:rsidRPr="00F505FD">
        <w:rPr>
          <w:rFonts w:cs="Arial"/>
          <w:sz w:val="18"/>
          <w:szCs w:val="18"/>
          <w:rtl/>
        </w:rPr>
        <w:t xml:space="preserve"> </w:t>
      </w:r>
      <w:r w:rsidRPr="00F505FD">
        <w:rPr>
          <w:rFonts w:cs="Arial" w:hint="cs"/>
          <w:sz w:val="18"/>
          <w:szCs w:val="18"/>
          <w:rtl/>
        </w:rPr>
        <w:t>לוי</w:t>
      </w:r>
      <w:r w:rsidRPr="00F505FD">
        <w:rPr>
          <w:rFonts w:cs="Arial"/>
          <w:sz w:val="18"/>
          <w:szCs w:val="18"/>
          <w:rtl/>
        </w:rPr>
        <w:t xml:space="preserve"> </w:t>
      </w:r>
      <w:r w:rsidRPr="00F505FD">
        <w:rPr>
          <w:rFonts w:cs="Arial" w:hint="cs"/>
          <w:sz w:val="18"/>
          <w:szCs w:val="18"/>
          <w:rtl/>
        </w:rPr>
        <w:t>פלוני</w:t>
      </w:r>
      <w:r w:rsidRPr="00F505FD">
        <w:rPr>
          <w:rFonts w:cs="Arial"/>
          <w:sz w:val="18"/>
          <w:szCs w:val="18"/>
          <w:rtl/>
        </w:rPr>
        <w:t xml:space="preserve"> </w:t>
      </w:r>
      <w:r w:rsidRPr="00F505FD">
        <w:rPr>
          <w:rFonts w:cs="Arial" w:hint="cs"/>
          <w:sz w:val="18"/>
          <w:szCs w:val="18"/>
          <w:rtl/>
        </w:rPr>
        <w:t>בן</w:t>
      </w:r>
      <w:r w:rsidRPr="00F505FD">
        <w:rPr>
          <w:rFonts w:cs="Arial"/>
          <w:sz w:val="18"/>
          <w:szCs w:val="18"/>
          <w:rtl/>
        </w:rPr>
        <w:t xml:space="preserve"> </w:t>
      </w:r>
      <w:r w:rsidRPr="00F505FD">
        <w:rPr>
          <w:rFonts w:cs="Arial" w:hint="cs"/>
          <w:sz w:val="18"/>
          <w:szCs w:val="18"/>
          <w:rtl/>
        </w:rPr>
        <w:t>פלוני</w:t>
      </w:r>
      <w:r w:rsidRPr="00F505FD">
        <w:rPr>
          <w:rFonts w:cs="Arial"/>
          <w:sz w:val="18"/>
          <w:szCs w:val="18"/>
          <w:rtl/>
        </w:rPr>
        <w:t xml:space="preserve"> </w:t>
      </w:r>
      <w:r w:rsidRPr="00F505FD">
        <w:rPr>
          <w:rFonts w:cs="Arial" w:hint="cs"/>
          <w:sz w:val="18"/>
          <w:szCs w:val="18"/>
          <w:rtl/>
        </w:rPr>
        <w:t>הכהן</w:t>
      </w:r>
      <w:r>
        <w:rPr>
          <w:rStyle w:val="a7"/>
          <w:rFonts w:cs="Arial"/>
          <w:sz w:val="18"/>
          <w:szCs w:val="18"/>
          <w:rtl/>
        </w:rPr>
        <w:footnoteReference w:id="1081"/>
      </w:r>
      <w:r w:rsidRPr="00F505FD">
        <w:rPr>
          <w:rFonts w:cs="Arial"/>
          <w:sz w:val="18"/>
          <w:szCs w:val="18"/>
          <w:rtl/>
        </w:rPr>
        <w:t xml:space="preserve"> </w:t>
      </w:r>
      <w:r w:rsidRPr="00F505FD">
        <w:rPr>
          <w:rFonts w:cs="Arial" w:hint="cs"/>
          <w:sz w:val="18"/>
          <w:szCs w:val="18"/>
          <w:rtl/>
        </w:rPr>
        <w:t>או</w:t>
      </w:r>
      <w:r w:rsidRPr="00F505FD">
        <w:rPr>
          <w:rFonts w:cs="Arial"/>
          <w:sz w:val="18"/>
          <w:szCs w:val="18"/>
          <w:rtl/>
        </w:rPr>
        <w:t xml:space="preserve"> </w:t>
      </w:r>
      <w:r w:rsidRPr="00F505FD">
        <w:rPr>
          <w:rFonts w:cs="Arial" w:hint="cs"/>
          <w:sz w:val="18"/>
          <w:szCs w:val="18"/>
          <w:rtl/>
        </w:rPr>
        <w:t>הלוי</w:t>
      </w:r>
      <w:r>
        <w:rPr>
          <w:rStyle w:val="a7"/>
          <w:rFonts w:cs="Arial"/>
          <w:sz w:val="18"/>
          <w:szCs w:val="18"/>
          <w:rtl/>
        </w:rPr>
        <w:footnoteReference w:id="1082"/>
      </w:r>
      <w:r w:rsidRPr="00F505FD">
        <w:rPr>
          <w:rFonts w:cs="Arial"/>
          <w:sz w:val="18"/>
          <w:szCs w:val="18"/>
          <w:rtl/>
        </w:rPr>
        <w:t xml:space="preserve">. </w:t>
      </w:r>
      <w:r w:rsidRPr="00F505FD">
        <w:rPr>
          <w:rFonts w:cs="Arial" w:hint="cs"/>
          <w:sz w:val="18"/>
          <w:szCs w:val="18"/>
          <w:rtl/>
        </w:rPr>
        <w:t>ואם</w:t>
      </w:r>
      <w:r w:rsidRPr="00F505FD">
        <w:rPr>
          <w:rFonts w:cs="Arial"/>
          <w:sz w:val="18"/>
          <w:szCs w:val="18"/>
          <w:rtl/>
        </w:rPr>
        <w:t xml:space="preserve"> </w:t>
      </w:r>
      <w:r w:rsidRPr="00F505FD">
        <w:rPr>
          <w:rFonts w:cs="Arial" w:hint="cs"/>
          <w:sz w:val="18"/>
          <w:szCs w:val="18"/>
          <w:rtl/>
        </w:rPr>
        <w:t>יש</w:t>
      </w:r>
      <w:r w:rsidRPr="00F505FD">
        <w:rPr>
          <w:rFonts w:cs="Arial"/>
          <w:sz w:val="18"/>
          <w:szCs w:val="18"/>
          <w:rtl/>
        </w:rPr>
        <w:t xml:space="preserve"> </w:t>
      </w:r>
      <w:r w:rsidRPr="00F505FD">
        <w:rPr>
          <w:rFonts w:cs="Arial" w:hint="cs"/>
          <w:sz w:val="18"/>
          <w:szCs w:val="18"/>
          <w:rtl/>
        </w:rPr>
        <w:t>להם</w:t>
      </w:r>
      <w:r w:rsidRPr="00F505FD">
        <w:rPr>
          <w:rFonts w:cs="Arial"/>
          <w:sz w:val="18"/>
          <w:szCs w:val="18"/>
          <w:rtl/>
        </w:rPr>
        <w:t xml:space="preserve"> </w:t>
      </w:r>
      <w:r w:rsidRPr="00F505FD">
        <w:rPr>
          <w:rFonts w:cs="Arial" w:hint="cs"/>
          <w:sz w:val="18"/>
          <w:szCs w:val="18"/>
          <w:rtl/>
        </w:rPr>
        <w:t>כינוי</w:t>
      </w:r>
      <w:r w:rsidRPr="00F505FD">
        <w:rPr>
          <w:rFonts w:cs="Arial"/>
          <w:sz w:val="18"/>
          <w:szCs w:val="18"/>
          <w:rtl/>
        </w:rPr>
        <w:t xml:space="preserve"> </w:t>
      </w:r>
      <w:r w:rsidRPr="00F505FD">
        <w:rPr>
          <w:rFonts w:cs="Arial" w:hint="cs"/>
          <w:sz w:val="18"/>
          <w:szCs w:val="18"/>
          <w:rtl/>
        </w:rPr>
        <w:t>כותבין</w:t>
      </w:r>
      <w:r w:rsidRPr="00F505FD">
        <w:rPr>
          <w:rFonts w:cs="Arial"/>
          <w:sz w:val="18"/>
          <w:szCs w:val="18"/>
          <w:rtl/>
        </w:rPr>
        <w:t xml:space="preserve"> </w:t>
      </w:r>
      <w:r w:rsidRPr="00F505FD">
        <w:rPr>
          <w:rFonts w:cs="Arial" w:hint="cs"/>
          <w:sz w:val="18"/>
          <w:szCs w:val="18"/>
          <w:rtl/>
        </w:rPr>
        <w:t>אח</w:t>
      </w:r>
      <w:r w:rsidRPr="00F505FD">
        <w:rPr>
          <w:rFonts w:cs="Arial"/>
          <w:sz w:val="18"/>
          <w:szCs w:val="18"/>
          <w:rtl/>
        </w:rPr>
        <w:t>"</w:t>
      </w:r>
      <w:r w:rsidRPr="00F505FD">
        <w:rPr>
          <w:rFonts w:cs="Arial" w:hint="cs"/>
          <w:sz w:val="18"/>
          <w:szCs w:val="18"/>
          <w:rtl/>
        </w:rPr>
        <w:t>כ</w:t>
      </w:r>
      <w:r w:rsidRPr="00F505FD">
        <w:rPr>
          <w:rFonts w:cs="Arial"/>
          <w:sz w:val="18"/>
          <w:szCs w:val="18"/>
          <w:rtl/>
        </w:rPr>
        <w:t xml:space="preserve"> (</w:t>
      </w:r>
      <w:r w:rsidRPr="00F505FD">
        <w:rPr>
          <w:rFonts w:cs="Arial" w:hint="cs"/>
          <w:sz w:val="18"/>
          <w:szCs w:val="18"/>
          <w:rtl/>
        </w:rPr>
        <w:t>סדר</w:t>
      </w:r>
      <w:r w:rsidRPr="00F505FD">
        <w:rPr>
          <w:rFonts w:cs="Arial"/>
          <w:sz w:val="18"/>
          <w:szCs w:val="18"/>
          <w:rtl/>
        </w:rPr>
        <w:t xml:space="preserve"> </w:t>
      </w:r>
      <w:r w:rsidRPr="00F505FD">
        <w:rPr>
          <w:rFonts w:cs="Arial" w:hint="cs"/>
          <w:sz w:val="18"/>
          <w:szCs w:val="18"/>
          <w:rtl/>
        </w:rPr>
        <w:t>גיטין</w:t>
      </w:r>
      <w:r w:rsidRPr="00F505FD">
        <w:rPr>
          <w:rFonts w:cs="Arial"/>
          <w:sz w:val="18"/>
          <w:szCs w:val="18"/>
          <w:rtl/>
        </w:rPr>
        <w:t xml:space="preserve">). </w:t>
      </w:r>
      <w:r w:rsidRPr="00F505FD">
        <w:rPr>
          <w:rFonts w:cs="Arial" w:hint="cs"/>
          <w:sz w:val="18"/>
          <w:szCs w:val="18"/>
          <w:rtl/>
        </w:rPr>
        <w:t>אבל</w:t>
      </w:r>
      <w:r w:rsidRPr="00F505FD">
        <w:rPr>
          <w:rFonts w:cs="Arial"/>
          <w:sz w:val="18"/>
          <w:szCs w:val="18"/>
          <w:rtl/>
        </w:rPr>
        <w:t xml:space="preserve"> </w:t>
      </w:r>
      <w:r w:rsidRPr="00F505FD">
        <w:rPr>
          <w:rFonts w:cs="Arial" w:hint="cs"/>
          <w:sz w:val="18"/>
          <w:szCs w:val="18"/>
          <w:rtl/>
        </w:rPr>
        <w:t>אם</w:t>
      </w:r>
      <w:r w:rsidRPr="00F505FD">
        <w:rPr>
          <w:rFonts w:cs="Arial"/>
          <w:sz w:val="18"/>
          <w:szCs w:val="18"/>
          <w:rtl/>
        </w:rPr>
        <w:t xml:space="preserve"> </w:t>
      </w:r>
      <w:r w:rsidRPr="00F505FD">
        <w:rPr>
          <w:rFonts w:cs="Arial" w:hint="cs"/>
          <w:sz w:val="18"/>
          <w:szCs w:val="18"/>
          <w:rtl/>
        </w:rPr>
        <w:t>יש</w:t>
      </w:r>
      <w:r w:rsidRPr="00F505FD">
        <w:rPr>
          <w:rFonts w:cs="Arial"/>
          <w:sz w:val="18"/>
          <w:szCs w:val="18"/>
          <w:rtl/>
        </w:rPr>
        <w:t xml:space="preserve"> </w:t>
      </w:r>
      <w:r>
        <w:rPr>
          <w:rFonts w:cs="Arial" w:hint="cs"/>
          <w:sz w:val="18"/>
          <w:szCs w:val="18"/>
          <w:rtl/>
        </w:rPr>
        <w:t>שני שמות</w:t>
      </w:r>
      <w:r w:rsidRPr="00F505FD">
        <w:rPr>
          <w:rFonts w:cs="Arial"/>
          <w:sz w:val="18"/>
          <w:szCs w:val="18"/>
          <w:rtl/>
        </w:rPr>
        <w:t xml:space="preserve">, </w:t>
      </w:r>
      <w:r w:rsidRPr="00F505FD">
        <w:rPr>
          <w:rFonts w:cs="Arial" w:hint="cs"/>
          <w:sz w:val="18"/>
          <w:szCs w:val="18"/>
          <w:rtl/>
        </w:rPr>
        <w:t>שכותבין</w:t>
      </w:r>
      <w:r w:rsidRPr="00F505FD">
        <w:rPr>
          <w:rFonts w:cs="Arial"/>
          <w:sz w:val="18"/>
          <w:szCs w:val="18"/>
          <w:rtl/>
        </w:rPr>
        <w:t xml:space="preserve"> </w:t>
      </w:r>
      <w:r w:rsidRPr="00F505FD">
        <w:rPr>
          <w:rFonts w:cs="Arial" w:hint="cs"/>
          <w:sz w:val="18"/>
          <w:szCs w:val="18"/>
          <w:rtl/>
        </w:rPr>
        <w:t>על</w:t>
      </w:r>
      <w:r w:rsidRPr="00F505FD">
        <w:rPr>
          <w:rFonts w:cs="Arial"/>
          <w:sz w:val="18"/>
          <w:szCs w:val="18"/>
          <w:rtl/>
        </w:rPr>
        <w:t xml:space="preserve"> </w:t>
      </w:r>
      <w:r w:rsidRPr="00F505FD">
        <w:rPr>
          <w:rFonts w:cs="Arial" w:hint="cs"/>
          <w:sz w:val="18"/>
          <w:szCs w:val="18"/>
          <w:rtl/>
        </w:rPr>
        <w:t>אחד</w:t>
      </w:r>
      <w:r w:rsidRPr="00F505FD">
        <w:rPr>
          <w:rFonts w:cs="Arial"/>
          <w:sz w:val="18"/>
          <w:szCs w:val="18"/>
          <w:rtl/>
        </w:rPr>
        <w:t xml:space="preserve">: </w:t>
      </w:r>
      <w:r w:rsidRPr="00F505FD">
        <w:rPr>
          <w:rFonts w:cs="Arial" w:hint="cs"/>
          <w:sz w:val="18"/>
          <w:szCs w:val="18"/>
          <w:rtl/>
        </w:rPr>
        <w:t>דמתקריא</w:t>
      </w:r>
      <w:r w:rsidRPr="00F505FD">
        <w:rPr>
          <w:rFonts w:cs="Arial"/>
          <w:sz w:val="18"/>
          <w:szCs w:val="18"/>
          <w:rtl/>
        </w:rPr>
        <w:t xml:space="preserve">, </w:t>
      </w:r>
      <w:r w:rsidRPr="00F505FD">
        <w:rPr>
          <w:rFonts w:cs="Arial" w:hint="cs"/>
          <w:sz w:val="18"/>
          <w:szCs w:val="18"/>
          <w:rtl/>
        </w:rPr>
        <w:t>כותבין</w:t>
      </w:r>
      <w:r w:rsidRPr="00F505FD">
        <w:rPr>
          <w:rFonts w:cs="Arial"/>
          <w:sz w:val="18"/>
          <w:szCs w:val="18"/>
          <w:rtl/>
        </w:rPr>
        <w:t xml:space="preserve"> </w:t>
      </w:r>
      <w:r w:rsidRPr="00F505FD">
        <w:rPr>
          <w:rFonts w:cs="Arial" w:hint="cs"/>
          <w:sz w:val="18"/>
          <w:szCs w:val="18"/>
          <w:rtl/>
        </w:rPr>
        <w:t>אחר</w:t>
      </w:r>
      <w:r w:rsidRPr="00F505FD">
        <w:rPr>
          <w:rFonts w:cs="Arial"/>
          <w:sz w:val="18"/>
          <w:szCs w:val="18"/>
          <w:rtl/>
        </w:rPr>
        <w:t xml:space="preserve"> </w:t>
      </w:r>
      <w:r w:rsidRPr="00F505FD">
        <w:rPr>
          <w:rFonts w:cs="Arial" w:hint="cs"/>
          <w:sz w:val="18"/>
          <w:szCs w:val="18"/>
          <w:rtl/>
        </w:rPr>
        <w:t>כך</w:t>
      </w:r>
      <w:r w:rsidRPr="00F505FD">
        <w:rPr>
          <w:rFonts w:cs="Arial"/>
          <w:sz w:val="18"/>
          <w:szCs w:val="18"/>
          <w:rtl/>
        </w:rPr>
        <w:t xml:space="preserve">: </w:t>
      </w:r>
      <w:r w:rsidRPr="00F505FD">
        <w:rPr>
          <w:rFonts w:cs="Arial" w:hint="cs"/>
          <w:sz w:val="18"/>
          <w:szCs w:val="18"/>
          <w:rtl/>
        </w:rPr>
        <w:t>כהן</w:t>
      </w:r>
      <w:r w:rsidRPr="00F505FD">
        <w:rPr>
          <w:rFonts w:cs="Arial"/>
          <w:sz w:val="18"/>
          <w:szCs w:val="18"/>
          <w:rtl/>
        </w:rPr>
        <w:t xml:space="preserve"> </w:t>
      </w:r>
      <w:r w:rsidRPr="00F505FD">
        <w:rPr>
          <w:rFonts w:cs="Arial" w:hint="cs"/>
          <w:sz w:val="18"/>
          <w:szCs w:val="18"/>
          <w:rtl/>
        </w:rPr>
        <w:t>או</w:t>
      </w:r>
      <w:r w:rsidRPr="00F505FD">
        <w:rPr>
          <w:rFonts w:cs="Arial"/>
          <w:sz w:val="18"/>
          <w:szCs w:val="18"/>
          <w:rtl/>
        </w:rPr>
        <w:t xml:space="preserve"> </w:t>
      </w:r>
      <w:r w:rsidRPr="00F505FD">
        <w:rPr>
          <w:rFonts w:cs="Arial" w:hint="cs"/>
          <w:sz w:val="18"/>
          <w:szCs w:val="18"/>
          <w:rtl/>
        </w:rPr>
        <w:t>לוי</w:t>
      </w:r>
      <w:r w:rsidRPr="00F505FD">
        <w:rPr>
          <w:rFonts w:cs="Arial"/>
          <w:sz w:val="18"/>
          <w:szCs w:val="18"/>
          <w:rtl/>
        </w:rPr>
        <w:t xml:space="preserve"> (</w:t>
      </w:r>
      <w:r w:rsidRPr="00F505FD">
        <w:rPr>
          <w:rFonts w:cs="Arial" w:hint="cs"/>
          <w:sz w:val="18"/>
          <w:szCs w:val="18"/>
          <w:rtl/>
        </w:rPr>
        <w:t>שם</w:t>
      </w:r>
      <w:r w:rsidRPr="00F505FD">
        <w:rPr>
          <w:rFonts w:cs="Arial"/>
          <w:sz w:val="18"/>
          <w:szCs w:val="18"/>
          <w:rtl/>
        </w:rPr>
        <w:t xml:space="preserve"> </w:t>
      </w:r>
      <w:r w:rsidRPr="00F505FD">
        <w:rPr>
          <w:rFonts w:cs="Arial" w:hint="cs"/>
          <w:sz w:val="18"/>
          <w:szCs w:val="18"/>
          <w:rtl/>
        </w:rPr>
        <w:t>בשם</w:t>
      </w:r>
      <w:r w:rsidRPr="00F505FD">
        <w:rPr>
          <w:rFonts w:cs="Arial"/>
          <w:sz w:val="18"/>
          <w:szCs w:val="18"/>
          <w:rtl/>
        </w:rPr>
        <w:t xml:space="preserve"> </w:t>
      </w:r>
      <w:r w:rsidRPr="00F505FD">
        <w:rPr>
          <w:rFonts w:cs="Arial" w:hint="cs"/>
          <w:sz w:val="18"/>
          <w:szCs w:val="18"/>
          <w:rtl/>
        </w:rPr>
        <w:t>מהרי</w:t>
      </w:r>
      <w:r w:rsidRPr="00F505FD">
        <w:rPr>
          <w:rFonts w:cs="Arial"/>
          <w:sz w:val="18"/>
          <w:szCs w:val="18"/>
          <w:rtl/>
        </w:rPr>
        <w:t>"</w:t>
      </w:r>
      <w:r w:rsidRPr="00F505FD">
        <w:rPr>
          <w:rFonts w:cs="Arial" w:hint="cs"/>
          <w:sz w:val="18"/>
          <w:szCs w:val="18"/>
          <w:rtl/>
        </w:rPr>
        <w:t>ק</w:t>
      </w:r>
      <w:r w:rsidRPr="00F505FD">
        <w:rPr>
          <w:rFonts w:cs="Arial"/>
          <w:sz w:val="18"/>
          <w:szCs w:val="18"/>
          <w:rtl/>
        </w:rPr>
        <w:t xml:space="preserve">). </w:t>
      </w:r>
      <w:r w:rsidRPr="00F505FD">
        <w:rPr>
          <w:rFonts w:cs="Arial" w:hint="cs"/>
          <w:sz w:val="18"/>
          <w:szCs w:val="18"/>
          <w:rtl/>
        </w:rPr>
        <w:t>ואם</w:t>
      </w:r>
      <w:r w:rsidRPr="00F505FD">
        <w:rPr>
          <w:rFonts w:cs="Arial"/>
          <w:sz w:val="18"/>
          <w:szCs w:val="18"/>
          <w:rtl/>
        </w:rPr>
        <w:t xml:space="preserve"> </w:t>
      </w:r>
      <w:r w:rsidRPr="00F505FD">
        <w:rPr>
          <w:rFonts w:cs="Arial" w:hint="cs"/>
          <w:sz w:val="18"/>
          <w:szCs w:val="18"/>
          <w:rtl/>
        </w:rPr>
        <w:t>לא</w:t>
      </w:r>
      <w:r w:rsidRPr="00F505FD">
        <w:rPr>
          <w:rFonts w:cs="Arial"/>
          <w:sz w:val="18"/>
          <w:szCs w:val="18"/>
          <w:rtl/>
        </w:rPr>
        <w:t xml:space="preserve"> </w:t>
      </w:r>
      <w:r w:rsidRPr="00F505FD">
        <w:rPr>
          <w:rFonts w:cs="Arial" w:hint="cs"/>
          <w:sz w:val="18"/>
          <w:szCs w:val="18"/>
          <w:rtl/>
        </w:rPr>
        <w:t>כתב</w:t>
      </w:r>
      <w:r w:rsidRPr="00F505FD">
        <w:rPr>
          <w:rFonts w:cs="Arial"/>
          <w:sz w:val="18"/>
          <w:szCs w:val="18"/>
          <w:rtl/>
        </w:rPr>
        <w:t xml:space="preserve">: </w:t>
      </w:r>
      <w:r w:rsidRPr="00F505FD">
        <w:rPr>
          <w:rFonts w:cs="Arial" w:hint="cs"/>
          <w:sz w:val="18"/>
          <w:szCs w:val="18"/>
          <w:rtl/>
        </w:rPr>
        <w:t>כהן</w:t>
      </w:r>
      <w:r w:rsidRPr="00F505FD">
        <w:rPr>
          <w:rFonts w:cs="Arial"/>
          <w:sz w:val="18"/>
          <w:szCs w:val="18"/>
          <w:rtl/>
        </w:rPr>
        <w:t xml:space="preserve"> </w:t>
      </w:r>
      <w:r w:rsidRPr="00F505FD">
        <w:rPr>
          <w:rFonts w:cs="Arial" w:hint="cs"/>
          <w:sz w:val="18"/>
          <w:szCs w:val="18"/>
          <w:rtl/>
        </w:rPr>
        <w:t>או</w:t>
      </w:r>
      <w:r w:rsidRPr="00F505FD">
        <w:rPr>
          <w:rFonts w:cs="Arial"/>
          <w:sz w:val="18"/>
          <w:szCs w:val="18"/>
          <w:rtl/>
        </w:rPr>
        <w:t xml:space="preserve"> </w:t>
      </w:r>
      <w:r w:rsidRPr="00F505FD">
        <w:rPr>
          <w:rFonts w:cs="Arial" w:hint="cs"/>
          <w:sz w:val="18"/>
          <w:szCs w:val="18"/>
          <w:rtl/>
        </w:rPr>
        <w:t>לוי</w:t>
      </w:r>
      <w:r w:rsidRPr="00F505FD">
        <w:rPr>
          <w:rFonts w:cs="Arial"/>
          <w:sz w:val="18"/>
          <w:szCs w:val="18"/>
          <w:rtl/>
        </w:rPr>
        <w:t xml:space="preserve">, </w:t>
      </w:r>
      <w:r w:rsidRPr="00F505FD">
        <w:rPr>
          <w:rFonts w:cs="Arial" w:hint="cs"/>
          <w:sz w:val="18"/>
          <w:szCs w:val="18"/>
          <w:rtl/>
        </w:rPr>
        <w:t>י</w:t>
      </w:r>
      <w:r w:rsidRPr="00F505FD">
        <w:rPr>
          <w:rFonts w:cs="Arial"/>
          <w:sz w:val="18"/>
          <w:szCs w:val="18"/>
          <w:rtl/>
        </w:rPr>
        <w:t>"</w:t>
      </w:r>
      <w:r w:rsidRPr="00F505FD">
        <w:rPr>
          <w:rFonts w:cs="Arial" w:hint="cs"/>
          <w:sz w:val="18"/>
          <w:szCs w:val="18"/>
          <w:rtl/>
        </w:rPr>
        <w:t>א</w:t>
      </w:r>
      <w:r w:rsidRPr="00F505FD">
        <w:rPr>
          <w:rFonts w:cs="Arial"/>
          <w:sz w:val="18"/>
          <w:szCs w:val="18"/>
          <w:rtl/>
        </w:rPr>
        <w:t xml:space="preserve"> </w:t>
      </w:r>
      <w:r w:rsidRPr="00F505FD">
        <w:rPr>
          <w:rFonts w:cs="Arial" w:hint="cs"/>
          <w:sz w:val="18"/>
          <w:szCs w:val="18"/>
          <w:rtl/>
        </w:rPr>
        <w:t>דפסול</w:t>
      </w:r>
      <w:r w:rsidRPr="00F505FD">
        <w:rPr>
          <w:rFonts w:cs="Arial"/>
          <w:sz w:val="18"/>
          <w:szCs w:val="18"/>
          <w:rtl/>
        </w:rPr>
        <w:t xml:space="preserve"> </w:t>
      </w:r>
      <w:r w:rsidRPr="00F505FD">
        <w:rPr>
          <w:rFonts w:cs="Arial" w:hint="cs"/>
          <w:sz w:val="18"/>
          <w:szCs w:val="18"/>
          <w:rtl/>
        </w:rPr>
        <w:t>מאחר</w:t>
      </w:r>
      <w:r w:rsidRPr="00F505FD">
        <w:rPr>
          <w:rFonts w:cs="Arial"/>
          <w:sz w:val="18"/>
          <w:szCs w:val="18"/>
          <w:rtl/>
        </w:rPr>
        <w:t xml:space="preserve"> </w:t>
      </w:r>
      <w:r w:rsidRPr="00F505FD">
        <w:rPr>
          <w:rFonts w:cs="Arial" w:hint="cs"/>
          <w:sz w:val="18"/>
          <w:szCs w:val="18"/>
          <w:rtl/>
        </w:rPr>
        <w:t>שנהגו</w:t>
      </w:r>
      <w:r w:rsidRPr="00F505FD">
        <w:rPr>
          <w:rFonts w:cs="Arial"/>
          <w:sz w:val="18"/>
          <w:szCs w:val="18"/>
          <w:rtl/>
        </w:rPr>
        <w:t xml:space="preserve"> </w:t>
      </w:r>
      <w:r w:rsidRPr="00F505FD">
        <w:rPr>
          <w:rFonts w:cs="Arial" w:hint="cs"/>
          <w:sz w:val="18"/>
          <w:szCs w:val="18"/>
          <w:rtl/>
        </w:rPr>
        <w:t>לכתבו</w:t>
      </w:r>
      <w:r>
        <w:rPr>
          <w:rFonts w:cs="Arial" w:hint="cs"/>
          <w:sz w:val="18"/>
          <w:szCs w:val="18"/>
          <w:rtl/>
        </w:rPr>
        <w:t xml:space="preserve"> (ר' יעקב מוינא)</w:t>
      </w:r>
      <w:r w:rsidRPr="00F505FD">
        <w:rPr>
          <w:rFonts w:cs="Arial"/>
          <w:sz w:val="18"/>
          <w:szCs w:val="18"/>
          <w:rtl/>
        </w:rPr>
        <w:t xml:space="preserve">, </w:t>
      </w:r>
      <w:r w:rsidRPr="00F505FD">
        <w:rPr>
          <w:rFonts w:cs="Arial" w:hint="cs"/>
          <w:sz w:val="18"/>
          <w:szCs w:val="18"/>
          <w:rtl/>
        </w:rPr>
        <w:t>ויש</w:t>
      </w:r>
      <w:r w:rsidRPr="00F505FD">
        <w:rPr>
          <w:rFonts w:cs="Arial"/>
          <w:sz w:val="18"/>
          <w:szCs w:val="18"/>
          <w:rtl/>
        </w:rPr>
        <w:t xml:space="preserve"> </w:t>
      </w:r>
      <w:r w:rsidRPr="00F505FD">
        <w:rPr>
          <w:rFonts w:cs="Arial" w:hint="cs"/>
          <w:sz w:val="18"/>
          <w:szCs w:val="18"/>
          <w:rtl/>
        </w:rPr>
        <w:t>מכשירין</w:t>
      </w:r>
      <w:r>
        <w:rPr>
          <w:rStyle w:val="a7"/>
          <w:rFonts w:cs="Arial"/>
          <w:sz w:val="18"/>
          <w:szCs w:val="18"/>
          <w:rtl/>
        </w:rPr>
        <w:footnoteReference w:id="1083"/>
      </w:r>
      <w:r w:rsidRPr="00F505FD">
        <w:rPr>
          <w:rFonts w:cs="Arial"/>
          <w:sz w:val="18"/>
          <w:szCs w:val="18"/>
          <w:rtl/>
        </w:rPr>
        <w:t xml:space="preserve"> (</w:t>
      </w:r>
      <w:r>
        <w:rPr>
          <w:rFonts w:cs="Arial" w:hint="cs"/>
          <w:sz w:val="18"/>
          <w:szCs w:val="18"/>
          <w:rtl/>
        </w:rPr>
        <w:t>ב"י</w:t>
      </w:r>
      <w:r w:rsidRPr="00F505FD">
        <w:rPr>
          <w:rFonts w:cs="Arial"/>
          <w:sz w:val="18"/>
          <w:szCs w:val="18"/>
          <w:rtl/>
        </w:rPr>
        <w:t xml:space="preserve">), </w:t>
      </w:r>
      <w:r w:rsidRPr="00F505FD">
        <w:rPr>
          <w:rFonts w:cs="Arial" w:hint="cs"/>
          <w:sz w:val="18"/>
          <w:szCs w:val="18"/>
          <w:rtl/>
        </w:rPr>
        <w:t>ונראה</w:t>
      </w:r>
      <w:r w:rsidRPr="00F505FD">
        <w:rPr>
          <w:rFonts w:cs="Arial"/>
          <w:sz w:val="18"/>
          <w:szCs w:val="18"/>
          <w:rtl/>
        </w:rPr>
        <w:t xml:space="preserve"> </w:t>
      </w:r>
      <w:r w:rsidRPr="00F505FD">
        <w:rPr>
          <w:rFonts w:cs="Arial" w:hint="cs"/>
          <w:sz w:val="18"/>
          <w:szCs w:val="18"/>
          <w:rtl/>
        </w:rPr>
        <w:t>להו</w:t>
      </w:r>
      <w:r w:rsidRPr="00F505FD">
        <w:rPr>
          <w:rFonts w:cs="Arial"/>
          <w:sz w:val="18"/>
          <w:szCs w:val="18"/>
          <w:rtl/>
        </w:rPr>
        <w:t xml:space="preserve"> </w:t>
      </w:r>
      <w:r w:rsidRPr="00F505FD">
        <w:rPr>
          <w:rFonts w:cs="Arial" w:hint="cs"/>
          <w:sz w:val="18"/>
          <w:szCs w:val="18"/>
          <w:rtl/>
        </w:rPr>
        <w:t>לסמוך</w:t>
      </w:r>
      <w:r w:rsidRPr="00F505FD">
        <w:rPr>
          <w:rFonts w:cs="Arial"/>
          <w:sz w:val="18"/>
          <w:szCs w:val="18"/>
          <w:rtl/>
        </w:rPr>
        <w:t xml:space="preserve"> </w:t>
      </w:r>
      <w:r w:rsidRPr="00F505FD">
        <w:rPr>
          <w:rFonts w:cs="Arial" w:hint="cs"/>
          <w:sz w:val="18"/>
          <w:szCs w:val="18"/>
          <w:rtl/>
        </w:rPr>
        <w:t>להקל</w:t>
      </w:r>
      <w:r w:rsidRPr="00F505FD">
        <w:rPr>
          <w:rFonts w:cs="Arial"/>
          <w:sz w:val="18"/>
          <w:szCs w:val="18"/>
          <w:rtl/>
        </w:rPr>
        <w:t xml:space="preserve"> </w:t>
      </w:r>
      <w:r w:rsidRPr="00F505FD">
        <w:rPr>
          <w:rFonts w:cs="Arial" w:hint="cs"/>
          <w:sz w:val="18"/>
          <w:szCs w:val="18"/>
          <w:rtl/>
        </w:rPr>
        <w:t>במקום</w:t>
      </w:r>
      <w:r w:rsidRPr="00F505FD">
        <w:rPr>
          <w:rFonts w:cs="Arial"/>
          <w:sz w:val="18"/>
          <w:szCs w:val="18"/>
          <w:rtl/>
        </w:rPr>
        <w:t xml:space="preserve"> </w:t>
      </w:r>
      <w:r w:rsidRPr="00F505FD">
        <w:rPr>
          <w:rFonts w:cs="Arial" w:hint="cs"/>
          <w:sz w:val="18"/>
          <w:szCs w:val="18"/>
          <w:rtl/>
        </w:rPr>
        <w:t>הדחק</w:t>
      </w:r>
      <w:r w:rsidRPr="00F505FD">
        <w:rPr>
          <w:rFonts w:cs="Arial"/>
          <w:sz w:val="18"/>
          <w:szCs w:val="18"/>
          <w:rtl/>
        </w:rPr>
        <w:t xml:space="preserve">, </w:t>
      </w:r>
      <w:r w:rsidRPr="00F505FD">
        <w:rPr>
          <w:rFonts w:cs="Arial" w:hint="cs"/>
          <w:sz w:val="18"/>
          <w:szCs w:val="18"/>
          <w:rtl/>
        </w:rPr>
        <w:t>אבל</w:t>
      </w:r>
      <w:r w:rsidRPr="00F505FD">
        <w:rPr>
          <w:rFonts w:cs="Arial"/>
          <w:sz w:val="18"/>
          <w:szCs w:val="18"/>
          <w:rtl/>
        </w:rPr>
        <w:t xml:space="preserve"> </w:t>
      </w:r>
      <w:r w:rsidRPr="00F505FD">
        <w:rPr>
          <w:rFonts w:cs="Arial" w:hint="cs"/>
          <w:sz w:val="18"/>
          <w:szCs w:val="18"/>
          <w:rtl/>
        </w:rPr>
        <w:t>לכתחלה</w:t>
      </w:r>
      <w:r w:rsidRPr="00F505FD">
        <w:rPr>
          <w:rFonts w:cs="Arial"/>
          <w:sz w:val="18"/>
          <w:szCs w:val="18"/>
          <w:rtl/>
        </w:rPr>
        <w:t xml:space="preserve"> </w:t>
      </w:r>
      <w:r w:rsidRPr="00F505FD">
        <w:rPr>
          <w:rFonts w:cs="Arial" w:hint="cs"/>
          <w:sz w:val="18"/>
          <w:szCs w:val="18"/>
          <w:rtl/>
        </w:rPr>
        <w:t>יש</w:t>
      </w:r>
      <w:r w:rsidRPr="00F505FD">
        <w:rPr>
          <w:rFonts w:cs="Arial"/>
          <w:sz w:val="18"/>
          <w:szCs w:val="18"/>
          <w:rtl/>
        </w:rPr>
        <w:t xml:space="preserve"> </w:t>
      </w:r>
      <w:r w:rsidRPr="00F505FD">
        <w:rPr>
          <w:rFonts w:cs="Arial" w:hint="cs"/>
          <w:sz w:val="18"/>
          <w:szCs w:val="18"/>
          <w:rtl/>
        </w:rPr>
        <w:t>לכתבו</w:t>
      </w:r>
      <w:r w:rsidRPr="00F505FD">
        <w:rPr>
          <w:rFonts w:cs="Arial"/>
          <w:sz w:val="18"/>
          <w:szCs w:val="18"/>
          <w:rtl/>
        </w:rPr>
        <w:t xml:space="preserve">. </w:t>
      </w:r>
      <w:r w:rsidRPr="00F505FD">
        <w:rPr>
          <w:rFonts w:cs="Arial" w:hint="cs"/>
          <w:sz w:val="18"/>
          <w:szCs w:val="18"/>
          <w:rtl/>
        </w:rPr>
        <w:t>ואם</w:t>
      </w:r>
      <w:r w:rsidRPr="00F505FD">
        <w:rPr>
          <w:rFonts w:cs="Arial"/>
          <w:sz w:val="18"/>
          <w:szCs w:val="18"/>
          <w:rtl/>
        </w:rPr>
        <w:t xml:space="preserve"> </w:t>
      </w:r>
      <w:r w:rsidRPr="00F505FD">
        <w:rPr>
          <w:rFonts w:cs="Arial" w:hint="cs"/>
          <w:sz w:val="18"/>
          <w:szCs w:val="18"/>
          <w:rtl/>
        </w:rPr>
        <w:t>יש</w:t>
      </w:r>
      <w:r w:rsidRPr="00F505FD">
        <w:rPr>
          <w:rFonts w:cs="Arial"/>
          <w:sz w:val="18"/>
          <w:szCs w:val="18"/>
          <w:rtl/>
        </w:rPr>
        <w:t xml:space="preserve"> </w:t>
      </w:r>
      <w:r w:rsidRPr="00F505FD">
        <w:rPr>
          <w:rFonts w:cs="Arial" w:hint="cs"/>
          <w:sz w:val="18"/>
          <w:szCs w:val="18"/>
          <w:rtl/>
        </w:rPr>
        <w:t>ספק</w:t>
      </w:r>
      <w:r w:rsidRPr="00F505FD">
        <w:rPr>
          <w:rFonts w:cs="Arial"/>
          <w:sz w:val="18"/>
          <w:szCs w:val="18"/>
          <w:rtl/>
        </w:rPr>
        <w:t xml:space="preserve"> </w:t>
      </w:r>
      <w:r w:rsidRPr="00F505FD">
        <w:rPr>
          <w:rFonts w:cs="Arial" w:hint="cs"/>
          <w:sz w:val="18"/>
          <w:szCs w:val="18"/>
          <w:rtl/>
        </w:rPr>
        <w:t>אם</w:t>
      </w:r>
      <w:r w:rsidRPr="00F505FD">
        <w:rPr>
          <w:rFonts w:cs="Arial"/>
          <w:sz w:val="18"/>
          <w:szCs w:val="18"/>
          <w:rtl/>
        </w:rPr>
        <w:t xml:space="preserve"> </w:t>
      </w:r>
      <w:r w:rsidRPr="00F505FD">
        <w:rPr>
          <w:rFonts w:cs="Arial" w:hint="cs"/>
          <w:sz w:val="18"/>
          <w:szCs w:val="18"/>
          <w:rtl/>
        </w:rPr>
        <w:t>הוא</w:t>
      </w:r>
      <w:r w:rsidRPr="00F505FD">
        <w:rPr>
          <w:rFonts w:cs="Arial"/>
          <w:sz w:val="18"/>
          <w:szCs w:val="18"/>
          <w:rtl/>
        </w:rPr>
        <w:t xml:space="preserve"> </w:t>
      </w:r>
      <w:r w:rsidRPr="00F505FD">
        <w:rPr>
          <w:rFonts w:cs="Arial" w:hint="cs"/>
          <w:sz w:val="18"/>
          <w:szCs w:val="18"/>
          <w:rtl/>
        </w:rPr>
        <w:t>כהן</w:t>
      </w:r>
      <w:r w:rsidRPr="00F505FD">
        <w:rPr>
          <w:rFonts w:cs="Arial"/>
          <w:sz w:val="18"/>
          <w:szCs w:val="18"/>
          <w:rtl/>
        </w:rPr>
        <w:t xml:space="preserve"> </w:t>
      </w:r>
      <w:r w:rsidRPr="00F505FD">
        <w:rPr>
          <w:rFonts w:cs="Arial" w:hint="cs"/>
          <w:sz w:val="18"/>
          <w:szCs w:val="18"/>
          <w:rtl/>
        </w:rPr>
        <w:t>או</w:t>
      </w:r>
      <w:r w:rsidRPr="00F505FD">
        <w:rPr>
          <w:rFonts w:cs="Arial"/>
          <w:sz w:val="18"/>
          <w:szCs w:val="18"/>
          <w:rtl/>
        </w:rPr>
        <w:t xml:space="preserve"> </w:t>
      </w:r>
      <w:r w:rsidRPr="00F505FD">
        <w:rPr>
          <w:rFonts w:cs="Arial" w:hint="cs"/>
          <w:sz w:val="18"/>
          <w:szCs w:val="18"/>
          <w:rtl/>
        </w:rPr>
        <w:t>לוי</w:t>
      </w:r>
      <w:r w:rsidRPr="00F505FD">
        <w:rPr>
          <w:rFonts w:cs="Arial"/>
          <w:sz w:val="18"/>
          <w:szCs w:val="18"/>
          <w:rtl/>
        </w:rPr>
        <w:t xml:space="preserve">, </w:t>
      </w:r>
      <w:r w:rsidRPr="00F505FD">
        <w:rPr>
          <w:rFonts w:cs="Arial" w:hint="cs"/>
          <w:sz w:val="18"/>
          <w:szCs w:val="18"/>
          <w:rtl/>
        </w:rPr>
        <w:t>יש</w:t>
      </w:r>
      <w:r w:rsidRPr="00F505FD">
        <w:rPr>
          <w:rFonts w:cs="Arial"/>
          <w:sz w:val="18"/>
          <w:szCs w:val="18"/>
          <w:rtl/>
        </w:rPr>
        <w:t xml:space="preserve"> </w:t>
      </w:r>
      <w:r w:rsidRPr="00F505FD">
        <w:rPr>
          <w:rFonts w:cs="Arial" w:hint="cs"/>
          <w:sz w:val="18"/>
          <w:szCs w:val="18"/>
          <w:rtl/>
        </w:rPr>
        <w:t>ליתן</w:t>
      </w:r>
      <w:r w:rsidRPr="00F505FD">
        <w:rPr>
          <w:rFonts w:cs="Arial"/>
          <w:sz w:val="18"/>
          <w:szCs w:val="18"/>
          <w:rtl/>
        </w:rPr>
        <w:t xml:space="preserve"> </w:t>
      </w:r>
      <w:r w:rsidRPr="00F505FD">
        <w:rPr>
          <w:rFonts w:cs="Arial" w:hint="cs"/>
          <w:sz w:val="18"/>
          <w:szCs w:val="18"/>
          <w:rtl/>
        </w:rPr>
        <w:t>ב</w:t>
      </w:r>
      <w:r w:rsidRPr="00F505FD">
        <w:rPr>
          <w:rFonts w:cs="Arial"/>
          <w:sz w:val="18"/>
          <w:szCs w:val="18"/>
          <w:rtl/>
        </w:rPr>
        <w:t xml:space="preserve">' </w:t>
      </w:r>
      <w:r w:rsidRPr="00F505FD">
        <w:rPr>
          <w:rFonts w:cs="Arial" w:hint="cs"/>
          <w:sz w:val="18"/>
          <w:szCs w:val="18"/>
          <w:rtl/>
        </w:rPr>
        <w:t>גיטין</w:t>
      </w:r>
      <w:r w:rsidRPr="00F505FD">
        <w:rPr>
          <w:rFonts w:cs="Arial"/>
          <w:sz w:val="18"/>
          <w:szCs w:val="18"/>
          <w:rtl/>
        </w:rPr>
        <w:t xml:space="preserve"> (</w:t>
      </w:r>
      <w:r w:rsidRPr="00F505FD">
        <w:rPr>
          <w:rFonts w:cs="Arial" w:hint="cs"/>
          <w:sz w:val="18"/>
          <w:szCs w:val="18"/>
          <w:rtl/>
        </w:rPr>
        <w:t>ר</w:t>
      </w:r>
      <w:r w:rsidRPr="00F505FD">
        <w:rPr>
          <w:rFonts w:cs="Arial"/>
          <w:sz w:val="18"/>
          <w:szCs w:val="18"/>
          <w:rtl/>
        </w:rPr>
        <w:t>"</w:t>
      </w:r>
      <w:r w:rsidRPr="00F505FD">
        <w:rPr>
          <w:rFonts w:cs="Arial" w:hint="cs"/>
          <w:sz w:val="18"/>
          <w:szCs w:val="18"/>
          <w:rtl/>
        </w:rPr>
        <w:t>י</w:t>
      </w:r>
      <w:r w:rsidRPr="00F505FD">
        <w:rPr>
          <w:rFonts w:cs="Arial"/>
          <w:sz w:val="18"/>
          <w:szCs w:val="18"/>
          <w:rtl/>
        </w:rPr>
        <w:t xml:space="preserve"> </w:t>
      </w:r>
      <w:r w:rsidRPr="00F505FD">
        <w:rPr>
          <w:rFonts w:cs="Arial" w:hint="cs"/>
          <w:sz w:val="18"/>
          <w:szCs w:val="18"/>
          <w:rtl/>
        </w:rPr>
        <w:t>מינץ</w:t>
      </w:r>
      <w:r w:rsidRPr="00F505FD">
        <w:rPr>
          <w:rFonts w:cs="Arial"/>
          <w:sz w:val="18"/>
          <w:szCs w:val="18"/>
          <w:rtl/>
        </w:rPr>
        <w:t xml:space="preserve">). </w:t>
      </w:r>
      <w:r w:rsidRPr="00F505FD">
        <w:rPr>
          <w:rFonts w:cs="Arial" w:hint="cs"/>
          <w:sz w:val="18"/>
          <w:szCs w:val="18"/>
          <w:rtl/>
        </w:rPr>
        <w:t>אין</w:t>
      </w:r>
      <w:r w:rsidRPr="00F505FD">
        <w:rPr>
          <w:rFonts w:cs="Arial"/>
          <w:sz w:val="18"/>
          <w:szCs w:val="18"/>
          <w:rtl/>
        </w:rPr>
        <w:t xml:space="preserve"> </w:t>
      </w:r>
      <w:r w:rsidRPr="00F505FD">
        <w:rPr>
          <w:rFonts w:cs="Arial" w:hint="cs"/>
          <w:sz w:val="18"/>
          <w:szCs w:val="18"/>
          <w:rtl/>
        </w:rPr>
        <w:t>כותבין</w:t>
      </w:r>
      <w:r w:rsidRPr="00F505FD">
        <w:rPr>
          <w:rFonts w:cs="Arial"/>
          <w:sz w:val="18"/>
          <w:szCs w:val="18"/>
          <w:rtl/>
        </w:rPr>
        <w:t xml:space="preserve"> </w:t>
      </w:r>
      <w:r w:rsidRPr="00F505FD">
        <w:rPr>
          <w:rFonts w:cs="Arial" w:hint="cs"/>
          <w:sz w:val="18"/>
          <w:szCs w:val="18"/>
          <w:rtl/>
        </w:rPr>
        <w:t>בגט</w:t>
      </w:r>
      <w:r w:rsidRPr="00F505FD">
        <w:rPr>
          <w:rFonts w:cs="Arial"/>
          <w:sz w:val="18"/>
          <w:szCs w:val="18"/>
          <w:rtl/>
        </w:rPr>
        <w:t xml:space="preserve">: </w:t>
      </w:r>
      <w:r w:rsidRPr="00F505FD">
        <w:rPr>
          <w:rFonts w:cs="Arial" w:hint="cs"/>
          <w:sz w:val="18"/>
          <w:szCs w:val="18"/>
          <w:rtl/>
        </w:rPr>
        <w:t>פלוני</w:t>
      </w:r>
      <w:r w:rsidRPr="00F505FD">
        <w:rPr>
          <w:rFonts w:cs="Arial"/>
          <w:sz w:val="18"/>
          <w:szCs w:val="18"/>
          <w:rtl/>
        </w:rPr>
        <w:t xml:space="preserve"> </w:t>
      </w:r>
      <w:r w:rsidRPr="00F505FD">
        <w:rPr>
          <w:rFonts w:cs="Arial" w:hint="cs"/>
          <w:sz w:val="18"/>
          <w:szCs w:val="18"/>
          <w:rtl/>
        </w:rPr>
        <w:t>בר</w:t>
      </w:r>
      <w:r>
        <w:rPr>
          <w:rStyle w:val="a7"/>
          <w:rFonts w:cs="Arial"/>
          <w:sz w:val="18"/>
          <w:szCs w:val="18"/>
          <w:rtl/>
        </w:rPr>
        <w:footnoteReference w:id="1084"/>
      </w:r>
      <w:r w:rsidRPr="00F505FD">
        <w:rPr>
          <w:rFonts w:cs="Arial"/>
          <w:sz w:val="18"/>
          <w:szCs w:val="18"/>
          <w:rtl/>
        </w:rPr>
        <w:t xml:space="preserve"> </w:t>
      </w:r>
      <w:r w:rsidRPr="00F505FD">
        <w:rPr>
          <w:rFonts w:cs="Arial" w:hint="cs"/>
          <w:sz w:val="18"/>
          <w:szCs w:val="18"/>
          <w:rtl/>
        </w:rPr>
        <w:t>פלוני</w:t>
      </w:r>
      <w:r w:rsidRPr="00F505FD">
        <w:rPr>
          <w:rFonts w:cs="Arial"/>
          <w:sz w:val="18"/>
          <w:szCs w:val="18"/>
          <w:rtl/>
        </w:rPr>
        <w:t xml:space="preserve">, </w:t>
      </w:r>
      <w:r w:rsidRPr="00F505FD">
        <w:rPr>
          <w:rFonts w:cs="Arial" w:hint="cs"/>
          <w:sz w:val="18"/>
          <w:szCs w:val="18"/>
          <w:rtl/>
        </w:rPr>
        <w:t>אלא</w:t>
      </w:r>
      <w:r w:rsidRPr="00F505FD">
        <w:rPr>
          <w:rFonts w:cs="Arial"/>
          <w:sz w:val="18"/>
          <w:szCs w:val="18"/>
          <w:rtl/>
        </w:rPr>
        <w:t xml:space="preserve"> </w:t>
      </w:r>
      <w:r w:rsidRPr="00F505FD">
        <w:rPr>
          <w:rFonts w:cs="Arial" w:hint="cs"/>
          <w:sz w:val="18"/>
          <w:szCs w:val="18"/>
          <w:rtl/>
        </w:rPr>
        <w:t>כותבין</w:t>
      </w:r>
      <w:r w:rsidRPr="00F505FD">
        <w:rPr>
          <w:rFonts w:cs="Arial"/>
          <w:sz w:val="18"/>
          <w:szCs w:val="18"/>
          <w:rtl/>
        </w:rPr>
        <w:t xml:space="preserve">: </w:t>
      </w:r>
      <w:r w:rsidRPr="00F505FD">
        <w:rPr>
          <w:rFonts w:cs="Arial" w:hint="cs"/>
          <w:sz w:val="18"/>
          <w:szCs w:val="18"/>
          <w:rtl/>
        </w:rPr>
        <w:t>פלוני</w:t>
      </w:r>
      <w:r w:rsidRPr="00F505FD">
        <w:rPr>
          <w:rFonts w:cs="Arial"/>
          <w:sz w:val="18"/>
          <w:szCs w:val="18"/>
          <w:rtl/>
        </w:rPr>
        <w:t xml:space="preserve"> </w:t>
      </w:r>
      <w:r w:rsidRPr="00F505FD">
        <w:rPr>
          <w:rFonts w:cs="Arial" w:hint="cs"/>
          <w:sz w:val="18"/>
          <w:szCs w:val="18"/>
          <w:rtl/>
        </w:rPr>
        <w:t>בן</w:t>
      </w:r>
      <w:r w:rsidRPr="00F505FD">
        <w:rPr>
          <w:rFonts w:cs="Arial"/>
          <w:sz w:val="18"/>
          <w:szCs w:val="18"/>
          <w:rtl/>
        </w:rPr>
        <w:t xml:space="preserve"> </w:t>
      </w:r>
      <w:r w:rsidRPr="00F505FD">
        <w:rPr>
          <w:rFonts w:cs="Arial" w:hint="cs"/>
          <w:sz w:val="18"/>
          <w:szCs w:val="18"/>
          <w:rtl/>
        </w:rPr>
        <w:t>פלוני</w:t>
      </w:r>
      <w:r w:rsidRPr="00F505FD">
        <w:rPr>
          <w:rFonts w:cs="Arial"/>
          <w:sz w:val="18"/>
          <w:szCs w:val="18"/>
          <w:rtl/>
        </w:rPr>
        <w:t xml:space="preserve"> (</w:t>
      </w:r>
      <w:r w:rsidRPr="00F505FD">
        <w:rPr>
          <w:rFonts w:cs="Arial" w:hint="cs"/>
          <w:sz w:val="18"/>
          <w:szCs w:val="18"/>
          <w:rtl/>
        </w:rPr>
        <w:t>סדר</w:t>
      </w:r>
      <w:r w:rsidRPr="00F505FD">
        <w:rPr>
          <w:rFonts w:cs="Arial"/>
          <w:sz w:val="18"/>
          <w:szCs w:val="18"/>
          <w:rtl/>
        </w:rPr>
        <w:t xml:space="preserve"> </w:t>
      </w:r>
      <w:r w:rsidRPr="00F505FD">
        <w:rPr>
          <w:rFonts w:cs="Arial" w:hint="cs"/>
          <w:sz w:val="18"/>
          <w:szCs w:val="18"/>
          <w:rtl/>
        </w:rPr>
        <w:t>גיטין</w:t>
      </w:r>
      <w:r w:rsidRPr="00F505FD">
        <w:rPr>
          <w:rFonts w:cs="Arial"/>
          <w:sz w:val="18"/>
          <w:szCs w:val="18"/>
          <w:rtl/>
        </w:rPr>
        <w:t>).</w:t>
      </w:r>
      <w:r>
        <w:rPr>
          <w:rFonts w:cs="Arial"/>
          <w:rtl/>
        </w:rPr>
        <w:t xml:space="preserve"> </w:t>
      </w:r>
    </w:p>
    <w:p w14:paraId="634F677D" w14:textId="77777777" w:rsidR="00FA2119" w:rsidRDefault="00FA2119" w:rsidP="00FA2119">
      <w:pPr>
        <w:rPr>
          <w:rtl/>
        </w:rPr>
      </w:pPr>
    </w:p>
    <w:p w14:paraId="78420AD0" w14:textId="77777777" w:rsidR="00FA2119" w:rsidRDefault="00FA2119" w:rsidP="00FA2119">
      <w:pPr>
        <w:pStyle w:val="2"/>
        <w:rPr>
          <w:rtl/>
        </w:rPr>
      </w:pPr>
      <w:r>
        <w:rPr>
          <w:rFonts w:hint="cs"/>
          <w:rtl/>
        </w:rPr>
        <w:t>סעיף</w:t>
      </w:r>
      <w:r>
        <w:rPr>
          <w:rtl/>
        </w:rPr>
        <w:t xml:space="preserve"> </w:t>
      </w:r>
      <w:r>
        <w:rPr>
          <w:rFonts w:hint="cs"/>
          <w:rtl/>
        </w:rPr>
        <w:t>ח: וכל שום דאית לי.</w:t>
      </w:r>
    </w:p>
    <w:p w14:paraId="18A5B6B1" w14:textId="77777777" w:rsidR="00FA2119" w:rsidRDefault="00FA2119" w:rsidP="00FA2119">
      <w:pPr>
        <w:rPr>
          <w:rFonts w:cs="Arial"/>
        </w:rPr>
      </w:pPr>
      <w:r>
        <w:rPr>
          <w:rFonts w:cs="Arial" w:hint="cs"/>
          <w:b/>
          <w:bCs/>
          <w:rtl/>
        </w:rPr>
        <w:t>גיטין</w:t>
      </w:r>
      <w:r>
        <w:rPr>
          <w:rFonts w:cs="Arial"/>
          <w:b/>
          <w:bCs/>
          <w:rtl/>
        </w:rPr>
        <w:t xml:space="preserve"> </w:t>
      </w:r>
      <w:r>
        <w:rPr>
          <w:rFonts w:cs="Arial"/>
          <w:b/>
          <w:bCs/>
          <w:szCs w:val="16"/>
          <w:rtl/>
        </w:rPr>
        <w:t xml:space="preserve">(פ' </w:t>
      </w:r>
      <w:r>
        <w:rPr>
          <w:rFonts w:cs="Arial" w:hint="cs"/>
          <w:b/>
          <w:bCs/>
          <w:szCs w:val="16"/>
          <w:rtl/>
        </w:rPr>
        <w:t>השולח</w:t>
      </w:r>
      <w:r>
        <w:rPr>
          <w:rFonts w:cs="Arial"/>
          <w:b/>
          <w:bCs/>
          <w:szCs w:val="16"/>
          <w:rtl/>
        </w:rPr>
        <w:t xml:space="preserve">) </w:t>
      </w:r>
      <w:r>
        <w:rPr>
          <w:rFonts w:cs="Arial" w:hint="cs"/>
          <w:b/>
          <w:bCs/>
          <w:rtl/>
        </w:rPr>
        <w:t>לד</w:t>
      </w:r>
      <w:r>
        <w:rPr>
          <w:rFonts w:cs="Arial"/>
          <w:b/>
          <w:bCs/>
          <w:rtl/>
        </w:rPr>
        <w:t xml:space="preserve"> ע"</w:t>
      </w:r>
      <w:r>
        <w:rPr>
          <w:rFonts w:cs="Arial" w:hint="cs"/>
          <w:b/>
          <w:bCs/>
          <w:rtl/>
        </w:rPr>
        <w:t>ב</w:t>
      </w:r>
      <w:r>
        <w:rPr>
          <w:rFonts w:cs="Arial"/>
          <w:b/>
          <w:bCs/>
          <w:rtl/>
        </w:rPr>
        <w:t>:</w:t>
      </w:r>
      <w:r>
        <w:rPr>
          <w:rFonts w:cs="Arial" w:hint="cs"/>
          <w:b/>
          <w:bCs/>
          <w:rtl/>
        </w:rPr>
        <w:t xml:space="preserve"> </w:t>
      </w:r>
      <w:r w:rsidRPr="00194EAD">
        <w:rPr>
          <w:rFonts w:cs="Arial"/>
          <w:u w:val="double"/>
          <w:rtl/>
        </w:rPr>
        <w:t>מתני</w:t>
      </w:r>
      <w:r w:rsidRPr="00194EAD">
        <w:rPr>
          <w:rFonts w:cs="Arial" w:hint="cs"/>
          <w:u w:val="double"/>
          <w:rtl/>
        </w:rPr>
        <w:t>'</w:t>
      </w:r>
      <w:r>
        <w:rPr>
          <w:rFonts w:cs="Arial" w:hint="cs"/>
          <w:rtl/>
        </w:rPr>
        <w:t>:</w:t>
      </w:r>
      <w:r>
        <w:rPr>
          <w:rFonts w:cs="Arial"/>
          <w:rtl/>
        </w:rPr>
        <w:t xml:space="preserve"> בראשונה היה משנה שמו ושמה, שם עירו ושם עירה</w:t>
      </w:r>
      <w:r>
        <w:rPr>
          <w:rFonts w:cs="Arial" w:hint="cs"/>
          <w:rtl/>
        </w:rPr>
        <w:t>.</w:t>
      </w:r>
      <w:r>
        <w:rPr>
          <w:rFonts w:cs="Arial"/>
          <w:rtl/>
        </w:rPr>
        <w:t xml:space="preserve"> התקין ר"ג הזקן, שיהא כותב איש פלוני וכל שום שיש לו, אשה פלונית וכל שום שיש לה, מפני תיקון העולם.</w:t>
      </w:r>
    </w:p>
    <w:p w14:paraId="285E51C9" w14:textId="64F42DBC" w:rsidR="00FA2119" w:rsidRPr="004B16C3" w:rsidRDefault="00FA2119" w:rsidP="00FA2119">
      <w:pPr>
        <w:rPr>
          <w:rFonts w:cs="Arial"/>
          <w:u w:val="single"/>
          <w:rtl/>
        </w:rPr>
      </w:pPr>
      <w:r w:rsidRPr="004B16C3">
        <w:rPr>
          <w:rFonts w:cs="Arial" w:hint="cs"/>
          <w:u w:val="single"/>
          <w:rtl/>
        </w:rPr>
        <w:t xml:space="preserve">כיצד </w:t>
      </w:r>
      <w:r>
        <w:rPr>
          <w:rFonts w:cs="Arial" w:hint="cs"/>
          <w:u w:val="single"/>
          <w:rtl/>
        </w:rPr>
        <w:t>כותבים</w:t>
      </w:r>
      <w:r w:rsidRPr="004B16C3">
        <w:rPr>
          <w:rFonts w:cs="Arial" w:hint="cs"/>
          <w:u w:val="single"/>
          <w:rtl/>
        </w:rPr>
        <w:t xml:space="preserve"> בגט </w:t>
      </w:r>
      <w:r w:rsidR="00CF7185">
        <w:rPr>
          <w:rFonts w:cs="Arial" w:hint="cs"/>
          <w:u w:val="single"/>
          <w:rtl/>
        </w:rPr>
        <w:t>את מה</w:t>
      </w:r>
      <w:r w:rsidRPr="004B16C3">
        <w:rPr>
          <w:rFonts w:cs="Arial" w:hint="cs"/>
          <w:u w:val="single"/>
          <w:rtl/>
        </w:rPr>
        <w:t xml:space="preserve"> שהתקין רבן גמליאל לכתוב:</w:t>
      </w:r>
    </w:p>
    <w:p w14:paraId="45744950" w14:textId="1F4D0FDE" w:rsidR="00FA2119" w:rsidRDefault="00FA2119" w:rsidP="00FA2119">
      <w:pPr>
        <w:pStyle w:val="ab"/>
        <w:numPr>
          <w:ilvl w:val="0"/>
          <w:numId w:val="72"/>
        </w:numPr>
        <w:rPr>
          <w:rFonts w:cs="Arial"/>
        </w:rPr>
      </w:pPr>
      <w:r>
        <w:rPr>
          <w:rFonts w:cs="Arial" w:hint="cs"/>
          <w:rtl/>
        </w:rPr>
        <w:t xml:space="preserve">בה"ג </w:t>
      </w:r>
      <w:r>
        <w:rPr>
          <w:rFonts w:cs="Arial" w:hint="cs"/>
          <w:sz w:val="16"/>
          <w:szCs w:val="16"/>
          <w:rtl/>
        </w:rPr>
        <w:t>(סי' לט פא., כ"כ בשמו התוס' לד: ד"ה וכל)</w:t>
      </w:r>
      <w:r>
        <w:rPr>
          <w:rFonts w:cs="Arial" w:hint="cs"/>
          <w:rtl/>
        </w:rPr>
        <w:t xml:space="preserve"> ורמב"ם</w:t>
      </w:r>
      <w:r>
        <w:rPr>
          <w:rStyle w:val="a7"/>
          <w:rFonts w:cs="Arial"/>
          <w:rtl/>
        </w:rPr>
        <w:footnoteReference w:id="1085"/>
      </w:r>
      <w:r>
        <w:rPr>
          <w:rFonts w:cs="Arial" w:hint="cs"/>
          <w:sz w:val="16"/>
          <w:szCs w:val="16"/>
          <w:rtl/>
        </w:rPr>
        <w:t xml:space="preserve"> (פ"ד הי"ב)</w:t>
      </w:r>
      <w:r w:rsidR="00A82951">
        <w:rPr>
          <w:rFonts w:cs="Arial" w:hint="cs"/>
          <w:rtl/>
        </w:rPr>
        <w:t>-</w:t>
      </w:r>
      <w:r>
        <w:rPr>
          <w:rFonts w:cs="Arial" w:hint="cs"/>
          <w:rtl/>
        </w:rPr>
        <w:t xml:space="preserve"> פלוני </w:t>
      </w:r>
      <w:r w:rsidRPr="00A63548">
        <w:rPr>
          <w:rFonts w:cs="Arial"/>
          <w:rtl/>
        </w:rPr>
        <w:t>וכל שום וחניכה דאית לי ולאתראי</w:t>
      </w:r>
      <w:r>
        <w:rPr>
          <w:rStyle w:val="a7"/>
          <w:rFonts w:cs="Arial"/>
          <w:rtl/>
        </w:rPr>
        <w:footnoteReference w:id="1086"/>
      </w:r>
      <w:r>
        <w:rPr>
          <w:rFonts w:cs="Arial" w:hint="cs"/>
          <w:sz w:val="16"/>
          <w:szCs w:val="16"/>
          <w:rtl/>
        </w:rPr>
        <w:t xml:space="preserve"> (ל' התוס' בשם בה"ג)</w:t>
      </w:r>
      <w:r>
        <w:rPr>
          <w:rFonts w:cs="Arial" w:hint="cs"/>
          <w:rtl/>
        </w:rPr>
        <w:t>.</w:t>
      </w:r>
      <w:r w:rsidRPr="00A63548">
        <w:rPr>
          <w:rFonts w:cs="Arial"/>
          <w:rtl/>
        </w:rPr>
        <w:t xml:space="preserve"> </w:t>
      </w:r>
    </w:p>
    <w:p w14:paraId="192D4BDF" w14:textId="77F4679A" w:rsidR="00FA2119" w:rsidRDefault="00FA2119" w:rsidP="00FA2119">
      <w:pPr>
        <w:pStyle w:val="ab"/>
        <w:numPr>
          <w:ilvl w:val="0"/>
          <w:numId w:val="72"/>
        </w:numPr>
        <w:rPr>
          <w:rFonts w:cs="Arial"/>
        </w:rPr>
      </w:pPr>
      <w:r w:rsidRPr="00A63548">
        <w:rPr>
          <w:rFonts w:cs="Arial"/>
          <w:rtl/>
        </w:rPr>
        <w:t>ר"ת</w:t>
      </w:r>
      <w:r>
        <w:rPr>
          <w:rFonts w:cs="Arial" w:hint="cs"/>
          <w:rtl/>
        </w:rPr>
        <w:t xml:space="preserve"> </w:t>
      </w:r>
      <w:r>
        <w:rPr>
          <w:rFonts w:cs="Arial" w:hint="cs"/>
          <w:sz w:val="16"/>
          <w:szCs w:val="16"/>
          <w:rtl/>
        </w:rPr>
        <w:t>(כ"כ בשמו התוס' לד: ד"ה וכל)</w:t>
      </w:r>
      <w:r w:rsidR="00A82951">
        <w:rPr>
          <w:rFonts w:cs="Arial" w:hint="cs"/>
          <w:rtl/>
        </w:rPr>
        <w:t>-</w:t>
      </w:r>
      <w:r w:rsidRPr="00A63548">
        <w:rPr>
          <w:rFonts w:cs="Arial"/>
          <w:rtl/>
        </w:rPr>
        <w:t xml:space="preserve"> </w:t>
      </w:r>
      <w:r>
        <w:rPr>
          <w:rFonts w:cs="Arial" w:hint="cs"/>
          <w:rtl/>
        </w:rPr>
        <w:t>פלוני דמתקרי כך וכך</w:t>
      </w:r>
      <w:r>
        <w:rPr>
          <w:rStyle w:val="a7"/>
          <w:rFonts w:cs="Arial"/>
          <w:rtl/>
        </w:rPr>
        <w:footnoteReference w:id="1087"/>
      </w:r>
      <w:r>
        <w:rPr>
          <w:rFonts w:cs="Arial" w:hint="cs"/>
          <w:rtl/>
        </w:rPr>
        <w:t>.</w:t>
      </w:r>
      <w:r w:rsidRPr="00A63548">
        <w:rPr>
          <w:rFonts w:cs="Arial"/>
          <w:rtl/>
        </w:rPr>
        <w:t xml:space="preserve"> </w:t>
      </w:r>
      <w:r w:rsidRPr="00B81881">
        <w:rPr>
          <w:rFonts w:cs="Arial" w:hint="cs"/>
          <w:color w:val="00B0F0"/>
          <w:rtl/>
        </w:rPr>
        <w:t>(וכ"פ הרמ"א</w:t>
      </w:r>
      <w:r>
        <w:rPr>
          <w:rFonts w:cs="Arial" w:hint="cs"/>
          <w:color w:val="00B0F0"/>
          <w:sz w:val="16"/>
          <w:szCs w:val="16"/>
          <w:rtl/>
        </w:rPr>
        <w:t xml:space="preserve"> </w:t>
      </w:r>
      <w:r w:rsidRPr="00A35420">
        <w:rPr>
          <w:rFonts w:cs="Arial" w:hint="cs"/>
          <w:color w:val="000000" w:themeColor="text1"/>
          <w:sz w:val="16"/>
          <w:szCs w:val="16"/>
          <w:rtl/>
        </w:rPr>
        <w:t>[</w:t>
      </w:r>
      <w:r>
        <w:rPr>
          <w:rFonts w:cs="Arial" w:hint="cs"/>
          <w:color w:val="000000" w:themeColor="text1"/>
          <w:sz w:val="16"/>
          <w:szCs w:val="16"/>
          <w:rtl/>
        </w:rPr>
        <w:t>כאן ובסע' א</w:t>
      </w:r>
      <w:r w:rsidRPr="00A35420">
        <w:rPr>
          <w:rFonts w:cs="Arial" w:hint="cs"/>
          <w:color w:val="000000" w:themeColor="text1"/>
          <w:sz w:val="16"/>
          <w:szCs w:val="16"/>
          <w:rtl/>
        </w:rPr>
        <w:t>]</w:t>
      </w:r>
      <w:r w:rsidRPr="00B81881">
        <w:rPr>
          <w:rFonts w:cs="Arial" w:hint="cs"/>
          <w:color w:val="00B0F0"/>
          <w:rtl/>
        </w:rPr>
        <w:t>)</w:t>
      </w:r>
    </w:p>
    <w:p w14:paraId="79C45A43" w14:textId="0BBD4107" w:rsidR="00FA2119" w:rsidRPr="00C4598A" w:rsidRDefault="00FA2119" w:rsidP="00FA2119">
      <w:pPr>
        <w:pStyle w:val="ab"/>
        <w:numPr>
          <w:ilvl w:val="0"/>
          <w:numId w:val="72"/>
        </w:numPr>
        <w:rPr>
          <w:rFonts w:cs="Arial"/>
        </w:rPr>
      </w:pPr>
      <w:r>
        <w:rPr>
          <w:rFonts w:cs="Arial" w:hint="cs"/>
          <w:rtl/>
        </w:rPr>
        <w:t>ראב"ד</w:t>
      </w:r>
      <w:r>
        <w:rPr>
          <w:rFonts w:cs="Arial" w:hint="cs"/>
          <w:sz w:val="16"/>
          <w:szCs w:val="16"/>
          <w:rtl/>
        </w:rPr>
        <w:t xml:space="preserve"> </w:t>
      </w:r>
      <w:r w:rsidRPr="00C573AE">
        <w:rPr>
          <w:rFonts w:cs="Arial"/>
          <w:sz w:val="16"/>
          <w:szCs w:val="16"/>
          <w:rtl/>
        </w:rPr>
        <w:t>(</w:t>
      </w:r>
      <w:r>
        <w:rPr>
          <w:rFonts w:cs="Arial" w:hint="cs"/>
          <w:sz w:val="16"/>
          <w:szCs w:val="16"/>
          <w:rtl/>
        </w:rPr>
        <w:t>ב</w:t>
      </w:r>
      <w:r w:rsidRPr="00C573AE">
        <w:rPr>
          <w:rFonts w:cs="Arial"/>
          <w:sz w:val="16"/>
          <w:szCs w:val="16"/>
          <w:rtl/>
        </w:rPr>
        <w:t xml:space="preserve">השגות הראב"ד על הרי"ף </w:t>
      </w:r>
      <w:r>
        <w:rPr>
          <w:rFonts w:cs="Arial" w:hint="cs"/>
          <w:sz w:val="16"/>
          <w:szCs w:val="16"/>
          <w:rtl/>
        </w:rPr>
        <w:t>יז., כ"כ הר"ן [יז.] בשמו</w:t>
      </w:r>
      <w:r w:rsidRPr="00C573AE">
        <w:rPr>
          <w:rFonts w:cs="Arial"/>
          <w:sz w:val="16"/>
          <w:szCs w:val="16"/>
          <w:rtl/>
        </w:rPr>
        <w:t>)</w:t>
      </w:r>
      <w:r w:rsidR="00A82951">
        <w:rPr>
          <w:rFonts w:cs="Arial" w:hint="cs"/>
          <w:rtl/>
        </w:rPr>
        <w:t>-</w:t>
      </w:r>
      <w:r>
        <w:rPr>
          <w:rFonts w:cs="Arial" w:hint="cs"/>
          <w:rtl/>
        </w:rPr>
        <w:t xml:space="preserve"> </w:t>
      </w:r>
      <w:r>
        <w:rPr>
          <w:rStyle w:val="a7"/>
          <w:rFonts w:cs="Arial"/>
          <w:rtl/>
        </w:rPr>
        <w:footnoteReference w:id="1088"/>
      </w:r>
      <w:r w:rsidRPr="00C573AE">
        <w:rPr>
          <w:rFonts w:cs="Arial"/>
          <w:rtl/>
        </w:rPr>
        <w:t>פלוני דמתקרי פלוני וכל שום אחרן</w:t>
      </w:r>
      <w:r>
        <w:rPr>
          <w:rFonts w:cs="Arial" w:hint="cs"/>
          <w:rtl/>
        </w:rPr>
        <w:t xml:space="preserve"> וכו'.</w:t>
      </w:r>
      <w:r w:rsidRPr="00C573AE">
        <w:rPr>
          <w:rFonts w:cs="Arial"/>
          <w:rtl/>
        </w:rPr>
        <w:t xml:space="preserve"> </w:t>
      </w:r>
      <w:r w:rsidR="00683AC4">
        <w:rPr>
          <w:rFonts w:cs="Arial" w:hint="cs"/>
          <w:rtl/>
        </w:rPr>
        <w:t>(וכ"כ הב"י)</w:t>
      </w:r>
    </w:p>
    <w:p w14:paraId="7CC7BBA4" w14:textId="32CBBC6C" w:rsidR="00FA2119" w:rsidRPr="00CA710E" w:rsidRDefault="00FA2119" w:rsidP="00FA2119">
      <w:pPr>
        <w:pStyle w:val="ab"/>
        <w:numPr>
          <w:ilvl w:val="0"/>
          <w:numId w:val="72"/>
        </w:numPr>
      </w:pPr>
      <w:r w:rsidRPr="00CA710E">
        <w:rPr>
          <w:rFonts w:cs="Arial"/>
          <w:rtl/>
        </w:rPr>
        <w:t>רא"ש</w:t>
      </w:r>
      <w:r w:rsidRPr="004B16C3">
        <w:rPr>
          <w:rFonts w:cs="Arial"/>
          <w:sz w:val="16"/>
          <w:szCs w:val="16"/>
          <w:rtl/>
        </w:rPr>
        <w:t xml:space="preserve"> (שם)</w:t>
      </w:r>
      <w:r w:rsidR="00A82951">
        <w:rPr>
          <w:rFonts w:cs="Arial" w:hint="cs"/>
          <w:rtl/>
        </w:rPr>
        <w:t>-</w:t>
      </w:r>
      <w:r>
        <w:rPr>
          <w:rFonts w:cs="Arial" w:hint="cs"/>
          <w:rtl/>
        </w:rPr>
        <w:t xml:space="preserve"> </w:t>
      </w:r>
      <w:r w:rsidRPr="00CA710E">
        <w:rPr>
          <w:rFonts w:cs="Arial"/>
          <w:rtl/>
        </w:rPr>
        <w:t>מתניתין מוכח כר</w:t>
      </w:r>
      <w:r>
        <w:rPr>
          <w:rFonts w:cs="Arial" w:hint="cs"/>
          <w:rtl/>
        </w:rPr>
        <w:t>"</w:t>
      </w:r>
      <w:r w:rsidRPr="00CA710E">
        <w:rPr>
          <w:rFonts w:cs="Arial"/>
          <w:rtl/>
        </w:rPr>
        <w:t>ת</w:t>
      </w:r>
      <w:r>
        <w:rPr>
          <w:rFonts w:cs="Arial" w:hint="cs"/>
          <w:rtl/>
        </w:rPr>
        <w:t>,</w:t>
      </w:r>
      <w:r w:rsidRPr="00CA710E">
        <w:rPr>
          <w:rFonts w:cs="Arial"/>
          <w:rtl/>
        </w:rPr>
        <w:t xml:space="preserve"> והעולם נהגו כהלכות גדולות</w:t>
      </w:r>
      <w:r>
        <w:rPr>
          <w:rFonts w:cs="Arial" w:hint="cs"/>
          <w:rtl/>
        </w:rPr>
        <w:t>,</w:t>
      </w:r>
      <w:r w:rsidRPr="00CA710E">
        <w:rPr>
          <w:rFonts w:cs="Arial"/>
          <w:rtl/>
        </w:rPr>
        <w:t xml:space="preserve"> לפי שנהגו הגוים באשכנז שקורין ליהודים בחניכה הקרובים ללשון עברי</w:t>
      </w:r>
      <w:r>
        <w:rPr>
          <w:rFonts w:cs="Arial" w:hint="cs"/>
          <w:rtl/>
        </w:rPr>
        <w:t>,</w:t>
      </w:r>
      <w:r w:rsidRPr="00CA710E">
        <w:rPr>
          <w:rFonts w:cs="Arial"/>
          <w:rtl/>
        </w:rPr>
        <w:t xml:space="preserve"> ואין ראוי לכתוב על אותה חניכה דמתקרי</w:t>
      </w:r>
      <w:r>
        <w:rPr>
          <w:rFonts w:cs="Arial" w:hint="cs"/>
          <w:rtl/>
        </w:rPr>
        <w:t>,</w:t>
      </w:r>
      <w:r w:rsidRPr="00CA710E">
        <w:rPr>
          <w:rFonts w:cs="Arial"/>
          <w:rtl/>
        </w:rPr>
        <w:t xml:space="preserve"> לכך נהגו לכתוב וכל שום וחניכה דאית ליה</w:t>
      </w:r>
      <w:r>
        <w:rPr>
          <w:rFonts w:cs="Arial" w:hint="cs"/>
          <w:rtl/>
        </w:rPr>
        <w:t>,</w:t>
      </w:r>
      <w:r w:rsidRPr="00CA710E">
        <w:rPr>
          <w:rFonts w:cs="Arial"/>
          <w:rtl/>
        </w:rPr>
        <w:t xml:space="preserve"> שמלה זו כוללת הכל</w:t>
      </w:r>
      <w:r>
        <w:rPr>
          <w:rStyle w:val="a7"/>
          <w:rFonts w:cs="Arial"/>
          <w:rtl/>
        </w:rPr>
        <w:footnoteReference w:id="1089"/>
      </w:r>
      <w:r w:rsidRPr="00A35420">
        <w:rPr>
          <w:rFonts w:cs="Arial" w:hint="cs"/>
          <w:rtl/>
        </w:rPr>
        <w:t>.</w:t>
      </w:r>
      <w:r>
        <w:rPr>
          <w:rFonts w:hint="cs"/>
          <w:rtl/>
        </w:rPr>
        <w:t xml:space="preserve"> </w:t>
      </w:r>
      <w:r w:rsidRPr="00A35420">
        <w:rPr>
          <w:rFonts w:hint="cs"/>
          <w:color w:val="E36C0A" w:themeColor="accent6" w:themeShade="BF"/>
          <w:rtl/>
        </w:rPr>
        <w:t>(וכ"פ בשו"ע)</w:t>
      </w:r>
    </w:p>
    <w:p w14:paraId="157673CC" w14:textId="531F124C" w:rsidR="00FA2119" w:rsidRDefault="00FA2119" w:rsidP="00FA2119">
      <w:pPr>
        <w:pStyle w:val="ab"/>
        <w:numPr>
          <w:ilvl w:val="1"/>
          <w:numId w:val="72"/>
        </w:numPr>
        <w:rPr>
          <w:rtl/>
        </w:rPr>
      </w:pPr>
      <w:r>
        <w:rPr>
          <w:rFonts w:cs="Arial" w:hint="cs"/>
          <w:rtl/>
        </w:rPr>
        <w:t>ב"י</w:t>
      </w:r>
      <w:r w:rsidR="00A82951">
        <w:rPr>
          <w:rFonts w:cs="Arial" w:hint="cs"/>
          <w:rtl/>
        </w:rPr>
        <w:t>-</w:t>
      </w:r>
      <w:r>
        <w:rPr>
          <w:rFonts w:cs="Arial" w:hint="cs"/>
          <w:rtl/>
        </w:rPr>
        <w:t xml:space="preserve"> </w:t>
      </w:r>
      <w:r w:rsidRPr="00CA710E">
        <w:rPr>
          <w:rFonts w:cs="Arial"/>
          <w:rtl/>
        </w:rPr>
        <w:t>ומ"מ היכא שיש לו שני שמות טוב לכתוב דמתקרי פלוני וכל שום שיש לו</w:t>
      </w:r>
      <w:r>
        <w:rPr>
          <w:rFonts w:cs="Arial" w:hint="cs"/>
          <w:rtl/>
        </w:rPr>
        <w:t>,</w:t>
      </w:r>
      <w:r w:rsidRPr="00CA710E">
        <w:rPr>
          <w:rFonts w:cs="Arial"/>
          <w:rtl/>
        </w:rPr>
        <w:t xml:space="preserve"> וכדברי הראב"ד</w:t>
      </w:r>
      <w:r>
        <w:rPr>
          <w:rFonts w:cs="Arial" w:hint="cs"/>
          <w:rtl/>
        </w:rPr>
        <w:t>.</w:t>
      </w:r>
      <w:r w:rsidRPr="00CA710E">
        <w:rPr>
          <w:rFonts w:cs="Arial"/>
          <w:rtl/>
        </w:rPr>
        <w:t xml:space="preserve"> וכן נראה ממה שכתב הרשב"א (שם ד"ה גמ') וה</w:t>
      </w:r>
      <w:r>
        <w:rPr>
          <w:rFonts w:cs="Arial" w:hint="cs"/>
          <w:rtl/>
        </w:rPr>
        <w:t>ה"מ</w:t>
      </w:r>
      <w:r w:rsidRPr="00CA710E">
        <w:rPr>
          <w:rFonts w:cs="Arial"/>
          <w:rtl/>
        </w:rPr>
        <w:t xml:space="preserve"> (שם) בשם הרמב"ן (לד: ד"ה מתני') והני ישראל שבחוצה לארץ ששמותיהם בשם ישראל ויש להם שמות אחרים בשם הגוים וכו' וצריך לכתוב אנא פלוני דמתקרי פלוני</w:t>
      </w:r>
      <w:r>
        <w:rPr>
          <w:rStyle w:val="a7"/>
          <w:rFonts w:cs="Arial"/>
          <w:rtl/>
        </w:rPr>
        <w:footnoteReference w:id="1090"/>
      </w:r>
      <w:r>
        <w:rPr>
          <w:rFonts w:cs="Arial" w:hint="cs"/>
          <w:rtl/>
        </w:rPr>
        <w:t>.</w:t>
      </w:r>
      <w:r w:rsidRPr="00CA710E">
        <w:rPr>
          <w:rFonts w:cs="Arial"/>
          <w:rtl/>
        </w:rPr>
        <w:t xml:space="preserve"> וכן כתוב בקונדריסים (סי' י סעי' ב) בשם הר"י</w:t>
      </w:r>
      <w:r>
        <w:rPr>
          <w:rFonts w:cs="Arial" w:hint="cs"/>
          <w:rtl/>
        </w:rPr>
        <w:t>,</w:t>
      </w:r>
      <w:r w:rsidRPr="00CA710E">
        <w:rPr>
          <w:rFonts w:cs="Arial"/>
          <w:rtl/>
        </w:rPr>
        <w:t xml:space="preserve"> והפריז לומר שאין ראוי לגרש בו אם לא כתב השני שמות אע</w:t>
      </w:r>
      <w:r>
        <w:rPr>
          <w:rFonts w:cs="Arial" w:hint="cs"/>
          <w:rtl/>
        </w:rPr>
        <w:t>"</w:t>
      </w:r>
      <w:r w:rsidRPr="00CA710E">
        <w:rPr>
          <w:rFonts w:cs="Arial"/>
          <w:rtl/>
        </w:rPr>
        <w:t>פ שכתב וכל שום</w:t>
      </w:r>
      <w:r>
        <w:rPr>
          <w:rFonts w:cs="Arial" w:hint="cs"/>
          <w:rtl/>
        </w:rPr>
        <w:t>.</w:t>
      </w:r>
    </w:p>
    <w:p w14:paraId="7C451E44"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2A709A6" w14:textId="77777777" w:rsidR="00FA2119" w:rsidRDefault="00FA2119" w:rsidP="00FA2119">
      <w:pPr>
        <w:rPr>
          <w:rtl/>
        </w:rPr>
      </w:pPr>
      <w:r>
        <w:rPr>
          <w:rFonts w:cs="Arial" w:hint="cs"/>
          <w:rtl/>
        </w:rPr>
        <w:lastRenderedPageBreak/>
        <w:t>עכשיו</w:t>
      </w:r>
      <w:r>
        <w:rPr>
          <w:rFonts w:cs="Arial"/>
          <w:rtl/>
        </w:rPr>
        <w:t xml:space="preserve"> </w:t>
      </w:r>
      <w:r>
        <w:rPr>
          <w:rFonts w:cs="Arial" w:hint="cs"/>
          <w:rtl/>
        </w:rPr>
        <w:t>נהגו</w:t>
      </w:r>
      <w:r>
        <w:rPr>
          <w:rFonts w:cs="Arial"/>
          <w:rtl/>
        </w:rPr>
        <w:t xml:space="preserve"> </w:t>
      </w:r>
      <w:r>
        <w:rPr>
          <w:rFonts w:cs="Arial" w:hint="cs"/>
          <w:rtl/>
        </w:rPr>
        <w:t>שבכל</w:t>
      </w:r>
      <w:r>
        <w:rPr>
          <w:rFonts w:cs="Arial"/>
          <w:rtl/>
        </w:rPr>
        <w:t xml:space="preserve"> </w:t>
      </w:r>
      <w:r>
        <w:rPr>
          <w:rFonts w:cs="Arial" w:hint="cs"/>
          <w:rtl/>
        </w:rPr>
        <w:t>הגיטין</w:t>
      </w:r>
      <w:r>
        <w:rPr>
          <w:rFonts w:cs="Arial"/>
          <w:rtl/>
        </w:rPr>
        <w:t xml:space="preserve"> </w:t>
      </w:r>
      <w:r>
        <w:rPr>
          <w:rFonts w:cs="Arial" w:hint="cs"/>
          <w:rtl/>
        </w:rPr>
        <w:t>כותבין</w:t>
      </w:r>
      <w:r>
        <w:rPr>
          <w:rFonts w:cs="Arial"/>
          <w:rtl/>
        </w:rPr>
        <w:t xml:space="preserve">: </w:t>
      </w:r>
      <w:r>
        <w:rPr>
          <w:rFonts w:cs="Arial" w:hint="cs"/>
          <w:rtl/>
        </w:rPr>
        <w:t>וכל</w:t>
      </w:r>
      <w:r>
        <w:rPr>
          <w:rFonts w:cs="Arial"/>
          <w:rtl/>
        </w:rPr>
        <w:t xml:space="preserve"> </w:t>
      </w:r>
      <w:r>
        <w:rPr>
          <w:rFonts w:cs="Arial" w:hint="cs"/>
          <w:rtl/>
        </w:rPr>
        <w:t>שום</w:t>
      </w:r>
      <w:r>
        <w:rPr>
          <w:rFonts w:cs="Arial"/>
          <w:rtl/>
        </w:rPr>
        <w:t xml:space="preserve"> </w:t>
      </w:r>
      <w:r>
        <w:rPr>
          <w:rFonts w:cs="Arial" w:hint="cs"/>
          <w:rtl/>
        </w:rPr>
        <w:t>דאית</w:t>
      </w:r>
      <w:r>
        <w:rPr>
          <w:rFonts w:cs="Arial"/>
          <w:rtl/>
        </w:rPr>
        <w:t xml:space="preserve"> </w:t>
      </w:r>
      <w:r>
        <w:rPr>
          <w:rFonts w:cs="Arial" w:hint="cs"/>
          <w:rtl/>
        </w:rPr>
        <w:t>לי</w:t>
      </w:r>
      <w:r>
        <w:rPr>
          <w:rFonts w:cs="Arial"/>
          <w:rtl/>
        </w:rPr>
        <w:t xml:space="preserve"> </w:t>
      </w:r>
      <w:r>
        <w:rPr>
          <w:rFonts w:cs="Arial" w:hint="cs"/>
          <w:rtl/>
        </w:rPr>
        <w:t>ולאבהתי</w:t>
      </w:r>
      <w:r>
        <w:rPr>
          <w:rFonts w:cs="Arial"/>
          <w:rtl/>
        </w:rPr>
        <w:t xml:space="preserve"> </w:t>
      </w:r>
      <w:r>
        <w:rPr>
          <w:rFonts w:cs="Arial" w:hint="cs"/>
          <w:rtl/>
        </w:rPr>
        <w:t>ולאתרי</w:t>
      </w:r>
      <w:r>
        <w:rPr>
          <w:rFonts w:cs="Arial"/>
          <w:rtl/>
        </w:rPr>
        <w:t xml:space="preserve">. </w:t>
      </w:r>
      <w:r w:rsidRPr="007F7E74">
        <w:rPr>
          <w:rFonts w:cs="Arial" w:hint="cs"/>
          <w:sz w:val="18"/>
          <w:szCs w:val="18"/>
          <w:rtl/>
        </w:rPr>
        <w:t>[הגה] ובמדינות</w:t>
      </w:r>
      <w:r w:rsidRPr="007F7E74">
        <w:rPr>
          <w:rFonts w:cs="Arial"/>
          <w:sz w:val="18"/>
          <w:szCs w:val="18"/>
          <w:rtl/>
        </w:rPr>
        <w:t xml:space="preserve"> </w:t>
      </w:r>
      <w:r w:rsidRPr="007F7E74">
        <w:rPr>
          <w:rFonts w:cs="Arial" w:hint="cs"/>
          <w:sz w:val="18"/>
          <w:szCs w:val="18"/>
          <w:rtl/>
        </w:rPr>
        <w:t>אלו</w:t>
      </w:r>
      <w:r w:rsidRPr="007F7E74">
        <w:rPr>
          <w:rFonts w:cs="Arial"/>
          <w:sz w:val="18"/>
          <w:szCs w:val="18"/>
          <w:rtl/>
        </w:rPr>
        <w:t xml:space="preserve"> </w:t>
      </w:r>
      <w:r w:rsidRPr="007F7E74">
        <w:rPr>
          <w:rFonts w:cs="Arial" w:hint="cs"/>
          <w:sz w:val="18"/>
          <w:szCs w:val="18"/>
          <w:rtl/>
        </w:rPr>
        <w:t>אין</w:t>
      </w:r>
      <w:r w:rsidRPr="007F7E74">
        <w:rPr>
          <w:rFonts w:cs="Arial"/>
          <w:sz w:val="18"/>
          <w:szCs w:val="18"/>
          <w:rtl/>
        </w:rPr>
        <w:t xml:space="preserve"> </w:t>
      </w:r>
      <w:r w:rsidRPr="007F7E74">
        <w:rPr>
          <w:rFonts w:cs="Arial" w:hint="cs"/>
          <w:sz w:val="18"/>
          <w:szCs w:val="18"/>
          <w:rtl/>
        </w:rPr>
        <w:t>נוהגין</w:t>
      </w:r>
      <w:r w:rsidRPr="007F7E74">
        <w:rPr>
          <w:rFonts w:cs="Arial"/>
          <w:sz w:val="18"/>
          <w:szCs w:val="18"/>
          <w:rtl/>
        </w:rPr>
        <w:t xml:space="preserve">, </w:t>
      </w:r>
      <w:r w:rsidRPr="007F7E74">
        <w:rPr>
          <w:rFonts w:cs="Arial" w:hint="cs"/>
          <w:sz w:val="18"/>
          <w:szCs w:val="18"/>
          <w:rtl/>
        </w:rPr>
        <w:t>אלא</w:t>
      </w:r>
      <w:r w:rsidRPr="007F7E74">
        <w:rPr>
          <w:rFonts w:cs="Arial"/>
          <w:sz w:val="18"/>
          <w:szCs w:val="18"/>
          <w:rtl/>
        </w:rPr>
        <w:t xml:space="preserve"> </w:t>
      </w:r>
      <w:r w:rsidRPr="007F7E74">
        <w:rPr>
          <w:rFonts w:cs="Arial" w:hint="cs"/>
          <w:sz w:val="18"/>
          <w:szCs w:val="18"/>
          <w:rtl/>
        </w:rPr>
        <w:t>אם</w:t>
      </w:r>
      <w:r w:rsidRPr="007F7E74">
        <w:rPr>
          <w:rFonts w:cs="Arial"/>
          <w:sz w:val="18"/>
          <w:szCs w:val="18"/>
          <w:rtl/>
        </w:rPr>
        <w:t xml:space="preserve"> </w:t>
      </w:r>
      <w:r w:rsidRPr="007F7E74">
        <w:rPr>
          <w:rFonts w:cs="Arial" w:hint="cs"/>
          <w:sz w:val="18"/>
          <w:szCs w:val="18"/>
          <w:rtl/>
        </w:rPr>
        <w:t>יש</w:t>
      </w:r>
      <w:r w:rsidRPr="007F7E74">
        <w:rPr>
          <w:rFonts w:cs="Arial"/>
          <w:sz w:val="18"/>
          <w:szCs w:val="18"/>
          <w:rtl/>
        </w:rPr>
        <w:t xml:space="preserve"> </w:t>
      </w:r>
      <w:r w:rsidRPr="007F7E74">
        <w:rPr>
          <w:rFonts w:cs="Arial" w:hint="cs"/>
          <w:sz w:val="18"/>
          <w:szCs w:val="18"/>
          <w:rtl/>
        </w:rPr>
        <w:t>לו</w:t>
      </w:r>
      <w:r w:rsidRPr="007F7E74">
        <w:rPr>
          <w:rFonts w:cs="Arial"/>
          <w:sz w:val="18"/>
          <w:szCs w:val="18"/>
          <w:rtl/>
        </w:rPr>
        <w:t xml:space="preserve"> </w:t>
      </w:r>
      <w:r w:rsidRPr="007F7E74">
        <w:rPr>
          <w:rFonts w:cs="Arial" w:hint="cs"/>
          <w:sz w:val="18"/>
          <w:szCs w:val="18"/>
          <w:rtl/>
        </w:rPr>
        <w:t>שתי</w:t>
      </w:r>
      <w:r w:rsidRPr="007F7E74">
        <w:rPr>
          <w:rFonts w:cs="Arial"/>
          <w:sz w:val="18"/>
          <w:szCs w:val="18"/>
          <w:rtl/>
        </w:rPr>
        <w:t xml:space="preserve"> </w:t>
      </w:r>
      <w:r w:rsidRPr="007F7E74">
        <w:rPr>
          <w:rFonts w:cs="Arial" w:hint="cs"/>
          <w:sz w:val="18"/>
          <w:szCs w:val="18"/>
          <w:rtl/>
        </w:rPr>
        <w:t>שמות</w:t>
      </w:r>
      <w:r w:rsidRPr="007F7E74">
        <w:rPr>
          <w:rFonts w:cs="Arial"/>
          <w:sz w:val="18"/>
          <w:szCs w:val="18"/>
          <w:rtl/>
        </w:rPr>
        <w:t xml:space="preserve"> </w:t>
      </w:r>
      <w:r w:rsidRPr="007F7E74">
        <w:rPr>
          <w:rFonts w:cs="Arial" w:hint="cs"/>
          <w:sz w:val="18"/>
          <w:szCs w:val="18"/>
          <w:rtl/>
        </w:rPr>
        <w:t>כותבין</w:t>
      </w:r>
      <w:r w:rsidRPr="007F7E74">
        <w:rPr>
          <w:rFonts w:cs="Arial"/>
          <w:sz w:val="18"/>
          <w:szCs w:val="18"/>
          <w:rtl/>
        </w:rPr>
        <w:t xml:space="preserve"> </w:t>
      </w:r>
      <w:r w:rsidRPr="007F7E74">
        <w:rPr>
          <w:rFonts w:cs="Arial" w:hint="cs"/>
          <w:sz w:val="18"/>
          <w:szCs w:val="18"/>
          <w:rtl/>
        </w:rPr>
        <w:t>בפירוש</w:t>
      </w:r>
      <w:r w:rsidRPr="007F7E74">
        <w:rPr>
          <w:rFonts w:cs="Arial"/>
          <w:sz w:val="18"/>
          <w:szCs w:val="18"/>
          <w:rtl/>
        </w:rPr>
        <w:t xml:space="preserve">, </w:t>
      </w:r>
      <w:r w:rsidRPr="007F7E74">
        <w:rPr>
          <w:rFonts w:cs="Arial" w:hint="cs"/>
          <w:sz w:val="18"/>
          <w:szCs w:val="18"/>
          <w:rtl/>
        </w:rPr>
        <w:t>כמו</w:t>
      </w:r>
      <w:r w:rsidRPr="007F7E74">
        <w:rPr>
          <w:rFonts w:cs="Arial"/>
          <w:sz w:val="18"/>
          <w:szCs w:val="18"/>
          <w:rtl/>
        </w:rPr>
        <w:t xml:space="preserve"> </w:t>
      </w:r>
      <w:r w:rsidRPr="007F7E74">
        <w:rPr>
          <w:rFonts w:cs="Arial" w:hint="cs"/>
          <w:sz w:val="18"/>
          <w:szCs w:val="18"/>
          <w:rtl/>
        </w:rPr>
        <w:t>שנתבאר</w:t>
      </w:r>
      <w:r w:rsidRPr="007F7E74">
        <w:rPr>
          <w:rFonts w:cs="Arial"/>
          <w:sz w:val="18"/>
          <w:szCs w:val="18"/>
          <w:rtl/>
        </w:rPr>
        <w:t>.</w:t>
      </w:r>
      <w:r>
        <w:rPr>
          <w:rFonts w:cs="Arial"/>
          <w:rtl/>
        </w:rPr>
        <w:t xml:space="preserve"> </w:t>
      </w:r>
    </w:p>
    <w:p w14:paraId="5D29CAFE" w14:textId="77777777" w:rsidR="00FA2119" w:rsidRDefault="00FA2119" w:rsidP="00FA2119">
      <w:pPr>
        <w:rPr>
          <w:rtl/>
        </w:rPr>
      </w:pPr>
    </w:p>
    <w:p w14:paraId="275D5A21" w14:textId="77777777" w:rsidR="00FA2119" w:rsidRPr="00213A14" w:rsidRDefault="00FA2119" w:rsidP="00FA2119">
      <w:pPr>
        <w:pStyle w:val="2"/>
        <w:rPr>
          <w:rtl/>
        </w:rPr>
      </w:pPr>
      <w:r>
        <w:rPr>
          <w:rFonts w:hint="cs"/>
          <w:rtl/>
        </w:rPr>
        <w:t>סעיף</w:t>
      </w:r>
      <w:r>
        <w:rPr>
          <w:rtl/>
        </w:rPr>
        <w:t xml:space="preserve"> </w:t>
      </w:r>
      <w:r>
        <w:rPr>
          <w:rFonts w:hint="cs"/>
          <w:rtl/>
        </w:rPr>
        <w:t>ט: גט שלא הוזכר בו שם אבי הבעל/האשה.</w:t>
      </w:r>
    </w:p>
    <w:p w14:paraId="43576507" w14:textId="77777777" w:rsidR="00FA2119" w:rsidRPr="00213A14" w:rsidRDefault="00FA2119" w:rsidP="00FA2119">
      <w:pPr>
        <w:rPr>
          <w:u w:val="single"/>
          <w:rtl/>
        </w:rPr>
      </w:pPr>
      <w:r w:rsidRPr="00213A14">
        <w:rPr>
          <w:rFonts w:hint="cs"/>
          <w:u w:val="single"/>
          <w:rtl/>
        </w:rPr>
        <w:t xml:space="preserve">גט שלא הוזכר </w:t>
      </w:r>
      <w:r>
        <w:rPr>
          <w:rFonts w:hint="cs"/>
          <w:u w:val="single"/>
          <w:rtl/>
        </w:rPr>
        <w:t xml:space="preserve">בו </w:t>
      </w:r>
      <w:r w:rsidRPr="00213A14">
        <w:rPr>
          <w:rFonts w:hint="cs"/>
          <w:u w:val="single"/>
          <w:rtl/>
        </w:rPr>
        <w:t>שם אבי הבעל/האשה:</w:t>
      </w:r>
    </w:p>
    <w:p w14:paraId="0ACB8A7F" w14:textId="3DB11476" w:rsidR="00FA2119" w:rsidRDefault="00FA2119" w:rsidP="00FA2119">
      <w:pPr>
        <w:pStyle w:val="ab"/>
        <w:numPr>
          <w:ilvl w:val="0"/>
          <w:numId w:val="69"/>
        </w:numPr>
      </w:pPr>
      <w:r>
        <w:rPr>
          <w:rFonts w:cs="Arial" w:hint="cs"/>
          <w:rtl/>
        </w:rPr>
        <w:t xml:space="preserve">רשב"א </w:t>
      </w:r>
      <w:r>
        <w:rPr>
          <w:rFonts w:cs="Arial" w:hint="cs"/>
          <w:sz w:val="16"/>
          <w:szCs w:val="16"/>
          <w:rtl/>
        </w:rPr>
        <w:t>(ח"א סי' אלף קעו</w:t>
      </w:r>
      <w:r>
        <w:rPr>
          <w:rStyle w:val="a7"/>
          <w:rFonts w:cs="Arial"/>
          <w:sz w:val="16"/>
          <w:szCs w:val="16"/>
          <w:rtl/>
        </w:rPr>
        <w:footnoteReference w:id="1091"/>
      </w:r>
      <w:r>
        <w:rPr>
          <w:rFonts w:cs="Arial" w:hint="cs"/>
          <w:sz w:val="16"/>
          <w:szCs w:val="16"/>
          <w:rtl/>
        </w:rPr>
        <w:t>, ח"ב סי' טז)</w:t>
      </w:r>
      <w:r>
        <w:rPr>
          <w:rFonts w:cs="Arial" w:hint="cs"/>
          <w:rtl/>
        </w:rPr>
        <w:t xml:space="preserve"> רא"ש </w:t>
      </w:r>
      <w:r>
        <w:rPr>
          <w:rFonts w:cs="Arial" w:hint="cs"/>
          <w:sz w:val="16"/>
          <w:szCs w:val="16"/>
          <w:rtl/>
        </w:rPr>
        <w:t>(כלל מה סי' כה וסי' כז)</w:t>
      </w:r>
      <w:r>
        <w:rPr>
          <w:rFonts w:cs="Arial" w:hint="cs"/>
          <w:rtl/>
        </w:rPr>
        <w:t xml:space="preserve"> וטור</w:t>
      </w:r>
      <w:r w:rsidR="00A82951">
        <w:rPr>
          <w:rFonts w:cs="Arial" w:hint="cs"/>
          <w:rtl/>
        </w:rPr>
        <w:t>-</w:t>
      </w:r>
      <w:r>
        <w:rPr>
          <w:rFonts w:cs="Arial" w:hint="cs"/>
          <w:rtl/>
        </w:rPr>
        <w:t xml:space="preserve"> </w:t>
      </w:r>
      <w:r w:rsidRPr="00390632">
        <w:rPr>
          <w:rFonts w:cs="Arial"/>
          <w:rtl/>
        </w:rPr>
        <w:t xml:space="preserve">אם לא הזכיר שם אבי האשה אלא כינויו או אפילו לא הזכירו כלל </w:t>
      </w:r>
      <w:r w:rsidR="00A82951">
        <w:rPr>
          <w:rFonts w:cs="Arial" w:hint="cs"/>
          <w:rtl/>
        </w:rPr>
        <w:t>-</w:t>
      </w:r>
      <w:r>
        <w:rPr>
          <w:rFonts w:cs="Arial" w:hint="cs"/>
          <w:rtl/>
        </w:rPr>
        <w:t xml:space="preserve"> </w:t>
      </w:r>
      <w:r w:rsidRPr="00390632">
        <w:rPr>
          <w:rFonts w:cs="Arial"/>
          <w:rtl/>
        </w:rPr>
        <w:t>הוא כשר</w:t>
      </w:r>
      <w:r>
        <w:rPr>
          <w:rStyle w:val="a7"/>
          <w:rFonts w:cs="Arial"/>
          <w:rtl/>
        </w:rPr>
        <w:footnoteReference w:id="1092"/>
      </w:r>
      <w:r>
        <w:rPr>
          <w:rFonts w:cs="Arial" w:hint="cs"/>
          <w:sz w:val="16"/>
          <w:szCs w:val="16"/>
          <w:rtl/>
        </w:rPr>
        <w:t xml:space="preserve"> (ל' הטור בשמו)</w:t>
      </w:r>
      <w:r w:rsidRPr="004F590B">
        <w:rPr>
          <w:rFonts w:cs="Arial" w:hint="cs"/>
          <w:rtl/>
        </w:rPr>
        <w:t>.</w:t>
      </w:r>
      <w:r w:rsidRPr="004F590B">
        <w:rPr>
          <w:rFonts w:cs="Arial"/>
          <w:rtl/>
        </w:rPr>
        <w:t xml:space="preserve"> </w:t>
      </w:r>
      <w:r w:rsidRPr="002D1848">
        <w:rPr>
          <w:rFonts w:cs="Arial" w:hint="cs"/>
          <w:color w:val="E36C0A" w:themeColor="accent6" w:themeShade="BF"/>
          <w:rtl/>
        </w:rPr>
        <w:t>(וכ"פ בשו"ע</w:t>
      </w:r>
      <w:r>
        <w:rPr>
          <w:rFonts w:cs="Arial" w:hint="cs"/>
          <w:color w:val="E36C0A" w:themeColor="accent6" w:themeShade="BF"/>
          <w:rtl/>
        </w:rPr>
        <w:t>)</w:t>
      </w:r>
      <w:r>
        <w:rPr>
          <w:rFonts w:cs="Arial" w:hint="cs"/>
          <w:color w:val="E36C0A" w:themeColor="accent6" w:themeShade="BF"/>
          <w:sz w:val="16"/>
          <w:szCs w:val="16"/>
          <w:rtl/>
        </w:rPr>
        <w:t xml:space="preserve"> </w:t>
      </w:r>
      <w:r w:rsidRPr="00B80290">
        <w:rPr>
          <w:rFonts w:hint="cs"/>
          <w:color w:val="00B0F0"/>
          <w:rtl/>
        </w:rPr>
        <w:t>(וכ"פ הרמ"א)</w:t>
      </w:r>
    </w:p>
    <w:p w14:paraId="00EA1ED4" w14:textId="77777777" w:rsidR="00FA2119" w:rsidRPr="00B80290" w:rsidRDefault="00FA2119" w:rsidP="00FA2119">
      <w:pPr>
        <w:rPr>
          <w:u w:val="single"/>
        </w:rPr>
      </w:pPr>
      <w:r w:rsidRPr="00B80290">
        <w:rPr>
          <w:rFonts w:hint="cs"/>
          <w:u w:val="single"/>
          <w:rtl/>
        </w:rPr>
        <w:t>האם צריך להזכיר את הכינוי של אבי הבעל/האשה:</w:t>
      </w:r>
    </w:p>
    <w:p w14:paraId="30AD5640" w14:textId="39593D18" w:rsidR="00F82B05" w:rsidRPr="00F82B05" w:rsidRDefault="00FA2119" w:rsidP="00F82B05">
      <w:pPr>
        <w:pStyle w:val="ab"/>
        <w:numPr>
          <w:ilvl w:val="0"/>
          <w:numId w:val="55"/>
        </w:numPr>
      </w:pPr>
      <w:r w:rsidRPr="00D43A48">
        <w:rPr>
          <w:rFonts w:cs="Arial"/>
          <w:rtl/>
        </w:rPr>
        <w:t xml:space="preserve">סדר גיטין </w:t>
      </w:r>
      <w:r w:rsidRPr="00B80290">
        <w:rPr>
          <w:rFonts w:cs="Arial"/>
          <w:sz w:val="16"/>
          <w:szCs w:val="16"/>
          <w:rtl/>
        </w:rPr>
        <w:t>(סי' מ הגהה א</w:t>
      </w:r>
      <w:r>
        <w:rPr>
          <w:rFonts w:cs="Arial" w:hint="cs"/>
          <w:sz w:val="16"/>
          <w:szCs w:val="16"/>
          <w:rtl/>
        </w:rPr>
        <w:t>, כ"כ בשמו הדרכ"מ [אות י]</w:t>
      </w:r>
      <w:r w:rsidRPr="00B80290">
        <w:rPr>
          <w:rFonts w:cs="Arial"/>
          <w:sz w:val="16"/>
          <w:szCs w:val="16"/>
          <w:rtl/>
        </w:rPr>
        <w:t>)</w:t>
      </w:r>
      <w:r w:rsidR="00A82951">
        <w:rPr>
          <w:rFonts w:cs="Arial" w:hint="cs"/>
          <w:rtl/>
        </w:rPr>
        <w:t>-</w:t>
      </w:r>
      <w:r>
        <w:rPr>
          <w:rFonts w:cs="Arial" w:hint="cs"/>
          <w:rtl/>
        </w:rPr>
        <w:t xml:space="preserve"> </w:t>
      </w:r>
      <w:r w:rsidRPr="00D43A48">
        <w:rPr>
          <w:rFonts w:cs="Arial"/>
          <w:rtl/>
        </w:rPr>
        <w:t>לכתחלה נוהגין להזכיר אף שם אביו ואפילו כינויו</w:t>
      </w:r>
      <w:r>
        <w:rPr>
          <w:rFonts w:cs="Arial" w:hint="cs"/>
          <w:rtl/>
        </w:rPr>
        <w:t>.</w:t>
      </w:r>
      <w:r w:rsidRPr="00B2428D">
        <w:rPr>
          <w:rFonts w:hint="cs"/>
          <w:color w:val="00B0F0"/>
          <w:rtl/>
        </w:rPr>
        <w:t xml:space="preserve"> </w:t>
      </w:r>
      <w:r w:rsidRPr="00B80290">
        <w:rPr>
          <w:rFonts w:hint="cs"/>
          <w:color w:val="00B0F0"/>
          <w:rtl/>
        </w:rPr>
        <w:t>(וכ"פ הרמ"א)</w:t>
      </w:r>
    </w:p>
    <w:p w14:paraId="7193B8E9" w14:textId="27649453" w:rsidR="00F82B05" w:rsidRPr="00A94CEA" w:rsidRDefault="00F82B05" w:rsidP="00F82B05">
      <w:pPr>
        <w:pStyle w:val="ab"/>
        <w:numPr>
          <w:ilvl w:val="0"/>
          <w:numId w:val="55"/>
        </w:numPr>
      </w:pPr>
      <w:r>
        <w:rPr>
          <w:rFonts w:cs="Arial" w:hint="cs"/>
          <w:rtl/>
        </w:rPr>
        <w:t>רי"ף</w:t>
      </w:r>
      <w:r>
        <w:rPr>
          <w:rStyle w:val="a7"/>
          <w:rFonts w:cs="Arial"/>
          <w:rtl/>
        </w:rPr>
        <w:footnoteReference w:id="1093"/>
      </w:r>
      <w:r>
        <w:rPr>
          <w:rFonts w:cs="Arial" w:hint="cs"/>
          <w:rtl/>
        </w:rPr>
        <w:t xml:space="preserve"> </w:t>
      </w:r>
      <w:r>
        <w:rPr>
          <w:rFonts w:cs="Arial" w:hint="cs"/>
          <w:sz w:val="16"/>
          <w:szCs w:val="16"/>
          <w:rtl/>
        </w:rPr>
        <w:t>(גיטין מה:)</w:t>
      </w:r>
      <w:r w:rsidRPr="00F82B05">
        <w:rPr>
          <w:rFonts w:cs="Arial"/>
          <w:rtl/>
        </w:rPr>
        <w:t xml:space="preserve"> </w:t>
      </w:r>
      <w:r>
        <w:rPr>
          <w:rFonts w:cs="Arial" w:hint="cs"/>
          <w:rtl/>
        </w:rPr>
        <w:t>ו</w:t>
      </w:r>
      <w:r w:rsidRPr="00F35331">
        <w:rPr>
          <w:rFonts w:cs="Arial"/>
          <w:rtl/>
        </w:rPr>
        <w:t xml:space="preserve">מהרי"ק </w:t>
      </w:r>
      <w:r w:rsidRPr="00F35331">
        <w:rPr>
          <w:rFonts w:cs="Arial" w:hint="cs"/>
          <w:sz w:val="16"/>
          <w:szCs w:val="16"/>
          <w:rtl/>
        </w:rPr>
        <w:t>(</w:t>
      </w:r>
      <w:r w:rsidRPr="00F35331">
        <w:rPr>
          <w:rFonts w:cs="Arial"/>
          <w:sz w:val="16"/>
          <w:szCs w:val="16"/>
          <w:rtl/>
        </w:rPr>
        <w:t>שורש קו</w:t>
      </w:r>
      <w:r w:rsidRPr="00F35331">
        <w:rPr>
          <w:rFonts w:cs="Arial" w:hint="cs"/>
          <w:sz w:val="16"/>
          <w:szCs w:val="16"/>
          <w:rtl/>
        </w:rPr>
        <w:t>)</w:t>
      </w:r>
      <w:r>
        <w:rPr>
          <w:rFonts w:cs="Arial" w:hint="cs"/>
          <w:rtl/>
        </w:rPr>
        <w:t xml:space="preserve">- </w:t>
      </w:r>
      <w:r w:rsidRPr="00F35331">
        <w:rPr>
          <w:rFonts w:cs="Arial"/>
          <w:rtl/>
        </w:rPr>
        <w:t>כינוי אבי הבעל או האשה אין לכתבם כלל בגט</w:t>
      </w:r>
      <w:r>
        <w:rPr>
          <w:rFonts w:cs="Arial" w:hint="cs"/>
          <w:sz w:val="16"/>
          <w:szCs w:val="16"/>
          <w:rtl/>
        </w:rPr>
        <w:t xml:space="preserve"> (ל' מהרי"ק)</w:t>
      </w:r>
      <w:r>
        <w:rPr>
          <w:rFonts w:cs="Arial" w:hint="cs"/>
          <w:rtl/>
        </w:rPr>
        <w:t>.</w:t>
      </w:r>
      <w:r w:rsidRPr="00A94CEA">
        <w:rPr>
          <w:rFonts w:cs="Arial"/>
          <w:rtl/>
        </w:rPr>
        <w:t xml:space="preserve"> </w:t>
      </w:r>
    </w:p>
    <w:p w14:paraId="629938D6" w14:textId="7A5DE36B" w:rsidR="00F82B05" w:rsidRPr="00F82B05" w:rsidRDefault="00F82B05" w:rsidP="00F82B05">
      <w:pPr>
        <w:ind w:left="360"/>
        <w:rPr>
          <w:rFonts w:cs="Arial"/>
          <w:u w:val="dotted"/>
          <w:rtl/>
        </w:rPr>
      </w:pPr>
      <w:r w:rsidRPr="00F82B05">
        <w:rPr>
          <w:rFonts w:hint="cs"/>
          <w:u w:val="dotted"/>
          <w:rtl/>
        </w:rPr>
        <w:t>לסוברים ש</w:t>
      </w:r>
      <w:r>
        <w:rPr>
          <w:rFonts w:hint="cs"/>
          <w:u w:val="dotted"/>
          <w:rtl/>
        </w:rPr>
        <w:t xml:space="preserve">אין </w:t>
      </w:r>
      <w:r w:rsidRPr="00F82B05">
        <w:rPr>
          <w:rFonts w:hint="cs"/>
          <w:u w:val="dotted"/>
          <w:rtl/>
        </w:rPr>
        <w:t xml:space="preserve">צריך להזכיר - </w:t>
      </w:r>
      <w:r>
        <w:rPr>
          <w:rFonts w:hint="cs"/>
          <w:u w:val="dotted"/>
          <w:rtl/>
        </w:rPr>
        <w:t>האם יש לפחות לכתוב עליו "וכל שום וחניכא דאית ליה"</w:t>
      </w:r>
      <w:r w:rsidRPr="00F82B05">
        <w:rPr>
          <w:rFonts w:hint="cs"/>
          <w:u w:val="dotted"/>
          <w:rtl/>
        </w:rPr>
        <w:t xml:space="preserve"> </w:t>
      </w:r>
      <w:r>
        <w:rPr>
          <w:rFonts w:hint="cs"/>
          <w:u w:val="dotted"/>
          <w:rtl/>
        </w:rPr>
        <w:t>וכדו'</w:t>
      </w:r>
      <w:r w:rsidRPr="00F82B05">
        <w:rPr>
          <w:rFonts w:hint="cs"/>
          <w:u w:val="dotted"/>
          <w:rtl/>
        </w:rPr>
        <w:t>:</w:t>
      </w:r>
    </w:p>
    <w:p w14:paraId="35018271" w14:textId="77777777" w:rsidR="00F82B05" w:rsidRPr="00A904E4" w:rsidRDefault="00F82B05" w:rsidP="00F82B05">
      <w:pPr>
        <w:pStyle w:val="ab"/>
        <w:numPr>
          <w:ilvl w:val="0"/>
          <w:numId w:val="55"/>
        </w:numPr>
      </w:pPr>
      <w:r>
        <w:rPr>
          <w:rFonts w:cs="Arial" w:hint="cs"/>
          <w:rtl/>
        </w:rPr>
        <w:t xml:space="preserve">רמב"ם </w:t>
      </w:r>
      <w:r>
        <w:rPr>
          <w:rFonts w:cs="Arial" w:hint="cs"/>
          <w:sz w:val="16"/>
          <w:szCs w:val="16"/>
          <w:rtl/>
        </w:rPr>
        <w:t>(פ"ד הי"ב)</w:t>
      </w:r>
      <w:r w:rsidRPr="00A94CEA">
        <w:rPr>
          <w:rFonts w:cs="Arial" w:hint="cs"/>
          <w:rtl/>
        </w:rPr>
        <w:t xml:space="preserve"> </w:t>
      </w:r>
      <w:r>
        <w:rPr>
          <w:rFonts w:cs="Arial" w:hint="cs"/>
          <w:rtl/>
        </w:rPr>
        <w:t xml:space="preserve">ורי"ו </w:t>
      </w:r>
      <w:r w:rsidRPr="008253B0">
        <w:rPr>
          <w:rFonts w:cs="Arial"/>
          <w:sz w:val="16"/>
          <w:szCs w:val="16"/>
          <w:rtl/>
        </w:rPr>
        <w:t>(נכ"ד ח"ב רו ע"ד)</w:t>
      </w:r>
      <w:r>
        <w:rPr>
          <w:rStyle w:val="a7"/>
          <w:rFonts w:cs="Arial"/>
          <w:rtl/>
        </w:rPr>
        <w:footnoteReference w:id="1094"/>
      </w:r>
      <w:r>
        <w:rPr>
          <w:rFonts w:cs="Arial" w:hint="cs"/>
          <w:rtl/>
        </w:rPr>
        <w:t xml:space="preserve">- </w:t>
      </w:r>
      <w:r w:rsidRPr="00A94CEA">
        <w:rPr>
          <w:rFonts w:cs="Arial"/>
          <w:rtl/>
        </w:rPr>
        <w:t xml:space="preserve">אנא פלוני בר פלוני דממקום פלוני </w:t>
      </w:r>
      <w:r w:rsidRPr="00A904E4">
        <w:rPr>
          <w:rFonts w:cs="Arial"/>
          <w:rtl/>
        </w:rPr>
        <w:t>וכל שום אחרן וחניכה דאית לי ולאבהתי</w:t>
      </w:r>
      <w:r>
        <w:rPr>
          <w:rStyle w:val="a7"/>
          <w:rFonts w:cs="Arial"/>
          <w:rtl/>
        </w:rPr>
        <w:footnoteReference w:id="1095"/>
      </w:r>
      <w:r>
        <w:rPr>
          <w:rFonts w:cs="Arial" w:hint="cs"/>
          <w:sz w:val="16"/>
          <w:szCs w:val="16"/>
          <w:rtl/>
        </w:rPr>
        <w:t xml:space="preserve"> (ל' הרמב"ם)</w:t>
      </w:r>
      <w:r>
        <w:rPr>
          <w:rFonts w:cs="Arial" w:hint="cs"/>
          <w:rtl/>
        </w:rPr>
        <w:t>.</w:t>
      </w:r>
      <w:r w:rsidRPr="002D1848">
        <w:rPr>
          <w:rFonts w:cs="Arial"/>
          <w:rtl/>
        </w:rPr>
        <w:t xml:space="preserve"> </w:t>
      </w:r>
      <w:r w:rsidRPr="002D1848">
        <w:rPr>
          <w:rFonts w:cs="Arial" w:hint="cs"/>
          <w:color w:val="E36C0A" w:themeColor="accent6" w:themeShade="BF"/>
          <w:rtl/>
        </w:rPr>
        <w:t>(וכ"פ בשו"ע</w:t>
      </w:r>
      <w:r>
        <w:rPr>
          <w:rFonts w:cs="Arial" w:hint="cs"/>
          <w:color w:val="E36C0A" w:themeColor="accent6" w:themeShade="BF"/>
          <w:sz w:val="16"/>
          <w:szCs w:val="16"/>
          <w:rtl/>
        </w:rPr>
        <w:t xml:space="preserve"> </w:t>
      </w:r>
      <w:r>
        <w:rPr>
          <w:rFonts w:cs="Arial" w:hint="cs"/>
          <w:color w:val="000000" w:themeColor="text1"/>
          <w:sz w:val="16"/>
          <w:szCs w:val="16"/>
          <w:rtl/>
        </w:rPr>
        <w:t>[בסע' יט, ובסי' קכו סל"א]</w:t>
      </w:r>
      <w:r w:rsidRPr="002D1848">
        <w:rPr>
          <w:rFonts w:cs="Arial" w:hint="cs"/>
          <w:color w:val="E36C0A" w:themeColor="accent6" w:themeShade="BF"/>
          <w:rtl/>
        </w:rPr>
        <w:t>)</w:t>
      </w:r>
    </w:p>
    <w:p w14:paraId="3C55B5B0" w14:textId="6DF9A5EA" w:rsidR="00F82B05" w:rsidRDefault="00F82B05" w:rsidP="00F82B05">
      <w:pPr>
        <w:pStyle w:val="ab"/>
        <w:numPr>
          <w:ilvl w:val="0"/>
          <w:numId w:val="55"/>
        </w:numPr>
      </w:pPr>
      <w:r w:rsidRPr="00D43A48">
        <w:rPr>
          <w:rFonts w:cs="Arial"/>
          <w:rtl/>
        </w:rPr>
        <w:t>מהר</w:t>
      </w:r>
      <w:r>
        <w:rPr>
          <w:rFonts w:cs="Arial" w:hint="cs"/>
          <w:rtl/>
        </w:rPr>
        <w:t>י"ו</w:t>
      </w:r>
      <w:r w:rsidRPr="00D43A48">
        <w:rPr>
          <w:rFonts w:cs="Arial"/>
          <w:rtl/>
        </w:rPr>
        <w:t xml:space="preserve"> </w:t>
      </w:r>
      <w:r w:rsidRPr="00BE3ED5">
        <w:rPr>
          <w:rFonts w:cs="Arial" w:hint="cs"/>
          <w:sz w:val="16"/>
          <w:szCs w:val="16"/>
          <w:rtl/>
        </w:rPr>
        <w:t>(</w:t>
      </w:r>
      <w:r w:rsidRPr="00BE3ED5">
        <w:rPr>
          <w:rFonts w:cs="Arial"/>
          <w:sz w:val="16"/>
          <w:szCs w:val="16"/>
          <w:rtl/>
        </w:rPr>
        <w:t>סי</w:t>
      </w:r>
      <w:r w:rsidRPr="00BE3ED5">
        <w:rPr>
          <w:rFonts w:cs="Arial" w:hint="cs"/>
          <w:sz w:val="16"/>
          <w:szCs w:val="16"/>
          <w:rtl/>
        </w:rPr>
        <w:t>'</w:t>
      </w:r>
      <w:r w:rsidRPr="00BE3ED5">
        <w:rPr>
          <w:rFonts w:cs="Arial"/>
          <w:sz w:val="16"/>
          <w:szCs w:val="16"/>
          <w:rtl/>
        </w:rPr>
        <w:t xml:space="preserve"> כג</w:t>
      </w:r>
      <w:r w:rsidRPr="00BE3ED5">
        <w:rPr>
          <w:rFonts w:cs="Arial" w:hint="cs"/>
          <w:sz w:val="16"/>
          <w:szCs w:val="16"/>
          <w:rtl/>
        </w:rPr>
        <w:t>)</w:t>
      </w:r>
      <w:r>
        <w:rPr>
          <w:rFonts w:cs="Arial" w:hint="cs"/>
          <w:rtl/>
        </w:rPr>
        <w:t xml:space="preserve">- </w:t>
      </w:r>
      <w:r w:rsidRPr="00D43A48">
        <w:rPr>
          <w:rFonts w:cs="Arial"/>
          <w:rtl/>
        </w:rPr>
        <w:t>לכתחלה יש לכתוב הכינוי אף בשם אביו</w:t>
      </w:r>
      <w:r>
        <w:rPr>
          <w:rFonts w:cs="Arial" w:hint="cs"/>
          <w:rtl/>
        </w:rPr>
        <w:t>,</w:t>
      </w:r>
      <w:r w:rsidRPr="00D43A48">
        <w:rPr>
          <w:rFonts w:cs="Arial"/>
          <w:rtl/>
        </w:rPr>
        <w:t xml:space="preserve"> אבל אם כבר ניתן הגט אין צריך ליתן אחר ותנשא לכתחלה</w:t>
      </w:r>
      <w:r>
        <w:rPr>
          <w:rStyle w:val="a7"/>
          <w:rFonts w:cs="Arial"/>
          <w:rtl/>
        </w:rPr>
        <w:footnoteReference w:id="1096"/>
      </w:r>
      <w:r w:rsidRPr="00D43A48">
        <w:rPr>
          <w:rFonts w:cs="Arial"/>
          <w:rtl/>
        </w:rPr>
        <w:t>.</w:t>
      </w:r>
      <w:r>
        <w:rPr>
          <w:rFonts w:hint="cs"/>
          <w:rtl/>
        </w:rPr>
        <w:t xml:space="preserve"> </w:t>
      </w:r>
    </w:p>
    <w:p w14:paraId="20774F56" w14:textId="18605B68" w:rsidR="00FA2119" w:rsidRPr="00DD696F" w:rsidRDefault="00FA2119" w:rsidP="00FA2119">
      <w:pPr>
        <w:pStyle w:val="ab"/>
        <w:numPr>
          <w:ilvl w:val="1"/>
          <w:numId w:val="55"/>
        </w:numPr>
        <w:rPr>
          <w:rFonts w:cs="Arial"/>
          <w:rtl/>
        </w:rPr>
      </w:pPr>
      <w:r w:rsidRPr="00DD696F">
        <w:rPr>
          <w:rFonts w:cs="Arial" w:hint="cs"/>
          <w:rtl/>
        </w:rPr>
        <w:t xml:space="preserve">ב"י </w:t>
      </w:r>
      <w:r w:rsidRPr="00DD696F">
        <w:rPr>
          <w:rFonts w:cs="Arial" w:hint="cs"/>
          <w:sz w:val="16"/>
          <w:szCs w:val="16"/>
          <w:rtl/>
        </w:rPr>
        <w:t>(בדה"ב)</w:t>
      </w:r>
      <w:r w:rsidR="00A82951">
        <w:rPr>
          <w:rFonts w:cs="Arial" w:hint="cs"/>
          <w:rtl/>
        </w:rPr>
        <w:t>-</w:t>
      </w:r>
      <w:r w:rsidRPr="00DD696F">
        <w:rPr>
          <w:rFonts w:cs="Arial" w:hint="cs"/>
          <w:rtl/>
        </w:rPr>
        <w:t xml:space="preserve"> </w:t>
      </w:r>
      <w:r w:rsidRPr="00DD696F">
        <w:rPr>
          <w:rFonts w:cs="Arial"/>
          <w:rtl/>
        </w:rPr>
        <w:t xml:space="preserve">ועכשיו לא נהגו לכתוב בגט לא כהן ולא לוי ולא שום כינוי אלא </w:t>
      </w:r>
      <w:r w:rsidRPr="00DD696F">
        <w:rPr>
          <w:rFonts w:cs="Arial" w:hint="cs"/>
          <w:rtl/>
        </w:rPr>
        <w:t>'</w:t>
      </w:r>
      <w:r w:rsidRPr="00DD696F">
        <w:rPr>
          <w:rFonts w:cs="Arial"/>
          <w:rtl/>
        </w:rPr>
        <w:t>פלוני בן פלוני וכל שום אחרן וחניכא דאית לי ולאבהתי</w:t>
      </w:r>
      <w:r w:rsidRPr="00DD696F">
        <w:rPr>
          <w:rFonts w:cs="Arial" w:hint="cs"/>
          <w:rtl/>
        </w:rPr>
        <w:t>'.</w:t>
      </w:r>
      <w:r>
        <w:rPr>
          <w:rFonts w:cs="Arial" w:hint="cs"/>
          <w:rtl/>
        </w:rPr>
        <w:t xml:space="preserve"> </w:t>
      </w:r>
      <w:r w:rsidRPr="00DD696F">
        <w:rPr>
          <w:rFonts w:cs="Arial" w:hint="cs"/>
          <w:color w:val="E36C0A" w:themeColor="accent6" w:themeShade="BF"/>
          <w:rtl/>
        </w:rPr>
        <w:t>(וכ"פ בשו"ע</w:t>
      </w:r>
      <w:r w:rsidRPr="00DD696F">
        <w:rPr>
          <w:rFonts w:cs="Arial" w:hint="cs"/>
          <w:color w:val="E36C0A" w:themeColor="accent6" w:themeShade="BF"/>
          <w:sz w:val="16"/>
          <w:szCs w:val="16"/>
          <w:rtl/>
        </w:rPr>
        <w:t xml:space="preserve"> </w:t>
      </w:r>
      <w:r>
        <w:rPr>
          <w:rFonts w:cs="Arial" w:hint="cs"/>
          <w:sz w:val="16"/>
          <w:szCs w:val="16"/>
          <w:rtl/>
        </w:rPr>
        <w:t>[סע' יט]</w:t>
      </w:r>
      <w:r w:rsidRPr="00DD696F">
        <w:rPr>
          <w:rFonts w:cs="Arial" w:hint="cs"/>
          <w:color w:val="E36C0A" w:themeColor="accent6" w:themeShade="BF"/>
          <w:rtl/>
        </w:rPr>
        <w:t>)</w:t>
      </w:r>
    </w:p>
    <w:p w14:paraId="1C2B49E8" w14:textId="77777777" w:rsidR="00FA2119" w:rsidRPr="00BE3ED5" w:rsidRDefault="00FA2119" w:rsidP="00FA2119">
      <w:pPr>
        <w:rPr>
          <w:u w:val="single"/>
        </w:rPr>
      </w:pPr>
      <w:r w:rsidRPr="00BE3ED5">
        <w:rPr>
          <w:rFonts w:hint="cs"/>
          <w:u w:val="single"/>
          <w:rtl/>
        </w:rPr>
        <w:t>גט של אסופי/שתוקי:</w:t>
      </w:r>
    </w:p>
    <w:p w14:paraId="43BF1931" w14:textId="62C98F19" w:rsidR="00FA2119" w:rsidRPr="004F590B" w:rsidRDefault="00FA2119" w:rsidP="00FA2119">
      <w:pPr>
        <w:pStyle w:val="ab"/>
        <w:numPr>
          <w:ilvl w:val="0"/>
          <w:numId w:val="55"/>
        </w:numPr>
        <w:rPr>
          <w:rtl/>
        </w:rPr>
      </w:pPr>
      <w:r w:rsidRPr="00D43A48">
        <w:rPr>
          <w:rFonts w:cs="Arial"/>
          <w:rtl/>
        </w:rPr>
        <w:t xml:space="preserve">רשב"א </w:t>
      </w:r>
      <w:r w:rsidRPr="00BE3ED5">
        <w:rPr>
          <w:rFonts w:cs="Arial" w:hint="cs"/>
          <w:sz w:val="16"/>
          <w:szCs w:val="16"/>
          <w:rtl/>
        </w:rPr>
        <w:t>(</w:t>
      </w:r>
      <w:r w:rsidRPr="00BE3ED5">
        <w:rPr>
          <w:rFonts w:cs="Arial"/>
          <w:sz w:val="16"/>
          <w:szCs w:val="16"/>
          <w:rtl/>
        </w:rPr>
        <w:t>ח"ב סי</w:t>
      </w:r>
      <w:r w:rsidRPr="00BE3ED5">
        <w:rPr>
          <w:rFonts w:cs="Arial" w:hint="cs"/>
          <w:sz w:val="16"/>
          <w:szCs w:val="16"/>
          <w:rtl/>
        </w:rPr>
        <w:t>'</w:t>
      </w:r>
      <w:r w:rsidRPr="00BE3ED5">
        <w:rPr>
          <w:rFonts w:cs="Arial"/>
          <w:sz w:val="16"/>
          <w:szCs w:val="16"/>
          <w:rtl/>
        </w:rPr>
        <w:t xml:space="preserve"> </w:t>
      </w:r>
      <w:r>
        <w:rPr>
          <w:rFonts w:cs="Arial" w:hint="cs"/>
          <w:sz w:val="16"/>
          <w:szCs w:val="16"/>
          <w:rtl/>
        </w:rPr>
        <w:t>ט</w:t>
      </w:r>
      <w:r w:rsidRPr="00BE3ED5">
        <w:rPr>
          <w:rFonts w:cs="Arial"/>
          <w:sz w:val="16"/>
          <w:szCs w:val="16"/>
          <w:rtl/>
        </w:rPr>
        <w:t>ז</w:t>
      </w:r>
      <w:r w:rsidRPr="00BE3ED5">
        <w:rPr>
          <w:rFonts w:cs="Arial" w:hint="cs"/>
          <w:sz w:val="16"/>
          <w:szCs w:val="16"/>
          <w:rtl/>
        </w:rPr>
        <w:t>)</w:t>
      </w:r>
      <w:r w:rsidR="00A82951">
        <w:rPr>
          <w:rFonts w:cs="Arial" w:hint="cs"/>
          <w:rtl/>
        </w:rPr>
        <w:t>-</w:t>
      </w:r>
      <w:r>
        <w:rPr>
          <w:rFonts w:cs="Arial" w:hint="cs"/>
          <w:rtl/>
        </w:rPr>
        <w:t xml:space="preserve"> </w:t>
      </w:r>
      <w:r w:rsidRPr="00B97FB4">
        <w:rPr>
          <w:rFonts w:cs="Arial"/>
          <w:rtl/>
        </w:rPr>
        <w:t xml:space="preserve">ואפילו בגט אם לא כתוב בו שם אביו </w:t>
      </w:r>
      <w:r w:rsidR="00A82951">
        <w:rPr>
          <w:rFonts w:cs="Arial" w:hint="cs"/>
          <w:rtl/>
        </w:rPr>
        <w:t>-</w:t>
      </w:r>
      <w:r>
        <w:rPr>
          <w:rFonts w:cs="Arial" w:hint="cs"/>
          <w:rtl/>
        </w:rPr>
        <w:t xml:space="preserve"> </w:t>
      </w:r>
      <w:r w:rsidRPr="00B97FB4">
        <w:rPr>
          <w:rFonts w:cs="Arial"/>
          <w:rtl/>
        </w:rPr>
        <w:t>כשר</w:t>
      </w:r>
      <w:r>
        <w:rPr>
          <w:rStyle w:val="a7"/>
          <w:rFonts w:cs="Arial"/>
          <w:rtl/>
        </w:rPr>
        <w:footnoteReference w:id="1097"/>
      </w:r>
      <w:r w:rsidRPr="00B97FB4">
        <w:rPr>
          <w:rFonts w:cs="Arial"/>
          <w:rtl/>
        </w:rPr>
        <w:t>. וגדולה מזו אמרו ז"ל נכרי שנתגייר וכתב שם של נכרי</w:t>
      </w:r>
      <w:r w:rsidR="00F82B05">
        <w:rPr>
          <w:rFonts w:cs="Arial" w:hint="cs"/>
          <w:rtl/>
        </w:rPr>
        <w:t xml:space="preserve"> -</w:t>
      </w:r>
      <w:r w:rsidRPr="00B97FB4">
        <w:rPr>
          <w:rFonts w:cs="Arial"/>
          <w:rtl/>
        </w:rPr>
        <w:t xml:space="preserve"> כשר</w:t>
      </w:r>
      <w:r w:rsidR="00F82B05">
        <w:rPr>
          <w:rFonts w:cs="Arial" w:hint="cs"/>
          <w:rtl/>
        </w:rPr>
        <w:t>,</w:t>
      </w:r>
      <w:r w:rsidRPr="00B97FB4">
        <w:rPr>
          <w:rFonts w:cs="Arial"/>
          <w:rtl/>
        </w:rPr>
        <w:t xml:space="preserve"> וכ"ש זה. והגע עצמך שהיה גר. מה שם אביו כי תדע, או אם היה שתוקי ואסופי שאינו מכיר את אביו</w:t>
      </w:r>
      <w:r w:rsidR="00F82B05">
        <w:rPr>
          <w:rFonts w:cs="Arial" w:hint="cs"/>
          <w:rtl/>
        </w:rPr>
        <w:t>,</w:t>
      </w:r>
      <w:r w:rsidRPr="00B97FB4">
        <w:rPr>
          <w:rFonts w:cs="Arial"/>
          <w:rtl/>
        </w:rPr>
        <w:t xml:space="preserve"> היאך יכתב בגט או בשטרות וכתובות, וזה פשוט</w:t>
      </w:r>
      <w:r>
        <w:rPr>
          <w:rStyle w:val="a7"/>
          <w:rFonts w:cs="Arial"/>
          <w:rtl/>
        </w:rPr>
        <w:footnoteReference w:id="1098"/>
      </w:r>
      <w:r w:rsidRPr="00D43A48">
        <w:rPr>
          <w:rFonts w:cs="Arial"/>
          <w:rtl/>
        </w:rPr>
        <w:t xml:space="preserve">. </w:t>
      </w:r>
      <w:r w:rsidRPr="00B80290">
        <w:rPr>
          <w:rFonts w:hint="cs"/>
          <w:color w:val="00B0F0"/>
          <w:rtl/>
        </w:rPr>
        <w:t>(וכ"פ הרמ"א)</w:t>
      </w:r>
    </w:p>
    <w:p w14:paraId="15364F12" w14:textId="706F3F4C" w:rsidR="00FA2119" w:rsidRDefault="008D152F" w:rsidP="00FA2119">
      <w:pPr>
        <w:rPr>
          <w:rFonts w:cs="Arial"/>
          <w:rtl/>
        </w:rPr>
      </w:pPr>
      <w:r>
        <w:rPr>
          <w:rFonts w:cs="Arial" w:hint="cs"/>
          <w:u w:val="single"/>
          <w:rtl/>
        </w:rPr>
        <w:t>כינוי המגרש שנכתב לאחר שם האב</w:t>
      </w:r>
      <w:r w:rsidR="00FA2119" w:rsidRPr="00F35331">
        <w:rPr>
          <w:rFonts w:cs="Arial" w:hint="cs"/>
          <w:u w:val="single"/>
          <w:rtl/>
        </w:rPr>
        <w:t>:</w:t>
      </w:r>
    </w:p>
    <w:p w14:paraId="5F8434A9" w14:textId="052367DD" w:rsidR="00FA2119" w:rsidRDefault="00FA2119" w:rsidP="00FA2119">
      <w:pPr>
        <w:pStyle w:val="ab"/>
        <w:numPr>
          <w:ilvl w:val="0"/>
          <w:numId w:val="55"/>
        </w:numPr>
        <w:rPr>
          <w:rFonts w:cs="Arial"/>
        </w:rPr>
      </w:pPr>
      <w:r w:rsidRPr="00F35331">
        <w:rPr>
          <w:rFonts w:cs="Arial"/>
          <w:rtl/>
        </w:rPr>
        <w:t xml:space="preserve">מהר"י מינץ </w:t>
      </w:r>
      <w:r w:rsidRPr="00F35331">
        <w:rPr>
          <w:rFonts w:cs="Arial" w:hint="cs"/>
          <w:sz w:val="16"/>
          <w:szCs w:val="16"/>
          <w:rtl/>
        </w:rPr>
        <w:t>(</w:t>
      </w:r>
      <w:r w:rsidRPr="00F35331">
        <w:rPr>
          <w:rFonts w:cs="Arial"/>
          <w:sz w:val="16"/>
          <w:szCs w:val="16"/>
          <w:rtl/>
        </w:rPr>
        <w:t>סדר הגט סי' כח</w:t>
      </w:r>
      <w:r>
        <w:rPr>
          <w:rFonts w:cs="Arial" w:hint="cs"/>
          <w:sz w:val="16"/>
          <w:szCs w:val="16"/>
          <w:rtl/>
        </w:rPr>
        <w:t>, הביא הב"י כן בשם תשו' אשכנזית</w:t>
      </w:r>
      <w:r w:rsidRPr="00F35331">
        <w:rPr>
          <w:rFonts w:cs="Arial" w:hint="cs"/>
          <w:sz w:val="16"/>
          <w:szCs w:val="16"/>
          <w:rtl/>
        </w:rPr>
        <w:t>)</w:t>
      </w:r>
      <w:r w:rsidRPr="00F35331">
        <w:rPr>
          <w:rFonts w:cs="Arial"/>
          <w:sz w:val="16"/>
          <w:szCs w:val="16"/>
          <w:rtl/>
        </w:rPr>
        <w:t xml:space="preserve"> </w:t>
      </w:r>
      <w:r w:rsidRPr="00F35331">
        <w:rPr>
          <w:rFonts w:cs="Arial" w:hint="cs"/>
          <w:rtl/>
        </w:rPr>
        <w:t>ו</w:t>
      </w:r>
      <w:r w:rsidRPr="00F35331">
        <w:rPr>
          <w:rFonts w:cs="Arial"/>
          <w:rtl/>
        </w:rPr>
        <w:t xml:space="preserve">סדר הגט </w:t>
      </w:r>
      <w:r w:rsidRPr="00F35331">
        <w:rPr>
          <w:rFonts w:cs="Arial"/>
          <w:sz w:val="16"/>
          <w:szCs w:val="16"/>
          <w:rtl/>
        </w:rPr>
        <w:t>(מרגליות סי' כ הגהות אות א)</w:t>
      </w:r>
      <w:r w:rsidR="00A82951">
        <w:rPr>
          <w:rFonts w:cs="Arial" w:hint="cs"/>
          <w:rtl/>
        </w:rPr>
        <w:t>-</w:t>
      </w:r>
      <w:r w:rsidRPr="00F35331">
        <w:rPr>
          <w:rFonts w:cs="Arial"/>
          <w:rtl/>
        </w:rPr>
        <w:t xml:space="preserve"> גט שכתוב בו משולם בן אורי המכונה וייפ"ש</w:t>
      </w:r>
      <w:r>
        <w:rPr>
          <w:rFonts w:cs="Arial" w:hint="cs"/>
          <w:rtl/>
        </w:rPr>
        <w:t>,</w:t>
      </w:r>
      <w:r w:rsidRPr="00F35331">
        <w:rPr>
          <w:rFonts w:cs="Arial"/>
          <w:rtl/>
        </w:rPr>
        <w:t xml:space="preserve"> פסלו מהרי"ל (הלכות גיטין סט:) משום דקאי המכונה על אורי הכתוב גביה</w:t>
      </w:r>
      <w:r w:rsidRPr="00F35331">
        <w:rPr>
          <w:rFonts w:cs="Arial" w:hint="cs"/>
          <w:rtl/>
        </w:rPr>
        <w:t>,</w:t>
      </w:r>
      <w:r w:rsidRPr="00F35331">
        <w:rPr>
          <w:rFonts w:cs="Arial"/>
          <w:rtl/>
        </w:rPr>
        <w:t xml:space="preserve"> אלא כך יש לכתוב משולם המכונה וייבש בר אורי</w:t>
      </w:r>
      <w:r>
        <w:rPr>
          <w:rStyle w:val="a7"/>
          <w:rFonts w:cs="Arial"/>
          <w:rtl/>
        </w:rPr>
        <w:footnoteReference w:id="1099"/>
      </w:r>
      <w:r>
        <w:rPr>
          <w:rFonts w:cs="Arial" w:hint="cs"/>
          <w:sz w:val="16"/>
          <w:szCs w:val="16"/>
          <w:rtl/>
        </w:rPr>
        <w:t xml:space="preserve"> (ל' הב"י בשמם)</w:t>
      </w:r>
      <w:r w:rsidRPr="00F35331">
        <w:rPr>
          <w:rFonts w:cs="Arial" w:hint="cs"/>
          <w:rtl/>
        </w:rPr>
        <w:t>.</w:t>
      </w:r>
      <w:r w:rsidRPr="00F35331">
        <w:rPr>
          <w:rFonts w:cs="Arial"/>
          <w:rtl/>
        </w:rPr>
        <w:t xml:space="preserve"> </w:t>
      </w:r>
    </w:p>
    <w:p w14:paraId="6DE53067"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C7EC6AC" w14:textId="1E52D25C" w:rsidR="00FA2119" w:rsidRDefault="00FA2119" w:rsidP="00FA2119">
      <w:pPr>
        <w:rPr>
          <w:rtl/>
        </w:rPr>
      </w:pPr>
      <w:r>
        <w:rPr>
          <w:rFonts w:cs="Arial" w:hint="cs"/>
          <w:rtl/>
        </w:rPr>
        <w:lastRenderedPageBreak/>
        <w:t>אם</w:t>
      </w:r>
      <w:r>
        <w:rPr>
          <w:rFonts w:cs="Arial"/>
          <w:rtl/>
        </w:rPr>
        <w:t xml:space="preserve"> </w:t>
      </w:r>
      <w:r>
        <w:rPr>
          <w:rFonts w:cs="Arial" w:hint="cs"/>
          <w:rtl/>
        </w:rPr>
        <w:t>לא</w:t>
      </w:r>
      <w:r>
        <w:rPr>
          <w:rFonts w:cs="Arial"/>
          <w:rtl/>
        </w:rPr>
        <w:t xml:space="preserve"> </w:t>
      </w:r>
      <w:r>
        <w:rPr>
          <w:rFonts w:cs="Arial" w:hint="cs"/>
          <w:rtl/>
        </w:rPr>
        <w:t>הזכיר</w:t>
      </w:r>
      <w:r>
        <w:rPr>
          <w:rFonts w:cs="Arial"/>
          <w:rtl/>
        </w:rPr>
        <w:t xml:space="preserve"> </w:t>
      </w:r>
      <w:r>
        <w:rPr>
          <w:rFonts w:cs="Arial" w:hint="cs"/>
          <w:rtl/>
        </w:rPr>
        <w:t>שם</w:t>
      </w:r>
      <w:r>
        <w:rPr>
          <w:rFonts w:cs="Arial"/>
          <w:rtl/>
        </w:rPr>
        <w:t xml:space="preserve"> </w:t>
      </w:r>
      <w:r>
        <w:rPr>
          <w:rFonts w:cs="Arial" w:hint="cs"/>
          <w:rtl/>
        </w:rPr>
        <w:t>אבי</w:t>
      </w:r>
      <w:r>
        <w:rPr>
          <w:rFonts w:cs="Arial"/>
          <w:rtl/>
        </w:rPr>
        <w:t xml:space="preserve"> </w:t>
      </w:r>
      <w:r>
        <w:rPr>
          <w:rFonts w:cs="Arial" w:hint="cs"/>
          <w:rtl/>
        </w:rPr>
        <w:t>האיש</w:t>
      </w:r>
      <w:r>
        <w:rPr>
          <w:rFonts w:cs="Arial"/>
          <w:rtl/>
        </w:rPr>
        <w:t xml:space="preserve"> </w:t>
      </w:r>
      <w:r>
        <w:rPr>
          <w:rFonts w:cs="Arial" w:hint="cs"/>
          <w:rtl/>
        </w:rPr>
        <w:t>או</w:t>
      </w:r>
      <w:r>
        <w:rPr>
          <w:rFonts w:cs="Arial"/>
          <w:rtl/>
        </w:rPr>
        <w:t xml:space="preserve"> </w:t>
      </w:r>
      <w:r>
        <w:rPr>
          <w:rFonts w:cs="Arial" w:hint="cs"/>
          <w:rtl/>
        </w:rPr>
        <w:t>שם</w:t>
      </w:r>
      <w:r>
        <w:rPr>
          <w:rFonts w:cs="Arial"/>
          <w:rtl/>
        </w:rPr>
        <w:t xml:space="preserve"> </w:t>
      </w:r>
      <w:r>
        <w:rPr>
          <w:rFonts w:cs="Arial" w:hint="cs"/>
          <w:rtl/>
        </w:rPr>
        <w:t>אבי</w:t>
      </w:r>
      <w:r>
        <w:rPr>
          <w:rFonts w:cs="Arial"/>
          <w:rtl/>
        </w:rPr>
        <w:t xml:space="preserve"> </w:t>
      </w:r>
      <w:r>
        <w:rPr>
          <w:rFonts w:cs="Arial" w:hint="cs"/>
          <w:rtl/>
        </w:rPr>
        <w:t>האשה</w:t>
      </w:r>
      <w:r>
        <w:rPr>
          <w:rFonts w:cs="Arial"/>
          <w:rtl/>
        </w:rPr>
        <w:t xml:space="preserve">, </w:t>
      </w:r>
      <w:r>
        <w:rPr>
          <w:rFonts w:cs="Arial" w:hint="cs"/>
          <w:rtl/>
        </w:rPr>
        <w:t>כשר</w:t>
      </w:r>
      <w:r>
        <w:rPr>
          <w:rStyle w:val="a7"/>
          <w:rFonts w:cs="Arial"/>
          <w:rtl/>
        </w:rPr>
        <w:footnoteReference w:id="1100"/>
      </w:r>
      <w:r>
        <w:rPr>
          <w:rFonts w:cs="Arial"/>
          <w:rtl/>
        </w:rPr>
        <w:t xml:space="preserve">. </w:t>
      </w:r>
      <w:r w:rsidRPr="004F590B">
        <w:rPr>
          <w:rFonts w:cs="Arial" w:hint="cs"/>
          <w:sz w:val="18"/>
          <w:szCs w:val="18"/>
          <w:rtl/>
        </w:rPr>
        <w:t>הגה</w:t>
      </w:r>
      <w:r w:rsidRPr="004F590B">
        <w:rPr>
          <w:rFonts w:cs="Arial"/>
          <w:sz w:val="18"/>
          <w:szCs w:val="18"/>
          <w:rtl/>
        </w:rPr>
        <w:t xml:space="preserve">: </w:t>
      </w:r>
      <w:r w:rsidRPr="004F590B">
        <w:rPr>
          <w:rFonts w:cs="Arial" w:hint="cs"/>
          <w:sz w:val="18"/>
          <w:szCs w:val="18"/>
          <w:rtl/>
        </w:rPr>
        <w:t>וכל</w:t>
      </w:r>
      <w:r w:rsidRPr="004F590B">
        <w:rPr>
          <w:rFonts w:cs="Arial"/>
          <w:sz w:val="18"/>
          <w:szCs w:val="18"/>
          <w:rtl/>
        </w:rPr>
        <w:t xml:space="preserve"> </w:t>
      </w:r>
      <w:r w:rsidRPr="004F590B">
        <w:rPr>
          <w:rFonts w:cs="Arial" w:hint="cs"/>
          <w:sz w:val="18"/>
          <w:szCs w:val="18"/>
          <w:rtl/>
        </w:rPr>
        <w:t>שכן</w:t>
      </w:r>
      <w:r w:rsidRPr="004F590B">
        <w:rPr>
          <w:rFonts w:cs="Arial"/>
          <w:sz w:val="18"/>
          <w:szCs w:val="18"/>
          <w:rtl/>
        </w:rPr>
        <w:t xml:space="preserve"> </w:t>
      </w:r>
      <w:r w:rsidRPr="004F590B">
        <w:rPr>
          <w:rFonts w:cs="Arial" w:hint="cs"/>
          <w:sz w:val="18"/>
          <w:szCs w:val="18"/>
          <w:rtl/>
        </w:rPr>
        <w:t>אם</w:t>
      </w:r>
      <w:r w:rsidRPr="004F590B">
        <w:rPr>
          <w:rFonts w:cs="Arial"/>
          <w:sz w:val="18"/>
          <w:szCs w:val="18"/>
          <w:rtl/>
        </w:rPr>
        <w:t xml:space="preserve"> </w:t>
      </w:r>
      <w:r w:rsidRPr="004F590B">
        <w:rPr>
          <w:rFonts w:cs="Arial" w:hint="cs"/>
          <w:sz w:val="18"/>
          <w:szCs w:val="18"/>
          <w:rtl/>
        </w:rPr>
        <w:t>הזכיר</w:t>
      </w:r>
      <w:r w:rsidRPr="004F590B">
        <w:rPr>
          <w:rFonts w:cs="Arial"/>
          <w:sz w:val="18"/>
          <w:szCs w:val="18"/>
          <w:rtl/>
        </w:rPr>
        <w:t xml:space="preserve"> </w:t>
      </w:r>
      <w:r w:rsidRPr="004F590B">
        <w:rPr>
          <w:rFonts w:cs="Arial" w:hint="cs"/>
          <w:sz w:val="18"/>
          <w:szCs w:val="18"/>
          <w:rtl/>
        </w:rPr>
        <w:t>שמו</w:t>
      </w:r>
      <w:r w:rsidRPr="004F590B">
        <w:rPr>
          <w:rFonts w:cs="Arial"/>
          <w:sz w:val="18"/>
          <w:szCs w:val="18"/>
          <w:rtl/>
        </w:rPr>
        <w:t xml:space="preserve"> </w:t>
      </w:r>
      <w:r w:rsidRPr="004F590B">
        <w:rPr>
          <w:rFonts w:cs="Arial" w:hint="cs"/>
          <w:sz w:val="18"/>
          <w:szCs w:val="18"/>
          <w:rtl/>
        </w:rPr>
        <w:t>ולא</w:t>
      </w:r>
      <w:r w:rsidRPr="004F590B">
        <w:rPr>
          <w:rFonts w:cs="Arial"/>
          <w:sz w:val="18"/>
          <w:szCs w:val="18"/>
          <w:rtl/>
        </w:rPr>
        <w:t xml:space="preserve"> </w:t>
      </w:r>
      <w:r w:rsidRPr="004F590B">
        <w:rPr>
          <w:rFonts w:cs="Arial" w:hint="cs"/>
          <w:sz w:val="18"/>
          <w:szCs w:val="18"/>
          <w:rtl/>
        </w:rPr>
        <w:t>הזכיר</w:t>
      </w:r>
      <w:r w:rsidRPr="004F590B">
        <w:rPr>
          <w:rFonts w:cs="Arial"/>
          <w:sz w:val="18"/>
          <w:szCs w:val="18"/>
          <w:rtl/>
        </w:rPr>
        <w:t xml:space="preserve"> </w:t>
      </w:r>
      <w:r w:rsidRPr="004F590B">
        <w:rPr>
          <w:rFonts w:cs="Arial" w:hint="cs"/>
          <w:sz w:val="18"/>
          <w:szCs w:val="18"/>
          <w:rtl/>
        </w:rPr>
        <w:t>שם</w:t>
      </w:r>
      <w:r w:rsidRPr="004F590B">
        <w:rPr>
          <w:rFonts w:cs="Arial"/>
          <w:sz w:val="18"/>
          <w:szCs w:val="18"/>
          <w:rtl/>
        </w:rPr>
        <w:t xml:space="preserve"> </w:t>
      </w:r>
      <w:r w:rsidRPr="004F590B">
        <w:rPr>
          <w:rFonts w:cs="Arial" w:hint="cs"/>
          <w:sz w:val="18"/>
          <w:szCs w:val="18"/>
          <w:rtl/>
        </w:rPr>
        <w:t>כינוי</w:t>
      </w:r>
      <w:r w:rsidRPr="004F590B">
        <w:rPr>
          <w:rFonts w:cs="Arial"/>
          <w:sz w:val="18"/>
          <w:szCs w:val="18"/>
          <w:rtl/>
        </w:rPr>
        <w:t xml:space="preserve"> </w:t>
      </w:r>
      <w:r w:rsidRPr="004F590B">
        <w:rPr>
          <w:rFonts w:cs="Arial" w:hint="cs"/>
          <w:sz w:val="18"/>
          <w:szCs w:val="18"/>
          <w:rtl/>
        </w:rPr>
        <w:t>שלו</w:t>
      </w:r>
      <w:r w:rsidRPr="004F590B">
        <w:rPr>
          <w:rFonts w:cs="Arial"/>
          <w:sz w:val="18"/>
          <w:szCs w:val="18"/>
          <w:rtl/>
        </w:rPr>
        <w:t xml:space="preserve">. </w:t>
      </w:r>
      <w:r w:rsidRPr="004F590B">
        <w:rPr>
          <w:rFonts w:cs="Arial" w:hint="cs"/>
          <w:sz w:val="18"/>
          <w:szCs w:val="18"/>
          <w:rtl/>
        </w:rPr>
        <w:t>אבל</w:t>
      </w:r>
      <w:r w:rsidRPr="004F590B">
        <w:rPr>
          <w:rFonts w:cs="Arial"/>
          <w:sz w:val="18"/>
          <w:szCs w:val="18"/>
          <w:rtl/>
        </w:rPr>
        <w:t xml:space="preserve"> </w:t>
      </w:r>
      <w:r w:rsidRPr="004F590B">
        <w:rPr>
          <w:rFonts w:cs="Arial" w:hint="cs"/>
          <w:sz w:val="18"/>
          <w:szCs w:val="18"/>
          <w:rtl/>
        </w:rPr>
        <w:t>לכתחלה</w:t>
      </w:r>
      <w:r w:rsidRPr="004F590B">
        <w:rPr>
          <w:rFonts w:cs="Arial"/>
          <w:sz w:val="18"/>
          <w:szCs w:val="18"/>
          <w:rtl/>
        </w:rPr>
        <w:t xml:space="preserve"> </w:t>
      </w:r>
      <w:r w:rsidRPr="004F590B">
        <w:rPr>
          <w:rFonts w:cs="Arial" w:hint="cs"/>
          <w:sz w:val="18"/>
          <w:szCs w:val="18"/>
          <w:rtl/>
        </w:rPr>
        <w:t>כותבין</w:t>
      </w:r>
      <w:r w:rsidRPr="004F590B">
        <w:rPr>
          <w:rFonts w:cs="Arial"/>
          <w:sz w:val="18"/>
          <w:szCs w:val="18"/>
          <w:rtl/>
        </w:rPr>
        <w:t xml:space="preserve"> </w:t>
      </w:r>
      <w:r w:rsidRPr="004F590B">
        <w:rPr>
          <w:rFonts w:cs="Arial" w:hint="cs"/>
          <w:sz w:val="18"/>
          <w:szCs w:val="18"/>
          <w:rtl/>
        </w:rPr>
        <w:t>אפילו</w:t>
      </w:r>
      <w:r w:rsidRPr="004F590B">
        <w:rPr>
          <w:rFonts w:cs="Arial"/>
          <w:sz w:val="18"/>
          <w:szCs w:val="18"/>
          <w:rtl/>
        </w:rPr>
        <w:t xml:space="preserve"> </w:t>
      </w:r>
      <w:r w:rsidRPr="004F590B">
        <w:rPr>
          <w:rFonts w:cs="Arial" w:hint="cs"/>
          <w:sz w:val="18"/>
          <w:szCs w:val="18"/>
          <w:rtl/>
        </w:rPr>
        <w:t>כינוין</w:t>
      </w:r>
      <w:r w:rsidRPr="004F590B">
        <w:rPr>
          <w:rFonts w:cs="Arial"/>
          <w:sz w:val="18"/>
          <w:szCs w:val="18"/>
          <w:rtl/>
        </w:rPr>
        <w:t xml:space="preserve"> </w:t>
      </w:r>
      <w:r w:rsidRPr="004F590B">
        <w:rPr>
          <w:rFonts w:cs="Arial" w:hint="cs"/>
          <w:sz w:val="18"/>
          <w:szCs w:val="18"/>
          <w:rtl/>
        </w:rPr>
        <w:t>שם</w:t>
      </w:r>
      <w:r w:rsidRPr="004F590B">
        <w:rPr>
          <w:rFonts w:cs="Arial"/>
          <w:sz w:val="18"/>
          <w:szCs w:val="18"/>
          <w:rtl/>
        </w:rPr>
        <w:t xml:space="preserve"> </w:t>
      </w:r>
      <w:r w:rsidRPr="004F590B">
        <w:rPr>
          <w:rFonts w:cs="Arial" w:hint="cs"/>
          <w:sz w:val="18"/>
          <w:szCs w:val="18"/>
          <w:rtl/>
        </w:rPr>
        <w:t>אביו</w:t>
      </w:r>
      <w:r w:rsidRPr="004F590B">
        <w:rPr>
          <w:rFonts w:cs="Arial"/>
          <w:sz w:val="18"/>
          <w:szCs w:val="18"/>
          <w:rtl/>
        </w:rPr>
        <w:t xml:space="preserve"> (</w:t>
      </w:r>
      <w:r w:rsidRPr="004F590B">
        <w:rPr>
          <w:rFonts w:cs="Arial" w:hint="cs"/>
          <w:sz w:val="18"/>
          <w:szCs w:val="18"/>
          <w:rtl/>
        </w:rPr>
        <w:t>בסדרים</w:t>
      </w:r>
      <w:r w:rsidRPr="004F590B">
        <w:rPr>
          <w:rFonts w:cs="Arial"/>
          <w:sz w:val="18"/>
          <w:szCs w:val="18"/>
          <w:rtl/>
        </w:rPr>
        <w:t xml:space="preserve"> </w:t>
      </w:r>
      <w:r w:rsidRPr="004F590B">
        <w:rPr>
          <w:rFonts w:cs="Arial" w:hint="cs"/>
          <w:sz w:val="18"/>
          <w:szCs w:val="18"/>
          <w:rtl/>
        </w:rPr>
        <w:t>ובמהרי</w:t>
      </w:r>
      <w:r w:rsidRPr="004F590B">
        <w:rPr>
          <w:rFonts w:cs="Arial"/>
          <w:sz w:val="18"/>
          <w:szCs w:val="18"/>
          <w:rtl/>
        </w:rPr>
        <w:t>"</w:t>
      </w:r>
      <w:r w:rsidRPr="004F590B">
        <w:rPr>
          <w:rFonts w:cs="Arial" w:hint="cs"/>
          <w:sz w:val="18"/>
          <w:szCs w:val="18"/>
          <w:rtl/>
        </w:rPr>
        <w:t>ו</w:t>
      </w:r>
      <w:r w:rsidRPr="004F590B">
        <w:rPr>
          <w:rFonts w:cs="Arial"/>
          <w:sz w:val="18"/>
          <w:szCs w:val="18"/>
          <w:rtl/>
        </w:rPr>
        <w:t xml:space="preserve"> </w:t>
      </w:r>
      <w:r w:rsidRPr="004F590B">
        <w:rPr>
          <w:rFonts w:cs="Arial" w:hint="cs"/>
          <w:sz w:val="18"/>
          <w:szCs w:val="18"/>
          <w:rtl/>
        </w:rPr>
        <w:t>סי</w:t>
      </w:r>
      <w:r>
        <w:rPr>
          <w:rFonts w:cs="Arial" w:hint="cs"/>
          <w:sz w:val="18"/>
          <w:szCs w:val="18"/>
          <w:rtl/>
        </w:rPr>
        <w:t>'</w:t>
      </w:r>
      <w:r w:rsidRPr="004F590B">
        <w:rPr>
          <w:rFonts w:cs="Arial"/>
          <w:sz w:val="18"/>
          <w:szCs w:val="18"/>
          <w:rtl/>
        </w:rPr>
        <w:t xml:space="preserve"> </w:t>
      </w:r>
      <w:r w:rsidRPr="004F590B">
        <w:rPr>
          <w:rFonts w:cs="Arial" w:hint="cs"/>
          <w:sz w:val="18"/>
          <w:szCs w:val="18"/>
          <w:rtl/>
        </w:rPr>
        <w:t>כג</w:t>
      </w:r>
      <w:r w:rsidRPr="004F590B">
        <w:rPr>
          <w:rFonts w:cs="Arial"/>
          <w:sz w:val="18"/>
          <w:szCs w:val="18"/>
          <w:rtl/>
        </w:rPr>
        <w:t xml:space="preserve">). </w:t>
      </w:r>
      <w:r w:rsidRPr="004F590B">
        <w:rPr>
          <w:rFonts w:cs="Arial" w:hint="cs"/>
          <w:sz w:val="18"/>
          <w:szCs w:val="18"/>
          <w:rtl/>
        </w:rPr>
        <w:t>ואם</w:t>
      </w:r>
      <w:r w:rsidRPr="004F590B">
        <w:rPr>
          <w:rFonts w:cs="Arial"/>
          <w:sz w:val="18"/>
          <w:szCs w:val="18"/>
          <w:rtl/>
        </w:rPr>
        <w:t xml:space="preserve"> </w:t>
      </w:r>
      <w:r w:rsidRPr="004F590B">
        <w:rPr>
          <w:rFonts w:cs="Arial" w:hint="cs"/>
          <w:sz w:val="18"/>
          <w:szCs w:val="18"/>
          <w:rtl/>
        </w:rPr>
        <w:t>יש</w:t>
      </w:r>
      <w:r w:rsidRPr="004F590B">
        <w:rPr>
          <w:rFonts w:cs="Arial"/>
          <w:sz w:val="18"/>
          <w:szCs w:val="18"/>
          <w:rtl/>
        </w:rPr>
        <w:t xml:space="preserve"> </w:t>
      </w:r>
      <w:r w:rsidRPr="004F590B">
        <w:rPr>
          <w:rFonts w:cs="Arial" w:hint="cs"/>
          <w:sz w:val="18"/>
          <w:szCs w:val="18"/>
          <w:rtl/>
        </w:rPr>
        <w:t>לאב</w:t>
      </w:r>
      <w:r w:rsidRPr="004F590B">
        <w:rPr>
          <w:rFonts w:cs="Arial"/>
          <w:sz w:val="18"/>
          <w:szCs w:val="18"/>
          <w:rtl/>
        </w:rPr>
        <w:t xml:space="preserve"> </w:t>
      </w:r>
      <w:r w:rsidRPr="004F590B">
        <w:rPr>
          <w:rFonts w:cs="Arial" w:hint="cs"/>
          <w:sz w:val="18"/>
          <w:szCs w:val="18"/>
          <w:rtl/>
        </w:rPr>
        <w:t>ולבן</w:t>
      </w:r>
      <w:r w:rsidRPr="004F590B">
        <w:rPr>
          <w:rFonts w:cs="Arial"/>
          <w:sz w:val="18"/>
          <w:szCs w:val="18"/>
          <w:rtl/>
        </w:rPr>
        <w:t xml:space="preserve"> </w:t>
      </w:r>
      <w:r w:rsidRPr="004F590B">
        <w:rPr>
          <w:rFonts w:cs="Arial" w:hint="cs"/>
          <w:sz w:val="18"/>
          <w:szCs w:val="18"/>
          <w:rtl/>
        </w:rPr>
        <w:t>כינוי</w:t>
      </w:r>
      <w:r w:rsidRPr="004F590B">
        <w:rPr>
          <w:rFonts w:cs="Arial"/>
          <w:sz w:val="18"/>
          <w:szCs w:val="18"/>
          <w:rtl/>
        </w:rPr>
        <w:t xml:space="preserve"> </w:t>
      </w:r>
      <w:r w:rsidRPr="004F590B">
        <w:rPr>
          <w:rFonts w:cs="Arial" w:hint="cs"/>
          <w:sz w:val="18"/>
          <w:szCs w:val="18"/>
          <w:rtl/>
        </w:rPr>
        <w:t>אחד</w:t>
      </w:r>
      <w:r w:rsidR="008D152F">
        <w:rPr>
          <w:rFonts w:cs="Arial" w:hint="cs"/>
          <w:sz w:val="18"/>
          <w:szCs w:val="18"/>
          <w:rtl/>
        </w:rPr>
        <w:t xml:space="preserve">, </w:t>
      </w:r>
      <w:r w:rsidRPr="004F590B">
        <w:rPr>
          <w:rFonts w:cs="Arial" w:hint="cs"/>
          <w:sz w:val="18"/>
          <w:szCs w:val="18"/>
          <w:rtl/>
        </w:rPr>
        <w:t>לכתחלה</w:t>
      </w:r>
      <w:r w:rsidRPr="004F590B">
        <w:rPr>
          <w:rFonts w:cs="Arial"/>
          <w:sz w:val="18"/>
          <w:szCs w:val="18"/>
          <w:rtl/>
        </w:rPr>
        <w:t xml:space="preserve"> </w:t>
      </w:r>
      <w:r w:rsidRPr="004F590B">
        <w:rPr>
          <w:rFonts w:cs="Arial" w:hint="cs"/>
          <w:sz w:val="18"/>
          <w:szCs w:val="18"/>
          <w:rtl/>
        </w:rPr>
        <w:t>כותבין</w:t>
      </w:r>
      <w:r w:rsidRPr="004F590B">
        <w:rPr>
          <w:rFonts w:cs="Arial"/>
          <w:sz w:val="18"/>
          <w:szCs w:val="18"/>
          <w:rtl/>
        </w:rPr>
        <w:t xml:space="preserve"> </w:t>
      </w:r>
      <w:r w:rsidRPr="004F590B">
        <w:rPr>
          <w:rFonts w:cs="Arial" w:hint="cs"/>
          <w:sz w:val="18"/>
          <w:szCs w:val="18"/>
          <w:rtl/>
        </w:rPr>
        <w:t>הכינוי</w:t>
      </w:r>
      <w:r w:rsidRPr="004F590B">
        <w:rPr>
          <w:rFonts w:cs="Arial"/>
          <w:sz w:val="18"/>
          <w:szCs w:val="18"/>
          <w:rtl/>
        </w:rPr>
        <w:t xml:space="preserve"> </w:t>
      </w:r>
      <w:r w:rsidRPr="004F590B">
        <w:rPr>
          <w:rFonts w:cs="Arial" w:hint="cs"/>
          <w:sz w:val="18"/>
          <w:szCs w:val="18"/>
          <w:rtl/>
        </w:rPr>
        <w:t>אצל</w:t>
      </w:r>
      <w:r w:rsidRPr="004F590B">
        <w:rPr>
          <w:rFonts w:cs="Arial"/>
          <w:sz w:val="18"/>
          <w:szCs w:val="18"/>
          <w:rtl/>
        </w:rPr>
        <w:t xml:space="preserve"> </w:t>
      </w:r>
      <w:r w:rsidRPr="004F590B">
        <w:rPr>
          <w:rFonts w:cs="Arial" w:hint="cs"/>
          <w:sz w:val="18"/>
          <w:szCs w:val="18"/>
          <w:rtl/>
        </w:rPr>
        <w:t>כל</w:t>
      </w:r>
      <w:r w:rsidRPr="004F590B">
        <w:rPr>
          <w:rFonts w:cs="Arial"/>
          <w:sz w:val="18"/>
          <w:szCs w:val="18"/>
          <w:rtl/>
        </w:rPr>
        <w:t xml:space="preserve"> </w:t>
      </w:r>
      <w:r w:rsidRPr="004F590B">
        <w:rPr>
          <w:rFonts w:cs="Arial" w:hint="cs"/>
          <w:sz w:val="18"/>
          <w:szCs w:val="18"/>
          <w:rtl/>
        </w:rPr>
        <w:t>אחד</w:t>
      </w:r>
      <w:r w:rsidRPr="004F590B">
        <w:rPr>
          <w:rFonts w:cs="Arial"/>
          <w:sz w:val="18"/>
          <w:szCs w:val="18"/>
          <w:rtl/>
        </w:rPr>
        <w:t xml:space="preserve"> (</w:t>
      </w:r>
      <w:r w:rsidRPr="004F590B">
        <w:rPr>
          <w:rFonts w:cs="Arial" w:hint="cs"/>
          <w:sz w:val="18"/>
          <w:szCs w:val="18"/>
          <w:rtl/>
        </w:rPr>
        <w:t>סדר</w:t>
      </w:r>
      <w:r w:rsidRPr="004F590B">
        <w:rPr>
          <w:rFonts w:cs="Arial"/>
          <w:sz w:val="18"/>
          <w:szCs w:val="18"/>
          <w:rtl/>
        </w:rPr>
        <w:t xml:space="preserve"> </w:t>
      </w:r>
      <w:r w:rsidRPr="004F590B">
        <w:rPr>
          <w:rFonts w:cs="Arial" w:hint="cs"/>
          <w:sz w:val="18"/>
          <w:szCs w:val="18"/>
          <w:rtl/>
        </w:rPr>
        <w:t>גיטין</w:t>
      </w:r>
      <w:r w:rsidRPr="004F590B">
        <w:rPr>
          <w:rFonts w:cs="Arial"/>
          <w:sz w:val="18"/>
          <w:szCs w:val="18"/>
          <w:rtl/>
        </w:rPr>
        <w:t>)</w:t>
      </w:r>
      <w:r>
        <w:rPr>
          <w:rFonts w:cs="Arial" w:hint="cs"/>
          <w:sz w:val="18"/>
          <w:szCs w:val="18"/>
          <w:rtl/>
        </w:rPr>
        <w:t>.</w:t>
      </w:r>
      <w:r w:rsidRPr="004F590B">
        <w:rPr>
          <w:rFonts w:cs="Arial"/>
          <w:sz w:val="18"/>
          <w:szCs w:val="18"/>
          <w:rtl/>
        </w:rPr>
        <w:t xml:space="preserve"> </w:t>
      </w:r>
      <w:r w:rsidRPr="004F590B">
        <w:rPr>
          <w:rFonts w:cs="Arial" w:hint="cs"/>
          <w:sz w:val="18"/>
          <w:szCs w:val="18"/>
          <w:rtl/>
        </w:rPr>
        <w:t>מיהו</w:t>
      </w:r>
      <w:r w:rsidRPr="004F590B">
        <w:rPr>
          <w:rFonts w:cs="Arial"/>
          <w:sz w:val="18"/>
          <w:szCs w:val="18"/>
          <w:rtl/>
        </w:rPr>
        <w:t xml:space="preserve"> </w:t>
      </w:r>
      <w:r w:rsidRPr="004F590B">
        <w:rPr>
          <w:rFonts w:cs="Arial" w:hint="cs"/>
          <w:sz w:val="18"/>
          <w:szCs w:val="18"/>
          <w:rtl/>
        </w:rPr>
        <w:t>אם</w:t>
      </w:r>
      <w:r w:rsidRPr="004F590B">
        <w:rPr>
          <w:rFonts w:cs="Arial"/>
          <w:sz w:val="18"/>
          <w:szCs w:val="18"/>
          <w:rtl/>
        </w:rPr>
        <w:t xml:space="preserve"> </w:t>
      </w:r>
      <w:r w:rsidRPr="004F590B">
        <w:rPr>
          <w:rFonts w:cs="Arial" w:hint="cs"/>
          <w:sz w:val="18"/>
          <w:szCs w:val="18"/>
          <w:rtl/>
        </w:rPr>
        <w:t>לא</w:t>
      </w:r>
      <w:r w:rsidRPr="004F590B">
        <w:rPr>
          <w:rFonts w:cs="Arial"/>
          <w:sz w:val="18"/>
          <w:szCs w:val="18"/>
          <w:rtl/>
        </w:rPr>
        <w:t xml:space="preserve"> </w:t>
      </w:r>
      <w:r w:rsidRPr="004F590B">
        <w:rPr>
          <w:rFonts w:cs="Arial" w:hint="cs"/>
          <w:sz w:val="18"/>
          <w:szCs w:val="18"/>
          <w:rtl/>
        </w:rPr>
        <w:t>כתבו</w:t>
      </w:r>
      <w:r w:rsidRPr="004F590B">
        <w:rPr>
          <w:rFonts w:cs="Arial"/>
          <w:sz w:val="18"/>
          <w:szCs w:val="18"/>
          <w:rtl/>
        </w:rPr>
        <w:t xml:space="preserve"> </w:t>
      </w:r>
      <w:r w:rsidRPr="004F590B">
        <w:rPr>
          <w:rFonts w:cs="Arial" w:hint="cs"/>
          <w:sz w:val="18"/>
          <w:szCs w:val="18"/>
          <w:rtl/>
        </w:rPr>
        <w:t>רק</w:t>
      </w:r>
      <w:r w:rsidRPr="004F590B">
        <w:rPr>
          <w:rFonts w:cs="Arial"/>
          <w:sz w:val="18"/>
          <w:szCs w:val="18"/>
          <w:rtl/>
        </w:rPr>
        <w:t xml:space="preserve"> </w:t>
      </w:r>
      <w:r w:rsidRPr="004F590B">
        <w:rPr>
          <w:rFonts w:cs="Arial" w:hint="cs"/>
          <w:sz w:val="18"/>
          <w:szCs w:val="18"/>
          <w:rtl/>
        </w:rPr>
        <w:t>לבסוף</w:t>
      </w:r>
      <w:r w:rsidRPr="004F590B">
        <w:rPr>
          <w:rFonts w:cs="Arial"/>
          <w:sz w:val="18"/>
          <w:szCs w:val="18"/>
          <w:rtl/>
        </w:rPr>
        <w:t xml:space="preserve">, </w:t>
      </w:r>
      <w:r w:rsidRPr="004F590B">
        <w:rPr>
          <w:rFonts w:cs="Arial" w:hint="cs"/>
          <w:sz w:val="18"/>
          <w:szCs w:val="18"/>
          <w:rtl/>
        </w:rPr>
        <w:t>פלוני</w:t>
      </w:r>
      <w:r w:rsidRPr="004F590B">
        <w:rPr>
          <w:rFonts w:cs="Arial"/>
          <w:sz w:val="18"/>
          <w:szCs w:val="18"/>
          <w:rtl/>
        </w:rPr>
        <w:t xml:space="preserve"> </w:t>
      </w:r>
      <w:r w:rsidRPr="004F590B">
        <w:rPr>
          <w:rFonts w:cs="Arial" w:hint="cs"/>
          <w:sz w:val="18"/>
          <w:szCs w:val="18"/>
          <w:rtl/>
        </w:rPr>
        <w:t>בן</w:t>
      </w:r>
      <w:r w:rsidRPr="004F590B">
        <w:rPr>
          <w:rFonts w:cs="Arial"/>
          <w:sz w:val="18"/>
          <w:szCs w:val="18"/>
          <w:rtl/>
        </w:rPr>
        <w:t xml:space="preserve"> </w:t>
      </w:r>
      <w:r w:rsidRPr="004F590B">
        <w:rPr>
          <w:rFonts w:cs="Arial" w:hint="cs"/>
          <w:sz w:val="18"/>
          <w:szCs w:val="18"/>
          <w:rtl/>
        </w:rPr>
        <w:t>פלוני</w:t>
      </w:r>
      <w:r w:rsidRPr="004F590B">
        <w:rPr>
          <w:rFonts w:cs="Arial"/>
          <w:sz w:val="18"/>
          <w:szCs w:val="18"/>
          <w:rtl/>
        </w:rPr>
        <w:t xml:space="preserve"> </w:t>
      </w:r>
      <w:r w:rsidRPr="004F590B">
        <w:rPr>
          <w:rFonts w:cs="Arial" w:hint="cs"/>
          <w:sz w:val="18"/>
          <w:szCs w:val="18"/>
          <w:rtl/>
        </w:rPr>
        <w:t>המכונה</w:t>
      </w:r>
      <w:r w:rsidRPr="004F590B">
        <w:rPr>
          <w:rFonts w:cs="Arial"/>
          <w:sz w:val="18"/>
          <w:szCs w:val="18"/>
          <w:rtl/>
        </w:rPr>
        <w:t xml:space="preserve"> </w:t>
      </w:r>
      <w:r w:rsidRPr="004F590B">
        <w:rPr>
          <w:rFonts w:cs="Arial" w:hint="cs"/>
          <w:sz w:val="18"/>
          <w:szCs w:val="18"/>
          <w:rtl/>
        </w:rPr>
        <w:t>פלוני</w:t>
      </w:r>
      <w:r w:rsidRPr="004F590B">
        <w:rPr>
          <w:rFonts w:cs="Arial"/>
          <w:sz w:val="18"/>
          <w:szCs w:val="18"/>
          <w:rtl/>
        </w:rPr>
        <w:t xml:space="preserve">, </w:t>
      </w:r>
      <w:r w:rsidRPr="004F590B">
        <w:rPr>
          <w:rFonts w:cs="Arial" w:hint="cs"/>
          <w:sz w:val="18"/>
          <w:szCs w:val="18"/>
          <w:rtl/>
        </w:rPr>
        <w:t>כשר</w:t>
      </w:r>
      <w:r w:rsidRPr="004F590B">
        <w:rPr>
          <w:rFonts w:cs="Arial"/>
          <w:sz w:val="18"/>
          <w:szCs w:val="18"/>
          <w:rtl/>
        </w:rPr>
        <w:t xml:space="preserve">. </w:t>
      </w:r>
      <w:r w:rsidRPr="004F590B">
        <w:rPr>
          <w:rFonts w:cs="Arial" w:hint="cs"/>
          <w:sz w:val="18"/>
          <w:szCs w:val="18"/>
          <w:rtl/>
        </w:rPr>
        <w:t>אבל</w:t>
      </w:r>
      <w:r w:rsidRPr="004F590B">
        <w:rPr>
          <w:rFonts w:cs="Arial"/>
          <w:sz w:val="18"/>
          <w:szCs w:val="18"/>
          <w:rtl/>
        </w:rPr>
        <w:t xml:space="preserve"> </w:t>
      </w:r>
      <w:r w:rsidRPr="004F590B">
        <w:rPr>
          <w:rFonts w:cs="Arial" w:hint="cs"/>
          <w:sz w:val="18"/>
          <w:szCs w:val="18"/>
          <w:rtl/>
        </w:rPr>
        <w:t>אם</w:t>
      </w:r>
      <w:r w:rsidRPr="004F590B">
        <w:rPr>
          <w:rFonts w:cs="Arial"/>
          <w:sz w:val="18"/>
          <w:szCs w:val="18"/>
          <w:rtl/>
        </w:rPr>
        <w:t xml:space="preserve"> </w:t>
      </w:r>
      <w:r w:rsidRPr="004F590B">
        <w:rPr>
          <w:rFonts w:cs="Arial" w:hint="cs"/>
          <w:sz w:val="18"/>
          <w:szCs w:val="18"/>
          <w:rtl/>
        </w:rPr>
        <w:t>הכינוי</w:t>
      </w:r>
      <w:r w:rsidRPr="004F590B">
        <w:rPr>
          <w:rFonts w:cs="Arial"/>
          <w:sz w:val="18"/>
          <w:szCs w:val="18"/>
          <w:rtl/>
        </w:rPr>
        <w:t xml:space="preserve"> </w:t>
      </w:r>
      <w:r w:rsidRPr="004F590B">
        <w:rPr>
          <w:rFonts w:cs="Arial" w:hint="cs"/>
          <w:sz w:val="18"/>
          <w:szCs w:val="18"/>
          <w:rtl/>
        </w:rPr>
        <w:t>לבן</w:t>
      </w:r>
      <w:r w:rsidRPr="004F590B">
        <w:rPr>
          <w:rFonts w:cs="Arial"/>
          <w:sz w:val="18"/>
          <w:szCs w:val="18"/>
          <w:rtl/>
        </w:rPr>
        <w:t xml:space="preserve"> </w:t>
      </w:r>
      <w:r w:rsidRPr="004F590B">
        <w:rPr>
          <w:rFonts w:cs="Arial" w:hint="cs"/>
          <w:sz w:val="18"/>
          <w:szCs w:val="18"/>
          <w:rtl/>
        </w:rPr>
        <w:t>לחוד</w:t>
      </w:r>
      <w:r w:rsidRPr="004F590B">
        <w:rPr>
          <w:rFonts w:cs="Arial"/>
          <w:sz w:val="18"/>
          <w:szCs w:val="18"/>
          <w:rtl/>
        </w:rPr>
        <w:t xml:space="preserve">, </w:t>
      </w:r>
      <w:r w:rsidRPr="004F590B">
        <w:rPr>
          <w:rFonts w:cs="Arial" w:hint="cs"/>
          <w:sz w:val="18"/>
          <w:szCs w:val="18"/>
          <w:rtl/>
        </w:rPr>
        <w:t>יכתוב</w:t>
      </w:r>
      <w:r w:rsidRPr="004F590B">
        <w:rPr>
          <w:rFonts w:cs="Arial"/>
          <w:sz w:val="18"/>
          <w:szCs w:val="18"/>
          <w:rtl/>
        </w:rPr>
        <w:t xml:space="preserve"> </w:t>
      </w:r>
      <w:r w:rsidRPr="004F590B">
        <w:rPr>
          <w:rFonts w:cs="Arial" w:hint="cs"/>
          <w:sz w:val="18"/>
          <w:szCs w:val="18"/>
          <w:rtl/>
        </w:rPr>
        <w:t>הכינוי</w:t>
      </w:r>
      <w:r w:rsidRPr="004F590B">
        <w:rPr>
          <w:rFonts w:cs="Arial"/>
          <w:sz w:val="18"/>
          <w:szCs w:val="18"/>
          <w:rtl/>
        </w:rPr>
        <w:t xml:space="preserve"> </w:t>
      </w:r>
      <w:r w:rsidRPr="004F590B">
        <w:rPr>
          <w:rFonts w:cs="Arial" w:hint="cs"/>
          <w:sz w:val="18"/>
          <w:szCs w:val="18"/>
          <w:rtl/>
        </w:rPr>
        <w:t>קודם</w:t>
      </w:r>
      <w:r w:rsidRPr="004F590B">
        <w:rPr>
          <w:rFonts w:cs="Arial"/>
          <w:sz w:val="18"/>
          <w:szCs w:val="18"/>
          <w:rtl/>
        </w:rPr>
        <w:t xml:space="preserve"> </w:t>
      </w:r>
      <w:r w:rsidRPr="004F590B">
        <w:rPr>
          <w:rFonts w:cs="Arial" w:hint="cs"/>
          <w:sz w:val="18"/>
          <w:szCs w:val="18"/>
          <w:rtl/>
        </w:rPr>
        <w:t>שיזכיר</w:t>
      </w:r>
      <w:r w:rsidRPr="004F590B">
        <w:rPr>
          <w:rFonts w:cs="Arial"/>
          <w:sz w:val="18"/>
          <w:szCs w:val="18"/>
          <w:rtl/>
        </w:rPr>
        <w:t xml:space="preserve"> </w:t>
      </w:r>
      <w:r w:rsidRPr="004F590B">
        <w:rPr>
          <w:rFonts w:cs="Arial" w:hint="cs"/>
          <w:sz w:val="18"/>
          <w:szCs w:val="18"/>
          <w:rtl/>
        </w:rPr>
        <w:t>שם</w:t>
      </w:r>
      <w:r w:rsidRPr="004F590B">
        <w:rPr>
          <w:rFonts w:cs="Arial"/>
          <w:sz w:val="18"/>
          <w:szCs w:val="18"/>
          <w:rtl/>
        </w:rPr>
        <w:t xml:space="preserve"> </w:t>
      </w:r>
      <w:r w:rsidRPr="004F590B">
        <w:rPr>
          <w:rFonts w:cs="Arial" w:hint="cs"/>
          <w:sz w:val="18"/>
          <w:szCs w:val="18"/>
          <w:rtl/>
        </w:rPr>
        <w:t>האב</w:t>
      </w:r>
      <w:r w:rsidRPr="004F590B">
        <w:rPr>
          <w:rFonts w:cs="Arial"/>
          <w:sz w:val="18"/>
          <w:szCs w:val="18"/>
          <w:rtl/>
        </w:rPr>
        <w:t xml:space="preserve">, </w:t>
      </w:r>
      <w:r w:rsidRPr="004F590B">
        <w:rPr>
          <w:rFonts w:cs="Arial" w:hint="cs"/>
          <w:sz w:val="18"/>
          <w:szCs w:val="18"/>
          <w:rtl/>
        </w:rPr>
        <w:t>ואם</w:t>
      </w:r>
      <w:r w:rsidRPr="004F590B">
        <w:rPr>
          <w:rFonts w:cs="Arial"/>
          <w:sz w:val="18"/>
          <w:szCs w:val="18"/>
          <w:rtl/>
        </w:rPr>
        <w:t xml:space="preserve"> </w:t>
      </w:r>
      <w:r w:rsidRPr="004F590B">
        <w:rPr>
          <w:rFonts w:cs="Arial" w:hint="cs"/>
          <w:sz w:val="18"/>
          <w:szCs w:val="18"/>
          <w:rtl/>
        </w:rPr>
        <w:t>כתבו</w:t>
      </w:r>
      <w:r w:rsidRPr="004F590B">
        <w:rPr>
          <w:rFonts w:cs="Arial"/>
          <w:sz w:val="18"/>
          <w:szCs w:val="18"/>
          <w:rtl/>
        </w:rPr>
        <w:t xml:space="preserve"> </w:t>
      </w:r>
      <w:r w:rsidRPr="004F590B">
        <w:rPr>
          <w:rFonts w:cs="Arial" w:hint="cs"/>
          <w:sz w:val="18"/>
          <w:szCs w:val="18"/>
          <w:rtl/>
        </w:rPr>
        <w:t>לבסוף</w:t>
      </w:r>
      <w:r w:rsidRPr="004F590B">
        <w:rPr>
          <w:rFonts w:cs="Arial"/>
          <w:sz w:val="18"/>
          <w:szCs w:val="18"/>
          <w:rtl/>
        </w:rPr>
        <w:t xml:space="preserve">, </w:t>
      </w:r>
      <w:r w:rsidRPr="004F590B">
        <w:rPr>
          <w:rFonts w:cs="Arial" w:hint="cs"/>
          <w:sz w:val="18"/>
          <w:szCs w:val="18"/>
          <w:rtl/>
        </w:rPr>
        <w:t>פסול</w:t>
      </w:r>
      <w:r>
        <w:rPr>
          <w:rStyle w:val="a7"/>
          <w:rFonts w:cs="Arial"/>
          <w:sz w:val="18"/>
          <w:szCs w:val="18"/>
          <w:rtl/>
        </w:rPr>
        <w:footnoteReference w:id="1101"/>
      </w:r>
      <w:r w:rsidRPr="004F590B">
        <w:rPr>
          <w:rFonts w:cs="Arial"/>
          <w:sz w:val="18"/>
          <w:szCs w:val="18"/>
          <w:rtl/>
        </w:rPr>
        <w:t xml:space="preserve"> (</w:t>
      </w:r>
      <w:r>
        <w:rPr>
          <w:rFonts w:cs="Arial" w:hint="cs"/>
          <w:sz w:val="18"/>
          <w:szCs w:val="18"/>
          <w:rtl/>
        </w:rPr>
        <w:t>מהר"י מינץ</w:t>
      </w:r>
      <w:r w:rsidRPr="004F590B">
        <w:rPr>
          <w:rFonts w:cs="Arial"/>
          <w:sz w:val="18"/>
          <w:szCs w:val="18"/>
          <w:rtl/>
        </w:rPr>
        <w:t xml:space="preserve">). </w:t>
      </w:r>
      <w:r w:rsidRPr="004F590B">
        <w:rPr>
          <w:rFonts w:cs="Arial" w:hint="cs"/>
          <w:sz w:val="18"/>
          <w:szCs w:val="18"/>
          <w:rtl/>
        </w:rPr>
        <w:t>ולפיכך</w:t>
      </w:r>
      <w:r w:rsidRPr="004F590B">
        <w:rPr>
          <w:rFonts w:cs="Arial"/>
          <w:sz w:val="18"/>
          <w:szCs w:val="18"/>
          <w:rtl/>
        </w:rPr>
        <w:t xml:space="preserve"> </w:t>
      </w:r>
      <w:r w:rsidRPr="004F590B">
        <w:rPr>
          <w:rFonts w:cs="Arial" w:hint="cs"/>
          <w:sz w:val="18"/>
          <w:szCs w:val="18"/>
          <w:rtl/>
        </w:rPr>
        <w:t>גר</w:t>
      </w:r>
      <w:r w:rsidRPr="004F590B">
        <w:rPr>
          <w:rFonts w:cs="Arial"/>
          <w:sz w:val="18"/>
          <w:szCs w:val="18"/>
          <w:rtl/>
        </w:rPr>
        <w:t xml:space="preserve"> </w:t>
      </w:r>
      <w:r w:rsidRPr="004F590B">
        <w:rPr>
          <w:rFonts w:cs="Arial" w:hint="cs"/>
          <w:sz w:val="18"/>
          <w:szCs w:val="18"/>
          <w:rtl/>
        </w:rPr>
        <w:t>או</w:t>
      </w:r>
      <w:r w:rsidRPr="004F590B">
        <w:rPr>
          <w:rFonts w:cs="Arial"/>
          <w:sz w:val="18"/>
          <w:szCs w:val="18"/>
          <w:rtl/>
        </w:rPr>
        <w:t xml:space="preserve"> </w:t>
      </w:r>
      <w:r w:rsidRPr="004F590B">
        <w:rPr>
          <w:rFonts w:cs="Arial" w:hint="cs"/>
          <w:sz w:val="18"/>
          <w:szCs w:val="18"/>
          <w:rtl/>
        </w:rPr>
        <w:t>שתוקי</w:t>
      </w:r>
      <w:r w:rsidRPr="004F590B">
        <w:rPr>
          <w:rFonts w:cs="Arial"/>
          <w:sz w:val="18"/>
          <w:szCs w:val="18"/>
          <w:rtl/>
        </w:rPr>
        <w:t xml:space="preserve"> </w:t>
      </w:r>
      <w:r w:rsidRPr="004F590B">
        <w:rPr>
          <w:rFonts w:cs="Arial" w:hint="cs"/>
          <w:sz w:val="18"/>
          <w:szCs w:val="18"/>
          <w:rtl/>
        </w:rPr>
        <w:t>או</w:t>
      </w:r>
      <w:r w:rsidRPr="004F590B">
        <w:rPr>
          <w:rFonts w:cs="Arial"/>
          <w:sz w:val="18"/>
          <w:szCs w:val="18"/>
          <w:rtl/>
        </w:rPr>
        <w:t xml:space="preserve"> </w:t>
      </w:r>
      <w:r w:rsidRPr="004F590B">
        <w:rPr>
          <w:rFonts w:cs="Arial" w:hint="cs"/>
          <w:sz w:val="18"/>
          <w:szCs w:val="18"/>
          <w:rtl/>
        </w:rPr>
        <w:t>אסופי</w:t>
      </w:r>
      <w:r w:rsidRPr="004F590B">
        <w:rPr>
          <w:rFonts w:cs="Arial"/>
          <w:sz w:val="18"/>
          <w:szCs w:val="18"/>
          <w:rtl/>
        </w:rPr>
        <w:t xml:space="preserve">, </w:t>
      </w:r>
      <w:r w:rsidRPr="004F590B">
        <w:rPr>
          <w:rFonts w:cs="Arial" w:hint="cs"/>
          <w:sz w:val="18"/>
          <w:szCs w:val="18"/>
          <w:rtl/>
        </w:rPr>
        <w:t>אין</w:t>
      </w:r>
      <w:r w:rsidRPr="004F590B">
        <w:rPr>
          <w:rFonts w:cs="Arial"/>
          <w:sz w:val="18"/>
          <w:szCs w:val="18"/>
          <w:rtl/>
        </w:rPr>
        <w:t xml:space="preserve"> </w:t>
      </w:r>
      <w:r w:rsidRPr="004F590B">
        <w:rPr>
          <w:rFonts w:cs="Arial" w:hint="cs"/>
          <w:sz w:val="18"/>
          <w:szCs w:val="18"/>
          <w:rtl/>
        </w:rPr>
        <w:t>כותבין</w:t>
      </w:r>
      <w:r w:rsidRPr="004F590B">
        <w:rPr>
          <w:rFonts w:cs="Arial"/>
          <w:sz w:val="18"/>
          <w:szCs w:val="18"/>
          <w:rtl/>
        </w:rPr>
        <w:t xml:space="preserve"> </w:t>
      </w:r>
      <w:r w:rsidRPr="004F590B">
        <w:rPr>
          <w:rFonts w:cs="Arial" w:hint="cs"/>
          <w:sz w:val="18"/>
          <w:szCs w:val="18"/>
          <w:rtl/>
        </w:rPr>
        <w:t>אלא</w:t>
      </w:r>
      <w:r w:rsidRPr="004F590B">
        <w:rPr>
          <w:rFonts w:cs="Arial"/>
          <w:sz w:val="18"/>
          <w:szCs w:val="18"/>
          <w:rtl/>
        </w:rPr>
        <w:t xml:space="preserve"> </w:t>
      </w:r>
      <w:r w:rsidRPr="004F590B">
        <w:rPr>
          <w:rFonts w:cs="Arial" w:hint="cs"/>
          <w:sz w:val="18"/>
          <w:szCs w:val="18"/>
          <w:rtl/>
        </w:rPr>
        <w:t>שמותיהם</w:t>
      </w:r>
      <w:r w:rsidRPr="004F590B">
        <w:rPr>
          <w:rFonts w:cs="Arial"/>
          <w:sz w:val="18"/>
          <w:szCs w:val="18"/>
          <w:rtl/>
        </w:rPr>
        <w:t xml:space="preserve"> </w:t>
      </w:r>
      <w:r w:rsidRPr="004F590B">
        <w:rPr>
          <w:rFonts w:cs="Arial" w:hint="cs"/>
          <w:sz w:val="18"/>
          <w:szCs w:val="18"/>
          <w:rtl/>
        </w:rPr>
        <w:t>בלבד</w:t>
      </w:r>
      <w:r w:rsidRPr="004F590B">
        <w:rPr>
          <w:rFonts w:cs="Arial"/>
          <w:sz w:val="18"/>
          <w:szCs w:val="18"/>
          <w:rtl/>
        </w:rPr>
        <w:t>.</w:t>
      </w:r>
      <w:r>
        <w:rPr>
          <w:rFonts w:cs="Arial"/>
          <w:rtl/>
        </w:rPr>
        <w:t xml:space="preserve"> </w:t>
      </w:r>
    </w:p>
    <w:p w14:paraId="769873A5" w14:textId="77777777" w:rsidR="00FA2119" w:rsidRPr="00E40208" w:rsidRDefault="00FA2119" w:rsidP="00FA2119">
      <w:pPr>
        <w:rPr>
          <w:rFonts w:cs="Arial"/>
          <w:sz w:val="16"/>
          <w:szCs w:val="16"/>
          <w:rtl/>
        </w:rPr>
      </w:pPr>
      <w:r>
        <w:rPr>
          <w:rFonts w:cs="Arial" w:hint="cs"/>
          <w:u w:val="single"/>
          <w:rtl/>
        </w:rPr>
        <w:t>מהו לכתוב בגט</w:t>
      </w:r>
      <w:r w:rsidRPr="00E40208">
        <w:rPr>
          <w:rFonts w:cs="Arial" w:hint="cs"/>
          <w:u w:val="single"/>
          <w:rtl/>
        </w:rPr>
        <w:t xml:space="preserve"> 'פלוני בן פלונית':</w:t>
      </w:r>
      <w:r>
        <w:rPr>
          <w:rFonts w:cs="Arial" w:hint="cs"/>
          <w:sz w:val="16"/>
          <w:szCs w:val="16"/>
          <w:rtl/>
        </w:rPr>
        <w:t xml:space="preserve">  (פת"ש סקכ"ג וסקכ"ו)</w:t>
      </w:r>
    </w:p>
    <w:p w14:paraId="519985DD" w14:textId="2F85CDE3" w:rsidR="00FA2119" w:rsidRDefault="00FA2119" w:rsidP="00FA2119">
      <w:pPr>
        <w:pStyle w:val="ab"/>
        <w:numPr>
          <w:ilvl w:val="0"/>
          <w:numId w:val="55"/>
        </w:numPr>
        <w:rPr>
          <w:rFonts w:cs="Arial"/>
        </w:rPr>
      </w:pPr>
      <w:r w:rsidRPr="009522DC">
        <w:rPr>
          <w:rFonts w:cs="Arial"/>
          <w:rtl/>
        </w:rPr>
        <w:t>דגול מרבבה</w:t>
      </w:r>
      <w:r>
        <w:rPr>
          <w:rFonts w:cs="Arial" w:hint="cs"/>
          <w:sz w:val="16"/>
          <w:szCs w:val="16"/>
          <w:rtl/>
        </w:rPr>
        <w:t xml:space="preserve"> (כ"כ בשמו הפת"ש סקכ"ג)</w:t>
      </w:r>
      <w:r w:rsidR="00A82951">
        <w:rPr>
          <w:rFonts w:cs="Arial" w:hint="cs"/>
          <w:rtl/>
        </w:rPr>
        <w:t>-</w:t>
      </w:r>
      <w:r>
        <w:rPr>
          <w:rFonts w:cs="Arial" w:hint="cs"/>
          <w:rtl/>
        </w:rPr>
        <w:t xml:space="preserve"> </w:t>
      </w:r>
      <w:r w:rsidRPr="009522DC">
        <w:rPr>
          <w:rFonts w:cs="Arial"/>
          <w:rtl/>
        </w:rPr>
        <w:t>לענ"ד היה נראה לכתוב שם אמו</w:t>
      </w:r>
      <w:r w:rsidR="008D152F">
        <w:rPr>
          <w:rFonts w:cs="Arial" w:hint="cs"/>
          <w:rtl/>
        </w:rPr>
        <w:t>,</w:t>
      </w:r>
      <w:r w:rsidRPr="009522DC">
        <w:rPr>
          <w:rFonts w:cs="Arial"/>
          <w:rtl/>
        </w:rPr>
        <w:t xml:space="preserve"> כדאשכחן רב מרי בר רחל</w:t>
      </w:r>
      <w:r w:rsidR="008D152F">
        <w:rPr>
          <w:rFonts w:cs="Arial" w:hint="cs"/>
          <w:rtl/>
        </w:rPr>
        <w:t>.</w:t>
      </w:r>
      <w:r w:rsidRPr="009522DC">
        <w:rPr>
          <w:rFonts w:cs="Arial"/>
          <w:rtl/>
        </w:rPr>
        <w:t xml:space="preserve"> ואפשר דשאני התם</w:t>
      </w:r>
      <w:r w:rsidR="008D152F">
        <w:rPr>
          <w:rFonts w:cs="Arial" w:hint="cs"/>
          <w:rtl/>
        </w:rPr>
        <w:t>,</w:t>
      </w:r>
      <w:r w:rsidRPr="009522DC">
        <w:rPr>
          <w:rFonts w:cs="Arial"/>
          <w:rtl/>
        </w:rPr>
        <w:t xml:space="preserve"> שבשעה שנתעברה היה איסר אינו יהודי</w:t>
      </w:r>
      <w:r w:rsidR="008D152F">
        <w:rPr>
          <w:rFonts w:cs="Arial" w:hint="cs"/>
          <w:rtl/>
        </w:rPr>
        <w:t>,</w:t>
      </w:r>
      <w:r w:rsidRPr="009522DC">
        <w:rPr>
          <w:rFonts w:cs="Arial"/>
          <w:rtl/>
        </w:rPr>
        <w:t xml:space="preserve"> א"כ אינו אביו כלל ולא היה לרב מרי שום אב</w:t>
      </w:r>
      <w:r w:rsidR="008D152F">
        <w:rPr>
          <w:rFonts w:cs="Arial" w:hint="cs"/>
          <w:rtl/>
        </w:rPr>
        <w:t>.</w:t>
      </w:r>
      <w:r w:rsidRPr="009522DC">
        <w:rPr>
          <w:rFonts w:cs="Arial"/>
          <w:rtl/>
        </w:rPr>
        <w:t xml:space="preserve"> אבל שתוקי יש לו אב אלא שאין אנו יודעים מה שמו</w:t>
      </w:r>
      <w:r w:rsidR="008D152F">
        <w:rPr>
          <w:rFonts w:cs="Arial" w:hint="cs"/>
          <w:rtl/>
        </w:rPr>
        <w:t>,</w:t>
      </w:r>
      <w:r w:rsidRPr="009522DC">
        <w:rPr>
          <w:rFonts w:cs="Arial"/>
          <w:rtl/>
        </w:rPr>
        <w:t xml:space="preserve"> לכן אין לכתוב שם אמו</w:t>
      </w:r>
      <w:r>
        <w:rPr>
          <w:rFonts w:cs="Arial" w:hint="cs"/>
          <w:rtl/>
        </w:rPr>
        <w:t>.</w:t>
      </w:r>
    </w:p>
    <w:p w14:paraId="09B1521F" w14:textId="3EC1DB98" w:rsidR="00FA2119" w:rsidRPr="00E40208" w:rsidRDefault="00FA2119" w:rsidP="00FA2119">
      <w:pPr>
        <w:pStyle w:val="ab"/>
        <w:numPr>
          <w:ilvl w:val="0"/>
          <w:numId w:val="55"/>
        </w:numPr>
        <w:rPr>
          <w:rFonts w:cs="Arial"/>
          <w:rtl/>
        </w:rPr>
      </w:pPr>
      <w:r w:rsidRPr="00E40208">
        <w:rPr>
          <w:rFonts w:cs="Arial"/>
          <w:rtl/>
        </w:rPr>
        <w:t xml:space="preserve">ג"פ </w:t>
      </w:r>
      <w:r w:rsidRPr="00E40208">
        <w:rPr>
          <w:rFonts w:cs="Arial" w:hint="cs"/>
          <w:sz w:val="16"/>
          <w:szCs w:val="16"/>
          <w:rtl/>
        </w:rPr>
        <w:t>(</w:t>
      </w:r>
      <w:r w:rsidRPr="00E40208">
        <w:rPr>
          <w:rFonts w:cs="Arial"/>
          <w:sz w:val="16"/>
          <w:szCs w:val="16"/>
          <w:rtl/>
        </w:rPr>
        <w:t>סקנ"א</w:t>
      </w:r>
      <w:r w:rsidRPr="00E40208">
        <w:rPr>
          <w:rFonts w:cs="Arial" w:hint="cs"/>
          <w:sz w:val="16"/>
          <w:szCs w:val="16"/>
          <w:rtl/>
        </w:rPr>
        <w:t>)</w:t>
      </w:r>
      <w:r w:rsidR="00A82951">
        <w:rPr>
          <w:rFonts w:cs="Arial" w:hint="cs"/>
          <w:rtl/>
        </w:rPr>
        <w:t>-</w:t>
      </w:r>
      <w:r w:rsidRPr="00E40208">
        <w:rPr>
          <w:rFonts w:cs="Arial"/>
          <w:rtl/>
        </w:rPr>
        <w:t xml:space="preserve"> אם המגרש לא כתב שם אביו רק שם אמו</w:t>
      </w:r>
      <w:r w:rsidR="001244C9">
        <w:rPr>
          <w:rFonts w:cs="Arial" w:hint="cs"/>
          <w:rtl/>
        </w:rPr>
        <w:t>,</w:t>
      </w:r>
      <w:r w:rsidRPr="00E40208">
        <w:rPr>
          <w:rFonts w:cs="Arial"/>
          <w:rtl/>
        </w:rPr>
        <w:t xml:space="preserve"> ובמקום דה"ל לכתוב יצחק בן אברהם כתב יצחק בן שרה</w:t>
      </w:r>
      <w:r w:rsidR="001244C9">
        <w:rPr>
          <w:rFonts w:cs="Arial" w:hint="cs"/>
          <w:rtl/>
        </w:rPr>
        <w:t>,</w:t>
      </w:r>
      <w:r w:rsidRPr="00E40208">
        <w:rPr>
          <w:rFonts w:cs="Arial"/>
          <w:rtl/>
        </w:rPr>
        <w:t xml:space="preserve"> יראה לי לצדד דהגט כש</w:t>
      </w:r>
      <w:r w:rsidR="001244C9">
        <w:rPr>
          <w:rFonts w:cs="Arial" w:hint="cs"/>
          <w:rtl/>
        </w:rPr>
        <w:t>,</w:t>
      </w:r>
      <w:r w:rsidRPr="00E40208">
        <w:rPr>
          <w:rFonts w:cs="Arial"/>
          <w:rtl/>
        </w:rPr>
        <w:t>ר כיון דידוע דשם שרה הוא משמות הנשים</w:t>
      </w:r>
      <w:r w:rsidR="001244C9">
        <w:rPr>
          <w:rFonts w:cs="Arial" w:hint="cs"/>
          <w:rtl/>
        </w:rPr>
        <w:t>.</w:t>
      </w:r>
      <w:r w:rsidRPr="00E40208">
        <w:rPr>
          <w:rFonts w:cs="Arial"/>
          <w:rtl/>
        </w:rPr>
        <w:t xml:space="preserve"> אמנם אם שם אמו שמחה וכה"ג דנקראים גם אנשים בשם זה אפשר דאיכא לעז</w:t>
      </w:r>
      <w:r w:rsidR="001244C9">
        <w:rPr>
          <w:rFonts w:cs="Arial" w:hint="cs"/>
          <w:rtl/>
        </w:rPr>
        <w:t>.</w:t>
      </w:r>
      <w:r w:rsidRPr="00E40208">
        <w:rPr>
          <w:rFonts w:cs="Arial"/>
          <w:rtl/>
        </w:rPr>
        <w:t xml:space="preserve"> ועוד אפשר דאפי' בכותב יצחק בן שרה איכא לעז</w:t>
      </w:r>
      <w:r w:rsidR="001244C9">
        <w:rPr>
          <w:rFonts w:cs="Arial" w:hint="cs"/>
          <w:rtl/>
        </w:rPr>
        <w:t>,</w:t>
      </w:r>
      <w:r w:rsidRPr="00E40208">
        <w:rPr>
          <w:rFonts w:cs="Arial"/>
          <w:rtl/>
        </w:rPr>
        <w:t xml:space="preserve"> דהרואה יחשוב דגט זה הוא משתוקי או אסופי דלא נודע שם אביו ולכן כתבו שם אמו</w:t>
      </w:r>
      <w:r w:rsidR="001244C9">
        <w:rPr>
          <w:rFonts w:cs="Arial" w:hint="cs"/>
          <w:rtl/>
        </w:rPr>
        <w:t>.</w:t>
      </w:r>
      <w:r w:rsidRPr="00E40208">
        <w:rPr>
          <w:rFonts w:cs="Arial"/>
          <w:rtl/>
        </w:rPr>
        <w:t xml:space="preserve"> אמנם במי שהוא מפורסם על שם אמו כמו יואב בן צרויה ורב מרי בר רחל פשיטא לי דאם כתב כן הגט כשר</w:t>
      </w:r>
      <w:r w:rsidR="001244C9">
        <w:rPr>
          <w:rFonts w:cs="Arial" w:hint="cs"/>
          <w:rtl/>
        </w:rPr>
        <w:t>,</w:t>
      </w:r>
      <w:r w:rsidRPr="00E40208">
        <w:rPr>
          <w:rFonts w:cs="Arial"/>
          <w:rtl/>
        </w:rPr>
        <w:t xml:space="preserve"> ואפשר דלכתחלה נמי יכול לכתוב כן</w:t>
      </w:r>
      <w:r w:rsidRPr="00E40208">
        <w:rPr>
          <w:rFonts w:cs="Arial" w:hint="cs"/>
          <w:rtl/>
        </w:rPr>
        <w:t>.</w:t>
      </w:r>
    </w:p>
    <w:p w14:paraId="72A812C6" w14:textId="77777777" w:rsidR="00FA2119" w:rsidRDefault="00FA2119" w:rsidP="00FA2119">
      <w:pPr>
        <w:rPr>
          <w:rtl/>
        </w:rPr>
      </w:pPr>
    </w:p>
    <w:p w14:paraId="34E539E1" w14:textId="77777777" w:rsidR="00FA2119" w:rsidRDefault="00FA2119" w:rsidP="00FA2119">
      <w:pPr>
        <w:pStyle w:val="2"/>
        <w:rPr>
          <w:rtl/>
        </w:rPr>
      </w:pPr>
      <w:r>
        <w:rPr>
          <w:rFonts w:hint="cs"/>
          <w:rtl/>
        </w:rPr>
        <w:t>סעיף</w:t>
      </w:r>
      <w:r>
        <w:rPr>
          <w:rtl/>
        </w:rPr>
        <w:t xml:space="preserve"> </w:t>
      </w:r>
      <w:r>
        <w:rPr>
          <w:rFonts w:hint="cs"/>
          <w:rtl/>
        </w:rPr>
        <w:t>י: שינה שם אביו.</w:t>
      </w:r>
    </w:p>
    <w:p w14:paraId="58EA41A1" w14:textId="77777777" w:rsidR="00FA2119" w:rsidRPr="001A6DC6" w:rsidRDefault="00FA2119" w:rsidP="00FA2119">
      <w:pPr>
        <w:rPr>
          <w:u w:val="single"/>
          <w:rtl/>
        </w:rPr>
      </w:pPr>
      <w:r w:rsidRPr="001A6DC6">
        <w:rPr>
          <w:rFonts w:hint="cs"/>
          <w:u w:val="single"/>
          <w:rtl/>
        </w:rPr>
        <w:t>שינה שם אביו:</w:t>
      </w:r>
    </w:p>
    <w:p w14:paraId="2DE4B5F9" w14:textId="42281E2F" w:rsidR="00FA2119" w:rsidRPr="00B942E1" w:rsidRDefault="00FA2119" w:rsidP="00FA2119">
      <w:pPr>
        <w:pStyle w:val="ab"/>
        <w:numPr>
          <w:ilvl w:val="0"/>
          <w:numId w:val="69"/>
        </w:numPr>
      </w:pPr>
      <w:r>
        <w:rPr>
          <w:rFonts w:cs="Arial" w:hint="cs"/>
          <w:rtl/>
        </w:rPr>
        <w:t xml:space="preserve">רא"ש </w:t>
      </w:r>
      <w:r>
        <w:rPr>
          <w:rFonts w:cs="Arial" w:hint="cs"/>
          <w:sz w:val="16"/>
          <w:szCs w:val="16"/>
          <w:rtl/>
        </w:rPr>
        <w:t>(כלל יז סי' יב)</w:t>
      </w:r>
      <w:r>
        <w:rPr>
          <w:rFonts w:cs="Arial" w:hint="cs"/>
          <w:rtl/>
        </w:rPr>
        <w:t xml:space="preserve"> וטור</w:t>
      </w:r>
      <w:r w:rsidR="00A82951">
        <w:rPr>
          <w:rFonts w:cs="Arial" w:hint="cs"/>
          <w:rtl/>
        </w:rPr>
        <w:t>-</w:t>
      </w:r>
      <w:r>
        <w:rPr>
          <w:rFonts w:cs="Arial" w:hint="cs"/>
          <w:rtl/>
        </w:rPr>
        <w:t xml:space="preserve"> </w:t>
      </w:r>
      <w:r w:rsidRPr="00390632">
        <w:rPr>
          <w:rFonts w:cs="Arial"/>
          <w:rtl/>
        </w:rPr>
        <w:t>אחד ששמו יוסף בן שמעון</w:t>
      </w:r>
      <w:r>
        <w:rPr>
          <w:rFonts w:cs="Arial" w:hint="cs"/>
          <w:rtl/>
        </w:rPr>
        <w:t>,</w:t>
      </w:r>
      <w:r w:rsidRPr="00390632">
        <w:rPr>
          <w:rFonts w:cs="Arial"/>
          <w:rtl/>
        </w:rPr>
        <w:t xml:space="preserve"> והמיר אביו</w:t>
      </w:r>
      <w:r>
        <w:rPr>
          <w:rFonts w:cs="Arial" w:hint="cs"/>
          <w:rtl/>
        </w:rPr>
        <w:t>,</w:t>
      </w:r>
      <w:r w:rsidRPr="00390632">
        <w:rPr>
          <w:rFonts w:cs="Arial"/>
          <w:rtl/>
        </w:rPr>
        <w:t xml:space="preserve"> והבן היה לו לגרש ולא רצה להזכיר שם אביו וכתב יוסף בן שמואל </w:t>
      </w:r>
      <w:r w:rsidR="00A82951">
        <w:rPr>
          <w:rFonts w:cs="Arial" w:hint="cs"/>
          <w:rtl/>
        </w:rPr>
        <w:t>-</w:t>
      </w:r>
      <w:r>
        <w:rPr>
          <w:rFonts w:cs="Arial" w:hint="cs"/>
          <w:rtl/>
        </w:rPr>
        <w:t xml:space="preserve"> </w:t>
      </w:r>
      <w:r w:rsidRPr="00390632">
        <w:rPr>
          <w:rFonts w:cs="Arial"/>
          <w:rtl/>
        </w:rPr>
        <w:t>הגט פסול</w:t>
      </w:r>
      <w:r>
        <w:rPr>
          <w:rFonts w:cs="Arial" w:hint="cs"/>
          <w:rtl/>
        </w:rPr>
        <w:t>,</w:t>
      </w:r>
      <w:r w:rsidRPr="00390632">
        <w:rPr>
          <w:rFonts w:cs="Arial"/>
          <w:rtl/>
        </w:rPr>
        <w:t xml:space="preserve"> שהרואה אומר אחר מגרשה כי שם בעלה יוסף בן שמעון וזה היה יוסף בן שמואל</w:t>
      </w:r>
      <w:r>
        <w:rPr>
          <w:rStyle w:val="a7"/>
          <w:rFonts w:cs="Arial"/>
          <w:rtl/>
        </w:rPr>
        <w:footnoteReference w:id="1102"/>
      </w:r>
      <w:r w:rsidR="001244C9">
        <w:rPr>
          <w:rFonts w:cs="Arial" w:hint="cs"/>
          <w:sz w:val="16"/>
          <w:szCs w:val="16"/>
          <w:rtl/>
        </w:rPr>
        <w:t xml:space="preserve"> (ל' הטור בשם הרא"ש)</w:t>
      </w:r>
      <w:r>
        <w:rPr>
          <w:rFonts w:cs="Arial" w:hint="cs"/>
          <w:rtl/>
        </w:rPr>
        <w:t>.</w:t>
      </w:r>
      <w:r w:rsidRPr="001A6DC6">
        <w:rPr>
          <w:rFonts w:cs="Arial"/>
          <w:rtl/>
        </w:rPr>
        <w:t xml:space="preserve"> </w:t>
      </w:r>
      <w:r w:rsidRPr="00ED6A10">
        <w:rPr>
          <w:rFonts w:hint="cs"/>
          <w:color w:val="E36C0A" w:themeColor="accent6" w:themeShade="BF"/>
          <w:rtl/>
        </w:rPr>
        <w:t>(וכ"ס בשו"ע)</w:t>
      </w:r>
    </w:p>
    <w:p w14:paraId="3A25EE4B" w14:textId="01B28552" w:rsidR="00FA2119" w:rsidRPr="00D43A48" w:rsidRDefault="00FA2119" w:rsidP="00FA2119">
      <w:pPr>
        <w:pStyle w:val="ab"/>
        <w:numPr>
          <w:ilvl w:val="0"/>
          <w:numId w:val="69"/>
        </w:numPr>
        <w:rPr>
          <w:rtl/>
        </w:rPr>
      </w:pPr>
      <w:r>
        <w:rPr>
          <w:rFonts w:cs="Arial" w:hint="cs"/>
          <w:rtl/>
        </w:rPr>
        <w:t xml:space="preserve">רש"י </w:t>
      </w:r>
      <w:r>
        <w:rPr>
          <w:rFonts w:cs="Arial" w:hint="cs"/>
          <w:sz w:val="16"/>
          <w:szCs w:val="16"/>
          <w:rtl/>
        </w:rPr>
        <w:t>(בשו"ת סי' רה, וכ"כ בשמו האורחות חיים [</w:t>
      </w:r>
      <w:r w:rsidRPr="001A6DC6">
        <w:rPr>
          <w:rFonts w:cs="Arial"/>
          <w:sz w:val="16"/>
          <w:szCs w:val="16"/>
          <w:rtl/>
        </w:rPr>
        <w:t>הל' גיטין סוף ס"א ד"ה כתב הרמב"ם</w:t>
      </w:r>
      <w:r>
        <w:rPr>
          <w:rFonts w:cs="Arial" w:hint="cs"/>
          <w:sz w:val="16"/>
          <w:szCs w:val="16"/>
          <w:rtl/>
        </w:rPr>
        <w:t>]</w:t>
      </w:r>
      <w:r w:rsidRPr="001A6DC6">
        <w:rPr>
          <w:rFonts w:cs="Arial"/>
          <w:sz w:val="16"/>
          <w:szCs w:val="16"/>
          <w:rtl/>
        </w:rPr>
        <w:t>)</w:t>
      </w:r>
      <w:r w:rsidR="00A82951">
        <w:rPr>
          <w:rFonts w:cs="Arial" w:hint="cs"/>
          <w:rtl/>
        </w:rPr>
        <w:t>-</w:t>
      </w:r>
      <w:r w:rsidRPr="00B942E1">
        <w:rPr>
          <w:rFonts w:cs="Arial"/>
          <w:rtl/>
        </w:rPr>
        <w:t xml:space="preserve"> </w:t>
      </w:r>
      <w:r w:rsidRPr="00ED6A10">
        <w:rPr>
          <w:rFonts w:cs="Arial"/>
          <w:rtl/>
        </w:rPr>
        <w:t>יוסף ששנה שם אביו בגט, שהיה שמו יעקב והוא כתב שמואל, לפי שהיה אותו יעקב משומד ומת בשמדותו, אין לקנתר בו מאחר שהחזיק שמו ושם אביו וכן במדינה. ומתקנת רבן גמליאל נהגו לכתוב בגיטין</w:t>
      </w:r>
      <w:r w:rsidR="001244C9">
        <w:rPr>
          <w:rFonts w:cs="Arial" w:hint="cs"/>
          <w:rtl/>
        </w:rPr>
        <w:t>:</w:t>
      </w:r>
      <w:r w:rsidRPr="00ED6A10">
        <w:rPr>
          <w:rFonts w:cs="Arial"/>
          <w:rtl/>
        </w:rPr>
        <w:t xml:space="preserve"> פלוני ב"ר פלוני וכל שם אחרן וחניכא דאית ליה ולאב</w:t>
      </w:r>
      <w:r w:rsidR="001244C9">
        <w:rPr>
          <w:rFonts w:cs="Arial" w:hint="cs"/>
          <w:rtl/>
        </w:rPr>
        <w:t>ה</w:t>
      </w:r>
      <w:r w:rsidRPr="00ED6A10">
        <w:rPr>
          <w:rFonts w:cs="Arial"/>
          <w:rtl/>
        </w:rPr>
        <w:t xml:space="preserve">תי, הגט כשר. שלא הצריכו חכמים לחזר אחר עדים להחזיק שמו ושם אביו, אלא על פי עצמו. ומפני הרמאין שהיו משנין שמן תקן רבן גמליאל לכתוב כן. נמצא שגרש בכל שם שהיה לו ולאביו. ואם לא מפני שנשאת האשה ושלא להוציא לעז על הגט, שלא תצטרך להוציא מזה הואיל ונתייחדה עמו, הייתי מסכים </w:t>
      </w:r>
      <w:r w:rsidRPr="00ED6A10">
        <w:rPr>
          <w:rFonts w:cs="Arial"/>
          <w:rtl/>
        </w:rPr>
        <w:lastRenderedPageBreak/>
        <w:t>לרדות הרשע ולכופו עד שיכתוב לה גט בשם שברור לו ולאביו. אבל עתה אין חשבון בדבר לסמוך על הדין ועל דת משה וישראל שהגט כשר ותהא האשה בהיתרא</w:t>
      </w:r>
      <w:r>
        <w:rPr>
          <w:rStyle w:val="a7"/>
          <w:rFonts w:cs="Arial"/>
          <w:rtl/>
        </w:rPr>
        <w:footnoteReference w:id="1103"/>
      </w:r>
      <w:r>
        <w:rPr>
          <w:rFonts w:cs="Arial" w:hint="cs"/>
          <w:rtl/>
        </w:rPr>
        <w:t>.</w:t>
      </w:r>
    </w:p>
    <w:p w14:paraId="5C338F1B"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105F32C" w14:textId="77777777" w:rsidR="00FA2119" w:rsidRDefault="00FA2119" w:rsidP="00FA2119">
      <w:pPr>
        <w:rPr>
          <w:rFonts w:cs="Arial"/>
          <w:rtl/>
        </w:rPr>
      </w:pPr>
      <w:r>
        <w:rPr>
          <w:rFonts w:cs="Arial" w:hint="cs"/>
          <w:rtl/>
        </w:rPr>
        <w:t>יוסף</w:t>
      </w:r>
      <w:r>
        <w:rPr>
          <w:rFonts w:cs="Arial"/>
          <w:rtl/>
        </w:rPr>
        <w:t xml:space="preserve"> </w:t>
      </w:r>
      <w:r>
        <w:rPr>
          <w:rFonts w:cs="Arial" w:hint="cs"/>
          <w:rtl/>
        </w:rPr>
        <w:t>בן</w:t>
      </w:r>
      <w:r>
        <w:rPr>
          <w:rFonts w:cs="Arial"/>
          <w:rtl/>
        </w:rPr>
        <w:t xml:space="preserve"> </w:t>
      </w:r>
      <w:r>
        <w:rPr>
          <w:rFonts w:cs="Arial" w:hint="cs"/>
          <w:rtl/>
        </w:rPr>
        <w:t>שמעון</w:t>
      </w:r>
      <w:r>
        <w:rPr>
          <w:rFonts w:cs="Arial"/>
          <w:rtl/>
        </w:rPr>
        <w:t xml:space="preserve"> </w:t>
      </w:r>
      <w:r>
        <w:rPr>
          <w:rFonts w:cs="Arial" w:hint="cs"/>
          <w:rtl/>
        </w:rPr>
        <w:t>ששינה</w:t>
      </w:r>
      <w:r>
        <w:rPr>
          <w:rFonts w:cs="Arial"/>
          <w:rtl/>
        </w:rPr>
        <w:t xml:space="preserve"> </w:t>
      </w:r>
      <w:r>
        <w:rPr>
          <w:rFonts w:cs="Arial" w:hint="cs"/>
          <w:rtl/>
        </w:rPr>
        <w:t>וכתב</w:t>
      </w:r>
      <w:r>
        <w:rPr>
          <w:rFonts w:cs="Arial"/>
          <w:rtl/>
        </w:rPr>
        <w:t xml:space="preserve">: </w:t>
      </w:r>
      <w:r>
        <w:rPr>
          <w:rFonts w:cs="Arial" w:hint="cs"/>
          <w:rtl/>
        </w:rPr>
        <w:t>יוסף</w:t>
      </w:r>
      <w:r>
        <w:rPr>
          <w:rFonts w:cs="Arial"/>
          <w:rtl/>
        </w:rPr>
        <w:t xml:space="preserve"> </w:t>
      </w:r>
      <w:r>
        <w:rPr>
          <w:rFonts w:cs="Arial" w:hint="cs"/>
          <w:rtl/>
        </w:rPr>
        <w:t>בן</w:t>
      </w:r>
      <w:r>
        <w:rPr>
          <w:rFonts w:cs="Arial"/>
          <w:rtl/>
        </w:rPr>
        <w:t xml:space="preserve"> </w:t>
      </w:r>
      <w:r>
        <w:rPr>
          <w:rFonts w:cs="Arial" w:hint="cs"/>
          <w:rtl/>
        </w:rPr>
        <w:t>שמואל</w:t>
      </w:r>
      <w:r>
        <w:rPr>
          <w:rStyle w:val="a7"/>
          <w:rFonts w:cs="Arial"/>
          <w:rtl/>
        </w:rPr>
        <w:footnoteReference w:id="1104"/>
      </w:r>
      <w:r>
        <w:rPr>
          <w:rFonts w:cs="Arial"/>
          <w:rtl/>
        </w:rPr>
        <w:t xml:space="preserve">, </w:t>
      </w:r>
      <w:r>
        <w:rPr>
          <w:rFonts w:cs="Arial" w:hint="cs"/>
          <w:rtl/>
        </w:rPr>
        <w:t>פסול</w:t>
      </w:r>
      <w:r>
        <w:rPr>
          <w:rFonts w:cs="Arial"/>
          <w:rtl/>
        </w:rPr>
        <w:t xml:space="preserve">. </w:t>
      </w:r>
      <w:r>
        <w:rPr>
          <w:rFonts w:cs="Arial" w:hint="cs"/>
          <w:rtl/>
        </w:rPr>
        <w:t>ויש</w:t>
      </w:r>
      <w:r>
        <w:rPr>
          <w:rFonts w:cs="Arial"/>
          <w:rtl/>
        </w:rPr>
        <w:t xml:space="preserve"> </w:t>
      </w:r>
      <w:r>
        <w:rPr>
          <w:rFonts w:cs="Arial" w:hint="cs"/>
          <w:rtl/>
        </w:rPr>
        <w:t>מי</w:t>
      </w:r>
      <w:r>
        <w:rPr>
          <w:rFonts w:cs="Arial"/>
          <w:rtl/>
        </w:rPr>
        <w:t xml:space="preserve"> </w:t>
      </w:r>
      <w:r>
        <w:rPr>
          <w:rFonts w:cs="Arial" w:hint="cs"/>
          <w:rtl/>
        </w:rPr>
        <w:t>שאומר</w:t>
      </w:r>
      <w:r>
        <w:rPr>
          <w:rFonts w:cs="Arial"/>
          <w:rtl/>
        </w:rPr>
        <w:t xml:space="preserve"> </w:t>
      </w:r>
      <w:r>
        <w:rPr>
          <w:rFonts w:cs="Arial" w:hint="cs"/>
          <w:rtl/>
        </w:rPr>
        <w:t>שאם</w:t>
      </w:r>
      <w:r>
        <w:rPr>
          <w:rFonts w:cs="Arial"/>
          <w:rtl/>
        </w:rPr>
        <w:t xml:space="preserve"> </w:t>
      </w:r>
      <w:r>
        <w:rPr>
          <w:rFonts w:cs="Arial" w:hint="cs"/>
          <w:rtl/>
        </w:rPr>
        <w:t>נשאת</w:t>
      </w:r>
      <w:r>
        <w:rPr>
          <w:rFonts w:cs="Arial"/>
          <w:rtl/>
        </w:rPr>
        <w:t xml:space="preserve">, </w:t>
      </w:r>
      <w:r>
        <w:rPr>
          <w:rFonts w:cs="Arial" w:hint="cs"/>
          <w:rtl/>
        </w:rPr>
        <w:t>לא</w:t>
      </w:r>
      <w:r>
        <w:rPr>
          <w:rFonts w:cs="Arial"/>
          <w:rtl/>
        </w:rPr>
        <w:t xml:space="preserve"> </w:t>
      </w:r>
      <w:r>
        <w:rPr>
          <w:rFonts w:cs="Arial" w:hint="cs"/>
          <w:rtl/>
        </w:rPr>
        <w:t>תצא</w:t>
      </w:r>
      <w:r>
        <w:rPr>
          <w:rStyle w:val="a7"/>
          <w:rFonts w:cs="Arial"/>
          <w:rtl/>
        </w:rPr>
        <w:footnoteReference w:id="1105"/>
      </w:r>
      <w:r>
        <w:rPr>
          <w:rFonts w:cs="Arial"/>
          <w:rtl/>
        </w:rPr>
        <w:t xml:space="preserve">. </w:t>
      </w:r>
      <w:r w:rsidRPr="00213A14">
        <w:rPr>
          <w:rFonts w:cs="Arial" w:hint="cs"/>
          <w:sz w:val="18"/>
          <w:szCs w:val="18"/>
          <w:rtl/>
        </w:rPr>
        <w:t>הגה</w:t>
      </w:r>
      <w:r w:rsidRPr="00213A14">
        <w:rPr>
          <w:rFonts w:cs="Arial"/>
          <w:sz w:val="18"/>
          <w:szCs w:val="18"/>
          <w:rtl/>
        </w:rPr>
        <w:t xml:space="preserve">: </w:t>
      </w:r>
      <w:r w:rsidRPr="00213A14">
        <w:rPr>
          <w:rFonts w:cs="Arial" w:hint="cs"/>
          <w:sz w:val="18"/>
          <w:szCs w:val="18"/>
          <w:rtl/>
        </w:rPr>
        <w:t>ודוקא</w:t>
      </w:r>
      <w:r w:rsidRPr="00213A14">
        <w:rPr>
          <w:rFonts w:cs="Arial"/>
          <w:sz w:val="18"/>
          <w:szCs w:val="18"/>
          <w:rtl/>
        </w:rPr>
        <w:t xml:space="preserve"> </w:t>
      </w:r>
      <w:r w:rsidRPr="00213A14">
        <w:rPr>
          <w:rFonts w:cs="Arial" w:hint="cs"/>
          <w:sz w:val="18"/>
          <w:szCs w:val="18"/>
          <w:rtl/>
        </w:rPr>
        <w:t>אם</w:t>
      </w:r>
      <w:r w:rsidRPr="00213A14">
        <w:rPr>
          <w:rFonts w:cs="Arial"/>
          <w:sz w:val="18"/>
          <w:szCs w:val="18"/>
          <w:rtl/>
        </w:rPr>
        <w:t xml:space="preserve"> </w:t>
      </w:r>
      <w:r w:rsidRPr="00213A14">
        <w:rPr>
          <w:rFonts w:cs="Arial" w:hint="cs"/>
          <w:sz w:val="18"/>
          <w:szCs w:val="18"/>
          <w:rtl/>
        </w:rPr>
        <w:t>הוחזק</w:t>
      </w:r>
      <w:r w:rsidRPr="00213A14">
        <w:rPr>
          <w:rFonts w:cs="Arial"/>
          <w:sz w:val="18"/>
          <w:szCs w:val="18"/>
          <w:rtl/>
        </w:rPr>
        <w:t xml:space="preserve"> </w:t>
      </w:r>
      <w:r w:rsidRPr="00213A14">
        <w:rPr>
          <w:rFonts w:cs="Arial" w:hint="cs"/>
          <w:sz w:val="18"/>
          <w:szCs w:val="18"/>
          <w:rtl/>
        </w:rPr>
        <w:t>בשם</w:t>
      </w:r>
      <w:r w:rsidRPr="00213A14">
        <w:rPr>
          <w:rFonts w:cs="Arial"/>
          <w:sz w:val="18"/>
          <w:szCs w:val="18"/>
          <w:rtl/>
        </w:rPr>
        <w:t xml:space="preserve"> </w:t>
      </w:r>
      <w:r w:rsidRPr="00213A14">
        <w:rPr>
          <w:rFonts w:cs="Arial" w:hint="cs"/>
          <w:sz w:val="18"/>
          <w:szCs w:val="18"/>
          <w:rtl/>
        </w:rPr>
        <w:t>השני</w:t>
      </w:r>
      <w:r w:rsidRPr="00213A14">
        <w:rPr>
          <w:rFonts w:cs="Arial"/>
          <w:sz w:val="18"/>
          <w:szCs w:val="18"/>
          <w:rtl/>
        </w:rPr>
        <w:t xml:space="preserve">, </w:t>
      </w:r>
      <w:r w:rsidRPr="00213A14">
        <w:rPr>
          <w:rFonts w:cs="Arial" w:hint="cs"/>
          <w:sz w:val="18"/>
          <w:szCs w:val="18"/>
          <w:rtl/>
        </w:rPr>
        <w:t>אבל</w:t>
      </w:r>
      <w:r w:rsidRPr="00213A14">
        <w:rPr>
          <w:rFonts w:cs="Arial"/>
          <w:sz w:val="18"/>
          <w:szCs w:val="18"/>
          <w:rtl/>
        </w:rPr>
        <w:t xml:space="preserve"> </w:t>
      </w:r>
      <w:r w:rsidRPr="00213A14">
        <w:rPr>
          <w:rFonts w:cs="Arial" w:hint="cs"/>
          <w:sz w:val="18"/>
          <w:szCs w:val="18"/>
          <w:rtl/>
        </w:rPr>
        <w:t>בלאו</w:t>
      </w:r>
      <w:r w:rsidRPr="00213A14">
        <w:rPr>
          <w:rFonts w:cs="Arial"/>
          <w:sz w:val="18"/>
          <w:szCs w:val="18"/>
          <w:rtl/>
        </w:rPr>
        <w:t xml:space="preserve"> </w:t>
      </w:r>
      <w:r w:rsidRPr="00213A14">
        <w:rPr>
          <w:rFonts w:cs="Arial" w:hint="cs"/>
          <w:sz w:val="18"/>
          <w:szCs w:val="18"/>
          <w:rtl/>
        </w:rPr>
        <w:t>הכי</w:t>
      </w:r>
      <w:r w:rsidRPr="00213A14">
        <w:rPr>
          <w:rFonts w:cs="Arial"/>
          <w:sz w:val="18"/>
          <w:szCs w:val="18"/>
          <w:rtl/>
        </w:rPr>
        <w:t xml:space="preserve">, </w:t>
      </w:r>
      <w:r w:rsidRPr="00213A14">
        <w:rPr>
          <w:rFonts w:cs="Arial" w:hint="cs"/>
          <w:sz w:val="18"/>
          <w:szCs w:val="18"/>
          <w:rtl/>
        </w:rPr>
        <w:t>תצא</w:t>
      </w:r>
      <w:r>
        <w:rPr>
          <w:rStyle w:val="a7"/>
          <w:rFonts w:cs="Arial"/>
          <w:sz w:val="18"/>
          <w:szCs w:val="18"/>
          <w:rtl/>
        </w:rPr>
        <w:footnoteReference w:id="1106"/>
      </w:r>
      <w:r w:rsidRPr="00213A14">
        <w:rPr>
          <w:rFonts w:cs="Arial"/>
          <w:sz w:val="18"/>
          <w:szCs w:val="18"/>
          <w:rtl/>
        </w:rPr>
        <w:t xml:space="preserve"> (</w:t>
      </w:r>
      <w:r w:rsidRPr="00213A14">
        <w:rPr>
          <w:rFonts w:cs="Arial" w:hint="cs"/>
          <w:sz w:val="18"/>
          <w:szCs w:val="18"/>
          <w:rtl/>
        </w:rPr>
        <w:t>משמע</w:t>
      </w:r>
      <w:r w:rsidRPr="00213A14">
        <w:rPr>
          <w:rFonts w:cs="Arial"/>
          <w:sz w:val="18"/>
          <w:szCs w:val="18"/>
          <w:rtl/>
        </w:rPr>
        <w:t xml:space="preserve"> </w:t>
      </w:r>
      <w:r w:rsidRPr="00213A14">
        <w:rPr>
          <w:rFonts w:cs="Arial" w:hint="cs"/>
          <w:sz w:val="18"/>
          <w:szCs w:val="18"/>
          <w:rtl/>
        </w:rPr>
        <w:t>בב</w:t>
      </w:r>
      <w:r w:rsidRPr="00213A14">
        <w:rPr>
          <w:rFonts w:cs="Arial"/>
          <w:sz w:val="18"/>
          <w:szCs w:val="18"/>
          <w:rtl/>
        </w:rPr>
        <w:t>"</w:t>
      </w:r>
      <w:r w:rsidRPr="00213A14">
        <w:rPr>
          <w:rFonts w:cs="Arial" w:hint="cs"/>
          <w:sz w:val="18"/>
          <w:szCs w:val="18"/>
          <w:rtl/>
        </w:rPr>
        <w:t>י</w:t>
      </w:r>
      <w:r w:rsidRPr="00213A14">
        <w:rPr>
          <w:rFonts w:cs="Arial"/>
          <w:sz w:val="18"/>
          <w:szCs w:val="18"/>
          <w:rtl/>
        </w:rPr>
        <w:t xml:space="preserve">). </w:t>
      </w:r>
      <w:r w:rsidRPr="00213A14">
        <w:rPr>
          <w:rFonts w:cs="Arial" w:hint="cs"/>
          <w:sz w:val="18"/>
          <w:szCs w:val="18"/>
          <w:rtl/>
        </w:rPr>
        <w:t>כשכותבין</w:t>
      </w:r>
      <w:r w:rsidRPr="00213A14">
        <w:rPr>
          <w:rFonts w:cs="Arial"/>
          <w:sz w:val="18"/>
          <w:szCs w:val="18"/>
          <w:rtl/>
        </w:rPr>
        <w:t xml:space="preserve"> </w:t>
      </w:r>
      <w:r w:rsidRPr="00213A14">
        <w:rPr>
          <w:rFonts w:cs="Arial" w:hint="cs"/>
          <w:sz w:val="18"/>
          <w:szCs w:val="18"/>
          <w:rtl/>
        </w:rPr>
        <w:t>גט</w:t>
      </w:r>
      <w:r w:rsidRPr="00213A14">
        <w:rPr>
          <w:rFonts w:cs="Arial"/>
          <w:sz w:val="18"/>
          <w:szCs w:val="18"/>
          <w:rtl/>
        </w:rPr>
        <w:t xml:space="preserve"> </w:t>
      </w:r>
      <w:r w:rsidRPr="00213A14">
        <w:rPr>
          <w:rFonts w:cs="Arial" w:hint="cs"/>
          <w:sz w:val="18"/>
          <w:szCs w:val="18"/>
          <w:rtl/>
        </w:rPr>
        <w:t>לבן</w:t>
      </w:r>
      <w:r w:rsidRPr="00213A14">
        <w:rPr>
          <w:rFonts w:cs="Arial"/>
          <w:sz w:val="18"/>
          <w:szCs w:val="18"/>
          <w:rtl/>
        </w:rPr>
        <w:t xml:space="preserve"> </w:t>
      </w:r>
      <w:r w:rsidRPr="00213A14">
        <w:rPr>
          <w:rFonts w:cs="Arial" w:hint="cs"/>
          <w:sz w:val="18"/>
          <w:szCs w:val="18"/>
          <w:rtl/>
        </w:rPr>
        <w:t>מומר</w:t>
      </w:r>
      <w:r w:rsidRPr="00213A14">
        <w:rPr>
          <w:rFonts w:cs="Arial"/>
          <w:sz w:val="18"/>
          <w:szCs w:val="18"/>
          <w:rtl/>
        </w:rPr>
        <w:t xml:space="preserve"> </w:t>
      </w:r>
      <w:r w:rsidRPr="00213A14">
        <w:rPr>
          <w:rFonts w:cs="Arial" w:hint="cs"/>
          <w:sz w:val="18"/>
          <w:szCs w:val="18"/>
          <w:rtl/>
        </w:rPr>
        <w:t>לעבודת</w:t>
      </w:r>
      <w:r w:rsidRPr="00213A14">
        <w:rPr>
          <w:rFonts w:cs="Arial"/>
          <w:sz w:val="18"/>
          <w:szCs w:val="18"/>
          <w:rtl/>
        </w:rPr>
        <w:t xml:space="preserve"> </w:t>
      </w:r>
      <w:r w:rsidRPr="00213A14">
        <w:rPr>
          <w:rFonts w:cs="Arial" w:hint="cs"/>
          <w:sz w:val="18"/>
          <w:szCs w:val="18"/>
          <w:rtl/>
        </w:rPr>
        <w:t>כוכבים</w:t>
      </w:r>
      <w:r w:rsidRPr="00213A14">
        <w:rPr>
          <w:rFonts w:cs="Arial"/>
          <w:sz w:val="18"/>
          <w:szCs w:val="18"/>
          <w:rtl/>
        </w:rPr>
        <w:t xml:space="preserve">, </w:t>
      </w:r>
      <w:r w:rsidRPr="00213A14">
        <w:rPr>
          <w:rFonts w:cs="Arial" w:hint="cs"/>
          <w:sz w:val="18"/>
          <w:szCs w:val="18"/>
          <w:rtl/>
        </w:rPr>
        <w:t>כותבים</w:t>
      </w:r>
      <w:r w:rsidRPr="00213A14">
        <w:rPr>
          <w:rFonts w:cs="Arial"/>
          <w:sz w:val="18"/>
          <w:szCs w:val="18"/>
          <w:rtl/>
        </w:rPr>
        <w:t xml:space="preserve"> </w:t>
      </w:r>
      <w:r w:rsidRPr="00213A14">
        <w:rPr>
          <w:rFonts w:cs="Arial" w:hint="cs"/>
          <w:sz w:val="18"/>
          <w:szCs w:val="18"/>
          <w:rtl/>
        </w:rPr>
        <w:t>לו</w:t>
      </w:r>
      <w:r w:rsidRPr="00213A14">
        <w:rPr>
          <w:rFonts w:cs="Arial"/>
          <w:sz w:val="18"/>
          <w:szCs w:val="18"/>
          <w:rtl/>
        </w:rPr>
        <w:t xml:space="preserve"> </w:t>
      </w:r>
      <w:r w:rsidRPr="00213A14">
        <w:rPr>
          <w:rFonts w:cs="Arial" w:hint="cs"/>
          <w:sz w:val="18"/>
          <w:szCs w:val="18"/>
          <w:rtl/>
        </w:rPr>
        <w:t>על</w:t>
      </w:r>
      <w:r w:rsidRPr="00213A14">
        <w:rPr>
          <w:rFonts w:cs="Arial"/>
          <w:sz w:val="18"/>
          <w:szCs w:val="18"/>
          <w:rtl/>
        </w:rPr>
        <w:t xml:space="preserve"> </w:t>
      </w:r>
      <w:r w:rsidRPr="00213A14">
        <w:rPr>
          <w:rFonts w:cs="Arial" w:hint="cs"/>
          <w:sz w:val="18"/>
          <w:szCs w:val="18"/>
          <w:rtl/>
        </w:rPr>
        <w:t>שם</w:t>
      </w:r>
      <w:r w:rsidRPr="00213A14">
        <w:rPr>
          <w:rFonts w:cs="Arial"/>
          <w:sz w:val="18"/>
          <w:szCs w:val="18"/>
          <w:rtl/>
        </w:rPr>
        <w:t xml:space="preserve"> </w:t>
      </w:r>
      <w:r w:rsidRPr="00213A14">
        <w:rPr>
          <w:rFonts w:cs="Arial" w:hint="cs"/>
          <w:sz w:val="18"/>
          <w:szCs w:val="18"/>
          <w:rtl/>
        </w:rPr>
        <w:t>אביו</w:t>
      </w:r>
      <w:r w:rsidRPr="00213A14">
        <w:rPr>
          <w:rFonts w:cs="Arial"/>
          <w:sz w:val="18"/>
          <w:szCs w:val="18"/>
          <w:rtl/>
        </w:rPr>
        <w:t xml:space="preserve">, </w:t>
      </w:r>
      <w:r w:rsidRPr="00213A14">
        <w:rPr>
          <w:rFonts w:cs="Arial" w:hint="cs"/>
          <w:sz w:val="18"/>
          <w:szCs w:val="18"/>
          <w:rtl/>
        </w:rPr>
        <w:t>אע</w:t>
      </w:r>
      <w:r>
        <w:rPr>
          <w:rFonts w:cs="Arial" w:hint="cs"/>
          <w:sz w:val="18"/>
          <w:szCs w:val="18"/>
          <w:rtl/>
        </w:rPr>
        <w:t>"</w:t>
      </w:r>
      <w:r w:rsidRPr="00213A14">
        <w:rPr>
          <w:rFonts w:cs="Arial" w:hint="cs"/>
          <w:sz w:val="18"/>
          <w:szCs w:val="18"/>
          <w:rtl/>
        </w:rPr>
        <w:t>פ</w:t>
      </w:r>
      <w:r w:rsidRPr="00213A14">
        <w:rPr>
          <w:rFonts w:cs="Arial"/>
          <w:sz w:val="18"/>
          <w:szCs w:val="18"/>
          <w:rtl/>
        </w:rPr>
        <w:t xml:space="preserve"> </w:t>
      </w:r>
      <w:r w:rsidRPr="00213A14">
        <w:rPr>
          <w:rFonts w:cs="Arial" w:hint="cs"/>
          <w:sz w:val="18"/>
          <w:szCs w:val="18"/>
          <w:rtl/>
        </w:rPr>
        <w:t>כשעולה</w:t>
      </w:r>
      <w:r w:rsidRPr="00213A14">
        <w:rPr>
          <w:rFonts w:cs="Arial"/>
          <w:sz w:val="18"/>
          <w:szCs w:val="18"/>
          <w:rtl/>
        </w:rPr>
        <w:t xml:space="preserve"> </w:t>
      </w:r>
      <w:r w:rsidRPr="00213A14">
        <w:rPr>
          <w:rFonts w:cs="Arial" w:hint="cs"/>
          <w:sz w:val="18"/>
          <w:szCs w:val="18"/>
          <w:rtl/>
        </w:rPr>
        <w:t>לספר</w:t>
      </w:r>
      <w:r w:rsidRPr="00213A14">
        <w:rPr>
          <w:rFonts w:cs="Arial"/>
          <w:sz w:val="18"/>
          <w:szCs w:val="18"/>
          <w:rtl/>
        </w:rPr>
        <w:t xml:space="preserve"> </w:t>
      </w:r>
      <w:r w:rsidRPr="00213A14">
        <w:rPr>
          <w:rFonts w:cs="Arial" w:hint="cs"/>
          <w:sz w:val="18"/>
          <w:szCs w:val="18"/>
          <w:rtl/>
        </w:rPr>
        <w:t>תורה</w:t>
      </w:r>
      <w:r w:rsidRPr="00213A14">
        <w:rPr>
          <w:rFonts w:cs="Arial"/>
          <w:sz w:val="18"/>
          <w:szCs w:val="18"/>
          <w:rtl/>
        </w:rPr>
        <w:t xml:space="preserve"> </w:t>
      </w:r>
      <w:r w:rsidRPr="00213A14">
        <w:rPr>
          <w:rFonts w:cs="Arial" w:hint="cs"/>
          <w:sz w:val="18"/>
          <w:szCs w:val="18"/>
          <w:rtl/>
        </w:rPr>
        <w:t>או</w:t>
      </w:r>
      <w:r w:rsidRPr="00213A14">
        <w:rPr>
          <w:rFonts w:cs="Arial"/>
          <w:sz w:val="18"/>
          <w:szCs w:val="18"/>
          <w:rtl/>
        </w:rPr>
        <w:t xml:space="preserve"> </w:t>
      </w:r>
      <w:r w:rsidRPr="00213A14">
        <w:rPr>
          <w:rFonts w:cs="Arial" w:hint="cs"/>
          <w:sz w:val="18"/>
          <w:szCs w:val="18"/>
          <w:rtl/>
        </w:rPr>
        <w:t>חותם</w:t>
      </w:r>
      <w:r w:rsidRPr="00213A14">
        <w:rPr>
          <w:rFonts w:cs="Arial"/>
          <w:sz w:val="18"/>
          <w:szCs w:val="18"/>
          <w:rtl/>
        </w:rPr>
        <w:t xml:space="preserve"> </w:t>
      </w:r>
      <w:r w:rsidRPr="00213A14">
        <w:rPr>
          <w:rFonts w:cs="Arial" w:hint="cs"/>
          <w:sz w:val="18"/>
          <w:szCs w:val="18"/>
          <w:rtl/>
        </w:rPr>
        <w:t>בשטרות</w:t>
      </w:r>
      <w:r w:rsidRPr="00213A14">
        <w:rPr>
          <w:rFonts w:cs="Arial"/>
          <w:sz w:val="18"/>
          <w:szCs w:val="18"/>
          <w:rtl/>
        </w:rPr>
        <w:t xml:space="preserve"> </w:t>
      </w:r>
      <w:r w:rsidRPr="00213A14">
        <w:rPr>
          <w:rFonts w:cs="Arial" w:hint="cs"/>
          <w:sz w:val="18"/>
          <w:szCs w:val="18"/>
          <w:rtl/>
        </w:rPr>
        <w:t>חותם</w:t>
      </w:r>
      <w:r w:rsidRPr="00213A14">
        <w:rPr>
          <w:rFonts w:cs="Arial"/>
          <w:sz w:val="18"/>
          <w:szCs w:val="18"/>
          <w:rtl/>
        </w:rPr>
        <w:t xml:space="preserve"> </w:t>
      </w:r>
      <w:r w:rsidRPr="00213A14">
        <w:rPr>
          <w:rFonts w:cs="Arial" w:hint="cs"/>
          <w:sz w:val="18"/>
          <w:szCs w:val="18"/>
          <w:rtl/>
        </w:rPr>
        <w:t>עצמו</w:t>
      </w:r>
      <w:r w:rsidRPr="00213A14">
        <w:rPr>
          <w:rFonts w:cs="Arial"/>
          <w:sz w:val="18"/>
          <w:szCs w:val="18"/>
          <w:rtl/>
        </w:rPr>
        <w:t xml:space="preserve"> </w:t>
      </w:r>
      <w:r w:rsidRPr="00213A14">
        <w:rPr>
          <w:rFonts w:cs="Arial" w:hint="cs"/>
          <w:sz w:val="18"/>
          <w:szCs w:val="18"/>
          <w:rtl/>
        </w:rPr>
        <w:t>על</w:t>
      </w:r>
      <w:r w:rsidRPr="00213A14">
        <w:rPr>
          <w:rFonts w:cs="Arial"/>
          <w:sz w:val="18"/>
          <w:szCs w:val="18"/>
          <w:rtl/>
        </w:rPr>
        <w:t xml:space="preserve"> </w:t>
      </w:r>
      <w:r w:rsidRPr="00213A14">
        <w:rPr>
          <w:rFonts w:cs="Arial" w:hint="cs"/>
          <w:sz w:val="18"/>
          <w:szCs w:val="18"/>
          <w:rtl/>
        </w:rPr>
        <w:t>שם</w:t>
      </w:r>
      <w:r w:rsidRPr="00213A14">
        <w:rPr>
          <w:rFonts w:cs="Arial"/>
          <w:sz w:val="18"/>
          <w:szCs w:val="18"/>
          <w:rtl/>
        </w:rPr>
        <w:t xml:space="preserve"> </w:t>
      </w:r>
      <w:r w:rsidRPr="00213A14">
        <w:rPr>
          <w:rFonts w:cs="Arial" w:hint="cs"/>
          <w:sz w:val="18"/>
          <w:szCs w:val="18"/>
          <w:rtl/>
        </w:rPr>
        <w:t>אבי</w:t>
      </w:r>
      <w:r w:rsidRPr="00213A14">
        <w:rPr>
          <w:rFonts w:cs="Arial"/>
          <w:sz w:val="18"/>
          <w:szCs w:val="18"/>
          <w:rtl/>
        </w:rPr>
        <w:t xml:space="preserve"> </w:t>
      </w:r>
      <w:r w:rsidRPr="00213A14">
        <w:rPr>
          <w:rFonts w:cs="Arial" w:hint="cs"/>
          <w:sz w:val="18"/>
          <w:szCs w:val="18"/>
          <w:rtl/>
        </w:rPr>
        <w:t>אביו</w:t>
      </w:r>
      <w:r>
        <w:rPr>
          <w:rStyle w:val="a7"/>
          <w:rFonts w:cs="Arial"/>
          <w:sz w:val="18"/>
          <w:szCs w:val="18"/>
          <w:rtl/>
        </w:rPr>
        <w:footnoteReference w:id="1107"/>
      </w:r>
      <w:r w:rsidRPr="00213A14">
        <w:rPr>
          <w:rFonts w:cs="Arial"/>
          <w:sz w:val="18"/>
          <w:szCs w:val="18"/>
          <w:rtl/>
        </w:rPr>
        <w:t xml:space="preserve">. </w:t>
      </w:r>
      <w:r w:rsidRPr="00213A14">
        <w:rPr>
          <w:rFonts w:cs="Arial" w:hint="cs"/>
          <w:sz w:val="18"/>
          <w:szCs w:val="18"/>
          <w:rtl/>
        </w:rPr>
        <w:t>ואין</w:t>
      </w:r>
      <w:r w:rsidRPr="00213A14">
        <w:rPr>
          <w:rFonts w:cs="Arial"/>
          <w:sz w:val="18"/>
          <w:szCs w:val="18"/>
          <w:rtl/>
        </w:rPr>
        <w:t xml:space="preserve"> </w:t>
      </w:r>
      <w:r w:rsidRPr="00213A14">
        <w:rPr>
          <w:rFonts w:cs="Arial" w:hint="cs"/>
          <w:sz w:val="18"/>
          <w:szCs w:val="18"/>
          <w:rtl/>
        </w:rPr>
        <w:t>לחתום</w:t>
      </w:r>
      <w:r w:rsidRPr="00213A14">
        <w:rPr>
          <w:rFonts w:cs="Arial"/>
          <w:sz w:val="18"/>
          <w:szCs w:val="18"/>
          <w:rtl/>
        </w:rPr>
        <w:t xml:space="preserve"> </w:t>
      </w:r>
      <w:r w:rsidRPr="00213A14">
        <w:rPr>
          <w:rFonts w:cs="Arial" w:hint="cs"/>
          <w:sz w:val="18"/>
          <w:szCs w:val="18"/>
          <w:rtl/>
        </w:rPr>
        <w:t>בגט</w:t>
      </w:r>
      <w:r w:rsidRPr="00213A14">
        <w:rPr>
          <w:rFonts w:cs="Arial"/>
          <w:sz w:val="18"/>
          <w:szCs w:val="18"/>
          <w:rtl/>
        </w:rPr>
        <w:t xml:space="preserve"> </w:t>
      </w:r>
      <w:r w:rsidRPr="00213A14">
        <w:rPr>
          <w:rFonts w:cs="Arial" w:hint="cs"/>
          <w:sz w:val="18"/>
          <w:szCs w:val="18"/>
          <w:rtl/>
        </w:rPr>
        <w:t>לעד</w:t>
      </w:r>
      <w:r w:rsidRPr="00213A14">
        <w:rPr>
          <w:rFonts w:cs="Arial"/>
          <w:sz w:val="18"/>
          <w:szCs w:val="18"/>
          <w:rtl/>
        </w:rPr>
        <w:t xml:space="preserve"> </w:t>
      </w:r>
      <w:r w:rsidRPr="00213A14">
        <w:rPr>
          <w:rFonts w:cs="Arial" w:hint="cs"/>
          <w:sz w:val="18"/>
          <w:szCs w:val="18"/>
          <w:rtl/>
        </w:rPr>
        <w:t>בן</w:t>
      </w:r>
      <w:r w:rsidRPr="00213A14">
        <w:rPr>
          <w:rFonts w:cs="Arial"/>
          <w:sz w:val="18"/>
          <w:szCs w:val="18"/>
          <w:rtl/>
        </w:rPr>
        <w:t xml:space="preserve"> </w:t>
      </w:r>
      <w:r w:rsidRPr="00213A14">
        <w:rPr>
          <w:rFonts w:cs="Arial" w:hint="cs"/>
          <w:sz w:val="18"/>
          <w:szCs w:val="18"/>
          <w:rtl/>
        </w:rPr>
        <w:t>מומר</w:t>
      </w:r>
      <w:r w:rsidRPr="00213A14">
        <w:rPr>
          <w:rFonts w:cs="Arial"/>
          <w:sz w:val="18"/>
          <w:szCs w:val="18"/>
          <w:rtl/>
        </w:rPr>
        <w:t xml:space="preserve"> </w:t>
      </w:r>
      <w:r w:rsidRPr="00213A14">
        <w:rPr>
          <w:rFonts w:cs="Arial" w:hint="cs"/>
          <w:sz w:val="18"/>
          <w:szCs w:val="18"/>
          <w:rtl/>
        </w:rPr>
        <w:t>לע</w:t>
      </w:r>
      <w:r>
        <w:rPr>
          <w:rFonts w:cs="Arial" w:hint="cs"/>
          <w:sz w:val="18"/>
          <w:szCs w:val="18"/>
          <w:rtl/>
        </w:rPr>
        <w:t>בודת כוכבים</w:t>
      </w:r>
      <w:r>
        <w:rPr>
          <w:rStyle w:val="a7"/>
          <w:rFonts w:cs="Arial"/>
          <w:sz w:val="18"/>
          <w:szCs w:val="18"/>
          <w:rtl/>
        </w:rPr>
        <w:footnoteReference w:id="1108"/>
      </w:r>
      <w:r w:rsidRPr="00213A14">
        <w:rPr>
          <w:rFonts w:cs="Arial"/>
          <w:sz w:val="18"/>
          <w:szCs w:val="18"/>
          <w:rtl/>
        </w:rPr>
        <w:t xml:space="preserve"> (</w:t>
      </w:r>
      <w:r w:rsidRPr="00213A14">
        <w:rPr>
          <w:rFonts w:cs="Arial" w:hint="cs"/>
          <w:sz w:val="18"/>
          <w:szCs w:val="18"/>
          <w:rtl/>
        </w:rPr>
        <w:t>הכל</w:t>
      </w:r>
      <w:r w:rsidRPr="00213A14">
        <w:rPr>
          <w:rFonts w:cs="Arial"/>
          <w:sz w:val="18"/>
          <w:szCs w:val="18"/>
          <w:rtl/>
        </w:rPr>
        <w:t xml:space="preserve"> </w:t>
      </w:r>
      <w:r w:rsidRPr="00213A14">
        <w:rPr>
          <w:rFonts w:cs="Arial" w:hint="cs"/>
          <w:sz w:val="18"/>
          <w:szCs w:val="18"/>
          <w:rtl/>
        </w:rPr>
        <w:t>בסדר</w:t>
      </w:r>
      <w:r w:rsidRPr="00213A14">
        <w:rPr>
          <w:rFonts w:cs="Arial"/>
          <w:sz w:val="18"/>
          <w:szCs w:val="18"/>
          <w:rtl/>
        </w:rPr>
        <w:t xml:space="preserve"> </w:t>
      </w:r>
      <w:r w:rsidRPr="00213A14">
        <w:rPr>
          <w:rFonts w:cs="Arial" w:hint="cs"/>
          <w:sz w:val="18"/>
          <w:szCs w:val="18"/>
          <w:rtl/>
        </w:rPr>
        <w:t>גיטין</w:t>
      </w:r>
      <w:r w:rsidRPr="00213A14">
        <w:rPr>
          <w:rFonts w:cs="Arial"/>
          <w:sz w:val="18"/>
          <w:szCs w:val="18"/>
          <w:rtl/>
        </w:rPr>
        <w:t>).</w:t>
      </w:r>
    </w:p>
    <w:p w14:paraId="1C4EBC33" w14:textId="77777777" w:rsidR="00FA2119" w:rsidRPr="001A6DC6" w:rsidRDefault="00FA2119" w:rsidP="00FA2119">
      <w:pPr>
        <w:rPr>
          <w:u w:val="single"/>
          <w:rtl/>
        </w:rPr>
      </w:pPr>
      <w:r w:rsidRPr="001A6DC6">
        <w:rPr>
          <w:rFonts w:hint="cs"/>
          <w:u w:val="single"/>
          <w:rtl/>
        </w:rPr>
        <w:t xml:space="preserve">שינה שם </w:t>
      </w:r>
      <w:r>
        <w:rPr>
          <w:rFonts w:hint="cs"/>
          <w:u w:val="single"/>
          <w:rtl/>
        </w:rPr>
        <w:t>אביה</w:t>
      </w:r>
      <w:r w:rsidRPr="001A6DC6">
        <w:rPr>
          <w:rFonts w:hint="cs"/>
          <w:u w:val="single"/>
          <w:rtl/>
        </w:rPr>
        <w:t>:</w:t>
      </w:r>
    </w:p>
    <w:p w14:paraId="1396A282" w14:textId="7626F22A" w:rsidR="00FA2119" w:rsidRPr="00B942E1" w:rsidRDefault="00FA2119" w:rsidP="00FA2119">
      <w:pPr>
        <w:pStyle w:val="ab"/>
        <w:numPr>
          <w:ilvl w:val="0"/>
          <w:numId w:val="69"/>
        </w:numPr>
      </w:pPr>
      <w:r w:rsidRPr="0027707A">
        <w:rPr>
          <w:rFonts w:cs="Arial"/>
          <w:rtl/>
        </w:rPr>
        <w:t xml:space="preserve">ג"פ </w:t>
      </w:r>
      <w:r w:rsidRPr="00C96B9F">
        <w:rPr>
          <w:rFonts w:cs="Arial" w:hint="cs"/>
          <w:sz w:val="16"/>
          <w:szCs w:val="16"/>
          <w:rtl/>
        </w:rPr>
        <w:t>(</w:t>
      </w:r>
      <w:r w:rsidRPr="00C96B9F">
        <w:rPr>
          <w:rFonts w:cs="Arial"/>
          <w:sz w:val="16"/>
          <w:szCs w:val="16"/>
          <w:rtl/>
        </w:rPr>
        <w:t>סקמ"ט</w:t>
      </w:r>
      <w:r w:rsidRPr="00C96B9F">
        <w:rPr>
          <w:rFonts w:cs="Arial" w:hint="cs"/>
          <w:sz w:val="16"/>
          <w:szCs w:val="16"/>
          <w:rtl/>
        </w:rPr>
        <w:t>)</w:t>
      </w:r>
      <w:r w:rsidR="00A82951">
        <w:rPr>
          <w:rFonts w:cs="Arial" w:hint="cs"/>
          <w:rtl/>
        </w:rPr>
        <w:t>-</w:t>
      </w:r>
      <w:r>
        <w:rPr>
          <w:rFonts w:cs="Arial" w:hint="cs"/>
          <w:rtl/>
        </w:rPr>
        <w:t xml:space="preserve"> </w:t>
      </w:r>
      <w:r w:rsidRPr="0027707A">
        <w:rPr>
          <w:rFonts w:cs="Arial"/>
          <w:rtl/>
        </w:rPr>
        <w:t xml:space="preserve">ואי לאו דמסתפינא הו"א דאפי' מהריב"ל לא קאמר דתצא אלא בשינוי שם אבי </w:t>
      </w:r>
      <w:r w:rsidRPr="0027707A">
        <w:rPr>
          <w:rFonts w:cs="Arial"/>
          <w:b/>
          <w:bCs/>
          <w:rtl/>
        </w:rPr>
        <w:t>המגרש</w:t>
      </w:r>
      <w:r>
        <w:rPr>
          <w:rFonts w:cs="Arial" w:hint="cs"/>
          <w:rtl/>
        </w:rPr>
        <w:t>,</w:t>
      </w:r>
      <w:r w:rsidRPr="0027707A">
        <w:rPr>
          <w:rFonts w:cs="Arial"/>
          <w:rtl/>
        </w:rPr>
        <w:t xml:space="preserve"> משום דדמי לשינה מקום דירתו יען אדם נק' ע"ש אביו פב"פ כמו שכותבין בשטרות וכן קורין אותו לס"ת</w:t>
      </w:r>
      <w:r w:rsidR="00E13077">
        <w:rPr>
          <w:rFonts w:cs="Arial" w:hint="cs"/>
          <w:rtl/>
        </w:rPr>
        <w:t>.</w:t>
      </w:r>
      <w:r w:rsidRPr="0027707A">
        <w:rPr>
          <w:rFonts w:cs="Arial"/>
          <w:rtl/>
        </w:rPr>
        <w:t xml:space="preserve"> אבל האשה בעודה בבית אביה קטנה או נערה אינה חותמת שום שטר</w:t>
      </w:r>
      <w:r w:rsidR="00E13077">
        <w:rPr>
          <w:rFonts w:cs="Arial" w:hint="cs"/>
          <w:rtl/>
        </w:rPr>
        <w:t>,</w:t>
      </w:r>
      <w:r w:rsidRPr="0027707A">
        <w:rPr>
          <w:rFonts w:cs="Arial"/>
          <w:rtl/>
        </w:rPr>
        <w:t xml:space="preserve"> ומשנשאת אינה נקראת על שם אביה כ"א על שם בעלה אשת פ' או אלמנת פ'</w:t>
      </w:r>
      <w:r w:rsidR="00E13077">
        <w:rPr>
          <w:rFonts w:cs="Arial" w:hint="cs"/>
          <w:rtl/>
        </w:rPr>
        <w:t>,</w:t>
      </w:r>
      <w:r w:rsidRPr="0027707A">
        <w:rPr>
          <w:rFonts w:cs="Arial"/>
          <w:rtl/>
        </w:rPr>
        <w:t xml:space="preserve"> וכיון שכן דמיא לשינוי שם הלידה דכשר משום שאין אדם נקרא על שם לידת'</w:t>
      </w:r>
      <w:r>
        <w:rPr>
          <w:rFonts w:cs="Arial" w:hint="cs"/>
          <w:rtl/>
        </w:rPr>
        <w:t>.</w:t>
      </w:r>
      <w:r w:rsidRPr="0027707A">
        <w:rPr>
          <w:rFonts w:cs="Arial"/>
          <w:rtl/>
        </w:rPr>
        <w:t xml:space="preserve"> אבל מה אעשה דבתשו' הרא"ם </w:t>
      </w:r>
      <w:r>
        <w:rPr>
          <w:rFonts w:cs="Arial" w:hint="cs"/>
          <w:rtl/>
        </w:rPr>
        <w:t>(</w:t>
      </w:r>
      <w:r w:rsidRPr="0027707A">
        <w:rPr>
          <w:rFonts w:cs="Arial"/>
          <w:rtl/>
        </w:rPr>
        <w:t>סי' סו</w:t>
      </w:r>
      <w:r>
        <w:rPr>
          <w:rFonts w:cs="Arial" w:hint="cs"/>
          <w:rtl/>
        </w:rPr>
        <w:t>)</w:t>
      </w:r>
      <w:r w:rsidRPr="0027707A">
        <w:rPr>
          <w:rFonts w:cs="Arial"/>
          <w:rtl/>
        </w:rPr>
        <w:t xml:space="preserve"> והרח"ש </w:t>
      </w:r>
      <w:r>
        <w:rPr>
          <w:rFonts w:cs="Arial" w:hint="cs"/>
          <w:rtl/>
        </w:rPr>
        <w:t>(</w:t>
      </w:r>
      <w:r w:rsidRPr="0027707A">
        <w:rPr>
          <w:rFonts w:cs="Arial"/>
          <w:rtl/>
        </w:rPr>
        <w:t>סי' ג</w:t>
      </w:r>
      <w:r>
        <w:rPr>
          <w:rFonts w:cs="Arial" w:hint="cs"/>
          <w:rtl/>
        </w:rPr>
        <w:t>)</w:t>
      </w:r>
      <w:r w:rsidRPr="0027707A">
        <w:rPr>
          <w:rFonts w:cs="Arial"/>
          <w:rtl/>
        </w:rPr>
        <w:t xml:space="preserve"> לא חילקו כה"ג בין אבי האיש לאבי האשה</w:t>
      </w:r>
      <w:r>
        <w:rPr>
          <w:rFonts w:cs="Arial" w:hint="cs"/>
          <w:rtl/>
        </w:rPr>
        <w:t>.</w:t>
      </w:r>
      <w:r w:rsidRPr="0027707A">
        <w:rPr>
          <w:rFonts w:cs="Arial"/>
          <w:rtl/>
        </w:rPr>
        <w:t xml:space="preserve"> אך מצאתי רמז סיוע מתוך דברי הראנ"ח </w:t>
      </w:r>
      <w:r>
        <w:rPr>
          <w:rFonts w:cs="Arial" w:hint="cs"/>
          <w:rtl/>
        </w:rPr>
        <w:t>(</w:t>
      </w:r>
      <w:r w:rsidRPr="0027707A">
        <w:rPr>
          <w:rFonts w:cs="Arial"/>
          <w:rtl/>
        </w:rPr>
        <w:t>ח"א סי</w:t>
      </w:r>
      <w:r>
        <w:rPr>
          <w:rFonts w:cs="Arial" w:hint="cs"/>
          <w:rtl/>
        </w:rPr>
        <w:t>'</w:t>
      </w:r>
      <w:r w:rsidRPr="0027707A">
        <w:rPr>
          <w:rFonts w:cs="Arial"/>
          <w:rtl/>
        </w:rPr>
        <w:t xml:space="preserve"> יא</w:t>
      </w:r>
      <w:r>
        <w:rPr>
          <w:rFonts w:cs="Arial" w:hint="cs"/>
          <w:rtl/>
        </w:rPr>
        <w:t>)</w:t>
      </w:r>
      <w:r w:rsidRPr="0027707A">
        <w:rPr>
          <w:rFonts w:cs="Arial"/>
          <w:rtl/>
        </w:rPr>
        <w:t xml:space="preserve"> דכתב לחלק בין אבי האיש לאבי האשה דאפי' מהרי"א דכתב דשם אביו צריך לכתוב בגט אבל שם אביה יודה לשאר הפוסקי</w:t>
      </w:r>
      <w:r>
        <w:rPr>
          <w:rFonts w:cs="Arial" w:hint="cs"/>
          <w:rtl/>
        </w:rPr>
        <w:t>ם.</w:t>
      </w:r>
    </w:p>
    <w:p w14:paraId="14E50EA0" w14:textId="77777777" w:rsidR="00FA2119" w:rsidRDefault="00FA2119" w:rsidP="00FA2119">
      <w:pPr>
        <w:rPr>
          <w:rtl/>
        </w:rPr>
      </w:pPr>
    </w:p>
    <w:p w14:paraId="326EC8D9" w14:textId="77777777" w:rsidR="00FA2119" w:rsidRDefault="00FA2119" w:rsidP="00FA2119">
      <w:pPr>
        <w:pStyle w:val="2"/>
        <w:rPr>
          <w:rtl/>
        </w:rPr>
      </w:pPr>
      <w:r>
        <w:rPr>
          <w:rFonts w:hint="cs"/>
          <w:rtl/>
        </w:rPr>
        <w:t>סעיף</w:t>
      </w:r>
      <w:r>
        <w:rPr>
          <w:rtl/>
        </w:rPr>
        <w:t xml:space="preserve"> </w:t>
      </w:r>
      <w:r>
        <w:rPr>
          <w:rFonts w:hint="cs"/>
          <w:rtl/>
        </w:rPr>
        <w:t>יא: לא כתב שם האיש והאשה.</w:t>
      </w:r>
    </w:p>
    <w:p w14:paraId="5F1BF390" w14:textId="77777777" w:rsidR="00FA2119" w:rsidRPr="009C2E58" w:rsidRDefault="00FA2119" w:rsidP="00FA2119">
      <w:pPr>
        <w:rPr>
          <w:u w:val="single"/>
          <w:rtl/>
        </w:rPr>
      </w:pPr>
      <w:r w:rsidRPr="009C2E58">
        <w:rPr>
          <w:rFonts w:hint="cs"/>
          <w:u w:val="single"/>
          <w:rtl/>
        </w:rPr>
        <w:t>לא כתב</w:t>
      </w:r>
      <w:r>
        <w:rPr>
          <w:rFonts w:hint="cs"/>
          <w:u w:val="single"/>
          <w:rtl/>
        </w:rPr>
        <w:t xml:space="preserve"> בגט את</w:t>
      </w:r>
      <w:r w:rsidRPr="009C2E58">
        <w:rPr>
          <w:rFonts w:hint="cs"/>
          <w:u w:val="single"/>
          <w:rtl/>
        </w:rPr>
        <w:t xml:space="preserve"> שם האיש והאשה:</w:t>
      </w:r>
    </w:p>
    <w:p w14:paraId="4E5BC722" w14:textId="550C8CF2" w:rsidR="00FA2119" w:rsidRPr="002A6B50" w:rsidRDefault="00FA2119" w:rsidP="00FA2119">
      <w:pPr>
        <w:pStyle w:val="ab"/>
        <w:numPr>
          <w:ilvl w:val="0"/>
          <w:numId w:val="75"/>
        </w:numPr>
      </w:pPr>
      <w:r w:rsidRPr="009C2E58">
        <w:rPr>
          <w:rFonts w:cs="Arial"/>
          <w:rtl/>
        </w:rPr>
        <w:lastRenderedPageBreak/>
        <w:t>הג</w:t>
      </w:r>
      <w:r>
        <w:rPr>
          <w:rFonts w:cs="Arial" w:hint="cs"/>
          <w:rtl/>
        </w:rPr>
        <w:t>"</w:t>
      </w:r>
      <w:r w:rsidRPr="009C2E58">
        <w:rPr>
          <w:rFonts w:cs="Arial"/>
          <w:rtl/>
        </w:rPr>
        <w:t xml:space="preserve">א </w:t>
      </w:r>
      <w:r w:rsidRPr="002A6B50">
        <w:rPr>
          <w:rFonts w:cs="Arial" w:hint="cs"/>
          <w:sz w:val="16"/>
          <w:szCs w:val="16"/>
          <w:rtl/>
        </w:rPr>
        <w:t>(</w:t>
      </w:r>
      <w:r w:rsidRPr="002A6B50">
        <w:rPr>
          <w:rFonts w:cs="Arial"/>
          <w:sz w:val="16"/>
          <w:szCs w:val="16"/>
          <w:rtl/>
        </w:rPr>
        <w:t>פ</w:t>
      </w:r>
      <w:r w:rsidRPr="002A6B50">
        <w:rPr>
          <w:rFonts w:cs="Arial" w:hint="cs"/>
          <w:sz w:val="16"/>
          <w:szCs w:val="16"/>
          <w:rtl/>
        </w:rPr>
        <w:t>"</w:t>
      </w:r>
      <w:r w:rsidRPr="002A6B50">
        <w:rPr>
          <w:rFonts w:cs="Arial"/>
          <w:sz w:val="16"/>
          <w:szCs w:val="16"/>
          <w:rtl/>
        </w:rPr>
        <w:t>ב סי' יז)</w:t>
      </w:r>
      <w:r w:rsidRPr="009C2E58">
        <w:rPr>
          <w:rFonts w:cs="Arial"/>
          <w:rtl/>
        </w:rPr>
        <w:t xml:space="preserve"> בשם או</w:t>
      </w:r>
      <w:r>
        <w:rPr>
          <w:rFonts w:cs="Arial" w:hint="cs"/>
          <w:rtl/>
        </w:rPr>
        <w:t>"</w:t>
      </w:r>
      <w:r w:rsidRPr="009C2E58">
        <w:rPr>
          <w:rFonts w:cs="Arial"/>
          <w:rtl/>
        </w:rPr>
        <w:t>ז</w:t>
      </w:r>
      <w:r w:rsidRPr="002A6B50">
        <w:rPr>
          <w:rFonts w:cs="Arial"/>
          <w:sz w:val="16"/>
          <w:szCs w:val="16"/>
          <w:rtl/>
        </w:rPr>
        <w:t xml:space="preserve"> (סי' תשטו)</w:t>
      </w:r>
      <w:r w:rsidR="00A82951">
        <w:rPr>
          <w:rFonts w:cs="Arial" w:hint="cs"/>
          <w:rtl/>
        </w:rPr>
        <w:t>-</w:t>
      </w:r>
      <w:r w:rsidRPr="009C2E58">
        <w:rPr>
          <w:rFonts w:cs="Arial"/>
          <w:rtl/>
        </w:rPr>
        <w:t xml:space="preserve"> אם לא כתב שם האיש והאשה בגט </w:t>
      </w:r>
      <w:r w:rsidR="00A82951">
        <w:rPr>
          <w:rFonts w:cs="Arial" w:hint="cs"/>
          <w:rtl/>
        </w:rPr>
        <w:t>-</w:t>
      </w:r>
      <w:r>
        <w:rPr>
          <w:rFonts w:cs="Arial" w:hint="cs"/>
          <w:rtl/>
        </w:rPr>
        <w:t xml:space="preserve"> </w:t>
      </w:r>
      <w:r w:rsidRPr="009C2E58">
        <w:rPr>
          <w:rFonts w:cs="Arial"/>
          <w:rtl/>
        </w:rPr>
        <w:t>הגט פסול והבנים ממזרים</w:t>
      </w:r>
      <w:r>
        <w:rPr>
          <w:rStyle w:val="a7"/>
          <w:rFonts w:cs="Arial"/>
          <w:rtl/>
        </w:rPr>
        <w:footnoteReference w:id="1109"/>
      </w:r>
      <w:r w:rsidRPr="009C2E58">
        <w:rPr>
          <w:rFonts w:cs="Arial"/>
          <w:rtl/>
        </w:rPr>
        <w:t xml:space="preserve">. </w:t>
      </w:r>
      <w:r w:rsidRPr="00C93C03">
        <w:rPr>
          <w:rFonts w:hint="cs"/>
          <w:color w:val="E36C0A" w:themeColor="accent6" w:themeShade="BF"/>
          <w:rtl/>
        </w:rPr>
        <w:t>(וכ"פ בשו"ע)</w:t>
      </w:r>
    </w:p>
    <w:p w14:paraId="31F34BCE" w14:textId="437CBEAF" w:rsidR="00FA2119" w:rsidRPr="002A6B50" w:rsidRDefault="00FA2119" w:rsidP="00FA2119">
      <w:pPr>
        <w:pStyle w:val="ab"/>
        <w:numPr>
          <w:ilvl w:val="0"/>
          <w:numId w:val="75"/>
        </w:numPr>
        <w:rPr>
          <w:rFonts w:cs="Arial"/>
        </w:rPr>
      </w:pPr>
      <w:r w:rsidRPr="008D6412">
        <w:rPr>
          <w:rFonts w:cs="Arial"/>
          <w:rtl/>
        </w:rPr>
        <w:t>ראבי"ה</w:t>
      </w:r>
      <w:r w:rsidRPr="00312913">
        <w:rPr>
          <w:rFonts w:cs="Arial"/>
          <w:sz w:val="16"/>
          <w:szCs w:val="16"/>
          <w:rtl/>
        </w:rPr>
        <w:t xml:space="preserve"> </w:t>
      </w:r>
      <w:r w:rsidRPr="00312913">
        <w:rPr>
          <w:rFonts w:cs="Arial" w:hint="cs"/>
          <w:sz w:val="16"/>
          <w:szCs w:val="16"/>
          <w:rtl/>
        </w:rPr>
        <w:t>(</w:t>
      </w:r>
      <w:r w:rsidRPr="00312913">
        <w:rPr>
          <w:rFonts w:cs="Arial"/>
          <w:sz w:val="16"/>
          <w:szCs w:val="16"/>
          <w:rtl/>
        </w:rPr>
        <w:t>סי' תתקלט</w:t>
      </w:r>
      <w:r>
        <w:rPr>
          <w:rFonts w:cs="Arial" w:hint="cs"/>
          <w:sz w:val="16"/>
          <w:szCs w:val="16"/>
          <w:rtl/>
        </w:rPr>
        <w:t>, והביאו המרדכי [סי' שנד]</w:t>
      </w:r>
      <w:r w:rsidRPr="00312913">
        <w:rPr>
          <w:rFonts w:cs="Arial"/>
          <w:sz w:val="16"/>
          <w:szCs w:val="16"/>
          <w:rtl/>
        </w:rPr>
        <w:t>)</w:t>
      </w:r>
      <w:r w:rsidR="00A82951">
        <w:rPr>
          <w:rFonts w:cs="Arial" w:hint="cs"/>
          <w:rtl/>
        </w:rPr>
        <w:t>-</w:t>
      </w:r>
      <w:r>
        <w:rPr>
          <w:rFonts w:cs="Arial" w:hint="cs"/>
          <w:rtl/>
        </w:rPr>
        <w:t xml:space="preserve"> </w:t>
      </w:r>
      <w:r w:rsidRPr="006620BE">
        <w:rPr>
          <w:rFonts w:cs="Arial"/>
          <w:rtl/>
        </w:rPr>
        <w:t>אי לאו דמסתפינא מחברי' נראין הדברים אפילו לא היה מזכיר שם האיש והאשה בגט שהוא כשר</w:t>
      </w:r>
      <w:r>
        <w:rPr>
          <w:rFonts w:cs="Arial" w:hint="cs"/>
          <w:rtl/>
        </w:rPr>
        <w:t>,</w:t>
      </w:r>
      <w:r w:rsidRPr="006620BE">
        <w:rPr>
          <w:rFonts w:cs="Arial"/>
          <w:rtl/>
        </w:rPr>
        <w:t xml:space="preserve"> רק שיהא כתוב כהלכתו</w:t>
      </w:r>
      <w:r>
        <w:rPr>
          <w:rFonts w:cs="Arial" w:hint="cs"/>
          <w:rtl/>
        </w:rPr>
        <w:t>,</w:t>
      </w:r>
      <w:r w:rsidRPr="006620BE">
        <w:rPr>
          <w:rFonts w:cs="Arial"/>
          <w:rtl/>
        </w:rPr>
        <w:t xml:space="preserve"> ואליבא דר' אלעזר דאית ליה עידי מסירה כרתי (גיטין ט</w:t>
      </w:r>
      <w:r>
        <w:rPr>
          <w:rFonts w:cs="Arial" w:hint="cs"/>
          <w:rtl/>
        </w:rPr>
        <w:t>:</w:t>
      </w:r>
      <w:r w:rsidRPr="006620BE">
        <w:rPr>
          <w:rFonts w:cs="Arial"/>
          <w:rtl/>
        </w:rPr>
        <w:t>) וקיימא לן כוותיה (שם פו</w:t>
      </w:r>
      <w:r>
        <w:rPr>
          <w:rFonts w:cs="Arial" w:hint="cs"/>
          <w:rtl/>
        </w:rPr>
        <w:t>:</w:t>
      </w:r>
      <w:r w:rsidRPr="006620BE">
        <w:rPr>
          <w:rFonts w:cs="Arial"/>
          <w:rtl/>
        </w:rPr>
        <w:t>). וכיון דקיימי עדים קמן ואמרי דנמסר לזו שהגט בידה מיד בעלה, מה לנו להזכיר שמותן. וראייה מדאמרינן בר</w:t>
      </w:r>
      <w:r>
        <w:rPr>
          <w:rFonts w:cs="Arial" w:hint="cs"/>
          <w:rtl/>
        </w:rPr>
        <w:t>"</w:t>
      </w:r>
      <w:r w:rsidRPr="006620BE">
        <w:rPr>
          <w:rFonts w:cs="Arial"/>
          <w:rtl/>
        </w:rPr>
        <w:t>פ כל הגט (כד</w:t>
      </w:r>
      <w:r>
        <w:rPr>
          <w:rFonts w:cs="Arial" w:hint="cs"/>
          <w:rtl/>
        </w:rPr>
        <w:t>:</w:t>
      </w:r>
      <w:r w:rsidRPr="006620BE">
        <w:rPr>
          <w:rFonts w:cs="Arial"/>
          <w:rtl/>
        </w:rPr>
        <w:t>)</w:t>
      </w:r>
      <w:r>
        <w:rPr>
          <w:rFonts w:cs="Arial" w:hint="cs"/>
          <w:rtl/>
        </w:rPr>
        <w:t>...</w:t>
      </w:r>
      <w:r w:rsidRPr="006620BE">
        <w:rPr>
          <w:rFonts w:cs="Arial"/>
          <w:rtl/>
        </w:rPr>
        <w:t xml:space="preserve"> ותו דאמרינן בפרק בתרא (פז</w:t>
      </w:r>
      <w:r>
        <w:rPr>
          <w:rFonts w:cs="Arial" w:hint="cs"/>
          <w:rtl/>
        </w:rPr>
        <w:t>:</w:t>
      </w:r>
      <w:r w:rsidRPr="006620BE">
        <w:rPr>
          <w:rFonts w:cs="Arial"/>
          <w:rtl/>
        </w:rPr>
        <w:t>) כתב חניכתו וחניכתה כשר. ומפרשי רבוותא אע</w:t>
      </w:r>
      <w:r>
        <w:rPr>
          <w:rFonts w:cs="Arial" w:hint="cs"/>
          <w:rtl/>
        </w:rPr>
        <w:t>"</w:t>
      </w:r>
      <w:r w:rsidRPr="006620BE">
        <w:rPr>
          <w:rFonts w:cs="Arial"/>
          <w:rtl/>
        </w:rPr>
        <w:t>פ שלא הוזכר שמותן כי אם ראש המשפחה של שניהם. ובעל כורחי' אית לן לאוקמי בעידי מסירה, דאי לא תימא הכי מה אנו יודעין איזו מן המשפחה גירש הואיל שלא הוזכר שמותן</w:t>
      </w:r>
      <w:r>
        <w:rPr>
          <w:rStyle w:val="a7"/>
          <w:rFonts w:cs="Arial"/>
          <w:rtl/>
        </w:rPr>
        <w:footnoteReference w:id="1110"/>
      </w:r>
      <w:r w:rsidRPr="006620BE">
        <w:rPr>
          <w:rFonts w:cs="Arial"/>
          <w:rtl/>
        </w:rPr>
        <w:t xml:space="preserve">. </w:t>
      </w:r>
    </w:p>
    <w:p w14:paraId="5DAFD941" w14:textId="0D15DD4B" w:rsidR="00FA2119" w:rsidRDefault="00FA2119" w:rsidP="00FA2119">
      <w:pPr>
        <w:rPr>
          <w:rFonts w:cs="Arial"/>
          <w:rtl/>
        </w:rPr>
      </w:pPr>
      <w:r>
        <w:rPr>
          <w:rFonts w:hint="cs"/>
          <w:b/>
          <w:bCs/>
          <w:rtl/>
        </w:rPr>
        <w:t>בבא בתרא</w:t>
      </w:r>
      <w:r>
        <w:rPr>
          <w:b/>
          <w:bCs/>
          <w:rtl/>
        </w:rPr>
        <w:t xml:space="preserve"> </w:t>
      </w:r>
      <w:r>
        <w:rPr>
          <w:b/>
          <w:bCs/>
          <w:szCs w:val="16"/>
          <w:rtl/>
        </w:rPr>
        <w:t xml:space="preserve">(פ' </w:t>
      </w:r>
      <w:r>
        <w:rPr>
          <w:rFonts w:hint="cs"/>
          <w:b/>
          <w:bCs/>
          <w:szCs w:val="16"/>
          <w:rtl/>
        </w:rPr>
        <w:t>גט פשוט</w:t>
      </w:r>
      <w:r>
        <w:rPr>
          <w:b/>
          <w:bCs/>
          <w:szCs w:val="16"/>
          <w:rtl/>
        </w:rPr>
        <w:t xml:space="preserve">) </w:t>
      </w:r>
      <w:r>
        <w:rPr>
          <w:rFonts w:hint="cs"/>
          <w:b/>
          <w:bCs/>
          <w:rtl/>
        </w:rPr>
        <w:t>קסז</w:t>
      </w:r>
      <w:r>
        <w:rPr>
          <w:b/>
          <w:bCs/>
          <w:rtl/>
        </w:rPr>
        <w:t xml:space="preserve"> ע"א:</w:t>
      </w:r>
      <w:r>
        <w:rPr>
          <w:rFonts w:hint="cs"/>
          <w:rtl/>
        </w:rPr>
        <w:t xml:space="preserve"> </w:t>
      </w:r>
      <w:r w:rsidRPr="009A4411">
        <w:rPr>
          <w:rFonts w:cs="Arial"/>
          <w:u w:val="double"/>
          <w:rtl/>
        </w:rPr>
        <w:t>מתני'</w:t>
      </w:r>
      <w:r>
        <w:rPr>
          <w:rFonts w:cs="Arial" w:hint="cs"/>
          <w:rtl/>
        </w:rPr>
        <w:t>:</w:t>
      </w:r>
      <w:r w:rsidRPr="006A69BD">
        <w:rPr>
          <w:rFonts w:cs="Arial"/>
          <w:rtl/>
        </w:rPr>
        <w:t xml:space="preserve"> כותבין גט לאיש אף על פי שאין אשתו עמו, והשובר לאשה </w:t>
      </w:r>
      <w:r w:rsidR="00A82951">
        <w:rPr>
          <w:rFonts w:cs="Arial"/>
          <w:rtl/>
        </w:rPr>
        <w:t>-</w:t>
      </w:r>
      <w:r w:rsidRPr="006A69BD">
        <w:rPr>
          <w:rFonts w:cs="Arial"/>
          <w:rtl/>
        </w:rPr>
        <w:t xml:space="preserve"> אף על פי שאין בעלה עמה, ובלבד שיהא מכירן; והבעל נותן שכר</w:t>
      </w:r>
      <w:r>
        <w:rPr>
          <w:rFonts w:cs="Arial" w:hint="cs"/>
          <w:rtl/>
        </w:rPr>
        <w:t>..</w:t>
      </w:r>
      <w:r w:rsidRPr="006A69BD">
        <w:rPr>
          <w:rFonts w:cs="Arial"/>
          <w:rtl/>
        </w:rPr>
        <w:t>.</w:t>
      </w:r>
      <w:r>
        <w:rPr>
          <w:rFonts w:hint="cs"/>
          <w:rtl/>
        </w:rPr>
        <w:t xml:space="preserve">     </w:t>
      </w:r>
      <w:r w:rsidRPr="009A4411">
        <w:rPr>
          <w:rFonts w:cs="Arial"/>
          <w:u w:val="double"/>
          <w:rtl/>
        </w:rPr>
        <w:t>גמ'</w:t>
      </w:r>
      <w:r>
        <w:rPr>
          <w:rFonts w:cs="Arial" w:hint="cs"/>
          <w:u w:val="double"/>
          <w:rtl/>
        </w:rPr>
        <w:t xml:space="preserve"> </w:t>
      </w:r>
      <w:r w:rsidRPr="009A4411">
        <w:rPr>
          <w:rFonts w:cs="Arial" w:hint="cs"/>
          <w:sz w:val="14"/>
          <w:szCs w:val="14"/>
          <w:u w:val="double"/>
          <w:rtl/>
        </w:rPr>
        <w:t>(קסז:)</w:t>
      </w:r>
      <w:r w:rsidRPr="009A4411">
        <w:rPr>
          <w:rFonts w:cs="Arial" w:hint="cs"/>
          <w:u w:val="double"/>
          <w:rtl/>
        </w:rPr>
        <w:t>:</w:t>
      </w:r>
      <w:r w:rsidRPr="009A4411">
        <w:rPr>
          <w:rFonts w:cs="Arial"/>
          <w:rtl/>
        </w:rPr>
        <w:t xml:space="preserve"> מאי ובלבד שיהא מכירן? </w:t>
      </w:r>
      <w:r w:rsidRPr="009A4411">
        <w:rPr>
          <w:rFonts w:cs="Arial"/>
          <w:u w:val="single"/>
          <w:rtl/>
        </w:rPr>
        <w:t>אמר רב יהודה אמר רב</w:t>
      </w:r>
      <w:r w:rsidRPr="009A4411">
        <w:rPr>
          <w:rFonts w:cs="Arial"/>
          <w:rtl/>
        </w:rPr>
        <w:t xml:space="preserve">: ובלבד שיהא מכיר שם האיש בגט ושם האשה בשובר. </w:t>
      </w:r>
      <w:r w:rsidRPr="00EF7564">
        <w:rPr>
          <w:rFonts w:cs="Arial"/>
          <w:u w:val="single"/>
          <w:rtl/>
        </w:rPr>
        <w:t>יתיב רב ספרא ורב אחא בר הונא ורב הונא בר חיננא ויתיב אביי גבייהו, ויתבי וקמיבעיא להו</w:t>
      </w:r>
      <w:r w:rsidRPr="009A4411">
        <w:rPr>
          <w:rFonts w:cs="Arial"/>
          <w:rtl/>
        </w:rPr>
        <w:t xml:space="preserve">: שם האיש בגט אין, שם האשה לא? שם האשה בשובר אין, שם האיש לא? וליחוש דלמא כתב גיטא ואזיל וממטי ליה לאיתתיה דהיאך, וזמנין אזלא כתבה אשה שובר ויהבה לגברא דלאו דילה! </w:t>
      </w:r>
      <w:r w:rsidRPr="009A4411">
        <w:rPr>
          <w:rFonts w:cs="Arial"/>
          <w:u w:val="single"/>
          <w:rtl/>
        </w:rPr>
        <w:t>אמר להו אביי, הכי אמר רב</w:t>
      </w:r>
      <w:r w:rsidRPr="009A4411">
        <w:rPr>
          <w:rFonts w:cs="Arial"/>
          <w:rtl/>
        </w:rPr>
        <w:t xml:space="preserve">: שם האיש בגט, והוא הדין לשם האשה; שם האשה בשובר, והוא הדין לשם האיש. וליחוש לשני יוסף בן שמעון הדרים בעיר אחת, דלמא כתיב גיטא ואזיל וממטי ליה לאיתתיה דהיאך! </w:t>
      </w:r>
      <w:r w:rsidRPr="009A4411">
        <w:rPr>
          <w:rFonts w:cs="Arial"/>
          <w:u w:val="single"/>
          <w:rtl/>
        </w:rPr>
        <w:t>אמר להו רב אחא בר הונא, הכי אמר רב</w:t>
      </w:r>
      <w:r w:rsidRPr="009A4411">
        <w:rPr>
          <w:rFonts w:cs="Arial"/>
          <w:rtl/>
        </w:rPr>
        <w:t>: שני יוסף בן שמעון הדרים בעיר אחת, אין מגרשין נשותיהן אלא זה בפני זה. וליחוש</w:t>
      </w:r>
      <w:r>
        <w:rPr>
          <w:rStyle w:val="a7"/>
          <w:rFonts w:cs="Arial"/>
          <w:rtl/>
        </w:rPr>
        <w:footnoteReference w:id="1111"/>
      </w:r>
      <w:r w:rsidRPr="009A4411">
        <w:rPr>
          <w:rFonts w:cs="Arial"/>
          <w:rtl/>
        </w:rPr>
        <w:t xml:space="preserve"> דלמא אזיל למתא אחריתא ומחזיק ליה לשמיה ביוסף בן שמעון, וכתיב גיטא וממטי ליה לאיתתיה דהיאך! </w:t>
      </w:r>
      <w:r w:rsidRPr="009A4411">
        <w:rPr>
          <w:rFonts w:cs="Arial"/>
          <w:u w:val="single"/>
          <w:rtl/>
        </w:rPr>
        <w:t>אמר להו רב הונא בר חיננא, הכי אמר רב</w:t>
      </w:r>
      <w:r w:rsidRPr="009A4411">
        <w:rPr>
          <w:rFonts w:cs="Arial"/>
          <w:rtl/>
        </w:rPr>
        <w:t xml:space="preserve">: כל שהוחזק שמו בעיר שלשים יום </w:t>
      </w:r>
      <w:r w:rsidR="00A82951">
        <w:rPr>
          <w:rFonts w:cs="Arial"/>
          <w:rtl/>
        </w:rPr>
        <w:t>-</w:t>
      </w:r>
      <w:r w:rsidRPr="009A4411">
        <w:rPr>
          <w:rFonts w:cs="Arial"/>
          <w:rtl/>
        </w:rPr>
        <w:t xml:space="preserve"> אין חוששין לו</w:t>
      </w:r>
      <w:r>
        <w:rPr>
          <w:rStyle w:val="a7"/>
          <w:rFonts w:cs="Arial"/>
          <w:rtl/>
        </w:rPr>
        <w:footnoteReference w:id="1112"/>
      </w:r>
      <w:r w:rsidRPr="009A4411">
        <w:rPr>
          <w:rFonts w:cs="Arial"/>
          <w:rtl/>
        </w:rPr>
        <w:t xml:space="preserve">. לא איתחזק, מאי? </w:t>
      </w:r>
      <w:r w:rsidRPr="009A4411">
        <w:rPr>
          <w:rFonts w:cs="Arial"/>
          <w:u w:val="single"/>
          <w:rtl/>
        </w:rPr>
        <w:t>אמר אביי</w:t>
      </w:r>
      <w:r w:rsidRPr="009A4411">
        <w:rPr>
          <w:rFonts w:cs="Arial"/>
          <w:rtl/>
        </w:rPr>
        <w:t xml:space="preserve">: דקרו ליה ועני. </w:t>
      </w:r>
      <w:r w:rsidRPr="009A4411">
        <w:rPr>
          <w:rFonts w:cs="Arial"/>
          <w:u w:val="single"/>
          <w:rtl/>
        </w:rPr>
        <w:t>רב זביד אמר</w:t>
      </w:r>
      <w:r w:rsidRPr="009A4411">
        <w:rPr>
          <w:rFonts w:cs="Arial"/>
          <w:rtl/>
        </w:rPr>
        <w:t>: רמאה ברמאותיה</w:t>
      </w:r>
      <w:r>
        <w:rPr>
          <w:rStyle w:val="a7"/>
          <w:rFonts w:cs="Arial"/>
          <w:rtl/>
        </w:rPr>
        <w:footnoteReference w:id="1113"/>
      </w:r>
      <w:r w:rsidRPr="009A4411">
        <w:rPr>
          <w:rFonts w:cs="Arial"/>
          <w:rtl/>
        </w:rPr>
        <w:t xml:space="preserve"> זהיר.</w:t>
      </w:r>
      <w:r>
        <w:rPr>
          <w:rFonts w:hint="cs"/>
          <w:rtl/>
        </w:rPr>
        <w:t xml:space="preserve"> </w:t>
      </w:r>
      <w:r w:rsidRPr="00EF7564">
        <w:rPr>
          <w:rFonts w:hint="cs"/>
          <w:sz w:val="16"/>
          <w:szCs w:val="16"/>
          <w:rtl/>
        </w:rPr>
        <w:t>(</w:t>
      </w:r>
      <w:r w:rsidRPr="00EF7564">
        <w:rPr>
          <w:rFonts w:cs="Arial"/>
          <w:sz w:val="16"/>
          <w:szCs w:val="16"/>
          <w:rtl/>
        </w:rPr>
        <w:t>והרי"ף (עז:) והרא"ש (סי' טז) השמיטו הא דלא אתחזק מאי משום דסבירי להו כרב זביד דאין תקנה אלא אם כן הוחזק</w:t>
      </w:r>
      <w:r w:rsidRPr="00EF7564">
        <w:rPr>
          <w:rFonts w:cs="Arial" w:hint="cs"/>
          <w:sz w:val="16"/>
          <w:szCs w:val="16"/>
          <w:rtl/>
        </w:rPr>
        <w:t>.</w:t>
      </w:r>
      <w:r w:rsidRPr="00EF7564">
        <w:rPr>
          <w:rFonts w:cs="Arial"/>
          <w:sz w:val="16"/>
          <w:szCs w:val="16"/>
          <w:rtl/>
        </w:rPr>
        <w:t xml:space="preserve"> וכן דעת הרמב"ם בפרק כ"ד מהלכות מלוה (ה"ד)</w:t>
      </w:r>
      <w:r>
        <w:rPr>
          <w:rFonts w:cs="Arial" w:hint="cs"/>
          <w:sz w:val="16"/>
          <w:szCs w:val="16"/>
          <w:rtl/>
        </w:rPr>
        <w:t>, ב"י)</w:t>
      </w:r>
      <w:r w:rsidRPr="00EF7564">
        <w:rPr>
          <w:rFonts w:cs="Arial"/>
          <w:rtl/>
        </w:rPr>
        <w:t xml:space="preserve"> </w:t>
      </w:r>
    </w:p>
    <w:p w14:paraId="3E2E6E07" w14:textId="77777777" w:rsidR="00FA2119" w:rsidRPr="00EF7564" w:rsidRDefault="00FA2119" w:rsidP="00FA2119">
      <w:pPr>
        <w:rPr>
          <w:u w:val="single"/>
        </w:rPr>
      </w:pPr>
      <w:r w:rsidRPr="00EF7564">
        <w:rPr>
          <w:rFonts w:cs="Arial" w:hint="cs"/>
          <w:u w:val="single"/>
          <w:rtl/>
        </w:rPr>
        <w:t xml:space="preserve">מתי מיקרי </w:t>
      </w:r>
      <w:r>
        <w:rPr>
          <w:rFonts w:cs="Arial" w:hint="cs"/>
          <w:u w:val="single"/>
          <w:rtl/>
        </w:rPr>
        <w:t>ש</w:t>
      </w:r>
      <w:r w:rsidRPr="00EF7564">
        <w:rPr>
          <w:rFonts w:cs="Arial" w:hint="cs"/>
          <w:u w:val="single"/>
          <w:rtl/>
        </w:rPr>
        <w:t>הוחזק שמו:</w:t>
      </w:r>
    </w:p>
    <w:p w14:paraId="163FCD19" w14:textId="71AB3161" w:rsidR="00FA2119" w:rsidRDefault="00FA2119" w:rsidP="00FA2119">
      <w:pPr>
        <w:pStyle w:val="ab"/>
        <w:numPr>
          <w:ilvl w:val="0"/>
          <w:numId w:val="75"/>
        </w:numPr>
      </w:pPr>
      <w:r>
        <w:rPr>
          <w:rFonts w:cs="Arial" w:hint="cs"/>
          <w:rtl/>
        </w:rPr>
        <w:t xml:space="preserve">רמב"ם </w:t>
      </w:r>
      <w:r>
        <w:rPr>
          <w:rFonts w:cs="Arial" w:hint="cs"/>
          <w:sz w:val="16"/>
          <w:szCs w:val="16"/>
          <w:rtl/>
        </w:rPr>
        <w:t>(פכ"ד ממלוה ה"ד)</w:t>
      </w:r>
      <w:r w:rsidR="00A82951">
        <w:rPr>
          <w:rFonts w:cs="Arial" w:hint="cs"/>
          <w:rtl/>
        </w:rPr>
        <w:t>-</w:t>
      </w:r>
      <w:r>
        <w:rPr>
          <w:rFonts w:cs="Arial" w:hint="cs"/>
          <w:rtl/>
        </w:rPr>
        <w:t xml:space="preserve"> </w:t>
      </w:r>
      <w:r w:rsidRPr="00EF7564">
        <w:rPr>
          <w:rFonts w:cs="Arial"/>
          <w:rtl/>
        </w:rPr>
        <w:t>כל מי שהוחזק שמו בעיר שלשים יום</w:t>
      </w:r>
      <w:r w:rsidR="002A4D52">
        <w:rPr>
          <w:rFonts w:cs="Arial" w:hint="cs"/>
          <w:rtl/>
        </w:rPr>
        <w:t>,</w:t>
      </w:r>
      <w:r w:rsidRPr="00EF7564">
        <w:rPr>
          <w:rFonts w:cs="Arial"/>
          <w:rtl/>
        </w:rPr>
        <w:t xml:space="preserve"> אין חוששין לו שמא שם אחר יש לו והוא שינהו כדי לרמות ולעשות קנוניא</w:t>
      </w:r>
      <w:r w:rsidR="002A4D52">
        <w:rPr>
          <w:rFonts w:cs="Arial" w:hint="cs"/>
          <w:rtl/>
        </w:rPr>
        <w:t>,</w:t>
      </w:r>
      <w:r w:rsidRPr="00EF7564">
        <w:rPr>
          <w:rFonts w:cs="Arial"/>
          <w:rtl/>
        </w:rPr>
        <w:t xml:space="preserve"> שאם אתה אומר כן אין לדבר סוף</w:t>
      </w:r>
      <w:r w:rsidR="002A4D52">
        <w:rPr>
          <w:rFonts w:cs="Arial" w:hint="cs"/>
          <w:rtl/>
        </w:rPr>
        <w:t>.</w:t>
      </w:r>
      <w:r w:rsidRPr="00EF7564">
        <w:rPr>
          <w:rFonts w:cs="Arial"/>
          <w:rtl/>
        </w:rPr>
        <w:t xml:space="preserve"> לפיכך</w:t>
      </w:r>
      <w:r w:rsidR="002A4D52">
        <w:rPr>
          <w:rFonts w:cs="Arial" w:hint="cs"/>
          <w:rtl/>
        </w:rPr>
        <w:t>,</w:t>
      </w:r>
      <w:r w:rsidRPr="00EF7564">
        <w:rPr>
          <w:rFonts w:cs="Arial"/>
          <w:rtl/>
        </w:rPr>
        <w:t xml:space="preserve"> מי שלא הוחזק שמו בעיר שלשים יום ובא ואמר כתבו עלי שטר שאני חייב לפלוני או לזה כך וכך דינרין, אין כותבין לו עד שיביא ראיה שזה שמו או יוחזק. </w:t>
      </w:r>
    </w:p>
    <w:p w14:paraId="28AC07A8" w14:textId="77777777" w:rsidR="00FA2119" w:rsidRPr="00D64AB3" w:rsidRDefault="00FA2119" w:rsidP="00FA2119">
      <w:pPr>
        <w:rPr>
          <w:u w:val="single"/>
        </w:rPr>
      </w:pPr>
      <w:r w:rsidRPr="00D64AB3">
        <w:rPr>
          <w:rFonts w:hint="cs"/>
          <w:u w:val="single"/>
          <w:rtl/>
        </w:rPr>
        <w:t xml:space="preserve">האם </w:t>
      </w:r>
      <w:r>
        <w:rPr>
          <w:rFonts w:hint="cs"/>
          <w:u w:val="single"/>
          <w:rtl/>
        </w:rPr>
        <w:t>צריך ב' עדים כשרים כדי</w:t>
      </w:r>
      <w:r w:rsidRPr="00D64AB3">
        <w:rPr>
          <w:rFonts w:hint="cs"/>
          <w:u w:val="single"/>
          <w:rtl/>
        </w:rPr>
        <w:t xml:space="preserve"> להעיד שזה שם האיש והאשה:</w:t>
      </w:r>
    </w:p>
    <w:p w14:paraId="6AAE8E1F" w14:textId="362FE69D" w:rsidR="00FA2119" w:rsidRDefault="00FA2119" w:rsidP="00FA2119">
      <w:pPr>
        <w:pStyle w:val="ab"/>
        <w:numPr>
          <w:ilvl w:val="0"/>
          <w:numId w:val="75"/>
        </w:numPr>
      </w:pPr>
      <w:r w:rsidRPr="009C2E58">
        <w:rPr>
          <w:rFonts w:cs="Arial"/>
          <w:rtl/>
        </w:rPr>
        <w:t xml:space="preserve">רשב"א </w:t>
      </w:r>
      <w:r w:rsidRPr="00D64AB3">
        <w:rPr>
          <w:rFonts w:cs="Arial"/>
          <w:sz w:val="16"/>
          <w:szCs w:val="16"/>
          <w:rtl/>
        </w:rPr>
        <w:t>(ב"ב קסז: ד"ה מיהא</w:t>
      </w:r>
      <w:r>
        <w:rPr>
          <w:rFonts w:cs="Arial" w:hint="cs"/>
          <w:sz w:val="16"/>
          <w:szCs w:val="16"/>
          <w:rtl/>
        </w:rPr>
        <w:t>, וכ"כ בשמו הה"מ [</w:t>
      </w:r>
      <w:r w:rsidRPr="00D64AB3">
        <w:rPr>
          <w:rFonts w:cs="Arial"/>
          <w:sz w:val="16"/>
          <w:szCs w:val="16"/>
          <w:rtl/>
        </w:rPr>
        <w:t>פכ"ד מ</w:t>
      </w:r>
      <w:r w:rsidRPr="00D64AB3">
        <w:rPr>
          <w:rFonts w:cs="Arial" w:hint="cs"/>
          <w:sz w:val="16"/>
          <w:szCs w:val="16"/>
          <w:rtl/>
        </w:rPr>
        <w:t>מלוה ה"ד</w:t>
      </w:r>
      <w:r>
        <w:rPr>
          <w:rFonts w:cs="Arial" w:hint="cs"/>
          <w:sz w:val="16"/>
          <w:szCs w:val="16"/>
          <w:rtl/>
        </w:rPr>
        <w:t>]</w:t>
      </w:r>
      <w:r w:rsidRPr="00D64AB3">
        <w:rPr>
          <w:rFonts w:cs="Arial" w:hint="cs"/>
          <w:sz w:val="16"/>
          <w:szCs w:val="16"/>
          <w:rtl/>
        </w:rPr>
        <w:t>)</w:t>
      </w:r>
      <w:r w:rsidRPr="00D64AB3">
        <w:rPr>
          <w:rFonts w:cs="Arial"/>
          <w:sz w:val="16"/>
          <w:szCs w:val="16"/>
          <w:rtl/>
        </w:rPr>
        <w:t xml:space="preserve"> </w:t>
      </w:r>
      <w:r>
        <w:rPr>
          <w:rFonts w:cs="Arial" w:hint="cs"/>
          <w:rtl/>
        </w:rPr>
        <w:t>ו</w:t>
      </w:r>
      <w:r w:rsidRPr="009C2E58">
        <w:rPr>
          <w:rFonts w:cs="Arial"/>
          <w:rtl/>
        </w:rPr>
        <w:t xml:space="preserve">ריטב"א </w:t>
      </w:r>
      <w:r w:rsidRPr="00EE2F97">
        <w:rPr>
          <w:rFonts w:cs="Arial"/>
          <w:sz w:val="16"/>
          <w:szCs w:val="16"/>
          <w:rtl/>
        </w:rPr>
        <w:t>(קסו. ד"ה אע</w:t>
      </w:r>
      <w:r>
        <w:rPr>
          <w:rFonts w:cs="Arial" w:hint="cs"/>
          <w:sz w:val="16"/>
          <w:szCs w:val="16"/>
          <w:rtl/>
        </w:rPr>
        <w:t>"</w:t>
      </w:r>
      <w:r w:rsidRPr="00EE2F97">
        <w:rPr>
          <w:rFonts w:cs="Arial"/>
          <w:sz w:val="16"/>
          <w:szCs w:val="16"/>
          <w:rtl/>
        </w:rPr>
        <w:t>ג</w:t>
      </w:r>
      <w:r>
        <w:rPr>
          <w:rFonts w:cs="Arial" w:hint="cs"/>
          <w:sz w:val="16"/>
          <w:szCs w:val="16"/>
          <w:rtl/>
        </w:rPr>
        <w:t>, וכ"כ בשמו נמוק"י [גיטין עז:]</w:t>
      </w:r>
      <w:r w:rsidRPr="00EE2F97">
        <w:rPr>
          <w:rFonts w:cs="Arial"/>
          <w:sz w:val="16"/>
          <w:szCs w:val="16"/>
          <w:rtl/>
        </w:rPr>
        <w:t>)</w:t>
      </w:r>
      <w:r w:rsidRPr="001D49D4">
        <w:rPr>
          <w:rFonts w:ascii="Arial" w:eastAsia="Calibri" w:hAnsi="Arial" w:cs="Arial"/>
          <w:vertAlign w:val="superscript"/>
          <w:rtl/>
        </w:rPr>
        <w:footnoteReference w:id="1114"/>
      </w:r>
      <w:r w:rsidR="00A82951">
        <w:rPr>
          <w:rFonts w:cs="Arial" w:hint="cs"/>
          <w:rtl/>
        </w:rPr>
        <w:t>-</w:t>
      </w:r>
      <w:r>
        <w:rPr>
          <w:rFonts w:cs="Arial" w:hint="cs"/>
          <w:rtl/>
        </w:rPr>
        <w:t xml:space="preserve"> </w:t>
      </w:r>
      <w:r w:rsidRPr="00EE2F97">
        <w:rPr>
          <w:rFonts w:cs="Arial"/>
          <w:rtl/>
        </w:rPr>
        <w:t>מהא דאמרינן אנא הוא דאמרי להו</w:t>
      </w:r>
      <w:r w:rsidR="002A4D52">
        <w:rPr>
          <w:rFonts w:cs="Arial" w:hint="cs"/>
          <w:rtl/>
        </w:rPr>
        <w:t>,</w:t>
      </w:r>
      <w:r w:rsidRPr="00EE2F97">
        <w:rPr>
          <w:rFonts w:cs="Arial"/>
          <w:rtl/>
        </w:rPr>
        <w:t xml:space="preserve"> ואמרו לי איהי היא אלא דבגר ליה קלא, שמעינן דלהכרת שם איש ושם אשה אפי' על אשה ועל קרוב ואפי' על עד אחד סומכין דמלתא דעבידא לאיגלויי היא</w:t>
      </w:r>
      <w:r>
        <w:rPr>
          <w:rFonts w:cs="Arial" w:hint="cs"/>
          <w:rtl/>
        </w:rPr>
        <w:t>.</w:t>
      </w:r>
      <w:r w:rsidRPr="00EE2F97">
        <w:rPr>
          <w:rFonts w:cs="Arial"/>
          <w:rtl/>
        </w:rPr>
        <w:t xml:space="preserve"> ודומיא דאישתמודענא דהאי אחוהי דמן אבוהי דמיתנא הוא דאמרינן ביבמות (לט</w:t>
      </w:r>
      <w:r>
        <w:rPr>
          <w:rFonts w:cs="Arial" w:hint="cs"/>
          <w:rtl/>
        </w:rPr>
        <w:t>:</w:t>
      </w:r>
      <w:r w:rsidRPr="00EE2F97">
        <w:rPr>
          <w:rFonts w:cs="Arial"/>
          <w:rtl/>
        </w:rPr>
        <w:t>) דאפי' על פי קרוב דמילתא דעבידא לאיגלויי היא</w:t>
      </w:r>
      <w:r>
        <w:rPr>
          <w:rFonts w:cs="Arial" w:hint="cs"/>
          <w:rtl/>
        </w:rPr>
        <w:t>.</w:t>
      </w:r>
      <w:r w:rsidRPr="00EE2F97">
        <w:rPr>
          <w:rFonts w:cs="Arial"/>
          <w:rtl/>
        </w:rPr>
        <w:t xml:space="preserve"> ותדע דאילו אין סומכין כאן אלא על פי עדים היאך אמרו כאן דצורבא מרבנן לא דק</w:t>
      </w:r>
      <w:r w:rsidR="00EE4F5C">
        <w:rPr>
          <w:rFonts w:cs="Arial" w:hint="cs"/>
          <w:rtl/>
        </w:rPr>
        <w:t>,</w:t>
      </w:r>
      <w:r w:rsidRPr="00EE2F97">
        <w:rPr>
          <w:rFonts w:cs="Arial"/>
          <w:rtl/>
        </w:rPr>
        <w:t xml:space="preserve"> הא דק על פי עדים ותו לא מהימן למימר דלאו איהי היא</w:t>
      </w:r>
      <w:r>
        <w:rPr>
          <w:rFonts w:cs="Arial" w:hint="cs"/>
          <w:sz w:val="16"/>
          <w:szCs w:val="16"/>
          <w:rtl/>
        </w:rPr>
        <w:t xml:space="preserve"> (ל' הרשב"א)</w:t>
      </w:r>
      <w:r>
        <w:rPr>
          <w:rStyle w:val="a7"/>
          <w:rFonts w:cs="Arial"/>
          <w:rtl/>
        </w:rPr>
        <w:footnoteReference w:id="1115"/>
      </w:r>
      <w:r w:rsidRPr="00EE2F97">
        <w:rPr>
          <w:rFonts w:cs="Arial"/>
          <w:rtl/>
        </w:rPr>
        <w:t xml:space="preserve">. </w:t>
      </w:r>
    </w:p>
    <w:p w14:paraId="458F3026" w14:textId="77777777" w:rsidR="00FA2119" w:rsidRPr="008F264D" w:rsidRDefault="00FA2119" w:rsidP="00FA2119">
      <w:pPr>
        <w:ind w:left="360"/>
        <w:rPr>
          <w:u w:val="dotted"/>
        </w:rPr>
      </w:pPr>
      <w:r w:rsidRPr="008F264D">
        <w:rPr>
          <w:rFonts w:hint="cs"/>
          <w:u w:val="dotted"/>
          <w:rtl/>
        </w:rPr>
        <w:lastRenderedPageBreak/>
        <w:t>האם אחד שמכיר את פניהם בלי שמותם יכול להעיד על סמך אחר שאמר לו שזה שמם:</w:t>
      </w:r>
    </w:p>
    <w:p w14:paraId="2137096F" w14:textId="7B354E24" w:rsidR="00FA2119" w:rsidRDefault="00FA2119" w:rsidP="00FA2119">
      <w:pPr>
        <w:pStyle w:val="ab"/>
        <w:numPr>
          <w:ilvl w:val="0"/>
          <w:numId w:val="75"/>
        </w:numPr>
      </w:pPr>
      <w:r w:rsidRPr="009C2E58">
        <w:rPr>
          <w:rFonts w:cs="Arial"/>
          <w:rtl/>
        </w:rPr>
        <w:t>נמוק"י</w:t>
      </w:r>
      <w:r w:rsidRPr="00EE2F97">
        <w:rPr>
          <w:rFonts w:cs="Arial"/>
          <w:sz w:val="16"/>
          <w:szCs w:val="16"/>
          <w:rtl/>
        </w:rPr>
        <w:t xml:space="preserve"> </w:t>
      </w:r>
      <w:r>
        <w:rPr>
          <w:rFonts w:cs="Arial" w:hint="cs"/>
          <w:sz w:val="16"/>
          <w:szCs w:val="16"/>
          <w:rtl/>
        </w:rPr>
        <w:t xml:space="preserve">(גיטין עז: </w:t>
      </w:r>
      <w:r w:rsidRPr="00EE2F97">
        <w:rPr>
          <w:rFonts w:cs="Arial"/>
          <w:sz w:val="16"/>
          <w:szCs w:val="16"/>
          <w:rtl/>
        </w:rPr>
        <w:t>שם ד"ה שיהא)</w:t>
      </w:r>
      <w:r w:rsidR="00A82951">
        <w:rPr>
          <w:rFonts w:cs="Arial" w:hint="cs"/>
          <w:rtl/>
        </w:rPr>
        <w:t>-</w:t>
      </w:r>
      <w:r w:rsidRPr="009C2E58">
        <w:rPr>
          <w:rFonts w:cs="Arial"/>
          <w:rtl/>
        </w:rPr>
        <w:t xml:space="preserve"> ובלבד שיכיר שם האיש והאשה</w:t>
      </w:r>
      <w:r>
        <w:rPr>
          <w:rFonts w:cs="Arial" w:hint="cs"/>
          <w:rtl/>
        </w:rPr>
        <w:t>,</w:t>
      </w:r>
      <w:r w:rsidRPr="009C2E58">
        <w:rPr>
          <w:rFonts w:cs="Arial"/>
          <w:rtl/>
        </w:rPr>
        <w:t xml:space="preserve"> כלומר דלא סגי בהכרת פנים ושיסמוך על אחרים בשמות משום דהוי מילתא דעבידא לאיגלויי</w:t>
      </w:r>
      <w:r>
        <w:rPr>
          <w:rFonts w:cs="Arial" w:hint="cs"/>
          <w:rtl/>
        </w:rPr>
        <w:t>,</w:t>
      </w:r>
      <w:r w:rsidRPr="009C2E58">
        <w:rPr>
          <w:rFonts w:cs="Arial"/>
          <w:rtl/>
        </w:rPr>
        <w:t xml:space="preserve"> אלא צריך שיכיר שמותיהם ג</w:t>
      </w:r>
      <w:r>
        <w:rPr>
          <w:rFonts w:cs="Arial" w:hint="cs"/>
          <w:rtl/>
        </w:rPr>
        <w:t xml:space="preserve">ם </w:t>
      </w:r>
      <w:r w:rsidRPr="009C2E58">
        <w:rPr>
          <w:rFonts w:cs="Arial"/>
          <w:rtl/>
        </w:rPr>
        <w:t>כ</w:t>
      </w:r>
      <w:r>
        <w:rPr>
          <w:rFonts w:cs="Arial" w:hint="cs"/>
          <w:rtl/>
        </w:rPr>
        <w:t>ן</w:t>
      </w:r>
      <w:r>
        <w:rPr>
          <w:rStyle w:val="a7"/>
          <w:rFonts w:cs="Arial"/>
          <w:rtl/>
        </w:rPr>
        <w:footnoteReference w:id="1116"/>
      </w:r>
      <w:r>
        <w:rPr>
          <w:rFonts w:cs="Arial" w:hint="cs"/>
          <w:rtl/>
        </w:rPr>
        <w:t>.</w:t>
      </w:r>
      <w:r w:rsidRPr="009C2E58">
        <w:rPr>
          <w:rFonts w:cs="Arial"/>
          <w:rtl/>
        </w:rPr>
        <w:t xml:space="preserve"> </w:t>
      </w:r>
    </w:p>
    <w:p w14:paraId="5771A2D1" w14:textId="77777777" w:rsidR="00FA2119" w:rsidRPr="008F264D" w:rsidRDefault="00FA2119" w:rsidP="00FA2119">
      <w:pPr>
        <w:ind w:left="360"/>
        <w:rPr>
          <w:u w:val="dotted"/>
        </w:rPr>
      </w:pPr>
      <w:r w:rsidRPr="008F264D">
        <w:rPr>
          <w:rFonts w:hint="cs"/>
          <w:u w:val="dotted"/>
          <w:rtl/>
        </w:rPr>
        <w:t>האם הבעל/האשה נאמנים לומר מה שם אביהם:</w:t>
      </w:r>
    </w:p>
    <w:p w14:paraId="3D800E4F" w14:textId="727CEA32" w:rsidR="00FA2119" w:rsidRPr="005C2E6F" w:rsidRDefault="00FA2119" w:rsidP="00FA2119">
      <w:pPr>
        <w:pStyle w:val="ab"/>
        <w:numPr>
          <w:ilvl w:val="0"/>
          <w:numId w:val="75"/>
        </w:numPr>
      </w:pPr>
      <w:r>
        <w:rPr>
          <w:rFonts w:cs="Arial" w:hint="cs"/>
          <w:rtl/>
        </w:rPr>
        <w:t>ב"י</w:t>
      </w:r>
      <w:r w:rsidR="00A82951">
        <w:rPr>
          <w:rFonts w:cs="Arial" w:hint="cs"/>
          <w:rtl/>
        </w:rPr>
        <w:t>-</w:t>
      </w:r>
      <w:r>
        <w:rPr>
          <w:rFonts w:cs="Arial" w:hint="cs"/>
          <w:rtl/>
        </w:rPr>
        <w:t xml:space="preserve"> </w:t>
      </w:r>
      <w:r w:rsidRPr="009C2E58">
        <w:rPr>
          <w:rFonts w:cs="Arial"/>
          <w:rtl/>
        </w:rPr>
        <w:t xml:space="preserve">לענין שם אביו יש לדקדק מדברי הרמב"ם </w:t>
      </w:r>
      <w:r>
        <w:rPr>
          <w:rFonts w:cs="Arial" w:hint="cs"/>
          <w:rtl/>
        </w:rPr>
        <w:t>(</w:t>
      </w:r>
      <w:r w:rsidRPr="009C2E58">
        <w:rPr>
          <w:rFonts w:cs="Arial"/>
          <w:rtl/>
        </w:rPr>
        <w:t>פכ"ד מ</w:t>
      </w:r>
      <w:r>
        <w:rPr>
          <w:rFonts w:cs="Arial" w:hint="cs"/>
          <w:rtl/>
        </w:rPr>
        <w:t>מלוה</w:t>
      </w:r>
      <w:r w:rsidRPr="009C2E58">
        <w:rPr>
          <w:rFonts w:cs="Arial"/>
          <w:rtl/>
        </w:rPr>
        <w:t xml:space="preserve"> ה"ג) שאין כותבין על פיו</w:t>
      </w:r>
      <w:r>
        <w:rPr>
          <w:rFonts w:cs="Arial" w:hint="cs"/>
          <w:rtl/>
        </w:rPr>
        <w:t>,</w:t>
      </w:r>
      <w:r w:rsidRPr="009C2E58">
        <w:rPr>
          <w:rFonts w:cs="Arial"/>
          <w:rtl/>
        </w:rPr>
        <w:t xml:space="preserve"> שכתב</w:t>
      </w:r>
      <w:r>
        <w:rPr>
          <w:rFonts w:cs="Arial" w:hint="cs"/>
          <w:rtl/>
        </w:rPr>
        <w:t>:</w:t>
      </w:r>
      <w:r w:rsidRPr="009C2E58">
        <w:rPr>
          <w:rFonts w:cs="Arial"/>
          <w:rtl/>
        </w:rPr>
        <w:t xml:space="preserve"> אחד השטרות הנכתבים לאחד וכו' צריכים שיהיו העדים מכירים השמות שבשטר שזהו פלוני בן פלוני וכו'. ואע</w:t>
      </w:r>
      <w:r>
        <w:rPr>
          <w:rFonts w:cs="Arial" w:hint="cs"/>
          <w:rtl/>
        </w:rPr>
        <w:t>"</w:t>
      </w:r>
      <w:r w:rsidRPr="009C2E58">
        <w:rPr>
          <w:rFonts w:cs="Arial"/>
          <w:rtl/>
        </w:rPr>
        <w:t>פ שכתב שם בסמוך (ה"ד) כל מי שהוחזק שמו בעיר שלשים יום אין חוששין לו וכו'</w:t>
      </w:r>
      <w:r>
        <w:rPr>
          <w:rFonts w:cs="Arial" w:hint="cs"/>
          <w:rtl/>
        </w:rPr>
        <w:t>,</w:t>
      </w:r>
      <w:r w:rsidRPr="009C2E58">
        <w:rPr>
          <w:rFonts w:cs="Arial"/>
          <w:rtl/>
        </w:rPr>
        <w:t xml:space="preserve"> ולא כתב כל מי שהוחזק שמו ושם אביו, י"ל דלישנא דגמרא נקט כמנהגו</w:t>
      </w:r>
      <w:r>
        <w:rPr>
          <w:rFonts w:cs="Arial" w:hint="cs"/>
          <w:rtl/>
        </w:rPr>
        <w:t>,</w:t>
      </w:r>
      <w:r w:rsidRPr="009C2E58">
        <w:rPr>
          <w:rFonts w:cs="Arial"/>
          <w:rtl/>
        </w:rPr>
        <w:t xml:space="preserve"> ובגמרא כי אמרינן כל מי שהוחזק שמו היינו שמו ושם אביו</w:t>
      </w:r>
      <w:r>
        <w:rPr>
          <w:rFonts w:cs="Arial" w:hint="cs"/>
          <w:rtl/>
        </w:rPr>
        <w:t>,</w:t>
      </w:r>
      <w:r w:rsidRPr="009C2E58">
        <w:rPr>
          <w:rFonts w:cs="Arial"/>
          <w:rtl/>
        </w:rPr>
        <w:t xml:space="preserve"> אלא דלישנא קלילא נקט כנ"ל</w:t>
      </w:r>
      <w:r>
        <w:rPr>
          <w:rFonts w:cs="Arial" w:hint="cs"/>
          <w:rtl/>
        </w:rPr>
        <w:t>.</w:t>
      </w:r>
      <w:r w:rsidRPr="009C2E58">
        <w:rPr>
          <w:rFonts w:cs="Arial"/>
          <w:rtl/>
        </w:rPr>
        <w:t xml:space="preserve"> אבל ראיתי נוהגים לכתוב שם אביו על פיו</w:t>
      </w:r>
      <w:r>
        <w:rPr>
          <w:rFonts w:cs="Arial" w:hint="cs"/>
          <w:rtl/>
        </w:rPr>
        <w:t>.</w:t>
      </w:r>
    </w:p>
    <w:p w14:paraId="74B1B321"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031EF4C" w14:textId="77777777" w:rsidR="00FA2119" w:rsidRDefault="00FA2119" w:rsidP="00FA2119">
      <w:pPr>
        <w:rPr>
          <w:rtl/>
        </w:rPr>
      </w:pPr>
      <w:r>
        <w:rPr>
          <w:rFonts w:cs="Arial" w:hint="cs"/>
          <w:rtl/>
        </w:rPr>
        <w:t>אם</w:t>
      </w:r>
      <w:r>
        <w:rPr>
          <w:rFonts w:cs="Arial"/>
          <w:rtl/>
        </w:rPr>
        <w:t xml:space="preserve"> </w:t>
      </w:r>
      <w:r>
        <w:rPr>
          <w:rFonts w:cs="Arial" w:hint="cs"/>
          <w:rtl/>
        </w:rPr>
        <w:t>לא</w:t>
      </w:r>
      <w:r>
        <w:rPr>
          <w:rFonts w:cs="Arial"/>
          <w:rtl/>
        </w:rPr>
        <w:t xml:space="preserve"> </w:t>
      </w:r>
      <w:r>
        <w:rPr>
          <w:rFonts w:cs="Arial" w:hint="cs"/>
          <w:rtl/>
        </w:rPr>
        <w:t>כתב</w:t>
      </w:r>
      <w:r>
        <w:rPr>
          <w:rFonts w:cs="Arial"/>
          <w:rtl/>
        </w:rPr>
        <w:t xml:space="preserve"> </w:t>
      </w:r>
      <w:r>
        <w:rPr>
          <w:rFonts w:cs="Arial" w:hint="cs"/>
          <w:rtl/>
        </w:rPr>
        <w:t>שם</w:t>
      </w:r>
      <w:r>
        <w:rPr>
          <w:rFonts w:cs="Arial"/>
          <w:rtl/>
        </w:rPr>
        <w:t xml:space="preserve"> </w:t>
      </w:r>
      <w:r>
        <w:rPr>
          <w:rFonts w:cs="Arial" w:hint="cs"/>
          <w:rtl/>
        </w:rPr>
        <w:t>האיש</w:t>
      </w:r>
      <w:r>
        <w:rPr>
          <w:rFonts w:cs="Arial"/>
          <w:rtl/>
        </w:rPr>
        <w:t xml:space="preserve"> </w:t>
      </w:r>
      <w:r>
        <w:rPr>
          <w:rFonts w:cs="Arial" w:hint="cs"/>
          <w:rtl/>
        </w:rPr>
        <w:t>והאשה</w:t>
      </w:r>
      <w:r>
        <w:rPr>
          <w:rFonts w:cs="Arial"/>
          <w:rtl/>
        </w:rPr>
        <w:t xml:space="preserve"> </w:t>
      </w:r>
      <w:r>
        <w:rPr>
          <w:rFonts w:cs="Arial" w:hint="cs"/>
          <w:rtl/>
        </w:rPr>
        <w:t>בגט</w:t>
      </w:r>
      <w:r>
        <w:rPr>
          <w:rFonts w:cs="Arial"/>
          <w:rtl/>
        </w:rPr>
        <w:t xml:space="preserve">, </w:t>
      </w:r>
      <w:r>
        <w:rPr>
          <w:rFonts w:cs="Arial" w:hint="cs"/>
          <w:rtl/>
        </w:rPr>
        <w:t>פסול</w:t>
      </w:r>
      <w:r>
        <w:rPr>
          <w:rFonts w:cs="Arial"/>
          <w:rtl/>
        </w:rPr>
        <w:t xml:space="preserve">, </w:t>
      </w:r>
      <w:r>
        <w:rPr>
          <w:rFonts w:cs="Arial" w:hint="cs"/>
          <w:rtl/>
        </w:rPr>
        <w:t>והבנים</w:t>
      </w:r>
      <w:r>
        <w:rPr>
          <w:rFonts w:cs="Arial"/>
          <w:rtl/>
        </w:rPr>
        <w:t xml:space="preserve"> </w:t>
      </w:r>
      <w:r>
        <w:rPr>
          <w:rFonts w:cs="Arial" w:hint="cs"/>
          <w:rtl/>
        </w:rPr>
        <w:t>ממזרים</w:t>
      </w:r>
      <w:r>
        <w:rPr>
          <w:rFonts w:cs="Arial"/>
          <w:rtl/>
        </w:rPr>
        <w:t xml:space="preserve">. </w:t>
      </w:r>
    </w:p>
    <w:p w14:paraId="76B62F9E" w14:textId="77777777" w:rsidR="00FA2119" w:rsidRDefault="00FA2119" w:rsidP="00FA2119">
      <w:pPr>
        <w:rPr>
          <w:rtl/>
        </w:rPr>
      </w:pPr>
    </w:p>
    <w:p w14:paraId="464DA7A6" w14:textId="77777777" w:rsidR="00FA2119" w:rsidRDefault="00FA2119" w:rsidP="00FA2119">
      <w:pPr>
        <w:pStyle w:val="2"/>
        <w:rPr>
          <w:rtl/>
        </w:rPr>
      </w:pPr>
      <w:r>
        <w:rPr>
          <w:rFonts w:hint="cs"/>
          <w:rtl/>
        </w:rPr>
        <w:t>סעיף</w:t>
      </w:r>
      <w:r>
        <w:rPr>
          <w:rtl/>
        </w:rPr>
        <w:t xml:space="preserve"> </w:t>
      </w:r>
      <w:r>
        <w:rPr>
          <w:rFonts w:hint="cs"/>
          <w:rtl/>
        </w:rPr>
        <w:t>יב: יש לו שני שמות בב' מקומות, ומגרש במקום שלישי.</w:t>
      </w:r>
    </w:p>
    <w:p w14:paraId="2C2570D6" w14:textId="77777777" w:rsidR="00FA2119" w:rsidRDefault="00FA2119" w:rsidP="00FA2119">
      <w:pPr>
        <w:rPr>
          <w:u w:val="single"/>
          <w:rtl/>
        </w:rPr>
      </w:pPr>
      <w:r w:rsidRPr="00372078">
        <w:rPr>
          <w:rFonts w:hint="cs"/>
          <w:u w:val="single"/>
          <w:rtl/>
        </w:rPr>
        <w:t xml:space="preserve">יש לו </w:t>
      </w:r>
      <w:r>
        <w:rPr>
          <w:rFonts w:hint="cs"/>
          <w:u w:val="single"/>
          <w:rtl/>
        </w:rPr>
        <w:t>שני שמות</w:t>
      </w:r>
      <w:r w:rsidRPr="00372078">
        <w:rPr>
          <w:rFonts w:hint="cs"/>
          <w:u w:val="single"/>
          <w:rtl/>
        </w:rPr>
        <w:t xml:space="preserve"> </w:t>
      </w:r>
      <w:r>
        <w:rPr>
          <w:rFonts w:hint="cs"/>
          <w:u w:val="single"/>
          <w:rtl/>
        </w:rPr>
        <w:t>ב</w:t>
      </w:r>
      <w:r w:rsidRPr="00372078">
        <w:rPr>
          <w:rFonts w:hint="cs"/>
          <w:u w:val="single"/>
          <w:rtl/>
        </w:rPr>
        <w:t>ב' מקומות, ומגרש במקום שלישי:</w:t>
      </w:r>
    </w:p>
    <w:p w14:paraId="336679F1" w14:textId="5F17A42B" w:rsidR="00FA2119" w:rsidRPr="00F01AF0" w:rsidRDefault="00FA2119" w:rsidP="00FA2119">
      <w:pPr>
        <w:pStyle w:val="ab"/>
        <w:numPr>
          <w:ilvl w:val="0"/>
          <w:numId w:val="75"/>
        </w:numPr>
        <w:rPr>
          <w:rFonts w:cs="Arial"/>
          <w:rtl/>
        </w:rPr>
      </w:pPr>
      <w:r>
        <w:rPr>
          <w:rFonts w:cs="Arial" w:hint="cs"/>
          <w:rtl/>
        </w:rPr>
        <w:t>ב"י</w:t>
      </w:r>
      <w:r w:rsidR="00A82951">
        <w:rPr>
          <w:rFonts w:cs="Arial" w:hint="cs"/>
          <w:rtl/>
        </w:rPr>
        <w:t>-</w:t>
      </w:r>
      <w:r>
        <w:rPr>
          <w:rFonts w:cs="Arial" w:hint="cs"/>
          <w:rtl/>
        </w:rPr>
        <w:t xml:space="preserve"> </w:t>
      </w:r>
      <w:r w:rsidRPr="00672D85">
        <w:rPr>
          <w:rFonts w:cs="Arial"/>
          <w:rtl/>
        </w:rPr>
        <w:t>מי שיש לו שם אחד בגליל ושם אחד ביהודה</w:t>
      </w:r>
      <w:r>
        <w:rPr>
          <w:rFonts w:cs="Arial" w:hint="cs"/>
          <w:rtl/>
        </w:rPr>
        <w:t>,</w:t>
      </w:r>
      <w:r w:rsidRPr="00672D85">
        <w:rPr>
          <w:rFonts w:cs="Arial"/>
          <w:rtl/>
        </w:rPr>
        <w:t xml:space="preserve"> והוא ואשתו במדינה שאין מכירין בו אלא בשם אחד</w:t>
      </w:r>
      <w:r>
        <w:rPr>
          <w:rFonts w:cs="Arial" w:hint="cs"/>
          <w:rtl/>
        </w:rPr>
        <w:t>,</w:t>
      </w:r>
      <w:r w:rsidRPr="00672D85">
        <w:rPr>
          <w:rFonts w:cs="Arial"/>
          <w:rtl/>
        </w:rPr>
        <w:t xml:space="preserve"> בין שהוא אחד מהשני שמות בין שהוא שם אחר </w:t>
      </w:r>
      <w:r w:rsidR="00A82951">
        <w:rPr>
          <w:rFonts w:cs="Arial" w:hint="cs"/>
          <w:rtl/>
        </w:rPr>
        <w:t>-</w:t>
      </w:r>
      <w:r w:rsidRPr="00672D85">
        <w:rPr>
          <w:rFonts w:cs="Arial" w:hint="cs"/>
          <w:rtl/>
        </w:rPr>
        <w:t xml:space="preserve"> </w:t>
      </w:r>
      <w:r w:rsidRPr="00672D85">
        <w:rPr>
          <w:rFonts w:cs="Arial"/>
          <w:rtl/>
        </w:rPr>
        <w:t>לכתחלה יש לכתוב כל השמות שיש לו</w:t>
      </w:r>
      <w:r>
        <w:rPr>
          <w:rStyle w:val="a7"/>
          <w:rFonts w:cs="Arial"/>
          <w:rtl/>
        </w:rPr>
        <w:footnoteReference w:id="1117"/>
      </w:r>
      <w:r w:rsidRPr="00672D85">
        <w:rPr>
          <w:rFonts w:cs="Arial" w:hint="cs"/>
          <w:rtl/>
        </w:rPr>
        <w:t>,</w:t>
      </w:r>
      <w:r w:rsidRPr="00672D85">
        <w:rPr>
          <w:rFonts w:cs="Arial"/>
          <w:rtl/>
        </w:rPr>
        <w:t xml:space="preserve"> או שיכתוב שם שיש לו כאן ויכתוב </w:t>
      </w:r>
      <w:r w:rsidR="00EE4F5C">
        <w:rPr>
          <w:rFonts w:cs="Arial" w:hint="cs"/>
          <w:rtl/>
        </w:rPr>
        <w:t>"</w:t>
      </w:r>
      <w:r w:rsidRPr="00672D85">
        <w:rPr>
          <w:rFonts w:cs="Arial"/>
          <w:rtl/>
        </w:rPr>
        <w:t>וכל שום</w:t>
      </w:r>
      <w:r w:rsidR="00EE4F5C">
        <w:rPr>
          <w:rFonts w:cs="Arial" w:hint="cs"/>
          <w:rtl/>
        </w:rPr>
        <w:t>"</w:t>
      </w:r>
      <w:r w:rsidRPr="00672D85">
        <w:rPr>
          <w:rFonts w:cs="Arial"/>
          <w:rtl/>
        </w:rPr>
        <w:t xml:space="preserve"> לכלול שמות דשאר מקומות</w:t>
      </w:r>
      <w:r>
        <w:rPr>
          <w:rStyle w:val="a7"/>
          <w:rFonts w:cs="Arial"/>
          <w:rtl/>
        </w:rPr>
        <w:footnoteReference w:id="1118"/>
      </w:r>
      <w:r w:rsidRPr="00672D85">
        <w:rPr>
          <w:rFonts w:cs="Arial" w:hint="cs"/>
          <w:rtl/>
        </w:rPr>
        <w:t>.</w:t>
      </w:r>
      <w:r w:rsidRPr="00672D85">
        <w:rPr>
          <w:rFonts w:cs="Arial"/>
          <w:rtl/>
        </w:rPr>
        <w:t xml:space="preserve"> ואם לא כתב אלא שם שיש לו במקום שהוא ואשתו שם </w:t>
      </w:r>
      <w:r w:rsidR="00A82951">
        <w:rPr>
          <w:rFonts w:cs="Arial" w:hint="cs"/>
          <w:rtl/>
        </w:rPr>
        <w:t>-</w:t>
      </w:r>
      <w:r w:rsidRPr="00672D85">
        <w:rPr>
          <w:rFonts w:cs="Arial" w:hint="cs"/>
          <w:rtl/>
        </w:rPr>
        <w:t xml:space="preserve"> </w:t>
      </w:r>
      <w:r w:rsidRPr="00672D85">
        <w:rPr>
          <w:rFonts w:cs="Arial"/>
          <w:rtl/>
        </w:rPr>
        <w:t>כשר</w:t>
      </w:r>
      <w:r w:rsidRPr="00672D85">
        <w:rPr>
          <w:rFonts w:cs="Arial" w:hint="cs"/>
          <w:rtl/>
        </w:rPr>
        <w:t>,</w:t>
      </w:r>
      <w:r w:rsidRPr="00672D85">
        <w:rPr>
          <w:rFonts w:cs="Arial"/>
          <w:rtl/>
        </w:rPr>
        <w:t xml:space="preserve"> ולא חיישינן ללעז דשאר מקומות</w:t>
      </w:r>
      <w:r w:rsidRPr="00672D85">
        <w:rPr>
          <w:rFonts w:cs="Arial" w:hint="cs"/>
          <w:rtl/>
        </w:rPr>
        <w:t>.</w:t>
      </w:r>
      <w:r>
        <w:rPr>
          <w:rFonts w:cs="Arial" w:hint="cs"/>
          <w:rtl/>
        </w:rPr>
        <w:t xml:space="preserve"> </w:t>
      </w:r>
      <w:r w:rsidRPr="0094407E">
        <w:rPr>
          <w:rFonts w:cs="Arial" w:hint="cs"/>
          <w:color w:val="E36C0A" w:themeColor="accent6" w:themeShade="BF"/>
          <w:rtl/>
        </w:rPr>
        <w:t>(וכ"פ בשו"ע)</w:t>
      </w:r>
    </w:p>
    <w:p w14:paraId="7D60CEDD" w14:textId="77777777" w:rsidR="00FA2119" w:rsidRDefault="00FA2119" w:rsidP="00FA2119">
      <w:pPr>
        <w:rPr>
          <w:rFonts w:cs="Arial"/>
          <w:rtl/>
        </w:rPr>
      </w:pPr>
      <w:r>
        <w:rPr>
          <w:rFonts w:cs="Arial" w:hint="cs"/>
          <w:u w:val="single"/>
          <w:rtl/>
        </w:rPr>
        <w:t>מי שידוע בשני שמות במקום הכתיבה והנתינה, ויש לו עוד שם במקום אחר ושם לא יודעים לו עוד שם</w:t>
      </w:r>
      <w:r w:rsidRPr="00EE571C">
        <w:rPr>
          <w:rFonts w:cs="Arial" w:hint="cs"/>
          <w:u w:val="single"/>
          <w:rtl/>
        </w:rPr>
        <w:t>:</w:t>
      </w:r>
    </w:p>
    <w:p w14:paraId="05ECFCF5" w14:textId="088AE53D" w:rsidR="00FA2119" w:rsidRDefault="00FA2119" w:rsidP="00FA2119">
      <w:pPr>
        <w:pStyle w:val="ab"/>
        <w:numPr>
          <w:ilvl w:val="0"/>
          <w:numId w:val="75"/>
        </w:numPr>
        <w:rPr>
          <w:rFonts w:cs="Arial"/>
        </w:rPr>
      </w:pPr>
      <w:r>
        <w:rPr>
          <w:rFonts w:cs="Arial"/>
          <w:rtl/>
        </w:rPr>
        <w:t xml:space="preserve">תרומה </w:t>
      </w:r>
      <w:r w:rsidRPr="00DE5896">
        <w:rPr>
          <w:rFonts w:cs="Arial"/>
          <w:sz w:val="16"/>
          <w:szCs w:val="16"/>
          <w:rtl/>
        </w:rPr>
        <w:t xml:space="preserve">(סי' קכז) </w:t>
      </w:r>
      <w:r>
        <w:rPr>
          <w:rFonts w:cs="Arial"/>
          <w:rtl/>
        </w:rPr>
        <w:t xml:space="preserve">סמ"ג </w:t>
      </w:r>
      <w:r w:rsidRPr="00DE5896">
        <w:rPr>
          <w:rFonts w:cs="Arial"/>
          <w:sz w:val="16"/>
          <w:szCs w:val="16"/>
          <w:rtl/>
        </w:rPr>
        <w:t>(עשין נ)</w:t>
      </w:r>
      <w:r w:rsidRPr="002E7151">
        <w:rPr>
          <w:rFonts w:cs="Arial"/>
          <w:rtl/>
        </w:rPr>
        <w:t xml:space="preserve"> ומרדכי</w:t>
      </w:r>
      <w:r w:rsidRPr="00EE571C">
        <w:rPr>
          <w:rFonts w:cs="Arial"/>
          <w:sz w:val="16"/>
          <w:szCs w:val="16"/>
          <w:rtl/>
        </w:rPr>
        <w:t xml:space="preserve"> (סי' שסח)</w:t>
      </w:r>
      <w:r w:rsidR="00A82951">
        <w:rPr>
          <w:rFonts w:cs="Arial" w:hint="cs"/>
          <w:rtl/>
        </w:rPr>
        <w:t>-</w:t>
      </w:r>
      <w:r w:rsidRPr="00EE571C">
        <w:rPr>
          <w:rFonts w:cs="Arial" w:hint="cs"/>
          <w:rtl/>
        </w:rPr>
        <w:t xml:space="preserve"> </w:t>
      </w:r>
      <w:r w:rsidRPr="00EE571C">
        <w:rPr>
          <w:rFonts w:cs="Arial"/>
          <w:rtl/>
        </w:rPr>
        <w:t>אם יש לו שני שמות</w:t>
      </w:r>
      <w:r w:rsidRPr="00EE571C">
        <w:rPr>
          <w:rFonts w:cs="Arial" w:hint="cs"/>
          <w:rtl/>
        </w:rPr>
        <w:t>,</w:t>
      </w:r>
      <w:r w:rsidRPr="00EE571C">
        <w:rPr>
          <w:rFonts w:cs="Arial"/>
          <w:rtl/>
        </w:rPr>
        <w:t xml:space="preserve"> והוא ניכר בשני השמות בשני המקומות</w:t>
      </w:r>
      <w:r w:rsidRPr="00EE571C">
        <w:rPr>
          <w:rFonts w:cs="Arial" w:hint="cs"/>
          <w:rtl/>
        </w:rPr>
        <w:t>,</w:t>
      </w:r>
      <w:r w:rsidRPr="00EE571C">
        <w:rPr>
          <w:rFonts w:cs="Arial"/>
          <w:rtl/>
        </w:rPr>
        <w:t xml:space="preserve"> כלומר במקום הכתיבה ובמקום הנתינה</w:t>
      </w:r>
      <w:r w:rsidRPr="00EE571C">
        <w:rPr>
          <w:rFonts w:cs="Arial" w:hint="cs"/>
          <w:rtl/>
        </w:rPr>
        <w:t>,</w:t>
      </w:r>
      <w:r w:rsidRPr="00EE571C">
        <w:rPr>
          <w:rFonts w:cs="Arial"/>
          <w:rtl/>
        </w:rPr>
        <w:t xml:space="preserve"> אע</w:t>
      </w:r>
      <w:r w:rsidRPr="00EE571C">
        <w:rPr>
          <w:rFonts w:cs="Arial" w:hint="cs"/>
          <w:rtl/>
        </w:rPr>
        <w:t>"</w:t>
      </w:r>
      <w:r w:rsidRPr="00EE571C">
        <w:rPr>
          <w:rFonts w:cs="Arial"/>
          <w:rtl/>
        </w:rPr>
        <w:t>פ שיש לו עוד שם אחר בשאר מקומות שאינם מכירים מקום הכתיבה ומקום הנתינה</w:t>
      </w:r>
      <w:r w:rsidRPr="00EE571C">
        <w:rPr>
          <w:rFonts w:cs="Arial" w:hint="cs"/>
          <w:rtl/>
        </w:rPr>
        <w:t>,</w:t>
      </w:r>
      <w:r w:rsidRPr="00EE571C">
        <w:rPr>
          <w:rFonts w:cs="Arial"/>
          <w:rtl/>
        </w:rPr>
        <w:t xml:space="preserve"> וגם שם של מקום שהוא עומד והיא עומדת הכתוב בגט אינו ניכר בשאר מקומות </w:t>
      </w:r>
      <w:r w:rsidR="00A82951">
        <w:rPr>
          <w:rFonts w:cs="Arial" w:hint="cs"/>
          <w:rtl/>
        </w:rPr>
        <w:t>-</w:t>
      </w:r>
      <w:r w:rsidRPr="00EE571C">
        <w:rPr>
          <w:rFonts w:cs="Arial" w:hint="cs"/>
          <w:rtl/>
        </w:rPr>
        <w:t xml:space="preserve"> </w:t>
      </w:r>
      <w:r w:rsidRPr="00EE571C">
        <w:rPr>
          <w:rFonts w:cs="Arial"/>
          <w:rtl/>
        </w:rPr>
        <w:t>אפ"ה כשר</w:t>
      </w:r>
      <w:r w:rsidRPr="00EE571C">
        <w:rPr>
          <w:rFonts w:cs="Arial" w:hint="cs"/>
          <w:rtl/>
        </w:rPr>
        <w:t>,</w:t>
      </w:r>
      <w:r w:rsidRPr="00EE571C">
        <w:rPr>
          <w:rFonts w:cs="Arial"/>
          <w:rtl/>
        </w:rPr>
        <w:t xml:space="preserve"> דאין לחוש בלעז של שאר מקומות</w:t>
      </w:r>
      <w:r w:rsidRPr="00EE571C">
        <w:rPr>
          <w:rFonts w:cs="Arial" w:hint="cs"/>
          <w:rtl/>
        </w:rPr>
        <w:t>.</w:t>
      </w:r>
      <w:r w:rsidRPr="00EE571C">
        <w:rPr>
          <w:rFonts w:cs="Arial"/>
          <w:rtl/>
        </w:rPr>
        <w:t xml:space="preserve"> אבל לכתחלה צריך לכתוב גם שם של שאר מקומות</w:t>
      </w:r>
      <w:r w:rsidRPr="00EE571C">
        <w:rPr>
          <w:rFonts w:cs="Arial" w:hint="cs"/>
          <w:rtl/>
        </w:rPr>
        <w:t>,</w:t>
      </w:r>
      <w:r w:rsidRPr="00EE571C">
        <w:rPr>
          <w:rFonts w:cs="Arial"/>
          <w:rtl/>
        </w:rPr>
        <w:t xml:space="preserve"> כיון ששם שקוראים אותו במקום שעומדים אינו ניכר בשאר מקומות</w:t>
      </w:r>
      <w:r>
        <w:rPr>
          <w:rStyle w:val="a7"/>
          <w:rFonts w:cs="Arial"/>
          <w:rtl/>
        </w:rPr>
        <w:footnoteReference w:id="1119"/>
      </w:r>
      <w:r>
        <w:rPr>
          <w:rFonts w:cs="Arial" w:hint="cs"/>
          <w:sz w:val="16"/>
          <w:szCs w:val="16"/>
          <w:rtl/>
        </w:rPr>
        <w:t xml:space="preserve"> (ל' הב"י)</w:t>
      </w:r>
      <w:r w:rsidRPr="00EE571C">
        <w:rPr>
          <w:rFonts w:cs="Arial" w:hint="cs"/>
          <w:rtl/>
        </w:rPr>
        <w:t>.</w:t>
      </w:r>
    </w:p>
    <w:p w14:paraId="6FB10277" w14:textId="5523D072" w:rsidR="00FA2119" w:rsidRPr="0065682D" w:rsidRDefault="00FA2119" w:rsidP="00FA2119">
      <w:pPr>
        <w:ind w:left="360"/>
        <w:rPr>
          <w:rFonts w:cs="Arial"/>
          <w:u w:val="dotted"/>
        </w:rPr>
      </w:pPr>
      <w:r w:rsidRPr="0065682D">
        <w:rPr>
          <w:rFonts w:cs="Arial" w:hint="cs"/>
          <w:u w:val="dotted"/>
          <w:rtl/>
        </w:rPr>
        <w:t xml:space="preserve">ומה הדין אם השם הכתוב בגט מוכר בכל המקומות </w:t>
      </w:r>
      <w:r w:rsidR="00A82951">
        <w:rPr>
          <w:rFonts w:cs="Arial"/>
          <w:u w:val="dotted"/>
          <w:rtl/>
        </w:rPr>
        <w:t>-</w:t>
      </w:r>
      <w:r w:rsidRPr="0065682D">
        <w:rPr>
          <w:rFonts w:cs="Arial" w:hint="cs"/>
          <w:u w:val="dotted"/>
          <w:rtl/>
        </w:rPr>
        <w:t xml:space="preserve"> האם ניתן לכותבו </w:t>
      </w:r>
      <w:r>
        <w:rPr>
          <w:rFonts w:cs="Arial" w:hint="cs"/>
          <w:u w:val="dotted"/>
          <w:rtl/>
        </w:rPr>
        <w:t xml:space="preserve">לכתחילה </w:t>
      </w:r>
      <w:r w:rsidRPr="0065682D">
        <w:rPr>
          <w:rFonts w:cs="Arial" w:hint="cs"/>
          <w:u w:val="dotted"/>
          <w:rtl/>
        </w:rPr>
        <w:t>בלי שאר השמות:</w:t>
      </w:r>
    </w:p>
    <w:p w14:paraId="74B889A9" w14:textId="2963453D" w:rsidR="00FA2119" w:rsidRDefault="00FA2119" w:rsidP="00FA2119">
      <w:pPr>
        <w:pStyle w:val="ab"/>
        <w:numPr>
          <w:ilvl w:val="0"/>
          <w:numId w:val="75"/>
        </w:numPr>
        <w:rPr>
          <w:rFonts w:cs="Arial"/>
        </w:rPr>
      </w:pPr>
      <w:r w:rsidRPr="0065682D">
        <w:rPr>
          <w:rFonts w:cs="Arial"/>
          <w:rtl/>
        </w:rPr>
        <w:t xml:space="preserve">ספר התרומה </w:t>
      </w:r>
      <w:r w:rsidRPr="0065682D">
        <w:rPr>
          <w:rFonts w:cs="Arial"/>
          <w:sz w:val="16"/>
          <w:szCs w:val="16"/>
          <w:rtl/>
        </w:rPr>
        <w:t>(שם)</w:t>
      </w:r>
      <w:r w:rsidR="00A82951">
        <w:rPr>
          <w:rFonts w:cs="Arial" w:hint="cs"/>
          <w:rtl/>
        </w:rPr>
        <w:t>-</w:t>
      </w:r>
      <w:r w:rsidRPr="0065682D">
        <w:rPr>
          <w:rFonts w:cs="Arial"/>
          <w:rtl/>
        </w:rPr>
        <w:t xml:space="preserve"> אבל אם השם הכתוב בגט קוראים אותו בכל המקומות שמכירין האיש</w:t>
      </w:r>
      <w:r w:rsidRPr="0065682D">
        <w:rPr>
          <w:rFonts w:cs="Arial" w:hint="cs"/>
          <w:rtl/>
        </w:rPr>
        <w:t>,</w:t>
      </w:r>
      <w:r w:rsidRPr="0065682D">
        <w:rPr>
          <w:rFonts w:cs="Arial"/>
          <w:rtl/>
        </w:rPr>
        <w:t xml:space="preserve"> אע</w:t>
      </w:r>
      <w:r>
        <w:rPr>
          <w:rFonts w:cs="Arial" w:hint="cs"/>
          <w:rtl/>
        </w:rPr>
        <w:t>"</w:t>
      </w:r>
      <w:r w:rsidRPr="0065682D">
        <w:rPr>
          <w:rFonts w:cs="Arial"/>
          <w:rtl/>
        </w:rPr>
        <w:t xml:space="preserve">פ שיש לו עדיין שאר שמות </w:t>
      </w:r>
      <w:r w:rsidR="00A82951">
        <w:rPr>
          <w:rFonts w:cs="Arial" w:hint="cs"/>
          <w:rtl/>
        </w:rPr>
        <w:t>-</w:t>
      </w:r>
      <w:r w:rsidRPr="0065682D">
        <w:rPr>
          <w:rFonts w:cs="Arial" w:hint="cs"/>
          <w:rtl/>
        </w:rPr>
        <w:t xml:space="preserve"> </w:t>
      </w:r>
      <w:r w:rsidRPr="0065682D">
        <w:rPr>
          <w:rFonts w:cs="Arial"/>
          <w:rtl/>
        </w:rPr>
        <w:t>יכול להיות דאף לכתחלה כשר</w:t>
      </w:r>
      <w:r w:rsidRPr="0065682D">
        <w:rPr>
          <w:rFonts w:cs="Arial" w:hint="cs"/>
          <w:rtl/>
        </w:rPr>
        <w:t>.</w:t>
      </w:r>
    </w:p>
    <w:p w14:paraId="6686111A" w14:textId="4EA1206D" w:rsidR="00FA2119" w:rsidRDefault="00FA2119" w:rsidP="00FA2119">
      <w:pPr>
        <w:pStyle w:val="ab"/>
        <w:numPr>
          <w:ilvl w:val="0"/>
          <w:numId w:val="75"/>
        </w:numPr>
        <w:rPr>
          <w:rFonts w:cs="Arial"/>
        </w:rPr>
      </w:pPr>
      <w:r w:rsidRPr="002E7151">
        <w:rPr>
          <w:rFonts w:cs="Arial"/>
          <w:rtl/>
        </w:rPr>
        <w:t xml:space="preserve">ר"ן </w:t>
      </w:r>
      <w:r w:rsidRPr="00002808">
        <w:rPr>
          <w:rFonts w:cs="Arial"/>
          <w:sz w:val="16"/>
          <w:szCs w:val="16"/>
          <w:rtl/>
        </w:rPr>
        <w:t>(יח. דיבור ראשון</w:t>
      </w:r>
      <w:r w:rsidRPr="00002808">
        <w:rPr>
          <w:rFonts w:cs="Arial" w:hint="cs"/>
          <w:sz w:val="16"/>
          <w:szCs w:val="16"/>
          <w:rtl/>
        </w:rPr>
        <w:t>, הביאו הדרכ"מ [אות יד]</w:t>
      </w:r>
      <w:r w:rsidRPr="00002808">
        <w:rPr>
          <w:rFonts w:cs="Arial"/>
          <w:sz w:val="16"/>
          <w:szCs w:val="16"/>
          <w:rtl/>
        </w:rPr>
        <w:t>)</w:t>
      </w:r>
      <w:r w:rsidR="00A82951">
        <w:rPr>
          <w:rFonts w:cs="Arial" w:hint="cs"/>
          <w:rtl/>
        </w:rPr>
        <w:t>-</w:t>
      </w:r>
      <w:r>
        <w:rPr>
          <w:rFonts w:cs="Arial" w:hint="cs"/>
          <w:rtl/>
        </w:rPr>
        <w:t xml:space="preserve"> </w:t>
      </w:r>
      <w:r w:rsidRPr="002E7151">
        <w:rPr>
          <w:rFonts w:cs="Arial"/>
          <w:rtl/>
        </w:rPr>
        <w:t>אם היה מקום הכתיבה והנתינה אחד</w:t>
      </w:r>
      <w:r w:rsidR="00EE4F5C">
        <w:rPr>
          <w:rFonts w:cs="Arial" w:hint="cs"/>
          <w:rtl/>
        </w:rPr>
        <w:t>]</w:t>
      </w:r>
      <w:r w:rsidRPr="002E7151">
        <w:rPr>
          <w:rFonts w:cs="Arial"/>
          <w:rtl/>
        </w:rPr>
        <w:t xml:space="preserve"> ואין לו שם אלא אחד</w:t>
      </w:r>
      <w:r w:rsidR="00EE4F5C">
        <w:rPr>
          <w:rFonts w:cs="Arial" w:hint="cs"/>
          <w:rtl/>
        </w:rPr>
        <w:t>,</w:t>
      </w:r>
      <w:r w:rsidRPr="002E7151">
        <w:rPr>
          <w:rFonts w:cs="Arial"/>
          <w:rtl/>
        </w:rPr>
        <w:t xml:space="preserve"> ובמקום אחר יש לו שם אחר</w:t>
      </w:r>
      <w:r w:rsidR="00EE4F5C">
        <w:rPr>
          <w:rFonts w:cs="Arial" w:hint="cs"/>
          <w:rtl/>
        </w:rPr>
        <w:t xml:space="preserve"> -</w:t>
      </w:r>
      <w:r w:rsidRPr="002E7151">
        <w:rPr>
          <w:rFonts w:cs="Arial"/>
          <w:rtl/>
        </w:rPr>
        <w:t xml:space="preserve"> צריך לכתבו לכתחלה</w:t>
      </w:r>
      <w:r>
        <w:rPr>
          <w:rFonts w:cs="Arial" w:hint="cs"/>
          <w:rtl/>
        </w:rPr>
        <w:t>.</w:t>
      </w:r>
      <w:r w:rsidRPr="002E7151">
        <w:rPr>
          <w:rFonts w:cs="Arial"/>
          <w:rtl/>
        </w:rPr>
        <w:t xml:space="preserve"> ומיהו בדיעבד כשר אע</w:t>
      </w:r>
      <w:r>
        <w:rPr>
          <w:rFonts w:cs="Arial" w:hint="cs"/>
          <w:rtl/>
        </w:rPr>
        <w:t>"</w:t>
      </w:r>
      <w:r w:rsidRPr="002E7151">
        <w:rPr>
          <w:rFonts w:cs="Arial"/>
          <w:rtl/>
        </w:rPr>
        <w:t>פ שלא כתב רק שם הכתיבה והנתינה.</w:t>
      </w:r>
    </w:p>
    <w:p w14:paraId="404B0443" w14:textId="77777777" w:rsidR="00FA2119" w:rsidRPr="0065682D" w:rsidRDefault="00FA2119" w:rsidP="00FA2119">
      <w:pPr>
        <w:rPr>
          <w:rFonts w:cs="Arial"/>
          <w:u w:val="single"/>
          <w:rtl/>
        </w:rPr>
      </w:pPr>
      <w:r w:rsidRPr="0065682D">
        <w:rPr>
          <w:rFonts w:cs="Arial" w:hint="cs"/>
          <w:u w:val="single"/>
          <w:rtl/>
        </w:rPr>
        <w:t>כתיבת מקום הנתינה כששם מקום הכתיבה הוא השם העיקרי:</w:t>
      </w:r>
    </w:p>
    <w:p w14:paraId="18EF54CF" w14:textId="524DA011" w:rsidR="00FA2119" w:rsidRPr="00F0259C" w:rsidRDefault="00FA2119" w:rsidP="00FA2119">
      <w:pPr>
        <w:pStyle w:val="ab"/>
        <w:numPr>
          <w:ilvl w:val="0"/>
          <w:numId w:val="75"/>
        </w:numPr>
        <w:rPr>
          <w:rtl/>
        </w:rPr>
      </w:pPr>
      <w:r w:rsidRPr="009C2E58">
        <w:rPr>
          <w:rFonts w:cs="Arial"/>
          <w:rtl/>
        </w:rPr>
        <w:t>מהרי"ק</w:t>
      </w:r>
      <w:r w:rsidRPr="0065682D">
        <w:rPr>
          <w:rFonts w:cs="Arial"/>
          <w:sz w:val="16"/>
          <w:szCs w:val="16"/>
          <w:rtl/>
        </w:rPr>
        <w:t xml:space="preserve"> </w:t>
      </w:r>
      <w:r w:rsidRPr="0065682D">
        <w:rPr>
          <w:rFonts w:cs="Arial" w:hint="cs"/>
          <w:sz w:val="16"/>
          <w:szCs w:val="16"/>
          <w:rtl/>
        </w:rPr>
        <w:t>(</w:t>
      </w:r>
      <w:r w:rsidRPr="0065682D">
        <w:rPr>
          <w:rFonts w:cs="Arial"/>
          <w:sz w:val="16"/>
          <w:szCs w:val="16"/>
          <w:rtl/>
        </w:rPr>
        <w:t>שורש צח</w:t>
      </w:r>
      <w:r w:rsidRPr="0065682D">
        <w:rPr>
          <w:rFonts w:cs="Arial" w:hint="cs"/>
          <w:sz w:val="16"/>
          <w:szCs w:val="16"/>
          <w:rtl/>
        </w:rPr>
        <w:t>)</w:t>
      </w:r>
      <w:r w:rsidR="00A82951">
        <w:rPr>
          <w:rFonts w:cs="Arial" w:hint="cs"/>
          <w:rtl/>
        </w:rPr>
        <w:t>-</w:t>
      </w:r>
      <w:r>
        <w:rPr>
          <w:rFonts w:cs="Arial" w:hint="cs"/>
          <w:rtl/>
        </w:rPr>
        <w:t xml:space="preserve"> </w:t>
      </w:r>
      <w:r w:rsidRPr="009C2E58">
        <w:rPr>
          <w:rFonts w:cs="Arial"/>
          <w:rtl/>
        </w:rPr>
        <w:t>לעולם עושים שם מקום הנתינה עיקר ושם מקום הכתיבה טפל</w:t>
      </w:r>
      <w:r>
        <w:rPr>
          <w:rFonts w:cs="Arial" w:hint="cs"/>
          <w:rtl/>
        </w:rPr>
        <w:t>,</w:t>
      </w:r>
      <w:r w:rsidRPr="009C2E58">
        <w:rPr>
          <w:rFonts w:cs="Arial"/>
          <w:rtl/>
        </w:rPr>
        <w:t xml:space="preserve"> אפילו ששם מקום הכתיבה מובהק יותר משל מקום הנתינה</w:t>
      </w:r>
      <w:r>
        <w:rPr>
          <w:rFonts w:cs="Arial" w:hint="cs"/>
          <w:rtl/>
        </w:rPr>
        <w:t>,</w:t>
      </w:r>
      <w:r w:rsidRPr="009C2E58">
        <w:rPr>
          <w:rFonts w:cs="Arial"/>
          <w:rtl/>
        </w:rPr>
        <w:t xml:space="preserve"> או ששם דמקום הכתיבה נשתנה ע"י חולי שהוא עיקר כמו שכתב מה"ר </w:t>
      </w:r>
      <w:r w:rsidRPr="009C2E58">
        <w:rPr>
          <w:rFonts w:cs="Arial"/>
          <w:rtl/>
        </w:rPr>
        <w:lastRenderedPageBreak/>
        <w:t xml:space="preserve">פרץ </w:t>
      </w:r>
      <w:r w:rsidRPr="00F0259C">
        <w:rPr>
          <w:rFonts w:cs="Arial"/>
          <w:sz w:val="16"/>
          <w:szCs w:val="16"/>
          <w:rtl/>
        </w:rPr>
        <w:t>(הגה</w:t>
      </w:r>
      <w:r>
        <w:rPr>
          <w:rFonts w:cs="Arial" w:hint="cs"/>
          <w:sz w:val="16"/>
          <w:szCs w:val="16"/>
          <w:rtl/>
        </w:rPr>
        <w:t>'</w:t>
      </w:r>
      <w:r w:rsidRPr="00F0259C">
        <w:rPr>
          <w:rFonts w:cs="Arial"/>
          <w:sz w:val="16"/>
          <w:szCs w:val="16"/>
          <w:rtl/>
        </w:rPr>
        <w:t xml:space="preserve"> סמ"ק סי' קפד אות ו)</w:t>
      </w:r>
      <w:r>
        <w:rPr>
          <w:rFonts w:cs="Arial" w:hint="cs"/>
          <w:rtl/>
        </w:rPr>
        <w:t>,</w:t>
      </w:r>
      <w:r w:rsidRPr="009C2E58">
        <w:rPr>
          <w:rFonts w:cs="Arial"/>
          <w:rtl/>
        </w:rPr>
        <w:t xml:space="preserve"> אפילו הכי היכא שמקום הכתיבה אינו מקום הנתינה </w:t>
      </w:r>
      <w:r w:rsidR="00A82951">
        <w:rPr>
          <w:rFonts w:cs="Arial" w:hint="cs"/>
          <w:rtl/>
        </w:rPr>
        <w:t>-</w:t>
      </w:r>
      <w:r>
        <w:rPr>
          <w:rFonts w:cs="Arial" w:hint="cs"/>
          <w:rtl/>
        </w:rPr>
        <w:t xml:space="preserve"> </w:t>
      </w:r>
      <w:r w:rsidRPr="009C2E58">
        <w:rPr>
          <w:rFonts w:cs="Arial"/>
          <w:rtl/>
        </w:rPr>
        <w:t>לעולם כותב שם מקום הנתינה בעיקר</w:t>
      </w:r>
      <w:r>
        <w:rPr>
          <w:rFonts w:cs="Arial" w:hint="cs"/>
          <w:rtl/>
        </w:rPr>
        <w:t>.</w:t>
      </w:r>
    </w:p>
    <w:p w14:paraId="30955434" w14:textId="6146C4F6" w:rsidR="00FA2119" w:rsidRPr="00BB4F4D" w:rsidRDefault="00FA2119" w:rsidP="00FA2119">
      <w:pPr>
        <w:rPr>
          <w:u w:val="single"/>
        </w:rPr>
      </w:pPr>
      <w:r w:rsidRPr="00BB4F4D">
        <w:rPr>
          <w:rFonts w:hint="cs"/>
          <w:u w:val="single"/>
          <w:rtl/>
        </w:rPr>
        <w:t xml:space="preserve">כתב את שם מקום הכתיבה/הנתינה בלבד </w:t>
      </w:r>
      <w:r w:rsidR="00A82951">
        <w:rPr>
          <w:u w:val="single"/>
          <w:rtl/>
        </w:rPr>
        <w:t>-</w:t>
      </w:r>
      <w:r w:rsidRPr="00BB4F4D">
        <w:rPr>
          <w:rFonts w:hint="cs"/>
          <w:u w:val="single"/>
          <w:rtl/>
        </w:rPr>
        <w:t xml:space="preserve"> וידוע לכל שאין זה שם שרגילים לקרוא בו:</w:t>
      </w:r>
    </w:p>
    <w:p w14:paraId="6BCC21E9" w14:textId="61A885DC" w:rsidR="00FA2119" w:rsidRPr="002E7151" w:rsidRDefault="00FA2119" w:rsidP="00FA2119">
      <w:pPr>
        <w:pStyle w:val="ab"/>
        <w:numPr>
          <w:ilvl w:val="0"/>
          <w:numId w:val="75"/>
        </w:numPr>
        <w:rPr>
          <w:rtl/>
        </w:rPr>
      </w:pPr>
      <w:r>
        <w:rPr>
          <w:rFonts w:cs="Arial" w:hint="cs"/>
          <w:rtl/>
        </w:rPr>
        <w:t>ב"י</w:t>
      </w:r>
      <w:r w:rsidR="00A82951">
        <w:rPr>
          <w:rFonts w:cs="Arial" w:hint="cs"/>
          <w:rtl/>
        </w:rPr>
        <w:t>-</w:t>
      </w:r>
      <w:r>
        <w:rPr>
          <w:rFonts w:cs="Arial" w:hint="cs"/>
          <w:rtl/>
        </w:rPr>
        <w:t xml:space="preserve"> </w:t>
      </w:r>
      <w:r w:rsidRPr="009C2E58">
        <w:rPr>
          <w:rFonts w:cs="Arial"/>
          <w:rtl/>
        </w:rPr>
        <w:t>אם כתב שם דמקום כתיבה לבד</w:t>
      </w:r>
      <w:r>
        <w:rPr>
          <w:rFonts w:cs="Arial" w:hint="cs"/>
          <w:rtl/>
        </w:rPr>
        <w:t>,</w:t>
      </w:r>
      <w:r w:rsidRPr="009C2E58">
        <w:rPr>
          <w:rFonts w:cs="Arial"/>
          <w:rtl/>
        </w:rPr>
        <w:t xml:space="preserve"> והוא שם שכל הרואה יודע שאינו שם</w:t>
      </w:r>
      <w:r>
        <w:rPr>
          <w:rFonts w:cs="Arial" w:hint="cs"/>
          <w:rtl/>
        </w:rPr>
        <w:t>,</w:t>
      </w:r>
      <w:r w:rsidRPr="009C2E58">
        <w:rPr>
          <w:rFonts w:cs="Arial"/>
          <w:rtl/>
        </w:rPr>
        <w:t xml:space="preserve"> שאין דרך לקבוע שם לשום אדם בכינוי זה</w:t>
      </w:r>
      <w:r>
        <w:rPr>
          <w:rFonts w:cs="Arial" w:hint="cs"/>
          <w:rtl/>
        </w:rPr>
        <w:t>,</w:t>
      </w:r>
      <w:r w:rsidRPr="009C2E58">
        <w:rPr>
          <w:rFonts w:cs="Arial"/>
          <w:rtl/>
        </w:rPr>
        <w:t xml:space="preserve"> וכן אם שם דמקום נתינה הוא כינוי שאין דרך לקבוע שם לשום אדם בכינוי זה</w:t>
      </w:r>
      <w:r>
        <w:rPr>
          <w:rFonts w:cs="Arial" w:hint="cs"/>
          <w:rtl/>
        </w:rPr>
        <w:t xml:space="preserve"> </w:t>
      </w:r>
      <w:r w:rsidR="00A82951">
        <w:rPr>
          <w:rFonts w:cs="Arial" w:hint="cs"/>
          <w:rtl/>
        </w:rPr>
        <w:t>-</w:t>
      </w:r>
      <w:r w:rsidRPr="009C2E58">
        <w:rPr>
          <w:rFonts w:cs="Arial"/>
          <w:rtl/>
        </w:rPr>
        <w:t xml:space="preserve"> נראה מדברי מהרי"ק </w:t>
      </w:r>
      <w:r w:rsidRPr="00002808">
        <w:rPr>
          <w:rFonts w:cs="Arial" w:hint="cs"/>
          <w:sz w:val="16"/>
          <w:szCs w:val="16"/>
          <w:rtl/>
        </w:rPr>
        <w:t>(</w:t>
      </w:r>
      <w:r w:rsidRPr="00002808">
        <w:rPr>
          <w:rFonts w:cs="Arial"/>
          <w:sz w:val="16"/>
          <w:szCs w:val="16"/>
          <w:rtl/>
        </w:rPr>
        <w:t>שורש פו</w:t>
      </w:r>
      <w:r w:rsidRPr="00002808">
        <w:rPr>
          <w:rFonts w:cs="Arial" w:hint="cs"/>
          <w:sz w:val="16"/>
          <w:szCs w:val="16"/>
          <w:rtl/>
        </w:rPr>
        <w:t>)</w:t>
      </w:r>
      <w:r w:rsidRPr="009C2E58">
        <w:rPr>
          <w:rFonts w:cs="Arial"/>
          <w:rtl/>
        </w:rPr>
        <w:t xml:space="preserve"> שהוא כשר</w:t>
      </w:r>
      <w:r>
        <w:rPr>
          <w:rFonts w:cs="Arial" w:hint="cs"/>
          <w:rtl/>
        </w:rPr>
        <w:t>,</w:t>
      </w:r>
      <w:r w:rsidRPr="009C2E58">
        <w:rPr>
          <w:rFonts w:cs="Arial"/>
          <w:rtl/>
        </w:rPr>
        <w:t xml:space="preserve"> דתו ליכא למיחש ללעז</w:t>
      </w:r>
      <w:r>
        <w:rPr>
          <w:rFonts w:cs="Arial" w:hint="cs"/>
          <w:rtl/>
        </w:rPr>
        <w:t>,</w:t>
      </w:r>
      <w:r w:rsidRPr="009C2E58">
        <w:rPr>
          <w:rFonts w:cs="Arial"/>
          <w:rtl/>
        </w:rPr>
        <w:t xml:space="preserve"> שכבר יודעים שיש לו שם אחר זולת הכתוב בגט או זולת שם שקורין לו במקום נתינה</w:t>
      </w:r>
      <w:r>
        <w:rPr>
          <w:rFonts w:cs="Arial" w:hint="cs"/>
          <w:rtl/>
        </w:rPr>
        <w:t>.</w:t>
      </w:r>
      <w:r w:rsidRPr="009C2E58">
        <w:rPr>
          <w:rFonts w:cs="Arial"/>
          <w:rtl/>
        </w:rPr>
        <w:t xml:space="preserve"> וכן משמע מהקונדריסים (סי' י סעי' ה)</w:t>
      </w:r>
      <w:r>
        <w:rPr>
          <w:rFonts w:cs="Arial" w:hint="cs"/>
          <w:rtl/>
        </w:rPr>
        <w:t>.</w:t>
      </w:r>
    </w:p>
    <w:p w14:paraId="113DCB61"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AAFF2BA" w14:textId="6F27472A" w:rsidR="00FA2119" w:rsidRDefault="00FA2119" w:rsidP="00FA2119">
      <w:pPr>
        <w:rPr>
          <w:rtl/>
        </w:rPr>
      </w:pPr>
      <w:r>
        <w:rPr>
          <w:rFonts w:cs="Arial" w:hint="cs"/>
          <w:rtl/>
        </w:rPr>
        <w:t>מי</w:t>
      </w:r>
      <w:r>
        <w:rPr>
          <w:rFonts w:cs="Arial"/>
          <w:rtl/>
        </w:rPr>
        <w:t xml:space="preserve"> </w:t>
      </w:r>
      <w:r>
        <w:rPr>
          <w:rFonts w:cs="Arial" w:hint="cs"/>
          <w:rtl/>
        </w:rPr>
        <w:t>שיש</w:t>
      </w:r>
      <w:r>
        <w:rPr>
          <w:rFonts w:cs="Arial"/>
          <w:rtl/>
        </w:rPr>
        <w:t xml:space="preserve"> </w:t>
      </w:r>
      <w:r>
        <w:rPr>
          <w:rFonts w:cs="Arial" w:hint="cs"/>
          <w:rtl/>
        </w:rPr>
        <w:t>לו</w:t>
      </w:r>
      <w:r>
        <w:rPr>
          <w:rFonts w:cs="Arial"/>
          <w:rtl/>
        </w:rPr>
        <w:t xml:space="preserve"> </w:t>
      </w:r>
      <w:r>
        <w:rPr>
          <w:rFonts w:cs="Arial" w:hint="cs"/>
          <w:rtl/>
        </w:rPr>
        <w:t>שם</w:t>
      </w:r>
      <w:r>
        <w:rPr>
          <w:rFonts w:cs="Arial"/>
          <w:rtl/>
        </w:rPr>
        <w:t xml:space="preserve"> </w:t>
      </w:r>
      <w:r>
        <w:rPr>
          <w:rFonts w:cs="Arial" w:hint="cs"/>
          <w:rtl/>
        </w:rPr>
        <w:t>אחד</w:t>
      </w:r>
      <w:r>
        <w:rPr>
          <w:rFonts w:cs="Arial"/>
          <w:rtl/>
        </w:rPr>
        <w:t xml:space="preserve"> </w:t>
      </w:r>
      <w:r>
        <w:rPr>
          <w:rFonts w:cs="Arial" w:hint="cs"/>
          <w:rtl/>
        </w:rPr>
        <w:t>בגליל</w:t>
      </w:r>
      <w:r>
        <w:rPr>
          <w:rFonts w:cs="Arial"/>
          <w:rtl/>
        </w:rPr>
        <w:t xml:space="preserve"> </w:t>
      </w:r>
      <w:r>
        <w:rPr>
          <w:rFonts w:cs="Arial" w:hint="cs"/>
          <w:rtl/>
        </w:rPr>
        <w:t>ושם</w:t>
      </w:r>
      <w:r>
        <w:rPr>
          <w:rFonts w:cs="Arial"/>
          <w:rtl/>
        </w:rPr>
        <w:t xml:space="preserve"> </w:t>
      </w:r>
      <w:r>
        <w:rPr>
          <w:rFonts w:cs="Arial" w:hint="cs"/>
          <w:rtl/>
        </w:rPr>
        <w:t>אחד</w:t>
      </w:r>
      <w:r>
        <w:rPr>
          <w:rFonts w:cs="Arial"/>
          <w:rtl/>
        </w:rPr>
        <w:t xml:space="preserve"> </w:t>
      </w:r>
      <w:r>
        <w:rPr>
          <w:rFonts w:cs="Arial" w:hint="cs"/>
          <w:rtl/>
        </w:rPr>
        <w:t>ביהודה</w:t>
      </w:r>
      <w:r>
        <w:rPr>
          <w:rFonts w:cs="Arial"/>
          <w:rtl/>
        </w:rPr>
        <w:t xml:space="preserve">, </w:t>
      </w:r>
      <w:r>
        <w:rPr>
          <w:rFonts w:cs="Arial" w:hint="cs"/>
          <w:rtl/>
        </w:rPr>
        <w:t>והוא</w:t>
      </w:r>
      <w:r>
        <w:rPr>
          <w:rFonts w:cs="Arial"/>
          <w:rtl/>
        </w:rPr>
        <w:t xml:space="preserve"> </w:t>
      </w:r>
      <w:r>
        <w:rPr>
          <w:rFonts w:cs="Arial" w:hint="cs"/>
          <w:rtl/>
        </w:rPr>
        <w:t>ואשתו</w:t>
      </w:r>
      <w:r>
        <w:rPr>
          <w:rFonts w:cs="Arial"/>
          <w:rtl/>
        </w:rPr>
        <w:t xml:space="preserve"> </w:t>
      </w:r>
      <w:r>
        <w:rPr>
          <w:rFonts w:cs="Arial" w:hint="cs"/>
          <w:rtl/>
        </w:rPr>
        <w:t>במקום</w:t>
      </w:r>
      <w:r>
        <w:rPr>
          <w:rFonts w:cs="Arial"/>
          <w:rtl/>
        </w:rPr>
        <w:t xml:space="preserve"> </w:t>
      </w:r>
      <w:r>
        <w:rPr>
          <w:rFonts w:cs="Arial" w:hint="cs"/>
          <w:rtl/>
        </w:rPr>
        <w:t>שאין</w:t>
      </w:r>
      <w:r>
        <w:rPr>
          <w:rFonts w:cs="Arial"/>
          <w:rtl/>
        </w:rPr>
        <w:t xml:space="preserve"> </w:t>
      </w:r>
      <w:r>
        <w:rPr>
          <w:rFonts w:cs="Arial" w:hint="cs"/>
          <w:rtl/>
        </w:rPr>
        <w:t>מכירין</w:t>
      </w:r>
      <w:r>
        <w:rPr>
          <w:rFonts w:cs="Arial"/>
          <w:rtl/>
        </w:rPr>
        <w:t xml:space="preserve"> </w:t>
      </w:r>
      <w:r>
        <w:rPr>
          <w:rFonts w:cs="Arial" w:hint="cs"/>
          <w:rtl/>
        </w:rPr>
        <w:t>בו</w:t>
      </w:r>
      <w:r>
        <w:rPr>
          <w:rFonts w:cs="Arial"/>
          <w:rtl/>
        </w:rPr>
        <w:t xml:space="preserve"> </w:t>
      </w:r>
      <w:r>
        <w:rPr>
          <w:rFonts w:cs="Arial" w:hint="cs"/>
          <w:rtl/>
        </w:rPr>
        <w:t>אלא</w:t>
      </w:r>
      <w:r>
        <w:rPr>
          <w:rFonts w:cs="Arial"/>
          <w:rtl/>
        </w:rPr>
        <w:t xml:space="preserve"> </w:t>
      </w:r>
      <w:r>
        <w:rPr>
          <w:rFonts w:cs="Arial" w:hint="cs"/>
          <w:rtl/>
        </w:rPr>
        <w:t>בשם</w:t>
      </w:r>
      <w:r>
        <w:rPr>
          <w:rFonts w:cs="Arial"/>
          <w:rtl/>
        </w:rPr>
        <w:t xml:space="preserve"> </w:t>
      </w:r>
      <w:r>
        <w:rPr>
          <w:rFonts w:cs="Arial" w:hint="cs"/>
          <w:rtl/>
        </w:rPr>
        <w:t>אחד</w:t>
      </w:r>
      <w:r>
        <w:rPr>
          <w:rFonts w:cs="Arial"/>
          <w:rtl/>
        </w:rPr>
        <w:t xml:space="preserve">, </w:t>
      </w:r>
      <w:r>
        <w:rPr>
          <w:rFonts w:cs="Arial" w:hint="cs"/>
          <w:rtl/>
        </w:rPr>
        <w:t>בין</w:t>
      </w:r>
      <w:r>
        <w:rPr>
          <w:rFonts w:cs="Arial"/>
          <w:rtl/>
        </w:rPr>
        <w:t xml:space="preserve"> </w:t>
      </w:r>
      <w:r>
        <w:rPr>
          <w:rFonts w:cs="Arial" w:hint="cs"/>
          <w:rtl/>
        </w:rPr>
        <w:t>שהוא</w:t>
      </w:r>
      <w:r>
        <w:rPr>
          <w:rFonts w:cs="Arial"/>
          <w:rtl/>
        </w:rPr>
        <w:t xml:space="preserve"> </w:t>
      </w:r>
      <w:r>
        <w:rPr>
          <w:rFonts w:cs="Arial" w:hint="cs"/>
          <w:rtl/>
        </w:rPr>
        <w:t>אחד</w:t>
      </w:r>
      <w:r>
        <w:rPr>
          <w:rFonts w:cs="Arial"/>
          <w:rtl/>
        </w:rPr>
        <w:t xml:space="preserve"> </w:t>
      </w:r>
      <w:r>
        <w:rPr>
          <w:rFonts w:cs="Arial" w:hint="cs"/>
          <w:rtl/>
        </w:rPr>
        <w:t>מהשני</w:t>
      </w:r>
      <w:r>
        <w:rPr>
          <w:rFonts w:cs="Arial"/>
          <w:rtl/>
        </w:rPr>
        <w:t xml:space="preserve"> </w:t>
      </w:r>
      <w:r>
        <w:rPr>
          <w:rFonts w:cs="Arial" w:hint="cs"/>
          <w:rtl/>
        </w:rPr>
        <w:t>שמות</w:t>
      </w:r>
      <w:r>
        <w:rPr>
          <w:rFonts w:cs="Arial"/>
          <w:rtl/>
        </w:rPr>
        <w:t xml:space="preserve"> </w:t>
      </w:r>
      <w:r>
        <w:rPr>
          <w:rFonts w:cs="Arial" w:hint="cs"/>
          <w:rtl/>
        </w:rPr>
        <w:t>בין</w:t>
      </w:r>
      <w:r>
        <w:rPr>
          <w:rFonts w:cs="Arial"/>
          <w:rtl/>
        </w:rPr>
        <w:t xml:space="preserve"> </w:t>
      </w:r>
      <w:r>
        <w:rPr>
          <w:rFonts w:cs="Arial" w:hint="cs"/>
          <w:rtl/>
        </w:rPr>
        <w:t>שהוא</w:t>
      </w:r>
      <w:r>
        <w:rPr>
          <w:rFonts w:cs="Arial"/>
          <w:rtl/>
        </w:rPr>
        <w:t xml:space="preserve"> </w:t>
      </w:r>
      <w:r>
        <w:rPr>
          <w:rFonts w:cs="Arial" w:hint="cs"/>
          <w:rtl/>
        </w:rPr>
        <w:t>שם</w:t>
      </w:r>
      <w:r>
        <w:rPr>
          <w:rFonts w:cs="Arial"/>
          <w:rtl/>
        </w:rPr>
        <w:t xml:space="preserve"> </w:t>
      </w:r>
      <w:r>
        <w:rPr>
          <w:rFonts w:cs="Arial" w:hint="cs"/>
          <w:rtl/>
        </w:rPr>
        <w:t>אחר</w:t>
      </w:r>
      <w:r>
        <w:rPr>
          <w:rFonts w:cs="Arial"/>
          <w:rtl/>
        </w:rPr>
        <w:t xml:space="preserve">, </w:t>
      </w:r>
      <w:r>
        <w:rPr>
          <w:rFonts w:cs="Arial" w:hint="cs"/>
          <w:rtl/>
        </w:rPr>
        <w:t>לכתחלה</w:t>
      </w:r>
      <w:r>
        <w:rPr>
          <w:rFonts w:cs="Arial"/>
          <w:rtl/>
        </w:rPr>
        <w:t xml:space="preserve"> </w:t>
      </w:r>
      <w:r>
        <w:rPr>
          <w:rFonts w:cs="Arial" w:hint="cs"/>
          <w:rtl/>
        </w:rPr>
        <w:t>יש</w:t>
      </w:r>
      <w:r>
        <w:rPr>
          <w:rFonts w:cs="Arial"/>
          <w:rtl/>
        </w:rPr>
        <w:t xml:space="preserve"> </w:t>
      </w:r>
      <w:r>
        <w:rPr>
          <w:rFonts w:cs="Arial" w:hint="cs"/>
          <w:rtl/>
        </w:rPr>
        <w:t>לו</w:t>
      </w:r>
      <w:r>
        <w:rPr>
          <w:rFonts w:cs="Arial"/>
          <w:rtl/>
        </w:rPr>
        <w:t xml:space="preserve"> </w:t>
      </w:r>
      <w:r>
        <w:rPr>
          <w:rFonts w:cs="Arial" w:hint="cs"/>
          <w:rtl/>
        </w:rPr>
        <w:t>לכתוב</w:t>
      </w:r>
      <w:r>
        <w:rPr>
          <w:rFonts w:cs="Arial"/>
          <w:rtl/>
        </w:rPr>
        <w:t xml:space="preserve"> </w:t>
      </w:r>
      <w:r>
        <w:rPr>
          <w:rFonts w:cs="Arial" w:hint="cs"/>
          <w:rtl/>
        </w:rPr>
        <w:t>כל</w:t>
      </w:r>
      <w:r>
        <w:rPr>
          <w:rFonts w:cs="Arial"/>
          <w:rtl/>
        </w:rPr>
        <w:t xml:space="preserve"> </w:t>
      </w:r>
      <w:r>
        <w:rPr>
          <w:rFonts w:cs="Arial" w:hint="cs"/>
          <w:rtl/>
        </w:rPr>
        <w:t>השמות</w:t>
      </w:r>
      <w:r>
        <w:rPr>
          <w:rFonts w:cs="Arial"/>
          <w:rtl/>
        </w:rPr>
        <w:t xml:space="preserve"> </w:t>
      </w:r>
      <w:r>
        <w:rPr>
          <w:rFonts w:cs="Arial" w:hint="cs"/>
          <w:rtl/>
        </w:rPr>
        <w:t>שיש</w:t>
      </w:r>
      <w:r>
        <w:rPr>
          <w:rFonts w:cs="Arial"/>
          <w:rtl/>
        </w:rPr>
        <w:t xml:space="preserve"> </w:t>
      </w:r>
      <w:r>
        <w:rPr>
          <w:rFonts w:cs="Arial" w:hint="cs"/>
          <w:rtl/>
        </w:rPr>
        <w:t>לו</w:t>
      </w:r>
      <w:r w:rsidR="00EE4F5C">
        <w:rPr>
          <w:rFonts w:cs="Arial" w:hint="cs"/>
          <w:rtl/>
        </w:rPr>
        <w:t>.</w:t>
      </w:r>
      <w:r>
        <w:rPr>
          <w:rFonts w:cs="Arial"/>
          <w:rtl/>
        </w:rPr>
        <w:t xml:space="preserve"> </w:t>
      </w:r>
      <w:r>
        <w:rPr>
          <w:rFonts w:cs="Arial" w:hint="cs"/>
          <w:rtl/>
        </w:rPr>
        <w:t>או</w:t>
      </w:r>
      <w:r>
        <w:rPr>
          <w:rFonts w:cs="Arial"/>
          <w:rtl/>
        </w:rPr>
        <w:t xml:space="preserve"> </w:t>
      </w:r>
      <w:r>
        <w:rPr>
          <w:rFonts w:cs="Arial" w:hint="cs"/>
          <w:rtl/>
        </w:rPr>
        <w:t>יכתוב</w:t>
      </w:r>
      <w:r>
        <w:rPr>
          <w:rFonts w:cs="Arial"/>
          <w:rtl/>
        </w:rPr>
        <w:t xml:space="preserve"> </w:t>
      </w:r>
      <w:r>
        <w:rPr>
          <w:rFonts w:cs="Arial" w:hint="cs"/>
          <w:rtl/>
        </w:rPr>
        <w:t>שם</w:t>
      </w:r>
      <w:r>
        <w:rPr>
          <w:rFonts w:cs="Arial"/>
          <w:rtl/>
        </w:rPr>
        <w:t xml:space="preserve"> </w:t>
      </w:r>
      <w:r>
        <w:rPr>
          <w:rFonts w:cs="Arial" w:hint="cs"/>
          <w:rtl/>
        </w:rPr>
        <w:t>שיש</w:t>
      </w:r>
      <w:r>
        <w:rPr>
          <w:rFonts w:cs="Arial"/>
          <w:rtl/>
        </w:rPr>
        <w:t xml:space="preserve"> </w:t>
      </w:r>
      <w:r>
        <w:rPr>
          <w:rFonts w:cs="Arial" w:hint="cs"/>
          <w:rtl/>
        </w:rPr>
        <w:t>לו</w:t>
      </w:r>
      <w:r>
        <w:rPr>
          <w:rFonts w:cs="Arial"/>
          <w:rtl/>
        </w:rPr>
        <w:t xml:space="preserve"> </w:t>
      </w:r>
      <w:r>
        <w:rPr>
          <w:rFonts w:cs="Arial" w:hint="cs"/>
          <w:rtl/>
        </w:rPr>
        <w:t>שם</w:t>
      </w:r>
      <w:r w:rsidR="00EE4F5C">
        <w:rPr>
          <w:rFonts w:cs="Arial" w:hint="cs"/>
          <w:rtl/>
        </w:rPr>
        <w:t>,</w:t>
      </w:r>
      <w:r>
        <w:rPr>
          <w:rFonts w:cs="Arial"/>
          <w:rtl/>
        </w:rPr>
        <w:t xml:space="preserve"> </w:t>
      </w:r>
      <w:r>
        <w:rPr>
          <w:rFonts w:cs="Arial" w:hint="cs"/>
          <w:rtl/>
        </w:rPr>
        <w:t>ויכתוב</w:t>
      </w:r>
      <w:r>
        <w:rPr>
          <w:rFonts w:cs="Arial"/>
          <w:rtl/>
        </w:rPr>
        <w:t xml:space="preserve">: </w:t>
      </w:r>
      <w:r>
        <w:rPr>
          <w:rFonts w:cs="Arial" w:hint="cs"/>
          <w:rtl/>
        </w:rPr>
        <w:t>וכל</w:t>
      </w:r>
      <w:r>
        <w:rPr>
          <w:rFonts w:cs="Arial"/>
          <w:rtl/>
        </w:rPr>
        <w:t xml:space="preserve"> </w:t>
      </w:r>
      <w:r>
        <w:rPr>
          <w:rFonts w:cs="Arial" w:hint="cs"/>
          <w:rtl/>
        </w:rPr>
        <w:t>שום</w:t>
      </w:r>
      <w:r>
        <w:rPr>
          <w:rFonts w:cs="Arial"/>
          <w:rtl/>
        </w:rPr>
        <w:t xml:space="preserve">, </w:t>
      </w:r>
      <w:r>
        <w:rPr>
          <w:rFonts w:cs="Arial" w:hint="cs"/>
          <w:rtl/>
        </w:rPr>
        <w:t>לכלול</w:t>
      </w:r>
      <w:r>
        <w:rPr>
          <w:rFonts w:cs="Arial"/>
          <w:rtl/>
        </w:rPr>
        <w:t xml:space="preserve"> </w:t>
      </w:r>
      <w:r>
        <w:rPr>
          <w:rFonts w:cs="Arial" w:hint="cs"/>
          <w:rtl/>
        </w:rPr>
        <w:t>שמות</w:t>
      </w:r>
      <w:r>
        <w:rPr>
          <w:rFonts w:cs="Arial"/>
          <w:rtl/>
        </w:rPr>
        <w:t xml:space="preserve"> </w:t>
      </w:r>
      <w:r>
        <w:rPr>
          <w:rFonts w:cs="Arial" w:hint="cs"/>
          <w:rtl/>
        </w:rPr>
        <w:t>דשאר</w:t>
      </w:r>
      <w:r>
        <w:rPr>
          <w:rFonts w:cs="Arial"/>
          <w:rtl/>
        </w:rPr>
        <w:t xml:space="preserve"> </w:t>
      </w:r>
      <w:r>
        <w:rPr>
          <w:rFonts w:cs="Arial" w:hint="cs"/>
          <w:rtl/>
        </w:rPr>
        <w:t>מקומות</w:t>
      </w:r>
      <w:r>
        <w:rPr>
          <w:rFonts w:cs="Arial"/>
          <w:rtl/>
        </w:rPr>
        <w:t xml:space="preserve">. </w:t>
      </w:r>
      <w:r>
        <w:rPr>
          <w:rFonts w:cs="Arial" w:hint="cs"/>
          <w:rtl/>
        </w:rPr>
        <w:t>ואם</w:t>
      </w:r>
      <w:r>
        <w:rPr>
          <w:rFonts w:cs="Arial"/>
          <w:rtl/>
        </w:rPr>
        <w:t xml:space="preserve"> </w:t>
      </w:r>
      <w:r>
        <w:rPr>
          <w:rFonts w:cs="Arial" w:hint="cs"/>
          <w:rtl/>
        </w:rPr>
        <w:t>לא</w:t>
      </w:r>
      <w:r>
        <w:rPr>
          <w:rFonts w:cs="Arial"/>
          <w:rtl/>
        </w:rPr>
        <w:t xml:space="preserve"> </w:t>
      </w:r>
      <w:r>
        <w:rPr>
          <w:rFonts w:cs="Arial" w:hint="cs"/>
          <w:rtl/>
        </w:rPr>
        <w:t>כתב</w:t>
      </w:r>
      <w:r>
        <w:rPr>
          <w:rFonts w:cs="Arial"/>
          <w:rtl/>
        </w:rPr>
        <w:t xml:space="preserve"> </w:t>
      </w:r>
      <w:r>
        <w:rPr>
          <w:rFonts w:cs="Arial" w:hint="cs"/>
          <w:rtl/>
        </w:rPr>
        <w:t>אלא</w:t>
      </w:r>
      <w:r>
        <w:rPr>
          <w:rFonts w:cs="Arial"/>
          <w:rtl/>
        </w:rPr>
        <w:t xml:space="preserve"> </w:t>
      </w:r>
      <w:r>
        <w:rPr>
          <w:rFonts w:cs="Arial" w:hint="cs"/>
          <w:rtl/>
        </w:rPr>
        <w:t>שם</w:t>
      </w:r>
      <w:r>
        <w:rPr>
          <w:rFonts w:cs="Arial"/>
          <w:rtl/>
        </w:rPr>
        <w:t xml:space="preserve"> </w:t>
      </w:r>
      <w:r>
        <w:rPr>
          <w:rFonts w:cs="Arial" w:hint="cs"/>
          <w:rtl/>
        </w:rPr>
        <w:t>שיש</w:t>
      </w:r>
      <w:r>
        <w:rPr>
          <w:rFonts w:cs="Arial"/>
          <w:rtl/>
        </w:rPr>
        <w:t xml:space="preserve"> </w:t>
      </w:r>
      <w:r>
        <w:rPr>
          <w:rFonts w:cs="Arial" w:hint="cs"/>
          <w:rtl/>
        </w:rPr>
        <w:t>לו</w:t>
      </w:r>
      <w:r>
        <w:rPr>
          <w:rFonts w:cs="Arial"/>
          <w:rtl/>
        </w:rPr>
        <w:t xml:space="preserve"> </w:t>
      </w:r>
      <w:r>
        <w:rPr>
          <w:rFonts w:cs="Arial" w:hint="cs"/>
          <w:rtl/>
        </w:rPr>
        <w:t>במקום</w:t>
      </w:r>
      <w:r>
        <w:rPr>
          <w:rFonts w:cs="Arial"/>
          <w:rtl/>
        </w:rPr>
        <w:t xml:space="preserve"> </w:t>
      </w:r>
      <w:r>
        <w:rPr>
          <w:rFonts w:cs="Arial" w:hint="cs"/>
          <w:rtl/>
        </w:rPr>
        <w:t>שהוא</w:t>
      </w:r>
      <w:r>
        <w:rPr>
          <w:rFonts w:cs="Arial"/>
          <w:rtl/>
        </w:rPr>
        <w:t xml:space="preserve"> </w:t>
      </w:r>
      <w:r>
        <w:rPr>
          <w:rFonts w:cs="Arial" w:hint="cs"/>
          <w:rtl/>
        </w:rPr>
        <w:t>ואשתו</w:t>
      </w:r>
      <w:r>
        <w:rPr>
          <w:rFonts w:cs="Arial"/>
          <w:rtl/>
        </w:rPr>
        <w:t xml:space="preserve"> </w:t>
      </w:r>
      <w:r>
        <w:rPr>
          <w:rFonts w:cs="Arial" w:hint="cs"/>
          <w:rtl/>
        </w:rPr>
        <w:t>שם</w:t>
      </w:r>
      <w:r>
        <w:rPr>
          <w:rFonts w:cs="Arial"/>
          <w:rtl/>
        </w:rPr>
        <w:t xml:space="preserve">, </w:t>
      </w:r>
      <w:r>
        <w:rPr>
          <w:rFonts w:cs="Arial" w:hint="cs"/>
          <w:rtl/>
        </w:rPr>
        <w:t>כשר</w:t>
      </w:r>
      <w:r>
        <w:rPr>
          <w:rStyle w:val="a7"/>
          <w:rFonts w:cs="Arial"/>
          <w:rtl/>
        </w:rPr>
        <w:footnoteReference w:id="1120"/>
      </w:r>
      <w:r>
        <w:rPr>
          <w:rFonts w:cs="Arial"/>
          <w:rtl/>
        </w:rPr>
        <w:t xml:space="preserve">. </w:t>
      </w:r>
    </w:p>
    <w:p w14:paraId="1AFF7CAD" w14:textId="77777777" w:rsidR="00FA2119" w:rsidRDefault="00FA2119" w:rsidP="00FA2119">
      <w:pPr>
        <w:rPr>
          <w:rtl/>
        </w:rPr>
      </w:pPr>
    </w:p>
    <w:p w14:paraId="565EA7AD" w14:textId="77777777" w:rsidR="00FA2119" w:rsidRDefault="00FA2119" w:rsidP="00FA2119">
      <w:pPr>
        <w:pStyle w:val="2"/>
        <w:rPr>
          <w:rtl/>
        </w:rPr>
      </w:pPr>
      <w:r>
        <w:rPr>
          <w:rFonts w:hint="cs"/>
          <w:rtl/>
        </w:rPr>
        <w:t>סעיף</w:t>
      </w:r>
      <w:r>
        <w:rPr>
          <w:rtl/>
        </w:rPr>
        <w:t xml:space="preserve"> </w:t>
      </w:r>
      <w:r>
        <w:rPr>
          <w:rFonts w:hint="cs"/>
          <w:rtl/>
        </w:rPr>
        <w:t>יג: כתב שם שיש לו במקום אחר וכל שום.</w:t>
      </w:r>
    </w:p>
    <w:p w14:paraId="085385D9" w14:textId="77777777" w:rsidR="00FA2119" w:rsidRPr="0094407E" w:rsidRDefault="00FA2119" w:rsidP="00FA2119">
      <w:pPr>
        <w:rPr>
          <w:u w:val="single"/>
          <w:rtl/>
        </w:rPr>
      </w:pPr>
      <w:r w:rsidRPr="0094407E">
        <w:rPr>
          <w:rFonts w:hint="cs"/>
          <w:u w:val="single"/>
          <w:rtl/>
        </w:rPr>
        <w:t>כתב שם שיש לו במקום אחר</w:t>
      </w:r>
      <w:r>
        <w:rPr>
          <w:rFonts w:hint="cs"/>
          <w:u w:val="single"/>
          <w:rtl/>
        </w:rPr>
        <w:t>, וכתב</w:t>
      </w:r>
      <w:r w:rsidRPr="0094407E">
        <w:rPr>
          <w:rFonts w:hint="cs"/>
          <w:u w:val="single"/>
          <w:rtl/>
        </w:rPr>
        <w:t xml:space="preserve"> </w:t>
      </w:r>
      <w:r>
        <w:rPr>
          <w:rFonts w:hint="cs"/>
          <w:u w:val="single"/>
          <w:rtl/>
        </w:rPr>
        <w:t>'</w:t>
      </w:r>
      <w:r w:rsidRPr="0094407E">
        <w:rPr>
          <w:rFonts w:hint="cs"/>
          <w:u w:val="single"/>
          <w:rtl/>
        </w:rPr>
        <w:t>וכל שום</w:t>
      </w:r>
      <w:r>
        <w:rPr>
          <w:rFonts w:hint="cs"/>
          <w:u w:val="single"/>
          <w:rtl/>
        </w:rPr>
        <w:t>' בשביל לכלול את שם מקום הכתיבה והנתינה</w:t>
      </w:r>
      <w:r w:rsidRPr="0094407E">
        <w:rPr>
          <w:rFonts w:hint="cs"/>
          <w:u w:val="single"/>
          <w:rtl/>
        </w:rPr>
        <w:t>:</w:t>
      </w:r>
    </w:p>
    <w:p w14:paraId="07427BD3" w14:textId="1DB14B24" w:rsidR="00FA2119" w:rsidRDefault="00FA2119" w:rsidP="00FA2119">
      <w:pPr>
        <w:pStyle w:val="ab"/>
        <w:numPr>
          <w:ilvl w:val="0"/>
          <w:numId w:val="75"/>
        </w:numPr>
        <w:rPr>
          <w:rFonts w:cs="Arial"/>
        </w:rPr>
      </w:pPr>
      <w:r w:rsidRPr="00E253B2">
        <w:rPr>
          <w:rFonts w:cs="Arial" w:hint="cs"/>
          <w:rtl/>
        </w:rPr>
        <w:t>ר"ן</w:t>
      </w:r>
      <w:r w:rsidRPr="00E253B2">
        <w:rPr>
          <w:rFonts w:cs="Arial"/>
          <w:rtl/>
        </w:rPr>
        <w:t xml:space="preserve"> </w:t>
      </w:r>
      <w:r w:rsidRPr="00E253B2">
        <w:rPr>
          <w:rFonts w:cs="Arial"/>
          <w:sz w:val="16"/>
          <w:szCs w:val="16"/>
          <w:rtl/>
        </w:rPr>
        <w:t>(יז: ד"ה ואין)</w:t>
      </w:r>
      <w:r w:rsidR="00A82951">
        <w:rPr>
          <w:rFonts w:cs="Arial" w:hint="cs"/>
          <w:rtl/>
        </w:rPr>
        <w:t>-</w:t>
      </w:r>
      <w:r w:rsidRPr="00E253B2">
        <w:rPr>
          <w:rFonts w:cs="Arial" w:hint="cs"/>
          <w:rtl/>
        </w:rPr>
        <w:t xml:space="preserve"> </w:t>
      </w:r>
      <w:r w:rsidRPr="00E253B2">
        <w:rPr>
          <w:rFonts w:cs="Arial"/>
          <w:rtl/>
        </w:rPr>
        <w:t>אם כתב שם שיש לו במקום אחר</w:t>
      </w:r>
      <w:r w:rsidR="006D6690">
        <w:rPr>
          <w:rFonts w:cs="Arial" w:hint="cs"/>
          <w:rtl/>
        </w:rPr>
        <w:t>,</w:t>
      </w:r>
      <w:r w:rsidRPr="00E253B2">
        <w:rPr>
          <w:rFonts w:cs="Arial"/>
          <w:rtl/>
        </w:rPr>
        <w:t xml:space="preserve"> וכתב </w:t>
      </w:r>
      <w:r w:rsidR="006D6690">
        <w:rPr>
          <w:rFonts w:cs="Arial" w:hint="cs"/>
          <w:rtl/>
        </w:rPr>
        <w:t>"</w:t>
      </w:r>
      <w:r w:rsidRPr="00E253B2">
        <w:rPr>
          <w:rFonts w:cs="Arial"/>
          <w:rtl/>
        </w:rPr>
        <w:t>וכל שום</w:t>
      </w:r>
      <w:r w:rsidR="006D6690">
        <w:rPr>
          <w:rFonts w:cs="Arial" w:hint="cs"/>
          <w:rtl/>
        </w:rPr>
        <w:t>"</w:t>
      </w:r>
      <w:r w:rsidRPr="00E253B2">
        <w:rPr>
          <w:rFonts w:cs="Arial"/>
          <w:rtl/>
        </w:rPr>
        <w:t xml:space="preserve"> בשביל מקום כתיבה ונתינה </w:t>
      </w:r>
      <w:r w:rsidR="00A82951">
        <w:rPr>
          <w:rFonts w:cs="Arial" w:hint="cs"/>
          <w:rtl/>
        </w:rPr>
        <w:t>-</w:t>
      </w:r>
      <w:r w:rsidRPr="00E253B2">
        <w:rPr>
          <w:rFonts w:cs="Arial" w:hint="cs"/>
          <w:rtl/>
        </w:rPr>
        <w:t xml:space="preserve"> </w:t>
      </w:r>
      <w:r w:rsidRPr="00E253B2">
        <w:rPr>
          <w:rFonts w:cs="Arial"/>
          <w:rtl/>
        </w:rPr>
        <w:t>משמע שאינה מגורשת</w:t>
      </w:r>
      <w:r w:rsidRPr="00E253B2">
        <w:rPr>
          <w:rFonts w:cs="Arial" w:hint="cs"/>
          <w:rtl/>
        </w:rPr>
        <w:t>.</w:t>
      </w:r>
      <w:r>
        <w:rPr>
          <w:rFonts w:cs="Arial" w:hint="cs"/>
          <w:rtl/>
        </w:rPr>
        <w:t xml:space="preserve"> </w:t>
      </w:r>
      <w:r w:rsidRPr="009A20BF">
        <w:rPr>
          <w:rFonts w:hint="cs"/>
          <w:color w:val="E36C0A" w:themeColor="accent6" w:themeShade="BF"/>
          <w:rtl/>
        </w:rPr>
        <w:t>(וכ"פ בשו"ע)</w:t>
      </w:r>
    </w:p>
    <w:p w14:paraId="1C9504A7" w14:textId="3B702AB6" w:rsidR="00FA2119" w:rsidRPr="005B482A" w:rsidRDefault="00FA2119" w:rsidP="00FA2119">
      <w:pPr>
        <w:pStyle w:val="ab"/>
        <w:numPr>
          <w:ilvl w:val="0"/>
          <w:numId w:val="75"/>
        </w:numPr>
        <w:rPr>
          <w:rFonts w:cs="Arial"/>
          <w:rtl/>
        </w:rPr>
      </w:pPr>
      <w:r w:rsidRPr="005B482A">
        <w:rPr>
          <w:rFonts w:cs="Arial"/>
          <w:rtl/>
        </w:rPr>
        <w:t>הה</w:t>
      </w:r>
      <w:r w:rsidRPr="005B482A">
        <w:rPr>
          <w:rFonts w:cs="Arial" w:hint="cs"/>
          <w:rtl/>
        </w:rPr>
        <w:t>"</w:t>
      </w:r>
      <w:r w:rsidRPr="005B482A">
        <w:rPr>
          <w:rFonts w:cs="Arial"/>
          <w:rtl/>
        </w:rPr>
        <w:t xml:space="preserve">מ </w:t>
      </w:r>
      <w:r w:rsidRPr="005B482A">
        <w:rPr>
          <w:rFonts w:cs="Arial" w:hint="cs"/>
          <w:sz w:val="16"/>
          <w:szCs w:val="16"/>
          <w:rtl/>
        </w:rPr>
        <w:t>(</w:t>
      </w:r>
      <w:r w:rsidRPr="005B482A">
        <w:rPr>
          <w:rFonts w:cs="Arial"/>
          <w:sz w:val="16"/>
          <w:szCs w:val="16"/>
          <w:rtl/>
        </w:rPr>
        <w:t>פ</w:t>
      </w:r>
      <w:r w:rsidRPr="005B482A">
        <w:rPr>
          <w:rFonts w:cs="Arial" w:hint="cs"/>
          <w:sz w:val="16"/>
          <w:szCs w:val="16"/>
          <w:rtl/>
        </w:rPr>
        <w:t xml:space="preserve">"ג </w:t>
      </w:r>
      <w:r w:rsidRPr="005B482A">
        <w:rPr>
          <w:rFonts w:cs="Arial"/>
          <w:sz w:val="16"/>
          <w:szCs w:val="16"/>
          <w:rtl/>
        </w:rPr>
        <w:t>הי"ג)</w:t>
      </w:r>
      <w:r w:rsidRPr="005B482A">
        <w:rPr>
          <w:rFonts w:cs="Arial"/>
          <w:rtl/>
        </w:rPr>
        <w:t xml:space="preserve"> בשם המפרשים</w:t>
      </w:r>
      <w:r w:rsidR="00A82951">
        <w:rPr>
          <w:rFonts w:cs="Arial" w:hint="cs"/>
          <w:rtl/>
        </w:rPr>
        <w:t>-</w:t>
      </w:r>
      <w:r w:rsidRPr="005B482A">
        <w:rPr>
          <w:rFonts w:cs="Arial"/>
          <w:rtl/>
        </w:rPr>
        <w:t xml:space="preserve"> הוא פסול</w:t>
      </w:r>
      <w:r>
        <w:rPr>
          <w:rStyle w:val="a7"/>
          <w:rFonts w:cs="Arial"/>
          <w:rtl/>
        </w:rPr>
        <w:footnoteReference w:id="1121"/>
      </w:r>
      <w:r w:rsidRPr="005B482A">
        <w:rPr>
          <w:rFonts w:cs="Arial"/>
          <w:rtl/>
        </w:rPr>
        <w:t>.</w:t>
      </w:r>
    </w:p>
    <w:p w14:paraId="1BE03A96"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4343DA6" w14:textId="77777777" w:rsidR="00FA2119" w:rsidRDefault="00FA2119" w:rsidP="00FA2119">
      <w:pPr>
        <w:rPr>
          <w:rtl/>
        </w:rPr>
      </w:pPr>
      <w:r>
        <w:rPr>
          <w:rFonts w:cs="Arial" w:hint="cs"/>
          <w:rtl/>
        </w:rPr>
        <w:t>אם</w:t>
      </w:r>
      <w:r>
        <w:rPr>
          <w:rFonts w:cs="Arial"/>
          <w:rtl/>
        </w:rPr>
        <w:t xml:space="preserve"> </w:t>
      </w:r>
      <w:r>
        <w:rPr>
          <w:rFonts w:cs="Arial" w:hint="cs"/>
          <w:rtl/>
        </w:rPr>
        <w:t>כתב</w:t>
      </w:r>
      <w:r>
        <w:rPr>
          <w:rFonts w:cs="Arial"/>
          <w:rtl/>
        </w:rPr>
        <w:t xml:space="preserve"> </w:t>
      </w:r>
      <w:r>
        <w:rPr>
          <w:rFonts w:cs="Arial" w:hint="cs"/>
          <w:rtl/>
        </w:rPr>
        <w:t>שם</w:t>
      </w:r>
      <w:r>
        <w:rPr>
          <w:rFonts w:cs="Arial"/>
          <w:rtl/>
        </w:rPr>
        <w:t xml:space="preserve"> </w:t>
      </w:r>
      <w:r>
        <w:rPr>
          <w:rFonts w:cs="Arial" w:hint="cs"/>
          <w:rtl/>
        </w:rPr>
        <w:t>שיש</w:t>
      </w:r>
      <w:r>
        <w:rPr>
          <w:rFonts w:cs="Arial"/>
          <w:rtl/>
        </w:rPr>
        <w:t xml:space="preserve"> </w:t>
      </w:r>
      <w:r>
        <w:rPr>
          <w:rFonts w:cs="Arial" w:hint="cs"/>
          <w:rtl/>
        </w:rPr>
        <w:t>לו</w:t>
      </w:r>
      <w:r>
        <w:rPr>
          <w:rFonts w:cs="Arial"/>
          <w:rtl/>
        </w:rPr>
        <w:t xml:space="preserve"> </w:t>
      </w:r>
      <w:r>
        <w:rPr>
          <w:rFonts w:cs="Arial" w:hint="cs"/>
          <w:rtl/>
        </w:rPr>
        <w:t>במקום</w:t>
      </w:r>
      <w:r>
        <w:rPr>
          <w:rFonts w:cs="Arial"/>
          <w:rtl/>
        </w:rPr>
        <w:t xml:space="preserve"> </w:t>
      </w:r>
      <w:r>
        <w:rPr>
          <w:rFonts w:cs="Arial" w:hint="cs"/>
          <w:rtl/>
        </w:rPr>
        <w:t>אחר</w:t>
      </w:r>
      <w:r>
        <w:rPr>
          <w:rFonts w:cs="Arial"/>
          <w:rtl/>
        </w:rPr>
        <w:t xml:space="preserve">, </w:t>
      </w:r>
      <w:r>
        <w:rPr>
          <w:rFonts w:cs="Arial" w:hint="cs"/>
          <w:rtl/>
        </w:rPr>
        <w:t>וכתב</w:t>
      </w:r>
      <w:r>
        <w:rPr>
          <w:rFonts w:cs="Arial"/>
          <w:rtl/>
        </w:rPr>
        <w:t xml:space="preserve">: </w:t>
      </w:r>
      <w:r>
        <w:rPr>
          <w:rFonts w:cs="Arial" w:hint="cs"/>
          <w:rtl/>
        </w:rPr>
        <w:t>וכל</w:t>
      </w:r>
      <w:r>
        <w:rPr>
          <w:rFonts w:cs="Arial"/>
          <w:rtl/>
        </w:rPr>
        <w:t xml:space="preserve"> </w:t>
      </w:r>
      <w:r>
        <w:rPr>
          <w:rFonts w:cs="Arial" w:hint="cs"/>
          <w:rtl/>
        </w:rPr>
        <w:t>שם</w:t>
      </w:r>
      <w:r>
        <w:rPr>
          <w:rFonts w:cs="Arial"/>
          <w:rtl/>
        </w:rPr>
        <w:t xml:space="preserve">, </w:t>
      </w:r>
      <w:r>
        <w:rPr>
          <w:rFonts w:cs="Arial" w:hint="cs"/>
          <w:rtl/>
        </w:rPr>
        <w:t>בשביל</w:t>
      </w:r>
      <w:r>
        <w:rPr>
          <w:rFonts w:cs="Arial"/>
          <w:rtl/>
        </w:rPr>
        <w:t xml:space="preserve"> </w:t>
      </w:r>
      <w:r>
        <w:rPr>
          <w:rFonts w:cs="Arial" w:hint="cs"/>
          <w:rtl/>
        </w:rPr>
        <w:t>מקום</w:t>
      </w:r>
      <w:r>
        <w:rPr>
          <w:rFonts w:cs="Arial"/>
          <w:rtl/>
        </w:rPr>
        <w:t xml:space="preserve"> </w:t>
      </w:r>
      <w:r>
        <w:rPr>
          <w:rFonts w:cs="Arial" w:hint="cs"/>
          <w:rtl/>
        </w:rPr>
        <w:t>כתיבה</w:t>
      </w:r>
      <w:r>
        <w:rPr>
          <w:rFonts w:cs="Arial"/>
          <w:rtl/>
        </w:rPr>
        <w:t xml:space="preserve"> </w:t>
      </w:r>
      <w:r>
        <w:rPr>
          <w:rFonts w:cs="Arial" w:hint="cs"/>
          <w:rtl/>
        </w:rPr>
        <w:t>ונתינה</w:t>
      </w:r>
      <w:r>
        <w:rPr>
          <w:rFonts w:cs="Arial"/>
          <w:rtl/>
        </w:rPr>
        <w:t xml:space="preserve">, </w:t>
      </w:r>
      <w:r>
        <w:rPr>
          <w:rFonts w:cs="Arial" w:hint="cs"/>
          <w:rtl/>
        </w:rPr>
        <w:t>בטל</w:t>
      </w:r>
      <w:r>
        <w:rPr>
          <w:rStyle w:val="a7"/>
          <w:rFonts w:cs="Arial"/>
          <w:rtl/>
        </w:rPr>
        <w:footnoteReference w:id="1122"/>
      </w:r>
      <w:r>
        <w:rPr>
          <w:rFonts w:cs="Arial"/>
          <w:rtl/>
        </w:rPr>
        <w:t xml:space="preserve">. </w:t>
      </w:r>
    </w:p>
    <w:p w14:paraId="632DC2C6" w14:textId="77777777" w:rsidR="00FA2119" w:rsidRPr="005C1294" w:rsidRDefault="00FA2119" w:rsidP="00FA2119">
      <w:pPr>
        <w:rPr>
          <w:sz w:val="16"/>
          <w:szCs w:val="16"/>
          <w:u w:val="single"/>
          <w:rtl/>
        </w:rPr>
      </w:pPr>
      <w:r w:rsidRPr="005C1294">
        <w:rPr>
          <w:rFonts w:hint="cs"/>
          <w:u w:val="single"/>
          <w:rtl/>
        </w:rPr>
        <w:t xml:space="preserve">ומה הדין אם במקרה הנ"ל </w:t>
      </w:r>
      <w:r w:rsidRPr="005C1294">
        <w:rPr>
          <w:rFonts w:hint="cs"/>
          <w:sz w:val="16"/>
          <w:szCs w:val="16"/>
          <w:u w:val="single"/>
          <w:rtl/>
        </w:rPr>
        <w:t>(של השו"ע</w:t>
      </w:r>
      <w:r>
        <w:rPr>
          <w:rFonts w:hint="cs"/>
          <w:sz w:val="16"/>
          <w:szCs w:val="16"/>
          <w:u w:val="single"/>
          <w:rtl/>
        </w:rPr>
        <w:t>)</w:t>
      </w:r>
      <w:r w:rsidRPr="005C1294">
        <w:rPr>
          <w:rFonts w:hint="cs"/>
          <w:u w:val="single"/>
          <w:rtl/>
        </w:rPr>
        <w:t xml:space="preserve"> הלכו הבעל והאשה למקום שכתוב בגט</w:t>
      </w:r>
      <w:r>
        <w:rPr>
          <w:rFonts w:hint="cs"/>
          <w:u w:val="single"/>
          <w:rtl/>
        </w:rPr>
        <w:t>, ונתן הבעל שוב את הגט</w:t>
      </w:r>
      <w:r w:rsidRPr="005C1294">
        <w:rPr>
          <w:rFonts w:hint="cs"/>
          <w:u w:val="single"/>
          <w:rtl/>
        </w:rPr>
        <w:t>:</w:t>
      </w:r>
      <w:r w:rsidRPr="005C1294">
        <w:rPr>
          <w:rFonts w:hint="cs"/>
          <w:sz w:val="16"/>
          <w:szCs w:val="16"/>
          <w:rtl/>
        </w:rPr>
        <w:t xml:space="preserve"> (פת"ש סקל"ה)</w:t>
      </w:r>
    </w:p>
    <w:p w14:paraId="6D960BFB" w14:textId="359C57EE" w:rsidR="00FA2119" w:rsidRDefault="00FA2119" w:rsidP="00FA2119">
      <w:pPr>
        <w:pStyle w:val="ab"/>
        <w:numPr>
          <w:ilvl w:val="0"/>
          <w:numId w:val="76"/>
        </w:numPr>
      </w:pPr>
      <w:r w:rsidRPr="005C1294">
        <w:rPr>
          <w:rFonts w:cs="Arial"/>
          <w:rtl/>
        </w:rPr>
        <w:t>ג"פ</w:t>
      </w:r>
      <w:r w:rsidRPr="005C1294">
        <w:rPr>
          <w:rFonts w:cs="Arial"/>
          <w:sz w:val="16"/>
          <w:szCs w:val="16"/>
          <w:rtl/>
        </w:rPr>
        <w:t xml:space="preserve"> </w:t>
      </w:r>
      <w:r w:rsidRPr="005C1294">
        <w:rPr>
          <w:rFonts w:cs="Arial" w:hint="cs"/>
          <w:sz w:val="16"/>
          <w:szCs w:val="16"/>
          <w:rtl/>
        </w:rPr>
        <w:t>(</w:t>
      </w:r>
      <w:r w:rsidRPr="005C1294">
        <w:rPr>
          <w:rFonts w:cs="Arial"/>
          <w:sz w:val="16"/>
          <w:szCs w:val="16"/>
          <w:rtl/>
        </w:rPr>
        <w:t>ס</w:t>
      </w:r>
      <w:r w:rsidRPr="005C1294">
        <w:rPr>
          <w:rFonts w:cs="Arial" w:hint="cs"/>
          <w:sz w:val="16"/>
          <w:szCs w:val="16"/>
          <w:rtl/>
        </w:rPr>
        <w:t xml:space="preserve">ע' </w:t>
      </w:r>
      <w:r w:rsidRPr="005C1294">
        <w:rPr>
          <w:rFonts w:cs="Arial"/>
          <w:sz w:val="16"/>
          <w:szCs w:val="16"/>
          <w:rtl/>
        </w:rPr>
        <w:t>ק</w:t>
      </w:r>
      <w:r w:rsidRPr="005C1294">
        <w:rPr>
          <w:rFonts w:cs="Arial" w:hint="cs"/>
          <w:sz w:val="16"/>
          <w:szCs w:val="16"/>
          <w:rtl/>
        </w:rPr>
        <w:t>טן</w:t>
      </w:r>
      <w:r w:rsidRPr="005C1294">
        <w:rPr>
          <w:rFonts w:cs="Arial"/>
          <w:sz w:val="16"/>
          <w:szCs w:val="16"/>
          <w:rtl/>
        </w:rPr>
        <w:t xml:space="preserve"> סא</w:t>
      </w:r>
      <w:r w:rsidRPr="005C1294">
        <w:rPr>
          <w:rFonts w:cs="Arial" w:hint="cs"/>
          <w:sz w:val="16"/>
          <w:szCs w:val="16"/>
          <w:rtl/>
        </w:rPr>
        <w:t>)</w:t>
      </w:r>
      <w:r w:rsidR="00A82951">
        <w:rPr>
          <w:rFonts w:cs="Arial" w:hint="cs"/>
          <w:rtl/>
        </w:rPr>
        <w:t>-</w:t>
      </w:r>
      <w:r w:rsidRPr="005C1294">
        <w:rPr>
          <w:rFonts w:cs="Arial"/>
          <w:rtl/>
        </w:rPr>
        <w:t xml:space="preserve"> מסתברא דאף אם אחר הנתינה הלכה אשתו למקום אחר שמכירין השם הכתוב בגט</w:t>
      </w:r>
      <w:r>
        <w:rPr>
          <w:rFonts w:cs="Arial" w:hint="cs"/>
          <w:rtl/>
        </w:rPr>
        <w:t xml:space="preserve"> </w:t>
      </w:r>
      <w:r w:rsidR="00A82951">
        <w:rPr>
          <w:rFonts w:cs="Arial" w:hint="cs"/>
          <w:rtl/>
        </w:rPr>
        <w:t>-</w:t>
      </w:r>
      <w:r w:rsidRPr="005C1294">
        <w:rPr>
          <w:rFonts w:cs="Arial"/>
          <w:rtl/>
        </w:rPr>
        <w:t xml:space="preserve"> לא הוכשר</w:t>
      </w:r>
      <w:r>
        <w:rPr>
          <w:rFonts w:cs="Arial" w:hint="cs"/>
          <w:rtl/>
        </w:rPr>
        <w:t>,</w:t>
      </w:r>
      <w:r w:rsidRPr="005C1294">
        <w:rPr>
          <w:rFonts w:cs="Arial"/>
          <w:rtl/>
        </w:rPr>
        <w:t xml:space="preserve"> כיון דבשעה שבא הגט לידה באותו מקום לא היו מכירין אותו שם הכתוב בגט הו"ל נתינת אותו הגט כחספא בעלמא</w:t>
      </w:r>
      <w:r>
        <w:rPr>
          <w:rFonts w:cs="Arial" w:hint="cs"/>
          <w:rtl/>
        </w:rPr>
        <w:t>.</w:t>
      </w:r>
      <w:r w:rsidRPr="005C1294">
        <w:rPr>
          <w:rFonts w:cs="Arial"/>
          <w:rtl/>
        </w:rPr>
        <w:t xml:space="preserve"> ותדע שכן הוא</w:t>
      </w:r>
      <w:r>
        <w:rPr>
          <w:rFonts w:cs="Arial" w:hint="cs"/>
          <w:rtl/>
        </w:rPr>
        <w:t>,</w:t>
      </w:r>
      <w:r w:rsidRPr="005C1294">
        <w:rPr>
          <w:rFonts w:cs="Arial"/>
          <w:rtl/>
        </w:rPr>
        <w:t xml:space="preserve"> מדהחליטו הדבר לומר דהגט בטל</w:t>
      </w:r>
      <w:r>
        <w:rPr>
          <w:rFonts w:cs="Arial" w:hint="cs"/>
          <w:rtl/>
        </w:rPr>
        <w:t>.</w:t>
      </w:r>
      <w:r w:rsidRPr="005C1294">
        <w:rPr>
          <w:rFonts w:cs="Arial"/>
          <w:rtl/>
        </w:rPr>
        <w:t xml:space="preserve"> אמנם אם הלך הבעל והאשה למקום שמכירין בשם הכתוב בגט</w:t>
      </w:r>
      <w:r w:rsidR="006D6690">
        <w:rPr>
          <w:rFonts w:cs="Arial" w:hint="cs"/>
          <w:rtl/>
        </w:rPr>
        <w:t>,</w:t>
      </w:r>
      <w:r w:rsidRPr="005C1294">
        <w:rPr>
          <w:rFonts w:cs="Arial"/>
          <w:rtl/>
        </w:rPr>
        <w:t xml:space="preserve"> וחזר הבעל ומסר אותו הגט ביד האשה מידו לידה</w:t>
      </w:r>
      <w:r>
        <w:rPr>
          <w:rFonts w:cs="Arial" w:hint="cs"/>
          <w:rtl/>
        </w:rPr>
        <w:t>,</w:t>
      </w:r>
      <w:r w:rsidRPr="005C1294">
        <w:rPr>
          <w:rFonts w:cs="Arial"/>
          <w:rtl/>
        </w:rPr>
        <w:t xml:space="preserve"> והוא באופן דלית ביה פסול מוקדם כגון שכתוב בו שבוע שנה או לדעת האומרים דבעל עצמו שהביא גיטו לית ביה פיסול מוקדם</w:t>
      </w:r>
      <w:r w:rsidRPr="005C1294">
        <w:rPr>
          <w:rFonts w:cs="Arial"/>
          <w:sz w:val="16"/>
          <w:szCs w:val="16"/>
          <w:rtl/>
        </w:rPr>
        <w:t xml:space="preserve"> (הובא לעיל סי' קכ"ז סק"ה וסק"ח ע"ש)</w:t>
      </w:r>
      <w:r w:rsidRPr="005C1294">
        <w:rPr>
          <w:rFonts w:cs="Arial"/>
          <w:rtl/>
        </w:rPr>
        <w:t xml:space="preserve"> </w:t>
      </w:r>
      <w:r w:rsidR="00A82951">
        <w:rPr>
          <w:rFonts w:cs="Arial" w:hint="cs"/>
          <w:rtl/>
        </w:rPr>
        <w:t>-</w:t>
      </w:r>
      <w:r>
        <w:rPr>
          <w:rFonts w:cs="Arial" w:hint="cs"/>
          <w:rtl/>
        </w:rPr>
        <w:t xml:space="preserve"> </w:t>
      </w:r>
      <w:r w:rsidRPr="005C1294">
        <w:rPr>
          <w:rFonts w:cs="Arial"/>
          <w:rtl/>
        </w:rPr>
        <w:t>אפשר דהגט כשר</w:t>
      </w:r>
      <w:r>
        <w:rPr>
          <w:rFonts w:cs="Arial" w:hint="cs"/>
          <w:rtl/>
        </w:rPr>
        <w:t>,</w:t>
      </w:r>
      <w:r w:rsidRPr="005C1294">
        <w:rPr>
          <w:rFonts w:cs="Arial"/>
          <w:rtl/>
        </w:rPr>
        <w:t xml:space="preserve"> וה"ל כמי שעומד במקום א' ושולח הגט למקום אחר דאם כ' שם מקום הנתינה וכלל מקום הכתיבה בוכל שום דהגט כשר כמ"ש בש"ע לעיל ס"ד</w:t>
      </w:r>
      <w:r>
        <w:rPr>
          <w:rFonts w:cs="Arial" w:hint="cs"/>
          <w:rtl/>
        </w:rPr>
        <w:t>.</w:t>
      </w:r>
      <w:r w:rsidRPr="005C1294">
        <w:rPr>
          <w:rFonts w:cs="Arial"/>
          <w:rtl/>
        </w:rPr>
        <w:t xml:space="preserve"> אמנם איכא למדחי דשאני הכא דנכתב הגט מעיקרא אדעתא דפיסולא כו'</w:t>
      </w:r>
      <w:r>
        <w:rPr>
          <w:rFonts w:cs="Arial" w:hint="cs"/>
          <w:rtl/>
        </w:rPr>
        <w:t>,</w:t>
      </w:r>
      <w:r w:rsidRPr="005C1294">
        <w:rPr>
          <w:rFonts w:cs="Arial"/>
          <w:rtl/>
        </w:rPr>
        <w:t xml:space="preserve"> מ"מ אין דיחוי זה מספיק לומר דהוי גט בטל</w:t>
      </w:r>
      <w:r>
        <w:rPr>
          <w:rFonts w:cs="Arial" w:hint="cs"/>
          <w:rtl/>
        </w:rPr>
        <w:t>.</w:t>
      </w:r>
      <w:r w:rsidRPr="005C1294">
        <w:rPr>
          <w:rFonts w:cs="Arial"/>
          <w:rtl/>
        </w:rPr>
        <w:t xml:space="preserve"> והדבר מסופק בידי</w:t>
      </w:r>
      <w:r w:rsidRPr="005C1294">
        <w:rPr>
          <w:rFonts w:cs="Arial"/>
          <w:sz w:val="16"/>
          <w:szCs w:val="16"/>
          <w:rtl/>
        </w:rPr>
        <w:t xml:space="preserve"> </w:t>
      </w:r>
      <w:r>
        <w:rPr>
          <w:rFonts w:cs="Arial" w:hint="cs"/>
          <w:sz w:val="16"/>
          <w:szCs w:val="16"/>
          <w:rtl/>
        </w:rPr>
        <w:t>(</w:t>
      </w:r>
      <w:r w:rsidRPr="005C1294">
        <w:rPr>
          <w:rFonts w:cs="Arial"/>
          <w:sz w:val="16"/>
          <w:szCs w:val="16"/>
          <w:rtl/>
        </w:rPr>
        <w:t>וע' בס' גט מקושר בסוף קונט' השמות</w:t>
      </w:r>
      <w:r>
        <w:rPr>
          <w:rFonts w:cs="Arial" w:hint="cs"/>
          <w:sz w:val="16"/>
          <w:szCs w:val="16"/>
          <w:rtl/>
        </w:rPr>
        <w:t>)</w:t>
      </w:r>
      <w:r>
        <w:rPr>
          <w:rFonts w:cs="Arial" w:hint="cs"/>
          <w:rtl/>
        </w:rPr>
        <w:t>.</w:t>
      </w:r>
    </w:p>
    <w:p w14:paraId="30568529" w14:textId="77777777" w:rsidR="00FA2119" w:rsidRDefault="00FA2119" w:rsidP="00FA2119">
      <w:pPr>
        <w:rPr>
          <w:rtl/>
        </w:rPr>
      </w:pPr>
    </w:p>
    <w:p w14:paraId="023F3BCF" w14:textId="77777777" w:rsidR="00FA2119" w:rsidRDefault="00FA2119" w:rsidP="00FA2119">
      <w:pPr>
        <w:pStyle w:val="2"/>
        <w:rPr>
          <w:rtl/>
        </w:rPr>
      </w:pPr>
      <w:r>
        <w:rPr>
          <w:rFonts w:hint="cs"/>
          <w:rtl/>
        </w:rPr>
        <w:t>סעיף</w:t>
      </w:r>
      <w:r>
        <w:rPr>
          <w:rtl/>
        </w:rPr>
        <w:t xml:space="preserve"> </w:t>
      </w:r>
      <w:r>
        <w:rPr>
          <w:rFonts w:hint="cs"/>
          <w:rtl/>
        </w:rPr>
        <w:t>יד:</w:t>
      </w:r>
      <w:r w:rsidRPr="004F2472">
        <w:rPr>
          <w:rFonts w:hint="cs"/>
          <w:rtl/>
        </w:rPr>
        <w:t xml:space="preserve"> </w:t>
      </w:r>
      <w:r>
        <w:rPr>
          <w:rFonts w:hint="cs"/>
          <w:rtl/>
        </w:rPr>
        <w:t>מי שיש לו שני שמות, וכתבם ביחד</w:t>
      </w:r>
      <w:r>
        <w:rPr>
          <w:rFonts w:hint="cs"/>
          <w:sz w:val="18"/>
          <w:szCs w:val="18"/>
          <w:rtl/>
        </w:rPr>
        <w:t xml:space="preserve"> (בלי לכתוב בניהם 'דמתקרי')</w:t>
      </w:r>
      <w:r>
        <w:rPr>
          <w:rFonts w:hint="cs"/>
          <w:rtl/>
        </w:rPr>
        <w:t>.</w:t>
      </w:r>
    </w:p>
    <w:p w14:paraId="4EE6135E" w14:textId="77777777" w:rsidR="00FA2119" w:rsidRPr="004F2472" w:rsidRDefault="00FA2119" w:rsidP="00FA2119">
      <w:pPr>
        <w:rPr>
          <w:u w:val="single"/>
          <w:rtl/>
        </w:rPr>
      </w:pPr>
      <w:r w:rsidRPr="004F2472">
        <w:rPr>
          <w:rFonts w:hint="cs"/>
          <w:u w:val="single"/>
          <w:rtl/>
        </w:rPr>
        <w:t xml:space="preserve">מי שיש לו </w:t>
      </w:r>
      <w:r>
        <w:rPr>
          <w:rFonts w:hint="cs"/>
          <w:u w:val="single"/>
          <w:rtl/>
        </w:rPr>
        <w:t>שני שמות</w:t>
      </w:r>
      <w:r w:rsidRPr="004F2472">
        <w:rPr>
          <w:rFonts w:hint="cs"/>
          <w:u w:val="single"/>
          <w:rtl/>
        </w:rPr>
        <w:t>, וכתבם ביחד</w:t>
      </w:r>
      <w:r>
        <w:rPr>
          <w:rFonts w:hint="cs"/>
          <w:sz w:val="16"/>
          <w:szCs w:val="16"/>
          <w:u w:val="single"/>
          <w:rtl/>
        </w:rPr>
        <w:t xml:space="preserve"> (בלי לכתוב בניהם 'דמתקרי')</w:t>
      </w:r>
      <w:r w:rsidRPr="004F2472">
        <w:rPr>
          <w:rFonts w:hint="cs"/>
          <w:u w:val="single"/>
          <w:rtl/>
        </w:rPr>
        <w:t>:</w:t>
      </w:r>
    </w:p>
    <w:p w14:paraId="6B81EC91" w14:textId="6457610A" w:rsidR="00FA2119" w:rsidRPr="00DD194C" w:rsidRDefault="00FA2119" w:rsidP="00FA2119">
      <w:pPr>
        <w:pStyle w:val="ab"/>
        <w:numPr>
          <w:ilvl w:val="0"/>
          <w:numId w:val="76"/>
        </w:numPr>
        <w:rPr>
          <w:rFonts w:cs="Arial"/>
          <w:rtl/>
        </w:rPr>
      </w:pPr>
      <w:r w:rsidRPr="00DD194C">
        <w:rPr>
          <w:rFonts w:cs="Arial"/>
          <w:rtl/>
        </w:rPr>
        <w:t>תרוה</w:t>
      </w:r>
      <w:r>
        <w:rPr>
          <w:rFonts w:cs="Arial" w:hint="cs"/>
          <w:rtl/>
        </w:rPr>
        <w:t>"</w:t>
      </w:r>
      <w:r w:rsidRPr="00DD194C">
        <w:rPr>
          <w:rFonts w:cs="Arial"/>
          <w:rtl/>
        </w:rPr>
        <w:t xml:space="preserve">ד </w:t>
      </w:r>
      <w:r w:rsidRPr="00794C28">
        <w:rPr>
          <w:rFonts w:cs="Arial" w:hint="cs"/>
          <w:sz w:val="16"/>
          <w:szCs w:val="16"/>
          <w:rtl/>
        </w:rPr>
        <w:t>(</w:t>
      </w:r>
      <w:r w:rsidRPr="00794C28">
        <w:rPr>
          <w:rFonts w:cs="Arial"/>
          <w:sz w:val="16"/>
          <w:szCs w:val="16"/>
          <w:rtl/>
        </w:rPr>
        <w:t>סי</w:t>
      </w:r>
      <w:r w:rsidRPr="00794C28">
        <w:rPr>
          <w:rFonts w:cs="Arial" w:hint="cs"/>
          <w:sz w:val="16"/>
          <w:szCs w:val="16"/>
          <w:rtl/>
        </w:rPr>
        <w:t>'</w:t>
      </w:r>
      <w:r w:rsidRPr="00794C28">
        <w:rPr>
          <w:rFonts w:cs="Arial"/>
          <w:sz w:val="16"/>
          <w:szCs w:val="16"/>
          <w:rtl/>
        </w:rPr>
        <w:t xml:space="preserve"> רלד</w:t>
      </w:r>
      <w:r w:rsidRPr="00794C28">
        <w:rPr>
          <w:rFonts w:cs="Arial" w:hint="cs"/>
          <w:sz w:val="16"/>
          <w:szCs w:val="16"/>
          <w:rtl/>
        </w:rPr>
        <w:t>, ובכתבים סי' רסו)</w:t>
      </w:r>
      <w:r w:rsidR="00A82951">
        <w:rPr>
          <w:rFonts w:cs="Arial" w:hint="cs"/>
          <w:rtl/>
        </w:rPr>
        <w:t>-</w:t>
      </w:r>
      <w:r>
        <w:rPr>
          <w:rFonts w:cs="Arial" w:hint="cs"/>
          <w:rtl/>
        </w:rPr>
        <w:t xml:space="preserve"> </w:t>
      </w:r>
      <w:r w:rsidRPr="00DD194C">
        <w:rPr>
          <w:rFonts w:cs="Arial"/>
          <w:rtl/>
        </w:rPr>
        <w:t>מי שיש לו שני שמות כותבין פלוני דמתקרי פלוני</w:t>
      </w:r>
      <w:r>
        <w:rPr>
          <w:rFonts w:cs="Arial" w:hint="cs"/>
          <w:rtl/>
        </w:rPr>
        <w:t>.</w:t>
      </w:r>
      <w:r w:rsidRPr="00DD194C">
        <w:rPr>
          <w:rFonts w:cs="Arial"/>
          <w:rtl/>
        </w:rPr>
        <w:t xml:space="preserve"> דרך משל</w:t>
      </w:r>
      <w:r>
        <w:rPr>
          <w:rFonts w:cs="Arial" w:hint="cs"/>
          <w:rtl/>
        </w:rPr>
        <w:t>,</w:t>
      </w:r>
      <w:r w:rsidRPr="00DD194C">
        <w:rPr>
          <w:rFonts w:cs="Arial"/>
          <w:rtl/>
        </w:rPr>
        <w:t xml:space="preserve"> ראובן דמתקרי שמעון</w:t>
      </w:r>
      <w:r>
        <w:rPr>
          <w:rFonts w:cs="Arial" w:hint="cs"/>
          <w:rtl/>
        </w:rPr>
        <w:t>.</w:t>
      </w:r>
      <w:r w:rsidRPr="00DD194C">
        <w:rPr>
          <w:rFonts w:cs="Arial"/>
          <w:rtl/>
        </w:rPr>
        <w:t xml:space="preserve"> ואם לא כתב דמתקרי אלא כתב ראובן שמעון</w:t>
      </w:r>
      <w:r>
        <w:rPr>
          <w:rFonts w:cs="Arial" w:hint="cs"/>
          <w:rtl/>
        </w:rPr>
        <w:t xml:space="preserve"> </w:t>
      </w:r>
      <w:r w:rsidR="00A82951">
        <w:rPr>
          <w:rFonts w:cs="Arial" w:hint="cs"/>
          <w:rtl/>
        </w:rPr>
        <w:t>-</w:t>
      </w:r>
      <w:r>
        <w:rPr>
          <w:rFonts w:cs="Arial" w:hint="cs"/>
          <w:rtl/>
        </w:rPr>
        <w:t xml:space="preserve"> </w:t>
      </w:r>
      <w:r w:rsidRPr="00DD194C">
        <w:rPr>
          <w:rFonts w:cs="Arial"/>
          <w:rtl/>
        </w:rPr>
        <w:t xml:space="preserve">לא פסלינן ליה. </w:t>
      </w:r>
    </w:p>
    <w:p w14:paraId="725D6B56" w14:textId="3C83DD74" w:rsidR="00FA2119" w:rsidRPr="002E7151" w:rsidRDefault="00FA2119" w:rsidP="00FA2119">
      <w:pPr>
        <w:pStyle w:val="ab"/>
        <w:numPr>
          <w:ilvl w:val="0"/>
          <w:numId w:val="76"/>
        </w:numPr>
        <w:rPr>
          <w:rtl/>
        </w:rPr>
      </w:pPr>
      <w:r w:rsidRPr="00DD194C">
        <w:rPr>
          <w:rFonts w:cs="Arial"/>
          <w:rtl/>
        </w:rPr>
        <w:lastRenderedPageBreak/>
        <w:t xml:space="preserve">מהרי"ק </w:t>
      </w:r>
      <w:r w:rsidRPr="00794C28">
        <w:rPr>
          <w:rFonts w:cs="Arial" w:hint="cs"/>
          <w:sz w:val="16"/>
          <w:szCs w:val="16"/>
          <w:rtl/>
        </w:rPr>
        <w:t>(</w:t>
      </w:r>
      <w:r w:rsidRPr="00794C28">
        <w:rPr>
          <w:rFonts w:cs="Arial"/>
          <w:sz w:val="16"/>
          <w:szCs w:val="16"/>
          <w:rtl/>
        </w:rPr>
        <w:t>שורש צח</w:t>
      </w:r>
      <w:r>
        <w:rPr>
          <w:rFonts w:cs="Arial" w:hint="cs"/>
          <w:sz w:val="16"/>
          <w:szCs w:val="16"/>
          <w:rtl/>
        </w:rPr>
        <w:t>)</w:t>
      </w:r>
      <w:r w:rsidR="00A82951">
        <w:rPr>
          <w:rFonts w:cs="Arial" w:hint="cs"/>
          <w:rtl/>
        </w:rPr>
        <w:t>-</w:t>
      </w:r>
      <w:r w:rsidRPr="00DD194C">
        <w:rPr>
          <w:rFonts w:cs="Arial"/>
          <w:rtl/>
        </w:rPr>
        <w:t xml:space="preserve"> הוא פסול</w:t>
      </w:r>
      <w:r>
        <w:rPr>
          <w:rFonts w:cs="Arial" w:hint="cs"/>
          <w:rtl/>
        </w:rPr>
        <w:t>,</w:t>
      </w:r>
      <w:r w:rsidRPr="00DD194C">
        <w:rPr>
          <w:rFonts w:cs="Arial"/>
          <w:rtl/>
        </w:rPr>
        <w:t xml:space="preserve"> לפי שנראה מתוך הגט שקורין אותו ראובן שמעון ואינו כן</w:t>
      </w:r>
      <w:r>
        <w:rPr>
          <w:rFonts w:cs="Arial" w:hint="cs"/>
          <w:rtl/>
        </w:rPr>
        <w:t>,</w:t>
      </w:r>
      <w:r w:rsidRPr="00DD194C">
        <w:rPr>
          <w:rFonts w:cs="Arial"/>
          <w:rtl/>
        </w:rPr>
        <w:t xml:space="preserve"> כי במקום הנתינה אינו נקרא אלא שמעון</w:t>
      </w:r>
      <w:r>
        <w:rPr>
          <w:rFonts w:cs="Arial" w:hint="cs"/>
          <w:rtl/>
        </w:rPr>
        <w:t>,</w:t>
      </w:r>
      <w:r w:rsidRPr="00DD194C">
        <w:rPr>
          <w:rFonts w:cs="Arial"/>
          <w:rtl/>
        </w:rPr>
        <w:t xml:space="preserve"> ובמקום הכתיבה אינו נקרא אלא ראובן</w:t>
      </w:r>
      <w:r>
        <w:rPr>
          <w:rStyle w:val="a7"/>
          <w:rtl/>
        </w:rPr>
        <w:footnoteReference w:id="1123"/>
      </w:r>
      <w:r w:rsidRPr="00794C28">
        <w:rPr>
          <w:rFonts w:cs="Arial" w:hint="cs"/>
          <w:rtl/>
        </w:rPr>
        <w:t>.</w:t>
      </w:r>
    </w:p>
    <w:p w14:paraId="04EBBB68"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2812D51" w14:textId="77777777" w:rsidR="00FA2119" w:rsidRDefault="00FA2119" w:rsidP="00FA2119">
      <w:pPr>
        <w:rPr>
          <w:rtl/>
        </w:rPr>
      </w:pPr>
      <w:r>
        <w:rPr>
          <w:rFonts w:cs="Arial" w:hint="cs"/>
          <w:rtl/>
        </w:rPr>
        <w:t>מי</w:t>
      </w:r>
      <w:r>
        <w:rPr>
          <w:rFonts w:cs="Arial"/>
          <w:rtl/>
        </w:rPr>
        <w:t xml:space="preserve"> </w:t>
      </w:r>
      <w:r>
        <w:rPr>
          <w:rFonts w:cs="Arial" w:hint="cs"/>
          <w:rtl/>
        </w:rPr>
        <w:t>שיש</w:t>
      </w:r>
      <w:r>
        <w:rPr>
          <w:rFonts w:cs="Arial"/>
          <w:rtl/>
        </w:rPr>
        <w:t xml:space="preserve"> </w:t>
      </w:r>
      <w:r>
        <w:rPr>
          <w:rFonts w:cs="Arial" w:hint="cs"/>
          <w:rtl/>
        </w:rPr>
        <w:t>לו</w:t>
      </w:r>
      <w:r>
        <w:rPr>
          <w:rFonts w:cs="Arial"/>
          <w:rtl/>
        </w:rPr>
        <w:t xml:space="preserve"> </w:t>
      </w:r>
      <w:r>
        <w:rPr>
          <w:rFonts w:cs="Arial" w:hint="cs"/>
          <w:rtl/>
        </w:rPr>
        <w:t>שני</w:t>
      </w:r>
      <w:r>
        <w:rPr>
          <w:rFonts w:cs="Arial"/>
          <w:rtl/>
        </w:rPr>
        <w:t xml:space="preserve"> </w:t>
      </w:r>
      <w:r>
        <w:rPr>
          <w:rFonts w:cs="Arial" w:hint="cs"/>
          <w:rtl/>
        </w:rPr>
        <w:t>שמות</w:t>
      </w:r>
      <w:r>
        <w:rPr>
          <w:rStyle w:val="a7"/>
          <w:rFonts w:cs="Arial"/>
          <w:rtl/>
        </w:rPr>
        <w:footnoteReference w:id="1124"/>
      </w:r>
      <w:r>
        <w:rPr>
          <w:rFonts w:cs="Arial"/>
          <w:rtl/>
        </w:rPr>
        <w:t xml:space="preserve">, </w:t>
      </w:r>
      <w:r>
        <w:rPr>
          <w:rFonts w:cs="Arial" w:hint="cs"/>
          <w:rtl/>
        </w:rPr>
        <w:t>כותבין</w:t>
      </w:r>
      <w:r>
        <w:rPr>
          <w:rFonts w:cs="Arial"/>
          <w:rtl/>
        </w:rPr>
        <w:t xml:space="preserve">: </w:t>
      </w:r>
      <w:r>
        <w:rPr>
          <w:rFonts w:cs="Arial" w:hint="cs"/>
          <w:rtl/>
        </w:rPr>
        <w:t>ראובן</w:t>
      </w:r>
      <w:r>
        <w:rPr>
          <w:rFonts w:cs="Arial"/>
          <w:rtl/>
        </w:rPr>
        <w:t xml:space="preserve"> </w:t>
      </w:r>
      <w:r>
        <w:rPr>
          <w:rFonts w:cs="Arial" w:hint="cs"/>
          <w:rtl/>
        </w:rPr>
        <w:t>דמתקרי</w:t>
      </w:r>
      <w:r>
        <w:rPr>
          <w:rFonts w:cs="Arial"/>
          <w:rtl/>
        </w:rPr>
        <w:t xml:space="preserve"> </w:t>
      </w:r>
      <w:r>
        <w:rPr>
          <w:rFonts w:cs="Arial" w:hint="cs"/>
          <w:rtl/>
        </w:rPr>
        <w:t>שמעון</w:t>
      </w:r>
      <w:r>
        <w:rPr>
          <w:rFonts w:cs="Arial"/>
          <w:rtl/>
        </w:rPr>
        <w:t xml:space="preserve">. </w:t>
      </w:r>
      <w:r>
        <w:rPr>
          <w:rFonts w:cs="Arial" w:hint="cs"/>
          <w:rtl/>
        </w:rPr>
        <w:t>ואם</w:t>
      </w:r>
      <w:r>
        <w:rPr>
          <w:rFonts w:cs="Arial"/>
          <w:rtl/>
        </w:rPr>
        <w:t xml:space="preserve"> </w:t>
      </w:r>
      <w:r>
        <w:rPr>
          <w:rFonts w:cs="Arial" w:hint="cs"/>
          <w:rtl/>
        </w:rPr>
        <w:t>כתב</w:t>
      </w:r>
      <w:r>
        <w:rPr>
          <w:rFonts w:cs="Arial"/>
          <w:rtl/>
        </w:rPr>
        <w:t xml:space="preserve">: </w:t>
      </w:r>
      <w:r>
        <w:rPr>
          <w:rFonts w:cs="Arial" w:hint="cs"/>
          <w:rtl/>
        </w:rPr>
        <w:t>ראובן</w:t>
      </w:r>
      <w:r>
        <w:rPr>
          <w:rFonts w:cs="Arial"/>
          <w:rtl/>
        </w:rPr>
        <w:t xml:space="preserve"> </w:t>
      </w:r>
      <w:r>
        <w:rPr>
          <w:rFonts w:cs="Arial" w:hint="cs"/>
          <w:rtl/>
        </w:rPr>
        <w:t>שמעון</w:t>
      </w:r>
      <w:r>
        <w:rPr>
          <w:rFonts w:cs="Arial"/>
          <w:rtl/>
        </w:rPr>
        <w:t xml:space="preserve">, </w:t>
      </w:r>
      <w:r>
        <w:rPr>
          <w:rFonts w:cs="Arial" w:hint="cs"/>
          <w:rtl/>
        </w:rPr>
        <w:t>יש</w:t>
      </w:r>
      <w:r>
        <w:rPr>
          <w:rFonts w:cs="Arial"/>
          <w:rtl/>
        </w:rPr>
        <w:t xml:space="preserve"> </w:t>
      </w:r>
      <w:r>
        <w:rPr>
          <w:rFonts w:cs="Arial" w:hint="cs"/>
          <w:rtl/>
        </w:rPr>
        <w:t>מי</w:t>
      </w:r>
      <w:r>
        <w:rPr>
          <w:rFonts w:cs="Arial"/>
          <w:rtl/>
        </w:rPr>
        <w:t xml:space="preserve"> </w:t>
      </w:r>
      <w:r>
        <w:rPr>
          <w:rFonts w:cs="Arial" w:hint="cs"/>
          <w:rtl/>
        </w:rPr>
        <w:t>שאומר</w:t>
      </w:r>
      <w:r>
        <w:rPr>
          <w:rFonts w:cs="Arial"/>
          <w:rtl/>
        </w:rPr>
        <w:t xml:space="preserve"> </w:t>
      </w:r>
      <w:r>
        <w:rPr>
          <w:rFonts w:cs="Arial" w:hint="cs"/>
          <w:rtl/>
        </w:rPr>
        <w:t>שהוא</w:t>
      </w:r>
      <w:r>
        <w:rPr>
          <w:rFonts w:cs="Arial"/>
          <w:rtl/>
        </w:rPr>
        <w:t xml:space="preserve"> </w:t>
      </w:r>
      <w:r>
        <w:rPr>
          <w:rFonts w:cs="Arial" w:hint="cs"/>
          <w:rtl/>
        </w:rPr>
        <w:t>פסול</w:t>
      </w:r>
      <w:r>
        <w:rPr>
          <w:rStyle w:val="a7"/>
          <w:rFonts w:cs="Arial"/>
          <w:rtl/>
        </w:rPr>
        <w:footnoteReference w:id="1125"/>
      </w:r>
      <w:r>
        <w:rPr>
          <w:rFonts w:cs="Arial"/>
          <w:rtl/>
        </w:rPr>
        <w:t xml:space="preserve">. </w:t>
      </w:r>
      <w:r w:rsidRPr="00C03494">
        <w:rPr>
          <w:rFonts w:cs="Arial" w:hint="cs"/>
          <w:sz w:val="18"/>
          <w:szCs w:val="18"/>
          <w:rtl/>
        </w:rPr>
        <w:t>הגה</w:t>
      </w:r>
      <w:r w:rsidRPr="00C03494">
        <w:rPr>
          <w:rFonts w:cs="Arial"/>
          <w:sz w:val="18"/>
          <w:szCs w:val="18"/>
          <w:rtl/>
        </w:rPr>
        <w:t xml:space="preserve">: </w:t>
      </w:r>
      <w:r w:rsidRPr="00C03494">
        <w:rPr>
          <w:rFonts w:cs="Arial" w:hint="cs"/>
          <w:sz w:val="18"/>
          <w:szCs w:val="18"/>
          <w:rtl/>
        </w:rPr>
        <w:t>אבל</w:t>
      </w:r>
      <w:r w:rsidRPr="00C03494">
        <w:rPr>
          <w:rFonts w:cs="Arial"/>
          <w:sz w:val="18"/>
          <w:szCs w:val="18"/>
          <w:rtl/>
        </w:rPr>
        <w:t xml:space="preserve"> </w:t>
      </w:r>
      <w:r w:rsidRPr="00C03494">
        <w:rPr>
          <w:rFonts w:cs="Arial" w:hint="cs"/>
          <w:sz w:val="18"/>
          <w:szCs w:val="18"/>
          <w:rtl/>
        </w:rPr>
        <w:t>אם</w:t>
      </w:r>
      <w:r w:rsidRPr="00C03494">
        <w:rPr>
          <w:rFonts w:cs="Arial"/>
          <w:sz w:val="18"/>
          <w:szCs w:val="18"/>
          <w:rtl/>
        </w:rPr>
        <w:t xml:space="preserve"> </w:t>
      </w:r>
      <w:r w:rsidRPr="00C03494">
        <w:rPr>
          <w:rFonts w:cs="Arial" w:hint="cs"/>
          <w:sz w:val="18"/>
          <w:szCs w:val="18"/>
          <w:rtl/>
        </w:rPr>
        <w:t>נקרא</w:t>
      </w:r>
      <w:r w:rsidRPr="00C03494">
        <w:rPr>
          <w:rFonts w:cs="Arial"/>
          <w:sz w:val="18"/>
          <w:szCs w:val="18"/>
          <w:rtl/>
        </w:rPr>
        <w:t xml:space="preserve"> </w:t>
      </w:r>
      <w:r w:rsidRPr="00C03494">
        <w:rPr>
          <w:rFonts w:cs="Arial" w:hint="cs"/>
          <w:sz w:val="18"/>
          <w:szCs w:val="18"/>
          <w:rtl/>
        </w:rPr>
        <w:t>בשני</w:t>
      </w:r>
      <w:r w:rsidRPr="00C03494">
        <w:rPr>
          <w:rFonts w:cs="Arial"/>
          <w:sz w:val="18"/>
          <w:szCs w:val="18"/>
          <w:rtl/>
        </w:rPr>
        <w:t xml:space="preserve"> </w:t>
      </w:r>
      <w:r w:rsidRPr="00C03494">
        <w:rPr>
          <w:rFonts w:cs="Arial" w:hint="cs"/>
          <w:sz w:val="18"/>
          <w:szCs w:val="18"/>
          <w:rtl/>
        </w:rPr>
        <w:t>השמות</w:t>
      </w:r>
      <w:r w:rsidRPr="00C03494">
        <w:rPr>
          <w:rFonts w:cs="Arial"/>
          <w:sz w:val="18"/>
          <w:szCs w:val="18"/>
          <w:rtl/>
        </w:rPr>
        <w:t xml:space="preserve"> </w:t>
      </w:r>
      <w:r w:rsidRPr="00C03494">
        <w:rPr>
          <w:rFonts w:cs="Arial" w:hint="cs"/>
          <w:sz w:val="18"/>
          <w:szCs w:val="18"/>
          <w:rtl/>
        </w:rPr>
        <w:t>ביחד</w:t>
      </w:r>
      <w:r w:rsidRPr="00C03494">
        <w:rPr>
          <w:rFonts w:cs="Arial"/>
          <w:sz w:val="18"/>
          <w:szCs w:val="18"/>
          <w:rtl/>
        </w:rPr>
        <w:t xml:space="preserve">, </w:t>
      </w:r>
      <w:r w:rsidRPr="00C03494">
        <w:rPr>
          <w:rFonts w:cs="Arial" w:hint="cs"/>
          <w:sz w:val="18"/>
          <w:szCs w:val="18"/>
          <w:rtl/>
        </w:rPr>
        <w:t>או</w:t>
      </w:r>
      <w:r w:rsidRPr="00C03494">
        <w:rPr>
          <w:rFonts w:cs="Arial"/>
          <w:sz w:val="18"/>
          <w:szCs w:val="18"/>
          <w:rtl/>
        </w:rPr>
        <w:t xml:space="preserve"> </w:t>
      </w:r>
      <w:r w:rsidRPr="00C03494">
        <w:rPr>
          <w:rFonts w:cs="Arial" w:hint="cs"/>
          <w:sz w:val="18"/>
          <w:szCs w:val="18"/>
          <w:rtl/>
        </w:rPr>
        <w:t>שעולה</w:t>
      </w:r>
      <w:r w:rsidRPr="00C03494">
        <w:rPr>
          <w:rFonts w:cs="Arial"/>
          <w:sz w:val="18"/>
          <w:szCs w:val="18"/>
          <w:rtl/>
        </w:rPr>
        <w:t xml:space="preserve"> </w:t>
      </w:r>
      <w:r w:rsidRPr="00C03494">
        <w:rPr>
          <w:rFonts w:cs="Arial" w:hint="cs"/>
          <w:sz w:val="18"/>
          <w:szCs w:val="18"/>
          <w:rtl/>
        </w:rPr>
        <w:t>כן</w:t>
      </w:r>
      <w:r w:rsidRPr="00C03494">
        <w:rPr>
          <w:rFonts w:cs="Arial"/>
          <w:sz w:val="18"/>
          <w:szCs w:val="18"/>
          <w:rtl/>
        </w:rPr>
        <w:t xml:space="preserve"> </w:t>
      </w:r>
      <w:r w:rsidRPr="00C03494">
        <w:rPr>
          <w:rFonts w:cs="Arial" w:hint="cs"/>
          <w:sz w:val="18"/>
          <w:szCs w:val="18"/>
          <w:rtl/>
        </w:rPr>
        <w:t>לספר</w:t>
      </w:r>
      <w:r w:rsidRPr="00C03494">
        <w:rPr>
          <w:rFonts w:cs="Arial"/>
          <w:sz w:val="18"/>
          <w:szCs w:val="18"/>
          <w:rtl/>
        </w:rPr>
        <w:t xml:space="preserve"> </w:t>
      </w:r>
      <w:r w:rsidRPr="00C03494">
        <w:rPr>
          <w:rFonts w:cs="Arial" w:hint="cs"/>
          <w:sz w:val="18"/>
          <w:szCs w:val="18"/>
          <w:rtl/>
        </w:rPr>
        <w:t>תורה</w:t>
      </w:r>
      <w:r w:rsidRPr="00C03494">
        <w:rPr>
          <w:rFonts w:cs="Arial"/>
          <w:sz w:val="18"/>
          <w:szCs w:val="18"/>
          <w:rtl/>
        </w:rPr>
        <w:t xml:space="preserve">, </w:t>
      </w:r>
      <w:r w:rsidRPr="00C03494">
        <w:rPr>
          <w:rFonts w:cs="Arial" w:hint="cs"/>
          <w:sz w:val="18"/>
          <w:szCs w:val="18"/>
          <w:rtl/>
        </w:rPr>
        <w:t>כשר</w:t>
      </w:r>
      <w:r w:rsidRPr="00C03494">
        <w:rPr>
          <w:rFonts w:cs="Arial"/>
          <w:sz w:val="18"/>
          <w:szCs w:val="18"/>
          <w:rtl/>
        </w:rPr>
        <w:t xml:space="preserve">. </w:t>
      </w:r>
      <w:r w:rsidRPr="00C03494">
        <w:rPr>
          <w:rFonts w:cs="Arial" w:hint="cs"/>
          <w:sz w:val="18"/>
          <w:szCs w:val="18"/>
          <w:rtl/>
        </w:rPr>
        <w:t>אם</w:t>
      </w:r>
      <w:r w:rsidRPr="00C03494">
        <w:rPr>
          <w:rFonts w:cs="Arial"/>
          <w:sz w:val="18"/>
          <w:szCs w:val="18"/>
          <w:rtl/>
        </w:rPr>
        <w:t xml:space="preserve"> </w:t>
      </w:r>
      <w:r w:rsidRPr="00C03494">
        <w:rPr>
          <w:rFonts w:cs="Arial" w:hint="cs"/>
          <w:sz w:val="18"/>
          <w:szCs w:val="18"/>
          <w:rtl/>
        </w:rPr>
        <w:t>נקרא</w:t>
      </w:r>
      <w:r w:rsidRPr="00C03494">
        <w:rPr>
          <w:rFonts w:cs="Arial"/>
          <w:sz w:val="18"/>
          <w:szCs w:val="18"/>
          <w:rtl/>
        </w:rPr>
        <w:t xml:space="preserve"> </w:t>
      </w:r>
      <w:r w:rsidRPr="00C03494">
        <w:rPr>
          <w:rFonts w:cs="Arial" w:hint="cs"/>
          <w:sz w:val="18"/>
          <w:szCs w:val="18"/>
          <w:rtl/>
        </w:rPr>
        <w:t>בפי</w:t>
      </w:r>
      <w:r w:rsidRPr="00C03494">
        <w:rPr>
          <w:rFonts w:cs="Arial"/>
          <w:sz w:val="18"/>
          <w:szCs w:val="18"/>
          <w:rtl/>
        </w:rPr>
        <w:t xml:space="preserve"> </w:t>
      </w:r>
      <w:r w:rsidRPr="00C03494">
        <w:rPr>
          <w:rFonts w:cs="Arial" w:hint="cs"/>
          <w:sz w:val="18"/>
          <w:szCs w:val="18"/>
          <w:rtl/>
        </w:rPr>
        <w:t>ישראל</w:t>
      </w:r>
      <w:r w:rsidRPr="00C03494">
        <w:rPr>
          <w:rFonts w:cs="Arial"/>
          <w:sz w:val="18"/>
          <w:szCs w:val="18"/>
          <w:rtl/>
        </w:rPr>
        <w:t xml:space="preserve"> </w:t>
      </w:r>
      <w:r w:rsidRPr="00C03494">
        <w:rPr>
          <w:rFonts w:cs="Arial" w:hint="cs"/>
          <w:sz w:val="18"/>
          <w:szCs w:val="18"/>
          <w:rtl/>
        </w:rPr>
        <w:t>בשם</w:t>
      </w:r>
      <w:r w:rsidRPr="00C03494">
        <w:rPr>
          <w:rFonts w:cs="Arial"/>
          <w:sz w:val="18"/>
          <w:szCs w:val="18"/>
          <w:rtl/>
        </w:rPr>
        <w:t xml:space="preserve"> </w:t>
      </w:r>
      <w:r w:rsidRPr="00C03494">
        <w:rPr>
          <w:rFonts w:cs="Arial" w:hint="cs"/>
          <w:sz w:val="18"/>
          <w:szCs w:val="18"/>
          <w:rtl/>
        </w:rPr>
        <w:t>אחד</w:t>
      </w:r>
      <w:r w:rsidRPr="00C03494">
        <w:rPr>
          <w:rFonts w:cs="Arial"/>
          <w:sz w:val="18"/>
          <w:szCs w:val="18"/>
          <w:rtl/>
        </w:rPr>
        <w:t xml:space="preserve">, </w:t>
      </w:r>
      <w:r w:rsidRPr="00C03494">
        <w:rPr>
          <w:rFonts w:cs="Arial" w:hint="cs"/>
          <w:sz w:val="18"/>
          <w:szCs w:val="18"/>
          <w:rtl/>
        </w:rPr>
        <w:t>ובפי</w:t>
      </w:r>
      <w:r w:rsidRPr="00C03494">
        <w:rPr>
          <w:rFonts w:cs="Arial"/>
          <w:sz w:val="18"/>
          <w:szCs w:val="18"/>
          <w:rtl/>
        </w:rPr>
        <w:t xml:space="preserve"> </w:t>
      </w:r>
      <w:r>
        <w:rPr>
          <w:rFonts w:cs="Arial" w:hint="cs"/>
          <w:sz w:val="18"/>
          <w:szCs w:val="18"/>
          <w:rtl/>
        </w:rPr>
        <w:t>גוים</w:t>
      </w:r>
      <w:r w:rsidRPr="00C03494">
        <w:rPr>
          <w:rFonts w:cs="Arial"/>
          <w:sz w:val="18"/>
          <w:szCs w:val="18"/>
          <w:rtl/>
        </w:rPr>
        <w:t xml:space="preserve"> </w:t>
      </w:r>
      <w:r w:rsidRPr="00C03494">
        <w:rPr>
          <w:rFonts w:cs="Arial" w:hint="cs"/>
          <w:sz w:val="18"/>
          <w:szCs w:val="18"/>
          <w:rtl/>
        </w:rPr>
        <w:t>בשם</w:t>
      </w:r>
      <w:r w:rsidRPr="00C03494">
        <w:rPr>
          <w:rFonts w:cs="Arial"/>
          <w:sz w:val="18"/>
          <w:szCs w:val="18"/>
          <w:rtl/>
        </w:rPr>
        <w:t xml:space="preserve"> </w:t>
      </w:r>
      <w:r w:rsidRPr="00C03494">
        <w:rPr>
          <w:rFonts w:cs="Arial" w:hint="cs"/>
          <w:sz w:val="18"/>
          <w:szCs w:val="18"/>
          <w:rtl/>
        </w:rPr>
        <w:t>אחר</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ישראל</w:t>
      </w:r>
      <w:r w:rsidRPr="00C03494">
        <w:rPr>
          <w:rFonts w:cs="Arial"/>
          <w:sz w:val="18"/>
          <w:szCs w:val="18"/>
          <w:rtl/>
        </w:rPr>
        <w:t xml:space="preserve"> </w:t>
      </w:r>
      <w:r w:rsidRPr="00C03494">
        <w:rPr>
          <w:rFonts w:cs="Arial" w:hint="cs"/>
          <w:sz w:val="18"/>
          <w:szCs w:val="18"/>
          <w:rtl/>
        </w:rPr>
        <w:t>דמתקרי</w:t>
      </w:r>
      <w:r w:rsidRPr="00C03494">
        <w:rPr>
          <w:rFonts w:cs="Arial"/>
          <w:sz w:val="18"/>
          <w:szCs w:val="18"/>
          <w:rtl/>
        </w:rPr>
        <w:t xml:space="preserve"> </w:t>
      </w:r>
      <w:r w:rsidRPr="00C03494">
        <w:rPr>
          <w:rFonts w:cs="Arial" w:hint="cs"/>
          <w:sz w:val="18"/>
          <w:szCs w:val="18"/>
          <w:rtl/>
        </w:rPr>
        <w:t>על</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Pr>
          <w:rFonts w:cs="Arial" w:hint="cs"/>
          <w:sz w:val="18"/>
          <w:szCs w:val="18"/>
          <w:rtl/>
        </w:rPr>
        <w:t>גוים</w:t>
      </w:r>
      <w:r>
        <w:rPr>
          <w:rStyle w:val="a7"/>
          <w:rFonts w:cs="Arial"/>
          <w:sz w:val="18"/>
          <w:szCs w:val="18"/>
          <w:rtl/>
        </w:rPr>
        <w:footnoteReference w:id="1126"/>
      </w:r>
      <w:r w:rsidRPr="00C03494">
        <w:rPr>
          <w:rFonts w:cs="Arial"/>
          <w:sz w:val="18"/>
          <w:szCs w:val="18"/>
          <w:rtl/>
        </w:rPr>
        <w:t xml:space="preserve"> (</w:t>
      </w:r>
      <w:r w:rsidRPr="00C03494">
        <w:rPr>
          <w:rFonts w:cs="Arial" w:hint="cs"/>
          <w:sz w:val="18"/>
          <w:szCs w:val="18"/>
          <w:rtl/>
        </w:rPr>
        <w:t>המ</w:t>
      </w:r>
      <w:r w:rsidRPr="00C03494">
        <w:rPr>
          <w:rFonts w:cs="Arial"/>
          <w:sz w:val="18"/>
          <w:szCs w:val="18"/>
          <w:rtl/>
        </w:rPr>
        <w:t>"</w:t>
      </w:r>
      <w:r w:rsidRPr="00C03494">
        <w:rPr>
          <w:rFonts w:cs="Arial" w:hint="cs"/>
          <w:sz w:val="18"/>
          <w:szCs w:val="18"/>
          <w:rtl/>
        </w:rPr>
        <w:t>מ</w:t>
      </w:r>
      <w:r w:rsidRPr="00C03494">
        <w:rPr>
          <w:rFonts w:cs="Arial"/>
          <w:sz w:val="18"/>
          <w:szCs w:val="18"/>
          <w:rtl/>
        </w:rPr>
        <w:t xml:space="preserve"> </w:t>
      </w:r>
      <w:r>
        <w:rPr>
          <w:rFonts w:cs="Arial" w:hint="cs"/>
          <w:sz w:val="18"/>
          <w:szCs w:val="18"/>
          <w:rtl/>
        </w:rPr>
        <w:t xml:space="preserve">[פ"ג] </w:t>
      </w:r>
      <w:r w:rsidRPr="00C03494">
        <w:rPr>
          <w:rFonts w:cs="Arial" w:hint="cs"/>
          <w:sz w:val="18"/>
          <w:szCs w:val="18"/>
          <w:rtl/>
        </w:rPr>
        <w:t>בשם</w:t>
      </w:r>
      <w:r w:rsidRPr="00C03494">
        <w:rPr>
          <w:rFonts w:cs="Arial"/>
          <w:sz w:val="18"/>
          <w:szCs w:val="18"/>
          <w:rtl/>
        </w:rPr>
        <w:t xml:space="preserve"> </w:t>
      </w:r>
      <w:r w:rsidRPr="00C03494">
        <w:rPr>
          <w:rFonts w:cs="Arial" w:hint="cs"/>
          <w:sz w:val="18"/>
          <w:szCs w:val="18"/>
          <w:rtl/>
        </w:rPr>
        <w:t>הרמב</w:t>
      </w:r>
      <w:r w:rsidRPr="00C03494">
        <w:rPr>
          <w:rFonts w:cs="Arial"/>
          <w:sz w:val="18"/>
          <w:szCs w:val="18"/>
          <w:rtl/>
        </w:rPr>
        <w:t>"</w:t>
      </w:r>
      <w:r w:rsidRPr="00C03494">
        <w:rPr>
          <w:rFonts w:cs="Arial" w:hint="cs"/>
          <w:sz w:val="18"/>
          <w:szCs w:val="18"/>
          <w:rtl/>
        </w:rPr>
        <w:t>ן</w:t>
      </w:r>
      <w:r w:rsidRPr="00C03494">
        <w:rPr>
          <w:rFonts w:cs="Arial"/>
          <w:sz w:val="18"/>
          <w:szCs w:val="18"/>
          <w:rtl/>
        </w:rPr>
        <w:t xml:space="preserve">). </w:t>
      </w:r>
      <w:r w:rsidRPr="00C03494">
        <w:rPr>
          <w:rFonts w:cs="Arial" w:hint="cs"/>
          <w:sz w:val="18"/>
          <w:szCs w:val="18"/>
          <w:rtl/>
        </w:rPr>
        <w:t>אבל</w:t>
      </w:r>
      <w:r w:rsidRPr="00C03494">
        <w:rPr>
          <w:rFonts w:cs="Arial"/>
          <w:sz w:val="18"/>
          <w:szCs w:val="18"/>
          <w:rtl/>
        </w:rPr>
        <w:t xml:space="preserve"> </w:t>
      </w:r>
      <w:r w:rsidRPr="00C03494">
        <w:rPr>
          <w:rFonts w:cs="Arial" w:hint="cs"/>
          <w:sz w:val="18"/>
          <w:szCs w:val="18"/>
          <w:rtl/>
        </w:rPr>
        <w:t>אם</w:t>
      </w:r>
      <w:r w:rsidRPr="00C03494">
        <w:rPr>
          <w:rFonts w:cs="Arial"/>
          <w:sz w:val="18"/>
          <w:szCs w:val="18"/>
          <w:rtl/>
        </w:rPr>
        <w:t xml:space="preserve"> </w:t>
      </w:r>
      <w:r w:rsidRPr="00C03494">
        <w:rPr>
          <w:rFonts w:cs="Arial" w:hint="cs"/>
          <w:sz w:val="18"/>
          <w:szCs w:val="18"/>
          <w:rtl/>
        </w:rPr>
        <w:t>ענינם</w:t>
      </w:r>
      <w:r w:rsidRPr="00C03494">
        <w:rPr>
          <w:rFonts w:cs="Arial"/>
          <w:sz w:val="18"/>
          <w:szCs w:val="18"/>
          <w:rtl/>
        </w:rPr>
        <w:t xml:space="preserve"> </w:t>
      </w:r>
      <w:r w:rsidRPr="00C03494">
        <w:rPr>
          <w:rFonts w:cs="Arial" w:hint="cs"/>
          <w:sz w:val="18"/>
          <w:szCs w:val="18"/>
          <w:rtl/>
        </w:rPr>
        <w:t>כמעט</w:t>
      </w:r>
      <w:r w:rsidRPr="00C03494">
        <w:rPr>
          <w:rFonts w:cs="Arial"/>
          <w:sz w:val="18"/>
          <w:szCs w:val="18"/>
          <w:rtl/>
        </w:rPr>
        <w:t xml:space="preserve"> </w:t>
      </w:r>
      <w:r w:rsidRPr="00C03494">
        <w:rPr>
          <w:rFonts w:cs="Arial" w:hint="cs"/>
          <w:sz w:val="18"/>
          <w:szCs w:val="18"/>
          <w:rtl/>
        </w:rPr>
        <w:t>אחד</w:t>
      </w:r>
      <w:r w:rsidRPr="00C03494">
        <w:rPr>
          <w:rFonts w:cs="Arial"/>
          <w:sz w:val="18"/>
          <w:szCs w:val="18"/>
          <w:rtl/>
        </w:rPr>
        <w:t xml:space="preserve">, </w:t>
      </w:r>
      <w:r w:rsidRPr="00C03494">
        <w:rPr>
          <w:rFonts w:cs="Arial" w:hint="cs"/>
          <w:sz w:val="18"/>
          <w:szCs w:val="18"/>
          <w:rtl/>
        </w:rPr>
        <w:t>אין</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רק</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ישראל</w:t>
      </w:r>
      <w:r w:rsidRPr="00C03494">
        <w:rPr>
          <w:rFonts w:cs="Arial"/>
          <w:sz w:val="18"/>
          <w:szCs w:val="18"/>
          <w:rtl/>
        </w:rPr>
        <w:t xml:space="preserve">, </w:t>
      </w:r>
      <w:r w:rsidRPr="00C03494">
        <w:rPr>
          <w:rFonts w:cs="Arial" w:hint="cs"/>
          <w:sz w:val="18"/>
          <w:szCs w:val="18"/>
          <w:rtl/>
        </w:rPr>
        <w:t>כמו</w:t>
      </w:r>
      <w:r w:rsidRPr="00C03494">
        <w:rPr>
          <w:rFonts w:cs="Arial"/>
          <w:sz w:val="18"/>
          <w:szCs w:val="18"/>
          <w:rtl/>
        </w:rPr>
        <w:t xml:space="preserve"> </w:t>
      </w:r>
      <w:r w:rsidRPr="00C03494">
        <w:rPr>
          <w:rFonts w:cs="Arial" w:hint="cs"/>
          <w:sz w:val="18"/>
          <w:szCs w:val="18"/>
          <w:rtl/>
        </w:rPr>
        <w:t>שנתבאר</w:t>
      </w:r>
      <w:r w:rsidRPr="00C03494">
        <w:rPr>
          <w:rFonts w:cs="Arial"/>
          <w:sz w:val="18"/>
          <w:szCs w:val="18"/>
          <w:rtl/>
        </w:rPr>
        <w:t xml:space="preserve"> </w:t>
      </w:r>
      <w:r w:rsidRPr="00C03494">
        <w:rPr>
          <w:rFonts w:cs="Arial" w:hint="cs"/>
          <w:sz w:val="18"/>
          <w:szCs w:val="18"/>
          <w:rtl/>
        </w:rPr>
        <w:t>לעיל</w:t>
      </w:r>
      <w:r w:rsidRPr="00C03494">
        <w:rPr>
          <w:rFonts w:cs="Arial"/>
          <w:sz w:val="18"/>
          <w:szCs w:val="18"/>
          <w:rtl/>
        </w:rPr>
        <w:t xml:space="preserve"> </w:t>
      </w:r>
      <w:r w:rsidRPr="00C03494">
        <w:rPr>
          <w:rFonts w:cs="Arial" w:hint="cs"/>
          <w:sz w:val="18"/>
          <w:szCs w:val="18"/>
          <w:rtl/>
        </w:rPr>
        <w:t>סימן</w:t>
      </w:r>
      <w:r w:rsidRPr="00C03494">
        <w:rPr>
          <w:rFonts w:cs="Arial"/>
          <w:sz w:val="18"/>
          <w:szCs w:val="18"/>
          <w:rtl/>
        </w:rPr>
        <w:t xml:space="preserve"> </w:t>
      </w:r>
      <w:r w:rsidRPr="00C03494">
        <w:rPr>
          <w:rFonts w:cs="Arial" w:hint="cs"/>
          <w:sz w:val="18"/>
          <w:szCs w:val="18"/>
          <w:rtl/>
        </w:rPr>
        <w:t>קכ</w:t>
      </w:r>
      <w:r w:rsidRPr="00C03494">
        <w:rPr>
          <w:rFonts w:cs="Arial"/>
          <w:sz w:val="18"/>
          <w:szCs w:val="18"/>
          <w:rtl/>
        </w:rPr>
        <w:t>"</w:t>
      </w:r>
      <w:r w:rsidRPr="00C03494">
        <w:rPr>
          <w:rFonts w:cs="Arial" w:hint="cs"/>
          <w:sz w:val="18"/>
          <w:szCs w:val="18"/>
          <w:rtl/>
        </w:rPr>
        <w:t>ח</w:t>
      </w:r>
      <w:r w:rsidRPr="00C03494">
        <w:rPr>
          <w:rFonts w:cs="Arial"/>
          <w:sz w:val="18"/>
          <w:szCs w:val="18"/>
          <w:rtl/>
        </w:rPr>
        <w:t xml:space="preserve"> </w:t>
      </w:r>
      <w:r w:rsidRPr="00C03494">
        <w:rPr>
          <w:rFonts w:cs="Arial" w:hint="cs"/>
          <w:sz w:val="18"/>
          <w:szCs w:val="18"/>
          <w:rtl/>
        </w:rPr>
        <w:t>סעיף</w:t>
      </w:r>
      <w:r w:rsidRPr="00C03494">
        <w:rPr>
          <w:rFonts w:cs="Arial"/>
          <w:sz w:val="18"/>
          <w:szCs w:val="18"/>
          <w:rtl/>
        </w:rPr>
        <w:t xml:space="preserve"> </w:t>
      </w:r>
      <w:r w:rsidRPr="00C03494">
        <w:rPr>
          <w:rFonts w:cs="Arial" w:hint="cs"/>
          <w:sz w:val="18"/>
          <w:szCs w:val="18"/>
          <w:rtl/>
        </w:rPr>
        <w:t>ג</w:t>
      </w:r>
      <w:r w:rsidRPr="00C03494">
        <w:rPr>
          <w:rFonts w:cs="Arial"/>
          <w:sz w:val="18"/>
          <w:szCs w:val="18"/>
          <w:rtl/>
        </w:rPr>
        <w:t xml:space="preserve">' </w:t>
      </w:r>
      <w:r w:rsidRPr="00C03494">
        <w:rPr>
          <w:rFonts w:cs="Arial" w:hint="cs"/>
          <w:sz w:val="18"/>
          <w:szCs w:val="18"/>
          <w:rtl/>
        </w:rPr>
        <w:t>לענין</w:t>
      </w:r>
      <w:r w:rsidRPr="00C03494">
        <w:rPr>
          <w:rFonts w:cs="Arial"/>
          <w:sz w:val="18"/>
          <w:szCs w:val="18"/>
          <w:rtl/>
        </w:rPr>
        <w:t xml:space="preserve"> </w:t>
      </w:r>
      <w:r w:rsidRPr="00C03494">
        <w:rPr>
          <w:rFonts w:cs="Arial" w:hint="cs"/>
          <w:sz w:val="18"/>
          <w:szCs w:val="18"/>
          <w:rtl/>
        </w:rPr>
        <w:t>הנהרות</w:t>
      </w:r>
      <w:r w:rsidRPr="00C03494">
        <w:rPr>
          <w:rFonts w:cs="Arial"/>
          <w:sz w:val="18"/>
          <w:szCs w:val="18"/>
          <w:rtl/>
        </w:rPr>
        <w:t>.</w:t>
      </w:r>
      <w:r>
        <w:rPr>
          <w:rFonts w:cs="Arial"/>
          <w:rtl/>
        </w:rPr>
        <w:t xml:space="preserve"> </w:t>
      </w:r>
    </w:p>
    <w:p w14:paraId="10B46088" w14:textId="77777777" w:rsidR="00FA2119" w:rsidRDefault="00FA2119" w:rsidP="00FA2119">
      <w:pPr>
        <w:rPr>
          <w:rFonts w:cs="Arial"/>
          <w:rtl/>
        </w:rPr>
      </w:pPr>
      <w:r w:rsidRPr="00DF5074">
        <w:rPr>
          <w:rFonts w:cs="Arial" w:hint="cs"/>
          <w:u w:val="single"/>
          <w:rtl/>
        </w:rPr>
        <w:t>אדם ש</w:t>
      </w:r>
      <w:r w:rsidRPr="00DF5074">
        <w:rPr>
          <w:rFonts w:cs="Arial"/>
          <w:u w:val="single"/>
          <w:rtl/>
        </w:rPr>
        <w:t>עולה לתורה וחותם בשני השמות</w:t>
      </w:r>
      <w:r w:rsidRPr="00DF5074">
        <w:rPr>
          <w:rFonts w:cs="Arial" w:hint="cs"/>
          <w:u w:val="single"/>
          <w:rtl/>
        </w:rPr>
        <w:t>,</w:t>
      </w:r>
      <w:r w:rsidRPr="00DF5074">
        <w:rPr>
          <w:rFonts w:cs="Arial"/>
          <w:u w:val="single"/>
          <w:rtl/>
        </w:rPr>
        <w:t xml:space="preserve"> </w:t>
      </w:r>
      <w:r w:rsidRPr="00DF5074">
        <w:rPr>
          <w:rFonts w:cs="Arial" w:hint="cs"/>
          <w:u w:val="single"/>
          <w:rtl/>
        </w:rPr>
        <w:t xml:space="preserve">אבל </w:t>
      </w:r>
      <w:r w:rsidRPr="00DF5074">
        <w:rPr>
          <w:rFonts w:cs="Arial"/>
          <w:u w:val="single"/>
          <w:rtl/>
        </w:rPr>
        <w:t>נקרא בפ</w:t>
      </w:r>
      <w:r w:rsidRPr="00DF5074">
        <w:rPr>
          <w:rFonts w:cs="Arial" w:hint="cs"/>
          <w:u w:val="single"/>
          <w:rtl/>
        </w:rPr>
        <w:t>י כל</w:t>
      </w:r>
      <w:r w:rsidRPr="00DF5074">
        <w:rPr>
          <w:rFonts w:cs="Arial"/>
          <w:u w:val="single"/>
          <w:rtl/>
        </w:rPr>
        <w:t xml:space="preserve"> רק ב</w:t>
      </w:r>
      <w:r w:rsidRPr="00DF5074">
        <w:rPr>
          <w:rFonts w:cs="Arial" w:hint="cs"/>
          <w:u w:val="single"/>
          <w:rtl/>
        </w:rPr>
        <w:t xml:space="preserve">שם </w:t>
      </w:r>
      <w:r w:rsidRPr="00DF5074">
        <w:rPr>
          <w:rFonts w:cs="Arial"/>
          <w:u w:val="single"/>
          <w:rtl/>
        </w:rPr>
        <w:t>אחד</w:t>
      </w:r>
      <w:r w:rsidRPr="00DF5074">
        <w:rPr>
          <w:rFonts w:cs="Arial" w:hint="cs"/>
          <w:u w:val="single"/>
          <w:rtl/>
        </w:rPr>
        <w:t xml:space="preserve"> מהם:</w:t>
      </w:r>
      <w:r w:rsidRPr="00474462">
        <w:rPr>
          <w:rFonts w:cs="Arial"/>
          <w:rtl/>
        </w:rPr>
        <w:t xml:space="preserve"> </w:t>
      </w:r>
      <w:r w:rsidRPr="00DF5074">
        <w:rPr>
          <w:rFonts w:cs="Arial"/>
          <w:sz w:val="16"/>
          <w:szCs w:val="16"/>
          <w:rtl/>
        </w:rPr>
        <w:t>(</w:t>
      </w:r>
      <w:r w:rsidRPr="00DF5074">
        <w:rPr>
          <w:rFonts w:cs="Arial" w:hint="cs"/>
          <w:sz w:val="16"/>
          <w:szCs w:val="16"/>
          <w:rtl/>
        </w:rPr>
        <w:t>פת"ש סק</w:t>
      </w:r>
      <w:r w:rsidRPr="00DF5074">
        <w:rPr>
          <w:rFonts w:cs="Arial"/>
          <w:sz w:val="16"/>
          <w:szCs w:val="16"/>
          <w:rtl/>
        </w:rPr>
        <w:t>ל</w:t>
      </w:r>
      <w:r w:rsidRPr="00DF5074">
        <w:rPr>
          <w:rFonts w:cs="Arial" w:hint="cs"/>
          <w:sz w:val="16"/>
          <w:szCs w:val="16"/>
          <w:rtl/>
        </w:rPr>
        <w:t>"</w:t>
      </w:r>
      <w:r w:rsidRPr="00DF5074">
        <w:rPr>
          <w:rFonts w:cs="Arial"/>
          <w:sz w:val="16"/>
          <w:szCs w:val="16"/>
          <w:rtl/>
        </w:rPr>
        <w:t>ו)</w:t>
      </w:r>
      <w:r w:rsidRPr="00474462">
        <w:rPr>
          <w:rFonts w:cs="Arial"/>
          <w:rtl/>
        </w:rPr>
        <w:t xml:space="preserve"> </w:t>
      </w:r>
    </w:p>
    <w:p w14:paraId="72E80EA8" w14:textId="33F49399" w:rsidR="00FA2119" w:rsidRPr="00B452F2" w:rsidRDefault="00FA2119" w:rsidP="00FA2119">
      <w:pPr>
        <w:pStyle w:val="ab"/>
        <w:numPr>
          <w:ilvl w:val="0"/>
          <w:numId w:val="78"/>
        </w:numPr>
      </w:pPr>
      <w:r w:rsidRPr="00DF5074">
        <w:rPr>
          <w:rFonts w:cs="Arial"/>
          <w:rtl/>
        </w:rPr>
        <w:t xml:space="preserve">מהר"ם </w:t>
      </w:r>
      <w:r w:rsidRPr="00DF5074">
        <w:rPr>
          <w:rFonts w:cs="Arial" w:hint="cs"/>
          <w:sz w:val="16"/>
          <w:szCs w:val="16"/>
          <w:rtl/>
        </w:rPr>
        <w:t xml:space="preserve">(סדר הגט </w:t>
      </w:r>
      <w:r w:rsidRPr="00DF5074">
        <w:rPr>
          <w:rFonts w:cs="Arial"/>
          <w:sz w:val="16"/>
          <w:szCs w:val="16"/>
          <w:rtl/>
        </w:rPr>
        <w:t>אות יט</w:t>
      </w:r>
      <w:r w:rsidRPr="00DF5074">
        <w:rPr>
          <w:rFonts w:cs="Arial" w:hint="cs"/>
          <w:sz w:val="16"/>
          <w:szCs w:val="16"/>
          <w:rtl/>
        </w:rPr>
        <w:t>)</w:t>
      </w:r>
      <w:r>
        <w:rPr>
          <w:rFonts w:cs="Arial" w:hint="cs"/>
          <w:rtl/>
        </w:rPr>
        <w:t xml:space="preserve"> תו"ג </w:t>
      </w:r>
      <w:r>
        <w:rPr>
          <w:rFonts w:cs="Arial" w:hint="cs"/>
          <w:sz w:val="16"/>
          <w:szCs w:val="16"/>
          <w:rtl/>
        </w:rPr>
        <w:t xml:space="preserve">(סקט"ז) </w:t>
      </w:r>
      <w:r>
        <w:rPr>
          <w:rFonts w:cs="Arial" w:hint="cs"/>
          <w:rtl/>
        </w:rPr>
        <w:t>ומהר"ש זלמן</w:t>
      </w:r>
      <w:r>
        <w:rPr>
          <w:rFonts w:cs="Arial" w:hint="cs"/>
          <w:sz w:val="16"/>
          <w:szCs w:val="16"/>
          <w:rtl/>
        </w:rPr>
        <w:t xml:space="preserve"> (כ"כ הפת"ש בשמו)</w:t>
      </w:r>
      <w:r w:rsidR="00A82951">
        <w:rPr>
          <w:rFonts w:cs="Arial" w:hint="cs"/>
          <w:rtl/>
        </w:rPr>
        <w:t>-</w:t>
      </w:r>
      <w:r w:rsidRPr="00DF5074">
        <w:rPr>
          <w:rFonts w:cs="Arial"/>
          <w:rtl/>
        </w:rPr>
        <w:t xml:space="preserve"> בכה"ג יש לכתוב דמתקרי</w:t>
      </w:r>
      <w:r>
        <w:rPr>
          <w:rFonts w:cs="Arial" w:hint="cs"/>
          <w:rtl/>
        </w:rPr>
        <w:t>.</w:t>
      </w:r>
      <w:r w:rsidRPr="00DF5074">
        <w:rPr>
          <w:rFonts w:cs="Arial"/>
          <w:rtl/>
        </w:rPr>
        <w:t xml:space="preserve"> </w:t>
      </w:r>
    </w:p>
    <w:p w14:paraId="4B872749" w14:textId="4B40E46E" w:rsidR="00FA2119" w:rsidRPr="00B452F2" w:rsidRDefault="00FA2119" w:rsidP="00FA2119">
      <w:pPr>
        <w:pStyle w:val="ab"/>
        <w:numPr>
          <w:ilvl w:val="0"/>
          <w:numId w:val="78"/>
        </w:numPr>
      </w:pPr>
      <w:r w:rsidRPr="00DF5074">
        <w:rPr>
          <w:rFonts w:cs="Arial"/>
          <w:rtl/>
        </w:rPr>
        <w:t>בית מאיר</w:t>
      </w:r>
      <w:r w:rsidR="00A82951">
        <w:rPr>
          <w:rFonts w:cs="Arial" w:hint="cs"/>
          <w:rtl/>
        </w:rPr>
        <w:t>-</w:t>
      </w:r>
      <w:r w:rsidRPr="00DF5074">
        <w:rPr>
          <w:rFonts w:cs="Arial"/>
          <w:rtl/>
        </w:rPr>
        <w:t xml:space="preserve"> יש לנהוג לכתחילה לכתוב שניהם בלא מתקרי</w:t>
      </w:r>
      <w:r>
        <w:rPr>
          <w:rFonts w:cs="Arial" w:hint="cs"/>
          <w:rtl/>
        </w:rPr>
        <w:t>.</w:t>
      </w:r>
      <w:r w:rsidRPr="00DF5074">
        <w:rPr>
          <w:rFonts w:cs="Arial"/>
          <w:rtl/>
        </w:rPr>
        <w:t xml:space="preserve"> ובדיעבד אם בכה"ג כתב דמתקרי בין ב' השמות כשר</w:t>
      </w:r>
      <w:r>
        <w:rPr>
          <w:rFonts w:cs="Arial" w:hint="cs"/>
          <w:rtl/>
        </w:rPr>
        <w:t>.</w:t>
      </w:r>
      <w:r w:rsidRPr="00DF5074">
        <w:rPr>
          <w:rFonts w:cs="Arial"/>
          <w:rtl/>
        </w:rPr>
        <w:t xml:space="preserve"> </w:t>
      </w:r>
    </w:p>
    <w:p w14:paraId="1AFAF6DC" w14:textId="19B28BC3" w:rsidR="00FA2119" w:rsidRDefault="00FA2119" w:rsidP="00FA2119">
      <w:pPr>
        <w:pStyle w:val="ab"/>
        <w:numPr>
          <w:ilvl w:val="0"/>
          <w:numId w:val="78"/>
        </w:numPr>
        <w:rPr>
          <w:rtl/>
        </w:rPr>
      </w:pPr>
      <w:r w:rsidRPr="00DF5074">
        <w:rPr>
          <w:rFonts w:cs="Arial"/>
          <w:rtl/>
        </w:rPr>
        <w:t xml:space="preserve">הר"ז מרגליות </w:t>
      </w:r>
      <w:r>
        <w:rPr>
          <w:rFonts w:cs="Arial" w:hint="cs"/>
          <w:sz w:val="16"/>
          <w:szCs w:val="16"/>
          <w:rtl/>
        </w:rPr>
        <w:t>(בתשו' סי' פו, ובטיב גיטין דיני שמות סק"ג)</w:t>
      </w:r>
      <w:r>
        <w:rPr>
          <w:rFonts w:cs="Arial" w:hint="cs"/>
          <w:rtl/>
        </w:rPr>
        <w:t xml:space="preserve"> וגט מקושר </w:t>
      </w:r>
      <w:r>
        <w:rPr>
          <w:rFonts w:cs="Arial" w:hint="cs"/>
          <w:sz w:val="16"/>
          <w:szCs w:val="16"/>
          <w:rtl/>
        </w:rPr>
        <w:t>(דף כט)</w:t>
      </w:r>
      <w:r w:rsidR="00A82951">
        <w:rPr>
          <w:rFonts w:cs="Arial" w:hint="cs"/>
          <w:rtl/>
        </w:rPr>
        <w:t>-</w:t>
      </w:r>
      <w:r w:rsidRPr="00DF5074">
        <w:rPr>
          <w:rFonts w:cs="Arial"/>
          <w:rtl/>
        </w:rPr>
        <w:t xml:space="preserve"> אף בנקרא בא' משני השמות מ"מ כיון ששניהם שמות לידה ועולה לתורה וחותם בשניהם</w:t>
      </w:r>
      <w:r w:rsidR="006D6690">
        <w:rPr>
          <w:rFonts w:cs="Arial" w:hint="cs"/>
          <w:rtl/>
        </w:rPr>
        <w:t>,</w:t>
      </w:r>
      <w:r w:rsidRPr="00DF5074">
        <w:rPr>
          <w:rFonts w:cs="Arial"/>
          <w:rtl/>
        </w:rPr>
        <w:t xml:space="preserve"> כגון ראובן שמעון ונקרא בפ"כ רק ראובן</w:t>
      </w:r>
      <w:r w:rsidR="006D6690">
        <w:rPr>
          <w:rFonts w:cs="Arial" w:hint="cs"/>
          <w:rtl/>
        </w:rPr>
        <w:t>,</w:t>
      </w:r>
      <w:r w:rsidRPr="00DF5074">
        <w:rPr>
          <w:rFonts w:cs="Arial"/>
          <w:rtl/>
        </w:rPr>
        <w:t xml:space="preserve"> אם יכתוב ראובן דמתקרי שמעון פסול דהא לא נקרא שמעון לחוד מעולם רק כשנקרא שמעון נקרא ראובן שמעון</w:t>
      </w:r>
      <w:r w:rsidR="006D6690">
        <w:rPr>
          <w:rFonts w:cs="Arial" w:hint="cs"/>
          <w:rtl/>
        </w:rPr>
        <w:t>,</w:t>
      </w:r>
      <w:r w:rsidRPr="00DF5074">
        <w:rPr>
          <w:rFonts w:cs="Arial"/>
          <w:rtl/>
        </w:rPr>
        <w:t xml:space="preserve"> ולפרש דמתקרי גם שמעון בצירוף עם ראובן אין הל' סובל כן. רק יש לכתוב ראובן שמעון דמתקרי ראובן</w:t>
      </w:r>
      <w:r>
        <w:rPr>
          <w:rFonts w:cs="Arial" w:hint="cs"/>
          <w:rtl/>
        </w:rPr>
        <w:t>,</w:t>
      </w:r>
      <w:r w:rsidRPr="00DF5074">
        <w:rPr>
          <w:rFonts w:cs="Arial"/>
          <w:rtl/>
        </w:rPr>
        <w:t xml:space="preserve"> והחשש שחשש בעל ב"מ לאו חששא היא</w:t>
      </w:r>
      <w:r>
        <w:rPr>
          <w:rFonts w:cs="Arial" w:hint="cs"/>
          <w:sz w:val="16"/>
          <w:szCs w:val="16"/>
          <w:rtl/>
        </w:rPr>
        <w:t xml:space="preserve"> (ל' הפת"ש בשם מהר"ז)</w:t>
      </w:r>
      <w:r w:rsidRPr="00DF5074">
        <w:rPr>
          <w:rFonts w:cs="Arial"/>
          <w:rtl/>
        </w:rPr>
        <w:t xml:space="preserve">. </w:t>
      </w:r>
    </w:p>
    <w:p w14:paraId="28DD1982" w14:textId="77777777" w:rsidR="00FA2119" w:rsidRDefault="00FA2119" w:rsidP="00FA2119">
      <w:pPr>
        <w:rPr>
          <w:rtl/>
        </w:rPr>
      </w:pPr>
    </w:p>
    <w:p w14:paraId="452863EC" w14:textId="77777777" w:rsidR="00FA2119" w:rsidRDefault="00FA2119" w:rsidP="00FA2119">
      <w:pPr>
        <w:pStyle w:val="2"/>
        <w:rPr>
          <w:rtl/>
        </w:rPr>
      </w:pPr>
      <w:r>
        <w:rPr>
          <w:rFonts w:hint="cs"/>
          <w:rtl/>
        </w:rPr>
        <w:t>סעיף</w:t>
      </w:r>
      <w:r>
        <w:rPr>
          <w:rtl/>
        </w:rPr>
        <w:t xml:space="preserve"> </w:t>
      </w:r>
      <w:r>
        <w:rPr>
          <w:rFonts w:hint="cs"/>
          <w:rtl/>
        </w:rPr>
        <w:t>טו: שני שמות, שהשם השני יוצא מהשם האחד.</w:t>
      </w:r>
    </w:p>
    <w:p w14:paraId="398E2A74" w14:textId="77777777" w:rsidR="00FA2119" w:rsidRPr="004F2472" w:rsidRDefault="00FA2119" w:rsidP="00FA2119">
      <w:pPr>
        <w:rPr>
          <w:u w:val="single"/>
          <w:rtl/>
        </w:rPr>
      </w:pPr>
      <w:r w:rsidRPr="004F2472">
        <w:rPr>
          <w:rFonts w:hint="cs"/>
          <w:u w:val="single"/>
          <w:rtl/>
        </w:rPr>
        <w:t xml:space="preserve">שני שמות, </w:t>
      </w:r>
      <w:r>
        <w:rPr>
          <w:rFonts w:hint="cs"/>
          <w:u w:val="single"/>
          <w:rtl/>
        </w:rPr>
        <w:t>ש</w:t>
      </w:r>
      <w:r w:rsidRPr="004F2472">
        <w:rPr>
          <w:rFonts w:hint="cs"/>
          <w:u w:val="single"/>
          <w:rtl/>
        </w:rPr>
        <w:t xml:space="preserve">השם השני יוצא מהשם </w:t>
      </w:r>
      <w:r>
        <w:rPr>
          <w:rFonts w:hint="cs"/>
          <w:u w:val="single"/>
          <w:rtl/>
        </w:rPr>
        <w:t>ה</w:t>
      </w:r>
      <w:r w:rsidRPr="004F2472">
        <w:rPr>
          <w:rFonts w:hint="cs"/>
          <w:u w:val="single"/>
          <w:rtl/>
        </w:rPr>
        <w:t>אחד:</w:t>
      </w:r>
    </w:p>
    <w:p w14:paraId="1DFF7631" w14:textId="0EBA4B14" w:rsidR="00FA2119" w:rsidRDefault="00FA2119" w:rsidP="00FA2119">
      <w:pPr>
        <w:pStyle w:val="ab"/>
        <w:numPr>
          <w:ilvl w:val="0"/>
          <w:numId w:val="77"/>
        </w:numPr>
      </w:pPr>
      <w:r w:rsidRPr="002E7151">
        <w:rPr>
          <w:rFonts w:cs="Arial"/>
          <w:rtl/>
        </w:rPr>
        <w:t xml:space="preserve">מרדכי </w:t>
      </w:r>
      <w:r w:rsidRPr="00B72805">
        <w:rPr>
          <w:rFonts w:cs="Arial"/>
          <w:sz w:val="16"/>
          <w:szCs w:val="16"/>
          <w:rtl/>
        </w:rPr>
        <w:t xml:space="preserve">(סי' שסח) </w:t>
      </w:r>
      <w:r w:rsidRPr="002E7151">
        <w:rPr>
          <w:rFonts w:cs="Arial"/>
          <w:rtl/>
        </w:rPr>
        <w:t>בשם ר"ת</w:t>
      </w:r>
      <w:r w:rsidR="00A82951">
        <w:rPr>
          <w:rFonts w:cs="Arial" w:hint="cs"/>
          <w:rtl/>
        </w:rPr>
        <w:t>-</w:t>
      </w:r>
      <w:r w:rsidRPr="00B72805">
        <w:rPr>
          <w:rFonts w:cs="Arial"/>
          <w:rtl/>
        </w:rPr>
        <w:t xml:space="preserve"> מי שיש לו שני שמות</w:t>
      </w:r>
      <w:r>
        <w:rPr>
          <w:rFonts w:cs="Arial" w:hint="cs"/>
          <w:rtl/>
        </w:rPr>
        <w:t>,</w:t>
      </w:r>
      <w:r w:rsidRPr="00B72805">
        <w:rPr>
          <w:rFonts w:cs="Arial"/>
          <w:rtl/>
        </w:rPr>
        <w:t xml:space="preserve"> והשם השני יוצא מהשם האחד</w:t>
      </w:r>
      <w:r>
        <w:rPr>
          <w:rFonts w:cs="Arial" w:hint="cs"/>
          <w:rtl/>
        </w:rPr>
        <w:t>,</w:t>
      </w:r>
      <w:r w:rsidRPr="00B72805">
        <w:rPr>
          <w:rFonts w:cs="Arial"/>
          <w:rtl/>
        </w:rPr>
        <w:t xml:space="preserve"> בזה יש כמה חילוקים</w:t>
      </w:r>
      <w:r>
        <w:rPr>
          <w:rFonts w:cs="Arial" w:hint="cs"/>
          <w:rtl/>
        </w:rPr>
        <w:t xml:space="preserve">. </w:t>
      </w:r>
      <w:r w:rsidRPr="00B72805">
        <w:rPr>
          <w:rFonts w:cs="Arial"/>
          <w:rtl/>
        </w:rPr>
        <w:t>אם הוא קיצור השם כגון</w:t>
      </w:r>
      <w:r>
        <w:rPr>
          <w:rFonts w:cs="Arial" w:hint="cs"/>
          <w:rtl/>
        </w:rPr>
        <w:t>,</w:t>
      </w:r>
      <w:r w:rsidRPr="00B72805">
        <w:rPr>
          <w:rFonts w:cs="Arial"/>
          <w:rtl/>
        </w:rPr>
        <w:t xml:space="preserve"> בילא בולטא</w:t>
      </w:r>
      <w:r>
        <w:rPr>
          <w:rFonts w:cs="Arial" w:hint="cs"/>
          <w:rtl/>
        </w:rPr>
        <w:t>,</w:t>
      </w:r>
      <w:r w:rsidRPr="00B72805">
        <w:rPr>
          <w:rFonts w:cs="Arial"/>
          <w:rtl/>
        </w:rPr>
        <w:t xml:space="preserve"> שמואל מואל</w:t>
      </w:r>
      <w:r>
        <w:rPr>
          <w:rFonts w:cs="Arial" w:hint="cs"/>
          <w:rtl/>
        </w:rPr>
        <w:t>,</w:t>
      </w:r>
      <w:r w:rsidRPr="00B72805">
        <w:rPr>
          <w:rFonts w:cs="Arial"/>
          <w:rtl/>
        </w:rPr>
        <w:t xml:space="preserve"> מרגלית מרגליתא</w:t>
      </w:r>
      <w:r>
        <w:rPr>
          <w:rFonts w:cs="Arial" w:hint="cs"/>
          <w:rtl/>
        </w:rPr>
        <w:t>,</w:t>
      </w:r>
      <w:r w:rsidRPr="00B72805">
        <w:rPr>
          <w:rFonts w:cs="Arial"/>
          <w:rtl/>
        </w:rPr>
        <w:t xml:space="preserve"> צפורה פורה</w:t>
      </w:r>
      <w:r>
        <w:rPr>
          <w:rFonts w:cs="Arial" w:hint="cs"/>
          <w:rtl/>
        </w:rPr>
        <w:t>,</w:t>
      </w:r>
      <w:r w:rsidRPr="00B72805">
        <w:rPr>
          <w:rFonts w:cs="Arial"/>
          <w:rtl/>
        </w:rPr>
        <w:t xml:space="preserve"> בנימן בונמי</w:t>
      </w:r>
      <w:r>
        <w:rPr>
          <w:rFonts w:cs="Arial" w:hint="cs"/>
          <w:rtl/>
        </w:rPr>
        <w:t>,</w:t>
      </w:r>
      <w:r w:rsidRPr="00B72805">
        <w:rPr>
          <w:rFonts w:cs="Arial"/>
          <w:rtl/>
        </w:rPr>
        <w:t xml:space="preserve"> יצחק חקין </w:t>
      </w:r>
      <w:r w:rsidR="00A82951">
        <w:rPr>
          <w:rFonts w:cs="Arial" w:hint="cs"/>
          <w:rtl/>
        </w:rPr>
        <w:t>-</w:t>
      </w:r>
      <w:r w:rsidRPr="00B72805">
        <w:rPr>
          <w:rFonts w:cs="Arial" w:hint="cs"/>
          <w:rtl/>
        </w:rPr>
        <w:t xml:space="preserve"> </w:t>
      </w:r>
      <w:r w:rsidRPr="00B72805">
        <w:rPr>
          <w:rFonts w:cs="Arial"/>
          <w:rtl/>
        </w:rPr>
        <w:t>אין צריך לכתוב שם שני כלל</w:t>
      </w:r>
      <w:r w:rsidRPr="00B72805">
        <w:rPr>
          <w:rFonts w:cs="Arial" w:hint="cs"/>
          <w:rtl/>
        </w:rPr>
        <w:t>,</w:t>
      </w:r>
      <w:r w:rsidRPr="00B72805">
        <w:rPr>
          <w:rFonts w:cs="Arial"/>
          <w:rtl/>
        </w:rPr>
        <w:t xml:space="preserve"> דאין זה לא כינוי ולא שינוי</w:t>
      </w:r>
      <w:r>
        <w:rPr>
          <w:rStyle w:val="a7"/>
          <w:rFonts w:cs="Arial"/>
          <w:rtl/>
        </w:rPr>
        <w:footnoteReference w:id="1127"/>
      </w:r>
      <w:r w:rsidRPr="00B72805">
        <w:rPr>
          <w:rFonts w:cs="Arial"/>
          <w:rtl/>
        </w:rPr>
        <w:t>.</w:t>
      </w:r>
      <w:r>
        <w:rPr>
          <w:rFonts w:hint="cs"/>
          <w:rtl/>
        </w:rPr>
        <w:t xml:space="preserve"> </w:t>
      </w:r>
      <w:r w:rsidRPr="00810AC5">
        <w:rPr>
          <w:rFonts w:hint="cs"/>
          <w:color w:val="E36C0A" w:themeColor="accent6" w:themeShade="BF"/>
          <w:rtl/>
        </w:rPr>
        <w:t>(וכ"פ בשו"ע)</w:t>
      </w:r>
    </w:p>
    <w:p w14:paraId="6C65E54E" w14:textId="77777777" w:rsidR="00FA2119" w:rsidRPr="00B72805" w:rsidRDefault="00FA2119" w:rsidP="00FA2119">
      <w:pPr>
        <w:ind w:left="360"/>
        <w:rPr>
          <w:u w:val="dotted"/>
        </w:rPr>
      </w:pPr>
      <w:r w:rsidRPr="00B72805">
        <w:rPr>
          <w:rFonts w:hint="cs"/>
          <w:u w:val="dotted"/>
          <w:rtl/>
        </w:rPr>
        <w:t>ומה הדין אם יש בעירו עוד אחד ששמו כך:</w:t>
      </w:r>
    </w:p>
    <w:p w14:paraId="1C1AC152" w14:textId="22348319" w:rsidR="00FA2119" w:rsidRPr="002E7151" w:rsidRDefault="00FA2119" w:rsidP="00FA2119">
      <w:pPr>
        <w:pStyle w:val="ab"/>
        <w:numPr>
          <w:ilvl w:val="0"/>
          <w:numId w:val="77"/>
        </w:numPr>
        <w:rPr>
          <w:rtl/>
        </w:rPr>
      </w:pPr>
      <w:r>
        <w:rPr>
          <w:rFonts w:cs="Arial" w:hint="cs"/>
          <w:rtl/>
        </w:rPr>
        <w:lastRenderedPageBreak/>
        <w:t xml:space="preserve">תרוה"ד </w:t>
      </w:r>
      <w:r>
        <w:rPr>
          <w:rFonts w:cs="Arial" w:hint="cs"/>
          <w:sz w:val="16"/>
          <w:szCs w:val="16"/>
          <w:rtl/>
        </w:rPr>
        <w:t>(כתבים סי' ו)</w:t>
      </w:r>
      <w:r w:rsidR="00A82951">
        <w:rPr>
          <w:rFonts w:cs="Arial" w:hint="cs"/>
          <w:rtl/>
        </w:rPr>
        <w:t>-</w:t>
      </w:r>
      <w:r>
        <w:rPr>
          <w:rFonts w:cs="Arial" w:hint="cs"/>
          <w:rtl/>
        </w:rPr>
        <w:t xml:space="preserve"> </w:t>
      </w:r>
      <w:r w:rsidRPr="00B72805">
        <w:rPr>
          <w:rFonts w:cs="Arial"/>
          <w:rtl/>
        </w:rPr>
        <w:t>מיהו אם יש בעיר איש אחר ששמו כשם זה</w:t>
      </w:r>
      <w:r>
        <w:rPr>
          <w:rFonts w:cs="Arial" w:hint="cs"/>
          <w:rtl/>
        </w:rPr>
        <w:t>,</w:t>
      </w:r>
      <w:r w:rsidRPr="00B72805">
        <w:rPr>
          <w:rFonts w:cs="Arial"/>
          <w:rtl/>
        </w:rPr>
        <w:t xml:space="preserve"> אלא שזה נקרא גם בשם זה דנערות</w:t>
      </w:r>
      <w:r>
        <w:rPr>
          <w:rFonts w:cs="Arial" w:hint="cs"/>
          <w:rtl/>
        </w:rPr>
        <w:t xml:space="preserve"> </w:t>
      </w:r>
      <w:r w:rsidR="00A82951">
        <w:rPr>
          <w:rFonts w:cs="Arial" w:hint="cs"/>
          <w:rtl/>
        </w:rPr>
        <w:t>-</w:t>
      </w:r>
      <w:r>
        <w:rPr>
          <w:rFonts w:cs="Arial" w:hint="cs"/>
          <w:rtl/>
        </w:rPr>
        <w:t xml:space="preserve"> </w:t>
      </w:r>
      <w:r w:rsidRPr="00B72805">
        <w:rPr>
          <w:rFonts w:cs="Arial"/>
          <w:rtl/>
        </w:rPr>
        <w:t>כותבין שם זה דנערות לסימן</w:t>
      </w:r>
      <w:r>
        <w:rPr>
          <w:rFonts w:cs="Arial" w:hint="cs"/>
          <w:sz w:val="16"/>
          <w:szCs w:val="16"/>
          <w:rtl/>
        </w:rPr>
        <w:t xml:space="preserve"> (</w:t>
      </w:r>
      <w:r w:rsidRPr="00B72805">
        <w:rPr>
          <w:rFonts w:cs="Arial"/>
          <w:sz w:val="16"/>
          <w:szCs w:val="16"/>
          <w:rtl/>
        </w:rPr>
        <w:t>וכתוב שם דיעקב יעקל הוי כמו יצחק חקין</w:t>
      </w:r>
      <w:r>
        <w:rPr>
          <w:rFonts w:cs="Arial" w:hint="cs"/>
          <w:sz w:val="16"/>
          <w:szCs w:val="16"/>
          <w:rtl/>
        </w:rPr>
        <w:t>)</w:t>
      </w:r>
      <w:r>
        <w:rPr>
          <w:rFonts w:cs="Arial" w:hint="cs"/>
          <w:rtl/>
        </w:rPr>
        <w:t>.</w:t>
      </w:r>
      <w:r w:rsidRPr="00B72805">
        <w:rPr>
          <w:rFonts w:cs="Arial"/>
          <w:rtl/>
        </w:rPr>
        <w:t xml:space="preserve"> </w:t>
      </w:r>
      <w:r w:rsidRPr="00810AC5">
        <w:rPr>
          <w:rFonts w:hint="cs"/>
          <w:color w:val="E36C0A" w:themeColor="accent6" w:themeShade="BF"/>
          <w:rtl/>
        </w:rPr>
        <w:t>(וכ"פ בשו"ע)</w:t>
      </w:r>
    </w:p>
    <w:p w14:paraId="4977347D"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D25871C" w14:textId="77777777" w:rsidR="00FA2119" w:rsidRDefault="00FA2119" w:rsidP="00FA2119">
      <w:pPr>
        <w:rPr>
          <w:rtl/>
        </w:rPr>
      </w:pPr>
      <w:r>
        <w:rPr>
          <w:rFonts w:cs="Arial" w:hint="cs"/>
          <w:rtl/>
        </w:rPr>
        <w:t>מי</w:t>
      </w:r>
      <w:r>
        <w:rPr>
          <w:rFonts w:cs="Arial"/>
          <w:rtl/>
        </w:rPr>
        <w:t xml:space="preserve"> </w:t>
      </w:r>
      <w:r>
        <w:rPr>
          <w:rFonts w:cs="Arial" w:hint="cs"/>
          <w:rtl/>
        </w:rPr>
        <w:t>שיש</w:t>
      </w:r>
      <w:r>
        <w:rPr>
          <w:rFonts w:cs="Arial"/>
          <w:rtl/>
        </w:rPr>
        <w:t xml:space="preserve"> </w:t>
      </w:r>
      <w:r>
        <w:rPr>
          <w:rFonts w:cs="Arial" w:hint="cs"/>
          <w:rtl/>
        </w:rPr>
        <w:t>לו</w:t>
      </w:r>
      <w:r>
        <w:rPr>
          <w:rFonts w:cs="Arial"/>
          <w:rtl/>
        </w:rPr>
        <w:t xml:space="preserve"> </w:t>
      </w:r>
      <w:r>
        <w:rPr>
          <w:rFonts w:cs="Arial" w:hint="cs"/>
          <w:rtl/>
        </w:rPr>
        <w:t>שני</w:t>
      </w:r>
      <w:r>
        <w:rPr>
          <w:rFonts w:cs="Arial"/>
          <w:rtl/>
        </w:rPr>
        <w:t xml:space="preserve"> </w:t>
      </w:r>
      <w:r>
        <w:rPr>
          <w:rFonts w:cs="Arial" w:hint="cs"/>
          <w:rtl/>
        </w:rPr>
        <w:t>שמות</w:t>
      </w:r>
      <w:r>
        <w:rPr>
          <w:rFonts w:cs="Arial"/>
          <w:rtl/>
        </w:rPr>
        <w:t xml:space="preserve">, </w:t>
      </w:r>
      <w:r>
        <w:rPr>
          <w:rFonts w:cs="Arial" w:hint="cs"/>
          <w:rtl/>
        </w:rPr>
        <w:t>והשם</w:t>
      </w:r>
      <w:r>
        <w:rPr>
          <w:rFonts w:cs="Arial"/>
          <w:rtl/>
        </w:rPr>
        <w:t xml:space="preserve"> </w:t>
      </w:r>
      <w:r>
        <w:rPr>
          <w:rFonts w:cs="Arial" w:hint="cs"/>
          <w:rtl/>
        </w:rPr>
        <w:t>השני</w:t>
      </w:r>
      <w:r>
        <w:rPr>
          <w:rFonts w:cs="Arial"/>
          <w:rtl/>
        </w:rPr>
        <w:t xml:space="preserve"> </w:t>
      </w:r>
      <w:r>
        <w:rPr>
          <w:rFonts w:cs="Arial" w:hint="cs"/>
          <w:rtl/>
        </w:rPr>
        <w:t>יוצא</w:t>
      </w:r>
      <w:r>
        <w:rPr>
          <w:rFonts w:cs="Arial"/>
          <w:rtl/>
        </w:rPr>
        <w:t xml:space="preserve"> </w:t>
      </w:r>
      <w:r>
        <w:rPr>
          <w:rFonts w:cs="Arial" w:hint="cs"/>
          <w:rtl/>
        </w:rPr>
        <w:t>מהשם</w:t>
      </w:r>
      <w:r>
        <w:rPr>
          <w:rFonts w:cs="Arial"/>
          <w:rtl/>
        </w:rPr>
        <w:t xml:space="preserve"> </w:t>
      </w:r>
      <w:r>
        <w:rPr>
          <w:rFonts w:cs="Arial" w:hint="cs"/>
          <w:rtl/>
        </w:rPr>
        <w:t>הראשון</w:t>
      </w:r>
      <w:r>
        <w:rPr>
          <w:rFonts w:cs="Arial"/>
          <w:rtl/>
        </w:rPr>
        <w:t xml:space="preserve"> </w:t>
      </w:r>
      <w:r>
        <w:rPr>
          <w:rFonts w:cs="Arial" w:hint="cs"/>
          <w:rtl/>
        </w:rPr>
        <w:t>בשם</w:t>
      </w:r>
      <w:r>
        <w:rPr>
          <w:rFonts w:cs="Arial"/>
          <w:rtl/>
        </w:rPr>
        <w:t xml:space="preserve"> </w:t>
      </w:r>
      <w:r>
        <w:rPr>
          <w:rFonts w:cs="Arial" w:hint="cs"/>
          <w:rtl/>
        </w:rPr>
        <w:t>הנערות</w:t>
      </w:r>
      <w:r>
        <w:rPr>
          <w:rFonts w:cs="Arial"/>
          <w:rtl/>
        </w:rPr>
        <w:t xml:space="preserve">, </w:t>
      </w:r>
      <w:r>
        <w:rPr>
          <w:rFonts w:cs="Arial" w:hint="cs"/>
          <w:rtl/>
        </w:rPr>
        <w:t>כגון</w:t>
      </w:r>
      <w:r>
        <w:rPr>
          <w:rFonts w:cs="Arial"/>
          <w:rtl/>
        </w:rPr>
        <w:t xml:space="preserve"> </w:t>
      </w:r>
      <w:r>
        <w:rPr>
          <w:rFonts w:cs="Arial" w:hint="cs"/>
          <w:rtl/>
        </w:rPr>
        <w:t>יצחק</w:t>
      </w:r>
      <w:r>
        <w:rPr>
          <w:rFonts w:cs="Arial"/>
          <w:rtl/>
        </w:rPr>
        <w:t xml:space="preserve"> </w:t>
      </w:r>
      <w:r>
        <w:rPr>
          <w:rFonts w:cs="Arial" w:hint="cs"/>
          <w:rtl/>
        </w:rPr>
        <w:t>חקין</w:t>
      </w:r>
      <w:r>
        <w:rPr>
          <w:rFonts w:cs="Arial"/>
          <w:rtl/>
        </w:rPr>
        <w:t xml:space="preserve">, </w:t>
      </w:r>
      <w:r>
        <w:rPr>
          <w:rFonts w:cs="Arial" w:hint="cs"/>
          <w:rtl/>
        </w:rPr>
        <w:t>אהרן</w:t>
      </w:r>
      <w:r>
        <w:rPr>
          <w:rFonts w:cs="Arial"/>
          <w:rtl/>
        </w:rPr>
        <w:t xml:space="preserve"> </w:t>
      </w:r>
      <w:r>
        <w:rPr>
          <w:rFonts w:cs="Arial" w:hint="cs"/>
          <w:rtl/>
        </w:rPr>
        <w:t>ארנין</w:t>
      </w:r>
      <w:r>
        <w:rPr>
          <w:rFonts w:cs="Arial"/>
          <w:rtl/>
        </w:rPr>
        <w:t xml:space="preserve">, </w:t>
      </w:r>
      <w:r>
        <w:rPr>
          <w:rFonts w:cs="Arial" w:hint="cs"/>
          <w:rtl/>
        </w:rPr>
        <w:t>וכיוצא</w:t>
      </w:r>
      <w:r>
        <w:rPr>
          <w:rFonts w:cs="Arial"/>
          <w:rtl/>
        </w:rPr>
        <w:t xml:space="preserve"> </w:t>
      </w:r>
      <w:r>
        <w:rPr>
          <w:rFonts w:cs="Arial" w:hint="cs"/>
          <w:rtl/>
        </w:rPr>
        <w:t>בזה</w:t>
      </w:r>
      <w:r>
        <w:rPr>
          <w:rFonts w:cs="Arial"/>
          <w:rtl/>
        </w:rPr>
        <w:t xml:space="preserve">, </w:t>
      </w:r>
      <w:r>
        <w:rPr>
          <w:rFonts w:cs="Arial" w:hint="cs"/>
          <w:rtl/>
        </w:rPr>
        <w:t>אין</w:t>
      </w:r>
      <w:r>
        <w:rPr>
          <w:rFonts w:cs="Arial"/>
          <w:rtl/>
        </w:rPr>
        <w:t xml:space="preserve"> </w:t>
      </w:r>
      <w:r>
        <w:rPr>
          <w:rFonts w:cs="Arial" w:hint="cs"/>
          <w:rtl/>
        </w:rPr>
        <w:t>צריך</w:t>
      </w:r>
      <w:r>
        <w:rPr>
          <w:rFonts w:cs="Arial"/>
          <w:rtl/>
        </w:rPr>
        <w:t xml:space="preserve"> </w:t>
      </w:r>
      <w:r>
        <w:rPr>
          <w:rFonts w:cs="Arial" w:hint="cs"/>
          <w:rtl/>
        </w:rPr>
        <w:t>לכתוב</w:t>
      </w:r>
      <w:r>
        <w:rPr>
          <w:rFonts w:cs="Arial"/>
          <w:rtl/>
        </w:rPr>
        <w:t xml:space="preserve"> </w:t>
      </w:r>
      <w:r>
        <w:rPr>
          <w:rFonts w:cs="Arial" w:hint="cs"/>
          <w:rtl/>
        </w:rPr>
        <w:t>שם</w:t>
      </w:r>
      <w:r>
        <w:rPr>
          <w:rFonts w:cs="Arial"/>
          <w:rtl/>
        </w:rPr>
        <w:t xml:space="preserve"> </w:t>
      </w:r>
      <w:r>
        <w:rPr>
          <w:rFonts w:cs="Arial" w:hint="cs"/>
          <w:rtl/>
        </w:rPr>
        <w:t>הנערות</w:t>
      </w:r>
      <w:r>
        <w:rPr>
          <w:rFonts w:cs="Arial"/>
          <w:rtl/>
        </w:rPr>
        <w:t xml:space="preserve"> </w:t>
      </w:r>
      <w:r>
        <w:rPr>
          <w:rFonts w:cs="Arial" w:hint="cs"/>
          <w:rtl/>
        </w:rPr>
        <w:t>כלל</w:t>
      </w:r>
      <w:r>
        <w:rPr>
          <w:rFonts w:cs="Arial"/>
          <w:rtl/>
        </w:rPr>
        <w:t xml:space="preserve">, </w:t>
      </w:r>
      <w:r>
        <w:rPr>
          <w:rFonts w:cs="Arial" w:hint="cs"/>
          <w:rtl/>
        </w:rPr>
        <w:t>אלא</w:t>
      </w:r>
      <w:r>
        <w:rPr>
          <w:rFonts w:cs="Arial"/>
          <w:rtl/>
        </w:rPr>
        <w:t xml:space="preserve"> </w:t>
      </w:r>
      <w:r>
        <w:rPr>
          <w:rFonts w:cs="Arial" w:hint="cs"/>
          <w:rtl/>
        </w:rPr>
        <w:t>אם</w:t>
      </w:r>
      <w:r>
        <w:rPr>
          <w:rFonts w:cs="Arial"/>
          <w:rtl/>
        </w:rPr>
        <w:t xml:space="preserve"> </w:t>
      </w:r>
      <w:r>
        <w:rPr>
          <w:rFonts w:cs="Arial" w:hint="cs"/>
          <w:rtl/>
        </w:rPr>
        <w:t>כן</w:t>
      </w:r>
      <w:r>
        <w:rPr>
          <w:rFonts w:cs="Arial"/>
          <w:rtl/>
        </w:rPr>
        <w:t xml:space="preserve"> </w:t>
      </w:r>
      <w:r>
        <w:rPr>
          <w:rFonts w:cs="Arial" w:hint="cs"/>
          <w:rtl/>
        </w:rPr>
        <w:t>יש</w:t>
      </w:r>
      <w:r>
        <w:rPr>
          <w:rFonts w:cs="Arial"/>
          <w:rtl/>
        </w:rPr>
        <w:t xml:space="preserve"> </w:t>
      </w:r>
      <w:r>
        <w:rPr>
          <w:rFonts w:cs="Arial" w:hint="cs"/>
          <w:rtl/>
        </w:rPr>
        <w:t>אחר</w:t>
      </w:r>
      <w:r>
        <w:rPr>
          <w:rFonts w:cs="Arial"/>
          <w:rtl/>
        </w:rPr>
        <w:t xml:space="preserve"> </w:t>
      </w:r>
      <w:r>
        <w:rPr>
          <w:rFonts w:cs="Arial" w:hint="cs"/>
          <w:rtl/>
        </w:rPr>
        <w:t>ששמו</w:t>
      </w:r>
      <w:r>
        <w:rPr>
          <w:rFonts w:cs="Arial"/>
          <w:rtl/>
        </w:rPr>
        <w:t xml:space="preserve"> </w:t>
      </w:r>
      <w:r>
        <w:rPr>
          <w:rFonts w:cs="Arial" w:hint="cs"/>
          <w:rtl/>
        </w:rPr>
        <w:t>יצחק</w:t>
      </w:r>
      <w:r>
        <w:rPr>
          <w:rFonts w:cs="Arial"/>
          <w:rtl/>
        </w:rPr>
        <w:t xml:space="preserve"> </w:t>
      </w:r>
      <w:r>
        <w:rPr>
          <w:rFonts w:cs="Arial" w:hint="cs"/>
          <w:rtl/>
        </w:rPr>
        <w:t>או</w:t>
      </w:r>
      <w:r>
        <w:rPr>
          <w:rFonts w:cs="Arial"/>
          <w:rtl/>
        </w:rPr>
        <w:t xml:space="preserve"> </w:t>
      </w:r>
      <w:r>
        <w:rPr>
          <w:rFonts w:cs="Arial" w:hint="cs"/>
          <w:rtl/>
        </w:rPr>
        <w:t>אהרן</w:t>
      </w:r>
      <w:r>
        <w:rPr>
          <w:rStyle w:val="a7"/>
          <w:rFonts w:cs="Arial"/>
          <w:rtl/>
        </w:rPr>
        <w:footnoteReference w:id="1128"/>
      </w:r>
      <w:r>
        <w:rPr>
          <w:rFonts w:cs="Arial"/>
          <w:rtl/>
        </w:rPr>
        <w:t xml:space="preserve">. </w:t>
      </w:r>
      <w:r w:rsidRPr="00C03494">
        <w:rPr>
          <w:rFonts w:cs="Arial" w:hint="cs"/>
          <w:sz w:val="18"/>
          <w:szCs w:val="18"/>
          <w:rtl/>
        </w:rPr>
        <w:t>הגה</w:t>
      </w:r>
      <w:r w:rsidRPr="00C03494">
        <w:rPr>
          <w:rFonts w:cs="Arial"/>
          <w:sz w:val="18"/>
          <w:szCs w:val="18"/>
          <w:rtl/>
        </w:rPr>
        <w:t xml:space="preserve">: </w:t>
      </w:r>
      <w:r w:rsidRPr="00C03494">
        <w:rPr>
          <w:rFonts w:cs="Arial" w:hint="cs"/>
          <w:sz w:val="18"/>
          <w:szCs w:val="18"/>
          <w:rtl/>
        </w:rPr>
        <w:t>והוא</w:t>
      </w:r>
      <w:r w:rsidRPr="00C03494">
        <w:rPr>
          <w:rFonts w:cs="Arial"/>
          <w:sz w:val="18"/>
          <w:szCs w:val="18"/>
          <w:rtl/>
        </w:rPr>
        <w:t xml:space="preserve"> </w:t>
      </w:r>
      <w:r w:rsidRPr="00C03494">
        <w:rPr>
          <w:rFonts w:cs="Arial" w:hint="cs"/>
          <w:sz w:val="18"/>
          <w:szCs w:val="18"/>
          <w:rtl/>
        </w:rPr>
        <w:t>הדין</w:t>
      </w:r>
      <w:r w:rsidRPr="00C03494">
        <w:rPr>
          <w:rFonts w:cs="Arial"/>
          <w:sz w:val="18"/>
          <w:szCs w:val="18"/>
          <w:rtl/>
        </w:rPr>
        <w:t xml:space="preserve"> </w:t>
      </w:r>
      <w:r w:rsidRPr="00C03494">
        <w:rPr>
          <w:rFonts w:cs="Arial" w:hint="cs"/>
          <w:sz w:val="18"/>
          <w:szCs w:val="18"/>
          <w:rtl/>
        </w:rPr>
        <w:t>ליעקב</w:t>
      </w:r>
      <w:r w:rsidRPr="00C03494">
        <w:rPr>
          <w:rFonts w:cs="Arial"/>
          <w:sz w:val="18"/>
          <w:szCs w:val="18"/>
          <w:rtl/>
        </w:rPr>
        <w:t xml:space="preserve"> </w:t>
      </w:r>
      <w:r w:rsidRPr="00C03494">
        <w:rPr>
          <w:rFonts w:cs="Arial" w:hint="cs"/>
          <w:sz w:val="18"/>
          <w:szCs w:val="18"/>
          <w:rtl/>
        </w:rPr>
        <w:t>יעקל</w:t>
      </w:r>
      <w:r>
        <w:rPr>
          <w:rStyle w:val="a7"/>
          <w:rFonts w:cs="Arial"/>
          <w:sz w:val="18"/>
          <w:szCs w:val="18"/>
          <w:rtl/>
        </w:rPr>
        <w:footnoteReference w:id="1129"/>
      </w:r>
      <w:r w:rsidRPr="00C03494">
        <w:rPr>
          <w:rFonts w:cs="Arial"/>
          <w:sz w:val="18"/>
          <w:szCs w:val="18"/>
          <w:rtl/>
        </w:rPr>
        <w:t xml:space="preserve"> (</w:t>
      </w:r>
      <w:r>
        <w:rPr>
          <w:rFonts w:cs="Arial" w:hint="cs"/>
          <w:sz w:val="18"/>
          <w:szCs w:val="18"/>
          <w:rtl/>
        </w:rPr>
        <w:t>תרוה"ד</w:t>
      </w:r>
      <w:r w:rsidRPr="00C03494">
        <w:rPr>
          <w:rFonts w:cs="Arial"/>
          <w:sz w:val="18"/>
          <w:szCs w:val="18"/>
          <w:rtl/>
        </w:rPr>
        <w:t xml:space="preserve">), </w:t>
      </w:r>
      <w:r w:rsidRPr="00C03494">
        <w:rPr>
          <w:rFonts w:cs="Arial" w:hint="cs"/>
          <w:sz w:val="18"/>
          <w:szCs w:val="18"/>
          <w:rtl/>
        </w:rPr>
        <w:t>פרץ</w:t>
      </w:r>
      <w:r w:rsidRPr="00C03494">
        <w:rPr>
          <w:rFonts w:cs="Arial"/>
          <w:sz w:val="18"/>
          <w:szCs w:val="18"/>
          <w:rtl/>
        </w:rPr>
        <w:t xml:space="preserve"> </w:t>
      </w:r>
      <w:r w:rsidRPr="00C03494">
        <w:rPr>
          <w:rFonts w:cs="Arial" w:hint="cs"/>
          <w:sz w:val="18"/>
          <w:szCs w:val="18"/>
          <w:rtl/>
        </w:rPr>
        <w:t>פרצין</w:t>
      </w:r>
      <w:r w:rsidRPr="00C03494">
        <w:rPr>
          <w:rFonts w:cs="Arial"/>
          <w:sz w:val="18"/>
          <w:szCs w:val="18"/>
          <w:rtl/>
        </w:rPr>
        <w:t xml:space="preserve"> (</w:t>
      </w:r>
      <w:r w:rsidRPr="00C03494">
        <w:rPr>
          <w:rFonts w:cs="Arial" w:hint="cs"/>
          <w:sz w:val="18"/>
          <w:szCs w:val="18"/>
          <w:rtl/>
        </w:rPr>
        <w:t>ב</w:t>
      </w:r>
      <w:r w:rsidRPr="00C03494">
        <w:rPr>
          <w:rFonts w:cs="Arial"/>
          <w:sz w:val="18"/>
          <w:szCs w:val="18"/>
          <w:rtl/>
        </w:rPr>
        <w:t>"</w:t>
      </w:r>
      <w:r w:rsidRPr="00C03494">
        <w:rPr>
          <w:rFonts w:cs="Arial" w:hint="cs"/>
          <w:sz w:val="18"/>
          <w:szCs w:val="18"/>
          <w:rtl/>
        </w:rPr>
        <w:t>י</w:t>
      </w:r>
      <w:r w:rsidRPr="00C03494">
        <w:rPr>
          <w:rFonts w:cs="Arial"/>
          <w:sz w:val="18"/>
          <w:szCs w:val="18"/>
          <w:rtl/>
        </w:rPr>
        <w:t xml:space="preserve">). </w:t>
      </w:r>
      <w:r w:rsidRPr="00C03494">
        <w:rPr>
          <w:rFonts w:cs="Arial" w:hint="cs"/>
          <w:sz w:val="18"/>
          <w:szCs w:val="18"/>
          <w:rtl/>
        </w:rPr>
        <w:t>ונראה</w:t>
      </w:r>
      <w:r w:rsidRPr="00C03494">
        <w:rPr>
          <w:rFonts w:cs="Arial"/>
          <w:sz w:val="18"/>
          <w:szCs w:val="18"/>
          <w:rtl/>
        </w:rPr>
        <w:t xml:space="preserve"> </w:t>
      </w:r>
      <w:r w:rsidRPr="00C03494">
        <w:rPr>
          <w:rFonts w:cs="Arial" w:hint="cs"/>
          <w:sz w:val="18"/>
          <w:szCs w:val="18"/>
          <w:rtl/>
        </w:rPr>
        <w:t>דהוא</w:t>
      </w:r>
      <w:r w:rsidRPr="00C03494">
        <w:rPr>
          <w:rFonts w:cs="Arial"/>
          <w:sz w:val="18"/>
          <w:szCs w:val="18"/>
          <w:rtl/>
        </w:rPr>
        <w:t xml:space="preserve"> </w:t>
      </w:r>
      <w:r w:rsidRPr="00C03494">
        <w:rPr>
          <w:rFonts w:cs="Arial" w:hint="cs"/>
          <w:sz w:val="18"/>
          <w:szCs w:val="18"/>
          <w:rtl/>
        </w:rPr>
        <w:t>הדין</w:t>
      </w:r>
      <w:r w:rsidRPr="00C03494">
        <w:rPr>
          <w:rFonts w:cs="Arial"/>
          <w:sz w:val="18"/>
          <w:szCs w:val="18"/>
          <w:rtl/>
        </w:rPr>
        <w:t xml:space="preserve"> </w:t>
      </w:r>
      <w:r w:rsidRPr="00C03494">
        <w:rPr>
          <w:rFonts w:cs="Arial" w:hint="cs"/>
          <w:sz w:val="18"/>
          <w:szCs w:val="18"/>
          <w:rtl/>
        </w:rPr>
        <w:t>אברהם</w:t>
      </w:r>
      <w:r w:rsidRPr="00C03494">
        <w:rPr>
          <w:rFonts w:cs="Arial"/>
          <w:sz w:val="18"/>
          <w:szCs w:val="18"/>
          <w:rtl/>
        </w:rPr>
        <w:t xml:space="preserve"> </w:t>
      </w:r>
      <w:r w:rsidRPr="00C03494">
        <w:rPr>
          <w:rFonts w:cs="Arial" w:hint="cs"/>
          <w:sz w:val="18"/>
          <w:szCs w:val="18"/>
          <w:rtl/>
        </w:rPr>
        <w:t>אברלן</w:t>
      </w:r>
      <w:r w:rsidRPr="00C03494">
        <w:rPr>
          <w:rFonts w:cs="Arial"/>
          <w:sz w:val="18"/>
          <w:szCs w:val="18"/>
          <w:rtl/>
        </w:rPr>
        <w:t xml:space="preserve">, </w:t>
      </w:r>
      <w:r w:rsidRPr="00C03494">
        <w:rPr>
          <w:rFonts w:cs="Arial" w:hint="cs"/>
          <w:sz w:val="18"/>
          <w:szCs w:val="18"/>
          <w:rtl/>
        </w:rPr>
        <w:t>וכיוצא</w:t>
      </w:r>
      <w:r w:rsidRPr="00C03494">
        <w:rPr>
          <w:rFonts w:cs="Arial"/>
          <w:sz w:val="18"/>
          <w:szCs w:val="18"/>
          <w:rtl/>
        </w:rPr>
        <w:t xml:space="preserve"> </w:t>
      </w:r>
      <w:r w:rsidRPr="00C03494">
        <w:rPr>
          <w:rFonts w:cs="Arial" w:hint="cs"/>
          <w:sz w:val="18"/>
          <w:szCs w:val="18"/>
          <w:rtl/>
        </w:rPr>
        <w:t>בזה</w:t>
      </w:r>
      <w:r w:rsidRPr="00C03494">
        <w:rPr>
          <w:rFonts w:cs="Arial"/>
          <w:sz w:val="18"/>
          <w:szCs w:val="18"/>
          <w:rtl/>
        </w:rPr>
        <w:t xml:space="preserve">. </w:t>
      </w:r>
      <w:r w:rsidRPr="00C03494">
        <w:rPr>
          <w:rFonts w:cs="Arial" w:hint="cs"/>
          <w:sz w:val="18"/>
          <w:szCs w:val="18"/>
          <w:rtl/>
        </w:rPr>
        <w:t>מיהו</w:t>
      </w:r>
      <w:r w:rsidRPr="00C03494">
        <w:rPr>
          <w:rFonts w:cs="Arial"/>
          <w:sz w:val="18"/>
          <w:szCs w:val="18"/>
          <w:rtl/>
        </w:rPr>
        <w:t xml:space="preserve"> </w:t>
      </w:r>
      <w:r w:rsidRPr="00C03494">
        <w:rPr>
          <w:rFonts w:cs="Arial" w:hint="cs"/>
          <w:sz w:val="18"/>
          <w:szCs w:val="18"/>
          <w:rtl/>
        </w:rPr>
        <w:t>אם</w:t>
      </w:r>
      <w:r w:rsidRPr="00C03494">
        <w:rPr>
          <w:rFonts w:cs="Arial"/>
          <w:sz w:val="18"/>
          <w:szCs w:val="18"/>
          <w:rtl/>
        </w:rPr>
        <w:t xml:space="preserve"> </w:t>
      </w:r>
      <w:r w:rsidRPr="00C03494">
        <w:rPr>
          <w:rFonts w:cs="Arial" w:hint="cs"/>
          <w:sz w:val="18"/>
          <w:szCs w:val="18"/>
          <w:rtl/>
        </w:rPr>
        <w:t>רוצה</w:t>
      </w:r>
      <w:r w:rsidRPr="00C03494">
        <w:rPr>
          <w:rFonts w:cs="Arial"/>
          <w:sz w:val="18"/>
          <w:szCs w:val="18"/>
          <w:rtl/>
        </w:rPr>
        <w:t xml:space="preserve"> </w:t>
      </w:r>
      <w:r w:rsidRPr="00C03494">
        <w:rPr>
          <w:rFonts w:cs="Arial" w:hint="cs"/>
          <w:sz w:val="18"/>
          <w:szCs w:val="18"/>
          <w:rtl/>
        </w:rPr>
        <w:t>לכתוב</w:t>
      </w:r>
      <w:r w:rsidRPr="00C03494">
        <w:rPr>
          <w:rFonts w:cs="Arial"/>
          <w:sz w:val="18"/>
          <w:szCs w:val="18"/>
          <w:rtl/>
        </w:rPr>
        <w:t xml:space="preserve"> </w:t>
      </w:r>
      <w:r w:rsidRPr="00C03494">
        <w:rPr>
          <w:rFonts w:cs="Arial" w:hint="cs"/>
          <w:sz w:val="18"/>
          <w:szCs w:val="18"/>
          <w:rtl/>
        </w:rPr>
        <w:t>אינו</w:t>
      </w:r>
      <w:r w:rsidRPr="00C03494">
        <w:rPr>
          <w:rFonts w:cs="Arial"/>
          <w:sz w:val="18"/>
          <w:szCs w:val="18"/>
          <w:rtl/>
        </w:rPr>
        <w:t xml:space="preserve"> </w:t>
      </w:r>
      <w:r w:rsidRPr="00C03494">
        <w:rPr>
          <w:rFonts w:cs="Arial" w:hint="cs"/>
          <w:sz w:val="18"/>
          <w:szCs w:val="18"/>
          <w:rtl/>
        </w:rPr>
        <w:t>מזיק</w:t>
      </w:r>
      <w:r>
        <w:rPr>
          <w:rStyle w:val="a7"/>
          <w:rFonts w:cs="Arial"/>
          <w:sz w:val="18"/>
          <w:szCs w:val="18"/>
          <w:rtl/>
        </w:rPr>
        <w:footnoteReference w:id="1130"/>
      </w:r>
      <w:r w:rsidRPr="00C03494">
        <w:rPr>
          <w:rFonts w:cs="Arial"/>
          <w:sz w:val="18"/>
          <w:szCs w:val="18"/>
          <w:rtl/>
        </w:rPr>
        <w:t xml:space="preserve">. </w:t>
      </w:r>
      <w:r w:rsidRPr="00C03494">
        <w:rPr>
          <w:rFonts w:cs="Arial" w:hint="cs"/>
          <w:sz w:val="18"/>
          <w:szCs w:val="18"/>
          <w:rtl/>
        </w:rPr>
        <w:t>מיהו</w:t>
      </w:r>
      <w:r w:rsidRPr="00C03494">
        <w:rPr>
          <w:rFonts w:cs="Arial"/>
          <w:sz w:val="18"/>
          <w:szCs w:val="18"/>
          <w:rtl/>
        </w:rPr>
        <w:t xml:space="preserve"> </w:t>
      </w:r>
      <w:r w:rsidRPr="00C03494">
        <w:rPr>
          <w:rFonts w:cs="Arial" w:hint="cs"/>
          <w:sz w:val="18"/>
          <w:szCs w:val="18"/>
          <w:rtl/>
        </w:rPr>
        <w:t>כל</w:t>
      </w:r>
      <w:r w:rsidRPr="00C03494">
        <w:rPr>
          <w:rFonts w:cs="Arial"/>
          <w:sz w:val="18"/>
          <w:szCs w:val="18"/>
          <w:rtl/>
        </w:rPr>
        <w:t xml:space="preserve"> </w:t>
      </w:r>
      <w:r w:rsidRPr="00C03494">
        <w:rPr>
          <w:rFonts w:cs="Arial" w:hint="cs"/>
          <w:sz w:val="18"/>
          <w:szCs w:val="18"/>
          <w:rtl/>
        </w:rPr>
        <w:t>קצור</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שהוא</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בפני</w:t>
      </w:r>
      <w:r w:rsidRPr="00C03494">
        <w:rPr>
          <w:rFonts w:cs="Arial"/>
          <w:sz w:val="18"/>
          <w:szCs w:val="18"/>
          <w:rtl/>
        </w:rPr>
        <w:t xml:space="preserve"> </w:t>
      </w:r>
      <w:r w:rsidRPr="00C03494">
        <w:rPr>
          <w:rFonts w:cs="Arial" w:hint="cs"/>
          <w:sz w:val="18"/>
          <w:szCs w:val="18"/>
          <w:rtl/>
        </w:rPr>
        <w:t>עצמו</w:t>
      </w:r>
      <w:r w:rsidRPr="00C03494">
        <w:rPr>
          <w:rFonts w:cs="Arial"/>
          <w:sz w:val="18"/>
          <w:szCs w:val="18"/>
          <w:rtl/>
        </w:rPr>
        <w:t xml:space="preserve">, </w:t>
      </w:r>
      <w:r w:rsidRPr="00C03494">
        <w:rPr>
          <w:rFonts w:cs="Arial" w:hint="cs"/>
          <w:sz w:val="18"/>
          <w:szCs w:val="18"/>
          <w:rtl/>
        </w:rPr>
        <w:t>כמו</w:t>
      </w:r>
      <w:r w:rsidRPr="00C03494">
        <w:rPr>
          <w:rFonts w:cs="Arial"/>
          <w:sz w:val="18"/>
          <w:szCs w:val="18"/>
          <w:rtl/>
        </w:rPr>
        <w:t xml:space="preserve"> </w:t>
      </w:r>
      <w:r w:rsidRPr="00C03494">
        <w:rPr>
          <w:rFonts w:cs="Arial" w:hint="cs"/>
          <w:sz w:val="18"/>
          <w:szCs w:val="18"/>
          <w:rtl/>
        </w:rPr>
        <w:t>אלחנן</w:t>
      </w:r>
      <w:r w:rsidRPr="00C03494">
        <w:rPr>
          <w:rFonts w:cs="Arial"/>
          <w:sz w:val="18"/>
          <w:szCs w:val="18"/>
          <w:rtl/>
        </w:rPr>
        <w:t xml:space="preserve"> </w:t>
      </w:r>
      <w:r w:rsidRPr="00C03494">
        <w:rPr>
          <w:rFonts w:cs="Arial" w:hint="cs"/>
          <w:sz w:val="18"/>
          <w:szCs w:val="18"/>
          <w:rtl/>
        </w:rPr>
        <w:t>חנן</w:t>
      </w:r>
      <w:r w:rsidRPr="00C03494">
        <w:rPr>
          <w:rFonts w:cs="Arial"/>
          <w:sz w:val="18"/>
          <w:szCs w:val="18"/>
          <w:rtl/>
        </w:rPr>
        <w:t xml:space="preserve">, </w:t>
      </w:r>
      <w:r w:rsidRPr="00C03494">
        <w:rPr>
          <w:rFonts w:cs="Arial" w:hint="cs"/>
          <w:sz w:val="18"/>
          <w:szCs w:val="18"/>
          <w:rtl/>
        </w:rPr>
        <w:t>כותבין</w:t>
      </w:r>
      <w:r>
        <w:rPr>
          <w:rStyle w:val="a7"/>
          <w:rFonts w:cs="Arial"/>
          <w:sz w:val="18"/>
          <w:szCs w:val="18"/>
          <w:rtl/>
        </w:rPr>
        <w:footnoteReference w:id="1131"/>
      </w:r>
      <w:r w:rsidRPr="00C03494">
        <w:rPr>
          <w:rFonts w:cs="Arial"/>
          <w:sz w:val="18"/>
          <w:szCs w:val="18"/>
          <w:rtl/>
        </w:rPr>
        <w:t xml:space="preserve">, </w:t>
      </w:r>
      <w:r w:rsidRPr="00C03494">
        <w:rPr>
          <w:rFonts w:cs="Arial" w:hint="cs"/>
          <w:sz w:val="18"/>
          <w:szCs w:val="18"/>
          <w:rtl/>
        </w:rPr>
        <w:t>כיוצא</w:t>
      </w:r>
      <w:r w:rsidRPr="00C03494">
        <w:rPr>
          <w:rFonts w:cs="Arial"/>
          <w:sz w:val="18"/>
          <w:szCs w:val="18"/>
          <w:rtl/>
        </w:rPr>
        <w:t xml:space="preserve"> </w:t>
      </w:r>
      <w:r w:rsidRPr="00C03494">
        <w:rPr>
          <w:rFonts w:cs="Arial" w:hint="cs"/>
          <w:sz w:val="18"/>
          <w:szCs w:val="18"/>
          <w:rtl/>
        </w:rPr>
        <w:t>בזה</w:t>
      </w:r>
      <w:r w:rsidRPr="00C03494">
        <w:rPr>
          <w:rFonts w:cs="Arial"/>
          <w:sz w:val="18"/>
          <w:szCs w:val="18"/>
          <w:rtl/>
        </w:rPr>
        <w:t xml:space="preserve">. </w:t>
      </w:r>
    </w:p>
    <w:p w14:paraId="23BD2600" w14:textId="77777777" w:rsidR="00FA2119" w:rsidRDefault="00FA2119" w:rsidP="00FA2119">
      <w:pPr>
        <w:rPr>
          <w:rtl/>
        </w:rPr>
      </w:pPr>
    </w:p>
    <w:p w14:paraId="2A6785F9" w14:textId="77777777" w:rsidR="00FA2119" w:rsidRDefault="00FA2119" w:rsidP="00FA2119">
      <w:pPr>
        <w:pStyle w:val="2"/>
        <w:rPr>
          <w:rtl/>
        </w:rPr>
      </w:pPr>
      <w:r>
        <w:rPr>
          <w:rFonts w:hint="cs"/>
          <w:rtl/>
        </w:rPr>
        <w:t>סעיף</w:t>
      </w:r>
      <w:r>
        <w:rPr>
          <w:rtl/>
        </w:rPr>
        <w:t xml:space="preserve"> </w:t>
      </w:r>
      <w:r>
        <w:rPr>
          <w:rFonts w:hint="cs"/>
          <w:rtl/>
        </w:rPr>
        <w:t>טז: שני שמות, שהשם השני יוצא מהשם העברי.</w:t>
      </w:r>
    </w:p>
    <w:p w14:paraId="608B6F3B" w14:textId="77777777" w:rsidR="00FA2119" w:rsidRPr="00AC381D" w:rsidRDefault="00FA2119" w:rsidP="00FA2119">
      <w:pPr>
        <w:rPr>
          <w:u w:val="single"/>
          <w:rtl/>
        </w:rPr>
      </w:pPr>
      <w:r w:rsidRPr="00AC381D">
        <w:rPr>
          <w:rFonts w:hint="cs"/>
          <w:u w:val="single"/>
          <w:rtl/>
        </w:rPr>
        <w:t>השם השני</w:t>
      </w:r>
      <w:r w:rsidRPr="00AC381D">
        <w:rPr>
          <w:rFonts w:hint="cs"/>
          <w:sz w:val="18"/>
          <w:szCs w:val="18"/>
          <w:u w:val="single"/>
          <w:rtl/>
        </w:rPr>
        <w:t xml:space="preserve"> </w:t>
      </w:r>
      <w:r w:rsidRPr="00AC381D">
        <w:rPr>
          <w:rFonts w:hint="cs"/>
          <w:sz w:val="16"/>
          <w:szCs w:val="16"/>
          <w:u w:val="single"/>
          <w:rtl/>
        </w:rPr>
        <w:t>(לשון לעז)</w:t>
      </w:r>
      <w:r w:rsidRPr="00AC381D">
        <w:rPr>
          <w:rFonts w:hint="cs"/>
          <w:u w:val="single"/>
          <w:rtl/>
        </w:rPr>
        <w:t xml:space="preserve"> יוצא משם העברי:</w:t>
      </w:r>
    </w:p>
    <w:p w14:paraId="6037191A" w14:textId="7A759673" w:rsidR="00FA2119" w:rsidRPr="00097B33" w:rsidRDefault="00FA2119" w:rsidP="00FA2119">
      <w:pPr>
        <w:pStyle w:val="ab"/>
        <w:numPr>
          <w:ilvl w:val="0"/>
          <w:numId w:val="77"/>
        </w:numPr>
        <w:rPr>
          <w:rFonts w:cs="Arial"/>
        </w:rPr>
      </w:pPr>
      <w:r w:rsidRPr="00547B18">
        <w:rPr>
          <w:rFonts w:cs="Arial"/>
          <w:rtl/>
        </w:rPr>
        <w:t xml:space="preserve">מהרי"ק </w:t>
      </w:r>
      <w:r>
        <w:rPr>
          <w:rFonts w:cs="Arial" w:hint="cs"/>
          <w:sz w:val="16"/>
          <w:szCs w:val="16"/>
          <w:rtl/>
        </w:rPr>
        <w:t>(</w:t>
      </w:r>
      <w:r w:rsidRPr="00547B18">
        <w:rPr>
          <w:rFonts w:cs="Arial"/>
          <w:sz w:val="16"/>
          <w:szCs w:val="16"/>
          <w:rtl/>
        </w:rPr>
        <w:t>שורש קסב</w:t>
      </w:r>
      <w:r w:rsidRPr="00547B18">
        <w:rPr>
          <w:rFonts w:cs="Arial" w:hint="cs"/>
          <w:sz w:val="16"/>
          <w:szCs w:val="16"/>
          <w:rtl/>
        </w:rPr>
        <w:t>)</w:t>
      </w:r>
      <w:r>
        <w:rPr>
          <w:rFonts w:cs="Arial" w:hint="cs"/>
          <w:rtl/>
        </w:rPr>
        <w:t xml:space="preserve"> ו</w:t>
      </w:r>
      <w:r w:rsidRPr="00547B18">
        <w:rPr>
          <w:rFonts w:cs="Arial"/>
          <w:rtl/>
        </w:rPr>
        <w:t>קונדריסין</w:t>
      </w:r>
      <w:r w:rsidRPr="001842CD">
        <w:rPr>
          <w:rStyle w:val="a7"/>
          <w:rFonts w:cs="Arial"/>
          <w:rtl/>
        </w:rPr>
        <w:footnoteReference w:id="1132"/>
      </w:r>
      <w:r w:rsidRPr="00547B18">
        <w:rPr>
          <w:rFonts w:cs="Arial"/>
          <w:rtl/>
        </w:rPr>
        <w:t xml:space="preserve"> </w:t>
      </w:r>
      <w:r w:rsidRPr="001842CD">
        <w:rPr>
          <w:rFonts w:cs="Arial"/>
          <w:sz w:val="16"/>
          <w:szCs w:val="16"/>
          <w:rtl/>
        </w:rPr>
        <w:t>(סי' י סעי' י)</w:t>
      </w:r>
      <w:r w:rsidR="00A82951">
        <w:rPr>
          <w:rFonts w:cs="Arial" w:hint="cs"/>
          <w:rtl/>
        </w:rPr>
        <w:t>-</w:t>
      </w:r>
      <w:r>
        <w:rPr>
          <w:rFonts w:cs="Arial" w:hint="cs"/>
          <w:rtl/>
        </w:rPr>
        <w:t xml:space="preserve"> </w:t>
      </w:r>
      <w:r w:rsidRPr="00547B18">
        <w:rPr>
          <w:rFonts w:cs="Arial"/>
          <w:rtl/>
        </w:rPr>
        <w:t>אם השם השני יוצא ממשמעות העברי</w:t>
      </w:r>
      <w:r>
        <w:rPr>
          <w:rFonts w:cs="Arial" w:hint="cs"/>
          <w:rtl/>
        </w:rPr>
        <w:t>,</w:t>
      </w:r>
      <w:r w:rsidRPr="00547B18">
        <w:rPr>
          <w:rFonts w:cs="Arial"/>
          <w:rtl/>
        </w:rPr>
        <w:t xml:space="preserve"> שקורין ליהודה ליאון או ליאונש</w:t>
      </w:r>
      <w:r>
        <w:rPr>
          <w:rFonts w:cs="Arial" w:hint="cs"/>
          <w:rtl/>
        </w:rPr>
        <w:t>,</w:t>
      </w:r>
      <w:r w:rsidRPr="00547B18">
        <w:rPr>
          <w:rFonts w:cs="Arial"/>
          <w:rtl/>
        </w:rPr>
        <w:t xml:space="preserve"> על שם גור אריה יהודה (בראשית מט ט)</w:t>
      </w:r>
      <w:r>
        <w:rPr>
          <w:rFonts w:cs="Arial" w:hint="cs"/>
          <w:rtl/>
        </w:rPr>
        <w:t xml:space="preserve"> </w:t>
      </w:r>
      <w:r w:rsidR="00A82951">
        <w:rPr>
          <w:rFonts w:cs="Arial" w:hint="cs"/>
          <w:rtl/>
        </w:rPr>
        <w:t>-</w:t>
      </w:r>
      <w:r w:rsidRPr="00547B18">
        <w:rPr>
          <w:rFonts w:cs="Arial"/>
          <w:rtl/>
        </w:rPr>
        <w:t xml:space="preserve"> הא ודאי שכותבין גם השם השני וכותבין </w:t>
      </w:r>
      <w:r>
        <w:rPr>
          <w:rFonts w:cs="Arial" w:hint="cs"/>
          <w:rtl/>
        </w:rPr>
        <w:t>'</w:t>
      </w:r>
      <w:r w:rsidRPr="00547B18">
        <w:rPr>
          <w:rFonts w:cs="Arial"/>
          <w:rtl/>
        </w:rPr>
        <w:t>יהודה דמתקרי ליאון</w:t>
      </w:r>
      <w:r>
        <w:rPr>
          <w:rFonts w:cs="Arial" w:hint="cs"/>
          <w:rtl/>
        </w:rPr>
        <w:t>',</w:t>
      </w:r>
      <w:r w:rsidRPr="00547B18">
        <w:rPr>
          <w:rFonts w:cs="Arial"/>
          <w:rtl/>
        </w:rPr>
        <w:t xml:space="preserve"> ולא יכתוב </w:t>
      </w:r>
      <w:r>
        <w:rPr>
          <w:rFonts w:cs="Arial" w:hint="cs"/>
          <w:rtl/>
        </w:rPr>
        <w:t>'</w:t>
      </w:r>
      <w:r w:rsidRPr="00547B18">
        <w:rPr>
          <w:rFonts w:cs="Arial"/>
          <w:rtl/>
        </w:rPr>
        <w:t>המכונה</w:t>
      </w:r>
      <w:r>
        <w:rPr>
          <w:rFonts w:cs="Arial" w:hint="cs"/>
          <w:rtl/>
        </w:rPr>
        <w:t>'.</w:t>
      </w:r>
      <w:r w:rsidRPr="00547B18">
        <w:rPr>
          <w:rFonts w:cs="Arial"/>
          <w:rtl/>
        </w:rPr>
        <w:t xml:space="preserve"> וכל הכותב בזה וכיוצא בו </w:t>
      </w:r>
      <w:r>
        <w:rPr>
          <w:rFonts w:cs="Arial" w:hint="cs"/>
          <w:rtl/>
        </w:rPr>
        <w:t>'</w:t>
      </w:r>
      <w:r w:rsidRPr="00547B18">
        <w:rPr>
          <w:rFonts w:cs="Arial"/>
          <w:rtl/>
        </w:rPr>
        <w:t>המכונה</w:t>
      </w:r>
      <w:r>
        <w:rPr>
          <w:rFonts w:cs="Arial" w:hint="cs"/>
          <w:rtl/>
        </w:rPr>
        <w:t>'</w:t>
      </w:r>
      <w:r w:rsidRPr="00547B18">
        <w:rPr>
          <w:rFonts w:cs="Arial"/>
          <w:rtl/>
        </w:rPr>
        <w:t xml:space="preserve"> אינו אלא טועה</w:t>
      </w:r>
      <w:r>
        <w:rPr>
          <w:rFonts w:cs="Arial" w:hint="cs"/>
          <w:rtl/>
        </w:rPr>
        <w:t>.</w:t>
      </w:r>
      <w:r w:rsidRPr="00547B18">
        <w:rPr>
          <w:rFonts w:cs="Arial"/>
          <w:rtl/>
        </w:rPr>
        <w:t xml:space="preserve"> שלשון כינוי בכל התלמוד (ב"מ נח: ע"ז מה: שבועות לה.) משמע שאינו השם כלל</w:t>
      </w:r>
      <w:r>
        <w:rPr>
          <w:rFonts w:cs="Arial" w:hint="cs"/>
          <w:sz w:val="16"/>
          <w:szCs w:val="16"/>
          <w:rtl/>
        </w:rPr>
        <w:t xml:space="preserve"> (ל' הב"י בשם מהרי"ק)</w:t>
      </w:r>
      <w:r w:rsidRPr="00097B33">
        <w:rPr>
          <w:rFonts w:cs="Arial" w:hint="cs"/>
          <w:rtl/>
        </w:rPr>
        <w:t>.</w:t>
      </w:r>
      <w:r w:rsidRPr="00097B33">
        <w:rPr>
          <w:rFonts w:cs="Arial"/>
          <w:rtl/>
        </w:rPr>
        <w:t xml:space="preserve"> </w:t>
      </w:r>
      <w:r w:rsidRPr="0023756D">
        <w:rPr>
          <w:rFonts w:cs="Arial" w:hint="cs"/>
          <w:color w:val="E36C0A" w:themeColor="accent6" w:themeShade="BF"/>
          <w:rtl/>
        </w:rPr>
        <w:t>(וכ"פ בשו"ע)</w:t>
      </w:r>
    </w:p>
    <w:p w14:paraId="3CCADF26" w14:textId="520663AC" w:rsidR="00FA2119" w:rsidRDefault="00FA2119" w:rsidP="00FA2119">
      <w:pPr>
        <w:pStyle w:val="ab"/>
        <w:numPr>
          <w:ilvl w:val="0"/>
          <w:numId w:val="77"/>
        </w:numPr>
        <w:rPr>
          <w:rFonts w:cs="Arial"/>
        </w:rPr>
      </w:pPr>
      <w:r w:rsidRPr="002E7151">
        <w:rPr>
          <w:rFonts w:cs="Arial"/>
          <w:rtl/>
        </w:rPr>
        <w:t xml:space="preserve">כל בו </w:t>
      </w:r>
      <w:r w:rsidRPr="00EC4377">
        <w:rPr>
          <w:rFonts w:cs="Arial"/>
          <w:sz w:val="16"/>
          <w:szCs w:val="16"/>
          <w:rtl/>
        </w:rPr>
        <w:t xml:space="preserve">(הל' גיטין מו ע"ד) </w:t>
      </w:r>
      <w:r>
        <w:rPr>
          <w:rFonts w:cs="Arial" w:hint="cs"/>
          <w:rtl/>
        </w:rPr>
        <w:t>ר"פ</w:t>
      </w:r>
      <w:r w:rsidRPr="002E7151">
        <w:rPr>
          <w:rFonts w:cs="Arial"/>
          <w:rtl/>
        </w:rPr>
        <w:t xml:space="preserve"> </w:t>
      </w:r>
      <w:r w:rsidRPr="00EC4377">
        <w:rPr>
          <w:rFonts w:cs="Arial"/>
          <w:sz w:val="16"/>
          <w:szCs w:val="16"/>
          <w:rtl/>
        </w:rPr>
        <w:t>(סי' קפד בהגהות אות ו)</w:t>
      </w:r>
      <w:r>
        <w:rPr>
          <w:rFonts w:cs="Arial" w:hint="cs"/>
          <w:rtl/>
        </w:rPr>
        <w:t xml:space="preserve"> </w:t>
      </w:r>
      <w:r w:rsidRPr="002E7151">
        <w:rPr>
          <w:rFonts w:cs="Arial"/>
          <w:rtl/>
        </w:rPr>
        <w:t xml:space="preserve">מרדכי </w:t>
      </w:r>
      <w:r w:rsidRPr="00EC4377">
        <w:rPr>
          <w:rFonts w:cs="Arial"/>
          <w:sz w:val="16"/>
          <w:szCs w:val="16"/>
          <w:rtl/>
        </w:rPr>
        <w:t xml:space="preserve">(סי' תנד) </w:t>
      </w:r>
      <w:r w:rsidRPr="002E7151">
        <w:rPr>
          <w:rFonts w:cs="Arial"/>
          <w:rtl/>
        </w:rPr>
        <w:t>והגה</w:t>
      </w:r>
      <w:r>
        <w:rPr>
          <w:rFonts w:cs="Arial" w:hint="cs"/>
          <w:rtl/>
        </w:rPr>
        <w:t>"</w:t>
      </w:r>
      <w:r w:rsidRPr="002E7151">
        <w:rPr>
          <w:rFonts w:cs="Arial"/>
          <w:rtl/>
        </w:rPr>
        <w:t xml:space="preserve">מ </w:t>
      </w:r>
      <w:r w:rsidRPr="00EC4377">
        <w:rPr>
          <w:rFonts w:cs="Arial" w:hint="cs"/>
          <w:sz w:val="16"/>
          <w:szCs w:val="16"/>
          <w:rtl/>
        </w:rPr>
        <w:t>(</w:t>
      </w:r>
      <w:r w:rsidRPr="00EC4377">
        <w:rPr>
          <w:rFonts w:cs="Arial"/>
          <w:sz w:val="16"/>
          <w:szCs w:val="16"/>
          <w:rtl/>
        </w:rPr>
        <w:t>פ</w:t>
      </w:r>
      <w:r w:rsidRPr="00EC4377">
        <w:rPr>
          <w:rFonts w:cs="Arial" w:hint="cs"/>
          <w:sz w:val="16"/>
          <w:szCs w:val="16"/>
          <w:rtl/>
        </w:rPr>
        <w:t>"ג</w:t>
      </w:r>
      <w:r w:rsidRPr="00EC4377">
        <w:rPr>
          <w:rFonts w:cs="Arial"/>
          <w:sz w:val="16"/>
          <w:szCs w:val="16"/>
          <w:rtl/>
        </w:rPr>
        <w:t xml:space="preserve"> הי"ג ד"ה ואומר)</w:t>
      </w:r>
      <w:r w:rsidR="00A82951">
        <w:rPr>
          <w:rFonts w:cs="Arial" w:hint="cs"/>
          <w:rtl/>
        </w:rPr>
        <w:t>-</w:t>
      </w:r>
      <w:r>
        <w:rPr>
          <w:rFonts w:cs="Arial" w:hint="cs"/>
          <w:rtl/>
        </w:rPr>
        <w:t xml:space="preserve"> </w:t>
      </w:r>
      <w:r w:rsidRPr="002E7151">
        <w:rPr>
          <w:rFonts w:cs="Arial"/>
          <w:rtl/>
        </w:rPr>
        <w:t>רגילין לכתוב דמתקרי כששם השני בלשון עברי</w:t>
      </w:r>
      <w:r>
        <w:rPr>
          <w:rFonts w:cs="Arial" w:hint="cs"/>
          <w:rtl/>
        </w:rPr>
        <w:t>,</w:t>
      </w:r>
      <w:r w:rsidRPr="002E7151">
        <w:rPr>
          <w:rFonts w:cs="Arial"/>
          <w:rtl/>
        </w:rPr>
        <w:t xml:space="preserve"> וכששם השני בלשון לעז כותבין המכונה</w:t>
      </w:r>
      <w:r>
        <w:rPr>
          <w:rFonts w:cs="Arial" w:hint="cs"/>
          <w:sz w:val="16"/>
          <w:szCs w:val="16"/>
          <w:rtl/>
        </w:rPr>
        <w:t xml:space="preserve"> (ל' הדרכ"מ בשמם)</w:t>
      </w:r>
      <w:r>
        <w:rPr>
          <w:rStyle w:val="a7"/>
          <w:rFonts w:cs="Arial"/>
          <w:rtl/>
        </w:rPr>
        <w:footnoteReference w:id="1133"/>
      </w:r>
      <w:r>
        <w:rPr>
          <w:rFonts w:cs="Arial" w:hint="cs"/>
          <w:rtl/>
        </w:rPr>
        <w:t>.</w:t>
      </w:r>
      <w:r w:rsidRPr="00AD02FD">
        <w:rPr>
          <w:rFonts w:cs="Arial" w:hint="cs"/>
          <w:color w:val="00B0F0"/>
          <w:rtl/>
        </w:rPr>
        <w:t xml:space="preserve"> (וכ"</w:t>
      </w:r>
      <w:r>
        <w:rPr>
          <w:rFonts w:cs="Arial" w:hint="cs"/>
          <w:color w:val="00B0F0"/>
          <w:rtl/>
        </w:rPr>
        <w:t>פ</w:t>
      </w:r>
      <w:r w:rsidRPr="00AD02FD">
        <w:rPr>
          <w:rFonts w:cs="Arial" w:hint="cs"/>
          <w:color w:val="00B0F0"/>
          <w:rtl/>
        </w:rPr>
        <w:t xml:space="preserve"> הרמ"א)</w:t>
      </w:r>
    </w:p>
    <w:p w14:paraId="4DDF9370" w14:textId="77777777" w:rsidR="00FA2119" w:rsidRPr="00F0517A" w:rsidRDefault="00FA2119" w:rsidP="00FA2119">
      <w:pPr>
        <w:ind w:left="360"/>
        <w:rPr>
          <w:rFonts w:cs="Arial"/>
          <w:u w:val="dotted"/>
          <w:rtl/>
        </w:rPr>
      </w:pPr>
      <w:r w:rsidRPr="00F0517A">
        <w:rPr>
          <w:rFonts w:cs="Arial" w:hint="cs"/>
          <w:u w:val="dotted"/>
          <w:rtl/>
        </w:rPr>
        <w:t>ומה הדין אם קוראים לו ב</w:t>
      </w:r>
      <w:r w:rsidRPr="00F0517A">
        <w:rPr>
          <w:rFonts w:cs="Arial"/>
          <w:u w:val="dotted"/>
          <w:rtl/>
        </w:rPr>
        <w:t xml:space="preserve">שם השני </w:t>
      </w:r>
      <w:r w:rsidRPr="00F0517A">
        <w:rPr>
          <w:rFonts w:cs="Arial" w:hint="cs"/>
          <w:u w:val="dotted"/>
          <w:rtl/>
        </w:rPr>
        <w:t>הנ"ל</w:t>
      </w:r>
      <w:r w:rsidRPr="00F0517A">
        <w:rPr>
          <w:rFonts w:cs="Arial"/>
          <w:u w:val="dotted"/>
          <w:rtl/>
        </w:rPr>
        <w:t xml:space="preserve"> על שם משפחתו</w:t>
      </w:r>
      <w:r w:rsidRPr="00F0517A">
        <w:rPr>
          <w:rFonts w:cs="Arial" w:hint="cs"/>
          <w:u w:val="dotted"/>
          <w:rtl/>
        </w:rPr>
        <w:t>:</w:t>
      </w:r>
      <w:r w:rsidRPr="00F0517A">
        <w:rPr>
          <w:rFonts w:cs="Arial"/>
          <w:u w:val="dotted"/>
          <w:rtl/>
        </w:rPr>
        <w:t xml:space="preserve"> </w:t>
      </w:r>
    </w:p>
    <w:p w14:paraId="15281957" w14:textId="30C8D38F" w:rsidR="00FA2119" w:rsidRPr="00994B3B" w:rsidRDefault="00FA2119" w:rsidP="00FA2119">
      <w:pPr>
        <w:pStyle w:val="ab"/>
        <w:numPr>
          <w:ilvl w:val="0"/>
          <w:numId w:val="79"/>
        </w:numPr>
        <w:rPr>
          <w:rFonts w:cs="Arial"/>
        </w:rPr>
      </w:pPr>
      <w:r w:rsidRPr="00097B33">
        <w:rPr>
          <w:rFonts w:cs="Arial"/>
          <w:rtl/>
        </w:rPr>
        <w:t xml:space="preserve">מהרי"ק </w:t>
      </w:r>
      <w:r w:rsidRPr="00097B33">
        <w:rPr>
          <w:rFonts w:cs="Arial" w:hint="cs"/>
          <w:sz w:val="16"/>
          <w:szCs w:val="16"/>
          <w:rtl/>
        </w:rPr>
        <w:t>(</w:t>
      </w:r>
      <w:r w:rsidRPr="00097B33">
        <w:rPr>
          <w:rFonts w:cs="Arial"/>
          <w:sz w:val="16"/>
          <w:szCs w:val="16"/>
          <w:rtl/>
        </w:rPr>
        <w:t>שורש ק</w:t>
      </w:r>
      <w:r w:rsidRPr="00097B33">
        <w:rPr>
          <w:rFonts w:cs="Arial" w:hint="cs"/>
          <w:sz w:val="16"/>
          <w:szCs w:val="16"/>
          <w:rtl/>
        </w:rPr>
        <w:t>ו)</w:t>
      </w:r>
      <w:r w:rsidR="00A82951">
        <w:rPr>
          <w:rFonts w:cs="Arial" w:hint="cs"/>
          <w:rtl/>
        </w:rPr>
        <w:t>-</w:t>
      </w:r>
      <w:r w:rsidRPr="00097B33">
        <w:rPr>
          <w:rFonts w:cs="Arial"/>
          <w:rtl/>
        </w:rPr>
        <w:t xml:space="preserve"> </w:t>
      </w:r>
      <w:r>
        <w:rPr>
          <w:rFonts w:cs="Arial" w:hint="cs"/>
          <w:rtl/>
        </w:rPr>
        <w:t xml:space="preserve">אם </w:t>
      </w:r>
      <w:r w:rsidRPr="00994B3B">
        <w:rPr>
          <w:rFonts w:cs="Arial"/>
          <w:rtl/>
        </w:rPr>
        <w:t>השם השני יוצא ממשמעות שמו העברי</w:t>
      </w:r>
      <w:r w:rsidRPr="00994B3B">
        <w:rPr>
          <w:rFonts w:cs="Arial" w:hint="cs"/>
          <w:rtl/>
        </w:rPr>
        <w:t>,</w:t>
      </w:r>
      <w:r w:rsidRPr="00994B3B">
        <w:rPr>
          <w:rFonts w:cs="Arial"/>
          <w:rtl/>
        </w:rPr>
        <w:t xml:space="preserve"> אלא שנקרא כן על שם משפחתו</w:t>
      </w:r>
      <w:r w:rsidRPr="00097B33">
        <w:rPr>
          <w:rFonts w:cs="Arial"/>
          <w:rtl/>
        </w:rPr>
        <w:t xml:space="preserve"> </w:t>
      </w:r>
      <w:r w:rsidR="00A82951">
        <w:rPr>
          <w:rFonts w:cs="Arial" w:hint="cs"/>
          <w:rtl/>
        </w:rPr>
        <w:t>-</w:t>
      </w:r>
      <w:r>
        <w:rPr>
          <w:rFonts w:cs="Arial" w:hint="cs"/>
          <w:rtl/>
        </w:rPr>
        <w:t xml:space="preserve"> </w:t>
      </w:r>
      <w:r w:rsidRPr="00097B33">
        <w:rPr>
          <w:rFonts w:cs="Arial"/>
          <w:rtl/>
        </w:rPr>
        <w:t>יש לכתוב המכונה</w:t>
      </w:r>
      <w:r>
        <w:rPr>
          <w:rFonts w:cs="Arial" w:hint="cs"/>
          <w:rtl/>
        </w:rPr>
        <w:t>,</w:t>
      </w:r>
      <w:r w:rsidRPr="00097B33">
        <w:rPr>
          <w:rFonts w:cs="Arial"/>
          <w:rtl/>
        </w:rPr>
        <w:t xml:space="preserve"> ולא יכתוב דמתקרי</w:t>
      </w:r>
      <w:r>
        <w:rPr>
          <w:rStyle w:val="a7"/>
          <w:rFonts w:cs="Arial"/>
          <w:rtl/>
        </w:rPr>
        <w:footnoteReference w:id="1134"/>
      </w:r>
      <w:r w:rsidRPr="00994B3B">
        <w:rPr>
          <w:rFonts w:cs="Arial" w:hint="cs"/>
          <w:rtl/>
        </w:rPr>
        <w:t>.</w:t>
      </w:r>
      <w:r>
        <w:rPr>
          <w:rFonts w:cs="Arial" w:hint="cs"/>
          <w:rtl/>
        </w:rPr>
        <w:t xml:space="preserve"> </w:t>
      </w:r>
    </w:p>
    <w:p w14:paraId="3E60D66D" w14:textId="77777777" w:rsidR="00FA2119" w:rsidRPr="00EE6B8D" w:rsidRDefault="00FA2119" w:rsidP="00FA2119">
      <w:pPr>
        <w:rPr>
          <w:rFonts w:cs="Arial"/>
          <w:sz w:val="16"/>
          <w:szCs w:val="16"/>
          <w:u w:val="single"/>
        </w:rPr>
      </w:pPr>
      <w:r w:rsidRPr="00EE6B8D">
        <w:rPr>
          <w:rFonts w:cs="Arial" w:hint="cs"/>
          <w:u w:val="single"/>
          <w:rtl/>
        </w:rPr>
        <w:t>כתיבת שם המשפחה בגט:</w:t>
      </w:r>
      <w:r>
        <w:rPr>
          <w:rFonts w:cs="Arial" w:hint="cs"/>
          <w:sz w:val="16"/>
          <w:szCs w:val="16"/>
          <w:rtl/>
        </w:rPr>
        <w:t xml:space="preserve"> </w:t>
      </w:r>
      <w:r w:rsidRPr="00EE6B8D">
        <w:rPr>
          <w:rFonts w:cs="Arial" w:hint="cs"/>
          <w:sz w:val="16"/>
          <w:szCs w:val="16"/>
          <w:rtl/>
        </w:rPr>
        <w:t>(</w:t>
      </w:r>
      <w:r>
        <w:rPr>
          <w:rFonts w:cs="Arial" w:hint="cs"/>
          <w:sz w:val="16"/>
          <w:szCs w:val="16"/>
          <w:rtl/>
        </w:rPr>
        <w:t>דרכ"מ אות יט</w:t>
      </w:r>
      <w:r w:rsidRPr="00EE6B8D">
        <w:rPr>
          <w:rFonts w:cs="Arial" w:hint="cs"/>
          <w:sz w:val="16"/>
          <w:szCs w:val="16"/>
          <w:rtl/>
        </w:rPr>
        <w:t>)</w:t>
      </w:r>
    </w:p>
    <w:p w14:paraId="240EF9CD" w14:textId="6DFD37C9" w:rsidR="00FA2119" w:rsidRDefault="00FA2119" w:rsidP="00FA2119">
      <w:pPr>
        <w:pStyle w:val="ab"/>
        <w:numPr>
          <w:ilvl w:val="0"/>
          <w:numId w:val="79"/>
        </w:numPr>
        <w:rPr>
          <w:rFonts w:cs="Arial"/>
        </w:rPr>
      </w:pPr>
      <w:r w:rsidRPr="002E7151">
        <w:rPr>
          <w:rFonts w:cs="Arial"/>
          <w:rtl/>
        </w:rPr>
        <w:lastRenderedPageBreak/>
        <w:t xml:space="preserve">סדר גיטין </w:t>
      </w:r>
      <w:r w:rsidRPr="00EE6B8D">
        <w:rPr>
          <w:rFonts w:cs="Arial"/>
          <w:sz w:val="16"/>
          <w:szCs w:val="16"/>
          <w:rtl/>
        </w:rPr>
        <w:t>(סי' כט ס"א)</w:t>
      </w:r>
      <w:r w:rsidR="00A82951">
        <w:rPr>
          <w:rFonts w:cs="Arial" w:hint="cs"/>
          <w:rtl/>
        </w:rPr>
        <w:t>-</w:t>
      </w:r>
      <w:r w:rsidRPr="002E7151">
        <w:rPr>
          <w:rFonts w:cs="Arial"/>
          <w:rtl/>
        </w:rPr>
        <w:t xml:space="preserve"> אין לכתוב שם הכינוי של משפחה כלל</w:t>
      </w:r>
      <w:r w:rsidR="000E0558">
        <w:rPr>
          <w:rFonts w:cs="Arial" w:hint="cs"/>
          <w:rtl/>
        </w:rPr>
        <w:t>,</w:t>
      </w:r>
      <w:r w:rsidRPr="002E7151">
        <w:rPr>
          <w:rFonts w:cs="Arial"/>
          <w:rtl/>
        </w:rPr>
        <w:t xml:space="preserve"> כגון גנש קץ שלייכר וכדומה</w:t>
      </w:r>
      <w:r>
        <w:rPr>
          <w:rStyle w:val="a7"/>
          <w:rFonts w:cs="Arial"/>
          <w:rtl/>
        </w:rPr>
        <w:footnoteReference w:id="1135"/>
      </w:r>
      <w:r w:rsidRPr="002E7151">
        <w:rPr>
          <w:rFonts w:cs="Arial"/>
          <w:rtl/>
        </w:rPr>
        <w:t>.</w:t>
      </w:r>
    </w:p>
    <w:p w14:paraId="6D91FE05" w14:textId="77777777" w:rsidR="00FA2119" w:rsidRPr="001842CD" w:rsidRDefault="00FA2119" w:rsidP="00FA2119">
      <w:pPr>
        <w:rPr>
          <w:rFonts w:cs="Arial"/>
          <w:u w:val="single"/>
        </w:rPr>
      </w:pPr>
      <w:r w:rsidRPr="00DF3500">
        <w:rPr>
          <w:rFonts w:cs="Arial" w:hint="cs"/>
          <w:u w:val="single"/>
          <w:rtl/>
        </w:rPr>
        <w:t>ה</w:t>
      </w:r>
      <w:r w:rsidRPr="00DF3500">
        <w:rPr>
          <w:rFonts w:cs="Arial"/>
          <w:u w:val="single"/>
          <w:rtl/>
        </w:rPr>
        <w:t>שם השני בלשון לעז והכל אחד</w:t>
      </w:r>
      <w:r w:rsidRPr="001842CD">
        <w:rPr>
          <w:rFonts w:cs="Arial"/>
          <w:u w:val="single"/>
          <w:rtl/>
        </w:rPr>
        <w:t xml:space="preserve"> </w:t>
      </w:r>
      <w:r w:rsidRPr="007D1AAB">
        <w:rPr>
          <w:rFonts w:cs="Arial" w:hint="cs"/>
          <w:sz w:val="16"/>
          <w:szCs w:val="16"/>
          <w:u w:val="single"/>
          <w:rtl/>
        </w:rPr>
        <w:t>(</w:t>
      </w:r>
      <w:r w:rsidRPr="007D1AAB">
        <w:rPr>
          <w:rFonts w:cs="Arial"/>
          <w:sz w:val="16"/>
          <w:szCs w:val="16"/>
          <w:u w:val="single"/>
          <w:rtl/>
        </w:rPr>
        <w:t>כגון חיים שקורין ביבנ"ט</w:t>
      </w:r>
      <w:r>
        <w:rPr>
          <w:rFonts w:cs="Arial" w:hint="cs"/>
          <w:sz w:val="16"/>
          <w:szCs w:val="16"/>
          <w:u w:val="single"/>
          <w:rtl/>
        </w:rPr>
        <w:t>)</w:t>
      </w:r>
      <w:r>
        <w:rPr>
          <w:rFonts w:cs="Arial" w:hint="cs"/>
          <w:u w:val="single"/>
          <w:rtl/>
        </w:rPr>
        <w:t>:</w:t>
      </w:r>
    </w:p>
    <w:p w14:paraId="14CAE9C6" w14:textId="79369D0C" w:rsidR="00FA2119" w:rsidRDefault="00FA2119" w:rsidP="00FA2119">
      <w:pPr>
        <w:pStyle w:val="ab"/>
        <w:numPr>
          <w:ilvl w:val="0"/>
          <w:numId w:val="79"/>
        </w:numPr>
        <w:rPr>
          <w:rFonts w:cs="Arial"/>
        </w:rPr>
      </w:pPr>
      <w:r>
        <w:rPr>
          <w:rFonts w:cs="Arial" w:hint="cs"/>
          <w:rtl/>
        </w:rPr>
        <w:t>ב"י</w:t>
      </w:r>
      <w:r w:rsidR="00A82951">
        <w:rPr>
          <w:rFonts w:cs="Arial" w:hint="cs"/>
          <w:rtl/>
        </w:rPr>
        <w:t>-</w:t>
      </w:r>
      <w:r>
        <w:rPr>
          <w:rFonts w:cs="Arial" w:hint="cs"/>
          <w:rtl/>
        </w:rPr>
        <w:t xml:space="preserve"> </w:t>
      </w:r>
      <w:r w:rsidRPr="007D1AAB">
        <w:rPr>
          <w:rFonts w:cs="Arial"/>
          <w:rtl/>
        </w:rPr>
        <w:t>אם שם השני בלשון לעז והכל אחד כגון חיים שקורין ביבנ"ט (ר"ל לעבן) כתוב בקונדריסין (שם סעי' י) דלא יכתוב</w:t>
      </w:r>
      <w:r>
        <w:rPr>
          <w:rFonts w:cs="Arial" w:hint="cs"/>
          <w:rtl/>
        </w:rPr>
        <w:t>.</w:t>
      </w:r>
      <w:r w:rsidRPr="007D1AAB">
        <w:rPr>
          <w:rFonts w:cs="Arial"/>
          <w:rtl/>
        </w:rPr>
        <w:t xml:space="preserve"> </w:t>
      </w:r>
      <w:r w:rsidRPr="001842CD">
        <w:rPr>
          <w:rFonts w:cs="Arial"/>
          <w:rtl/>
        </w:rPr>
        <w:t>ודימה אותו ליצחק שקורין איסק</w:t>
      </w:r>
      <w:r>
        <w:rPr>
          <w:rFonts w:cs="Arial" w:hint="cs"/>
          <w:rtl/>
        </w:rPr>
        <w:t>.</w:t>
      </w:r>
      <w:r w:rsidRPr="001842CD">
        <w:rPr>
          <w:rFonts w:cs="Arial"/>
          <w:rtl/>
        </w:rPr>
        <w:t xml:space="preserve"> ומשמע דסבירא ליה דדוקא ביהודה שקורין ליאון כותבין משום דאע</w:t>
      </w:r>
      <w:r>
        <w:rPr>
          <w:rFonts w:cs="Arial" w:hint="cs"/>
          <w:rtl/>
        </w:rPr>
        <w:t>"</w:t>
      </w:r>
      <w:r w:rsidRPr="001842CD">
        <w:rPr>
          <w:rFonts w:cs="Arial"/>
          <w:rtl/>
        </w:rPr>
        <w:t>ג דנקרא ליאון על שם גור אריה יהודה מכל מקום לעז יהודה אינו ליאון</w:t>
      </w:r>
      <w:r>
        <w:rPr>
          <w:rFonts w:cs="Arial" w:hint="cs"/>
          <w:rtl/>
        </w:rPr>
        <w:t>.</w:t>
      </w:r>
      <w:r w:rsidRPr="001842CD">
        <w:rPr>
          <w:rFonts w:cs="Arial"/>
          <w:rtl/>
        </w:rPr>
        <w:t xml:space="preserve"> אבל ביבנ"ט שהוא לעז ממש של חיים לא כתבינן. מיהו אח"כ כתב (סעי' יג) ששמע ששמות המשתנים מעברי ללעז</w:t>
      </w:r>
      <w:r>
        <w:rPr>
          <w:rFonts w:cs="Arial" w:hint="cs"/>
          <w:rtl/>
        </w:rPr>
        <w:t>,</w:t>
      </w:r>
      <w:r w:rsidRPr="001842CD">
        <w:rPr>
          <w:rFonts w:cs="Arial"/>
          <w:rtl/>
        </w:rPr>
        <w:t xml:space="preserve"> אע</w:t>
      </w:r>
      <w:r>
        <w:rPr>
          <w:rFonts w:cs="Arial" w:hint="cs"/>
          <w:rtl/>
        </w:rPr>
        <w:t>"</w:t>
      </w:r>
      <w:r w:rsidRPr="001842CD">
        <w:rPr>
          <w:rFonts w:cs="Arial"/>
          <w:rtl/>
        </w:rPr>
        <w:t xml:space="preserve">פ שהכל אחד כגון אביגיל אביגי </w:t>
      </w:r>
      <w:r w:rsidR="00A82951">
        <w:rPr>
          <w:rFonts w:cs="Arial" w:hint="cs"/>
          <w:rtl/>
        </w:rPr>
        <w:t>-</w:t>
      </w:r>
      <w:r>
        <w:rPr>
          <w:rFonts w:cs="Arial" w:hint="cs"/>
          <w:rtl/>
        </w:rPr>
        <w:t xml:space="preserve"> </w:t>
      </w:r>
      <w:r w:rsidRPr="001842CD">
        <w:rPr>
          <w:rFonts w:cs="Arial"/>
          <w:rtl/>
        </w:rPr>
        <w:t>כתבינן</w:t>
      </w:r>
      <w:r>
        <w:rPr>
          <w:rFonts w:cs="Arial" w:hint="cs"/>
          <w:rtl/>
        </w:rPr>
        <w:t>.</w:t>
      </w:r>
      <w:r w:rsidRPr="001842CD">
        <w:rPr>
          <w:rFonts w:cs="Arial"/>
          <w:rtl/>
        </w:rPr>
        <w:t xml:space="preserve"> וגם בהג</w:t>
      </w:r>
      <w:r>
        <w:rPr>
          <w:rFonts w:cs="Arial" w:hint="cs"/>
          <w:rtl/>
        </w:rPr>
        <w:t>ה"</w:t>
      </w:r>
      <w:r w:rsidRPr="001842CD">
        <w:rPr>
          <w:rFonts w:cs="Arial"/>
          <w:rtl/>
        </w:rPr>
        <w:t>מ פ</w:t>
      </w:r>
      <w:r>
        <w:rPr>
          <w:rFonts w:cs="Arial" w:hint="cs"/>
          <w:rtl/>
        </w:rPr>
        <w:t>"</w:t>
      </w:r>
      <w:r w:rsidRPr="001842CD">
        <w:rPr>
          <w:rFonts w:cs="Arial"/>
          <w:rtl/>
        </w:rPr>
        <w:t>ד (ד</w:t>
      </w:r>
      <w:r>
        <w:rPr>
          <w:rFonts w:cs="Arial" w:hint="cs"/>
          <w:rtl/>
        </w:rPr>
        <w:t>"ק</w:t>
      </w:r>
      <w:r w:rsidRPr="001842CD">
        <w:rPr>
          <w:rFonts w:cs="Arial"/>
          <w:rtl/>
        </w:rPr>
        <w:t xml:space="preserve"> הי"ג ד"ה ויהיה) כתובה סברא זו שהמשתנין מעברי ללעז אע</w:t>
      </w:r>
      <w:r>
        <w:rPr>
          <w:rFonts w:cs="Arial" w:hint="cs"/>
          <w:rtl/>
        </w:rPr>
        <w:t>"</w:t>
      </w:r>
      <w:r w:rsidRPr="001842CD">
        <w:rPr>
          <w:rFonts w:cs="Arial"/>
          <w:rtl/>
        </w:rPr>
        <w:t>פ שהכל אחד כגון אביגיל אביגא כותבין</w:t>
      </w:r>
      <w:r>
        <w:rPr>
          <w:rFonts w:cs="Arial" w:hint="cs"/>
          <w:rtl/>
        </w:rPr>
        <w:t>.</w:t>
      </w:r>
      <w:r w:rsidRPr="001842CD">
        <w:rPr>
          <w:rFonts w:cs="Arial"/>
          <w:rtl/>
        </w:rPr>
        <w:t xml:space="preserve"> ולדעת זו שכותבין שמות המשתנין מעברי ללעז</w:t>
      </w:r>
      <w:r>
        <w:rPr>
          <w:rFonts w:cs="Arial" w:hint="cs"/>
          <w:rtl/>
        </w:rPr>
        <w:t xml:space="preserve"> </w:t>
      </w:r>
      <w:r w:rsidR="00A82951">
        <w:rPr>
          <w:rFonts w:cs="Arial" w:hint="cs"/>
          <w:rtl/>
        </w:rPr>
        <w:t>-</w:t>
      </w:r>
      <w:r w:rsidRPr="001842CD">
        <w:rPr>
          <w:rFonts w:cs="Arial"/>
          <w:rtl/>
        </w:rPr>
        <w:t xml:space="preserve"> כותבין דמתקרי ולא המכונה</w:t>
      </w:r>
      <w:r>
        <w:rPr>
          <w:rFonts w:cs="Arial" w:hint="cs"/>
          <w:rtl/>
        </w:rPr>
        <w:t>,</w:t>
      </w:r>
      <w:r w:rsidRPr="001842CD">
        <w:rPr>
          <w:rFonts w:cs="Arial"/>
          <w:rtl/>
        </w:rPr>
        <w:t xml:space="preserve"> וכדכתב מהרי"ק דמכונה משמע שאינו השם</w:t>
      </w:r>
      <w:r>
        <w:rPr>
          <w:rFonts w:cs="Arial" w:hint="cs"/>
          <w:rtl/>
        </w:rPr>
        <w:t>.</w:t>
      </w:r>
      <w:r w:rsidRPr="001842CD">
        <w:rPr>
          <w:rFonts w:cs="Arial"/>
          <w:rtl/>
        </w:rPr>
        <w:t xml:space="preserve"> וכן נראה גם מדברי הקונדריסים</w:t>
      </w:r>
      <w:r>
        <w:rPr>
          <w:rFonts w:cs="Arial" w:hint="cs"/>
          <w:rtl/>
        </w:rPr>
        <w:t>,</w:t>
      </w:r>
      <w:r w:rsidRPr="001842CD">
        <w:rPr>
          <w:rFonts w:cs="Arial"/>
          <w:rtl/>
        </w:rPr>
        <w:t xml:space="preserve"> שכתבו לסברא ראשונה דלא יכתוב חיים דמתקרי ביבנ"ט</w:t>
      </w:r>
      <w:r>
        <w:rPr>
          <w:rFonts w:cs="Arial" w:hint="cs"/>
          <w:rtl/>
        </w:rPr>
        <w:t>,</w:t>
      </w:r>
      <w:r w:rsidRPr="001842CD">
        <w:rPr>
          <w:rFonts w:cs="Arial"/>
          <w:rtl/>
        </w:rPr>
        <w:t xml:space="preserve"> משמע דאם איתא דהוה כתבינן ליה דמתקרי הוי ליה למיכתב ולא המכונה והיינו כשאינו כינוי המשפחה</w:t>
      </w:r>
      <w:r>
        <w:rPr>
          <w:rFonts w:cs="Arial" w:hint="cs"/>
          <w:rtl/>
        </w:rPr>
        <w:t>,</w:t>
      </w:r>
      <w:r w:rsidRPr="001842CD">
        <w:rPr>
          <w:rFonts w:cs="Arial"/>
          <w:rtl/>
        </w:rPr>
        <w:t xml:space="preserve"> אבל כשהוא כינוי משפחה נ"ל דלכולי עלמא כתבינן ליה וכותבין המכונה כמו שכתבתי למעלה</w:t>
      </w:r>
      <w:r>
        <w:rPr>
          <w:rFonts w:cs="Arial" w:hint="cs"/>
          <w:rtl/>
        </w:rPr>
        <w:t xml:space="preserve">. </w:t>
      </w:r>
      <w:r w:rsidRPr="00D3264D">
        <w:rPr>
          <w:rFonts w:cs="Arial" w:hint="cs"/>
          <w:color w:val="E36C0A" w:themeColor="accent6" w:themeShade="BF"/>
          <w:rtl/>
        </w:rPr>
        <w:t>(וכ"פ בשו"ע</w:t>
      </w:r>
      <w:r w:rsidRPr="00D3264D">
        <w:rPr>
          <w:rFonts w:cs="Arial" w:hint="cs"/>
          <w:color w:val="E36C0A" w:themeColor="accent6" w:themeShade="BF"/>
          <w:sz w:val="16"/>
          <w:szCs w:val="16"/>
          <w:rtl/>
        </w:rPr>
        <w:t xml:space="preserve"> </w:t>
      </w:r>
      <w:r>
        <w:rPr>
          <w:rFonts w:cs="Arial" w:hint="cs"/>
          <w:sz w:val="16"/>
          <w:szCs w:val="16"/>
          <w:rtl/>
        </w:rPr>
        <w:t>[בסע' הבא]</w:t>
      </w:r>
      <w:r w:rsidRPr="00D3264D">
        <w:rPr>
          <w:rFonts w:cs="Arial" w:hint="cs"/>
          <w:color w:val="E36C0A" w:themeColor="accent6" w:themeShade="BF"/>
          <w:rtl/>
        </w:rPr>
        <w:t>)</w:t>
      </w:r>
    </w:p>
    <w:p w14:paraId="47771065" w14:textId="77777777" w:rsidR="00FA2119" w:rsidRPr="00F0517A" w:rsidRDefault="00FA2119" w:rsidP="00FA2119">
      <w:pPr>
        <w:ind w:left="360"/>
        <w:rPr>
          <w:rFonts w:cs="Arial"/>
          <w:u w:val="dotted"/>
          <w:rtl/>
        </w:rPr>
      </w:pPr>
      <w:r w:rsidRPr="00F0517A">
        <w:rPr>
          <w:rFonts w:cs="Arial" w:hint="cs"/>
          <w:u w:val="dotted"/>
          <w:rtl/>
        </w:rPr>
        <w:t>ומה הדין אם בעת הלידה קראו לו חיים, ואח"כ התחילו לקרוא לו ביבנ"ט, ובשם זה חותם ועולה לתורה:</w:t>
      </w:r>
    </w:p>
    <w:p w14:paraId="3DBCC6C3" w14:textId="222B0319" w:rsidR="00FA2119" w:rsidRDefault="00FA2119" w:rsidP="00FA2119">
      <w:pPr>
        <w:pStyle w:val="ab"/>
        <w:numPr>
          <w:ilvl w:val="0"/>
          <w:numId w:val="79"/>
        </w:numPr>
        <w:rPr>
          <w:rFonts w:cs="Arial"/>
        </w:rPr>
      </w:pPr>
      <w:r>
        <w:rPr>
          <w:rFonts w:cs="Arial" w:hint="cs"/>
          <w:rtl/>
        </w:rPr>
        <w:t>ב"י</w:t>
      </w:r>
      <w:r w:rsidR="00A82951">
        <w:rPr>
          <w:rFonts w:cs="Arial" w:hint="cs"/>
          <w:rtl/>
        </w:rPr>
        <w:t>-</w:t>
      </w:r>
      <w:r>
        <w:rPr>
          <w:rFonts w:cs="Arial" w:hint="cs"/>
          <w:rtl/>
        </w:rPr>
        <w:t xml:space="preserve"> </w:t>
      </w:r>
      <w:r w:rsidRPr="001842CD">
        <w:rPr>
          <w:rFonts w:cs="Arial"/>
          <w:rtl/>
        </w:rPr>
        <w:t xml:space="preserve">מי שנקרא בעת לידתו חיים ואח"כ קורין אותו ביבנ"ט ועולה לס"ת בשם ביבנ"ט וחותם בו שטרות ואגרות </w:t>
      </w:r>
      <w:r w:rsidR="00A82951">
        <w:rPr>
          <w:rFonts w:cs="Arial" w:hint="cs"/>
          <w:rtl/>
        </w:rPr>
        <w:t>-</w:t>
      </w:r>
      <w:r>
        <w:rPr>
          <w:rFonts w:cs="Arial" w:hint="cs"/>
          <w:rtl/>
        </w:rPr>
        <w:t xml:space="preserve"> </w:t>
      </w:r>
      <w:r w:rsidRPr="001842CD">
        <w:rPr>
          <w:rFonts w:cs="Arial"/>
          <w:rtl/>
        </w:rPr>
        <w:t>נראה דשם ביבנ"ט עיקר</w:t>
      </w:r>
      <w:r>
        <w:rPr>
          <w:rFonts w:cs="Arial" w:hint="cs"/>
          <w:rtl/>
        </w:rPr>
        <w:t>,</w:t>
      </w:r>
      <w:r w:rsidRPr="001842CD">
        <w:rPr>
          <w:rFonts w:cs="Arial"/>
          <w:rtl/>
        </w:rPr>
        <w:t xml:space="preserve"> וכותבין ביבנ"ט דמתקרי חיים</w:t>
      </w:r>
      <w:r>
        <w:rPr>
          <w:rFonts w:cs="Arial" w:hint="cs"/>
          <w:rtl/>
        </w:rPr>
        <w:t>.</w:t>
      </w:r>
      <w:r w:rsidRPr="001842CD">
        <w:rPr>
          <w:rFonts w:cs="Arial"/>
          <w:rtl/>
        </w:rPr>
        <w:t xml:space="preserve"> ואם אין קורין אותו כלל בשם חיים </w:t>
      </w:r>
      <w:r w:rsidR="00A82951">
        <w:rPr>
          <w:rFonts w:cs="Arial" w:hint="cs"/>
          <w:rtl/>
        </w:rPr>
        <w:t>-</w:t>
      </w:r>
      <w:r>
        <w:rPr>
          <w:rFonts w:cs="Arial" w:hint="cs"/>
          <w:rtl/>
        </w:rPr>
        <w:t xml:space="preserve"> </w:t>
      </w:r>
      <w:r w:rsidRPr="001842CD">
        <w:rPr>
          <w:rFonts w:cs="Arial"/>
          <w:rtl/>
        </w:rPr>
        <w:t>אין כותבין אלא ביבנ"ט לחוד</w:t>
      </w:r>
      <w:r>
        <w:rPr>
          <w:rFonts w:cs="Arial" w:hint="cs"/>
          <w:rtl/>
        </w:rPr>
        <w:t>.</w:t>
      </w:r>
      <w:r w:rsidRPr="001842CD">
        <w:rPr>
          <w:rFonts w:cs="Arial"/>
          <w:rtl/>
        </w:rPr>
        <w:t xml:space="preserve"> ואם כתב ג"כ שם חיים</w:t>
      </w:r>
      <w:r>
        <w:rPr>
          <w:rFonts w:cs="Arial" w:hint="cs"/>
          <w:rtl/>
        </w:rPr>
        <w:t>,</w:t>
      </w:r>
      <w:r w:rsidRPr="001842CD">
        <w:rPr>
          <w:rFonts w:cs="Arial"/>
          <w:rtl/>
        </w:rPr>
        <w:t xml:space="preserve"> משמע מתוך הקונדריסים גבי אשה ששמה רבקה ונשתנה לחנה דאינה מגורשת</w:t>
      </w:r>
      <w:r>
        <w:rPr>
          <w:rFonts w:cs="Arial" w:hint="cs"/>
          <w:rtl/>
        </w:rPr>
        <w:t>.</w:t>
      </w:r>
    </w:p>
    <w:p w14:paraId="0E21F90A" w14:textId="77777777" w:rsidR="00FA2119" w:rsidRPr="00A44CD3" w:rsidRDefault="00FA2119" w:rsidP="00FA2119">
      <w:pPr>
        <w:ind w:left="360"/>
        <w:rPr>
          <w:rFonts w:cs="Arial"/>
          <w:u w:val="dotted"/>
        </w:rPr>
      </w:pPr>
      <w:r w:rsidRPr="00A44CD3">
        <w:rPr>
          <w:rFonts w:cs="Arial" w:hint="cs"/>
          <w:u w:val="dotted"/>
          <w:rtl/>
        </w:rPr>
        <w:t>ומה הדין אם עולה לתורה בשם חיים:</w:t>
      </w:r>
      <w:r w:rsidRPr="00A44CD3">
        <w:rPr>
          <w:rFonts w:cs="Arial"/>
          <w:sz w:val="16"/>
          <w:szCs w:val="16"/>
          <w:rtl/>
        </w:rPr>
        <w:t xml:space="preserve"> (</w:t>
      </w:r>
      <w:r w:rsidRPr="00A44CD3">
        <w:rPr>
          <w:rFonts w:cs="Arial" w:hint="cs"/>
          <w:sz w:val="16"/>
          <w:szCs w:val="16"/>
          <w:rtl/>
        </w:rPr>
        <w:t xml:space="preserve">דרכ"מ אות </w:t>
      </w:r>
      <w:r w:rsidRPr="00A44CD3">
        <w:rPr>
          <w:rFonts w:cs="Arial"/>
          <w:sz w:val="16"/>
          <w:szCs w:val="16"/>
          <w:rtl/>
        </w:rPr>
        <w:t>כב*)</w:t>
      </w:r>
    </w:p>
    <w:p w14:paraId="485BB213" w14:textId="33BEDC37" w:rsidR="00FA2119" w:rsidRDefault="00FA2119" w:rsidP="00FA2119">
      <w:pPr>
        <w:pStyle w:val="ab"/>
        <w:numPr>
          <w:ilvl w:val="0"/>
          <w:numId w:val="79"/>
        </w:numPr>
        <w:rPr>
          <w:rFonts w:cs="Arial"/>
        </w:rPr>
      </w:pPr>
      <w:r w:rsidRPr="00C164D0">
        <w:rPr>
          <w:rFonts w:cs="Arial"/>
          <w:rtl/>
        </w:rPr>
        <w:t xml:space="preserve">סדר גיטין </w:t>
      </w:r>
      <w:r w:rsidRPr="00A44CD3">
        <w:rPr>
          <w:rFonts w:cs="Arial"/>
          <w:sz w:val="16"/>
          <w:szCs w:val="16"/>
          <w:rtl/>
        </w:rPr>
        <w:t>(סי' כ ס"ב)</w:t>
      </w:r>
      <w:r w:rsidR="00A82951">
        <w:rPr>
          <w:rFonts w:cs="Arial" w:hint="cs"/>
          <w:rtl/>
        </w:rPr>
        <w:t>-</w:t>
      </w:r>
      <w:r w:rsidRPr="00C164D0">
        <w:rPr>
          <w:rFonts w:cs="Arial"/>
          <w:rtl/>
        </w:rPr>
        <w:t xml:space="preserve"> השם שעולה בו לספר תורה עיקר</w:t>
      </w:r>
      <w:r>
        <w:rPr>
          <w:rStyle w:val="a7"/>
          <w:rFonts w:cs="Arial"/>
          <w:rtl/>
        </w:rPr>
        <w:footnoteReference w:id="1136"/>
      </w:r>
      <w:r w:rsidRPr="00C164D0">
        <w:rPr>
          <w:rFonts w:cs="Arial"/>
          <w:rtl/>
        </w:rPr>
        <w:t xml:space="preserve"> אע</w:t>
      </w:r>
      <w:r>
        <w:rPr>
          <w:rFonts w:cs="Arial" w:hint="cs"/>
          <w:rtl/>
        </w:rPr>
        <w:t>"</w:t>
      </w:r>
      <w:r w:rsidRPr="00C164D0">
        <w:rPr>
          <w:rFonts w:cs="Arial"/>
          <w:rtl/>
        </w:rPr>
        <w:t>פ שהרוב קורין אותו בשם הכינוי</w:t>
      </w:r>
      <w:r>
        <w:rPr>
          <w:rFonts w:cs="Arial" w:hint="cs"/>
          <w:rtl/>
        </w:rPr>
        <w:t>,</w:t>
      </w:r>
      <w:r w:rsidRPr="00C164D0">
        <w:rPr>
          <w:rFonts w:cs="Arial"/>
          <w:rtl/>
        </w:rPr>
        <w:t xml:space="preserve"> ולכן כותבין חיים שקורין ביבנ"ט אם עולה לספר תורה בשם חיים</w:t>
      </w:r>
      <w:r>
        <w:rPr>
          <w:rFonts w:cs="Arial" w:hint="cs"/>
          <w:rtl/>
        </w:rPr>
        <w:t>.</w:t>
      </w:r>
      <w:r w:rsidRPr="00502CEF">
        <w:rPr>
          <w:rFonts w:cs="Arial" w:hint="cs"/>
          <w:color w:val="00B0F0"/>
          <w:rtl/>
        </w:rPr>
        <w:t xml:space="preserve"> </w:t>
      </w:r>
      <w:r w:rsidRPr="00AD02FD">
        <w:rPr>
          <w:rFonts w:cs="Arial" w:hint="cs"/>
          <w:color w:val="00B0F0"/>
          <w:rtl/>
        </w:rPr>
        <w:t>(וכ"</w:t>
      </w:r>
      <w:r>
        <w:rPr>
          <w:rFonts w:cs="Arial" w:hint="cs"/>
          <w:color w:val="00B0F0"/>
          <w:rtl/>
        </w:rPr>
        <w:t>פ</w:t>
      </w:r>
      <w:r w:rsidRPr="00AD02FD">
        <w:rPr>
          <w:rFonts w:cs="Arial" w:hint="cs"/>
          <w:color w:val="00B0F0"/>
          <w:rtl/>
        </w:rPr>
        <w:t xml:space="preserve"> הרמ"א)</w:t>
      </w:r>
    </w:p>
    <w:p w14:paraId="00CB5AA6" w14:textId="77777777" w:rsidR="00FA2119" w:rsidRPr="00B828C2" w:rsidRDefault="00FA2119" w:rsidP="00FA2119">
      <w:pPr>
        <w:rPr>
          <w:rFonts w:cs="Arial"/>
          <w:u w:val="single"/>
        </w:rPr>
      </w:pPr>
      <w:r w:rsidRPr="00B828C2">
        <w:rPr>
          <w:rFonts w:cs="Arial" w:hint="cs"/>
          <w:u w:val="single"/>
          <w:rtl/>
        </w:rPr>
        <w:t>בעת הלידה קראו ל</w:t>
      </w:r>
      <w:r>
        <w:rPr>
          <w:rFonts w:cs="Arial" w:hint="cs"/>
          <w:u w:val="single"/>
          <w:rtl/>
        </w:rPr>
        <w:t>ו</w:t>
      </w:r>
      <w:r w:rsidRPr="00B828C2">
        <w:rPr>
          <w:rFonts w:cs="Arial" w:hint="cs"/>
          <w:u w:val="single"/>
          <w:rtl/>
        </w:rPr>
        <w:t xml:space="preserve"> שם, ואח"כ קוראים ל</w:t>
      </w:r>
      <w:r>
        <w:rPr>
          <w:rFonts w:cs="Arial" w:hint="cs"/>
          <w:u w:val="single"/>
          <w:rtl/>
        </w:rPr>
        <w:t>ו</w:t>
      </w:r>
      <w:r w:rsidRPr="00B828C2">
        <w:rPr>
          <w:rFonts w:cs="Arial" w:hint="cs"/>
          <w:u w:val="single"/>
          <w:rtl/>
        </w:rPr>
        <w:t xml:space="preserve"> בשם שאינו יוצא מהשם הראשון:</w:t>
      </w:r>
    </w:p>
    <w:p w14:paraId="14613A52" w14:textId="2651FC07" w:rsidR="00FA2119" w:rsidRDefault="00FA2119" w:rsidP="00FA2119">
      <w:pPr>
        <w:pStyle w:val="ab"/>
        <w:numPr>
          <w:ilvl w:val="0"/>
          <w:numId w:val="79"/>
        </w:numPr>
        <w:rPr>
          <w:rFonts w:cs="Arial"/>
        </w:rPr>
      </w:pPr>
      <w:r>
        <w:rPr>
          <w:rFonts w:cs="Arial" w:hint="cs"/>
          <w:rtl/>
        </w:rPr>
        <w:t>ב"י</w:t>
      </w:r>
      <w:r w:rsidR="00A82951">
        <w:rPr>
          <w:rFonts w:cs="Arial" w:hint="cs"/>
          <w:rtl/>
        </w:rPr>
        <w:t>-</w:t>
      </w:r>
      <w:r>
        <w:rPr>
          <w:rFonts w:cs="Arial" w:hint="cs"/>
          <w:rtl/>
        </w:rPr>
        <w:t xml:space="preserve"> </w:t>
      </w:r>
      <w:r w:rsidRPr="001842CD">
        <w:rPr>
          <w:rFonts w:cs="Arial"/>
          <w:rtl/>
        </w:rPr>
        <w:t>אשה שנקרא שמה שמחה בעת הלידה</w:t>
      </w:r>
      <w:r w:rsidR="000E0558">
        <w:rPr>
          <w:rFonts w:cs="Arial" w:hint="cs"/>
          <w:rtl/>
        </w:rPr>
        <w:t>,</w:t>
      </w:r>
      <w:r w:rsidRPr="001842CD">
        <w:rPr>
          <w:rFonts w:cs="Arial"/>
          <w:rtl/>
        </w:rPr>
        <w:t xml:space="preserve"> ואח"כ נקראת אליגריא"ה </w:t>
      </w:r>
      <w:r w:rsidR="00A82951">
        <w:rPr>
          <w:rFonts w:cs="Arial" w:hint="cs"/>
          <w:rtl/>
        </w:rPr>
        <w:t>-</w:t>
      </w:r>
      <w:r>
        <w:rPr>
          <w:rFonts w:cs="Arial" w:hint="cs"/>
          <w:rtl/>
        </w:rPr>
        <w:t xml:space="preserve"> </w:t>
      </w:r>
      <w:r w:rsidRPr="001842CD">
        <w:rPr>
          <w:rFonts w:cs="Arial"/>
          <w:rtl/>
        </w:rPr>
        <w:t>נראה דאזלינן בתר שם דקרו לה רובא ואותו כותבים עיקר ועל האחר כותבין דמתקריא</w:t>
      </w:r>
      <w:r>
        <w:rPr>
          <w:rFonts w:cs="Arial" w:hint="cs"/>
          <w:rtl/>
        </w:rPr>
        <w:t>,</w:t>
      </w:r>
      <w:r w:rsidRPr="001842CD">
        <w:rPr>
          <w:rFonts w:cs="Arial"/>
          <w:rtl/>
        </w:rPr>
        <w:t xml:space="preserve"> כההיא (גיטין לד:) דקרו לה רובא מרים ופורתא שרה</w:t>
      </w:r>
      <w:r>
        <w:rPr>
          <w:rFonts w:cs="Arial" w:hint="cs"/>
          <w:rtl/>
        </w:rPr>
        <w:t>.</w:t>
      </w:r>
      <w:r w:rsidRPr="001842CD">
        <w:rPr>
          <w:rFonts w:cs="Arial"/>
          <w:rtl/>
        </w:rPr>
        <w:t xml:space="preserve"> דכך לי שם שהוא פירוש שם העברי כמו שם אחר</w:t>
      </w:r>
      <w:r>
        <w:rPr>
          <w:rFonts w:cs="Arial" w:hint="cs"/>
          <w:rtl/>
        </w:rPr>
        <w:t>.</w:t>
      </w:r>
      <w:r w:rsidRPr="001842CD">
        <w:rPr>
          <w:rFonts w:cs="Arial"/>
          <w:rtl/>
        </w:rPr>
        <w:t xml:space="preserve"> כנ"ל</w:t>
      </w:r>
      <w:r>
        <w:rPr>
          <w:rStyle w:val="a7"/>
          <w:rFonts w:cs="Arial"/>
          <w:rtl/>
        </w:rPr>
        <w:footnoteReference w:id="1137"/>
      </w:r>
      <w:r>
        <w:rPr>
          <w:rFonts w:cs="Arial" w:hint="cs"/>
          <w:rtl/>
        </w:rPr>
        <w:t>.</w:t>
      </w:r>
    </w:p>
    <w:p w14:paraId="71070F1D" w14:textId="77777777" w:rsidR="00FA2119" w:rsidRPr="00DC704A" w:rsidRDefault="00FA2119" w:rsidP="00FA2119">
      <w:pPr>
        <w:ind w:left="360"/>
        <w:rPr>
          <w:rFonts w:cs="Arial"/>
          <w:u w:val="dotted"/>
        </w:rPr>
      </w:pPr>
      <w:r w:rsidRPr="00DC704A">
        <w:rPr>
          <w:rFonts w:cs="Arial" w:hint="cs"/>
          <w:u w:val="dotted"/>
          <w:rtl/>
        </w:rPr>
        <w:t>ומה הדין אם נשתקע השם הראשון לגמרי</w:t>
      </w:r>
      <w:r>
        <w:rPr>
          <w:rFonts w:cs="Arial" w:hint="cs"/>
          <w:sz w:val="16"/>
          <w:szCs w:val="16"/>
          <w:u w:val="dotted"/>
          <w:rtl/>
        </w:rPr>
        <w:t xml:space="preserve"> (והשם השני לא יוצא מהשם הראשון)</w:t>
      </w:r>
      <w:r w:rsidRPr="00DC704A">
        <w:rPr>
          <w:rFonts w:cs="Arial" w:hint="cs"/>
          <w:u w:val="dotted"/>
          <w:rtl/>
        </w:rPr>
        <w:t>:</w:t>
      </w:r>
    </w:p>
    <w:p w14:paraId="36DBC123" w14:textId="1E5586B1" w:rsidR="00FA2119" w:rsidRDefault="00FA2119" w:rsidP="00FA2119">
      <w:pPr>
        <w:pStyle w:val="ab"/>
        <w:numPr>
          <w:ilvl w:val="0"/>
          <w:numId w:val="79"/>
        </w:numPr>
        <w:rPr>
          <w:rFonts w:cs="Arial"/>
        </w:rPr>
      </w:pPr>
      <w:r w:rsidRPr="007D1AAB">
        <w:rPr>
          <w:rFonts w:cs="Arial"/>
          <w:rtl/>
        </w:rPr>
        <w:t>קונדריסין</w:t>
      </w:r>
      <w:r w:rsidRPr="00072F50">
        <w:rPr>
          <w:rFonts w:cs="Arial"/>
          <w:sz w:val="16"/>
          <w:szCs w:val="16"/>
          <w:rtl/>
        </w:rPr>
        <w:t xml:space="preserve"> (שם</w:t>
      </w:r>
      <w:r w:rsidRPr="00072F50">
        <w:rPr>
          <w:rFonts w:cs="Arial" w:hint="cs"/>
          <w:sz w:val="16"/>
          <w:szCs w:val="16"/>
          <w:rtl/>
        </w:rPr>
        <w:t>, כ</w:t>
      </w:r>
      <w:r>
        <w:rPr>
          <w:rFonts w:cs="Arial" w:hint="cs"/>
          <w:sz w:val="16"/>
          <w:szCs w:val="16"/>
          <w:rtl/>
        </w:rPr>
        <w:t>ן הבין</w:t>
      </w:r>
      <w:r w:rsidRPr="00072F50">
        <w:rPr>
          <w:rFonts w:cs="Arial" w:hint="cs"/>
          <w:sz w:val="16"/>
          <w:szCs w:val="16"/>
          <w:rtl/>
        </w:rPr>
        <w:t xml:space="preserve"> הב"</w:t>
      </w:r>
      <w:r>
        <w:rPr>
          <w:rFonts w:cs="Arial" w:hint="cs"/>
          <w:sz w:val="16"/>
          <w:szCs w:val="16"/>
          <w:rtl/>
        </w:rPr>
        <w:t>י מדבריו</w:t>
      </w:r>
      <w:r w:rsidRPr="00072F50">
        <w:rPr>
          <w:rFonts w:cs="Arial"/>
          <w:sz w:val="16"/>
          <w:szCs w:val="16"/>
          <w:rtl/>
        </w:rPr>
        <w:t>)</w:t>
      </w:r>
      <w:r w:rsidR="00A82951">
        <w:rPr>
          <w:rFonts w:cs="Arial" w:hint="cs"/>
          <w:rtl/>
        </w:rPr>
        <w:t>-</w:t>
      </w:r>
      <w:r>
        <w:rPr>
          <w:rFonts w:cs="Arial" w:hint="cs"/>
          <w:rtl/>
        </w:rPr>
        <w:t xml:space="preserve"> </w:t>
      </w:r>
      <w:r w:rsidRPr="001842CD">
        <w:rPr>
          <w:rFonts w:cs="Arial"/>
          <w:rtl/>
        </w:rPr>
        <w:t>מי שנשתנה שמו והוקבע לו שם שני ונשתקע ממנו שם ראשון</w:t>
      </w:r>
      <w:r>
        <w:rPr>
          <w:rFonts w:cs="Arial" w:hint="cs"/>
          <w:rtl/>
        </w:rPr>
        <w:t xml:space="preserve"> </w:t>
      </w:r>
      <w:r w:rsidR="00A82951">
        <w:rPr>
          <w:rFonts w:cs="Arial" w:hint="cs"/>
          <w:rtl/>
        </w:rPr>
        <w:t>-</w:t>
      </w:r>
      <w:r w:rsidRPr="00072F50">
        <w:rPr>
          <w:rFonts w:cs="Arial"/>
          <w:rtl/>
        </w:rPr>
        <w:t xml:space="preserve"> </w:t>
      </w:r>
      <w:r w:rsidRPr="001842CD">
        <w:rPr>
          <w:rFonts w:cs="Arial"/>
          <w:rtl/>
        </w:rPr>
        <w:t>יכתוב שני גיטין</w:t>
      </w:r>
      <w:r w:rsidR="000E0558">
        <w:rPr>
          <w:rFonts w:cs="Arial" w:hint="cs"/>
          <w:rtl/>
        </w:rPr>
        <w:t>,</w:t>
      </w:r>
      <w:r w:rsidRPr="001842CD">
        <w:rPr>
          <w:rFonts w:cs="Arial"/>
          <w:rtl/>
        </w:rPr>
        <w:t xml:space="preserve"> אחד בשם ראשון ואחד בשם שני</w:t>
      </w:r>
      <w:r w:rsidR="000E0558">
        <w:rPr>
          <w:rFonts w:cs="Arial" w:hint="cs"/>
          <w:rtl/>
        </w:rPr>
        <w:t>,</w:t>
      </w:r>
      <w:r w:rsidRPr="001842CD">
        <w:rPr>
          <w:rFonts w:cs="Arial"/>
          <w:rtl/>
        </w:rPr>
        <w:t xml:space="preserve"> ויתן שניהם יחד</w:t>
      </w:r>
      <w:r>
        <w:rPr>
          <w:rStyle w:val="a7"/>
          <w:rFonts w:cs="Arial"/>
          <w:rtl/>
        </w:rPr>
        <w:footnoteReference w:id="1138"/>
      </w:r>
      <w:r>
        <w:rPr>
          <w:rFonts w:cs="Arial" w:hint="cs"/>
          <w:sz w:val="16"/>
          <w:szCs w:val="16"/>
          <w:rtl/>
        </w:rPr>
        <w:t xml:space="preserve"> (ל' הב"י בשמו)</w:t>
      </w:r>
      <w:r w:rsidRPr="001842CD">
        <w:rPr>
          <w:rFonts w:cs="Arial"/>
          <w:rtl/>
        </w:rPr>
        <w:t>.</w:t>
      </w:r>
    </w:p>
    <w:p w14:paraId="278D25AC" w14:textId="061197D9" w:rsidR="00FA2119" w:rsidRDefault="00FA2119" w:rsidP="00FA2119">
      <w:pPr>
        <w:pStyle w:val="ab"/>
        <w:numPr>
          <w:ilvl w:val="0"/>
          <w:numId w:val="79"/>
        </w:numPr>
        <w:rPr>
          <w:rFonts w:cs="Arial"/>
        </w:rPr>
      </w:pPr>
      <w:r w:rsidRPr="001842CD">
        <w:rPr>
          <w:rFonts w:cs="Arial"/>
          <w:rtl/>
        </w:rPr>
        <w:t xml:space="preserve">מהרי"ק </w:t>
      </w:r>
      <w:r w:rsidRPr="00072F50">
        <w:rPr>
          <w:rFonts w:cs="Arial" w:hint="cs"/>
          <w:sz w:val="16"/>
          <w:szCs w:val="16"/>
          <w:rtl/>
        </w:rPr>
        <w:t>(</w:t>
      </w:r>
      <w:r w:rsidRPr="00072F50">
        <w:rPr>
          <w:rFonts w:cs="Arial"/>
          <w:sz w:val="16"/>
          <w:szCs w:val="16"/>
          <w:rtl/>
        </w:rPr>
        <w:t>שורש פו</w:t>
      </w:r>
      <w:r>
        <w:rPr>
          <w:rFonts w:cs="Arial" w:hint="cs"/>
          <w:sz w:val="16"/>
          <w:szCs w:val="16"/>
          <w:rtl/>
        </w:rPr>
        <w:t>, כן כתב הב"י שנראה קצת מדבריו</w:t>
      </w:r>
      <w:r w:rsidRPr="00072F50">
        <w:rPr>
          <w:rFonts w:cs="Arial" w:hint="cs"/>
          <w:sz w:val="16"/>
          <w:szCs w:val="16"/>
          <w:rtl/>
        </w:rPr>
        <w:t>)</w:t>
      </w:r>
      <w:r w:rsidR="00A82951">
        <w:rPr>
          <w:rFonts w:cs="Arial" w:hint="cs"/>
          <w:rtl/>
        </w:rPr>
        <w:t>-</w:t>
      </w:r>
      <w:r w:rsidRPr="001842CD">
        <w:rPr>
          <w:rFonts w:cs="Arial"/>
          <w:rtl/>
        </w:rPr>
        <w:t xml:space="preserve"> אע"פ שאינו ניכר כלל בשם ראשון כותבים שם ראשון ועל שם שני כותבים דמתקרי</w:t>
      </w:r>
      <w:r>
        <w:rPr>
          <w:rFonts w:cs="Arial" w:hint="cs"/>
          <w:rtl/>
        </w:rPr>
        <w:t>.</w:t>
      </w:r>
      <w:r w:rsidRPr="001842CD">
        <w:rPr>
          <w:rFonts w:cs="Arial"/>
          <w:rtl/>
        </w:rPr>
        <w:t xml:space="preserve"> ואם אינו שם אלא כינוי כותבין המכונה </w:t>
      </w:r>
      <w:r w:rsidRPr="00072F50">
        <w:rPr>
          <w:rFonts w:cs="Arial" w:hint="cs"/>
          <w:sz w:val="16"/>
          <w:szCs w:val="16"/>
          <w:rtl/>
        </w:rPr>
        <w:t>(</w:t>
      </w:r>
      <w:r w:rsidRPr="00072F50">
        <w:rPr>
          <w:rFonts w:cs="Arial"/>
          <w:sz w:val="16"/>
          <w:szCs w:val="16"/>
          <w:rtl/>
        </w:rPr>
        <w:t>ע"פ מה שנתבאר למעלה</w:t>
      </w:r>
      <w:r>
        <w:rPr>
          <w:rFonts w:cs="Arial" w:hint="cs"/>
          <w:sz w:val="16"/>
          <w:szCs w:val="16"/>
          <w:rtl/>
        </w:rPr>
        <w:t>)</w:t>
      </w:r>
      <w:r>
        <w:rPr>
          <w:rFonts w:cs="Arial" w:hint="cs"/>
          <w:rtl/>
        </w:rPr>
        <w:t>.</w:t>
      </w:r>
      <w:r w:rsidRPr="001842CD">
        <w:rPr>
          <w:rFonts w:cs="Arial"/>
          <w:rtl/>
        </w:rPr>
        <w:t xml:space="preserve"> </w:t>
      </w:r>
    </w:p>
    <w:p w14:paraId="6CEAF5AC" w14:textId="7562C47A" w:rsidR="00FA2119" w:rsidRPr="00F0517A" w:rsidRDefault="00FA2119" w:rsidP="00FA2119">
      <w:pPr>
        <w:pStyle w:val="ab"/>
        <w:numPr>
          <w:ilvl w:val="1"/>
          <w:numId w:val="79"/>
        </w:numPr>
        <w:rPr>
          <w:rFonts w:cs="Arial"/>
        </w:rPr>
      </w:pPr>
      <w:r>
        <w:rPr>
          <w:rFonts w:cs="Arial" w:hint="cs"/>
          <w:rtl/>
        </w:rPr>
        <w:lastRenderedPageBreak/>
        <w:t>ב"י</w:t>
      </w:r>
      <w:r w:rsidR="00A82951">
        <w:rPr>
          <w:rFonts w:cs="Arial" w:hint="cs"/>
          <w:rtl/>
        </w:rPr>
        <w:t>-</w:t>
      </w:r>
      <w:r>
        <w:rPr>
          <w:rFonts w:cs="Arial" w:hint="cs"/>
          <w:rtl/>
        </w:rPr>
        <w:t xml:space="preserve"> </w:t>
      </w:r>
      <w:r w:rsidRPr="001842CD">
        <w:rPr>
          <w:rFonts w:cs="Arial"/>
          <w:rtl/>
        </w:rPr>
        <w:t>מיהו כל הני מילי לכתחלה</w:t>
      </w:r>
      <w:r w:rsidR="000E0558">
        <w:rPr>
          <w:rFonts w:cs="Arial" w:hint="cs"/>
          <w:rtl/>
        </w:rPr>
        <w:t>,</w:t>
      </w:r>
      <w:r w:rsidRPr="001842CD">
        <w:rPr>
          <w:rFonts w:cs="Arial"/>
          <w:rtl/>
        </w:rPr>
        <w:t xml:space="preserve"> אבל בדיעבד אם לא כתב אלא שם המובהק </w:t>
      </w:r>
      <w:r w:rsidR="000E0558">
        <w:rPr>
          <w:rFonts w:cs="Arial" w:hint="cs"/>
          <w:rtl/>
        </w:rPr>
        <w:t xml:space="preserve">- </w:t>
      </w:r>
      <w:r w:rsidRPr="001842CD">
        <w:rPr>
          <w:rFonts w:cs="Arial"/>
          <w:rtl/>
        </w:rPr>
        <w:t>כשר</w:t>
      </w:r>
      <w:r>
        <w:rPr>
          <w:rStyle w:val="a7"/>
          <w:rFonts w:cs="Arial"/>
          <w:rtl/>
        </w:rPr>
        <w:footnoteReference w:id="1139"/>
      </w:r>
      <w:r>
        <w:rPr>
          <w:rFonts w:cs="Arial" w:hint="cs"/>
          <w:rtl/>
        </w:rPr>
        <w:t>,</w:t>
      </w:r>
      <w:r w:rsidRPr="001842CD">
        <w:rPr>
          <w:rFonts w:cs="Arial"/>
          <w:rtl/>
        </w:rPr>
        <w:t xml:space="preserve"> דלא גרע מחניכתו המובהק שכתבו הפוסקים שאם לא כתב אלא היא הגט כשר</w:t>
      </w:r>
      <w:r>
        <w:rPr>
          <w:rFonts w:cs="Arial" w:hint="cs"/>
          <w:rtl/>
        </w:rPr>
        <w:t>.</w:t>
      </w:r>
    </w:p>
    <w:p w14:paraId="0CDFBE8D" w14:textId="3E3B2D85" w:rsidR="00FA2119" w:rsidRPr="00A561BD" w:rsidRDefault="00FA2119" w:rsidP="00FA2119">
      <w:pPr>
        <w:rPr>
          <w:rFonts w:cs="Arial"/>
          <w:u w:val="single"/>
        </w:rPr>
      </w:pPr>
      <w:r w:rsidRPr="00A561BD">
        <w:rPr>
          <w:rFonts w:cs="Arial" w:hint="cs"/>
          <w:u w:val="single"/>
          <w:rtl/>
        </w:rPr>
        <w:t>משומד שחזר בתשובה</w:t>
      </w:r>
      <w:r>
        <w:rPr>
          <w:rFonts w:cs="Arial" w:hint="cs"/>
          <w:u w:val="single"/>
          <w:rtl/>
        </w:rPr>
        <w:t>. כתיבת כינוי שהוא גנאי</w:t>
      </w:r>
      <w:r w:rsidRPr="00A561BD">
        <w:rPr>
          <w:rFonts w:cs="Arial" w:hint="cs"/>
          <w:u w:val="single"/>
          <w:rtl/>
        </w:rPr>
        <w:t>:</w:t>
      </w:r>
      <w:r w:rsidRPr="00AF4275">
        <w:rPr>
          <w:rFonts w:cs="Arial" w:hint="cs"/>
          <w:sz w:val="16"/>
          <w:szCs w:val="16"/>
          <w:rtl/>
        </w:rPr>
        <w:t xml:space="preserve"> </w:t>
      </w:r>
      <w:r w:rsidRPr="00A561BD">
        <w:rPr>
          <w:rFonts w:cs="Arial" w:hint="cs"/>
          <w:sz w:val="16"/>
          <w:szCs w:val="16"/>
          <w:rtl/>
        </w:rPr>
        <w:t>(</w:t>
      </w:r>
      <w:r>
        <w:rPr>
          <w:rFonts w:cs="Arial" w:hint="cs"/>
          <w:sz w:val="16"/>
          <w:szCs w:val="16"/>
          <w:rtl/>
        </w:rPr>
        <w:t xml:space="preserve">דרכ"מ </w:t>
      </w:r>
      <w:r w:rsidRPr="00A561BD">
        <w:rPr>
          <w:rFonts w:cs="Arial" w:hint="cs"/>
          <w:sz w:val="16"/>
          <w:szCs w:val="16"/>
          <w:rtl/>
        </w:rPr>
        <w:t>אות כב)</w:t>
      </w:r>
    </w:p>
    <w:p w14:paraId="7E9DCC75" w14:textId="7FA09132" w:rsidR="00FA2119" w:rsidRDefault="00FA2119" w:rsidP="00FA2119">
      <w:pPr>
        <w:pStyle w:val="ab"/>
        <w:numPr>
          <w:ilvl w:val="0"/>
          <w:numId w:val="79"/>
        </w:numPr>
        <w:rPr>
          <w:rFonts w:cs="Arial"/>
        </w:rPr>
      </w:pPr>
      <w:r>
        <w:rPr>
          <w:rFonts w:cs="Arial" w:hint="cs"/>
          <w:rtl/>
        </w:rPr>
        <w:t xml:space="preserve">דרכ"מ </w:t>
      </w:r>
      <w:r w:rsidRPr="00A561BD">
        <w:rPr>
          <w:rFonts w:cs="Arial" w:hint="cs"/>
          <w:sz w:val="16"/>
          <w:szCs w:val="16"/>
          <w:rtl/>
        </w:rPr>
        <w:t>(אות כב)</w:t>
      </w:r>
      <w:r w:rsidR="00A82951">
        <w:rPr>
          <w:rFonts w:cs="Arial" w:hint="cs"/>
          <w:rtl/>
        </w:rPr>
        <w:t>-</w:t>
      </w:r>
      <w:r>
        <w:rPr>
          <w:rFonts w:cs="Arial" w:hint="cs"/>
          <w:rtl/>
        </w:rPr>
        <w:t xml:space="preserve"> </w:t>
      </w:r>
      <w:r w:rsidRPr="00C164D0">
        <w:rPr>
          <w:rFonts w:cs="Arial"/>
          <w:rtl/>
        </w:rPr>
        <w:t>מצאתי כתוב בתיקון בסדר גיטין ישן דמשומד שעשה תשובה שבא לגרש אין לכתוב בו כלל כל שום וחניכא כמו שכותבין לשאר משומדים</w:t>
      </w:r>
      <w:r w:rsidR="0014675E">
        <w:rPr>
          <w:rFonts w:cs="Arial" w:hint="cs"/>
          <w:rtl/>
        </w:rPr>
        <w:t>,</w:t>
      </w:r>
      <w:r w:rsidRPr="00C164D0">
        <w:rPr>
          <w:rFonts w:cs="Arial"/>
          <w:rtl/>
        </w:rPr>
        <w:t xml:space="preserve"> דאילו כתבו הוה כאילו אומרים לו זכור מעשיך הראשונים עכ"ל. ונראה שמזה למדו שלא לכתוב בגט שום כינוי שהוא גנאי ובושה למתכנה בו</w:t>
      </w:r>
      <w:r w:rsidR="0014675E">
        <w:rPr>
          <w:rFonts w:cs="Arial" w:hint="cs"/>
          <w:rtl/>
        </w:rPr>
        <w:t>,</w:t>
      </w:r>
      <w:r w:rsidRPr="00C164D0">
        <w:rPr>
          <w:rFonts w:cs="Arial"/>
          <w:rtl/>
        </w:rPr>
        <w:t xml:space="preserve"> משום דאית ביה משום לא תונו</w:t>
      </w:r>
      <w:r w:rsidR="0014675E">
        <w:rPr>
          <w:rFonts w:cs="Arial" w:hint="cs"/>
          <w:rtl/>
        </w:rPr>
        <w:t>.</w:t>
      </w:r>
      <w:r w:rsidRPr="00C164D0">
        <w:rPr>
          <w:rFonts w:cs="Arial"/>
          <w:rtl/>
        </w:rPr>
        <w:t xml:space="preserve"> ועוד דאין דרך לקרותו בכינוי זה לבד בלא עיקר שמו. כן נראה לי. אמנם בסדר גיטין אחר מצאתי שצריך לכתוב כל שום אפילו היה משומד בילדותו</w:t>
      </w:r>
      <w:r>
        <w:rPr>
          <w:rFonts w:cs="Arial" w:hint="cs"/>
          <w:rtl/>
        </w:rPr>
        <w:t>,</w:t>
      </w:r>
      <w:r w:rsidRPr="00C164D0">
        <w:rPr>
          <w:rFonts w:cs="Arial"/>
          <w:rtl/>
        </w:rPr>
        <w:t xml:space="preserve"> והביא מעשה בזה וכתב שכן הסכימו מהרד"כ ומהרא"ף. ובתשובת מוהר"ם פאדו"ה </w:t>
      </w:r>
      <w:r>
        <w:rPr>
          <w:rFonts w:cs="Arial" w:hint="cs"/>
          <w:rtl/>
        </w:rPr>
        <w:t>(</w:t>
      </w:r>
      <w:r w:rsidRPr="00C164D0">
        <w:rPr>
          <w:rFonts w:cs="Arial"/>
          <w:rtl/>
        </w:rPr>
        <w:t>סי</w:t>
      </w:r>
      <w:r>
        <w:rPr>
          <w:rFonts w:cs="Arial" w:hint="cs"/>
          <w:rtl/>
        </w:rPr>
        <w:t>'</w:t>
      </w:r>
      <w:r w:rsidRPr="00C164D0">
        <w:rPr>
          <w:rFonts w:cs="Arial"/>
          <w:rtl/>
        </w:rPr>
        <w:t xml:space="preserve"> לה</w:t>
      </w:r>
      <w:r>
        <w:rPr>
          <w:rFonts w:cs="Arial" w:hint="cs"/>
          <w:rtl/>
        </w:rPr>
        <w:t>)</w:t>
      </w:r>
      <w:r w:rsidRPr="00C164D0">
        <w:rPr>
          <w:rFonts w:cs="Arial"/>
          <w:rtl/>
        </w:rPr>
        <w:t xml:space="preserve"> כתב בשם הרבה גדולים דאין לכתוב שם דגיות מאחר שעשה תשובה ולא כל שום וחניכא</w:t>
      </w:r>
      <w:r>
        <w:rPr>
          <w:rFonts w:cs="Arial" w:hint="cs"/>
          <w:rtl/>
        </w:rPr>
        <w:t>,</w:t>
      </w:r>
      <w:r w:rsidRPr="00C164D0">
        <w:rPr>
          <w:rFonts w:cs="Arial"/>
          <w:rtl/>
        </w:rPr>
        <w:t xml:space="preserve"> ועיי"ש שהאריך בזה. ובסדר גיטין שלנו </w:t>
      </w:r>
      <w:r>
        <w:rPr>
          <w:rFonts w:cs="Arial" w:hint="cs"/>
          <w:rtl/>
        </w:rPr>
        <w:t>(</w:t>
      </w:r>
      <w:r w:rsidRPr="00C164D0">
        <w:rPr>
          <w:rFonts w:cs="Arial"/>
          <w:rtl/>
        </w:rPr>
        <w:t>סי</w:t>
      </w:r>
      <w:r>
        <w:rPr>
          <w:rFonts w:cs="Arial" w:hint="cs"/>
          <w:rtl/>
        </w:rPr>
        <w:t>'</w:t>
      </w:r>
      <w:r w:rsidRPr="00C164D0">
        <w:rPr>
          <w:rFonts w:cs="Arial"/>
          <w:rtl/>
        </w:rPr>
        <w:t xml:space="preserve"> לד ס"ב והגהה ב) כתב מעשה באשה אחת ששמה אסתר ונשתמדה וחזרה</w:t>
      </w:r>
      <w:r>
        <w:rPr>
          <w:rFonts w:cs="Arial" w:hint="cs"/>
          <w:rtl/>
        </w:rPr>
        <w:t>,</w:t>
      </w:r>
      <w:r w:rsidRPr="00C164D0">
        <w:rPr>
          <w:rFonts w:cs="Arial"/>
          <w:rtl/>
        </w:rPr>
        <w:t xml:space="preserve"> וכדי להתנכר קראה שמה פעסליין</w:t>
      </w:r>
      <w:r>
        <w:rPr>
          <w:rFonts w:cs="Arial" w:hint="cs"/>
          <w:rtl/>
        </w:rPr>
        <w:t>.</w:t>
      </w:r>
      <w:r w:rsidRPr="00C164D0">
        <w:rPr>
          <w:rFonts w:cs="Arial"/>
          <w:rtl/>
        </w:rPr>
        <w:t xml:space="preserve"> ומהרי"ו נתן לה גט וכתב פעסליין אסתר</w:t>
      </w:r>
      <w:r>
        <w:rPr>
          <w:rFonts w:cs="Arial" w:hint="cs"/>
          <w:rtl/>
        </w:rPr>
        <w:t>,</w:t>
      </w:r>
      <w:r w:rsidRPr="00C164D0">
        <w:rPr>
          <w:rFonts w:cs="Arial"/>
          <w:rtl/>
        </w:rPr>
        <w:t xml:space="preserve"> הואיל ולא נשתנה משום חולי אלא לקחה לעצמה שם אחר והורגלה בו בפי כל לכן הקדימו ג"כ אף כי הוא אשכנזי</w:t>
      </w:r>
      <w:r>
        <w:rPr>
          <w:rFonts w:cs="Arial" w:hint="cs"/>
          <w:rtl/>
        </w:rPr>
        <w:t>.</w:t>
      </w:r>
      <w:r w:rsidRPr="00C164D0">
        <w:rPr>
          <w:rFonts w:cs="Arial"/>
          <w:rtl/>
        </w:rPr>
        <w:t xml:space="preserve"> וכן עשה מהר"י מולין מעשה בכיוצא בזה והסכימו עמו שאר גדולים. </w:t>
      </w:r>
      <w:r w:rsidRPr="00AD02FD">
        <w:rPr>
          <w:rFonts w:cs="Arial" w:hint="cs"/>
          <w:color w:val="00B0F0"/>
          <w:rtl/>
        </w:rPr>
        <w:t>(וכ"</w:t>
      </w:r>
      <w:r>
        <w:rPr>
          <w:rFonts w:cs="Arial" w:hint="cs"/>
          <w:color w:val="00B0F0"/>
          <w:rtl/>
        </w:rPr>
        <w:t>פ</w:t>
      </w:r>
      <w:r w:rsidRPr="00AD02FD">
        <w:rPr>
          <w:rFonts w:cs="Arial" w:hint="cs"/>
          <w:color w:val="00B0F0"/>
          <w:rtl/>
        </w:rPr>
        <w:t xml:space="preserve"> הרמ"א)</w:t>
      </w:r>
    </w:p>
    <w:p w14:paraId="06B9AF46" w14:textId="77777777" w:rsidR="00FA2119" w:rsidRPr="00AF4275" w:rsidRDefault="00FA2119" w:rsidP="00FA2119">
      <w:pPr>
        <w:rPr>
          <w:rFonts w:cs="Arial"/>
          <w:u w:val="single"/>
        </w:rPr>
      </w:pPr>
      <w:r w:rsidRPr="00AF4275">
        <w:rPr>
          <w:rFonts w:cs="Arial" w:hint="cs"/>
          <w:u w:val="single"/>
          <w:rtl/>
        </w:rPr>
        <w:t>מי שיש לו שם כינוי אבל לעולם אין קוראים לו בכינוי לבד:</w:t>
      </w:r>
      <w:r w:rsidRPr="00AF4275">
        <w:rPr>
          <w:rFonts w:cs="Arial" w:hint="cs"/>
          <w:sz w:val="16"/>
          <w:szCs w:val="16"/>
          <w:rtl/>
        </w:rPr>
        <w:t xml:space="preserve"> </w:t>
      </w:r>
      <w:r w:rsidRPr="00A561BD">
        <w:rPr>
          <w:rFonts w:cs="Arial" w:hint="cs"/>
          <w:sz w:val="16"/>
          <w:szCs w:val="16"/>
          <w:rtl/>
        </w:rPr>
        <w:t>(</w:t>
      </w:r>
      <w:r>
        <w:rPr>
          <w:rFonts w:cs="Arial" w:hint="cs"/>
          <w:sz w:val="16"/>
          <w:szCs w:val="16"/>
          <w:rtl/>
        </w:rPr>
        <w:t xml:space="preserve">דרכ"מ </w:t>
      </w:r>
      <w:r w:rsidRPr="00A561BD">
        <w:rPr>
          <w:rFonts w:cs="Arial" w:hint="cs"/>
          <w:sz w:val="16"/>
          <w:szCs w:val="16"/>
          <w:rtl/>
        </w:rPr>
        <w:t>אות כב)</w:t>
      </w:r>
    </w:p>
    <w:p w14:paraId="1C85D331" w14:textId="3377BA5B" w:rsidR="00FA2119" w:rsidRDefault="00FA2119" w:rsidP="00FA2119">
      <w:pPr>
        <w:pStyle w:val="ab"/>
        <w:numPr>
          <w:ilvl w:val="0"/>
          <w:numId w:val="79"/>
        </w:numPr>
        <w:rPr>
          <w:rFonts w:cs="Arial"/>
        </w:rPr>
      </w:pPr>
      <w:r>
        <w:rPr>
          <w:rFonts w:cs="Arial" w:hint="cs"/>
          <w:rtl/>
        </w:rPr>
        <w:t>תרוה"ד</w:t>
      </w:r>
      <w:r w:rsidRPr="00AF4275">
        <w:rPr>
          <w:rFonts w:cs="Arial" w:hint="cs"/>
          <w:sz w:val="16"/>
          <w:szCs w:val="16"/>
          <w:rtl/>
        </w:rPr>
        <w:t xml:space="preserve"> (סי' רלה)</w:t>
      </w:r>
      <w:r w:rsidR="00A82951">
        <w:rPr>
          <w:rFonts w:cs="Arial" w:hint="cs"/>
          <w:rtl/>
        </w:rPr>
        <w:t>-</w:t>
      </w:r>
      <w:r w:rsidRPr="00C164D0">
        <w:rPr>
          <w:rFonts w:cs="Arial"/>
          <w:rtl/>
        </w:rPr>
        <w:t xml:space="preserve"> מי ששמו שמעון בויך או כיוצא בזה</w:t>
      </w:r>
      <w:r>
        <w:rPr>
          <w:rFonts w:cs="Arial" w:hint="cs"/>
          <w:rtl/>
        </w:rPr>
        <w:t>,</w:t>
      </w:r>
      <w:r w:rsidRPr="00C164D0">
        <w:rPr>
          <w:rFonts w:cs="Arial"/>
          <w:rtl/>
        </w:rPr>
        <w:t xml:space="preserve"> דיש לו שם כינוי אבל אין קוראין אותו לעולם בכינוי לבד</w:t>
      </w:r>
      <w:r>
        <w:rPr>
          <w:rFonts w:cs="Arial" w:hint="cs"/>
          <w:rtl/>
        </w:rPr>
        <w:t xml:space="preserve"> </w:t>
      </w:r>
      <w:r w:rsidR="00A82951">
        <w:rPr>
          <w:rFonts w:cs="Arial" w:hint="cs"/>
          <w:rtl/>
        </w:rPr>
        <w:t>-</w:t>
      </w:r>
      <w:r w:rsidRPr="00C164D0">
        <w:rPr>
          <w:rFonts w:cs="Arial"/>
          <w:rtl/>
        </w:rPr>
        <w:t xml:space="preserve"> אין צריך לכתוב אותו כינוי</w:t>
      </w:r>
      <w:r>
        <w:rPr>
          <w:rFonts w:cs="Arial" w:hint="cs"/>
          <w:rtl/>
        </w:rPr>
        <w:t>.</w:t>
      </w:r>
      <w:r w:rsidRPr="00C164D0">
        <w:rPr>
          <w:rFonts w:cs="Arial"/>
          <w:rtl/>
        </w:rPr>
        <w:t xml:space="preserve"> מיהו אם הגוים מזכירין אותו בכינוי לבד</w:t>
      </w:r>
      <w:r w:rsidR="0014675E">
        <w:rPr>
          <w:rFonts w:cs="Arial" w:hint="cs"/>
          <w:rtl/>
        </w:rPr>
        <w:t>,</w:t>
      </w:r>
      <w:r w:rsidRPr="00C164D0">
        <w:rPr>
          <w:rFonts w:cs="Arial"/>
          <w:rtl/>
        </w:rPr>
        <w:t xml:space="preserve"> אע</w:t>
      </w:r>
      <w:r>
        <w:rPr>
          <w:rFonts w:cs="Arial" w:hint="cs"/>
          <w:rtl/>
        </w:rPr>
        <w:t>"</w:t>
      </w:r>
      <w:r w:rsidRPr="00C164D0">
        <w:rPr>
          <w:rFonts w:cs="Arial"/>
          <w:rtl/>
        </w:rPr>
        <w:t>פ שאין ישראלים מזכירין הכינוי לבד</w:t>
      </w:r>
      <w:r w:rsidR="0014675E">
        <w:rPr>
          <w:rFonts w:cs="Arial" w:hint="cs"/>
          <w:rtl/>
        </w:rPr>
        <w:t>,</w:t>
      </w:r>
      <w:r w:rsidRPr="00C164D0">
        <w:rPr>
          <w:rFonts w:cs="Arial"/>
          <w:rtl/>
        </w:rPr>
        <w:t xml:space="preserve"> מכל מקום יש להסתפק אם צריך לכתוב וכל שום וחניכא</w:t>
      </w:r>
      <w:r w:rsidR="0014675E">
        <w:rPr>
          <w:rFonts w:cs="Arial" w:hint="cs"/>
          <w:rtl/>
        </w:rPr>
        <w:t>,</w:t>
      </w:r>
      <w:r w:rsidRPr="00C164D0">
        <w:rPr>
          <w:rFonts w:cs="Arial"/>
          <w:rtl/>
        </w:rPr>
        <w:t xml:space="preserve"> אע</w:t>
      </w:r>
      <w:r>
        <w:rPr>
          <w:rFonts w:cs="Arial" w:hint="cs"/>
          <w:rtl/>
        </w:rPr>
        <w:t>"</w:t>
      </w:r>
      <w:r w:rsidRPr="00C164D0">
        <w:rPr>
          <w:rFonts w:cs="Arial"/>
          <w:rtl/>
        </w:rPr>
        <w:t>ג דבשאר גיטין אין כותבין כן</w:t>
      </w:r>
      <w:r>
        <w:rPr>
          <w:rStyle w:val="a7"/>
          <w:rFonts w:cs="Arial"/>
          <w:rtl/>
        </w:rPr>
        <w:footnoteReference w:id="1140"/>
      </w:r>
      <w:r w:rsidRPr="00C164D0">
        <w:rPr>
          <w:rFonts w:cs="Arial"/>
          <w:rtl/>
        </w:rPr>
        <w:t xml:space="preserve">. </w:t>
      </w:r>
    </w:p>
    <w:p w14:paraId="5503D292" w14:textId="77777777" w:rsidR="00FA2119" w:rsidRPr="00AF4275" w:rsidRDefault="00FA2119" w:rsidP="00FA2119">
      <w:pPr>
        <w:rPr>
          <w:rFonts w:cs="Arial"/>
          <w:u w:val="single"/>
        </w:rPr>
      </w:pPr>
      <w:r>
        <w:rPr>
          <w:rFonts w:cs="Arial" w:hint="cs"/>
          <w:u w:val="single"/>
          <w:rtl/>
        </w:rPr>
        <w:t>כתב '</w:t>
      </w:r>
      <w:r w:rsidRPr="00AF4275">
        <w:rPr>
          <w:rFonts w:cs="Arial" w:hint="cs"/>
          <w:u w:val="single"/>
          <w:rtl/>
        </w:rPr>
        <w:t>דמתקרית</w:t>
      </w:r>
      <w:r>
        <w:rPr>
          <w:rFonts w:cs="Arial" w:hint="cs"/>
          <w:u w:val="single"/>
          <w:rtl/>
        </w:rPr>
        <w:t>'</w:t>
      </w:r>
      <w:r w:rsidRPr="00AF4275">
        <w:rPr>
          <w:rFonts w:cs="Arial" w:hint="cs"/>
          <w:u w:val="single"/>
          <w:rtl/>
        </w:rPr>
        <w:t xml:space="preserve"> במקום </w:t>
      </w:r>
      <w:r>
        <w:rPr>
          <w:rFonts w:cs="Arial" w:hint="cs"/>
          <w:u w:val="single"/>
          <w:rtl/>
        </w:rPr>
        <w:t>'</w:t>
      </w:r>
      <w:r w:rsidRPr="00AF4275">
        <w:rPr>
          <w:rFonts w:cs="Arial" w:hint="cs"/>
          <w:u w:val="single"/>
          <w:rtl/>
        </w:rPr>
        <w:t>דמתקריא':</w:t>
      </w:r>
      <w:r w:rsidRPr="00AF4275">
        <w:rPr>
          <w:rFonts w:cs="Arial" w:hint="cs"/>
          <w:sz w:val="16"/>
          <w:szCs w:val="16"/>
          <w:rtl/>
        </w:rPr>
        <w:t xml:space="preserve"> </w:t>
      </w:r>
      <w:r w:rsidRPr="00A561BD">
        <w:rPr>
          <w:rFonts w:cs="Arial" w:hint="cs"/>
          <w:sz w:val="16"/>
          <w:szCs w:val="16"/>
          <w:rtl/>
        </w:rPr>
        <w:t>(</w:t>
      </w:r>
      <w:r>
        <w:rPr>
          <w:rFonts w:cs="Arial" w:hint="cs"/>
          <w:sz w:val="16"/>
          <w:szCs w:val="16"/>
          <w:rtl/>
        </w:rPr>
        <w:t xml:space="preserve">דרכ"מ </w:t>
      </w:r>
      <w:r w:rsidRPr="00A561BD">
        <w:rPr>
          <w:rFonts w:cs="Arial" w:hint="cs"/>
          <w:sz w:val="16"/>
          <w:szCs w:val="16"/>
          <w:rtl/>
        </w:rPr>
        <w:t>אות כב)</w:t>
      </w:r>
    </w:p>
    <w:p w14:paraId="0EB207BB" w14:textId="36A62B48" w:rsidR="00FA2119" w:rsidRDefault="00FA2119" w:rsidP="00FA2119">
      <w:pPr>
        <w:pStyle w:val="ab"/>
        <w:numPr>
          <w:ilvl w:val="0"/>
          <w:numId w:val="79"/>
        </w:numPr>
        <w:rPr>
          <w:rFonts w:cs="Arial"/>
        </w:rPr>
      </w:pPr>
      <w:r>
        <w:rPr>
          <w:rFonts w:cs="Arial" w:hint="cs"/>
          <w:rtl/>
        </w:rPr>
        <w:t>תרוה"ד</w:t>
      </w:r>
      <w:r w:rsidRPr="00AF4275">
        <w:rPr>
          <w:rFonts w:cs="Arial" w:hint="cs"/>
          <w:sz w:val="16"/>
          <w:szCs w:val="16"/>
          <w:rtl/>
        </w:rPr>
        <w:t xml:space="preserve"> (</w:t>
      </w:r>
      <w:r>
        <w:rPr>
          <w:rFonts w:cs="Arial" w:hint="cs"/>
          <w:sz w:val="16"/>
          <w:szCs w:val="16"/>
          <w:rtl/>
        </w:rPr>
        <w:t xml:space="preserve">פסקים </w:t>
      </w:r>
      <w:r w:rsidRPr="00AF4275">
        <w:rPr>
          <w:rFonts w:cs="Arial" w:hint="cs"/>
          <w:sz w:val="16"/>
          <w:szCs w:val="16"/>
          <w:rtl/>
        </w:rPr>
        <w:t xml:space="preserve">סי' </w:t>
      </w:r>
      <w:r>
        <w:rPr>
          <w:rFonts w:cs="Arial" w:hint="cs"/>
          <w:sz w:val="16"/>
          <w:szCs w:val="16"/>
          <w:rtl/>
        </w:rPr>
        <w:t>קפה</w:t>
      </w:r>
      <w:r w:rsidRPr="00AF4275">
        <w:rPr>
          <w:rFonts w:cs="Arial" w:hint="cs"/>
          <w:sz w:val="16"/>
          <w:szCs w:val="16"/>
          <w:rtl/>
        </w:rPr>
        <w:t>)</w:t>
      </w:r>
      <w:r w:rsidR="00A82951">
        <w:rPr>
          <w:rFonts w:cs="Arial" w:hint="cs"/>
          <w:rtl/>
        </w:rPr>
        <w:t>-</w:t>
      </w:r>
      <w:r w:rsidRPr="00C164D0">
        <w:rPr>
          <w:rFonts w:cs="Arial"/>
          <w:rtl/>
        </w:rPr>
        <w:t xml:space="preserve"> אם כתב לנקיבה </w:t>
      </w:r>
      <w:r>
        <w:rPr>
          <w:rFonts w:cs="Arial" w:hint="cs"/>
          <w:rtl/>
        </w:rPr>
        <w:t>'</w:t>
      </w:r>
      <w:r w:rsidRPr="00C164D0">
        <w:rPr>
          <w:rFonts w:cs="Arial"/>
          <w:rtl/>
        </w:rPr>
        <w:t>דמתקרית</w:t>
      </w:r>
      <w:r>
        <w:rPr>
          <w:rFonts w:cs="Arial" w:hint="cs"/>
          <w:rtl/>
        </w:rPr>
        <w:t>'</w:t>
      </w:r>
      <w:r w:rsidRPr="00C164D0">
        <w:rPr>
          <w:rFonts w:cs="Arial"/>
          <w:rtl/>
        </w:rPr>
        <w:t xml:space="preserve"> </w:t>
      </w:r>
      <w:r w:rsidR="00A82951">
        <w:rPr>
          <w:rFonts w:cs="Arial" w:hint="cs"/>
          <w:rtl/>
        </w:rPr>
        <w:t>-</w:t>
      </w:r>
      <w:r>
        <w:rPr>
          <w:rFonts w:cs="Arial" w:hint="cs"/>
          <w:rtl/>
        </w:rPr>
        <w:t xml:space="preserve"> </w:t>
      </w:r>
      <w:r w:rsidRPr="00C164D0">
        <w:rPr>
          <w:rFonts w:cs="Arial"/>
          <w:rtl/>
        </w:rPr>
        <w:t>הגט כשר</w:t>
      </w:r>
      <w:r w:rsidR="007F0EA5">
        <w:rPr>
          <w:rFonts w:cs="Arial" w:hint="cs"/>
          <w:rtl/>
        </w:rPr>
        <w:t>,</w:t>
      </w:r>
      <w:r w:rsidRPr="00C164D0">
        <w:rPr>
          <w:rFonts w:cs="Arial"/>
          <w:rtl/>
        </w:rPr>
        <w:t xml:space="preserve"> אע</w:t>
      </w:r>
      <w:r>
        <w:rPr>
          <w:rFonts w:cs="Arial" w:hint="cs"/>
          <w:rtl/>
        </w:rPr>
        <w:t>"</w:t>
      </w:r>
      <w:r w:rsidRPr="00C164D0">
        <w:rPr>
          <w:rFonts w:cs="Arial"/>
          <w:rtl/>
        </w:rPr>
        <w:t xml:space="preserve">ג דהמנהג לכתוב דמתקריא. </w:t>
      </w:r>
    </w:p>
    <w:p w14:paraId="5EDF387F" w14:textId="77777777" w:rsidR="00FA2119" w:rsidRPr="00C7753E" w:rsidRDefault="00FA2119" w:rsidP="00FA2119">
      <w:pPr>
        <w:rPr>
          <w:rFonts w:cs="Arial"/>
          <w:u w:val="single"/>
        </w:rPr>
      </w:pPr>
      <w:r w:rsidRPr="00C7753E">
        <w:rPr>
          <w:rFonts w:cs="Arial" w:hint="cs"/>
          <w:u w:val="single"/>
          <w:rtl/>
        </w:rPr>
        <w:t>כתיבת 'המכונה' על שם כינוי של אשה:</w:t>
      </w:r>
      <w:r w:rsidRPr="00C7753E">
        <w:rPr>
          <w:rFonts w:cs="Arial" w:hint="cs"/>
          <w:sz w:val="16"/>
          <w:szCs w:val="16"/>
          <w:rtl/>
        </w:rPr>
        <w:t xml:space="preserve"> </w:t>
      </w:r>
      <w:r w:rsidRPr="00A561BD">
        <w:rPr>
          <w:rFonts w:cs="Arial" w:hint="cs"/>
          <w:sz w:val="16"/>
          <w:szCs w:val="16"/>
          <w:rtl/>
        </w:rPr>
        <w:t>(</w:t>
      </w:r>
      <w:r>
        <w:rPr>
          <w:rFonts w:cs="Arial" w:hint="cs"/>
          <w:sz w:val="16"/>
          <w:szCs w:val="16"/>
          <w:rtl/>
        </w:rPr>
        <w:t xml:space="preserve">דרכ"מ </w:t>
      </w:r>
      <w:r w:rsidRPr="00A561BD">
        <w:rPr>
          <w:rFonts w:cs="Arial" w:hint="cs"/>
          <w:sz w:val="16"/>
          <w:szCs w:val="16"/>
          <w:rtl/>
        </w:rPr>
        <w:t>אות כב)</w:t>
      </w:r>
    </w:p>
    <w:p w14:paraId="34873661" w14:textId="5CF36E2E" w:rsidR="00FA2119" w:rsidRDefault="00FA2119" w:rsidP="00FA2119">
      <w:pPr>
        <w:pStyle w:val="ab"/>
        <w:numPr>
          <w:ilvl w:val="0"/>
          <w:numId w:val="79"/>
        </w:numPr>
        <w:rPr>
          <w:rFonts w:cs="Arial"/>
        </w:rPr>
      </w:pPr>
      <w:r w:rsidRPr="00C164D0">
        <w:rPr>
          <w:rFonts w:cs="Arial"/>
          <w:rtl/>
        </w:rPr>
        <w:t>תיקון ישן</w:t>
      </w:r>
      <w:r w:rsidRPr="00AF4275">
        <w:rPr>
          <w:rFonts w:cs="Arial"/>
          <w:sz w:val="16"/>
          <w:szCs w:val="16"/>
          <w:rtl/>
        </w:rPr>
        <w:t xml:space="preserve"> (עיין ישע"ש עמוד ריז)</w:t>
      </w:r>
      <w:r w:rsidR="00A82951">
        <w:rPr>
          <w:rFonts w:cs="Arial" w:hint="cs"/>
          <w:rtl/>
        </w:rPr>
        <w:t>-</w:t>
      </w:r>
      <w:r w:rsidRPr="00C164D0">
        <w:rPr>
          <w:rFonts w:cs="Arial"/>
          <w:rtl/>
        </w:rPr>
        <w:t xml:space="preserve"> שם כינוי של איש כותבין מכונֶה</w:t>
      </w:r>
      <w:r>
        <w:rPr>
          <w:rFonts w:cs="Arial" w:hint="cs"/>
          <w:rtl/>
        </w:rPr>
        <w:t>,</w:t>
      </w:r>
      <w:r w:rsidRPr="00C164D0">
        <w:rPr>
          <w:rFonts w:cs="Arial"/>
          <w:rtl/>
        </w:rPr>
        <w:t xml:space="preserve"> ושל אשה מכונָה</w:t>
      </w:r>
      <w:r>
        <w:rPr>
          <w:rStyle w:val="a7"/>
          <w:rFonts w:cs="Arial"/>
          <w:rtl/>
        </w:rPr>
        <w:footnoteReference w:id="1141"/>
      </w:r>
      <w:r w:rsidRPr="00C164D0">
        <w:rPr>
          <w:rFonts w:cs="Arial"/>
          <w:rtl/>
        </w:rPr>
        <w:t xml:space="preserve">. </w:t>
      </w:r>
    </w:p>
    <w:p w14:paraId="423E03B3" w14:textId="77777777" w:rsidR="00FA2119" w:rsidRPr="00A86012" w:rsidRDefault="00FA2119" w:rsidP="00FA2119">
      <w:pPr>
        <w:rPr>
          <w:rFonts w:cs="Arial"/>
          <w:u w:val="single"/>
        </w:rPr>
      </w:pPr>
      <w:r>
        <w:rPr>
          <w:rFonts w:cs="Arial" w:hint="cs"/>
          <w:u w:val="single"/>
          <w:rtl/>
        </w:rPr>
        <w:t>'</w:t>
      </w:r>
      <w:r w:rsidRPr="00A86012">
        <w:rPr>
          <w:rFonts w:cs="Arial" w:hint="cs"/>
          <w:u w:val="single"/>
          <w:rtl/>
        </w:rPr>
        <w:t>דאתקרי</w:t>
      </w:r>
      <w:r>
        <w:rPr>
          <w:rFonts w:cs="Arial" w:hint="cs"/>
          <w:u w:val="single"/>
          <w:rtl/>
        </w:rPr>
        <w:t>'</w:t>
      </w:r>
      <w:r w:rsidRPr="00A86012">
        <w:rPr>
          <w:rFonts w:cs="Arial" w:hint="cs"/>
          <w:u w:val="single"/>
          <w:rtl/>
        </w:rPr>
        <w:t xml:space="preserve"> במקום </w:t>
      </w:r>
      <w:r>
        <w:rPr>
          <w:rFonts w:cs="Arial" w:hint="cs"/>
          <w:u w:val="single"/>
          <w:rtl/>
        </w:rPr>
        <w:t>'</w:t>
      </w:r>
      <w:r w:rsidRPr="00A86012">
        <w:rPr>
          <w:rFonts w:cs="Arial" w:hint="cs"/>
          <w:u w:val="single"/>
          <w:rtl/>
        </w:rPr>
        <w:t>דמתקרי':</w:t>
      </w:r>
      <w:r>
        <w:rPr>
          <w:rFonts w:cs="Arial" w:hint="cs"/>
          <w:sz w:val="16"/>
          <w:szCs w:val="16"/>
          <w:rtl/>
        </w:rPr>
        <w:t xml:space="preserve"> </w:t>
      </w:r>
      <w:r w:rsidRPr="001C1EFE">
        <w:rPr>
          <w:rFonts w:cs="Arial" w:hint="cs"/>
          <w:sz w:val="16"/>
          <w:szCs w:val="16"/>
          <w:rtl/>
        </w:rPr>
        <w:t>(דרכ"מ אות כד)</w:t>
      </w:r>
    </w:p>
    <w:p w14:paraId="6020C969" w14:textId="1FD72D45" w:rsidR="00FA2119" w:rsidRDefault="00FA2119" w:rsidP="00FA2119">
      <w:pPr>
        <w:pStyle w:val="ab"/>
        <w:numPr>
          <w:ilvl w:val="0"/>
          <w:numId w:val="79"/>
        </w:numPr>
        <w:rPr>
          <w:rFonts w:cs="Arial"/>
        </w:rPr>
      </w:pPr>
      <w:r>
        <w:rPr>
          <w:rFonts w:cs="Arial" w:hint="cs"/>
          <w:rtl/>
        </w:rPr>
        <w:t>סדר גיטין</w:t>
      </w:r>
      <w:r w:rsidRPr="00C164D0">
        <w:rPr>
          <w:rFonts w:cs="Arial"/>
          <w:rtl/>
        </w:rPr>
        <w:t xml:space="preserve"> </w:t>
      </w:r>
      <w:r w:rsidRPr="00A86012">
        <w:rPr>
          <w:rFonts w:cs="Arial" w:hint="cs"/>
          <w:sz w:val="16"/>
          <w:szCs w:val="16"/>
          <w:rtl/>
        </w:rPr>
        <w:t>(</w:t>
      </w:r>
      <w:r w:rsidRPr="00A86012">
        <w:rPr>
          <w:rFonts w:cs="Arial"/>
          <w:sz w:val="16"/>
          <w:szCs w:val="16"/>
          <w:rtl/>
        </w:rPr>
        <w:t>סי</w:t>
      </w:r>
      <w:r w:rsidRPr="00A86012">
        <w:rPr>
          <w:rFonts w:cs="Arial" w:hint="cs"/>
          <w:sz w:val="16"/>
          <w:szCs w:val="16"/>
          <w:rtl/>
        </w:rPr>
        <w:t>'</w:t>
      </w:r>
      <w:r w:rsidRPr="00A86012">
        <w:rPr>
          <w:rFonts w:cs="Arial"/>
          <w:sz w:val="16"/>
          <w:szCs w:val="16"/>
          <w:rtl/>
        </w:rPr>
        <w:t xml:space="preserve"> ל סעיף ב)</w:t>
      </w:r>
      <w:r w:rsidR="00A82951">
        <w:rPr>
          <w:rFonts w:cs="Arial" w:hint="cs"/>
          <w:rtl/>
        </w:rPr>
        <w:t>-</w:t>
      </w:r>
      <w:r w:rsidRPr="00C164D0">
        <w:rPr>
          <w:rFonts w:cs="Arial"/>
          <w:rtl/>
        </w:rPr>
        <w:t xml:space="preserve"> הא דכותבין דמתקריא או מתקרי במ"ם</w:t>
      </w:r>
      <w:r w:rsidR="007F0EA5">
        <w:rPr>
          <w:rFonts w:cs="Arial" w:hint="cs"/>
          <w:rtl/>
        </w:rPr>
        <w:t>,</w:t>
      </w:r>
      <w:r w:rsidRPr="00C164D0">
        <w:rPr>
          <w:rFonts w:cs="Arial"/>
          <w:rtl/>
        </w:rPr>
        <w:t xml:space="preserve"> היינו שאין רגיל בשם השני</w:t>
      </w:r>
      <w:r>
        <w:rPr>
          <w:rFonts w:cs="Arial" w:hint="cs"/>
          <w:rtl/>
        </w:rPr>
        <w:t>,</w:t>
      </w:r>
      <w:r w:rsidRPr="00C164D0">
        <w:rPr>
          <w:rFonts w:cs="Arial"/>
          <w:rtl/>
        </w:rPr>
        <w:t xml:space="preserve"> אבל אם הוחזק ורגיל גם בשם השני כותבין </w:t>
      </w:r>
      <w:r w:rsidR="00A82951">
        <w:rPr>
          <w:rFonts w:cs="Arial" w:hint="cs"/>
          <w:rtl/>
        </w:rPr>
        <w:t>-</w:t>
      </w:r>
      <w:r>
        <w:rPr>
          <w:rFonts w:cs="Arial" w:hint="cs"/>
          <w:rtl/>
        </w:rPr>
        <w:t xml:space="preserve"> </w:t>
      </w:r>
      <w:r w:rsidRPr="00C164D0">
        <w:rPr>
          <w:rFonts w:cs="Arial"/>
          <w:rtl/>
        </w:rPr>
        <w:t xml:space="preserve">דאתקריא או דאתקרי באל"ף. </w:t>
      </w:r>
      <w:r w:rsidRPr="00AD02FD">
        <w:rPr>
          <w:rFonts w:cs="Arial" w:hint="cs"/>
          <w:color w:val="00B0F0"/>
          <w:rtl/>
        </w:rPr>
        <w:t>(וכ"</w:t>
      </w:r>
      <w:r>
        <w:rPr>
          <w:rFonts w:cs="Arial" w:hint="cs"/>
          <w:color w:val="00B0F0"/>
          <w:rtl/>
        </w:rPr>
        <w:t>כ</w:t>
      </w:r>
      <w:r w:rsidRPr="00AD02FD">
        <w:rPr>
          <w:rFonts w:cs="Arial" w:hint="cs"/>
          <w:color w:val="00B0F0"/>
          <w:rtl/>
        </w:rPr>
        <w:t xml:space="preserve"> הרמ"א)</w:t>
      </w:r>
    </w:p>
    <w:p w14:paraId="64DBA3C0" w14:textId="77777777" w:rsidR="00FA2119" w:rsidRPr="00A86012" w:rsidRDefault="00FA2119" w:rsidP="00FA2119">
      <w:pPr>
        <w:rPr>
          <w:rFonts w:cs="Arial"/>
          <w:u w:val="single"/>
        </w:rPr>
      </w:pPr>
      <w:r w:rsidRPr="00A86012">
        <w:rPr>
          <w:rFonts w:cs="Arial" w:hint="cs"/>
          <w:u w:val="single"/>
          <w:rtl/>
        </w:rPr>
        <w:t>ספק אם כותבין א' או ה' בסוף השם:</w:t>
      </w:r>
      <w:r>
        <w:rPr>
          <w:rFonts w:cs="Arial" w:hint="cs"/>
          <w:sz w:val="16"/>
          <w:szCs w:val="16"/>
          <w:rtl/>
        </w:rPr>
        <w:t xml:space="preserve"> </w:t>
      </w:r>
      <w:r w:rsidRPr="001C1EFE">
        <w:rPr>
          <w:rFonts w:cs="Arial" w:hint="cs"/>
          <w:sz w:val="16"/>
          <w:szCs w:val="16"/>
          <w:rtl/>
        </w:rPr>
        <w:t>(דרכ"מ אות כד)</w:t>
      </w:r>
    </w:p>
    <w:p w14:paraId="5925D816" w14:textId="4DCB75CC" w:rsidR="00FA2119" w:rsidRDefault="00FA2119" w:rsidP="00FA2119">
      <w:pPr>
        <w:pStyle w:val="ab"/>
        <w:numPr>
          <w:ilvl w:val="0"/>
          <w:numId w:val="79"/>
        </w:numPr>
        <w:rPr>
          <w:rFonts w:cs="Arial"/>
        </w:rPr>
      </w:pPr>
      <w:r w:rsidRPr="00C164D0">
        <w:rPr>
          <w:rFonts w:cs="Arial"/>
          <w:rtl/>
        </w:rPr>
        <w:t>סדר גיטין</w:t>
      </w:r>
      <w:r w:rsidRPr="00A86012">
        <w:rPr>
          <w:rFonts w:cs="Arial"/>
          <w:sz w:val="16"/>
          <w:szCs w:val="16"/>
          <w:rtl/>
        </w:rPr>
        <w:t xml:space="preserve"> </w:t>
      </w:r>
      <w:r w:rsidRPr="00A86012">
        <w:rPr>
          <w:rFonts w:cs="Arial" w:hint="cs"/>
          <w:sz w:val="16"/>
          <w:szCs w:val="16"/>
          <w:rtl/>
        </w:rPr>
        <w:t>(</w:t>
      </w:r>
      <w:r w:rsidRPr="00A86012">
        <w:rPr>
          <w:rFonts w:cs="Arial"/>
          <w:sz w:val="16"/>
          <w:szCs w:val="16"/>
          <w:rtl/>
        </w:rPr>
        <w:t>סי</w:t>
      </w:r>
      <w:r w:rsidRPr="00A86012">
        <w:rPr>
          <w:rFonts w:cs="Arial" w:hint="cs"/>
          <w:sz w:val="16"/>
          <w:szCs w:val="16"/>
          <w:rtl/>
        </w:rPr>
        <w:t>'</w:t>
      </w:r>
      <w:r w:rsidRPr="00A86012">
        <w:rPr>
          <w:rFonts w:cs="Arial"/>
          <w:sz w:val="16"/>
          <w:szCs w:val="16"/>
          <w:rtl/>
        </w:rPr>
        <w:t xml:space="preserve"> כא סי"ד)</w:t>
      </w:r>
      <w:r w:rsidRPr="00C164D0">
        <w:rPr>
          <w:rFonts w:cs="Arial"/>
          <w:rtl/>
        </w:rPr>
        <w:t xml:space="preserve"> בשם הר"ר הלל</w:t>
      </w:r>
      <w:r w:rsidR="00A82951">
        <w:rPr>
          <w:rFonts w:cs="Arial" w:hint="cs"/>
          <w:rtl/>
        </w:rPr>
        <w:t>-</w:t>
      </w:r>
      <w:r w:rsidRPr="00C164D0">
        <w:rPr>
          <w:rFonts w:cs="Arial"/>
          <w:rtl/>
        </w:rPr>
        <w:t xml:space="preserve"> כל שם שיש לספק בו אם כותבין בה' או בא' לבסוף </w:t>
      </w:r>
      <w:r w:rsidR="007F0EA5">
        <w:rPr>
          <w:rFonts w:cs="Arial" w:hint="cs"/>
          <w:rtl/>
        </w:rPr>
        <w:t xml:space="preserve">- </w:t>
      </w:r>
      <w:r w:rsidRPr="00C164D0">
        <w:rPr>
          <w:rFonts w:cs="Arial"/>
          <w:rtl/>
        </w:rPr>
        <w:t>כותבין ה'</w:t>
      </w:r>
      <w:r>
        <w:rPr>
          <w:rFonts w:cs="Arial" w:hint="cs"/>
          <w:rtl/>
        </w:rPr>
        <w:t>,</w:t>
      </w:r>
      <w:r w:rsidRPr="00C164D0">
        <w:rPr>
          <w:rFonts w:cs="Arial"/>
          <w:rtl/>
        </w:rPr>
        <w:t xml:space="preserve"> שבכתוב לא תמצא שום שם אלא שסופו ה'. </w:t>
      </w:r>
    </w:p>
    <w:p w14:paraId="1BDFADF1" w14:textId="77777777" w:rsidR="00FA2119" w:rsidRPr="00A86012" w:rsidRDefault="00FA2119" w:rsidP="00FA2119">
      <w:pPr>
        <w:rPr>
          <w:rFonts w:cs="Arial"/>
          <w:u w:val="single"/>
        </w:rPr>
      </w:pPr>
      <w:r w:rsidRPr="00A86012">
        <w:rPr>
          <w:rFonts w:cs="Arial"/>
          <w:u w:val="single"/>
          <w:rtl/>
        </w:rPr>
        <w:t>שם שקורין אותו לפעמים כך ולפעמים כך</w:t>
      </w:r>
      <w:r w:rsidRPr="00A86012">
        <w:rPr>
          <w:rFonts w:cs="Arial" w:hint="cs"/>
          <w:u w:val="single"/>
          <w:rtl/>
        </w:rPr>
        <w:t>:</w:t>
      </w:r>
      <w:r>
        <w:rPr>
          <w:rFonts w:cs="Arial" w:hint="cs"/>
          <w:sz w:val="16"/>
          <w:szCs w:val="16"/>
          <w:rtl/>
        </w:rPr>
        <w:t xml:space="preserve"> </w:t>
      </w:r>
      <w:r w:rsidRPr="001C1EFE">
        <w:rPr>
          <w:rFonts w:cs="Arial" w:hint="cs"/>
          <w:sz w:val="16"/>
          <w:szCs w:val="16"/>
          <w:rtl/>
        </w:rPr>
        <w:t>(דרכ"מ אות כד)</w:t>
      </w:r>
    </w:p>
    <w:p w14:paraId="6F20CA3E" w14:textId="31527436" w:rsidR="00FA2119" w:rsidRDefault="00FA2119" w:rsidP="00FA2119">
      <w:pPr>
        <w:pStyle w:val="ab"/>
        <w:numPr>
          <w:ilvl w:val="0"/>
          <w:numId w:val="79"/>
        </w:numPr>
        <w:rPr>
          <w:rFonts w:cs="Arial"/>
        </w:rPr>
      </w:pPr>
      <w:r>
        <w:rPr>
          <w:rFonts w:cs="Arial" w:hint="cs"/>
          <w:rtl/>
        </w:rPr>
        <w:t>סדר גיטין</w:t>
      </w:r>
      <w:r w:rsidRPr="00C164D0">
        <w:rPr>
          <w:rFonts w:cs="Arial"/>
          <w:rtl/>
        </w:rPr>
        <w:t xml:space="preserve"> </w:t>
      </w:r>
      <w:r w:rsidRPr="00A86012">
        <w:rPr>
          <w:rFonts w:cs="Arial" w:hint="cs"/>
          <w:sz w:val="16"/>
          <w:szCs w:val="16"/>
          <w:rtl/>
        </w:rPr>
        <w:t>(</w:t>
      </w:r>
      <w:r w:rsidRPr="00A86012">
        <w:rPr>
          <w:rFonts w:cs="Arial"/>
          <w:sz w:val="16"/>
          <w:szCs w:val="16"/>
          <w:rtl/>
        </w:rPr>
        <w:t>סי</w:t>
      </w:r>
      <w:r w:rsidRPr="00A86012">
        <w:rPr>
          <w:rFonts w:cs="Arial" w:hint="cs"/>
          <w:sz w:val="16"/>
          <w:szCs w:val="16"/>
          <w:rtl/>
        </w:rPr>
        <w:t>'</w:t>
      </w:r>
      <w:r w:rsidRPr="00A86012">
        <w:rPr>
          <w:rFonts w:cs="Arial"/>
          <w:sz w:val="16"/>
          <w:szCs w:val="16"/>
          <w:rtl/>
        </w:rPr>
        <w:t xml:space="preserve"> לג ס"א)</w:t>
      </w:r>
      <w:r w:rsidR="00A82951">
        <w:rPr>
          <w:rFonts w:cs="Arial" w:hint="cs"/>
          <w:rtl/>
        </w:rPr>
        <w:t>-</w:t>
      </w:r>
      <w:r w:rsidRPr="00C164D0">
        <w:rPr>
          <w:rFonts w:cs="Arial"/>
          <w:rtl/>
        </w:rPr>
        <w:t xml:space="preserve"> שם שקורין אותו לפעמים כך ולפעמים כך</w:t>
      </w:r>
      <w:r w:rsidR="007F0EA5">
        <w:rPr>
          <w:rFonts w:cs="Arial" w:hint="cs"/>
          <w:rtl/>
        </w:rPr>
        <w:t>,</w:t>
      </w:r>
      <w:r w:rsidRPr="00C164D0">
        <w:rPr>
          <w:rFonts w:cs="Arial"/>
          <w:rtl/>
        </w:rPr>
        <w:t xml:space="preserve"> או שנמצא במקרא מלא או חסר</w:t>
      </w:r>
      <w:r w:rsidR="007F0EA5">
        <w:rPr>
          <w:rFonts w:cs="Arial" w:hint="cs"/>
          <w:rtl/>
        </w:rPr>
        <w:t xml:space="preserve"> -</w:t>
      </w:r>
      <w:r w:rsidRPr="00C164D0">
        <w:rPr>
          <w:rFonts w:cs="Arial"/>
          <w:rtl/>
        </w:rPr>
        <w:t xml:space="preserve"> הולכים אחר הרוב. </w:t>
      </w:r>
    </w:p>
    <w:p w14:paraId="57FBA89B" w14:textId="77777777" w:rsidR="00FA2119" w:rsidRPr="00AD02FD" w:rsidRDefault="00FA2119" w:rsidP="00FA2119">
      <w:pPr>
        <w:rPr>
          <w:rFonts w:cs="Arial"/>
          <w:u w:val="single"/>
        </w:rPr>
      </w:pPr>
      <w:r w:rsidRPr="00AD02FD">
        <w:rPr>
          <w:rFonts w:cs="Arial" w:hint="cs"/>
          <w:u w:val="single"/>
          <w:rtl/>
        </w:rPr>
        <w:t>אסתר, שנקראה בשם אסתר המלכה, ואח"כ נקראה 'המלכה'</w:t>
      </w:r>
      <w:r>
        <w:rPr>
          <w:rFonts w:cs="Arial" w:hint="cs"/>
          <w:u w:val="single"/>
          <w:rtl/>
        </w:rPr>
        <w:t xml:space="preserve"> לבד</w:t>
      </w:r>
      <w:r w:rsidRPr="00AD02FD">
        <w:rPr>
          <w:rFonts w:cs="Arial" w:hint="cs"/>
          <w:u w:val="single"/>
          <w:rtl/>
        </w:rPr>
        <w:t>:</w:t>
      </w:r>
      <w:r>
        <w:rPr>
          <w:rFonts w:cs="Arial" w:hint="cs"/>
          <w:sz w:val="16"/>
          <w:szCs w:val="16"/>
          <w:rtl/>
        </w:rPr>
        <w:t xml:space="preserve"> </w:t>
      </w:r>
      <w:r w:rsidRPr="001C1EFE">
        <w:rPr>
          <w:rFonts w:cs="Arial" w:hint="cs"/>
          <w:sz w:val="16"/>
          <w:szCs w:val="16"/>
          <w:rtl/>
        </w:rPr>
        <w:t>(דרכ"מ אות כד)</w:t>
      </w:r>
    </w:p>
    <w:p w14:paraId="6C80145A" w14:textId="77040720" w:rsidR="00FA2119" w:rsidRPr="001842CD" w:rsidRDefault="00FA2119" w:rsidP="00FA2119">
      <w:pPr>
        <w:pStyle w:val="ab"/>
        <w:numPr>
          <w:ilvl w:val="0"/>
          <w:numId w:val="79"/>
        </w:numPr>
        <w:rPr>
          <w:rFonts w:cs="Arial"/>
          <w:rtl/>
        </w:rPr>
      </w:pPr>
      <w:r w:rsidRPr="00C164D0">
        <w:rPr>
          <w:rFonts w:cs="Arial"/>
          <w:rtl/>
        </w:rPr>
        <w:t xml:space="preserve">סדר גיטין </w:t>
      </w:r>
      <w:r w:rsidRPr="00A86012">
        <w:rPr>
          <w:rFonts w:cs="Arial"/>
          <w:sz w:val="16"/>
          <w:szCs w:val="16"/>
          <w:rtl/>
        </w:rPr>
        <w:t>(סי' ל ס"ב)</w:t>
      </w:r>
      <w:r w:rsidR="00A82951">
        <w:rPr>
          <w:rFonts w:cs="Arial" w:hint="cs"/>
          <w:rtl/>
        </w:rPr>
        <w:t>-</w:t>
      </w:r>
      <w:r>
        <w:rPr>
          <w:rFonts w:cs="Arial" w:hint="cs"/>
          <w:rtl/>
        </w:rPr>
        <w:t xml:space="preserve"> </w:t>
      </w:r>
      <w:r w:rsidRPr="00C164D0">
        <w:rPr>
          <w:rFonts w:cs="Arial"/>
          <w:rtl/>
        </w:rPr>
        <w:t>אשה אחת שהיתה נקראת אסתר</w:t>
      </w:r>
      <w:r>
        <w:rPr>
          <w:rFonts w:cs="Arial" w:hint="cs"/>
          <w:rtl/>
        </w:rPr>
        <w:t>,</w:t>
      </w:r>
      <w:r w:rsidRPr="00C164D0">
        <w:rPr>
          <w:rFonts w:cs="Arial"/>
          <w:rtl/>
        </w:rPr>
        <w:t xml:space="preserve"> ודרך צחוק קראו אותה תמיד אסתר המלכה</w:t>
      </w:r>
      <w:r>
        <w:rPr>
          <w:rFonts w:cs="Arial" w:hint="cs"/>
          <w:rtl/>
        </w:rPr>
        <w:t>,</w:t>
      </w:r>
      <w:r w:rsidRPr="00C164D0">
        <w:rPr>
          <w:rFonts w:cs="Arial"/>
          <w:rtl/>
        </w:rPr>
        <w:t xml:space="preserve"> עד שלבסוף שהוחזק שמה בפי כל לקרותה המלכה לחוד</w:t>
      </w:r>
      <w:r>
        <w:rPr>
          <w:rFonts w:cs="Arial" w:hint="cs"/>
          <w:rtl/>
        </w:rPr>
        <w:t>,</w:t>
      </w:r>
      <w:r w:rsidRPr="00C164D0">
        <w:rPr>
          <w:rFonts w:cs="Arial"/>
          <w:rtl/>
        </w:rPr>
        <w:t xml:space="preserve"> וכן קראו אותה כמה שנים</w:t>
      </w:r>
      <w:r>
        <w:rPr>
          <w:rFonts w:cs="Arial" w:hint="cs"/>
          <w:rtl/>
        </w:rPr>
        <w:t>.</w:t>
      </w:r>
      <w:r w:rsidRPr="00C164D0">
        <w:rPr>
          <w:rFonts w:cs="Arial"/>
          <w:rtl/>
        </w:rPr>
        <w:t xml:space="preserve"> וכתבו בגט המלכה דמתקריא אסתר</w:t>
      </w:r>
      <w:r>
        <w:rPr>
          <w:rStyle w:val="a7"/>
          <w:rFonts w:cs="Arial"/>
          <w:rtl/>
        </w:rPr>
        <w:footnoteReference w:id="1142"/>
      </w:r>
      <w:r>
        <w:rPr>
          <w:rFonts w:cs="Arial" w:hint="cs"/>
          <w:rtl/>
        </w:rPr>
        <w:t>.</w:t>
      </w:r>
    </w:p>
    <w:p w14:paraId="0899BCEE"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0CF1B03C" w14:textId="35D1A89B" w:rsidR="00FA2119" w:rsidRDefault="00FA2119" w:rsidP="00FA2119">
      <w:pPr>
        <w:rPr>
          <w:rFonts w:cs="Arial"/>
          <w:rtl/>
        </w:rPr>
      </w:pPr>
      <w:r>
        <w:rPr>
          <w:rFonts w:cs="Arial" w:hint="cs"/>
          <w:rtl/>
        </w:rPr>
        <w:t>אם</w:t>
      </w:r>
      <w:r>
        <w:rPr>
          <w:rFonts w:cs="Arial"/>
          <w:rtl/>
        </w:rPr>
        <w:t xml:space="preserve"> </w:t>
      </w:r>
      <w:r>
        <w:rPr>
          <w:rFonts w:cs="Arial" w:hint="cs"/>
          <w:rtl/>
        </w:rPr>
        <w:t>השם</w:t>
      </w:r>
      <w:r>
        <w:rPr>
          <w:rFonts w:cs="Arial"/>
          <w:rtl/>
        </w:rPr>
        <w:t xml:space="preserve"> </w:t>
      </w:r>
      <w:r>
        <w:rPr>
          <w:rFonts w:cs="Arial" w:hint="cs"/>
          <w:rtl/>
        </w:rPr>
        <w:t>השני</w:t>
      </w:r>
      <w:r>
        <w:rPr>
          <w:rFonts w:cs="Arial"/>
          <w:rtl/>
        </w:rPr>
        <w:t xml:space="preserve"> </w:t>
      </w:r>
      <w:r>
        <w:rPr>
          <w:rFonts w:cs="Arial" w:hint="cs"/>
          <w:rtl/>
        </w:rPr>
        <w:t>יוצא</w:t>
      </w:r>
      <w:r>
        <w:rPr>
          <w:rFonts w:cs="Arial"/>
          <w:rtl/>
        </w:rPr>
        <w:t xml:space="preserve"> </w:t>
      </w:r>
      <w:r>
        <w:rPr>
          <w:rFonts w:cs="Arial" w:hint="cs"/>
          <w:rtl/>
        </w:rPr>
        <w:t>משם</w:t>
      </w:r>
      <w:r>
        <w:rPr>
          <w:rFonts w:cs="Arial"/>
          <w:rtl/>
        </w:rPr>
        <w:t xml:space="preserve"> </w:t>
      </w:r>
      <w:r>
        <w:rPr>
          <w:rFonts w:cs="Arial" w:hint="cs"/>
          <w:rtl/>
        </w:rPr>
        <w:t>העברי</w:t>
      </w:r>
      <w:r>
        <w:rPr>
          <w:rFonts w:cs="Arial"/>
          <w:rtl/>
        </w:rPr>
        <w:t xml:space="preserve">, </w:t>
      </w:r>
      <w:r>
        <w:rPr>
          <w:rFonts w:cs="Arial" w:hint="cs"/>
          <w:rtl/>
        </w:rPr>
        <w:t>כגון</w:t>
      </w:r>
      <w:r>
        <w:rPr>
          <w:rFonts w:cs="Arial"/>
          <w:rtl/>
        </w:rPr>
        <w:t xml:space="preserve"> </w:t>
      </w:r>
      <w:r>
        <w:rPr>
          <w:rFonts w:cs="Arial" w:hint="cs"/>
          <w:rtl/>
        </w:rPr>
        <w:t>יהודה</w:t>
      </w:r>
      <w:r>
        <w:rPr>
          <w:rFonts w:cs="Arial"/>
          <w:rtl/>
        </w:rPr>
        <w:t xml:space="preserve"> </w:t>
      </w:r>
      <w:r>
        <w:rPr>
          <w:rFonts w:cs="Arial" w:hint="cs"/>
          <w:rtl/>
        </w:rPr>
        <w:t>ליאו</w:t>
      </w:r>
      <w:r>
        <w:rPr>
          <w:rFonts w:cs="Arial"/>
          <w:rtl/>
        </w:rPr>
        <w:t>"</w:t>
      </w:r>
      <w:r>
        <w:rPr>
          <w:rFonts w:cs="Arial" w:hint="cs"/>
          <w:rtl/>
        </w:rPr>
        <w:t>ן</w:t>
      </w:r>
      <w:r>
        <w:rPr>
          <w:rFonts w:cs="Arial"/>
          <w:rtl/>
        </w:rPr>
        <w:t xml:space="preserve">, </w:t>
      </w:r>
      <w:r>
        <w:rPr>
          <w:rFonts w:cs="Arial" w:hint="cs"/>
          <w:rtl/>
        </w:rPr>
        <w:t>כותבים</w:t>
      </w:r>
      <w:r>
        <w:rPr>
          <w:rFonts w:cs="Arial"/>
          <w:rtl/>
        </w:rPr>
        <w:t xml:space="preserve">: </w:t>
      </w:r>
      <w:r>
        <w:rPr>
          <w:rFonts w:cs="Arial" w:hint="cs"/>
          <w:rtl/>
        </w:rPr>
        <w:t>יהודה</w:t>
      </w:r>
      <w:r>
        <w:rPr>
          <w:rFonts w:cs="Arial"/>
          <w:rtl/>
        </w:rPr>
        <w:t xml:space="preserve"> </w:t>
      </w:r>
      <w:r>
        <w:rPr>
          <w:rFonts w:cs="Arial" w:hint="cs"/>
          <w:rtl/>
        </w:rPr>
        <w:t>דמתקרי</w:t>
      </w:r>
      <w:r>
        <w:rPr>
          <w:rFonts w:cs="Arial"/>
          <w:rtl/>
        </w:rPr>
        <w:t xml:space="preserve"> </w:t>
      </w:r>
      <w:r>
        <w:rPr>
          <w:rFonts w:cs="Arial" w:hint="cs"/>
          <w:rtl/>
        </w:rPr>
        <w:t>ליאו</w:t>
      </w:r>
      <w:r>
        <w:rPr>
          <w:rFonts w:cs="Arial"/>
          <w:rtl/>
        </w:rPr>
        <w:t>"</w:t>
      </w:r>
      <w:r>
        <w:rPr>
          <w:rFonts w:cs="Arial" w:hint="cs"/>
          <w:rtl/>
        </w:rPr>
        <w:t>ן</w:t>
      </w:r>
      <w:r>
        <w:rPr>
          <w:rFonts w:cs="Arial"/>
          <w:rtl/>
        </w:rPr>
        <w:t xml:space="preserve">. </w:t>
      </w:r>
      <w:r>
        <w:rPr>
          <w:rFonts w:cs="Arial" w:hint="cs"/>
          <w:rtl/>
        </w:rPr>
        <w:t>ואם</w:t>
      </w:r>
      <w:r>
        <w:rPr>
          <w:rFonts w:cs="Arial"/>
          <w:rtl/>
        </w:rPr>
        <w:t xml:space="preserve"> </w:t>
      </w:r>
      <w:r>
        <w:rPr>
          <w:rFonts w:cs="Arial" w:hint="cs"/>
          <w:rtl/>
        </w:rPr>
        <w:t>אינו</w:t>
      </w:r>
      <w:r>
        <w:rPr>
          <w:rFonts w:cs="Arial"/>
          <w:rtl/>
        </w:rPr>
        <w:t xml:space="preserve"> </w:t>
      </w:r>
      <w:r>
        <w:rPr>
          <w:rFonts w:cs="Arial" w:hint="cs"/>
          <w:rtl/>
        </w:rPr>
        <w:t>דומה</w:t>
      </w:r>
      <w:r>
        <w:rPr>
          <w:rFonts w:cs="Arial"/>
          <w:rtl/>
        </w:rPr>
        <w:t xml:space="preserve"> </w:t>
      </w:r>
      <w:r>
        <w:rPr>
          <w:rFonts w:cs="Arial" w:hint="cs"/>
          <w:rtl/>
        </w:rPr>
        <w:t>קצת</w:t>
      </w:r>
      <w:r>
        <w:rPr>
          <w:rFonts w:cs="Arial"/>
          <w:rtl/>
        </w:rPr>
        <w:t xml:space="preserve"> </w:t>
      </w:r>
      <w:r>
        <w:rPr>
          <w:rFonts w:cs="Arial" w:hint="cs"/>
          <w:rtl/>
        </w:rPr>
        <w:t>לשם</w:t>
      </w:r>
      <w:r>
        <w:rPr>
          <w:rFonts w:cs="Arial"/>
          <w:rtl/>
        </w:rPr>
        <w:t xml:space="preserve"> </w:t>
      </w:r>
      <w:r>
        <w:rPr>
          <w:rFonts w:cs="Arial" w:hint="cs"/>
          <w:rtl/>
        </w:rPr>
        <w:t>העברי</w:t>
      </w:r>
      <w:r>
        <w:rPr>
          <w:rFonts w:cs="Arial"/>
          <w:rtl/>
        </w:rPr>
        <w:t xml:space="preserve">, </w:t>
      </w:r>
      <w:r>
        <w:rPr>
          <w:rFonts w:cs="Arial" w:hint="cs"/>
          <w:rtl/>
        </w:rPr>
        <w:t>יכתוב</w:t>
      </w:r>
      <w:r>
        <w:rPr>
          <w:rFonts w:cs="Arial"/>
          <w:rtl/>
        </w:rPr>
        <w:t xml:space="preserve">: </w:t>
      </w:r>
      <w:r>
        <w:rPr>
          <w:rFonts w:cs="Arial" w:hint="cs"/>
          <w:rtl/>
        </w:rPr>
        <w:t>המכונה</w:t>
      </w:r>
      <w:r>
        <w:rPr>
          <w:rFonts w:cs="Arial"/>
          <w:rtl/>
        </w:rPr>
        <w:t xml:space="preserve">. </w:t>
      </w:r>
      <w:r w:rsidRPr="00C03494">
        <w:rPr>
          <w:rFonts w:cs="Arial" w:hint="cs"/>
          <w:sz w:val="18"/>
          <w:szCs w:val="18"/>
          <w:rtl/>
        </w:rPr>
        <w:t>הגה</w:t>
      </w:r>
      <w:r w:rsidRPr="00C03494">
        <w:rPr>
          <w:rFonts w:cs="Arial"/>
          <w:sz w:val="18"/>
          <w:szCs w:val="18"/>
          <w:rtl/>
        </w:rPr>
        <w:t xml:space="preserve">: </w:t>
      </w:r>
      <w:r w:rsidRPr="00C03494">
        <w:rPr>
          <w:rFonts w:cs="Arial" w:hint="cs"/>
          <w:sz w:val="18"/>
          <w:szCs w:val="18"/>
          <w:rtl/>
        </w:rPr>
        <w:t>פירוש</w:t>
      </w:r>
      <w:r w:rsidRPr="00C03494">
        <w:rPr>
          <w:rFonts w:cs="Arial"/>
          <w:sz w:val="18"/>
          <w:szCs w:val="18"/>
          <w:rtl/>
        </w:rPr>
        <w:t xml:space="preserve"> </w:t>
      </w:r>
      <w:r w:rsidRPr="00C03494">
        <w:rPr>
          <w:rFonts w:cs="Arial" w:hint="cs"/>
          <w:sz w:val="18"/>
          <w:szCs w:val="18"/>
          <w:rtl/>
        </w:rPr>
        <w:t>דבריו</w:t>
      </w:r>
      <w:r w:rsidRPr="00C03494">
        <w:rPr>
          <w:rFonts w:cs="Arial"/>
          <w:sz w:val="18"/>
          <w:szCs w:val="18"/>
          <w:rtl/>
        </w:rPr>
        <w:t xml:space="preserve"> </w:t>
      </w:r>
      <w:r w:rsidRPr="00C03494">
        <w:rPr>
          <w:rFonts w:cs="Arial" w:hint="cs"/>
          <w:sz w:val="18"/>
          <w:szCs w:val="18"/>
          <w:rtl/>
        </w:rPr>
        <w:t>כי</w:t>
      </w:r>
      <w:r w:rsidRPr="00C03494">
        <w:rPr>
          <w:rFonts w:cs="Arial"/>
          <w:sz w:val="18"/>
          <w:szCs w:val="18"/>
          <w:rtl/>
        </w:rPr>
        <w:t xml:space="preserve"> </w:t>
      </w:r>
      <w:r w:rsidRPr="00C03494">
        <w:rPr>
          <w:rFonts w:cs="Arial" w:hint="cs"/>
          <w:sz w:val="18"/>
          <w:szCs w:val="18"/>
          <w:rtl/>
        </w:rPr>
        <w:t>ליאו</w:t>
      </w:r>
      <w:r w:rsidRPr="00C03494">
        <w:rPr>
          <w:rFonts w:cs="Arial"/>
          <w:sz w:val="18"/>
          <w:szCs w:val="18"/>
          <w:rtl/>
        </w:rPr>
        <w:t>"</w:t>
      </w:r>
      <w:r w:rsidRPr="00C03494">
        <w:rPr>
          <w:rFonts w:cs="Arial" w:hint="cs"/>
          <w:sz w:val="18"/>
          <w:szCs w:val="18"/>
          <w:rtl/>
        </w:rPr>
        <w:t>ן</w:t>
      </w:r>
      <w:r w:rsidRPr="00C03494">
        <w:rPr>
          <w:rFonts w:cs="Arial"/>
          <w:sz w:val="18"/>
          <w:szCs w:val="18"/>
          <w:rtl/>
        </w:rPr>
        <w:t xml:space="preserve"> </w:t>
      </w:r>
      <w:r w:rsidRPr="00C03494">
        <w:rPr>
          <w:rFonts w:cs="Arial" w:hint="cs"/>
          <w:sz w:val="18"/>
          <w:szCs w:val="18"/>
          <w:rtl/>
        </w:rPr>
        <w:t>הוא</w:t>
      </w:r>
      <w:r w:rsidRPr="00C03494">
        <w:rPr>
          <w:rFonts w:cs="Arial"/>
          <w:sz w:val="18"/>
          <w:szCs w:val="18"/>
          <w:rtl/>
        </w:rPr>
        <w:t xml:space="preserve"> </w:t>
      </w:r>
      <w:r w:rsidRPr="00C03494">
        <w:rPr>
          <w:rFonts w:cs="Arial" w:hint="cs"/>
          <w:sz w:val="18"/>
          <w:szCs w:val="18"/>
          <w:rtl/>
        </w:rPr>
        <w:t>פירוש</w:t>
      </w:r>
      <w:r w:rsidRPr="00C03494">
        <w:rPr>
          <w:rFonts w:cs="Arial"/>
          <w:sz w:val="18"/>
          <w:szCs w:val="18"/>
          <w:rtl/>
        </w:rPr>
        <w:t xml:space="preserve"> </w:t>
      </w:r>
      <w:r w:rsidRPr="00C03494">
        <w:rPr>
          <w:rFonts w:cs="Arial" w:hint="cs"/>
          <w:sz w:val="18"/>
          <w:szCs w:val="18"/>
          <w:rtl/>
        </w:rPr>
        <w:t>אריה</w:t>
      </w:r>
      <w:r w:rsidRPr="00C03494">
        <w:rPr>
          <w:rFonts w:cs="Arial"/>
          <w:sz w:val="18"/>
          <w:szCs w:val="18"/>
          <w:rtl/>
        </w:rPr>
        <w:t xml:space="preserve">, </w:t>
      </w:r>
      <w:r w:rsidRPr="00C03494">
        <w:rPr>
          <w:rFonts w:cs="Arial" w:hint="cs"/>
          <w:sz w:val="18"/>
          <w:szCs w:val="18"/>
          <w:rtl/>
        </w:rPr>
        <w:t>ויהודה</w:t>
      </w:r>
      <w:r w:rsidRPr="00C03494">
        <w:rPr>
          <w:rFonts w:cs="Arial"/>
          <w:sz w:val="18"/>
          <w:szCs w:val="18"/>
          <w:rtl/>
        </w:rPr>
        <w:t xml:space="preserve"> </w:t>
      </w:r>
      <w:r w:rsidRPr="00C03494">
        <w:rPr>
          <w:rFonts w:cs="Arial" w:hint="cs"/>
          <w:sz w:val="18"/>
          <w:szCs w:val="18"/>
          <w:rtl/>
        </w:rPr>
        <w:t>נקרא</w:t>
      </w:r>
      <w:r w:rsidRPr="00C03494">
        <w:rPr>
          <w:rFonts w:cs="Arial"/>
          <w:sz w:val="18"/>
          <w:szCs w:val="18"/>
          <w:rtl/>
        </w:rPr>
        <w:t xml:space="preserve"> </w:t>
      </w:r>
      <w:r w:rsidRPr="00C03494">
        <w:rPr>
          <w:rFonts w:cs="Arial" w:hint="cs"/>
          <w:sz w:val="18"/>
          <w:szCs w:val="18"/>
          <w:rtl/>
        </w:rPr>
        <w:t>כך</w:t>
      </w:r>
      <w:r w:rsidRPr="00C03494">
        <w:rPr>
          <w:rFonts w:cs="Arial"/>
          <w:sz w:val="18"/>
          <w:szCs w:val="18"/>
          <w:rtl/>
        </w:rPr>
        <w:t xml:space="preserve"> </w:t>
      </w:r>
      <w:r w:rsidRPr="00C03494">
        <w:rPr>
          <w:rFonts w:cs="Arial" w:hint="cs"/>
          <w:sz w:val="18"/>
          <w:szCs w:val="18"/>
          <w:rtl/>
        </w:rPr>
        <w:t>על</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גור</w:t>
      </w:r>
      <w:r w:rsidRPr="00C03494">
        <w:rPr>
          <w:rFonts w:cs="Arial"/>
          <w:sz w:val="18"/>
          <w:szCs w:val="18"/>
          <w:rtl/>
        </w:rPr>
        <w:t xml:space="preserve"> </w:t>
      </w:r>
      <w:r w:rsidRPr="00C03494">
        <w:rPr>
          <w:rFonts w:cs="Arial" w:hint="cs"/>
          <w:sz w:val="18"/>
          <w:szCs w:val="18"/>
          <w:rtl/>
        </w:rPr>
        <w:t>אריה</w:t>
      </w:r>
      <w:r w:rsidRPr="00C03494">
        <w:rPr>
          <w:rFonts w:cs="Arial"/>
          <w:sz w:val="18"/>
          <w:szCs w:val="18"/>
          <w:rtl/>
        </w:rPr>
        <w:t xml:space="preserve"> </w:t>
      </w:r>
      <w:r w:rsidRPr="00C03494">
        <w:rPr>
          <w:rFonts w:cs="Arial" w:hint="cs"/>
          <w:sz w:val="18"/>
          <w:szCs w:val="18"/>
          <w:rtl/>
        </w:rPr>
        <w:t>יהודה</w:t>
      </w:r>
      <w:r w:rsidRPr="00C03494">
        <w:rPr>
          <w:rFonts w:cs="Arial"/>
          <w:sz w:val="18"/>
          <w:szCs w:val="18"/>
          <w:rtl/>
        </w:rPr>
        <w:t xml:space="preserve"> (</w:t>
      </w:r>
      <w:r w:rsidRPr="00C03494">
        <w:rPr>
          <w:rFonts w:cs="Arial" w:hint="cs"/>
          <w:sz w:val="18"/>
          <w:szCs w:val="18"/>
          <w:rtl/>
        </w:rPr>
        <w:t>בראשית</w:t>
      </w:r>
      <w:r w:rsidRPr="00C03494">
        <w:rPr>
          <w:rFonts w:cs="Arial"/>
          <w:sz w:val="18"/>
          <w:szCs w:val="18"/>
          <w:rtl/>
        </w:rPr>
        <w:t xml:space="preserve"> </w:t>
      </w:r>
      <w:r w:rsidRPr="00C03494">
        <w:rPr>
          <w:rFonts w:cs="Arial" w:hint="cs"/>
          <w:sz w:val="18"/>
          <w:szCs w:val="18"/>
          <w:rtl/>
        </w:rPr>
        <w:t>מט</w:t>
      </w:r>
      <w:r w:rsidRPr="00C03494">
        <w:rPr>
          <w:rFonts w:cs="Arial"/>
          <w:sz w:val="18"/>
          <w:szCs w:val="18"/>
          <w:rtl/>
        </w:rPr>
        <w:t xml:space="preserve">, </w:t>
      </w:r>
      <w:r w:rsidRPr="00C03494">
        <w:rPr>
          <w:rFonts w:cs="Arial" w:hint="cs"/>
          <w:sz w:val="18"/>
          <w:szCs w:val="18"/>
          <w:rtl/>
        </w:rPr>
        <w:t>ט</w:t>
      </w:r>
      <w:r w:rsidRPr="00C03494">
        <w:rPr>
          <w:rFonts w:cs="Arial"/>
          <w:sz w:val="18"/>
          <w:szCs w:val="18"/>
          <w:rtl/>
        </w:rPr>
        <w:t xml:space="preserve">), </w:t>
      </w:r>
      <w:r w:rsidRPr="00C03494">
        <w:rPr>
          <w:rFonts w:cs="Arial" w:hint="cs"/>
          <w:sz w:val="18"/>
          <w:szCs w:val="18"/>
          <w:rtl/>
        </w:rPr>
        <w:t>ולפי</w:t>
      </w:r>
      <w:r w:rsidRPr="00C03494">
        <w:rPr>
          <w:rFonts w:cs="Arial"/>
          <w:sz w:val="18"/>
          <w:szCs w:val="18"/>
          <w:rtl/>
        </w:rPr>
        <w:t xml:space="preserve"> </w:t>
      </w:r>
      <w:r w:rsidRPr="00C03494">
        <w:rPr>
          <w:rFonts w:cs="Arial" w:hint="cs"/>
          <w:sz w:val="18"/>
          <w:szCs w:val="18"/>
          <w:rtl/>
        </w:rPr>
        <w:t>זה</w:t>
      </w:r>
      <w:r w:rsidRPr="00C03494">
        <w:rPr>
          <w:rFonts w:cs="Arial"/>
          <w:sz w:val="18"/>
          <w:szCs w:val="18"/>
          <w:rtl/>
        </w:rPr>
        <w:t xml:space="preserve"> </w:t>
      </w:r>
      <w:r w:rsidRPr="00C03494">
        <w:rPr>
          <w:rFonts w:cs="Arial" w:hint="cs"/>
          <w:sz w:val="18"/>
          <w:szCs w:val="18"/>
          <w:rtl/>
        </w:rPr>
        <w:t>יש</w:t>
      </w:r>
      <w:r w:rsidRPr="00C03494">
        <w:rPr>
          <w:rFonts w:cs="Arial"/>
          <w:sz w:val="18"/>
          <w:szCs w:val="18"/>
          <w:rtl/>
        </w:rPr>
        <w:t xml:space="preserve"> </w:t>
      </w:r>
      <w:r w:rsidRPr="00C03494">
        <w:rPr>
          <w:rFonts w:cs="Arial" w:hint="cs"/>
          <w:sz w:val="18"/>
          <w:szCs w:val="18"/>
          <w:rtl/>
        </w:rPr>
        <w:t>לכתוב</w:t>
      </w:r>
      <w:r w:rsidRPr="00C03494">
        <w:rPr>
          <w:rFonts w:cs="Arial"/>
          <w:sz w:val="18"/>
          <w:szCs w:val="18"/>
          <w:rtl/>
        </w:rPr>
        <w:t xml:space="preserve">: </w:t>
      </w:r>
      <w:r w:rsidRPr="00C03494">
        <w:rPr>
          <w:rFonts w:cs="Arial" w:hint="cs"/>
          <w:sz w:val="18"/>
          <w:szCs w:val="18"/>
          <w:rtl/>
        </w:rPr>
        <w:t>יהודה</w:t>
      </w:r>
      <w:r w:rsidRPr="00C03494">
        <w:rPr>
          <w:rFonts w:cs="Arial"/>
          <w:sz w:val="18"/>
          <w:szCs w:val="18"/>
          <w:rtl/>
        </w:rPr>
        <w:t xml:space="preserve"> </w:t>
      </w:r>
      <w:r w:rsidRPr="00C03494">
        <w:rPr>
          <w:rFonts w:cs="Arial" w:hint="cs"/>
          <w:sz w:val="18"/>
          <w:szCs w:val="18"/>
          <w:rtl/>
        </w:rPr>
        <w:t>דמתקרי</w:t>
      </w:r>
      <w:r w:rsidRPr="00C03494">
        <w:rPr>
          <w:rFonts w:cs="Arial"/>
          <w:sz w:val="18"/>
          <w:szCs w:val="18"/>
          <w:rtl/>
        </w:rPr>
        <w:t xml:space="preserve"> </w:t>
      </w:r>
      <w:r w:rsidRPr="00C03494">
        <w:rPr>
          <w:rFonts w:cs="Arial" w:hint="cs"/>
          <w:sz w:val="18"/>
          <w:szCs w:val="18"/>
          <w:rtl/>
        </w:rPr>
        <w:t>ליב</w:t>
      </w:r>
      <w:r w:rsidRPr="00C03494">
        <w:rPr>
          <w:rFonts w:cs="Arial"/>
          <w:sz w:val="18"/>
          <w:szCs w:val="18"/>
          <w:rtl/>
        </w:rPr>
        <w:t xml:space="preserve">. </w:t>
      </w:r>
      <w:r w:rsidRPr="00C03494">
        <w:rPr>
          <w:rFonts w:cs="Arial" w:hint="cs"/>
          <w:sz w:val="18"/>
          <w:szCs w:val="18"/>
          <w:rtl/>
        </w:rPr>
        <w:t>אבל</w:t>
      </w:r>
      <w:r w:rsidRPr="00C03494">
        <w:rPr>
          <w:rFonts w:cs="Arial"/>
          <w:sz w:val="18"/>
          <w:szCs w:val="18"/>
          <w:rtl/>
        </w:rPr>
        <w:t xml:space="preserve"> </w:t>
      </w:r>
      <w:r w:rsidRPr="00C03494">
        <w:rPr>
          <w:rFonts w:cs="Arial" w:hint="cs"/>
          <w:sz w:val="18"/>
          <w:szCs w:val="18"/>
          <w:rtl/>
        </w:rPr>
        <w:t>יש</w:t>
      </w:r>
      <w:r w:rsidRPr="00C03494">
        <w:rPr>
          <w:rFonts w:cs="Arial"/>
          <w:sz w:val="18"/>
          <w:szCs w:val="18"/>
          <w:rtl/>
        </w:rPr>
        <w:t xml:space="preserve"> </w:t>
      </w:r>
      <w:r w:rsidRPr="00C03494">
        <w:rPr>
          <w:rFonts w:cs="Arial" w:hint="cs"/>
          <w:sz w:val="18"/>
          <w:szCs w:val="18"/>
          <w:rtl/>
        </w:rPr>
        <w:t>אומרים</w:t>
      </w:r>
      <w:r w:rsidRPr="00C03494">
        <w:rPr>
          <w:rFonts w:cs="Arial"/>
          <w:sz w:val="18"/>
          <w:szCs w:val="18"/>
          <w:rtl/>
        </w:rPr>
        <w:t xml:space="preserve"> </w:t>
      </w:r>
      <w:r w:rsidRPr="00C03494">
        <w:rPr>
          <w:rFonts w:cs="Arial" w:hint="cs"/>
          <w:sz w:val="18"/>
          <w:szCs w:val="18"/>
          <w:rtl/>
        </w:rPr>
        <w:t>דכל</w:t>
      </w:r>
      <w:r w:rsidRPr="00C03494">
        <w:rPr>
          <w:rFonts w:cs="Arial"/>
          <w:sz w:val="18"/>
          <w:szCs w:val="18"/>
          <w:rtl/>
        </w:rPr>
        <w:t xml:space="preserve"> </w:t>
      </w:r>
      <w:r w:rsidRPr="00C03494">
        <w:rPr>
          <w:rFonts w:cs="Arial" w:hint="cs"/>
          <w:sz w:val="18"/>
          <w:szCs w:val="18"/>
          <w:rtl/>
        </w:rPr>
        <w:t>ששני</w:t>
      </w:r>
      <w:r w:rsidRPr="00C03494">
        <w:rPr>
          <w:rFonts w:cs="Arial"/>
          <w:sz w:val="18"/>
          <w:szCs w:val="18"/>
          <w:rtl/>
        </w:rPr>
        <w:t xml:space="preserve"> </w:t>
      </w:r>
      <w:r w:rsidRPr="00C03494">
        <w:rPr>
          <w:rFonts w:cs="Arial" w:hint="cs"/>
          <w:sz w:val="18"/>
          <w:szCs w:val="18"/>
          <w:rtl/>
        </w:rPr>
        <w:t>השמות</w:t>
      </w:r>
      <w:r w:rsidRPr="00C03494">
        <w:rPr>
          <w:rFonts w:cs="Arial"/>
          <w:sz w:val="18"/>
          <w:szCs w:val="18"/>
          <w:rtl/>
        </w:rPr>
        <w:t xml:space="preserve"> </w:t>
      </w:r>
      <w:r w:rsidRPr="00C03494">
        <w:rPr>
          <w:rFonts w:cs="Arial" w:hint="cs"/>
          <w:sz w:val="18"/>
          <w:szCs w:val="18"/>
          <w:rtl/>
        </w:rPr>
        <w:t>הם</w:t>
      </w:r>
      <w:r w:rsidRPr="00C03494">
        <w:rPr>
          <w:rFonts w:cs="Arial"/>
          <w:sz w:val="18"/>
          <w:szCs w:val="18"/>
          <w:rtl/>
        </w:rPr>
        <w:t xml:space="preserve"> </w:t>
      </w:r>
      <w:r w:rsidRPr="00C03494">
        <w:rPr>
          <w:rFonts w:cs="Arial" w:hint="cs"/>
          <w:sz w:val="18"/>
          <w:szCs w:val="18"/>
          <w:rtl/>
        </w:rPr>
        <w:t>בלשון</w:t>
      </w:r>
      <w:r w:rsidRPr="00C03494">
        <w:rPr>
          <w:rFonts w:cs="Arial"/>
          <w:sz w:val="18"/>
          <w:szCs w:val="18"/>
          <w:rtl/>
        </w:rPr>
        <w:t xml:space="preserve"> </w:t>
      </w:r>
      <w:r w:rsidRPr="00C03494">
        <w:rPr>
          <w:rFonts w:cs="Arial" w:hint="cs"/>
          <w:sz w:val="18"/>
          <w:szCs w:val="18"/>
          <w:rtl/>
        </w:rPr>
        <w:t>הקודש</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דמתקרי</w:t>
      </w:r>
      <w:r w:rsidRPr="00C03494">
        <w:rPr>
          <w:rFonts w:cs="Arial"/>
          <w:sz w:val="18"/>
          <w:szCs w:val="18"/>
          <w:rtl/>
        </w:rPr>
        <w:t xml:space="preserve">, </w:t>
      </w:r>
      <w:r w:rsidRPr="00C03494">
        <w:rPr>
          <w:rFonts w:cs="Arial" w:hint="cs"/>
          <w:sz w:val="18"/>
          <w:szCs w:val="18"/>
          <w:rtl/>
        </w:rPr>
        <w:t>ואם</w:t>
      </w:r>
      <w:r w:rsidRPr="00C03494">
        <w:rPr>
          <w:rFonts w:cs="Arial"/>
          <w:sz w:val="18"/>
          <w:szCs w:val="18"/>
          <w:rtl/>
        </w:rPr>
        <w:t xml:space="preserve"> </w:t>
      </w:r>
      <w:r w:rsidRPr="00C03494">
        <w:rPr>
          <w:rFonts w:cs="Arial" w:hint="cs"/>
          <w:sz w:val="18"/>
          <w:szCs w:val="18"/>
          <w:rtl/>
        </w:rPr>
        <w:t>האחד</w:t>
      </w:r>
      <w:r w:rsidRPr="00C03494">
        <w:rPr>
          <w:rFonts w:cs="Arial"/>
          <w:sz w:val="18"/>
          <w:szCs w:val="18"/>
          <w:rtl/>
        </w:rPr>
        <w:t xml:space="preserve"> </w:t>
      </w:r>
      <w:r w:rsidRPr="00C03494">
        <w:rPr>
          <w:rFonts w:cs="Arial" w:hint="cs"/>
          <w:sz w:val="18"/>
          <w:szCs w:val="18"/>
          <w:rtl/>
        </w:rPr>
        <w:t>בלשון</w:t>
      </w:r>
      <w:r w:rsidRPr="00C03494">
        <w:rPr>
          <w:rFonts w:cs="Arial"/>
          <w:sz w:val="18"/>
          <w:szCs w:val="18"/>
          <w:rtl/>
        </w:rPr>
        <w:t xml:space="preserve"> </w:t>
      </w:r>
      <w:r w:rsidRPr="00C03494">
        <w:rPr>
          <w:rFonts w:cs="Arial" w:hint="cs"/>
          <w:sz w:val="18"/>
          <w:szCs w:val="18"/>
          <w:rtl/>
        </w:rPr>
        <w:t>לעז</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המכונה</w:t>
      </w:r>
      <w:r w:rsidRPr="00C03494">
        <w:rPr>
          <w:rFonts w:cs="Arial"/>
          <w:sz w:val="18"/>
          <w:szCs w:val="18"/>
          <w:rtl/>
        </w:rPr>
        <w:t xml:space="preserve"> (</w:t>
      </w:r>
      <w:r w:rsidRPr="00C03494">
        <w:rPr>
          <w:rFonts w:cs="Arial" w:hint="cs"/>
          <w:sz w:val="18"/>
          <w:szCs w:val="18"/>
          <w:rtl/>
        </w:rPr>
        <w:t>הג</w:t>
      </w:r>
      <w:r>
        <w:rPr>
          <w:rFonts w:cs="Arial" w:hint="cs"/>
          <w:sz w:val="18"/>
          <w:szCs w:val="18"/>
          <w:rtl/>
        </w:rPr>
        <w:t>ה"</w:t>
      </w:r>
      <w:r w:rsidRPr="00C03494">
        <w:rPr>
          <w:rFonts w:cs="Arial" w:hint="cs"/>
          <w:sz w:val="18"/>
          <w:szCs w:val="18"/>
          <w:rtl/>
        </w:rPr>
        <w:t>מ</w:t>
      </w:r>
      <w:r w:rsidRPr="00C03494">
        <w:rPr>
          <w:rFonts w:cs="Arial"/>
          <w:sz w:val="18"/>
          <w:szCs w:val="18"/>
          <w:rtl/>
        </w:rPr>
        <w:t xml:space="preserve"> </w:t>
      </w:r>
      <w:r>
        <w:rPr>
          <w:rFonts w:cs="Arial" w:hint="cs"/>
          <w:sz w:val="18"/>
          <w:szCs w:val="18"/>
          <w:rtl/>
        </w:rPr>
        <w:t>ר"פ</w:t>
      </w:r>
      <w:r w:rsidRPr="00C03494">
        <w:rPr>
          <w:rFonts w:cs="Arial"/>
          <w:sz w:val="18"/>
          <w:szCs w:val="18"/>
          <w:rtl/>
        </w:rPr>
        <w:t xml:space="preserve"> </w:t>
      </w:r>
      <w:r w:rsidRPr="00C03494">
        <w:rPr>
          <w:rFonts w:cs="Arial" w:hint="cs"/>
          <w:sz w:val="18"/>
          <w:szCs w:val="18"/>
          <w:rtl/>
        </w:rPr>
        <w:t>וכל</w:t>
      </w:r>
      <w:r w:rsidRPr="00C03494">
        <w:rPr>
          <w:rFonts w:cs="Arial"/>
          <w:sz w:val="18"/>
          <w:szCs w:val="18"/>
          <w:rtl/>
        </w:rPr>
        <w:t xml:space="preserve"> </w:t>
      </w:r>
      <w:r w:rsidRPr="00C03494">
        <w:rPr>
          <w:rFonts w:cs="Arial" w:hint="cs"/>
          <w:sz w:val="18"/>
          <w:szCs w:val="18"/>
          <w:rtl/>
        </w:rPr>
        <w:t>בו</w:t>
      </w:r>
      <w:r w:rsidRPr="00C03494">
        <w:rPr>
          <w:rFonts w:cs="Arial"/>
          <w:sz w:val="18"/>
          <w:szCs w:val="18"/>
          <w:rtl/>
        </w:rPr>
        <w:t xml:space="preserve">). </w:t>
      </w:r>
      <w:r w:rsidRPr="00C03494">
        <w:rPr>
          <w:rFonts w:cs="Arial" w:hint="cs"/>
          <w:sz w:val="18"/>
          <w:szCs w:val="18"/>
          <w:rtl/>
        </w:rPr>
        <w:t>ואין</w:t>
      </w:r>
      <w:r w:rsidRPr="00C03494">
        <w:rPr>
          <w:rFonts w:cs="Arial"/>
          <w:sz w:val="18"/>
          <w:szCs w:val="18"/>
          <w:rtl/>
        </w:rPr>
        <w:t xml:space="preserve"> </w:t>
      </w:r>
      <w:r w:rsidRPr="00C03494">
        <w:rPr>
          <w:rFonts w:cs="Arial" w:hint="cs"/>
          <w:sz w:val="18"/>
          <w:szCs w:val="18"/>
          <w:rtl/>
        </w:rPr>
        <w:t>חלוק</w:t>
      </w:r>
      <w:r w:rsidRPr="00C03494">
        <w:rPr>
          <w:rFonts w:cs="Arial"/>
          <w:sz w:val="18"/>
          <w:szCs w:val="18"/>
          <w:rtl/>
        </w:rPr>
        <w:t xml:space="preserve"> </w:t>
      </w:r>
      <w:r w:rsidRPr="00C03494">
        <w:rPr>
          <w:rFonts w:cs="Arial" w:hint="cs"/>
          <w:sz w:val="18"/>
          <w:szCs w:val="18"/>
          <w:rtl/>
        </w:rPr>
        <w:t>בין</w:t>
      </w:r>
      <w:r w:rsidRPr="00C03494">
        <w:rPr>
          <w:rFonts w:cs="Arial"/>
          <w:sz w:val="18"/>
          <w:szCs w:val="18"/>
          <w:rtl/>
        </w:rPr>
        <w:t xml:space="preserve"> </w:t>
      </w:r>
      <w:r w:rsidRPr="00C03494">
        <w:rPr>
          <w:rFonts w:cs="Arial" w:hint="cs"/>
          <w:sz w:val="18"/>
          <w:szCs w:val="18"/>
          <w:rtl/>
        </w:rPr>
        <w:t>אם</w:t>
      </w:r>
      <w:r w:rsidRPr="00C03494">
        <w:rPr>
          <w:rFonts w:cs="Arial"/>
          <w:sz w:val="18"/>
          <w:szCs w:val="18"/>
          <w:rtl/>
        </w:rPr>
        <w:t xml:space="preserve"> </w:t>
      </w:r>
      <w:r w:rsidRPr="00C03494">
        <w:rPr>
          <w:rFonts w:cs="Arial" w:hint="cs"/>
          <w:sz w:val="18"/>
          <w:szCs w:val="18"/>
          <w:rtl/>
        </w:rPr>
        <w:t>הוא</w:t>
      </w:r>
      <w:r w:rsidRPr="00C03494">
        <w:rPr>
          <w:rFonts w:cs="Arial"/>
          <w:sz w:val="18"/>
          <w:szCs w:val="18"/>
          <w:rtl/>
        </w:rPr>
        <w:t xml:space="preserve"> </w:t>
      </w:r>
      <w:r w:rsidRPr="00C03494">
        <w:rPr>
          <w:rFonts w:cs="Arial" w:hint="cs"/>
          <w:sz w:val="18"/>
          <w:szCs w:val="18"/>
          <w:rtl/>
        </w:rPr>
        <w:t>יוצא</w:t>
      </w:r>
      <w:r w:rsidRPr="00C03494">
        <w:rPr>
          <w:rFonts w:cs="Arial"/>
          <w:sz w:val="18"/>
          <w:szCs w:val="18"/>
          <w:rtl/>
        </w:rPr>
        <w:t xml:space="preserve"> </w:t>
      </w:r>
      <w:r w:rsidRPr="00C03494">
        <w:rPr>
          <w:rFonts w:cs="Arial" w:hint="cs"/>
          <w:sz w:val="18"/>
          <w:szCs w:val="18"/>
          <w:rtl/>
        </w:rPr>
        <w:t>מן</w:t>
      </w:r>
      <w:r w:rsidRPr="00C03494">
        <w:rPr>
          <w:rFonts w:cs="Arial"/>
          <w:sz w:val="18"/>
          <w:szCs w:val="18"/>
          <w:rtl/>
        </w:rPr>
        <w:t xml:space="preserve"> </w:t>
      </w:r>
      <w:r w:rsidRPr="00C03494">
        <w:rPr>
          <w:rFonts w:cs="Arial" w:hint="cs"/>
          <w:sz w:val="18"/>
          <w:szCs w:val="18"/>
          <w:rtl/>
        </w:rPr>
        <w:t>השם</w:t>
      </w:r>
      <w:r w:rsidRPr="00C03494">
        <w:rPr>
          <w:rFonts w:cs="Arial"/>
          <w:sz w:val="18"/>
          <w:szCs w:val="18"/>
          <w:rtl/>
        </w:rPr>
        <w:t xml:space="preserve"> </w:t>
      </w:r>
      <w:r w:rsidRPr="00C03494">
        <w:rPr>
          <w:rFonts w:cs="Arial" w:hint="cs"/>
          <w:sz w:val="18"/>
          <w:szCs w:val="18"/>
          <w:rtl/>
        </w:rPr>
        <w:t>או</w:t>
      </w:r>
      <w:r w:rsidRPr="00C03494">
        <w:rPr>
          <w:rFonts w:cs="Arial"/>
          <w:sz w:val="18"/>
          <w:szCs w:val="18"/>
          <w:rtl/>
        </w:rPr>
        <w:t xml:space="preserve"> </w:t>
      </w:r>
      <w:r w:rsidRPr="00C03494">
        <w:rPr>
          <w:rFonts w:cs="Arial" w:hint="cs"/>
          <w:sz w:val="18"/>
          <w:szCs w:val="18"/>
          <w:rtl/>
        </w:rPr>
        <w:t>לא</w:t>
      </w:r>
      <w:r w:rsidR="00FE1451">
        <w:rPr>
          <w:rFonts w:cs="Arial" w:hint="cs"/>
          <w:sz w:val="18"/>
          <w:szCs w:val="18"/>
          <w:rtl/>
        </w:rPr>
        <w:t>,</w:t>
      </w:r>
      <w:r w:rsidRPr="00C03494">
        <w:rPr>
          <w:rFonts w:cs="Arial"/>
          <w:sz w:val="18"/>
          <w:szCs w:val="18"/>
          <w:rtl/>
        </w:rPr>
        <w:t xml:space="preserve"> </w:t>
      </w:r>
      <w:r w:rsidRPr="00C03494">
        <w:rPr>
          <w:rFonts w:cs="Arial" w:hint="cs"/>
          <w:sz w:val="18"/>
          <w:szCs w:val="18"/>
          <w:rtl/>
        </w:rPr>
        <w:t>ולכן</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יהודה</w:t>
      </w:r>
      <w:r w:rsidRPr="00C03494">
        <w:rPr>
          <w:rFonts w:cs="Arial"/>
          <w:sz w:val="18"/>
          <w:szCs w:val="18"/>
          <w:rtl/>
        </w:rPr>
        <w:t xml:space="preserve"> </w:t>
      </w:r>
      <w:r w:rsidRPr="00C03494">
        <w:rPr>
          <w:rFonts w:cs="Arial" w:hint="cs"/>
          <w:sz w:val="18"/>
          <w:szCs w:val="18"/>
          <w:rtl/>
        </w:rPr>
        <w:t>המכונה</w:t>
      </w:r>
      <w:r w:rsidRPr="00C03494">
        <w:rPr>
          <w:rFonts w:cs="Arial"/>
          <w:sz w:val="18"/>
          <w:szCs w:val="18"/>
          <w:rtl/>
        </w:rPr>
        <w:t xml:space="preserve"> </w:t>
      </w:r>
      <w:r w:rsidRPr="00C03494">
        <w:rPr>
          <w:rFonts w:cs="Arial" w:hint="cs"/>
          <w:sz w:val="18"/>
          <w:szCs w:val="18"/>
          <w:rtl/>
        </w:rPr>
        <w:t>ליב</w:t>
      </w:r>
      <w:r w:rsidRPr="00C03494">
        <w:rPr>
          <w:rFonts w:cs="Arial"/>
          <w:sz w:val="18"/>
          <w:szCs w:val="18"/>
          <w:rtl/>
        </w:rPr>
        <w:t xml:space="preserve">, </w:t>
      </w:r>
      <w:r w:rsidRPr="00C03494">
        <w:rPr>
          <w:rFonts w:cs="Arial" w:hint="cs"/>
          <w:sz w:val="18"/>
          <w:szCs w:val="18"/>
          <w:rtl/>
        </w:rPr>
        <w:t>וכל</w:t>
      </w:r>
      <w:r w:rsidRPr="00C03494">
        <w:rPr>
          <w:rFonts w:cs="Arial"/>
          <w:sz w:val="18"/>
          <w:szCs w:val="18"/>
          <w:rtl/>
        </w:rPr>
        <w:t xml:space="preserve"> </w:t>
      </w:r>
      <w:r w:rsidRPr="00C03494">
        <w:rPr>
          <w:rFonts w:cs="Arial" w:hint="cs"/>
          <w:sz w:val="18"/>
          <w:szCs w:val="18"/>
          <w:rtl/>
        </w:rPr>
        <w:t>כיוצא</w:t>
      </w:r>
      <w:r w:rsidRPr="00C03494">
        <w:rPr>
          <w:rFonts w:cs="Arial"/>
          <w:sz w:val="18"/>
          <w:szCs w:val="18"/>
          <w:rtl/>
        </w:rPr>
        <w:t xml:space="preserve"> </w:t>
      </w:r>
      <w:r w:rsidRPr="00C03494">
        <w:rPr>
          <w:rFonts w:cs="Arial" w:hint="cs"/>
          <w:sz w:val="18"/>
          <w:szCs w:val="18"/>
          <w:rtl/>
        </w:rPr>
        <w:t>בזה</w:t>
      </w:r>
      <w:r w:rsidRPr="00C03494">
        <w:rPr>
          <w:rFonts w:cs="Arial"/>
          <w:sz w:val="18"/>
          <w:szCs w:val="18"/>
          <w:rtl/>
        </w:rPr>
        <w:t xml:space="preserve">, </w:t>
      </w:r>
      <w:r w:rsidRPr="00C03494">
        <w:rPr>
          <w:rFonts w:cs="Arial" w:hint="cs"/>
          <w:sz w:val="18"/>
          <w:szCs w:val="18"/>
          <w:rtl/>
        </w:rPr>
        <w:t>וכן</w:t>
      </w:r>
      <w:r w:rsidRPr="00C03494">
        <w:rPr>
          <w:rFonts w:cs="Arial"/>
          <w:sz w:val="18"/>
          <w:szCs w:val="18"/>
          <w:rtl/>
        </w:rPr>
        <w:t xml:space="preserve"> </w:t>
      </w:r>
      <w:r w:rsidRPr="00C03494">
        <w:rPr>
          <w:rFonts w:cs="Arial" w:hint="cs"/>
          <w:sz w:val="18"/>
          <w:szCs w:val="18"/>
          <w:rtl/>
        </w:rPr>
        <w:t>נוהגין</w:t>
      </w:r>
      <w:r w:rsidRPr="00C03494">
        <w:rPr>
          <w:rFonts w:cs="Arial"/>
          <w:sz w:val="18"/>
          <w:szCs w:val="18"/>
          <w:rtl/>
        </w:rPr>
        <w:t xml:space="preserve"> </w:t>
      </w:r>
      <w:r w:rsidRPr="00C03494">
        <w:rPr>
          <w:rFonts w:cs="Arial" w:hint="cs"/>
          <w:sz w:val="18"/>
          <w:szCs w:val="18"/>
          <w:rtl/>
        </w:rPr>
        <w:t>במדינות</w:t>
      </w:r>
      <w:r w:rsidRPr="00C03494">
        <w:rPr>
          <w:rFonts w:cs="Arial"/>
          <w:sz w:val="18"/>
          <w:szCs w:val="18"/>
          <w:rtl/>
        </w:rPr>
        <w:t xml:space="preserve"> </w:t>
      </w:r>
      <w:r w:rsidRPr="00C03494">
        <w:rPr>
          <w:rFonts w:cs="Arial" w:hint="cs"/>
          <w:sz w:val="18"/>
          <w:szCs w:val="18"/>
          <w:rtl/>
        </w:rPr>
        <w:t>אלו</w:t>
      </w:r>
      <w:r w:rsidRPr="00C03494">
        <w:rPr>
          <w:rFonts w:cs="Arial"/>
          <w:sz w:val="18"/>
          <w:szCs w:val="18"/>
          <w:rtl/>
        </w:rPr>
        <w:t xml:space="preserve">. </w:t>
      </w:r>
      <w:r w:rsidRPr="00C03494">
        <w:rPr>
          <w:rFonts w:cs="Arial" w:hint="cs"/>
          <w:sz w:val="18"/>
          <w:szCs w:val="18"/>
          <w:rtl/>
        </w:rPr>
        <w:t>וכל</w:t>
      </w:r>
      <w:r w:rsidRPr="00C03494">
        <w:rPr>
          <w:rFonts w:cs="Arial"/>
          <w:sz w:val="18"/>
          <w:szCs w:val="18"/>
          <w:rtl/>
        </w:rPr>
        <w:t xml:space="preserve"> </w:t>
      </w:r>
      <w:r w:rsidRPr="00C03494">
        <w:rPr>
          <w:rFonts w:cs="Arial" w:hint="cs"/>
          <w:sz w:val="18"/>
          <w:szCs w:val="18"/>
          <w:rtl/>
        </w:rPr>
        <w:t>כינוי</w:t>
      </w:r>
      <w:r w:rsidRPr="00C03494">
        <w:rPr>
          <w:rFonts w:cs="Arial"/>
          <w:sz w:val="18"/>
          <w:szCs w:val="18"/>
          <w:rtl/>
        </w:rPr>
        <w:t xml:space="preserve"> </w:t>
      </w:r>
      <w:r w:rsidRPr="00C03494">
        <w:rPr>
          <w:rFonts w:cs="Arial" w:hint="cs"/>
          <w:sz w:val="18"/>
          <w:szCs w:val="18"/>
          <w:rtl/>
        </w:rPr>
        <w:t>משפחה</w:t>
      </w:r>
      <w:r w:rsidRPr="00C03494">
        <w:rPr>
          <w:rFonts w:cs="Arial"/>
          <w:sz w:val="18"/>
          <w:szCs w:val="18"/>
          <w:rtl/>
        </w:rPr>
        <w:t xml:space="preserve"> </w:t>
      </w:r>
      <w:r w:rsidRPr="00C03494">
        <w:rPr>
          <w:rFonts w:cs="Arial" w:hint="cs"/>
          <w:sz w:val="18"/>
          <w:szCs w:val="18"/>
          <w:rtl/>
        </w:rPr>
        <w:t>אין</w:t>
      </w:r>
      <w:r w:rsidRPr="00C03494">
        <w:rPr>
          <w:rFonts w:cs="Arial"/>
          <w:sz w:val="18"/>
          <w:szCs w:val="18"/>
          <w:rtl/>
        </w:rPr>
        <w:t xml:space="preserve"> </w:t>
      </w:r>
      <w:r w:rsidRPr="00C03494">
        <w:rPr>
          <w:rFonts w:cs="Arial" w:hint="cs"/>
          <w:sz w:val="18"/>
          <w:szCs w:val="18"/>
          <w:rtl/>
        </w:rPr>
        <w:t>לכתבו</w:t>
      </w:r>
      <w:r w:rsidRPr="00C03494">
        <w:rPr>
          <w:rFonts w:cs="Arial"/>
          <w:sz w:val="18"/>
          <w:szCs w:val="18"/>
          <w:rtl/>
        </w:rPr>
        <w:t xml:space="preserve"> </w:t>
      </w:r>
      <w:r w:rsidRPr="00C03494">
        <w:rPr>
          <w:rFonts w:cs="Arial" w:hint="cs"/>
          <w:sz w:val="18"/>
          <w:szCs w:val="18"/>
          <w:rtl/>
        </w:rPr>
        <w:t>כלל</w:t>
      </w:r>
      <w:r w:rsidRPr="00C03494">
        <w:rPr>
          <w:rFonts w:cs="Arial"/>
          <w:sz w:val="18"/>
          <w:szCs w:val="18"/>
          <w:rtl/>
        </w:rPr>
        <w:t xml:space="preserve">, </w:t>
      </w:r>
      <w:r w:rsidRPr="00C03494">
        <w:rPr>
          <w:rFonts w:cs="Arial" w:hint="cs"/>
          <w:sz w:val="18"/>
          <w:szCs w:val="18"/>
          <w:rtl/>
        </w:rPr>
        <w:t>בין</w:t>
      </w:r>
      <w:r w:rsidRPr="00C03494">
        <w:rPr>
          <w:rFonts w:cs="Arial"/>
          <w:sz w:val="18"/>
          <w:szCs w:val="18"/>
          <w:rtl/>
        </w:rPr>
        <w:t xml:space="preserve"> </w:t>
      </w:r>
      <w:r w:rsidRPr="00C03494">
        <w:rPr>
          <w:rFonts w:cs="Arial" w:hint="cs"/>
          <w:sz w:val="18"/>
          <w:szCs w:val="18"/>
          <w:rtl/>
        </w:rPr>
        <w:t>שהוא</w:t>
      </w:r>
      <w:r w:rsidRPr="00C03494">
        <w:rPr>
          <w:rFonts w:cs="Arial"/>
          <w:sz w:val="18"/>
          <w:szCs w:val="18"/>
          <w:rtl/>
        </w:rPr>
        <w:t xml:space="preserve"> </w:t>
      </w:r>
      <w:r w:rsidRPr="00C03494">
        <w:rPr>
          <w:rFonts w:cs="Arial" w:hint="cs"/>
          <w:sz w:val="18"/>
          <w:szCs w:val="18"/>
          <w:rtl/>
        </w:rPr>
        <w:t>לשון</w:t>
      </w:r>
      <w:r w:rsidRPr="00C03494">
        <w:rPr>
          <w:rFonts w:cs="Arial"/>
          <w:sz w:val="18"/>
          <w:szCs w:val="18"/>
          <w:rtl/>
        </w:rPr>
        <w:t xml:space="preserve"> </w:t>
      </w:r>
      <w:r w:rsidRPr="00C03494">
        <w:rPr>
          <w:rFonts w:cs="Arial" w:hint="cs"/>
          <w:sz w:val="18"/>
          <w:szCs w:val="18"/>
          <w:rtl/>
        </w:rPr>
        <w:t>עברי</w:t>
      </w:r>
      <w:r w:rsidRPr="00C03494">
        <w:rPr>
          <w:rFonts w:cs="Arial"/>
          <w:sz w:val="18"/>
          <w:szCs w:val="18"/>
          <w:rtl/>
        </w:rPr>
        <w:t xml:space="preserve"> </w:t>
      </w:r>
      <w:r w:rsidRPr="00C03494">
        <w:rPr>
          <w:rFonts w:cs="Arial" w:hint="cs"/>
          <w:sz w:val="18"/>
          <w:szCs w:val="18"/>
          <w:rtl/>
        </w:rPr>
        <w:t>או</w:t>
      </w:r>
      <w:r w:rsidRPr="00C03494">
        <w:rPr>
          <w:rFonts w:cs="Arial"/>
          <w:sz w:val="18"/>
          <w:szCs w:val="18"/>
          <w:rtl/>
        </w:rPr>
        <w:t xml:space="preserve"> </w:t>
      </w:r>
      <w:r w:rsidRPr="00C03494">
        <w:rPr>
          <w:rFonts w:cs="Arial" w:hint="cs"/>
          <w:sz w:val="18"/>
          <w:szCs w:val="18"/>
          <w:rtl/>
        </w:rPr>
        <w:t>לעז</w:t>
      </w:r>
      <w:r w:rsidRPr="00C03494">
        <w:rPr>
          <w:rFonts w:cs="Arial"/>
          <w:sz w:val="18"/>
          <w:szCs w:val="18"/>
          <w:rtl/>
        </w:rPr>
        <w:t xml:space="preserve"> (</w:t>
      </w:r>
      <w:r w:rsidRPr="00C03494">
        <w:rPr>
          <w:rFonts w:cs="Arial" w:hint="cs"/>
          <w:sz w:val="18"/>
          <w:szCs w:val="18"/>
          <w:rtl/>
        </w:rPr>
        <w:t>סדר</w:t>
      </w:r>
      <w:r w:rsidRPr="00C03494">
        <w:rPr>
          <w:rFonts w:cs="Arial"/>
          <w:sz w:val="18"/>
          <w:szCs w:val="18"/>
          <w:rtl/>
        </w:rPr>
        <w:t xml:space="preserve"> </w:t>
      </w:r>
      <w:r w:rsidRPr="00C03494">
        <w:rPr>
          <w:rFonts w:cs="Arial" w:hint="cs"/>
          <w:sz w:val="18"/>
          <w:szCs w:val="18"/>
          <w:rtl/>
        </w:rPr>
        <w:t>גיטין</w:t>
      </w:r>
      <w:r w:rsidRPr="00C03494">
        <w:rPr>
          <w:rFonts w:cs="Arial"/>
          <w:sz w:val="18"/>
          <w:szCs w:val="18"/>
          <w:rtl/>
        </w:rPr>
        <w:t xml:space="preserve">), </w:t>
      </w:r>
      <w:r w:rsidRPr="00C03494">
        <w:rPr>
          <w:rFonts w:cs="Arial" w:hint="cs"/>
          <w:sz w:val="18"/>
          <w:szCs w:val="18"/>
          <w:rtl/>
        </w:rPr>
        <w:t>והכי</w:t>
      </w:r>
      <w:r w:rsidRPr="00C03494">
        <w:rPr>
          <w:rFonts w:cs="Arial"/>
          <w:sz w:val="18"/>
          <w:szCs w:val="18"/>
          <w:rtl/>
        </w:rPr>
        <w:t xml:space="preserve"> </w:t>
      </w:r>
      <w:r w:rsidRPr="00C03494">
        <w:rPr>
          <w:rFonts w:cs="Arial" w:hint="cs"/>
          <w:sz w:val="18"/>
          <w:szCs w:val="18"/>
          <w:rtl/>
        </w:rPr>
        <w:t>נהוג</w:t>
      </w:r>
      <w:r w:rsidRPr="00C03494">
        <w:rPr>
          <w:rFonts w:cs="Arial"/>
          <w:sz w:val="18"/>
          <w:szCs w:val="18"/>
          <w:rtl/>
        </w:rPr>
        <w:t xml:space="preserve">. </w:t>
      </w:r>
      <w:r w:rsidRPr="00C03494">
        <w:rPr>
          <w:rFonts w:cs="Arial" w:hint="cs"/>
          <w:sz w:val="18"/>
          <w:szCs w:val="18"/>
          <w:rtl/>
        </w:rPr>
        <w:t>מי</w:t>
      </w:r>
      <w:r w:rsidRPr="00C03494">
        <w:rPr>
          <w:rFonts w:cs="Arial"/>
          <w:sz w:val="18"/>
          <w:szCs w:val="18"/>
          <w:rtl/>
        </w:rPr>
        <w:t xml:space="preserve"> </w:t>
      </w:r>
      <w:r w:rsidRPr="00C03494">
        <w:rPr>
          <w:rFonts w:cs="Arial" w:hint="cs"/>
          <w:sz w:val="18"/>
          <w:szCs w:val="18"/>
          <w:rtl/>
        </w:rPr>
        <w:t>שיש</w:t>
      </w:r>
      <w:r w:rsidRPr="00C03494">
        <w:rPr>
          <w:rFonts w:cs="Arial"/>
          <w:sz w:val="18"/>
          <w:szCs w:val="18"/>
          <w:rtl/>
        </w:rPr>
        <w:t xml:space="preserve"> </w:t>
      </w:r>
      <w:r w:rsidRPr="00C03494">
        <w:rPr>
          <w:rFonts w:cs="Arial" w:hint="cs"/>
          <w:sz w:val="18"/>
          <w:szCs w:val="18"/>
          <w:rtl/>
        </w:rPr>
        <w:t>לו</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עברי</w:t>
      </w:r>
      <w:r w:rsidRPr="00C03494">
        <w:rPr>
          <w:rFonts w:cs="Arial"/>
          <w:sz w:val="18"/>
          <w:szCs w:val="18"/>
          <w:rtl/>
        </w:rPr>
        <w:t xml:space="preserve"> </w:t>
      </w:r>
      <w:r w:rsidRPr="00C03494">
        <w:rPr>
          <w:rFonts w:cs="Arial" w:hint="cs"/>
          <w:sz w:val="18"/>
          <w:szCs w:val="18"/>
          <w:rtl/>
        </w:rPr>
        <w:t>שעולה</w:t>
      </w:r>
      <w:r w:rsidRPr="00C03494">
        <w:rPr>
          <w:rFonts w:cs="Arial"/>
          <w:sz w:val="18"/>
          <w:szCs w:val="18"/>
          <w:rtl/>
        </w:rPr>
        <w:t xml:space="preserve"> </w:t>
      </w:r>
      <w:r w:rsidRPr="00C03494">
        <w:rPr>
          <w:rFonts w:cs="Arial" w:hint="cs"/>
          <w:sz w:val="18"/>
          <w:szCs w:val="18"/>
          <w:rtl/>
        </w:rPr>
        <w:t>בו</w:t>
      </w:r>
      <w:r w:rsidRPr="00C03494">
        <w:rPr>
          <w:rFonts w:cs="Arial"/>
          <w:sz w:val="18"/>
          <w:szCs w:val="18"/>
          <w:rtl/>
        </w:rPr>
        <w:t xml:space="preserve"> </w:t>
      </w:r>
      <w:r w:rsidRPr="00C03494">
        <w:rPr>
          <w:rFonts w:cs="Arial" w:hint="cs"/>
          <w:sz w:val="18"/>
          <w:szCs w:val="18"/>
          <w:rtl/>
        </w:rPr>
        <w:t>לקרוא</w:t>
      </w:r>
      <w:r w:rsidRPr="00C03494">
        <w:rPr>
          <w:rFonts w:cs="Arial"/>
          <w:sz w:val="18"/>
          <w:szCs w:val="18"/>
          <w:rtl/>
        </w:rPr>
        <w:t xml:space="preserve"> </w:t>
      </w:r>
      <w:r w:rsidRPr="00C03494">
        <w:rPr>
          <w:rFonts w:cs="Arial" w:hint="cs"/>
          <w:sz w:val="18"/>
          <w:szCs w:val="18"/>
          <w:rtl/>
        </w:rPr>
        <w:t>בתורה</w:t>
      </w:r>
      <w:r w:rsidRPr="00C03494">
        <w:rPr>
          <w:rFonts w:cs="Arial"/>
          <w:sz w:val="18"/>
          <w:szCs w:val="18"/>
          <w:rtl/>
        </w:rPr>
        <w:t xml:space="preserve">, </w:t>
      </w:r>
      <w:r w:rsidRPr="00C03494">
        <w:rPr>
          <w:rFonts w:cs="Arial" w:hint="cs"/>
          <w:sz w:val="18"/>
          <w:szCs w:val="18"/>
          <w:rtl/>
        </w:rPr>
        <w:t>ויש</w:t>
      </w:r>
      <w:r w:rsidRPr="00C03494">
        <w:rPr>
          <w:rFonts w:cs="Arial"/>
          <w:sz w:val="18"/>
          <w:szCs w:val="18"/>
          <w:rtl/>
        </w:rPr>
        <w:t xml:space="preserve"> </w:t>
      </w:r>
      <w:r w:rsidRPr="00C03494">
        <w:rPr>
          <w:rFonts w:cs="Arial" w:hint="cs"/>
          <w:sz w:val="18"/>
          <w:szCs w:val="18"/>
          <w:rtl/>
        </w:rPr>
        <w:t>לו</w:t>
      </w:r>
      <w:r w:rsidRPr="00C03494">
        <w:rPr>
          <w:rFonts w:cs="Arial"/>
          <w:sz w:val="18"/>
          <w:szCs w:val="18"/>
          <w:rtl/>
        </w:rPr>
        <w:t xml:space="preserve"> </w:t>
      </w:r>
      <w:r w:rsidRPr="00C03494">
        <w:rPr>
          <w:rFonts w:cs="Arial" w:hint="cs"/>
          <w:sz w:val="18"/>
          <w:szCs w:val="18"/>
          <w:rtl/>
        </w:rPr>
        <w:t>נמי</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בלשון</w:t>
      </w:r>
      <w:r w:rsidRPr="00C03494">
        <w:rPr>
          <w:rFonts w:cs="Arial"/>
          <w:sz w:val="18"/>
          <w:szCs w:val="18"/>
          <w:rtl/>
        </w:rPr>
        <w:t xml:space="preserve"> </w:t>
      </w:r>
      <w:r w:rsidRPr="00C03494">
        <w:rPr>
          <w:rFonts w:cs="Arial" w:hint="cs"/>
          <w:sz w:val="18"/>
          <w:szCs w:val="18"/>
          <w:rtl/>
        </w:rPr>
        <w:t>לעז</w:t>
      </w:r>
      <w:r w:rsidRPr="00C03494">
        <w:rPr>
          <w:rFonts w:cs="Arial"/>
          <w:sz w:val="18"/>
          <w:szCs w:val="18"/>
          <w:rtl/>
        </w:rPr>
        <w:t xml:space="preserve">, </w:t>
      </w:r>
      <w:r w:rsidRPr="00C03494">
        <w:rPr>
          <w:rFonts w:cs="Arial" w:hint="cs"/>
          <w:sz w:val="18"/>
          <w:szCs w:val="18"/>
          <w:rtl/>
        </w:rPr>
        <w:t>עושין</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העברי</w:t>
      </w:r>
      <w:r w:rsidRPr="00C03494">
        <w:rPr>
          <w:rFonts w:cs="Arial"/>
          <w:sz w:val="18"/>
          <w:szCs w:val="18"/>
          <w:rtl/>
        </w:rPr>
        <w:t xml:space="preserve"> </w:t>
      </w:r>
      <w:r w:rsidRPr="00C03494">
        <w:rPr>
          <w:rFonts w:cs="Arial" w:hint="cs"/>
          <w:sz w:val="18"/>
          <w:szCs w:val="18"/>
          <w:rtl/>
        </w:rPr>
        <w:t>עיקר</w:t>
      </w:r>
      <w:r w:rsidRPr="00C03494">
        <w:rPr>
          <w:rFonts w:cs="Arial"/>
          <w:sz w:val="18"/>
          <w:szCs w:val="18"/>
          <w:rtl/>
        </w:rPr>
        <w:t xml:space="preserve">, </w:t>
      </w:r>
      <w:r w:rsidRPr="00C03494">
        <w:rPr>
          <w:rFonts w:cs="Arial" w:hint="cs"/>
          <w:sz w:val="18"/>
          <w:szCs w:val="18"/>
          <w:rtl/>
        </w:rPr>
        <w:t>ועל</w:t>
      </w:r>
      <w:r w:rsidRPr="00C03494">
        <w:rPr>
          <w:rFonts w:cs="Arial"/>
          <w:sz w:val="18"/>
          <w:szCs w:val="18"/>
          <w:rtl/>
        </w:rPr>
        <w:t xml:space="preserve"> </w:t>
      </w:r>
      <w:r w:rsidRPr="00C03494">
        <w:rPr>
          <w:rFonts w:cs="Arial" w:hint="cs"/>
          <w:sz w:val="18"/>
          <w:szCs w:val="18"/>
          <w:rtl/>
        </w:rPr>
        <w:t>השני</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דמתקרי</w:t>
      </w:r>
      <w:r w:rsidRPr="00C03494">
        <w:rPr>
          <w:rFonts w:cs="Arial"/>
          <w:sz w:val="18"/>
          <w:szCs w:val="18"/>
          <w:rtl/>
        </w:rPr>
        <w:t xml:space="preserve">. </w:t>
      </w:r>
      <w:r w:rsidRPr="00C03494">
        <w:rPr>
          <w:rFonts w:cs="Arial" w:hint="cs"/>
          <w:sz w:val="18"/>
          <w:szCs w:val="18"/>
          <w:rtl/>
        </w:rPr>
        <w:t>וה</w:t>
      </w:r>
      <w:r w:rsidRPr="00C03494">
        <w:rPr>
          <w:rFonts w:cs="Arial"/>
          <w:sz w:val="18"/>
          <w:szCs w:val="18"/>
          <w:rtl/>
        </w:rPr>
        <w:t>"</w:t>
      </w:r>
      <w:r w:rsidRPr="00C03494">
        <w:rPr>
          <w:rFonts w:cs="Arial" w:hint="cs"/>
          <w:sz w:val="18"/>
          <w:szCs w:val="18"/>
          <w:rtl/>
        </w:rPr>
        <w:t>ה</w:t>
      </w:r>
      <w:r w:rsidRPr="00C03494">
        <w:rPr>
          <w:rFonts w:cs="Arial"/>
          <w:sz w:val="18"/>
          <w:szCs w:val="18"/>
          <w:rtl/>
        </w:rPr>
        <w:t xml:space="preserve"> </w:t>
      </w:r>
      <w:r w:rsidRPr="00C03494">
        <w:rPr>
          <w:rFonts w:cs="Arial" w:hint="cs"/>
          <w:sz w:val="18"/>
          <w:szCs w:val="18"/>
          <w:rtl/>
        </w:rPr>
        <w:t>באשה</w:t>
      </w:r>
      <w:r w:rsidRPr="00C03494">
        <w:rPr>
          <w:rFonts w:cs="Arial"/>
          <w:sz w:val="18"/>
          <w:szCs w:val="18"/>
          <w:rtl/>
        </w:rPr>
        <w:t xml:space="preserve">, </w:t>
      </w:r>
      <w:r w:rsidRPr="00C03494">
        <w:rPr>
          <w:rFonts w:cs="Arial" w:hint="cs"/>
          <w:sz w:val="18"/>
          <w:szCs w:val="18"/>
          <w:rtl/>
        </w:rPr>
        <w:t>עושין</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העברי</w:t>
      </w:r>
      <w:r w:rsidRPr="00C03494">
        <w:rPr>
          <w:rFonts w:cs="Arial"/>
          <w:sz w:val="18"/>
          <w:szCs w:val="18"/>
          <w:rtl/>
        </w:rPr>
        <w:t xml:space="preserve"> </w:t>
      </w:r>
      <w:r w:rsidRPr="00C03494">
        <w:rPr>
          <w:rFonts w:cs="Arial" w:hint="cs"/>
          <w:sz w:val="18"/>
          <w:szCs w:val="18"/>
          <w:rtl/>
        </w:rPr>
        <w:t>עיקר</w:t>
      </w:r>
      <w:r w:rsidRPr="00C03494">
        <w:rPr>
          <w:rFonts w:cs="Arial"/>
          <w:sz w:val="18"/>
          <w:szCs w:val="18"/>
          <w:rtl/>
        </w:rPr>
        <w:t xml:space="preserve">. </w:t>
      </w:r>
      <w:r w:rsidRPr="00C03494">
        <w:rPr>
          <w:rFonts w:cs="Arial" w:hint="cs"/>
          <w:sz w:val="18"/>
          <w:szCs w:val="18"/>
          <w:rtl/>
        </w:rPr>
        <w:t>י</w:t>
      </w:r>
      <w:r w:rsidRPr="00C03494">
        <w:rPr>
          <w:rFonts w:cs="Arial"/>
          <w:sz w:val="18"/>
          <w:szCs w:val="18"/>
          <w:rtl/>
        </w:rPr>
        <w:t>"</w:t>
      </w:r>
      <w:r w:rsidRPr="00C03494">
        <w:rPr>
          <w:rFonts w:cs="Arial" w:hint="cs"/>
          <w:sz w:val="18"/>
          <w:szCs w:val="18"/>
          <w:rtl/>
        </w:rPr>
        <w:t>א</w:t>
      </w:r>
      <w:r w:rsidRPr="00C03494">
        <w:rPr>
          <w:rFonts w:cs="Arial"/>
          <w:sz w:val="18"/>
          <w:szCs w:val="18"/>
          <w:rtl/>
        </w:rPr>
        <w:t xml:space="preserve"> </w:t>
      </w:r>
      <w:r w:rsidRPr="00C03494">
        <w:rPr>
          <w:rFonts w:cs="Arial" w:hint="cs"/>
          <w:sz w:val="18"/>
          <w:szCs w:val="18"/>
          <w:rtl/>
        </w:rPr>
        <w:t>דמי</w:t>
      </w:r>
      <w:r w:rsidRPr="00C03494">
        <w:rPr>
          <w:rFonts w:cs="Arial"/>
          <w:sz w:val="18"/>
          <w:szCs w:val="18"/>
          <w:rtl/>
        </w:rPr>
        <w:t xml:space="preserve"> </w:t>
      </w:r>
      <w:r w:rsidRPr="00C03494">
        <w:rPr>
          <w:rFonts w:cs="Arial" w:hint="cs"/>
          <w:sz w:val="18"/>
          <w:szCs w:val="18"/>
          <w:rtl/>
        </w:rPr>
        <w:t>שיש</w:t>
      </w:r>
      <w:r w:rsidRPr="00C03494">
        <w:rPr>
          <w:rFonts w:cs="Arial"/>
          <w:sz w:val="18"/>
          <w:szCs w:val="18"/>
          <w:rtl/>
        </w:rPr>
        <w:t xml:space="preserve"> </w:t>
      </w:r>
      <w:r w:rsidRPr="00C03494">
        <w:rPr>
          <w:rFonts w:cs="Arial" w:hint="cs"/>
          <w:sz w:val="18"/>
          <w:szCs w:val="18"/>
          <w:rtl/>
        </w:rPr>
        <w:t>לו</w:t>
      </w:r>
      <w:r w:rsidRPr="00C03494">
        <w:rPr>
          <w:rFonts w:cs="Arial"/>
          <w:sz w:val="18"/>
          <w:szCs w:val="18"/>
          <w:rtl/>
        </w:rPr>
        <w:t xml:space="preserve"> </w:t>
      </w:r>
      <w:r w:rsidRPr="00C03494">
        <w:rPr>
          <w:rFonts w:cs="Arial" w:hint="cs"/>
          <w:sz w:val="18"/>
          <w:szCs w:val="18"/>
          <w:rtl/>
        </w:rPr>
        <w:t>שני</w:t>
      </w:r>
      <w:r w:rsidRPr="00C03494">
        <w:rPr>
          <w:rFonts w:cs="Arial"/>
          <w:sz w:val="18"/>
          <w:szCs w:val="18"/>
          <w:rtl/>
        </w:rPr>
        <w:t xml:space="preserve"> </w:t>
      </w:r>
      <w:r w:rsidRPr="00C03494">
        <w:rPr>
          <w:rFonts w:cs="Arial" w:hint="cs"/>
          <w:sz w:val="18"/>
          <w:szCs w:val="18"/>
          <w:rtl/>
        </w:rPr>
        <w:t>שמות</w:t>
      </w:r>
      <w:r w:rsidRPr="00C03494">
        <w:rPr>
          <w:rFonts w:cs="Arial"/>
          <w:sz w:val="18"/>
          <w:szCs w:val="18"/>
          <w:rtl/>
        </w:rPr>
        <w:t xml:space="preserve">, </w:t>
      </w:r>
      <w:r w:rsidRPr="00C03494">
        <w:rPr>
          <w:rFonts w:cs="Arial" w:hint="cs"/>
          <w:sz w:val="18"/>
          <w:szCs w:val="18"/>
          <w:rtl/>
        </w:rPr>
        <w:t>אם</w:t>
      </w:r>
      <w:r w:rsidRPr="00C03494">
        <w:rPr>
          <w:rFonts w:cs="Arial"/>
          <w:sz w:val="18"/>
          <w:szCs w:val="18"/>
          <w:rtl/>
        </w:rPr>
        <w:t xml:space="preserve"> </w:t>
      </w:r>
      <w:r w:rsidRPr="00C03494">
        <w:rPr>
          <w:rFonts w:cs="Arial" w:hint="cs"/>
          <w:sz w:val="18"/>
          <w:szCs w:val="18"/>
          <w:rtl/>
        </w:rPr>
        <w:t>רגיל</w:t>
      </w:r>
      <w:r w:rsidRPr="00C03494">
        <w:rPr>
          <w:rFonts w:cs="Arial"/>
          <w:sz w:val="18"/>
          <w:szCs w:val="18"/>
          <w:rtl/>
        </w:rPr>
        <w:t xml:space="preserve"> </w:t>
      </w:r>
      <w:r w:rsidRPr="00C03494">
        <w:rPr>
          <w:rFonts w:cs="Arial" w:hint="cs"/>
          <w:sz w:val="18"/>
          <w:szCs w:val="18"/>
          <w:rtl/>
        </w:rPr>
        <w:t>בשניהם</w:t>
      </w:r>
      <w:r w:rsidRPr="00C03494">
        <w:rPr>
          <w:rFonts w:cs="Arial"/>
          <w:sz w:val="18"/>
          <w:szCs w:val="18"/>
          <w:rtl/>
        </w:rPr>
        <w:t xml:space="preserve"> </w:t>
      </w:r>
      <w:r w:rsidRPr="00C03494">
        <w:rPr>
          <w:rFonts w:cs="Arial" w:hint="cs"/>
          <w:sz w:val="18"/>
          <w:szCs w:val="18"/>
          <w:rtl/>
        </w:rPr>
        <w:t>ומ</w:t>
      </w:r>
      <w:r w:rsidRPr="00C03494">
        <w:rPr>
          <w:rFonts w:cs="Arial"/>
          <w:sz w:val="18"/>
          <w:szCs w:val="18"/>
          <w:rtl/>
        </w:rPr>
        <w:t>"</w:t>
      </w:r>
      <w:r w:rsidRPr="00C03494">
        <w:rPr>
          <w:rFonts w:cs="Arial" w:hint="cs"/>
          <w:sz w:val="18"/>
          <w:szCs w:val="18"/>
          <w:rtl/>
        </w:rPr>
        <w:t>מ</w:t>
      </w:r>
      <w:r w:rsidRPr="00C03494">
        <w:rPr>
          <w:rFonts w:cs="Arial"/>
          <w:sz w:val="18"/>
          <w:szCs w:val="18"/>
          <w:rtl/>
        </w:rPr>
        <w:t xml:space="preserve"> </w:t>
      </w:r>
      <w:r w:rsidRPr="00C03494">
        <w:rPr>
          <w:rFonts w:cs="Arial" w:hint="cs"/>
          <w:sz w:val="18"/>
          <w:szCs w:val="18"/>
          <w:rtl/>
        </w:rPr>
        <w:t>האחד</w:t>
      </w:r>
      <w:r w:rsidRPr="00C03494">
        <w:rPr>
          <w:rFonts w:cs="Arial"/>
          <w:sz w:val="18"/>
          <w:szCs w:val="18"/>
          <w:rtl/>
        </w:rPr>
        <w:t xml:space="preserve"> </w:t>
      </w:r>
      <w:r w:rsidRPr="00C03494">
        <w:rPr>
          <w:rFonts w:cs="Arial" w:hint="cs"/>
          <w:sz w:val="18"/>
          <w:szCs w:val="18"/>
          <w:rtl/>
        </w:rPr>
        <w:t>הוא</w:t>
      </w:r>
      <w:r w:rsidRPr="00C03494">
        <w:rPr>
          <w:rFonts w:cs="Arial"/>
          <w:sz w:val="18"/>
          <w:szCs w:val="18"/>
          <w:rtl/>
        </w:rPr>
        <w:t xml:space="preserve"> </w:t>
      </w:r>
      <w:r w:rsidRPr="00C03494">
        <w:rPr>
          <w:rFonts w:cs="Arial" w:hint="cs"/>
          <w:sz w:val="18"/>
          <w:szCs w:val="18"/>
          <w:rtl/>
        </w:rPr>
        <w:t>יותר</w:t>
      </w:r>
      <w:r w:rsidRPr="00C03494">
        <w:rPr>
          <w:rFonts w:cs="Arial"/>
          <w:sz w:val="18"/>
          <w:szCs w:val="18"/>
          <w:rtl/>
        </w:rPr>
        <w:t xml:space="preserve"> </w:t>
      </w:r>
      <w:r w:rsidRPr="00C03494">
        <w:rPr>
          <w:rFonts w:cs="Arial" w:hint="cs"/>
          <w:sz w:val="18"/>
          <w:szCs w:val="18"/>
          <w:rtl/>
        </w:rPr>
        <w:t>עיקר</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פלוני</w:t>
      </w:r>
      <w:r w:rsidRPr="00C03494">
        <w:rPr>
          <w:rFonts w:cs="Arial"/>
          <w:sz w:val="18"/>
          <w:szCs w:val="18"/>
          <w:rtl/>
        </w:rPr>
        <w:t xml:space="preserve"> </w:t>
      </w:r>
      <w:r w:rsidRPr="00C03494">
        <w:rPr>
          <w:rFonts w:cs="Arial" w:hint="cs"/>
          <w:sz w:val="18"/>
          <w:szCs w:val="18"/>
          <w:rtl/>
        </w:rPr>
        <w:t>דאתקרי</w:t>
      </w:r>
      <w:r w:rsidRPr="00C03494">
        <w:rPr>
          <w:rFonts w:cs="Arial"/>
          <w:sz w:val="18"/>
          <w:szCs w:val="18"/>
          <w:rtl/>
        </w:rPr>
        <w:t xml:space="preserve"> </w:t>
      </w:r>
      <w:r w:rsidRPr="00C03494">
        <w:rPr>
          <w:rFonts w:cs="Arial" w:hint="cs"/>
          <w:sz w:val="18"/>
          <w:szCs w:val="18"/>
          <w:rtl/>
        </w:rPr>
        <w:t>פלוני</w:t>
      </w:r>
      <w:r w:rsidRPr="00C03494">
        <w:rPr>
          <w:rFonts w:cs="Arial"/>
          <w:sz w:val="18"/>
          <w:szCs w:val="18"/>
          <w:rtl/>
        </w:rPr>
        <w:t xml:space="preserve">. </w:t>
      </w:r>
      <w:r w:rsidRPr="00C03494">
        <w:rPr>
          <w:rFonts w:cs="Arial" w:hint="cs"/>
          <w:sz w:val="18"/>
          <w:szCs w:val="18"/>
          <w:rtl/>
        </w:rPr>
        <w:t>ואם</w:t>
      </w:r>
      <w:r w:rsidRPr="00C03494">
        <w:rPr>
          <w:rFonts w:cs="Arial"/>
          <w:sz w:val="18"/>
          <w:szCs w:val="18"/>
          <w:rtl/>
        </w:rPr>
        <w:t xml:space="preserve"> </w:t>
      </w:r>
      <w:r w:rsidRPr="00C03494">
        <w:rPr>
          <w:rFonts w:cs="Arial" w:hint="cs"/>
          <w:sz w:val="18"/>
          <w:szCs w:val="18"/>
          <w:rtl/>
        </w:rPr>
        <w:t>אינו</w:t>
      </w:r>
      <w:r w:rsidRPr="00C03494">
        <w:rPr>
          <w:rFonts w:cs="Arial"/>
          <w:sz w:val="18"/>
          <w:szCs w:val="18"/>
          <w:rtl/>
        </w:rPr>
        <w:t xml:space="preserve"> </w:t>
      </w:r>
      <w:r w:rsidRPr="00C03494">
        <w:rPr>
          <w:rFonts w:cs="Arial" w:hint="cs"/>
          <w:sz w:val="18"/>
          <w:szCs w:val="18"/>
          <w:rtl/>
        </w:rPr>
        <w:t>רגיל</w:t>
      </w:r>
      <w:r w:rsidRPr="00C03494">
        <w:rPr>
          <w:rFonts w:cs="Arial"/>
          <w:sz w:val="18"/>
          <w:szCs w:val="18"/>
          <w:rtl/>
        </w:rPr>
        <w:t xml:space="preserve"> </w:t>
      </w:r>
      <w:r w:rsidRPr="00C03494">
        <w:rPr>
          <w:rFonts w:cs="Arial" w:hint="cs"/>
          <w:sz w:val="18"/>
          <w:szCs w:val="18"/>
          <w:rtl/>
        </w:rPr>
        <w:t>בשני</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דמתקרי</w:t>
      </w:r>
      <w:r w:rsidRPr="00C03494">
        <w:rPr>
          <w:rFonts w:cs="Arial"/>
          <w:sz w:val="18"/>
          <w:szCs w:val="18"/>
          <w:rtl/>
        </w:rPr>
        <w:t xml:space="preserve"> (</w:t>
      </w:r>
      <w:r w:rsidRPr="00C03494">
        <w:rPr>
          <w:rFonts w:cs="Arial" w:hint="cs"/>
          <w:sz w:val="18"/>
          <w:szCs w:val="18"/>
          <w:rtl/>
        </w:rPr>
        <w:t>סדר</w:t>
      </w:r>
      <w:r w:rsidRPr="00C03494">
        <w:rPr>
          <w:rFonts w:cs="Arial"/>
          <w:sz w:val="18"/>
          <w:szCs w:val="18"/>
          <w:rtl/>
        </w:rPr>
        <w:t xml:space="preserve"> </w:t>
      </w:r>
      <w:r w:rsidRPr="00C03494">
        <w:rPr>
          <w:rFonts w:cs="Arial" w:hint="cs"/>
          <w:sz w:val="18"/>
          <w:szCs w:val="18"/>
          <w:rtl/>
        </w:rPr>
        <w:t>גיטין</w:t>
      </w:r>
      <w:r w:rsidRPr="00C03494">
        <w:rPr>
          <w:rFonts w:cs="Arial"/>
          <w:sz w:val="18"/>
          <w:szCs w:val="18"/>
          <w:rtl/>
        </w:rPr>
        <w:t xml:space="preserve">). </w:t>
      </w:r>
      <w:r w:rsidRPr="00C03494">
        <w:rPr>
          <w:rFonts w:cs="Arial" w:hint="cs"/>
          <w:sz w:val="18"/>
          <w:szCs w:val="18"/>
          <w:rtl/>
        </w:rPr>
        <w:t>כל</w:t>
      </w:r>
      <w:r w:rsidRPr="00C03494">
        <w:rPr>
          <w:rFonts w:cs="Arial"/>
          <w:sz w:val="18"/>
          <w:szCs w:val="18"/>
          <w:rtl/>
        </w:rPr>
        <w:t xml:space="preserve"> </w:t>
      </w:r>
      <w:r w:rsidRPr="00C03494">
        <w:rPr>
          <w:rFonts w:cs="Arial" w:hint="cs"/>
          <w:sz w:val="18"/>
          <w:szCs w:val="18"/>
          <w:rtl/>
        </w:rPr>
        <w:t>כינוי</w:t>
      </w:r>
      <w:r w:rsidRPr="00C03494">
        <w:rPr>
          <w:rFonts w:cs="Arial"/>
          <w:sz w:val="18"/>
          <w:szCs w:val="18"/>
          <w:rtl/>
        </w:rPr>
        <w:t xml:space="preserve"> </w:t>
      </w:r>
      <w:r w:rsidRPr="00C03494">
        <w:rPr>
          <w:rFonts w:cs="Arial" w:hint="cs"/>
          <w:sz w:val="18"/>
          <w:szCs w:val="18"/>
          <w:rtl/>
        </w:rPr>
        <w:t>שהוא</w:t>
      </w:r>
      <w:r w:rsidRPr="00C03494">
        <w:rPr>
          <w:rFonts w:cs="Arial"/>
          <w:sz w:val="18"/>
          <w:szCs w:val="18"/>
          <w:rtl/>
        </w:rPr>
        <w:t xml:space="preserve"> </w:t>
      </w:r>
      <w:r w:rsidRPr="00C03494">
        <w:rPr>
          <w:rFonts w:cs="Arial" w:hint="cs"/>
          <w:sz w:val="18"/>
          <w:szCs w:val="18"/>
          <w:rtl/>
        </w:rPr>
        <w:t>גנאי</w:t>
      </w:r>
      <w:r w:rsidRPr="00C03494">
        <w:rPr>
          <w:rFonts w:cs="Arial"/>
          <w:sz w:val="18"/>
          <w:szCs w:val="18"/>
          <w:rtl/>
        </w:rPr>
        <w:t xml:space="preserve"> </w:t>
      </w:r>
      <w:r w:rsidRPr="00C03494">
        <w:rPr>
          <w:rFonts w:cs="Arial" w:hint="cs"/>
          <w:sz w:val="18"/>
          <w:szCs w:val="18"/>
          <w:rtl/>
        </w:rPr>
        <w:t>למגרש</w:t>
      </w:r>
      <w:r w:rsidRPr="00C03494">
        <w:rPr>
          <w:rFonts w:cs="Arial"/>
          <w:sz w:val="18"/>
          <w:szCs w:val="18"/>
          <w:rtl/>
        </w:rPr>
        <w:t xml:space="preserve">, </w:t>
      </w:r>
      <w:r w:rsidRPr="00C03494">
        <w:rPr>
          <w:rFonts w:cs="Arial" w:hint="cs"/>
          <w:sz w:val="18"/>
          <w:szCs w:val="18"/>
          <w:rtl/>
        </w:rPr>
        <w:t>אין</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אותו</w:t>
      </w:r>
      <w:r w:rsidRPr="00C03494">
        <w:rPr>
          <w:rFonts w:cs="Arial"/>
          <w:sz w:val="18"/>
          <w:szCs w:val="18"/>
          <w:rtl/>
        </w:rPr>
        <w:t xml:space="preserve"> </w:t>
      </w:r>
      <w:r w:rsidRPr="00C03494">
        <w:rPr>
          <w:rFonts w:cs="Arial" w:hint="cs"/>
          <w:sz w:val="18"/>
          <w:szCs w:val="18"/>
          <w:rtl/>
        </w:rPr>
        <w:t>בגט</w:t>
      </w:r>
      <w:r w:rsidRPr="00C03494">
        <w:rPr>
          <w:rFonts w:cs="Arial"/>
          <w:sz w:val="18"/>
          <w:szCs w:val="18"/>
          <w:rtl/>
        </w:rPr>
        <w:t xml:space="preserve"> (</w:t>
      </w:r>
      <w:r w:rsidRPr="00C03494">
        <w:rPr>
          <w:rFonts w:cs="Arial" w:hint="cs"/>
          <w:sz w:val="18"/>
          <w:szCs w:val="18"/>
          <w:rtl/>
        </w:rPr>
        <w:t>ד</w:t>
      </w:r>
      <w:r w:rsidRPr="00C03494">
        <w:rPr>
          <w:rFonts w:cs="Arial"/>
          <w:sz w:val="18"/>
          <w:szCs w:val="18"/>
          <w:rtl/>
        </w:rPr>
        <w:t>"</w:t>
      </w:r>
      <w:r w:rsidRPr="00C03494">
        <w:rPr>
          <w:rFonts w:cs="Arial" w:hint="cs"/>
          <w:sz w:val="18"/>
          <w:szCs w:val="18"/>
          <w:rtl/>
        </w:rPr>
        <w:t>ע</w:t>
      </w:r>
      <w:r w:rsidRPr="00C03494">
        <w:rPr>
          <w:rFonts w:cs="Arial"/>
          <w:sz w:val="18"/>
          <w:szCs w:val="18"/>
          <w:rtl/>
        </w:rPr>
        <w:t xml:space="preserve">). </w:t>
      </w:r>
      <w:r w:rsidRPr="00C03494">
        <w:rPr>
          <w:rFonts w:cs="Arial" w:hint="cs"/>
          <w:sz w:val="18"/>
          <w:szCs w:val="18"/>
          <w:rtl/>
        </w:rPr>
        <w:t>ולכן</w:t>
      </w:r>
      <w:r w:rsidRPr="00C03494">
        <w:rPr>
          <w:rFonts w:cs="Arial"/>
          <w:sz w:val="18"/>
          <w:szCs w:val="18"/>
          <w:rtl/>
        </w:rPr>
        <w:t xml:space="preserve"> </w:t>
      </w:r>
      <w:r w:rsidRPr="00C03494">
        <w:rPr>
          <w:rFonts w:cs="Arial" w:hint="cs"/>
          <w:sz w:val="18"/>
          <w:szCs w:val="18"/>
          <w:rtl/>
        </w:rPr>
        <w:t>מומר</w:t>
      </w:r>
      <w:r w:rsidRPr="00C03494">
        <w:rPr>
          <w:rFonts w:cs="Arial"/>
          <w:sz w:val="18"/>
          <w:szCs w:val="18"/>
          <w:rtl/>
        </w:rPr>
        <w:t xml:space="preserve"> </w:t>
      </w:r>
      <w:r w:rsidRPr="00C03494">
        <w:rPr>
          <w:rFonts w:cs="Arial" w:hint="cs"/>
          <w:sz w:val="18"/>
          <w:szCs w:val="18"/>
          <w:rtl/>
        </w:rPr>
        <w:t>שעשה</w:t>
      </w:r>
      <w:r w:rsidRPr="00C03494">
        <w:rPr>
          <w:rFonts w:cs="Arial"/>
          <w:sz w:val="18"/>
          <w:szCs w:val="18"/>
          <w:rtl/>
        </w:rPr>
        <w:t xml:space="preserve"> </w:t>
      </w:r>
      <w:r w:rsidRPr="00C03494">
        <w:rPr>
          <w:rFonts w:cs="Arial" w:hint="cs"/>
          <w:sz w:val="18"/>
          <w:szCs w:val="18"/>
          <w:rtl/>
        </w:rPr>
        <w:t>תשובה</w:t>
      </w:r>
      <w:r w:rsidRPr="00C03494">
        <w:rPr>
          <w:rFonts w:cs="Arial"/>
          <w:sz w:val="18"/>
          <w:szCs w:val="18"/>
          <w:rtl/>
        </w:rPr>
        <w:t xml:space="preserve">, </w:t>
      </w:r>
      <w:r w:rsidRPr="00C03494">
        <w:rPr>
          <w:rFonts w:cs="Arial" w:hint="cs"/>
          <w:sz w:val="18"/>
          <w:szCs w:val="18"/>
          <w:rtl/>
        </w:rPr>
        <w:t>אין</w:t>
      </w:r>
      <w:r w:rsidRPr="00C03494">
        <w:rPr>
          <w:rFonts w:cs="Arial"/>
          <w:sz w:val="18"/>
          <w:szCs w:val="18"/>
          <w:rtl/>
        </w:rPr>
        <w:t xml:space="preserve"> </w:t>
      </w:r>
      <w:r w:rsidRPr="00C03494">
        <w:rPr>
          <w:rFonts w:cs="Arial" w:hint="cs"/>
          <w:sz w:val="18"/>
          <w:szCs w:val="18"/>
          <w:rtl/>
        </w:rPr>
        <w:t>כותבים</w:t>
      </w:r>
      <w:r w:rsidRPr="00C03494">
        <w:rPr>
          <w:rFonts w:cs="Arial"/>
          <w:sz w:val="18"/>
          <w:szCs w:val="18"/>
          <w:rtl/>
        </w:rPr>
        <w:t xml:space="preserve"> </w:t>
      </w:r>
      <w:r w:rsidRPr="00C03494">
        <w:rPr>
          <w:rFonts w:cs="Arial" w:hint="cs"/>
          <w:sz w:val="18"/>
          <w:szCs w:val="18"/>
          <w:rtl/>
        </w:rPr>
        <w:t>לו</w:t>
      </w:r>
      <w:r w:rsidRPr="00C03494">
        <w:rPr>
          <w:rFonts w:cs="Arial"/>
          <w:sz w:val="18"/>
          <w:szCs w:val="18"/>
          <w:rtl/>
        </w:rPr>
        <w:t xml:space="preserve">: </w:t>
      </w:r>
      <w:r w:rsidRPr="00C03494">
        <w:rPr>
          <w:rFonts w:cs="Arial" w:hint="cs"/>
          <w:sz w:val="18"/>
          <w:szCs w:val="18"/>
          <w:rtl/>
        </w:rPr>
        <w:t>וכל</w:t>
      </w:r>
      <w:r w:rsidRPr="00C03494">
        <w:rPr>
          <w:rFonts w:cs="Arial"/>
          <w:sz w:val="18"/>
          <w:szCs w:val="18"/>
          <w:rtl/>
        </w:rPr>
        <w:t xml:space="preserve"> </w:t>
      </w:r>
      <w:r w:rsidRPr="00C03494">
        <w:rPr>
          <w:rFonts w:cs="Arial" w:hint="cs"/>
          <w:sz w:val="18"/>
          <w:szCs w:val="18"/>
          <w:rtl/>
        </w:rPr>
        <w:t>שום</w:t>
      </w:r>
      <w:r w:rsidRPr="00C03494">
        <w:rPr>
          <w:rFonts w:cs="Arial"/>
          <w:sz w:val="18"/>
          <w:szCs w:val="18"/>
          <w:rtl/>
        </w:rPr>
        <w:t xml:space="preserve"> </w:t>
      </w:r>
      <w:r w:rsidRPr="00C03494">
        <w:rPr>
          <w:rFonts w:cs="Arial" w:hint="cs"/>
          <w:sz w:val="18"/>
          <w:szCs w:val="18"/>
          <w:rtl/>
        </w:rPr>
        <w:t>וחניכא</w:t>
      </w:r>
      <w:r w:rsidRPr="00C03494">
        <w:rPr>
          <w:rFonts w:cs="Arial"/>
          <w:sz w:val="18"/>
          <w:szCs w:val="18"/>
          <w:rtl/>
        </w:rPr>
        <w:t xml:space="preserve"> </w:t>
      </w:r>
      <w:r w:rsidRPr="00C03494">
        <w:rPr>
          <w:rFonts w:cs="Arial" w:hint="cs"/>
          <w:sz w:val="18"/>
          <w:szCs w:val="18"/>
          <w:rtl/>
        </w:rPr>
        <w:t>דאית</w:t>
      </w:r>
      <w:r w:rsidRPr="00C03494">
        <w:rPr>
          <w:rFonts w:cs="Arial"/>
          <w:sz w:val="18"/>
          <w:szCs w:val="18"/>
          <w:rtl/>
        </w:rPr>
        <w:t xml:space="preserve"> </w:t>
      </w:r>
      <w:r w:rsidRPr="00C03494">
        <w:rPr>
          <w:rFonts w:cs="Arial" w:hint="cs"/>
          <w:sz w:val="18"/>
          <w:szCs w:val="18"/>
          <w:rtl/>
        </w:rPr>
        <w:t>ליה</w:t>
      </w:r>
      <w:r w:rsidRPr="00C03494">
        <w:rPr>
          <w:rFonts w:cs="Arial"/>
          <w:sz w:val="18"/>
          <w:szCs w:val="18"/>
          <w:rtl/>
        </w:rPr>
        <w:t xml:space="preserve"> (</w:t>
      </w:r>
      <w:r w:rsidRPr="00C03494">
        <w:rPr>
          <w:rFonts w:cs="Arial" w:hint="cs"/>
          <w:sz w:val="18"/>
          <w:szCs w:val="18"/>
          <w:rtl/>
        </w:rPr>
        <w:t>מ</w:t>
      </w:r>
      <w:r w:rsidRPr="00C03494">
        <w:rPr>
          <w:rFonts w:cs="Arial"/>
          <w:sz w:val="18"/>
          <w:szCs w:val="18"/>
          <w:rtl/>
        </w:rPr>
        <w:t>"</w:t>
      </w:r>
      <w:r w:rsidRPr="00C03494">
        <w:rPr>
          <w:rFonts w:cs="Arial" w:hint="cs"/>
          <w:sz w:val="18"/>
          <w:szCs w:val="18"/>
          <w:rtl/>
        </w:rPr>
        <w:t>כ</w:t>
      </w:r>
      <w:r w:rsidRPr="00C03494">
        <w:rPr>
          <w:rFonts w:cs="Arial"/>
          <w:sz w:val="18"/>
          <w:szCs w:val="18"/>
          <w:rtl/>
        </w:rPr>
        <w:t xml:space="preserve"> </w:t>
      </w:r>
      <w:r w:rsidRPr="00C03494">
        <w:rPr>
          <w:rFonts w:cs="Arial" w:hint="cs"/>
          <w:sz w:val="18"/>
          <w:szCs w:val="18"/>
          <w:rtl/>
        </w:rPr>
        <w:t>בתיקון</w:t>
      </w:r>
      <w:r w:rsidRPr="00C03494">
        <w:rPr>
          <w:rFonts w:cs="Arial"/>
          <w:sz w:val="18"/>
          <w:szCs w:val="18"/>
          <w:rtl/>
        </w:rPr>
        <w:t xml:space="preserve">). </w:t>
      </w:r>
      <w:r w:rsidRPr="00C03494">
        <w:rPr>
          <w:rFonts w:cs="Arial" w:hint="cs"/>
          <w:sz w:val="18"/>
          <w:szCs w:val="18"/>
          <w:rtl/>
        </w:rPr>
        <w:t>וכל</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כינוי</w:t>
      </w:r>
      <w:r w:rsidRPr="00C03494">
        <w:rPr>
          <w:rFonts w:cs="Arial"/>
          <w:sz w:val="18"/>
          <w:szCs w:val="18"/>
          <w:rtl/>
        </w:rPr>
        <w:t xml:space="preserve"> </w:t>
      </w:r>
      <w:r w:rsidRPr="00C03494">
        <w:rPr>
          <w:rFonts w:cs="Arial" w:hint="cs"/>
          <w:sz w:val="18"/>
          <w:szCs w:val="18"/>
          <w:rtl/>
        </w:rPr>
        <w:t>שאינו</w:t>
      </w:r>
      <w:r w:rsidRPr="00C03494">
        <w:rPr>
          <w:rFonts w:cs="Arial"/>
          <w:sz w:val="18"/>
          <w:szCs w:val="18"/>
          <w:rtl/>
        </w:rPr>
        <w:t xml:space="preserve"> </w:t>
      </w:r>
      <w:r w:rsidRPr="00C03494">
        <w:rPr>
          <w:rFonts w:cs="Arial" w:hint="cs"/>
          <w:sz w:val="18"/>
          <w:szCs w:val="18"/>
          <w:rtl/>
        </w:rPr>
        <w:t>נקרא</w:t>
      </w:r>
      <w:r w:rsidRPr="00C03494">
        <w:rPr>
          <w:rFonts w:cs="Arial"/>
          <w:sz w:val="18"/>
          <w:szCs w:val="18"/>
          <w:rtl/>
        </w:rPr>
        <w:t xml:space="preserve"> </w:t>
      </w:r>
      <w:r w:rsidRPr="00C03494">
        <w:rPr>
          <w:rFonts w:cs="Arial" w:hint="cs"/>
          <w:sz w:val="18"/>
          <w:szCs w:val="18"/>
          <w:rtl/>
        </w:rPr>
        <w:t>בכינוי</w:t>
      </w:r>
      <w:r w:rsidRPr="00C03494">
        <w:rPr>
          <w:rFonts w:cs="Arial"/>
          <w:sz w:val="18"/>
          <w:szCs w:val="18"/>
          <w:rtl/>
        </w:rPr>
        <w:t xml:space="preserve"> </w:t>
      </w:r>
      <w:r w:rsidRPr="00C03494">
        <w:rPr>
          <w:rFonts w:cs="Arial" w:hint="cs"/>
          <w:sz w:val="18"/>
          <w:szCs w:val="18"/>
          <w:rtl/>
        </w:rPr>
        <w:t>ההוא</w:t>
      </w:r>
      <w:r w:rsidRPr="00C03494">
        <w:rPr>
          <w:rFonts w:cs="Arial"/>
          <w:sz w:val="18"/>
          <w:szCs w:val="18"/>
          <w:rtl/>
        </w:rPr>
        <w:t xml:space="preserve"> </w:t>
      </w:r>
      <w:r w:rsidRPr="00C03494">
        <w:rPr>
          <w:rFonts w:cs="Arial" w:hint="cs"/>
          <w:sz w:val="18"/>
          <w:szCs w:val="18"/>
          <w:rtl/>
        </w:rPr>
        <w:t>לבד</w:t>
      </w:r>
      <w:r w:rsidRPr="00C03494">
        <w:rPr>
          <w:rFonts w:cs="Arial"/>
          <w:sz w:val="18"/>
          <w:szCs w:val="18"/>
          <w:rtl/>
        </w:rPr>
        <w:t xml:space="preserve">, </w:t>
      </w:r>
      <w:r w:rsidRPr="00C03494">
        <w:rPr>
          <w:rFonts w:cs="Arial" w:hint="cs"/>
          <w:sz w:val="18"/>
          <w:szCs w:val="18"/>
          <w:rtl/>
        </w:rPr>
        <w:t>אלא</w:t>
      </w:r>
      <w:r w:rsidRPr="00C03494">
        <w:rPr>
          <w:rFonts w:cs="Arial"/>
          <w:sz w:val="18"/>
          <w:szCs w:val="18"/>
          <w:rtl/>
        </w:rPr>
        <w:t xml:space="preserve"> </w:t>
      </w:r>
      <w:r w:rsidRPr="00C03494">
        <w:rPr>
          <w:rFonts w:cs="Arial" w:hint="cs"/>
          <w:sz w:val="18"/>
          <w:szCs w:val="18"/>
          <w:rtl/>
        </w:rPr>
        <w:t>קורין</w:t>
      </w:r>
      <w:r w:rsidRPr="00C03494">
        <w:rPr>
          <w:rFonts w:cs="Arial"/>
          <w:sz w:val="18"/>
          <w:szCs w:val="18"/>
          <w:rtl/>
        </w:rPr>
        <w:t xml:space="preserve"> </w:t>
      </w:r>
      <w:r w:rsidRPr="00C03494">
        <w:rPr>
          <w:rFonts w:cs="Arial" w:hint="cs"/>
          <w:sz w:val="18"/>
          <w:szCs w:val="18"/>
          <w:rtl/>
        </w:rPr>
        <w:t>אותו</w:t>
      </w:r>
      <w:r w:rsidRPr="00C03494">
        <w:rPr>
          <w:rFonts w:cs="Arial"/>
          <w:sz w:val="18"/>
          <w:szCs w:val="18"/>
          <w:rtl/>
        </w:rPr>
        <w:t xml:space="preserve"> </w:t>
      </w:r>
      <w:r w:rsidRPr="00C03494">
        <w:rPr>
          <w:rFonts w:cs="Arial" w:hint="cs"/>
          <w:sz w:val="18"/>
          <w:szCs w:val="18"/>
          <w:rtl/>
        </w:rPr>
        <w:t>עם</w:t>
      </w:r>
      <w:r w:rsidRPr="00C03494">
        <w:rPr>
          <w:rFonts w:cs="Arial"/>
          <w:sz w:val="18"/>
          <w:szCs w:val="18"/>
          <w:rtl/>
        </w:rPr>
        <w:t xml:space="preserve"> </w:t>
      </w:r>
      <w:r w:rsidRPr="00C03494">
        <w:rPr>
          <w:rFonts w:cs="Arial" w:hint="cs"/>
          <w:sz w:val="18"/>
          <w:szCs w:val="18"/>
          <w:rtl/>
        </w:rPr>
        <w:t>עיקר</w:t>
      </w:r>
      <w:r w:rsidRPr="00C03494">
        <w:rPr>
          <w:rFonts w:cs="Arial"/>
          <w:sz w:val="18"/>
          <w:szCs w:val="18"/>
          <w:rtl/>
        </w:rPr>
        <w:t xml:space="preserve"> </w:t>
      </w:r>
      <w:r w:rsidRPr="00C03494">
        <w:rPr>
          <w:rFonts w:cs="Arial" w:hint="cs"/>
          <w:sz w:val="18"/>
          <w:szCs w:val="18"/>
          <w:rtl/>
        </w:rPr>
        <w:t>השם</w:t>
      </w:r>
      <w:r w:rsidRPr="00C03494">
        <w:rPr>
          <w:rFonts w:cs="Arial"/>
          <w:sz w:val="18"/>
          <w:szCs w:val="18"/>
          <w:rtl/>
        </w:rPr>
        <w:t xml:space="preserve">, </w:t>
      </w:r>
      <w:r w:rsidRPr="00C03494">
        <w:rPr>
          <w:rFonts w:cs="Arial" w:hint="cs"/>
          <w:sz w:val="18"/>
          <w:szCs w:val="18"/>
          <w:rtl/>
        </w:rPr>
        <w:t>אין</w:t>
      </w:r>
      <w:r w:rsidRPr="00C03494">
        <w:rPr>
          <w:rFonts w:cs="Arial"/>
          <w:sz w:val="18"/>
          <w:szCs w:val="18"/>
          <w:rtl/>
        </w:rPr>
        <w:t xml:space="preserve"> </w:t>
      </w:r>
      <w:r w:rsidRPr="00C03494">
        <w:rPr>
          <w:rFonts w:cs="Arial" w:hint="cs"/>
          <w:sz w:val="18"/>
          <w:szCs w:val="18"/>
          <w:rtl/>
        </w:rPr>
        <w:t>צריך</w:t>
      </w:r>
      <w:r w:rsidRPr="00C03494">
        <w:rPr>
          <w:rFonts w:cs="Arial"/>
          <w:sz w:val="18"/>
          <w:szCs w:val="18"/>
          <w:rtl/>
        </w:rPr>
        <w:t xml:space="preserve"> </w:t>
      </w:r>
      <w:r w:rsidRPr="00C03494">
        <w:rPr>
          <w:rFonts w:cs="Arial" w:hint="cs"/>
          <w:sz w:val="18"/>
          <w:szCs w:val="18"/>
          <w:rtl/>
        </w:rPr>
        <w:t>לכתוב</w:t>
      </w:r>
      <w:r w:rsidRPr="00C03494">
        <w:rPr>
          <w:rFonts w:cs="Arial"/>
          <w:sz w:val="18"/>
          <w:szCs w:val="18"/>
          <w:rtl/>
        </w:rPr>
        <w:t xml:space="preserve"> </w:t>
      </w:r>
      <w:r w:rsidRPr="00C03494">
        <w:rPr>
          <w:rFonts w:cs="Arial" w:hint="cs"/>
          <w:sz w:val="18"/>
          <w:szCs w:val="18"/>
          <w:rtl/>
        </w:rPr>
        <w:t>הכינוי</w:t>
      </w:r>
      <w:r w:rsidRPr="00C03494">
        <w:rPr>
          <w:rFonts w:cs="Arial"/>
          <w:sz w:val="18"/>
          <w:szCs w:val="18"/>
          <w:rtl/>
        </w:rPr>
        <w:t xml:space="preserve"> (</w:t>
      </w:r>
      <w:r w:rsidRPr="00C03494">
        <w:rPr>
          <w:rFonts w:cs="Arial" w:hint="cs"/>
          <w:sz w:val="18"/>
          <w:szCs w:val="18"/>
          <w:rtl/>
        </w:rPr>
        <w:t>ת</w:t>
      </w:r>
      <w:r>
        <w:rPr>
          <w:rFonts w:cs="Arial" w:hint="cs"/>
          <w:sz w:val="18"/>
          <w:szCs w:val="18"/>
          <w:rtl/>
        </w:rPr>
        <w:t>רוה"ד</w:t>
      </w:r>
      <w:r w:rsidRPr="00C03494">
        <w:rPr>
          <w:rFonts w:cs="Arial"/>
          <w:sz w:val="18"/>
          <w:szCs w:val="18"/>
          <w:rtl/>
        </w:rPr>
        <w:t xml:space="preserve"> </w:t>
      </w:r>
      <w:r w:rsidRPr="00C03494">
        <w:rPr>
          <w:rFonts w:cs="Arial" w:hint="cs"/>
          <w:sz w:val="18"/>
          <w:szCs w:val="18"/>
          <w:rtl/>
        </w:rPr>
        <w:t>סימן</w:t>
      </w:r>
      <w:r w:rsidRPr="00C03494">
        <w:rPr>
          <w:rFonts w:cs="Arial"/>
          <w:sz w:val="18"/>
          <w:szCs w:val="18"/>
          <w:rtl/>
        </w:rPr>
        <w:t xml:space="preserve"> </w:t>
      </w:r>
      <w:r w:rsidRPr="00C03494">
        <w:rPr>
          <w:rFonts w:cs="Arial" w:hint="cs"/>
          <w:sz w:val="18"/>
          <w:szCs w:val="18"/>
          <w:rtl/>
        </w:rPr>
        <w:t>רל</w:t>
      </w:r>
      <w:r w:rsidRPr="00C03494">
        <w:rPr>
          <w:rFonts w:cs="Arial"/>
          <w:sz w:val="18"/>
          <w:szCs w:val="18"/>
          <w:rtl/>
        </w:rPr>
        <w:t>"</w:t>
      </w:r>
      <w:r w:rsidRPr="00C03494">
        <w:rPr>
          <w:rFonts w:cs="Arial" w:hint="cs"/>
          <w:sz w:val="18"/>
          <w:szCs w:val="18"/>
          <w:rtl/>
        </w:rPr>
        <w:t>ה</w:t>
      </w:r>
      <w:r w:rsidRPr="00C03494">
        <w:rPr>
          <w:rFonts w:cs="Arial"/>
          <w:sz w:val="18"/>
          <w:szCs w:val="18"/>
          <w:rtl/>
        </w:rPr>
        <w:t xml:space="preserve">). </w:t>
      </w:r>
      <w:r w:rsidRPr="00C03494">
        <w:rPr>
          <w:rFonts w:cs="Arial" w:hint="cs"/>
          <w:sz w:val="18"/>
          <w:szCs w:val="18"/>
          <w:rtl/>
        </w:rPr>
        <w:t>אבל</w:t>
      </w:r>
      <w:r w:rsidRPr="00C03494">
        <w:rPr>
          <w:rFonts w:cs="Arial"/>
          <w:sz w:val="18"/>
          <w:szCs w:val="18"/>
          <w:rtl/>
        </w:rPr>
        <w:t xml:space="preserve"> </w:t>
      </w:r>
      <w:r w:rsidRPr="00C03494">
        <w:rPr>
          <w:rFonts w:cs="Arial" w:hint="cs"/>
          <w:sz w:val="18"/>
          <w:szCs w:val="18"/>
          <w:rtl/>
        </w:rPr>
        <w:t>אם</w:t>
      </w:r>
      <w:r w:rsidRPr="00C03494">
        <w:rPr>
          <w:rFonts w:cs="Arial"/>
          <w:sz w:val="18"/>
          <w:szCs w:val="18"/>
          <w:rtl/>
        </w:rPr>
        <w:t xml:space="preserve"> </w:t>
      </w:r>
      <w:r w:rsidRPr="00C03494">
        <w:rPr>
          <w:rFonts w:cs="Arial" w:hint="cs"/>
          <w:sz w:val="18"/>
          <w:szCs w:val="18"/>
          <w:rtl/>
        </w:rPr>
        <w:t>העובדי</w:t>
      </w:r>
      <w:r w:rsidRPr="00C03494">
        <w:rPr>
          <w:rFonts w:cs="Arial"/>
          <w:sz w:val="18"/>
          <w:szCs w:val="18"/>
          <w:rtl/>
        </w:rPr>
        <w:t xml:space="preserve"> </w:t>
      </w:r>
      <w:r w:rsidRPr="00C03494">
        <w:rPr>
          <w:rFonts w:cs="Arial" w:hint="cs"/>
          <w:sz w:val="18"/>
          <w:szCs w:val="18"/>
          <w:rtl/>
        </w:rPr>
        <w:t>כוכבים</w:t>
      </w:r>
      <w:r w:rsidRPr="00C03494">
        <w:rPr>
          <w:rFonts w:cs="Arial"/>
          <w:sz w:val="18"/>
          <w:szCs w:val="18"/>
          <w:rtl/>
        </w:rPr>
        <w:t xml:space="preserve"> </w:t>
      </w:r>
      <w:r w:rsidRPr="00C03494">
        <w:rPr>
          <w:rFonts w:cs="Arial" w:hint="cs"/>
          <w:sz w:val="18"/>
          <w:szCs w:val="18"/>
          <w:rtl/>
        </w:rPr>
        <w:t>קורין</w:t>
      </w:r>
      <w:r w:rsidRPr="00C03494">
        <w:rPr>
          <w:rFonts w:cs="Arial"/>
          <w:sz w:val="18"/>
          <w:szCs w:val="18"/>
          <w:rtl/>
        </w:rPr>
        <w:t xml:space="preserve"> </w:t>
      </w:r>
      <w:r w:rsidRPr="00C03494">
        <w:rPr>
          <w:rFonts w:cs="Arial" w:hint="cs"/>
          <w:sz w:val="18"/>
          <w:szCs w:val="18"/>
          <w:rtl/>
        </w:rPr>
        <w:t>אותו</w:t>
      </w:r>
      <w:r w:rsidRPr="00C03494">
        <w:rPr>
          <w:rFonts w:cs="Arial"/>
          <w:sz w:val="18"/>
          <w:szCs w:val="18"/>
          <w:rtl/>
        </w:rPr>
        <w:t xml:space="preserve"> </w:t>
      </w:r>
      <w:r w:rsidRPr="00C03494">
        <w:rPr>
          <w:rFonts w:cs="Arial" w:hint="cs"/>
          <w:sz w:val="18"/>
          <w:szCs w:val="18"/>
          <w:rtl/>
        </w:rPr>
        <w:t>בכינוי</w:t>
      </w:r>
      <w:r w:rsidRPr="00C03494">
        <w:rPr>
          <w:rFonts w:cs="Arial"/>
          <w:sz w:val="18"/>
          <w:szCs w:val="18"/>
          <w:rtl/>
        </w:rPr>
        <w:t xml:space="preserve"> </w:t>
      </w:r>
      <w:r w:rsidRPr="00C03494">
        <w:rPr>
          <w:rFonts w:cs="Arial" w:hint="cs"/>
          <w:sz w:val="18"/>
          <w:szCs w:val="18"/>
          <w:rtl/>
        </w:rPr>
        <w:t>לחוד</w:t>
      </w:r>
      <w:r w:rsidRPr="00C03494">
        <w:rPr>
          <w:rFonts w:cs="Arial"/>
          <w:sz w:val="18"/>
          <w:szCs w:val="18"/>
          <w:rtl/>
        </w:rPr>
        <w:t xml:space="preserve">, </w:t>
      </w:r>
      <w:r w:rsidRPr="00C03494">
        <w:rPr>
          <w:rFonts w:cs="Arial" w:hint="cs"/>
          <w:sz w:val="18"/>
          <w:szCs w:val="18"/>
          <w:rtl/>
        </w:rPr>
        <w:t>אע</w:t>
      </w:r>
      <w:r w:rsidR="00FE1451">
        <w:rPr>
          <w:rFonts w:cs="Arial" w:hint="cs"/>
          <w:sz w:val="18"/>
          <w:szCs w:val="18"/>
          <w:rtl/>
        </w:rPr>
        <w:t>"</w:t>
      </w:r>
      <w:r w:rsidRPr="00C03494">
        <w:rPr>
          <w:rFonts w:cs="Arial" w:hint="cs"/>
          <w:sz w:val="18"/>
          <w:szCs w:val="18"/>
          <w:rtl/>
        </w:rPr>
        <w:t>פ</w:t>
      </w:r>
      <w:r w:rsidRPr="00C03494">
        <w:rPr>
          <w:rFonts w:cs="Arial"/>
          <w:sz w:val="18"/>
          <w:szCs w:val="18"/>
          <w:rtl/>
        </w:rPr>
        <w:t xml:space="preserve"> </w:t>
      </w:r>
      <w:r w:rsidRPr="00C03494">
        <w:rPr>
          <w:rFonts w:cs="Arial" w:hint="cs"/>
          <w:sz w:val="18"/>
          <w:szCs w:val="18"/>
          <w:rtl/>
        </w:rPr>
        <w:t>שאין</w:t>
      </w:r>
      <w:r w:rsidRPr="00C03494">
        <w:rPr>
          <w:rFonts w:cs="Arial"/>
          <w:sz w:val="18"/>
          <w:szCs w:val="18"/>
          <w:rtl/>
        </w:rPr>
        <w:t xml:space="preserve"> </w:t>
      </w:r>
      <w:r w:rsidRPr="00C03494">
        <w:rPr>
          <w:rFonts w:cs="Arial" w:hint="cs"/>
          <w:sz w:val="18"/>
          <w:szCs w:val="18"/>
          <w:rtl/>
        </w:rPr>
        <w:t>ישראל</w:t>
      </w:r>
      <w:r w:rsidRPr="00C03494">
        <w:rPr>
          <w:rFonts w:cs="Arial"/>
          <w:sz w:val="18"/>
          <w:szCs w:val="18"/>
          <w:rtl/>
        </w:rPr>
        <w:t xml:space="preserve"> </w:t>
      </w:r>
      <w:r w:rsidRPr="00C03494">
        <w:rPr>
          <w:rFonts w:cs="Arial" w:hint="cs"/>
          <w:sz w:val="18"/>
          <w:szCs w:val="18"/>
          <w:rtl/>
        </w:rPr>
        <w:t>קורין</w:t>
      </w:r>
      <w:r w:rsidRPr="00C03494">
        <w:rPr>
          <w:rFonts w:cs="Arial"/>
          <w:sz w:val="18"/>
          <w:szCs w:val="18"/>
          <w:rtl/>
        </w:rPr>
        <w:t xml:space="preserve"> </w:t>
      </w:r>
      <w:r w:rsidRPr="00C03494">
        <w:rPr>
          <w:rFonts w:cs="Arial" w:hint="cs"/>
          <w:sz w:val="18"/>
          <w:szCs w:val="18"/>
          <w:rtl/>
        </w:rPr>
        <w:t>אותו</w:t>
      </w:r>
      <w:r w:rsidRPr="00C03494">
        <w:rPr>
          <w:rFonts w:cs="Arial"/>
          <w:sz w:val="18"/>
          <w:szCs w:val="18"/>
          <w:rtl/>
        </w:rPr>
        <w:t xml:space="preserve"> </w:t>
      </w:r>
      <w:r w:rsidRPr="00C03494">
        <w:rPr>
          <w:rFonts w:cs="Arial" w:hint="cs"/>
          <w:sz w:val="18"/>
          <w:szCs w:val="18"/>
          <w:rtl/>
        </w:rPr>
        <w:t>כן</w:t>
      </w:r>
      <w:r w:rsidRPr="00C03494">
        <w:rPr>
          <w:rFonts w:cs="Arial"/>
          <w:sz w:val="18"/>
          <w:szCs w:val="18"/>
          <w:rtl/>
        </w:rPr>
        <w:t xml:space="preserve">, </w:t>
      </w:r>
      <w:r w:rsidRPr="00C03494">
        <w:rPr>
          <w:rFonts w:cs="Arial" w:hint="cs"/>
          <w:sz w:val="18"/>
          <w:szCs w:val="18"/>
          <w:rtl/>
        </w:rPr>
        <w:t>י</w:t>
      </w:r>
      <w:r w:rsidRPr="00C03494">
        <w:rPr>
          <w:rFonts w:cs="Arial"/>
          <w:sz w:val="18"/>
          <w:szCs w:val="18"/>
          <w:rtl/>
        </w:rPr>
        <w:t>"</w:t>
      </w:r>
      <w:r w:rsidRPr="00C03494">
        <w:rPr>
          <w:rFonts w:cs="Arial" w:hint="cs"/>
          <w:sz w:val="18"/>
          <w:szCs w:val="18"/>
          <w:rtl/>
        </w:rPr>
        <w:t>א</w:t>
      </w:r>
      <w:r w:rsidRPr="00C03494">
        <w:rPr>
          <w:rFonts w:cs="Arial"/>
          <w:sz w:val="18"/>
          <w:szCs w:val="18"/>
          <w:rtl/>
        </w:rPr>
        <w:t xml:space="preserve"> </w:t>
      </w:r>
      <w:r w:rsidRPr="00C03494">
        <w:rPr>
          <w:rFonts w:cs="Arial" w:hint="cs"/>
          <w:sz w:val="18"/>
          <w:szCs w:val="18"/>
          <w:rtl/>
        </w:rPr>
        <w:t>דכותבין</w:t>
      </w:r>
      <w:r w:rsidRPr="00C03494">
        <w:rPr>
          <w:rFonts w:cs="Arial"/>
          <w:sz w:val="18"/>
          <w:szCs w:val="18"/>
          <w:rtl/>
        </w:rPr>
        <w:t xml:space="preserve">: </w:t>
      </w:r>
      <w:r w:rsidRPr="00C03494">
        <w:rPr>
          <w:rFonts w:cs="Arial" w:hint="cs"/>
          <w:sz w:val="18"/>
          <w:szCs w:val="18"/>
          <w:rtl/>
        </w:rPr>
        <w:t>וכל</w:t>
      </w:r>
      <w:r w:rsidRPr="00C03494">
        <w:rPr>
          <w:rFonts w:cs="Arial"/>
          <w:sz w:val="18"/>
          <w:szCs w:val="18"/>
          <w:rtl/>
        </w:rPr>
        <w:t xml:space="preserve"> </w:t>
      </w:r>
      <w:r w:rsidRPr="00C03494">
        <w:rPr>
          <w:rFonts w:cs="Arial" w:hint="cs"/>
          <w:sz w:val="18"/>
          <w:szCs w:val="18"/>
          <w:rtl/>
        </w:rPr>
        <w:t>שום</w:t>
      </w:r>
      <w:r w:rsidRPr="00C03494">
        <w:rPr>
          <w:rFonts w:cs="Arial"/>
          <w:sz w:val="18"/>
          <w:szCs w:val="18"/>
          <w:rtl/>
        </w:rPr>
        <w:t xml:space="preserve"> </w:t>
      </w:r>
      <w:r w:rsidRPr="00C03494">
        <w:rPr>
          <w:rFonts w:cs="Arial" w:hint="cs"/>
          <w:sz w:val="18"/>
          <w:szCs w:val="18"/>
          <w:rtl/>
        </w:rPr>
        <w:t>וחניכה</w:t>
      </w:r>
      <w:r w:rsidRPr="00C03494">
        <w:rPr>
          <w:rFonts w:cs="Arial"/>
          <w:sz w:val="18"/>
          <w:szCs w:val="18"/>
          <w:rtl/>
        </w:rPr>
        <w:t xml:space="preserve">, </w:t>
      </w:r>
      <w:r w:rsidRPr="00C03494">
        <w:rPr>
          <w:rFonts w:cs="Arial" w:hint="cs"/>
          <w:sz w:val="18"/>
          <w:szCs w:val="18"/>
          <w:rtl/>
        </w:rPr>
        <w:t>אע</w:t>
      </w:r>
      <w:r w:rsidR="00FE1451">
        <w:rPr>
          <w:rFonts w:cs="Arial" w:hint="cs"/>
          <w:sz w:val="18"/>
          <w:szCs w:val="18"/>
          <w:rtl/>
        </w:rPr>
        <w:t>"</w:t>
      </w:r>
      <w:r w:rsidRPr="00C03494">
        <w:rPr>
          <w:rFonts w:cs="Arial" w:hint="cs"/>
          <w:sz w:val="18"/>
          <w:szCs w:val="18"/>
          <w:rtl/>
        </w:rPr>
        <w:t>פ</w:t>
      </w:r>
      <w:r w:rsidRPr="00C03494">
        <w:rPr>
          <w:rFonts w:cs="Arial"/>
          <w:sz w:val="18"/>
          <w:szCs w:val="18"/>
          <w:rtl/>
        </w:rPr>
        <w:t xml:space="preserve"> </w:t>
      </w:r>
      <w:r w:rsidRPr="00C03494">
        <w:rPr>
          <w:rFonts w:cs="Arial" w:hint="cs"/>
          <w:sz w:val="18"/>
          <w:szCs w:val="18"/>
          <w:rtl/>
        </w:rPr>
        <w:t>שבשאר</w:t>
      </w:r>
      <w:r w:rsidRPr="00C03494">
        <w:rPr>
          <w:rFonts w:cs="Arial"/>
          <w:sz w:val="18"/>
          <w:szCs w:val="18"/>
          <w:rtl/>
        </w:rPr>
        <w:t xml:space="preserve"> </w:t>
      </w:r>
      <w:r w:rsidRPr="00C03494">
        <w:rPr>
          <w:rFonts w:cs="Arial" w:hint="cs"/>
          <w:sz w:val="18"/>
          <w:szCs w:val="18"/>
          <w:rtl/>
        </w:rPr>
        <w:t>גיטין</w:t>
      </w:r>
      <w:r w:rsidRPr="00C03494">
        <w:rPr>
          <w:rFonts w:cs="Arial"/>
          <w:sz w:val="18"/>
          <w:szCs w:val="18"/>
          <w:rtl/>
        </w:rPr>
        <w:t xml:space="preserve"> </w:t>
      </w:r>
      <w:r w:rsidRPr="00C03494">
        <w:rPr>
          <w:rFonts w:cs="Arial" w:hint="cs"/>
          <w:sz w:val="18"/>
          <w:szCs w:val="18"/>
          <w:rtl/>
        </w:rPr>
        <w:t>אין</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כן</w:t>
      </w:r>
      <w:r w:rsidRPr="00C03494">
        <w:rPr>
          <w:rFonts w:cs="Arial"/>
          <w:sz w:val="18"/>
          <w:szCs w:val="18"/>
          <w:rtl/>
        </w:rPr>
        <w:t xml:space="preserve">. </w:t>
      </w:r>
      <w:r w:rsidRPr="00C03494">
        <w:rPr>
          <w:rFonts w:cs="Arial" w:hint="cs"/>
          <w:sz w:val="18"/>
          <w:szCs w:val="18"/>
          <w:rtl/>
        </w:rPr>
        <w:t>וכן</w:t>
      </w:r>
      <w:r w:rsidRPr="00C03494">
        <w:rPr>
          <w:rFonts w:cs="Arial"/>
          <w:sz w:val="18"/>
          <w:szCs w:val="18"/>
          <w:rtl/>
        </w:rPr>
        <w:t xml:space="preserve"> </w:t>
      </w:r>
      <w:r w:rsidRPr="00C03494">
        <w:rPr>
          <w:rFonts w:cs="Arial" w:hint="cs"/>
          <w:sz w:val="18"/>
          <w:szCs w:val="18"/>
          <w:rtl/>
        </w:rPr>
        <w:t>בכינוי</w:t>
      </w:r>
      <w:r w:rsidRPr="00C03494">
        <w:rPr>
          <w:rFonts w:cs="Arial"/>
          <w:sz w:val="18"/>
          <w:szCs w:val="18"/>
          <w:rtl/>
        </w:rPr>
        <w:t xml:space="preserve"> </w:t>
      </w:r>
      <w:r w:rsidRPr="00C03494">
        <w:rPr>
          <w:rFonts w:cs="Arial" w:hint="cs"/>
          <w:sz w:val="18"/>
          <w:szCs w:val="18"/>
          <w:rtl/>
        </w:rPr>
        <w:t>משפחה</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ולי</w:t>
      </w:r>
      <w:r w:rsidRPr="00C03494">
        <w:rPr>
          <w:rFonts w:cs="Arial"/>
          <w:sz w:val="18"/>
          <w:szCs w:val="18"/>
          <w:rtl/>
        </w:rPr>
        <w:t xml:space="preserve"> </w:t>
      </w:r>
      <w:r w:rsidRPr="00C03494">
        <w:rPr>
          <w:rFonts w:cs="Arial" w:hint="cs"/>
          <w:sz w:val="18"/>
          <w:szCs w:val="18"/>
          <w:rtl/>
        </w:rPr>
        <w:t>נראה</w:t>
      </w:r>
      <w:r w:rsidRPr="00C03494">
        <w:rPr>
          <w:rFonts w:cs="Arial"/>
          <w:sz w:val="18"/>
          <w:szCs w:val="18"/>
          <w:rtl/>
        </w:rPr>
        <w:t xml:space="preserve"> </w:t>
      </w:r>
      <w:r w:rsidRPr="00C03494">
        <w:rPr>
          <w:rFonts w:cs="Arial" w:hint="cs"/>
          <w:sz w:val="18"/>
          <w:szCs w:val="18"/>
          <w:rtl/>
        </w:rPr>
        <w:t>דאין</w:t>
      </w:r>
      <w:r w:rsidRPr="00C03494">
        <w:rPr>
          <w:rFonts w:cs="Arial"/>
          <w:sz w:val="18"/>
          <w:szCs w:val="18"/>
          <w:rtl/>
        </w:rPr>
        <w:t xml:space="preserve"> </w:t>
      </w:r>
      <w:r w:rsidRPr="00C03494">
        <w:rPr>
          <w:rFonts w:cs="Arial" w:hint="cs"/>
          <w:sz w:val="18"/>
          <w:szCs w:val="18"/>
          <w:rtl/>
        </w:rPr>
        <w:t>לכתוב</w:t>
      </w:r>
      <w:r w:rsidRPr="00C03494">
        <w:rPr>
          <w:rFonts w:cs="Arial"/>
          <w:sz w:val="18"/>
          <w:szCs w:val="18"/>
          <w:rtl/>
        </w:rPr>
        <w:t xml:space="preserve"> </w:t>
      </w:r>
      <w:r w:rsidRPr="00C03494">
        <w:rPr>
          <w:rFonts w:cs="Arial" w:hint="cs"/>
          <w:sz w:val="18"/>
          <w:szCs w:val="18"/>
          <w:rtl/>
        </w:rPr>
        <w:t>לכינוי</w:t>
      </w:r>
      <w:r w:rsidRPr="00C03494">
        <w:rPr>
          <w:rFonts w:cs="Arial"/>
          <w:sz w:val="18"/>
          <w:szCs w:val="18"/>
          <w:rtl/>
        </w:rPr>
        <w:t xml:space="preserve"> </w:t>
      </w:r>
      <w:r w:rsidRPr="00C03494">
        <w:rPr>
          <w:rFonts w:cs="Arial" w:hint="cs"/>
          <w:sz w:val="18"/>
          <w:szCs w:val="18"/>
          <w:rtl/>
        </w:rPr>
        <w:t>כלל</w:t>
      </w:r>
      <w:r w:rsidRPr="00C03494">
        <w:rPr>
          <w:rFonts w:cs="Arial"/>
          <w:sz w:val="18"/>
          <w:szCs w:val="18"/>
          <w:rtl/>
        </w:rPr>
        <w:t xml:space="preserve">, </w:t>
      </w:r>
      <w:r w:rsidRPr="00C03494">
        <w:rPr>
          <w:rFonts w:cs="Arial" w:hint="cs"/>
          <w:sz w:val="18"/>
          <w:szCs w:val="18"/>
          <w:rtl/>
        </w:rPr>
        <w:t>כמו</w:t>
      </w:r>
      <w:r w:rsidRPr="00C03494">
        <w:rPr>
          <w:rFonts w:cs="Arial"/>
          <w:sz w:val="18"/>
          <w:szCs w:val="18"/>
          <w:rtl/>
        </w:rPr>
        <w:t xml:space="preserve"> </w:t>
      </w:r>
      <w:r w:rsidRPr="00C03494">
        <w:rPr>
          <w:rFonts w:cs="Arial" w:hint="cs"/>
          <w:sz w:val="18"/>
          <w:szCs w:val="18"/>
          <w:rtl/>
        </w:rPr>
        <w:t>שנוהגין</w:t>
      </w:r>
      <w:r w:rsidRPr="00C03494">
        <w:rPr>
          <w:rFonts w:cs="Arial"/>
          <w:sz w:val="18"/>
          <w:szCs w:val="18"/>
          <w:rtl/>
        </w:rPr>
        <w:t xml:space="preserve"> </w:t>
      </w:r>
      <w:r w:rsidRPr="00C03494">
        <w:rPr>
          <w:rFonts w:cs="Arial" w:hint="cs"/>
          <w:sz w:val="18"/>
          <w:szCs w:val="18"/>
          <w:rtl/>
        </w:rPr>
        <w:t>בכינוי</w:t>
      </w:r>
      <w:r w:rsidRPr="00C03494">
        <w:rPr>
          <w:rFonts w:cs="Arial"/>
          <w:sz w:val="18"/>
          <w:szCs w:val="18"/>
          <w:rtl/>
        </w:rPr>
        <w:t xml:space="preserve"> </w:t>
      </w:r>
      <w:r w:rsidRPr="00C03494">
        <w:rPr>
          <w:rFonts w:cs="Arial" w:hint="cs"/>
          <w:sz w:val="18"/>
          <w:szCs w:val="18"/>
          <w:rtl/>
        </w:rPr>
        <w:t>משפחה</w:t>
      </w:r>
      <w:r w:rsidRPr="00C03494">
        <w:rPr>
          <w:rFonts w:cs="Arial"/>
          <w:sz w:val="18"/>
          <w:szCs w:val="18"/>
          <w:rtl/>
        </w:rPr>
        <w:t>.</w:t>
      </w:r>
    </w:p>
    <w:p w14:paraId="2F02A2FF" w14:textId="77777777" w:rsidR="00FA2119" w:rsidRDefault="00FA2119" w:rsidP="00FA2119">
      <w:pPr>
        <w:rPr>
          <w:rtl/>
        </w:rPr>
      </w:pPr>
      <w:r>
        <w:rPr>
          <w:rFonts w:cs="Arial"/>
          <w:rtl/>
        </w:rPr>
        <w:t xml:space="preserve"> </w:t>
      </w:r>
    </w:p>
    <w:p w14:paraId="1333E921" w14:textId="77777777" w:rsidR="00FA2119" w:rsidRDefault="00FA2119" w:rsidP="00FA2119">
      <w:pPr>
        <w:pStyle w:val="2"/>
        <w:rPr>
          <w:rtl/>
        </w:rPr>
      </w:pPr>
      <w:r>
        <w:rPr>
          <w:rFonts w:hint="cs"/>
          <w:rtl/>
        </w:rPr>
        <w:t>סעיף</w:t>
      </w:r>
      <w:r>
        <w:rPr>
          <w:rtl/>
        </w:rPr>
        <w:t xml:space="preserve"> </w:t>
      </w:r>
      <w:r>
        <w:rPr>
          <w:rFonts w:hint="cs"/>
          <w:rtl/>
        </w:rPr>
        <w:t xml:space="preserve">יז: </w:t>
      </w:r>
      <w:r w:rsidRPr="00DF3500">
        <w:rPr>
          <w:rFonts w:cs="Arial" w:hint="cs"/>
          <w:rtl/>
        </w:rPr>
        <w:t>ה</w:t>
      </w:r>
      <w:r w:rsidRPr="00DF3500">
        <w:rPr>
          <w:rFonts w:cs="Arial"/>
          <w:rtl/>
        </w:rPr>
        <w:t>שם השני בלשון לעז והכל אחד</w:t>
      </w:r>
      <w:r>
        <w:rPr>
          <w:rFonts w:hint="cs"/>
          <w:rtl/>
        </w:rPr>
        <w:t>.</w:t>
      </w:r>
    </w:p>
    <w:p w14:paraId="49835E52" w14:textId="77777777" w:rsidR="00FA2119" w:rsidRPr="00502CEF" w:rsidRDefault="00FA2119" w:rsidP="00FA2119">
      <w:pPr>
        <w:rPr>
          <w:rtl/>
        </w:rPr>
      </w:pPr>
      <w:r>
        <w:rPr>
          <w:rFonts w:hint="cs"/>
          <w:rtl/>
        </w:rPr>
        <w:t>עיין במקורות בסעיף הקודם.</w:t>
      </w:r>
    </w:p>
    <w:p w14:paraId="4FC646A1"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4907C56" w14:textId="77777777" w:rsidR="00FA2119" w:rsidRDefault="00FA2119" w:rsidP="00FA2119">
      <w:pPr>
        <w:rPr>
          <w:rFonts w:cs="Arial"/>
          <w:rtl/>
        </w:rPr>
      </w:pPr>
      <w:r>
        <w:rPr>
          <w:rFonts w:cs="Arial" w:hint="cs"/>
          <w:rtl/>
        </w:rPr>
        <w:t>אם</w:t>
      </w:r>
      <w:r>
        <w:rPr>
          <w:rFonts w:cs="Arial"/>
          <w:rtl/>
        </w:rPr>
        <w:t xml:space="preserve"> </w:t>
      </w:r>
      <w:r>
        <w:rPr>
          <w:rFonts w:cs="Arial" w:hint="cs"/>
          <w:rtl/>
        </w:rPr>
        <w:t>השם</w:t>
      </w:r>
      <w:r>
        <w:rPr>
          <w:rFonts w:cs="Arial"/>
          <w:rtl/>
        </w:rPr>
        <w:t xml:space="preserve"> </w:t>
      </w:r>
      <w:r>
        <w:rPr>
          <w:rFonts w:cs="Arial" w:hint="cs"/>
          <w:rtl/>
        </w:rPr>
        <w:t>השני</w:t>
      </w:r>
      <w:r>
        <w:rPr>
          <w:rFonts w:cs="Arial"/>
          <w:rtl/>
        </w:rPr>
        <w:t xml:space="preserve"> </w:t>
      </w:r>
      <w:r>
        <w:rPr>
          <w:rFonts w:cs="Arial" w:hint="cs"/>
          <w:rtl/>
        </w:rPr>
        <w:t>בלשון</w:t>
      </w:r>
      <w:r>
        <w:rPr>
          <w:rFonts w:cs="Arial"/>
          <w:rtl/>
        </w:rPr>
        <w:t xml:space="preserve"> </w:t>
      </w:r>
      <w:r>
        <w:rPr>
          <w:rFonts w:cs="Arial" w:hint="cs"/>
          <w:rtl/>
        </w:rPr>
        <w:t>לעז</w:t>
      </w:r>
      <w:r>
        <w:rPr>
          <w:rFonts w:cs="Arial"/>
          <w:rtl/>
        </w:rPr>
        <w:t xml:space="preserve">, </w:t>
      </w:r>
      <w:r>
        <w:rPr>
          <w:rFonts w:cs="Arial" w:hint="cs"/>
          <w:rtl/>
        </w:rPr>
        <w:t>והכל</w:t>
      </w:r>
      <w:r>
        <w:rPr>
          <w:rFonts w:cs="Arial"/>
          <w:rtl/>
        </w:rPr>
        <w:t xml:space="preserve"> </w:t>
      </w:r>
      <w:r>
        <w:rPr>
          <w:rFonts w:cs="Arial" w:hint="cs"/>
          <w:rtl/>
        </w:rPr>
        <w:t>אחד</w:t>
      </w:r>
      <w:r>
        <w:rPr>
          <w:rFonts w:cs="Arial"/>
          <w:rtl/>
        </w:rPr>
        <w:t xml:space="preserve">, </w:t>
      </w:r>
      <w:r>
        <w:rPr>
          <w:rFonts w:cs="Arial" w:hint="cs"/>
          <w:rtl/>
        </w:rPr>
        <w:t>כגון</w:t>
      </w:r>
      <w:r>
        <w:rPr>
          <w:rFonts w:cs="Arial"/>
          <w:rtl/>
        </w:rPr>
        <w:t xml:space="preserve"> </w:t>
      </w:r>
      <w:r>
        <w:rPr>
          <w:rFonts w:cs="Arial" w:hint="cs"/>
          <w:rtl/>
        </w:rPr>
        <w:t>חיים</w:t>
      </w:r>
      <w:r>
        <w:rPr>
          <w:rFonts w:cs="Arial"/>
          <w:rtl/>
        </w:rPr>
        <w:t xml:space="preserve"> </w:t>
      </w:r>
      <w:r>
        <w:rPr>
          <w:rFonts w:cs="Arial" w:hint="cs"/>
          <w:rtl/>
        </w:rPr>
        <w:t>ביבאנט</w:t>
      </w:r>
      <w:r>
        <w:rPr>
          <w:rFonts w:cs="Arial"/>
          <w:rtl/>
        </w:rPr>
        <w:t xml:space="preserve">, </w:t>
      </w:r>
      <w:r>
        <w:rPr>
          <w:rFonts w:cs="Arial" w:hint="cs"/>
          <w:rtl/>
        </w:rPr>
        <w:t>כותבין</w:t>
      </w:r>
      <w:r>
        <w:rPr>
          <w:rFonts w:cs="Arial"/>
          <w:rtl/>
        </w:rPr>
        <w:t xml:space="preserve">: </w:t>
      </w:r>
      <w:r>
        <w:rPr>
          <w:rFonts w:cs="Arial" w:hint="cs"/>
          <w:rtl/>
        </w:rPr>
        <w:t>חיים</w:t>
      </w:r>
      <w:r>
        <w:rPr>
          <w:rFonts w:cs="Arial"/>
          <w:rtl/>
        </w:rPr>
        <w:t xml:space="preserve"> </w:t>
      </w:r>
      <w:r>
        <w:rPr>
          <w:rFonts w:cs="Arial" w:hint="cs"/>
          <w:rtl/>
        </w:rPr>
        <w:t>דמתקרי</w:t>
      </w:r>
      <w:r>
        <w:rPr>
          <w:rFonts w:cs="Arial"/>
          <w:rtl/>
        </w:rPr>
        <w:t xml:space="preserve"> </w:t>
      </w:r>
      <w:r>
        <w:rPr>
          <w:rFonts w:cs="Arial" w:hint="cs"/>
          <w:rtl/>
        </w:rPr>
        <w:t>ביבאנט</w:t>
      </w:r>
      <w:r>
        <w:rPr>
          <w:rFonts w:cs="Arial"/>
          <w:rtl/>
        </w:rPr>
        <w:t xml:space="preserve">. </w:t>
      </w:r>
      <w:r>
        <w:rPr>
          <w:rFonts w:cs="Arial" w:hint="cs"/>
          <w:rtl/>
        </w:rPr>
        <w:t>כל</w:t>
      </w:r>
      <w:r>
        <w:rPr>
          <w:rFonts w:cs="Arial"/>
          <w:rtl/>
        </w:rPr>
        <w:t xml:space="preserve"> </w:t>
      </w:r>
      <w:r>
        <w:rPr>
          <w:rFonts w:cs="Arial" w:hint="cs"/>
          <w:rtl/>
        </w:rPr>
        <w:t>חניכא</w:t>
      </w:r>
      <w:r>
        <w:rPr>
          <w:rFonts w:cs="Arial"/>
          <w:rtl/>
        </w:rPr>
        <w:t xml:space="preserve"> </w:t>
      </w:r>
      <w:r>
        <w:rPr>
          <w:rFonts w:cs="Arial" w:hint="cs"/>
          <w:rtl/>
        </w:rPr>
        <w:t>כותבין</w:t>
      </w:r>
      <w:r>
        <w:rPr>
          <w:rFonts w:cs="Arial"/>
          <w:rtl/>
        </w:rPr>
        <w:t xml:space="preserve">: </w:t>
      </w:r>
      <w:r>
        <w:rPr>
          <w:rFonts w:cs="Arial" w:hint="cs"/>
          <w:rtl/>
        </w:rPr>
        <w:t>המכונה</w:t>
      </w:r>
      <w:r>
        <w:rPr>
          <w:rFonts w:cs="Arial"/>
          <w:rtl/>
        </w:rPr>
        <w:t xml:space="preserve">, </w:t>
      </w:r>
      <w:r>
        <w:rPr>
          <w:rFonts w:cs="Arial" w:hint="cs"/>
          <w:rtl/>
        </w:rPr>
        <w:t>בין</w:t>
      </w:r>
      <w:r>
        <w:rPr>
          <w:rFonts w:cs="Arial"/>
          <w:rtl/>
        </w:rPr>
        <w:t xml:space="preserve"> </w:t>
      </w:r>
      <w:r>
        <w:rPr>
          <w:rFonts w:cs="Arial" w:hint="cs"/>
          <w:rtl/>
        </w:rPr>
        <w:t>שהוא</w:t>
      </w:r>
      <w:r>
        <w:rPr>
          <w:rFonts w:cs="Arial"/>
          <w:rtl/>
        </w:rPr>
        <w:t xml:space="preserve"> </w:t>
      </w:r>
      <w:r>
        <w:rPr>
          <w:rFonts w:cs="Arial" w:hint="cs"/>
          <w:rtl/>
        </w:rPr>
        <w:t>בלשון</w:t>
      </w:r>
      <w:r>
        <w:rPr>
          <w:rFonts w:cs="Arial"/>
          <w:rtl/>
        </w:rPr>
        <w:t xml:space="preserve"> </w:t>
      </w:r>
      <w:r>
        <w:rPr>
          <w:rFonts w:cs="Arial" w:hint="cs"/>
          <w:rtl/>
        </w:rPr>
        <w:t>עברי</w:t>
      </w:r>
      <w:r>
        <w:rPr>
          <w:rFonts w:cs="Arial"/>
          <w:rtl/>
        </w:rPr>
        <w:t xml:space="preserve"> </w:t>
      </w:r>
      <w:r>
        <w:rPr>
          <w:rFonts w:cs="Arial" w:hint="cs"/>
          <w:rtl/>
        </w:rPr>
        <w:t>בין</w:t>
      </w:r>
      <w:r>
        <w:rPr>
          <w:rFonts w:cs="Arial"/>
          <w:rtl/>
        </w:rPr>
        <w:t xml:space="preserve"> </w:t>
      </w:r>
      <w:r>
        <w:rPr>
          <w:rFonts w:cs="Arial" w:hint="cs"/>
          <w:rtl/>
        </w:rPr>
        <w:t>שהוא</w:t>
      </w:r>
      <w:r>
        <w:rPr>
          <w:rFonts w:cs="Arial"/>
          <w:rtl/>
        </w:rPr>
        <w:t xml:space="preserve"> </w:t>
      </w:r>
      <w:r>
        <w:rPr>
          <w:rFonts w:cs="Arial" w:hint="cs"/>
          <w:rtl/>
        </w:rPr>
        <w:t>בלשון</w:t>
      </w:r>
      <w:r>
        <w:rPr>
          <w:rFonts w:cs="Arial"/>
          <w:rtl/>
        </w:rPr>
        <w:t xml:space="preserve"> </w:t>
      </w:r>
      <w:r>
        <w:rPr>
          <w:rFonts w:cs="Arial" w:hint="cs"/>
          <w:rtl/>
        </w:rPr>
        <w:t>לעז</w:t>
      </w:r>
      <w:r>
        <w:rPr>
          <w:rFonts w:cs="Arial"/>
          <w:rtl/>
        </w:rPr>
        <w:t xml:space="preserve">. </w:t>
      </w:r>
      <w:r>
        <w:rPr>
          <w:rFonts w:cs="Arial" w:hint="cs"/>
          <w:sz w:val="18"/>
          <w:szCs w:val="18"/>
          <w:rtl/>
        </w:rPr>
        <w:t xml:space="preserve">[הגה] </w:t>
      </w:r>
      <w:r w:rsidRPr="00C03494">
        <w:rPr>
          <w:rFonts w:cs="Arial" w:hint="cs"/>
          <w:sz w:val="18"/>
          <w:szCs w:val="18"/>
          <w:rtl/>
        </w:rPr>
        <w:t>וכבר</w:t>
      </w:r>
      <w:r w:rsidRPr="00C03494">
        <w:rPr>
          <w:rFonts w:cs="Arial"/>
          <w:sz w:val="18"/>
          <w:szCs w:val="18"/>
          <w:rtl/>
        </w:rPr>
        <w:t xml:space="preserve"> </w:t>
      </w:r>
      <w:r w:rsidRPr="00C03494">
        <w:rPr>
          <w:rFonts w:cs="Arial" w:hint="cs"/>
          <w:sz w:val="18"/>
          <w:szCs w:val="18"/>
          <w:rtl/>
        </w:rPr>
        <w:t>נתבאר</w:t>
      </w:r>
      <w:r w:rsidRPr="00C03494">
        <w:rPr>
          <w:rFonts w:cs="Arial"/>
          <w:sz w:val="18"/>
          <w:szCs w:val="18"/>
          <w:rtl/>
        </w:rPr>
        <w:t xml:space="preserve"> </w:t>
      </w:r>
      <w:r w:rsidRPr="00C03494">
        <w:rPr>
          <w:rFonts w:cs="Arial" w:hint="cs"/>
          <w:sz w:val="18"/>
          <w:szCs w:val="18"/>
          <w:rtl/>
        </w:rPr>
        <w:t>שאין</w:t>
      </w:r>
      <w:r w:rsidRPr="00C03494">
        <w:rPr>
          <w:rFonts w:cs="Arial"/>
          <w:sz w:val="18"/>
          <w:szCs w:val="18"/>
          <w:rtl/>
        </w:rPr>
        <w:t xml:space="preserve"> </w:t>
      </w:r>
      <w:r w:rsidRPr="00C03494">
        <w:rPr>
          <w:rFonts w:cs="Arial" w:hint="cs"/>
          <w:sz w:val="18"/>
          <w:szCs w:val="18"/>
          <w:rtl/>
        </w:rPr>
        <w:t>נוהגין</w:t>
      </w:r>
      <w:r w:rsidRPr="00C03494">
        <w:rPr>
          <w:rFonts w:cs="Arial"/>
          <w:sz w:val="18"/>
          <w:szCs w:val="18"/>
          <w:rtl/>
        </w:rPr>
        <w:t xml:space="preserve"> </w:t>
      </w:r>
      <w:r w:rsidRPr="00C03494">
        <w:rPr>
          <w:rFonts w:cs="Arial" w:hint="cs"/>
          <w:sz w:val="18"/>
          <w:szCs w:val="18"/>
          <w:rtl/>
        </w:rPr>
        <w:t>כן</w:t>
      </w:r>
      <w:r>
        <w:rPr>
          <w:rFonts w:cs="Arial"/>
          <w:rtl/>
        </w:rPr>
        <w:t>.</w:t>
      </w:r>
    </w:p>
    <w:p w14:paraId="35FEADA9" w14:textId="77777777" w:rsidR="00FA2119" w:rsidRDefault="00FA2119" w:rsidP="00FA2119">
      <w:pPr>
        <w:rPr>
          <w:rtl/>
        </w:rPr>
      </w:pPr>
      <w:r>
        <w:rPr>
          <w:rFonts w:cs="Arial"/>
          <w:rtl/>
        </w:rPr>
        <w:t xml:space="preserve"> </w:t>
      </w:r>
    </w:p>
    <w:p w14:paraId="0658EBA3" w14:textId="77777777" w:rsidR="00FA2119" w:rsidRDefault="00FA2119" w:rsidP="00FA2119">
      <w:pPr>
        <w:pStyle w:val="2"/>
        <w:rPr>
          <w:rtl/>
        </w:rPr>
      </w:pPr>
      <w:r>
        <w:rPr>
          <w:rFonts w:hint="cs"/>
          <w:rtl/>
        </w:rPr>
        <w:t>סעיף</w:t>
      </w:r>
      <w:r>
        <w:rPr>
          <w:rtl/>
        </w:rPr>
        <w:t xml:space="preserve"> </w:t>
      </w:r>
      <w:r>
        <w:rPr>
          <w:rFonts w:hint="cs"/>
          <w:rtl/>
        </w:rPr>
        <w:t>יח: נשתנה שמו מחמת חולי.</w:t>
      </w:r>
    </w:p>
    <w:p w14:paraId="1C548B62" w14:textId="3DE1C4C1" w:rsidR="00FA2119" w:rsidRPr="00DF3500" w:rsidRDefault="00FA2119" w:rsidP="00FA2119">
      <w:pPr>
        <w:rPr>
          <w:u w:val="single"/>
          <w:rtl/>
        </w:rPr>
      </w:pPr>
      <w:r w:rsidRPr="00DF3500">
        <w:rPr>
          <w:rFonts w:hint="cs"/>
          <w:u w:val="single"/>
          <w:rtl/>
        </w:rPr>
        <w:t>נשתנה שמו מחמת חולי</w:t>
      </w:r>
      <w:r>
        <w:rPr>
          <w:rFonts w:hint="cs"/>
          <w:u w:val="single"/>
          <w:rtl/>
        </w:rPr>
        <w:t xml:space="preserve"> </w:t>
      </w:r>
      <w:r w:rsidR="00A82951">
        <w:rPr>
          <w:u w:val="single"/>
          <w:rtl/>
        </w:rPr>
        <w:t>-</w:t>
      </w:r>
      <w:r>
        <w:rPr>
          <w:rFonts w:hint="cs"/>
          <w:u w:val="single"/>
          <w:rtl/>
        </w:rPr>
        <w:t xml:space="preserve"> וקוראים לו לרוב בשם הראשון</w:t>
      </w:r>
      <w:r w:rsidRPr="00DF3500">
        <w:rPr>
          <w:rFonts w:hint="cs"/>
          <w:u w:val="single"/>
          <w:rtl/>
        </w:rPr>
        <w:t>:</w:t>
      </w:r>
    </w:p>
    <w:p w14:paraId="1599A32D" w14:textId="29834680" w:rsidR="00FC244F" w:rsidRPr="00D22CF9" w:rsidRDefault="00FA2119" w:rsidP="00FC244F">
      <w:pPr>
        <w:pStyle w:val="ab"/>
        <w:numPr>
          <w:ilvl w:val="0"/>
          <w:numId w:val="79"/>
        </w:numPr>
      </w:pPr>
      <w:r>
        <w:rPr>
          <w:rFonts w:cs="Arial" w:hint="cs"/>
          <w:rtl/>
        </w:rPr>
        <w:t xml:space="preserve">סמ"ג </w:t>
      </w:r>
      <w:r>
        <w:rPr>
          <w:rFonts w:cs="Arial" w:hint="cs"/>
          <w:sz w:val="16"/>
          <w:szCs w:val="16"/>
          <w:rtl/>
        </w:rPr>
        <w:t xml:space="preserve">(כ"כ בשמו הגה"מ פ"ג מגירושין שם) </w:t>
      </w:r>
      <w:r>
        <w:rPr>
          <w:rFonts w:cs="Arial" w:hint="cs"/>
          <w:rtl/>
        </w:rPr>
        <w:t xml:space="preserve">כל בו </w:t>
      </w:r>
      <w:r>
        <w:rPr>
          <w:rFonts w:cs="Arial" w:hint="cs"/>
          <w:sz w:val="16"/>
          <w:szCs w:val="16"/>
          <w:rtl/>
        </w:rPr>
        <w:t>(שם)</w:t>
      </w:r>
      <w:r>
        <w:rPr>
          <w:rFonts w:cs="Arial" w:hint="cs"/>
          <w:rtl/>
        </w:rPr>
        <w:t xml:space="preserve"> ר"פ </w:t>
      </w:r>
      <w:r>
        <w:rPr>
          <w:rFonts w:cs="Arial" w:hint="cs"/>
          <w:sz w:val="16"/>
          <w:szCs w:val="16"/>
          <w:rtl/>
        </w:rPr>
        <w:t>(הגה' סמ"ק שם)</w:t>
      </w:r>
      <w:r>
        <w:rPr>
          <w:rFonts w:cs="Arial" w:hint="cs"/>
          <w:rtl/>
        </w:rPr>
        <w:t xml:space="preserve"> </w:t>
      </w:r>
      <w:r w:rsidRPr="00D22CF9">
        <w:rPr>
          <w:rFonts w:cs="Arial"/>
          <w:rtl/>
        </w:rPr>
        <w:t>מרדכי</w:t>
      </w:r>
      <w:r w:rsidRPr="00D22CF9">
        <w:rPr>
          <w:rFonts w:cs="Arial"/>
          <w:sz w:val="16"/>
          <w:szCs w:val="16"/>
          <w:rtl/>
        </w:rPr>
        <w:t xml:space="preserve"> (סי' שסט)</w:t>
      </w:r>
      <w:r>
        <w:rPr>
          <w:rFonts w:cs="Arial" w:hint="cs"/>
          <w:rtl/>
        </w:rPr>
        <w:t xml:space="preserve"> וקונדריסין</w:t>
      </w:r>
      <w:r>
        <w:rPr>
          <w:rFonts w:cs="Arial" w:hint="cs"/>
          <w:sz w:val="16"/>
          <w:szCs w:val="16"/>
          <w:rtl/>
        </w:rPr>
        <w:t xml:space="preserve"> (סי' י)</w:t>
      </w:r>
      <w:r w:rsidR="00A82951">
        <w:rPr>
          <w:rFonts w:cs="Arial" w:hint="cs"/>
          <w:rtl/>
        </w:rPr>
        <w:t>-</w:t>
      </w:r>
      <w:r w:rsidRPr="00D22CF9">
        <w:rPr>
          <w:rFonts w:cs="Arial" w:hint="cs"/>
          <w:rtl/>
        </w:rPr>
        <w:t xml:space="preserve"> </w:t>
      </w:r>
      <w:r w:rsidRPr="00D22CF9">
        <w:rPr>
          <w:rFonts w:cs="Arial"/>
          <w:rtl/>
        </w:rPr>
        <w:t>מי שנשתנה שמו מחמת חולי</w:t>
      </w:r>
      <w:r w:rsidRPr="00D22CF9">
        <w:rPr>
          <w:rFonts w:cs="Arial" w:hint="cs"/>
          <w:rtl/>
        </w:rPr>
        <w:t>,</w:t>
      </w:r>
      <w:r w:rsidRPr="00D22CF9">
        <w:rPr>
          <w:rFonts w:cs="Arial"/>
          <w:rtl/>
        </w:rPr>
        <w:t xml:space="preserve"> אע"פ שקורין אותו תמיד בשם הא'</w:t>
      </w:r>
      <w:r>
        <w:rPr>
          <w:rFonts w:cs="Arial" w:hint="cs"/>
          <w:rtl/>
        </w:rPr>
        <w:t>,</w:t>
      </w:r>
      <w:r w:rsidRPr="00D22CF9">
        <w:rPr>
          <w:rFonts w:cs="Arial"/>
          <w:rtl/>
        </w:rPr>
        <w:t xml:space="preserve"> מכל מקום אותו השם שני לשינוי הוא עיקר וכותבין אותו קודם</w:t>
      </w:r>
      <w:r w:rsidR="00FC244F">
        <w:rPr>
          <w:rStyle w:val="a7"/>
          <w:rFonts w:cs="Arial"/>
          <w:rtl/>
        </w:rPr>
        <w:footnoteReference w:id="1143"/>
      </w:r>
      <w:r>
        <w:rPr>
          <w:rFonts w:cs="Arial" w:hint="cs"/>
          <w:sz w:val="16"/>
          <w:szCs w:val="16"/>
          <w:rtl/>
        </w:rPr>
        <w:t xml:space="preserve"> (ל' הב"י בשם הרמדכי)</w:t>
      </w:r>
      <w:r w:rsidRPr="00D22CF9">
        <w:rPr>
          <w:rFonts w:cs="Arial" w:hint="cs"/>
          <w:rtl/>
        </w:rPr>
        <w:t>.</w:t>
      </w:r>
      <w:r w:rsidRPr="00D22CF9">
        <w:rPr>
          <w:rFonts w:cs="Arial"/>
          <w:rtl/>
        </w:rPr>
        <w:t xml:space="preserve"> </w:t>
      </w:r>
      <w:r w:rsidRPr="00306F43">
        <w:rPr>
          <w:rFonts w:hint="cs"/>
          <w:color w:val="E36C0A" w:themeColor="accent6" w:themeShade="BF"/>
          <w:rtl/>
        </w:rPr>
        <w:t>(וכ"פ בשו"ע)</w:t>
      </w:r>
    </w:p>
    <w:p w14:paraId="636A02CA" w14:textId="77777777" w:rsidR="00FA2119" w:rsidRPr="00D22CF9" w:rsidRDefault="00FA2119" w:rsidP="00FA2119">
      <w:pPr>
        <w:ind w:left="360"/>
        <w:rPr>
          <w:u w:val="dotted"/>
        </w:rPr>
      </w:pPr>
      <w:r w:rsidRPr="00D22CF9">
        <w:rPr>
          <w:rFonts w:hint="cs"/>
          <w:u w:val="dotted"/>
          <w:rtl/>
        </w:rPr>
        <w:t xml:space="preserve">האם צריך לכתוב דמתקרי בין השם </w:t>
      </w:r>
      <w:r>
        <w:rPr>
          <w:rFonts w:hint="cs"/>
          <w:u w:val="dotted"/>
          <w:rtl/>
        </w:rPr>
        <w:t>השני</w:t>
      </w:r>
      <w:r w:rsidRPr="00D22CF9">
        <w:rPr>
          <w:rFonts w:hint="cs"/>
          <w:u w:val="dotted"/>
          <w:rtl/>
        </w:rPr>
        <w:t xml:space="preserve"> ל</w:t>
      </w:r>
      <w:r>
        <w:rPr>
          <w:rFonts w:hint="cs"/>
          <w:u w:val="dotted"/>
          <w:rtl/>
        </w:rPr>
        <w:t>ראשון</w:t>
      </w:r>
      <w:r w:rsidRPr="00D22CF9">
        <w:rPr>
          <w:rFonts w:hint="cs"/>
          <w:u w:val="dotted"/>
          <w:rtl/>
        </w:rPr>
        <w:t>:</w:t>
      </w:r>
    </w:p>
    <w:p w14:paraId="74F9E1C3" w14:textId="08D85C4C" w:rsidR="00FA2119" w:rsidRDefault="00FA2119" w:rsidP="00FA2119">
      <w:pPr>
        <w:pStyle w:val="ab"/>
        <w:numPr>
          <w:ilvl w:val="0"/>
          <w:numId w:val="79"/>
        </w:numPr>
      </w:pPr>
      <w:r>
        <w:rPr>
          <w:rFonts w:cs="Arial" w:hint="cs"/>
          <w:rtl/>
        </w:rPr>
        <w:t xml:space="preserve">ר"פ </w:t>
      </w:r>
      <w:r>
        <w:rPr>
          <w:rFonts w:cs="Arial" w:hint="cs"/>
          <w:sz w:val="16"/>
          <w:szCs w:val="16"/>
          <w:rtl/>
        </w:rPr>
        <w:t>(הגה' סמ"ק שם, כ"כ מהרי"ק [שורש צח] בשמו)</w:t>
      </w:r>
      <w:r>
        <w:rPr>
          <w:rFonts w:cs="Arial" w:hint="cs"/>
          <w:rtl/>
        </w:rPr>
        <w:t xml:space="preserve"> </w:t>
      </w:r>
      <w:r w:rsidRPr="00D22CF9">
        <w:rPr>
          <w:rFonts w:cs="Arial"/>
          <w:rtl/>
        </w:rPr>
        <w:t xml:space="preserve">קונדריסין </w:t>
      </w:r>
      <w:r w:rsidRPr="005E665D">
        <w:rPr>
          <w:rFonts w:cs="Arial"/>
          <w:sz w:val="16"/>
          <w:szCs w:val="16"/>
          <w:rtl/>
        </w:rPr>
        <w:t>(סי' י)</w:t>
      </w:r>
      <w:r w:rsidR="00A82951">
        <w:rPr>
          <w:rFonts w:cs="Arial" w:hint="cs"/>
          <w:rtl/>
        </w:rPr>
        <w:t>-</w:t>
      </w:r>
      <w:r w:rsidRPr="00D22CF9">
        <w:rPr>
          <w:rFonts w:cs="Arial"/>
          <w:rtl/>
        </w:rPr>
        <w:t xml:space="preserve"> </w:t>
      </w:r>
      <w:r>
        <w:rPr>
          <w:rFonts w:cs="Arial" w:hint="cs"/>
          <w:rtl/>
        </w:rPr>
        <w:t>ו</w:t>
      </w:r>
      <w:r w:rsidRPr="00D22CF9">
        <w:rPr>
          <w:rFonts w:cs="Arial"/>
          <w:rtl/>
        </w:rPr>
        <w:t>כותבין שם השני קודם</w:t>
      </w:r>
      <w:r>
        <w:rPr>
          <w:rFonts w:cs="Arial" w:hint="cs"/>
          <w:rtl/>
        </w:rPr>
        <w:t>,</w:t>
      </w:r>
      <w:r w:rsidRPr="00D22CF9">
        <w:rPr>
          <w:rFonts w:cs="Arial"/>
          <w:rtl/>
        </w:rPr>
        <w:t xml:space="preserve"> ואח"כ דמתקרי פלוני שם ראשון</w:t>
      </w:r>
      <w:r>
        <w:rPr>
          <w:rFonts w:cs="Arial" w:hint="cs"/>
          <w:rtl/>
        </w:rPr>
        <w:t>.</w:t>
      </w:r>
      <w:r w:rsidRPr="00D22CF9">
        <w:rPr>
          <w:rFonts w:cs="Arial"/>
          <w:rtl/>
        </w:rPr>
        <w:t xml:space="preserve"> ומהרי"ק </w:t>
      </w:r>
      <w:r>
        <w:rPr>
          <w:rFonts w:cs="Arial" w:hint="cs"/>
          <w:rtl/>
        </w:rPr>
        <w:t>(</w:t>
      </w:r>
      <w:r w:rsidRPr="00D22CF9">
        <w:rPr>
          <w:rFonts w:cs="Arial"/>
          <w:rtl/>
        </w:rPr>
        <w:t>שורש צח</w:t>
      </w:r>
      <w:r>
        <w:rPr>
          <w:rFonts w:cs="Arial" w:hint="cs"/>
          <w:rtl/>
        </w:rPr>
        <w:t>)</w:t>
      </w:r>
      <w:r w:rsidRPr="00D22CF9">
        <w:rPr>
          <w:rFonts w:cs="Arial"/>
          <w:rtl/>
        </w:rPr>
        <w:t xml:space="preserve"> קרא תגר על גט שכתבו בו שני השמות בלא דמתקרי ביניהם</w:t>
      </w:r>
      <w:r>
        <w:rPr>
          <w:rStyle w:val="a7"/>
          <w:rFonts w:cs="Arial"/>
          <w:rtl/>
        </w:rPr>
        <w:footnoteReference w:id="1144"/>
      </w:r>
      <w:r>
        <w:rPr>
          <w:rFonts w:cs="Arial" w:hint="cs"/>
          <w:rtl/>
        </w:rPr>
        <w:t>.</w:t>
      </w:r>
      <w:r w:rsidRPr="00D22CF9">
        <w:rPr>
          <w:rFonts w:cs="Arial"/>
          <w:rtl/>
        </w:rPr>
        <w:t xml:space="preserve"> </w:t>
      </w:r>
      <w:r w:rsidRPr="00306F43">
        <w:rPr>
          <w:rFonts w:hint="cs"/>
          <w:color w:val="E36C0A" w:themeColor="accent6" w:themeShade="BF"/>
          <w:rtl/>
        </w:rPr>
        <w:t>(וכ"פ בשו"ע)</w:t>
      </w:r>
    </w:p>
    <w:p w14:paraId="3156E2A3" w14:textId="77777777" w:rsidR="00FA2119" w:rsidRPr="005E665D" w:rsidRDefault="00FA2119" w:rsidP="00FA2119">
      <w:pPr>
        <w:ind w:left="720"/>
        <w:rPr>
          <w:u w:val="wave"/>
        </w:rPr>
      </w:pPr>
      <w:r w:rsidRPr="005E665D">
        <w:rPr>
          <w:rFonts w:hint="cs"/>
          <w:u w:val="wave"/>
          <w:rtl/>
        </w:rPr>
        <w:t>ומה הדין אם לא כתב 'דמתקרי' בניהם:</w:t>
      </w:r>
    </w:p>
    <w:p w14:paraId="6D415729" w14:textId="6E3EC4A9" w:rsidR="00FA2119" w:rsidRDefault="00FA2119" w:rsidP="00FA2119">
      <w:pPr>
        <w:pStyle w:val="ab"/>
        <w:numPr>
          <w:ilvl w:val="0"/>
          <w:numId w:val="79"/>
        </w:numPr>
      </w:pPr>
      <w:r>
        <w:rPr>
          <w:rFonts w:cs="Arial" w:hint="cs"/>
          <w:rtl/>
        </w:rPr>
        <w:t>ב"י</w:t>
      </w:r>
      <w:r w:rsidR="00A82951">
        <w:rPr>
          <w:rFonts w:cs="Arial" w:hint="cs"/>
          <w:rtl/>
        </w:rPr>
        <w:t>-</w:t>
      </w:r>
      <w:r>
        <w:rPr>
          <w:rFonts w:cs="Arial" w:hint="cs"/>
          <w:rtl/>
        </w:rPr>
        <w:t xml:space="preserve"> </w:t>
      </w:r>
      <w:r w:rsidRPr="00D22CF9">
        <w:rPr>
          <w:rFonts w:cs="Arial"/>
          <w:rtl/>
        </w:rPr>
        <w:t>ואם לא כתב דמתקרי מצאתי בתשובה אשכנזית איש אחד היה שמו יהודה</w:t>
      </w:r>
      <w:r w:rsidR="00FE1451">
        <w:rPr>
          <w:rFonts w:cs="Arial" w:hint="cs"/>
          <w:rtl/>
        </w:rPr>
        <w:t>,</w:t>
      </w:r>
      <w:r w:rsidRPr="00D22CF9">
        <w:rPr>
          <w:rFonts w:cs="Arial"/>
          <w:rtl/>
        </w:rPr>
        <w:t xml:space="preserve"> ונשתנה שמו בחליו וקראוהו משה</w:t>
      </w:r>
      <w:r w:rsidR="00FE1451">
        <w:rPr>
          <w:rFonts w:cs="Arial" w:hint="cs"/>
          <w:rtl/>
        </w:rPr>
        <w:t>,</w:t>
      </w:r>
      <w:r w:rsidRPr="00D22CF9">
        <w:rPr>
          <w:rFonts w:cs="Arial"/>
          <w:rtl/>
        </w:rPr>
        <w:t xml:space="preserve"> ושלח גט לאשתו וכתב משה יהודה</w:t>
      </w:r>
      <w:r>
        <w:rPr>
          <w:rFonts w:cs="Arial" w:hint="cs"/>
          <w:rtl/>
        </w:rPr>
        <w:t>,</w:t>
      </w:r>
      <w:r w:rsidRPr="00D22CF9">
        <w:rPr>
          <w:rFonts w:cs="Arial"/>
          <w:rtl/>
        </w:rPr>
        <w:t xml:space="preserve"> והחזירוהו הגדולים וכתב גט אחר משה דמתקרי יהודה</w:t>
      </w:r>
      <w:r>
        <w:rPr>
          <w:rFonts w:cs="Arial" w:hint="cs"/>
          <w:rtl/>
        </w:rPr>
        <w:t>.</w:t>
      </w:r>
      <w:r w:rsidRPr="00D22CF9">
        <w:rPr>
          <w:rFonts w:cs="Arial"/>
          <w:rtl/>
        </w:rPr>
        <w:t xml:space="preserve"> ובתשובה אחרת (תרו</w:t>
      </w:r>
      <w:r>
        <w:rPr>
          <w:rFonts w:cs="Arial" w:hint="cs"/>
          <w:rtl/>
        </w:rPr>
        <w:t>ה"ד</w:t>
      </w:r>
      <w:r w:rsidR="006721DE">
        <w:rPr>
          <w:rStyle w:val="a7"/>
          <w:rFonts w:cs="Arial"/>
          <w:rtl/>
        </w:rPr>
        <w:footnoteReference w:id="1145"/>
      </w:r>
      <w:r w:rsidRPr="00D22CF9">
        <w:rPr>
          <w:rFonts w:cs="Arial"/>
          <w:rtl/>
        </w:rPr>
        <w:t xml:space="preserve"> </w:t>
      </w:r>
      <w:r w:rsidR="006721DE">
        <w:rPr>
          <w:rFonts w:cs="Arial" w:hint="cs"/>
          <w:rtl/>
        </w:rPr>
        <w:t xml:space="preserve">פסקים </w:t>
      </w:r>
      <w:r w:rsidRPr="00D22CF9">
        <w:rPr>
          <w:rFonts w:cs="Arial"/>
          <w:rtl/>
        </w:rPr>
        <w:t>סי' רסו) מצאתי</w:t>
      </w:r>
      <w:r w:rsidR="00185FAB">
        <w:rPr>
          <w:rFonts w:cs="Arial" w:hint="cs"/>
          <w:rtl/>
        </w:rPr>
        <w:t>:</w:t>
      </w:r>
      <w:r w:rsidRPr="00D22CF9">
        <w:rPr>
          <w:rFonts w:cs="Arial"/>
          <w:rtl/>
        </w:rPr>
        <w:t xml:space="preserve"> סידרנו גט והיה עמנו מהר"י ברונא והסכמנו כולנו לכתוב משה דמתקרי יהודה</w:t>
      </w:r>
      <w:r w:rsidR="006721DE">
        <w:rPr>
          <w:rFonts w:cs="Arial" w:hint="cs"/>
          <w:rtl/>
        </w:rPr>
        <w:t>,</w:t>
      </w:r>
      <w:r w:rsidRPr="00D22CF9">
        <w:rPr>
          <w:rFonts w:cs="Arial"/>
          <w:rtl/>
        </w:rPr>
        <w:t xml:space="preserve"> מכל מקום הכותב ראובן שמעון לא פסלינן ליה</w:t>
      </w:r>
      <w:r>
        <w:rPr>
          <w:rFonts w:cs="Arial" w:hint="cs"/>
          <w:rtl/>
        </w:rPr>
        <w:t xml:space="preserve"> </w:t>
      </w:r>
      <w:r>
        <w:rPr>
          <w:rFonts w:cs="Arial" w:hint="cs"/>
          <w:sz w:val="16"/>
          <w:szCs w:val="16"/>
          <w:rtl/>
        </w:rPr>
        <w:t>[ע"כ]</w:t>
      </w:r>
      <w:r>
        <w:rPr>
          <w:rStyle w:val="a7"/>
          <w:rFonts w:cs="Arial"/>
          <w:rtl/>
        </w:rPr>
        <w:footnoteReference w:id="1146"/>
      </w:r>
      <w:r>
        <w:rPr>
          <w:rFonts w:cs="Arial" w:hint="cs"/>
          <w:rtl/>
        </w:rPr>
        <w:t>.</w:t>
      </w:r>
    </w:p>
    <w:p w14:paraId="7EB9B8D3" w14:textId="77777777" w:rsidR="00FA2119" w:rsidRPr="00FA3106" w:rsidRDefault="00FA2119" w:rsidP="00FA2119">
      <w:pPr>
        <w:ind w:left="360"/>
        <w:rPr>
          <w:u w:val="dotted"/>
        </w:rPr>
      </w:pPr>
      <w:r w:rsidRPr="00FA3106">
        <w:rPr>
          <w:rFonts w:hint="cs"/>
          <w:u w:val="dotted"/>
          <w:rtl/>
        </w:rPr>
        <w:lastRenderedPageBreak/>
        <w:t xml:space="preserve">ומה הדין אם הכתיבה והנתינה לא במקום אחד, ובמקום הנתינה לא מכירים בשם השני שניתן מחמת החולי: </w:t>
      </w:r>
    </w:p>
    <w:p w14:paraId="35F47D73" w14:textId="13F3F218" w:rsidR="00FA2119" w:rsidRPr="00FA3106" w:rsidRDefault="00FA2119" w:rsidP="00FA2119">
      <w:pPr>
        <w:pStyle w:val="ab"/>
        <w:numPr>
          <w:ilvl w:val="0"/>
          <w:numId w:val="79"/>
        </w:numPr>
      </w:pPr>
      <w:r w:rsidRPr="00D22CF9">
        <w:rPr>
          <w:rFonts w:cs="Arial"/>
          <w:rtl/>
        </w:rPr>
        <w:t xml:space="preserve">מהרי"ק </w:t>
      </w:r>
      <w:r>
        <w:rPr>
          <w:rFonts w:cs="Arial" w:hint="cs"/>
          <w:sz w:val="16"/>
          <w:szCs w:val="16"/>
          <w:rtl/>
        </w:rPr>
        <w:t>(שם)</w:t>
      </w:r>
      <w:r w:rsidR="00A82951">
        <w:rPr>
          <w:rFonts w:cs="Arial" w:hint="cs"/>
          <w:rtl/>
        </w:rPr>
        <w:t>-</w:t>
      </w:r>
      <w:r w:rsidRPr="00D22CF9">
        <w:rPr>
          <w:rFonts w:cs="Arial"/>
          <w:rtl/>
        </w:rPr>
        <w:t xml:space="preserve"> לא דיבר ה"ר פרץ אלא כשהכתיבה והנתינה במקום אחד ושם יודעין ומכירין בשם השני שהוא לשינוי</w:t>
      </w:r>
      <w:r>
        <w:rPr>
          <w:rFonts w:cs="Arial" w:hint="cs"/>
          <w:rtl/>
        </w:rPr>
        <w:t>.</w:t>
      </w:r>
      <w:r w:rsidRPr="00D22CF9">
        <w:rPr>
          <w:rFonts w:cs="Arial"/>
          <w:rtl/>
        </w:rPr>
        <w:t xml:space="preserve"> ואפשר שכן יהיה הדין כשאינם במקום אחד אלא שבמקום הנתינה מכירין ויודעין בשם השני שהוקבע לו מחמת חולי</w:t>
      </w:r>
      <w:r>
        <w:rPr>
          <w:rFonts w:cs="Arial" w:hint="cs"/>
          <w:rtl/>
        </w:rPr>
        <w:t>.</w:t>
      </w:r>
      <w:r w:rsidRPr="00D22CF9">
        <w:rPr>
          <w:rFonts w:cs="Arial"/>
          <w:rtl/>
        </w:rPr>
        <w:t xml:space="preserve"> אבל היכא שאין הכתיבה והנתינה במקום אחד</w:t>
      </w:r>
      <w:r>
        <w:rPr>
          <w:rFonts w:cs="Arial" w:hint="cs"/>
          <w:rtl/>
        </w:rPr>
        <w:t>,</w:t>
      </w:r>
      <w:r w:rsidRPr="00D22CF9">
        <w:rPr>
          <w:rFonts w:cs="Arial"/>
          <w:rtl/>
        </w:rPr>
        <w:t xml:space="preserve"> וגם במקום הנתינה אינם מכירין בשם השני שהוקבע מחמת חולי דבר </w:t>
      </w:r>
      <w:r w:rsidR="00A82951">
        <w:rPr>
          <w:rFonts w:cs="Arial" w:hint="cs"/>
          <w:rtl/>
        </w:rPr>
        <w:t>-</w:t>
      </w:r>
      <w:r>
        <w:rPr>
          <w:rFonts w:cs="Arial" w:hint="cs"/>
          <w:rtl/>
        </w:rPr>
        <w:t xml:space="preserve"> </w:t>
      </w:r>
      <w:r w:rsidRPr="00D22CF9">
        <w:rPr>
          <w:rFonts w:cs="Arial"/>
          <w:rtl/>
        </w:rPr>
        <w:t>פשוט הוא שבזה לא איירי ה"ר פרץ אלא צריך לכתוב שני שמות ושם מקום הנתינה עיקר</w:t>
      </w:r>
      <w:r>
        <w:rPr>
          <w:rStyle w:val="a7"/>
          <w:rFonts w:cs="Arial"/>
          <w:rtl/>
        </w:rPr>
        <w:footnoteReference w:id="1147"/>
      </w:r>
      <w:r>
        <w:rPr>
          <w:rFonts w:cs="Arial" w:hint="cs"/>
          <w:rtl/>
        </w:rPr>
        <w:t>.</w:t>
      </w:r>
    </w:p>
    <w:p w14:paraId="7F7D75EC" w14:textId="77777777" w:rsidR="00FA2119" w:rsidRPr="006F3438" w:rsidRDefault="00FA2119" w:rsidP="00FA2119">
      <w:pPr>
        <w:ind w:left="360"/>
        <w:rPr>
          <w:u w:val="dotted"/>
        </w:rPr>
      </w:pPr>
      <w:r w:rsidRPr="006F3438">
        <w:rPr>
          <w:rFonts w:hint="cs"/>
          <w:u w:val="dotted"/>
          <w:rtl/>
        </w:rPr>
        <w:t xml:space="preserve">ומה הדין אם </w:t>
      </w:r>
      <w:r>
        <w:rPr>
          <w:rFonts w:hint="cs"/>
          <w:u w:val="dotted"/>
          <w:rtl/>
        </w:rPr>
        <w:t>הפסיקו ל</w:t>
      </w:r>
      <w:r w:rsidRPr="006F3438">
        <w:rPr>
          <w:rFonts w:hint="cs"/>
          <w:u w:val="dotted"/>
          <w:rtl/>
        </w:rPr>
        <w:t>קר</w:t>
      </w:r>
      <w:r>
        <w:rPr>
          <w:rFonts w:hint="cs"/>
          <w:u w:val="dotted"/>
          <w:rtl/>
        </w:rPr>
        <w:t>ו</w:t>
      </w:r>
      <w:r w:rsidRPr="006F3438">
        <w:rPr>
          <w:rFonts w:hint="cs"/>
          <w:u w:val="dotted"/>
          <w:rtl/>
        </w:rPr>
        <w:t xml:space="preserve">א לו </w:t>
      </w:r>
      <w:r>
        <w:rPr>
          <w:rFonts w:hint="cs"/>
          <w:u w:val="dotted"/>
          <w:rtl/>
        </w:rPr>
        <w:t>באחד מן השמות</w:t>
      </w:r>
      <w:r w:rsidRPr="006F3438">
        <w:rPr>
          <w:rFonts w:hint="cs"/>
          <w:u w:val="dotted"/>
          <w:rtl/>
        </w:rPr>
        <w:t>:</w:t>
      </w:r>
    </w:p>
    <w:p w14:paraId="0B21D413" w14:textId="2BD8CCBD" w:rsidR="00FA2119" w:rsidRPr="004027C2" w:rsidRDefault="00FA2119" w:rsidP="00FA2119">
      <w:pPr>
        <w:pStyle w:val="ab"/>
        <w:numPr>
          <w:ilvl w:val="0"/>
          <w:numId w:val="79"/>
        </w:numPr>
      </w:pPr>
      <w:r>
        <w:rPr>
          <w:rFonts w:cs="Arial" w:hint="cs"/>
          <w:rtl/>
        </w:rPr>
        <w:t>ב"י</w:t>
      </w:r>
      <w:r w:rsidR="00A82951">
        <w:rPr>
          <w:rFonts w:cs="Arial" w:hint="cs"/>
          <w:rtl/>
        </w:rPr>
        <w:t>-</w:t>
      </w:r>
      <w:r>
        <w:rPr>
          <w:rFonts w:cs="Arial" w:hint="cs"/>
          <w:rtl/>
        </w:rPr>
        <w:t xml:space="preserve"> </w:t>
      </w:r>
      <w:r w:rsidRPr="00D22CF9">
        <w:rPr>
          <w:rFonts w:cs="Arial"/>
          <w:rtl/>
        </w:rPr>
        <w:t>דע דהא דשם שני עיקר אע</w:t>
      </w:r>
      <w:r>
        <w:rPr>
          <w:rFonts w:cs="Arial" w:hint="cs"/>
          <w:rtl/>
        </w:rPr>
        <w:t>"</w:t>
      </w:r>
      <w:r w:rsidRPr="00D22CF9">
        <w:rPr>
          <w:rFonts w:cs="Arial"/>
          <w:rtl/>
        </w:rPr>
        <w:t>פ שקורין אותו תדיר בשם ראשון היינו דוקא כשקורין אותו לפעמים בשם שני אלא שקורין אותו יותר תדיר בשם ראשון</w:t>
      </w:r>
      <w:r>
        <w:rPr>
          <w:rFonts w:cs="Arial" w:hint="cs"/>
          <w:rtl/>
        </w:rPr>
        <w:t>,</w:t>
      </w:r>
      <w:r w:rsidRPr="00D22CF9">
        <w:rPr>
          <w:rFonts w:cs="Arial"/>
          <w:rtl/>
        </w:rPr>
        <w:t xml:space="preserve"> אבל אם אין קורין אותו כלל בשם שני </w:t>
      </w:r>
      <w:r w:rsidR="00A82951">
        <w:rPr>
          <w:rFonts w:cs="Arial" w:hint="cs"/>
          <w:rtl/>
        </w:rPr>
        <w:t>-</w:t>
      </w:r>
      <w:r>
        <w:rPr>
          <w:rFonts w:cs="Arial" w:hint="cs"/>
          <w:rtl/>
        </w:rPr>
        <w:t xml:space="preserve"> </w:t>
      </w:r>
      <w:r w:rsidRPr="00D22CF9">
        <w:rPr>
          <w:rFonts w:cs="Arial"/>
          <w:rtl/>
        </w:rPr>
        <w:t>פשיטא שאין כותבין אותו כלל ואפילו לטפל</w:t>
      </w:r>
      <w:r>
        <w:rPr>
          <w:rFonts w:cs="Arial" w:hint="cs"/>
          <w:rtl/>
        </w:rPr>
        <w:t>,</w:t>
      </w:r>
      <w:r w:rsidRPr="00D22CF9">
        <w:rPr>
          <w:rFonts w:cs="Arial"/>
          <w:rtl/>
        </w:rPr>
        <w:t xml:space="preserve"> דה</w:t>
      </w:r>
      <w:r>
        <w:rPr>
          <w:rFonts w:cs="Arial" w:hint="cs"/>
          <w:rtl/>
        </w:rPr>
        <w:t>י</w:t>
      </w:r>
      <w:r w:rsidRPr="00D22CF9">
        <w:rPr>
          <w:rFonts w:cs="Arial"/>
          <w:rtl/>
        </w:rPr>
        <w:t>אך יכתוב דמתקרי והוא אינו נקרא כן, וכן כתוב בקונדריסין (סי' י סע' ד) גבי אשה ששמה רבקה ונשתנה שמה מחמת חולי ונקראת חנה וכל העולם קורין אותה רבקה שהוא שמה הראשון</w:t>
      </w:r>
      <w:r>
        <w:rPr>
          <w:rFonts w:cs="Arial" w:hint="cs"/>
          <w:rtl/>
        </w:rPr>
        <w:t xml:space="preserve"> </w:t>
      </w:r>
      <w:r w:rsidR="00A82951">
        <w:rPr>
          <w:rFonts w:cs="Arial" w:hint="cs"/>
          <w:rtl/>
        </w:rPr>
        <w:t>-</w:t>
      </w:r>
      <w:r w:rsidRPr="00D22CF9">
        <w:rPr>
          <w:rFonts w:cs="Arial"/>
          <w:rtl/>
        </w:rPr>
        <w:t xml:space="preserve"> שאין לכתוב שם חנה בגט כלל</w:t>
      </w:r>
      <w:r>
        <w:rPr>
          <w:rFonts w:cs="Arial" w:hint="cs"/>
          <w:rtl/>
        </w:rPr>
        <w:t>.</w:t>
      </w:r>
      <w:r w:rsidRPr="00D22CF9">
        <w:rPr>
          <w:rFonts w:cs="Arial"/>
          <w:rtl/>
        </w:rPr>
        <w:t xml:space="preserve"> ופשיטא דשם רבקה לא גרע מחניכא הניכרת וידועה לכל שכתבו הפוסקים דסגי באותה חניכא לחוד ואפילו לכתחלה</w:t>
      </w:r>
      <w:r>
        <w:rPr>
          <w:rFonts w:cs="Arial" w:hint="cs"/>
          <w:rtl/>
        </w:rPr>
        <w:t>.</w:t>
      </w:r>
      <w:r w:rsidRPr="00D22CF9">
        <w:rPr>
          <w:rFonts w:cs="Arial"/>
          <w:rtl/>
        </w:rPr>
        <w:t xml:space="preserve"> וכן מצאתי בתשובה אשכנזית שנשאל גדול אחד שנכתב בגט מרים</w:t>
      </w:r>
      <w:r>
        <w:rPr>
          <w:rFonts w:cs="Arial" w:hint="cs"/>
          <w:rtl/>
        </w:rPr>
        <w:t>,</w:t>
      </w:r>
      <w:r w:rsidRPr="00D22CF9">
        <w:rPr>
          <w:rFonts w:cs="Arial"/>
          <w:rtl/>
        </w:rPr>
        <w:t xml:space="preserve"> ואח"כ הוציאה אמה לעז ואמרה שהיתה נקראת לאה עד שהיתה בת שתי שנים ונשתנה שמה מחמת חולי ונקראת מרים</w:t>
      </w:r>
      <w:r>
        <w:rPr>
          <w:rFonts w:cs="Arial" w:hint="cs"/>
          <w:rtl/>
        </w:rPr>
        <w:t>,</w:t>
      </w:r>
      <w:r w:rsidRPr="00D22CF9">
        <w:rPr>
          <w:rFonts w:cs="Arial"/>
          <w:rtl/>
        </w:rPr>
        <w:t xml:space="preserve"> ועד עתה קראו אותה מרים כולי עלמא. והשיב משום שינוי שם אין לפסול הגט</w:t>
      </w:r>
      <w:r>
        <w:rPr>
          <w:rFonts w:cs="Arial" w:hint="cs"/>
          <w:rtl/>
        </w:rPr>
        <w:t>,</w:t>
      </w:r>
      <w:r w:rsidRPr="00D22CF9">
        <w:rPr>
          <w:rFonts w:cs="Arial"/>
          <w:rtl/>
        </w:rPr>
        <w:t xml:space="preserve"> ואפילו לכתחלה יש לכתוב שם השינוי לבד כיון דנשתנה שם הראשון לגמרי והכל קורין שם השינוי אם כן בטל שם הראשון וכן השבתי עתה לבינגא כהאי גוונא עכ"ל, ומזה נלמוד להיכא דאין קורין בשם שני כלל</w:t>
      </w:r>
      <w:r>
        <w:rPr>
          <w:rFonts w:cs="Arial" w:hint="cs"/>
          <w:rtl/>
        </w:rPr>
        <w:t>.</w:t>
      </w:r>
      <w:r w:rsidRPr="00306F43">
        <w:rPr>
          <w:rFonts w:hint="cs"/>
          <w:color w:val="E36C0A" w:themeColor="accent6" w:themeShade="BF"/>
          <w:rtl/>
        </w:rPr>
        <w:t xml:space="preserve"> (וכ"</w:t>
      </w:r>
      <w:r>
        <w:rPr>
          <w:rFonts w:hint="cs"/>
          <w:color w:val="E36C0A" w:themeColor="accent6" w:themeShade="BF"/>
          <w:rtl/>
        </w:rPr>
        <w:t>ס</w:t>
      </w:r>
      <w:r w:rsidRPr="00306F43">
        <w:rPr>
          <w:rFonts w:hint="cs"/>
          <w:color w:val="E36C0A" w:themeColor="accent6" w:themeShade="BF"/>
          <w:rtl/>
        </w:rPr>
        <w:t xml:space="preserve"> בשו"ע)</w:t>
      </w:r>
    </w:p>
    <w:p w14:paraId="2BD1A1C3" w14:textId="40B41EBF" w:rsidR="00FA2119" w:rsidRDefault="00FA2119" w:rsidP="00FA2119">
      <w:pPr>
        <w:pStyle w:val="ab"/>
        <w:numPr>
          <w:ilvl w:val="0"/>
          <w:numId w:val="79"/>
        </w:numPr>
      </w:pPr>
      <w:r w:rsidRPr="00D22CF9">
        <w:rPr>
          <w:rFonts w:cs="Arial"/>
          <w:rtl/>
        </w:rPr>
        <w:t xml:space="preserve">קונדריסין </w:t>
      </w:r>
      <w:r w:rsidRPr="00483BD6">
        <w:rPr>
          <w:rFonts w:cs="Arial"/>
          <w:sz w:val="16"/>
          <w:szCs w:val="16"/>
          <w:rtl/>
        </w:rPr>
        <w:t>(סי' י סעי' ו)</w:t>
      </w:r>
      <w:r w:rsidR="00A82951">
        <w:rPr>
          <w:rFonts w:cs="Arial" w:hint="cs"/>
          <w:rtl/>
        </w:rPr>
        <w:t>-</w:t>
      </w:r>
      <w:r w:rsidRPr="00D22CF9">
        <w:rPr>
          <w:rFonts w:cs="Arial"/>
          <w:rtl/>
        </w:rPr>
        <w:t xml:space="preserve"> מעשה בא לפני מה"ר פרץ באחד שהיה חולה</w:t>
      </w:r>
      <w:r>
        <w:rPr>
          <w:rFonts w:cs="Arial" w:hint="cs"/>
          <w:rtl/>
        </w:rPr>
        <w:t>,</w:t>
      </w:r>
      <w:r w:rsidRPr="00D22CF9">
        <w:rPr>
          <w:rFonts w:cs="Arial"/>
          <w:rtl/>
        </w:rPr>
        <w:t xml:space="preserve"> והחליפו שמו בחליו והיו קורין אותו שם אחר לגמרי</w:t>
      </w:r>
      <w:r>
        <w:rPr>
          <w:rFonts w:cs="Arial" w:hint="cs"/>
          <w:rtl/>
        </w:rPr>
        <w:t>,</w:t>
      </w:r>
      <w:r w:rsidRPr="00D22CF9">
        <w:rPr>
          <w:rFonts w:cs="Arial"/>
          <w:rtl/>
        </w:rPr>
        <w:t xml:space="preserve"> והצריך הרב שני גיטין</w:t>
      </w:r>
      <w:r>
        <w:rPr>
          <w:rFonts w:cs="Arial" w:hint="cs"/>
          <w:rtl/>
        </w:rPr>
        <w:t>,</w:t>
      </w:r>
      <w:r w:rsidRPr="00D22CF9">
        <w:rPr>
          <w:rFonts w:cs="Arial"/>
          <w:rtl/>
        </w:rPr>
        <w:t xml:space="preserve"> אחד בשם הראשון ואחד בשם האחרון</w:t>
      </w:r>
      <w:r>
        <w:rPr>
          <w:rStyle w:val="a7"/>
          <w:rFonts w:cs="Arial"/>
          <w:rtl/>
        </w:rPr>
        <w:footnoteReference w:id="1148"/>
      </w:r>
      <w:r>
        <w:rPr>
          <w:rFonts w:cs="Arial" w:hint="cs"/>
          <w:rtl/>
        </w:rPr>
        <w:t>,</w:t>
      </w:r>
      <w:r w:rsidRPr="00D22CF9">
        <w:rPr>
          <w:rFonts w:cs="Arial"/>
          <w:rtl/>
        </w:rPr>
        <w:t xml:space="preserve"> ונתנם שניהם יחד</w:t>
      </w:r>
      <w:r>
        <w:rPr>
          <w:rStyle w:val="a7"/>
          <w:rFonts w:cs="Arial"/>
          <w:rtl/>
        </w:rPr>
        <w:footnoteReference w:id="1149"/>
      </w:r>
      <w:r>
        <w:rPr>
          <w:rFonts w:cs="Arial" w:hint="cs"/>
          <w:rtl/>
        </w:rPr>
        <w:t>.</w:t>
      </w:r>
    </w:p>
    <w:p w14:paraId="34F2AF40" w14:textId="77777777" w:rsidR="00FC244F" w:rsidRPr="00FC244F" w:rsidRDefault="00FC244F" w:rsidP="00FC244F">
      <w:pPr>
        <w:rPr>
          <w:u w:val="single"/>
          <w:rtl/>
        </w:rPr>
      </w:pPr>
      <w:r w:rsidRPr="00FC244F">
        <w:rPr>
          <w:rFonts w:hint="cs"/>
          <w:u w:val="single"/>
          <w:rtl/>
        </w:rPr>
        <w:t>מי שנתנו לו שתי שמות בזמן הברית מילה:</w:t>
      </w:r>
    </w:p>
    <w:p w14:paraId="73BDF880" w14:textId="2C70E29C" w:rsidR="00FC244F" w:rsidRPr="00FC244F" w:rsidRDefault="00FC244F" w:rsidP="00FC244F">
      <w:pPr>
        <w:pStyle w:val="ab"/>
        <w:numPr>
          <w:ilvl w:val="0"/>
          <w:numId w:val="132"/>
        </w:numPr>
      </w:pPr>
      <w:r w:rsidRPr="00FC244F">
        <w:rPr>
          <w:rFonts w:cs="Arial" w:hint="cs"/>
          <w:rtl/>
        </w:rPr>
        <w:t>דרכ"מ</w:t>
      </w:r>
      <w:r w:rsidRPr="00FC244F">
        <w:rPr>
          <w:rFonts w:cs="Arial" w:hint="cs"/>
          <w:sz w:val="16"/>
          <w:szCs w:val="16"/>
          <w:rtl/>
        </w:rPr>
        <w:t xml:space="preserve"> (אות כ)</w:t>
      </w:r>
      <w:r w:rsidRPr="00FC244F">
        <w:rPr>
          <w:rFonts w:cs="Arial" w:hint="cs"/>
          <w:rtl/>
        </w:rPr>
        <w:t xml:space="preserve">- </w:t>
      </w:r>
      <w:r w:rsidRPr="00FC244F">
        <w:rPr>
          <w:rFonts w:cs="Arial"/>
          <w:rtl/>
        </w:rPr>
        <w:t>מצאתי בסדר גיטין אחד</w:t>
      </w:r>
      <w:r>
        <w:rPr>
          <w:rFonts w:cs="Arial" w:hint="cs"/>
          <w:rtl/>
        </w:rPr>
        <w:t>...</w:t>
      </w:r>
      <w:r w:rsidRPr="00FC244F">
        <w:rPr>
          <w:rFonts w:cs="Arial"/>
          <w:rtl/>
        </w:rPr>
        <w:t xml:space="preserve"> דאם נתנו לו במילתו שם אחד</w:t>
      </w:r>
      <w:r w:rsidRPr="00FC244F">
        <w:rPr>
          <w:rFonts w:cs="Arial" w:hint="cs"/>
          <w:rtl/>
        </w:rPr>
        <w:t>,</w:t>
      </w:r>
      <w:r w:rsidRPr="00FC244F">
        <w:rPr>
          <w:rFonts w:cs="Arial"/>
          <w:rtl/>
        </w:rPr>
        <w:t xml:space="preserve"> ועל ידי חולי נשתנה שמו </w:t>
      </w:r>
      <w:r w:rsidRPr="00FC244F">
        <w:rPr>
          <w:rFonts w:cs="Arial" w:hint="cs"/>
          <w:rtl/>
        </w:rPr>
        <w:t xml:space="preserve">- </w:t>
      </w:r>
      <w:r w:rsidRPr="00FC244F">
        <w:rPr>
          <w:rFonts w:cs="Arial"/>
          <w:rtl/>
        </w:rPr>
        <w:t>יש לכתוב דמתקרי</w:t>
      </w:r>
      <w:r w:rsidRPr="00FC244F">
        <w:rPr>
          <w:rFonts w:cs="Arial" w:hint="cs"/>
          <w:rtl/>
        </w:rPr>
        <w:t>.</w:t>
      </w:r>
      <w:r w:rsidRPr="00FC244F">
        <w:rPr>
          <w:rFonts w:cs="Arial"/>
          <w:rtl/>
        </w:rPr>
        <w:t xml:space="preserve"> אבל אם נתנו לו שני שמות במילתו </w:t>
      </w:r>
      <w:r w:rsidRPr="00FC244F">
        <w:rPr>
          <w:rFonts w:cs="Arial" w:hint="cs"/>
          <w:rtl/>
        </w:rPr>
        <w:t xml:space="preserve">- </w:t>
      </w:r>
      <w:r w:rsidRPr="00FC244F">
        <w:rPr>
          <w:rFonts w:cs="Arial"/>
          <w:rtl/>
        </w:rPr>
        <w:t>יש לכתוב בלא מתקרי</w:t>
      </w:r>
      <w:r w:rsidRPr="00FC244F">
        <w:rPr>
          <w:rFonts w:cs="Arial" w:hint="cs"/>
          <w:rtl/>
        </w:rPr>
        <w:t>,</w:t>
      </w:r>
      <w:r w:rsidRPr="00FC244F">
        <w:rPr>
          <w:rFonts w:cs="Arial"/>
          <w:rtl/>
        </w:rPr>
        <w:t xml:space="preserve"> ויש לכתוב אותו שם שקורין אותו בו תחלה</w:t>
      </w:r>
      <w:r>
        <w:rPr>
          <w:rStyle w:val="a7"/>
          <w:rFonts w:cs="Arial"/>
          <w:rtl/>
        </w:rPr>
        <w:footnoteReference w:id="1150"/>
      </w:r>
      <w:r w:rsidRPr="00FC244F">
        <w:rPr>
          <w:rFonts w:cs="Arial" w:hint="cs"/>
          <w:rtl/>
        </w:rPr>
        <w:t>.</w:t>
      </w:r>
      <w:r w:rsidRPr="00FC244F">
        <w:rPr>
          <w:rFonts w:hint="cs"/>
          <w:rtl/>
        </w:rPr>
        <w:t xml:space="preserve"> </w:t>
      </w:r>
    </w:p>
    <w:p w14:paraId="24378CE9" w14:textId="77777777" w:rsidR="00FA2119" w:rsidRPr="000A2D55" w:rsidRDefault="00FA2119" w:rsidP="00FA2119">
      <w:pPr>
        <w:rPr>
          <w:u w:val="single"/>
        </w:rPr>
      </w:pPr>
      <w:r w:rsidRPr="000A2D55">
        <w:rPr>
          <w:rFonts w:hint="cs"/>
          <w:u w:val="single"/>
          <w:rtl/>
        </w:rPr>
        <w:t xml:space="preserve">קביעת </w:t>
      </w:r>
      <w:r>
        <w:rPr>
          <w:rFonts w:hint="cs"/>
          <w:u w:val="single"/>
          <w:rtl/>
        </w:rPr>
        <w:t>ה</w:t>
      </w:r>
      <w:r w:rsidRPr="000A2D55">
        <w:rPr>
          <w:rFonts w:hint="cs"/>
          <w:u w:val="single"/>
          <w:rtl/>
        </w:rPr>
        <w:t>שם העקרי של הבעל על פי שמו בעליה לספר תורה והחתימה בשטרות:</w:t>
      </w:r>
    </w:p>
    <w:p w14:paraId="02257CAC" w14:textId="1B97B93D" w:rsidR="00FA2119" w:rsidRDefault="00FA2119" w:rsidP="00FA2119">
      <w:pPr>
        <w:pStyle w:val="ab"/>
        <w:numPr>
          <w:ilvl w:val="0"/>
          <w:numId w:val="79"/>
        </w:numPr>
        <w:rPr>
          <w:rtl/>
        </w:rPr>
      </w:pPr>
      <w:r>
        <w:rPr>
          <w:rFonts w:cs="Arial" w:hint="cs"/>
          <w:rtl/>
        </w:rPr>
        <w:t xml:space="preserve">רא"ש </w:t>
      </w:r>
      <w:r>
        <w:rPr>
          <w:rFonts w:cs="Arial" w:hint="cs"/>
          <w:sz w:val="16"/>
          <w:szCs w:val="16"/>
          <w:rtl/>
        </w:rPr>
        <w:t>(פ' השולח סי' ז)</w:t>
      </w:r>
      <w:r>
        <w:rPr>
          <w:rFonts w:cs="Arial" w:hint="cs"/>
          <w:rtl/>
        </w:rPr>
        <w:t xml:space="preserve"> מהרי"ק </w:t>
      </w:r>
      <w:r>
        <w:rPr>
          <w:rFonts w:cs="Arial" w:hint="cs"/>
          <w:sz w:val="16"/>
          <w:szCs w:val="16"/>
          <w:rtl/>
        </w:rPr>
        <w:t>(שורש פו)</w:t>
      </w:r>
      <w:r>
        <w:rPr>
          <w:rFonts w:cs="Arial" w:hint="cs"/>
          <w:rtl/>
        </w:rPr>
        <w:t xml:space="preserve"> תרוה"ד</w:t>
      </w:r>
      <w:r>
        <w:rPr>
          <w:rStyle w:val="a7"/>
          <w:rFonts w:cs="Arial"/>
          <w:rtl/>
        </w:rPr>
        <w:footnoteReference w:id="1151"/>
      </w:r>
      <w:r>
        <w:rPr>
          <w:rFonts w:cs="Arial" w:hint="cs"/>
          <w:rtl/>
        </w:rPr>
        <w:t xml:space="preserve"> </w:t>
      </w:r>
      <w:r>
        <w:rPr>
          <w:rFonts w:cs="Arial" w:hint="cs"/>
          <w:sz w:val="16"/>
          <w:szCs w:val="16"/>
          <w:rtl/>
        </w:rPr>
        <w:t>(סי' רלג, ובכתבים סי' יח)</w:t>
      </w:r>
      <w:r>
        <w:rPr>
          <w:rFonts w:cs="Arial" w:hint="cs"/>
          <w:rtl/>
        </w:rPr>
        <w:t xml:space="preserve"> ו</w:t>
      </w:r>
      <w:r w:rsidRPr="00D22CF9">
        <w:rPr>
          <w:rFonts w:cs="Arial"/>
          <w:rtl/>
        </w:rPr>
        <w:t>קונדריסי</w:t>
      </w:r>
      <w:r>
        <w:rPr>
          <w:rFonts w:cs="Arial" w:hint="cs"/>
          <w:rtl/>
        </w:rPr>
        <w:t>ן</w:t>
      </w:r>
      <w:r w:rsidRPr="00D22CF9">
        <w:rPr>
          <w:rFonts w:cs="Arial"/>
          <w:rtl/>
        </w:rPr>
        <w:t xml:space="preserve"> </w:t>
      </w:r>
      <w:r w:rsidRPr="000A2D55">
        <w:rPr>
          <w:rFonts w:cs="Arial"/>
          <w:sz w:val="16"/>
          <w:szCs w:val="16"/>
          <w:rtl/>
        </w:rPr>
        <w:t>(סי' י סעי' ד)</w:t>
      </w:r>
      <w:r w:rsidR="00A82951">
        <w:rPr>
          <w:rFonts w:cs="Arial" w:hint="cs"/>
          <w:rtl/>
        </w:rPr>
        <w:t>-</w:t>
      </w:r>
      <w:r w:rsidRPr="00D22CF9">
        <w:rPr>
          <w:rFonts w:cs="Arial"/>
          <w:rtl/>
        </w:rPr>
        <w:t xml:space="preserve"> שמה רבקה ונשתנה לחנה</w:t>
      </w:r>
      <w:r>
        <w:rPr>
          <w:rFonts w:cs="Arial" w:hint="cs"/>
          <w:rtl/>
        </w:rPr>
        <w:t>...</w:t>
      </w:r>
      <w:r w:rsidRPr="00D22CF9">
        <w:rPr>
          <w:rFonts w:cs="Arial"/>
          <w:rtl/>
        </w:rPr>
        <w:t xml:space="preserve"> ודין זה בנשים לבד</w:t>
      </w:r>
      <w:r w:rsidR="001C295E">
        <w:rPr>
          <w:rFonts w:cs="Arial" w:hint="cs"/>
          <w:rtl/>
        </w:rPr>
        <w:t>.</w:t>
      </w:r>
      <w:r w:rsidRPr="00D22CF9">
        <w:rPr>
          <w:rFonts w:cs="Arial"/>
          <w:rtl/>
        </w:rPr>
        <w:t xml:space="preserve"> אבל באנשים אינו כן</w:t>
      </w:r>
      <w:r w:rsidR="001C295E">
        <w:rPr>
          <w:rFonts w:cs="Arial" w:hint="cs"/>
          <w:rtl/>
        </w:rPr>
        <w:t>,</w:t>
      </w:r>
      <w:r>
        <w:rPr>
          <w:rFonts w:cs="Arial" w:hint="cs"/>
          <w:rtl/>
        </w:rPr>
        <w:t xml:space="preserve"> </w:t>
      </w:r>
      <w:r w:rsidRPr="00D22CF9">
        <w:rPr>
          <w:rFonts w:cs="Arial"/>
          <w:rtl/>
        </w:rPr>
        <w:t>ששמם מובהק על פי קריאת הס"ת או על פי חותמו בכתבו ובשטרותיו</w:t>
      </w:r>
      <w:r>
        <w:rPr>
          <w:rFonts w:cs="Arial" w:hint="cs"/>
          <w:rtl/>
        </w:rPr>
        <w:t>.</w:t>
      </w:r>
      <w:r w:rsidRPr="00D22CF9">
        <w:rPr>
          <w:rFonts w:cs="Arial"/>
          <w:rtl/>
        </w:rPr>
        <w:t xml:space="preserve"> אלא יכתוב השם שהוא עולה בו לקרוא בתורה וחותם בו כתביו ושטרותיו</w:t>
      </w:r>
      <w:r>
        <w:rPr>
          <w:rStyle w:val="a7"/>
          <w:rFonts w:cs="Arial"/>
          <w:rtl/>
        </w:rPr>
        <w:footnoteReference w:id="1152"/>
      </w:r>
      <w:r>
        <w:rPr>
          <w:rFonts w:cs="Arial" w:hint="cs"/>
          <w:sz w:val="16"/>
          <w:szCs w:val="16"/>
          <w:rtl/>
        </w:rPr>
        <w:t xml:space="preserve"> (ל' הב"י בשם הקונדריסין)</w:t>
      </w:r>
      <w:r w:rsidRPr="00D22CF9">
        <w:rPr>
          <w:rFonts w:cs="Arial"/>
          <w:rtl/>
        </w:rPr>
        <w:t>.</w:t>
      </w:r>
      <w:r w:rsidRPr="00306F43">
        <w:rPr>
          <w:rFonts w:hint="cs"/>
          <w:color w:val="E36C0A" w:themeColor="accent6" w:themeShade="BF"/>
          <w:rtl/>
        </w:rPr>
        <w:t xml:space="preserve"> (וכ"פ בשו"ע)</w:t>
      </w:r>
      <w:r>
        <w:rPr>
          <w:rFonts w:hint="cs"/>
          <w:rtl/>
        </w:rPr>
        <w:t xml:space="preserve"> </w:t>
      </w:r>
      <w:r w:rsidRPr="00532750">
        <w:rPr>
          <w:rFonts w:hint="cs"/>
          <w:color w:val="00B0F0"/>
          <w:rtl/>
        </w:rPr>
        <w:t>(וכ"פ הרמ"א</w:t>
      </w:r>
      <w:r w:rsidRPr="00532750">
        <w:rPr>
          <w:rFonts w:hint="cs"/>
          <w:color w:val="00B0F0"/>
          <w:sz w:val="16"/>
          <w:szCs w:val="16"/>
          <w:rtl/>
        </w:rPr>
        <w:t xml:space="preserve"> </w:t>
      </w:r>
      <w:r>
        <w:rPr>
          <w:rFonts w:hint="cs"/>
          <w:sz w:val="16"/>
          <w:szCs w:val="16"/>
          <w:rtl/>
        </w:rPr>
        <w:t>[סע' כב]</w:t>
      </w:r>
      <w:r w:rsidRPr="00532750">
        <w:rPr>
          <w:rFonts w:hint="cs"/>
          <w:color w:val="00B0F0"/>
          <w:rtl/>
        </w:rPr>
        <w:t>)</w:t>
      </w:r>
    </w:p>
    <w:p w14:paraId="732C8489" w14:textId="77777777" w:rsidR="00FA2119" w:rsidRPr="001C1EFE" w:rsidRDefault="00FA2119" w:rsidP="00FA2119">
      <w:pPr>
        <w:rPr>
          <w:rFonts w:cs="Arial"/>
        </w:rPr>
      </w:pPr>
      <w:r w:rsidRPr="00B828C2">
        <w:rPr>
          <w:rFonts w:cs="Arial" w:hint="cs"/>
          <w:u w:val="single"/>
          <w:rtl/>
        </w:rPr>
        <w:lastRenderedPageBreak/>
        <w:t>בעת הלידה קראו ל</w:t>
      </w:r>
      <w:r>
        <w:rPr>
          <w:rFonts w:cs="Arial" w:hint="cs"/>
          <w:u w:val="single"/>
          <w:rtl/>
        </w:rPr>
        <w:t>ו</w:t>
      </w:r>
      <w:r w:rsidRPr="00B828C2">
        <w:rPr>
          <w:rFonts w:cs="Arial" w:hint="cs"/>
          <w:u w:val="single"/>
          <w:rtl/>
        </w:rPr>
        <w:t xml:space="preserve"> שם, ואח"כ </w:t>
      </w:r>
      <w:r>
        <w:rPr>
          <w:rFonts w:cs="Arial" w:hint="cs"/>
          <w:u w:val="single"/>
          <w:rtl/>
        </w:rPr>
        <w:t>נשתנה שמו מחמת חולי, ויש כינוי לשם הראשון/השני</w:t>
      </w:r>
      <w:r w:rsidRPr="00B828C2">
        <w:rPr>
          <w:rFonts w:cs="Arial" w:hint="cs"/>
          <w:u w:val="single"/>
          <w:rtl/>
        </w:rPr>
        <w:t>:</w:t>
      </w:r>
      <w:r w:rsidRPr="001C1EFE">
        <w:rPr>
          <w:rFonts w:cs="Arial" w:hint="cs"/>
          <w:sz w:val="16"/>
          <w:szCs w:val="16"/>
          <w:rtl/>
        </w:rPr>
        <w:t xml:space="preserve"> </w:t>
      </w:r>
      <w:r>
        <w:rPr>
          <w:rFonts w:cs="Arial" w:hint="cs"/>
          <w:sz w:val="16"/>
          <w:szCs w:val="16"/>
          <w:rtl/>
        </w:rPr>
        <w:t xml:space="preserve"> </w:t>
      </w:r>
      <w:r w:rsidRPr="001C1EFE">
        <w:rPr>
          <w:rFonts w:cs="Arial" w:hint="cs"/>
          <w:sz w:val="16"/>
          <w:szCs w:val="16"/>
          <w:rtl/>
        </w:rPr>
        <w:t>(דרכ"מ אות כד)</w:t>
      </w:r>
      <w:r w:rsidRPr="001C1EFE">
        <w:rPr>
          <w:rFonts w:cs="Arial" w:hint="cs"/>
          <w:rtl/>
        </w:rPr>
        <w:t xml:space="preserve"> </w:t>
      </w:r>
    </w:p>
    <w:p w14:paraId="0DE56280" w14:textId="2B6D89E6" w:rsidR="00FA2119" w:rsidRPr="00DF3500" w:rsidRDefault="00FA2119" w:rsidP="00FA2119">
      <w:pPr>
        <w:pStyle w:val="ab"/>
        <w:numPr>
          <w:ilvl w:val="0"/>
          <w:numId w:val="79"/>
        </w:numPr>
        <w:rPr>
          <w:rFonts w:cs="Arial"/>
          <w:rtl/>
        </w:rPr>
      </w:pPr>
      <w:r w:rsidRPr="00C164D0">
        <w:rPr>
          <w:rFonts w:cs="Arial"/>
          <w:rtl/>
        </w:rPr>
        <w:t xml:space="preserve">סדר גיטין </w:t>
      </w:r>
      <w:r w:rsidRPr="001C1EFE">
        <w:rPr>
          <w:rFonts w:cs="Arial" w:hint="cs"/>
          <w:sz w:val="16"/>
          <w:szCs w:val="16"/>
          <w:rtl/>
        </w:rPr>
        <w:t>(</w:t>
      </w:r>
      <w:r w:rsidRPr="001C1EFE">
        <w:rPr>
          <w:rFonts w:cs="Arial"/>
          <w:sz w:val="16"/>
          <w:szCs w:val="16"/>
          <w:rtl/>
        </w:rPr>
        <w:t>סי</w:t>
      </w:r>
      <w:r w:rsidRPr="001C1EFE">
        <w:rPr>
          <w:rFonts w:cs="Arial" w:hint="cs"/>
          <w:sz w:val="16"/>
          <w:szCs w:val="16"/>
          <w:rtl/>
        </w:rPr>
        <w:t>'</w:t>
      </w:r>
      <w:r w:rsidRPr="001C1EFE">
        <w:rPr>
          <w:rFonts w:cs="Arial"/>
          <w:sz w:val="16"/>
          <w:szCs w:val="16"/>
          <w:rtl/>
        </w:rPr>
        <w:t xml:space="preserve"> כא ס"א</w:t>
      </w:r>
      <w:r>
        <w:rPr>
          <w:rFonts w:cs="Arial" w:hint="cs"/>
          <w:sz w:val="16"/>
          <w:szCs w:val="16"/>
          <w:rtl/>
        </w:rPr>
        <w:t>, ועוד</w:t>
      </w:r>
      <w:r w:rsidRPr="001C1EFE">
        <w:rPr>
          <w:rFonts w:cs="Arial"/>
          <w:sz w:val="16"/>
          <w:szCs w:val="16"/>
          <w:rtl/>
        </w:rPr>
        <w:t>)</w:t>
      </w:r>
      <w:r w:rsidR="00A82951">
        <w:rPr>
          <w:rFonts w:cs="Arial" w:hint="cs"/>
          <w:rtl/>
        </w:rPr>
        <w:t>-</w:t>
      </w:r>
      <w:r w:rsidRPr="00C164D0">
        <w:rPr>
          <w:rFonts w:cs="Arial"/>
          <w:rtl/>
        </w:rPr>
        <w:t xml:space="preserve"> אם נשתנה שמו על ידי חולי ויש לו כינוי מחמת שם השני </w:t>
      </w:r>
      <w:r w:rsidR="00A82951">
        <w:rPr>
          <w:rFonts w:cs="Arial" w:hint="cs"/>
          <w:rtl/>
        </w:rPr>
        <w:t>-</w:t>
      </w:r>
      <w:r>
        <w:rPr>
          <w:rFonts w:cs="Arial" w:hint="cs"/>
          <w:rtl/>
        </w:rPr>
        <w:t xml:space="preserve"> </w:t>
      </w:r>
      <w:r w:rsidRPr="00C164D0">
        <w:rPr>
          <w:rFonts w:cs="Arial"/>
          <w:rtl/>
        </w:rPr>
        <w:t>כותבין שם השני וגם הכינוי שלו קודם שם הראשון</w:t>
      </w:r>
      <w:r>
        <w:rPr>
          <w:rFonts w:cs="Arial" w:hint="cs"/>
          <w:rtl/>
        </w:rPr>
        <w:t>,</w:t>
      </w:r>
      <w:r w:rsidRPr="00C164D0">
        <w:rPr>
          <w:rFonts w:cs="Arial"/>
          <w:rtl/>
        </w:rPr>
        <w:t xml:space="preserve"> כגון משה המכונה ליו"א דמתקרי יצחק</w:t>
      </w:r>
      <w:r>
        <w:rPr>
          <w:rFonts w:cs="Arial" w:hint="cs"/>
          <w:rtl/>
        </w:rPr>
        <w:t>.</w:t>
      </w:r>
      <w:r w:rsidRPr="00C164D0">
        <w:rPr>
          <w:rFonts w:cs="Arial"/>
          <w:rtl/>
        </w:rPr>
        <w:t xml:space="preserve"> ואם היה לו שם כינוי בשם ראשון</w:t>
      </w:r>
      <w:r>
        <w:rPr>
          <w:rFonts w:cs="Arial" w:hint="cs"/>
          <w:rtl/>
        </w:rPr>
        <w:t xml:space="preserve"> </w:t>
      </w:r>
      <w:r w:rsidR="00A82951">
        <w:rPr>
          <w:rFonts w:cs="Arial" w:hint="cs"/>
          <w:rtl/>
        </w:rPr>
        <w:t>-</w:t>
      </w:r>
      <w:r w:rsidRPr="00C164D0">
        <w:rPr>
          <w:rFonts w:cs="Arial"/>
          <w:rtl/>
        </w:rPr>
        <w:t xml:space="preserve"> יכתבנו ג"כ אחר שם הראשון. </w:t>
      </w:r>
      <w:r>
        <w:rPr>
          <w:rFonts w:cs="Arial" w:hint="cs"/>
          <w:sz w:val="16"/>
          <w:szCs w:val="16"/>
          <w:rtl/>
        </w:rPr>
        <w:t>{</w:t>
      </w:r>
      <w:r w:rsidRPr="001C1EFE">
        <w:rPr>
          <w:rFonts w:cs="Arial"/>
          <w:sz w:val="16"/>
          <w:szCs w:val="16"/>
          <w:rtl/>
        </w:rPr>
        <w:t xml:space="preserve">וכתב עוד </w:t>
      </w:r>
      <w:r>
        <w:rPr>
          <w:rFonts w:cs="Arial" w:hint="cs"/>
          <w:sz w:val="16"/>
          <w:szCs w:val="16"/>
          <w:rtl/>
        </w:rPr>
        <w:t>שם [</w:t>
      </w:r>
      <w:r w:rsidRPr="001C1EFE">
        <w:rPr>
          <w:rFonts w:cs="Arial"/>
          <w:sz w:val="16"/>
          <w:szCs w:val="16"/>
          <w:rtl/>
        </w:rPr>
        <w:t>סי' כח ס"ג</w:t>
      </w:r>
      <w:r>
        <w:rPr>
          <w:rFonts w:cs="Arial" w:hint="cs"/>
          <w:sz w:val="16"/>
          <w:szCs w:val="16"/>
          <w:rtl/>
        </w:rPr>
        <w:t>]</w:t>
      </w:r>
      <w:r w:rsidR="00A82951">
        <w:rPr>
          <w:rFonts w:cs="Arial" w:hint="cs"/>
          <w:sz w:val="16"/>
          <w:szCs w:val="16"/>
          <w:rtl/>
        </w:rPr>
        <w:t>-</w:t>
      </w:r>
      <w:r>
        <w:rPr>
          <w:rFonts w:cs="Arial" w:hint="cs"/>
          <w:sz w:val="16"/>
          <w:szCs w:val="16"/>
          <w:rtl/>
        </w:rPr>
        <w:t>}</w:t>
      </w:r>
      <w:r w:rsidRPr="00C164D0">
        <w:rPr>
          <w:rFonts w:cs="Arial"/>
          <w:rtl/>
        </w:rPr>
        <w:t xml:space="preserve"> </w:t>
      </w:r>
      <w:r>
        <w:rPr>
          <w:rFonts w:cs="Arial" w:hint="cs"/>
          <w:rtl/>
        </w:rPr>
        <w:t>ו</w:t>
      </w:r>
      <w:r w:rsidRPr="00C164D0">
        <w:rPr>
          <w:rFonts w:cs="Arial"/>
          <w:rtl/>
        </w:rPr>
        <w:t>אם נשתנה שמו ע"י חולי לשם לעז</w:t>
      </w:r>
      <w:r>
        <w:rPr>
          <w:rFonts w:cs="Arial" w:hint="cs"/>
          <w:rtl/>
        </w:rPr>
        <w:t>,</w:t>
      </w:r>
      <w:r w:rsidRPr="00C164D0">
        <w:rPr>
          <w:rFonts w:cs="Arial"/>
          <w:rtl/>
        </w:rPr>
        <w:t xml:space="preserve"> והראשון היה לשון הקודש </w:t>
      </w:r>
      <w:r w:rsidR="00A82951">
        <w:rPr>
          <w:rFonts w:cs="Arial" w:hint="cs"/>
          <w:rtl/>
        </w:rPr>
        <w:t>-</w:t>
      </w:r>
      <w:r>
        <w:rPr>
          <w:rFonts w:cs="Arial" w:hint="cs"/>
          <w:rtl/>
        </w:rPr>
        <w:t xml:space="preserve"> </w:t>
      </w:r>
      <w:r w:rsidRPr="00C164D0">
        <w:rPr>
          <w:rFonts w:cs="Arial"/>
          <w:rtl/>
        </w:rPr>
        <w:t xml:space="preserve">כותבין שם הלעז תחלה וכותבין על השני דמתקרי. </w:t>
      </w:r>
      <w:r>
        <w:rPr>
          <w:rFonts w:cs="Arial" w:hint="cs"/>
          <w:sz w:val="16"/>
          <w:szCs w:val="16"/>
          <w:rtl/>
        </w:rPr>
        <w:t>{וכתב עוד שם [</w:t>
      </w:r>
      <w:r w:rsidRPr="001C1EFE">
        <w:rPr>
          <w:rFonts w:cs="Arial"/>
          <w:sz w:val="16"/>
          <w:szCs w:val="16"/>
          <w:rtl/>
        </w:rPr>
        <w:t>סי</w:t>
      </w:r>
      <w:r w:rsidRPr="001C1EFE">
        <w:rPr>
          <w:rFonts w:cs="Arial" w:hint="cs"/>
          <w:sz w:val="16"/>
          <w:szCs w:val="16"/>
          <w:rtl/>
        </w:rPr>
        <w:t xml:space="preserve">' </w:t>
      </w:r>
      <w:r w:rsidRPr="001C1EFE">
        <w:rPr>
          <w:rFonts w:cs="Arial"/>
          <w:sz w:val="16"/>
          <w:szCs w:val="16"/>
          <w:rtl/>
        </w:rPr>
        <w:t>לב ס"א</w:t>
      </w:r>
      <w:r>
        <w:rPr>
          <w:rFonts w:cs="Arial" w:hint="cs"/>
          <w:sz w:val="16"/>
          <w:szCs w:val="16"/>
          <w:rtl/>
        </w:rPr>
        <w:t>]</w:t>
      </w:r>
      <w:r w:rsidR="00A82951">
        <w:rPr>
          <w:rFonts w:cs="Arial" w:hint="cs"/>
          <w:sz w:val="16"/>
          <w:szCs w:val="16"/>
          <w:rtl/>
        </w:rPr>
        <w:t>-</w:t>
      </w:r>
      <w:r>
        <w:rPr>
          <w:rFonts w:cs="Arial" w:hint="cs"/>
          <w:sz w:val="16"/>
          <w:szCs w:val="16"/>
          <w:rtl/>
        </w:rPr>
        <w:t>}</w:t>
      </w:r>
      <w:r w:rsidRPr="001C1EFE">
        <w:rPr>
          <w:rFonts w:cs="Arial" w:hint="cs"/>
          <w:rtl/>
        </w:rPr>
        <w:t xml:space="preserve"> </w:t>
      </w:r>
      <w:r>
        <w:rPr>
          <w:rFonts w:cs="Arial" w:hint="cs"/>
          <w:rtl/>
        </w:rPr>
        <w:t>ו</w:t>
      </w:r>
      <w:r w:rsidRPr="001C1EFE">
        <w:rPr>
          <w:rFonts w:cs="Arial"/>
          <w:rtl/>
        </w:rPr>
        <w:t>אם נשתנה שמו ב' פעמים מחמת חולי כותבין הכל כגון אנא משה דמתקרי יעקב דמתקרי שמואל</w:t>
      </w:r>
      <w:r>
        <w:rPr>
          <w:rFonts w:cs="Arial" w:hint="cs"/>
          <w:rtl/>
        </w:rPr>
        <w:t>.</w:t>
      </w:r>
      <w:r w:rsidRPr="001C1EFE">
        <w:rPr>
          <w:rFonts w:cs="Arial"/>
          <w:rtl/>
        </w:rPr>
        <w:t xml:space="preserve"> </w:t>
      </w:r>
      <w:r>
        <w:rPr>
          <w:rFonts w:cs="Arial" w:hint="cs"/>
          <w:sz w:val="16"/>
          <w:szCs w:val="16"/>
          <w:rtl/>
        </w:rPr>
        <w:t>{וכתב עוד שם [</w:t>
      </w:r>
      <w:r w:rsidRPr="001C1EFE">
        <w:rPr>
          <w:rFonts w:cs="Arial"/>
          <w:sz w:val="16"/>
          <w:szCs w:val="16"/>
          <w:rtl/>
        </w:rPr>
        <w:t>סי</w:t>
      </w:r>
      <w:r w:rsidRPr="001C1EFE">
        <w:rPr>
          <w:rFonts w:cs="Arial" w:hint="cs"/>
          <w:sz w:val="16"/>
          <w:szCs w:val="16"/>
          <w:rtl/>
        </w:rPr>
        <w:t xml:space="preserve">' </w:t>
      </w:r>
      <w:r>
        <w:rPr>
          <w:rFonts w:cs="Arial" w:hint="cs"/>
          <w:sz w:val="16"/>
          <w:szCs w:val="16"/>
          <w:rtl/>
        </w:rPr>
        <w:t>כא</w:t>
      </w:r>
      <w:r w:rsidRPr="001C1EFE">
        <w:rPr>
          <w:rFonts w:cs="Arial"/>
          <w:sz w:val="16"/>
          <w:szCs w:val="16"/>
          <w:rtl/>
        </w:rPr>
        <w:t xml:space="preserve"> </w:t>
      </w:r>
      <w:r>
        <w:rPr>
          <w:rFonts w:cs="Arial" w:hint="cs"/>
          <w:sz w:val="16"/>
          <w:szCs w:val="16"/>
          <w:rtl/>
        </w:rPr>
        <w:t>הגהה ב]</w:t>
      </w:r>
      <w:r w:rsidR="00A82951">
        <w:rPr>
          <w:rFonts w:cs="Arial" w:hint="cs"/>
          <w:sz w:val="16"/>
          <w:szCs w:val="16"/>
          <w:rtl/>
        </w:rPr>
        <w:t>-</w:t>
      </w:r>
      <w:r>
        <w:rPr>
          <w:rFonts w:cs="Arial" w:hint="cs"/>
          <w:sz w:val="16"/>
          <w:szCs w:val="16"/>
          <w:rtl/>
        </w:rPr>
        <w:t>}</w:t>
      </w:r>
      <w:r>
        <w:rPr>
          <w:rFonts w:cs="Arial" w:hint="cs"/>
          <w:rtl/>
        </w:rPr>
        <w:t xml:space="preserve"> </w:t>
      </w:r>
      <w:r w:rsidRPr="001C1EFE">
        <w:rPr>
          <w:rFonts w:cs="Arial"/>
          <w:rtl/>
        </w:rPr>
        <w:t xml:space="preserve">ואם יש לו כינוי כותבים גם הכינוי. </w:t>
      </w:r>
      <w:r w:rsidRPr="0066234F">
        <w:rPr>
          <w:rFonts w:cs="Arial" w:hint="cs"/>
          <w:color w:val="00B0F0"/>
          <w:rtl/>
        </w:rPr>
        <w:t>(וכ"פ הרמ"א)</w:t>
      </w:r>
    </w:p>
    <w:p w14:paraId="3400941B"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53E8DDA" w14:textId="26AA0F8F" w:rsidR="00FA2119" w:rsidRDefault="00FA2119" w:rsidP="00FA2119">
      <w:pPr>
        <w:rPr>
          <w:rFonts w:cs="Arial"/>
          <w:sz w:val="18"/>
          <w:szCs w:val="18"/>
          <w:rtl/>
        </w:rPr>
      </w:pPr>
      <w:r>
        <w:rPr>
          <w:rFonts w:cs="Arial" w:hint="cs"/>
          <w:rtl/>
        </w:rPr>
        <w:t>מי</w:t>
      </w:r>
      <w:r>
        <w:rPr>
          <w:rFonts w:cs="Arial"/>
          <w:rtl/>
        </w:rPr>
        <w:t xml:space="preserve"> </w:t>
      </w:r>
      <w:r>
        <w:rPr>
          <w:rFonts w:cs="Arial" w:hint="cs"/>
          <w:rtl/>
        </w:rPr>
        <w:t>שנשתנה</w:t>
      </w:r>
      <w:r>
        <w:rPr>
          <w:rFonts w:cs="Arial"/>
          <w:rtl/>
        </w:rPr>
        <w:t xml:space="preserve"> </w:t>
      </w:r>
      <w:r>
        <w:rPr>
          <w:rFonts w:cs="Arial" w:hint="cs"/>
          <w:rtl/>
        </w:rPr>
        <w:t>שמו</w:t>
      </w:r>
      <w:r>
        <w:rPr>
          <w:rFonts w:cs="Arial"/>
          <w:rtl/>
        </w:rPr>
        <w:t xml:space="preserve"> </w:t>
      </w:r>
      <w:r>
        <w:rPr>
          <w:rFonts w:cs="Arial" w:hint="cs"/>
          <w:rtl/>
        </w:rPr>
        <w:t>מחמת</w:t>
      </w:r>
      <w:r>
        <w:rPr>
          <w:rFonts w:cs="Arial"/>
          <w:rtl/>
        </w:rPr>
        <w:t xml:space="preserve"> </w:t>
      </w:r>
      <w:r>
        <w:rPr>
          <w:rFonts w:cs="Arial" w:hint="cs"/>
          <w:rtl/>
        </w:rPr>
        <w:t>חולי</w:t>
      </w:r>
      <w:r>
        <w:rPr>
          <w:rFonts w:cs="Arial"/>
          <w:rtl/>
        </w:rPr>
        <w:t xml:space="preserve">, </w:t>
      </w:r>
      <w:r>
        <w:rPr>
          <w:rFonts w:cs="Arial" w:hint="cs"/>
          <w:rtl/>
        </w:rPr>
        <w:t>אף</w:t>
      </w:r>
      <w:r>
        <w:rPr>
          <w:rFonts w:cs="Arial"/>
          <w:rtl/>
        </w:rPr>
        <w:t xml:space="preserve"> </w:t>
      </w:r>
      <w:r>
        <w:rPr>
          <w:rFonts w:cs="Arial" w:hint="cs"/>
          <w:rtl/>
        </w:rPr>
        <w:t>על</w:t>
      </w:r>
      <w:r>
        <w:rPr>
          <w:rFonts w:cs="Arial"/>
          <w:rtl/>
        </w:rPr>
        <w:t xml:space="preserve"> </w:t>
      </w:r>
      <w:r>
        <w:rPr>
          <w:rFonts w:cs="Arial" w:hint="cs"/>
          <w:rtl/>
        </w:rPr>
        <w:t>פי</w:t>
      </w:r>
      <w:r>
        <w:rPr>
          <w:rFonts w:cs="Arial"/>
          <w:rtl/>
        </w:rPr>
        <w:t xml:space="preserve"> </w:t>
      </w:r>
      <w:r>
        <w:rPr>
          <w:rFonts w:cs="Arial" w:hint="cs"/>
          <w:rtl/>
        </w:rPr>
        <w:t>שקורין</w:t>
      </w:r>
      <w:r>
        <w:rPr>
          <w:rFonts w:cs="Arial"/>
          <w:rtl/>
        </w:rPr>
        <w:t xml:space="preserve"> </w:t>
      </w:r>
      <w:r>
        <w:rPr>
          <w:rFonts w:cs="Arial" w:hint="cs"/>
          <w:rtl/>
        </w:rPr>
        <w:t>אותו</w:t>
      </w:r>
      <w:r>
        <w:rPr>
          <w:rFonts w:cs="Arial"/>
          <w:rtl/>
        </w:rPr>
        <w:t xml:space="preserve"> </w:t>
      </w:r>
      <w:r>
        <w:rPr>
          <w:rFonts w:cs="Arial" w:hint="cs"/>
          <w:rtl/>
        </w:rPr>
        <w:t>תמיד</w:t>
      </w:r>
      <w:r>
        <w:rPr>
          <w:rFonts w:cs="Arial"/>
          <w:rtl/>
        </w:rPr>
        <w:t xml:space="preserve"> </w:t>
      </w:r>
      <w:r>
        <w:rPr>
          <w:rFonts w:cs="Arial" w:hint="cs"/>
          <w:rtl/>
        </w:rPr>
        <w:t>בשם</w:t>
      </w:r>
      <w:r>
        <w:rPr>
          <w:rFonts w:cs="Arial"/>
          <w:rtl/>
        </w:rPr>
        <w:t xml:space="preserve"> </w:t>
      </w:r>
      <w:r>
        <w:rPr>
          <w:rFonts w:cs="Arial" w:hint="cs"/>
          <w:rtl/>
        </w:rPr>
        <w:t>ראשון</w:t>
      </w:r>
      <w:r>
        <w:rPr>
          <w:rFonts w:cs="Arial"/>
          <w:rtl/>
        </w:rPr>
        <w:t xml:space="preserve">, </w:t>
      </w:r>
      <w:r>
        <w:rPr>
          <w:rFonts w:cs="Arial" w:hint="cs"/>
          <w:rtl/>
        </w:rPr>
        <w:t>מכל</w:t>
      </w:r>
      <w:r>
        <w:rPr>
          <w:rFonts w:cs="Arial"/>
          <w:rtl/>
        </w:rPr>
        <w:t xml:space="preserve"> </w:t>
      </w:r>
      <w:r>
        <w:rPr>
          <w:rFonts w:cs="Arial" w:hint="cs"/>
          <w:rtl/>
        </w:rPr>
        <w:t>מקום</w:t>
      </w:r>
      <w:r>
        <w:rPr>
          <w:rFonts w:cs="Arial"/>
          <w:rtl/>
        </w:rPr>
        <w:t xml:space="preserve"> </w:t>
      </w:r>
      <w:r>
        <w:rPr>
          <w:rFonts w:cs="Arial" w:hint="cs"/>
          <w:rtl/>
        </w:rPr>
        <w:t>שם</w:t>
      </w:r>
      <w:r>
        <w:rPr>
          <w:rFonts w:cs="Arial"/>
          <w:rtl/>
        </w:rPr>
        <w:t xml:space="preserve"> </w:t>
      </w:r>
      <w:r>
        <w:rPr>
          <w:rFonts w:cs="Arial" w:hint="cs"/>
          <w:rtl/>
        </w:rPr>
        <w:t>השינוי</w:t>
      </w:r>
      <w:r>
        <w:rPr>
          <w:rFonts w:cs="Arial"/>
          <w:rtl/>
        </w:rPr>
        <w:t xml:space="preserve"> </w:t>
      </w:r>
      <w:r>
        <w:rPr>
          <w:rFonts w:cs="Arial" w:hint="cs"/>
          <w:rtl/>
        </w:rPr>
        <w:t>עיקר</w:t>
      </w:r>
      <w:r>
        <w:rPr>
          <w:rFonts w:cs="Arial"/>
          <w:rtl/>
        </w:rPr>
        <w:t xml:space="preserve">, </w:t>
      </w:r>
      <w:r>
        <w:rPr>
          <w:rFonts w:cs="Arial" w:hint="cs"/>
          <w:sz w:val="18"/>
          <w:szCs w:val="18"/>
          <w:rtl/>
        </w:rPr>
        <w:t xml:space="preserve">[הגה] </w:t>
      </w:r>
      <w:r w:rsidRPr="00C03494">
        <w:rPr>
          <w:rFonts w:cs="Arial" w:hint="cs"/>
          <w:sz w:val="18"/>
          <w:szCs w:val="18"/>
          <w:rtl/>
        </w:rPr>
        <w:t>אפילו</w:t>
      </w:r>
      <w:r w:rsidRPr="00C03494">
        <w:rPr>
          <w:rFonts w:cs="Arial"/>
          <w:sz w:val="18"/>
          <w:szCs w:val="18"/>
          <w:rtl/>
        </w:rPr>
        <w:t xml:space="preserve"> </w:t>
      </w:r>
      <w:r w:rsidRPr="00C03494">
        <w:rPr>
          <w:rFonts w:cs="Arial" w:hint="cs"/>
          <w:sz w:val="18"/>
          <w:szCs w:val="18"/>
          <w:rtl/>
        </w:rPr>
        <w:t>הוא</w:t>
      </w:r>
      <w:r w:rsidRPr="00C03494">
        <w:rPr>
          <w:rFonts w:cs="Arial"/>
          <w:sz w:val="18"/>
          <w:szCs w:val="18"/>
          <w:rtl/>
        </w:rPr>
        <w:t xml:space="preserve"> </w:t>
      </w:r>
      <w:r w:rsidRPr="00C03494">
        <w:rPr>
          <w:rFonts w:cs="Arial" w:hint="cs"/>
          <w:sz w:val="18"/>
          <w:szCs w:val="18"/>
          <w:rtl/>
        </w:rPr>
        <w:t>לעז</w:t>
      </w:r>
      <w:r w:rsidRPr="00C03494">
        <w:rPr>
          <w:rFonts w:cs="Arial"/>
          <w:sz w:val="18"/>
          <w:szCs w:val="18"/>
          <w:rtl/>
        </w:rPr>
        <w:t xml:space="preserve"> </w:t>
      </w:r>
      <w:r w:rsidRPr="00C03494">
        <w:rPr>
          <w:rFonts w:cs="Arial" w:hint="cs"/>
          <w:sz w:val="18"/>
          <w:szCs w:val="18"/>
          <w:rtl/>
        </w:rPr>
        <w:t>ושם</w:t>
      </w:r>
      <w:r w:rsidRPr="00C03494">
        <w:rPr>
          <w:rFonts w:cs="Arial"/>
          <w:sz w:val="18"/>
          <w:szCs w:val="18"/>
          <w:rtl/>
        </w:rPr>
        <w:t xml:space="preserve"> </w:t>
      </w:r>
      <w:r w:rsidRPr="00C03494">
        <w:rPr>
          <w:rFonts w:cs="Arial" w:hint="cs"/>
          <w:sz w:val="18"/>
          <w:szCs w:val="18"/>
          <w:rtl/>
        </w:rPr>
        <w:t>ראשון</w:t>
      </w:r>
      <w:r w:rsidRPr="00C03494">
        <w:rPr>
          <w:rFonts w:cs="Arial"/>
          <w:sz w:val="18"/>
          <w:szCs w:val="18"/>
          <w:rtl/>
        </w:rPr>
        <w:t xml:space="preserve"> </w:t>
      </w:r>
      <w:r w:rsidRPr="00C03494">
        <w:rPr>
          <w:rFonts w:cs="Arial" w:hint="cs"/>
          <w:sz w:val="18"/>
          <w:szCs w:val="18"/>
          <w:rtl/>
        </w:rPr>
        <w:t>עברי</w:t>
      </w:r>
      <w:r w:rsidRPr="00C03494">
        <w:rPr>
          <w:rFonts w:cs="Arial"/>
          <w:sz w:val="18"/>
          <w:szCs w:val="18"/>
          <w:rtl/>
        </w:rPr>
        <w:t xml:space="preserve"> (</w:t>
      </w:r>
      <w:r w:rsidRPr="00C03494">
        <w:rPr>
          <w:rFonts w:cs="Arial" w:hint="cs"/>
          <w:sz w:val="18"/>
          <w:szCs w:val="18"/>
          <w:rtl/>
        </w:rPr>
        <w:t>סדר</w:t>
      </w:r>
      <w:r w:rsidRPr="00C03494">
        <w:rPr>
          <w:rFonts w:cs="Arial"/>
          <w:sz w:val="18"/>
          <w:szCs w:val="18"/>
          <w:rtl/>
        </w:rPr>
        <w:t xml:space="preserve"> </w:t>
      </w:r>
      <w:r w:rsidRPr="00C03494">
        <w:rPr>
          <w:rFonts w:cs="Arial" w:hint="cs"/>
          <w:sz w:val="18"/>
          <w:szCs w:val="18"/>
          <w:rtl/>
        </w:rPr>
        <w:t>גיטין</w:t>
      </w:r>
      <w:r w:rsidRPr="00C03494">
        <w:rPr>
          <w:rFonts w:cs="Arial"/>
          <w:sz w:val="18"/>
          <w:szCs w:val="18"/>
          <w:rtl/>
        </w:rPr>
        <w:t>)</w:t>
      </w:r>
      <w:r>
        <w:rPr>
          <w:rFonts w:cs="Arial"/>
          <w:rtl/>
        </w:rPr>
        <w:t xml:space="preserve">, </w:t>
      </w:r>
      <w:r>
        <w:rPr>
          <w:rFonts w:cs="Arial" w:hint="cs"/>
          <w:rtl/>
        </w:rPr>
        <w:t>וכותבין</w:t>
      </w:r>
      <w:r>
        <w:rPr>
          <w:rFonts w:cs="Arial"/>
          <w:rtl/>
        </w:rPr>
        <w:t xml:space="preserve"> </w:t>
      </w:r>
      <w:r>
        <w:rPr>
          <w:rFonts w:cs="Arial" w:hint="cs"/>
          <w:rtl/>
        </w:rPr>
        <w:t>אותו</w:t>
      </w:r>
      <w:r>
        <w:rPr>
          <w:rFonts w:cs="Arial"/>
          <w:rtl/>
        </w:rPr>
        <w:t xml:space="preserve"> </w:t>
      </w:r>
      <w:r>
        <w:rPr>
          <w:rFonts w:cs="Arial" w:hint="cs"/>
          <w:rtl/>
        </w:rPr>
        <w:t>קודם</w:t>
      </w:r>
      <w:r>
        <w:rPr>
          <w:rFonts w:cs="Arial"/>
          <w:rtl/>
        </w:rPr>
        <w:t xml:space="preserve">, </w:t>
      </w:r>
      <w:r>
        <w:rPr>
          <w:rFonts w:cs="Arial" w:hint="cs"/>
          <w:rtl/>
        </w:rPr>
        <w:t>ואחר כך</w:t>
      </w:r>
      <w:r>
        <w:rPr>
          <w:rFonts w:cs="Arial"/>
          <w:rtl/>
        </w:rPr>
        <w:t xml:space="preserve">: </w:t>
      </w:r>
      <w:r>
        <w:rPr>
          <w:rFonts w:cs="Arial" w:hint="cs"/>
          <w:rtl/>
        </w:rPr>
        <w:t>דמתקרי</w:t>
      </w:r>
      <w:r>
        <w:rPr>
          <w:rFonts w:cs="Arial"/>
          <w:rtl/>
        </w:rPr>
        <w:t xml:space="preserve"> </w:t>
      </w:r>
      <w:r>
        <w:rPr>
          <w:rFonts w:cs="Arial" w:hint="cs"/>
          <w:rtl/>
        </w:rPr>
        <w:t>פלוני</w:t>
      </w:r>
      <w:r>
        <w:rPr>
          <w:rFonts w:cs="Arial"/>
          <w:rtl/>
        </w:rPr>
        <w:t xml:space="preserve"> </w:t>
      </w:r>
      <w:r>
        <w:rPr>
          <w:rFonts w:cs="Arial" w:hint="cs"/>
          <w:rtl/>
        </w:rPr>
        <w:t>שם</w:t>
      </w:r>
      <w:r>
        <w:rPr>
          <w:rFonts w:cs="Arial"/>
          <w:rtl/>
        </w:rPr>
        <w:t xml:space="preserve"> </w:t>
      </w:r>
      <w:r>
        <w:rPr>
          <w:rFonts w:cs="Arial" w:hint="cs"/>
          <w:rtl/>
        </w:rPr>
        <w:t>ראשון.</w:t>
      </w:r>
      <w:r>
        <w:rPr>
          <w:rFonts w:cs="Arial"/>
          <w:rtl/>
        </w:rPr>
        <w:t xml:space="preserve"> </w:t>
      </w:r>
      <w:r>
        <w:rPr>
          <w:rFonts w:cs="Arial" w:hint="cs"/>
          <w:rtl/>
        </w:rPr>
        <w:t>ודוקא</w:t>
      </w:r>
      <w:r>
        <w:rPr>
          <w:rFonts w:cs="Arial"/>
          <w:rtl/>
        </w:rPr>
        <w:t xml:space="preserve"> </w:t>
      </w:r>
      <w:r>
        <w:rPr>
          <w:rFonts w:cs="Arial" w:hint="cs"/>
          <w:rtl/>
        </w:rPr>
        <w:t>כשקורין</w:t>
      </w:r>
      <w:r>
        <w:rPr>
          <w:rFonts w:cs="Arial"/>
          <w:rtl/>
        </w:rPr>
        <w:t xml:space="preserve"> </w:t>
      </w:r>
      <w:r>
        <w:rPr>
          <w:rFonts w:cs="Arial" w:hint="cs"/>
          <w:rtl/>
        </w:rPr>
        <w:t>אותו</w:t>
      </w:r>
      <w:r>
        <w:rPr>
          <w:rFonts w:cs="Arial"/>
          <w:rtl/>
        </w:rPr>
        <w:t xml:space="preserve"> </w:t>
      </w:r>
      <w:r>
        <w:rPr>
          <w:rFonts w:cs="Arial" w:hint="cs"/>
          <w:rtl/>
        </w:rPr>
        <w:t>לפעמים</w:t>
      </w:r>
      <w:r>
        <w:rPr>
          <w:rFonts w:cs="Arial"/>
          <w:rtl/>
        </w:rPr>
        <w:t xml:space="preserve"> </w:t>
      </w:r>
      <w:r>
        <w:rPr>
          <w:rFonts w:cs="Arial" w:hint="cs"/>
          <w:rtl/>
        </w:rPr>
        <w:t>בשם</w:t>
      </w:r>
      <w:r>
        <w:rPr>
          <w:rFonts w:cs="Arial"/>
          <w:rtl/>
        </w:rPr>
        <w:t xml:space="preserve"> </w:t>
      </w:r>
      <w:r>
        <w:rPr>
          <w:rFonts w:cs="Arial" w:hint="cs"/>
          <w:rtl/>
        </w:rPr>
        <w:t>שני</w:t>
      </w:r>
      <w:r>
        <w:rPr>
          <w:rFonts w:cs="Arial"/>
          <w:rtl/>
        </w:rPr>
        <w:t xml:space="preserve">, </w:t>
      </w:r>
      <w:r>
        <w:rPr>
          <w:rFonts w:cs="Arial" w:hint="cs"/>
          <w:rtl/>
        </w:rPr>
        <w:t>אבל</w:t>
      </w:r>
      <w:r>
        <w:rPr>
          <w:rFonts w:cs="Arial"/>
          <w:rtl/>
        </w:rPr>
        <w:t xml:space="preserve"> </w:t>
      </w:r>
      <w:r>
        <w:rPr>
          <w:rFonts w:cs="Arial" w:hint="cs"/>
          <w:rtl/>
        </w:rPr>
        <w:t>אם</w:t>
      </w:r>
      <w:r>
        <w:rPr>
          <w:rFonts w:cs="Arial"/>
          <w:rtl/>
        </w:rPr>
        <w:t xml:space="preserve"> </w:t>
      </w:r>
      <w:r>
        <w:rPr>
          <w:rFonts w:cs="Arial" w:hint="cs"/>
          <w:rtl/>
        </w:rPr>
        <w:t>אין</w:t>
      </w:r>
      <w:r>
        <w:rPr>
          <w:rFonts w:cs="Arial"/>
          <w:rtl/>
        </w:rPr>
        <w:t xml:space="preserve"> </w:t>
      </w:r>
      <w:r>
        <w:rPr>
          <w:rFonts w:cs="Arial" w:hint="cs"/>
          <w:rtl/>
        </w:rPr>
        <w:t>קורין</w:t>
      </w:r>
      <w:r>
        <w:rPr>
          <w:rFonts w:cs="Arial"/>
          <w:rtl/>
        </w:rPr>
        <w:t xml:space="preserve"> </w:t>
      </w:r>
      <w:r>
        <w:rPr>
          <w:rFonts w:cs="Arial" w:hint="cs"/>
          <w:rtl/>
        </w:rPr>
        <w:t>אותו</w:t>
      </w:r>
      <w:r>
        <w:rPr>
          <w:rFonts w:cs="Arial"/>
          <w:rtl/>
        </w:rPr>
        <w:t xml:space="preserve"> </w:t>
      </w:r>
      <w:r>
        <w:rPr>
          <w:rFonts w:cs="Arial" w:hint="cs"/>
          <w:rtl/>
        </w:rPr>
        <w:t>בשם</w:t>
      </w:r>
      <w:r>
        <w:rPr>
          <w:rFonts w:cs="Arial"/>
          <w:rtl/>
        </w:rPr>
        <w:t xml:space="preserve"> </w:t>
      </w:r>
      <w:r>
        <w:rPr>
          <w:rFonts w:cs="Arial" w:hint="cs"/>
          <w:rtl/>
        </w:rPr>
        <w:t>שני</w:t>
      </w:r>
      <w:r>
        <w:rPr>
          <w:rFonts w:cs="Arial"/>
          <w:rtl/>
        </w:rPr>
        <w:t xml:space="preserve"> </w:t>
      </w:r>
      <w:r>
        <w:rPr>
          <w:rFonts w:cs="Arial" w:hint="cs"/>
          <w:rtl/>
        </w:rPr>
        <w:t>כלל</w:t>
      </w:r>
      <w:r>
        <w:rPr>
          <w:rFonts w:cs="Arial"/>
          <w:rtl/>
        </w:rPr>
        <w:t xml:space="preserve">, </w:t>
      </w:r>
      <w:r>
        <w:rPr>
          <w:rFonts w:cs="Arial" w:hint="cs"/>
          <w:rtl/>
        </w:rPr>
        <w:t>אינו</w:t>
      </w:r>
      <w:r>
        <w:rPr>
          <w:rFonts w:cs="Arial"/>
          <w:rtl/>
        </w:rPr>
        <w:t xml:space="preserve"> </w:t>
      </w:r>
      <w:r>
        <w:rPr>
          <w:rFonts w:cs="Arial" w:hint="cs"/>
          <w:rtl/>
        </w:rPr>
        <w:t>כותב</w:t>
      </w:r>
      <w:r>
        <w:rPr>
          <w:rFonts w:cs="Arial"/>
          <w:rtl/>
        </w:rPr>
        <w:t xml:space="preserve"> </w:t>
      </w:r>
      <w:r>
        <w:rPr>
          <w:rFonts w:cs="Arial" w:hint="cs"/>
          <w:rtl/>
        </w:rPr>
        <w:t>אלא</w:t>
      </w:r>
      <w:r>
        <w:rPr>
          <w:rFonts w:cs="Arial"/>
          <w:rtl/>
        </w:rPr>
        <w:t xml:space="preserve"> </w:t>
      </w:r>
      <w:r>
        <w:rPr>
          <w:rFonts w:cs="Arial" w:hint="cs"/>
          <w:rtl/>
        </w:rPr>
        <w:t>שם</w:t>
      </w:r>
      <w:r>
        <w:rPr>
          <w:rFonts w:cs="Arial"/>
          <w:rtl/>
        </w:rPr>
        <w:t xml:space="preserve"> </w:t>
      </w:r>
      <w:r>
        <w:rPr>
          <w:rFonts w:cs="Arial" w:hint="cs"/>
          <w:rtl/>
        </w:rPr>
        <w:t>ראשון</w:t>
      </w:r>
      <w:r>
        <w:rPr>
          <w:rFonts w:cs="Arial"/>
          <w:rtl/>
        </w:rPr>
        <w:t xml:space="preserve"> </w:t>
      </w:r>
      <w:r>
        <w:rPr>
          <w:rFonts w:cs="Arial" w:hint="cs"/>
          <w:rtl/>
        </w:rPr>
        <w:t>בלבד</w:t>
      </w:r>
      <w:r>
        <w:rPr>
          <w:rFonts w:cs="Arial"/>
          <w:rtl/>
        </w:rPr>
        <w:t xml:space="preserve">. </w:t>
      </w:r>
      <w:r>
        <w:rPr>
          <w:rFonts w:cs="Arial" w:hint="cs"/>
          <w:rtl/>
        </w:rPr>
        <w:t>ויש</w:t>
      </w:r>
      <w:r>
        <w:rPr>
          <w:rFonts w:cs="Arial"/>
          <w:rtl/>
        </w:rPr>
        <w:t xml:space="preserve"> </w:t>
      </w:r>
      <w:r>
        <w:rPr>
          <w:rFonts w:cs="Arial" w:hint="cs"/>
          <w:rtl/>
        </w:rPr>
        <w:t>מי</w:t>
      </w:r>
      <w:r>
        <w:rPr>
          <w:rFonts w:cs="Arial"/>
          <w:rtl/>
        </w:rPr>
        <w:t xml:space="preserve"> </w:t>
      </w:r>
      <w:r>
        <w:rPr>
          <w:rFonts w:cs="Arial" w:hint="cs"/>
          <w:rtl/>
        </w:rPr>
        <w:t>שמצריך</w:t>
      </w:r>
      <w:r>
        <w:rPr>
          <w:rFonts w:cs="Arial"/>
          <w:rtl/>
        </w:rPr>
        <w:t xml:space="preserve"> </w:t>
      </w:r>
      <w:r>
        <w:rPr>
          <w:rFonts w:cs="Arial" w:hint="cs"/>
          <w:rtl/>
        </w:rPr>
        <w:t>שני</w:t>
      </w:r>
      <w:r>
        <w:rPr>
          <w:rFonts w:cs="Arial"/>
          <w:rtl/>
        </w:rPr>
        <w:t xml:space="preserve"> </w:t>
      </w:r>
      <w:r>
        <w:rPr>
          <w:rFonts w:cs="Arial" w:hint="cs"/>
          <w:rtl/>
        </w:rPr>
        <w:t>גיטין</w:t>
      </w:r>
      <w:r>
        <w:rPr>
          <w:rFonts w:cs="Arial"/>
          <w:rtl/>
        </w:rPr>
        <w:t xml:space="preserve"> </w:t>
      </w:r>
      <w:r>
        <w:rPr>
          <w:rFonts w:cs="Arial" w:hint="cs"/>
          <w:rtl/>
        </w:rPr>
        <w:t>בשני</w:t>
      </w:r>
      <w:r>
        <w:rPr>
          <w:rFonts w:cs="Arial"/>
          <w:rtl/>
        </w:rPr>
        <w:t xml:space="preserve"> </w:t>
      </w:r>
      <w:r>
        <w:rPr>
          <w:rFonts w:cs="Arial" w:hint="cs"/>
          <w:rtl/>
        </w:rPr>
        <w:t>שמות</w:t>
      </w:r>
      <w:r>
        <w:rPr>
          <w:rFonts w:cs="Arial"/>
          <w:rtl/>
        </w:rPr>
        <w:t xml:space="preserve">. </w:t>
      </w:r>
      <w:r>
        <w:rPr>
          <w:rFonts w:cs="Arial" w:hint="cs"/>
          <w:rtl/>
        </w:rPr>
        <w:t>ואם</w:t>
      </w:r>
      <w:r>
        <w:rPr>
          <w:rFonts w:cs="Arial"/>
          <w:rtl/>
        </w:rPr>
        <w:t xml:space="preserve"> </w:t>
      </w:r>
      <w:r>
        <w:rPr>
          <w:rFonts w:cs="Arial" w:hint="cs"/>
          <w:rtl/>
        </w:rPr>
        <w:t>יש</w:t>
      </w:r>
      <w:r>
        <w:rPr>
          <w:rFonts w:cs="Arial"/>
          <w:rtl/>
        </w:rPr>
        <w:t xml:space="preserve"> </w:t>
      </w:r>
      <w:r>
        <w:rPr>
          <w:rFonts w:cs="Arial" w:hint="cs"/>
          <w:rtl/>
        </w:rPr>
        <w:t>לו</w:t>
      </w:r>
      <w:r>
        <w:rPr>
          <w:rFonts w:cs="Arial"/>
          <w:rtl/>
        </w:rPr>
        <w:t xml:space="preserve"> </w:t>
      </w:r>
      <w:r>
        <w:rPr>
          <w:rFonts w:cs="Arial" w:hint="cs"/>
          <w:rtl/>
        </w:rPr>
        <w:t>שם</w:t>
      </w:r>
      <w:r>
        <w:rPr>
          <w:rFonts w:cs="Arial"/>
          <w:rtl/>
        </w:rPr>
        <w:t xml:space="preserve"> </w:t>
      </w:r>
      <w:r>
        <w:rPr>
          <w:rFonts w:cs="Arial" w:hint="cs"/>
          <w:rtl/>
        </w:rPr>
        <w:t>מובהק</w:t>
      </w:r>
      <w:r>
        <w:rPr>
          <w:rFonts w:cs="Arial"/>
          <w:rtl/>
        </w:rPr>
        <w:t xml:space="preserve"> </w:t>
      </w:r>
      <w:r>
        <w:rPr>
          <w:rFonts w:cs="Arial" w:hint="cs"/>
          <w:rtl/>
        </w:rPr>
        <w:t>שבו</w:t>
      </w:r>
      <w:r>
        <w:rPr>
          <w:rFonts w:cs="Arial"/>
          <w:rtl/>
        </w:rPr>
        <w:t xml:space="preserve"> </w:t>
      </w:r>
      <w:r>
        <w:rPr>
          <w:rFonts w:cs="Arial" w:hint="cs"/>
          <w:rtl/>
        </w:rPr>
        <w:t>עולה</w:t>
      </w:r>
      <w:r>
        <w:rPr>
          <w:rFonts w:cs="Arial"/>
          <w:rtl/>
        </w:rPr>
        <w:t xml:space="preserve"> </w:t>
      </w:r>
      <w:r>
        <w:rPr>
          <w:rFonts w:cs="Arial" w:hint="cs"/>
          <w:rtl/>
        </w:rPr>
        <w:t>לספר</w:t>
      </w:r>
      <w:r>
        <w:rPr>
          <w:rFonts w:cs="Arial"/>
          <w:rtl/>
        </w:rPr>
        <w:t xml:space="preserve"> </w:t>
      </w:r>
      <w:r>
        <w:rPr>
          <w:rFonts w:cs="Arial" w:hint="cs"/>
          <w:rtl/>
        </w:rPr>
        <w:t>תורה</w:t>
      </w:r>
      <w:r>
        <w:rPr>
          <w:rFonts w:cs="Arial"/>
          <w:rtl/>
        </w:rPr>
        <w:t xml:space="preserve"> </w:t>
      </w:r>
      <w:r>
        <w:rPr>
          <w:rFonts w:cs="Arial" w:hint="cs"/>
          <w:rtl/>
        </w:rPr>
        <w:t>וחותם</w:t>
      </w:r>
      <w:r>
        <w:rPr>
          <w:rFonts w:cs="Arial"/>
          <w:rtl/>
        </w:rPr>
        <w:t xml:space="preserve"> </w:t>
      </w:r>
      <w:r>
        <w:rPr>
          <w:rFonts w:cs="Arial" w:hint="cs"/>
          <w:rtl/>
        </w:rPr>
        <w:t>כתביו</w:t>
      </w:r>
      <w:r>
        <w:rPr>
          <w:rFonts w:cs="Arial"/>
          <w:rtl/>
        </w:rPr>
        <w:t xml:space="preserve"> </w:t>
      </w:r>
      <w:r>
        <w:rPr>
          <w:rFonts w:cs="Arial" w:hint="cs"/>
          <w:rtl/>
        </w:rPr>
        <w:t>ושטרותיו</w:t>
      </w:r>
      <w:r>
        <w:rPr>
          <w:rFonts w:cs="Arial"/>
          <w:rtl/>
        </w:rPr>
        <w:t xml:space="preserve">, </w:t>
      </w:r>
      <w:r>
        <w:rPr>
          <w:rFonts w:cs="Arial" w:hint="cs"/>
          <w:rtl/>
        </w:rPr>
        <w:t>אותו</w:t>
      </w:r>
      <w:r>
        <w:rPr>
          <w:rFonts w:cs="Arial"/>
          <w:rtl/>
        </w:rPr>
        <w:t xml:space="preserve"> </w:t>
      </w:r>
      <w:r>
        <w:rPr>
          <w:rFonts w:cs="Arial" w:hint="cs"/>
          <w:rtl/>
        </w:rPr>
        <w:t>שם</w:t>
      </w:r>
      <w:r>
        <w:rPr>
          <w:rFonts w:cs="Arial"/>
          <w:rtl/>
        </w:rPr>
        <w:t xml:space="preserve"> </w:t>
      </w:r>
      <w:r>
        <w:rPr>
          <w:rFonts w:cs="Arial" w:hint="cs"/>
          <w:rtl/>
        </w:rPr>
        <w:t>הוא</w:t>
      </w:r>
      <w:r>
        <w:rPr>
          <w:rFonts w:cs="Arial"/>
          <w:rtl/>
        </w:rPr>
        <w:t xml:space="preserve"> </w:t>
      </w:r>
      <w:r>
        <w:rPr>
          <w:rFonts w:cs="Arial" w:hint="cs"/>
          <w:rtl/>
        </w:rPr>
        <w:t>עיקר</w:t>
      </w:r>
      <w:r>
        <w:rPr>
          <w:rFonts w:cs="Arial"/>
          <w:rtl/>
        </w:rPr>
        <w:t xml:space="preserve">. </w:t>
      </w:r>
      <w:r w:rsidRPr="00C03494">
        <w:rPr>
          <w:rFonts w:cs="Arial" w:hint="cs"/>
          <w:sz w:val="18"/>
          <w:szCs w:val="18"/>
          <w:rtl/>
        </w:rPr>
        <w:t>הגה</w:t>
      </w:r>
      <w:r w:rsidRPr="00C03494">
        <w:rPr>
          <w:rFonts w:cs="Arial"/>
          <w:sz w:val="18"/>
          <w:szCs w:val="18"/>
          <w:rtl/>
        </w:rPr>
        <w:t xml:space="preserve">: </w:t>
      </w:r>
      <w:r w:rsidRPr="00C03494">
        <w:rPr>
          <w:rFonts w:cs="Arial" w:hint="cs"/>
          <w:sz w:val="18"/>
          <w:szCs w:val="18"/>
          <w:rtl/>
        </w:rPr>
        <w:t>ואם</w:t>
      </w:r>
      <w:r w:rsidRPr="00C03494">
        <w:rPr>
          <w:rFonts w:cs="Arial"/>
          <w:sz w:val="18"/>
          <w:szCs w:val="18"/>
          <w:rtl/>
        </w:rPr>
        <w:t xml:space="preserve"> </w:t>
      </w:r>
      <w:r w:rsidRPr="00C03494">
        <w:rPr>
          <w:rFonts w:cs="Arial" w:hint="cs"/>
          <w:sz w:val="18"/>
          <w:szCs w:val="18"/>
          <w:rtl/>
        </w:rPr>
        <w:t>עולה</w:t>
      </w:r>
      <w:r w:rsidRPr="00C03494">
        <w:rPr>
          <w:rFonts w:cs="Arial"/>
          <w:sz w:val="18"/>
          <w:szCs w:val="18"/>
          <w:rtl/>
        </w:rPr>
        <w:t xml:space="preserve"> </w:t>
      </w:r>
      <w:r w:rsidRPr="00C03494">
        <w:rPr>
          <w:rFonts w:cs="Arial" w:hint="cs"/>
          <w:sz w:val="18"/>
          <w:szCs w:val="18"/>
          <w:rtl/>
        </w:rPr>
        <w:t>לס</w:t>
      </w:r>
      <w:r w:rsidRPr="00C03494">
        <w:rPr>
          <w:rFonts w:cs="Arial"/>
          <w:sz w:val="18"/>
          <w:szCs w:val="18"/>
          <w:rtl/>
        </w:rPr>
        <w:t>"</w:t>
      </w:r>
      <w:r w:rsidRPr="00C03494">
        <w:rPr>
          <w:rFonts w:cs="Arial" w:hint="cs"/>
          <w:sz w:val="18"/>
          <w:szCs w:val="18"/>
          <w:rtl/>
        </w:rPr>
        <w:t>ת</w:t>
      </w:r>
      <w:r w:rsidRPr="00C03494">
        <w:rPr>
          <w:rFonts w:cs="Arial"/>
          <w:sz w:val="18"/>
          <w:szCs w:val="18"/>
          <w:rtl/>
        </w:rPr>
        <w:t xml:space="preserve"> </w:t>
      </w:r>
      <w:r w:rsidRPr="00C03494">
        <w:rPr>
          <w:rFonts w:cs="Arial" w:hint="cs"/>
          <w:sz w:val="18"/>
          <w:szCs w:val="18"/>
          <w:rtl/>
        </w:rPr>
        <w:t>בשניהם</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השני</w:t>
      </w:r>
      <w:r w:rsidRPr="00C03494">
        <w:rPr>
          <w:rFonts w:cs="Arial"/>
          <w:sz w:val="18"/>
          <w:szCs w:val="18"/>
          <w:rtl/>
        </w:rPr>
        <w:t xml:space="preserve"> </w:t>
      </w:r>
      <w:r w:rsidRPr="00C03494">
        <w:rPr>
          <w:rFonts w:cs="Arial" w:hint="cs"/>
          <w:sz w:val="18"/>
          <w:szCs w:val="18"/>
          <w:rtl/>
        </w:rPr>
        <w:t>עיקר</w:t>
      </w:r>
      <w:r w:rsidRPr="00C03494">
        <w:rPr>
          <w:rFonts w:cs="Arial"/>
          <w:sz w:val="18"/>
          <w:szCs w:val="18"/>
          <w:rtl/>
        </w:rPr>
        <w:t xml:space="preserve">, </w:t>
      </w:r>
      <w:r w:rsidRPr="00C03494">
        <w:rPr>
          <w:rFonts w:cs="Arial" w:hint="cs"/>
          <w:sz w:val="18"/>
          <w:szCs w:val="18"/>
          <w:rtl/>
        </w:rPr>
        <w:t>ועל</w:t>
      </w:r>
      <w:r w:rsidRPr="00C03494">
        <w:rPr>
          <w:rFonts w:cs="Arial"/>
          <w:sz w:val="18"/>
          <w:szCs w:val="18"/>
          <w:rtl/>
        </w:rPr>
        <w:t xml:space="preserve"> </w:t>
      </w:r>
      <w:r w:rsidRPr="00C03494">
        <w:rPr>
          <w:rFonts w:cs="Arial" w:hint="cs"/>
          <w:sz w:val="18"/>
          <w:szCs w:val="18"/>
          <w:rtl/>
        </w:rPr>
        <w:t>הראשון</w:t>
      </w:r>
      <w:r w:rsidRPr="00C03494">
        <w:rPr>
          <w:rFonts w:cs="Arial"/>
          <w:sz w:val="18"/>
          <w:szCs w:val="18"/>
          <w:rtl/>
        </w:rPr>
        <w:t xml:space="preserve">: </w:t>
      </w:r>
      <w:r w:rsidRPr="00C03494">
        <w:rPr>
          <w:rFonts w:cs="Arial" w:hint="cs"/>
          <w:sz w:val="18"/>
          <w:szCs w:val="18"/>
          <w:rtl/>
        </w:rPr>
        <w:t>מתקרי</w:t>
      </w:r>
      <w:r>
        <w:rPr>
          <w:rFonts w:cs="Arial" w:hint="cs"/>
          <w:sz w:val="18"/>
          <w:szCs w:val="18"/>
          <w:rtl/>
        </w:rPr>
        <w:t>.</w:t>
      </w:r>
      <w:r w:rsidRPr="00C03494">
        <w:rPr>
          <w:rFonts w:cs="Arial"/>
          <w:sz w:val="18"/>
          <w:szCs w:val="18"/>
          <w:rtl/>
        </w:rPr>
        <w:t xml:space="preserve"> </w:t>
      </w:r>
      <w:r w:rsidRPr="00C03494">
        <w:rPr>
          <w:rFonts w:cs="Arial" w:hint="cs"/>
          <w:sz w:val="18"/>
          <w:szCs w:val="18"/>
          <w:rtl/>
        </w:rPr>
        <w:t>אבל</w:t>
      </w:r>
      <w:r w:rsidRPr="00C03494">
        <w:rPr>
          <w:rFonts w:cs="Arial"/>
          <w:sz w:val="18"/>
          <w:szCs w:val="18"/>
          <w:rtl/>
        </w:rPr>
        <w:t xml:space="preserve"> </w:t>
      </w:r>
      <w:r w:rsidRPr="00C03494">
        <w:rPr>
          <w:rFonts w:cs="Arial" w:hint="cs"/>
          <w:sz w:val="18"/>
          <w:szCs w:val="18"/>
          <w:rtl/>
        </w:rPr>
        <w:t>עד</w:t>
      </w:r>
      <w:r w:rsidRPr="00C03494">
        <w:rPr>
          <w:rFonts w:cs="Arial"/>
          <w:sz w:val="18"/>
          <w:szCs w:val="18"/>
          <w:rtl/>
        </w:rPr>
        <w:t xml:space="preserve"> </w:t>
      </w:r>
      <w:r w:rsidRPr="00C03494">
        <w:rPr>
          <w:rFonts w:cs="Arial" w:hint="cs"/>
          <w:sz w:val="18"/>
          <w:szCs w:val="18"/>
          <w:rtl/>
        </w:rPr>
        <w:t>החותם</w:t>
      </w:r>
      <w:r w:rsidRPr="00C03494">
        <w:rPr>
          <w:rFonts w:cs="Arial"/>
          <w:sz w:val="18"/>
          <w:szCs w:val="18"/>
          <w:rtl/>
        </w:rPr>
        <w:t xml:space="preserve"> </w:t>
      </w:r>
      <w:r w:rsidRPr="00C03494">
        <w:rPr>
          <w:rFonts w:cs="Arial" w:hint="cs"/>
          <w:sz w:val="18"/>
          <w:szCs w:val="18"/>
          <w:rtl/>
        </w:rPr>
        <w:t>עצמו</w:t>
      </w:r>
      <w:r w:rsidRPr="00C03494">
        <w:rPr>
          <w:rFonts w:cs="Arial"/>
          <w:sz w:val="18"/>
          <w:szCs w:val="18"/>
          <w:rtl/>
        </w:rPr>
        <w:t xml:space="preserve"> </w:t>
      </w:r>
      <w:r w:rsidRPr="00C03494">
        <w:rPr>
          <w:rFonts w:cs="Arial" w:hint="cs"/>
          <w:sz w:val="18"/>
          <w:szCs w:val="18"/>
          <w:rtl/>
        </w:rPr>
        <w:t>ויש</w:t>
      </w:r>
      <w:r w:rsidRPr="00C03494">
        <w:rPr>
          <w:rFonts w:cs="Arial"/>
          <w:sz w:val="18"/>
          <w:szCs w:val="18"/>
          <w:rtl/>
        </w:rPr>
        <w:t xml:space="preserve"> </w:t>
      </w:r>
      <w:r w:rsidRPr="00C03494">
        <w:rPr>
          <w:rFonts w:cs="Arial" w:hint="cs"/>
          <w:sz w:val="18"/>
          <w:szCs w:val="18"/>
          <w:rtl/>
        </w:rPr>
        <w:t>לו</w:t>
      </w:r>
      <w:r w:rsidRPr="00C03494">
        <w:rPr>
          <w:rFonts w:cs="Arial"/>
          <w:sz w:val="18"/>
          <w:szCs w:val="18"/>
          <w:rtl/>
        </w:rPr>
        <w:t xml:space="preserve"> </w:t>
      </w:r>
      <w:r>
        <w:rPr>
          <w:rFonts w:cs="Arial" w:hint="cs"/>
          <w:sz w:val="18"/>
          <w:szCs w:val="18"/>
          <w:rtl/>
        </w:rPr>
        <w:t>שני שמות</w:t>
      </w:r>
      <w:r w:rsidRPr="00C03494">
        <w:rPr>
          <w:rFonts w:cs="Arial"/>
          <w:sz w:val="18"/>
          <w:szCs w:val="18"/>
          <w:rtl/>
        </w:rPr>
        <w:t xml:space="preserve">, </w:t>
      </w:r>
      <w:r w:rsidRPr="00C03494">
        <w:rPr>
          <w:rFonts w:cs="Arial" w:hint="cs"/>
          <w:sz w:val="18"/>
          <w:szCs w:val="18"/>
          <w:rtl/>
        </w:rPr>
        <w:t>יחתום</w:t>
      </w:r>
      <w:r w:rsidRPr="00C03494">
        <w:rPr>
          <w:rFonts w:cs="Arial"/>
          <w:sz w:val="18"/>
          <w:szCs w:val="18"/>
          <w:rtl/>
        </w:rPr>
        <w:t xml:space="preserve"> </w:t>
      </w:r>
      <w:r w:rsidRPr="00C03494">
        <w:rPr>
          <w:rFonts w:cs="Arial" w:hint="cs"/>
          <w:sz w:val="18"/>
          <w:szCs w:val="18"/>
          <w:rtl/>
        </w:rPr>
        <w:t>עצמו</w:t>
      </w:r>
      <w:r w:rsidRPr="00C03494">
        <w:rPr>
          <w:rFonts w:cs="Arial"/>
          <w:sz w:val="18"/>
          <w:szCs w:val="18"/>
          <w:rtl/>
        </w:rPr>
        <w:t xml:space="preserve"> </w:t>
      </w:r>
      <w:r w:rsidRPr="00C03494">
        <w:rPr>
          <w:rFonts w:cs="Arial" w:hint="cs"/>
          <w:sz w:val="18"/>
          <w:szCs w:val="18"/>
          <w:rtl/>
        </w:rPr>
        <w:t>בשני</w:t>
      </w:r>
      <w:r w:rsidRPr="00C03494">
        <w:rPr>
          <w:rFonts w:cs="Arial"/>
          <w:sz w:val="18"/>
          <w:szCs w:val="18"/>
          <w:rtl/>
        </w:rPr>
        <w:t xml:space="preserve"> </w:t>
      </w:r>
      <w:r w:rsidRPr="00C03494">
        <w:rPr>
          <w:rFonts w:cs="Arial" w:hint="cs"/>
          <w:sz w:val="18"/>
          <w:szCs w:val="18"/>
          <w:rtl/>
        </w:rPr>
        <w:t>השמות</w:t>
      </w:r>
      <w:r w:rsidRPr="00C03494">
        <w:rPr>
          <w:rFonts w:cs="Arial"/>
          <w:sz w:val="18"/>
          <w:szCs w:val="18"/>
          <w:rtl/>
        </w:rPr>
        <w:t xml:space="preserve"> </w:t>
      </w:r>
      <w:r w:rsidRPr="00C03494">
        <w:rPr>
          <w:rFonts w:cs="Arial" w:hint="cs"/>
          <w:sz w:val="18"/>
          <w:szCs w:val="18"/>
          <w:rtl/>
        </w:rPr>
        <w:t>בלא</w:t>
      </w:r>
      <w:r w:rsidRPr="00C03494">
        <w:rPr>
          <w:rFonts w:cs="Arial"/>
          <w:sz w:val="18"/>
          <w:szCs w:val="18"/>
          <w:rtl/>
        </w:rPr>
        <w:t xml:space="preserve"> </w:t>
      </w:r>
      <w:r w:rsidRPr="00C03494">
        <w:rPr>
          <w:rFonts w:cs="Arial" w:hint="cs"/>
          <w:sz w:val="18"/>
          <w:szCs w:val="18"/>
          <w:rtl/>
        </w:rPr>
        <w:t>מתקרי</w:t>
      </w:r>
      <w:r w:rsidRPr="00C03494">
        <w:rPr>
          <w:rFonts w:cs="Arial"/>
          <w:sz w:val="18"/>
          <w:szCs w:val="18"/>
          <w:rtl/>
        </w:rPr>
        <w:t xml:space="preserve">. </w:t>
      </w:r>
      <w:r w:rsidRPr="00C03494">
        <w:rPr>
          <w:rFonts w:cs="Arial" w:hint="cs"/>
          <w:sz w:val="18"/>
          <w:szCs w:val="18"/>
          <w:rtl/>
        </w:rPr>
        <w:t>מי</w:t>
      </w:r>
      <w:r w:rsidRPr="00C03494">
        <w:rPr>
          <w:rFonts w:cs="Arial"/>
          <w:sz w:val="18"/>
          <w:szCs w:val="18"/>
          <w:rtl/>
        </w:rPr>
        <w:t xml:space="preserve"> </w:t>
      </w:r>
      <w:r w:rsidRPr="00C03494">
        <w:rPr>
          <w:rFonts w:cs="Arial" w:hint="cs"/>
          <w:sz w:val="18"/>
          <w:szCs w:val="18"/>
          <w:rtl/>
        </w:rPr>
        <w:t>שנשתנה</w:t>
      </w:r>
      <w:r w:rsidRPr="00C03494">
        <w:rPr>
          <w:rFonts w:cs="Arial"/>
          <w:sz w:val="18"/>
          <w:szCs w:val="18"/>
          <w:rtl/>
        </w:rPr>
        <w:t xml:space="preserve"> </w:t>
      </w:r>
      <w:r w:rsidRPr="00C03494">
        <w:rPr>
          <w:rFonts w:cs="Arial" w:hint="cs"/>
          <w:sz w:val="18"/>
          <w:szCs w:val="18"/>
          <w:rtl/>
        </w:rPr>
        <w:t>שמו</w:t>
      </w:r>
      <w:r w:rsidRPr="00C03494">
        <w:rPr>
          <w:rFonts w:cs="Arial"/>
          <w:sz w:val="18"/>
          <w:szCs w:val="18"/>
          <w:rtl/>
        </w:rPr>
        <w:t xml:space="preserve"> </w:t>
      </w:r>
      <w:r w:rsidRPr="00C03494">
        <w:rPr>
          <w:rFonts w:cs="Arial" w:hint="cs"/>
          <w:sz w:val="18"/>
          <w:szCs w:val="18"/>
          <w:rtl/>
        </w:rPr>
        <w:t>מחמת</w:t>
      </w:r>
      <w:r w:rsidRPr="00C03494">
        <w:rPr>
          <w:rFonts w:cs="Arial"/>
          <w:sz w:val="18"/>
          <w:szCs w:val="18"/>
          <w:rtl/>
        </w:rPr>
        <w:t xml:space="preserve"> </w:t>
      </w:r>
      <w:r w:rsidRPr="00C03494">
        <w:rPr>
          <w:rFonts w:cs="Arial" w:hint="cs"/>
          <w:sz w:val="18"/>
          <w:szCs w:val="18"/>
          <w:rtl/>
        </w:rPr>
        <w:t>חולי</w:t>
      </w:r>
      <w:r w:rsidRPr="00C03494">
        <w:rPr>
          <w:rFonts w:cs="Arial"/>
          <w:sz w:val="18"/>
          <w:szCs w:val="18"/>
          <w:rtl/>
        </w:rPr>
        <w:t xml:space="preserve">, </w:t>
      </w:r>
      <w:r w:rsidRPr="00C03494">
        <w:rPr>
          <w:rFonts w:cs="Arial" w:hint="cs"/>
          <w:sz w:val="18"/>
          <w:szCs w:val="18"/>
          <w:rtl/>
        </w:rPr>
        <w:t>ויש</w:t>
      </w:r>
      <w:r w:rsidRPr="00C03494">
        <w:rPr>
          <w:rFonts w:cs="Arial"/>
          <w:sz w:val="18"/>
          <w:szCs w:val="18"/>
          <w:rtl/>
        </w:rPr>
        <w:t xml:space="preserve"> </w:t>
      </w:r>
      <w:r w:rsidRPr="00C03494">
        <w:rPr>
          <w:rFonts w:cs="Arial" w:hint="cs"/>
          <w:sz w:val="18"/>
          <w:szCs w:val="18"/>
          <w:rtl/>
        </w:rPr>
        <w:t>לו</w:t>
      </w:r>
      <w:r w:rsidRPr="00C03494">
        <w:rPr>
          <w:rFonts w:cs="Arial"/>
          <w:sz w:val="18"/>
          <w:szCs w:val="18"/>
          <w:rtl/>
        </w:rPr>
        <w:t xml:space="preserve"> </w:t>
      </w:r>
      <w:r w:rsidRPr="00C03494">
        <w:rPr>
          <w:rFonts w:cs="Arial" w:hint="cs"/>
          <w:sz w:val="18"/>
          <w:szCs w:val="18"/>
          <w:rtl/>
        </w:rPr>
        <w:t>כינוי</w:t>
      </w:r>
      <w:r w:rsidRPr="00C03494">
        <w:rPr>
          <w:rFonts w:cs="Arial"/>
          <w:sz w:val="18"/>
          <w:szCs w:val="18"/>
          <w:rtl/>
        </w:rPr>
        <w:t xml:space="preserve"> </w:t>
      </w:r>
      <w:r w:rsidRPr="00C03494">
        <w:rPr>
          <w:rFonts w:cs="Arial" w:hint="cs"/>
          <w:sz w:val="18"/>
          <w:szCs w:val="18"/>
          <w:rtl/>
        </w:rPr>
        <w:t>מחמת</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השני</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השם</w:t>
      </w:r>
      <w:r w:rsidRPr="00C03494">
        <w:rPr>
          <w:rFonts w:cs="Arial"/>
          <w:sz w:val="18"/>
          <w:szCs w:val="18"/>
          <w:rtl/>
        </w:rPr>
        <w:t xml:space="preserve"> </w:t>
      </w:r>
      <w:r w:rsidRPr="00C03494">
        <w:rPr>
          <w:rFonts w:cs="Arial" w:hint="cs"/>
          <w:sz w:val="18"/>
          <w:szCs w:val="18"/>
          <w:rtl/>
        </w:rPr>
        <w:t>עם</w:t>
      </w:r>
      <w:r w:rsidRPr="00C03494">
        <w:rPr>
          <w:rFonts w:cs="Arial"/>
          <w:sz w:val="18"/>
          <w:szCs w:val="18"/>
          <w:rtl/>
        </w:rPr>
        <w:t xml:space="preserve"> </w:t>
      </w:r>
      <w:r w:rsidRPr="00C03494">
        <w:rPr>
          <w:rFonts w:cs="Arial" w:hint="cs"/>
          <w:sz w:val="18"/>
          <w:szCs w:val="18"/>
          <w:rtl/>
        </w:rPr>
        <w:t>כינוייו</w:t>
      </w:r>
      <w:r w:rsidRPr="00C03494">
        <w:rPr>
          <w:rFonts w:cs="Arial"/>
          <w:sz w:val="18"/>
          <w:szCs w:val="18"/>
          <w:rtl/>
        </w:rPr>
        <w:t xml:space="preserve"> </w:t>
      </w:r>
      <w:r w:rsidRPr="00C03494">
        <w:rPr>
          <w:rFonts w:cs="Arial" w:hint="cs"/>
          <w:sz w:val="18"/>
          <w:szCs w:val="18"/>
          <w:rtl/>
        </w:rPr>
        <w:t>קודם</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הראשון</w:t>
      </w:r>
      <w:r w:rsidRPr="00C03494">
        <w:rPr>
          <w:rFonts w:cs="Arial"/>
          <w:sz w:val="18"/>
          <w:szCs w:val="18"/>
          <w:rtl/>
        </w:rPr>
        <w:t xml:space="preserve">. </w:t>
      </w:r>
      <w:r w:rsidRPr="00C03494">
        <w:rPr>
          <w:rFonts w:cs="Arial" w:hint="cs"/>
          <w:sz w:val="18"/>
          <w:szCs w:val="18"/>
          <w:rtl/>
        </w:rPr>
        <w:t>ואם</w:t>
      </w:r>
      <w:r w:rsidRPr="00C03494">
        <w:rPr>
          <w:rFonts w:cs="Arial"/>
          <w:sz w:val="18"/>
          <w:szCs w:val="18"/>
          <w:rtl/>
        </w:rPr>
        <w:t xml:space="preserve"> </w:t>
      </w:r>
      <w:r w:rsidRPr="00C03494">
        <w:rPr>
          <w:rFonts w:cs="Arial" w:hint="cs"/>
          <w:sz w:val="18"/>
          <w:szCs w:val="18"/>
          <w:rtl/>
        </w:rPr>
        <w:t>יש</w:t>
      </w:r>
      <w:r w:rsidRPr="00C03494">
        <w:rPr>
          <w:rFonts w:cs="Arial"/>
          <w:sz w:val="18"/>
          <w:szCs w:val="18"/>
          <w:rtl/>
        </w:rPr>
        <w:t xml:space="preserve"> </w:t>
      </w:r>
      <w:r w:rsidRPr="00C03494">
        <w:rPr>
          <w:rFonts w:cs="Arial" w:hint="cs"/>
          <w:sz w:val="18"/>
          <w:szCs w:val="18"/>
          <w:rtl/>
        </w:rPr>
        <w:t>לו</w:t>
      </w:r>
      <w:r w:rsidRPr="00C03494">
        <w:rPr>
          <w:rFonts w:cs="Arial"/>
          <w:sz w:val="18"/>
          <w:szCs w:val="18"/>
          <w:rtl/>
        </w:rPr>
        <w:t xml:space="preserve"> </w:t>
      </w:r>
      <w:r w:rsidRPr="00C03494">
        <w:rPr>
          <w:rFonts w:cs="Arial" w:hint="cs"/>
          <w:sz w:val="18"/>
          <w:szCs w:val="18"/>
          <w:rtl/>
        </w:rPr>
        <w:t>גם</w:t>
      </w:r>
      <w:r w:rsidRPr="00C03494">
        <w:rPr>
          <w:rFonts w:cs="Arial"/>
          <w:sz w:val="18"/>
          <w:szCs w:val="18"/>
          <w:rtl/>
        </w:rPr>
        <w:t xml:space="preserve"> </w:t>
      </w:r>
      <w:r w:rsidRPr="00C03494">
        <w:rPr>
          <w:rFonts w:cs="Arial" w:hint="cs"/>
          <w:sz w:val="18"/>
          <w:szCs w:val="18"/>
          <w:rtl/>
        </w:rPr>
        <w:t>כן</w:t>
      </w:r>
      <w:r w:rsidRPr="00C03494">
        <w:rPr>
          <w:rFonts w:cs="Arial"/>
          <w:sz w:val="18"/>
          <w:szCs w:val="18"/>
          <w:rtl/>
        </w:rPr>
        <w:t xml:space="preserve"> </w:t>
      </w:r>
      <w:r w:rsidRPr="00C03494">
        <w:rPr>
          <w:rFonts w:cs="Arial" w:hint="cs"/>
          <w:sz w:val="18"/>
          <w:szCs w:val="18"/>
          <w:rtl/>
        </w:rPr>
        <w:t>כינוי</w:t>
      </w:r>
      <w:r w:rsidRPr="00C03494">
        <w:rPr>
          <w:rFonts w:cs="Arial"/>
          <w:sz w:val="18"/>
          <w:szCs w:val="18"/>
          <w:rtl/>
        </w:rPr>
        <w:t xml:space="preserve"> </w:t>
      </w:r>
      <w:r w:rsidRPr="00C03494">
        <w:rPr>
          <w:rFonts w:cs="Arial" w:hint="cs"/>
          <w:sz w:val="18"/>
          <w:szCs w:val="18"/>
          <w:rtl/>
        </w:rPr>
        <w:t>מחמת</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הראשון</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אותו</w:t>
      </w:r>
      <w:r w:rsidRPr="00C03494">
        <w:rPr>
          <w:rFonts w:cs="Arial"/>
          <w:sz w:val="18"/>
          <w:szCs w:val="18"/>
          <w:rtl/>
        </w:rPr>
        <w:t xml:space="preserve"> </w:t>
      </w:r>
      <w:r w:rsidRPr="00C03494">
        <w:rPr>
          <w:rFonts w:cs="Arial" w:hint="cs"/>
          <w:sz w:val="18"/>
          <w:szCs w:val="18"/>
          <w:rtl/>
        </w:rPr>
        <w:t>ג</w:t>
      </w:r>
      <w:r w:rsidRPr="00C03494">
        <w:rPr>
          <w:rFonts w:cs="Arial"/>
          <w:sz w:val="18"/>
          <w:szCs w:val="18"/>
          <w:rtl/>
        </w:rPr>
        <w:t>"</w:t>
      </w:r>
      <w:r w:rsidRPr="00C03494">
        <w:rPr>
          <w:rFonts w:cs="Arial" w:hint="cs"/>
          <w:sz w:val="18"/>
          <w:szCs w:val="18"/>
          <w:rtl/>
        </w:rPr>
        <w:t>כ</w:t>
      </w:r>
      <w:r w:rsidRPr="00C03494">
        <w:rPr>
          <w:rFonts w:cs="Arial"/>
          <w:sz w:val="18"/>
          <w:szCs w:val="18"/>
          <w:rtl/>
        </w:rPr>
        <w:t xml:space="preserve"> </w:t>
      </w:r>
      <w:r w:rsidRPr="00C03494">
        <w:rPr>
          <w:rFonts w:cs="Arial" w:hint="cs"/>
          <w:sz w:val="18"/>
          <w:szCs w:val="18"/>
          <w:rtl/>
        </w:rPr>
        <w:t>לבסוף</w:t>
      </w:r>
      <w:r w:rsidRPr="00C03494">
        <w:rPr>
          <w:rFonts w:cs="Arial"/>
          <w:sz w:val="18"/>
          <w:szCs w:val="18"/>
          <w:rtl/>
        </w:rPr>
        <w:t xml:space="preserve"> (</w:t>
      </w:r>
      <w:r w:rsidRPr="00C03494">
        <w:rPr>
          <w:rFonts w:cs="Arial" w:hint="cs"/>
          <w:sz w:val="18"/>
          <w:szCs w:val="18"/>
          <w:rtl/>
        </w:rPr>
        <w:t>סדר</w:t>
      </w:r>
      <w:r w:rsidRPr="00C03494">
        <w:rPr>
          <w:rFonts w:cs="Arial"/>
          <w:sz w:val="18"/>
          <w:szCs w:val="18"/>
          <w:rtl/>
        </w:rPr>
        <w:t xml:space="preserve"> </w:t>
      </w:r>
      <w:r w:rsidRPr="00C03494">
        <w:rPr>
          <w:rFonts w:cs="Arial" w:hint="cs"/>
          <w:sz w:val="18"/>
          <w:szCs w:val="18"/>
          <w:rtl/>
        </w:rPr>
        <w:t>גיטין</w:t>
      </w:r>
      <w:r w:rsidRPr="00C03494">
        <w:rPr>
          <w:rFonts w:cs="Arial"/>
          <w:sz w:val="18"/>
          <w:szCs w:val="18"/>
          <w:rtl/>
        </w:rPr>
        <w:t xml:space="preserve">). </w:t>
      </w:r>
      <w:r w:rsidRPr="00C03494">
        <w:rPr>
          <w:rFonts w:cs="Arial" w:hint="cs"/>
          <w:sz w:val="18"/>
          <w:szCs w:val="18"/>
          <w:rtl/>
        </w:rPr>
        <w:t>ואם</w:t>
      </w:r>
      <w:r w:rsidRPr="00C03494">
        <w:rPr>
          <w:rFonts w:cs="Arial"/>
          <w:sz w:val="18"/>
          <w:szCs w:val="18"/>
          <w:rtl/>
        </w:rPr>
        <w:t xml:space="preserve"> </w:t>
      </w:r>
      <w:r w:rsidRPr="00C03494">
        <w:rPr>
          <w:rFonts w:cs="Arial" w:hint="cs"/>
          <w:sz w:val="18"/>
          <w:szCs w:val="18"/>
          <w:rtl/>
        </w:rPr>
        <w:t>נשתנה</w:t>
      </w:r>
      <w:r w:rsidRPr="00C03494">
        <w:rPr>
          <w:rFonts w:cs="Arial"/>
          <w:sz w:val="18"/>
          <w:szCs w:val="18"/>
          <w:rtl/>
        </w:rPr>
        <w:t xml:space="preserve"> </w:t>
      </w:r>
      <w:r w:rsidRPr="00C03494">
        <w:rPr>
          <w:rFonts w:cs="Arial" w:hint="cs"/>
          <w:sz w:val="18"/>
          <w:szCs w:val="18"/>
          <w:rtl/>
        </w:rPr>
        <w:t>שמו</w:t>
      </w:r>
      <w:r w:rsidRPr="00C03494">
        <w:rPr>
          <w:rFonts w:cs="Arial"/>
          <w:sz w:val="18"/>
          <w:szCs w:val="18"/>
          <w:rtl/>
        </w:rPr>
        <w:t xml:space="preserve"> </w:t>
      </w:r>
      <w:r w:rsidRPr="00C03494">
        <w:rPr>
          <w:rFonts w:cs="Arial" w:hint="cs"/>
          <w:sz w:val="18"/>
          <w:szCs w:val="18"/>
          <w:rtl/>
        </w:rPr>
        <w:t>שני</w:t>
      </w:r>
      <w:r w:rsidRPr="00C03494">
        <w:rPr>
          <w:rFonts w:cs="Arial"/>
          <w:sz w:val="18"/>
          <w:szCs w:val="18"/>
          <w:rtl/>
        </w:rPr>
        <w:t xml:space="preserve"> </w:t>
      </w:r>
      <w:r w:rsidRPr="00C03494">
        <w:rPr>
          <w:rFonts w:cs="Arial" w:hint="cs"/>
          <w:sz w:val="18"/>
          <w:szCs w:val="18"/>
          <w:rtl/>
        </w:rPr>
        <w:t>פעמים</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השלישי</w:t>
      </w:r>
      <w:r w:rsidRPr="00C03494">
        <w:rPr>
          <w:rFonts w:cs="Arial"/>
          <w:sz w:val="18"/>
          <w:szCs w:val="18"/>
          <w:rtl/>
        </w:rPr>
        <w:t xml:space="preserve"> </w:t>
      </w:r>
      <w:r w:rsidRPr="00C03494">
        <w:rPr>
          <w:rFonts w:cs="Arial" w:hint="cs"/>
          <w:sz w:val="18"/>
          <w:szCs w:val="18"/>
          <w:rtl/>
        </w:rPr>
        <w:t>תחלה</w:t>
      </w:r>
      <w:r w:rsidRPr="00C03494">
        <w:rPr>
          <w:rFonts w:cs="Arial"/>
          <w:sz w:val="18"/>
          <w:szCs w:val="18"/>
          <w:rtl/>
        </w:rPr>
        <w:t xml:space="preserve">, </w:t>
      </w:r>
      <w:r w:rsidRPr="00C03494">
        <w:rPr>
          <w:rFonts w:cs="Arial" w:hint="cs"/>
          <w:sz w:val="18"/>
          <w:szCs w:val="18"/>
          <w:rtl/>
        </w:rPr>
        <w:t>ואח</w:t>
      </w:r>
      <w:r>
        <w:rPr>
          <w:rFonts w:cs="Arial" w:hint="cs"/>
          <w:sz w:val="18"/>
          <w:szCs w:val="18"/>
          <w:rtl/>
        </w:rPr>
        <w:t>"</w:t>
      </w:r>
      <w:r w:rsidRPr="00C03494">
        <w:rPr>
          <w:rFonts w:cs="Arial" w:hint="cs"/>
          <w:sz w:val="18"/>
          <w:szCs w:val="18"/>
          <w:rtl/>
        </w:rPr>
        <w:t>כ</w:t>
      </w:r>
      <w:r w:rsidRPr="00C03494">
        <w:rPr>
          <w:rFonts w:cs="Arial"/>
          <w:sz w:val="18"/>
          <w:szCs w:val="18"/>
          <w:rtl/>
        </w:rPr>
        <w:t xml:space="preserve"> </w:t>
      </w:r>
      <w:r w:rsidRPr="00C03494">
        <w:rPr>
          <w:rFonts w:cs="Arial" w:hint="cs"/>
          <w:sz w:val="18"/>
          <w:szCs w:val="18"/>
          <w:rtl/>
        </w:rPr>
        <w:t>הב</w:t>
      </w:r>
      <w:r w:rsidRPr="00C03494">
        <w:rPr>
          <w:rFonts w:cs="Arial"/>
          <w:sz w:val="18"/>
          <w:szCs w:val="18"/>
          <w:rtl/>
        </w:rPr>
        <w:t xml:space="preserve">', </w:t>
      </w:r>
      <w:r w:rsidRPr="00C03494">
        <w:rPr>
          <w:rFonts w:cs="Arial" w:hint="cs"/>
          <w:sz w:val="18"/>
          <w:szCs w:val="18"/>
          <w:rtl/>
        </w:rPr>
        <w:t>ואח</w:t>
      </w:r>
      <w:r w:rsidRPr="00C03494">
        <w:rPr>
          <w:rFonts w:cs="Arial"/>
          <w:sz w:val="18"/>
          <w:szCs w:val="18"/>
          <w:rtl/>
        </w:rPr>
        <w:t>"</w:t>
      </w:r>
      <w:r w:rsidRPr="00C03494">
        <w:rPr>
          <w:rFonts w:cs="Arial" w:hint="cs"/>
          <w:sz w:val="18"/>
          <w:szCs w:val="18"/>
          <w:rtl/>
        </w:rPr>
        <w:t>כ</w:t>
      </w:r>
      <w:r w:rsidRPr="00C03494">
        <w:rPr>
          <w:rFonts w:cs="Arial"/>
          <w:sz w:val="18"/>
          <w:szCs w:val="18"/>
          <w:rtl/>
        </w:rPr>
        <w:t xml:space="preserve"> </w:t>
      </w:r>
      <w:r w:rsidRPr="00C03494">
        <w:rPr>
          <w:rFonts w:cs="Arial" w:hint="cs"/>
          <w:sz w:val="18"/>
          <w:szCs w:val="18"/>
          <w:rtl/>
        </w:rPr>
        <w:t>הראשון</w:t>
      </w:r>
      <w:r w:rsidRPr="00C03494">
        <w:rPr>
          <w:rFonts w:cs="Arial"/>
          <w:sz w:val="18"/>
          <w:szCs w:val="18"/>
          <w:rtl/>
        </w:rPr>
        <w:t xml:space="preserve">, </w:t>
      </w:r>
      <w:r w:rsidRPr="00C03494">
        <w:rPr>
          <w:rFonts w:cs="Arial" w:hint="cs"/>
          <w:sz w:val="18"/>
          <w:szCs w:val="18"/>
          <w:rtl/>
        </w:rPr>
        <w:t>וכותבין</w:t>
      </w:r>
      <w:r w:rsidRPr="00C03494">
        <w:rPr>
          <w:rFonts w:cs="Arial"/>
          <w:sz w:val="18"/>
          <w:szCs w:val="18"/>
          <w:rtl/>
        </w:rPr>
        <w:t xml:space="preserve"> </w:t>
      </w:r>
      <w:r w:rsidRPr="00C03494">
        <w:rPr>
          <w:rFonts w:cs="Arial" w:hint="cs"/>
          <w:sz w:val="18"/>
          <w:szCs w:val="18"/>
          <w:rtl/>
        </w:rPr>
        <w:t>כל</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עם</w:t>
      </w:r>
      <w:r w:rsidRPr="00C03494">
        <w:rPr>
          <w:rFonts w:cs="Arial"/>
          <w:sz w:val="18"/>
          <w:szCs w:val="18"/>
          <w:rtl/>
        </w:rPr>
        <w:t xml:space="preserve"> </w:t>
      </w:r>
      <w:r w:rsidRPr="00C03494">
        <w:rPr>
          <w:rFonts w:cs="Arial" w:hint="cs"/>
          <w:sz w:val="18"/>
          <w:szCs w:val="18"/>
          <w:rtl/>
        </w:rPr>
        <w:t>כינוי</w:t>
      </w:r>
      <w:r w:rsidRPr="00C03494">
        <w:rPr>
          <w:rFonts w:cs="Arial"/>
          <w:sz w:val="18"/>
          <w:szCs w:val="18"/>
          <w:rtl/>
        </w:rPr>
        <w:t xml:space="preserve"> </w:t>
      </w:r>
      <w:r w:rsidRPr="00C03494">
        <w:rPr>
          <w:rFonts w:cs="Arial" w:hint="cs"/>
          <w:sz w:val="18"/>
          <w:szCs w:val="18"/>
          <w:rtl/>
        </w:rPr>
        <w:t>שלו</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p>
    <w:p w14:paraId="1BD4A6F5" w14:textId="77777777" w:rsidR="00FA2119" w:rsidRPr="00C03494" w:rsidRDefault="00FA2119" w:rsidP="00FA2119">
      <w:pPr>
        <w:rPr>
          <w:rtl/>
        </w:rPr>
      </w:pPr>
    </w:p>
    <w:p w14:paraId="4815D8C6" w14:textId="77777777" w:rsidR="00FA2119" w:rsidRDefault="00FA2119" w:rsidP="00FA2119">
      <w:pPr>
        <w:pStyle w:val="2"/>
        <w:rPr>
          <w:rtl/>
        </w:rPr>
      </w:pPr>
      <w:r>
        <w:rPr>
          <w:rFonts w:hint="cs"/>
          <w:rtl/>
        </w:rPr>
        <w:t>סעיף</w:t>
      </w:r>
      <w:r>
        <w:rPr>
          <w:rtl/>
        </w:rPr>
        <w:t xml:space="preserve"> </w:t>
      </w:r>
      <w:r>
        <w:rPr>
          <w:rFonts w:hint="cs"/>
          <w:rtl/>
        </w:rPr>
        <w:t>יט: נתינת ב' גיטין ביחד.</w:t>
      </w:r>
    </w:p>
    <w:p w14:paraId="092A009F" w14:textId="2EF0D871" w:rsidR="00FA2119" w:rsidRDefault="00FA2119" w:rsidP="00FA2119">
      <w:pPr>
        <w:rPr>
          <w:rFonts w:cs="Arial"/>
          <w:rtl/>
        </w:rPr>
      </w:pPr>
      <w:r w:rsidRPr="007103EE">
        <w:rPr>
          <w:rFonts w:cs="Arial"/>
          <w:u w:val="single"/>
          <w:rtl/>
        </w:rPr>
        <w:t xml:space="preserve">כשנותנין ב' גיטין לאשה אחת </w:t>
      </w:r>
      <w:r w:rsidR="00A82951">
        <w:rPr>
          <w:rFonts w:cs="Arial" w:hint="cs"/>
          <w:u w:val="single"/>
          <w:rtl/>
        </w:rPr>
        <w:t>-</w:t>
      </w:r>
      <w:r>
        <w:rPr>
          <w:rFonts w:cs="Arial" w:hint="cs"/>
          <w:u w:val="single"/>
          <w:rtl/>
        </w:rPr>
        <w:t xml:space="preserve"> </w:t>
      </w:r>
      <w:r w:rsidRPr="007103EE">
        <w:rPr>
          <w:rFonts w:cs="Arial"/>
          <w:u w:val="single"/>
          <w:rtl/>
        </w:rPr>
        <w:t>צריך ליתן זה אחר זה</w:t>
      </w:r>
      <w:r w:rsidRPr="007103EE">
        <w:rPr>
          <w:rFonts w:cs="Arial" w:hint="cs"/>
          <w:u w:val="single"/>
          <w:rtl/>
        </w:rPr>
        <w:t>:</w:t>
      </w:r>
      <w:r w:rsidRPr="00C164D0">
        <w:rPr>
          <w:rFonts w:cs="Arial"/>
          <w:rtl/>
        </w:rPr>
        <w:t xml:space="preserve"> </w:t>
      </w:r>
    </w:p>
    <w:p w14:paraId="2B667B53" w14:textId="72D89FAF" w:rsidR="00FA2119" w:rsidRDefault="00FA2119" w:rsidP="00FA2119">
      <w:pPr>
        <w:pStyle w:val="ab"/>
        <w:numPr>
          <w:ilvl w:val="0"/>
          <w:numId w:val="79"/>
        </w:numPr>
        <w:rPr>
          <w:rFonts w:cs="Arial"/>
        </w:rPr>
      </w:pPr>
      <w:r w:rsidRPr="001842CD">
        <w:rPr>
          <w:rFonts w:cs="Arial"/>
          <w:rtl/>
        </w:rPr>
        <w:t>מהר</w:t>
      </w:r>
      <w:r w:rsidRPr="001842CD">
        <w:rPr>
          <w:rFonts w:cs="Arial" w:hint="cs"/>
          <w:rtl/>
        </w:rPr>
        <w:t>י"ו</w:t>
      </w:r>
      <w:r w:rsidRPr="007D1AAB">
        <w:rPr>
          <w:rFonts w:cs="Arial"/>
          <w:sz w:val="16"/>
          <w:szCs w:val="16"/>
          <w:rtl/>
        </w:rPr>
        <w:t xml:space="preserve"> (סי</w:t>
      </w:r>
      <w:r w:rsidRPr="007D1AAB">
        <w:rPr>
          <w:rFonts w:cs="Arial" w:hint="cs"/>
          <w:sz w:val="16"/>
          <w:szCs w:val="16"/>
          <w:rtl/>
        </w:rPr>
        <w:t>'</w:t>
      </w:r>
      <w:r w:rsidRPr="007D1AAB">
        <w:rPr>
          <w:rFonts w:cs="Arial"/>
          <w:sz w:val="16"/>
          <w:szCs w:val="16"/>
          <w:rtl/>
        </w:rPr>
        <w:t xml:space="preserve"> קפא)</w:t>
      </w:r>
      <w:r w:rsidR="00A82951">
        <w:rPr>
          <w:rFonts w:cs="Arial" w:hint="cs"/>
          <w:rtl/>
        </w:rPr>
        <w:t>-</w:t>
      </w:r>
      <w:r w:rsidRPr="001842CD">
        <w:rPr>
          <w:rFonts w:cs="Arial"/>
          <w:rtl/>
        </w:rPr>
        <w:t xml:space="preserve"> כשנותנין ב' גיטין לאשה אחת צריך ליתן זה אחר זה</w:t>
      </w:r>
      <w:r>
        <w:rPr>
          <w:rFonts w:cs="Arial" w:hint="cs"/>
          <w:rtl/>
        </w:rPr>
        <w:t>,</w:t>
      </w:r>
      <w:r w:rsidRPr="001842CD">
        <w:rPr>
          <w:rFonts w:cs="Arial"/>
          <w:rtl/>
        </w:rPr>
        <w:t xml:space="preserve"> דאם יתן לה שתיהן בבת אחת דילמא דעתיה אההוא גיטא דלאו גיטא הוא</w:t>
      </w:r>
      <w:r>
        <w:rPr>
          <w:rStyle w:val="a7"/>
          <w:rFonts w:cs="Arial"/>
          <w:rtl/>
        </w:rPr>
        <w:footnoteReference w:id="1153"/>
      </w:r>
      <w:r>
        <w:rPr>
          <w:rFonts w:cs="Arial" w:hint="cs"/>
          <w:rtl/>
        </w:rPr>
        <w:t>.</w:t>
      </w:r>
      <w:r w:rsidRPr="0066234F">
        <w:rPr>
          <w:rFonts w:cs="Arial" w:hint="cs"/>
          <w:color w:val="E36C0A" w:themeColor="accent6" w:themeShade="BF"/>
          <w:rtl/>
        </w:rPr>
        <w:t xml:space="preserve"> </w:t>
      </w:r>
      <w:r w:rsidRPr="00DD696F">
        <w:rPr>
          <w:rFonts w:cs="Arial" w:hint="cs"/>
          <w:color w:val="E36C0A" w:themeColor="accent6" w:themeShade="BF"/>
          <w:rtl/>
        </w:rPr>
        <w:t>(וכ"</w:t>
      </w:r>
      <w:r>
        <w:rPr>
          <w:rFonts w:cs="Arial" w:hint="cs"/>
          <w:color w:val="E36C0A" w:themeColor="accent6" w:themeShade="BF"/>
          <w:rtl/>
        </w:rPr>
        <w:t>כ</w:t>
      </w:r>
      <w:r w:rsidRPr="00DD696F">
        <w:rPr>
          <w:rFonts w:cs="Arial" w:hint="cs"/>
          <w:color w:val="E36C0A" w:themeColor="accent6" w:themeShade="BF"/>
          <w:rtl/>
        </w:rPr>
        <w:t xml:space="preserve"> בשו"ע)</w:t>
      </w:r>
    </w:p>
    <w:p w14:paraId="1595F566" w14:textId="230A6F4F" w:rsidR="00FA2119" w:rsidRPr="00D3264D" w:rsidRDefault="00FA2119" w:rsidP="00FA2119">
      <w:pPr>
        <w:pStyle w:val="ab"/>
        <w:numPr>
          <w:ilvl w:val="0"/>
          <w:numId w:val="79"/>
        </w:numPr>
        <w:rPr>
          <w:rFonts w:cs="Arial"/>
          <w:rtl/>
        </w:rPr>
      </w:pPr>
      <w:r>
        <w:rPr>
          <w:rFonts w:cs="Arial" w:hint="cs"/>
          <w:rtl/>
        </w:rPr>
        <w:t xml:space="preserve">תרוה"ד </w:t>
      </w:r>
      <w:r>
        <w:rPr>
          <w:rFonts w:cs="Arial" w:hint="cs"/>
          <w:sz w:val="16"/>
          <w:szCs w:val="16"/>
          <w:rtl/>
        </w:rPr>
        <w:t>(סי' רלג)</w:t>
      </w:r>
      <w:r w:rsidR="00A82951">
        <w:rPr>
          <w:rFonts w:cs="Arial" w:hint="cs"/>
          <w:rtl/>
        </w:rPr>
        <w:t>-</w:t>
      </w:r>
      <w:r>
        <w:rPr>
          <w:rFonts w:cs="Arial" w:hint="cs"/>
          <w:rtl/>
        </w:rPr>
        <w:t xml:space="preserve"> </w:t>
      </w:r>
      <w:r w:rsidRPr="007635CB">
        <w:rPr>
          <w:rFonts w:cs="Arial"/>
          <w:rtl/>
        </w:rPr>
        <w:t>אמנם אם יסתפק לאחד בשם מן השמות שלא יוכל לברר בדעתו היאך יכתוב אפשר לו לצאת ידי כל חובתו כגון שיכתוב שני גיטין</w:t>
      </w:r>
      <w:r>
        <w:rPr>
          <w:rFonts w:cs="Arial" w:hint="cs"/>
          <w:rtl/>
        </w:rPr>
        <w:t>,</w:t>
      </w:r>
      <w:r w:rsidRPr="007635CB">
        <w:rPr>
          <w:rFonts w:cs="Arial"/>
          <w:rtl/>
        </w:rPr>
        <w:t xml:space="preserve"> אחד בצורת שם זה ואחד בצורת שם זה</w:t>
      </w:r>
      <w:r>
        <w:rPr>
          <w:rFonts w:cs="Arial" w:hint="cs"/>
          <w:rtl/>
        </w:rPr>
        <w:t>,</w:t>
      </w:r>
      <w:r w:rsidRPr="007635CB">
        <w:rPr>
          <w:rFonts w:cs="Arial"/>
          <w:rtl/>
        </w:rPr>
        <w:t xml:space="preserve"> כגון אם מסופק ששמו גרשום או גרשון</w:t>
      </w:r>
      <w:r>
        <w:rPr>
          <w:rFonts w:cs="Arial" w:hint="cs"/>
          <w:rtl/>
        </w:rPr>
        <w:t>.</w:t>
      </w:r>
      <w:r w:rsidRPr="007635CB">
        <w:rPr>
          <w:rFonts w:cs="Arial"/>
          <w:rtl/>
        </w:rPr>
        <w:t xml:space="preserve"> וכן עשה אדם גדול בזמנינו ונתן שני גיטין ביד האשה בבת אחת או בזה אחר זה</w:t>
      </w:r>
      <w:r>
        <w:rPr>
          <w:rFonts w:cs="Arial" w:hint="cs"/>
          <w:rtl/>
        </w:rPr>
        <w:t xml:space="preserve"> </w:t>
      </w:r>
      <w:r w:rsidR="00A82951">
        <w:rPr>
          <w:rFonts w:cs="Arial" w:hint="cs"/>
          <w:rtl/>
        </w:rPr>
        <w:t>-</w:t>
      </w:r>
      <w:r w:rsidRPr="007635CB">
        <w:rPr>
          <w:rFonts w:cs="Arial"/>
          <w:rtl/>
        </w:rPr>
        <w:t xml:space="preserve"> ואז היא מגורשת ממה נפשך</w:t>
      </w:r>
      <w:r>
        <w:rPr>
          <w:rFonts w:cs="Arial" w:hint="cs"/>
          <w:rtl/>
        </w:rPr>
        <w:t>.</w:t>
      </w:r>
    </w:p>
    <w:p w14:paraId="34F40027"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FB6B78E" w14:textId="129BBA99" w:rsidR="00FA2119" w:rsidRDefault="00FA2119" w:rsidP="00FA2119">
      <w:pPr>
        <w:rPr>
          <w:rtl/>
        </w:rPr>
      </w:pPr>
      <w:r>
        <w:rPr>
          <w:rFonts w:cs="Arial" w:hint="cs"/>
          <w:rtl/>
        </w:rPr>
        <w:t>ויש</w:t>
      </w:r>
      <w:r>
        <w:rPr>
          <w:rFonts w:cs="Arial"/>
          <w:rtl/>
        </w:rPr>
        <w:t xml:space="preserve"> </w:t>
      </w:r>
      <w:r>
        <w:rPr>
          <w:rFonts w:cs="Arial" w:hint="cs"/>
          <w:rtl/>
        </w:rPr>
        <w:t>מי</w:t>
      </w:r>
      <w:r>
        <w:rPr>
          <w:rFonts w:cs="Arial"/>
          <w:rtl/>
        </w:rPr>
        <w:t xml:space="preserve"> </w:t>
      </w:r>
      <w:r>
        <w:rPr>
          <w:rFonts w:cs="Arial" w:hint="cs"/>
          <w:rtl/>
        </w:rPr>
        <w:t>שאומר</w:t>
      </w:r>
      <w:r>
        <w:rPr>
          <w:rFonts w:cs="Arial"/>
          <w:rtl/>
        </w:rPr>
        <w:t xml:space="preserve"> </w:t>
      </w:r>
      <w:r>
        <w:rPr>
          <w:rFonts w:cs="Arial" w:hint="cs"/>
          <w:rtl/>
        </w:rPr>
        <w:t>שכשנותן</w:t>
      </w:r>
      <w:r>
        <w:rPr>
          <w:rFonts w:cs="Arial"/>
          <w:rtl/>
        </w:rPr>
        <w:t xml:space="preserve"> </w:t>
      </w:r>
      <w:r>
        <w:rPr>
          <w:rFonts w:cs="Arial" w:hint="cs"/>
          <w:rtl/>
        </w:rPr>
        <w:t>שני</w:t>
      </w:r>
      <w:r>
        <w:rPr>
          <w:rFonts w:cs="Arial"/>
          <w:rtl/>
        </w:rPr>
        <w:t xml:space="preserve"> </w:t>
      </w:r>
      <w:r>
        <w:rPr>
          <w:rFonts w:cs="Arial" w:hint="cs"/>
          <w:rtl/>
        </w:rPr>
        <w:t>גיטין</w:t>
      </w:r>
      <w:r>
        <w:rPr>
          <w:rFonts w:cs="Arial"/>
          <w:rtl/>
        </w:rPr>
        <w:t xml:space="preserve"> </w:t>
      </w:r>
      <w:r>
        <w:rPr>
          <w:rFonts w:cs="Arial" w:hint="cs"/>
          <w:rtl/>
        </w:rPr>
        <w:t>לאשה</w:t>
      </w:r>
      <w:r>
        <w:rPr>
          <w:rFonts w:cs="Arial"/>
          <w:rtl/>
        </w:rPr>
        <w:t xml:space="preserve">, </w:t>
      </w:r>
      <w:r>
        <w:rPr>
          <w:rFonts w:cs="Arial" w:hint="cs"/>
          <w:rtl/>
        </w:rPr>
        <w:t>לא</w:t>
      </w:r>
      <w:r>
        <w:rPr>
          <w:rFonts w:cs="Arial"/>
          <w:rtl/>
        </w:rPr>
        <w:t xml:space="preserve"> </w:t>
      </w:r>
      <w:r>
        <w:rPr>
          <w:rFonts w:cs="Arial" w:hint="cs"/>
          <w:rtl/>
        </w:rPr>
        <w:t>יתן</w:t>
      </w:r>
      <w:r>
        <w:rPr>
          <w:rFonts w:cs="Arial"/>
          <w:rtl/>
        </w:rPr>
        <w:t xml:space="preserve"> </w:t>
      </w:r>
      <w:r>
        <w:rPr>
          <w:rFonts w:cs="Arial" w:hint="cs"/>
          <w:rtl/>
        </w:rPr>
        <w:t>לה</w:t>
      </w:r>
      <w:r>
        <w:rPr>
          <w:rFonts w:cs="Arial"/>
          <w:rtl/>
        </w:rPr>
        <w:t xml:space="preserve"> </w:t>
      </w:r>
      <w:r>
        <w:rPr>
          <w:rFonts w:cs="Arial" w:hint="cs"/>
          <w:rtl/>
        </w:rPr>
        <w:t>שניהם</w:t>
      </w:r>
      <w:r>
        <w:rPr>
          <w:rFonts w:cs="Arial"/>
          <w:rtl/>
        </w:rPr>
        <w:t xml:space="preserve"> </w:t>
      </w:r>
      <w:r>
        <w:rPr>
          <w:rFonts w:cs="Arial" w:hint="cs"/>
          <w:rtl/>
        </w:rPr>
        <w:t>בבת</w:t>
      </w:r>
      <w:r>
        <w:rPr>
          <w:rFonts w:cs="Arial"/>
          <w:rtl/>
        </w:rPr>
        <w:t xml:space="preserve"> </w:t>
      </w:r>
      <w:r>
        <w:rPr>
          <w:rFonts w:cs="Arial" w:hint="cs"/>
          <w:rtl/>
        </w:rPr>
        <w:t>אחת</w:t>
      </w:r>
      <w:r>
        <w:rPr>
          <w:rFonts w:cs="Arial"/>
          <w:rtl/>
        </w:rPr>
        <w:t xml:space="preserve">, </w:t>
      </w:r>
      <w:r>
        <w:rPr>
          <w:rFonts w:cs="Arial" w:hint="cs"/>
          <w:rtl/>
        </w:rPr>
        <w:t>אלא</w:t>
      </w:r>
      <w:r>
        <w:rPr>
          <w:rFonts w:cs="Arial"/>
          <w:rtl/>
        </w:rPr>
        <w:t xml:space="preserve"> </w:t>
      </w:r>
      <w:r>
        <w:rPr>
          <w:rFonts w:cs="Arial" w:hint="cs"/>
          <w:rtl/>
        </w:rPr>
        <w:t>זה</w:t>
      </w:r>
      <w:r>
        <w:rPr>
          <w:rFonts w:cs="Arial"/>
          <w:rtl/>
        </w:rPr>
        <w:t xml:space="preserve"> </w:t>
      </w:r>
      <w:r>
        <w:rPr>
          <w:rFonts w:cs="Arial" w:hint="cs"/>
          <w:rtl/>
        </w:rPr>
        <w:t>אחר</w:t>
      </w:r>
      <w:r>
        <w:rPr>
          <w:rFonts w:cs="Arial"/>
          <w:rtl/>
        </w:rPr>
        <w:t xml:space="preserve"> </w:t>
      </w:r>
      <w:r>
        <w:rPr>
          <w:rFonts w:cs="Arial" w:hint="cs"/>
          <w:rtl/>
        </w:rPr>
        <w:t>זה</w:t>
      </w:r>
      <w:r>
        <w:rPr>
          <w:rFonts w:cs="Arial"/>
          <w:rtl/>
        </w:rPr>
        <w:t xml:space="preserve">. </w:t>
      </w:r>
      <w:r w:rsidRPr="00C03494">
        <w:rPr>
          <w:rFonts w:cs="Arial" w:hint="cs"/>
          <w:sz w:val="18"/>
          <w:szCs w:val="18"/>
          <w:rtl/>
        </w:rPr>
        <w:t>הגה</w:t>
      </w:r>
      <w:r w:rsidRPr="00C03494">
        <w:rPr>
          <w:rFonts w:cs="Arial"/>
          <w:sz w:val="18"/>
          <w:szCs w:val="18"/>
          <w:rtl/>
        </w:rPr>
        <w:t xml:space="preserve">: </w:t>
      </w:r>
      <w:r w:rsidRPr="00C03494">
        <w:rPr>
          <w:rFonts w:cs="Arial" w:hint="cs"/>
          <w:sz w:val="18"/>
          <w:szCs w:val="18"/>
          <w:rtl/>
        </w:rPr>
        <w:t>ואין</w:t>
      </w:r>
      <w:r w:rsidRPr="00C03494">
        <w:rPr>
          <w:rFonts w:cs="Arial"/>
          <w:sz w:val="18"/>
          <w:szCs w:val="18"/>
          <w:rtl/>
        </w:rPr>
        <w:t xml:space="preserve"> </w:t>
      </w:r>
      <w:r w:rsidRPr="00C03494">
        <w:rPr>
          <w:rFonts w:cs="Arial" w:hint="cs"/>
          <w:sz w:val="18"/>
          <w:szCs w:val="18"/>
          <w:rtl/>
        </w:rPr>
        <w:t>לתת</w:t>
      </w:r>
      <w:r w:rsidRPr="00C03494">
        <w:rPr>
          <w:rFonts w:cs="Arial"/>
          <w:sz w:val="18"/>
          <w:szCs w:val="18"/>
          <w:rtl/>
        </w:rPr>
        <w:t xml:space="preserve"> </w:t>
      </w:r>
      <w:r w:rsidRPr="00C03494">
        <w:rPr>
          <w:rFonts w:cs="Arial" w:hint="cs"/>
          <w:sz w:val="18"/>
          <w:szCs w:val="18"/>
          <w:rtl/>
        </w:rPr>
        <w:t>שני</w:t>
      </w:r>
      <w:r w:rsidRPr="00C03494">
        <w:rPr>
          <w:rFonts w:cs="Arial"/>
          <w:sz w:val="18"/>
          <w:szCs w:val="18"/>
          <w:rtl/>
        </w:rPr>
        <w:t xml:space="preserve"> </w:t>
      </w:r>
      <w:r w:rsidRPr="00C03494">
        <w:rPr>
          <w:rFonts w:cs="Arial" w:hint="cs"/>
          <w:sz w:val="18"/>
          <w:szCs w:val="18"/>
          <w:rtl/>
        </w:rPr>
        <w:t>גיטין</w:t>
      </w:r>
      <w:r w:rsidRPr="00C03494">
        <w:rPr>
          <w:rFonts w:cs="Arial"/>
          <w:sz w:val="18"/>
          <w:szCs w:val="18"/>
          <w:rtl/>
        </w:rPr>
        <w:t xml:space="preserve"> </w:t>
      </w:r>
      <w:r w:rsidRPr="00C03494">
        <w:rPr>
          <w:rFonts w:cs="Arial" w:hint="cs"/>
          <w:sz w:val="18"/>
          <w:szCs w:val="18"/>
          <w:rtl/>
        </w:rPr>
        <w:t>אלא</w:t>
      </w:r>
      <w:r w:rsidRPr="00C03494">
        <w:rPr>
          <w:rFonts w:cs="Arial"/>
          <w:sz w:val="18"/>
          <w:szCs w:val="18"/>
          <w:rtl/>
        </w:rPr>
        <w:t xml:space="preserve"> </w:t>
      </w:r>
      <w:r w:rsidRPr="00C03494">
        <w:rPr>
          <w:rFonts w:cs="Arial" w:hint="cs"/>
          <w:sz w:val="18"/>
          <w:szCs w:val="18"/>
          <w:rtl/>
        </w:rPr>
        <w:t>מדוחק</w:t>
      </w:r>
      <w:r w:rsidRPr="00C03494">
        <w:rPr>
          <w:rFonts w:cs="Arial"/>
          <w:sz w:val="18"/>
          <w:szCs w:val="18"/>
          <w:rtl/>
        </w:rPr>
        <w:t xml:space="preserve">. </w:t>
      </w:r>
      <w:r w:rsidRPr="00C03494">
        <w:rPr>
          <w:rFonts w:cs="Arial" w:hint="cs"/>
          <w:sz w:val="18"/>
          <w:szCs w:val="18"/>
          <w:rtl/>
        </w:rPr>
        <w:t>ויתן</w:t>
      </w:r>
      <w:r w:rsidRPr="00C03494">
        <w:rPr>
          <w:rFonts w:cs="Arial"/>
          <w:sz w:val="18"/>
          <w:szCs w:val="18"/>
          <w:rtl/>
        </w:rPr>
        <w:t xml:space="preserve"> </w:t>
      </w:r>
      <w:r w:rsidRPr="00C03494">
        <w:rPr>
          <w:rFonts w:cs="Arial" w:hint="cs"/>
          <w:sz w:val="18"/>
          <w:szCs w:val="18"/>
          <w:rtl/>
        </w:rPr>
        <w:t>אותו</w:t>
      </w:r>
      <w:r w:rsidRPr="00C03494">
        <w:rPr>
          <w:rFonts w:cs="Arial"/>
          <w:sz w:val="18"/>
          <w:szCs w:val="18"/>
          <w:rtl/>
        </w:rPr>
        <w:t xml:space="preserve"> </w:t>
      </w:r>
      <w:r w:rsidRPr="00C03494">
        <w:rPr>
          <w:rFonts w:cs="Arial" w:hint="cs"/>
          <w:sz w:val="18"/>
          <w:szCs w:val="18"/>
          <w:rtl/>
        </w:rPr>
        <w:t>גט</w:t>
      </w:r>
      <w:r w:rsidRPr="00C03494">
        <w:rPr>
          <w:rFonts w:cs="Arial"/>
          <w:sz w:val="18"/>
          <w:szCs w:val="18"/>
          <w:rtl/>
        </w:rPr>
        <w:t xml:space="preserve"> </w:t>
      </w:r>
      <w:r w:rsidRPr="00C03494">
        <w:rPr>
          <w:rFonts w:cs="Arial" w:hint="cs"/>
          <w:sz w:val="18"/>
          <w:szCs w:val="18"/>
          <w:rtl/>
        </w:rPr>
        <w:t>שנראה</w:t>
      </w:r>
      <w:r w:rsidRPr="00C03494">
        <w:rPr>
          <w:rFonts w:cs="Arial"/>
          <w:sz w:val="18"/>
          <w:szCs w:val="18"/>
          <w:rtl/>
        </w:rPr>
        <w:t xml:space="preserve"> </w:t>
      </w:r>
      <w:r w:rsidRPr="00C03494">
        <w:rPr>
          <w:rFonts w:cs="Arial" w:hint="cs"/>
          <w:sz w:val="18"/>
          <w:szCs w:val="18"/>
          <w:rtl/>
        </w:rPr>
        <w:t>לו</w:t>
      </w:r>
      <w:r w:rsidRPr="00C03494">
        <w:rPr>
          <w:rFonts w:cs="Arial"/>
          <w:sz w:val="18"/>
          <w:szCs w:val="18"/>
          <w:rtl/>
        </w:rPr>
        <w:t xml:space="preserve"> </w:t>
      </w:r>
      <w:r w:rsidRPr="00C03494">
        <w:rPr>
          <w:rFonts w:cs="Arial" w:hint="cs"/>
          <w:sz w:val="18"/>
          <w:szCs w:val="18"/>
          <w:rtl/>
        </w:rPr>
        <w:t>לרב</w:t>
      </w:r>
      <w:r w:rsidRPr="00C03494">
        <w:rPr>
          <w:rFonts w:cs="Arial"/>
          <w:sz w:val="18"/>
          <w:szCs w:val="18"/>
          <w:rtl/>
        </w:rPr>
        <w:t xml:space="preserve"> </w:t>
      </w:r>
      <w:r w:rsidRPr="00C03494">
        <w:rPr>
          <w:rFonts w:cs="Arial" w:hint="cs"/>
          <w:sz w:val="18"/>
          <w:szCs w:val="18"/>
          <w:rtl/>
        </w:rPr>
        <w:t>יותר</w:t>
      </w:r>
      <w:r w:rsidRPr="00C03494">
        <w:rPr>
          <w:rFonts w:cs="Arial"/>
          <w:sz w:val="18"/>
          <w:szCs w:val="18"/>
          <w:rtl/>
        </w:rPr>
        <w:t xml:space="preserve"> </w:t>
      </w:r>
      <w:r w:rsidRPr="00C03494">
        <w:rPr>
          <w:rFonts w:cs="Arial" w:hint="cs"/>
          <w:sz w:val="18"/>
          <w:szCs w:val="18"/>
          <w:rtl/>
        </w:rPr>
        <w:t>כשר</w:t>
      </w:r>
      <w:r w:rsidRPr="00C03494">
        <w:rPr>
          <w:rFonts w:cs="Arial"/>
          <w:sz w:val="18"/>
          <w:szCs w:val="18"/>
          <w:rtl/>
        </w:rPr>
        <w:t xml:space="preserve"> </w:t>
      </w:r>
      <w:r w:rsidRPr="00C03494">
        <w:rPr>
          <w:rFonts w:cs="Arial" w:hint="cs"/>
          <w:sz w:val="18"/>
          <w:szCs w:val="18"/>
          <w:rtl/>
        </w:rPr>
        <w:t>בתחלה</w:t>
      </w:r>
      <w:r w:rsidRPr="00C03494">
        <w:rPr>
          <w:rFonts w:cs="Arial"/>
          <w:sz w:val="18"/>
          <w:szCs w:val="18"/>
          <w:rtl/>
        </w:rPr>
        <w:t xml:space="preserve">, </w:t>
      </w:r>
      <w:r w:rsidRPr="00C03494">
        <w:rPr>
          <w:rFonts w:cs="Arial" w:hint="cs"/>
          <w:sz w:val="18"/>
          <w:szCs w:val="18"/>
          <w:rtl/>
        </w:rPr>
        <w:t>עם</w:t>
      </w:r>
      <w:r w:rsidRPr="00C03494">
        <w:rPr>
          <w:rFonts w:cs="Arial"/>
          <w:sz w:val="18"/>
          <w:szCs w:val="18"/>
          <w:rtl/>
        </w:rPr>
        <w:t xml:space="preserve"> </w:t>
      </w:r>
      <w:r w:rsidRPr="00C03494">
        <w:rPr>
          <w:rFonts w:cs="Arial" w:hint="cs"/>
          <w:sz w:val="18"/>
          <w:szCs w:val="18"/>
          <w:rtl/>
        </w:rPr>
        <w:t>כל</w:t>
      </w:r>
      <w:r w:rsidRPr="00C03494">
        <w:rPr>
          <w:rFonts w:cs="Arial"/>
          <w:sz w:val="18"/>
          <w:szCs w:val="18"/>
          <w:rtl/>
        </w:rPr>
        <w:t xml:space="preserve"> </w:t>
      </w:r>
      <w:r w:rsidRPr="00C03494">
        <w:rPr>
          <w:rFonts w:cs="Arial" w:hint="cs"/>
          <w:sz w:val="18"/>
          <w:szCs w:val="18"/>
          <w:rtl/>
        </w:rPr>
        <w:t>שאלותיו</w:t>
      </w:r>
      <w:r w:rsidRPr="00C03494">
        <w:rPr>
          <w:rFonts w:cs="Arial"/>
          <w:sz w:val="18"/>
          <w:szCs w:val="18"/>
          <w:rtl/>
        </w:rPr>
        <w:t xml:space="preserve"> </w:t>
      </w:r>
      <w:r w:rsidRPr="00C03494">
        <w:rPr>
          <w:rFonts w:cs="Arial" w:hint="cs"/>
          <w:sz w:val="18"/>
          <w:szCs w:val="18"/>
          <w:rtl/>
        </w:rPr>
        <w:t>וקריאתו</w:t>
      </w:r>
      <w:r w:rsidRPr="00C03494">
        <w:rPr>
          <w:rFonts w:cs="Arial"/>
          <w:sz w:val="18"/>
          <w:szCs w:val="18"/>
          <w:rtl/>
        </w:rPr>
        <w:t xml:space="preserve"> </w:t>
      </w:r>
      <w:r w:rsidRPr="00C03494">
        <w:rPr>
          <w:rFonts w:cs="Arial" w:hint="cs"/>
          <w:sz w:val="18"/>
          <w:szCs w:val="18"/>
          <w:rtl/>
        </w:rPr>
        <w:t>בסדר</w:t>
      </w:r>
      <w:r w:rsidRPr="00C03494">
        <w:rPr>
          <w:rFonts w:cs="Arial"/>
          <w:sz w:val="18"/>
          <w:szCs w:val="18"/>
          <w:rtl/>
        </w:rPr>
        <w:t xml:space="preserve"> </w:t>
      </w:r>
      <w:r w:rsidRPr="00C03494">
        <w:rPr>
          <w:rFonts w:cs="Arial" w:hint="cs"/>
          <w:sz w:val="18"/>
          <w:szCs w:val="18"/>
          <w:rtl/>
        </w:rPr>
        <w:t>הגט</w:t>
      </w:r>
      <w:r w:rsidRPr="00C03494">
        <w:rPr>
          <w:rFonts w:cs="Arial"/>
          <w:sz w:val="18"/>
          <w:szCs w:val="18"/>
          <w:rtl/>
        </w:rPr>
        <w:t xml:space="preserve">, </w:t>
      </w:r>
      <w:r w:rsidRPr="00C03494">
        <w:rPr>
          <w:rFonts w:cs="Arial" w:hint="cs"/>
          <w:sz w:val="18"/>
          <w:szCs w:val="18"/>
          <w:rtl/>
        </w:rPr>
        <w:t>ואח</w:t>
      </w:r>
      <w:r w:rsidR="005D32D3">
        <w:rPr>
          <w:rFonts w:cs="Arial" w:hint="cs"/>
          <w:sz w:val="18"/>
          <w:szCs w:val="18"/>
          <w:rtl/>
        </w:rPr>
        <w:t>"</w:t>
      </w:r>
      <w:r w:rsidRPr="00C03494">
        <w:rPr>
          <w:rFonts w:cs="Arial" w:hint="cs"/>
          <w:sz w:val="18"/>
          <w:szCs w:val="18"/>
          <w:rtl/>
        </w:rPr>
        <w:t>כ</w:t>
      </w:r>
      <w:r w:rsidRPr="00C03494">
        <w:rPr>
          <w:rFonts w:cs="Arial"/>
          <w:sz w:val="18"/>
          <w:szCs w:val="18"/>
          <w:rtl/>
        </w:rPr>
        <w:t xml:space="preserve"> </w:t>
      </w:r>
      <w:r w:rsidRPr="00C03494">
        <w:rPr>
          <w:rFonts w:cs="Arial" w:hint="cs"/>
          <w:sz w:val="18"/>
          <w:szCs w:val="18"/>
          <w:rtl/>
        </w:rPr>
        <w:t>יתן</w:t>
      </w:r>
      <w:r w:rsidRPr="00C03494">
        <w:rPr>
          <w:rFonts w:cs="Arial"/>
          <w:sz w:val="18"/>
          <w:szCs w:val="18"/>
          <w:rtl/>
        </w:rPr>
        <w:t xml:space="preserve"> </w:t>
      </w:r>
      <w:r w:rsidRPr="00C03494">
        <w:rPr>
          <w:rFonts w:cs="Arial" w:hint="cs"/>
          <w:sz w:val="18"/>
          <w:szCs w:val="18"/>
          <w:rtl/>
        </w:rPr>
        <w:t>השני</w:t>
      </w:r>
      <w:r w:rsidRPr="00C03494">
        <w:rPr>
          <w:rFonts w:cs="Arial"/>
          <w:sz w:val="18"/>
          <w:szCs w:val="18"/>
          <w:rtl/>
        </w:rPr>
        <w:t xml:space="preserve"> </w:t>
      </w:r>
      <w:r w:rsidRPr="00C03494">
        <w:rPr>
          <w:rFonts w:cs="Arial" w:hint="cs"/>
          <w:sz w:val="18"/>
          <w:szCs w:val="18"/>
          <w:rtl/>
        </w:rPr>
        <w:t>גם</w:t>
      </w:r>
      <w:r w:rsidRPr="00C03494">
        <w:rPr>
          <w:rFonts w:cs="Arial"/>
          <w:sz w:val="18"/>
          <w:szCs w:val="18"/>
          <w:rtl/>
        </w:rPr>
        <w:t xml:space="preserve"> </w:t>
      </w:r>
      <w:r w:rsidRPr="00C03494">
        <w:rPr>
          <w:rFonts w:cs="Arial" w:hint="cs"/>
          <w:sz w:val="18"/>
          <w:szCs w:val="18"/>
          <w:rtl/>
        </w:rPr>
        <w:t>כן</w:t>
      </w:r>
      <w:r w:rsidRPr="00C03494">
        <w:rPr>
          <w:rFonts w:cs="Arial"/>
          <w:sz w:val="18"/>
          <w:szCs w:val="18"/>
          <w:rtl/>
        </w:rPr>
        <w:t xml:space="preserve"> </w:t>
      </w:r>
      <w:r w:rsidRPr="00C03494">
        <w:rPr>
          <w:rFonts w:cs="Arial" w:hint="cs"/>
          <w:sz w:val="18"/>
          <w:szCs w:val="18"/>
          <w:rtl/>
        </w:rPr>
        <w:t>בסדר</w:t>
      </w:r>
      <w:r w:rsidRPr="00C03494">
        <w:rPr>
          <w:rFonts w:cs="Arial"/>
          <w:sz w:val="18"/>
          <w:szCs w:val="18"/>
          <w:rtl/>
        </w:rPr>
        <w:t xml:space="preserve"> </w:t>
      </w:r>
      <w:r w:rsidRPr="00C03494">
        <w:rPr>
          <w:rFonts w:cs="Arial" w:hint="cs"/>
          <w:sz w:val="18"/>
          <w:szCs w:val="18"/>
          <w:rtl/>
        </w:rPr>
        <w:t>הגט</w:t>
      </w:r>
      <w:r w:rsidRPr="00C03494">
        <w:rPr>
          <w:rFonts w:cs="Arial"/>
          <w:sz w:val="18"/>
          <w:szCs w:val="18"/>
          <w:rtl/>
        </w:rPr>
        <w:t xml:space="preserve">, </w:t>
      </w:r>
      <w:r w:rsidRPr="00C03494">
        <w:rPr>
          <w:rFonts w:cs="Arial" w:hint="cs"/>
          <w:sz w:val="18"/>
          <w:szCs w:val="18"/>
          <w:rtl/>
        </w:rPr>
        <w:t>ויאמר</w:t>
      </w:r>
      <w:r w:rsidRPr="00C03494">
        <w:rPr>
          <w:rFonts w:cs="Arial"/>
          <w:sz w:val="18"/>
          <w:szCs w:val="18"/>
          <w:rtl/>
        </w:rPr>
        <w:t xml:space="preserve"> </w:t>
      </w:r>
      <w:r w:rsidRPr="00C03494">
        <w:rPr>
          <w:rFonts w:cs="Arial" w:hint="cs"/>
          <w:sz w:val="18"/>
          <w:szCs w:val="18"/>
          <w:rtl/>
        </w:rPr>
        <w:t>לעומדים</w:t>
      </w:r>
      <w:r w:rsidRPr="00C03494">
        <w:rPr>
          <w:rFonts w:cs="Arial"/>
          <w:sz w:val="18"/>
          <w:szCs w:val="18"/>
          <w:rtl/>
        </w:rPr>
        <w:t xml:space="preserve"> </w:t>
      </w:r>
      <w:r w:rsidRPr="00C03494">
        <w:rPr>
          <w:rFonts w:cs="Arial" w:hint="cs"/>
          <w:sz w:val="18"/>
          <w:szCs w:val="18"/>
          <w:rtl/>
        </w:rPr>
        <w:lastRenderedPageBreak/>
        <w:t>בשעת</w:t>
      </w:r>
      <w:r w:rsidRPr="00C03494">
        <w:rPr>
          <w:rFonts w:cs="Arial"/>
          <w:sz w:val="18"/>
          <w:szCs w:val="18"/>
          <w:rtl/>
        </w:rPr>
        <w:t xml:space="preserve"> </w:t>
      </w:r>
      <w:r w:rsidRPr="00C03494">
        <w:rPr>
          <w:rFonts w:cs="Arial" w:hint="cs"/>
          <w:sz w:val="18"/>
          <w:szCs w:val="18"/>
          <w:rtl/>
        </w:rPr>
        <w:t>הנתינה</w:t>
      </w:r>
      <w:r w:rsidRPr="00C03494">
        <w:rPr>
          <w:rFonts w:cs="Arial"/>
          <w:sz w:val="18"/>
          <w:szCs w:val="18"/>
          <w:rtl/>
        </w:rPr>
        <w:t xml:space="preserve"> </w:t>
      </w:r>
      <w:r w:rsidRPr="00C03494">
        <w:rPr>
          <w:rFonts w:cs="Arial" w:hint="cs"/>
          <w:sz w:val="18"/>
          <w:szCs w:val="18"/>
          <w:rtl/>
        </w:rPr>
        <w:t>טעם</w:t>
      </w:r>
      <w:r w:rsidRPr="00C03494">
        <w:rPr>
          <w:rFonts w:cs="Arial"/>
          <w:sz w:val="18"/>
          <w:szCs w:val="18"/>
          <w:rtl/>
        </w:rPr>
        <w:t xml:space="preserve"> </w:t>
      </w:r>
      <w:r w:rsidRPr="00C03494">
        <w:rPr>
          <w:rFonts w:cs="Arial" w:hint="cs"/>
          <w:sz w:val="18"/>
          <w:szCs w:val="18"/>
          <w:rtl/>
        </w:rPr>
        <w:t>למה</w:t>
      </w:r>
      <w:r w:rsidRPr="00C03494">
        <w:rPr>
          <w:rFonts w:cs="Arial"/>
          <w:sz w:val="18"/>
          <w:szCs w:val="18"/>
          <w:rtl/>
        </w:rPr>
        <w:t xml:space="preserve"> </w:t>
      </w:r>
      <w:r w:rsidRPr="00C03494">
        <w:rPr>
          <w:rFonts w:cs="Arial" w:hint="cs"/>
          <w:sz w:val="18"/>
          <w:szCs w:val="18"/>
          <w:rtl/>
        </w:rPr>
        <w:t>נותן</w:t>
      </w:r>
      <w:r w:rsidRPr="00C03494">
        <w:rPr>
          <w:rFonts w:cs="Arial"/>
          <w:sz w:val="18"/>
          <w:szCs w:val="18"/>
          <w:rtl/>
        </w:rPr>
        <w:t xml:space="preserve"> </w:t>
      </w:r>
      <w:r w:rsidRPr="00C03494">
        <w:rPr>
          <w:rFonts w:cs="Arial" w:hint="cs"/>
          <w:sz w:val="18"/>
          <w:szCs w:val="18"/>
          <w:rtl/>
        </w:rPr>
        <w:t>שני</w:t>
      </w:r>
      <w:r w:rsidRPr="00C03494">
        <w:rPr>
          <w:rFonts w:cs="Arial"/>
          <w:sz w:val="18"/>
          <w:szCs w:val="18"/>
          <w:rtl/>
        </w:rPr>
        <w:t xml:space="preserve"> </w:t>
      </w:r>
      <w:r w:rsidRPr="00C03494">
        <w:rPr>
          <w:rFonts w:cs="Arial" w:hint="cs"/>
          <w:sz w:val="18"/>
          <w:szCs w:val="18"/>
          <w:rtl/>
        </w:rPr>
        <w:t>גיטין</w:t>
      </w:r>
      <w:r w:rsidRPr="00C03494">
        <w:rPr>
          <w:rFonts w:cs="Arial"/>
          <w:sz w:val="18"/>
          <w:szCs w:val="18"/>
          <w:rtl/>
        </w:rPr>
        <w:t xml:space="preserve"> (</w:t>
      </w:r>
      <w:r w:rsidRPr="00C03494">
        <w:rPr>
          <w:rFonts w:cs="Arial" w:hint="cs"/>
          <w:sz w:val="18"/>
          <w:szCs w:val="18"/>
          <w:rtl/>
        </w:rPr>
        <w:t>בסדר</w:t>
      </w:r>
      <w:r w:rsidRPr="00C03494">
        <w:rPr>
          <w:rFonts w:cs="Arial"/>
          <w:sz w:val="18"/>
          <w:szCs w:val="18"/>
          <w:rtl/>
        </w:rPr>
        <w:t xml:space="preserve"> </w:t>
      </w:r>
      <w:r w:rsidRPr="00C03494">
        <w:rPr>
          <w:rFonts w:cs="Arial" w:hint="cs"/>
          <w:sz w:val="18"/>
          <w:szCs w:val="18"/>
          <w:rtl/>
        </w:rPr>
        <w:t>ר</w:t>
      </w:r>
      <w:r w:rsidRPr="00C03494">
        <w:rPr>
          <w:rFonts w:cs="Arial"/>
          <w:sz w:val="18"/>
          <w:szCs w:val="18"/>
          <w:rtl/>
        </w:rPr>
        <w:t>"</w:t>
      </w:r>
      <w:r w:rsidRPr="00C03494">
        <w:rPr>
          <w:rFonts w:cs="Arial" w:hint="cs"/>
          <w:sz w:val="18"/>
          <w:szCs w:val="18"/>
          <w:rtl/>
        </w:rPr>
        <w:t>י</w:t>
      </w:r>
      <w:r w:rsidRPr="00C03494">
        <w:rPr>
          <w:rFonts w:cs="Arial"/>
          <w:sz w:val="18"/>
          <w:szCs w:val="18"/>
          <w:rtl/>
        </w:rPr>
        <w:t xml:space="preserve"> </w:t>
      </w:r>
      <w:r w:rsidRPr="00C03494">
        <w:rPr>
          <w:rFonts w:cs="Arial" w:hint="cs"/>
          <w:sz w:val="18"/>
          <w:szCs w:val="18"/>
          <w:rtl/>
        </w:rPr>
        <w:t>מינץ</w:t>
      </w:r>
      <w:r w:rsidRPr="00C03494">
        <w:rPr>
          <w:rFonts w:cs="Arial"/>
          <w:sz w:val="18"/>
          <w:szCs w:val="18"/>
          <w:rtl/>
        </w:rPr>
        <w:t>)</w:t>
      </w:r>
      <w:r w:rsidRPr="00AD280B">
        <w:rPr>
          <w:rFonts w:cs="Arial"/>
          <w:sz w:val="18"/>
          <w:szCs w:val="18"/>
          <w:rtl/>
        </w:rPr>
        <w:t xml:space="preserve">, </w:t>
      </w:r>
      <w:r w:rsidRPr="00AD280B">
        <w:rPr>
          <w:rFonts w:cs="Arial" w:hint="cs"/>
          <w:sz w:val="18"/>
          <w:szCs w:val="18"/>
          <w:rtl/>
        </w:rPr>
        <w:t>ויאמר</w:t>
      </w:r>
      <w:r w:rsidRPr="00AD280B">
        <w:rPr>
          <w:rFonts w:cs="Arial"/>
          <w:sz w:val="18"/>
          <w:szCs w:val="18"/>
          <w:rtl/>
        </w:rPr>
        <w:t xml:space="preserve"> </w:t>
      </w:r>
      <w:r w:rsidRPr="00AD280B">
        <w:rPr>
          <w:rFonts w:cs="Arial" w:hint="cs"/>
          <w:sz w:val="18"/>
          <w:szCs w:val="18"/>
          <w:rtl/>
        </w:rPr>
        <w:t>לבעל</w:t>
      </w:r>
      <w:r w:rsidRPr="00AD280B">
        <w:rPr>
          <w:rFonts w:cs="Arial"/>
          <w:sz w:val="18"/>
          <w:szCs w:val="18"/>
          <w:rtl/>
        </w:rPr>
        <w:t xml:space="preserve"> </w:t>
      </w:r>
      <w:r w:rsidRPr="00AD280B">
        <w:rPr>
          <w:rFonts w:cs="Arial" w:hint="cs"/>
          <w:sz w:val="18"/>
          <w:szCs w:val="18"/>
          <w:rtl/>
        </w:rPr>
        <w:t>שיכוין</w:t>
      </w:r>
      <w:r w:rsidRPr="00AD280B">
        <w:rPr>
          <w:rFonts w:cs="Arial"/>
          <w:sz w:val="18"/>
          <w:szCs w:val="18"/>
          <w:rtl/>
        </w:rPr>
        <w:t xml:space="preserve"> </w:t>
      </w:r>
      <w:r w:rsidRPr="00AD280B">
        <w:rPr>
          <w:rFonts w:cs="Arial" w:hint="cs"/>
          <w:sz w:val="18"/>
          <w:szCs w:val="18"/>
          <w:rtl/>
        </w:rPr>
        <w:t>לגרשה</w:t>
      </w:r>
      <w:r w:rsidRPr="00AD280B">
        <w:rPr>
          <w:rFonts w:cs="Arial"/>
          <w:sz w:val="18"/>
          <w:szCs w:val="18"/>
          <w:rtl/>
        </w:rPr>
        <w:t xml:space="preserve"> </w:t>
      </w:r>
      <w:r w:rsidRPr="00AD280B">
        <w:rPr>
          <w:rFonts w:cs="Arial" w:hint="cs"/>
          <w:sz w:val="18"/>
          <w:szCs w:val="18"/>
          <w:rtl/>
        </w:rPr>
        <w:t>בכל</w:t>
      </w:r>
      <w:r w:rsidRPr="00AD280B">
        <w:rPr>
          <w:rFonts w:cs="Arial"/>
          <w:sz w:val="18"/>
          <w:szCs w:val="18"/>
          <w:rtl/>
        </w:rPr>
        <w:t xml:space="preserve"> </w:t>
      </w:r>
      <w:r w:rsidRPr="00AD280B">
        <w:rPr>
          <w:rFonts w:cs="Arial" w:hint="cs"/>
          <w:sz w:val="18"/>
          <w:szCs w:val="18"/>
          <w:rtl/>
        </w:rPr>
        <w:t>אחד</w:t>
      </w:r>
      <w:r w:rsidRPr="00AD280B">
        <w:rPr>
          <w:rFonts w:cs="Arial"/>
          <w:sz w:val="18"/>
          <w:szCs w:val="18"/>
          <w:rtl/>
        </w:rPr>
        <w:t xml:space="preserve"> </w:t>
      </w:r>
      <w:r w:rsidRPr="00AD280B">
        <w:rPr>
          <w:rFonts w:cs="Arial" w:hint="cs"/>
          <w:sz w:val="18"/>
          <w:szCs w:val="18"/>
          <w:rtl/>
        </w:rPr>
        <w:t>מן</w:t>
      </w:r>
      <w:r w:rsidRPr="00AD280B">
        <w:rPr>
          <w:rFonts w:cs="Arial"/>
          <w:sz w:val="18"/>
          <w:szCs w:val="18"/>
          <w:rtl/>
        </w:rPr>
        <w:t xml:space="preserve"> </w:t>
      </w:r>
      <w:r w:rsidRPr="00AD280B">
        <w:rPr>
          <w:rFonts w:cs="Arial" w:hint="cs"/>
          <w:sz w:val="18"/>
          <w:szCs w:val="18"/>
          <w:rtl/>
        </w:rPr>
        <w:t>הגיטין</w:t>
      </w:r>
      <w:r>
        <w:rPr>
          <w:rStyle w:val="a7"/>
          <w:rFonts w:cs="Arial"/>
          <w:sz w:val="18"/>
          <w:szCs w:val="18"/>
          <w:rtl/>
        </w:rPr>
        <w:footnoteReference w:id="1154"/>
      </w:r>
      <w:r w:rsidRPr="00AD280B">
        <w:rPr>
          <w:rFonts w:cs="Arial"/>
          <w:sz w:val="18"/>
          <w:szCs w:val="18"/>
          <w:rtl/>
        </w:rPr>
        <w:t xml:space="preserve">. </w:t>
      </w:r>
      <w:r w:rsidRPr="00AD280B">
        <w:rPr>
          <w:rFonts w:cs="Arial" w:hint="cs"/>
          <w:sz w:val="18"/>
          <w:szCs w:val="18"/>
          <w:rtl/>
        </w:rPr>
        <w:t>ואם</w:t>
      </w:r>
      <w:r w:rsidRPr="00AD280B">
        <w:rPr>
          <w:rFonts w:cs="Arial"/>
          <w:sz w:val="18"/>
          <w:szCs w:val="18"/>
          <w:rtl/>
        </w:rPr>
        <w:t xml:space="preserve"> </w:t>
      </w:r>
      <w:r w:rsidRPr="00AD280B">
        <w:rPr>
          <w:rFonts w:cs="Arial" w:hint="cs"/>
          <w:sz w:val="18"/>
          <w:szCs w:val="18"/>
          <w:rtl/>
        </w:rPr>
        <w:t>נתן</w:t>
      </w:r>
      <w:r w:rsidRPr="00AD280B">
        <w:rPr>
          <w:rFonts w:cs="Arial"/>
          <w:sz w:val="18"/>
          <w:szCs w:val="18"/>
          <w:rtl/>
        </w:rPr>
        <w:t xml:space="preserve"> </w:t>
      </w:r>
      <w:r w:rsidRPr="00AD280B">
        <w:rPr>
          <w:rFonts w:cs="Arial" w:hint="cs"/>
          <w:sz w:val="18"/>
          <w:szCs w:val="18"/>
          <w:rtl/>
        </w:rPr>
        <w:t>שניהם</w:t>
      </w:r>
      <w:r w:rsidRPr="00AD280B">
        <w:rPr>
          <w:rFonts w:cs="Arial"/>
          <w:sz w:val="18"/>
          <w:szCs w:val="18"/>
          <w:rtl/>
        </w:rPr>
        <w:t xml:space="preserve"> </w:t>
      </w:r>
      <w:r w:rsidRPr="00AD280B">
        <w:rPr>
          <w:rFonts w:cs="Arial" w:hint="cs"/>
          <w:sz w:val="18"/>
          <w:szCs w:val="18"/>
          <w:rtl/>
        </w:rPr>
        <w:t>בזה</w:t>
      </w:r>
      <w:r w:rsidRPr="00AD280B">
        <w:rPr>
          <w:rFonts w:cs="Arial"/>
          <w:sz w:val="18"/>
          <w:szCs w:val="18"/>
          <w:rtl/>
        </w:rPr>
        <w:t xml:space="preserve"> </w:t>
      </w:r>
      <w:r w:rsidRPr="00AD280B">
        <w:rPr>
          <w:rFonts w:cs="Arial" w:hint="cs"/>
          <w:sz w:val="18"/>
          <w:szCs w:val="18"/>
          <w:rtl/>
        </w:rPr>
        <w:t>אחר</w:t>
      </w:r>
      <w:r w:rsidRPr="00AD280B">
        <w:rPr>
          <w:rFonts w:cs="Arial"/>
          <w:sz w:val="18"/>
          <w:szCs w:val="18"/>
          <w:rtl/>
        </w:rPr>
        <w:t xml:space="preserve"> </w:t>
      </w:r>
      <w:r w:rsidRPr="00AD280B">
        <w:rPr>
          <w:rFonts w:cs="Arial" w:hint="cs"/>
          <w:sz w:val="18"/>
          <w:szCs w:val="18"/>
          <w:rtl/>
        </w:rPr>
        <w:t>זה</w:t>
      </w:r>
      <w:r w:rsidRPr="00AD280B">
        <w:rPr>
          <w:rFonts w:cs="Arial"/>
          <w:sz w:val="18"/>
          <w:szCs w:val="18"/>
          <w:rtl/>
        </w:rPr>
        <w:t xml:space="preserve"> </w:t>
      </w:r>
      <w:r w:rsidRPr="00AD280B">
        <w:rPr>
          <w:rFonts w:cs="Arial" w:hint="cs"/>
          <w:sz w:val="18"/>
          <w:szCs w:val="18"/>
          <w:rtl/>
        </w:rPr>
        <w:t>בסדר</w:t>
      </w:r>
      <w:r w:rsidRPr="00AD280B">
        <w:rPr>
          <w:rFonts w:cs="Arial"/>
          <w:sz w:val="18"/>
          <w:szCs w:val="18"/>
          <w:rtl/>
        </w:rPr>
        <w:t xml:space="preserve"> </w:t>
      </w:r>
      <w:r w:rsidRPr="00AD280B">
        <w:rPr>
          <w:rFonts w:cs="Arial" w:hint="cs"/>
          <w:sz w:val="18"/>
          <w:szCs w:val="18"/>
          <w:rtl/>
        </w:rPr>
        <w:t>אחד</w:t>
      </w:r>
      <w:r>
        <w:rPr>
          <w:rStyle w:val="a7"/>
          <w:rFonts w:cs="Arial"/>
          <w:sz w:val="18"/>
          <w:szCs w:val="18"/>
          <w:rtl/>
        </w:rPr>
        <w:footnoteReference w:id="1155"/>
      </w:r>
      <w:r w:rsidRPr="00AD280B">
        <w:rPr>
          <w:rFonts w:cs="Arial"/>
          <w:sz w:val="18"/>
          <w:szCs w:val="18"/>
          <w:rtl/>
        </w:rPr>
        <w:t xml:space="preserve">, </w:t>
      </w:r>
      <w:r w:rsidRPr="00AD280B">
        <w:rPr>
          <w:rFonts w:cs="Arial" w:hint="cs"/>
          <w:sz w:val="18"/>
          <w:szCs w:val="18"/>
          <w:rtl/>
        </w:rPr>
        <w:t>כשר</w:t>
      </w:r>
      <w:r w:rsidRPr="00AD280B">
        <w:rPr>
          <w:rFonts w:cs="Arial"/>
          <w:sz w:val="18"/>
          <w:szCs w:val="18"/>
          <w:rtl/>
        </w:rPr>
        <w:t>.</w:t>
      </w:r>
      <w:r>
        <w:rPr>
          <w:rFonts w:cs="Arial"/>
          <w:rtl/>
        </w:rPr>
        <w:t xml:space="preserve"> </w:t>
      </w:r>
      <w:r>
        <w:rPr>
          <w:rFonts w:cs="Arial" w:hint="cs"/>
          <w:rtl/>
        </w:rPr>
        <w:t>לא</w:t>
      </w:r>
      <w:r>
        <w:rPr>
          <w:rFonts w:cs="Arial"/>
          <w:rtl/>
        </w:rPr>
        <w:t xml:space="preserve"> </w:t>
      </w:r>
      <w:r>
        <w:rPr>
          <w:rFonts w:cs="Arial" w:hint="cs"/>
          <w:rtl/>
        </w:rPr>
        <w:t>נהגו</w:t>
      </w:r>
      <w:r>
        <w:rPr>
          <w:rFonts w:cs="Arial"/>
          <w:rtl/>
        </w:rPr>
        <w:t xml:space="preserve"> </w:t>
      </w:r>
      <w:r>
        <w:rPr>
          <w:rFonts w:cs="Arial" w:hint="cs"/>
          <w:rtl/>
        </w:rPr>
        <w:t>לכתוב</w:t>
      </w:r>
      <w:r>
        <w:rPr>
          <w:rFonts w:cs="Arial"/>
          <w:rtl/>
        </w:rPr>
        <w:t xml:space="preserve"> </w:t>
      </w:r>
      <w:r>
        <w:rPr>
          <w:rFonts w:cs="Arial" w:hint="cs"/>
          <w:rtl/>
        </w:rPr>
        <w:t>בגט</w:t>
      </w:r>
      <w:r>
        <w:rPr>
          <w:rFonts w:cs="Arial"/>
          <w:rtl/>
        </w:rPr>
        <w:t xml:space="preserve"> </w:t>
      </w:r>
      <w:r>
        <w:rPr>
          <w:rFonts w:cs="Arial" w:hint="cs"/>
          <w:rtl/>
        </w:rPr>
        <w:t>לא</w:t>
      </w:r>
      <w:r>
        <w:rPr>
          <w:rFonts w:cs="Arial"/>
          <w:rtl/>
        </w:rPr>
        <w:t xml:space="preserve"> </w:t>
      </w:r>
      <w:r>
        <w:rPr>
          <w:rFonts w:cs="Arial" w:hint="cs"/>
          <w:rtl/>
        </w:rPr>
        <w:t>כהן</w:t>
      </w:r>
      <w:r>
        <w:rPr>
          <w:rFonts w:cs="Arial"/>
          <w:rtl/>
        </w:rPr>
        <w:t xml:space="preserve"> </w:t>
      </w:r>
      <w:r>
        <w:rPr>
          <w:rFonts w:cs="Arial" w:hint="cs"/>
          <w:rtl/>
        </w:rPr>
        <w:t>ולא</w:t>
      </w:r>
      <w:r>
        <w:rPr>
          <w:rFonts w:cs="Arial"/>
          <w:rtl/>
        </w:rPr>
        <w:t xml:space="preserve"> </w:t>
      </w:r>
      <w:r>
        <w:rPr>
          <w:rFonts w:cs="Arial" w:hint="cs"/>
          <w:rtl/>
        </w:rPr>
        <w:t>לוי</w:t>
      </w:r>
      <w:r>
        <w:rPr>
          <w:rFonts w:cs="Arial"/>
          <w:rtl/>
        </w:rPr>
        <w:t xml:space="preserve"> </w:t>
      </w:r>
      <w:r>
        <w:rPr>
          <w:rFonts w:cs="Arial" w:hint="cs"/>
          <w:rtl/>
        </w:rPr>
        <w:t>ולא</w:t>
      </w:r>
      <w:r>
        <w:rPr>
          <w:rFonts w:cs="Arial"/>
          <w:rtl/>
        </w:rPr>
        <w:t xml:space="preserve"> </w:t>
      </w:r>
      <w:r>
        <w:rPr>
          <w:rFonts w:cs="Arial" w:hint="cs"/>
          <w:rtl/>
        </w:rPr>
        <w:t>שום</w:t>
      </w:r>
      <w:r>
        <w:rPr>
          <w:rFonts w:cs="Arial"/>
          <w:rtl/>
        </w:rPr>
        <w:t xml:space="preserve"> </w:t>
      </w:r>
      <w:r>
        <w:rPr>
          <w:rFonts w:cs="Arial" w:hint="cs"/>
          <w:rtl/>
        </w:rPr>
        <w:t>כינוי</w:t>
      </w:r>
      <w:r>
        <w:rPr>
          <w:rFonts w:cs="Arial"/>
          <w:rtl/>
        </w:rPr>
        <w:t xml:space="preserve">, </w:t>
      </w:r>
      <w:r>
        <w:rPr>
          <w:rFonts w:cs="Arial" w:hint="cs"/>
          <w:rtl/>
        </w:rPr>
        <w:t>אלא</w:t>
      </w:r>
      <w:r>
        <w:rPr>
          <w:rFonts w:cs="Arial"/>
          <w:rtl/>
        </w:rPr>
        <w:t xml:space="preserve">: </w:t>
      </w:r>
      <w:r>
        <w:rPr>
          <w:rFonts w:cs="Arial" w:hint="cs"/>
          <w:rtl/>
        </w:rPr>
        <w:t>פלוני</w:t>
      </w:r>
      <w:r>
        <w:rPr>
          <w:rFonts w:cs="Arial"/>
          <w:rtl/>
        </w:rPr>
        <w:t xml:space="preserve"> </w:t>
      </w:r>
      <w:r>
        <w:rPr>
          <w:rFonts w:cs="Arial" w:hint="cs"/>
          <w:rtl/>
        </w:rPr>
        <w:t>בן</w:t>
      </w:r>
      <w:r>
        <w:rPr>
          <w:rFonts w:cs="Arial"/>
          <w:rtl/>
        </w:rPr>
        <w:t xml:space="preserve"> </w:t>
      </w:r>
      <w:r>
        <w:rPr>
          <w:rFonts w:cs="Arial" w:hint="cs"/>
          <w:rtl/>
        </w:rPr>
        <w:t>פלוני</w:t>
      </w:r>
      <w:r>
        <w:rPr>
          <w:rFonts w:cs="Arial"/>
          <w:rtl/>
        </w:rPr>
        <w:t xml:space="preserve"> </w:t>
      </w:r>
      <w:r>
        <w:rPr>
          <w:rFonts w:cs="Arial" w:hint="cs"/>
          <w:rtl/>
        </w:rPr>
        <w:t>וכל</w:t>
      </w:r>
      <w:r>
        <w:rPr>
          <w:rFonts w:cs="Arial"/>
          <w:rtl/>
        </w:rPr>
        <w:t xml:space="preserve"> </w:t>
      </w:r>
      <w:r>
        <w:rPr>
          <w:rFonts w:cs="Arial" w:hint="cs"/>
          <w:rtl/>
        </w:rPr>
        <w:t>שם</w:t>
      </w:r>
      <w:r>
        <w:rPr>
          <w:rFonts w:cs="Arial"/>
          <w:rtl/>
        </w:rPr>
        <w:t xml:space="preserve"> </w:t>
      </w:r>
      <w:r>
        <w:rPr>
          <w:rFonts w:cs="Arial" w:hint="cs"/>
          <w:rtl/>
        </w:rPr>
        <w:t>אחרן</w:t>
      </w:r>
      <w:r>
        <w:rPr>
          <w:rFonts w:cs="Arial"/>
          <w:rtl/>
        </w:rPr>
        <w:t xml:space="preserve"> </w:t>
      </w:r>
      <w:r>
        <w:rPr>
          <w:rFonts w:cs="Arial" w:hint="cs"/>
          <w:rtl/>
        </w:rPr>
        <w:t>וחניכא</w:t>
      </w:r>
      <w:r>
        <w:rPr>
          <w:rFonts w:cs="Arial"/>
          <w:rtl/>
        </w:rPr>
        <w:t xml:space="preserve"> </w:t>
      </w:r>
      <w:r>
        <w:rPr>
          <w:rFonts w:cs="Arial" w:hint="cs"/>
          <w:rtl/>
        </w:rPr>
        <w:t>דאית</w:t>
      </w:r>
      <w:r>
        <w:rPr>
          <w:rFonts w:cs="Arial"/>
          <w:rtl/>
        </w:rPr>
        <w:t xml:space="preserve"> </w:t>
      </w:r>
      <w:r>
        <w:rPr>
          <w:rFonts w:cs="Arial" w:hint="cs"/>
          <w:rtl/>
        </w:rPr>
        <w:t>לי</w:t>
      </w:r>
      <w:r>
        <w:rPr>
          <w:rFonts w:cs="Arial"/>
          <w:rtl/>
        </w:rPr>
        <w:t xml:space="preserve"> </w:t>
      </w:r>
      <w:r>
        <w:rPr>
          <w:rFonts w:cs="Arial" w:hint="cs"/>
          <w:rtl/>
        </w:rPr>
        <w:t>ולאבהתי</w:t>
      </w:r>
      <w:r>
        <w:rPr>
          <w:rFonts w:cs="Arial"/>
          <w:rtl/>
        </w:rPr>
        <w:t xml:space="preserve">. </w:t>
      </w:r>
      <w:r>
        <w:rPr>
          <w:rFonts w:cs="Arial" w:hint="cs"/>
          <w:sz w:val="18"/>
          <w:szCs w:val="18"/>
          <w:rtl/>
        </w:rPr>
        <w:t xml:space="preserve">[הגה] </w:t>
      </w:r>
      <w:r w:rsidRPr="00C03494">
        <w:rPr>
          <w:rFonts w:cs="Arial" w:hint="cs"/>
          <w:sz w:val="18"/>
          <w:szCs w:val="18"/>
          <w:rtl/>
        </w:rPr>
        <w:t>וכבר</w:t>
      </w:r>
      <w:r w:rsidRPr="00C03494">
        <w:rPr>
          <w:rFonts w:cs="Arial"/>
          <w:sz w:val="18"/>
          <w:szCs w:val="18"/>
          <w:rtl/>
        </w:rPr>
        <w:t xml:space="preserve"> </w:t>
      </w:r>
      <w:r w:rsidRPr="00C03494">
        <w:rPr>
          <w:rFonts w:cs="Arial" w:hint="cs"/>
          <w:sz w:val="18"/>
          <w:szCs w:val="18"/>
          <w:rtl/>
        </w:rPr>
        <w:t>נתבאר</w:t>
      </w:r>
      <w:r w:rsidRPr="00C03494">
        <w:rPr>
          <w:rFonts w:cs="Arial"/>
          <w:sz w:val="18"/>
          <w:szCs w:val="18"/>
          <w:rtl/>
        </w:rPr>
        <w:t xml:space="preserve"> </w:t>
      </w:r>
      <w:r>
        <w:rPr>
          <w:rFonts w:cs="Arial" w:hint="cs"/>
          <w:sz w:val="18"/>
          <w:szCs w:val="18"/>
          <w:rtl/>
        </w:rPr>
        <w:t xml:space="preserve">(סע' ט) </w:t>
      </w:r>
      <w:r w:rsidRPr="00C03494">
        <w:rPr>
          <w:rFonts w:cs="Arial" w:hint="cs"/>
          <w:sz w:val="18"/>
          <w:szCs w:val="18"/>
          <w:rtl/>
        </w:rPr>
        <w:t>דבמדינות</w:t>
      </w:r>
      <w:r w:rsidRPr="00C03494">
        <w:rPr>
          <w:rFonts w:cs="Arial"/>
          <w:sz w:val="18"/>
          <w:szCs w:val="18"/>
          <w:rtl/>
        </w:rPr>
        <w:t xml:space="preserve"> </w:t>
      </w:r>
      <w:r w:rsidRPr="00C03494">
        <w:rPr>
          <w:rFonts w:cs="Arial" w:hint="cs"/>
          <w:sz w:val="18"/>
          <w:szCs w:val="18"/>
          <w:rtl/>
        </w:rPr>
        <w:t>אלו</w:t>
      </w:r>
      <w:r w:rsidRPr="00C03494">
        <w:rPr>
          <w:rFonts w:cs="Arial"/>
          <w:sz w:val="18"/>
          <w:szCs w:val="18"/>
          <w:rtl/>
        </w:rPr>
        <w:t xml:space="preserve"> </w:t>
      </w:r>
      <w:r w:rsidRPr="00C03494">
        <w:rPr>
          <w:rFonts w:cs="Arial" w:hint="cs"/>
          <w:sz w:val="18"/>
          <w:szCs w:val="18"/>
          <w:rtl/>
        </w:rPr>
        <w:t>אין</w:t>
      </w:r>
      <w:r w:rsidRPr="00C03494">
        <w:rPr>
          <w:rFonts w:cs="Arial"/>
          <w:sz w:val="18"/>
          <w:szCs w:val="18"/>
          <w:rtl/>
        </w:rPr>
        <w:t xml:space="preserve"> </w:t>
      </w:r>
      <w:r w:rsidRPr="00C03494">
        <w:rPr>
          <w:rFonts w:cs="Arial" w:hint="cs"/>
          <w:sz w:val="18"/>
          <w:szCs w:val="18"/>
          <w:rtl/>
        </w:rPr>
        <w:t>נוהגין</w:t>
      </w:r>
      <w:r w:rsidRPr="00C03494">
        <w:rPr>
          <w:rFonts w:cs="Arial"/>
          <w:sz w:val="18"/>
          <w:szCs w:val="18"/>
          <w:rtl/>
        </w:rPr>
        <w:t xml:space="preserve"> </w:t>
      </w:r>
      <w:r w:rsidRPr="00C03494">
        <w:rPr>
          <w:rFonts w:cs="Arial" w:hint="cs"/>
          <w:sz w:val="18"/>
          <w:szCs w:val="18"/>
          <w:rtl/>
        </w:rPr>
        <w:t>כן</w:t>
      </w:r>
      <w:r w:rsidRPr="00C03494">
        <w:rPr>
          <w:rFonts w:cs="Arial"/>
          <w:sz w:val="18"/>
          <w:szCs w:val="18"/>
          <w:rtl/>
        </w:rPr>
        <w:t>.</w:t>
      </w:r>
      <w:r>
        <w:rPr>
          <w:rFonts w:cs="Arial"/>
          <w:rtl/>
        </w:rPr>
        <w:t xml:space="preserve"> </w:t>
      </w:r>
    </w:p>
    <w:p w14:paraId="6FAC7ED3" w14:textId="77777777" w:rsidR="00FA2119" w:rsidRDefault="00FA2119" w:rsidP="00FA2119">
      <w:pPr>
        <w:rPr>
          <w:rtl/>
        </w:rPr>
      </w:pPr>
    </w:p>
    <w:p w14:paraId="478A665A" w14:textId="77777777" w:rsidR="00FA2119" w:rsidRDefault="00FA2119" w:rsidP="00FA2119">
      <w:pPr>
        <w:pStyle w:val="2"/>
        <w:rPr>
          <w:rtl/>
        </w:rPr>
      </w:pPr>
      <w:r>
        <w:rPr>
          <w:rFonts w:hint="cs"/>
          <w:rtl/>
        </w:rPr>
        <w:t>סעיף</w:t>
      </w:r>
      <w:r>
        <w:rPr>
          <w:rtl/>
        </w:rPr>
        <w:t xml:space="preserve"> </w:t>
      </w:r>
      <w:r>
        <w:rPr>
          <w:rFonts w:hint="cs"/>
          <w:rtl/>
        </w:rPr>
        <w:t>כ: גר בן אברהם אבינו.</w:t>
      </w:r>
    </w:p>
    <w:p w14:paraId="238574B9" w14:textId="77777777" w:rsidR="00FA2119" w:rsidRPr="00AE7F1F" w:rsidRDefault="00FA2119" w:rsidP="00FA2119">
      <w:pPr>
        <w:rPr>
          <w:u w:val="single"/>
          <w:rtl/>
        </w:rPr>
      </w:pPr>
      <w:r w:rsidRPr="00AE7F1F">
        <w:rPr>
          <w:rFonts w:hint="cs"/>
          <w:u w:val="single"/>
          <w:rtl/>
        </w:rPr>
        <w:t>כיצד כותבים את שם הגר בגט:</w:t>
      </w:r>
    </w:p>
    <w:p w14:paraId="51DB9182" w14:textId="2041B1A6" w:rsidR="00FA2119" w:rsidRPr="00AE7F1F" w:rsidRDefault="00FA2119" w:rsidP="00FA2119">
      <w:pPr>
        <w:pStyle w:val="ab"/>
        <w:numPr>
          <w:ilvl w:val="0"/>
          <w:numId w:val="79"/>
        </w:numPr>
      </w:pPr>
      <w:r w:rsidRPr="00AE7F1F">
        <w:rPr>
          <w:rFonts w:cs="Arial"/>
          <w:rtl/>
        </w:rPr>
        <w:t xml:space="preserve">רא"ש </w:t>
      </w:r>
      <w:r w:rsidRPr="00AE7F1F">
        <w:rPr>
          <w:rFonts w:cs="Arial" w:hint="cs"/>
          <w:sz w:val="16"/>
          <w:szCs w:val="16"/>
          <w:rtl/>
        </w:rPr>
        <w:t>(</w:t>
      </w:r>
      <w:r w:rsidRPr="00AE7F1F">
        <w:rPr>
          <w:rFonts w:cs="Arial"/>
          <w:sz w:val="16"/>
          <w:szCs w:val="16"/>
          <w:rtl/>
        </w:rPr>
        <w:t>כלל טו סי</w:t>
      </w:r>
      <w:r w:rsidRPr="00AE7F1F">
        <w:rPr>
          <w:rFonts w:cs="Arial" w:hint="cs"/>
          <w:sz w:val="16"/>
          <w:szCs w:val="16"/>
          <w:rtl/>
        </w:rPr>
        <w:t>'</w:t>
      </w:r>
      <w:r w:rsidRPr="00AE7F1F">
        <w:rPr>
          <w:rFonts w:cs="Arial"/>
          <w:sz w:val="16"/>
          <w:szCs w:val="16"/>
          <w:rtl/>
        </w:rPr>
        <w:t xml:space="preserve"> ד</w:t>
      </w:r>
      <w:r w:rsidRPr="00AE7F1F">
        <w:rPr>
          <w:rFonts w:cs="Arial" w:hint="cs"/>
          <w:sz w:val="16"/>
          <w:szCs w:val="16"/>
          <w:rtl/>
        </w:rPr>
        <w:t>)</w:t>
      </w:r>
      <w:r w:rsidR="00A82951">
        <w:rPr>
          <w:rFonts w:cs="Arial" w:hint="cs"/>
          <w:rtl/>
        </w:rPr>
        <w:t>-</w:t>
      </w:r>
      <w:r>
        <w:rPr>
          <w:rFonts w:cs="Arial" w:hint="cs"/>
          <w:rtl/>
        </w:rPr>
        <w:t xml:space="preserve"> </w:t>
      </w:r>
      <w:r w:rsidRPr="00AE7F1F">
        <w:rPr>
          <w:rFonts w:cs="Arial"/>
          <w:rtl/>
        </w:rPr>
        <w:t>בגיטי הגרים כותבין בן אברהם</w:t>
      </w:r>
      <w:r>
        <w:rPr>
          <w:rFonts w:cs="Arial" w:hint="cs"/>
          <w:rtl/>
        </w:rPr>
        <w:t xml:space="preserve">. </w:t>
      </w:r>
    </w:p>
    <w:p w14:paraId="6F69F9D2" w14:textId="001CA956" w:rsidR="00FA2119" w:rsidRPr="006E7B6D" w:rsidRDefault="00FA2119" w:rsidP="00FA2119">
      <w:pPr>
        <w:pStyle w:val="ab"/>
        <w:numPr>
          <w:ilvl w:val="0"/>
          <w:numId w:val="79"/>
        </w:numPr>
        <w:rPr>
          <w:rtl/>
        </w:rPr>
      </w:pPr>
      <w:r w:rsidRPr="00AE7F1F">
        <w:rPr>
          <w:rFonts w:cs="Arial"/>
          <w:rtl/>
        </w:rPr>
        <w:t xml:space="preserve">מהר"י מינץ </w:t>
      </w:r>
      <w:r w:rsidRPr="00AE7F1F">
        <w:rPr>
          <w:rFonts w:cs="Arial" w:hint="cs"/>
          <w:sz w:val="16"/>
          <w:szCs w:val="16"/>
          <w:rtl/>
        </w:rPr>
        <w:t>(</w:t>
      </w:r>
      <w:r w:rsidRPr="00AE7F1F">
        <w:rPr>
          <w:rFonts w:cs="Arial"/>
          <w:sz w:val="16"/>
          <w:szCs w:val="16"/>
          <w:rtl/>
        </w:rPr>
        <w:t>סדר הגט סי' קג</w:t>
      </w:r>
      <w:r>
        <w:rPr>
          <w:rFonts w:cs="Arial" w:hint="cs"/>
          <w:sz w:val="16"/>
          <w:szCs w:val="16"/>
          <w:rtl/>
        </w:rPr>
        <w:t>)</w:t>
      </w:r>
      <w:r w:rsidRPr="004B48BE">
        <w:rPr>
          <w:rFonts w:cs="Arial"/>
          <w:rtl/>
        </w:rPr>
        <w:t xml:space="preserve"> </w:t>
      </w:r>
      <w:r>
        <w:rPr>
          <w:rFonts w:cs="Arial" w:hint="cs"/>
          <w:rtl/>
        </w:rPr>
        <w:t>ו</w:t>
      </w:r>
      <w:r w:rsidRPr="006E7B6D">
        <w:rPr>
          <w:rFonts w:cs="Arial"/>
          <w:rtl/>
        </w:rPr>
        <w:t xml:space="preserve">סדר גיטין </w:t>
      </w:r>
      <w:r w:rsidRPr="00974183">
        <w:rPr>
          <w:rFonts w:cs="Arial"/>
          <w:sz w:val="16"/>
          <w:szCs w:val="16"/>
          <w:rtl/>
        </w:rPr>
        <w:t>(סי' לד ס"א</w:t>
      </w:r>
      <w:r>
        <w:rPr>
          <w:rFonts w:cs="Arial" w:hint="cs"/>
          <w:sz w:val="16"/>
          <w:szCs w:val="16"/>
          <w:rtl/>
        </w:rPr>
        <w:t>, הביאם הב"י בשם תשובות אשכנזיות</w:t>
      </w:r>
      <w:r w:rsidRPr="00AE7F1F">
        <w:rPr>
          <w:rFonts w:cs="Arial"/>
          <w:sz w:val="16"/>
          <w:szCs w:val="16"/>
          <w:rtl/>
        </w:rPr>
        <w:t>)</w:t>
      </w:r>
      <w:r w:rsidR="00A82951">
        <w:rPr>
          <w:rFonts w:cs="Arial" w:hint="cs"/>
          <w:rtl/>
        </w:rPr>
        <w:t>-</w:t>
      </w:r>
      <w:r w:rsidRPr="00AE7F1F">
        <w:rPr>
          <w:rFonts w:cs="Arial"/>
          <w:rtl/>
        </w:rPr>
        <w:t xml:space="preserve"> צריך שיכתוב בלשון דלישתמע מיניה שהוא גר</w:t>
      </w:r>
      <w:r>
        <w:rPr>
          <w:rFonts w:cs="Arial" w:hint="cs"/>
          <w:rtl/>
        </w:rPr>
        <w:t>,</w:t>
      </w:r>
      <w:r w:rsidRPr="00AE7F1F">
        <w:rPr>
          <w:rFonts w:cs="Arial"/>
          <w:rtl/>
        </w:rPr>
        <w:t xml:space="preserve"> כגון שיכתוב </w:t>
      </w:r>
      <w:r>
        <w:rPr>
          <w:rFonts w:cs="Arial" w:hint="cs"/>
          <w:rtl/>
        </w:rPr>
        <w:t>'</w:t>
      </w:r>
      <w:r w:rsidRPr="00AE7F1F">
        <w:rPr>
          <w:rFonts w:cs="Arial"/>
          <w:rtl/>
        </w:rPr>
        <w:t>הגר</w:t>
      </w:r>
      <w:r>
        <w:rPr>
          <w:rFonts w:cs="Arial" w:hint="cs"/>
          <w:rtl/>
        </w:rPr>
        <w:t>',</w:t>
      </w:r>
      <w:r w:rsidRPr="00AE7F1F">
        <w:rPr>
          <w:rFonts w:cs="Arial"/>
          <w:rtl/>
        </w:rPr>
        <w:t xml:space="preserve"> או </w:t>
      </w:r>
      <w:r>
        <w:rPr>
          <w:rFonts w:cs="Arial" w:hint="cs"/>
          <w:rtl/>
        </w:rPr>
        <w:t>'</w:t>
      </w:r>
      <w:r w:rsidRPr="00AE7F1F">
        <w:rPr>
          <w:rFonts w:cs="Arial"/>
          <w:rtl/>
        </w:rPr>
        <w:t>בן אברהם אבינו</w:t>
      </w:r>
      <w:r>
        <w:rPr>
          <w:rFonts w:cs="Arial" w:hint="cs"/>
          <w:rtl/>
        </w:rPr>
        <w:t>'</w:t>
      </w:r>
      <w:r>
        <w:rPr>
          <w:rStyle w:val="a7"/>
          <w:rFonts w:cs="Arial"/>
          <w:rtl/>
        </w:rPr>
        <w:footnoteReference w:id="1156"/>
      </w:r>
      <w:r>
        <w:rPr>
          <w:rFonts w:cs="Arial" w:hint="cs"/>
          <w:rtl/>
        </w:rPr>
        <w:t>.</w:t>
      </w:r>
      <w:r w:rsidRPr="00AE7F1F">
        <w:rPr>
          <w:rFonts w:cs="Arial"/>
          <w:rtl/>
        </w:rPr>
        <w:t xml:space="preserve"> אבל אם כתב בן אברהם סתם וגם לא הזכיר שהוא גר </w:t>
      </w:r>
      <w:r w:rsidR="00A82951">
        <w:rPr>
          <w:rFonts w:cs="Arial" w:hint="cs"/>
          <w:rtl/>
        </w:rPr>
        <w:t>-</w:t>
      </w:r>
      <w:r>
        <w:rPr>
          <w:rFonts w:cs="Arial" w:hint="cs"/>
          <w:rtl/>
        </w:rPr>
        <w:t xml:space="preserve"> </w:t>
      </w:r>
      <w:r w:rsidRPr="00AE7F1F">
        <w:rPr>
          <w:rFonts w:cs="Arial"/>
          <w:rtl/>
        </w:rPr>
        <w:t>מיחזי כשיקרא ומזוייף מתוכו</w:t>
      </w:r>
      <w:r>
        <w:rPr>
          <w:rFonts w:cs="Arial" w:hint="cs"/>
          <w:sz w:val="16"/>
          <w:szCs w:val="16"/>
          <w:rtl/>
        </w:rPr>
        <w:t xml:space="preserve"> (ל' הב"י בשמם)</w:t>
      </w:r>
      <w:r>
        <w:rPr>
          <w:rFonts w:cs="Arial" w:hint="cs"/>
          <w:rtl/>
        </w:rPr>
        <w:t>.</w:t>
      </w:r>
      <w:r w:rsidRPr="00AE7F1F">
        <w:rPr>
          <w:rFonts w:cs="Arial"/>
          <w:rtl/>
        </w:rPr>
        <w:t xml:space="preserve"> </w:t>
      </w:r>
      <w:r w:rsidRPr="00620AA7">
        <w:rPr>
          <w:rFonts w:hint="cs"/>
          <w:color w:val="E36C0A" w:themeColor="accent6" w:themeShade="BF"/>
          <w:rtl/>
        </w:rPr>
        <w:t>(וכ"פ בשו"ע)</w:t>
      </w:r>
    </w:p>
    <w:p w14:paraId="4FA1E613"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1043940" w14:textId="77777777" w:rsidR="00FA2119" w:rsidRDefault="00FA2119" w:rsidP="00FA2119">
      <w:pPr>
        <w:rPr>
          <w:rtl/>
        </w:rPr>
      </w:pPr>
      <w:r>
        <w:rPr>
          <w:rFonts w:cs="Arial" w:hint="cs"/>
          <w:rtl/>
        </w:rPr>
        <w:t>בגט</w:t>
      </w:r>
      <w:r>
        <w:rPr>
          <w:rFonts w:cs="Arial"/>
          <w:rtl/>
        </w:rPr>
        <w:t xml:space="preserve"> </w:t>
      </w:r>
      <w:r>
        <w:rPr>
          <w:rFonts w:cs="Arial" w:hint="cs"/>
          <w:rtl/>
        </w:rPr>
        <w:t>גר</w:t>
      </w:r>
      <w:r>
        <w:rPr>
          <w:rFonts w:cs="Arial"/>
          <w:rtl/>
        </w:rPr>
        <w:t xml:space="preserve"> </w:t>
      </w:r>
      <w:r>
        <w:rPr>
          <w:rFonts w:cs="Arial" w:hint="cs"/>
          <w:rtl/>
        </w:rPr>
        <w:t>כותב</w:t>
      </w:r>
      <w:r>
        <w:rPr>
          <w:rFonts w:cs="Arial"/>
          <w:rtl/>
        </w:rPr>
        <w:t xml:space="preserve">: </w:t>
      </w:r>
      <w:r>
        <w:rPr>
          <w:rFonts w:cs="Arial" w:hint="cs"/>
          <w:rtl/>
        </w:rPr>
        <w:t>פלוני</w:t>
      </w:r>
      <w:r>
        <w:rPr>
          <w:rFonts w:cs="Arial"/>
          <w:rtl/>
        </w:rPr>
        <w:t xml:space="preserve"> </w:t>
      </w:r>
      <w:r>
        <w:rPr>
          <w:rFonts w:cs="Arial" w:hint="cs"/>
          <w:rtl/>
        </w:rPr>
        <w:t>בן</w:t>
      </w:r>
      <w:r>
        <w:rPr>
          <w:rFonts w:cs="Arial"/>
          <w:rtl/>
        </w:rPr>
        <w:t xml:space="preserve"> </w:t>
      </w:r>
      <w:r>
        <w:rPr>
          <w:rFonts w:cs="Arial" w:hint="cs"/>
          <w:rtl/>
        </w:rPr>
        <w:t>אברהם</w:t>
      </w:r>
      <w:r>
        <w:rPr>
          <w:rFonts w:cs="Arial"/>
          <w:rtl/>
        </w:rPr>
        <w:t xml:space="preserve"> </w:t>
      </w:r>
      <w:r>
        <w:rPr>
          <w:rFonts w:cs="Arial" w:hint="cs"/>
          <w:rtl/>
        </w:rPr>
        <w:t>אבינו</w:t>
      </w:r>
      <w:r>
        <w:rPr>
          <w:rStyle w:val="a7"/>
          <w:rFonts w:cs="Arial"/>
          <w:rtl/>
        </w:rPr>
        <w:footnoteReference w:id="1157"/>
      </w:r>
      <w:r>
        <w:rPr>
          <w:rFonts w:cs="Arial"/>
          <w:rtl/>
        </w:rPr>
        <w:t xml:space="preserve">. </w:t>
      </w:r>
    </w:p>
    <w:p w14:paraId="6A1517A0" w14:textId="77777777" w:rsidR="00FA2119" w:rsidRDefault="00FA2119" w:rsidP="00FA2119">
      <w:pPr>
        <w:rPr>
          <w:rtl/>
        </w:rPr>
      </w:pPr>
    </w:p>
    <w:p w14:paraId="46384AFD" w14:textId="77777777" w:rsidR="00FA2119" w:rsidRDefault="00FA2119" w:rsidP="00FA2119">
      <w:pPr>
        <w:pStyle w:val="2"/>
        <w:rPr>
          <w:rtl/>
        </w:rPr>
      </w:pPr>
      <w:r>
        <w:rPr>
          <w:rFonts w:hint="cs"/>
          <w:rtl/>
        </w:rPr>
        <w:t>סעיף</w:t>
      </w:r>
      <w:r>
        <w:rPr>
          <w:rtl/>
        </w:rPr>
        <w:t xml:space="preserve"> </w:t>
      </w:r>
      <w:r>
        <w:rPr>
          <w:rFonts w:hint="cs"/>
          <w:rtl/>
        </w:rPr>
        <w:t>כא: גרשום. גרשון.</w:t>
      </w:r>
    </w:p>
    <w:p w14:paraId="78A19B08" w14:textId="15CCB5B8" w:rsidR="00FA2119" w:rsidRPr="00511621" w:rsidRDefault="00FA2119" w:rsidP="00FA2119">
      <w:pPr>
        <w:rPr>
          <w:u w:val="single"/>
          <w:rtl/>
        </w:rPr>
      </w:pPr>
      <w:r w:rsidRPr="00511621">
        <w:rPr>
          <w:rFonts w:hint="cs"/>
          <w:u w:val="single"/>
          <w:rtl/>
        </w:rPr>
        <w:t xml:space="preserve">כתיבת השם </w:t>
      </w:r>
      <w:r>
        <w:rPr>
          <w:rFonts w:hint="cs"/>
          <w:u w:val="single"/>
          <w:rtl/>
        </w:rPr>
        <w:t>'</w:t>
      </w:r>
      <w:r w:rsidRPr="00511621">
        <w:rPr>
          <w:rFonts w:hint="cs"/>
          <w:u w:val="single"/>
          <w:rtl/>
        </w:rPr>
        <w:t>גרשום</w:t>
      </w:r>
      <w:r>
        <w:rPr>
          <w:rFonts w:hint="cs"/>
          <w:u w:val="single"/>
          <w:rtl/>
        </w:rPr>
        <w:t>' ו</w:t>
      </w:r>
      <w:r w:rsidR="00A82951">
        <w:rPr>
          <w:rFonts w:hint="cs"/>
          <w:u w:val="single"/>
          <w:rtl/>
        </w:rPr>
        <w:t>-</w:t>
      </w:r>
      <w:r>
        <w:rPr>
          <w:rFonts w:hint="cs"/>
          <w:u w:val="single"/>
          <w:rtl/>
        </w:rPr>
        <w:t xml:space="preserve"> 'גרשון'</w:t>
      </w:r>
      <w:r w:rsidRPr="00511621">
        <w:rPr>
          <w:rFonts w:hint="cs"/>
          <w:u w:val="single"/>
          <w:rtl/>
        </w:rPr>
        <w:t xml:space="preserve">: </w:t>
      </w:r>
    </w:p>
    <w:p w14:paraId="6AC57AEA" w14:textId="1ED24DD9" w:rsidR="00FA2119" w:rsidRPr="006E7B6D" w:rsidRDefault="00FA2119" w:rsidP="00FA2119">
      <w:pPr>
        <w:pStyle w:val="ab"/>
        <w:numPr>
          <w:ilvl w:val="0"/>
          <w:numId w:val="80"/>
        </w:numPr>
        <w:rPr>
          <w:rtl/>
        </w:rPr>
      </w:pPr>
      <w:r w:rsidRPr="00511621">
        <w:rPr>
          <w:rFonts w:cs="Arial"/>
          <w:rtl/>
        </w:rPr>
        <w:t>תרוה"ד</w:t>
      </w:r>
      <w:r w:rsidRPr="00511621">
        <w:rPr>
          <w:rFonts w:cs="Arial"/>
          <w:sz w:val="16"/>
          <w:szCs w:val="16"/>
          <w:rtl/>
        </w:rPr>
        <w:t xml:space="preserve"> </w:t>
      </w:r>
      <w:r w:rsidRPr="00511621">
        <w:rPr>
          <w:rFonts w:cs="Arial" w:hint="cs"/>
          <w:sz w:val="16"/>
          <w:szCs w:val="16"/>
          <w:rtl/>
        </w:rPr>
        <w:t xml:space="preserve">(כתבים </w:t>
      </w:r>
      <w:r w:rsidRPr="00511621">
        <w:rPr>
          <w:rFonts w:cs="Arial"/>
          <w:sz w:val="16"/>
          <w:szCs w:val="16"/>
          <w:rtl/>
        </w:rPr>
        <w:t>ח"ב סי</w:t>
      </w:r>
      <w:r w:rsidRPr="00511621">
        <w:rPr>
          <w:rFonts w:cs="Arial" w:hint="cs"/>
          <w:sz w:val="16"/>
          <w:szCs w:val="16"/>
          <w:rtl/>
        </w:rPr>
        <w:t>'</w:t>
      </w:r>
      <w:r w:rsidRPr="00511621">
        <w:rPr>
          <w:rFonts w:cs="Arial"/>
          <w:sz w:val="16"/>
          <w:szCs w:val="16"/>
          <w:rtl/>
        </w:rPr>
        <w:t xml:space="preserve"> יד</w:t>
      </w:r>
      <w:r w:rsidRPr="00511621">
        <w:rPr>
          <w:rFonts w:cs="Arial" w:hint="cs"/>
          <w:sz w:val="16"/>
          <w:szCs w:val="16"/>
          <w:rtl/>
        </w:rPr>
        <w:t>)</w:t>
      </w:r>
      <w:r w:rsidR="00A82951">
        <w:rPr>
          <w:rFonts w:cs="Arial" w:hint="cs"/>
          <w:rtl/>
        </w:rPr>
        <w:t>-</w:t>
      </w:r>
      <w:r w:rsidRPr="00511621">
        <w:rPr>
          <w:rFonts w:cs="Arial" w:hint="cs"/>
          <w:rtl/>
        </w:rPr>
        <w:t xml:space="preserve"> </w:t>
      </w:r>
      <w:r w:rsidRPr="00511621">
        <w:rPr>
          <w:rFonts w:cs="Arial"/>
          <w:rtl/>
        </w:rPr>
        <w:t>לענין כתיבת השמות</w:t>
      </w:r>
      <w:r>
        <w:rPr>
          <w:rFonts w:cs="Arial" w:hint="cs"/>
          <w:rtl/>
        </w:rPr>
        <w:t>,</w:t>
      </w:r>
      <w:r w:rsidRPr="00511621">
        <w:rPr>
          <w:rFonts w:cs="Arial"/>
          <w:rtl/>
        </w:rPr>
        <w:t xml:space="preserve"> גרשו"ם שם לעצמו</w:t>
      </w:r>
      <w:r>
        <w:rPr>
          <w:rFonts w:cs="Arial" w:hint="cs"/>
          <w:rtl/>
        </w:rPr>
        <w:t>,</w:t>
      </w:r>
      <w:r w:rsidRPr="00511621">
        <w:rPr>
          <w:rFonts w:cs="Arial"/>
          <w:rtl/>
        </w:rPr>
        <w:t xml:space="preserve"> וגרשו"ן שם לעצמו</w:t>
      </w:r>
      <w:r>
        <w:rPr>
          <w:rFonts w:cs="Arial" w:hint="cs"/>
          <w:rtl/>
        </w:rPr>
        <w:t>.</w:t>
      </w:r>
      <w:r w:rsidRPr="00511621">
        <w:rPr>
          <w:rFonts w:cs="Arial"/>
          <w:rtl/>
        </w:rPr>
        <w:t xml:space="preserve"> כי גרשון בן לוי נכתב בכל התורה בנו"ן</w:t>
      </w:r>
      <w:r>
        <w:rPr>
          <w:rFonts w:cs="Arial" w:hint="cs"/>
          <w:rtl/>
        </w:rPr>
        <w:t>.</w:t>
      </w:r>
      <w:r w:rsidRPr="00511621">
        <w:rPr>
          <w:rFonts w:cs="Arial"/>
          <w:rtl/>
        </w:rPr>
        <w:t xml:space="preserve"> וגרשום בן משה נכתב במ"ם</w:t>
      </w:r>
      <w:r>
        <w:rPr>
          <w:rFonts w:cs="Arial" w:hint="cs"/>
          <w:rtl/>
        </w:rPr>
        <w:t>.</w:t>
      </w:r>
      <w:r w:rsidRPr="00511621">
        <w:rPr>
          <w:rFonts w:cs="Arial"/>
          <w:rtl/>
        </w:rPr>
        <w:t xml:space="preserve"> ולפיכך</w:t>
      </w:r>
      <w:r>
        <w:rPr>
          <w:rFonts w:cs="Arial" w:hint="cs"/>
          <w:rtl/>
        </w:rPr>
        <w:t xml:space="preserve">, </w:t>
      </w:r>
      <w:r w:rsidRPr="00511621">
        <w:rPr>
          <w:rFonts w:cs="Arial"/>
          <w:rtl/>
        </w:rPr>
        <w:t xml:space="preserve">אם ידוע ששמו גרשום וכתב גרשון </w:t>
      </w:r>
      <w:r w:rsidR="00A82951">
        <w:rPr>
          <w:rFonts w:cs="Arial" w:hint="cs"/>
          <w:rtl/>
        </w:rPr>
        <w:t>-</w:t>
      </w:r>
      <w:r>
        <w:rPr>
          <w:rFonts w:cs="Arial" w:hint="cs"/>
          <w:rtl/>
        </w:rPr>
        <w:t xml:space="preserve"> </w:t>
      </w:r>
      <w:r w:rsidRPr="00511621">
        <w:rPr>
          <w:rFonts w:cs="Arial"/>
          <w:rtl/>
        </w:rPr>
        <w:t>לא הוי גט כלל ותצא וכל הדרכים האלו בה</w:t>
      </w:r>
      <w:r>
        <w:rPr>
          <w:rFonts w:cs="Arial" w:hint="cs"/>
          <w:rtl/>
        </w:rPr>
        <w:t>.</w:t>
      </w:r>
      <w:r w:rsidRPr="00511621">
        <w:rPr>
          <w:rFonts w:cs="Arial"/>
          <w:rtl/>
        </w:rPr>
        <w:t xml:space="preserve"> ואם אין ידוע מה היה שמו</w:t>
      </w:r>
      <w:r>
        <w:rPr>
          <w:rFonts w:cs="Arial" w:hint="cs"/>
          <w:rtl/>
        </w:rPr>
        <w:t>,</w:t>
      </w:r>
      <w:r w:rsidRPr="00511621">
        <w:rPr>
          <w:rFonts w:cs="Arial"/>
          <w:rtl/>
        </w:rPr>
        <w:t xml:space="preserve"> וכבר ניתן הגט</w:t>
      </w:r>
      <w:r>
        <w:rPr>
          <w:rFonts w:cs="Arial" w:hint="cs"/>
          <w:rtl/>
        </w:rPr>
        <w:t>,</w:t>
      </w:r>
      <w:r w:rsidRPr="00511621">
        <w:rPr>
          <w:rFonts w:cs="Arial"/>
          <w:rtl/>
        </w:rPr>
        <w:t xml:space="preserve"> אם עדיין לא נשאת </w:t>
      </w:r>
      <w:r w:rsidR="00A82951">
        <w:rPr>
          <w:rFonts w:cs="Arial" w:hint="cs"/>
          <w:rtl/>
        </w:rPr>
        <w:t>-</w:t>
      </w:r>
      <w:r>
        <w:rPr>
          <w:rFonts w:cs="Arial" w:hint="cs"/>
          <w:rtl/>
        </w:rPr>
        <w:t xml:space="preserve"> </w:t>
      </w:r>
      <w:r w:rsidRPr="00511621">
        <w:rPr>
          <w:rFonts w:cs="Arial"/>
          <w:rtl/>
        </w:rPr>
        <w:t>לכתחלה לא תנשא אפילו לא אפשר אלא ע"י עדות ששמו כמו שכתוב בגט</w:t>
      </w:r>
      <w:r w:rsidRPr="00511621">
        <w:rPr>
          <w:rFonts w:cs="Arial" w:hint="cs"/>
          <w:rtl/>
        </w:rPr>
        <w:t>.</w:t>
      </w:r>
      <w:r w:rsidRPr="007635CB">
        <w:rPr>
          <w:rFonts w:hint="cs"/>
          <w:color w:val="E36C0A" w:themeColor="accent6" w:themeShade="BF"/>
          <w:rtl/>
        </w:rPr>
        <w:t xml:space="preserve"> </w:t>
      </w:r>
      <w:r w:rsidRPr="00620AA7">
        <w:rPr>
          <w:rFonts w:hint="cs"/>
          <w:color w:val="E36C0A" w:themeColor="accent6" w:themeShade="BF"/>
          <w:rtl/>
        </w:rPr>
        <w:t>(וכ"פ בשו"ע)</w:t>
      </w:r>
    </w:p>
    <w:p w14:paraId="35094A56"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0758B4D" w14:textId="77777777" w:rsidR="00FA2119" w:rsidRDefault="00FA2119" w:rsidP="00FA2119">
      <w:pPr>
        <w:rPr>
          <w:rtl/>
        </w:rPr>
      </w:pPr>
      <w:r>
        <w:rPr>
          <w:rFonts w:cs="Arial" w:hint="cs"/>
          <w:rtl/>
        </w:rPr>
        <w:t>מי</w:t>
      </w:r>
      <w:r>
        <w:rPr>
          <w:rFonts w:cs="Arial"/>
          <w:rtl/>
        </w:rPr>
        <w:t xml:space="preserve"> </w:t>
      </w:r>
      <w:r>
        <w:rPr>
          <w:rFonts w:cs="Arial" w:hint="cs"/>
          <w:rtl/>
        </w:rPr>
        <w:t>ששמו</w:t>
      </w:r>
      <w:r>
        <w:rPr>
          <w:rFonts w:cs="Arial"/>
          <w:rtl/>
        </w:rPr>
        <w:t xml:space="preserve"> </w:t>
      </w:r>
      <w:r>
        <w:rPr>
          <w:rFonts w:cs="Arial" w:hint="cs"/>
          <w:rtl/>
        </w:rPr>
        <w:t>גרשום</w:t>
      </w:r>
      <w:r>
        <w:rPr>
          <w:rFonts w:cs="Arial"/>
          <w:rtl/>
        </w:rPr>
        <w:t xml:space="preserve">, </w:t>
      </w:r>
      <w:r>
        <w:rPr>
          <w:rFonts w:cs="Arial" w:hint="cs"/>
          <w:rtl/>
        </w:rPr>
        <w:t>וכתבו</w:t>
      </w:r>
      <w:r>
        <w:rPr>
          <w:rFonts w:cs="Arial"/>
          <w:rtl/>
        </w:rPr>
        <w:t xml:space="preserve"> </w:t>
      </w:r>
      <w:r>
        <w:rPr>
          <w:rFonts w:cs="Arial" w:hint="cs"/>
          <w:rtl/>
        </w:rPr>
        <w:t>בגט</w:t>
      </w:r>
      <w:r>
        <w:rPr>
          <w:rFonts w:cs="Arial"/>
          <w:rtl/>
        </w:rPr>
        <w:t xml:space="preserve">: </w:t>
      </w:r>
      <w:r>
        <w:rPr>
          <w:rFonts w:cs="Arial" w:hint="cs"/>
          <w:rtl/>
        </w:rPr>
        <w:t>גרשון,</w:t>
      </w:r>
      <w:r>
        <w:rPr>
          <w:rFonts w:cs="Arial"/>
          <w:rtl/>
        </w:rPr>
        <w:t xml:space="preserve"> </w:t>
      </w:r>
      <w:r>
        <w:rPr>
          <w:rFonts w:cs="Arial" w:hint="cs"/>
          <w:rtl/>
        </w:rPr>
        <w:t>או</w:t>
      </w:r>
      <w:r>
        <w:rPr>
          <w:rFonts w:cs="Arial"/>
          <w:rtl/>
        </w:rPr>
        <w:t xml:space="preserve"> </w:t>
      </w:r>
      <w:r>
        <w:rPr>
          <w:rFonts w:cs="Arial" w:hint="cs"/>
          <w:rtl/>
        </w:rPr>
        <w:t>שהיה</w:t>
      </w:r>
      <w:r>
        <w:rPr>
          <w:rFonts w:cs="Arial"/>
          <w:rtl/>
        </w:rPr>
        <w:t xml:space="preserve"> </w:t>
      </w:r>
      <w:r>
        <w:rPr>
          <w:rFonts w:cs="Arial" w:hint="cs"/>
          <w:rtl/>
        </w:rPr>
        <w:t>שמו</w:t>
      </w:r>
      <w:r>
        <w:rPr>
          <w:rFonts w:cs="Arial"/>
          <w:rtl/>
        </w:rPr>
        <w:t xml:space="preserve"> </w:t>
      </w:r>
      <w:r>
        <w:rPr>
          <w:rFonts w:cs="Arial" w:hint="cs"/>
          <w:rtl/>
        </w:rPr>
        <w:t>גרשון</w:t>
      </w:r>
      <w:r>
        <w:rPr>
          <w:rFonts w:cs="Arial"/>
          <w:rtl/>
        </w:rPr>
        <w:t xml:space="preserve">, </w:t>
      </w:r>
      <w:r>
        <w:rPr>
          <w:rFonts w:cs="Arial" w:hint="cs"/>
          <w:rtl/>
        </w:rPr>
        <w:t>וכתבו</w:t>
      </w:r>
      <w:r>
        <w:rPr>
          <w:rFonts w:cs="Arial"/>
          <w:rtl/>
        </w:rPr>
        <w:t xml:space="preserve">: </w:t>
      </w:r>
      <w:r>
        <w:rPr>
          <w:rFonts w:cs="Arial" w:hint="cs"/>
          <w:rtl/>
        </w:rPr>
        <w:t>גרשום</w:t>
      </w:r>
      <w:r>
        <w:rPr>
          <w:rFonts w:cs="Arial"/>
          <w:rtl/>
        </w:rPr>
        <w:t xml:space="preserve">, </w:t>
      </w:r>
      <w:r>
        <w:rPr>
          <w:rFonts w:cs="Arial" w:hint="cs"/>
          <w:rtl/>
        </w:rPr>
        <w:t>אינו</w:t>
      </w:r>
      <w:r>
        <w:rPr>
          <w:rFonts w:cs="Arial"/>
          <w:rtl/>
        </w:rPr>
        <w:t xml:space="preserve"> </w:t>
      </w:r>
      <w:r>
        <w:rPr>
          <w:rFonts w:cs="Arial" w:hint="cs"/>
          <w:rtl/>
        </w:rPr>
        <w:t>גט</w:t>
      </w:r>
      <w:r>
        <w:rPr>
          <w:rFonts w:cs="Arial"/>
          <w:rtl/>
        </w:rPr>
        <w:t xml:space="preserve">. </w:t>
      </w:r>
    </w:p>
    <w:p w14:paraId="786DDC71" w14:textId="77777777" w:rsidR="00FA2119" w:rsidRDefault="00FA2119" w:rsidP="00FA2119">
      <w:pPr>
        <w:rPr>
          <w:rtl/>
        </w:rPr>
      </w:pPr>
    </w:p>
    <w:p w14:paraId="29AEC23B" w14:textId="77777777" w:rsidR="00FA2119" w:rsidRDefault="00FA2119" w:rsidP="00FA2119">
      <w:pPr>
        <w:pStyle w:val="2"/>
        <w:rPr>
          <w:rtl/>
        </w:rPr>
      </w:pPr>
      <w:r>
        <w:rPr>
          <w:rFonts w:hint="cs"/>
          <w:rtl/>
        </w:rPr>
        <w:t>סעיף</w:t>
      </w:r>
      <w:r>
        <w:rPr>
          <w:rtl/>
        </w:rPr>
        <w:t xml:space="preserve"> </w:t>
      </w:r>
      <w:r>
        <w:rPr>
          <w:rFonts w:hint="cs"/>
          <w:rtl/>
        </w:rPr>
        <w:t>כב: אליהו. אליה.</w:t>
      </w:r>
    </w:p>
    <w:p w14:paraId="305E098E" w14:textId="19579AAD" w:rsidR="00FA2119" w:rsidRPr="007635CB" w:rsidRDefault="00FA2119" w:rsidP="00FA2119">
      <w:pPr>
        <w:rPr>
          <w:u w:val="single"/>
          <w:rtl/>
        </w:rPr>
      </w:pPr>
      <w:r w:rsidRPr="00511621">
        <w:rPr>
          <w:rFonts w:hint="cs"/>
          <w:u w:val="single"/>
          <w:rtl/>
        </w:rPr>
        <w:t xml:space="preserve">כתיבת השם </w:t>
      </w:r>
      <w:r>
        <w:rPr>
          <w:rFonts w:hint="cs"/>
          <w:u w:val="single"/>
          <w:rtl/>
        </w:rPr>
        <w:t>'אליהו' ו</w:t>
      </w:r>
      <w:r w:rsidR="00A82951">
        <w:rPr>
          <w:rFonts w:hint="cs"/>
          <w:u w:val="single"/>
          <w:rtl/>
        </w:rPr>
        <w:t>-</w:t>
      </w:r>
      <w:r>
        <w:rPr>
          <w:rFonts w:hint="cs"/>
          <w:u w:val="single"/>
          <w:rtl/>
        </w:rPr>
        <w:t xml:space="preserve"> 'אליה'</w:t>
      </w:r>
      <w:r w:rsidRPr="00511621">
        <w:rPr>
          <w:rFonts w:hint="cs"/>
          <w:u w:val="single"/>
          <w:rtl/>
        </w:rPr>
        <w:t xml:space="preserve">: </w:t>
      </w:r>
    </w:p>
    <w:p w14:paraId="005FC8BA" w14:textId="22B53DE9" w:rsidR="00FA2119" w:rsidRPr="007635CB" w:rsidRDefault="00FA2119" w:rsidP="005D32D3">
      <w:pPr>
        <w:pStyle w:val="ab"/>
        <w:numPr>
          <w:ilvl w:val="0"/>
          <w:numId w:val="80"/>
        </w:numPr>
      </w:pPr>
      <w:r w:rsidRPr="007635CB">
        <w:rPr>
          <w:rFonts w:cs="Arial"/>
          <w:rtl/>
        </w:rPr>
        <w:t xml:space="preserve">תרוה"ד </w:t>
      </w:r>
      <w:r w:rsidRPr="007635CB">
        <w:rPr>
          <w:rFonts w:cs="Arial" w:hint="cs"/>
          <w:sz w:val="16"/>
          <w:szCs w:val="16"/>
          <w:rtl/>
        </w:rPr>
        <w:t xml:space="preserve">(כתבים </w:t>
      </w:r>
      <w:r w:rsidRPr="007635CB">
        <w:rPr>
          <w:rFonts w:cs="Arial"/>
          <w:sz w:val="16"/>
          <w:szCs w:val="16"/>
          <w:rtl/>
        </w:rPr>
        <w:t>ח"ב סי</w:t>
      </w:r>
      <w:r w:rsidRPr="007635CB">
        <w:rPr>
          <w:rFonts w:cs="Arial" w:hint="cs"/>
          <w:sz w:val="16"/>
          <w:szCs w:val="16"/>
          <w:rtl/>
        </w:rPr>
        <w:t>' ל</w:t>
      </w:r>
      <w:r w:rsidRPr="007635CB">
        <w:rPr>
          <w:rFonts w:cs="Arial"/>
          <w:sz w:val="16"/>
          <w:szCs w:val="16"/>
          <w:rtl/>
        </w:rPr>
        <w:t>ט</w:t>
      </w:r>
      <w:r w:rsidRPr="007635CB">
        <w:rPr>
          <w:rFonts w:cs="Arial" w:hint="cs"/>
          <w:sz w:val="16"/>
          <w:szCs w:val="16"/>
          <w:rtl/>
        </w:rPr>
        <w:t>, ובשו"ת סי' רלג)</w:t>
      </w:r>
      <w:r w:rsidR="00A82951">
        <w:rPr>
          <w:rFonts w:cs="Arial" w:hint="cs"/>
          <w:rtl/>
        </w:rPr>
        <w:t>-</w:t>
      </w:r>
      <w:r w:rsidRPr="007635CB">
        <w:rPr>
          <w:rFonts w:cs="Arial" w:hint="cs"/>
          <w:rtl/>
        </w:rPr>
        <w:t xml:space="preserve"> </w:t>
      </w:r>
      <w:r w:rsidRPr="007635CB">
        <w:rPr>
          <w:rFonts w:cs="Arial"/>
          <w:rtl/>
        </w:rPr>
        <w:t xml:space="preserve">אם לא נודע אם שמו אליה או אליהו </w:t>
      </w:r>
      <w:r w:rsidR="00A82951">
        <w:rPr>
          <w:rFonts w:cs="Arial" w:hint="cs"/>
          <w:rtl/>
        </w:rPr>
        <w:t>-</w:t>
      </w:r>
      <w:r w:rsidRPr="007635CB">
        <w:rPr>
          <w:rFonts w:cs="Arial" w:hint="cs"/>
          <w:rtl/>
        </w:rPr>
        <w:t xml:space="preserve"> </w:t>
      </w:r>
      <w:r w:rsidRPr="007635CB">
        <w:rPr>
          <w:rFonts w:cs="Arial"/>
          <w:rtl/>
        </w:rPr>
        <w:t>יש לכתוב אליהו</w:t>
      </w:r>
      <w:r w:rsidRPr="007635CB">
        <w:rPr>
          <w:rFonts w:cs="Arial" w:hint="cs"/>
          <w:rtl/>
        </w:rPr>
        <w:t>,</w:t>
      </w:r>
      <w:r w:rsidRPr="007635CB">
        <w:rPr>
          <w:rFonts w:cs="Arial"/>
          <w:rtl/>
        </w:rPr>
        <w:t xml:space="preserve"> כי ברוב המקומות נכתב אליהו</w:t>
      </w:r>
      <w:r w:rsidRPr="007635CB">
        <w:rPr>
          <w:rFonts w:cs="Arial" w:hint="cs"/>
          <w:rtl/>
        </w:rPr>
        <w:t>,</w:t>
      </w:r>
      <w:r w:rsidRPr="007635CB">
        <w:rPr>
          <w:rFonts w:cs="Arial"/>
          <w:rtl/>
        </w:rPr>
        <w:t xml:space="preserve"> לבד בה' מקומות</w:t>
      </w:r>
      <w:r w:rsidR="005D32D3">
        <w:rPr>
          <w:rStyle w:val="a7"/>
          <w:rFonts w:cs="Arial"/>
          <w:rtl/>
        </w:rPr>
        <w:footnoteReference w:id="1158"/>
      </w:r>
      <w:r w:rsidRPr="007635CB">
        <w:rPr>
          <w:rFonts w:cs="Arial"/>
          <w:rtl/>
        </w:rPr>
        <w:t xml:space="preserve"> </w:t>
      </w:r>
      <w:r w:rsidRPr="007635CB">
        <w:rPr>
          <w:rFonts w:cs="Arial"/>
          <w:sz w:val="16"/>
          <w:szCs w:val="16"/>
          <w:rtl/>
        </w:rPr>
        <w:t>(מדרש חסירות ויתירות סי' לד)</w:t>
      </w:r>
      <w:r w:rsidRPr="007635CB">
        <w:rPr>
          <w:rFonts w:cs="Arial" w:hint="cs"/>
          <w:rtl/>
        </w:rPr>
        <w:t>.</w:t>
      </w:r>
      <w:r w:rsidRPr="001355DA">
        <w:rPr>
          <w:rFonts w:hint="cs"/>
          <w:color w:val="E36C0A" w:themeColor="accent6" w:themeShade="BF"/>
          <w:rtl/>
        </w:rPr>
        <w:t xml:space="preserve"> </w:t>
      </w:r>
      <w:r w:rsidRPr="00620AA7">
        <w:rPr>
          <w:rFonts w:hint="cs"/>
          <w:color w:val="E36C0A" w:themeColor="accent6" w:themeShade="BF"/>
          <w:rtl/>
        </w:rPr>
        <w:t>(וכ"פ בשו"ע)</w:t>
      </w:r>
    </w:p>
    <w:p w14:paraId="75A438CC"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3823D0EA" w14:textId="77777777" w:rsidR="00FA2119" w:rsidRDefault="00FA2119" w:rsidP="00FA2119">
      <w:pPr>
        <w:rPr>
          <w:rtl/>
        </w:rPr>
      </w:pPr>
      <w:r>
        <w:rPr>
          <w:rFonts w:cs="Arial" w:hint="cs"/>
          <w:rtl/>
        </w:rPr>
        <w:t>אם</w:t>
      </w:r>
      <w:r>
        <w:rPr>
          <w:rFonts w:cs="Arial"/>
          <w:rtl/>
        </w:rPr>
        <w:t xml:space="preserve"> </w:t>
      </w:r>
      <w:r>
        <w:rPr>
          <w:rFonts w:cs="Arial" w:hint="cs"/>
          <w:rtl/>
        </w:rPr>
        <w:t>לא</w:t>
      </w:r>
      <w:r>
        <w:rPr>
          <w:rFonts w:cs="Arial"/>
          <w:rtl/>
        </w:rPr>
        <w:t xml:space="preserve"> </w:t>
      </w:r>
      <w:r>
        <w:rPr>
          <w:rFonts w:cs="Arial" w:hint="cs"/>
          <w:rtl/>
        </w:rPr>
        <w:t>נודע</w:t>
      </w:r>
      <w:r>
        <w:rPr>
          <w:rFonts w:cs="Arial"/>
          <w:rtl/>
        </w:rPr>
        <w:t xml:space="preserve"> </w:t>
      </w:r>
      <w:r>
        <w:rPr>
          <w:rFonts w:cs="Arial" w:hint="cs"/>
          <w:rtl/>
        </w:rPr>
        <w:t>אם</w:t>
      </w:r>
      <w:r>
        <w:rPr>
          <w:rFonts w:cs="Arial"/>
          <w:rtl/>
        </w:rPr>
        <w:t xml:space="preserve"> </w:t>
      </w:r>
      <w:r>
        <w:rPr>
          <w:rFonts w:cs="Arial" w:hint="cs"/>
          <w:rtl/>
        </w:rPr>
        <w:t>שמו</w:t>
      </w:r>
      <w:r>
        <w:rPr>
          <w:rFonts w:cs="Arial"/>
          <w:rtl/>
        </w:rPr>
        <w:t xml:space="preserve"> </w:t>
      </w:r>
      <w:r>
        <w:rPr>
          <w:rFonts w:cs="Arial" w:hint="cs"/>
          <w:rtl/>
        </w:rPr>
        <w:t>אליה</w:t>
      </w:r>
      <w:r>
        <w:rPr>
          <w:rFonts w:cs="Arial"/>
          <w:rtl/>
        </w:rPr>
        <w:t xml:space="preserve"> </w:t>
      </w:r>
      <w:r>
        <w:rPr>
          <w:rFonts w:cs="Arial" w:hint="cs"/>
          <w:rtl/>
        </w:rPr>
        <w:t>או</w:t>
      </w:r>
      <w:r>
        <w:rPr>
          <w:rFonts w:cs="Arial"/>
          <w:rtl/>
        </w:rPr>
        <w:t xml:space="preserve"> </w:t>
      </w:r>
      <w:r>
        <w:rPr>
          <w:rFonts w:cs="Arial" w:hint="cs"/>
          <w:rtl/>
        </w:rPr>
        <w:t>אליהו</w:t>
      </w:r>
      <w:r>
        <w:rPr>
          <w:rFonts w:cs="Arial"/>
          <w:rtl/>
        </w:rPr>
        <w:t xml:space="preserve">, </w:t>
      </w:r>
      <w:r>
        <w:rPr>
          <w:rFonts w:cs="Arial" w:hint="cs"/>
          <w:rtl/>
        </w:rPr>
        <w:t>יכתוב</w:t>
      </w:r>
      <w:r>
        <w:rPr>
          <w:rFonts w:cs="Arial"/>
          <w:rtl/>
        </w:rPr>
        <w:t xml:space="preserve">: </w:t>
      </w:r>
      <w:r>
        <w:rPr>
          <w:rFonts w:cs="Arial" w:hint="cs"/>
          <w:rtl/>
        </w:rPr>
        <w:t>אליהו</w:t>
      </w:r>
      <w:r>
        <w:rPr>
          <w:rStyle w:val="a7"/>
          <w:rFonts w:cs="Arial"/>
          <w:rtl/>
        </w:rPr>
        <w:footnoteReference w:id="1159"/>
      </w:r>
      <w:r>
        <w:rPr>
          <w:rFonts w:cs="Arial" w:hint="cs"/>
          <w:rtl/>
        </w:rPr>
        <w:t>.</w:t>
      </w:r>
      <w:r>
        <w:rPr>
          <w:rFonts w:cs="Arial"/>
          <w:rtl/>
        </w:rPr>
        <w:t xml:space="preserve"> </w:t>
      </w:r>
      <w:r>
        <w:rPr>
          <w:rFonts w:cs="Arial" w:hint="cs"/>
          <w:rtl/>
        </w:rPr>
        <w:t>ואם</w:t>
      </w:r>
      <w:r>
        <w:rPr>
          <w:rFonts w:cs="Arial"/>
          <w:rtl/>
        </w:rPr>
        <w:t xml:space="preserve"> </w:t>
      </w:r>
      <w:r>
        <w:rPr>
          <w:rFonts w:cs="Arial" w:hint="cs"/>
          <w:rtl/>
        </w:rPr>
        <w:t>כתב</w:t>
      </w:r>
      <w:r>
        <w:rPr>
          <w:rFonts w:cs="Arial"/>
          <w:rtl/>
        </w:rPr>
        <w:t xml:space="preserve">: </w:t>
      </w:r>
      <w:r>
        <w:rPr>
          <w:rFonts w:cs="Arial" w:hint="cs"/>
          <w:rtl/>
        </w:rPr>
        <w:t>אליה</w:t>
      </w:r>
      <w:r>
        <w:rPr>
          <w:rFonts w:cs="Arial"/>
          <w:rtl/>
        </w:rPr>
        <w:t xml:space="preserve">, </w:t>
      </w:r>
      <w:r>
        <w:rPr>
          <w:rFonts w:cs="Arial" w:hint="cs"/>
          <w:rtl/>
        </w:rPr>
        <w:t>לא</w:t>
      </w:r>
      <w:r>
        <w:rPr>
          <w:rFonts w:cs="Arial"/>
          <w:rtl/>
        </w:rPr>
        <w:t xml:space="preserve"> </w:t>
      </w:r>
      <w:r>
        <w:rPr>
          <w:rFonts w:cs="Arial" w:hint="cs"/>
          <w:rtl/>
        </w:rPr>
        <w:t>פסל</w:t>
      </w:r>
      <w:r>
        <w:rPr>
          <w:rFonts w:cs="Arial"/>
          <w:rtl/>
        </w:rPr>
        <w:t xml:space="preserve">. </w:t>
      </w:r>
      <w:r w:rsidRPr="00C03494">
        <w:rPr>
          <w:rFonts w:cs="Arial" w:hint="cs"/>
          <w:sz w:val="18"/>
          <w:szCs w:val="18"/>
          <w:rtl/>
        </w:rPr>
        <w:t>הגה</w:t>
      </w:r>
      <w:r w:rsidRPr="00C03494">
        <w:rPr>
          <w:rFonts w:cs="Arial"/>
          <w:sz w:val="18"/>
          <w:szCs w:val="18"/>
          <w:rtl/>
        </w:rPr>
        <w:t xml:space="preserve">: </w:t>
      </w:r>
      <w:r w:rsidRPr="00C03494">
        <w:rPr>
          <w:rFonts w:cs="Arial" w:hint="cs"/>
          <w:sz w:val="18"/>
          <w:szCs w:val="18"/>
          <w:rtl/>
        </w:rPr>
        <w:t>ואם</w:t>
      </w:r>
      <w:r w:rsidRPr="00C03494">
        <w:rPr>
          <w:rFonts w:cs="Arial"/>
          <w:sz w:val="18"/>
          <w:szCs w:val="18"/>
          <w:rtl/>
        </w:rPr>
        <w:t xml:space="preserve"> </w:t>
      </w:r>
      <w:r w:rsidRPr="00C03494">
        <w:rPr>
          <w:rFonts w:cs="Arial" w:hint="cs"/>
          <w:sz w:val="18"/>
          <w:szCs w:val="18"/>
          <w:rtl/>
        </w:rPr>
        <w:t>חותם</w:t>
      </w:r>
      <w:r w:rsidRPr="00C03494">
        <w:rPr>
          <w:rFonts w:cs="Arial"/>
          <w:sz w:val="18"/>
          <w:szCs w:val="18"/>
          <w:rtl/>
        </w:rPr>
        <w:t xml:space="preserve"> </w:t>
      </w:r>
      <w:r w:rsidRPr="00C03494">
        <w:rPr>
          <w:rFonts w:cs="Arial" w:hint="cs"/>
          <w:sz w:val="18"/>
          <w:szCs w:val="18"/>
          <w:rtl/>
        </w:rPr>
        <w:t>עצמו</w:t>
      </w:r>
      <w:r w:rsidRPr="00C03494">
        <w:rPr>
          <w:rFonts w:cs="Arial"/>
          <w:sz w:val="18"/>
          <w:szCs w:val="18"/>
          <w:rtl/>
        </w:rPr>
        <w:t xml:space="preserve"> </w:t>
      </w:r>
      <w:r w:rsidRPr="00C03494">
        <w:rPr>
          <w:rFonts w:cs="Arial" w:hint="cs"/>
          <w:sz w:val="18"/>
          <w:szCs w:val="18"/>
          <w:rtl/>
        </w:rPr>
        <w:t>או</w:t>
      </w:r>
      <w:r w:rsidRPr="00C03494">
        <w:rPr>
          <w:rFonts w:cs="Arial"/>
          <w:sz w:val="18"/>
          <w:szCs w:val="18"/>
          <w:rtl/>
        </w:rPr>
        <w:t xml:space="preserve"> </w:t>
      </w:r>
      <w:r w:rsidRPr="00C03494">
        <w:rPr>
          <w:rFonts w:cs="Arial" w:hint="cs"/>
          <w:sz w:val="18"/>
          <w:szCs w:val="18"/>
          <w:rtl/>
        </w:rPr>
        <w:t>עולה</w:t>
      </w:r>
      <w:r w:rsidRPr="00C03494">
        <w:rPr>
          <w:rFonts w:cs="Arial"/>
          <w:sz w:val="18"/>
          <w:szCs w:val="18"/>
          <w:rtl/>
        </w:rPr>
        <w:t xml:space="preserve"> </w:t>
      </w:r>
      <w:r w:rsidRPr="00C03494">
        <w:rPr>
          <w:rFonts w:cs="Arial" w:hint="cs"/>
          <w:sz w:val="18"/>
          <w:szCs w:val="18"/>
          <w:rtl/>
        </w:rPr>
        <w:t>לספר</w:t>
      </w:r>
      <w:r w:rsidRPr="00C03494">
        <w:rPr>
          <w:rFonts w:cs="Arial"/>
          <w:sz w:val="18"/>
          <w:szCs w:val="18"/>
          <w:rtl/>
        </w:rPr>
        <w:t xml:space="preserve"> </w:t>
      </w:r>
      <w:r w:rsidRPr="00C03494">
        <w:rPr>
          <w:rFonts w:cs="Arial" w:hint="cs"/>
          <w:sz w:val="18"/>
          <w:szCs w:val="18"/>
          <w:rtl/>
        </w:rPr>
        <w:t>תורה</w:t>
      </w:r>
      <w:r w:rsidRPr="00C03494">
        <w:rPr>
          <w:rFonts w:cs="Arial"/>
          <w:sz w:val="18"/>
          <w:szCs w:val="18"/>
          <w:rtl/>
        </w:rPr>
        <w:t xml:space="preserve">: </w:t>
      </w:r>
      <w:r w:rsidRPr="00C03494">
        <w:rPr>
          <w:rFonts w:cs="Arial" w:hint="cs"/>
          <w:sz w:val="18"/>
          <w:szCs w:val="18"/>
          <w:rtl/>
        </w:rPr>
        <w:t>אליה</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אליה</w:t>
      </w:r>
      <w:r w:rsidRPr="00C03494">
        <w:rPr>
          <w:rFonts w:cs="Arial"/>
          <w:sz w:val="18"/>
          <w:szCs w:val="18"/>
          <w:rtl/>
        </w:rPr>
        <w:t xml:space="preserve">, </w:t>
      </w:r>
      <w:r w:rsidRPr="00C03494">
        <w:rPr>
          <w:rFonts w:cs="Arial" w:hint="cs"/>
          <w:sz w:val="18"/>
          <w:szCs w:val="18"/>
          <w:rtl/>
        </w:rPr>
        <w:t>וכל</w:t>
      </w:r>
      <w:r w:rsidRPr="00C03494">
        <w:rPr>
          <w:rFonts w:cs="Arial"/>
          <w:sz w:val="18"/>
          <w:szCs w:val="18"/>
          <w:rtl/>
        </w:rPr>
        <w:t xml:space="preserve"> </w:t>
      </w:r>
      <w:r w:rsidRPr="00C03494">
        <w:rPr>
          <w:rFonts w:cs="Arial" w:hint="cs"/>
          <w:sz w:val="18"/>
          <w:szCs w:val="18"/>
          <w:rtl/>
        </w:rPr>
        <w:t>כיוצא</w:t>
      </w:r>
      <w:r w:rsidRPr="00C03494">
        <w:rPr>
          <w:rFonts w:cs="Arial"/>
          <w:sz w:val="18"/>
          <w:szCs w:val="18"/>
          <w:rtl/>
        </w:rPr>
        <w:t xml:space="preserve"> </w:t>
      </w:r>
      <w:r w:rsidRPr="00C03494">
        <w:rPr>
          <w:rFonts w:cs="Arial" w:hint="cs"/>
          <w:sz w:val="18"/>
          <w:szCs w:val="18"/>
          <w:rtl/>
        </w:rPr>
        <w:t>בזה</w:t>
      </w:r>
      <w:r w:rsidRPr="00C03494">
        <w:rPr>
          <w:rFonts w:cs="Arial"/>
          <w:sz w:val="18"/>
          <w:szCs w:val="18"/>
          <w:rtl/>
        </w:rPr>
        <w:t xml:space="preserve"> (</w:t>
      </w:r>
      <w:r w:rsidRPr="00C03494">
        <w:rPr>
          <w:rFonts w:cs="Arial" w:hint="cs"/>
          <w:sz w:val="18"/>
          <w:szCs w:val="18"/>
          <w:rtl/>
        </w:rPr>
        <w:t>מפי</w:t>
      </w:r>
      <w:r w:rsidRPr="00C03494">
        <w:rPr>
          <w:rFonts w:cs="Arial"/>
          <w:sz w:val="18"/>
          <w:szCs w:val="18"/>
          <w:rtl/>
        </w:rPr>
        <w:t xml:space="preserve"> </w:t>
      </w:r>
      <w:r w:rsidRPr="00C03494">
        <w:rPr>
          <w:rFonts w:cs="Arial" w:hint="cs"/>
          <w:sz w:val="18"/>
          <w:szCs w:val="18"/>
          <w:rtl/>
        </w:rPr>
        <w:t>הקבלה</w:t>
      </w:r>
      <w:r w:rsidRPr="00C03494">
        <w:rPr>
          <w:rFonts w:cs="Arial"/>
          <w:sz w:val="18"/>
          <w:szCs w:val="18"/>
          <w:rtl/>
        </w:rPr>
        <w:t xml:space="preserve"> </w:t>
      </w:r>
      <w:r w:rsidRPr="00C03494">
        <w:rPr>
          <w:rFonts w:cs="Arial" w:hint="cs"/>
          <w:sz w:val="18"/>
          <w:szCs w:val="18"/>
          <w:rtl/>
        </w:rPr>
        <w:t>מר</w:t>
      </w:r>
      <w:r w:rsidRPr="00C03494">
        <w:rPr>
          <w:rFonts w:cs="Arial"/>
          <w:sz w:val="18"/>
          <w:szCs w:val="18"/>
          <w:rtl/>
        </w:rPr>
        <w:t>"</w:t>
      </w:r>
      <w:r w:rsidRPr="00C03494">
        <w:rPr>
          <w:rFonts w:cs="Arial" w:hint="cs"/>
          <w:sz w:val="18"/>
          <w:szCs w:val="18"/>
          <w:rtl/>
        </w:rPr>
        <w:t>א</w:t>
      </w:r>
      <w:r w:rsidRPr="00C03494">
        <w:rPr>
          <w:rFonts w:cs="Arial"/>
          <w:sz w:val="18"/>
          <w:szCs w:val="18"/>
          <w:rtl/>
        </w:rPr>
        <w:t xml:space="preserve"> </w:t>
      </w:r>
      <w:r w:rsidRPr="00C03494">
        <w:rPr>
          <w:rFonts w:cs="Arial" w:hint="cs"/>
          <w:sz w:val="18"/>
          <w:szCs w:val="18"/>
          <w:rtl/>
        </w:rPr>
        <w:t>מפרא</w:t>
      </w:r>
      <w:r w:rsidRPr="00C03494">
        <w:rPr>
          <w:rFonts w:cs="Arial"/>
          <w:sz w:val="18"/>
          <w:szCs w:val="18"/>
          <w:rtl/>
        </w:rPr>
        <w:t>"</w:t>
      </w:r>
      <w:r w:rsidRPr="00C03494">
        <w:rPr>
          <w:rFonts w:cs="Arial" w:hint="cs"/>
          <w:sz w:val="18"/>
          <w:szCs w:val="18"/>
          <w:rtl/>
        </w:rPr>
        <w:t>ג</w:t>
      </w:r>
      <w:r w:rsidRPr="00C03494">
        <w:rPr>
          <w:rFonts w:cs="Arial"/>
          <w:sz w:val="18"/>
          <w:szCs w:val="18"/>
          <w:rtl/>
        </w:rPr>
        <w:t>).</w:t>
      </w:r>
      <w:r>
        <w:rPr>
          <w:rFonts w:cs="Arial"/>
          <w:rtl/>
        </w:rPr>
        <w:t xml:space="preserve"> </w:t>
      </w:r>
    </w:p>
    <w:p w14:paraId="51126AF6" w14:textId="77777777" w:rsidR="00FA2119" w:rsidRDefault="00FA2119" w:rsidP="00FA2119">
      <w:pPr>
        <w:rPr>
          <w:rtl/>
        </w:rPr>
      </w:pPr>
    </w:p>
    <w:p w14:paraId="4A9E43EC" w14:textId="77777777" w:rsidR="00FA2119" w:rsidRDefault="00FA2119" w:rsidP="00FA2119">
      <w:pPr>
        <w:pStyle w:val="2"/>
        <w:rPr>
          <w:rtl/>
        </w:rPr>
      </w:pPr>
      <w:r>
        <w:rPr>
          <w:rFonts w:hint="cs"/>
          <w:rtl/>
        </w:rPr>
        <w:t>סעיף</w:t>
      </w:r>
      <w:r>
        <w:rPr>
          <w:rtl/>
        </w:rPr>
        <w:t xml:space="preserve"> </w:t>
      </w:r>
      <w:r>
        <w:rPr>
          <w:rFonts w:hint="cs"/>
          <w:rtl/>
        </w:rPr>
        <w:t>כג: שמריה.</w:t>
      </w:r>
    </w:p>
    <w:p w14:paraId="34A0856F" w14:textId="77777777" w:rsidR="00FA2119" w:rsidRPr="001355DA" w:rsidRDefault="00FA2119" w:rsidP="00FA2119">
      <w:pPr>
        <w:rPr>
          <w:rtl/>
        </w:rPr>
      </w:pPr>
      <w:r w:rsidRPr="00511621">
        <w:rPr>
          <w:rFonts w:hint="cs"/>
          <w:u w:val="single"/>
          <w:rtl/>
        </w:rPr>
        <w:t xml:space="preserve">כתיבת השם </w:t>
      </w:r>
      <w:r>
        <w:rPr>
          <w:rFonts w:hint="cs"/>
          <w:u w:val="single"/>
          <w:rtl/>
        </w:rPr>
        <w:t>'שמריה':</w:t>
      </w:r>
    </w:p>
    <w:p w14:paraId="0D2BBEDB" w14:textId="22F8EAF7" w:rsidR="00FA2119" w:rsidRPr="006E7B6D" w:rsidRDefault="00FA2119" w:rsidP="00FA2119">
      <w:pPr>
        <w:pStyle w:val="ab"/>
        <w:numPr>
          <w:ilvl w:val="0"/>
          <w:numId w:val="80"/>
        </w:numPr>
        <w:rPr>
          <w:rtl/>
        </w:rPr>
      </w:pPr>
      <w:r w:rsidRPr="001355DA">
        <w:rPr>
          <w:rFonts w:cs="Arial" w:hint="cs"/>
          <w:rtl/>
        </w:rPr>
        <w:t xml:space="preserve">תרוה"ד </w:t>
      </w:r>
      <w:r w:rsidRPr="001355DA">
        <w:rPr>
          <w:rFonts w:cs="Arial" w:hint="cs"/>
          <w:sz w:val="16"/>
          <w:szCs w:val="16"/>
          <w:rtl/>
        </w:rPr>
        <w:t>(סי' רלג)</w:t>
      </w:r>
      <w:r w:rsidR="00A82951">
        <w:rPr>
          <w:rFonts w:cs="Arial" w:hint="cs"/>
          <w:rtl/>
        </w:rPr>
        <w:t>-</w:t>
      </w:r>
      <w:r w:rsidRPr="001355DA">
        <w:rPr>
          <w:rFonts w:cs="Arial" w:hint="cs"/>
          <w:rtl/>
        </w:rPr>
        <w:t xml:space="preserve"> </w:t>
      </w:r>
      <w:r w:rsidRPr="001355DA">
        <w:rPr>
          <w:rFonts w:cs="Arial"/>
          <w:rtl/>
        </w:rPr>
        <w:t>שם שמריה אין לכתוב שמריהו בוי"ו</w:t>
      </w:r>
      <w:r w:rsidRPr="001355DA">
        <w:rPr>
          <w:rFonts w:cs="Arial" w:hint="cs"/>
          <w:rtl/>
        </w:rPr>
        <w:t>...</w:t>
      </w:r>
      <w:r w:rsidRPr="001355DA">
        <w:rPr>
          <w:rFonts w:cs="Arial"/>
          <w:rtl/>
        </w:rPr>
        <w:t xml:space="preserve"> ואם כתבו בוי"ו יש להסתפק כיון דלא אשכחן שמריהו בוי"ו אלא חד בדברי הימים (דהי"א יב ה)</w:t>
      </w:r>
      <w:r w:rsidRPr="001355DA">
        <w:rPr>
          <w:rFonts w:cs="Arial" w:hint="cs"/>
          <w:rtl/>
        </w:rPr>
        <w:t>.</w:t>
      </w:r>
      <w:r w:rsidRPr="001355DA">
        <w:rPr>
          <w:rFonts w:hint="cs"/>
          <w:color w:val="E36C0A" w:themeColor="accent6" w:themeShade="BF"/>
          <w:rtl/>
        </w:rPr>
        <w:t xml:space="preserve"> </w:t>
      </w:r>
      <w:r w:rsidRPr="00620AA7">
        <w:rPr>
          <w:rFonts w:hint="cs"/>
          <w:color w:val="E36C0A" w:themeColor="accent6" w:themeShade="BF"/>
          <w:rtl/>
        </w:rPr>
        <w:t>(וכ"פ בשו"ע)</w:t>
      </w:r>
    </w:p>
    <w:p w14:paraId="62458EA1"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17DA3BC" w14:textId="77777777" w:rsidR="00FA2119" w:rsidRDefault="00FA2119" w:rsidP="00FA2119">
      <w:pPr>
        <w:rPr>
          <w:rtl/>
        </w:rPr>
      </w:pPr>
      <w:r>
        <w:rPr>
          <w:rFonts w:cs="Arial" w:hint="cs"/>
          <w:rtl/>
        </w:rPr>
        <w:t>שם</w:t>
      </w:r>
      <w:r>
        <w:rPr>
          <w:rFonts w:cs="Arial"/>
          <w:rtl/>
        </w:rPr>
        <w:t xml:space="preserve"> </w:t>
      </w:r>
      <w:r>
        <w:rPr>
          <w:rFonts w:cs="Arial" w:hint="cs"/>
          <w:rtl/>
        </w:rPr>
        <w:t>שמריה</w:t>
      </w:r>
      <w:r>
        <w:rPr>
          <w:rFonts w:cs="Arial"/>
          <w:rtl/>
        </w:rPr>
        <w:t xml:space="preserve">, </w:t>
      </w:r>
      <w:r>
        <w:rPr>
          <w:rFonts w:cs="Arial" w:hint="cs"/>
          <w:rtl/>
        </w:rPr>
        <w:t>אין</w:t>
      </w:r>
      <w:r>
        <w:rPr>
          <w:rFonts w:cs="Arial"/>
          <w:rtl/>
        </w:rPr>
        <w:t xml:space="preserve"> </w:t>
      </w:r>
      <w:r>
        <w:rPr>
          <w:rFonts w:cs="Arial" w:hint="cs"/>
          <w:rtl/>
        </w:rPr>
        <w:t>לכתוב</w:t>
      </w:r>
      <w:r>
        <w:rPr>
          <w:rFonts w:cs="Arial"/>
          <w:rtl/>
        </w:rPr>
        <w:t xml:space="preserve"> </w:t>
      </w:r>
      <w:r>
        <w:rPr>
          <w:rFonts w:cs="Arial" w:hint="cs"/>
          <w:rtl/>
        </w:rPr>
        <w:t>שמריהו</w:t>
      </w:r>
      <w:r>
        <w:rPr>
          <w:rFonts w:cs="Arial"/>
          <w:rtl/>
        </w:rPr>
        <w:t xml:space="preserve"> </w:t>
      </w:r>
      <w:r>
        <w:rPr>
          <w:rFonts w:cs="Arial" w:hint="cs"/>
          <w:rtl/>
        </w:rPr>
        <w:t>בוי</w:t>
      </w:r>
      <w:r>
        <w:rPr>
          <w:rFonts w:cs="Arial"/>
          <w:rtl/>
        </w:rPr>
        <w:t>"</w:t>
      </w:r>
      <w:r>
        <w:rPr>
          <w:rFonts w:cs="Arial" w:hint="cs"/>
          <w:rtl/>
        </w:rPr>
        <w:t>ו</w:t>
      </w:r>
      <w:r>
        <w:rPr>
          <w:rFonts w:cs="Arial"/>
          <w:rtl/>
        </w:rPr>
        <w:t xml:space="preserve">. </w:t>
      </w:r>
    </w:p>
    <w:p w14:paraId="6BFF36B1" w14:textId="77777777" w:rsidR="00FA2119" w:rsidRDefault="00FA2119" w:rsidP="00FA2119">
      <w:pPr>
        <w:rPr>
          <w:rtl/>
        </w:rPr>
      </w:pPr>
    </w:p>
    <w:p w14:paraId="38E20482" w14:textId="77777777" w:rsidR="00FA2119" w:rsidRDefault="00FA2119" w:rsidP="00FA2119">
      <w:pPr>
        <w:pStyle w:val="2"/>
        <w:rPr>
          <w:rtl/>
        </w:rPr>
      </w:pPr>
      <w:r>
        <w:rPr>
          <w:rFonts w:hint="cs"/>
          <w:rtl/>
        </w:rPr>
        <w:t>סעיף</w:t>
      </w:r>
      <w:r>
        <w:rPr>
          <w:rtl/>
        </w:rPr>
        <w:t xml:space="preserve"> </w:t>
      </w:r>
      <w:r>
        <w:rPr>
          <w:rFonts w:hint="cs"/>
          <w:rtl/>
        </w:rPr>
        <w:t>כד: מתתיה.</w:t>
      </w:r>
    </w:p>
    <w:p w14:paraId="51D3D1C2" w14:textId="77777777" w:rsidR="00FA2119" w:rsidRPr="001355DA" w:rsidRDefault="00FA2119" w:rsidP="00FA2119">
      <w:pPr>
        <w:rPr>
          <w:rtl/>
        </w:rPr>
      </w:pPr>
      <w:r w:rsidRPr="00511621">
        <w:rPr>
          <w:rFonts w:hint="cs"/>
          <w:u w:val="single"/>
          <w:rtl/>
        </w:rPr>
        <w:t xml:space="preserve">כתיבת השם </w:t>
      </w:r>
      <w:r>
        <w:rPr>
          <w:rFonts w:hint="cs"/>
          <w:u w:val="single"/>
          <w:rtl/>
        </w:rPr>
        <w:t>'מתתיה':</w:t>
      </w:r>
    </w:p>
    <w:p w14:paraId="4622D3D9" w14:textId="5981DFCD" w:rsidR="00FA2119" w:rsidRPr="006E7B6D" w:rsidRDefault="00FA2119" w:rsidP="00FA2119">
      <w:pPr>
        <w:pStyle w:val="ab"/>
        <w:numPr>
          <w:ilvl w:val="0"/>
          <w:numId w:val="80"/>
        </w:numPr>
        <w:rPr>
          <w:rtl/>
        </w:rPr>
      </w:pPr>
      <w:r w:rsidRPr="001355DA">
        <w:rPr>
          <w:rFonts w:cs="Arial" w:hint="cs"/>
          <w:rtl/>
        </w:rPr>
        <w:t xml:space="preserve">תרוה"ד </w:t>
      </w:r>
      <w:r w:rsidRPr="001355DA">
        <w:rPr>
          <w:rFonts w:cs="Arial" w:hint="cs"/>
          <w:sz w:val="16"/>
          <w:szCs w:val="16"/>
          <w:rtl/>
        </w:rPr>
        <w:t>(סי' רלג)</w:t>
      </w:r>
      <w:r w:rsidR="00A82951">
        <w:rPr>
          <w:rFonts w:cs="Arial" w:hint="cs"/>
          <w:rtl/>
        </w:rPr>
        <w:t>-</w:t>
      </w:r>
      <w:r w:rsidRPr="001355DA">
        <w:rPr>
          <w:rFonts w:cs="Arial" w:hint="cs"/>
          <w:rtl/>
        </w:rPr>
        <w:t xml:space="preserve"> </w:t>
      </w:r>
      <w:r w:rsidRPr="001355DA">
        <w:rPr>
          <w:rFonts w:cs="Arial"/>
          <w:rtl/>
        </w:rPr>
        <w:t>יש לכתוב מתתיהו בוי"ו</w:t>
      </w:r>
      <w:r>
        <w:rPr>
          <w:rFonts w:cs="Arial" w:hint="cs"/>
          <w:rtl/>
        </w:rPr>
        <w:t>,</w:t>
      </w:r>
      <w:r w:rsidRPr="001355DA">
        <w:rPr>
          <w:rFonts w:cs="Arial"/>
          <w:rtl/>
        </w:rPr>
        <w:t xml:space="preserve"> ואע</w:t>
      </w:r>
      <w:r w:rsidRPr="001355DA">
        <w:rPr>
          <w:rFonts w:cs="Arial" w:hint="cs"/>
          <w:rtl/>
        </w:rPr>
        <w:t>"</w:t>
      </w:r>
      <w:r w:rsidRPr="001355DA">
        <w:rPr>
          <w:rFonts w:cs="Arial"/>
          <w:rtl/>
        </w:rPr>
        <w:t>ג דשם מתתיה אשכחן תרי גברי</w:t>
      </w:r>
      <w:r w:rsidR="003601C4">
        <w:rPr>
          <w:rFonts w:cs="Arial" w:hint="cs"/>
          <w:rtl/>
        </w:rPr>
        <w:t>,</w:t>
      </w:r>
      <w:r w:rsidRPr="001355DA">
        <w:rPr>
          <w:rFonts w:cs="Arial"/>
          <w:rtl/>
        </w:rPr>
        <w:t xml:space="preserve"> חד בעזרא (י מג) וחד בדברי הימים</w:t>
      </w:r>
      <w:r>
        <w:rPr>
          <w:rFonts w:cs="Arial" w:hint="cs"/>
          <w:rtl/>
        </w:rPr>
        <w:t>,</w:t>
      </w:r>
      <w:r w:rsidRPr="001355DA">
        <w:rPr>
          <w:rFonts w:cs="Arial"/>
          <w:rtl/>
        </w:rPr>
        <w:t xml:space="preserve"> מכל מקום במעשה דחנוכה שהוא שגור בפי הכל ומזכירין אותו בכל שנה ח' ימים מתתיהו בוי"ו סברא לומר שעל אותו שם קראו הבנים</w:t>
      </w:r>
      <w:r>
        <w:rPr>
          <w:rStyle w:val="a7"/>
          <w:rFonts w:cs="Arial"/>
          <w:rtl/>
        </w:rPr>
        <w:footnoteReference w:id="1160"/>
      </w:r>
      <w:r w:rsidRPr="001355DA">
        <w:rPr>
          <w:rFonts w:cs="Arial"/>
          <w:rtl/>
        </w:rPr>
        <w:t>.</w:t>
      </w:r>
    </w:p>
    <w:p w14:paraId="4125F38A"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7FCC873" w14:textId="77777777" w:rsidR="00FA2119" w:rsidRDefault="00FA2119" w:rsidP="00FA2119">
      <w:pPr>
        <w:rPr>
          <w:rFonts w:cs="Arial"/>
          <w:rtl/>
        </w:rPr>
      </w:pPr>
      <w:r>
        <w:rPr>
          <w:rFonts w:cs="Arial" w:hint="cs"/>
          <w:rtl/>
        </w:rPr>
        <w:t>שם</w:t>
      </w:r>
      <w:r>
        <w:rPr>
          <w:rFonts w:cs="Arial"/>
          <w:rtl/>
        </w:rPr>
        <w:t xml:space="preserve"> </w:t>
      </w:r>
      <w:r>
        <w:rPr>
          <w:rFonts w:cs="Arial" w:hint="cs"/>
          <w:rtl/>
        </w:rPr>
        <w:t>מתתיה</w:t>
      </w:r>
      <w:r>
        <w:rPr>
          <w:rFonts w:cs="Arial"/>
          <w:rtl/>
        </w:rPr>
        <w:t xml:space="preserve">, </w:t>
      </w:r>
      <w:r>
        <w:rPr>
          <w:rFonts w:cs="Arial" w:hint="cs"/>
          <w:rtl/>
        </w:rPr>
        <w:t>אין</w:t>
      </w:r>
      <w:r>
        <w:rPr>
          <w:rFonts w:cs="Arial"/>
          <w:rtl/>
        </w:rPr>
        <w:t xml:space="preserve"> </w:t>
      </w:r>
      <w:r>
        <w:rPr>
          <w:rFonts w:cs="Arial" w:hint="cs"/>
          <w:rtl/>
        </w:rPr>
        <w:t>לכתוב</w:t>
      </w:r>
      <w:r>
        <w:rPr>
          <w:rFonts w:cs="Arial"/>
          <w:rtl/>
        </w:rPr>
        <w:t xml:space="preserve"> </w:t>
      </w:r>
      <w:r>
        <w:rPr>
          <w:rFonts w:cs="Arial" w:hint="cs"/>
          <w:rtl/>
        </w:rPr>
        <w:t>מתתיהו</w:t>
      </w:r>
      <w:r>
        <w:rPr>
          <w:rFonts w:cs="Arial"/>
          <w:rtl/>
        </w:rPr>
        <w:t xml:space="preserve"> </w:t>
      </w:r>
      <w:r>
        <w:rPr>
          <w:rFonts w:cs="Arial" w:hint="cs"/>
          <w:rtl/>
        </w:rPr>
        <w:t>בוי</w:t>
      </w:r>
      <w:r>
        <w:rPr>
          <w:rFonts w:cs="Arial"/>
          <w:rtl/>
        </w:rPr>
        <w:t>"</w:t>
      </w:r>
      <w:r>
        <w:rPr>
          <w:rFonts w:cs="Arial" w:hint="cs"/>
          <w:rtl/>
        </w:rPr>
        <w:t>ו</w:t>
      </w:r>
      <w:r>
        <w:rPr>
          <w:rFonts w:cs="Arial"/>
          <w:rtl/>
        </w:rPr>
        <w:t xml:space="preserve">. </w:t>
      </w:r>
    </w:p>
    <w:p w14:paraId="67A2E361" w14:textId="77777777" w:rsidR="00FA2119" w:rsidRDefault="00FA2119" w:rsidP="00FA2119">
      <w:pPr>
        <w:rPr>
          <w:rtl/>
        </w:rPr>
      </w:pPr>
    </w:p>
    <w:p w14:paraId="6EF9E6E3" w14:textId="77777777" w:rsidR="00FA2119" w:rsidRDefault="00FA2119" w:rsidP="00FA2119">
      <w:pPr>
        <w:pStyle w:val="2"/>
        <w:rPr>
          <w:rtl/>
        </w:rPr>
      </w:pPr>
      <w:r>
        <w:rPr>
          <w:rFonts w:hint="cs"/>
          <w:rtl/>
        </w:rPr>
        <w:t>סעיף</w:t>
      </w:r>
      <w:r>
        <w:rPr>
          <w:rtl/>
        </w:rPr>
        <w:t xml:space="preserve"> </w:t>
      </w:r>
      <w:r>
        <w:rPr>
          <w:rFonts w:hint="cs"/>
          <w:rtl/>
        </w:rPr>
        <w:t>כה: יונתן.</w:t>
      </w:r>
    </w:p>
    <w:p w14:paraId="041B8CD4" w14:textId="77777777" w:rsidR="00FA2119" w:rsidRPr="001355DA" w:rsidRDefault="00FA2119" w:rsidP="00FA2119">
      <w:pPr>
        <w:rPr>
          <w:rtl/>
        </w:rPr>
      </w:pPr>
      <w:r w:rsidRPr="00511621">
        <w:rPr>
          <w:rFonts w:hint="cs"/>
          <w:u w:val="single"/>
          <w:rtl/>
        </w:rPr>
        <w:t xml:space="preserve">כתיבת השם </w:t>
      </w:r>
      <w:r>
        <w:rPr>
          <w:rFonts w:hint="cs"/>
          <w:u w:val="single"/>
          <w:rtl/>
        </w:rPr>
        <w:t>'יונתן':</w:t>
      </w:r>
    </w:p>
    <w:p w14:paraId="2FF645F5" w14:textId="51E8C355" w:rsidR="00FA2119" w:rsidRPr="006E7B6D" w:rsidRDefault="00FA2119" w:rsidP="00FA2119">
      <w:pPr>
        <w:pStyle w:val="ab"/>
        <w:numPr>
          <w:ilvl w:val="0"/>
          <w:numId w:val="80"/>
        </w:numPr>
        <w:rPr>
          <w:rtl/>
        </w:rPr>
      </w:pPr>
      <w:r w:rsidRPr="00734CC1">
        <w:rPr>
          <w:rFonts w:cs="Arial" w:hint="cs"/>
          <w:rtl/>
        </w:rPr>
        <w:t xml:space="preserve">תרוה"ד </w:t>
      </w:r>
      <w:r w:rsidRPr="00734CC1">
        <w:rPr>
          <w:rFonts w:cs="Arial" w:hint="cs"/>
          <w:sz w:val="16"/>
          <w:szCs w:val="16"/>
          <w:rtl/>
        </w:rPr>
        <w:t>(סי' רלג)</w:t>
      </w:r>
      <w:r w:rsidR="00A82951">
        <w:rPr>
          <w:rFonts w:cs="Arial" w:hint="cs"/>
          <w:rtl/>
        </w:rPr>
        <w:t>-</w:t>
      </w:r>
      <w:r w:rsidRPr="00734CC1">
        <w:rPr>
          <w:rFonts w:cs="Arial" w:hint="cs"/>
          <w:rtl/>
        </w:rPr>
        <w:t xml:space="preserve"> </w:t>
      </w:r>
      <w:r w:rsidRPr="00734CC1">
        <w:rPr>
          <w:rFonts w:cs="Arial"/>
          <w:rtl/>
        </w:rPr>
        <w:t>יש לכתוב יונתן ולא יהונתן</w:t>
      </w:r>
      <w:r w:rsidRPr="00734CC1">
        <w:rPr>
          <w:rFonts w:cs="Arial" w:hint="cs"/>
          <w:rtl/>
        </w:rPr>
        <w:t>.</w:t>
      </w:r>
      <w:r w:rsidRPr="00734CC1">
        <w:rPr>
          <w:rFonts w:cs="Arial"/>
          <w:rtl/>
        </w:rPr>
        <w:t xml:space="preserve"> אם לא שידוע שחתם שמו יהונתן או עלה בו לקרוא בתורה</w:t>
      </w:r>
      <w:r w:rsidRPr="00734CC1">
        <w:rPr>
          <w:rFonts w:cs="Arial" w:hint="cs"/>
          <w:rtl/>
        </w:rPr>
        <w:t>.</w:t>
      </w:r>
      <w:r w:rsidRPr="001355DA">
        <w:rPr>
          <w:rFonts w:hint="cs"/>
          <w:color w:val="E36C0A" w:themeColor="accent6" w:themeShade="BF"/>
          <w:rtl/>
        </w:rPr>
        <w:t xml:space="preserve"> </w:t>
      </w:r>
      <w:r w:rsidRPr="00620AA7">
        <w:rPr>
          <w:rFonts w:hint="cs"/>
          <w:color w:val="E36C0A" w:themeColor="accent6" w:themeShade="BF"/>
          <w:rtl/>
        </w:rPr>
        <w:t>(וכ"פ בשו"ע)</w:t>
      </w:r>
    </w:p>
    <w:p w14:paraId="15E6908A"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943AB04" w14:textId="77777777" w:rsidR="00FA2119" w:rsidRDefault="00FA2119" w:rsidP="00FA2119">
      <w:pPr>
        <w:rPr>
          <w:rtl/>
        </w:rPr>
      </w:pPr>
      <w:r>
        <w:rPr>
          <w:rFonts w:cs="Arial" w:hint="cs"/>
          <w:rtl/>
        </w:rPr>
        <w:t>שם</w:t>
      </w:r>
      <w:r>
        <w:rPr>
          <w:rFonts w:cs="Arial"/>
          <w:rtl/>
        </w:rPr>
        <w:t xml:space="preserve"> </w:t>
      </w:r>
      <w:r>
        <w:rPr>
          <w:rFonts w:cs="Arial" w:hint="cs"/>
          <w:rtl/>
        </w:rPr>
        <w:t>יונתן</w:t>
      </w:r>
      <w:r>
        <w:rPr>
          <w:rFonts w:cs="Arial"/>
          <w:rtl/>
        </w:rPr>
        <w:t xml:space="preserve">, </w:t>
      </w:r>
      <w:r>
        <w:rPr>
          <w:rFonts w:cs="Arial" w:hint="cs"/>
          <w:rtl/>
        </w:rPr>
        <w:t>לא</w:t>
      </w:r>
      <w:r>
        <w:rPr>
          <w:rFonts w:cs="Arial"/>
          <w:rtl/>
        </w:rPr>
        <w:t xml:space="preserve"> </w:t>
      </w:r>
      <w:r>
        <w:rPr>
          <w:rFonts w:cs="Arial" w:hint="cs"/>
          <w:rtl/>
        </w:rPr>
        <w:t>יכתוב</w:t>
      </w:r>
      <w:r>
        <w:rPr>
          <w:rFonts w:cs="Arial"/>
          <w:rtl/>
        </w:rPr>
        <w:t xml:space="preserve"> </w:t>
      </w:r>
      <w:r>
        <w:rPr>
          <w:rFonts w:cs="Arial" w:hint="cs"/>
          <w:rtl/>
        </w:rPr>
        <w:t>יהונתן</w:t>
      </w:r>
      <w:r>
        <w:rPr>
          <w:rFonts w:cs="Arial"/>
          <w:rtl/>
        </w:rPr>
        <w:t xml:space="preserve">, </w:t>
      </w:r>
      <w:r>
        <w:rPr>
          <w:rFonts w:cs="Arial" w:hint="cs"/>
          <w:rtl/>
        </w:rPr>
        <w:t>אלא אם כן</w:t>
      </w:r>
      <w:r>
        <w:rPr>
          <w:rFonts w:cs="Arial"/>
          <w:rtl/>
        </w:rPr>
        <w:t xml:space="preserve"> </w:t>
      </w:r>
      <w:r>
        <w:rPr>
          <w:rFonts w:cs="Arial" w:hint="cs"/>
          <w:rtl/>
        </w:rPr>
        <w:t>ידוע</w:t>
      </w:r>
      <w:r>
        <w:rPr>
          <w:rFonts w:cs="Arial"/>
          <w:rtl/>
        </w:rPr>
        <w:t xml:space="preserve"> </w:t>
      </w:r>
      <w:r>
        <w:rPr>
          <w:rFonts w:cs="Arial" w:hint="cs"/>
          <w:rtl/>
        </w:rPr>
        <w:t>שחותם</w:t>
      </w:r>
      <w:r>
        <w:rPr>
          <w:rFonts w:cs="Arial"/>
          <w:rtl/>
        </w:rPr>
        <w:t xml:space="preserve"> </w:t>
      </w:r>
      <w:r>
        <w:rPr>
          <w:rFonts w:cs="Arial" w:hint="cs"/>
          <w:rtl/>
        </w:rPr>
        <w:t>שמו</w:t>
      </w:r>
      <w:r>
        <w:rPr>
          <w:rFonts w:cs="Arial"/>
          <w:rtl/>
        </w:rPr>
        <w:t xml:space="preserve"> </w:t>
      </w:r>
      <w:r>
        <w:rPr>
          <w:rFonts w:cs="Arial" w:hint="cs"/>
          <w:rtl/>
        </w:rPr>
        <w:t>כן</w:t>
      </w:r>
      <w:r>
        <w:rPr>
          <w:rFonts w:cs="Arial"/>
          <w:rtl/>
        </w:rPr>
        <w:t xml:space="preserve"> </w:t>
      </w:r>
      <w:r>
        <w:rPr>
          <w:rFonts w:cs="Arial" w:hint="cs"/>
          <w:rtl/>
        </w:rPr>
        <w:t>או</w:t>
      </w:r>
      <w:r>
        <w:rPr>
          <w:rFonts w:cs="Arial"/>
          <w:rtl/>
        </w:rPr>
        <w:t xml:space="preserve"> </w:t>
      </w:r>
      <w:r>
        <w:rPr>
          <w:rFonts w:cs="Arial" w:hint="cs"/>
          <w:rtl/>
        </w:rPr>
        <w:t>עולה</w:t>
      </w:r>
      <w:r>
        <w:rPr>
          <w:rFonts w:cs="Arial"/>
          <w:rtl/>
        </w:rPr>
        <w:t xml:space="preserve"> </w:t>
      </w:r>
      <w:r>
        <w:rPr>
          <w:rFonts w:cs="Arial" w:hint="cs"/>
          <w:rtl/>
        </w:rPr>
        <w:t>בו</w:t>
      </w:r>
      <w:r>
        <w:rPr>
          <w:rFonts w:cs="Arial"/>
          <w:rtl/>
        </w:rPr>
        <w:t xml:space="preserve"> </w:t>
      </w:r>
      <w:r>
        <w:rPr>
          <w:rFonts w:cs="Arial" w:hint="cs"/>
          <w:rtl/>
        </w:rPr>
        <w:t>לקרות</w:t>
      </w:r>
      <w:r>
        <w:rPr>
          <w:rFonts w:cs="Arial"/>
          <w:rtl/>
        </w:rPr>
        <w:t xml:space="preserve"> </w:t>
      </w:r>
      <w:r>
        <w:rPr>
          <w:rFonts w:cs="Arial" w:hint="cs"/>
          <w:rtl/>
        </w:rPr>
        <w:t>בתורה</w:t>
      </w:r>
      <w:r>
        <w:rPr>
          <w:rFonts w:cs="Arial"/>
          <w:rtl/>
        </w:rPr>
        <w:t xml:space="preserve">. </w:t>
      </w:r>
    </w:p>
    <w:p w14:paraId="44048AB9" w14:textId="77777777" w:rsidR="00FA2119" w:rsidRDefault="00FA2119" w:rsidP="00FA2119">
      <w:pPr>
        <w:rPr>
          <w:rtl/>
        </w:rPr>
      </w:pPr>
    </w:p>
    <w:p w14:paraId="7D4AC5FA" w14:textId="77777777" w:rsidR="00FA2119" w:rsidRDefault="00FA2119" w:rsidP="00FA2119">
      <w:pPr>
        <w:pStyle w:val="2"/>
        <w:rPr>
          <w:rtl/>
        </w:rPr>
      </w:pPr>
      <w:r>
        <w:rPr>
          <w:rFonts w:hint="cs"/>
          <w:rtl/>
        </w:rPr>
        <w:t>סעיף</w:t>
      </w:r>
      <w:r>
        <w:rPr>
          <w:rtl/>
        </w:rPr>
        <w:t xml:space="preserve"> </w:t>
      </w:r>
      <w:r>
        <w:rPr>
          <w:rFonts w:hint="cs"/>
          <w:rtl/>
        </w:rPr>
        <w:t>כו: דוד. גדליהו.</w:t>
      </w:r>
    </w:p>
    <w:p w14:paraId="389A01CE" w14:textId="77777777" w:rsidR="00FA2119" w:rsidRPr="001355DA" w:rsidRDefault="00FA2119" w:rsidP="00FA2119">
      <w:pPr>
        <w:rPr>
          <w:rtl/>
        </w:rPr>
      </w:pPr>
      <w:r w:rsidRPr="00511621">
        <w:rPr>
          <w:rFonts w:hint="cs"/>
          <w:u w:val="single"/>
          <w:rtl/>
        </w:rPr>
        <w:t xml:space="preserve">כתיבת השם </w:t>
      </w:r>
      <w:r>
        <w:rPr>
          <w:rFonts w:hint="cs"/>
          <w:u w:val="single"/>
          <w:rtl/>
        </w:rPr>
        <w:t>'דוד':</w:t>
      </w:r>
    </w:p>
    <w:p w14:paraId="07440A97" w14:textId="63CF04C2" w:rsidR="00FA2119" w:rsidRPr="006E7B6D" w:rsidRDefault="00FA2119" w:rsidP="00FA2119">
      <w:pPr>
        <w:pStyle w:val="ab"/>
        <w:numPr>
          <w:ilvl w:val="0"/>
          <w:numId w:val="80"/>
        </w:numPr>
        <w:rPr>
          <w:rtl/>
        </w:rPr>
      </w:pPr>
      <w:r w:rsidRPr="00734CC1">
        <w:rPr>
          <w:rFonts w:cs="Arial" w:hint="cs"/>
          <w:rtl/>
        </w:rPr>
        <w:t xml:space="preserve">תרוה"ד </w:t>
      </w:r>
      <w:r w:rsidRPr="00734CC1">
        <w:rPr>
          <w:rFonts w:cs="Arial" w:hint="cs"/>
          <w:sz w:val="16"/>
          <w:szCs w:val="16"/>
          <w:rtl/>
        </w:rPr>
        <w:t>(סי' רלג)</w:t>
      </w:r>
      <w:r w:rsidR="00A82951">
        <w:rPr>
          <w:rFonts w:cs="Arial" w:hint="cs"/>
          <w:rtl/>
        </w:rPr>
        <w:t>-</w:t>
      </w:r>
      <w:r w:rsidRPr="00734CC1">
        <w:rPr>
          <w:rFonts w:cs="Arial" w:hint="cs"/>
          <w:rtl/>
        </w:rPr>
        <w:t xml:space="preserve"> </w:t>
      </w:r>
      <w:r w:rsidRPr="00734CC1">
        <w:rPr>
          <w:rFonts w:cs="Arial"/>
          <w:rtl/>
        </w:rPr>
        <w:t>אין נראה כלל שום ספיקא אם כותבין דויד מלא או חסר</w:t>
      </w:r>
      <w:r w:rsidRPr="00734CC1">
        <w:rPr>
          <w:rFonts w:cs="Arial" w:hint="cs"/>
          <w:rtl/>
        </w:rPr>
        <w:t>,</w:t>
      </w:r>
      <w:r w:rsidRPr="00734CC1">
        <w:rPr>
          <w:rFonts w:cs="Arial"/>
          <w:rtl/>
        </w:rPr>
        <w:t xml:space="preserve"> כיון שהוא כתוב בכל ספר תהלים בכל מקום בלא יו"ד. ואע</w:t>
      </w:r>
      <w:r w:rsidRPr="00734CC1">
        <w:rPr>
          <w:rFonts w:cs="Arial" w:hint="cs"/>
          <w:rtl/>
        </w:rPr>
        <w:t>"</w:t>
      </w:r>
      <w:r w:rsidRPr="00734CC1">
        <w:rPr>
          <w:rFonts w:cs="Arial"/>
          <w:rtl/>
        </w:rPr>
        <w:t>ג דבספר דברי הימים יותר מק' פעמים כתוב דויד מלא</w:t>
      </w:r>
      <w:r w:rsidRPr="00734CC1">
        <w:rPr>
          <w:rFonts w:cs="Arial" w:hint="cs"/>
          <w:rtl/>
        </w:rPr>
        <w:t>,</w:t>
      </w:r>
      <w:r w:rsidRPr="00734CC1">
        <w:rPr>
          <w:rFonts w:cs="Arial"/>
          <w:rtl/>
        </w:rPr>
        <w:t xml:space="preserve"> מכל מקום כיון דבכל ספר תהלים לא נכתב אפילו פעם אחת מלא</w:t>
      </w:r>
      <w:r w:rsidRPr="00734CC1">
        <w:rPr>
          <w:rFonts w:cs="Arial" w:hint="cs"/>
          <w:rtl/>
        </w:rPr>
        <w:t>,</w:t>
      </w:r>
      <w:r w:rsidRPr="00734CC1">
        <w:rPr>
          <w:rFonts w:cs="Arial"/>
          <w:rtl/>
        </w:rPr>
        <w:t xml:space="preserve"> אלא כולם בלא יו"ד</w:t>
      </w:r>
      <w:r w:rsidRPr="00734CC1">
        <w:rPr>
          <w:rFonts w:cs="Arial" w:hint="cs"/>
          <w:rtl/>
        </w:rPr>
        <w:t>,</w:t>
      </w:r>
      <w:r w:rsidRPr="00734CC1">
        <w:rPr>
          <w:rFonts w:cs="Arial"/>
          <w:rtl/>
        </w:rPr>
        <w:t xml:space="preserve"> ואמרינן בפ</w:t>
      </w:r>
      <w:r w:rsidRPr="00734CC1">
        <w:rPr>
          <w:rFonts w:cs="Arial" w:hint="cs"/>
          <w:rtl/>
        </w:rPr>
        <w:t>"ק</w:t>
      </w:r>
      <w:r w:rsidRPr="00734CC1">
        <w:rPr>
          <w:rFonts w:cs="Arial"/>
          <w:rtl/>
        </w:rPr>
        <w:t xml:space="preserve"> דבתרא (יד:) דוד כתב ספרו</w:t>
      </w:r>
      <w:r w:rsidRPr="00734CC1">
        <w:rPr>
          <w:rFonts w:cs="Arial" w:hint="cs"/>
          <w:rtl/>
        </w:rPr>
        <w:t>,</w:t>
      </w:r>
      <w:r w:rsidRPr="00734CC1">
        <w:rPr>
          <w:rFonts w:cs="Arial"/>
          <w:rtl/>
        </w:rPr>
        <w:t xml:space="preserve"> </w:t>
      </w:r>
      <w:r w:rsidRPr="00734CC1">
        <w:rPr>
          <w:rFonts w:cs="Arial"/>
          <w:rtl/>
        </w:rPr>
        <w:lastRenderedPageBreak/>
        <w:t>פירוש הוא עצמו כתב ספר תהלים</w:t>
      </w:r>
      <w:r w:rsidRPr="00734CC1">
        <w:rPr>
          <w:rFonts w:cs="Arial" w:hint="cs"/>
          <w:rtl/>
        </w:rPr>
        <w:t>.</w:t>
      </w:r>
      <w:r w:rsidRPr="00734CC1">
        <w:rPr>
          <w:rFonts w:cs="Arial"/>
          <w:rtl/>
        </w:rPr>
        <w:t xml:space="preserve"> וכיון שהוא עצמו כתב שמו כך</w:t>
      </w:r>
      <w:r w:rsidRPr="00734CC1">
        <w:rPr>
          <w:rFonts w:cs="Arial" w:hint="cs"/>
          <w:rtl/>
        </w:rPr>
        <w:t>,</w:t>
      </w:r>
      <w:r w:rsidRPr="00734CC1">
        <w:rPr>
          <w:rFonts w:cs="Arial"/>
          <w:rtl/>
        </w:rPr>
        <w:t xml:space="preserve"> היאך נכתוב אנו בענין אחר</w:t>
      </w:r>
      <w:r w:rsidRPr="00734CC1">
        <w:rPr>
          <w:rFonts w:cs="Arial" w:hint="cs"/>
          <w:rtl/>
        </w:rPr>
        <w:t>.</w:t>
      </w:r>
      <w:r w:rsidRPr="00734CC1">
        <w:rPr>
          <w:rFonts w:cs="Arial"/>
          <w:rtl/>
        </w:rPr>
        <w:t xml:space="preserve"> והנהו דדברי הימים אפשר דלשום דרשה נכתבו כך</w:t>
      </w:r>
      <w:r>
        <w:rPr>
          <w:rFonts w:cs="Arial" w:hint="cs"/>
          <w:rtl/>
        </w:rPr>
        <w:t>.</w:t>
      </w:r>
      <w:r w:rsidRPr="00734CC1">
        <w:rPr>
          <w:rFonts w:hint="cs"/>
          <w:color w:val="E36C0A" w:themeColor="accent6" w:themeShade="BF"/>
          <w:rtl/>
        </w:rPr>
        <w:t xml:space="preserve"> (וכ"פ בשו"ע)</w:t>
      </w:r>
    </w:p>
    <w:p w14:paraId="5856F2A9"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AA812E4" w14:textId="77777777" w:rsidR="00FA2119" w:rsidRDefault="00FA2119" w:rsidP="00FA2119">
      <w:pPr>
        <w:rPr>
          <w:rtl/>
        </w:rPr>
      </w:pPr>
      <w:r>
        <w:rPr>
          <w:rFonts w:cs="Arial" w:hint="cs"/>
          <w:rtl/>
        </w:rPr>
        <w:t>שם</w:t>
      </w:r>
      <w:r>
        <w:rPr>
          <w:rFonts w:cs="Arial"/>
          <w:rtl/>
        </w:rPr>
        <w:t xml:space="preserve"> </w:t>
      </w:r>
      <w:r>
        <w:rPr>
          <w:rFonts w:cs="Arial" w:hint="cs"/>
          <w:rtl/>
        </w:rPr>
        <w:t>דוד</w:t>
      </w:r>
      <w:r>
        <w:rPr>
          <w:rFonts w:cs="Arial"/>
          <w:rtl/>
        </w:rPr>
        <w:t xml:space="preserve">, </w:t>
      </w:r>
      <w:r>
        <w:rPr>
          <w:rFonts w:cs="Arial" w:hint="cs"/>
          <w:rtl/>
        </w:rPr>
        <w:t>כותבין</w:t>
      </w:r>
      <w:r>
        <w:rPr>
          <w:rFonts w:cs="Arial"/>
          <w:rtl/>
        </w:rPr>
        <w:t xml:space="preserve"> </w:t>
      </w:r>
      <w:r>
        <w:rPr>
          <w:rFonts w:cs="Arial" w:hint="cs"/>
          <w:rtl/>
        </w:rPr>
        <w:t>בלא</w:t>
      </w:r>
      <w:r>
        <w:rPr>
          <w:rFonts w:cs="Arial"/>
          <w:rtl/>
        </w:rPr>
        <w:t xml:space="preserve"> </w:t>
      </w:r>
      <w:r>
        <w:rPr>
          <w:rFonts w:cs="Arial" w:hint="cs"/>
          <w:rtl/>
        </w:rPr>
        <w:t>יו</w:t>
      </w:r>
      <w:r>
        <w:rPr>
          <w:rFonts w:cs="Arial"/>
          <w:rtl/>
        </w:rPr>
        <w:t>"</w:t>
      </w:r>
      <w:r>
        <w:rPr>
          <w:rFonts w:cs="Arial" w:hint="cs"/>
          <w:rtl/>
        </w:rPr>
        <w:t>ד</w:t>
      </w:r>
      <w:r>
        <w:rPr>
          <w:rFonts w:cs="Arial"/>
          <w:rtl/>
        </w:rPr>
        <w:t xml:space="preserve">. </w:t>
      </w:r>
      <w:r>
        <w:rPr>
          <w:rFonts w:cs="Arial" w:hint="cs"/>
          <w:sz w:val="18"/>
          <w:szCs w:val="18"/>
          <w:rtl/>
        </w:rPr>
        <w:t xml:space="preserve">[הגה] </w:t>
      </w:r>
      <w:r w:rsidRPr="00C03494">
        <w:rPr>
          <w:rFonts w:cs="Arial" w:hint="cs"/>
          <w:sz w:val="18"/>
          <w:szCs w:val="18"/>
          <w:rtl/>
        </w:rPr>
        <w:t>גדליהו</w:t>
      </w:r>
      <w:r w:rsidRPr="00C03494">
        <w:rPr>
          <w:rFonts w:cs="Arial"/>
          <w:sz w:val="18"/>
          <w:szCs w:val="18"/>
          <w:rtl/>
        </w:rPr>
        <w:t xml:space="preserve">, </w:t>
      </w:r>
      <w:r w:rsidRPr="00C03494">
        <w:rPr>
          <w:rFonts w:cs="Arial" w:hint="cs"/>
          <w:sz w:val="18"/>
          <w:szCs w:val="18"/>
          <w:rtl/>
        </w:rPr>
        <w:t>אם</w:t>
      </w:r>
      <w:r w:rsidRPr="00C03494">
        <w:rPr>
          <w:rFonts w:cs="Arial"/>
          <w:sz w:val="18"/>
          <w:szCs w:val="18"/>
          <w:rtl/>
        </w:rPr>
        <w:t xml:space="preserve"> </w:t>
      </w:r>
      <w:r w:rsidRPr="00C03494">
        <w:rPr>
          <w:rFonts w:cs="Arial" w:hint="cs"/>
          <w:sz w:val="18"/>
          <w:szCs w:val="18"/>
          <w:rtl/>
        </w:rPr>
        <w:t>לא</w:t>
      </w:r>
      <w:r w:rsidRPr="00C03494">
        <w:rPr>
          <w:rFonts w:cs="Arial"/>
          <w:sz w:val="18"/>
          <w:szCs w:val="18"/>
          <w:rtl/>
        </w:rPr>
        <w:t xml:space="preserve"> </w:t>
      </w:r>
      <w:r w:rsidRPr="00C03494">
        <w:rPr>
          <w:rFonts w:cs="Arial" w:hint="cs"/>
          <w:sz w:val="18"/>
          <w:szCs w:val="18"/>
          <w:rtl/>
        </w:rPr>
        <w:t>שאומר</w:t>
      </w:r>
      <w:r w:rsidRPr="00C03494">
        <w:rPr>
          <w:rFonts w:cs="Arial"/>
          <w:sz w:val="18"/>
          <w:szCs w:val="18"/>
          <w:rtl/>
        </w:rPr>
        <w:t xml:space="preserve"> </w:t>
      </w:r>
      <w:r w:rsidRPr="00C03494">
        <w:rPr>
          <w:rFonts w:cs="Arial" w:hint="cs"/>
          <w:sz w:val="18"/>
          <w:szCs w:val="18"/>
          <w:rtl/>
        </w:rPr>
        <w:t>בודאי</w:t>
      </w:r>
      <w:r w:rsidRPr="00C03494">
        <w:rPr>
          <w:rFonts w:cs="Arial"/>
          <w:sz w:val="18"/>
          <w:szCs w:val="18"/>
          <w:rtl/>
        </w:rPr>
        <w:t xml:space="preserve"> </w:t>
      </w:r>
      <w:r w:rsidRPr="00C03494">
        <w:rPr>
          <w:rFonts w:cs="Arial" w:hint="cs"/>
          <w:sz w:val="18"/>
          <w:szCs w:val="18"/>
          <w:rtl/>
        </w:rPr>
        <w:t>ששמו</w:t>
      </w:r>
      <w:r w:rsidRPr="00C03494">
        <w:rPr>
          <w:rFonts w:cs="Arial"/>
          <w:sz w:val="18"/>
          <w:szCs w:val="18"/>
          <w:rtl/>
        </w:rPr>
        <w:t xml:space="preserve"> </w:t>
      </w:r>
      <w:r w:rsidRPr="00C03494">
        <w:rPr>
          <w:rFonts w:cs="Arial" w:hint="cs"/>
          <w:sz w:val="18"/>
          <w:szCs w:val="18"/>
          <w:rtl/>
        </w:rPr>
        <w:t>גדליה</w:t>
      </w:r>
      <w:r w:rsidRPr="00C03494">
        <w:rPr>
          <w:rFonts w:cs="Arial"/>
          <w:sz w:val="18"/>
          <w:szCs w:val="18"/>
          <w:rtl/>
        </w:rPr>
        <w:t xml:space="preserve"> (</w:t>
      </w:r>
      <w:r w:rsidRPr="00C03494">
        <w:rPr>
          <w:rFonts w:cs="Arial" w:hint="cs"/>
          <w:sz w:val="18"/>
          <w:szCs w:val="18"/>
          <w:rtl/>
        </w:rPr>
        <w:t>מ</w:t>
      </w:r>
      <w:r w:rsidRPr="00C03494">
        <w:rPr>
          <w:rFonts w:cs="Arial"/>
          <w:sz w:val="18"/>
          <w:szCs w:val="18"/>
          <w:rtl/>
        </w:rPr>
        <w:t>"</w:t>
      </w:r>
      <w:r w:rsidRPr="00C03494">
        <w:rPr>
          <w:rFonts w:cs="Arial" w:hint="cs"/>
          <w:sz w:val="18"/>
          <w:szCs w:val="18"/>
          <w:rtl/>
        </w:rPr>
        <w:t>כ</w:t>
      </w:r>
      <w:r w:rsidRPr="00C03494">
        <w:rPr>
          <w:rFonts w:cs="Arial"/>
          <w:sz w:val="18"/>
          <w:szCs w:val="18"/>
          <w:rtl/>
        </w:rPr>
        <w:t xml:space="preserve">). </w:t>
      </w:r>
    </w:p>
    <w:p w14:paraId="3CE971F8" w14:textId="77777777" w:rsidR="00FA2119" w:rsidRDefault="00FA2119" w:rsidP="00FA2119">
      <w:pPr>
        <w:rPr>
          <w:rtl/>
        </w:rPr>
      </w:pPr>
    </w:p>
    <w:p w14:paraId="62C61953" w14:textId="77777777" w:rsidR="00FA2119" w:rsidRDefault="00FA2119" w:rsidP="00FA2119">
      <w:pPr>
        <w:pStyle w:val="2"/>
        <w:rPr>
          <w:rtl/>
        </w:rPr>
      </w:pPr>
      <w:r>
        <w:rPr>
          <w:rFonts w:hint="cs"/>
          <w:rtl/>
        </w:rPr>
        <w:t>סעיף</w:t>
      </w:r>
      <w:r>
        <w:rPr>
          <w:rtl/>
        </w:rPr>
        <w:t xml:space="preserve"> </w:t>
      </w:r>
      <w:r>
        <w:rPr>
          <w:rFonts w:hint="cs"/>
          <w:rtl/>
        </w:rPr>
        <w:t>כז: חזקיה.</w:t>
      </w:r>
    </w:p>
    <w:p w14:paraId="64C66402" w14:textId="77777777" w:rsidR="00FA2119" w:rsidRPr="001355DA" w:rsidRDefault="00FA2119" w:rsidP="00FA2119">
      <w:pPr>
        <w:rPr>
          <w:rtl/>
        </w:rPr>
      </w:pPr>
      <w:r w:rsidRPr="00511621">
        <w:rPr>
          <w:rFonts w:hint="cs"/>
          <w:u w:val="single"/>
          <w:rtl/>
        </w:rPr>
        <w:t xml:space="preserve">כתיבת השם </w:t>
      </w:r>
      <w:r>
        <w:rPr>
          <w:rFonts w:hint="cs"/>
          <w:u w:val="single"/>
          <w:rtl/>
        </w:rPr>
        <w:t>'חזקיה':</w:t>
      </w:r>
    </w:p>
    <w:p w14:paraId="29F79F48" w14:textId="61DF94D6" w:rsidR="00FA2119" w:rsidRPr="006E7B6D" w:rsidRDefault="00FA2119" w:rsidP="00FA2119">
      <w:pPr>
        <w:pStyle w:val="ab"/>
        <w:numPr>
          <w:ilvl w:val="0"/>
          <w:numId w:val="80"/>
        </w:numPr>
        <w:rPr>
          <w:rtl/>
        </w:rPr>
      </w:pPr>
      <w:r w:rsidRPr="00077161">
        <w:rPr>
          <w:rFonts w:cs="Arial" w:hint="cs"/>
          <w:rtl/>
        </w:rPr>
        <w:t xml:space="preserve">תרוה"ד </w:t>
      </w:r>
      <w:r w:rsidRPr="00077161">
        <w:rPr>
          <w:rFonts w:cs="Arial" w:hint="cs"/>
          <w:sz w:val="16"/>
          <w:szCs w:val="16"/>
          <w:rtl/>
        </w:rPr>
        <w:t>(סי' רלג)</w:t>
      </w:r>
      <w:r w:rsidR="00A82951">
        <w:rPr>
          <w:rFonts w:cs="Arial" w:hint="cs"/>
          <w:rtl/>
        </w:rPr>
        <w:t>-</w:t>
      </w:r>
      <w:r w:rsidRPr="00077161">
        <w:rPr>
          <w:rFonts w:cs="Arial" w:hint="cs"/>
          <w:rtl/>
        </w:rPr>
        <w:t xml:space="preserve"> </w:t>
      </w:r>
      <w:r w:rsidRPr="00077161">
        <w:rPr>
          <w:rFonts w:cs="Arial"/>
          <w:rtl/>
        </w:rPr>
        <w:t>חזקיה יש לכתבו בלא יו"ד בראש התיבה</w:t>
      </w:r>
      <w:r w:rsidRPr="00077161">
        <w:rPr>
          <w:rFonts w:cs="Arial" w:hint="cs"/>
          <w:rtl/>
        </w:rPr>
        <w:t>,</w:t>
      </w:r>
      <w:r w:rsidRPr="00077161">
        <w:rPr>
          <w:rFonts w:cs="Arial"/>
          <w:rtl/>
        </w:rPr>
        <w:t xml:space="preserve"> ובלא וי"ו בסופה</w:t>
      </w:r>
      <w:r w:rsidRPr="00077161">
        <w:rPr>
          <w:rFonts w:cs="Arial" w:hint="cs"/>
          <w:rtl/>
        </w:rPr>
        <w:t>...</w:t>
      </w:r>
      <w:r w:rsidRPr="00077161">
        <w:rPr>
          <w:rFonts w:cs="Arial"/>
          <w:rtl/>
        </w:rPr>
        <w:t xml:space="preserve"> </w:t>
      </w:r>
      <w:r w:rsidRPr="00077161">
        <w:rPr>
          <w:rFonts w:cs="Arial" w:hint="cs"/>
          <w:rtl/>
        </w:rPr>
        <w:t>ו</w:t>
      </w:r>
      <w:r w:rsidRPr="00077161">
        <w:rPr>
          <w:rFonts w:cs="Arial"/>
          <w:rtl/>
        </w:rPr>
        <w:t>אפילו מי שנקרא יחזקיהו או חזקיהו אם כותבין אותו חזקיה לא הפסיד דהוי כחניכתו אבל איפכא הוי הפסד</w:t>
      </w:r>
      <w:r w:rsidRPr="00077161">
        <w:rPr>
          <w:rFonts w:cs="Arial" w:hint="cs"/>
          <w:rtl/>
        </w:rPr>
        <w:t>.</w:t>
      </w:r>
      <w:r w:rsidRPr="00077161">
        <w:rPr>
          <w:rFonts w:hint="cs"/>
          <w:color w:val="E36C0A" w:themeColor="accent6" w:themeShade="BF"/>
          <w:rtl/>
        </w:rPr>
        <w:t xml:space="preserve"> (וכ"פ בשו"ע)</w:t>
      </w:r>
      <w:r w:rsidRPr="008A1106">
        <w:rPr>
          <w:rFonts w:hint="cs"/>
          <w:color w:val="00B0F0"/>
          <w:rtl/>
        </w:rPr>
        <w:t xml:space="preserve"> (וכ"פ הרמ"א)</w:t>
      </w:r>
    </w:p>
    <w:p w14:paraId="1BA65EFB"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8968425" w14:textId="7EF13BAB" w:rsidR="00FA2119" w:rsidRDefault="00FA2119" w:rsidP="00FA2119">
      <w:pPr>
        <w:rPr>
          <w:rtl/>
        </w:rPr>
      </w:pPr>
      <w:r>
        <w:rPr>
          <w:rFonts w:cs="Arial" w:hint="cs"/>
          <w:rtl/>
        </w:rPr>
        <w:t>שם</w:t>
      </w:r>
      <w:r>
        <w:rPr>
          <w:rFonts w:cs="Arial"/>
          <w:rtl/>
        </w:rPr>
        <w:t xml:space="preserve"> </w:t>
      </w:r>
      <w:r>
        <w:rPr>
          <w:rFonts w:cs="Arial" w:hint="cs"/>
          <w:rtl/>
        </w:rPr>
        <w:t>חזקיה</w:t>
      </w:r>
      <w:r>
        <w:rPr>
          <w:rFonts w:cs="Arial"/>
          <w:rtl/>
        </w:rPr>
        <w:t xml:space="preserve"> </w:t>
      </w:r>
      <w:r>
        <w:rPr>
          <w:rFonts w:cs="Arial" w:hint="cs"/>
          <w:rtl/>
        </w:rPr>
        <w:t>יש</w:t>
      </w:r>
      <w:r>
        <w:rPr>
          <w:rFonts w:cs="Arial"/>
          <w:rtl/>
        </w:rPr>
        <w:t xml:space="preserve"> </w:t>
      </w:r>
      <w:r>
        <w:rPr>
          <w:rFonts w:cs="Arial" w:hint="cs"/>
          <w:rtl/>
        </w:rPr>
        <w:t>לכתבו</w:t>
      </w:r>
      <w:r>
        <w:rPr>
          <w:rFonts w:cs="Arial"/>
          <w:rtl/>
        </w:rPr>
        <w:t xml:space="preserve"> </w:t>
      </w:r>
      <w:r>
        <w:rPr>
          <w:rFonts w:cs="Arial" w:hint="cs"/>
          <w:rtl/>
        </w:rPr>
        <w:t>בלא</w:t>
      </w:r>
      <w:r>
        <w:rPr>
          <w:rFonts w:cs="Arial"/>
          <w:rtl/>
        </w:rPr>
        <w:t xml:space="preserve"> </w:t>
      </w:r>
      <w:r>
        <w:rPr>
          <w:rFonts w:cs="Arial" w:hint="cs"/>
          <w:rtl/>
        </w:rPr>
        <w:t>יו</w:t>
      </w:r>
      <w:r>
        <w:rPr>
          <w:rFonts w:cs="Arial"/>
          <w:rtl/>
        </w:rPr>
        <w:t>"</w:t>
      </w:r>
      <w:r>
        <w:rPr>
          <w:rFonts w:cs="Arial" w:hint="cs"/>
          <w:rtl/>
        </w:rPr>
        <w:t>ד</w:t>
      </w:r>
      <w:r>
        <w:rPr>
          <w:rFonts w:cs="Arial"/>
          <w:rtl/>
        </w:rPr>
        <w:t xml:space="preserve"> </w:t>
      </w:r>
      <w:r>
        <w:rPr>
          <w:rFonts w:cs="Arial" w:hint="cs"/>
          <w:rtl/>
        </w:rPr>
        <w:t>בתחלת</w:t>
      </w:r>
      <w:r>
        <w:rPr>
          <w:rFonts w:cs="Arial"/>
          <w:rtl/>
        </w:rPr>
        <w:t xml:space="preserve"> </w:t>
      </w:r>
      <w:r>
        <w:rPr>
          <w:rFonts w:cs="Arial" w:hint="cs"/>
          <w:rtl/>
        </w:rPr>
        <w:t>התיבה</w:t>
      </w:r>
      <w:r>
        <w:rPr>
          <w:rFonts w:cs="Arial"/>
          <w:rtl/>
        </w:rPr>
        <w:t xml:space="preserve"> </w:t>
      </w:r>
      <w:r>
        <w:rPr>
          <w:rFonts w:cs="Arial" w:hint="cs"/>
          <w:rtl/>
        </w:rPr>
        <w:t>ובלא</w:t>
      </w:r>
      <w:r>
        <w:rPr>
          <w:rFonts w:cs="Arial"/>
          <w:rtl/>
        </w:rPr>
        <w:t xml:space="preserve"> </w:t>
      </w:r>
      <w:r>
        <w:rPr>
          <w:rFonts w:cs="Arial" w:hint="cs"/>
          <w:rtl/>
        </w:rPr>
        <w:t>וי</w:t>
      </w:r>
      <w:r>
        <w:rPr>
          <w:rFonts w:cs="Arial"/>
          <w:rtl/>
        </w:rPr>
        <w:t>"</w:t>
      </w:r>
      <w:r>
        <w:rPr>
          <w:rFonts w:cs="Arial" w:hint="cs"/>
          <w:rtl/>
        </w:rPr>
        <w:t>ו</w:t>
      </w:r>
      <w:r>
        <w:rPr>
          <w:rFonts w:cs="Arial"/>
          <w:rtl/>
        </w:rPr>
        <w:t xml:space="preserve"> </w:t>
      </w:r>
      <w:r>
        <w:rPr>
          <w:rFonts w:cs="Arial" w:hint="cs"/>
          <w:rtl/>
        </w:rPr>
        <w:t>בסופה</w:t>
      </w:r>
      <w:r w:rsidR="003601C4">
        <w:rPr>
          <w:rFonts w:cs="Arial" w:hint="cs"/>
          <w:rtl/>
        </w:rPr>
        <w:t>.</w:t>
      </w:r>
      <w:r>
        <w:rPr>
          <w:rFonts w:cs="Arial"/>
          <w:rtl/>
        </w:rPr>
        <w:t xml:space="preserve"> </w:t>
      </w:r>
      <w:r>
        <w:rPr>
          <w:rFonts w:cs="Arial" w:hint="cs"/>
          <w:sz w:val="18"/>
          <w:szCs w:val="18"/>
          <w:rtl/>
        </w:rPr>
        <w:t xml:space="preserve">[הגה] </w:t>
      </w:r>
      <w:r w:rsidRPr="00C03494">
        <w:rPr>
          <w:rFonts w:cs="Arial" w:hint="cs"/>
          <w:sz w:val="18"/>
          <w:szCs w:val="18"/>
          <w:rtl/>
        </w:rPr>
        <w:t>אם</w:t>
      </w:r>
      <w:r w:rsidRPr="00C03494">
        <w:rPr>
          <w:rFonts w:cs="Arial"/>
          <w:sz w:val="18"/>
          <w:szCs w:val="18"/>
          <w:rtl/>
        </w:rPr>
        <w:t xml:space="preserve"> </w:t>
      </w:r>
      <w:r w:rsidRPr="00C03494">
        <w:rPr>
          <w:rFonts w:cs="Arial" w:hint="cs"/>
          <w:sz w:val="18"/>
          <w:szCs w:val="18"/>
          <w:rtl/>
        </w:rPr>
        <w:t>לא</w:t>
      </w:r>
      <w:r w:rsidRPr="00C03494">
        <w:rPr>
          <w:rFonts w:cs="Arial"/>
          <w:sz w:val="18"/>
          <w:szCs w:val="18"/>
          <w:rtl/>
        </w:rPr>
        <w:t xml:space="preserve"> </w:t>
      </w:r>
      <w:r w:rsidRPr="00C03494">
        <w:rPr>
          <w:rFonts w:cs="Arial" w:hint="cs"/>
          <w:sz w:val="18"/>
          <w:szCs w:val="18"/>
          <w:rtl/>
        </w:rPr>
        <w:t>שידוע</w:t>
      </w:r>
      <w:r w:rsidRPr="00C03494">
        <w:rPr>
          <w:rFonts w:cs="Arial"/>
          <w:sz w:val="18"/>
          <w:szCs w:val="18"/>
          <w:rtl/>
        </w:rPr>
        <w:t xml:space="preserve"> </w:t>
      </w:r>
      <w:r w:rsidRPr="00C03494">
        <w:rPr>
          <w:rFonts w:cs="Arial" w:hint="cs"/>
          <w:sz w:val="18"/>
          <w:szCs w:val="18"/>
          <w:rtl/>
        </w:rPr>
        <w:t>ששמו</w:t>
      </w:r>
      <w:r w:rsidRPr="00C03494">
        <w:rPr>
          <w:rFonts w:cs="Arial"/>
          <w:sz w:val="18"/>
          <w:szCs w:val="18"/>
          <w:rtl/>
        </w:rPr>
        <w:t xml:space="preserve"> </w:t>
      </w:r>
      <w:r w:rsidRPr="00C03494">
        <w:rPr>
          <w:rFonts w:cs="Arial" w:hint="cs"/>
          <w:sz w:val="18"/>
          <w:szCs w:val="18"/>
          <w:rtl/>
        </w:rPr>
        <w:t>חזקיהו</w:t>
      </w:r>
      <w:r>
        <w:rPr>
          <w:rFonts w:cs="Arial" w:hint="cs"/>
          <w:sz w:val="18"/>
          <w:szCs w:val="18"/>
          <w:rtl/>
        </w:rPr>
        <w:t>.</w:t>
      </w:r>
      <w:r w:rsidRPr="00C03494">
        <w:rPr>
          <w:rFonts w:cs="Arial"/>
          <w:sz w:val="18"/>
          <w:szCs w:val="18"/>
          <w:rtl/>
        </w:rPr>
        <w:t xml:space="preserve"> </w:t>
      </w:r>
      <w:r w:rsidRPr="00C03494">
        <w:rPr>
          <w:rFonts w:cs="Arial" w:hint="cs"/>
          <w:sz w:val="18"/>
          <w:szCs w:val="18"/>
          <w:rtl/>
        </w:rPr>
        <w:t>ואפ</w:t>
      </w:r>
      <w:r w:rsidRPr="00C03494">
        <w:rPr>
          <w:rFonts w:cs="Arial"/>
          <w:sz w:val="18"/>
          <w:szCs w:val="18"/>
          <w:rtl/>
        </w:rPr>
        <w:t>"</w:t>
      </w:r>
      <w:r w:rsidRPr="00C03494">
        <w:rPr>
          <w:rFonts w:cs="Arial" w:hint="cs"/>
          <w:sz w:val="18"/>
          <w:szCs w:val="18"/>
          <w:rtl/>
        </w:rPr>
        <w:t>ה</w:t>
      </w:r>
      <w:r w:rsidRPr="00C03494">
        <w:rPr>
          <w:rFonts w:cs="Arial"/>
          <w:sz w:val="18"/>
          <w:szCs w:val="18"/>
          <w:rtl/>
        </w:rPr>
        <w:t xml:space="preserve"> </w:t>
      </w:r>
      <w:r w:rsidRPr="00C03494">
        <w:rPr>
          <w:rFonts w:cs="Arial" w:hint="cs"/>
          <w:sz w:val="18"/>
          <w:szCs w:val="18"/>
          <w:rtl/>
        </w:rPr>
        <w:t>אם</w:t>
      </w:r>
      <w:r w:rsidRPr="00C03494">
        <w:rPr>
          <w:rFonts w:cs="Arial"/>
          <w:sz w:val="18"/>
          <w:szCs w:val="18"/>
          <w:rtl/>
        </w:rPr>
        <w:t xml:space="preserve"> </w:t>
      </w:r>
      <w:r w:rsidRPr="00C03494">
        <w:rPr>
          <w:rFonts w:cs="Arial" w:hint="cs"/>
          <w:sz w:val="18"/>
          <w:szCs w:val="18"/>
          <w:rtl/>
        </w:rPr>
        <w:t>כתב</w:t>
      </w:r>
      <w:r w:rsidRPr="00C03494">
        <w:rPr>
          <w:rFonts w:cs="Arial"/>
          <w:sz w:val="18"/>
          <w:szCs w:val="18"/>
          <w:rtl/>
        </w:rPr>
        <w:t xml:space="preserve"> </w:t>
      </w:r>
      <w:r w:rsidRPr="00C03494">
        <w:rPr>
          <w:rFonts w:cs="Arial" w:hint="cs"/>
          <w:sz w:val="18"/>
          <w:szCs w:val="18"/>
          <w:rtl/>
        </w:rPr>
        <w:t>חזקיה</w:t>
      </w:r>
      <w:r w:rsidRPr="00C03494">
        <w:rPr>
          <w:rFonts w:cs="Arial"/>
          <w:sz w:val="18"/>
          <w:szCs w:val="18"/>
          <w:rtl/>
        </w:rPr>
        <w:t xml:space="preserve">, </w:t>
      </w:r>
      <w:r w:rsidRPr="00C03494">
        <w:rPr>
          <w:rFonts w:cs="Arial" w:hint="cs"/>
          <w:sz w:val="18"/>
          <w:szCs w:val="18"/>
          <w:rtl/>
        </w:rPr>
        <w:t>כשר</w:t>
      </w:r>
      <w:r w:rsidRPr="00C03494">
        <w:rPr>
          <w:rFonts w:cs="Arial"/>
          <w:sz w:val="18"/>
          <w:szCs w:val="18"/>
          <w:rtl/>
        </w:rPr>
        <w:t xml:space="preserve">, </w:t>
      </w:r>
      <w:r w:rsidRPr="00C03494">
        <w:rPr>
          <w:rFonts w:cs="Arial" w:hint="cs"/>
          <w:sz w:val="18"/>
          <w:szCs w:val="18"/>
          <w:rtl/>
        </w:rPr>
        <w:t>אבל</w:t>
      </w:r>
      <w:r w:rsidRPr="00C03494">
        <w:rPr>
          <w:rFonts w:cs="Arial"/>
          <w:sz w:val="18"/>
          <w:szCs w:val="18"/>
          <w:rtl/>
        </w:rPr>
        <w:t xml:space="preserve"> </w:t>
      </w:r>
      <w:r w:rsidRPr="00C03494">
        <w:rPr>
          <w:rFonts w:cs="Arial" w:hint="cs"/>
          <w:sz w:val="18"/>
          <w:szCs w:val="18"/>
          <w:rtl/>
        </w:rPr>
        <w:t>לא</w:t>
      </w:r>
      <w:r w:rsidRPr="00C03494">
        <w:rPr>
          <w:rFonts w:cs="Arial"/>
          <w:sz w:val="18"/>
          <w:szCs w:val="18"/>
          <w:rtl/>
        </w:rPr>
        <w:t xml:space="preserve"> </w:t>
      </w:r>
      <w:r w:rsidRPr="00C03494">
        <w:rPr>
          <w:rFonts w:cs="Arial" w:hint="cs"/>
          <w:sz w:val="18"/>
          <w:szCs w:val="18"/>
          <w:rtl/>
        </w:rPr>
        <w:t>איפכא</w:t>
      </w:r>
      <w:r w:rsidRPr="00C03494">
        <w:rPr>
          <w:rFonts w:cs="Arial"/>
          <w:sz w:val="18"/>
          <w:szCs w:val="18"/>
          <w:rtl/>
        </w:rPr>
        <w:t>.</w:t>
      </w:r>
      <w:r>
        <w:rPr>
          <w:rFonts w:cs="Arial"/>
          <w:rtl/>
        </w:rPr>
        <w:t xml:space="preserve"> </w:t>
      </w:r>
    </w:p>
    <w:p w14:paraId="21586BCA" w14:textId="77777777" w:rsidR="00FA2119" w:rsidRDefault="00FA2119" w:rsidP="00FA2119">
      <w:pPr>
        <w:rPr>
          <w:rtl/>
        </w:rPr>
      </w:pPr>
    </w:p>
    <w:p w14:paraId="582BF0E2" w14:textId="77777777" w:rsidR="00FA2119" w:rsidRDefault="00FA2119" w:rsidP="00FA2119">
      <w:pPr>
        <w:pStyle w:val="2"/>
        <w:rPr>
          <w:rtl/>
        </w:rPr>
      </w:pPr>
      <w:r>
        <w:rPr>
          <w:rFonts w:hint="cs"/>
          <w:rtl/>
        </w:rPr>
        <w:t>סעיף</w:t>
      </w:r>
      <w:r>
        <w:rPr>
          <w:rtl/>
        </w:rPr>
        <w:t xml:space="preserve"> </w:t>
      </w:r>
      <w:r>
        <w:rPr>
          <w:rFonts w:hint="cs"/>
          <w:rtl/>
        </w:rPr>
        <w:t>כח: הילל.</w:t>
      </w:r>
    </w:p>
    <w:p w14:paraId="28C4F967" w14:textId="77777777" w:rsidR="00FA2119" w:rsidRPr="001355DA" w:rsidRDefault="00FA2119" w:rsidP="00FA2119">
      <w:pPr>
        <w:rPr>
          <w:rtl/>
        </w:rPr>
      </w:pPr>
      <w:r w:rsidRPr="00511621">
        <w:rPr>
          <w:rFonts w:hint="cs"/>
          <w:u w:val="single"/>
          <w:rtl/>
        </w:rPr>
        <w:t xml:space="preserve">כתיבת השם </w:t>
      </w:r>
      <w:r>
        <w:rPr>
          <w:rFonts w:hint="cs"/>
          <w:u w:val="single"/>
          <w:rtl/>
        </w:rPr>
        <w:t>'הילל':</w:t>
      </w:r>
    </w:p>
    <w:p w14:paraId="27A09C17" w14:textId="7E980596" w:rsidR="00FA2119" w:rsidRPr="006E7B6D" w:rsidRDefault="00FA2119" w:rsidP="00FA2119">
      <w:pPr>
        <w:pStyle w:val="ab"/>
        <w:numPr>
          <w:ilvl w:val="0"/>
          <w:numId w:val="80"/>
        </w:numPr>
        <w:rPr>
          <w:rtl/>
        </w:rPr>
      </w:pPr>
      <w:r w:rsidRPr="008A1106">
        <w:rPr>
          <w:rFonts w:cs="Arial"/>
          <w:rtl/>
        </w:rPr>
        <w:t xml:space="preserve">סדר גיטין </w:t>
      </w:r>
      <w:r w:rsidRPr="008A1106">
        <w:rPr>
          <w:rFonts w:cs="Arial" w:hint="cs"/>
          <w:sz w:val="16"/>
          <w:szCs w:val="16"/>
          <w:rtl/>
        </w:rPr>
        <w:t>(</w:t>
      </w:r>
      <w:r w:rsidRPr="008A1106">
        <w:rPr>
          <w:rFonts w:cs="Arial"/>
          <w:sz w:val="16"/>
          <w:szCs w:val="16"/>
          <w:rtl/>
        </w:rPr>
        <w:t>סי' לה הג"ה ד</w:t>
      </w:r>
      <w:r w:rsidRPr="008A1106">
        <w:rPr>
          <w:rFonts w:cs="Arial" w:hint="cs"/>
          <w:sz w:val="16"/>
          <w:szCs w:val="16"/>
          <w:rtl/>
        </w:rPr>
        <w:t>, הביאו הב"י בשם מצאתי כתוב</w:t>
      </w:r>
      <w:r w:rsidRPr="008A1106">
        <w:rPr>
          <w:rFonts w:cs="Arial"/>
          <w:sz w:val="16"/>
          <w:szCs w:val="16"/>
          <w:rtl/>
        </w:rPr>
        <w:t>)</w:t>
      </w:r>
      <w:r w:rsidR="00A82951">
        <w:rPr>
          <w:rFonts w:cs="Arial" w:hint="cs"/>
          <w:rtl/>
        </w:rPr>
        <w:t>-</w:t>
      </w:r>
      <w:r w:rsidRPr="008A1106">
        <w:rPr>
          <w:rFonts w:cs="Arial"/>
          <w:rtl/>
        </w:rPr>
        <w:t xml:space="preserve"> </w:t>
      </w:r>
      <w:r w:rsidRPr="008A1106">
        <w:rPr>
          <w:rFonts w:cs="Arial" w:hint="cs"/>
          <w:rtl/>
        </w:rPr>
        <w:t xml:space="preserve">הילל </w:t>
      </w:r>
      <w:r w:rsidRPr="008A1106">
        <w:rPr>
          <w:rFonts w:cs="Arial"/>
          <w:rtl/>
        </w:rPr>
        <w:t>יש לכתבו מלא ביו"ד</w:t>
      </w:r>
      <w:r w:rsidRPr="008A1106">
        <w:rPr>
          <w:rFonts w:cs="Arial" w:hint="cs"/>
          <w:rtl/>
        </w:rPr>
        <w:t>,</w:t>
      </w:r>
      <w:r w:rsidRPr="008A1106">
        <w:rPr>
          <w:rFonts w:cs="Arial"/>
          <w:rtl/>
        </w:rPr>
        <w:t xml:space="preserve"> אע</w:t>
      </w:r>
      <w:r w:rsidRPr="008A1106">
        <w:rPr>
          <w:rFonts w:cs="Arial" w:hint="cs"/>
          <w:rtl/>
        </w:rPr>
        <w:t>"</w:t>
      </w:r>
      <w:r w:rsidRPr="008A1106">
        <w:rPr>
          <w:rFonts w:cs="Arial"/>
          <w:rtl/>
        </w:rPr>
        <w:t>ג דבספר שופטים (יב יג) כתיב עבדון בן הלל, המסורת כתב שם לית חסר</w:t>
      </w:r>
      <w:r w:rsidRPr="008A1106">
        <w:rPr>
          <w:rFonts w:cs="Arial" w:hint="cs"/>
          <w:rtl/>
        </w:rPr>
        <w:t>,</w:t>
      </w:r>
      <w:r w:rsidRPr="008A1106">
        <w:rPr>
          <w:rFonts w:cs="Arial"/>
          <w:rtl/>
        </w:rPr>
        <w:t xml:space="preserve"> משמע שמדינא יש להיות מלא</w:t>
      </w:r>
      <w:r>
        <w:rPr>
          <w:rStyle w:val="a7"/>
          <w:rFonts w:cs="Arial"/>
          <w:rtl/>
        </w:rPr>
        <w:footnoteReference w:id="1161"/>
      </w:r>
      <w:r w:rsidRPr="008A1106">
        <w:rPr>
          <w:rFonts w:cs="Arial" w:hint="cs"/>
          <w:rtl/>
        </w:rPr>
        <w:t>.</w:t>
      </w:r>
      <w:r w:rsidRPr="008A1106">
        <w:rPr>
          <w:rFonts w:hint="cs"/>
          <w:color w:val="E36C0A" w:themeColor="accent6" w:themeShade="BF"/>
          <w:rtl/>
        </w:rPr>
        <w:t xml:space="preserve"> (וכ"</w:t>
      </w:r>
      <w:r>
        <w:rPr>
          <w:rFonts w:hint="cs"/>
          <w:color w:val="E36C0A" w:themeColor="accent6" w:themeShade="BF"/>
          <w:rtl/>
        </w:rPr>
        <w:t>כ</w:t>
      </w:r>
      <w:r w:rsidRPr="008A1106">
        <w:rPr>
          <w:rFonts w:hint="cs"/>
          <w:color w:val="E36C0A" w:themeColor="accent6" w:themeShade="BF"/>
          <w:rtl/>
        </w:rPr>
        <w:t xml:space="preserve"> בשו"ע)</w:t>
      </w:r>
    </w:p>
    <w:p w14:paraId="5790F69F"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F520A8D" w14:textId="77777777" w:rsidR="00FA2119" w:rsidRDefault="00FA2119" w:rsidP="00FA2119">
      <w:pPr>
        <w:rPr>
          <w:rtl/>
        </w:rPr>
      </w:pPr>
      <w:r>
        <w:rPr>
          <w:rFonts w:cs="Arial" w:hint="cs"/>
          <w:rtl/>
        </w:rPr>
        <w:t>שם</w:t>
      </w:r>
      <w:r>
        <w:rPr>
          <w:rFonts w:cs="Arial"/>
          <w:rtl/>
        </w:rPr>
        <w:t xml:space="preserve"> </w:t>
      </w:r>
      <w:r>
        <w:rPr>
          <w:rFonts w:cs="Arial" w:hint="cs"/>
          <w:rtl/>
        </w:rPr>
        <w:t>הילל</w:t>
      </w:r>
      <w:r>
        <w:rPr>
          <w:rFonts w:cs="Arial"/>
          <w:rtl/>
        </w:rPr>
        <w:t xml:space="preserve">, </w:t>
      </w:r>
      <w:r>
        <w:rPr>
          <w:rFonts w:cs="Arial" w:hint="cs"/>
          <w:rtl/>
        </w:rPr>
        <w:t>יש</w:t>
      </w:r>
      <w:r>
        <w:rPr>
          <w:rFonts w:cs="Arial"/>
          <w:rtl/>
        </w:rPr>
        <w:t xml:space="preserve"> </w:t>
      </w:r>
      <w:r>
        <w:rPr>
          <w:rFonts w:cs="Arial" w:hint="cs"/>
          <w:rtl/>
        </w:rPr>
        <w:t>מי</w:t>
      </w:r>
      <w:r>
        <w:rPr>
          <w:rFonts w:cs="Arial"/>
          <w:rtl/>
        </w:rPr>
        <w:t xml:space="preserve"> </w:t>
      </w:r>
      <w:r>
        <w:rPr>
          <w:rFonts w:cs="Arial" w:hint="cs"/>
          <w:rtl/>
        </w:rPr>
        <w:t>שאומר</w:t>
      </w:r>
      <w:r>
        <w:rPr>
          <w:rFonts w:cs="Arial"/>
          <w:rtl/>
        </w:rPr>
        <w:t xml:space="preserve"> </w:t>
      </w:r>
      <w:r>
        <w:rPr>
          <w:rFonts w:cs="Arial" w:hint="cs"/>
          <w:rtl/>
        </w:rPr>
        <w:t>שיש</w:t>
      </w:r>
      <w:r>
        <w:rPr>
          <w:rFonts w:cs="Arial"/>
          <w:rtl/>
        </w:rPr>
        <w:t xml:space="preserve"> </w:t>
      </w:r>
      <w:r>
        <w:rPr>
          <w:rFonts w:cs="Arial" w:hint="cs"/>
          <w:rtl/>
        </w:rPr>
        <w:t>לכותבו</w:t>
      </w:r>
      <w:r>
        <w:rPr>
          <w:rFonts w:cs="Arial"/>
          <w:rtl/>
        </w:rPr>
        <w:t xml:space="preserve"> </w:t>
      </w:r>
      <w:r>
        <w:rPr>
          <w:rFonts w:cs="Arial" w:hint="cs"/>
          <w:rtl/>
        </w:rPr>
        <w:t>מלא</w:t>
      </w:r>
      <w:r>
        <w:rPr>
          <w:rFonts w:cs="Arial"/>
          <w:rtl/>
        </w:rPr>
        <w:t xml:space="preserve"> </w:t>
      </w:r>
      <w:r>
        <w:rPr>
          <w:rFonts w:cs="Arial" w:hint="cs"/>
          <w:rtl/>
        </w:rPr>
        <w:t>ביו</w:t>
      </w:r>
      <w:r>
        <w:rPr>
          <w:rFonts w:cs="Arial"/>
          <w:rtl/>
        </w:rPr>
        <w:t>"</w:t>
      </w:r>
      <w:r>
        <w:rPr>
          <w:rFonts w:cs="Arial" w:hint="cs"/>
          <w:rtl/>
        </w:rPr>
        <w:t>ד</w:t>
      </w:r>
      <w:r>
        <w:rPr>
          <w:rStyle w:val="a7"/>
          <w:rFonts w:cs="Arial"/>
          <w:rtl/>
        </w:rPr>
        <w:footnoteReference w:id="1162"/>
      </w:r>
      <w:r>
        <w:rPr>
          <w:rFonts w:cs="Arial"/>
          <w:rtl/>
        </w:rPr>
        <w:t xml:space="preserve">. </w:t>
      </w:r>
      <w:r w:rsidRPr="00C03494">
        <w:rPr>
          <w:rFonts w:cs="Arial" w:hint="cs"/>
          <w:sz w:val="18"/>
          <w:szCs w:val="18"/>
          <w:rtl/>
        </w:rPr>
        <w:t>הגה</w:t>
      </w:r>
      <w:r w:rsidRPr="00C03494">
        <w:rPr>
          <w:rFonts w:cs="Arial"/>
          <w:sz w:val="18"/>
          <w:szCs w:val="18"/>
          <w:rtl/>
        </w:rPr>
        <w:t xml:space="preserve">: </w:t>
      </w:r>
      <w:r w:rsidRPr="00C03494">
        <w:rPr>
          <w:rFonts w:cs="Arial" w:hint="cs"/>
          <w:sz w:val="18"/>
          <w:szCs w:val="18"/>
          <w:rtl/>
        </w:rPr>
        <w:t>וכן</w:t>
      </w:r>
      <w:r w:rsidRPr="00C03494">
        <w:rPr>
          <w:rFonts w:cs="Arial"/>
          <w:sz w:val="18"/>
          <w:szCs w:val="18"/>
          <w:rtl/>
        </w:rPr>
        <w:t xml:space="preserve"> </w:t>
      </w:r>
      <w:r w:rsidRPr="00C03494">
        <w:rPr>
          <w:rFonts w:cs="Arial" w:hint="cs"/>
          <w:sz w:val="18"/>
          <w:szCs w:val="18"/>
          <w:rtl/>
        </w:rPr>
        <w:t>יש</w:t>
      </w:r>
      <w:r w:rsidRPr="00C03494">
        <w:rPr>
          <w:rFonts w:cs="Arial"/>
          <w:sz w:val="18"/>
          <w:szCs w:val="18"/>
          <w:rtl/>
        </w:rPr>
        <w:t xml:space="preserve"> </w:t>
      </w:r>
      <w:r w:rsidRPr="00C03494">
        <w:rPr>
          <w:rFonts w:cs="Arial" w:hint="cs"/>
          <w:sz w:val="18"/>
          <w:szCs w:val="18"/>
          <w:rtl/>
        </w:rPr>
        <w:t>לכתוב</w:t>
      </w:r>
      <w:r w:rsidRPr="00C03494">
        <w:rPr>
          <w:rFonts w:cs="Arial"/>
          <w:sz w:val="18"/>
          <w:szCs w:val="18"/>
          <w:rtl/>
        </w:rPr>
        <w:t xml:space="preserve"> </w:t>
      </w:r>
      <w:r w:rsidRPr="00C03494">
        <w:rPr>
          <w:rFonts w:cs="Arial" w:hint="cs"/>
          <w:sz w:val="18"/>
          <w:szCs w:val="18"/>
          <w:rtl/>
        </w:rPr>
        <w:t>בכל</w:t>
      </w:r>
      <w:r w:rsidRPr="00C03494">
        <w:rPr>
          <w:rFonts w:cs="Arial"/>
          <w:sz w:val="18"/>
          <w:szCs w:val="18"/>
          <w:rtl/>
        </w:rPr>
        <w:t xml:space="preserve"> </w:t>
      </w:r>
      <w:r w:rsidRPr="00C03494">
        <w:rPr>
          <w:rFonts w:cs="Arial" w:hint="cs"/>
          <w:sz w:val="18"/>
          <w:szCs w:val="18"/>
          <w:rtl/>
        </w:rPr>
        <w:t>כיוצא</w:t>
      </w:r>
      <w:r w:rsidRPr="00C03494">
        <w:rPr>
          <w:rFonts w:cs="Arial"/>
          <w:sz w:val="18"/>
          <w:szCs w:val="18"/>
          <w:rtl/>
        </w:rPr>
        <w:t xml:space="preserve"> </w:t>
      </w:r>
      <w:r w:rsidRPr="00C03494">
        <w:rPr>
          <w:rFonts w:cs="Arial" w:hint="cs"/>
          <w:sz w:val="18"/>
          <w:szCs w:val="18"/>
          <w:rtl/>
        </w:rPr>
        <w:t>בזה</w:t>
      </w:r>
      <w:r w:rsidRPr="00C03494">
        <w:rPr>
          <w:rFonts w:cs="Arial"/>
          <w:sz w:val="18"/>
          <w:szCs w:val="18"/>
          <w:rtl/>
        </w:rPr>
        <w:t xml:space="preserve">, </w:t>
      </w:r>
      <w:r w:rsidRPr="00C03494">
        <w:rPr>
          <w:rFonts w:cs="Arial" w:hint="cs"/>
          <w:sz w:val="18"/>
          <w:szCs w:val="18"/>
          <w:rtl/>
        </w:rPr>
        <w:t>אע</w:t>
      </w:r>
      <w:r>
        <w:rPr>
          <w:rFonts w:cs="Arial" w:hint="cs"/>
          <w:sz w:val="18"/>
          <w:szCs w:val="18"/>
          <w:rtl/>
        </w:rPr>
        <w:t>"</w:t>
      </w:r>
      <w:r w:rsidRPr="00C03494">
        <w:rPr>
          <w:rFonts w:cs="Arial" w:hint="cs"/>
          <w:sz w:val="18"/>
          <w:szCs w:val="18"/>
          <w:rtl/>
        </w:rPr>
        <w:t>פ</w:t>
      </w:r>
      <w:r w:rsidRPr="00C03494">
        <w:rPr>
          <w:rFonts w:cs="Arial"/>
          <w:sz w:val="18"/>
          <w:szCs w:val="18"/>
          <w:rtl/>
        </w:rPr>
        <w:t xml:space="preserve"> </w:t>
      </w:r>
      <w:r w:rsidRPr="00C03494">
        <w:rPr>
          <w:rFonts w:cs="Arial" w:hint="cs"/>
          <w:sz w:val="18"/>
          <w:szCs w:val="18"/>
          <w:rtl/>
        </w:rPr>
        <w:t>שדינו</w:t>
      </w:r>
      <w:r w:rsidRPr="00C03494">
        <w:rPr>
          <w:rFonts w:cs="Arial"/>
          <w:sz w:val="18"/>
          <w:szCs w:val="18"/>
          <w:rtl/>
        </w:rPr>
        <w:t xml:space="preserve"> </w:t>
      </w:r>
      <w:r w:rsidRPr="00C03494">
        <w:rPr>
          <w:rFonts w:cs="Arial" w:hint="cs"/>
          <w:sz w:val="18"/>
          <w:szCs w:val="18"/>
          <w:rtl/>
        </w:rPr>
        <w:t>לכתוב</w:t>
      </w:r>
      <w:r w:rsidRPr="00C03494">
        <w:rPr>
          <w:rFonts w:cs="Arial"/>
          <w:sz w:val="18"/>
          <w:szCs w:val="18"/>
          <w:rtl/>
        </w:rPr>
        <w:t xml:space="preserve"> </w:t>
      </w:r>
      <w:r w:rsidRPr="00C03494">
        <w:rPr>
          <w:rFonts w:cs="Arial" w:hint="cs"/>
          <w:sz w:val="18"/>
          <w:szCs w:val="18"/>
          <w:rtl/>
        </w:rPr>
        <w:t>חסר</w:t>
      </w:r>
      <w:r w:rsidRPr="00C03494">
        <w:rPr>
          <w:rFonts w:cs="Arial"/>
          <w:sz w:val="18"/>
          <w:szCs w:val="18"/>
          <w:rtl/>
        </w:rPr>
        <w:t xml:space="preserve">, </w:t>
      </w:r>
      <w:r w:rsidRPr="00C03494">
        <w:rPr>
          <w:rFonts w:cs="Arial" w:hint="cs"/>
          <w:sz w:val="18"/>
          <w:szCs w:val="18"/>
          <w:rtl/>
        </w:rPr>
        <w:t>אינו</w:t>
      </w:r>
      <w:r w:rsidRPr="00C03494">
        <w:rPr>
          <w:rFonts w:cs="Arial"/>
          <w:sz w:val="18"/>
          <w:szCs w:val="18"/>
          <w:rtl/>
        </w:rPr>
        <w:t xml:space="preserve"> </w:t>
      </w:r>
      <w:r w:rsidRPr="00C03494">
        <w:rPr>
          <w:rFonts w:cs="Arial" w:hint="cs"/>
          <w:sz w:val="18"/>
          <w:szCs w:val="18"/>
          <w:rtl/>
        </w:rPr>
        <w:t>מזיק</w:t>
      </w:r>
      <w:r w:rsidRPr="00C03494">
        <w:rPr>
          <w:rFonts w:cs="Arial"/>
          <w:sz w:val="18"/>
          <w:szCs w:val="18"/>
          <w:rtl/>
        </w:rPr>
        <w:t xml:space="preserve"> </w:t>
      </w:r>
      <w:r w:rsidRPr="00C03494">
        <w:rPr>
          <w:rFonts w:cs="Arial" w:hint="cs"/>
          <w:sz w:val="18"/>
          <w:szCs w:val="18"/>
          <w:rtl/>
        </w:rPr>
        <w:t>אם</w:t>
      </w:r>
      <w:r w:rsidRPr="00C03494">
        <w:rPr>
          <w:rFonts w:cs="Arial"/>
          <w:sz w:val="18"/>
          <w:szCs w:val="18"/>
          <w:rtl/>
        </w:rPr>
        <w:t xml:space="preserve"> </w:t>
      </w:r>
      <w:r w:rsidRPr="00C03494">
        <w:rPr>
          <w:rFonts w:cs="Arial" w:hint="cs"/>
          <w:sz w:val="18"/>
          <w:szCs w:val="18"/>
          <w:rtl/>
        </w:rPr>
        <w:t>כתבו</w:t>
      </w:r>
      <w:r w:rsidRPr="00C03494">
        <w:rPr>
          <w:rFonts w:cs="Arial"/>
          <w:sz w:val="18"/>
          <w:szCs w:val="18"/>
          <w:rtl/>
        </w:rPr>
        <w:t xml:space="preserve"> </w:t>
      </w:r>
      <w:r w:rsidRPr="00C03494">
        <w:rPr>
          <w:rFonts w:cs="Arial" w:hint="cs"/>
          <w:sz w:val="18"/>
          <w:szCs w:val="18"/>
          <w:rtl/>
        </w:rPr>
        <w:t>מלא</w:t>
      </w:r>
      <w:r w:rsidRPr="00C03494">
        <w:rPr>
          <w:rFonts w:cs="Arial"/>
          <w:sz w:val="18"/>
          <w:szCs w:val="18"/>
          <w:rtl/>
        </w:rPr>
        <w:t xml:space="preserve">. </w:t>
      </w:r>
    </w:p>
    <w:p w14:paraId="396BA66E" w14:textId="77777777" w:rsidR="00FA2119" w:rsidRDefault="00FA2119" w:rsidP="00FA2119">
      <w:pPr>
        <w:rPr>
          <w:rtl/>
        </w:rPr>
      </w:pPr>
    </w:p>
    <w:p w14:paraId="71DC9051" w14:textId="77777777" w:rsidR="00FA2119" w:rsidRDefault="00FA2119" w:rsidP="00FA2119">
      <w:pPr>
        <w:pStyle w:val="2"/>
        <w:rPr>
          <w:rtl/>
        </w:rPr>
      </w:pPr>
      <w:r>
        <w:rPr>
          <w:rFonts w:hint="cs"/>
          <w:rtl/>
        </w:rPr>
        <w:t>סעיף</w:t>
      </w:r>
      <w:r>
        <w:rPr>
          <w:rtl/>
        </w:rPr>
        <w:t xml:space="preserve"> </w:t>
      </w:r>
      <w:r>
        <w:rPr>
          <w:rFonts w:hint="cs"/>
          <w:rtl/>
        </w:rPr>
        <w:t>כט: שבתי.</w:t>
      </w:r>
    </w:p>
    <w:p w14:paraId="359962C5" w14:textId="77777777" w:rsidR="00FA2119" w:rsidRPr="001355DA" w:rsidRDefault="00FA2119" w:rsidP="00FA2119">
      <w:pPr>
        <w:rPr>
          <w:rtl/>
        </w:rPr>
      </w:pPr>
      <w:r w:rsidRPr="00511621">
        <w:rPr>
          <w:rFonts w:hint="cs"/>
          <w:u w:val="single"/>
          <w:rtl/>
        </w:rPr>
        <w:t xml:space="preserve">כתיבת השם </w:t>
      </w:r>
      <w:r>
        <w:rPr>
          <w:rFonts w:hint="cs"/>
          <w:u w:val="single"/>
          <w:rtl/>
        </w:rPr>
        <w:t>'שבתי':</w:t>
      </w:r>
    </w:p>
    <w:p w14:paraId="586EF668" w14:textId="140921E2" w:rsidR="00FA2119" w:rsidRPr="006E7B6D" w:rsidRDefault="00FA2119" w:rsidP="00FA2119">
      <w:pPr>
        <w:pStyle w:val="ab"/>
        <w:numPr>
          <w:ilvl w:val="0"/>
          <w:numId w:val="80"/>
        </w:numPr>
        <w:rPr>
          <w:rtl/>
        </w:rPr>
      </w:pPr>
      <w:r w:rsidRPr="000B5DA2">
        <w:rPr>
          <w:rFonts w:cs="Arial"/>
          <w:rtl/>
        </w:rPr>
        <w:t>תוס</w:t>
      </w:r>
      <w:r w:rsidRPr="000B5DA2">
        <w:rPr>
          <w:rFonts w:cs="Arial" w:hint="cs"/>
          <w:rtl/>
        </w:rPr>
        <w:t>'</w:t>
      </w:r>
      <w:r w:rsidRPr="000B5DA2">
        <w:rPr>
          <w:rFonts w:cs="Arial"/>
          <w:rtl/>
        </w:rPr>
        <w:t xml:space="preserve"> </w:t>
      </w:r>
      <w:r w:rsidRPr="000B5DA2">
        <w:rPr>
          <w:rFonts w:cs="Arial" w:hint="cs"/>
          <w:sz w:val="16"/>
          <w:szCs w:val="16"/>
          <w:rtl/>
        </w:rPr>
        <w:t>(</w:t>
      </w:r>
      <w:r w:rsidRPr="000B5DA2">
        <w:rPr>
          <w:rFonts w:cs="Arial"/>
          <w:sz w:val="16"/>
          <w:szCs w:val="16"/>
          <w:rtl/>
        </w:rPr>
        <w:t>גיטין יא</w:t>
      </w:r>
      <w:r w:rsidRPr="000B5DA2">
        <w:rPr>
          <w:rFonts w:cs="Arial" w:hint="cs"/>
          <w:sz w:val="16"/>
          <w:szCs w:val="16"/>
          <w:rtl/>
        </w:rPr>
        <w:t>.</w:t>
      </w:r>
      <w:r w:rsidRPr="000B5DA2">
        <w:rPr>
          <w:rFonts w:cs="Arial"/>
          <w:sz w:val="16"/>
          <w:szCs w:val="16"/>
          <w:rtl/>
        </w:rPr>
        <w:t xml:space="preserve"> ד"ה שבתאי)</w:t>
      </w:r>
      <w:r w:rsidR="00A82951">
        <w:rPr>
          <w:rFonts w:cs="Arial" w:hint="cs"/>
          <w:rtl/>
        </w:rPr>
        <w:t>-</w:t>
      </w:r>
      <w:r w:rsidRPr="000B5DA2">
        <w:rPr>
          <w:rFonts w:cs="Arial" w:hint="cs"/>
          <w:rtl/>
        </w:rPr>
        <w:t xml:space="preserve"> שבתי</w:t>
      </w:r>
      <w:r w:rsidRPr="000B5DA2">
        <w:rPr>
          <w:rFonts w:cs="Arial"/>
          <w:rtl/>
        </w:rPr>
        <w:t xml:space="preserve"> יש לכתבו בלא אל"ף</w:t>
      </w:r>
      <w:r w:rsidRPr="000B5DA2">
        <w:rPr>
          <w:rFonts w:cs="Arial" w:hint="cs"/>
          <w:rtl/>
        </w:rPr>
        <w:t>.</w:t>
      </w:r>
      <w:r w:rsidRPr="000B5DA2">
        <w:rPr>
          <w:rFonts w:hint="cs"/>
          <w:color w:val="E36C0A" w:themeColor="accent6" w:themeShade="BF"/>
          <w:rtl/>
        </w:rPr>
        <w:t xml:space="preserve"> (וכ"פ בשו"ע)</w:t>
      </w:r>
    </w:p>
    <w:p w14:paraId="33EFE1A1"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4AF9BE8" w14:textId="77777777" w:rsidR="00FA2119" w:rsidRDefault="00FA2119" w:rsidP="00FA2119">
      <w:pPr>
        <w:rPr>
          <w:rtl/>
        </w:rPr>
      </w:pPr>
      <w:r>
        <w:rPr>
          <w:rFonts w:cs="Arial" w:hint="cs"/>
          <w:rtl/>
        </w:rPr>
        <w:t>שם</w:t>
      </w:r>
      <w:r>
        <w:rPr>
          <w:rFonts w:cs="Arial"/>
          <w:rtl/>
        </w:rPr>
        <w:t xml:space="preserve"> </w:t>
      </w:r>
      <w:r>
        <w:rPr>
          <w:rFonts w:cs="Arial" w:hint="cs"/>
          <w:rtl/>
        </w:rPr>
        <w:t>שבתי</w:t>
      </w:r>
      <w:r>
        <w:rPr>
          <w:rFonts w:cs="Arial"/>
          <w:rtl/>
        </w:rPr>
        <w:t xml:space="preserve">, </w:t>
      </w:r>
      <w:r>
        <w:rPr>
          <w:rFonts w:cs="Arial" w:hint="cs"/>
          <w:rtl/>
        </w:rPr>
        <w:t>יש</w:t>
      </w:r>
      <w:r>
        <w:rPr>
          <w:rFonts w:cs="Arial"/>
          <w:rtl/>
        </w:rPr>
        <w:t xml:space="preserve"> </w:t>
      </w:r>
      <w:r>
        <w:rPr>
          <w:rFonts w:cs="Arial" w:hint="cs"/>
          <w:rtl/>
        </w:rPr>
        <w:t>לכתבו</w:t>
      </w:r>
      <w:r>
        <w:rPr>
          <w:rFonts w:cs="Arial"/>
          <w:rtl/>
        </w:rPr>
        <w:t xml:space="preserve"> </w:t>
      </w:r>
      <w:r>
        <w:rPr>
          <w:rFonts w:cs="Arial" w:hint="cs"/>
          <w:rtl/>
        </w:rPr>
        <w:t>בלא</w:t>
      </w:r>
      <w:r>
        <w:rPr>
          <w:rFonts w:cs="Arial"/>
          <w:rtl/>
        </w:rPr>
        <w:t xml:space="preserve"> </w:t>
      </w:r>
      <w:r>
        <w:rPr>
          <w:rFonts w:cs="Arial" w:hint="cs"/>
          <w:rtl/>
        </w:rPr>
        <w:t>אל</w:t>
      </w:r>
      <w:r>
        <w:rPr>
          <w:rFonts w:cs="Arial"/>
          <w:rtl/>
        </w:rPr>
        <w:t>"</w:t>
      </w:r>
      <w:r>
        <w:rPr>
          <w:rFonts w:cs="Arial" w:hint="cs"/>
          <w:rtl/>
        </w:rPr>
        <w:t>ף</w:t>
      </w:r>
      <w:r>
        <w:rPr>
          <w:rFonts w:cs="Arial"/>
          <w:rtl/>
        </w:rPr>
        <w:t xml:space="preserve">. </w:t>
      </w:r>
    </w:p>
    <w:p w14:paraId="2FFCD286" w14:textId="77777777" w:rsidR="00FA2119" w:rsidRDefault="00FA2119" w:rsidP="00FA2119">
      <w:pPr>
        <w:rPr>
          <w:rtl/>
        </w:rPr>
      </w:pPr>
    </w:p>
    <w:p w14:paraId="11251DD9" w14:textId="77777777" w:rsidR="00FA2119" w:rsidRDefault="00FA2119" w:rsidP="00FA2119">
      <w:pPr>
        <w:pStyle w:val="2"/>
        <w:rPr>
          <w:rtl/>
        </w:rPr>
      </w:pPr>
      <w:r>
        <w:rPr>
          <w:rFonts w:hint="cs"/>
          <w:rtl/>
        </w:rPr>
        <w:t>סעיף</w:t>
      </w:r>
      <w:r>
        <w:rPr>
          <w:rtl/>
        </w:rPr>
        <w:t xml:space="preserve"> </w:t>
      </w:r>
      <w:r>
        <w:rPr>
          <w:rFonts w:hint="cs"/>
          <w:rtl/>
        </w:rPr>
        <w:t>ל: בנימן.</w:t>
      </w:r>
    </w:p>
    <w:p w14:paraId="57F6C607" w14:textId="71797FB0" w:rsidR="00FA2119" w:rsidRPr="001355DA" w:rsidRDefault="00FA2119" w:rsidP="00FA2119">
      <w:pPr>
        <w:rPr>
          <w:rtl/>
        </w:rPr>
      </w:pPr>
      <w:r w:rsidRPr="00511621">
        <w:rPr>
          <w:rFonts w:hint="cs"/>
          <w:u w:val="single"/>
          <w:rtl/>
        </w:rPr>
        <w:t xml:space="preserve">כתיבת השם </w:t>
      </w:r>
      <w:r w:rsidR="003601C4">
        <w:rPr>
          <w:rFonts w:hint="cs"/>
          <w:u w:val="single"/>
          <w:rtl/>
        </w:rPr>
        <w:t>'בנימן'</w:t>
      </w:r>
      <w:r>
        <w:rPr>
          <w:rFonts w:hint="cs"/>
          <w:u w:val="single"/>
          <w:rtl/>
        </w:rPr>
        <w:t>:</w:t>
      </w:r>
    </w:p>
    <w:p w14:paraId="3117DD3A" w14:textId="7EC4D6C9" w:rsidR="00FA2119" w:rsidRPr="006E7B6D" w:rsidRDefault="00FA2119" w:rsidP="00FA2119">
      <w:pPr>
        <w:pStyle w:val="ab"/>
        <w:numPr>
          <w:ilvl w:val="0"/>
          <w:numId w:val="80"/>
        </w:numPr>
        <w:rPr>
          <w:rtl/>
        </w:rPr>
      </w:pPr>
      <w:r w:rsidRPr="000B5DA2">
        <w:rPr>
          <w:rFonts w:cs="Arial" w:hint="cs"/>
          <w:rtl/>
        </w:rPr>
        <w:lastRenderedPageBreak/>
        <w:t xml:space="preserve">תרוה"ד </w:t>
      </w:r>
      <w:r w:rsidRPr="000B5DA2">
        <w:rPr>
          <w:rFonts w:cs="Arial" w:hint="cs"/>
          <w:sz w:val="16"/>
          <w:szCs w:val="16"/>
          <w:rtl/>
        </w:rPr>
        <w:t>(סי' רלג)</w:t>
      </w:r>
      <w:r w:rsidR="00A82951">
        <w:rPr>
          <w:rFonts w:cs="Arial" w:hint="cs"/>
          <w:rtl/>
        </w:rPr>
        <w:t>-</w:t>
      </w:r>
      <w:r w:rsidRPr="000B5DA2">
        <w:rPr>
          <w:rFonts w:cs="Arial" w:hint="cs"/>
          <w:rtl/>
        </w:rPr>
        <w:t xml:space="preserve"> </w:t>
      </w:r>
      <w:r w:rsidRPr="000B5DA2">
        <w:rPr>
          <w:rFonts w:cs="Arial"/>
          <w:rtl/>
        </w:rPr>
        <w:t>בנימ</w:t>
      </w:r>
      <w:r w:rsidRPr="000B5DA2">
        <w:rPr>
          <w:rFonts w:cs="Arial" w:hint="cs"/>
          <w:rtl/>
        </w:rPr>
        <w:t xml:space="preserve">ן </w:t>
      </w:r>
      <w:r w:rsidRPr="000B5DA2">
        <w:rPr>
          <w:rFonts w:cs="Arial"/>
          <w:rtl/>
        </w:rPr>
        <w:t>יש לכתבו חסר יו"ד בתרא</w:t>
      </w:r>
      <w:r w:rsidRPr="000B5DA2">
        <w:rPr>
          <w:rFonts w:cs="Arial" w:hint="cs"/>
          <w:rtl/>
        </w:rPr>
        <w:t>.</w:t>
      </w:r>
      <w:r w:rsidRPr="000B5DA2">
        <w:rPr>
          <w:rFonts w:cs="Arial"/>
          <w:rtl/>
        </w:rPr>
        <w:t xml:space="preserve"> </w:t>
      </w:r>
      <w:r w:rsidRPr="000B5DA2">
        <w:rPr>
          <w:rFonts w:hint="cs"/>
          <w:color w:val="E36C0A" w:themeColor="accent6" w:themeShade="BF"/>
          <w:rtl/>
        </w:rPr>
        <w:t>(וכ"פ בשו"ע)</w:t>
      </w:r>
    </w:p>
    <w:p w14:paraId="7B8EB602"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CE976EB" w14:textId="77777777" w:rsidR="00FA2119" w:rsidRDefault="00FA2119" w:rsidP="00FA2119">
      <w:pPr>
        <w:rPr>
          <w:rtl/>
        </w:rPr>
      </w:pPr>
      <w:r>
        <w:rPr>
          <w:rFonts w:cs="Arial" w:hint="cs"/>
          <w:rtl/>
        </w:rPr>
        <w:t>שם</w:t>
      </w:r>
      <w:r>
        <w:rPr>
          <w:rFonts w:cs="Arial"/>
          <w:rtl/>
        </w:rPr>
        <w:t xml:space="preserve"> </w:t>
      </w:r>
      <w:r>
        <w:rPr>
          <w:rFonts w:cs="Arial" w:hint="cs"/>
          <w:rtl/>
        </w:rPr>
        <w:t>בנימן</w:t>
      </w:r>
      <w:r>
        <w:rPr>
          <w:rFonts w:cs="Arial"/>
          <w:rtl/>
        </w:rPr>
        <w:t xml:space="preserve"> </w:t>
      </w:r>
      <w:r>
        <w:rPr>
          <w:rFonts w:cs="Arial" w:hint="cs"/>
          <w:rtl/>
        </w:rPr>
        <w:t>יש</w:t>
      </w:r>
      <w:r>
        <w:rPr>
          <w:rFonts w:cs="Arial"/>
          <w:rtl/>
        </w:rPr>
        <w:t xml:space="preserve"> </w:t>
      </w:r>
      <w:r>
        <w:rPr>
          <w:rFonts w:cs="Arial" w:hint="cs"/>
          <w:rtl/>
        </w:rPr>
        <w:t>לכתבו</w:t>
      </w:r>
      <w:r>
        <w:rPr>
          <w:rFonts w:cs="Arial"/>
          <w:rtl/>
        </w:rPr>
        <w:t xml:space="preserve"> </w:t>
      </w:r>
      <w:r>
        <w:rPr>
          <w:rFonts w:cs="Arial" w:hint="cs"/>
          <w:rtl/>
        </w:rPr>
        <w:t>חסר</w:t>
      </w:r>
      <w:r>
        <w:rPr>
          <w:rFonts w:cs="Arial"/>
          <w:rtl/>
        </w:rPr>
        <w:t xml:space="preserve"> </w:t>
      </w:r>
      <w:r>
        <w:rPr>
          <w:rFonts w:cs="Arial" w:hint="cs"/>
          <w:rtl/>
        </w:rPr>
        <w:t>יו</w:t>
      </w:r>
      <w:r>
        <w:rPr>
          <w:rFonts w:cs="Arial"/>
          <w:rtl/>
        </w:rPr>
        <w:t>"</w:t>
      </w:r>
      <w:r>
        <w:rPr>
          <w:rFonts w:cs="Arial" w:hint="cs"/>
          <w:rtl/>
        </w:rPr>
        <w:t>ד</w:t>
      </w:r>
      <w:r>
        <w:rPr>
          <w:rFonts w:cs="Arial"/>
          <w:rtl/>
        </w:rPr>
        <w:t xml:space="preserve"> </w:t>
      </w:r>
      <w:r>
        <w:rPr>
          <w:rFonts w:cs="Arial" w:hint="cs"/>
          <w:rtl/>
        </w:rPr>
        <w:t>בתרא</w:t>
      </w:r>
      <w:r>
        <w:rPr>
          <w:rStyle w:val="a7"/>
          <w:rFonts w:cs="Arial"/>
          <w:rtl/>
        </w:rPr>
        <w:footnoteReference w:id="1163"/>
      </w:r>
      <w:r>
        <w:rPr>
          <w:rFonts w:cs="Arial"/>
          <w:rtl/>
        </w:rPr>
        <w:t xml:space="preserve">. </w:t>
      </w:r>
    </w:p>
    <w:p w14:paraId="1383E985" w14:textId="77777777" w:rsidR="00FA2119" w:rsidRDefault="00FA2119" w:rsidP="00FA2119">
      <w:pPr>
        <w:rPr>
          <w:rtl/>
        </w:rPr>
      </w:pPr>
    </w:p>
    <w:p w14:paraId="46A2461E" w14:textId="77777777" w:rsidR="00FA2119" w:rsidRDefault="00FA2119" w:rsidP="00FA2119">
      <w:pPr>
        <w:pStyle w:val="2"/>
        <w:rPr>
          <w:rtl/>
        </w:rPr>
      </w:pPr>
      <w:r>
        <w:rPr>
          <w:rFonts w:hint="cs"/>
          <w:rtl/>
        </w:rPr>
        <w:t>סעיף</w:t>
      </w:r>
      <w:r>
        <w:rPr>
          <w:rtl/>
        </w:rPr>
        <w:t xml:space="preserve"> </w:t>
      </w:r>
      <w:r>
        <w:rPr>
          <w:rFonts w:hint="cs"/>
          <w:rtl/>
        </w:rPr>
        <w:t>לא: ירחמיאל.</w:t>
      </w:r>
    </w:p>
    <w:p w14:paraId="5A68CC95" w14:textId="77777777" w:rsidR="00FA2119" w:rsidRPr="00C03494" w:rsidRDefault="00FA2119" w:rsidP="00FA2119">
      <w:pPr>
        <w:rPr>
          <w:rtl/>
        </w:rPr>
      </w:pPr>
      <w:r w:rsidRPr="00511621">
        <w:rPr>
          <w:rFonts w:hint="cs"/>
          <w:u w:val="single"/>
          <w:rtl/>
        </w:rPr>
        <w:t xml:space="preserve">כתיבת השם </w:t>
      </w:r>
      <w:r>
        <w:rPr>
          <w:rFonts w:hint="cs"/>
          <w:u w:val="single"/>
          <w:rtl/>
        </w:rPr>
        <w:t>'ירחמיאל':</w:t>
      </w:r>
    </w:p>
    <w:p w14:paraId="017D4840" w14:textId="5D24883C" w:rsidR="00FA2119" w:rsidRDefault="00FA2119" w:rsidP="00FA2119">
      <w:pPr>
        <w:pStyle w:val="ab"/>
        <w:numPr>
          <w:ilvl w:val="0"/>
          <w:numId w:val="80"/>
        </w:numPr>
        <w:rPr>
          <w:rtl/>
        </w:rPr>
      </w:pPr>
      <w:r w:rsidRPr="004924BB">
        <w:rPr>
          <w:rFonts w:cs="Arial"/>
          <w:rtl/>
        </w:rPr>
        <w:t>תרוה"ד</w:t>
      </w:r>
      <w:r w:rsidRPr="004924BB">
        <w:rPr>
          <w:rFonts w:cs="Arial"/>
          <w:sz w:val="16"/>
          <w:szCs w:val="16"/>
          <w:rtl/>
        </w:rPr>
        <w:t xml:space="preserve"> </w:t>
      </w:r>
      <w:r w:rsidRPr="004924BB">
        <w:rPr>
          <w:rFonts w:cs="Arial" w:hint="cs"/>
          <w:sz w:val="16"/>
          <w:szCs w:val="16"/>
          <w:rtl/>
        </w:rPr>
        <w:t xml:space="preserve">(כתבים </w:t>
      </w:r>
      <w:r w:rsidRPr="004924BB">
        <w:rPr>
          <w:rFonts w:cs="Arial"/>
          <w:sz w:val="16"/>
          <w:szCs w:val="16"/>
          <w:rtl/>
        </w:rPr>
        <w:t>ח"ב סי</w:t>
      </w:r>
      <w:r w:rsidRPr="004924BB">
        <w:rPr>
          <w:rFonts w:cs="Arial" w:hint="cs"/>
          <w:sz w:val="16"/>
          <w:szCs w:val="16"/>
          <w:rtl/>
        </w:rPr>
        <w:t>'</w:t>
      </w:r>
      <w:r w:rsidRPr="004924BB">
        <w:rPr>
          <w:rFonts w:cs="Arial"/>
          <w:sz w:val="16"/>
          <w:szCs w:val="16"/>
          <w:rtl/>
        </w:rPr>
        <w:t xml:space="preserve"> יח</w:t>
      </w:r>
      <w:r w:rsidRPr="004924BB">
        <w:rPr>
          <w:rFonts w:cs="Arial" w:hint="cs"/>
          <w:sz w:val="16"/>
          <w:szCs w:val="16"/>
          <w:rtl/>
        </w:rPr>
        <w:t>)</w:t>
      </w:r>
      <w:r w:rsidR="00A82951">
        <w:rPr>
          <w:rFonts w:cs="Arial" w:hint="cs"/>
          <w:rtl/>
        </w:rPr>
        <w:t>-</w:t>
      </w:r>
      <w:r w:rsidRPr="004924BB">
        <w:rPr>
          <w:rFonts w:cs="Arial"/>
          <w:rtl/>
        </w:rPr>
        <w:t xml:space="preserve"> ירחמיאל</w:t>
      </w:r>
      <w:r w:rsidR="003601C4">
        <w:rPr>
          <w:rFonts w:cs="Arial" w:hint="cs"/>
          <w:rtl/>
        </w:rPr>
        <w:t>,</w:t>
      </w:r>
      <w:r w:rsidRPr="004924BB">
        <w:rPr>
          <w:rFonts w:cs="Arial"/>
          <w:rtl/>
        </w:rPr>
        <w:t xml:space="preserve"> דע כי שאילתיהו פעמים אם שמו כך</w:t>
      </w:r>
      <w:r w:rsidRPr="004924BB">
        <w:rPr>
          <w:rFonts w:cs="Arial" w:hint="cs"/>
          <w:rtl/>
        </w:rPr>
        <w:t>,</w:t>
      </w:r>
      <w:r w:rsidRPr="004924BB">
        <w:rPr>
          <w:rFonts w:cs="Arial"/>
          <w:rtl/>
        </w:rPr>
        <w:t xml:space="preserve"> ידעתי שלא ימצא בכתובים רק ירחמאל</w:t>
      </w:r>
      <w:r w:rsidRPr="004924BB">
        <w:rPr>
          <w:rFonts w:cs="Arial" w:hint="cs"/>
          <w:rtl/>
        </w:rPr>
        <w:t>,</w:t>
      </w:r>
      <w:r w:rsidRPr="004924BB">
        <w:rPr>
          <w:rFonts w:cs="Arial"/>
          <w:rtl/>
        </w:rPr>
        <w:t xml:space="preserve"> ואמר להדיא ששמו ירחמיאל ודחק בלשונו החיר"ק</w:t>
      </w:r>
      <w:r w:rsidRPr="004924BB">
        <w:rPr>
          <w:rFonts w:cs="Arial" w:hint="cs"/>
          <w:rtl/>
        </w:rPr>
        <w:t>.</w:t>
      </w:r>
      <w:r w:rsidRPr="004924BB">
        <w:rPr>
          <w:rFonts w:cs="Arial"/>
          <w:rtl/>
        </w:rPr>
        <w:t xml:space="preserve"> וכן העידו עליו מיודעיו ששמעו שעלה לקרוא בתורה ירחמיאל</w:t>
      </w:r>
      <w:r>
        <w:rPr>
          <w:rFonts w:cs="Arial" w:hint="cs"/>
          <w:rtl/>
        </w:rPr>
        <w:t>,</w:t>
      </w:r>
      <w:r w:rsidRPr="004924BB">
        <w:rPr>
          <w:rFonts w:cs="Arial"/>
          <w:rtl/>
        </w:rPr>
        <w:t xml:space="preserve"> וכתב אשיר"י פרק השולח (סי' ז) דבהא תליא מילתא דאין לנו אלא שם שמחזיק בו לפנינו</w:t>
      </w:r>
      <w:r>
        <w:rPr>
          <w:rFonts w:cs="Arial" w:hint="cs"/>
          <w:rtl/>
        </w:rPr>
        <w:t>.</w:t>
      </w:r>
      <w:r w:rsidRPr="004924BB">
        <w:rPr>
          <w:rFonts w:cs="Arial"/>
          <w:rtl/>
        </w:rPr>
        <w:t xml:space="preserve"> ומה בכך אם לא נמצא בכתובים רק בלא יו"ד</w:t>
      </w:r>
      <w:r>
        <w:rPr>
          <w:rFonts w:cs="Arial" w:hint="cs"/>
          <w:rtl/>
        </w:rPr>
        <w:t>,</w:t>
      </w:r>
      <w:r w:rsidRPr="004924BB">
        <w:rPr>
          <w:rFonts w:cs="Arial"/>
          <w:rtl/>
        </w:rPr>
        <w:t xml:space="preserve"> אשכחן נמי איפכא שם נחמני ימצא בכתובים (נחמיה ז ז) אבל נחמן לא נמצא כלל ואפילו הכי אשכחן כמה אמוראי שנקראו נחמן</w:t>
      </w:r>
      <w:r>
        <w:rPr>
          <w:rFonts w:cs="Arial" w:hint="cs"/>
          <w:rtl/>
        </w:rPr>
        <w:t>.</w:t>
      </w:r>
      <w:r w:rsidRPr="004924BB">
        <w:rPr>
          <w:rFonts w:hint="cs"/>
          <w:color w:val="E36C0A" w:themeColor="accent6" w:themeShade="BF"/>
          <w:rtl/>
        </w:rPr>
        <w:t xml:space="preserve"> (וכ"פ בשו"ע)</w:t>
      </w:r>
    </w:p>
    <w:p w14:paraId="3E4963BE" w14:textId="77777777" w:rsidR="00FA2119" w:rsidRDefault="00FA2119" w:rsidP="00FA2119">
      <w:pPr>
        <w:rPr>
          <w:rFonts w:cs="Arial"/>
          <w:rtl/>
        </w:rPr>
      </w:pPr>
      <w:r w:rsidRPr="0092389C">
        <w:rPr>
          <w:rFonts w:cs="Arial" w:hint="cs"/>
          <w:u w:val="single"/>
          <w:rtl/>
        </w:rPr>
        <w:t>שינוי בדבר שלא היה צריך להיכתב:</w:t>
      </w:r>
      <w:r>
        <w:rPr>
          <w:rFonts w:cs="Arial" w:hint="cs"/>
          <w:rtl/>
        </w:rPr>
        <w:t xml:space="preserve"> </w:t>
      </w:r>
      <w:r w:rsidRPr="0092389C">
        <w:rPr>
          <w:rFonts w:cs="Arial" w:hint="cs"/>
          <w:sz w:val="16"/>
          <w:szCs w:val="16"/>
          <w:rtl/>
        </w:rPr>
        <w:t>(דרכ"מ אות כט)</w:t>
      </w:r>
    </w:p>
    <w:p w14:paraId="2084351C" w14:textId="2BD55C24" w:rsidR="00FA2119" w:rsidRPr="0092389C" w:rsidRDefault="00FA2119" w:rsidP="00FA2119">
      <w:pPr>
        <w:pStyle w:val="ab"/>
        <w:numPr>
          <w:ilvl w:val="0"/>
          <w:numId w:val="80"/>
        </w:numPr>
        <w:rPr>
          <w:rFonts w:cs="Arial"/>
          <w:rtl/>
        </w:rPr>
      </w:pPr>
      <w:r w:rsidRPr="0092389C">
        <w:rPr>
          <w:rFonts w:cs="Arial"/>
          <w:rtl/>
        </w:rPr>
        <w:t xml:space="preserve">מהר"ם פאדו"ה </w:t>
      </w:r>
      <w:r w:rsidRPr="0092389C">
        <w:rPr>
          <w:rFonts w:cs="Arial" w:hint="cs"/>
          <w:sz w:val="16"/>
          <w:szCs w:val="16"/>
          <w:rtl/>
        </w:rPr>
        <w:t>(</w:t>
      </w:r>
      <w:r w:rsidRPr="0092389C">
        <w:rPr>
          <w:rFonts w:cs="Arial"/>
          <w:sz w:val="16"/>
          <w:szCs w:val="16"/>
          <w:rtl/>
        </w:rPr>
        <w:t>סי</w:t>
      </w:r>
      <w:r w:rsidRPr="0092389C">
        <w:rPr>
          <w:rFonts w:cs="Arial" w:hint="cs"/>
          <w:sz w:val="16"/>
          <w:szCs w:val="16"/>
          <w:rtl/>
        </w:rPr>
        <w:t>'</w:t>
      </w:r>
      <w:r w:rsidRPr="0092389C">
        <w:rPr>
          <w:rFonts w:cs="Arial"/>
          <w:sz w:val="16"/>
          <w:szCs w:val="16"/>
          <w:rtl/>
        </w:rPr>
        <w:t xml:space="preserve"> ה</w:t>
      </w:r>
      <w:r w:rsidRPr="0092389C">
        <w:rPr>
          <w:rFonts w:cs="Arial" w:hint="cs"/>
          <w:sz w:val="16"/>
          <w:szCs w:val="16"/>
          <w:rtl/>
        </w:rPr>
        <w:t>)</w:t>
      </w:r>
      <w:r w:rsidR="00A82951">
        <w:rPr>
          <w:rFonts w:cs="Arial" w:hint="cs"/>
          <w:rtl/>
        </w:rPr>
        <w:t>-</w:t>
      </w:r>
      <w:r w:rsidRPr="0092389C">
        <w:rPr>
          <w:rFonts w:cs="Arial" w:hint="cs"/>
          <w:rtl/>
        </w:rPr>
        <w:t xml:space="preserve"> </w:t>
      </w:r>
      <w:r w:rsidRPr="0092389C">
        <w:rPr>
          <w:rFonts w:cs="Arial"/>
          <w:rtl/>
        </w:rPr>
        <w:t xml:space="preserve">כל שינוי שהוא בדבר שאין לכתבו כלל </w:t>
      </w:r>
      <w:r w:rsidR="00A82951">
        <w:rPr>
          <w:rFonts w:cs="Arial" w:hint="cs"/>
          <w:rtl/>
        </w:rPr>
        <w:t>-</w:t>
      </w:r>
      <w:r w:rsidRPr="0092389C">
        <w:rPr>
          <w:rFonts w:cs="Arial" w:hint="cs"/>
          <w:rtl/>
        </w:rPr>
        <w:t xml:space="preserve"> </w:t>
      </w:r>
      <w:r w:rsidRPr="0092389C">
        <w:rPr>
          <w:rFonts w:cs="Arial"/>
          <w:rtl/>
        </w:rPr>
        <w:t>אין לפסול בדיעבד</w:t>
      </w:r>
      <w:r w:rsidRPr="0092389C">
        <w:rPr>
          <w:rFonts w:cs="Arial" w:hint="cs"/>
          <w:rtl/>
        </w:rPr>
        <w:t>,</w:t>
      </w:r>
      <w:r w:rsidRPr="0092389C">
        <w:rPr>
          <w:rFonts w:cs="Arial"/>
          <w:rtl/>
        </w:rPr>
        <w:t xml:space="preserve"> וגט משומד מיקרי דיעבד אפילו קודם שנישאת מאחר שטורח לבקש אחר. </w:t>
      </w:r>
      <w:r w:rsidRPr="0092389C">
        <w:rPr>
          <w:rFonts w:cs="Arial" w:hint="cs"/>
          <w:sz w:val="16"/>
          <w:szCs w:val="16"/>
          <w:rtl/>
        </w:rPr>
        <w:t>{</w:t>
      </w:r>
      <w:r w:rsidRPr="0092389C">
        <w:rPr>
          <w:rFonts w:cs="Arial"/>
          <w:sz w:val="16"/>
          <w:szCs w:val="16"/>
          <w:rtl/>
        </w:rPr>
        <w:t xml:space="preserve">וכתב עוד </w:t>
      </w:r>
      <w:r w:rsidRPr="0092389C">
        <w:rPr>
          <w:rFonts w:cs="Arial" w:hint="cs"/>
          <w:sz w:val="16"/>
          <w:szCs w:val="16"/>
          <w:rtl/>
        </w:rPr>
        <w:t>ב</w:t>
      </w:r>
      <w:r w:rsidRPr="0092389C">
        <w:rPr>
          <w:rFonts w:cs="Arial"/>
          <w:sz w:val="16"/>
          <w:szCs w:val="16"/>
          <w:rtl/>
        </w:rPr>
        <w:t>סי</w:t>
      </w:r>
      <w:r w:rsidRPr="0092389C">
        <w:rPr>
          <w:rFonts w:cs="Arial" w:hint="cs"/>
          <w:sz w:val="16"/>
          <w:szCs w:val="16"/>
          <w:rtl/>
        </w:rPr>
        <w:t>'</w:t>
      </w:r>
      <w:r w:rsidRPr="0092389C">
        <w:rPr>
          <w:rFonts w:cs="Arial"/>
          <w:sz w:val="16"/>
          <w:szCs w:val="16"/>
          <w:rtl/>
        </w:rPr>
        <w:t xml:space="preserve"> יא</w:t>
      </w:r>
      <w:r w:rsidR="00A82951">
        <w:rPr>
          <w:rFonts w:cs="Arial" w:hint="cs"/>
          <w:sz w:val="16"/>
          <w:szCs w:val="16"/>
          <w:rtl/>
        </w:rPr>
        <w:t>-</w:t>
      </w:r>
      <w:r w:rsidRPr="0092389C">
        <w:rPr>
          <w:rFonts w:cs="Arial" w:hint="cs"/>
          <w:sz w:val="16"/>
          <w:szCs w:val="16"/>
          <w:rtl/>
        </w:rPr>
        <w:t>}</w:t>
      </w:r>
      <w:r w:rsidRPr="0092389C">
        <w:rPr>
          <w:rFonts w:cs="Arial"/>
          <w:rtl/>
        </w:rPr>
        <w:t xml:space="preserve"> נהר שנקרא פו וכתבו פוא </w:t>
      </w:r>
      <w:r w:rsidR="00A82951">
        <w:rPr>
          <w:rFonts w:cs="Arial" w:hint="cs"/>
          <w:rtl/>
        </w:rPr>
        <w:t>-</w:t>
      </w:r>
      <w:r w:rsidRPr="0092389C">
        <w:rPr>
          <w:rFonts w:cs="Arial" w:hint="cs"/>
          <w:rtl/>
        </w:rPr>
        <w:t xml:space="preserve"> </w:t>
      </w:r>
      <w:r w:rsidRPr="0092389C">
        <w:rPr>
          <w:rFonts w:cs="Arial"/>
          <w:rtl/>
        </w:rPr>
        <w:t>לא הוי שינוי</w:t>
      </w:r>
      <w:r w:rsidRPr="0092389C">
        <w:rPr>
          <w:rFonts w:cs="Arial" w:hint="cs"/>
          <w:rtl/>
        </w:rPr>
        <w:t>.</w:t>
      </w:r>
      <w:r w:rsidRPr="0092389C">
        <w:rPr>
          <w:rFonts w:cs="Arial"/>
          <w:rtl/>
        </w:rPr>
        <w:t xml:space="preserve"> אבל אי כתבו פואה </w:t>
      </w:r>
      <w:r w:rsidR="00A82951">
        <w:rPr>
          <w:rFonts w:cs="Arial" w:hint="cs"/>
          <w:rtl/>
        </w:rPr>
        <w:t>-</w:t>
      </w:r>
      <w:r w:rsidRPr="0092389C">
        <w:rPr>
          <w:rFonts w:cs="Arial" w:hint="cs"/>
          <w:rtl/>
        </w:rPr>
        <w:t xml:space="preserve"> </w:t>
      </w:r>
      <w:r w:rsidRPr="0092389C">
        <w:rPr>
          <w:rFonts w:cs="Arial"/>
          <w:rtl/>
        </w:rPr>
        <w:t>הוי שינוי, דיש נהרות נקראים לשון זכר ויש בלשון נקיבה</w:t>
      </w:r>
      <w:r w:rsidRPr="0092389C">
        <w:rPr>
          <w:rFonts w:cs="Arial" w:hint="cs"/>
          <w:rtl/>
        </w:rPr>
        <w:t>.</w:t>
      </w:r>
      <w:r w:rsidRPr="0092389C">
        <w:rPr>
          <w:rFonts w:cs="Arial"/>
          <w:rtl/>
        </w:rPr>
        <w:t xml:space="preserve"> ומכל מקום בדיעבד אין שינוי פוסל בדבר שאין צריך לכתוב.</w:t>
      </w:r>
      <w:r>
        <w:rPr>
          <w:rFonts w:cs="Arial" w:hint="cs"/>
          <w:rtl/>
        </w:rPr>
        <w:t xml:space="preserve"> </w:t>
      </w:r>
      <w:r w:rsidRPr="0092389C">
        <w:rPr>
          <w:rFonts w:cs="Arial" w:hint="cs"/>
          <w:color w:val="00B0F0"/>
          <w:rtl/>
        </w:rPr>
        <w:t>(וכ"פ הרמ"א)</w:t>
      </w:r>
    </w:p>
    <w:p w14:paraId="0AF6443F"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4A4ECE5" w14:textId="77777777" w:rsidR="00FA2119" w:rsidRDefault="00FA2119" w:rsidP="00FA2119">
      <w:pPr>
        <w:rPr>
          <w:rtl/>
        </w:rPr>
      </w:pPr>
      <w:r>
        <w:rPr>
          <w:rFonts w:cs="Arial" w:hint="cs"/>
          <w:rtl/>
        </w:rPr>
        <w:t>שם</w:t>
      </w:r>
      <w:r>
        <w:rPr>
          <w:rFonts w:cs="Arial"/>
          <w:rtl/>
        </w:rPr>
        <w:t xml:space="preserve"> </w:t>
      </w:r>
      <w:r>
        <w:rPr>
          <w:rFonts w:cs="Arial" w:hint="cs"/>
          <w:rtl/>
        </w:rPr>
        <w:t>ירחמאל</w:t>
      </w:r>
      <w:r>
        <w:rPr>
          <w:rFonts w:cs="Arial"/>
          <w:rtl/>
        </w:rPr>
        <w:t xml:space="preserve">, </w:t>
      </w:r>
      <w:r>
        <w:rPr>
          <w:rFonts w:cs="Arial" w:hint="cs"/>
          <w:rtl/>
        </w:rPr>
        <w:t>אף</w:t>
      </w:r>
      <w:r>
        <w:rPr>
          <w:rFonts w:cs="Arial"/>
          <w:rtl/>
        </w:rPr>
        <w:t xml:space="preserve"> </w:t>
      </w:r>
      <w:r>
        <w:rPr>
          <w:rFonts w:cs="Arial" w:hint="cs"/>
          <w:rtl/>
        </w:rPr>
        <w:t>על</w:t>
      </w:r>
      <w:r>
        <w:rPr>
          <w:rFonts w:cs="Arial"/>
          <w:rtl/>
        </w:rPr>
        <w:t xml:space="preserve"> </w:t>
      </w:r>
      <w:r>
        <w:rPr>
          <w:rFonts w:cs="Arial" w:hint="cs"/>
          <w:rtl/>
        </w:rPr>
        <w:t>פי</w:t>
      </w:r>
      <w:r>
        <w:rPr>
          <w:rFonts w:cs="Arial"/>
          <w:rtl/>
        </w:rPr>
        <w:t xml:space="preserve"> </w:t>
      </w:r>
      <w:r>
        <w:rPr>
          <w:rFonts w:cs="Arial" w:hint="cs"/>
          <w:rtl/>
        </w:rPr>
        <w:t>שלא</w:t>
      </w:r>
      <w:r>
        <w:rPr>
          <w:rFonts w:cs="Arial"/>
          <w:rtl/>
        </w:rPr>
        <w:t xml:space="preserve"> </w:t>
      </w:r>
      <w:r>
        <w:rPr>
          <w:rFonts w:cs="Arial" w:hint="cs"/>
          <w:rtl/>
        </w:rPr>
        <w:t>נמצא</w:t>
      </w:r>
      <w:r>
        <w:rPr>
          <w:rFonts w:cs="Arial"/>
          <w:rtl/>
        </w:rPr>
        <w:t xml:space="preserve"> </w:t>
      </w:r>
      <w:r>
        <w:rPr>
          <w:rFonts w:cs="Arial" w:hint="cs"/>
          <w:rtl/>
        </w:rPr>
        <w:t>בכתובים</w:t>
      </w:r>
      <w:r>
        <w:rPr>
          <w:rFonts w:cs="Arial"/>
          <w:rtl/>
        </w:rPr>
        <w:t xml:space="preserve">, </w:t>
      </w:r>
      <w:r>
        <w:rPr>
          <w:rFonts w:cs="Arial" w:hint="cs"/>
          <w:rtl/>
        </w:rPr>
        <w:t>מ</w:t>
      </w:r>
      <w:r>
        <w:rPr>
          <w:rFonts w:cs="Arial"/>
          <w:rtl/>
        </w:rPr>
        <w:t>"</w:t>
      </w:r>
      <w:r>
        <w:rPr>
          <w:rFonts w:cs="Arial" w:hint="cs"/>
          <w:rtl/>
        </w:rPr>
        <w:t>מ</w:t>
      </w:r>
      <w:r>
        <w:rPr>
          <w:rFonts w:cs="Arial"/>
          <w:rtl/>
        </w:rPr>
        <w:t xml:space="preserve"> </w:t>
      </w:r>
      <w:r>
        <w:rPr>
          <w:rFonts w:cs="Arial" w:hint="cs"/>
          <w:rtl/>
        </w:rPr>
        <w:t>אם</w:t>
      </w:r>
      <w:r>
        <w:rPr>
          <w:rFonts w:cs="Arial"/>
          <w:rtl/>
        </w:rPr>
        <w:t xml:space="preserve"> </w:t>
      </w:r>
      <w:r>
        <w:rPr>
          <w:rFonts w:cs="Arial" w:hint="cs"/>
          <w:rtl/>
        </w:rPr>
        <w:t>החזיק</w:t>
      </w:r>
      <w:r>
        <w:rPr>
          <w:rFonts w:cs="Arial"/>
          <w:rtl/>
        </w:rPr>
        <w:t xml:space="preserve"> </w:t>
      </w:r>
      <w:r>
        <w:rPr>
          <w:rFonts w:cs="Arial" w:hint="cs"/>
          <w:rtl/>
        </w:rPr>
        <w:t>עצמו</w:t>
      </w:r>
      <w:r>
        <w:rPr>
          <w:rFonts w:cs="Arial"/>
          <w:rtl/>
        </w:rPr>
        <w:t xml:space="preserve"> </w:t>
      </w:r>
      <w:r>
        <w:rPr>
          <w:rFonts w:cs="Arial" w:hint="cs"/>
          <w:rtl/>
        </w:rPr>
        <w:t>לקרות</w:t>
      </w:r>
      <w:r>
        <w:rPr>
          <w:rFonts w:cs="Arial"/>
          <w:rtl/>
        </w:rPr>
        <w:t xml:space="preserve"> </w:t>
      </w:r>
      <w:r>
        <w:rPr>
          <w:rFonts w:cs="Arial" w:hint="cs"/>
          <w:rtl/>
        </w:rPr>
        <w:t>עצמו</w:t>
      </w:r>
      <w:r>
        <w:rPr>
          <w:rFonts w:cs="Arial"/>
          <w:rtl/>
        </w:rPr>
        <w:t xml:space="preserve"> </w:t>
      </w:r>
      <w:r>
        <w:rPr>
          <w:rFonts w:cs="Arial" w:hint="cs"/>
          <w:rtl/>
        </w:rPr>
        <w:t>ירחמיאל</w:t>
      </w:r>
      <w:r>
        <w:rPr>
          <w:rFonts w:cs="Arial"/>
          <w:rtl/>
        </w:rPr>
        <w:t xml:space="preserve"> </w:t>
      </w:r>
      <w:r>
        <w:rPr>
          <w:rFonts w:cs="Arial" w:hint="cs"/>
          <w:rtl/>
        </w:rPr>
        <w:t>ודחק</w:t>
      </w:r>
      <w:r>
        <w:rPr>
          <w:rFonts w:cs="Arial"/>
          <w:rtl/>
        </w:rPr>
        <w:t xml:space="preserve"> </w:t>
      </w:r>
      <w:r>
        <w:rPr>
          <w:rFonts w:cs="Arial" w:hint="cs"/>
          <w:rtl/>
        </w:rPr>
        <w:t>בלשונו</w:t>
      </w:r>
      <w:r>
        <w:rPr>
          <w:rFonts w:cs="Arial"/>
          <w:rtl/>
        </w:rPr>
        <w:t xml:space="preserve"> </w:t>
      </w:r>
      <w:r>
        <w:rPr>
          <w:rFonts w:cs="Arial" w:hint="cs"/>
          <w:rtl/>
        </w:rPr>
        <w:t>החירק</w:t>
      </w:r>
      <w:r>
        <w:rPr>
          <w:rFonts w:cs="Arial"/>
          <w:rtl/>
        </w:rPr>
        <w:t xml:space="preserve">, </w:t>
      </w:r>
      <w:r>
        <w:rPr>
          <w:rFonts w:cs="Arial" w:hint="cs"/>
          <w:rtl/>
        </w:rPr>
        <w:t>כך</w:t>
      </w:r>
      <w:r>
        <w:rPr>
          <w:rFonts w:cs="Arial"/>
          <w:rtl/>
        </w:rPr>
        <w:t xml:space="preserve"> </w:t>
      </w:r>
      <w:r>
        <w:rPr>
          <w:rFonts w:cs="Arial" w:hint="cs"/>
          <w:rtl/>
        </w:rPr>
        <w:t>כותבים</w:t>
      </w:r>
      <w:r>
        <w:rPr>
          <w:rFonts w:cs="Arial"/>
          <w:rtl/>
        </w:rPr>
        <w:t xml:space="preserve">. </w:t>
      </w:r>
      <w:r w:rsidRPr="00C03494">
        <w:rPr>
          <w:rFonts w:cs="Arial" w:hint="cs"/>
          <w:sz w:val="18"/>
          <w:szCs w:val="18"/>
          <w:rtl/>
        </w:rPr>
        <w:t>הגה</w:t>
      </w:r>
      <w:r w:rsidRPr="00C03494">
        <w:rPr>
          <w:rFonts w:cs="Arial"/>
          <w:sz w:val="18"/>
          <w:szCs w:val="18"/>
          <w:rtl/>
        </w:rPr>
        <w:t xml:space="preserve">: </w:t>
      </w:r>
      <w:r w:rsidRPr="00C03494">
        <w:rPr>
          <w:rFonts w:cs="Arial" w:hint="cs"/>
          <w:sz w:val="18"/>
          <w:szCs w:val="18"/>
          <w:rtl/>
        </w:rPr>
        <w:t>ודבר</w:t>
      </w:r>
      <w:r w:rsidRPr="00C03494">
        <w:rPr>
          <w:rFonts w:cs="Arial"/>
          <w:sz w:val="18"/>
          <w:szCs w:val="18"/>
          <w:rtl/>
        </w:rPr>
        <w:t xml:space="preserve"> </w:t>
      </w:r>
      <w:r w:rsidRPr="00C03494">
        <w:rPr>
          <w:rFonts w:cs="Arial" w:hint="cs"/>
          <w:sz w:val="18"/>
          <w:szCs w:val="18"/>
          <w:rtl/>
        </w:rPr>
        <w:t>הנמצא</w:t>
      </w:r>
      <w:r w:rsidRPr="00C03494">
        <w:rPr>
          <w:rFonts w:cs="Arial"/>
          <w:sz w:val="18"/>
          <w:szCs w:val="18"/>
          <w:rtl/>
        </w:rPr>
        <w:t xml:space="preserve"> </w:t>
      </w:r>
      <w:r w:rsidRPr="00C03494">
        <w:rPr>
          <w:rFonts w:cs="Arial" w:hint="cs"/>
          <w:sz w:val="18"/>
          <w:szCs w:val="18"/>
          <w:rtl/>
        </w:rPr>
        <w:t>בכתוב</w:t>
      </w:r>
      <w:r w:rsidRPr="00C03494">
        <w:rPr>
          <w:rFonts w:cs="Arial"/>
          <w:sz w:val="18"/>
          <w:szCs w:val="18"/>
          <w:rtl/>
        </w:rPr>
        <w:t xml:space="preserve"> </w:t>
      </w:r>
      <w:r w:rsidRPr="00C03494">
        <w:rPr>
          <w:rFonts w:cs="Arial" w:hint="cs"/>
          <w:sz w:val="18"/>
          <w:szCs w:val="18"/>
          <w:rtl/>
        </w:rPr>
        <w:t>לפעמים</w:t>
      </w:r>
      <w:r w:rsidRPr="00C03494">
        <w:rPr>
          <w:rFonts w:cs="Arial"/>
          <w:sz w:val="18"/>
          <w:szCs w:val="18"/>
          <w:rtl/>
        </w:rPr>
        <w:t xml:space="preserve"> </w:t>
      </w:r>
      <w:r w:rsidRPr="00C03494">
        <w:rPr>
          <w:rFonts w:cs="Arial" w:hint="cs"/>
          <w:sz w:val="18"/>
          <w:szCs w:val="18"/>
          <w:rtl/>
        </w:rPr>
        <w:t>חסר</w:t>
      </w:r>
      <w:r w:rsidRPr="00C03494">
        <w:rPr>
          <w:rFonts w:cs="Arial"/>
          <w:sz w:val="18"/>
          <w:szCs w:val="18"/>
          <w:rtl/>
        </w:rPr>
        <w:t xml:space="preserve"> </w:t>
      </w:r>
      <w:r w:rsidRPr="00C03494">
        <w:rPr>
          <w:rFonts w:cs="Arial" w:hint="cs"/>
          <w:sz w:val="18"/>
          <w:szCs w:val="18"/>
          <w:rtl/>
        </w:rPr>
        <w:t>ולפעמים</w:t>
      </w:r>
      <w:r w:rsidRPr="00C03494">
        <w:rPr>
          <w:rFonts w:cs="Arial"/>
          <w:sz w:val="18"/>
          <w:szCs w:val="18"/>
          <w:rtl/>
        </w:rPr>
        <w:t xml:space="preserve"> </w:t>
      </w:r>
      <w:r w:rsidRPr="00C03494">
        <w:rPr>
          <w:rFonts w:cs="Arial" w:hint="cs"/>
          <w:sz w:val="18"/>
          <w:szCs w:val="18"/>
          <w:rtl/>
        </w:rPr>
        <w:t>מלא</w:t>
      </w:r>
      <w:r w:rsidRPr="00C03494">
        <w:rPr>
          <w:rFonts w:cs="Arial"/>
          <w:sz w:val="18"/>
          <w:szCs w:val="18"/>
          <w:rtl/>
        </w:rPr>
        <w:t xml:space="preserve">, </w:t>
      </w:r>
      <w:r w:rsidRPr="00C03494">
        <w:rPr>
          <w:rFonts w:cs="Arial" w:hint="cs"/>
          <w:sz w:val="18"/>
          <w:szCs w:val="18"/>
          <w:rtl/>
        </w:rPr>
        <w:t>הולכים</w:t>
      </w:r>
      <w:r w:rsidRPr="00C03494">
        <w:rPr>
          <w:rFonts w:cs="Arial"/>
          <w:sz w:val="18"/>
          <w:szCs w:val="18"/>
          <w:rtl/>
        </w:rPr>
        <w:t xml:space="preserve"> </w:t>
      </w:r>
      <w:r w:rsidRPr="00C03494">
        <w:rPr>
          <w:rFonts w:cs="Arial" w:hint="cs"/>
          <w:sz w:val="18"/>
          <w:szCs w:val="18"/>
          <w:rtl/>
        </w:rPr>
        <w:t>אחר</w:t>
      </w:r>
      <w:r w:rsidRPr="00C03494">
        <w:rPr>
          <w:rFonts w:cs="Arial"/>
          <w:sz w:val="18"/>
          <w:szCs w:val="18"/>
          <w:rtl/>
        </w:rPr>
        <w:t xml:space="preserve"> </w:t>
      </w:r>
      <w:r w:rsidRPr="00C03494">
        <w:rPr>
          <w:rFonts w:cs="Arial" w:hint="cs"/>
          <w:sz w:val="18"/>
          <w:szCs w:val="18"/>
          <w:rtl/>
        </w:rPr>
        <w:t>הרוב</w:t>
      </w:r>
      <w:r w:rsidRPr="00C03494">
        <w:rPr>
          <w:rFonts w:cs="Arial"/>
          <w:sz w:val="18"/>
          <w:szCs w:val="18"/>
          <w:rtl/>
        </w:rPr>
        <w:t xml:space="preserve"> (</w:t>
      </w:r>
      <w:r w:rsidRPr="00C03494">
        <w:rPr>
          <w:rFonts w:cs="Arial" w:hint="cs"/>
          <w:sz w:val="18"/>
          <w:szCs w:val="18"/>
          <w:rtl/>
        </w:rPr>
        <w:t>סדר</w:t>
      </w:r>
      <w:r w:rsidRPr="00C03494">
        <w:rPr>
          <w:rFonts w:cs="Arial"/>
          <w:sz w:val="18"/>
          <w:szCs w:val="18"/>
          <w:rtl/>
        </w:rPr>
        <w:t xml:space="preserve"> </w:t>
      </w:r>
      <w:r w:rsidRPr="00C03494">
        <w:rPr>
          <w:rFonts w:cs="Arial" w:hint="cs"/>
          <w:sz w:val="18"/>
          <w:szCs w:val="18"/>
          <w:rtl/>
        </w:rPr>
        <w:t>גיטין</w:t>
      </w:r>
      <w:r w:rsidRPr="00C03494">
        <w:rPr>
          <w:rFonts w:cs="Arial"/>
          <w:sz w:val="18"/>
          <w:szCs w:val="18"/>
          <w:rtl/>
        </w:rPr>
        <w:t xml:space="preserve">). </w:t>
      </w:r>
      <w:r w:rsidRPr="00C03494">
        <w:rPr>
          <w:rFonts w:cs="Arial" w:hint="cs"/>
          <w:sz w:val="18"/>
          <w:szCs w:val="18"/>
          <w:rtl/>
        </w:rPr>
        <w:t>כל</w:t>
      </w:r>
      <w:r w:rsidRPr="00C03494">
        <w:rPr>
          <w:rFonts w:cs="Arial"/>
          <w:sz w:val="18"/>
          <w:szCs w:val="18"/>
          <w:rtl/>
        </w:rPr>
        <w:t xml:space="preserve"> </w:t>
      </w:r>
      <w:r w:rsidRPr="00C03494">
        <w:rPr>
          <w:rFonts w:cs="Arial" w:hint="cs"/>
          <w:sz w:val="18"/>
          <w:szCs w:val="18"/>
          <w:rtl/>
        </w:rPr>
        <w:t>כינוי</w:t>
      </w:r>
      <w:r w:rsidRPr="00C03494">
        <w:rPr>
          <w:rFonts w:cs="Arial"/>
          <w:sz w:val="18"/>
          <w:szCs w:val="18"/>
          <w:rtl/>
        </w:rPr>
        <w:t xml:space="preserve"> </w:t>
      </w:r>
      <w:r w:rsidRPr="00C03494">
        <w:rPr>
          <w:rFonts w:cs="Arial" w:hint="cs"/>
          <w:sz w:val="18"/>
          <w:szCs w:val="18"/>
          <w:rtl/>
        </w:rPr>
        <w:t>שהוא</w:t>
      </w:r>
      <w:r w:rsidRPr="00C03494">
        <w:rPr>
          <w:rFonts w:cs="Arial"/>
          <w:sz w:val="18"/>
          <w:szCs w:val="18"/>
          <w:rtl/>
        </w:rPr>
        <w:t xml:space="preserve"> </w:t>
      </w:r>
      <w:r w:rsidRPr="00C03494">
        <w:rPr>
          <w:rFonts w:cs="Arial" w:hint="cs"/>
          <w:sz w:val="18"/>
          <w:szCs w:val="18"/>
          <w:rtl/>
        </w:rPr>
        <w:t>בלשון</w:t>
      </w:r>
      <w:r w:rsidRPr="00C03494">
        <w:rPr>
          <w:rFonts w:cs="Arial"/>
          <w:sz w:val="18"/>
          <w:szCs w:val="18"/>
          <w:rtl/>
        </w:rPr>
        <w:t xml:space="preserve"> </w:t>
      </w:r>
      <w:r w:rsidRPr="00C03494">
        <w:rPr>
          <w:rFonts w:cs="Arial" w:hint="cs"/>
          <w:sz w:val="18"/>
          <w:szCs w:val="18"/>
          <w:rtl/>
        </w:rPr>
        <w:t>לע</w:t>
      </w:r>
      <w:r w:rsidRPr="00C03494">
        <w:rPr>
          <w:rFonts w:cs="Arial"/>
          <w:sz w:val="18"/>
          <w:szCs w:val="18"/>
          <w:rtl/>
        </w:rPr>
        <w:t>"</w:t>
      </w:r>
      <w:r w:rsidRPr="00C03494">
        <w:rPr>
          <w:rFonts w:cs="Arial" w:hint="cs"/>
          <w:sz w:val="18"/>
          <w:szCs w:val="18"/>
          <w:rtl/>
        </w:rPr>
        <w:t>ז</w:t>
      </w:r>
      <w:r w:rsidRPr="00C03494">
        <w:rPr>
          <w:rFonts w:cs="Arial"/>
          <w:sz w:val="18"/>
          <w:szCs w:val="18"/>
          <w:rtl/>
        </w:rPr>
        <w:t xml:space="preserve">, </w:t>
      </w:r>
      <w:r w:rsidRPr="00C03494">
        <w:rPr>
          <w:rFonts w:cs="Arial" w:hint="cs"/>
          <w:sz w:val="18"/>
          <w:szCs w:val="18"/>
          <w:rtl/>
        </w:rPr>
        <w:t>כגון</w:t>
      </w:r>
      <w:r w:rsidRPr="00C03494">
        <w:rPr>
          <w:rFonts w:cs="Arial"/>
          <w:sz w:val="18"/>
          <w:szCs w:val="18"/>
          <w:rtl/>
        </w:rPr>
        <w:t xml:space="preserve"> </w:t>
      </w:r>
      <w:r w:rsidRPr="00C03494">
        <w:rPr>
          <w:rFonts w:cs="Arial" w:hint="cs"/>
          <w:sz w:val="18"/>
          <w:szCs w:val="18"/>
          <w:rtl/>
        </w:rPr>
        <w:t>בלשון</w:t>
      </w:r>
      <w:r w:rsidRPr="00C03494">
        <w:rPr>
          <w:rFonts w:cs="Arial"/>
          <w:sz w:val="18"/>
          <w:szCs w:val="18"/>
          <w:rtl/>
        </w:rPr>
        <w:t xml:space="preserve"> </w:t>
      </w:r>
      <w:r w:rsidRPr="00C03494">
        <w:rPr>
          <w:rFonts w:cs="Arial" w:hint="cs"/>
          <w:sz w:val="18"/>
          <w:szCs w:val="18"/>
          <w:rtl/>
        </w:rPr>
        <w:t>אשכנז</w:t>
      </w:r>
      <w:r w:rsidRPr="00C03494">
        <w:rPr>
          <w:rFonts w:cs="Arial"/>
          <w:sz w:val="18"/>
          <w:szCs w:val="18"/>
          <w:rtl/>
        </w:rPr>
        <w:t xml:space="preserve">, </w:t>
      </w:r>
      <w:r w:rsidRPr="00C03494">
        <w:rPr>
          <w:rFonts w:cs="Arial" w:hint="cs"/>
          <w:sz w:val="18"/>
          <w:szCs w:val="18"/>
          <w:rtl/>
        </w:rPr>
        <w:t>וצריך</w:t>
      </w:r>
      <w:r w:rsidRPr="00C03494">
        <w:rPr>
          <w:rFonts w:cs="Arial"/>
          <w:sz w:val="18"/>
          <w:szCs w:val="18"/>
          <w:rtl/>
        </w:rPr>
        <w:t xml:space="preserve"> </w:t>
      </w:r>
      <w:r w:rsidRPr="00C03494">
        <w:rPr>
          <w:rFonts w:cs="Arial" w:hint="cs"/>
          <w:sz w:val="18"/>
          <w:szCs w:val="18"/>
          <w:rtl/>
        </w:rPr>
        <w:t>לכתוב</w:t>
      </w:r>
      <w:r w:rsidRPr="00C03494">
        <w:rPr>
          <w:rFonts w:cs="Arial"/>
          <w:sz w:val="18"/>
          <w:szCs w:val="18"/>
          <w:rtl/>
        </w:rPr>
        <w:t xml:space="preserve"> </w:t>
      </w:r>
      <w:r w:rsidRPr="00C03494">
        <w:rPr>
          <w:rFonts w:cs="Arial" w:hint="cs"/>
          <w:sz w:val="18"/>
          <w:szCs w:val="18"/>
          <w:rtl/>
        </w:rPr>
        <w:t>תי</w:t>
      </w:r>
      <w:r w:rsidRPr="00C03494">
        <w:rPr>
          <w:rFonts w:cs="Arial"/>
          <w:sz w:val="18"/>
          <w:szCs w:val="18"/>
          <w:rtl/>
        </w:rPr>
        <w:t>"</w:t>
      </w:r>
      <w:r w:rsidRPr="00C03494">
        <w:rPr>
          <w:rFonts w:cs="Arial" w:hint="cs"/>
          <w:sz w:val="18"/>
          <w:szCs w:val="18"/>
          <w:rtl/>
        </w:rPr>
        <w:t>ו</w:t>
      </w:r>
      <w:r w:rsidRPr="00C03494">
        <w:rPr>
          <w:rFonts w:cs="Arial"/>
          <w:sz w:val="18"/>
          <w:szCs w:val="18"/>
          <w:rtl/>
        </w:rPr>
        <w:t xml:space="preserve"> </w:t>
      </w:r>
      <w:r w:rsidRPr="00C03494">
        <w:rPr>
          <w:rFonts w:cs="Arial" w:hint="cs"/>
          <w:sz w:val="18"/>
          <w:szCs w:val="18"/>
          <w:rtl/>
        </w:rPr>
        <w:t>או</w:t>
      </w:r>
      <w:r w:rsidRPr="00C03494">
        <w:rPr>
          <w:rFonts w:cs="Arial"/>
          <w:sz w:val="18"/>
          <w:szCs w:val="18"/>
          <w:rtl/>
        </w:rPr>
        <w:t xml:space="preserve"> </w:t>
      </w:r>
      <w:r w:rsidRPr="00C03494">
        <w:rPr>
          <w:rFonts w:cs="Arial" w:hint="cs"/>
          <w:sz w:val="18"/>
          <w:szCs w:val="18"/>
          <w:rtl/>
        </w:rPr>
        <w:t>טי</w:t>
      </w:r>
      <w:r w:rsidRPr="00C03494">
        <w:rPr>
          <w:rFonts w:cs="Arial"/>
          <w:sz w:val="18"/>
          <w:szCs w:val="18"/>
          <w:rtl/>
        </w:rPr>
        <w:t>"</w:t>
      </w:r>
      <w:r w:rsidRPr="00C03494">
        <w:rPr>
          <w:rFonts w:cs="Arial" w:hint="cs"/>
          <w:sz w:val="18"/>
          <w:szCs w:val="18"/>
          <w:rtl/>
        </w:rPr>
        <w:t>ת</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טי</w:t>
      </w:r>
      <w:r w:rsidRPr="00C03494">
        <w:rPr>
          <w:rFonts w:cs="Arial"/>
          <w:sz w:val="18"/>
          <w:szCs w:val="18"/>
          <w:rtl/>
        </w:rPr>
        <w:t>"</w:t>
      </w:r>
      <w:r w:rsidRPr="00C03494">
        <w:rPr>
          <w:rFonts w:cs="Arial" w:hint="cs"/>
          <w:sz w:val="18"/>
          <w:szCs w:val="18"/>
          <w:rtl/>
        </w:rPr>
        <w:t>ת</w:t>
      </w:r>
      <w:r w:rsidRPr="00C03494">
        <w:rPr>
          <w:rFonts w:cs="Arial"/>
          <w:sz w:val="18"/>
          <w:szCs w:val="18"/>
          <w:rtl/>
        </w:rPr>
        <w:t xml:space="preserve">, </w:t>
      </w:r>
      <w:r w:rsidRPr="00C03494">
        <w:rPr>
          <w:rFonts w:cs="Arial" w:hint="cs"/>
          <w:sz w:val="18"/>
          <w:szCs w:val="18"/>
          <w:rtl/>
        </w:rPr>
        <w:t>כי</w:t>
      </w:r>
      <w:r w:rsidRPr="00C03494">
        <w:rPr>
          <w:rFonts w:cs="Arial"/>
          <w:sz w:val="18"/>
          <w:szCs w:val="18"/>
          <w:rtl/>
        </w:rPr>
        <w:t xml:space="preserve"> </w:t>
      </w:r>
      <w:r w:rsidRPr="00C03494">
        <w:rPr>
          <w:rFonts w:cs="Arial" w:hint="cs"/>
          <w:sz w:val="18"/>
          <w:szCs w:val="18"/>
          <w:rtl/>
        </w:rPr>
        <w:t>תי</w:t>
      </w:r>
      <w:r w:rsidRPr="00C03494">
        <w:rPr>
          <w:rFonts w:cs="Arial"/>
          <w:sz w:val="18"/>
          <w:szCs w:val="18"/>
          <w:rtl/>
        </w:rPr>
        <w:t>"</w:t>
      </w:r>
      <w:r w:rsidRPr="00C03494">
        <w:rPr>
          <w:rFonts w:cs="Arial" w:hint="cs"/>
          <w:sz w:val="18"/>
          <w:szCs w:val="18"/>
          <w:rtl/>
        </w:rPr>
        <w:t>ו</w:t>
      </w:r>
      <w:r w:rsidRPr="00C03494">
        <w:rPr>
          <w:rFonts w:cs="Arial"/>
          <w:sz w:val="18"/>
          <w:szCs w:val="18"/>
          <w:rtl/>
        </w:rPr>
        <w:t xml:space="preserve"> </w:t>
      </w:r>
      <w:r w:rsidRPr="00C03494">
        <w:rPr>
          <w:rFonts w:cs="Arial" w:hint="cs"/>
          <w:sz w:val="18"/>
          <w:szCs w:val="18"/>
          <w:rtl/>
        </w:rPr>
        <w:t>יכולין</w:t>
      </w:r>
      <w:r w:rsidRPr="00C03494">
        <w:rPr>
          <w:rFonts w:cs="Arial"/>
          <w:sz w:val="18"/>
          <w:szCs w:val="18"/>
          <w:rtl/>
        </w:rPr>
        <w:t xml:space="preserve"> </w:t>
      </w:r>
      <w:r w:rsidRPr="00C03494">
        <w:rPr>
          <w:rFonts w:cs="Arial" w:hint="cs"/>
          <w:sz w:val="18"/>
          <w:szCs w:val="18"/>
          <w:rtl/>
        </w:rPr>
        <w:t>לקרות</w:t>
      </w:r>
      <w:r w:rsidRPr="00C03494">
        <w:rPr>
          <w:rFonts w:cs="Arial"/>
          <w:sz w:val="18"/>
          <w:szCs w:val="18"/>
          <w:rtl/>
        </w:rPr>
        <w:t xml:space="preserve"> </w:t>
      </w:r>
      <w:r w:rsidRPr="00C03494">
        <w:rPr>
          <w:rFonts w:cs="Arial" w:hint="cs"/>
          <w:sz w:val="18"/>
          <w:szCs w:val="18"/>
          <w:rtl/>
        </w:rPr>
        <w:t>רפויה</w:t>
      </w:r>
      <w:r w:rsidRPr="00C03494">
        <w:rPr>
          <w:rFonts w:cs="Arial"/>
          <w:sz w:val="18"/>
          <w:szCs w:val="18"/>
          <w:rtl/>
        </w:rPr>
        <w:t xml:space="preserve">, </w:t>
      </w:r>
      <w:r w:rsidRPr="00C03494">
        <w:rPr>
          <w:rFonts w:cs="Arial" w:hint="cs"/>
          <w:sz w:val="18"/>
          <w:szCs w:val="18"/>
          <w:rtl/>
        </w:rPr>
        <w:t>וכל</w:t>
      </w:r>
      <w:r w:rsidRPr="00C03494">
        <w:rPr>
          <w:rFonts w:cs="Arial"/>
          <w:sz w:val="18"/>
          <w:szCs w:val="18"/>
          <w:rtl/>
        </w:rPr>
        <w:t xml:space="preserve"> </w:t>
      </w:r>
      <w:r w:rsidRPr="00C03494">
        <w:rPr>
          <w:rFonts w:cs="Arial" w:hint="cs"/>
          <w:sz w:val="18"/>
          <w:szCs w:val="18"/>
          <w:rtl/>
        </w:rPr>
        <w:t>כיוצא</w:t>
      </w:r>
      <w:r w:rsidRPr="00C03494">
        <w:rPr>
          <w:rFonts w:cs="Arial"/>
          <w:sz w:val="18"/>
          <w:szCs w:val="18"/>
          <w:rtl/>
        </w:rPr>
        <w:t xml:space="preserve"> </w:t>
      </w:r>
      <w:r w:rsidRPr="00C03494">
        <w:rPr>
          <w:rFonts w:cs="Arial" w:hint="cs"/>
          <w:sz w:val="18"/>
          <w:szCs w:val="18"/>
          <w:rtl/>
        </w:rPr>
        <w:t>בזה</w:t>
      </w:r>
      <w:r w:rsidRPr="00C03494">
        <w:rPr>
          <w:rFonts w:cs="Arial"/>
          <w:sz w:val="18"/>
          <w:szCs w:val="18"/>
          <w:rtl/>
        </w:rPr>
        <w:t xml:space="preserve"> (</w:t>
      </w:r>
      <w:r w:rsidRPr="00C03494">
        <w:rPr>
          <w:rFonts w:cs="Arial" w:hint="cs"/>
          <w:sz w:val="18"/>
          <w:szCs w:val="18"/>
          <w:rtl/>
        </w:rPr>
        <w:t>ת</w:t>
      </w:r>
      <w:r>
        <w:rPr>
          <w:rFonts w:cs="Arial" w:hint="cs"/>
          <w:sz w:val="18"/>
          <w:szCs w:val="18"/>
          <w:rtl/>
        </w:rPr>
        <w:t>רו</w:t>
      </w:r>
      <w:r w:rsidRPr="00C03494">
        <w:rPr>
          <w:rFonts w:cs="Arial" w:hint="cs"/>
          <w:sz w:val="18"/>
          <w:szCs w:val="18"/>
          <w:rtl/>
        </w:rPr>
        <w:t>ה</w:t>
      </w:r>
      <w:r>
        <w:rPr>
          <w:rFonts w:cs="Arial" w:hint="cs"/>
          <w:sz w:val="18"/>
          <w:szCs w:val="18"/>
          <w:rtl/>
        </w:rPr>
        <w:t>"ד</w:t>
      </w:r>
      <w:r w:rsidRPr="00C03494">
        <w:rPr>
          <w:rFonts w:cs="Arial"/>
          <w:sz w:val="18"/>
          <w:szCs w:val="18"/>
          <w:rtl/>
        </w:rPr>
        <w:t xml:space="preserve"> </w:t>
      </w:r>
      <w:r w:rsidRPr="00C03494">
        <w:rPr>
          <w:rFonts w:cs="Arial" w:hint="cs"/>
          <w:sz w:val="18"/>
          <w:szCs w:val="18"/>
          <w:rtl/>
        </w:rPr>
        <w:t>סי</w:t>
      </w:r>
      <w:r w:rsidRPr="00C03494">
        <w:rPr>
          <w:rFonts w:cs="Arial"/>
          <w:sz w:val="18"/>
          <w:szCs w:val="18"/>
          <w:rtl/>
        </w:rPr>
        <w:t xml:space="preserve">' </w:t>
      </w:r>
      <w:r w:rsidRPr="00C03494">
        <w:rPr>
          <w:rFonts w:cs="Arial" w:hint="cs"/>
          <w:sz w:val="18"/>
          <w:szCs w:val="18"/>
          <w:rtl/>
        </w:rPr>
        <w:t>רלא</w:t>
      </w:r>
      <w:r w:rsidRPr="00C03494">
        <w:rPr>
          <w:rFonts w:cs="Arial"/>
          <w:sz w:val="18"/>
          <w:szCs w:val="18"/>
          <w:rtl/>
        </w:rPr>
        <w:t xml:space="preserve">). </w:t>
      </w:r>
      <w:r w:rsidRPr="00C03494">
        <w:rPr>
          <w:rFonts w:cs="Arial" w:hint="cs"/>
          <w:sz w:val="18"/>
          <w:szCs w:val="18"/>
          <w:rtl/>
        </w:rPr>
        <w:t>כל</w:t>
      </w:r>
      <w:r w:rsidRPr="00C03494">
        <w:rPr>
          <w:rFonts w:cs="Arial"/>
          <w:sz w:val="18"/>
          <w:szCs w:val="18"/>
          <w:rtl/>
        </w:rPr>
        <w:t xml:space="preserve"> </w:t>
      </w:r>
      <w:r w:rsidRPr="00C03494">
        <w:rPr>
          <w:rFonts w:cs="Arial" w:hint="cs"/>
          <w:sz w:val="18"/>
          <w:szCs w:val="18"/>
          <w:rtl/>
        </w:rPr>
        <w:t>תיבה</w:t>
      </w:r>
      <w:r w:rsidRPr="00C03494">
        <w:rPr>
          <w:rFonts w:cs="Arial"/>
          <w:sz w:val="18"/>
          <w:szCs w:val="18"/>
          <w:rtl/>
        </w:rPr>
        <w:t xml:space="preserve"> </w:t>
      </w:r>
      <w:r w:rsidRPr="00C03494">
        <w:rPr>
          <w:rFonts w:cs="Arial" w:hint="cs"/>
          <w:sz w:val="18"/>
          <w:szCs w:val="18"/>
          <w:rtl/>
        </w:rPr>
        <w:t>שיש</w:t>
      </w:r>
      <w:r w:rsidRPr="00C03494">
        <w:rPr>
          <w:rFonts w:cs="Arial"/>
          <w:sz w:val="18"/>
          <w:szCs w:val="18"/>
          <w:rtl/>
        </w:rPr>
        <w:t xml:space="preserve"> </w:t>
      </w:r>
      <w:r w:rsidRPr="00C03494">
        <w:rPr>
          <w:rFonts w:cs="Arial" w:hint="cs"/>
          <w:sz w:val="18"/>
          <w:szCs w:val="18"/>
          <w:rtl/>
        </w:rPr>
        <w:t>להסתפק</w:t>
      </w:r>
      <w:r w:rsidRPr="00C03494">
        <w:rPr>
          <w:rFonts w:cs="Arial"/>
          <w:sz w:val="18"/>
          <w:szCs w:val="18"/>
          <w:rtl/>
        </w:rPr>
        <w:t xml:space="preserve"> </w:t>
      </w:r>
      <w:r w:rsidRPr="00C03494">
        <w:rPr>
          <w:rFonts w:cs="Arial" w:hint="cs"/>
          <w:sz w:val="18"/>
          <w:szCs w:val="18"/>
          <w:rtl/>
        </w:rPr>
        <w:t>בה</w:t>
      </w:r>
      <w:r w:rsidRPr="00C03494">
        <w:rPr>
          <w:rFonts w:cs="Arial"/>
          <w:sz w:val="18"/>
          <w:szCs w:val="18"/>
          <w:rtl/>
        </w:rPr>
        <w:t xml:space="preserve"> </w:t>
      </w:r>
      <w:r w:rsidRPr="00C03494">
        <w:rPr>
          <w:rFonts w:cs="Arial" w:hint="cs"/>
          <w:sz w:val="18"/>
          <w:szCs w:val="18"/>
          <w:rtl/>
        </w:rPr>
        <w:t>אם</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חי</w:t>
      </w:r>
      <w:r w:rsidRPr="00C03494">
        <w:rPr>
          <w:rFonts w:cs="Arial"/>
          <w:sz w:val="18"/>
          <w:szCs w:val="18"/>
          <w:rtl/>
        </w:rPr>
        <w:t>"</w:t>
      </w:r>
      <w:r w:rsidRPr="00C03494">
        <w:rPr>
          <w:rFonts w:cs="Arial" w:hint="cs"/>
          <w:sz w:val="18"/>
          <w:szCs w:val="18"/>
          <w:rtl/>
        </w:rPr>
        <w:t>ת</w:t>
      </w:r>
      <w:r w:rsidRPr="00C03494">
        <w:rPr>
          <w:rFonts w:cs="Arial"/>
          <w:sz w:val="18"/>
          <w:szCs w:val="18"/>
          <w:rtl/>
        </w:rPr>
        <w:t xml:space="preserve"> </w:t>
      </w:r>
      <w:r w:rsidRPr="00C03494">
        <w:rPr>
          <w:rFonts w:cs="Arial" w:hint="cs"/>
          <w:sz w:val="18"/>
          <w:szCs w:val="18"/>
          <w:rtl/>
        </w:rPr>
        <w:t>או</w:t>
      </w:r>
      <w:r w:rsidRPr="00C03494">
        <w:rPr>
          <w:rFonts w:cs="Arial"/>
          <w:sz w:val="18"/>
          <w:szCs w:val="18"/>
          <w:rtl/>
        </w:rPr>
        <w:t xml:space="preserve"> </w:t>
      </w:r>
      <w:r w:rsidRPr="00C03494">
        <w:rPr>
          <w:rFonts w:cs="Arial" w:hint="cs"/>
          <w:sz w:val="18"/>
          <w:szCs w:val="18"/>
          <w:rtl/>
        </w:rPr>
        <w:t>כ</w:t>
      </w:r>
      <w:r w:rsidRPr="00C03494">
        <w:rPr>
          <w:rFonts w:cs="Arial"/>
          <w:sz w:val="18"/>
          <w:szCs w:val="18"/>
          <w:rtl/>
        </w:rPr>
        <w:t>"</w:t>
      </w:r>
      <w:r w:rsidRPr="00C03494">
        <w:rPr>
          <w:rFonts w:cs="Arial" w:hint="cs"/>
          <w:sz w:val="18"/>
          <w:szCs w:val="18"/>
          <w:rtl/>
        </w:rPr>
        <w:t>ף</w:t>
      </w:r>
      <w:r w:rsidRPr="00C03494">
        <w:rPr>
          <w:rFonts w:cs="Arial"/>
          <w:sz w:val="18"/>
          <w:szCs w:val="18"/>
          <w:rtl/>
        </w:rPr>
        <w:t xml:space="preserve">, </w:t>
      </w:r>
      <w:r w:rsidRPr="00C03494">
        <w:rPr>
          <w:rFonts w:cs="Arial" w:hint="cs"/>
          <w:sz w:val="18"/>
          <w:szCs w:val="18"/>
          <w:rtl/>
        </w:rPr>
        <w:t>כותבים</w:t>
      </w:r>
      <w:r w:rsidRPr="00C03494">
        <w:rPr>
          <w:rFonts w:cs="Arial"/>
          <w:sz w:val="18"/>
          <w:szCs w:val="18"/>
          <w:rtl/>
        </w:rPr>
        <w:t xml:space="preserve"> </w:t>
      </w:r>
      <w:r w:rsidRPr="00C03494">
        <w:rPr>
          <w:rFonts w:cs="Arial" w:hint="cs"/>
          <w:sz w:val="18"/>
          <w:szCs w:val="18"/>
          <w:rtl/>
        </w:rPr>
        <w:t>כ</w:t>
      </w:r>
      <w:r w:rsidRPr="00C03494">
        <w:rPr>
          <w:rFonts w:cs="Arial"/>
          <w:sz w:val="18"/>
          <w:szCs w:val="18"/>
          <w:rtl/>
        </w:rPr>
        <w:t>"</w:t>
      </w:r>
      <w:r w:rsidRPr="00C03494">
        <w:rPr>
          <w:rFonts w:cs="Arial" w:hint="cs"/>
          <w:sz w:val="18"/>
          <w:szCs w:val="18"/>
          <w:rtl/>
        </w:rPr>
        <w:t>ף</w:t>
      </w:r>
      <w:r w:rsidRPr="00C03494">
        <w:rPr>
          <w:rFonts w:cs="Arial"/>
          <w:sz w:val="18"/>
          <w:szCs w:val="18"/>
          <w:rtl/>
        </w:rPr>
        <w:t xml:space="preserve"> (</w:t>
      </w:r>
      <w:r w:rsidRPr="00C03494">
        <w:rPr>
          <w:rFonts w:cs="Arial" w:hint="cs"/>
          <w:sz w:val="18"/>
          <w:szCs w:val="18"/>
          <w:rtl/>
        </w:rPr>
        <w:t>שם</w:t>
      </w:r>
      <w:r w:rsidRPr="00C03494">
        <w:rPr>
          <w:rFonts w:cs="Arial"/>
          <w:sz w:val="18"/>
          <w:szCs w:val="18"/>
          <w:rtl/>
        </w:rPr>
        <w:t xml:space="preserve">), </w:t>
      </w:r>
      <w:r w:rsidRPr="00C03494">
        <w:rPr>
          <w:rFonts w:cs="Arial" w:hint="cs"/>
          <w:sz w:val="18"/>
          <w:szCs w:val="18"/>
          <w:rtl/>
        </w:rPr>
        <w:t>כגון</w:t>
      </w:r>
      <w:r w:rsidRPr="00C03494">
        <w:rPr>
          <w:rFonts w:cs="Arial"/>
          <w:sz w:val="18"/>
          <w:szCs w:val="18"/>
          <w:rtl/>
        </w:rPr>
        <w:t xml:space="preserve"> </w:t>
      </w:r>
      <w:r w:rsidRPr="00C03494">
        <w:rPr>
          <w:rFonts w:cs="Arial" w:hint="cs"/>
          <w:sz w:val="18"/>
          <w:szCs w:val="18"/>
          <w:rtl/>
        </w:rPr>
        <w:t>מיכל</w:t>
      </w:r>
      <w:r w:rsidRPr="00C03494">
        <w:rPr>
          <w:rFonts w:cs="Arial"/>
          <w:sz w:val="18"/>
          <w:szCs w:val="18"/>
          <w:rtl/>
        </w:rPr>
        <w:t xml:space="preserve"> </w:t>
      </w:r>
      <w:r w:rsidRPr="00C03494">
        <w:rPr>
          <w:rFonts w:cs="Arial" w:hint="cs"/>
          <w:sz w:val="18"/>
          <w:szCs w:val="18"/>
          <w:rtl/>
        </w:rPr>
        <w:t>איכל</w:t>
      </w:r>
      <w:r w:rsidRPr="00C03494">
        <w:rPr>
          <w:rFonts w:cs="Arial"/>
          <w:sz w:val="18"/>
          <w:szCs w:val="18"/>
          <w:rtl/>
        </w:rPr>
        <w:t xml:space="preserve">, </w:t>
      </w:r>
      <w:r w:rsidRPr="00C03494">
        <w:rPr>
          <w:rFonts w:cs="Arial" w:hint="cs"/>
          <w:sz w:val="18"/>
          <w:szCs w:val="18"/>
          <w:rtl/>
        </w:rPr>
        <w:t>דקורין</w:t>
      </w:r>
      <w:r w:rsidRPr="00C03494">
        <w:rPr>
          <w:rFonts w:cs="Arial"/>
          <w:sz w:val="18"/>
          <w:szCs w:val="18"/>
          <w:rtl/>
        </w:rPr>
        <w:t xml:space="preserve"> </w:t>
      </w:r>
      <w:r w:rsidRPr="00C03494">
        <w:rPr>
          <w:rFonts w:cs="Arial" w:hint="cs"/>
          <w:sz w:val="18"/>
          <w:szCs w:val="18"/>
          <w:rtl/>
        </w:rPr>
        <w:t>בכנויי</w:t>
      </w:r>
      <w:r w:rsidRPr="00C03494">
        <w:rPr>
          <w:rFonts w:cs="Arial"/>
          <w:sz w:val="18"/>
          <w:szCs w:val="18"/>
          <w:rtl/>
        </w:rPr>
        <w:t xml:space="preserve"> </w:t>
      </w:r>
      <w:r w:rsidRPr="00C03494">
        <w:rPr>
          <w:rFonts w:cs="Arial" w:hint="cs"/>
          <w:sz w:val="18"/>
          <w:szCs w:val="18"/>
          <w:rtl/>
        </w:rPr>
        <w:t>חי</w:t>
      </w:r>
      <w:r w:rsidRPr="00C03494">
        <w:rPr>
          <w:rFonts w:cs="Arial"/>
          <w:sz w:val="18"/>
          <w:szCs w:val="18"/>
          <w:rtl/>
        </w:rPr>
        <w:t>"</w:t>
      </w:r>
      <w:r w:rsidRPr="00C03494">
        <w:rPr>
          <w:rFonts w:cs="Arial" w:hint="cs"/>
          <w:sz w:val="18"/>
          <w:szCs w:val="18"/>
          <w:rtl/>
        </w:rPr>
        <w:t>ת</w:t>
      </w:r>
      <w:r w:rsidRPr="00C03494">
        <w:rPr>
          <w:rFonts w:cs="Arial"/>
          <w:sz w:val="18"/>
          <w:szCs w:val="18"/>
          <w:rtl/>
        </w:rPr>
        <w:t xml:space="preserve"> </w:t>
      </w:r>
      <w:r w:rsidRPr="00C03494">
        <w:rPr>
          <w:rFonts w:cs="Arial" w:hint="cs"/>
          <w:sz w:val="18"/>
          <w:szCs w:val="18"/>
          <w:rtl/>
        </w:rPr>
        <w:t>כמו</w:t>
      </w:r>
      <w:r w:rsidRPr="00C03494">
        <w:rPr>
          <w:rFonts w:cs="Arial"/>
          <w:sz w:val="18"/>
          <w:szCs w:val="18"/>
          <w:rtl/>
        </w:rPr>
        <w:t xml:space="preserve"> </w:t>
      </w:r>
      <w:r w:rsidRPr="00C03494">
        <w:rPr>
          <w:rFonts w:cs="Arial" w:hint="cs"/>
          <w:sz w:val="18"/>
          <w:szCs w:val="18"/>
          <w:rtl/>
        </w:rPr>
        <w:t>כ</w:t>
      </w:r>
      <w:r w:rsidRPr="00C03494">
        <w:rPr>
          <w:rFonts w:cs="Arial"/>
          <w:sz w:val="18"/>
          <w:szCs w:val="18"/>
          <w:rtl/>
        </w:rPr>
        <w:t>"</w:t>
      </w:r>
      <w:r w:rsidRPr="00C03494">
        <w:rPr>
          <w:rFonts w:cs="Arial" w:hint="cs"/>
          <w:sz w:val="18"/>
          <w:szCs w:val="18"/>
          <w:rtl/>
        </w:rPr>
        <w:t>ף</w:t>
      </w:r>
      <w:r>
        <w:rPr>
          <w:rFonts w:cs="Arial" w:hint="cs"/>
          <w:sz w:val="18"/>
          <w:szCs w:val="18"/>
          <w:rtl/>
        </w:rPr>
        <w:t>.</w:t>
      </w:r>
      <w:r w:rsidRPr="00C03494">
        <w:rPr>
          <w:rFonts w:cs="Arial"/>
          <w:sz w:val="18"/>
          <w:szCs w:val="18"/>
          <w:rtl/>
        </w:rPr>
        <w:t xml:space="preserve"> </w:t>
      </w:r>
      <w:r w:rsidRPr="00C03494">
        <w:rPr>
          <w:rFonts w:cs="Arial" w:hint="cs"/>
          <w:sz w:val="18"/>
          <w:szCs w:val="18"/>
          <w:rtl/>
        </w:rPr>
        <w:t>אמנם</w:t>
      </w:r>
      <w:r w:rsidRPr="00C03494">
        <w:rPr>
          <w:rFonts w:cs="Arial"/>
          <w:sz w:val="18"/>
          <w:szCs w:val="18"/>
          <w:rtl/>
        </w:rPr>
        <w:t xml:space="preserve"> </w:t>
      </w:r>
      <w:r w:rsidRPr="00C03494">
        <w:rPr>
          <w:rFonts w:cs="Arial" w:hint="cs"/>
          <w:sz w:val="18"/>
          <w:szCs w:val="18"/>
          <w:rtl/>
        </w:rPr>
        <w:t>בשם</w:t>
      </w:r>
      <w:r w:rsidRPr="00C03494">
        <w:rPr>
          <w:rFonts w:cs="Arial"/>
          <w:sz w:val="18"/>
          <w:szCs w:val="18"/>
          <w:rtl/>
        </w:rPr>
        <w:t xml:space="preserve"> </w:t>
      </w:r>
      <w:r w:rsidRPr="00C03494">
        <w:rPr>
          <w:rFonts w:cs="Arial" w:hint="cs"/>
          <w:sz w:val="18"/>
          <w:szCs w:val="18"/>
          <w:rtl/>
        </w:rPr>
        <w:t>אשה</w:t>
      </w:r>
      <w:r w:rsidRPr="00C03494">
        <w:rPr>
          <w:rFonts w:cs="Arial"/>
          <w:sz w:val="18"/>
          <w:szCs w:val="18"/>
          <w:rtl/>
        </w:rPr>
        <w:t xml:space="preserve"> </w:t>
      </w:r>
      <w:r w:rsidRPr="00C03494">
        <w:rPr>
          <w:rFonts w:cs="Arial" w:hint="cs"/>
          <w:sz w:val="18"/>
          <w:szCs w:val="18"/>
          <w:rtl/>
        </w:rPr>
        <w:t>שקורין</w:t>
      </w:r>
      <w:r w:rsidRPr="00C03494">
        <w:rPr>
          <w:rFonts w:cs="Arial"/>
          <w:sz w:val="18"/>
          <w:szCs w:val="18"/>
          <w:rtl/>
        </w:rPr>
        <w:t xml:space="preserve"> </w:t>
      </w:r>
      <w:r w:rsidRPr="00C03494">
        <w:rPr>
          <w:rFonts w:cs="Arial" w:hint="cs"/>
          <w:sz w:val="18"/>
          <w:szCs w:val="18"/>
          <w:rtl/>
        </w:rPr>
        <w:t>רעכליין</w:t>
      </w:r>
      <w:r w:rsidRPr="00C03494">
        <w:rPr>
          <w:rFonts w:cs="Arial"/>
          <w:sz w:val="18"/>
          <w:szCs w:val="18"/>
          <w:rtl/>
        </w:rPr>
        <w:t xml:space="preserve">, </w:t>
      </w:r>
      <w:r w:rsidRPr="00C03494">
        <w:rPr>
          <w:rFonts w:cs="Arial" w:hint="cs"/>
          <w:sz w:val="18"/>
          <w:szCs w:val="18"/>
          <w:rtl/>
        </w:rPr>
        <w:t>כותבין</w:t>
      </w:r>
      <w:r w:rsidRPr="00C03494">
        <w:rPr>
          <w:rFonts w:cs="Arial"/>
          <w:sz w:val="18"/>
          <w:szCs w:val="18"/>
          <w:rtl/>
        </w:rPr>
        <w:t xml:space="preserve"> </w:t>
      </w:r>
      <w:r w:rsidRPr="00C03494">
        <w:rPr>
          <w:rFonts w:cs="Arial" w:hint="cs"/>
          <w:sz w:val="18"/>
          <w:szCs w:val="18"/>
          <w:rtl/>
        </w:rPr>
        <w:t>רק</w:t>
      </w:r>
      <w:r w:rsidRPr="00C03494">
        <w:rPr>
          <w:rFonts w:cs="Arial"/>
          <w:sz w:val="18"/>
          <w:szCs w:val="18"/>
          <w:rtl/>
        </w:rPr>
        <w:t xml:space="preserve"> </w:t>
      </w:r>
      <w:r w:rsidRPr="00C03494">
        <w:rPr>
          <w:rFonts w:cs="Arial" w:hint="cs"/>
          <w:sz w:val="18"/>
          <w:szCs w:val="18"/>
          <w:rtl/>
        </w:rPr>
        <w:t>רחל</w:t>
      </w:r>
      <w:r w:rsidRPr="00C03494">
        <w:rPr>
          <w:rFonts w:cs="Arial"/>
          <w:sz w:val="18"/>
          <w:szCs w:val="18"/>
          <w:rtl/>
        </w:rPr>
        <w:t xml:space="preserve">, </w:t>
      </w:r>
      <w:r w:rsidRPr="00C03494">
        <w:rPr>
          <w:rFonts w:cs="Arial" w:hint="cs"/>
          <w:sz w:val="18"/>
          <w:szCs w:val="18"/>
          <w:rtl/>
        </w:rPr>
        <w:t>שהוא</w:t>
      </w:r>
      <w:r w:rsidRPr="00C03494">
        <w:rPr>
          <w:rFonts w:cs="Arial"/>
          <w:sz w:val="18"/>
          <w:szCs w:val="18"/>
          <w:rtl/>
        </w:rPr>
        <w:t xml:space="preserve"> </w:t>
      </w:r>
      <w:r w:rsidRPr="00C03494">
        <w:rPr>
          <w:rFonts w:cs="Arial" w:hint="cs"/>
          <w:sz w:val="18"/>
          <w:szCs w:val="18"/>
          <w:rtl/>
        </w:rPr>
        <w:t>עיקר</w:t>
      </w:r>
      <w:r w:rsidRPr="00C03494">
        <w:rPr>
          <w:rFonts w:cs="Arial"/>
          <w:sz w:val="18"/>
          <w:szCs w:val="18"/>
          <w:rtl/>
        </w:rPr>
        <w:t xml:space="preserve"> </w:t>
      </w:r>
      <w:r w:rsidRPr="00C03494">
        <w:rPr>
          <w:rFonts w:cs="Arial" w:hint="cs"/>
          <w:sz w:val="18"/>
          <w:szCs w:val="18"/>
          <w:rtl/>
        </w:rPr>
        <w:t>השם</w:t>
      </w:r>
      <w:r w:rsidRPr="00C03494">
        <w:rPr>
          <w:rFonts w:cs="Arial"/>
          <w:sz w:val="18"/>
          <w:szCs w:val="18"/>
          <w:rtl/>
        </w:rPr>
        <w:t xml:space="preserve"> (</w:t>
      </w:r>
      <w:r w:rsidRPr="00C03494">
        <w:rPr>
          <w:rFonts w:cs="Arial" w:hint="cs"/>
          <w:sz w:val="18"/>
          <w:szCs w:val="18"/>
          <w:rtl/>
        </w:rPr>
        <w:t>מהרי</w:t>
      </w:r>
      <w:r w:rsidRPr="00C03494">
        <w:rPr>
          <w:rFonts w:cs="Arial"/>
          <w:sz w:val="18"/>
          <w:szCs w:val="18"/>
          <w:rtl/>
        </w:rPr>
        <w:t>"</w:t>
      </w:r>
      <w:r w:rsidRPr="00C03494">
        <w:rPr>
          <w:rFonts w:cs="Arial" w:hint="cs"/>
          <w:sz w:val="18"/>
          <w:szCs w:val="18"/>
          <w:rtl/>
        </w:rPr>
        <w:t>ו</w:t>
      </w:r>
      <w:r w:rsidRPr="00C03494">
        <w:rPr>
          <w:rFonts w:cs="Arial"/>
          <w:sz w:val="18"/>
          <w:szCs w:val="18"/>
          <w:rtl/>
        </w:rPr>
        <w:t xml:space="preserve"> </w:t>
      </w:r>
      <w:r w:rsidRPr="00C03494">
        <w:rPr>
          <w:rFonts w:cs="Arial" w:hint="cs"/>
          <w:sz w:val="18"/>
          <w:szCs w:val="18"/>
          <w:rtl/>
        </w:rPr>
        <w:t>סי</w:t>
      </w:r>
      <w:r w:rsidRPr="00C03494">
        <w:rPr>
          <w:rFonts w:cs="Arial"/>
          <w:sz w:val="18"/>
          <w:szCs w:val="18"/>
          <w:rtl/>
        </w:rPr>
        <w:t xml:space="preserve">' </w:t>
      </w:r>
      <w:r w:rsidRPr="00C03494">
        <w:rPr>
          <w:rFonts w:cs="Arial" w:hint="cs"/>
          <w:sz w:val="18"/>
          <w:szCs w:val="18"/>
          <w:rtl/>
        </w:rPr>
        <w:t>קכ</w:t>
      </w:r>
      <w:r w:rsidRPr="00C03494">
        <w:rPr>
          <w:rFonts w:cs="Arial"/>
          <w:sz w:val="18"/>
          <w:szCs w:val="18"/>
          <w:rtl/>
        </w:rPr>
        <w:t xml:space="preserve">), </w:t>
      </w:r>
      <w:r w:rsidRPr="00C03494">
        <w:rPr>
          <w:rFonts w:cs="Arial" w:hint="cs"/>
          <w:sz w:val="18"/>
          <w:szCs w:val="18"/>
          <w:rtl/>
        </w:rPr>
        <w:t>וכל</w:t>
      </w:r>
      <w:r w:rsidRPr="00C03494">
        <w:rPr>
          <w:rFonts w:cs="Arial"/>
          <w:sz w:val="18"/>
          <w:szCs w:val="18"/>
          <w:rtl/>
        </w:rPr>
        <w:t xml:space="preserve"> </w:t>
      </w:r>
      <w:r w:rsidRPr="00C03494">
        <w:rPr>
          <w:rFonts w:cs="Arial" w:hint="cs"/>
          <w:sz w:val="18"/>
          <w:szCs w:val="18"/>
          <w:rtl/>
        </w:rPr>
        <w:t>כיוצא</w:t>
      </w:r>
      <w:r w:rsidRPr="00C03494">
        <w:rPr>
          <w:rFonts w:cs="Arial"/>
          <w:sz w:val="18"/>
          <w:szCs w:val="18"/>
          <w:rtl/>
        </w:rPr>
        <w:t xml:space="preserve"> </w:t>
      </w:r>
      <w:r w:rsidRPr="00C03494">
        <w:rPr>
          <w:rFonts w:cs="Arial" w:hint="cs"/>
          <w:sz w:val="18"/>
          <w:szCs w:val="18"/>
          <w:rtl/>
        </w:rPr>
        <w:t>בזה</w:t>
      </w:r>
      <w:r>
        <w:rPr>
          <w:rFonts w:cs="Arial" w:hint="cs"/>
          <w:sz w:val="18"/>
          <w:szCs w:val="18"/>
          <w:rtl/>
        </w:rPr>
        <w:t>.</w:t>
      </w:r>
      <w:r w:rsidRPr="00C03494">
        <w:rPr>
          <w:rFonts w:cs="Arial"/>
          <w:sz w:val="18"/>
          <w:szCs w:val="18"/>
          <w:rtl/>
        </w:rPr>
        <w:t xml:space="preserve"> </w:t>
      </w:r>
      <w:r w:rsidRPr="00C03494">
        <w:rPr>
          <w:rFonts w:cs="Arial" w:hint="cs"/>
          <w:sz w:val="18"/>
          <w:szCs w:val="18"/>
          <w:rtl/>
        </w:rPr>
        <w:t>ואם</w:t>
      </w:r>
      <w:r w:rsidRPr="00C03494">
        <w:rPr>
          <w:rFonts w:cs="Arial"/>
          <w:sz w:val="18"/>
          <w:szCs w:val="18"/>
          <w:rtl/>
        </w:rPr>
        <w:t xml:space="preserve"> </w:t>
      </w:r>
      <w:r w:rsidRPr="00C03494">
        <w:rPr>
          <w:rFonts w:cs="Arial" w:hint="cs"/>
          <w:sz w:val="18"/>
          <w:szCs w:val="18"/>
          <w:rtl/>
        </w:rPr>
        <w:t>שינה</w:t>
      </w:r>
      <w:r w:rsidRPr="00C03494">
        <w:rPr>
          <w:rFonts w:cs="Arial"/>
          <w:sz w:val="18"/>
          <w:szCs w:val="18"/>
          <w:rtl/>
        </w:rPr>
        <w:t xml:space="preserve">, </w:t>
      </w:r>
      <w:r w:rsidRPr="00C03494">
        <w:rPr>
          <w:rFonts w:cs="Arial" w:hint="cs"/>
          <w:sz w:val="18"/>
          <w:szCs w:val="18"/>
          <w:rtl/>
        </w:rPr>
        <w:t>בדיעבד</w:t>
      </w:r>
      <w:r w:rsidRPr="00C03494">
        <w:rPr>
          <w:rFonts w:cs="Arial"/>
          <w:sz w:val="18"/>
          <w:szCs w:val="18"/>
          <w:rtl/>
        </w:rPr>
        <w:t xml:space="preserve"> </w:t>
      </w:r>
      <w:r w:rsidRPr="00C03494">
        <w:rPr>
          <w:rFonts w:cs="Arial" w:hint="cs"/>
          <w:sz w:val="18"/>
          <w:szCs w:val="18"/>
          <w:rtl/>
        </w:rPr>
        <w:t>כשר</w:t>
      </w:r>
      <w:r w:rsidRPr="00C03494">
        <w:rPr>
          <w:rFonts w:cs="Arial"/>
          <w:sz w:val="18"/>
          <w:szCs w:val="18"/>
          <w:rtl/>
        </w:rPr>
        <w:t>.</w:t>
      </w:r>
      <w:r>
        <w:rPr>
          <w:rFonts w:cs="Arial"/>
          <w:rtl/>
        </w:rPr>
        <w:t xml:space="preserve"> </w:t>
      </w:r>
    </w:p>
    <w:p w14:paraId="6620D605" w14:textId="77777777" w:rsidR="00FA2119" w:rsidRDefault="00FA2119" w:rsidP="00FA2119">
      <w:pPr>
        <w:rPr>
          <w:rtl/>
        </w:rPr>
      </w:pPr>
    </w:p>
    <w:p w14:paraId="14BF6CF0" w14:textId="77777777" w:rsidR="00FA2119" w:rsidRDefault="00FA2119" w:rsidP="00FA2119">
      <w:pPr>
        <w:pStyle w:val="2"/>
        <w:rPr>
          <w:rtl/>
        </w:rPr>
      </w:pPr>
      <w:r>
        <w:rPr>
          <w:rFonts w:hint="cs"/>
          <w:rtl/>
        </w:rPr>
        <w:t>סעיף</w:t>
      </w:r>
      <w:r>
        <w:rPr>
          <w:rtl/>
        </w:rPr>
        <w:t xml:space="preserve"> </w:t>
      </w:r>
      <w:r>
        <w:rPr>
          <w:rFonts w:hint="cs"/>
          <w:rtl/>
        </w:rPr>
        <w:t>לב: שמות שמורכבים משתי תיבות.</w:t>
      </w:r>
    </w:p>
    <w:p w14:paraId="0EC2F4FA" w14:textId="77777777" w:rsidR="00FA2119" w:rsidRPr="00B94CF6" w:rsidRDefault="00FA2119" w:rsidP="00FA2119">
      <w:pPr>
        <w:rPr>
          <w:u w:val="single"/>
          <w:rtl/>
        </w:rPr>
      </w:pPr>
      <w:r w:rsidRPr="00B94CF6">
        <w:rPr>
          <w:rFonts w:hint="cs"/>
          <w:u w:val="single"/>
          <w:rtl/>
        </w:rPr>
        <w:t xml:space="preserve">שמות </w:t>
      </w:r>
      <w:r>
        <w:rPr>
          <w:rFonts w:hint="cs"/>
          <w:u w:val="single"/>
          <w:rtl/>
        </w:rPr>
        <w:t>שמורכבים מש</w:t>
      </w:r>
      <w:r w:rsidRPr="00B94CF6">
        <w:rPr>
          <w:rFonts w:hint="cs"/>
          <w:u w:val="single"/>
          <w:rtl/>
        </w:rPr>
        <w:t>תי תיבות:</w:t>
      </w:r>
    </w:p>
    <w:p w14:paraId="683CE0BA" w14:textId="37E63D05" w:rsidR="00FA2119" w:rsidRPr="00B94CF6" w:rsidRDefault="00FA2119" w:rsidP="00FA2119">
      <w:pPr>
        <w:pStyle w:val="ab"/>
        <w:numPr>
          <w:ilvl w:val="0"/>
          <w:numId w:val="80"/>
        </w:numPr>
      </w:pPr>
      <w:r>
        <w:rPr>
          <w:rFonts w:cs="Arial" w:hint="cs"/>
          <w:rtl/>
        </w:rPr>
        <w:t>רשב"א</w:t>
      </w:r>
      <w:r>
        <w:rPr>
          <w:rStyle w:val="a7"/>
          <w:rFonts w:cs="Arial"/>
          <w:rtl/>
        </w:rPr>
        <w:footnoteReference w:id="1164"/>
      </w:r>
      <w:r>
        <w:rPr>
          <w:rFonts w:cs="Arial" w:hint="cs"/>
          <w:rtl/>
        </w:rPr>
        <w:t xml:space="preserve"> </w:t>
      </w:r>
      <w:r>
        <w:rPr>
          <w:rFonts w:cs="Arial" w:hint="cs"/>
          <w:sz w:val="16"/>
          <w:szCs w:val="16"/>
          <w:rtl/>
        </w:rPr>
        <w:t xml:space="preserve">(במיוחסות סי' קמח, וכ"כ </w:t>
      </w:r>
      <w:r w:rsidRPr="00FF3901">
        <w:rPr>
          <w:rFonts w:cs="Arial"/>
          <w:sz w:val="16"/>
          <w:szCs w:val="16"/>
          <w:rtl/>
        </w:rPr>
        <w:t xml:space="preserve">בשמו הקונדריסין </w:t>
      </w:r>
      <w:r>
        <w:rPr>
          <w:rFonts w:cs="Arial" w:hint="cs"/>
          <w:sz w:val="16"/>
          <w:szCs w:val="16"/>
          <w:rtl/>
        </w:rPr>
        <w:t>[</w:t>
      </w:r>
      <w:r w:rsidRPr="00FF3901">
        <w:rPr>
          <w:rFonts w:cs="Arial"/>
          <w:sz w:val="16"/>
          <w:szCs w:val="16"/>
          <w:rtl/>
        </w:rPr>
        <w:t>סי' י סעי' ג</w:t>
      </w:r>
      <w:r>
        <w:rPr>
          <w:rFonts w:cs="Arial" w:hint="cs"/>
          <w:sz w:val="16"/>
          <w:szCs w:val="16"/>
          <w:rtl/>
        </w:rPr>
        <w:t>] ורי"ו)</w:t>
      </w:r>
      <w:r>
        <w:rPr>
          <w:rFonts w:cs="Arial" w:hint="cs"/>
          <w:rtl/>
        </w:rPr>
        <w:t xml:space="preserve"> ו</w:t>
      </w:r>
      <w:r w:rsidRPr="00B94CF6">
        <w:rPr>
          <w:rFonts w:cs="Arial"/>
          <w:rtl/>
        </w:rPr>
        <w:t xml:space="preserve">ר"ן </w:t>
      </w:r>
      <w:r w:rsidRPr="00B94CF6">
        <w:rPr>
          <w:rFonts w:cs="Arial"/>
          <w:sz w:val="16"/>
          <w:szCs w:val="16"/>
          <w:rtl/>
        </w:rPr>
        <w:t>(שם כב: ד"ה אמר חזקיה)</w:t>
      </w:r>
      <w:r w:rsidR="00A82951">
        <w:rPr>
          <w:rFonts w:cs="Arial" w:hint="cs"/>
          <w:rtl/>
        </w:rPr>
        <w:t>-</w:t>
      </w:r>
      <w:r w:rsidRPr="00B94CF6">
        <w:rPr>
          <w:rFonts w:cs="Arial"/>
          <w:rtl/>
        </w:rPr>
        <w:t xml:space="preserve"> בגמרא שיילינן אמאי דרשינן מבת היענה דהיינו ביצתה</w:t>
      </w:r>
      <w:r>
        <w:rPr>
          <w:rFonts w:cs="Arial" w:hint="cs"/>
          <w:rtl/>
        </w:rPr>
        <w:t>,</w:t>
      </w:r>
      <w:r w:rsidRPr="00B94CF6">
        <w:rPr>
          <w:rFonts w:cs="Arial"/>
          <w:rtl/>
        </w:rPr>
        <w:t xml:space="preserve"> ולא אמרינן דהיינו שמה כדכתיב </w:t>
      </w:r>
      <w:r>
        <w:rPr>
          <w:rFonts w:cs="Arial" w:hint="cs"/>
          <w:rtl/>
        </w:rPr>
        <w:t>'</w:t>
      </w:r>
      <w:r w:rsidRPr="00B94CF6">
        <w:rPr>
          <w:rFonts w:cs="Arial"/>
          <w:rtl/>
        </w:rPr>
        <w:t>תכבדני חית השדה תנים ובנות יענה</w:t>
      </w:r>
      <w:r>
        <w:rPr>
          <w:rFonts w:cs="Arial" w:hint="cs"/>
          <w:rtl/>
        </w:rPr>
        <w:t>'.</w:t>
      </w:r>
      <w:r w:rsidRPr="00B94CF6">
        <w:rPr>
          <w:rFonts w:cs="Arial"/>
          <w:rtl/>
        </w:rPr>
        <w:t xml:space="preserve"> ומפרקינן דמדפסיק ליה ספרא בתרתי תיבות ש"מ דתרי שמי נינהו</w:t>
      </w:r>
      <w:r>
        <w:rPr>
          <w:rFonts w:cs="Arial" w:hint="cs"/>
          <w:rtl/>
        </w:rPr>
        <w:t>.</w:t>
      </w:r>
      <w:r w:rsidRPr="00B94CF6">
        <w:rPr>
          <w:rFonts w:cs="Arial"/>
          <w:rtl/>
        </w:rPr>
        <w:t xml:space="preserve"> ופרכינן אלא מעתה </w:t>
      </w:r>
      <w:r>
        <w:rPr>
          <w:rFonts w:cs="Arial" w:hint="cs"/>
          <w:rtl/>
        </w:rPr>
        <w:t>'</w:t>
      </w:r>
      <w:r w:rsidRPr="00B94CF6">
        <w:rPr>
          <w:rFonts w:cs="Arial"/>
          <w:rtl/>
        </w:rPr>
        <w:t>את כדר לעומר</w:t>
      </w:r>
      <w:r>
        <w:rPr>
          <w:rFonts w:cs="Arial" w:hint="cs"/>
          <w:rtl/>
        </w:rPr>
        <w:t>'</w:t>
      </w:r>
      <w:r w:rsidRPr="00B94CF6">
        <w:rPr>
          <w:rFonts w:cs="Arial"/>
          <w:rtl/>
        </w:rPr>
        <w:t xml:space="preserve"> דפסיק ליה ספרא בתרתי ה"נ דתרי שמי נינהו</w:t>
      </w:r>
      <w:r>
        <w:rPr>
          <w:rFonts w:cs="Arial" w:hint="cs"/>
          <w:rtl/>
        </w:rPr>
        <w:t>.</w:t>
      </w:r>
      <w:r w:rsidRPr="00B94CF6">
        <w:rPr>
          <w:rFonts w:cs="Arial"/>
          <w:rtl/>
        </w:rPr>
        <w:t xml:space="preserve"> הכי השתא התם בשתי תיבות פסיק ליה</w:t>
      </w:r>
      <w:r>
        <w:rPr>
          <w:rFonts w:cs="Arial" w:hint="cs"/>
          <w:rtl/>
        </w:rPr>
        <w:t>,</w:t>
      </w:r>
      <w:r w:rsidRPr="00B94CF6">
        <w:rPr>
          <w:rFonts w:cs="Arial"/>
          <w:rtl/>
        </w:rPr>
        <w:t xml:space="preserve"> בשתי שיטין לא פסיק ליה</w:t>
      </w:r>
      <w:r>
        <w:rPr>
          <w:rFonts w:cs="Arial" w:hint="cs"/>
          <w:rtl/>
        </w:rPr>
        <w:t>.</w:t>
      </w:r>
      <w:r w:rsidRPr="00B94CF6">
        <w:rPr>
          <w:rFonts w:cs="Arial"/>
          <w:rtl/>
        </w:rPr>
        <w:t xml:space="preserve"> הכא בשתי שיטין פסיק ליה</w:t>
      </w:r>
      <w:r>
        <w:rPr>
          <w:rFonts w:cs="Arial" w:hint="cs"/>
          <w:rtl/>
        </w:rPr>
        <w:t>.</w:t>
      </w:r>
      <w:r w:rsidRPr="00B94CF6">
        <w:rPr>
          <w:rFonts w:cs="Arial"/>
          <w:rtl/>
        </w:rPr>
        <w:t xml:space="preserve"> ומכאן לענין גט שאין פוסקין שם האיש ולא שם האשה בשתי שיטין</w:t>
      </w:r>
      <w:r>
        <w:rPr>
          <w:rFonts w:cs="Arial" w:hint="cs"/>
          <w:rtl/>
        </w:rPr>
        <w:t>,</w:t>
      </w:r>
      <w:r w:rsidRPr="00B94CF6">
        <w:rPr>
          <w:rFonts w:cs="Arial"/>
          <w:rtl/>
        </w:rPr>
        <w:t xml:space="preserve"> אבל בשיטה אחת אפשר שפוסקין קצת שמות שסובלין כן</w:t>
      </w:r>
      <w:r>
        <w:rPr>
          <w:rFonts w:cs="Arial" w:hint="cs"/>
          <w:rtl/>
        </w:rPr>
        <w:t>,</w:t>
      </w:r>
      <w:r w:rsidRPr="00B94CF6">
        <w:rPr>
          <w:rFonts w:cs="Arial"/>
          <w:rtl/>
        </w:rPr>
        <w:t xml:space="preserve"> דומיא דכדר לעומר</w:t>
      </w:r>
      <w:r>
        <w:rPr>
          <w:rFonts w:cs="Arial" w:hint="cs"/>
          <w:sz w:val="16"/>
          <w:szCs w:val="16"/>
          <w:rtl/>
        </w:rPr>
        <w:t xml:space="preserve"> (ל' הר"ן)</w:t>
      </w:r>
      <w:r w:rsidRPr="00B94CF6">
        <w:rPr>
          <w:rFonts w:cs="Arial"/>
          <w:rtl/>
        </w:rPr>
        <w:t xml:space="preserve">. </w:t>
      </w:r>
      <w:r w:rsidRPr="00B94CF6">
        <w:rPr>
          <w:rFonts w:hint="cs"/>
          <w:color w:val="E36C0A" w:themeColor="accent6" w:themeShade="BF"/>
          <w:rtl/>
        </w:rPr>
        <w:t>(וכ"פ בשו"ע)</w:t>
      </w:r>
    </w:p>
    <w:p w14:paraId="02862B79"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03E63A5" w14:textId="77777777" w:rsidR="00FA2119" w:rsidRDefault="00FA2119" w:rsidP="00FA2119">
      <w:pPr>
        <w:rPr>
          <w:rtl/>
        </w:rPr>
      </w:pPr>
      <w:r>
        <w:rPr>
          <w:rFonts w:cs="Arial" w:hint="cs"/>
          <w:rtl/>
        </w:rPr>
        <w:t>אין</w:t>
      </w:r>
      <w:r>
        <w:rPr>
          <w:rFonts w:cs="Arial"/>
          <w:rtl/>
        </w:rPr>
        <w:t xml:space="preserve"> </w:t>
      </w:r>
      <w:r>
        <w:rPr>
          <w:rFonts w:cs="Arial" w:hint="cs"/>
          <w:rtl/>
        </w:rPr>
        <w:t>פוסקים</w:t>
      </w:r>
      <w:r>
        <w:rPr>
          <w:rFonts w:cs="Arial"/>
          <w:rtl/>
        </w:rPr>
        <w:t xml:space="preserve"> </w:t>
      </w:r>
      <w:r>
        <w:rPr>
          <w:rFonts w:cs="Arial" w:hint="cs"/>
          <w:rtl/>
        </w:rPr>
        <w:t>שם</w:t>
      </w:r>
      <w:r>
        <w:rPr>
          <w:rFonts w:cs="Arial"/>
          <w:rtl/>
        </w:rPr>
        <w:t xml:space="preserve"> </w:t>
      </w:r>
      <w:r>
        <w:rPr>
          <w:rFonts w:cs="Arial" w:hint="cs"/>
          <w:rtl/>
        </w:rPr>
        <w:t>האיש</w:t>
      </w:r>
      <w:r>
        <w:rPr>
          <w:rFonts w:cs="Arial"/>
          <w:rtl/>
        </w:rPr>
        <w:t xml:space="preserve"> </w:t>
      </w:r>
      <w:r>
        <w:rPr>
          <w:rFonts w:cs="Arial" w:hint="cs"/>
          <w:rtl/>
        </w:rPr>
        <w:t>ולא</w:t>
      </w:r>
      <w:r>
        <w:rPr>
          <w:rFonts w:cs="Arial"/>
          <w:rtl/>
        </w:rPr>
        <w:t xml:space="preserve"> </w:t>
      </w:r>
      <w:r>
        <w:rPr>
          <w:rFonts w:cs="Arial" w:hint="cs"/>
          <w:rtl/>
        </w:rPr>
        <w:t>שם</w:t>
      </w:r>
      <w:r>
        <w:rPr>
          <w:rFonts w:cs="Arial"/>
          <w:rtl/>
        </w:rPr>
        <w:t xml:space="preserve"> </w:t>
      </w:r>
      <w:r>
        <w:rPr>
          <w:rFonts w:cs="Arial" w:hint="cs"/>
          <w:rtl/>
        </w:rPr>
        <w:t>האשה</w:t>
      </w:r>
      <w:r>
        <w:rPr>
          <w:rFonts w:cs="Arial"/>
          <w:rtl/>
        </w:rPr>
        <w:t xml:space="preserve"> </w:t>
      </w:r>
      <w:r>
        <w:rPr>
          <w:rFonts w:cs="Arial" w:hint="cs"/>
          <w:rtl/>
        </w:rPr>
        <w:t>בשני</w:t>
      </w:r>
      <w:r>
        <w:rPr>
          <w:rFonts w:cs="Arial"/>
          <w:rtl/>
        </w:rPr>
        <w:t xml:space="preserve"> </w:t>
      </w:r>
      <w:r>
        <w:rPr>
          <w:rFonts w:cs="Arial" w:hint="cs"/>
          <w:rtl/>
        </w:rPr>
        <w:t>שיטין</w:t>
      </w:r>
      <w:r>
        <w:rPr>
          <w:rFonts w:cs="Arial"/>
          <w:rtl/>
        </w:rPr>
        <w:t xml:space="preserve">, </w:t>
      </w:r>
      <w:r>
        <w:rPr>
          <w:rFonts w:cs="Arial" w:hint="cs"/>
          <w:rtl/>
        </w:rPr>
        <w:t>אבל</w:t>
      </w:r>
      <w:r>
        <w:rPr>
          <w:rFonts w:cs="Arial"/>
          <w:rtl/>
        </w:rPr>
        <w:t xml:space="preserve"> </w:t>
      </w:r>
      <w:r>
        <w:rPr>
          <w:rFonts w:cs="Arial" w:hint="cs"/>
          <w:rtl/>
        </w:rPr>
        <w:t>בשיטה</w:t>
      </w:r>
      <w:r>
        <w:rPr>
          <w:rFonts w:cs="Arial"/>
          <w:rtl/>
        </w:rPr>
        <w:t xml:space="preserve"> </w:t>
      </w:r>
      <w:r>
        <w:rPr>
          <w:rFonts w:cs="Arial" w:hint="cs"/>
          <w:rtl/>
        </w:rPr>
        <w:t>אחת</w:t>
      </w:r>
      <w:r>
        <w:rPr>
          <w:rFonts w:cs="Arial"/>
          <w:rtl/>
        </w:rPr>
        <w:t xml:space="preserve"> </w:t>
      </w:r>
      <w:r>
        <w:rPr>
          <w:rFonts w:cs="Arial" w:hint="cs"/>
          <w:rtl/>
        </w:rPr>
        <w:t>אפשר</w:t>
      </w:r>
      <w:r>
        <w:rPr>
          <w:rFonts w:cs="Arial"/>
          <w:rtl/>
        </w:rPr>
        <w:t xml:space="preserve"> </w:t>
      </w:r>
      <w:r>
        <w:rPr>
          <w:rFonts w:cs="Arial" w:hint="cs"/>
          <w:rtl/>
        </w:rPr>
        <w:t>שפוסקין</w:t>
      </w:r>
      <w:r>
        <w:rPr>
          <w:rFonts w:cs="Arial"/>
          <w:rtl/>
        </w:rPr>
        <w:t xml:space="preserve"> </w:t>
      </w:r>
      <w:r>
        <w:rPr>
          <w:rFonts w:cs="Arial" w:hint="cs"/>
          <w:rtl/>
        </w:rPr>
        <w:t>קצת</w:t>
      </w:r>
      <w:r>
        <w:rPr>
          <w:rFonts w:cs="Arial"/>
          <w:rtl/>
        </w:rPr>
        <w:t xml:space="preserve"> </w:t>
      </w:r>
      <w:r>
        <w:rPr>
          <w:rFonts w:cs="Arial" w:hint="cs"/>
          <w:rtl/>
        </w:rPr>
        <w:t>שמות</w:t>
      </w:r>
      <w:r>
        <w:rPr>
          <w:rFonts w:cs="Arial"/>
          <w:rtl/>
        </w:rPr>
        <w:t xml:space="preserve"> </w:t>
      </w:r>
      <w:r>
        <w:rPr>
          <w:rFonts w:cs="Arial" w:hint="cs"/>
          <w:rtl/>
        </w:rPr>
        <w:t>שסובלין</w:t>
      </w:r>
      <w:r>
        <w:rPr>
          <w:rFonts w:cs="Arial"/>
          <w:rtl/>
        </w:rPr>
        <w:t xml:space="preserve"> </w:t>
      </w:r>
      <w:r>
        <w:rPr>
          <w:rFonts w:cs="Arial" w:hint="cs"/>
          <w:rtl/>
        </w:rPr>
        <w:t>כן</w:t>
      </w:r>
      <w:r>
        <w:rPr>
          <w:rFonts w:cs="Arial"/>
          <w:rtl/>
        </w:rPr>
        <w:t xml:space="preserve">, </w:t>
      </w:r>
      <w:r>
        <w:rPr>
          <w:rFonts w:cs="Arial" w:hint="cs"/>
          <w:rtl/>
        </w:rPr>
        <w:t>דומיא</w:t>
      </w:r>
      <w:r>
        <w:rPr>
          <w:rFonts w:cs="Arial"/>
          <w:rtl/>
        </w:rPr>
        <w:t xml:space="preserve"> </w:t>
      </w:r>
      <w:r>
        <w:rPr>
          <w:rFonts w:cs="Arial" w:hint="cs"/>
          <w:rtl/>
        </w:rPr>
        <w:t>דכדרלעומר</w:t>
      </w:r>
      <w:r>
        <w:rPr>
          <w:rFonts w:cs="Arial"/>
          <w:rtl/>
        </w:rPr>
        <w:t xml:space="preserve">. </w:t>
      </w:r>
      <w:r>
        <w:rPr>
          <w:rFonts w:cs="Arial" w:hint="cs"/>
          <w:sz w:val="18"/>
          <w:szCs w:val="18"/>
          <w:rtl/>
        </w:rPr>
        <w:t xml:space="preserve">[הגה] </w:t>
      </w:r>
      <w:r w:rsidRPr="00C03494">
        <w:rPr>
          <w:rFonts w:cs="Arial" w:hint="cs"/>
          <w:sz w:val="18"/>
          <w:szCs w:val="18"/>
          <w:rtl/>
        </w:rPr>
        <w:t>וכן</w:t>
      </w:r>
      <w:r w:rsidRPr="00C03494">
        <w:rPr>
          <w:rFonts w:cs="Arial"/>
          <w:sz w:val="18"/>
          <w:szCs w:val="18"/>
          <w:rtl/>
        </w:rPr>
        <w:t xml:space="preserve"> </w:t>
      </w:r>
      <w:r w:rsidRPr="00C03494">
        <w:rPr>
          <w:rFonts w:cs="Arial" w:hint="cs"/>
          <w:sz w:val="18"/>
          <w:szCs w:val="18"/>
          <w:rtl/>
        </w:rPr>
        <w:t>עמנואל</w:t>
      </w:r>
      <w:r w:rsidRPr="00C03494">
        <w:rPr>
          <w:rFonts w:cs="Arial"/>
          <w:sz w:val="18"/>
          <w:szCs w:val="18"/>
          <w:rtl/>
        </w:rPr>
        <w:t xml:space="preserve">. </w:t>
      </w:r>
      <w:r w:rsidRPr="00C03494">
        <w:rPr>
          <w:rFonts w:cs="Arial" w:hint="cs"/>
          <w:sz w:val="18"/>
          <w:szCs w:val="18"/>
          <w:rtl/>
        </w:rPr>
        <w:t>ואם</w:t>
      </w:r>
      <w:r w:rsidRPr="00C03494">
        <w:rPr>
          <w:rFonts w:cs="Arial"/>
          <w:sz w:val="18"/>
          <w:szCs w:val="18"/>
          <w:rtl/>
        </w:rPr>
        <w:t xml:space="preserve"> </w:t>
      </w:r>
      <w:r w:rsidRPr="00C03494">
        <w:rPr>
          <w:rFonts w:cs="Arial" w:hint="cs"/>
          <w:sz w:val="18"/>
          <w:szCs w:val="18"/>
          <w:rtl/>
        </w:rPr>
        <w:t>כתב</w:t>
      </w:r>
      <w:r w:rsidRPr="00C03494">
        <w:rPr>
          <w:rFonts w:cs="Arial"/>
          <w:sz w:val="18"/>
          <w:szCs w:val="18"/>
          <w:rtl/>
        </w:rPr>
        <w:t xml:space="preserve"> </w:t>
      </w:r>
      <w:r w:rsidRPr="00C03494">
        <w:rPr>
          <w:rFonts w:cs="Arial" w:hint="cs"/>
          <w:sz w:val="18"/>
          <w:szCs w:val="18"/>
          <w:rtl/>
        </w:rPr>
        <w:t>תיבה</w:t>
      </w:r>
      <w:r w:rsidRPr="00C03494">
        <w:rPr>
          <w:rFonts w:cs="Arial"/>
          <w:sz w:val="18"/>
          <w:szCs w:val="18"/>
          <w:rtl/>
        </w:rPr>
        <w:t xml:space="preserve"> </w:t>
      </w:r>
      <w:r w:rsidRPr="00C03494">
        <w:rPr>
          <w:rFonts w:cs="Arial" w:hint="cs"/>
          <w:sz w:val="18"/>
          <w:szCs w:val="18"/>
          <w:rtl/>
        </w:rPr>
        <w:t>אחת</w:t>
      </w:r>
      <w:r w:rsidRPr="00C03494">
        <w:rPr>
          <w:rFonts w:cs="Arial"/>
          <w:sz w:val="18"/>
          <w:szCs w:val="18"/>
          <w:rtl/>
        </w:rPr>
        <w:t xml:space="preserve">, </w:t>
      </w:r>
      <w:r w:rsidRPr="00C03494">
        <w:rPr>
          <w:rFonts w:cs="Arial" w:hint="cs"/>
          <w:sz w:val="18"/>
          <w:szCs w:val="18"/>
          <w:rtl/>
        </w:rPr>
        <w:t>לא</w:t>
      </w:r>
      <w:r w:rsidRPr="00C03494">
        <w:rPr>
          <w:rFonts w:cs="Arial"/>
          <w:sz w:val="18"/>
          <w:szCs w:val="18"/>
          <w:rtl/>
        </w:rPr>
        <w:t xml:space="preserve"> </w:t>
      </w:r>
      <w:r w:rsidRPr="00C03494">
        <w:rPr>
          <w:rFonts w:cs="Arial" w:hint="cs"/>
          <w:sz w:val="18"/>
          <w:szCs w:val="18"/>
          <w:rtl/>
        </w:rPr>
        <w:t>הפסיד</w:t>
      </w:r>
      <w:r w:rsidRPr="00C03494">
        <w:rPr>
          <w:rFonts w:cs="Arial"/>
          <w:sz w:val="18"/>
          <w:szCs w:val="18"/>
          <w:rtl/>
        </w:rPr>
        <w:t xml:space="preserve"> (</w:t>
      </w:r>
      <w:r w:rsidRPr="00C03494">
        <w:rPr>
          <w:rFonts w:cs="Arial" w:hint="cs"/>
          <w:sz w:val="18"/>
          <w:szCs w:val="18"/>
          <w:rtl/>
        </w:rPr>
        <w:t>סדר</w:t>
      </w:r>
      <w:r w:rsidRPr="00C03494">
        <w:rPr>
          <w:rFonts w:cs="Arial"/>
          <w:sz w:val="18"/>
          <w:szCs w:val="18"/>
          <w:rtl/>
        </w:rPr>
        <w:t xml:space="preserve"> </w:t>
      </w:r>
      <w:r w:rsidRPr="00C03494">
        <w:rPr>
          <w:rFonts w:cs="Arial" w:hint="cs"/>
          <w:sz w:val="18"/>
          <w:szCs w:val="18"/>
          <w:rtl/>
        </w:rPr>
        <w:t>גיטין</w:t>
      </w:r>
      <w:r w:rsidRPr="00C03494">
        <w:rPr>
          <w:rFonts w:cs="Arial"/>
          <w:sz w:val="18"/>
          <w:szCs w:val="18"/>
          <w:rtl/>
        </w:rPr>
        <w:t>).</w:t>
      </w:r>
      <w:r>
        <w:rPr>
          <w:rFonts w:cs="Arial"/>
          <w:rtl/>
        </w:rPr>
        <w:t xml:space="preserve"> </w:t>
      </w:r>
    </w:p>
    <w:p w14:paraId="2481B4F8" w14:textId="77777777" w:rsidR="00FA2119" w:rsidRDefault="00FA2119" w:rsidP="00FA2119">
      <w:pPr>
        <w:rPr>
          <w:rtl/>
        </w:rPr>
      </w:pPr>
    </w:p>
    <w:p w14:paraId="1F085A99" w14:textId="77777777" w:rsidR="00FA2119" w:rsidRDefault="00FA2119" w:rsidP="00FA2119">
      <w:pPr>
        <w:pStyle w:val="2"/>
        <w:rPr>
          <w:rtl/>
        </w:rPr>
      </w:pPr>
      <w:r>
        <w:rPr>
          <w:rFonts w:hint="cs"/>
          <w:rtl/>
        </w:rPr>
        <w:lastRenderedPageBreak/>
        <w:t>סעיף</w:t>
      </w:r>
      <w:r>
        <w:rPr>
          <w:rtl/>
        </w:rPr>
        <w:t xml:space="preserve"> </w:t>
      </w:r>
      <w:r>
        <w:rPr>
          <w:rFonts w:hint="cs"/>
          <w:rtl/>
        </w:rPr>
        <w:t>לג: ידידיה. פדהצור. עמינדב.</w:t>
      </w:r>
    </w:p>
    <w:p w14:paraId="1E886485" w14:textId="55259E01" w:rsidR="00FA2119" w:rsidRPr="006C024C" w:rsidRDefault="00FA2119" w:rsidP="00FA2119">
      <w:pPr>
        <w:rPr>
          <w:u w:val="single"/>
          <w:rtl/>
        </w:rPr>
      </w:pPr>
      <w:r>
        <w:rPr>
          <w:rFonts w:hint="cs"/>
          <w:u w:val="single"/>
          <w:rtl/>
        </w:rPr>
        <w:t xml:space="preserve">כתיבת השמות </w:t>
      </w:r>
      <w:r w:rsidR="00A82951">
        <w:rPr>
          <w:rFonts w:hint="cs"/>
          <w:u w:val="single"/>
          <w:rtl/>
        </w:rPr>
        <w:t>-</w:t>
      </w:r>
      <w:r>
        <w:rPr>
          <w:rFonts w:hint="cs"/>
          <w:u w:val="single"/>
          <w:rtl/>
        </w:rPr>
        <w:t xml:space="preserve"> </w:t>
      </w:r>
      <w:r w:rsidRPr="006C024C">
        <w:rPr>
          <w:rFonts w:hint="cs"/>
          <w:u w:val="single"/>
          <w:rtl/>
        </w:rPr>
        <w:t>ידידיה, פדהצור, עמינדב</w:t>
      </w:r>
      <w:r>
        <w:rPr>
          <w:rFonts w:hint="cs"/>
          <w:u w:val="single"/>
          <w:rtl/>
        </w:rPr>
        <w:t>:</w:t>
      </w:r>
    </w:p>
    <w:p w14:paraId="7184F9FC" w14:textId="1DA5D360" w:rsidR="00FA2119" w:rsidRPr="006E7B6D" w:rsidRDefault="00FA2119" w:rsidP="00FA2119">
      <w:pPr>
        <w:pStyle w:val="ab"/>
        <w:numPr>
          <w:ilvl w:val="0"/>
          <w:numId w:val="80"/>
        </w:numPr>
        <w:rPr>
          <w:rtl/>
        </w:rPr>
      </w:pPr>
      <w:r w:rsidRPr="006C024C">
        <w:rPr>
          <w:rFonts w:cs="Arial"/>
          <w:rtl/>
        </w:rPr>
        <w:t xml:space="preserve">תרוה"ד </w:t>
      </w:r>
      <w:r w:rsidRPr="006C024C">
        <w:rPr>
          <w:rFonts w:cs="Arial" w:hint="cs"/>
          <w:sz w:val="16"/>
          <w:szCs w:val="16"/>
          <w:rtl/>
        </w:rPr>
        <w:t>(</w:t>
      </w:r>
      <w:r w:rsidRPr="006C024C">
        <w:rPr>
          <w:rFonts w:cs="Arial"/>
          <w:sz w:val="16"/>
          <w:szCs w:val="16"/>
          <w:rtl/>
        </w:rPr>
        <w:t>ח"ב סי</w:t>
      </w:r>
      <w:r w:rsidRPr="006C024C">
        <w:rPr>
          <w:rFonts w:cs="Arial" w:hint="cs"/>
          <w:sz w:val="16"/>
          <w:szCs w:val="16"/>
          <w:rtl/>
        </w:rPr>
        <w:t>'</w:t>
      </w:r>
      <w:r w:rsidRPr="006C024C">
        <w:rPr>
          <w:rFonts w:cs="Arial"/>
          <w:sz w:val="16"/>
          <w:szCs w:val="16"/>
          <w:rtl/>
        </w:rPr>
        <w:t xml:space="preserve"> קפח</w:t>
      </w:r>
      <w:r w:rsidRPr="006C024C">
        <w:rPr>
          <w:rFonts w:cs="Arial" w:hint="cs"/>
          <w:sz w:val="16"/>
          <w:szCs w:val="16"/>
          <w:rtl/>
        </w:rPr>
        <w:t>)</w:t>
      </w:r>
      <w:r w:rsidR="00A82951">
        <w:rPr>
          <w:rFonts w:cs="Arial" w:hint="cs"/>
          <w:rtl/>
        </w:rPr>
        <w:t>-</w:t>
      </w:r>
      <w:r w:rsidRPr="006C024C">
        <w:rPr>
          <w:rFonts w:cs="Arial"/>
          <w:rtl/>
        </w:rPr>
        <w:t xml:space="preserve"> שם ידידיה אם ירצה יחלוק לשתי תיבות</w:t>
      </w:r>
      <w:r>
        <w:rPr>
          <w:rStyle w:val="a7"/>
          <w:rFonts w:cs="Arial"/>
          <w:rtl/>
        </w:rPr>
        <w:footnoteReference w:id="1165"/>
      </w:r>
      <w:r w:rsidRPr="006C024C">
        <w:rPr>
          <w:rFonts w:cs="Arial" w:hint="cs"/>
          <w:rtl/>
        </w:rPr>
        <w:t>,</w:t>
      </w:r>
      <w:r w:rsidRPr="006C024C">
        <w:rPr>
          <w:rFonts w:cs="Arial"/>
          <w:rtl/>
        </w:rPr>
        <w:t xml:space="preserve"> ואם יכתוב תיבה אחת שפיר</w:t>
      </w:r>
      <w:r w:rsidRPr="006C024C">
        <w:rPr>
          <w:rFonts w:cs="Arial" w:hint="cs"/>
          <w:rtl/>
        </w:rPr>
        <w:t>.</w:t>
      </w:r>
      <w:r w:rsidRPr="006C024C">
        <w:rPr>
          <w:rFonts w:cs="Arial"/>
          <w:rtl/>
        </w:rPr>
        <w:t xml:space="preserve"> ופדהצור ועמינדב </w:t>
      </w:r>
      <w:r w:rsidR="00A82951">
        <w:rPr>
          <w:rFonts w:cs="Arial" w:hint="cs"/>
          <w:rtl/>
        </w:rPr>
        <w:t>-</w:t>
      </w:r>
      <w:r w:rsidRPr="006C024C">
        <w:rPr>
          <w:rFonts w:cs="Arial" w:hint="cs"/>
          <w:rtl/>
        </w:rPr>
        <w:t xml:space="preserve"> </w:t>
      </w:r>
      <w:r w:rsidRPr="006C024C">
        <w:rPr>
          <w:rFonts w:cs="Arial"/>
          <w:rtl/>
        </w:rPr>
        <w:t>תיבה אחת</w:t>
      </w:r>
      <w:r>
        <w:rPr>
          <w:rStyle w:val="a7"/>
          <w:rFonts w:cs="Arial"/>
          <w:rtl/>
        </w:rPr>
        <w:footnoteReference w:id="1166"/>
      </w:r>
      <w:r w:rsidRPr="006C024C">
        <w:rPr>
          <w:rFonts w:cs="Arial"/>
          <w:rtl/>
        </w:rPr>
        <w:t xml:space="preserve">. </w:t>
      </w:r>
      <w:r w:rsidRPr="00A033EB">
        <w:rPr>
          <w:rFonts w:hint="cs"/>
          <w:color w:val="E36C0A" w:themeColor="accent6" w:themeShade="BF"/>
          <w:rtl/>
        </w:rPr>
        <w:t>(וכ"פ בשו"ע)</w:t>
      </w:r>
      <w:r>
        <w:rPr>
          <w:rFonts w:hint="cs"/>
          <w:rtl/>
        </w:rPr>
        <w:t xml:space="preserve"> </w:t>
      </w:r>
      <w:r w:rsidRPr="004D511A">
        <w:rPr>
          <w:rFonts w:hint="cs"/>
          <w:color w:val="00B0F0"/>
          <w:rtl/>
        </w:rPr>
        <w:t>(וכ"פ הרמ"א)</w:t>
      </w:r>
    </w:p>
    <w:p w14:paraId="1577372E"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98C924A" w14:textId="45B4E8A5" w:rsidR="00FA2119" w:rsidRDefault="00FA2119" w:rsidP="00FA2119">
      <w:pPr>
        <w:rPr>
          <w:rtl/>
        </w:rPr>
      </w:pPr>
      <w:r>
        <w:rPr>
          <w:rFonts w:cs="Arial" w:hint="cs"/>
          <w:rtl/>
        </w:rPr>
        <w:t>שם</w:t>
      </w:r>
      <w:r>
        <w:rPr>
          <w:rFonts w:cs="Arial"/>
          <w:rtl/>
        </w:rPr>
        <w:t xml:space="preserve"> </w:t>
      </w:r>
      <w:r>
        <w:rPr>
          <w:rFonts w:cs="Arial" w:hint="cs"/>
          <w:rtl/>
        </w:rPr>
        <w:t>ידידיה</w:t>
      </w:r>
      <w:r>
        <w:rPr>
          <w:rFonts w:cs="Arial"/>
          <w:rtl/>
        </w:rPr>
        <w:t xml:space="preserve">, </w:t>
      </w:r>
      <w:r>
        <w:rPr>
          <w:rFonts w:cs="Arial" w:hint="cs"/>
          <w:rtl/>
        </w:rPr>
        <w:t>אם</w:t>
      </w:r>
      <w:r>
        <w:rPr>
          <w:rFonts w:cs="Arial"/>
          <w:rtl/>
        </w:rPr>
        <w:t xml:space="preserve"> </w:t>
      </w:r>
      <w:r>
        <w:rPr>
          <w:rStyle w:val="a7"/>
          <w:rFonts w:cs="Arial"/>
          <w:rtl/>
        </w:rPr>
        <w:footnoteReference w:id="1167"/>
      </w:r>
      <w:r>
        <w:rPr>
          <w:rFonts w:cs="Arial" w:hint="cs"/>
          <w:rtl/>
        </w:rPr>
        <w:t>[ירצה] יחלוק</w:t>
      </w:r>
      <w:r>
        <w:rPr>
          <w:rFonts w:cs="Arial"/>
          <w:rtl/>
        </w:rPr>
        <w:t xml:space="preserve"> </w:t>
      </w:r>
      <w:r>
        <w:rPr>
          <w:rFonts w:cs="Arial" w:hint="cs"/>
          <w:rtl/>
        </w:rPr>
        <w:t>לשתי</w:t>
      </w:r>
      <w:r>
        <w:rPr>
          <w:rFonts w:cs="Arial"/>
          <w:rtl/>
        </w:rPr>
        <w:t xml:space="preserve"> </w:t>
      </w:r>
      <w:r>
        <w:rPr>
          <w:rFonts w:cs="Arial" w:hint="cs"/>
          <w:rtl/>
        </w:rPr>
        <w:t>תיבות</w:t>
      </w:r>
      <w:r>
        <w:rPr>
          <w:rFonts w:cs="Arial"/>
          <w:rtl/>
        </w:rPr>
        <w:t xml:space="preserve"> </w:t>
      </w:r>
      <w:r w:rsidR="00B93A8D">
        <w:rPr>
          <w:rFonts w:cs="Arial" w:hint="cs"/>
          <w:sz w:val="18"/>
          <w:szCs w:val="18"/>
          <w:rtl/>
        </w:rPr>
        <w:t xml:space="preserve">[הגה] </w:t>
      </w:r>
      <w:r w:rsidRPr="00C03494">
        <w:rPr>
          <w:rFonts w:cs="Arial" w:hint="cs"/>
          <w:sz w:val="18"/>
          <w:szCs w:val="18"/>
          <w:rtl/>
        </w:rPr>
        <w:t>כשר</w:t>
      </w:r>
      <w:r w:rsidRPr="00C03494">
        <w:rPr>
          <w:rFonts w:cs="Arial"/>
          <w:sz w:val="18"/>
          <w:szCs w:val="18"/>
          <w:rtl/>
        </w:rPr>
        <w:t xml:space="preserve">, </w:t>
      </w:r>
      <w:r w:rsidRPr="00C03494">
        <w:rPr>
          <w:rFonts w:cs="Arial" w:hint="cs"/>
          <w:sz w:val="18"/>
          <w:szCs w:val="18"/>
          <w:rtl/>
        </w:rPr>
        <w:t>ובלבד</w:t>
      </w:r>
      <w:r w:rsidRPr="00C03494">
        <w:rPr>
          <w:rFonts w:cs="Arial"/>
          <w:sz w:val="18"/>
          <w:szCs w:val="18"/>
          <w:rtl/>
        </w:rPr>
        <w:t xml:space="preserve"> </w:t>
      </w:r>
      <w:r w:rsidRPr="00C03494">
        <w:rPr>
          <w:rFonts w:cs="Arial" w:hint="cs"/>
          <w:sz w:val="18"/>
          <w:szCs w:val="18"/>
          <w:rtl/>
        </w:rPr>
        <w:t>בשטה</w:t>
      </w:r>
      <w:r w:rsidRPr="00C03494">
        <w:rPr>
          <w:rFonts w:cs="Arial"/>
          <w:sz w:val="18"/>
          <w:szCs w:val="18"/>
          <w:rtl/>
        </w:rPr>
        <w:t xml:space="preserve"> </w:t>
      </w:r>
      <w:r w:rsidRPr="00C03494">
        <w:rPr>
          <w:rFonts w:cs="Arial" w:hint="cs"/>
          <w:sz w:val="18"/>
          <w:szCs w:val="18"/>
          <w:rtl/>
        </w:rPr>
        <w:t>אחת</w:t>
      </w:r>
      <w:r>
        <w:rPr>
          <w:rFonts w:cs="Arial"/>
          <w:rtl/>
        </w:rPr>
        <w:t xml:space="preserve">. </w:t>
      </w:r>
      <w:r>
        <w:rPr>
          <w:rFonts w:cs="Arial" w:hint="cs"/>
          <w:rtl/>
        </w:rPr>
        <w:t>ופדהצור</w:t>
      </w:r>
      <w:r>
        <w:rPr>
          <w:rFonts w:cs="Arial"/>
          <w:rtl/>
        </w:rPr>
        <w:t xml:space="preserve"> </w:t>
      </w:r>
      <w:r>
        <w:rPr>
          <w:rFonts w:cs="Arial" w:hint="cs"/>
          <w:rtl/>
        </w:rPr>
        <w:t>ועמינדב</w:t>
      </w:r>
      <w:r>
        <w:rPr>
          <w:rFonts w:cs="Arial"/>
          <w:rtl/>
        </w:rPr>
        <w:t xml:space="preserve">, </w:t>
      </w:r>
      <w:r>
        <w:rPr>
          <w:rFonts w:cs="Arial" w:hint="cs"/>
          <w:rtl/>
        </w:rPr>
        <w:t>תיבה</w:t>
      </w:r>
      <w:r>
        <w:rPr>
          <w:rFonts w:cs="Arial"/>
          <w:rtl/>
        </w:rPr>
        <w:t xml:space="preserve"> </w:t>
      </w:r>
      <w:r>
        <w:rPr>
          <w:rFonts w:cs="Arial" w:hint="cs"/>
          <w:rtl/>
        </w:rPr>
        <w:t>אחת</w:t>
      </w:r>
      <w:r>
        <w:rPr>
          <w:rFonts w:cs="Arial"/>
          <w:rtl/>
        </w:rPr>
        <w:t xml:space="preserve">. </w:t>
      </w:r>
    </w:p>
    <w:p w14:paraId="40D4EBA9" w14:textId="77777777" w:rsidR="00FA2119" w:rsidRDefault="00FA2119" w:rsidP="00FA2119">
      <w:pPr>
        <w:rPr>
          <w:rtl/>
        </w:rPr>
      </w:pPr>
    </w:p>
    <w:p w14:paraId="436196E0" w14:textId="2A5B4116" w:rsidR="00FA2119" w:rsidRDefault="00FA2119" w:rsidP="00FA2119">
      <w:pPr>
        <w:pStyle w:val="2"/>
        <w:rPr>
          <w:rtl/>
        </w:rPr>
      </w:pPr>
      <w:r>
        <w:rPr>
          <w:rFonts w:hint="cs"/>
          <w:rtl/>
        </w:rPr>
        <w:t>סעיף</w:t>
      </w:r>
      <w:r>
        <w:rPr>
          <w:rtl/>
        </w:rPr>
        <w:t xml:space="preserve"> </w:t>
      </w:r>
      <w:r>
        <w:rPr>
          <w:rFonts w:hint="cs"/>
          <w:rtl/>
        </w:rPr>
        <w:t>לד: מתי כותבים ב</w:t>
      </w:r>
      <w:r w:rsidR="00A82951">
        <w:rPr>
          <w:rFonts w:hint="cs"/>
          <w:rtl/>
        </w:rPr>
        <w:t>-</w:t>
      </w:r>
      <w:r>
        <w:rPr>
          <w:rFonts w:hint="cs"/>
          <w:rtl/>
        </w:rPr>
        <w:t>א', ומתי ב</w:t>
      </w:r>
      <w:r w:rsidR="00A82951">
        <w:rPr>
          <w:rFonts w:hint="cs"/>
          <w:rtl/>
        </w:rPr>
        <w:t>-</w:t>
      </w:r>
      <w:r>
        <w:rPr>
          <w:rFonts w:hint="cs"/>
          <w:rtl/>
        </w:rPr>
        <w:t>ה'.</w:t>
      </w:r>
    </w:p>
    <w:p w14:paraId="11E5D91C" w14:textId="7D78909D" w:rsidR="00FA2119" w:rsidRPr="004D511A" w:rsidRDefault="00FA2119" w:rsidP="00FA2119">
      <w:pPr>
        <w:rPr>
          <w:u w:val="single"/>
          <w:rtl/>
        </w:rPr>
      </w:pPr>
      <w:r w:rsidRPr="004D511A">
        <w:rPr>
          <w:rFonts w:hint="cs"/>
          <w:u w:val="single"/>
          <w:rtl/>
        </w:rPr>
        <w:t>מתי כותבים ב</w:t>
      </w:r>
      <w:r w:rsidR="00A82951">
        <w:rPr>
          <w:rFonts w:hint="cs"/>
          <w:u w:val="single"/>
          <w:rtl/>
        </w:rPr>
        <w:t>-</w:t>
      </w:r>
      <w:r w:rsidRPr="004D511A">
        <w:rPr>
          <w:rFonts w:hint="cs"/>
          <w:u w:val="single"/>
          <w:rtl/>
        </w:rPr>
        <w:t>א', ומתי ב</w:t>
      </w:r>
      <w:r w:rsidR="00A82951">
        <w:rPr>
          <w:rFonts w:hint="cs"/>
          <w:u w:val="single"/>
          <w:rtl/>
        </w:rPr>
        <w:t>-</w:t>
      </w:r>
      <w:r w:rsidRPr="004D511A">
        <w:rPr>
          <w:rFonts w:hint="cs"/>
          <w:u w:val="single"/>
          <w:rtl/>
        </w:rPr>
        <w:t>ה':</w:t>
      </w:r>
    </w:p>
    <w:p w14:paraId="39C6B075" w14:textId="743E4E87" w:rsidR="00FA2119" w:rsidRPr="00D20406" w:rsidRDefault="00FA2119" w:rsidP="00FA2119">
      <w:pPr>
        <w:pStyle w:val="ab"/>
        <w:numPr>
          <w:ilvl w:val="0"/>
          <w:numId w:val="80"/>
        </w:numPr>
      </w:pPr>
      <w:r w:rsidRPr="00F315DB">
        <w:rPr>
          <w:rFonts w:cs="Arial"/>
          <w:rtl/>
        </w:rPr>
        <w:t xml:space="preserve">קונדריסין </w:t>
      </w:r>
      <w:r w:rsidRPr="00F315DB">
        <w:rPr>
          <w:rFonts w:cs="Arial"/>
          <w:sz w:val="16"/>
          <w:szCs w:val="16"/>
          <w:rtl/>
        </w:rPr>
        <w:t>(סי' י סעי' טז)</w:t>
      </w:r>
      <w:r w:rsidR="00A82951">
        <w:rPr>
          <w:rFonts w:cs="Arial" w:hint="cs"/>
          <w:rtl/>
        </w:rPr>
        <w:t>-</w:t>
      </w:r>
      <w:r w:rsidRPr="00F315DB">
        <w:rPr>
          <w:rFonts w:cs="Arial"/>
          <w:rtl/>
        </w:rPr>
        <w:t xml:space="preserve"> לענין שמות הנשים</w:t>
      </w:r>
      <w:r w:rsidR="006A295D">
        <w:rPr>
          <w:rFonts w:cs="Arial" w:hint="cs"/>
          <w:rtl/>
        </w:rPr>
        <w:t>,</w:t>
      </w:r>
      <w:r w:rsidRPr="00F315DB">
        <w:rPr>
          <w:rFonts w:cs="Arial" w:hint="cs"/>
          <w:rtl/>
        </w:rPr>
        <w:t xml:space="preserve"> </w:t>
      </w:r>
      <w:r w:rsidRPr="00F315DB">
        <w:rPr>
          <w:rFonts w:cs="Arial"/>
          <w:rtl/>
        </w:rPr>
        <w:t xml:space="preserve">יש לכתוב </w:t>
      </w:r>
      <w:r w:rsidR="006A295D">
        <w:rPr>
          <w:rFonts w:cs="Arial" w:hint="cs"/>
          <w:rtl/>
        </w:rPr>
        <w:t>ב</w:t>
      </w:r>
      <w:r w:rsidRPr="00F315DB">
        <w:rPr>
          <w:rFonts w:cs="Arial"/>
          <w:rtl/>
        </w:rPr>
        <w:t>ילא בגט באל"ף</w:t>
      </w:r>
      <w:r>
        <w:rPr>
          <w:rFonts w:cs="Arial" w:hint="cs"/>
          <w:rtl/>
        </w:rPr>
        <w:t>,</w:t>
      </w:r>
      <w:r w:rsidRPr="00F315DB">
        <w:rPr>
          <w:rFonts w:cs="Arial"/>
          <w:rtl/>
        </w:rPr>
        <w:t xml:space="preserve"> וכן כל שם שאינו לשון הקודש</w:t>
      </w:r>
      <w:r>
        <w:rPr>
          <w:rFonts w:cs="Arial" w:hint="cs"/>
          <w:rtl/>
        </w:rPr>
        <w:t>.</w:t>
      </w:r>
      <w:r w:rsidRPr="00F315DB">
        <w:rPr>
          <w:rFonts w:cs="Arial"/>
          <w:rtl/>
        </w:rPr>
        <w:t xml:space="preserve"> אבל כשהוא לשון הקודש כותבין בה"א</w:t>
      </w:r>
      <w:r>
        <w:rPr>
          <w:rFonts w:cs="Arial" w:hint="cs"/>
          <w:rtl/>
        </w:rPr>
        <w:t>,</w:t>
      </w:r>
      <w:r w:rsidRPr="00F315DB">
        <w:rPr>
          <w:rFonts w:cs="Arial"/>
          <w:rtl/>
        </w:rPr>
        <w:t xml:space="preserve"> כמו חומה דביתהו דאביי או חובה דביתהו דרב הונא </w:t>
      </w:r>
      <w:r>
        <w:rPr>
          <w:rFonts w:cs="Arial" w:hint="cs"/>
          <w:rtl/>
        </w:rPr>
        <w:t>(נזיר נז:)</w:t>
      </w:r>
      <w:r w:rsidRPr="00F315DB">
        <w:rPr>
          <w:rFonts w:cs="Arial"/>
          <w:rtl/>
        </w:rPr>
        <w:t xml:space="preserve"> שהשם הוא לשון הקודש</w:t>
      </w:r>
      <w:r>
        <w:rPr>
          <w:rFonts w:cs="Arial" w:hint="cs"/>
          <w:rtl/>
        </w:rPr>
        <w:t>.</w:t>
      </w:r>
      <w:r w:rsidRPr="00F315DB">
        <w:rPr>
          <w:rFonts w:cs="Arial"/>
          <w:rtl/>
        </w:rPr>
        <w:t xml:space="preserve"> אבל כשאינו לשון הקודש כגון ילתא אבא אדא חסדא כולם באל"ף</w:t>
      </w:r>
      <w:r>
        <w:rPr>
          <w:rFonts w:cs="Arial" w:hint="cs"/>
          <w:rtl/>
        </w:rPr>
        <w:t>.</w:t>
      </w:r>
      <w:r w:rsidRPr="00F315DB">
        <w:rPr>
          <w:rFonts w:cs="Arial"/>
          <w:rtl/>
        </w:rPr>
        <w:t xml:space="preserve"> וראיה רב אדא בר אהבה</w:t>
      </w:r>
      <w:r>
        <w:rPr>
          <w:rFonts w:cs="Arial" w:hint="cs"/>
          <w:rtl/>
        </w:rPr>
        <w:t>,</w:t>
      </w:r>
      <w:r w:rsidRPr="00F315DB">
        <w:rPr>
          <w:rFonts w:cs="Arial"/>
          <w:rtl/>
        </w:rPr>
        <w:t xml:space="preserve"> אדא שאינו לשון הקודש כותבין באל"ף</w:t>
      </w:r>
      <w:r>
        <w:rPr>
          <w:rFonts w:cs="Arial" w:hint="cs"/>
          <w:rtl/>
        </w:rPr>
        <w:t>,</w:t>
      </w:r>
      <w:r w:rsidRPr="00F315DB">
        <w:rPr>
          <w:rFonts w:cs="Arial"/>
          <w:rtl/>
        </w:rPr>
        <w:t xml:space="preserve"> ואהבה שהוא לשון הקודש בה"א</w:t>
      </w:r>
      <w:r>
        <w:rPr>
          <w:rStyle w:val="a7"/>
          <w:rFonts w:cs="Arial"/>
          <w:rtl/>
        </w:rPr>
        <w:footnoteReference w:id="1168"/>
      </w:r>
      <w:r w:rsidRPr="00D20406">
        <w:rPr>
          <w:rFonts w:cs="Arial" w:hint="cs"/>
          <w:rtl/>
        </w:rPr>
        <w:t>.</w:t>
      </w:r>
      <w:r w:rsidRPr="00D20406">
        <w:rPr>
          <w:rFonts w:hint="cs"/>
          <w:color w:val="E36C0A" w:themeColor="accent6" w:themeShade="BF"/>
          <w:rtl/>
        </w:rPr>
        <w:t xml:space="preserve"> (וכ"</w:t>
      </w:r>
      <w:r>
        <w:rPr>
          <w:rFonts w:hint="cs"/>
          <w:color w:val="E36C0A" w:themeColor="accent6" w:themeShade="BF"/>
          <w:rtl/>
        </w:rPr>
        <w:t>כ</w:t>
      </w:r>
      <w:r w:rsidRPr="00D20406">
        <w:rPr>
          <w:rFonts w:hint="cs"/>
          <w:color w:val="E36C0A" w:themeColor="accent6" w:themeShade="BF"/>
          <w:rtl/>
        </w:rPr>
        <w:t xml:space="preserve"> בשו"ע)</w:t>
      </w:r>
    </w:p>
    <w:p w14:paraId="166C5591" w14:textId="77777777" w:rsidR="00FA2119" w:rsidRPr="00D20406" w:rsidRDefault="00FA2119" w:rsidP="00FA2119">
      <w:pPr>
        <w:ind w:left="360"/>
        <w:rPr>
          <w:u w:val="dotted"/>
        </w:rPr>
      </w:pPr>
      <w:r w:rsidRPr="00D20406">
        <w:rPr>
          <w:rFonts w:hint="cs"/>
          <w:u w:val="dotted"/>
          <w:rtl/>
        </w:rPr>
        <w:t>ומה הדין אם כתב הפוך:</w:t>
      </w:r>
    </w:p>
    <w:p w14:paraId="551B6614" w14:textId="1B0E6AD5" w:rsidR="00FA2119" w:rsidRPr="006E7B6D" w:rsidRDefault="00FA2119" w:rsidP="00FA2119">
      <w:pPr>
        <w:pStyle w:val="ab"/>
        <w:numPr>
          <w:ilvl w:val="0"/>
          <w:numId w:val="80"/>
        </w:numPr>
        <w:rPr>
          <w:rtl/>
        </w:rPr>
      </w:pPr>
      <w:r>
        <w:rPr>
          <w:rFonts w:cs="Arial" w:hint="cs"/>
          <w:rtl/>
        </w:rPr>
        <w:t>דרכ"מ</w:t>
      </w:r>
      <w:r w:rsidRPr="00D20406">
        <w:rPr>
          <w:rFonts w:cs="Arial" w:hint="cs"/>
          <w:sz w:val="16"/>
          <w:szCs w:val="16"/>
          <w:rtl/>
        </w:rPr>
        <w:t xml:space="preserve"> </w:t>
      </w:r>
      <w:r w:rsidRPr="00D20406">
        <w:rPr>
          <w:rFonts w:cs="Arial"/>
          <w:sz w:val="16"/>
          <w:szCs w:val="16"/>
          <w:rtl/>
        </w:rPr>
        <w:t>(</w:t>
      </w:r>
      <w:r w:rsidRPr="00D20406">
        <w:rPr>
          <w:rFonts w:cs="Arial" w:hint="cs"/>
          <w:sz w:val="16"/>
          <w:szCs w:val="16"/>
          <w:rtl/>
        </w:rPr>
        <w:t xml:space="preserve">אות </w:t>
      </w:r>
      <w:r w:rsidRPr="00D20406">
        <w:rPr>
          <w:rFonts w:cs="Arial"/>
          <w:sz w:val="16"/>
          <w:szCs w:val="16"/>
          <w:rtl/>
        </w:rPr>
        <w:t>כח)</w:t>
      </w:r>
      <w:r w:rsidR="00A82951">
        <w:rPr>
          <w:rFonts w:cs="Arial" w:hint="cs"/>
          <w:rtl/>
        </w:rPr>
        <w:t>-</w:t>
      </w:r>
      <w:r w:rsidRPr="006E7B6D">
        <w:rPr>
          <w:rFonts w:cs="Arial"/>
          <w:rtl/>
        </w:rPr>
        <w:t xml:space="preserve"> מהר"ם פאדו"ה </w:t>
      </w:r>
      <w:r w:rsidRPr="00D20406">
        <w:rPr>
          <w:rFonts w:cs="Arial" w:hint="cs"/>
          <w:sz w:val="16"/>
          <w:szCs w:val="16"/>
          <w:rtl/>
        </w:rPr>
        <w:t>(</w:t>
      </w:r>
      <w:r w:rsidRPr="00D20406">
        <w:rPr>
          <w:rFonts w:cs="Arial"/>
          <w:sz w:val="16"/>
          <w:szCs w:val="16"/>
          <w:rtl/>
        </w:rPr>
        <w:t>סי</w:t>
      </w:r>
      <w:r w:rsidRPr="00D20406">
        <w:rPr>
          <w:rFonts w:cs="Arial" w:hint="cs"/>
          <w:sz w:val="16"/>
          <w:szCs w:val="16"/>
          <w:rtl/>
        </w:rPr>
        <w:t>'</w:t>
      </w:r>
      <w:r w:rsidRPr="00D20406">
        <w:rPr>
          <w:rFonts w:cs="Arial"/>
          <w:sz w:val="16"/>
          <w:szCs w:val="16"/>
          <w:rtl/>
        </w:rPr>
        <w:t xml:space="preserve"> ו</w:t>
      </w:r>
      <w:r w:rsidRPr="00D20406">
        <w:rPr>
          <w:rFonts w:cs="Arial" w:hint="cs"/>
          <w:sz w:val="16"/>
          <w:szCs w:val="16"/>
          <w:rtl/>
        </w:rPr>
        <w:t>)</w:t>
      </w:r>
      <w:r w:rsidRPr="006E7B6D">
        <w:rPr>
          <w:rFonts w:cs="Arial"/>
          <w:rtl/>
        </w:rPr>
        <w:t xml:space="preserve"> כתב שאין להקפיד אם כתב חניכא בא' לבסוף אע</w:t>
      </w:r>
      <w:r>
        <w:rPr>
          <w:rFonts w:cs="Arial" w:hint="cs"/>
          <w:rtl/>
        </w:rPr>
        <w:t>"</w:t>
      </w:r>
      <w:r w:rsidRPr="006E7B6D">
        <w:rPr>
          <w:rFonts w:cs="Arial"/>
          <w:rtl/>
        </w:rPr>
        <w:t>ג דנוהגין לכתבו בה'. ומהר"ד כהן האריך הרבה</w:t>
      </w:r>
      <w:r w:rsidRPr="00D20406">
        <w:rPr>
          <w:rFonts w:cs="Arial"/>
          <w:sz w:val="16"/>
          <w:szCs w:val="16"/>
          <w:rtl/>
        </w:rPr>
        <w:t xml:space="preserve"> </w:t>
      </w:r>
      <w:r w:rsidRPr="00D20406">
        <w:rPr>
          <w:rFonts w:cs="Arial" w:hint="cs"/>
          <w:sz w:val="16"/>
          <w:szCs w:val="16"/>
          <w:rtl/>
        </w:rPr>
        <w:t>(</w:t>
      </w:r>
      <w:r w:rsidRPr="00D20406">
        <w:rPr>
          <w:rFonts w:cs="Arial"/>
          <w:sz w:val="16"/>
          <w:szCs w:val="16"/>
          <w:rtl/>
        </w:rPr>
        <w:t>בתשובותיו בית ד סי</w:t>
      </w:r>
      <w:r w:rsidRPr="00D20406">
        <w:rPr>
          <w:rFonts w:cs="Arial" w:hint="cs"/>
          <w:sz w:val="16"/>
          <w:szCs w:val="16"/>
          <w:rtl/>
        </w:rPr>
        <w:t>'</w:t>
      </w:r>
      <w:r w:rsidRPr="00D20406">
        <w:rPr>
          <w:rFonts w:cs="Arial"/>
          <w:sz w:val="16"/>
          <w:szCs w:val="16"/>
          <w:rtl/>
        </w:rPr>
        <w:t xml:space="preserve"> ח</w:t>
      </w:r>
      <w:r w:rsidRPr="00D20406">
        <w:rPr>
          <w:rFonts w:cs="Arial" w:hint="cs"/>
          <w:sz w:val="16"/>
          <w:szCs w:val="16"/>
          <w:rtl/>
        </w:rPr>
        <w:t>)</w:t>
      </w:r>
      <w:r w:rsidRPr="006E7B6D">
        <w:rPr>
          <w:rFonts w:cs="Arial"/>
          <w:rtl/>
        </w:rPr>
        <w:t xml:space="preserve"> אם כתב ה' במקום א' בסוף המלה כגון עלמה או רגילנה וכתב שם דכשר</w:t>
      </w:r>
      <w:r>
        <w:rPr>
          <w:rFonts w:hint="cs"/>
          <w:rtl/>
        </w:rPr>
        <w:t xml:space="preserve">. </w:t>
      </w:r>
      <w:r w:rsidRPr="00D20406">
        <w:rPr>
          <w:rFonts w:hint="cs"/>
          <w:color w:val="00B0F0"/>
          <w:rtl/>
        </w:rPr>
        <w:t>(וכ"פ הרמ"א)</w:t>
      </w:r>
    </w:p>
    <w:p w14:paraId="1727F545"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2F91009" w14:textId="77777777" w:rsidR="00FA2119" w:rsidRDefault="00FA2119" w:rsidP="00FA2119">
      <w:pPr>
        <w:rPr>
          <w:rFonts w:cs="Arial"/>
          <w:sz w:val="18"/>
          <w:szCs w:val="18"/>
          <w:rtl/>
        </w:rPr>
      </w:pPr>
      <w:r>
        <w:rPr>
          <w:rFonts w:cs="Arial" w:hint="cs"/>
          <w:rtl/>
        </w:rPr>
        <w:t>המנהג</w:t>
      </w:r>
      <w:r>
        <w:rPr>
          <w:rFonts w:cs="Arial"/>
          <w:rtl/>
        </w:rPr>
        <w:t xml:space="preserve"> </w:t>
      </w:r>
      <w:r>
        <w:rPr>
          <w:rFonts w:cs="Arial" w:hint="cs"/>
          <w:rtl/>
        </w:rPr>
        <w:t>בשמות</w:t>
      </w:r>
      <w:r>
        <w:rPr>
          <w:rFonts w:cs="Arial"/>
          <w:rtl/>
        </w:rPr>
        <w:t xml:space="preserve"> </w:t>
      </w:r>
      <w:r>
        <w:rPr>
          <w:rFonts w:cs="Arial" w:hint="cs"/>
          <w:rtl/>
        </w:rPr>
        <w:t>הנשים</w:t>
      </w:r>
      <w:r>
        <w:rPr>
          <w:rFonts w:cs="Arial"/>
          <w:rtl/>
        </w:rPr>
        <w:t xml:space="preserve">, </w:t>
      </w:r>
      <w:r>
        <w:rPr>
          <w:rFonts w:cs="Arial" w:hint="cs"/>
          <w:rtl/>
        </w:rPr>
        <w:t>יש</w:t>
      </w:r>
      <w:r>
        <w:rPr>
          <w:rFonts w:cs="Arial"/>
          <w:rtl/>
        </w:rPr>
        <w:t xml:space="preserve"> </w:t>
      </w:r>
      <w:r>
        <w:rPr>
          <w:rFonts w:cs="Arial" w:hint="cs"/>
          <w:rtl/>
        </w:rPr>
        <w:t>מי</w:t>
      </w:r>
      <w:r>
        <w:rPr>
          <w:rFonts w:cs="Arial"/>
          <w:rtl/>
        </w:rPr>
        <w:t xml:space="preserve"> </w:t>
      </w:r>
      <w:r>
        <w:rPr>
          <w:rFonts w:cs="Arial" w:hint="cs"/>
          <w:rtl/>
        </w:rPr>
        <w:t>שאומר</w:t>
      </w:r>
      <w:r>
        <w:rPr>
          <w:rFonts w:cs="Arial"/>
          <w:rtl/>
        </w:rPr>
        <w:t xml:space="preserve"> </w:t>
      </w:r>
      <w:r>
        <w:rPr>
          <w:rFonts w:cs="Arial" w:hint="cs"/>
          <w:rtl/>
        </w:rPr>
        <w:t>שיש</w:t>
      </w:r>
      <w:r>
        <w:rPr>
          <w:rFonts w:cs="Arial"/>
          <w:rtl/>
        </w:rPr>
        <w:t xml:space="preserve"> </w:t>
      </w:r>
      <w:r>
        <w:rPr>
          <w:rFonts w:cs="Arial" w:hint="cs"/>
          <w:rtl/>
        </w:rPr>
        <w:t>לכתוב</w:t>
      </w:r>
      <w:r>
        <w:rPr>
          <w:rFonts w:cs="Arial"/>
          <w:rtl/>
        </w:rPr>
        <w:t xml:space="preserve"> </w:t>
      </w:r>
      <w:r>
        <w:rPr>
          <w:rFonts w:cs="Arial" w:hint="cs"/>
          <w:rtl/>
        </w:rPr>
        <w:t>בילא</w:t>
      </w:r>
      <w:r>
        <w:rPr>
          <w:rFonts w:cs="Arial"/>
          <w:rtl/>
        </w:rPr>
        <w:t xml:space="preserve"> </w:t>
      </w:r>
      <w:r>
        <w:rPr>
          <w:rFonts w:cs="Arial" w:hint="cs"/>
          <w:rtl/>
        </w:rPr>
        <w:t>באל</w:t>
      </w:r>
      <w:r>
        <w:rPr>
          <w:rFonts w:cs="Arial"/>
          <w:rtl/>
        </w:rPr>
        <w:t>"</w:t>
      </w:r>
      <w:r>
        <w:rPr>
          <w:rFonts w:cs="Arial" w:hint="cs"/>
          <w:rtl/>
        </w:rPr>
        <w:t>ף</w:t>
      </w:r>
      <w:r>
        <w:rPr>
          <w:rFonts w:cs="Arial"/>
          <w:rtl/>
        </w:rPr>
        <w:t xml:space="preserve">, </w:t>
      </w:r>
      <w:r>
        <w:rPr>
          <w:rFonts w:cs="Arial" w:hint="cs"/>
          <w:rtl/>
        </w:rPr>
        <w:t>וכן</w:t>
      </w:r>
      <w:r>
        <w:rPr>
          <w:rFonts w:cs="Arial"/>
          <w:rtl/>
        </w:rPr>
        <w:t xml:space="preserve"> </w:t>
      </w:r>
      <w:r>
        <w:rPr>
          <w:rFonts w:cs="Arial" w:hint="cs"/>
          <w:rtl/>
        </w:rPr>
        <w:t>כל</w:t>
      </w:r>
      <w:r>
        <w:rPr>
          <w:rFonts w:cs="Arial"/>
          <w:rtl/>
        </w:rPr>
        <w:t xml:space="preserve"> </w:t>
      </w:r>
      <w:r>
        <w:rPr>
          <w:rFonts w:cs="Arial" w:hint="cs"/>
          <w:rtl/>
        </w:rPr>
        <w:t>שם</w:t>
      </w:r>
      <w:r>
        <w:rPr>
          <w:rFonts w:cs="Arial"/>
          <w:rtl/>
        </w:rPr>
        <w:t xml:space="preserve"> </w:t>
      </w:r>
      <w:r>
        <w:rPr>
          <w:rFonts w:cs="Arial" w:hint="cs"/>
          <w:rtl/>
        </w:rPr>
        <w:t>שאינו</w:t>
      </w:r>
      <w:r>
        <w:rPr>
          <w:rFonts w:cs="Arial"/>
          <w:rtl/>
        </w:rPr>
        <w:t xml:space="preserve"> </w:t>
      </w:r>
      <w:r>
        <w:rPr>
          <w:rFonts w:cs="Arial" w:hint="cs"/>
          <w:rtl/>
        </w:rPr>
        <w:t>בלשון</w:t>
      </w:r>
      <w:r>
        <w:rPr>
          <w:rFonts w:cs="Arial"/>
          <w:rtl/>
        </w:rPr>
        <w:t xml:space="preserve"> </w:t>
      </w:r>
      <w:r>
        <w:rPr>
          <w:rFonts w:cs="Arial" w:hint="cs"/>
          <w:rtl/>
        </w:rPr>
        <w:t>הקודש</w:t>
      </w:r>
      <w:r>
        <w:rPr>
          <w:rFonts w:cs="Arial"/>
          <w:rtl/>
        </w:rPr>
        <w:t xml:space="preserve">. </w:t>
      </w:r>
      <w:r>
        <w:rPr>
          <w:rFonts w:cs="Arial" w:hint="cs"/>
          <w:rtl/>
        </w:rPr>
        <w:t>אבל</w:t>
      </w:r>
      <w:r>
        <w:rPr>
          <w:rFonts w:cs="Arial"/>
          <w:rtl/>
        </w:rPr>
        <w:t xml:space="preserve"> </w:t>
      </w:r>
      <w:r>
        <w:rPr>
          <w:rFonts w:cs="Arial" w:hint="cs"/>
          <w:rtl/>
        </w:rPr>
        <w:t>כשהוא</w:t>
      </w:r>
      <w:r>
        <w:rPr>
          <w:rFonts w:cs="Arial"/>
          <w:rtl/>
        </w:rPr>
        <w:t xml:space="preserve"> </w:t>
      </w:r>
      <w:r>
        <w:rPr>
          <w:rFonts w:cs="Arial" w:hint="cs"/>
          <w:rtl/>
        </w:rPr>
        <w:t>לשון</w:t>
      </w:r>
      <w:r>
        <w:rPr>
          <w:rFonts w:cs="Arial"/>
          <w:rtl/>
        </w:rPr>
        <w:t xml:space="preserve"> </w:t>
      </w:r>
      <w:r>
        <w:rPr>
          <w:rFonts w:cs="Arial" w:hint="cs"/>
          <w:rtl/>
        </w:rPr>
        <w:t>הקודש</w:t>
      </w:r>
      <w:r>
        <w:rPr>
          <w:rFonts w:cs="Arial"/>
          <w:rtl/>
        </w:rPr>
        <w:t xml:space="preserve">, </w:t>
      </w:r>
      <w:r>
        <w:rPr>
          <w:rFonts w:cs="Arial" w:hint="cs"/>
          <w:rtl/>
        </w:rPr>
        <w:t>כותבין</w:t>
      </w:r>
      <w:r>
        <w:rPr>
          <w:rFonts w:cs="Arial"/>
          <w:rtl/>
        </w:rPr>
        <w:t xml:space="preserve"> </w:t>
      </w:r>
      <w:r>
        <w:rPr>
          <w:rFonts w:cs="Arial" w:hint="cs"/>
          <w:rtl/>
        </w:rPr>
        <w:t>בה</w:t>
      </w:r>
      <w:r>
        <w:rPr>
          <w:rFonts w:cs="Arial"/>
          <w:rtl/>
        </w:rPr>
        <w:t>"</w:t>
      </w:r>
      <w:r>
        <w:rPr>
          <w:rFonts w:cs="Arial" w:hint="cs"/>
          <w:rtl/>
        </w:rPr>
        <w:t>א</w:t>
      </w:r>
      <w:r>
        <w:rPr>
          <w:rFonts w:cs="Arial"/>
          <w:rtl/>
        </w:rPr>
        <w:t xml:space="preserve">, </w:t>
      </w:r>
      <w:r>
        <w:rPr>
          <w:rFonts w:cs="Arial" w:hint="cs"/>
          <w:rtl/>
        </w:rPr>
        <w:t>כמו</w:t>
      </w:r>
      <w:r>
        <w:rPr>
          <w:rFonts w:cs="Arial"/>
          <w:rtl/>
        </w:rPr>
        <w:t xml:space="preserve"> </w:t>
      </w:r>
      <w:r>
        <w:rPr>
          <w:rFonts w:cs="Arial" w:hint="cs"/>
          <w:rtl/>
        </w:rPr>
        <w:t>חומה</w:t>
      </w:r>
      <w:r>
        <w:rPr>
          <w:rFonts w:cs="Arial"/>
          <w:rtl/>
        </w:rPr>
        <w:t xml:space="preserve"> </w:t>
      </w:r>
      <w:r>
        <w:rPr>
          <w:rFonts w:cs="Arial" w:hint="cs"/>
          <w:rtl/>
        </w:rPr>
        <w:t>דביתהו</w:t>
      </w:r>
      <w:r>
        <w:rPr>
          <w:rFonts w:cs="Arial"/>
          <w:rtl/>
        </w:rPr>
        <w:t xml:space="preserve"> </w:t>
      </w:r>
      <w:r>
        <w:rPr>
          <w:rFonts w:cs="Arial" w:hint="cs"/>
          <w:rtl/>
        </w:rPr>
        <w:t>דאביי</w:t>
      </w:r>
      <w:r>
        <w:rPr>
          <w:rFonts w:cs="Arial"/>
          <w:rtl/>
        </w:rPr>
        <w:t xml:space="preserve">, </w:t>
      </w:r>
      <w:r>
        <w:rPr>
          <w:rFonts w:cs="Arial" w:hint="cs"/>
          <w:rtl/>
        </w:rPr>
        <w:t>או</w:t>
      </w:r>
      <w:r>
        <w:rPr>
          <w:rFonts w:cs="Arial"/>
          <w:rtl/>
        </w:rPr>
        <w:t xml:space="preserve"> </w:t>
      </w:r>
      <w:r>
        <w:rPr>
          <w:rFonts w:cs="Arial" w:hint="cs"/>
          <w:rtl/>
        </w:rPr>
        <w:t>חובה</w:t>
      </w:r>
      <w:r>
        <w:rPr>
          <w:rFonts w:cs="Arial"/>
          <w:rtl/>
        </w:rPr>
        <w:t xml:space="preserve">, </w:t>
      </w:r>
      <w:r>
        <w:rPr>
          <w:rFonts w:cs="Arial" w:hint="cs"/>
          <w:rtl/>
        </w:rPr>
        <w:t>שהשם</w:t>
      </w:r>
      <w:r>
        <w:rPr>
          <w:rFonts w:cs="Arial"/>
          <w:rtl/>
        </w:rPr>
        <w:t xml:space="preserve"> </w:t>
      </w:r>
      <w:r>
        <w:rPr>
          <w:rFonts w:cs="Arial" w:hint="cs"/>
          <w:rtl/>
        </w:rPr>
        <w:t>הוא</w:t>
      </w:r>
      <w:r>
        <w:rPr>
          <w:rFonts w:cs="Arial"/>
          <w:rtl/>
        </w:rPr>
        <w:t xml:space="preserve"> </w:t>
      </w:r>
      <w:r>
        <w:rPr>
          <w:rFonts w:cs="Arial" w:hint="cs"/>
          <w:rtl/>
        </w:rPr>
        <w:t>לשון</w:t>
      </w:r>
      <w:r>
        <w:rPr>
          <w:rFonts w:cs="Arial"/>
          <w:rtl/>
        </w:rPr>
        <w:t xml:space="preserve"> </w:t>
      </w:r>
      <w:r>
        <w:rPr>
          <w:rFonts w:cs="Arial" w:hint="cs"/>
          <w:rtl/>
        </w:rPr>
        <w:t>הקודש</w:t>
      </w:r>
      <w:r>
        <w:rPr>
          <w:rFonts w:cs="Arial"/>
          <w:rtl/>
        </w:rPr>
        <w:t xml:space="preserve">. </w:t>
      </w:r>
      <w:r>
        <w:rPr>
          <w:rFonts w:cs="Arial" w:hint="cs"/>
          <w:rtl/>
        </w:rPr>
        <w:t>אבל</w:t>
      </w:r>
      <w:r>
        <w:rPr>
          <w:rFonts w:cs="Arial"/>
          <w:rtl/>
        </w:rPr>
        <w:t xml:space="preserve"> </w:t>
      </w:r>
      <w:r>
        <w:rPr>
          <w:rFonts w:cs="Arial" w:hint="cs"/>
          <w:rtl/>
        </w:rPr>
        <w:t>כשאינו</w:t>
      </w:r>
      <w:r>
        <w:rPr>
          <w:rFonts w:cs="Arial"/>
          <w:rtl/>
        </w:rPr>
        <w:t xml:space="preserve"> </w:t>
      </w:r>
      <w:r>
        <w:rPr>
          <w:rFonts w:cs="Arial" w:hint="cs"/>
          <w:rtl/>
        </w:rPr>
        <w:t>לשון</w:t>
      </w:r>
      <w:r>
        <w:rPr>
          <w:rFonts w:cs="Arial"/>
          <w:rtl/>
        </w:rPr>
        <w:t xml:space="preserve"> </w:t>
      </w:r>
      <w:r>
        <w:rPr>
          <w:rFonts w:cs="Arial" w:hint="cs"/>
          <w:rtl/>
        </w:rPr>
        <w:t>הקודש</w:t>
      </w:r>
      <w:r>
        <w:rPr>
          <w:rFonts w:cs="Arial"/>
          <w:rtl/>
        </w:rPr>
        <w:t xml:space="preserve">, </w:t>
      </w:r>
      <w:r>
        <w:rPr>
          <w:rFonts w:cs="Arial" w:hint="cs"/>
          <w:rtl/>
        </w:rPr>
        <w:t>כותבין</w:t>
      </w:r>
      <w:r>
        <w:rPr>
          <w:rFonts w:cs="Arial"/>
          <w:rtl/>
        </w:rPr>
        <w:t xml:space="preserve"> </w:t>
      </w:r>
      <w:r>
        <w:rPr>
          <w:rFonts w:cs="Arial" w:hint="cs"/>
          <w:rtl/>
        </w:rPr>
        <w:t>באל</w:t>
      </w:r>
      <w:r>
        <w:rPr>
          <w:rFonts w:cs="Arial"/>
          <w:rtl/>
        </w:rPr>
        <w:t>"</w:t>
      </w:r>
      <w:r>
        <w:rPr>
          <w:rFonts w:cs="Arial" w:hint="cs"/>
          <w:rtl/>
        </w:rPr>
        <w:t>ף</w:t>
      </w:r>
      <w:r>
        <w:rPr>
          <w:rFonts w:cs="Arial"/>
          <w:rtl/>
        </w:rPr>
        <w:t xml:space="preserve">. </w:t>
      </w:r>
      <w:r>
        <w:rPr>
          <w:rFonts w:cs="Arial" w:hint="cs"/>
          <w:rtl/>
        </w:rPr>
        <w:t>והוא</w:t>
      </w:r>
      <w:r>
        <w:rPr>
          <w:rFonts w:cs="Arial"/>
          <w:rtl/>
        </w:rPr>
        <w:t xml:space="preserve"> </w:t>
      </w:r>
      <w:r>
        <w:rPr>
          <w:rFonts w:cs="Arial" w:hint="cs"/>
          <w:rtl/>
        </w:rPr>
        <w:t>הדין</w:t>
      </w:r>
      <w:r>
        <w:rPr>
          <w:rFonts w:cs="Arial"/>
          <w:rtl/>
        </w:rPr>
        <w:t xml:space="preserve"> </w:t>
      </w:r>
      <w:r>
        <w:rPr>
          <w:rFonts w:cs="Arial" w:hint="cs"/>
          <w:rtl/>
        </w:rPr>
        <w:t>לכינוי</w:t>
      </w:r>
      <w:r>
        <w:rPr>
          <w:rFonts w:cs="Arial"/>
          <w:rtl/>
        </w:rPr>
        <w:t xml:space="preserve"> </w:t>
      </w:r>
      <w:r>
        <w:rPr>
          <w:rFonts w:cs="Arial" w:hint="cs"/>
          <w:rtl/>
        </w:rPr>
        <w:t>האנשים</w:t>
      </w:r>
      <w:r>
        <w:rPr>
          <w:rFonts w:cs="Arial"/>
          <w:rtl/>
        </w:rPr>
        <w:t xml:space="preserve">, </w:t>
      </w:r>
      <w:r>
        <w:rPr>
          <w:rFonts w:cs="Arial" w:hint="cs"/>
          <w:rtl/>
        </w:rPr>
        <w:t>כל</w:t>
      </w:r>
      <w:r>
        <w:rPr>
          <w:rFonts w:cs="Arial"/>
          <w:rtl/>
        </w:rPr>
        <w:t xml:space="preserve"> </w:t>
      </w:r>
      <w:r>
        <w:rPr>
          <w:rFonts w:cs="Arial" w:hint="cs"/>
          <w:rtl/>
        </w:rPr>
        <w:t>כינוי</w:t>
      </w:r>
      <w:r>
        <w:rPr>
          <w:rFonts w:cs="Arial"/>
          <w:rtl/>
        </w:rPr>
        <w:t xml:space="preserve"> </w:t>
      </w:r>
      <w:r>
        <w:rPr>
          <w:rFonts w:cs="Arial" w:hint="cs"/>
          <w:rtl/>
        </w:rPr>
        <w:t>שהוא</w:t>
      </w:r>
      <w:r>
        <w:rPr>
          <w:rFonts w:cs="Arial"/>
          <w:rtl/>
        </w:rPr>
        <w:t xml:space="preserve"> </w:t>
      </w:r>
      <w:r>
        <w:rPr>
          <w:rFonts w:cs="Arial" w:hint="cs"/>
          <w:rtl/>
        </w:rPr>
        <w:t>בלשון</w:t>
      </w:r>
      <w:r>
        <w:rPr>
          <w:rFonts w:cs="Arial"/>
          <w:rtl/>
        </w:rPr>
        <w:t xml:space="preserve"> </w:t>
      </w:r>
      <w:r>
        <w:rPr>
          <w:rFonts w:cs="Arial" w:hint="cs"/>
          <w:rtl/>
        </w:rPr>
        <w:t>הקודש</w:t>
      </w:r>
      <w:r>
        <w:rPr>
          <w:rFonts w:cs="Arial"/>
          <w:rtl/>
        </w:rPr>
        <w:t xml:space="preserve"> </w:t>
      </w:r>
      <w:r>
        <w:rPr>
          <w:rFonts w:cs="Arial" w:hint="cs"/>
          <w:rtl/>
        </w:rPr>
        <w:t>כותבין</w:t>
      </w:r>
      <w:r>
        <w:rPr>
          <w:rFonts w:cs="Arial"/>
          <w:rtl/>
        </w:rPr>
        <w:t xml:space="preserve"> </w:t>
      </w:r>
      <w:r>
        <w:rPr>
          <w:rFonts w:cs="Arial" w:hint="cs"/>
          <w:rtl/>
        </w:rPr>
        <w:t>בה</w:t>
      </w:r>
      <w:r>
        <w:rPr>
          <w:rFonts w:cs="Arial"/>
          <w:rtl/>
        </w:rPr>
        <w:t>"</w:t>
      </w:r>
      <w:r>
        <w:rPr>
          <w:rFonts w:cs="Arial" w:hint="cs"/>
          <w:rtl/>
        </w:rPr>
        <w:t>א.</w:t>
      </w:r>
      <w:r>
        <w:rPr>
          <w:rFonts w:cs="Arial"/>
          <w:rtl/>
        </w:rPr>
        <w:t xml:space="preserve"> </w:t>
      </w:r>
      <w:r>
        <w:rPr>
          <w:rFonts w:cs="Arial" w:hint="cs"/>
          <w:rtl/>
        </w:rPr>
        <w:t>ושאינו</w:t>
      </w:r>
      <w:r>
        <w:rPr>
          <w:rFonts w:cs="Arial"/>
          <w:rtl/>
        </w:rPr>
        <w:t xml:space="preserve"> </w:t>
      </w:r>
      <w:r>
        <w:rPr>
          <w:rFonts w:cs="Arial" w:hint="cs"/>
          <w:rtl/>
        </w:rPr>
        <w:t>בלשון</w:t>
      </w:r>
      <w:r>
        <w:rPr>
          <w:rFonts w:cs="Arial"/>
          <w:rtl/>
        </w:rPr>
        <w:t xml:space="preserve"> </w:t>
      </w:r>
      <w:r>
        <w:rPr>
          <w:rFonts w:cs="Arial" w:hint="cs"/>
          <w:rtl/>
        </w:rPr>
        <w:t>הקודש</w:t>
      </w:r>
      <w:r>
        <w:rPr>
          <w:rFonts w:cs="Arial"/>
          <w:rtl/>
        </w:rPr>
        <w:t xml:space="preserve">, </w:t>
      </w:r>
      <w:r>
        <w:rPr>
          <w:rFonts w:cs="Arial" w:hint="cs"/>
          <w:rtl/>
        </w:rPr>
        <w:t>כותבין</w:t>
      </w:r>
      <w:r>
        <w:rPr>
          <w:rFonts w:cs="Arial"/>
          <w:rtl/>
        </w:rPr>
        <w:t xml:space="preserve"> </w:t>
      </w:r>
      <w:r>
        <w:rPr>
          <w:rFonts w:cs="Arial" w:hint="cs"/>
          <w:rtl/>
        </w:rPr>
        <w:t>באל</w:t>
      </w:r>
      <w:r>
        <w:rPr>
          <w:rFonts w:cs="Arial"/>
          <w:rtl/>
        </w:rPr>
        <w:t>"</w:t>
      </w:r>
      <w:r>
        <w:rPr>
          <w:rFonts w:cs="Arial" w:hint="cs"/>
          <w:rtl/>
        </w:rPr>
        <w:t>ף</w:t>
      </w:r>
      <w:r>
        <w:rPr>
          <w:rStyle w:val="a7"/>
          <w:rFonts w:cs="Arial"/>
          <w:rtl/>
        </w:rPr>
        <w:footnoteReference w:id="1169"/>
      </w:r>
      <w:r>
        <w:rPr>
          <w:rFonts w:cs="Arial"/>
          <w:rtl/>
        </w:rPr>
        <w:t xml:space="preserve">. </w:t>
      </w:r>
      <w:r w:rsidRPr="00C03494">
        <w:rPr>
          <w:rFonts w:cs="Arial" w:hint="cs"/>
          <w:sz w:val="18"/>
          <w:szCs w:val="18"/>
          <w:rtl/>
        </w:rPr>
        <w:t>הגה</w:t>
      </w:r>
      <w:r w:rsidRPr="00C03494">
        <w:rPr>
          <w:rFonts w:cs="Arial"/>
          <w:sz w:val="18"/>
          <w:szCs w:val="18"/>
          <w:rtl/>
        </w:rPr>
        <w:t xml:space="preserve">: </w:t>
      </w:r>
      <w:r w:rsidRPr="00C03494">
        <w:rPr>
          <w:rFonts w:cs="Arial" w:hint="cs"/>
          <w:sz w:val="18"/>
          <w:szCs w:val="18"/>
          <w:rtl/>
        </w:rPr>
        <w:t>מיהו</w:t>
      </w:r>
      <w:r w:rsidRPr="00C03494">
        <w:rPr>
          <w:rFonts w:cs="Arial"/>
          <w:sz w:val="18"/>
          <w:szCs w:val="18"/>
          <w:rtl/>
        </w:rPr>
        <w:t xml:space="preserve"> </w:t>
      </w:r>
      <w:r w:rsidRPr="00C03494">
        <w:rPr>
          <w:rFonts w:cs="Arial" w:hint="cs"/>
          <w:sz w:val="18"/>
          <w:szCs w:val="18"/>
          <w:rtl/>
        </w:rPr>
        <w:t>אם</w:t>
      </w:r>
      <w:r w:rsidRPr="00C03494">
        <w:rPr>
          <w:rFonts w:cs="Arial"/>
          <w:sz w:val="18"/>
          <w:szCs w:val="18"/>
          <w:rtl/>
        </w:rPr>
        <w:t xml:space="preserve"> </w:t>
      </w:r>
      <w:r w:rsidRPr="00C03494">
        <w:rPr>
          <w:rFonts w:cs="Arial" w:hint="cs"/>
          <w:sz w:val="18"/>
          <w:szCs w:val="18"/>
          <w:rtl/>
        </w:rPr>
        <w:t>שינה</w:t>
      </w:r>
      <w:r w:rsidRPr="00C03494">
        <w:rPr>
          <w:rFonts w:cs="Arial"/>
          <w:sz w:val="18"/>
          <w:szCs w:val="18"/>
          <w:rtl/>
        </w:rPr>
        <w:t xml:space="preserve"> </w:t>
      </w:r>
      <w:r w:rsidRPr="00C03494">
        <w:rPr>
          <w:rFonts w:cs="Arial" w:hint="cs"/>
          <w:sz w:val="18"/>
          <w:szCs w:val="18"/>
          <w:rtl/>
        </w:rPr>
        <w:t>וכתב</w:t>
      </w:r>
      <w:r w:rsidRPr="00C03494">
        <w:rPr>
          <w:rFonts w:cs="Arial"/>
          <w:sz w:val="18"/>
          <w:szCs w:val="18"/>
          <w:rtl/>
        </w:rPr>
        <w:t xml:space="preserve"> </w:t>
      </w:r>
      <w:r w:rsidRPr="00C03494">
        <w:rPr>
          <w:rFonts w:cs="Arial" w:hint="cs"/>
          <w:sz w:val="18"/>
          <w:szCs w:val="18"/>
          <w:rtl/>
        </w:rPr>
        <w:t>ה</w:t>
      </w:r>
      <w:r w:rsidRPr="00C03494">
        <w:rPr>
          <w:rFonts w:cs="Arial"/>
          <w:sz w:val="18"/>
          <w:szCs w:val="18"/>
          <w:rtl/>
        </w:rPr>
        <w:t>"</w:t>
      </w:r>
      <w:r w:rsidRPr="00C03494">
        <w:rPr>
          <w:rFonts w:cs="Arial" w:hint="cs"/>
          <w:sz w:val="18"/>
          <w:szCs w:val="18"/>
          <w:rtl/>
        </w:rPr>
        <w:t>א</w:t>
      </w:r>
      <w:r w:rsidRPr="00C03494">
        <w:rPr>
          <w:rFonts w:cs="Arial"/>
          <w:sz w:val="18"/>
          <w:szCs w:val="18"/>
          <w:rtl/>
        </w:rPr>
        <w:t xml:space="preserve"> </w:t>
      </w:r>
      <w:r w:rsidRPr="00C03494">
        <w:rPr>
          <w:rFonts w:cs="Arial" w:hint="cs"/>
          <w:sz w:val="18"/>
          <w:szCs w:val="18"/>
          <w:rtl/>
        </w:rPr>
        <w:t>במקום</w:t>
      </w:r>
      <w:r w:rsidRPr="00C03494">
        <w:rPr>
          <w:rFonts w:cs="Arial"/>
          <w:sz w:val="18"/>
          <w:szCs w:val="18"/>
          <w:rtl/>
        </w:rPr>
        <w:t xml:space="preserve"> </w:t>
      </w:r>
      <w:r w:rsidRPr="00C03494">
        <w:rPr>
          <w:rFonts w:cs="Arial" w:hint="cs"/>
          <w:sz w:val="18"/>
          <w:szCs w:val="18"/>
          <w:rtl/>
        </w:rPr>
        <w:t>אל</w:t>
      </w:r>
      <w:r w:rsidRPr="00C03494">
        <w:rPr>
          <w:rFonts w:cs="Arial"/>
          <w:sz w:val="18"/>
          <w:szCs w:val="18"/>
          <w:rtl/>
        </w:rPr>
        <w:t>"</w:t>
      </w:r>
      <w:r w:rsidRPr="00C03494">
        <w:rPr>
          <w:rFonts w:cs="Arial" w:hint="cs"/>
          <w:sz w:val="18"/>
          <w:szCs w:val="18"/>
          <w:rtl/>
        </w:rPr>
        <w:t>ף</w:t>
      </w:r>
      <w:r w:rsidRPr="00C03494">
        <w:rPr>
          <w:rFonts w:cs="Arial"/>
          <w:sz w:val="18"/>
          <w:szCs w:val="18"/>
          <w:rtl/>
        </w:rPr>
        <w:t xml:space="preserve">, </w:t>
      </w:r>
      <w:r w:rsidRPr="00C03494">
        <w:rPr>
          <w:rFonts w:cs="Arial" w:hint="cs"/>
          <w:sz w:val="18"/>
          <w:szCs w:val="18"/>
          <w:rtl/>
        </w:rPr>
        <w:t>כשר</w:t>
      </w:r>
      <w:r w:rsidRPr="00C03494">
        <w:rPr>
          <w:rFonts w:cs="Arial"/>
          <w:sz w:val="18"/>
          <w:szCs w:val="18"/>
          <w:rtl/>
        </w:rPr>
        <w:t xml:space="preserve">. </w:t>
      </w:r>
      <w:r w:rsidRPr="00C03494">
        <w:rPr>
          <w:rFonts w:cs="Arial" w:hint="cs"/>
          <w:sz w:val="18"/>
          <w:szCs w:val="18"/>
          <w:rtl/>
        </w:rPr>
        <w:t>כל</w:t>
      </w:r>
      <w:r w:rsidRPr="00C03494">
        <w:rPr>
          <w:rFonts w:cs="Arial"/>
          <w:sz w:val="18"/>
          <w:szCs w:val="18"/>
          <w:rtl/>
        </w:rPr>
        <w:t xml:space="preserve"> </w:t>
      </w:r>
      <w:r w:rsidRPr="00C03494">
        <w:rPr>
          <w:rFonts w:cs="Arial" w:hint="cs"/>
          <w:sz w:val="18"/>
          <w:szCs w:val="18"/>
          <w:rtl/>
        </w:rPr>
        <w:t>כינוי</w:t>
      </w:r>
      <w:r w:rsidRPr="00C03494">
        <w:rPr>
          <w:rFonts w:cs="Arial"/>
          <w:sz w:val="18"/>
          <w:szCs w:val="18"/>
          <w:rtl/>
        </w:rPr>
        <w:t xml:space="preserve"> </w:t>
      </w:r>
      <w:r w:rsidRPr="00C03494">
        <w:rPr>
          <w:rFonts w:cs="Arial" w:hint="cs"/>
          <w:sz w:val="18"/>
          <w:szCs w:val="18"/>
          <w:rtl/>
        </w:rPr>
        <w:t>שמשתנה</w:t>
      </w:r>
      <w:r w:rsidRPr="00C03494">
        <w:rPr>
          <w:rFonts w:cs="Arial"/>
          <w:sz w:val="18"/>
          <w:szCs w:val="18"/>
          <w:rtl/>
        </w:rPr>
        <w:t xml:space="preserve"> </w:t>
      </w:r>
      <w:r w:rsidRPr="00C03494">
        <w:rPr>
          <w:rFonts w:cs="Arial" w:hint="cs"/>
          <w:sz w:val="18"/>
          <w:szCs w:val="18"/>
          <w:rtl/>
        </w:rPr>
        <w:t>מכח</w:t>
      </w:r>
      <w:r w:rsidRPr="00C03494">
        <w:rPr>
          <w:rFonts w:cs="Arial"/>
          <w:sz w:val="18"/>
          <w:szCs w:val="18"/>
          <w:rtl/>
        </w:rPr>
        <w:t xml:space="preserve"> </w:t>
      </w:r>
      <w:r w:rsidRPr="00C03494">
        <w:rPr>
          <w:rFonts w:cs="Arial" w:hint="cs"/>
          <w:sz w:val="18"/>
          <w:szCs w:val="18"/>
          <w:rtl/>
        </w:rPr>
        <w:t>לשון</w:t>
      </w:r>
      <w:r w:rsidRPr="00C03494">
        <w:rPr>
          <w:rFonts w:cs="Arial"/>
          <w:sz w:val="18"/>
          <w:szCs w:val="18"/>
          <w:rtl/>
        </w:rPr>
        <w:t xml:space="preserve"> </w:t>
      </w:r>
      <w:r w:rsidRPr="00C03494">
        <w:rPr>
          <w:rFonts w:cs="Arial" w:hint="cs"/>
          <w:sz w:val="18"/>
          <w:szCs w:val="18"/>
          <w:rtl/>
        </w:rPr>
        <w:t>המדינות</w:t>
      </w:r>
      <w:r w:rsidRPr="00C03494">
        <w:rPr>
          <w:rFonts w:cs="Arial"/>
          <w:sz w:val="18"/>
          <w:szCs w:val="18"/>
          <w:rtl/>
        </w:rPr>
        <w:t xml:space="preserve">, </w:t>
      </w:r>
      <w:r w:rsidRPr="00C03494">
        <w:rPr>
          <w:rFonts w:cs="Arial" w:hint="cs"/>
          <w:sz w:val="18"/>
          <w:szCs w:val="18"/>
          <w:rtl/>
        </w:rPr>
        <w:t>כגון</w:t>
      </w:r>
      <w:r w:rsidRPr="00C03494">
        <w:rPr>
          <w:rFonts w:cs="Arial"/>
          <w:sz w:val="18"/>
          <w:szCs w:val="18"/>
          <w:rtl/>
        </w:rPr>
        <w:t xml:space="preserve"> </w:t>
      </w:r>
      <w:r w:rsidRPr="00C03494">
        <w:rPr>
          <w:rFonts w:cs="Arial" w:hint="cs"/>
          <w:sz w:val="18"/>
          <w:szCs w:val="18"/>
          <w:rtl/>
        </w:rPr>
        <w:t>ליב</w:t>
      </w:r>
      <w:r w:rsidRPr="00C03494">
        <w:rPr>
          <w:rFonts w:cs="Arial"/>
          <w:sz w:val="18"/>
          <w:szCs w:val="18"/>
          <w:rtl/>
        </w:rPr>
        <w:t xml:space="preserve">, </w:t>
      </w:r>
      <w:r w:rsidRPr="00C03494">
        <w:rPr>
          <w:rFonts w:cs="Arial" w:hint="cs"/>
          <w:sz w:val="18"/>
          <w:szCs w:val="18"/>
          <w:rtl/>
        </w:rPr>
        <w:t>שיש</w:t>
      </w:r>
      <w:r w:rsidRPr="00C03494">
        <w:rPr>
          <w:rFonts w:cs="Arial"/>
          <w:sz w:val="18"/>
          <w:szCs w:val="18"/>
          <w:rtl/>
        </w:rPr>
        <w:t xml:space="preserve"> </w:t>
      </w:r>
      <w:r w:rsidRPr="00C03494">
        <w:rPr>
          <w:rFonts w:cs="Arial" w:hint="cs"/>
          <w:sz w:val="18"/>
          <w:szCs w:val="18"/>
          <w:rtl/>
        </w:rPr>
        <w:t>מדינות</w:t>
      </w:r>
      <w:r w:rsidRPr="00C03494">
        <w:rPr>
          <w:rFonts w:cs="Arial"/>
          <w:sz w:val="18"/>
          <w:szCs w:val="18"/>
          <w:rtl/>
        </w:rPr>
        <w:t xml:space="preserve"> </w:t>
      </w:r>
      <w:r w:rsidRPr="00C03494">
        <w:rPr>
          <w:rFonts w:cs="Arial" w:hint="cs"/>
          <w:sz w:val="18"/>
          <w:szCs w:val="18"/>
          <w:rtl/>
        </w:rPr>
        <w:t>מדברים</w:t>
      </w:r>
      <w:r w:rsidRPr="00C03494">
        <w:rPr>
          <w:rFonts w:cs="Arial"/>
          <w:sz w:val="18"/>
          <w:szCs w:val="18"/>
          <w:rtl/>
        </w:rPr>
        <w:t xml:space="preserve"> </w:t>
      </w:r>
      <w:r w:rsidRPr="00C03494">
        <w:rPr>
          <w:rFonts w:cs="Arial" w:hint="cs"/>
          <w:sz w:val="18"/>
          <w:szCs w:val="18"/>
          <w:rtl/>
        </w:rPr>
        <w:t>לשון</w:t>
      </w:r>
      <w:r w:rsidRPr="00C03494">
        <w:rPr>
          <w:rFonts w:cs="Arial"/>
          <w:sz w:val="18"/>
          <w:szCs w:val="18"/>
          <w:rtl/>
        </w:rPr>
        <w:t xml:space="preserve"> </w:t>
      </w:r>
      <w:r w:rsidRPr="00C03494">
        <w:rPr>
          <w:rFonts w:cs="Arial" w:hint="cs"/>
          <w:sz w:val="18"/>
          <w:szCs w:val="18"/>
          <w:rtl/>
        </w:rPr>
        <w:t>קלילא</w:t>
      </w:r>
      <w:r w:rsidRPr="00C03494">
        <w:rPr>
          <w:rFonts w:cs="Arial"/>
          <w:sz w:val="18"/>
          <w:szCs w:val="18"/>
          <w:rtl/>
        </w:rPr>
        <w:t xml:space="preserve">: </w:t>
      </w:r>
      <w:r w:rsidRPr="00C03494">
        <w:rPr>
          <w:rFonts w:cs="Arial" w:hint="cs"/>
          <w:sz w:val="18"/>
          <w:szCs w:val="18"/>
          <w:rtl/>
        </w:rPr>
        <w:t>ליב</w:t>
      </w:r>
      <w:r w:rsidRPr="00C03494">
        <w:rPr>
          <w:rFonts w:cs="Arial"/>
          <w:sz w:val="18"/>
          <w:szCs w:val="18"/>
          <w:rtl/>
        </w:rPr>
        <w:t xml:space="preserve">, </w:t>
      </w:r>
      <w:r w:rsidRPr="00C03494">
        <w:rPr>
          <w:rFonts w:cs="Arial" w:hint="cs"/>
          <w:sz w:val="18"/>
          <w:szCs w:val="18"/>
          <w:rtl/>
        </w:rPr>
        <w:t>ובמקצת</w:t>
      </w:r>
      <w:r w:rsidRPr="00C03494">
        <w:rPr>
          <w:rFonts w:cs="Arial"/>
          <w:sz w:val="18"/>
          <w:szCs w:val="18"/>
          <w:rtl/>
        </w:rPr>
        <w:t xml:space="preserve"> </w:t>
      </w:r>
      <w:r w:rsidRPr="00C03494">
        <w:rPr>
          <w:rFonts w:cs="Arial" w:hint="cs"/>
          <w:sz w:val="18"/>
          <w:szCs w:val="18"/>
          <w:rtl/>
        </w:rPr>
        <w:t>מדינות</w:t>
      </w:r>
      <w:r w:rsidRPr="00C03494">
        <w:rPr>
          <w:rFonts w:cs="Arial"/>
          <w:sz w:val="18"/>
          <w:szCs w:val="18"/>
          <w:rtl/>
        </w:rPr>
        <w:t xml:space="preserve"> </w:t>
      </w:r>
      <w:r w:rsidRPr="00C03494">
        <w:rPr>
          <w:rFonts w:cs="Arial" w:hint="cs"/>
          <w:sz w:val="18"/>
          <w:szCs w:val="18"/>
          <w:rtl/>
        </w:rPr>
        <w:t>מדברים</w:t>
      </w:r>
      <w:r w:rsidRPr="00C03494">
        <w:rPr>
          <w:rFonts w:cs="Arial"/>
          <w:sz w:val="18"/>
          <w:szCs w:val="18"/>
          <w:rtl/>
        </w:rPr>
        <w:t xml:space="preserve">: </w:t>
      </w:r>
      <w:r w:rsidRPr="00C03494">
        <w:rPr>
          <w:rFonts w:cs="Arial" w:hint="cs"/>
          <w:sz w:val="18"/>
          <w:szCs w:val="18"/>
          <w:rtl/>
        </w:rPr>
        <w:t>ליוא</w:t>
      </w:r>
      <w:r w:rsidRPr="00C03494">
        <w:rPr>
          <w:rFonts w:cs="Arial"/>
          <w:sz w:val="18"/>
          <w:szCs w:val="18"/>
          <w:rtl/>
        </w:rPr>
        <w:t xml:space="preserve"> </w:t>
      </w:r>
      <w:r w:rsidRPr="00C03494">
        <w:rPr>
          <w:rFonts w:cs="Arial" w:hint="cs"/>
          <w:sz w:val="18"/>
          <w:szCs w:val="18"/>
          <w:rtl/>
        </w:rPr>
        <w:t>או</w:t>
      </w:r>
      <w:r w:rsidRPr="00C03494">
        <w:rPr>
          <w:rFonts w:cs="Arial"/>
          <w:sz w:val="18"/>
          <w:szCs w:val="18"/>
          <w:rtl/>
        </w:rPr>
        <w:t xml:space="preserve"> </w:t>
      </w:r>
      <w:r w:rsidRPr="00C03494">
        <w:rPr>
          <w:rFonts w:cs="Arial" w:hint="cs"/>
          <w:sz w:val="18"/>
          <w:szCs w:val="18"/>
          <w:rtl/>
        </w:rPr>
        <w:t>ליבא</w:t>
      </w:r>
      <w:r w:rsidRPr="00C03494">
        <w:rPr>
          <w:rFonts w:cs="Arial"/>
          <w:sz w:val="18"/>
          <w:szCs w:val="18"/>
          <w:rtl/>
        </w:rPr>
        <w:t xml:space="preserve">; </w:t>
      </w:r>
      <w:r w:rsidRPr="00C03494">
        <w:rPr>
          <w:rFonts w:cs="Arial" w:hint="cs"/>
          <w:sz w:val="18"/>
          <w:szCs w:val="18"/>
          <w:rtl/>
        </w:rPr>
        <w:t>וכן</w:t>
      </w:r>
      <w:r w:rsidRPr="00C03494">
        <w:rPr>
          <w:rFonts w:cs="Arial"/>
          <w:sz w:val="18"/>
          <w:szCs w:val="18"/>
          <w:rtl/>
        </w:rPr>
        <w:t xml:space="preserve"> </w:t>
      </w:r>
      <w:r w:rsidRPr="00C03494">
        <w:rPr>
          <w:rFonts w:cs="Arial" w:hint="cs"/>
          <w:sz w:val="18"/>
          <w:szCs w:val="18"/>
          <w:rtl/>
        </w:rPr>
        <w:t>בכינוי</w:t>
      </w:r>
      <w:r w:rsidRPr="00C03494">
        <w:rPr>
          <w:rFonts w:cs="Arial"/>
          <w:sz w:val="18"/>
          <w:szCs w:val="18"/>
          <w:rtl/>
        </w:rPr>
        <w:t xml:space="preserve"> </w:t>
      </w:r>
      <w:r w:rsidRPr="00C03494">
        <w:rPr>
          <w:rFonts w:cs="Arial" w:hint="cs"/>
          <w:sz w:val="18"/>
          <w:szCs w:val="18"/>
          <w:rtl/>
        </w:rPr>
        <w:t>וואלף</w:t>
      </w:r>
      <w:r w:rsidRPr="00C03494">
        <w:rPr>
          <w:rFonts w:cs="Arial"/>
          <w:sz w:val="18"/>
          <w:szCs w:val="18"/>
          <w:rtl/>
        </w:rPr>
        <w:t xml:space="preserve">, </w:t>
      </w:r>
      <w:r w:rsidRPr="00C03494">
        <w:rPr>
          <w:rFonts w:cs="Arial" w:hint="cs"/>
          <w:sz w:val="18"/>
          <w:szCs w:val="18"/>
          <w:rtl/>
        </w:rPr>
        <w:t>שקורין</w:t>
      </w:r>
      <w:r w:rsidRPr="00C03494">
        <w:rPr>
          <w:rFonts w:cs="Arial"/>
          <w:sz w:val="18"/>
          <w:szCs w:val="18"/>
          <w:rtl/>
        </w:rPr>
        <w:t xml:space="preserve"> </w:t>
      </w:r>
      <w:r w:rsidRPr="00C03494">
        <w:rPr>
          <w:rFonts w:cs="Arial" w:hint="cs"/>
          <w:sz w:val="18"/>
          <w:szCs w:val="18"/>
          <w:rtl/>
        </w:rPr>
        <w:t>אותו</w:t>
      </w:r>
      <w:r w:rsidRPr="00C03494">
        <w:rPr>
          <w:rFonts w:cs="Arial"/>
          <w:sz w:val="18"/>
          <w:szCs w:val="18"/>
          <w:rtl/>
        </w:rPr>
        <w:t xml:space="preserve"> </w:t>
      </w:r>
      <w:r w:rsidRPr="00C03494">
        <w:rPr>
          <w:rFonts w:cs="Arial" w:hint="cs"/>
          <w:sz w:val="18"/>
          <w:szCs w:val="18"/>
          <w:rtl/>
        </w:rPr>
        <w:t>במדינות</w:t>
      </w:r>
      <w:r w:rsidRPr="00C03494">
        <w:rPr>
          <w:rFonts w:cs="Arial"/>
          <w:sz w:val="18"/>
          <w:szCs w:val="18"/>
          <w:rtl/>
        </w:rPr>
        <w:t xml:space="preserve"> </w:t>
      </w:r>
      <w:r w:rsidRPr="00C03494">
        <w:rPr>
          <w:rFonts w:cs="Arial" w:hint="cs"/>
          <w:sz w:val="18"/>
          <w:szCs w:val="18"/>
          <w:rtl/>
        </w:rPr>
        <w:t>אלו</w:t>
      </w:r>
      <w:r w:rsidRPr="00C03494">
        <w:rPr>
          <w:rFonts w:cs="Arial"/>
          <w:sz w:val="18"/>
          <w:szCs w:val="18"/>
          <w:rtl/>
        </w:rPr>
        <w:t xml:space="preserve"> </w:t>
      </w:r>
      <w:r w:rsidRPr="00C03494">
        <w:rPr>
          <w:rFonts w:cs="Arial" w:hint="cs"/>
          <w:sz w:val="18"/>
          <w:szCs w:val="18"/>
          <w:rtl/>
        </w:rPr>
        <w:t>כך</w:t>
      </w:r>
      <w:r w:rsidRPr="00C03494">
        <w:rPr>
          <w:rFonts w:cs="Arial"/>
          <w:sz w:val="18"/>
          <w:szCs w:val="18"/>
          <w:rtl/>
        </w:rPr>
        <w:t xml:space="preserve">, </w:t>
      </w:r>
      <w:r w:rsidRPr="00C03494">
        <w:rPr>
          <w:rFonts w:cs="Arial" w:hint="cs"/>
          <w:sz w:val="18"/>
          <w:szCs w:val="18"/>
          <w:rtl/>
        </w:rPr>
        <w:t>ובמדינות</w:t>
      </w:r>
      <w:r w:rsidRPr="00C03494">
        <w:rPr>
          <w:rFonts w:cs="Arial"/>
          <w:sz w:val="18"/>
          <w:szCs w:val="18"/>
          <w:rtl/>
        </w:rPr>
        <w:t xml:space="preserve"> </w:t>
      </w:r>
      <w:r w:rsidRPr="00C03494">
        <w:rPr>
          <w:rFonts w:cs="Arial" w:hint="cs"/>
          <w:sz w:val="18"/>
          <w:szCs w:val="18"/>
          <w:rtl/>
        </w:rPr>
        <w:t>אחרות</w:t>
      </w:r>
      <w:r w:rsidRPr="00C03494">
        <w:rPr>
          <w:rFonts w:cs="Arial"/>
          <w:sz w:val="18"/>
          <w:szCs w:val="18"/>
          <w:rtl/>
        </w:rPr>
        <w:t xml:space="preserve"> </w:t>
      </w:r>
      <w:r w:rsidRPr="00C03494">
        <w:rPr>
          <w:rFonts w:cs="Arial" w:hint="cs"/>
          <w:sz w:val="18"/>
          <w:szCs w:val="18"/>
          <w:rtl/>
        </w:rPr>
        <w:t>וואלפ</w:t>
      </w:r>
      <w:r w:rsidRPr="00C03494">
        <w:rPr>
          <w:rFonts w:cs="Arial"/>
          <w:sz w:val="18"/>
          <w:szCs w:val="18"/>
          <w:rtl/>
        </w:rPr>
        <w:t>"</w:t>
      </w:r>
      <w:r w:rsidRPr="00C03494">
        <w:rPr>
          <w:rFonts w:cs="Arial" w:hint="cs"/>
          <w:sz w:val="18"/>
          <w:szCs w:val="18"/>
          <w:rtl/>
        </w:rPr>
        <w:t>א</w:t>
      </w:r>
      <w:r w:rsidRPr="00C03494">
        <w:rPr>
          <w:rFonts w:cs="Arial"/>
          <w:sz w:val="18"/>
          <w:szCs w:val="18"/>
          <w:rtl/>
        </w:rPr>
        <w:t xml:space="preserve"> </w:t>
      </w:r>
      <w:r w:rsidRPr="00C03494">
        <w:rPr>
          <w:rFonts w:cs="Arial" w:hint="cs"/>
          <w:sz w:val="18"/>
          <w:szCs w:val="18"/>
          <w:rtl/>
        </w:rPr>
        <w:t>או</w:t>
      </w:r>
      <w:r w:rsidRPr="00C03494">
        <w:rPr>
          <w:rFonts w:cs="Arial"/>
          <w:sz w:val="18"/>
          <w:szCs w:val="18"/>
          <w:rtl/>
        </w:rPr>
        <w:t xml:space="preserve"> </w:t>
      </w:r>
      <w:r w:rsidRPr="00C03494">
        <w:rPr>
          <w:rFonts w:cs="Arial" w:hint="cs"/>
          <w:sz w:val="18"/>
          <w:szCs w:val="18"/>
          <w:rtl/>
        </w:rPr>
        <w:t>וואלבליין</w:t>
      </w:r>
      <w:r w:rsidRPr="00C03494">
        <w:rPr>
          <w:rFonts w:cs="Arial"/>
          <w:sz w:val="18"/>
          <w:szCs w:val="18"/>
          <w:rtl/>
        </w:rPr>
        <w:t xml:space="preserve"> </w:t>
      </w:r>
      <w:r w:rsidRPr="00C03494">
        <w:rPr>
          <w:rFonts w:cs="Arial" w:hint="cs"/>
          <w:sz w:val="18"/>
          <w:szCs w:val="18"/>
          <w:rtl/>
        </w:rPr>
        <w:t>או</w:t>
      </w:r>
      <w:r w:rsidRPr="00C03494">
        <w:rPr>
          <w:rFonts w:cs="Arial"/>
          <w:sz w:val="18"/>
          <w:szCs w:val="18"/>
          <w:rtl/>
        </w:rPr>
        <w:t xml:space="preserve"> </w:t>
      </w:r>
      <w:r w:rsidRPr="00C03494">
        <w:rPr>
          <w:rFonts w:cs="Arial" w:hint="cs"/>
          <w:sz w:val="18"/>
          <w:szCs w:val="18"/>
          <w:rtl/>
        </w:rPr>
        <w:t>וואלפליין</w:t>
      </w:r>
      <w:r w:rsidRPr="00C03494">
        <w:rPr>
          <w:rFonts w:cs="Arial"/>
          <w:sz w:val="18"/>
          <w:szCs w:val="18"/>
          <w:rtl/>
        </w:rPr>
        <w:t xml:space="preserve">; </w:t>
      </w:r>
      <w:r w:rsidRPr="00C03494">
        <w:rPr>
          <w:rFonts w:cs="Arial" w:hint="cs"/>
          <w:sz w:val="18"/>
          <w:szCs w:val="18"/>
          <w:rtl/>
        </w:rPr>
        <w:t>או</w:t>
      </w:r>
      <w:r w:rsidRPr="00C03494">
        <w:rPr>
          <w:rFonts w:cs="Arial"/>
          <w:sz w:val="18"/>
          <w:szCs w:val="18"/>
          <w:rtl/>
        </w:rPr>
        <w:t xml:space="preserve"> </w:t>
      </w:r>
      <w:r w:rsidRPr="00C03494">
        <w:rPr>
          <w:rFonts w:cs="Arial" w:hint="cs"/>
          <w:sz w:val="18"/>
          <w:szCs w:val="18"/>
          <w:rtl/>
        </w:rPr>
        <w:t>בכינוי</w:t>
      </w:r>
      <w:r w:rsidRPr="00C03494">
        <w:rPr>
          <w:rFonts w:cs="Arial"/>
          <w:sz w:val="18"/>
          <w:szCs w:val="18"/>
          <w:rtl/>
        </w:rPr>
        <w:t xml:space="preserve"> </w:t>
      </w:r>
      <w:r w:rsidRPr="00C03494">
        <w:rPr>
          <w:rFonts w:cs="Arial" w:hint="cs"/>
          <w:sz w:val="18"/>
          <w:szCs w:val="18"/>
          <w:rtl/>
        </w:rPr>
        <w:t>מענדל</w:t>
      </w:r>
      <w:r w:rsidRPr="00C03494">
        <w:rPr>
          <w:rFonts w:cs="Arial"/>
          <w:sz w:val="18"/>
          <w:szCs w:val="18"/>
          <w:rtl/>
        </w:rPr>
        <w:t xml:space="preserve">, </w:t>
      </w:r>
      <w:r w:rsidRPr="00C03494">
        <w:rPr>
          <w:rFonts w:cs="Arial" w:hint="cs"/>
          <w:sz w:val="18"/>
          <w:szCs w:val="18"/>
          <w:rtl/>
        </w:rPr>
        <w:t>שיש</w:t>
      </w:r>
      <w:r w:rsidRPr="00C03494">
        <w:rPr>
          <w:rFonts w:cs="Arial"/>
          <w:sz w:val="18"/>
          <w:szCs w:val="18"/>
          <w:rtl/>
        </w:rPr>
        <w:t xml:space="preserve"> </w:t>
      </w:r>
      <w:r w:rsidRPr="00C03494">
        <w:rPr>
          <w:rFonts w:cs="Arial" w:hint="cs"/>
          <w:sz w:val="18"/>
          <w:szCs w:val="18"/>
          <w:rtl/>
        </w:rPr>
        <w:t>מדברים</w:t>
      </w:r>
      <w:r w:rsidRPr="00C03494">
        <w:rPr>
          <w:rFonts w:cs="Arial"/>
          <w:sz w:val="18"/>
          <w:szCs w:val="18"/>
          <w:rtl/>
        </w:rPr>
        <w:t xml:space="preserve">: </w:t>
      </w:r>
      <w:r w:rsidRPr="00C03494">
        <w:rPr>
          <w:rFonts w:cs="Arial" w:hint="cs"/>
          <w:sz w:val="18"/>
          <w:szCs w:val="18"/>
          <w:rtl/>
        </w:rPr>
        <w:t>מנדיל</w:t>
      </w:r>
      <w:r w:rsidRPr="00C03494">
        <w:rPr>
          <w:rFonts w:cs="Arial"/>
          <w:sz w:val="18"/>
          <w:szCs w:val="18"/>
          <w:rtl/>
        </w:rPr>
        <w:t xml:space="preserve">, </w:t>
      </w:r>
      <w:r w:rsidRPr="00C03494">
        <w:rPr>
          <w:rFonts w:cs="Arial" w:hint="cs"/>
          <w:sz w:val="18"/>
          <w:szCs w:val="18"/>
          <w:rtl/>
        </w:rPr>
        <w:t>וכל</w:t>
      </w:r>
      <w:r w:rsidRPr="00C03494">
        <w:rPr>
          <w:rFonts w:cs="Arial"/>
          <w:sz w:val="18"/>
          <w:szCs w:val="18"/>
          <w:rtl/>
        </w:rPr>
        <w:t xml:space="preserve"> </w:t>
      </w:r>
      <w:r w:rsidRPr="00C03494">
        <w:rPr>
          <w:rFonts w:cs="Arial" w:hint="cs"/>
          <w:sz w:val="18"/>
          <w:szCs w:val="18"/>
          <w:rtl/>
        </w:rPr>
        <w:t>כיוצא</w:t>
      </w:r>
      <w:r w:rsidRPr="00C03494">
        <w:rPr>
          <w:rFonts w:cs="Arial"/>
          <w:sz w:val="18"/>
          <w:szCs w:val="18"/>
          <w:rtl/>
        </w:rPr>
        <w:t xml:space="preserve"> </w:t>
      </w:r>
      <w:r w:rsidRPr="00C03494">
        <w:rPr>
          <w:rFonts w:cs="Arial" w:hint="cs"/>
          <w:sz w:val="18"/>
          <w:szCs w:val="18"/>
          <w:rtl/>
        </w:rPr>
        <w:t>בזה</w:t>
      </w:r>
      <w:r w:rsidRPr="00C03494">
        <w:rPr>
          <w:rFonts w:cs="Arial"/>
          <w:sz w:val="18"/>
          <w:szCs w:val="18"/>
          <w:rtl/>
        </w:rPr>
        <w:t xml:space="preserve">; </w:t>
      </w:r>
      <w:r w:rsidRPr="00C03494">
        <w:rPr>
          <w:rFonts w:cs="Arial" w:hint="cs"/>
          <w:sz w:val="18"/>
          <w:szCs w:val="18"/>
          <w:rtl/>
        </w:rPr>
        <w:t>וכן</w:t>
      </w:r>
      <w:r w:rsidRPr="00C03494">
        <w:rPr>
          <w:rFonts w:cs="Arial"/>
          <w:sz w:val="18"/>
          <w:szCs w:val="18"/>
          <w:rtl/>
        </w:rPr>
        <w:t xml:space="preserve"> </w:t>
      </w:r>
      <w:r w:rsidRPr="00C03494">
        <w:rPr>
          <w:rFonts w:cs="Arial" w:hint="cs"/>
          <w:sz w:val="18"/>
          <w:szCs w:val="18"/>
          <w:rtl/>
        </w:rPr>
        <w:t>בקריאת</w:t>
      </w:r>
      <w:r w:rsidRPr="00C03494">
        <w:rPr>
          <w:rFonts w:cs="Arial"/>
          <w:sz w:val="18"/>
          <w:szCs w:val="18"/>
          <w:rtl/>
        </w:rPr>
        <w:t xml:space="preserve"> </w:t>
      </w:r>
      <w:r w:rsidRPr="00C03494">
        <w:rPr>
          <w:rFonts w:cs="Arial" w:hint="cs"/>
          <w:sz w:val="18"/>
          <w:szCs w:val="18"/>
          <w:rtl/>
        </w:rPr>
        <w:t>התיבות</w:t>
      </w:r>
      <w:r w:rsidRPr="00C03494">
        <w:rPr>
          <w:rFonts w:cs="Arial"/>
          <w:sz w:val="18"/>
          <w:szCs w:val="18"/>
          <w:rtl/>
        </w:rPr>
        <w:t xml:space="preserve">, </w:t>
      </w:r>
      <w:r w:rsidRPr="00C03494">
        <w:rPr>
          <w:rFonts w:cs="Arial" w:hint="cs"/>
          <w:sz w:val="18"/>
          <w:szCs w:val="18"/>
          <w:rtl/>
        </w:rPr>
        <w:t>כגון</w:t>
      </w:r>
      <w:r w:rsidRPr="00C03494">
        <w:rPr>
          <w:rFonts w:cs="Arial"/>
          <w:sz w:val="18"/>
          <w:szCs w:val="18"/>
          <w:rtl/>
        </w:rPr>
        <w:t xml:space="preserve"> </w:t>
      </w:r>
      <w:r w:rsidRPr="00C03494">
        <w:rPr>
          <w:rFonts w:cs="Arial" w:hint="cs"/>
          <w:sz w:val="18"/>
          <w:szCs w:val="18"/>
          <w:rtl/>
        </w:rPr>
        <w:t>בקצת</w:t>
      </w:r>
      <w:r w:rsidRPr="00C03494">
        <w:rPr>
          <w:rFonts w:cs="Arial"/>
          <w:sz w:val="18"/>
          <w:szCs w:val="18"/>
          <w:rtl/>
        </w:rPr>
        <w:t xml:space="preserve"> </w:t>
      </w:r>
      <w:r w:rsidRPr="00C03494">
        <w:rPr>
          <w:rFonts w:cs="Arial" w:hint="cs"/>
          <w:sz w:val="18"/>
          <w:szCs w:val="18"/>
          <w:rtl/>
        </w:rPr>
        <w:t>מדינות</w:t>
      </w:r>
      <w:r w:rsidRPr="00C03494">
        <w:rPr>
          <w:rFonts w:cs="Arial"/>
          <w:sz w:val="18"/>
          <w:szCs w:val="18"/>
          <w:rtl/>
        </w:rPr>
        <w:t xml:space="preserve"> </w:t>
      </w:r>
      <w:r w:rsidRPr="00C03494">
        <w:rPr>
          <w:rFonts w:cs="Arial" w:hint="cs"/>
          <w:sz w:val="18"/>
          <w:szCs w:val="18"/>
          <w:rtl/>
        </w:rPr>
        <w:t>שקורין</w:t>
      </w:r>
      <w:r w:rsidRPr="00C03494">
        <w:rPr>
          <w:rFonts w:cs="Arial"/>
          <w:sz w:val="18"/>
          <w:szCs w:val="18"/>
          <w:rtl/>
        </w:rPr>
        <w:t xml:space="preserve"> </w:t>
      </w:r>
      <w:r w:rsidRPr="00C03494">
        <w:rPr>
          <w:rFonts w:cs="Arial" w:hint="cs"/>
          <w:sz w:val="18"/>
          <w:szCs w:val="18"/>
          <w:rtl/>
        </w:rPr>
        <w:t>גומפרעכט</w:t>
      </w:r>
      <w:r w:rsidRPr="00C03494">
        <w:rPr>
          <w:rFonts w:cs="Arial"/>
          <w:sz w:val="18"/>
          <w:szCs w:val="18"/>
          <w:rtl/>
        </w:rPr>
        <w:t xml:space="preserve"> </w:t>
      </w:r>
      <w:r w:rsidRPr="00C03494">
        <w:rPr>
          <w:rFonts w:cs="Arial" w:hint="cs"/>
          <w:sz w:val="18"/>
          <w:szCs w:val="18"/>
          <w:rtl/>
        </w:rPr>
        <w:t>גומפרחט</w:t>
      </w:r>
      <w:r w:rsidRPr="00C03494">
        <w:rPr>
          <w:rFonts w:cs="Arial"/>
          <w:sz w:val="18"/>
          <w:szCs w:val="18"/>
          <w:rtl/>
        </w:rPr>
        <w:t xml:space="preserve">, </w:t>
      </w:r>
      <w:r w:rsidRPr="00C03494">
        <w:rPr>
          <w:rFonts w:cs="Arial" w:hint="cs"/>
          <w:sz w:val="18"/>
          <w:szCs w:val="18"/>
          <w:rtl/>
        </w:rPr>
        <w:t>או</w:t>
      </w:r>
      <w:r w:rsidRPr="00C03494">
        <w:rPr>
          <w:rFonts w:cs="Arial"/>
          <w:sz w:val="18"/>
          <w:szCs w:val="18"/>
          <w:rtl/>
        </w:rPr>
        <w:t xml:space="preserve"> </w:t>
      </w:r>
      <w:r w:rsidRPr="00C03494">
        <w:rPr>
          <w:rFonts w:cs="Arial" w:hint="cs"/>
          <w:sz w:val="18"/>
          <w:szCs w:val="18"/>
          <w:rtl/>
        </w:rPr>
        <w:t>שהלשונות</w:t>
      </w:r>
      <w:r w:rsidRPr="00C03494">
        <w:rPr>
          <w:rFonts w:cs="Arial"/>
          <w:sz w:val="18"/>
          <w:szCs w:val="18"/>
          <w:rtl/>
        </w:rPr>
        <w:t xml:space="preserve"> </w:t>
      </w:r>
      <w:r w:rsidRPr="00C03494">
        <w:rPr>
          <w:rFonts w:cs="Arial" w:hint="cs"/>
          <w:sz w:val="18"/>
          <w:szCs w:val="18"/>
          <w:rtl/>
        </w:rPr>
        <w:t>מתחלפות</w:t>
      </w:r>
      <w:r w:rsidRPr="00C03494">
        <w:rPr>
          <w:rFonts w:cs="Arial"/>
          <w:sz w:val="18"/>
          <w:szCs w:val="18"/>
          <w:rtl/>
        </w:rPr>
        <w:t xml:space="preserve"> </w:t>
      </w:r>
      <w:r w:rsidRPr="00C03494">
        <w:rPr>
          <w:rFonts w:cs="Arial" w:hint="cs"/>
          <w:sz w:val="18"/>
          <w:szCs w:val="18"/>
          <w:rtl/>
        </w:rPr>
        <w:t>בקריאת</w:t>
      </w:r>
      <w:r w:rsidRPr="00C03494">
        <w:rPr>
          <w:rFonts w:cs="Arial"/>
          <w:sz w:val="18"/>
          <w:szCs w:val="18"/>
          <w:rtl/>
        </w:rPr>
        <w:t xml:space="preserve"> </w:t>
      </w:r>
      <w:r w:rsidRPr="00C03494">
        <w:rPr>
          <w:rFonts w:cs="Arial" w:hint="cs"/>
          <w:sz w:val="18"/>
          <w:szCs w:val="18"/>
          <w:rtl/>
        </w:rPr>
        <w:t>הב</w:t>
      </w:r>
      <w:r w:rsidRPr="00C03494">
        <w:rPr>
          <w:rFonts w:cs="Arial"/>
          <w:sz w:val="18"/>
          <w:szCs w:val="18"/>
          <w:rtl/>
        </w:rPr>
        <w:t xml:space="preserve">' </w:t>
      </w:r>
      <w:r w:rsidRPr="00C03494">
        <w:rPr>
          <w:rFonts w:cs="Arial" w:hint="cs"/>
          <w:sz w:val="18"/>
          <w:szCs w:val="18"/>
          <w:rtl/>
        </w:rPr>
        <w:t>או</w:t>
      </w:r>
      <w:r w:rsidRPr="00C03494">
        <w:rPr>
          <w:rFonts w:cs="Arial"/>
          <w:sz w:val="18"/>
          <w:szCs w:val="18"/>
          <w:rtl/>
        </w:rPr>
        <w:t xml:space="preserve"> </w:t>
      </w:r>
      <w:r w:rsidRPr="00C03494">
        <w:rPr>
          <w:rFonts w:cs="Arial" w:hint="cs"/>
          <w:sz w:val="18"/>
          <w:szCs w:val="18"/>
          <w:rtl/>
        </w:rPr>
        <w:t>פ</w:t>
      </w:r>
      <w:r w:rsidRPr="00C03494">
        <w:rPr>
          <w:rFonts w:cs="Arial"/>
          <w:sz w:val="18"/>
          <w:szCs w:val="18"/>
          <w:rtl/>
        </w:rPr>
        <w:t xml:space="preserve">' </w:t>
      </w:r>
      <w:r w:rsidRPr="00C03494">
        <w:rPr>
          <w:rFonts w:cs="Arial" w:hint="cs"/>
          <w:sz w:val="18"/>
          <w:szCs w:val="18"/>
          <w:rtl/>
        </w:rPr>
        <w:t>או</w:t>
      </w:r>
      <w:r w:rsidRPr="00C03494">
        <w:rPr>
          <w:rFonts w:cs="Arial"/>
          <w:sz w:val="18"/>
          <w:szCs w:val="18"/>
          <w:rtl/>
        </w:rPr>
        <w:t xml:space="preserve"> </w:t>
      </w:r>
      <w:r w:rsidRPr="00C03494">
        <w:rPr>
          <w:rFonts w:cs="Arial" w:hint="cs"/>
          <w:sz w:val="18"/>
          <w:szCs w:val="18"/>
          <w:rtl/>
        </w:rPr>
        <w:t>ו</w:t>
      </w:r>
      <w:r w:rsidRPr="00C03494">
        <w:rPr>
          <w:rFonts w:cs="Arial"/>
          <w:sz w:val="18"/>
          <w:szCs w:val="18"/>
          <w:rtl/>
        </w:rPr>
        <w:t xml:space="preserve">', </w:t>
      </w:r>
      <w:r w:rsidRPr="00C03494">
        <w:rPr>
          <w:rFonts w:cs="Arial" w:hint="cs"/>
          <w:sz w:val="18"/>
          <w:szCs w:val="18"/>
          <w:rtl/>
        </w:rPr>
        <w:t>כגון</w:t>
      </w:r>
      <w:r w:rsidRPr="00C03494">
        <w:rPr>
          <w:rFonts w:cs="Arial"/>
          <w:sz w:val="18"/>
          <w:szCs w:val="18"/>
          <w:rtl/>
        </w:rPr>
        <w:t xml:space="preserve"> </w:t>
      </w:r>
      <w:r w:rsidRPr="00C03494">
        <w:rPr>
          <w:rFonts w:cs="Arial" w:hint="cs"/>
          <w:sz w:val="18"/>
          <w:szCs w:val="18"/>
          <w:rtl/>
        </w:rPr>
        <w:t>זנביל</w:t>
      </w:r>
      <w:r w:rsidRPr="00C03494">
        <w:rPr>
          <w:rFonts w:cs="Arial"/>
          <w:sz w:val="18"/>
          <w:szCs w:val="18"/>
          <w:rtl/>
        </w:rPr>
        <w:t xml:space="preserve"> </w:t>
      </w:r>
      <w:r w:rsidRPr="00C03494">
        <w:rPr>
          <w:rFonts w:cs="Arial" w:hint="cs"/>
          <w:sz w:val="18"/>
          <w:szCs w:val="18"/>
          <w:rtl/>
        </w:rPr>
        <w:t>או</w:t>
      </w:r>
      <w:r w:rsidRPr="00C03494">
        <w:rPr>
          <w:rFonts w:cs="Arial"/>
          <w:sz w:val="18"/>
          <w:szCs w:val="18"/>
          <w:rtl/>
        </w:rPr>
        <w:t xml:space="preserve"> </w:t>
      </w:r>
      <w:r w:rsidRPr="00C03494">
        <w:rPr>
          <w:rFonts w:cs="Arial" w:hint="cs"/>
          <w:sz w:val="18"/>
          <w:szCs w:val="18"/>
          <w:rtl/>
        </w:rPr>
        <w:t>זנוויל</w:t>
      </w:r>
      <w:r w:rsidRPr="00C03494">
        <w:rPr>
          <w:rFonts w:cs="Arial"/>
          <w:sz w:val="18"/>
          <w:szCs w:val="18"/>
          <w:rtl/>
        </w:rPr>
        <w:t xml:space="preserve"> </w:t>
      </w:r>
      <w:r w:rsidRPr="00C03494">
        <w:rPr>
          <w:rFonts w:cs="Arial" w:hint="cs"/>
          <w:sz w:val="18"/>
          <w:szCs w:val="18"/>
          <w:rtl/>
        </w:rPr>
        <w:t>פייבש</w:t>
      </w:r>
      <w:r w:rsidRPr="00C03494">
        <w:rPr>
          <w:rFonts w:cs="Arial"/>
          <w:sz w:val="18"/>
          <w:szCs w:val="18"/>
          <w:rtl/>
        </w:rPr>
        <w:t xml:space="preserve"> </w:t>
      </w:r>
      <w:r w:rsidRPr="00C03494">
        <w:rPr>
          <w:rFonts w:cs="Arial" w:hint="cs"/>
          <w:sz w:val="18"/>
          <w:szCs w:val="18"/>
          <w:rtl/>
        </w:rPr>
        <w:t>ווייבש</w:t>
      </w:r>
      <w:r w:rsidRPr="00C03494">
        <w:rPr>
          <w:rFonts w:cs="Arial"/>
          <w:sz w:val="18"/>
          <w:szCs w:val="18"/>
          <w:rtl/>
        </w:rPr>
        <w:t xml:space="preserve">, </w:t>
      </w:r>
      <w:r w:rsidRPr="00C03494">
        <w:rPr>
          <w:rFonts w:cs="Arial" w:hint="cs"/>
          <w:sz w:val="18"/>
          <w:szCs w:val="18"/>
          <w:rtl/>
        </w:rPr>
        <w:t>שמקצת</w:t>
      </w:r>
      <w:r w:rsidRPr="00C03494">
        <w:rPr>
          <w:rFonts w:cs="Arial"/>
          <w:sz w:val="18"/>
          <w:szCs w:val="18"/>
          <w:rtl/>
        </w:rPr>
        <w:t xml:space="preserve"> </w:t>
      </w:r>
      <w:r w:rsidRPr="00C03494">
        <w:rPr>
          <w:rFonts w:cs="Arial" w:hint="cs"/>
          <w:sz w:val="18"/>
          <w:szCs w:val="18"/>
          <w:rtl/>
        </w:rPr>
        <w:t>מדינות</w:t>
      </w:r>
      <w:r w:rsidRPr="00C03494">
        <w:rPr>
          <w:rFonts w:cs="Arial"/>
          <w:sz w:val="18"/>
          <w:szCs w:val="18"/>
          <w:rtl/>
        </w:rPr>
        <w:t xml:space="preserve"> </w:t>
      </w:r>
      <w:r w:rsidRPr="00C03494">
        <w:rPr>
          <w:rFonts w:cs="Arial" w:hint="cs"/>
          <w:sz w:val="18"/>
          <w:szCs w:val="18"/>
          <w:rtl/>
        </w:rPr>
        <w:t>מדברים</w:t>
      </w:r>
      <w:r w:rsidRPr="00C03494">
        <w:rPr>
          <w:rFonts w:cs="Arial"/>
          <w:sz w:val="18"/>
          <w:szCs w:val="18"/>
          <w:rtl/>
        </w:rPr>
        <w:t xml:space="preserve"> </w:t>
      </w:r>
      <w:r w:rsidRPr="00C03494">
        <w:rPr>
          <w:rFonts w:cs="Arial" w:hint="cs"/>
          <w:sz w:val="18"/>
          <w:szCs w:val="18"/>
          <w:rtl/>
        </w:rPr>
        <w:t>יותר</w:t>
      </w:r>
      <w:r w:rsidRPr="00C03494">
        <w:rPr>
          <w:rFonts w:cs="Arial"/>
          <w:sz w:val="18"/>
          <w:szCs w:val="18"/>
          <w:rtl/>
        </w:rPr>
        <w:t xml:space="preserve"> </w:t>
      </w:r>
      <w:r w:rsidRPr="00C03494">
        <w:rPr>
          <w:rFonts w:cs="Arial" w:hint="cs"/>
          <w:sz w:val="18"/>
          <w:szCs w:val="18"/>
          <w:rtl/>
        </w:rPr>
        <w:t>בלשון</w:t>
      </w:r>
      <w:r w:rsidRPr="00C03494">
        <w:rPr>
          <w:rFonts w:cs="Arial"/>
          <w:sz w:val="18"/>
          <w:szCs w:val="18"/>
          <w:rtl/>
        </w:rPr>
        <w:t xml:space="preserve"> </w:t>
      </w:r>
      <w:r w:rsidRPr="00C03494">
        <w:rPr>
          <w:rFonts w:cs="Arial" w:hint="cs"/>
          <w:sz w:val="18"/>
          <w:szCs w:val="18"/>
          <w:rtl/>
        </w:rPr>
        <w:t>רפה</w:t>
      </w:r>
      <w:r w:rsidRPr="00C03494">
        <w:rPr>
          <w:rFonts w:cs="Arial"/>
          <w:sz w:val="18"/>
          <w:szCs w:val="18"/>
          <w:rtl/>
        </w:rPr>
        <w:t xml:space="preserve">, </w:t>
      </w:r>
      <w:r w:rsidRPr="00C03494">
        <w:rPr>
          <w:rFonts w:cs="Arial" w:hint="cs"/>
          <w:sz w:val="18"/>
          <w:szCs w:val="18"/>
          <w:rtl/>
        </w:rPr>
        <w:t>הולכין</w:t>
      </w:r>
      <w:r w:rsidRPr="00C03494">
        <w:rPr>
          <w:rFonts w:cs="Arial"/>
          <w:sz w:val="18"/>
          <w:szCs w:val="18"/>
          <w:rtl/>
        </w:rPr>
        <w:t xml:space="preserve"> </w:t>
      </w:r>
      <w:r w:rsidRPr="00C03494">
        <w:rPr>
          <w:rFonts w:cs="Arial" w:hint="cs"/>
          <w:sz w:val="18"/>
          <w:szCs w:val="18"/>
          <w:rtl/>
        </w:rPr>
        <w:t>אחר</w:t>
      </w:r>
      <w:r w:rsidRPr="00C03494">
        <w:rPr>
          <w:rFonts w:cs="Arial"/>
          <w:sz w:val="18"/>
          <w:szCs w:val="18"/>
          <w:rtl/>
        </w:rPr>
        <w:t xml:space="preserve"> </w:t>
      </w:r>
      <w:r w:rsidRPr="00C03494">
        <w:rPr>
          <w:rFonts w:cs="Arial" w:hint="cs"/>
          <w:sz w:val="18"/>
          <w:szCs w:val="18"/>
          <w:rtl/>
        </w:rPr>
        <w:t>לשון</w:t>
      </w:r>
      <w:r w:rsidRPr="00C03494">
        <w:rPr>
          <w:rFonts w:cs="Arial"/>
          <w:sz w:val="18"/>
          <w:szCs w:val="18"/>
          <w:rtl/>
        </w:rPr>
        <w:t xml:space="preserve"> </w:t>
      </w:r>
      <w:r w:rsidRPr="00C03494">
        <w:rPr>
          <w:rFonts w:cs="Arial" w:hint="cs"/>
          <w:sz w:val="18"/>
          <w:szCs w:val="18"/>
          <w:rtl/>
        </w:rPr>
        <w:t>בני</w:t>
      </w:r>
      <w:r w:rsidRPr="00C03494">
        <w:rPr>
          <w:rFonts w:cs="Arial"/>
          <w:sz w:val="18"/>
          <w:szCs w:val="18"/>
          <w:rtl/>
        </w:rPr>
        <w:t xml:space="preserve"> </w:t>
      </w:r>
      <w:r w:rsidRPr="00C03494">
        <w:rPr>
          <w:rFonts w:cs="Arial" w:hint="cs"/>
          <w:sz w:val="18"/>
          <w:szCs w:val="18"/>
          <w:rtl/>
        </w:rPr>
        <w:t>אדם</w:t>
      </w:r>
      <w:r w:rsidRPr="00C03494">
        <w:rPr>
          <w:rFonts w:cs="Arial"/>
          <w:sz w:val="18"/>
          <w:szCs w:val="18"/>
          <w:rtl/>
        </w:rPr>
        <w:t xml:space="preserve"> </w:t>
      </w:r>
      <w:r w:rsidRPr="00C03494">
        <w:rPr>
          <w:rFonts w:cs="Arial" w:hint="cs"/>
          <w:sz w:val="18"/>
          <w:szCs w:val="18"/>
          <w:rtl/>
        </w:rPr>
        <w:t>במדינה</w:t>
      </w:r>
      <w:r w:rsidRPr="00C03494">
        <w:rPr>
          <w:rFonts w:cs="Arial"/>
          <w:sz w:val="18"/>
          <w:szCs w:val="18"/>
          <w:rtl/>
        </w:rPr>
        <w:t xml:space="preserve"> </w:t>
      </w:r>
      <w:r w:rsidRPr="00C03494">
        <w:rPr>
          <w:rFonts w:cs="Arial" w:hint="cs"/>
          <w:sz w:val="18"/>
          <w:szCs w:val="18"/>
          <w:rtl/>
        </w:rPr>
        <w:t>שנותנין</w:t>
      </w:r>
      <w:r w:rsidRPr="00C03494">
        <w:rPr>
          <w:rFonts w:cs="Arial"/>
          <w:sz w:val="18"/>
          <w:szCs w:val="18"/>
          <w:rtl/>
        </w:rPr>
        <w:t xml:space="preserve"> </w:t>
      </w:r>
      <w:r w:rsidRPr="00C03494">
        <w:rPr>
          <w:rFonts w:cs="Arial" w:hint="cs"/>
          <w:sz w:val="18"/>
          <w:szCs w:val="18"/>
          <w:rtl/>
        </w:rPr>
        <w:t>בו</w:t>
      </w:r>
      <w:r w:rsidRPr="00C03494">
        <w:rPr>
          <w:rFonts w:cs="Arial"/>
          <w:sz w:val="18"/>
          <w:szCs w:val="18"/>
          <w:rtl/>
        </w:rPr>
        <w:t xml:space="preserve"> </w:t>
      </w:r>
      <w:r w:rsidRPr="00C03494">
        <w:rPr>
          <w:rFonts w:cs="Arial" w:hint="cs"/>
          <w:sz w:val="18"/>
          <w:szCs w:val="18"/>
          <w:rtl/>
        </w:rPr>
        <w:t>הגט</w:t>
      </w:r>
      <w:r w:rsidRPr="00C03494">
        <w:rPr>
          <w:rFonts w:cs="Arial"/>
          <w:sz w:val="18"/>
          <w:szCs w:val="18"/>
          <w:rtl/>
        </w:rPr>
        <w:t xml:space="preserve">, </w:t>
      </w:r>
      <w:r w:rsidRPr="00C03494">
        <w:rPr>
          <w:rFonts w:cs="Arial" w:hint="cs"/>
          <w:sz w:val="18"/>
          <w:szCs w:val="18"/>
          <w:rtl/>
        </w:rPr>
        <w:t>ואין</w:t>
      </w:r>
      <w:r w:rsidRPr="00C03494">
        <w:rPr>
          <w:rFonts w:cs="Arial"/>
          <w:sz w:val="18"/>
          <w:szCs w:val="18"/>
          <w:rtl/>
        </w:rPr>
        <w:t xml:space="preserve"> </w:t>
      </w:r>
      <w:r w:rsidRPr="00C03494">
        <w:rPr>
          <w:rFonts w:cs="Arial" w:hint="cs"/>
          <w:sz w:val="18"/>
          <w:szCs w:val="18"/>
          <w:rtl/>
        </w:rPr>
        <w:t>להקפיד</w:t>
      </w:r>
      <w:r w:rsidRPr="00C03494">
        <w:rPr>
          <w:rFonts w:cs="Arial"/>
          <w:sz w:val="18"/>
          <w:szCs w:val="18"/>
          <w:rtl/>
        </w:rPr>
        <w:t xml:space="preserve"> </w:t>
      </w:r>
      <w:r w:rsidRPr="00C03494">
        <w:rPr>
          <w:rFonts w:cs="Arial" w:hint="cs"/>
          <w:sz w:val="18"/>
          <w:szCs w:val="18"/>
          <w:rtl/>
        </w:rPr>
        <w:t>בזה</w:t>
      </w:r>
      <w:r w:rsidRPr="00C03494">
        <w:rPr>
          <w:rFonts w:cs="Arial"/>
          <w:sz w:val="18"/>
          <w:szCs w:val="18"/>
          <w:rtl/>
        </w:rPr>
        <w:t xml:space="preserve"> </w:t>
      </w:r>
      <w:r w:rsidRPr="00C03494">
        <w:rPr>
          <w:rFonts w:cs="Arial" w:hint="cs"/>
          <w:sz w:val="18"/>
          <w:szCs w:val="18"/>
          <w:rtl/>
        </w:rPr>
        <w:t>איך</w:t>
      </w:r>
      <w:r w:rsidRPr="00C03494">
        <w:rPr>
          <w:rFonts w:cs="Arial"/>
          <w:sz w:val="18"/>
          <w:szCs w:val="18"/>
          <w:rtl/>
        </w:rPr>
        <w:t xml:space="preserve"> </w:t>
      </w:r>
      <w:r w:rsidRPr="00C03494">
        <w:rPr>
          <w:rFonts w:cs="Arial" w:hint="cs"/>
          <w:sz w:val="18"/>
          <w:szCs w:val="18"/>
          <w:rtl/>
        </w:rPr>
        <w:t>נמצאו</w:t>
      </w:r>
      <w:r w:rsidRPr="00C03494">
        <w:rPr>
          <w:rFonts w:cs="Arial"/>
          <w:sz w:val="18"/>
          <w:szCs w:val="18"/>
          <w:rtl/>
        </w:rPr>
        <w:t xml:space="preserve"> </w:t>
      </w:r>
      <w:r w:rsidRPr="00C03494">
        <w:rPr>
          <w:rFonts w:cs="Arial" w:hint="cs"/>
          <w:sz w:val="18"/>
          <w:szCs w:val="18"/>
          <w:rtl/>
        </w:rPr>
        <w:t>השמות</w:t>
      </w:r>
      <w:r w:rsidRPr="00C03494">
        <w:rPr>
          <w:rFonts w:cs="Arial"/>
          <w:sz w:val="18"/>
          <w:szCs w:val="18"/>
          <w:rtl/>
        </w:rPr>
        <w:t xml:space="preserve"> </w:t>
      </w:r>
      <w:r w:rsidRPr="00C03494">
        <w:rPr>
          <w:rFonts w:cs="Arial" w:hint="cs"/>
          <w:sz w:val="18"/>
          <w:szCs w:val="18"/>
          <w:rtl/>
        </w:rPr>
        <w:t>והכינויין</w:t>
      </w:r>
      <w:r w:rsidRPr="00C03494">
        <w:rPr>
          <w:rFonts w:cs="Arial"/>
          <w:sz w:val="18"/>
          <w:szCs w:val="18"/>
          <w:rtl/>
        </w:rPr>
        <w:t xml:space="preserve"> </w:t>
      </w:r>
      <w:r w:rsidRPr="00C03494">
        <w:rPr>
          <w:rFonts w:cs="Arial" w:hint="cs"/>
          <w:sz w:val="18"/>
          <w:szCs w:val="18"/>
          <w:rtl/>
        </w:rPr>
        <w:t>כתובים</w:t>
      </w:r>
      <w:r w:rsidRPr="00C03494">
        <w:rPr>
          <w:rFonts w:cs="Arial"/>
          <w:sz w:val="18"/>
          <w:szCs w:val="18"/>
          <w:rtl/>
        </w:rPr>
        <w:t xml:space="preserve">, </w:t>
      </w:r>
      <w:r w:rsidRPr="00C03494">
        <w:rPr>
          <w:rFonts w:cs="Arial" w:hint="cs"/>
          <w:sz w:val="18"/>
          <w:szCs w:val="18"/>
          <w:rtl/>
        </w:rPr>
        <w:t>כי</w:t>
      </w:r>
      <w:r w:rsidRPr="00C03494">
        <w:rPr>
          <w:rFonts w:cs="Arial"/>
          <w:sz w:val="18"/>
          <w:szCs w:val="18"/>
          <w:rtl/>
        </w:rPr>
        <w:t xml:space="preserve"> </w:t>
      </w:r>
      <w:r w:rsidRPr="00C03494">
        <w:rPr>
          <w:rFonts w:cs="Arial" w:hint="cs"/>
          <w:sz w:val="18"/>
          <w:szCs w:val="18"/>
          <w:rtl/>
        </w:rPr>
        <w:t>כל</w:t>
      </w:r>
      <w:r w:rsidRPr="00C03494">
        <w:rPr>
          <w:rFonts w:cs="Arial"/>
          <w:sz w:val="18"/>
          <w:szCs w:val="18"/>
          <w:rtl/>
        </w:rPr>
        <w:t xml:space="preserve"> </w:t>
      </w:r>
      <w:r w:rsidRPr="00C03494">
        <w:rPr>
          <w:rFonts w:cs="Arial" w:hint="cs"/>
          <w:sz w:val="18"/>
          <w:szCs w:val="18"/>
          <w:rtl/>
        </w:rPr>
        <w:t>אחד</w:t>
      </w:r>
      <w:r w:rsidRPr="00C03494">
        <w:rPr>
          <w:rFonts w:cs="Arial"/>
          <w:sz w:val="18"/>
          <w:szCs w:val="18"/>
          <w:rtl/>
        </w:rPr>
        <w:t xml:space="preserve"> </w:t>
      </w:r>
      <w:r w:rsidRPr="00C03494">
        <w:rPr>
          <w:rFonts w:cs="Arial" w:hint="cs"/>
          <w:sz w:val="18"/>
          <w:szCs w:val="18"/>
          <w:rtl/>
        </w:rPr>
        <w:t>כתב</w:t>
      </w:r>
      <w:r w:rsidRPr="00C03494">
        <w:rPr>
          <w:rFonts w:cs="Arial"/>
          <w:sz w:val="18"/>
          <w:szCs w:val="18"/>
          <w:rtl/>
        </w:rPr>
        <w:t xml:space="preserve"> </w:t>
      </w:r>
      <w:r w:rsidRPr="00C03494">
        <w:rPr>
          <w:rFonts w:cs="Arial" w:hint="cs"/>
          <w:sz w:val="18"/>
          <w:szCs w:val="18"/>
          <w:rtl/>
        </w:rPr>
        <w:t>כפי</w:t>
      </w:r>
      <w:r w:rsidRPr="00C03494">
        <w:rPr>
          <w:rFonts w:cs="Arial"/>
          <w:sz w:val="18"/>
          <w:szCs w:val="18"/>
          <w:rtl/>
        </w:rPr>
        <w:t xml:space="preserve"> </w:t>
      </w:r>
      <w:r w:rsidRPr="00C03494">
        <w:rPr>
          <w:rFonts w:cs="Arial" w:hint="cs"/>
          <w:sz w:val="18"/>
          <w:szCs w:val="18"/>
          <w:rtl/>
        </w:rPr>
        <w:t>לשון</w:t>
      </w:r>
      <w:r w:rsidRPr="00C03494">
        <w:rPr>
          <w:rFonts w:cs="Arial"/>
          <w:sz w:val="18"/>
          <w:szCs w:val="18"/>
          <w:rtl/>
        </w:rPr>
        <w:t xml:space="preserve"> </w:t>
      </w:r>
      <w:r w:rsidRPr="00C03494">
        <w:rPr>
          <w:rFonts w:cs="Arial" w:hint="cs"/>
          <w:sz w:val="18"/>
          <w:szCs w:val="18"/>
          <w:rtl/>
        </w:rPr>
        <w:t>מדינתו</w:t>
      </w:r>
      <w:r w:rsidRPr="00C03494">
        <w:rPr>
          <w:rFonts w:cs="Arial"/>
          <w:sz w:val="18"/>
          <w:szCs w:val="18"/>
          <w:rtl/>
        </w:rPr>
        <w:t xml:space="preserve">; </w:t>
      </w:r>
      <w:r w:rsidRPr="00C03494">
        <w:rPr>
          <w:rFonts w:cs="Arial" w:hint="cs"/>
          <w:sz w:val="18"/>
          <w:szCs w:val="18"/>
          <w:rtl/>
        </w:rPr>
        <w:t>ולכן</w:t>
      </w:r>
      <w:r w:rsidRPr="00C03494">
        <w:rPr>
          <w:rFonts w:cs="Arial"/>
          <w:sz w:val="18"/>
          <w:szCs w:val="18"/>
          <w:rtl/>
        </w:rPr>
        <w:t xml:space="preserve"> </w:t>
      </w:r>
      <w:r w:rsidRPr="00C03494">
        <w:rPr>
          <w:rFonts w:cs="Arial" w:hint="cs"/>
          <w:sz w:val="18"/>
          <w:szCs w:val="18"/>
          <w:rtl/>
        </w:rPr>
        <w:t>סדר</w:t>
      </w:r>
      <w:r w:rsidRPr="00C03494">
        <w:rPr>
          <w:rFonts w:cs="Arial"/>
          <w:sz w:val="18"/>
          <w:szCs w:val="18"/>
          <w:rtl/>
        </w:rPr>
        <w:t xml:space="preserve"> </w:t>
      </w:r>
      <w:r w:rsidRPr="00C03494">
        <w:rPr>
          <w:rFonts w:cs="Arial" w:hint="cs"/>
          <w:sz w:val="18"/>
          <w:szCs w:val="18"/>
          <w:rtl/>
        </w:rPr>
        <w:t>הגיטין</w:t>
      </w:r>
      <w:r w:rsidRPr="00C03494">
        <w:rPr>
          <w:rFonts w:cs="Arial"/>
          <w:sz w:val="18"/>
          <w:szCs w:val="18"/>
          <w:rtl/>
        </w:rPr>
        <w:t xml:space="preserve"> </w:t>
      </w:r>
      <w:r w:rsidRPr="00C03494">
        <w:rPr>
          <w:rFonts w:cs="Arial" w:hint="cs"/>
          <w:sz w:val="18"/>
          <w:szCs w:val="18"/>
          <w:rtl/>
        </w:rPr>
        <w:t>משונים</w:t>
      </w:r>
      <w:r w:rsidRPr="00C03494">
        <w:rPr>
          <w:rFonts w:cs="Arial"/>
          <w:sz w:val="18"/>
          <w:szCs w:val="18"/>
          <w:rtl/>
        </w:rPr>
        <w:t xml:space="preserve"> </w:t>
      </w:r>
      <w:r w:rsidRPr="00C03494">
        <w:rPr>
          <w:rFonts w:cs="Arial" w:hint="cs"/>
          <w:sz w:val="18"/>
          <w:szCs w:val="18"/>
          <w:rtl/>
        </w:rPr>
        <w:t>זה</w:t>
      </w:r>
      <w:r w:rsidRPr="00C03494">
        <w:rPr>
          <w:rFonts w:cs="Arial"/>
          <w:sz w:val="18"/>
          <w:szCs w:val="18"/>
          <w:rtl/>
        </w:rPr>
        <w:t xml:space="preserve"> </w:t>
      </w:r>
      <w:r w:rsidRPr="00C03494">
        <w:rPr>
          <w:rFonts w:cs="Arial" w:hint="cs"/>
          <w:sz w:val="18"/>
          <w:szCs w:val="18"/>
          <w:rtl/>
        </w:rPr>
        <w:t>מזה</w:t>
      </w:r>
      <w:r w:rsidRPr="00C03494">
        <w:rPr>
          <w:rFonts w:cs="Arial"/>
          <w:sz w:val="18"/>
          <w:szCs w:val="18"/>
          <w:rtl/>
        </w:rPr>
        <w:t xml:space="preserve"> </w:t>
      </w:r>
      <w:r w:rsidRPr="00C03494">
        <w:rPr>
          <w:rFonts w:cs="Arial" w:hint="cs"/>
          <w:sz w:val="18"/>
          <w:szCs w:val="18"/>
          <w:rtl/>
        </w:rPr>
        <w:t>בענין</w:t>
      </w:r>
      <w:r w:rsidRPr="00C03494">
        <w:rPr>
          <w:rFonts w:cs="Arial"/>
          <w:sz w:val="18"/>
          <w:szCs w:val="18"/>
          <w:rtl/>
        </w:rPr>
        <w:t xml:space="preserve"> </w:t>
      </w:r>
      <w:r w:rsidRPr="00C03494">
        <w:rPr>
          <w:rFonts w:cs="Arial" w:hint="cs"/>
          <w:sz w:val="18"/>
          <w:szCs w:val="18"/>
          <w:rtl/>
        </w:rPr>
        <w:t>זה</w:t>
      </w:r>
      <w:r w:rsidRPr="00C03494">
        <w:rPr>
          <w:rFonts w:cs="Arial"/>
          <w:sz w:val="18"/>
          <w:szCs w:val="18"/>
          <w:rtl/>
        </w:rPr>
        <w:t xml:space="preserve">, </w:t>
      </w:r>
      <w:r w:rsidRPr="00C03494">
        <w:rPr>
          <w:rFonts w:cs="Arial" w:hint="cs"/>
          <w:sz w:val="18"/>
          <w:szCs w:val="18"/>
          <w:rtl/>
        </w:rPr>
        <w:t>והעיקר</w:t>
      </w:r>
      <w:r w:rsidRPr="00C03494">
        <w:rPr>
          <w:rFonts w:cs="Arial"/>
          <w:sz w:val="18"/>
          <w:szCs w:val="18"/>
          <w:rtl/>
        </w:rPr>
        <w:t xml:space="preserve"> </w:t>
      </w:r>
      <w:r w:rsidRPr="00C03494">
        <w:rPr>
          <w:rFonts w:cs="Arial" w:hint="cs"/>
          <w:sz w:val="18"/>
          <w:szCs w:val="18"/>
          <w:rtl/>
        </w:rPr>
        <w:t>כאשר</w:t>
      </w:r>
      <w:r w:rsidRPr="00C03494">
        <w:rPr>
          <w:rFonts w:cs="Arial"/>
          <w:sz w:val="18"/>
          <w:szCs w:val="18"/>
          <w:rtl/>
        </w:rPr>
        <w:t xml:space="preserve"> </w:t>
      </w:r>
      <w:r w:rsidRPr="00C03494">
        <w:rPr>
          <w:rFonts w:cs="Arial" w:hint="cs"/>
          <w:sz w:val="18"/>
          <w:szCs w:val="18"/>
          <w:rtl/>
        </w:rPr>
        <w:t>כתבתי</w:t>
      </w:r>
      <w:r w:rsidRPr="00C03494">
        <w:rPr>
          <w:rFonts w:cs="Arial"/>
          <w:sz w:val="18"/>
          <w:szCs w:val="18"/>
          <w:rtl/>
        </w:rPr>
        <w:t xml:space="preserve"> </w:t>
      </w:r>
      <w:r w:rsidRPr="00C03494">
        <w:rPr>
          <w:rFonts w:cs="Arial" w:hint="cs"/>
          <w:sz w:val="18"/>
          <w:szCs w:val="18"/>
          <w:rtl/>
        </w:rPr>
        <w:t>כן</w:t>
      </w:r>
      <w:r w:rsidRPr="00C03494">
        <w:rPr>
          <w:rFonts w:cs="Arial"/>
          <w:sz w:val="18"/>
          <w:szCs w:val="18"/>
          <w:rtl/>
        </w:rPr>
        <w:t xml:space="preserve"> </w:t>
      </w:r>
      <w:r w:rsidRPr="00C03494">
        <w:rPr>
          <w:rFonts w:cs="Arial" w:hint="cs"/>
          <w:sz w:val="18"/>
          <w:szCs w:val="18"/>
          <w:rtl/>
        </w:rPr>
        <w:t>נראה</w:t>
      </w:r>
      <w:r w:rsidRPr="00C03494">
        <w:rPr>
          <w:rFonts w:cs="Arial"/>
          <w:sz w:val="18"/>
          <w:szCs w:val="18"/>
          <w:rtl/>
        </w:rPr>
        <w:t xml:space="preserve"> </w:t>
      </w:r>
      <w:r w:rsidRPr="00C03494">
        <w:rPr>
          <w:rFonts w:cs="Arial" w:hint="cs"/>
          <w:sz w:val="18"/>
          <w:szCs w:val="18"/>
          <w:rtl/>
        </w:rPr>
        <w:t>לי</w:t>
      </w:r>
      <w:r w:rsidRPr="00C03494">
        <w:rPr>
          <w:rFonts w:cs="Arial"/>
          <w:sz w:val="18"/>
          <w:szCs w:val="18"/>
          <w:rtl/>
        </w:rPr>
        <w:t xml:space="preserve"> </w:t>
      </w:r>
      <w:r w:rsidRPr="00C03494">
        <w:rPr>
          <w:rFonts w:cs="Arial" w:hint="cs"/>
          <w:sz w:val="18"/>
          <w:szCs w:val="18"/>
          <w:rtl/>
        </w:rPr>
        <w:t>להורות</w:t>
      </w:r>
      <w:r w:rsidRPr="00C03494">
        <w:rPr>
          <w:rFonts w:cs="Arial"/>
          <w:sz w:val="18"/>
          <w:szCs w:val="18"/>
          <w:rtl/>
        </w:rPr>
        <w:t xml:space="preserve">. </w:t>
      </w:r>
      <w:r w:rsidRPr="00C03494">
        <w:rPr>
          <w:rFonts w:cs="Arial" w:hint="cs"/>
          <w:sz w:val="18"/>
          <w:szCs w:val="18"/>
          <w:rtl/>
        </w:rPr>
        <w:t>אמנם</w:t>
      </w:r>
      <w:r w:rsidRPr="00C03494">
        <w:rPr>
          <w:rFonts w:cs="Arial"/>
          <w:sz w:val="18"/>
          <w:szCs w:val="18"/>
          <w:rtl/>
        </w:rPr>
        <w:t xml:space="preserve"> </w:t>
      </w:r>
      <w:r w:rsidRPr="00C03494">
        <w:rPr>
          <w:rFonts w:cs="Arial" w:hint="cs"/>
          <w:sz w:val="18"/>
          <w:szCs w:val="18"/>
          <w:rtl/>
        </w:rPr>
        <w:t>אם</w:t>
      </w:r>
      <w:r w:rsidRPr="00C03494">
        <w:rPr>
          <w:rFonts w:cs="Arial"/>
          <w:sz w:val="18"/>
          <w:szCs w:val="18"/>
          <w:rtl/>
        </w:rPr>
        <w:t xml:space="preserve"> </w:t>
      </w:r>
      <w:r w:rsidRPr="00C03494">
        <w:rPr>
          <w:rFonts w:cs="Arial" w:hint="cs"/>
          <w:sz w:val="18"/>
          <w:szCs w:val="18"/>
          <w:rtl/>
        </w:rPr>
        <w:t>אין</w:t>
      </w:r>
      <w:r w:rsidRPr="00C03494">
        <w:rPr>
          <w:rFonts w:cs="Arial"/>
          <w:sz w:val="18"/>
          <w:szCs w:val="18"/>
          <w:rtl/>
        </w:rPr>
        <w:t xml:space="preserve"> </w:t>
      </w:r>
      <w:r w:rsidRPr="00C03494">
        <w:rPr>
          <w:rFonts w:cs="Arial" w:hint="cs"/>
          <w:sz w:val="18"/>
          <w:szCs w:val="18"/>
          <w:rtl/>
        </w:rPr>
        <w:t>ידוע</w:t>
      </w:r>
      <w:r w:rsidRPr="00C03494">
        <w:rPr>
          <w:rFonts w:cs="Arial"/>
          <w:sz w:val="18"/>
          <w:szCs w:val="18"/>
          <w:rtl/>
        </w:rPr>
        <w:t xml:space="preserve"> </w:t>
      </w:r>
      <w:r w:rsidRPr="00C03494">
        <w:rPr>
          <w:rFonts w:cs="Arial" w:hint="cs"/>
          <w:sz w:val="18"/>
          <w:szCs w:val="18"/>
          <w:rtl/>
        </w:rPr>
        <w:t>לשון</w:t>
      </w:r>
      <w:r w:rsidRPr="00C03494">
        <w:rPr>
          <w:rFonts w:cs="Arial"/>
          <w:sz w:val="18"/>
          <w:szCs w:val="18"/>
          <w:rtl/>
        </w:rPr>
        <w:t xml:space="preserve"> </w:t>
      </w:r>
      <w:r w:rsidRPr="00C03494">
        <w:rPr>
          <w:rFonts w:cs="Arial" w:hint="cs"/>
          <w:sz w:val="18"/>
          <w:szCs w:val="18"/>
          <w:rtl/>
        </w:rPr>
        <w:t>המדינות</w:t>
      </w:r>
      <w:r w:rsidRPr="00C03494">
        <w:rPr>
          <w:rFonts w:cs="Arial"/>
          <w:sz w:val="18"/>
          <w:szCs w:val="18"/>
          <w:rtl/>
        </w:rPr>
        <w:t xml:space="preserve">, </w:t>
      </w:r>
      <w:r w:rsidRPr="00C03494">
        <w:rPr>
          <w:rFonts w:cs="Arial" w:hint="cs"/>
          <w:sz w:val="18"/>
          <w:szCs w:val="18"/>
          <w:rtl/>
        </w:rPr>
        <w:t>אין</w:t>
      </w:r>
      <w:r w:rsidRPr="00C03494">
        <w:rPr>
          <w:rFonts w:cs="Arial"/>
          <w:sz w:val="18"/>
          <w:szCs w:val="18"/>
          <w:rtl/>
        </w:rPr>
        <w:t xml:space="preserve"> </w:t>
      </w:r>
      <w:r w:rsidRPr="00C03494">
        <w:rPr>
          <w:rFonts w:cs="Arial" w:hint="cs"/>
          <w:sz w:val="18"/>
          <w:szCs w:val="18"/>
          <w:rtl/>
        </w:rPr>
        <w:t>לשנות</w:t>
      </w:r>
      <w:r w:rsidRPr="00C03494">
        <w:rPr>
          <w:rFonts w:cs="Arial"/>
          <w:sz w:val="18"/>
          <w:szCs w:val="18"/>
          <w:rtl/>
        </w:rPr>
        <w:t xml:space="preserve"> </w:t>
      </w:r>
      <w:r w:rsidRPr="00C03494">
        <w:rPr>
          <w:rFonts w:cs="Arial" w:hint="cs"/>
          <w:sz w:val="18"/>
          <w:szCs w:val="18"/>
          <w:rtl/>
        </w:rPr>
        <w:t>ממה</w:t>
      </w:r>
      <w:r w:rsidRPr="00C03494">
        <w:rPr>
          <w:rFonts w:cs="Arial"/>
          <w:sz w:val="18"/>
          <w:szCs w:val="18"/>
          <w:rtl/>
        </w:rPr>
        <w:t xml:space="preserve"> </w:t>
      </w:r>
      <w:r w:rsidRPr="00C03494">
        <w:rPr>
          <w:rFonts w:cs="Arial" w:hint="cs"/>
          <w:sz w:val="18"/>
          <w:szCs w:val="18"/>
          <w:rtl/>
        </w:rPr>
        <w:t>שנמצא</w:t>
      </w:r>
      <w:r w:rsidRPr="00C03494">
        <w:rPr>
          <w:rFonts w:cs="Arial"/>
          <w:sz w:val="18"/>
          <w:szCs w:val="18"/>
          <w:rtl/>
        </w:rPr>
        <w:t xml:space="preserve"> </w:t>
      </w:r>
      <w:r w:rsidRPr="00C03494">
        <w:rPr>
          <w:rFonts w:cs="Arial" w:hint="cs"/>
          <w:sz w:val="18"/>
          <w:szCs w:val="18"/>
          <w:rtl/>
        </w:rPr>
        <w:t>בדברי</w:t>
      </w:r>
      <w:r w:rsidRPr="00C03494">
        <w:rPr>
          <w:rFonts w:cs="Arial"/>
          <w:sz w:val="18"/>
          <w:szCs w:val="18"/>
          <w:rtl/>
        </w:rPr>
        <w:t xml:space="preserve"> </w:t>
      </w:r>
      <w:r w:rsidRPr="00C03494">
        <w:rPr>
          <w:rFonts w:cs="Arial" w:hint="cs"/>
          <w:sz w:val="18"/>
          <w:szCs w:val="18"/>
          <w:rtl/>
        </w:rPr>
        <w:t>הקדמונים</w:t>
      </w:r>
      <w:r w:rsidRPr="00C03494">
        <w:rPr>
          <w:rFonts w:cs="Arial"/>
          <w:sz w:val="18"/>
          <w:szCs w:val="18"/>
          <w:rtl/>
        </w:rPr>
        <w:t xml:space="preserve">, </w:t>
      </w:r>
      <w:r w:rsidRPr="00C03494">
        <w:rPr>
          <w:rFonts w:cs="Arial" w:hint="cs"/>
          <w:sz w:val="18"/>
          <w:szCs w:val="18"/>
          <w:rtl/>
        </w:rPr>
        <w:t>ומכל</w:t>
      </w:r>
      <w:r w:rsidRPr="00C03494">
        <w:rPr>
          <w:rFonts w:cs="Arial"/>
          <w:sz w:val="18"/>
          <w:szCs w:val="18"/>
          <w:rtl/>
        </w:rPr>
        <w:t xml:space="preserve"> </w:t>
      </w:r>
      <w:r w:rsidRPr="00C03494">
        <w:rPr>
          <w:rFonts w:cs="Arial" w:hint="cs"/>
          <w:sz w:val="18"/>
          <w:szCs w:val="18"/>
          <w:rtl/>
        </w:rPr>
        <w:t>מקום</w:t>
      </w:r>
      <w:r w:rsidRPr="00C03494">
        <w:rPr>
          <w:rFonts w:cs="Arial"/>
          <w:sz w:val="18"/>
          <w:szCs w:val="18"/>
          <w:rtl/>
        </w:rPr>
        <w:t xml:space="preserve"> </w:t>
      </w:r>
      <w:r w:rsidRPr="00C03494">
        <w:rPr>
          <w:rFonts w:cs="Arial" w:hint="cs"/>
          <w:sz w:val="18"/>
          <w:szCs w:val="18"/>
          <w:rtl/>
        </w:rPr>
        <w:t>בדיעבד</w:t>
      </w:r>
      <w:r w:rsidRPr="00C03494">
        <w:rPr>
          <w:rFonts w:cs="Arial"/>
          <w:sz w:val="18"/>
          <w:szCs w:val="18"/>
          <w:rtl/>
        </w:rPr>
        <w:t xml:space="preserve"> </w:t>
      </w:r>
      <w:r w:rsidRPr="00C03494">
        <w:rPr>
          <w:rFonts w:cs="Arial" w:hint="cs"/>
          <w:sz w:val="18"/>
          <w:szCs w:val="18"/>
          <w:rtl/>
        </w:rPr>
        <w:t>אם</w:t>
      </w:r>
      <w:r w:rsidRPr="00C03494">
        <w:rPr>
          <w:rFonts w:cs="Arial"/>
          <w:sz w:val="18"/>
          <w:szCs w:val="18"/>
          <w:rtl/>
        </w:rPr>
        <w:t xml:space="preserve"> </w:t>
      </w:r>
      <w:r w:rsidRPr="00C03494">
        <w:rPr>
          <w:rFonts w:cs="Arial" w:hint="cs"/>
          <w:sz w:val="18"/>
          <w:szCs w:val="18"/>
          <w:rtl/>
        </w:rPr>
        <w:t>שינה</w:t>
      </w:r>
      <w:r w:rsidRPr="00C03494">
        <w:rPr>
          <w:rFonts w:cs="Arial"/>
          <w:sz w:val="18"/>
          <w:szCs w:val="18"/>
          <w:rtl/>
        </w:rPr>
        <w:t xml:space="preserve"> </w:t>
      </w:r>
      <w:r w:rsidRPr="00C03494">
        <w:rPr>
          <w:rFonts w:cs="Arial" w:hint="cs"/>
          <w:sz w:val="18"/>
          <w:szCs w:val="18"/>
          <w:rtl/>
        </w:rPr>
        <w:t>באחד</w:t>
      </w:r>
      <w:r w:rsidRPr="00C03494">
        <w:rPr>
          <w:rFonts w:cs="Arial"/>
          <w:sz w:val="18"/>
          <w:szCs w:val="18"/>
          <w:rtl/>
        </w:rPr>
        <w:t xml:space="preserve"> </w:t>
      </w:r>
      <w:r w:rsidRPr="00C03494">
        <w:rPr>
          <w:rFonts w:cs="Arial" w:hint="cs"/>
          <w:sz w:val="18"/>
          <w:szCs w:val="18"/>
          <w:rtl/>
        </w:rPr>
        <w:t>מאלו</w:t>
      </w:r>
      <w:r w:rsidRPr="00C03494">
        <w:rPr>
          <w:rFonts w:cs="Arial"/>
          <w:sz w:val="18"/>
          <w:szCs w:val="18"/>
          <w:rtl/>
        </w:rPr>
        <w:t xml:space="preserve"> </w:t>
      </w:r>
      <w:r w:rsidRPr="00C03494">
        <w:rPr>
          <w:rFonts w:cs="Arial" w:hint="cs"/>
          <w:sz w:val="18"/>
          <w:szCs w:val="18"/>
          <w:rtl/>
        </w:rPr>
        <w:t>הדברים</w:t>
      </w:r>
      <w:r w:rsidRPr="00C03494">
        <w:rPr>
          <w:rFonts w:cs="Arial"/>
          <w:sz w:val="18"/>
          <w:szCs w:val="18"/>
          <w:rtl/>
        </w:rPr>
        <w:t xml:space="preserve">, </w:t>
      </w:r>
      <w:r w:rsidRPr="00C03494">
        <w:rPr>
          <w:rFonts w:cs="Arial" w:hint="cs"/>
          <w:sz w:val="18"/>
          <w:szCs w:val="18"/>
          <w:rtl/>
        </w:rPr>
        <w:t>כשר</w:t>
      </w:r>
      <w:r w:rsidRPr="00C03494">
        <w:rPr>
          <w:rFonts w:cs="Arial"/>
          <w:sz w:val="18"/>
          <w:szCs w:val="18"/>
          <w:rtl/>
        </w:rPr>
        <w:t xml:space="preserve">, </w:t>
      </w:r>
      <w:r w:rsidRPr="00C03494">
        <w:rPr>
          <w:rFonts w:cs="Arial" w:hint="cs"/>
          <w:sz w:val="18"/>
          <w:szCs w:val="18"/>
          <w:rtl/>
        </w:rPr>
        <w:t>כן</w:t>
      </w:r>
      <w:r w:rsidRPr="00C03494">
        <w:rPr>
          <w:rFonts w:cs="Arial"/>
          <w:sz w:val="18"/>
          <w:szCs w:val="18"/>
          <w:rtl/>
        </w:rPr>
        <w:t xml:space="preserve"> </w:t>
      </w:r>
      <w:r w:rsidRPr="00C03494">
        <w:rPr>
          <w:rFonts w:cs="Arial" w:hint="cs"/>
          <w:sz w:val="18"/>
          <w:szCs w:val="18"/>
          <w:rtl/>
        </w:rPr>
        <w:t>נ</w:t>
      </w:r>
      <w:r w:rsidRPr="00C03494">
        <w:rPr>
          <w:rFonts w:cs="Arial"/>
          <w:sz w:val="18"/>
          <w:szCs w:val="18"/>
          <w:rtl/>
        </w:rPr>
        <w:t>"</w:t>
      </w:r>
      <w:r w:rsidRPr="00C03494">
        <w:rPr>
          <w:rFonts w:cs="Arial" w:hint="cs"/>
          <w:sz w:val="18"/>
          <w:szCs w:val="18"/>
          <w:rtl/>
        </w:rPr>
        <w:t>ל</w:t>
      </w:r>
      <w:r w:rsidRPr="00C03494">
        <w:rPr>
          <w:rFonts w:cs="Arial"/>
          <w:sz w:val="18"/>
          <w:szCs w:val="18"/>
          <w:rtl/>
        </w:rPr>
        <w:t>.</w:t>
      </w:r>
    </w:p>
    <w:p w14:paraId="57E91D68" w14:textId="77777777" w:rsidR="00FA2119" w:rsidRPr="00C03494" w:rsidRDefault="00FA2119" w:rsidP="00FA2119">
      <w:pPr>
        <w:rPr>
          <w:rFonts w:cs="Arial"/>
          <w:rtl/>
        </w:rPr>
      </w:pPr>
    </w:p>
    <w:p w14:paraId="251A0D9A" w14:textId="77777777" w:rsidR="00FA2119" w:rsidRPr="00C03494" w:rsidRDefault="00FA2119" w:rsidP="00FA2119">
      <w:pPr>
        <w:rPr>
          <w:rtl/>
        </w:rPr>
        <w:sectPr w:rsidR="00FA2119" w:rsidRPr="00C03494" w:rsidSect="00A347B3">
          <w:headerReference w:type="default" r:id="rId22"/>
          <w:footnotePr>
            <w:numRestart w:val="eachSect"/>
          </w:footnotePr>
          <w:pgSz w:w="11906" w:h="16838"/>
          <w:pgMar w:top="720" w:right="1134" w:bottom="720" w:left="1134" w:header="0" w:footer="0" w:gutter="0"/>
          <w:cols w:space="720"/>
          <w:bidi/>
          <w:rtlGutter/>
          <w:docGrid w:linePitch="360"/>
        </w:sectPr>
      </w:pPr>
    </w:p>
    <w:p w14:paraId="73889938" w14:textId="77777777" w:rsidR="00FA2119" w:rsidRDefault="00FA2119" w:rsidP="00FA2119">
      <w:pPr>
        <w:pStyle w:val="1"/>
        <w:rPr>
          <w:rtl/>
        </w:rPr>
      </w:pPr>
      <w:r>
        <w:rPr>
          <w:rFonts w:hint="cs"/>
          <w:rtl/>
        </w:rPr>
        <w:lastRenderedPageBreak/>
        <w:t>סימן קל:</w:t>
      </w:r>
      <w:r w:rsidRPr="00C12B74">
        <w:rPr>
          <w:rtl/>
        </w:rPr>
        <w:t xml:space="preserve"> </w:t>
      </w:r>
      <w:r>
        <w:rPr>
          <w:rFonts w:cs="Arial" w:hint="cs"/>
          <w:rtl/>
        </w:rPr>
        <w:t>דיני</w:t>
      </w:r>
      <w:r>
        <w:rPr>
          <w:rFonts w:cs="Arial"/>
          <w:rtl/>
        </w:rPr>
        <w:t xml:space="preserve"> </w:t>
      </w:r>
      <w:r>
        <w:rPr>
          <w:rFonts w:cs="Arial" w:hint="cs"/>
          <w:rtl/>
        </w:rPr>
        <w:t>עדי</w:t>
      </w:r>
      <w:r>
        <w:rPr>
          <w:rFonts w:cs="Arial"/>
          <w:rtl/>
        </w:rPr>
        <w:t xml:space="preserve"> </w:t>
      </w:r>
      <w:r>
        <w:rPr>
          <w:rFonts w:cs="Arial" w:hint="cs"/>
          <w:rtl/>
        </w:rPr>
        <w:t>הגט</w:t>
      </w:r>
      <w:r>
        <w:rPr>
          <w:rFonts w:cs="Arial"/>
          <w:rtl/>
        </w:rPr>
        <w:t xml:space="preserve"> </w:t>
      </w:r>
      <w:r>
        <w:rPr>
          <w:rFonts w:cs="Arial" w:hint="cs"/>
          <w:rtl/>
        </w:rPr>
        <w:t>וחתימתו</w:t>
      </w:r>
      <w:r>
        <w:rPr>
          <w:rFonts w:cs="Arial"/>
          <w:rtl/>
        </w:rPr>
        <w:t xml:space="preserve"> </w:t>
      </w:r>
      <w:r>
        <w:rPr>
          <w:rFonts w:cs="Arial" w:hint="cs"/>
          <w:rtl/>
        </w:rPr>
        <w:t>ואם</w:t>
      </w:r>
      <w:r>
        <w:rPr>
          <w:rFonts w:cs="Arial"/>
          <w:rtl/>
        </w:rPr>
        <w:t xml:space="preserve"> </w:t>
      </w:r>
      <w:r>
        <w:rPr>
          <w:rFonts w:cs="Arial" w:hint="cs"/>
          <w:rtl/>
        </w:rPr>
        <w:t>אינם</w:t>
      </w:r>
      <w:r>
        <w:rPr>
          <w:rFonts w:cs="Arial"/>
          <w:rtl/>
        </w:rPr>
        <w:t xml:space="preserve"> </w:t>
      </w:r>
      <w:r>
        <w:rPr>
          <w:rFonts w:cs="Arial" w:hint="cs"/>
          <w:rtl/>
        </w:rPr>
        <w:t>יודעים</w:t>
      </w:r>
      <w:r>
        <w:rPr>
          <w:rFonts w:cs="Arial"/>
          <w:rtl/>
        </w:rPr>
        <w:t xml:space="preserve"> </w:t>
      </w:r>
      <w:r>
        <w:rPr>
          <w:rFonts w:cs="Arial" w:hint="cs"/>
          <w:rtl/>
        </w:rPr>
        <w:t>לקרות</w:t>
      </w:r>
      <w:r>
        <w:rPr>
          <w:rFonts w:cs="Arial"/>
          <w:rtl/>
        </w:rPr>
        <w:t xml:space="preserve"> </w:t>
      </w:r>
      <w:r>
        <w:rPr>
          <w:rFonts w:cs="Arial" w:hint="cs"/>
          <w:rtl/>
        </w:rPr>
        <w:t>או</w:t>
      </w:r>
      <w:r>
        <w:rPr>
          <w:rFonts w:cs="Arial"/>
          <w:rtl/>
        </w:rPr>
        <w:t xml:space="preserve"> </w:t>
      </w:r>
      <w:r>
        <w:rPr>
          <w:rFonts w:cs="Arial" w:hint="cs"/>
          <w:rtl/>
        </w:rPr>
        <w:t>לחתום</w:t>
      </w:r>
      <w:r>
        <w:rPr>
          <w:rFonts w:cs="Arial"/>
          <w:rtl/>
        </w:rPr>
        <w:t xml:space="preserve">, </w:t>
      </w:r>
      <w:r>
        <w:rPr>
          <w:rFonts w:cs="Arial" w:hint="cs"/>
          <w:rtl/>
        </w:rPr>
        <w:t>ובו</w:t>
      </w:r>
      <w:r>
        <w:rPr>
          <w:rFonts w:cs="Arial"/>
          <w:rtl/>
        </w:rPr>
        <w:t xml:space="preserve"> </w:t>
      </w:r>
      <w:r>
        <w:rPr>
          <w:rFonts w:cs="Arial" w:hint="cs"/>
          <w:rtl/>
        </w:rPr>
        <w:t>כ</w:t>
      </w:r>
      <w:r>
        <w:rPr>
          <w:rFonts w:cs="Arial"/>
          <w:rtl/>
        </w:rPr>
        <w:t>"</w:t>
      </w:r>
      <w:r>
        <w:rPr>
          <w:rFonts w:cs="Arial" w:hint="cs"/>
          <w:rtl/>
        </w:rPr>
        <w:t>ב</w:t>
      </w:r>
      <w:r>
        <w:rPr>
          <w:rFonts w:cs="Arial"/>
          <w:rtl/>
        </w:rPr>
        <w:t xml:space="preserve"> </w:t>
      </w:r>
      <w:r>
        <w:rPr>
          <w:rFonts w:cs="Arial" w:hint="cs"/>
          <w:rtl/>
        </w:rPr>
        <w:t>סעיפים</w:t>
      </w:r>
      <w:r>
        <w:rPr>
          <w:rFonts w:cs="Arial"/>
          <w:rtl/>
        </w:rPr>
        <w:t xml:space="preserve">. </w:t>
      </w:r>
    </w:p>
    <w:p w14:paraId="5A6AF619" w14:textId="77777777" w:rsidR="00FA2119" w:rsidRDefault="00FA2119" w:rsidP="00FA2119">
      <w:pPr>
        <w:pStyle w:val="2"/>
        <w:rPr>
          <w:rtl/>
        </w:rPr>
      </w:pPr>
      <w:r>
        <w:rPr>
          <w:rFonts w:hint="cs"/>
          <w:rtl/>
        </w:rPr>
        <w:t>סעיף</w:t>
      </w:r>
      <w:r>
        <w:rPr>
          <w:rtl/>
        </w:rPr>
        <w:t xml:space="preserve"> </w:t>
      </w:r>
      <w:r>
        <w:rPr>
          <w:rFonts w:hint="cs"/>
          <w:rtl/>
        </w:rPr>
        <w:t>א: חתימת העדים בגט.</w:t>
      </w:r>
    </w:p>
    <w:p w14:paraId="5470078E" w14:textId="4FFD5B8C" w:rsidR="00FA2119" w:rsidRDefault="00FA2119" w:rsidP="00FA2119">
      <w:pPr>
        <w:rPr>
          <w:rtl/>
        </w:rPr>
      </w:pPr>
      <w:r>
        <w:rPr>
          <w:rFonts w:cs="Arial" w:hint="cs"/>
          <w:b/>
          <w:bCs/>
          <w:rtl/>
        </w:rPr>
        <w:t>גיטין</w:t>
      </w:r>
      <w:r>
        <w:rPr>
          <w:rFonts w:cs="Arial"/>
          <w:b/>
          <w:bCs/>
          <w:rtl/>
        </w:rPr>
        <w:t xml:space="preserve"> </w:t>
      </w:r>
      <w:r>
        <w:rPr>
          <w:rFonts w:cs="Arial"/>
          <w:b/>
          <w:bCs/>
          <w:szCs w:val="16"/>
          <w:rtl/>
        </w:rPr>
        <w:t xml:space="preserve">(פ' </w:t>
      </w:r>
      <w:r>
        <w:rPr>
          <w:rFonts w:cs="Arial" w:hint="cs"/>
          <w:b/>
          <w:bCs/>
          <w:szCs w:val="16"/>
          <w:rtl/>
        </w:rPr>
        <w:t>המגרש</w:t>
      </w:r>
      <w:r>
        <w:rPr>
          <w:rFonts w:cs="Arial"/>
          <w:b/>
          <w:bCs/>
          <w:szCs w:val="16"/>
          <w:rtl/>
        </w:rPr>
        <w:t xml:space="preserve">) </w:t>
      </w:r>
      <w:r>
        <w:rPr>
          <w:rFonts w:cs="Arial" w:hint="cs"/>
          <w:b/>
          <w:bCs/>
          <w:rtl/>
        </w:rPr>
        <w:t>פו</w:t>
      </w:r>
      <w:r>
        <w:rPr>
          <w:rFonts w:cs="Arial"/>
          <w:b/>
          <w:bCs/>
          <w:rtl/>
        </w:rPr>
        <w:t xml:space="preserve"> ע"א:</w:t>
      </w:r>
      <w:r>
        <w:rPr>
          <w:rFonts w:cs="Arial" w:hint="cs"/>
          <w:b/>
          <w:bCs/>
          <w:rtl/>
        </w:rPr>
        <w:t xml:space="preserve"> </w:t>
      </w:r>
      <w:r w:rsidRPr="006720C4">
        <w:rPr>
          <w:rFonts w:cs="Arial"/>
          <w:u w:val="double"/>
          <w:rtl/>
        </w:rPr>
        <w:t>מתני'</w:t>
      </w:r>
      <w:r>
        <w:rPr>
          <w:rFonts w:cs="Arial" w:hint="cs"/>
          <w:rtl/>
        </w:rPr>
        <w:t>:</w:t>
      </w:r>
      <w:r w:rsidRPr="006720C4">
        <w:rPr>
          <w:rFonts w:cs="Arial"/>
          <w:rtl/>
        </w:rPr>
        <w:t xml:space="preserve"> שלשה גיטין פסולין, ואם נשאת </w:t>
      </w:r>
      <w:r w:rsidR="00A82951">
        <w:rPr>
          <w:rFonts w:cs="Arial"/>
          <w:rtl/>
        </w:rPr>
        <w:t>-</w:t>
      </w:r>
      <w:r w:rsidRPr="006720C4">
        <w:rPr>
          <w:rFonts w:cs="Arial"/>
          <w:rtl/>
        </w:rPr>
        <w:t xml:space="preserve"> הוולד כשר: כתב בכתב ידו ואין עליו עדים, יש עליו עדים ואין בו זמן, יש בו זמן ואין בו אלא עד אחד, הרי אלו שלשה גיטין פסולין, ואם נשאת </w:t>
      </w:r>
      <w:r w:rsidR="00A82951">
        <w:rPr>
          <w:rFonts w:cs="Arial"/>
          <w:rtl/>
        </w:rPr>
        <w:t>-</w:t>
      </w:r>
      <w:r w:rsidRPr="006720C4">
        <w:rPr>
          <w:rFonts w:cs="Arial"/>
          <w:rtl/>
        </w:rPr>
        <w:t xml:space="preserve"> הולד כשר.</w:t>
      </w:r>
    </w:p>
    <w:p w14:paraId="68DEB0B2" w14:textId="528FF9E9" w:rsidR="00FA2119" w:rsidRDefault="00FA2119" w:rsidP="00FA2119">
      <w:pPr>
        <w:rPr>
          <w:rtl/>
        </w:rPr>
      </w:pPr>
      <w:r>
        <w:rPr>
          <w:rFonts w:cs="Arial" w:hint="cs"/>
          <w:b/>
          <w:bCs/>
          <w:rtl/>
        </w:rPr>
        <w:t>גיטין</w:t>
      </w:r>
      <w:r>
        <w:rPr>
          <w:rFonts w:cs="Arial"/>
          <w:b/>
          <w:bCs/>
          <w:rtl/>
        </w:rPr>
        <w:t xml:space="preserve"> </w:t>
      </w:r>
      <w:r>
        <w:rPr>
          <w:rFonts w:cs="Arial"/>
          <w:b/>
          <w:bCs/>
          <w:szCs w:val="16"/>
          <w:rtl/>
        </w:rPr>
        <w:t xml:space="preserve">(פ' </w:t>
      </w:r>
      <w:r>
        <w:rPr>
          <w:rFonts w:cs="Arial" w:hint="cs"/>
          <w:b/>
          <w:bCs/>
          <w:szCs w:val="16"/>
          <w:rtl/>
        </w:rPr>
        <w:t>המגרש</w:t>
      </w:r>
      <w:r>
        <w:rPr>
          <w:rFonts w:cs="Arial"/>
          <w:b/>
          <w:bCs/>
          <w:szCs w:val="16"/>
          <w:rtl/>
        </w:rPr>
        <w:t xml:space="preserve">) </w:t>
      </w:r>
      <w:r>
        <w:rPr>
          <w:rFonts w:cs="Arial" w:hint="cs"/>
          <w:b/>
          <w:bCs/>
          <w:rtl/>
        </w:rPr>
        <w:t>פז</w:t>
      </w:r>
      <w:r>
        <w:rPr>
          <w:rFonts w:cs="Arial"/>
          <w:b/>
          <w:bCs/>
          <w:rtl/>
        </w:rPr>
        <w:t xml:space="preserve"> ע"</w:t>
      </w:r>
      <w:r>
        <w:rPr>
          <w:rFonts w:cs="Arial" w:hint="cs"/>
          <w:b/>
          <w:bCs/>
          <w:rtl/>
        </w:rPr>
        <w:t>ב</w:t>
      </w:r>
      <w:r>
        <w:rPr>
          <w:rFonts w:cs="Arial"/>
          <w:b/>
          <w:bCs/>
          <w:rtl/>
        </w:rPr>
        <w:t>:</w:t>
      </w:r>
      <w:r>
        <w:rPr>
          <w:rFonts w:cs="Arial" w:hint="cs"/>
          <w:b/>
          <w:bCs/>
          <w:rtl/>
        </w:rPr>
        <w:t xml:space="preserve"> </w:t>
      </w:r>
      <w:r w:rsidRPr="006720C4">
        <w:rPr>
          <w:rFonts w:cs="Arial"/>
          <w:u w:val="double"/>
          <w:rtl/>
        </w:rPr>
        <w:t>מתני'</w:t>
      </w:r>
      <w:r>
        <w:rPr>
          <w:rFonts w:cs="Arial" w:hint="cs"/>
          <w:rtl/>
        </w:rPr>
        <w:t xml:space="preserve">: </w:t>
      </w:r>
      <w:r w:rsidRPr="00AE24AE">
        <w:rPr>
          <w:rFonts w:cs="Arial"/>
          <w:rtl/>
        </w:rPr>
        <w:t xml:space="preserve">שייר מקצת הגט וכתבו בדף השני, והעדים מלמטה </w:t>
      </w:r>
      <w:r w:rsidR="00A82951">
        <w:rPr>
          <w:rFonts w:cs="Arial"/>
          <w:rtl/>
        </w:rPr>
        <w:t>-</w:t>
      </w:r>
      <w:r w:rsidRPr="00AE24AE">
        <w:rPr>
          <w:rFonts w:cs="Arial"/>
          <w:rtl/>
        </w:rPr>
        <w:t xml:space="preserve"> כשר. חתמו עדים בראש הדף, מן הצד, או מאחריו בגט פשוט </w:t>
      </w:r>
      <w:r w:rsidR="00A82951">
        <w:rPr>
          <w:rFonts w:cs="Arial"/>
          <w:rtl/>
        </w:rPr>
        <w:t>-</w:t>
      </w:r>
      <w:r w:rsidRPr="00AE24AE">
        <w:rPr>
          <w:rFonts w:cs="Arial"/>
          <w:rtl/>
        </w:rPr>
        <w:t xml:space="preserve"> פסול.</w:t>
      </w:r>
    </w:p>
    <w:p w14:paraId="422D7BE6" w14:textId="79B5C197" w:rsidR="00FA2119" w:rsidRPr="000C00CB" w:rsidRDefault="00FA2119" w:rsidP="00FA2119">
      <w:pPr>
        <w:rPr>
          <w:u w:val="single"/>
          <w:rtl/>
        </w:rPr>
      </w:pPr>
      <w:r w:rsidRPr="000C00CB">
        <w:rPr>
          <w:rFonts w:hint="cs"/>
          <w:u w:val="single"/>
          <w:rtl/>
        </w:rPr>
        <w:t>חתימת העדים בגט</w:t>
      </w:r>
      <w:r>
        <w:rPr>
          <w:rFonts w:hint="cs"/>
          <w:u w:val="single"/>
          <w:rtl/>
        </w:rPr>
        <w:t xml:space="preserve"> </w:t>
      </w:r>
      <w:r w:rsidR="00A82951">
        <w:rPr>
          <w:rFonts w:hint="cs"/>
          <w:u w:val="single"/>
          <w:rtl/>
        </w:rPr>
        <w:t>-</w:t>
      </w:r>
      <w:r w:rsidRPr="000C00CB">
        <w:rPr>
          <w:rFonts w:hint="cs"/>
          <w:u w:val="single"/>
          <w:rtl/>
        </w:rPr>
        <w:t xml:space="preserve"> כיצד:</w:t>
      </w:r>
    </w:p>
    <w:p w14:paraId="65F6FB39" w14:textId="1B7E71CC" w:rsidR="00FA2119" w:rsidRPr="000C00CB" w:rsidRDefault="00FA2119" w:rsidP="00FA2119">
      <w:pPr>
        <w:pStyle w:val="ab"/>
        <w:numPr>
          <w:ilvl w:val="0"/>
          <w:numId w:val="80"/>
        </w:numPr>
      </w:pPr>
      <w:r w:rsidRPr="000C00CB">
        <w:rPr>
          <w:rFonts w:cs="Arial"/>
          <w:rtl/>
        </w:rPr>
        <w:t>רמב"ם</w:t>
      </w:r>
      <w:r>
        <w:rPr>
          <w:rFonts w:cs="Arial" w:hint="cs"/>
          <w:sz w:val="16"/>
          <w:szCs w:val="16"/>
          <w:rtl/>
        </w:rPr>
        <w:t xml:space="preserve"> (פ"א הי"ח)</w:t>
      </w:r>
      <w:r>
        <w:rPr>
          <w:rFonts w:hint="cs"/>
          <w:rtl/>
        </w:rPr>
        <w:t xml:space="preserve"> וטור</w:t>
      </w:r>
      <w:r w:rsidR="00A82951">
        <w:rPr>
          <w:rFonts w:hint="cs"/>
          <w:rtl/>
        </w:rPr>
        <w:t>-</w:t>
      </w:r>
      <w:r>
        <w:rPr>
          <w:rFonts w:hint="cs"/>
          <w:rtl/>
        </w:rPr>
        <w:t xml:space="preserve"> </w:t>
      </w:r>
      <w:r>
        <w:rPr>
          <w:rFonts w:cs="Arial"/>
          <w:rtl/>
        </w:rPr>
        <w:t>צריך שיחתמו שני עדים כשרים</w:t>
      </w:r>
      <w:r>
        <w:rPr>
          <w:rFonts w:cs="Arial" w:hint="cs"/>
          <w:rtl/>
        </w:rPr>
        <w:t>,</w:t>
      </w:r>
      <w:r>
        <w:rPr>
          <w:rFonts w:cs="Arial"/>
          <w:rtl/>
        </w:rPr>
        <w:t xml:space="preserve"> למטה משיטה התחתונה של גט</w:t>
      </w:r>
      <w:r>
        <w:rPr>
          <w:rFonts w:cs="Arial" w:hint="cs"/>
          <w:rtl/>
        </w:rPr>
        <w:t>,</w:t>
      </w:r>
      <w:r>
        <w:rPr>
          <w:rFonts w:cs="Arial"/>
          <w:rtl/>
        </w:rPr>
        <w:t xml:space="preserve"> ולא יניחו כדי אויר שני </w:t>
      </w:r>
      <w:r>
        <w:rPr>
          <w:rFonts w:cs="Arial" w:hint="cs"/>
          <w:rtl/>
        </w:rPr>
        <w:t>ש</w:t>
      </w:r>
      <w:r>
        <w:rPr>
          <w:rFonts w:cs="Arial"/>
          <w:rtl/>
        </w:rPr>
        <w:t>יטין בין חתימתם לשיטה התחתונה</w:t>
      </w:r>
      <w:r>
        <w:rPr>
          <w:rStyle w:val="a7"/>
          <w:rFonts w:cs="Arial"/>
          <w:rtl/>
        </w:rPr>
        <w:footnoteReference w:id="1170"/>
      </w:r>
      <w:r>
        <w:rPr>
          <w:rFonts w:cs="Arial" w:hint="cs"/>
          <w:rtl/>
        </w:rPr>
        <w:t>.</w:t>
      </w:r>
      <w:r>
        <w:rPr>
          <w:rFonts w:cs="Arial"/>
          <w:rtl/>
        </w:rPr>
        <w:t xml:space="preserve"> ואם הניחו אויר שני שיטין</w:t>
      </w:r>
      <w:r>
        <w:rPr>
          <w:rFonts w:cs="Arial" w:hint="cs"/>
          <w:rtl/>
        </w:rPr>
        <w:t xml:space="preserve"> </w:t>
      </w:r>
      <w:r w:rsidR="00A82951">
        <w:rPr>
          <w:rFonts w:cs="Arial" w:hint="cs"/>
          <w:rtl/>
        </w:rPr>
        <w:t>-</w:t>
      </w:r>
      <w:r>
        <w:rPr>
          <w:rFonts w:cs="Arial"/>
          <w:rtl/>
        </w:rPr>
        <w:t xml:space="preserve"> הגט פסול</w:t>
      </w:r>
      <w:r>
        <w:rPr>
          <w:rStyle w:val="a7"/>
          <w:rFonts w:cs="Arial"/>
          <w:rtl/>
        </w:rPr>
        <w:footnoteReference w:id="1171"/>
      </w:r>
      <w:r>
        <w:rPr>
          <w:rFonts w:hint="cs"/>
          <w:sz w:val="16"/>
          <w:szCs w:val="16"/>
          <w:rtl/>
        </w:rPr>
        <w:t xml:space="preserve"> (ל' הטור)</w:t>
      </w:r>
      <w:r>
        <w:rPr>
          <w:rFonts w:hint="cs"/>
          <w:rtl/>
        </w:rPr>
        <w:t xml:space="preserve">. </w:t>
      </w:r>
      <w:r w:rsidRPr="0018162C">
        <w:rPr>
          <w:rFonts w:hint="cs"/>
          <w:color w:val="E36C0A" w:themeColor="accent6" w:themeShade="BF"/>
          <w:rtl/>
        </w:rPr>
        <w:t>(וכ"פ בשו"ע)</w:t>
      </w:r>
    </w:p>
    <w:p w14:paraId="4F109D49" w14:textId="77777777" w:rsidR="00FA2119" w:rsidRPr="000C00CB" w:rsidRDefault="00FA2119" w:rsidP="00FA2119">
      <w:pPr>
        <w:ind w:left="360"/>
        <w:rPr>
          <w:u w:val="dotted"/>
        </w:rPr>
      </w:pPr>
      <w:r w:rsidRPr="000C00CB">
        <w:rPr>
          <w:rFonts w:hint="cs"/>
          <w:u w:val="dotted"/>
          <w:rtl/>
        </w:rPr>
        <w:t>ומה הדין אם הניחו שני שיטין</w:t>
      </w:r>
      <w:r>
        <w:rPr>
          <w:rFonts w:hint="cs"/>
          <w:u w:val="dotted"/>
          <w:rtl/>
        </w:rPr>
        <w:t>,</w:t>
      </w:r>
      <w:r w:rsidRPr="000C00CB">
        <w:rPr>
          <w:rFonts w:hint="cs"/>
          <w:u w:val="dotted"/>
          <w:rtl/>
        </w:rPr>
        <w:t xml:space="preserve"> אבל יש שם עדי מסירה:</w:t>
      </w:r>
    </w:p>
    <w:p w14:paraId="4B6EE2B8" w14:textId="1A9EA579" w:rsidR="00FA2119" w:rsidRPr="000C00CB" w:rsidRDefault="00FA2119" w:rsidP="00FA2119">
      <w:pPr>
        <w:pStyle w:val="ab"/>
        <w:numPr>
          <w:ilvl w:val="0"/>
          <w:numId w:val="80"/>
        </w:numPr>
      </w:pPr>
      <w:r w:rsidRPr="000C00CB">
        <w:rPr>
          <w:rFonts w:cs="Arial"/>
          <w:rtl/>
        </w:rPr>
        <w:t>רמב"ם</w:t>
      </w:r>
      <w:r>
        <w:rPr>
          <w:rFonts w:cs="Arial" w:hint="cs"/>
          <w:sz w:val="16"/>
          <w:szCs w:val="16"/>
          <w:rtl/>
        </w:rPr>
        <w:t xml:space="preserve"> (פ"א הי"ח)</w:t>
      </w:r>
      <w:r w:rsidR="00A82951">
        <w:rPr>
          <w:rFonts w:cs="Arial" w:hint="cs"/>
          <w:rtl/>
        </w:rPr>
        <w:t>-</w:t>
      </w:r>
      <w:r w:rsidRPr="000C00CB">
        <w:rPr>
          <w:rFonts w:cs="Arial"/>
          <w:rtl/>
        </w:rPr>
        <w:t xml:space="preserve"> במה דברים אמורים בשהיה הגט יוצא מתחת ידה ולא היו שם עידי מסירה, אבל אם מסרו לה בעדים אע</w:t>
      </w:r>
      <w:r>
        <w:rPr>
          <w:rFonts w:cs="Arial" w:hint="cs"/>
          <w:rtl/>
        </w:rPr>
        <w:t>"</w:t>
      </w:r>
      <w:r w:rsidRPr="000C00CB">
        <w:rPr>
          <w:rFonts w:cs="Arial"/>
          <w:rtl/>
        </w:rPr>
        <w:t>פ שהן מרוחקין הרבה ואין נקראין עמו ואע</w:t>
      </w:r>
      <w:r>
        <w:rPr>
          <w:rFonts w:cs="Arial" w:hint="cs"/>
          <w:rtl/>
        </w:rPr>
        <w:t>"</w:t>
      </w:r>
      <w:r w:rsidRPr="000C00CB">
        <w:rPr>
          <w:rFonts w:cs="Arial"/>
          <w:rtl/>
        </w:rPr>
        <w:t>פ שאין חתום עליו עד כלל</w:t>
      </w:r>
      <w:r>
        <w:rPr>
          <w:rFonts w:cs="Arial" w:hint="cs"/>
          <w:rtl/>
        </w:rPr>
        <w:t xml:space="preserve"> </w:t>
      </w:r>
      <w:r w:rsidR="00A82951">
        <w:rPr>
          <w:rFonts w:cs="Arial" w:hint="cs"/>
          <w:rtl/>
        </w:rPr>
        <w:t>-</w:t>
      </w:r>
      <w:r w:rsidRPr="000C00CB">
        <w:rPr>
          <w:rFonts w:cs="Arial"/>
          <w:rtl/>
        </w:rPr>
        <w:t xml:space="preserve"> הרי זה כשר, שעיקר הגירושין בעידי מסירה</w:t>
      </w:r>
      <w:r>
        <w:rPr>
          <w:rStyle w:val="a7"/>
          <w:rFonts w:cs="Arial"/>
          <w:rtl/>
        </w:rPr>
        <w:footnoteReference w:id="1172"/>
      </w:r>
      <w:r w:rsidRPr="000C00CB">
        <w:rPr>
          <w:rFonts w:cs="Arial"/>
          <w:rtl/>
        </w:rPr>
        <w:t>.</w:t>
      </w:r>
      <w:r>
        <w:rPr>
          <w:rFonts w:cs="Arial" w:hint="cs"/>
          <w:rtl/>
        </w:rPr>
        <w:t xml:space="preserve"> </w:t>
      </w:r>
      <w:r w:rsidRPr="001C2ACE">
        <w:rPr>
          <w:rFonts w:cs="Arial" w:hint="cs"/>
          <w:color w:val="E36C0A" w:themeColor="accent6" w:themeShade="BF"/>
          <w:rtl/>
        </w:rPr>
        <w:t>(וכ"פ בשו"ע</w:t>
      </w:r>
      <w:r>
        <w:rPr>
          <w:rFonts w:cs="Arial" w:hint="cs"/>
          <w:color w:val="E36C0A" w:themeColor="accent6" w:themeShade="BF"/>
          <w:sz w:val="16"/>
          <w:szCs w:val="16"/>
          <w:rtl/>
        </w:rPr>
        <w:t xml:space="preserve"> </w:t>
      </w:r>
      <w:r w:rsidRPr="00C8547B">
        <w:rPr>
          <w:rFonts w:cs="Arial" w:hint="cs"/>
          <w:color w:val="000000" w:themeColor="text1"/>
          <w:sz w:val="16"/>
          <w:szCs w:val="16"/>
          <w:rtl/>
        </w:rPr>
        <w:t>[</w:t>
      </w:r>
      <w:r>
        <w:rPr>
          <w:rFonts w:cs="Arial" w:hint="cs"/>
          <w:color w:val="000000" w:themeColor="text1"/>
          <w:sz w:val="16"/>
          <w:szCs w:val="16"/>
          <w:rtl/>
        </w:rPr>
        <w:t>בסע' ו</w:t>
      </w:r>
      <w:r w:rsidRPr="00C8547B">
        <w:rPr>
          <w:rFonts w:cs="Arial" w:hint="cs"/>
          <w:color w:val="000000" w:themeColor="text1"/>
          <w:sz w:val="16"/>
          <w:szCs w:val="16"/>
          <w:rtl/>
        </w:rPr>
        <w:t>]</w:t>
      </w:r>
      <w:r>
        <w:rPr>
          <w:rFonts w:cs="Arial" w:hint="cs"/>
          <w:color w:val="E36C0A" w:themeColor="accent6" w:themeShade="BF"/>
          <w:rtl/>
        </w:rPr>
        <w:t>)</w:t>
      </w:r>
    </w:p>
    <w:p w14:paraId="77FC8794" w14:textId="2FCB370A" w:rsidR="00FA2119" w:rsidRPr="004E5AD8" w:rsidRDefault="00FA2119" w:rsidP="00FA2119">
      <w:pPr>
        <w:pStyle w:val="ab"/>
        <w:numPr>
          <w:ilvl w:val="0"/>
          <w:numId w:val="80"/>
        </w:numPr>
      </w:pPr>
      <w:r w:rsidRPr="000C00CB">
        <w:rPr>
          <w:rFonts w:cs="Arial"/>
          <w:rtl/>
        </w:rPr>
        <w:t>ראב"ד</w:t>
      </w:r>
      <w:r>
        <w:rPr>
          <w:rFonts w:cs="Arial" w:hint="cs"/>
          <w:sz w:val="16"/>
          <w:szCs w:val="16"/>
          <w:rtl/>
        </w:rPr>
        <w:t xml:space="preserve"> (שם בהשגות)</w:t>
      </w:r>
      <w:r w:rsidR="00A82951">
        <w:rPr>
          <w:rFonts w:cs="Arial" w:hint="cs"/>
          <w:rtl/>
        </w:rPr>
        <w:t>-</w:t>
      </w:r>
      <w:r w:rsidRPr="000C00CB">
        <w:rPr>
          <w:rFonts w:cs="Arial"/>
          <w:rtl/>
        </w:rPr>
        <w:t xml:space="preserve"> חוכך אני בזה להחמיר שמא </w:t>
      </w:r>
      <w:r w:rsidR="005C3ABF">
        <w:rPr>
          <w:rStyle w:val="a7"/>
          <w:rFonts w:cs="Arial"/>
          <w:rtl/>
        </w:rPr>
        <w:footnoteReference w:id="1173"/>
      </w:r>
      <w:r>
        <w:rPr>
          <w:rFonts w:cs="Arial" w:hint="cs"/>
          <w:rtl/>
        </w:rPr>
        <w:t>[ת</w:t>
      </w:r>
      <w:r w:rsidRPr="000C00CB">
        <w:rPr>
          <w:rFonts w:cs="Arial"/>
          <w:rtl/>
        </w:rPr>
        <w:t>תן</w:t>
      </w:r>
      <w:r>
        <w:rPr>
          <w:rFonts w:cs="Arial" w:hint="cs"/>
          <w:rtl/>
        </w:rPr>
        <w:t>]</w:t>
      </w:r>
      <w:r w:rsidRPr="000C00CB">
        <w:rPr>
          <w:rFonts w:cs="Arial"/>
          <w:rtl/>
        </w:rPr>
        <w:t xml:space="preserve"> תנאי בגט באותן שני שטין ותוציא גיטה בעדי חתימה ונמצא זה כמזוייף מתוכו דאתי למסמך על עדי חתימה.</w:t>
      </w:r>
    </w:p>
    <w:p w14:paraId="2DEA37B2" w14:textId="2F36F7C6" w:rsidR="00FA2119" w:rsidRDefault="00FA2119" w:rsidP="00FA2119">
      <w:pPr>
        <w:pStyle w:val="ab"/>
        <w:numPr>
          <w:ilvl w:val="0"/>
          <w:numId w:val="80"/>
        </w:numPr>
      </w:pPr>
      <w:r w:rsidRPr="004E5AD8">
        <w:rPr>
          <w:rFonts w:cs="Arial"/>
          <w:rtl/>
        </w:rPr>
        <w:t xml:space="preserve">מרדכי </w:t>
      </w:r>
      <w:r w:rsidRPr="004E5AD8">
        <w:rPr>
          <w:rFonts w:cs="Arial"/>
          <w:sz w:val="16"/>
          <w:szCs w:val="16"/>
          <w:rtl/>
        </w:rPr>
        <w:t>(סי' שנג)</w:t>
      </w:r>
      <w:r w:rsidR="00A82951">
        <w:rPr>
          <w:rFonts w:cs="Arial" w:hint="cs"/>
          <w:rtl/>
        </w:rPr>
        <w:t>-</w:t>
      </w:r>
      <w:r>
        <w:rPr>
          <w:rFonts w:cs="Arial" w:hint="cs"/>
          <w:rtl/>
        </w:rPr>
        <w:t xml:space="preserve"> </w:t>
      </w:r>
      <w:r w:rsidRPr="004E5AD8">
        <w:rPr>
          <w:rFonts w:cs="Arial"/>
          <w:rtl/>
        </w:rPr>
        <w:t>פסול אפילו מסרו לה בעדים</w:t>
      </w:r>
      <w:r w:rsidR="00961336">
        <w:rPr>
          <w:rFonts w:cs="Arial" w:hint="cs"/>
          <w:rtl/>
        </w:rPr>
        <w:t>,</w:t>
      </w:r>
      <w:r w:rsidRPr="004E5AD8">
        <w:rPr>
          <w:rFonts w:cs="Arial"/>
          <w:rtl/>
        </w:rPr>
        <w:t xml:space="preserve"> משום דלא מכשרינן לרבי אלעזר בעדי מסירה אלא היכא דלא אתו למיסמך על עדי חתימה</w:t>
      </w:r>
      <w:r>
        <w:rPr>
          <w:rFonts w:cs="Arial" w:hint="cs"/>
          <w:rtl/>
        </w:rPr>
        <w:t>,</w:t>
      </w:r>
      <w:r w:rsidRPr="004E5AD8">
        <w:rPr>
          <w:rFonts w:cs="Arial"/>
          <w:rtl/>
        </w:rPr>
        <w:t xml:space="preserve"> כגון בשמות מובהקים או בשכתוב בדבר שיכול להזדייף</w:t>
      </w:r>
      <w:r>
        <w:rPr>
          <w:rFonts w:cs="Arial" w:hint="cs"/>
          <w:rtl/>
        </w:rPr>
        <w:t>,</w:t>
      </w:r>
      <w:r w:rsidRPr="004E5AD8">
        <w:rPr>
          <w:rFonts w:cs="Arial"/>
          <w:rtl/>
        </w:rPr>
        <w:t xml:space="preserve"> אבל בהרחיק את העדים מן הכתב שני שיטין מודה דפסול משום דמזוייף מתוכו</w:t>
      </w:r>
      <w:r>
        <w:rPr>
          <w:rStyle w:val="a7"/>
          <w:rFonts w:cs="Arial"/>
          <w:rtl/>
        </w:rPr>
        <w:footnoteReference w:id="1174"/>
      </w:r>
      <w:r w:rsidRPr="004E5AD8">
        <w:rPr>
          <w:rFonts w:cs="Arial"/>
          <w:rtl/>
        </w:rPr>
        <w:t xml:space="preserve">. </w:t>
      </w:r>
    </w:p>
    <w:p w14:paraId="0D67761E" w14:textId="0F0B12AE" w:rsidR="00FA2119" w:rsidRDefault="00FA2119" w:rsidP="00FA2119">
      <w:pPr>
        <w:rPr>
          <w:rFonts w:cs="Arial"/>
          <w:rtl/>
        </w:rPr>
      </w:pPr>
      <w:r>
        <w:rPr>
          <w:rFonts w:cs="Arial" w:hint="cs"/>
          <w:b/>
          <w:bCs/>
          <w:rtl/>
        </w:rPr>
        <w:t>בבא בתרא</w:t>
      </w:r>
      <w:r>
        <w:rPr>
          <w:rFonts w:cs="Arial"/>
          <w:b/>
          <w:bCs/>
          <w:rtl/>
        </w:rPr>
        <w:t xml:space="preserve"> </w:t>
      </w:r>
      <w:r>
        <w:rPr>
          <w:rFonts w:cs="Arial"/>
          <w:b/>
          <w:bCs/>
          <w:szCs w:val="16"/>
          <w:rtl/>
        </w:rPr>
        <w:t>(</w:t>
      </w:r>
      <w:r>
        <w:rPr>
          <w:rFonts w:cs="Arial" w:hint="cs"/>
          <w:b/>
          <w:bCs/>
          <w:szCs w:val="16"/>
          <w:rtl/>
        </w:rPr>
        <w:t>ר"פ גט פשוט</w:t>
      </w:r>
      <w:r>
        <w:rPr>
          <w:rFonts w:cs="Arial"/>
          <w:b/>
          <w:bCs/>
          <w:szCs w:val="16"/>
          <w:rtl/>
        </w:rPr>
        <w:t xml:space="preserve">) </w:t>
      </w:r>
      <w:r>
        <w:rPr>
          <w:rFonts w:cs="Arial" w:hint="cs"/>
          <w:b/>
          <w:bCs/>
          <w:rtl/>
        </w:rPr>
        <w:t>קסב</w:t>
      </w:r>
      <w:r>
        <w:rPr>
          <w:rFonts w:cs="Arial"/>
          <w:b/>
          <w:bCs/>
          <w:rtl/>
        </w:rPr>
        <w:t xml:space="preserve"> ע"א:</w:t>
      </w:r>
      <w:r>
        <w:rPr>
          <w:rFonts w:cs="Arial" w:hint="cs"/>
          <w:rtl/>
        </w:rPr>
        <w:t xml:space="preserve"> </w:t>
      </w:r>
      <w:r w:rsidRPr="00C8547B">
        <w:rPr>
          <w:rFonts w:cs="Arial"/>
          <w:rtl/>
        </w:rPr>
        <w:t xml:space="preserve">דתניא: הרחיק את העדים שני שיטין מן הכתב </w:t>
      </w:r>
      <w:r w:rsidR="00A82951">
        <w:rPr>
          <w:rFonts w:cs="Arial"/>
          <w:rtl/>
        </w:rPr>
        <w:t>-</w:t>
      </w:r>
      <w:r w:rsidRPr="00C8547B">
        <w:rPr>
          <w:rFonts w:cs="Arial"/>
          <w:rtl/>
        </w:rPr>
        <w:t xml:space="preserve"> פסול, שיטה אחת </w:t>
      </w:r>
      <w:r w:rsidR="00A82951">
        <w:rPr>
          <w:rFonts w:cs="Arial"/>
          <w:rtl/>
        </w:rPr>
        <w:t>-</w:t>
      </w:r>
      <w:r w:rsidRPr="00C8547B">
        <w:rPr>
          <w:rFonts w:cs="Arial"/>
          <w:rtl/>
        </w:rPr>
        <w:t xml:space="preserve"> כשר</w:t>
      </w:r>
      <w:r>
        <w:rPr>
          <w:rFonts w:cs="Arial" w:hint="cs"/>
          <w:rtl/>
        </w:rPr>
        <w:t>...</w:t>
      </w:r>
      <w:r w:rsidRPr="00C8547B">
        <w:rPr>
          <w:rtl/>
        </w:rPr>
        <w:t xml:space="preserve"> </w:t>
      </w:r>
      <w:r>
        <w:rPr>
          <w:rFonts w:hint="cs"/>
          <w:sz w:val="14"/>
          <w:szCs w:val="14"/>
          <w:rtl/>
        </w:rPr>
        <w:t xml:space="preserve">(קסב:) </w:t>
      </w:r>
      <w:r w:rsidRPr="00C8547B">
        <w:rPr>
          <w:rFonts w:cs="Arial"/>
          <w:rtl/>
        </w:rPr>
        <w:t xml:space="preserve">איבעיא להו: שני שיטין שאמרו </w:t>
      </w:r>
      <w:r w:rsidR="00A82951">
        <w:rPr>
          <w:rFonts w:cs="Arial" w:hint="cs"/>
          <w:rtl/>
        </w:rPr>
        <w:t>-</w:t>
      </w:r>
      <w:r w:rsidRPr="00C8547B">
        <w:rPr>
          <w:rFonts w:cs="Arial"/>
          <w:rtl/>
        </w:rPr>
        <w:t xml:space="preserve"> </w:t>
      </w:r>
      <w:r>
        <w:rPr>
          <w:rFonts w:cs="Arial" w:hint="cs"/>
          <w:sz w:val="14"/>
          <w:szCs w:val="14"/>
          <w:rtl/>
        </w:rPr>
        <w:t xml:space="preserve">(קסג.) </w:t>
      </w:r>
      <w:r w:rsidRPr="00C8547B">
        <w:rPr>
          <w:rFonts w:cs="Arial"/>
          <w:rtl/>
        </w:rPr>
        <w:t xml:space="preserve">הן ואוירן, או דלמא הן ולא אוירן? </w:t>
      </w:r>
      <w:r w:rsidRPr="00C8547B">
        <w:rPr>
          <w:rFonts w:cs="Arial"/>
          <w:u w:val="single"/>
          <w:rtl/>
        </w:rPr>
        <w:t>א"ר נחמן בר יצחק</w:t>
      </w:r>
      <w:r w:rsidRPr="00C8547B">
        <w:rPr>
          <w:rFonts w:cs="Arial"/>
          <w:rtl/>
        </w:rPr>
        <w:t>: מסתברא דהן ואוירן, דאי סלקא דעתך הן ולא אוירן, שיטה אחת בלא אוירה למאי חזיא? אלא ש"מ: הן ואוירן, שמע מינה.</w:t>
      </w:r>
      <w:r w:rsidRPr="00F85263">
        <w:rPr>
          <w:rtl/>
        </w:rPr>
        <w:t xml:space="preserve"> </w:t>
      </w:r>
      <w:r w:rsidRPr="00F85263">
        <w:rPr>
          <w:rFonts w:cs="Arial"/>
          <w:u w:val="single"/>
          <w:rtl/>
        </w:rPr>
        <w:t>רבי שבתי אמר משמיה דחזקיה</w:t>
      </w:r>
      <w:r w:rsidRPr="00F85263">
        <w:rPr>
          <w:rFonts w:cs="Arial"/>
          <w:rtl/>
        </w:rPr>
        <w:t xml:space="preserve">: שני שיטין שאמרו </w:t>
      </w:r>
      <w:r w:rsidR="00A82951">
        <w:rPr>
          <w:rFonts w:cs="Arial"/>
          <w:rtl/>
        </w:rPr>
        <w:t>-</w:t>
      </w:r>
      <w:r w:rsidRPr="00F85263">
        <w:rPr>
          <w:rFonts w:cs="Arial"/>
          <w:rtl/>
        </w:rPr>
        <w:t xml:space="preserve"> בכתב ידי עדים ולא כתב ידי סופר; מ"ט? דכל המזייף, לאו לגבי ספרא אזיל ומזייף</w:t>
      </w:r>
      <w:r w:rsidRPr="00C8547B">
        <w:rPr>
          <w:rFonts w:cs="Arial"/>
          <w:rtl/>
        </w:rPr>
        <w:t xml:space="preserve">. וכמה? </w:t>
      </w:r>
      <w:r w:rsidRPr="00C8547B">
        <w:rPr>
          <w:rFonts w:cs="Arial"/>
          <w:u w:val="single"/>
          <w:rtl/>
        </w:rPr>
        <w:t>אמר רב יצחק בן אלעזר</w:t>
      </w:r>
      <w:r w:rsidRPr="00C8547B">
        <w:rPr>
          <w:rFonts w:cs="Arial"/>
          <w:rtl/>
        </w:rPr>
        <w:t xml:space="preserve">: כגון לך לך זה על גבי זה, אלמא קסבר: שני שיטין וארבעה אוירין. </w:t>
      </w:r>
      <w:r w:rsidRPr="00C8547B">
        <w:rPr>
          <w:rFonts w:cs="Arial"/>
          <w:u w:val="single"/>
          <w:rtl/>
        </w:rPr>
        <w:t>רב חייא בר אמי משמיה דעולא אמר</w:t>
      </w:r>
      <w:r w:rsidRPr="00C8547B">
        <w:rPr>
          <w:rFonts w:cs="Arial"/>
          <w:rtl/>
        </w:rPr>
        <w:t xml:space="preserve">: כגון למ"ד מלמעלה וכ"ף מלמטה; אלמא קסבר: שני שיטין ושלשה אוירין. </w:t>
      </w:r>
      <w:r w:rsidRPr="00C8547B">
        <w:rPr>
          <w:rFonts w:cs="Arial"/>
          <w:u w:val="single"/>
          <w:rtl/>
        </w:rPr>
        <w:t>רבי אבהו אמר</w:t>
      </w:r>
      <w:r w:rsidRPr="00C8547B">
        <w:rPr>
          <w:rFonts w:cs="Arial"/>
          <w:rtl/>
        </w:rPr>
        <w:t>: כגון ברוך בן לוי בשיטה אחת; קא סבר: שיטה אחת ושני אוירין.</w:t>
      </w:r>
    </w:p>
    <w:p w14:paraId="552B1731" w14:textId="5D708AF2" w:rsidR="00FA2119" w:rsidRDefault="00FA2119" w:rsidP="00FA2119">
      <w:pPr>
        <w:rPr>
          <w:rFonts w:cs="Arial"/>
          <w:rtl/>
        </w:rPr>
      </w:pPr>
      <w:bookmarkStart w:id="10" w:name="_Hlk86653985"/>
      <w:r w:rsidRPr="009E2595">
        <w:rPr>
          <w:rFonts w:cs="Arial" w:hint="cs"/>
          <w:b/>
          <w:bCs/>
          <w:rtl/>
        </w:rPr>
        <w:t>ירושלמי בבא בתרא פ"י ה"א:</w:t>
      </w:r>
      <w:r>
        <w:rPr>
          <w:rFonts w:cs="Arial" w:hint="cs"/>
          <w:rtl/>
        </w:rPr>
        <w:t xml:space="preserve"> </w:t>
      </w:r>
      <w:r w:rsidRPr="009E2595">
        <w:rPr>
          <w:rFonts w:cs="Arial"/>
          <w:rtl/>
        </w:rPr>
        <w:t>באי זה כתב משערין אותו</w:t>
      </w:r>
      <w:r>
        <w:rPr>
          <w:rFonts w:cs="Arial" w:hint="cs"/>
          <w:rtl/>
        </w:rPr>
        <w:t>?</w:t>
      </w:r>
      <w:r w:rsidRPr="009E2595">
        <w:rPr>
          <w:rFonts w:cs="Arial"/>
          <w:rtl/>
        </w:rPr>
        <w:t xml:space="preserve"> </w:t>
      </w:r>
      <w:r w:rsidRPr="009E2595">
        <w:rPr>
          <w:rFonts w:cs="Arial"/>
          <w:u w:val="single"/>
          <w:rtl/>
        </w:rPr>
        <w:t>ר' יסא בשם רבי שובתי</w:t>
      </w:r>
      <w:r>
        <w:rPr>
          <w:rFonts w:cs="Arial" w:hint="cs"/>
          <w:rtl/>
        </w:rPr>
        <w:t>:</w:t>
      </w:r>
      <w:r w:rsidRPr="009E2595">
        <w:rPr>
          <w:rFonts w:cs="Arial"/>
          <w:rtl/>
        </w:rPr>
        <w:t xml:space="preserve"> מלא חתימת ידי העדים. </w:t>
      </w:r>
      <w:r w:rsidRPr="009E2595">
        <w:rPr>
          <w:rFonts w:cs="Arial"/>
          <w:u w:val="single"/>
          <w:rtl/>
        </w:rPr>
        <w:t>חזקיה אמר</w:t>
      </w:r>
      <w:r>
        <w:rPr>
          <w:rFonts w:cs="Arial" w:hint="cs"/>
          <w:rtl/>
        </w:rPr>
        <w:t>:</w:t>
      </w:r>
      <w:r w:rsidRPr="009E2595">
        <w:rPr>
          <w:rFonts w:cs="Arial"/>
          <w:rtl/>
        </w:rPr>
        <w:t xml:space="preserve"> ובלבד לקולא</w:t>
      </w:r>
      <w:r>
        <w:rPr>
          <w:rFonts w:cs="Arial" w:hint="cs"/>
          <w:rtl/>
        </w:rPr>
        <w:t>,</w:t>
      </w:r>
      <w:r w:rsidRPr="009E2595">
        <w:rPr>
          <w:rFonts w:cs="Arial"/>
          <w:rtl/>
        </w:rPr>
        <w:t xml:space="preserve"> שאם היה חותם ידי העדים דק</w:t>
      </w:r>
      <w:r>
        <w:rPr>
          <w:rFonts w:cs="Arial" w:hint="cs"/>
          <w:rtl/>
        </w:rPr>
        <w:t>,</w:t>
      </w:r>
      <w:r w:rsidRPr="009E2595">
        <w:rPr>
          <w:rFonts w:cs="Arial"/>
          <w:rtl/>
        </w:rPr>
        <w:t xml:space="preserve"> והכתב גס </w:t>
      </w:r>
      <w:r w:rsidR="00A82951">
        <w:rPr>
          <w:rFonts w:cs="Arial" w:hint="cs"/>
          <w:rtl/>
        </w:rPr>
        <w:t>-</w:t>
      </w:r>
      <w:r>
        <w:rPr>
          <w:rFonts w:cs="Arial" w:hint="cs"/>
          <w:rtl/>
        </w:rPr>
        <w:t xml:space="preserve"> </w:t>
      </w:r>
      <w:r w:rsidRPr="009E2595">
        <w:rPr>
          <w:rFonts w:cs="Arial"/>
          <w:rtl/>
        </w:rPr>
        <w:t>הולכין אחר הגס. חותם ידי העדים גס</w:t>
      </w:r>
      <w:r>
        <w:rPr>
          <w:rFonts w:cs="Arial" w:hint="cs"/>
          <w:rtl/>
        </w:rPr>
        <w:t>,</w:t>
      </w:r>
      <w:r w:rsidRPr="009E2595">
        <w:rPr>
          <w:rFonts w:cs="Arial"/>
          <w:rtl/>
        </w:rPr>
        <w:t xml:space="preserve"> והכתב דק </w:t>
      </w:r>
      <w:r w:rsidR="00A82951">
        <w:rPr>
          <w:rFonts w:cs="Arial" w:hint="cs"/>
          <w:rtl/>
        </w:rPr>
        <w:t>-</w:t>
      </w:r>
      <w:r>
        <w:rPr>
          <w:rFonts w:cs="Arial" w:hint="cs"/>
          <w:rtl/>
        </w:rPr>
        <w:t xml:space="preserve"> </w:t>
      </w:r>
      <w:r w:rsidRPr="009E2595">
        <w:rPr>
          <w:rFonts w:cs="Arial"/>
          <w:rtl/>
        </w:rPr>
        <w:t xml:space="preserve">הולכין אחר </w:t>
      </w:r>
      <w:r>
        <w:rPr>
          <w:rFonts w:cs="Arial" w:hint="cs"/>
          <w:rtl/>
        </w:rPr>
        <w:t>הגס</w:t>
      </w:r>
      <w:r w:rsidRPr="009E2595">
        <w:rPr>
          <w:rFonts w:cs="Arial"/>
          <w:rtl/>
        </w:rPr>
        <w:t>.</w:t>
      </w:r>
    </w:p>
    <w:bookmarkEnd w:id="10"/>
    <w:p w14:paraId="712598C7" w14:textId="77777777" w:rsidR="00FA2119" w:rsidRPr="000C00CB" w:rsidRDefault="00FA2119" w:rsidP="00FA2119">
      <w:pPr>
        <w:rPr>
          <w:sz w:val="16"/>
          <w:szCs w:val="16"/>
          <w:u w:val="single"/>
        </w:rPr>
      </w:pPr>
      <w:r>
        <w:rPr>
          <w:rFonts w:cs="Arial" w:hint="cs"/>
          <w:u w:val="single"/>
          <w:rtl/>
        </w:rPr>
        <w:t>כמה אוירים מחשבים ב</w:t>
      </w:r>
      <w:r w:rsidRPr="001C0ECF">
        <w:rPr>
          <w:rFonts w:cs="Arial" w:hint="cs"/>
          <w:u w:val="single"/>
          <w:rtl/>
        </w:rPr>
        <w:t>ב' שיטין</w:t>
      </w:r>
      <w:r>
        <w:rPr>
          <w:rFonts w:cs="Arial" w:hint="cs"/>
          <w:u w:val="single"/>
          <w:rtl/>
        </w:rPr>
        <w:t xml:space="preserve"> אלו</w:t>
      </w:r>
      <w:r w:rsidRPr="001C0ECF">
        <w:rPr>
          <w:rFonts w:cs="Arial" w:hint="cs"/>
          <w:u w:val="single"/>
          <w:rtl/>
        </w:rPr>
        <w:t>:</w:t>
      </w:r>
      <w:r w:rsidRPr="000C00CB">
        <w:rPr>
          <w:rFonts w:hint="cs"/>
          <w:sz w:val="16"/>
          <w:szCs w:val="16"/>
          <w:rtl/>
        </w:rPr>
        <w:t xml:space="preserve">  (</w:t>
      </w:r>
      <w:r>
        <w:rPr>
          <w:rFonts w:hint="cs"/>
          <w:sz w:val="16"/>
          <w:szCs w:val="16"/>
          <w:rtl/>
        </w:rPr>
        <w:t>הועתק מחו"מ סי' מה ס"ט)</w:t>
      </w:r>
    </w:p>
    <w:p w14:paraId="4A62EC4D" w14:textId="527173D3" w:rsidR="00FA2119" w:rsidRPr="00706B5A" w:rsidRDefault="00FA2119" w:rsidP="00FA2119">
      <w:pPr>
        <w:pStyle w:val="ab"/>
        <w:numPr>
          <w:ilvl w:val="0"/>
          <w:numId w:val="81"/>
        </w:numPr>
      </w:pPr>
      <w:r w:rsidRPr="00706B5A">
        <w:rPr>
          <w:rFonts w:cs="Arial"/>
          <w:rtl/>
        </w:rPr>
        <w:lastRenderedPageBreak/>
        <w:t xml:space="preserve">רמב"ם </w:t>
      </w:r>
      <w:r w:rsidRPr="001B1A90">
        <w:rPr>
          <w:rFonts w:cs="Arial"/>
          <w:sz w:val="16"/>
          <w:szCs w:val="16"/>
          <w:rtl/>
        </w:rPr>
        <w:t>(פכ"ז ה"ד)</w:t>
      </w:r>
      <w:r w:rsidRPr="001B1A90">
        <w:rPr>
          <w:rFonts w:cs="Arial" w:hint="cs"/>
          <w:sz w:val="16"/>
          <w:szCs w:val="16"/>
          <w:rtl/>
        </w:rPr>
        <w:t xml:space="preserve"> </w:t>
      </w:r>
      <w:r w:rsidRPr="00706B5A">
        <w:rPr>
          <w:rFonts w:cs="Arial"/>
          <w:rtl/>
        </w:rPr>
        <w:t xml:space="preserve">ה"ר יונה </w:t>
      </w:r>
      <w:r w:rsidRPr="001B1A90">
        <w:rPr>
          <w:rFonts w:cs="Arial"/>
          <w:sz w:val="16"/>
          <w:szCs w:val="16"/>
          <w:rtl/>
        </w:rPr>
        <w:t>(קסג. ד"ה אלמא וד"ה ונראה)</w:t>
      </w:r>
      <w:r w:rsidRPr="001B1A90">
        <w:rPr>
          <w:rFonts w:cs="Arial" w:hint="cs"/>
          <w:sz w:val="16"/>
          <w:szCs w:val="16"/>
          <w:rtl/>
        </w:rPr>
        <w:t xml:space="preserve"> </w:t>
      </w:r>
      <w:r w:rsidRPr="00706B5A">
        <w:rPr>
          <w:rFonts w:cs="Arial"/>
          <w:rtl/>
        </w:rPr>
        <w:t xml:space="preserve">רא"ש </w:t>
      </w:r>
      <w:r w:rsidRPr="001B1A90">
        <w:rPr>
          <w:rFonts w:cs="Arial"/>
          <w:sz w:val="16"/>
          <w:szCs w:val="16"/>
          <w:rtl/>
        </w:rPr>
        <w:t xml:space="preserve">(סו"ס ג) </w:t>
      </w:r>
      <w:r w:rsidRPr="00706B5A">
        <w:rPr>
          <w:rFonts w:cs="Arial" w:hint="cs"/>
          <w:rtl/>
        </w:rPr>
        <w:t>טור</w:t>
      </w:r>
      <w:r w:rsidRPr="001B1A90">
        <w:rPr>
          <w:rFonts w:cs="Arial"/>
          <w:rtl/>
        </w:rPr>
        <w:t xml:space="preserve"> </w:t>
      </w:r>
      <w:r w:rsidRPr="00706B5A">
        <w:rPr>
          <w:rFonts w:cs="Arial"/>
          <w:rtl/>
        </w:rPr>
        <w:t>הה</w:t>
      </w:r>
      <w:r w:rsidRPr="00706B5A">
        <w:rPr>
          <w:rFonts w:cs="Arial" w:hint="cs"/>
          <w:rtl/>
        </w:rPr>
        <w:t>"</w:t>
      </w:r>
      <w:r w:rsidRPr="00706B5A">
        <w:rPr>
          <w:rFonts w:cs="Arial"/>
          <w:rtl/>
        </w:rPr>
        <w:t xml:space="preserve">מ </w:t>
      </w:r>
      <w:r w:rsidRPr="001B1A90">
        <w:rPr>
          <w:rFonts w:cs="Arial"/>
          <w:sz w:val="16"/>
          <w:szCs w:val="16"/>
          <w:rtl/>
        </w:rPr>
        <w:t>(</w:t>
      </w:r>
      <w:r>
        <w:rPr>
          <w:rFonts w:cs="Arial" w:hint="cs"/>
          <w:sz w:val="16"/>
          <w:szCs w:val="16"/>
          <w:rtl/>
        </w:rPr>
        <w:t>שם</w:t>
      </w:r>
      <w:r w:rsidRPr="001B1A90">
        <w:rPr>
          <w:rFonts w:cs="Arial"/>
          <w:sz w:val="16"/>
          <w:szCs w:val="16"/>
          <w:rtl/>
        </w:rPr>
        <w:t>)</w:t>
      </w:r>
      <w:r w:rsidRPr="00065575">
        <w:rPr>
          <w:rFonts w:cs="Arial" w:hint="cs"/>
          <w:rtl/>
        </w:rPr>
        <w:t xml:space="preserve"> </w:t>
      </w:r>
      <w:r>
        <w:rPr>
          <w:rFonts w:cs="Arial" w:hint="cs"/>
          <w:rtl/>
        </w:rPr>
        <w:t>ורי"ו</w:t>
      </w:r>
      <w:r>
        <w:rPr>
          <w:rFonts w:cs="Arial"/>
          <w:rtl/>
        </w:rPr>
        <w:t xml:space="preserve"> </w:t>
      </w:r>
      <w:r w:rsidRPr="00065575">
        <w:rPr>
          <w:rFonts w:cs="Arial"/>
          <w:sz w:val="16"/>
          <w:szCs w:val="16"/>
          <w:rtl/>
        </w:rPr>
        <w:t>(מישרים נ</w:t>
      </w:r>
      <w:r w:rsidRPr="00065575">
        <w:rPr>
          <w:rFonts w:cs="Arial" w:hint="cs"/>
          <w:sz w:val="16"/>
          <w:szCs w:val="16"/>
          <w:rtl/>
        </w:rPr>
        <w:t>"ד</w:t>
      </w:r>
      <w:r w:rsidRPr="00065575">
        <w:rPr>
          <w:rFonts w:cs="Arial"/>
          <w:sz w:val="16"/>
          <w:szCs w:val="16"/>
          <w:rtl/>
        </w:rPr>
        <w:t xml:space="preserve"> ח</w:t>
      </w:r>
      <w:r w:rsidRPr="00065575">
        <w:rPr>
          <w:rFonts w:cs="Arial" w:hint="cs"/>
          <w:sz w:val="16"/>
          <w:szCs w:val="16"/>
          <w:rtl/>
        </w:rPr>
        <w:t xml:space="preserve">"ג </w:t>
      </w:r>
      <w:r w:rsidRPr="00065575">
        <w:rPr>
          <w:rFonts w:cs="Arial"/>
          <w:sz w:val="16"/>
          <w:szCs w:val="16"/>
          <w:rtl/>
        </w:rPr>
        <w:t>כ.)</w:t>
      </w:r>
      <w:r w:rsidR="00A82951">
        <w:rPr>
          <w:rFonts w:cs="Arial" w:hint="cs"/>
          <w:rtl/>
        </w:rPr>
        <w:t>-</w:t>
      </w:r>
      <w:r w:rsidRPr="00706B5A">
        <w:rPr>
          <w:rFonts w:cs="Arial" w:hint="cs"/>
          <w:rtl/>
        </w:rPr>
        <w:t xml:space="preserve"> </w:t>
      </w:r>
      <w:r w:rsidRPr="00706B5A">
        <w:rPr>
          <w:rFonts w:cs="Arial"/>
          <w:rtl/>
        </w:rPr>
        <w:t>אינו פסול אא"כ הרחיק ב' שיטין וג' אוירים</w:t>
      </w:r>
      <w:r>
        <w:rPr>
          <w:rStyle w:val="a7"/>
          <w:rFonts w:cs="Arial"/>
          <w:rtl/>
        </w:rPr>
        <w:footnoteReference w:id="1175"/>
      </w:r>
      <w:r w:rsidRPr="00706B5A">
        <w:rPr>
          <w:rFonts w:cs="Arial"/>
          <w:rtl/>
        </w:rPr>
        <w:t xml:space="preserve"> כגון ל' בשיטה עליונה ו</w:t>
      </w:r>
      <w:r w:rsidRPr="00706B5A">
        <w:rPr>
          <w:rFonts w:cs="Arial" w:hint="cs"/>
          <w:rtl/>
        </w:rPr>
        <w:t>ך</w:t>
      </w:r>
      <w:r w:rsidRPr="00706B5A">
        <w:rPr>
          <w:rFonts w:cs="Arial"/>
          <w:rtl/>
        </w:rPr>
        <w:t>' בשיטה התחתונה</w:t>
      </w:r>
      <w:r>
        <w:rPr>
          <w:rFonts w:cs="Arial" w:hint="cs"/>
          <w:sz w:val="16"/>
          <w:szCs w:val="16"/>
          <w:rtl/>
        </w:rPr>
        <w:t xml:space="preserve"> (ל' הטור)</w:t>
      </w:r>
      <w:r>
        <w:rPr>
          <w:rStyle w:val="a7"/>
          <w:rFonts w:cs="Arial"/>
          <w:rtl/>
        </w:rPr>
        <w:footnoteReference w:id="1176"/>
      </w:r>
      <w:r w:rsidRPr="00706B5A">
        <w:rPr>
          <w:rFonts w:cs="Arial" w:hint="cs"/>
          <w:rtl/>
        </w:rPr>
        <w:t>.</w:t>
      </w:r>
      <w:r w:rsidRPr="00706B5A">
        <w:rPr>
          <w:rFonts w:cs="Arial"/>
          <w:rtl/>
        </w:rPr>
        <w:t xml:space="preserve"> </w:t>
      </w:r>
      <w:r w:rsidRPr="001C2ACE">
        <w:rPr>
          <w:rFonts w:cs="Arial" w:hint="cs"/>
          <w:color w:val="E36C0A" w:themeColor="accent6" w:themeShade="BF"/>
          <w:rtl/>
        </w:rPr>
        <w:t>(וכ"פ בשו"ע</w:t>
      </w:r>
      <w:r>
        <w:rPr>
          <w:rFonts w:cs="Arial" w:hint="cs"/>
          <w:color w:val="E36C0A" w:themeColor="accent6" w:themeShade="BF"/>
          <w:sz w:val="16"/>
          <w:szCs w:val="16"/>
          <w:rtl/>
        </w:rPr>
        <w:t xml:space="preserve"> </w:t>
      </w:r>
      <w:r w:rsidRPr="00C8547B">
        <w:rPr>
          <w:rFonts w:cs="Arial" w:hint="cs"/>
          <w:color w:val="000000" w:themeColor="text1"/>
          <w:sz w:val="16"/>
          <w:szCs w:val="16"/>
          <w:rtl/>
        </w:rPr>
        <w:t>[בחו"מ סי' מה ס"ט]</w:t>
      </w:r>
      <w:r>
        <w:rPr>
          <w:rFonts w:cs="Arial" w:hint="cs"/>
          <w:color w:val="E36C0A" w:themeColor="accent6" w:themeShade="BF"/>
          <w:rtl/>
        </w:rPr>
        <w:t>)</w:t>
      </w:r>
    </w:p>
    <w:p w14:paraId="50100FED" w14:textId="21C847E7" w:rsidR="00FA2119" w:rsidRPr="00F85263" w:rsidRDefault="00FA2119" w:rsidP="00FA2119">
      <w:pPr>
        <w:pStyle w:val="ab"/>
        <w:numPr>
          <w:ilvl w:val="0"/>
          <w:numId w:val="81"/>
        </w:numPr>
      </w:pPr>
      <w:r w:rsidRPr="00706B5A">
        <w:rPr>
          <w:rFonts w:cs="Arial"/>
          <w:rtl/>
        </w:rPr>
        <w:t xml:space="preserve">רבינו האיי </w:t>
      </w:r>
      <w:r>
        <w:rPr>
          <w:rFonts w:cs="Arial" w:hint="cs"/>
          <w:sz w:val="16"/>
          <w:szCs w:val="16"/>
          <w:rtl/>
        </w:rPr>
        <w:t>(כ"כ בשמו הה"מ [שם])</w:t>
      </w:r>
      <w:r w:rsidRPr="001B1A90">
        <w:rPr>
          <w:rFonts w:cs="Arial"/>
          <w:rtl/>
        </w:rPr>
        <w:t xml:space="preserve"> </w:t>
      </w:r>
      <w:r w:rsidRPr="00706B5A">
        <w:rPr>
          <w:rFonts w:cs="Arial"/>
          <w:rtl/>
        </w:rPr>
        <w:t>בהעי</w:t>
      </w:r>
      <w:r>
        <w:rPr>
          <w:rFonts w:cs="Arial" w:hint="cs"/>
          <w:rtl/>
        </w:rPr>
        <w:t>"</w:t>
      </w:r>
      <w:r w:rsidRPr="00706B5A">
        <w:rPr>
          <w:rFonts w:cs="Arial"/>
          <w:rtl/>
        </w:rPr>
        <w:t xml:space="preserve">ט </w:t>
      </w:r>
      <w:r w:rsidRPr="001B1A90">
        <w:rPr>
          <w:rFonts w:cs="Arial"/>
          <w:sz w:val="16"/>
          <w:szCs w:val="16"/>
          <w:rtl/>
        </w:rPr>
        <w:t>(ח"א מאמר ח לא ע"ב</w:t>
      </w:r>
      <w:r w:rsidR="00A82951">
        <w:rPr>
          <w:rFonts w:cs="Arial"/>
          <w:sz w:val="16"/>
          <w:szCs w:val="16"/>
          <w:rtl/>
        </w:rPr>
        <w:t>-</w:t>
      </w:r>
      <w:r w:rsidRPr="001B1A90">
        <w:rPr>
          <w:rFonts w:cs="Arial"/>
          <w:sz w:val="16"/>
          <w:szCs w:val="16"/>
          <w:rtl/>
        </w:rPr>
        <w:t>ג)</w:t>
      </w:r>
      <w:r w:rsidRPr="001B1A90">
        <w:rPr>
          <w:rFonts w:cs="Arial" w:hint="cs"/>
          <w:sz w:val="16"/>
          <w:szCs w:val="16"/>
          <w:rtl/>
        </w:rPr>
        <w:t xml:space="preserve"> </w:t>
      </w:r>
      <w:r>
        <w:rPr>
          <w:rFonts w:cs="Arial" w:hint="cs"/>
          <w:rtl/>
        </w:rPr>
        <w:t>ו</w:t>
      </w:r>
      <w:r w:rsidRPr="00706B5A">
        <w:rPr>
          <w:rFonts w:cs="Arial"/>
          <w:rtl/>
        </w:rPr>
        <w:t>רמב"ן</w:t>
      </w:r>
      <w:r>
        <w:rPr>
          <w:rFonts w:cs="Arial" w:hint="cs"/>
          <w:sz w:val="16"/>
          <w:szCs w:val="16"/>
          <w:rtl/>
        </w:rPr>
        <w:t xml:space="preserve"> </w:t>
      </w:r>
      <w:r w:rsidRPr="00511429">
        <w:rPr>
          <w:rFonts w:cs="Arial"/>
          <w:sz w:val="16"/>
          <w:szCs w:val="16"/>
          <w:rtl/>
        </w:rPr>
        <w:t>(קסג. ד"ה כגון</w:t>
      </w:r>
      <w:r w:rsidRPr="00511429">
        <w:rPr>
          <w:rFonts w:cs="Arial" w:hint="cs"/>
          <w:sz w:val="16"/>
          <w:szCs w:val="16"/>
          <w:rtl/>
        </w:rPr>
        <w:t xml:space="preserve">, </w:t>
      </w:r>
      <w:r>
        <w:rPr>
          <w:rFonts w:cs="Arial" w:hint="cs"/>
          <w:sz w:val="16"/>
          <w:szCs w:val="16"/>
          <w:rtl/>
        </w:rPr>
        <w:t>כ"כ בשמו</w:t>
      </w:r>
      <w:r w:rsidRPr="00511429">
        <w:rPr>
          <w:rFonts w:cs="Arial" w:hint="cs"/>
          <w:sz w:val="16"/>
          <w:szCs w:val="16"/>
          <w:rtl/>
        </w:rPr>
        <w:t xml:space="preserve"> הה"מ</w:t>
      </w:r>
      <w:r>
        <w:rPr>
          <w:rFonts w:cs="Arial" w:hint="cs"/>
          <w:sz w:val="16"/>
          <w:szCs w:val="16"/>
          <w:rtl/>
        </w:rPr>
        <w:t xml:space="preserve"> [שם]</w:t>
      </w:r>
      <w:r w:rsidRPr="00511429">
        <w:rPr>
          <w:rFonts w:cs="Arial"/>
          <w:sz w:val="16"/>
          <w:szCs w:val="16"/>
          <w:rtl/>
        </w:rPr>
        <w:t>)</w:t>
      </w:r>
      <w:r w:rsidR="00A82951">
        <w:rPr>
          <w:rFonts w:cs="Arial" w:hint="cs"/>
          <w:rtl/>
        </w:rPr>
        <w:t>-</w:t>
      </w:r>
      <w:r>
        <w:rPr>
          <w:rFonts w:cs="Arial" w:hint="cs"/>
          <w:rtl/>
        </w:rPr>
        <w:t xml:space="preserve"> </w:t>
      </w:r>
      <w:bookmarkStart w:id="11" w:name="_Hlk86575611"/>
      <w:r w:rsidRPr="00C8547B">
        <w:rPr>
          <w:rFonts w:cs="Arial"/>
          <w:rtl/>
        </w:rPr>
        <w:t>שיטה אחת ושני אוירין</w:t>
      </w:r>
      <w:r>
        <w:rPr>
          <w:rFonts w:cs="Arial" w:hint="cs"/>
          <w:rtl/>
        </w:rPr>
        <w:t>, כרבי אבהו</w:t>
      </w:r>
      <w:r>
        <w:rPr>
          <w:rStyle w:val="a7"/>
          <w:rFonts w:cs="Arial"/>
          <w:rtl/>
        </w:rPr>
        <w:footnoteReference w:id="1177"/>
      </w:r>
      <w:r>
        <w:rPr>
          <w:rFonts w:cs="Arial" w:hint="cs"/>
          <w:rtl/>
        </w:rPr>
        <w:t>.</w:t>
      </w:r>
      <w:bookmarkEnd w:id="11"/>
      <w:r w:rsidRPr="00706B5A">
        <w:rPr>
          <w:rFonts w:cs="Arial"/>
          <w:rtl/>
        </w:rPr>
        <w:t xml:space="preserve"> </w:t>
      </w:r>
    </w:p>
    <w:p w14:paraId="133FDBA8" w14:textId="77777777" w:rsidR="00FA2119" w:rsidRPr="00F85263" w:rsidRDefault="00FA2119" w:rsidP="00FA2119">
      <w:pPr>
        <w:ind w:left="360"/>
        <w:rPr>
          <w:u w:val="dotted"/>
        </w:rPr>
      </w:pPr>
      <w:r w:rsidRPr="00F85263">
        <w:rPr>
          <w:rFonts w:hint="cs"/>
          <w:u w:val="dotted"/>
          <w:rtl/>
        </w:rPr>
        <w:t>בכתב של מי משערים:</w:t>
      </w:r>
    </w:p>
    <w:p w14:paraId="13DA665E" w14:textId="5F72A40A" w:rsidR="00FA2119" w:rsidRPr="00F85263" w:rsidRDefault="00FA2119" w:rsidP="00FA2119">
      <w:pPr>
        <w:pStyle w:val="ab"/>
        <w:numPr>
          <w:ilvl w:val="0"/>
          <w:numId w:val="81"/>
        </w:numPr>
      </w:pPr>
      <w:r>
        <w:rPr>
          <w:rFonts w:cs="Arial" w:hint="cs"/>
          <w:rtl/>
        </w:rPr>
        <w:t xml:space="preserve">רי"ו </w:t>
      </w:r>
      <w:r w:rsidRPr="00F85263">
        <w:rPr>
          <w:rFonts w:cs="Arial"/>
          <w:sz w:val="16"/>
          <w:szCs w:val="16"/>
          <w:rtl/>
        </w:rPr>
        <w:t>(שם)</w:t>
      </w:r>
      <w:r w:rsidR="00A82951">
        <w:rPr>
          <w:rFonts w:cs="Arial" w:hint="cs"/>
          <w:rtl/>
        </w:rPr>
        <w:t>-</w:t>
      </w:r>
      <w:r w:rsidRPr="00F85263">
        <w:rPr>
          <w:rFonts w:cs="Arial"/>
          <w:rtl/>
        </w:rPr>
        <w:t xml:space="preserve"> פירוש מה שכתבתי שמשערים בכתב ידי עדים להקל כי כתיבתן יותר גסה מן הסופר</w:t>
      </w:r>
      <w:r>
        <w:rPr>
          <w:rFonts w:cs="Arial" w:hint="cs"/>
          <w:rtl/>
        </w:rPr>
        <w:t>,</w:t>
      </w:r>
      <w:r w:rsidRPr="00F85263">
        <w:rPr>
          <w:rFonts w:cs="Arial"/>
          <w:rtl/>
        </w:rPr>
        <w:t xml:space="preserve"> ודוקא שחתמו בקולמוסו אלא שלא הורגלו לכתוב ונעשית יותר גסה מכתיבת הסופר מעט</w:t>
      </w:r>
      <w:r>
        <w:rPr>
          <w:rFonts w:cs="Arial" w:hint="cs"/>
          <w:rtl/>
        </w:rPr>
        <w:t>,</w:t>
      </w:r>
      <w:r w:rsidRPr="00F85263">
        <w:rPr>
          <w:rFonts w:cs="Arial"/>
          <w:rtl/>
        </w:rPr>
        <w:t xml:space="preserve"> ולא שתהיה גסה ביותר</w:t>
      </w:r>
      <w:r>
        <w:rPr>
          <w:rStyle w:val="a7"/>
          <w:rFonts w:cs="Arial"/>
          <w:rtl/>
        </w:rPr>
        <w:footnoteReference w:id="1178"/>
      </w:r>
      <w:r w:rsidRPr="00F85263">
        <w:rPr>
          <w:rFonts w:cs="Arial"/>
          <w:rtl/>
        </w:rPr>
        <w:t xml:space="preserve">. </w:t>
      </w:r>
    </w:p>
    <w:p w14:paraId="3C95EFAD" w14:textId="034B4DFC" w:rsidR="00FA2119" w:rsidRPr="00E20DFB" w:rsidRDefault="00FA2119" w:rsidP="00FA2119">
      <w:pPr>
        <w:pStyle w:val="ab"/>
        <w:numPr>
          <w:ilvl w:val="0"/>
          <w:numId w:val="81"/>
        </w:numPr>
      </w:pPr>
      <w:r w:rsidRPr="00F85263">
        <w:rPr>
          <w:rFonts w:cs="Arial"/>
          <w:rtl/>
        </w:rPr>
        <w:t xml:space="preserve">ראבי"ה </w:t>
      </w:r>
      <w:r w:rsidRPr="00E4121D">
        <w:rPr>
          <w:rFonts w:cs="Arial"/>
          <w:sz w:val="16"/>
          <w:szCs w:val="16"/>
          <w:rtl/>
        </w:rPr>
        <w:t>(משפטי הכתובה סי' תתקיט</w:t>
      </w:r>
      <w:r w:rsidRPr="00E4121D">
        <w:rPr>
          <w:rFonts w:cs="Arial" w:hint="cs"/>
          <w:sz w:val="16"/>
          <w:szCs w:val="16"/>
          <w:rtl/>
        </w:rPr>
        <w:t>, וכ"כ בשמו המרדכי</w:t>
      </w:r>
      <w:r w:rsidRPr="00E4121D">
        <w:rPr>
          <w:rFonts w:cs="Arial"/>
          <w:sz w:val="16"/>
          <w:szCs w:val="16"/>
          <w:rtl/>
        </w:rPr>
        <w:t xml:space="preserve">) </w:t>
      </w:r>
      <w:r>
        <w:rPr>
          <w:rFonts w:cs="Arial" w:hint="cs"/>
          <w:rtl/>
        </w:rPr>
        <w:t xml:space="preserve">מרדכי </w:t>
      </w:r>
      <w:r w:rsidRPr="00E4121D">
        <w:rPr>
          <w:rFonts w:cs="Arial"/>
          <w:sz w:val="16"/>
          <w:szCs w:val="16"/>
          <w:rtl/>
        </w:rPr>
        <w:t>(סי' תרמג)</w:t>
      </w:r>
      <w:r>
        <w:rPr>
          <w:rFonts w:cs="Arial" w:hint="cs"/>
          <w:sz w:val="16"/>
          <w:szCs w:val="16"/>
          <w:rtl/>
        </w:rPr>
        <w:t xml:space="preserve"> </w:t>
      </w:r>
      <w:r>
        <w:rPr>
          <w:rFonts w:cs="Arial" w:hint="cs"/>
          <w:rtl/>
        </w:rPr>
        <w:t xml:space="preserve">והה"מ </w:t>
      </w:r>
      <w:r w:rsidRPr="00F85263">
        <w:rPr>
          <w:rFonts w:cs="Arial" w:hint="cs"/>
          <w:sz w:val="16"/>
          <w:szCs w:val="16"/>
          <w:rtl/>
        </w:rPr>
        <w:t>(פכ"ז</w:t>
      </w:r>
      <w:r w:rsidRPr="00F85263">
        <w:rPr>
          <w:rFonts w:cs="Arial"/>
          <w:sz w:val="16"/>
          <w:szCs w:val="16"/>
          <w:rtl/>
        </w:rPr>
        <w:t xml:space="preserve"> מ</w:t>
      </w:r>
      <w:r w:rsidRPr="00F85263">
        <w:rPr>
          <w:rFonts w:cs="Arial" w:hint="cs"/>
          <w:sz w:val="16"/>
          <w:szCs w:val="16"/>
          <w:rtl/>
        </w:rPr>
        <w:t>מלוה</w:t>
      </w:r>
      <w:r w:rsidRPr="00F85263">
        <w:rPr>
          <w:rFonts w:cs="Arial"/>
          <w:sz w:val="16"/>
          <w:szCs w:val="16"/>
          <w:rtl/>
        </w:rPr>
        <w:t xml:space="preserve"> ה"ד)</w:t>
      </w:r>
      <w:r w:rsidR="00A82951">
        <w:rPr>
          <w:rFonts w:cs="Arial" w:hint="cs"/>
          <w:rtl/>
        </w:rPr>
        <w:t>-</w:t>
      </w:r>
      <w:r>
        <w:rPr>
          <w:rFonts w:cs="Arial" w:hint="cs"/>
          <w:rtl/>
        </w:rPr>
        <w:t xml:space="preserve"> </w:t>
      </w:r>
      <w:r w:rsidRPr="00E4121D">
        <w:rPr>
          <w:rFonts w:cs="Arial"/>
          <w:rtl/>
        </w:rPr>
        <w:t>לא בכתב ידי עדים החתומים על השטר קאמר</w:t>
      </w:r>
      <w:r>
        <w:rPr>
          <w:rFonts w:cs="Arial" w:hint="cs"/>
          <w:rtl/>
        </w:rPr>
        <w:t>,</w:t>
      </w:r>
      <w:r w:rsidRPr="00E4121D">
        <w:rPr>
          <w:rFonts w:cs="Arial"/>
          <w:rtl/>
        </w:rPr>
        <w:t xml:space="preserve"> דאם כן נתת דבריך לשיעורים</w:t>
      </w:r>
      <w:r>
        <w:rPr>
          <w:rFonts w:cs="Arial" w:hint="cs"/>
          <w:rtl/>
        </w:rPr>
        <w:t>,</w:t>
      </w:r>
      <w:r w:rsidRPr="00E4121D">
        <w:rPr>
          <w:rFonts w:cs="Arial"/>
          <w:rtl/>
        </w:rPr>
        <w:t xml:space="preserve"> אלא בכתב רובא דאינשי שהם עדים</w:t>
      </w:r>
      <w:r>
        <w:rPr>
          <w:rFonts w:cs="Arial" w:hint="cs"/>
          <w:sz w:val="16"/>
          <w:szCs w:val="16"/>
          <w:rtl/>
        </w:rPr>
        <w:t xml:space="preserve"> (ל' המרדכי)</w:t>
      </w:r>
      <w:r>
        <w:rPr>
          <w:rFonts w:cs="Arial" w:hint="cs"/>
          <w:rtl/>
        </w:rPr>
        <w:t>.</w:t>
      </w:r>
      <w:r w:rsidRPr="00E4121D">
        <w:rPr>
          <w:rFonts w:cs="Arial"/>
          <w:rtl/>
        </w:rPr>
        <w:t xml:space="preserve"> </w:t>
      </w:r>
    </w:p>
    <w:p w14:paraId="5F189D48" w14:textId="77777777" w:rsidR="00FA2119" w:rsidRPr="00251D97" w:rsidRDefault="00FA2119" w:rsidP="00FA2119">
      <w:pPr>
        <w:rPr>
          <w:rFonts w:cs="Arial"/>
          <w:u w:val="single"/>
          <w:rtl/>
        </w:rPr>
      </w:pPr>
      <w:r w:rsidRPr="00251D97">
        <w:rPr>
          <w:rFonts w:cs="Arial"/>
          <w:u w:val="single"/>
          <w:rtl/>
        </w:rPr>
        <w:t>גרש בפסולי עדות</w:t>
      </w:r>
      <w:r w:rsidRPr="00251D97">
        <w:rPr>
          <w:rFonts w:cs="Arial" w:hint="cs"/>
          <w:u w:val="single"/>
          <w:rtl/>
        </w:rPr>
        <w:t xml:space="preserve"> </w:t>
      </w:r>
      <w:r w:rsidRPr="00251D97">
        <w:rPr>
          <w:rFonts w:cs="Arial" w:hint="cs"/>
          <w:b/>
          <w:bCs/>
          <w:u w:val="single"/>
          <w:rtl/>
        </w:rPr>
        <w:t>מ</w:t>
      </w:r>
      <w:r w:rsidRPr="00251D97">
        <w:rPr>
          <w:rFonts w:cs="Arial"/>
          <w:b/>
          <w:bCs/>
          <w:u w:val="single"/>
          <w:rtl/>
        </w:rPr>
        <w:t>דרבנן</w:t>
      </w:r>
      <w:r w:rsidRPr="00251D97">
        <w:rPr>
          <w:rFonts w:cs="Arial" w:hint="cs"/>
          <w:u w:val="single"/>
          <w:rtl/>
        </w:rPr>
        <w:t>:</w:t>
      </w:r>
    </w:p>
    <w:p w14:paraId="4E56C067" w14:textId="32281326" w:rsidR="00FA2119" w:rsidRDefault="00FA2119" w:rsidP="00FA2119">
      <w:pPr>
        <w:pStyle w:val="ab"/>
        <w:numPr>
          <w:ilvl w:val="0"/>
          <w:numId w:val="80"/>
        </w:numPr>
        <w:rPr>
          <w:rFonts w:cs="Arial"/>
        </w:rPr>
      </w:pPr>
      <w:r w:rsidRPr="00251D97">
        <w:rPr>
          <w:rFonts w:cs="Arial"/>
          <w:rtl/>
        </w:rPr>
        <w:t xml:space="preserve">רשב"א </w:t>
      </w:r>
      <w:r w:rsidRPr="00251D97">
        <w:rPr>
          <w:rFonts w:cs="Arial"/>
          <w:sz w:val="16"/>
          <w:szCs w:val="16"/>
          <w:rtl/>
        </w:rPr>
        <w:t>(ח"א סי</w:t>
      </w:r>
      <w:r w:rsidRPr="00251D97">
        <w:rPr>
          <w:rFonts w:cs="Arial" w:hint="cs"/>
          <w:sz w:val="16"/>
          <w:szCs w:val="16"/>
          <w:rtl/>
        </w:rPr>
        <w:t>'</w:t>
      </w:r>
      <w:r w:rsidRPr="00251D97">
        <w:rPr>
          <w:rFonts w:cs="Arial"/>
          <w:sz w:val="16"/>
          <w:szCs w:val="16"/>
          <w:rtl/>
        </w:rPr>
        <w:t xml:space="preserve"> אלף קסו</w:t>
      </w:r>
      <w:r w:rsidRPr="00251D97">
        <w:rPr>
          <w:rFonts w:cs="Arial" w:hint="cs"/>
          <w:sz w:val="16"/>
          <w:szCs w:val="16"/>
          <w:rtl/>
        </w:rPr>
        <w:t>)</w:t>
      </w:r>
      <w:r w:rsidR="00A82951">
        <w:rPr>
          <w:rFonts w:cs="Arial" w:hint="cs"/>
          <w:rtl/>
        </w:rPr>
        <w:t>-</w:t>
      </w:r>
      <w:r w:rsidRPr="00251D97">
        <w:rPr>
          <w:rFonts w:cs="Arial"/>
          <w:rtl/>
        </w:rPr>
        <w:t xml:space="preserve"> המגרש בפסולי עדות</w:t>
      </w:r>
      <w:r w:rsidRPr="00251D97">
        <w:rPr>
          <w:rFonts w:cs="Arial" w:hint="cs"/>
          <w:rtl/>
        </w:rPr>
        <w:t xml:space="preserve"> </w:t>
      </w:r>
      <w:r w:rsidRPr="00251D97">
        <w:rPr>
          <w:rFonts w:cs="Arial"/>
          <w:rtl/>
        </w:rPr>
        <w:t xml:space="preserve">דרבנן </w:t>
      </w:r>
      <w:r w:rsidR="00A82951">
        <w:rPr>
          <w:rFonts w:cs="Arial" w:hint="cs"/>
          <w:rtl/>
        </w:rPr>
        <w:t>-</w:t>
      </w:r>
      <w:r w:rsidRPr="00251D97">
        <w:rPr>
          <w:rFonts w:cs="Arial" w:hint="cs"/>
          <w:rtl/>
        </w:rPr>
        <w:t xml:space="preserve"> </w:t>
      </w:r>
      <w:r w:rsidRPr="00251D97">
        <w:rPr>
          <w:rFonts w:cs="Arial"/>
          <w:rtl/>
        </w:rPr>
        <w:t>הגט פסול ואינו בטל</w:t>
      </w:r>
      <w:r w:rsidRPr="00251D97">
        <w:rPr>
          <w:rFonts w:cs="Arial" w:hint="cs"/>
          <w:rtl/>
        </w:rPr>
        <w:t>,</w:t>
      </w:r>
      <w:r w:rsidRPr="00251D97">
        <w:rPr>
          <w:rFonts w:cs="Arial"/>
          <w:rtl/>
        </w:rPr>
        <w:t xml:space="preserve"> כיון דמדאורייתא כשרים הם</w:t>
      </w:r>
      <w:r>
        <w:rPr>
          <w:rStyle w:val="a7"/>
          <w:rFonts w:cs="Arial"/>
          <w:rtl/>
        </w:rPr>
        <w:footnoteReference w:id="1179"/>
      </w:r>
      <w:r w:rsidRPr="00251D97">
        <w:rPr>
          <w:rFonts w:cs="Arial" w:hint="cs"/>
          <w:rtl/>
        </w:rPr>
        <w:t>.</w:t>
      </w:r>
      <w:r w:rsidRPr="00251D97">
        <w:rPr>
          <w:rFonts w:cs="Arial"/>
          <w:rtl/>
        </w:rPr>
        <w:t xml:space="preserve"> </w:t>
      </w:r>
    </w:p>
    <w:p w14:paraId="712002CF" w14:textId="77777777" w:rsidR="00FA2119" w:rsidRPr="001213F9" w:rsidRDefault="00FA2119" w:rsidP="00FA2119">
      <w:pPr>
        <w:rPr>
          <w:rFonts w:cs="Arial"/>
          <w:u w:val="single"/>
        </w:rPr>
      </w:pPr>
      <w:r w:rsidRPr="001213F9">
        <w:rPr>
          <w:rFonts w:cs="Arial" w:hint="cs"/>
          <w:u w:val="single"/>
          <w:rtl/>
        </w:rPr>
        <w:t>באיזה כתב צריך לחתום:</w:t>
      </w:r>
    </w:p>
    <w:p w14:paraId="7418C5C4" w14:textId="2A02A9B6" w:rsidR="00FA2119" w:rsidRDefault="00FA2119" w:rsidP="00FA2119">
      <w:pPr>
        <w:pStyle w:val="ab"/>
        <w:numPr>
          <w:ilvl w:val="0"/>
          <w:numId w:val="80"/>
        </w:numPr>
        <w:rPr>
          <w:rFonts w:cs="Arial"/>
        </w:rPr>
      </w:pPr>
      <w:r w:rsidRPr="00157D88">
        <w:rPr>
          <w:rFonts w:cs="Arial" w:hint="cs"/>
          <w:rtl/>
        </w:rPr>
        <w:t>תשב"ץ</w:t>
      </w:r>
      <w:r w:rsidRPr="00157D88">
        <w:rPr>
          <w:rFonts w:cs="Arial"/>
          <w:rtl/>
        </w:rPr>
        <w:t xml:space="preserve"> </w:t>
      </w:r>
      <w:r w:rsidRPr="00157D88">
        <w:rPr>
          <w:rFonts w:cs="Arial"/>
          <w:sz w:val="16"/>
          <w:szCs w:val="16"/>
          <w:rtl/>
        </w:rPr>
        <w:t>(ח"א סי' ז)</w:t>
      </w:r>
      <w:r w:rsidR="00A82951">
        <w:rPr>
          <w:rFonts w:cs="Arial" w:hint="cs"/>
          <w:rtl/>
        </w:rPr>
        <w:t>-</w:t>
      </w:r>
      <w:r w:rsidRPr="00157D88">
        <w:rPr>
          <w:rFonts w:cs="Arial"/>
          <w:rtl/>
        </w:rPr>
        <w:t xml:space="preserve"> מה שנהגו לחתום בכתב אשורית </w:t>
      </w:r>
      <w:r w:rsidR="00A82951">
        <w:rPr>
          <w:rFonts w:cs="Arial" w:hint="cs"/>
          <w:rtl/>
        </w:rPr>
        <w:t>-</w:t>
      </w:r>
      <w:r>
        <w:rPr>
          <w:rFonts w:cs="Arial" w:hint="cs"/>
          <w:rtl/>
        </w:rPr>
        <w:t xml:space="preserve"> </w:t>
      </w:r>
      <w:r w:rsidRPr="00157D88">
        <w:rPr>
          <w:rFonts w:cs="Arial"/>
          <w:rtl/>
        </w:rPr>
        <w:t>אין קפידא</w:t>
      </w:r>
      <w:r>
        <w:rPr>
          <w:rFonts w:cs="Arial" w:hint="cs"/>
          <w:rtl/>
        </w:rPr>
        <w:t>,</w:t>
      </w:r>
      <w:r w:rsidRPr="00157D88">
        <w:rPr>
          <w:rFonts w:cs="Arial"/>
          <w:rtl/>
        </w:rPr>
        <w:t xml:space="preserve"> אלא נהגו כן מפני שיהא הגט ועדיו בכתיבה אחת</w:t>
      </w:r>
      <w:r>
        <w:rPr>
          <w:rFonts w:cs="Arial" w:hint="cs"/>
          <w:rtl/>
        </w:rPr>
        <w:t>.</w:t>
      </w:r>
      <w:r w:rsidRPr="00157D88">
        <w:rPr>
          <w:rFonts w:cs="Arial"/>
          <w:rtl/>
        </w:rPr>
        <w:t xml:space="preserve"> דלמאן דאמר (כא:) עדי חתימה כרתי</w:t>
      </w:r>
      <w:r>
        <w:rPr>
          <w:rFonts w:cs="Arial" w:hint="cs"/>
          <w:rtl/>
        </w:rPr>
        <w:t>,</w:t>
      </w:r>
      <w:r w:rsidRPr="00157D88">
        <w:rPr>
          <w:rFonts w:cs="Arial"/>
          <w:rtl/>
        </w:rPr>
        <w:t xml:space="preserve"> </w:t>
      </w:r>
      <w:r>
        <w:rPr>
          <w:rFonts w:cs="Arial" w:hint="cs"/>
          <w:rtl/>
        </w:rPr>
        <w:t>'</w:t>
      </w:r>
      <w:r w:rsidRPr="00157D88">
        <w:rPr>
          <w:rFonts w:cs="Arial"/>
          <w:rtl/>
        </w:rPr>
        <w:t>וכתב</w:t>
      </w:r>
      <w:r>
        <w:rPr>
          <w:rFonts w:cs="Arial" w:hint="cs"/>
          <w:rtl/>
        </w:rPr>
        <w:t>'</w:t>
      </w:r>
      <w:r w:rsidRPr="00157D88">
        <w:rPr>
          <w:rFonts w:cs="Arial"/>
          <w:rtl/>
        </w:rPr>
        <w:t xml:space="preserve"> דקרא (דברים כד ג) אעדים קאי</w:t>
      </w:r>
      <w:r>
        <w:rPr>
          <w:rFonts w:cs="Arial" w:hint="cs"/>
          <w:rtl/>
        </w:rPr>
        <w:t>,</w:t>
      </w:r>
      <w:r w:rsidRPr="00157D88">
        <w:rPr>
          <w:rFonts w:cs="Arial"/>
          <w:rtl/>
        </w:rPr>
        <w:t xml:space="preserve"> ובעינן כתיבה נקראת יפה</w:t>
      </w:r>
      <w:r>
        <w:rPr>
          <w:rFonts w:cs="Arial" w:hint="cs"/>
          <w:rtl/>
        </w:rPr>
        <w:t>.</w:t>
      </w:r>
      <w:r w:rsidRPr="00157D88">
        <w:rPr>
          <w:rFonts w:cs="Arial"/>
          <w:rtl/>
        </w:rPr>
        <w:t xml:space="preserve"> ואין מכאן הכרע דהא תנן (פז:) גט שכתבו עברית ועדיו יונית כשר</w:t>
      </w:r>
      <w:r>
        <w:rPr>
          <w:rFonts w:cs="Arial" w:hint="cs"/>
          <w:rtl/>
        </w:rPr>
        <w:t>.</w:t>
      </w:r>
      <w:r w:rsidRPr="00157D88">
        <w:rPr>
          <w:rFonts w:cs="Arial"/>
          <w:rtl/>
        </w:rPr>
        <w:t xml:space="preserve"> וגם שתהא הכתיבה נקראת לתינוק דלא חכים ולא טיפש אין צורך</w:t>
      </w:r>
      <w:r>
        <w:rPr>
          <w:rFonts w:cs="Arial" w:hint="cs"/>
          <w:rtl/>
        </w:rPr>
        <w:t>,</w:t>
      </w:r>
      <w:r w:rsidRPr="00157D88">
        <w:rPr>
          <w:rFonts w:cs="Arial"/>
          <w:rtl/>
        </w:rPr>
        <w:t xml:space="preserve"> דאפילו למאן דאמר עדי חתימה כרתי לא צריך לפרש שמותיהם בגט מן התורה</w:t>
      </w:r>
      <w:r>
        <w:rPr>
          <w:rFonts w:cs="Arial" w:hint="cs"/>
          <w:rtl/>
        </w:rPr>
        <w:t>,</w:t>
      </w:r>
      <w:r w:rsidRPr="00157D88">
        <w:rPr>
          <w:rFonts w:cs="Arial"/>
          <w:rtl/>
        </w:rPr>
        <w:t xml:space="preserve"> ומתכשרים כשאר שטרות</w:t>
      </w:r>
      <w:r>
        <w:rPr>
          <w:rFonts w:cs="Arial" w:hint="cs"/>
          <w:rtl/>
        </w:rPr>
        <w:t>,</w:t>
      </w:r>
      <w:r w:rsidRPr="00157D88">
        <w:rPr>
          <w:rFonts w:cs="Arial"/>
          <w:rtl/>
        </w:rPr>
        <w:t xml:space="preserve"> וכיון שפירשו אע"פ שאינם נקראים אלא לתינוק חריף כשר</w:t>
      </w:r>
      <w:r>
        <w:rPr>
          <w:rFonts w:cs="Arial" w:hint="cs"/>
          <w:rtl/>
        </w:rPr>
        <w:t>,</w:t>
      </w:r>
      <w:r w:rsidRPr="00157D88">
        <w:rPr>
          <w:rFonts w:cs="Arial"/>
          <w:rtl/>
        </w:rPr>
        <w:t xml:space="preserve"> שהרי אנו יודעים מי הם החתומים ויבואו ויקיימו חתימתם מפיהם. </w:t>
      </w:r>
    </w:p>
    <w:p w14:paraId="7567F918" w14:textId="77777777" w:rsidR="00FA2119" w:rsidRPr="00157D88" w:rsidRDefault="00FA2119" w:rsidP="00FA2119">
      <w:pPr>
        <w:rPr>
          <w:rFonts w:cs="Arial"/>
          <w:u w:val="single"/>
        </w:rPr>
      </w:pPr>
      <w:r w:rsidRPr="00157D88">
        <w:rPr>
          <w:rFonts w:cs="Arial" w:hint="cs"/>
          <w:u w:val="single"/>
          <w:rtl/>
        </w:rPr>
        <w:t>עד שטעה בשמו:</w:t>
      </w:r>
    </w:p>
    <w:p w14:paraId="30CC0887" w14:textId="0B74A6BC" w:rsidR="00FA2119" w:rsidRDefault="00FA2119" w:rsidP="00FA2119">
      <w:pPr>
        <w:pStyle w:val="ab"/>
        <w:numPr>
          <w:ilvl w:val="0"/>
          <w:numId w:val="80"/>
        </w:numPr>
        <w:rPr>
          <w:rFonts w:cs="Arial"/>
        </w:rPr>
      </w:pPr>
      <w:r w:rsidRPr="00157D88">
        <w:rPr>
          <w:rFonts w:cs="Arial" w:hint="cs"/>
          <w:rtl/>
        </w:rPr>
        <w:t>תשב"ץ</w:t>
      </w:r>
      <w:r w:rsidRPr="00157D88">
        <w:rPr>
          <w:rFonts w:cs="Arial"/>
          <w:rtl/>
        </w:rPr>
        <w:t xml:space="preserve"> </w:t>
      </w:r>
      <w:r w:rsidRPr="00157D88">
        <w:rPr>
          <w:rFonts w:cs="Arial"/>
          <w:sz w:val="16"/>
          <w:szCs w:val="16"/>
          <w:rtl/>
        </w:rPr>
        <w:t>(ח"א סי' ז)</w:t>
      </w:r>
      <w:r w:rsidR="00A82951">
        <w:rPr>
          <w:rFonts w:cs="Arial" w:hint="cs"/>
          <w:rtl/>
        </w:rPr>
        <w:t>-</w:t>
      </w:r>
      <w:r w:rsidRPr="00157D88">
        <w:rPr>
          <w:rFonts w:cs="Arial"/>
          <w:rtl/>
        </w:rPr>
        <w:t xml:space="preserve"> גט שחתם בו העד יוסף בן ראובן וטעה וחתם יוסף בן שמעון</w:t>
      </w:r>
      <w:r w:rsidR="0095365D">
        <w:rPr>
          <w:rFonts w:cs="Arial" w:hint="cs"/>
          <w:rtl/>
        </w:rPr>
        <w:t>,</w:t>
      </w:r>
      <w:r w:rsidRPr="00157D88">
        <w:rPr>
          <w:rFonts w:cs="Arial"/>
          <w:rtl/>
        </w:rPr>
        <w:t xml:space="preserve"> וחזר אח"כ וחתם יוסף בן ראובן </w:t>
      </w:r>
      <w:r w:rsidR="0095365D">
        <w:rPr>
          <w:rFonts w:cs="Arial" w:hint="cs"/>
          <w:rtl/>
        </w:rPr>
        <w:t xml:space="preserve">- </w:t>
      </w:r>
      <w:r w:rsidRPr="00157D88">
        <w:rPr>
          <w:rFonts w:cs="Arial"/>
          <w:rtl/>
        </w:rPr>
        <w:t>יראה שהגט פסול</w:t>
      </w:r>
      <w:r w:rsidR="0095365D">
        <w:rPr>
          <w:rFonts w:cs="Arial" w:hint="cs"/>
          <w:rtl/>
        </w:rPr>
        <w:t>,</w:t>
      </w:r>
      <w:r w:rsidRPr="00157D88">
        <w:rPr>
          <w:rFonts w:cs="Arial"/>
          <w:rtl/>
        </w:rPr>
        <w:t xml:space="preserve"> שחתימת זה העד אינה בעולם ואין לך מי שיקיים אותה</w:t>
      </w:r>
      <w:r w:rsidR="0095365D">
        <w:rPr>
          <w:rFonts w:cs="Arial" w:hint="cs"/>
          <w:rtl/>
        </w:rPr>
        <w:t>,</w:t>
      </w:r>
      <w:r w:rsidRPr="00157D88">
        <w:rPr>
          <w:rFonts w:cs="Arial"/>
          <w:rtl/>
        </w:rPr>
        <w:t xml:space="preserve"> ואם כן ה"ל כמזוייף מתוכו</w:t>
      </w:r>
      <w:r w:rsidR="0095365D">
        <w:rPr>
          <w:rFonts w:cs="Arial" w:hint="cs"/>
          <w:rtl/>
        </w:rPr>
        <w:t>,</w:t>
      </w:r>
      <w:r w:rsidRPr="00157D88">
        <w:rPr>
          <w:rFonts w:cs="Arial"/>
          <w:rtl/>
        </w:rPr>
        <w:t xml:space="preserve"> וכיון שהחתימה פסולה הגט פסול</w:t>
      </w:r>
      <w:r w:rsidR="0095365D">
        <w:rPr>
          <w:rFonts w:cs="Arial" w:hint="cs"/>
          <w:rtl/>
        </w:rPr>
        <w:t>,</w:t>
      </w:r>
      <w:r w:rsidRPr="00157D88">
        <w:rPr>
          <w:rFonts w:cs="Arial"/>
          <w:rtl/>
        </w:rPr>
        <w:t xml:space="preserve"> כיון שהחתימה פסולה היא קודם חתימת שמו האמיתי</w:t>
      </w:r>
      <w:r>
        <w:rPr>
          <w:rStyle w:val="a7"/>
          <w:rFonts w:cs="Arial"/>
          <w:rtl/>
        </w:rPr>
        <w:footnoteReference w:id="1180"/>
      </w:r>
      <w:r>
        <w:rPr>
          <w:rFonts w:cs="Arial" w:hint="cs"/>
          <w:rtl/>
        </w:rPr>
        <w:t>.</w:t>
      </w:r>
      <w:r w:rsidRPr="00157D88">
        <w:rPr>
          <w:rFonts w:cs="Arial"/>
          <w:rtl/>
        </w:rPr>
        <w:t xml:space="preserve"> </w:t>
      </w:r>
    </w:p>
    <w:p w14:paraId="1E6FF1CC" w14:textId="77777777" w:rsidR="00FA2119" w:rsidRPr="00690637" w:rsidRDefault="00FA2119" w:rsidP="00FA2119">
      <w:pPr>
        <w:rPr>
          <w:rFonts w:cs="Arial"/>
          <w:u w:val="single"/>
        </w:rPr>
      </w:pPr>
      <w:r w:rsidRPr="00690637">
        <w:rPr>
          <w:rFonts w:cs="Arial"/>
          <w:u w:val="single"/>
          <w:rtl/>
        </w:rPr>
        <w:t>אחד מעדי הגט הוא מומר</w:t>
      </w:r>
      <w:r w:rsidRPr="00690637">
        <w:rPr>
          <w:rFonts w:cs="Arial" w:hint="cs"/>
          <w:u w:val="single"/>
          <w:rtl/>
        </w:rPr>
        <w:t>:</w:t>
      </w:r>
    </w:p>
    <w:p w14:paraId="479BCEEA" w14:textId="3CCBA2F0" w:rsidR="00FA2119" w:rsidRPr="003123B3" w:rsidRDefault="00FA2119" w:rsidP="00FA2119">
      <w:pPr>
        <w:pStyle w:val="ab"/>
        <w:numPr>
          <w:ilvl w:val="0"/>
          <w:numId w:val="80"/>
        </w:numPr>
      </w:pPr>
      <w:r w:rsidRPr="001213F9">
        <w:rPr>
          <w:rFonts w:cs="Arial" w:hint="cs"/>
          <w:rtl/>
        </w:rPr>
        <w:t>תשובות מיימוניות</w:t>
      </w:r>
      <w:r>
        <w:rPr>
          <w:rFonts w:cs="Arial" w:hint="cs"/>
          <w:sz w:val="16"/>
          <w:szCs w:val="16"/>
          <w:rtl/>
        </w:rPr>
        <w:t xml:space="preserve"> (נשים סי' יב)</w:t>
      </w:r>
      <w:r>
        <w:rPr>
          <w:rFonts w:cs="Arial" w:hint="cs"/>
          <w:rtl/>
        </w:rPr>
        <w:t xml:space="preserve"> בשם אביאסף</w:t>
      </w:r>
      <w:r w:rsidR="00A82951">
        <w:rPr>
          <w:rFonts w:cs="Arial" w:hint="cs"/>
          <w:rtl/>
        </w:rPr>
        <w:t>-</w:t>
      </w:r>
      <w:r>
        <w:rPr>
          <w:rFonts w:cs="Arial" w:hint="cs"/>
          <w:rtl/>
        </w:rPr>
        <w:t xml:space="preserve"> </w:t>
      </w:r>
      <w:r w:rsidRPr="00C5775D">
        <w:rPr>
          <w:rFonts w:cs="Arial"/>
          <w:rtl/>
        </w:rPr>
        <w:t xml:space="preserve">פסק רב כ"צ גאון וגם רב עמרם גאון במקום שיש דחק של עדים כשרים אם חתם על הגט ישראל יהודי והשני שחתם עמו ישראל משומד </w:t>
      </w:r>
      <w:r w:rsidR="00A82951">
        <w:rPr>
          <w:rFonts w:cs="Arial" w:hint="cs"/>
          <w:rtl/>
        </w:rPr>
        <w:t>-</w:t>
      </w:r>
      <w:r>
        <w:rPr>
          <w:rFonts w:cs="Arial" w:hint="cs"/>
          <w:rtl/>
        </w:rPr>
        <w:t xml:space="preserve"> </w:t>
      </w:r>
      <w:r w:rsidRPr="00C5775D">
        <w:rPr>
          <w:rFonts w:cs="Arial"/>
          <w:rtl/>
        </w:rPr>
        <w:t>הגט כשר</w:t>
      </w:r>
      <w:r>
        <w:rPr>
          <w:rFonts w:cs="Arial" w:hint="cs"/>
          <w:rtl/>
        </w:rPr>
        <w:t>,</w:t>
      </w:r>
      <w:r w:rsidRPr="00C5775D">
        <w:rPr>
          <w:rFonts w:cs="Arial"/>
          <w:rtl/>
        </w:rPr>
        <w:t xml:space="preserve"> דאיתקוש יציאה להויה ואילו קידש ישראל משומד קידושיו קידושין ה"נ גיטו גט וגם יכול לחתום על הגט במקום שאין עדים וכדאמ' נמי (גיטין י</w:t>
      </w:r>
      <w:r>
        <w:rPr>
          <w:rFonts w:cs="Arial" w:hint="cs"/>
          <w:rtl/>
        </w:rPr>
        <w:t>.</w:t>
      </w:r>
      <w:r w:rsidRPr="00C5775D">
        <w:rPr>
          <w:rFonts w:cs="Arial"/>
          <w:rtl/>
        </w:rPr>
        <w:t>) והיו עדיו עדי כותים והכשיר. כך ראיתי בתשובות. ואומר אני לדברי רבינו האלפסי פסול, שהרי משומד שאינו משמר שבתו בשוק אינו מבטל רשות כדאיתא התם (עירובין סט</w:t>
      </w:r>
      <w:r>
        <w:rPr>
          <w:rFonts w:cs="Arial" w:hint="cs"/>
          <w:rtl/>
        </w:rPr>
        <w:t>:</w:t>
      </w:r>
      <w:r w:rsidRPr="00C5775D">
        <w:rPr>
          <w:rFonts w:cs="Arial"/>
          <w:rtl/>
        </w:rPr>
        <w:t>), וא"כ הו"ל גוי גמור. ותו דאוקימנא בפרק השוחט (מ</w:t>
      </w:r>
      <w:r>
        <w:rPr>
          <w:rFonts w:cs="Arial" w:hint="cs"/>
          <w:rtl/>
        </w:rPr>
        <w:t>.</w:t>
      </w:r>
      <w:r w:rsidRPr="00C5775D">
        <w:rPr>
          <w:rFonts w:cs="Arial"/>
          <w:rtl/>
        </w:rPr>
        <w:t>) הא דתנן שנים אוחזין בסכין ושוחטין</w:t>
      </w:r>
      <w:r>
        <w:rPr>
          <w:rFonts w:cs="Arial" w:hint="cs"/>
          <w:rtl/>
        </w:rPr>
        <w:t>,</w:t>
      </w:r>
      <w:r w:rsidRPr="00C5775D">
        <w:rPr>
          <w:rFonts w:cs="Arial"/>
          <w:rtl/>
        </w:rPr>
        <w:t xml:space="preserve"> אחד לשם אחד מכל אלו</w:t>
      </w:r>
      <w:r>
        <w:rPr>
          <w:rFonts w:cs="Arial" w:hint="cs"/>
          <w:rtl/>
        </w:rPr>
        <w:t>,</w:t>
      </w:r>
      <w:r w:rsidRPr="00C5775D">
        <w:rPr>
          <w:rFonts w:cs="Arial"/>
          <w:rtl/>
        </w:rPr>
        <w:t xml:space="preserve"> וא' לשם דבר </w:t>
      </w:r>
      <w:r w:rsidRPr="00C5775D">
        <w:rPr>
          <w:rFonts w:cs="Arial"/>
          <w:rtl/>
        </w:rPr>
        <w:lastRenderedPageBreak/>
        <w:t>כשר, בישראל משומד דדינו כגוי גמור. הילכך אין נ"ל דברי כ"צ ורב עמרם בזה, ולא אמרינן בכה"ג אע</w:t>
      </w:r>
      <w:r>
        <w:rPr>
          <w:rFonts w:cs="Arial" w:hint="cs"/>
          <w:rtl/>
        </w:rPr>
        <w:t>"</w:t>
      </w:r>
      <w:r w:rsidRPr="00C5775D">
        <w:rPr>
          <w:rFonts w:cs="Arial"/>
          <w:rtl/>
        </w:rPr>
        <w:t>פ שחטא ישראל הוא</w:t>
      </w:r>
      <w:r>
        <w:rPr>
          <w:rFonts w:cs="Arial" w:hint="cs"/>
          <w:rtl/>
        </w:rPr>
        <w:t>...</w:t>
      </w:r>
      <w:r w:rsidRPr="003123B3">
        <w:rPr>
          <w:rFonts w:cs="Arial"/>
          <w:rtl/>
        </w:rPr>
        <w:t xml:space="preserve"> </w:t>
      </w:r>
    </w:p>
    <w:p w14:paraId="3F5DBC80" w14:textId="77777777" w:rsidR="00FA2119" w:rsidRPr="004E7ADB" w:rsidRDefault="00FA2119" w:rsidP="00FA2119">
      <w:pPr>
        <w:rPr>
          <w:u w:val="single"/>
        </w:rPr>
      </w:pPr>
      <w:r w:rsidRPr="004E7ADB">
        <w:rPr>
          <w:rFonts w:hint="cs"/>
          <w:u w:val="single"/>
          <w:rtl/>
        </w:rPr>
        <w:t>כתיבת 'כדת משה וישראל'</w:t>
      </w:r>
      <w:r>
        <w:rPr>
          <w:rFonts w:hint="cs"/>
          <w:u w:val="single"/>
          <w:rtl/>
        </w:rPr>
        <w:t xml:space="preserve"> </w:t>
      </w:r>
      <w:r w:rsidRPr="004E7ADB">
        <w:rPr>
          <w:rFonts w:hint="cs"/>
          <w:u w:val="single"/>
          <w:rtl/>
        </w:rPr>
        <w:t>בשיטה אחרונה</w:t>
      </w:r>
      <w:r w:rsidRPr="00700DE6">
        <w:rPr>
          <w:rFonts w:hint="cs"/>
          <w:u w:val="single"/>
          <w:rtl/>
        </w:rPr>
        <w:t xml:space="preserve"> </w:t>
      </w:r>
      <w:r>
        <w:rPr>
          <w:rFonts w:hint="cs"/>
          <w:u w:val="single"/>
          <w:rtl/>
        </w:rPr>
        <w:t xml:space="preserve">עם </w:t>
      </w:r>
      <w:r w:rsidRPr="004E7ADB">
        <w:rPr>
          <w:rFonts w:hint="cs"/>
          <w:u w:val="single"/>
          <w:rtl/>
        </w:rPr>
        <w:t>חתימת העדים:</w:t>
      </w:r>
      <w:r w:rsidRPr="00700DE6">
        <w:rPr>
          <w:rFonts w:hint="cs"/>
          <w:u w:val="single"/>
          <w:rtl/>
        </w:rPr>
        <w:t xml:space="preserve"> </w:t>
      </w:r>
    </w:p>
    <w:p w14:paraId="0A155E02" w14:textId="7F36F249" w:rsidR="00FA2119" w:rsidRDefault="00FA2119" w:rsidP="00FA2119">
      <w:pPr>
        <w:pStyle w:val="ab"/>
        <w:numPr>
          <w:ilvl w:val="0"/>
          <w:numId w:val="81"/>
        </w:numPr>
      </w:pPr>
      <w:r w:rsidRPr="00E20DFB">
        <w:rPr>
          <w:rFonts w:cs="Arial"/>
          <w:rtl/>
        </w:rPr>
        <w:t>רשב"א</w:t>
      </w:r>
      <w:r w:rsidRPr="00E20DFB">
        <w:rPr>
          <w:rFonts w:cs="Arial"/>
          <w:sz w:val="16"/>
          <w:szCs w:val="16"/>
          <w:rtl/>
        </w:rPr>
        <w:t xml:space="preserve"> (ח"א סי' אלף רכ</w:t>
      </w:r>
      <w:r>
        <w:rPr>
          <w:rFonts w:cs="Arial" w:hint="cs"/>
          <w:sz w:val="16"/>
          <w:szCs w:val="16"/>
          <w:rtl/>
        </w:rPr>
        <w:t>, וכ"כ הריב"ש [סי' נד] בשמו</w:t>
      </w:r>
      <w:r w:rsidRPr="00E20DFB">
        <w:rPr>
          <w:rFonts w:cs="Arial"/>
          <w:sz w:val="16"/>
          <w:szCs w:val="16"/>
          <w:rtl/>
        </w:rPr>
        <w:t>)</w:t>
      </w:r>
      <w:r w:rsidR="00A82951">
        <w:rPr>
          <w:rFonts w:cs="Arial" w:hint="cs"/>
          <w:rtl/>
        </w:rPr>
        <w:t>-</w:t>
      </w:r>
      <w:r w:rsidRPr="00E20DFB">
        <w:rPr>
          <w:rFonts w:cs="Arial"/>
          <w:rtl/>
        </w:rPr>
        <w:t xml:space="preserve"> מה שאמרו שיהא כדת משה וישראל בחצי שיטה והעדים בחצי שיטה הנשארת</w:t>
      </w:r>
      <w:r w:rsidR="00E27F64">
        <w:rPr>
          <w:rFonts w:cs="Arial" w:hint="cs"/>
          <w:rtl/>
        </w:rPr>
        <w:t>,</w:t>
      </w:r>
      <w:r w:rsidRPr="00E20DFB">
        <w:rPr>
          <w:rFonts w:cs="Arial"/>
          <w:rtl/>
        </w:rPr>
        <w:t xml:space="preserve"> זה דקדוק נאה מאד וראוי להכשיר בו הגיטין</w:t>
      </w:r>
      <w:r>
        <w:rPr>
          <w:rFonts w:cs="Arial" w:hint="cs"/>
          <w:rtl/>
        </w:rPr>
        <w:t>.</w:t>
      </w:r>
      <w:r w:rsidRPr="00E20DFB">
        <w:rPr>
          <w:rFonts w:cs="Arial"/>
          <w:rtl/>
        </w:rPr>
        <w:t xml:space="preserve"> ולא גט אשה בלבד אלא אף גיטי ממון</w:t>
      </w:r>
      <w:r>
        <w:rPr>
          <w:rFonts w:cs="Arial" w:hint="cs"/>
          <w:rtl/>
        </w:rPr>
        <w:t>,</w:t>
      </w:r>
      <w:r w:rsidRPr="00E20DFB">
        <w:rPr>
          <w:rFonts w:cs="Arial"/>
          <w:rtl/>
        </w:rPr>
        <w:t xml:space="preserve"> לפי שאנו מוחזקין בלי ספק שלא חתמו העדים בחצי שיטה אם לא היתה חצי השיטה הקודמת כתובה</w:t>
      </w:r>
      <w:r>
        <w:rPr>
          <w:rFonts w:cs="Arial" w:hint="cs"/>
          <w:rtl/>
        </w:rPr>
        <w:t>,</w:t>
      </w:r>
      <w:r w:rsidRPr="00E20DFB">
        <w:rPr>
          <w:rFonts w:cs="Arial"/>
          <w:rtl/>
        </w:rPr>
        <w:t xml:space="preserve"> שאילו עשו כן היו עושין שלא כדין</w:t>
      </w:r>
      <w:r w:rsidR="00E27F64">
        <w:rPr>
          <w:rFonts w:cs="Arial" w:hint="cs"/>
          <w:rtl/>
        </w:rPr>
        <w:t>,</w:t>
      </w:r>
      <w:r w:rsidRPr="00E20DFB">
        <w:rPr>
          <w:rFonts w:cs="Arial"/>
          <w:rtl/>
        </w:rPr>
        <w:t xml:space="preserve"> שהרי יכול בעל השטר להוסיף מה שירצה באותו חצי שיטה ולחתוך מה שלמעלה וה"ל שטר הבא הוא ועדיו בשיטה אחת דכשר (ב"ב קסג:)</w:t>
      </w:r>
      <w:r>
        <w:rPr>
          <w:rFonts w:cs="Arial" w:hint="cs"/>
          <w:rtl/>
        </w:rPr>
        <w:t>,</w:t>
      </w:r>
      <w:r w:rsidRPr="00E20DFB">
        <w:rPr>
          <w:rFonts w:cs="Arial"/>
          <w:rtl/>
        </w:rPr>
        <w:t xml:space="preserve"> וכיון שכן חזקה שלא חתמו הם בחצי שיטה אם לא היה כתוב כבר בחצי השיטה מלמעלה מה שאנו מוצאין אותו כתוב עכשיו</w:t>
      </w:r>
      <w:r>
        <w:rPr>
          <w:rFonts w:cs="Arial" w:hint="cs"/>
          <w:rtl/>
        </w:rPr>
        <w:t>,</w:t>
      </w:r>
      <w:r w:rsidRPr="00E20DFB">
        <w:rPr>
          <w:rFonts w:cs="Arial"/>
          <w:rtl/>
        </w:rPr>
        <w:t xml:space="preserve"> ולא הניחו חצי השיטה פנויה</w:t>
      </w:r>
      <w:r>
        <w:rPr>
          <w:rFonts w:cs="Arial" w:hint="cs"/>
          <w:rtl/>
        </w:rPr>
        <w:t>.</w:t>
      </w:r>
      <w:r w:rsidRPr="00E20DFB">
        <w:rPr>
          <w:rFonts w:cs="Arial"/>
          <w:rtl/>
        </w:rPr>
        <w:t xml:space="preserve"> וכל שאנו רואים העדים חתומים בחצי שיטה וכתוב למעלה מהן בחצי שיטה</w:t>
      </w:r>
      <w:r>
        <w:rPr>
          <w:rFonts w:cs="Arial" w:hint="cs"/>
          <w:rtl/>
        </w:rPr>
        <w:t xml:space="preserve"> </w:t>
      </w:r>
      <w:r w:rsidR="00A82951">
        <w:rPr>
          <w:rFonts w:cs="Arial" w:hint="cs"/>
          <w:rtl/>
        </w:rPr>
        <w:t>-</w:t>
      </w:r>
      <w:r w:rsidRPr="00E20DFB">
        <w:rPr>
          <w:rFonts w:cs="Arial"/>
          <w:rtl/>
        </w:rPr>
        <w:t xml:space="preserve"> למדין אפילו מאותה חצי שיטה</w:t>
      </w:r>
      <w:r>
        <w:rPr>
          <w:rFonts w:cs="Arial" w:hint="cs"/>
          <w:sz w:val="16"/>
          <w:szCs w:val="16"/>
          <w:rtl/>
        </w:rPr>
        <w:t xml:space="preserve"> (ל' הרשב"א)</w:t>
      </w:r>
      <w:r>
        <w:rPr>
          <w:rFonts w:cs="Arial" w:hint="cs"/>
          <w:rtl/>
        </w:rPr>
        <w:t>.</w:t>
      </w:r>
      <w:r w:rsidRPr="00E20DFB">
        <w:rPr>
          <w:rFonts w:cs="Arial"/>
          <w:rtl/>
        </w:rPr>
        <w:t xml:space="preserve"> </w:t>
      </w:r>
    </w:p>
    <w:p w14:paraId="70C42E97" w14:textId="77777777" w:rsidR="00FA2119" w:rsidRPr="00E20DFB" w:rsidRDefault="00FA2119" w:rsidP="00FA2119">
      <w:r w:rsidRPr="00E20DFB">
        <w:rPr>
          <w:rFonts w:cs="Arial"/>
          <w:u w:val="single"/>
          <w:rtl/>
        </w:rPr>
        <w:t xml:space="preserve">גט שנכתב </w:t>
      </w:r>
      <w:r w:rsidRPr="00E20DFB">
        <w:rPr>
          <w:rFonts w:cs="Arial" w:hint="cs"/>
          <w:u w:val="single"/>
          <w:rtl/>
        </w:rPr>
        <w:t>'</w:t>
      </w:r>
      <w:r>
        <w:rPr>
          <w:rFonts w:cs="Arial" w:hint="cs"/>
          <w:u w:val="single"/>
          <w:rtl/>
        </w:rPr>
        <w:t>אגרת שבוקין כדת משה וישראל</w:t>
      </w:r>
      <w:r w:rsidRPr="00E20DFB">
        <w:rPr>
          <w:rFonts w:cs="Arial" w:hint="cs"/>
          <w:u w:val="single"/>
          <w:rtl/>
        </w:rPr>
        <w:t>'</w:t>
      </w:r>
      <w:r w:rsidRPr="00E20DFB">
        <w:rPr>
          <w:rFonts w:cs="Arial"/>
          <w:u w:val="single"/>
          <w:rtl/>
        </w:rPr>
        <w:t xml:space="preserve"> בשיטה אחרונה</w:t>
      </w:r>
      <w:r w:rsidRPr="00E20DFB">
        <w:rPr>
          <w:rFonts w:hint="cs"/>
          <w:u w:val="single"/>
          <w:rtl/>
        </w:rPr>
        <w:t>:</w:t>
      </w:r>
    </w:p>
    <w:p w14:paraId="313C5C14" w14:textId="32B0B902" w:rsidR="00FA2119" w:rsidRPr="00E20DFB" w:rsidRDefault="00FA2119" w:rsidP="00FA2119">
      <w:pPr>
        <w:pStyle w:val="ab"/>
        <w:numPr>
          <w:ilvl w:val="0"/>
          <w:numId w:val="81"/>
        </w:numPr>
      </w:pPr>
      <w:r w:rsidRPr="00E20DFB">
        <w:rPr>
          <w:rFonts w:cs="Arial"/>
          <w:rtl/>
        </w:rPr>
        <w:t>רשב"א</w:t>
      </w:r>
      <w:r w:rsidRPr="00E20DFB">
        <w:rPr>
          <w:rFonts w:cs="Arial"/>
          <w:sz w:val="16"/>
          <w:szCs w:val="16"/>
          <w:rtl/>
        </w:rPr>
        <w:t xml:space="preserve"> (ח"א סי' </w:t>
      </w:r>
      <w:r>
        <w:rPr>
          <w:rFonts w:cs="Arial" w:hint="cs"/>
          <w:sz w:val="16"/>
          <w:szCs w:val="16"/>
          <w:rtl/>
        </w:rPr>
        <w:t>תקסב, וכ"כ הריב"ש [סי' נד] בשמו</w:t>
      </w:r>
      <w:r w:rsidRPr="00E20DFB">
        <w:rPr>
          <w:rFonts w:cs="Arial"/>
          <w:sz w:val="16"/>
          <w:szCs w:val="16"/>
          <w:rtl/>
        </w:rPr>
        <w:t>)</w:t>
      </w:r>
      <w:r w:rsidR="00A82951">
        <w:rPr>
          <w:rFonts w:cs="Arial" w:hint="cs"/>
          <w:rtl/>
        </w:rPr>
        <w:t>-</w:t>
      </w:r>
      <w:r>
        <w:rPr>
          <w:rFonts w:cs="Arial" w:hint="cs"/>
          <w:rtl/>
        </w:rPr>
        <w:t xml:space="preserve"> </w:t>
      </w:r>
      <w:r w:rsidRPr="004E7ADB">
        <w:rPr>
          <w:rFonts w:cs="Arial"/>
          <w:rtl/>
        </w:rPr>
        <w:t xml:space="preserve">מה שכתבת שבשיטה אחרונה כתוב </w:t>
      </w:r>
      <w:r>
        <w:rPr>
          <w:rFonts w:cs="Arial" w:hint="cs"/>
          <w:rtl/>
        </w:rPr>
        <w:t>'</w:t>
      </w:r>
      <w:r w:rsidRPr="004E7ADB">
        <w:rPr>
          <w:rFonts w:cs="Arial"/>
          <w:rtl/>
        </w:rPr>
        <w:t>אגרת שבוקין כדת משה וישראל</w:t>
      </w:r>
      <w:r>
        <w:rPr>
          <w:rFonts w:cs="Arial" w:hint="cs"/>
          <w:rtl/>
        </w:rPr>
        <w:t>',</w:t>
      </w:r>
      <w:r w:rsidRPr="004E7ADB">
        <w:rPr>
          <w:rFonts w:cs="Arial"/>
          <w:rtl/>
        </w:rPr>
        <w:t xml:space="preserve"> אם חתמו העדים באותה שיטה </w:t>
      </w:r>
      <w:r w:rsidR="00A82951">
        <w:rPr>
          <w:rFonts w:cs="Arial" w:hint="cs"/>
          <w:rtl/>
        </w:rPr>
        <w:t>-</w:t>
      </w:r>
      <w:r>
        <w:rPr>
          <w:rFonts w:cs="Arial" w:hint="cs"/>
          <w:rtl/>
        </w:rPr>
        <w:t xml:space="preserve"> </w:t>
      </w:r>
      <w:r w:rsidRPr="004E7ADB">
        <w:rPr>
          <w:rFonts w:cs="Arial"/>
          <w:rtl/>
        </w:rPr>
        <w:t>אין חשש בזה</w:t>
      </w:r>
      <w:r>
        <w:rPr>
          <w:rFonts w:cs="Arial" w:hint="cs"/>
          <w:rtl/>
        </w:rPr>
        <w:t>.</w:t>
      </w:r>
      <w:r w:rsidRPr="004E7ADB">
        <w:rPr>
          <w:rFonts w:cs="Arial"/>
          <w:rtl/>
        </w:rPr>
        <w:t xml:space="preserve"> ועוד דכיון שהורגלו עכשיו לכתוב בכל הגיטין כדת משה וישראל באחרונה </w:t>
      </w:r>
      <w:r w:rsidR="00A82951">
        <w:rPr>
          <w:rFonts w:cs="Arial" w:hint="cs"/>
          <w:rtl/>
        </w:rPr>
        <w:t>-</w:t>
      </w:r>
      <w:r>
        <w:rPr>
          <w:rFonts w:cs="Arial" w:hint="cs"/>
          <w:rtl/>
        </w:rPr>
        <w:t xml:space="preserve"> </w:t>
      </w:r>
      <w:r w:rsidRPr="004E7ADB">
        <w:rPr>
          <w:rFonts w:cs="Arial"/>
          <w:rtl/>
        </w:rPr>
        <w:t>הרי הוא כמו שריר וקים שבשאר שטרות</w:t>
      </w:r>
      <w:r>
        <w:rPr>
          <w:rFonts w:cs="Arial" w:hint="cs"/>
          <w:rtl/>
        </w:rPr>
        <w:t>,</w:t>
      </w:r>
      <w:r w:rsidRPr="004E7ADB">
        <w:rPr>
          <w:rFonts w:cs="Arial"/>
          <w:rtl/>
        </w:rPr>
        <w:t xml:space="preserve"> שאנו סומכים ללמוד אף משיטה אחרונה</w:t>
      </w:r>
      <w:r>
        <w:rPr>
          <w:rFonts w:cs="Arial" w:hint="cs"/>
          <w:rtl/>
        </w:rPr>
        <w:t>,</w:t>
      </w:r>
      <w:r w:rsidRPr="004E7ADB">
        <w:rPr>
          <w:rFonts w:cs="Arial"/>
          <w:rtl/>
        </w:rPr>
        <w:t xml:space="preserve"> שכן נוהגים בכל מקומותינו על סמך דבר זה</w:t>
      </w:r>
      <w:r>
        <w:rPr>
          <w:rStyle w:val="a7"/>
          <w:rFonts w:cs="Arial"/>
          <w:rtl/>
        </w:rPr>
        <w:footnoteReference w:id="1181"/>
      </w:r>
      <w:r w:rsidRPr="004E7ADB">
        <w:rPr>
          <w:rFonts w:cs="Arial" w:hint="cs"/>
          <w:rtl/>
        </w:rPr>
        <w:t xml:space="preserve">. </w:t>
      </w:r>
    </w:p>
    <w:p w14:paraId="73A5439A" w14:textId="77777777" w:rsidR="00FA2119" w:rsidRPr="00E20DFB" w:rsidRDefault="00FA2119" w:rsidP="00FA2119">
      <w:pPr>
        <w:rPr>
          <w:u w:val="single"/>
        </w:rPr>
      </w:pPr>
      <w:r w:rsidRPr="00E20DFB">
        <w:rPr>
          <w:rFonts w:cs="Arial"/>
          <w:u w:val="single"/>
          <w:rtl/>
        </w:rPr>
        <w:t xml:space="preserve">גט שנכתב </w:t>
      </w:r>
      <w:r w:rsidRPr="00E20DFB">
        <w:rPr>
          <w:rFonts w:cs="Arial" w:hint="cs"/>
          <w:u w:val="single"/>
          <w:rtl/>
        </w:rPr>
        <w:t>'</w:t>
      </w:r>
      <w:r w:rsidRPr="00E20DFB">
        <w:rPr>
          <w:rFonts w:cs="Arial"/>
          <w:u w:val="single"/>
          <w:rtl/>
        </w:rPr>
        <w:t>וגט פיטורין</w:t>
      </w:r>
      <w:r w:rsidRPr="00E20DFB">
        <w:rPr>
          <w:rFonts w:cs="Arial" w:hint="cs"/>
          <w:u w:val="single"/>
          <w:rtl/>
        </w:rPr>
        <w:t>'</w:t>
      </w:r>
      <w:r w:rsidRPr="00E20DFB">
        <w:rPr>
          <w:rFonts w:cs="Arial"/>
          <w:u w:val="single"/>
          <w:rtl/>
        </w:rPr>
        <w:t xml:space="preserve"> בשיטה אחרונה</w:t>
      </w:r>
      <w:r w:rsidRPr="00E20DFB">
        <w:rPr>
          <w:rFonts w:hint="cs"/>
          <w:u w:val="single"/>
          <w:rtl/>
        </w:rPr>
        <w:t>:</w:t>
      </w:r>
    </w:p>
    <w:p w14:paraId="261F7112" w14:textId="162F3648" w:rsidR="00FA2119" w:rsidRDefault="00FA2119" w:rsidP="00FA2119">
      <w:pPr>
        <w:pStyle w:val="ab"/>
        <w:numPr>
          <w:ilvl w:val="0"/>
          <w:numId w:val="81"/>
        </w:numPr>
        <w:rPr>
          <w:rtl/>
        </w:rPr>
      </w:pPr>
      <w:r>
        <w:rPr>
          <w:rFonts w:cs="Arial" w:hint="cs"/>
          <w:rtl/>
        </w:rPr>
        <w:t xml:space="preserve">תשב"ץ </w:t>
      </w:r>
      <w:r w:rsidRPr="00E20DFB">
        <w:rPr>
          <w:rFonts w:cs="Arial"/>
          <w:sz w:val="16"/>
          <w:szCs w:val="16"/>
          <w:rtl/>
        </w:rPr>
        <w:t>(ח"א סי' כ)</w:t>
      </w:r>
      <w:r w:rsidR="00A82951">
        <w:rPr>
          <w:rFonts w:cs="Arial" w:hint="cs"/>
          <w:rtl/>
        </w:rPr>
        <w:t>-</w:t>
      </w:r>
      <w:r w:rsidRPr="00E20DFB">
        <w:rPr>
          <w:rFonts w:cs="Arial"/>
          <w:rtl/>
        </w:rPr>
        <w:t xml:space="preserve"> גט שנכתב </w:t>
      </w:r>
      <w:r>
        <w:rPr>
          <w:rFonts w:cs="Arial" w:hint="cs"/>
          <w:rtl/>
        </w:rPr>
        <w:t>'</w:t>
      </w:r>
      <w:r w:rsidRPr="00E20DFB">
        <w:rPr>
          <w:rFonts w:cs="Arial"/>
          <w:rtl/>
        </w:rPr>
        <w:t>וגט פיטורין</w:t>
      </w:r>
      <w:r>
        <w:rPr>
          <w:rFonts w:cs="Arial" w:hint="cs"/>
          <w:rtl/>
        </w:rPr>
        <w:t>'</w:t>
      </w:r>
      <w:r w:rsidRPr="00E20DFB">
        <w:rPr>
          <w:rFonts w:cs="Arial"/>
          <w:rtl/>
        </w:rPr>
        <w:t xml:space="preserve"> בשיטה אחרונה </w:t>
      </w:r>
      <w:r w:rsidR="00A82951">
        <w:rPr>
          <w:rFonts w:cs="Arial" w:hint="cs"/>
          <w:rtl/>
        </w:rPr>
        <w:t>-</w:t>
      </w:r>
      <w:r>
        <w:rPr>
          <w:rFonts w:cs="Arial" w:hint="cs"/>
          <w:rtl/>
        </w:rPr>
        <w:t xml:space="preserve"> </w:t>
      </w:r>
      <w:r w:rsidRPr="00E20DFB">
        <w:rPr>
          <w:rFonts w:cs="Arial"/>
          <w:rtl/>
        </w:rPr>
        <w:t>כשר</w:t>
      </w:r>
      <w:r>
        <w:rPr>
          <w:rFonts w:cs="Arial" w:hint="cs"/>
          <w:rtl/>
        </w:rPr>
        <w:t>.</w:t>
      </w:r>
      <w:r w:rsidRPr="00E20DFB">
        <w:rPr>
          <w:rFonts w:cs="Arial"/>
          <w:rtl/>
        </w:rPr>
        <w:t xml:space="preserve"> שאפילו תאמר דבכיוצא בזה אין למדין משיטה אחרונה (ב"ב קסב.)</w:t>
      </w:r>
      <w:r>
        <w:rPr>
          <w:rFonts w:cs="Arial" w:hint="cs"/>
          <w:rtl/>
        </w:rPr>
        <w:t>,</w:t>
      </w:r>
      <w:r w:rsidRPr="00E20DFB">
        <w:rPr>
          <w:rFonts w:cs="Arial"/>
          <w:rtl/>
        </w:rPr>
        <w:t xml:space="preserve"> בנדון זה שלא נכתב אלא וגט פיטורין ובשיטה שלמעלה נכתב ודן די יהוי ליכי מנאי ספר תרוכין ואגרת שבוקין (גיטין פה:) אין עיכוב בגט פיטורין</w:t>
      </w:r>
      <w:r>
        <w:rPr>
          <w:rFonts w:cs="Arial" w:hint="cs"/>
          <w:rtl/>
        </w:rPr>
        <w:t>.</w:t>
      </w:r>
      <w:r w:rsidRPr="00E20DFB">
        <w:rPr>
          <w:rFonts w:cs="Arial"/>
          <w:rtl/>
        </w:rPr>
        <w:t xml:space="preserve"> ומה שכתוב וגט פיטורין בהדי הני היינו משום דכל דברי חכמים משולשים כדאמרינן במנחות (סה.) מגל זו וכו'</w:t>
      </w:r>
      <w:r>
        <w:rPr>
          <w:rFonts w:cs="Arial" w:hint="cs"/>
          <w:rtl/>
        </w:rPr>
        <w:t>.</w:t>
      </w:r>
      <w:r w:rsidRPr="00E20DFB">
        <w:rPr>
          <w:rFonts w:cs="Arial"/>
          <w:rtl/>
        </w:rPr>
        <w:t xml:space="preserve"> וגט עצמו יוכיח שכתוב פטרית ושבקית ותרוכית</w:t>
      </w:r>
      <w:r w:rsidR="00E27F64">
        <w:rPr>
          <w:rFonts w:cs="Arial" w:hint="cs"/>
          <w:rtl/>
        </w:rPr>
        <w:t>,</w:t>
      </w:r>
      <w:r w:rsidRPr="00E20DFB">
        <w:rPr>
          <w:rFonts w:cs="Arial"/>
          <w:rtl/>
        </w:rPr>
        <w:t xml:space="preserve"> ובודאי דאי לא כתב כל הני לישני בגיטא לא מיפסל</w:t>
      </w:r>
      <w:r>
        <w:rPr>
          <w:rFonts w:cs="Arial" w:hint="cs"/>
          <w:rtl/>
        </w:rPr>
        <w:t>,</w:t>
      </w:r>
      <w:r w:rsidRPr="00E20DFB">
        <w:rPr>
          <w:rFonts w:cs="Arial"/>
          <w:rtl/>
        </w:rPr>
        <w:t xml:space="preserve"> דשופרא דגיטא הוא וליכא עיכובא</w:t>
      </w:r>
      <w:r>
        <w:rPr>
          <w:rFonts w:cs="Arial" w:hint="cs"/>
          <w:rtl/>
        </w:rPr>
        <w:t>.</w:t>
      </w:r>
      <w:r w:rsidRPr="00E20DFB">
        <w:rPr>
          <w:rFonts w:cs="Arial"/>
          <w:rtl/>
        </w:rPr>
        <w:t xml:space="preserve"> ועוד כי היה אומר ר"י שאין לפסול כשכתוב ודן די יהוי בשיטה אחרונה אלא דוקא בגט שהאשה מביאה לב"ד שיתירוה לינשא על ידו שמא הוסיף</w:t>
      </w:r>
      <w:r>
        <w:rPr>
          <w:rFonts w:cs="Arial" w:hint="cs"/>
          <w:rtl/>
        </w:rPr>
        <w:t>,</w:t>
      </w:r>
      <w:r w:rsidRPr="00E20DFB">
        <w:rPr>
          <w:rFonts w:cs="Arial"/>
          <w:rtl/>
        </w:rPr>
        <w:t xml:space="preserve"> אבל בגט שהבעל נותן לאשה או לשלוחה</w:t>
      </w:r>
      <w:r w:rsidR="00E27F64">
        <w:rPr>
          <w:rFonts w:cs="Arial" w:hint="cs"/>
          <w:rtl/>
        </w:rPr>
        <w:t>,</w:t>
      </w:r>
      <w:r w:rsidRPr="00E20DFB">
        <w:rPr>
          <w:rFonts w:cs="Arial"/>
          <w:rtl/>
        </w:rPr>
        <w:t xml:space="preserve"> ואינה משמרתו אלא לראיה </w:t>
      </w:r>
      <w:r w:rsidR="00E27F64">
        <w:rPr>
          <w:rFonts w:cs="Arial" w:hint="cs"/>
          <w:rtl/>
        </w:rPr>
        <w:t xml:space="preserve">- </w:t>
      </w:r>
      <w:r w:rsidRPr="00E20DFB">
        <w:rPr>
          <w:rFonts w:cs="Arial"/>
          <w:rtl/>
        </w:rPr>
        <w:t>אפילו בעדי מסירה היינו מתירין אותה אפילו עיקר התורף בשיטה אחרונה</w:t>
      </w:r>
      <w:r w:rsidRPr="00700DE6">
        <w:rPr>
          <w:rFonts w:cs="Arial" w:hint="cs"/>
          <w:rtl/>
        </w:rPr>
        <w:t>.</w:t>
      </w:r>
    </w:p>
    <w:p w14:paraId="1F417869" w14:textId="77777777" w:rsidR="00FA2119" w:rsidRPr="004E5AD8" w:rsidRDefault="00FA2119" w:rsidP="00FA2119">
      <w:pPr>
        <w:rPr>
          <w:u w:val="single"/>
        </w:rPr>
      </w:pPr>
      <w:r w:rsidRPr="004E5AD8">
        <w:rPr>
          <w:rFonts w:hint="cs"/>
          <w:u w:val="single"/>
          <w:rtl/>
        </w:rPr>
        <w:t xml:space="preserve">עד שחתם בריחוק יותר </w:t>
      </w:r>
      <w:r>
        <w:rPr>
          <w:rFonts w:hint="cs"/>
          <w:u w:val="single"/>
          <w:rtl/>
        </w:rPr>
        <w:t>מש</w:t>
      </w:r>
      <w:r w:rsidRPr="004E5AD8">
        <w:rPr>
          <w:rFonts w:hint="cs"/>
          <w:u w:val="single"/>
          <w:rtl/>
        </w:rPr>
        <w:t>תי שיטין כדי להשאיר מקום לעד שגדול ממנו שיחתום ראשון:</w:t>
      </w:r>
      <w:r w:rsidRPr="004E5AD8">
        <w:rPr>
          <w:rFonts w:cs="Arial"/>
          <w:sz w:val="16"/>
          <w:szCs w:val="16"/>
          <w:rtl/>
        </w:rPr>
        <w:t xml:space="preserve"> (</w:t>
      </w:r>
      <w:r w:rsidRPr="004E5AD8">
        <w:rPr>
          <w:rFonts w:cs="Arial" w:hint="cs"/>
          <w:sz w:val="16"/>
          <w:szCs w:val="16"/>
          <w:rtl/>
        </w:rPr>
        <w:t xml:space="preserve">דרכ"מ אות </w:t>
      </w:r>
      <w:r w:rsidRPr="004E5AD8">
        <w:rPr>
          <w:rFonts w:cs="Arial"/>
          <w:sz w:val="16"/>
          <w:szCs w:val="16"/>
          <w:rtl/>
        </w:rPr>
        <w:t>ו)</w:t>
      </w:r>
    </w:p>
    <w:p w14:paraId="2DB528D1" w14:textId="725DC1C1" w:rsidR="00FA2119" w:rsidRDefault="00FA2119" w:rsidP="00FA2119">
      <w:pPr>
        <w:pStyle w:val="ab"/>
        <w:numPr>
          <w:ilvl w:val="0"/>
          <w:numId w:val="80"/>
        </w:numPr>
      </w:pPr>
      <w:r w:rsidRPr="00D65518">
        <w:rPr>
          <w:rFonts w:cs="Arial"/>
          <w:rtl/>
        </w:rPr>
        <w:t xml:space="preserve">סדר הגט </w:t>
      </w:r>
      <w:r w:rsidRPr="004E5AD8">
        <w:rPr>
          <w:rFonts w:cs="Arial" w:hint="cs"/>
          <w:sz w:val="16"/>
          <w:szCs w:val="16"/>
          <w:rtl/>
        </w:rPr>
        <w:t>(</w:t>
      </w:r>
      <w:r w:rsidRPr="004E5AD8">
        <w:rPr>
          <w:rFonts w:cs="Arial"/>
          <w:sz w:val="16"/>
          <w:szCs w:val="16"/>
          <w:rtl/>
        </w:rPr>
        <w:t>סי</w:t>
      </w:r>
      <w:r w:rsidRPr="004E5AD8">
        <w:rPr>
          <w:rFonts w:cs="Arial" w:hint="cs"/>
          <w:sz w:val="16"/>
          <w:szCs w:val="16"/>
          <w:rtl/>
        </w:rPr>
        <w:t>'</w:t>
      </w:r>
      <w:r w:rsidRPr="004E5AD8">
        <w:rPr>
          <w:rFonts w:cs="Arial"/>
          <w:sz w:val="16"/>
          <w:szCs w:val="16"/>
          <w:rtl/>
        </w:rPr>
        <w:t xml:space="preserve"> סז ד"ה הרב)</w:t>
      </w:r>
      <w:r w:rsidR="00A82951">
        <w:rPr>
          <w:rFonts w:cs="Arial" w:hint="cs"/>
          <w:rtl/>
        </w:rPr>
        <w:t>-</w:t>
      </w:r>
      <w:r w:rsidRPr="00D65518">
        <w:rPr>
          <w:rFonts w:cs="Arial"/>
          <w:rtl/>
        </w:rPr>
        <w:t xml:space="preserve"> מיהו אם חתם העד השני תחלה ושבק רווחא לעד הקשיש מיניה</w:t>
      </w:r>
      <w:r>
        <w:rPr>
          <w:rFonts w:cs="Arial" w:hint="cs"/>
          <w:rtl/>
        </w:rPr>
        <w:t>,</w:t>
      </w:r>
      <w:r w:rsidRPr="00D65518">
        <w:rPr>
          <w:rFonts w:cs="Arial"/>
          <w:rtl/>
        </w:rPr>
        <w:t xml:space="preserve"> ואח</w:t>
      </w:r>
      <w:r>
        <w:rPr>
          <w:rFonts w:cs="Arial" w:hint="cs"/>
          <w:rtl/>
        </w:rPr>
        <w:t>"</w:t>
      </w:r>
      <w:r w:rsidRPr="00D65518">
        <w:rPr>
          <w:rFonts w:cs="Arial"/>
          <w:rtl/>
        </w:rPr>
        <w:t xml:space="preserve">כ חתם השני </w:t>
      </w:r>
      <w:r w:rsidR="00A82951">
        <w:rPr>
          <w:rFonts w:cs="Arial" w:hint="cs"/>
          <w:rtl/>
        </w:rPr>
        <w:t>-</w:t>
      </w:r>
      <w:r>
        <w:rPr>
          <w:rFonts w:cs="Arial" w:hint="cs"/>
          <w:rtl/>
        </w:rPr>
        <w:t xml:space="preserve"> </w:t>
      </w:r>
      <w:r w:rsidRPr="00D65518">
        <w:rPr>
          <w:rFonts w:cs="Arial"/>
          <w:rtl/>
        </w:rPr>
        <w:t>הגט כשר אע</w:t>
      </w:r>
      <w:r>
        <w:rPr>
          <w:rFonts w:cs="Arial" w:hint="cs"/>
          <w:rtl/>
        </w:rPr>
        <w:t>"</w:t>
      </w:r>
      <w:r w:rsidRPr="00D65518">
        <w:rPr>
          <w:rFonts w:cs="Arial"/>
          <w:rtl/>
        </w:rPr>
        <w:t>ג דמתחלה היה השני רחוק ב' שיטין</w:t>
      </w:r>
      <w:r>
        <w:rPr>
          <w:rFonts w:cs="Arial" w:hint="cs"/>
          <w:rtl/>
        </w:rPr>
        <w:t>,</w:t>
      </w:r>
      <w:r w:rsidRPr="00D65518">
        <w:rPr>
          <w:rFonts w:cs="Arial"/>
          <w:rtl/>
        </w:rPr>
        <w:t xml:space="preserve"> מיהו לכתחלה לא יעשה כן</w:t>
      </w:r>
      <w:r>
        <w:rPr>
          <w:rFonts w:cs="Arial" w:hint="cs"/>
          <w:rtl/>
        </w:rPr>
        <w:t>.</w:t>
      </w:r>
      <w:r>
        <w:rPr>
          <w:rFonts w:hint="cs"/>
          <w:rtl/>
        </w:rPr>
        <w:t xml:space="preserve"> </w:t>
      </w:r>
      <w:r w:rsidRPr="00FE2589">
        <w:rPr>
          <w:rFonts w:hint="cs"/>
          <w:color w:val="00B0F0"/>
          <w:rtl/>
        </w:rPr>
        <w:t>(וכ"פ הרמ"א)</w:t>
      </w:r>
    </w:p>
    <w:p w14:paraId="19EB9725" w14:textId="7AA503F6" w:rsidR="00FA2119" w:rsidRPr="00FE2589" w:rsidRDefault="00FA2119" w:rsidP="00FA2119">
      <w:r w:rsidRPr="00FE2589">
        <w:rPr>
          <w:rFonts w:cs="Arial" w:hint="cs"/>
          <w:u w:val="single"/>
          <w:rtl/>
        </w:rPr>
        <w:t>מדוע בזמן הזה עדים צריכים לחתום על הגט</w:t>
      </w:r>
      <w:r>
        <w:rPr>
          <w:rFonts w:cs="Arial" w:hint="cs"/>
          <w:u w:val="single"/>
          <w:rtl/>
        </w:rPr>
        <w:t xml:space="preserve"> </w:t>
      </w:r>
      <w:r w:rsidR="00A82951">
        <w:rPr>
          <w:rFonts w:cs="Arial"/>
          <w:u w:val="single"/>
          <w:rtl/>
        </w:rPr>
        <w:t>-</w:t>
      </w:r>
      <w:r>
        <w:rPr>
          <w:rFonts w:cs="Arial" w:hint="cs"/>
          <w:u w:val="single"/>
          <w:rtl/>
        </w:rPr>
        <w:t xml:space="preserve"> </w:t>
      </w:r>
      <w:r w:rsidR="00AB57D5">
        <w:rPr>
          <w:rFonts w:cs="Arial" w:hint="cs"/>
          <w:u w:val="single"/>
          <w:rtl/>
        </w:rPr>
        <w:t>ש</w:t>
      </w:r>
      <w:r>
        <w:rPr>
          <w:rFonts w:cs="Arial" w:hint="cs"/>
          <w:u w:val="single"/>
          <w:rtl/>
        </w:rPr>
        <w:t>הרי עדי מסירה כרתי ועוד שקורעים אותו לאחר נתינתו</w:t>
      </w:r>
      <w:r w:rsidRPr="00FE2589">
        <w:rPr>
          <w:rFonts w:cs="Arial" w:hint="cs"/>
          <w:u w:val="single"/>
          <w:rtl/>
        </w:rPr>
        <w:t>:</w:t>
      </w:r>
      <w:r>
        <w:rPr>
          <w:rFonts w:cs="Arial" w:hint="cs"/>
          <w:rtl/>
        </w:rPr>
        <w:t xml:space="preserve"> </w:t>
      </w:r>
      <w:r w:rsidRPr="00FE2589">
        <w:rPr>
          <w:rFonts w:cs="Arial"/>
          <w:sz w:val="16"/>
          <w:szCs w:val="16"/>
          <w:rtl/>
        </w:rPr>
        <w:t>(</w:t>
      </w:r>
      <w:r w:rsidRPr="00FE2589">
        <w:rPr>
          <w:rFonts w:cs="Arial" w:hint="cs"/>
          <w:sz w:val="16"/>
          <w:szCs w:val="16"/>
          <w:rtl/>
        </w:rPr>
        <w:t xml:space="preserve">דרכ"מ אות </w:t>
      </w:r>
      <w:r w:rsidRPr="00FE2589">
        <w:rPr>
          <w:rFonts w:cs="Arial"/>
          <w:sz w:val="16"/>
          <w:szCs w:val="16"/>
          <w:rtl/>
        </w:rPr>
        <w:t xml:space="preserve">א) </w:t>
      </w:r>
    </w:p>
    <w:p w14:paraId="7E122946" w14:textId="06446B97" w:rsidR="00FA2119" w:rsidRPr="00574D14" w:rsidRDefault="00FA2119" w:rsidP="00FA2119">
      <w:pPr>
        <w:pStyle w:val="ab"/>
        <w:numPr>
          <w:ilvl w:val="0"/>
          <w:numId w:val="80"/>
        </w:numPr>
      </w:pPr>
      <w:r>
        <w:rPr>
          <w:rFonts w:cs="Arial" w:hint="cs"/>
          <w:rtl/>
        </w:rPr>
        <w:t xml:space="preserve">תרוה"ד </w:t>
      </w:r>
      <w:r w:rsidRPr="00FE2589">
        <w:rPr>
          <w:rFonts w:cs="Arial" w:hint="cs"/>
          <w:sz w:val="16"/>
          <w:szCs w:val="16"/>
          <w:rtl/>
        </w:rPr>
        <w:t xml:space="preserve">(סי' </w:t>
      </w:r>
      <w:r w:rsidRPr="00FE2589">
        <w:rPr>
          <w:rFonts w:cs="Arial"/>
          <w:sz w:val="16"/>
          <w:szCs w:val="16"/>
          <w:rtl/>
        </w:rPr>
        <w:t>רלב</w:t>
      </w:r>
      <w:r w:rsidRPr="00FE2589">
        <w:rPr>
          <w:rFonts w:cs="Arial" w:hint="cs"/>
          <w:sz w:val="16"/>
          <w:szCs w:val="16"/>
          <w:rtl/>
        </w:rPr>
        <w:t>, ובפסקים</w:t>
      </w:r>
      <w:r w:rsidRPr="00FE2589">
        <w:rPr>
          <w:rFonts w:cs="Arial"/>
          <w:sz w:val="16"/>
          <w:szCs w:val="16"/>
          <w:rtl/>
        </w:rPr>
        <w:t xml:space="preserve"> סי</w:t>
      </w:r>
      <w:r w:rsidRPr="00FE2589">
        <w:rPr>
          <w:rFonts w:cs="Arial" w:hint="cs"/>
          <w:sz w:val="16"/>
          <w:szCs w:val="16"/>
          <w:rtl/>
        </w:rPr>
        <w:t>'</w:t>
      </w:r>
      <w:r w:rsidRPr="00FE2589">
        <w:rPr>
          <w:rFonts w:cs="Arial"/>
          <w:sz w:val="16"/>
          <w:szCs w:val="16"/>
          <w:rtl/>
        </w:rPr>
        <w:t xml:space="preserve"> מא</w:t>
      </w:r>
      <w:r w:rsidRPr="00FE2589">
        <w:rPr>
          <w:rFonts w:cs="Arial" w:hint="cs"/>
          <w:sz w:val="16"/>
          <w:szCs w:val="16"/>
          <w:rtl/>
        </w:rPr>
        <w:t>)</w:t>
      </w:r>
      <w:r w:rsidR="00A82951">
        <w:rPr>
          <w:rFonts w:cs="Arial" w:hint="cs"/>
          <w:rtl/>
        </w:rPr>
        <w:t>-</w:t>
      </w:r>
      <w:r w:rsidRPr="00D65518">
        <w:rPr>
          <w:rFonts w:cs="Arial"/>
          <w:rtl/>
        </w:rPr>
        <w:t xml:space="preserve"> </w:t>
      </w:r>
      <w:r w:rsidRPr="0042126C">
        <w:rPr>
          <w:rFonts w:cs="Arial"/>
          <w:rtl/>
        </w:rPr>
        <w:t>נראה לתרץ נמי הא דנהיגי עתה לטרוח הרבה לפעמים ע"י יציאה מרובה להחתים עדים בגיטין, אע</w:t>
      </w:r>
      <w:r>
        <w:rPr>
          <w:rFonts w:cs="Arial" w:hint="cs"/>
          <w:rtl/>
        </w:rPr>
        <w:t>"</w:t>
      </w:r>
      <w:r w:rsidRPr="0042126C">
        <w:rPr>
          <w:rFonts w:cs="Arial"/>
          <w:rtl/>
        </w:rPr>
        <w:t>ג דפסק תלמודא בכמה דוכתא בגיטין דהלכה כרבי אלעזר דאמר עידי מסירה כרתי וגט שאין עליו חתומים עדים כלל כשר לגרש בו, ואין העדים חותמין על הגט אלא מפני תיקון העולם, והאידנא ליכא תיקון העולם בעידי חתימה, שהרי כל המנהיגים קורעים הגיטים מיד אחר נתינתם וגונזים אותם לעצמן, ומימינו לא שמענו שבאתה אשה לב"ד וגט בידה להנשא בו או לגבות בו כתובתה, וא"כ טורח עידי חתימה למה לדידן</w:t>
      </w:r>
      <w:r>
        <w:rPr>
          <w:rFonts w:cs="Arial" w:hint="cs"/>
          <w:rtl/>
        </w:rPr>
        <w:t>.</w:t>
      </w:r>
      <w:r w:rsidRPr="0042126C">
        <w:rPr>
          <w:rFonts w:cs="Arial"/>
          <w:rtl/>
        </w:rPr>
        <w:t xml:space="preserve"> אלא משום דכמה סתמא משניות וברייתות דקא סברי כרבי מאיר דסבר עדי חתימה כרתי וגט שלא היו עדים חתומים בו הוי כמו חספא בעלמא, מפקינן נפשין מכל פלוגתא כדי שיהא בהיתר גמור ושלא להוציא לעז כלל על נישואי בנות ישראל</w:t>
      </w:r>
      <w:r>
        <w:rPr>
          <w:rFonts w:cs="Arial" w:hint="cs"/>
          <w:rtl/>
        </w:rPr>
        <w:t>.</w:t>
      </w:r>
    </w:p>
    <w:p w14:paraId="19C66389" w14:textId="77777777" w:rsidR="00FA2119" w:rsidRPr="00525E2C" w:rsidRDefault="00FA2119" w:rsidP="00FA2119">
      <w:pPr>
        <w:rPr>
          <w:u w:val="single"/>
        </w:rPr>
      </w:pPr>
      <w:r w:rsidRPr="00525E2C">
        <w:rPr>
          <w:rFonts w:hint="cs"/>
          <w:u w:val="single"/>
          <w:rtl/>
        </w:rPr>
        <w:t>חומרות לגבי העדים והסופר בגיטין:</w:t>
      </w:r>
      <w:r w:rsidRPr="00525E2C">
        <w:rPr>
          <w:rFonts w:cs="Arial"/>
          <w:sz w:val="16"/>
          <w:szCs w:val="16"/>
          <w:rtl/>
        </w:rPr>
        <w:t xml:space="preserve"> (</w:t>
      </w:r>
      <w:r w:rsidRPr="00525E2C">
        <w:rPr>
          <w:rFonts w:cs="Arial" w:hint="cs"/>
          <w:sz w:val="16"/>
          <w:szCs w:val="16"/>
          <w:rtl/>
        </w:rPr>
        <w:t xml:space="preserve">דרכ"מ אות </w:t>
      </w:r>
      <w:r w:rsidRPr="00525E2C">
        <w:rPr>
          <w:rFonts w:cs="Arial"/>
          <w:sz w:val="16"/>
          <w:szCs w:val="16"/>
          <w:rtl/>
        </w:rPr>
        <w:t>יח)</w:t>
      </w:r>
    </w:p>
    <w:p w14:paraId="6AE5310B" w14:textId="3B423FE9" w:rsidR="00FA2119" w:rsidRDefault="00FA2119" w:rsidP="00FA2119">
      <w:pPr>
        <w:pStyle w:val="ab"/>
        <w:numPr>
          <w:ilvl w:val="0"/>
          <w:numId w:val="80"/>
        </w:numPr>
      </w:pPr>
      <w:r w:rsidRPr="00DF33D1">
        <w:rPr>
          <w:rFonts w:cs="Arial"/>
          <w:rtl/>
        </w:rPr>
        <w:t xml:space="preserve">קונדריסים </w:t>
      </w:r>
      <w:r w:rsidRPr="00EB3635">
        <w:rPr>
          <w:rFonts w:cs="Arial"/>
          <w:sz w:val="16"/>
          <w:szCs w:val="16"/>
          <w:rtl/>
        </w:rPr>
        <w:t>(סי' ב סוד"ה ויזמין</w:t>
      </w:r>
      <w:r>
        <w:rPr>
          <w:rFonts w:cs="Arial" w:hint="cs"/>
          <w:sz w:val="16"/>
          <w:szCs w:val="16"/>
          <w:rtl/>
        </w:rPr>
        <w:t>, הביאו הב"י</w:t>
      </w:r>
      <w:r w:rsidRPr="00EB3635">
        <w:rPr>
          <w:rFonts w:cs="Arial"/>
          <w:sz w:val="16"/>
          <w:szCs w:val="16"/>
          <w:rtl/>
        </w:rPr>
        <w:t>)</w:t>
      </w:r>
      <w:r w:rsidR="00A82951">
        <w:rPr>
          <w:rFonts w:cs="Arial" w:hint="cs"/>
          <w:rtl/>
        </w:rPr>
        <w:t>-</w:t>
      </w:r>
      <w:r>
        <w:rPr>
          <w:rFonts w:cs="Arial" w:hint="cs"/>
          <w:rtl/>
        </w:rPr>
        <w:t xml:space="preserve"> </w:t>
      </w:r>
      <w:r w:rsidRPr="00DF33D1">
        <w:rPr>
          <w:rFonts w:cs="Arial"/>
          <w:rtl/>
        </w:rPr>
        <w:t>האידנא שנוטל הסופר שכר הרבה יש ליזהר שלא יהיו העדים קרובים לסופר</w:t>
      </w:r>
      <w:r w:rsidR="00AB57D5">
        <w:rPr>
          <w:rFonts w:cs="Arial" w:hint="cs"/>
          <w:rtl/>
        </w:rPr>
        <w:t>,</w:t>
      </w:r>
      <w:r w:rsidRPr="00DF33D1">
        <w:rPr>
          <w:rFonts w:cs="Arial"/>
          <w:rtl/>
        </w:rPr>
        <w:t xml:space="preserve"> דאם כן אין כאן עדות כלל</w:t>
      </w:r>
      <w:r w:rsidR="00AB57D5">
        <w:rPr>
          <w:rFonts w:cs="Arial" w:hint="cs"/>
          <w:rtl/>
        </w:rPr>
        <w:t>,</w:t>
      </w:r>
      <w:r w:rsidRPr="00DF33D1">
        <w:rPr>
          <w:rFonts w:cs="Arial"/>
          <w:rtl/>
        </w:rPr>
        <w:t xml:space="preserve"> ואין דבר שבערוה פחות משנים (קידושין סו.)</w:t>
      </w:r>
      <w:r>
        <w:rPr>
          <w:rStyle w:val="a7"/>
          <w:rFonts w:cs="Arial"/>
          <w:rtl/>
        </w:rPr>
        <w:footnoteReference w:id="1182"/>
      </w:r>
      <w:r>
        <w:rPr>
          <w:rFonts w:cs="Arial" w:hint="cs"/>
          <w:rtl/>
        </w:rPr>
        <w:t>.</w:t>
      </w:r>
      <w:r w:rsidRPr="00DF33D1">
        <w:rPr>
          <w:rFonts w:cs="Arial"/>
          <w:rtl/>
        </w:rPr>
        <w:t xml:space="preserve"> </w:t>
      </w:r>
    </w:p>
    <w:p w14:paraId="75976EA0" w14:textId="762D0679" w:rsidR="00FA2119" w:rsidRDefault="00FA2119" w:rsidP="00FA2119">
      <w:pPr>
        <w:pStyle w:val="ab"/>
        <w:numPr>
          <w:ilvl w:val="0"/>
          <w:numId w:val="80"/>
        </w:numPr>
      </w:pPr>
      <w:r w:rsidRPr="00E55D0E">
        <w:rPr>
          <w:rFonts w:cs="Arial"/>
          <w:rtl/>
        </w:rPr>
        <w:lastRenderedPageBreak/>
        <w:t xml:space="preserve">מהרי"ק </w:t>
      </w:r>
      <w:r w:rsidRPr="00A43DB2">
        <w:rPr>
          <w:rFonts w:cs="Arial" w:hint="cs"/>
          <w:sz w:val="16"/>
          <w:szCs w:val="16"/>
          <w:rtl/>
        </w:rPr>
        <w:t>(</w:t>
      </w:r>
      <w:r w:rsidRPr="00A43DB2">
        <w:rPr>
          <w:rFonts w:cs="Arial"/>
          <w:sz w:val="16"/>
          <w:szCs w:val="16"/>
          <w:rtl/>
        </w:rPr>
        <w:t>שורש קו</w:t>
      </w:r>
      <w:r w:rsidRPr="00A43DB2">
        <w:rPr>
          <w:rFonts w:cs="Arial" w:hint="cs"/>
          <w:sz w:val="16"/>
          <w:szCs w:val="16"/>
          <w:rtl/>
        </w:rPr>
        <w:t>)</w:t>
      </w:r>
      <w:r w:rsidR="00A82951">
        <w:rPr>
          <w:rFonts w:cs="Arial" w:hint="cs"/>
          <w:rtl/>
        </w:rPr>
        <w:t>-</w:t>
      </w:r>
      <w:r w:rsidRPr="00E55D0E">
        <w:rPr>
          <w:rFonts w:cs="Arial"/>
          <w:rtl/>
        </w:rPr>
        <w:t xml:space="preserve"> טוב להדר אחר סופר שאינו קרוב לאיש או לאשה</w:t>
      </w:r>
      <w:r>
        <w:rPr>
          <w:rFonts w:cs="Arial" w:hint="cs"/>
          <w:rtl/>
        </w:rPr>
        <w:t>,</w:t>
      </w:r>
      <w:r w:rsidRPr="00E55D0E">
        <w:rPr>
          <w:rFonts w:cs="Arial"/>
          <w:rtl/>
        </w:rPr>
        <w:t xml:space="preserve"> אבל היכא דלא אפשר אין קפידא כלל.</w:t>
      </w:r>
      <w:r w:rsidRPr="00330A13">
        <w:rPr>
          <w:rFonts w:hint="cs"/>
          <w:color w:val="00B0F0"/>
          <w:rtl/>
        </w:rPr>
        <w:t xml:space="preserve"> (וכ"פ הרמ"א)</w:t>
      </w:r>
    </w:p>
    <w:p w14:paraId="4D7BE53D" w14:textId="140DF3E4" w:rsidR="00FA2119" w:rsidRPr="00124E41" w:rsidRDefault="00FA2119" w:rsidP="00FA2119">
      <w:pPr>
        <w:pStyle w:val="ab"/>
        <w:numPr>
          <w:ilvl w:val="0"/>
          <w:numId w:val="80"/>
        </w:numPr>
      </w:pPr>
      <w:r w:rsidRPr="00E55D0E">
        <w:rPr>
          <w:rFonts w:cs="Arial"/>
          <w:rtl/>
        </w:rPr>
        <w:t xml:space="preserve">סדר גיטין </w:t>
      </w:r>
      <w:r w:rsidRPr="00A43DB2">
        <w:rPr>
          <w:rFonts w:cs="Arial"/>
          <w:sz w:val="16"/>
          <w:szCs w:val="16"/>
          <w:rtl/>
        </w:rPr>
        <w:t>(שם)</w:t>
      </w:r>
      <w:r w:rsidR="00A82951">
        <w:rPr>
          <w:rFonts w:cs="Arial" w:hint="cs"/>
          <w:rtl/>
        </w:rPr>
        <w:t>-</w:t>
      </w:r>
      <w:r w:rsidRPr="00E55D0E">
        <w:rPr>
          <w:rFonts w:cs="Arial"/>
          <w:rtl/>
        </w:rPr>
        <w:t xml:space="preserve"> מהרי"ל לא רצה להניח לחתום בעל מום</w:t>
      </w:r>
      <w:r>
        <w:rPr>
          <w:rFonts w:cs="Arial" w:hint="cs"/>
          <w:rtl/>
        </w:rPr>
        <w:t>,</w:t>
      </w:r>
      <w:r w:rsidRPr="00E55D0E">
        <w:rPr>
          <w:rFonts w:cs="Arial"/>
          <w:rtl/>
        </w:rPr>
        <w:t xml:space="preserve"> כי אמר שבעל מום לא יתיר אשת איש לעלמא. וכן היה מהדר אחר עדים וסופר מהוגנים</w:t>
      </w:r>
      <w:r>
        <w:rPr>
          <w:rFonts w:cs="Arial" w:hint="cs"/>
          <w:rtl/>
        </w:rPr>
        <w:t>.</w:t>
      </w:r>
      <w:r w:rsidRPr="00E55D0E">
        <w:rPr>
          <w:rFonts w:cs="Arial"/>
          <w:rtl/>
        </w:rPr>
        <w:t xml:space="preserve"> ובשעת הדחק לא היה מקפיד על הסופר. ו</w:t>
      </w:r>
      <w:r>
        <w:rPr>
          <w:rFonts w:cs="Arial" w:hint="cs"/>
          <w:rtl/>
        </w:rPr>
        <w:t xml:space="preserve">כן </w:t>
      </w:r>
      <w:r w:rsidRPr="00E55D0E">
        <w:rPr>
          <w:rFonts w:cs="Arial"/>
          <w:rtl/>
        </w:rPr>
        <w:t>מהרי"ל לא היה רוצה לכתוב גט אע</w:t>
      </w:r>
      <w:r>
        <w:rPr>
          <w:rFonts w:cs="Arial" w:hint="cs"/>
          <w:rtl/>
        </w:rPr>
        <w:t>"</w:t>
      </w:r>
      <w:r w:rsidRPr="00E55D0E">
        <w:rPr>
          <w:rFonts w:cs="Arial"/>
          <w:rtl/>
        </w:rPr>
        <w:t>פ שהיה מחותן רק עם האשה</w:t>
      </w:r>
      <w:r>
        <w:rPr>
          <w:rFonts w:cs="Arial" w:hint="cs"/>
          <w:rtl/>
        </w:rPr>
        <w:t>,</w:t>
      </w:r>
      <w:r w:rsidRPr="00E55D0E">
        <w:rPr>
          <w:rFonts w:cs="Arial"/>
          <w:rtl/>
        </w:rPr>
        <w:t xml:space="preserve"> וכך כתב גדול אחד שאפילו הסופר לא יהיה קרוב לפי שגם הוא מעיד שכתב לשמו ולשמה</w:t>
      </w:r>
      <w:r>
        <w:rPr>
          <w:rFonts w:cs="Arial" w:hint="cs"/>
          <w:rtl/>
        </w:rPr>
        <w:t>,</w:t>
      </w:r>
      <w:r w:rsidRPr="00E55D0E">
        <w:rPr>
          <w:rFonts w:cs="Arial"/>
          <w:rtl/>
        </w:rPr>
        <w:t xml:space="preserve"> וכמדומה שאין העולם נזהרין בכך</w:t>
      </w:r>
      <w:r>
        <w:rPr>
          <w:rStyle w:val="a7"/>
          <w:rFonts w:cs="Arial"/>
          <w:rtl/>
        </w:rPr>
        <w:footnoteReference w:id="1183"/>
      </w:r>
      <w:r w:rsidRPr="00A43DB2">
        <w:rPr>
          <w:rFonts w:cs="Arial" w:hint="cs"/>
          <w:rtl/>
        </w:rPr>
        <w:t>.</w:t>
      </w:r>
      <w:r w:rsidRPr="00330A13">
        <w:rPr>
          <w:rFonts w:hint="cs"/>
          <w:color w:val="00B0F0"/>
          <w:rtl/>
        </w:rPr>
        <w:t>(וכ"</w:t>
      </w:r>
      <w:r>
        <w:rPr>
          <w:rFonts w:hint="cs"/>
          <w:color w:val="00B0F0"/>
          <w:rtl/>
        </w:rPr>
        <w:t>כ</w:t>
      </w:r>
      <w:r w:rsidRPr="00330A13">
        <w:rPr>
          <w:rFonts w:hint="cs"/>
          <w:color w:val="00B0F0"/>
          <w:rtl/>
        </w:rPr>
        <w:t xml:space="preserve"> הרמ"א)</w:t>
      </w:r>
    </w:p>
    <w:p w14:paraId="25162B68" w14:textId="48BB8F84" w:rsidR="00FA2119" w:rsidRDefault="00FA2119" w:rsidP="00FA2119">
      <w:pPr>
        <w:pStyle w:val="ab"/>
        <w:numPr>
          <w:ilvl w:val="0"/>
          <w:numId w:val="80"/>
        </w:numPr>
      </w:pPr>
      <w:r>
        <w:rPr>
          <w:rFonts w:cs="Arial" w:hint="cs"/>
          <w:rtl/>
        </w:rPr>
        <w:t xml:space="preserve">סדר הגט </w:t>
      </w:r>
      <w:r w:rsidRPr="00124E41">
        <w:rPr>
          <w:rFonts w:cs="Arial" w:hint="cs"/>
          <w:sz w:val="16"/>
          <w:szCs w:val="16"/>
          <w:rtl/>
        </w:rPr>
        <w:t>(</w:t>
      </w:r>
      <w:r w:rsidRPr="00124E41">
        <w:rPr>
          <w:rFonts w:cs="Arial"/>
          <w:sz w:val="16"/>
          <w:szCs w:val="16"/>
          <w:rtl/>
        </w:rPr>
        <w:t>סי' נז שם)</w:t>
      </w:r>
      <w:r w:rsidR="00A82951">
        <w:rPr>
          <w:rFonts w:cs="Arial" w:hint="cs"/>
          <w:rtl/>
        </w:rPr>
        <w:t>-</w:t>
      </w:r>
      <w:r w:rsidRPr="00525E2C">
        <w:rPr>
          <w:rFonts w:cs="Arial"/>
          <w:rtl/>
        </w:rPr>
        <w:t xml:space="preserve"> מהרי"ל היה מדקדק שהעדים לא יהיו קרובים זה לזה ולא לאיש ולא לאשה ולא לסופר שום קורבא בעולם ואפילו ריח קורבא ואפי' רביעי ברביעי או ע"י חיתונים</w:t>
      </w:r>
      <w:r>
        <w:rPr>
          <w:rStyle w:val="a7"/>
          <w:rFonts w:cs="Arial"/>
          <w:rtl/>
        </w:rPr>
        <w:footnoteReference w:id="1184"/>
      </w:r>
      <w:r>
        <w:rPr>
          <w:rFonts w:cs="Arial" w:hint="cs"/>
          <w:rtl/>
        </w:rPr>
        <w:t>.</w:t>
      </w:r>
      <w:r>
        <w:rPr>
          <w:rFonts w:hint="cs"/>
          <w:color w:val="00B0F0"/>
          <w:rtl/>
        </w:rPr>
        <w:t xml:space="preserve"> </w:t>
      </w:r>
      <w:r w:rsidRPr="00330A13">
        <w:rPr>
          <w:rFonts w:hint="cs"/>
          <w:color w:val="00B0F0"/>
          <w:rtl/>
        </w:rPr>
        <w:t>(וכ"</w:t>
      </w:r>
      <w:r>
        <w:rPr>
          <w:rFonts w:hint="cs"/>
          <w:color w:val="00B0F0"/>
          <w:rtl/>
        </w:rPr>
        <w:t>כ</w:t>
      </w:r>
      <w:r w:rsidRPr="00330A13">
        <w:rPr>
          <w:rFonts w:hint="cs"/>
          <w:color w:val="00B0F0"/>
          <w:rtl/>
        </w:rPr>
        <w:t xml:space="preserve"> הרמ"א)</w:t>
      </w:r>
    </w:p>
    <w:p w14:paraId="5E8BEAE1" w14:textId="77777777" w:rsidR="00FA2119" w:rsidRPr="00525E2C" w:rsidRDefault="00FA2119" w:rsidP="00FA2119">
      <w:pPr>
        <w:rPr>
          <w:u w:val="single"/>
        </w:rPr>
      </w:pPr>
      <w:r w:rsidRPr="00525E2C">
        <w:rPr>
          <w:rFonts w:hint="cs"/>
          <w:u w:val="single"/>
          <w:rtl/>
        </w:rPr>
        <w:t>עד בגט שחשוד על העריות:</w:t>
      </w:r>
      <w:r w:rsidRPr="00525E2C">
        <w:rPr>
          <w:rFonts w:cs="Arial"/>
          <w:sz w:val="16"/>
          <w:szCs w:val="16"/>
          <w:rtl/>
        </w:rPr>
        <w:t xml:space="preserve"> (</w:t>
      </w:r>
      <w:r w:rsidRPr="00525E2C">
        <w:rPr>
          <w:rFonts w:cs="Arial" w:hint="cs"/>
          <w:sz w:val="16"/>
          <w:szCs w:val="16"/>
          <w:rtl/>
        </w:rPr>
        <w:t xml:space="preserve">דרכ"מ אות </w:t>
      </w:r>
      <w:r w:rsidRPr="00525E2C">
        <w:rPr>
          <w:rFonts w:cs="Arial"/>
          <w:sz w:val="16"/>
          <w:szCs w:val="16"/>
          <w:rtl/>
        </w:rPr>
        <w:t>יח)</w:t>
      </w:r>
    </w:p>
    <w:p w14:paraId="38BE991F" w14:textId="4A91657D" w:rsidR="00FA2119" w:rsidRDefault="00FA2119" w:rsidP="00FA2119">
      <w:pPr>
        <w:pStyle w:val="ab"/>
        <w:numPr>
          <w:ilvl w:val="0"/>
          <w:numId w:val="80"/>
        </w:numPr>
      </w:pPr>
      <w:r w:rsidRPr="00E55D0E">
        <w:rPr>
          <w:rFonts w:cs="Arial"/>
          <w:rtl/>
        </w:rPr>
        <w:t xml:space="preserve">סדר גיטין </w:t>
      </w:r>
      <w:r w:rsidRPr="00525E2C">
        <w:rPr>
          <w:rFonts w:cs="Arial" w:hint="cs"/>
          <w:sz w:val="16"/>
          <w:szCs w:val="16"/>
          <w:rtl/>
        </w:rPr>
        <w:t>(</w:t>
      </w:r>
      <w:r w:rsidRPr="00525E2C">
        <w:rPr>
          <w:rFonts w:cs="Arial"/>
          <w:sz w:val="16"/>
          <w:szCs w:val="16"/>
          <w:rtl/>
        </w:rPr>
        <w:t>סי</w:t>
      </w:r>
      <w:r w:rsidRPr="00525E2C">
        <w:rPr>
          <w:rFonts w:cs="Arial" w:hint="cs"/>
          <w:sz w:val="16"/>
          <w:szCs w:val="16"/>
          <w:rtl/>
        </w:rPr>
        <w:t>'</w:t>
      </w:r>
      <w:r w:rsidRPr="00525E2C">
        <w:rPr>
          <w:rFonts w:cs="Arial"/>
          <w:sz w:val="16"/>
          <w:szCs w:val="16"/>
          <w:rtl/>
        </w:rPr>
        <w:t xml:space="preserve"> סא</w:t>
      </w:r>
      <w:r w:rsidRPr="00525E2C">
        <w:rPr>
          <w:rFonts w:cs="Arial" w:hint="cs"/>
          <w:sz w:val="16"/>
          <w:szCs w:val="16"/>
          <w:rtl/>
        </w:rPr>
        <w:t>)</w:t>
      </w:r>
      <w:r w:rsidR="00A82951">
        <w:rPr>
          <w:rFonts w:cs="Arial" w:hint="cs"/>
          <w:rtl/>
        </w:rPr>
        <w:t>-</w:t>
      </w:r>
      <w:r w:rsidRPr="00E55D0E">
        <w:rPr>
          <w:rFonts w:cs="Arial"/>
          <w:rtl/>
        </w:rPr>
        <w:t xml:space="preserve"> לא יהא אחד מן העדים חשוד בעריות</w:t>
      </w:r>
      <w:r w:rsidR="00AB57D5">
        <w:rPr>
          <w:rFonts w:cs="Arial" w:hint="cs"/>
          <w:rtl/>
        </w:rPr>
        <w:t>,</w:t>
      </w:r>
      <w:r w:rsidRPr="00E55D0E">
        <w:rPr>
          <w:rFonts w:cs="Arial"/>
          <w:rtl/>
        </w:rPr>
        <w:t xml:space="preserve"> דחשוד על הדבר לא דנו ולא מעידו (בכורות ל</w:t>
      </w:r>
      <w:r>
        <w:rPr>
          <w:rFonts w:cs="Arial" w:hint="cs"/>
          <w:rtl/>
        </w:rPr>
        <w:t>.</w:t>
      </w:r>
      <w:r w:rsidRPr="00E55D0E">
        <w:rPr>
          <w:rFonts w:cs="Arial"/>
          <w:rtl/>
        </w:rPr>
        <w:t>)</w:t>
      </w:r>
      <w:r w:rsidR="00AB57D5">
        <w:rPr>
          <w:rFonts w:cs="Arial" w:hint="cs"/>
          <w:rtl/>
        </w:rPr>
        <w:t>.</w:t>
      </w:r>
      <w:r w:rsidRPr="00E55D0E">
        <w:rPr>
          <w:rFonts w:cs="Arial"/>
          <w:rtl/>
        </w:rPr>
        <w:t xml:space="preserve"> ומיקרי חשוד כשחושדין אותו בערוה אע</w:t>
      </w:r>
      <w:r>
        <w:rPr>
          <w:rFonts w:cs="Arial" w:hint="cs"/>
          <w:rtl/>
        </w:rPr>
        <w:t>"</w:t>
      </w:r>
      <w:r w:rsidRPr="00E55D0E">
        <w:rPr>
          <w:rFonts w:cs="Arial"/>
          <w:rtl/>
        </w:rPr>
        <w:t>ג דלא ידעינן שבא עליה</w:t>
      </w:r>
      <w:r>
        <w:rPr>
          <w:rFonts w:cs="Arial" w:hint="cs"/>
          <w:rtl/>
        </w:rPr>
        <w:t>.</w:t>
      </w:r>
      <w:r>
        <w:rPr>
          <w:rFonts w:hint="cs"/>
          <w:rtl/>
        </w:rPr>
        <w:t xml:space="preserve"> </w:t>
      </w:r>
      <w:r w:rsidRPr="00330A13">
        <w:rPr>
          <w:rFonts w:hint="cs"/>
          <w:color w:val="00B0F0"/>
          <w:rtl/>
        </w:rPr>
        <w:t>(וכ"פ הרמ"א)</w:t>
      </w:r>
    </w:p>
    <w:p w14:paraId="03051CDF" w14:textId="77777777" w:rsidR="00FA2119" w:rsidRPr="00EB3635" w:rsidRDefault="00FA2119" w:rsidP="00FA2119">
      <w:pPr>
        <w:rPr>
          <w:u w:val="single"/>
        </w:rPr>
      </w:pPr>
      <w:r w:rsidRPr="00EB3635">
        <w:rPr>
          <w:rFonts w:hint="cs"/>
          <w:u w:val="single"/>
          <w:rtl/>
        </w:rPr>
        <w:t>האם העדים צריכים להביא הוכחה בני כמה הם:</w:t>
      </w:r>
    </w:p>
    <w:p w14:paraId="76314BFC" w14:textId="0DDC2F9F" w:rsidR="00FA2119" w:rsidRDefault="00FA2119" w:rsidP="00FA2119">
      <w:pPr>
        <w:pStyle w:val="ab"/>
        <w:numPr>
          <w:ilvl w:val="0"/>
          <w:numId w:val="80"/>
        </w:numPr>
        <w:rPr>
          <w:rtl/>
        </w:rPr>
      </w:pPr>
      <w:r w:rsidRPr="00DF33D1">
        <w:rPr>
          <w:rFonts w:cs="Arial"/>
          <w:rtl/>
        </w:rPr>
        <w:t>ר</w:t>
      </w:r>
      <w:r>
        <w:rPr>
          <w:rFonts w:cs="Arial" w:hint="cs"/>
          <w:rtl/>
        </w:rPr>
        <w:t>"</w:t>
      </w:r>
      <w:r w:rsidRPr="00DF33D1">
        <w:rPr>
          <w:rFonts w:cs="Arial"/>
          <w:rtl/>
        </w:rPr>
        <w:t xml:space="preserve">פ </w:t>
      </w:r>
      <w:r w:rsidRPr="00FA595A">
        <w:rPr>
          <w:rFonts w:cs="Arial"/>
          <w:sz w:val="16"/>
          <w:szCs w:val="16"/>
          <w:rtl/>
        </w:rPr>
        <w:t>(סי' קפד אות יב</w:t>
      </w:r>
      <w:r w:rsidR="00D60704">
        <w:rPr>
          <w:rFonts w:cs="Arial" w:hint="cs"/>
          <w:sz w:val="16"/>
          <w:szCs w:val="16"/>
          <w:rtl/>
        </w:rPr>
        <w:t>, וכ"כ בשמו בקונדריסים [</w:t>
      </w:r>
      <w:r w:rsidR="00D60704" w:rsidRPr="00FA595A">
        <w:rPr>
          <w:rFonts w:cs="Arial"/>
          <w:sz w:val="16"/>
          <w:szCs w:val="16"/>
          <w:rtl/>
        </w:rPr>
        <w:t>סי' יב סע</w:t>
      </w:r>
      <w:r w:rsidR="00D60704">
        <w:rPr>
          <w:rFonts w:cs="Arial" w:hint="cs"/>
          <w:sz w:val="16"/>
          <w:szCs w:val="16"/>
          <w:rtl/>
        </w:rPr>
        <w:t>'</w:t>
      </w:r>
      <w:r w:rsidR="00D60704" w:rsidRPr="00FA595A">
        <w:rPr>
          <w:rFonts w:cs="Arial"/>
          <w:sz w:val="16"/>
          <w:szCs w:val="16"/>
          <w:rtl/>
        </w:rPr>
        <w:t xml:space="preserve"> ג</w:t>
      </w:r>
      <w:r w:rsidR="00D60704">
        <w:rPr>
          <w:rFonts w:cs="Arial" w:hint="cs"/>
          <w:sz w:val="16"/>
          <w:szCs w:val="16"/>
          <w:rtl/>
        </w:rPr>
        <w:t>]</w:t>
      </w:r>
      <w:r w:rsidRPr="00FA595A">
        <w:rPr>
          <w:rFonts w:cs="Arial" w:hint="cs"/>
          <w:sz w:val="16"/>
          <w:szCs w:val="16"/>
          <w:rtl/>
        </w:rPr>
        <w:t xml:space="preserve">) </w:t>
      </w:r>
      <w:r>
        <w:rPr>
          <w:rFonts w:cs="Arial" w:hint="cs"/>
          <w:rtl/>
        </w:rPr>
        <w:t>סמ"ק</w:t>
      </w:r>
      <w:r w:rsidRPr="00DF33D1">
        <w:rPr>
          <w:rFonts w:cs="Arial"/>
          <w:rtl/>
        </w:rPr>
        <w:t xml:space="preserve"> </w:t>
      </w:r>
      <w:r w:rsidRPr="00FA595A">
        <w:rPr>
          <w:rFonts w:cs="Arial" w:hint="cs"/>
          <w:sz w:val="16"/>
          <w:szCs w:val="16"/>
          <w:rtl/>
        </w:rPr>
        <w:t>(</w:t>
      </w:r>
      <w:r w:rsidRPr="00FA595A">
        <w:rPr>
          <w:rFonts w:cs="Arial"/>
          <w:sz w:val="16"/>
          <w:szCs w:val="16"/>
          <w:rtl/>
        </w:rPr>
        <w:t xml:space="preserve">סמ"ק מצוריך אות רנה) </w:t>
      </w:r>
      <w:r w:rsidRPr="00DF33D1">
        <w:rPr>
          <w:rFonts w:cs="Arial"/>
          <w:rtl/>
        </w:rPr>
        <w:t xml:space="preserve">וכל בו </w:t>
      </w:r>
      <w:r w:rsidRPr="00FA595A">
        <w:rPr>
          <w:rFonts w:cs="Arial" w:hint="cs"/>
          <w:sz w:val="16"/>
          <w:szCs w:val="16"/>
          <w:rtl/>
        </w:rPr>
        <w:t>(</w:t>
      </w:r>
      <w:r w:rsidRPr="00FA595A">
        <w:rPr>
          <w:rFonts w:cs="Arial"/>
          <w:sz w:val="16"/>
          <w:szCs w:val="16"/>
          <w:rtl/>
        </w:rPr>
        <w:t>הלכות הגט סוף סי' עו מח.)</w:t>
      </w:r>
      <w:r w:rsidR="00A82951">
        <w:rPr>
          <w:rFonts w:cs="Arial" w:hint="cs"/>
          <w:rtl/>
        </w:rPr>
        <w:t>-</w:t>
      </w:r>
      <w:r>
        <w:rPr>
          <w:rFonts w:cs="Arial" w:hint="cs"/>
          <w:rtl/>
        </w:rPr>
        <w:t xml:space="preserve"> </w:t>
      </w:r>
      <w:r w:rsidR="00AB57D5" w:rsidRPr="00AB57D5">
        <w:rPr>
          <w:rFonts w:cs="Arial"/>
          <w:rtl/>
        </w:rPr>
        <w:t>וטוב לחזור אחר שליח שניכ' שהוא גדול על ידי בנים או על ידי זקן בין בשליח הולכ' בין בשליח קבלה דאם לא כן אפילו הוא מוחזק בשנים היה נראה דצריך לבודקו לכל הפחות ע"י עד אחד מכ"ש דחליצה, ומיהו בעדי חתימה אין להקפיד בזה כיון שהם מוחזקים בשנים, משום דקיימא לן עדי מסירה כרתי, ובשעת מסירה יש כמה עדים גדולים שהרי רגילין ליתן במנין</w:t>
      </w:r>
      <w:r w:rsidR="00D60704">
        <w:rPr>
          <w:rFonts w:cs="Arial" w:hint="cs"/>
          <w:sz w:val="16"/>
          <w:szCs w:val="16"/>
          <w:rtl/>
        </w:rPr>
        <w:t xml:space="preserve"> (ל' ר"פ)</w:t>
      </w:r>
      <w:r>
        <w:rPr>
          <w:rFonts w:cs="Arial" w:hint="cs"/>
          <w:rtl/>
        </w:rPr>
        <w:t>.</w:t>
      </w:r>
      <w:r w:rsidRPr="00DF33D1">
        <w:rPr>
          <w:rFonts w:cs="Arial"/>
          <w:rtl/>
        </w:rPr>
        <w:t xml:space="preserve"> </w:t>
      </w:r>
    </w:p>
    <w:p w14:paraId="5C3CEC7F" w14:textId="77777777" w:rsidR="00FA2119" w:rsidRPr="00802E2C" w:rsidRDefault="00FA2119" w:rsidP="00FA2119">
      <w:pPr>
        <w:rPr>
          <w:u w:val="single"/>
        </w:rPr>
      </w:pPr>
      <w:r w:rsidRPr="00802E2C">
        <w:rPr>
          <w:rFonts w:hint="cs"/>
          <w:u w:val="single"/>
          <w:rtl/>
        </w:rPr>
        <w:t>סדר מינוי העדים:</w:t>
      </w:r>
    </w:p>
    <w:p w14:paraId="2849AEE9" w14:textId="6CA6186F" w:rsidR="00FA2119" w:rsidRPr="0045000F" w:rsidRDefault="00FA2119" w:rsidP="00FA2119">
      <w:pPr>
        <w:pStyle w:val="ab"/>
        <w:numPr>
          <w:ilvl w:val="0"/>
          <w:numId w:val="88"/>
        </w:numPr>
      </w:pPr>
      <w:r w:rsidRPr="0045000F">
        <w:rPr>
          <w:rFonts w:cs="Arial"/>
          <w:rtl/>
        </w:rPr>
        <w:t xml:space="preserve">סמ"ג </w:t>
      </w:r>
      <w:r w:rsidRPr="0045000F">
        <w:rPr>
          <w:rFonts w:cs="Arial" w:hint="cs"/>
          <w:sz w:val="16"/>
          <w:szCs w:val="16"/>
          <w:rtl/>
        </w:rPr>
        <w:t>(</w:t>
      </w:r>
      <w:r w:rsidRPr="0045000F">
        <w:rPr>
          <w:rFonts w:cs="Arial"/>
          <w:sz w:val="16"/>
          <w:szCs w:val="16"/>
          <w:rtl/>
        </w:rPr>
        <w:t>בסדר הגט עשין נ קלב ע"ג)</w:t>
      </w:r>
      <w:r w:rsidR="00A82951">
        <w:rPr>
          <w:rFonts w:cs="Arial" w:hint="cs"/>
          <w:rtl/>
        </w:rPr>
        <w:t>-</w:t>
      </w:r>
      <w:r w:rsidRPr="0045000F">
        <w:rPr>
          <w:rFonts w:cs="Arial"/>
          <w:rtl/>
        </w:rPr>
        <w:t xml:space="preserve"> ויצוה הבעל בפני עדים כשרים שאין קרובים זה לזה ולא לבעל ולא לאשה ויאמר בפניהם לכתוב גט לאשתו עד שיהא טוב לדעתו או לדעת חכם שעומד בעיר</w:t>
      </w:r>
      <w:r>
        <w:rPr>
          <w:rFonts w:cs="Arial" w:hint="cs"/>
          <w:rtl/>
        </w:rPr>
        <w:t>.</w:t>
      </w:r>
      <w:r w:rsidRPr="0045000F">
        <w:rPr>
          <w:rFonts w:cs="Arial"/>
          <w:rtl/>
        </w:rPr>
        <w:t xml:space="preserve"> ואם הסופר אינו קרוב די בעד אחד עמו</w:t>
      </w:r>
      <w:r>
        <w:rPr>
          <w:rFonts w:cs="Arial" w:hint="cs"/>
          <w:rtl/>
        </w:rPr>
        <w:t>.</w:t>
      </w:r>
      <w:r w:rsidRPr="0045000F">
        <w:rPr>
          <w:rFonts w:cs="Arial"/>
          <w:rtl/>
        </w:rPr>
        <w:t xml:space="preserve"> וצריך שני עדים שיכתבנו בפניהם לשמה</w:t>
      </w:r>
      <w:r>
        <w:rPr>
          <w:rFonts w:cs="Arial" w:hint="cs"/>
          <w:rtl/>
        </w:rPr>
        <w:t>,</w:t>
      </w:r>
      <w:r w:rsidRPr="0045000F">
        <w:rPr>
          <w:rFonts w:cs="Arial"/>
          <w:rtl/>
        </w:rPr>
        <w:t xml:space="preserve"> שיודעין שכותב לשם פלונית אשת פלוני</w:t>
      </w:r>
      <w:r>
        <w:rPr>
          <w:rFonts w:cs="Arial" w:hint="cs"/>
          <w:rtl/>
        </w:rPr>
        <w:t>.</w:t>
      </w:r>
      <w:r w:rsidRPr="0045000F">
        <w:rPr>
          <w:rFonts w:cs="Arial"/>
          <w:rtl/>
        </w:rPr>
        <w:t xml:space="preserve"> ואח</w:t>
      </w:r>
      <w:r>
        <w:rPr>
          <w:rFonts w:cs="Arial" w:hint="cs"/>
          <w:rtl/>
        </w:rPr>
        <w:t>"</w:t>
      </w:r>
      <w:r w:rsidRPr="0045000F">
        <w:rPr>
          <w:rFonts w:cs="Arial"/>
          <w:rtl/>
        </w:rPr>
        <w:t>כ יאמר הבעל לעדים כשרים לחתום הגט</w:t>
      </w:r>
      <w:r>
        <w:rPr>
          <w:rFonts w:cs="Arial" w:hint="cs"/>
          <w:rtl/>
        </w:rPr>
        <w:t>.</w:t>
      </w:r>
      <w:r w:rsidRPr="0045000F">
        <w:rPr>
          <w:rFonts w:cs="Arial"/>
          <w:rtl/>
        </w:rPr>
        <w:t xml:space="preserve"> ואע</w:t>
      </w:r>
      <w:r>
        <w:rPr>
          <w:rFonts w:cs="Arial" w:hint="cs"/>
          <w:rtl/>
        </w:rPr>
        <w:t>"</w:t>
      </w:r>
      <w:r w:rsidRPr="0045000F">
        <w:rPr>
          <w:rFonts w:cs="Arial"/>
          <w:rtl/>
        </w:rPr>
        <w:t>פ שהם ג' כתות עדים</w:t>
      </w:r>
      <w:r>
        <w:rPr>
          <w:rFonts w:cs="Arial" w:hint="cs"/>
          <w:rtl/>
        </w:rPr>
        <w:t>,</w:t>
      </w:r>
      <w:r w:rsidRPr="0045000F">
        <w:rPr>
          <w:rFonts w:cs="Arial"/>
          <w:rtl/>
        </w:rPr>
        <w:t xml:space="preserve"> שצוה הבעל לכתוב</w:t>
      </w:r>
      <w:r>
        <w:rPr>
          <w:rFonts w:cs="Arial" w:hint="cs"/>
          <w:rtl/>
        </w:rPr>
        <w:t>,</w:t>
      </w:r>
      <w:r w:rsidRPr="0045000F">
        <w:rPr>
          <w:rFonts w:cs="Arial"/>
          <w:rtl/>
        </w:rPr>
        <w:t xml:space="preserve"> ועדי כתיבה לשמה</w:t>
      </w:r>
      <w:r>
        <w:rPr>
          <w:rFonts w:cs="Arial" w:hint="cs"/>
          <w:rtl/>
        </w:rPr>
        <w:t>,</w:t>
      </w:r>
      <w:r w:rsidRPr="0045000F">
        <w:rPr>
          <w:rFonts w:cs="Arial"/>
          <w:rtl/>
        </w:rPr>
        <w:t xml:space="preserve"> ועדי חתימה לשמה </w:t>
      </w:r>
      <w:r w:rsidR="00A82951">
        <w:rPr>
          <w:rFonts w:cs="Arial" w:hint="cs"/>
          <w:rtl/>
        </w:rPr>
        <w:t>-</w:t>
      </w:r>
      <w:r>
        <w:rPr>
          <w:rFonts w:cs="Arial" w:hint="cs"/>
          <w:rtl/>
        </w:rPr>
        <w:t xml:space="preserve"> </w:t>
      </w:r>
      <w:r w:rsidRPr="0045000F">
        <w:rPr>
          <w:rFonts w:cs="Arial"/>
          <w:rtl/>
        </w:rPr>
        <w:t>אין בכך כלום</w:t>
      </w:r>
      <w:r>
        <w:rPr>
          <w:rFonts w:cs="Arial" w:hint="cs"/>
          <w:rtl/>
        </w:rPr>
        <w:t>,</w:t>
      </w:r>
      <w:r w:rsidRPr="0045000F">
        <w:rPr>
          <w:rFonts w:cs="Arial"/>
          <w:rtl/>
        </w:rPr>
        <w:t xml:space="preserve"> ואין נקרא חצי דבר מאחר שכל כת מעידה על כל מה שצריך לראות בשעת ראייה</w:t>
      </w:r>
      <w:r>
        <w:rPr>
          <w:rFonts w:cs="Arial" w:hint="cs"/>
          <w:rtl/>
        </w:rPr>
        <w:t>,</w:t>
      </w:r>
      <w:r w:rsidRPr="0045000F">
        <w:rPr>
          <w:rFonts w:cs="Arial"/>
          <w:rtl/>
        </w:rPr>
        <w:t xml:space="preserve"> דומיא (ב"ב נו:) דג' כתות דעדי חזקה וכו'</w:t>
      </w:r>
      <w:r>
        <w:rPr>
          <w:rFonts w:cs="Arial" w:hint="cs"/>
          <w:rtl/>
        </w:rPr>
        <w:t>,</w:t>
      </w:r>
      <w:r w:rsidRPr="0045000F">
        <w:rPr>
          <w:rFonts w:cs="Arial"/>
          <w:rtl/>
        </w:rPr>
        <w:t xml:space="preserve"> ולא כפירוש הרי"ף (ב"ב ל.) דמפרש שם דאינו קרוי חצי דבר וכו'</w:t>
      </w:r>
      <w:r>
        <w:rPr>
          <w:rFonts w:cs="Arial" w:hint="cs"/>
          <w:rtl/>
        </w:rPr>
        <w:t>.</w:t>
      </w:r>
      <w:r w:rsidRPr="0045000F">
        <w:rPr>
          <w:rFonts w:cs="Arial"/>
          <w:rtl/>
        </w:rPr>
        <w:t xml:space="preserve"> אמנם להסתלק מן המחלוקת טוב לעשות הכל בבת אחת</w:t>
      </w:r>
      <w:r>
        <w:rPr>
          <w:rFonts w:cs="Arial" w:hint="cs"/>
          <w:rtl/>
        </w:rPr>
        <w:t>,</w:t>
      </w:r>
      <w:r w:rsidRPr="0045000F">
        <w:rPr>
          <w:rFonts w:cs="Arial"/>
          <w:rtl/>
        </w:rPr>
        <w:t xml:space="preserve"> שיאמר הבעל בפני עדים כשרים לסופר לכתוב גט לאשתו</w:t>
      </w:r>
      <w:r>
        <w:rPr>
          <w:rFonts w:cs="Arial" w:hint="cs"/>
          <w:rtl/>
        </w:rPr>
        <w:t>,</w:t>
      </w:r>
      <w:r w:rsidRPr="0045000F">
        <w:rPr>
          <w:rFonts w:cs="Arial"/>
          <w:rtl/>
        </w:rPr>
        <w:t xml:space="preserve"> ואותם העדים יהיו בשעה שכותבו ויאמר להם הסופר שכותבו לשם פלונית אשת פלוני</w:t>
      </w:r>
      <w:r>
        <w:rPr>
          <w:rFonts w:cs="Arial" w:hint="cs"/>
          <w:rtl/>
        </w:rPr>
        <w:t>,</w:t>
      </w:r>
      <w:r w:rsidRPr="0045000F">
        <w:rPr>
          <w:rFonts w:cs="Arial"/>
          <w:rtl/>
        </w:rPr>
        <w:t xml:space="preserve"> ולאותם עדים יאמר הבעל לחתום בגט</w:t>
      </w:r>
      <w:r>
        <w:rPr>
          <w:rStyle w:val="a7"/>
          <w:rFonts w:cs="Arial"/>
          <w:rtl/>
        </w:rPr>
        <w:footnoteReference w:id="1185"/>
      </w:r>
      <w:r>
        <w:rPr>
          <w:rFonts w:cs="Arial" w:hint="cs"/>
          <w:rtl/>
        </w:rPr>
        <w:t>.</w:t>
      </w:r>
      <w:r w:rsidRPr="0045000F">
        <w:rPr>
          <w:rFonts w:cs="Arial"/>
          <w:rtl/>
        </w:rPr>
        <w:t xml:space="preserve"> ואם אין שם עדות בשעת כתיבה נראה שהוא כשר</w:t>
      </w:r>
      <w:r>
        <w:rPr>
          <w:rFonts w:cs="Arial" w:hint="cs"/>
          <w:rtl/>
        </w:rPr>
        <w:t>,</w:t>
      </w:r>
      <w:r w:rsidRPr="0045000F">
        <w:rPr>
          <w:rFonts w:cs="Arial"/>
          <w:rtl/>
        </w:rPr>
        <w:t xml:space="preserve"> דמסתמא כיון שהבעל צוה לסופר לכותבו מסתמא כתבו לשמה כהכשר דרוב בקיאים הם</w:t>
      </w:r>
      <w:r>
        <w:rPr>
          <w:rFonts w:cs="Arial" w:hint="cs"/>
          <w:rtl/>
        </w:rPr>
        <w:t>,</w:t>
      </w:r>
      <w:r w:rsidRPr="0045000F">
        <w:rPr>
          <w:rFonts w:cs="Arial"/>
          <w:rtl/>
        </w:rPr>
        <w:t xml:space="preserve"> ואמרינן נמי (גיטין ב:) דסתם ספרי דדייני מיגמר גמירי</w:t>
      </w:r>
      <w:r w:rsidR="00D60704">
        <w:rPr>
          <w:rFonts w:cs="Arial" w:hint="cs"/>
          <w:rtl/>
        </w:rPr>
        <w:t>,</w:t>
      </w:r>
      <w:r w:rsidRPr="0045000F">
        <w:rPr>
          <w:rFonts w:cs="Arial"/>
          <w:rtl/>
        </w:rPr>
        <w:t xml:space="preserve"> ולא הצריכו חכמים להיות בשעת כתיבה כי אם לשליח המוליך גט לאשה וכו'</w:t>
      </w:r>
      <w:r>
        <w:rPr>
          <w:rFonts w:cs="Arial" w:hint="cs"/>
          <w:rtl/>
        </w:rPr>
        <w:t>.</w:t>
      </w:r>
      <w:r w:rsidRPr="0045000F">
        <w:rPr>
          <w:rFonts w:cs="Arial"/>
          <w:rtl/>
        </w:rPr>
        <w:t xml:space="preserve"> ואעפ"כ נהגו העם להצריך עדים בשעת כתיבה</w:t>
      </w:r>
      <w:r w:rsidR="00D60704">
        <w:rPr>
          <w:rFonts w:cs="Arial" w:hint="cs"/>
          <w:rtl/>
        </w:rPr>
        <w:t>,</w:t>
      </w:r>
      <w:r w:rsidRPr="0045000F">
        <w:rPr>
          <w:rFonts w:cs="Arial"/>
          <w:rtl/>
        </w:rPr>
        <w:t xml:space="preserve"> ואין לשנות המנהג</w:t>
      </w:r>
      <w:r>
        <w:rPr>
          <w:rStyle w:val="a7"/>
          <w:rFonts w:cs="Arial"/>
          <w:rtl/>
        </w:rPr>
        <w:footnoteReference w:id="1186"/>
      </w:r>
      <w:r>
        <w:rPr>
          <w:rFonts w:cs="Arial" w:hint="cs"/>
          <w:rtl/>
        </w:rPr>
        <w:t>.</w:t>
      </w:r>
      <w:r w:rsidRPr="0045000F">
        <w:rPr>
          <w:rFonts w:cs="Arial"/>
          <w:rtl/>
        </w:rPr>
        <w:t xml:space="preserve"> </w:t>
      </w:r>
    </w:p>
    <w:p w14:paraId="2DC7F444" w14:textId="77777777" w:rsidR="00FA2119" w:rsidRPr="00B26965" w:rsidRDefault="00FA2119" w:rsidP="00FA2119">
      <w:pPr>
        <w:rPr>
          <w:u w:val="single"/>
        </w:rPr>
      </w:pPr>
      <w:r w:rsidRPr="00B26965">
        <w:rPr>
          <w:rFonts w:hint="cs"/>
          <w:u w:val="single"/>
          <w:rtl/>
        </w:rPr>
        <w:t>היכן העדים חותמים:</w:t>
      </w:r>
    </w:p>
    <w:p w14:paraId="6AF2A373" w14:textId="2755DDC9" w:rsidR="00FA2119" w:rsidRPr="00B26965" w:rsidRDefault="00FA2119" w:rsidP="00FA2119">
      <w:pPr>
        <w:pStyle w:val="ab"/>
        <w:numPr>
          <w:ilvl w:val="0"/>
          <w:numId w:val="88"/>
        </w:numPr>
      </w:pPr>
      <w:r w:rsidRPr="0045000F">
        <w:rPr>
          <w:rFonts w:cs="Arial"/>
          <w:rtl/>
        </w:rPr>
        <w:t xml:space="preserve">קונדריסים </w:t>
      </w:r>
      <w:r w:rsidRPr="00B26965">
        <w:rPr>
          <w:rFonts w:cs="Arial"/>
          <w:sz w:val="16"/>
          <w:szCs w:val="16"/>
          <w:rtl/>
        </w:rPr>
        <w:t>(סי' יב סעיף א)</w:t>
      </w:r>
      <w:r w:rsidR="00A82951">
        <w:rPr>
          <w:rFonts w:cs="Arial" w:hint="cs"/>
          <w:rtl/>
        </w:rPr>
        <w:t>-</w:t>
      </w:r>
      <w:r w:rsidRPr="0045000F">
        <w:rPr>
          <w:rFonts w:cs="Arial"/>
          <w:rtl/>
        </w:rPr>
        <w:t xml:space="preserve"> ולא ירחיקו משיטה אחרונה יותר משיטה אחת</w:t>
      </w:r>
      <w:r>
        <w:rPr>
          <w:rFonts w:cs="Arial" w:hint="cs"/>
          <w:rtl/>
        </w:rPr>
        <w:t>.</w:t>
      </w:r>
      <w:r w:rsidRPr="0045000F">
        <w:rPr>
          <w:rFonts w:cs="Arial"/>
          <w:rtl/>
        </w:rPr>
        <w:t xml:space="preserve"> ויש שמשרטטין י"ג שורות ואותה שורה אחרונה מחלק אותה לשתי שורות קצרות אשר בה יחתמו העדים זה תחת זה</w:t>
      </w:r>
      <w:r>
        <w:rPr>
          <w:rStyle w:val="a7"/>
          <w:rFonts w:cs="Arial"/>
          <w:rtl/>
        </w:rPr>
        <w:footnoteReference w:id="1187"/>
      </w:r>
      <w:r>
        <w:rPr>
          <w:rFonts w:cs="Arial" w:hint="cs"/>
          <w:rtl/>
        </w:rPr>
        <w:t>.</w:t>
      </w:r>
      <w:r w:rsidRPr="0045000F">
        <w:rPr>
          <w:rFonts w:cs="Arial"/>
          <w:rtl/>
        </w:rPr>
        <w:t xml:space="preserve"> </w:t>
      </w:r>
      <w:r w:rsidRPr="00763F26">
        <w:rPr>
          <w:rFonts w:hint="cs"/>
          <w:color w:val="00B0F0"/>
          <w:rtl/>
        </w:rPr>
        <w:t>(וכ"פ הרמ"א)</w:t>
      </w:r>
    </w:p>
    <w:p w14:paraId="79756F4E"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93BFF58" w14:textId="1584C80B" w:rsidR="00FA2119" w:rsidRDefault="00FA2119" w:rsidP="00FA2119">
      <w:pPr>
        <w:rPr>
          <w:rFonts w:cs="Arial"/>
          <w:rtl/>
        </w:rPr>
      </w:pPr>
      <w:r>
        <w:rPr>
          <w:rFonts w:cs="Arial" w:hint="cs"/>
          <w:rtl/>
        </w:rPr>
        <w:t>צריך</w:t>
      </w:r>
      <w:r>
        <w:rPr>
          <w:rFonts w:cs="Arial"/>
          <w:rtl/>
        </w:rPr>
        <w:t xml:space="preserve"> </w:t>
      </w:r>
      <w:r>
        <w:rPr>
          <w:rFonts w:cs="Arial" w:hint="cs"/>
          <w:rtl/>
        </w:rPr>
        <w:t>שיחתמו</w:t>
      </w:r>
      <w:r>
        <w:rPr>
          <w:rFonts w:cs="Arial"/>
          <w:rtl/>
        </w:rPr>
        <w:t xml:space="preserve"> </w:t>
      </w:r>
      <w:r>
        <w:rPr>
          <w:rFonts w:cs="Arial" w:hint="cs"/>
          <w:rtl/>
        </w:rPr>
        <w:t>שני</w:t>
      </w:r>
      <w:r>
        <w:rPr>
          <w:rFonts w:cs="Arial"/>
          <w:rtl/>
        </w:rPr>
        <w:t xml:space="preserve"> </w:t>
      </w:r>
      <w:r>
        <w:rPr>
          <w:rFonts w:cs="Arial" w:hint="cs"/>
          <w:rtl/>
        </w:rPr>
        <w:t>עדים</w:t>
      </w:r>
      <w:r>
        <w:rPr>
          <w:rFonts w:cs="Arial"/>
          <w:rtl/>
        </w:rPr>
        <w:t xml:space="preserve"> </w:t>
      </w:r>
      <w:r>
        <w:rPr>
          <w:rFonts w:cs="Arial" w:hint="cs"/>
          <w:rtl/>
        </w:rPr>
        <w:t>כשרים</w:t>
      </w:r>
      <w:r>
        <w:rPr>
          <w:rFonts w:cs="Arial"/>
          <w:rtl/>
        </w:rPr>
        <w:t xml:space="preserve"> </w:t>
      </w:r>
      <w:r>
        <w:rPr>
          <w:rFonts w:cs="Arial" w:hint="cs"/>
          <w:sz w:val="18"/>
          <w:szCs w:val="18"/>
          <w:rtl/>
        </w:rPr>
        <w:t xml:space="preserve">[הגה] </w:t>
      </w:r>
      <w:r w:rsidRPr="00D65518">
        <w:rPr>
          <w:rFonts w:cs="Arial" w:hint="cs"/>
          <w:sz w:val="18"/>
          <w:szCs w:val="18"/>
          <w:rtl/>
        </w:rPr>
        <w:t>זה</w:t>
      </w:r>
      <w:r w:rsidRPr="00D65518">
        <w:rPr>
          <w:rFonts w:cs="Arial"/>
          <w:sz w:val="18"/>
          <w:szCs w:val="18"/>
          <w:rtl/>
        </w:rPr>
        <w:t xml:space="preserve"> </w:t>
      </w:r>
      <w:r w:rsidRPr="00D65518">
        <w:rPr>
          <w:rFonts w:cs="Arial" w:hint="cs"/>
          <w:sz w:val="18"/>
          <w:szCs w:val="18"/>
          <w:rtl/>
        </w:rPr>
        <w:t>תחת</w:t>
      </w:r>
      <w:r w:rsidRPr="00D65518">
        <w:rPr>
          <w:rFonts w:cs="Arial"/>
          <w:sz w:val="18"/>
          <w:szCs w:val="18"/>
          <w:rtl/>
        </w:rPr>
        <w:t xml:space="preserve"> </w:t>
      </w:r>
      <w:r w:rsidRPr="00D65518">
        <w:rPr>
          <w:rFonts w:cs="Arial" w:hint="cs"/>
          <w:sz w:val="18"/>
          <w:szCs w:val="18"/>
          <w:rtl/>
        </w:rPr>
        <w:t>זה</w:t>
      </w:r>
      <w:r w:rsidRPr="00D65518">
        <w:rPr>
          <w:rFonts w:cs="Arial"/>
          <w:sz w:val="18"/>
          <w:szCs w:val="18"/>
          <w:rtl/>
        </w:rPr>
        <w:t xml:space="preserve"> (</w:t>
      </w:r>
      <w:r w:rsidRPr="00D65518">
        <w:rPr>
          <w:rFonts w:cs="Arial" w:hint="cs"/>
          <w:sz w:val="18"/>
          <w:szCs w:val="18"/>
          <w:rtl/>
        </w:rPr>
        <w:t>מרדכי</w:t>
      </w:r>
      <w:r w:rsidRPr="00D65518">
        <w:rPr>
          <w:rFonts w:cs="Arial"/>
          <w:sz w:val="18"/>
          <w:szCs w:val="18"/>
          <w:rtl/>
        </w:rPr>
        <w:t xml:space="preserve">) </w:t>
      </w:r>
      <w:r>
        <w:rPr>
          <w:rFonts w:cs="Arial" w:hint="cs"/>
          <w:rtl/>
        </w:rPr>
        <w:t>למטה</w:t>
      </w:r>
      <w:r>
        <w:rPr>
          <w:rFonts w:cs="Arial"/>
          <w:rtl/>
        </w:rPr>
        <w:t xml:space="preserve"> </w:t>
      </w:r>
      <w:r>
        <w:rPr>
          <w:rFonts w:cs="Arial" w:hint="cs"/>
          <w:rtl/>
        </w:rPr>
        <w:t>משיטה</w:t>
      </w:r>
      <w:r>
        <w:rPr>
          <w:rFonts w:cs="Arial"/>
          <w:rtl/>
        </w:rPr>
        <w:t xml:space="preserve"> </w:t>
      </w:r>
      <w:r>
        <w:rPr>
          <w:rFonts w:cs="Arial" w:hint="cs"/>
          <w:rtl/>
        </w:rPr>
        <w:t>אחרונה</w:t>
      </w:r>
      <w:r>
        <w:rPr>
          <w:rFonts w:cs="Arial"/>
          <w:rtl/>
        </w:rPr>
        <w:t xml:space="preserve"> </w:t>
      </w:r>
      <w:r>
        <w:rPr>
          <w:rFonts w:cs="Arial" w:hint="cs"/>
          <w:rtl/>
        </w:rPr>
        <w:t>של</w:t>
      </w:r>
      <w:r>
        <w:rPr>
          <w:rFonts w:cs="Arial"/>
          <w:rtl/>
        </w:rPr>
        <w:t xml:space="preserve"> </w:t>
      </w:r>
      <w:r>
        <w:rPr>
          <w:rFonts w:cs="Arial" w:hint="cs"/>
          <w:rtl/>
        </w:rPr>
        <w:t>גט</w:t>
      </w:r>
      <w:r>
        <w:rPr>
          <w:rFonts w:cs="Arial"/>
          <w:rtl/>
        </w:rPr>
        <w:t xml:space="preserve">. </w:t>
      </w:r>
      <w:r>
        <w:rPr>
          <w:rFonts w:cs="Arial" w:hint="cs"/>
          <w:rtl/>
        </w:rPr>
        <w:t>ולא</w:t>
      </w:r>
      <w:r>
        <w:rPr>
          <w:rFonts w:cs="Arial"/>
          <w:rtl/>
        </w:rPr>
        <w:t xml:space="preserve"> </w:t>
      </w:r>
      <w:r>
        <w:rPr>
          <w:rFonts w:cs="Arial" w:hint="cs"/>
          <w:rtl/>
        </w:rPr>
        <w:t>יניחו</w:t>
      </w:r>
      <w:r>
        <w:rPr>
          <w:rFonts w:cs="Arial"/>
          <w:rtl/>
        </w:rPr>
        <w:t xml:space="preserve"> </w:t>
      </w:r>
      <w:r>
        <w:rPr>
          <w:rFonts w:cs="Arial" w:hint="cs"/>
          <w:rtl/>
        </w:rPr>
        <w:t>כדי</w:t>
      </w:r>
      <w:r>
        <w:rPr>
          <w:rFonts w:cs="Arial"/>
          <w:rtl/>
        </w:rPr>
        <w:t xml:space="preserve"> </w:t>
      </w:r>
      <w:r>
        <w:rPr>
          <w:rFonts w:cs="Arial" w:hint="cs"/>
          <w:rtl/>
        </w:rPr>
        <w:t>אויר</w:t>
      </w:r>
      <w:r>
        <w:rPr>
          <w:rFonts w:cs="Arial"/>
          <w:rtl/>
        </w:rPr>
        <w:t xml:space="preserve"> </w:t>
      </w:r>
      <w:r>
        <w:rPr>
          <w:rFonts w:cs="Arial" w:hint="cs"/>
          <w:rtl/>
        </w:rPr>
        <w:t>שני</w:t>
      </w:r>
      <w:r>
        <w:rPr>
          <w:rFonts w:cs="Arial"/>
          <w:rtl/>
        </w:rPr>
        <w:t xml:space="preserve"> </w:t>
      </w:r>
      <w:r>
        <w:rPr>
          <w:rFonts w:cs="Arial" w:hint="cs"/>
          <w:rtl/>
        </w:rPr>
        <w:t>שיטין</w:t>
      </w:r>
      <w:r>
        <w:rPr>
          <w:rFonts w:cs="Arial"/>
          <w:rtl/>
        </w:rPr>
        <w:t xml:space="preserve"> </w:t>
      </w:r>
      <w:r>
        <w:rPr>
          <w:rFonts w:cs="Arial" w:hint="cs"/>
          <w:rtl/>
        </w:rPr>
        <w:t>בין</w:t>
      </w:r>
      <w:r>
        <w:rPr>
          <w:rFonts w:cs="Arial"/>
          <w:rtl/>
        </w:rPr>
        <w:t xml:space="preserve"> </w:t>
      </w:r>
      <w:r>
        <w:rPr>
          <w:rFonts w:cs="Arial" w:hint="cs"/>
          <w:rtl/>
        </w:rPr>
        <w:t>שיטה</w:t>
      </w:r>
      <w:r>
        <w:rPr>
          <w:rFonts w:cs="Arial"/>
          <w:rtl/>
        </w:rPr>
        <w:t xml:space="preserve"> </w:t>
      </w:r>
      <w:r>
        <w:rPr>
          <w:rFonts w:cs="Arial" w:hint="cs"/>
          <w:rtl/>
        </w:rPr>
        <w:t>אחרונה</w:t>
      </w:r>
      <w:r>
        <w:rPr>
          <w:rFonts w:cs="Arial"/>
          <w:rtl/>
        </w:rPr>
        <w:t xml:space="preserve"> </w:t>
      </w:r>
      <w:r>
        <w:rPr>
          <w:rFonts w:cs="Arial" w:hint="cs"/>
          <w:rtl/>
        </w:rPr>
        <w:t>לחתימתם</w:t>
      </w:r>
      <w:r>
        <w:rPr>
          <w:rFonts w:cs="Arial"/>
          <w:rtl/>
        </w:rPr>
        <w:t xml:space="preserve">. </w:t>
      </w:r>
      <w:r w:rsidRPr="00D65518">
        <w:rPr>
          <w:rFonts w:cs="Arial" w:hint="cs"/>
          <w:sz w:val="18"/>
          <w:szCs w:val="18"/>
          <w:rtl/>
        </w:rPr>
        <w:t>הגה</w:t>
      </w:r>
      <w:r w:rsidRPr="00D65518">
        <w:rPr>
          <w:rFonts w:cs="Arial"/>
          <w:sz w:val="18"/>
          <w:szCs w:val="18"/>
          <w:rtl/>
        </w:rPr>
        <w:t xml:space="preserve">: </w:t>
      </w:r>
      <w:r w:rsidRPr="00D65518">
        <w:rPr>
          <w:rFonts w:cs="Arial" w:hint="cs"/>
          <w:sz w:val="18"/>
          <w:szCs w:val="18"/>
          <w:rtl/>
        </w:rPr>
        <w:t>ואם</w:t>
      </w:r>
      <w:r w:rsidRPr="00D65518">
        <w:rPr>
          <w:rFonts w:cs="Arial"/>
          <w:sz w:val="18"/>
          <w:szCs w:val="18"/>
          <w:rtl/>
        </w:rPr>
        <w:t xml:space="preserve"> </w:t>
      </w:r>
      <w:r w:rsidRPr="00D65518">
        <w:rPr>
          <w:rFonts w:cs="Arial" w:hint="cs"/>
          <w:sz w:val="18"/>
          <w:szCs w:val="18"/>
          <w:rtl/>
        </w:rPr>
        <w:t>הניחו</w:t>
      </w:r>
      <w:r w:rsidRPr="00D65518">
        <w:rPr>
          <w:rFonts w:cs="Arial"/>
          <w:sz w:val="18"/>
          <w:szCs w:val="18"/>
          <w:rtl/>
        </w:rPr>
        <w:t xml:space="preserve">, </w:t>
      </w:r>
      <w:r w:rsidRPr="00D65518">
        <w:rPr>
          <w:rFonts w:cs="Arial" w:hint="cs"/>
          <w:sz w:val="18"/>
          <w:szCs w:val="18"/>
          <w:rtl/>
        </w:rPr>
        <w:t>הגט</w:t>
      </w:r>
      <w:r w:rsidRPr="00D65518">
        <w:rPr>
          <w:rFonts w:cs="Arial"/>
          <w:sz w:val="18"/>
          <w:szCs w:val="18"/>
          <w:rtl/>
        </w:rPr>
        <w:t xml:space="preserve"> </w:t>
      </w:r>
      <w:r w:rsidRPr="00D65518">
        <w:rPr>
          <w:rFonts w:cs="Arial" w:hint="cs"/>
          <w:sz w:val="18"/>
          <w:szCs w:val="18"/>
          <w:rtl/>
        </w:rPr>
        <w:t>פסול</w:t>
      </w:r>
      <w:r w:rsidRPr="00D65518">
        <w:rPr>
          <w:rFonts w:cs="Arial"/>
          <w:sz w:val="18"/>
          <w:szCs w:val="18"/>
          <w:rtl/>
        </w:rPr>
        <w:t xml:space="preserve"> (</w:t>
      </w:r>
      <w:r w:rsidRPr="00D65518">
        <w:rPr>
          <w:rFonts w:cs="Arial" w:hint="cs"/>
          <w:sz w:val="18"/>
          <w:szCs w:val="18"/>
          <w:rtl/>
        </w:rPr>
        <w:t>טור</w:t>
      </w:r>
      <w:r w:rsidRPr="00D65518">
        <w:rPr>
          <w:rFonts w:cs="Arial"/>
          <w:sz w:val="18"/>
          <w:szCs w:val="18"/>
          <w:rtl/>
        </w:rPr>
        <w:t xml:space="preserve">). </w:t>
      </w:r>
      <w:r w:rsidRPr="00D65518">
        <w:rPr>
          <w:rFonts w:cs="Arial" w:hint="cs"/>
          <w:sz w:val="18"/>
          <w:szCs w:val="18"/>
          <w:rtl/>
        </w:rPr>
        <w:t>ויש</w:t>
      </w:r>
      <w:r w:rsidRPr="00D65518">
        <w:rPr>
          <w:rFonts w:cs="Arial"/>
          <w:sz w:val="18"/>
          <w:szCs w:val="18"/>
          <w:rtl/>
        </w:rPr>
        <w:t xml:space="preserve"> </w:t>
      </w:r>
      <w:r w:rsidRPr="00D65518">
        <w:rPr>
          <w:rFonts w:cs="Arial" w:hint="cs"/>
          <w:sz w:val="18"/>
          <w:szCs w:val="18"/>
          <w:rtl/>
        </w:rPr>
        <w:t>חולקין</w:t>
      </w:r>
      <w:r w:rsidRPr="00D65518">
        <w:rPr>
          <w:rFonts w:cs="Arial"/>
          <w:sz w:val="18"/>
          <w:szCs w:val="18"/>
          <w:rtl/>
        </w:rPr>
        <w:t xml:space="preserve"> </w:t>
      </w:r>
      <w:r w:rsidRPr="00D65518">
        <w:rPr>
          <w:rFonts w:cs="Arial" w:hint="cs"/>
          <w:sz w:val="18"/>
          <w:szCs w:val="18"/>
          <w:rtl/>
        </w:rPr>
        <w:t>ומכשירים</w:t>
      </w:r>
      <w:r w:rsidRPr="00D65518">
        <w:rPr>
          <w:rFonts w:cs="Arial"/>
          <w:sz w:val="18"/>
          <w:szCs w:val="18"/>
          <w:rtl/>
        </w:rPr>
        <w:t xml:space="preserve"> </w:t>
      </w:r>
      <w:r w:rsidRPr="00D65518">
        <w:rPr>
          <w:rFonts w:cs="Arial" w:hint="cs"/>
          <w:sz w:val="18"/>
          <w:szCs w:val="18"/>
          <w:rtl/>
        </w:rPr>
        <w:t>ע</w:t>
      </w:r>
      <w:r w:rsidRPr="00D65518">
        <w:rPr>
          <w:rFonts w:cs="Arial"/>
          <w:sz w:val="18"/>
          <w:szCs w:val="18"/>
          <w:rtl/>
        </w:rPr>
        <w:t>"</w:t>
      </w:r>
      <w:r w:rsidRPr="00D65518">
        <w:rPr>
          <w:rFonts w:cs="Arial" w:hint="cs"/>
          <w:sz w:val="18"/>
          <w:szCs w:val="18"/>
          <w:rtl/>
        </w:rPr>
        <w:t>י</w:t>
      </w:r>
      <w:r w:rsidRPr="00D65518">
        <w:rPr>
          <w:rFonts w:cs="Arial"/>
          <w:sz w:val="18"/>
          <w:szCs w:val="18"/>
          <w:rtl/>
        </w:rPr>
        <w:t xml:space="preserve"> </w:t>
      </w:r>
      <w:r w:rsidRPr="00D65518">
        <w:rPr>
          <w:rFonts w:cs="Arial" w:hint="cs"/>
          <w:sz w:val="18"/>
          <w:szCs w:val="18"/>
          <w:rtl/>
        </w:rPr>
        <w:t>עדי</w:t>
      </w:r>
      <w:r w:rsidRPr="00D65518">
        <w:rPr>
          <w:rFonts w:cs="Arial"/>
          <w:sz w:val="18"/>
          <w:szCs w:val="18"/>
          <w:rtl/>
        </w:rPr>
        <w:t xml:space="preserve"> </w:t>
      </w:r>
      <w:r w:rsidRPr="00D65518">
        <w:rPr>
          <w:rFonts w:cs="Arial" w:hint="cs"/>
          <w:sz w:val="18"/>
          <w:szCs w:val="18"/>
          <w:rtl/>
        </w:rPr>
        <w:t>מסירה</w:t>
      </w:r>
      <w:r w:rsidRPr="00D65518">
        <w:rPr>
          <w:rFonts w:cs="Arial"/>
          <w:sz w:val="18"/>
          <w:szCs w:val="18"/>
          <w:rtl/>
        </w:rPr>
        <w:t xml:space="preserve"> (</w:t>
      </w:r>
      <w:r w:rsidRPr="00D65518">
        <w:rPr>
          <w:rFonts w:cs="Arial" w:hint="cs"/>
          <w:sz w:val="18"/>
          <w:szCs w:val="18"/>
          <w:rtl/>
        </w:rPr>
        <w:t>רמב</w:t>
      </w:r>
      <w:r w:rsidRPr="00D65518">
        <w:rPr>
          <w:rFonts w:cs="Arial"/>
          <w:sz w:val="18"/>
          <w:szCs w:val="18"/>
          <w:rtl/>
        </w:rPr>
        <w:t>"</w:t>
      </w:r>
      <w:r w:rsidRPr="00D65518">
        <w:rPr>
          <w:rFonts w:cs="Arial" w:hint="cs"/>
          <w:sz w:val="18"/>
          <w:szCs w:val="18"/>
          <w:rtl/>
        </w:rPr>
        <w:t>ם</w:t>
      </w:r>
      <w:r w:rsidRPr="00D65518">
        <w:rPr>
          <w:rFonts w:cs="Arial"/>
          <w:sz w:val="18"/>
          <w:szCs w:val="18"/>
          <w:rtl/>
        </w:rPr>
        <w:t xml:space="preserve"> </w:t>
      </w:r>
      <w:r w:rsidRPr="00D65518">
        <w:rPr>
          <w:rFonts w:cs="Arial" w:hint="cs"/>
          <w:sz w:val="18"/>
          <w:szCs w:val="18"/>
          <w:rtl/>
        </w:rPr>
        <w:t>רמב</w:t>
      </w:r>
      <w:r w:rsidRPr="00D65518">
        <w:rPr>
          <w:rFonts w:cs="Arial"/>
          <w:sz w:val="18"/>
          <w:szCs w:val="18"/>
          <w:rtl/>
        </w:rPr>
        <w:t>"</w:t>
      </w:r>
      <w:r w:rsidRPr="00D65518">
        <w:rPr>
          <w:rFonts w:cs="Arial" w:hint="cs"/>
          <w:sz w:val="18"/>
          <w:szCs w:val="18"/>
          <w:rtl/>
        </w:rPr>
        <w:t>ן</w:t>
      </w:r>
      <w:r w:rsidRPr="00D65518">
        <w:rPr>
          <w:rFonts w:cs="Arial"/>
          <w:sz w:val="18"/>
          <w:szCs w:val="18"/>
          <w:rtl/>
        </w:rPr>
        <w:t xml:space="preserve"> </w:t>
      </w:r>
      <w:r w:rsidRPr="00D65518">
        <w:rPr>
          <w:rFonts w:cs="Arial" w:hint="cs"/>
          <w:sz w:val="18"/>
          <w:szCs w:val="18"/>
          <w:rtl/>
        </w:rPr>
        <w:t>רשב</w:t>
      </w:r>
      <w:r w:rsidRPr="00D65518">
        <w:rPr>
          <w:rFonts w:cs="Arial"/>
          <w:sz w:val="18"/>
          <w:szCs w:val="18"/>
          <w:rtl/>
        </w:rPr>
        <w:t>"</w:t>
      </w:r>
      <w:r w:rsidRPr="00D65518">
        <w:rPr>
          <w:rFonts w:cs="Arial" w:hint="cs"/>
          <w:sz w:val="18"/>
          <w:szCs w:val="18"/>
          <w:rtl/>
        </w:rPr>
        <w:t>א</w:t>
      </w:r>
      <w:r w:rsidRPr="00D65518">
        <w:rPr>
          <w:rFonts w:cs="Arial"/>
          <w:sz w:val="18"/>
          <w:szCs w:val="18"/>
          <w:rtl/>
        </w:rPr>
        <w:t xml:space="preserve"> </w:t>
      </w:r>
      <w:r w:rsidRPr="00D65518">
        <w:rPr>
          <w:rFonts w:cs="Arial" w:hint="cs"/>
          <w:sz w:val="18"/>
          <w:szCs w:val="18"/>
          <w:rtl/>
        </w:rPr>
        <w:t>ור</w:t>
      </w:r>
      <w:r w:rsidRPr="00D65518">
        <w:rPr>
          <w:rFonts w:cs="Arial"/>
          <w:sz w:val="18"/>
          <w:szCs w:val="18"/>
          <w:rtl/>
        </w:rPr>
        <w:t>"</w:t>
      </w:r>
      <w:r w:rsidRPr="00D65518">
        <w:rPr>
          <w:rFonts w:cs="Arial" w:hint="cs"/>
          <w:sz w:val="18"/>
          <w:szCs w:val="18"/>
          <w:rtl/>
        </w:rPr>
        <w:t>ן</w:t>
      </w:r>
      <w:r w:rsidRPr="00D65518">
        <w:rPr>
          <w:rFonts w:cs="Arial"/>
          <w:sz w:val="18"/>
          <w:szCs w:val="18"/>
          <w:rtl/>
        </w:rPr>
        <w:t xml:space="preserve">). </w:t>
      </w:r>
      <w:r w:rsidRPr="00D65518">
        <w:rPr>
          <w:rFonts w:cs="Arial" w:hint="cs"/>
          <w:sz w:val="18"/>
          <w:szCs w:val="18"/>
          <w:rtl/>
        </w:rPr>
        <w:t>ואם</w:t>
      </w:r>
      <w:r w:rsidRPr="00D65518">
        <w:rPr>
          <w:rFonts w:cs="Arial"/>
          <w:sz w:val="18"/>
          <w:szCs w:val="18"/>
          <w:rtl/>
        </w:rPr>
        <w:t xml:space="preserve"> </w:t>
      </w:r>
      <w:r w:rsidRPr="00D65518">
        <w:rPr>
          <w:rFonts w:cs="Arial" w:hint="cs"/>
          <w:sz w:val="18"/>
          <w:szCs w:val="18"/>
          <w:rtl/>
        </w:rPr>
        <w:t>חתם</w:t>
      </w:r>
      <w:r w:rsidRPr="00D65518">
        <w:rPr>
          <w:rFonts w:cs="Arial"/>
          <w:sz w:val="18"/>
          <w:szCs w:val="18"/>
          <w:rtl/>
        </w:rPr>
        <w:t xml:space="preserve"> </w:t>
      </w:r>
      <w:r w:rsidRPr="00D65518">
        <w:rPr>
          <w:rFonts w:cs="Arial" w:hint="cs"/>
          <w:sz w:val="18"/>
          <w:szCs w:val="18"/>
          <w:rtl/>
        </w:rPr>
        <w:t>העד</w:t>
      </w:r>
      <w:r w:rsidRPr="00D65518">
        <w:rPr>
          <w:rFonts w:cs="Arial"/>
          <w:sz w:val="18"/>
          <w:szCs w:val="18"/>
          <w:rtl/>
        </w:rPr>
        <w:t xml:space="preserve"> </w:t>
      </w:r>
      <w:r w:rsidRPr="00D65518">
        <w:rPr>
          <w:rFonts w:cs="Arial" w:hint="cs"/>
          <w:sz w:val="18"/>
          <w:szCs w:val="18"/>
          <w:rtl/>
        </w:rPr>
        <w:t>האחרון</w:t>
      </w:r>
      <w:r w:rsidRPr="00D65518">
        <w:rPr>
          <w:rFonts w:cs="Arial"/>
          <w:sz w:val="18"/>
          <w:szCs w:val="18"/>
          <w:rtl/>
        </w:rPr>
        <w:t xml:space="preserve"> </w:t>
      </w:r>
      <w:r w:rsidRPr="00D65518">
        <w:rPr>
          <w:rFonts w:cs="Arial" w:hint="cs"/>
          <w:sz w:val="18"/>
          <w:szCs w:val="18"/>
          <w:rtl/>
        </w:rPr>
        <w:t>תחלה</w:t>
      </w:r>
      <w:r w:rsidRPr="00D65518">
        <w:rPr>
          <w:rFonts w:cs="Arial"/>
          <w:sz w:val="18"/>
          <w:szCs w:val="18"/>
          <w:rtl/>
        </w:rPr>
        <w:t xml:space="preserve">, </w:t>
      </w:r>
      <w:r w:rsidRPr="00D65518">
        <w:rPr>
          <w:rFonts w:cs="Arial" w:hint="cs"/>
          <w:sz w:val="18"/>
          <w:szCs w:val="18"/>
          <w:rtl/>
        </w:rPr>
        <w:t>ואח</w:t>
      </w:r>
      <w:r>
        <w:rPr>
          <w:rFonts w:cs="Arial" w:hint="cs"/>
          <w:sz w:val="18"/>
          <w:szCs w:val="18"/>
          <w:rtl/>
        </w:rPr>
        <w:t>"</w:t>
      </w:r>
      <w:r w:rsidRPr="00D65518">
        <w:rPr>
          <w:rFonts w:cs="Arial" w:hint="cs"/>
          <w:sz w:val="18"/>
          <w:szCs w:val="18"/>
          <w:rtl/>
        </w:rPr>
        <w:t>כ</w:t>
      </w:r>
      <w:r w:rsidRPr="00D65518">
        <w:rPr>
          <w:rFonts w:cs="Arial"/>
          <w:sz w:val="18"/>
          <w:szCs w:val="18"/>
          <w:rtl/>
        </w:rPr>
        <w:t xml:space="preserve"> </w:t>
      </w:r>
      <w:r w:rsidRPr="00D65518">
        <w:rPr>
          <w:rFonts w:cs="Arial" w:hint="cs"/>
          <w:sz w:val="18"/>
          <w:szCs w:val="18"/>
          <w:rtl/>
        </w:rPr>
        <w:t>חתם</w:t>
      </w:r>
      <w:r w:rsidRPr="00D65518">
        <w:rPr>
          <w:rFonts w:cs="Arial"/>
          <w:sz w:val="18"/>
          <w:szCs w:val="18"/>
          <w:rtl/>
        </w:rPr>
        <w:t xml:space="preserve"> </w:t>
      </w:r>
      <w:r w:rsidRPr="00D65518">
        <w:rPr>
          <w:rFonts w:cs="Arial" w:hint="cs"/>
          <w:sz w:val="18"/>
          <w:szCs w:val="18"/>
          <w:rtl/>
        </w:rPr>
        <w:t>הראשון</w:t>
      </w:r>
      <w:r w:rsidRPr="00D65518">
        <w:rPr>
          <w:rFonts w:cs="Arial"/>
          <w:sz w:val="18"/>
          <w:szCs w:val="18"/>
          <w:rtl/>
        </w:rPr>
        <w:t xml:space="preserve">, </w:t>
      </w:r>
      <w:r w:rsidRPr="00D65518">
        <w:rPr>
          <w:rFonts w:cs="Arial" w:hint="cs"/>
          <w:sz w:val="18"/>
          <w:szCs w:val="18"/>
          <w:rtl/>
        </w:rPr>
        <w:t>כשר</w:t>
      </w:r>
      <w:r w:rsidRPr="00D65518">
        <w:rPr>
          <w:rFonts w:cs="Arial"/>
          <w:sz w:val="18"/>
          <w:szCs w:val="18"/>
          <w:rtl/>
        </w:rPr>
        <w:t xml:space="preserve">, </w:t>
      </w:r>
      <w:r w:rsidRPr="00D65518">
        <w:rPr>
          <w:rFonts w:cs="Arial" w:hint="cs"/>
          <w:sz w:val="18"/>
          <w:szCs w:val="18"/>
          <w:rtl/>
        </w:rPr>
        <w:t>אע</w:t>
      </w:r>
      <w:r>
        <w:rPr>
          <w:rFonts w:cs="Arial" w:hint="cs"/>
          <w:sz w:val="18"/>
          <w:szCs w:val="18"/>
          <w:rtl/>
        </w:rPr>
        <w:t>"</w:t>
      </w:r>
      <w:r w:rsidRPr="00D65518">
        <w:rPr>
          <w:rFonts w:cs="Arial" w:hint="cs"/>
          <w:sz w:val="18"/>
          <w:szCs w:val="18"/>
          <w:rtl/>
        </w:rPr>
        <w:t>פ</w:t>
      </w:r>
      <w:r w:rsidRPr="00D65518">
        <w:rPr>
          <w:rFonts w:cs="Arial"/>
          <w:sz w:val="18"/>
          <w:szCs w:val="18"/>
          <w:rtl/>
        </w:rPr>
        <w:t xml:space="preserve"> </w:t>
      </w:r>
      <w:r w:rsidRPr="00D65518">
        <w:rPr>
          <w:rFonts w:cs="Arial" w:hint="cs"/>
          <w:sz w:val="18"/>
          <w:szCs w:val="18"/>
          <w:rtl/>
        </w:rPr>
        <w:t>דמתחלה</w:t>
      </w:r>
      <w:r w:rsidRPr="00D65518">
        <w:rPr>
          <w:rFonts w:cs="Arial"/>
          <w:sz w:val="18"/>
          <w:szCs w:val="18"/>
          <w:rtl/>
        </w:rPr>
        <w:t xml:space="preserve"> </w:t>
      </w:r>
      <w:r w:rsidRPr="00D65518">
        <w:rPr>
          <w:rFonts w:cs="Arial" w:hint="cs"/>
          <w:sz w:val="18"/>
          <w:szCs w:val="18"/>
          <w:rtl/>
        </w:rPr>
        <w:t>היה</w:t>
      </w:r>
      <w:r w:rsidRPr="00D65518">
        <w:rPr>
          <w:rFonts w:cs="Arial"/>
          <w:sz w:val="18"/>
          <w:szCs w:val="18"/>
          <w:rtl/>
        </w:rPr>
        <w:t xml:space="preserve"> </w:t>
      </w:r>
      <w:r w:rsidRPr="00D65518">
        <w:rPr>
          <w:rFonts w:cs="Arial" w:hint="cs"/>
          <w:sz w:val="18"/>
          <w:szCs w:val="18"/>
          <w:rtl/>
        </w:rPr>
        <w:t>השני</w:t>
      </w:r>
      <w:r w:rsidRPr="00D65518">
        <w:rPr>
          <w:rFonts w:cs="Arial"/>
          <w:sz w:val="18"/>
          <w:szCs w:val="18"/>
          <w:rtl/>
        </w:rPr>
        <w:t xml:space="preserve"> </w:t>
      </w:r>
      <w:r w:rsidRPr="00D65518">
        <w:rPr>
          <w:rFonts w:cs="Arial" w:hint="cs"/>
          <w:sz w:val="18"/>
          <w:szCs w:val="18"/>
          <w:rtl/>
        </w:rPr>
        <w:t>חתום</w:t>
      </w:r>
      <w:r w:rsidRPr="00D65518">
        <w:rPr>
          <w:rFonts w:cs="Arial"/>
          <w:sz w:val="18"/>
          <w:szCs w:val="18"/>
          <w:rtl/>
        </w:rPr>
        <w:t xml:space="preserve"> </w:t>
      </w:r>
      <w:r w:rsidRPr="00D65518">
        <w:rPr>
          <w:rFonts w:cs="Arial" w:hint="cs"/>
          <w:sz w:val="18"/>
          <w:szCs w:val="18"/>
          <w:rtl/>
        </w:rPr>
        <w:t>שתי</w:t>
      </w:r>
      <w:r w:rsidRPr="00D65518">
        <w:rPr>
          <w:rFonts w:cs="Arial"/>
          <w:sz w:val="18"/>
          <w:szCs w:val="18"/>
          <w:rtl/>
        </w:rPr>
        <w:t xml:space="preserve"> </w:t>
      </w:r>
      <w:r w:rsidRPr="00D65518">
        <w:rPr>
          <w:rFonts w:cs="Arial" w:hint="cs"/>
          <w:sz w:val="18"/>
          <w:szCs w:val="18"/>
          <w:rtl/>
        </w:rPr>
        <w:t>שיטות</w:t>
      </w:r>
      <w:r w:rsidRPr="00D65518">
        <w:rPr>
          <w:rFonts w:cs="Arial"/>
          <w:sz w:val="18"/>
          <w:szCs w:val="18"/>
          <w:rtl/>
        </w:rPr>
        <w:t xml:space="preserve"> </w:t>
      </w:r>
      <w:r w:rsidRPr="00D65518">
        <w:rPr>
          <w:rFonts w:cs="Arial" w:hint="cs"/>
          <w:sz w:val="18"/>
          <w:szCs w:val="18"/>
          <w:rtl/>
        </w:rPr>
        <w:t>מן</w:t>
      </w:r>
      <w:r w:rsidRPr="00D65518">
        <w:rPr>
          <w:rFonts w:cs="Arial"/>
          <w:sz w:val="18"/>
          <w:szCs w:val="18"/>
          <w:rtl/>
        </w:rPr>
        <w:t xml:space="preserve"> </w:t>
      </w:r>
      <w:r w:rsidRPr="00D65518">
        <w:rPr>
          <w:rFonts w:cs="Arial" w:hint="cs"/>
          <w:sz w:val="18"/>
          <w:szCs w:val="18"/>
          <w:rtl/>
        </w:rPr>
        <w:t>הגט</w:t>
      </w:r>
      <w:r w:rsidRPr="00D65518">
        <w:rPr>
          <w:rFonts w:cs="Arial"/>
          <w:sz w:val="18"/>
          <w:szCs w:val="18"/>
          <w:rtl/>
        </w:rPr>
        <w:t xml:space="preserve"> (</w:t>
      </w:r>
      <w:r w:rsidRPr="00D65518">
        <w:rPr>
          <w:rFonts w:cs="Arial" w:hint="cs"/>
          <w:sz w:val="18"/>
          <w:szCs w:val="18"/>
          <w:rtl/>
        </w:rPr>
        <w:t>סדר</w:t>
      </w:r>
      <w:r w:rsidRPr="00D65518">
        <w:rPr>
          <w:rFonts w:cs="Arial"/>
          <w:sz w:val="18"/>
          <w:szCs w:val="18"/>
          <w:rtl/>
        </w:rPr>
        <w:t xml:space="preserve"> </w:t>
      </w:r>
      <w:r w:rsidRPr="00D65518">
        <w:rPr>
          <w:rFonts w:cs="Arial" w:hint="cs"/>
          <w:sz w:val="18"/>
          <w:szCs w:val="18"/>
          <w:rtl/>
        </w:rPr>
        <w:t>גיטין</w:t>
      </w:r>
      <w:r w:rsidRPr="00D65518">
        <w:rPr>
          <w:rFonts w:cs="Arial"/>
          <w:sz w:val="18"/>
          <w:szCs w:val="18"/>
          <w:rtl/>
        </w:rPr>
        <w:t xml:space="preserve">). </w:t>
      </w:r>
      <w:r w:rsidRPr="00D65518">
        <w:rPr>
          <w:rFonts w:cs="Arial" w:hint="cs"/>
          <w:sz w:val="18"/>
          <w:szCs w:val="18"/>
          <w:rtl/>
        </w:rPr>
        <w:t>ומכל</w:t>
      </w:r>
      <w:r w:rsidRPr="00D65518">
        <w:rPr>
          <w:rFonts w:cs="Arial"/>
          <w:sz w:val="18"/>
          <w:szCs w:val="18"/>
          <w:rtl/>
        </w:rPr>
        <w:t xml:space="preserve"> </w:t>
      </w:r>
      <w:r w:rsidRPr="00D65518">
        <w:rPr>
          <w:rFonts w:cs="Arial" w:hint="cs"/>
          <w:sz w:val="18"/>
          <w:szCs w:val="18"/>
          <w:rtl/>
        </w:rPr>
        <w:t>מקום</w:t>
      </w:r>
      <w:r w:rsidRPr="00D65518">
        <w:rPr>
          <w:rFonts w:cs="Arial"/>
          <w:sz w:val="18"/>
          <w:szCs w:val="18"/>
          <w:rtl/>
        </w:rPr>
        <w:t xml:space="preserve"> </w:t>
      </w:r>
      <w:r w:rsidRPr="00D65518">
        <w:rPr>
          <w:rFonts w:cs="Arial" w:hint="cs"/>
          <w:sz w:val="18"/>
          <w:szCs w:val="18"/>
          <w:rtl/>
        </w:rPr>
        <w:t>לכתחלה</w:t>
      </w:r>
      <w:r w:rsidRPr="00D65518">
        <w:rPr>
          <w:rFonts w:cs="Arial"/>
          <w:sz w:val="18"/>
          <w:szCs w:val="18"/>
          <w:rtl/>
        </w:rPr>
        <w:t xml:space="preserve"> </w:t>
      </w:r>
      <w:r w:rsidRPr="00D65518">
        <w:rPr>
          <w:rFonts w:cs="Arial" w:hint="cs"/>
          <w:sz w:val="18"/>
          <w:szCs w:val="18"/>
          <w:rtl/>
        </w:rPr>
        <w:t>לא</w:t>
      </w:r>
      <w:r w:rsidRPr="00D65518">
        <w:rPr>
          <w:rFonts w:cs="Arial"/>
          <w:sz w:val="18"/>
          <w:szCs w:val="18"/>
          <w:rtl/>
        </w:rPr>
        <w:t xml:space="preserve"> </w:t>
      </w:r>
      <w:r w:rsidRPr="00D65518">
        <w:rPr>
          <w:rFonts w:cs="Arial" w:hint="cs"/>
          <w:sz w:val="18"/>
          <w:szCs w:val="18"/>
          <w:rtl/>
        </w:rPr>
        <w:t>יעשו</w:t>
      </w:r>
      <w:r w:rsidRPr="00D65518">
        <w:rPr>
          <w:rFonts w:cs="Arial"/>
          <w:sz w:val="18"/>
          <w:szCs w:val="18"/>
          <w:rtl/>
        </w:rPr>
        <w:t xml:space="preserve"> </w:t>
      </w:r>
      <w:r w:rsidRPr="00D65518">
        <w:rPr>
          <w:rFonts w:cs="Arial" w:hint="cs"/>
          <w:sz w:val="18"/>
          <w:szCs w:val="18"/>
          <w:rtl/>
        </w:rPr>
        <w:lastRenderedPageBreak/>
        <w:t>כיש</w:t>
      </w:r>
      <w:r w:rsidRPr="00D65518">
        <w:rPr>
          <w:rFonts w:cs="Arial"/>
          <w:sz w:val="18"/>
          <w:szCs w:val="18"/>
          <w:rtl/>
        </w:rPr>
        <w:t xml:space="preserve"> </w:t>
      </w:r>
      <w:r w:rsidRPr="00D65518">
        <w:rPr>
          <w:rFonts w:cs="Arial" w:hint="cs"/>
          <w:sz w:val="18"/>
          <w:szCs w:val="18"/>
          <w:rtl/>
        </w:rPr>
        <w:t>אומרים</w:t>
      </w:r>
      <w:r w:rsidRPr="00D65518">
        <w:rPr>
          <w:rFonts w:cs="Arial"/>
          <w:sz w:val="18"/>
          <w:szCs w:val="18"/>
          <w:rtl/>
        </w:rPr>
        <w:t xml:space="preserve">, </w:t>
      </w:r>
      <w:r w:rsidRPr="00D65518">
        <w:rPr>
          <w:rFonts w:cs="Arial" w:hint="cs"/>
          <w:sz w:val="18"/>
          <w:szCs w:val="18"/>
          <w:rtl/>
        </w:rPr>
        <w:t>דלכתחלה</w:t>
      </w:r>
      <w:r w:rsidRPr="00D65518">
        <w:rPr>
          <w:rFonts w:cs="Arial"/>
          <w:sz w:val="18"/>
          <w:szCs w:val="18"/>
          <w:rtl/>
        </w:rPr>
        <w:t xml:space="preserve"> </w:t>
      </w:r>
      <w:r w:rsidRPr="00D65518">
        <w:rPr>
          <w:rFonts w:cs="Arial" w:hint="cs"/>
          <w:sz w:val="18"/>
          <w:szCs w:val="18"/>
          <w:rtl/>
        </w:rPr>
        <w:t>אין</w:t>
      </w:r>
      <w:r w:rsidRPr="00D65518">
        <w:rPr>
          <w:rFonts w:cs="Arial"/>
          <w:sz w:val="18"/>
          <w:szCs w:val="18"/>
          <w:rtl/>
        </w:rPr>
        <w:t xml:space="preserve"> </w:t>
      </w:r>
      <w:r w:rsidRPr="00D65518">
        <w:rPr>
          <w:rFonts w:cs="Arial" w:hint="cs"/>
          <w:sz w:val="18"/>
          <w:szCs w:val="18"/>
          <w:rtl/>
        </w:rPr>
        <w:t>לחתום</w:t>
      </w:r>
      <w:r w:rsidRPr="00D65518">
        <w:rPr>
          <w:rFonts w:cs="Arial"/>
          <w:sz w:val="18"/>
          <w:szCs w:val="18"/>
          <w:rtl/>
        </w:rPr>
        <w:t xml:space="preserve"> </w:t>
      </w:r>
      <w:r w:rsidRPr="00D65518">
        <w:rPr>
          <w:rFonts w:cs="Arial" w:hint="cs"/>
          <w:sz w:val="18"/>
          <w:szCs w:val="18"/>
          <w:rtl/>
        </w:rPr>
        <w:t>בגט</w:t>
      </w:r>
      <w:r w:rsidRPr="00D65518">
        <w:rPr>
          <w:rFonts w:cs="Arial"/>
          <w:sz w:val="18"/>
          <w:szCs w:val="18"/>
          <w:rtl/>
        </w:rPr>
        <w:t xml:space="preserve"> </w:t>
      </w:r>
      <w:r w:rsidRPr="00D65518">
        <w:rPr>
          <w:rFonts w:cs="Arial" w:hint="cs"/>
          <w:sz w:val="18"/>
          <w:szCs w:val="18"/>
          <w:rtl/>
        </w:rPr>
        <w:t>אפי</w:t>
      </w:r>
      <w:r w:rsidRPr="00D65518">
        <w:rPr>
          <w:rFonts w:cs="Arial"/>
          <w:sz w:val="18"/>
          <w:szCs w:val="18"/>
          <w:rtl/>
        </w:rPr>
        <w:t xml:space="preserve">' </w:t>
      </w:r>
      <w:r w:rsidRPr="00D65518">
        <w:rPr>
          <w:rFonts w:cs="Arial" w:hint="cs"/>
          <w:sz w:val="18"/>
          <w:szCs w:val="18"/>
          <w:rtl/>
        </w:rPr>
        <w:t>קרוב</w:t>
      </w:r>
      <w:r w:rsidRPr="00D65518">
        <w:rPr>
          <w:rFonts w:cs="Arial"/>
          <w:sz w:val="18"/>
          <w:szCs w:val="18"/>
          <w:rtl/>
        </w:rPr>
        <w:t xml:space="preserve"> </w:t>
      </w:r>
      <w:r w:rsidRPr="00D65518">
        <w:rPr>
          <w:rFonts w:cs="Arial" w:hint="cs"/>
          <w:sz w:val="18"/>
          <w:szCs w:val="18"/>
          <w:rtl/>
        </w:rPr>
        <w:t>ונתרחק</w:t>
      </w:r>
      <w:r w:rsidRPr="00D65518">
        <w:rPr>
          <w:rFonts w:cs="Arial"/>
          <w:sz w:val="18"/>
          <w:szCs w:val="18"/>
          <w:rtl/>
        </w:rPr>
        <w:t xml:space="preserve"> </w:t>
      </w:r>
      <w:r w:rsidRPr="00D65518">
        <w:rPr>
          <w:rFonts w:cs="Arial" w:hint="cs"/>
          <w:sz w:val="18"/>
          <w:szCs w:val="18"/>
          <w:rtl/>
        </w:rPr>
        <w:t>או</w:t>
      </w:r>
      <w:r w:rsidRPr="00D65518">
        <w:rPr>
          <w:rFonts w:cs="Arial"/>
          <w:sz w:val="18"/>
          <w:szCs w:val="18"/>
          <w:rtl/>
        </w:rPr>
        <w:t xml:space="preserve"> </w:t>
      </w:r>
      <w:r w:rsidRPr="00D65518">
        <w:rPr>
          <w:rFonts w:cs="Arial" w:hint="cs"/>
          <w:sz w:val="18"/>
          <w:szCs w:val="18"/>
          <w:rtl/>
        </w:rPr>
        <w:t>מחותנים</w:t>
      </w:r>
      <w:r w:rsidRPr="00D65518">
        <w:rPr>
          <w:rFonts w:cs="Arial"/>
          <w:sz w:val="18"/>
          <w:szCs w:val="18"/>
          <w:rtl/>
        </w:rPr>
        <w:t xml:space="preserve"> </w:t>
      </w:r>
      <w:r w:rsidRPr="00D65518">
        <w:rPr>
          <w:rFonts w:cs="Arial" w:hint="cs"/>
          <w:sz w:val="18"/>
          <w:szCs w:val="18"/>
          <w:rtl/>
        </w:rPr>
        <w:t>בעלמא</w:t>
      </w:r>
      <w:r w:rsidRPr="00D65518">
        <w:rPr>
          <w:rFonts w:cs="Arial"/>
          <w:sz w:val="18"/>
          <w:szCs w:val="18"/>
          <w:rtl/>
        </w:rPr>
        <w:t xml:space="preserve"> (</w:t>
      </w:r>
      <w:r w:rsidRPr="00D65518">
        <w:rPr>
          <w:rFonts w:cs="Arial" w:hint="cs"/>
          <w:sz w:val="18"/>
          <w:szCs w:val="18"/>
          <w:rtl/>
        </w:rPr>
        <w:t>בסדר</w:t>
      </w:r>
      <w:r w:rsidRPr="00D65518">
        <w:rPr>
          <w:rFonts w:cs="Arial"/>
          <w:sz w:val="18"/>
          <w:szCs w:val="18"/>
          <w:rtl/>
        </w:rPr>
        <w:t xml:space="preserve"> </w:t>
      </w:r>
      <w:r w:rsidRPr="00D65518">
        <w:rPr>
          <w:rFonts w:cs="Arial" w:hint="cs"/>
          <w:sz w:val="18"/>
          <w:szCs w:val="18"/>
          <w:rtl/>
        </w:rPr>
        <w:t>הגט</w:t>
      </w:r>
      <w:r w:rsidRPr="00D65518">
        <w:rPr>
          <w:rFonts w:cs="Arial"/>
          <w:sz w:val="18"/>
          <w:szCs w:val="18"/>
          <w:rtl/>
        </w:rPr>
        <w:t xml:space="preserve"> </w:t>
      </w:r>
      <w:r w:rsidRPr="00D65518">
        <w:rPr>
          <w:rFonts w:cs="Arial" w:hint="cs"/>
          <w:sz w:val="18"/>
          <w:szCs w:val="18"/>
          <w:rtl/>
        </w:rPr>
        <w:t>בשם</w:t>
      </w:r>
      <w:r w:rsidRPr="00D65518">
        <w:rPr>
          <w:rFonts w:cs="Arial"/>
          <w:sz w:val="18"/>
          <w:szCs w:val="18"/>
          <w:rtl/>
        </w:rPr>
        <w:t xml:space="preserve"> </w:t>
      </w:r>
      <w:r w:rsidRPr="00D65518">
        <w:rPr>
          <w:rFonts w:cs="Arial" w:hint="cs"/>
          <w:sz w:val="18"/>
          <w:szCs w:val="18"/>
          <w:rtl/>
        </w:rPr>
        <w:t>מהרי</w:t>
      </w:r>
      <w:r w:rsidRPr="00D65518">
        <w:rPr>
          <w:rFonts w:cs="Arial"/>
          <w:sz w:val="18"/>
          <w:szCs w:val="18"/>
          <w:rtl/>
        </w:rPr>
        <w:t>"</w:t>
      </w:r>
      <w:r w:rsidRPr="00D65518">
        <w:rPr>
          <w:rFonts w:cs="Arial" w:hint="cs"/>
          <w:sz w:val="18"/>
          <w:szCs w:val="18"/>
          <w:rtl/>
        </w:rPr>
        <w:t>ל</w:t>
      </w:r>
      <w:r w:rsidRPr="00D65518">
        <w:rPr>
          <w:rFonts w:cs="Arial"/>
          <w:sz w:val="18"/>
          <w:szCs w:val="18"/>
          <w:rtl/>
        </w:rPr>
        <w:t xml:space="preserve">). </w:t>
      </w:r>
      <w:r w:rsidRPr="00D65518">
        <w:rPr>
          <w:rFonts w:cs="Arial" w:hint="cs"/>
          <w:sz w:val="18"/>
          <w:szCs w:val="18"/>
          <w:rtl/>
        </w:rPr>
        <w:t>וטוב</w:t>
      </w:r>
      <w:r w:rsidRPr="00D65518">
        <w:rPr>
          <w:rFonts w:cs="Arial"/>
          <w:sz w:val="18"/>
          <w:szCs w:val="18"/>
          <w:rtl/>
        </w:rPr>
        <w:t xml:space="preserve"> </w:t>
      </w:r>
      <w:r w:rsidRPr="00D65518">
        <w:rPr>
          <w:rFonts w:cs="Arial" w:hint="cs"/>
          <w:sz w:val="18"/>
          <w:szCs w:val="18"/>
          <w:rtl/>
        </w:rPr>
        <w:t>להדר</w:t>
      </w:r>
      <w:r w:rsidRPr="00D65518">
        <w:rPr>
          <w:rFonts w:cs="Arial"/>
          <w:sz w:val="18"/>
          <w:szCs w:val="18"/>
          <w:rtl/>
        </w:rPr>
        <w:t xml:space="preserve"> </w:t>
      </w:r>
      <w:r w:rsidRPr="00D65518">
        <w:rPr>
          <w:rFonts w:cs="Arial" w:hint="cs"/>
          <w:sz w:val="18"/>
          <w:szCs w:val="18"/>
          <w:rtl/>
        </w:rPr>
        <w:t>אחר</w:t>
      </w:r>
      <w:r w:rsidRPr="00D65518">
        <w:rPr>
          <w:rFonts w:cs="Arial"/>
          <w:sz w:val="18"/>
          <w:szCs w:val="18"/>
          <w:rtl/>
        </w:rPr>
        <w:t xml:space="preserve"> </w:t>
      </w:r>
      <w:r w:rsidRPr="00D65518">
        <w:rPr>
          <w:rFonts w:cs="Arial" w:hint="cs"/>
          <w:sz w:val="18"/>
          <w:szCs w:val="18"/>
          <w:rtl/>
        </w:rPr>
        <w:t>הסופר</w:t>
      </w:r>
      <w:r w:rsidRPr="00D65518">
        <w:rPr>
          <w:rFonts w:cs="Arial"/>
          <w:sz w:val="18"/>
          <w:szCs w:val="18"/>
          <w:rtl/>
        </w:rPr>
        <w:t xml:space="preserve"> </w:t>
      </w:r>
      <w:r w:rsidRPr="00D65518">
        <w:rPr>
          <w:rFonts w:cs="Arial" w:hint="cs"/>
          <w:sz w:val="18"/>
          <w:szCs w:val="18"/>
          <w:rtl/>
        </w:rPr>
        <w:t>שלא</w:t>
      </w:r>
      <w:r w:rsidRPr="00D65518">
        <w:rPr>
          <w:rFonts w:cs="Arial"/>
          <w:sz w:val="18"/>
          <w:szCs w:val="18"/>
          <w:rtl/>
        </w:rPr>
        <w:t xml:space="preserve"> </w:t>
      </w:r>
      <w:r w:rsidRPr="00D65518">
        <w:rPr>
          <w:rFonts w:cs="Arial" w:hint="cs"/>
          <w:sz w:val="18"/>
          <w:szCs w:val="18"/>
          <w:rtl/>
        </w:rPr>
        <w:t>יהיה</w:t>
      </w:r>
      <w:r w:rsidRPr="00D65518">
        <w:rPr>
          <w:rFonts w:cs="Arial"/>
          <w:sz w:val="18"/>
          <w:szCs w:val="18"/>
          <w:rtl/>
        </w:rPr>
        <w:t xml:space="preserve"> </w:t>
      </w:r>
      <w:r w:rsidRPr="00D65518">
        <w:rPr>
          <w:rFonts w:cs="Arial" w:hint="cs"/>
          <w:sz w:val="18"/>
          <w:szCs w:val="18"/>
          <w:rtl/>
        </w:rPr>
        <w:t>קרוב</w:t>
      </w:r>
      <w:r w:rsidRPr="00D65518">
        <w:rPr>
          <w:rFonts w:cs="Arial"/>
          <w:sz w:val="18"/>
          <w:szCs w:val="18"/>
          <w:rtl/>
        </w:rPr>
        <w:t xml:space="preserve"> </w:t>
      </w:r>
      <w:r w:rsidRPr="00D65518">
        <w:rPr>
          <w:rFonts w:cs="Arial" w:hint="cs"/>
          <w:sz w:val="18"/>
          <w:szCs w:val="18"/>
          <w:rtl/>
        </w:rPr>
        <w:t>לאיש</w:t>
      </w:r>
      <w:r w:rsidRPr="00D65518">
        <w:rPr>
          <w:rFonts w:cs="Arial"/>
          <w:sz w:val="18"/>
          <w:szCs w:val="18"/>
          <w:rtl/>
        </w:rPr>
        <w:t xml:space="preserve"> </w:t>
      </w:r>
      <w:r w:rsidRPr="00D65518">
        <w:rPr>
          <w:rFonts w:cs="Arial" w:hint="cs"/>
          <w:sz w:val="18"/>
          <w:szCs w:val="18"/>
          <w:rtl/>
        </w:rPr>
        <w:t>ולאשה</w:t>
      </w:r>
      <w:r>
        <w:rPr>
          <w:rStyle w:val="a7"/>
          <w:rFonts w:cs="Arial"/>
          <w:sz w:val="18"/>
          <w:szCs w:val="18"/>
          <w:rtl/>
        </w:rPr>
        <w:footnoteReference w:id="1188"/>
      </w:r>
      <w:r w:rsidRPr="00D65518">
        <w:rPr>
          <w:rFonts w:cs="Arial"/>
          <w:sz w:val="18"/>
          <w:szCs w:val="18"/>
          <w:rtl/>
        </w:rPr>
        <w:t xml:space="preserve">, </w:t>
      </w:r>
      <w:r w:rsidRPr="00D65518">
        <w:rPr>
          <w:rFonts w:cs="Arial" w:hint="cs"/>
          <w:sz w:val="18"/>
          <w:szCs w:val="18"/>
          <w:rtl/>
        </w:rPr>
        <w:t>אבל</w:t>
      </w:r>
      <w:r w:rsidRPr="00D65518">
        <w:rPr>
          <w:rFonts w:cs="Arial"/>
          <w:sz w:val="18"/>
          <w:szCs w:val="18"/>
          <w:rtl/>
        </w:rPr>
        <w:t xml:space="preserve"> </w:t>
      </w:r>
      <w:r w:rsidRPr="00D65518">
        <w:rPr>
          <w:rFonts w:cs="Arial" w:hint="cs"/>
          <w:sz w:val="18"/>
          <w:szCs w:val="18"/>
          <w:rtl/>
        </w:rPr>
        <w:t>היכא</w:t>
      </w:r>
      <w:r w:rsidRPr="00D65518">
        <w:rPr>
          <w:rFonts w:cs="Arial"/>
          <w:sz w:val="18"/>
          <w:szCs w:val="18"/>
          <w:rtl/>
        </w:rPr>
        <w:t xml:space="preserve"> </w:t>
      </w:r>
      <w:r w:rsidRPr="00D65518">
        <w:rPr>
          <w:rFonts w:cs="Arial" w:hint="cs"/>
          <w:sz w:val="18"/>
          <w:szCs w:val="18"/>
          <w:rtl/>
        </w:rPr>
        <w:t>דלא</w:t>
      </w:r>
      <w:r w:rsidRPr="00D65518">
        <w:rPr>
          <w:rFonts w:cs="Arial"/>
          <w:sz w:val="18"/>
          <w:szCs w:val="18"/>
          <w:rtl/>
        </w:rPr>
        <w:t xml:space="preserve"> </w:t>
      </w:r>
      <w:r w:rsidRPr="00D65518">
        <w:rPr>
          <w:rFonts w:cs="Arial" w:hint="cs"/>
          <w:sz w:val="18"/>
          <w:szCs w:val="18"/>
          <w:rtl/>
        </w:rPr>
        <w:t>אפשר</w:t>
      </w:r>
      <w:r w:rsidRPr="00D65518">
        <w:rPr>
          <w:rFonts w:cs="Arial"/>
          <w:sz w:val="18"/>
          <w:szCs w:val="18"/>
          <w:rtl/>
        </w:rPr>
        <w:t xml:space="preserve"> </w:t>
      </w:r>
      <w:r w:rsidRPr="00D65518">
        <w:rPr>
          <w:rFonts w:cs="Arial" w:hint="cs"/>
          <w:sz w:val="18"/>
          <w:szCs w:val="18"/>
          <w:rtl/>
        </w:rPr>
        <w:t>אין</w:t>
      </w:r>
      <w:r w:rsidRPr="00D65518">
        <w:rPr>
          <w:rFonts w:cs="Arial"/>
          <w:sz w:val="18"/>
          <w:szCs w:val="18"/>
          <w:rtl/>
        </w:rPr>
        <w:t xml:space="preserve"> </w:t>
      </w:r>
      <w:r w:rsidRPr="00D65518">
        <w:rPr>
          <w:rFonts w:cs="Arial" w:hint="cs"/>
          <w:sz w:val="18"/>
          <w:szCs w:val="18"/>
          <w:rtl/>
        </w:rPr>
        <w:t>קפידא</w:t>
      </w:r>
      <w:r w:rsidRPr="00D65518">
        <w:rPr>
          <w:rFonts w:cs="Arial"/>
          <w:sz w:val="18"/>
          <w:szCs w:val="18"/>
          <w:rtl/>
        </w:rPr>
        <w:t xml:space="preserve"> </w:t>
      </w:r>
      <w:r w:rsidRPr="00D65518">
        <w:rPr>
          <w:rFonts w:cs="Arial" w:hint="cs"/>
          <w:sz w:val="18"/>
          <w:szCs w:val="18"/>
          <w:rtl/>
        </w:rPr>
        <w:t>בדבר</w:t>
      </w:r>
      <w:r w:rsidRPr="00D65518">
        <w:rPr>
          <w:rFonts w:cs="Arial"/>
          <w:sz w:val="18"/>
          <w:szCs w:val="18"/>
          <w:rtl/>
        </w:rPr>
        <w:t xml:space="preserve"> (</w:t>
      </w:r>
      <w:r w:rsidRPr="00D65518">
        <w:rPr>
          <w:rFonts w:cs="Arial" w:hint="cs"/>
          <w:sz w:val="18"/>
          <w:szCs w:val="18"/>
          <w:rtl/>
        </w:rPr>
        <w:t>מהרי</w:t>
      </w:r>
      <w:r w:rsidRPr="00D65518">
        <w:rPr>
          <w:rFonts w:cs="Arial"/>
          <w:sz w:val="18"/>
          <w:szCs w:val="18"/>
          <w:rtl/>
        </w:rPr>
        <w:t>"</w:t>
      </w:r>
      <w:r w:rsidRPr="00D65518">
        <w:rPr>
          <w:rFonts w:cs="Arial" w:hint="cs"/>
          <w:sz w:val="18"/>
          <w:szCs w:val="18"/>
          <w:rtl/>
        </w:rPr>
        <w:t>ק</w:t>
      </w:r>
      <w:r w:rsidRPr="00D65518">
        <w:rPr>
          <w:rFonts w:cs="Arial"/>
          <w:sz w:val="18"/>
          <w:szCs w:val="18"/>
          <w:rtl/>
        </w:rPr>
        <w:t xml:space="preserve">). </w:t>
      </w:r>
      <w:r w:rsidRPr="00D65518">
        <w:rPr>
          <w:rFonts w:cs="Arial" w:hint="cs"/>
          <w:sz w:val="18"/>
          <w:szCs w:val="18"/>
          <w:rtl/>
        </w:rPr>
        <w:t>ולא</w:t>
      </w:r>
      <w:r w:rsidRPr="00D65518">
        <w:rPr>
          <w:rFonts w:cs="Arial"/>
          <w:sz w:val="18"/>
          <w:szCs w:val="18"/>
          <w:rtl/>
        </w:rPr>
        <w:t xml:space="preserve"> </w:t>
      </w:r>
      <w:r w:rsidRPr="00D65518">
        <w:rPr>
          <w:rFonts w:cs="Arial" w:hint="cs"/>
          <w:sz w:val="18"/>
          <w:szCs w:val="18"/>
          <w:rtl/>
        </w:rPr>
        <w:t>יהא</w:t>
      </w:r>
      <w:r w:rsidRPr="00D65518">
        <w:rPr>
          <w:rFonts w:cs="Arial"/>
          <w:sz w:val="18"/>
          <w:szCs w:val="18"/>
          <w:rtl/>
        </w:rPr>
        <w:t xml:space="preserve"> </w:t>
      </w:r>
      <w:r w:rsidRPr="00D65518">
        <w:rPr>
          <w:rFonts w:cs="Arial" w:hint="cs"/>
          <w:sz w:val="18"/>
          <w:szCs w:val="18"/>
          <w:rtl/>
        </w:rPr>
        <w:t>אחד</w:t>
      </w:r>
      <w:r w:rsidRPr="00D65518">
        <w:rPr>
          <w:rFonts w:cs="Arial"/>
          <w:sz w:val="18"/>
          <w:szCs w:val="18"/>
          <w:rtl/>
        </w:rPr>
        <w:t xml:space="preserve"> </w:t>
      </w:r>
      <w:r w:rsidRPr="00D65518">
        <w:rPr>
          <w:rFonts w:cs="Arial" w:hint="cs"/>
          <w:sz w:val="18"/>
          <w:szCs w:val="18"/>
          <w:rtl/>
        </w:rPr>
        <w:t>מן</w:t>
      </w:r>
      <w:r w:rsidRPr="00D65518">
        <w:rPr>
          <w:rFonts w:cs="Arial"/>
          <w:sz w:val="18"/>
          <w:szCs w:val="18"/>
          <w:rtl/>
        </w:rPr>
        <w:t xml:space="preserve"> </w:t>
      </w:r>
      <w:r w:rsidRPr="00D65518">
        <w:rPr>
          <w:rFonts w:cs="Arial" w:hint="cs"/>
          <w:sz w:val="18"/>
          <w:szCs w:val="18"/>
          <w:rtl/>
        </w:rPr>
        <w:t>העדים</w:t>
      </w:r>
      <w:r w:rsidRPr="00D65518">
        <w:rPr>
          <w:rFonts w:cs="Arial"/>
          <w:sz w:val="18"/>
          <w:szCs w:val="18"/>
          <w:rtl/>
        </w:rPr>
        <w:t xml:space="preserve"> </w:t>
      </w:r>
      <w:r w:rsidRPr="00D65518">
        <w:rPr>
          <w:rFonts w:cs="Arial" w:hint="cs"/>
          <w:sz w:val="18"/>
          <w:szCs w:val="18"/>
          <w:rtl/>
        </w:rPr>
        <w:t>חשוד</w:t>
      </w:r>
      <w:r w:rsidRPr="00D65518">
        <w:rPr>
          <w:rFonts w:cs="Arial"/>
          <w:sz w:val="18"/>
          <w:szCs w:val="18"/>
          <w:rtl/>
        </w:rPr>
        <w:t xml:space="preserve"> </w:t>
      </w:r>
      <w:r w:rsidRPr="00D65518">
        <w:rPr>
          <w:rFonts w:cs="Arial" w:hint="cs"/>
          <w:sz w:val="18"/>
          <w:szCs w:val="18"/>
          <w:rtl/>
        </w:rPr>
        <w:t>בעריות</w:t>
      </w:r>
      <w:r w:rsidRPr="00D65518">
        <w:rPr>
          <w:rFonts w:cs="Arial"/>
          <w:sz w:val="18"/>
          <w:szCs w:val="18"/>
          <w:rtl/>
        </w:rPr>
        <w:t xml:space="preserve">. </w:t>
      </w:r>
      <w:r w:rsidRPr="00D65518">
        <w:rPr>
          <w:rFonts w:cs="Arial" w:hint="cs"/>
          <w:sz w:val="18"/>
          <w:szCs w:val="18"/>
          <w:rtl/>
        </w:rPr>
        <w:t>ויש</w:t>
      </w:r>
      <w:r w:rsidRPr="00D65518">
        <w:rPr>
          <w:rFonts w:cs="Arial"/>
          <w:sz w:val="18"/>
          <w:szCs w:val="18"/>
          <w:rtl/>
        </w:rPr>
        <w:t xml:space="preserve"> </w:t>
      </w:r>
      <w:r w:rsidRPr="00D65518">
        <w:rPr>
          <w:rFonts w:cs="Arial" w:hint="cs"/>
          <w:sz w:val="18"/>
          <w:szCs w:val="18"/>
          <w:rtl/>
        </w:rPr>
        <w:t>מחמירין</w:t>
      </w:r>
      <w:r w:rsidRPr="00D65518">
        <w:rPr>
          <w:rFonts w:cs="Arial"/>
          <w:sz w:val="18"/>
          <w:szCs w:val="18"/>
          <w:rtl/>
        </w:rPr>
        <w:t xml:space="preserve"> </w:t>
      </w:r>
      <w:r w:rsidRPr="00D65518">
        <w:rPr>
          <w:rFonts w:cs="Arial" w:hint="cs"/>
          <w:sz w:val="18"/>
          <w:szCs w:val="18"/>
          <w:rtl/>
        </w:rPr>
        <w:t>שלא</w:t>
      </w:r>
      <w:r w:rsidRPr="00D65518">
        <w:rPr>
          <w:rFonts w:cs="Arial"/>
          <w:sz w:val="18"/>
          <w:szCs w:val="18"/>
          <w:rtl/>
        </w:rPr>
        <w:t xml:space="preserve"> </w:t>
      </w:r>
      <w:r w:rsidRPr="00D65518">
        <w:rPr>
          <w:rFonts w:cs="Arial" w:hint="cs"/>
          <w:sz w:val="18"/>
          <w:szCs w:val="18"/>
          <w:rtl/>
        </w:rPr>
        <w:t>יהיה</w:t>
      </w:r>
      <w:r w:rsidRPr="00D65518">
        <w:rPr>
          <w:rFonts w:cs="Arial"/>
          <w:sz w:val="18"/>
          <w:szCs w:val="18"/>
          <w:rtl/>
        </w:rPr>
        <w:t xml:space="preserve"> </w:t>
      </w:r>
      <w:r w:rsidRPr="00D65518">
        <w:rPr>
          <w:rFonts w:cs="Arial" w:hint="cs"/>
          <w:sz w:val="18"/>
          <w:szCs w:val="18"/>
          <w:rtl/>
        </w:rPr>
        <w:t>בעל</w:t>
      </w:r>
      <w:r w:rsidRPr="00D65518">
        <w:rPr>
          <w:rFonts w:cs="Arial"/>
          <w:sz w:val="18"/>
          <w:szCs w:val="18"/>
          <w:rtl/>
        </w:rPr>
        <w:t xml:space="preserve"> </w:t>
      </w:r>
      <w:r w:rsidRPr="00D65518">
        <w:rPr>
          <w:rFonts w:cs="Arial" w:hint="cs"/>
          <w:sz w:val="18"/>
          <w:szCs w:val="18"/>
          <w:rtl/>
        </w:rPr>
        <w:t>מום</w:t>
      </w:r>
      <w:r w:rsidRPr="00D65518">
        <w:rPr>
          <w:rFonts w:cs="Arial"/>
          <w:sz w:val="18"/>
          <w:szCs w:val="18"/>
          <w:rtl/>
        </w:rPr>
        <w:t xml:space="preserve">, </w:t>
      </w:r>
      <w:r w:rsidRPr="00D65518">
        <w:rPr>
          <w:rFonts w:cs="Arial" w:hint="cs"/>
          <w:sz w:val="18"/>
          <w:szCs w:val="18"/>
          <w:rtl/>
        </w:rPr>
        <w:t>ושלא</w:t>
      </w:r>
      <w:r w:rsidRPr="00D65518">
        <w:rPr>
          <w:rFonts w:cs="Arial"/>
          <w:sz w:val="18"/>
          <w:szCs w:val="18"/>
          <w:rtl/>
        </w:rPr>
        <w:t xml:space="preserve"> </w:t>
      </w:r>
      <w:r w:rsidRPr="00D65518">
        <w:rPr>
          <w:rFonts w:cs="Arial" w:hint="cs"/>
          <w:sz w:val="18"/>
          <w:szCs w:val="18"/>
          <w:rtl/>
        </w:rPr>
        <w:t>יהיו</w:t>
      </w:r>
      <w:r w:rsidRPr="00D65518">
        <w:rPr>
          <w:rFonts w:cs="Arial"/>
          <w:sz w:val="18"/>
          <w:szCs w:val="18"/>
          <w:rtl/>
        </w:rPr>
        <w:t xml:space="preserve"> </w:t>
      </w:r>
      <w:r w:rsidRPr="00D65518">
        <w:rPr>
          <w:rFonts w:cs="Arial" w:hint="cs"/>
          <w:sz w:val="18"/>
          <w:szCs w:val="18"/>
          <w:rtl/>
        </w:rPr>
        <w:t>העדים</w:t>
      </w:r>
      <w:r w:rsidRPr="00D65518">
        <w:rPr>
          <w:rFonts w:cs="Arial"/>
          <w:sz w:val="18"/>
          <w:szCs w:val="18"/>
          <w:rtl/>
        </w:rPr>
        <w:t xml:space="preserve"> </w:t>
      </w:r>
      <w:r w:rsidRPr="00D65518">
        <w:rPr>
          <w:rFonts w:cs="Arial" w:hint="cs"/>
          <w:sz w:val="18"/>
          <w:szCs w:val="18"/>
          <w:rtl/>
        </w:rPr>
        <w:t>קרובים</w:t>
      </w:r>
      <w:r w:rsidRPr="00D65518">
        <w:rPr>
          <w:rFonts w:cs="Arial"/>
          <w:sz w:val="18"/>
          <w:szCs w:val="18"/>
          <w:rtl/>
        </w:rPr>
        <w:t xml:space="preserve"> </w:t>
      </w:r>
      <w:r w:rsidRPr="00D65518">
        <w:rPr>
          <w:rFonts w:cs="Arial" w:hint="cs"/>
          <w:sz w:val="18"/>
          <w:szCs w:val="18"/>
          <w:rtl/>
        </w:rPr>
        <w:t>לסופר</w:t>
      </w:r>
      <w:r w:rsidRPr="00D65518">
        <w:rPr>
          <w:rFonts w:cs="Arial"/>
          <w:sz w:val="18"/>
          <w:szCs w:val="18"/>
          <w:rtl/>
        </w:rPr>
        <w:t xml:space="preserve">, </w:t>
      </w:r>
      <w:r w:rsidRPr="00D65518">
        <w:rPr>
          <w:rFonts w:cs="Arial" w:hint="cs"/>
          <w:sz w:val="18"/>
          <w:szCs w:val="18"/>
          <w:rtl/>
        </w:rPr>
        <w:t>וכולם</w:t>
      </w:r>
      <w:r w:rsidRPr="00D65518">
        <w:rPr>
          <w:rFonts w:cs="Arial"/>
          <w:sz w:val="18"/>
          <w:szCs w:val="18"/>
          <w:rtl/>
        </w:rPr>
        <w:t xml:space="preserve"> </w:t>
      </w:r>
      <w:r w:rsidRPr="00D65518">
        <w:rPr>
          <w:rFonts w:cs="Arial" w:hint="cs"/>
          <w:sz w:val="18"/>
          <w:szCs w:val="18"/>
          <w:rtl/>
        </w:rPr>
        <w:t>לא</w:t>
      </w:r>
      <w:r w:rsidRPr="00D65518">
        <w:rPr>
          <w:rFonts w:cs="Arial"/>
          <w:sz w:val="18"/>
          <w:szCs w:val="18"/>
          <w:rtl/>
        </w:rPr>
        <w:t xml:space="preserve"> </w:t>
      </w:r>
      <w:r w:rsidRPr="00D65518">
        <w:rPr>
          <w:rFonts w:cs="Arial" w:hint="cs"/>
          <w:sz w:val="18"/>
          <w:szCs w:val="18"/>
          <w:rtl/>
        </w:rPr>
        <w:t>יהיו</w:t>
      </w:r>
      <w:r w:rsidRPr="00D65518">
        <w:rPr>
          <w:rFonts w:cs="Arial"/>
          <w:sz w:val="18"/>
          <w:szCs w:val="18"/>
          <w:rtl/>
        </w:rPr>
        <w:t xml:space="preserve"> </w:t>
      </w:r>
      <w:r w:rsidRPr="00D65518">
        <w:rPr>
          <w:rFonts w:cs="Arial" w:hint="cs"/>
          <w:sz w:val="18"/>
          <w:szCs w:val="18"/>
          <w:rtl/>
        </w:rPr>
        <w:t>קרובים</w:t>
      </w:r>
      <w:r w:rsidRPr="00D65518">
        <w:rPr>
          <w:rFonts w:cs="Arial"/>
          <w:sz w:val="18"/>
          <w:szCs w:val="18"/>
          <w:rtl/>
        </w:rPr>
        <w:t xml:space="preserve"> </w:t>
      </w:r>
      <w:r w:rsidRPr="00D65518">
        <w:rPr>
          <w:rFonts w:cs="Arial" w:hint="cs"/>
          <w:sz w:val="18"/>
          <w:szCs w:val="18"/>
          <w:rtl/>
        </w:rPr>
        <w:t>לרב</w:t>
      </w:r>
      <w:r w:rsidRPr="00D65518">
        <w:rPr>
          <w:rFonts w:cs="Arial"/>
          <w:sz w:val="18"/>
          <w:szCs w:val="18"/>
          <w:rtl/>
        </w:rPr>
        <w:t xml:space="preserve"> </w:t>
      </w:r>
      <w:r w:rsidRPr="00D65518">
        <w:rPr>
          <w:rFonts w:cs="Arial" w:hint="cs"/>
          <w:sz w:val="18"/>
          <w:szCs w:val="18"/>
          <w:rtl/>
        </w:rPr>
        <w:t>המסדר</w:t>
      </w:r>
      <w:r w:rsidRPr="00D65518">
        <w:rPr>
          <w:rFonts w:cs="Arial"/>
          <w:sz w:val="18"/>
          <w:szCs w:val="18"/>
          <w:rtl/>
        </w:rPr>
        <w:t xml:space="preserve"> </w:t>
      </w:r>
      <w:r w:rsidRPr="00D65518">
        <w:rPr>
          <w:rFonts w:cs="Arial" w:hint="cs"/>
          <w:sz w:val="18"/>
          <w:szCs w:val="18"/>
          <w:rtl/>
        </w:rPr>
        <w:t>הגט</w:t>
      </w:r>
      <w:r w:rsidRPr="00D65518">
        <w:rPr>
          <w:rFonts w:cs="Arial"/>
          <w:sz w:val="18"/>
          <w:szCs w:val="18"/>
          <w:rtl/>
        </w:rPr>
        <w:t xml:space="preserve">, </w:t>
      </w:r>
      <w:r w:rsidRPr="00D65518">
        <w:rPr>
          <w:rFonts w:cs="Arial" w:hint="cs"/>
          <w:sz w:val="18"/>
          <w:szCs w:val="18"/>
          <w:rtl/>
        </w:rPr>
        <w:t>וטוב</w:t>
      </w:r>
      <w:r w:rsidRPr="00D65518">
        <w:rPr>
          <w:rFonts w:cs="Arial"/>
          <w:sz w:val="18"/>
          <w:szCs w:val="18"/>
          <w:rtl/>
        </w:rPr>
        <w:t xml:space="preserve"> </w:t>
      </w:r>
      <w:r w:rsidRPr="00D65518">
        <w:rPr>
          <w:rFonts w:cs="Arial" w:hint="cs"/>
          <w:sz w:val="18"/>
          <w:szCs w:val="18"/>
          <w:rtl/>
        </w:rPr>
        <w:t>לחוש</w:t>
      </w:r>
      <w:r w:rsidRPr="00D65518">
        <w:rPr>
          <w:rFonts w:cs="Arial"/>
          <w:sz w:val="18"/>
          <w:szCs w:val="18"/>
          <w:rtl/>
        </w:rPr>
        <w:t xml:space="preserve"> </w:t>
      </w:r>
      <w:r w:rsidRPr="00D65518">
        <w:rPr>
          <w:rFonts w:cs="Arial" w:hint="cs"/>
          <w:sz w:val="18"/>
          <w:szCs w:val="18"/>
          <w:rtl/>
        </w:rPr>
        <w:t>לכל</w:t>
      </w:r>
      <w:r w:rsidRPr="00D65518">
        <w:rPr>
          <w:rFonts w:cs="Arial"/>
          <w:sz w:val="18"/>
          <w:szCs w:val="18"/>
          <w:rtl/>
        </w:rPr>
        <w:t xml:space="preserve"> </w:t>
      </w:r>
      <w:r w:rsidRPr="00D65518">
        <w:rPr>
          <w:rFonts w:cs="Arial" w:hint="cs"/>
          <w:sz w:val="18"/>
          <w:szCs w:val="18"/>
          <w:rtl/>
        </w:rPr>
        <w:t>זה</w:t>
      </w:r>
      <w:r w:rsidRPr="00D65518">
        <w:rPr>
          <w:rFonts w:cs="Arial"/>
          <w:sz w:val="18"/>
          <w:szCs w:val="18"/>
          <w:rtl/>
        </w:rPr>
        <w:t xml:space="preserve"> </w:t>
      </w:r>
      <w:r w:rsidRPr="00D65518">
        <w:rPr>
          <w:rFonts w:cs="Arial" w:hint="cs"/>
          <w:sz w:val="18"/>
          <w:szCs w:val="18"/>
          <w:rtl/>
        </w:rPr>
        <w:t>לכתחלה</w:t>
      </w:r>
      <w:r w:rsidRPr="00D65518">
        <w:rPr>
          <w:rFonts w:cs="Arial"/>
          <w:sz w:val="18"/>
          <w:szCs w:val="18"/>
          <w:rtl/>
        </w:rPr>
        <w:t xml:space="preserve"> (</w:t>
      </w:r>
      <w:r w:rsidRPr="00D65518">
        <w:rPr>
          <w:rFonts w:cs="Arial" w:hint="cs"/>
          <w:sz w:val="18"/>
          <w:szCs w:val="18"/>
          <w:rtl/>
        </w:rPr>
        <w:t>כל</w:t>
      </w:r>
      <w:r w:rsidRPr="00D65518">
        <w:rPr>
          <w:rFonts w:cs="Arial"/>
          <w:sz w:val="18"/>
          <w:szCs w:val="18"/>
          <w:rtl/>
        </w:rPr>
        <w:t xml:space="preserve"> </w:t>
      </w:r>
      <w:r w:rsidRPr="00D65518">
        <w:rPr>
          <w:rFonts w:cs="Arial" w:hint="cs"/>
          <w:sz w:val="18"/>
          <w:szCs w:val="18"/>
          <w:rtl/>
        </w:rPr>
        <w:t>זה</w:t>
      </w:r>
      <w:r w:rsidRPr="00D65518">
        <w:rPr>
          <w:rFonts w:cs="Arial"/>
          <w:sz w:val="18"/>
          <w:szCs w:val="18"/>
          <w:rtl/>
        </w:rPr>
        <w:t xml:space="preserve"> </w:t>
      </w:r>
      <w:r w:rsidRPr="00D65518">
        <w:rPr>
          <w:rFonts w:cs="Arial" w:hint="cs"/>
          <w:sz w:val="18"/>
          <w:szCs w:val="18"/>
          <w:rtl/>
        </w:rPr>
        <w:t>בסדרים</w:t>
      </w:r>
      <w:r w:rsidRPr="00D65518">
        <w:rPr>
          <w:rFonts w:cs="Arial"/>
          <w:sz w:val="18"/>
          <w:szCs w:val="18"/>
          <w:rtl/>
        </w:rPr>
        <w:t xml:space="preserve">). </w:t>
      </w:r>
      <w:r w:rsidRPr="00D65518">
        <w:rPr>
          <w:rFonts w:cs="Arial" w:hint="cs"/>
          <w:sz w:val="18"/>
          <w:szCs w:val="18"/>
          <w:rtl/>
        </w:rPr>
        <w:t>גם</w:t>
      </w:r>
      <w:r w:rsidRPr="00D65518">
        <w:rPr>
          <w:rFonts w:cs="Arial"/>
          <w:sz w:val="18"/>
          <w:szCs w:val="18"/>
          <w:rtl/>
        </w:rPr>
        <w:t xml:space="preserve"> </w:t>
      </w:r>
      <w:r w:rsidRPr="00D65518">
        <w:rPr>
          <w:rFonts w:cs="Arial" w:hint="cs"/>
          <w:sz w:val="18"/>
          <w:szCs w:val="18"/>
          <w:rtl/>
        </w:rPr>
        <w:t>נוהגין</w:t>
      </w:r>
      <w:r w:rsidRPr="00D65518">
        <w:rPr>
          <w:rFonts w:cs="Arial"/>
          <w:sz w:val="18"/>
          <w:szCs w:val="18"/>
          <w:rtl/>
        </w:rPr>
        <w:t xml:space="preserve"> </w:t>
      </w:r>
      <w:r w:rsidRPr="00D65518">
        <w:rPr>
          <w:rFonts w:cs="Arial" w:hint="cs"/>
          <w:sz w:val="18"/>
          <w:szCs w:val="18"/>
          <w:rtl/>
        </w:rPr>
        <w:t>ליקח</w:t>
      </w:r>
      <w:r w:rsidRPr="00D65518">
        <w:rPr>
          <w:rFonts w:cs="Arial"/>
          <w:sz w:val="18"/>
          <w:szCs w:val="18"/>
          <w:rtl/>
        </w:rPr>
        <w:t xml:space="preserve"> </w:t>
      </w:r>
      <w:r w:rsidRPr="00D65518">
        <w:rPr>
          <w:rFonts w:cs="Arial" w:hint="cs"/>
          <w:sz w:val="18"/>
          <w:szCs w:val="18"/>
          <w:rtl/>
        </w:rPr>
        <w:t>עדי</w:t>
      </w:r>
      <w:r w:rsidRPr="00D65518">
        <w:rPr>
          <w:rFonts w:cs="Arial"/>
          <w:sz w:val="18"/>
          <w:szCs w:val="18"/>
          <w:rtl/>
        </w:rPr>
        <w:t xml:space="preserve"> </w:t>
      </w:r>
      <w:r w:rsidRPr="00D65518">
        <w:rPr>
          <w:rFonts w:cs="Arial" w:hint="cs"/>
          <w:sz w:val="18"/>
          <w:szCs w:val="18"/>
          <w:rtl/>
        </w:rPr>
        <w:t>חתימה</w:t>
      </w:r>
      <w:r w:rsidRPr="00D65518">
        <w:rPr>
          <w:rFonts w:cs="Arial"/>
          <w:sz w:val="18"/>
          <w:szCs w:val="18"/>
          <w:rtl/>
        </w:rPr>
        <w:t xml:space="preserve"> </w:t>
      </w:r>
      <w:r w:rsidRPr="00D65518">
        <w:rPr>
          <w:rFonts w:cs="Arial" w:hint="cs"/>
          <w:sz w:val="18"/>
          <w:szCs w:val="18"/>
          <w:rtl/>
        </w:rPr>
        <w:t>לעדי</w:t>
      </w:r>
      <w:r w:rsidRPr="00D65518">
        <w:rPr>
          <w:rFonts w:cs="Arial"/>
          <w:sz w:val="18"/>
          <w:szCs w:val="18"/>
          <w:rtl/>
        </w:rPr>
        <w:t xml:space="preserve"> </w:t>
      </w:r>
      <w:r w:rsidRPr="00D65518">
        <w:rPr>
          <w:rFonts w:cs="Arial" w:hint="cs"/>
          <w:sz w:val="18"/>
          <w:szCs w:val="18"/>
          <w:rtl/>
        </w:rPr>
        <w:t>מסירה</w:t>
      </w:r>
      <w:r w:rsidRPr="00D65518">
        <w:rPr>
          <w:rFonts w:cs="Arial"/>
          <w:sz w:val="18"/>
          <w:szCs w:val="18"/>
          <w:rtl/>
        </w:rPr>
        <w:t xml:space="preserve">, </w:t>
      </w:r>
      <w:r w:rsidRPr="00D65518">
        <w:rPr>
          <w:rFonts w:cs="Arial" w:hint="cs"/>
          <w:sz w:val="18"/>
          <w:szCs w:val="18"/>
          <w:rtl/>
        </w:rPr>
        <w:t>והם</w:t>
      </w:r>
      <w:r w:rsidRPr="00D65518">
        <w:rPr>
          <w:rFonts w:cs="Arial"/>
          <w:sz w:val="18"/>
          <w:szCs w:val="18"/>
          <w:rtl/>
        </w:rPr>
        <w:t xml:space="preserve"> </w:t>
      </w:r>
      <w:r w:rsidRPr="00D65518">
        <w:rPr>
          <w:rFonts w:cs="Arial" w:hint="cs"/>
          <w:sz w:val="18"/>
          <w:szCs w:val="18"/>
          <w:rtl/>
        </w:rPr>
        <w:t>יראו</w:t>
      </w:r>
      <w:r w:rsidRPr="00D65518">
        <w:rPr>
          <w:rFonts w:cs="Arial"/>
          <w:sz w:val="18"/>
          <w:szCs w:val="18"/>
          <w:rtl/>
        </w:rPr>
        <w:t xml:space="preserve"> </w:t>
      </w:r>
      <w:r w:rsidRPr="00D65518">
        <w:rPr>
          <w:rFonts w:cs="Arial" w:hint="cs"/>
          <w:sz w:val="18"/>
          <w:szCs w:val="18"/>
          <w:rtl/>
        </w:rPr>
        <w:t>שהבעל</w:t>
      </w:r>
      <w:r w:rsidRPr="00D65518">
        <w:rPr>
          <w:rFonts w:cs="Arial"/>
          <w:sz w:val="18"/>
          <w:szCs w:val="18"/>
          <w:rtl/>
        </w:rPr>
        <w:t xml:space="preserve"> </w:t>
      </w:r>
      <w:r w:rsidRPr="00D65518">
        <w:rPr>
          <w:rFonts w:cs="Arial" w:hint="cs"/>
          <w:sz w:val="18"/>
          <w:szCs w:val="18"/>
          <w:rtl/>
        </w:rPr>
        <w:t>צוה</w:t>
      </w:r>
      <w:r w:rsidRPr="00D65518">
        <w:rPr>
          <w:rFonts w:cs="Arial"/>
          <w:sz w:val="18"/>
          <w:szCs w:val="18"/>
          <w:rtl/>
        </w:rPr>
        <w:t xml:space="preserve"> </w:t>
      </w:r>
      <w:r w:rsidRPr="00D65518">
        <w:rPr>
          <w:rFonts w:cs="Arial" w:hint="cs"/>
          <w:sz w:val="18"/>
          <w:szCs w:val="18"/>
          <w:rtl/>
        </w:rPr>
        <w:t>לסופר</w:t>
      </w:r>
      <w:r w:rsidRPr="00D65518">
        <w:rPr>
          <w:rFonts w:cs="Arial"/>
          <w:sz w:val="18"/>
          <w:szCs w:val="18"/>
          <w:rtl/>
        </w:rPr>
        <w:t xml:space="preserve"> </w:t>
      </w:r>
      <w:r w:rsidRPr="00D65518">
        <w:rPr>
          <w:rFonts w:cs="Arial" w:hint="cs"/>
          <w:sz w:val="18"/>
          <w:szCs w:val="18"/>
          <w:rtl/>
        </w:rPr>
        <w:t>לכתוב</w:t>
      </w:r>
      <w:r w:rsidRPr="00D65518">
        <w:rPr>
          <w:rFonts w:cs="Arial"/>
          <w:sz w:val="18"/>
          <w:szCs w:val="18"/>
          <w:rtl/>
        </w:rPr>
        <w:t xml:space="preserve">, </w:t>
      </w:r>
      <w:r w:rsidRPr="00D65518">
        <w:rPr>
          <w:rFonts w:cs="Arial" w:hint="cs"/>
          <w:sz w:val="18"/>
          <w:szCs w:val="18"/>
          <w:rtl/>
        </w:rPr>
        <w:t>כדי</w:t>
      </w:r>
      <w:r w:rsidRPr="00D65518">
        <w:rPr>
          <w:rFonts w:cs="Arial"/>
          <w:sz w:val="18"/>
          <w:szCs w:val="18"/>
          <w:rtl/>
        </w:rPr>
        <w:t xml:space="preserve"> </w:t>
      </w:r>
      <w:r w:rsidRPr="00D65518">
        <w:rPr>
          <w:rFonts w:cs="Arial" w:hint="cs"/>
          <w:sz w:val="18"/>
          <w:szCs w:val="18"/>
          <w:rtl/>
        </w:rPr>
        <w:t>שיהיה</w:t>
      </w:r>
      <w:r w:rsidRPr="00D65518">
        <w:rPr>
          <w:rFonts w:cs="Arial"/>
          <w:sz w:val="18"/>
          <w:szCs w:val="18"/>
          <w:rtl/>
        </w:rPr>
        <w:t xml:space="preserve"> </w:t>
      </w:r>
      <w:r w:rsidRPr="00D65518">
        <w:rPr>
          <w:rFonts w:cs="Arial" w:hint="cs"/>
          <w:sz w:val="18"/>
          <w:szCs w:val="18"/>
          <w:rtl/>
        </w:rPr>
        <w:t>הכל</w:t>
      </w:r>
      <w:r w:rsidRPr="00D65518">
        <w:rPr>
          <w:rFonts w:cs="Arial"/>
          <w:sz w:val="18"/>
          <w:szCs w:val="18"/>
          <w:rtl/>
        </w:rPr>
        <w:t xml:space="preserve"> </w:t>
      </w:r>
      <w:r w:rsidRPr="00D65518">
        <w:rPr>
          <w:rFonts w:cs="Arial" w:hint="cs"/>
          <w:sz w:val="18"/>
          <w:szCs w:val="18"/>
          <w:rtl/>
        </w:rPr>
        <w:t>נעשה</w:t>
      </w:r>
      <w:r w:rsidRPr="00D65518">
        <w:rPr>
          <w:rFonts w:cs="Arial"/>
          <w:sz w:val="18"/>
          <w:szCs w:val="18"/>
          <w:rtl/>
        </w:rPr>
        <w:t xml:space="preserve"> </w:t>
      </w:r>
      <w:r w:rsidRPr="00D65518">
        <w:rPr>
          <w:rFonts w:cs="Arial" w:hint="cs"/>
          <w:sz w:val="18"/>
          <w:szCs w:val="18"/>
          <w:rtl/>
        </w:rPr>
        <w:t>בפני</w:t>
      </w:r>
      <w:r w:rsidRPr="00D65518">
        <w:rPr>
          <w:rFonts w:cs="Arial"/>
          <w:sz w:val="18"/>
          <w:szCs w:val="18"/>
          <w:rtl/>
        </w:rPr>
        <w:t xml:space="preserve"> </w:t>
      </w:r>
      <w:r w:rsidRPr="00D65518">
        <w:rPr>
          <w:rFonts w:cs="Arial" w:hint="cs"/>
          <w:sz w:val="18"/>
          <w:szCs w:val="18"/>
          <w:rtl/>
        </w:rPr>
        <w:t>כת</w:t>
      </w:r>
      <w:r w:rsidRPr="00D65518">
        <w:rPr>
          <w:rFonts w:cs="Arial"/>
          <w:sz w:val="18"/>
          <w:szCs w:val="18"/>
          <w:rtl/>
        </w:rPr>
        <w:t xml:space="preserve"> </w:t>
      </w:r>
      <w:r w:rsidRPr="00D65518">
        <w:rPr>
          <w:rFonts w:cs="Arial" w:hint="cs"/>
          <w:sz w:val="18"/>
          <w:szCs w:val="18"/>
          <w:rtl/>
        </w:rPr>
        <w:t>אחד</w:t>
      </w:r>
      <w:r w:rsidRPr="00D65518">
        <w:rPr>
          <w:rFonts w:cs="Arial"/>
          <w:sz w:val="18"/>
          <w:szCs w:val="18"/>
          <w:rtl/>
        </w:rPr>
        <w:t xml:space="preserve"> </w:t>
      </w:r>
      <w:r w:rsidRPr="00D65518">
        <w:rPr>
          <w:rFonts w:cs="Arial" w:hint="cs"/>
          <w:sz w:val="18"/>
          <w:szCs w:val="18"/>
          <w:rtl/>
        </w:rPr>
        <w:t>של</w:t>
      </w:r>
      <w:r w:rsidRPr="00D65518">
        <w:rPr>
          <w:rFonts w:cs="Arial"/>
          <w:sz w:val="18"/>
          <w:szCs w:val="18"/>
          <w:rtl/>
        </w:rPr>
        <w:t xml:space="preserve"> </w:t>
      </w:r>
      <w:r w:rsidRPr="00D65518">
        <w:rPr>
          <w:rFonts w:cs="Arial" w:hint="cs"/>
          <w:sz w:val="18"/>
          <w:szCs w:val="18"/>
          <w:rtl/>
        </w:rPr>
        <w:t>עדים</w:t>
      </w:r>
      <w:r w:rsidRPr="00D65518">
        <w:rPr>
          <w:rFonts w:cs="Arial"/>
          <w:sz w:val="18"/>
          <w:szCs w:val="18"/>
          <w:rtl/>
        </w:rPr>
        <w:t xml:space="preserve"> (</w:t>
      </w:r>
      <w:r w:rsidRPr="00D65518">
        <w:rPr>
          <w:rFonts w:cs="Arial" w:hint="cs"/>
          <w:sz w:val="18"/>
          <w:szCs w:val="18"/>
          <w:rtl/>
        </w:rPr>
        <w:t>סמ</w:t>
      </w:r>
      <w:r w:rsidRPr="00D65518">
        <w:rPr>
          <w:rFonts w:cs="Arial"/>
          <w:sz w:val="18"/>
          <w:szCs w:val="18"/>
          <w:rtl/>
        </w:rPr>
        <w:t>"</w:t>
      </w:r>
      <w:r w:rsidRPr="00D65518">
        <w:rPr>
          <w:rFonts w:cs="Arial" w:hint="cs"/>
          <w:sz w:val="18"/>
          <w:szCs w:val="18"/>
          <w:rtl/>
        </w:rPr>
        <w:t>ג</w:t>
      </w:r>
      <w:r w:rsidR="008A43A5">
        <w:rPr>
          <w:rFonts w:cs="Arial" w:hint="cs"/>
          <w:sz w:val="18"/>
          <w:szCs w:val="18"/>
          <w:rtl/>
        </w:rPr>
        <w:t xml:space="preserve"> ומרדכי</w:t>
      </w:r>
      <w:r w:rsidRPr="00D65518">
        <w:rPr>
          <w:rFonts w:cs="Arial"/>
          <w:sz w:val="18"/>
          <w:szCs w:val="18"/>
          <w:rtl/>
        </w:rPr>
        <w:t xml:space="preserve">). </w:t>
      </w:r>
      <w:r w:rsidRPr="00D65518">
        <w:rPr>
          <w:rFonts w:cs="Arial" w:hint="cs"/>
          <w:sz w:val="18"/>
          <w:szCs w:val="18"/>
          <w:rtl/>
        </w:rPr>
        <w:t>ולא</w:t>
      </w:r>
      <w:r w:rsidRPr="00D65518">
        <w:rPr>
          <w:rFonts w:cs="Arial"/>
          <w:sz w:val="18"/>
          <w:szCs w:val="18"/>
          <w:rtl/>
        </w:rPr>
        <w:t xml:space="preserve"> </w:t>
      </w:r>
      <w:r w:rsidRPr="00D65518">
        <w:rPr>
          <w:rFonts w:cs="Arial" w:hint="cs"/>
          <w:sz w:val="18"/>
          <w:szCs w:val="18"/>
          <w:rtl/>
        </w:rPr>
        <w:t>יחתמו</w:t>
      </w:r>
      <w:r w:rsidRPr="00D65518">
        <w:rPr>
          <w:rFonts w:cs="Arial"/>
          <w:sz w:val="18"/>
          <w:szCs w:val="18"/>
          <w:rtl/>
        </w:rPr>
        <w:t xml:space="preserve"> </w:t>
      </w:r>
      <w:r w:rsidRPr="00D65518">
        <w:rPr>
          <w:rFonts w:cs="Arial" w:hint="cs"/>
          <w:sz w:val="18"/>
          <w:szCs w:val="18"/>
          <w:rtl/>
        </w:rPr>
        <w:t>העדים</w:t>
      </w:r>
      <w:r w:rsidRPr="00D65518">
        <w:rPr>
          <w:rFonts w:cs="Arial"/>
          <w:sz w:val="18"/>
          <w:szCs w:val="18"/>
          <w:rtl/>
        </w:rPr>
        <w:t xml:space="preserve"> </w:t>
      </w:r>
      <w:r w:rsidRPr="00D65518">
        <w:rPr>
          <w:rFonts w:cs="Arial" w:hint="cs"/>
          <w:sz w:val="18"/>
          <w:szCs w:val="18"/>
          <w:rtl/>
        </w:rPr>
        <w:t>רק</w:t>
      </w:r>
      <w:r w:rsidRPr="00D65518">
        <w:rPr>
          <w:rFonts w:cs="Arial"/>
          <w:sz w:val="18"/>
          <w:szCs w:val="18"/>
          <w:rtl/>
        </w:rPr>
        <w:t xml:space="preserve"> </w:t>
      </w:r>
      <w:r w:rsidRPr="00D65518">
        <w:rPr>
          <w:rFonts w:cs="Arial" w:hint="cs"/>
          <w:sz w:val="18"/>
          <w:szCs w:val="18"/>
          <w:rtl/>
        </w:rPr>
        <w:t>בדיו</w:t>
      </w:r>
      <w:r w:rsidRPr="00D65518">
        <w:rPr>
          <w:rFonts w:cs="Arial"/>
          <w:sz w:val="18"/>
          <w:szCs w:val="18"/>
          <w:rtl/>
        </w:rPr>
        <w:t xml:space="preserve"> </w:t>
      </w:r>
      <w:r w:rsidRPr="00D65518">
        <w:rPr>
          <w:rFonts w:cs="Arial" w:hint="cs"/>
          <w:sz w:val="18"/>
          <w:szCs w:val="18"/>
          <w:rtl/>
        </w:rPr>
        <w:t>וקולמוס</w:t>
      </w:r>
      <w:r w:rsidRPr="00D65518">
        <w:rPr>
          <w:rFonts w:cs="Arial"/>
          <w:sz w:val="18"/>
          <w:szCs w:val="18"/>
          <w:rtl/>
        </w:rPr>
        <w:t xml:space="preserve"> </w:t>
      </w:r>
      <w:r w:rsidRPr="00D65518">
        <w:rPr>
          <w:rFonts w:cs="Arial" w:hint="cs"/>
          <w:sz w:val="18"/>
          <w:szCs w:val="18"/>
          <w:rtl/>
        </w:rPr>
        <w:t>של</w:t>
      </w:r>
      <w:r w:rsidRPr="00D65518">
        <w:rPr>
          <w:rFonts w:cs="Arial"/>
          <w:sz w:val="18"/>
          <w:szCs w:val="18"/>
          <w:rtl/>
        </w:rPr>
        <w:t xml:space="preserve"> </w:t>
      </w:r>
      <w:r w:rsidRPr="00D65518">
        <w:rPr>
          <w:rFonts w:cs="Arial" w:hint="cs"/>
          <w:sz w:val="18"/>
          <w:szCs w:val="18"/>
          <w:rtl/>
        </w:rPr>
        <w:t>בעל</w:t>
      </w:r>
      <w:r w:rsidRPr="00D65518">
        <w:rPr>
          <w:rFonts w:cs="Arial"/>
          <w:sz w:val="18"/>
          <w:szCs w:val="18"/>
          <w:rtl/>
        </w:rPr>
        <w:t xml:space="preserve">, </w:t>
      </w:r>
      <w:r w:rsidRPr="00D65518">
        <w:rPr>
          <w:rFonts w:cs="Arial" w:hint="cs"/>
          <w:sz w:val="18"/>
          <w:szCs w:val="18"/>
          <w:rtl/>
        </w:rPr>
        <w:t>כמו</w:t>
      </w:r>
      <w:r w:rsidRPr="00D65518">
        <w:rPr>
          <w:rFonts w:cs="Arial"/>
          <w:sz w:val="18"/>
          <w:szCs w:val="18"/>
          <w:rtl/>
        </w:rPr>
        <w:t xml:space="preserve"> </w:t>
      </w:r>
      <w:r w:rsidRPr="00D65518">
        <w:rPr>
          <w:rFonts w:cs="Arial" w:hint="cs"/>
          <w:sz w:val="18"/>
          <w:szCs w:val="18"/>
          <w:rtl/>
        </w:rPr>
        <w:t>הסופר</w:t>
      </w:r>
      <w:r w:rsidRPr="00D65518">
        <w:rPr>
          <w:rFonts w:cs="Arial"/>
          <w:sz w:val="18"/>
          <w:szCs w:val="18"/>
          <w:rtl/>
        </w:rPr>
        <w:t xml:space="preserve"> (</w:t>
      </w:r>
      <w:r w:rsidRPr="00D65518">
        <w:rPr>
          <w:rFonts w:cs="Arial" w:hint="cs"/>
          <w:sz w:val="18"/>
          <w:szCs w:val="18"/>
          <w:rtl/>
        </w:rPr>
        <w:t>בסדרים</w:t>
      </w:r>
      <w:r w:rsidRPr="00D65518">
        <w:rPr>
          <w:rFonts w:cs="Arial"/>
          <w:sz w:val="18"/>
          <w:szCs w:val="18"/>
          <w:rtl/>
        </w:rPr>
        <w:t xml:space="preserve">), </w:t>
      </w:r>
      <w:r w:rsidRPr="00D65518">
        <w:rPr>
          <w:rFonts w:cs="Arial" w:hint="cs"/>
          <w:sz w:val="18"/>
          <w:szCs w:val="18"/>
          <w:rtl/>
        </w:rPr>
        <w:t>וכמו</w:t>
      </w:r>
      <w:r w:rsidRPr="00D65518">
        <w:rPr>
          <w:rFonts w:cs="Arial"/>
          <w:sz w:val="18"/>
          <w:szCs w:val="18"/>
          <w:rtl/>
        </w:rPr>
        <w:t xml:space="preserve"> </w:t>
      </w:r>
      <w:r w:rsidRPr="00D65518">
        <w:rPr>
          <w:rFonts w:cs="Arial" w:hint="cs"/>
          <w:sz w:val="18"/>
          <w:szCs w:val="18"/>
          <w:rtl/>
        </w:rPr>
        <w:t>שנתבאר</w:t>
      </w:r>
      <w:r w:rsidRPr="00D65518">
        <w:rPr>
          <w:rFonts w:cs="Arial"/>
          <w:sz w:val="18"/>
          <w:szCs w:val="18"/>
          <w:rtl/>
        </w:rPr>
        <w:t xml:space="preserve"> </w:t>
      </w:r>
      <w:r w:rsidRPr="00D65518">
        <w:rPr>
          <w:rFonts w:cs="Arial" w:hint="cs"/>
          <w:sz w:val="18"/>
          <w:szCs w:val="18"/>
          <w:rtl/>
        </w:rPr>
        <w:t>לעיל</w:t>
      </w:r>
      <w:r w:rsidRPr="00D65518">
        <w:rPr>
          <w:rFonts w:cs="Arial"/>
          <w:sz w:val="18"/>
          <w:szCs w:val="18"/>
          <w:rtl/>
        </w:rPr>
        <w:t xml:space="preserve"> </w:t>
      </w:r>
      <w:r w:rsidRPr="00D65518">
        <w:rPr>
          <w:rFonts w:cs="Arial" w:hint="cs"/>
          <w:sz w:val="18"/>
          <w:szCs w:val="18"/>
          <w:rtl/>
        </w:rPr>
        <w:t>ריש</w:t>
      </w:r>
      <w:r w:rsidRPr="00D65518">
        <w:rPr>
          <w:rFonts w:cs="Arial"/>
          <w:sz w:val="18"/>
          <w:szCs w:val="18"/>
          <w:rtl/>
        </w:rPr>
        <w:t xml:space="preserve"> </w:t>
      </w:r>
      <w:r w:rsidRPr="00D65518">
        <w:rPr>
          <w:rFonts w:cs="Arial" w:hint="cs"/>
          <w:sz w:val="18"/>
          <w:szCs w:val="18"/>
          <w:rtl/>
        </w:rPr>
        <w:t>סימן</w:t>
      </w:r>
      <w:r w:rsidRPr="00D65518">
        <w:rPr>
          <w:rFonts w:cs="Arial"/>
          <w:sz w:val="18"/>
          <w:szCs w:val="18"/>
          <w:rtl/>
        </w:rPr>
        <w:t xml:space="preserve"> </w:t>
      </w:r>
      <w:r w:rsidRPr="00D65518">
        <w:rPr>
          <w:rFonts w:cs="Arial" w:hint="cs"/>
          <w:sz w:val="18"/>
          <w:szCs w:val="18"/>
          <w:rtl/>
        </w:rPr>
        <w:t>ק</w:t>
      </w:r>
      <w:r w:rsidRPr="00D65518">
        <w:rPr>
          <w:rFonts w:cs="Arial"/>
          <w:sz w:val="18"/>
          <w:szCs w:val="18"/>
          <w:rtl/>
        </w:rPr>
        <w:t>"</w:t>
      </w:r>
      <w:r w:rsidRPr="00D65518">
        <w:rPr>
          <w:rFonts w:cs="Arial" w:hint="cs"/>
          <w:sz w:val="18"/>
          <w:szCs w:val="18"/>
          <w:rtl/>
        </w:rPr>
        <w:t>כ</w:t>
      </w:r>
      <w:r w:rsidRPr="00D65518">
        <w:rPr>
          <w:rFonts w:cs="Arial"/>
          <w:sz w:val="18"/>
          <w:szCs w:val="18"/>
          <w:rtl/>
        </w:rPr>
        <w:t>.</w:t>
      </w:r>
    </w:p>
    <w:p w14:paraId="7DBF9E1E" w14:textId="77777777" w:rsidR="00FA2119" w:rsidRDefault="00FA2119" w:rsidP="00FA2119">
      <w:pPr>
        <w:rPr>
          <w:rFonts w:cs="Arial"/>
          <w:rtl/>
        </w:rPr>
      </w:pPr>
      <w:r w:rsidRPr="00DD0546">
        <w:rPr>
          <w:rFonts w:cs="Arial" w:hint="cs"/>
          <w:u w:val="single"/>
          <w:rtl/>
        </w:rPr>
        <w:t>גט שניתן בעדי מסירה ואין בו עדי חתימה:</w:t>
      </w:r>
      <w:r>
        <w:rPr>
          <w:rFonts w:cs="Arial" w:hint="cs"/>
          <w:rtl/>
        </w:rPr>
        <w:t xml:space="preserve"> </w:t>
      </w:r>
    </w:p>
    <w:p w14:paraId="3B21EC38" w14:textId="54B2DD5D" w:rsidR="00FA2119" w:rsidRDefault="00FA2119" w:rsidP="00FA2119">
      <w:pPr>
        <w:pStyle w:val="ab"/>
        <w:numPr>
          <w:ilvl w:val="0"/>
          <w:numId w:val="80"/>
        </w:numPr>
      </w:pPr>
      <w:r w:rsidRPr="001E2CED">
        <w:rPr>
          <w:rFonts w:cs="Arial" w:hint="cs"/>
          <w:rtl/>
        </w:rPr>
        <w:t xml:space="preserve">פת"ש </w:t>
      </w:r>
      <w:r w:rsidRPr="001E2CED">
        <w:rPr>
          <w:rFonts w:cs="Arial" w:hint="cs"/>
          <w:sz w:val="16"/>
          <w:szCs w:val="16"/>
          <w:rtl/>
        </w:rPr>
        <w:t>(סק"א)</w:t>
      </w:r>
      <w:r w:rsidR="00A82951">
        <w:rPr>
          <w:rFonts w:cs="Arial" w:hint="cs"/>
          <w:rtl/>
        </w:rPr>
        <w:t>-</w:t>
      </w:r>
      <w:r w:rsidRPr="001E2CED">
        <w:rPr>
          <w:rFonts w:cs="Arial" w:hint="cs"/>
          <w:rtl/>
        </w:rPr>
        <w:t xml:space="preserve"> </w:t>
      </w:r>
      <w:r w:rsidRPr="001E2CED">
        <w:rPr>
          <w:rFonts w:cs="Arial"/>
          <w:rtl/>
        </w:rPr>
        <w:t xml:space="preserve">עב"ש </w:t>
      </w:r>
      <w:r>
        <w:rPr>
          <w:rFonts w:cs="Arial" w:hint="cs"/>
          <w:rtl/>
        </w:rPr>
        <w:t>(</w:t>
      </w:r>
      <w:r w:rsidRPr="001E2CED">
        <w:rPr>
          <w:rFonts w:cs="Arial"/>
          <w:rtl/>
        </w:rPr>
        <w:t>סק"א</w:t>
      </w:r>
      <w:r>
        <w:rPr>
          <w:rFonts w:cs="Arial" w:hint="cs"/>
          <w:rtl/>
        </w:rPr>
        <w:t>)</w:t>
      </w:r>
      <w:r w:rsidRPr="001E2CED">
        <w:rPr>
          <w:rFonts w:cs="Arial"/>
          <w:rtl/>
        </w:rPr>
        <w:t xml:space="preserve"> שכ' </w:t>
      </w:r>
      <w:r w:rsidR="000A0F5A">
        <w:rPr>
          <w:rFonts w:cs="Arial"/>
          <w:rtl/>
        </w:rPr>
        <w:t>וז"ל:</w:t>
      </w:r>
      <w:r w:rsidRPr="001E2CED">
        <w:rPr>
          <w:rFonts w:cs="Arial"/>
          <w:rtl/>
        </w:rPr>
        <w:t xml:space="preserve"> עיין בתו</w:t>
      </w:r>
      <w:r w:rsidR="008A43A5">
        <w:rPr>
          <w:rFonts w:cs="Arial" w:hint="cs"/>
          <w:rtl/>
        </w:rPr>
        <w:t>ס</w:t>
      </w:r>
      <w:r w:rsidRPr="001E2CED">
        <w:rPr>
          <w:rFonts w:cs="Arial"/>
          <w:rtl/>
        </w:rPr>
        <w:t>' ריש גיטין והרא"ש פ' השולח כתבו הא דתיקן ר"ג שיהיו חותמים לא שצריכים לחתום אלא עצה טובה כו' עכ"ל</w:t>
      </w:r>
      <w:r>
        <w:rPr>
          <w:rFonts w:cs="Arial" w:hint="cs"/>
          <w:rtl/>
        </w:rPr>
        <w:t>.</w:t>
      </w:r>
      <w:r w:rsidRPr="001E2CED">
        <w:rPr>
          <w:rFonts w:cs="Arial"/>
          <w:rtl/>
        </w:rPr>
        <w:t xml:space="preserve"> ועיין ביש"ש </w:t>
      </w:r>
      <w:r>
        <w:rPr>
          <w:rFonts w:cs="Arial" w:hint="cs"/>
          <w:rtl/>
        </w:rPr>
        <w:t>(</w:t>
      </w:r>
      <w:r w:rsidRPr="001E2CED">
        <w:rPr>
          <w:rFonts w:cs="Arial"/>
          <w:rtl/>
        </w:rPr>
        <w:t>פ' השולח סי</w:t>
      </w:r>
      <w:r>
        <w:rPr>
          <w:rFonts w:cs="Arial" w:hint="cs"/>
          <w:rtl/>
        </w:rPr>
        <w:t>'</w:t>
      </w:r>
      <w:r w:rsidRPr="001E2CED">
        <w:rPr>
          <w:rFonts w:cs="Arial"/>
          <w:rtl/>
        </w:rPr>
        <w:t xml:space="preserve"> מא</w:t>
      </w:r>
      <w:r>
        <w:rPr>
          <w:rFonts w:cs="Arial" w:hint="cs"/>
          <w:rtl/>
        </w:rPr>
        <w:t>)</w:t>
      </w:r>
      <w:r w:rsidRPr="001E2CED">
        <w:rPr>
          <w:rFonts w:cs="Arial"/>
          <w:rtl/>
        </w:rPr>
        <w:t xml:space="preserve"> שכ' </w:t>
      </w:r>
      <w:r w:rsidR="000A0F5A">
        <w:rPr>
          <w:rFonts w:cs="Arial"/>
          <w:rtl/>
        </w:rPr>
        <w:t>וז"ל:</w:t>
      </w:r>
      <w:r w:rsidRPr="001E2CED">
        <w:rPr>
          <w:rFonts w:cs="Arial"/>
          <w:rtl/>
        </w:rPr>
        <w:t xml:space="preserve"> ולדינא נראה בלא ע</w:t>
      </w:r>
      <w:r w:rsidR="008A43A5">
        <w:rPr>
          <w:rFonts w:cs="Arial" w:hint="cs"/>
          <w:rtl/>
        </w:rPr>
        <w:t>די חתימה</w:t>
      </w:r>
      <w:r w:rsidRPr="001E2CED">
        <w:rPr>
          <w:rFonts w:cs="Arial"/>
          <w:rtl/>
        </w:rPr>
        <w:t xml:space="preserve"> אין להכשיר הגט לכתחילה שהוא נגד התקנה</w:t>
      </w:r>
      <w:r w:rsidR="008A43A5">
        <w:rPr>
          <w:rFonts w:cs="Arial" w:hint="cs"/>
          <w:rtl/>
        </w:rPr>
        <w:t>,</w:t>
      </w:r>
      <w:r w:rsidRPr="001E2CED">
        <w:rPr>
          <w:rFonts w:cs="Arial"/>
          <w:rtl/>
        </w:rPr>
        <w:t xml:space="preserve"> דא"א לפרש שאינה אלא עצה טובה מדנקיט במתני' גבי אינך תקנות משמע דהוא נמי תקנה</w:t>
      </w:r>
      <w:r w:rsidR="008A43A5">
        <w:rPr>
          <w:rFonts w:cs="Arial" w:hint="cs"/>
          <w:rtl/>
        </w:rPr>
        <w:t>,</w:t>
      </w:r>
      <w:r w:rsidRPr="001E2CED">
        <w:rPr>
          <w:rFonts w:cs="Arial"/>
          <w:rtl/>
        </w:rPr>
        <w:t xml:space="preserve"> ובגמ' אי' להדי</w:t>
      </w:r>
      <w:r w:rsidR="008A43A5">
        <w:rPr>
          <w:rFonts w:cs="Arial" w:hint="cs"/>
          <w:rtl/>
        </w:rPr>
        <w:t>א</w:t>
      </w:r>
      <w:r w:rsidRPr="001E2CED">
        <w:rPr>
          <w:rFonts w:cs="Arial"/>
          <w:rtl/>
        </w:rPr>
        <w:t xml:space="preserve"> תקינו רבנן משמע דתקנה היא. ואף הא</w:t>
      </w:r>
      <w:r w:rsidR="008A43A5">
        <w:rPr>
          <w:rFonts w:cs="Arial" w:hint="cs"/>
          <w:rtl/>
        </w:rPr>
        <w:t>ו</w:t>
      </w:r>
      <w:r w:rsidRPr="001E2CED">
        <w:rPr>
          <w:rFonts w:cs="Arial"/>
          <w:rtl/>
        </w:rPr>
        <w:t xml:space="preserve">"ז שכ' להכשיר בלא ע"ח כאשר הבאתי </w:t>
      </w:r>
      <w:r w:rsidR="008A43A5">
        <w:rPr>
          <w:rFonts w:cs="Arial" w:hint="cs"/>
          <w:rtl/>
        </w:rPr>
        <w:t>(</w:t>
      </w:r>
      <w:r w:rsidRPr="001E2CED">
        <w:rPr>
          <w:rFonts w:cs="Arial"/>
          <w:rtl/>
        </w:rPr>
        <w:t>פ"ק סי</w:t>
      </w:r>
      <w:r w:rsidR="008A43A5">
        <w:rPr>
          <w:rFonts w:cs="Arial" w:hint="cs"/>
          <w:rtl/>
        </w:rPr>
        <w:t>'</w:t>
      </w:r>
      <w:r w:rsidRPr="001E2CED">
        <w:rPr>
          <w:rFonts w:cs="Arial"/>
          <w:rtl/>
        </w:rPr>
        <w:t xml:space="preserve"> י</w:t>
      </w:r>
      <w:r w:rsidR="008A43A5">
        <w:rPr>
          <w:rFonts w:cs="Arial" w:hint="cs"/>
          <w:rtl/>
        </w:rPr>
        <w:t>)</w:t>
      </w:r>
      <w:r w:rsidRPr="001E2CED">
        <w:rPr>
          <w:rFonts w:cs="Arial"/>
          <w:rtl/>
        </w:rPr>
        <w:t xml:space="preserve"> היינו דוקא דיעבד כו'</w:t>
      </w:r>
      <w:r w:rsidR="008A43A5">
        <w:rPr>
          <w:rFonts w:cs="Arial" w:hint="cs"/>
          <w:rtl/>
        </w:rPr>
        <w:t>.</w:t>
      </w:r>
      <w:r w:rsidRPr="001E2CED">
        <w:rPr>
          <w:rFonts w:cs="Arial"/>
          <w:rtl/>
        </w:rPr>
        <w:t xml:space="preserve"> ועוד אומר מאחר דנהגו כ"ע לחתום עדים</w:t>
      </w:r>
      <w:r w:rsidR="008A43A5">
        <w:rPr>
          <w:rFonts w:cs="Arial" w:hint="cs"/>
          <w:rtl/>
        </w:rPr>
        <w:t>,</w:t>
      </w:r>
      <w:r w:rsidRPr="001E2CED">
        <w:rPr>
          <w:rFonts w:cs="Arial"/>
          <w:rtl/>
        </w:rPr>
        <w:t xml:space="preserve"> אם יתנו בלא עדים אין לך לעז גדול מזה כו'</w:t>
      </w:r>
      <w:r w:rsidR="008A43A5">
        <w:rPr>
          <w:rFonts w:cs="Arial" w:hint="cs"/>
          <w:rtl/>
        </w:rPr>
        <w:t>.</w:t>
      </w:r>
      <w:r w:rsidRPr="001E2CED">
        <w:rPr>
          <w:rFonts w:cs="Arial"/>
          <w:rtl/>
        </w:rPr>
        <w:t xml:space="preserve"> </w:t>
      </w:r>
      <w:r w:rsidR="0098462B" w:rsidRPr="0098462B">
        <w:rPr>
          <w:rFonts w:cs="Arial"/>
          <w:rtl/>
        </w:rPr>
        <w:t>ואם כן, כל זמן שלא נשאת, ואין לחוש לעיגונא</w:t>
      </w:r>
      <w:r w:rsidR="0098462B">
        <w:rPr>
          <w:rFonts w:cs="Arial" w:hint="cs"/>
          <w:rtl/>
        </w:rPr>
        <w:t xml:space="preserve"> -</w:t>
      </w:r>
      <w:r w:rsidR="0098462B" w:rsidRPr="0098462B">
        <w:rPr>
          <w:rFonts w:cs="Arial"/>
          <w:rtl/>
        </w:rPr>
        <w:t xml:space="preserve"> ראוי שיכתבו גט אחר. ודוקא שנתנו הגט, מאחר שנתגרשה בו מדאורייתא, הוא שראוי לחוש לעיגון, ותנשא בו. אבל כל זמן שעדיין לא ניתן, אפילו היכא דיש לחוש לעיגון אין ראוי ליתן לכתחלה נגד התקנה, ואיכא למיחש ללעז, ומאחר שגם כן לר"מ פסול מדאורייתא. </w:t>
      </w:r>
      <w:r w:rsidRPr="001E2CED">
        <w:rPr>
          <w:rFonts w:cs="Arial"/>
          <w:rtl/>
        </w:rPr>
        <w:t>הנראה בעיני כתבתי עכ"ל</w:t>
      </w:r>
      <w:r>
        <w:rPr>
          <w:rFonts w:cs="Arial" w:hint="cs"/>
          <w:rtl/>
        </w:rPr>
        <w:t>.</w:t>
      </w:r>
      <w:r w:rsidRPr="001E2CED">
        <w:rPr>
          <w:rFonts w:cs="Arial"/>
          <w:rtl/>
        </w:rPr>
        <w:t xml:space="preserve"> ועיין בס' ב"מ שהביאו והאריך בזה</w:t>
      </w:r>
      <w:r>
        <w:rPr>
          <w:rFonts w:cs="Arial" w:hint="cs"/>
          <w:rtl/>
        </w:rPr>
        <w:t>.</w:t>
      </w:r>
      <w:r w:rsidRPr="001E2CED">
        <w:rPr>
          <w:rFonts w:cs="Arial"/>
          <w:rtl/>
        </w:rPr>
        <w:t xml:space="preserve"> ועמ"ש לקמן סי"ח סקי"א</w:t>
      </w:r>
      <w:r>
        <w:rPr>
          <w:rFonts w:hint="cs"/>
          <w:rtl/>
        </w:rPr>
        <w:t>.</w:t>
      </w:r>
    </w:p>
    <w:p w14:paraId="1F6FFBFC" w14:textId="77777777" w:rsidR="00FA2119" w:rsidRDefault="00FA2119" w:rsidP="00FA2119">
      <w:pPr>
        <w:rPr>
          <w:rtl/>
        </w:rPr>
      </w:pPr>
    </w:p>
    <w:p w14:paraId="2622ABA5" w14:textId="77777777" w:rsidR="00FA2119" w:rsidRDefault="00FA2119" w:rsidP="00FA2119">
      <w:pPr>
        <w:pStyle w:val="2"/>
        <w:rPr>
          <w:rtl/>
        </w:rPr>
      </w:pPr>
      <w:r>
        <w:rPr>
          <w:rFonts w:hint="cs"/>
          <w:rtl/>
        </w:rPr>
        <w:t>סעיף</w:t>
      </w:r>
      <w:r>
        <w:rPr>
          <w:rtl/>
        </w:rPr>
        <w:t xml:space="preserve"> </w:t>
      </w:r>
      <w:r>
        <w:rPr>
          <w:rFonts w:hint="cs"/>
          <w:rtl/>
        </w:rPr>
        <w:t>ב: חתימה בראש השיטה.</w:t>
      </w:r>
    </w:p>
    <w:p w14:paraId="1B1F9C28" w14:textId="235A9006" w:rsidR="00FA2119" w:rsidRPr="00F70DA0" w:rsidRDefault="00FA2119" w:rsidP="00FA2119">
      <w:pPr>
        <w:rPr>
          <w:rtl/>
        </w:rPr>
      </w:pPr>
      <w:r>
        <w:rPr>
          <w:rFonts w:cs="Arial" w:hint="cs"/>
          <w:b/>
          <w:bCs/>
          <w:rtl/>
        </w:rPr>
        <w:t xml:space="preserve">בבא בתרא </w:t>
      </w:r>
      <w:r w:rsidRPr="009D24D3">
        <w:rPr>
          <w:rFonts w:cs="Arial" w:hint="cs"/>
          <w:b/>
          <w:bCs/>
          <w:sz w:val="16"/>
          <w:szCs w:val="16"/>
          <w:rtl/>
        </w:rPr>
        <w:t>(פרק גט פשוט)</w:t>
      </w:r>
      <w:r>
        <w:rPr>
          <w:rFonts w:cs="Arial" w:hint="cs"/>
          <w:b/>
          <w:bCs/>
          <w:rtl/>
        </w:rPr>
        <w:t xml:space="preserve"> קסג</w:t>
      </w:r>
      <w:r>
        <w:rPr>
          <w:rStyle w:val="a7"/>
          <w:rFonts w:cs="Arial"/>
          <w:b/>
          <w:bCs/>
          <w:rtl/>
        </w:rPr>
        <w:footnoteReference w:id="1189"/>
      </w:r>
      <w:r>
        <w:rPr>
          <w:rFonts w:cs="Arial" w:hint="cs"/>
          <w:b/>
          <w:bCs/>
          <w:rtl/>
        </w:rPr>
        <w:t xml:space="preserve"> ע"ב:</w:t>
      </w:r>
      <w:r w:rsidRPr="00DA5F58">
        <w:rPr>
          <w:rFonts w:cs="Arial"/>
          <w:rtl/>
        </w:rPr>
        <w:t xml:space="preserve"> </w:t>
      </w:r>
      <w:r w:rsidRPr="009341E8">
        <w:rPr>
          <w:rFonts w:cs="Arial"/>
          <w:u w:val="single"/>
          <w:rtl/>
        </w:rPr>
        <w:t>רבי יוחנן אמר</w:t>
      </w:r>
      <w:r w:rsidRPr="00891EB1">
        <w:rPr>
          <w:rFonts w:cs="Arial"/>
          <w:rtl/>
        </w:rPr>
        <w:t>: לא שנו</w:t>
      </w:r>
      <w:r>
        <w:rPr>
          <w:rStyle w:val="a7"/>
          <w:rFonts w:cs="Arial"/>
          <w:rtl/>
        </w:rPr>
        <w:footnoteReference w:id="1190"/>
      </w:r>
      <w:r w:rsidRPr="00891EB1">
        <w:rPr>
          <w:rFonts w:cs="Arial"/>
          <w:rtl/>
        </w:rPr>
        <w:t xml:space="preserve"> אלא בין העדים לכתב, אבל בין עדים לאשרתא</w:t>
      </w:r>
      <w:r>
        <w:rPr>
          <w:rStyle w:val="a7"/>
          <w:rFonts w:cs="Arial"/>
          <w:rtl/>
        </w:rPr>
        <w:footnoteReference w:id="1191"/>
      </w:r>
      <w:r w:rsidRPr="00891EB1">
        <w:rPr>
          <w:rFonts w:cs="Arial"/>
          <w:rtl/>
        </w:rPr>
        <w:t xml:space="preserve"> </w:t>
      </w:r>
      <w:r w:rsidR="00A82951">
        <w:rPr>
          <w:rFonts w:cs="Arial"/>
          <w:rtl/>
        </w:rPr>
        <w:t>-</w:t>
      </w:r>
      <w:r w:rsidRPr="00891EB1">
        <w:rPr>
          <w:rFonts w:cs="Arial"/>
          <w:rtl/>
        </w:rPr>
        <w:t xml:space="preserve"> אפילו שיטה אחת פסול</w:t>
      </w:r>
      <w:r>
        <w:rPr>
          <w:rStyle w:val="a7"/>
          <w:rFonts w:cs="Arial"/>
          <w:rtl/>
        </w:rPr>
        <w:footnoteReference w:id="1192"/>
      </w:r>
      <w:r w:rsidRPr="00891EB1">
        <w:rPr>
          <w:rFonts w:cs="Arial"/>
          <w:rtl/>
        </w:rPr>
        <w:t xml:space="preserve">. מאי שנא בין עדים לאשרתא? דלמא גייז לעילאי וכתב הוא ועדיו בשיטה אחת, וקסבר: שטר הבא הוא ועדיו בשיטה אחת </w:t>
      </w:r>
      <w:r w:rsidR="00A82951">
        <w:rPr>
          <w:rFonts w:cs="Arial"/>
          <w:rtl/>
        </w:rPr>
        <w:t>-</w:t>
      </w:r>
      <w:r w:rsidRPr="00891EB1">
        <w:rPr>
          <w:rFonts w:cs="Arial"/>
          <w:rtl/>
        </w:rPr>
        <w:t xml:space="preserve"> כשר</w:t>
      </w:r>
      <w:r>
        <w:rPr>
          <w:rFonts w:cs="Arial" w:hint="cs"/>
          <w:rtl/>
        </w:rPr>
        <w:t>..</w:t>
      </w:r>
      <w:r w:rsidRPr="00A06D9B">
        <w:rPr>
          <w:rFonts w:cs="Arial"/>
          <w:rtl/>
        </w:rPr>
        <w:t>.</w:t>
      </w:r>
    </w:p>
    <w:p w14:paraId="26B65B63" w14:textId="77777777" w:rsidR="00FA2119" w:rsidRPr="000E360B" w:rsidRDefault="00FA2119" w:rsidP="00FA2119">
      <w:pPr>
        <w:rPr>
          <w:u w:val="single"/>
          <w:rtl/>
        </w:rPr>
      </w:pPr>
      <w:r w:rsidRPr="000E360B">
        <w:rPr>
          <w:rFonts w:hint="cs"/>
          <w:u w:val="single"/>
          <w:rtl/>
        </w:rPr>
        <w:t>חתימה בראש השיטה:</w:t>
      </w:r>
    </w:p>
    <w:p w14:paraId="3CDCA8ED" w14:textId="604E04EA" w:rsidR="00FA2119" w:rsidRPr="00574D14" w:rsidRDefault="00FA2119" w:rsidP="00FA2119">
      <w:pPr>
        <w:pStyle w:val="ab"/>
        <w:numPr>
          <w:ilvl w:val="0"/>
          <w:numId w:val="80"/>
        </w:numPr>
      </w:pPr>
      <w:r w:rsidRPr="00D65518">
        <w:rPr>
          <w:rFonts w:cs="Arial"/>
          <w:rtl/>
        </w:rPr>
        <w:t>תוס</w:t>
      </w:r>
      <w:r>
        <w:rPr>
          <w:rFonts w:cs="Arial" w:hint="cs"/>
          <w:rtl/>
        </w:rPr>
        <w:t>'</w:t>
      </w:r>
      <w:r w:rsidRPr="00D65518">
        <w:rPr>
          <w:rFonts w:cs="Arial"/>
          <w:rtl/>
        </w:rPr>
        <w:t xml:space="preserve"> </w:t>
      </w:r>
      <w:r w:rsidRPr="00F70DA0">
        <w:rPr>
          <w:rFonts w:cs="Arial" w:hint="cs"/>
          <w:sz w:val="16"/>
          <w:szCs w:val="16"/>
          <w:rtl/>
        </w:rPr>
        <w:t>(</w:t>
      </w:r>
      <w:r w:rsidRPr="00F70DA0">
        <w:rPr>
          <w:rFonts w:cs="Arial"/>
          <w:sz w:val="16"/>
          <w:szCs w:val="16"/>
          <w:rtl/>
        </w:rPr>
        <w:t xml:space="preserve">קסג: ד"ה שיטה) </w:t>
      </w:r>
      <w:r w:rsidRPr="00D65518">
        <w:rPr>
          <w:rFonts w:cs="Arial"/>
          <w:rtl/>
        </w:rPr>
        <w:t>הגה</w:t>
      </w:r>
      <w:r>
        <w:rPr>
          <w:rFonts w:cs="Arial" w:hint="cs"/>
          <w:rtl/>
        </w:rPr>
        <w:t>"מ</w:t>
      </w:r>
      <w:r w:rsidRPr="00D65518">
        <w:rPr>
          <w:rFonts w:cs="Arial"/>
          <w:rtl/>
        </w:rPr>
        <w:t xml:space="preserve"> </w:t>
      </w:r>
      <w:r w:rsidRPr="00F70DA0">
        <w:rPr>
          <w:rFonts w:cs="Arial"/>
          <w:sz w:val="16"/>
          <w:szCs w:val="16"/>
          <w:rtl/>
        </w:rPr>
        <w:t>(</w:t>
      </w:r>
      <w:r w:rsidRPr="00F70DA0">
        <w:rPr>
          <w:rFonts w:cs="Arial" w:hint="cs"/>
          <w:sz w:val="16"/>
          <w:szCs w:val="16"/>
          <w:rtl/>
        </w:rPr>
        <w:t xml:space="preserve">פ"א </w:t>
      </w:r>
      <w:r w:rsidRPr="00F70DA0">
        <w:rPr>
          <w:rFonts w:cs="Arial"/>
          <w:sz w:val="16"/>
          <w:szCs w:val="16"/>
          <w:rtl/>
        </w:rPr>
        <w:t>אות ד)</w:t>
      </w:r>
      <w:r>
        <w:rPr>
          <w:rFonts w:hint="cs"/>
          <w:rtl/>
        </w:rPr>
        <w:t xml:space="preserve"> טור ורי"ו</w:t>
      </w:r>
      <w:r>
        <w:rPr>
          <w:rFonts w:cs="Arial" w:hint="cs"/>
          <w:sz w:val="16"/>
          <w:szCs w:val="16"/>
          <w:rtl/>
        </w:rPr>
        <w:t xml:space="preserve"> </w:t>
      </w:r>
      <w:r w:rsidRPr="00F70DA0">
        <w:rPr>
          <w:rFonts w:cs="Arial" w:hint="cs"/>
          <w:sz w:val="16"/>
          <w:szCs w:val="16"/>
          <w:rtl/>
        </w:rPr>
        <w:t>(</w:t>
      </w:r>
      <w:r w:rsidRPr="00F70DA0">
        <w:rPr>
          <w:rFonts w:cs="Arial"/>
          <w:sz w:val="16"/>
          <w:szCs w:val="16"/>
          <w:rtl/>
        </w:rPr>
        <w:t>נ</w:t>
      </w:r>
      <w:r w:rsidRPr="00F70DA0">
        <w:rPr>
          <w:rFonts w:cs="Arial" w:hint="cs"/>
          <w:sz w:val="16"/>
          <w:szCs w:val="16"/>
          <w:rtl/>
        </w:rPr>
        <w:t>"</w:t>
      </w:r>
      <w:r w:rsidRPr="00F70DA0">
        <w:rPr>
          <w:rFonts w:cs="Arial"/>
          <w:sz w:val="16"/>
          <w:szCs w:val="16"/>
          <w:rtl/>
        </w:rPr>
        <w:t>ד ח</w:t>
      </w:r>
      <w:r w:rsidRPr="00F70DA0">
        <w:rPr>
          <w:rFonts w:cs="Arial" w:hint="cs"/>
          <w:sz w:val="16"/>
          <w:szCs w:val="16"/>
          <w:rtl/>
        </w:rPr>
        <w:t>"</w:t>
      </w:r>
      <w:r w:rsidRPr="00F70DA0">
        <w:rPr>
          <w:rFonts w:cs="Arial"/>
          <w:sz w:val="16"/>
          <w:szCs w:val="16"/>
          <w:rtl/>
        </w:rPr>
        <w:t>ג כ.)</w:t>
      </w:r>
      <w:r w:rsidR="00A82951">
        <w:rPr>
          <w:rFonts w:hint="cs"/>
          <w:rtl/>
        </w:rPr>
        <w:t>-</w:t>
      </w:r>
      <w:r>
        <w:rPr>
          <w:rFonts w:cs="Arial" w:hint="cs"/>
          <w:rtl/>
        </w:rPr>
        <w:t xml:space="preserve"> </w:t>
      </w:r>
      <w:r>
        <w:rPr>
          <w:rFonts w:cs="Arial"/>
          <w:rtl/>
        </w:rPr>
        <w:t>ויתחילו בראש השיטה שלא ישאר חלק בגליון הגט לפני חתימתן</w:t>
      </w:r>
      <w:r>
        <w:rPr>
          <w:rFonts w:cs="Arial" w:hint="cs"/>
          <w:sz w:val="16"/>
          <w:szCs w:val="16"/>
          <w:rtl/>
        </w:rPr>
        <w:t xml:space="preserve"> (ל' הטור)</w:t>
      </w:r>
      <w:r>
        <w:rPr>
          <w:rFonts w:cs="Arial" w:hint="cs"/>
          <w:rtl/>
        </w:rPr>
        <w:t>.</w:t>
      </w:r>
      <w:r>
        <w:rPr>
          <w:rFonts w:cs="Arial"/>
          <w:rtl/>
        </w:rPr>
        <w:t xml:space="preserve"> </w:t>
      </w:r>
      <w:r w:rsidRPr="0018162C">
        <w:rPr>
          <w:rFonts w:hint="cs"/>
          <w:color w:val="E36C0A" w:themeColor="accent6" w:themeShade="BF"/>
          <w:rtl/>
        </w:rPr>
        <w:t>(וכ"פ בשו"ע)</w:t>
      </w:r>
    </w:p>
    <w:p w14:paraId="78495C45"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165AA8B" w14:textId="77777777" w:rsidR="00FA2119" w:rsidRDefault="00FA2119" w:rsidP="00FA2119">
      <w:pPr>
        <w:rPr>
          <w:rtl/>
        </w:rPr>
      </w:pPr>
      <w:r>
        <w:rPr>
          <w:rFonts w:cs="Arial" w:hint="cs"/>
          <w:rtl/>
        </w:rPr>
        <w:t>יתחיל</w:t>
      </w:r>
      <w:r>
        <w:rPr>
          <w:rFonts w:cs="Arial"/>
          <w:rtl/>
        </w:rPr>
        <w:t xml:space="preserve"> </w:t>
      </w:r>
      <w:r>
        <w:rPr>
          <w:rFonts w:cs="Arial" w:hint="cs"/>
          <w:rtl/>
        </w:rPr>
        <w:t>בראש</w:t>
      </w:r>
      <w:r>
        <w:rPr>
          <w:rFonts w:cs="Arial"/>
          <w:rtl/>
        </w:rPr>
        <w:t xml:space="preserve"> </w:t>
      </w:r>
      <w:r>
        <w:rPr>
          <w:rFonts w:cs="Arial" w:hint="cs"/>
          <w:rtl/>
        </w:rPr>
        <w:t>שיטה</w:t>
      </w:r>
      <w:r>
        <w:rPr>
          <w:rFonts w:cs="Arial"/>
          <w:rtl/>
        </w:rPr>
        <w:t xml:space="preserve">, </w:t>
      </w:r>
      <w:r>
        <w:rPr>
          <w:rFonts w:cs="Arial" w:hint="cs"/>
          <w:rtl/>
        </w:rPr>
        <w:t>שלא</w:t>
      </w:r>
      <w:r>
        <w:rPr>
          <w:rFonts w:cs="Arial"/>
          <w:rtl/>
        </w:rPr>
        <w:t xml:space="preserve"> </w:t>
      </w:r>
      <w:r>
        <w:rPr>
          <w:rFonts w:cs="Arial" w:hint="cs"/>
          <w:rtl/>
        </w:rPr>
        <w:t>ישאר</w:t>
      </w:r>
      <w:r>
        <w:rPr>
          <w:rFonts w:cs="Arial"/>
          <w:rtl/>
        </w:rPr>
        <w:t xml:space="preserve"> </w:t>
      </w:r>
      <w:r>
        <w:rPr>
          <w:rFonts w:cs="Arial" w:hint="cs"/>
          <w:rtl/>
        </w:rPr>
        <w:t>חלק</w:t>
      </w:r>
      <w:r>
        <w:rPr>
          <w:rFonts w:cs="Arial"/>
          <w:rtl/>
        </w:rPr>
        <w:t xml:space="preserve"> </w:t>
      </w:r>
      <w:r>
        <w:rPr>
          <w:rFonts w:cs="Arial" w:hint="cs"/>
          <w:rtl/>
        </w:rPr>
        <w:t>בגליון</w:t>
      </w:r>
      <w:r>
        <w:rPr>
          <w:rFonts w:cs="Arial"/>
          <w:rtl/>
        </w:rPr>
        <w:t xml:space="preserve"> </w:t>
      </w:r>
      <w:r>
        <w:rPr>
          <w:rFonts w:cs="Arial" w:hint="cs"/>
          <w:rtl/>
        </w:rPr>
        <w:t>הגט</w:t>
      </w:r>
      <w:r>
        <w:rPr>
          <w:rFonts w:cs="Arial"/>
          <w:rtl/>
        </w:rPr>
        <w:t xml:space="preserve"> </w:t>
      </w:r>
      <w:r>
        <w:rPr>
          <w:rFonts w:cs="Arial" w:hint="cs"/>
          <w:rtl/>
        </w:rPr>
        <w:t>לפני</w:t>
      </w:r>
      <w:r>
        <w:rPr>
          <w:rFonts w:cs="Arial"/>
          <w:rtl/>
        </w:rPr>
        <w:t xml:space="preserve"> </w:t>
      </w:r>
      <w:r>
        <w:rPr>
          <w:rFonts w:cs="Arial" w:hint="cs"/>
          <w:rtl/>
        </w:rPr>
        <w:t>חתימתן</w:t>
      </w:r>
      <w:r>
        <w:rPr>
          <w:rFonts w:cs="Arial"/>
          <w:rtl/>
        </w:rPr>
        <w:t xml:space="preserve">. </w:t>
      </w:r>
    </w:p>
    <w:p w14:paraId="244C6A7E" w14:textId="77777777" w:rsidR="00FA2119" w:rsidRDefault="00FA2119" w:rsidP="00FA2119">
      <w:pPr>
        <w:rPr>
          <w:rtl/>
        </w:rPr>
      </w:pPr>
    </w:p>
    <w:p w14:paraId="229E2F01" w14:textId="77777777" w:rsidR="00FA2119" w:rsidRDefault="00FA2119" w:rsidP="00FA2119">
      <w:pPr>
        <w:pStyle w:val="2"/>
        <w:rPr>
          <w:rtl/>
        </w:rPr>
      </w:pPr>
      <w:r>
        <w:rPr>
          <w:rFonts w:hint="cs"/>
          <w:rtl/>
        </w:rPr>
        <w:t>סעיף</w:t>
      </w:r>
      <w:r>
        <w:rPr>
          <w:rtl/>
        </w:rPr>
        <w:t xml:space="preserve"> </w:t>
      </w:r>
      <w:r>
        <w:rPr>
          <w:rFonts w:hint="cs"/>
          <w:rtl/>
        </w:rPr>
        <w:t>ג: כתוב משהו בין סוף הגט לחתימת העדים.</w:t>
      </w:r>
    </w:p>
    <w:p w14:paraId="297DFAED" w14:textId="222AB745" w:rsidR="00FA2119" w:rsidRDefault="00FA2119" w:rsidP="00FA2119">
      <w:pPr>
        <w:rPr>
          <w:rtl/>
        </w:rPr>
      </w:pPr>
      <w:r>
        <w:rPr>
          <w:rFonts w:cs="Arial" w:hint="cs"/>
          <w:b/>
          <w:bCs/>
          <w:rtl/>
        </w:rPr>
        <w:t xml:space="preserve">בבא בתרא </w:t>
      </w:r>
      <w:r w:rsidRPr="009D24D3">
        <w:rPr>
          <w:rFonts w:cs="Arial" w:hint="cs"/>
          <w:b/>
          <w:bCs/>
          <w:sz w:val="16"/>
          <w:szCs w:val="16"/>
          <w:rtl/>
        </w:rPr>
        <w:t>(פ</w:t>
      </w:r>
      <w:r>
        <w:rPr>
          <w:rFonts w:cs="Arial" w:hint="cs"/>
          <w:b/>
          <w:bCs/>
          <w:sz w:val="16"/>
          <w:szCs w:val="16"/>
          <w:rtl/>
        </w:rPr>
        <w:t>' בתרא</w:t>
      </w:r>
      <w:r w:rsidRPr="009D24D3">
        <w:rPr>
          <w:rFonts w:cs="Arial" w:hint="cs"/>
          <w:b/>
          <w:bCs/>
          <w:sz w:val="16"/>
          <w:szCs w:val="16"/>
          <w:rtl/>
        </w:rPr>
        <w:t>)</w:t>
      </w:r>
      <w:r>
        <w:rPr>
          <w:rFonts w:cs="Arial" w:hint="cs"/>
          <w:b/>
          <w:bCs/>
          <w:rtl/>
        </w:rPr>
        <w:t xml:space="preserve"> קעו ע"א</w:t>
      </w:r>
      <w:r>
        <w:rPr>
          <w:rStyle w:val="a7"/>
          <w:rFonts w:cs="Arial"/>
          <w:b/>
          <w:bCs/>
          <w:rtl/>
        </w:rPr>
        <w:footnoteReference w:id="1193"/>
      </w:r>
      <w:r>
        <w:rPr>
          <w:rFonts w:cs="Arial" w:hint="cs"/>
          <w:b/>
          <w:bCs/>
          <w:rtl/>
        </w:rPr>
        <w:t>:</w:t>
      </w:r>
      <w:r>
        <w:rPr>
          <w:rFonts w:cs="Arial" w:hint="cs"/>
          <w:rtl/>
        </w:rPr>
        <w:t xml:space="preserve"> </w:t>
      </w:r>
      <w:r w:rsidRPr="00BA3712">
        <w:rPr>
          <w:rFonts w:cs="Arial"/>
          <w:u w:val="single"/>
          <w:rtl/>
        </w:rPr>
        <w:t>מתיב רבא</w:t>
      </w:r>
      <w:r w:rsidRPr="00BA3712">
        <w:rPr>
          <w:rFonts w:cs="Arial"/>
          <w:rtl/>
        </w:rPr>
        <w:t xml:space="preserve">: עדים החתומין על שאילת שלום בגט </w:t>
      </w:r>
      <w:r w:rsidR="00A82951">
        <w:rPr>
          <w:rFonts w:cs="Arial"/>
          <w:rtl/>
        </w:rPr>
        <w:t>-</w:t>
      </w:r>
      <w:r w:rsidRPr="00BA3712">
        <w:rPr>
          <w:rFonts w:cs="Arial"/>
          <w:rtl/>
        </w:rPr>
        <w:t xml:space="preserve"> פסול, חיישינן שמא על שאילת שלום חתמו</w:t>
      </w:r>
      <w:r>
        <w:rPr>
          <w:rFonts w:cs="Arial" w:hint="cs"/>
          <w:rtl/>
        </w:rPr>
        <w:t>.</w:t>
      </w:r>
      <w:r w:rsidRPr="00BA3712">
        <w:rPr>
          <w:rFonts w:cs="Arial"/>
          <w:rtl/>
        </w:rPr>
        <w:t xml:space="preserve"> </w:t>
      </w:r>
      <w:r w:rsidRPr="00BA3712">
        <w:rPr>
          <w:rFonts w:cs="Arial"/>
          <w:u w:val="single"/>
          <w:rtl/>
        </w:rPr>
        <w:t>ואמר רבי אבהו</w:t>
      </w:r>
      <w:r>
        <w:rPr>
          <w:rFonts w:cs="Arial" w:hint="cs"/>
          <w:rtl/>
        </w:rPr>
        <w:t>:</w:t>
      </w:r>
      <w:r w:rsidRPr="00BA3712">
        <w:rPr>
          <w:rFonts w:cs="Arial"/>
          <w:rtl/>
        </w:rPr>
        <w:t xml:space="preserve"> לדידי מיפרשא ליה מיניה דרבי יוחנן: שאלו </w:t>
      </w:r>
      <w:r w:rsidR="00A82951">
        <w:rPr>
          <w:rFonts w:cs="Arial"/>
          <w:rtl/>
        </w:rPr>
        <w:t>-</w:t>
      </w:r>
      <w:r w:rsidRPr="00BA3712">
        <w:rPr>
          <w:rFonts w:cs="Arial"/>
          <w:rtl/>
        </w:rPr>
        <w:t xml:space="preserve"> פסול, ושאלו </w:t>
      </w:r>
      <w:r w:rsidR="00A82951">
        <w:rPr>
          <w:rFonts w:cs="Arial"/>
          <w:rtl/>
        </w:rPr>
        <w:t>-</w:t>
      </w:r>
      <w:r w:rsidRPr="00BA3712">
        <w:rPr>
          <w:rFonts w:cs="Arial"/>
          <w:rtl/>
        </w:rPr>
        <w:t xml:space="preserve"> כשר</w:t>
      </w:r>
      <w:r>
        <w:rPr>
          <w:rFonts w:cs="Arial" w:hint="cs"/>
          <w:rtl/>
        </w:rPr>
        <w:t>.</w:t>
      </w:r>
    </w:p>
    <w:p w14:paraId="61102D76" w14:textId="77777777" w:rsidR="00FA2119" w:rsidRPr="00DD5882" w:rsidRDefault="00FA2119" w:rsidP="00FA2119">
      <w:pPr>
        <w:rPr>
          <w:u w:val="single"/>
          <w:rtl/>
        </w:rPr>
      </w:pPr>
      <w:r w:rsidRPr="00DD5882">
        <w:rPr>
          <w:rFonts w:hint="cs"/>
          <w:u w:val="single"/>
          <w:rtl/>
        </w:rPr>
        <w:t>כתוב משהו בין סוף הגט לחתימת העדים:</w:t>
      </w:r>
    </w:p>
    <w:p w14:paraId="44AD0021" w14:textId="46195AB7" w:rsidR="00FA2119" w:rsidRDefault="00FA2119" w:rsidP="00FA2119">
      <w:pPr>
        <w:pStyle w:val="ab"/>
        <w:numPr>
          <w:ilvl w:val="0"/>
          <w:numId w:val="80"/>
        </w:numPr>
      </w:pPr>
      <w:r>
        <w:rPr>
          <w:rFonts w:hint="cs"/>
          <w:rtl/>
        </w:rPr>
        <w:lastRenderedPageBreak/>
        <w:t>טור</w:t>
      </w:r>
      <w:r w:rsidR="00A82951">
        <w:rPr>
          <w:rFonts w:hint="cs"/>
          <w:rtl/>
        </w:rPr>
        <w:t>-</w:t>
      </w:r>
      <w:r>
        <w:rPr>
          <w:rFonts w:cs="Arial" w:hint="cs"/>
          <w:rtl/>
        </w:rPr>
        <w:t xml:space="preserve"> </w:t>
      </w:r>
      <w:r>
        <w:rPr>
          <w:rFonts w:cs="Arial"/>
          <w:rtl/>
        </w:rPr>
        <w:t>ולא יהיה בין הגט לחתימת העדים כתוב שום דבר אחר שאינו מענין הגט</w:t>
      </w:r>
      <w:r>
        <w:rPr>
          <w:rFonts w:cs="Arial" w:hint="cs"/>
          <w:rtl/>
        </w:rPr>
        <w:t xml:space="preserve">, </w:t>
      </w:r>
      <w:r>
        <w:rPr>
          <w:rFonts w:cs="Arial"/>
          <w:rtl/>
        </w:rPr>
        <w:t>דאיכא למיחש שמא לא כיונו העדות לחתום אלא על אותו דבר</w:t>
      </w:r>
      <w:r>
        <w:rPr>
          <w:rFonts w:cs="Arial" w:hint="cs"/>
          <w:rtl/>
        </w:rPr>
        <w:t>,</w:t>
      </w:r>
      <w:r>
        <w:rPr>
          <w:rFonts w:cs="Arial"/>
          <w:rtl/>
        </w:rPr>
        <w:t xml:space="preserve"> כדאמרינן כתוב למטה בגט שאלו בשלומה פסול שמא לא חתמו אלא על שאלת שלום</w:t>
      </w:r>
      <w:r>
        <w:rPr>
          <w:rFonts w:cs="Arial" w:hint="cs"/>
          <w:rtl/>
        </w:rPr>
        <w:t>.</w:t>
      </w:r>
      <w:r>
        <w:rPr>
          <w:rFonts w:cs="Arial"/>
          <w:rtl/>
        </w:rPr>
        <w:t xml:space="preserve"> אבל אם כתב ושאלו כשר</w:t>
      </w:r>
      <w:r>
        <w:rPr>
          <w:rFonts w:cs="Arial" w:hint="cs"/>
          <w:rtl/>
        </w:rPr>
        <w:t>,</w:t>
      </w:r>
      <w:r>
        <w:rPr>
          <w:rFonts w:cs="Arial"/>
          <w:rtl/>
        </w:rPr>
        <w:t xml:space="preserve"> שהוי"ו חוזר על של מעלה ועל הכל חתמו</w:t>
      </w:r>
      <w:r>
        <w:rPr>
          <w:rFonts w:cs="Arial" w:hint="cs"/>
          <w:rtl/>
        </w:rPr>
        <w:t>,</w:t>
      </w:r>
      <w:r>
        <w:rPr>
          <w:rFonts w:cs="Arial"/>
          <w:rtl/>
        </w:rPr>
        <w:t xml:space="preserve"> וכן כל כיוצא בזה</w:t>
      </w:r>
      <w:r>
        <w:rPr>
          <w:rFonts w:cs="Arial" w:hint="cs"/>
          <w:rtl/>
        </w:rPr>
        <w:t>.</w:t>
      </w:r>
      <w:r>
        <w:rPr>
          <w:rFonts w:cs="Arial"/>
          <w:rtl/>
        </w:rPr>
        <w:t xml:space="preserve"> </w:t>
      </w:r>
    </w:p>
    <w:p w14:paraId="3BEAB9EC" w14:textId="41D01316" w:rsidR="00FA2119" w:rsidRPr="00574D14" w:rsidRDefault="00FA2119" w:rsidP="00FA2119">
      <w:pPr>
        <w:pStyle w:val="ab"/>
        <w:numPr>
          <w:ilvl w:val="0"/>
          <w:numId w:val="80"/>
        </w:numPr>
      </w:pPr>
      <w:r>
        <w:rPr>
          <w:rFonts w:cs="Arial" w:hint="cs"/>
          <w:rtl/>
        </w:rPr>
        <w:t xml:space="preserve">רמב"ם </w:t>
      </w:r>
      <w:r>
        <w:rPr>
          <w:rFonts w:cs="Arial" w:hint="cs"/>
          <w:sz w:val="16"/>
          <w:szCs w:val="16"/>
          <w:rtl/>
        </w:rPr>
        <w:t>(פ"ד הכ"ה)</w:t>
      </w:r>
      <w:r w:rsidR="00A82951">
        <w:rPr>
          <w:rFonts w:cs="Arial" w:hint="cs"/>
          <w:rtl/>
        </w:rPr>
        <w:t>-</w:t>
      </w:r>
      <w:r>
        <w:rPr>
          <w:rFonts w:cs="Arial" w:hint="cs"/>
          <w:rtl/>
        </w:rPr>
        <w:t xml:space="preserve"> </w:t>
      </w:r>
      <w:r w:rsidRPr="00DD5882">
        <w:rPr>
          <w:rFonts w:cs="Arial"/>
          <w:rtl/>
        </w:rPr>
        <w:t>הרי שכתב הגט</w:t>
      </w:r>
      <w:r w:rsidR="0098462B">
        <w:rPr>
          <w:rFonts w:cs="Arial" w:hint="cs"/>
          <w:rtl/>
        </w:rPr>
        <w:t>,</w:t>
      </w:r>
      <w:r w:rsidRPr="00DD5882">
        <w:rPr>
          <w:rFonts w:cs="Arial"/>
          <w:rtl/>
        </w:rPr>
        <w:t xml:space="preserve"> ואחר שגמר כתב</w:t>
      </w:r>
      <w:r w:rsidR="0098462B">
        <w:rPr>
          <w:rFonts w:cs="Arial" w:hint="cs"/>
          <w:rtl/>
        </w:rPr>
        <w:t>:</w:t>
      </w:r>
      <w:r w:rsidRPr="00DD5882">
        <w:rPr>
          <w:rFonts w:cs="Arial"/>
          <w:rtl/>
        </w:rPr>
        <w:t xml:space="preserve"> שאלו בשלום פלוני</w:t>
      </w:r>
      <w:r w:rsidR="0098462B">
        <w:rPr>
          <w:rFonts w:cs="Arial" w:hint="cs"/>
          <w:rtl/>
        </w:rPr>
        <w:t>,</w:t>
      </w:r>
      <w:r w:rsidRPr="00DD5882">
        <w:rPr>
          <w:rFonts w:cs="Arial"/>
          <w:rtl/>
        </w:rPr>
        <w:t xml:space="preserve"> או שלום עליך פלוני רעי</w:t>
      </w:r>
      <w:r w:rsidR="0098462B">
        <w:rPr>
          <w:rFonts w:cs="Arial" w:hint="cs"/>
          <w:rtl/>
        </w:rPr>
        <w:t>,</w:t>
      </w:r>
      <w:r w:rsidRPr="00DD5882">
        <w:rPr>
          <w:rFonts w:cs="Arial"/>
          <w:rtl/>
        </w:rPr>
        <w:t xml:space="preserve"> וכיוצא בזה</w:t>
      </w:r>
      <w:r w:rsidR="0098462B">
        <w:rPr>
          <w:rFonts w:cs="Arial" w:hint="cs"/>
          <w:rtl/>
        </w:rPr>
        <w:t>,</w:t>
      </w:r>
      <w:r w:rsidRPr="00DD5882">
        <w:rPr>
          <w:rFonts w:cs="Arial"/>
          <w:rtl/>
        </w:rPr>
        <w:t xml:space="preserve"> וחתמו העדים מלמטה</w:t>
      </w:r>
      <w:r w:rsidR="0098462B">
        <w:rPr>
          <w:rFonts w:cs="Arial" w:hint="cs"/>
          <w:rtl/>
        </w:rPr>
        <w:t>,</w:t>
      </w:r>
      <w:r w:rsidRPr="00DD5882">
        <w:rPr>
          <w:rFonts w:cs="Arial"/>
          <w:rtl/>
        </w:rPr>
        <w:t xml:space="preserve"> והרי גט זה יוצא מתחת ידה </w:t>
      </w:r>
      <w:r w:rsidR="0098462B">
        <w:rPr>
          <w:rFonts w:cs="Arial" w:hint="cs"/>
          <w:rtl/>
        </w:rPr>
        <w:t xml:space="preserve">- </w:t>
      </w:r>
      <w:r w:rsidRPr="00DD5882">
        <w:rPr>
          <w:rFonts w:cs="Arial"/>
          <w:rtl/>
        </w:rPr>
        <w:t>הרי זו ספק מגורשת</w:t>
      </w:r>
      <w:r>
        <w:rPr>
          <w:rStyle w:val="a7"/>
          <w:rFonts w:cs="Arial"/>
          <w:rtl/>
        </w:rPr>
        <w:footnoteReference w:id="1194"/>
      </w:r>
      <w:r w:rsidR="00D7633B">
        <w:rPr>
          <w:rFonts w:cs="Arial" w:hint="cs"/>
          <w:rtl/>
        </w:rPr>
        <w:t>,</w:t>
      </w:r>
      <w:r w:rsidRPr="00DD5882">
        <w:rPr>
          <w:rFonts w:cs="Arial"/>
          <w:rtl/>
        </w:rPr>
        <w:t xml:space="preserve"> שמא לא חתמו העדים אלא על שאילת שלום</w:t>
      </w:r>
      <w:r>
        <w:rPr>
          <w:rFonts w:cs="Arial" w:hint="cs"/>
          <w:rtl/>
        </w:rPr>
        <w:t>.</w:t>
      </w:r>
      <w:r w:rsidRPr="00DD5882">
        <w:rPr>
          <w:rFonts w:cs="Arial"/>
          <w:rtl/>
        </w:rPr>
        <w:t xml:space="preserve"> אבל אם כתב</w:t>
      </w:r>
      <w:r w:rsidR="00D7633B">
        <w:rPr>
          <w:rFonts w:cs="Arial" w:hint="cs"/>
          <w:rtl/>
        </w:rPr>
        <w:t xml:space="preserve">: </w:t>
      </w:r>
      <w:r w:rsidRPr="00DD5882">
        <w:rPr>
          <w:rFonts w:cs="Arial"/>
          <w:rtl/>
        </w:rPr>
        <w:t>ושאלו בשלום פלוני</w:t>
      </w:r>
      <w:r w:rsidR="00D7633B">
        <w:rPr>
          <w:rFonts w:cs="Arial" w:hint="cs"/>
          <w:rtl/>
        </w:rPr>
        <w:t>,</w:t>
      </w:r>
      <w:r w:rsidRPr="00DD5882">
        <w:rPr>
          <w:rFonts w:cs="Arial"/>
          <w:rtl/>
        </w:rPr>
        <w:t xml:space="preserve"> או ושלום עליך רעי</w:t>
      </w:r>
      <w:r w:rsidR="00D7633B">
        <w:rPr>
          <w:rFonts w:cs="Arial" w:hint="cs"/>
          <w:rtl/>
        </w:rPr>
        <w:t>,</w:t>
      </w:r>
      <w:r w:rsidRPr="00DD5882">
        <w:rPr>
          <w:rFonts w:cs="Arial"/>
          <w:rtl/>
        </w:rPr>
        <w:t xml:space="preserve"> וכיוצא בזה</w:t>
      </w:r>
      <w:r w:rsidR="00D7633B">
        <w:rPr>
          <w:rFonts w:cs="Arial" w:hint="cs"/>
          <w:rtl/>
        </w:rPr>
        <w:t>,</w:t>
      </w:r>
      <w:r w:rsidRPr="00DD5882">
        <w:rPr>
          <w:rFonts w:cs="Arial"/>
          <w:rtl/>
        </w:rPr>
        <w:t xml:space="preserve"> שהרי ליוה דברים אלו על דברי הגט ועל שניהם חתמו </w:t>
      </w:r>
      <w:r w:rsidR="00A82951">
        <w:rPr>
          <w:rFonts w:cs="Arial" w:hint="cs"/>
          <w:rtl/>
        </w:rPr>
        <w:t>-</w:t>
      </w:r>
      <w:r>
        <w:rPr>
          <w:rFonts w:cs="Arial" w:hint="cs"/>
          <w:rtl/>
        </w:rPr>
        <w:t xml:space="preserve"> </w:t>
      </w:r>
      <w:r w:rsidRPr="00DD5882">
        <w:rPr>
          <w:rFonts w:cs="Arial"/>
          <w:rtl/>
        </w:rPr>
        <w:t>הרי זו מגורשת</w:t>
      </w:r>
      <w:r w:rsidR="00D7633B">
        <w:rPr>
          <w:rFonts w:cs="Arial" w:hint="cs"/>
          <w:rtl/>
        </w:rPr>
        <w:t>.</w:t>
      </w:r>
      <w:r w:rsidRPr="00DD5882">
        <w:rPr>
          <w:rFonts w:cs="Arial"/>
          <w:rtl/>
        </w:rPr>
        <w:t xml:space="preserve"> ואם נמסר לה בעדים בין כך ובין כך הרי זה גט כשר.</w:t>
      </w:r>
      <w:r w:rsidRPr="00A16D1D">
        <w:rPr>
          <w:rFonts w:cs="Arial" w:hint="cs"/>
          <w:color w:val="E36C0A" w:themeColor="accent6" w:themeShade="BF"/>
          <w:rtl/>
        </w:rPr>
        <w:t xml:space="preserve"> </w:t>
      </w:r>
      <w:r w:rsidRPr="001C2ACE">
        <w:rPr>
          <w:rFonts w:cs="Arial" w:hint="cs"/>
          <w:color w:val="E36C0A" w:themeColor="accent6" w:themeShade="BF"/>
          <w:rtl/>
        </w:rPr>
        <w:t>(וכ"פ בשו"ע</w:t>
      </w:r>
      <w:r>
        <w:rPr>
          <w:rFonts w:cs="Arial" w:hint="cs"/>
          <w:color w:val="E36C0A" w:themeColor="accent6" w:themeShade="BF"/>
          <w:sz w:val="16"/>
          <w:szCs w:val="16"/>
          <w:rtl/>
        </w:rPr>
        <w:t xml:space="preserve"> </w:t>
      </w:r>
      <w:r w:rsidRPr="00C8547B">
        <w:rPr>
          <w:rFonts w:cs="Arial" w:hint="cs"/>
          <w:color w:val="000000" w:themeColor="text1"/>
          <w:sz w:val="16"/>
          <w:szCs w:val="16"/>
          <w:rtl/>
        </w:rPr>
        <w:t>[</w:t>
      </w:r>
      <w:r>
        <w:rPr>
          <w:rFonts w:cs="Arial" w:hint="cs"/>
          <w:color w:val="000000" w:themeColor="text1"/>
          <w:sz w:val="16"/>
          <w:szCs w:val="16"/>
          <w:rtl/>
        </w:rPr>
        <w:t>כאן ובסע' ו</w:t>
      </w:r>
      <w:r w:rsidRPr="00C8547B">
        <w:rPr>
          <w:rFonts w:cs="Arial" w:hint="cs"/>
          <w:color w:val="000000" w:themeColor="text1"/>
          <w:sz w:val="16"/>
          <w:szCs w:val="16"/>
          <w:rtl/>
        </w:rPr>
        <w:t>]</w:t>
      </w:r>
      <w:r>
        <w:rPr>
          <w:rFonts w:cs="Arial" w:hint="cs"/>
          <w:color w:val="E36C0A" w:themeColor="accent6" w:themeShade="BF"/>
          <w:rtl/>
        </w:rPr>
        <w:t>)</w:t>
      </w:r>
    </w:p>
    <w:p w14:paraId="36EB5499"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D193E74" w14:textId="4732DF6D" w:rsidR="00FA2119" w:rsidRDefault="00FA2119" w:rsidP="00FA2119">
      <w:pPr>
        <w:rPr>
          <w:rFonts w:cs="Arial"/>
          <w:rtl/>
        </w:rPr>
      </w:pPr>
      <w:r>
        <w:rPr>
          <w:rFonts w:cs="Arial" w:hint="cs"/>
          <w:rtl/>
        </w:rPr>
        <w:t>לא</w:t>
      </w:r>
      <w:r>
        <w:rPr>
          <w:rFonts w:cs="Arial"/>
          <w:rtl/>
        </w:rPr>
        <w:t xml:space="preserve"> </w:t>
      </w:r>
      <w:r>
        <w:rPr>
          <w:rFonts w:cs="Arial" w:hint="cs"/>
          <w:rtl/>
        </w:rPr>
        <w:t>יהיה</w:t>
      </w:r>
      <w:r>
        <w:rPr>
          <w:rFonts w:cs="Arial"/>
          <w:rtl/>
        </w:rPr>
        <w:t xml:space="preserve"> </w:t>
      </w:r>
      <w:r>
        <w:rPr>
          <w:rFonts w:cs="Arial" w:hint="cs"/>
          <w:rtl/>
        </w:rPr>
        <w:t>בין</w:t>
      </w:r>
      <w:r>
        <w:rPr>
          <w:rFonts w:cs="Arial"/>
          <w:rtl/>
        </w:rPr>
        <w:t xml:space="preserve"> </w:t>
      </w:r>
      <w:r>
        <w:rPr>
          <w:rFonts w:cs="Arial" w:hint="cs"/>
          <w:rtl/>
        </w:rPr>
        <w:t>הגט</w:t>
      </w:r>
      <w:r>
        <w:rPr>
          <w:rFonts w:cs="Arial"/>
          <w:rtl/>
        </w:rPr>
        <w:t xml:space="preserve"> </w:t>
      </w:r>
      <w:r>
        <w:rPr>
          <w:rFonts w:cs="Arial" w:hint="cs"/>
          <w:rtl/>
        </w:rPr>
        <w:t>לחתימת</w:t>
      </w:r>
      <w:r>
        <w:rPr>
          <w:rFonts w:cs="Arial"/>
          <w:rtl/>
        </w:rPr>
        <w:t xml:space="preserve"> </w:t>
      </w:r>
      <w:r>
        <w:rPr>
          <w:rFonts w:cs="Arial" w:hint="cs"/>
          <w:rtl/>
        </w:rPr>
        <w:t>העדים</w:t>
      </w:r>
      <w:r>
        <w:rPr>
          <w:rFonts w:cs="Arial"/>
          <w:rtl/>
        </w:rPr>
        <w:t xml:space="preserve"> </w:t>
      </w:r>
      <w:r>
        <w:rPr>
          <w:rFonts w:cs="Arial" w:hint="cs"/>
          <w:rtl/>
        </w:rPr>
        <w:t>כתוב</w:t>
      </w:r>
      <w:r>
        <w:rPr>
          <w:rFonts w:cs="Arial"/>
          <w:rtl/>
        </w:rPr>
        <w:t xml:space="preserve"> </w:t>
      </w:r>
      <w:r>
        <w:rPr>
          <w:rFonts w:cs="Arial" w:hint="cs"/>
          <w:rtl/>
        </w:rPr>
        <w:t>דבר</w:t>
      </w:r>
      <w:r>
        <w:rPr>
          <w:rFonts w:cs="Arial"/>
          <w:rtl/>
        </w:rPr>
        <w:t xml:space="preserve"> </w:t>
      </w:r>
      <w:r>
        <w:rPr>
          <w:rFonts w:cs="Arial" w:hint="cs"/>
          <w:rtl/>
        </w:rPr>
        <w:t>שאינו</w:t>
      </w:r>
      <w:r>
        <w:rPr>
          <w:rFonts w:cs="Arial"/>
          <w:rtl/>
        </w:rPr>
        <w:t xml:space="preserve"> </w:t>
      </w:r>
      <w:r>
        <w:rPr>
          <w:rFonts w:cs="Arial" w:hint="cs"/>
          <w:rtl/>
        </w:rPr>
        <w:t>מענין</w:t>
      </w:r>
      <w:r>
        <w:rPr>
          <w:rFonts w:cs="Arial"/>
          <w:rtl/>
        </w:rPr>
        <w:t xml:space="preserve"> </w:t>
      </w:r>
      <w:r>
        <w:rPr>
          <w:rFonts w:cs="Arial" w:hint="cs"/>
          <w:rtl/>
        </w:rPr>
        <w:t>הגט</w:t>
      </w:r>
      <w:r>
        <w:rPr>
          <w:rFonts w:cs="Arial"/>
          <w:rtl/>
        </w:rPr>
        <w:t xml:space="preserve">. </w:t>
      </w:r>
      <w:r>
        <w:rPr>
          <w:rFonts w:cs="Arial" w:hint="cs"/>
          <w:rtl/>
        </w:rPr>
        <w:t>ואם</w:t>
      </w:r>
      <w:r>
        <w:rPr>
          <w:rFonts w:cs="Arial"/>
          <w:rtl/>
        </w:rPr>
        <w:t xml:space="preserve"> </w:t>
      </w:r>
      <w:r>
        <w:rPr>
          <w:rFonts w:cs="Arial" w:hint="cs"/>
          <w:rtl/>
        </w:rPr>
        <w:t>כתב</w:t>
      </w:r>
      <w:r>
        <w:rPr>
          <w:rFonts w:cs="Arial"/>
          <w:rtl/>
        </w:rPr>
        <w:t xml:space="preserve"> </w:t>
      </w:r>
      <w:r>
        <w:rPr>
          <w:rFonts w:cs="Arial" w:hint="cs"/>
          <w:rtl/>
        </w:rPr>
        <w:t>כן</w:t>
      </w:r>
      <w:r>
        <w:rPr>
          <w:rFonts w:cs="Arial"/>
          <w:rtl/>
        </w:rPr>
        <w:t xml:space="preserve">, </w:t>
      </w:r>
      <w:r>
        <w:rPr>
          <w:rFonts w:cs="Arial" w:hint="cs"/>
          <w:rtl/>
        </w:rPr>
        <w:t>כגון</w:t>
      </w:r>
      <w:r>
        <w:rPr>
          <w:rFonts w:cs="Arial"/>
          <w:rtl/>
        </w:rPr>
        <w:t xml:space="preserve"> </w:t>
      </w:r>
      <w:r>
        <w:rPr>
          <w:rFonts w:cs="Arial" w:hint="cs"/>
          <w:rtl/>
        </w:rPr>
        <w:t>שכתוב</w:t>
      </w:r>
      <w:r>
        <w:rPr>
          <w:rFonts w:cs="Arial"/>
          <w:rtl/>
        </w:rPr>
        <w:t xml:space="preserve">: </w:t>
      </w:r>
      <w:r>
        <w:rPr>
          <w:rFonts w:cs="Arial" w:hint="cs"/>
          <w:rtl/>
        </w:rPr>
        <w:t>שאלו</w:t>
      </w:r>
      <w:r>
        <w:rPr>
          <w:rFonts w:cs="Arial"/>
          <w:rtl/>
        </w:rPr>
        <w:t xml:space="preserve"> </w:t>
      </w:r>
      <w:r>
        <w:rPr>
          <w:rFonts w:cs="Arial" w:hint="cs"/>
          <w:rtl/>
        </w:rPr>
        <w:t>בשלומה</w:t>
      </w:r>
      <w:r>
        <w:rPr>
          <w:rFonts w:cs="Arial"/>
          <w:rtl/>
        </w:rPr>
        <w:t xml:space="preserve">, </w:t>
      </w:r>
      <w:r>
        <w:rPr>
          <w:rFonts w:cs="Arial" w:hint="cs"/>
          <w:rtl/>
        </w:rPr>
        <w:t>פסול</w:t>
      </w:r>
      <w:r w:rsidR="00F16F4E">
        <w:rPr>
          <w:rStyle w:val="a7"/>
          <w:rFonts w:cs="Arial"/>
          <w:rtl/>
        </w:rPr>
        <w:footnoteReference w:id="1195"/>
      </w:r>
      <w:r>
        <w:rPr>
          <w:rFonts w:cs="Arial"/>
          <w:rtl/>
        </w:rPr>
        <w:t xml:space="preserve">, </w:t>
      </w:r>
      <w:r>
        <w:rPr>
          <w:rFonts w:cs="Arial" w:hint="cs"/>
          <w:rtl/>
        </w:rPr>
        <w:t>שמא</w:t>
      </w:r>
      <w:r>
        <w:rPr>
          <w:rFonts w:cs="Arial"/>
          <w:rtl/>
        </w:rPr>
        <w:t xml:space="preserve"> </w:t>
      </w:r>
      <w:r>
        <w:rPr>
          <w:rFonts w:cs="Arial" w:hint="cs"/>
          <w:rtl/>
        </w:rPr>
        <w:t>לא</w:t>
      </w:r>
      <w:r>
        <w:rPr>
          <w:rFonts w:cs="Arial"/>
          <w:rtl/>
        </w:rPr>
        <w:t xml:space="preserve"> </w:t>
      </w:r>
      <w:r>
        <w:rPr>
          <w:rFonts w:cs="Arial" w:hint="cs"/>
          <w:rtl/>
        </w:rPr>
        <w:t>חתמו</w:t>
      </w:r>
      <w:r>
        <w:rPr>
          <w:rFonts w:cs="Arial"/>
          <w:rtl/>
        </w:rPr>
        <w:t xml:space="preserve"> </w:t>
      </w:r>
      <w:r>
        <w:rPr>
          <w:rFonts w:cs="Arial" w:hint="cs"/>
          <w:rtl/>
        </w:rPr>
        <w:t>אלא</w:t>
      </w:r>
      <w:r>
        <w:rPr>
          <w:rFonts w:cs="Arial"/>
          <w:rtl/>
        </w:rPr>
        <w:t xml:space="preserve"> </w:t>
      </w:r>
      <w:r>
        <w:rPr>
          <w:rFonts w:cs="Arial" w:hint="cs"/>
          <w:rtl/>
        </w:rPr>
        <w:t>על</w:t>
      </w:r>
      <w:r>
        <w:rPr>
          <w:rFonts w:cs="Arial"/>
          <w:rtl/>
        </w:rPr>
        <w:t xml:space="preserve"> </w:t>
      </w:r>
      <w:r>
        <w:rPr>
          <w:rFonts w:cs="Arial" w:hint="cs"/>
          <w:rtl/>
        </w:rPr>
        <w:t>שאלת</w:t>
      </w:r>
      <w:r>
        <w:rPr>
          <w:rFonts w:cs="Arial"/>
          <w:rtl/>
        </w:rPr>
        <w:t xml:space="preserve"> </w:t>
      </w:r>
      <w:r>
        <w:rPr>
          <w:rFonts w:cs="Arial" w:hint="cs"/>
          <w:rtl/>
        </w:rPr>
        <w:t>שלום</w:t>
      </w:r>
      <w:r>
        <w:rPr>
          <w:rFonts w:cs="Arial"/>
          <w:rtl/>
        </w:rPr>
        <w:t xml:space="preserve">. </w:t>
      </w:r>
      <w:r>
        <w:rPr>
          <w:rFonts w:cs="Arial" w:hint="cs"/>
          <w:rtl/>
        </w:rPr>
        <w:t>אבל</w:t>
      </w:r>
      <w:r>
        <w:rPr>
          <w:rFonts w:cs="Arial"/>
          <w:rtl/>
        </w:rPr>
        <w:t xml:space="preserve"> </w:t>
      </w:r>
      <w:r>
        <w:rPr>
          <w:rFonts w:cs="Arial" w:hint="cs"/>
          <w:rtl/>
        </w:rPr>
        <w:t>אם</w:t>
      </w:r>
      <w:r>
        <w:rPr>
          <w:rFonts w:cs="Arial"/>
          <w:rtl/>
        </w:rPr>
        <w:t xml:space="preserve"> </w:t>
      </w:r>
      <w:r>
        <w:rPr>
          <w:rFonts w:cs="Arial" w:hint="cs"/>
          <w:rtl/>
        </w:rPr>
        <w:t>כתב</w:t>
      </w:r>
      <w:r>
        <w:rPr>
          <w:rFonts w:cs="Arial"/>
          <w:rtl/>
        </w:rPr>
        <w:t xml:space="preserve">: </w:t>
      </w:r>
      <w:r>
        <w:rPr>
          <w:rFonts w:cs="Arial" w:hint="cs"/>
          <w:rtl/>
        </w:rPr>
        <w:t>ושאלו</w:t>
      </w:r>
      <w:r>
        <w:rPr>
          <w:rFonts w:cs="Arial"/>
          <w:rtl/>
        </w:rPr>
        <w:t xml:space="preserve"> </w:t>
      </w:r>
      <w:r>
        <w:rPr>
          <w:rFonts w:cs="Arial" w:hint="cs"/>
          <w:rtl/>
        </w:rPr>
        <w:t>[בשלומה]</w:t>
      </w:r>
      <w:r>
        <w:rPr>
          <w:rFonts w:cs="Arial"/>
          <w:rtl/>
        </w:rPr>
        <w:t xml:space="preserve">, </w:t>
      </w:r>
      <w:r>
        <w:rPr>
          <w:rFonts w:cs="Arial" w:hint="cs"/>
          <w:rtl/>
        </w:rPr>
        <w:t>כשר</w:t>
      </w:r>
      <w:r>
        <w:rPr>
          <w:rFonts w:cs="Arial"/>
          <w:rtl/>
        </w:rPr>
        <w:t xml:space="preserve">, </w:t>
      </w:r>
      <w:r>
        <w:rPr>
          <w:rFonts w:cs="Arial" w:hint="cs"/>
          <w:rtl/>
        </w:rPr>
        <w:t>שהיא</w:t>
      </w:r>
      <w:r>
        <w:rPr>
          <w:rFonts w:cs="Arial"/>
          <w:rtl/>
        </w:rPr>
        <w:t xml:space="preserve"> </w:t>
      </w:r>
      <w:r>
        <w:rPr>
          <w:rFonts w:cs="Arial" w:hint="cs"/>
          <w:rtl/>
        </w:rPr>
        <w:t>מדובק</w:t>
      </w:r>
      <w:r>
        <w:rPr>
          <w:rFonts w:cs="Arial"/>
          <w:rtl/>
        </w:rPr>
        <w:t xml:space="preserve"> </w:t>
      </w:r>
      <w:r>
        <w:rPr>
          <w:rFonts w:cs="Arial" w:hint="cs"/>
          <w:rtl/>
        </w:rPr>
        <w:t>עם</w:t>
      </w:r>
      <w:r>
        <w:rPr>
          <w:rFonts w:cs="Arial"/>
          <w:rtl/>
        </w:rPr>
        <w:t xml:space="preserve"> </w:t>
      </w:r>
      <w:r>
        <w:rPr>
          <w:rFonts w:cs="Arial" w:hint="cs"/>
          <w:rtl/>
        </w:rPr>
        <w:t>של</w:t>
      </w:r>
      <w:r>
        <w:rPr>
          <w:rFonts w:cs="Arial"/>
          <w:rtl/>
        </w:rPr>
        <w:t xml:space="preserve"> </w:t>
      </w:r>
      <w:r>
        <w:rPr>
          <w:rFonts w:cs="Arial" w:hint="cs"/>
          <w:rtl/>
        </w:rPr>
        <w:t>מעלה</w:t>
      </w:r>
      <w:r>
        <w:rPr>
          <w:rFonts w:cs="Arial"/>
          <w:rtl/>
        </w:rPr>
        <w:t xml:space="preserve"> </w:t>
      </w:r>
      <w:r>
        <w:rPr>
          <w:rFonts w:cs="Arial" w:hint="cs"/>
          <w:rtl/>
        </w:rPr>
        <w:t>ועל</w:t>
      </w:r>
      <w:r>
        <w:rPr>
          <w:rFonts w:cs="Arial"/>
          <w:rtl/>
        </w:rPr>
        <w:t xml:space="preserve"> </w:t>
      </w:r>
      <w:r>
        <w:rPr>
          <w:rFonts w:cs="Arial" w:hint="cs"/>
          <w:rtl/>
        </w:rPr>
        <w:t>הכל</w:t>
      </w:r>
      <w:r>
        <w:rPr>
          <w:rFonts w:cs="Arial"/>
          <w:rtl/>
        </w:rPr>
        <w:t xml:space="preserve"> </w:t>
      </w:r>
      <w:r>
        <w:rPr>
          <w:rFonts w:cs="Arial" w:hint="cs"/>
          <w:rtl/>
        </w:rPr>
        <w:t>חתמו</w:t>
      </w:r>
      <w:r>
        <w:rPr>
          <w:rFonts w:cs="Arial"/>
          <w:rtl/>
        </w:rPr>
        <w:t xml:space="preserve">. </w:t>
      </w:r>
    </w:p>
    <w:p w14:paraId="4C7DF647" w14:textId="77777777" w:rsidR="00FA2119" w:rsidRDefault="00FA2119" w:rsidP="00FA2119">
      <w:pPr>
        <w:rPr>
          <w:rtl/>
        </w:rPr>
      </w:pPr>
    </w:p>
    <w:p w14:paraId="175DF1AA" w14:textId="77777777" w:rsidR="00FA2119" w:rsidRDefault="00FA2119" w:rsidP="00FA2119">
      <w:pPr>
        <w:pStyle w:val="2"/>
        <w:rPr>
          <w:rtl/>
        </w:rPr>
      </w:pPr>
      <w:r>
        <w:rPr>
          <w:rFonts w:hint="cs"/>
          <w:rtl/>
        </w:rPr>
        <w:t>סעיף</w:t>
      </w:r>
      <w:r>
        <w:rPr>
          <w:rtl/>
        </w:rPr>
        <w:t xml:space="preserve"> </w:t>
      </w:r>
      <w:r>
        <w:rPr>
          <w:rFonts w:hint="cs"/>
          <w:rtl/>
        </w:rPr>
        <w:t>ד: חתימה בראש הגט, או בצדו, או מאחוריו.</w:t>
      </w:r>
    </w:p>
    <w:p w14:paraId="0A0CC181" w14:textId="5F52A1E4" w:rsidR="00FA2119" w:rsidRDefault="00FA2119" w:rsidP="00FA2119">
      <w:pPr>
        <w:rPr>
          <w:rtl/>
        </w:rPr>
      </w:pPr>
      <w:r>
        <w:rPr>
          <w:rFonts w:cs="Arial" w:hint="cs"/>
          <w:b/>
          <w:bCs/>
          <w:rtl/>
        </w:rPr>
        <w:t>גיטין</w:t>
      </w:r>
      <w:r>
        <w:rPr>
          <w:rFonts w:cs="Arial"/>
          <w:b/>
          <w:bCs/>
          <w:rtl/>
        </w:rPr>
        <w:t xml:space="preserve"> </w:t>
      </w:r>
      <w:r>
        <w:rPr>
          <w:rFonts w:cs="Arial"/>
          <w:b/>
          <w:bCs/>
          <w:szCs w:val="16"/>
          <w:rtl/>
        </w:rPr>
        <w:t>(פ'</w:t>
      </w:r>
      <w:r>
        <w:rPr>
          <w:rFonts w:cs="Arial" w:hint="cs"/>
          <w:b/>
          <w:bCs/>
          <w:szCs w:val="16"/>
          <w:rtl/>
        </w:rPr>
        <w:t xml:space="preserve"> המגרש</w:t>
      </w:r>
      <w:r>
        <w:rPr>
          <w:rFonts w:cs="Arial"/>
          <w:b/>
          <w:bCs/>
          <w:szCs w:val="16"/>
          <w:rtl/>
        </w:rPr>
        <w:t xml:space="preserve">) </w:t>
      </w:r>
      <w:r>
        <w:rPr>
          <w:rFonts w:cs="Arial" w:hint="cs"/>
          <w:b/>
          <w:bCs/>
          <w:rtl/>
        </w:rPr>
        <w:t>פז</w:t>
      </w:r>
      <w:r>
        <w:rPr>
          <w:rFonts w:cs="Arial"/>
          <w:b/>
          <w:bCs/>
          <w:rtl/>
        </w:rPr>
        <w:t xml:space="preserve"> ע"</w:t>
      </w:r>
      <w:r>
        <w:rPr>
          <w:rFonts w:cs="Arial" w:hint="cs"/>
          <w:b/>
          <w:bCs/>
          <w:rtl/>
        </w:rPr>
        <w:t>ב</w:t>
      </w:r>
      <w:r>
        <w:rPr>
          <w:rFonts w:cs="Arial"/>
          <w:b/>
          <w:bCs/>
          <w:rtl/>
        </w:rPr>
        <w:t>:</w:t>
      </w:r>
      <w:r>
        <w:rPr>
          <w:rFonts w:cs="Arial" w:hint="cs"/>
          <w:b/>
          <w:bCs/>
          <w:rtl/>
        </w:rPr>
        <w:t xml:space="preserve"> </w:t>
      </w:r>
      <w:r w:rsidRPr="001C6A45">
        <w:rPr>
          <w:rFonts w:cs="Arial" w:hint="cs"/>
          <w:u w:val="double"/>
          <w:rtl/>
        </w:rPr>
        <w:t>מתני'</w:t>
      </w:r>
      <w:r>
        <w:rPr>
          <w:rFonts w:cs="Arial" w:hint="cs"/>
          <w:rtl/>
        </w:rPr>
        <w:t xml:space="preserve">:... </w:t>
      </w:r>
      <w:r w:rsidRPr="001C6A45">
        <w:rPr>
          <w:rFonts w:cs="Arial"/>
          <w:rtl/>
        </w:rPr>
        <w:t>חתמו עדים בראש הדף, מן הצד</w:t>
      </w:r>
      <w:r>
        <w:rPr>
          <w:rStyle w:val="a7"/>
          <w:rFonts w:cs="Arial"/>
          <w:rtl/>
        </w:rPr>
        <w:footnoteReference w:id="1196"/>
      </w:r>
      <w:r w:rsidRPr="001C6A45">
        <w:rPr>
          <w:rFonts w:cs="Arial"/>
          <w:rtl/>
        </w:rPr>
        <w:t xml:space="preserve">, או מאחריו בגט פשוט </w:t>
      </w:r>
      <w:r w:rsidR="00A82951">
        <w:rPr>
          <w:rFonts w:cs="Arial"/>
          <w:rtl/>
        </w:rPr>
        <w:t>-</w:t>
      </w:r>
      <w:r w:rsidRPr="001C6A45">
        <w:rPr>
          <w:rFonts w:cs="Arial"/>
          <w:rtl/>
        </w:rPr>
        <w:t xml:space="preserve"> פסול.</w:t>
      </w:r>
      <w:r>
        <w:rPr>
          <w:rFonts w:hint="cs"/>
          <w:rtl/>
        </w:rPr>
        <w:t>..</w:t>
      </w:r>
    </w:p>
    <w:p w14:paraId="266834ED" w14:textId="77777777" w:rsidR="00FA2119" w:rsidRPr="001C6A45" w:rsidRDefault="00FA2119" w:rsidP="00FA2119">
      <w:pPr>
        <w:rPr>
          <w:u w:val="single"/>
          <w:rtl/>
        </w:rPr>
      </w:pPr>
      <w:r w:rsidRPr="001C6A45">
        <w:rPr>
          <w:rFonts w:hint="cs"/>
          <w:u w:val="single"/>
          <w:rtl/>
        </w:rPr>
        <w:t>חתימה בראש הגט, או בצדו, או מאחוריו:</w:t>
      </w:r>
    </w:p>
    <w:p w14:paraId="06C33162" w14:textId="1EA6B0F4" w:rsidR="00FA2119" w:rsidRDefault="00FA2119" w:rsidP="00FA2119">
      <w:pPr>
        <w:pStyle w:val="ab"/>
        <w:numPr>
          <w:ilvl w:val="0"/>
          <w:numId w:val="80"/>
        </w:numPr>
      </w:pPr>
      <w:r>
        <w:rPr>
          <w:rFonts w:hint="cs"/>
          <w:rtl/>
        </w:rPr>
        <w:t>טור</w:t>
      </w:r>
      <w:r w:rsidR="00A82951">
        <w:rPr>
          <w:rFonts w:hint="cs"/>
          <w:rtl/>
        </w:rPr>
        <w:t>-</w:t>
      </w:r>
      <w:r>
        <w:rPr>
          <w:rFonts w:cs="Arial" w:hint="cs"/>
          <w:rtl/>
        </w:rPr>
        <w:t xml:space="preserve"> </w:t>
      </w:r>
      <w:r>
        <w:rPr>
          <w:rFonts w:cs="Arial"/>
          <w:rtl/>
        </w:rPr>
        <w:t>חתמו בראש הגט</w:t>
      </w:r>
      <w:r>
        <w:rPr>
          <w:rFonts w:cs="Arial" w:hint="cs"/>
          <w:rtl/>
        </w:rPr>
        <w:t>,</w:t>
      </w:r>
      <w:r>
        <w:rPr>
          <w:rFonts w:cs="Arial"/>
          <w:rtl/>
        </w:rPr>
        <w:t xml:space="preserve"> או מצדו בימינו או בשמאלו</w:t>
      </w:r>
      <w:r>
        <w:rPr>
          <w:rFonts w:cs="Arial" w:hint="cs"/>
          <w:rtl/>
        </w:rPr>
        <w:t>,</w:t>
      </w:r>
      <w:r>
        <w:rPr>
          <w:rFonts w:cs="Arial"/>
          <w:rtl/>
        </w:rPr>
        <w:t xml:space="preserve"> או מאחוריו</w:t>
      </w:r>
      <w:r>
        <w:rPr>
          <w:rFonts w:cs="Arial" w:hint="cs"/>
          <w:rtl/>
        </w:rPr>
        <w:t xml:space="preserve"> </w:t>
      </w:r>
      <w:r w:rsidR="00A82951">
        <w:rPr>
          <w:rFonts w:cs="Arial" w:hint="cs"/>
          <w:rtl/>
        </w:rPr>
        <w:t>-</w:t>
      </w:r>
      <w:r>
        <w:rPr>
          <w:rFonts w:cs="Arial"/>
          <w:rtl/>
        </w:rPr>
        <w:t xml:space="preserve"> פסול</w:t>
      </w:r>
      <w:r>
        <w:rPr>
          <w:rFonts w:cs="Arial" w:hint="cs"/>
          <w:rtl/>
        </w:rPr>
        <w:t>,</w:t>
      </w:r>
      <w:r>
        <w:rPr>
          <w:rFonts w:cs="Arial"/>
          <w:rtl/>
        </w:rPr>
        <w:t xml:space="preserve"> אלא למטה דוקא</w:t>
      </w:r>
      <w:r>
        <w:rPr>
          <w:rFonts w:cs="Arial" w:hint="cs"/>
          <w:rtl/>
        </w:rPr>
        <w:t>.</w:t>
      </w:r>
      <w:r>
        <w:rPr>
          <w:rFonts w:cs="Arial"/>
          <w:rtl/>
        </w:rPr>
        <w:t xml:space="preserve"> </w:t>
      </w:r>
      <w:r w:rsidRPr="0018162C">
        <w:rPr>
          <w:rFonts w:hint="cs"/>
          <w:color w:val="E36C0A" w:themeColor="accent6" w:themeShade="BF"/>
          <w:rtl/>
        </w:rPr>
        <w:t>(וכ"פ בשו"ע)</w:t>
      </w:r>
    </w:p>
    <w:p w14:paraId="094A2272"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C181879" w14:textId="762437D1" w:rsidR="00FA2119" w:rsidRDefault="00FA2119" w:rsidP="00FA2119">
      <w:pPr>
        <w:rPr>
          <w:rtl/>
        </w:rPr>
      </w:pPr>
      <w:r>
        <w:rPr>
          <w:rFonts w:cs="Arial" w:hint="cs"/>
          <w:rtl/>
        </w:rPr>
        <w:t>חתמו</w:t>
      </w:r>
      <w:r>
        <w:rPr>
          <w:rFonts w:cs="Arial"/>
          <w:rtl/>
        </w:rPr>
        <w:t xml:space="preserve"> </w:t>
      </w:r>
      <w:r>
        <w:rPr>
          <w:rFonts w:cs="Arial" w:hint="cs"/>
          <w:rtl/>
        </w:rPr>
        <w:t>בראש</w:t>
      </w:r>
      <w:r>
        <w:rPr>
          <w:rFonts w:cs="Arial"/>
          <w:rtl/>
        </w:rPr>
        <w:t xml:space="preserve"> </w:t>
      </w:r>
      <w:r>
        <w:rPr>
          <w:rFonts w:cs="Arial" w:hint="cs"/>
          <w:rtl/>
        </w:rPr>
        <w:t>הגט</w:t>
      </w:r>
      <w:r>
        <w:rPr>
          <w:rFonts w:cs="Arial"/>
          <w:rtl/>
        </w:rPr>
        <w:t xml:space="preserve"> </w:t>
      </w:r>
      <w:r>
        <w:rPr>
          <w:rFonts w:cs="Arial" w:hint="cs"/>
          <w:rtl/>
        </w:rPr>
        <w:t>או</w:t>
      </w:r>
      <w:r>
        <w:rPr>
          <w:rFonts w:cs="Arial"/>
          <w:rtl/>
        </w:rPr>
        <w:t xml:space="preserve"> </w:t>
      </w:r>
      <w:r>
        <w:rPr>
          <w:rFonts w:cs="Arial" w:hint="cs"/>
          <w:rtl/>
        </w:rPr>
        <w:t>מצידו</w:t>
      </w:r>
      <w:r>
        <w:rPr>
          <w:rFonts w:cs="Arial"/>
          <w:rtl/>
        </w:rPr>
        <w:t xml:space="preserve"> </w:t>
      </w:r>
      <w:r>
        <w:rPr>
          <w:rFonts w:cs="Arial" w:hint="cs"/>
          <w:rtl/>
        </w:rPr>
        <w:t>או</w:t>
      </w:r>
      <w:r>
        <w:rPr>
          <w:rFonts w:cs="Arial"/>
          <w:rtl/>
        </w:rPr>
        <w:t xml:space="preserve"> </w:t>
      </w:r>
      <w:r>
        <w:rPr>
          <w:rFonts w:cs="Arial" w:hint="cs"/>
          <w:rtl/>
        </w:rPr>
        <w:t>בימינו</w:t>
      </w:r>
      <w:r>
        <w:rPr>
          <w:rFonts w:cs="Arial"/>
          <w:rtl/>
        </w:rPr>
        <w:t xml:space="preserve"> </w:t>
      </w:r>
      <w:r>
        <w:rPr>
          <w:rFonts w:cs="Arial" w:hint="cs"/>
          <w:rtl/>
        </w:rPr>
        <w:t>או</w:t>
      </w:r>
      <w:r>
        <w:rPr>
          <w:rFonts w:cs="Arial"/>
          <w:rtl/>
        </w:rPr>
        <w:t xml:space="preserve"> </w:t>
      </w:r>
      <w:r>
        <w:rPr>
          <w:rFonts w:cs="Arial" w:hint="cs"/>
          <w:rtl/>
        </w:rPr>
        <w:t>בשמאלו</w:t>
      </w:r>
      <w:r>
        <w:rPr>
          <w:rFonts w:cs="Arial"/>
          <w:rtl/>
        </w:rPr>
        <w:t xml:space="preserve"> </w:t>
      </w:r>
      <w:r>
        <w:rPr>
          <w:rFonts w:cs="Arial" w:hint="cs"/>
          <w:rtl/>
        </w:rPr>
        <w:t>או</w:t>
      </w:r>
      <w:r>
        <w:rPr>
          <w:rFonts w:cs="Arial"/>
          <w:rtl/>
        </w:rPr>
        <w:t xml:space="preserve"> </w:t>
      </w:r>
      <w:r>
        <w:rPr>
          <w:rFonts w:cs="Arial" w:hint="cs"/>
          <w:rtl/>
        </w:rPr>
        <w:t>מאחריו</w:t>
      </w:r>
      <w:r>
        <w:rPr>
          <w:rFonts w:cs="Arial"/>
          <w:rtl/>
        </w:rPr>
        <w:t xml:space="preserve">, </w:t>
      </w:r>
      <w:r>
        <w:rPr>
          <w:rFonts w:cs="Arial" w:hint="cs"/>
          <w:rtl/>
        </w:rPr>
        <w:t>פסול</w:t>
      </w:r>
      <w:r>
        <w:rPr>
          <w:rFonts w:cs="Arial"/>
          <w:rtl/>
        </w:rPr>
        <w:t xml:space="preserve">. </w:t>
      </w:r>
      <w:r w:rsidR="000113A0">
        <w:rPr>
          <w:rFonts w:cs="Arial" w:hint="cs"/>
          <w:rtl/>
        </w:rPr>
        <w:t xml:space="preserve"> </w:t>
      </w:r>
    </w:p>
    <w:p w14:paraId="436FC87A" w14:textId="77777777" w:rsidR="00FA2119" w:rsidRDefault="00FA2119" w:rsidP="00FA2119">
      <w:pPr>
        <w:rPr>
          <w:rtl/>
        </w:rPr>
      </w:pPr>
    </w:p>
    <w:p w14:paraId="326AC72A" w14:textId="77777777" w:rsidR="00FA2119" w:rsidRDefault="00FA2119" w:rsidP="00FA2119">
      <w:pPr>
        <w:pStyle w:val="2"/>
        <w:rPr>
          <w:rtl/>
        </w:rPr>
      </w:pPr>
      <w:r>
        <w:rPr>
          <w:rFonts w:hint="cs"/>
          <w:rtl/>
        </w:rPr>
        <w:t>סעיף</w:t>
      </w:r>
      <w:r>
        <w:rPr>
          <w:rtl/>
        </w:rPr>
        <w:t xml:space="preserve"> </w:t>
      </w:r>
      <w:r>
        <w:rPr>
          <w:rFonts w:hint="cs"/>
          <w:rtl/>
        </w:rPr>
        <w:t>ה: חתימה הפוכה.</w:t>
      </w:r>
    </w:p>
    <w:p w14:paraId="45675DBD" w14:textId="4F339AC1" w:rsidR="00FA2119" w:rsidRPr="000E0FC6" w:rsidRDefault="00FA2119" w:rsidP="00FA2119">
      <w:pPr>
        <w:rPr>
          <w:rtl/>
        </w:rPr>
      </w:pPr>
      <w:r>
        <w:rPr>
          <w:rFonts w:cs="Arial" w:hint="cs"/>
          <w:b/>
          <w:bCs/>
          <w:rtl/>
        </w:rPr>
        <w:t>גיטין</w:t>
      </w:r>
      <w:r>
        <w:rPr>
          <w:rFonts w:cs="Arial"/>
          <w:b/>
          <w:bCs/>
          <w:rtl/>
        </w:rPr>
        <w:t xml:space="preserve"> </w:t>
      </w:r>
      <w:r>
        <w:rPr>
          <w:rFonts w:cs="Arial"/>
          <w:b/>
          <w:bCs/>
          <w:szCs w:val="16"/>
          <w:rtl/>
        </w:rPr>
        <w:t>(פ'</w:t>
      </w:r>
      <w:r>
        <w:rPr>
          <w:rFonts w:cs="Arial" w:hint="cs"/>
          <w:b/>
          <w:bCs/>
          <w:szCs w:val="16"/>
          <w:rtl/>
        </w:rPr>
        <w:t xml:space="preserve"> המגרש</w:t>
      </w:r>
      <w:r>
        <w:rPr>
          <w:rFonts w:cs="Arial"/>
          <w:b/>
          <w:bCs/>
          <w:szCs w:val="16"/>
          <w:rtl/>
        </w:rPr>
        <w:t xml:space="preserve">) </w:t>
      </w:r>
      <w:r>
        <w:rPr>
          <w:rFonts w:cs="Arial" w:hint="cs"/>
          <w:b/>
          <w:bCs/>
          <w:rtl/>
        </w:rPr>
        <w:t>פז</w:t>
      </w:r>
      <w:r>
        <w:rPr>
          <w:rFonts w:cs="Arial"/>
          <w:b/>
          <w:bCs/>
          <w:rtl/>
        </w:rPr>
        <w:t xml:space="preserve"> ע"</w:t>
      </w:r>
      <w:r>
        <w:rPr>
          <w:rFonts w:cs="Arial" w:hint="cs"/>
          <w:b/>
          <w:bCs/>
          <w:rtl/>
        </w:rPr>
        <w:t>ב</w:t>
      </w:r>
      <w:r>
        <w:rPr>
          <w:rFonts w:cs="Arial"/>
          <w:b/>
          <w:bCs/>
          <w:rtl/>
        </w:rPr>
        <w:t>:</w:t>
      </w:r>
      <w:r>
        <w:rPr>
          <w:rFonts w:cs="Arial" w:hint="cs"/>
          <w:b/>
          <w:bCs/>
          <w:rtl/>
        </w:rPr>
        <w:t xml:space="preserve"> </w:t>
      </w:r>
      <w:r w:rsidRPr="001C6A45">
        <w:rPr>
          <w:rFonts w:cs="Arial" w:hint="cs"/>
          <w:u w:val="double"/>
          <w:rtl/>
        </w:rPr>
        <w:t>מתני'</w:t>
      </w:r>
      <w:r>
        <w:rPr>
          <w:rFonts w:cs="Arial" w:hint="cs"/>
          <w:rtl/>
        </w:rPr>
        <w:t>:...</w:t>
      </w:r>
      <w:r w:rsidRPr="000E0FC6">
        <w:rPr>
          <w:rtl/>
        </w:rPr>
        <w:t xml:space="preserve"> </w:t>
      </w:r>
      <w:r w:rsidRPr="000E0FC6">
        <w:rPr>
          <w:rFonts w:cs="Arial"/>
          <w:rtl/>
        </w:rPr>
        <w:t>הקיף</w:t>
      </w:r>
      <w:r>
        <w:rPr>
          <w:rStyle w:val="a7"/>
          <w:rFonts w:cs="Arial"/>
          <w:rtl/>
        </w:rPr>
        <w:footnoteReference w:id="1197"/>
      </w:r>
      <w:r w:rsidRPr="000E0FC6">
        <w:rPr>
          <w:rFonts w:cs="Arial"/>
          <w:rtl/>
        </w:rPr>
        <w:t xml:space="preserve"> ראשו של זה בצד ראשו של זה והעדים באמצע </w:t>
      </w:r>
      <w:r w:rsidR="00A82951">
        <w:rPr>
          <w:rFonts w:cs="Arial"/>
          <w:rtl/>
        </w:rPr>
        <w:t>-</w:t>
      </w:r>
      <w:r w:rsidRPr="000E0FC6">
        <w:rPr>
          <w:rFonts w:cs="Arial"/>
          <w:rtl/>
        </w:rPr>
        <w:t xml:space="preserve"> שניהם פסולין</w:t>
      </w:r>
      <w:r>
        <w:rPr>
          <w:rStyle w:val="a7"/>
          <w:rFonts w:cs="Arial"/>
          <w:rtl/>
        </w:rPr>
        <w:footnoteReference w:id="1198"/>
      </w:r>
      <w:r>
        <w:rPr>
          <w:rFonts w:cs="Arial" w:hint="cs"/>
          <w:rtl/>
        </w:rPr>
        <w:t>.</w:t>
      </w:r>
      <w:r w:rsidRPr="000E0FC6">
        <w:rPr>
          <w:rFonts w:cs="Arial"/>
          <w:rtl/>
        </w:rPr>
        <w:t xml:space="preserve"> סופו של זה בצד סופו של זה והעדים באמצע, את שהעדים נקרין עמו</w:t>
      </w:r>
      <w:r>
        <w:rPr>
          <w:rStyle w:val="a7"/>
          <w:rFonts w:cs="Arial"/>
          <w:rtl/>
        </w:rPr>
        <w:footnoteReference w:id="1199"/>
      </w:r>
      <w:r w:rsidRPr="000E0FC6">
        <w:rPr>
          <w:rFonts w:cs="Arial"/>
          <w:rtl/>
        </w:rPr>
        <w:t xml:space="preserve"> </w:t>
      </w:r>
      <w:r w:rsidR="00A82951">
        <w:rPr>
          <w:rFonts w:cs="Arial"/>
          <w:rtl/>
        </w:rPr>
        <w:t>-</w:t>
      </w:r>
      <w:r w:rsidRPr="000E0FC6">
        <w:rPr>
          <w:rFonts w:cs="Arial"/>
          <w:rtl/>
        </w:rPr>
        <w:t xml:space="preserve"> כשר</w:t>
      </w:r>
      <w:r>
        <w:rPr>
          <w:rFonts w:cs="Arial" w:hint="cs"/>
          <w:rtl/>
        </w:rPr>
        <w:t>.</w:t>
      </w:r>
      <w:r w:rsidRPr="000E0FC6">
        <w:rPr>
          <w:rFonts w:cs="Arial"/>
          <w:rtl/>
        </w:rPr>
        <w:t xml:space="preserve"> ראשו של זה בצד סופו של זה והעדים באמצע, את שהעדים נקרין בסופו</w:t>
      </w:r>
      <w:r>
        <w:rPr>
          <w:rStyle w:val="a7"/>
          <w:rFonts w:cs="Arial"/>
          <w:rtl/>
        </w:rPr>
        <w:footnoteReference w:id="1200"/>
      </w:r>
      <w:r w:rsidRPr="000E0FC6">
        <w:rPr>
          <w:rFonts w:cs="Arial"/>
          <w:rtl/>
        </w:rPr>
        <w:t xml:space="preserve"> </w:t>
      </w:r>
      <w:r w:rsidR="00A82951">
        <w:rPr>
          <w:rFonts w:cs="Arial"/>
          <w:rtl/>
        </w:rPr>
        <w:t>-</w:t>
      </w:r>
      <w:r w:rsidRPr="000E0FC6">
        <w:rPr>
          <w:rFonts w:cs="Arial"/>
          <w:rtl/>
        </w:rPr>
        <w:t xml:space="preserve"> כשר.</w:t>
      </w:r>
    </w:p>
    <w:p w14:paraId="29840071" w14:textId="77777777" w:rsidR="00FA2119" w:rsidRPr="000E0FC6" w:rsidRDefault="00FA2119" w:rsidP="00FA2119">
      <w:pPr>
        <w:rPr>
          <w:u w:val="single"/>
          <w:rtl/>
        </w:rPr>
      </w:pPr>
      <w:r w:rsidRPr="000E0FC6">
        <w:rPr>
          <w:rFonts w:hint="cs"/>
          <w:u w:val="single"/>
          <w:rtl/>
        </w:rPr>
        <w:t>חתימה הפוכה:</w:t>
      </w:r>
    </w:p>
    <w:p w14:paraId="4811AE4A" w14:textId="671836C8" w:rsidR="00FA2119" w:rsidRPr="00460B36" w:rsidRDefault="00FA2119" w:rsidP="00FA2119">
      <w:pPr>
        <w:pStyle w:val="ab"/>
        <w:numPr>
          <w:ilvl w:val="0"/>
          <w:numId w:val="80"/>
        </w:numPr>
      </w:pPr>
      <w:r>
        <w:rPr>
          <w:rFonts w:hint="cs"/>
          <w:rtl/>
        </w:rPr>
        <w:t>טור</w:t>
      </w:r>
      <w:r w:rsidR="00A82951">
        <w:rPr>
          <w:rFonts w:hint="cs"/>
          <w:rtl/>
        </w:rPr>
        <w:t>-</w:t>
      </w:r>
      <w:r>
        <w:rPr>
          <w:rFonts w:cs="Arial" w:hint="cs"/>
          <w:rtl/>
        </w:rPr>
        <w:t xml:space="preserve"> </w:t>
      </w:r>
      <w:r>
        <w:rPr>
          <w:rFonts w:cs="Arial"/>
          <w:rtl/>
        </w:rPr>
        <w:t>ואף כשחתמו למטה צריך שיהא גב החתימה כלפי הגט</w:t>
      </w:r>
      <w:r w:rsidR="00BF132C">
        <w:rPr>
          <w:rFonts w:cs="Arial" w:hint="cs"/>
          <w:rtl/>
        </w:rPr>
        <w:t>,</w:t>
      </w:r>
      <w:r>
        <w:rPr>
          <w:rFonts w:cs="Arial"/>
          <w:rtl/>
        </w:rPr>
        <w:t xml:space="preserve"> ולא תהיה רגלי החתימה כלפי הגט</w:t>
      </w:r>
      <w:r>
        <w:rPr>
          <w:rFonts w:cs="Arial" w:hint="cs"/>
          <w:rtl/>
        </w:rPr>
        <w:t>.</w:t>
      </w:r>
      <w:r>
        <w:rPr>
          <w:rFonts w:cs="Arial"/>
          <w:rtl/>
        </w:rPr>
        <w:t xml:space="preserve"> לפיכך</w:t>
      </w:r>
      <w:r w:rsidR="00BF132C">
        <w:rPr>
          <w:rFonts w:cs="Arial" w:hint="cs"/>
          <w:rtl/>
        </w:rPr>
        <w:t>,</w:t>
      </w:r>
      <w:r>
        <w:rPr>
          <w:rFonts w:cs="Arial"/>
          <w:rtl/>
        </w:rPr>
        <w:t xml:space="preserve"> כתב ב' גיטין באורך הדף</w:t>
      </w:r>
      <w:r>
        <w:rPr>
          <w:rFonts w:cs="Arial" w:hint="cs"/>
          <w:rtl/>
        </w:rPr>
        <w:t>,</w:t>
      </w:r>
      <w:r>
        <w:rPr>
          <w:rFonts w:cs="Arial"/>
          <w:rtl/>
        </w:rPr>
        <w:t xml:space="preserve"> ראשו של זה בצד ראשו של זה</w:t>
      </w:r>
      <w:r>
        <w:rPr>
          <w:rFonts w:cs="Arial" w:hint="cs"/>
          <w:rtl/>
        </w:rPr>
        <w:t>,</w:t>
      </w:r>
      <w:r>
        <w:rPr>
          <w:rFonts w:cs="Arial"/>
          <w:rtl/>
        </w:rPr>
        <w:t xml:space="preserve"> וחתמו באמצע </w:t>
      </w:r>
      <w:r w:rsidR="00A82951">
        <w:rPr>
          <w:rFonts w:cs="Arial" w:hint="cs"/>
          <w:rtl/>
        </w:rPr>
        <w:t>-</w:t>
      </w:r>
      <w:r>
        <w:rPr>
          <w:rFonts w:cs="Arial" w:hint="cs"/>
          <w:rtl/>
        </w:rPr>
        <w:t xml:space="preserve"> </w:t>
      </w:r>
      <w:r>
        <w:rPr>
          <w:rFonts w:cs="Arial"/>
          <w:rtl/>
        </w:rPr>
        <w:t>שניהם פסולים</w:t>
      </w:r>
      <w:r>
        <w:rPr>
          <w:rFonts w:cs="Arial" w:hint="cs"/>
          <w:rtl/>
        </w:rPr>
        <w:t>,</w:t>
      </w:r>
      <w:r>
        <w:rPr>
          <w:rFonts w:cs="Arial"/>
          <w:rtl/>
        </w:rPr>
        <w:t xml:space="preserve"> שהרי הם כב' ראשי הגיטין</w:t>
      </w:r>
      <w:r>
        <w:rPr>
          <w:rFonts w:cs="Arial" w:hint="cs"/>
          <w:rtl/>
        </w:rPr>
        <w:t>.</w:t>
      </w:r>
      <w:r>
        <w:rPr>
          <w:rFonts w:cs="Arial"/>
          <w:rtl/>
        </w:rPr>
        <w:t xml:space="preserve"> ואם כתבן זה תחת זה כסדר</w:t>
      </w:r>
      <w:r>
        <w:rPr>
          <w:rFonts w:cs="Arial" w:hint="cs"/>
          <w:rtl/>
        </w:rPr>
        <w:t>,</w:t>
      </w:r>
      <w:r>
        <w:rPr>
          <w:rFonts w:cs="Arial"/>
          <w:rtl/>
        </w:rPr>
        <w:t xml:space="preserve"> והעדים בין שניהם </w:t>
      </w:r>
      <w:r w:rsidR="00A82951">
        <w:rPr>
          <w:rFonts w:cs="Arial" w:hint="cs"/>
          <w:rtl/>
        </w:rPr>
        <w:t>-</w:t>
      </w:r>
      <w:r>
        <w:rPr>
          <w:rFonts w:cs="Arial" w:hint="cs"/>
          <w:rtl/>
        </w:rPr>
        <w:t xml:space="preserve"> </w:t>
      </w:r>
      <w:r>
        <w:rPr>
          <w:rFonts w:cs="Arial"/>
          <w:rtl/>
        </w:rPr>
        <w:t>העליון כשר</w:t>
      </w:r>
      <w:r>
        <w:rPr>
          <w:rFonts w:cs="Arial" w:hint="cs"/>
          <w:rtl/>
        </w:rPr>
        <w:t>.</w:t>
      </w:r>
      <w:r>
        <w:rPr>
          <w:rFonts w:cs="Arial"/>
          <w:rtl/>
        </w:rPr>
        <w:t xml:space="preserve"> ואם כתב סופו של זה בצד סופו של זה והעדים באמצע</w:t>
      </w:r>
      <w:r>
        <w:rPr>
          <w:rFonts w:cs="Arial" w:hint="cs"/>
          <w:rtl/>
        </w:rPr>
        <w:t>,</w:t>
      </w:r>
      <w:r>
        <w:rPr>
          <w:rFonts w:cs="Arial"/>
          <w:rtl/>
        </w:rPr>
        <w:t xml:space="preserve"> את שהעדים נקראים עמו שתבא גב חתימתן כלפי כתב </w:t>
      </w:r>
      <w:r w:rsidR="00A82951">
        <w:rPr>
          <w:rFonts w:cs="Arial" w:hint="cs"/>
          <w:rtl/>
        </w:rPr>
        <w:t>-</w:t>
      </w:r>
      <w:r>
        <w:rPr>
          <w:rFonts w:cs="Arial" w:hint="cs"/>
          <w:rtl/>
        </w:rPr>
        <w:t xml:space="preserve"> </w:t>
      </w:r>
      <w:r>
        <w:rPr>
          <w:rFonts w:cs="Arial"/>
          <w:rtl/>
        </w:rPr>
        <w:t>הגט כשר</w:t>
      </w:r>
      <w:r>
        <w:rPr>
          <w:rFonts w:cs="Arial" w:hint="cs"/>
          <w:rtl/>
        </w:rPr>
        <w:t>.</w:t>
      </w:r>
      <w:r w:rsidRPr="005D0F9C">
        <w:rPr>
          <w:rFonts w:cs="Arial" w:hint="cs"/>
          <w:color w:val="E36C0A" w:themeColor="accent6" w:themeShade="BF"/>
          <w:rtl/>
        </w:rPr>
        <w:t xml:space="preserve"> </w:t>
      </w:r>
      <w:r w:rsidRPr="001C2ACE">
        <w:rPr>
          <w:rFonts w:cs="Arial" w:hint="cs"/>
          <w:color w:val="E36C0A" w:themeColor="accent6" w:themeShade="BF"/>
          <w:rtl/>
        </w:rPr>
        <w:t>(וכ"פ בשו"ע</w:t>
      </w:r>
      <w:r>
        <w:rPr>
          <w:rFonts w:cs="Arial" w:hint="cs"/>
          <w:color w:val="E36C0A" w:themeColor="accent6" w:themeShade="BF"/>
          <w:rtl/>
        </w:rPr>
        <w:t>)</w:t>
      </w:r>
    </w:p>
    <w:p w14:paraId="69583269"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792C4B3" w14:textId="77777777" w:rsidR="00FA2119" w:rsidRDefault="00FA2119" w:rsidP="00FA2119">
      <w:pPr>
        <w:rPr>
          <w:rtl/>
        </w:rPr>
      </w:pPr>
      <w:r>
        <w:rPr>
          <w:rFonts w:cs="Arial" w:hint="cs"/>
          <w:rtl/>
        </w:rPr>
        <w:lastRenderedPageBreak/>
        <w:t>אף</w:t>
      </w:r>
      <w:r>
        <w:rPr>
          <w:rFonts w:cs="Arial"/>
          <w:rtl/>
        </w:rPr>
        <w:t xml:space="preserve"> </w:t>
      </w:r>
      <w:r>
        <w:rPr>
          <w:rFonts w:cs="Arial" w:hint="cs"/>
          <w:rtl/>
        </w:rPr>
        <w:t>כשחותמין</w:t>
      </w:r>
      <w:r>
        <w:rPr>
          <w:rFonts w:cs="Arial"/>
          <w:rtl/>
        </w:rPr>
        <w:t xml:space="preserve"> </w:t>
      </w:r>
      <w:r>
        <w:rPr>
          <w:rFonts w:cs="Arial" w:hint="cs"/>
          <w:rtl/>
        </w:rPr>
        <w:t>למטה</w:t>
      </w:r>
      <w:r>
        <w:rPr>
          <w:rFonts w:cs="Arial"/>
          <w:rtl/>
        </w:rPr>
        <w:t xml:space="preserve">, </w:t>
      </w:r>
      <w:r>
        <w:rPr>
          <w:rFonts w:cs="Arial" w:hint="cs"/>
          <w:rtl/>
        </w:rPr>
        <w:t>צריך</w:t>
      </w:r>
      <w:r>
        <w:rPr>
          <w:rFonts w:cs="Arial"/>
          <w:rtl/>
        </w:rPr>
        <w:t xml:space="preserve"> </w:t>
      </w:r>
      <w:r>
        <w:rPr>
          <w:rFonts w:cs="Arial" w:hint="cs"/>
          <w:rtl/>
        </w:rPr>
        <w:t>שיהיה</w:t>
      </w:r>
      <w:r>
        <w:rPr>
          <w:rFonts w:cs="Arial"/>
          <w:rtl/>
        </w:rPr>
        <w:t xml:space="preserve"> </w:t>
      </w:r>
      <w:r>
        <w:rPr>
          <w:rFonts w:cs="Arial" w:hint="cs"/>
          <w:rtl/>
        </w:rPr>
        <w:t>גב</w:t>
      </w:r>
      <w:r>
        <w:rPr>
          <w:rFonts w:cs="Arial"/>
          <w:rtl/>
        </w:rPr>
        <w:t xml:space="preserve"> </w:t>
      </w:r>
      <w:r>
        <w:rPr>
          <w:rFonts w:cs="Arial" w:hint="cs"/>
          <w:rtl/>
        </w:rPr>
        <w:t>החתימה</w:t>
      </w:r>
      <w:r>
        <w:rPr>
          <w:rFonts w:cs="Arial"/>
          <w:rtl/>
        </w:rPr>
        <w:t xml:space="preserve"> </w:t>
      </w:r>
      <w:r>
        <w:rPr>
          <w:rFonts w:cs="Arial" w:hint="cs"/>
          <w:rtl/>
        </w:rPr>
        <w:t>כלפי</w:t>
      </w:r>
      <w:r>
        <w:rPr>
          <w:rFonts w:cs="Arial"/>
          <w:rtl/>
        </w:rPr>
        <w:t xml:space="preserve"> </w:t>
      </w:r>
      <w:r>
        <w:rPr>
          <w:rFonts w:cs="Arial" w:hint="cs"/>
          <w:rtl/>
        </w:rPr>
        <w:t>הגט</w:t>
      </w:r>
      <w:r>
        <w:rPr>
          <w:rFonts w:cs="Arial"/>
          <w:rtl/>
        </w:rPr>
        <w:t xml:space="preserve">. </w:t>
      </w:r>
      <w:r>
        <w:rPr>
          <w:rFonts w:cs="Arial" w:hint="cs"/>
          <w:rtl/>
        </w:rPr>
        <w:t>ואם</w:t>
      </w:r>
      <w:r>
        <w:rPr>
          <w:rFonts w:cs="Arial"/>
          <w:rtl/>
        </w:rPr>
        <w:t xml:space="preserve"> </w:t>
      </w:r>
      <w:r>
        <w:rPr>
          <w:rFonts w:cs="Arial" w:hint="cs"/>
          <w:rtl/>
        </w:rPr>
        <w:t>היו</w:t>
      </w:r>
      <w:r>
        <w:rPr>
          <w:rFonts w:cs="Arial"/>
          <w:rtl/>
        </w:rPr>
        <w:t xml:space="preserve"> </w:t>
      </w:r>
      <w:r>
        <w:rPr>
          <w:rFonts w:cs="Arial" w:hint="cs"/>
          <w:rtl/>
        </w:rPr>
        <w:t>רגלי</w:t>
      </w:r>
      <w:r>
        <w:rPr>
          <w:rFonts w:cs="Arial"/>
          <w:rtl/>
        </w:rPr>
        <w:t xml:space="preserve"> </w:t>
      </w:r>
      <w:r>
        <w:rPr>
          <w:rFonts w:cs="Arial" w:hint="cs"/>
          <w:rtl/>
        </w:rPr>
        <w:t>החתימה</w:t>
      </w:r>
      <w:r>
        <w:rPr>
          <w:rFonts w:cs="Arial"/>
          <w:rtl/>
        </w:rPr>
        <w:t xml:space="preserve"> </w:t>
      </w:r>
      <w:r>
        <w:rPr>
          <w:rFonts w:cs="Arial" w:hint="cs"/>
          <w:rtl/>
        </w:rPr>
        <w:t>כלפי</w:t>
      </w:r>
      <w:r>
        <w:rPr>
          <w:rFonts w:cs="Arial"/>
          <w:rtl/>
        </w:rPr>
        <w:t xml:space="preserve"> </w:t>
      </w:r>
      <w:r>
        <w:rPr>
          <w:rFonts w:cs="Arial" w:hint="cs"/>
          <w:rtl/>
        </w:rPr>
        <w:t>הגט</w:t>
      </w:r>
      <w:r>
        <w:rPr>
          <w:rFonts w:cs="Arial"/>
          <w:rtl/>
        </w:rPr>
        <w:t xml:space="preserve">, </w:t>
      </w:r>
      <w:r>
        <w:rPr>
          <w:rFonts w:cs="Arial" w:hint="cs"/>
          <w:rtl/>
        </w:rPr>
        <w:t>פסול</w:t>
      </w:r>
      <w:r>
        <w:rPr>
          <w:rFonts w:cs="Arial"/>
          <w:rtl/>
        </w:rPr>
        <w:t xml:space="preserve">. </w:t>
      </w:r>
    </w:p>
    <w:p w14:paraId="54911012" w14:textId="77777777" w:rsidR="00FA2119" w:rsidRDefault="00FA2119" w:rsidP="00FA2119">
      <w:pPr>
        <w:rPr>
          <w:rtl/>
        </w:rPr>
      </w:pPr>
    </w:p>
    <w:p w14:paraId="5C2264EB" w14:textId="051A1F09" w:rsidR="00FA2119" w:rsidRDefault="00FA2119" w:rsidP="00FA2119">
      <w:pPr>
        <w:pStyle w:val="2"/>
        <w:rPr>
          <w:rtl/>
        </w:rPr>
      </w:pPr>
      <w:r>
        <w:rPr>
          <w:rFonts w:hint="cs"/>
          <w:rtl/>
        </w:rPr>
        <w:t>סעיף</w:t>
      </w:r>
      <w:r>
        <w:rPr>
          <w:rtl/>
        </w:rPr>
        <w:t xml:space="preserve"> </w:t>
      </w:r>
      <w:r>
        <w:rPr>
          <w:rFonts w:hint="cs"/>
          <w:rtl/>
        </w:rPr>
        <w:t>ו: גיטין כנ"ל</w:t>
      </w:r>
      <w:r>
        <w:rPr>
          <w:rFonts w:hint="cs"/>
          <w:sz w:val="18"/>
          <w:szCs w:val="18"/>
          <w:rtl/>
        </w:rPr>
        <w:t xml:space="preserve"> (סע' א</w:t>
      </w:r>
      <w:r w:rsidR="00A82951">
        <w:rPr>
          <w:rFonts w:hint="cs"/>
          <w:sz w:val="18"/>
          <w:szCs w:val="18"/>
          <w:rtl/>
        </w:rPr>
        <w:t>-</w:t>
      </w:r>
      <w:r>
        <w:rPr>
          <w:rFonts w:hint="cs"/>
          <w:sz w:val="18"/>
          <w:szCs w:val="18"/>
          <w:rtl/>
        </w:rPr>
        <w:t>ה)</w:t>
      </w:r>
      <w:r>
        <w:rPr>
          <w:rFonts w:hint="cs"/>
          <w:rtl/>
        </w:rPr>
        <w:t xml:space="preserve"> שניתנו בעדי מסירה.</w:t>
      </w:r>
    </w:p>
    <w:p w14:paraId="2E86782B" w14:textId="7273ACE8" w:rsidR="00FA2119" w:rsidRPr="00460B36" w:rsidRDefault="00FA2119" w:rsidP="00FA2119">
      <w:pPr>
        <w:rPr>
          <w:u w:val="single"/>
          <w:rtl/>
        </w:rPr>
      </w:pPr>
      <w:r w:rsidRPr="005D0F9C">
        <w:rPr>
          <w:rFonts w:hint="cs"/>
          <w:u w:val="single"/>
          <w:rtl/>
        </w:rPr>
        <w:t xml:space="preserve">גיטין כנ"ל </w:t>
      </w:r>
      <w:r w:rsidRPr="005D0F9C">
        <w:rPr>
          <w:rFonts w:hint="cs"/>
          <w:sz w:val="16"/>
          <w:szCs w:val="16"/>
          <w:u w:val="single"/>
          <w:rtl/>
        </w:rPr>
        <w:t>(סע' א</w:t>
      </w:r>
      <w:r w:rsidR="00A82951">
        <w:rPr>
          <w:rFonts w:hint="cs"/>
          <w:sz w:val="16"/>
          <w:szCs w:val="16"/>
          <w:u w:val="single"/>
          <w:rtl/>
        </w:rPr>
        <w:t>-</w:t>
      </w:r>
      <w:r w:rsidRPr="005D0F9C">
        <w:rPr>
          <w:rFonts w:hint="cs"/>
          <w:sz w:val="16"/>
          <w:szCs w:val="16"/>
          <w:u w:val="single"/>
          <w:rtl/>
        </w:rPr>
        <w:t>ה)</w:t>
      </w:r>
      <w:r w:rsidRPr="005D0F9C">
        <w:rPr>
          <w:rFonts w:hint="cs"/>
          <w:u w:val="single"/>
          <w:rtl/>
        </w:rPr>
        <w:t xml:space="preserve"> </w:t>
      </w:r>
      <w:r w:rsidRPr="00460B36">
        <w:rPr>
          <w:rFonts w:hint="cs"/>
          <w:u w:val="single"/>
          <w:rtl/>
        </w:rPr>
        <w:t>שניתנו בעדי מסירה:</w:t>
      </w:r>
    </w:p>
    <w:p w14:paraId="77BCD991" w14:textId="27FE16A1" w:rsidR="00FA2119" w:rsidRPr="00D65518" w:rsidRDefault="00FA2119" w:rsidP="00FA2119">
      <w:pPr>
        <w:pStyle w:val="ab"/>
        <w:numPr>
          <w:ilvl w:val="0"/>
          <w:numId w:val="80"/>
        </w:numPr>
        <w:rPr>
          <w:rtl/>
        </w:rPr>
      </w:pPr>
      <w:r>
        <w:rPr>
          <w:rFonts w:hint="cs"/>
          <w:rtl/>
        </w:rPr>
        <w:t>טור</w:t>
      </w:r>
      <w:r w:rsidR="00A82951">
        <w:rPr>
          <w:rFonts w:hint="cs"/>
          <w:rtl/>
        </w:rPr>
        <w:t>-</w:t>
      </w:r>
      <w:r>
        <w:rPr>
          <w:rFonts w:cs="Arial" w:hint="cs"/>
          <w:rtl/>
        </w:rPr>
        <w:t xml:space="preserve"> </w:t>
      </w:r>
      <w:r>
        <w:rPr>
          <w:rFonts w:cs="Arial"/>
          <w:rtl/>
        </w:rPr>
        <w:t xml:space="preserve">ובכולן כתב הרמב"ם </w:t>
      </w:r>
      <w:r>
        <w:rPr>
          <w:rFonts w:cs="Arial" w:hint="cs"/>
          <w:sz w:val="16"/>
          <w:szCs w:val="16"/>
          <w:rtl/>
        </w:rPr>
        <w:t>(פ"ד הכ"ב)</w:t>
      </w:r>
      <w:r>
        <w:rPr>
          <w:rFonts w:cs="Arial" w:hint="cs"/>
          <w:rtl/>
        </w:rPr>
        <w:t xml:space="preserve"> </w:t>
      </w:r>
      <w:r>
        <w:rPr>
          <w:rFonts w:cs="Arial"/>
          <w:rtl/>
        </w:rPr>
        <w:t>שאם יש כאן עידי מסירה שהוא כשר</w:t>
      </w:r>
      <w:r>
        <w:rPr>
          <w:rStyle w:val="a7"/>
          <w:rFonts w:cs="Arial"/>
          <w:rtl/>
        </w:rPr>
        <w:footnoteReference w:id="1201"/>
      </w:r>
      <w:r>
        <w:rPr>
          <w:rFonts w:cs="Arial" w:hint="cs"/>
          <w:rtl/>
        </w:rPr>
        <w:t xml:space="preserve">. </w:t>
      </w:r>
      <w:r w:rsidRPr="001C2ACE">
        <w:rPr>
          <w:rFonts w:cs="Arial" w:hint="cs"/>
          <w:color w:val="E36C0A" w:themeColor="accent6" w:themeShade="BF"/>
          <w:rtl/>
        </w:rPr>
        <w:t>(וכ"פ בשו"ע</w:t>
      </w:r>
      <w:r>
        <w:rPr>
          <w:rFonts w:cs="Arial" w:hint="cs"/>
          <w:color w:val="E36C0A" w:themeColor="accent6" w:themeShade="BF"/>
          <w:rtl/>
        </w:rPr>
        <w:t>)</w:t>
      </w:r>
    </w:p>
    <w:p w14:paraId="22F3889D"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3CCA91A" w14:textId="77777777" w:rsidR="00FA2119" w:rsidRDefault="00FA2119" w:rsidP="00FA2119">
      <w:pPr>
        <w:rPr>
          <w:rtl/>
        </w:rPr>
      </w:pPr>
      <w:r>
        <w:rPr>
          <w:rFonts w:cs="Arial" w:hint="cs"/>
          <w:rtl/>
        </w:rPr>
        <w:t>כל</w:t>
      </w:r>
      <w:r>
        <w:rPr>
          <w:rFonts w:cs="Arial"/>
          <w:rtl/>
        </w:rPr>
        <w:t xml:space="preserve"> </w:t>
      </w:r>
      <w:r>
        <w:rPr>
          <w:rFonts w:cs="Arial" w:hint="cs"/>
          <w:rtl/>
        </w:rPr>
        <w:t>אלו</w:t>
      </w:r>
      <w:r>
        <w:rPr>
          <w:rFonts w:cs="Arial"/>
          <w:rtl/>
        </w:rPr>
        <w:t xml:space="preserve"> </w:t>
      </w:r>
      <w:r>
        <w:rPr>
          <w:rFonts w:cs="Arial" w:hint="cs"/>
          <w:rtl/>
        </w:rPr>
        <w:t>שאמרנו</w:t>
      </w:r>
      <w:r>
        <w:rPr>
          <w:rFonts w:cs="Arial"/>
          <w:rtl/>
        </w:rPr>
        <w:t xml:space="preserve"> </w:t>
      </w:r>
      <w:r>
        <w:rPr>
          <w:rFonts w:cs="Arial" w:hint="cs"/>
          <w:rtl/>
        </w:rPr>
        <w:t>פסול</w:t>
      </w:r>
      <w:r>
        <w:rPr>
          <w:rFonts w:cs="Arial"/>
          <w:rtl/>
        </w:rPr>
        <w:t xml:space="preserve">, </w:t>
      </w:r>
      <w:r>
        <w:rPr>
          <w:rFonts w:cs="Arial" w:hint="cs"/>
          <w:rtl/>
        </w:rPr>
        <w:t>אם</w:t>
      </w:r>
      <w:r>
        <w:rPr>
          <w:rFonts w:cs="Arial"/>
          <w:rtl/>
        </w:rPr>
        <w:t xml:space="preserve"> </w:t>
      </w:r>
      <w:r>
        <w:rPr>
          <w:rFonts w:cs="Arial" w:hint="cs"/>
          <w:rtl/>
        </w:rPr>
        <w:t>יש</w:t>
      </w:r>
      <w:r>
        <w:rPr>
          <w:rFonts w:cs="Arial"/>
          <w:rtl/>
        </w:rPr>
        <w:t xml:space="preserve"> </w:t>
      </w:r>
      <w:r>
        <w:rPr>
          <w:rFonts w:cs="Arial" w:hint="cs"/>
          <w:rtl/>
        </w:rPr>
        <w:t>כאן</w:t>
      </w:r>
      <w:r>
        <w:rPr>
          <w:rFonts w:cs="Arial"/>
          <w:rtl/>
        </w:rPr>
        <w:t xml:space="preserve"> </w:t>
      </w:r>
      <w:r>
        <w:rPr>
          <w:rFonts w:cs="Arial" w:hint="cs"/>
          <w:rtl/>
        </w:rPr>
        <w:t>עדי</w:t>
      </w:r>
      <w:r>
        <w:rPr>
          <w:rFonts w:cs="Arial"/>
          <w:rtl/>
        </w:rPr>
        <w:t xml:space="preserve"> </w:t>
      </w:r>
      <w:r>
        <w:rPr>
          <w:rFonts w:cs="Arial" w:hint="cs"/>
          <w:rtl/>
        </w:rPr>
        <w:t>מסירה</w:t>
      </w:r>
      <w:r>
        <w:rPr>
          <w:rFonts w:cs="Arial"/>
          <w:rtl/>
        </w:rPr>
        <w:t xml:space="preserve">, </w:t>
      </w:r>
      <w:r>
        <w:rPr>
          <w:rFonts w:cs="Arial" w:hint="cs"/>
          <w:rtl/>
        </w:rPr>
        <w:t>כשר</w:t>
      </w:r>
      <w:r>
        <w:rPr>
          <w:rFonts w:cs="Arial"/>
          <w:rtl/>
        </w:rPr>
        <w:t xml:space="preserve">. </w:t>
      </w:r>
    </w:p>
    <w:p w14:paraId="0D8041E2" w14:textId="77777777" w:rsidR="00FA2119" w:rsidRDefault="00FA2119" w:rsidP="00FA2119">
      <w:pPr>
        <w:rPr>
          <w:rtl/>
        </w:rPr>
      </w:pPr>
    </w:p>
    <w:p w14:paraId="0C6C4343" w14:textId="77777777" w:rsidR="00FA2119" w:rsidRDefault="00FA2119" w:rsidP="00FA2119">
      <w:pPr>
        <w:pStyle w:val="2"/>
        <w:rPr>
          <w:rtl/>
        </w:rPr>
      </w:pPr>
      <w:r>
        <w:rPr>
          <w:rFonts w:hint="cs"/>
          <w:rtl/>
        </w:rPr>
        <w:t>סעיף</w:t>
      </w:r>
      <w:r>
        <w:rPr>
          <w:rtl/>
        </w:rPr>
        <w:t xml:space="preserve"> </w:t>
      </w:r>
      <w:r>
        <w:rPr>
          <w:rFonts w:hint="cs"/>
          <w:rtl/>
        </w:rPr>
        <w:t>ז: חלק מהגט כתוב בדף השני והעדים חתומים שם.</w:t>
      </w:r>
    </w:p>
    <w:p w14:paraId="305D11BF" w14:textId="56C9D515" w:rsidR="00FA2119" w:rsidRPr="000F5259" w:rsidRDefault="00FA2119" w:rsidP="00FA2119">
      <w:pPr>
        <w:rPr>
          <w:rtl/>
        </w:rPr>
      </w:pPr>
      <w:r>
        <w:rPr>
          <w:rFonts w:cs="Arial" w:hint="cs"/>
          <w:b/>
          <w:bCs/>
          <w:rtl/>
        </w:rPr>
        <w:t>גיטין</w:t>
      </w:r>
      <w:r>
        <w:rPr>
          <w:rFonts w:cs="Arial"/>
          <w:b/>
          <w:bCs/>
          <w:rtl/>
        </w:rPr>
        <w:t xml:space="preserve"> </w:t>
      </w:r>
      <w:r>
        <w:rPr>
          <w:rFonts w:cs="Arial"/>
          <w:b/>
          <w:bCs/>
          <w:szCs w:val="16"/>
          <w:rtl/>
        </w:rPr>
        <w:t>(פ'</w:t>
      </w:r>
      <w:r>
        <w:rPr>
          <w:rFonts w:cs="Arial" w:hint="cs"/>
          <w:b/>
          <w:bCs/>
          <w:szCs w:val="16"/>
          <w:rtl/>
        </w:rPr>
        <w:t xml:space="preserve"> המגרש</w:t>
      </w:r>
      <w:r>
        <w:rPr>
          <w:rFonts w:cs="Arial"/>
          <w:b/>
          <w:bCs/>
          <w:szCs w:val="16"/>
          <w:rtl/>
        </w:rPr>
        <w:t xml:space="preserve">) </w:t>
      </w:r>
      <w:r>
        <w:rPr>
          <w:rFonts w:cs="Arial" w:hint="cs"/>
          <w:b/>
          <w:bCs/>
          <w:rtl/>
        </w:rPr>
        <w:t>פז</w:t>
      </w:r>
      <w:r>
        <w:rPr>
          <w:rFonts w:cs="Arial"/>
          <w:b/>
          <w:bCs/>
          <w:rtl/>
        </w:rPr>
        <w:t xml:space="preserve"> ע"</w:t>
      </w:r>
      <w:r>
        <w:rPr>
          <w:rFonts w:cs="Arial" w:hint="cs"/>
          <w:b/>
          <w:bCs/>
          <w:rtl/>
        </w:rPr>
        <w:t>ב</w:t>
      </w:r>
      <w:r>
        <w:rPr>
          <w:rFonts w:cs="Arial"/>
          <w:b/>
          <w:bCs/>
          <w:rtl/>
        </w:rPr>
        <w:t>:</w:t>
      </w:r>
      <w:r>
        <w:rPr>
          <w:rFonts w:cs="Arial" w:hint="cs"/>
          <w:b/>
          <w:bCs/>
          <w:rtl/>
        </w:rPr>
        <w:t xml:space="preserve"> </w:t>
      </w:r>
      <w:r w:rsidRPr="001C6A45">
        <w:rPr>
          <w:rFonts w:cs="Arial" w:hint="cs"/>
          <w:u w:val="double"/>
          <w:rtl/>
        </w:rPr>
        <w:t>מתני'</w:t>
      </w:r>
      <w:r>
        <w:rPr>
          <w:rFonts w:cs="Arial" w:hint="cs"/>
          <w:rtl/>
        </w:rPr>
        <w:t>:</w:t>
      </w:r>
      <w:r w:rsidRPr="000F5259">
        <w:rPr>
          <w:rtl/>
        </w:rPr>
        <w:t xml:space="preserve"> </w:t>
      </w:r>
      <w:r w:rsidRPr="000F5259">
        <w:rPr>
          <w:rFonts w:cs="Arial"/>
          <w:rtl/>
        </w:rPr>
        <w:t xml:space="preserve">שייר מקצת הגט וכתבו בדף השני, והעדים מלמטה </w:t>
      </w:r>
      <w:r w:rsidR="00A82951">
        <w:rPr>
          <w:rFonts w:cs="Arial"/>
          <w:rtl/>
        </w:rPr>
        <w:t>-</w:t>
      </w:r>
      <w:r w:rsidRPr="000F5259">
        <w:rPr>
          <w:rFonts w:cs="Arial"/>
          <w:rtl/>
        </w:rPr>
        <w:t xml:space="preserve"> כשר.</w:t>
      </w:r>
      <w:r>
        <w:rPr>
          <w:rFonts w:hint="cs"/>
          <w:rtl/>
        </w:rPr>
        <w:t>..</w:t>
      </w:r>
      <w:r w:rsidRPr="000F5259">
        <w:rPr>
          <w:rtl/>
        </w:rPr>
        <w:t xml:space="preserve"> </w:t>
      </w:r>
      <w:r>
        <w:rPr>
          <w:rFonts w:hint="cs"/>
          <w:rtl/>
        </w:rPr>
        <w:t xml:space="preserve">    </w:t>
      </w:r>
      <w:r w:rsidRPr="000F5259">
        <w:rPr>
          <w:rFonts w:cs="Arial"/>
          <w:u w:val="double"/>
          <w:rtl/>
        </w:rPr>
        <w:t>גמ'</w:t>
      </w:r>
      <w:r>
        <w:rPr>
          <w:rFonts w:cs="Arial" w:hint="cs"/>
          <w:rtl/>
        </w:rPr>
        <w:t>:</w:t>
      </w:r>
      <w:r w:rsidRPr="000F5259">
        <w:rPr>
          <w:rFonts w:cs="Arial"/>
          <w:rtl/>
        </w:rPr>
        <w:t xml:space="preserve"> וליחוש דלמא הני תרי גיטי הוו</w:t>
      </w:r>
      <w:r>
        <w:rPr>
          <w:rStyle w:val="a7"/>
          <w:rFonts w:cs="Arial"/>
          <w:rtl/>
        </w:rPr>
        <w:footnoteReference w:id="1202"/>
      </w:r>
      <w:r w:rsidRPr="000F5259">
        <w:rPr>
          <w:rFonts w:cs="Arial"/>
          <w:rtl/>
        </w:rPr>
        <w:t>, ואיתרמי ליה זמן דקמא</w:t>
      </w:r>
      <w:r>
        <w:rPr>
          <w:rStyle w:val="a7"/>
          <w:rFonts w:cs="Arial"/>
          <w:rtl/>
        </w:rPr>
        <w:footnoteReference w:id="1203"/>
      </w:r>
      <w:r w:rsidRPr="000F5259">
        <w:rPr>
          <w:rFonts w:cs="Arial"/>
          <w:rtl/>
        </w:rPr>
        <w:t xml:space="preserve"> ועדים דבתרא, וגזייה לזמן דבתרא ועדים דקמא</w:t>
      </w:r>
      <w:r>
        <w:rPr>
          <w:rStyle w:val="a7"/>
          <w:rFonts w:cs="Arial"/>
          <w:rtl/>
        </w:rPr>
        <w:footnoteReference w:id="1204"/>
      </w:r>
      <w:r w:rsidRPr="000F5259">
        <w:rPr>
          <w:rFonts w:cs="Arial"/>
          <w:rtl/>
        </w:rPr>
        <w:t xml:space="preserve">! </w:t>
      </w:r>
      <w:r w:rsidRPr="003C58C2">
        <w:rPr>
          <w:rFonts w:cs="Arial"/>
          <w:u w:val="single"/>
          <w:rtl/>
        </w:rPr>
        <w:t>א"ר אבא אמר רב</w:t>
      </w:r>
      <w:r w:rsidRPr="000F5259">
        <w:rPr>
          <w:rFonts w:cs="Arial"/>
          <w:rtl/>
        </w:rPr>
        <w:t>: כשיש ריוח מלמטה</w:t>
      </w:r>
      <w:r>
        <w:rPr>
          <w:rStyle w:val="a7"/>
          <w:rFonts w:cs="Arial"/>
          <w:rtl/>
        </w:rPr>
        <w:footnoteReference w:id="1205"/>
      </w:r>
      <w:r w:rsidRPr="000F5259">
        <w:rPr>
          <w:rFonts w:cs="Arial"/>
          <w:rtl/>
        </w:rPr>
        <w:t>. ודלמא זמן דבתרא מיגז גזייה</w:t>
      </w:r>
      <w:r>
        <w:rPr>
          <w:rStyle w:val="a7"/>
          <w:rFonts w:cs="Arial"/>
          <w:rtl/>
        </w:rPr>
        <w:footnoteReference w:id="1206"/>
      </w:r>
      <w:r w:rsidRPr="000F5259">
        <w:rPr>
          <w:rFonts w:cs="Arial"/>
          <w:rtl/>
        </w:rPr>
        <w:t>! כדא"ר אבא א"ר: כשיש ריוח מלמטה,</w:t>
      </w:r>
      <w:r w:rsidRPr="000F5259">
        <w:rPr>
          <w:rtl/>
        </w:rPr>
        <w:t xml:space="preserve"> </w:t>
      </w:r>
      <w:r>
        <w:rPr>
          <w:rFonts w:cs="Arial" w:hint="cs"/>
          <w:sz w:val="14"/>
          <w:szCs w:val="14"/>
          <w:rtl/>
        </w:rPr>
        <w:t xml:space="preserve">(פח.) </w:t>
      </w:r>
      <w:r w:rsidRPr="000F5259">
        <w:rPr>
          <w:rFonts w:cs="Arial"/>
          <w:rtl/>
        </w:rPr>
        <w:t>הכא נמי כשיש ריוח מלמעלה</w:t>
      </w:r>
      <w:r>
        <w:rPr>
          <w:rStyle w:val="a7"/>
          <w:rFonts w:cs="Arial"/>
          <w:rtl/>
        </w:rPr>
        <w:footnoteReference w:id="1207"/>
      </w:r>
      <w:r w:rsidRPr="000F5259">
        <w:rPr>
          <w:rFonts w:cs="Arial"/>
          <w:rtl/>
        </w:rPr>
        <w:t>. ודלמא אימלוכי אימליך וכתב</w:t>
      </w:r>
      <w:r>
        <w:rPr>
          <w:rStyle w:val="a7"/>
          <w:rFonts w:cs="Arial"/>
          <w:rtl/>
        </w:rPr>
        <w:footnoteReference w:id="1208"/>
      </w:r>
      <w:r w:rsidRPr="000F5259">
        <w:rPr>
          <w:rFonts w:cs="Arial"/>
          <w:rtl/>
        </w:rPr>
        <w:t>! דכתב הרי את מלמטה ומותרת מלמעלה</w:t>
      </w:r>
      <w:r>
        <w:rPr>
          <w:rStyle w:val="a7"/>
          <w:rFonts w:cs="Arial"/>
          <w:rtl/>
        </w:rPr>
        <w:footnoteReference w:id="1209"/>
      </w:r>
      <w:r w:rsidRPr="000F5259">
        <w:rPr>
          <w:rFonts w:cs="Arial"/>
          <w:rtl/>
        </w:rPr>
        <w:t>. ודלמא איתרמי ליה</w:t>
      </w:r>
      <w:r>
        <w:rPr>
          <w:rStyle w:val="a7"/>
          <w:rFonts w:cs="Arial"/>
          <w:rtl/>
        </w:rPr>
        <w:footnoteReference w:id="1210"/>
      </w:r>
      <w:r w:rsidRPr="000F5259">
        <w:rPr>
          <w:rFonts w:cs="Arial"/>
          <w:rtl/>
        </w:rPr>
        <w:t xml:space="preserve">! כולי האי לא חיישינן. </w:t>
      </w:r>
      <w:r w:rsidRPr="00A16F44">
        <w:rPr>
          <w:rFonts w:cs="Arial"/>
          <w:u w:val="single"/>
          <w:rtl/>
        </w:rPr>
        <w:t>רב אשי אמר</w:t>
      </w:r>
      <w:r w:rsidRPr="000F5259">
        <w:rPr>
          <w:rFonts w:cs="Arial"/>
          <w:rtl/>
        </w:rPr>
        <w:t>: דידיעה ביה מתחתא דמגילתא</w:t>
      </w:r>
      <w:r>
        <w:rPr>
          <w:rStyle w:val="a7"/>
          <w:rFonts w:cs="Arial"/>
          <w:rtl/>
        </w:rPr>
        <w:footnoteReference w:id="1211"/>
      </w:r>
      <w:r w:rsidRPr="000F5259">
        <w:rPr>
          <w:rFonts w:cs="Arial"/>
          <w:rtl/>
        </w:rPr>
        <w:t>.</w:t>
      </w:r>
      <w:r>
        <w:rPr>
          <w:rFonts w:cs="Arial" w:hint="cs"/>
          <w:sz w:val="16"/>
          <w:szCs w:val="16"/>
          <w:rtl/>
        </w:rPr>
        <w:t xml:space="preserve"> </w:t>
      </w:r>
      <w:r w:rsidRPr="00A16F44">
        <w:rPr>
          <w:rFonts w:cs="Arial" w:hint="cs"/>
          <w:sz w:val="16"/>
          <w:szCs w:val="16"/>
          <w:rtl/>
        </w:rPr>
        <w:t>(</w:t>
      </w:r>
      <w:r w:rsidRPr="00A16F44">
        <w:rPr>
          <w:rFonts w:cs="Arial"/>
          <w:sz w:val="16"/>
          <w:szCs w:val="16"/>
          <w:rtl/>
        </w:rPr>
        <w:t>וכתבו הרי"ף (מח:) והרא"ש (סי' ח) דברי רב אשי לבד</w:t>
      </w:r>
      <w:r w:rsidRPr="00A16F44">
        <w:rPr>
          <w:rFonts w:cs="Arial" w:hint="cs"/>
          <w:sz w:val="16"/>
          <w:szCs w:val="16"/>
          <w:rtl/>
        </w:rPr>
        <w:t>.</w:t>
      </w:r>
      <w:r w:rsidRPr="00A16F44">
        <w:rPr>
          <w:rFonts w:cs="Arial"/>
          <w:sz w:val="16"/>
          <w:szCs w:val="16"/>
          <w:rtl/>
        </w:rPr>
        <w:t xml:space="preserve"> וכ</w:t>
      </w:r>
      <w:r w:rsidRPr="00A16F44">
        <w:rPr>
          <w:rFonts w:cs="Arial" w:hint="cs"/>
          <w:sz w:val="16"/>
          <w:szCs w:val="16"/>
          <w:rtl/>
        </w:rPr>
        <w:t>"</w:t>
      </w:r>
      <w:r w:rsidRPr="00A16F44">
        <w:rPr>
          <w:rFonts w:cs="Arial"/>
          <w:sz w:val="16"/>
          <w:szCs w:val="16"/>
          <w:rtl/>
        </w:rPr>
        <w:t>כ הרמב"ם בפ</w:t>
      </w:r>
      <w:r w:rsidRPr="00A16F44">
        <w:rPr>
          <w:rFonts w:cs="Arial" w:hint="cs"/>
          <w:sz w:val="16"/>
          <w:szCs w:val="16"/>
          <w:rtl/>
        </w:rPr>
        <w:t>"</w:t>
      </w:r>
      <w:r w:rsidRPr="00A16F44">
        <w:rPr>
          <w:rFonts w:cs="Arial"/>
          <w:sz w:val="16"/>
          <w:szCs w:val="16"/>
          <w:rtl/>
        </w:rPr>
        <w:t>ד</w:t>
      </w:r>
      <w:r w:rsidRPr="00A16F44">
        <w:rPr>
          <w:rFonts w:cs="Arial" w:hint="cs"/>
          <w:sz w:val="16"/>
          <w:szCs w:val="16"/>
          <w:rtl/>
        </w:rPr>
        <w:t xml:space="preserve"> </w:t>
      </w:r>
      <w:r w:rsidRPr="00A16F44">
        <w:rPr>
          <w:rFonts w:cs="Arial"/>
          <w:sz w:val="16"/>
          <w:szCs w:val="16"/>
          <w:rtl/>
        </w:rPr>
        <w:t>מהלכות גירושין (הכ"ד)</w:t>
      </w:r>
      <w:r w:rsidRPr="00A16F44">
        <w:rPr>
          <w:rFonts w:cs="Arial" w:hint="cs"/>
          <w:sz w:val="16"/>
          <w:szCs w:val="16"/>
          <w:rtl/>
        </w:rPr>
        <w:t>, ב"י</w:t>
      </w:r>
      <w:r>
        <w:rPr>
          <w:rFonts w:cs="Arial" w:hint="cs"/>
          <w:sz w:val="16"/>
          <w:szCs w:val="16"/>
          <w:rtl/>
        </w:rPr>
        <w:t>. וכ"כ הטור</w:t>
      </w:r>
      <w:r w:rsidRPr="00A16F44">
        <w:rPr>
          <w:rFonts w:cs="Arial" w:hint="cs"/>
          <w:sz w:val="16"/>
          <w:szCs w:val="16"/>
          <w:rtl/>
        </w:rPr>
        <w:t>)</w:t>
      </w:r>
    </w:p>
    <w:p w14:paraId="7D7E8CE6" w14:textId="77777777" w:rsidR="00FA2119" w:rsidRPr="000F5259" w:rsidRDefault="00FA2119" w:rsidP="00FA2119">
      <w:pPr>
        <w:rPr>
          <w:u w:val="single"/>
          <w:rtl/>
        </w:rPr>
      </w:pPr>
      <w:r w:rsidRPr="000F5259">
        <w:rPr>
          <w:rFonts w:hint="cs"/>
          <w:u w:val="single"/>
          <w:rtl/>
        </w:rPr>
        <w:t>חלק מהגט כתוב בדף השני והעדים חתומים שם:</w:t>
      </w:r>
    </w:p>
    <w:p w14:paraId="7AF03C73" w14:textId="316BEB91" w:rsidR="00FA2119" w:rsidRDefault="00FA2119" w:rsidP="00FA2119">
      <w:pPr>
        <w:pStyle w:val="ab"/>
        <w:numPr>
          <w:ilvl w:val="0"/>
          <w:numId w:val="80"/>
        </w:numPr>
        <w:rPr>
          <w:rtl/>
        </w:rPr>
      </w:pPr>
      <w:r>
        <w:rPr>
          <w:rFonts w:cs="Arial" w:hint="cs"/>
          <w:rtl/>
        </w:rPr>
        <w:t>טור</w:t>
      </w:r>
      <w:r w:rsidR="00A82951">
        <w:rPr>
          <w:rFonts w:cs="Arial" w:hint="cs"/>
          <w:rtl/>
        </w:rPr>
        <w:t>-</w:t>
      </w:r>
      <w:r>
        <w:rPr>
          <w:rFonts w:cs="Arial" w:hint="cs"/>
          <w:rtl/>
        </w:rPr>
        <w:t xml:space="preserve"> </w:t>
      </w:r>
      <w:r>
        <w:rPr>
          <w:rFonts w:cs="Arial"/>
          <w:rtl/>
        </w:rPr>
        <w:t>שייר מקצת הגט וכתבו בדף השני</w:t>
      </w:r>
      <w:r>
        <w:rPr>
          <w:rFonts w:cs="Arial" w:hint="cs"/>
          <w:rtl/>
        </w:rPr>
        <w:t>,</w:t>
      </w:r>
      <w:r>
        <w:rPr>
          <w:rFonts w:cs="Arial"/>
          <w:rtl/>
        </w:rPr>
        <w:t xml:space="preserve"> שכתבו בב' דפין זה אצל זה</w:t>
      </w:r>
      <w:r>
        <w:rPr>
          <w:rFonts w:cs="Arial" w:hint="cs"/>
          <w:rtl/>
        </w:rPr>
        <w:t>,</w:t>
      </w:r>
      <w:r>
        <w:rPr>
          <w:rFonts w:cs="Arial"/>
          <w:rtl/>
        </w:rPr>
        <w:t xml:space="preserve"> והעדים חתומים תחת חצי השני </w:t>
      </w:r>
      <w:r w:rsidR="00A82951">
        <w:rPr>
          <w:rFonts w:cs="Arial" w:hint="cs"/>
          <w:rtl/>
        </w:rPr>
        <w:t>-</w:t>
      </w:r>
      <w:r>
        <w:rPr>
          <w:rFonts w:cs="Arial" w:hint="cs"/>
          <w:rtl/>
        </w:rPr>
        <w:t xml:space="preserve"> </w:t>
      </w:r>
      <w:r>
        <w:rPr>
          <w:rFonts w:cs="Arial"/>
          <w:rtl/>
        </w:rPr>
        <w:t>כשר</w:t>
      </w:r>
      <w:r>
        <w:rPr>
          <w:rFonts w:cs="Arial" w:hint="cs"/>
          <w:rtl/>
        </w:rPr>
        <w:t>,</w:t>
      </w:r>
      <w:r>
        <w:rPr>
          <w:rFonts w:cs="Arial"/>
          <w:rtl/>
        </w:rPr>
        <w:t xml:space="preserve"> והוא שיהיה ניכר בקלף שלא נחתך ממנו כלום אלא שהסופר כיון לכך מתחילה</w:t>
      </w:r>
      <w:r>
        <w:rPr>
          <w:rFonts w:cs="Arial" w:hint="cs"/>
          <w:rtl/>
        </w:rPr>
        <w:t>.</w:t>
      </w:r>
      <w:r>
        <w:rPr>
          <w:rFonts w:cs="Arial"/>
          <w:rtl/>
        </w:rPr>
        <w:t xml:space="preserve"> אבל אם אינו ניכר </w:t>
      </w:r>
      <w:r w:rsidR="00A82951">
        <w:rPr>
          <w:rFonts w:cs="Arial" w:hint="cs"/>
          <w:rtl/>
        </w:rPr>
        <w:t>-</w:t>
      </w:r>
      <w:r>
        <w:rPr>
          <w:rFonts w:cs="Arial" w:hint="cs"/>
          <w:rtl/>
        </w:rPr>
        <w:t xml:space="preserve"> </w:t>
      </w:r>
      <w:r>
        <w:rPr>
          <w:rFonts w:cs="Arial"/>
          <w:rtl/>
        </w:rPr>
        <w:t>פסול</w:t>
      </w:r>
      <w:r>
        <w:rPr>
          <w:rFonts w:cs="Arial" w:hint="cs"/>
          <w:rtl/>
        </w:rPr>
        <w:t>,</w:t>
      </w:r>
      <w:r>
        <w:rPr>
          <w:rFonts w:cs="Arial"/>
          <w:rtl/>
        </w:rPr>
        <w:t xml:space="preserve"> דשמא שני גיטין היו כתובים זה אצל זה</w:t>
      </w:r>
      <w:r>
        <w:rPr>
          <w:rFonts w:cs="Arial" w:hint="cs"/>
          <w:rtl/>
        </w:rPr>
        <w:t>,</w:t>
      </w:r>
      <w:r>
        <w:rPr>
          <w:rFonts w:cs="Arial"/>
          <w:rtl/>
        </w:rPr>
        <w:t xml:space="preserve"> השמאלי נכתב בגובה של המגילה יותר מהימיני</w:t>
      </w:r>
      <w:r w:rsidR="006F4D43">
        <w:rPr>
          <w:rFonts w:cs="Arial" w:hint="cs"/>
          <w:rtl/>
        </w:rPr>
        <w:t>,</w:t>
      </w:r>
      <w:r>
        <w:rPr>
          <w:rFonts w:cs="Arial"/>
          <w:rtl/>
        </w:rPr>
        <w:t xml:space="preserve"> והיה שום תנאי בימיני למטה</w:t>
      </w:r>
      <w:r w:rsidR="006F4D43">
        <w:rPr>
          <w:rFonts w:cs="Arial" w:hint="cs"/>
          <w:rtl/>
        </w:rPr>
        <w:t>,</w:t>
      </w:r>
      <w:r>
        <w:rPr>
          <w:rFonts w:cs="Arial"/>
          <w:rtl/>
        </w:rPr>
        <w:t xml:space="preserve"> וחת</w:t>
      </w:r>
      <w:r w:rsidR="00B434DE">
        <w:rPr>
          <w:rFonts w:cs="Arial" w:hint="cs"/>
          <w:rtl/>
        </w:rPr>
        <w:t>ך</w:t>
      </w:r>
      <w:r>
        <w:rPr>
          <w:rFonts w:cs="Arial"/>
          <w:rtl/>
        </w:rPr>
        <w:t xml:space="preserve"> התחתון מהימני</w:t>
      </w:r>
      <w:r w:rsidR="006F4D43">
        <w:rPr>
          <w:rFonts w:cs="Arial" w:hint="cs"/>
          <w:rtl/>
        </w:rPr>
        <w:t>,</w:t>
      </w:r>
      <w:r>
        <w:rPr>
          <w:rFonts w:cs="Arial"/>
          <w:rtl/>
        </w:rPr>
        <w:t xml:space="preserve"> והעליון מהשמאלי</w:t>
      </w:r>
      <w:r w:rsidR="006F4D43">
        <w:rPr>
          <w:rFonts w:cs="Arial" w:hint="cs"/>
          <w:rtl/>
        </w:rPr>
        <w:t>,</w:t>
      </w:r>
      <w:r>
        <w:rPr>
          <w:rFonts w:cs="Arial"/>
          <w:rtl/>
        </w:rPr>
        <w:t xml:space="preserve"> וכיון אותם ביחד</w:t>
      </w:r>
      <w:r>
        <w:rPr>
          <w:rFonts w:cs="Arial" w:hint="cs"/>
          <w:rtl/>
        </w:rPr>
        <w:t>.</w:t>
      </w:r>
      <w:r w:rsidRPr="00621043">
        <w:rPr>
          <w:rFonts w:cs="Arial" w:hint="cs"/>
          <w:color w:val="E36C0A" w:themeColor="accent6" w:themeShade="BF"/>
          <w:rtl/>
        </w:rPr>
        <w:t xml:space="preserve"> </w:t>
      </w:r>
      <w:r w:rsidRPr="001C2ACE">
        <w:rPr>
          <w:rFonts w:cs="Arial" w:hint="cs"/>
          <w:color w:val="E36C0A" w:themeColor="accent6" w:themeShade="BF"/>
          <w:rtl/>
        </w:rPr>
        <w:t>(וכ"פ בשו"ע</w:t>
      </w:r>
      <w:r>
        <w:rPr>
          <w:rFonts w:cs="Arial" w:hint="cs"/>
          <w:color w:val="E36C0A" w:themeColor="accent6" w:themeShade="BF"/>
          <w:rtl/>
        </w:rPr>
        <w:t>)</w:t>
      </w:r>
    </w:p>
    <w:p w14:paraId="6D4C135E" w14:textId="77777777" w:rsidR="00FA2119" w:rsidRPr="000F5259" w:rsidRDefault="00FA2119" w:rsidP="00FA2119">
      <w:pPr>
        <w:ind w:left="360"/>
        <w:rPr>
          <w:u w:val="dotted"/>
        </w:rPr>
      </w:pPr>
      <w:r w:rsidRPr="000F5259">
        <w:rPr>
          <w:rFonts w:hint="cs"/>
          <w:u w:val="dotted"/>
          <w:rtl/>
        </w:rPr>
        <w:t>ומה הדין אם הגט ניתן בעדי מסירה:</w:t>
      </w:r>
    </w:p>
    <w:p w14:paraId="1A8FE647" w14:textId="28A6CBB6" w:rsidR="00FA2119" w:rsidRDefault="00FA2119" w:rsidP="00FA2119">
      <w:pPr>
        <w:pStyle w:val="ab"/>
        <w:numPr>
          <w:ilvl w:val="0"/>
          <w:numId w:val="80"/>
        </w:numPr>
      </w:pPr>
      <w:r>
        <w:rPr>
          <w:rFonts w:cs="Arial"/>
          <w:rtl/>
        </w:rPr>
        <w:lastRenderedPageBreak/>
        <w:t>רמב"ם</w:t>
      </w:r>
      <w:r>
        <w:rPr>
          <w:rFonts w:cs="Arial" w:hint="cs"/>
          <w:sz w:val="16"/>
          <w:szCs w:val="16"/>
          <w:rtl/>
        </w:rPr>
        <w:t xml:space="preserve"> (פ"ד הכ"ד)</w:t>
      </w:r>
      <w:r w:rsidR="00A82951">
        <w:rPr>
          <w:rFonts w:cs="Arial" w:hint="cs"/>
          <w:rtl/>
        </w:rPr>
        <w:t>-</w:t>
      </w:r>
      <w:r>
        <w:rPr>
          <w:rFonts w:cs="Arial"/>
          <w:rtl/>
        </w:rPr>
        <w:t xml:space="preserve"> </w:t>
      </w:r>
      <w:r w:rsidRPr="00F47E09">
        <w:rPr>
          <w:rFonts w:cs="Arial"/>
          <w:rtl/>
        </w:rPr>
        <w:t>אם אינו ניכר אע</w:t>
      </w:r>
      <w:r>
        <w:rPr>
          <w:rFonts w:cs="Arial" w:hint="cs"/>
          <w:rtl/>
        </w:rPr>
        <w:t>"</w:t>
      </w:r>
      <w:r w:rsidRPr="00F47E09">
        <w:rPr>
          <w:rFonts w:cs="Arial"/>
          <w:rtl/>
        </w:rPr>
        <w:t xml:space="preserve">פ שנמסר בעדים </w:t>
      </w:r>
      <w:r w:rsidR="00A82951">
        <w:rPr>
          <w:rFonts w:cs="Arial" w:hint="cs"/>
          <w:rtl/>
        </w:rPr>
        <w:t>-</w:t>
      </w:r>
      <w:r>
        <w:rPr>
          <w:rFonts w:cs="Arial" w:hint="cs"/>
          <w:rtl/>
        </w:rPr>
        <w:t xml:space="preserve"> </w:t>
      </w:r>
      <w:r w:rsidRPr="00F47E09">
        <w:rPr>
          <w:rFonts w:cs="Arial"/>
          <w:rtl/>
        </w:rPr>
        <w:t>הרי זו ספק מגורשת</w:t>
      </w:r>
      <w:r>
        <w:rPr>
          <w:rFonts w:cs="Arial" w:hint="cs"/>
          <w:rtl/>
        </w:rPr>
        <w:t>,</w:t>
      </w:r>
      <w:r w:rsidRPr="00F47E09">
        <w:rPr>
          <w:rFonts w:cs="Arial"/>
          <w:rtl/>
        </w:rPr>
        <w:t xml:space="preserve"> שמא שני גיטין היו ונחתך מקצת זה מסוף הדף ומקצת השני מראש הדף</w:t>
      </w:r>
      <w:r>
        <w:rPr>
          <w:rStyle w:val="a7"/>
          <w:rFonts w:cs="Arial"/>
          <w:rtl/>
        </w:rPr>
        <w:footnoteReference w:id="1212"/>
      </w:r>
      <w:r w:rsidRPr="00F47E09">
        <w:rPr>
          <w:rFonts w:cs="Arial"/>
          <w:rtl/>
        </w:rPr>
        <w:t xml:space="preserve">. </w:t>
      </w:r>
      <w:r w:rsidRPr="001C2ACE">
        <w:rPr>
          <w:rFonts w:cs="Arial" w:hint="cs"/>
          <w:color w:val="E36C0A" w:themeColor="accent6" w:themeShade="BF"/>
          <w:rtl/>
        </w:rPr>
        <w:t>(וכ"פ בשו"ע</w:t>
      </w:r>
      <w:r>
        <w:rPr>
          <w:rFonts w:cs="Arial" w:hint="cs"/>
          <w:color w:val="E36C0A" w:themeColor="accent6" w:themeShade="BF"/>
          <w:rtl/>
        </w:rPr>
        <w:t>)</w:t>
      </w:r>
    </w:p>
    <w:p w14:paraId="1D81DF47" w14:textId="73A89BAE" w:rsidR="00FA2119" w:rsidRPr="00621043" w:rsidRDefault="00FA2119" w:rsidP="00FA2119">
      <w:pPr>
        <w:ind w:left="720"/>
        <w:rPr>
          <w:u w:val="wave"/>
        </w:rPr>
      </w:pPr>
      <w:r w:rsidRPr="00621043">
        <w:rPr>
          <w:rFonts w:hint="cs"/>
          <w:u w:val="wave"/>
          <w:rtl/>
        </w:rPr>
        <w:t xml:space="preserve">ומה הדין אם </w:t>
      </w:r>
      <w:r w:rsidR="00B434DE">
        <w:rPr>
          <w:rFonts w:hint="cs"/>
          <w:u w:val="wave"/>
          <w:rtl/>
        </w:rPr>
        <w:t xml:space="preserve">יש </w:t>
      </w:r>
      <w:r w:rsidRPr="00621043">
        <w:rPr>
          <w:rFonts w:hint="cs"/>
          <w:u w:val="wave"/>
          <w:rtl/>
        </w:rPr>
        <w:t>עד</w:t>
      </w:r>
      <w:r w:rsidR="00B434DE">
        <w:rPr>
          <w:rFonts w:hint="cs"/>
          <w:u w:val="wave"/>
          <w:rtl/>
        </w:rPr>
        <w:t>י</w:t>
      </w:r>
      <w:r w:rsidRPr="00621043">
        <w:rPr>
          <w:rFonts w:hint="cs"/>
          <w:u w:val="wave"/>
          <w:rtl/>
        </w:rPr>
        <w:t>ם ש</w:t>
      </w:r>
      <w:r w:rsidR="00B434DE">
        <w:rPr>
          <w:rFonts w:hint="cs"/>
          <w:u w:val="wave"/>
          <w:rtl/>
        </w:rPr>
        <w:t xml:space="preserve">ראו שהיה מתחילה </w:t>
      </w:r>
      <w:r w:rsidRPr="00621043">
        <w:rPr>
          <w:rFonts w:hint="cs"/>
          <w:u w:val="wave"/>
          <w:rtl/>
        </w:rPr>
        <w:t>גט אחד:</w:t>
      </w:r>
    </w:p>
    <w:p w14:paraId="1A5F6416" w14:textId="26695634" w:rsidR="00FA2119" w:rsidRPr="000E2F46" w:rsidRDefault="00FA2119" w:rsidP="00FA2119">
      <w:pPr>
        <w:pStyle w:val="ab"/>
        <w:numPr>
          <w:ilvl w:val="0"/>
          <w:numId w:val="80"/>
        </w:numPr>
      </w:pPr>
      <w:r w:rsidRPr="00A14BB0">
        <w:rPr>
          <w:rFonts w:cs="Arial"/>
          <w:rtl/>
        </w:rPr>
        <w:t>הה</w:t>
      </w:r>
      <w:r>
        <w:rPr>
          <w:rFonts w:cs="Arial" w:hint="cs"/>
          <w:rtl/>
        </w:rPr>
        <w:t>"</w:t>
      </w:r>
      <w:r w:rsidRPr="00A14BB0">
        <w:rPr>
          <w:rFonts w:cs="Arial"/>
          <w:rtl/>
        </w:rPr>
        <w:t>מ</w:t>
      </w:r>
      <w:r>
        <w:rPr>
          <w:rFonts w:cs="Arial" w:hint="cs"/>
          <w:sz w:val="16"/>
          <w:szCs w:val="16"/>
          <w:rtl/>
        </w:rPr>
        <w:t xml:space="preserve"> (שם)</w:t>
      </w:r>
      <w:r w:rsidR="00A82951">
        <w:rPr>
          <w:rFonts w:cs="Arial" w:hint="cs"/>
          <w:rtl/>
        </w:rPr>
        <w:t>-</w:t>
      </w:r>
      <w:r w:rsidRPr="00A14BB0">
        <w:rPr>
          <w:rFonts w:cs="Arial"/>
          <w:rtl/>
        </w:rPr>
        <w:t xml:space="preserve"> ונראה לי שאם היו עדים מעידים שגט אחד היה</w:t>
      </w:r>
      <w:r w:rsidR="00B434DE">
        <w:rPr>
          <w:rFonts w:cs="Arial" w:hint="cs"/>
          <w:rtl/>
        </w:rPr>
        <w:t>,</w:t>
      </w:r>
      <w:r w:rsidRPr="00A14BB0">
        <w:rPr>
          <w:rFonts w:cs="Arial"/>
          <w:rtl/>
        </w:rPr>
        <w:t xml:space="preserve"> ונמסר לה בעדים </w:t>
      </w:r>
      <w:r w:rsidR="00A82951">
        <w:rPr>
          <w:rFonts w:cs="Arial"/>
          <w:rtl/>
        </w:rPr>
        <w:t>-</w:t>
      </w:r>
      <w:r>
        <w:rPr>
          <w:rFonts w:cs="Arial" w:hint="cs"/>
          <w:rtl/>
        </w:rPr>
        <w:t xml:space="preserve"> </w:t>
      </w:r>
      <w:r w:rsidRPr="00A14BB0">
        <w:rPr>
          <w:rFonts w:cs="Arial"/>
          <w:rtl/>
        </w:rPr>
        <w:t>כשר</w:t>
      </w:r>
      <w:r>
        <w:rPr>
          <w:rFonts w:cs="Arial" w:hint="cs"/>
          <w:rtl/>
        </w:rPr>
        <w:t>.</w:t>
      </w:r>
      <w:r w:rsidRPr="00A14BB0">
        <w:rPr>
          <w:rFonts w:cs="Arial"/>
          <w:rtl/>
        </w:rPr>
        <w:t xml:space="preserve"> וכן נראה מדברי רבינו</w:t>
      </w:r>
      <w:r>
        <w:rPr>
          <w:rFonts w:cs="Arial" w:hint="cs"/>
          <w:rtl/>
        </w:rPr>
        <w:t>,</w:t>
      </w:r>
      <w:r w:rsidRPr="00A14BB0">
        <w:rPr>
          <w:rFonts w:cs="Arial"/>
          <w:rtl/>
        </w:rPr>
        <w:t xml:space="preserve"> וברור הוא</w:t>
      </w:r>
      <w:r>
        <w:rPr>
          <w:rFonts w:hint="cs"/>
          <w:rtl/>
        </w:rPr>
        <w:t xml:space="preserve">. </w:t>
      </w:r>
      <w:r w:rsidRPr="00621043">
        <w:rPr>
          <w:rFonts w:hint="cs"/>
          <w:color w:val="00B0F0"/>
          <w:rtl/>
        </w:rPr>
        <w:t>(וכ"פ הרמ"א)</w:t>
      </w:r>
    </w:p>
    <w:p w14:paraId="588F69CC" w14:textId="77777777" w:rsidR="00FA2119" w:rsidRPr="000E2F46" w:rsidRDefault="00FA2119" w:rsidP="00FA2119">
      <w:pPr>
        <w:rPr>
          <w:sz w:val="16"/>
          <w:szCs w:val="16"/>
          <w:u w:val="single"/>
        </w:rPr>
      </w:pPr>
      <w:r w:rsidRPr="000E2F46">
        <w:rPr>
          <w:rFonts w:hint="cs"/>
          <w:u w:val="single"/>
          <w:rtl/>
        </w:rPr>
        <w:t>הדביק</w:t>
      </w:r>
      <w:r>
        <w:rPr>
          <w:rFonts w:hint="cs"/>
          <w:u w:val="single"/>
          <w:rtl/>
        </w:rPr>
        <w:t>/תפר</w:t>
      </w:r>
      <w:r w:rsidRPr="000E2F46">
        <w:rPr>
          <w:rFonts w:hint="cs"/>
          <w:u w:val="single"/>
          <w:rtl/>
        </w:rPr>
        <w:t xml:space="preserve"> שתי עורות וכתב עליה</w:t>
      </w:r>
      <w:r>
        <w:rPr>
          <w:rFonts w:hint="cs"/>
          <w:u w:val="single"/>
          <w:rtl/>
        </w:rPr>
        <w:t>ן</w:t>
      </w:r>
      <w:r w:rsidRPr="000E2F46">
        <w:rPr>
          <w:rFonts w:hint="cs"/>
          <w:u w:val="single"/>
          <w:rtl/>
        </w:rPr>
        <w:t xml:space="preserve"> גט:</w:t>
      </w:r>
      <w:r>
        <w:rPr>
          <w:rFonts w:hint="cs"/>
          <w:sz w:val="16"/>
          <w:szCs w:val="16"/>
          <w:rtl/>
        </w:rPr>
        <w:t xml:space="preserve"> </w:t>
      </w:r>
      <w:r w:rsidRPr="000E2F46">
        <w:rPr>
          <w:rFonts w:hint="cs"/>
          <w:sz w:val="16"/>
          <w:szCs w:val="16"/>
          <w:rtl/>
        </w:rPr>
        <w:t>(</w:t>
      </w:r>
      <w:r>
        <w:rPr>
          <w:rFonts w:hint="cs"/>
          <w:sz w:val="16"/>
          <w:szCs w:val="16"/>
          <w:rtl/>
        </w:rPr>
        <w:t>דרכ"מ אות ח)</w:t>
      </w:r>
    </w:p>
    <w:p w14:paraId="10DA8DBB" w14:textId="321CC343" w:rsidR="00FA2119" w:rsidRPr="00D65518" w:rsidRDefault="00FA2119" w:rsidP="00FA2119">
      <w:pPr>
        <w:pStyle w:val="ab"/>
        <w:numPr>
          <w:ilvl w:val="0"/>
          <w:numId w:val="80"/>
        </w:numPr>
        <w:rPr>
          <w:rtl/>
        </w:rPr>
      </w:pPr>
      <w:r>
        <w:rPr>
          <w:rFonts w:cs="Arial" w:hint="cs"/>
          <w:rtl/>
        </w:rPr>
        <w:t xml:space="preserve">או"ז </w:t>
      </w:r>
      <w:r>
        <w:rPr>
          <w:rFonts w:cs="Arial" w:hint="cs"/>
          <w:sz w:val="16"/>
          <w:szCs w:val="16"/>
          <w:rtl/>
        </w:rPr>
        <w:t>(סי' תשטו)</w:t>
      </w:r>
      <w:r w:rsidR="00A82951">
        <w:rPr>
          <w:rFonts w:cs="Arial" w:hint="cs"/>
          <w:rtl/>
        </w:rPr>
        <w:t>-</w:t>
      </w:r>
      <w:r>
        <w:rPr>
          <w:rFonts w:cs="Arial" w:hint="cs"/>
          <w:rtl/>
        </w:rPr>
        <w:t xml:space="preserve"> </w:t>
      </w:r>
      <w:r w:rsidRPr="000E2F46">
        <w:rPr>
          <w:rFonts w:cs="Arial"/>
          <w:rtl/>
        </w:rPr>
        <w:t>אם תפר שני עורות יחד או חיברן בדבק וכתב הגט עליהן שמא הוא כשר</w:t>
      </w:r>
      <w:r w:rsidR="00B434DE">
        <w:rPr>
          <w:rFonts w:cs="Arial" w:hint="cs"/>
          <w:rtl/>
        </w:rPr>
        <w:t>,</w:t>
      </w:r>
      <w:r w:rsidRPr="000E2F46">
        <w:rPr>
          <w:rFonts w:cs="Arial"/>
          <w:rtl/>
        </w:rPr>
        <w:t xml:space="preserve"> ודבר זה צ"ע.</w:t>
      </w:r>
    </w:p>
    <w:p w14:paraId="2B7BF183"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CECF95E" w14:textId="77777777" w:rsidR="00FA2119" w:rsidRDefault="00FA2119" w:rsidP="00FA2119">
      <w:pPr>
        <w:rPr>
          <w:rtl/>
        </w:rPr>
      </w:pPr>
      <w:r>
        <w:rPr>
          <w:rFonts w:cs="Arial" w:hint="cs"/>
          <w:rtl/>
        </w:rPr>
        <w:t>שייר</w:t>
      </w:r>
      <w:r>
        <w:rPr>
          <w:rFonts w:cs="Arial"/>
          <w:rtl/>
        </w:rPr>
        <w:t xml:space="preserve"> </w:t>
      </w:r>
      <w:r>
        <w:rPr>
          <w:rFonts w:cs="Arial" w:hint="cs"/>
          <w:rtl/>
        </w:rPr>
        <w:t>מקצת</w:t>
      </w:r>
      <w:r>
        <w:rPr>
          <w:rFonts w:cs="Arial"/>
          <w:rtl/>
        </w:rPr>
        <w:t xml:space="preserve"> </w:t>
      </w:r>
      <w:r>
        <w:rPr>
          <w:rFonts w:cs="Arial" w:hint="cs"/>
          <w:rtl/>
        </w:rPr>
        <w:t>הגט</w:t>
      </w:r>
      <w:r>
        <w:rPr>
          <w:rFonts w:cs="Arial"/>
          <w:rtl/>
        </w:rPr>
        <w:t xml:space="preserve"> </w:t>
      </w:r>
      <w:r>
        <w:rPr>
          <w:rFonts w:cs="Arial" w:hint="cs"/>
          <w:rtl/>
        </w:rPr>
        <w:t>וכתבו</w:t>
      </w:r>
      <w:r>
        <w:rPr>
          <w:rFonts w:cs="Arial"/>
          <w:rtl/>
        </w:rPr>
        <w:t xml:space="preserve"> </w:t>
      </w:r>
      <w:r>
        <w:rPr>
          <w:rFonts w:cs="Arial" w:hint="cs"/>
          <w:rtl/>
        </w:rPr>
        <w:t>בדף</w:t>
      </w:r>
      <w:r>
        <w:rPr>
          <w:rFonts w:cs="Arial"/>
          <w:rtl/>
        </w:rPr>
        <w:t xml:space="preserve"> </w:t>
      </w:r>
      <w:r>
        <w:rPr>
          <w:rFonts w:cs="Arial" w:hint="cs"/>
          <w:rtl/>
        </w:rPr>
        <w:t>השני</w:t>
      </w:r>
      <w:r>
        <w:rPr>
          <w:rFonts w:cs="Arial"/>
          <w:rtl/>
        </w:rPr>
        <w:t xml:space="preserve">, </w:t>
      </w:r>
      <w:r>
        <w:rPr>
          <w:rFonts w:cs="Arial" w:hint="cs"/>
          <w:rtl/>
        </w:rPr>
        <w:t>והעדים</w:t>
      </w:r>
      <w:r>
        <w:rPr>
          <w:rFonts w:cs="Arial"/>
          <w:rtl/>
        </w:rPr>
        <w:t xml:space="preserve"> </w:t>
      </w:r>
      <w:r>
        <w:rPr>
          <w:rFonts w:cs="Arial" w:hint="cs"/>
          <w:rtl/>
        </w:rPr>
        <w:t>מלמטה</w:t>
      </w:r>
      <w:r>
        <w:rPr>
          <w:rFonts w:cs="Arial"/>
          <w:rtl/>
        </w:rPr>
        <w:t xml:space="preserve"> </w:t>
      </w:r>
      <w:r>
        <w:rPr>
          <w:rFonts w:cs="Arial" w:hint="cs"/>
          <w:rtl/>
        </w:rPr>
        <w:t>בסוף</w:t>
      </w:r>
      <w:r>
        <w:rPr>
          <w:rFonts w:cs="Arial"/>
          <w:rtl/>
        </w:rPr>
        <w:t xml:space="preserve"> </w:t>
      </w:r>
      <w:r>
        <w:rPr>
          <w:rFonts w:cs="Arial" w:hint="cs"/>
          <w:rtl/>
        </w:rPr>
        <w:t>הדף</w:t>
      </w:r>
      <w:r>
        <w:rPr>
          <w:rFonts w:cs="Arial"/>
          <w:rtl/>
        </w:rPr>
        <w:t xml:space="preserve"> </w:t>
      </w:r>
      <w:r>
        <w:rPr>
          <w:rFonts w:cs="Arial" w:hint="cs"/>
          <w:rtl/>
        </w:rPr>
        <w:t>השני</w:t>
      </w:r>
      <w:r>
        <w:rPr>
          <w:rFonts w:cs="Arial"/>
          <w:rtl/>
        </w:rPr>
        <w:t xml:space="preserve">, </w:t>
      </w:r>
      <w:r>
        <w:rPr>
          <w:rFonts w:cs="Arial" w:hint="cs"/>
          <w:rtl/>
        </w:rPr>
        <w:t>כשר</w:t>
      </w:r>
      <w:r>
        <w:rPr>
          <w:rFonts w:cs="Arial"/>
          <w:rtl/>
        </w:rPr>
        <w:t xml:space="preserve">, </w:t>
      </w:r>
      <w:r>
        <w:rPr>
          <w:rFonts w:cs="Arial" w:hint="cs"/>
          <w:rtl/>
        </w:rPr>
        <w:t>והוא</w:t>
      </w:r>
      <w:r>
        <w:rPr>
          <w:rFonts w:cs="Arial"/>
          <w:rtl/>
        </w:rPr>
        <w:t xml:space="preserve"> </w:t>
      </w:r>
      <w:r>
        <w:rPr>
          <w:rFonts w:cs="Arial" w:hint="cs"/>
          <w:rtl/>
        </w:rPr>
        <w:t>שיהיה</w:t>
      </w:r>
      <w:r>
        <w:rPr>
          <w:rFonts w:cs="Arial"/>
          <w:rtl/>
        </w:rPr>
        <w:t xml:space="preserve"> </w:t>
      </w:r>
      <w:r>
        <w:rPr>
          <w:rFonts w:cs="Arial" w:hint="cs"/>
          <w:rtl/>
        </w:rPr>
        <w:t>במגלה</w:t>
      </w:r>
      <w:r>
        <w:rPr>
          <w:rFonts w:cs="Arial"/>
          <w:rtl/>
        </w:rPr>
        <w:t xml:space="preserve">, </w:t>
      </w:r>
      <w:r>
        <w:rPr>
          <w:rFonts w:cs="Arial" w:hint="cs"/>
          <w:rtl/>
        </w:rPr>
        <w:t>שניכר</w:t>
      </w:r>
      <w:r>
        <w:rPr>
          <w:rFonts w:cs="Arial"/>
          <w:rtl/>
        </w:rPr>
        <w:t xml:space="preserve"> </w:t>
      </w:r>
      <w:r>
        <w:rPr>
          <w:rFonts w:cs="Arial" w:hint="cs"/>
          <w:rtl/>
        </w:rPr>
        <w:t>שלא</w:t>
      </w:r>
      <w:r>
        <w:rPr>
          <w:rFonts w:cs="Arial"/>
          <w:rtl/>
        </w:rPr>
        <w:t xml:space="preserve"> </w:t>
      </w:r>
      <w:r>
        <w:rPr>
          <w:rFonts w:cs="Arial" w:hint="cs"/>
          <w:rtl/>
        </w:rPr>
        <w:t>נחתך</w:t>
      </w:r>
      <w:r>
        <w:rPr>
          <w:rFonts w:cs="Arial"/>
          <w:rtl/>
        </w:rPr>
        <w:t xml:space="preserve">, </w:t>
      </w:r>
      <w:r>
        <w:rPr>
          <w:rFonts w:cs="Arial" w:hint="cs"/>
          <w:rtl/>
        </w:rPr>
        <w:t>ושלכך</w:t>
      </w:r>
      <w:r>
        <w:rPr>
          <w:rFonts w:cs="Arial"/>
          <w:rtl/>
        </w:rPr>
        <w:t xml:space="preserve"> </w:t>
      </w:r>
      <w:r>
        <w:rPr>
          <w:rFonts w:cs="Arial" w:hint="cs"/>
          <w:rtl/>
        </w:rPr>
        <w:t>נתכוין</w:t>
      </w:r>
      <w:r>
        <w:rPr>
          <w:rFonts w:cs="Arial"/>
          <w:rtl/>
        </w:rPr>
        <w:t xml:space="preserve"> </w:t>
      </w:r>
      <w:r>
        <w:rPr>
          <w:rFonts w:cs="Arial" w:hint="cs"/>
          <w:rtl/>
        </w:rPr>
        <w:t>הסופר</w:t>
      </w:r>
      <w:r>
        <w:rPr>
          <w:rFonts w:cs="Arial"/>
          <w:rtl/>
        </w:rPr>
        <w:t xml:space="preserve"> </w:t>
      </w:r>
      <w:r>
        <w:rPr>
          <w:rFonts w:cs="Arial" w:hint="cs"/>
          <w:rtl/>
        </w:rPr>
        <w:t>שישלים</w:t>
      </w:r>
      <w:r>
        <w:rPr>
          <w:rFonts w:cs="Arial"/>
          <w:rtl/>
        </w:rPr>
        <w:t xml:space="preserve"> </w:t>
      </w:r>
      <w:r>
        <w:rPr>
          <w:rFonts w:cs="Arial" w:hint="cs"/>
          <w:rtl/>
        </w:rPr>
        <w:t>בדף</w:t>
      </w:r>
      <w:r>
        <w:rPr>
          <w:rFonts w:cs="Arial"/>
          <w:rtl/>
        </w:rPr>
        <w:t xml:space="preserve"> </w:t>
      </w:r>
      <w:r>
        <w:rPr>
          <w:rFonts w:cs="Arial" w:hint="cs"/>
          <w:rtl/>
        </w:rPr>
        <w:t>השני.</w:t>
      </w:r>
      <w:r>
        <w:rPr>
          <w:rFonts w:cs="Arial"/>
          <w:rtl/>
        </w:rPr>
        <w:t xml:space="preserve"> </w:t>
      </w:r>
      <w:r>
        <w:rPr>
          <w:rFonts w:cs="Arial" w:hint="cs"/>
          <w:rtl/>
        </w:rPr>
        <w:t>אבל</w:t>
      </w:r>
      <w:r>
        <w:rPr>
          <w:rFonts w:cs="Arial"/>
          <w:rtl/>
        </w:rPr>
        <w:t xml:space="preserve"> </w:t>
      </w:r>
      <w:r>
        <w:rPr>
          <w:rFonts w:cs="Arial" w:hint="cs"/>
          <w:rtl/>
        </w:rPr>
        <w:t>אם</w:t>
      </w:r>
      <w:r>
        <w:rPr>
          <w:rFonts w:cs="Arial"/>
          <w:rtl/>
        </w:rPr>
        <w:t xml:space="preserve"> </w:t>
      </w:r>
      <w:r>
        <w:rPr>
          <w:rFonts w:cs="Arial" w:hint="cs"/>
          <w:rtl/>
        </w:rPr>
        <w:t>אינו</w:t>
      </w:r>
      <w:r>
        <w:rPr>
          <w:rFonts w:cs="Arial"/>
          <w:rtl/>
        </w:rPr>
        <w:t xml:space="preserve"> </w:t>
      </w:r>
      <w:r>
        <w:rPr>
          <w:rFonts w:cs="Arial" w:hint="cs"/>
          <w:rtl/>
        </w:rPr>
        <w:t>ניכר</w:t>
      </w:r>
      <w:r>
        <w:rPr>
          <w:rFonts w:cs="Arial"/>
          <w:rtl/>
        </w:rPr>
        <w:t xml:space="preserve">, </w:t>
      </w:r>
      <w:r>
        <w:rPr>
          <w:rFonts w:cs="Arial" w:hint="cs"/>
          <w:rtl/>
        </w:rPr>
        <w:t>אף</w:t>
      </w:r>
      <w:r>
        <w:rPr>
          <w:rFonts w:cs="Arial"/>
          <w:rtl/>
        </w:rPr>
        <w:t xml:space="preserve"> </w:t>
      </w:r>
      <w:r>
        <w:rPr>
          <w:rFonts w:cs="Arial" w:hint="cs"/>
          <w:rtl/>
        </w:rPr>
        <w:t>על</w:t>
      </w:r>
      <w:r>
        <w:rPr>
          <w:rFonts w:cs="Arial"/>
          <w:rtl/>
        </w:rPr>
        <w:t xml:space="preserve"> </w:t>
      </w:r>
      <w:r>
        <w:rPr>
          <w:rFonts w:cs="Arial" w:hint="cs"/>
          <w:rtl/>
        </w:rPr>
        <w:t>פי</w:t>
      </w:r>
      <w:r>
        <w:rPr>
          <w:rFonts w:cs="Arial"/>
          <w:rtl/>
        </w:rPr>
        <w:t xml:space="preserve"> </w:t>
      </w:r>
      <w:r>
        <w:rPr>
          <w:rFonts w:cs="Arial" w:hint="cs"/>
          <w:rtl/>
        </w:rPr>
        <w:t>שנמסר</w:t>
      </w:r>
      <w:r>
        <w:rPr>
          <w:rFonts w:cs="Arial"/>
          <w:rtl/>
        </w:rPr>
        <w:t xml:space="preserve"> </w:t>
      </w:r>
      <w:r>
        <w:rPr>
          <w:rFonts w:cs="Arial" w:hint="cs"/>
          <w:rtl/>
        </w:rPr>
        <w:t>בעדים</w:t>
      </w:r>
      <w:r>
        <w:rPr>
          <w:rFonts w:cs="Arial"/>
          <w:rtl/>
        </w:rPr>
        <w:t xml:space="preserve">, </w:t>
      </w:r>
      <w:r>
        <w:rPr>
          <w:rFonts w:cs="Arial" w:hint="cs"/>
          <w:rtl/>
        </w:rPr>
        <w:t>הרי</w:t>
      </w:r>
      <w:r>
        <w:rPr>
          <w:rFonts w:cs="Arial"/>
          <w:rtl/>
        </w:rPr>
        <w:t xml:space="preserve"> </w:t>
      </w:r>
      <w:r>
        <w:rPr>
          <w:rFonts w:cs="Arial" w:hint="cs"/>
          <w:rtl/>
        </w:rPr>
        <w:t>זו</w:t>
      </w:r>
      <w:r>
        <w:rPr>
          <w:rFonts w:cs="Arial"/>
          <w:rtl/>
        </w:rPr>
        <w:t xml:space="preserve"> </w:t>
      </w:r>
      <w:r>
        <w:rPr>
          <w:rFonts w:cs="Arial" w:hint="cs"/>
          <w:rtl/>
        </w:rPr>
        <w:t>ספק</w:t>
      </w:r>
      <w:r>
        <w:rPr>
          <w:rFonts w:cs="Arial"/>
          <w:rtl/>
        </w:rPr>
        <w:t xml:space="preserve"> </w:t>
      </w:r>
      <w:r>
        <w:rPr>
          <w:rFonts w:cs="Arial" w:hint="cs"/>
          <w:rtl/>
        </w:rPr>
        <w:t>מגורשת</w:t>
      </w:r>
      <w:r>
        <w:rPr>
          <w:rFonts w:cs="Arial"/>
          <w:rtl/>
        </w:rPr>
        <w:t xml:space="preserve">, </w:t>
      </w:r>
      <w:r>
        <w:rPr>
          <w:rFonts w:cs="Arial" w:hint="cs"/>
          <w:rtl/>
        </w:rPr>
        <w:t>שמא</w:t>
      </w:r>
      <w:r>
        <w:rPr>
          <w:rFonts w:cs="Arial"/>
          <w:rtl/>
        </w:rPr>
        <w:t xml:space="preserve"> </w:t>
      </w:r>
      <w:r>
        <w:rPr>
          <w:rFonts w:cs="Arial" w:hint="cs"/>
          <w:rtl/>
        </w:rPr>
        <w:t>שני</w:t>
      </w:r>
      <w:r>
        <w:rPr>
          <w:rFonts w:cs="Arial"/>
          <w:rtl/>
        </w:rPr>
        <w:t xml:space="preserve"> </w:t>
      </w:r>
      <w:r>
        <w:rPr>
          <w:rFonts w:cs="Arial" w:hint="cs"/>
          <w:rtl/>
        </w:rPr>
        <w:t>גיטין</w:t>
      </w:r>
      <w:r>
        <w:rPr>
          <w:rFonts w:cs="Arial"/>
          <w:rtl/>
        </w:rPr>
        <w:t xml:space="preserve"> </w:t>
      </w:r>
      <w:r>
        <w:rPr>
          <w:rFonts w:cs="Arial" w:hint="cs"/>
          <w:rtl/>
        </w:rPr>
        <w:t>היו</w:t>
      </w:r>
      <w:r>
        <w:rPr>
          <w:rFonts w:cs="Arial"/>
          <w:rtl/>
        </w:rPr>
        <w:t xml:space="preserve"> </w:t>
      </w:r>
      <w:r>
        <w:rPr>
          <w:rFonts w:cs="Arial" w:hint="cs"/>
          <w:rtl/>
        </w:rPr>
        <w:t>ונחתך</w:t>
      </w:r>
      <w:r>
        <w:rPr>
          <w:rFonts w:cs="Arial"/>
          <w:rtl/>
        </w:rPr>
        <w:t xml:space="preserve"> </w:t>
      </w:r>
      <w:r>
        <w:rPr>
          <w:rFonts w:cs="Arial" w:hint="cs"/>
          <w:rtl/>
        </w:rPr>
        <w:t>מקצת</w:t>
      </w:r>
      <w:r>
        <w:rPr>
          <w:rFonts w:cs="Arial"/>
          <w:rtl/>
        </w:rPr>
        <w:t xml:space="preserve"> </w:t>
      </w:r>
      <w:r>
        <w:rPr>
          <w:rFonts w:cs="Arial" w:hint="cs"/>
          <w:rtl/>
        </w:rPr>
        <w:t>זה</w:t>
      </w:r>
      <w:r>
        <w:rPr>
          <w:rFonts w:cs="Arial"/>
          <w:rtl/>
        </w:rPr>
        <w:t xml:space="preserve"> </w:t>
      </w:r>
      <w:r>
        <w:rPr>
          <w:rFonts w:cs="Arial" w:hint="cs"/>
          <w:rtl/>
        </w:rPr>
        <w:t>מסוף</w:t>
      </w:r>
      <w:r>
        <w:rPr>
          <w:rFonts w:cs="Arial"/>
          <w:rtl/>
        </w:rPr>
        <w:t xml:space="preserve"> </w:t>
      </w:r>
      <w:r>
        <w:rPr>
          <w:rFonts w:cs="Arial" w:hint="cs"/>
          <w:rtl/>
        </w:rPr>
        <w:t>הדף</w:t>
      </w:r>
      <w:r>
        <w:rPr>
          <w:rFonts w:cs="Arial"/>
          <w:rtl/>
        </w:rPr>
        <w:t xml:space="preserve"> </w:t>
      </w:r>
      <w:r>
        <w:rPr>
          <w:rFonts w:cs="Arial" w:hint="cs"/>
          <w:rtl/>
        </w:rPr>
        <w:t>ומקצת</w:t>
      </w:r>
      <w:r>
        <w:rPr>
          <w:rFonts w:cs="Arial"/>
          <w:rtl/>
        </w:rPr>
        <w:t xml:space="preserve"> </w:t>
      </w:r>
      <w:r>
        <w:rPr>
          <w:rFonts w:cs="Arial" w:hint="cs"/>
          <w:rtl/>
        </w:rPr>
        <w:t>השני</w:t>
      </w:r>
      <w:r>
        <w:rPr>
          <w:rFonts w:cs="Arial"/>
          <w:rtl/>
        </w:rPr>
        <w:t xml:space="preserve"> </w:t>
      </w:r>
      <w:r>
        <w:rPr>
          <w:rFonts w:cs="Arial" w:hint="cs"/>
          <w:rtl/>
        </w:rPr>
        <w:t>מראש</w:t>
      </w:r>
      <w:r>
        <w:rPr>
          <w:rFonts w:cs="Arial"/>
          <w:rtl/>
        </w:rPr>
        <w:t xml:space="preserve"> </w:t>
      </w:r>
      <w:r>
        <w:rPr>
          <w:rFonts w:cs="Arial" w:hint="cs"/>
          <w:rtl/>
        </w:rPr>
        <w:t>הדף</w:t>
      </w:r>
      <w:r>
        <w:rPr>
          <w:rFonts w:cs="Arial"/>
          <w:rtl/>
        </w:rPr>
        <w:t xml:space="preserve">. </w:t>
      </w:r>
      <w:r w:rsidRPr="000E0FC6">
        <w:rPr>
          <w:rFonts w:cs="Arial" w:hint="cs"/>
          <w:sz w:val="18"/>
          <w:szCs w:val="18"/>
          <w:rtl/>
        </w:rPr>
        <w:t>הגה</w:t>
      </w:r>
      <w:r w:rsidRPr="000E0FC6">
        <w:rPr>
          <w:rFonts w:cs="Arial"/>
          <w:sz w:val="18"/>
          <w:szCs w:val="18"/>
          <w:rtl/>
        </w:rPr>
        <w:t xml:space="preserve">: </w:t>
      </w:r>
      <w:r w:rsidRPr="000E0FC6">
        <w:rPr>
          <w:rFonts w:cs="Arial" w:hint="cs"/>
          <w:sz w:val="18"/>
          <w:szCs w:val="18"/>
          <w:rtl/>
        </w:rPr>
        <w:t>מיהו</w:t>
      </w:r>
      <w:r w:rsidRPr="000E0FC6">
        <w:rPr>
          <w:rFonts w:cs="Arial"/>
          <w:sz w:val="18"/>
          <w:szCs w:val="18"/>
          <w:rtl/>
        </w:rPr>
        <w:t xml:space="preserve"> </w:t>
      </w:r>
      <w:r w:rsidRPr="000E0FC6">
        <w:rPr>
          <w:rFonts w:cs="Arial" w:hint="cs"/>
          <w:sz w:val="18"/>
          <w:szCs w:val="18"/>
          <w:rtl/>
        </w:rPr>
        <w:t>אם</w:t>
      </w:r>
      <w:r w:rsidRPr="000E0FC6">
        <w:rPr>
          <w:rFonts w:cs="Arial"/>
          <w:sz w:val="18"/>
          <w:szCs w:val="18"/>
          <w:rtl/>
        </w:rPr>
        <w:t xml:space="preserve"> </w:t>
      </w:r>
      <w:r w:rsidRPr="000E0FC6">
        <w:rPr>
          <w:rFonts w:cs="Arial" w:hint="cs"/>
          <w:sz w:val="18"/>
          <w:szCs w:val="18"/>
          <w:rtl/>
        </w:rPr>
        <w:t>יש</w:t>
      </w:r>
      <w:r w:rsidRPr="000E0FC6">
        <w:rPr>
          <w:rFonts w:cs="Arial"/>
          <w:sz w:val="18"/>
          <w:szCs w:val="18"/>
          <w:rtl/>
        </w:rPr>
        <w:t xml:space="preserve"> </w:t>
      </w:r>
      <w:r w:rsidRPr="000E0FC6">
        <w:rPr>
          <w:rFonts w:cs="Arial" w:hint="cs"/>
          <w:sz w:val="18"/>
          <w:szCs w:val="18"/>
          <w:rtl/>
        </w:rPr>
        <w:t>עדים</w:t>
      </w:r>
      <w:r w:rsidRPr="000E0FC6">
        <w:rPr>
          <w:rFonts w:cs="Arial"/>
          <w:sz w:val="18"/>
          <w:szCs w:val="18"/>
          <w:rtl/>
        </w:rPr>
        <w:t xml:space="preserve"> </w:t>
      </w:r>
      <w:r w:rsidRPr="000E0FC6">
        <w:rPr>
          <w:rFonts w:cs="Arial" w:hint="cs"/>
          <w:sz w:val="18"/>
          <w:szCs w:val="18"/>
          <w:rtl/>
        </w:rPr>
        <w:t>שגט</w:t>
      </w:r>
      <w:r w:rsidRPr="000E0FC6">
        <w:rPr>
          <w:rFonts w:cs="Arial"/>
          <w:sz w:val="18"/>
          <w:szCs w:val="18"/>
          <w:rtl/>
        </w:rPr>
        <w:t xml:space="preserve"> </w:t>
      </w:r>
      <w:r w:rsidRPr="000E0FC6">
        <w:rPr>
          <w:rFonts w:cs="Arial" w:hint="cs"/>
          <w:sz w:val="18"/>
          <w:szCs w:val="18"/>
          <w:rtl/>
        </w:rPr>
        <w:t>אחד</w:t>
      </w:r>
      <w:r w:rsidRPr="000E0FC6">
        <w:rPr>
          <w:rFonts w:cs="Arial"/>
          <w:sz w:val="18"/>
          <w:szCs w:val="18"/>
          <w:rtl/>
        </w:rPr>
        <w:t xml:space="preserve"> </w:t>
      </w:r>
      <w:r w:rsidRPr="000E0FC6">
        <w:rPr>
          <w:rFonts w:cs="Arial" w:hint="cs"/>
          <w:sz w:val="18"/>
          <w:szCs w:val="18"/>
          <w:rtl/>
        </w:rPr>
        <w:t>היה</w:t>
      </w:r>
      <w:r w:rsidRPr="000E0FC6">
        <w:rPr>
          <w:rFonts w:cs="Arial"/>
          <w:sz w:val="18"/>
          <w:szCs w:val="18"/>
          <w:rtl/>
        </w:rPr>
        <w:t xml:space="preserve"> </w:t>
      </w:r>
      <w:r w:rsidRPr="000E0FC6">
        <w:rPr>
          <w:rFonts w:cs="Arial" w:hint="cs"/>
          <w:sz w:val="18"/>
          <w:szCs w:val="18"/>
          <w:rtl/>
        </w:rPr>
        <w:t>מתחלה</w:t>
      </w:r>
      <w:r w:rsidRPr="000E0FC6">
        <w:rPr>
          <w:rFonts w:cs="Arial"/>
          <w:sz w:val="18"/>
          <w:szCs w:val="18"/>
          <w:rtl/>
        </w:rPr>
        <w:t xml:space="preserve">, </w:t>
      </w:r>
      <w:r w:rsidRPr="000E0FC6">
        <w:rPr>
          <w:rFonts w:cs="Arial" w:hint="cs"/>
          <w:sz w:val="18"/>
          <w:szCs w:val="18"/>
          <w:rtl/>
        </w:rPr>
        <w:t>ונמסר</w:t>
      </w:r>
      <w:r w:rsidRPr="000E0FC6">
        <w:rPr>
          <w:rFonts w:cs="Arial"/>
          <w:sz w:val="18"/>
          <w:szCs w:val="18"/>
          <w:rtl/>
        </w:rPr>
        <w:t xml:space="preserve"> </w:t>
      </w:r>
      <w:r w:rsidRPr="000E0FC6">
        <w:rPr>
          <w:rFonts w:cs="Arial" w:hint="cs"/>
          <w:sz w:val="18"/>
          <w:szCs w:val="18"/>
          <w:rtl/>
        </w:rPr>
        <w:t>לה</w:t>
      </w:r>
      <w:r w:rsidRPr="000E0FC6">
        <w:rPr>
          <w:rFonts w:cs="Arial"/>
          <w:sz w:val="18"/>
          <w:szCs w:val="18"/>
          <w:rtl/>
        </w:rPr>
        <w:t xml:space="preserve"> </w:t>
      </w:r>
      <w:r w:rsidRPr="000E0FC6">
        <w:rPr>
          <w:rFonts w:cs="Arial" w:hint="cs"/>
          <w:sz w:val="18"/>
          <w:szCs w:val="18"/>
          <w:rtl/>
        </w:rPr>
        <w:t>בעדים</w:t>
      </w:r>
      <w:r>
        <w:rPr>
          <w:rStyle w:val="a7"/>
          <w:rFonts w:cs="Arial"/>
          <w:sz w:val="18"/>
          <w:szCs w:val="18"/>
          <w:rtl/>
        </w:rPr>
        <w:footnoteReference w:id="1213"/>
      </w:r>
      <w:r w:rsidRPr="000E0FC6">
        <w:rPr>
          <w:rFonts w:cs="Arial"/>
          <w:sz w:val="18"/>
          <w:szCs w:val="18"/>
          <w:rtl/>
        </w:rPr>
        <w:t xml:space="preserve">, </w:t>
      </w:r>
      <w:r w:rsidRPr="000E0FC6">
        <w:rPr>
          <w:rFonts w:cs="Arial" w:hint="cs"/>
          <w:sz w:val="18"/>
          <w:szCs w:val="18"/>
          <w:rtl/>
        </w:rPr>
        <w:t>כשר</w:t>
      </w:r>
      <w:r w:rsidRPr="000E0FC6">
        <w:rPr>
          <w:rFonts w:cs="Arial"/>
          <w:sz w:val="18"/>
          <w:szCs w:val="18"/>
          <w:rtl/>
        </w:rPr>
        <w:t xml:space="preserve"> (</w:t>
      </w:r>
      <w:r w:rsidRPr="000E0FC6">
        <w:rPr>
          <w:rFonts w:cs="Arial" w:hint="cs"/>
          <w:sz w:val="18"/>
          <w:szCs w:val="18"/>
          <w:rtl/>
        </w:rPr>
        <w:t>המ</w:t>
      </w:r>
      <w:r w:rsidRPr="000E0FC6">
        <w:rPr>
          <w:rFonts w:cs="Arial"/>
          <w:sz w:val="18"/>
          <w:szCs w:val="18"/>
          <w:rtl/>
        </w:rPr>
        <w:t>"</w:t>
      </w:r>
      <w:r w:rsidRPr="000E0FC6">
        <w:rPr>
          <w:rFonts w:cs="Arial" w:hint="cs"/>
          <w:sz w:val="18"/>
          <w:szCs w:val="18"/>
          <w:rtl/>
        </w:rPr>
        <w:t>מ</w:t>
      </w:r>
      <w:r w:rsidRPr="000E0FC6">
        <w:rPr>
          <w:rFonts w:cs="Arial"/>
          <w:sz w:val="18"/>
          <w:szCs w:val="18"/>
          <w:rtl/>
        </w:rPr>
        <w:t>).</w:t>
      </w:r>
      <w:r w:rsidRPr="00B45FBD">
        <w:rPr>
          <w:rFonts w:cs="Arial"/>
          <w:sz w:val="18"/>
          <w:szCs w:val="18"/>
          <w:rtl/>
        </w:rPr>
        <w:t xml:space="preserve"> </w:t>
      </w:r>
      <w:r w:rsidRPr="00B45FBD">
        <w:rPr>
          <w:rFonts w:cs="Arial" w:hint="cs"/>
          <w:sz w:val="18"/>
          <w:szCs w:val="18"/>
          <w:rtl/>
        </w:rPr>
        <w:t>דבק</w:t>
      </w:r>
      <w:r w:rsidRPr="00B45FBD">
        <w:rPr>
          <w:rFonts w:cs="Arial"/>
          <w:sz w:val="18"/>
          <w:szCs w:val="18"/>
          <w:rtl/>
        </w:rPr>
        <w:t xml:space="preserve"> </w:t>
      </w:r>
      <w:r w:rsidRPr="00B45FBD">
        <w:rPr>
          <w:rFonts w:cs="Arial" w:hint="cs"/>
          <w:sz w:val="18"/>
          <w:szCs w:val="18"/>
          <w:rtl/>
        </w:rPr>
        <w:t>שני</w:t>
      </w:r>
      <w:r w:rsidRPr="00B45FBD">
        <w:rPr>
          <w:rFonts w:cs="Arial"/>
          <w:sz w:val="18"/>
          <w:szCs w:val="18"/>
          <w:rtl/>
        </w:rPr>
        <w:t xml:space="preserve"> </w:t>
      </w:r>
      <w:r w:rsidRPr="00B45FBD">
        <w:rPr>
          <w:rFonts w:cs="Arial" w:hint="cs"/>
          <w:sz w:val="18"/>
          <w:szCs w:val="18"/>
          <w:rtl/>
        </w:rPr>
        <w:t>עורות</w:t>
      </w:r>
      <w:r w:rsidRPr="00B45FBD">
        <w:rPr>
          <w:rFonts w:cs="Arial"/>
          <w:sz w:val="18"/>
          <w:szCs w:val="18"/>
          <w:rtl/>
        </w:rPr>
        <w:t xml:space="preserve"> </w:t>
      </w:r>
      <w:r w:rsidRPr="00B45FBD">
        <w:rPr>
          <w:rFonts w:cs="Arial" w:hint="cs"/>
          <w:sz w:val="18"/>
          <w:szCs w:val="18"/>
          <w:rtl/>
        </w:rPr>
        <w:t>ביחד</w:t>
      </w:r>
      <w:r w:rsidRPr="00B45FBD">
        <w:rPr>
          <w:rFonts w:cs="Arial"/>
          <w:sz w:val="18"/>
          <w:szCs w:val="18"/>
          <w:rtl/>
        </w:rPr>
        <w:t xml:space="preserve"> </w:t>
      </w:r>
      <w:r w:rsidRPr="00B45FBD">
        <w:rPr>
          <w:rFonts w:cs="Arial" w:hint="cs"/>
          <w:sz w:val="18"/>
          <w:szCs w:val="18"/>
          <w:rtl/>
        </w:rPr>
        <w:t>על ידי</w:t>
      </w:r>
      <w:r w:rsidRPr="00B45FBD">
        <w:rPr>
          <w:rFonts w:cs="Arial"/>
          <w:sz w:val="18"/>
          <w:szCs w:val="18"/>
          <w:rtl/>
        </w:rPr>
        <w:t xml:space="preserve"> </w:t>
      </w:r>
      <w:r w:rsidRPr="00B45FBD">
        <w:rPr>
          <w:rFonts w:cs="Arial" w:hint="cs"/>
          <w:sz w:val="18"/>
          <w:szCs w:val="18"/>
          <w:rtl/>
        </w:rPr>
        <w:t>דבק</w:t>
      </w:r>
      <w:r w:rsidRPr="00B45FBD">
        <w:rPr>
          <w:rFonts w:cs="Arial"/>
          <w:sz w:val="18"/>
          <w:szCs w:val="18"/>
          <w:rtl/>
        </w:rPr>
        <w:t xml:space="preserve">, </w:t>
      </w:r>
      <w:r w:rsidRPr="00B45FBD">
        <w:rPr>
          <w:rFonts w:cs="Arial" w:hint="cs"/>
          <w:sz w:val="18"/>
          <w:szCs w:val="18"/>
          <w:rtl/>
        </w:rPr>
        <w:t>וכתב</w:t>
      </w:r>
      <w:r w:rsidRPr="00B45FBD">
        <w:rPr>
          <w:rFonts w:cs="Arial"/>
          <w:sz w:val="18"/>
          <w:szCs w:val="18"/>
          <w:rtl/>
        </w:rPr>
        <w:t xml:space="preserve"> </w:t>
      </w:r>
      <w:r w:rsidRPr="00B45FBD">
        <w:rPr>
          <w:rFonts w:cs="Arial" w:hint="cs"/>
          <w:sz w:val="18"/>
          <w:szCs w:val="18"/>
          <w:rtl/>
        </w:rPr>
        <w:t>עליהם</w:t>
      </w:r>
      <w:r w:rsidRPr="00B45FBD">
        <w:rPr>
          <w:rFonts w:cs="Arial"/>
          <w:sz w:val="18"/>
          <w:szCs w:val="18"/>
          <w:rtl/>
        </w:rPr>
        <w:t xml:space="preserve"> </w:t>
      </w:r>
      <w:r w:rsidRPr="00B45FBD">
        <w:rPr>
          <w:rFonts w:cs="Arial" w:hint="cs"/>
          <w:sz w:val="18"/>
          <w:szCs w:val="18"/>
          <w:rtl/>
        </w:rPr>
        <w:t>גט</w:t>
      </w:r>
      <w:r w:rsidRPr="00B45FBD">
        <w:rPr>
          <w:rFonts w:cs="Arial"/>
          <w:sz w:val="18"/>
          <w:szCs w:val="18"/>
          <w:rtl/>
        </w:rPr>
        <w:t xml:space="preserve">, </w:t>
      </w:r>
      <w:r w:rsidRPr="00B45FBD">
        <w:rPr>
          <w:rFonts w:cs="Arial" w:hint="cs"/>
          <w:sz w:val="18"/>
          <w:szCs w:val="18"/>
          <w:rtl/>
        </w:rPr>
        <w:t>פסול</w:t>
      </w:r>
      <w:r w:rsidRPr="00B45FBD">
        <w:rPr>
          <w:rFonts w:cs="Arial"/>
          <w:sz w:val="18"/>
          <w:szCs w:val="18"/>
          <w:rtl/>
        </w:rPr>
        <w:t xml:space="preserve"> </w:t>
      </w:r>
      <w:r w:rsidRPr="00B45FBD">
        <w:rPr>
          <w:rFonts w:cs="Arial" w:hint="cs"/>
          <w:sz w:val="18"/>
          <w:szCs w:val="18"/>
          <w:rtl/>
        </w:rPr>
        <w:t>מספק</w:t>
      </w:r>
      <w:r>
        <w:rPr>
          <w:rStyle w:val="a7"/>
          <w:rFonts w:cs="Arial"/>
          <w:sz w:val="18"/>
          <w:szCs w:val="18"/>
          <w:rtl/>
        </w:rPr>
        <w:footnoteReference w:id="1214"/>
      </w:r>
      <w:r w:rsidRPr="00B45FBD">
        <w:rPr>
          <w:rFonts w:cs="Arial"/>
          <w:sz w:val="18"/>
          <w:szCs w:val="18"/>
          <w:rtl/>
        </w:rPr>
        <w:t xml:space="preserve">. </w:t>
      </w:r>
    </w:p>
    <w:p w14:paraId="3A276FA1" w14:textId="77777777" w:rsidR="00FA2119" w:rsidRDefault="00FA2119" w:rsidP="00FA2119">
      <w:pPr>
        <w:rPr>
          <w:rtl/>
        </w:rPr>
      </w:pPr>
    </w:p>
    <w:p w14:paraId="15F23D38" w14:textId="77777777" w:rsidR="00FA2119" w:rsidRDefault="00FA2119" w:rsidP="00FA2119">
      <w:pPr>
        <w:pStyle w:val="2"/>
        <w:rPr>
          <w:rtl/>
        </w:rPr>
      </w:pPr>
      <w:r>
        <w:rPr>
          <w:rFonts w:hint="cs"/>
          <w:rtl/>
        </w:rPr>
        <w:t>סעיף</w:t>
      </w:r>
      <w:r>
        <w:rPr>
          <w:rtl/>
        </w:rPr>
        <w:t xml:space="preserve"> </w:t>
      </w:r>
      <w:r>
        <w:rPr>
          <w:rFonts w:hint="cs"/>
          <w:rtl/>
        </w:rPr>
        <w:t xml:space="preserve">ח: שתי גיטין על שני דפים במגילה אחת והעדים על שניהם. </w:t>
      </w:r>
    </w:p>
    <w:p w14:paraId="09235CFF" w14:textId="4CDF5560" w:rsidR="00FA2119" w:rsidRPr="00C40E95" w:rsidRDefault="00FA2119" w:rsidP="00FA2119">
      <w:pPr>
        <w:rPr>
          <w:rtl/>
        </w:rPr>
      </w:pPr>
      <w:r>
        <w:rPr>
          <w:rFonts w:cs="Arial" w:hint="cs"/>
          <w:b/>
          <w:bCs/>
          <w:rtl/>
        </w:rPr>
        <w:t>גיטין</w:t>
      </w:r>
      <w:r>
        <w:rPr>
          <w:rFonts w:cs="Arial"/>
          <w:b/>
          <w:bCs/>
          <w:rtl/>
        </w:rPr>
        <w:t xml:space="preserve"> </w:t>
      </w:r>
      <w:r>
        <w:rPr>
          <w:rFonts w:cs="Arial"/>
          <w:b/>
          <w:bCs/>
          <w:szCs w:val="16"/>
          <w:rtl/>
        </w:rPr>
        <w:t>(פ'</w:t>
      </w:r>
      <w:r>
        <w:rPr>
          <w:rFonts w:cs="Arial" w:hint="cs"/>
          <w:b/>
          <w:bCs/>
          <w:szCs w:val="16"/>
          <w:rtl/>
        </w:rPr>
        <w:t xml:space="preserve"> המגרש</w:t>
      </w:r>
      <w:r>
        <w:rPr>
          <w:rFonts w:cs="Arial"/>
          <w:b/>
          <w:bCs/>
          <w:szCs w:val="16"/>
          <w:rtl/>
        </w:rPr>
        <w:t xml:space="preserve">) </w:t>
      </w:r>
      <w:r>
        <w:rPr>
          <w:rFonts w:cs="Arial" w:hint="cs"/>
          <w:b/>
          <w:bCs/>
          <w:rtl/>
        </w:rPr>
        <w:t>פז</w:t>
      </w:r>
      <w:r>
        <w:rPr>
          <w:rFonts w:cs="Arial"/>
          <w:b/>
          <w:bCs/>
          <w:rtl/>
        </w:rPr>
        <w:t xml:space="preserve"> ע"</w:t>
      </w:r>
      <w:r>
        <w:rPr>
          <w:rFonts w:cs="Arial" w:hint="cs"/>
          <w:b/>
          <w:bCs/>
          <w:rtl/>
        </w:rPr>
        <w:t>ב</w:t>
      </w:r>
      <w:r>
        <w:rPr>
          <w:rFonts w:cs="Arial"/>
          <w:b/>
          <w:bCs/>
          <w:rtl/>
        </w:rPr>
        <w:t>:</w:t>
      </w:r>
      <w:r>
        <w:rPr>
          <w:rFonts w:cs="Arial" w:hint="cs"/>
          <w:b/>
          <w:bCs/>
          <w:rtl/>
        </w:rPr>
        <w:t xml:space="preserve"> </w:t>
      </w:r>
      <w:r w:rsidRPr="001C6A45">
        <w:rPr>
          <w:rFonts w:cs="Arial" w:hint="cs"/>
          <w:u w:val="double"/>
          <w:rtl/>
        </w:rPr>
        <w:t>מתני'</w:t>
      </w:r>
      <w:r>
        <w:rPr>
          <w:rFonts w:cs="Arial" w:hint="cs"/>
          <w:rtl/>
        </w:rPr>
        <w:t>:</w:t>
      </w:r>
      <w:r w:rsidRPr="000F5259">
        <w:rPr>
          <w:rtl/>
        </w:rPr>
        <w:t xml:space="preserve"> </w:t>
      </w:r>
      <w:r>
        <w:rPr>
          <w:rFonts w:cs="Arial"/>
          <w:rtl/>
        </w:rPr>
        <w:t>שני גיטין שכתבן זה בצד זה</w:t>
      </w:r>
      <w:r>
        <w:rPr>
          <w:rStyle w:val="a7"/>
          <w:rFonts w:cs="Arial"/>
          <w:rtl/>
        </w:rPr>
        <w:footnoteReference w:id="1215"/>
      </w:r>
      <w:r>
        <w:rPr>
          <w:rFonts w:cs="Arial"/>
          <w:rtl/>
        </w:rPr>
        <w:t>, ושנים עדים עברים באים מתחת</w:t>
      </w:r>
      <w:r>
        <w:rPr>
          <w:rStyle w:val="a7"/>
          <w:rFonts w:cs="Arial"/>
          <w:rtl/>
        </w:rPr>
        <w:footnoteReference w:id="1216"/>
      </w:r>
      <w:r>
        <w:rPr>
          <w:rFonts w:cs="Arial"/>
          <w:rtl/>
        </w:rPr>
        <w:t xml:space="preserve"> זה לתחת זה, ושנים עדים יונים באים מתחת זה לתחת זה, את שהעדים הראשונים נקראין עמו </w:t>
      </w:r>
      <w:r w:rsidR="00A82951">
        <w:rPr>
          <w:rFonts w:cs="Arial"/>
          <w:rtl/>
        </w:rPr>
        <w:t>-</w:t>
      </w:r>
      <w:r>
        <w:rPr>
          <w:rFonts w:cs="Arial"/>
          <w:rtl/>
        </w:rPr>
        <w:t xml:space="preserve"> כשר</w:t>
      </w:r>
      <w:r>
        <w:rPr>
          <w:rStyle w:val="a7"/>
          <w:rFonts w:cs="Arial"/>
          <w:rtl/>
        </w:rPr>
        <w:footnoteReference w:id="1217"/>
      </w:r>
      <w:r>
        <w:rPr>
          <w:rFonts w:cs="Arial" w:hint="cs"/>
          <w:rtl/>
        </w:rPr>
        <w:t>..</w:t>
      </w:r>
      <w:r>
        <w:rPr>
          <w:rFonts w:cs="Arial"/>
          <w:rtl/>
        </w:rPr>
        <w:t>.</w:t>
      </w:r>
      <w:r>
        <w:rPr>
          <w:rFonts w:cs="Arial" w:hint="cs"/>
          <w:rtl/>
        </w:rPr>
        <w:t xml:space="preserve">     </w:t>
      </w:r>
      <w:r>
        <w:rPr>
          <w:rFonts w:cs="Arial"/>
          <w:rtl/>
        </w:rPr>
        <w:t xml:space="preserve"> </w:t>
      </w:r>
      <w:r w:rsidRPr="00C40E95">
        <w:rPr>
          <w:rFonts w:cs="Arial"/>
          <w:u w:val="double"/>
          <w:rtl/>
        </w:rPr>
        <w:t>גמ'</w:t>
      </w:r>
      <w:r>
        <w:rPr>
          <w:rFonts w:cs="Arial" w:hint="cs"/>
          <w:rtl/>
        </w:rPr>
        <w:t>:</w:t>
      </w:r>
      <w:r>
        <w:rPr>
          <w:rFonts w:cs="Arial"/>
          <w:rtl/>
        </w:rPr>
        <w:t xml:space="preserve"> וליתכשר האי בראובן והאי בבן יעקב עד, דהא תנן: בן איש פלוני עד </w:t>
      </w:r>
      <w:r w:rsidR="00A82951">
        <w:rPr>
          <w:rFonts w:cs="Arial"/>
          <w:rtl/>
        </w:rPr>
        <w:t>-</w:t>
      </w:r>
      <w:r>
        <w:rPr>
          <w:rFonts w:cs="Arial"/>
          <w:rtl/>
        </w:rPr>
        <w:t xml:space="preserve"> כשר</w:t>
      </w:r>
      <w:r>
        <w:rPr>
          <w:rStyle w:val="a7"/>
          <w:rFonts w:cs="Arial"/>
          <w:rtl/>
        </w:rPr>
        <w:footnoteReference w:id="1218"/>
      </w:r>
      <w:r>
        <w:rPr>
          <w:rFonts w:cs="Arial"/>
          <w:rtl/>
        </w:rPr>
        <w:t xml:space="preserve">! דכתב ראובן בן אקמא ויעקב עד אבתרא. וליתכשר האי בראובן בן, וליתכשר האי ביעקב עד, דהא תנן: איש פלוני עד </w:t>
      </w:r>
      <w:r w:rsidR="00A82951">
        <w:rPr>
          <w:rFonts w:cs="Arial"/>
          <w:rtl/>
        </w:rPr>
        <w:t>-</w:t>
      </w:r>
      <w:r>
        <w:rPr>
          <w:rFonts w:cs="Arial"/>
          <w:rtl/>
        </w:rPr>
        <w:t xml:space="preserve"> כשר! דלא כתב עד. ואיבעית אימא: לעולם דכתב עד, ודידעינן בהא חתימה דלאו דיעקב הוא.</w:t>
      </w:r>
      <w:r w:rsidRPr="00627A00">
        <w:rPr>
          <w:rFonts w:cs="Arial"/>
          <w:rtl/>
        </w:rPr>
        <w:t xml:space="preserve"> </w:t>
      </w:r>
      <w:r w:rsidRPr="008D743C">
        <w:rPr>
          <w:rFonts w:cs="Arial" w:hint="cs"/>
          <w:sz w:val="16"/>
          <w:szCs w:val="16"/>
          <w:rtl/>
        </w:rPr>
        <w:t>(</w:t>
      </w:r>
      <w:r w:rsidRPr="008D743C">
        <w:rPr>
          <w:rFonts w:cs="Arial"/>
          <w:sz w:val="16"/>
          <w:szCs w:val="16"/>
          <w:rtl/>
        </w:rPr>
        <w:t>ולא כתב רבינו דין עדים יונים</w:t>
      </w:r>
      <w:r w:rsidRPr="008D743C">
        <w:rPr>
          <w:rFonts w:cs="Arial" w:hint="cs"/>
          <w:sz w:val="16"/>
          <w:szCs w:val="16"/>
          <w:rtl/>
        </w:rPr>
        <w:t>,</w:t>
      </w:r>
      <w:r w:rsidRPr="008D743C">
        <w:rPr>
          <w:rFonts w:cs="Arial"/>
          <w:sz w:val="16"/>
          <w:szCs w:val="16"/>
          <w:rtl/>
        </w:rPr>
        <w:t xml:space="preserve"> גם דין אחר דאיתא מעד אחד עברי ועד אחד יוני</w:t>
      </w:r>
      <w:r w:rsidRPr="008D743C">
        <w:rPr>
          <w:rFonts w:cs="Arial" w:hint="cs"/>
          <w:sz w:val="16"/>
          <w:szCs w:val="16"/>
          <w:rtl/>
        </w:rPr>
        <w:t>,</w:t>
      </w:r>
      <w:r w:rsidRPr="008D743C">
        <w:rPr>
          <w:rFonts w:cs="Arial"/>
          <w:sz w:val="16"/>
          <w:szCs w:val="16"/>
          <w:rtl/>
        </w:rPr>
        <w:t xml:space="preserve"> גם הרמב"ם לא הזכיר דינים הללו</w:t>
      </w:r>
      <w:r w:rsidRPr="008D743C">
        <w:rPr>
          <w:rFonts w:cs="Arial" w:hint="cs"/>
          <w:sz w:val="16"/>
          <w:szCs w:val="16"/>
          <w:rtl/>
        </w:rPr>
        <w:t>,</w:t>
      </w:r>
      <w:r w:rsidRPr="008D743C">
        <w:rPr>
          <w:rFonts w:cs="Arial"/>
          <w:sz w:val="16"/>
          <w:szCs w:val="16"/>
          <w:rtl/>
        </w:rPr>
        <w:t xml:space="preserve"> לפי שהוא דבר בלתי מצוי לכתוב שני גיטין זה בצד זה ושיחתמו בו העדים בענין כזה</w:t>
      </w:r>
      <w:r w:rsidRPr="008D743C">
        <w:rPr>
          <w:rFonts w:cs="Arial" w:hint="cs"/>
          <w:sz w:val="16"/>
          <w:szCs w:val="16"/>
          <w:rtl/>
        </w:rPr>
        <w:t>, ב"י</w:t>
      </w:r>
      <w:r>
        <w:rPr>
          <w:rFonts w:cs="Arial" w:hint="cs"/>
          <w:sz w:val="16"/>
          <w:szCs w:val="16"/>
          <w:rtl/>
        </w:rPr>
        <w:t>)</w:t>
      </w:r>
    </w:p>
    <w:p w14:paraId="2CB35956" w14:textId="2588D8BE" w:rsidR="00FA2119" w:rsidRPr="00AD64A7" w:rsidRDefault="00FA2119" w:rsidP="00FA2119">
      <w:pPr>
        <w:rPr>
          <w:u w:val="single"/>
          <w:rtl/>
        </w:rPr>
      </w:pPr>
      <w:r w:rsidRPr="00AD64A7">
        <w:rPr>
          <w:rFonts w:hint="cs"/>
          <w:u w:val="single"/>
          <w:rtl/>
        </w:rPr>
        <w:t>שתי גיטין על שני דפים במגילה אחת</w:t>
      </w:r>
      <w:r>
        <w:rPr>
          <w:rFonts w:hint="cs"/>
          <w:u w:val="single"/>
          <w:rtl/>
        </w:rPr>
        <w:t xml:space="preserve"> </w:t>
      </w:r>
      <w:r w:rsidR="00A82951">
        <w:rPr>
          <w:rFonts w:hint="cs"/>
          <w:u w:val="single"/>
          <w:rtl/>
        </w:rPr>
        <w:t>-</w:t>
      </w:r>
      <w:r>
        <w:rPr>
          <w:rFonts w:hint="cs"/>
          <w:u w:val="single"/>
          <w:rtl/>
        </w:rPr>
        <w:t xml:space="preserve"> והעדים באים מתחת זה לתחת זה</w:t>
      </w:r>
      <w:r w:rsidRPr="00AD64A7">
        <w:rPr>
          <w:rFonts w:hint="cs"/>
          <w:u w:val="single"/>
          <w:rtl/>
        </w:rPr>
        <w:t>:</w:t>
      </w:r>
    </w:p>
    <w:p w14:paraId="777702A5" w14:textId="6B18DE60" w:rsidR="00FA2119" w:rsidRDefault="00FA2119" w:rsidP="00FA2119">
      <w:pPr>
        <w:pStyle w:val="ab"/>
        <w:numPr>
          <w:ilvl w:val="0"/>
          <w:numId w:val="80"/>
        </w:numPr>
      </w:pPr>
      <w:r>
        <w:rPr>
          <w:rFonts w:cs="Arial" w:hint="cs"/>
          <w:rtl/>
        </w:rPr>
        <w:lastRenderedPageBreak/>
        <w:t>רמב"ם</w:t>
      </w:r>
      <w:r>
        <w:rPr>
          <w:rStyle w:val="a7"/>
          <w:rFonts w:cs="Arial"/>
          <w:rtl/>
        </w:rPr>
        <w:footnoteReference w:id="1219"/>
      </w:r>
      <w:r>
        <w:rPr>
          <w:rFonts w:cs="Arial" w:hint="cs"/>
          <w:rtl/>
        </w:rPr>
        <w:t xml:space="preserve"> </w:t>
      </w:r>
      <w:r>
        <w:rPr>
          <w:rFonts w:cs="Arial" w:hint="cs"/>
          <w:sz w:val="16"/>
          <w:szCs w:val="16"/>
          <w:rtl/>
        </w:rPr>
        <w:t>(פ"ד הכ"א)</w:t>
      </w:r>
      <w:r>
        <w:rPr>
          <w:rFonts w:cs="Arial" w:hint="cs"/>
          <w:rtl/>
        </w:rPr>
        <w:t xml:space="preserve"> וטור</w:t>
      </w:r>
      <w:r w:rsidR="00A82951">
        <w:rPr>
          <w:rFonts w:cs="Arial" w:hint="cs"/>
          <w:rtl/>
        </w:rPr>
        <w:t>-</w:t>
      </w:r>
      <w:r>
        <w:rPr>
          <w:rFonts w:cs="Arial" w:hint="cs"/>
          <w:rtl/>
        </w:rPr>
        <w:t xml:space="preserve"> </w:t>
      </w:r>
      <w:r>
        <w:rPr>
          <w:rFonts w:cs="Arial"/>
          <w:rtl/>
        </w:rPr>
        <w:t>כתב שני גיטין בב' דפין במגילה אחת זה אצל זה</w:t>
      </w:r>
      <w:r>
        <w:rPr>
          <w:rFonts w:cs="Arial" w:hint="cs"/>
          <w:rtl/>
        </w:rPr>
        <w:t>,</w:t>
      </w:r>
      <w:r>
        <w:rPr>
          <w:rFonts w:cs="Arial"/>
          <w:rtl/>
        </w:rPr>
        <w:t xml:space="preserve"> והעדים יוצאין מתחת זה לזה</w:t>
      </w:r>
      <w:r>
        <w:rPr>
          <w:rFonts w:cs="Arial" w:hint="cs"/>
          <w:rtl/>
        </w:rPr>
        <w:t>,</w:t>
      </w:r>
      <w:r>
        <w:rPr>
          <w:rFonts w:cs="Arial"/>
          <w:rtl/>
        </w:rPr>
        <w:t xml:space="preserve"> את שהעדים נקראים עמו </w:t>
      </w:r>
      <w:r w:rsidR="00A82951">
        <w:rPr>
          <w:rFonts w:cs="Arial" w:hint="cs"/>
          <w:rtl/>
        </w:rPr>
        <w:t>-</w:t>
      </w:r>
      <w:r>
        <w:rPr>
          <w:rFonts w:cs="Arial" w:hint="cs"/>
          <w:rtl/>
        </w:rPr>
        <w:t xml:space="preserve"> </w:t>
      </w:r>
      <w:r>
        <w:rPr>
          <w:rFonts w:cs="Arial"/>
          <w:rtl/>
        </w:rPr>
        <w:t>כשר</w:t>
      </w:r>
      <w:r>
        <w:rPr>
          <w:rFonts w:cs="Arial" w:hint="cs"/>
          <w:rtl/>
        </w:rPr>
        <w:t>.</w:t>
      </w:r>
      <w:r>
        <w:rPr>
          <w:rFonts w:cs="Arial"/>
          <w:rtl/>
        </w:rPr>
        <w:t xml:space="preserve"> כגון אם שמם תחת הימיני</w:t>
      </w:r>
      <w:r>
        <w:rPr>
          <w:rFonts w:cs="Arial" w:hint="cs"/>
          <w:rtl/>
        </w:rPr>
        <w:t>,</w:t>
      </w:r>
      <w:r>
        <w:rPr>
          <w:rFonts w:cs="Arial"/>
          <w:rtl/>
        </w:rPr>
        <w:t xml:space="preserve"> ושם אביהם תחת השמאלי</w:t>
      </w:r>
      <w:r>
        <w:rPr>
          <w:rFonts w:cs="Arial" w:hint="cs"/>
          <w:rtl/>
        </w:rPr>
        <w:t xml:space="preserve"> </w:t>
      </w:r>
      <w:r w:rsidR="00A82951">
        <w:rPr>
          <w:rFonts w:cs="Arial" w:hint="cs"/>
          <w:rtl/>
        </w:rPr>
        <w:t>-</w:t>
      </w:r>
      <w:r>
        <w:rPr>
          <w:rFonts w:cs="Arial"/>
          <w:rtl/>
        </w:rPr>
        <w:t xml:space="preserve"> אז הימיני כשר</w:t>
      </w:r>
      <w:r>
        <w:rPr>
          <w:rFonts w:cs="Arial" w:hint="cs"/>
          <w:rtl/>
        </w:rPr>
        <w:t>.</w:t>
      </w:r>
      <w:r>
        <w:rPr>
          <w:rFonts w:cs="Arial"/>
          <w:rtl/>
        </w:rPr>
        <w:t xml:space="preserve"> ואם שמם תחת השמאלי</w:t>
      </w:r>
      <w:r>
        <w:rPr>
          <w:rFonts w:cs="Arial" w:hint="cs"/>
          <w:rtl/>
        </w:rPr>
        <w:t>,</w:t>
      </w:r>
      <w:r>
        <w:rPr>
          <w:rFonts w:cs="Arial"/>
          <w:rtl/>
        </w:rPr>
        <w:t xml:space="preserve"> ושם אביהם תחת הימיני</w:t>
      </w:r>
      <w:r>
        <w:rPr>
          <w:rFonts w:cs="Arial" w:hint="cs"/>
          <w:rtl/>
        </w:rPr>
        <w:t>,</w:t>
      </w:r>
      <w:r>
        <w:rPr>
          <w:rFonts w:cs="Arial"/>
          <w:rtl/>
        </w:rPr>
        <w:t xml:space="preserve"> כגון שחתמו בשני שיטין כזה</w:t>
      </w:r>
      <w:r>
        <w:rPr>
          <w:rStyle w:val="a7"/>
          <w:rFonts w:cs="Arial"/>
          <w:rtl/>
        </w:rPr>
        <w:footnoteReference w:id="1220"/>
      </w:r>
      <w:r>
        <w:rPr>
          <w:rFonts w:cs="Arial"/>
          <w:rtl/>
        </w:rPr>
        <w:t xml:space="preserve"> </w:t>
      </w:r>
      <w:r w:rsidR="00A82951">
        <w:rPr>
          <w:rFonts w:cs="Arial" w:hint="cs"/>
          <w:rtl/>
        </w:rPr>
        <w:t>-</w:t>
      </w:r>
      <w:r>
        <w:rPr>
          <w:rFonts w:cs="Arial" w:hint="cs"/>
          <w:rtl/>
        </w:rPr>
        <w:t xml:space="preserve"> </w:t>
      </w:r>
      <w:r>
        <w:rPr>
          <w:rFonts w:cs="Arial"/>
          <w:rtl/>
        </w:rPr>
        <w:t>אז השמאלי כשר</w:t>
      </w:r>
      <w:r>
        <w:rPr>
          <w:rStyle w:val="a7"/>
          <w:rFonts w:cs="Arial"/>
          <w:rtl/>
        </w:rPr>
        <w:footnoteReference w:id="1221"/>
      </w:r>
      <w:r>
        <w:rPr>
          <w:rFonts w:cs="Arial" w:hint="cs"/>
          <w:sz w:val="16"/>
          <w:szCs w:val="16"/>
          <w:rtl/>
        </w:rPr>
        <w:t xml:space="preserve"> (ל' הטור)</w:t>
      </w:r>
      <w:r>
        <w:rPr>
          <w:rFonts w:cs="Arial" w:hint="cs"/>
          <w:rtl/>
        </w:rPr>
        <w:t>.</w:t>
      </w:r>
      <w:r>
        <w:rPr>
          <w:rFonts w:cs="Arial"/>
          <w:rtl/>
        </w:rPr>
        <w:t xml:space="preserve"> </w:t>
      </w:r>
      <w:r w:rsidRPr="001C2ACE">
        <w:rPr>
          <w:rFonts w:cs="Arial" w:hint="cs"/>
          <w:color w:val="E36C0A" w:themeColor="accent6" w:themeShade="BF"/>
          <w:rtl/>
        </w:rPr>
        <w:t>(וכ"פ בשו"ע</w:t>
      </w:r>
      <w:r>
        <w:rPr>
          <w:rFonts w:cs="Arial" w:hint="cs"/>
          <w:color w:val="E36C0A" w:themeColor="accent6" w:themeShade="BF"/>
          <w:rtl/>
        </w:rPr>
        <w:t>)</w:t>
      </w:r>
    </w:p>
    <w:p w14:paraId="2BAD5BF2" w14:textId="77777777" w:rsidR="00FA2119" w:rsidRPr="00B20C77" w:rsidRDefault="00FA2119" w:rsidP="00FA2119">
      <w:pPr>
        <w:ind w:left="360"/>
        <w:rPr>
          <w:u w:val="dotted"/>
        </w:rPr>
      </w:pPr>
      <w:r w:rsidRPr="00B20C77">
        <w:rPr>
          <w:rFonts w:hint="cs"/>
          <w:u w:val="dotted"/>
          <w:rtl/>
        </w:rPr>
        <w:t>ומה הדין אם כתב באחד 'ראובן' ובשני כתב 'בן יעקב עד':</w:t>
      </w:r>
    </w:p>
    <w:p w14:paraId="34AD0AE3" w14:textId="222936D4" w:rsidR="00FA2119" w:rsidRPr="00A14BB0" w:rsidRDefault="00FA2119" w:rsidP="00FA2119">
      <w:pPr>
        <w:pStyle w:val="ab"/>
        <w:numPr>
          <w:ilvl w:val="0"/>
          <w:numId w:val="80"/>
        </w:numPr>
        <w:rPr>
          <w:rtl/>
        </w:rPr>
      </w:pPr>
      <w:r>
        <w:rPr>
          <w:rFonts w:cs="Arial" w:hint="cs"/>
          <w:rtl/>
        </w:rPr>
        <w:t>רי"ו</w:t>
      </w:r>
      <w:r w:rsidRPr="00B20C77">
        <w:rPr>
          <w:rFonts w:cs="Arial" w:hint="cs"/>
          <w:rtl/>
        </w:rPr>
        <w:t xml:space="preserve"> </w:t>
      </w:r>
      <w:r w:rsidRPr="00902BCE">
        <w:rPr>
          <w:rFonts w:cs="Arial"/>
          <w:sz w:val="16"/>
          <w:szCs w:val="16"/>
          <w:rtl/>
        </w:rPr>
        <w:t>(</w:t>
      </w:r>
      <w:r w:rsidRPr="00902BCE">
        <w:rPr>
          <w:rFonts w:cs="Arial" w:hint="cs"/>
          <w:sz w:val="16"/>
          <w:szCs w:val="16"/>
          <w:rtl/>
        </w:rPr>
        <w:t xml:space="preserve">ח"ב </w:t>
      </w:r>
      <w:r w:rsidRPr="00902BCE">
        <w:rPr>
          <w:rFonts w:cs="Arial"/>
          <w:sz w:val="16"/>
          <w:szCs w:val="16"/>
          <w:rtl/>
        </w:rPr>
        <w:t>נכ"</w:t>
      </w:r>
      <w:r>
        <w:rPr>
          <w:rFonts w:cs="Arial" w:hint="cs"/>
          <w:sz w:val="16"/>
          <w:szCs w:val="16"/>
          <w:rtl/>
        </w:rPr>
        <w:t>ד</w:t>
      </w:r>
      <w:r w:rsidRPr="00902BCE">
        <w:rPr>
          <w:rFonts w:cs="Arial"/>
          <w:sz w:val="16"/>
          <w:szCs w:val="16"/>
          <w:rtl/>
        </w:rPr>
        <w:t xml:space="preserve"> רה ע"ד)</w:t>
      </w:r>
      <w:r w:rsidR="00A82951">
        <w:rPr>
          <w:rFonts w:cs="Arial" w:hint="cs"/>
          <w:rtl/>
        </w:rPr>
        <w:t>-</w:t>
      </w:r>
      <w:r w:rsidRPr="00902BCE">
        <w:rPr>
          <w:rtl/>
        </w:rPr>
        <w:t xml:space="preserve"> </w:t>
      </w:r>
      <w:r w:rsidRPr="00902BCE">
        <w:rPr>
          <w:rFonts w:cs="Arial"/>
          <w:rtl/>
        </w:rPr>
        <w:t xml:space="preserve">אם היה בגט השני </w:t>
      </w:r>
      <w:r>
        <w:rPr>
          <w:rFonts w:cs="Arial" w:hint="cs"/>
          <w:rtl/>
        </w:rPr>
        <w:t>'</w:t>
      </w:r>
      <w:r w:rsidRPr="00902BCE">
        <w:rPr>
          <w:rFonts w:cs="Arial"/>
          <w:rtl/>
        </w:rPr>
        <w:t>בן יעקב עד</w:t>
      </w:r>
      <w:r>
        <w:rPr>
          <w:rFonts w:cs="Arial" w:hint="cs"/>
          <w:rtl/>
        </w:rPr>
        <w:t>'</w:t>
      </w:r>
      <w:r w:rsidRPr="00902BCE">
        <w:rPr>
          <w:rFonts w:cs="Arial"/>
          <w:rtl/>
        </w:rPr>
        <w:t xml:space="preserve"> עברי</w:t>
      </w:r>
      <w:r>
        <w:rPr>
          <w:rFonts w:cs="Arial" w:hint="cs"/>
          <w:rtl/>
        </w:rPr>
        <w:t xml:space="preserve"> </w:t>
      </w:r>
      <w:r w:rsidR="00A82951">
        <w:rPr>
          <w:rFonts w:cs="Arial" w:hint="cs"/>
          <w:rtl/>
        </w:rPr>
        <w:t>-</w:t>
      </w:r>
      <w:r w:rsidRPr="00902BCE">
        <w:rPr>
          <w:rFonts w:cs="Arial"/>
          <w:rtl/>
        </w:rPr>
        <w:t xml:space="preserve"> היה כשר</w:t>
      </w:r>
      <w:r>
        <w:rPr>
          <w:rFonts w:cs="Arial" w:hint="cs"/>
          <w:rtl/>
        </w:rPr>
        <w:t>,</w:t>
      </w:r>
      <w:r w:rsidRPr="00902BCE">
        <w:rPr>
          <w:rFonts w:cs="Arial"/>
          <w:rtl/>
        </w:rPr>
        <w:t xml:space="preserve"> כמו כן השני</w:t>
      </w:r>
      <w:r>
        <w:rPr>
          <w:rFonts w:cs="Arial" w:hint="cs"/>
          <w:rtl/>
        </w:rPr>
        <w:t>.</w:t>
      </w:r>
      <w:r w:rsidRPr="00902BCE">
        <w:rPr>
          <w:rFonts w:cs="Arial"/>
          <w:rtl/>
        </w:rPr>
        <w:t xml:space="preserve"> אלא מיירי שכתב תחת הראשון </w:t>
      </w:r>
      <w:r>
        <w:rPr>
          <w:rFonts w:cs="Arial" w:hint="cs"/>
          <w:rtl/>
        </w:rPr>
        <w:t>'</w:t>
      </w:r>
      <w:r w:rsidRPr="00902BCE">
        <w:rPr>
          <w:rFonts w:cs="Arial"/>
          <w:rtl/>
        </w:rPr>
        <w:t>ראובן בן</w:t>
      </w:r>
      <w:r>
        <w:rPr>
          <w:rFonts w:cs="Arial" w:hint="cs"/>
          <w:rtl/>
        </w:rPr>
        <w:t>'</w:t>
      </w:r>
      <w:r w:rsidRPr="00902BCE">
        <w:rPr>
          <w:rFonts w:cs="Arial"/>
          <w:rtl/>
        </w:rPr>
        <w:t xml:space="preserve"> ותחת השני </w:t>
      </w:r>
      <w:r>
        <w:rPr>
          <w:rFonts w:cs="Arial" w:hint="cs"/>
          <w:rtl/>
        </w:rPr>
        <w:t>'</w:t>
      </w:r>
      <w:r w:rsidRPr="00902BCE">
        <w:rPr>
          <w:rFonts w:cs="Arial"/>
          <w:rtl/>
        </w:rPr>
        <w:t>יעקב עד</w:t>
      </w:r>
      <w:r>
        <w:rPr>
          <w:rFonts w:cs="Arial" w:hint="cs"/>
          <w:rtl/>
        </w:rPr>
        <w:t>'</w:t>
      </w:r>
      <w:r>
        <w:rPr>
          <w:rStyle w:val="a7"/>
          <w:rFonts w:cs="Arial"/>
          <w:rtl/>
        </w:rPr>
        <w:footnoteReference w:id="1222"/>
      </w:r>
      <w:r>
        <w:rPr>
          <w:rFonts w:cs="Arial" w:hint="cs"/>
          <w:rtl/>
        </w:rPr>
        <w:t>.</w:t>
      </w:r>
      <w:r w:rsidRPr="00B20C77">
        <w:rPr>
          <w:rFonts w:cs="Arial"/>
          <w:rtl/>
        </w:rPr>
        <w:t xml:space="preserve"> </w:t>
      </w:r>
      <w:r w:rsidRPr="001C2ACE">
        <w:rPr>
          <w:rFonts w:cs="Arial" w:hint="cs"/>
          <w:color w:val="E36C0A" w:themeColor="accent6" w:themeShade="BF"/>
          <w:rtl/>
        </w:rPr>
        <w:t>(וכ"פ בשו"ע</w:t>
      </w:r>
      <w:r>
        <w:rPr>
          <w:rFonts w:cs="Arial" w:hint="cs"/>
          <w:color w:val="E36C0A" w:themeColor="accent6" w:themeShade="BF"/>
          <w:rtl/>
        </w:rPr>
        <w:t>)</w:t>
      </w:r>
    </w:p>
    <w:p w14:paraId="6D87743D"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08336D5" w14:textId="7348E1C2" w:rsidR="00FA2119" w:rsidRDefault="00FA2119" w:rsidP="00FA2119">
      <w:pPr>
        <w:rPr>
          <w:rtl/>
        </w:rPr>
      </w:pPr>
      <w:r>
        <w:rPr>
          <w:rFonts w:cs="Arial" w:hint="cs"/>
          <w:rtl/>
        </w:rPr>
        <w:t>כתב</w:t>
      </w:r>
      <w:r>
        <w:rPr>
          <w:rFonts w:cs="Arial"/>
          <w:rtl/>
        </w:rPr>
        <w:t xml:space="preserve"> </w:t>
      </w:r>
      <w:r>
        <w:rPr>
          <w:rFonts w:cs="Arial" w:hint="cs"/>
          <w:rtl/>
        </w:rPr>
        <w:t>שני</w:t>
      </w:r>
      <w:r>
        <w:rPr>
          <w:rFonts w:cs="Arial"/>
          <w:rtl/>
        </w:rPr>
        <w:t xml:space="preserve"> </w:t>
      </w:r>
      <w:r>
        <w:rPr>
          <w:rFonts w:cs="Arial" w:hint="cs"/>
          <w:rtl/>
        </w:rPr>
        <w:t>גיטין</w:t>
      </w:r>
      <w:r>
        <w:rPr>
          <w:rFonts w:cs="Arial"/>
          <w:rtl/>
        </w:rPr>
        <w:t xml:space="preserve"> </w:t>
      </w:r>
      <w:r>
        <w:rPr>
          <w:rFonts w:cs="Arial" w:hint="cs"/>
          <w:rtl/>
        </w:rPr>
        <w:t>בב</w:t>
      </w:r>
      <w:r>
        <w:rPr>
          <w:rFonts w:cs="Arial"/>
          <w:rtl/>
        </w:rPr>
        <w:t xml:space="preserve">' </w:t>
      </w:r>
      <w:r>
        <w:rPr>
          <w:rFonts w:cs="Arial" w:hint="cs"/>
          <w:rtl/>
        </w:rPr>
        <w:t>דפין</w:t>
      </w:r>
      <w:r>
        <w:rPr>
          <w:rFonts w:cs="Arial"/>
          <w:rtl/>
        </w:rPr>
        <w:t xml:space="preserve"> </w:t>
      </w:r>
      <w:r>
        <w:rPr>
          <w:rFonts w:cs="Arial" w:hint="cs"/>
          <w:rtl/>
        </w:rPr>
        <w:t>במגילה</w:t>
      </w:r>
      <w:r>
        <w:rPr>
          <w:rFonts w:cs="Arial"/>
          <w:rtl/>
        </w:rPr>
        <w:t xml:space="preserve"> </w:t>
      </w:r>
      <w:r>
        <w:rPr>
          <w:rFonts w:cs="Arial" w:hint="cs"/>
          <w:rtl/>
        </w:rPr>
        <w:t>אחת</w:t>
      </w:r>
      <w:r>
        <w:rPr>
          <w:rFonts w:cs="Arial"/>
          <w:rtl/>
        </w:rPr>
        <w:t xml:space="preserve">, </w:t>
      </w:r>
      <w:r>
        <w:rPr>
          <w:rFonts w:cs="Arial" w:hint="cs"/>
          <w:rtl/>
        </w:rPr>
        <w:t>זה</w:t>
      </w:r>
      <w:r>
        <w:rPr>
          <w:rFonts w:cs="Arial"/>
          <w:rtl/>
        </w:rPr>
        <w:t xml:space="preserve"> </w:t>
      </w:r>
      <w:r>
        <w:rPr>
          <w:rFonts w:cs="Arial" w:hint="cs"/>
          <w:rtl/>
        </w:rPr>
        <w:t>אצל</w:t>
      </w:r>
      <w:r>
        <w:rPr>
          <w:rFonts w:cs="Arial"/>
          <w:rtl/>
        </w:rPr>
        <w:t xml:space="preserve"> </w:t>
      </w:r>
      <w:r>
        <w:rPr>
          <w:rFonts w:cs="Arial" w:hint="cs"/>
          <w:rtl/>
        </w:rPr>
        <w:t>זה</w:t>
      </w:r>
      <w:r>
        <w:rPr>
          <w:rFonts w:cs="Arial"/>
          <w:rtl/>
        </w:rPr>
        <w:t xml:space="preserve">, </w:t>
      </w:r>
      <w:r>
        <w:rPr>
          <w:rFonts w:cs="Arial" w:hint="cs"/>
          <w:rtl/>
        </w:rPr>
        <w:t>והעדים</w:t>
      </w:r>
      <w:r>
        <w:rPr>
          <w:rFonts w:cs="Arial"/>
          <w:rtl/>
        </w:rPr>
        <w:t xml:space="preserve"> </w:t>
      </w:r>
      <w:r>
        <w:rPr>
          <w:rFonts w:cs="Arial" w:hint="cs"/>
          <w:rtl/>
        </w:rPr>
        <w:t>מתחת</w:t>
      </w:r>
      <w:r>
        <w:rPr>
          <w:rFonts w:cs="Arial"/>
          <w:rtl/>
        </w:rPr>
        <w:t xml:space="preserve"> </w:t>
      </w:r>
      <w:r>
        <w:rPr>
          <w:rFonts w:cs="Arial" w:hint="cs"/>
          <w:rtl/>
        </w:rPr>
        <w:t>זה</w:t>
      </w:r>
      <w:r>
        <w:rPr>
          <w:rFonts w:cs="Arial"/>
          <w:rtl/>
        </w:rPr>
        <w:t xml:space="preserve"> </w:t>
      </w:r>
      <w:r>
        <w:rPr>
          <w:rFonts w:cs="Arial" w:hint="cs"/>
          <w:rtl/>
        </w:rPr>
        <w:t>לתחת</w:t>
      </w:r>
      <w:r>
        <w:rPr>
          <w:rFonts w:cs="Arial"/>
          <w:rtl/>
        </w:rPr>
        <w:t xml:space="preserve"> </w:t>
      </w:r>
      <w:r>
        <w:rPr>
          <w:rFonts w:cs="Arial" w:hint="cs"/>
          <w:rtl/>
        </w:rPr>
        <w:t>זה</w:t>
      </w:r>
      <w:r>
        <w:rPr>
          <w:rFonts w:cs="Arial"/>
          <w:rtl/>
        </w:rPr>
        <w:t xml:space="preserve">, </w:t>
      </w:r>
      <w:r>
        <w:rPr>
          <w:rFonts w:cs="Arial" w:hint="cs"/>
          <w:rtl/>
        </w:rPr>
        <w:t>ששם</w:t>
      </w:r>
      <w:r>
        <w:rPr>
          <w:rFonts w:cs="Arial"/>
          <w:rtl/>
        </w:rPr>
        <w:t xml:space="preserve"> </w:t>
      </w:r>
      <w:r>
        <w:rPr>
          <w:rFonts w:cs="Arial" w:hint="cs"/>
          <w:rtl/>
        </w:rPr>
        <w:t>העד</w:t>
      </w:r>
      <w:r>
        <w:rPr>
          <w:rFonts w:cs="Arial"/>
          <w:rtl/>
        </w:rPr>
        <w:t xml:space="preserve"> </w:t>
      </w:r>
      <w:r>
        <w:rPr>
          <w:rFonts w:cs="Arial" w:hint="cs"/>
          <w:rtl/>
        </w:rPr>
        <w:t>תחת</w:t>
      </w:r>
      <w:r>
        <w:rPr>
          <w:rFonts w:cs="Arial"/>
          <w:rtl/>
        </w:rPr>
        <w:t xml:space="preserve"> </w:t>
      </w:r>
      <w:r>
        <w:rPr>
          <w:rFonts w:cs="Arial" w:hint="cs"/>
          <w:rtl/>
        </w:rPr>
        <w:t>הראשון</w:t>
      </w:r>
      <w:r w:rsidR="00CA5ABB">
        <w:rPr>
          <w:rFonts w:cs="Arial" w:hint="cs"/>
          <w:rtl/>
        </w:rPr>
        <w:t>,</w:t>
      </w:r>
      <w:r>
        <w:rPr>
          <w:rFonts w:cs="Arial"/>
          <w:rtl/>
        </w:rPr>
        <w:t xml:space="preserve"> </w:t>
      </w:r>
      <w:r>
        <w:rPr>
          <w:rFonts w:cs="Arial" w:hint="cs"/>
          <w:rtl/>
        </w:rPr>
        <w:t>ושם</w:t>
      </w:r>
      <w:r>
        <w:rPr>
          <w:rFonts w:cs="Arial"/>
          <w:rtl/>
        </w:rPr>
        <w:t xml:space="preserve"> </w:t>
      </w:r>
      <w:r>
        <w:rPr>
          <w:rFonts w:cs="Arial" w:hint="cs"/>
          <w:rtl/>
        </w:rPr>
        <w:t>אביו</w:t>
      </w:r>
      <w:r>
        <w:rPr>
          <w:rFonts w:cs="Arial"/>
          <w:rtl/>
        </w:rPr>
        <w:t xml:space="preserve"> </w:t>
      </w:r>
      <w:r>
        <w:rPr>
          <w:rFonts w:cs="Arial" w:hint="cs"/>
          <w:rtl/>
        </w:rPr>
        <w:t>תחת</w:t>
      </w:r>
      <w:r>
        <w:rPr>
          <w:rFonts w:cs="Arial"/>
          <w:rtl/>
        </w:rPr>
        <w:t xml:space="preserve"> </w:t>
      </w:r>
      <w:r>
        <w:rPr>
          <w:rFonts w:cs="Arial" w:hint="cs"/>
          <w:rtl/>
        </w:rPr>
        <w:t>הב</w:t>
      </w:r>
      <w:r>
        <w:rPr>
          <w:rFonts w:cs="Arial"/>
          <w:rtl/>
        </w:rPr>
        <w:t xml:space="preserve">', </w:t>
      </w:r>
      <w:r>
        <w:rPr>
          <w:rFonts w:cs="Arial" w:hint="cs"/>
          <w:rtl/>
        </w:rPr>
        <w:t>וכן</w:t>
      </w:r>
      <w:r>
        <w:rPr>
          <w:rFonts w:cs="Arial"/>
          <w:rtl/>
        </w:rPr>
        <w:t xml:space="preserve"> </w:t>
      </w:r>
      <w:r>
        <w:rPr>
          <w:rFonts w:cs="Arial" w:hint="cs"/>
          <w:rtl/>
        </w:rPr>
        <w:t>העד</w:t>
      </w:r>
      <w:r>
        <w:rPr>
          <w:rFonts w:cs="Arial"/>
          <w:rtl/>
        </w:rPr>
        <w:t xml:space="preserve"> </w:t>
      </w:r>
      <w:r>
        <w:rPr>
          <w:rFonts w:cs="Arial" w:hint="cs"/>
          <w:rtl/>
        </w:rPr>
        <w:t>השני</w:t>
      </w:r>
      <w:r>
        <w:rPr>
          <w:rFonts w:cs="Arial"/>
          <w:rtl/>
        </w:rPr>
        <w:t xml:space="preserve"> </w:t>
      </w:r>
      <w:r>
        <w:rPr>
          <w:rFonts w:cs="Arial" w:hint="cs"/>
          <w:rtl/>
        </w:rPr>
        <w:t xml:space="preserve">תחתיו </w:t>
      </w:r>
      <w:r w:rsidR="00A82951">
        <w:rPr>
          <w:rFonts w:cs="Arial" w:hint="cs"/>
          <w:rtl/>
        </w:rPr>
        <w:t>-</w:t>
      </w:r>
      <w:r>
        <w:rPr>
          <w:rFonts w:cs="Arial"/>
          <w:rtl/>
        </w:rPr>
        <w:t xml:space="preserve"> </w:t>
      </w:r>
      <w:r>
        <w:rPr>
          <w:rFonts w:cs="Arial" w:hint="cs"/>
          <w:rtl/>
        </w:rPr>
        <w:t>את</w:t>
      </w:r>
      <w:r>
        <w:rPr>
          <w:rFonts w:cs="Arial"/>
          <w:rtl/>
        </w:rPr>
        <w:t xml:space="preserve"> </w:t>
      </w:r>
      <w:r>
        <w:rPr>
          <w:rFonts w:cs="Arial" w:hint="cs"/>
          <w:rtl/>
        </w:rPr>
        <w:t>ששמות</w:t>
      </w:r>
      <w:r>
        <w:rPr>
          <w:rFonts w:cs="Arial"/>
          <w:rtl/>
        </w:rPr>
        <w:t xml:space="preserve"> </w:t>
      </w:r>
      <w:r>
        <w:rPr>
          <w:rFonts w:cs="Arial" w:hint="cs"/>
          <w:rtl/>
        </w:rPr>
        <w:t>העדים</w:t>
      </w:r>
      <w:r>
        <w:rPr>
          <w:rFonts w:cs="Arial"/>
          <w:rtl/>
        </w:rPr>
        <w:t xml:space="preserve"> </w:t>
      </w:r>
      <w:r>
        <w:rPr>
          <w:rFonts w:cs="Arial" w:hint="cs"/>
          <w:rtl/>
        </w:rPr>
        <w:t>חתומים</w:t>
      </w:r>
      <w:r>
        <w:rPr>
          <w:rFonts w:cs="Arial"/>
          <w:rtl/>
        </w:rPr>
        <w:t xml:space="preserve"> </w:t>
      </w:r>
      <w:r>
        <w:rPr>
          <w:rFonts w:cs="Arial" w:hint="cs"/>
          <w:rtl/>
        </w:rPr>
        <w:t>תחתיו</w:t>
      </w:r>
      <w:r>
        <w:rPr>
          <w:rFonts w:cs="Arial"/>
          <w:rtl/>
        </w:rPr>
        <w:t xml:space="preserve"> </w:t>
      </w:r>
      <w:r>
        <w:rPr>
          <w:rFonts w:cs="Arial" w:hint="cs"/>
          <w:rtl/>
        </w:rPr>
        <w:t>כשר</w:t>
      </w:r>
      <w:r>
        <w:rPr>
          <w:rFonts w:cs="Arial"/>
          <w:rtl/>
        </w:rPr>
        <w:t xml:space="preserve">. </w:t>
      </w:r>
      <w:r>
        <w:rPr>
          <w:rFonts w:cs="Arial" w:hint="cs"/>
          <w:rtl/>
        </w:rPr>
        <w:t>ואם</w:t>
      </w:r>
      <w:r>
        <w:rPr>
          <w:rFonts w:cs="Arial"/>
          <w:rtl/>
        </w:rPr>
        <w:t xml:space="preserve"> </w:t>
      </w:r>
      <w:r>
        <w:rPr>
          <w:rFonts w:cs="Arial" w:hint="cs"/>
          <w:rtl/>
        </w:rPr>
        <w:t>כתוב</w:t>
      </w:r>
      <w:r>
        <w:rPr>
          <w:rFonts w:cs="Arial"/>
          <w:rtl/>
        </w:rPr>
        <w:t xml:space="preserve"> </w:t>
      </w:r>
      <w:r>
        <w:rPr>
          <w:rFonts w:cs="Arial" w:hint="cs"/>
          <w:rtl/>
        </w:rPr>
        <w:t>'ראובן</w:t>
      </w:r>
      <w:r>
        <w:rPr>
          <w:rFonts w:cs="Arial"/>
          <w:rtl/>
        </w:rPr>
        <w:t xml:space="preserve"> </w:t>
      </w:r>
      <w:r>
        <w:rPr>
          <w:rFonts w:cs="Arial" w:hint="cs"/>
          <w:rtl/>
        </w:rPr>
        <w:t>בן'</w:t>
      </w:r>
      <w:r>
        <w:rPr>
          <w:rFonts w:cs="Arial"/>
          <w:rtl/>
        </w:rPr>
        <w:t xml:space="preserve"> </w:t>
      </w:r>
      <w:r>
        <w:rPr>
          <w:rFonts w:cs="Arial" w:hint="cs"/>
          <w:rtl/>
        </w:rPr>
        <w:t>תחת</w:t>
      </w:r>
      <w:r>
        <w:rPr>
          <w:rFonts w:cs="Arial"/>
          <w:rtl/>
        </w:rPr>
        <w:t xml:space="preserve"> </w:t>
      </w:r>
      <w:r>
        <w:rPr>
          <w:rFonts w:cs="Arial" w:hint="cs"/>
          <w:rtl/>
        </w:rPr>
        <w:t>הראשון</w:t>
      </w:r>
      <w:r>
        <w:rPr>
          <w:rFonts w:cs="Arial"/>
          <w:rtl/>
        </w:rPr>
        <w:t xml:space="preserve">, </w:t>
      </w:r>
      <w:r>
        <w:rPr>
          <w:rFonts w:cs="Arial" w:hint="cs"/>
          <w:rtl/>
        </w:rPr>
        <w:t>ו'יעקב</w:t>
      </w:r>
      <w:r>
        <w:rPr>
          <w:rFonts w:cs="Arial"/>
          <w:rtl/>
        </w:rPr>
        <w:t xml:space="preserve"> </w:t>
      </w:r>
      <w:r>
        <w:rPr>
          <w:rFonts w:cs="Arial" w:hint="cs"/>
          <w:rtl/>
        </w:rPr>
        <w:t>עד'</w:t>
      </w:r>
      <w:r>
        <w:rPr>
          <w:rFonts w:cs="Arial"/>
          <w:rtl/>
        </w:rPr>
        <w:t xml:space="preserve"> </w:t>
      </w:r>
      <w:r>
        <w:rPr>
          <w:rFonts w:cs="Arial" w:hint="cs"/>
          <w:rtl/>
        </w:rPr>
        <w:t>תחת</w:t>
      </w:r>
      <w:r>
        <w:rPr>
          <w:rFonts w:cs="Arial"/>
          <w:rtl/>
        </w:rPr>
        <w:t xml:space="preserve"> </w:t>
      </w:r>
      <w:r>
        <w:rPr>
          <w:rFonts w:cs="Arial" w:hint="cs"/>
          <w:rtl/>
        </w:rPr>
        <w:t>השני</w:t>
      </w:r>
      <w:r>
        <w:rPr>
          <w:rFonts w:cs="Arial"/>
          <w:rtl/>
        </w:rPr>
        <w:t xml:space="preserve">, </w:t>
      </w:r>
      <w:r>
        <w:rPr>
          <w:rFonts w:cs="Arial" w:hint="cs"/>
          <w:rtl/>
        </w:rPr>
        <w:t>פסול</w:t>
      </w:r>
      <w:r>
        <w:rPr>
          <w:rFonts w:cs="Arial"/>
          <w:rtl/>
        </w:rPr>
        <w:t xml:space="preserve"> </w:t>
      </w:r>
      <w:r>
        <w:rPr>
          <w:rFonts w:cs="Arial" w:hint="cs"/>
          <w:rtl/>
        </w:rPr>
        <w:t>השני</w:t>
      </w:r>
      <w:r>
        <w:rPr>
          <w:rFonts w:cs="Arial"/>
          <w:rtl/>
        </w:rPr>
        <w:t xml:space="preserve">. </w:t>
      </w:r>
      <w:r>
        <w:rPr>
          <w:rFonts w:cs="Arial" w:hint="cs"/>
          <w:rtl/>
        </w:rPr>
        <w:t>ואם</w:t>
      </w:r>
      <w:r>
        <w:rPr>
          <w:rFonts w:cs="Arial"/>
          <w:rtl/>
        </w:rPr>
        <w:t xml:space="preserve"> </w:t>
      </w:r>
      <w:r>
        <w:rPr>
          <w:rFonts w:cs="Arial" w:hint="cs"/>
          <w:rtl/>
        </w:rPr>
        <w:t>כתב</w:t>
      </w:r>
      <w:r>
        <w:rPr>
          <w:rFonts w:cs="Arial"/>
          <w:rtl/>
        </w:rPr>
        <w:t xml:space="preserve"> </w:t>
      </w:r>
      <w:r>
        <w:rPr>
          <w:rFonts w:cs="Arial" w:hint="cs"/>
          <w:rtl/>
        </w:rPr>
        <w:t>'ראובן'</w:t>
      </w:r>
      <w:r>
        <w:rPr>
          <w:rFonts w:cs="Arial"/>
          <w:rtl/>
        </w:rPr>
        <w:t xml:space="preserve"> </w:t>
      </w:r>
      <w:r>
        <w:rPr>
          <w:rFonts w:cs="Arial" w:hint="cs"/>
          <w:rtl/>
        </w:rPr>
        <w:t>תחת</w:t>
      </w:r>
      <w:r>
        <w:rPr>
          <w:rFonts w:cs="Arial"/>
          <w:rtl/>
        </w:rPr>
        <w:t xml:space="preserve"> </w:t>
      </w:r>
      <w:r>
        <w:rPr>
          <w:rFonts w:cs="Arial" w:hint="cs"/>
          <w:rtl/>
        </w:rPr>
        <w:t>הראשון</w:t>
      </w:r>
      <w:r>
        <w:rPr>
          <w:rFonts w:cs="Arial"/>
          <w:rtl/>
        </w:rPr>
        <w:t xml:space="preserve">, </w:t>
      </w:r>
      <w:r>
        <w:rPr>
          <w:rFonts w:cs="Arial" w:hint="cs"/>
          <w:rtl/>
        </w:rPr>
        <w:t>ו'בן</w:t>
      </w:r>
      <w:r>
        <w:rPr>
          <w:rFonts w:cs="Arial"/>
          <w:rtl/>
        </w:rPr>
        <w:t xml:space="preserve"> </w:t>
      </w:r>
      <w:r>
        <w:rPr>
          <w:rFonts w:cs="Arial" w:hint="cs"/>
          <w:rtl/>
        </w:rPr>
        <w:t>יעקב</w:t>
      </w:r>
      <w:r>
        <w:rPr>
          <w:rFonts w:cs="Arial"/>
          <w:rtl/>
        </w:rPr>
        <w:t xml:space="preserve"> </w:t>
      </w:r>
      <w:r>
        <w:rPr>
          <w:rFonts w:cs="Arial" w:hint="cs"/>
          <w:rtl/>
        </w:rPr>
        <w:t>עד'</w:t>
      </w:r>
      <w:r>
        <w:rPr>
          <w:rFonts w:cs="Arial"/>
          <w:rtl/>
        </w:rPr>
        <w:t xml:space="preserve"> </w:t>
      </w:r>
      <w:r>
        <w:rPr>
          <w:rFonts w:cs="Arial" w:hint="cs"/>
          <w:rtl/>
        </w:rPr>
        <w:t>תחת</w:t>
      </w:r>
      <w:r>
        <w:rPr>
          <w:rFonts w:cs="Arial"/>
          <w:rtl/>
        </w:rPr>
        <w:t xml:space="preserve"> </w:t>
      </w:r>
      <w:r>
        <w:rPr>
          <w:rFonts w:cs="Arial" w:hint="cs"/>
          <w:rtl/>
        </w:rPr>
        <w:t>השני</w:t>
      </w:r>
      <w:r>
        <w:rPr>
          <w:rFonts w:cs="Arial"/>
          <w:rtl/>
        </w:rPr>
        <w:t xml:space="preserve">, </w:t>
      </w:r>
      <w:r>
        <w:rPr>
          <w:rFonts w:cs="Arial" w:hint="cs"/>
          <w:rtl/>
        </w:rPr>
        <w:t>אף</w:t>
      </w:r>
      <w:r>
        <w:rPr>
          <w:rFonts w:cs="Arial"/>
          <w:rtl/>
        </w:rPr>
        <w:t xml:space="preserve"> </w:t>
      </w:r>
      <w:r>
        <w:rPr>
          <w:rFonts w:cs="Arial" w:hint="cs"/>
          <w:rtl/>
        </w:rPr>
        <w:t>השני</w:t>
      </w:r>
      <w:r>
        <w:rPr>
          <w:rFonts w:cs="Arial"/>
          <w:rtl/>
        </w:rPr>
        <w:t xml:space="preserve"> </w:t>
      </w:r>
      <w:r>
        <w:rPr>
          <w:rFonts w:cs="Arial" w:hint="cs"/>
          <w:rtl/>
        </w:rPr>
        <w:t>כשר</w:t>
      </w:r>
      <w:r>
        <w:rPr>
          <w:rFonts w:cs="Arial"/>
          <w:rtl/>
        </w:rPr>
        <w:t xml:space="preserve">. </w:t>
      </w:r>
      <w:r w:rsidRPr="00A14BB0">
        <w:rPr>
          <w:rFonts w:cs="Arial" w:hint="cs"/>
          <w:sz w:val="18"/>
          <w:szCs w:val="18"/>
          <w:rtl/>
        </w:rPr>
        <w:t>הגה</w:t>
      </w:r>
      <w:r w:rsidRPr="00A14BB0">
        <w:rPr>
          <w:rFonts w:cs="Arial"/>
          <w:sz w:val="18"/>
          <w:szCs w:val="18"/>
          <w:rtl/>
        </w:rPr>
        <w:t xml:space="preserve">: </w:t>
      </w:r>
      <w:r w:rsidRPr="00A14BB0">
        <w:rPr>
          <w:rFonts w:cs="Arial" w:hint="cs"/>
          <w:sz w:val="18"/>
          <w:szCs w:val="18"/>
          <w:rtl/>
        </w:rPr>
        <w:t>ואם</w:t>
      </w:r>
      <w:r w:rsidRPr="00A14BB0">
        <w:rPr>
          <w:rFonts w:cs="Arial"/>
          <w:sz w:val="18"/>
          <w:szCs w:val="18"/>
          <w:rtl/>
        </w:rPr>
        <w:t xml:space="preserve"> </w:t>
      </w:r>
      <w:r w:rsidRPr="00A14BB0">
        <w:rPr>
          <w:rFonts w:cs="Arial" w:hint="cs"/>
          <w:sz w:val="18"/>
          <w:szCs w:val="18"/>
          <w:rtl/>
        </w:rPr>
        <w:t>נמסר</w:t>
      </w:r>
      <w:r w:rsidRPr="00A14BB0">
        <w:rPr>
          <w:rFonts w:cs="Arial"/>
          <w:sz w:val="18"/>
          <w:szCs w:val="18"/>
          <w:rtl/>
        </w:rPr>
        <w:t xml:space="preserve"> </w:t>
      </w:r>
      <w:r w:rsidRPr="00A14BB0">
        <w:rPr>
          <w:rFonts w:cs="Arial" w:hint="cs"/>
          <w:sz w:val="18"/>
          <w:szCs w:val="18"/>
          <w:rtl/>
        </w:rPr>
        <w:t>בעדים</w:t>
      </w:r>
      <w:r w:rsidRPr="00A14BB0">
        <w:rPr>
          <w:rFonts w:cs="Arial"/>
          <w:sz w:val="18"/>
          <w:szCs w:val="18"/>
          <w:rtl/>
        </w:rPr>
        <w:t xml:space="preserve"> </w:t>
      </w:r>
      <w:r w:rsidRPr="00A14BB0">
        <w:rPr>
          <w:rFonts w:cs="Arial" w:hint="cs"/>
          <w:sz w:val="18"/>
          <w:szCs w:val="18"/>
          <w:rtl/>
        </w:rPr>
        <w:t>ליד</w:t>
      </w:r>
      <w:r w:rsidRPr="00A14BB0">
        <w:rPr>
          <w:rFonts w:cs="Arial"/>
          <w:sz w:val="18"/>
          <w:szCs w:val="18"/>
          <w:rtl/>
        </w:rPr>
        <w:t xml:space="preserve"> </w:t>
      </w:r>
      <w:r w:rsidRPr="00A14BB0">
        <w:rPr>
          <w:rFonts w:cs="Arial" w:hint="cs"/>
          <w:sz w:val="18"/>
          <w:szCs w:val="18"/>
          <w:rtl/>
        </w:rPr>
        <w:t>אותה</w:t>
      </w:r>
      <w:r w:rsidRPr="00A14BB0">
        <w:rPr>
          <w:rFonts w:cs="Arial"/>
          <w:sz w:val="18"/>
          <w:szCs w:val="18"/>
          <w:rtl/>
        </w:rPr>
        <w:t xml:space="preserve"> </w:t>
      </w:r>
      <w:r w:rsidRPr="00A14BB0">
        <w:rPr>
          <w:rFonts w:cs="Arial" w:hint="cs"/>
          <w:sz w:val="18"/>
          <w:szCs w:val="18"/>
          <w:rtl/>
        </w:rPr>
        <w:t>שאין</w:t>
      </w:r>
      <w:r w:rsidRPr="00A14BB0">
        <w:rPr>
          <w:rFonts w:cs="Arial"/>
          <w:sz w:val="18"/>
          <w:szCs w:val="18"/>
          <w:rtl/>
        </w:rPr>
        <w:t xml:space="preserve"> </w:t>
      </w:r>
      <w:r w:rsidRPr="00A14BB0">
        <w:rPr>
          <w:rFonts w:cs="Arial" w:hint="cs"/>
          <w:sz w:val="18"/>
          <w:szCs w:val="18"/>
          <w:rtl/>
        </w:rPr>
        <w:t>עליו</w:t>
      </w:r>
      <w:r w:rsidRPr="00A14BB0">
        <w:rPr>
          <w:rFonts w:cs="Arial"/>
          <w:sz w:val="18"/>
          <w:szCs w:val="18"/>
          <w:rtl/>
        </w:rPr>
        <w:t xml:space="preserve"> </w:t>
      </w:r>
      <w:r w:rsidRPr="00A14BB0">
        <w:rPr>
          <w:rFonts w:cs="Arial" w:hint="cs"/>
          <w:sz w:val="18"/>
          <w:szCs w:val="18"/>
          <w:rtl/>
        </w:rPr>
        <w:t>עדים</w:t>
      </w:r>
      <w:r w:rsidRPr="00A14BB0">
        <w:rPr>
          <w:rFonts w:cs="Arial"/>
          <w:sz w:val="18"/>
          <w:szCs w:val="18"/>
          <w:rtl/>
        </w:rPr>
        <w:t xml:space="preserve">, </w:t>
      </w:r>
      <w:r w:rsidRPr="00A14BB0">
        <w:rPr>
          <w:rFonts w:cs="Arial" w:hint="cs"/>
          <w:sz w:val="18"/>
          <w:szCs w:val="18"/>
          <w:rtl/>
        </w:rPr>
        <w:t>כשר</w:t>
      </w:r>
      <w:r w:rsidRPr="00A14BB0">
        <w:rPr>
          <w:rFonts w:cs="Arial"/>
          <w:sz w:val="18"/>
          <w:szCs w:val="18"/>
          <w:rtl/>
        </w:rPr>
        <w:t xml:space="preserve"> </w:t>
      </w:r>
      <w:r w:rsidRPr="00A14BB0">
        <w:rPr>
          <w:rFonts w:cs="Arial" w:hint="cs"/>
          <w:sz w:val="18"/>
          <w:szCs w:val="18"/>
          <w:rtl/>
        </w:rPr>
        <w:t>בדיעבד</w:t>
      </w:r>
      <w:r w:rsidRPr="00A14BB0">
        <w:rPr>
          <w:rFonts w:cs="Arial"/>
          <w:sz w:val="18"/>
          <w:szCs w:val="18"/>
          <w:rtl/>
        </w:rPr>
        <w:t xml:space="preserve">, </w:t>
      </w:r>
      <w:r w:rsidRPr="00A14BB0">
        <w:rPr>
          <w:rFonts w:cs="Arial" w:hint="cs"/>
          <w:sz w:val="18"/>
          <w:szCs w:val="18"/>
          <w:rtl/>
        </w:rPr>
        <w:t>דהא</w:t>
      </w:r>
      <w:r w:rsidRPr="00A14BB0">
        <w:rPr>
          <w:rFonts w:cs="Arial"/>
          <w:sz w:val="18"/>
          <w:szCs w:val="18"/>
          <w:rtl/>
        </w:rPr>
        <w:t xml:space="preserve"> </w:t>
      </w:r>
      <w:r w:rsidRPr="00A14BB0">
        <w:rPr>
          <w:rFonts w:cs="Arial" w:hint="cs"/>
          <w:sz w:val="18"/>
          <w:szCs w:val="18"/>
          <w:rtl/>
        </w:rPr>
        <w:t>לא</w:t>
      </w:r>
      <w:r w:rsidRPr="00A14BB0">
        <w:rPr>
          <w:rFonts w:cs="Arial"/>
          <w:sz w:val="18"/>
          <w:szCs w:val="18"/>
          <w:rtl/>
        </w:rPr>
        <w:t xml:space="preserve"> </w:t>
      </w:r>
      <w:r w:rsidRPr="00A14BB0">
        <w:rPr>
          <w:rFonts w:cs="Arial" w:hint="cs"/>
          <w:sz w:val="18"/>
          <w:szCs w:val="18"/>
          <w:rtl/>
        </w:rPr>
        <w:t>גרע</w:t>
      </w:r>
      <w:r w:rsidRPr="00A14BB0">
        <w:rPr>
          <w:rFonts w:cs="Arial"/>
          <w:sz w:val="18"/>
          <w:szCs w:val="18"/>
          <w:rtl/>
        </w:rPr>
        <w:t xml:space="preserve"> </w:t>
      </w:r>
      <w:r w:rsidRPr="00A14BB0">
        <w:rPr>
          <w:rFonts w:cs="Arial" w:hint="cs"/>
          <w:sz w:val="18"/>
          <w:szCs w:val="18"/>
          <w:rtl/>
        </w:rPr>
        <w:t>מאלו</w:t>
      </w:r>
      <w:r w:rsidRPr="00A14BB0">
        <w:rPr>
          <w:rFonts w:cs="Arial"/>
          <w:sz w:val="18"/>
          <w:szCs w:val="18"/>
          <w:rtl/>
        </w:rPr>
        <w:t xml:space="preserve"> </w:t>
      </w:r>
      <w:r w:rsidRPr="00A14BB0">
        <w:rPr>
          <w:rFonts w:cs="Arial" w:hint="cs"/>
          <w:sz w:val="18"/>
          <w:szCs w:val="18"/>
          <w:rtl/>
        </w:rPr>
        <w:t>לא</w:t>
      </w:r>
      <w:r w:rsidRPr="00A14BB0">
        <w:rPr>
          <w:rFonts w:cs="Arial"/>
          <w:sz w:val="18"/>
          <w:szCs w:val="18"/>
          <w:rtl/>
        </w:rPr>
        <w:t xml:space="preserve"> </w:t>
      </w:r>
      <w:r w:rsidRPr="00A14BB0">
        <w:rPr>
          <w:rFonts w:cs="Arial" w:hint="cs"/>
          <w:sz w:val="18"/>
          <w:szCs w:val="18"/>
          <w:rtl/>
        </w:rPr>
        <w:t>היו</w:t>
      </w:r>
      <w:r w:rsidRPr="00A14BB0">
        <w:rPr>
          <w:rFonts w:cs="Arial"/>
          <w:sz w:val="18"/>
          <w:szCs w:val="18"/>
          <w:rtl/>
        </w:rPr>
        <w:t xml:space="preserve"> </w:t>
      </w:r>
      <w:r w:rsidRPr="00A14BB0">
        <w:rPr>
          <w:rFonts w:cs="Arial" w:hint="cs"/>
          <w:sz w:val="18"/>
          <w:szCs w:val="18"/>
          <w:rtl/>
        </w:rPr>
        <w:t>עליו</w:t>
      </w:r>
      <w:r w:rsidRPr="00A14BB0">
        <w:rPr>
          <w:rFonts w:cs="Arial"/>
          <w:sz w:val="18"/>
          <w:szCs w:val="18"/>
          <w:rtl/>
        </w:rPr>
        <w:t xml:space="preserve"> </w:t>
      </w:r>
      <w:r w:rsidRPr="00A14BB0">
        <w:rPr>
          <w:rFonts w:cs="Arial" w:hint="cs"/>
          <w:sz w:val="18"/>
          <w:szCs w:val="18"/>
          <w:rtl/>
        </w:rPr>
        <w:t>עדים</w:t>
      </w:r>
      <w:r w:rsidRPr="00A14BB0">
        <w:rPr>
          <w:rFonts w:cs="Arial"/>
          <w:sz w:val="18"/>
          <w:szCs w:val="18"/>
          <w:rtl/>
        </w:rPr>
        <w:t xml:space="preserve"> </w:t>
      </w:r>
      <w:r w:rsidRPr="00A14BB0">
        <w:rPr>
          <w:rFonts w:cs="Arial" w:hint="cs"/>
          <w:sz w:val="18"/>
          <w:szCs w:val="18"/>
          <w:rtl/>
        </w:rPr>
        <w:t>כלל</w:t>
      </w:r>
      <w:r w:rsidRPr="00A14BB0">
        <w:rPr>
          <w:rFonts w:cs="Arial"/>
          <w:sz w:val="18"/>
          <w:szCs w:val="18"/>
          <w:rtl/>
        </w:rPr>
        <w:t xml:space="preserve"> (</w:t>
      </w:r>
      <w:r w:rsidRPr="00A14BB0">
        <w:rPr>
          <w:rFonts w:cs="Arial" w:hint="cs"/>
          <w:sz w:val="18"/>
          <w:szCs w:val="18"/>
          <w:rtl/>
        </w:rPr>
        <w:t>ב</w:t>
      </w:r>
      <w:r w:rsidRPr="00A14BB0">
        <w:rPr>
          <w:rFonts w:cs="Arial"/>
          <w:sz w:val="18"/>
          <w:szCs w:val="18"/>
          <w:rtl/>
        </w:rPr>
        <w:t>"</w:t>
      </w:r>
      <w:r w:rsidRPr="00A14BB0">
        <w:rPr>
          <w:rFonts w:cs="Arial" w:hint="cs"/>
          <w:sz w:val="18"/>
          <w:szCs w:val="18"/>
          <w:rtl/>
        </w:rPr>
        <w:t>י</w:t>
      </w:r>
      <w:r w:rsidRPr="00A14BB0">
        <w:rPr>
          <w:rFonts w:cs="Arial"/>
          <w:sz w:val="18"/>
          <w:szCs w:val="18"/>
          <w:rtl/>
        </w:rPr>
        <w:t xml:space="preserve"> </w:t>
      </w:r>
      <w:r w:rsidRPr="00A14BB0">
        <w:rPr>
          <w:rFonts w:cs="Arial" w:hint="cs"/>
          <w:sz w:val="18"/>
          <w:szCs w:val="18"/>
          <w:rtl/>
        </w:rPr>
        <w:t>בשם</w:t>
      </w:r>
      <w:r w:rsidRPr="00A14BB0">
        <w:rPr>
          <w:rFonts w:cs="Arial"/>
          <w:sz w:val="18"/>
          <w:szCs w:val="18"/>
          <w:rtl/>
        </w:rPr>
        <w:t xml:space="preserve"> </w:t>
      </w:r>
      <w:r w:rsidRPr="00A14BB0">
        <w:rPr>
          <w:rFonts w:cs="Arial" w:hint="cs"/>
          <w:sz w:val="18"/>
          <w:szCs w:val="18"/>
          <w:rtl/>
        </w:rPr>
        <w:t>הרמב</w:t>
      </w:r>
      <w:r w:rsidRPr="00A14BB0">
        <w:rPr>
          <w:rFonts w:cs="Arial"/>
          <w:sz w:val="18"/>
          <w:szCs w:val="18"/>
          <w:rtl/>
        </w:rPr>
        <w:t>"</w:t>
      </w:r>
      <w:r w:rsidRPr="00A14BB0">
        <w:rPr>
          <w:rFonts w:cs="Arial" w:hint="cs"/>
          <w:sz w:val="18"/>
          <w:szCs w:val="18"/>
          <w:rtl/>
        </w:rPr>
        <w:t>ם</w:t>
      </w:r>
      <w:r w:rsidRPr="00A14BB0">
        <w:rPr>
          <w:rFonts w:cs="Arial"/>
          <w:sz w:val="18"/>
          <w:szCs w:val="18"/>
          <w:rtl/>
        </w:rPr>
        <w:t>)</w:t>
      </w:r>
      <w:r>
        <w:rPr>
          <w:rFonts w:cs="Arial" w:hint="cs"/>
          <w:sz w:val="18"/>
          <w:szCs w:val="18"/>
          <w:rtl/>
        </w:rPr>
        <w:t>.</w:t>
      </w:r>
      <w:r w:rsidRPr="00A14BB0">
        <w:rPr>
          <w:rFonts w:cs="Arial"/>
          <w:sz w:val="18"/>
          <w:szCs w:val="18"/>
          <w:rtl/>
        </w:rPr>
        <w:t xml:space="preserve"> </w:t>
      </w:r>
      <w:r w:rsidRPr="00A14BB0">
        <w:rPr>
          <w:rFonts w:cs="Arial" w:hint="cs"/>
          <w:sz w:val="18"/>
          <w:szCs w:val="18"/>
          <w:rtl/>
        </w:rPr>
        <w:t>ועיין</w:t>
      </w:r>
      <w:r w:rsidRPr="00A14BB0">
        <w:rPr>
          <w:rFonts w:cs="Arial"/>
          <w:sz w:val="18"/>
          <w:szCs w:val="18"/>
          <w:rtl/>
        </w:rPr>
        <w:t xml:space="preserve"> </w:t>
      </w:r>
      <w:r w:rsidRPr="00A14BB0">
        <w:rPr>
          <w:rFonts w:cs="Arial" w:hint="cs"/>
          <w:sz w:val="18"/>
          <w:szCs w:val="18"/>
          <w:rtl/>
        </w:rPr>
        <w:t>לקמן</w:t>
      </w:r>
      <w:r w:rsidRPr="00A14BB0">
        <w:rPr>
          <w:rFonts w:cs="Arial"/>
          <w:sz w:val="18"/>
          <w:szCs w:val="18"/>
          <w:rtl/>
        </w:rPr>
        <w:t xml:space="preserve"> </w:t>
      </w:r>
      <w:r w:rsidRPr="00A14BB0">
        <w:rPr>
          <w:rFonts w:cs="Arial" w:hint="cs"/>
          <w:sz w:val="18"/>
          <w:szCs w:val="18"/>
          <w:rtl/>
        </w:rPr>
        <w:t>סי</w:t>
      </w:r>
      <w:r w:rsidRPr="00A14BB0">
        <w:rPr>
          <w:rFonts w:cs="Arial"/>
          <w:sz w:val="18"/>
          <w:szCs w:val="18"/>
          <w:rtl/>
        </w:rPr>
        <w:t xml:space="preserve">' </w:t>
      </w:r>
      <w:r w:rsidRPr="00A14BB0">
        <w:rPr>
          <w:rFonts w:cs="Arial" w:hint="cs"/>
          <w:sz w:val="18"/>
          <w:szCs w:val="18"/>
          <w:rtl/>
        </w:rPr>
        <w:t>קל</w:t>
      </w:r>
      <w:r w:rsidRPr="00A14BB0">
        <w:rPr>
          <w:rFonts w:cs="Arial"/>
          <w:sz w:val="18"/>
          <w:szCs w:val="18"/>
          <w:rtl/>
        </w:rPr>
        <w:t>"</w:t>
      </w:r>
      <w:r w:rsidRPr="00A14BB0">
        <w:rPr>
          <w:rFonts w:cs="Arial" w:hint="cs"/>
          <w:sz w:val="18"/>
          <w:szCs w:val="18"/>
          <w:rtl/>
        </w:rPr>
        <w:t>ג</w:t>
      </w:r>
      <w:r w:rsidRPr="00A14BB0">
        <w:rPr>
          <w:rFonts w:cs="Arial"/>
          <w:sz w:val="18"/>
          <w:szCs w:val="18"/>
          <w:rtl/>
        </w:rPr>
        <w:t>.</w:t>
      </w:r>
      <w:r>
        <w:rPr>
          <w:rFonts w:cs="Arial"/>
          <w:rtl/>
        </w:rPr>
        <w:t xml:space="preserve"> </w:t>
      </w:r>
    </w:p>
    <w:p w14:paraId="44DB47CB" w14:textId="77777777" w:rsidR="00FA2119" w:rsidRDefault="00FA2119" w:rsidP="00FA2119">
      <w:pPr>
        <w:rPr>
          <w:rtl/>
        </w:rPr>
      </w:pPr>
    </w:p>
    <w:p w14:paraId="2B5E1C5A" w14:textId="77777777" w:rsidR="00FA2119" w:rsidRDefault="00FA2119" w:rsidP="00FA2119">
      <w:pPr>
        <w:pStyle w:val="2"/>
        <w:rPr>
          <w:rtl/>
        </w:rPr>
      </w:pPr>
      <w:r>
        <w:rPr>
          <w:rFonts w:hint="cs"/>
          <w:rtl/>
        </w:rPr>
        <w:t>סעיף</w:t>
      </w:r>
      <w:r>
        <w:rPr>
          <w:rtl/>
        </w:rPr>
        <w:t xml:space="preserve"> </w:t>
      </w:r>
      <w:r>
        <w:rPr>
          <w:rFonts w:hint="cs"/>
          <w:rtl/>
        </w:rPr>
        <w:t>ט: חמשה שכתבו גט אחד לחמש נשותיהם.</w:t>
      </w:r>
    </w:p>
    <w:p w14:paraId="54727353" w14:textId="3AA3AD10" w:rsidR="00FA2119" w:rsidRPr="00CA1353" w:rsidRDefault="00FA2119" w:rsidP="00FA2119">
      <w:pPr>
        <w:rPr>
          <w:rFonts w:cs="Arial"/>
          <w:rtl/>
        </w:rPr>
      </w:pPr>
      <w:r>
        <w:rPr>
          <w:rFonts w:cs="Arial" w:hint="cs"/>
          <w:b/>
          <w:bCs/>
          <w:rtl/>
        </w:rPr>
        <w:t>גיטין</w:t>
      </w:r>
      <w:r>
        <w:rPr>
          <w:rFonts w:cs="Arial"/>
          <w:b/>
          <w:bCs/>
          <w:rtl/>
        </w:rPr>
        <w:t xml:space="preserve"> </w:t>
      </w:r>
      <w:r>
        <w:rPr>
          <w:rFonts w:cs="Arial"/>
          <w:b/>
          <w:bCs/>
          <w:szCs w:val="16"/>
          <w:rtl/>
        </w:rPr>
        <w:t>(פ'</w:t>
      </w:r>
      <w:r>
        <w:rPr>
          <w:rFonts w:cs="Arial" w:hint="cs"/>
          <w:b/>
          <w:bCs/>
          <w:szCs w:val="16"/>
          <w:rtl/>
        </w:rPr>
        <w:t xml:space="preserve"> המגרש</w:t>
      </w:r>
      <w:r>
        <w:rPr>
          <w:rFonts w:cs="Arial"/>
          <w:b/>
          <w:bCs/>
          <w:szCs w:val="16"/>
          <w:rtl/>
        </w:rPr>
        <w:t xml:space="preserve">) </w:t>
      </w:r>
      <w:r>
        <w:rPr>
          <w:rFonts w:cs="Arial" w:hint="cs"/>
          <w:b/>
          <w:bCs/>
          <w:rtl/>
        </w:rPr>
        <w:t>פו</w:t>
      </w:r>
      <w:r>
        <w:rPr>
          <w:rFonts w:cs="Arial"/>
          <w:b/>
          <w:bCs/>
          <w:rtl/>
        </w:rPr>
        <w:t xml:space="preserve"> ע"</w:t>
      </w:r>
      <w:r>
        <w:rPr>
          <w:rFonts w:cs="Arial" w:hint="cs"/>
          <w:b/>
          <w:bCs/>
          <w:rtl/>
        </w:rPr>
        <w:t>ב</w:t>
      </w:r>
      <w:r>
        <w:rPr>
          <w:rFonts w:cs="Arial"/>
          <w:b/>
          <w:bCs/>
          <w:rtl/>
        </w:rPr>
        <w:t>:</w:t>
      </w:r>
      <w:r>
        <w:rPr>
          <w:rFonts w:cs="Arial" w:hint="cs"/>
          <w:b/>
          <w:bCs/>
          <w:rtl/>
        </w:rPr>
        <w:t xml:space="preserve"> </w:t>
      </w:r>
      <w:r w:rsidRPr="001C6A45">
        <w:rPr>
          <w:rFonts w:cs="Arial" w:hint="cs"/>
          <w:u w:val="double"/>
          <w:rtl/>
        </w:rPr>
        <w:t>מתני'</w:t>
      </w:r>
      <w:r>
        <w:rPr>
          <w:rFonts w:cs="Arial" w:hint="cs"/>
          <w:rtl/>
        </w:rPr>
        <w:t>:</w:t>
      </w:r>
      <w:r>
        <w:rPr>
          <w:rFonts w:hint="cs"/>
          <w:rtl/>
        </w:rPr>
        <w:t xml:space="preserve">... </w:t>
      </w:r>
      <w:r w:rsidRPr="00FB644D">
        <w:rPr>
          <w:rFonts w:cs="Arial"/>
          <w:rtl/>
        </w:rPr>
        <w:t>חמשה שכתבו כלל בתוך הגט, איש פלוני מגרש פלונית ופלוני פלונית</w:t>
      </w:r>
      <w:r>
        <w:rPr>
          <w:rFonts w:cs="Arial" w:hint="cs"/>
          <w:rtl/>
        </w:rPr>
        <w:t>,</w:t>
      </w:r>
      <w:r w:rsidRPr="00FB644D">
        <w:rPr>
          <w:rFonts w:cs="Arial"/>
          <w:rtl/>
        </w:rPr>
        <w:t xml:space="preserve"> והעדים מלמטה </w:t>
      </w:r>
      <w:r w:rsidR="00A82951">
        <w:rPr>
          <w:rFonts w:cs="Arial"/>
          <w:rtl/>
        </w:rPr>
        <w:t>-</w:t>
      </w:r>
      <w:r w:rsidRPr="00FB644D">
        <w:rPr>
          <w:rFonts w:cs="Arial"/>
          <w:rtl/>
        </w:rPr>
        <w:t xml:space="preserve"> כולן כשרין, וינתן לכל אחת ואחת</w:t>
      </w:r>
      <w:r>
        <w:rPr>
          <w:rFonts w:cs="Arial" w:hint="cs"/>
          <w:rtl/>
        </w:rPr>
        <w:t>.</w:t>
      </w:r>
      <w:r w:rsidRPr="00FB644D">
        <w:rPr>
          <w:rFonts w:cs="Arial"/>
          <w:rtl/>
        </w:rPr>
        <w:t xml:space="preserve"> היה כותב טופס לכל אחד ואחד והעדים מלמטה, את שהעדים ניקרין עמו </w:t>
      </w:r>
      <w:r w:rsidR="00A82951">
        <w:rPr>
          <w:rFonts w:cs="Arial"/>
          <w:rtl/>
        </w:rPr>
        <w:t>-</w:t>
      </w:r>
      <w:r w:rsidRPr="00FB644D">
        <w:rPr>
          <w:rFonts w:cs="Arial"/>
          <w:rtl/>
        </w:rPr>
        <w:t xml:space="preserve"> כשר. </w:t>
      </w:r>
      <w:r>
        <w:rPr>
          <w:rFonts w:cs="Arial" w:hint="cs"/>
          <w:rtl/>
        </w:rPr>
        <w:t xml:space="preserve">     </w:t>
      </w:r>
      <w:r w:rsidRPr="00FB644D">
        <w:rPr>
          <w:rFonts w:cs="Arial"/>
          <w:u w:val="double"/>
          <w:rtl/>
        </w:rPr>
        <w:t>גמ'</w:t>
      </w:r>
      <w:r>
        <w:rPr>
          <w:rFonts w:cs="Arial" w:hint="cs"/>
          <w:rtl/>
        </w:rPr>
        <w:t>:</w:t>
      </w:r>
      <w:r w:rsidRPr="00FB644D">
        <w:rPr>
          <w:rFonts w:cs="Arial"/>
          <w:rtl/>
        </w:rPr>
        <w:t xml:space="preserve"> חמשה שכתבו כלל כו'. היכי דמי כלל, היכי דמי טופס? </w:t>
      </w:r>
      <w:r w:rsidRPr="00FB644D">
        <w:rPr>
          <w:rFonts w:cs="Arial"/>
          <w:u w:val="single"/>
          <w:rtl/>
        </w:rPr>
        <w:t>אמר רבי יוחנן</w:t>
      </w:r>
      <w:r w:rsidRPr="00FB644D">
        <w:rPr>
          <w:rFonts w:cs="Arial"/>
          <w:rtl/>
        </w:rPr>
        <w:t xml:space="preserve">: זמן אחד לכולן </w:t>
      </w:r>
      <w:r w:rsidR="00A82951">
        <w:rPr>
          <w:rFonts w:cs="Arial"/>
          <w:rtl/>
        </w:rPr>
        <w:t>-</w:t>
      </w:r>
      <w:r w:rsidRPr="00FB644D">
        <w:rPr>
          <w:rFonts w:cs="Arial"/>
          <w:rtl/>
        </w:rPr>
        <w:t xml:space="preserve"> זהו כלל, זמן לכל אחד ואחד </w:t>
      </w:r>
      <w:r w:rsidR="00A82951">
        <w:rPr>
          <w:rFonts w:cs="Arial"/>
          <w:rtl/>
        </w:rPr>
        <w:t>-</w:t>
      </w:r>
      <w:r w:rsidRPr="00FB644D">
        <w:rPr>
          <w:rFonts w:cs="Arial"/>
          <w:rtl/>
        </w:rPr>
        <w:t xml:space="preserve"> זהו טופס</w:t>
      </w:r>
      <w:r>
        <w:rPr>
          <w:rFonts w:cs="Arial" w:hint="cs"/>
          <w:rtl/>
        </w:rPr>
        <w:t>.</w:t>
      </w:r>
      <w:r w:rsidRPr="00FB644D">
        <w:rPr>
          <w:rFonts w:cs="Arial"/>
          <w:rtl/>
        </w:rPr>
        <w:t xml:space="preserve"> </w:t>
      </w:r>
      <w:r w:rsidRPr="00FB644D">
        <w:rPr>
          <w:rFonts w:cs="Arial"/>
          <w:u w:val="single"/>
          <w:rtl/>
        </w:rPr>
        <w:t>וריש לקיש אמר</w:t>
      </w:r>
      <w:r w:rsidRPr="00FB644D">
        <w:rPr>
          <w:rFonts w:cs="Arial"/>
          <w:rtl/>
        </w:rPr>
        <w:t>:</w:t>
      </w:r>
      <w:r w:rsidRPr="00FB644D">
        <w:rPr>
          <w:rtl/>
        </w:rPr>
        <w:t xml:space="preserve"> </w:t>
      </w:r>
      <w:r>
        <w:rPr>
          <w:rFonts w:cs="Arial" w:hint="cs"/>
          <w:sz w:val="14"/>
          <w:szCs w:val="14"/>
          <w:rtl/>
        </w:rPr>
        <w:t xml:space="preserve">(פז.) </w:t>
      </w:r>
      <w:r w:rsidRPr="00FB644D">
        <w:rPr>
          <w:rFonts w:cs="Arial"/>
          <w:rtl/>
        </w:rPr>
        <w:t xml:space="preserve">אפילו זמן אחד לכולן נמי הוי טופס, אלא היכי דמי כלל? דכתב אנו פלוני ופלוני גירשנו נשותינו פלונית ופלונית. </w:t>
      </w:r>
      <w:r w:rsidRPr="00143773">
        <w:rPr>
          <w:rFonts w:cs="Arial"/>
          <w:u w:val="single"/>
          <w:rtl/>
        </w:rPr>
        <w:t>מתקיף לה רבי אבא</w:t>
      </w:r>
      <w:r w:rsidRPr="00FB644D">
        <w:rPr>
          <w:rFonts w:cs="Arial"/>
          <w:rtl/>
        </w:rPr>
        <w:t xml:space="preserve">: לר' יוחנן, דאמר זמן אחד לכולן זהו כלל, ליחוש דלמא כי חתמו סהדי </w:t>
      </w:r>
      <w:r w:rsidR="00A82951">
        <w:rPr>
          <w:rFonts w:cs="Arial"/>
          <w:rtl/>
        </w:rPr>
        <w:t>-</w:t>
      </w:r>
      <w:r w:rsidRPr="00FB644D">
        <w:rPr>
          <w:rFonts w:cs="Arial"/>
          <w:rtl/>
        </w:rPr>
        <w:t xml:space="preserve"> אבתרא הוא דחתימי, מי לא תניא: עדים חתומין על שאילת שלום בגט </w:t>
      </w:r>
      <w:r w:rsidR="00A82951">
        <w:rPr>
          <w:rFonts w:cs="Arial"/>
          <w:rtl/>
        </w:rPr>
        <w:t>-</w:t>
      </w:r>
      <w:r w:rsidRPr="00FB644D">
        <w:rPr>
          <w:rFonts w:cs="Arial"/>
          <w:rtl/>
        </w:rPr>
        <w:t xml:space="preserve"> פסול, חיישינן שמא על שאילת שלום חתמו! לאו איתמר עלה: א"ר אבהו, לדידי מפרשא לי מיניה דרבי יוחנן: שאלו </w:t>
      </w:r>
      <w:r w:rsidR="00A82951">
        <w:rPr>
          <w:rFonts w:cs="Arial"/>
          <w:rtl/>
        </w:rPr>
        <w:t>-</w:t>
      </w:r>
      <w:r w:rsidRPr="00FB644D">
        <w:rPr>
          <w:rFonts w:cs="Arial"/>
          <w:rtl/>
        </w:rPr>
        <w:t xml:space="preserve"> פסול, ושאלו </w:t>
      </w:r>
      <w:r w:rsidR="00A82951">
        <w:rPr>
          <w:rFonts w:cs="Arial"/>
          <w:rtl/>
        </w:rPr>
        <w:t>-</w:t>
      </w:r>
      <w:r w:rsidRPr="00FB644D">
        <w:rPr>
          <w:rFonts w:cs="Arial"/>
          <w:rtl/>
        </w:rPr>
        <w:t xml:space="preserve"> כשר? ה"נ דכתיב ביה פלוני ופלוני ופלוני</w:t>
      </w:r>
      <w:r>
        <w:rPr>
          <w:rStyle w:val="a7"/>
          <w:rFonts w:cs="Arial"/>
          <w:rtl/>
        </w:rPr>
        <w:footnoteReference w:id="1223"/>
      </w:r>
      <w:r w:rsidRPr="00FB644D">
        <w:rPr>
          <w:rFonts w:cs="Arial"/>
          <w:rtl/>
        </w:rPr>
        <w:t xml:space="preserve">. ותו, לרבי יוחנן, דאמר זמן לכל אחד זהו טופס, מאי איריא משום טופס? ותיפוק ליה דהוה ליה נכתב ביום ונחתם בלילה! </w:t>
      </w:r>
      <w:r w:rsidRPr="00143773">
        <w:rPr>
          <w:rFonts w:cs="Arial"/>
          <w:u w:val="single"/>
          <w:rtl/>
        </w:rPr>
        <w:t>א"ל מר קשישא בריה דרב חסדא לרב אשי, הכי אמרינן משמיה דרבי יוחנן</w:t>
      </w:r>
      <w:r w:rsidRPr="00FB644D">
        <w:rPr>
          <w:rFonts w:cs="Arial"/>
          <w:rtl/>
        </w:rPr>
        <w:t>: דכתיב בהו בחד בשבא, בחד בשבא</w:t>
      </w:r>
      <w:r>
        <w:rPr>
          <w:rStyle w:val="a7"/>
          <w:rFonts w:cs="Arial"/>
          <w:rtl/>
        </w:rPr>
        <w:footnoteReference w:id="1224"/>
      </w:r>
      <w:r w:rsidRPr="00FB644D">
        <w:rPr>
          <w:rFonts w:cs="Arial"/>
          <w:rtl/>
        </w:rPr>
        <w:t xml:space="preserve">. </w:t>
      </w:r>
      <w:r w:rsidRPr="00143773">
        <w:rPr>
          <w:rFonts w:cs="Arial"/>
          <w:u w:val="single"/>
          <w:rtl/>
        </w:rPr>
        <w:t>א"ל רבינא לרב אשי</w:t>
      </w:r>
      <w:r w:rsidRPr="00FB644D">
        <w:rPr>
          <w:rFonts w:cs="Arial"/>
          <w:rtl/>
        </w:rPr>
        <w:t xml:space="preserve">: לריש לקיש, דאמר זמן אחד לכולן נמי טופס הוי, והיכי דמי כלל? דכתיב ביה הכי אנו פלוני ופלוני גירשנו נשותינו פלונית ופלונית, נמצאו שתי נשים מתגרשות בגט אחד, והתורה אמרה: וכתב לה </w:t>
      </w:r>
      <w:r w:rsidR="00A82951">
        <w:rPr>
          <w:rFonts w:cs="Arial"/>
          <w:rtl/>
        </w:rPr>
        <w:t>-</w:t>
      </w:r>
      <w:r w:rsidRPr="00FB644D">
        <w:rPr>
          <w:rFonts w:cs="Arial"/>
          <w:rtl/>
        </w:rPr>
        <w:t xml:space="preserve"> ולא לה ולחברתה! דהדר כתב</w:t>
      </w:r>
      <w:r>
        <w:rPr>
          <w:rFonts w:cs="Arial" w:hint="cs"/>
          <w:rtl/>
        </w:rPr>
        <w:t xml:space="preserve"> </w:t>
      </w:r>
      <w:r w:rsidR="00A82951">
        <w:rPr>
          <w:rFonts w:cs="Arial" w:hint="cs"/>
          <w:rtl/>
        </w:rPr>
        <w:t>-</w:t>
      </w:r>
      <w:r w:rsidRPr="00FB644D">
        <w:rPr>
          <w:rFonts w:cs="Arial"/>
          <w:rtl/>
        </w:rPr>
        <w:t xml:space="preserve"> פלוני גירש פלונית ופלוני גירש פלונית.</w:t>
      </w:r>
      <w:r>
        <w:rPr>
          <w:rFonts w:cs="Arial" w:hint="cs"/>
          <w:rtl/>
        </w:rPr>
        <w:t>..</w:t>
      </w:r>
      <w:r w:rsidRPr="00FB644D">
        <w:rPr>
          <w:rFonts w:cs="Arial"/>
          <w:rtl/>
        </w:rPr>
        <w:t xml:space="preserve"> תניא כוותיה דר' יוחנן, תניא כוותיה דריש לקיש. תניא כוותיה דר' יוחנן: חמשה שכתבו בתוך הגט איש פלוני מגרש פלונית ופלוני פלונית ופלוני פלונית, וזמן אחד לכולן והעדים מלמטה </w:t>
      </w:r>
      <w:r w:rsidR="00A82951">
        <w:rPr>
          <w:rFonts w:cs="Arial"/>
          <w:rtl/>
        </w:rPr>
        <w:t>-</w:t>
      </w:r>
      <w:r w:rsidRPr="00FB644D">
        <w:rPr>
          <w:rFonts w:cs="Arial"/>
          <w:rtl/>
        </w:rPr>
        <w:t xml:space="preserve"> כולן כשרים ותנתן לכל אחת ואחת, זמן לכל אחד ואחד והעדים מלמטה, את שהעדים נקראים עמו </w:t>
      </w:r>
      <w:r w:rsidR="00A82951">
        <w:rPr>
          <w:rFonts w:cs="Arial"/>
          <w:rtl/>
        </w:rPr>
        <w:t>-</w:t>
      </w:r>
      <w:r w:rsidRPr="00FB644D">
        <w:rPr>
          <w:rFonts w:cs="Arial"/>
          <w:rtl/>
        </w:rPr>
        <w:t xml:space="preserve"> כשר; ר' יהודה בן בתירא אומר: אם יש ריוח ביניהן </w:t>
      </w:r>
      <w:r w:rsidR="00A82951">
        <w:rPr>
          <w:rFonts w:cs="Arial"/>
          <w:rtl/>
        </w:rPr>
        <w:t>-</w:t>
      </w:r>
      <w:r w:rsidRPr="00FB644D">
        <w:rPr>
          <w:rFonts w:cs="Arial"/>
          <w:rtl/>
        </w:rPr>
        <w:t xml:space="preserve"> פסול, ואם לאו </w:t>
      </w:r>
      <w:r w:rsidR="00A82951">
        <w:rPr>
          <w:rFonts w:cs="Arial"/>
          <w:rtl/>
        </w:rPr>
        <w:t>-</w:t>
      </w:r>
      <w:r w:rsidRPr="00FB644D">
        <w:rPr>
          <w:rFonts w:cs="Arial"/>
          <w:rtl/>
        </w:rPr>
        <w:t xml:space="preserve"> כשר, שאין זמן מפסיקן. תניא כוותיה דריש לקיש: חמשה שכתבו כלל בתוך הגט, אנו פלוני ופלוני גירשנו נשותינו פלונית ופלונית, פלוני גירש פלונית ופלוני גירש פלונית, וזמן אחד לכולן והעדים מלמטה </w:t>
      </w:r>
      <w:r w:rsidR="00A82951">
        <w:rPr>
          <w:rFonts w:cs="Arial"/>
          <w:rtl/>
        </w:rPr>
        <w:t>-</w:t>
      </w:r>
      <w:r w:rsidRPr="00FB644D">
        <w:rPr>
          <w:rFonts w:cs="Arial"/>
          <w:rtl/>
        </w:rPr>
        <w:t xml:space="preserve"> כולן כשרין ותנתן לכל אחת ואחת, זמן לכל אחד ואחד וריוח לכל אחד ואחד והעדים מלמטה, את שהעדים נקראין עמו </w:t>
      </w:r>
      <w:r w:rsidR="00A82951">
        <w:rPr>
          <w:rFonts w:cs="Arial"/>
          <w:rtl/>
        </w:rPr>
        <w:t>-</w:t>
      </w:r>
      <w:r w:rsidRPr="00FB644D">
        <w:rPr>
          <w:rFonts w:cs="Arial"/>
          <w:rtl/>
        </w:rPr>
        <w:t xml:space="preserve"> כשר; ר"מ אומר: אף על פי שאין ריוח ביניהם </w:t>
      </w:r>
      <w:r w:rsidR="00A82951">
        <w:rPr>
          <w:rFonts w:cs="Arial"/>
          <w:rtl/>
        </w:rPr>
        <w:t>-</w:t>
      </w:r>
      <w:r w:rsidRPr="00FB644D">
        <w:rPr>
          <w:rFonts w:cs="Arial"/>
          <w:rtl/>
        </w:rPr>
        <w:t xml:space="preserve"> פסול, שהזמן מפסיקן. וריש לקיש, מאי איריא זמן לכל אחד ואחד? הא אמר: זמן אחד לכולן </w:t>
      </w:r>
      <w:r w:rsidRPr="00FB644D">
        <w:rPr>
          <w:rFonts w:cs="Arial"/>
          <w:rtl/>
        </w:rPr>
        <w:lastRenderedPageBreak/>
        <w:t xml:space="preserve">נמי טופס הוי! הני מילי היכא דלא ערבינהו מעיקרא, אבל הכא דערבינהו מעיקרא, אי פליג להו זמן </w:t>
      </w:r>
      <w:r w:rsidR="00A82951">
        <w:rPr>
          <w:rFonts w:cs="Arial"/>
          <w:rtl/>
        </w:rPr>
        <w:t>-</w:t>
      </w:r>
      <w:r w:rsidRPr="00FB644D">
        <w:rPr>
          <w:rFonts w:cs="Arial"/>
          <w:rtl/>
        </w:rPr>
        <w:t xml:space="preserve"> אין, אי לא </w:t>
      </w:r>
      <w:r w:rsidR="00A82951">
        <w:rPr>
          <w:rFonts w:cs="Arial"/>
          <w:rtl/>
        </w:rPr>
        <w:t>-</w:t>
      </w:r>
      <w:r w:rsidRPr="00FB644D">
        <w:rPr>
          <w:rFonts w:cs="Arial"/>
          <w:rtl/>
        </w:rPr>
        <w:t xml:space="preserve"> לא.</w:t>
      </w:r>
      <w:r>
        <w:rPr>
          <w:rFonts w:cs="Arial" w:hint="cs"/>
          <w:sz w:val="16"/>
          <w:szCs w:val="16"/>
          <w:rtl/>
        </w:rPr>
        <w:t xml:space="preserve"> (</w:t>
      </w:r>
      <w:r w:rsidRPr="00E64843">
        <w:rPr>
          <w:rFonts w:cs="Arial"/>
          <w:sz w:val="16"/>
          <w:szCs w:val="16"/>
          <w:rtl/>
        </w:rPr>
        <w:t>ופסקו הרי"ף (מח:) והרא"ש (סי' ח) כרבי יוחנן</w:t>
      </w:r>
      <w:r w:rsidRPr="00E64843">
        <w:rPr>
          <w:rFonts w:cs="Arial" w:hint="cs"/>
          <w:sz w:val="16"/>
          <w:szCs w:val="16"/>
          <w:rtl/>
        </w:rPr>
        <w:t>.</w:t>
      </w:r>
      <w:r w:rsidRPr="00E64843">
        <w:rPr>
          <w:rFonts w:cs="Arial"/>
          <w:sz w:val="16"/>
          <w:szCs w:val="16"/>
          <w:rtl/>
        </w:rPr>
        <w:t xml:space="preserve"> וכן דעת הרמב"ם בפ</w:t>
      </w:r>
      <w:r w:rsidRPr="00E64843">
        <w:rPr>
          <w:rFonts w:cs="Arial" w:hint="cs"/>
          <w:sz w:val="16"/>
          <w:szCs w:val="16"/>
          <w:rtl/>
        </w:rPr>
        <w:t>"</w:t>
      </w:r>
      <w:r w:rsidRPr="00E64843">
        <w:rPr>
          <w:rFonts w:cs="Arial"/>
          <w:sz w:val="16"/>
          <w:szCs w:val="16"/>
          <w:rtl/>
        </w:rPr>
        <w:t>ד (הי"ח)</w:t>
      </w:r>
      <w:r>
        <w:rPr>
          <w:rFonts w:cs="Arial" w:hint="cs"/>
          <w:sz w:val="16"/>
          <w:szCs w:val="16"/>
          <w:rtl/>
        </w:rPr>
        <w:t>...</w:t>
      </w:r>
      <w:r w:rsidRPr="005779EA">
        <w:rPr>
          <w:rFonts w:cs="Arial"/>
          <w:sz w:val="16"/>
          <w:szCs w:val="16"/>
          <w:rtl/>
        </w:rPr>
        <w:t xml:space="preserve"> ולענין אוקימתא דריש לקיש היכי דמי כלל דכתב אנו פלוני ופלוני גירשנו נשותינו פלונית ופלונית והדר כתב פלוני גירש את פלונית ופלוני גירש את פלונית</w:t>
      </w:r>
      <w:r w:rsidRPr="005779EA">
        <w:rPr>
          <w:rFonts w:cs="Arial" w:hint="cs"/>
          <w:sz w:val="16"/>
          <w:szCs w:val="16"/>
          <w:rtl/>
        </w:rPr>
        <w:t>,</w:t>
      </w:r>
      <w:r w:rsidRPr="005779EA">
        <w:rPr>
          <w:rFonts w:cs="Arial"/>
          <w:sz w:val="16"/>
          <w:szCs w:val="16"/>
          <w:rtl/>
        </w:rPr>
        <w:t xml:space="preserve"> פסק הרמב"ם בפ</w:t>
      </w:r>
      <w:r w:rsidRPr="005779EA">
        <w:rPr>
          <w:rFonts w:cs="Arial" w:hint="cs"/>
          <w:sz w:val="16"/>
          <w:szCs w:val="16"/>
          <w:rtl/>
        </w:rPr>
        <w:t>"</w:t>
      </w:r>
      <w:r w:rsidRPr="005779EA">
        <w:rPr>
          <w:rFonts w:cs="Arial"/>
          <w:sz w:val="16"/>
          <w:szCs w:val="16"/>
          <w:rtl/>
        </w:rPr>
        <w:t>ד (הי"ט) כוותיה בהא דכל כה</w:t>
      </w:r>
      <w:r w:rsidRPr="005779EA">
        <w:rPr>
          <w:rFonts w:cs="Arial" w:hint="cs"/>
          <w:sz w:val="16"/>
          <w:szCs w:val="16"/>
          <w:rtl/>
        </w:rPr>
        <w:t>"</w:t>
      </w:r>
      <w:r w:rsidRPr="005779EA">
        <w:rPr>
          <w:rFonts w:cs="Arial"/>
          <w:sz w:val="16"/>
          <w:szCs w:val="16"/>
          <w:rtl/>
        </w:rPr>
        <w:t>ג כלל מיקרי וכולם כשרים</w:t>
      </w:r>
      <w:r>
        <w:rPr>
          <w:rFonts w:cs="Arial" w:hint="cs"/>
          <w:sz w:val="16"/>
          <w:szCs w:val="16"/>
          <w:rtl/>
        </w:rPr>
        <w:t xml:space="preserve"> </w:t>
      </w:r>
      <w:r w:rsidRPr="00C62B6E">
        <w:rPr>
          <w:rFonts w:cs="Arial" w:hint="cs"/>
          <w:color w:val="E36C0A" w:themeColor="accent6" w:themeShade="BF"/>
          <w:sz w:val="16"/>
          <w:szCs w:val="16"/>
          <w:rtl/>
        </w:rPr>
        <w:t>(וכ"פ בשו"ע</w:t>
      </w:r>
      <w:r>
        <w:rPr>
          <w:rFonts w:cs="Arial" w:hint="cs"/>
          <w:color w:val="E36C0A" w:themeColor="accent6" w:themeShade="BF"/>
          <w:sz w:val="14"/>
          <w:szCs w:val="14"/>
          <w:rtl/>
        </w:rPr>
        <w:t xml:space="preserve"> </w:t>
      </w:r>
      <w:r w:rsidRPr="00C62B6E">
        <w:rPr>
          <w:rFonts w:cs="Arial" w:hint="cs"/>
          <w:color w:val="000000" w:themeColor="text1"/>
          <w:sz w:val="14"/>
          <w:szCs w:val="14"/>
          <w:rtl/>
        </w:rPr>
        <w:t>[בסע' הבא]</w:t>
      </w:r>
      <w:r w:rsidRPr="00C62B6E">
        <w:rPr>
          <w:rFonts w:cs="Arial" w:hint="cs"/>
          <w:color w:val="E36C0A" w:themeColor="accent6" w:themeShade="BF"/>
          <w:sz w:val="16"/>
          <w:szCs w:val="16"/>
          <w:rtl/>
        </w:rPr>
        <w:t>)</w:t>
      </w:r>
      <w:r w:rsidRPr="005779EA">
        <w:rPr>
          <w:rFonts w:cs="Arial" w:hint="cs"/>
          <w:sz w:val="16"/>
          <w:szCs w:val="16"/>
          <w:rtl/>
        </w:rPr>
        <w:t>.</w:t>
      </w:r>
      <w:r w:rsidRPr="005779EA">
        <w:rPr>
          <w:rFonts w:cs="Arial"/>
          <w:sz w:val="16"/>
          <w:szCs w:val="16"/>
          <w:rtl/>
        </w:rPr>
        <w:t xml:space="preserve"> וכתב הה</w:t>
      </w:r>
      <w:r w:rsidRPr="005779EA">
        <w:rPr>
          <w:rFonts w:cs="Arial" w:hint="cs"/>
          <w:sz w:val="16"/>
          <w:szCs w:val="16"/>
          <w:rtl/>
        </w:rPr>
        <w:t>"</w:t>
      </w:r>
      <w:r w:rsidRPr="005779EA">
        <w:rPr>
          <w:rFonts w:cs="Arial"/>
          <w:sz w:val="16"/>
          <w:szCs w:val="16"/>
          <w:rtl/>
        </w:rPr>
        <w:t>מ דטעמו משום דרבי יוחנן מודה בהא דכשר</w:t>
      </w:r>
      <w:r w:rsidRPr="005779EA">
        <w:rPr>
          <w:rFonts w:cs="Arial" w:hint="cs"/>
          <w:sz w:val="16"/>
          <w:szCs w:val="16"/>
          <w:rtl/>
        </w:rPr>
        <w:t>,</w:t>
      </w:r>
      <w:r w:rsidRPr="005779EA">
        <w:rPr>
          <w:rFonts w:cs="Arial"/>
          <w:sz w:val="16"/>
          <w:szCs w:val="16"/>
          <w:rtl/>
        </w:rPr>
        <w:t xml:space="preserve"> דהא לא פליג עליה אלא להקל ולהכשיר זמן אחד לכולן. וכיוצא בזה כתב הר"ן (מח: סוד"ה זמן)</w:t>
      </w:r>
      <w:r w:rsidRPr="005779EA">
        <w:rPr>
          <w:rFonts w:cs="Arial" w:hint="cs"/>
          <w:sz w:val="16"/>
          <w:szCs w:val="16"/>
          <w:rtl/>
        </w:rPr>
        <w:t>,</w:t>
      </w:r>
      <w:r w:rsidRPr="005779EA">
        <w:rPr>
          <w:rFonts w:cs="Arial"/>
          <w:sz w:val="16"/>
          <w:szCs w:val="16"/>
          <w:rtl/>
        </w:rPr>
        <w:t xml:space="preserve"> וכתב עוד</w:t>
      </w:r>
      <w:r w:rsidR="005407A0">
        <w:rPr>
          <w:rFonts w:cs="Arial" w:hint="cs"/>
          <w:sz w:val="16"/>
          <w:szCs w:val="16"/>
          <w:rtl/>
        </w:rPr>
        <w:t>:</w:t>
      </w:r>
      <w:r w:rsidRPr="005779EA">
        <w:rPr>
          <w:rFonts w:cs="Arial"/>
          <w:sz w:val="16"/>
          <w:szCs w:val="16"/>
          <w:rtl/>
        </w:rPr>
        <w:t xml:space="preserve"> אבל ראיתי מי שחולק בזה. גם ה</w:t>
      </w:r>
      <w:r w:rsidRPr="005779EA">
        <w:rPr>
          <w:rFonts w:cs="Arial" w:hint="cs"/>
          <w:sz w:val="16"/>
          <w:szCs w:val="16"/>
          <w:rtl/>
        </w:rPr>
        <w:t>ה"</w:t>
      </w:r>
      <w:r w:rsidRPr="005779EA">
        <w:rPr>
          <w:rFonts w:cs="Arial"/>
          <w:sz w:val="16"/>
          <w:szCs w:val="16"/>
          <w:rtl/>
        </w:rPr>
        <w:t>מ כתב</w:t>
      </w:r>
      <w:r w:rsidR="005407A0">
        <w:rPr>
          <w:rFonts w:cs="Arial" w:hint="cs"/>
          <w:sz w:val="16"/>
          <w:szCs w:val="16"/>
          <w:rtl/>
        </w:rPr>
        <w:t>:</w:t>
      </w:r>
      <w:r w:rsidRPr="005779EA">
        <w:rPr>
          <w:rFonts w:cs="Arial"/>
          <w:sz w:val="16"/>
          <w:szCs w:val="16"/>
          <w:rtl/>
        </w:rPr>
        <w:t xml:space="preserve"> והרשב"א (פו: היכי דמי) חלק בזה</w:t>
      </w:r>
      <w:r>
        <w:rPr>
          <w:rFonts w:cs="Arial" w:hint="cs"/>
          <w:sz w:val="16"/>
          <w:szCs w:val="16"/>
          <w:rtl/>
        </w:rPr>
        <w:t>,</w:t>
      </w:r>
      <w:r w:rsidRPr="005779EA">
        <w:rPr>
          <w:rFonts w:cs="Arial"/>
          <w:sz w:val="16"/>
          <w:szCs w:val="16"/>
          <w:rtl/>
        </w:rPr>
        <w:t xml:space="preserve"> ודברי רבינו עיקר עכ"ל </w:t>
      </w:r>
      <w:r>
        <w:rPr>
          <w:rFonts w:cs="Arial" w:hint="cs"/>
          <w:sz w:val="14"/>
          <w:szCs w:val="14"/>
          <w:rtl/>
        </w:rPr>
        <w:t>{והביא הב"י את דברי הרשב"א והקשה עליהם, וסיים שצ"ע}</w:t>
      </w:r>
      <w:r w:rsidRPr="005779EA">
        <w:rPr>
          <w:rFonts w:cs="Arial"/>
          <w:sz w:val="16"/>
          <w:szCs w:val="16"/>
          <w:rtl/>
        </w:rPr>
        <w:t>. ורבינו כתב כדברי הרמב"ם</w:t>
      </w:r>
      <w:r w:rsidR="005407A0">
        <w:rPr>
          <w:rFonts w:cs="Arial" w:hint="cs"/>
          <w:sz w:val="16"/>
          <w:szCs w:val="16"/>
          <w:rtl/>
        </w:rPr>
        <w:t>,</w:t>
      </w:r>
      <w:r w:rsidRPr="005779EA">
        <w:rPr>
          <w:rFonts w:cs="Arial"/>
          <w:sz w:val="16"/>
          <w:szCs w:val="16"/>
          <w:rtl/>
        </w:rPr>
        <w:t xml:space="preserve"> וכ</w:t>
      </w:r>
      <w:r w:rsidRPr="005779EA">
        <w:rPr>
          <w:rFonts w:cs="Arial" w:hint="cs"/>
          <w:sz w:val="16"/>
          <w:szCs w:val="16"/>
          <w:rtl/>
        </w:rPr>
        <w:t>"כ</w:t>
      </w:r>
      <w:r w:rsidRPr="005779EA">
        <w:rPr>
          <w:rFonts w:cs="Arial"/>
          <w:sz w:val="16"/>
          <w:szCs w:val="16"/>
          <w:rtl/>
        </w:rPr>
        <w:t xml:space="preserve"> ר</w:t>
      </w:r>
      <w:r w:rsidRPr="005779EA">
        <w:rPr>
          <w:rFonts w:cs="Arial" w:hint="cs"/>
          <w:sz w:val="16"/>
          <w:szCs w:val="16"/>
          <w:rtl/>
        </w:rPr>
        <w:t>י"ו</w:t>
      </w:r>
      <w:r w:rsidRPr="005779EA">
        <w:rPr>
          <w:rFonts w:cs="Arial"/>
          <w:sz w:val="16"/>
          <w:szCs w:val="16"/>
          <w:rtl/>
        </w:rPr>
        <w:t xml:space="preserve"> (</w:t>
      </w:r>
      <w:r w:rsidRPr="005779EA">
        <w:rPr>
          <w:rFonts w:cs="Arial" w:hint="cs"/>
          <w:sz w:val="16"/>
          <w:szCs w:val="16"/>
          <w:rtl/>
        </w:rPr>
        <w:t xml:space="preserve">ח"ב </w:t>
      </w:r>
      <w:r w:rsidRPr="005779EA">
        <w:rPr>
          <w:rFonts w:cs="Arial"/>
          <w:sz w:val="16"/>
          <w:szCs w:val="16"/>
          <w:rtl/>
        </w:rPr>
        <w:t>נכ"ד רה ע"ד)</w:t>
      </w:r>
      <w:r>
        <w:rPr>
          <w:rFonts w:cs="Arial" w:hint="cs"/>
          <w:sz w:val="16"/>
          <w:szCs w:val="16"/>
          <w:rtl/>
        </w:rPr>
        <w:t>,</w:t>
      </w:r>
      <w:r w:rsidRPr="00E64843">
        <w:rPr>
          <w:rFonts w:cs="Arial" w:hint="cs"/>
          <w:sz w:val="16"/>
          <w:szCs w:val="16"/>
          <w:rtl/>
        </w:rPr>
        <w:t xml:space="preserve"> ב"י)</w:t>
      </w:r>
      <w:r>
        <w:rPr>
          <w:rFonts w:cs="Arial"/>
          <w:rtl/>
        </w:rPr>
        <w:t xml:space="preserve"> </w:t>
      </w:r>
    </w:p>
    <w:p w14:paraId="45BF0DB2" w14:textId="0C721F5A" w:rsidR="00FA2119" w:rsidRDefault="00FA2119" w:rsidP="00FA2119">
      <w:pPr>
        <w:rPr>
          <w:u w:val="single"/>
          <w:rtl/>
        </w:rPr>
      </w:pPr>
      <w:r w:rsidRPr="008F73BF">
        <w:rPr>
          <w:rFonts w:hint="cs"/>
          <w:u w:val="single"/>
          <w:rtl/>
        </w:rPr>
        <w:t>חמשה שכתבו גט אחד לחמש נשותיהם</w:t>
      </w:r>
      <w:r>
        <w:rPr>
          <w:rFonts w:hint="cs"/>
          <w:u w:val="single"/>
          <w:rtl/>
        </w:rPr>
        <w:t xml:space="preserve"> </w:t>
      </w:r>
      <w:r w:rsidR="00A82951">
        <w:rPr>
          <w:u w:val="single"/>
          <w:rtl/>
        </w:rPr>
        <w:t>-</w:t>
      </w:r>
      <w:r>
        <w:rPr>
          <w:rFonts w:hint="cs"/>
          <w:u w:val="single"/>
          <w:rtl/>
        </w:rPr>
        <w:t xml:space="preserve"> מה הדין במקרים הבאים</w:t>
      </w:r>
      <w:r w:rsidRPr="008F73BF">
        <w:rPr>
          <w:rFonts w:hint="cs"/>
          <w:u w:val="single"/>
          <w:rtl/>
        </w:rPr>
        <w:t>:</w:t>
      </w:r>
    </w:p>
    <w:p w14:paraId="4D7D37A3" w14:textId="1EB42CE2" w:rsidR="00FA2119" w:rsidRPr="007965B6" w:rsidRDefault="00FA2119" w:rsidP="00FA2119">
      <w:pPr>
        <w:ind w:left="360"/>
        <w:rPr>
          <w:u w:val="dotted"/>
          <w:rtl/>
        </w:rPr>
      </w:pPr>
      <w:r w:rsidRPr="007965B6">
        <w:rPr>
          <w:rFonts w:hint="cs"/>
          <w:u w:val="dotted"/>
          <w:rtl/>
        </w:rPr>
        <w:t xml:space="preserve">כשכתבו </w:t>
      </w:r>
      <w:r>
        <w:rPr>
          <w:rFonts w:hint="cs"/>
          <w:u w:val="dotted"/>
          <w:rtl/>
        </w:rPr>
        <w:t>את הגיטין</w:t>
      </w:r>
      <w:r w:rsidRPr="007965B6">
        <w:rPr>
          <w:rFonts w:hint="cs"/>
          <w:u w:val="dotted"/>
          <w:rtl/>
        </w:rPr>
        <w:t xml:space="preserve"> </w:t>
      </w:r>
      <w:r>
        <w:rPr>
          <w:rFonts w:hint="cs"/>
          <w:u w:val="dotted"/>
          <w:rtl/>
        </w:rPr>
        <w:t>בכלל</w:t>
      </w:r>
      <w:r w:rsidRPr="007965B6">
        <w:rPr>
          <w:rFonts w:hint="cs"/>
          <w:u w:val="dotted"/>
          <w:rtl/>
        </w:rPr>
        <w:t>:</w:t>
      </w:r>
    </w:p>
    <w:p w14:paraId="57CC371D" w14:textId="5026139D" w:rsidR="00FA2119" w:rsidRPr="007965B6" w:rsidRDefault="00FA2119" w:rsidP="00FA2119">
      <w:pPr>
        <w:pStyle w:val="ab"/>
        <w:numPr>
          <w:ilvl w:val="0"/>
          <w:numId w:val="80"/>
        </w:numPr>
      </w:pPr>
      <w:r>
        <w:rPr>
          <w:rFonts w:cs="Arial" w:hint="cs"/>
          <w:rtl/>
        </w:rPr>
        <w:t xml:space="preserve">רמב"ם </w:t>
      </w:r>
      <w:r>
        <w:rPr>
          <w:rFonts w:cs="Arial" w:hint="cs"/>
          <w:sz w:val="16"/>
          <w:szCs w:val="16"/>
          <w:rtl/>
        </w:rPr>
        <w:t>(פ"ד הי"ח)</w:t>
      </w:r>
      <w:r w:rsidR="00A82951">
        <w:rPr>
          <w:rFonts w:cs="Arial" w:hint="cs"/>
          <w:rtl/>
        </w:rPr>
        <w:t>-</w:t>
      </w:r>
      <w:r>
        <w:rPr>
          <w:rFonts w:cs="Arial" w:hint="cs"/>
          <w:rtl/>
        </w:rPr>
        <w:t xml:space="preserve"> </w:t>
      </w:r>
      <w:r w:rsidRPr="007965B6">
        <w:rPr>
          <w:rFonts w:cs="Arial"/>
          <w:rtl/>
        </w:rPr>
        <w:t>חמשה שכתבו גט אחד לחמש נשותיהן, אם כתבוהו בכלל</w:t>
      </w:r>
      <w:r>
        <w:rPr>
          <w:rFonts w:cs="Arial" w:hint="cs"/>
          <w:rtl/>
        </w:rPr>
        <w:t>,</w:t>
      </w:r>
      <w:r w:rsidRPr="007965B6">
        <w:rPr>
          <w:rFonts w:cs="Arial"/>
          <w:rtl/>
        </w:rPr>
        <w:t xml:space="preserve"> כגון שכתבו</w:t>
      </w:r>
      <w:r>
        <w:rPr>
          <w:rFonts w:cs="Arial" w:hint="cs"/>
          <w:rtl/>
        </w:rPr>
        <w:t>:</w:t>
      </w:r>
      <w:r w:rsidRPr="007965B6">
        <w:rPr>
          <w:rFonts w:cs="Arial"/>
          <w:rtl/>
        </w:rPr>
        <w:t xml:space="preserve"> </w:t>
      </w:r>
      <w:r>
        <w:rPr>
          <w:rFonts w:cs="Arial" w:hint="cs"/>
          <w:rtl/>
        </w:rPr>
        <w:t>'</w:t>
      </w:r>
      <w:r w:rsidRPr="007965B6">
        <w:rPr>
          <w:rFonts w:cs="Arial"/>
          <w:rtl/>
        </w:rPr>
        <w:t>בכך בשבת גירש פלוני לפלונית ופלוני לפלונית</w:t>
      </w:r>
      <w:r>
        <w:rPr>
          <w:rFonts w:cs="Arial" w:hint="cs"/>
          <w:rtl/>
        </w:rPr>
        <w:t>',</w:t>
      </w:r>
      <w:r w:rsidRPr="007965B6">
        <w:rPr>
          <w:rFonts w:cs="Arial"/>
          <w:rtl/>
        </w:rPr>
        <w:t xml:space="preserve"> וכן אמר כל אחד מהן לאשתו </w:t>
      </w:r>
      <w:r>
        <w:rPr>
          <w:rFonts w:cs="Arial" w:hint="cs"/>
          <w:rtl/>
        </w:rPr>
        <w:t>'</w:t>
      </w:r>
      <w:r w:rsidRPr="007965B6">
        <w:rPr>
          <w:rFonts w:cs="Arial"/>
          <w:rtl/>
        </w:rPr>
        <w:t>ליכי די תהוייין</w:t>
      </w:r>
      <w:r>
        <w:rPr>
          <w:rFonts w:cs="Arial" w:hint="cs"/>
          <w:rtl/>
        </w:rPr>
        <w:t>'</w:t>
      </w:r>
      <w:r w:rsidRPr="007965B6">
        <w:rPr>
          <w:rFonts w:cs="Arial"/>
          <w:rtl/>
        </w:rPr>
        <w:t xml:space="preserve"> וכל טופס הגט</w:t>
      </w:r>
      <w:r>
        <w:rPr>
          <w:rStyle w:val="a7"/>
          <w:rFonts w:cs="Arial"/>
          <w:rtl/>
        </w:rPr>
        <w:footnoteReference w:id="1225"/>
      </w:r>
      <w:r>
        <w:rPr>
          <w:rFonts w:cs="Arial" w:hint="cs"/>
          <w:rtl/>
        </w:rPr>
        <w:t>,</w:t>
      </w:r>
      <w:r w:rsidRPr="007965B6">
        <w:rPr>
          <w:rFonts w:cs="Arial"/>
          <w:rtl/>
        </w:rPr>
        <w:t xml:space="preserve"> ושני עדים חותמין מלמטה </w:t>
      </w:r>
      <w:r w:rsidR="00A82951">
        <w:rPr>
          <w:rFonts w:cs="Arial" w:hint="cs"/>
          <w:rtl/>
        </w:rPr>
        <w:t>-</w:t>
      </w:r>
      <w:r>
        <w:rPr>
          <w:rFonts w:cs="Arial" w:hint="cs"/>
          <w:rtl/>
        </w:rPr>
        <w:t xml:space="preserve"> </w:t>
      </w:r>
      <w:r w:rsidRPr="007965B6">
        <w:rPr>
          <w:rFonts w:cs="Arial"/>
          <w:rtl/>
        </w:rPr>
        <w:t>הרי זה גט כשר וינתן לכל אחת מהן בעידי מסירה</w:t>
      </w:r>
      <w:r>
        <w:rPr>
          <w:rFonts w:cs="Arial" w:hint="cs"/>
          <w:rtl/>
        </w:rPr>
        <w:t>.</w:t>
      </w:r>
      <w:r w:rsidRPr="007965B6">
        <w:rPr>
          <w:rFonts w:cs="Arial"/>
          <w:rtl/>
        </w:rPr>
        <w:t xml:space="preserve"> ואם אין שם עידי מסירה כלל </w:t>
      </w:r>
      <w:r w:rsidR="00A82951">
        <w:rPr>
          <w:rFonts w:cs="Arial" w:hint="cs"/>
          <w:rtl/>
        </w:rPr>
        <w:t>-</w:t>
      </w:r>
      <w:r>
        <w:rPr>
          <w:rFonts w:cs="Arial" w:hint="cs"/>
          <w:rtl/>
        </w:rPr>
        <w:t xml:space="preserve"> </w:t>
      </w:r>
      <w:r w:rsidRPr="007965B6">
        <w:rPr>
          <w:rFonts w:cs="Arial"/>
          <w:rtl/>
        </w:rPr>
        <w:t>כל שתצא מגילה זו מתחת ידה מגורשת</w:t>
      </w:r>
      <w:r>
        <w:rPr>
          <w:rStyle w:val="a7"/>
          <w:rFonts w:cs="Arial"/>
          <w:rtl/>
        </w:rPr>
        <w:footnoteReference w:id="1226"/>
      </w:r>
      <w:r w:rsidRPr="007965B6">
        <w:rPr>
          <w:rFonts w:cs="Arial"/>
          <w:rtl/>
        </w:rPr>
        <w:t xml:space="preserve">. </w:t>
      </w:r>
      <w:r w:rsidRPr="00506F05">
        <w:rPr>
          <w:rFonts w:hint="cs"/>
          <w:color w:val="E36C0A" w:themeColor="accent6" w:themeShade="BF"/>
          <w:rtl/>
        </w:rPr>
        <w:t>(וכ"פ בשו"ע)</w:t>
      </w:r>
    </w:p>
    <w:p w14:paraId="506B37A4" w14:textId="012A912E" w:rsidR="00FA2119" w:rsidRDefault="00FA2119" w:rsidP="00FA2119">
      <w:pPr>
        <w:pStyle w:val="ab"/>
        <w:numPr>
          <w:ilvl w:val="0"/>
          <w:numId w:val="80"/>
        </w:numPr>
      </w:pPr>
      <w:r>
        <w:rPr>
          <w:rFonts w:cs="Arial" w:hint="cs"/>
          <w:rtl/>
        </w:rPr>
        <w:t>טור</w:t>
      </w:r>
      <w:r w:rsidR="00A82951">
        <w:rPr>
          <w:rFonts w:cs="Arial" w:hint="cs"/>
          <w:rtl/>
        </w:rPr>
        <w:t>-</w:t>
      </w:r>
      <w:r>
        <w:rPr>
          <w:rFonts w:cs="Arial" w:hint="cs"/>
          <w:rtl/>
        </w:rPr>
        <w:t xml:space="preserve"> </w:t>
      </w:r>
      <w:r>
        <w:rPr>
          <w:rFonts w:cs="Arial"/>
          <w:rtl/>
        </w:rPr>
        <w:t>חמשה שכתבו ה' גיטין לחמשה נשותיהן</w:t>
      </w:r>
      <w:r w:rsidR="00AD4485">
        <w:rPr>
          <w:rFonts w:cs="Arial" w:hint="cs"/>
          <w:rtl/>
        </w:rPr>
        <w:t>,</w:t>
      </w:r>
      <w:r>
        <w:rPr>
          <w:rFonts w:cs="Arial"/>
          <w:rtl/>
        </w:rPr>
        <w:t xml:space="preserve"> אם כתבו בכלל</w:t>
      </w:r>
      <w:r>
        <w:rPr>
          <w:rFonts w:cs="Arial" w:hint="cs"/>
          <w:rtl/>
        </w:rPr>
        <w:t>,</w:t>
      </w:r>
      <w:r>
        <w:rPr>
          <w:rFonts w:cs="Arial"/>
          <w:rtl/>
        </w:rPr>
        <w:t xml:space="preserve"> שכתבו</w:t>
      </w:r>
      <w:r>
        <w:rPr>
          <w:rFonts w:cs="Arial" w:hint="cs"/>
          <w:rtl/>
        </w:rPr>
        <w:t>:</w:t>
      </w:r>
      <w:r>
        <w:rPr>
          <w:rFonts w:cs="Arial"/>
          <w:rtl/>
        </w:rPr>
        <w:t xml:space="preserve"> </w:t>
      </w:r>
      <w:r>
        <w:rPr>
          <w:rFonts w:cs="Arial" w:hint="cs"/>
          <w:rtl/>
        </w:rPr>
        <w:t>'</w:t>
      </w:r>
      <w:r>
        <w:rPr>
          <w:rFonts w:cs="Arial"/>
          <w:rtl/>
        </w:rPr>
        <w:t>בכך וכך בשבת גירש פלוני לפלונית ופלוני לפלונית</w:t>
      </w:r>
      <w:r>
        <w:rPr>
          <w:rFonts w:cs="Arial" w:hint="cs"/>
          <w:rtl/>
        </w:rPr>
        <w:t>'.</w:t>
      </w:r>
      <w:r>
        <w:rPr>
          <w:rFonts w:cs="Arial"/>
          <w:rtl/>
        </w:rPr>
        <w:t xml:space="preserve"> פירוש</w:t>
      </w:r>
      <w:r>
        <w:rPr>
          <w:rFonts w:cs="Arial" w:hint="cs"/>
          <w:rtl/>
        </w:rPr>
        <w:t>,</w:t>
      </w:r>
      <w:r>
        <w:rPr>
          <w:rFonts w:cs="Arial"/>
          <w:rtl/>
        </w:rPr>
        <w:t xml:space="preserve"> אחר שכתב הראשון </w:t>
      </w:r>
      <w:r>
        <w:rPr>
          <w:rFonts w:cs="Arial" w:hint="cs"/>
          <w:rtl/>
        </w:rPr>
        <w:t>'</w:t>
      </w:r>
      <w:r>
        <w:rPr>
          <w:rFonts w:cs="Arial"/>
          <w:rtl/>
        </w:rPr>
        <w:t>גירש ופלוני לפלונית</w:t>
      </w:r>
      <w:r>
        <w:rPr>
          <w:rFonts w:cs="Arial" w:hint="cs"/>
          <w:rtl/>
        </w:rPr>
        <w:t>'</w:t>
      </w:r>
      <w:r>
        <w:rPr>
          <w:rFonts w:cs="Arial"/>
          <w:rtl/>
        </w:rPr>
        <w:t xml:space="preserve"> מסיים כל ענין הגט</w:t>
      </w:r>
      <w:r>
        <w:rPr>
          <w:rFonts w:cs="Arial" w:hint="cs"/>
          <w:rtl/>
        </w:rPr>
        <w:t>,</w:t>
      </w:r>
      <w:r>
        <w:rPr>
          <w:rFonts w:cs="Arial"/>
          <w:rtl/>
        </w:rPr>
        <w:t xml:space="preserve"> וכן אמר כל חד לאשתו אחר שכתב גירש פלוני לפלונית </w:t>
      </w:r>
      <w:r>
        <w:rPr>
          <w:rFonts w:cs="Arial" w:hint="cs"/>
          <w:rtl/>
        </w:rPr>
        <w:t>'</w:t>
      </w:r>
      <w:r>
        <w:rPr>
          <w:rFonts w:cs="Arial"/>
          <w:rtl/>
        </w:rPr>
        <w:t>פטרית ושבקית ותרוכית יתיכי</w:t>
      </w:r>
      <w:r>
        <w:rPr>
          <w:rFonts w:cs="Arial" w:hint="cs"/>
          <w:rtl/>
        </w:rPr>
        <w:t>'</w:t>
      </w:r>
      <w:r>
        <w:rPr>
          <w:rFonts w:cs="Arial"/>
          <w:rtl/>
        </w:rPr>
        <w:t xml:space="preserve"> וכל טופס הגט</w:t>
      </w:r>
      <w:r>
        <w:rPr>
          <w:rStyle w:val="a7"/>
          <w:rFonts w:cs="Arial"/>
          <w:rtl/>
        </w:rPr>
        <w:footnoteReference w:id="1227"/>
      </w:r>
      <w:r>
        <w:rPr>
          <w:rFonts w:cs="Arial" w:hint="cs"/>
          <w:rtl/>
        </w:rPr>
        <w:t>,</w:t>
      </w:r>
      <w:r>
        <w:rPr>
          <w:rFonts w:cs="Arial"/>
          <w:rtl/>
        </w:rPr>
        <w:t xml:space="preserve"> וב' עדים חתומים למטה </w:t>
      </w:r>
      <w:r w:rsidR="00A82951">
        <w:rPr>
          <w:rFonts w:cs="Arial" w:hint="cs"/>
          <w:rtl/>
        </w:rPr>
        <w:t>-</w:t>
      </w:r>
      <w:r>
        <w:rPr>
          <w:rFonts w:cs="Arial" w:hint="cs"/>
          <w:rtl/>
        </w:rPr>
        <w:t xml:space="preserve"> </w:t>
      </w:r>
      <w:r>
        <w:rPr>
          <w:rFonts w:cs="Arial"/>
          <w:rtl/>
        </w:rPr>
        <w:t>כולן כשרים</w:t>
      </w:r>
      <w:r>
        <w:rPr>
          <w:rFonts w:cs="Arial" w:hint="cs"/>
          <w:rtl/>
        </w:rPr>
        <w:t>,</w:t>
      </w:r>
      <w:r>
        <w:rPr>
          <w:rFonts w:cs="Arial"/>
          <w:rtl/>
        </w:rPr>
        <w:t xml:space="preserve"> ותנתן המגילה ליד כל אחת ואחת</w:t>
      </w:r>
      <w:r>
        <w:rPr>
          <w:rFonts w:cs="Arial" w:hint="cs"/>
          <w:rtl/>
        </w:rPr>
        <w:t>.</w:t>
      </w:r>
      <w:r>
        <w:rPr>
          <w:rFonts w:cs="Arial"/>
          <w:rtl/>
        </w:rPr>
        <w:t xml:space="preserve"> ודוקא שכתב ופלוני בוי"ו</w:t>
      </w:r>
      <w:r>
        <w:rPr>
          <w:rFonts w:cs="Arial" w:hint="cs"/>
          <w:rtl/>
        </w:rPr>
        <w:t>,</w:t>
      </w:r>
      <w:r>
        <w:rPr>
          <w:rFonts w:cs="Arial"/>
          <w:rtl/>
        </w:rPr>
        <w:t xml:space="preserve"> שהוא מחברו</w:t>
      </w:r>
      <w:r>
        <w:rPr>
          <w:rFonts w:cs="Arial" w:hint="cs"/>
          <w:rtl/>
        </w:rPr>
        <w:t>.</w:t>
      </w:r>
      <w:r>
        <w:rPr>
          <w:rFonts w:cs="Arial"/>
          <w:rtl/>
        </w:rPr>
        <w:t xml:space="preserve"> אבל אם כתב פלוני בלא וי"ו </w:t>
      </w:r>
      <w:r w:rsidR="00A82951">
        <w:rPr>
          <w:rFonts w:cs="Arial" w:hint="cs"/>
          <w:rtl/>
        </w:rPr>
        <w:t>-</w:t>
      </w:r>
      <w:r>
        <w:rPr>
          <w:rFonts w:cs="Arial" w:hint="cs"/>
          <w:rtl/>
        </w:rPr>
        <w:t xml:space="preserve"> </w:t>
      </w:r>
      <w:r>
        <w:rPr>
          <w:rFonts w:cs="Arial"/>
          <w:rtl/>
        </w:rPr>
        <w:t>אין כשר אלא האחרון</w:t>
      </w:r>
      <w:r>
        <w:rPr>
          <w:rFonts w:cs="Arial" w:hint="cs"/>
          <w:rtl/>
        </w:rPr>
        <w:t>...</w:t>
      </w:r>
      <w:r>
        <w:rPr>
          <w:rFonts w:cs="Arial"/>
          <w:rtl/>
        </w:rPr>
        <w:t xml:space="preserve"> </w:t>
      </w:r>
      <w:r>
        <w:rPr>
          <w:rStyle w:val="a7"/>
          <w:rFonts w:cs="Arial"/>
          <w:rtl/>
        </w:rPr>
        <w:footnoteReference w:id="1228"/>
      </w:r>
      <w:r>
        <w:rPr>
          <w:rFonts w:cs="Arial" w:hint="cs"/>
          <w:rtl/>
        </w:rPr>
        <w:t>ו</w:t>
      </w:r>
      <w:r w:rsidRPr="006644E7">
        <w:rPr>
          <w:rFonts w:cs="Arial"/>
          <w:rtl/>
        </w:rPr>
        <w:t>אין צריך שיהו עדי מסירה לפנינו</w:t>
      </w:r>
      <w:r w:rsidRPr="006644E7">
        <w:rPr>
          <w:rFonts w:cs="Arial" w:hint="cs"/>
          <w:rtl/>
        </w:rPr>
        <w:t>,</w:t>
      </w:r>
      <w:r w:rsidRPr="006644E7">
        <w:rPr>
          <w:rFonts w:cs="Arial"/>
          <w:rtl/>
        </w:rPr>
        <w:t xml:space="preserve"> אלא כולן מתגרשות בו ואחת תתפוש אותו בשביל כולן</w:t>
      </w:r>
      <w:r w:rsidRPr="006644E7">
        <w:rPr>
          <w:rFonts w:cs="Arial" w:hint="cs"/>
          <w:rtl/>
        </w:rPr>
        <w:t>,</w:t>
      </w:r>
      <w:r w:rsidRPr="006644E7">
        <w:rPr>
          <w:rFonts w:cs="Arial"/>
          <w:rtl/>
        </w:rPr>
        <w:t xml:space="preserve"> או תתן אותו לכל אחת כשתצטרך לה</w:t>
      </w:r>
      <w:r w:rsidRPr="006644E7">
        <w:rPr>
          <w:rFonts w:cs="Arial" w:hint="cs"/>
          <w:rtl/>
        </w:rPr>
        <w:t>.</w:t>
      </w:r>
      <w:r w:rsidRPr="006644E7">
        <w:rPr>
          <w:rFonts w:cs="Arial"/>
          <w:rtl/>
        </w:rPr>
        <w:t xml:space="preserve"> ואם אין שם עדי מסירה כלל </w:t>
      </w:r>
      <w:r w:rsidR="00A82951">
        <w:rPr>
          <w:rFonts w:cs="Arial" w:hint="cs"/>
          <w:rtl/>
        </w:rPr>
        <w:t>-</w:t>
      </w:r>
      <w:r w:rsidRPr="006644E7">
        <w:rPr>
          <w:rFonts w:cs="Arial" w:hint="cs"/>
          <w:rtl/>
        </w:rPr>
        <w:t xml:space="preserve"> </w:t>
      </w:r>
      <w:r w:rsidRPr="006644E7">
        <w:rPr>
          <w:rFonts w:cs="Arial"/>
          <w:rtl/>
        </w:rPr>
        <w:t>אין שום אחת מתגרשת בו</w:t>
      </w:r>
      <w:r w:rsidRPr="006644E7">
        <w:rPr>
          <w:rFonts w:cs="Arial" w:hint="cs"/>
          <w:rtl/>
        </w:rPr>
        <w:t>,</w:t>
      </w:r>
      <w:r w:rsidRPr="006644E7">
        <w:rPr>
          <w:rFonts w:cs="Arial"/>
          <w:rtl/>
        </w:rPr>
        <w:t xml:space="preserve"> אפי' אותה שיוצאה מתחת ידה</w:t>
      </w:r>
      <w:r w:rsidRPr="006644E7">
        <w:rPr>
          <w:rFonts w:cs="Arial" w:hint="cs"/>
          <w:rtl/>
        </w:rPr>
        <w:t>.</w:t>
      </w:r>
      <w:r w:rsidRPr="006644E7">
        <w:rPr>
          <w:rFonts w:cs="Arial"/>
          <w:rtl/>
        </w:rPr>
        <w:t xml:space="preserve"> </w:t>
      </w:r>
      <w:r w:rsidRPr="00027D22">
        <w:rPr>
          <w:rFonts w:cs="Arial"/>
          <w:rtl/>
        </w:rPr>
        <w:t xml:space="preserve"> </w:t>
      </w:r>
    </w:p>
    <w:p w14:paraId="3C425BD4" w14:textId="77777777" w:rsidR="00FA2119" w:rsidRPr="007965B6" w:rsidRDefault="00FA2119" w:rsidP="00FA2119">
      <w:pPr>
        <w:ind w:left="360"/>
        <w:rPr>
          <w:u w:val="dotted"/>
        </w:rPr>
      </w:pPr>
      <w:r w:rsidRPr="007965B6">
        <w:rPr>
          <w:rFonts w:hint="cs"/>
          <w:u w:val="dotted"/>
          <w:rtl/>
        </w:rPr>
        <w:t xml:space="preserve">כשכתבו </w:t>
      </w:r>
      <w:r>
        <w:rPr>
          <w:rFonts w:hint="cs"/>
          <w:u w:val="dotted"/>
          <w:rtl/>
        </w:rPr>
        <w:t xml:space="preserve">את הגיטין כל אחד </w:t>
      </w:r>
      <w:r w:rsidRPr="007965B6">
        <w:rPr>
          <w:rFonts w:hint="cs"/>
          <w:u w:val="dotted"/>
          <w:rtl/>
        </w:rPr>
        <w:t xml:space="preserve">נוסח גט </w:t>
      </w:r>
      <w:r>
        <w:rPr>
          <w:rFonts w:hint="cs"/>
          <w:u w:val="dotted"/>
          <w:rtl/>
        </w:rPr>
        <w:t xml:space="preserve">בפני עצמו </w:t>
      </w:r>
      <w:r>
        <w:rPr>
          <w:rFonts w:hint="cs"/>
          <w:sz w:val="16"/>
          <w:szCs w:val="16"/>
          <w:u w:val="dotted"/>
          <w:rtl/>
        </w:rPr>
        <w:t>(זה תחת זה)</w:t>
      </w:r>
      <w:r w:rsidRPr="007965B6">
        <w:rPr>
          <w:rFonts w:hint="cs"/>
          <w:u w:val="dotted"/>
          <w:rtl/>
        </w:rPr>
        <w:t>:</w:t>
      </w:r>
    </w:p>
    <w:p w14:paraId="58C9B845" w14:textId="2A802D76" w:rsidR="00FA2119" w:rsidRPr="007023BA" w:rsidRDefault="00FA2119" w:rsidP="00FA2119">
      <w:pPr>
        <w:pStyle w:val="ab"/>
        <w:numPr>
          <w:ilvl w:val="0"/>
          <w:numId w:val="80"/>
        </w:numPr>
      </w:pPr>
      <w:r>
        <w:rPr>
          <w:rFonts w:cs="Arial" w:hint="cs"/>
          <w:rtl/>
        </w:rPr>
        <w:t xml:space="preserve">רמב"ם </w:t>
      </w:r>
      <w:r>
        <w:rPr>
          <w:rFonts w:cs="Arial" w:hint="cs"/>
          <w:sz w:val="16"/>
          <w:szCs w:val="16"/>
          <w:rtl/>
        </w:rPr>
        <w:t>(פ"ד הי"ח)</w:t>
      </w:r>
      <w:r w:rsidR="00A82951">
        <w:rPr>
          <w:rFonts w:cs="Arial" w:hint="cs"/>
          <w:rtl/>
        </w:rPr>
        <w:t>-</w:t>
      </w:r>
      <w:r>
        <w:rPr>
          <w:rFonts w:cs="Arial" w:hint="cs"/>
          <w:rtl/>
        </w:rPr>
        <w:t xml:space="preserve"> </w:t>
      </w:r>
      <w:r w:rsidRPr="007023BA">
        <w:rPr>
          <w:rFonts w:cs="Arial"/>
          <w:rtl/>
        </w:rPr>
        <w:t>אבל אם כתב ב</w:t>
      </w:r>
      <w:r>
        <w:rPr>
          <w:rFonts w:cs="Arial" w:hint="cs"/>
          <w:rtl/>
        </w:rPr>
        <w:t>'</w:t>
      </w:r>
      <w:r w:rsidRPr="007023BA">
        <w:rPr>
          <w:rFonts w:cs="Arial"/>
          <w:rtl/>
        </w:rPr>
        <w:t>כך בשבת גירש פלוני לפלונית</w:t>
      </w:r>
      <w:r>
        <w:rPr>
          <w:rFonts w:cs="Arial" w:hint="cs"/>
          <w:rtl/>
        </w:rPr>
        <w:t>'</w:t>
      </w:r>
      <w:r w:rsidRPr="007023BA">
        <w:rPr>
          <w:rFonts w:cs="Arial"/>
          <w:rtl/>
        </w:rPr>
        <w:t xml:space="preserve"> והשלים הגט</w:t>
      </w:r>
      <w:r>
        <w:rPr>
          <w:rFonts w:cs="Arial" w:hint="cs"/>
          <w:rtl/>
        </w:rPr>
        <w:t>,</w:t>
      </w:r>
      <w:r w:rsidRPr="007023BA">
        <w:rPr>
          <w:rFonts w:cs="Arial"/>
          <w:rtl/>
        </w:rPr>
        <w:t xml:space="preserve"> והתחיל תחתיו גט אחר באותה המגילה וכתב </w:t>
      </w:r>
      <w:r>
        <w:rPr>
          <w:rFonts w:cs="Arial" w:hint="cs"/>
          <w:rtl/>
        </w:rPr>
        <w:t>'</w:t>
      </w:r>
      <w:r w:rsidRPr="007023BA">
        <w:rPr>
          <w:rFonts w:cs="Arial"/>
          <w:rtl/>
        </w:rPr>
        <w:t>וביום זה או בכך בשבת גירש פלוני לפלונית</w:t>
      </w:r>
      <w:r>
        <w:rPr>
          <w:rFonts w:cs="Arial" w:hint="cs"/>
          <w:rtl/>
        </w:rPr>
        <w:t>'</w:t>
      </w:r>
      <w:r w:rsidRPr="007023BA">
        <w:rPr>
          <w:rFonts w:cs="Arial"/>
          <w:rtl/>
        </w:rPr>
        <w:t xml:space="preserve"> והשלים הגט השני</w:t>
      </w:r>
      <w:r>
        <w:rPr>
          <w:rFonts w:cs="Arial" w:hint="cs"/>
          <w:rtl/>
        </w:rPr>
        <w:t>,</w:t>
      </w:r>
      <w:r w:rsidRPr="007023BA">
        <w:rPr>
          <w:rFonts w:cs="Arial"/>
          <w:rtl/>
        </w:rPr>
        <w:t xml:space="preserve"> וכן עד שהשלים כל הגיטין והעדים מלמטה, אם ניתנה מגילה זו לכל אחת מהן בעידי מסירה </w:t>
      </w:r>
      <w:r w:rsidR="00A82951">
        <w:rPr>
          <w:rFonts w:cs="Arial" w:hint="cs"/>
          <w:rtl/>
        </w:rPr>
        <w:t>-</w:t>
      </w:r>
      <w:r>
        <w:rPr>
          <w:rFonts w:cs="Arial" w:hint="cs"/>
          <w:rtl/>
        </w:rPr>
        <w:t xml:space="preserve"> </w:t>
      </w:r>
      <w:r w:rsidRPr="007023BA">
        <w:rPr>
          <w:rFonts w:cs="Arial"/>
          <w:rtl/>
        </w:rPr>
        <w:t>הרי כולן מגורשות</w:t>
      </w:r>
      <w:r>
        <w:rPr>
          <w:rFonts w:cs="Arial" w:hint="cs"/>
          <w:rtl/>
        </w:rPr>
        <w:t>.</w:t>
      </w:r>
      <w:r w:rsidRPr="007023BA">
        <w:rPr>
          <w:rFonts w:cs="Arial"/>
          <w:rtl/>
        </w:rPr>
        <w:t xml:space="preserve"> ואם אין שם עידי מסירה והיתה מגילה זו יוצאה מתחת יד אחת מהן</w:t>
      </w:r>
      <w:r>
        <w:rPr>
          <w:rFonts w:cs="Arial" w:hint="cs"/>
          <w:rtl/>
        </w:rPr>
        <w:t>,</w:t>
      </w:r>
      <w:r w:rsidRPr="007023BA">
        <w:rPr>
          <w:rFonts w:cs="Arial"/>
          <w:rtl/>
        </w:rPr>
        <w:t xml:space="preserve"> אם היתה זו שגיטה באחרונה שהעדים נקראין עמו </w:t>
      </w:r>
      <w:r w:rsidR="00A82951">
        <w:rPr>
          <w:rFonts w:cs="Arial" w:hint="cs"/>
          <w:rtl/>
        </w:rPr>
        <w:t>-</w:t>
      </w:r>
      <w:r>
        <w:rPr>
          <w:rFonts w:cs="Arial" w:hint="cs"/>
          <w:rtl/>
        </w:rPr>
        <w:t xml:space="preserve"> </w:t>
      </w:r>
      <w:r w:rsidRPr="007023BA">
        <w:rPr>
          <w:rFonts w:cs="Arial"/>
          <w:rtl/>
        </w:rPr>
        <w:t>הרי זו מגורשת</w:t>
      </w:r>
      <w:r>
        <w:rPr>
          <w:rFonts w:cs="Arial" w:hint="cs"/>
          <w:rtl/>
        </w:rPr>
        <w:t>.</w:t>
      </w:r>
      <w:r w:rsidRPr="007023BA">
        <w:rPr>
          <w:rFonts w:cs="Arial"/>
          <w:rtl/>
        </w:rPr>
        <w:t xml:space="preserve"> ואם היתה המגילה יוצאה מתחת יד אחת מן הראשונות </w:t>
      </w:r>
      <w:r w:rsidR="00A82951">
        <w:rPr>
          <w:rFonts w:cs="Arial" w:hint="cs"/>
          <w:rtl/>
        </w:rPr>
        <w:t>-</w:t>
      </w:r>
      <w:r>
        <w:rPr>
          <w:rFonts w:cs="Arial" w:hint="cs"/>
          <w:rtl/>
        </w:rPr>
        <w:t xml:space="preserve"> </w:t>
      </w:r>
      <w:r w:rsidRPr="007023BA">
        <w:rPr>
          <w:rFonts w:cs="Arial"/>
          <w:rtl/>
        </w:rPr>
        <w:t xml:space="preserve">הרי זו ספק מגורשת. </w:t>
      </w:r>
      <w:r w:rsidRPr="00506F05">
        <w:rPr>
          <w:rFonts w:hint="cs"/>
          <w:color w:val="E36C0A" w:themeColor="accent6" w:themeShade="BF"/>
          <w:rtl/>
        </w:rPr>
        <w:t>(וכ"פ בשו"ע)</w:t>
      </w:r>
    </w:p>
    <w:p w14:paraId="4DAF0A41" w14:textId="3B87E460" w:rsidR="00FA2119" w:rsidRDefault="00FA2119" w:rsidP="00FA2119">
      <w:pPr>
        <w:pStyle w:val="ab"/>
        <w:numPr>
          <w:ilvl w:val="0"/>
          <w:numId w:val="80"/>
        </w:numPr>
      </w:pPr>
      <w:r>
        <w:rPr>
          <w:rFonts w:cs="Arial" w:hint="cs"/>
          <w:rtl/>
        </w:rPr>
        <w:lastRenderedPageBreak/>
        <w:t>טור</w:t>
      </w:r>
      <w:r w:rsidR="00A82951">
        <w:rPr>
          <w:rFonts w:cs="Arial" w:hint="cs"/>
          <w:rtl/>
        </w:rPr>
        <w:t>-</w:t>
      </w:r>
      <w:r>
        <w:rPr>
          <w:rFonts w:cs="Arial" w:hint="cs"/>
          <w:rtl/>
        </w:rPr>
        <w:t xml:space="preserve"> </w:t>
      </w:r>
      <w:r>
        <w:rPr>
          <w:rFonts w:cs="Arial"/>
          <w:rtl/>
        </w:rPr>
        <w:t xml:space="preserve">אבל אם כתב </w:t>
      </w:r>
      <w:r>
        <w:rPr>
          <w:rFonts w:cs="Arial" w:hint="cs"/>
          <w:rtl/>
        </w:rPr>
        <w:t>'</w:t>
      </w:r>
      <w:r>
        <w:rPr>
          <w:rFonts w:cs="Arial"/>
          <w:rtl/>
        </w:rPr>
        <w:t>בכך וכך גירש פלוני לפלונית</w:t>
      </w:r>
      <w:r>
        <w:rPr>
          <w:rFonts w:cs="Arial" w:hint="cs"/>
          <w:rtl/>
        </w:rPr>
        <w:t>'</w:t>
      </w:r>
      <w:r>
        <w:rPr>
          <w:rFonts w:cs="Arial"/>
          <w:rtl/>
        </w:rPr>
        <w:t xml:space="preserve"> והשלים הגט</w:t>
      </w:r>
      <w:r>
        <w:rPr>
          <w:rFonts w:cs="Arial" w:hint="cs"/>
          <w:rtl/>
        </w:rPr>
        <w:t>,</w:t>
      </w:r>
      <w:r>
        <w:rPr>
          <w:rFonts w:cs="Arial"/>
          <w:rtl/>
        </w:rPr>
        <w:t xml:space="preserve"> והתחיל אחר תחתיו באותה המגילה וכתב </w:t>
      </w:r>
      <w:r>
        <w:rPr>
          <w:rFonts w:cs="Arial" w:hint="cs"/>
          <w:rtl/>
        </w:rPr>
        <w:t>'</w:t>
      </w:r>
      <w:r>
        <w:rPr>
          <w:rFonts w:cs="Arial"/>
          <w:rtl/>
        </w:rPr>
        <w:t>ביום זה או בכך וכך</w:t>
      </w:r>
      <w:r>
        <w:rPr>
          <w:rStyle w:val="a7"/>
          <w:rFonts w:cs="Arial"/>
          <w:rtl/>
        </w:rPr>
        <w:footnoteReference w:id="1229"/>
      </w:r>
      <w:r>
        <w:rPr>
          <w:rFonts w:cs="Arial"/>
          <w:rtl/>
        </w:rPr>
        <w:t xml:space="preserve"> גירש פלוני לפלונית</w:t>
      </w:r>
      <w:r>
        <w:rPr>
          <w:rFonts w:cs="Arial" w:hint="cs"/>
          <w:rtl/>
        </w:rPr>
        <w:t>'</w:t>
      </w:r>
      <w:r>
        <w:rPr>
          <w:rFonts w:cs="Arial"/>
          <w:rtl/>
        </w:rPr>
        <w:t xml:space="preserve"> והשלים הגט</w:t>
      </w:r>
      <w:r>
        <w:rPr>
          <w:rFonts w:cs="Arial" w:hint="cs"/>
          <w:rtl/>
        </w:rPr>
        <w:t>,</w:t>
      </w:r>
      <w:r>
        <w:rPr>
          <w:rFonts w:cs="Arial"/>
          <w:rtl/>
        </w:rPr>
        <w:t xml:space="preserve"> וכן בכולן</w:t>
      </w:r>
      <w:r>
        <w:rPr>
          <w:rFonts w:cs="Arial" w:hint="cs"/>
          <w:rtl/>
        </w:rPr>
        <w:t>,</w:t>
      </w:r>
      <w:r>
        <w:rPr>
          <w:rFonts w:cs="Arial"/>
          <w:rtl/>
        </w:rPr>
        <w:t xml:space="preserve"> והעדים חתומים מלמטה </w:t>
      </w:r>
      <w:r w:rsidR="00A82951">
        <w:rPr>
          <w:rFonts w:cs="Arial" w:hint="cs"/>
          <w:rtl/>
        </w:rPr>
        <w:t>-</w:t>
      </w:r>
      <w:r>
        <w:rPr>
          <w:rFonts w:cs="Arial" w:hint="cs"/>
          <w:rtl/>
        </w:rPr>
        <w:t xml:space="preserve"> </w:t>
      </w:r>
      <w:r>
        <w:rPr>
          <w:rFonts w:cs="Arial"/>
          <w:rtl/>
        </w:rPr>
        <w:t>אין מתגרשות בו אלא אותה שגיטה למטה</w:t>
      </w:r>
      <w:r>
        <w:rPr>
          <w:rFonts w:cs="Arial" w:hint="cs"/>
          <w:rtl/>
        </w:rPr>
        <w:t>,</w:t>
      </w:r>
      <w:r>
        <w:rPr>
          <w:rFonts w:cs="Arial"/>
          <w:rtl/>
        </w:rPr>
        <w:t xml:space="preserve"> שהעדים חתומים על גיטה</w:t>
      </w:r>
      <w:r>
        <w:rPr>
          <w:rStyle w:val="a7"/>
          <w:rFonts w:cs="Arial"/>
          <w:rtl/>
        </w:rPr>
        <w:footnoteReference w:id="1230"/>
      </w:r>
      <w:r>
        <w:rPr>
          <w:rFonts w:cs="Arial" w:hint="cs"/>
          <w:rtl/>
        </w:rPr>
        <w:t>.</w:t>
      </w:r>
      <w:r>
        <w:rPr>
          <w:rFonts w:cs="Arial"/>
          <w:rtl/>
        </w:rPr>
        <w:t xml:space="preserve"> </w:t>
      </w:r>
    </w:p>
    <w:p w14:paraId="4F293BA0" w14:textId="77777777" w:rsidR="00FA2119" w:rsidRPr="007023BA" w:rsidRDefault="00FA2119" w:rsidP="00FA2119">
      <w:pPr>
        <w:ind w:left="360"/>
        <w:rPr>
          <w:u w:val="dotted"/>
        </w:rPr>
      </w:pPr>
      <w:r w:rsidRPr="007023BA">
        <w:rPr>
          <w:rFonts w:cs="Arial"/>
          <w:u w:val="dotted"/>
          <w:rtl/>
        </w:rPr>
        <w:t xml:space="preserve">כתב </w:t>
      </w:r>
      <w:r w:rsidRPr="007023BA">
        <w:rPr>
          <w:rFonts w:cs="Arial" w:hint="cs"/>
          <w:u w:val="dotted"/>
          <w:rtl/>
        </w:rPr>
        <w:t>'</w:t>
      </w:r>
      <w:r w:rsidRPr="007023BA">
        <w:rPr>
          <w:rFonts w:cs="Arial"/>
          <w:u w:val="dotted"/>
          <w:rtl/>
        </w:rPr>
        <w:t>אנו פלוני ופלוני מגרשין נשותינו פלונית ופלונית</w:t>
      </w:r>
      <w:r w:rsidRPr="007023BA">
        <w:rPr>
          <w:rFonts w:cs="Arial" w:hint="cs"/>
          <w:u w:val="dotted"/>
          <w:rtl/>
        </w:rPr>
        <w:t>':</w:t>
      </w:r>
    </w:p>
    <w:p w14:paraId="7BE1450F" w14:textId="0DE65B52" w:rsidR="00FA2119" w:rsidRDefault="00FA2119" w:rsidP="00FA2119">
      <w:pPr>
        <w:pStyle w:val="ab"/>
        <w:numPr>
          <w:ilvl w:val="0"/>
          <w:numId w:val="80"/>
        </w:numPr>
      </w:pPr>
      <w:r>
        <w:rPr>
          <w:rFonts w:cs="Arial" w:hint="cs"/>
          <w:rtl/>
        </w:rPr>
        <w:t xml:space="preserve">רמב"ם </w:t>
      </w:r>
      <w:r w:rsidRPr="007023BA">
        <w:rPr>
          <w:rFonts w:cs="Arial" w:hint="cs"/>
          <w:sz w:val="16"/>
          <w:szCs w:val="16"/>
          <w:rtl/>
        </w:rPr>
        <w:t>(פ"ד הי"ט)</w:t>
      </w:r>
      <w:r>
        <w:rPr>
          <w:rFonts w:cs="Arial" w:hint="cs"/>
          <w:rtl/>
        </w:rPr>
        <w:t xml:space="preserve"> טור ורי"ו </w:t>
      </w:r>
      <w:r w:rsidRPr="005779EA">
        <w:rPr>
          <w:rFonts w:cs="Arial"/>
          <w:sz w:val="16"/>
          <w:szCs w:val="16"/>
          <w:rtl/>
        </w:rPr>
        <w:t>(</w:t>
      </w:r>
      <w:r w:rsidRPr="005779EA">
        <w:rPr>
          <w:rFonts w:cs="Arial" w:hint="cs"/>
          <w:sz w:val="16"/>
          <w:szCs w:val="16"/>
          <w:rtl/>
        </w:rPr>
        <w:t xml:space="preserve">ח"ב </w:t>
      </w:r>
      <w:r w:rsidRPr="005779EA">
        <w:rPr>
          <w:rFonts w:cs="Arial"/>
          <w:sz w:val="16"/>
          <w:szCs w:val="16"/>
          <w:rtl/>
        </w:rPr>
        <w:t>נכ"ד רה ע"ד)</w:t>
      </w:r>
      <w:r w:rsidR="00A82951">
        <w:rPr>
          <w:rFonts w:cs="Arial" w:hint="cs"/>
          <w:rtl/>
        </w:rPr>
        <w:t>-</w:t>
      </w:r>
      <w:r>
        <w:rPr>
          <w:rFonts w:cs="Arial" w:hint="cs"/>
          <w:rtl/>
        </w:rPr>
        <w:t xml:space="preserve"> </w:t>
      </w:r>
      <w:r>
        <w:rPr>
          <w:rFonts w:cs="Arial"/>
          <w:rtl/>
        </w:rPr>
        <w:t xml:space="preserve">כתב </w:t>
      </w:r>
      <w:r>
        <w:rPr>
          <w:rFonts w:cs="Arial" w:hint="cs"/>
          <w:rtl/>
        </w:rPr>
        <w:t>'</w:t>
      </w:r>
      <w:r>
        <w:rPr>
          <w:rFonts w:cs="Arial"/>
          <w:rtl/>
        </w:rPr>
        <w:t>אנו פלוני ופלוני מגרשין נשותינו פלונית ופלונית</w:t>
      </w:r>
      <w:r>
        <w:rPr>
          <w:rFonts w:cs="Arial" w:hint="cs"/>
          <w:rtl/>
        </w:rPr>
        <w:t>'</w:t>
      </w:r>
      <w:r>
        <w:rPr>
          <w:rFonts w:cs="Arial"/>
          <w:rtl/>
        </w:rPr>
        <w:t xml:space="preserve"> והשלים הגט </w:t>
      </w:r>
      <w:r w:rsidR="00A82951">
        <w:rPr>
          <w:rFonts w:cs="Arial" w:hint="cs"/>
          <w:rtl/>
        </w:rPr>
        <w:t>-</w:t>
      </w:r>
      <w:r>
        <w:rPr>
          <w:rFonts w:cs="Arial" w:hint="cs"/>
          <w:rtl/>
        </w:rPr>
        <w:t xml:space="preserve"> </w:t>
      </w:r>
      <w:r>
        <w:rPr>
          <w:rFonts w:cs="Arial"/>
          <w:rtl/>
        </w:rPr>
        <w:t>אין שום אחת מהן מתגרשות</w:t>
      </w:r>
      <w:r>
        <w:rPr>
          <w:rStyle w:val="a7"/>
          <w:rFonts w:cs="Arial"/>
          <w:rtl/>
        </w:rPr>
        <w:footnoteReference w:id="1231"/>
      </w:r>
      <w:r>
        <w:rPr>
          <w:rFonts w:cs="Arial" w:hint="cs"/>
          <w:rtl/>
        </w:rPr>
        <w:t>,</w:t>
      </w:r>
      <w:r>
        <w:rPr>
          <w:rFonts w:cs="Arial"/>
          <w:rtl/>
        </w:rPr>
        <w:t xml:space="preserve"> שאין ב' נשים מתגרשות בגט אחד</w:t>
      </w:r>
      <w:r>
        <w:rPr>
          <w:rFonts w:cs="Arial" w:hint="cs"/>
          <w:rtl/>
        </w:rPr>
        <w:t>.</w:t>
      </w:r>
      <w:r>
        <w:rPr>
          <w:rFonts w:cs="Arial"/>
          <w:rtl/>
        </w:rPr>
        <w:t xml:space="preserve"> ואם חזר ופירש אח"כ בגט </w:t>
      </w:r>
      <w:r>
        <w:rPr>
          <w:rFonts w:cs="Arial" w:hint="cs"/>
          <w:rtl/>
        </w:rPr>
        <w:t>'</w:t>
      </w:r>
      <w:r>
        <w:rPr>
          <w:rFonts w:cs="Arial"/>
          <w:rtl/>
        </w:rPr>
        <w:t>פלוני מגרש פלונית</w:t>
      </w:r>
      <w:r>
        <w:rPr>
          <w:rFonts w:cs="Arial" w:hint="cs"/>
          <w:rtl/>
        </w:rPr>
        <w:t>,</w:t>
      </w:r>
      <w:r>
        <w:rPr>
          <w:rFonts w:cs="Arial"/>
          <w:rtl/>
        </w:rPr>
        <w:t xml:space="preserve"> ופלוני לפלונית</w:t>
      </w:r>
      <w:r>
        <w:rPr>
          <w:rFonts w:cs="Arial" w:hint="cs"/>
          <w:rtl/>
        </w:rPr>
        <w:t xml:space="preserve">' </w:t>
      </w:r>
      <w:r w:rsidR="00A82951">
        <w:rPr>
          <w:rFonts w:cs="Arial" w:hint="cs"/>
          <w:rtl/>
        </w:rPr>
        <w:t>-</w:t>
      </w:r>
      <w:r>
        <w:rPr>
          <w:rFonts w:cs="Arial"/>
          <w:rtl/>
        </w:rPr>
        <w:t xml:space="preserve"> כולן כשרים</w:t>
      </w:r>
      <w:r>
        <w:rPr>
          <w:rStyle w:val="a7"/>
          <w:rFonts w:cs="Arial"/>
          <w:rtl/>
        </w:rPr>
        <w:footnoteReference w:id="1232"/>
      </w:r>
      <w:r>
        <w:rPr>
          <w:rFonts w:cs="Arial" w:hint="cs"/>
          <w:rtl/>
        </w:rPr>
        <w:t>,</w:t>
      </w:r>
      <w:r>
        <w:rPr>
          <w:rFonts w:cs="Arial"/>
          <w:rtl/>
        </w:rPr>
        <w:t xml:space="preserve"> ותנתן לכל אחת ואחת</w:t>
      </w:r>
      <w:r>
        <w:rPr>
          <w:rFonts w:cs="Arial" w:hint="cs"/>
          <w:sz w:val="16"/>
          <w:szCs w:val="16"/>
          <w:rtl/>
        </w:rPr>
        <w:t xml:space="preserve"> (ל' הטור)</w:t>
      </w:r>
      <w:r>
        <w:rPr>
          <w:rFonts w:cs="Arial" w:hint="cs"/>
          <w:rtl/>
        </w:rPr>
        <w:t>.</w:t>
      </w:r>
      <w:r>
        <w:rPr>
          <w:rFonts w:cs="Arial"/>
          <w:rtl/>
        </w:rPr>
        <w:t xml:space="preserve"> </w:t>
      </w:r>
      <w:r w:rsidRPr="00506F05">
        <w:rPr>
          <w:rFonts w:hint="cs"/>
          <w:color w:val="E36C0A" w:themeColor="accent6" w:themeShade="BF"/>
          <w:rtl/>
        </w:rPr>
        <w:t>(וכ"פ בשו"ע</w:t>
      </w:r>
      <w:r>
        <w:rPr>
          <w:rFonts w:hint="cs"/>
          <w:color w:val="E36C0A" w:themeColor="accent6" w:themeShade="BF"/>
          <w:sz w:val="16"/>
          <w:szCs w:val="16"/>
          <w:rtl/>
        </w:rPr>
        <w:t xml:space="preserve"> </w:t>
      </w:r>
      <w:r w:rsidRPr="00C62B6E">
        <w:rPr>
          <w:rFonts w:hint="cs"/>
          <w:color w:val="000000" w:themeColor="text1"/>
          <w:sz w:val="16"/>
          <w:szCs w:val="16"/>
          <w:rtl/>
        </w:rPr>
        <w:t>[</w:t>
      </w:r>
      <w:r>
        <w:rPr>
          <w:rFonts w:hint="cs"/>
          <w:color w:val="000000" w:themeColor="text1"/>
          <w:sz w:val="16"/>
          <w:szCs w:val="16"/>
          <w:rtl/>
        </w:rPr>
        <w:t>בסע' הבא</w:t>
      </w:r>
      <w:r w:rsidRPr="00C62B6E">
        <w:rPr>
          <w:rFonts w:hint="cs"/>
          <w:color w:val="000000" w:themeColor="text1"/>
          <w:sz w:val="16"/>
          <w:szCs w:val="16"/>
          <w:rtl/>
        </w:rPr>
        <w:t>]</w:t>
      </w:r>
      <w:r w:rsidRPr="00506F05">
        <w:rPr>
          <w:rFonts w:hint="cs"/>
          <w:color w:val="E36C0A" w:themeColor="accent6" w:themeShade="BF"/>
          <w:rtl/>
        </w:rPr>
        <w:t>)</w:t>
      </w:r>
    </w:p>
    <w:p w14:paraId="0C234BC9" w14:textId="442DD978" w:rsidR="00FA2119" w:rsidRPr="00A14BB0" w:rsidRDefault="00FA2119" w:rsidP="00FA2119">
      <w:pPr>
        <w:pStyle w:val="ab"/>
        <w:numPr>
          <w:ilvl w:val="0"/>
          <w:numId w:val="80"/>
        </w:numPr>
        <w:rPr>
          <w:rtl/>
        </w:rPr>
      </w:pPr>
      <w:r w:rsidRPr="00CC5A45">
        <w:rPr>
          <w:rFonts w:cs="Arial"/>
          <w:rtl/>
        </w:rPr>
        <w:t xml:space="preserve">רשב"א </w:t>
      </w:r>
      <w:r w:rsidRPr="00CC5A45">
        <w:rPr>
          <w:rFonts w:cs="Arial"/>
          <w:sz w:val="16"/>
          <w:szCs w:val="16"/>
          <w:rtl/>
        </w:rPr>
        <w:t>(פו: היכי דמי)</w:t>
      </w:r>
      <w:r w:rsidR="00A82951">
        <w:rPr>
          <w:rFonts w:cs="Arial" w:hint="cs"/>
          <w:rtl/>
        </w:rPr>
        <w:t>-</w:t>
      </w:r>
      <w:r w:rsidRPr="00CC5A45">
        <w:rPr>
          <w:rFonts w:cs="Arial"/>
          <w:rtl/>
        </w:rPr>
        <w:t xml:space="preserve"> </w:t>
      </w:r>
      <w:r>
        <w:rPr>
          <w:rFonts w:cs="Arial" w:hint="cs"/>
          <w:rtl/>
        </w:rPr>
        <w:t>ו</w:t>
      </w:r>
      <w:r w:rsidRPr="00CC5A45">
        <w:rPr>
          <w:rFonts w:cs="Arial"/>
          <w:rtl/>
        </w:rPr>
        <w:t>רי"ף לא פסק כריש לקיש</w:t>
      </w:r>
      <w:r>
        <w:rPr>
          <w:rFonts w:cs="Arial" w:hint="cs"/>
          <w:rtl/>
        </w:rPr>
        <w:t>,</w:t>
      </w:r>
      <w:r w:rsidRPr="00CC5A45">
        <w:rPr>
          <w:rFonts w:cs="Arial"/>
          <w:rtl/>
        </w:rPr>
        <w:t xml:space="preserve"> משמע דסבירא ליה דרבי יוחנן נמי פליג אריש לקיש משום דהוו ליה שתי נשים מתגרשות בגט אחד</w:t>
      </w:r>
      <w:r w:rsidR="00367590">
        <w:rPr>
          <w:rFonts w:cs="Arial" w:hint="cs"/>
          <w:rtl/>
        </w:rPr>
        <w:t>,</w:t>
      </w:r>
      <w:r w:rsidRPr="00CC5A45">
        <w:rPr>
          <w:rFonts w:cs="Arial"/>
          <w:rtl/>
        </w:rPr>
        <w:t xml:space="preserve"> ואע</w:t>
      </w:r>
      <w:r>
        <w:rPr>
          <w:rFonts w:cs="Arial" w:hint="cs"/>
          <w:rtl/>
        </w:rPr>
        <w:t>"</w:t>
      </w:r>
      <w:r w:rsidRPr="00CC5A45">
        <w:rPr>
          <w:rFonts w:cs="Arial"/>
          <w:rtl/>
        </w:rPr>
        <w:t>ג דהדר פסיק להו דאמר פלוני גירש פלונית ופלוני לפלונית</w:t>
      </w:r>
      <w:r w:rsidR="00367590">
        <w:rPr>
          <w:rFonts w:cs="Arial" w:hint="cs"/>
          <w:rtl/>
        </w:rPr>
        <w:t>,</w:t>
      </w:r>
      <w:r w:rsidRPr="00CC5A45">
        <w:rPr>
          <w:rFonts w:cs="Arial"/>
          <w:rtl/>
        </w:rPr>
        <w:t xml:space="preserve"> גט אחד הוי מדכללינהו בחד מעיקרא (וכו')</w:t>
      </w:r>
      <w:r w:rsidR="00367590">
        <w:rPr>
          <w:rFonts w:cs="Arial" w:hint="cs"/>
          <w:rtl/>
        </w:rPr>
        <w:t>,</w:t>
      </w:r>
      <w:r w:rsidRPr="00CC5A45">
        <w:rPr>
          <w:rFonts w:cs="Arial"/>
          <w:rtl/>
        </w:rPr>
        <w:t xml:space="preserve"> סבירא ליה לרבי יוחנן דחד הוא ותניא כוותיה</w:t>
      </w:r>
      <w:r>
        <w:rPr>
          <w:rFonts w:cs="Arial" w:hint="cs"/>
          <w:rtl/>
        </w:rPr>
        <w:t>.</w:t>
      </w:r>
      <w:r w:rsidRPr="00CC5A45">
        <w:rPr>
          <w:rFonts w:cs="Arial"/>
          <w:rtl/>
        </w:rPr>
        <w:t xml:space="preserve"> אבל הרמב"ם פסק כשניהם לומר דריש לקיש פליג ארבי יוחנן</w:t>
      </w:r>
      <w:r>
        <w:rPr>
          <w:rFonts w:cs="Arial" w:hint="cs"/>
          <w:rtl/>
        </w:rPr>
        <w:t>,</w:t>
      </w:r>
      <w:r w:rsidRPr="00CC5A45">
        <w:rPr>
          <w:rFonts w:cs="Arial"/>
          <w:rtl/>
        </w:rPr>
        <w:t xml:space="preserve"> אבל רבי יוחנן כל שכן דמודה לריש לקיש דזהו כלל</w:t>
      </w:r>
      <w:r>
        <w:rPr>
          <w:rFonts w:cs="Arial" w:hint="cs"/>
          <w:rtl/>
        </w:rPr>
        <w:t>,</w:t>
      </w:r>
      <w:r w:rsidRPr="00CC5A45">
        <w:rPr>
          <w:rFonts w:cs="Arial"/>
          <w:rtl/>
        </w:rPr>
        <w:t xml:space="preserve"> וכי הדר פסיק להו</w:t>
      </w:r>
      <w:r w:rsidR="00367590">
        <w:rPr>
          <w:rFonts w:cs="Arial" w:hint="cs"/>
          <w:rtl/>
        </w:rPr>
        <w:t xml:space="preserve"> -</w:t>
      </w:r>
      <w:r w:rsidRPr="00CC5A45">
        <w:rPr>
          <w:rFonts w:cs="Arial"/>
          <w:rtl/>
        </w:rPr>
        <w:t xml:space="preserve"> שני גיטין מיקרו</w:t>
      </w:r>
      <w:r w:rsidR="00367590">
        <w:rPr>
          <w:rFonts w:cs="Arial" w:hint="cs"/>
          <w:rtl/>
        </w:rPr>
        <w:t>.</w:t>
      </w:r>
      <w:r w:rsidRPr="00CC5A45">
        <w:rPr>
          <w:rFonts w:cs="Arial"/>
          <w:rtl/>
        </w:rPr>
        <w:t xml:space="preserve"> ודוקא בשזמנן אחד</w:t>
      </w:r>
      <w:r w:rsidR="00367590">
        <w:rPr>
          <w:rFonts w:cs="Arial" w:hint="cs"/>
          <w:rtl/>
        </w:rPr>
        <w:t>,</w:t>
      </w:r>
      <w:r w:rsidRPr="00CC5A45">
        <w:rPr>
          <w:rFonts w:cs="Arial"/>
          <w:rtl/>
        </w:rPr>
        <w:t xml:space="preserve"> אבל זמן לכל אחד ואחד ואע</w:t>
      </w:r>
      <w:r>
        <w:rPr>
          <w:rFonts w:cs="Arial" w:hint="cs"/>
          <w:rtl/>
        </w:rPr>
        <w:t>"</w:t>
      </w:r>
      <w:r w:rsidRPr="00CC5A45">
        <w:rPr>
          <w:rFonts w:cs="Arial"/>
          <w:rtl/>
        </w:rPr>
        <w:t>ג דערבינהו מעיקרא</w:t>
      </w:r>
      <w:r>
        <w:rPr>
          <w:rFonts w:cs="Arial" w:hint="cs"/>
          <w:rtl/>
        </w:rPr>
        <w:t>,</w:t>
      </w:r>
      <w:r w:rsidRPr="00CC5A45">
        <w:rPr>
          <w:rFonts w:cs="Arial"/>
          <w:rtl/>
        </w:rPr>
        <w:t xml:space="preserve"> כיון דפליג להו בזמנן </w:t>
      </w:r>
      <w:r w:rsidR="00A82951">
        <w:rPr>
          <w:rFonts w:cs="Arial" w:hint="cs"/>
          <w:rtl/>
        </w:rPr>
        <w:t>-</w:t>
      </w:r>
      <w:r>
        <w:rPr>
          <w:rFonts w:cs="Arial" w:hint="cs"/>
          <w:rtl/>
        </w:rPr>
        <w:t xml:space="preserve"> </w:t>
      </w:r>
      <w:r w:rsidRPr="00CC5A45">
        <w:rPr>
          <w:rFonts w:cs="Arial"/>
          <w:rtl/>
        </w:rPr>
        <w:t>זמן מפסיקן</w:t>
      </w:r>
      <w:r w:rsidR="00367590">
        <w:rPr>
          <w:rFonts w:cs="Arial" w:hint="cs"/>
          <w:rtl/>
        </w:rPr>
        <w:t>,</w:t>
      </w:r>
      <w:r w:rsidRPr="00CC5A45">
        <w:rPr>
          <w:rFonts w:cs="Arial"/>
          <w:rtl/>
        </w:rPr>
        <w:t xml:space="preserve"> ואת שהעדים נקרין עמו כשר</w:t>
      </w:r>
      <w:r>
        <w:rPr>
          <w:rStyle w:val="a7"/>
          <w:rtl/>
        </w:rPr>
        <w:footnoteReference w:id="1233"/>
      </w:r>
      <w:r>
        <w:rPr>
          <w:rFonts w:hint="cs"/>
          <w:rtl/>
        </w:rPr>
        <w:t>.</w:t>
      </w:r>
    </w:p>
    <w:p w14:paraId="411F10E5"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FD807D7" w14:textId="77777777" w:rsidR="00FA2119" w:rsidRDefault="00FA2119" w:rsidP="00FA2119">
      <w:pPr>
        <w:rPr>
          <w:rFonts w:cs="Arial"/>
          <w:sz w:val="18"/>
          <w:szCs w:val="18"/>
          <w:rtl/>
        </w:rPr>
      </w:pPr>
      <w:r>
        <w:rPr>
          <w:rFonts w:cs="Arial" w:hint="cs"/>
          <w:rtl/>
        </w:rPr>
        <w:t>חמשה</w:t>
      </w:r>
      <w:r>
        <w:rPr>
          <w:rFonts w:cs="Arial"/>
          <w:rtl/>
        </w:rPr>
        <w:t xml:space="preserve"> </w:t>
      </w:r>
      <w:r>
        <w:rPr>
          <w:rFonts w:cs="Arial" w:hint="cs"/>
          <w:rtl/>
        </w:rPr>
        <w:t>שכתבו</w:t>
      </w:r>
      <w:r>
        <w:rPr>
          <w:rFonts w:cs="Arial"/>
          <w:rtl/>
        </w:rPr>
        <w:t xml:space="preserve"> </w:t>
      </w:r>
      <w:r>
        <w:rPr>
          <w:rFonts w:cs="Arial" w:hint="cs"/>
          <w:rtl/>
        </w:rPr>
        <w:t>גט</w:t>
      </w:r>
      <w:r>
        <w:rPr>
          <w:rFonts w:cs="Arial"/>
          <w:rtl/>
        </w:rPr>
        <w:t xml:space="preserve"> </w:t>
      </w:r>
      <w:r>
        <w:rPr>
          <w:rFonts w:cs="Arial" w:hint="cs"/>
          <w:rtl/>
        </w:rPr>
        <w:t>אחד</w:t>
      </w:r>
      <w:r>
        <w:rPr>
          <w:rFonts w:cs="Arial"/>
          <w:rtl/>
        </w:rPr>
        <w:t xml:space="preserve"> </w:t>
      </w:r>
      <w:r>
        <w:rPr>
          <w:rFonts w:cs="Arial" w:hint="cs"/>
          <w:rtl/>
        </w:rPr>
        <w:t>לחמש</w:t>
      </w:r>
      <w:r>
        <w:rPr>
          <w:rFonts w:cs="Arial"/>
          <w:rtl/>
        </w:rPr>
        <w:t xml:space="preserve"> </w:t>
      </w:r>
      <w:r>
        <w:rPr>
          <w:rFonts w:cs="Arial" w:hint="cs"/>
          <w:rtl/>
        </w:rPr>
        <w:t>נשותיהם</w:t>
      </w:r>
      <w:r>
        <w:rPr>
          <w:rFonts w:cs="Arial"/>
          <w:rtl/>
        </w:rPr>
        <w:t xml:space="preserve">, </w:t>
      </w:r>
      <w:r>
        <w:rPr>
          <w:rFonts w:cs="Arial" w:hint="cs"/>
          <w:rtl/>
        </w:rPr>
        <w:t>אם</w:t>
      </w:r>
      <w:r>
        <w:rPr>
          <w:rFonts w:cs="Arial"/>
          <w:rtl/>
        </w:rPr>
        <w:t xml:space="preserve"> </w:t>
      </w:r>
      <w:r>
        <w:rPr>
          <w:rFonts w:cs="Arial" w:hint="cs"/>
          <w:rtl/>
        </w:rPr>
        <w:t>כתבוהו</w:t>
      </w:r>
      <w:r>
        <w:rPr>
          <w:rFonts w:cs="Arial"/>
          <w:rtl/>
        </w:rPr>
        <w:t xml:space="preserve"> </w:t>
      </w:r>
      <w:r>
        <w:rPr>
          <w:rFonts w:cs="Arial" w:hint="cs"/>
          <w:rtl/>
        </w:rPr>
        <w:t>בכלל</w:t>
      </w:r>
      <w:r>
        <w:rPr>
          <w:rFonts w:cs="Arial"/>
          <w:rtl/>
        </w:rPr>
        <w:t xml:space="preserve">, </w:t>
      </w:r>
      <w:r>
        <w:rPr>
          <w:rFonts w:cs="Arial" w:hint="cs"/>
          <w:rtl/>
        </w:rPr>
        <w:t>כגון</w:t>
      </w:r>
      <w:r>
        <w:rPr>
          <w:rFonts w:cs="Arial"/>
          <w:rtl/>
        </w:rPr>
        <w:t xml:space="preserve"> </w:t>
      </w:r>
      <w:r>
        <w:rPr>
          <w:rFonts w:cs="Arial" w:hint="cs"/>
          <w:rtl/>
        </w:rPr>
        <w:t>שכתבו</w:t>
      </w:r>
      <w:r>
        <w:rPr>
          <w:rFonts w:cs="Arial"/>
          <w:rtl/>
        </w:rPr>
        <w:t xml:space="preserve">: </w:t>
      </w:r>
      <w:r>
        <w:rPr>
          <w:rFonts w:cs="Arial" w:hint="cs"/>
          <w:rtl/>
        </w:rPr>
        <w:t>בכך</w:t>
      </w:r>
      <w:r>
        <w:rPr>
          <w:rFonts w:cs="Arial"/>
          <w:rtl/>
        </w:rPr>
        <w:t xml:space="preserve"> </w:t>
      </w:r>
      <w:r>
        <w:rPr>
          <w:rFonts w:cs="Arial" w:hint="cs"/>
          <w:rtl/>
        </w:rPr>
        <w:t>לשבת</w:t>
      </w:r>
      <w:r>
        <w:rPr>
          <w:rFonts w:cs="Arial"/>
          <w:rtl/>
        </w:rPr>
        <w:t xml:space="preserve"> </w:t>
      </w:r>
      <w:r>
        <w:rPr>
          <w:rFonts w:cs="Arial" w:hint="cs"/>
          <w:rtl/>
        </w:rPr>
        <w:t>גירש</w:t>
      </w:r>
      <w:r>
        <w:rPr>
          <w:rFonts w:cs="Arial"/>
          <w:rtl/>
        </w:rPr>
        <w:t xml:space="preserve"> </w:t>
      </w:r>
      <w:r>
        <w:rPr>
          <w:rFonts w:cs="Arial" w:hint="cs"/>
          <w:rtl/>
        </w:rPr>
        <w:t>פלוני</w:t>
      </w:r>
      <w:r>
        <w:rPr>
          <w:rFonts w:cs="Arial"/>
          <w:rtl/>
        </w:rPr>
        <w:t xml:space="preserve"> </w:t>
      </w:r>
      <w:r>
        <w:rPr>
          <w:rFonts w:cs="Arial" w:hint="cs"/>
          <w:rtl/>
        </w:rPr>
        <w:t>לפלונית</w:t>
      </w:r>
      <w:r>
        <w:rPr>
          <w:rFonts w:cs="Arial"/>
          <w:rtl/>
        </w:rPr>
        <w:t xml:space="preserve"> </w:t>
      </w:r>
      <w:r>
        <w:rPr>
          <w:rFonts w:cs="Arial" w:hint="cs"/>
          <w:rtl/>
        </w:rPr>
        <w:t>ופלוני</w:t>
      </w:r>
      <w:r>
        <w:rPr>
          <w:rFonts w:cs="Arial"/>
          <w:rtl/>
        </w:rPr>
        <w:t xml:space="preserve"> </w:t>
      </w:r>
      <w:r>
        <w:rPr>
          <w:rFonts w:cs="Arial" w:hint="cs"/>
          <w:rtl/>
        </w:rPr>
        <w:t>לפלונית</w:t>
      </w:r>
      <w:r>
        <w:rPr>
          <w:rFonts w:cs="Arial"/>
          <w:rtl/>
        </w:rPr>
        <w:t xml:space="preserve"> </w:t>
      </w:r>
      <w:r>
        <w:rPr>
          <w:rFonts w:cs="Arial" w:hint="cs"/>
          <w:rtl/>
        </w:rPr>
        <w:t>וכן</w:t>
      </w:r>
      <w:r>
        <w:rPr>
          <w:rFonts w:cs="Arial"/>
          <w:rtl/>
        </w:rPr>
        <w:t xml:space="preserve"> </w:t>
      </w:r>
      <w:r>
        <w:rPr>
          <w:rFonts w:cs="Arial" w:hint="cs"/>
          <w:rtl/>
        </w:rPr>
        <w:t>אמר</w:t>
      </w:r>
      <w:r>
        <w:rPr>
          <w:rFonts w:cs="Arial"/>
          <w:rtl/>
        </w:rPr>
        <w:t xml:space="preserve"> </w:t>
      </w:r>
      <w:r>
        <w:rPr>
          <w:rFonts w:cs="Arial" w:hint="cs"/>
          <w:rtl/>
        </w:rPr>
        <w:t>כל</w:t>
      </w:r>
      <w:r>
        <w:rPr>
          <w:rFonts w:cs="Arial"/>
          <w:rtl/>
        </w:rPr>
        <w:t xml:space="preserve"> </w:t>
      </w:r>
      <w:r>
        <w:rPr>
          <w:rFonts w:cs="Arial" w:hint="cs"/>
          <w:rtl/>
        </w:rPr>
        <w:t>אחד</w:t>
      </w:r>
      <w:r>
        <w:rPr>
          <w:rFonts w:cs="Arial"/>
          <w:rtl/>
        </w:rPr>
        <w:t xml:space="preserve"> </w:t>
      </w:r>
      <w:r>
        <w:rPr>
          <w:rFonts w:cs="Arial" w:hint="cs"/>
          <w:rtl/>
        </w:rPr>
        <w:t>מהם</w:t>
      </w:r>
      <w:r>
        <w:rPr>
          <w:rFonts w:cs="Arial"/>
          <w:rtl/>
        </w:rPr>
        <w:t xml:space="preserve"> </w:t>
      </w:r>
      <w:r>
        <w:rPr>
          <w:rFonts w:cs="Arial" w:hint="cs"/>
          <w:rtl/>
        </w:rPr>
        <w:t>לאשתו</w:t>
      </w:r>
      <w:r>
        <w:rPr>
          <w:rFonts w:cs="Arial"/>
          <w:rtl/>
        </w:rPr>
        <w:t xml:space="preserve"> </w:t>
      </w:r>
      <w:r>
        <w:rPr>
          <w:rFonts w:cs="Arial" w:hint="cs"/>
          <w:rtl/>
        </w:rPr>
        <w:t>ליכי</w:t>
      </w:r>
      <w:r>
        <w:rPr>
          <w:rFonts w:cs="Arial"/>
          <w:rtl/>
        </w:rPr>
        <w:t xml:space="preserve"> </w:t>
      </w:r>
      <w:r>
        <w:rPr>
          <w:rFonts w:cs="Arial" w:hint="cs"/>
          <w:rtl/>
        </w:rPr>
        <w:t>דיתיהוייין</w:t>
      </w:r>
      <w:r>
        <w:rPr>
          <w:rFonts w:cs="Arial"/>
          <w:rtl/>
        </w:rPr>
        <w:t xml:space="preserve"> </w:t>
      </w:r>
      <w:r>
        <w:rPr>
          <w:rFonts w:cs="Arial" w:hint="cs"/>
          <w:rtl/>
        </w:rPr>
        <w:t>וכל</w:t>
      </w:r>
      <w:r>
        <w:rPr>
          <w:rFonts w:cs="Arial"/>
          <w:rtl/>
        </w:rPr>
        <w:t xml:space="preserve"> </w:t>
      </w:r>
      <w:r>
        <w:rPr>
          <w:rFonts w:cs="Arial" w:hint="cs"/>
          <w:rtl/>
        </w:rPr>
        <w:t>טופס</w:t>
      </w:r>
      <w:r>
        <w:rPr>
          <w:rFonts w:cs="Arial"/>
          <w:rtl/>
        </w:rPr>
        <w:t xml:space="preserve"> </w:t>
      </w:r>
      <w:r>
        <w:rPr>
          <w:rFonts w:cs="Arial" w:hint="cs"/>
          <w:rtl/>
        </w:rPr>
        <w:t>הגט</w:t>
      </w:r>
      <w:r>
        <w:rPr>
          <w:rFonts w:cs="Arial"/>
          <w:rtl/>
        </w:rPr>
        <w:t xml:space="preserve">, </w:t>
      </w:r>
      <w:r>
        <w:rPr>
          <w:rFonts w:cs="Arial" w:hint="cs"/>
          <w:rtl/>
        </w:rPr>
        <w:t>והשני</w:t>
      </w:r>
      <w:r>
        <w:rPr>
          <w:rFonts w:cs="Arial"/>
          <w:rtl/>
        </w:rPr>
        <w:t xml:space="preserve"> </w:t>
      </w:r>
      <w:r>
        <w:rPr>
          <w:rFonts w:cs="Arial" w:hint="cs"/>
          <w:rtl/>
        </w:rPr>
        <w:t>עדים</w:t>
      </w:r>
      <w:r>
        <w:rPr>
          <w:rFonts w:cs="Arial"/>
          <w:rtl/>
        </w:rPr>
        <w:t xml:space="preserve"> </w:t>
      </w:r>
      <w:r>
        <w:rPr>
          <w:rFonts w:cs="Arial" w:hint="cs"/>
          <w:rtl/>
        </w:rPr>
        <w:t>חותמים</w:t>
      </w:r>
      <w:r>
        <w:rPr>
          <w:rFonts w:cs="Arial"/>
          <w:rtl/>
        </w:rPr>
        <w:t xml:space="preserve"> </w:t>
      </w:r>
      <w:r>
        <w:rPr>
          <w:rFonts w:cs="Arial" w:hint="cs"/>
          <w:rtl/>
        </w:rPr>
        <w:t>מלמטה</w:t>
      </w:r>
      <w:r>
        <w:rPr>
          <w:rFonts w:cs="Arial"/>
          <w:rtl/>
        </w:rPr>
        <w:t xml:space="preserve">, </w:t>
      </w:r>
      <w:r>
        <w:rPr>
          <w:rFonts w:cs="Arial" w:hint="cs"/>
          <w:rtl/>
        </w:rPr>
        <w:t>הרי</w:t>
      </w:r>
      <w:r>
        <w:rPr>
          <w:rFonts w:cs="Arial"/>
          <w:rtl/>
        </w:rPr>
        <w:t xml:space="preserve"> </w:t>
      </w:r>
      <w:r>
        <w:rPr>
          <w:rFonts w:cs="Arial" w:hint="cs"/>
          <w:rtl/>
        </w:rPr>
        <w:t>זה</w:t>
      </w:r>
      <w:r>
        <w:rPr>
          <w:rFonts w:cs="Arial"/>
          <w:rtl/>
        </w:rPr>
        <w:t xml:space="preserve"> </w:t>
      </w:r>
      <w:r>
        <w:rPr>
          <w:rFonts w:cs="Arial" w:hint="cs"/>
          <w:rtl/>
        </w:rPr>
        <w:t>גט</w:t>
      </w:r>
      <w:r>
        <w:rPr>
          <w:rFonts w:cs="Arial"/>
          <w:rtl/>
        </w:rPr>
        <w:t xml:space="preserve"> </w:t>
      </w:r>
      <w:r>
        <w:rPr>
          <w:rFonts w:cs="Arial" w:hint="cs"/>
          <w:rtl/>
        </w:rPr>
        <w:t>כשר</w:t>
      </w:r>
      <w:r>
        <w:rPr>
          <w:rFonts w:cs="Arial"/>
          <w:rtl/>
        </w:rPr>
        <w:t xml:space="preserve"> </w:t>
      </w:r>
      <w:r>
        <w:rPr>
          <w:rFonts w:cs="Arial" w:hint="cs"/>
          <w:rtl/>
        </w:rPr>
        <w:t>וינתן</w:t>
      </w:r>
      <w:r>
        <w:rPr>
          <w:rFonts w:cs="Arial"/>
          <w:rtl/>
        </w:rPr>
        <w:t xml:space="preserve"> </w:t>
      </w:r>
      <w:r>
        <w:rPr>
          <w:rFonts w:cs="Arial" w:hint="cs"/>
          <w:rtl/>
        </w:rPr>
        <w:t>לכל</w:t>
      </w:r>
      <w:r>
        <w:rPr>
          <w:rFonts w:cs="Arial"/>
          <w:rtl/>
        </w:rPr>
        <w:t xml:space="preserve"> </w:t>
      </w:r>
      <w:r>
        <w:rPr>
          <w:rFonts w:cs="Arial" w:hint="cs"/>
          <w:rtl/>
        </w:rPr>
        <w:t>אחת</w:t>
      </w:r>
      <w:r>
        <w:rPr>
          <w:rFonts w:cs="Arial"/>
          <w:rtl/>
        </w:rPr>
        <w:t xml:space="preserve"> </w:t>
      </w:r>
      <w:r>
        <w:rPr>
          <w:rFonts w:cs="Arial" w:hint="cs"/>
          <w:rtl/>
        </w:rPr>
        <w:t>בעדי</w:t>
      </w:r>
      <w:r>
        <w:rPr>
          <w:rFonts w:cs="Arial"/>
          <w:rtl/>
        </w:rPr>
        <w:t xml:space="preserve"> </w:t>
      </w:r>
      <w:r>
        <w:rPr>
          <w:rFonts w:cs="Arial" w:hint="cs"/>
          <w:rtl/>
        </w:rPr>
        <w:t>מסירה</w:t>
      </w:r>
      <w:r>
        <w:rPr>
          <w:rFonts w:cs="Arial"/>
          <w:rtl/>
        </w:rPr>
        <w:t xml:space="preserve">. </w:t>
      </w:r>
      <w:r>
        <w:rPr>
          <w:rFonts w:cs="Arial" w:hint="cs"/>
          <w:rtl/>
        </w:rPr>
        <w:t>ואם</w:t>
      </w:r>
      <w:r>
        <w:rPr>
          <w:rFonts w:cs="Arial"/>
          <w:rtl/>
        </w:rPr>
        <w:t xml:space="preserve"> </w:t>
      </w:r>
      <w:r>
        <w:rPr>
          <w:rFonts w:cs="Arial" w:hint="cs"/>
          <w:rtl/>
        </w:rPr>
        <w:t>אין</w:t>
      </w:r>
      <w:r>
        <w:rPr>
          <w:rFonts w:cs="Arial"/>
          <w:rtl/>
        </w:rPr>
        <w:t xml:space="preserve"> </w:t>
      </w:r>
      <w:r>
        <w:rPr>
          <w:rFonts w:cs="Arial" w:hint="cs"/>
          <w:rtl/>
        </w:rPr>
        <w:t>שם</w:t>
      </w:r>
      <w:r>
        <w:rPr>
          <w:rFonts w:cs="Arial"/>
          <w:rtl/>
        </w:rPr>
        <w:t xml:space="preserve"> </w:t>
      </w:r>
      <w:r>
        <w:rPr>
          <w:rFonts w:cs="Arial" w:hint="cs"/>
          <w:rtl/>
        </w:rPr>
        <w:t>עדי</w:t>
      </w:r>
      <w:r>
        <w:rPr>
          <w:rFonts w:cs="Arial"/>
          <w:rtl/>
        </w:rPr>
        <w:t xml:space="preserve"> </w:t>
      </w:r>
      <w:r>
        <w:rPr>
          <w:rFonts w:cs="Arial" w:hint="cs"/>
          <w:rtl/>
        </w:rPr>
        <w:t>מסירה</w:t>
      </w:r>
      <w:r>
        <w:rPr>
          <w:rFonts w:cs="Arial"/>
          <w:rtl/>
        </w:rPr>
        <w:t xml:space="preserve">, </w:t>
      </w:r>
      <w:r>
        <w:rPr>
          <w:rFonts w:cs="Arial" w:hint="cs"/>
          <w:rtl/>
        </w:rPr>
        <w:t>כל</w:t>
      </w:r>
      <w:r>
        <w:rPr>
          <w:rFonts w:cs="Arial"/>
          <w:rtl/>
        </w:rPr>
        <w:t xml:space="preserve"> </w:t>
      </w:r>
      <w:r>
        <w:rPr>
          <w:rFonts w:cs="Arial" w:hint="cs"/>
          <w:rtl/>
        </w:rPr>
        <w:t>מי</w:t>
      </w:r>
      <w:r>
        <w:rPr>
          <w:rFonts w:cs="Arial"/>
          <w:rtl/>
        </w:rPr>
        <w:t xml:space="preserve"> </w:t>
      </w:r>
      <w:r>
        <w:rPr>
          <w:rFonts w:cs="Arial" w:hint="cs"/>
          <w:rtl/>
        </w:rPr>
        <w:t>שתצא</w:t>
      </w:r>
      <w:r>
        <w:rPr>
          <w:rFonts w:cs="Arial"/>
          <w:rtl/>
        </w:rPr>
        <w:t xml:space="preserve"> </w:t>
      </w:r>
      <w:r>
        <w:rPr>
          <w:rFonts w:cs="Arial" w:hint="cs"/>
          <w:rtl/>
        </w:rPr>
        <w:t>מגלה</w:t>
      </w:r>
      <w:r>
        <w:rPr>
          <w:rFonts w:cs="Arial"/>
          <w:rtl/>
        </w:rPr>
        <w:t xml:space="preserve"> </w:t>
      </w:r>
      <w:r>
        <w:rPr>
          <w:rFonts w:cs="Arial" w:hint="cs"/>
          <w:rtl/>
        </w:rPr>
        <w:t>זו</w:t>
      </w:r>
      <w:r>
        <w:rPr>
          <w:rFonts w:cs="Arial"/>
          <w:rtl/>
        </w:rPr>
        <w:t xml:space="preserve"> </w:t>
      </w:r>
      <w:r>
        <w:rPr>
          <w:rFonts w:cs="Arial" w:hint="cs"/>
          <w:rtl/>
        </w:rPr>
        <w:t>מתחת</w:t>
      </w:r>
      <w:r>
        <w:rPr>
          <w:rFonts w:cs="Arial"/>
          <w:rtl/>
        </w:rPr>
        <w:t xml:space="preserve"> </w:t>
      </w:r>
      <w:r>
        <w:rPr>
          <w:rFonts w:cs="Arial" w:hint="cs"/>
          <w:rtl/>
        </w:rPr>
        <w:t>ידה</w:t>
      </w:r>
      <w:r>
        <w:rPr>
          <w:rFonts w:cs="Arial"/>
          <w:rtl/>
        </w:rPr>
        <w:t xml:space="preserve">, </w:t>
      </w:r>
      <w:r>
        <w:rPr>
          <w:rFonts w:cs="Arial" w:hint="cs"/>
          <w:rtl/>
        </w:rPr>
        <w:t>מגורשת</w:t>
      </w:r>
      <w:r>
        <w:rPr>
          <w:rFonts w:cs="Arial"/>
          <w:rtl/>
        </w:rPr>
        <w:t xml:space="preserve">. </w:t>
      </w:r>
      <w:r>
        <w:rPr>
          <w:rFonts w:cs="Arial" w:hint="cs"/>
          <w:rtl/>
        </w:rPr>
        <w:t>אבל</w:t>
      </w:r>
      <w:r>
        <w:rPr>
          <w:rFonts w:cs="Arial"/>
          <w:rtl/>
        </w:rPr>
        <w:t xml:space="preserve"> </w:t>
      </w:r>
      <w:r>
        <w:rPr>
          <w:rFonts w:cs="Arial" w:hint="cs"/>
          <w:rtl/>
        </w:rPr>
        <w:t>אם</w:t>
      </w:r>
      <w:r>
        <w:rPr>
          <w:rFonts w:cs="Arial"/>
          <w:rtl/>
        </w:rPr>
        <w:t xml:space="preserve"> </w:t>
      </w:r>
      <w:r>
        <w:rPr>
          <w:rFonts w:cs="Arial" w:hint="cs"/>
          <w:rtl/>
        </w:rPr>
        <w:t>כתב</w:t>
      </w:r>
      <w:r>
        <w:rPr>
          <w:rFonts w:cs="Arial"/>
          <w:rtl/>
        </w:rPr>
        <w:t xml:space="preserve">: </w:t>
      </w:r>
      <w:r>
        <w:rPr>
          <w:rFonts w:cs="Arial" w:hint="cs"/>
          <w:rtl/>
        </w:rPr>
        <w:t>בכך</w:t>
      </w:r>
      <w:r>
        <w:rPr>
          <w:rFonts w:cs="Arial"/>
          <w:rtl/>
        </w:rPr>
        <w:t xml:space="preserve"> </w:t>
      </w:r>
      <w:r>
        <w:rPr>
          <w:rFonts w:cs="Arial" w:hint="cs"/>
          <w:rtl/>
        </w:rPr>
        <w:t>בשבת</w:t>
      </w:r>
      <w:r>
        <w:rPr>
          <w:rFonts w:cs="Arial"/>
          <w:rtl/>
        </w:rPr>
        <w:t xml:space="preserve"> </w:t>
      </w:r>
      <w:r>
        <w:rPr>
          <w:rFonts w:cs="Arial" w:hint="cs"/>
          <w:rtl/>
        </w:rPr>
        <w:t>גירש</w:t>
      </w:r>
      <w:r>
        <w:rPr>
          <w:rFonts w:cs="Arial"/>
          <w:rtl/>
        </w:rPr>
        <w:t xml:space="preserve"> </w:t>
      </w:r>
      <w:r>
        <w:rPr>
          <w:rFonts w:cs="Arial" w:hint="cs"/>
          <w:rtl/>
        </w:rPr>
        <w:t>פלוני</w:t>
      </w:r>
      <w:r>
        <w:rPr>
          <w:rFonts w:cs="Arial"/>
          <w:rtl/>
        </w:rPr>
        <w:t xml:space="preserve"> </w:t>
      </w:r>
      <w:r>
        <w:rPr>
          <w:rFonts w:cs="Arial" w:hint="cs"/>
          <w:rtl/>
        </w:rPr>
        <w:t>לפלונית</w:t>
      </w:r>
      <w:r>
        <w:rPr>
          <w:rFonts w:cs="Arial"/>
          <w:rtl/>
        </w:rPr>
        <w:t xml:space="preserve">, </w:t>
      </w:r>
      <w:r>
        <w:rPr>
          <w:rFonts w:cs="Arial" w:hint="cs"/>
          <w:rtl/>
        </w:rPr>
        <w:t>והשלים</w:t>
      </w:r>
      <w:r>
        <w:rPr>
          <w:rFonts w:cs="Arial"/>
          <w:rtl/>
        </w:rPr>
        <w:t xml:space="preserve"> </w:t>
      </w:r>
      <w:r>
        <w:rPr>
          <w:rFonts w:cs="Arial" w:hint="cs"/>
          <w:rtl/>
        </w:rPr>
        <w:t>הגט</w:t>
      </w:r>
      <w:r>
        <w:rPr>
          <w:rFonts w:cs="Arial"/>
          <w:rtl/>
        </w:rPr>
        <w:t xml:space="preserve"> </w:t>
      </w:r>
      <w:r>
        <w:rPr>
          <w:rFonts w:cs="Arial" w:hint="cs"/>
          <w:rtl/>
        </w:rPr>
        <w:t>והתחיל</w:t>
      </w:r>
      <w:r>
        <w:rPr>
          <w:rFonts w:cs="Arial"/>
          <w:rtl/>
        </w:rPr>
        <w:t xml:space="preserve"> </w:t>
      </w:r>
      <w:r>
        <w:rPr>
          <w:rFonts w:cs="Arial" w:hint="cs"/>
          <w:rtl/>
        </w:rPr>
        <w:t>תחתיו</w:t>
      </w:r>
      <w:r>
        <w:rPr>
          <w:rFonts w:cs="Arial"/>
          <w:rtl/>
        </w:rPr>
        <w:t xml:space="preserve"> </w:t>
      </w:r>
      <w:r>
        <w:rPr>
          <w:rFonts w:cs="Arial" w:hint="cs"/>
          <w:rtl/>
        </w:rPr>
        <w:t>גט</w:t>
      </w:r>
      <w:r>
        <w:rPr>
          <w:rFonts w:cs="Arial"/>
          <w:rtl/>
        </w:rPr>
        <w:t xml:space="preserve"> </w:t>
      </w:r>
      <w:r>
        <w:rPr>
          <w:rFonts w:cs="Arial" w:hint="cs"/>
          <w:rtl/>
        </w:rPr>
        <w:t>אחר</w:t>
      </w:r>
      <w:r>
        <w:rPr>
          <w:rFonts w:cs="Arial"/>
          <w:rtl/>
        </w:rPr>
        <w:t xml:space="preserve"> </w:t>
      </w:r>
      <w:r>
        <w:rPr>
          <w:rFonts w:cs="Arial" w:hint="cs"/>
          <w:rtl/>
        </w:rPr>
        <w:t>באותה</w:t>
      </w:r>
      <w:r>
        <w:rPr>
          <w:rFonts w:cs="Arial"/>
          <w:rtl/>
        </w:rPr>
        <w:t xml:space="preserve"> </w:t>
      </w:r>
      <w:r>
        <w:rPr>
          <w:rFonts w:cs="Arial" w:hint="cs"/>
          <w:rtl/>
        </w:rPr>
        <w:t>מגילה</w:t>
      </w:r>
      <w:r>
        <w:rPr>
          <w:rFonts w:cs="Arial"/>
          <w:rtl/>
        </w:rPr>
        <w:t xml:space="preserve"> </w:t>
      </w:r>
      <w:r>
        <w:rPr>
          <w:rFonts w:cs="Arial" w:hint="cs"/>
          <w:rtl/>
        </w:rPr>
        <w:t>וכתב</w:t>
      </w:r>
      <w:r>
        <w:rPr>
          <w:rFonts w:cs="Arial"/>
          <w:rtl/>
        </w:rPr>
        <w:t xml:space="preserve">: </w:t>
      </w:r>
      <w:r>
        <w:rPr>
          <w:rFonts w:cs="Arial" w:hint="cs"/>
          <w:rtl/>
        </w:rPr>
        <w:t>וביום</w:t>
      </w:r>
      <w:r>
        <w:rPr>
          <w:rFonts w:cs="Arial"/>
          <w:rtl/>
        </w:rPr>
        <w:t xml:space="preserve"> </w:t>
      </w:r>
      <w:r>
        <w:rPr>
          <w:rFonts w:cs="Arial" w:hint="cs"/>
          <w:rtl/>
        </w:rPr>
        <w:t>זה</w:t>
      </w:r>
      <w:r>
        <w:rPr>
          <w:rFonts w:cs="Arial"/>
          <w:rtl/>
        </w:rPr>
        <w:t xml:space="preserve"> </w:t>
      </w:r>
      <w:r>
        <w:rPr>
          <w:rFonts w:cs="Arial" w:hint="cs"/>
          <w:rtl/>
        </w:rPr>
        <w:t>גירש</w:t>
      </w:r>
      <w:r>
        <w:rPr>
          <w:rFonts w:cs="Arial"/>
          <w:rtl/>
        </w:rPr>
        <w:t xml:space="preserve"> </w:t>
      </w:r>
      <w:r>
        <w:rPr>
          <w:rFonts w:cs="Arial" w:hint="cs"/>
          <w:rtl/>
        </w:rPr>
        <w:t>פלוני</w:t>
      </w:r>
      <w:r>
        <w:rPr>
          <w:rFonts w:cs="Arial"/>
          <w:rtl/>
        </w:rPr>
        <w:t xml:space="preserve"> </w:t>
      </w:r>
      <w:r>
        <w:rPr>
          <w:rFonts w:cs="Arial" w:hint="cs"/>
          <w:rtl/>
        </w:rPr>
        <w:t>לפלונית</w:t>
      </w:r>
      <w:r>
        <w:rPr>
          <w:rFonts w:cs="Arial"/>
          <w:rtl/>
        </w:rPr>
        <w:t xml:space="preserve">, </w:t>
      </w:r>
      <w:r>
        <w:rPr>
          <w:rFonts w:cs="Arial" w:hint="cs"/>
          <w:rtl/>
        </w:rPr>
        <w:t>והשלים</w:t>
      </w:r>
      <w:r>
        <w:rPr>
          <w:rFonts w:cs="Arial"/>
          <w:rtl/>
        </w:rPr>
        <w:t xml:space="preserve"> </w:t>
      </w:r>
      <w:r>
        <w:rPr>
          <w:rFonts w:cs="Arial" w:hint="cs"/>
          <w:rtl/>
        </w:rPr>
        <w:t>הגט</w:t>
      </w:r>
      <w:r>
        <w:rPr>
          <w:rFonts w:cs="Arial"/>
          <w:rtl/>
        </w:rPr>
        <w:t xml:space="preserve"> </w:t>
      </w:r>
      <w:r>
        <w:rPr>
          <w:rFonts w:cs="Arial" w:hint="cs"/>
          <w:rtl/>
        </w:rPr>
        <w:t>השני</w:t>
      </w:r>
      <w:r>
        <w:rPr>
          <w:rFonts w:cs="Arial"/>
          <w:rtl/>
        </w:rPr>
        <w:t xml:space="preserve">, </w:t>
      </w:r>
      <w:r>
        <w:rPr>
          <w:rFonts w:cs="Arial" w:hint="cs"/>
          <w:rtl/>
        </w:rPr>
        <w:t>וכן</w:t>
      </w:r>
      <w:r>
        <w:rPr>
          <w:rFonts w:cs="Arial"/>
          <w:rtl/>
        </w:rPr>
        <w:t xml:space="preserve"> </w:t>
      </w:r>
      <w:r>
        <w:rPr>
          <w:rFonts w:cs="Arial" w:hint="cs"/>
          <w:rtl/>
        </w:rPr>
        <w:t>עד</w:t>
      </w:r>
      <w:r>
        <w:rPr>
          <w:rFonts w:cs="Arial"/>
          <w:rtl/>
        </w:rPr>
        <w:t xml:space="preserve"> </w:t>
      </w:r>
      <w:r>
        <w:rPr>
          <w:rFonts w:cs="Arial" w:hint="cs"/>
          <w:rtl/>
        </w:rPr>
        <w:t>שהשלים</w:t>
      </w:r>
      <w:r>
        <w:rPr>
          <w:rFonts w:cs="Arial"/>
          <w:rtl/>
        </w:rPr>
        <w:t xml:space="preserve"> </w:t>
      </w:r>
      <w:r>
        <w:rPr>
          <w:rFonts w:cs="Arial" w:hint="cs"/>
          <w:rtl/>
        </w:rPr>
        <w:t>כל</w:t>
      </w:r>
      <w:r>
        <w:rPr>
          <w:rFonts w:cs="Arial"/>
          <w:rtl/>
        </w:rPr>
        <w:t xml:space="preserve"> </w:t>
      </w:r>
      <w:r>
        <w:rPr>
          <w:rFonts w:cs="Arial" w:hint="cs"/>
          <w:rtl/>
        </w:rPr>
        <w:t>הגיטין</w:t>
      </w:r>
      <w:r>
        <w:rPr>
          <w:rFonts w:cs="Arial"/>
          <w:rtl/>
        </w:rPr>
        <w:t xml:space="preserve"> </w:t>
      </w:r>
      <w:r>
        <w:rPr>
          <w:rFonts w:cs="Arial" w:hint="cs"/>
          <w:rtl/>
        </w:rPr>
        <w:t>והעדים</w:t>
      </w:r>
      <w:r>
        <w:rPr>
          <w:rFonts w:cs="Arial"/>
          <w:rtl/>
        </w:rPr>
        <w:t xml:space="preserve"> </w:t>
      </w:r>
      <w:r>
        <w:rPr>
          <w:rFonts w:cs="Arial" w:hint="cs"/>
          <w:rtl/>
        </w:rPr>
        <w:t>מלמטה</w:t>
      </w:r>
      <w:r>
        <w:rPr>
          <w:rFonts w:cs="Arial"/>
          <w:rtl/>
        </w:rPr>
        <w:t xml:space="preserve">, </w:t>
      </w:r>
      <w:r>
        <w:rPr>
          <w:rFonts w:cs="Arial" w:hint="cs"/>
          <w:rtl/>
        </w:rPr>
        <w:t>אם</w:t>
      </w:r>
      <w:r>
        <w:rPr>
          <w:rFonts w:cs="Arial"/>
          <w:rtl/>
        </w:rPr>
        <w:t xml:space="preserve"> </w:t>
      </w:r>
      <w:r>
        <w:rPr>
          <w:rFonts w:cs="Arial" w:hint="cs"/>
          <w:rtl/>
        </w:rPr>
        <w:t>נתנה</w:t>
      </w:r>
      <w:r>
        <w:rPr>
          <w:rFonts w:cs="Arial"/>
          <w:rtl/>
        </w:rPr>
        <w:t xml:space="preserve"> </w:t>
      </w:r>
      <w:r>
        <w:rPr>
          <w:rFonts w:cs="Arial" w:hint="cs"/>
          <w:rtl/>
        </w:rPr>
        <w:t>מגילה</w:t>
      </w:r>
      <w:r>
        <w:rPr>
          <w:rFonts w:cs="Arial"/>
          <w:rtl/>
        </w:rPr>
        <w:t xml:space="preserve"> </w:t>
      </w:r>
      <w:r>
        <w:rPr>
          <w:rFonts w:cs="Arial" w:hint="cs"/>
          <w:rtl/>
        </w:rPr>
        <w:t>זו</w:t>
      </w:r>
      <w:r>
        <w:rPr>
          <w:rFonts w:cs="Arial"/>
          <w:rtl/>
        </w:rPr>
        <w:t xml:space="preserve"> </w:t>
      </w:r>
      <w:r>
        <w:rPr>
          <w:rFonts w:cs="Arial" w:hint="cs"/>
          <w:rtl/>
        </w:rPr>
        <w:t>לכל</w:t>
      </w:r>
      <w:r>
        <w:rPr>
          <w:rFonts w:cs="Arial"/>
          <w:rtl/>
        </w:rPr>
        <w:t xml:space="preserve"> </w:t>
      </w:r>
      <w:r>
        <w:rPr>
          <w:rFonts w:cs="Arial" w:hint="cs"/>
          <w:rtl/>
        </w:rPr>
        <w:t>אחת</w:t>
      </w:r>
      <w:r>
        <w:rPr>
          <w:rFonts w:cs="Arial"/>
          <w:rtl/>
        </w:rPr>
        <w:t xml:space="preserve"> </w:t>
      </w:r>
      <w:r>
        <w:rPr>
          <w:rFonts w:cs="Arial" w:hint="cs"/>
          <w:rtl/>
        </w:rPr>
        <w:t>מהן</w:t>
      </w:r>
      <w:r>
        <w:rPr>
          <w:rFonts w:cs="Arial"/>
          <w:rtl/>
        </w:rPr>
        <w:t xml:space="preserve"> </w:t>
      </w:r>
      <w:r>
        <w:rPr>
          <w:rFonts w:cs="Arial" w:hint="cs"/>
          <w:rtl/>
        </w:rPr>
        <w:t>בעדי</w:t>
      </w:r>
      <w:r>
        <w:rPr>
          <w:rFonts w:cs="Arial"/>
          <w:rtl/>
        </w:rPr>
        <w:t xml:space="preserve"> </w:t>
      </w:r>
      <w:r>
        <w:rPr>
          <w:rFonts w:cs="Arial" w:hint="cs"/>
          <w:rtl/>
        </w:rPr>
        <w:t>מסירה</w:t>
      </w:r>
      <w:r>
        <w:rPr>
          <w:rFonts w:cs="Arial"/>
          <w:rtl/>
        </w:rPr>
        <w:t xml:space="preserve">, </w:t>
      </w:r>
      <w:r>
        <w:rPr>
          <w:rFonts w:cs="Arial" w:hint="cs"/>
          <w:rtl/>
        </w:rPr>
        <w:t>הרי</w:t>
      </w:r>
      <w:r>
        <w:rPr>
          <w:rFonts w:cs="Arial"/>
          <w:rtl/>
        </w:rPr>
        <w:t xml:space="preserve"> </w:t>
      </w:r>
      <w:r>
        <w:rPr>
          <w:rFonts w:cs="Arial" w:hint="cs"/>
          <w:rtl/>
        </w:rPr>
        <w:t>כלם</w:t>
      </w:r>
      <w:r>
        <w:rPr>
          <w:rFonts w:cs="Arial"/>
          <w:rtl/>
        </w:rPr>
        <w:t xml:space="preserve"> </w:t>
      </w:r>
      <w:r>
        <w:rPr>
          <w:rFonts w:cs="Arial" w:hint="cs"/>
          <w:rtl/>
        </w:rPr>
        <w:t>מגורשות</w:t>
      </w:r>
      <w:r>
        <w:rPr>
          <w:rFonts w:cs="Arial"/>
          <w:rtl/>
        </w:rPr>
        <w:t xml:space="preserve">. </w:t>
      </w:r>
      <w:r>
        <w:rPr>
          <w:rFonts w:cs="Arial" w:hint="cs"/>
          <w:rtl/>
        </w:rPr>
        <w:t>ואם</w:t>
      </w:r>
      <w:r>
        <w:rPr>
          <w:rFonts w:cs="Arial"/>
          <w:rtl/>
        </w:rPr>
        <w:t xml:space="preserve"> </w:t>
      </w:r>
      <w:r>
        <w:rPr>
          <w:rFonts w:cs="Arial" w:hint="cs"/>
          <w:rtl/>
        </w:rPr>
        <w:t>אין</w:t>
      </w:r>
      <w:r>
        <w:rPr>
          <w:rFonts w:cs="Arial"/>
          <w:rtl/>
        </w:rPr>
        <w:t xml:space="preserve"> </w:t>
      </w:r>
      <w:r>
        <w:rPr>
          <w:rFonts w:cs="Arial" w:hint="cs"/>
          <w:rtl/>
        </w:rPr>
        <w:t>שם</w:t>
      </w:r>
      <w:r>
        <w:rPr>
          <w:rFonts w:cs="Arial"/>
          <w:rtl/>
        </w:rPr>
        <w:t xml:space="preserve"> </w:t>
      </w:r>
      <w:r>
        <w:rPr>
          <w:rFonts w:cs="Arial" w:hint="cs"/>
          <w:rtl/>
        </w:rPr>
        <w:t>עדי</w:t>
      </w:r>
      <w:r>
        <w:rPr>
          <w:rFonts w:cs="Arial"/>
          <w:rtl/>
        </w:rPr>
        <w:t xml:space="preserve"> </w:t>
      </w:r>
      <w:r>
        <w:rPr>
          <w:rFonts w:cs="Arial" w:hint="cs"/>
          <w:rtl/>
        </w:rPr>
        <w:t>מסירה</w:t>
      </w:r>
      <w:r>
        <w:rPr>
          <w:rFonts w:cs="Arial"/>
          <w:rtl/>
        </w:rPr>
        <w:t xml:space="preserve">, </w:t>
      </w:r>
      <w:r>
        <w:rPr>
          <w:rFonts w:cs="Arial" w:hint="cs"/>
          <w:rtl/>
        </w:rPr>
        <w:t>והיתה</w:t>
      </w:r>
      <w:r>
        <w:rPr>
          <w:rFonts w:cs="Arial"/>
          <w:rtl/>
        </w:rPr>
        <w:t xml:space="preserve"> </w:t>
      </w:r>
      <w:r>
        <w:rPr>
          <w:rFonts w:cs="Arial" w:hint="cs"/>
          <w:rtl/>
        </w:rPr>
        <w:t>מגלה</w:t>
      </w:r>
      <w:r>
        <w:rPr>
          <w:rFonts w:cs="Arial"/>
          <w:rtl/>
        </w:rPr>
        <w:t xml:space="preserve"> </w:t>
      </w:r>
      <w:r>
        <w:rPr>
          <w:rFonts w:cs="Arial" w:hint="cs"/>
          <w:rtl/>
        </w:rPr>
        <w:t>זו</w:t>
      </w:r>
      <w:r>
        <w:rPr>
          <w:rFonts w:cs="Arial"/>
          <w:rtl/>
        </w:rPr>
        <w:t xml:space="preserve"> </w:t>
      </w:r>
      <w:r>
        <w:rPr>
          <w:rFonts w:cs="Arial" w:hint="cs"/>
          <w:rtl/>
        </w:rPr>
        <w:t>יוצאת</w:t>
      </w:r>
      <w:r>
        <w:rPr>
          <w:rFonts w:cs="Arial"/>
          <w:rtl/>
        </w:rPr>
        <w:t xml:space="preserve"> </w:t>
      </w:r>
      <w:r>
        <w:rPr>
          <w:rFonts w:cs="Arial" w:hint="cs"/>
          <w:rtl/>
        </w:rPr>
        <w:t>מתחת</w:t>
      </w:r>
      <w:r>
        <w:rPr>
          <w:rFonts w:cs="Arial"/>
          <w:rtl/>
        </w:rPr>
        <w:t xml:space="preserve"> </w:t>
      </w:r>
      <w:r>
        <w:rPr>
          <w:rFonts w:cs="Arial" w:hint="cs"/>
          <w:rtl/>
        </w:rPr>
        <w:t>יד</w:t>
      </w:r>
      <w:r>
        <w:rPr>
          <w:rFonts w:cs="Arial"/>
          <w:rtl/>
        </w:rPr>
        <w:t xml:space="preserve"> </w:t>
      </w:r>
      <w:r>
        <w:rPr>
          <w:rFonts w:cs="Arial" w:hint="cs"/>
          <w:rtl/>
        </w:rPr>
        <w:t>אחת</w:t>
      </w:r>
      <w:r>
        <w:rPr>
          <w:rFonts w:cs="Arial"/>
          <w:rtl/>
        </w:rPr>
        <w:t xml:space="preserve"> </w:t>
      </w:r>
      <w:r>
        <w:rPr>
          <w:rFonts w:cs="Arial" w:hint="cs"/>
          <w:rtl/>
        </w:rPr>
        <w:t>מהן</w:t>
      </w:r>
      <w:r>
        <w:rPr>
          <w:rFonts w:cs="Arial"/>
          <w:rtl/>
        </w:rPr>
        <w:t xml:space="preserve">, </w:t>
      </w:r>
      <w:r>
        <w:rPr>
          <w:rFonts w:cs="Arial" w:hint="cs"/>
          <w:rtl/>
        </w:rPr>
        <w:t>אם</w:t>
      </w:r>
      <w:r>
        <w:rPr>
          <w:rFonts w:cs="Arial"/>
          <w:rtl/>
        </w:rPr>
        <w:t xml:space="preserve"> </w:t>
      </w:r>
      <w:r>
        <w:rPr>
          <w:rFonts w:cs="Arial" w:hint="cs"/>
          <w:rtl/>
        </w:rPr>
        <w:t>היתה</w:t>
      </w:r>
      <w:r>
        <w:rPr>
          <w:rFonts w:cs="Arial"/>
          <w:rtl/>
        </w:rPr>
        <w:t xml:space="preserve"> </w:t>
      </w:r>
      <w:r>
        <w:rPr>
          <w:rFonts w:cs="Arial" w:hint="cs"/>
          <w:rtl/>
        </w:rPr>
        <w:t>זו</w:t>
      </w:r>
      <w:r>
        <w:rPr>
          <w:rFonts w:cs="Arial"/>
          <w:rtl/>
        </w:rPr>
        <w:t xml:space="preserve"> </w:t>
      </w:r>
      <w:r>
        <w:rPr>
          <w:rFonts w:cs="Arial" w:hint="cs"/>
          <w:rtl/>
        </w:rPr>
        <w:t>שגיטה</w:t>
      </w:r>
      <w:r>
        <w:rPr>
          <w:rFonts w:cs="Arial"/>
          <w:rtl/>
        </w:rPr>
        <w:t xml:space="preserve"> </w:t>
      </w:r>
      <w:r>
        <w:rPr>
          <w:rFonts w:cs="Arial" w:hint="cs"/>
          <w:rtl/>
        </w:rPr>
        <w:t>באחרונה</w:t>
      </w:r>
      <w:r>
        <w:rPr>
          <w:rFonts w:cs="Arial"/>
          <w:rtl/>
        </w:rPr>
        <w:t xml:space="preserve"> </w:t>
      </w:r>
      <w:r>
        <w:rPr>
          <w:rFonts w:cs="Arial" w:hint="cs"/>
          <w:rtl/>
        </w:rPr>
        <w:t>שהעדים</w:t>
      </w:r>
      <w:r>
        <w:rPr>
          <w:rFonts w:cs="Arial"/>
          <w:rtl/>
        </w:rPr>
        <w:t xml:space="preserve"> </w:t>
      </w:r>
      <w:r>
        <w:rPr>
          <w:rFonts w:cs="Arial" w:hint="cs"/>
          <w:rtl/>
        </w:rPr>
        <w:t>נקראים</w:t>
      </w:r>
      <w:r>
        <w:rPr>
          <w:rFonts w:cs="Arial"/>
          <w:rtl/>
        </w:rPr>
        <w:t xml:space="preserve"> </w:t>
      </w:r>
      <w:r>
        <w:rPr>
          <w:rFonts w:cs="Arial" w:hint="cs"/>
          <w:rtl/>
        </w:rPr>
        <w:t>עמו</w:t>
      </w:r>
      <w:r>
        <w:rPr>
          <w:rFonts w:cs="Arial"/>
          <w:rtl/>
        </w:rPr>
        <w:t xml:space="preserve">, </w:t>
      </w:r>
      <w:r>
        <w:rPr>
          <w:rFonts w:cs="Arial" w:hint="cs"/>
          <w:rtl/>
        </w:rPr>
        <w:t>הרי</w:t>
      </w:r>
      <w:r>
        <w:rPr>
          <w:rFonts w:cs="Arial"/>
          <w:rtl/>
        </w:rPr>
        <w:t xml:space="preserve"> </w:t>
      </w:r>
      <w:r>
        <w:rPr>
          <w:rFonts w:cs="Arial" w:hint="cs"/>
          <w:rtl/>
        </w:rPr>
        <w:t>זו</w:t>
      </w:r>
      <w:r>
        <w:rPr>
          <w:rFonts w:cs="Arial"/>
          <w:rtl/>
        </w:rPr>
        <w:t xml:space="preserve"> </w:t>
      </w:r>
      <w:r>
        <w:rPr>
          <w:rFonts w:cs="Arial" w:hint="cs"/>
          <w:rtl/>
        </w:rPr>
        <w:t>מגורשת</w:t>
      </w:r>
      <w:r>
        <w:rPr>
          <w:rFonts w:cs="Arial"/>
          <w:rtl/>
        </w:rPr>
        <w:t xml:space="preserve">. </w:t>
      </w:r>
      <w:r>
        <w:rPr>
          <w:rFonts w:cs="Arial" w:hint="cs"/>
          <w:rtl/>
        </w:rPr>
        <w:t>ואם</w:t>
      </w:r>
      <w:r>
        <w:rPr>
          <w:rFonts w:cs="Arial"/>
          <w:rtl/>
        </w:rPr>
        <w:t xml:space="preserve"> </w:t>
      </w:r>
      <w:r>
        <w:rPr>
          <w:rFonts w:cs="Arial" w:hint="cs"/>
          <w:rtl/>
        </w:rPr>
        <w:t>היתה</w:t>
      </w:r>
      <w:r>
        <w:rPr>
          <w:rFonts w:cs="Arial"/>
          <w:rtl/>
        </w:rPr>
        <w:t xml:space="preserve"> </w:t>
      </w:r>
      <w:r>
        <w:rPr>
          <w:rFonts w:cs="Arial" w:hint="cs"/>
          <w:rtl/>
        </w:rPr>
        <w:t>המגלה</w:t>
      </w:r>
      <w:r>
        <w:rPr>
          <w:rFonts w:cs="Arial"/>
          <w:rtl/>
        </w:rPr>
        <w:t xml:space="preserve"> </w:t>
      </w:r>
      <w:r>
        <w:rPr>
          <w:rFonts w:cs="Arial" w:hint="cs"/>
          <w:rtl/>
        </w:rPr>
        <w:t>יוצאת</w:t>
      </w:r>
      <w:r>
        <w:rPr>
          <w:rFonts w:cs="Arial"/>
          <w:rtl/>
        </w:rPr>
        <w:t xml:space="preserve"> </w:t>
      </w:r>
      <w:r>
        <w:rPr>
          <w:rFonts w:cs="Arial" w:hint="cs"/>
          <w:rtl/>
        </w:rPr>
        <w:t>מתחת</w:t>
      </w:r>
      <w:r>
        <w:rPr>
          <w:rFonts w:cs="Arial"/>
          <w:rtl/>
        </w:rPr>
        <w:t xml:space="preserve"> </w:t>
      </w:r>
      <w:r>
        <w:rPr>
          <w:rFonts w:cs="Arial" w:hint="cs"/>
          <w:rtl/>
        </w:rPr>
        <w:t>יד</w:t>
      </w:r>
      <w:r>
        <w:rPr>
          <w:rFonts w:cs="Arial"/>
          <w:rtl/>
        </w:rPr>
        <w:t xml:space="preserve"> </w:t>
      </w:r>
      <w:r>
        <w:rPr>
          <w:rFonts w:cs="Arial" w:hint="cs"/>
          <w:rtl/>
        </w:rPr>
        <w:t>אחת</w:t>
      </w:r>
      <w:r>
        <w:rPr>
          <w:rFonts w:cs="Arial"/>
          <w:rtl/>
        </w:rPr>
        <w:t xml:space="preserve"> </w:t>
      </w:r>
      <w:r>
        <w:rPr>
          <w:rFonts w:cs="Arial" w:hint="cs"/>
          <w:rtl/>
        </w:rPr>
        <w:t>מן</w:t>
      </w:r>
      <w:r>
        <w:rPr>
          <w:rFonts w:cs="Arial"/>
          <w:rtl/>
        </w:rPr>
        <w:t xml:space="preserve"> </w:t>
      </w:r>
      <w:r>
        <w:rPr>
          <w:rFonts w:cs="Arial" w:hint="cs"/>
          <w:rtl/>
        </w:rPr>
        <w:t>הראשונות</w:t>
      </w:r>
      <w:r>
        <w:rPr>
          <w:rFonts w:cs="Arial"/>
          <w:rtl/>
        </w:rPr>
        <w:t xml:space="preserve">, </w:t>
      </w:r>
      <w:r>
        <w:rPr>
          <w:rFonts w:cs="Arial" w:hint="cs"/>
          <w:rtl/>
        </w:rPr>
        <w:t>הרי</w:t>
      </w:r>
      <w:r>
        <w:rPr>
          <w:rFonts w:cs="Arial"/>
          <w:rtl/>
        </w:rPr>
        <w:t xml:space="preserve"> </w:t>
      </w:r>
      <w:r>
        <w:rPr>
          <w:rFonts w:cs="Arial" w:hint="cs"/>
          <w:rtl/>
        </w:rPr>
        <w:t>זו</w:t>
      </w:r>
      <w:r>
        <w:rPr>
          <w:rFonts w:cs="Arial"/>
          <w:rtl/>
        </w:rPr>
        <w:t xml:space="preserve"> </w:t>
      </w:r>
      <w:r>
        <w:rPr>
          <w:rFonts w:cs="Arial" w:hint="cs"/>
          <w:rtl/>
        </w:rPr>
        <w:t>ספק</w:t>
      </w:r>
      <w:r>
        <w:rPr>
          <w:rFonts w:cs="Arial"/>
          <w:rtl/>
        </w:rPr>
        <w:t xml:space="preserve"> </w:t>
      </w:r>
      <w:r>
        <w:rPr>
          <w:rFonts w:cs="Arial" w:hint="cs"/>
          <w:rtl/>
        </w:rPr>
        <w:t>מגורשת</w:t>
      </w:r>
      <w:r>
        <w:rPr>
          <w:rFonts w:cs="Arial"/>
          <w:rtl/>
        </w:rPr>
        <w:t xml:space="preserve">. </w:t>
      </w:r>
      <w:r w:rsidRPr="00A14BB0">
        <w:rPr>
          <w:rFonts w:cs="Arial" w:hint="cs"/>
          <w:sz w:val="18"/>
          <w:szCs w:val="18"/>
          <w:rtl/>
        </w:rPr>
        <w:t>הגה</w:t>
      </w:r>
      <w:r w:rsidRPr="00A14BB0">
        <w:rPr>
          <w:rFonts w:cs="Arial"/>
          <w:sz w:val="18"/>
          <w:szCs w:val="18"/>
          <w:rtl/>
        </w:rPr>
        <w:t xml:space="preserve">: </w:t>
      </w:r>
      <w:r w:rsidRPr="00A14BB0">
        <w:rPr>
          <w:rFonts w:cs="Arial" w:hint="cs"/>
          <w:sz w:val="18"/>
          <w:szCs w:val="18"/>
          <w:rtl/>
        </w:rPr>
        <w:t>וכל</w:t>
      </w:r>
      <w:r w:rsidRPr="00A14BB0">
        <w:rPr>
          <w:rFonts w:cs="Arial"/>
          <w:sz w:val="18"/>
          <w:szCs w:val="18"/>
          <w:rtl/>
        </w:rPr>
        <w:t xml:space="preserve"> </w:t>
      </w:r>
      <w:r w:rsidRPr="00A14BB0">
        <w:rPr>
          <w:rFonts w:cs="Arial" w:hint="cs"/>
          <w:sz w:val="18"/>
          <w:szCs w:val="18"/>
          <w:rtl/>
        </w:rPr>
        <w:t>זה</w:t>
      </w:r>
      <w:r w:rsidRPr="00A14BB0">
        <w:rPr>
          <w:rFonts w:cs="Arial"/>
          <w:sz w:val="18"/>
          <w:szCs w:val="18"/>
          <w:rtl/>
        </w:rPr>
        <w:t xml:space="preserve"> </w:t>
      </w:r>
      <w:r w:rsidRPr="00A14BB0">
        <w:rPr>
          <w:rFonts w:cs="Arial" w:hint="cs"/>
          <w:sz w:val="18"/>
          <w:szCs w:val="18"/>
          <w:rtl/>
        </w:rPr>
        <w:t>שכתב</w:t>
      </w:r>
      <w:r w:rsidRPr="00A14BB0">
        <w:rPr>
          <w:rFonts w:cs="Arial"/>
          <w:sz w:val="18"/>
          <w:szCs w:val="18"/>
          <w:rtl/>
        </w:rPr>
        <w:t xml:space="preserve">: </w:t>
      </w:r>
      <w:r w:rsidRPr="00A14BB0">
        <w:rPr>
          <w:rFonts w:cs="Arial" w:hint="cs"/>
          <w:sz w:val="18"/>
          <w:szCs w:val="18"/>
          <w:rtl/>
        </w:rPr>
        <w:t>ופלוני</w:t>
      </w:r>
      <w:r w:rsidRPr="00A14BB0">
        <w:rPr>
          <w:rFonts w:cs="Arial"/>
          <w:sz w:val="18"/>
          <w:szCs w:val="18"/>
          <w:rtl/>
        </w:rPr>
        <w:t xml:space="preserve"> </w:t>
      </w:r>
      <w:r w:rsidRPr="00A14BB0">
        <w:rPr>
          <w:rFonts w:cs="Arial" w:hint="cs"/>
          <w:sz w:val="18"/>
          <w:szCs w:val="18"/>
          <w:rtl/>
        </w:rPr>
        <w:t>לפלונית</w:t>
      </w:r>
      <w:r w:rsidRPr="00A14BB0">
        <w:rPr>
          <w:rFonts w:cs="Arial"/>
          <w:sz w:val="18"/>
          <w:szCs w:val="18"/>
          <w:rtl/>
        </w:rPr>
        <w:t xml:space="preserve"> </w:t>
      </w:r>
      <w:r w:rsidRPr="00A14BB0">
        <w:rPr>
          <w:rFonts w:cs="Arial" w:hint="cs"/>
          <w:sz w:val="18"/>
          <w:szCs w:val="18"/>
          <w:rtl/>
        </w:rPr>
        <w:t>וכו</w:t>
      </w:r>
      <w:r w:rsidRPr="00A14BB0">
        <w:rPr>
          <w:rFonts w:cs="Arial"/>
          <w:sz w:val="18"/>
          <w:szCs w:val="18"/>
          <w:rtl/>
        </w:rPr>
        <w:t xml:space="preserve">', </w:t>
      </w:r>
      <w:r w:rsidRPr="00A14BB0">
        <w:rPr>
          <w:rFonts w:cs="Arial" w:hint="cs"/>
          <w:sz w:val="18"/>
          <w:szCs w:val="18"/>
          <w:rtl/>
        </w:rPr>
        <w:t>אבל</w:t>
      </w:r>
      <w:r w:rsidRPr="00A14BB0">
        <w:rPr>
          <w:rFonts w:cs="Arial"/>
          <w:sz w:val="18"/>
          <w:szCs w:val="18"/>
          <w:rtl/>
        </w:rPr>
        <w:t xml:space="preserve"> </w:t>
      </w:r>
      <w:r w:rsidRPr="00A14BB0">
        <w:rPr>
          <w:rFonts w:cs="Arial" w:hint="cs"/>
          <w:sz w:val="18"/>
          <w:szCs w:val="18"/>
          <w:rtl/>
        </w:rPr>
        <w:t>אם</w:t>
      </w:r>
      <w:r w:rsidRPr="00A14BB0">
        <w:rPr>
          <w:rFonts w:cs="Arial"/>
          <w:sz w:val="18"/>
          <w:szCs w:val="18"/>
          <w:rtl/>
        </w:rPr>
        <w:t xml:space="preserve"> </w:t>
      </w:r>
      <w:r w:rsidRPr="00A14BB0">
        <w:rPr>
          <w:rFonts w:cs="Arial" w:hint="cs"/>
          <w:sz w:val="18"/>
          <w:szCs w:val="18"/>
          <w:rtl/>
        </w:rPr>
        <w:t>כתב</w:t>
      </w:r>
      <w:r w:rsidRPr="00A14BB0">
        <w:rPr>
          <w:rFonts w:cs="Arial"/>
          <w:sz w:val="18"/>
          <w:szCs w:val="18"/>
          <w:rtl/>
        </w:rPr>
        <w:t xml:space="preserve"> </w:t>
      </w:r>
      <w:r w:rsidRPr="00A14BB0">
        <w:rPr>
          <w:rFonts w:cs="Arial" w:hint="cs"/>
          <w:sz w:val="18"/>
          <w:szCs w:val="18"/>
          <w:rtl/>
        </w:rPr>
        <w:t>בשני</w:t>
      </w:r>
      <w:r w:rsidRPr="00A14BB0">
        <w:rPr>
          <w:rFonts w:cs="Arial"/>
          <w:sz w:val="18"/>
          <w:szCs w:val="18"/>
          <w:rtl/>
        </w:rPr>
        <w:t xml:space="preserve"> </w:t>
      </w:r>
      <w:r w:rsidRPr="00A14BB0">
        <w:rPr>
          <w:rFonts w:cs="Arial" w:hint="cs"/>
          <w:sz w:val="18"/>
          <w:szCs w:val="18"/>
          <w:rtl/>
        </w:rPr>
        <w:t>וכן</w:t>
      </w:r>
      <w:r w:rsidRPr="00A14BB0">
        <w:rPr>
          <w:rFonts w:cs="Arial"/>
          <w:sz w:val="18"/>
          <w:szCs w:val="18"/>
          <w:rtl/>
        </w:rPr>
        <w:t xml:space="preserve"> </w:t>
      </w:r>
      <w:r w:rsidRPr="00A14BB0">
        <w:rPr>
          <w:rFonts w:cs="Arial" w:hint="cs"/>
          <w:sz w:val="18"/>
          <w:szCs w:val="18"/>
          <w:rtl/>
        </w:rPr>
        <w:t>באחרים</w:t>
      </w:r>
      <w:r w:rsidRPr="00A14BB0">
        <w:rPr>
          <w:rFonts w:cs="Arial"/>
          <w:sz w:val="18"/>
          <w:szCs w:val="18"/>
          <w:rtl/>
        </w:rPr>
        <w:t xml:space="preserve">: </w:t>
      </w:r>
      <w:r w:rsidRPr="00A14BB0">
        <w:rPr>
          <w:rFonts w:cs="Arial" w:hint="cs"/>
          <w:sz w:val="18"/>
          <w:szCs w:val="18"/>
          <w:rtl/>
        </w:rPr>
        <w:t>פלוני</w:t>
      </w:r>
      <w:r w:rsidRPr="00A14BB0">
        <w:rPr>
          <w:rFonts w:cs="Arial"/>
          <w:sz w:val="18"/>
          <w:szCs w:val="18"/>
          <w:rtl/>
        </w:rPr>
        <w:t xml:space="preserve"> </w:t>
      </w:r>
      <w:r w:rsidRPr="00A14BB0">
        <w:rPr>
          <w:rFonts w:cs="Arial" w:hint="cs"/>
          <w:sz w:val="18"/>
          <w:szCs w:val="18"/>
          <w:rtl/>
        </w:rPr>
        <w:t>לפלונית</w:t>
      </w:r>
      <w:r w:rsidRPr="00A14BB0">
        <w:rPr>
          <w:rFonts w:cs="Arial"/>
          <w:sz w:val="18"/>
          <w:szCs w:val="18"/>
          <w:rtl/>
        </w:rPr>
        <w:t xml:space="preserve">, </w:t>
      </w:r>
      <w:r w:rsidRPr="00A14BB0">
        <w:rPr>
          <w:rFonts w:cs="Arial" w:hint="cs"/>
          <w:sz w:val="18"/>
          <w:szCs w:val="18"/>
          <w:rtl/>
        </w:rPr>
        <w:t>אינו</w:t>
      </w:r>
      <w:r w:rsidRPr="00A14BB0">
        <w:rPr>
          <w:rFonts w:cs="Arial"/>
          <w:sz w:val="18"/>
          <w:szCs w:val="18"/>
          <w:rtl/>
        </w:rPr>
        <w:t xml:space="preserve"> </w:t>
      </w:r>
      <w:r w:rsidRPr="00A14BB0">
        <w:rPr>
          <w:rFonts w:cs="Arial" w:hint="cs"/>
          <w:sz w:val="18"/>
          <w:szCs w:val="18"/>
          <w:rtl/>
        </w:rPr>
        <w:t>כשר</w:t>
      </w:r>
      <w:r w:rsidRPr="00A14BB0">
        <w:rPr>
          <w:rFonts w:cs="Arial"/>
          <w:sz w:val="18"/>
          <w:szCs w:val="18"/>
          <w:rtl/>
        </w:rPr>
        <w:t xml:space="preserve"> </w:t>
      </w:r>
      <w:r w:rsidRPr="00A14BB0">
        <w:rPr>
          <w:rFonts w:cs="Arial" w:hint="cs"/>
          <w:sz w:val="18"/>
          <w:szCs w:val="18"/>
          <w:rtl/>
        </w:rPr>
        <w:t>רק</w:t>
      </w:r>
      <w:r w:rsidRPr="00A14BB0">
        <w:rPr>
          <w:rFonts w:cs="Arial"/>
          <w:sz w:val="18"/>
          <w:szCs w:val="18"/>
          <w:rtl/>
        </w:rPr>
        <w:t xml:space="preserve"> </w:t>
      </w:r>
      <w:r w:rsidRPr="00A14BB0">
        <w:rPr>
          <w:rFonts w:cs="Arial" w:hint="cs"/>
          <w:sz w:val="18"/>
          <w:szCs w:val="18"/>
          <w:rtl/>
        </w:rPr>
        <w:t>האחרון</w:t>
      </w:r>
      <w:r w:rsidRPr="00A14BB0">
        <w:rPr>
          <w:rFonts w:cs="Arial"/>
          <w:sz w:val="18"/>
          <w:szCs w:val="18"/>
          <w:rtl/>
        </w:rPr>
        <w:t xml:space="preserve"> (</w:t>
      </w:r>
      <w:r w:rsidRPr="00A14BB0">
        <w:rPr>
          <w:rFonts w:cs="Arial" w:hint="cs"/>
          <w:sz w:val="18"/>
          <w:szCs w:val="18"/>
          <w:rtl/>
        </w:rPr>
        <w:t>טור</w:t>
      </w:r>
      <w:r w:rsidRPr="00A14BB0">
        <w:rPr>
          <w:rFonts w:cs="Arial"/>
          <w:sz w:val="18"/>
          <w:szCs w:val="18"/>
          <w:rtl/>
        </w:rPr>
        <w:t xml:space="preserve">). </w:t>
      </w:r>
    </w:p>
    <w:p w14:paraId="7DB1BD76" w14:textId="77777777" w:rsidR="00FA2119" w:rsidRPr="00A14BB0" w:rsidRDefault="00FA2119" w:rsidP="00FA2119">
      <w:pPr>
        <w:rPr>
          <w:rtl/>
        </w:rPr>
      </w:pPr>
    </w:p>
    <w:p w14:paraId="26BE4976" w14:textId="77777777" w:rsidR="00FA2119" w:rsidRDefault="00FA2119" w:rsidP="00FA2119">
      <w:pPr>
        <w:pStyle w:val="2"/>
        <w:rPr>
          <w:rtl/>
        </w:rPr>
      </w:pPr>
      <w:r>
        <w:rPr>
          <w:rFonts w:hint="cs"/>
          <w:rtl/>
        </w:rPr>
        <w:t>סעיף</w:t>
      </w:r>
      <w:r>
        <w:rPr>
          <w:rtl/>
        </w:rPr>
        <w:t xml:space="preserve"> </w:t>
      </w:r>
      <w:r>
        <w:rPr>
          <w:rFonts w:hint="cs"/>
          <w:rtl/>
        </w:rPr>
        <w:t>י:</w:t>
      </w:r>
      <w:r w:rsidRPr="00BF01BF">
        <w:rPr>
          <w:rFonts w:cs="Arial"/>
          <w:rtl/>
        </w:rPr>
        <w:t xml:space="preserve"> כתב </w:t>
      </w:r>
      <w:r w:rsidRPr="00BF01BF">
        <w:rPr>
          <w:rFonts w:cs="Arial" w:hint="cs"/>
          <w:rtl/>
        </w:rPr>
        <w:t>'</w:t>
      </w:r>
      <w:r w:rsidRPr="00BF01BF">
        <w:rPr>
          <w:rFonts w:cs="Arial"/>
          <w:rtl/>
        </w:rPr>
        <w:t>פלוני מגרש פלונית</w:t>
      </w:r>
      <w:r w:rsidRPr="00BF01BF">
        <w:rPr>
          <w:rFonts w:cs="Arial" w:hint="cs"/>
          <w:rtl/>
        </w:rPr>
        <w:t>,</w:t>
      </w:r>
      <w:r w:rsidRPr="00BF01BF">
        <w:rPr>
          <w:rFonts w:cs="Arial"/>
          <w:rtl/>
        </w:rPr>
        <w:t xml:space="preserve"> ופלוני לפלונית</w:t>
      </w:r>
      <w:r w:rsidRPr="00BF01BF">
        <w:rPr>
          <w:rFonts w:cs="Arial" w:hint="cs"/>
          <w:rtl/>
        </w:rPr>
        <w:t>'</w:t>
      </w:r>
      <w:r>
        <w:rPr>
          <w:rFonts w:hint="cs"/>
          <w:rtl/>
        </w:rPr>
        <w:t>.</w:t>
      </w:r>
    </w:p>
    <w:p w14:paraId="6D14F56D" w14:textId="77777777" w:rsidR="00FA2119" w:rsidRDefault="00FA2119" w:rsidP="00FA2119">
      <w:r>
        <w:rPr>
          <w:rFonts w:hint="cs"/>
          <w:rtl/>
        </w:rPr>
        <w:t>עיין במקורות בסעיף הקודם.</w:t>
      </w:r>
    </w:p>
    <w:p w14:paraId="58185454"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867EC90" w14:textId="101B9FF7" w:rsidR="00FA2119" w:rsidRDefault="00FA2119" w:rsidP="00FA2119">
      <w:pPr>
        <w:rPr>
          <w:rtl/>
        </w:rPr>
      </w:pPr>
      <w:r>
        <w:rPr>
          <w:rFonts w:cs="Arial" w:hint="cs"/>
          <w:rtl/>
        </w:rPr>
        <w:t>כתב</w:t>
      </w:r>
      <w:r>
        <w:rPr>
          <w:rFonts w:cs="Arial"/>
          <w:rtl/>
        </w:rPr>
        <w:t xml:space="preserve">: </w:t>
      </w:r>
      <w:r>
        <w:rPr>
          <w:rFonts w:cs="Arial" w:hint="cs"/>
          <w:rtl/>
        </w:rPr>
        <w:t>אני</w:t>
      </w:r>
      <w:r>
        <w:rPr>
          <w:rFonts w:cs="Arial"/>
          <w:rtl/>
        </w:rPr>
        <w:t xml:space="preserve"> </w:t>
      </w:r>
      <w:r>
        <w:rPr>
          <w:rFonts w:cs="Arial" w:hint="cs"/>
          <w:rtl/>
        </w:rPr>
        <w:t>פלוני</w:t>
      </w:r>
      <w:r>
        <w:rPr>
          <w:rFonts w:cs="Arial"/>
          <w:rtl/>
        </w:rPr>
        <w:t xml:space="preserve"> </w:t>
      </w:r>
      <w:r>
        <w:rPr>
          <w:rFonts w:cs="Arial" w:hint="cs"/>
          <w:rtl/>
        </w:rPr>
        <w:t>ופלוני</w:t>
      </w:r>
      <w:r>
        <w:rPr>
          <w:rFonts w:cs="Arial"/>
          <w:rtl/>
        </w:rPr>
        <w:t xml:space="preserve"> </w:t>
      </w:r>
      <w:r>
        <w:rPr>
          <w:rFonts w:cs="Arial" w:hint="cs"/>
          <w:rtl/>
        </w:rPr>
        <w:t>גירשנו</w:t>
      </w:r>
      <w:r>
        <w:rPr>
          <w:rFonts w:cs="Arial"/>
          <w:rtl/>
        </w:rPr>
        <w:t xml:space="preserve"> </w:t>
      </w:r>
      <w:r>
        <w:rPr>
          <w:rFonts w:cs="Arial" w:hint="cs"/>
          <w:rtl/>
        </w:rPr>
        <w:t>נשותינו</w:t>
      </w:r>
      <w:r>
        <w:rPr>
          <w:rFonts w:cs="Arial"/>
          <w:rtl/>
        </w:rPr>
        <w:t xml:space="preserve"> </w:t>
      </w:r>
      <w:r>
        <w:rPr>
          <w:rFonts w:cs="Arial" w:hint="cs"/>
          <w:rtl/>
        </w:rPr>
        <w:t>פלונית</w:t>
      </w:r>
      <w:r>
        <w:rPr>
          <w:rFonts w:cs="Arial"/>
          <w:rtl/>
        </w:rPr>
        <w:t xml:space="preserve"> </w:t>
      </w:r>
      <w:r>
        <w:rPr>
          <w:rFonts w:cs="Arial" w:hint="cs"/>
          <w:rtl/>
        </w:rPr>
        <w:t>ופלונית</w:t>
      </w:r>
      <w:r>
        <w:rPr>
          <w:rFonts w:cs="Arial"/>
          <w:rtl/>
        </w:rPr>
        <w:t xml:space="preserve">, </w:t>
      </w:r>
      <w:r>
        <w:rPr>
          <w:rFonts w:cs="Arial" w:hint="cs"/>
          <w:rtl/>
        </w:rPr>
        <w:t>והשלים</w:t>
      </w:r>
      <w:r>
        <w:rPr>
          <w:rFonts w:cs="Arial"/>
          <w:rtl/>
        </w:rPr>
        <w:t xml:space="preserve"> </w:t>
      </w:r>
      <w:r>
        <w:rPr>
          <w:rFonts w:cs="Arial" w:hint="cs"/>
          <w:rtl/>
        </w:rPr>
        <w:t>הגט</w:t>
      </w:r>
      <w:r>
        <w:rPr>
          <w:rFonts w:cs="Arial"/>
          <w:rtl/>
        </w:rPr>
        <w:t xml:space="preserve">, </w:t>
      </w:r>
      <w:r>
        <w:rPr>
          <w:rFonts w:cs="Arial" w:hint="cs"/>
          <w:rtl/>
        </w:rPr>
        <w:t>אף</w:t>
      </w:r>
      <w:r>
        <w:rPr>
          <w:rFonts w:cs="Arial"/>
          <w:rtl/>
        </w:rPr>
        <w:t xml:space="preserve"> </w:t>
      </w:r>
      <w:r>
        <w:rPr>
          <w:rFonts w:cs="Arial" w:hint="cs"/>
          <w:rtl/>
        </w:rPr>
        <w:t>על</w:t>
      </w:r>
      <w:r>
        <w:rPr>
          <w:rFonts w:cs="Arial"/>
          <w:rtl/>
        </w:rPr>
        <w:t xml:space="preserve"> </w:t>
      </w:r>
      <w:r>
        <w:rPr>
          <w:rFonts w:cs="Arial" w:hint="cs"/>
          <w:rtl/>
        </w:rPr>
        <w:t>פי</w:t>
      </w:r>
      <w:r>
        <w:rPr>
          <w:rFonts w:cs="Arial"/>
          <w:rtl/>
        </w:rPr>
        <w:t xml:space="preserve"> </w:t>
      </w:r>
      <w:r>
        <w:rPr>
          <w:rFonts w:cs="Arial" w:hint="cs"/>
          <w:rtl/>
        </w:rPr>
        <w:t>שנמסר</w:t>
      </w:r>
      <w:r>
        <w:rPr>
          <w:rFonts w:cs="Arial"/>
          <w:rtl/>
        </w:rPr>
        <w:t xml:space="preserve"> </w:t>
      </w:r>
      <w:r>
        <w:rPr>
          <w:rFonts w:cs="Arial" w:hint="cs"/>
          <w:rtl/>
        </w:rPr>
        <w:t>לכל</w:t>
      </w:r>
      <w:r>
        <w:rPr>
          <w:rFonts w:cs="Arial"/>
          <w:rtl/>
        </w:rPr>
        <w:t xml:space="preserve"> </w:t>
      </w:r>
      <w:r>
        <w:rPr>
          <w:rFonts w:cs="Arial" w:hint="cs"/>
          <w:rtl/>
        </w:rPr>
        <w:t>אחת</w:t>
      </w:r>
      <w:r>
        <w:rPr>
          <w:rFonts w:cs="Arial"/>
          <w:rtl/>
        </w:rPr>
        <w:t xml:space="preserve"> </w:t>
      </w:r>
      <w:r>
        <w:rPr>
          <w:rFonts w:cs="Arial" w:hint="cs"/>
          <w:rtl/>
        </w:rPr>
        <w:t>מהן</w:t>
      </w:r>
      <w:r>
        <w:rPr>
          <w:rFonts w:cs="Arial"/>
          <w:rtl/>
        </w:rPr>
        <w:t xml:space="preserve"> </w:t>
      </w:r>
      <w:r>
        <w:rPr>
          <w:rFonts w:cs="Arial" w:hint="cs"/>
          <w:rtl/>
        </w:rPr>
        <w:t>בעדי</w:t>
      </w:r>
      <w:r>
        <w:rPr>
          <w:rFonts w:cs="Arial"/>
          <w:rtl/>
        </w:rPr>
        <w:t xml:space="preserve"> </w:t>
      </w:r>
      <w:r>
        <w:rPr>
          <w:rFonts w:cs="Arial" w:hint="cs"/>
          <w:rtl/>
        </w:rPr>
        <w:t>מסירה</w:t>
      </w:r>
      <w:r>
        <w:rPr>
          <w:rFonts w:cs="Arial"/>
          <w:rtl/>
        </w:rPr>
        <w:t xml:space="preserve">, </w:t>
      </w:r>
      <w:r>
        <w:rPr>
          <w:rFonts w:cs="Arial" w:hint="cs"/>
          <w:rtl/>
        </w:rPr>
        <w:t>אינו</w:t>
      </w:r>
      <w:r>
        <w:rPr>
          <w:rFonts w:cs="Arial"/>
          <w:rtl/>
        </w:rPr>
        <w:t xml:space="preserve"> </w:t>
      </w:r>
      <w:r>
        <w:rPr>
          <w:rFonts w:cs="Arial" w:hint="cs"/>
          <w:rtl/>
        </w:rPr>
        <w:t>גט</w:t>
      </w:r>
      <w:r>
        <w:rPr>
          <w:rFonts w:cs="Arial"/>
          <w:rtl/>
        </w:rPr>
        <w:t xml:space="preserve">, </w:t>
      </w:r>
      <w:r>
        <w:rPr>
          <w:rFonts w:cs="Arial" w:hint="cs"/>
          <w:rtl/>
        </w:rPr>
        <w:t>שאין</w:t>
      </w:r>
      <w:r>
        <w:rPr>
          <w:rFonts w:cs="Arial"/>
          <w:rtl/>
        </w:rPr>
        <w:t xml:space="preserve"> </w:t>
      </w:r>
      <w:r>
        <w:rPr>
          <w:rFonts w:cs="Arial" w:hint="cs"/>
          <w:rtl/>
        </w:rPr>
        <w:t>שתי</w:t>
      </w:r>
      <w:r>
        <w:rPr>
          <w:rFonts w:cs="Arial"/>
          <w:rtl/>
        </w:rPr>
        <w:t xml:space="preserve"> </w:t>
      </w:r>
      <w:r>
        <w:rPr>
          <w:rFonts w:cs="Arial" w:hint="cs"/>
          <w:rtl/>
        </w:rPr>
        <w:t>נשים</w:t>
      </w:r>
      <w:r>
        <w:rPr>
          <w:rFonts w:cs="Arial"/>
          <w:rtl/>
        </w:rPr>
        <w:t xml:space="preserve"> </w:t>
      </w:r>
      <w:r>
        <w:rPr>
          <w:rFonts w:cs="Arial" w:hint="cs"/>
          <w:rtl/>
        </w:rPr>
        <w:t>מתגרשות</w:t>
      </w:r>
      <w:r>
        <w:rPr>
          <w:rFonts w:cs="Arial"/>
          <w:rtl/>
        </w:rPr>
        <w:t xml:space="preserve"> </w:t>
      </w:r>
      <w:r>
        <w:rPr>
          <w:rFonts w:cs="Arial" w:hint="cs"/>
          <w:rtl/>
        </w:rPr>
        <w:t>בגט</w:t>
      </w:r>
      <w:r>
        <w:rPr>
          <w:rFonts w:cs="Arial"/>
          <w:rtl/>
        </w:rPr>
        <w:t xml:space="preserve"> </w:t>
      </w:r>
      <w:r>
        <w:rPr>
          <w:rFonts w:cs="Arial" w:hint="cs"/>
          <w:rtl/>
        </w:rPr>
        <w:t>אחד</w:t>
      </w:r>
      <w:r>
        <w:rPr>
          <w:rFonts w:cs="Arial"/>
          <w:rtl/>
        </w:rPr>
        <w:t xml:space="preserve">, </w:t>
      </w:r>
      <w:r>
        <w:rPr>
          <w:rFonts w:cs="Arial" w:hint="cs"/>
          <w:rtl/>
        </w:rPr>
        <w:t>שנאמר</w:t>
      </w:r>
      <w:r>
        <w:rPr>
          <w:rFonts w:cs="Arial"/>
          <w:rtl/>
        </w:rPr>
        <w:t xml:space="preserve">: </w:t>
      </w:r>
      <w:r>
        <w:rPr>
          <w:rFonts w:cs="Arial" w:hint="cs"/>
          <w:rtl/>
        </w:rPr>
        <w:t>וכתב</w:t>
      </w:r>
      <w:r>
        <w:rPr>
          <w:rFonts w:cs="Arial"/>
          <w:rtl/>
        </w:rPr>
        <w:t xml:space="preserve"> </w:t>
      </w:r>
      <w:r>
        <w:rPr>
          <w:rFonts w:cs="Arial" w:hint="cs"/>
          <w:rtl/>
        </w:rPr>
        <w:t>לה</w:t>
      </w:r>
      <w:r>
        <w:rPr>
          <w:rFonts w:cs="Arial"/>
          <w:rtl/>
        </w:rPr>
        <w:t xml:space="preserve"> </w:t>
      </w:r>
      <w:r w:rsidRPr="00027D22">
        <w:rPr>
          <w:rFonts w:cs="Arial"/>
          <w:sz w:val="16"/>
          <w:szCs w:val="16"/>
          <w:rtl/>
        </w:rPr>
        <w:t>(</w:t>
      </w:r>
      <w:r w:rsidRPr="00027D22">
        <w:rPr>
          <w:rFonts w:cs="Arial" w:hint="cs"/>
          <w:sz w:val="16"/>
          <w:szCs w:val="16"/>
          <w:rtl/>
        </w:rPr>
        <w:t>דברים</w:t>
      </w:r>
      <w:r w:rsidRPr="00027D22">
        <w:rPr>
          <w:rFonts w:cs="Arial"/>
          <w:sz w:val="16"/>
          <w:szCs w:val="16"/>
          <w:rtl/>
        </w:rPr>
        <w:t xml:space="preserve"> </w:t>
      </w:r>
      <w:r w:rsidRPr="00027D22">
        <w:rPr>
          <w:rFonts w:cs="Arial" w:hint="cs"/>
          <w:sz w:val="16"/>
          <w:szCs w:val="16"/>
          <w:rtl/>
        </w:rPr>
        <w:t>כד</w:t>
      </w:r>
      <w:r w:rsidRPr="00027D22">
        <w:rPr>
          <w:rFonts w:cs="Arial"/>
          <w:sz w:val="16"/>
          <w:szCs w:val="16"/>
          <w:rtl/>
        </w:rPr>
        <w:t xml:space="preserve">, </w:t>
      </w:r>
      <w:r w:rsidRPr="00027D22">
        <w:rPr>
          <w:rFonts w:cs="Arial" w:hint="cs"/>
          <w:sz w:val="16"/>
          <w:szCs w:val="16"/>
          <w:rtl/>
        </w:rPr>
        <w:t>א</w:t>
      </w:r>
      <w:r w:rsidRPr="00027D22">
        <w:rPr>
          <w:rFonts w:cs="Arial"/>
          <w:sz w:val="16"/>
          <w:szCs w:val="16"/>
          <w:rtl/>
        </w:rPr>
        <w:t xml:space="preserve"> </w:t>
      </w:r>
      <w:r w:rsidRPr="00027D22">
        <w:rPr>
          <w:rFonts w:cs="Arial" w:hint="cs"/>
          <w:sz w:val="16"/>
          <w:szCs w:val="16"/>
          <w:rtl/>
        </w:rPr>
        <w:t>ו</w:t>
      </w:r>
      <w:r w:rsidR="00A82951">
        <w:rPr>
          <w:rFonts w:cs="Arial"/>
          <w:sz w:val="16"/>
          <w:szCs w:val="16"/>
          <w:rtl/>
        </w:rPr>
        <w:t>-</w:t>
      </w:r>
      <w:r w:rsidRPr="00027D22">
        <w:rPr>
          <w:rFonts w:cs="Arial" w:hint="cs"/>
          <w:sz w:val="16"/>
          <w:szCs w:val="16"/>
          <w:rtl/>
        </w:rPr>
        <w:t>ג</w:t>
      </w:r>
      <w:r w:rsidRPr="00027D22">
        <w:rPr>
          <w:rFonts w:cs="Arial"/>
          <w:sz w:val="16"/>
          <w:szCs w:val="16"/>
          <w:rtl/>
        </w:rPr>
        <w:t xml:space="preserve">) </w:t>
      </w:r>
      <w:r>
        <w:rPr>
          <w:rFonts w:cs="Arial" w:hint="cs"/>
          <w:rtl/>
        </w:rPr>
        <w:t>ולא</w:t>
      </w:r>
      <w:r>
        <w:rPr>
          <w:rFonts w:cs="Arial"/>
          <w:rtl/>
        </w:rPr>
        <w:t xml:space="preserve"> </w:t>
      </w:r>
      <w:r>
        <w:rPr>
          <w:rFonts w:cs="Arial" w:hint="cs"/>
          <w:rtl/>
        </w:rPr>
        <w:t>לה</w:t>
      </w:r>
      <w:r>
        <w:rPr>
          <w:rFonts w:cs="Arial"/>
          <w:rtl/>
        </w:rPr>
        <w:t xml:space="preserve"> </w:t>
      </w:r>
      <w:r>
        <w:rPr>
          <w:rFonts w:cs="Arial" w:hint="cs"/>
          <w:rtl/>
        </w:rPr>
        <w:t>ולחברתה</w:t>
      </w:r>
      <w:r>
        <w:rPr>
          <w:rFonts w:cs="Arial"/>
          <w:rtl/>
        </w:rPr>
        <w:t xml:space="preserve">. </w:t>
      </w:r>
      <w:r>
        <w:rPr>
          <w:rFonts w:cs="Arial" w:hint="cs"/>
          <w:rtl/>
        </w:rPr>
        <w:t>חזר</w:t>
      </w:r>
      <w:r>
        <w:rPr>
          <w:rFonts w:cs="Arial"/>
          <w:rtl/>
        </w:rPr>
        <w:t xml:space="preserve"> </w:t>
      </w:r>
      <w:r>
        <w:rPr>
          <w:rFonts w:cs="Arial" w:hint="cs"/>
          <w:rtl/>
        </w:rPr>
        <w:t>ופרטן</w:t>
      </w:r>
      <w:r>
        <w:rPr>
          <w:rFonts w:cs="Arial"/>
          <w:rtl/>
        </w:rPr>
        <w:t xml:space="preserve"> </w:t>
      </w:r>
      <w:r>
        <w:rPr>
          <w:rFonts w:cs="Arial" w:hint="cs"/>
          <w:rtl/>
        </w:rPr>
        <w:t>בתוך</w:t>
      </w:r>
      <w:r>
        <w:rPr>
          <w:rFonts w:cs="Arial"/>
          <w:rtl/>
        </w:rPr>
        <w:t xml:space="preserve"> </w:t>
      </w:r>
      <w:r>
        <w:rPr>
          <w:rFonts w:cs="Arial" w:hint="cs"/>
          <w:rtl/>
        </w:rPr>
        <w:t>הגט</w:t>
      </w:r>
      <w:r>
        <w:rPr>
          <w:rFonts w:cs="Arial"/>
          <w:rtl/>
        </w:rPr>
        <w:t xml:space="preserve">, </w:t>
      </w:r>
      <w:r>
        <w:rPr>
          <w:rFonts w:cs="Arial" w:hint="cs"/>
          <w:rtl/>
        </w:rPr>
        <w:t>וכתב</w:t>
      </w:r>
      <w:r>
        <w:rPr>
          <w:rFonts w:cs="Arial"/>
          <w:rtl/>
        </w:rPr>
        <w:t xml:space="preserve">: </w:t>
      </w:r>
      <w:r>
        <w:rPr>
          <w:rFonts w:cs="Arial" w:hint="cs"/>
          <w:rtl/>
        </w:rPr>
        <w:t>פלוני</w:t>
      </w:r>
      <w:r>
        <w:rPr>
          <w:rFonts w:cs="Arial"/>
          <w:rtl/>
        </w:rPr>
        <w:t xml:space="preserve"> </w:t>
      </w:r>
      <w:r>
        <w:rPr>
          <w:rFonts w:cs="Arial" w:hint="cs"/>
          <w:rtl/>
        </w:rPr>
        <w:t>גירש</w:t>
      </w:r>
      <w:r>
        <w:rPr>
          <w:rFonts w:cs="Arial"/>
          <w:rtl/>
        </w:rPr>
        <w:t xml:space="preserve"> </w:t>
      </w:r>
      <w:r>
        <w:rPr>
          <w:rFonts w:cs="Arial" w:hint="cs"/>
          <w:rtl/>
        </w:rPr>
        <w:t>פלונית</w:t>
      </w:r>
      <w:r>
        <w:rPr>
          <w:rFonts w:cs="Arial"/>
          <w:rtl/>
        </w:rPr>
        <w:t xml:space="preserve"> </w:t>
      </w:r>
      <w:r>
        <w:rPr>
          <w:rFonts w:cs="Arial" w:hint="cs"/>
          <w:rtl/>
        </w:rPr>
        <w:t>ופלוני</w:t>
      </w:r>
      <w:r>
        <w:rPr>
          <w:rFonts w:cs="Arial"/>
          <w:rtl/>
        </w:rPr>
        <w:t xml:space="preserve"> </w:t>
      </w:r>
      <w:r>
        <w:rPr>
          <w:rFonts w:cs="Arial" w:hint="cs"/>
          <w:rtl/>
        </w:rPr>
        <w:t>גירש</w:t>
      </w:r>
      <w:r>
        <w:rPr>
          <w:rFonts w:cs="Arial"/>
          <w:rtl/>
        </w:rPr>
        <w:t xml:space="preserve"> </w:t>
      </w:r>
      <w:r>
        <w:rPr>
          <w:rFonts w:cs="Arial" w:hint="cs"/>
          <w:rtl/>
        </w:rPr>
        <w:t>פלונית</w:t>
      </w:r>
      <w:r>
        <w:rPr>
          <w:rFonts w:cs="Arial"/>
          <w:rtl/>
        </w:rPr>
        <w:t xml:space="preserve"> </w:t>
      </w:r>
      <w:r>
        <w:rPr>
          <w:rFonts w:cs="Arial" w:hint="cs"/>
          <w:rtl/>
        </w:rPr>
        <w:t>בזמן</w:t>
      </w:r>
      <w:r>
        <w:rPr>
          <w:rFonts w:cs="Arial"/>
          <w:rtl/>
        </w:rPr>
        <w:t xml:space="preserve"> </w:t>
      </w:r>
      <w:r>
        <w:rPr>
          <w:rFonts w:cs="Arial" w:hint="cs"/>
          <w:rtl/>
        </w:rPr>
        <w:t>הזה</w:t>
      </w:r>
      <w:r>
        <w:rPr>
          <w:rFonts w:cs="Arial"/>
          <w:rtl/>
        </w:rPr>
        <w:t xml:space="preserve">, </w:t>
      </w:r>
      <w:r>
        <w:rPr>
          <w:rFonts w:cs="Arial" w:hint="cs"/>
          <w:rtl/>
        </w:rPr>
        <w:t>הרי</w:t>
      </w:r>
      <w:r>
        <w:rPr>
          <w:rFonts w:cs="Arial"/>
          <w:rtl/>
        </w:rPr>
        <w:t xml:space="preserve"> </w:t>
      </w:r>
      <w:r>
        <w:rPr>
          <w:rFonts w:cs="Arial" w:hint="cs"/>
          <w:rtl/>
        </w:rPr>
        <w:t>אלו</w:t>
      </w:r>
      <w:r>
        <w:rPr>
          <w:rFonts w:cs="Arial"/>
          <w:rtl/>
        </w:rPr>
        <w:t xml:space="preserve"> </w:t>
      </w:r>
      <w:r>
        <w:rPr>
          <w:rFonts w:cs="Arial" w:hint="cs"/>
          <w:rtl/>
        </w:rPr>
        <w:t>כשרים</w:t>
      </w:r>
      <w:r>
        <w:rPr>
          <w:rFonts w:cs="Arial"/>
          <w:rtl/>
        </w:rPr>
        <w:t xml:space="preserve">. </w:t>
      </w:r>
    </w:p>
    <w:p w14:paraId="05EB262F" w14:textId="77777777" w:rsidR="00FA2119" w:rsidRDefault="00FA2119" w:rsidP="00FA2119">
      <w:pPr>
        <w:rPr>
          <w:rtl/>
        </w:rPr>
      </w:pPr>
    </w:p>
    <w:p w14:paraId="292492B2" w14:textId="77777777" w:rsidR="00FA2119" w:rsidRDefault="00FA2119" w:rsidP="00FA2119">
      <w:pPr>
        <w:pStyle w:val="2"/>
        <w:rPr>
          <w:rtl/>
        </w:rPr>
      </w:pPr>
      <w:r>
        <w:rPr>
          <w:rFonts w:hint="cs"/>
          <w:rtl/>
        </w:rPr>
        <w:lastRenderedPageBreak/>
        <w:t>סעיף</w:t>
      </w:r>
      <w:r>
        <w:rPr>
          <w:rtl/>
        </w:rPr>
        <w:t xml:space="preserve"> </w:t>
      </w:r>
      <w:r>
        <w:rPr>
          <w:rFonts w:hint="cs"/>
          <w:rtl/>
        </w:rPr>
        <w:t>יא: כתיבת שם העד.</w:t>
      </w:r>
    </w:p>
    <w:p w14:paraId="7B1C8449" w14:textId="5DF54EC3" w:rsidR="00FA2119" w:rsidRDefault="00FA2119" w:rsidP="00FA2119">
      <w:pPr>
        <w:rPr>
          <w:rtl/>
        </w:rPr>
      </w:pPr>
      <w:r w:rsidRPr="009E0401">
        <w:rPr>
          <w:rFonts w:cs="Arial" w:hint="cs"/>
          <w:b/>
          <w:bCs/>
          <w:rtl/>
        </w:rPr>
        <w:t>גיטין</w:t>
      </w:r>
      <w:r w:rsidRPr="009E0401">
        <w:rPr>
          <w:rFonts w:cs="Arial"/>
          <w:b/>
          <w:bCs/>
          <w:rtl/>
        </w:rPr>
        <w:t xml:space="preserve"> </w:t>
      </w:r>
      <w:r w:rsidRPr="009E0401">
        <w:rPr>
          <w:rFonts w:cs="Arial"/>
          <w:b/>
          <w:bCs/>
          <w:szCs w:val="16"/>
          <w:rtl/>
        </w:rPr>
        <w:t xml:space="preserve">(פ' </w:t>
      </w:r>
      <w:r w:rsidRPr="009E0401">
        <w:rPr>
          <w:rFonts w:cs="Arial" w:hint="cs"/>
          <w:b/>
          <w:bCs/>
          <w:szCs w:val="16"/>
          <w:rtl/>
        </w:rPr>
        <w:t>השולח</w:t>
      </w:r>
      <w:r w:rsidRPr="009E0401">
        <w:rPr>
          <w:rFonts w:cs="Arial"/>
          <w:b/>
          <w:bCs/>
          <w:szCs w:val="16"/>
          <w:rtl/>
        </w:rPr>
        <w:t xml:space="preserve">) </w:t>
      </w:r>
      <w:r w:rsidRPr="009E0401">
        <w:rPr>
          <w:rFonts w:cs="Arial" w:hint="cs"/>
          <w:b/>
          <w:bCs/>
          <w:rtl/>
        </w:rPr>
        <w:t>לד</w:t>
      </w:r>
      <w:r w:rsidRPr="009E0401">
        <w:rPr>
          <w:rFonts w:cs="Arial"/>
          <w:b/>
          <w:bCs/>
          <w:rtl/>
        </w:rPr>
        <w:t xml:space="preserve"> ע"</w:t>
      </w:r>
      <w:r w:rsidRPr="009E0401">
        <w:rPr>
          <w:rFonts w:cs="Arial" w:hint="cs"/>
          <w:b/>
          <w:bCs/>
          <w:rtl/>
        </w:rPr>
        <w:t>ב</w:t>
      </w:r>
      <w:r w:rsidRPr="009E0401">
        <w:rPr>
          <w:rFonts w:cs="Arial"/>
          <w:b/>
          <w:bCs/>
          <w:rtl/>
        </w:rPr>
        <w:t>:</w:t>
      </w:r>
      <w:r w:rsidRPr="009E0401">
        <w:rPr>
          <w:rFonts w:cs="Arial" w:hint="cs"/>
          <w:b/>
          <w:bCs/>
          <w:rtl/>
        </w:rPr>
        <w:t xml:space="preserve"> </w:t>
      </w:r>
      <w:r w:rsidRPr="009E0401">
        <w:rPr>
          <w:rFonts w:cs="Arial"/>
          <w:u w:val="double"/>
          <w:rtl/>
        </w:rPr>
        <w:t>מתני'</w:t>
      </w:r>
      <w:r w:rsidRPr="009E0401">
        <w:rPr>
          <w:rFonts w:cs="Arial" w:hint="cs"/>
          <w:rtl/>
        </w:rPr>
        <w:t>:</w:t>
      </w:r>
      <w:r>
        <w:rPr>
          <w:rFonts w:cs="Arial" w:hint="cs"/>
          <w:rtl/>
        </w:rPr>
        <w:t>...</w:t>
      </w:r>
      <w:r w:rsidRPr="009E0401">
        <w:rPr>
          <w:rFonts w:cs="Arial"/>
          <w:rtl/>
        </w:rPr>
        <w:t xml:space="preserve"> </w:t>
      </w:r>
      <w:r w:rsidRPr="00195A06">
        <w:rPr>
          <w:rFonts w:cs="Arial"/>
          <w:rtl/>
        </w:rPr>
        <w:t>העדים חותמין על הגט, מפני תיקון העולם</w:t>
      </w:r>
      <w:r>
        <w:rPr>
          <w:rStyle w:val="a7"/>
          <w:rFonts w:cs="Arial"/>
          <w:rtl/>
        </w:rPr>
        <w:footnoteReference w:id="1234"/>
      </w:r>
      <w:r w:rsidRPr="00195A06">
        <w:rPr>
          <w:rFonts w:cs="Arial"/>
          <w:rtl/>
        </w:rPr>
        <w:t>.</w:t>
      </w:r>
      <w:r>
        <w:rPr>
          <w:rFonts w:cs="Arial" w:hint="cs"/>
          <w:rtl/>
        </w:rPr>
        <w:t xml:space="preserve">..     </w:t>
      </w:r>
      <w:r w:rsidRPr="00195A06">
        <w:rPr>
          <w:rFonts w:cs="Arial" w:hint="cs"/>
          <w:u w:val="double"/>
          <w:rtl/>
        </w:rPr>
        <w:t>גמ'</w:t>
      </w:r>
      <w:r>
        <w:rPr>
          <w:rFonts w:cs="Arial" w:hint="cs"/>
          <w:sz w:val="14"/>
          <w:szCs w:val="14"/>
          <w:u w:val="double"/>
          <w:rtl/>
        </w:rPr>
        <w:t>(לו.)</w:t>
      </w:r>
      <w:r w:rsidRPr="00195A06">
        <w:rPr>
          <w:rFonts w:cs="Arial" w:hint="cs"/>
          <w:u w:val="double"/>
          <w:rtl/>
        </w:rPr>
        <w:t>:</w:t>
      </w:r>
      <w:r w:rsidRPr="00195A06">
        <w:rPr>
          <w:rFonts w:cs="Arial"/>
          <w:rtl/>
        </w:rPr>
        <w:t xml:space="preserve"> </w:t>
      </w:r>
      <w:r w:rsidRPr="009E0401">
        <w:rPr>
          <w:rFonts w:cs="Arial"/>
          <w:rtl/>
        </w:rPr>
        <w:t xml:space="preserve">והעדים חותמין על הגט, מפני תיקון העולם. מפני תיקון העולם? דאורייתא הוא, דכתיב: וכתוב בספר וחתום! </w:t>
      </w:r>
      <w:r w:rsidRPr="00195A06">
        <w:rPr>
          <w:rFonts w:cs="Arial"/>
          <w:u w:val="single"/>
          <w:rtl/>
        </w:rPr>
        <w:t>אמר רבה</w:t>
      </w:r>
      <w:r w:rsidRPr="009E0401">
        <w:rPr>
          <w:rFonts w:cs="Arial"/>
          <w:rtl/>
        </w:rPr>
        <w:t xml:space="preserve">: לא צריכא לרבי אלעזר, דאמר: עדי מסירה כרתי, תקינו רבנן עדי חתימה מפני תיקון העולם, דזמנין דמייתי סהדי, אי נמי זימנין דאזלי למדינת הים. </w:t>
      </w:r>
      <w:r w:rsidRPr="00195A06">
        <w:rPr>
          <w:rFonts w:cs="Arial"/>
          <w:u w:val="single"/>
          <w:rtl/>
        </w:rPr>
        <w:t>רב יוסף אמר</w:t>
      </w:r>
      <w:r w:rsidRPr="009E0401">
        <w:rPr>
          <w:rFonts w:cs="Arial"/>
          <w:rtl/>
        </w:rPr>
        <w:t>: אפי' תימא לר' מאיר, התקינו שיהא עדים מפרשין שמותיהן</w:t>
      </w:r>
      <w:r>
        <w:rPr>
          <w:rStyle w:val="a7"/>
          <w:rFonts w:cs="Arial"/>
          <w:rtl/>
        </w:rPr>
        <w:footnoteReference w:id="1235"/>
      </w:r>
      <w:r w:rsidRPr="009E0401">
        <w:rPr>
          <w:rFonts w:cs="Arial"/>
          <w:rtl/>
        </w:rPr>
        <w:t xml:space="preserve"> בגיטין, מפני תיקון העולם</w:t>
      </w:r>
      <w:r>
        <w:rPr>
          <w:rFonts w:cs="Arial" w:hint="cs"/>
          <w:rtl/>
        </w:rPr>
        <w:t>.</w:t>
      </w:r>
      <w:r w:rsidRPr="009E0401">
        <w:rPr>
          <w:rFonts w:cs="Arial"/>
          <w:rtl/>
        </w:rPr>
        <w:t xml:space="preserve"> כדתניא: בראשונה היה כותב אני פלוני חתמתי עד, אם כתב ידו יוצא ממקום אחר </w:t>
      </w:r>
      <w:r w:rsidR="00A82951">
        <w:rPr>
          <w:rFonts w:cs="Arial"/>
          <w:rtl/>
        </w:rPr>
        <w:t>-</w:t>
      </w:r>
      <w:r w:rsidRPr="009E0401">
        <w:rPr>
          <w:rFonts w:cs="Arial"/>
          <w:rtl/>
        </w:rPr>
        <w:t xml:space="preserve"> כשר</w:t>
      </w:r>
      <w:r>
        <w:rPr>
          <w:rStyle w:val="a7"/>
          <w:rFonts w:cs="Arial"/>
          <w:rtl/>
        </w:rPr>
        <w:footnoteReference w:id="1236"/>
      </w:r>
      <w:r w:rsidRPr="009E0401">
        <w:rPr>
          <w:rFonts w:cs="Arial"/>
          <w:rtl/>
        </w:rPr>
        <w:t xml:space="preserve">, ואם לאו </w:t>
      </w:r>
      <w:r w:rsidR="00A82951">
        <w:rPr>
          <w:rFonts w:cs="Arial"/>
          <w:rtl/>
        </w:rPr>
        <w:t>-</w:t>
      </w:r>
      <w:r w:rsidRPr="009E0401">
        <w:rPr>
          <w:rFonts w:cs="Arial"/>
          <w:rtl/>
        </w:rPr>
        <w:t xml:space="preserve"> פסול, אמר רבן גמליאל: תקנה גדולה התקינו, שיהיו מפרשין שמותיהן בגיטין, מפני תיקון העולם</w:t>
      </w:r>
      <w:r>
        <w:rPr>
          <w:rStyle w:val="a7"/>
          <w:rFonts w:cs="Arial"/>
          <w:rtl/>
        </w:rPr>
        <w:footnoteReference w:id="1237"/>
      </w:r>
      <w:r w:rsidRPr="009E0401">
        <w:rPr>
          <w:rFonts w:cs="Arial"/>
          <w:rtl/>
        </w:rPr>
        <w:t xml:space="preserve">. </w:t>
      </w:r>
    </w:p>
    <w:p w14:paraId="100BEB9E" w14:textId="0E1CCDB6" w:rsidR="00FA2119" w:rsidRPr="00195A06" w:rsidRDefault="00FA2119" w:rsidP="00FA2119">
      <w:pPr>
        <w:rPr>
          <w:rFonts w:cs="Arial"/>
          <w:rtl/>
        </w:rPr>
      </w:pPr>
      <w:r>
        <w:rPr>
          <w:rFonts w:cs="Arial" w:hint="cs"/>
          <w:b/>
          <w:bCs/>
          <w:rtl/>
        </w:rPr>
        <w:t>גיטין</w:t>
      </w:r>
      <w:r>
        <w:rPr>
          <w:rFonts w:cs="Arial"/>
          <w:b/>
          <w:bCs/>
          <w:rtl/>
        </w:rPr>
        <w:t xml:space="preserve"> </w:t>
      </w:r>
      <w:r>
        <w:rPr>
          <w:rFonts w:cs="Arial"/>
          <w:b/>
          <w:bCs/>
          <w:szCs w:val="16"/>
          <w:rtl/>
        </w:rPr>
        <w:t>(פ'</w:t>
      </w:r>
      <w:r>
        <w:rPr>
          <w:rFonts w:cs="Arial" w:hint="cs"/>
          <w:b/>
          <w:bCs/>
          <w:szCs w:val="16"/>
          <w:rtl/>
        </w:rPr>
        <w:t xml:space="preserve"> המגרש</w:t>
      </w:r>
      <w:r>
        <w:rPr>
          <w:rFonts w:cs="Arial"/>
          <w:b/>
          <w:bCs/>
          <w:szCs w:val="16"/>
          <w:rtl/>
        </w:rPr>
        <w:t xml:space="preserve">) </w:t>
      </w:r>
      <w:r>
        <w:rPr>
          <w:rFonts w:cs="Arial" w:hint="cs"/>
          <w:b/>
          <w:bCs/>
          <w:rtl/>
        </w:rPr>
        <w:t>פז</w:t>
      </w:r>
      <w:r>
        <w:rPr>
          <w:rFonts w:cs="Arial"/>
          <w:b/>
          <w:bCs/>
          <w:rtl/>
        </w:rPr>
        <w:t xml:space="preserve"> ע"</w:t>
      </w:r>
      <w:r>
        <w:rPr>
          <w:rFonts w:cs="Arial" w:hint="cs"/>
          <w:b/>
          <w:bCs/>
          <w:rtl/>
        </w:rPr>
        <w:t>ב</w:t>
      </w:r>
      <w:r>
        <w:rPr>
          <w:rFonts w:cs="Arial"/>
          <w:b/>
          <w:bCs/>
          <w:rtl/>
        </w:rPr>
        <w:t>:</w:t>
      </w:r>
      <w:r>
        <w:rPr>
          <w:rFonts w:cs="Arial" w:hint="cs"/>
          <w:b/>
          <w:bCs/>
          <w:rtl/>
        </w:rPr>
        <w:t xml:space="preserve"> </w:t>
      </w:r>
      <w:r w:rsidRPr="001C6A45">
        <w:rPr>
          <w:rFonts w:cs="Arial" w:hint="cs"/>
          <w:u w:val="double"/>
          <w:rtl/>
        </w:rPr>
        <w:t>מתני'</w:t>
      </w:r>
      <w:r>
        <w:rPr>
          <w:rFonts w:cs="Arial" w:hint="cs"/>
          <w:rtl/>
        </w:rPr>
        <w:t>:</w:t>
      </w:r>
      <w:r>
        <w:rPr>
          <w:rFonts w:hint="cs"/>
          <w:rtl/>
        </w:rPr>
        <w:t>...</w:t>
      </w:r>
      <w:r w:rsidRPr="00195A06">
        <w:rPr>
          <w:rtl/>
        </w:rPr>
        <w:t xml:space="preserve"> </w:t>
      </w:r>
      <w:r w:rsidRPr="00195A06">
        <w:rPr>
          <w:rFonts w:cs="Arial"/>
          <w:rtl/>
        </w:rPr>
        <w:t xml:space="preserve">איש פלוני עד </w:t>
      </w:r>
      <w:r w:rsidR="00A82951">
        <w:rPr>
          <w:rFonts w:cs="Arial"/>
          <w:rtl/>
        </w:rPr>
        <w:t>-</w:t>
      </w:r>
      <w:r w:rsidRPr="00195A06">
        <w:rPr>
          <w:rFonts w:cs="Arial"/>
          <w:rtl/>
        </w:rPr>
        <w:t xml:space="preserve"> כשר</w:t>
      </w:r>
      <w:r>
        <w:rPr>
          <w:rFonts w:cs="Arial" w:hint="cs"/>
          <w:rtl/>
        </w:rPr>
        <w:t>.</w:t>
      </w:r>
      <w:r w:rsidRPr="00195A06">
        <w:rPr>
          <w:rFonts w:cs="Arial"/>
          <w:rtl/>
        </w:rPr>
        <w:t xml:space="preserve"> בן איש פלוני עד </w:t>
      </w:r>
      <w:r w:rsidR="00A82951">
        <w:rPr>
          <w:rFonts w:cs="Arial"/>
          <w:rtl/>
        </w:rPr>
        <w:t>-</w:t>
      </w:r>
      <w:r w:rsidRPr="00195A06">
        <w:rPr>
          <w:rFonts w:cs="Arial"/>
          <w:rtl/>
        </w:rPr>
        <w:t xml:space="preserve"> כשר</w:t>
      </w:r>
      <w:r>
        <w:rPr>
          <w:rFonts w:cs="Arial" w:hint="cs"/>
          <w:rtl/>
        </w:rPr>
        <w:t>.</w:t>
      </w:r>
      <w:r w:rsidRPr="00195A06">
        <w:rPr>
          <w:rFonts w:cs="Arial"/>
          <w:rtl/>
        </w:rPr>
        <w:t xml:space="preserve"> איש פלוני בן איש פלוני ולא כתב עד </w:t>
      </w:r>
      <w:r w:rsidR="00A82951">
        <w:rPr>
          <w:rFonts w:cs="Arial"/>
          <w:rtl/>
        </w:rPr>
        <w:t>-</w:t>
      </w:r>
      <w:r w:rsidRPr="00195A06">
        <w:rPr>
          <w:rFonts w:cs="Arial"/>
          <w:rtl/>
        </w:rPr>
        <w:t xml:space="preserve"> כשר</w:t>
      </w:r>
      <w:r w:rsidR="00AE1BEA">
        <w:rPr>
          <w:rFonts w:cs="Arial" w:hint="cs"/>
          <w:rtl/>
        </w:rPr>
        <w:t>,</w:t>
      </w:r>
      <w:r w:rsidRPr="002D28E9">
        <w:rPr>
          <w:rFonts w:cs="Arial"/>
          <w:rtl/>
        </w:rPr>
        <w:t xml:space="preserve"> </w:t>
      </w:r>
      <w:r>
        <w:rPr>
          <w:rStyle w:val="a7"/>
          <w:rFonts w:cs="Arial"/>
          <w:rtl/>
        </w:rPr>
        <w:footnoteReference w:id="1238"/>
      </w:r>
      <w:r>
        <w:rPr>
          <w:rFonts w:cs="Arial" w:hint="cs"/>
          <w:rtl/>
        </w:rPr>
        <w:t>[</w:t>
      </w:r>
      <w:r w:rsidRPr="00924B9D">
        <w:rPr>
          <w:rFonts w:cs="Arial"/>
          <w:rtl/>
        </w:rPr>
        <w:t>וכך היו נקיי הדעת שבירושלים עושין</w:t>
      </w:r>
      <w:r>
        <w:rPr>
          <w:rFonts w:cs="Arial" w:hint="cs"/>
          <w:rtl/>
        </w:rPr>
        <w:t>]..</w:t>
      </w:r>
      <w:r>
        <w:rPr>
          <w:rFonts w:cs="Arial"/>
          <w:rtl/>
        </w:rPr>
        <w:t>.</w:t>
      </w:r>
    </w:p>
    <w:p w14:paraId="345AD30F" w14:textId="74A08520" w:rsidR="00FA2119" w:rsidRPr="00723EA5" w:rsidRDefault="00FA2119" w:rsidP="00FA2119">
      <w:pPr>
        <w:rPr>
          <w:rFonts w:cs="Arial"/>
          <w:rtl/>
        </w:rPr>
      </w:pPr>
      <w:r>
        <w:rPr>
          <w:rFonts w:cs="Arial" w:hint="cs"/>
          <w:b/>
          <w:bCs/>
          <w:rtl/>
        </w:rPr>
        <w:t>גיטין</w:t>
      </w:r>
      <w:r>
        <w:rPr>
          <w:rFonts w:cs="Arial"/>
          <w:b/>
          <w:bCs/>
          <w:rtl/>
        </w:rPr>
        <w:t xml:space="preserve"> </w:t>
      </w:r>
      <w:r>
        <w:rPr>
          <w:rFonts w:cs="Arial"/>
          <w:b/>
          <w:bCs/>
          <w:szCs w:val="16"/>
          <w:rtl/>
        </w:rPr>
        <w:t>(פ'</w:t>
      </w:r>
      <w:r>
        <w:rPr>
          <w:rFonts w:cs="Arial" w:hint="cs"/>
          <w:b/>
          <w:bCs/>
          <w:szCs w:val="16"/>
          <w:rtl/>
        </w:rPr>
        <w:t xml:space="preserve"> המגרש</w:t>
      </w:r>
      <w:r>
        <w:rPr>
          <w:rFonts w:cs="Arial"/>
          <w:b/>
          <w:bCs/>
          <w:szCs w:val="16"/>
          <w:rtl/>
        </w:rPr>
        <w:t xml:space="preserve">) </w:t>
      </w:r>
      <w:r>
        <w:rPr>
          <w:rFonts w:cs="Arial" w:hint="cs"/>
          <w:b/>
          <w:bCs/>
          <w:rtl/>
        </w:rPr>
        <w:t>פז</w:t>
      </w:r>
      <w:r>
        <w:rPr>
          <w:rFonts w:cs="Arial"/>
          <w:b/>
          <w:bCs/>
          <w:rtl/>
        </w:rPr>
        <w:t xml:space="preserve"> ע"</w:t>
      </w:r>
      <w:r>
        <w:rPr>
          <w:rFonts w:cs="Arial" w:hint="cs"/>
          <w:b/>
          <w:bCs/>
          <w:rtl/>
        </w:rPr>
        <w:t>ב</w:t>
      </w:r>
      <w:r>
        <w:rPr>
          <w:rFonts w:cs="Arial"/>
          <w:b/>
          <w:bCs/>
          <w:rtl/>
        </w:rPr>
        <w:t>:</w:t>
      </w:r>
      <w:r>
        <w:rPr>
          <w:rFonts w:cs="Arial" w:hint="cs"/>
          <w:b/>
          <w:bCs/>
          <w:rtl/>
        </w:rPr>
        <w:t xml:space="preserve"> </w:t>
      </w:r>
      <w:r w:rsidRPr="001C6A45">
        <w:rPr>
          <w:rFonts w:cs="Arial" w:hint="cs"/>
          <w:u w:val="double"/>
          <w:rtl/>
        </w:rPr>
        <w:t>מתני'</w:t>
      </w:r>
      <w:r>
        <w:rPr>
          <w:rFonts w:cs="Arial" w:hint="cs"/>
          <w:rtl/>
        </w:rPr>
        <w:t>:</w:t>
      </w:r>
      <w:r w:rsidRPr="000F5259">
        <w:rPr>
          <w:rtl/>
        </w:rPr>
        <w:t xml:space="preserve"> </w:t>
      </w:r>
      <w:r>
        <w:rPr>
          <w:rFonts w:cs="Arial"/>
          <w:rtl/>
        </w:rPr>
        <w:t>שני גיטין שכתבן זה בצד זה</w:t>
      </w:r>
      <w:r>
        <w:rPr>
          <w:rStyle w:val="a7"/>
          <w:rFonts w:cs="Arial"/>
          <w:rtl/>
        </w:rPr>
        <w:footnoteReference w:id="1239"/>
      </w:r>
      <w:r>
        <w:rPr>
          <w:rFonts w:cs="Arial" w:hint="cs"/>
          <w:rtl/>
        </w:rPr>
        <w:t>...</w:t>
      </w:r>
      <w:r>
        <w:rPr>
          <w:rFonts w:cs="Arial"/>
          <w:rtl/>
        </w:rPr>
        <w:t xml:space="preserve"> את שהעדים הראשונים נקראין עמו </w:t>
      </w:r>
      <w:r w:rsidR="00A82951">
        <w:rPr>
          <w:rFonts w:cs="Arial"/>
          <w:rtl/>
        </w:rPr>
        <w:t>-</w:t>
      </w:r>
      <w:r>
        <w:rPr>
          <w:rFonts w:cs="Arial"/>
          <w:rtl/>
        </w:rPr>
        <w:t xml:space="preserve"> כשר</w:t>
      </w:r>
      <w:r>
        <w:rPr>
          <w:rFonts w:cs="Arial" w:hint="cs"/>
          <w:rtl/>
        </w:rPr>
        <w:t>..</w:t>
      </w:r>
      <w:r>
        <w:rPr>
          <w:rFonts w:cs="Arial"/>
          <w:rtl/>
        </w:rPr>
        <w:t>.</w:t>
      </w:r>
      <w:r>
        <w:rPr>
          <w:rFonts w:cs="Arial" w:hint="cs"/>
          <w:rtl/>
        </w:rPr>
        <w:t xml:space="preserve">     </w:t>
      </w:r>
      <w:r>
        <w:rPr>
          <w:rFonts w:cs="Arial"/>
          <w:rtl/>
        </w:rPr>
        <w:t xml:space="preserve"> </w:t>
      </w:r>
      <w:r w:rsidRPr="00C40E95">
        <w:rPr>
          <w:rFonts w:cs="Arial"/>
          <w:u w:val="double"/>
          <w:rtl/>
        </w:rPr>
        <w:t>גמ'</w:t>
      </w:r>
      <w:r>
        <w:rPr>
          <w:rFonts w:cs="Arial" w:hint="cs"/>
          <w:rtl/>
        </w:rPr>
        <w:t>:...</w:t>
      </w:r>
      <w:r>
        <w:rPr>
          <w:rFonts w:cs="Arial"/>
          <w:rtl/>
        </w:rPr>
        <w:t xml:space="preserve"> וליתכשר האי בראובן בן, וליתכשר האי ביעקב עד, דהא תנן: איש פלוני עד </w:t>
      </w:r>
      <w:r w:rsidR="00A82951">
        <w:rPr>
          <w:rFonts w:cs="Arial"/>
          <w:rtl/>
        </w:rPr>
        <w:t>-</w:t>
      </w:r>
      <w:r>
        <w:rPr>
          <w:rFonts w:cs="Arial"/>
          <w:rtl/>
        </w:rPr>
        <w:t xml:space="preserve"> כשר! דלא כתב עד</w:t>
      </w:r>
      <w:r>
        <w:rPr>
          <w:rStyle w:val="a7"/>
          <w:rFonts w:cs="Arial"/>
          <w:rtl/>
        </w:rPr>
        <w:footnoteReference w:id="1240"/>
      </w:r>
      <w:r>
        <w:rPr>
          <w:rFonts w:cs="Arial"/>
          <w:rtl/>
        </w:rPr>
        <w:t>.</w:t>
      </w:r>
    </w:p>
    <w:p w14:paraId="1B5FA4F1" w14:textId="77777777" w:rsidR="00FA2119" w:rsidRPr="00195A06" w:rsidRDefault="00FA2119" w:rsidP="00FA2119">
      <w:pPr>
        <w:rPr>
          <w:u w:val="single"/>
          <w:rtl/>
        </w:rPr>
      </w:pPr>
      <w:r w:rsidRPr="00195A06">
        <w:rPr>
          <w:rFonts w:hint="cs"/>
          <w:u w:val="single"/>
          <w:rtl/>
        </w:rPr>
        <w:t>כתיבת שם העד:</w:t>
      </w:r>
    </w:p>
    <w:p w14:paraId="3F4777C2" w14:textId="45A56EDE" w:rsidR="00FA2119" w:rsidRPr="00D0151C" w:rsidRDefault="00FA2119" w:rsidP="00FA2119">
      <w:pPr>
        <w:pStyle w:val="ab"/>
        <w:numPr>
          <w:ilvl w:val="0"/>
          <w:numId w:val="80"/>
        </w:numPr>
      </w:pPr>
      <w:r>
        <w:rPr>
          <w:rFonts w:cs="Arial" w:hint="cs"/>
          <w:rtl/>
        </w:rPr>
        <w:t>טור</w:t>
      </w:r>
      <w:r w:rsidR="00A82951">
        <w:rPr>
          <w:rFonts w:cs="Arial" w:hint="cs"/>
          <w:rtl/>
        </w:rPr>
        <w:t>-</w:t>
      </w:r>
      <w:r>
        <w:rPr>
          <w:rFonts w:cs="Arial" w:hint="cs"/>
          <w:rtl/>
        </w:rPr>
        <w:t xml:space="preserve"> </w:t>
      </w:r>
      <w:r>
        <w:rPr>
          <w:rFonts w:cs="Arial"/>
          <w:rtl/>
        </w:rPr>
        <w:t xml:space="preserve">כשחותם העד צריך לפרש שמו ושם אביו כגון </w:t>
      </w:r>
      <w:r>
        <w:rPr>
          <w:rFonts w:cs="Arial" w:hint="cs"/>
          <w:rtl/>
        </w:rPr>
        <w:t>'</w:t>
      </w:r>
      <w:r>
        <w:rPr>
          <w:rFonts w:cs="Arial"/>
          <w:rtl/>
        </w:rPr>
        <w:t>יוסף בן יעקב עד</w:t>
      </w:r>
      <w:r>
        <w:rPr>
          <w:rFonts w:cs="Arial" w:hint="cs"/>
          <w:rtl/>
        </w:rPr>
        <w:t>'.</w:t>
      </w:r>
      <w:r>
        <w:rPr>
          <w:rFonts w:cs="Arial"/>
          <w:rtl/>
        </w:rPr>
        <w:t xml:space="preserve"> כתב </w:t>
      </w:r>
      <w:r>
        <w:rPr>
          <w:rFonts w:cs="Arial" w:hint="cs"/>
          <w:rtl/>
        </w:rPr>
        <w:t>'</w:t>
      </w:r>
      <w:r>
        <w:rPr>
          <w:rFonts w:cs="Arial"/>
          <w:rtl/>
        </w:rPr>
        <w:t>יוסף עד</w:t>
      </w:r>
      <w:r>
        <w:rPr>
          <w:rFonts w:cs="Arial" w:hint="cs"/>
          <w:rtl/>
        </w:rPr>
        <w:t>',</w:t>
      </w:r>
      <w:r>
        <w:rPr>
          <w:rFonts w:cs="Arial"/>
          <w:rtl/>
        </w:rPr>
        <w:t xml:space="preserve"> או </w:t>
      </w:r>
      <w:r>
        <w:rPr>
          <w:rFonts w:cs="Arial" w:hint="cs"/>
          <w:rtl/>
        </w:rPr>
        <w:t>'</w:t>
      </w:r>
      <w:r>
        <w:rPr>
          <w:rFonts w:cs="Arial"/>
          <w:rtl/>
        </w:rPr>
        <w:t>בן יעקב עד</w:t>
      </w:r>
      <w:r>
        <w:rPr>
          <w:rFonts w:cs="Arial" w:hint="cs"/>
          <w:rtl/>
        </w:rPr>
        <w:t>',</w:t>
      </w:r>
      <w:r>
        <w:rPr>
          <w:rFonts w:cs="Arial"/>
          <w:rtl/>
        </w:rPr>
        <w:t xml:space="preserve"> או </w:t>
      </w:r>
      <w:r>
        <w:rPr>
          <w:rFonts w:cs="Arial" w:hint="cs"/>
          <w:rtl/>
        </w:rPr>
        <w:t>'</w:t>
      </w:r>
      <w:r>
        <w:rPr>
          <w:rFonts w:cs="Arial"/>
          <w:rtl/>
        </w:rPr>
        <w:t>יוסף בן יעקב</w:t>
      </w:r>
      <w:r>
        <w:rPr>
          <w:rFonts w:cs="Arial" w:hint="cs"/>
          <w:rtl/>
        </w:rPr>
        <w:t>'</w:t>
      </w:r>
      <w:r>
        <w:rPr>
          <w:rFonts w:cs="Arial"/>
          <w:rtl/>
        </w:rPr>
        <w:t xml:space="preserve"> ולא כתב </w:t>
      </w:r>
      <w:r w:rsidR="00104A93">
        <w:rPr>
          <w:rFonts w:cs="Arial" w:hint="cs"/>
          <w:rtl/>
        </w:rPr>
        <w:t>'</w:t>
      </w:r>
      <w:r>
        <w:rPr>
          <w:rFonts w:cs="Arial"/>
          <w:rtl/>
        </w:rPr>
        <w:t>עד</w:t>
      </w:r>
      <w:r w:rsidR="00104A93">
        <w:rPr>
          <w:rFonts w:cs="Arial" w:hint="cs"/>
          <w:rtl/>
        </w:rPr>
        <w:t>'</w:t>
      </w:r>
      <w:r>
        <w:rPr>
          <w:rFonts w:cs="Arial"/>
          <w:rtl/>
        </w:rPr>
        <w:t xml:space="preserve"> </w:t>
      </w:r>
      <w:r w:rsidR="00A82951">
        <w:rPr>
          <w:rFonts w:cs="Arial" w:hint="cs"/>
          <w:rtl/>
        </w:rPr>
        <w:t>-</w:t>
      </w:r>
      <w:r>
        <w:rPr>
          <w:rFonts w:cs="Arial" w:hint="cs"/>
          <w:rtl/>
        </w:rPr>
        <w:t xml:space="preserve"> </w:t>
      </w:r>
      <w:r>
        <w:rPr>
          <w:rFonts w:cs="Arial"/>
          <w:rtl/>
        </w:rPr>
        <w:t>כשר</w:t>
      </w:r>
      <w:r>
        <w:rPr>
          <w:rFonts w:cs="Arial" w:hint="cs"/>
          <w:rtl/>
        </w:rPr>
        <w:t>.</w:t>
      </w:r>
      <w:r>
        <w:rPr>
          <w:rFonts w:cs="Arial"/>
          <w:rtl/>
        </w:rPr>
        <w:t xml:space="preserve"> אבל כתב </w:t>
      </w:r>
      <w:r>
        <w:rPr>
          <w:rFonts w:cs="Arial" w:hint="cs"/>
          <w:rtl/>
        </w:rPr>
        <w:t>'</w:t>
      </w:r>
      <w:r>
        <w:rPr>
          <w:rFonts w:cs="Arial"/>
          <w:rtl/>
        </w:rPr>
        <w:t>יוסף</w:t>
      </w:r>
      <w:r>
        <w:rPr>
          <w:rFonts w:cs="Arial" w:hint="cs"/>
          <w:rtl/>
        </w:rPr>
        <w:t>'</w:t>
      </w:r>
      <w:r>
        <w:rPr>
          <w:rFonts w:cs="Arial"/>
          <w:rtl/>
        </w:rPr>
        <w:t xml:space="preserve"> לבד ולא כתב </w:t>
      </w:r>
      <w:r>
        <w:rPr>
          <w:rFonts w:cs="Arial" w:hint="cs"/>
          <w:rtl/>
        </w:rPr>
        <w:t>'</w:t>
      </w:r>
      <w:r>
        <w:rPr>
          <w:rFonts w:cs="Arial"/>
          <w:rtl/>
        </w:rPr>
        <w:t>עד</w:t>
      </w:r>
      <w:r>
        <w:rPr>
          <w:rFonts w:cs="Arial" w:hint="cs"/>
          <w:rtl/>
        </w:rPr>
        <w:t xml:space="preserve">' </w:t>
      </w:r>
      <w:r w:rsidR="00A82951">
        <w:rPr>
          <w:rFonts w:cs="Arial" w:hint="cs"/>
          <w:rtl/>
        </w:rPr>
        <w:t>-</w:t>
      </w:r>
      <w:r>
        <w:rPr>
          <w:rFonts w:cs="Arial"/>
          <w:rtl/>
        </w:rPr>
        <w:t xml:space="preserve"> פסול</w:t>
      </w:r>
      <w:r>
        <w:rPr>
          <w:rStyle w:val="a7"/>
          <w:rFonts w:cs="Arial"/>
          <w:rtl/>
        </w:rPr>
        <w:footnoteReference w:id="1241"/>
      </w:r>
      <w:r>
        <w:rPr>
          <w:rFonts w:cs="Arial" w:hint="cs"/>
          <w:rtl/>
        </w:rPr>
        <w:t>.</w:t>
      </w:r>
      <w:r>
        <w:rPr>
          <w:rFonts w:cs="Arial"/>
          <w:rtl/>
        </w:rPr>
        <w:t xml:space="preserve"> ומיהו אם היו שני גיטין בשני דפין זה בצד זה</w:t>
      </w:r>
      <w:r>
        <w:rPr>
          <w:rFonts w:cs="Arial" w:hint="cs"/>
          <w:rtl/>
        </w:rPr>
        <w:t>,</w:t>
      </w:r>
      <w:r>
        <w:rPr>
          <w:rFonts w:cs="Arial"/>
          <w:rtl/>
        </w:rPr>
        <w:t xml:space="preserve"> וחתם באחד יוסף לבד</w:t>
      </w:r>
      <w:r>
        <w:rPr>
          <w:rFonts w:cs="Arial" w:hint="cs"/>
          <w:rtl/>
        </w:rPr>
        <w:t>,</w:t>
      </w:r>
      <w:r>
        <w:rPr>
          <w:rFonts w:cs="Arial"/>
          <w:rtl/>
        </w:rPr>
        <w:t xml:space="preserve"> וחתם בשני בן יעקב עד </w:t>
      </w:r>
      <w:r w:rsidR="00A82951">
        <w:rPr>
          <w:rFonts w:cs="Arial" w:hint="cs"/>
          <w:rtl/>
        </w:rPr>
        <w:t>-</w:t>
      </w:r>
      <w:r>
        <w:rPr>
          <w:rFonts w:cs="Arial" w:hint="cs"/>
          <w:rtl/>
        </w:rPr>
        <w:t xml:space="preserve"> </w:t>
      </w:r>
      <w:r>
        <w:rPr>
          <w:rFonts w:cs="Arial"/>
          <w:rtl/>
        </w:rPr>
        <w:t>שניהם כשרים</w:t>
      </w:r>
      <w:r>
        <w:rPr>
          <w:rFonts w:cs="Arial" w:hint="cs"/>
          <w:rtl/>
        </w:rPr>
        <w:t>,</w:t>
      </w:r>
      <w:r>
        <w:rPr>
          <w:rFonts w:cs="Arial"/>
          <w:rtl/>
        </w:rPr>
        <w:t xml:space="preserve"> שעד שכתב בשני הוא חוזר ג"כ על הראשון והוה ליה כאילו כתב יוסף עד</w:t>
      </w:r>
      <w:r>
        <w:rPr>
          <w:rFonts w:cs="Arial" w:hint="cs"/>
          <w:rtl/>
        </w:rPr>
        <w:t>.</w:t>
      </w:r>
      <w:r w:rsidRPr="00D0151C">
        <w:rPr>
          <w:rFonts w:cs="Arial"/>
          <w:rtl/>
        </w:rPr>
        <w:t xml:space="preserve"> </w:t>
      </w:r>
      <w:r w:rsidRPr="00506F05">
        <w:rPr>
          <w:rFonts w:hint="cs"/>
          <w:color w:val="E36C0A" w:themeColor="accent6" w:themeShade="BF"/>
          <w:rtl/>
        </w:rPr>
        <w:t>(וכ"פ בשו"ע</w:t>
      </w:r>
      <w:r>
        <w:rPr>
          <w:rFonts w:hint="cs"/>
          <w:color w:val="E36C0A" w:themeColor="accent6" w:themeShade="BF"/>
          <w:sz w:val="16"/>
          <w:szCs w:val="16"/>
          <w:rtl/>
        </w:rPr>
        <w:t xml:space="preserve"> </w:t>
      </w:r>
      <w:r w:rsidRPr="00C62B6E">
        <w:rPr>
          <w:rFonts w:hint="cs"/>
          <w:color w:val="000000" w:themeColor="text1"/>
          <w:sz w:val="16"/>
          <w:szCs w:val="16"/>
          <w:rtl/>
        </w:rPr>
        <w:t>[</w:t>
      </w:r>
      <w:r>
        <w:rPr>
          <w:rFonts w:hint="cs"/>
          <w:color w:val="000000" w:themeColor="text1"/>
          <w:sz w:val="16"/>
          <w:szCs w:val="16"/>
          <w:rtl/>
        </w:rPr>
        <w:t>כאן ובסע' הבא</w:t>
      </w:r>
      <w:r w:rsidRPr="00C62B6E">
        <w:rPr>
          <w:rFonts w:hint="cs"/>
          <w:color w:val="000000" w:themeColor="text1"/>
          <w:sz w:val="16"/>
          <w:szCs w:val="16"/>
          <w:rtl/>
        </w:rPr>
        <w:t>]</w:t>
      </w:r>
      <w:r w:rsidRPr="00506F05">
        <w:rPr>
          <w:rFonts w:hint="cs"/>
          <w:color w:val="E36C0A" w:themeColor="accent6" w:themeShade="BF"/>
          <w:rtl/>
        </w:rPr>
        <w:t>)</w:t>
      </w:r>
    </w:p>
    <w:p w14:paraId="33CA2EE2" w14:textId="77777777" w:rsidR="00FA2119" w:rsidRPr="00D0151C" w:rsidRDefault="00FA2119" w:rsidP="00FA2119">
      <w:pPr>
        <w:ind w:left="360"/>
        <w:rPr>
          <w:u w:val="dotted"/>
        </w:rPr>
      </w:pPr>
      <w:r w:rsidRPr="00D0151C">
        <w:rPr>
          <w:rFonts w:cs="Arial"/>
          <w:u w:val="dotted"/>
          <w:rtl/>
        </w:rPr>
        <w:t>ו</w:t>
      </w:r>
      <w:r w:rsidRPr="00D0151C">
        <w:rPr>
          <w:rFonts w:cs="Arial" w:hint="cs"/>
          <w:u w:val="dotted"/>
          <w:rtl/>
        </w:rPr>
        <w:t xml:space="preserve">מה הדין </w:t>
      </w:r>
      <w:r w:rsidRPr="00D0151C">
        <w:rPr>
          <w:rFonts w:cs="Arial"/>
          <w:u w:val="dotted"/>
          <w:rtl/>
        </w:rPr>
        <w:t>אם לא פירשו שמותם</w:t>
      </w:r>
      <w:r w:rsidRPr="00D0151C">
        <w:rPr>
          <w:rFonts w:cs="Arial" w:hint="cs"/>
          <w:u w:val="dotted"/>
          <w:rtl/>
        </w:rPr>
        <w:t>:</w:t>
      </w:r>
    </w:p>
    <w:p w14:paraId="6E757308" w14:textId="349F05E8" w:rsidR="00FA2119" w:rsidRDefault="00FA2119" w:rsidP="00FA2119">
      <w:pPr>
        <w:pStyle w:val="ab"/>
        <w:numPr>
          <w:ilvl w:val="0"/>
          <w:numId w:val="80"/>
        </w:numPr>
      </w:pPr>
      <w:r>
        <w:rPr>
          <w:rFonts w:cs="Arial"/>
          <w:rtl/>
        </w:rPr>
        <w:t>רשב"א</w:t>
      </w:r>
      <w:r w:rsidRPr="00D0151C">
        <w:rPr>
          <w:rFonts w:cs="Arial"/>
          <w:rtl/>
        </w:rPr>
        <w:t xml:space="preserve"> </w:t>
      </w:r>
      <w:r w:rsidRPr="00D0151C">
        <w:rPr>
          <w:rFonts w:cs="Arial"/>
          <w:sz w:val="16"/>
          <w:szCs w:val="16"/>
          <w:rtl/>
        </w:rPr>
        <w:t>(שם ד"ה רב יוסף)</w:t>
      </w:r>
      <w:r w:rsidR="00A82951">
        <w:rPr>
          <w:rFonts w:cs="Arial" w:hint="cs"/>
          <w:rtl/>
        </w:rPr>
        <w:t>-</w:t>
      </w:r>
      <w:r>
        <w:rPr>
          <w:rFonts w:cs="Arial" w:hint="cs"/>
          <w:rtl/>
        </w:rPr>
        <w:t xml:space="preserve"> </w:t>
      </w:r>
      <w:r>
        <w:rPr>
          <w:rFonts w:cs="Arial"/>
          <w:rtl/>
        </w:rPr>
        <w:t>אפשר אפילו לרבי מאיר דכשר</w:t>
      </w:r>
      <w:r>
        <w:rPr>
          <w:rStyle w:val="a7"/>
          <w:rFonts w:cs="Arial"/>
          <w:rtl/>
        </w:rPr>
        <w:footnoteReference w:id="1242"/>
      </w:r>
      <w:r>
        <w:rPr>
          <w:rFonts w:cs="Arial" w:hint="cs"/>
          <w:rtl/>
        </w:rPr>
        <w:t>...</w:t>
      </w:r>
      <w:r>
        <w:rPr>
          <w:rFonts w:cs="Arial"/>
          <w:rtl/>
        </w:rPr>
        <w:t xml:space="preserve"> </w:t>
      </w:r>
      <w:r>
        <w:rPr>
          <w:rFonts w:cs="Arial" w:hint="cs"/>
          <w:rtl/>
        </w:rPr>
        <w:t>ו</w:t>
      </w:r>
      <w:r>
        <w:rPr>
          <w:rFonts w:cs="Arial"/>
          <w:rtl/>
        </w:rPr>
        <w:t>לרבי אליעזר אפילו לכתחלה לא מיחייבי לפרש שמותיהם</w:t>
      </w:r>
      <w:r>
        <w:rPr>
          <w:rFonts w:cs="Arial" w:hint="cs"/>
          <w:rtl/>
        </w:rPr>
        <w:t>,</w:t>
      </w:r>
      <w:r>
        <w:rPr>
          <w:rFonts w:cs="Arial"/>
          <w:rtl/>
        </w:rPr>
        <w:t xml:space="preserve"> דלא גרע מכי לא חתמי סהדי כלל דאפילו לכתחלה מותר</w:t>
      </w:r>
      <w:r w:rsidR="00104A93">
        <w:rPr>
          <w:rFonts w:cs="Arial" w:hint="cs"/>
          <w:rtl/>
        </w:rPr>
        <w:t>.</w:t>
      </w:r>
      <w:r>
        <w:rPr>
          <w:rFonts w:cs="Arial"/>
          <w:rtl/>
        </w:rPr>
        <w:t xml:space="preserve"> וכרבי אליעזר קיימא לן</w:t>
      </w:r>
      <w:r>
        <w:rPr>
          <w:rFonts w:cs="Arial" w:hint="cs"/>
          <w:rtl/>
        </w:rPr>
        <w:t>.</w:t>
      </w:r>
    </w:p>
    <w:p w14:paraId="2ACAFF6E" w14:textId="77777777" w:rsidR="00FA2119" w:rsidRPr="001C0D6D" w:rsidRDefault="00FA2119" w:rsidP="00FA2119">
      <w:pPr>
        <w:ind w:left="360"/>
        <w:rPr>
          <w:sz w:val="16"/>
          <w:szCs w:val="16"/>
        </w:rPr>
      </w:pPr>
      <w:r w:rsidRPr="001C0D6D">
        <w:rPr>
          <w:rFonts w:hint="cs"/>
          <w:u w:val="dotted"/>
          <w:rtl/>
        </w:rPr>
        <w:t>ומה הדין אם טעה בשמו או בשם אביו:</w:t>
      </w:r>
      <w:r>
        <w:rPr>
          <w:rFonts w:hint="cs"/>
          <w:rtl/>
        </w:rPr>
        <w:t xml:space="preserve"> </w:t>
      </w:r>
      <w:r>
        <w:rPr>
          <w:rFonts w:hint="cs"/>
          <w:sz w:val="16"/>
          <w:szCs w:val="16"/>
          <w:rtl/>
        </w:rPr>
        <w:t>(דרכ"מ אות ט)</w:t>
      </w:r>
    </w:p>
    <w:p w14:paraId="48B5ECD0" w14:textId="354C5AD7" w:rsidR="00FA2119" w:rsidRDefault="00FA2119" w:rsidP="00FA2119">
      <w:pPr>
        <w:pStyle w:val="ab"/>
        <w:numPr>
          <w:ilvl w:val="0"/>
          <w:numId w:val="80"/>
        </w:numPr>
      </w:pPr>
      <w:r>
        <w:rPr>
          <w:rFonts w:cs="Arial" w:hint="cs"/>
          <w:rtl/>
        </w:rPr>
        <w:t>תרוה"ד</w:t>
      </w:r>
      <w:r w:rsidRPr="00A14BB0">
        <w:rPr>
          <w:rFonts w:cs="Arial"/>
          <w:rtl/>
        </w:rPr>
        <w:t xml:space="preserve"> </w:t>
      </w:r>
      <w:r w:rsidRPr="001C0D6D">
        <w:rPr>
          <w:rFonts w:cs="Arial" w:hint="cs"/>
          <w:sz w:val="16"/>
          <w:szCs w:val="16"/>
          <w:rtl/>
        </w:rPr>
        <w:t>(</w:t>
      </w:r>
      <w:r w:rsidRPr="001C0D6D">
        <w:rPr>
          <w:rFonts w:cs="Arial"/>
          <w:sz w:val="16"/>
          <w:szCs w:val="16"/>
          <w:rtl/>
        </w:rPr>
        <w:t>סי</w:t>
      </w:r>
      <w:r>
        <w:rPr>
          <w:rFonts w:cs="Arial" w:hint="cs"/>
          <w:sz w:val="16"/>
          <w:szCs w:val="16"/>
          <w:rtl/>
        </w:rPr>
        <w:t>'</w:t>
      </w:r>
      <w:r w:rsidRPr="001C0D6D">
        <w:rPr>
          <w:rFonts w:cs="Arial"/>
          <w:sz w:val="16"/>
          <w:szCs w:val="16"/>
          <w:rtl/>
        </w:rPr>
        <w:t xml:space="preserve"> רכח</w:t>
      </w:r>
      <w:r>
        <w:rPr>
          <w:rFonts w:cs="Arial" w:hint="cs"/>
          <w:sz w:val="16"/>
          <w:szCs w:val="16"/>
          <w:rtl/>
        </w:rPr>
        <w:t>)</w:t>
      </w:r>
      <w:r w:rsidR="00A82951">
        <w:rPr>
          <w:rFonts w:cs="Arial" w:hint="cs"/>
          <w:rtl/>
        </w:rPr>
        <w:t>-</w:t>
      </w:r>
      <w:r>
        <w:rPr>
          <w:rFonts w:cs="Arial" w:hint="cs"/>
          <w:rtl/>
        </w:rPr>
        <w:t xml:space="preserve"> </w:t>
      </w:r>
      <w:r w:rsidRPr="00A14BB0">
        <w:rPr>
          <w:rFonts w:cs="Arial"/>
          <w:rtl/>
        </w:rPr>
        <w:t xml:space="preserve">מאחר דאין צריך לכתוב רק </w:t>
      </w:r>
      <w:r w:rsidR="00104A93">
        <w:rPr>
          <w:rFonts w:cs="Arial" w:hint="cs"/>
          <w:rtl/>
        </w:rPr>
        <w:t>'</w:t>
      </w:r>
      <w:r w:rsidRPr="00A14BB0">
        <w:rPr>
          <w:rFonts w:cs="Arial"/>
          <w:rtl/>
        </w:rPr>
        <w:t>יוסף עד</w:t>
      </w:r>
      <w:r w:rsidR="00104A93">
        <w:rPr>
          <w:rFonts w:cs="Arial" w:hint="cs"/>
          <w:rtl/>
        </w:rPr>
        <w:t>',</w:t>
      </w:r>
      <w:r w:rsidRPr="00A14BB0">
        <w:rPr>
          <w:rFonts w:cs="Arial"/>
          <w:rtl/>
        </w:rPr>
        <w:t xml:space="preserve"> ואין צריך לכתוב </w:t>
      </w:r>
      <w:r w:rsidR="00104A93">
        <w:rPr>
          <w:rFonts w:cs="Arial" w:hint="cs"/>
          <w:rtl/>
        </w:rPr>
        <w:t>'</w:t>
      </w:r>
      <w:r w:rsidRPr="00A14BB0">
        <w:rPr>
          <w:rFonts w:cs="Arial"/>
          <w:rtl/>
        </w:rPr>
        <w:t>בן יעקב</w:t>
      </w:r>
      <w:r w:rsidR="00104A93">
        <w:rPr>
          <w:rFonts w:cs="Arial" w:hint="cs"/>
          <w:rtl/>
        </w:rPr>
        <w:t>',</w:t>
      </w:r>
      <w:r w:rsidRPr="00A14BB0">
        <w:rPr>
          <w:rFonts w:cs="Arial"/>
          <w:rtl/>
        </w:rPr>
        <w:t xml:space="preserve"> א"כ אין חסרון וטעות פוסל בו</w:t>
      </w:r>
      <w:r>
        <w:rPr>
          <w:rFonts w:cs="Arial" w:hint="cs"/>
          <w:rtl/>
        </w:rPr>
        <w:t>,</w:t>
      </w:r>
      <w:r w:rsidRPr="00A14BB0">
        <w:rPr>
          <w:rFonts w:cs="Arial"/>
          <w:rtl/>
        </w:rPr>
        <w:t xml:space="preserve"> דהוי כשינה בדבר שאין צריך לכתוב בגט דאינו פוסל</w:t>
      </w:r>
      <w:r>
        <w:rPr>
          <w:rStyle w:val="a7"/>
          <w:rFonts w:cs="Arial"/>
          <w:rtl/>
        </w:rPr>
        <w:footnoteReference w:id="1243"/>
      </w:r>
      <w:r>
        <w:rPr>
          <w:rFonts w:hint="cs"/>
          <w:rtl/>
        </w:rPr>
        <w:t>.</w:t>
      </w:r>
      <w:r>
        <w:rPr>
          <w:rFonts w:hint="cs"/>
          <w:color w:val="00B0F0"/>
          <w:rtl/>
        </w:rPr>
        <w:t xml:space="preserve"> </w:t>
      </w:r>
      <w:r w:rsidRPr="0083310D">
        <w:rPr>
          <w:rFonts w:hint="cs"/>
          <w:color w:val="00B0F0"/>
          <w:rtl/>
        </w:rPr>
        <w:t>(וכ"פ הרמ"א)</w:t>
      </w:r>
    </w:p>
    <w:p w14:paraId="064AB6D7" w14:textId="77777777" w:rsidR="00FA2119" w:rsidRPr="002D28E9" w:rsidRDefault="00FA2119" w:rsidP="00FA2119">
      <w:pPr>
        <w:rPr>
          <w:u w:val="single"/>
        </w:rPr>
      </w:pPr>
      <w:r w:rsidRPr="002D28E9">
        <w:rPr>
          <w:rFonts w:hint="cs"/>
          <w:u w:val="single"/>
          <w:rtl/>
        </w:rPr>
        <w:t>עדים שחתמו את שמם ושם אבותם בלי 'עד':</w:t>
      </w:r>
    </w:p>
    <w:p w14:paraId="7B551052" w14:textId="52168B24" w:rsidR="00FA2119" w:rsidRDefault="00FA2119" w:rsidP="00FA2119">
      <w:pPr>
        <w:pStyle w:val="ab"/>
        <w:numPr>
          <w:ilvl w:val="0"/>
          <w:numId w:val="80"/>
        </w:numPr>
        <w:rPr>
          <w:rtl/>
        </w:rPr>
      </w:pPr>
      <w:r w:rsidRPr="00D0151C">
        <w:rPr>
          <w:rFonts w:cs="Arial" w:hint="cs"/>
          <w:rtl/>
        </w:rPr>
        <w:t xml:space="preserve">ריב"ש </w:t>
      </w:r>
      <w:r w:rsidRPr="00D0151C">
        <w:rPr>
          <w:rFonts w:cs="Arial" w:hint="cs"/>
          <w:sz w:val="16"/>
          <w:szCs w:val="16"/>
          <w:rtl/>
        </w:rPr>
        <w:t>(סי' נו)</w:t>
      </w:r>
      <w:r w:rsidR="00A82951">
        <w:rPr>
          <w:rFonts w:cs="Arial" w:hint="cs"/>
          <w:rtl/>
        </w:rPr>
        <w:t>-</w:t>
      </w:r>
      <w:r w:rsidRPr="00D0151C">
        <w:rPr>
          <w:rFonts w:cs="Arial"/>
          <w:rtl/>
        </w:rPr>
        <w:t xml:space="preserve"> מה שלא כתבו העדים בחתימתן </w:t>
      </w:r>
      <w:r w:rsidR="005A20BA">
        <w:rPr>
          <w:rFonts w:cs="Arial" w:hint="cs"/>
          <w:rtl/>
        </w:rPr>
        <w:t>'</w:t>
      </w:r>
      <w:r w:rsidRPr="00D0151C">
        <w:rPr>
          <w:rFonts w:cs="Arial"/>
          <w:rtl/>
        </w:rPr>
        <w:t>עד</w:t>
      </w:r>
      <w:r w:rsidR="005A20BA">
        <w:rPr>
          <w:rFonts w:cs="Arial" w:hint="cs"/>
          <w:rtl/>
        </w:rPr>
        <w:t>',</w:t>
      </w:r>
      <w:r w:rsidRPr="00D0151C">
        <w:rPr>
          <w:rFonts w:cs="Arial"/>
          <w:rtl/>
        </w:rPr>
        <w:t xml:space="preserve"> אלא כתבו שמם ושם אביהם </w:t>
      </w:r>
      <w:r w:rsidR="00A82951">
        <w:rPr>
          <w:rFonts w:cs="Arial" w:hint="cs"/>
          <w:rtl/>
        </w:rPr>
        <w:t>-</w:t>
      </w:r>
      <w:r>
        <w:rPr>
          <w:rFonts w:cs="Arial" w:hint="cs"/>
          <w:rtl/>
        </w:rPr>
        <w:t xml:space="preserve"> </w:t>
      </w:r>
      <w:r w:rsidRPr="00D0151C">
        <w:rPr>
          <w:rFonts w:cs="Arial"/>
          <w:rtl/>
        </w:rPr>
        <w:t>אין לחוש לזה כלל</w:t>
      </w:r>
      <w:r>
        <w:rPr>
          <w:rFonts w:cs="Arial" w:hint="cs"/>
          <w:rtl/>
        </w:rPr>
        <w:t>,</w:t>
      </w:r>
      <w:r w:rsidRPr="00D0151C">
        <w:rPr>
          <w:rFonts w:cs="Arial"/>
          <w:rtl/>
        </w:rPr>
        <w:t xml:space="preserve"> כי אין צריך להזכיר עד רק כשאין מזכיר שם אביו בחתימה אלא שמו בלבד</w:t>
      </w:r>
      <w:r>
        <w:rPr>
          <w:rFonts w:cs="Arial" w:hint="cs"/>
          <w:rtl/>
        </w:rPr>
        <w:t>,</w:t>
      </w:r>
      <w:r w:rsidRPr="00D0151C">
        <w:rPr>
          <w:rFonts w:cs="Arial"/>
          <w:rtl/>
        </w:rPr>
        <w:t xml:space="preserve"> או שמזכיר שם אביו ולא שמו</w:t>
      </w:r>
      <w:r>
        <w:rPr>
          <w:rFonts w:cs="Arial" w:hint="cs"/>
          <w:rtl/>
        </w:rPr>
        <w:t>,</w:t>
      </w:r>
      <w:r w:rsidRPr="00D0151C">
        <w:rPr>
          <w:rFonts w:cs="Arial"/>
          <w:rtl/>
        </w:rPr>
        <w:t xml:space="preserve"> ואז אם לא יכתוב עד הוא פסול לפי שנראה שלא חתם לשם עדות</w:t>
      </w:r>
      <w:r>
        <w:rPr>
          <w:rFonts w:cs="Arial" w:hint="cs"/>
          <w:rtl/>
        </w:rPr>
        <w:t>.</w:t>
      </w:r>
      <w:r w:rsidRPr="00D0151C">
        <w:rPr>
          <w:rFonts w:cs="Arial"/>
          <w:rtl/>
        </w:rPr>
        <w:t xml:space="preserve"> אבל כשחתם שמו ושם אביו אף אם לא כתב עד כשר</w:t>
      </w:r>
      <w:r>
        <w:rPr>
          <w:rFonts w:cs="Arial" w:hint="cs"/>
          <w:rtl/>
        </w:rPr>
        <w:t>,</w:t>
      </w:r>
      <w:r w:rsidRPr="00D0151C">
        <w:rPr>
          <w:rFonts w:cs="Arial"/>
          <w:rtl/>
        </w:rPr>
        <w:t xml:space="preserve"> דלהכי טרח לכתוב שמו ושם אביו לפי שמכוין לעדות</w:t>
      </w:r>
      <w:r>
        <w:rPr>
          <w:rFonts w:cs="Arial" w:hint="cs"/>
          <w:rtl/>
        </w:rPr>
        <w:t>.</w:t>
      </w:r>
      <w:r w:rsidRPr="00D0151C">
        <w:rPr>
          <w:rFonts w:cs="Arial"/>
          <w:rtl/>
        </w:rPr>
        <w:t xml:space="preserve"> ומשנה שלימה שנינו בפרק המגרש איש פלוני עד כשר בן איש פלוני עד כשר</w:t>
      </w:r>
      <w:r>
        <w:rPr>
          <w:rFonts w:cs="Arial" w:hint="cs"/>
          <w:rtl/>
        </w:rPr>
        <w:t>,</w:t>
      </w:r>
      <w:r w:rsidRPr="00D0151C">
        <w:rPr>
          <w:rFonts w:cs="Arial"/>
          <w:rtl/>
        </w:rPr>
        <w:t xml:space="preserve"> איש פלוני בן איש פלוני ולא כתב עד כשר</w:t>
      </w:r>
      <w:r>
        <w:rPr>
          <w:rFonts w:cs="Arial" w:hint="cs"/>
          <w:rtl/>
        </w:rPr>
        <w:t>,</w:t>
      </w:r>
      <w:r w:rsidRPr="00D0151C">
        <w:rPr>
          <w:rFonts w:cs="Arial"/>
          <w:rtl/>
        </w:rPr>
        <w:t xml:space="preserve"> וכך היו נקיי הדעת שבירושלים </w:t>
      </w:r>
      <w:r w:rsidRPr="00D0151C">
        <w:rPr>
          <w:rFonts w:cs="Arial"/>
          <w:rtl/>
        </w:rPr>
        <w:lastRenderedPageBreak/>
        <w:t>כותבין</w:t>
      </w:r>
      <w:r>
        <w:rPr>
          <w:rFonts w:cs="Arial" w:hint="cs"/>
          <w:rtl/>
        </w:rPr>
        <w:t>.</w:t>
      </w:r>
      <w:r w:rsidRPr="00D0151C">
        <w:rPr>
          <w:rFonts w:cs="Arial"/>
          <w:rtl/>
        </w:rPr>
        <w:t xml:space="preserve"> ר"ל שהיו מפרשים שמם ושם אביהם אף בלא עד</w:t>
      </w:r>
      <w:r>
        <w:rPr>
          <w:rFonts w:cs="Arial" w:hint="cs"/>
          <w:rtl/>
        </w:rPr>
        <w:t>,</w:t>
      </w:r>
      <w:r w:rsidRPr="00D0151C">
        <w:rPr>
          <w:rFonts w:cs="Arial"/>
          <w:rtl/>
        </w:rPr>
        <w:t xml:space="preserve"> ובוחרים בזה יותר משיכתבו עד עם שמם לבד או עם שם אביהם לבד</w:t>
      </w:r>
      <w:r>
        <w:rPr>
          <w:rFonts w:cs="Arial" w:hint="cs"/>
          <w:rtl/>
        </w:rPr>
        <w:t>,</w:t>
      </w:r>
      <w:r w:rsidRPr="00D0151C">
        <w:rPr>
          <w:rFonts w:cs="Arial"/>
          <w:rtl/>
        </w:rPr>
        <w:t xml:space="preserve"> כדי שהרוצה לקיים חתימתן ידע מי הם וילך אחר קרוביהם ושכיניהם לקיים חתימתן</w:t>
      </w:r>
      <w:r w:rsidRPr="00D0151C">
        <w:rPr>
          <w:rFonts w:cs="Arial" w:hint="cs"/>
          <w:rtl/>
        </w:rPr>
        <w:t>.</w:t>
      </w:r>
    </w:p>
    <w:p w14:paraId="09601F2A" w14:textId="42DFA478" w:rsidR="00FA2119" w:rsidRDefault="00FA2119" w:rsidP="00FA2119">
      <w:pPr>
        <w:rPr>
          <w:rFonts w:cs="Arial"/>
          <w:rtl/>
        </w:rPr>
      </w:pPr>
      <w:r w:rsidRPr="002D28E9">
        <w:rPr>
          <w:rFonts w:cs="Arial" w:hint="cs"/>
          <w:u w:val="single"/>
          <w:rtl/>
        </w:rPr>
        <w:t>עדים שחתמו רק אות אחת משמם</w:t>
      </w:r>
      <w:r>
        <w:rPr>
          <w:rFonts w:cs="Arial" w:hint="cs"/>
          <w:u w:val="single"/>
          <w:rtl/>
        </w:rPr>
        <w:t xml:space="preserve"> </w:t>
      </w:r>
      <w:r w:rsidR="00A82951">
        <w:rPr>
          <w:rFonts w:cs="Arial" w:hint="cs"/>
          <w:u w:val="single"/>
          <w:rtl/>
        </w:rPr>
        <w:t>-</w:t>
      </w:r>
      <w:r w:rsidRPr="002D28E9">
        <w:rPr>
          <w:rFonts w:cs="Arial" w:hint="cs"/>
          <w:u w:val="single"/>
          <w:rtl/>
        </w:rPr>
        <w:t xml:space="preserve"> </w:t>
      </w:r>
      <w:r w:rsidRPr="002D28E9">
        <w:rPr>
          <w:rFonts w:cs="Arial" w:hint="cs"/>
          <w:b/>
          <w:bCs/>
          <w:u w:val="single"/>
          <w:rtl/>
        </w:rPr>
        <w:t>בשאר שטרות</w:t>
      </w:r>
      <w:r w:rsidRPr="002D28E9">
        <w:rPr>
          <w:rFonts w:cs="Arial" w:hint="cs"/>
          <w:u w:val="single"/>
          <w:rtl/>
        </w:rPr>
        <w:t>:</w:t>
      </w:r>
      <w:r>
        <w:rPr>
          <w:rFonts w:cs="Arial"/>
          <w:rtl/>
        </w:rPr>
        <w:t xml:space="preserve"> </w:t>
      </w:r>
    </w:p>
    <w:p w14:paraId="47984E06" w14:textId="756A7A1D" w:rsidR="00FA2119" w:rsidRDefault="00FA2119" w:rsidP="00FA2119">
      <w:pPr>
        <w:pStyle w:val="ab"/>
        <w:numPr>
          <w:ilvl w:val="0"/>
          <w:numId w:val="80"/>
        </w:numPr>
      </w:pPr>
      <w:r w:rsidRPr="002D28E9">
        <w:rPr>
          <w:rFonts w:cs="Arial" w:hint="cs"/>
          <w:rtl/>
        </w:rPr>
        <w:t xml:space="preserve">תשב"ץ </w:t>
      </w:r>
      <w:r w:rsidRPr="002D28E9">
        <w:rPr>
          <w:rFonts w:cs="Arial"/>
          <w:sz w:val="16"/>
          <w:szCs w:val="16"/>
          <w:rtl/>
        </w:rPr>
        <w:t>(ח"א סי' ז)</w:t>
      </w:r>
      <w:r w:rsidR="00A82951">
        <w:rPr>
          <w:rFonts w:cs="Arial" w:hint="cs"/>
          <w:rtl/>
        </w:rPr>
        <w:t>-</w:t>
      </w:r>
      <w:r w:rsidRPr="002D28E9">
        <w:rPr>
          <w:rFonts w:cs="Arial"/>
          <w:rtl/>
        </w:rPr>
        <w:t xml:space="preserve"> אמר רשב"ג תקנה גדולה התקינו שיהיו העדים מפרשין שמותיהן בגטין מפני תקון העולם</w:t>
      </w:r>
      <w:r w:rsidR="005A20BA">
        <w:rPr>
          <w:rFonts w:cs="Arial" w:hint="cs"/>
          <w:rtl/>
        </w:rPr>
        <w:t>,</w:t>
      </w:r>
      <w:r w:rsidRPr="002D28E9">
        <w:rPr>
          <w:rFonts w:cs="Arial"/>
          <w:rtl/>
        </w:rPr>
        <w:t xml:space="preserve"> דאלו בשטרו</w:t>
      </w:r>
      <w:r>
        <w:rPr>
          <w:rFonts w:cs="Arial" w:hint="cs"/>
          <w:rtl/>
        </w:rPr>
        <w:t>ת</w:t>
      </w:r>
      <w:r w:rsidRPr="002D28E9">
        <w:rPr>
          <w:rFonts w:cs="Arial"/>
          <w:rtl/>
        </w:rPr>
        <w:t xml:space="preserve"> אפילו לא חתמו העדים אלא אות אחת משמם כשרים</w:t>
      </w:r>
      <w:r w:rsidR="005A20BA">
        <w:rPr>
          <w:rFonts w:cs="Arial" w:hint="cs"/>
          <w:rtl/>
        </w:rPr>
        <w:t>,</w:t>
      </w:r>
      <w:r w:rsidRPr="002D28E9">
        <w:rPr>
          <w:rFonts w:cs="Arial"/>
          <w:rtl/>
        </w:rPr>
        <w:t xml:space="preserve"> דרב חסדא חתים ס' ורב אושעיא חתים ע'</w:t>
      </w:r>
      <w:r>
        <w:rPr>
          <w:rFonts w:cs="Arial" w:hint="cs"/>
          <w:rtl/>
        </w:rPr>
        <w:t>.</w:t>
      </w:r>
      <w:r w:rsidRPr="002D28E9">
        <w:rPr>
          <w:rFonts w:cs="Arial"/>
          <w:rtl/>
        </w:rPr>
        <w:t xml:space="preserve"> ואפילו שטרו</w:t>
      </w:r>
      <w:r>
        <w:rPr>
          <w:rFonts w:cs="Arial" w:hint="cs"/>
          <w:rtl/>
        </w:rPr>
        <w:t>ת</w:t>
      </w:r>
      <w:r w:rsidRPr="002D28E9">
        <w:rPr>
          <w:rFonts w:cs="Arial"/>
          <w:rtl/>
        </w:rPr>
        <w:t xml:space="preserve"> החתומים בסימנים כשרים</w:t>
      </w:r>
      <w:r>
        <w:rPr>
          <w:rFonts w:cs="Arial" w:hint="cs"/>
          <w:rtl/>
        </w:rPr>
        <w:t>,</w:t>
      </w:r>
      <w:r w:rsidRPr="002D28E9">
        <w:rPr>
          <w:rFonts w:cs="Arial"/>
          <w:rtl/>
        </w:rPr>
        <w:t xml:space="preserve"> דרב צייר כוורא ור' חנינא צייר חרותא ורבה בר הונא צייר מכותא</w:t>
      </w:r>
      <w:r>
        <w:rPr>
          <w:rFonts w:cs="Arial" w:hint="cs"/>
          <w:rtl/>
        </w:rPr>
        <w:t>.</w:t>
      </w:r>
      <w:r w:rsidRPr="00F30D66">
        <w:rPr>
          <w:rFonts w:cs="Arial"/>
          <w:rtl/>
        </w:rPr>
        <w:t xml:space="preserve"> </w:t>
      </w:r>
    </w:p>
    <w:p w14:paraId="38F605C3" w14:textId="77777777" w:rsidR="00FA2119" w:rsidRPr="00F30D66" w:rsidRDefault="00FA2119" w:rsidP="00FA2119">
      <w:r w:rsidRPr="00562E59">
        <w:rPr>
          <w:rFonts w:cs="Arial"/>
          <w:u w:val="single"/>
          <w:rtl/>
        </w:rPr>
        <w:t>עד שנשתנה שמו מחמת חולי</w:t>
      </w:r>
      <w:r w:rsidRPr="00562E59">
        <w:rPr>
          <w:rFonts w:cs="Arial" w:hint="cs"/>
          <w:u w:val="single"/>
          <w:rtl/>
        </w:rPr>
        <w:t>:</w:t>
      </w:r>
      <w:r w:rsidRPr="00A14BB0">
        <w:rPr>
          <w:rFonts w:cs="Arial"/>
          <w:rtl/>
        </w:rPr>
        <w:t xml:space="preserve"> </w:t>
      </w:r>
      <w:r w:rsidRPr="00562E59">
        <w:rPr>
          <w:rFonts w:hint="cs"/>
          <w:sz w:val="16"/>
          <w:szCs w:val="16"/>
          <w:rtl/>
        </w:rPr>
        <w:t>(</w:t>
      </w:r>
      <w:r w:rsidRPr="00562E59">
        <w:rPr>
          <w:rFonts w:cs="Arial" w:hint="cs"/>
          <w:sz w:val="16"/>
          <w:szCs w:val="16"/>
          <w:rtl/>
        </w:rPr>
        <w:t>דרכ"מ אות ט)</w:t>
      </w:r>
    </w:p>
    <w:p w14:paraId="5147CB8D" w14:textId="7CC58908" w:rsidR="00FA2119" w:rsidRDefault="00FA2119" w:rsidP="00FA2119">
      <w:pPr>
        <w:pStyle w:val="ab"/>
        <w:numPr>
          <w:ilvl w:val="0"/>
          <w:numId w:val="80"/>
        </w:numPr>
      </w:pPr>
      <w:r>
        <w:rPr>
          <w:rFonts w:cs="Arial" w:hint="cs"/>
          <w:rtl/>
        </w:rPr>
        <w:t xml:space="preserve">תרוה"ד </w:t>
      </w:r>
      <w:r>
        <w:rPr>
          <w:rFonts w:cs="Arial" w:hint="cs"/>
          <w:sz w:val="16"/>
          <w:szCs w:val="16"/>
          <w:rtl/>
        </w:rPr>
        <w:t>(סי' רלד)</w:t>
      </w:r>
      <w:r w:rsidRPr="00562E59">
        <w:rPr>
          <w:rFonts w:cs="Arial"/>
          <w:rtl/>
        </w:rPr>
        <w:t xml:space="preserve"> </w:t>
      </w:r>
      <w:r w:rsidRPr="00A14BB0">
        <w:rPr>
          <w:rFonts w:cs="Arial"/>
          <w:rtl/>
        </w:rPr>
        <w:t>ו</w:t>
      </w:r>
      <w:r>
        <w:rPr>
          <w:rFonts w:cs="Arial" w:hint="cs"/>
          <w:rtl/>
        </w:rPr>
        <w:t>ס</w:t>
      </w:r>
      <w:r w:rsidRPr="00A14BB0">
        <w:rPr>
          <w:rFonts w:cs="Arial"/>
          <w:rtl/>
        </w:rPr>
        <w:t xml:space="preserve">דר גיטין </w:t>
      </w:r>
      <w:r w:rsidRPr="00562E59">
        <w:rPr>
          <w:rFonts w:cs="Arial" w:hint="cs"/>
          <w:sz w:val="16"/>
          <w:szCs w:val="16"/>
          <w:rtl/>
        </w:rPr>
        <w:t>(</w:t>
      </w:r>
      <w:r w:rsidRPr="00562E59">
        <w:rPr>
          <w:rFonts w:cs="Arial"/>
          <w:sz w:val="16"/>
          <w:szCs w:val="16"/>
          <w:rtl/>
        </w:rPr>
        <w:t>סי</w:t>
      </w:r>
      <w:r w:rsidRPr="00562E59">
        <w:rPr>
          <w:rFonts w:cs="Arial" w:hint="cs"/>
          <w:sz w:val="16"/>
          <w:szCs w:val="16"/>
          <w:rtl/>
        </w:rPr>
        <w:t>'</w:t>
      </w:r>
      <w:r w:rsidRPr="00562E59">
        <w:rPr>
          <w:rFonts w:cs="Arial"/>
          <w:sz w:val="16"/>
          <w:szCs w:val="16"/>
          <w:rtl/>
        </w:rPr>
        <w:t xml:space="preserve"> נד סעיף ג)</w:t>
      </w:r>
      <w:r w:rsidR="00A82951">
        <w:rPr>
          <w:rFonts w:cs="Arial" w:hint="cs"/>
          <w:rtl/>
        </w:rPr>
        <w:t>-</w:t>
      </w:r>
      <w:r>
        <w:rPr>
          <w:rFonts w:cs="Arial" w:hint="cs"/>
          <w:rtl/>
        </w:rPr>
        <w:t xml:space="preserve"> </w:t>
      </w:r>
      <w:r w:rsidRPr="00A14BB0">
        <w:rPr>
          <w:rFonts w:cs="Arial"/>
          <w:rtl/>
        </w:rPr>
        <w:t>עד שנשתנה שמו מחמת חולי יחתום בשניהם בלא מתקרי</w:t>
      </w:r>
      <w:r w:rsidR="005A20BA">
        <w:rPr>
          <w:rFonts w:cs="Arial" w:hint="cs"/>
          <w:rtl/>
        </w:rPr>
        <w:t>.</w:t>
      </w:r>
      <w:r w:rsidRPr="00A14BB0">
        <w:rPr>
          <w:rFonts w:cs="Arial"/>
          <w:rtl/>
        </w:rPr>
        <w:t xml:space="preserve"> ואין צריך לחתום שום כינוי</w:t>
      </w:r>
      <w:r w:rsidR="005A20BA">
        <w:rPr>
          <w:rFonts w:cs="Arial" w:hint="cs"/>
          <w:rtl/>
        </w:rPr>
        <w:t>,</w:t>
      </w:r>
      <w:r w:rsidRPr="00A14BB0">
        <w:rPr>
          <w:rFonts w:cs="Arial"/>
          <w:rtl/>
        </w:rPr>
        <w:t xml:space="preserve"> אפילו יש לו חניכא ידועה ורגילה. </w:t>
      </w:r>
      <w:r w:rsidRPr="0083310D">
        <w:rPr>
          <w:rFonts w:hint="cs"/>
          <w:color w:val="00B0F0"/>
          <w:rtl/>
        </w:rPr>
        <w:t>(וכ"פ הרמ"א)</w:t>
      </w:r>
    </w:p>
    <w:p w14:paraId="4A58C587" w14:textId="77777777" w:rsidR="00FA2119" w:rsidRPr="00562E59" w:rsidRDefault="00FA2119" w:rsidP="00FA2119">
      <w:r>
        <w:rPr>
          <w:rFonts w:cs="Arial" w:hint="cs"/>
          <w:u w:val="single"/>
          <w:rtl/>
        </w:rPr>
        <w:t>תואר כבוד בשם העד</w:t>
      </w:r>
      <w:r w:rsidRPr="00562E59">
        <w:rPr>
          <w:rFonts w:cs="Arial" w:hint="cs"/>
          <w:u w:val="single"/>
          <w:rtl/>
        </w:rPr>
        <w:t>:</w:t>
      </w:r>
      <w:r w:rsidRPr="00A14BB0">
        <w:rPr>
          <w:rFonts w:cs="Arial"/>
          <w:rtl/>
        </w:rPr>
        <w:t xml:space="preserve"> </w:t>
      </w:r>
      <w:r w:rsidRPr="00562E59">
        <w:rPr>
          <w:rFonts w:hint="cs"/>
          <w:sz w:val="16"/>
          <w:szCs w:val="16"/>
          <w:rtl/>
        </w:rPr>
        <w:t>(</w:t>
      </w:r>
      <w:r w:rsidRPr="00562E59">
        <w:rPr>
          <w:rFonts w:cs="Arial" w:hint="cs"/>
          <w:sz w:val="16"/>
          <w:szCs w:val="16"/>
          <w:rtl/>
        </w:rPr>
        <w:t>דרכ"מ אות ט)</w:t>
      </w:r>
    </w:p>
    <w:p w14:paraId="4A9E95B2" w14:textId="070F9443" w:rsidR="00FA2119" w:rsidRPr="00562E59" w:rsidRDefault="00FA2119" w:rsidP="00FA2119">
      <w:pPr>
        <w:pStyle w:val="ab"/>
        <w:numPr>
          <w:ilvl w:val="0"/>
          <w:numId w:val="80"/>
        </w:numPr>
      </w:pPr>
      <w:r>
        <w:rPr>
          <w:rFonts w:cs="Arial" w:hint="cs"/>
          <w:rtl/>
        </w:rPr>
        <w:t>ס</w:t>
      </w:r>
      <w:r w:rsidRPr="00A14BB0">
        <w:rPr>
          <w:rFonts w:cs="Arial"/>
          <w:rtl/>
        </w:rPr>
        <w:t xml:space="preserve">דר גיטין </w:t>
      </w:r>
      <w:r w:rsidRPr="00562E59">
        <w:rPr>
          <w:rFonts w:cs="Arial" w:hint="cs"/>
          <w:sz w:val="16"/>
          <w:szCs w:val="16"/>
          <w:rtl/>
        </w:rPr>
        <w:t>(</w:t>
      </w:r>
      <w:r w:rsidRPr="00562E59">
        <w:rPr>
          <w:rFonts w:cs="Arial"/>
          <w:sz w:val="16"/>
          <w:szCs w:val="16"/>
          <w:rtl/>
        </w:rPr>
        <w:t>סי</w:t>
      </w:r>
      <w:r w:rsidRPr="00562E59">
        <w:rPr>
          <w:rFonts w:cs="Arial" w:hint="cs"/>
          <w:sz w:val="16"/>
          <w:szCs w:val="16"/>
          <w:rtl/>
        </w:rPr>
        <w:t>'</w:t>
      </w:r>
      <w:r w:rsidRPr="00562E59">
        <w:rPr>
          <w:rFonts w:cs="Arial"/>
          <w:sz w:val="16"/>
          <w:szCs w:val="16"/>
          <w:rtl/>
        </w:rPr>
        <w:t xml:space="preserve"> </w:t>
      </w:r>
      <w:r>
        <w:rPr>
          <w:rFonts w:cs="Arial" w:hint="cs"/>
          <w:sz w:val="16"/>
          <w:szCs w:val="16"/>
          <w:rtl/>
        </w:rPr>
        <w:t>כ</w:t>
      </w:r>
      <w:r w:rsidRPr="00562E59">
        <w:rPr>
          <w:rFonts w:cs="Arial"/>
          <w:sz w:val="16"/>
          <w:szCs w:val="16"/>
          <w:rtl/>
        </w:rPr>
        <w:t xml:space="preserve"> סעיף </w:t>
      </w:r>
      <w:r>
        <w:rPr>
          <w:rFonts w:cs="Arial" w:hint="cs"/>
          <w:sz w:val="16"/>
          <w:szCs w:val="16"/>
          <w:rtl/>
        </w:rPr>
        <w:t>א</w:t>
      </w:r>
      <w:r w:rsidRPr="00562E59">
        <w:rPr>
          <w:rFonts w:cs="Arial"/>
          <w:sz w:val="16"/>
          <w:szCs w:val="16"/>
          <w:rtl/>
        </w:rPr>
        <w:t>)</w:t>
      </w:r>
      <w:r w:rsidR="00A82951">
        <w:rPr>
          <w:rFonts w:cs="Arial" w:hint="cs"/>
          <w:rtl/>
        </w:rPr>
        <w:t>-</w:t>
      </w:r>
      <w:r>
        <w:rPr>
          <w:rFonts w:cs="Arial" w:hint="cs"/>
          <w:rtl/>
        </w:rPr>
        <w:t xml:space="preserve"> </w:t>
      </w:r>
      <w:r w:rsidRPr="00A14BB0">
        <w:rPr>
          <w:rFonts w:cs="Arial"/>
          <w:rtl/>
        </w:rPr>
        <w:t xml:space="preserve">אם אבי העד רב או חכם לא יחתום רק פלוני בן פלוני. </w:t>
      </w:r>
      <w:r w:rsidRPr="0083310D">
        <w:rPr>
          <w:rFonts w:hint="cs"/>
          <w:color w:val="00B0F0"/>
          <w:rtl/>
        </w:rPr>
        <w:t>(וכ"פ הרמ"א)</w:t>
      </w:r>
    </w:p>
    <w:p w14:paraId="40E1BCB5" w14:textId="77777777" w:rsidR="00FA2119" w:rsidRPr="00562E59" w:rsidRDefault="00FA2119" w:rsidP="00FA2119">
      <w:r>
        <w:rPr>
          <w:rFonts w:cs="Arial" w:hint="cs"/>
          <w:u w:val="single"/>
          <w:rtl/>
        </w:rPr>
        <w:t>עד שאביו מומר, וכן עד שיש ספק כיצד לכתוב [את שמו או] את שם אביו</w:t>
      </w:r>
      <w:r w:rsidRPr="00562E59">
        <w:rPr>
          <w:rFonts w:cs="Arial" w:hint="cs"/>
          <w:u w:val="single"/>
          <w:rtl/>
        </w:rPr>
        <w:t>:</w:t>
      </w:r>
      <w:r w:rsidRPr="00A14BB0">
        <w:rPr>
          <w:rFonts w:cs="Arial"/>
          <w:rtl/>
        </w:rPr>
        <w:t xml:space="preserve"> </w:t>
      </w:r>
      <w:r w:rsidRPr="00562E59">
        <w:rPr>
          <w:rFonts w:hint="cs"/>
          <w:sz w:val="16"/>
          <w:szCs w:val="16"/>
          <w:rtl/>
        </w:rPr>
        <w:t>(</w:t>
      </w:r>
      <w:r w:rsidRPr="00562E59">
        <w:rPr>
          <w:rFonts w:cs="Arial" w:hint="cs"/>
          <w:sz w:val="16"/>
          <w:szCs w:val="16"/>
          <w:rtl/>
        </w:rPr>
        <w:t>דרכ"מ אות ט)</w:t>
      </w:r>
    </w:p>
    <w:p w14:paraId="2F114CF0" w14:textId="4A9A197C" w:rsidR="00FA2119" w:rsidRPr="002D28E9" w:rsidRDefault="00FA2119" w:rsidP="00FA2119">
      <w:pPr>
        <w:pStyle w:val="ab"/>
        <w:numPr>
          <w:ilvl w:val="0"/>
          <w:numId w:val="80"/>
        </w:numPr>
        <w:rPr>
          <w:rtl/>
        </w:rPr>
      </w:pPr>
      <w:r>
        <w:rPr>
          <w:rFonts w:cs="Arial" w:hint="cs"/>
          <w:rtl/>
        </w:rPr>
        <w:t xml:space="preserve">דרכ"מ </w:t>
      </w:r>
      <w:r>
        <w:rPr>
          <w:rFonts w:cs="Arial" w:hint="cs"/>
          <w:sz w:val="16"/>
          <w:szCs w:val="16"/>
          <w:rtl/>
        </w:rPr>
        <w:t>(אות ט)</w:t>
      </w:r>
      <w:r w:rsidR="00A82951">
        <w:rPr>
          <w:rFonts w:cs="Arial" w:hint="cs"/>
          <w:rtl/>
        </w:rPr>
        <w:t>-</w:t>
      </w:r>
      <w:r w:rsidRPr="00A14BB0">
        <w:rPr>
          <w:rFonts w:cs="Arial"/>
          <w:rtl/>
        </w:rPr>
        <w:t>עיין לעיל סי' קכט (אות יא) דאין לחתום על הגט מי שהוא בן משומד</w:t>
      </w:r>
      <w:r>
        <w:rPr>
          <w:rFonts w:cs="Arial" w:hint="cs"/>
          <w:rtl/>
        </w:rPr>
        <w:t>.</w:t>
      </w:r>
      <w:r w:rsidRPr="00A14BB0">
        <w:rPr>
          <w:rFonts w:cs="Arial"/>
          <w:rtl/>
        </w:rPr>
        <w:t xml:space="preserve"> ונראה לי דהוא הדין לכל דבר שיש לספק בו כיצד כותבין שמו כגון אליהו אליה וכדומה. וכן נוהגין</w:t>
      </w:r>
      <w:r>
        <w:rPr>
          <w:rFonts w:cs="Arial" w:hint="cs"/>
          <w:rtl/>
        </w:rPr>
        <w:t>.</w:t>
      </w:r>
      <w:r w:rsidRPr="0083310D">
        <w:rPr>
          <w:rFonts w:hint="cs"/>
          <w:color w:val="00B0F0"/>
          <w:rtl/>
        </w:rPr>
        <w:t xml:space="preserve"> (וכ"פ </w:t>
      </w:r>
      <w:r>
        <w:rPr>
          <w:rFonts w:hint="cs"/>
          <w:color w:val="00B0F0"/>
          <w:rtl/>
        </w:rPr>
        <w:t>בהגה</w:t>
      </w:r>
      <w:r w:rsidRPr="0083310D">
        <w:rPr>
          <w:rFonts w:hint="cs"/>
          <w:color w:val="00B0F0"/>
          <w:rtl/>
        </w:rPr>
        <w:t>)</w:t>
      </w:r>
    </w:p>
    <w:p w14:paraId="45C15D37" w14:textId="77777777" w:rsidR="00FA2119" w:rsidRPr="00B26965" w:rsidRDefault="00FA2119" w:rsidP="00FA2119">
      <w:pPr>
        <w:rPr>
          <w:u w:val="single"/>
        </w:rPr>
      </w:pPr>
      <w:r>
        <w:rPr>
          <w:rFonts w:hint="cs"/>
          <w:u w:val="single"/>
          <w:rtl/>
        </w:rPr>
        <w:t>חתימת</w:t>
      </w:r>
      <w:r w:rsidRPr="00B26965">
        <w:rPr>
          <w:rFonts w:hint="cs"/>
          <w:u w:val="single"/>
          <w:rtl/>
        </w:rPr>
        <w:t xml:space="preserve"> העדים תהיה כתיבה תמה:</w:t>
      </w:r>
    </w:p>
    <w:p w14:paraId="2621F281" w14:textId="4127012D" w:rsidR="00FA2119" w:rsidRDefault="00FA2119" w:rsidP="00FA2119">
      <w:pPr>
        <w:pStyle w:val="ab"/>
        <w:numPr>
          <w:ilvl w:val="0"/>
          <w:numId w:val="88"/>
        </w:numPr>
      </w:pPr>
      <w:r w:rsidRPr="0045000F">
        <w:rPr>
          <w:rFonts w:cs="Arial"/>
          <w:rtl/>
        </w:rPr>
        <w:t xml:space="preserve">קונדריסים </w:t>
      </w:r>
      <w:r w:rsidRPr="00B26965">
        <w:rPr>
          <w:rFonts w:cs="Arial"/>
          <w:sz w:val="16"/>
          <w:szCs w:val="16"/>
          <w:rtl/>
        </w:rPr>
        <w:t>(שם)</w:t>
      </w:r>
      <w:r w:rsidR="00A82951">
        <w:rPr>
          <w:rFonts w:cs="Arial" w:hint="cs"/>
          <w:rtl/>
        </w:rPr>
        <w:t>-</w:t>
      </w:r>
      <w:r w:rsidRPr="0045000F">
        <w:rPr>
          <w:rFonts w:cs="Arial"/>
          <w:rtl/>
        </w:rPr>
        <w:t xml:space="preserve"> והכתיבה מהעדים גם כן תהיה תמה וניכרת ושלא יהיו דבוקים האותיות כמו הגט עצמו</w:t>
      </w:r>
      <w:r w:rsidR="005A20BA">
        <w:rPr>
          <w:rFonts w:cs="Arial" w:hint="cs"/>
          <w:rtl/>
        </w:rPr>
        <w:t>.</w:t>
      </w:r>
      <w:r w:rsidRPr="0045000F">
        <w:rPr>
          <w:rFonts w:cs="Arial"/>
          <w:rtl/>
        </w:rPr>
        <w:t xml:space="preserve"> והיינו לכתחלה דוקא</w:t>
      </w:r>
      <w:r>
        <w:rPr>
          <w:rFonts w:cs="Arial" w:hint="cs"/>
          <w:rtl/>
        </w:rPr>
        <w:t>.</w:t>
      </w:r>
      <w:r w:rsidRPr="0045000F">
        <w:rPr>
          <w:rFonts w:cs="Arial"/>
          <w:rtl/>
        </w:rPr>
        <w:t xml:space="preserve"> </w:t>
      </w:r>
      <w:r w:rsidRPr="00763F26">
        <w:rPr>
          <w:rFonts w:hint="cs"/>
          <w:color w:val="00B0F0"/>
          <w:rtl/>
        </w:rPr>
        <w:t>(וכ"פ הרמ"א)</w:t>
      </w:r>
    </w:p>
    <w:p w14:paraId="7F610B70"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900B9F4" w14:textId="4202460F" w:rsidR="00FA2119" w:rsidRDefault="00FA2119" w:rsidP="00FA2119">
      <w:pPr>
        <w:rPr>
          <w:rFonts w:cs="Arial"/>
          <w:rtl/>
        </w:rPr>
      </w:pPr>
      <w:r>
        <w:rPr>
          <w:rFonts w:cs="Arial" w:hint="cs"/>
          <w:rtl/>
        </w:rPr>
        <w:t>כשחותם</w:t>
      </w:r>
      <w:r>
        <w:rPr>
          <w:rFonts w:cs="Arial"/>
          <w:rtl/>
        </w:rPr>
        <w:t xml:space="preserve"> </w:t>
      </w:r>
      <w:r>
        <w:rPr>
          <w:rFonts w:cs="Arial" w:hint="cs"/>
          <w:rtl/>
        </w:rPr>
        <w:t>העד</w:t>
      </w:r>
      <w:r>
        <w:rPr>
          <w:rFonts w:cs="Arial"/>
          <w:rtl/>
        </w:rPr>
        <w:t xml:space="preserve">, </w:t>
      </w:r>
      <w:r>
        <w:rPr>
          <w:rFonts w:cs="Arial" w:hint="cs"/>
          <w:rtl/>
        </w:rPr>
        <w:t>צריך</w:t>
      </w:r>
      <w:r>
        <w:rPr>
          <w:rFonts w:cs="Arial"/>
          <w:rtl/>
        </w:rPr>
        <w:t xml:space="preserve"> </w:t>
      </w:r>
      <w:r>
        <w:rPr>
          <w:rFonts w:cs="Arial" w:hint="cs"/>
          <w:rtl/>
        </w:rPr>
        <w:t>לכתוב</w:t>
      </w:r>
      <w:r>
        <w:rPr>
          <w:rFonts w:cs="Arial"/>
          <w:rtl/>
        </w:rPr>
        <w:t xml:space="preserve"> </w:t>
      </w:r>
      <w:r>
        <w:rPr>
          <w:rFonts w:cs="Arial" w:hint="cs"/>
          <w:rtl/>
        </w:rPr>
        <w:t>שמו</w:t>
      </w:r>
      <w:r>
        <w:rPr>
          <w:rFonts w:cs="Arial"/>
          <w:rtl/>
        </w:rPr>
        <w:t xml:space="preserve"> </w:t>
      </w:r>
      <w:r>
        <w:rPr>
          <w:rFonts w:cs="Arial" w:hint="cs"/>
          <w:rtl/>
        </w:rPr>
        <w:t>ושם</w:t>
      </w:r>
      <w:r>
        <w:rPr>
          <w:rFonts w:cs="Arial"/>
          <w:rtl/>
        </w:rPr>
        <w:t xml:space="preserve"> </w:t>
      </w:r>
      <w:r>
        <w:rPr>
          <w:rFonts w:cs="Arial" w:hint="cs"/>
          <w:rtl/>
        </w:rPr>
        <w:t>אביו</w:t>
      </w:r>
      <w:r>
        <w:rPr>
          <w:rFonts w:cs="Arial"/>
          <w:rtl/>
        </w:rPr>
        <w:t xml:space="preserve">, </w:t>
      </w:r>
      <w:r>
        <w:rPr>
          <w:rFonts w:cs="Arial" w:hint="cs"/>
          <w:rtl/>
        </w:rPr>
        <w:t>כגון</w:t>
      </w:r>
      <w:r>
        <w:rPr>
          <w:rFonts w:cs="Arial"/>
          <w:rtl/>
        </w:rPr>
        <w:t xml:space="preserve"> </w:t>
      </w:r>
      <w:r>
        <w:rPr>
          <w:rFonts w:cs="Arial" w:hint="cs"/>
          <w:rtl/>
        </w:rPr>
        <w:t>יוסף</w:t>
      </w:r>
      <w:r>
        <w:rPr>
          <w:rFonts w:cs="Arial"/>
          <w:rtl/>
        </w:rPr>
        <w:t xml:space="preserve"> </w:t>
      </w:r>
      <w:r>
        <w:rPr>
          <w:rFonts w:cs="Arial" w:hint="cs"/>
          <w:rtl/>
        </w:rPr>
        <w:t>בן</w:t>
      </w:r>
      <w:r>
        <w:rPr>
          <w:rFonts w:cs="Arial"/>
          <w:rtl/>
        </w:rPr>
        <w:t xml:space="preserve"> </w:t>
      </w:r>
      <w:r>
        <w:rPr>
          <w:rFonts w:cs="Arial" w:hint="cs"/>
          <w:rtl/>
        </w:rPr>
        <w:t>יעקב</w:t>
      </w:r>
      <w:r>
        <w:rPr>
          <w:rFonts w:cs="Arial"/>
          <w:rtl/>
        </w:rPr>
        <w:t xml:space="preserve"> </w:t>
      </w:r>
      <w:r>
        <w:rPr>
          <w:rFonts w:cs="Arial" w:hint="cs"/>
          <w:rtl/>
        </w:rPr>
        <w:t>עד</w:t>
      </w:r>
      <w:r>
        <w:rPr>
          <w:rStyle w:val="a7"/>
          <w:rFonts w:cs="Arial"/>
          <w:rtl/>
        </w:rPr>
        <w:footnoteReference w:id="1244"/>
      </w:r>
      <w:r>
        <w:rPr>
          <w:rFonts w:cs="Arial"/>
          <w:rtl/>
        </w:rPr>
        <w:t xml:space="preserve">. </w:t>
      </w:r>
      <w:r>
        <w:rPr>
          <w:rFonts w:cs="Arial" w:hint="cs"/>
          <w:rtl/>
        </w:rPr>
        <w:t>כתב</w:t>
      </w:r>
      <w:r>
        <w:rPr>
          <w:rFonts w:cs="Arial"/>
          <w:rtl/>
        </w:rPr>
        <w:t xml:space="preserve">: </w:t>
      </w:r>
      <w:r>
        <w:rPr>
          <w:rFonts w:cs="Arial" w:hint="cs"/>
          <w:rtl/>
        </w:rPr>
        <w:t>יוסף</w:t>
      </w:r>
      <w:r>
        <w:rPr>
          <w:rFonts w:cs="Arial"/>
          <w:rtl/>
        </w:rPr>
        <w:t xml:space="preserve"> </w:t>
      </w:r>
      <w:r>
        <w:rPr>
          <w:rFonts w:cs="Arial" w:hint="cs"/>
          <w:rtl/>
        </w:rPr>
        <w:t>עד</w:t>
      </w:r>
      <w:r>
        <w:rPr>
          <w:rFonts w:cs="Arial"/>
          <w:rtl/>
        </w:rPr>
        <w:t xml:space="preserve">, </w:t>
      </w:r>
      <w:r>
        <w:rPr>
          <w:rFonts w:cs="Arial" w:hint="cs"/>
          <w:rtl/>
        </w:rPr>
        <w:t>או</w:t>
      </w:r>
      <w:r>
        <w:rPr>
          <w:rFonts w:cs="Arial"/>
          <w:rtl/>
        </w:rPr>
        <w:t xml:space="preserve"> </w:t>
      </w:r>
      <w:r>
        <w:rPr>
          <w:rFonts w:cs="Arial" w:hint="cs"/>
          <w:rtl/>
        </w:rPr>
        <w:t>בן</w:t>
      </w:r>
      <w:r>
        <w:rPr>
          <w:rFonts w:cs="Arial"/>
          <w:rtl/>
        </w:rPr>
        <w:t xml:space="preserve"> </w:t>
      </w:r>
      <w:r>
        <w:rPr>
          <w:rFonts w:cs="Arial" w:hint="cs"/>
          <w:rtl/>
        </w:rPr>
        <w:t>יעקב</w:t>
      </w:r>
      <w:r>
        <w:rPr>
          <w:rFonts w:cs="Arial"/>
          <w:rtl/>
        </w:rPr>
        <w:t xml:space="preserve"> </w:t>
      </w:r>
      <w:r>
        <w:rPr>
          <w:rFonts w:cs="Arial" w:hint="cs"/>
          <w:rtl/>
        </w:rPr>
        <w:t>עד</w:t>
      </w:r>
      <w:r>
        <w:rPr>
          <w:rFonts w:cs="Arial"/>
          <w:rtl/>
        </w:rPr>
        <w:t xml:space="preserve">, </w:t>
      </w:r>
      <w:r>
        <w:rPr>
          <w:rFonts w:cs="Arial" w:hint="cs"/>
          <w:rtl/>
        </w:rPr>
        <w:t>או</w:t>
      </w:r>
      <w:r>
        <w:rPr>
          <w:rFonts w:cs="Arial"/>
          <w:rtl/>
        </w:rPr>
        <w:t xml:space="preserve"> </w:t>
      </w:r>
      <w:r>
        <w:rPr>
          <w:rFonts w:cs="Arial" w:hint="cs"/>
          <w:rtl/>
        </w:rPr>
        <w:t>יוסף</w:t>
      </w:r>
      <w:r>
        <w:rPr>
          <w:rFonts w:cs="Arial"/>
          <w:rtl/>
        </w:rPr>
        <w:t xml:space="preserve"> </w:t>
      </w:r>
      <w:r>
        <w:rPr>
          <w:rFonts w:cs="Arial" w:hint="cs"/>
          <w:rtl/>
        </w:rPr>
        <w:t>בן</w:t>
      </w:r>
      <w:r>
        <w:rPr>
          <w:rFonts w:cs="Arial"/>
          <w:rtl/>
        </w:rPr>
        <w:t xml:space="preserve"> </w:t>
      </w:r>
      <w:r>
        <w:rPr>
          <w:rFonts w:cs="Arial" w:hint="cs"/>
          <w:rtl/>
        </w:rPr>
        <w:t>יעקב</w:t>
      </w:r>
      <w:r>
        <w:rPr>
          <w:rFonts w:cs="Arial"/>
          <w:rtl/>
        </w:rPr>
        <w:t xml:space="preserve"> </w:t>
      </w:r>
      <w:r>
        <w:rPr>
          <w:rFonts w:cs="Arial" w:hint="cs"/>
          <w:rtl/>
        </w:rPr>
        <w:t>ולא</w:t>
      </w:r>
      <w:r>
        <w:rPr>
          <w:rFonts w:cs="Arial"/>
          <w:rtl/>
        </w:rPr>
        <w:t xml:space="preserve"> </w:t>
      </w:r>
      <w:r>
        <w:rPr>
          <w:rFonts w:cs="Arial" w:hint="cs"/>
          <w:rtl/>
        </w:rPr>
        <w:t>כתב</w:t>
      </w:r>
      <w:r>
        <w:rPr>
          <w:rFonts w:cs="Arial"/>
          <w:rtl/>
        </w:rPr>
        <w:t xml:space="preserve"> </w:t>
      </w:r>
      <w:r>
        <w:rPr>
          <w:rFonts w:cs="Arial" w:hint="cs"/>
          <w:rtl/>
        </w:rPr>
        <w:t>עד</w:t>
      </w:r>
      <w:r>
        <w:rPr>
          <w:rFonts w:cs="Arial"/>
          <w:rtl/>
        </w:rPr>
        <w:t xml:space="preserve">, </w:t>
      </w:r>
      <w:r>
        <w:rPr>
          <w:rFonts w:cs="Arial" w:hint="cs"/>
          <w:rtl/>
        </w:rPr>
        <w:t>כשר</w:t>
      </w:r>
      <w:r>
        <w:rPr>
          <w:rFonts w:cs="Arial"/>
          <w:rtl/>
        </w:rPr>
        <w:t xml:space="preserve">. </w:t>
      </w:r>
      <w:r w:rsidRPr="00574D14">
        <w:rPr>
          <w:rFonts w:cs="Arial" w:hint="cs"/>
          <w:sz w:val="18"/>
          <w:szCs w:val="18"/>
          <w:rtl/>
        </w:rPr>
        <w:t>הגה</w:t>
      </w:r>
      <w:r w:rsidRPr="00574D14">
        <w:rPr>
          <w:rFonts w:cs="Arial"/>
          <w:sz w:val="18"/>
          <w:szCs w:val="18"/>
          <w:rtl/>
        </w:rPr>
        <w:t xml:space="preserve">: </w:t>
      </w:r>
      <w:r w:rsidRPr="00574D14">
        <w:rPr>
          <w:rFonts w:cs="Arial" w:hint="cs"/>
          <w:sz w:val="18"/>
          <w:szCs w:val="18"/>
          <w:rtl/>
        </w:rPr>
        <w:t>י</w:t>
      </w:r>
      <w:r w:rsidRPr="00574D14">
        <w:rPr>
          <w:rFonts w:cs="Arial"/>
          <w:sz w:val="18"/>
          <w:szCs w:val="18"/>
          <w:rtl/>
        </w:rPr>
        <w:t>"</w:t>
      </w:r>
      <w:r w:rsidRPr="00574D14">
        <w:rPr>
          <w:rFonts w:cs="Arial" w:hint="cs"/>
          <w:sz w:val="18"/>
          <w:szCs w:val="18"/>
          <w:rtl/>
        </w:rPr>
        <w:t>א</w:t>
      </w:r>
      <w:r w:rsidRPr="00574D14">
        <w:rPr>
          <w:rFonts w:cs="Arial"/>
          <w:sz w:val="18"/>
          <w:szCs w:val="18"/>
          <w:rtl/>
        </w:rPr>
        <w:t xml:space="preserve"> </w:t>
      </w:r>
      <w:r w:rsidRPr="00574D14">
        <w:rPr>
          <w:rFonts w:cs="Arial" w:hint="cs"/>
          <w:sz w:val="18"/>
          <w:szCs w:val="18"/>
          <w:rtl/>
        </w:rPr>
        <w:t>מאחר</w:t>
      </w:r>
      <w:r w:rsidRPr="00574D14">
        <w:rPr>
          <w:rFonts w:cs="Arial"/>
          <w:sz w:val="18"/>
          <w:szCs w:val="18"/>
          <w:rtl/>
        </w:rPr>
        <w:t xml:space="preserve"> </w:t>
      </w:r>
      <w:r w:rsidRPr="00574D14">
        <w:rPr>
          <w:rFonts w:cs="Arial" w:hint="cs"/>
          <w:sz w:val="18"/>
          <w:szCs w:val="18"/>
          <w:rtl/>
        </w:rPr>
        <w:t>דסגי</w:t>
      </w:r>
      <w:r w:rsidRPr="00574D14">
        <w:rPr>
          <w:rFonts w:cs="Arial"/>
          <w:sz w:val="18"/>
          <w:szCs w:val="18"/>
          <w:rtl/>
        </w:rPr>
        <w:t xml:space="preserve"> </w:t>
      </w:r>
      <w:r w:rsidRPr="00574D14">
        <w:rPr>
          <w:rFonts w:cs="Arial" w:hint="cs"/>
          <w:sz w:val="18"/>
          <w:szCs w:val="18"/>
          <w:rtl/>
        </w:rPr>
        <w:t>אם</w:t>
      </w:r>
      <w:r w:rsidRPr="00574D14">
        <w:rPr>
          <w:rFonts w:cs="Arial"/>
          <w:sz w:val="18"/>
          <w:szCs w:val="18"/>
          <w:rtl/>
        </w:rPr>
        <w:t xml:space="preserve"> </w:t>
      </w:r>
      <w:r w:rsidRPr="00574D14">
        <w:rPr>
          <w:rFonts w:cs="Arial" w:hint="cs"/>
          <w:sz w:val="18"/>
          <w:szCs w:val="18"/>
          <w:rtl/>
        </w:rPr>
        <w:t>כתב</w:t>
      </w:r>
      <w:r w:rsidRPr="00574D14">
        <w:rPr>
          <w:rFonts w:cs="Arial"/>
          <w:sz w:val="18"/>
          <w:szCs w:val="18"/>
          <w:rtl/>
        </w:rPr>
        <w:t xml:space="preserve"> </w:t>
      </w:r>
      <w:r w:rsidRPr="00574D14">
        <w:rPr>
          <w:rFonts w:cs="Arial" w:hint="cs"/>
          <w:sz w:val="18"/>
          <w:szCs w:val="18"/>
          <w:rtl/>
        </w:rPr>
        <w:t>יוסף</w:t>
      </w:r>
      <w:r w:rsidRPr="00574D14">
        <w:rPr>
          <w:rFonts w:cs="Arial"/>
          <w:sz w:val="18"/>
          <w:szCs w:val="18"/>
          <w:rtl/>
        </w:rPr>
        <w:t xml:space="preserve"> </w:t>
      </w:r>
      <w:r w:rsidRPr="00574D14">
        <w:rPr>
          <w:rFonts w:cs="Arial" w:hint="cs"/>
          <w:sz w:val="18"/>
          <w:szCs w:val="18"/>
          <w:rtl/>
        </w:rPr>
        <w:t>עד</w:t>
      </w:r>
      <w:r w:rsidRPr="00574D14">
        <w:rPr>
          <w:rFonts w:cs="Arial"/>
          <w:sz w:val="18"/>
          <w:szCs w:val="18"/>
          <w:rtl/>
        </w:rPr>
        <w:t xml:space="preserve">, </w:t>
      </w:r>
      <w:r w:rsidRPr="00574D14">
        <w:rPr>
          <w:rFonts w:cs="Arial" w:hint="cs"/>
          <w:sz w:val="18"/>
          <w:szCs w:val="18"/>
          <w:rtl/>
        </w:rPr>
        <w:t>אם</w:t>
      </w:r>
      <w:r w:rsidRPr="00574D14">
        <w:rPr>
          <w:rFonts w:cs="Arial"/>
          <w:sz w:val="18"/>
          <w:szCs w:val="18"/>
          <w:rtl/>
        </w:rPr>
        <w:t xml:space="preserve"> </w:t>
      </w:r>
      <w:r w:rsidRPr="00574D14">
        <w:rPr>
          <w:rFonts w:cs="Arial" w:hint="cs"/>
          <w:sz w:val="18"/>
          <w:szCs w:val="18"/>
          <w:rtl/>
        </w:rPr>
        <w:t>כן</w:t>
      </w:r>
      <w:r w:rsidRPr="00574D14">
        <w:rPr>
          <w:rFonts w:cs="Arial"/>
          <w:sz w:val="18"/>
          <w:szCs w:val="18"/>
          <w:rtl/>
        </w:rPr>
        <w:t xml:space="preserve"> </w:t>
      </w:r>
      <w:r w:rsidRPr="00574D14">
        <w:rPr>
          <w:rFonts w:cs="Arial" w:hint="cs"/>
          <w:sz w:val="18"/>
          <w:szCs w:val="18"/>
          <w:rtl/>
        </w:rPr>
        <w:t>בן</w:t>
      </w:r>
      <w:r w:rsidRPr="00574D14">
        <w:rPr>
          <w:rFonts w:cs="Arial"/>
          <w:sz w:val="18"/>
          <w:szCs w:val="18"/>
          <w:rtl/>
        </w:rPr>
        <w:t xml:space="preserve"> </w:t>
      </w:r>
      <w:r w:rsidRPr="00574D14">
        <w:rPr>
          <w:rFonts w:cs="Arial" w:hint="cs"/>
          <w:sz w:val="18"/>
          <w:szCs w:val="18"/>
          <w:rtl/>
        </w:rPr>
        <w:t>יעקב</w:t>
      </w:r>
      <w:r w:rsidRPr="00574D14">
        <w:rPr>
          <w:rFonts w:cs="Arial"/>
          <w:sz w:val="18"/>
          <w:szCs w:val="18"/>
          <w:rtl/>
        </w:rPr>
        <w:t xml:space="preserve"> </w:t>
      </w:r>
      <w:r w:rsidRPr="00574D14">
        <w:rPr>
          <w:rFonts w:cs="Arial" w:hint="cs"/>
          <w:sz w:val="18"/>
          <w:szCs w:val="18"/>
          <w:rtl/>
        </w:rPr>
        <w:t>לא</w:t>
      </w:r>
      <w:r w:rsidRPr="00574D14">
        <w:rPr>
          <w:rFonts w:cs="Arial"/>
          <w:sz w:val="18"/>
          <w:szCs w:val="18"/>
          <w:rtl/>
        </w:rPr>
        <w:t xml:space="preserve"> </w:t>
      </w:r>
      <w:r w:rsidRPr="00574D14">
        <w:rPr>
          <w:rFonts w:cs="Arial" w:hint="cs"/>
          <w:sz w:val="18"/>
          <w:szCs w:val="18"/>
          <w:rtl/>
        </w:rPr>
        <w:t>צריך</w:t>
      </w:r>
      <w:r w:rsidRPr="00574D14">
        <w:rPr>
          <w:rFonts w:cs="Arial"/>
          <w:sz w:val="18"/>
          <w:szCs w:val="18"/>
          <w:rtl/>
        </w:rPr>
        <w:t xml:space="preserve"> </w:t>
      </w:r>
      <w:r w:rsidRPr="00574D14">
        <w:rPr>
          <w:rFonts w:cs="Arial" w:hint="cs"/>
          <w:sz w:val="18"/>
          <w:szCs w:val="18"/>
          <w:rtl/>
        </w:rPr>
        <w:t>למכתב</w:t>
      </w:r>
      <w:r w:rsidRPr="00574D14">
        <w:rPr>
          <w:rFonts w:cs="Arial"/>
          <w:sz w:val="18"/>
          <w:szCs w:val="18"/>
          <w:rtl/>
        </w:rPr>
        <w:t xml:space="preserve">, </w:t>
      </w:r>
      <w:r w:rsidRPr="00574D14">
        <w:rPr>
          <w:rFonts w:cs="Arial" w:hint="cs"/>
          <w:sz w:val="18"/>
          <w:szCs w:val="18"/>
          <w:rtl/>
        </w:rPr>
        <w:t>ואם</w:t>
      </w:r>
      <w:r w:rsidRPr="00574D14">
        <w:rPr>
          <w:rFonts w:cs="Arial"/>
          <w:sz w:val="18"/>
          <w:szCs w:val="18"/>
          <w:rtl/>
        </w:rPr>
        <w:t xml:space="preserve"> </w:t>
      </w:r>
      <w:r w:rsidRPr="00574D14">
        <w:rPr>
          <w:rFonts w:cs="Arial" w:hint="cs"/>
          <w:sz w:val="18"/>
          <w:szCs w:val="18"/>
          <w:rtl/>
        </w:rPr>
        <w:t>טעה</w:t>
      </w:r>
      <w:r w:rsidRPr="00574D14">
        <w:rPr>
          <w:rFonts w:cs="Arial"/>
          <w:sz w:val="18"/>
          <w:szCs w:val="18"/>
          <w:rtl/>
        </w:rPr>
        <w:t xml:space="preserve"> </w:t>
      </w:r>
      <w:r w:rsidRPr="00574D14">
        <w:rPr>
          <w:rFonts w:cs="Arial" w:hint="cs"/>
          <w:sz w:val="18"/>
          <w:szCs w:val="18"/>
          <w:rtl/>
        </w:rPr>
        <w:t>או</w:t>
      </w:r>
      <w:r w:rsidRPr="00574D14">
        <w:rPr>
          <w:rFonts w:cs="Arial"/>
          <w:sz w:val="18"/>
          <w:szCs w:val="18"/>
          <w:rtl/>
        </w:rPr>
        <w:t xml:space="preserve"> </w:t>
      </w:r>
      <w:r w:rsidRPr="00574D14">
        <w:rPr>
          <w:rFonts w:cs="Arial" w:hint="cs"/>
          <w:sz w:val="18"/>
          <w:szCs w:val="18"/>
          <w:rtl/>
        </w:rPr>
        <w:t>שינה</w:t>
      </w:r>
      <w:r>
        <w:rPr>
          <w:rStyle w:val="a7"/>
          <w:rFonts w:cs="Arial"/>
          <w:sz w:val="18"/>
          <w:szCs w:val="18"/>
          <w:rtl/>
        </w:rPr>
        <w:footnoteReference w:id="1245"/>
      </w:r>
      <w:r w:rsidRPr="00574D14">
        <w:rPr>
          <w:rFonts w:cs="Arial"/>
          <w:sz w:val="18"/>
          <w:szCs w:val="18"/>
          <w:rtl/>
        </w:rPr>
        <w:t xml:space="preserve"> </w:t>
      </w:r>
      <w:r w:rsidRPr="00574D14">
        <w:rPr>
          <w:rFonts w:cs="Arial" w:hint="cs"/>
          <w:sz w:val="18"/>
          <w:szCs w:val="18"/>
          <w:rtl/>
        </w:rPr>
        <w:t>בו</w:t>
      </w:r>
      <w:r w:rsidRPr="00574D14">
        <w:rPr>
          <w:rFonts w:cs="Arial"/>
          <w:sz w:val="18"/>
          <w:szCs w:val="18"/>
          <w:rtl/>
        </w:rPr>
        <w:t xml:space="preserve">, </w:t>
      </w:r>
      <w:r w:rsidRPr="00574D14">
        <w:rPr>
          <w:rFonts w:cs="Arial" w:hint="cs"/>
          <w:sz w:val="18"/>
          <w:szCs w:val="18"/>
          <w:rtl/>
        </w:rPr>
        <w:t>אין</w:t>
      </w:r>
      <w:r w:rsidRPr="00574D14">
        <w:rPr>
          <w:rFonts w:cs="Arial"/>
          <w:sz w:val="18"/>
          <w:szCs w:val="18"/>
          <w:rtl/>
        </w:rPr>
        <w:t xml:space="preserve"> </w:t>
      </w:r>
      <w:r w:rsidRPr="00574D14">
        <w:rPr>
          <w:rFonts w:cs="Arial" w:hint="cs"/>
          <w:sz w:val="18"/>
          <w:szCs w:val="18"/>
          <w:rtl/>
        </w:rPr>
        <w:t>לפסול</w:t>
      </w:r>
      <w:r w:rsidRPr="00574D14">
        <w:rPr>
          <w:rFonts w:cs="Arial"/>
          <w:sz w:val="18"/>
          <w:szCs w:val="18"/>
          <w:rtl/>
        </w:rPr>
        <w:t xml:space="preserve"> (</w:t>
      </w:r>
      <w:r w:rsidRPr="00574D14">
        <w:rPr>
          <w:rFonts w:cs="Arial" w:hint="cs"/>
          <w:sz w:val="18"/>
          <w:szCs w:val="18"/>
          <w:rtl/>
        </w:rPr>
        <w:t>ת</w:t>
      </w:r>
      <w:r>
        <w:rPr>
          <w:rFonts w:cs="Arial" w:hint="cs"/>
          <w:sz w:val="18"/>
          <w:szCs w:val="18"/>
          <w:rtl/>
        </w:rPr>
        <w:t>רוה"ד</w:t>
      </w:r>
      <w:r w:rsidRPr="00574D14">
        <w:rPr>
          <w:rFonts w:cs="Arial"/>
          <w:sz w:val="18"/>
          <w:szCs w:val="18"/>
          <w:rtl/>
        </w:rPr>
        <w:t xml:space="preserve">), </w:t>
      </w:r>
      <w:r w:rsidRPr="00574D14">
        <w:rPr>
          <w:rFonts w:cs="Arial" w:hint="cs"/>
          <w:sz w:val="18"/>
          <w:szCs w:val="18"/>
          <w:rtl/>
        </w:rPr>
        <w:t>וכמו</w:t>
      </w:r>
      <w:r w:rsidRPr="00574D14">
        <w:rPr>
          <w:rFonts w:cs="Arial"/>
          <w:sz w:val="18"/>
          <w:szCs w:val="18"/>
          <w:rtl/>
        </w:rPr>
        <w:t xml:space="preserve"> </w:t>
      </w:r>
      <w:r w:rsidRPr="00574D14">
        <w:rPr>
          <w:rFonts w:cs="Arial" w:hint="cs"/>
          <w:sz w:val="18"/>
          <w:szCs w:val="18"/>
          <w:rtl/>
        </w:rPr>
        <w:t>שנתבאר</w:t>
      </w:r>
      <w:r w:rsidRPr="00574D14">
        <w:rPr>
          <w:rFonts w:cs="Arial"/>
          <w:sz w:val="18"/>
          <w:szCs w:val="18"/>
          <w:rtl/>
        </w:rPr>
        <w:t xml:space="preserve"> </w:t>
      </w:r>
      <w:r w:rsidRPr="00574D14">
        <w:rPr>
          <w:rFonts w:cs="Arial" w:hint="cs"/>
          <w:sz w:val="18"/>
          <w:szCs w:val="18"/>
          <w:rtl/>
        </w:rPr>
        <w:t>לעיל</w:t>
      </w:r>
      <w:r w:rsidRPr="00574D14">
        <w:rPr>
          <w:rFonts w:cs="Arial"/>
          <w:sz w:val="18"/>
          <w:szCs w:val="18"/>
          <w:rtl/>
        </w:rPr>
        <w:t xml:space="preserve"> </w:t>
      </w:r>
      <w:r w:rsidRPr="00574D14">
        <w:rPr>
          <w:rFonts w:cs="Arial" w:hint="cs"/>
          <w:sz w:val="18"/>
          <w:szCs w:val="18"/>
          <w:rtl/>
        </w:rPr>
        <w:t>סימן</w:t>
      </w:r>
      <w:r w:rsidRPr="00574D14">
        <w:rPr>
          <w:rFonts w:cs="Arial"/>
          <w:sz w:val="18"/>
          <w:szCs w:val="18"/>
          <w:rtl/>
        </w:rPr>
        <w:t xml:space="preserve"> </w:t>
      </w:r>
      <w:r w:rsidRPr="00574D14">
        <w:rPr>
          <w:rFonts w:cs="Arial" w:hint="cs"/>
          <w:sz w:val="18"/>
          <w:szCs w:val="18"/>
          <w:rtl/>
        </w:rPr>
        <w:t>קכ</w:t>
      </w:r>
      <w:r w:rsidRPr="00574D14">
        <w:rPr>
          <w:rFonts w:cs="Arial"/>
          <w:sz w:val="18"/>
          <w:szCs w:val="18"/>
          <w:rtl/>
        </w:rPr>
        <w:t>"</w:t>
      </w:r>
      <w:r w:rsidRPr="00574D14">
        <w:rPr>
          <w:rFonts w:cs="Arial" w:hint="cs"/>
          <w:sz w:val="18"/>
          <w:szCs w:val="18"/>
          <w:rtl/>
        </w:rPr>
        <w:t>ח</w:t>
      </w:r>
      <w:r w:rsidRPr="00574D14">
        <w:rPr>
          <w:rFonts w:cs="Arial"/>
          <w:sz w:val="18"/>
          <w:szCs w:val="18"/>
          <w:rtl/>
        </w:rPr>
        <w:t xml:space="preserve"> </w:t>
      </w:r>
      <w:r w:rsidRPr="00574D14">
        <w:rPr>
          <w:rFonts w:cs="Arial" w:hint="cs"/>
          <w:sz w:val="18"/>
          <w:szCs w:val="18"/>
          <w:rtl/>
        </w:rPr>
        <w:t>בכיוצא</w:t>
      </w:r>
      <w:r w:rsidRPr="00574D14">
        <w:rPr>
          <w:rFonts w:cs="Arial"/>
          <w:sz w:val="18"/>
          <w:szCs w:val="18"/>
          <w:rtl/>
        </w:rPr>
        <w:t xml:space="preserve"> </w:t>
      </w:r>
      <w:r w:rsidRPr="00574D14">
        <w:rPr>
          <w:rFonts w:cs="Arial" w:hint="cs"/>
          <w:sz w:val="18"/>
          <w:szCs w:val="18"/>
          <w:rtl/>
        </w:rPr>
        <w:t>בזה</w:t>
      </w:r>
      <w:r>
        <w:rPr>
          <w:rFonts w:cs="Arial" w:hint="cs"/>
          <w:sz w:val="18"/>
          <w:szCs w:val="18"/>
          <w:rtl/>
        </w:rPr>
        <w:t>.</w:t>
      </w:r>
      <w:r w:rsidRPr="00574D14">
        <w:rPr>
          <w:rFonts w:cs="Arial"/>
          <w:sz w:val="18"/>
          <w:szCs w:val="18"/>
          <w:rtl/>
        </w:rPr>
        <w:t xml:space="preserve"> </w:t>
      </w:r>
      <w:r w:rsidRPr="00574D14">
        <w:rPr>
          <w:rFonts w:cs="Arial" w:hint="cs"/>
          <w:sz w:val="18"/>
          <w:szCs w:val="18"/>
          <w:rtl/>
        </w:rPr>
        <w:t>ואין</w:t>
      </w:r>
      <w:r w:rsidRPr="00574D14">
        <w:rPr>
          <w:rFonts w:cs="Arial"/>
          <w:sz w:val="18"/>
          <w:szCs w:val="18"/>
          <w:rtl/>
        </w:rPr>
        <w:t xml:space="preserve"> </w:t>
      </w:r>
      <w:r w:rsidRPr="00574D14">
        <w:rPr>
          <w:rFonts w:cs="Arial" w:hint="cs"/>
          <w:sz w:val="18"/>
          <w:szCs w:val="18"/>
          <w:rtl/>
        </w:rPr>
        <w:t>לסמוך</w:t>
      </w:r>
      <w:r w:rsidRPr="00574D14">
        <w:rPr>
          <w:rFonts w:cs="Arial"/>
          <w:sz w:val="18"/>
          <w:szCs w:val="18"/>
          <w:rtl/>
        </w:rPr>
        <w:t xml:space="preserve"> </w:t>
      </w:r>
      <w:r w:rsidRPr="00574D14">
        <w:rPr>
          <w:rFonts w:cs="Arial" w:hint="cs"/>
          <w:sz w:val="18"/>
          <w:szCs w:val="18"/>
          <w:rtl/>
        </w:rPr>
        <w:t>על</w:t>
      </w:r>
      <w:r w:rsidRPr="00574D14">
        <w:rPr>
          <w:rFonts w:cs="Arial"/>
          <w:sz w:val="18"/>
          <w:szCs w:val="18"/>
          <w:rtl/>
        </w:rPr>
        <w:t xml:space="preserve"> </w:t>
      </w:r>
      <w:r w:rsidRPr="00574D14">
        <w:rPr>
          <w:rFonts w:cs="Arial" w:hint="cs"/>
          <w:sz w:val="18"/>
          <w:szCs w:val="18"/>
          <w:rtl/>
        </w:rPr>
        <w:t>זה</w:t>
      </w:r>
      <w:r w:rsidRPr="00574D14">
        <w:rPr>
          <w:rFonts w:cs="Arial"/>
          <w:sz w:val="18"/>
          <w:szCs w:val="18"/>
          <w:rtl/>
        </w:rPr>
        <w:t xml:space="preserve"> </w:t>
      </w:r>
      <w:r w:rsidRPr="00574D14">
        <w:rPr>
          <w:rFonts w:cs="Arial" w:hint="cs"/>
          <w:sz w:val="18"/>
          <w:szCs w:val="18"/>
          <w:rtl/>
        </w:rPr>
        <w:t>רק</w:t>
      </w:r>
      <w:r w:rsidRPr="00574D14">
        <w:rPr>
          <w:rFonts w:cs="Arial"/>
          <w:sz w:val="18"/>
          <w:szCs w:val="18"/>
          <w:rtl/>
        </w:rPr>
        <w:t xml:space="preserve"> </w:t>
      </w:r>
      <w:r w:rsidRPr="00574D14">
        <w:rPr>
          <w:rFonts w:cs="Arial" w:hint="cs"/>
          <w:sz w:val="18"/>
          <w:szCs w:val="18"/>
          <w:rtl/>
        </w:rPr>
        <w:t>בשעת</w:t>
      </w:r>
      <w:r w:rsidRPr="00574D14">
        <w:rPr>
          <w:rFonts w:cs="Arial"/>
          <w:sz w:val="18"/>
          <w:szCs w:val="18"/>
          <w:rtl/>
        </w:rPr>
        <w:t xml:space="preserve"> </w:t>
      </w:r>
      <w:r w:rsidRPr="00574D14">
        <w:rPr>
          <w:rFonts w:cs="Arial" w:hint="cs"/>
          <w:sz w:val="18"/>
          <w:szCs w:val="18"/>
          <w:rtl/>
        </w:rPr>
        <w:t>הדחק</w:t>
      </w:r>
      <w:r w:rsidRPr="00574D14">
        <w:rPr>
          <w:rFonts w:cs="Arial"/>
          <w:sz w:val="18"/>
          <w:szCs w:val="18"/>
          <w:rtl/>
        </w:rPr>
        <w:t xml:space="preserve"> </w:t>
      </w:r>
      <w:r w:rsidRPr="00574D14">
        <w:rPr>
          <w:rFonts w:cs="Arial" w:hint="cs"/>
          <w:sz w:val="18"/>
          <w:szCs w:val="18"/>
          <w:rtl/>
        </w:rPr>
        <w:t>ובמקום</w:t>
      </w:r>
      <w:r w:rsidRPr="00574D14">
        <w:rPr>
          <w:rFonts w:cs="Arial"/>
          <w:sz w:val="18"/>
          <w:szCs w:val="18"/>
          <w:rtl/>
        </w:rPr>
        <w:t xml:space="preserve"> </w:t>
      </w:r>
      <w:r w:rsidRPr="00574D14">
        <w:rPr>
          <w:rFonts w:cs="Arial" w:hint="cs"/>
          <w:sz w:val="18"/>
          <w:szCs w:val="18"/>
          <w:rtl/>
        </w:rPr>
        <w:t>עגון</w:t>
      </w:r>
      <w:r>
        <w:rPr>
          <w:rFonts w:cs="Arial" w:hint="cs"/>
          <w:sz w:val="18"/>
          <w:szCs w:val="18"/>
          <w:rtl/>
        </w:rPr>
        <w:t xml:space="preserve">. </w:t>
      </w:r>
      <w:r w:rsidRPr="00574D14">
        <w:rPr>
          <w:rFonts w:cs="Arial" w:hint="cs"/>
          <w:sz w:val="18"/>
          <w:szCs w:val="18"/>
          <w:rtl/>
        </w:rPr>
        <w:t>וע</w:t>
      </w:r>
      <w:r w:rsidRPr="00574D14">
        <w:rPr>
          <w:rFonts w:cs="Arial"/>
          <w:sz w:val="18"/>
          <w:szCs w:val="18"/>
          <w:rtl/>
        </w:rPr>
        <w:t>"</w:t>
      </w:r>
      <w:r w:rsidRPr="00574D14">
        <w:rPr>
          <w:rFonts w:cs="Arial" w:hint="cs"/>
          <w:sz w:val="18"/>
          <w:szCs w:val="18"/>
          <w:rtl/>
        </w:rPr>
        <w:t>ל</w:t>
      </w:r>
      <w:r w:rsidRPr="00574D14">
        <w:rPr>
          <w:rFonts w:cs="Arial"/>
          <w:sz w:val="18"/>
          <w:szCs w:val="18"/>
          <w:rtl/>
        </w:rPr>
        <w:t xml:space="preserve"> </w:t>
      </w:r>
      <w:r w:rsidRPr="00574D14">
        <w:rPr>
          <w:rFonts w:cs="Arial" w:hint="cs"/>
          <w:sz w:val="18"/>
          <w:szCs w:val="18"/>
          <w:rtl/>
        </w:rPr>
        <w:t>סי</w:t>
      </w:r>
      <w:r w:rsidRPr="00574D14">
        <w:rPr>
          <w:rFonts w:cs="Arial"/>
          <w:sz w:val="18"/>
          <w:szCs w:val="18"/>
          <w:rtl/>
        </w:rPr>
        <w:t xml:space="preserve">' </w:t>
      </w:r>
      <w:r w:rsidRPr="00574D14">
        <w:rPr>
          <w:rFonts w:cs="Arial" w:hint="cs"/>
          <w:sz w:val="18"/>
          <w:szCs w:val="18"/>
          <w:rtl/>
        </w:rPr>
        <w:t>קכ</w:t>
      </w:r>
      <w:r w:rsidRPr="00574D14">
        <w:rPr>
          <w:rFonts w:cs="Arial"/>
          <w:sz w:val="18"/>
          <w:szCs w:val="18"/>
          <w:rtl/>
        </w:rPr>
        <w:t>"</w:t>
      </w:r>
      <w:r w:rsidRPr="00574D14">
        <w:rPr>
          <w:rFonts w:cs="Arial" w:hint="cs"/>
          <w:sz w:val="18"/>
          <w:szCs w:val="18"/>
          <w:rtl/>
        </w:rPr>
        <w:t>ח</w:t>
      </w:r>
      <w:r w:rsidRPr="00574D14">
        <w:rPr>
          <w:rFonts w:cs="Arial"/>
          <w:sz w:val="18"/>
          <w:szCs w:val="18"/>
          <w:rtl/>
        </w:rPr>
        <w:t xml:space="preserve"> </w:t>
      </w:r>
      <w:r w:rsidRPr="00574D14">
        <w:rPr>
          <w:rFonts w:cs="Arial" w:hint="cs"/>
          <w:sz w:val="18"/>
          <w:szCs w:val="18"/>
          <w:rtl/>
        </w:rPr>
        <w:t>עד</w:t>
      </w:r>
      <w:r w:rsidRPr="00574D14">
        <w:rPr>
          <w:rFonts w:cs="Arial"/>
          <w:sz w:val="18"/>
          <w:szCs w:val="18"/>
          <w:rtl/>
        </w:rPr>
        <w:t xml:space="preserve"> </w:t>
      </w:r>
      <w:r w:rsidRPr="00574D14">
        <w:rPr>
          <w:rFonts w:cs="Arial" w:hint="cs"/>
          <w:sz w:val="18"/>
          <w:szCs w:val="18"/>
          <w:rtl/>
        </w:rPr>
        <w:t>שיש</w:t>
      </w:r>
      <w:r w:rsidRPr="00574D14">
        <w:rPr>
          <w:rFonts w:cs="Arial"/>
          <w:sz w:val="18"/>
          <w:szCs w:val="18"/>
          <w:rtl/>
        </w:rPr>
        <w:t xml:space="preserve"> </w:t>
      </w:r>
      <w:r w:rsidRPr="00574D14">
        <w:rPr>
          <w:rFonts w:cs="Arial" w:hint="cs"/>
          <w:sz w:val="18"/>
          <w:szCs w:val="18"/>
          <w:rtl/>
        </w:rPr>
        <w:t>לו</w:t>
      </w:r>
      <w:r w:rsidRPr="00574D14">
        <w:rPr>
          <w:rFonts w:cs="Arial"/>
          <w:sz w:val="18"/>
          <w:szCs w:val="18"/>
          <w:rtl/>
        </w:rPr>
        <w:t xml:space="preserve"> </w:t>
      </w:r>
      <w:r w:rsidRPr="00574D14">
        <w:rPr>
          <w:rFonts w:cs="Arial" w:hint="cs"/>
          <w:sz w:val="18"/>
          <w:szCs w:val="18"/>
          <w:rtl/>
        </w:rPr>
        <w:t>שני</w:t>
      </w:r>
      <w:r w:rsidRPr="00574D14">
        <w:rPr>
          <w:rFonts w:cs="Arial"/>
          <w:sz w:val="18"/>
          <w:szCs w:val="18"/>
          <w:rtl/>
        </w:rPr>
        <w:t xml:space="preserve"> </w:t>
      </w:r>
      <w:r w:rsidRPr="00574D14">
        <w:rPr>
          <w:rFonts w:cs="Arial" w:hint="cs"/>
          <w:sz w:val="18"/>
          <w:szCs w:val="18"/>
          <w:rtl/>
        </w:rPr>
        <w:t>שמות</w:t>
      </w:r>
      <w:r w:rsidRPr="00574D14">
        <w:rPr>
          <w:rFonts w:cs="Arial"/>
          <w:sz w:val="18"/>
          <w:szCs w:val="18"/>
          <w:rtl/>
        </w:rPr>
        <w:t xml:space="preserve"> </w:t>
      </w:r>
      <w:r w:rsidRPr="00574D14">
        <w:rPr>
          <w:rFonts w:cs="Arial" w:hint="cs"/>
          <w:sz w:val="18"/>
          <w:szCs w:val="18"/>
          <w:rtl/>
        </w:rPr>
        <w:t>כיצד</w:t>
      </w:r>
      <w:r w:rsidRPr="00574D14">
        <w:rPr>
          <w:rFonts w:cs="Arial"/>
          <w:sz w:val="18"/>
          <w:szCs w:val="18"/>
          <w:rtl/>
        </w:rPr>
        <w:t xml:space="preserve"> </w:t>
      </w:r>
      <w:r w:rsidRPr="00574D14">
        <w:rPr>
          <w:rFonts w:cs="Arial" w:hint="cs"/>
          <w:sz w:val="18"/>
          <w:szCs w:val="18"/>
          <w:rtl/>
        </w:rPr>
        <w:t>יחתום</w:t>
      </w:r>
      <w:r w:rsidRPr="00574D14">
        <w:rPr>
          <w:rFonts w:cs="Arial"/>
          <w:sz w:val="18"/>
          <w:szCs w:val="18"/>
          <w:rtl/>
        </w:rPr>
        <w:t xml:space="preserve"> </w:t>
      </w:r>
      <w:r w:rsidRPr="00574D14">
        <w:rPr>
          <w:rFonts w:cs="Arial" w:hint="cs"/>
          <w:sz w:val="18"/>
          <w:szCs w:val="18"/>
          <w:rtl/>
        </w:rPr>
        <w:t>עצמו</w:t>
      </w:r>
      <w:r w:rsidRPr="00574D14">
        <w:rPr>
          <w:rFonts w:cs="Arial"/>
          <w:sz w:val="18"/>
          <w:szCs w:val="18"/>
          <w:rtl/>
        </w:rPr>
        <w:t xml:space="preserve">. </w:t>
      </w:r>
      <w:r w:rsidRPr="00574D14">
        <w:rPr>
          <w:rFonts w:cs="Arial" w:hint="cs"/>
          <w:sz w:val="18"/>
          <w:szCs w:val="18"/>
          <w:rtl/>
        </w:rPr>
        <w:t>ואין</w:t>
      </w:r>
      <w:r w:rsidRPr="00574D14">
        <w:rPr>
          <w:rFonts w:cs="Arial"/>
          <w:sz w:val="18"/>
          <w:szCs w:val="18"/>
          <w:rtl/>
        </w:rPr>
        <w:t xml:space="preserve"> </w:t>
      </w:r>
      <w:r w:rsidRPr="00574D14">
        <w:rPr>
          <w:rFonts w:cs="Arial" w:hint="cs"/>
          <w:sz w:val="18"/>
          <w:szCs w:val="18"/>
          <w:rtl/>
        </w:rPr>
        <w:t>העד</w:t>
      </w:r>
      <w:r w:rsidRPr="00574D14">
        <w:rPr>
          <w:rFonts w:cs="Arial"/>
          <w:sz w:val="18"/>
          <w:szCs w:val="18"/>
          <w:rtl/>
        </w:rPr>
        <w:t xml:space="preserve"> </w:t>
      </w:r>
      <w:r w:rsidRPr="00574D14">
        <w:rPr>
          <w:rFonts w:cs="Arial" w:hint="cs"/>
          <w:sz w:val="18"/>
          <w:szCs w:val="18"/>
          <w:rtl/>
        </w:rPr>
        <w:t>צריך</w:t>
      </w:r>
      <w:r w:rsidRPr="00574D14">
        <w:rPr>
          <w:rFonts w:cs="Arial"/>
          <w:sz w:val="18"/>
          <w:szCs w:val="18"/>
          <w:rtl/>
        </w:rPr>
        <w:t xml:space="preserve"> </w:t>
      </w:r>
      <w:r w:rsidRPr="00574D14">
        <w:rPr>
          <w:rFonts w:cs="Arial" w:hint="cs"/>
          <w:sz w:val="18"/>
          <w:szCs w:val="18"/>
          <w:rtl/>
        </w:rPr>
        <w:t>לחתום</w:t>
      </w:r>
      <w:r w:rsidRPr="00574D14">
        <w:rPr>
          <w:rFonts w:cs="Arial"/>
          <w:sz w:val="18"/>
          <w:szCs w:val="18"/>
          <w:rtl/>
        </w:rPr>
        <w:t xml:space="preserve"> </w:t>
      </w:r>
      <w:r w:rsidRPr="00574D14">
        <w:rPr>
          <w:rFonts w:cs="Arial" w:hint="cs"/>
          <w:sz w:val="18"/>
          <w:szCs w:val="18"/>
          <w:rtl/>
        </w:rPr>
        <w:t>עצמו</w:t>
      </w:r>
      <w:r w:rsidRPr="00574D14">
        <w:rPr>
          <w:rFonts w:cs="Arial"/>
          <w:sz w:val="18"/>
          <w:szCs w:val="18"/>
          <w:rtl/>
        </w:rPr>
        <w:t xml:space="preserve"> </w:t>
      </w:r>
      <w:r w:rsidRPr="00574D14">
        <w:rPr>
          <w:rFonts w:cs="Arial" w:hint="cs"/>
          <w:sz w:val="18"/>
          <w:szCs w:val="18"/>
          <w:rtl/>
        </w:rPr>
        <w:t>בחניכתו</w:t>
      </w:r>
      <w:r w:rsidRPr="00574D14">
        <w:rPr>
          <w:rFonts w:cs="Arial"/>
          <w:sz w:val="18"/>
          <w:szCs w:val="18"/>
          <w:rtl/>
        </w:rPr>
        <w:t xml:space="preserve"> </w:t>
      </w:r>
      <w:r w:rsidRPr="00574D14">
        <w:rPr>
          <w:rFonts w:cs="Arial" w:hint="cs"/>
          <w:sz w:val="18"/>
          <w:szCs w:val="18"/>
          <w:rtl/>
        </w:rPr>
        <w:t>אפילו</w:t>
      </w:r>
      <w:r w:rsidRPr="00574D14">
        <w:rPr>
          <w:rFonts w:cs="Arial"/>
          <w:sz w:val="18"/>
          <w:szCs w:val="18"/>
          <w:rtl/>
        </w:rPr>
        <w:t xml:space="preserve"> </w:t>
      </w:r>
      <w:r w:rsidRPr="00574D14">
        <w:rPr>
          <w:rFonts w:cs="Arial" w:hint="cs"/>
          <w:sz w:val="18"/>
          <w:szCs w:val="18"/>
          <w:rtl/>
        </w:rPr>
        <w:t>לכתחלה</w:t>
      </w:r>
      <w:r w:rsidR="005A20BA">
        <w:rPr>
          <w:rFonts w:cs="Arial" w:hint="cs"/>
          <w:sz w:val="18"/>
          <w:szCs w:val="18"/>
          <w:rtl/>
        </w:rPr>
        <w:t xml:space="preserve"> </w:t>
      </w:r>
      <w:r w:rsidR="005A20BA" w:rsidRPr="00574D14">
        <w:rPr>
          <w:rFonts w:cs="Arial"/>
          <w:sz w:val="18"/>
          <w:szCs w:val="18"/>
          <w:rtl/>
        </w:rPr>
        <w:t>(</w:t>
      </w:r>
      <w:r w:rsidR="005A20BA">
        <w:rPr>
          <w:rFonts w:cs="Arial" w:hint="cs"/>
          <w:sz w:val="18"/>
          <w:szCs w:val="18"/>
          <w:rtl/>
        </w:rPr>
        <w:t>תרוה"ד</w:t>
      </w:r>
      <w:r w:rsidR="005A20BA" w:rsidRPr="00574D14">
        <w:rPr>
          <w:rFonts w:cs="Arial"/>
          <w:sz w:val="18"/>
          <w:szCs w:val="18"/>
          <w:rtl/>
        </w:rPr>
        <w:t>)</w:t>
      </w:r>
      <w:r>
        <w:rPr>
          <w:rFonts w:cs="Arial" w:hint="cs"/>
          <w:sz w:val="18"/>
          <w:szCs w:val="18"/>
          <w:rtl/>
        </w:rPr>
        <w:t>.</w:t>
      </w:r>
      <w:r w:rsidRPr="00574D14">
        <w:rPr>
          <w:rFonts w:cs="Arial"/>
          <w:sz w:val="18"/>
          <w:szCs w:val="18"/>
          <w:rtl/>
        </w:rPr>
        <w:t xml:space="preserve"> </w:t>
      </w:r>
      <w:r w:rsidRPr="00574D14">
        <w:rPr>
          <w:rFonts w:cs="Arial" w:hint="cs"/>
          <w:sz w:val="18"/>
          <w:szCs w:val="18"/>
          <w:rtl/>
        </w:rPr>
        <w:t>גם</w:t>
      </w:r>
      <w:r w:rsidRPr="00574D14">
        <w:rPr>
          <w:rFonts w:cs="Arial"/>
          <w:sz w:val="18"/>
          <w:szCs w:val="18"/>
          <w:rtl/>
        </w:rPr>
        <w:t xml:space="preserve"> </w:t>
      </w:r>
      <w:r w:rsidRPr="00574D14">
        <w:rPr>
          <w:rFonts w:cs="Arial" w:hint="cs"/>
          <w:sz w:val="18"/>
          <w:szCs w:val="18"/>
          <w:rtl/>
        </w:rPr>
        <w:t>לא</w:t>
      </w:r>
      <w:r w:rsidRPr="00574D14">
        <w:rPr>
          <w:rFonts w:cs="Arial"/>
          <w:sz w:val="18"/>
          <w:szCs w:val="18"/>
          <w:rtl/>
        </w:rPr>
        <w:t xml:space="preserve"> </w:t>
      </w:r>
      <w:r w:rsidRPr="00574D14">
        <w:rPr>
          <w:rFonts w:cs="Arial" w:hint="cs"/>
          <w:sz w:val="18"/>
          <w:szCs w:val="18"/>
          <w:rtl/>
        </w:rPr>
        <w:t>יחתום</w:t>
      </w:r>
      <w:r w:rsidRPr="00574D14">
        <w:rPr>
          <w:rFonts w:cs="Arial"/>
          <w:sz w:val="18"/>
          <w:szCs w:val="18"/>
          <w:rtl/>
        </w:rPr>
        <w:t xml:space="preserve"> </w:t>
      </w:r>
      <w:r w:rsidRPr="00574D14">
        <w:rPr>
          <w:rFonts w:cs="Arial" w:hint="cs"/>
          <w:sz w:val="18"/>
          <w:szCs w:val="18"/>
          <w:rtl/>
        </w:rPr>
        <w:t>עצמו</w:t>
      </w:r>
      <w:r w:rsidRPr="00574D14">
        <w:rPr>
          <w:rFonts w:cs="Arial"/>
          <w:sz w:val="18"/>
          <w:szCs w:val="18"/>
          <w:rtl/>
        </w:rPr>
        <w:t xml:space="preserve"> </w:t>
      </w:r>
      <w:r w:rsidRPr="00574D14">
        <w:rPr>
          <w:rFonts w:cs="Arial" w:hint="cs"/>
          <w:sz w:val="18"/>
          <w:szCs w:val="18"/>
          <w:rtl/>
        </w:rPr>
        <w:t>או</w:t>
      </w:r>
      <w:r w:rsidRPr="00574D14">
        <w:rPr>
          <w:rFonts w:cs="Arial"/>
          <w:sz w:val="18"/>
          <w:szCs w:val="18"/>
          <w:rtl/>
        </w:rPr>
        <w:t xml:space="preserve"> </w:t>
      </w:r>
      <w:r w:rsidRPr="00574D14">
        <w:rPr>
          <w:rFonts w:cs="Arial" w:hint="cs"/>
          <w:sz w:val="18"/>
          <w:szCs w:val="18"/>
          <w:rtl/>
        </w:rPr>
        <w:t>אביו</w:t>
      </w:r>
      <w:r w:rsidRPr="00574D14">
        <w:rPr>
          <w:rFonts w:cs="Arial"/>
          <w:sz w:val="18"/>
          <w:szCs w:val="18"/>
          <w:rtl/>
        </w:rPr>
        <w:t xml:space="preserve"> </w:t>
      </w:r>
      <w:r w:rsidRPr="00574D14">
        <w:rPr>
          <w:rFonts w:cs="Arial" w:hint="cs"/>
          <w:sz w:val="18"/>
          <w:szCs w:val="18"/>
          <w:rtl/>
        </w:rPr>
        <w:t>בשם</w:t>
      </w:r>
      <w:r w:rsidRPr="00574D14">
        <w:rPr>
          <w:rFonts w:cs="Arial"/>
          <w:sz w:val="18"/>
          <w:szCs w:val="18"/>
          <w:rtl/>
        </w:rPr>
        <w:t xml:space="preserve"> </w:t>
      </w:r>
      <w:r w:rsidRPr="00574D14">
        <w:rPr>
          <w:rFonts w:cs="Arial" w:hint="cs"/>
          <w:sz w:val="18"/>
          <w:szCs w:val="18"/>
          <w:rtl/>
        </w:rPr>
        <w:t>רב</w:t>
      </w:r>
      <w:r w:rsidRPr="00574D14">
        <w:rPr>
          <w:rFonts w:cs="Arial"/>
          <w:sz w:val="18"/>
          <w:szCs w:val="18"/>
          <w:rtl/>
        </w:rPr>
        <w:t xml:space="preserve"> </w:t>
      </w:r>
      <w:r w:rsidRPr="00574D14">
        <w:rPr>
          <w:rFonts w:cs="Arial" w:hint="cs"/>
          <w:sz w:val="18"/>
          <w:szCs w:val="18"/>
          <w:rtl/>
        </w:rPr>
        <w:t>או</w:t>
      </w:r>
      <w:r w:rsidRPr="00574D14">
        <w:rPr>
          <w:rFonts w:cs="Arial"/>
          <w:sz w:val="18"/>
          <w:szCs w:val="18"/>
          <w:rtl/>
        </w:rPr>
        <w:t xml:space="preserve"> </w:t>
      </w:r>
      <w:r w:rsidRPr="00574D14">
        <w:rPr>
          <w:rFonts w:cs="Arial" w:hint="cs"/>
          <w:sz w:val="18"/>
          <w:szCs w:val="18"/>
          <w:rtl/>
        </w:rPr>
        <w:t>חכם</w:t>
      </w:r>
      <w:r w:rsidRPr="00574D14">
        <w:rPr>
          <w:rFonts w:cs="Arial"/>
          <w:sz w:val="18"/>
          <w:szCs w:val="18"/>
          <w:rtl/>
        </w:rPr>
        <w:t xml:space="preserve">, </w:t>
      </w:r>
      <w:r w:rsidRPr="00574D14">
        <w:rPr>
          <w:rFonts w:cs="Arial" w:hint="cs"/>
          <w:sz w:val="18"/>
          <w:szCs w:val="18"/>
          <w:rtl/>
        </w:rPr>
        <w:t>רק</w:t>
      </w:r>
      <w:r w:rsidRPr="00574D14">
        <w:rPr>
          <w:rFonts w:cs="Arial"/>
          <w:sz w:val="18"/>
          <w:szCs w:val="18"/>
          <w:rtl/>
        </w:rPr>
        <w:t xml:space="preserve"> </w:t>
      </w:r>
      <w:r w:rsidRPr="00574D14">
        <w:rPr>
          <w:rFonts w:cs="Arial" w:hint="cs"/>
          <w:sz w:val="18"/>
          <w:szCs w:val="18"/>
          <w:rtl/>
        </w:rPr>
        <w:t>פלוני</w:t>
      </w:r>
      <w:r w:rsidRPr="00574D14">
        <w:rPr>
          <w:rFonts w:cs="Arial"/>
          <w:sz w:val="18"/>
          <w:szCs w:val="18"/>
          <w:rtl/>
        </w:rPr>
        <w:t xml:space="preserve"> </w:t>
      </w:r>
      <w:r w:rsidRPr="00574D14">
        <w:rPr>
          <w:rFonts w:cs="Arial" w:hint="cs"/>
          <w:sz w:val="18"/>
          <w:szCs w:val="18"/>
          <w:rtl/>
        </w:rPr>
        <w:t>בן</w:t>
      </w:r>
      <w:r w:rsidRPr="00574D14">
        <w:rPr>
          <w:rFonts w:cs="Arial"/>
          <w:sz w:val="18"/>
          <w:szCs w:val="18"/>
          <w:rtl/>
        </w:rPr>
        <w:t xml:space="preserve"> </w:t>
      </w:r>
      <w:r w:rsidRPr="00574D14">
        <w:rPr>
          <w:rFonts w:cs="Arial" w:hint="cs"/>
          <w:sz w:val="18"/>
          <w:szCs w:val="18"/>
          <w:rtl/>
        </w:rPr>
        <w:t>פלוני</w:t>
      </w:r>
      <w:r w:rsidRPr="00574D14">
        <w:rPr>
          <w:rFonts w:cs="Arial"/>
          <w:sz w:val="18"/>
          <w:szCs w:val="18"/>
          <w:rtl/>
        </w:rPr>
        <w:t xml:space="preserve"> </w:t>
      </w:r>
      <w:r w:rsidRPr="00574D14">
        <w:rPr>
          <w:rFonts w:cs="Arial" w:hint="cs"/>
          <w:sz w:val="18"/>
          <w:szCs w:val="18"/>
          <w:rtl/>
        </w:rPr>
        <w:t>עד</w:t>
      </w:r>
      <w:r w:rsidRPr="00574D14">
        <w:rPr>
          <w:rFonts w:cs="Arial"/>
          <w:sz w:val="18"/>
          <w:szCs w:val="18"/>
          <w:rtl/>
        </w:rPr>
        <w:t xml:space="preserve"> (</w:t>
      </w:r>
      <w:r w:rsidRPr="00574D14">
        <w:rPr>
          <w:rFonts w:cs="Arial" w:hint="cs"/>
          <w:sz w:val="18"/>
          <w:szCs w:val="18"/>
          <w:rtl/>
        </w:rPr>
        <w:t>סדר</w:t>
      </w:r>
      <w:r w:rsidRPr="00574D14">
        <w:rPr>
          <w:rFonts w:cs="Arial"/>
          <w:sz w:val="18"/>
          <w:szCs w:val="18"/>
          <w:rtl/>
        </w:rPr>
        <w:t xml:space="preserve"> </w:t>
      </w:r>
      <w:r w:rsidRPr="00574D14">
        <w:rPr>
          <w:rFonts w:cs="Arial" w:hint="cs"/>
          <w:sz w:val="18"/>
          <w:szCs w:val="18"/>
          <w:rtl/>
        </w:rPr>
        <w:t>גיטין</w:t>
      </w:r>
      <w:r w:rsidRPr="00574D14">
        <w:rPr>
          <w:rFonts w:cs="Arial"/>
          <w:sz w:val="18"/>
          <w:szCs w:val="18"/>
          <w:rtl/>
        </w:rPr>
        <w:t xml:space="preserve">). </w:t>
      </w:r>
      <w:r w:rsidRPr="00574D14">
        <w:rPr>
          <w:rFonts w:cs="Arial" w:hint="cs"/>
          <w:sz w:val="18"/>
          <w:szCs w:val="18"/>
          <w:rtl/>
        </w:rPr>
        <w:t>וכל</w:t>
      </w:r>
      <w:r w:rsidRPr="00574D14">
        <w:rPr>
          <w:rFonts w:cs="Arial"/>
          <w:sz w:val="18"/>
          <w:szCs w:val="18"/>
          <w:rtl/>
        </w:rPr>
        <w:t xml:space="preserve"> </w:t>
      </w:r>
      <w:r w:rsidRPr="00574D14">
        <w:rPr>
          <w:rFonts w:cs="Arial" w:hint="cs"/>
          <w:sz w:val="18"/>
          <w:szCs w:val="18"/>
          <w:rtl/>
        </w:rPr>
        <w:t>דבר</w:t>
      </w:r>
      <w:r w:rsidRPr="00574D14">
        <w:rPr>
          <w:rFonts w:cs="Arial"/>
          <w:sz w:val="18"/>
          <w:szCs w:val="18"/>
          <w:rtl/>
        </w:rPr>
        <w:t xml:space="preserve"> </w:t>
      </w:r>
      <w:r w:rsidRPr="00574D14">
        <w:rPr>
          <w:rFonts w:cs="Arial" w:hint="cs"/>
          <w:sz w:val="18"/>
          <w:szCs w:val="18"/>
          <w:rtl/>
        </w:rPr>
        <w:t>שיש</w:t>
      </w:r>
      <w:r w:rsidRPr="00574D14">
        <w:rPr>
          <w:rFonts w:cs="Arial"/>
          <w:sz w:val="18"/>
          <w:szCs w:val="18"/>
          <w:rtl/>
        </w:rPr>
        <w:t xml:space="preserve"> </w:t>
      </w:r>
      <w:r w:rsidRPr="00574D14">
        <w:rPr>
          <w:rFonts w:cs="Arial" w:hint="cs"/>
          <w:sz w:val="18"/>
          <w:szCs w:val="18"/>
          <w:rtl/>
        </w:rPr>
        <w:t>בו</w:t>
      </w:r>
      <w:r w:rsidRPr="00574D14">
        <w:rPr>
          <w:rFonts w:cs="Arial"/>
          <w:sz w:val="18"/>
          <w:szCs w:val="18"/>
          <w:rtl/>
        </w:rPr>
        <w:t xml:space="preserve"> </w:t>
      </w:r>
      <w:r w:rsidRPr="00574D14">
        <w:rPr>
          <w:rFonts w:cs="Arial" w:hint="cs"/>
          <w:sz w:val="18"/>
          <w:szCs w:val="18"/>
          <w:rtl/>
        </w:rPr>
        <w:t>קצת</w:t>
      </w:r>
      <w:r w:rsidRPr="00574D14">
        <w:rPr>
          <w:rFonts w:cs="Arial"/>
          <w:sz w:val="18"/>
          <w:szCs w:val="18"/>
          <w:rtl/>
        </w:rPr>
        <w:t xml:space="preserve"> </w:t>
      </w:r>
      <w:r w:rsidRPr="00574D14">
        <w:rPr>
          <w:rFonts w:cs="Arial" w:hint="cs"/>
          <w:sz w:val="18"/>
          <w:szCs w:val="18"/>
          <w:rtl/>
        </w:rPr>
        <w:t>ספק</w:t>
      </w:r>
      <w:r w:rsidRPr="00574D14">
        <w:rPr>
          <w:rFonts w:cs="Arial"/>
          <w:sz w:val="18"/>
          <w:szCs w:val="18"/>
          <w:rtl/>
        </w:rPr>
        <w:t xml:space="preserve"> </w:t>
      </w:r>
      <w:r w:rsidRPr="00574D14">
        <w:rPr>
          <w:rFonts w:cs="Arial" w:hint="cs"/>
          <w:sz w:val="18"/>
          <w:szCs w:val="18"/>
          <w:rtl/>
        </w:rPr>
        <w:t>כיצד</w:t>
      </w:r>
      <w:r w:rsidRPr="00574D14">
        <w:rPr>
          <w:rFonts w:cs="Arial"/>
          <w:sz w:val="18"/>
          <w:szCs w:val="18"/>
          <w:rtl/>
        </w:rPr>
        <w:t xml:space="preserve"> </w:t>
      </w:r>
      <w:r w:rsidRPr="00574D14">
        <w:rPr>
          <w:rFonts w:cs="Arial" w:hint="cs"/>
          <w:sz w:val="18"/>
          <w:szCs w:val="18"/>
          <w:rtl/>
        </w:rPr>
        <w:t>כותבין</w:t>
      </w:r>
      <w:r w:rsidRPr="00574D14">
        <w:rPr>
          <w:rFonts w:cs="Arial"/>
          <w:sz w:val="18"/>
          <w:szCs w:val="18"/>
          <w:rtl/>
        </w:rPr>
        <w:t xml:space="preserve">, </w:t>
      </w:r>
      <w:r w:rsidRPr="00574D14">
        <w:rPr>
          <w:rFonts w:cs="Arial" w:hint="cs"/>
          <w:sz w:val="18"/>
          <w:szCs w:val="18"/>
          <w:rtl/>
        </w:rPr>
        <w:t>אין</w:t>
      </w:r>
      <w:r w:rsidRPr="00574D14">
        <w:rPr>
          <w:rFonts w:cs="Arial"/>
          <w:sz w:val="18"/>
          <w:szCs w:val="18"/>
          <w:rtl/>
        </w:rPr>
        <w:t xml:space="preserve"> </w:t>
      </w:r>
      <w:r w:rsidRPr="00574D14">
        <w:rPr>
          <w:rFonts w:cs="Arial" w:hint="cs"/>
          <w:sz w:val="18"/>
          <w:szCs w:val="18"/>
          <w:rtl/>
        </w:rPr>
        <w:t>ראוי</w:t>
      </w:r>
      <w:r w:rsidRPr="00574D14">
        <w:rPr>
          <w:rFonts w:cs="Arial"/>
          <w:sz w:val="18"/>
          <w:szCs w:val="18"/>
          <w:rtl/>
        </w:rPr>
        <w:t xml:space="preserve"> </w:t>
      </w:r>
      <w:r w:rsidRPr="00574D14">
        <w:rPr>
          <w:rFonts w:cs="Arial" w:hint="cs"/>
          <w:sz w:val="18"/>
          <w:szCs w:val="18"/>
          <w:rtl/>
        </w:rPr>
        <w:t>לכתחלה</w:t>
      </w:r>
      <w:r w:rsidRPr="00574D14">
        <w:rPr>
          <w:rFonts w:cs="Arial"/>
          <w:sz w:val="18"/>
          <w:szCs w:val="18"/>
          <w:rtl/>
        </w:rPr>
        <w:t xml:space="preserve"> </w:t>
      </w:r>
      <w:r w:rsidRPr="00574D14">
        <w:rPr>
          <w:rFonts w:cs="Arial" w:hint="cs"/>
          <w:sz w:val="18"/>
          <w:szCs w:val="18"/>
          <w:rtl/>
        </w:rPr>
        <w:t>לחתמו</w:t>
      </w:r>
      <w:r w:rsidRPr="00574D14">
        <w:rPr>
          <w:rFonts w:cs="Arial"/>
          <w:sz w:val="18"/>
          <w:szCs w:val="18"/>
          <w:rtl/>
        </w:rPr>
        <w:t xml:space="preserve">, </w:t>
      </w:r>
      <w:r w:rsidRPr="00574D14">
        <w:rPr>
          <w:rFonts w:cs="Arial" w:hint="cs"/>
          <w:sz w:val="18"/>
          <w:szCs w:val="18"/>
          <w:rtl/>
        </w:rPr>
        <w:t>כי</w:t>
      </w:r>
      <w:r w:rsidRPr="00574D14">
        <w:rPr>
          <w:rFonts w:cs="Arial"/>
          <w:sz w:val="18"/>
          <w:szCs w:val="18"/>
          <w:rtl/>
        </w:rPr>
        <w:t xml:space="preserve"> </w:t>
      </w:r>
      <w:r w:rsidRPr="00574D14">
        <w:rPr>
          <w:rFonts w:cs="Arial" w:hint="cs"/>
          <w:sz w:val="18"/>
          <w:szCs w:val="18"/>
          <w:rtl/>
        </w:rPr>
        <w:t>אין</w:t>
      </w:r>
      <w:r w:rsidRPr="00574D14">
        <w:rPr>
          <w:rFonts w:cs="Arial"/>
          <w:sz w:val="18"/>
          <w:szCs w:val="18"/>
          <w:rtl/>
        </w:rPr>
        <w:t xml:space="preserve"> </w:t>
      </w:r>
      <w:r w:rsidRPr="00574D14">
        <w:rPr>
          <w:rFonts w:cs="Arial" w:hint="cs"/>
          <w:sz w:val="18"/>
          <w:szCs w:val="18"/>
          <w:rtl/>
        </w:rPr>
        <w:t>ליכנס</w:t>
      </w:r>
      <w:r w:rsidRPr="00574D14">
        <w:rPr>
          <w:rFonts w:cs="Arial"/>
          <w:sz w:val="18"/>
          <w:szCs w:val="18"/>
          <w:rtl/>
        </w:rPr>
        <w:t xml:space="preserve"> </w:t>
      </w:r>
      <w:r w:rsidRPr="00574D14">
        <w:rPr>
          <w:rFonts w:cs="Arial" w:hint="cs"/>
          <w:sz w:val="18"/>
          <w:szCs w:val="18"/>
          <w:rtl/>
        </w:rPr>
        <w:t>לספיקות</w:t>
      </w:r>
      <w:r w:rsidRPr="00574D14">
        <w:rPr>
          <w:rFonts w:cs="Arial"/>
          <w:sz w:val="18"/>
          <w:szCs w:val="18"/>
          <w:rtl/>
        </w:rPr>
        <w:t xml:space="preserve"> </w:t>
      </w:r>
      <w:r w:rsidRPr="00574D14">
        <w:rPr>
          <w:rFonts w:cs="Arial" w:hint="cs"/>
          <w:sz w:val="18"/>
          <w:szCs w:val="18"/>
          <w:rtl/>
        </w:rPr>
        <w:t>לכתחלה</w:t>
      </w:r>
      <w:r w:rsidRPr="00574D14">
        <w:rPr>
          <w:rFonts w:cs="Arial"/>
          <w:sz w:val="18"/>
          <w:szCs w:val="18"/>
          <w:rtl/>
        </w:rPr>
        <w:t xml:space="preserve"> </w:t>
      </w:r>
      <w:r w:rsidRPr="00574D14">
        <w:rPr>
          <w:rFonts w:cs="Arial" w:hint="cs"/>
          <w:sz w:val="18"/>
          <w:szCs w:val="18"/>
          <w:rtl/>
        </w:rPr>
        <w:t>בלא</w:t>
      </w:r>
      <w:r w:rsidRPr="00574D14">
        <w:rPr>
          <w:rFonts w:cs="Arial"/>
          <w:sz w:val="18"/>
          <w:szCs w:val="18"/>
          <w:rtl/>
        </w:rPr>
        <w:t xml:space="preserve"> </w:t>
      </w:r>
      <w:r w:rsidRPr="00574D14">
        <w:rPr>
          <w:rFonts w:cs="Arial" w:hint="cs"/>
          <w:sz w:val="18"/>
          <w:szCs w:val="18"/>
          <w:rtl/>
        </w:rPr>
        <w:t>צורך</w:t>
      </w:r>
      <w:r w:rsidRPr="00574D14">
        <w:rPr>
          <w:rFonts w:cs="Arial"/>
          <w:sz w:val="18"/>
          <w:szCs w:val="18"/>
          <w:rtl/>
        </w:rPr>
        <w:t xml:space="preserve"> (</w:t>
      </w:r>
      <w:r w:rsidRPr="00574D14">
        <w:rPr>
          <w:rFonts w:cs="Arial" w:hint="cs"/>
          <w:sz w:val="18"/>
          <w:szCs w:val="18"/>
          <w:rtl/>
        </w:rPr>
        <w:t>ד</w:t>
      </w:r>
      <w:r w:rsidRPr="00574D14">
        <w:rPr>
          <w:rFonts w:cs="Arial"/>
          <w:sz w:val="18"/>
          <w:szCs w:val="18"/>
          <w:rtl/>
        </w:rPr>
        <w:t>"</w:t>
      </w:r>
      <w:r w:rsidRPr="00574D14">
        <w:rPr>
          <w:rFonts w:cs="Arial" w:hint="cs"/>
          <w:sz w:val="18"/>
          <w:szCs w:val="18"/>
          <w:rtl/>
        </w:rPr>
        <w:t>ע</w:t>
      </w:r>
      <w:r w:rsidRPr="00574D14">
        <w:rPr>
          <w:rFonts w:cs="Arial"/>
          <w:sz w:val="18"/>
          <w:szCs w:val="18"/>
          <w:rtl/>
        </w:rPr>
        <w:t>)</w:t>
      </w:r>
      <w:r>
        <w:rPr>
          <w:rFonts w:cs="Arial" w:hint="cs"/>
          <w:sz w:val="18"/>
          <w:szCs w:val="18"/>
          <w:rtl/>
        </w:rPr>
        <w:t>.</w:t>
      </w:r>
      <w:r w:rsidRPr="00574D14">
        <w:rPr>
          <w:rFonts w:cs="Arial"/>
          <w:sz w:val="18"/>
          <w:szCs w:val="18"/>
          <w:rtl/>
        </w:rPr>
        <w:t xml:space="preserve"> </w:t>
      </w:r>
      <w:r w:rsidRPr="00574D14">
        <w:rPr>
          <w:rFonts w:cs="Arial" w:hint="cs"/>
          <w:sz w:val="18"/>
          <w:szCs w:val="18"/>
          <w:rtl/>
        </w:rPr>
        <w:t>ולכן</w:t>
      </w:r>
      <w:r w:rsidRPr="00574D14">
        <w:rPr>
          <w:rFonts w:cs="Arial"/>
          <w:sz w:val="18"/>
          <w:szCs w:val="18"/>
          <w:rtl/>
        </w:rPr>
        <w:t xml:space="preserve"> </w:t>
      </w:r>
      <w:r w:rsidRPr="00574D14">
        <w:rPr>
          <w:rFonts w:cs="Arial" w:hint="cs"/>
          <w:sz w:val="18"/>
          <w:szCs w:val="18"/>
          <w:rtl/>
        </w:rPr>
        <w:t>אין</w:t>
      </w:r>
      <w:r w:rsidRPr="00574D14">
        <w:rPr>
          <w:rFonts w:cs="Arial"/>
          <w:sz w:val="18"/>
          <w:szCs w:val="18"/>
          <w:rtl/>
        </w:rPr>
        <w:t xml:space="preserve"> </w:t>
      </w:r>
      <w:r w:rsidRPr="00574D14">
        <w:rPr>
          <w:rFonts w:cs="Arial" w:hint="cs"/>
          <w:sz w:val="18"/>
          <w:szCs w:val="18"/>
          <w:rtl/>
        </w:rPr>
        <w:t>חותמין</w:t>
      </w:r>
      <w:r w:rsidRPr="00574D14">
        <w:rPr>
          <w:rFonts w:cs="Arial"/>
          <w:sz w:val="18"/>
          <w:szCs w:val="18"/>
          <w:rtl/>
        </w:rPr>
        <w:t xml:space="preserve"> </w:t>
      </w:r>
      <w:r w:rsidRPr="00574D14">
        <w:rPr>
          <w:rFonts w:cs="Arial" w:hint="cs"/>
          <w:sz w:val="18"/>
          <w:szCs w:val="18"/>
          <w:rtl/>
        </w:rPr>
        <w:t>לעד</w:t>
      </w:r>
      <w:r w:rsidRPr="00574D14">
        <w:rPr>
          <w:rFonts w:cs="Arial"/>
          <w:sz w:val="18"/>
          <w:szCs w:val="18"/>
          <w:rtl/>
        </w:rPr>
        <w:t xml:space="preserve"> </w:t>
      </w:r>
      <w:r w:rsidRPr="00574D14">
        <w:rPr>
          <w:rFonts w:cs="Arial" w:hint="cs"/>
          <w:sz w:val="18"/>
          <w:szCs w:val="18"/>
          <w:rtl/>
        </w:rPr>
        <w:t>שאביו</w:t>
      </w:r>
      <w:r w:rsidRPr="00574D14">
        <w:rPr>
          <w:rFonts w:cs="Arial"/>
          <w:sz w:val="18"/>
          <w:szCs w:val="18"/>
          <w:rtl/>
        </w:rPr>
        <w:t xml:space="preserve"> </w:t>
      </w:r>
      <w:r w:rsidRPr="00574D14">
        <w:rPr>
          <w:rFonts w:cs="Arial" w:hint="cs"/>
          <w:sz w:val="18"/>
          <w:szCs w:val="18"/>
          <w:rtl/>
        </w:rPr>
        <w:t>מומר</w:t>
      </w:r>
      <w:r w:rsidRPr="00574D14">
        <w:rPr>
          <w:rFonts w:cs="Arial"/>
          <w:sz w:val="18"/>
          <w:szCs w:val="18"/>
          <w:rtl/>
        </w:rPr>
        <w:t xml:space="preserve">, </w:t>
      </w:r>
      <w:r w:rsidRPr="00574D14">
        <w:rPr>
          <w:rFonts w:cs="Arial" w:hint="cs"/>
          <w:sz w:val="18"/>
          <w:szCs w:val="18"/>
          <w:rtl/>
        </w:rPr>
        <w:t>כמו</w:t>
      </w:r>
      <w:r w:rsidRPr="00574D14">
        <w:rPr>
          <w:rFonts w:cs="Arial"/>
          <w:sz w:val="18"/>
          <w:szCs w:val="18"/>
          <w:rtl/>
        </w:rPr>
        <w:t xml:space="preserve"> </w:t>
      </w:r>
      <w:r w:rsidRPr="00574D14">
        <w:rPr>
          <w:rFonts w:cs="Arial" w:hint="cs"/>
          <w:sz w:val="18"/>
          <w:szCs w:val="18"/>
          <w:rtl/>
        </w:rPr>
        <w:t>שנתבאר</w:t>
      </w:r>
      <w:r w:rsidRPr="00574D14">
        <w:rPr>
          <w:rFonts w:cs="Arial"/>
          <w:sz w:val="18"/>
          <w:szCs w:val="18"/>
          <w:rtl/>
        </w:rPr>
        <w:t xml:space="preserve"> </w:t>
      </w:r>
      <w:r w:rsidRPr="00574D14">
        <w:rPr>
          <w:rFonts w:cs="Arial" w:hint="cs"/>
          <w:sz w:val="18"/>
          <w:szCs w:val="18"/>
          <w:rtl/>
        </w:rPr>
        <w:t>לעיל</w:t>
      </w:r>
      <w:r w:rsidRPr="00574D14">
        <w:rPr>
          <w:rFonts w:cs="Arial"/>
          <w:sz w:val="18"/>
          <w:szCs w:val="18"/>
          <w:rtl/>
        </w:rPr>
        <w:t xml:space="preserve"> </w:t>
      </w:r>
      <w:r w:rsidRPr="00574D14">
        <w:rPr>
          <w:rFonts w:cs="Arial" w:hint="cs"/>
          <w:sz w:val="18"/>
          <w:szCs w:val="18"/>
          <w:rtl/>
        </w:rPr>
        <w:t>סימן</w:t>
      </w:r>
      <w:r w:rsidRPr="00574D14">
        <w:rPr>
          <w:rFonts w:cs="Arial"/>
          <w:sz w:val="18"/>
          <w:szCs w:val="18"/>
          <w:rtl/>
        </w:rPr>
        <w:t xml:space="preserve"> </w:t>
      </w:r>
      <w:r w:rsidRPr="00574D14">
        <w:rPr>
          <w:rFonts w:cs="Arial" w:hint="cs"/>
          <w:sz w:val="18"/>
          <w:szCs w:val="18"/>
          <w:rtl/>
        </w:rPr>
        <w:t>קכ</w:t>
      </w:r>
      <w:r w:rsidRPr="00574D14">
        <w:rPr>
          <w:rFonts w:cs="Arial"/>
          <w:sz w:val="18"/>
          <w:szCs w:val="18"/>
          <w:rtl/>
        </w:rPr>
        <w:t>"</w:t>
      </w:r>
      <w:r w:rsidRPr="00574D14">
        <w:rPr>
          <w:rFonts w:cs="Arial" w:hint="cs"/>
          <w:sz w:val="18"/>
          <w:szCs w:val="18"/>
          <w:rtl/>
        </w:rPr>
        <w:t>ח</w:t>
      </w:r>
      <w:r w:rsidRPr="00574D14">
        <w:rPr>
          <w:rFonts w:cs="Arial"/>
          <w:sz w:val="18"/>
          <w:szCs w:val="18"/>
          <w:rtl/>
        </w:rPr>
        <w:t xml:space="preserve">, </w:t>
      </w:r>
      <w:r w:rsidRPr="00574D14">
        <w:rPr>
          <w:rFonts w:cs="Arial" w:hint="cs"/>
          <w:sz w:val="18"/>
          <w:szCs w:val="18"/>
          <w:rtl/>
        </w:rPr>
        <w:t>וה</w:t>
      </w:r>
      <w:r w:rsidRPr="00574D14">
        <w:rPr>
          <w:rFonts w:cs="Arial"/>
          <w:sz w:val="18"/>
          <w:szCs w:val="18"/>
          <w:rtl/>
        </w:rPr>
        <w:t>"</w:t>
      </w:r>
      <w:r w:rsidRPr="00574D14">
        <w:rPr>
          <w:rFonts w:cs="Arial" w:hint="cs"/>
          <w:sz w:val="18"/>
          <w:szCs w:val="18"/>
          <w:rtl/>
        </w:rPr>
        <w:t>ה</w:t>
      </w:r>
      <w:r w:rsidRPr="00574D14">
        <w:rPr>
          <w:rFonts w:cs="Arial"/>
          <w:sz w:val="18"/>
          <w:szCs w:val="18"/>
          <w:rtl/>
        </w:rPr>
        <w:t xml:space="preserve"> </w:t>
      </w:r>
      <w:r w:rsidRPr="00574D14">
        <w:rPr>
          <w:rFonts w:cs="Arial" w:hint="cs"/>
          <w:sz w:val="18"/>
          <w:szCs w:val="18"/>
          <w:rtl/>
        </w:rPr>
        <w:t>לכל</w:t>
      </w:r>
      <w:r w:rsidRPr="00574D14">
        <w:rPr>
          <w:rFonts w:cs="Arial"/>
          <w:sz w:val="18"/>
          <w:szCs w:val="18"/>
          <w:rtl/>
        </w:rPr>
        <w:t xml:space="preserve"> </w:t>
      </w:r>
      <w:r w:rsidRPr="00574D14">
        <w:rPr>
          <w:rFonts w:cs="Arial" w:hint="cs"/>
          <w:sz w:val="18"/>
          <w:szCs w:val="18"/>
          <w:rtl/>
        </w:rPr>
        <w:t>כיוצא</w:t>
      </w:r>
      <w:r w:rsidRPr="00574D14">
        <w:rPr>
          <w:rFonts w:cs="Arial"/>
          <w:sz w:val="18"/>
          <w:szCs w:val="18"/>
          <w:rtl/>
        </w:rPr>
        <w:t xml:space="preserve"> </w:t>
      </w:r>
      <w:r w:rsidRPr="00574D14">
        <w:rPr>
          <w:rFonts w:cs="Arial" w:hint="cs"/>
          <w:sz w:val="18"/>
          <w:szCs w:val="18"/>
          <w:rtl/>
        </w:rPr>
        <w:t>בזה</w:t>
      </w:r>
      <w:r w:rsidRPr="00574D14">
        <w:rPr>
          <w:rFonts w:cs="Arial"/>
          <w:sz w:val="18"/>
          <w:szCs w:val="18"/>
          <w:rtl/>
        </w:rPr>
        <w:t xml:space="preserve">. </w:t>
      </w:r>
      <w:r w:rsidRPr="00574D14">
        <w:rPr>
          <w:rFonts w:cs="Arial" w:hint="cs"/>
          <w:sz w:val="18"/>
          <w:szCs w:val="18"/>
          <w:rtl/>
        </w:rPr>
        <w:t>ולכתחלה</w:t>
      </w:r>
      <w:r w:rsidRPr="00574D14">
        <w:rPr>
          <w:rFonts w:cs="Arial"/>
          <w:sz w:val="18"/>
          <w:szCs w:val="18"/>
          <w:rtl/>
        </w:rPr>
        <w:t xml:space="preserve"> </w:t>
      </w:r>
      <w:r w:rsidRPr="00574D14">
        <w:rPr>
          <w:rFonts w:cs="Arial" w:hint="cs"/>
          <w:sz w:val="18"/>
          <w:szCs w:val="18"/>
          <w:rtl/>
        </w:rPr>
        <w:t>נזהרין</w:t>
      </w:r>
      <w:r w:rsidRPr="00574D14">
        <w:rPr>
          <w:rFonts w:cs="Arial"/>
          <w:sz w:val="18"/>
          <w:szCs w:val="18"/>
          <w:rtl/>
        </w:rPr>
        <w:t xml:space="preserve"> </w:t>
      </w:r>
      <w:r w:rsidRPr="00574D14">
        <w:rPr>
          <w:rFonts w:cs="Arial" w:hint="cs"/>
          <w:sz w:val="18"/>
          <w:szCs w:val="18"/>
          <w:rtl/>
        </w:rPr>
        <w:t>בחתימת</w:t>
      </w:r>
      <w:r w:rsidRPr="00574D14">
        <w:rPr>
          <w:rFonts w:cs="Arial"/>
          <w:sz w:val="18"/>
          <w:szCs w:val="18"/>
          <w:rtl/>
        </w:rPr>
        <w:t xml:space="preserve"> </w:t>
      </w:r>
      <w:r w:rsidRPr="00574D14">
        <w:rPr>
          <w:rFonts w:cs="Arial" w:hint="cs"/>
          <w:sz w:val="18"/>
          <w:szCs w:val="18"/>
          <w:rtl/>
        </w:rPr>
        <w:t>העדים</w:t>
      </w:r>
      <w:r w:rsidRPr="00574D14">
        <w:rPr>
          <w:rFonts w:cs="Arial"/>
          <w:sz w:val="18"/>
          <w:szCs w:val="18"/>
          <w:rtl/>
        </w:rPr>
        <w:t xml:space="preserve"> </w:t>
      </w:r>
      <w:r w:rsidRPr="00574D14">
        <w:rPr>
          <w:rFonts w:cs="Arial" w:hint="cs"/>
          <w:sz w:val="18"/>
          <w:szCs w:val="18"/>
          <w:rtl/>
        </w:rPr>
        <w:t>בכל</w:t>
      </w:r>
      <w:r w:rsidRPr="00574D14">
        <w:rPr>
          <w:rFonts w:cs="Arial"/>
          <w:sz w:val="18"/>
          <w:szCs w:val="18"/>
          <w:rtl/>
        </w:rPr>
        <w:t xml:space="preserve"> </w:t>
      </w:r>
      <w:r w:rsidRPr="00574D14">
        <w:rPr>
          <w:rFonts w:cs="Arial" w:hint="cs"/>
          <w:sz w:val="18"/>
          <w:szCs w:val="18"/>
          <w:rtl/>
        </w:rPr>
        <w:t>דבר</w:t>
      </w:r>
      <w:r w:rsidRPr="00574D14">
        <w:rPr>
          <w:rFonts w:cs="Arial"/>
          <w:sz w:val="18"/>
          <w:szCs w:val="18"/>
          <w:rtl/>
        </w:rPr>
        <w:t xml:space="preserve"> </w:t>
      </w:r>
      <w:r w:rsidRPr="00574D14">
        <w:rPr>
          <w:rFonts w:cs="Arial" w:hint="cs"/>
          <w:sz w:val="18"/>
          <w:szCs w:val="18"/>
          <w:rtl/>
        </w:rPr>
        <w:t>שנזהרין</w:t>
      </w:r>
      <w:r w:rsidRPr="00574D14">
        <w:rPr>
          <w:rFonts w:cs="Arial"/>
          <w:sz w:val="18"/>
          <w:szCs w:val="18"/>
          <w:rtl/>
        </w:rPr>
        <w:t xml:space="preserve"> </w:t>
      </w:r>
      <w:r w:rsidRPr="00574D14">
        <w:rPr>
          <w:rFonts w:cs="Arial" w:hint="cs"/>
          <w:sz w:val="18"/>
          <w:szCs w:val="18"/>
          <w:rtl/>
        </w:rPr>
        <w:t>בכתיבת</w:t>
      </w:r>
      <w:r w:rsidRPr="00574D14">
        <w:rPr>
          <w:rFonts w:cs="Arial"/>
          <w:sz w:val="18"/>
          <w:szCs w:val="18"/>
          <w:rtl/>
        </w:rPr>
        <w:t xml:space="preserve"> </w:t>
      </w:r>
      <w:r w:rsidRPr="00574D14">
        <w:rPr>
          <w:rFonts w:cs="Arial" w:hint="cs"/>
          <w:sz w:val="18"/>
          <w:szCs w:val="18"/>
          <w:rtl/>
        </w:rPr>
        <w:t>הגט</w:t>
      </w:r>
      <w:r w:rsidRPr="00574D14">
        <w:rPr>
          <w:rFonts w:cs="Arial"/>
          <w:sz w:val="18"/>
          <w:szCs w:val="18"/>
          <w:rtl/>
        </w:rPr>
        <w:t xml:space="preserve">, </w:t>
      </w:r>
      <w:r w:rsidRPr="00574D14">
        <w:rPr>
          <w:rFonts w:cs="Arial" w:hint="cs"/>
          <w:sz w:val="18"/>
          <w:szCs w:val="18"/>
          <w:rtl/>
        </w:rPr>
        <w:t>הן</w:t>
      </w:r>
      <w:r w:rsidRPr="00574D14">
        <w:rPr>
          <w:rFonts w:cs="Arial"/>
          <w:sz w:val="18"/>
          <w:szCs w:val="18"/>
          <w:rtl/>
        </w:rPr>
        <w:t xml:space="preserve"> </w:t>
      </w:r>
      <w:r w:rsidRPr="00574D14">
        <w:rPr>
          <w:rFonts w:cs="Arial" w:hint="cs"/>
          <w:sz w:val="18"/>
          <w:szCs w:val="18"/>
          <w:rtl/>
        </w:rPr>
        <w:t>דבעינן</w:t>
      </w:r>
      <w:r w:rsidRPr="00574D14">
        <w:rPr>
          <w:rFonts w:cs="Arial"/>
          <w:sz w:val="18"/>
          <w:szCs w:val="18"/>
          <w:rtl/>
        </w:rPr>
        <w:t xml:space="preserve"> </w:t>
      </w:r>
      <w:r w:rsidRPr="00574D14">
        <w:rPr>
          <w:rFonts w:cs="Arial" w:hint="cs"/>
          <w:sz w:val="18"/>
          <w:szCs w:val="18"/>
          <w:rtl/>
        </w:rPr>
        <w:t>כתיבה</w:t>
      </w:r>
      <w:r w:rsidRPr="00574D14">
        <w:rPr>
          <w:rFonts w:cs="Arial"/>
          <w:sz w:val="18"/>
          <w:szCs w:val="18"/>
          <w:rtl/>
        </w:rPr>
        <w:t xml:space="preserve"> </w:t>
      </w:r>
      <w:r w:rsidRPr="00574D14">
        <w:rPr>
          <w:rFonts w:cs="Arial" w:hint="cs"/>
          <w:sz w:val="18"/>
          <w:szCs w:val="18"/>
          <w:rtl/>
        </w:rPr>
        <w:t>תמה</w:t>
      </w:r>
      <w:r>
        <w:rPr>
          <w:rStyle w:val="a7"/>
          <w:rFonts w:cs="Arial"/>
          <w:sz w:val="18"/>
          <w:szCs w:val="18"/>
          <w:rtl/>
        </w:rPr>
        <w:footnoteReference w:id="1246"/>
      </w:r>
      <w:r w:rsidRPr="00574D14">
        <w:rPr>
          <w:rFonts w:cs="Arial"/>
          <w:sz w:val="18"/>
          <w:szCs w:val="18"/>
          <w:rtl/>
        </w:rPr>
        <w:t xml:space="preserve"> </w:t>
      </w:r>
      <w:r w:rsidRPr="00574D14">
        <w:rPr>
          <w:rFonts w:cs="Arial" w:hint="cs"/>
          <w:sz w:val="18"/>
          <w:szCs w:val="18"/>
          <w:rtl/>
        </w:rPr>
        <w:t>ומוקף</w:t>
      </w:r>
      <w:r w:rsidRPr="00574D14">
        <w:rPr>
          <w:rFonts w:cs="Arial"/>
          <w:sz w:val="18"/>
          <w:szCs w:val="18"/>
          <w:rtl/>
        </w:rPr>
        <w:t xml:space="preserve"> </w:t>
      </w:r>
      <w:r w:rsidRPr="00574D14">
        <w:rPr>
          <w:rFonts w:cs="Arial" w:hint="cs"/>
          <w:sz w:val="18"/>
          <w:szCs w:val="18"/>
          <w:rtl/>
        </w:rPr>
        <w:t>גויל</w:t>
      </w:r>
      <w:r w:rsidRPr="00574D14">
        <w:rPr>
          <w:rFonts w:cs="Arial"/>
          <w:sz w:val="18"/>
          <w:szCs w:val="18"/>
          <w:rtl/>
        </w:rPr>
        <w:t xml:space="preserve"> (</w:t>
      </w:r>
      <w:r w:rsidRPr="00574D14">
        <w:rPr>
          <w:rFonts w:cs="Arial" w:hint="cs"/>
          <w:sz w:val="18"/>
          <w:szCs w:val="18"/>
          <w:rtl/>
        </w:rPr>
        <w:t>ב</w:t>
      </w:r>
      <w:r w:rsidRPr="00574D14">
        <w:rPr>
          <w:rFonts w:cs="Arial"/>
          <w:sz w:val="18"/>
          <w:szCs w:val="18"/>
          <w:rtl/>
        </w:rPr>
        <w:t>"</w:t>
      </w:r>
      <w:r w:rsidRPr="00574D14">
        <w:rPr>
          <w:rFonts w:cs="Arial" w:hint="cs"/>
          <w:sz w:val="18"/>
          <w:szCs w:val="18"/>
          <w:rtl/>
        </w:rPr>
        <w:t>י</w:t>
      </w:r>
      <w:r w:rsidRPr="00574D14">
        <w:rPr>
          <w:rFonts w:cs="Arial"/>
          <w:sz w:val="18"/>
          <w:szCs w:val="18"/>
          <w:rtl/>
        </w:rPr>
        <w:t xml:space="preserve"> </w:t>
      </w:r>
      <w:r w:rsidRPr="00574D14">
        <w:rPr>
          <w:rFonts w:cs="Arial" w:hint="cs"/>
          <w:sz w:val="18"/>
          <w:szCs w:val="18"/>
          <w:rtl/>
        </w:rPr>
        <w:t>בשם</w:t>
      </w:r>
      <w:r w:rsidRPr="00574D14">
        <w:rPr>
          <w:rFonts w:cs="Arial"/>
          <w:sz w:val="18"/>
          <w:szCs w:val="18"/>
          <w:rtl/>
        </w:rPr>
        <w:t xml:space="preserve"> </w:t>
      </w:r>
      <w:r w:rsidRPr="00574D14">
        <w:rPr>
          <w:rFonts w:cs="Arial" w:hint="cs"/>
          <w:sz w:val="18"/>
          <w:szCs w:val="18"/>
          <w:rtl/>
        </w:rPr>
        <w:t>הקונטריס</w:t>
      </w:r>
      <w:r w:rsidRPr="00574D14">
        <w:rPr>
          <w:rFonts w:cs="Arial"/>
          <w:sz w:val="18"/>
          <w:szCs w:val="18"/>
          <w:rtl/>
        </w:rPr>
        <w:t xml:space="preserve">), </w:t>
      </w:r>
      <w:r w:rsidRPr="00574D14">
        <w:rPr>
          <w:rFonts w:cs="Arial" w:hint="cs"/>
          <w:sz w:val="18"/>
          <w:szCs w:val="18"/>
          <w:rtl/>
        </w:rPr>
        <w:t>וכל</w:t>
      </w:r>
      <w:r w:rsidRPr="00574D14">
        <w:rPr>
          <w:rFonts w:cs="Arial"/>
          <w:sz w:val="18"/>
          <w:szCs w:val="18"/>
          <w:rtl/>
        </w:rPr>
        <w:t xml:space="preserve"> </w:t>
      </w:r>
      <w:r w:rsidRPr="00574D14">
        <w:rPr>
          <w:rFonts w:cs="Arial" w:hint="cs"/>
          <w:sz w:val="18"/>
          <w:szCs w:val="18"/>
          <w:rtl/>
        </w:rPr>
        <w:t>כיוצא</w:t>
      </w:r>
      <w:r w:rsidRPr="00574D14">
        <w:rPr>
          <w:rFonts w:cs="Arial"/>
          <w:sz w:val="18"/>
          <w:szCs w:val="18"/>
          <w:rtl/>
        </w:rPr>
        <w:t xml:space="preserve"> </w:t>
      </w:r>
      <w:r w:rsidRPr="00574D14">
        <w:rPr>
          <w:rFonts w:cs="Arial" w:hint="cs"/>
          <w:sz w:val="18"/>
          <w:szCs w:val="18"/>
          <w:rtl/>
        </w:rPr>
        <w:t>בזה</w:t>
      </w:r>
      <w:r w:rsidRPr="00574D14">
        <w:rPr>
          <w:rFonts w:cs="Arial"/>
          <w:sz w:val="18"/>
          <w:szCs w:val="18"/>
          <w:rtl/>
        </w:rPr>
        <w:t>.</w:t>
      </w:r>
      <w:r>
        <w:rPr>
          <w:rFonts w:cs="Arial"/>
          <w:rtl/>
        </w:rPr>
        <w:t xml:space="preserve"> </w:t>
      </w:r>
    </w:p>
    <w:p w14:paraId="3BEA9FA1" w14:textId="77777777" w:rsidR="00FA2119" w:rsidRDefault="00FA2119" w:rsidP="00FA2119">
      <w:pPr>
        <w:rPr>
          <w:rtl/>
        </w:rPr>
      </w:pPr>
    </w:p>
    <w:p w14:paraId="32FAC319" w14:textId="77777777" w:rsidR="00FA2119" w:rsidRDefault="00FA2119" w:rsidP="00FA2119">
      <w:pPr>
        <w:pStyle w:val="2"/>
        <w:rPr>
          <w:rtl/>
        </w:rPr>
      </w:pPr>
      <w:r>
        <w:rPr>
          <w:rFonts w:hint="cs"/>
          <w:rtl/>
        </w:rPr>
        <w:lastRenderedPageBreak/>
        <w:t>סעיף</w:t>
      </w:r>
      <w:r>
        <w:rPr>
          <w:rtl/>
        </w:rPr>
        <w:t xml:space="preserve"> </w:t>
      </w:r>
      <w:r>
        <w:rPr>
          <w:rFonts w:hint="cs"/>
          <w:rtl/>
        </w:rPr>
        <w:t>יב: עד שכתב את שמו בלבד.</w:t>
      </w:r>
    </w:p>
    <w:p w14:paraId="591B673A" w14:textId="77777777" w:rsidR="00FA2119" w:rsidRPr="0083310D" w:rsidRDefault="00FA2119" w:rsidP="00FA2119">
      <w:pPr>
        <w:rPr>
          <w:rtl/>
        </w:rPr>
      </w:pPr>
      <w:r>
        <w:rPr>
          <w:rFonts w:hint="cs"/>
          <w:rtl/>
        </w:rPr>
        <w:t>עיין במקורות בסעיף הקודם.</w:t>
      </w:r>
    </w:p>
    <w:p w14:paraId="0B541169"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32CADDB" w14:textId="77777777" w:rsidR="00FA2119" w:rsidRDefault="00FA2119" w:rsidP="00FA2119">
      <w:pPr>
        <w:rPr>
          <w:rtl/>
        </w:rPr>
      </w:pPr>
      <w:r>
        <w:rPr>
          <w:rFonts w:cs="Arial" w:hint="cs"/>
          <w:rtl/>
        </w:rPr>
        <w:t>אבל</w:t>
      </w:r>
      <w:r>
        <w:rPr>
          <w:rFonts w:cs="Arial"/>
          <w:rtl/>
        </w:rPr>
        <w:t xml:space="preserve"> </w:t>
      </w:r>
      <w:r>
        <w:rPr>
          <w:rFonts w:cs="Arial" w:hint="cs"/>
          <w:rtl/>
        </w:rPr>
        <w:t>כתב</w:t>
      </w:r>
      <w:r>
        <w:rPr>
          <w:rFonts w:cs="Arial"/>
          <w:rtl/>
        </w:rPr>
        <w:t xml:space="preserve">: </w:t>
      </w:r>
      <w:r>
        <w:rPr>
          <w:rFonts w:cs="Arial" w:hint="cs"/>
          <w:rtl/>
        </w:rPr>
        <w:t>יוסף</w:t>
      </w:r>
      <w:r>
        <w:rPr>
          <w:rFonts w:cs="Arial"/>
          <w:rtl/>
        </w:rPr>
        <w:t xml:space="preserve">, </w:t>
      </w:r>
      <w:r>
        <w:rPr>
          <w:rFonts w:cs="Arial" w:hint="cs"/>
          <w:rtl/>
        </w:rPr>
        <w:t>לבד</w:t>
      </w:r>
      <w:r>
        <w:rPr>
          <w:rFonts w:cs="Arial"/>
          <w:rtl/>
        </w:rPr>
        <w:t xml:space="preserve">, </w:t>
      </w:r>
      <w:r>
        <w:rPr>
          <w:rFonts w:cs="Arial" w:hint="cs"/>
          <w:rtl/>
        </w:rPr>
        <w:t>ולא</w:t>
      </w:r>
      <w:r>
        <w:rPr>
          <w:rFonts w:cs="Arial"/>
          <w:rtl/>
        </w:rPr>
        <w:t xml:space="preserve"> </w:t>
      </w:r>
      <w:r>
        <w:rPr>
          <w:rFonts w:cs="Arial" w:hint="cs"/>
          <w:rtl/>
        </w:rPr>
        <w:t>כתב</w:t>
      </w:r>
      <w:r>
        <w:rPr>
          <w:rFonts w:cs="Arial"/>
          <w:rtl/>
        </w:rPr>
        <w:t xml:space="preserve">: </w:t>
      </w:r>
      <w:r>
        <w:rPr>
          <w:rFonts w:cs="Arial" w:hint="cs"/>
          <w:rtl/>
        </w:rPr>
        <w:t>עד</w:t>
      </w:r>
      <w:r>
        <w:rPr>
          <w:rFonts w:cs="Arial"/>
          <w:rtl/>
        </w:rPr>
        <w:t xml:space="preserve">, </w:t>
      </w:r>
      <w:r>
        <w:rPr>
          <w:rFonts w:cs="Arial" w:hint="cs"/>
          <w:rtl/>
        </w:rPr>
        <w:t>פסול</w:t>
      </w:r>
      <w:r>
        <w:rPr>
          <w:rFonts w:cs="Arial"/>
          <w:rtl/>
        </w:rPr>
        <w:t xml:space="preserve">. </w:t>
      </w:r>
      <w:r w:rsidRPr="00A14BB0">
        <w:rPr>
          <w:rFonts w:cs="Arial" w:hint="cs"/>
          <w:sz w:val="18"/>
          <w:szCs w:val="18"/>
          <w:rtl/>
        </w:rPr>
        <w:t>[הגה] וכל</w:t>
      </w:r>
      <w:r w:rsidRPr="00A14BB0">
        <w:rPr>
          <w:rFonts w:cs="Arial"/>
          <w:sz w:val="18"/>
          <w:szCs w:val="18"/>
          <w:rtl/>
        </w:rPr>
        <w:t xml:space="preserve"> </w:t>
      </w:r>
      <w:r w:rsidRPr="00A14BB0">
        <w:rPr>
          <w:rFonts w:cs="Arial" w:hint="cs"/>
          <w:sz w:val="18"/>
          <w:szCs w:val="18"/>
          <w:rtl/>
        </w:rPr>
        <w:t>שכן</w:t>
      </w:r>
      <w:r w:rsidRPr="00A14BB0">
        <w:rPr>
          <w:rFonts w:cs="Arial"/>
          <w:sz w:val="18"/>
          <w:szCs w:val="18"/>
          <w:rtl/>
        </w:rPr>
        <w:t xml:space="preserve"> </w:t>
      </w:r>
      <w:r w:rsidRPr="00A14BB0">
        <w:rPr>
          <w:rFonts w:cs="Arial" w:hint="cs"/>
          <w:sz w:val="18"/>
          <w:szCs w:val="18"/>
          <w:rtl/>
        </w:rPr>
        <w:t>אם</w:t>
      </w:r>
      <w:r w:rsidRPr="00A14BB0">
        <w:rPr>
          <w:rFonts w:cs="Arial"/>
          <w:sz w:val="18"/>
          <w:szCs w:val="18"/>
          <w:rtl/>
        </w:rPr>
        <w:t xml:space="preserve"> </w:t>
      </w:r>
      <w:r w:rsidRPr="00A14BB0">
        <w:rPr>
          <w:rFonts w:cs="Arial" w:hint="cs"/>
          <w:sz w:val="18"/>
          <w:szCs w:val="18"/>
          <w:rtl/>
        </w:rPr>
        <w:t>כתב</w:t>
      </w:r>
      <w:r w:rsidRPr="00A14BB0">
        <w:rPr>
          <w:rFonts w:cs="Arial"/>
          <w:sz w:val="18"/>
          <w:szCs w:val="18"/>
          <w:rtl/>
        </w:rPr>
        <w:t xml:space="preserve">: </w:t>
      </w:r>
      <w:r w:rsidRPr="00A14BB0">
        <w:rPr>
          <w:rFonts w:cs="Arial" w:hint="cs"/>
          <w:sz w:val="18"/>
          <w:szCs w:val="18"/>
          <w:rtl/>
        </w:rPr>
        <w:t>בן</w:t>
      </w:r>
      <w:r w:rsidRPr="00A14BB0">
        <w:rPr>
          <w:rFonts w:cs="Arial"/>
          <w:sz w:val="18"/>
          <w:szCs w:val="18"/>
          <w:rtl/>
        </w:rPr>
        <w:t xml:space="preserve"> </w:t>
      </w:r>
      <w:r w:rsidRPr="00A14BB0">
        <w:rPr>
          <w:rFonts w:cs="Arial" w:hint="cs"/>
          <w:sz w:val="18"/>
          <w:szCs w:val="18"/>
          <w:rtl/>
        </w:rPr>
        <w:t>פלוני</w:t>
      </w:r>
      <w:r w:rsidRPr="00A14BB0">
        <w:rPr>
          <w:rFonts w:cs="Arial"/>
          <w:sz w:val="18"/>
          <w:szCs w:val="18"/>
          <w:rtl/>
        </w:rPr>
        <w:t xml:space="preserve">, </w:t>
      </w:r>
      <w:r w:rsidRPr="00A14BB0">
        <w:rPr>
          <w:rFonts w:cs="Arial" w:hint="cs"/>
          <w:sz w:val="18"/>
          <w:szCs w:val="18"/>
          <w:rtl/>
        </w:rPr>
        <w:t>ולא</w:t>
      </w:r>
      <w:r w:rsidRPr="00A14BB0">
        <w:rPr>
          <w:rFonts w:cs="Arial"/>
          <w:sz w:val="18"/>
          <w:szCs w:val="18"/>
          <w:rtl/>
        </w:rPr>
        <w:t xml:space="preserve"> </w:t>
      </w:r>
      <w:r w:rsidRPr="00A14BB0">
        <w:rPr>
          <w:rFonts w:cs="Arial" w:hint="cs"/>
          <w:sz w:val="18"/>
          <w:szCs w:val="18"/>
          <w:rtl/>
        </w:rPr>
        <w:t>כתב</w:t>
      </w:r>
      <w:r w:rsidRPr="00A14BB0">
        <w:rPr>
          <w:rFonts w:cs="Arial"/>
          <w:sz w:val="18"/>
          <w:szCs w:val="18"/>
          <w:rtl/>
        </w:rPr>
        <w:t xml:space="preserve">: </w:t>
      </w:r>
      <w:r w:rsidRPr="00A14BB0">
        <w:rPr>
          <w:rFonts w:cs="Arial" w:hint="cs"/>
          <w:sz w:val="18"/>
          <w:szCs w:val="18"/>
          <w:rtl/>
        </w:rPr>
        <w:t>עד</w:t>
      </w:r>
      <w:r w:rsidRPr="00A14BB0">
        <w:rPr>
          <w:rFonts w:cs="Arial"/>
          <w:sz w:val="18"/>
          <w:szCs w:val="18"/>
          <w:rtl/>
        </w:rPr>
        <w:t xml:space="preserve">, </w:t>
      </w:r>
      <w:r w:rsidRPr="00A14BB0">
        <w:rPr>
          <w:rFonts w:cs="Arial" w:hint="cs"/>
          <w:sz w:val="18"/>
          <w:szCs w:val="18"/>
          <w:rtl/>
        </w:rPr>
        <w:t>דפסול</w:t>
      </w:r>
      <w:r w:rsidRPr="00A14BB0">
        <w:rPr>
          <w:rFonts w:cs="Arial"/>
          <w:sz w:val="18"/>
          <w:szCs w:val="18"/>
          <w:rtl/>
        </w:rPr>
        <w:t xml:space="preserve"> (</w:t>
      </w:r>
      <w:r w:rsidRPr="00A14BB0">
        <w:rPr>
          <w:rFonts w:cs="Arial" w:hint="cs"/>
          <w:sz w:val="18"/>
          <w:szCs w:val="18"/>
          <w:rtl/>
        </w:rPr>
        <w:t>ב</w:t>
      </w:r>
      <w:r w:rsidRPr="00A14BB0">
        <w:rPr>
          <w:rFonts w:cs="Arial"/>
          <w:sz w:val="18"/>
          <w:szCs w:val="18"/>
          <w:rtl/>
        </w:rPr>
        <w:t>"</w:t>
      </w:r>
      <w:r w:rsidRPr="00A14BB0">
        <w:rPr>
          <w:rFonts w:cs="Arial" w:hint="cs"/>
          <w:sz w:val="18"/>
          <w:szCs w:val="18"/>
          <w:rtl/>
        </w:rPr>
        <w:t>י</w:t>
      </w:r>
      <w:r w:rsidRPr="00A14BB0">
        <w:rPr>
          <w:rFonts w:cs="Arial"/>
          <w:sz w:val="18"/>
          <w:szCs w:val="18"/>
          <w:rtl/>
        </w:rPr>
        <w:t xml:space="preserve">). </w:t>
      </w:r>
    </w:p>
    <w:p w14:paraId="541673B0" w14:textId="77777777" w:rsidR="00FA2119" w:rsidRDefault="00FA2119" w:rsidP="00FA2119">
      <w:pPr>
        <w:rPr>
          <w:rtl/>
        </w:rPr>
      </w:pPr>
    </w:p>
    <w:p w14:paraId="7C610B90" w14:textId="77777777" w:rsidR="00FA2119" w:rsidRDefault="00FA2119" w:rsidP="00FA2119">
      <w:pPr>
        <w:pStyle w:val="2"/>
        <w:rPr>
          <w:rtl/>
        </w:rPr>
      </w:pPr>
      <w:r>
        <w:rPr>
          <w:rFonts w:hint="cs"/>
          <w:rtl/>
        </w:rPr>
        <w:t>סעיף</w:t>
      </w:r>
      <w:r>
        <w:rPr>
          <w:rtl/>
        </w:rPr>
        <w:t xml:space="preserve"> </w:t>
      </w:r>
      <w:r>
        <w:rPr>
          <w:rFonts w:hint="cs"/>
          <w:rtl/>
        </w:rPr>
        <w:t>יג: חתימה זה בפני זה.</w:t>
      </w:r>
    </w:p>
    <w:p w14:paraId="32059158" w14:textId="77777777" w:rsidR="00FA2119" w:rsidRDefault="00FA2119" w:rsidP="00FA2119">
      <w:pPr>
        <w:rPr>
          <w:rtl/>
        </w:rPr>
      </w:pPr>
      <w:r>
        <w:rPr>
          <w:rFonts w:hint="cs"/>
          <w:b/>
          <w:bCs/>
          <w:rtl/>
        </w:rPr>
        <w:t>גיטין</w:t>
      </w:r>
      <w:r>
        <w:rPr>
          <w:b/>
          <w:bCs/>
          <w:rtl/>
        </w:rPr>
        <w:t xml:space="preserve"> </w:t>
      </w:r>
      <w:r>
        <w:rPr>
          <w:b/>
          <w:bCs/>
          <w:szCs w:val="16"/>
          <w:rtl/>
        </w:rPr>
        <w:t>(פ</w:t>
      </w:r>
      <w:r>
        <w:rPr>
          <w:rFonts w:hint="cs"/>
          <w:b/>
          <w:bCs/>
          <w:szCs w:val="16"/>
          <w:rtl/>
        </w:rPr>
        <w:t>"ק</w:t>
      </w:r>
      <w:r>
        <w:rPr>
          <w:b/>
          <w:bCs/>
          <w:szCs w:val="16"/>
          <w:rtl/>
        </w:rPr>
        <w:t xml:space="preserve">) </w:t>
      </w:r>
      <w:r>
        <w:rPr>
          <w:b/>
          <w:bCs/>
          <w:rtl/>
        </w:rPr>
        <w:t>י ע"</w:t>
      </w:r>
      <w:r>
        <w:rPr>
          <w:rFonts w:hint="cs"/>
          <w:b/>
          <w:bCs/>
          <w:rtl/>
        </w:rPr>
        <w:t>ב</w:t>
      </w:r>
      <w:r>
        <w:rPr>
          <w:b/>
          <w:bCs/>
          <w:rtl/>
        </w:rPr>
        <w:t>:</w:t>
      </w:r>
      <w:r w:rsidRPr="00DC27AF">
        <w:rPr>
          <w:rtl/>
        </w:rPr>
        <w:t xml:space="preserve"> </w:t>
      </w:r>
      <w:r w:rsidRPr="00DC27AF">
        <w:rPr>
          <w:rFonts w:cs="Arial"/>
          <w:u w:val="single"/>
          <w:rtl/>
        </w:rPr>
        <w:t>א"ר פפא</w:t>
      </w:r>
      <w:r>
        <w:rPr>
          <w:rFonts w:cs="Arial" w:hint="cs"/>
          <w:rtl/>
        </w:rPr>
        <w:t>:</w:t>
      </w:r>
      <w:r w:rsidRPr="00DC27AF">
        <w:rPr>
          <w:rFonts w:cs="Arial"/>
          <w:rtl/>
        </w:rPr>
        <w:t xml:space="preserve"> זאת אומרת: עדי הגט אין חותמין זה בלא זה. מאי טעמא? </w:t>
      </w:r>
      <w:r w:rsidRPr="00DC27AF">
        <w:rPr>
          <w:rFonts w:cs="Arial"/>
          <w:u w:val="single"/>
          <w:rtl/>
        </w:rPr>
        <w:t>אמר רב אשי</w:t>
      </w:r>
      <w:r w:rsidRPr="00DC27AF">
        <w:rPr>
          <w:rFonts w:cs="Arial"/>
          <w:rtl/>
        </w:rPr>
        <w:t>: גזירה משום כולכם</w:t>
      </w:r>
      <w:r>
        <w:rPr>
          <w:rStyle w:val="a7"/>
          <w:rFonts w:cs="Arial"/>
          <w:rtl/>
        </w:rPr>
        <w:footnoteReference w:id="1247"/>
      </w:r>
      <w:r w:rsidRPr="00DC27AF">
        <w:rPr>
          <w:rFonts w:cs="Arial"/>
          <w:rtl/>
        </w:rPr>
        <w:t>.</w:t>
      </w:r>
    </w:p>
    <w:p w14:paraId="1AA5A487" w14:textId="77777777" w:rsidR="00FA2119" w:rsidRPr="00DC27AF" w:rsidRDefault="00FA2119" w:rsidP="00FA2119">
      <w:pPr>
        <w:rPr>
          <w:u w:val="single"/>
          <w:rtl/>
        </w:rPr>
      </w:pPr>
      <w:r w:rsidRPr="00DC27AF">
        <w:rPr>
          <w:rFonts w:hint="cs"/>
          <w:u w:val="single"/>
          <w:rtl/>
        </w:rPr>
        <w:t>חתימת העדים זה בפני זה:</w:t>
      </w:r>
    </w:p>
    <w:p w14:paraId="5FA5946D" w14:textId="67632E71" w:rsidR="00FA2119" w:rsidRPr="00C81D8A" w:rsidRDefault="00FA2119" w:rsidP="00FA2119">
      <w:pPr>
        <w:pStyle w:val="ab"/>
        <w:numPr>
          <w:ilvl w:val="0"/>
          <w:numId w:val="80"/>
        </w:numPr>
      </w:pPr>
      <w:r>
        <w:rPr>
          <w:rFonts w:cs="Arial" w:hint="cs"/>
          <w:rtl/>
        </w:rPr>
        <w:t>טור</w:t>
      </w:r>
      <w:r w:rsidR="00A82951">
        <w:rPr>
          <w:rFonts w:cs="Arial" w:hint="cs"/>
          <w:rtl/>
        </w:rPr>
        <w:t>-</w:t>
      </w:r>
      <w:r>
        <w:rPr>
          <w:rFonts w:cs="Arial" w:hint="cs"/>
          <w:rtl/>
        </w:rPr>
        <w:t xml:space="preserve"> </w:t>
      </w:r>
      <w:r>
        <w:rPr>
          <w:rFonts w:cs="Arial"/>
          <w:rtl/>
        </w:rPr>
        <w:t>ולא יחתמו אלא זה בפני זה</w:t>
      </w:r>
      <w:r>
        <w:rPr>
          <w:rFonts w:cs="Arial" w:hint="cs"/>
          <w:rtl/>
        </w:rPr>
        <w:t>.</w:t>
      </w:r>
      <w:r>
        <w:rPr>
          <w:rFonts w:cs="Arial"/>
          <w:rtl/>
        </w:rPr>
        <w:t xml:space="preserve"> ואם חתמו זה שלא בפני זה </w:t>
      </w:r>
      <w:r w:rsidR="00A82951">
        <w:rPr>
          <w:rFonts w:cs="Arial" w:hint="cs"/>
          <w:rtl/>
        </w:rPr>
        <w:t>-</w:t>
      </w:r>
      <w:r>
        <w:rPr>
          <w:rFonts w:cs="Arial" w:hint="cs"/>
          <w:rtl/>
        </w:rPr>
        <w:t xml:space="preserve"> </w:t>
      </w:r>
      <w:r>
        <w:rPr>
          <w:rFonts w:cs="Arial"/>
          <w:rtl/>
        </w:rPr>
        <w:t>פסול</w:t>
      </w:r>
      <w:r>
        <w:rPr>
          <w:rFonts w:cs="Arial" w:hint="cs"/>
          <w:rtl/>
        </w:rPr>
        <w:t>.</w:t>
      </w:r>
      <w:r>
        <w:rPr>
          <w:rFonts w:cs="Arial"/>
          <w:rtl/>
        </w:rPr>
        <w:t xml:space="preserve"> </w:t>
      </w:r>
      <w:r w:rsidR="000A0EF2" w:rsidRPr="007929D7">
        <w:rPr>
          <w:rFonts w:hint="cs"/>
          <w:color w:val="E36C0A" w:themeColor="accent6" w:themeShade="BF"/>
          <w:rtl/>
        </w:rPr>
        <w:t>(וכ"פ בשו"ע)</w:t>
      </w:r>
    </w:p>
    <w:p w14:paraId="6E3BFB14" w14:textId="1C2EA3A7" w:rsidR="00FA2119" w:rsidRPr="00C81D8A" w:rsidRDefault="00FA2119" w:rsidP="00FA2119">
      <w:pPr>
        <w:ind w:left="360"/>
        <w:rPr>
          <w:u w:val="dotted"/>
        </w:rPr>
      </w:pPr>
      <w:r w:rsidRPr="00C81D8A">
        <w:rPr>
          <w:rFonts w:hint="cs"/>
          <w:u w:val="dotted"/>
          <w:rtl/>
        </w:rPr>
        <w:t xml:space="preserve">ומה הדין אם לאחר שחתמו בו שני העדים רוצה להחתים בו שלישי </w:t>
      </w:r>
      <w:r w:rsidR="00A82951">
        <w:rPr>
          <w:u w:val="dotted"/>
          <w:rtl/>
        </w:rPr>
        <w:t>-</w:t>
      </w:r>
      <w:r w:rsidRPr="00C81D8A">
        <w:rPr>
          <w:rFonts w:hint="cs"/>
          <w:u w:val="dotted"/>
          <w:rtl/>
        </w:rPr>
        <w:t xml:space="preserve"> האם השלישי צריך לחתום בפניהם:</w:t>
      </w:r>
    </w:p>
    <w:p w14:paraId="0E1C142C" w14:textId="16947860" w:rsidR="00FA2119" w:rsidRDefault="00FA2119" w:rsidP="00FA2119">
      <w:pPr>
        <w:pStyle w:val="ab"/>
        <w:numPr>
          <w:ilvl w:val="0"/>
          <w:numId w:val="80"/>
        </w:numPr>
      </w:pPr>
      <w:r>
        <w:rPr>
          <w:rFonts w:cs="Arial" w:hint="cs"/>
          <w:rtl/>
        </w:rPr>
        <w:t xml:space="preserve">רבינו משולם </w:t>
      </w:r>
      <w:r>
        <w:rPr>
          <w:rFonts w:cs="Arial" w:hint="cs"/>
          <w:sz w:val="16"/>
          <w:szCs w:val="16"/>
          <w:rtl/>
        </w:rPr>
        <w:t>(כ"כ התוס'</w:t>
      </w:r>
      <w:r>
        <w:rPr>
          <w:rStyle w:val="a7"/>
          <w:rFonts w:cs="Arial"/>
          <w:rtl/>
        </w:rPr>
        <w:footnoteReference w:id="1248"/>
      </w:r>
      <w:r>
        <w:rPr>
          <w:rFonts w:cs="Arial" w:hint="cs"/>
          <w:sz w:val="16"/>
          <w:szCs w:val="16"/>
          <w:rtl/>
        </w:rPr>
        <w:t xml:space="preserve"> [פב. ד"ה צא] בשמו)</w:t>
      </w:r>
      <w:r>
        <w:rPr>
          <w:rFonts w:cs="Arial" w:hint="cs"/>
          <w:rtl/>
        </w:rPr>
        <w:t xml:space="preserve"> </w:t>
      </w:r>
      <w:r>
        <w:rPr>
          <w:rFonts w:cs="Arial"/>
          <w:rtl/>
        </w:rPr>
        <w:t>ר"ת</w:t>
      </w:r>
      <w:r>
        <w:rPr>
          <w:rFonts w:cs="Arial" w:hint="cs"/>
          <w:rtl/>
        </w:rPr>
        <w:t xml:space="preserve"> </w:t>
      </w:r>
      <w:r>
        <w:rPr>
          <w:rFonts w:cs="Arial" w:hint="cs"/>
          <w:sz w:val="16"/>
          <w:szCs w:val="16"/>
          <w:rtl/>
        </w:rPr>
        <w:t>(כ"כ הטור בשמו)</w:t>
      </w:r>
      <w:r>
        <w:rPr>
          <w:rFonts w:cs="Arial" w:hint="cs"/>
          <w:rtl/>
        </w:rPr>
        <w:t xml:space="preserve"> </w:t>
      </w:r>
      <w:r>
        <w:rPr>
          <w:rFonts w:cs="Arial"/>
          <w:rtl/>
        </w:rPr>
        <w:t xml:space="preserve">רא"ש </w:t>
      </w:r>
      <w:r w:rsidRPr="00DC60AB">
        <w:rPr>
          <w:rFonts w:cs="Arial"/>
          <w:sz w:val="16"/>
          <w:szCs w:val="16"/>
          <w:rtl/>
        </w:rPr>
        <w:t>(סי' יג)</w:t>
      </w:r>
      <w:r>
        <w:rPr>
          <w:rFonts w:cs="Arial" w:hint="cs"/>
          <w:rtl/>
        </w:rPr>
        <w:t xml:space="preserve"> וטור</w:t>
      </w:r>
      <w:r w:rsidR="00A82951">
        <w:rPr>
          <w:rFonts w:cs="Arial" w:hint="cs"/>
          <w:rtl/>
        </w:rPr>
        <w:t>-</w:t>
      </w:r>
      <w:r>
        <w:rPr>
          <w:rFonts w:cs="Arial"/>
          <w:rtl/>
        </w:rPr>
        <w:t xml:space="preserve"> חתמו שנים זה בפני זה ורוצה להחתים בו שלישי שלא בפניהם </w:t>
      </w:r>
      <w:r w:rsidR="00A82951">
        <w:rPr>
          <w:rFonts w:cs="Arial" w:hint="cs"/>
          <w:rtl/>
        </w:rPr>
        <w:t>-</w:t>
      </w:r>
      <w:r>
        <w:rPr>
          <w:rFonts w:cs="Arial" w:hint="cs"/>
          <w:rtl/>
        </w:rPr>
        <w:t xml:space="preserve"> </w:t>
      </w:r>
      <w:r>
        <w:rPr>
          <w:rFonts w:cs="Arial"/>
          <w:rtl/>
        </w:rPr>
        <w:t>שפיר דמי</w:t>
      </w:r>
      <w:r>
        <w:rPr>
          <w:rFonts w:cs="Arial" w:hint="cs"/>
          <w:sz w:val="16"/>
          <w:szCs w:val="16"/>
          <w:rtl/>
        </w:rPr>
        <w:t xml:space="preserve"> (ל' הטור)</w:t>
      </w:r>
      <w:r>
        <w:rPr>
          <w:rFonts w:cs="Arial" w:hint="cs"/>
          <w:rtl/>
        </w:rPr>
        <w:t>.</w:t>
      </w:r>
      <w:r>
        <w:rPr>
          <w:rFonts w:cs="Arial"/>
          <w:rtl/>
        </w:rPr>
        <w:t xml:space="preserve"> </w:t>
      </w:r>
      <w:r w:rsidRPr="007929D7">
        <w:rPr>
          <w:rFonts w:hint="cs"/>
          <w:color w:val="00B0F0"/>
          <w:rtl/>
        </w:rPr>
        <w:t>(וכ"כ הרמ"א)</w:t>
      </w:r>
    </w:p>
    <w:p w14:paraId="663E90A8" w14:textId="7DBD6F49" w:rsidR="00FA2119" w:rsidRPr="00DC60AB" w:rsidRDefault="00FA2119" w:rsidP="00FA2119">
      <w:pPr>
        <w:pStyle w:val="ab"/>
        <w:numPr>
          <w:ilvl w:val="0"/>
          <w:numId w:val="80"/>
        </w:numPr>
        <w:rPr>
          <w:rtl/>
        </w:rPr>
      </w:pPr>
      <w:r>
        <w:rPr>
          <w:rFonts w:cs="Arial" w:hint="cs"/>
          <w:rtl/>
        </w:rPr>
        <w:t xml:space="preserve">רש"י </w:t>
      </w:r>
      <w:r>
        <w:rPr>
          <w:rFonts w:cs="Arial" w:hint="cs"/>
          <w:sz w:val="16"/>
          <w:szCs w:val="16"/>
          <w:rtl/>
        </w:rPr>
        <w:t>(</w:t>
      </w:r>
      <w:r w:rsidRPr="00DC60AB">
        <w:rPr>
          <w:rFonts w:cs="Arial"/>
          <w:sz w:val="16"/>
          <w:szCs w:val="16"/>
          <w:rtl/>
        </w:rPr>
        <w:t>שם ד"ה כי אתו</w:t>
      </w:r>
      <w:r>
        <w:rPr>
          <w:rFonts w:cs="Arial" w:hint="cs"/>
          <w:sz w:val="16"/>
          <w:szCs w:val="16"/>
          <w:rtl/>
        </w:rPr>
        <w:t>, כ"כ התוס'</w:t>
      </w:r>
      <w:r>
        <w:rPr>
          <w:rStyle w:val="a7"/>
          <w:rFonts w:cs="Arial"/>
          <w:rtl/>
        </w:rPr>
        <w:footnoteReference w:id="1249"/>
      </w:r>
      <w:r>
        <w:rPr>
          <w:rFonts w:cs="Arial" w:hint="cs"/>
          <w:sz w:val="16"/>
          <w:szCs w:val="16"/>
          <w:rtl/>
        </w:rPr>
        <w:t xml:space="preserve"> [שם] בשמו)</w:t>
      </w:r>
      <w:r>
        <w:rPr>
          <w:rFonts w:cs="Arial" w:hint="cs"/>
          <w:rtl/>
        </w:rPr>
        <w:t xml:space="preserve"> </w:t>
      </w:r>
      <w:r w:rsidRPr="00837EBB">
        <w:rPr>
          <w:rFonts w:cs="Arial"/>
          <w:rtl/>
        </w:rPr>
        <w:t>הר' אלחנן</w:t>
      </w:r>
      <w:r>
        <w:rPr>
          <w:rFonts w:cs="Arial" w:hint="cs"/>
          <w:rtl/>
        </w:rPr>
        <w:t xml:space="preserve"> </w:t>
      </w:r>
      <w:r>
        <w:rPr>
          <w:rFonts w:cs="Arial" w:hint="cs"/>
          <w:sz w:val="16"/>
          <w:szCs w:val="16"/>
          <w:rtl/>
        </w:rPr>
        <w:t>(כ"כ התוס' [שם] בשמו)</w:t>
      </w:r>
      <w:r w:rsidRPr="00DC60AB">
        <w:rPr>
          <w:rFonts w:cs="Arial"/>
          <w:rtl/>
        </w:rPr>
        <w:t xml:space="preserve"> </w:t>
      </w:r>
      <w:r>
        <w:rPr>
          <w:rFonts w:cs="Arial" w:hint="cs"/>
          <w:rtl/>
        </w:rPr>
        <w:t>ו</w:t>
      </w:r>
      <w:r w:rsidRPr="00396366">
        <w:rPr>
          <w:rFonts w:cs="Arial"/>
          <w:rtl/>
        </w:rPr>
        <w:t xml:space="preserve">מרדכי </w:t>
      </w:r>
      <w:r w:rsidRPr="00DC60AB">
        <w:rPr>
          <w:rFonts w:cs="Arial"/>
          <w:sz w:val="16"/>
          <w:szCs w:val="16"/>
          <w:rtl/>
        </w:rPr>
        <w:t>(סי' תמא)</w:t>
      </w:r>
      <w:r w:rsidR="00A82951">
        <w:rPr>
          <w:rFonts w:cs="Arial" w:hint="cs"/>
          <w:rtl/>
        </w:rPr>
        <w:t>-</w:t>
      </w:r>
      <w:r w:rsidRPr="00837EBB">
        <w:rPr>
          <w:rFonts w:cs="Arial"/>
          <w:rtl/>
        </w:rPr>
        <w:t xml:space="preserve"> נראה לפוסלו דכיון שבא להחתים שלישי גילה בדעתו</w:t>
      </w:r>
      <w:r>
        <w:rPr>
          <w:rStyle w:val="a7"/>
          <w:rFonts w:cs="Arial"/>
          <w:rtl/>
        </w:rPr>
        <w:footnoteReference w:id="1250"/>
      </w:r>
      <w:r w:rsidRPr="00837EBB">
        <w:rPr>
          <w:rFonts w:cs="Arial"/>
          <w:rtl/>
        </w:rPr>
        <w:t xml:space="preserve"> שלא יהא גט עד שהחתים שלישי</w:t>
      </w:r>
      <w:r w:rsidR="00DE01C7">
        <w:rPr>
          <w:rFonts w:cs="Arial" w:hint="cs"/>
          <w:rtl/>
        </w:rPr>
        <w:t>,</w:t>
      </w:r>
      <w:r w:rsidRPr="00837EBB">
        <w:rPr>
          <w:rFonts w:cs="Arial"/>
          <w:rtl/>
        </w:rPr>
        <w:t xml:space="preserve"> וחתימתו אין כלום כיון שלא חתמו זה בפני זה</w:t>
      </w:r>
      <w:r>
        <w:rPr>
          <w:rFonts w:cs="Arial" w:hint="cs"/>
          <w:sz w:val="16"/>
          <w:szCs w:val="16"/>
          <w:rtl/>
        </w:rPr>
        <w:t xml:space="preserve"> (ל' התוס' בשם ה"ר אלחנן)</w:t>
      </w:r>
      <w:r>
        <w:rPr>
          <w:rFonts w:hint="cs"/>
          <w:rtl/>
        </w:rPr>
        <w:t xml:space="preserve">. </w:t>
      </w:r>
    </w:p>
    <w:p w14:paraId="09407179" w14:textId="77777777" w:rsidR="00FA2119" w:rsidRDefault="00FA2119" w:rsidP="00FA2119">
      <w:pPr>
        <w:rPr>
          <w:rFonts w:cs="Arial"/>
          <w:rtl/>
        </w:rPr>
      </w:pPr>
      <w:r w:rsidRPr="007E345C">
        <w:rPr>
          <w:rFonts w:cs="Arial" w:hint="cs"/>
          <w:u w:val="single"/>
          <w:rtl/>
        </w:rPr>
        <w:t>שני עדים מקיימים את חתימת העד הראשון, אבל רק אחד מקיים את חתימת העד השני:</w:t>
      </w:r>
      <w:r>
        <w:rPr>
          <w:rFonts w:cs="Arial" w:hint="cs"/>
          <w:rtl/>
        </w:rPr>
        <w:t xml:space="preserve"> </w:t>
      </w:r>
      <w:r w:rsidRPr="007E345C">
        <w:rPr>
          <w:rFonts w:cs="Arial"/>
          <w:sz w:val="16"/>
          <w:szCs w:val="16"/>
          <w:rtl/>
        </w:rPr>
        <w:t>(</w:t>
      </w:r>
      <w:r w:rsidRPr="007E345C">
        <w:rPr>
          <w:rFonts w:cs="Arial" w:hint="cs"/>
          <w:sz w:val="16"/>
          <w:szCs w:val="16"/>
          <w:rtl/>
        </w:rPr>
        <w:t xml:space="preserve">דרכ"מ אות </w:t>
      </w:r>
      <w:r w:rsidRPr="007E345C">
        <w:rPr>
          <w:rFonts w:cs="Arial"/>
          <w:sz w:val="16"/>
          <w:szCs w:val="16"/>
          <w:rtl/>
        </w:rPr>
        <w:t xml:space="preserve">יא) </w:t>
      </w:r>
    </w:p>
    <w:p w14:paraId="084DECC7" w14:textId="5886A977" w:rsidR="00FA2119" w:rsidRDefault="00FA2119" w:rsidP="00FA2119">
      <w:pPr>
        <w:pStyle w:val="ab"/>
        <w:numPr>
          <w:ilvl w:val="0"/>
          <w:numId w:val="82"/>
        </w:numPr>
      </w:pPr>
      <w:r w:rsidRPr="007E345C">
        <w:rPr>
          <w:rFonts w:cs="Arial"/>
          <w:rtl/>
        </w:rPr>
        <w:t xml:space="preserve">רשב"א </w:t>
      </w:r>
      <w:r w:rsidRPr="007E345C">
        <w:rPr>
          <w:rFonts w:cs="Arial"/>
          <w:sz w:val="16"/>
          <w:szCs w:val="16"/>
          <w:rtl/>
        </w:rPr>
        <w:t>(ח"א סי</w:t>
      </w:r>
      <w:r w:rsidRPr="007E345C">
        <w:rPr>
          <w:rFonts w:cs="Arial" w:hint="cs"/>
          <w:sz w:val="16"/>
          <w:szCs w:val="16"/>
          <w:rtl/>
        </w:rPr>
        <w:t>'</w:t>
      </w:r>
      <w:r w:rsidRPr="007E345C">
        <w:rPr>
          <w:rFonts w:cs="Arial"/>
          <w:sz w:val="16"/>
          <w:szCs w:val="16"/>
          <w:rtl/>
        </w:rPr>
        <w:t xml:space="preserve"> תרסג</w:t>
      </w:r>
      <w:r w:rsidRPr="007E345C">
        <w:rPr>
          <w:rFonts w:cs="Arial" w:hint="cs"/>
          <w:sz w:val="16"/>
          <w:szCs w:val="16"/>
          <w:rtl/>
        </w:rPr>
        <w:t>)</w:t>
      </w:r>
      <w:r w:rsidR="00A82951">
        <w:rPr>
          <w:rFonts w:cs="Arial" w:hint="cs"/>
          <w:rtl/>
        </w:rPr>
        <w:t>-</w:t>
      </w:r>
      <w:r w:rsidRPr="007E345C">
        <w:rPr>
          <w:rFonts w:cs="Arial"/>
          <w:rtl/>
        </w:rPr>
        <w:t xml:space="preserve"> עידי הגט שיכולים לקיים חתימת האחד</w:t>
      </w:r>
      <w:r w:rsidR="000A0EF2">
        <w:rPr>
          <w:rFonts w:cs="Arial" w:hint="cs"/>
          <w:rtl/>
        </w:rPr>
        <w:t>,</w:t>
      </w:r>
      <w:r w:rsidRPr="007E345C">
        <w:rPr>
          <w:rFonts w:cs="Arial"/>
          <w:rtl/>
        </w:rPr>
        <w:t xml:space="preserve"> ועל השני אינו רק אחד המכיר חתימתו</w:t>
      </w:r>
      <w:r w:rsidR="000A0EF2">
        <w:rPr>
          <w:rFonts w:cs="Arial" w:hint="cs"/>
          <w:rtl/>
        </w:rPr>
        <w:t>,</w:t>
      </w:r>
      <w:r w:rsidRPr="007E345C">
        <w:rPr>
          <w:rFonts w:cs="Arial"/>
          <w:rtl/>
        </w:rPr>
        <w:t xml:space="preserve"> לא אמרינן שיהא זה העד שקיימו חתימתו כעד שני דהרי עידי הגט אין חותמין רק זה בפני זה ובודאי גם העד הראשון חתם</w:t>
      </w:r>
      <w:r w:rsidR="000A0EF2">
        <w:rPr>
          <w:rFonts w:cs="Arial" w:hint="cs"/>
          <w:rtl/>
        </w:rPr>
        <w:t>,</w:t>
      </w:r>
      <w:r w:rsidRPr="007E345C">
        <w:rPr>
          <w:rFonts w:cs="Arial"/>
          <w:rtl/>
        </w:rPr>
        <w:t xml:space="preserve"> דהא לא אמרינן וצריכין לקיים שניהם. </w:t>
      </w:r>
    </w:p>
    <w:p w14:paraId="30813C26" w14:textId="77777777" w:rsidR="00FA2119" w:rsidRPr="007E345C" w:rsidRDefault="00FA2119" w:rsidP="00FA2119">
      <w:pPr>
        <w:rPr>
          <w:u w:val="single"/>
        </w:rPr>
      </w:pPr>
      <w:r w:rsidRPr="007E345C">
        <w:rPr>
          <w:rFonts w:hint="cs"/>
          <w:u w:val="single"/>
          <w:rtl/>
        </w:rPr>
        <w:t>סופר ואחד מהעדים אומרים שהביל לא צוה לעדים לחתום:</w:t>
      </w:r>
      <w:r>
        <w:rPr>
          <w:rFonts w:cs="Arial" w:hint="cs"/>
          <w:rtl/>
        </w:rPr>
        <w:t xml:space="preserve"> </w:t>
      </w:r>
      <w:r w:rsidRPr="007E345C">
        <w:rPr>
          <w:rFonts w:cs="Arial"/>
          <w:sz w:val="16"/>
          <w:szCs w:val="16"/>
          <w:rtl/>
        </w:rPr>
        <w:t>(</w:t>
      </w:r>
      <w:r w:rsidRPr="007E345C">
        <w:rPr>
          <w:rFonts w:cs="Arial" w:hint="cs"/>
          <w:sz w:val="16"/>
          <w:szCs w:val="16"/>
          <w:rtl/>
        </w:rPr>
        <w:t xml:space="preserve">דרכ"מ אות </w:t>
      </w:r>
      <w:r w:rsidRPr="007E345C">
        <w:rPr>
          <w:rFonts w:cs="Arial"/>
          <w:sz w:val="16"/>
          <w:szCs w:val="16"/>
          <w:rtl/>
        </w:rPr>
        <w:t>יא)</w:t>
      </w:r>
    </w:p>
    <w:p w14:paraId="68ED5DEF" w14:textId="5556151B" w:rsidR="00FA2119" w:rsidRPr="00A14BB0" w:rsidRDefault="00FA2119" w:rsidP="00FA2119">
      <w:pPr>
        <w:pStyle w:val="ab"/>
        <w:numPr>
          <w:ilvl w:val="0"/>
          <w:numId w:val="82"/>
        </w:numPr>
        <w:rPr>
          <w:rtl/>
        </w:rPr>
      </w:pPr>
      <w:r w:rsidRPr="007E345C">
        <w:rPr>
          <w:rFonts w:cs="Arial"/>
          <w:rtl/>
        </w:rPr>
        <w:t xml:space="preserve">רא"ש </w:t>
      </w:r>
      <w:r w:rsidRPr="007E345C">
        <w:rPr>
          <w:rFonts w:cs="Arial" w:hint="cs"/>
          <w:sz w:val="16"/>
          <w:szCs w:val="16"/>
          <w:rtl/>
        </w:rPr>
        <w:t>(</w:t>
      </w:r>
      <w:r w:rsidRPr="007E345C">
        <w:rPr>
          <w:rFonts w:cs="Arial"/>
          <w:sz w:val="16"/>
          <w:szCs w:val="16"/>
          <w:rtl/>
        </w:rPr>
        <w:t>כלל מה סי</w:t>
      </w:r>
      <w:r w:rsidRPr="007E345C">
        <w:rPr>
          <w:rFonts w:cs="Arial" w:hint="cs"/>
          <w:sz w:val="16"/>
          <w:szCs w:val="16"/>
          <w:rtl/>
        </w:rPr>
        <w:t>'</w:t>
      </w:r>
      <w:r w:rsidRPr="007E345C">
        <w:rPr>
          <w:rFonts w:cs="Arial"/>
          <w:sz w:val="16"/>
          <w:szCs w:val="16"/>
          <w:rtl/>
        </w:rPr>
        <w:t xml:space="preserve"> ג</w:t>
      </w:r>
      <w:r w:rsidRPr="007E345C">
        <w:rPr>
          <w:rFonts w:cs="Arial" w:hint="cs"/>
          <w:sz w:val="16"/>
          <w:szCs w:val="16"/>
          <w:rtl/>
        </w:rPr>
        <w:t>)</w:t>
      </w:r>
      <w:r w:rsidR="00A82951">
        <w:rPr>
          <w:rFonts w:cs="Arial" w:hint="cs"/>
          <w:rtl/>
        </w:rPr>
        <w:t>-</w:t>
      </w:r>
      <w:r w:rsidRPr="007E345C">
        <w:rPr>
          <w:rFonts w:cs="Arial"/>
          <w:rtl/>
        </w:rPr>
        <w:t xml:space="preserve"> אם הסופר ואחד מן העדים אומרים שהבעל לא צוה לעדים לחתום </w:t>
      </w:r>
      <w:r w:rsidR="00A82951">
        <w:rPr>
          <w:rFonts w:cs="Arial" w:hint="cs"/>
          <w:rtl/>
        </w:rPr>
        <w:t>-</w:t>
      </w:r>
      <w:r>
        <w:rPr>
          <w:rFonts w:cs="Arial" w:hint="cs"/>
          <w:rtl/>
        </w:rPr>
        <w:t xml:space="preserve"> </w:t>
      </w:r>
      <w:r w:rsidRPr="007E345C">
        <w:rPr>
          <w:rFonts w:cs="Arial"/>
          <w:rtl/>
        </w:rPr>
        <w:t>נאמנים אע</w:t>
      </w:r>
      <w:r>
        <w:rPr>
          <w:rFonts w:cs="Arial" w:hint="cs"/>
          <w:rtl/>
        </w:rPr>
        <w:t>"</w:t>
      </w:r>
      <w:r w:rsidRPr="007E345C">
        <w:rPr>
          <w:rFonts w:cs="Arial"/>
          <w:rtl/>
        </w:rPr>
        <w:t>ג דכתב ידם יוצא ממקום אחר</w:t>
      </w:r>
      <w:r>
        <w:rPr>
          <w:rFonts w:cs="Arial" w:hint="cs"/>
          <w:rtl/>
        </w:rPr>
        <w:t>.</w:t>
      </w:r>
    </w:p>
    <w:p w14:paraId="75399BBF"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E18ED3E" w14:textId="77777777" w:rsidR="00FA2119" w:rsidRDefault="00FA2119" w:rsidP="00FA2119">
      <w:pPr>
        <w:rPr>
          <w:rtl/>
        </w:rPr>
      </w:pPr>
      <w:r>
        <w:rPr>
          <w:rFonts w:cs="Arial" w:hint="cs"/>
          <w:rtl/>
        </w:rPr>
        <w:t>עדי</w:t>
      </w:r>
      <w:r>
        <w:rPr>
          <w:rFonts w:cs="Arial"/>
          <w:rtl/>
        </w:rPr>
        <w:t xml:space="preserve"> </w:t>
      </w:r>
      <w:r>
        <w:rPr>
          <w:rFonts w:cs="Arial" w:hint="cs"/>
          <w:rtl/>
        </w:rPr>
        <w:t>הגט</w:t>
      </w:r>
      <w:r>
        <w:rPr>
          <w:rFonts w:cs="Arial"/>
          <w:rtl/>
        </w:rPr>
        <w:t xml:space="preserve"> </w:t>
      </w:r>
      <w:r>
        <w:rPr>
          <w:rFonts w:cs="Arial" w:hint="cs"/>
          <w:rtl/>
        </w:rPr>
        <w:t>אין</w:t>
      </w:r>
      <w:r>
        <w:rPr>
          <w:rFonts w:cs="Arial"/>
          <w:rtl/>
        </w:rPr>
        <w:t xml:space="preserve"> </w:t>
      </w:r>
      <w:r>
        <w:rPr>
          <w:rFonts w:cs="Arial" w:hint="cs"/>
          <w:rtl/>
        </w:rPr>
        <w:t>חותמין</w:t>
      </w:r>
      <w:r>
        <w:rPr>
          <w:rFonts w:cs="Arial"/>
          <w:rtl/>
        </w:rPr>
        <w:t xml:space="preserve"> </w:t>
      </w:r>
      <w:r>
        <w:rPr>
          <w:rFonts w:cs="Arial" w:hint="cs"/>
          <w:rtl/>
        </w:rPr>
        <w:t>אלא</w:t>
      </w:r>
      <w:r>
        <w:rPr>
          <w:rFonts w:cs="Arial"/>
          <w:rtl/>
        </w:rPr>
        <w:t xml:space="preserve"> </w:t>
      </w:r>
      <w:r>
        <w:rPr>
          <w:rFonts w:cs="Arial" w:hint="cs"/>
          <w:rtl/>
        </w:rPr>
        <w:t>זה</w:t>
      </w:r>
      <w:r>
        <w:rPr>
          <w:rFonts w:cs="Arial"/>
          <w:rtl/>
        </w:rPr>
        <w:t xml:space="preserve"> </w:t>
      </w:r>
      <w:r>
        <w:rPr>
          <w:rFonts w:cs="Arial" w:hint="cs"/>
          <w:rtl/>
        </w:rPr>
        <w:t>בפני</w:t>
      </w:r>
      <w:r>
        <w:rPr>
          <w:rFonts w:cs="Arial"/>
          <w:rtl/>
        </w:rPr>
        <w:t xml:space="preserve"> </w:t>
      </w:r>
      <w:r>
        <w:rPr>
          <w:rFonts w:cs="Arial" w:hint="cs"/>
          <w:rtl/>
        </w:rPr>
        <w:t>זה</w:t>
      </w:r>
      <w:r>
        <w:rPr>
          <w:rFonts w:cs="Arial"/>
          <w:rtl/>
        </w:rPr>
        <w:t xml:space="preserve">. </w:t>
      </w:r>
      <w:r>
        <w:rPr>
          <w:rFonts w:cs="Arial" w:hint="cs"/>
          <w:rtl/>
        </w:rPr>
        <w:t>ואם</w:t>
      </w:r>
      <w:r>
        <w:rPr>
          <w:rFonts w:cs="Arial"/>
          <w:rtl/>
        </w:rPr>
        <w:t xml:space="preserve"> </w:t>
      </w:r>
      <w:r>
        <w:rPr>
          <w:rFonts w:cs="Arial" w:hint="cs"/>
          <w:rtl/>
        </w:rPr>
        <w:t>חתמו</w:t>
      </w:r>
      <w:r>
        <w:rPr>
          <w:rFonts w:cs="Arial"/>
          <w:rtl/>
        </w:rPr>
        <w:t xml:space="preserve"> </w:t>
      </w:r>
      <w:r>
        <w:rPr>
          <w:rFonts w:cs="Arial" w:hint="cs"/>
          <w:rtl/>
        </w:rPr>
        <w:t>זה</w:t>
      </w:r>
      <w:r>
        <w:rPr>
          <w:rFonts w:cs="Arial"/>
          <w:rtl/>
        </w:rPr>
        <w:t xml:space="preserve"> </w:t>
      </w:r>
      <w:r>
        <w:rPr>
          <w:rFonts w:cs="Arial" w:hint="cs"/>
          <w:rtl/>
        </w:rPr>
        <w:t>שלא</w:t>
      </w:r>
      <w:r>
        <w:rPr>
          <w:rFonts w:cs="Arial"/>
          <w:rtl/>
        </w:rPr>
        <w:t xml:space="preserve"> </w:t>
      </w:r>
      <w:r>
        <w:rPr>
          <w:rFonts w:cs="Arial" w:hint="cs"/>
          <w:rtl/>
        </w:rPr>
        <w:t>בפני</w:t>
      </w:r>
      <w:r>
        <w:rPr>
          <w:rFonts w:cs="Arial"/>
          <w:rtl/>
        </w:rPr>
        <w:t xml:space="preserve"> </w:t>
      </w:r>
      <w:r>
        <w:rPr>
          <w:rFonts w:cs="Arial" w:hint="cs"/>
          <w:rtl/>
        </w:rPr>
        <w:t>זה</w:t>
      </w:r>
      <w:r>
        <w:rPr>
          <w:rFonts w:cs="Arial"/>
          <w:rtl/>
        </w:rPr>
        <w:t xml:space="preserve">, </w:t>
      </w:r>
      <w:r>
        <w:rPr>
          <w:rFonts w:cs="Arial" w:hint="cs"/>
          <w:rtl/>
        </w:rPr>
        <w:t>פסול</w:t>
      </w:r>
      <w:r>
        <w:rPr>
          <w:rFonts w:cs="Arial"/>
          <w:rtl/>
        </w:rPr>
        <w:t xml:space="preserve">. </w:t>
      </w:r>
      <w:r w:rsidRPr="00A14BB0">
        <w:rPr>
          <w:rFonts w:cs="Arial" w:hint="cs"/>
          <w:sz w:val="18"/>
          <w:szCs w:val="18"/>
          <w:rtl/>
        </w:rPr>
        <w:t>[הגה] ויש</w:t>
      </w:r>
      <w:r w:rsidRPr="00A14BB0">
        <w:rPr>
          <w:rFonts w:cs="Arial"/>
          <w:sz w:val="18"/>
          <w:szCs w:val="18"/>
          <w:rtl/>
        </w:rPr>
        <w:t xml:space="preserve"> </w:t>
      </w:r>
      <w:r w:rsidRPr="00A14BB0">
        <w:rPr>
          <w:rFonts w:cs="Arial" w:hint="cs"/>
          <w:sz w:val="18"/>
          <w:szCs w:val="18"/>
          <w:rtl/>
        </w:rPr>
        <w:t>מכשירין</w:t>
      </w:r>
      <w:r w:rsidRPr="00A14BB0">
        <w:rPr>
          <w:rFonts w:cs="Arial"/>
          <w:sz w:val="18"/>
          <w:szCs w:val="18"/>
          <w:rtl/>
        </w:rPr>
        <w:t xml:space="preserve"> </w:t>
      </w:r>
      <w:r w:rsidRPr="00A14BB0">
        <w:rPr>
          <w:rFonts w:cs="Arial" w:hint="cs"/>
          <w:sz w:val="18"/>
          <w:szCs w:val="18"/>
          <w:rtl/>
        </w:rPr>
        <w:t>אם</w:t>
      </w:r>
      <w:r w:rsidRPr="00A14BB0">
        <w:rPr>
          <w:rFonts w:cs="Arial"/>
          <w:sz w:val="18"/>
          <w:szCs w:val="18"/>
          <w:rtl/>
        </w:rPr>
        <w:t xml:space="preserve"> </w:t>
      </w:r>
      <w:r w:rsidRPr="00A14BB0">
        <w:rPr>
          <w:rFonts w:cs="Arial" w:hint="cs"/>
          <w:sz w:val="18"/>
          <w:szCs w:val="18"/>
          <w:rtl/>
        </w:rPr>
        <w:t>חתמו</w:t>
      </w:r>
      <w:r w:rsidRPr="00A14BB0">
        <w:rPr>
          <w:rFonts w:cs="Arial"/>
          <w:sz w:val="18"/>
          <w:szCs w:val="18"/>
          <w:rtl/>
        </w:rPr>
        <w:t xml:space="preserve"> </w:t>
      </w:r>
      <w:r w:rsidRPr="00A14BB0">
        <w:rPr>
          <w:rFonts w:cs="Arial" w:hint="cs"/>
          <w:sz w:val="18"/>
          <w:szCs w:val="18"/>
          <w:rtl/>
        </w:rPr>
        <w:t>ב</w:t>
      </w:r>
      <w:r w:rsidRPr="00A14BB0">
        <w:rPr>
          <w:rFonts w:cs="Arial"/>
          <w:sz w:val="18"/>
          <w:szCs w:val="18"/>
          <w:rtl/>
        </w:rPr>
        <w:t xml:space="preserve">' </w:t>
      </w:r>
      <w:r w:rsidRPr="00A14BB0">
        <w:rPr>
          <w:rFonts w:cs="Arial" w:hint="cs"/>
          <w:sz w:val="18"/>
          <w:szCs w:val="18"/>
          <w:rtl/>
        </w:rPr>
        <w:t>בפני</w:t>
      </w:r>
      <w:r w:rsidRPr="00A14BB0">
        <w:rPr>
          <w:rFonts w:cs="Arial"/>
          <w:sz w:val="18"/>
          <w:szCs w:val="18"/>
          <w:rtl/>
        </w:rPr>
        <w:t xml:space="preserve"> </w:t>
      </w:r>
      <w:r w:rsidRPr="00A14BB0">
        <w:rPr>
          <w:rFonts w:cs="Arial" w:hint="cs"/>
          <w:sz w:val="18"/>
          <w:szCs w:val="18"/>
          <w:rtl/>
        </w:rPr>
        <w:t>זה</w:t>
      </w:r>
      <w:r w:rsidRPr="00A14BB0">
        <w:rPr>
          <w:rFonts w:cs="Arial"/>
          <w:sz w:val="18"/>
          <w:szCs w:val="18"/>
          <w:rtl/>
        </w:rPr>
        <w:t xml:space="preserve">, </w:t>
      </w:r>
      <w:r w:rsidRPr="00A14BB0">
        <w:rPr>
          <w:rFonts w:cs="Arial" w:hint="cs"/>
          <w:sz w:val="18"/>
          <w:szCs w:val="18"/>
          <w:rtl/>
        </w:rPr>
        <w:t>והשלישי</w:t>
      </w:r>
      <w:r w:rsidRPr="00A14BB0">
        <w:rPr>
          <w:rFonts w:cs="Arial"/>
          <w:sz w:val="18"/>
          <w:szCs w:val="18"/>
          <w:rtl/>
        </w:rPr>
        <w:t xml:space="preserve"> </w:t>
      </w:r>
      <w:r w:rsidRPr="00A14BB0">
        <w:rPr>
          <w:rFonts w:cs="Arial" w:hint="cs"/>
          <w:sz w:val="18"/>
          <w:szCs w:val="18"/>
          <w:rtl/>
        </w:rPr>
        <w:t>שלא</w:t>
      </w:r>
      <w:r w:rsidRPr="00A14BB0">
        <w:rPr>
          <w:rFonts w:cs="Arial"/>
          <w:sz w:val="18"/>
          <w:szCs w:val="18"/>
          <w:rtl/>
        </w:rPr>
        <w:t xml:space="preserve"> </w:t>
      </w:r>
      <w:r w:rsidRPr="00A14BB0">
        <w:rPr>
          <w:rFonts w:cs="Arial" w:hint="cs"/>
          <w:sz w:val="18"/>
          <w:szCs w:val="18"/>
          <w:rtl/>
        </w:rPr>
        <w:t>בפניהם</w:t>
      </w:r>
      <w:r>
        <w:rPr>
          <w:rStyle w:val="a7"/>
          <w:rFonts w:cs="Arial"/>
          <w:sz w:val="18"/>
          <w:szCs w:val="18"/>
          <w:rtl/>
        </w:rPr>
        <w:footnoteReference w:id="1251"/>
      </w:r>
      <w:r w:rsidRPr="00A14BB0">
        <w:rPr>
          <w:rFonts w:cs="Arial"/>
          <w:sz w:val="18"/>
          <w:szCs w:val="18"/>
          <w:rtl/>
        </w:rPr>
        <w:t xml:space="preserve"> (</w:t>
      </w:r>
      <w:r w:rsidRPr="00A14BB0">
        <w:rPr>
          <w:rFonts w:cs="Arial" w:hint="cs"/>
          <w:sz w:val="18"/>
          <w:szCs w:val="18"/>
          <w:rtl/>
        </w:rPr>
        <w:t>טור</w:t>
      </w:r>
      <w:r w:rsidRPr="00A14BB0">
        <w:rPr>
          <w:rFonts w:cs="Arial"/>
          <w:sz w:val="18"/>
          <w:szCs w:val="18"/>
          <w:rtl/>
        </w:rPr>
        <w:t xml:space="preserve"> </w:t>
      </w:r>
      <w:r w:rsidRPr="00A14BB0">
        <w:rPr>
          <w:rFonts w:cs="Arial" w:hint="cs"/>
          <w:sz w:val="18"/>
          <w:szCs w:val="18"/>
          <w:rtl/>
        </w:rPr>
        <w:t>בשם</w:t>
      </w:r>
      <w:r w:rsidRPr="00A14BB0">
        <w:rPr>
          <w:rFonts w:cs="Arial"/>
          <w:sz w:val="18"/>
          <w:szCs w:val="18"/>
          <w:rtl/>
        </w:rPr>
        <w:t xml:space="preserve"> </w:t>
      </w:r>
      <w:r w:rsidRPr="00A14BB0">
        <w:rPr>
          <w:rFonts w:cs="Arial" w:hint="cs"/>
          <w:sz w:val="18"/>
          <w:szCs w:val="18"/>
          <w:rtl/>
        </w:rPr>
        <w:t>ר</w:t>
      </w:r>
      <w:r w:rsidRPr="00A14BB0">
        <w:rPr>
          <w:rFonts w:cs="Arial"/>
          <w:sz w:val="18"/>
          <w:szCs w:val="18"/>
          <w:rtl/>
        </w:rPr>
        <w:t>"</w:t>
      </w:r>
      <w:r w:rsidRPr="00A14BB0">
        <w:rPr>
          <w:rFonts w:cs="Arial" w:hint="cs"/>
          <w:sz w:val="18"/>
          <w:szCs w:val="18"/>
          <w:rtl/>
        </w:rPr>
        <w:t>ת</w:t>
      </w:r>
      <w:r w:rsidRPr="00A14BB0">
        <w:rPr>
          <w:rFonts w:cs="Arial"/>
          <w:sz w:val="18"/>
          <w:szCs w:val="18"/>
          <w:rtl/>
        </w:rPr>
        <w:t xml:space="preserve">). </w:t>
      </w:r>
    </w:p>
    <w:p w14:paraId="5D522AEE" w14:textId="77777777" w:rsidR="00FA2119" w:rsidRDefault="00FA2119" w:rsidP="00FA2119">
      <w:pPr>
        <w:rPr>
          <w:rtl/>
        </w:rPr>
      </w:pPr>
    </w:p>
    <w:p w14:paraId="3445CA46" w14:textId="77777777" w:rsidR="00FA2119" w:rsidRPr="002A4804" w:rsidRDefault="00FA2119" w:rsidP="00FA2119">
      <w:pPr>
        <w:pStyle w:val="2"/>
        <w:rPr>
          <w:rtl/>
        </w:rPr>
      </w:pPr>
      <w:r>
        <w:rPr>
          <w:rFonts w:hint="cs"/>
          <w:rtl/>
        </w:rPr>
        <w:t>סעיף</w:t>
      </w:r>
      <w:r>
        <w:rPr>
          <w:rtl/>
        </w:rPr>
        <w:t xml:space="preserve"> </w:t>
      </w:r>
      <w:r>
        <w:rPr>
          <w:rFonts w:hint="cs"/>
          <w:rtl/>
        </w:rPr>
        <w:t>יד: הגט כתוב בעברית והחתימה בלועזית</w:t>
      </w:r>
      <w:r>
        <w:rPr>
          <w:rFonts w:hint="cs"/>
          <w:sz w:val="20"/>
          <w:szCs w:val="20"/>
          <w:rtl/>
        </w:rPr>
        <w:t xml:space="preserve"> </w:t>
      </w:r>
      <w:r>
        <w:rPr>
          <w:rFonts w:hint="cs"/>
          <w:sz w:val="18"/>
          <w:szCs w:val="18"/>
          <w:rtl/>
        </w:rPr>
        <w:t>(או הפוך)</w:t>
      </w:r>
      <w:r>
        <w:rPr>
          <w:rFonts w:hint="cs"/>
          <w:rtl/>
        </w:rPr>
        <w:t>.</w:t>
      </w:r>
    </w:p>
    <w:p w14:paraId="746DA2CA" w14:textId="2A644B3B" w:rsidR="00FA2119" w:rsidRDefault="00FA2119" w:rsidP="00FA2119">
      <w:pPr>
        <w:rPr>
          <w:rFonts w:asciiTheme="minorBidi" w:hAnsiTheme="minorBidi"/>
          <w:rtl/>
        </w:rPr>
      </w:pPr>
      <w:r w:rsidRPr="00351B7D">
        <w:rPr>
          <w:rFonts w:asciiTheme="minorBidi" w:hAnsiTheme="minorBidi"/>
          <w:b/>
          <w:bCs/>
          <w:rtl/>
        </w:rPr>
        <w:t xml:space="preserve">גיטין </w:t>
      </w:r>
      <w:r>
        <w:rPr>
          <w:rFonts w:asciiTheme="minorBidi" w:hAnsiTheme="minorBidi" w:hint="cs"/>
          <w:b/>
          <w:bCs/>
          <w:sz w:val="16"/>
          <w:szCs w:val="16"/>
          <w:rtl/>
        </w:rPr>
        <w:t xml:space="preserve">(פ' המגרש) </w:t>
      </w:r>
      <w:r w:rsidRPr="00351B7D">
        <w:rPr>
          <w:rFonts w:asciiTheme="minorBidi" w:hAnsiTheme="minorBidi"/>
          <w:b/>
          <w:bCs/>
          <w:rtl/>
        </w:rPr>
        <w:t xml:space="preserve">פז ע"ב: </w:t>
      </w:r>
      <w:r w:rsidRPr="00351B7D">
        <w:rPr>
          <w:rFonts w:asciiTheme="minorBidi" w:hAnsiTheme="minorBidi"/>
          <w:u w:val="double"/>
          <w:rtl/>
        </w:rPr>
        <w:t>מתני':</w:t>
      </w:r>
      <w:r>
        <w:rPr>
          <w:rFonts w:asciiTheme="minorBidi" w:hAnsiTheme="minorBidi" w:hint="cs"/>
          <w:rtl/>
        </w:rPr>
        <w:t>...</w:t>
      </w:r>
      <w:r w:rsidRPr="00351B7D">
        <w:rPr>
          <w:rFonts w:asciiTheme="minorBidi" w:hAnsiTheme="minorBidi"/>
          <w:rtl/>
        </w:rPr>
        <w:t xml:space="preserve"> גט שכתבו עברית ועדיו יוונית, יוונית ועדיו עברי'</w:t>
      </w:r>
      <w:r>
        <w:rPr>
          <w:rFonts w:hint="cs"/>
          <w:rtl/>
        </w:rPr>
        <w:t>,</w:t>
      </w:r>
      <w:r w:rsidRPr="00EB790F">
        <w:rPr>
          <w:rtl/>
        </w:rPr>
        <w:t xml:space="preserve"> </w:t>
      </w:r>
      <w:r w:rsidRPr="00EB790F">
        <w:rPr>
          <w:rFonts w:asciiTheme="minorBidi" w:hAnsiTheme="minorBidi" w:cs="Arial"/>
          <w:rtl/>
        </w:rPr>
        <w:t>עד אחד עברי ועד אחד יווני, כתב סופר ועד</w:t>
      </w:r>
      <w:r>
        <w:rPr>
          <w:rFonts w:asciiTheme="minorBidi" w:hAnsiTheme="minorBidi" w:hint="cs"/>
          <w:rtl/>
        </w:rPr>
        <w:t xml:space="preserve"> </w:t>
      </w:r>
      <w:r w:rsidR="00A82951">
        <w:rPr>
          <w:rFonts w:asciiTheme="minorBidi" w:hAnsiTheme="minorBidi" w:hint="cs"/>
          <w:rtl/>
        </w:rPr>
        <w:t>-</w:t>
      </w:r>
      <w:r w:rsidRPr="00351B7D">
        <w:rPr>
          <w:rFonts w:asciiTheme="minorBidi" w:hAnsiTheme="minorBidi"/>
          <w:rtl/>
        </w:rPr>
        <w:t xml:space="preserve"> כשר.</w:t>
      </w:r>
      <w:r>
        <w:rPr>
          <w:rFonts w:asciiTheme="minorBidi" w:hAnsiTheme="minorBidi" w:hint="cs"/>
          <w:rtl/>
        </w:rPr>
        <w:t>..</w:t>
      </w:r>
      <w:r w:rsidRPr="00351B7D">
        <w:rPr>
          <w:rFonts w:asciiTheme="minorBidi" w:hAnsiTheme="minorBidi"/>
          <w:rtl/>
        </w:rPr>
        <w:t xml:space="preserve"> </w:t>
      </w:r>
    </w:p>
    <w:p w14:paraId="2D0B048A" w14:textId="2631C7D3" w:rsidR="00FA2119" w:rsidRPr="00351B7D" w:rsidRDefault="00FA2119" w:rsidP="00FA2119">
      <w:pPr>
        <w:rPr>
          <w:rFonts w:asciiTheme="minorBidi" w:hAnsiTheme="minorBidi"/>
          <w:rtl/>
        </w:rPr>
      </w:pPr>
      <w:r w:rsidRPr="00DF2AA1">
        <w:rPr>
          <w:rFonts w:asciiTheme="minorBidi" w:hAnsiTheme="minorBidi" w:cs="Arial" w:hint="cs"/>
          <w:b/>
          <w:bCs/>
          <w:rtl/>
        </w:rPr>
        <w:t>ירושלמי גיטין פ"ט ה"ח:</w:t>
      </w:r>
      <w:r>
        <w:rPr>
          <w:rFonts w:asciiTheme="minorBidi" w:hAnsiTheme="minorBidi" w:cs="Arial" w:hint="cs"/>
          <w:rtl/>
        </w:rPr>
        <w:t xml:space="preserve"> </w:t>
      </w:r>
      <w:r w:rsidRPr="00DF2AA1">
        <w:rPr>
          <w:rFonts w:asciiTheme="minorBidi" w:hAnsiTheme="minorBidi" w:cs="Arial"/>
          <w:u w:val="single"/>
          <w:rtl/>
        </w:rPr>
        <w:t>רב אמר</w:t>
      </w:r>
      <w:r>
        <w:rPr>
          <w:rFonts w:asciiTheme="minorBidi" w:hAnsiTheme="minorBidi" w:cs="Arial" w:hint="cs"/>
          <w:rtl/>
        </w:rPr>
        <w:t>:</w:t>
      </w:r>
      <w:r w:rsidRPr="00DF2AA1">
        <w:rPr>
          <w:rFonts w:asciiTheme="minorBidi" w:hAnsiTheme="minorBidi" w:cs="Arial"/>
          <w:rtl/>
        </w:rPr>
        <w:t xml:space="preserve"> הדיינין חותמין</w:t>
      </w:r>
      <w:r>
        <w:rPr>
          <w:rStyle w:val="a7"/>
          <w:rFonts w:asciiTheme="minorBidi" w:hAnsiTheme="minorBidi" w:cs="Arial"/>
          <w:rtl/>
        </w:rPr>
        <w:footnoteReference w:id="1252"/>
      </w:r>
      <w:r w:rsidRPr="00DF2AA1">
        <w:rPr>
          <w:rFonts w:asciiTheme="minorBidi" w:hAnsiTheme="minorBidi" w:cs="Arial"/>
          <w:rtl/>
        </w:rPr>
        <w:t xml:space="preserve"> אף על פי שאינן יודעין לקרות. אבל אין העדים חותמין אלא אם כן היו יודעין לקרות</w:t>
      </w:r>
      <w:r>
        <w:rPr>
          <w:rFonts w:asciiTheme="minorBidi" w:hAnsiTheme="minorBidi" w:cs="Arial" w:hint="cs"/>
          <w:rtl/>
        </w:rPr>
        <w:t>.</w:t>
      </w:r>
      <w:r w:rsidRPr="00DF2AA1">
        <w:rPr>
          <w:rFonts w:asciiTheme="minorBidi" w:hAnsiTheme="minorBidi" w:cs="Arial"/>
          <w:rtl/>
        </w:rPr>
        <w:t xml:space="preserve"> </w:t>
      </w:r>
      <w:r w:rsidRPr="007F7BE3">
        <w:rPr>
          <w:rFonts w:asciiTheme="minorBidi" w:hAnsiTheme="minorBidi" w:cs="Arial"/>
          <w:u w:val="single"/>
          <w:rtl/>
        </w:rPr>
        <w:t>אמר</w:t>
      </w:r>
      <w:r>
        <w:rPr>
          <w:rFonts w:asciiTheme="minorBidi" w:hAnsiTheme="minorBidi" w:cs="Arial" w:hint="cs"/>
          <w:rtl/>
        </w:rPr>
        <w:t>:</w:t>
      </w:r>
      <w:r w:rsidRPr="00DF2AA1">
        <w:rPr>
          <w:rFonts w:asciiTheme="minorBidi" w:hAnsiTheme="minorBidi" w:cs="Arial"/>
          <w:rtl/>
        </w:rPr>
        <w:t xml:space="preserve"> יבא עלי</w:t>
      </w:r>
      <w:r>
        <w:rPr>
          <w:rStyle w:val="a7"/>
          <w:rFonts w:asciiTheme="minorBidi" w:hAnsiTheme="minorBidi" w:cs="Arial"/>
          <w:rtl/>
        </w:rPr>
        <w:footnoteReference w:id="1253"/>
      </w:r>
      <w:r w:rsidRPr="00DF2AA1">
        <w:rPr>
          <w:rFonts w:asciiTheme="minorBidi" w:hAnsiTheme="minorBidi" w:cs="Arial"/>
          <w:rtl/>
        </w:rPr>
        <w:t xml:space="preserve"> אם עשיתי מימיי. </w:t>
      </w:r>
      <w:r w:rsidRPr="00DF2AA1">
        <w:rPr>
          <w:rFonts w:asciiTheme="minorBidi" w:hAnsiTheme="minorBidi" w:cs="Arial"/>
          <w:u w:val="single"/>
          <w:rtl/>
        </w:rPr>
        <w:t>אמר ר' חגיי קומי רבי יוסי</w:t>
      </w:r>
      <w:r>
        <w:rPr>
          <w:rFonts w:asciiTheme="minorBidi" w:hAnsiTheme="minorBidi" w:cs="Arial" w:hint="cs"/>
          <w:rtl/>
        </w:rPr>
        <w:t xml:space="preserve">: </w:t>
      </w:r>
      <w:r w:rsidRPr="00DF2AA1">
        <w:rPr>
          <w:rFonts w:asciiTheme="minorBidi" w:hAnsiTheme="minorBidi" w:cs="Arial"/>
          <w:rtl/>
        </w:rPr>
        <w:t>לא בא קומי רב כתב יווני מיומוי וקיימה בחותמיו. מתניתא פליגא על רב</w:t>
      </w:r>
      <w:r>
        <w:rPr>
          <w:rFonts w:asciiTheme="minorBidi" w:hAnsiTheme="minorBidi" w:cs="Arial" w:hint="cs"/>
          <w:rtl/>
        </w:rPr>
        <w:t>:</w:t>
      </w:r>
      <w:r w:rsidRPr="00DF2AA1">
        <w:rPr>
          <w:rFonts w:asciiTheme="minorBidi" w:hAnsiTheme="minorBidi" w:cs="Arial"/>
          <w:rtl/>
        </w:rPr>
        <w:t xml:space="preserve"> גט שכתבו עברית ועדיו יוונית</w:t>
      </w:r>
      <w:r>
        <w:rPr>
          <w:rFonts w:asciiTheme="minorBidi" w:hAnsiTheme="minorBidi" w:cs="Arial" w:hint="cs"/>
          <w:rtl/>
        </w:rPr>
        <w:t>,</w:t>
      </w:r>
      <w:r w:rsidRPr="00DF2AA1">
        <w:rPr>
          <w:rFonts w:asciiTheme="minorBidi" w:hAnsiTheme="minorBidi" w:cs="Arial"/>
          <w:rtl/>
        </w:rPr>
        <w:t xml:space="preserve"> יוונית ועדיו עברית</w:t>
      </w:r>
      <w:r>
        <w:rPr>
          <w:rFonts w:asciiTheme="minorBidi" w:hAnsiTheme="minorBidi" w:cs="Arial" w:hint="cs"/>
          <w:rtl/>
        </w:rPr>
        <w:t>,</w:t>
      </w:r>
      <w:r w:rsidRPr="00DF2AA1">
        <w:rPr>
          <w:rFonts w:asciiTheme="minorBidi" w:hAnsiTheme="minorBidi" w:cs="Arial"/>
          <w:rtl/>
        </w:rPr>
        <w:t xml:space="preserve"> עד אחד עברי ועד אחד יווני</w:t>
      </w:r>
      <w:r>
        <w:rPr>
          <w:rFonts w:asciiTheme="minorBidi" w:hAnsiTheme="minorBidi" w:cs="Arial" w:hint="cs"/>
          <w:rtl/>
        </w:rPr>
        <w:t xml:space="preserve"> </w:t>
      </w:r>
      <w:r w:rsidR="00A82951">
        <w:rPr>
          <w:rFonts w:asciiTheme="minorBidi" w:hAnsiTheme="minorBidi" w:cs="Arial" w:hint="cs"/>
          <w:rtl/>
        </w:rPr>
        <w:t>-</w:t>
      </w:r>
      <w:r w:rsidRPr="00DF2AA1">
        <w:rPr>
          <w:rFonts w:asciiTheme="minorBidi" w:hAnsiTheme="minorBidi" w:cs="Arial"/>
          <w:rtl/>
        </w:rPr>
        <w:t xml:space="preserve"> כשר. פתר לה</w:t>
      </w:r>
      <w:r>
        <w:rPr>
          <w:rFonts w:asciiTheme="minorBidi" w:hAnsiTheme="minorBidi" w:cs="Arial" w:hint="cs"/>
          <w:rtl/>
        </w:rPr>
        <w:t>:</w:t>
      </w:r>
      <w:r w:rsidRPr="00DF2AA1">
        <w:rPr>
          <w:rFonts w:asciiTheme="minorBidi" w:hAnsiTheme="minorBidi" w:cs="Arial"/>
          <w:rtl/>
        </w:rPr>
        <w:t xml:space="preserve"> כשהיו יודעין לקרות ולא היו יודעין לחתום. ואם</w:t>
      </w:r>
      <w:r>
        <w:rPr>
          <w:rStyle w:val="a7"/>
          <w:rFonts w:asciiTheme="minorBidi" w:hAnsiTheme="minorBidi" w:cs="Arial"/>
          <w:rtl/>
        </w:rPr>
        <w:footnoteReference w:id="1254"/>
      </w:r>
      <w:r w:rsidRPr="00DF2AA1">
        <w:rPr>
          <w:rFonts w:asciiTheme="minorBidi" w:hAnsiTheme="minorBidi" w:cs="Arial"/>
          <w:rtl/>
        </w:rPr>
        <w:t xml:space="preserve"> היו יודעין את שניהן </w:t>
      </w:r>
      <w:r w:rsidR="00A82951">
        <w:rPr>
          <w:rFonts w:asciiTheme="minorBidi" w:hAnsiTheme="minorBidi" w:cs="Arial" w:hint="cs"/>
          <w:rtl/>
        </w:rPr>
        <w:t>-</w:t>
      </w:r>
      <w:r>
        <w:rPr>
          <w:rFonts w:asciiTheme="minorBidi" w:hAnsiTheme="minorBidi" w:cs="Arial" w:hint="cs"/>
          <w:rtl/>
        </w:rPr>
        <w:t xml:space="preserve"> </w:t>
      </w:r>
      <w:r w:rsidRPr="00DF2AA1">
        <w:rPr>
          <w:rFonts w:asciiTheme="minorBidi" w:hAnsiTheme="minorBidi" w:cs="Arial"/>
          <w:rtl/>
        </w:rPr>
        <w:t>יחתמו באי זה מהן שירצו.</w:t>
      </w:r>
    </w:p>
    <w:p w14:paraId="1AB9DE01" w14:textId="49B8AEB6" w:rsidR="00FA2119" w:rsidRDefault="00FA2119" w:rsidP="00FA2119">
      <w:pPr>
        <w:rPr>
          <w:rFonts w:asciiTheme="minorBidi" w:hAnsiTheme="minorBidi"/>
          <w:rtl/>
        </w:rPr>
      </w:pPr>
      <w:r w:rsidRPr="00351B7D">
        <w:rPr>
          <w:rFonts w:asciiTheme="minorBidi" w:hAnsiTheme="minorBidi"/>
          <w:b/>
          <w:bCs/>
          <w:rtl/>
        </w:rPr>
        <w:t>תוספתא גיטין</w:t>
      </w:r>
      <w:r w:rsidRPr="00351B7D">
        <w:rPr>
          <w:rFonts w:asciiTheme="minorBidi" w:hAnsiTheme="minorBidi"/>
          <w:b/>
          <w:bCs/>
          <w:sz w:val="16"/>
          <w:szCs w:val="16"/>
          <w:rtl/>
        </w:rPr>
        <w:t xml:space="preserve"> </w:t>
      </w:r>
      <w:r w:rsidRPr="00351B7D">
        <w:rPr>
          <w:rFonts w:asciiTheme="minorBidi" w:hAnsiTheme="minorBidi"/>
          <w:b/>
          <w:bCs/>
          <w:rtl/>
        </w:rPr>
        <w:t>פ"ז הי"א:</w:t>
      </w:r>
      <w:r w:rsidRPr="00351B7D">
        <w:rPr>
          <w:rFonts w:asciiTheme="minorBidi" w:hAnsiTheme="minorBidi"/>
          <w:rtl/>
        </w:rPr>
        <w:t xml:space="preserve"> גט שכתבו בחמשה לשונות וחתמו עליו חמשה עדים בחמשה לשונות</w:t>
      </w:r>
      <w:r>
        <w:rPr>
          <w:rFonts w:asciiTheme="minorBidi" w:hAnsiTheme="minorBidi" w:hint="cs"/>
          <w:rtl/>
        </w:rPr>
        <w:t xml:space="preserve"> </w:t>
      </w:r>
      <w:r w:rsidR="00A82951">
        <w:rPr>
          <w:rFonts w:asciiTheme="minorBidi" w:hAnsiTheme="minorBidi" w:hint="cs"/>
          <w:rtl/>
        </w:rPr>
        <w:t>-</w:t>
      </w:r>
      <w:r>
        <w:rPr>
          <w:rFonts w:asciiTheme="minorBidi" w:hAnsiTheme="minorBidi" w:hint="cs"/>
          <w:rtl/>
        </w:rPr>
        <w:t xml:space="preserve"> [כשר]</w:t>
      </w:r>
      <w:r w:rsidRPr="00351B7D">
        <w:rPr>
          <w:rFonts w:asciiTheme="minorBidi" w:hAnsiTheme="minorBidi"/>
          <w:rtl/>
        </w:rPr>
        <w:t>.</w:t>
      </w:r>
      <w:r w:rsidRPr="00351B7D">
        <w:rPr>
          <w:rFonts w:asciiTheme="minorBidi" w:hAnsiTheme="minorBidi"/>
          <w:sz w:val="16"/>
          <w:szCs w:val="16"/>
          <w:rtl/>
        </w:rPr>
        <w:t xml:space="preserve"> (</w:t>
      </w:r>
      <w:r>
        <w:rPr>
          <w:rFonts w:asciiTheme="minorBidi" w:hAnsiTheme="minorBidi" w:hint="cs"/>
          <w:sz w:val="16"/>
          <w:szCs w:val="16"/>
          <w:rtl/>
        </w:rPr>
        <w:t xml:space="preserve">כן גרס הרשב"א </w:t>
      </w:r>
      <w:r w:rsidRPr="008303FA">
        <w:rPr>
          <w:rFonts w:asciiTheme="minorBidi" w:hAnsiTheme="minorBidi" w:cs="Arial"/>
          <w:sz w:val="16"/>
          <w:szCs w:val="16"/>
          <w:rtl/>
        </w:rPr>
        <w:t>(סי</w:t>
      </w:r>
      <w:r>
        <w:rPr>
          <w:rFonts w:asciiTheme="minorBidi" w:hAnsiTheme="minorBidi" w:cs="Arial" w:hint="cs"/>
          <w:sz w:val="16"/>
          <w:szCs w:val="16"/>
          <w:rtl/>
        </w:rPr>
        <w:t>'</w:t>
      </w:r>
      <w:r w:rsidRPr="008303FA">
        <w:rPr>
          <w:rFonts w:asciiTheme="minorBidi" w:hAnsiTheme="minorBidi" w:cs="Arial"/>
          <w:sz w:val="16"/>
          <w:szCs w:val="16"/>
          <w:rtl/>
        </w:rPr>
        <w:t xml:space="preserve"> אלף</w:t>
      </w:r>
      <w:r>
        <w:rPr>
          <w:rFonts w:asciiTheme="minorBidi" w:hAnsiTheme="minorBidi" w:cs="Arial" w:hint="cs"/>
          <w:sz w:val="16"/>
          <w:szCs w:val="16"/>
          <w:rtl/>
        </w:rPr>
        <w:t xml:space="preserve"> </w:t>
      </w:r>
      <w:r w:rsidRPr="008303FA">
        <w:rPr>
          <w:rFonts w:asciiTheme="minorBidi" w:hAnsiTheme="minorBidi" w:cs="Arial"/>
          <w:sz w:val="16"/>
          <w:szCs w:val="16"/>
          <w:rtl/>
        </w:rPr>
        <w:t>קצא ואלף רכ</w:t>
      </w:r>
      <w:r>
        <w:rPr>
          <w:rFonts w:asciiTheme="minorBidi" w:hAnsiTheme="minorBidi" w:cs="Arial" w:hint="cs"/>
          <w:sz w:val="16"/>
          <w:szCs w:val="16"/>
          <w:rtl/>
        </w:rPr>
        <w:t>,</w:t>
      </w:r>
      <w:r w:rsidRPr="008303FA">
        <w:rPr>
          <w:rFonts w:asciiTheme="minorBidi" w:hAnsiTheme="minorBidi" w:cs="Arial"/>
          <w:sz w:val="16"/>
          <w:szCs w:val="16"/>
          <w:rtl/>
        </w:rPr>
        <w:t xml:space="preserve"> ותשעט)</w:t>
      </w:r>
      <w:r>
        <w:rPr>
          <w:rFonts w:asciiTheme="minorBidi" w:hAnsiTheme="minorBidi" w:cs="Arial" w:hint="cs"/>
          <w:sz w:val="16"/>
          <w:szCs w:val="16"/>
          <w:rtl/>
        </w:rPr>
        <w:t xml:space="preserve">. אך </w:t>
      </w:r>
      <w:r w:rsidRPr="008303FA">
        <w:rPr>
          <w:rFonts w:asciiTheme="minorBidi" w:hAnsiTheme="minorBidi" w:cs="Arial"/>
          <w:sz w:val="16"/>
          <w:szCs w:val="16"/>
          <w:rtl/>
        </w:rPr>
        <w:t xml:space="preserve">הרמב"ם (הל' גירושין פ"ד ה"ח) והראב"ד גורסים </w:t>
      </w:r>
      <w:r>
        <w:rPr>
          <w:rFonts w:asciiTheme="minorBidi" w:hAnsiTheme="minorBidi" w:cs="Arial" w:hint="cs"/>
          <w:sz w:val="16"/>
          <w:szCs w:val="16"/>
          <w:rtl/>
        </w:rPr>
        <w:t>'</w:t>
      </w:r>
      <w:r w:rsidRPr="008303FA">
        <w:rPr>
          <w:rFonts w:asciiTheme="minorBidi" w:hAnsiTheme="minorBidi" w:cs="Arial"/>
          <w:sz w:val="16"/>
          <w:szCs w:val="16"/>
          <w:rtl/>
        </w:rPr>
        <w:t>פסול</w:t>
      </w:r>
      <w:r>
        <w:rPr>
          <w:rFonts w:asciiTheme="minorBidi" w:hAnsiTheme="minorBidi" w:cs="Arial" w:hint="cs"/>
          <w:sz w:val="16"/>
          <w:szCs w:val="16"/>
          <w:rtl/>
        </w:rPr>
        <w:t>')</w:t>
      </w:r>
    </w:p>
    <w:p w14:paraId="678684DB" w14:textId="77777777" w:rsidR="00FA2119" w:rsidRPr="002A4804" w:rsidRDefault="00FA2119" w:rsidP="00FA2119">
      <w:pPr>
        <w:rPr>
          <w:rFonts w:asciiTheme="minorBidi" w:hAnsiTheme="minorBidi"/>
          <w:u w:val="single"/>
          <w:rtl/>
        </w:rPr>
      </w:pPr>
      <w:r w:rsidRPr="00D10589">
        <w:rPr>
          <w:rFonts w:hint="cs"/>
          <w:u w:val="single"/>
          <w:rtl/>
        </w:rPr>
        <w:t>הגט כתוב בעברית והחתימה בלועזית</w:t>
      </w:r>
      <w:r w:rsidRPr="00D10589">
        <w:rPr>
          <w:rFonts w:hint="cs"/>
          <w:sz w:val="20"/>
          <w:szCs w:val="20"/>
          <w:u w:val="single"/>
          <w:rtl/>
        </w:rPr>
        <w:t xml:space="preserve"> </w:t>
      </w:r>
      <w:r w:rsidRPr="002A4804">
        <w:rPr>
          <w:rFonts w:hint="cs"/>
          <w:sz w:val="16"/>
          <w:szCs w:val="16"/>
          <w:u w:val="single"/>
          <w:rtl/>
        </w:rPr>
        <w:t>(או הפוך)</w:t>
      </w:r>
      <w:r>
        <w:rPr>
          <w:rFonts w:hint="cs"/>
          <w:u w:val="single"/>
          <w:rtl/>
        </w:rPr>
        <w:t>:</w:t>
      </w:r>
    </w:p>
    <w:p w14:paraId="2EA3C41D" w14:textId="3DDF0409" w:rsidR="00FA2119" w:rsidRPr="00EB790F" w:rsidRDefault="00FA2119" w:rsidP="00FA2119">
      <w:pPr>
        <w:pStyle w:val="ab"/>
        <w:numPr>
          <w:ilvl w:val="0"/>
          <w:numId w:val="80"/>
        </w:numPr>
      </w:pPr>
      <w:r>
        <w:rPr>
          <w:rFonts w:cs="Arial" w:hint="cs"/>
          <w:rtl/>
        </w:rPr>
        <w:t>טור</w:t>
      </w:r>
      <w:r w:rsidR="00A82951">
        <w:rPr>
          <w:rFonts w:cs="Arial" w:hint="cs"/>
          <w:rtl/>
        </w:rPr>
        <w:t>-</w:t>
      </w:r>
      <w:r>
        <w:rPr>
          <w:rFonts w:cs="Arial" w:hint="cs"/>
          <w:rtl/>
        </w:rPr>
        <w:t xml:space="preserve"> </w:t>
      </w:r>
      <w:r>
        <w:rPr>
          <w:rFonts w:cs="Arial"/>
          <w:rtl/>
        </w:rPr>
        <w:t>נכתב הגט בכתב עברי ועדיו חתמו בכתב יונית</w:t>
      </w:r>
      <w:r>
        <w:rPr>
          <w:rFonts w:cs="Arial" w:hint="cs"/>
          <w:rtl/>
        </w:rPr>
        <w:t>,</w:t>
      </w:r>
      <w:r>
        <w:rPr>
          <w:rFonts w:cs="Arial"/>
          <w:rtl/>
        </w:rPr>
        <w:t xml:space="preserve"> או איפכא</w:t>
      </w:r>
      <w:r>
        <w:rPr>
          <w:rFonts w:cs="Arial" w:hint="cs"/>
          <w:rtl/>
        </w:rPr>
        <w:t>, או</w:t>
      </w:r>
      <w:r w:rsidRPr="00D10589">
        <w:rPr>
          <w:rFonts w:cs="Arial"/>
          <w:rtl/>
        </w:rPr>
        <w:t xml:space="preserve"> </w:t>
      </w:r>
      <w:r>
        <w:rPr>
          <w:rFonts w:cs="Arial" w:hint="cs"/>
          <w:rtl/>
        </w:rPr>
        <w:t>ש</w:t>
      </w:r>
      <w:r w:rsidRPr="002A4804">
        <w:rPr>
          <w:rFonts w:cs="Arial"/>
          <w:rtl/>
        </w:rPr>
        <w:t>עד אחד חתם עברית והשני יונית</w:t>
      </w:r>
      <w:r>
        <w:rPr>
          <w:rFonts w:cs="Arial" w:hint="cs"/>
          <w:rtl/>
        </w:rPr>
        <w:t xml:space="preserve"> </w:t>
      </w:r>
      <w:r w:rsidR="00A82951">
        <w:rPr>
          <w:rFonts w:cs="Arial"/>
          <w:rtl/>
        </w:rPr>
        <w:t>-</w:t>
      </w:r>
      <w:r>
        <w:rPr>
          <w:rFonts w:cs="Arial" w:hint="cs"/>
          <w:rtl/>
        </w:rPr>
        <w:t xml:space="preserve"> </w:t>
      </w:r>
      <w:r>
        <w:rPr>
          <w:rFonts w:cs="Arial"/>
          <w:rtl/>
        </w:rPr>
        <w:t>כשר</w:t>
      </w:r>
      <w:r>
        <w:rPr>
          <w:rFonts w:cs="Arial" w:hint="cs"/>
          <w:rtl/>
        </w:rPr>
        <w:t>.</w:t>
      </w:r>
      <w:r w:rsidRPr="00D10589">
        <w:rPr>
          <w:rFonts w:cs="Arial"/>
          <w:rtl/>
        </w:rPr>
        <w:t xml:space="preserve"> </w:t>
      </w:r>
      <w:r>
        <w:rPr>
          <w:rFonts w:cs="Arial"/>
          <w:rtl/>
        </w:rPr>
        <w:t>וכתב הרמב"ם ז"ל</w:t>
      </w:r>
      <w:r>
        <w:rPr>
          <w:rFonts w:cs="Arial" w:hint="cs"/>
          <w:sz w:val="16"/>
          <w:szCs w:val="16"/>
          <w:rtl/>
        </w:rPr>
        <w:t xml:space="preserve"> </w:t>
      </w:r>
      <w:r w:rsidRPr="00DE102E">
        <w:rPr>
          <w:rFonts w:cs="Arial"/>
          <w:sz w:val="16"/>
          <w:szCs w:val="16"/>
          <w:rtl/>
        </w:rPr>
        <w:t>(</w:t>
      </w:r>
      <w:r w:rsidRPr="00DE102E">
        <w:rPr>
          <w:rFonts w:cs="Arial" w:hint="cs"/>
          <w:sz w:val="16"/>
          <w:szCs w:val="16"/>
          <w:rtl/>
        </w:rPr>
        <w:t xml:space="preserve">פ"ד </w:t>
      </w:r>
      <w:r w:rsidRPr="00DE102E">
        <w:rPr>
          <w:rFonts w:cs="Arial"/>
          <w:sz w:val="16"/>
          <w:szCs w:val="16"/>
          <w:rtl/>
        </w:rPr>
        <w:t>ה"ז)</w:t>
      </w:r>
      <w:r>
        <w:rPr>
          <w:rFonts w:cs="Arial"/>
          <w:rtl/>
        </w:rPr>
        <w:t xml:space="preserve"> והוא שיהו העדים מכירין לשון הכתב והכתיבה</w:t>
      </w:r>
      <w:r>
        <w:rPr>
          <w:rStyle w:val="a7"/>
          <w:rFonts w:cs="Arial"/>
          <w:rtl/>
        </w:rPr>
        <w:footnoteReference w:id="1255"/>
      </w:r>
      <w:r>
        <w:rPr>
          <w:rFonts w:cs="Arial" w:hint="cs"/>
          <w:rtl/>
        </w:rPr>
        <w:t>.</w:t>
      </w:r>
      <w:r>
        <w:rPr>
          <w:rFonts w:cs="Arial"/>
          <w:rtl/>
        </w:rPr>
        <w:t xml:space="preserve"> </w:t>
      </w:r>
      <w:r w:rsidRPr="00D10589">
        <w:rPr>
          <w:rFonts w:hint="cs"/>
          <w:color w:val="E36C0A" w:themeColor="accent6" w:themeShade="BF"/>
          <w:rtl/>
        </w:rPr>
        <w:t>(וכ"פ בשו"ע</w:t>
      </w:r>
      <w:r w:rsidRPr="00D10589">
        <w:rPr>
          <w:rFonts w:hint="cs"/>
          <w:color w:val="E36C0A" w:themeColor="accent6" w:themeShade="BF"/>
          <w:sz w:val="16"/>
          <w:szCs w:val="16"/>
          <w:rtl/>
        </w:rPr>
        <w:t xml:space="preserve"> </w:t>
      </w:r>
      <w:r>
        <w:rPr>
          <w:rFonts w:hint="cs"/>
          <w:sz w:val="16"/>
          <w:szCs w:val="16"/>
          <w:rtl/>
        </w:rPr>
        <w:t>[כאן ובסע' הבא]</w:t>
      </w:r>
      <w:r w:rsidRPr="00D10589">
        <w:rPr>
          <w:rFonts w:hint="cs"/>
          <w:color w:val="E36C0A" w:themeColor="accent6" w:themeShade="BF"/>
          <w:rtl/>
        </w:rPr>
        <w:t>)</w:t>
      </w:r>
    </w:p>
    <w:p w14:paraId="5BA75E5B" w14:textId="77777777" w:rsidR="00FA2119" w:rsidRPr="00D10589" w:rsidRDefault="00FA2119" w:rsidP="00FA2119">
      <w:pPr>
        <w:rPr>
          <w:u w:val="single"/>
        </w:rPr>
      </w:pPr>
      <w:r w:rsidRPr="00D10589">
        <w:rPr>
          <w:rFonts w:hint="cs"/>
          <w:u w:val="single"/>
          <w:rtl/>
        </w:rPr>
        <w:t>גט שכתוב מקצתו בלשון אחד ומקצתו בלשון אחר:</w:t>
      </w:r>
    </w:p>
    <w:p w14:paraId="3EDBB063" w14:textId="5AB571F1" w:rsidR="00FA2119" w:rsidRPr="00E33EF5" w:rsidRDefault="00FA2119" w:rsidP="00E94408">
      <w:pPr>
        <w:pStyle w:val="ab"/>
        <w:numPr>
          <w:ilvl w:val="0"/>
          <w:numId w:val="80"/>
        </w:numPr>
      </w:pPr>
      <w:r>
        <w:rPr>
          <w:rFonts w:cs="Arial"/>
          <w:rtl/>
        </w:rPr>
        <w:t>רמב"ם</w:t>
      </w:r>
      <w:r>
        <w:rPr>
          <w:rFonts w:cs="Arial" w:hint="cs"/>
          <w:sz w:val="16"/>
          <w:szCs w:val="16"/>
          <w:rtl/>
        </w:rPr>
        <w:t xml:space="preserve"> </w:t>
      </w:r>
      <w:r w:rsidRPr="00DE102E">
        <w:rPr>
          <w:rFonts w:cs="Arial"/>
          <w:sz w:val="16"/>
          <w:szCs w:val="16"/>
          <w:rtl/>
        </w:rPr>
        <w:t>(</w:t>
      </w:r>
      <w:r w:rsidRPr="00DE102E">
        <w:rPr>
          <w:rFonts w:cs="Arial" w:hint="cs"/>
          <w:sz w:val="16"/>
          <w:szCs w:val="16"/>
          <w:rtl/>
        </w:rPr>
        <w:t xml:space="preserve">פ"ד </w:t>
      </w:r>
      <w:r w:rsidRPr="00DE102E">
        <w:rPr>
          <w:rFonts w:cs="Arial"/>
          <w:sz w:val="16"/>
          <w:szCs w:val="16"/>
          <w:rtl/>
        </w:rPr>
        <w:t>ה"</w:t>
      </w:r>
      <w:r>
        <w:rPr>
          <w:rFonts w:cs="Arial" w:hint="cs"/>
          <w:sz w:val="16"/>
          <w:szCs w:val="16"/>
          <w:rtl/>
        </w:rPr>
        <w:t>ח</w:t>
      </w:r>
      <w:r w:rsidRPr="00DE102E">
        <w:rPr>
          <w:rFonts w:cs="Arial"/>
          <w:sz w:val="16"/>
          <w:szCs w:val="16"/>
          <w:rtl/>
        </w:rPr>
        <w:t>)</w:t>
      </w:r>
      <w:r>
        <w:rPr>
          <w:rFonts w:cs="Arial" w:hint="cs"/>
          <w:rtl/>
        </w:rPr>
        <w:t xml:space="preserve"> וטור</w:t>
      </w:r>
      <w:r w:rsidR="00A82951">
        <w:rPr>
          <w:rFonts w:cs="Arial" w:hint="cs"/>
          <w:rtl/>
        </w:rPr>
        <w:t>-</w:t>
      </w:r>
      <w:r>
        <w:rPr>
          <w:rFonts w:cs="Arial" w:hint="cs"/>
          <w:rtl/>
        </w:rPr>
        <w:t xml:space="preserve"> </w:t>
      </w:r>
      <w:r w:rsidRPr="00E33EF5">
        <w:rPr>
          <w:rFonts w:cs="Arial"/>
          <w:rtl/>
        </w:rPr>
        <w:t xml:space="preserve">אחד מן העדים חתם בכתב והעד השני בכתב לשון אחרת </w:t>
      </w:r>
      <w:r w:rsidR="00A82951">
        <w:rPr>
          <w:rFonts w:cs="Arial" w:hint="cs"/>
          <w:rtl/>
        </w:rPr>
        <w:t>-</w:t>
      </w:r>
      <w:r>
        <w:rPr>
          <w:rFonts w:cs="Arial" w:hint="cs"/>
          <w:rtl/>
        </w:rPr>
        <w:t xml:space="preserve"> </w:t>
      </w:r>
      <w:r w:rsidRPr="00E33EF5">
        <w:rPr>
          <w:rFonts w:cs="Arial"/>
          <w:rtl/>
        </w:rPr>
        <w:t xml:space="preserve">כשר, אבל אם היה מקצת הגט כתוב בלשון ומקצתו בלשון אחרת </w:t>
      </w:r>
      <w:r w:rsidR="00A82951">
        <w:rPr>
          <w:rFonts w:cs="Arial" w:hint="cs"/>
          <w:rtl/>
        </w:rPr>
        <w:t>-</w:t>
      </w:r>
      <w:r>
        <w:rPr>
          <w:rFonts w:cs="Arial" w:hint="cs"/>
          <w:rtl/>
        </w:rPr>
        <w:t xml:space="preserve"> </w:t>
      </w:r>
      <w:r w:rsidRPr="00E33EF5">
        <w:rPr>
          <w:rFonts w:cs="Arial"/>
          <w:rtl/>
        </w:rPr>
        <w:t>פסול</w:t>
      </w:r>
      <w:r>
        <w:rPr>
          <w:rStyle w:val="a7"/>
          <w:rFonts w:cs="Arial"/>
          <w:rtl/>
        </w:rPr>
        <w:footnoteReference w:id="1256"/>
      </w:r>
      <w:r>
        <w:rPr>
          <w:rFonts w:cs="Arial" w:hint="cs"/>
          <w:sz w:val="16"/>
          <w:szCs w:val="16"/>
          <w:rtl/>
        </w:rPr>
        <w:t xml:space="preserve"> (ל</w:t>
      </w:r>
      <w:r w:rsidR="00E94408">
        <w:rPr>
          <w:rFonts w:cs="Arial" w:hint="cs"/>
          <w:sz w:val="16"/>
          <w:szCs w:val="16"/>
          <w:rtl/>
        </w:rPr>
        <w:t>'</w:t>
      </w:r>
      <w:r w:rsidRPr="00E94408">
        <w:rPr>
          <w:rFonts w:cs="Arial" w:hint="cs"/>
          <w:sz w:val="16"/>
          <w:szCs w:val="16"/>
          <w:rtl/>
        </w:rPr>
        <w:t xml:space="preserve"> הרמב"ם)</w:t>
      </w:r>
      <w:r w:rsidRPr="00E94408">
        <w:rPr>
          <w:rFonts w:cs="Arial"/>
          <w:rtl/>
        </w:rPr>
        <w:t>.</w:t>
      </w:r>
    </w:p>
    <w:p w14:paraId="0D0A8BF4" w14:textId="7DE10C1B" w:rsidR="00FA2119" w:rsidRDefault="00FA2119" w:rsidP="00FA2119">
      <w:pPr>
        <w:pStyle w:val="ab"/>
        <w:numPr>
          <w:ilvl w:val="0"/>
          <w:numId w:val="80"/>
        </w:numPr>
      </w:pPr>
      <w:r w:rsidRPr="00E33EF5">
        <w:rPr>
          <w:rFonts w:cs="Arial"/>
          <w:rtl/>
        </w:rPr>
        <w:t>ראב"ד</w:t>
      </w:r>
      <w:r>
        <w:rPr>
          <w:rFonts w:cs="Arial" w:hint="cs"/>
          <w:rtl/>
        </w:rPr>
        <w:t xml:space="preserve"> </w:t>
      </w:r>
      <w:r w:rsidRPr="00E33EF5">
        <w:rPr>
          <w:rFonts w:cs="Arial" w:hint="cs"/>
          <w:sz w:val="16"/>
          <w:szCs w:val="16"/>
          <w:rtl/>
        </w:rPr>
        <w:t>(בהשגות שם)</w:t>
      </w:r>
      <w:r w:rsidR="00A82951">
        <w:rPr>
          <w:rFonts w:cs="Arial" w:hint="cs"/>
          <w:rtl/>
        </w:rPr>
        <w:t>-</w:t>
      </w:r>
      <w:r w:rsidRPr="00E33EF5">
        <w:rPr>
          <w:rFonts w:cs="Arial"/>
          <w:rtl/>
        </w:rPr>
        <w:t xml:space="preserve"> דבר זה מצאו בתוספתא </w:t>
      </w:r>
      <w:r w:rsidRPr="00451B31">
        <w:rPr>
          <w:rFonts w:cs="Arial"/>
          <w:sz w:val="16"/>
          <w:szCs w:val="16"/>
          <w:rtl/>
        </w:rPr>
        <w:t xml:space="preserve">(פ"ז ה"י) </w:t>
      </w:r>
      <w:r w:rsidRPr="00E33EF5">
        <w:rPr>
          <w:rFonts w:cs="Arial"/>
          <w:rtl/>
        </w:rPr>
        <w:t>ולא כמו שכתב אלא כך אמרו</w:t>
      </w:r>
      <w:r w:rsidR="00E94408">
        <w:rPr>
          <w:rFonts w:cs="Arial" w:hint="cs"/>
          <w:rtl/>
        </w:rPr>
        <w:t>:</w:t>
      </w:r>
      <w:r w:rsidRPr="00E33EF5">
        <w:rPr>
          <w:rFonts w:cs="Arial"/>
          <w:rtl/>
        </w:rPr>
        <w:t xml:space="preserve"> גט שכתבו בחמשה לשונות וחתמו עליו חמשה עדים בחמשה לשונות פסול</w:t>
      </w:r>
      <w:r>
        <w:rPr>
          <w:rFonts w:cs="Arial" w:hint="cs"/>
          <w:rtl/>
        </w:rPr>
        <w:t>.</w:t>
      </w:r>
      <w:r w:rsidRPr="00E33EF5">
        <w:rPr>
          <w:rFonts w:cs="Arial"/>
          <w:rtl/>
        </w:rPr>
        <w:t xml:space="preserve"> אבל אם חתמו עליו באחד מן הלשונות</w:t>
      </w:r>
      <w:r>
        <w:rPr>
          <w:rFonts w:cs="Arial" w:hint="cs"/>
          <w:rtl/>
        </w:rPr>
        <w:t xml:space="preserve"> </w:t>
      </w:r>
      <w:r w:rsidR="00A82951">
        <w:rPr>
          <w:rFonts w:cs="Arial" w:hint="cs"/>
          <w:rtl/>
        </w:rPr>
        <w:t>-</w:t>
      </w:r>
      <w:r w:rsidRPr="00E33EF5">
        <w:rPr>
          <w:rFonts w:cs="Arial"/>
          <w:rtl/>
        </w:rPr>
        <w:t xml:space="preserve"> לא שמענו ואפשר שהחתימה מצרפן.</w:t>
      </w:r>
    </w:p>
    <w:p w14:paraId="68A7B5C7" w14:textId="3D9A54AE" w:rsidR="00FA2119" w:rsidRPr="00396366" w:rsidRDefault="00FA2119" w:rsidP="00FA2119">
      <w:pPr>
        <w:pStyle w:val="ab"/>
        <w:numPr>
          <w:ilvl w:val="0"/>
          <w:numId w:val="80"/>
        </w:numPr>
        <w:rPr>
          <w:rtl/>
        </w:rPr>
      </w:pPr>
      <w:r>
        <w:rPr>
          <w:rFonts w:cs="Arial" w:hint="cs"/>
          <w:rtl/>
        </w:rPr>
        <w:t xml:space="preserve">רשב"א </w:t>
      </w:r>
      <w:r>
        <w:rPr>
          <w:rFonts w:cs="Arial" w:hint="cs"/>
          <w:sz w:val="16"/>
          <w:szCs w:val="16"/>
          <w:rtl/>
        </w:rPr>
        <w:t>(סי' אלף קצא)</w:t>
      </w:r>
      <w:r w:rsidR="00A82951">
        <w:rPr>
          <w:rFonts w:cs="Arial" w:hint="cs"/>
          <w:rtl/>
        </w:rPr>
        <w:t>-</w:t>
      </w:r>
      <w:r>
        <w:rPr>
          <w:rFonts w:cs="Arial" w:hint="cs"/>
          <w:rtl/>
        </w:rPr>
        <w:t xml:space="preserve"> </w:t>
      </w:r>
      <w:r w:rsidRPr="00451B31">
        <w:rPr>
          <w:rFonts w:cs="Arial"/>
          <w:rtl/>
        </w:rPr>
        <w:t>דוקא הוא בחמשה לשונות ועדיו בה' לשונות</w:t>
      </w:r>
      <w:r>
        <w:rPr>
          <w:rFonts w:cs="Arial" w:hint="cs"/>
          <w:rtl/>
        </w:rPr>
        <w:t>,</w:t>
      </w:r>
      <w:r w:rsidRPr="00451B31">
        <w:rPr>
          <w:rFonts w:cs="Arial"/>
          <w:rtl/>
        </w:rPr>
        <w:t xml:space="preserve"> אבל הוא בחמשה לשונות ועדיו בלשון א'</w:t>
      </w:r>
      <w:r w:rsidR="00E94408">
        <w:rPr>
          <w:rFonts w:cs="Arial" w:hint="cs"/>
          <w:rtl/>
        </w:rPr>
        <w:t>,</w:t>
      </w:r>
      <w:r w:rsidRPr="00451B31">
        <w:rPr>
          <w:rFonts w:cs="Arial"/>
          <w:rtl/>
        </w:rPr>
        <w:t xml:space="preserve"> או בהפ</w:t>
      </w:r>
      <w:r>
        <w:rPr>
          <w:rFonts w:cs="Arial" w:hint="cs"/>
          <w:rtl/>
        </w:rPr>
        <w:t>ך</w:t>
      </w:r>
      <w:r w:rsidRPr="00451B31">
        <w:rPr>
          <w:rFonts w:cs="Arial"/>
          <w:rtl/>
        </w:rPr>
        <w:t xml:space="preserve"> </w:t>
      </w:r>
      <w:r w:rsidR="00A82951">
        <w:rPr>
          <w:rFonts w:cs="Arial" w:hint="cs"/>
          <w:rtl/>
        </w:rPr>
        <w:t>-</w:t>
      </w:r>
      <w:r>
        <w:rPr>
          <w:rFonts w:cs="Arial" w:hint="cs"/>
          <w:rtl/>
        </w:rPr>
        <w:t xml:space="preserve"> </w:t>
      </w:r>
      <w:r w:rsidRPr="00451B31">
        <w:rPr>
          <w:rFonts w:cs="Arial"/>
          <w:rtl/>
        </w:rPr>
        <w:t>כשר</w:t>
      </w:r>
      <w:r>
        <w:rPr>
          <w:rStyle w:val="a7"/>
          <w:rFonts w:cs="Arial"/>
          <w:rtl/>
        </w:rPr>
        <w:footnoteReference w:id="1257"/>
      </w:r>
      <w:r>
        <w:rPr>
          <w:rFonts w:hint="cs"/>
          <w:rtl/>
        </w:rPr>
        <w:t>.</w:t>
      </w:r>
    </w:p>
    <w:p w14:paraId="04F57E98"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90644E4" w14:textId="77777777" w:rsidR="00FA2119" w:rsidRDefault="00FA2119" w:rsidP="00FA2119">
      <w:pPr>
        <w:rPr>
          <w:rtl/>
        </w:rPr>
      </w:pPr>
      <w:r>
        <w:rPr>
          <w:rFonts w:cs="Arial" w:hint="cs"/>
          <w:rtl/>
        </w:rPr>
        <w:t>גט</w:t>
      </w:r>
      <w:r>
        <w:rPr>
          <w:rFonts w:cs="Arial"/>
          <w:rtl/>
        </w:rPr>
        <w:t xml:space="preserve"> </w:t>
      </w:r>
      <w:r>
        <w:rPr>
          <w:rFonts w:cs="Arial" w:hint="cs"/>
          <w:rtl/>
        </w:rPr>
        <w:t>שנכתב</w:t>
      </w:r>
      <w:r>
        <w:rPr>
          <w:rFonts w:cs="Arial"/>
          <w:rtl/>
        </w:rPr>
        <w:t xml:space="preserve"> </w:t>
      </w:r>
      <w:r>
        <w:rPr>
          <w:rFonts w:cs="Arial" w:hint="cs"/>
          <w:rtl/>
        </w:rPr>
        <w:t>בכתב</w:t>
      </w:r>
      <w:r>
        <w:rPr>
          <w:rFonts w:cs="Arial"/>
          <w:rtl/>
        </w:rPr>
        <w:t xml:space="preserve"> </w:t>
      </w:r>
      <w:r>
        <w:rPr>
          <w:rFonts w:cs="Arial" w:hint="cs"/>
          <w:rtl/>
        </w:rPr>
        <w:t>מהלשונות</w:t>
      </w:r>
      <w:r>
        <w:rPr>
          <w:rFonts w:cs="Arial"/>
          <w:rtl/>
        </w:rPr>
        <w:t xml:space="preserve">, </w:t>
      </w:r>
      <w:r>
        <w:rPr>
          <w:rFonts w:cs="Arial" w:hint="cs"/>
          <w:rtl/>
        </w:rPr>
        <w:t>ועדיו</w:t>
      </w:r>
      <w:r>
        <w:rPr>
          <w:rFonts w:cs="Arial"/>
          <w:rtl/>
        </w:rPr>
        <w:t xml:space="preserve"> </w:t>
      </w:r>
      <w:r>
        <w:rPr>
          <w:rFonts w:cs="Arial" w:hint="cs"/>
          <w:rtl/>
        </w:rPr>
        <w:t>חתומים</w:t>
      </w:r>
      <w:r>
        <w:rPr>
          <w:rFonts w:cs="Arial"/>
          <w:rtl/>
        </w:rPr>
        <w:t xml:space="preserve"> </w:t>
      </w:r>
      <w:r>
        <w:rPr>
          <w:rFonts w:cs="Arial" w:hint="cs"/>
          <w:rtl/>
        </w:rPr>
        <w:t>בכתב</w:t>
      </w:r>
      <w:r>
        <w:rPr>
          <w:rFonts w:cs="Arial"/>
          <w:rtl/>
        </w:rPr>
        <w:t xml:space="preserve"> </w:t>
      </w:r>
      <w:r>
        <w:rPr>
          <w:rFonts w:cs="Arial" w:hint="cs"/>
          <w:rtl/>
        </w:rPr>
        <w:t>אחר</w:t>
      </w:r>
      <w:r>
        <w:rPr>
          <w:rFonts w:cs="Arial"/>
          <w:rtl/>
        </w:rPr>
        <w:t xml:space="preserve">, </w:t>
      </w:r>
      <w:r>
        <w:rPr>
          <w:rFonts w:cs="Arial" w:hint="cs"/>
          <w:rtl/>
        </w:rPr>
        <w:t>כשר</w:t>
      </w:r>
      <w:r>
        <w:rPr>
          <w:rFonts w:cs="Arial"/>
          <w:rtl/>
        </w:rPr>
        <w:t xml:space="preserve">, </w:t>
      </w:r>
      <w:r>
        <w:rPr>
          <w:rFonts w:cs="Arial" w:hint="cs"/>
          <w:rtl/>
        </w:rPr>
        <w:t>והוא</w:t>
      </w:r>
      <w:r>
        <w:rPr>
          <w:rFonts w:cs="Arial"/>
          <w:rtl/>
        </w:rPr>
        <w:t xml:space="preserve"> </w:t>
      </w:r>
      <w:r>
        <w:rPr>
          <w:rFonts w:cs="Arial" w:hint="cs"/>
          <w:rtl/>
        </w:rPr>
        <w:t>שיהיו</w:t>
      </w:r>
      <w:r>
        <w:rPr>
          <w:rFonts w:cs="Arial"/>
          <w:rtl/>
        </w:rPr>
        <w:t xml:space="preserve"> </w:t>
      </w:r>
      <w:r>
        <w:rPr>
          <w:rFonts w:cs="Arial" w:hint="cs"/>
          <w:rtl/>
        </w:rPr>
        <w:t>העדים</w:t>
      </w:r>
      <w:r>
        <w:rPr>
          <w:rFonts w:cs="Arial"/>
          <w:rtl/>
        </w:rPr>
        <w:t xml:space="preserve"> </w:t>
      </w:r>
      <w:r>
        <w:rPr>
          <w:rFonts w:cs="Arial" w:hint="cs"/>
          <w:rtl/>
        </w:rPr>
        <w:t>מכירים</w:t>
      </w:r>
      <w:r>
        <w:rPr>
          <w:rFonts w:cs="Arial"/>
          <w:rtl/>
        </w:rPr>
        <w:t xml:space="preserve"> </w:t>
      </w:r>
      <w:r>
        <w:rPr>
          <w:rFonts w:cs="Arial" w:hint="cs"/>
          <w:rtl/>
        </w:rPr>
        <w:t>לשון</w:t>
      </w:r>
      <w:r>
        <w:rPr>
          <w:rFonts w:cs="Arial"/>
          <w:rtl/>
        </w:rPr>
        <w:t xml:space="preserve"> </w:t>
      </w:r>
      <w:r>
        <w:rPr>
          <w:rFonts w:cs="Arial" w:hint="cs"/>
          <w:rtl/>
        </w:rPr>
        <w:t>הכתב</w:t>
      </w:r>
      <w:r>
        <w:rPr>
          <w:rFonts w:cs="Arial"/>
          <w:rtl/>
        </w:rPr>
        <w:t xml:space="preserve"> </w:t>
      </w:r>
      <w:r>
        <w:rPr>
          <w:rFonts w:cs="Arial" w:hint="cs"/>
          <w:rtl/>
        </w:rPr>
        <w:t>והכתיבה</w:t>
      </w:r>
      <w:r>
        <w:rPr>
          <w:rStyle w:val="a7"/>
          <w:rFonts w:cs="Arial"/>
          <w:rtl/>
        </w:rPr>
        <w:footnoteReference w:id="1258"/>
      </w:r>
      <w:r>
        <w:rPr>
          <w:rFonts w:cs="Arial"/>
          <w:rtl/>
        </w:rPr>
        <w:t xml:space="preserve">. </w:t>
      </w:r>
    </w:p>
    <w:p w14:paraId="608DB718" w14:textId="77777777" w:rsidR="00FA2119" w:rsidRDefault="00FA2119" w:rsidP="00FA2119">
      <w:pPr>
        <w:rPr>
          <w:rtl/>
        </w:rPr>
      </w:pPr>
    </w:p>
    <w:p w14:paraId="37B5EC82" w14:textId="77777777" w:rsidR="00FA2119" w:rsidRDefault="00FA2119" w:rsidP="00FA2119">
      <w:pPr>
        <w:pStyle w:val="2"/>
        <w:rPr>
          <w:rtl/>
        </w:rPr>
      </w:pPr>
      <w:r>
        <w:rPr>
          <w:rFonts w:hint="cs"/>
          <w:rtl/>
        </w:rPr>
        <w:lastRenderedPageBreak/>
        <w:t>סעיף</w:t>
      </w:r>
      <w:r>
        <w:rPr>
          <w:rtl/>
        </w:rPr>
        <w:t xml:space="preserve"> </w:t>
      </w:r>
      <w:r>
        <w:rPr>
          <w:rFonts w:hint="cs"/>
          <w:rtl/>
        </w:rPr>
        <w:t>טו: עד אחד חתם בעברית ואחד בלועזית</w:t>
      </w:r>
      <w:r>
        <w:rPr>
          <w:rFonts w:hint="cs"/>
          <w:sz w:val="18"/>
          <w:szCs w:val="18"/>
          <w:rtl/>
        </w:rPr>
        <w:t xml:space="preserve"> (או הפוך)</w:t>
      </w:r>
      <w:r>
        <w:rPr>
          <w:rFonts w:hint="cs"/>
          <w:rtl/>
        </w:rPr>
        <w:t>.</w:t>
      </w:r>
    </w:p>
    <w:p w14:paraId="593F1A6E" w14:textId="77777777" w:rsidR="00FA2119" w:rsidRDefault="00FA2119" w:rsidP="00FA2119">
      <w:pPr>
        <w:rPr>
          <w:u w:val="single"/>
          <w:rtl/>
        </w:rPr>
      </w:pPr>
      <w:r w:rsidRPr="002A4804">
        <w:rPr>
          <w:rFonts w:hint="cs"/>
          <w:u w:val="single"/>
          <w:rtl/>
        </w:rPr>
        <w:t>עד אחד חתם בעברית ואחד בלועזית</w:t>
      </w:r>
      <w:r w:rsidRPr="002A4804">
        <w:rPr>
          <w:rFonts w:hint="cs"/>
          <w:sz w:val="18"/>
          <w:szCs w:val="18"/>
          <w:u w:val="single"/>
          <w:rtl/>
        </w:rPr>
        <w:t xml:space="preserve"> </w:t>
      </w:r>
      <w:r w:rsidRPr="002A4804">
        <w:rPr>
          <w:rFonts w:hint="cs"/>
          <w:sz w:val="16"/>
          <w:szCs w:val="16"/>
          <w:u w:val="single"/>
          <w:rtl/>
        </w:rPr>
        <w:t>(או הפוך)</w:t>
      </w:r>
      <w:r w:rsidRPr="002A4804">
        <w:rPr>
          <w:rFonts w:hint="cs"/>
          <w:u w:val="single"/>
          <w:rtl/>
        </w:rPr>
        <w:t>:</w:t>
      </w:r>
    </w:p>
    <w:p w14:paraId="64E5DAAE" w14:textId="0A7EB949" w:rsidR="00FA2119" w:rsidRPr="002A4804" w:rsidRDefault="00FA2119" w:rsidP="00FA2119">
      <w:pPr>
        <w:pStyle w:val="ab"/>
        <w:numPr>
          <w:ilvl w:val="0"/>
          <w:numId w:val="83"/>
        </w:numPr>
        <w:rPr>
          <w:rtl/>
        </w:rPr>
      </w:pPr>
      <w:r>
        <w:rPr>
          <w:rFonts w:cs="Arial"/>
          <w:rtl/>
        </w:rPr>
        <w:t>רמב"ם</w:t>
      </w:r>
      <w:r>
        <w:rPr>
          <w:rFonts w:cs="Arial" w:hint="cs"/>
          <w:sz w:val="16"/>
          <w:szCs w:val="16"/>
          <w:rtl/>
        </w:rPr>
        <w:t xml:space="preserve"> </w:t>
      </w:r>
      <w:r w:rsidRPr="00DE102E">
        <w:rPr>
          <w:rFonts w:cs="Arial"/>
          <w:sz w:val="16"/>
          <w:szCs w:val="16"/>
          <w:rtl/>
        </w:rPr>
        <w:t>(</w:t>
      </w:r>
      <w:r w:rsidRPr="00DE102E">
        <w:rPr>
          <w:rFonts w:cs="Arial" w:hint="cs"/>
          <w:sz w:val="16"/>
          <w:szCs w:val="16"/>
          <w:rtl/>
        </w:rPr>
        <w:t xml:space="preserve">פ"ד </w:t>
      </w:r>
      <w:r w:rsidRPr="00DE102E">
        <w:rPr>
          <w:rFonts w:cs="Arial"/>
          <w:sz w:val="16"/>
          <w:szCs w:val="16"/>
          <w:rtl/>
        </w:rPr>
        <w:t>ה"</w:t>
      </w:r>
      <w:r>
        <w:rPr>
          <w:rFonts w:cs="Arial" w:hint="cs"/>
          <w:sz w:val="16"/>
          <w:szCs w:val="16"/>
          <w:rtl/>
        </w:rPr>
        <w:t>ח</w:t>
      </w:r>
      <w:r w:rsidRPr="00DE102E">
        <w:rPr>
          <w:rFonts w:cs="Arial"/>
          <w:sz w:val="16"/>
          <w:szCs w:val="16"/>
          <w:rtl/>
        </w:rPr>
        <w:t>)</w:t>
      </w:r>
      <w:r>
        <w:rPr>
          <w:rFonts w:cs="Arial" w:hint="cs"/>
          <w:rtl/>
        </w:rPr>
        <w:t xml:space="preserve"> וטור</w:t>
      </w:r>
      <w:r w:rsidR="00A82951">
        <w:rPr>
          <w:rFonts w:hint="cs"/>
          <w:rtl/>
        </w:rPr>
        <w:t>-</w:t>
      </w:r>
      <w:r w:rsidRPr="002A4804">
        <w:rPr>
          <w:rFonts w:cs="Arial"/>
          <w:rtl/>
        </w:rPr>
        <w:t xml:space="preserve"> עד אחד חתם עברית והשני יונית</w:t>
      </w:r>
      <w:r w:rsidR="004B4F74">
        <w:rPr>
          <w:rFonts w:cs="Arial" w:hint="cs"/>
          <w:rtl/>
        </w:rPr>
        <w:t>,</w:t>
      </w:r>
      <w:r w:rsidRPr="002A4804">
        <w:rPr>
          <w:rFonts w:cs="Arial" w:hint="cs"/>
          <w:rtl/>
        </w:rPr>
        <w:t xml:space="preserve"> </w:t>
      </w:r>
      <w:r w:rsidRPr="002A4804">
        <w:rPr>
          <w:rFonts w:cs="Arial"/>
          <w:rtl/>
        </w:rPr>
        <w:t>כשר</w:t>
      </w:r>
      <w:r w:rsidRPr="002A4804">
        <w:rPr>
          <w:rFonts w:cs="Arial" w:hint="cs"/>
          <w:rtl/>
        </w:rPr>
        <w:t>.</w:t>
      </w:r>
      <w:r w:rsidRPr="009D464E">
        <w:rPr>
          <w:rFonts w:hint="cs"/>
          <w:color w:val="E36C0A" w:themeColor="accent6" w:themeShade="BF"/>
          <w:rtl/>
        </w:rPr>
        <w:t xml:space="preserve"> </w:t>
      </w:r>
      <w:r w:rsidRPr="00D10589">
        <w:rPr>
          <w:rFonts w:hint="cs"/>
          <w:color w:val="E36C0A" w:themeColor="accent6" w:themeShade="BF"/>
          <w:rtl/>
        </w:rPr>
        <w:t>(וכ"פ בשו"ע</w:t>
      </w:r>
      <w:r>
        <w:rPr>
          <w:rFonts w:hint="cs"/>
          <w:color w:val="E36C0A" w:themeColor="accent6" w:themeShade="BF"/>
          <w:rtl/>
        </w:rPr>
        <w:t>)</w:t>
      </w:r>
    </w:p>
    <w:p w14:paraId="6103348D"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3040247" w14:textId="77777777" w:rsidR="00FA2119" w:rsidRDefault="00FA2119" w:rsidP="00FA2119">
      <w:pPr>
        <w:rPr>
          <w:rFonts w:cs="Arial"/>
          <w:rtl/>
        </w:rPr>
      </w:pPr>
      <w:r>
        <w:rPr>
          <w:rFonts w:cs="Arial" w:hint="cs"/>
          <w:rtl/>
        </w:rPr>
        <w:t>אחד</w:t>
      </w:r>
      <w:r>
        <w:rPr>
          <w:rFonts w:cs="Arial"/>
          <w:rtl/>
        </w:rPr>
        <w:t xml:space="preserve"> </w:t>
      </w:r>
      <w:r>
        <w:rPr>
          <w:rFonts w:cs="Arial" w:hint="cs"/>
          <w:rtl/>
        </w:rPr>
        <w:t>מהעדים</w:t>
      </w:r>
      <w:r>
        <w:rPr>
          <w:rFonts w:cs="Arial"/>
          <w:rtl/>
        </w:rPr>
        <w:t xml:space="preserve"> </w:t>
      </w:r>
      <w:r>
        <w:rPr>
          <w:rFonts w:cs="Arial" w:hint="cs"/>
          <w:rtl/>
        </w:rPr>
        <w:t>חתם</w:t>
      </w:r>
      <w:r>
        <w:rPr>
          <w:rFonts w:cs="Arial"/>
          <w:rtl/>
        </w:rPr>
        <w:t xml:space="preserve"> </w:t>
      </w:r>
      <w:r>
        <w:rPr>
          <w:rFonts w:cs="Arial" w:hint="cs"/>
          <w:rtl/>
        </w:rPr>
        <w:t>בכתב</w:t>
      </w:r>
      <w:r>
        <w:rPr>
          <w:rFonts w:cs="Arial"/>
          <w:rtl/>
        </w:rPr>
        <w:t xml:space="preserve"> </w:t>
      </w:r>
      <w:r>
        <w:rPr>
          <w:rFonts w:cs="Arial" w:hint="cs"/>
          <w:rtl/>
        </w:rPr>
        <w:t>לשון</w:t>
      </w:r>
      <w:r>
        <w:rPr>
          <w:rFonts w:cs="Arial"/>
          <w:rtl/>
        </w:rPr>
        <w:t xml:space="preserve"> </w:t>
      </w:r>
      <w:r>
        <w:rPr>
          <w:rFonts w:cs="Arial" w:hint="cs"/>
          <w:rtl/>
        </w:rPr>
        <w:t>אחד</w:t>
      </w:r>
      <w:r>
        <w:rPr>
          <w:rFonts w:cs="Arial"/>
          <w:rtl/>
        </w:rPr>
        <w:t xml:space="preserve">, </w:t>
      </w:r>
      <w:r>
        <w:rPr>
          <w:rFonts w:cs="Arial" w:hint="cs"/>
          <w:rtl/>
        </w:rPr>
        <w:t>והעד</w:t>
      </w:r>
      <w:r>
        <w:rPr>
          <w:rFonts w:cs="Arial"/>
          <w:rtl/>
        </w:rPr>
        <w:t xml:space="preserve"> </w:t>
      </w:r>
      <w:r>
        <w:rPr>
          <w:rFonts w:cs="Arial" w:hint="cs"/>
          <w:rtl/>
        </w:rPr>
        <w:t>השני</w:t>
      </w:r>
      <w:r>
        <w:rPr>
          <w:rFonts w:cs="Arial"/>
          <w:rtl/>
        </w:rPr>
        <w:t xml:space="preserve"> </w:t>
      </w:r>
      <w:r>
        <w:rPr>
          <w:rFonts w:cs="Arial" w:hint="cs"/>
          <w:rtl/>
        </w:rPr>
        <w:t>בכתב</w:t>
      </w:r>
      <w:r>
        <w:rPr>
          <w:rFonts w:cs="Arial"/>
          <w:rtl/>
        </w:rPr>
        <w:t xml:space="preserve"> </w:t>
      </w:r>
      <w:r>
        <w:rPr>
          <w:rFonts w:cs="Arial" w:hint="cs"/>
          <w:rtl/>
        </w:rPr>
        <w:t>לשון</w:t>
      </w:r>
      <w:r>
        <w:rPr>
          <w:rFonts w:cs="Arial"/>
          <w:rtl/>
        </w:rPr>
        <w:t xml:space="preserve"> </w:t>
      </w:r>
      <w:r>
        <w:rPr>
          <w:rFonts w:cs="Arial" w:hint="cs"/>
          <w:rtl/>
        </w:rPr>
        <w:t>אחר</w:t>
      </w:r>
      <w:r>
        <w:rPr>
          <w:rFonts w:cs="Arial"/>
          <w:rtl/>
        </w:rPr>
        <w:t xml:space="preserve">, </w:t>
      </w:r>
      <w:r>
        <w:rPr>
          <w:rFonts w:cs="Arial" w:hint="cs"/>
          <w:rtl/>
        </w:rPr>
        <w:t>כשר</w:t>
      </w:r>
      <w:r>
        <w:rPr>
          <w:rFonts w:cs="Arial"/>
          <w:rtl/>
        </w:rPr>
        <w:t xml:space="preserve">. </w:t>
      </w:r>
    </w:p>
    <w:p w14:paraId="5BD83DB3" w14:textId="77777777" w:rsidR="00FA2119" w:rsidRDefault="00FA2119" w:rsidP="00FA2119">
      <w:pPr>
        <w:rPr>
          <w:rtl/>
        </w:rPr>
      </w:pPr>
    </w:p>
    <w:p w14:paraId="11C3E90D" w14:textId="77777777" w:rsidR="00FA2119" w:rsidRDefault="00FA2119" w:rsidP="00FA2119">
      <w:pPr>
        <w:pStyle w:val="2"/>
        <w:rPr>
          <w:rtl/>
        </w:rPr>
      </w:pPr>
      <w:r>
        <w:rPr>
          <w:rFonts w:hint="cs"/>
          <w:rtl/>
        </w:rPr>
        <w:t>סעיף</w:t>
      </w:r>
      <w:r>
        <w:rPr>
          <w:rtl/>
        </w:rPr>
        <w:t xml:space="preserve"> </w:t>
      </w:r>
      <w:r>
        <w:rPr>
          <w:rFonts w:hint="cs"/>
          <w:rtl/>
        </w:rPr>
        <w:t>טז: עד שאינו יודע לקרוא/לחתום.</w:t>
      </w:r>
    </w:p>
    <w:p w14:paraId="23D05637" w14:textId="735648E2" w:rsidR="00FA2119" w:rsidRDefault="00FA2119" w:rsidP="00FA2119">
      <w:pPr>
        <w:rPr>
          <w:rFonts w:cs="Arial"/>
          <w:rtl/>
        </w:rPr>
      </w:pPr>
      <w:r>
        <w:rPr>
          <w:rFonts w:hint="cs"/>
          <w:b/>
          <w:bCs/>
          <w:rtl/>
        </w:rPr>
        <w:t>גיטין</w:t>
      </w:r>
      <w:r>
        <w:rPr>
          <w:b/>
          <w:bCs/>
          <w:rtl/>
        </w:rPr>
        <w:t xml:space="preserve"> </w:t>
      </w:r>
      <w:r>
        <w:rPr>
          <w:b/>
          <w:bCs/>
          <w:szCs w:val="16"/>
          <w:rtl/>
        </w:rPr>
        <w:t>(פ</w:t>
      </w:r>
      <w:r>
        <w:rPr>
          <w:rFonts w:hint="cs"/>
          <w:b/>
          <w:bCs/>
          <w:szCs w:val="16"/>
          <w:rtl/>
        </w:rPr>
        <w:t>"ב</w:t>
      </w:r>
      <w:r>
        <w:rPr>
          <w:b/>
          <w:bCs/>
          <w:szCs w:val="16"/>
          <w:rtl/>
        </w:rPr>
        <w:t xml:space="preserve">) </w:t>
      </w:r>
      <w:r>
        <w:rPr>
          <w:b/>
          <w:bCs/>
          <w:rtl/>
        </w:rPr>
        <w:t>י</w:t>
      </w:r>
      <w:r>
        <w:rPr>
          <w:rFonts w:hint="cs"/>
          <w:b/>
          <w:bCs/>
          <w:rtl/>
        </w:rPr>
        <w:t>ט</w:t>
      </w:r>
      <w:r>
        <w:rPr>
          <w:rStyle w:val="a7"/>
          <w:rFonts w:cs="Arial"/>
          <w:b/>
          <w:bCs/>
          <w:rtl/>
        </w:rPr>
        <w:footnoteReference w:id="1259"/>
      </w:r>
      <w:r>
        <w:rPr>
          <w:b/>
          <w:bCs/>
          <w:rtl/>
        </w:rPr>
        <w:t xml:space="preserve"> ע"</w:t>
      </w:r>
      <w:r>
        <w:rPr>
          <w:rFonts w:hint="cs"/>
          <w:b/>
          <w:bCs/>
          <w:rtl/>
        </w:rPr>
        <w:t>ב</w:t>
      </w:r>
      <w:r>
        <w:rPr>
          <w:b/>
          <w:bCs/>
          <w:rtl/>
        </w:rPr>
        <w:t>:</w:t>
      </w:r>
      <w:r w:rsidRPr="00DC27AF">
        <w:rPr>
          <w:rtl/>
        </w:rPr>
        <w:t xml:space="preserve"> </w:t>
      </w:r>
      <w:r w:rsidRPr="004234ED">
        <w:rPr>
          <w:rFonts w:cs="Arial"/>
          <w:rtl/>
        </w:rPr>
        <w:t>תניא כוותיה דרב: עדים שאין יודעין לחתום, מקרעין להן נייר חלק וממלאים את הקרעים דיו</w:t>
      </w:r>
      <w:r>
        <w:rPr>
          <w:rFonts w:cs="Arial" w:hint="cs"/>
          <w:rtl/>
        </w:rPr>
        <w:t>.</w:t>
      </w:r>
      <w:r w:rsidRPr="004234ED">
        <w:rPr>
          <w:rFonts w:cs="Arial"/>
          <w:rtl/>
        </w:rPr>
        <w:t xml:space="preserve"> </w:t>
      </w:r>
      <w:bookmarkStart w:id="12" w:name="_Hlk86925405"/>
      <w:r w:rsidRPr="004234ED">
        <w:rPr>
          <w:rFonts w:cs="Arial"/>
          <w:u w:val="single"/>
          <w:rtl/>
        </w:rPr>
        <w:t>אמר רבן שמעון בן גמליאל</w:t>
      </w:r>
      <w:r w:rsidRPr="004234ED">
        <w:rPr>
          <w:rFonts w:cs="Arial"/>
          <w:rtl/>
        </w:rPr>
        <w:t xml:space="preserve">: בד"א </w:t>
      </w:r>
      <w:r w:rsidR="00A82951">
        <w:rPr>
          <w:rFonts w:cs="Arial"/>
          <w:rtl/>
        </w:rPr>
        <w:t>-</w:t>
      </w:r>
      <w:r w:rsidRPr="004234ED">
        <w:rPr>
          <w:rFonts w:cs="Arial"/>
          <w:rtl/>
        </w:rPr>
        <w:t xml:space="preserve"> בגיטי נשים, אבל בשחרורי עבדים ושאר כל השטרות, אם יודעין לקרות ולחתום </w:t>
      </w:r>
      <w:r w:rsidR="00A82951">
        <w:rPr>
          <w:rFonts w:cs="Arial"/>
          <w:rtl/>
        </w:rPr>
        <w:t>-</w:t>
      </w:r>
      <w:r w:rsidRPr="004234ED">
        <w:rPr>
          <w:rFonts w:cs="Arial"/>
          <w:rtl/>
        </w:rPr>
        <w:t xml:space="preserve"> חותמין, ואם לאו </w:t>
      </w:r>
      <w:r w:rsidR="00A82951">
        <w:rPr>
          <w:rFonts w:cs="Arial"/>
          <w:rtl/>
        </w:rPr>
        <w:t>-</w:t>
      </w:r>
      <w:r w:rsidRPr="004234ED">
        <w:rPr>
          <w:rFonts w:cs="Arial"/>
          <w:rtl/>
        </w:rPr>
        <w:t xml:space="preserve"> אין חותמין. קרייה מאן דכר שמה? חסורי מיחסרא והכי קתני: עדים שאין יודעין לקרות </w:t>
      </w:r>
      <w:r w:rsidR="00A82951">
        <w:rPr>
          <w:rFonts w:cs="Arial"/>
          <w:rtl/>
        </w:rPr>
        <w:t>-</w:t>
      </w:r>
      <w:r w:rsidRPr="004234ED">
        <w:rPr>
          <w:rFonts w:cs="Arial"/>
          <w:rtl/>
        </w:rPr>
        <w:t xml:space="preserve"> קורין לפניהם וחותמים</w:t>
      </w:r>
      <w:r>
        <w:rPr>
          <w:rStyle w:val="a7"/>
          <w:rFonts w:cs="Arial"/>
          <w:rtl/>
        </w:rPr>
        <w:footnoteReference w:id="1260"/>
      </w:r>
      <w:r w:rsidRPr="004234ED">
        <w:rPr>
          <w:rFonts w:cs="Arial"/>
          <w:rtl/>
        </w:rPr>
        <w:t>, ושאין יודעין לחתום כו'</w:t>
      </w:r>
      <w:r>
        <w:rPr>
          <w:rFonts w:cs="Arial" w:hint="cs"/>
          <w:rtl/>
        </w:rPr>
        <w:t>,</w:t>
      </w:r>
      <w:r w:rsidRPr="004234ED">
        <w:rPr>
          <w:rFonts w:cs="Arial"/>
          <w:rtl/>
        </w:rPr>
        <w:t xml:space="preserve"> </w:t>
      </w:r>
      <w:r w:rsidRPr="004234ED">
        <w:rPr>
          <w:rFonts w:cs="Arial"/>
          <w:u w:val="single"/>
          <w:rtl/>
        </w:rPr>
        <w:t>אמר ר"ש בן גמליאל</w:t>
      </w:r>
      <w:r w:rsidRPr="004234ED">
        <w:rPr>
          <w:rFonts w:cs="Arial"/>
          <w:rtl/>
        </w:rPr>
        <w:t xml:space="preserve">: במה דברים אמורים </w:t>
      </w:r>
      <w:r w:rsidR="00A82951">
        <w:rPr>
          <w:rFonts w:cs="Arial"/>
          <w:rtl/>
        </w:rPr>
        <w:t>-</w:t>
      </w:r>
      <w:r w:rsidRPr="004234ED">
        <w:rPr>
          <w:rFonts w:cs="Arial"/>
          <w:rtl/>
        </w:rPr>
        <w:t xml:space="preserve"> בגיטי נשים, אבל שחרורי עבדים ושאר כל השטרות, אם יודעין לקרות ולחתום </w:t>
      </w:r>
      <w:r w:rsidR="00A82951">
        <w:rPr>
          <w:rFonts w:cs="Arial"/>
          <w:rtl/>
        </w:rPr>
        <w:t>-</w:t>
      </w:r>
      <w:r w:rsidRPr="004234ED">
        <w:rPr>
          <w:rFonts w:cs="Arial"/>
          <w:rtl/>
        </w:rPr>
        <w:t xml:space="preserve"> חותמין, ואם לאו </w:t>
      </w:r>
      <w:r w:rsidR="00A82951">
        <w:rPr>
          <w:rFonts w:cs="Arial"/>
          <w:rtl/>
        </w:rPr>
        <w:t>-</w:t>
      </w:r>
      <w:r w:rsidRPr="004234ED">
        <w:rPr>
          <w:rFonts w:cs="Arial"/>
          <w:rtl/>
        </w:rPr>
        <w:t xml:space="preserve"> אין חותמין. </w:t>
      </w:r>
      <w:r w:rsidRPr="004234ED">
        <w:rPr>
          <w:rFonts w:cs="Arial"/>
          <w:u w:val="single"/>
          <w:rtl/>
        </w:rPr>
        <w:t>א"ר אלעזר</w:t>
      </w:r>
      <w:r w:rsidRPr="004234ED">
        <w:rPr>
          <w:rFonts w:cs="Arial"/>
          <w:rtl/>
        </w:rPr>
        <w:t xml:space="preserve">: מ"ט דרבן שמעון בן גמליאל? שלא יהו בנות ישראל עגונות. </w:t>
      </w:r>
      <w:r w:rsidRPr="004234ED">
        <w:rPr>
          <w:rFonts w:cs="Arial"/>
          <w:u w:val="single"/>
          <w:rtl/>
        </w:rPr>
        <w:t>אמר רבא</w:t>
      </w:r>
      <w:r w:rsidRPr="004234ED">
        <w:rPr>
          <w:rFonts w:cs="Arial"/>
          <w:rtl/>
        </w:rPr>
        <w:t>: הלכה כרשב"ג</w:t>
      </w:r>
      <w:r>
        <w:rPr>
          <w:rFonts w:cs="Arial" w:hint="cs"/>
          <w:rtl/>
        </w:rPr>
        <w:t>.</w:t>
      </w:r>
      <w:r w:rsidRPr="004234ED">
        <w:rPr>
          <w:rFonts w:cs="Arial"/>
          <w:rtl/>
        </w:rPr>
        <w:t xml:space="preserve"> </w:t>
      </w:r>
      <w:r w:rsidRPr="004234ED">
        <w:rPr>
          <w:rFonts w:cs="Arial"/>
          <w:u w:val="single"/>
          <w:rtl/>
        </w:rPr>
        <w:t>ורב גמדא משמיה דרבא אמר</w:t>
      </w:r>
      <w:r w:rsidRPr="004234ED">
        <w:rPr>
          <w:rFonts w:cs="Arial"/>
          <w:rtl/>
        </w:rPr>
        <w:t>: אין הלכה. ואלא כמאן? כרבנן, והא ההוא דעבד עובדא בשאר שטרות ונגדיה רב כהנא! תרגמא</w:t>
      </w:r>
      <w:r>
        <w:rPr>
          <w:rStyle w:val="a7"/>
          <w:rFonts w:cs="Arial"/>
          <w:rtl/>
        </w:rPr>
        <w:footnoteReference w:id="1261"/>
      </w:r>
      <w:r w:rsidRPr="004234ED">
        <w:rPr>
          <w:rFonts w:cs="Arial"/>
          <w:rtl/>
        </w:rPr>
        <w:t>: אקריאה</w:t>
      </w:r>
      <w:r>
        <w:rPr>
          <w:rStyle w:val="a7"/>
          <w:rFonts w:cs="Arial"/>
          <w:rtl/>
        </w:rPr>
        <w:footnoteReference w:id="1262"/>
      </w:r>
      <w:r w:rsidRPr="004234ED">
        <w:rPr>
          <w:rFonts w:cs="Arial"/>
          <w:rtl/>
        </w:rPr>
        <w:t xml:space="preserve">. </w:t>
      </w:r>
      <w:bookmarkEnd w:id="12"/>
      <w:r w:rsidRPr="001D5781">
        <w:rPr>
          <w:rFonts w:cs="Arial"/>
          <w:u w:val="single"/>
          <w:rtl/>
        </w:rPr>
        <w:t>רב יהודה</w:t>
      </w:r>
      <w:r>
        <w:rPr>
          <w:rStyle w:val="a7"/>
          <w:rFonts w:cs="Arial"/>
          <w:rtl/>
        </w:rPr>
        <w:footnoteReference w:id="1263"/>
      </w:r>
      <w:r w:rsidRPr="004234ED">
        <w:rPr>
          <w:rFonts w:cs="Arial"/>
          <w:rtl/>
        </w:rPr>
        <w:t xml:space="preserve"> מיצטער קרי וחתים</w:t>
      </w:r>
      <w:r>
        <w:rPr>
          <w:rFonts w:cs="Arial" w:hint="cs"/>
          <w:rtl/>
        </w:rPr>
        <w:t>.</w:t>
      </w:r>
      <w:r w:rsidRPr="004234ED">
        <w:rPr>
          <w:rFonts w:cs="Arial"/>
          <w:rtl/>
        </w:rPr>
        <w:t xml:space="preserve"> </w:t>
      </w:r>
      <w:r w:rsidRPr="001D5781">
        <w:rPr>
          <w:rFonts w:cs="Arial"/>
          <w:u w:val="single"/>
          <w:rtl/>
        </w:rPr>
        <w:t>א"ל עולא</w:t>
      </w:r>
      <w:r w:rsidRPr="004234ED">
        <w:rPr>
          <w:rFonts w:cs="Arial"/>
          <w:rtl/>
        </w:rPr>
        <w:t xml:space="preserve">: לא צריכת, דהא ר' אלעזר מרא דארץ ישראל קרו קמיה וחתים, ורב נחמן קרו קמיה ספרי דייני וחתים. ודווקא רב נחמן וספרי דייני, דאית להו אימתא, אבל רב נחמן וספרי אחריני, ספרי דייני ואיניש אחרינא </w:t>
      </w:r>
      <w:r w:rsidR="00A82951">
        <w:rPr>
          <w:rFonts w:cs="Arial"/>
          <w:rtl/>
        </w:rPr>
        <w:t>-</w:t>
      </w:r>
      <w:r w:rsidRPr="004234ED">
        <w:rPr>
          <w:rFonts w:cs="Arial"/>
          <w:rtl/>
        </w:rPr>
        <w:t xml:space="preserve"> לא.</w:t>
      </w:r>
      <w:r w:rsidRPr="00DD6EEE">
        <w:rPr>
          <w:rtl/>
        </w:rPr>
        <w:t xml:space="preserve"> </w:t>
      </w:r>
      <w:r w:rsidRPr="00DD6EEE">
        <w:rPr>
          <w:rFonts w:cs="Arial"/>
          <w:u w:val="single"/>
          <w:rtl/>
        </w:rPr>
        <w:t>רב פפא</w:t>
      </w:r>
      <w:r w:rsidRPr="00DD6EEE">
        <w:rPr>
          <w:rFonts w:cs="Arial"/>
          <w:rtl/>
        </w:rPr>
        <w:t xml:space="preserve"> כי הוה אתי לקמיה שטרא פרסאה דעביד בערכאות של כותים, מקרי להו לשני כותים זה שלא בפני זה במסיח לפי תומו, ומגבי ביה ממשעבדי.</w:t>
      </w:r>
      <w:r w:rsidRPr="00DD6EEE">
        <w:rPr>
          <w:rFonts w:cs="Arial" w:hint="cs"/>
          <w:sz w:val="16"/>
          <w:szCs w:val="16"/>
          <w:rtl/>
        </w:rPr>
        <w:t xml:space="preserve"> (</w:t>
      </w:r>
      <w:r w:rsidRPr="00DD6EEE">
        <w:rPr>
          <w:rFonts w:cs="Arial"/>
          <w:sz w:val="16"/>
          <w:szCs w:val="16"/>
          <w:rtl/>
        </w:rPr>
        <w:t>והרי"ף (ט:) לא הביא הא דאמר רב גמדא</w:t>
      </w:r>
      <w:r w:rsidRPr="00DD6EEE">
        <w:rPr>
          <w:rFonts w:cs="Arial" w:hint="cs"/>
          <w:sz w:val="16"/>
          <w:szCs w:val="16"/>
          <w:rtl/>
        </w:rPr>
        <w:t>. וכתב הרא"ש (סי' יב)</w:t>
      </w:r>
      <w:r w:rsidRPr="00DD6EEE">
        <w:rPr>
          <w:rFonts w:cs="Arial"/>
          <w:sz w:val="16"/>
          <w:szCs w:val="16"/>
          <w:rtl/>
        </w:rPr>
        <w:t xml:space="preserve"> </w:t>
      </w:r>
      <w:r>
        <w:rPr>
          <w:rFonts w:cs="Arial" w:hint="cs"/>
          <w:sz w:val="16"/>
          <w:szCs w:val="16"/>
          <w:rtl/>
        </w:rPr>
        <w:t>ד</w:t>
      </w:r>
      <w:r w:rsidRPr="00DD6EEE">
        <w:rPr>
          <w:rFonts w:cs="Arial"/>
          <w:sz w:val="16"/>
          <w:szCs w:val="16"/>
          <w:rtl/>
        </w:rPr>
        <w:t xml:space="preserve">הרי"ף </w:t>
      </w:r>
      <w:r>
        <w:rPr>
          <w:rFonts w:cs="Arial" w:hint="cs"/>
          <w:sz w:val="16"/>
          <w:szCs w:val="16"/>
          <w:rtl/>
        </w:rPr>
        <w:t>ש</w:t>
      </w:r>
      <w:r w:rsidRPr="00DD6EEE">
        <w:rPr>
          <w:rFonts w:cs="Arial"/>
          <w:sz w:val="16"/>
          <w:szCs w:val="16"/>
          <w:rtl/>
        </w:rPr>
        <w:t>לא הביא ההיא דרב גמדא סבירא ליה כיון דסתמא דתלמודא קאמר דרבא אמר הלכה כרבן שמעון בן גמליאל</w:t>
      </w:r>
      <w:r w:rsidRPr="00DD6EEE">
        <w:rPr>
          <w:rFonts w:cs="Arial" w:hint="cs"/>
          <w:sz w:val="16"/>
          <w:szCs w:val="16"/>
          <w:rtl/>
        </w:rPr>
        <w:t>,</w:t>
      </w:r>
      <w:r w:rsidRPr="00DD6EEE">
        <w:rPr>
          <w:rFonts w:cs="Arial"/>
          <w:sz w:val="16"/>
          <w:szCs w:val="16"/>
          <w:rtl/>
        </w:rPr>
        <w:t xml:space="preserve"> סמכינן עלה יותר מאהא דאמר רב גמדא משמיה דרבא</w:t>
      </w:r>
      <w:r w:rsidRPr="00DD6EEE">
        <w:rPr>
          <w:rFonts w:cs="Arial" w:hint="cs"/>
          <w:sz w:val="16"/>
          <w:szCs w:val="16"/>
          <w:rtl/>
        </w:rPr>
        <w:t>,</w:t>
      </w:r>
      <w:r w:rsidRPr="00DD6EEE">
        <w:rPr>
          <w:rFonts w:cs="Arial"/>
          <w:sz w:val="16"/>
          <w:szCs w:val="16"/>
          <w:rtl/>
        </w:rPr>
        <w:t xml:space="preserve"> הילכך הלכה כרבן שמעון בן גמליאל בין בקריאה בין בחתימה</w:t>
      </w:r>
      <w:r w:rsidRPr="00DD6EEE">
        <w:rPr>
          <w:rFonts w:cs="Arial" w:hint="cs"/>
          <w:sz w:val="16"/>
          <w:szCs w:val="16"/>
          <w:rtl/>
        </w:rPr>
        <w:t xml:space="preserve"> </w:t>
      </w:r>
      <w:r w:rsidRPr="000417CE">
        <w:rPr>
          <w:rFonts w:cs="Arial" w:hint="cs"/>
          <w:sz w:val="14"/>
          <w:szCs w:val="14"/>
          <w:rtl/>
        </w:rPr>
        <w:t>[עכ"ל הרא"ש]</w:t>
      </w:r>
      <w:r w:rsidRPr="00DD6EEE">
        <w:rPr>
          <w:rFonts w:cs="Arial" w:hint="cs"/>
          <w:sz w:val="16"/>
          <w:szCs w:val="16"/>
          <w:rtl/>
        </w:rPr>
        <w:t xml:space="preserve">. וכתב הב"י דמדברי הטור </w:t>
      </w:r>
      <w:r w:rsidRPr="000417CE">
        <w:rPr>
          <w:rFonts w:cs="Arial" w:hint="cs"/>
          <w:sz w:val="14"/>
          <w:szCs w:val="14"/>
          <w:rtl/>
        </w:rPr>
        <w:t>[כאן וברמזים פ"ב סי"ב]</w:t>
      </w:r>
      <w:r>
        <w:rPr>
          <w:rFonts w:cs="Arial" w:hint="cs"/>
          <w:sz w:val="16"/>
          <w:szCs w:val="16"/>
          <w:rtl/>
        </w:rPr>
        <w:t xml:space="preserve"> </w:t>
      </w:r>
      <w:r w:rsidRPr="00DD6EEE">
        <w:rPr>
          <w:rFonts w:cs="Arial" w:hint="cs"/>
          <w:sz w:val="16"/>
          <w:szCs w:val="16"/>
          <w:rtl/>
        </w:rPr>
        <w:t>נ</w:t>
      </w:r>
      <w:r>
        <w:rPr>
          <w:rFonts w:cs="Arial" w:hint="cs"/>
          <w:sz w:val="16"/>
          <w:szCs w:val="16"/>
          <w:rtl/>
        </w:rPr>
        <w:t>ראה דס"ל</w:t>
      </w:r>
      <w:r w:rsidRPr="00DD6EEE">
        <w:rPr>
          <w:rFonts w:cs="Arial" w:hint="cs"/>
          <w:sz w:val="16"/>
          <w:szCs w:val="16"/>
          <w:rtl/>
        </w:rPr>
        <w:t xml:space="preserve"> שכן דעת הרא"ש למסקנה</w:t>
      </w:r>
      <w:r>
        <w:rPr>
          <w:rFonts w:cs="Arial" w:hint="cs"/>
          <w:sz w:val="16"/>
          <w:szCs w:val="16"/>
          <w:rtl/>
        </w:rPr>
        <w:t>, וכן נראה דעת הב"י בדברי הרא"ש למסקנה</w:t>
      </w:r>
      <w:r>
        <w:rPr>
          <w:rStyle w:val="a7"/>
          <w:rFonts w:cs="Arial"/>
          <w:sz w:val="16"/>
          <w:szCs w:val="16"/>
          <w:rtl/>
        </w:rPr>
        <w:footnoteReference w:id="1264"/>
      </w:r>
      <w:r w:rsidRPr="00DD6EEE">
        <w:rPr>
          <w:rFonts w:cs="Arial" w:hint="cs"/>
          <w:sz w:val="16"/>
          <w:szCs w:val="16"/>
          <w:rtl/>
        </w:rPr>
        <w:t>)</w:t>
      </w:r>
    </w:p>
    <w:p w14:paraId="0A884231" w14:textId="3CE6A8DD" w:rsidR="00FA2119" w:rsidRPr="00B34EC0" w:rsidRDefault="00FA2119" w:rsidP="00FA2119">
      <w:pPr>
        <w:rPr>
          <w:rFonts w:cs="Arial"/>
          <w:u w:val="single"/>
          <w:rtl/>
        </w:rPr>
      </w:pPr>
      <w:r w:rsidRPr="00B34EC0">
        <w:rPr>
          <w:rFonts w:cs="Arial" w:hint="cs"/>
          <w:u w:val="single"/>
          <w:rtl/>
        </w:rPr>
        <w:t xml:space="preserve">במה נחלקו ת"ק ורשב"ג </w:t>
      </w:r>
      <w:r w:rsidR="00A82951">
        <w:rPr>
          <w:rFonts w:cs="Arial"/>
          <w:u w:val="single"/>
          <w:rtl/>
        </w:rPr>
        <w:t>-</w:t>
      </w:r>
      <w:r w:rsidRPr="00B34EC0">
        <w:rPr>
          <w:rFonts w:cs="Arial" w:hint="cs"/>
          <w:u w:val="single"/>
          <w:rtl/>
        </w:rPr>
        <w:t xml:space="preserve"> כשאחד קורא לפניו או אף כששנים קוראים לפניו:</w:t>
      </w:r>
    </w:p>
    <w:p w14:paraId="28600CD9" w14:textId="6AEE0503" w:rsidR="00FA2119" w:rsidRDefault="00FA2119" w:rsidP="00FA2119">
      <w:pPr>
        <w:pStyle w:val="ab"/>
        <w:numPr>
          <w:ilvl w:val="0"/>
          <w:numId w:val="84"/>
        </w:numPr>
        <w:rPr>
          <w:rFonts w:cs="Arial"/>
        </w:rPr>
      </w:pPr>
      <w:r>
        <w:rPr>
          <w:rFonts w:cs="Arial" w:hint="cs"/>
          <w:rtl/>
        </w:rPr>
        <w:t>(</w:t>
      </w:r>
      <w:r w:rsidRPr="00A770F0">
        <w:rPr>
          <w:rFonts w:cs="Arial"/>
          <w:rtl/>
        </w:rPr>
        <w:t xml:space="preserve">רי"ף </w:t>
      </w:r>
      <w:r w:rsidRPr="00A770F0">
        <w:rPr>
          <w:rFonts w:cs="Arial" w:hint="cs"/>
          <w:sz w:val="14"/>
          <w:szCs w:val="14"/>
          <w:rtl/>
        </w:rPr>
        <w:t>[</w:t>
      </w:r>
      <w:r w:rsidRPr="00A770F0">
        <w:rPr>
          <w:rFonts w:cs="Arial"/>
          <w:sz w:val="14"/>
          <w:szCs w:val="14"/>
          <w:rtl/>
        </w:rPr>
        <w:t>ט:</w:t>
      </w:r>
      <w:r w:rsidRPr="00A770F0">
        <w:rPr>
          <w:rFonts w:cs="Arial" w:hint="cs"/>
          <w:sz w:val="14"/>
          <w:szCs w:val="14"/>
          <w:rtl/>
        </w:rPr>
        <w:t>]</w:t>
      </w:r>
      <w:r w:rsidRPr="00A770F0">
        <w:rPr>
          <w:rFonts w:cs="Arial" w:hint="cs"/>
          <w:sz w:val="16"/>
          <w:szCs w:val="16"/>
          <w:rtl/>
        </w:rPr>
        <w:t xml:space="preserve"> </w:t>
      </w:r>
      <w:r>
        <w:rPr>
          <w:rFonts w:cs="Arial" w:hint="cs"/>
          <w:rtl/>
        </w:rPr>
        <w:t>ורמב"ם</w:t>
      </w:r>
      <w:r>
        <w:rPr>
          <w:rFonts w:cs="Arial" w:hint="cs"/>
          <w:sz w:val="16"/>
          <w:szCs w:val="16"/>
          <w:rtl/>
        </w:rPr>
        <w:t xml:space="preserve"> להבי' הב"י</w:t>
      </w:r>
      <w:r>
        <w:rPr>
          <w:rStyle w:val="a7"/>
          <w:rFonts w:cs="Arial"/>
          <w:rtl/>
        </w:rPr>
        <w:footnoteReference w:id="1265"/>
      </w:r>
      <w:r>
        <w:rPr>
          <w:rFonts w:cs="Arial" w:hint="cs"/>
          <w:rtl/>
        </w:rPr>
        <w:t>)</w:t>
      </w:r>
      <w:r w:rsidR="00A82951">
        <w:rPr>
          <w:rFonts w:cs="Arial" w:hint="cs"/>
          <w:rtl/>
        </w:rPr>
        <w:t>-</w:t>
      </w:r>
      <w:r w:rsidRPr="0073436F">
        <w:rPr>
          <w:rtl/>
        </w:rPr>
        <w:t xml:space="preserve"> </w:t>
      </w:r>
      <w:r>
        <w:rPr>
          <w:rFonts w:hint="cs"/>
          <w:rtl/>
        </w:rPr>
        <w:t>גם כששנים קוראים לפניו</w:t>
      </w:r>
      <w:r>
        <w:rPr>
          <w:rFonts w:cs="Arial" w:hint="cs"/>
          <w:rtl/>
        </w:rPr>
        <w:t>.</w:t>
      </w:r>
    </w:p>
    <w:p w14:paraId="07D99968" w14:textId="06731E0C" w:rsidR="00FA2119" w:rsidRPr="00A27B57" w:rsidRDefault="00FA2119" w:rsidP="00FA2119">
      <w:pPr>
        <w:pStyle w:val="ab"/>
        <w:numPr>
          <w:ilvl w:val="0"/>
          <w:numId w:val="84"/>
        </w:numPr>
        <w:rPr>
          <w:rFonts w:cs="Arial"/>
          <w:rtl/>
        </w:rPr>
      </w:pPr>
      <w:r>
        <w:rPr>
          <w:rFonts w:cs="Arial" w:hint="cs"/>
          <w:rtl/>
        </w:rPr>
        <w:t xml:space="preserve">(רי"ף </w:t>
      </w:r>
      <w:r>
        <w:rPr>
          <w:rFonts w:cs="Arial" w:hint="cs"/>
          <w:sz w:val="16"/>
          <w:szCs w:val="16"/>
          <w:rtl/>
        </w:rPr>
        <w:t>להב' הרא"ש</w:t>
      </w:r>
      <w:r>
        <w:rPr>
          <w:rFonts w:cs="Arial" w:hint="cs"/>
          <w:rtl/>
        </w:rPr>
        <w:t xml:space="preserve">) </w:t>
      </w:r>
      <w:r w:rsidRPr="00A27B57">
        <w:rPr>
          <w:rFonts w:cs="Arial"/>
          <w:rtl/>
        </w:rPr>
        <w:t>רא"ש</w:t>
      </w:r>
      <w:r>
        <w:rPr>
          <w:rStyle w:val="a7"/>
          <w:rFonts w:cs="Arial"/>
          <w:rtl/>
        </w:rPr>
        <w:footnoteReference w:id="1266"/>
      </w:r>
      <w:r w:rsidRPr="00A27B57">
        <w:rPr>
          <w:rFonts w:cs="Arial"/>
          <w:rtl/>
        </w:rPr>
        <w:t xml:space="preserve"> </w:t>
      </w:r>
      <w:r w:rsidRPr="00A27B57">
        <w:rPr>
          <w:rFonts w:cs="Arial"/>
          <w:sz w:val="16"/>
          <w:szCs w:val="16"/>
          <w:rtl/>
        </w:rPr>
        <w:t>(סי' יב</w:t>
      </w:r>
      <w:r>
        <w:rPr>
          <w:rFonts w:cs="Arial" w:hint="cs"/>
          <w:sz w:val="16"/>
          <w:szCs w:val="16"/>
          <w:rtl/>
        </w:rPr>
        <w:t>, להב' הטור</w:t>
      </w:r>
      <w:r w:rsidRPr="00A27B57">
        <w:rPr>
          <w:rFonts w:cs="Arial"/>
          <w:sz w:val="16"/>
          <w:szCs w:val="16"/>
          <w:rtl/>
        </w:rPr>
        <w:t>)</w:t>
      </w:r>
      <w:r>
        <w:rPr>
          <w:rFonts w:cs="Arial" w:hint="cs"/>
          <w:rtl/>
        </w:rPr>
        <w:t xml:space="preserve"> וטור</w:t>
      </w:r>
      <w:r>
        <w:rPr>
          <w:rFonts w:cs="Arial" w:hint="cs"/>
          <w:sz w:val="16"/>
          <w:szCs w:val="16"/>
          <w:rtl/>
        </w:rPr>
        <w:t xml:space="preserve"> (כאן וברמזים [פ"ב סי"ב] ובחו"מ [סי' מה ס"ב])</w:t>
      </w:r>
      <w:r w:rsidR="00A82951">
        <w:rPr>
          <w:rFonts w:cs="Arial" w:hint="cs"/>
          <w:rtl/>
        </w:rPr>
        <w:t>-</w:t>
      </w:r>
      <w:r>
        <w:rPr>
          <w:rFonts w:cs="Arial" w:hint="cs"/>
          <w:rtl/>
        </w:rPr>
        <w:t xml:space="preserve"> </w:t>
      </w:r>
      <w:r>
        <w:rPr>
          <w:rFonts w:cs="Arial"/>
          <w:rtl/>
        </w:rPr>
        <w:t>באחד קורא לפניו</w:t>
      </w:r>
      <w:r>
        <w:rPr>
          <w:rFonts w:cs="Arial" w:hint="cs"/>
          <w:rtl/>
        </w:rPr>
        <w:t>.</w:t>
      </w:r>
      <w:bookmarkStart w:id="13" w:name="_Hlk86846746"/>
      <w:r>
        <w:rPr>
          <w:rFonts w:cs="Arial" w:hint="cs"/>
          <w:rtl/>
        </w:rPr>
        <w:t xml:space="preserve"> אבל בשנים </w:t>
      </w:r>
      <w:r w:rsidR="00A82951">
        <w:rPr>
          <w:rFonts w:cs="Arial" w:hint="cs"/>
          <w:rtl/>
        </w:rPr>
        <w:t>-</w:t>
      </w:r>
      <w:r>
        <w:rPr>
          <w:rFonts w:cs="Arial" w:hint="cs"/>
          <w:rtl/>
        </w:rPr>
        <w:t xml:space="preserve"> גם רשב"ג מודה דשרי.</w:t>
      </w:r>
      <w:bookmarkEnd w:id="13"/>
    </w:p>
    <w:p w14:paraId="41DEE394" w14:textId="286C389B" w:rsidR="00FA2119" w:rsidRPr="00BC10F8" w:rsidRDefault="00FA2119" w:rsidP="00FA2119">
      <w:pPr>
        <w:ind w:left="360"/>
        <w:rPr>
          <w:rFonts w:cs="Arial"/>
          <w:u w:val="dotted"/>
        </w:rPr>
      </w:pPr>
      <w:bookmarkStart w:id="14" w:name="_Hlk86847177"/>
      <w:r>
        <w:rPr>
          <w:rFonts w:cs="Arial" w:hint="cs"/>
          <w:u w:val="dotted"/>
          <w:rtl/>
        </w:rPr>
        <w:lastRenderedPageBreak/>
        <w:t xml:space="preserve">למעשה </w:t>
      </w:r>
      <w:r w:rsidR="00A82951">
        <w:rPr>
          <w:rFonts w:cs="Arial" w:hint="cs"/>
          <w:u w:val="dotted"/>
          <w:rtl/>
        </w:rPr>
        <w:t>-</w:t>
      </w:r>
      <w:r>
        <w:rPr>
          <w:rFonts w:cs="Arial" w:hint="cs"/>
          <w:u w:val="dotted"/>
          <w:rtl/>
        </w:rPr>
        <w:t xml:space="preserve"> מה הדין אם קראו שני אנשים לפניו:</w:t>
      </w:r>
    </w:p>
    <w:p w14:paraId="1ECD7278" w14:textId="44504630" w:rsidR="00FA2119" w:rsidRPr="0073436F" w:rsidRDefault="00FA2119" w:rsidP="00FA2119">
      <w:pPr>
        <w:pStyle w:val="ab"/>
        <w:numPr>
          <w:ilvl w:val="0"/>
          <w:numId w:val="84"/>
        </w:numPr>
        <w:rPr>
          <w:rFonts w:cs="Arial"/>
          <w:rtl/>
        </w:rPr>
      </w:pPr>
      <w:r w:rsidRPr="00A770F0">
        <w:rPr>
          <w:rFonts w:cs="Arial" w:hint="cs"/>
          <w:rtl/>
        </w:rPr>
        <w:t>(</w:t>
      </w:r>
      <w:r w:rsidRPr="00A770F0">
        <w:rPr>
          <w:rFonts w:cs="Arial"/>
          <w:rtl/>
        </w:rPr>
        <w:t xml:space="preserve">רי"ף </w:t>
      </w:r>
      <w:r w:rsidRPr="00A770F0">
        <w:rPr>
          <w:rFonts w:cs="Arial" w:hint="cs"/>
          <w:sz w:val="14"/>
          <w:szCs w:val="14"/>
          <w:rtl/>
        </w:rPr>
        <w:t>[</w:t>
      </w:r>
      <w:r w:rsidRPr="00A770F0">
        <w:rPr>
          <w:rFonts w:cs="Arial"/>
          <w:sz w:val="14"/>
          <w:szCs w:val="14"/>
          <w:rtl/>
        </w:rPr>
        <w:t>ט:</w:t>
      </w:r>
      <w:r w:rsidRPr="00A770F0">
        <w:rPr>
          <w:rFonts w:cs="Arial" w:hint="cs"/>
          <w:sz w:val="14"/>
          <w:szCs w:val="14"/>
          <w:rtl/>
        </w:rPr>
        <w:t>]</w:t>
      </w:r>
      <w:r w:rsidRPr="00A770F0">
        <w:rPr>
          <w:rFonts w:cs="Arial" w:hint="cs"/>
          <w:sz w:val="16"/>
          <w:szCs w:val="16"/>
          <w:rtl/>
        </w:rPr>
        <w:t xml:space="preserve"> להב' הרא"ש</w:t>
      </w:r>
      <w:r w:rsidRPr="00A770F0">
        <w:rPr>
          <w:rFonts w:cs="Arial"/>
          <w:rtl/>
        </w:rPr>
        <w:t>)</w:t>
      </w:r>
      <w:r>
        <w:rPr>
          <w:rFonts w:cs="Arial" w:hint="cs"/>
          <w:rtl/>
        </w:rPr>
        <w:t xml:space="preserve"> </w:t>
      </w:r>
      <w:r w:rsidRPr="00A27B57">
        <w:rPr>
          <w:rFonts w:cs="Arial"/>
          <w:rtl/>
        </w:rPr>
        <w:t xml:space="preserve">רא"ש </w:t>
      </w:r>
      <w:r w:rsidRPr="00A27B57">
        <w:rPr>
          <w:rFonts w:cs="Arial"/>
          <w:sz w:val="16"/>
          <w:szCs w:val="16"/>
          <w:rtl/>
        </w:rPr>
        <w:t>(סי' יב</w:t>
      </w:r>
      <w:r>
        <w:rPr>
          <w:rFonts w:cs="Arial" w:hint="cs"/>
          <w:sz w:val="16"/>
          <w:szCs w:val="16"/>
          <w:rtl/>
        </w:rPr>
        <w:t>, להב' הטור</w:t>
      </w:r>
      <w:r w:rsidRPr="00A27B57">
        <w:rPr>
          <w:rFonts w:cs="Arial"/>
          <w:sz w:val="16"/>
          <w:szCs w:val="16"/>
          <w:rtl/>
        </w:rPr>
        <w:t>)</w:t>
      </w:r>
      <w:r>
        <w:rPr>
          <w:rFonts w:cs="Arial" w:hint="cs"/>
          <w:rtl/>
        </w:rPr>
        <w:t xml:space="preserve"> וטור</w:t>
      </w:r>
      <w:r>
        <w:rPr>
          <w:rFonts w:cs="Arial" w:hint="cs"/>
          <w:sz w:val="16"/>
          <w:szCs w:val="16"/>
          <w:rtl/>
        </w:rPr>
        <w:t xml:space="preserve"> (שם שם ושם)</w:t>
      </w:r>
      <w:r w:rsidR="00A82951">
        <w:rPr>
          <w:rFonts w:cs="Arial" w:hint="cs"/>
          <w:rtl/>
        </w:rPr>
        <w:t>-</w:t>
      </w:r>
      <w:r w:rsidRPr="00A27B57">
        <w:rPr>
          <w:rFonts w:cs="Arial" w:hint="cs"/>
          <w:rtl/>
        </w:rPr>
        <w:t xml:space="preserve"> </w:t>
      </w:r>
      <w:r>
        <w:rPr>
          <w:rFonts w:cs="Arial" w:hint="cs"/>
          <w:rtl/>
        </w:rPr>
        <w:t xml:space="preserve">עדים שאין יודעין לקרות, בגיטי נשים </w:t>
      </w:r>
      <w:r w:rsidR="00A82951">
        <w:rPr>
          <w:rFonts w:cs="Arial" w:hint="cs"/>
          <w:rtl/>
        </w:rPr>
        <w:t>-</w:t>
      </w:r>
      <w:r>
        <w:rPr>
          <w:rFonts w:cs="Arial" w:hint="cs"/>
          <w:rtl/>
        </w:rPr>
        <w:t xml:space="preserve"> אחד קורא לפניהם והם חותמים. ובשאר שטרות </w:t>
      </w:r>
      <w:r w:rsidR="00A82951">
        <w:rPr>
          <w:rFonts w:cs="Arial" w:hint="cs"/>
          <w:rtl/>
        </w:rPr>
        <w:t>-</w:t>
      </w:r>
      <w:r>
        <w:rPr>
          <w:rFonts w:cs="Arial" w:hint="cs"/>
          <w:rtl/>
        </w:rPr>
        <w:t xml:space="preserve"> אחד לא יקרא לפניהם</w:t>
      </w:r>
      <w:r>
        <w:rPr>
          <w:rStyle w:val="a7"/>
          <w:rFonts w:cs="Arial"/>
          <w:rtl/>
        </w:rPr>
        <w:footnoteReference w:id="1267"/>
      </w:r>
      <w:r>
        <w:rPr>
          <w:rFonts w:cs="Arial" w:hint="cs"/>
          <w:rtl/>
        </w:rPr>
        <w:t xml:space="preserve">, אבל שנים קוראין </w:t>
      </w:r>
      <w:r w:rsidRPr="00A27B57">
        <w:rPr>
          <w:rFonts w:cs="Arial" w:hint="cs"/>
          <w:sz w:val="16"/>
          <w:szCs w:val="16"/>
          <w:rtl/>
        </w:rPr>
        <w:t>(ל' ה</w:t>
      </w:r>
      <w:r>
        <w:rPr>
          <w:rFonts w:cs="Arial" w:hint="cs"/>
          <w:sz w:val="16"/>
          <w:szCs w:val="16"/>
          <w:rtl/>
        </w:rPr>
        <w:t>טור ברמזים</w:t>
      </w:r>
      <w:r w:rsidRPr="00A27B57">
        <w:rPr>
          <w:rFonts w:cs="Arial" w:hint="cs"/>
          <w:sz w:val="16"/>
          <w:szCs w:val="16"/>
          <w:rtl/>
        </w:rPr>
        <w:t>)</w:t>
      </w:r>
      <w:r w:rsidRPr="00A27B57">
        <w:rPr>
          <w:rFonts w:cs="Arial" w:hint="cs"/>
          <w:rtl/>
        </w:rPr>
        <w:t>.</w:t>
      </w:r>
      <w:r w:rsidRPr="0073436F">
        <w:rPr>
          <w:rFonts w:cs="Arial" w:hint="cs"/>
          <w:color w:val="00B0F0"/>
          <w:rtl/>
        </w:rPr>
        <w:t xml:space="preserve"> (וכ"פ הרמ"א</w:t>
      </w:r>
      <w:r>
        <w:rPr>
          <w:rFonts w:cs="Arial" w:hint="cs"/>
          <w:color w:val="00B0F0"/>
          <w:sz w:val="16"/>
          <w:szCs w:val="16"/>
          <w:rtl/>
        </w:rPr>
        <w:t xml:space="preserve"> </w:t>
      </w:r>
      <w:r w:rsidRPr="00B34EC0">
        <w:rPr>
          <w:rFonts w:cs="Arial" w:hint="cs"/>
          <w:color w:val="000000" w:themeColor="text1"/>
          <w:sz w:val="16"/>
          <w:szCs w:val="16"/>
          <w:rtl/>
        </w:rPr>
        <w:t>[בחו"מ סי' מה ס"ב]</w:t>
      </w:r>
      <w:r w:rsidRPr="0073436F">
        <w:rPr>
          <w:rFonts w:cs="Arial" w:hint="cs"/>
          <w:color w:val="00B0F0"/>
          <w:rtl/>
        </w:rPr>
        <w:t>)</w:t>
      </w:r>
    </w:p>
    <w:p w14:paraId="4AAD26EE" w14:textId="0DA72039" w:rsidR="00FA2119" w:rsidRDefault="00FA2119" w:rsidP="00FA2119">
      <w:pPr>
        <w:pStyle w:val="ab"/>
        <w:numPr>
          <w:ilvl w:val="0"/>
          <w:numId w:val="84"/>
        </w:numPr>
        <w:rPr>
          <w:rFonts w:cs="Arial"/>
        </w:rPr>
      </w:pPr>
      <w:r w:rsidRPr="00A770F0">
        <w:rPr>
          <w:rFonts w:cs="Arial" w:hint="cs"/>
          <w:rtl/>
        </w:rPr>
        <w:t>(</w:t>
      </w:r>
      <w:r w:rsidRPr="00A770F0">
        <w:rPr>
          <w:rFonts w:cs="Arial"/>
          <w:rtl/>
        </w:rPr>
        <w:t xml:space="preserve">רי"ף </w:t>
      </w:r>
      <w:r w:rsidRPr="00A770F0">
        <w:rPr>
          <w:rFonts w:cs="Arial" w:hint="cs"/>
          <w:sz w:val="14"/>
          <w:szCs w:val="14"/>
          <w:rtl/>
        </w:rPr>
        <w:t>[</w:t>
      </w:r>
      <w:r w:rsidRPr="00A770F0">
        <w:rPr>
          <w:rFonts w:cs="Arial"/>
          <w:sz w:val="14"/>
          <w:szCs w:val="14"/>
          <w:rtl/>
        </w:rPr>
        <w:t>ט:</w:t>
      </w:r>
      <w:r w:rsidRPr="00A770F0">
        <w:rPr>
          <w:rFonts w:cs="Arial" w:hint="cs"/>
          <w:sz w:val="14"/>
          <w:szCs w:val="14"/>
          <w:rtl/>
        </w:rPr>
        <w:t>]</w:t>
      </w:r>
      <w:r w:rsidRPr="00A770F0">
        <w:rPr>
          <w:rFonts w:cs="Arial" w:hint="cs"/>
          <w:sz w:val="16"/>
          <w:szCs w:val="16"/>
          <w:rtl/>
        </w:rPr>
        <w:t xml:space="preserve"> </w:t>
      </w:r>
      <w:r>
        <w:rPr>
          <w:rFonts w:cs="Arial" w:hint="cs"/>
          <w:rtl/>
        </w:rPr>
        <w:t>ורמב"ם</w:t>
      </w:r>
      <w:r>
        <w:rPr>
          <w:rFonts w:cs="Arial" w:hint="cs"/>
          <w:sz w:val="16"/>
          <w:szCs w:val="16"/>
          <w:rtl/>
        </w:rPr>
        <w:t xml:space="preserve"> [פ"א מגירושין הכ"ג] להבי' הב"י</w:t>
      </w:r>
      <w:r>
        <w:rPr>
          <w:rFonts w:cs="Arial" w:hint="cs"/>
          <w:rtl/>
        </w:rPr>
        <w:t>)</w:t>
      </w:r>
      <w:r w:rsidR="00A82951">
        <w:rPr>
          <w:rFonts w:cs="Arial" w:hint="cs"/>
          <w:rtl/>
        </w:rPr>
        <w:t>-</w:t>
      </w:r>
      <w:r>
        <w:rPr>
          <w:rFonts w:cs="Arial" w:hint="cs"/>
          <w:rtl/>
        </w:rPr>
        <w:t xml:space="preserve"> בשאר שטרות </w:t>
      </w:r>
      <w:r w:rsidR="00A82951">
        <w:rPr>
          <w:rFonts w:cs="Arial" w:hint="cs"/>
          <w:rtl/>
        </w:rPr>
        <w:t>-</w:t>
      </w:r>
      <w:r>
        <w:rPr>
          <w:rFonts w:cs="Arial" w:hint="cs"/>
          <w:rtl/>
        </w:rPr>
        <w:t xml:space="preserve"> גם שנים אינם קוראים</w:t>
      </w:r>
      <w:r>
        <w:rPr>
          <w:rStyle w:val="a7"/>
          <w:rFonts w:cs="Arial"/>
          <w:rtl/>
        </w:rPr>
        <w:footnoteReference w:id="1268"/>
      </w:r>
      <w:r>
        <w:rPr>
          <w:rFonts w:cs="Arial" w:hint="cs"/>
          <w:rtl/>
        </w:rPr>
        <w:t>.</w:t>
      </w:r>
      <w:r w:rsidRPr="00D97A1F">
        <w:rPr>
          <w:rFonts w:cs="Arial" w:hint="cs"/>
          <w:sz w:val="16"/>
          <w:szCs w:val="16"/>
          <w:rtl/>
        </w:rPr>
        <w:t xml:space="preserve"> </w:t>
      </w:r>
      <w:r>
        <w:rPr>
          <w:rFonts w:cs="Arial" w:hint="cs"/>
          <w:rtl/>
        </w:rPr>
        <w:t xml:space="preserve">אבל </w:t>
      </w:r>
      <w:r w:rsidRPr="00475705">
        <w:rPr>
          <w:rFonts w:cs="Arial"/>
          <w:rtl/>
        </w:rPr>
        <w:t>עדים שחותמין על הגט</w:t>
      </w:r>
      <w:r>
        <w:rPr>
          <w:rFonts w:cs="Arial" w:hint="cs"/>
          <w:rtl/>
        </w:rPr>
        <w:t>,</w:t>
      </w:r>
      <w:r w:rsidRPr="00475705">
        <w:rPr>
          <w:rFonts w:cs="Arial"/>
          <w:rtl/>
        </w:rPr>
        <w:t xml:space="preserve"> אם אינם יודעים לקרות </w:t>
      </w:r>
      <w:r w:rsidR="00A82951">
        <w:rPr>
          <w:rFonts w:cs="Arial" w:hint="cs"/>
          <w:rtl/>
        </w:rPr>
        <w:t>-</w:t>
      </w:r>
      <w:r>
        <w:rPr>
          <w:rFonts w:cs="Arial" w:hint="cs"/>
          <w:rtl/>
        </w:rPr>
        <w:t xml:space="preserve"> </w:t>
      </w:r>
      <w:r w:rsidRPr="00475705">
        <w:rPr>
          <w:rFonts w:cs="Arial"/>
          <w:rtl/>
        </w:rPr>
        <w:t>קוראין</w:t>
      </w:r>
      <w:r>
        <w:rPr>
          <w:rStyle w:val="a7"/>
          <w:rFonts w:cs="Arial"/>
          <w:rtl/>
        </w:rPr>
        <w:footnoteReference w:id="1269"/>
      </w:r>
      <w:r w:rsidRPr="00475705">
        <w:rPr>
          <w:rFonts w:cs="Arial"/>
          <w:rtl/>
        </w:rPr>
        <w:t xml:space="preserve"> בפניהם והן חותמין</w:t>
      </w:r>
      <w:r>
        <w:rPr>
          <w:rFonts w:cs="Arial" w:hint="cs"/>
          <w:rtl/>
        </w:rPr>
        <w:t>.</w:t>
      </w:r>
      <w:r w:rsidRPr="00475705">
        <w:rPr>
          <w:rFonts w:cs="Arial" w:hint="cs"/>
          <w:rtl/>
        </w:rPr>
        <w:t xml:space="preserve"> </w:t>
      </w:r>
      <w:r w:rsidRPr="00475705">
        <w:rPr>
          <w:rFonts w:cs="Arial" w:hint="cs"/>
          <w:color w:val="E36C0A" w:themeColor="accent6" w:themeShade="BF"/>
          <w:rtl/>
        </w:rPr>
        <w:t>(וכ"פ בשו"ע)</w:t>
      </w:r>
    </w:p>
    <w:p w14:paraId="6FBB6148" w14:textId="12F46CF7" w:rsidR="00FA2119" w:rsidRPr="00475705" w:rsidRDefault="00FA2119" w:rsidP="00FA2119">
      <w:pPr>
        <w:pStyle w:val="ab"/>
        <w:numPr>
          <w:ilvl w:val="0"/>
          <w:numId w:val="84"/>
        </w:numPr>
        <w:rPr>
          <w:rFonts w:cs="Arial"/>
        </w:rPr>
      </w:pPr>
      <w:bookmarkStart w:id="15" w:name="_Hlk86848527"/>
      <w:r w:rsidRPr="00A27B57">
        <w:rPr>
          <w:rFonts w:cs="Arial"/>
          <w:rtl/>
        </w:rPr>
        <w:t>ר"י</w:t>
      </w:r>
      <w:r w:rsidRPr="00A27B57">
        <w:rPr>
          <w:rFonts w:cs="Arial" w:hint="cs"/>
          <w:rtl/>
        </w:rPr>
        <w:t xml:space="preserve"> </w:t>
      </w:r>
      <w:r w:rsidRPr="00A27B57">
        <w:rPr>
          <w:rFonts w:cs="Arial" w:hint="cs"/>
          <w:sz w:val="16"/>
          <w:szCs w:val="16"/>
          <w:rtl/>
        </w:rPr>
        <w:t>(</w:t>
      </w:r>
      <w:r>
        <w:rPr>
          <w:rFonts w:cs="Arial" w:hint="cs"/>
          <w:sz w:val="16"/>
          <w:szCs w:val="16"/>
          <w:rtl/>
        </w:rPr>
        <w:t>ב</w:t>
      </w:r>
      <w:r w:rsidRPr="00A27B57">
        <w:rPr>
          <w:rFonts w:cs="Arial"/>
          <w:sz w:val="16"/>
          <w:szCs w:val="16"/>
          <w:rtl/>
        </w:rPr>
        <w:t>תוס</w:t>
      </w:r>
      <w:r w:rsidRPr="00A27B57">
        <w:rPr>
          <w:rFonts w:cs="Arial" w:hint="cs"/>
          <w:sz w:val="16"/>
          <w:szCs w:val="16"/>
          <w:rtl/>
        </w:rPr>
        <w:t xml:space="preserve">' </w:t>
      </w:r>
      <w:r>
        <w:rPr>
          <w:rFonts w:cs="Arial" w:hint="cs"/>
          <w:sz w:val="16"/>
          <w:szCs w:val="16"/>
          <w:rtl/>
        </w:rPr>
        <w:t>[</w:t>
      </w:r>
      <w:r w:rsidRPr="00A27B57">
        <w:rPr>
          <w:rFonts w:cs="Arial" w:hint="cs"/>
          <w:sz w:val="16"/>
          <w:szCs w:val="16"/>
          <w:rtl/>
        </w:rPr>
        <w:t>גיטין</w:t>
      </w:r>
      <w:r w:rsidRPr="00A27B57">
        <w:rPr>
          <w:rFonts w:cs="Arial"/>
          <w:sz w:val="16"/>
          <w:szCs w:val="16"/>
          <w:rtl/>
        </w:rPr>
        <w:t xml:space="preserve"> ט: ד"ה קורין</w:t>
      </w:r>
      <w:r>
        <w:rPr>
          <w:rFonts w:cs="Arial" w:hint="cs"/>
          <w:sz w:val="16"/>
          <w:szCs w:val="16"/>
          <w:rtl/>
        </w:rPr>
        <w:t>], כ"כ הב"י בשמו</w:t>
      </w:r>
      <w:r w:rsidRPr="00A27B57">
        <w:rPr>
          <w:rFonts w:cs="Arial"/>
          <w:sz w:val="16"/>
          <w:szCs w:val="16"/>
          <w:rtl/>
        </w:rPr>
        <w:t>)</w:t>
      </w:r>
      <w:r>
        <w:rPr>
          <w:rFonts w:cs="Arial" w:hint="cs"/>
          <w:rtl/>
        </w:rPr>
        <w:t xml:space="preserve"> ורי"ו </w:t>
      </w:r>
      <w:r>
        <w:rPr>
          <w:rFonts w:cs="Arial" w:hint="cs"/>
          <w:sz w:val="16"/>
          <w:szCs w:val="16"/>
          <w:rtl/>
        </w:rPr>
        <w:t>(ח"ב נכ"ד ע"ד)</w:t>
      </w:r>
      <w:r w:rsidR="00A82951">
        <w:rPr>
          <w:rFonts w:cs="Arial" w:hint="cs"/>
          <w:rtl/>
        </w:rPr>
        <w:t>-</w:t>
      </w:r>
      <w:r>
        <w:rPr>
          <w:rFonts w:cs="Arial" w:hint="cs"/>
          <w:rtl/>
        </w:rPr>
        <w:t xml:space="preserve"> </w:t>
      </w:r>
      <w:r w:rsidRPr="00387780">
        <w:rPr>
          <w:rFonts w:cs="Arial"/>
          <w:rtl/>
        </w:rPr>
        <w:t>אפילו בגיטין בעינן שנים קורין לפניו או כגון רב נחמן וספרי דייני</w:t>
      </w:r>
      <w:r>
        <w:rPr>
          <w:rFonts w:cs="Arial" w:hint="cs"/>
          <w:sz w:val="16"/>
          <w:szCs w:val="16"/>
          <w:rtl/>
        </w:rPr>
        <w:t xml:space="preserve"> (ל' הב"י בשם ר"י)</w:t>
      </w:r>
      <w:r>
        <w:rPr>
          <w:rFonts w:cs="Arial" w:hint="cs"/>
          <w:rtl/>
        </w:rPr>
        <w:t>. (וכ"פ ב"ח וב"ש</w:t>
      </w:r>
      <w:r>
        <w:rPr>
          <w:rFonts w:cs="Arial" w:hint="cs"/>
          <w:sz w:val="16"/>
          <w:szCs w:val="16"/>
          <w:rtl/>
        </w:rPr>
        <w:t xml:space="preserve"> [סקכ"ו]</w:t>
      </w:r>
      <w:r>
        <w:rPr>
          <w:rFonts w:cs="Arial" w:hint="cs"/>
          <w:rtl/>
        </w:rPr>
        <w:t>)</w:t>
      </w:r>
    </w:p>
    <w:bookmarkEnd w:id="14"/>
    <w:bookmarkEnd w:id="15"/>
    <w:p w14:paraId="02900BC9" w14:textId="3DB71FD4" w:rsidR="00FA2119" w:rsidRPr="00B23A59" w:rsidRDefault="00FA2119" w:rsidP="00FA2119">
      <w:pPr>
        <w:ind w:left="360"/>
        <w:rPr>
          <w:u w:val="dotted"/>
        </w:rPr>
      </w:pPr>
      <w:r>
        <w:rPr>
          <w:rFonts w:hint="cs"/>
          <w:u w:val="dotted"/>
          <w:rtl/>
        </w:rPr>
        <w:t xml:space="preserve">כשמקריאים להם את הגט </w:t>
      </w:r>
      <w:r w:rsidR="00A82951">
        <w:rPr>
          <w:u w:val="dotted"/>
          <w:rtl/>
        </w:rPr>
        <w:t>-</w:t>
      </w:r>
      <w:r>
        <w:rPr>
          <w:rFonts w:hint="cs"/>
          <w:u w:val="dotted"/>
          <w:rtl/>
        </w:rPr>
        <w:t xml:space="preserve"> האם העדים צריכים להבין </w:t>
      </w:r>
      <w:r w:rsidRPr="00B23A59">
        <w:rPr>
          <w:rFonts w:hint="cs"/>
          <w:u w:val="dotted"/>
          <w:rtl/>
        </w:rPr>
        <w:t>את השפה שבה נכתב הגט</w:t>
      </w:r>
      <w:r>
        <w:rPr>
          <w:rFonts w:hint="cs"/>
          <w:u w:val="dotted"/>
          <w:rtl/>
        </w:rPr>
        <w:t>, או שתרגום הדברים שפ"ד</w:t>
      </w:r>
      <w:r w:rsidRPr="00B23A59">
        <w:rPr>
          <w:rFonts w:hint="cs"/>
          <w:u w:val="dotted"/>
          <w:rtl/>
        </w:rPr>
        <w:t>:</w:t>
      </w:r>
    </w:p>
    <w:p w14:paraId="6B20BE9C" w14:textId="29B4C1AC" w:rsidR="00FA2119" w:rsidRPr="00B23A59" w:rsidRDefault="00FA2119" w:rsidP="00FA2119">
      <w:pPr>
        <w:pStyle w:val="ab"/>
        <w:numPr>
          <w:ilvl w:val="0"/>
          <w:numId w:val="80"/>
        </w:numPr>
      </w:pPr>
      <w:r>
        <w:rPr>
          <w:rFonts w:cs="Arial"/>
          <w:rtl/>
        </w:rPr>
        <w:t>רמב"ם</w:t>
      </w:r>
      <w:r>
        <w:rPr>
          <w:rFonts w:cs="Arial" w:hint="cs"/>
          <w:rtl/>
        </w:rPr>
        <w:t xml:space="preserve"> </w:t>
      </w:r>
      <w:r>
        <w:rPr>
          <w:rFonts w:cs="Arial" w:hint="cs"/>
          <w:sz w:val="16"/>
          <w:szCs w:val="16"/>
          <w:rtl/>
        </w:rPr>
        <w:t>(פ"א מגירושין הכ"ג)</w:t>
      </w:r>
      <w:r w:rsidR="00A82951">
        <w:rPr>
          <w:rFonts w:cs="Arial" w:hint="cs"/>
          <w:rtl/>
        </w:rPr>
        <w:t>-</w:t>
      </w:r>
      <w:r>
        <w:rPr>
          <w:rFonts w:cs="Arial"/>
          <w:rtl/>
        </w:rPr>
        <w:t xml:space="preserve"> </w:t>
      </w:r>
      <w:r w:rsidRPr="00ED2007">
        <w:rPr>
          <w:rFonts w:cs="Arial"/>
          <w:rtl/>
        </w:rPr>
        <w:t>עדים שחותמין על הגט צריכין להיותם יודעים לקרות ולחתום, אם אינם יודעים לקרות</w:t>
      </w:r>
      <w:r>
        <w:rPr>
          <w:rFonts w:cs="Arial" w:hint="cs"/>
          <w:rtl/>
        </w:rPr>
        <w:t xml:space="preserve"> </w:t>
      </w:r>
      <w:r w:rsidR="00A82951">
        <w:rPr>
          <w:rFonts w:cs="Arial" w:hint="cs"/>
          <w:rtl/>
        </w:rPr>
        <w:t>-</w:t>
      </w:r>
      <w:r w:rsidRPr="00ED2007">
        <w:rPr>
          <w:rFonts w:cs="Arial"/>
          <w:rtl/>
        </w:rPr>
        <w:t xml:space="preserve"> קוראין בפניהם והן חותמין</w:t>
      </w:r>
      <w:r>
        <w:rPr>
          <w:rFonts w:hint="cs"/>
          <w:rtl/>
        </w:rPr>
        <w:t>,</w:t>
      </w:r>
      <w:r w:rsidRPr="00ED2007">
        <w:rPr>
          <w:rtl/>
        </w:rPr>
        <w:t xml:space="preserve"> </w:t>
      </w:r>
      <w:r w:rsidRPr="00ED2007">
        <w:rPr>
          <w:rFonts w:cs="Arial"/>
          <w:rtl/>
        </w:rPr>
        <w:t>והוא שיכירו לשון הגט</w:t>
      </w:r>
      <w:r>
        <w:rPr>
          <w:rStyle w:val="a7"/>
          <w:rFonts w:cs="Arial"/>
          <w:rtl/>
        </w:rPr>
        <w:footnoteReference w:id="1270"/>
      </w:r>
      <w:r>
        <w:rPr>
          <w:rFonts w:cs="Arial" w:hint="cs"/>
          <w:sz w:val="16"/>
          <w:szCs w:val="16"/>
          <w:rtl/>
        </w:rPr>
        <w:t xml:space="preserve"> (ל' הרמב"ם)</w:t>
      </w:r>
      <w:r>
        <w:rPr>
          <w:rStyle w:val="a7"/>
          <w:rFonts w:cs="Arial"/>
          <w:rtl/>
        </w:rPr>
        <w:footnoteReference w:id="1271"/>
      </w:r>
      <w:r>
        <w:rPr>
          <w:rFonts w:cs="Arial" w:hint="cs"/>
          <w:rtl/>
        </w:rPr>
        <w:t>.</w:t>
      </w:r>
      <w:r>
        <w:rPr>
          <w:rFonts w:cs="Arial"/>
          <w:rtl/>
        </w:rPr>
        <w:t xml:space="preserve"> </w:t>
      </w:r>
    </w:p>
    <w:p w14:paraId="623D6766" w14:textId="7EB3F790" w:rsidR="00FA2119" w:rsidRDefault="00FA2119" w:rsidP="00FA2119">
      <w:pPr>
        <w:pStyle w:val="ab"/>
        <w:numPr>
          <w:ilvl w:val="0"/>
          <w:numId w:val="80"/>
        </w:numPr>
        <w:rPr>
          <w:rtl/>
        </w:rPr>
      </w:pPr>
      <w:r>
        <w:rPr>
          <w:rFonts w:cs="Arial" w:hint="cs"/>
          <w:rtl/>
        </w:rPr>
        <w:t>טור</w:t>
      </w:r>
      <w:r w:rsidR="00A82951">
        <w:rPr>
          <w:rFonts w:cs="Arial" w:hint="cs"/>
          <w:rtl/>
        </w:rPr>
        <w:t>-</w:t>
      </w:r>
      <w:r>
        <w:rPr>
          <w:rFonts w:cs="Arial" w:hint="cs"/>
          <w:rtl/>
        </w:rPr>
        <w:t xml:space="preserve"> </w:t>
      </w:r>
      <w:r>
        <w:rPr>
          <w:rFonts w:cs="Arial"/>
          <w:rtl/>
        </w:rPr>
        <w:t>נראה דאפי</w:t>
      </w:r>
      <w:r>
        <w:rPr>
          <w:rFonts w:cs="Arial" w:hint="cs"/>
          <w:rtl/>
        </w:rPr>
        <w:t>לו</w:t>
      </w:r>
      <w:r>
        <w:rPr>
          <w:rFonts w:cs="Arial"/>
          <w:rtl/>
        </w:rPr>
        <w:t xml:space="preserve"> אין מכירין לשונו אם הקורא לפניהם מתרגמו לפניהם</w:t>
      </w:r>
      <w:r>
        <w:rPr>
          <w:rFonts w:cs="Arial" w:hint="cs"/>
          <w:rtl/>
        </w:rPr>
        <w:t xml:space="preserve"> </w:t>
      </w:r>
      <w:r w:rsidR="00A82951">
        <w:rPr>
          <w:rFonts w:cs="Arial" w:hint="cs"/>
          <w:rtl/>
        </w:rPr>
        <w:t>-</w:t>
      </w:r>
      <w:r>
        <w:rPr>
          <w:rFonts w:cs="Arial"/>
          <w:rtl/>
        </w:rPr>
        <w:t xml:space="preserve"> שפיר דמי</w:t>
      </w:r>
      <w:r>
        <w:rPr>
          <w:rFonts w:cs="Arial" w:hint="cs"/>
          <w:rtl/>
        </w:rPr>
        <w:t>.</w:t>
      </w:r>
      <w:r>
        <w:rPr>
          <w:rFonts w:cs="Arial"/>
          <w:rtl/>
        </w:rPr>
        <w:t xml:space="preserve"> </w:t>
      </w:r>
      <w:r w:rsidRPr="00BF7E20">
        <w:rPr>
          <w:rFonts w:hint="cs"/>
          <w:color w:val="00B0F0"/>
          <w:rtl/>
        </w:rPr>
        <w:t>(וכ"פ הרמ"א</w:t>
      </w:r>
      <w:r w:rsidRPr="00BF7E20">
        <w:rPr>
          <w:rFonts w:hint="cs"/>
          <w:color w:val="00B0F0"/>
          <w:sz w:val="16"/>
          <w:szCs w:val="16"/>
          <w:rtl/>
        </w:rPr>
        <w:t xml:space="preserve"> </w:t>
      </w:r>
      <w:r>
        <w:rPr>
          <w:rFonts w:hint="cs"/>
          <w:sz w:val="16"/>
          <w:szCs w:val="16"/>
          <w:rtl/>
        </w:rPr>
        <w:t>[חו"מ סי' מה ס"ב]</w:t>
      </w:r>
      <w:r w:rsidRPr="00BF7E20">
        <w:rPr>
          <w:rFonts w:hint="cs"/>
          <w:color w:val="00B0F0"/>
          <w:rtl/>
        </w:rPr>
        <w:t>)</w:t>
      </w:r>
      <w:r w:rsidRPr="004D1C50">
        <w:rPr>
          <w:rFonts w:cs="Arial" w:hint="cs"/>
          <w:rtl/>
        </w:rPr>
        <w:t xml:space="preserve"> </w:t>
      </w:r>
      <w:r>
        <w:rPr>
          <w:rFonts w:cs="Arial" w:hint="cs"/>
          <w:rtl/>
        </w:rPr>
        <w:t>(וכ"פ הגר"א</w:t>
      </w:r>
      <w:r>
        <w:rPr>
          <w:rFonts w:cs="Arial" w:hint="cs"/>
          <w:sz w:val="16"/>
          <w:szCs w:val="16"/>
          <w:rtl/>
        </w:rPr>
        <w:t xml:space="preserve"> [חו"מ סי' מה סק"ה גבי גט]</w:t>
      </w:r>
      <w:r>
        <w:rPr>
          <w:rFonts w:cs="Arial" w:hint="cs"/>
          <w:rtl/>
        </w:rPr>
        <w:t>)</w:t>
      </w:r>
    </w:p>
    <w:p w14:paraId="68B4A738" w14:textId="0D3B6CC3" w:rsidR="00FA2119" w:rsidRDefault="00FA2119" w:rsidP="00FA2119">
      <w:pPr>
        <w:rPr>
          <w:rFonts w:cs="Arial"/>
          <w:rtl/>
        </w:rPr>
      </w:pPr>
      <w:bookmarkStart w:id="17" w:name="_Hlk86923669"/>
      <w:r>
        <w:rPr>
          <w:rFonts w:hint="cs"/>
          <w:b/>
          <w:bCs/>
          <w:rtl/>
        </w:rPr>
        <w:t>גיטין</w:t>
      </w:r>
      <w:r>
        <w:rPr>
          <w:b/>
          <w:bCs/>
          <w:rtl/>
        </w:rPr>
        <w:t xml:space="preserve"> </w:t>
      </w:r>
      <w:r>
        <w:rPr>
          <w:b/>
          <w:bCs/>
          <w:szCs w:val="16"/>
          <w:rtl/>
        </w:rPr>
        <w:t>(פ</w:t>
      </w:r>
      <w:r>
        <w:rPr>
          <w:rFonts w:hint="cs"/>
          <w:b/>
          <w:bCs/>
          <w:szCs w:val="16"/>
          <w:rtl/>
        </w:rPr>
        <w:t>"ב</w:t>
      </w:r>
      <w:r>
        <w:rPr>
          <w:b/>
          <w:bCs/>
          <w:szCs w:val="16"/>
          <w:rtl/>
        </w:rPr>
        <w:t xml:space="preserve">) </w:t>
      </w:r>
      <w:r>
        <w:rPr>
          <w:b/>
          <w:bCs/>
          <w:rtl/>
        </w:rPr>
        <w:t>י</w:t>
      </w:r>
      <w:r>
        <w:rPr>
          <w:rFonts w:hint="cs"/>
          <w:b/>
          <w:bCs/>
          <w:rtl/>
        </w:rPr>
        <w:t>ט</w:t>
      </w:r>
      <w:r>
        <w:rPr>
          <w:b/>
          <w:bCs/>
          <w:rtl/>
        </w:rPr>
        <w:t xml:space="preserve"> ע"</w:t>
      </w:r>
      <w:r>
        <w:rPr>
          <w:rFonts w:hint="cs"/>
          <w:b/>
          <w:bCs/>
          <w:rtl/>
        </w:rPr>
        <w:t>א</w:t>
      </w:r>
      <w:r>
        <w:rPr>
          <w:b/>
          <w:bCs/>
          <w:rtl/>
        </w:rPr>
        <w:t>:</w:t>
      </w:r>
      <w:r w:rsidRPr="00DC27AF">
        <w:rPr>
          <w:rtl/>
        </w:rPr>
        <w:t xml:space="preserve"> </w:t>
      </w:r>
      <w:r w:rsidRPr="00C11D53">
        <w:rPr>
          <w:rFonts w:cs="Arial"/>
          <w:u w:val="single"/>
          <w:rtl/>
        </w:rPr>
        <w:t>בעא מיניה ריש לקיש מר' יוחנן</w:t>
      </w:r>
      <w:r w:rsidRPr="00BC2F95">
        <w:rPr>
          <w:rFonts w:cs="Arial"/>
          <w:rtl/>
        </w:rPr>
        <w:t xml:space="preserve">: עדים שאין יודעים לחתום, מהו שיכתבו להם בסיקרא ויחתמו? כתב עליון כתב, או אינו כתב? </w:t>
      </w:r>
      <w:r w:rsidRPr="00C11D53">
        <w:rPr>
          <w:rFonts w:cs="Arial"/>
          <w:u w:val="single"/>
          <w:rtl/>
        </w:rPr>
        <w:t>א"ל</w:t>
      </w:r>
      <w:r w:rsidRPr="00BC2F95">
        <w:rPr>
          <w:rFonts w:cs="Arial"/>
          <w:rtl/>
        </w:rPr>
        <w:t xml:space="preserve">: אינו כתב. </w:t>
      </w:r>
      <w:r w:rsidRPr="00C11D53">
        <w:rPr>
          <w:rFonts w:cs="Arial"/>
          <w:u w:val="single"/>
          <w:rtl/>
        </w:rPr>
        <w:t>א"ל</w:t>
      </w:r>
      <w:r w:rsidRPr="00BC2F95">
        <w:rPr>
          <w:rFonts w:cs="Arial"/>
          <w:rtl/>
        </w:rPr>
        <w:t xml:space="preserve">: והלא לימדתנו רבינו, כתב עליון כתב לענין שבת! </w:t>
      </w:r>
      <w:r w:rsidRPr="00C11D53">
        <w:rPr>
          <w:rFonts w:cs="Arial"/>
          <w:u w:val="single"/>
          <w:rtl/>
        </w:rPr>
        <w:t>א"ל</w:t>
      </w:r>
      <w:r w:rsidRPr="00BC2F95">
        <w:rPr>
          <w:rFonts w:cs="Arial"/>
          <w:rtl/>
        </w:rPr>
        <w:t xml:space="preserve">: וכי מפני שאנו מדמין נעשה מעשה? איתמר: עדים שאין יודעים לחתום, </w:t>
      </w:r>
      <w:r w:rsidRPr="00C11D53">
        <w:rPr>
          <w:rFonts w:cs="Arial"/>
          <w:u w:val="single"/>
          <w:rtl/>
        </w:rPr>
        <w:t>רב אמר</w:t>
      </w:r>
      <w:r w:rsidRPr="00BC2F95">
        <w:rPr>
          <w:rFonts w:cs="Arial"/>
          <w:rtl/>
        </w:rPr>
        <w:t>: מקרעין</w:t>
      </w:r>
      <w:r>
        <w:rPr>
          <w:rStyle w:val="a7"/>
          <w:rFonts w:cs="Arial"/>
          <w:rtl/>
        </w:rPr>
        <w:footnoteReference w:id="1272"/>
      </w:r>
      <w:r w:rsidRPr="00BC2F95">
        <w:rPr>
          <w:rFonts w:cs="Arial"/>
          <w:rtl/>
        </w:rPr>
        <w:t xml:space="preserve"> להם נייר חלק וממלאים את הקרעים דיו</w:t>
      </w:r>
      <w:r>
        <w:rPr>
          <w:rFonts w:cs="Arial" w:hint="cs"/>
          <w:rtl/>
        </w:rPr>
        <w:t>.</w:t>
      </w:r>
      <w:r w:rsidRPr="00BC2F95">
        <w:rPr>
          <w:rFonts w:cs="Arial"/>
          <w:rtl/>
        </w:rPr>
        <w:t xml:space="preserve"> </w:t>
      </w:r>
      <w:r w:rsidRPr="00C11D53">
        <w:rPr>
          <w:rFonts w:cs="Arial"/>
          <w:u w:val="single"/>
          <w:rtl/>
        </w:rPr>
        <w:t>ושמואל אמר</w:t>
      </w:r>
      <w:r w:rsidRPr="00BC2F95">
        <w:rPr>
          <w:rFonts w:cs="Arial"/>
          <w:rtl/>
        </w:rPr>
        <w:t xml:space="preserve">: באבר. באבר סלקא דעתך? והתני רבי חייא: כתבו באבר, בשחור, ובשיחור </w:t>
      </w:r>
      <w:r w:rsidR="00A82951">
        <w:rPr>
          <w:rFonts w:cs="Arial"/>
          <w:rtl/>
        </w:rPr>
        <w:t>-</w:t>
      </w:r>
      <w:r w:rsidRPr="00BC2F95">
        <w:rPr>
          <w:rFonts w:cs="Arial"/>
          <w:rtl/>
        </w:rPr>
        <w:t xml:space="preserve"> כשר</w:t>
      </w:r>
      <w:r>
        <w:rPr>
          <w:rStyle w:val="a7"/>
          <w:rFonts w:cs="Arial"/>
          <w:rtl/>
        </w:rPr>
        <w:footnoteReference w:id="1273"/>
      </w:r>
      <w:r w:rsidRPr="00BC2F95">
        <w:rPr>
          <w:rFonts w:cs="Arial"/>
          <w:rtl/>
        </w:rPr>
        <w:t>! לא קשיא: הא באברא</w:t>
      </w:r>
      <w:r>
        <w:rPr>
          <w:rStyle w:val="a7"/>
          <w:rFonts w:cs="Arial"/>
          <w:rtl/>
        </w:rPr>
        <w:footnoteReference w:id="1274"/>
      </w:r>
      <w:r w:rsidRPr="00BC2F95">
        <w:rPr>
          <w:rFonts w:cs="Arial"/>
          <w:rtl/>
        </w:rPr>
        <w:t>, הא במיא דאברא</w:t>
      </w:r>
      <w:r>
        <w:rPr>
          <w:rStyle w:val="a7"/>
          <w:rFonts w:cs="Arial"/>
          <w:rtl/>
        </w:rPr>
        <w:footnoteReference w:id="1275"/>
      </w:r>
      <w:r w:rsidRPr="00BC2F95">
        <w:rPr>
          <w:rFonts w:cs="Arial"/>
          <w:rtl/>
        </w:rPr>
        <w:t xml:space="preserve">. </w:t>
      </w:r>
      <w:r w:rsidRPr="00C11D53">
        <w:rPr>
          <w:rFonts w:cs="Arial"/>
          <w:u w:val="single"/>
          <w:rtl/>
        </w:rPr>
        <w:t>רבי אבהו אמר</w:t>
      </w:r>
      <w:r w:rsidRPr="00BC2F95">
        <w:rPr>
          <w:rFonts w:cs="Arial"/>
          <w:rtl/>
        </w:rPr>
        <w:t>: במי מילין</w:t>
      </w:r>
      <w:r>
        <w:rPr>
          <w:rStyle w:val="a7"/>
          <w:rFonts w:cs="Arial"/>
          <w:rtl/>
        </w:rPr>
        <w:footnoteReference w:id="1276"/>
      </w:r>
      <w:r w:rsidRPr="00BC2F95">
        <w:rPr>
          <w:rFonts w:cs="Arial"/>
          <w:rtl/>
        </w:rPr>
        <w:t xml:space="preserve">. והתני רבי חנינא: כתבו במי טריא ואפצא </w:t>
      </w:r>
      <w:r w:rsidR="00A82951">
        <w:rPr>
          <w:rFonts w:cs="Arial"/>
          <w:rtl/>
        </w:rPr>
        <w:t>-</w:t>
      </w:r>
      <w:r w:rsidRPr="00BC2F95">
        <w:rPr>
          <w:rFonts w:cs="Arial"/>
          <w:rtl/>
        </w:rPr>
        <w:t xml:space="preserve"> כשר! ל"ק: הא דאפיץ</w:t>
      </w:r>
      <w:r>
        <w:rPr>
          <w:rStyle w:val="a7"/>
          <w:rFonts w:cs="Arial"/>
          <w:rtl/>
        </w:rPr>
        <w:footnoteReference w:id="1277"/>
      </w:r>
      <w:r w:rsidRPr="00BC2F95">
        <w:rPr>
          <w:rFonts w:cs="Arial"/>
          <w:rtl/>
        </w:rPr>
        <w:t xml:space="preserve">, הא דלא אפיץ, שאין מי מילין ע"ג מי מילין. </w:t>
      </w:r>
      <w:r w:rsidRPr="00C11D53">
        <w:rPr>
          <w:rFonts w:cs="Arial"/>
          <w:u w:val="single"/>
          <w:rtl/>
        </w:rPr>
        <w:t>רב פפא אמר</w:t>
      </w:r>
      <w:r w:rsidRPr="00BC2F95">
        <w:rPr>
          <w:rFonts w:cs="Arial"/>
          <w:rtl/>
        </w:rPr>
        <w:t xml:space="preserve">: ברוק. </w:t>
      </w:r>
      <w:r w:rsidRPr="00C11D53">
        <w:rPr>
          <w:rFonts w:cs="Arial"/>
          <w:u w:val="single"/>
          <w:rtl/>
        </w:rPr>
        <w:t xml:space="preserve">וכן אורי ליה רב פפא לפפא </w:t>
      </w:r>
      <w:r w:rsidRPr="00C11D53">
        <w:rPr>
          <w:rFonts w:cs="Arial"/>
          <w:u w:val="single"/>
          <w:rtl/>
        </w:rPr>
        <w:lastRenderedPageBreak/>
        <w:t>תוראה</w:t>
      </w:r>
      <w:r w:rsidRPr="00BC2F95">
        <w:rPr>
          <w:rFonts w:cs="Arial"/>
          <w:rtl/>
        </w:rPr>
        <w:t>: ברוק. וה"מ בגיטין</w:t>
      </w:r>
      <w:r>
        <w:rPr>
          <w:rStyle w:val="a7"/>
          <w:rFonts w:cs="Arial"/>
          <w:rtl/>
        </w:rPr>
        <w:footnoteReference w:id="1278"/>
      </w:r>
      <w:r w:rsidRPr="00BC2F95">
        <w:rPr>
          <w:rFonts w:cs="Arial"/>
          <w:rtl/>
        </w:rPr>
        <w:t>, אבל בשטרות לא, דההוא דעבד עובדא בשאר שטרות, ונגדיה רב כהנא.</w:t>
      </w:r>
      <w:r>
        <w:rPr>
          <w:rFonts w:hint="cs"/>
          <w:sz w:val="14"/>
          <w:szCs w:val="14"/>
          <w:rtl/>
        </w:rPr>
        <w:t xml:space="preserve"> (יט:)</w:t>
      </w:r>
      <w:r w:rsidRPr="00EA6998">
        <w:rPr>
          <w:rtl/>
        </w:rPr>
        <w:t xml:space="preserve"> </w:t>
      </w:r>
      <w:r w:rsidRPr="00EA6998">
        <w:rPr>
          <w:rFonts w:cs="Arial"/>
          <w:rtl/>
        </w:rPr>
        <w:t>תניא כוותיה דרב: עדים שאין יודעין לחתום, מקרעין להן נייר חלק וממלאים את הקרעים דיו</w:t>
      </w:r>
      <w:r>
        <w:rPr>
          <w:rFonts w:cs="Arial" w:hint="cs"/>
          <w:rtl/>
        </w:rPr>
        <w:t>..</w:t>
      </w:r>
      <w:r w:rsidRPr="00EA6998">
        <w:rPr>
          <w:rFonts w:cs="Arial"/>
          <w:rtl/>
        </w:rPr>
        <w:t>.</w:t>
      </w:r>
    </w:p>
    <w:p w14:paraId="757FF026" w14:textId="374B429F" w:rsidR="00FA2119" w:rsidRDefault="00FA2119" w:rsidP="00FA2119">
      <w:pPr>
        <w:rPr>
          <w:rFonts w:cs="Arial"/>
          <w:rtl/>
        </w:rPr>
      </w:pPr>
      <w:r>
        <w:rPr>
          <w:rFonts w:cs="Arial" w:hint="cs"/>
          <w:b/>
          <w:bCs/>
          <w:rtl/>
        </w:rPr>
        <w:t xml:space="preserve">ירושלמי </w:t>
      </w:r>
      <w:r w:rsidRPr="00013FF6">
        <w:rPr>
          <w:rFonts w:cs="Arial" w:hint="cs"/>
          <w:b/>
          <w:bCs/>
          <w:sz w:val="16"/>
          <w:szCs w:val="16"/>
          <w:rtl/>
        </w:rPr>
        <w:t xml:space="preserve">(וילנא) </w:t>
      </w:r>
      <w:r>
        <w:rPr>
          <w:rFonts w:cs="Arial" w:hint="cs"/>
          <w:b/>
          <w:bCs/>
          <w:rtl/>
        </w:rPr>
        <w:t xml:space="preserve">גיטין פ"ב ה"ג: </w:t>
      </w:r>
      <w:r w:rsidRPr="00013FF6">
        <w:rPr>
          <w:rFonts w:cs="Arial"/>
          <w:rtl/>
        </w:rPr>
        <w:t>עדים שאינן יודעין לחתום</w:t>
      </w:r>
      <w:r>
        <w:rPr>
          <w:rFonts w:cs="Arial" w:hint="cs"/>
          <w:rtl/>
        </w:rPr>
        <w:t>,</w:t>
      </w:r>
      <w:r w:rsidRPr="00013FF6">
        <w:rPr>
          <w:rFonts w:cs="Arial"/>
          <w:rtl/>
        </w:rPr>
        <w:t xml:space="preserve"> </w:t>
      </w:r>
      <w:r w:rsidRPr="00013FF6">
        <w:rPr>
          <w:rFonts w:cs="Arial"/>
          <w:u w:val="single"/>
          <w:rtl/>
        </w:rPr>
        <w:t>ר"ל אמר</w:t>
      </w:r>
      <w:r>
        <w:rPr>
          <w:rFonts w:cs="Arial" w:hint="cs"/>
          <w:rtl/>
        </w:rPr>
        <w:t>:</w:t>
      </w:r>
      <w:r w:rsidRPr="00013FF6">
        <w:rPr>
          <w:rFonts w:cs="Arial"/>
          <w:rtl/>
        </w:rPr>
        <w:t xml:space="preserve"> רושם לפניהן בדיו והן חותמין בסיקרא בסיקרא והן חותמין בדיו. </w:t>
      </w:r>
      <w:r w:rsidRPr="00013FF6">
        <w:rPr>
          <w:rFonts w:cs="Arial"/>
          <w:u w:val="single"/>
          <w:rtl/>
        </w:rPr>
        <w:t>א"ל ר' יוחנן</w:t>
      </w:r>
      <w:r>
        <w:rPr>
          <w:rFonts w:cs="Arial" w:hint="cs"/>
          <w:rtl/>
        </w:rPr>
        <w:t>:</w:t>
      </w:r>
      <w:r w:rsidRPr="00013FF6">
        <w:rPr>
          <w:rFonts w:cs="Arial"/>
          <w:rtl/>
        </w:rPr>
        <w:t xml:space="preserve"> מפני שאנן עוסקין בהילכות שבת אנו מתירין את אשת איש</w:t>
      </w:r>
      <w:r>
        <w:rPr>
          <w:rFonts w:cs="Arial" w:hint="cs"/>
          <w:rtl/>
        </w:rPr>
        <w:t>?</w:t>
      </w:r>
      <w:r w:rsidRPr="00013FF6">
        <w:rPr>
          <w:rFonts w:cs="Arial"/>
          <w:rtl/>
        </w:rPr>
        <w:t xml:space="preserve"> אלא מביא נייר חלק ומקרע לפניהן וחותמין. ולא כתב ידו של ראשון הוא</w:t>
      </w:r>
      <w:r>
        <w:rPr>
          <w:rFonts w:cs="Arial" w:hint="cs"/>
          <w:rtl/>
        </w:rPr>
        <w:t>?</w:t>
      </w:r>
      <w:r w:rsidRPr="00013FF6">
        <w:rPr>
          <w:rFonts w:cs="Arial"/>
          <w:rtl/>
        </w:rPr>
        <w:t xml:space="preserve"> אלא מרחיב לפניהן את הקרע. </w:t>
      </w:r>
      <w:r w:rsidRPr="004164A6">
        <w:rPr>
          <w:rFonts w:cs="Arial"/>
          <w:u w:val="single"/>
          <w:rtl/>
        </w:rPr>
        <w:t>ר' מנא בעי</w:t>
      </w:r>
      <w:r>
        <w:rPr>
          <w:rFonts w:cs="Arial" w:hint="cs"/>
          <w:rtl/>
        </w:rPr>
        <w:t>:</w:t>
      </w:r>
      <w:r w:rsidRPr="00013FF6">
        <w:rPr>
          <w:rFonts w:cs="Arial"/>
          <w:rtl/>
        </w:rPr>
        <w:t xml:space="preserve"> ולמה לינן</w:t>
      </w:r>
      <w:r>
        <w:rPr>
          <w:rStyle w:val="a7"/>
          <w:rFonts w:cs="Arial"/>
          <w:rtl/>
        </w:rPr>
        <w:footnoteReference w:id="1279"/>
      </w:r>
      <w:r w:rsidRPr="00013FF6">
        <w:rPr>
          <w:rFonts w:cs="Arial"/>
          <w:rtl/>
        </w:rPr>
        <w:t xml:space="preserve"> אמרין רושם לפניהן במים</w:t>
      </w:r>
      <w:r>
        <w:rPr>
          <w:rStyle w:val="a7"/>
          <w:rFonts w:cs="Arial"/>
          <w:rtl/>
        </w:rPr>
        <w:footnoteReference w:id="1280"/>
      </w:r>
      <w:r>
        <w:rPr>
          <w:rFonts w:cs="Arial" w:hint="cs"/>
          <w:rtl/>
        </w:rPr>
        <w:t>?</w:t>
      </w:r>
      <w:r w:rsidRPr="00013FF6">
        <w:rPr>
          <w:rFonts w:cs="Arial"/>
          <w:rtl/>
        </w:rPr>
        <w:t xml:space="preserve"> אם בא</w:t>
      </w:r>
      <w:r>
        <w:rPr>
          <w:rStyle w:val="a7"/>
          <w:rFonts w:cs="Arial"/>
          <w:rtl/>
        </w:rPr>
        <w:footnoteReference w:id="1281"/>
      </w:r>
      <w:r w:rsidRPr="00013FF6">
        <w:rPr>
          <w:rFonts w:cs="Arial"/>
          <w:rtl/>
        </w:rPr>
        <w:t xml:space="preserve"> ועירר עררו קיים</w:t>
      </w:r>
      <w:r>
        <w:rPr>
          <w:rStyle w:val="a7"/>
          <w:rFonts w:cs="Arial"/>
          <w:rtl/>
        </w:rPr>
        <w:footnoteReference w:id="1282"/>
      </w:r>
      <w:r w:rsidRPr="00013FF6">
        <w:rPr>
          <w:rFonts w:cs="Arial"/>
          <w:rtl/>
        </w:rPr>
        <w:t>. הקורע על העור כתבנית כתב</w:t>
      </w:r>
      <w:r>
        <w:rPr>
          <w:rFonts w:cs="Arial" w:hint="cs"/>
          <w:rtl/>
        </w:rPr>
        <w:t xml:space="preserve"> </w:t>
      </w:r>
      <w:r w:rsidR="00A82951">
        <w:rPr>
          <w:rFonts w:cs="Arial" w:hint="cs"/>
          <w:rtl/>
        </w:rPr>
        <w:t>-</w:t>
      </w:r>
      <w:r w:rsidRPr="00013FF6">
        <w:rPr>
          <w:rFonts w:cs="Arial"/>
          <w:rtl/>
        </w:rPr>
        <w:t xml:space="preserve"> כשר. הרושם על העור כתבני' כתב </w:t>
      </w:r>
      <w:r w:rsidR="00A82951">
        <w:rPr>
          <w:rFonts w:cs="Arial" w:hint="cs"/>
          <w:rtl/>
        </w:rPr>
        <w:t>-</w:t>
      </w:r>
      <w:r>
        <w:rPr>
          <w:rFonts w:cs="Arial" w:hint="cs"/>
          <w:rtl/>
        </w:rPr>
        <w:t xml:space="preserve"> </w:t>
      </w:r>
      <w:r w:rsidRPr="00013FF6">
        <w:rPr>
          <w:rFonts w:cs="Arial"/>
          <w:rtl/>
        </w:rPr>
        <w:t>פסול.</w:t>
      </w:r>
      <w:r>
        <w:rPr>
          <w:rFonts w:cs="Arial" w:hint="cs"/>
          <w:rtl/>
        </w:rPr>
        <w:t xml:space="preserve"> </w:t>
      </w:r>
    </w:p>
    <w:p w14:paraId="482CD5B8" w14:textId="77777777" w:rsidR="00FA2119" w:rsidRDefault="00FA2119" w:rsidP="00FA2119">
      <w:pPr>
        <w:rPr>
          <w:rFonts w:cs="Arial"/>
          <w:rtl/>
        </w:rPr>
      </w:pPr>
      <w:r w:rsidRPr="0085061F">
        <w:rPr>
          <w:rFonts w:cs="Arial" w:hint="cs"/>
          <w:u w:val="single"/>
          <w:rtl/>
        </w:rPr>
        <w:t>כיצד נפסק, כרב או כשמואל:</w:t>
      </w:r>
      <w:r>
        <w:rPr>
          <w:rFonts w:cs="Arial" w:hint="cs"/>
          <w:rtl/>
        </w:rPr>
        <w:t xml:space="preserve"> </w:t>
      </w:r>
    </w:p>
    <w:bookmarkEnd w:id="17"/>
    <w:p w14:paraId="7B0FCDAE" w14:textId="16EFD43D" w:rsidR="00FA2119" w:rsidRPr="006C74E1" w:rsidRDefault="00FA2119" w:rsidP="00FA2119">
      <w:pPr>
        <w:pStyle w:val="ab"/>
        <w:numPr>
          <w:ilvl w:val="0"/>
          <w:numId w:val="86"/>
        </w:numPr>
        <w:rPr>
          <w:rFonts w:cs="Arial"/>
        </w:rPr>
      </w:pPr>
      <w:r w:rsidRPr="00624B06">
        <w:rPr>
          <w:rFonts w:cs="Arial" w:hint="cs"/>
          <w:rtl/>
        </w:rPr>
        <w:t xml:space="preserve">רי"ף </w:t>
      </w:r>
      <w:r w:rsidRPr="00624B06">
        <w:rPr>
          <w:rFonts w:cs="Arial" w:hint="cs"/>
          <w:sz w:val="16"/>
          <w:szCs w:val="16"/>
          <w:rtl/>
        </w:rPr>
        <w:t>(ט.</w:t>
      </w:r>
      <w:r>
        <w:rPr>
          <w:rFonts w:cs="Arial" w:hint="cs"/>
          <w:sz w:val="16"/>
          <w:szCs w:val="16"/>
          <w:rtl/>
        </w:rPr>
        <w:t>, כ"כ הב"י בשמו</w:t>
      </w:r>
      <w:r w:rsidRPr="00624B06">
        <w:rPr>
          <w:rFonts w:cs="Arial" w:hint="cs"/>
          <w:sz w:val="16"/>
          <w:szCs w:val="16"/>
          <w:rtl/>
        </w:rPr>
        <w:t>)</w:t>
      </w:r>
      <w:r w:rsidR="00A82951">
        <w:rPr>
          <w:rFonts w:cs="Arial" w:hint="cs"/>
          <w:rtl/>
        </w:rPr>
        <w:t>-</w:t>
      </w:r>
      <w:r w:rsidRPr="00624B06">
        <w:rPr>
          <w:rFonts w:cs="Arial" w:hint="cs"/>
          <w:rtl/>
        </w:rPr>
        <w:t xml:space="preserve"> </w:t>
      </w:r>
      <w:r w:rsidRPr="00624B06">
        <w:rPr>
          <w:rFonts w:cs="Arial"/>
          <w:rtl/>
        </w:rPr>
        <w:t>דוקא במקרעים מכשירים</w:t>
      </w:r>
      <w:r w:rsidR="00DE6A0E">
        <w:rPr>
          <w:rFonts w:cs="Arial" w:hint="cs"/>
          <w:rtl/>
        </w:rPr>
        <w:t>,</w:t>
      </w:r>
      <w:r w:rsidRPr="00624B06">
        <w:rPr>
          <w:rFonts w:cs="Arial"/>
          <w:rtl/>
        </w:rPr>
        <w:t xml:space="preserve"> אבל לא לרשום בשום דבר</w:t>
      </w:r>
      <w:r>
        <w:rPr>
          <w:rFonts w:cs="Arial" w:hint="cs"/>
          <w:rtl/>
        </w:rPr>
        <w:t>, כרב</w:t>
      </w:r>
      <w:r w:rsidRPr="00624B06">
        <w:rPr>
          <w:rFonts w:cs="Arial" w:hint="cs"/>
          <w:rtl/>
        </w:rPr>
        <w:t>.</w:t>
      </w:r>
      <w:r w:rsidRPr="00624B06">
        <w:rPr>
          <w:rFonts w:cs="Arial"/>
          <w:rtl/>
        </w:rPr>
        <w:t xml:space="preserve"> </w:t>
      </w:r>
    </w:p>
    <w:p w14:paraId="2852843F" w14:textId="3BF97BBF" w:rsidR="00FA2119" w:rsidRDefault="00FA2119" w:rsidP="00FA2119">
      <w:pPr>
        <w:pStyle w:val="ab"/>
        <w:numPr>
          <w:ilvl w:val="0"/>
          <w:numId w:val="86"/>
        </w:numPr>
        <w:rPr>
          <w:rFonts w:cs="Arial"/>
        </w:rPr>
      </w:pPr>
      <w:r w:rsidRPr="00624B06">
        <w:rPr>
          <w:rFonts w:cs="Arial"/>
          <w:rtl/>
        </w:rPr>
        <w:t xml:space="preserve">רמב"ם </w:t>
      </w:r>
      <w:r w:rsidRPr="006C74E1">
        <w:rPr>
          <w:rFonts w:cs="Arial" w:hint="cs"/>
          <w:sz w:val="16"/>
          <w:szCs w:val="16"/>
          <w:rtl/>
        </w:rPr>
        <w:t>(</w:t>
      </w:r>
      <w:r w:rsidRPr="006C74E1">
        <w:rPr>
          <w:rFonts w:cs="Arial"/>
          <w:sz w:val="16"/>
          <w:szCs w:val="16"/>
          <w:rtl/>
        </w:rPr>
        <w:t>פ</w:t>
      </w:r>
      <w:r w:rsidRPr="006C74E1">
        <w:rPr>
          <w:rFonts w:cs="Arial" w:hint="cs"/>
          <w:sz w:val="16"/>
          <w:szCs w:val="16"/>
          <w:rtl/>
        </w:rPr>
        <w:t>"</w:t>
      </w:r>
      <w:r w:rsidRPr="006C74E1">
        <w:rPr>
          <w:rFonts w:cs="Arial"/>
          <w:sz w:val="16"/>
          <w:szCs w:val="16"/>
          <w:rtl/>
        </w:rPr>
        <w:t>א הכ"ג)</w:t>
      </w:r>
      <w:r>
        <w:rPr>
          <w:rFonts w:cs="Arial" w:hint="cs"/>
          <w:sz w:val="16"/>
          <w:szCs w:val="16"/>
          <w:rtl/>
        </w:rPr>
        <w:t xml:space="preserve"> </w:t>
      </w:r>
      <w:r w:rsidRPr="00624B06">
        <w:rPr>
          <w:rFonts w:cs="Arial"/>
          <w:rtl/>
        </w:rPr>
        <w:t xml:space="preserve">רא"ש </w:t>
      </w:r>
      <w:r w:rsidRPr="006C74E1">
        <w:rPr>
          <w:rFonts w:cs="Arial"/>
          <w:sz w:val="16"/>
          <w:szCs w:val="16"/>
          <w:rtl/>
        </w:rPr>
        <w:t xml:space="preserve">(סי' יא) </w:t>
      </w:r>
      <w:r>
        <w:rPr>
          <w:rFonts w:cs="Arial" w:hint="cs"/>
          <w:rtl/>
        </w:rPr>
        <w:t>טור ו</w:t>
      </w:r>
      <w:r w:rsidRPr="00624B06">
        <w:rPr>
          <w:rFonts w:cs="Arial"/>
          <w:rtl/>
        </w:rPr>
        <w:t>רי</w:t>
      </w:r>
      <w:r w:rsidRPr="00624B06">
        <w:rPr>
          <w:rFonts w:cs="Arial" w:hint="cs"/>
          <w:rtl/>
        </w:rPr>
        <w:t>"</w:t>
      </w:r>
      <w:r w:rsidRPr="00624B06">
        <w:rPr>
          <w:rFonts w:cs="Arial"/>
          <w:rtl/>
        </w:rPr>
        <w:t xml:space="preserve">ו </w:t>
      </w:r>
      <w:r w:rsidRPr="006C74E1">
        <w:rPr>
          <w:rFonts w:cs="Arial" w:hint="cs"/>
          <w:sz w:val="16"/>
          <w:szCs w:val="16"/>
          <w:rtl/>
        </w:rPr>
        <w:t>(</w:t>
      </w:r>
      <w:r w:rsidRPr="006C74E1">
        <w:rPr>
          <w:rFonts w:cs="Arial"/>
          <w:sz w:val="16"/>
          <w:szCs w:val="16"/>
          <w:rtl/>
        </w:rPr>
        <w:t>ח</w:t>
      </w:r>
      <w:r w:rsidRPr="006C74E1">
        <w:rPr>
          <w:rFonts w:cs="Arial" w:hint="cs"/>
          <w:sz w:val="16"/>
          <w:szCs w:val="16"/>
          <w:rtl/>
        </w:rPr>
        <w:t>"</w:t>
      </w:r>
      <w:r w:rsidRPr="006C74E1">
        <w:rPr>
          <w:rFonts w:cs="Arial"/>
          <w:sz w:val="16"/>
          <w:szCs w:val="16"/>
          <w:rtl/>
        </w:rPr>
        <w:t>ב נכ"ד רג ע"ד)</w:t>
      </w:r>
      <w:r w:rsidR="00A82951">
        <w:rPr>
          <w:rFonts w:cs="Arial" w:hint="cs"/>
          <w:rtl/>
        </w:rPr>
        <w:t>-</w:t>
      </w:r>
      <w:r>
        <w:rPr>
          <w:rFonts w:cs="Arial" w:hint="cs"/>
          <w:rtl/>
        </w:rPr>
        <w:t xml:space="preserve"> רושמים להם בדבר שאין רישומו ניכר</w:t>
      </w:r>
      <w:r>
        <w:rPr>
          <w:rStyle w:val="a7"/>
          <w:rFonts w:cs="Arial"/>
          <w:rtl/>
        </w:rPr>
        <w:footnoteReference w:id="1283"/>
      </w:r>
      <w:r>
        <w:rPr>
          <w:rFonts w:cs="Arial" w:hint="cs"/>
          <w:rtl/>
        </w:rPr>
        <w:t xml:space="preserve">. </w:t>
      </w:r>
      <w:r w:rsidRPr="00555D65">
        <w:rPr>
          <w:rFonts w:cs="Arial" w:hint="cs"/>
          <w:color w:val="E36C0A" w:themeColor="accent6" w:themeShade="BF"/>
          <w:rtl/>
        </w:rPr>
        <w:t>(וכ"פ בשו"ע)</w:t>
      </w:r>
    </w:p>
    <w:p w14:paraId="00A83E6E" w14:textId="5F9E75F5" w:rsidR="00FA2119" w:rsidRPr="00624B06" w:rsidRDefault="00FA2119" w:rsidP="00FA2119">
      <w:pPr>
        <w:pStyle w:val="ab"/>
        <w:numPr>
          <w:ilvl w:val="0"/>
          <w:numId w:val="86"/>
        </w:numPr>
        <w:rPr>
          <w:rFonts w:cs="Arial"/>
          <w:rtl/>
        </w:rPr>
      </w:pPr>
      <w:r w:rsidRPr="00624B06">
        <w:rPr>
          <w:rFonts w:cs="Arial"/>
          <w:rtl/>
        </w:rPr>
        <w:t>רמ"ה</w:t>
      </w:r>
      <w:r w:rsidR="00A82951">
        <w:rPr>
          <w:rFonts w:cs="Arial" w:hint="cs"/>
          <w:rtl/>
        </w:rPr>
        <w:t>-</w:t>
      </w:r>
      <w:r w:rsidRPr="00624B06">
        <w:rPr>
          <w:rFonts w:cs="Arial"/>
          <w:rtl/>
        </w:rPr>
        <w:t xml:space="preserve"> </w:t>
      </w:r>
      <w:r>
        <w:rPr>
          <w:rFonts w:cs="Arial"/>
          <w:rtl/>
        </w:rPr>
        <w:t>לא שריא לכתחילה אלא לקרוע להם נייר חלק</w:t>
      </w:r>
      <w:r>
        <w:rPr>
          <w:rFonts w:cs="Arial" w:hint="cs"/>
          <w:rtl/>
        </w:rPr>
        <w:t>,</w:t>
      </w:r>
      <w:r>
        <w:rPr>
          <w:rFonts w:cs="Arial"/>
          <w:rtl/>
        </w:rPr>
        <w:t xml:space="preserve"> אבל לצייר להם אפי' ברוק</w:t>
      </w:r>
      <w:r w:rsidRPr="00624B06">
        <w:rPr>
          <w:rFonts w:cs="Arial"/>
          <w:rtl/>
        </w:rPr>
        <w:t xml:space="preserve"> </w:t>
      </w:r>
      <w:r w:rsidR="00A82951">
        <w:rPr>
          <w:rFonts w:cs="Arial"/>
          <w:rtl/>
        </w:rPr>
        <w:t>-</w:t>
      </w:r>
      <w:r>
        <w:rPr>
          <w:rFonts w:cs="Arial" w:hint="cs"/>
          <w:rtl/>
        </w:rPr>
        <w:t xml:space="preserve"> שרי רק בדיעבד</w:t>
      </w:r>
      <w:r>
        <w:rPr>
          <w:rStyle w:val="a7"/>
          <w:rFonts w:cs="Arial"/>
          <w:rtl/>
        </w:rPr>
        <w:footnoteReference w:id="1284"/>
      </w:r>
      <w:r>
        <w:rPr>
          <w:rFonts w:cs="Arial" w:hint="cs"/>
          <w:rtl/>
        </w:rPr>
        <w:t>.</w:t>
      </w:r>
      <w:r w:rsidRPr="00624B06">
        <w:rPr>
          <w:rFonts w:cs="Arial"/>
          <w:rtl/>
        </w:rPr>
        <w:t xml:space="preserve"> </w:t>
      </w:r>
      <w:r w:rsidRPr="001C2ACE">
        <w:rPr>
          <w:rFonts w:cs="Arial" w:hint="cs"/>
          <w:color w:val="00B0F0"/>
          <w:rtl/>
        </w:rPr>
        <w:t>(וכ"</w:t>
      </w:r>
      <w:r>
        <w:rPr>
          <w:rFonts w:cs="Arial" w:hint="cs"/>
          <w:color w:val="00B0F0"/>
          <w:rtl/>
        </w:rPr>
        <w:t>כ</w:t>
      </w:r>
      <w:r w:rsidRPr="001C2ACE">
        <w:rPr>
          <w:rFonts w:cs="Arial" w:hint="cs"/>
          <w:color w:val="00B0F0"/>
          <w:rtl/>
        </w:rPr>
        <w:t xml:space="preserve"> הרמ"א)</w:t>
      </w:r>
    </w:p>
    <w:p w14:paraId="516FB7C2" w14:textId="6BC8D915" w:rsidR="00FA2119" w:rsidRPr="00B23A59" w:rsidRDefault="00FA2119" w:rsidP="00FA2119">
      <w:pPr>
        <w:rPr>
          <w:u w:val="single"/>
        </w:rPr>
      </w:pPr>
      <w:r>
        <w:rPr>
          <w:rFonts w:hint="cs"/>
          <w:u w:val="single"/>
          <w:rtl/>
        </w:rPr>
        <w:t xml:space="preserve">למעשה </w:t>
      </w:r>
      <w:r w:rsidR="00A82951">
        <w:rPr>
          <w:rFonts w:hint="cs"/>
          <w:u w:val="single"/>
          <w:rtl/>
        </w:rPr>
        <w:t>-</w:t>
      </w:r>
      <w:r>
        <w:rPr>
          <w:rFonts w:hint="cs"/>
          <w:u w:val="single"/>
          <w:rtl/>
        </w:rPr>
        <w:t xml:space="preserve"> </w:t>
      </w:r>
      <w:r w:rsidRPr="00B23A59">
        <w:rPr>
          <w:rFonts w:hint="cs"/>
          <w:u w:val="single"/>
          <w:rtl/>
        </w:rPr>
        <w:t>עד שאינו יודע ל</w:t>
      </w:r>
      <w:r>
        <w:rPr>
          <w:rFonts w:hint="cs"/>
          <w:u w:val="single"/>
          <w:rtl/>
        </w:rPr>
        <w:t>חתום</w:t>
      </w:r>
      <w:r w:rsidRPr="00B23A59">
        <w:rPr>
          <w:rFonts w:hint="cs"/>
          <w:u w:val="single"/>
          <w:rtl/>
        </w:rPr>
        <w:t>:</w:t>
      </w:r>
    </w:p>
    <w:p w14:paraId="45E9775A" w14:textId="40082AE9" w:rsidR="00FA2119" w:rsidRPr="00C43069" w:rsidRDefault="00FA2119" w:rsidP="00FA2119">
      <w:pPr>
        <w:pStyle w:val="ab"/>
        <w:numPr>
          <w:ilvl w:val="0"/>
          <w:numId w:val="80"/>
        </w:numPr>
      </w:pPr>
      <w:r>
        <w:rPr>
          <w:rFonts w:cs="Arial" w:hint="cs"/>
          <w:rtl/>
        </w:rPr>
        <w:t xml:space="preserve">רא"ש </w:t>
      </w:r>
      <w:r>
        <w:rPr>
          <w:rFonts w:cs="Arial" w:hint="cs"/>
          <w:sz w:val="16"/>
          <w:szCs w:val="16"/>
          <w:rtl/>
        </w:rPr>
        <w:t>(כ"כ הטור בשמו [ברמזים</w:t>
      </w:r>
      <w:r w:rsidR="001F6DBF">
        <w:rPr>
          <w:rFonts w:cs="Arial" w:hint="cs"/>
          <w:sz w:val="16"/>
          <w:szCs w:val="16"/>
          <w:rtl/>
        </w:rPr>
        <w:t xml:space="preserve"> פ"ב סי' יב</w:t>
      </w:r>
      <w:r>
        <w:rPr>
          <w:rFonts w:cs="Arial" w:hint="cs"/>
          <w:sz w:val="16"/>
          <w:szCs w:val="16"/>
          <w:rtl/>
        </w:rPr>
        <w:t>])</w:t>
      </w:r>
      <w:r>
        <w:rPr>
          <w:rFonts w:cs="Arial" w:hint="cs"/>
          <w:rtl/>
        </w:rPr>
        <w:t xml:space="preserve"> וטור</w:t>
      </w:r>
      <w:r w:rsidR="00A82951">
        <w:rPr>
          <w:rFonts w:cs="Arial" w:hint="cs"/>
          <w:rtl/>
        </w:rPr>
        <w:t>-</w:t>
      </w:r>
      <w:r>
        <w:rPr>
          <w:rFonts w:cs="Arial" w:hint="cs"/>
          <w:rtl/>
        </w:rPr>
        <w:t xml:space="preserve"> </w:t>
      </w:r>
      <w:r>
        <w:rPr>
          <w:rFonts w:cs="Arial"/>
          <w:rtl/>
        </w:rPr>
        <w:t>אם אין העדים יודעים לחתום</w:t>
      </w:r>
      <w:r w:rsidR="00A56F7A">
        <w:rPr>
          <w:rFonts w:cs="Arial" w:hint="cs"/>
          <w:rtl/>
        </w:rPr>
        <w:t>,</w:t>
      </w:r>
      <w:r>
        <w:rPr>
          <w:rFonts w:cs="Arial" w:hint="cs"/>
          <w:rtl/>
        </w:rPr>
        <w:t xml:space="preserve"> </w:t>
      </w:r>
      <w:r>
        <w:rPr>
          <w:rFonts w:cs="Arial"/>
          <w:rtl/>
        </w:rPr>
        <w:t>רושמין להם צורת האותיות על הגט באבר או בדבר אחר שאין רישומו ניכר שפסול לכתוב בו</w:t>
      </w:r>
      <w:r>
        <w:rPr>
          <w:rFonts w:cs="Arial" w:hint="cs"/>
          <w:rtl/>
        </w:rPr>
        <w:t>,</w:t>
      </w:r>
      <w:r>
        <w:rPr>
          <w:rFonts w:cs="Arial"/>
          <w:rtl/>
        </w:rPr>
        <w:t xml:space="preserve"> והם ממלאים אותו בדיו</w:t>
      </w:r>
      <w:r>
        <w:rPr>
          <w:rStyle w:val="a7"/>
          <w:rFonts w:cs="Arial"/>
          <w:rtl/>
        </w:rPr>
        <w:footnoteReference w:id="1285"/>
      </w:r>
      <w:r>
        <w:rPr>
          <w:rFonts w:cs="Arial" w:hint="cs"/>
          <w:rtl/>
        </w:rPr>
        <w:t>.</w:t>
      </w:r>
      <w:r>
        <w:rPr>
          <w:rFonts w:cs="Arial"/>
          <w:rtl/>
        </w:rPr>
        <w:t xml:space="preserve"> אבל אין רושמין להם בדבר שכשר לכתוב</w:t>
      </w:r>
      <w:r>
        <w:rPr>
          <w:rFonts w:cs="Arial" w:hint="cs"/>
          <w:rtl/>
        </w:rPr>
        <w:t>,</w:t>
      </w:r>
      <w:r>
        <w:rPr>
          <w:rFonts w:cs="Arial"/>
          <w:rtl/>
        </w:rPr>
        <w:t xml:space="preserve"> שא"כ כתב העליון אינו כלום</w:t>
      </w:r>
      <w:r>
        <w:rPr>
          <w:rFonts w:cs="Arial" w:hint="cs"/>
          <w:rtl/>
        </w:rPr>
        <w:t>.</w:t>
      </w:r>
      <w:r>
        <w:rPr>
          <w:rFonts w:cs="Arial"/>
          <w:rtl/>
        </w:rPr>
        <w:t xml:space="preserve"> </w:t>
      </w:r>
      <w:r w:rsidRPr="00905622">
        <w:rPr>
          <w:rFonts w:cs="Arial"/>
          <w:rtl/>
        </w:rPr>
        <w:t>ולא הקילו לעשות כן אלא בגיטי נשים</w:t>
      </w:r>
      <w:r w:rsidRPr="00905622">
        <w:rPr>
          <w:rFonts w:cs="Arial" w:hint="cs"/>
          <w:rtl/>
        </w:rPr>
        <w:t>,</w:t>
      </w:r>
      <w:r w:rsidRPr="00905622">
        <w:rPr>
          <w:rFonts w:cs="Arial"/>
          <w:rtl/>
        </w:rPr>
        <w:t xml:space="preserve"> אבל בשאר שטרות דיין המחתים אותם בכה</w:t>
      </w:r>
      <w:r w:rsidRPr="00905622">
        <w:rPr>
          <w:rFonts w:cs="Arial" w:hint="cs"/>
          <w:rtl/>
        </w:rPr>
        <w:t>"</w:t>
      </w:r>
      <w:r w:rsidRPr="00905622">
        <w:rPr>
          <w:rFonts w:cs="Arial"/>
          <w:rtl/>
        </w:rPr>
        <w:t>ג מנגדינן ליה והשטר כשר</w:t>
      </w:r>
      <w:r>
        <w:rPr>
          <w:rStyle w:val="a7"/>
          <w:rFonts w:cs="Arial"/>
          <w:rtl/>
        </w:rPr>
        <w:footnoteReference w:id="1286"/>
      </w:r>
      <w:r>
        <w:rPr>
          <w:rFonts w:cs="Arial" w:hint="cs"/>
          <w:sz w:val="16"/>
          <w:szCs w:val="16"/>
          <w:rtl/>
        </w:rPr>
        <w:t xml:space="preserve"> (ל' הטור)</w:t>
      </w:r>
      <w:r w:rsidRPr="00905622">
        <w:rPr>
          <w:rFonts w:cs="Arial" w:hint="cs"/>
          <w:rtl/>
        </w:rPr>
        <w:t>.</w:t>
      </w:r>
      <w:r w:rsidRPr="00905622">
        <w:rPr>
          <w:rFonts w:cs="Arial"/>
          <w:rtl/>
        </w:rPr>
        <w:t xml:space="preserve"> </w:t>
      </w:r>
    </w:p>
    <w:p w14:paraId="28948FE3" w14:textId="14705447" w:rsidR="00FA2119" w:rsidRDefault="00FA2119" w:rsidP="00FA2119">
      <w:pPr>
        <w:pStyle w:val="ab"/>
        <w:numPr>
          <w:ilvl w:val="0"/>
          <w:numId w:val="80"/>
        </w:numPr>
      </w:pPr>
      <w:r>
        <w:rPr>
          <w:rFonts w:cs="Arial"/>
          <w:rtl/>
        </w:rPr>
        <w:t>רמ"ה</w:t>
      </w:r>
      <w:r>
        <w:rPr>
          <w:rFonts w:cs="Arial" w:hint="cs"/>
          <w:sz w:val="16"/>
          <w:szCs w:val="16"/>
          <w:rtl/>
        </w:rPr>
        <w:t xml:space="preserve"> (כ"כ הטור בשמו)</w:t>
      </w:r>
      <w:r w:rsidR="00A82951">
        <w:rPr>
          <w:rFonts w:cs="Arial" w:hint="cs"/>
          <w:rtl/>
        </w:rPr>
        <w:t>-</w:t>
      </w:r>
      <w:r>
        <w:rPr>
          <w:rFonts w:cs="Arial" w:hint="cs"/>
          <w:rtl/>
        </w:rPr>
        <w:t xml:space="preserve"> </w:t>
      </w:r>
      <w:r>
        <w:rPr>
          <w:rFonts w:cs="Arial"/>
          <w:rtl/>
        </w:rPr>
        <w:t>אפי' בגט לא שריא לכתחילה אלא לקרוע להם נייר חלק</w:t>
      </w:r>
      <w:r>
        <w:rPr>
          <w:rFonts w:cs="Arial" w:hint="cs"/>
          <w:rtl/>
        </w:rPr>
        <w:t>,</w:t>
      </w:r>
      <w:r>
        <w:rPr>
          <w:rFonts w:cs="Arial"/>
          <w:rtl/>
        </w:rPr>
        <w:t xml:space="preserve"> אבל לצייר להם אפי' ברוק </w:t>
      </w:r>
      <w:r w:rsidR="00A82951">
        <w:rPr>
          <w:rFonts w:cs="Arial" w:hint="cs"/>
          <w:rtl/>
        </w:rPr>
        <w:t>-</w:t>
      </w:r>
      <w:r>
        <w:rPr>
          <w:rFonts w:cs="Arial" w:hint="cs"/>
          <w:rtl/>
        </w:rPr>
        <w:t xml:space="preserve"> </w:t>
      </w:r>
      <w:r>
        <w:rPr>
          <w:rFonts w:cs="Arial"/>
          <w:rtl/>
        </w:rPr>
        <w:t>לא</w:t>
      </w:r>
      <w:r>
        <w:rPr>
          <w:rFonts w:cs="Arial" w:hint="cs"/>
          <w:rtl/>
        </w:rPr>
        <w:t>,</w:t>
      </w:r>
      <w:r>
        <w:rPr>
          <w:rFonts w:cs="Arial"/>
          <w:rtl/>
        </w:rPr>
        <w:t xml:space="preserve"> וכ"ש באבר או במי מילין אפי' על גבי מי מילין דלא</w:t>
      </w:r>
      <w:r>
        <w:rPr>
          <w:rFonts w:cs="Arial" w:hint="cs"/>
          <w:rtl/>
        </w:rPr>
        <w:t>,</w:t>
      </w:r>
      <w:r>
        <w:rPr>
          <w:rFonts w:cs="Arial"/>
          <w:rtl/>
        </w:rPr>
        <w:t xml:space="preserve"> דכיון שרישומו ניכר לפי שעה גזרינן אטו סיקרא וכיוצא בו</w:t>
      </w:r>
      <w:r>
        <w:rPr>
          <w:rFonts w:cs="Arial" w:hint="cs"/>
          <w:rtl/>
        </w:rPr>
        <w:t>.</w:t>
      </w:r>
      <w:r>
        <w:rPr>
          <w:rFonts w:cs="Arial"/>
          <w:rtl/>
        </w:rPr>
        <w:t xml:space="preserve"> ודוקא לכתחלה</w:t>
      </w:r>
      <w:r>
        <w:rPr>
          <w:rFonts w:cs="Arial" w:hint="cs"/>
          <w:rtl/>
        </w:rPr>
        <w:t>,</w:t>
      </w:r>
      <w:r>
        <w:rPr>
          <w:rFonts w:cs="Arial"/>
          <w:rtl/>
        </w:rPr>
        <w:t xml:space="preserve"> אבל בדיעבד שציירו להם ברוק או באבר או במי מילין </w:t>
      </w:r>
      <w:r w:rsidR="00A82951">
        <w:rPr>
          <w:rFonts w:cs="Arial" w:hint="cs"/>
          <w:rtl/>
        </w:rPr>
        <w:t>-</w:t>
      </w:r>
      <w:r>
        <w:rPr>
          <w:rFonts w:cs="Arial" w:hint="cs"/>
          <w:rtl/>
        </w:rPr>
        <w:t xml:space="preserve"> </w:t>
      </w:r>
      <w:r>
        <w:rPr>
          <w:rFonts w:cs="Arial"/>
          <w:rtl/>
        </w:rPr>
        <w:t>כשר ותתגרש בו לכתחילה</w:t>
      </w:r>
      <w:r>
        <w:rPr>
          <w:rFonts w:cs="Arial" w:hint="cs"/>
          <w:rtl/>
        </w:rPr>
        <w:t>.</w:t>
      </w:r>
      <w:r>
        <w:rPr>
          <w:rFonts w:cs="Arial"/>
          <w:rtl/>
        </w:rPr>
        <w:t xml:space="preserve"> אבל ציירו להם במיא דאברא או בעפצא על גבי מגילתא דלא עפיצא וכל כיוצא בזה שהתחתון כתב וחתמו עליו אע</w:t>
      </w:r>
      <w:r>
        <w:rPr>
          <w:rFonts w:cs="Arial" w:hint="cs"/>
          <w:rtl/>
        </w:rPr>
        <w:t>"</w:t>
      </w:r>
      <w:r>
        <w:rPr>
          <w:rFonts w:cs="Arial"/>
          <w:rtl/>
        </w:rPr>
        <w:t xml:space="preserve">פ שהעליון ניכר יותר </w:t>
      </w:r>
      <w:r w:rsidR="00A82951">
        <w:rPr>
          <w:rFonts w:cs="Arial" w:hint="cs"/>
          <w:rtl/>
        </w:rPr>
        <w:t>-</w:t>
      </w:r>
      <w:r>
        <w:rPr>
          <w:rFonts w:cs="Arial" w:hint="cs"/>
          <w:rtl/>
        </w:rPr>
        <w:t xml:space="preserve"> </w:t>
      </w:r>
      <w:r>
        <w:rPr>
          <w:rFonts w:cs="Arial"/>
          <w:rtl/>
        </w:rPr>
        <w:t>אינו גט</w:t>
      </w:r>
      <w:r>
        <w:rPr>
          <w:rStyle w:val="a7"/>
          <w:rFonts w:cs="Arial"/>
          <w:rtl/>
        </w:rPr>
        <w:footnoteReference w:id="1287"/>
      </w:r>
      <w:r w:rsidR="00A56F7A">
        <w:rPr>
          <w:rFonts w:cs="Arial" w:hint="cs"/>
          <w:rtl/>
        </w:rPr>
        <w:t>,</w:t>
      </w:r>
      <w:r>
        <w:rPr>
          <w:rFonts w:cs="Arial"/>
          <w:rtl/>
        </w:rPr>
        <w:t xml:space="preserve"> ואם נתגרשה בו פסולה לכהונה</w:t>
      </w:r>
      <w:r>
        <w:rPr>
          <w:rFonts w:cs="Arial" w:hint="cs"/>
          <w:sz w:val="16"/>
          <w:szCs w:val="16"/>
          <w:rtl/>
        </w:rPr>
        <w:t xml:space="preserve"> (ל' הטור בשמו)</w:t>
      </w:r>
      <w:r>
        <w:rPr>
          <w:rFonts w:cs="Arial" w:hint="cs"/>
          <w:rtl/>
        </w:rPr>
        <w:t>.</w:t>
      </w:r>
      <w:r>
        <w:rPr>
          <w:rFonts w:cs="Arial"/>
          <w:rtl/>
        </w:rPr>
        <w:t xml:space="preserve"> </w:t>
      </w:r>
      <w:r w:rsidRPr="001C2ACE">
        <w:rPr>
          <w:rFonts w:cs="Arial" w:hint="cs"/>
          <w:color w:val="00B0F0"/>
          <w:rtl/>
        </w:rPr>
        <w:t>(וכ"</w:t>
      </w:r>
      <w:r>
        <w:rPr>
          <w:rFonts w:cs="Arial" w:hint="cs"/>
          <w:color w:val="00B0F0"/>
          <w:rtl/>
        </w:rPr>
        <w:t>כ</w:t>
      </w:r>
      <w:r w:rsidRPr="001C2ACE">
        <w:rPr>
          <w:rFonts w:cs="Arial" w:hint="cs"/>
          <w:color w:val="00B0F0"/>
          <w:rtl/>
        </w:rPr>
        <w:t xml:space="preserve"> הרמ"א)</w:t>
      </w:r>
    </w:p>
    <w:p w14:paraId="6660C949" w14:textId="5691306D" w:rsidR="00FA2119" w:rsidRPr="00574D14" w:rsidRDefault="00FA2119" w:rsidP="00FA2119">
      <w:pPr>
        <w:pStyle w:val="ab"/>
        <w:numPr>
          <w:ilvl w:val="0"/>
          <w:numId w:val="80"/>
        </w:numPr>
      </w:pPr>
      <w:r>
        <w:rPr>
          <w:rFonts w:cs="Arial" w:hint="cs"/>
          <w:rtl/>
        </w:rPr>
        <w:t xml:space="preserve">רמב"ם </w:t>
      </w:r>
      <w:r>
        <w:rPr>
          <w:rFonts w:cs="Arial" w:hint="cs"/>
          <w:sz w:val="16"/>
          <w:szCs w:val="16"/>
          <w:rtl/>
        </w:rPr>
        <w:t>(פ"א הכ"ג)</w:t>
      </w:r>
      <w:r w:rsidR="00A82951">
        <w:rPr>
          <w:rFonts w:cs="Arial" w:hint="cs"/>
          <w:rtl/>
        </w:rPr>
        <w:t>-</w:t>
      </w:r>
      <w:r>
        <w:rPr>
          <w:rFonts w:cs="Arial" w:hint="cs"/>
          <w:rtl/>
        </w:rPr>
        <w:t xml:space="preserve"> </w:t>
      </w:r>
      <w:r w:rsidRPr="00905622">
        <w:rPr>
          <w:rFonts w:cs="Arial"/>
          <w:rtl/>
        </w:rPr>
        <w:t xml:space="preserve">ואם אינם יודעים לחתום </w:t>
      </w:r>
      <w:r w:rsidR="00A82951">
        <w:rPr>
          <w:rFonts w:cs="Arial" w:hint="cs"/>
          <w:rtl/>
        </w:rPr>
        <w:t>-</w:t>
      </w:r>
      <w:r>
        <w:rPr>
          <w:rFonts w:cs="Arial" w:hint="cs"/>
          <w:rtl/>
        </w:rPr>
        <w:t xml:space="preserve"> </w:t>
      </w:r>
      <w:r w:rsidRPr="00905622">
        <w:rPr>
          <w:rFonts w:cs="Arial"/>
          <w:rtl/>
        </w:rPr>
        <w:t>רושמין להם הנייר ברוק וכיוצא בו מדבר שאין רשומו מתקיים והן כותבין על הרושם</w:t>
      </w:r>
      <w:r>
        <w:rPr>
          <w:rFonts w:cs="Arial" w:hint="cs"/>
          <w:rtl/>
        </w:rPr>
        <w:t>.</w:t>
      </w:r>
      <w:r w:rsidRPr="00905622">
        <w:rPr>
          <w:rFonts w:cs="Arial"/>
          <w:rtl/>
        </w:rPr>
        <w:t xml:space="preserve"> ואין עושין כן בשאר שטרות, קל הוא שהקלו בגיטי נשים כדי שלא יהיו בנות ישראל עגונות הואיל וחתימת העדים בגט מדבריהם כמו שביארנו.</w:t>
      </w:r>
      <w:r>
        <w:rPr>
          <w:rFonts w:hint="cs"/>
          <w:rtl/>
        </w:rPr>
        <w:t xml:space="preserve"> </w:t>
      </w:r>
      <w:r w:rsidRPr="00475705">
        <w:rPr>
          <w:rFonts w:cs="Arial" w:hint="cs"/>
          <w:color w:val="E36C0A" w:themeColor="accent6" w:themeShade="BF"/>
          <w:rtl/>
        </w:rPr>
        <w:t>(וכ"פ בשו"ע</w:t>
      </w:r>
      <w:r>
        <w:rPr>
          <w:rFonts w:cs="Arial" w:hint="cs"/>
          <w:color w:val="000000" w:themeColor="text1"/>
          <w:sz w:val="16"/>
          <w:szCs w:val="16"/>
          <w:rtl/>
        </w:rPr>
        <w:t xml:space="preserve"> </w:t>
      </w:r>
      <w:r w:rsidRPr="002D0CC5">
        <w:rPr>
          <w:rFonts w:cs="Arial" w:hint="cs"/>
          <w:color w:val="000000" w:themeColor="text1"/>
          <w:sz w:val="16"/>
          <w:szCs w:val="16"/>
          <w:rtl/>
        </w:rPr>
        <w:t>[</w:t>
      </w:r>
      <w:r>
        <w:rPr>
          <w:rFonts w:cs="Arial" w:hint="cs"/>
          <w:color w:val="000000" w:themeColor="text1"/>
          <w:sz w:val="16"/>
          <w:szCs w:val="16"/>
          <w:rtl/>
        </w:rPr>
        <w:t>כאן, ובחו"מ סי' מה ס"ד</w:t>
      </w:r>
      <w:r w:rsidRPr="002D0CC5">
        <w:rPr>
          <w:rFonts w:cs="Arial" w:hint="cs"/>
          <w:color w:val="000000" w:themeColor="text1"/>
          <w:sz w:val="16"/>
          <w:szCs w:val="16"/>
          <w:rtl/>
        </w:rPr>
        <w:t>]</w:t>
      </w:r>
      <w:r w:rsidRPr="00475705">
        <w:rPr>
          <w:rFonts w:cs="Arial" w:hint="cs"/>
          <w:color w:val="E36C0A" w:themeColor="accent6" w:themeShade="BF"/>
          <w:rtl/>
        </w:rPr>
        <w:t>)</w:t>
      </w:r>
    </w:p>
    <w:p w14:paraId="2A16DCD9" w14:textId="77777777" w:rsidR="00FA2119" w:rsidRPr="00B51B13" w:rsidRDefault="00FA2119" w:rsidP="00FA2119">
      <w:pPr>
        <w:ind w:left="360"/>
        <w:rPr>
          <w:rFonts w:cs="Arial"/>
          <w:u w:val="dotted"/>
        </w:rPr>
      </w:pPr>
      <w:r>
        <w:rPr>
          <w:rFonts w:hint="cs"/>
          <w:u w:val="dotted"/>
          <w:rtl/>
        </w:rPr>
        <w:t xml:space="preserve">מה </w:t>
      </w:r>
      <w:r w:rsidRPr="00B51B13">
        <w:rPr>
          <w:rFonts w:hint="cs"/>
          <w:u w:val="dotted"/>
          <w:rtl/>
        </w:rPr>
        <w:t>פירוש דברי הגמרא 'מקרעין להם נייר חלק...'</w:t>
      </w:r>
      <w:r>
        <w:rPr>
          <w:rFonts w:hint="cs"/>
          <w:u w:val="dotted"/>
          <w:rtl/>
        </w:rPr>
        <w:t>:</w:t>
      </w:r>
    </w:p>
    <w:p w14:paraId="4A2336D1" w14:textId="40F56ACF" w:rsidR="00FA2119" w:rsidRDefault="00FA2119" w:rsidP="00FA2119">
      <w:pPr>
        <w:pStyle w:val="ab"/>
        <w:numPr>
          <w:ilvl w:val="0"/>
          <w:numId w:val="87"/>
        </w:numPr>
        <w:rPr>
          <w:rFonts w:cs="Arial"/>
        </w:rPr>
      </w:pPr>
      <w:r w:rsidRPr="00B51B13">
        <w:rPr>
          <w:rFonts w:cs="Arial"/>
          <w:rtl/>
        </w:rPr>
        <w:lastRenderedPageBreak/>
        <w:t>רש"י</w:t>
      </w:r>
      <w:r>
        <w:rPr>
          <w:rStyle w:val="a7"/>
          <w:rFonts w:cs="Arial"/>
          <w:rtl/>
        </w:rPr>
        <w:footnoteReference w:id="1288"/>
      </w:r>
      <w:r w:rsidRPr="00B51B13">
        <w:rPr>
          <w:rFonts w:cs="Arial"/>
          <w:rtl/>
        </w:rPr>
        <w:t xml:space="preserve"> </w:t>
      </w:r>
      <w:r w:rsidRPr="00B51B13">
        <w:rPr>
          <w:rFonts w:cs="Arial"/>
          <w:sz w:val="16"/>
          <w:szCs w:val="16"/>
          <w:rtl/>
        </w:rPr>
        <w:t>(</w:t>
      </w:r>
      <w:r>
        <w:rPr>
          <w:rFonts w:cs="Arial" w:hint="cs"/>
          <w:sz w:val="16"/>
          <w:szCs w:val="16"/>
          <w:rtl/>
        </w:rPr>
        <w:t xml:space="preserve">ט: </w:t>
      </w:r>
      <w:r w:rsidRPr="00B51B13">
        <w:rPr>
          <w:rFonts w:cs="Arial" w:hint="cs"/>
          <w:sz w:val="16"/>
          <w:szCs w:val="16"/>
          <w:rtl/>
        </w:rPr>
        <w:t>ד"ה מקרעין</w:t>
      </w:r>
      <w:r w:rsidRPr="00B51B13">
        <w:rPr>
          <w:rFonts w:cs="Arial"/>
          <w:sz w:val="16"/>
          <w:szCs w:val="16"/>
          <w:rtl/>
        </w:rPr>
        <w:t>)</w:t>
      </w:r>
      <w:r w:rsidRPr="00B51B13">
        <w:rPr>
          <w:rFonts w:cs="Arial" w:hint="cs"/>
          <w:rtl/>
        </w:rPr>
        <w:t xml:space="preserve"> וטור</w:t>
      </w:r>
      <w:r>
        <w:rPr>
          <w:rStyle w:val="a7"/>
          <w:rFonts w:cs="Arial"/>
          <w:rtl/>
        </w:rPr>
        <w:footnoteReference w:id="1289"/>
      </w:r>
      <w:r>
        <w:rPr>
          <w:rFonts w:cs="Arial" w:hint="cs"/>
          <w:sz w:val="16"/>
          <w:szCs w:val="16"/>
          <w:rtl/>
        </w:rPr>
        <w:t xml:space="preserve"> (חו"מ סי' מה)</w:t>
      </w:r>
      <w:r w:rsidR="00A82951">
        <w:rPr>
          <w:rFonts w:cs="Arial" w:hint="cs"/>
          <w:rtl/>
        </w:rPr>
        <w:t>-</w:t>
      </w:r>
      <w:r w:rsidRPr="00B51B13">
        <w:rPr>
          <w:rFonts w:cs="Arial"/>
          <w:rtl/>
        </w:rPr>
        <w:t xml:space="preserve"> מסרטין</w:t>
      </w:r>
      <w:r>
        <w:rPr>
          <w:rStyle w:val="a7"/>
          <w:rFonts w:cs="Arial"/>
          <w:rtl/>
        </w:rPr>
        <w:footnoteReference w:id="1290"/>
      </w:r>
      <w:r w:rsidRPr="00B51B13">
        <w:rPr>
          <w:rFonts w:cs="Arial" w:hint="cs"/>
          <w:rtl/>
        </w:rPr>
        <w:t>.</w:t>
      </w:r>
    </w:p>
    <w:p w14:paraId="43FABC6D" w14:textId="43F643B3" w:rsidR="00FA2119" w:rsidRPr="0038631C" w:rsidRDefault="00FA2119" w:rsidP="00FA2119">
      <w:pPr>
        <w:pStyle w:val="ab"/>
        <w:numPr>
          <w:ilvl w:val="0"/>
          <w:numId w:val="87"/>
        </w:numPr>
        <w:rPr>
          <w:rFonts w:cs="Arial"/>
        </w:rPr>
      </w:pPr>
      <w:r>
        <w:rPr>
          <w:rFonts w:cs="Arial" w:hint="cs"/>
          <w:rtl/>
        </w:rPr>
        <w:t xml:space="preserve">ר"ח </w:t>
      </w:r>
      <w:r>
        <w:rPr>
          <w:rFonts w:cs="Arial" w:hint="cs"/>
          <w:sz w:val="16"/>
          <w:szCs w:val="16"/>
          <w:rtl/>
        </w:rPr>
        <w:t xml:space="preserve">(כ"כ התוס' [שם] והטור בשמו) </w:t>
      </w:r>
      <w:r>
        <w:rPr>
          <w:rFonts w:cs="Arial" w:hint="cs"/>
          <w:rtl/>
        </w:rPr>
        <w:t xml:space="preserve">תוס' </w:t>
      </w:r>
      <w:r w:rsidRPr="00D117AD">
        <w:rPr>
          <w:rFonts w:cs="Arial" w:hint="cs"/>
          <w:sz w:val="16"/>
          <w:szCs w:val="16"/>
          <w:rtl/>
        </w:rPr>
        <w:t xml:space="preserve">(ט: ד"ה </w:t>
      </w:r>
      <w:r w:rsidRPr="00D117AD">
        <w:rPr>
          <w:rFonts w:cs="Arial"/>
          <w:sz w:val="16"/>
          <w:szCs w:val="16"/>
          <w:rtl/>
        </w:rPr>
        <w:t>מקרעין להם נייר חלק</w:t>
      </w:r>
      <w:r w:rsidRPr="00D117AD">
        <w:rPr>
          <w:rFonts w:cs="Arial" w:hint="cs"/>
          <w:sz w:val="16"/>
          <w:szCs w:val="16"/>
          <w:rtl/>
        </w:rPr>
        <w:t>)</w:t>
      </w:r>
      <w:r>
        <w:rPr>
          <w:rFonts w:cs="Arial" w:hint="cs"/>
          <w:rtl/>
        </w:rPr>
        <w:t xml:space="preserve"> רמ"ה </w:t>
      </w:r>
      <w:r>
        <w:rPr>
          <w:rFonts w:cs="Arial" w:hint="cs"/>
          <w:sz w:val="16"/>
          <w:szCs w:val="16"/>
          <w:rtl/>
        </w:rPr>
        <w:t xml:space="preserve">(הביאו הטור) </w:t>
      </w:r>
      <w:r>
        <w:rPr>
          <w:rFonts w:cs="Arial" w:hint="cs"/>
          <w:rtl/>
        </w:rPr>
        <w:t>ו</w:t>
      </w:r>
      <w:r w:rsidRPr="001B4D3C">
        <w:rPr>
          <w:rFonts w:cs="Arial"/>
          <w:rtl/>
        </w:rPr>
        <w:t xml:space="preserve">ר"ן </w:t>
      </w:r>
      <w:r w:rsidRPr="00265FDA">
        <w:rPr>
          <w:rFonts w:cs="Arial"/>
          <w:sz w:val="16"/>
          <w:szCs w:val="16"/>
          <w:rtl/>
        </w:rPr>
        <w:t>(ט. ד"ה מקרעין)</w:t>
      </w:r>
      <w:r>
        <w:rPr>
          <w:rStyle w:val="a7"/>
          <w:rFonts w:cs="Arial"/>
          <w:rtl/>
        </w:rPr>
        <w:footnoteReference w:id="1291"/>
      </w:r>
      <w:r w:rsidR="00A82951">
        <w:rPr>
          <w:rFonts w:cs="Arial" w:hint="cs"/>
          <w:rtl/>
        </w:rPr>
        <w:t>-</w:t>
      </w:r>
      <w:r>
        <w:rPr>
          <w:rFonts w:cs="Arial" w:hint="cs"/>
          <w:rtl/>
        </w:rPr>
        <w:t xml:space="preserve"> </w:t>
      </w:r>
      <w:r w:rsidRPr="001B4D3C">
        <w:rPr>
          <w:rFonts w:cs="Arial"/>
          <w:rtl/>
        </w:rPr>
        <w:t>לוקחין נייר אחר ומקרעין בו שמות העדים מעבר אל עבר</w:t>
      </w:r>
      <w:r>
        <w:rPr>
          <w:rFonts w:cs="Arial" w:hint="cs"/>
          <w:rtl/>
        </w:rPr>
        <w:t>,</w:t>
      </w:r>
      <w:r w:rsidRPr="001B4D3C">
        <w:rPr>
          <w:rFonts w:cs="Arial"/>
          <w:rtl/>
        </w:rPr>
        <w:t xml:space="preserve"> ומשימין אותו על הקלף שהגט כתוב בו</w:t>
      </w:r>
      <w:r>
        <w:rPr>
          <w:rFonts w:cs="Arial" w:hint="cs"/>
          <w:rtl/>
        </w:rPr>
        <w:t>,</w:t>
      </w:r>
      <w:r w:rsidRPr="001B4D3C">
        <w:rPr>
          <w:rFonts w:cs="Arial"/>
          <w:rtl/>
        </w:rPr>
        <w:t xml:space="preserve"> ובאים עדים וממלאים את הקרעים דיו</w:t>
      </w:r>
      <w:r>
        <w:rPr>
          <w:rStyle w:val="a7"/>
          <w:rFonts w:cs="Arial"/>
          <w:rtl/>
        </w:rPr>
        <w:footnoteReference w:id="1292"/>
      </w:r>
      <w:r>
        <w:rPr>
          <w:rFonts w:cs="Arial" w:hint="cs"/>
          <w:rtl/>
        </w:rPr>
        <w:t>,</w:t>
      </w:r>
      <w:r w:rsidRPr="001B4D3C">
        <w:rPr>
          <w:rFonts w:cs="Arial"/>
          <w:rtl/>
        </w:rPr>
        <w:t xml:space="preserve"> וניכרת הכתיבה על גבי הקריעה</w:t>
      </w:r>
      <w:r>
        <w:rPr>
          <w:rFonts w:cs="Arial" w:hint="cs"/>
          <w:sz w:val="16"/>
          <w:szCs w:val="16"/>
          <w:rtl/>
        </w:rPr>
        <w:t xml:space="preserve"> (ל' הר"ן)</w:t>
      </w:r>
      <w:r w:rsidRPr="001B4D3C">
        <w:rPr>
          <w:rFonts w:cs="Arial"/>
          <w:rtl/>
        </w:rPr>
        <w:t>.</w:t>
      </w:r>
      <w:r>
        <w:rPr>
          <w:rFonts w:hint="cs"/>
          <w:rtl/>
        </w:rPr>
        <w:t xml:space="preserve"> </w:t>
      </w:r>
      <w:r w:rsidRPr="001C2ACE">
        <w:rPr>
          <w:rFonts w:cs="Arial" w:hint="cs"/>
          <w:color w:val="00B0F0"/>
          <w:rtl/>
        </w:rPr>
        <w:t>(וכ"</w:t>
      </w:r>
      <w:r>
        <w:rPr>
          <w:rFonts w:cs="Arial" w:hint="cs"/>
          <w:color w:val="00B0F0"/>
          <w:rtl/>
        </w:rPr>
        <w:t>כ</w:t>
      </w:r>
      <w:r w:rsidRPr="001C2ACE">
        <w:rPr>
          <w:rFonts w:cs="Arial" w:hint="cs"/>
          <w:color w:val="00B0F0"/>
          <w:rtl/>
        </w:rPr>
        <w:t xml:space="preserve"> הרמ"א)</w:t>
      </w:r>
      <w:r>
        <w:rPr>
          <w:rFonts w:hint="cs"/>
          <w:rtl/>
        </w:rPr>
        <w:t xml:space="preserve"> (וכ"פ הסמ"ע</w:t>
      </w:r>
      <w:r>
        <w:rPr>
          <w:rFonts w:hint="cs"/>
          <w:sz w:val="16"/>
          <w:szCs w:val="16"/>
          <w:rtl/>
        </w:rPr>
        <w:t xml:space="preserve"> [חו"מ סי' מה סק"ו]</w:t>
      </w:r>
      <w:r>
        <w:rPr>
          <w:rFonts w:hint="cs"/>
          <w:rtl/>
        </w:rPr>
        <w:t>)</w:t>
      </w:r>
    </w:p>
    <w:p w14:paraId="051B8CE6" w14:textId="77777777" w:rsidR="00FA2119" w:rsidRPr="0038631C" w:rsidRDefault="00FA2119" w:rsidP="00FA2119">
      <w:pPr>
        <w:rPr>
          <w:rFonts w:cs="Arial"/>
        </w:rPr>
      </w:pPr>
      <w:r w:rsidRPr="0090742B">
        <w:rPr>
          <w:rFonts w:cs="Arial" w:hint="cs"/>
          <w:u w:val="single"/>
          <w:rtl/>
        </w:rPr>
        <w:t>פסולי שש</w:t>
      </w:r>
      <w:r>
        <w:rPr>
          <w:rFonts w:cs="Arial" w:hint="cs"/>
          <w:u w:val="single"/>
          <w:rtl/>
        </w:rPr>
        <w:t>י</w:t>
      </w:r>
      <w:r w:rsidRPr="0090742B">
        <w:rPr>
          <w:rFonts w:cs="Arial" w:hint="cs"/>
          <w:u w:val="single"/>
          <w:rtl/>
        </w:rPr>
        <w:t>יכים בכתיבה שנעשו בחתימה:</w:t>
      </w:r>
      <w:r>
        <w:rPr>
          <w:rFonts w:cs="Arial" w:hint="cs"/>
          <w:rtl/>
        </w:rPr>
        <w:t xml:space="preserve"> </w:t>
      </w:r>
      <w:r w:rsidRPr="0090742B">
        <w:rPr>
          <w:rFonts w:cs="Arial"/>
          <w:sz w:val="16"/>
          <w:szCs w:val="16"/>
          <w:rtl/>
        </w:rPr>
        <w:t>(</w:t>
      </w:r>
      <w:r w:rsidRPr="0090742B">
        <w:rPr>
          <w:rFonts w:cs="Arial" w:hint="cs"/>
          <w:sz w:val="16"/>
          <w:szCs w:val="16"/>
          <w:rtl/>
        </w:rPr>
        <w:t xml:space="preserve">דרכ"מ אות </w:t>
      </w:r>
      <w:r w:rsidRPr="0090742B">
        <w:rPr>
          <w:rFonts w:cs="Arial"/>
          <w:sz w:val="16"/>
          <w:szCs w:val="16"/>
          <w:rtl/>
        </w:rPr>
        <w:t>יג)</w:t>
      </w:r>
      <w:r w:rsidRPr="0038631C">
        <w:rPr>
          <w:rFonts w:cs="Arial"/>
          <w:rtl/>
        </w:rPr>
        <w:t xml:space="preserve"> </w:t>
      </w:r>
    </w:p>
    <w:p w14:paraId="0CF90B3B" w14:textId="05F9A16D" w:rsidR="00FA4247" w:rsidRPr="00FA4247" w:rsidRDefault="00FA2119" w:rsidP="00FA4247">
      <w:pPr>
        <w:pStyle w:val="ab"/>
        <w:numPr>
          <w:ilvl w:val="0"/>
          <w:numId w:val="87"/>
        </w:numPr>
        <w:rPr>
          <w:rFonts w:cs="Arial"/>
          <w:rtl/>
        </w:rPr>
      </w:pPr>
      <w:r w:rsidRPr="00396366">
        <w:rPr>
          <w:rFonts w:cs="Arial"/>
          <w:rtl/>
        </w:rPr>
        <w:t>תרוה</w:t>
      </w:r>
      <w:r>
        <w:rPr>
          <w:rFonts w:cs="Arial" w:hint="cs"/>
          <w:rtl/>
        </w:rPr>
        <w:t>"</w:t>
      </w:r>
      <w:r w:rsidRPr="00396366">
        <w:rPr>
          <w:rFonts w:cs="Arial"/>
          <w:rtl/>
        </w:rPr>
        <w:t xml:space="preserve">ד </w:t>
      </w:r>
      <w:r w:rsidRPr="0090742B">
        <w:rPr>
          <w:rFonts w:cs="Arial" w:hint="cs"/>
          <w:sz w:val="16"/>
          <w:szCs w:val="16"/>
          <w:rtl/>
        </w:rPr>
        <w:t>(</w:t>
      </w:r>
      <w:r w:rsidRPr="0090742B">
        <w:rPr>
          <w:rFonts w:cs="Arial"/>
          <w:sz w:val="16"/>
          <w:szCs w:val="16"/>
          <w:rtl/>
        </w:rPr>
        <w:t>ס</w:t>
      </w:r>
      <w:r w:rsidRPr="0090742B">
        <w:rPr>
          <w:rFonts w:cs="Arial" w:hint="cs"/>
          <w:sz w:val="16"/>
          <w:szCs w:val="16"/>
          <w:rtl/>
        </w:rPr>
        <w:t>י'</w:t>
      </w:r>
      <w:r w:rsidRPr="0090742B">
        <w:rPr>
          <w:rFonts w:cs="Arial"/>
          <w:sz w:val="16"/>
          <w:szCs w:val="16"/>
          <w:rtl/>
        </w:rPr>
        <w:t xml:space="preserve"> ר</w:t>
      </w:r>
      <w:r w:rsidRPr="0090742B">
        <w:rPr>
          <w:rFonts w:cs="Arial" w:hint="cs"/>
          <w:sz w:val="16"/>
          <w:szCs w:val="16"/>
          <w:rtl/>
        </w:rPr>
        <w:t>כ</w:t>
      </w:r>
      <w:r w:rsidRPr="0090742B">
        <w:rPr>
          <w:rFonts w:cs="Arial"/>
          <w:sz w:val="16"/>
          <w:szCs w:val="16"/>
          <w:rtl/>
        </w:rPr>
        <w:t>ח</w:t>
      </w:r>
      <w:r w:rsidRPr="0090742B">
        <w:rPr>
          <w:rFonts w:cs="Arial" w:hint="cs"/>
          <w:sz w:val="16"/>
          <w:szCs w:val="16"/>
          <w:rtl/>
        </w:rPr>
        <w:t>)</w:t>
      </w:r>
      <w:r w:rsidR="00A82951">
        <w:rPr>
          <w:rFonts w:cs="Arial" w:hint="cs"/>
          <w:rtl/>
        </w:rPr>
        <w:t>-</w:t>
      </w:r>
      <w:r w:rsidRPr="00396366">
        <w:rPr>
          <w:rFonts w:cs="Arial"/>
          <w:rtl/>
        </w:rPr>
        <w:t xml:space="preserve"> כל הפסול בכתיבה פסול בחתימה</w:t>
      </w:r>
      <w:r>
        <w:rPr>
          <w:rFonts w:cs="Arial" w:hint="cs"/>
          <w:rtl/>
        </w:rPr>
        <w:t>,</w:t>
      </w:r>
      <w:r w:rsidRPr="00396366">
        <w:rPr>
          <w:rFonts w:cs="Arial"/>
          <w:rtl/>
        </w:rPr>
        <w:t xml:space="preserve"> כגון חק תוכות או שאר פסולין</w:t>
      </w:r>
      <w:r>
        <w:rPr>
          <w:rFonts w:cs="Arial" w:hint="cs"/>
          <w:rtl/>
        </w:rPr>
        <w:t>,</w:t>
      </w:r>
      <w:r w:rsidRPr="00396366">
        <w:rPr>
          <w:rFonts w:cs="Arial"/>
          <w:rtl/>
        </w:rPr>
        <w:t xml:space="preserve"> ואפילו לרבי אלעזר דאמר עדי מסירה כרתי</w:t>
      </w:r>
      <w:r>
        <w:rPr>
          <w:rFonts w:cs="Arial" w:hint="cs"/>
          <w:rtl/>
        </w:rPr>
        <w:t>.</w:t>
      </w:r>
      <w:r w:rsidRPr="00396366">
        <w:rPr>
          <w:rFonts w:cs="Arial"/>
          <w:rtl/>
        </w:rPr>
        <w:t xml:space="preserve"> מיהו אם כבר נישאת אפשר להקל אליבא דרבי אלעזר</w:t>
      </w:r>
      <w:r>
        <w:rPr>
          <w:rFonts w:cs="Arial" w:hint="cs"/>
          <w:rtl/>
        </w:rPr>
        <w:t>.</w:t>
      </w:r>
    </w:p>
    <w:p w14:paraId="61422A34" w14:textId="664A890F" w:rsidR="00FA4247" w:rsidRPr="00FA4247" w:rsidRDefault="00FA4247" w:rsidP="00FA4247">
      <w:pPr>
        <w:rPr>
          <w:rFonts w:cs="Arial"/>
        </w:rPr>
      </w:pPr>
      <w:r>
        <w:rPr>
          <w:rFonts w:cs="Arial" w:hint="cs"/>
          <w:u w:val="single"/>
          <w:rtl/>
        </w:rPr>
        <w:t>עדים שאינם יודעים לחתום - מהו שימנו שליחים לחתום בשמם</w:t>
      </w:r>
      <w:r w:rsidRPr="0090742B">
        <w:rPr>
          <w:rFonts w:cs="Arial" w:hint="cs"/>
          <w:u w:val="single"/>
          <w:rtl/>
        </w:rPr>
        <w:t>:</w:t>
      </w:r>
      <w:r>
        <w:rPr>
          <w:rFonts w:cs="Arial" w:hint="cs"/>
          <w:rtl/>
        </w:rPr>
        <w:t xml:space="preserve"> </w:t>
      </w:r>
      <w:r w:rsidRPr="0090742B">
        <w:rPr>
          <w:rFonts w:cs="Arial"/>
          <w:sz w:val="16"/>
          <w:szCs w:val="16"/>
          <w:rtl/>
        </w:rPr>
        <w:t>(</w:t>
      </w:r>
      <w:r w:rsidRPr="0090742B">
        <w:rPr>
          <w:rFonts w:cs="Arial" w:hint="cs"/>
          <w:sz w:val="16"/>
          <w:szCs w:val="16"/>
          <w:rtl/>
        </w:rPr>
        <w:t xml:space="preserve">דרכ"מ אות </w:t>
      </w:r>
      <w:r w:rsidRPr="0090742B">
        <w:rPr>
          <w:rFonts w:cs="Arial"/>
          <w:sz w:val="16"/>
          <w:szCs w:val="16"/>
          <w:rtl/>
        </w:rPr>
        <w:t>יג)</w:t>
      </w:r>
      <w:r w:rsidRPr="0038631C">
        <w:rPr>
          <w:rFonts w:cs="Arial"/>
          <w:rtl/>
        </w:rPr>
        <w:t xml:space="preserve"> </w:t>
      </w:r>
    </w:p>
    <w:p w14:paraId="0881DE78" w14:textId="4DF25F9B" w:rsidR="00FA4247" w:rsidRDefault="00FA4247" w:rsidP="00FA2119">
      <w:pPr>
        <w:pStyle w:val="ab"/>
        <w:numPr>
          <w:ilvl w:val="0"/>
          <w:numId w:val="87"/>
        </w:numPr>
        <w:rPr>
          <w:rFonts w:cs="Arial"/>
        </w:rPr>
      </w:pPr>
      <w:r>
        <w:rPr>
          <w:rFonts w:cs="Arial" w:hint="cs"/>
          <w:rtl/>
        </w:rPr>
        <w:t>דרכ"מ</w:t>
      </w:r>
      <w:r w:rsidRPr="00FA4247">
        <w:rPr>
          <w:rFonts w:cs="Arial" w:hint="cs"/>
          <w:sz w:val="16"/>
          <w:szCs w:val="16"/>
          <w:rtl/>
        </w:rPr>
        <w:t xml:space="preserve"> (אות יד)</w:t>
      </w:r>
      <w:r>
        <w:rPr>
          <w:rFonts w:cs="Arial" w:hint="cs"/>
          <w:rtl/>
        </w:rPr>
        <w:t xml:space="preserve">- </w:t>
      </w:r>
      <w:r w:rsidRPr="00396366">
        <w:rPr>
          <w:rFonts w:cs="Arial"/>
          <w:rtl/>
        </w:rPr>
        <w:t>באור זרוע (סימני או"ז סי' תשטו) תשובת רבינו שמחה בעדים שאינן יודעים לחתום שיכולין לעשות שליח לחתום בשמם</w:t>
      </w:r>
      <w:r>
        <w:rPr>
          <w:rFonts w:cs="Arial" w:hint="cs"/>
          <w:rtl/>
        </w:rPr>
        <w:t>,</w:t>
      </w:r>
      <w:r w:rsidRPr="00396366">
        <w:rPr>
          <w:rFonts w:cs="Arial"/>
          <w:rtl/>
        </w:rPr>
        <w:t xml:space="preserve"> כמו שהבעל עושה שליח לכתוב הגט</w:t>
      </w:r>
      <w:r>
        <w:rPr>
          <w:rFonts w:cs="Arial" w:hint="cs"/>
          <w:rtl/>
        </w:rPr>
        <w:t>.</w:t>
      </w:r>
      <w:r w:rsidRPr="00396366">
        <w:rPr>
          <w:rFonts w:cs="Arial"/>
          <w:rtl/>
        </w:rPr>
        <w:t xml:space="preserve"> והאור זרוע חולק עליו ופוסל אותו הגט</w:t>
      </w:r>
      <w:r>
        <w:rPr>
          <w:rFonts w:cs="Arial" w:hint="cs"/>
          <w:rtl/>
        </w:rPr>
        <w:t>,</w:t>
      </w:r>
      <w:r w:rsidRPr="00396366">
        <w:rPr>
          <w:rFonts w:cs="Arial"/>
          <w:rtl/>
        </w:rPr>
        <w:t xml:space="preserve"> והאריך שם בתשובותיהן וסוף דבריו ואם בא מעשה לידי אני פוסלו להנשא בו עכ"ל</w:t>
      </w:r>
      <w:r>
        <w:rPr>
          <w:rFonts w:cs="Arial" w:hint="cs"/>
          <w:rtl/>
        </w:rPr>
        <w:t>.</w:t>
      </w:r>
    </w:p>
    <w:p w14:paraId="49308856"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5EB2408" w14:textId="77777777" w:rsidR="00FA2119" w:rsidRDefault="00FA2119" w:rsidP="00FA2119">
      <w:pPr>
        <w:rPr>
          <w:rtl/>
        </w:rPr>
      </w:pPr>
      <w:r>
        <w:rPr>
          <w:rFonts w:cs="Arial" w:hint="cs"/>
          <w:rtl/>
        </w:rPr>
        <w:t>העדים</w:t>
      </w:r>
      <w:r>
        <w:rPr>
          <w:rFonts w:cs="Arial"/>
          <w:rtl/>
        </w:rPr>
        <w:t xml:space="preserve"> </w:t>
      </w:r>
      <w:r>
        <w:rPr>
          <w:rFonts w:cs="Arial" w:hint="cs"/>
          <w:rtl/>
        </w:rPr>
        <w:t>שחותמין</w:t>
      </w:r>
      <w:r>
        <w:rPr>
          <w:rFonts w:cs="Arial"/>
          <w:rtl/>
        </w:rPr>
        <w:t xml:space="preserve"> </w:t>
      </w:r>
      <w:r>
        <w:rPr>
          <w:rFonts w:cs="Arial" w:hint="cs"/>
          <w:rtl/>
        </w:rPr>
        <w:t>על</w:t>
      </w:r>
      <w:r>
        <w:rPr>
          <w:rFonts w:cs="Arial"/>
          <w:rtl/>
        </w:rPr>
        <w:t xml:space="preserve"> </w:t>
      </w:r>
      <w:r>
        <w:rPr>
          <w:rFonts w:cs="Arial" w:hint="cs"/>
          <w:rtl/>
        </w:rPr>
        <w:t>הגט</w:t>
      </w:r>
      <w:r>
        <w:rPr>
          <w:rFonts w:cs="Arial"/>
          <w:rtl/>
        </w:rPr>
        <w:t xml:space="preserve"> </w:t>
      </w:r>
      <w:r>
        <w:rPr>
          <w:rFonts w:cs="Arial" w:hint="cs"/>
          <w:rtl/>
        </w:rPr>
        <w:t>צריכים</w:t>
      </w:r>
      <w:r>
        <w:rPr>
          <w:rFonts w:cs="Arial"/>
          <w:rtl/>
        </w:rPr>
        <w:t xml:space="preserve"> </w:t>
      </w:r>
      <w:r>
        <w:rPr>
          <w:rFonts w:cs="Arial" w:hint="cs"/>
          <w:rtl/>
        </w:rPr>
        <w:t>להיות</w:t>
      </w:r>
      <w:r>
        <w:rPr>
          <w:rFonts w:cs="Arial"/>
          <w:rtl/>
        </w:rPr>
        <w:t xml:space="preserve"> </w:t>
      </w:r>
      <w:r>
        <w:rPr>
          <w:rFonts w:cs="Arial" w:hint="cs"/>
          <w:rtl/>
        </w:rPr>
        <w:t>יודעים</w:t>
      </w:r>
      <w:r>
        <w:rPr>
          <w:rFonts w:cs="Arial"/>
          <w:rtl/>
        </w:rPr>
        <w:t xml:space="preserve"> </w:t>
      </w:r>
      <w:r>
        <w:rPr>
          <w:rFonts w:cs="Arial" w:hint="cs"/>
          <w:rtl/>
        </w:rPr>
        <w:t>לקרות</w:t>
      </w:r>
      <w:r>
        <w:rPr>
          <w:rFonts w:cs="Arial"/>
          <w:rtl/>
        </w:rPr>
        <w:t xml:space="preserve"> </w:t>
      </w:r>
      <w:r>
        <w:rPr>
          <w:rFonts w:cs="Arial" w:hint="cs"/>
          <w:rtl/>
        </w:rPr>
        <w:t>ולחתום</w:t>
      </w:r>
      <w:r>
        <w:rPr>
          <w:rFonts w:cs="Arial"/>
          <w:rtl/>
        </w:rPr>
        <w:t xml:space="preserve">. </w:t>
      </w:r>
      <w:r>
        <w:rPr>
          <w:rFonts w:cs="Arial" w:hint="cs"/>
          <w:rtl/>
        </w:rPr>
        <w:t>ואם</w:t>
      </w:r>
      <w:r>
        <w:rPr>
          <w:rFonts w:cs="Arial"/>
          <w:rtl/>
        </w:rPr>
        <w:t xml:space="preserve"> </w:t>
      </w:r>
      <w:r>
        <w:rPr>
          <w:rFonts w:cs="Arial" w:hint="cs"/>
          <w:rtl/>
        </w:rPr>
        <w:t>אינם</w:t>
      </w:r>
      <w:r>
        <w:rPr>
          <w:rFonts w:cs="Arial"/>
          <w:rtl/>
        </w:rPr>
        <w:t xml:space="preserve"> </w:t>
      </w:r>
      <w:r>
        <w:rPr>
          <w:rFonts w:cs="Arial" w:hint="cs"/>
          <w:rtl/>
        </w:rPr>
        <w:t>יודעים</w:t>
      </w:r>
      <w:r>
        <w:rPr>
          <w:rFonts w:cs="Arial"/>
          <w:rtl/>
        </w:rPr>
        <w:t xml:space="preserve"> </w:t>
      </w:r>
      <w:r>
        <w:rPr>
          <w:rFonts w:cs="Arial" w:hint="cs"/>
          <w:rtl/>
        </w:rPr>
        <w:t>לקרות</w:t>
      </w:r>
      <w:r>
        <w:rPr>
          <w:rFonts w:cs="Arial"/>
          <w:rtl/>
        </w:rPr>
        <w:t xml:space="preserve">, </w:t>
      </w:r>
      <w:r>
        <w:rPr>
          <w:rFonts w:cs="Arial" w:hint="cs"/>
          <w:rtl/>
        </w:rPr>
        <w:t>קוראים</w:t>
      </w:r>
      <w:r>
        <w:rPr>
          <w:rFonts w:cs="Arial"/>
          <w:rtl/>
        </w:rPr>
        <w:t xml:space="preserve"> </w:t>
      </w:r>
      <w:r>
        <w:rPr>
          <w:rFonts w:cs="Arial" w:hint="cs"/>
          <w:rtl/>
        </w:rPr>
        <w:t>בפניהם</w:t>
      </w:r>
      <w:r>
        <w:rPr>
          <w:rFonts w:cs="Arial"/>
          <w:rtl/>
        </w:rPr>
        <w:t xml:space="preserve"> </w:t>
      </w:r>
      <w:r>
        <w:rPr>
          <w:rFonts w:cs="Arial" w:hint="cs"/>
          <w:rtl/>
        </w:rPr>
        <w:t>וחותמין</w:t>
      </w:r>
      <w:r>
        <w:rPr>
          <w:rFonts w:cs="Arial"/>
          <w:rtl/>
        </w:rPr>
        <w:t xml:space="preserve">, </w:t>
      </w:r>
      <w:r>
        <w:rPr>
          <w:rFonts w:cs="Arial" w:hint="cs"/>
          <w:rtl/>
        </w:rPr>
        <w:t>והוא</w:t>
      </w:r>
      <w:r>
        <w:rPr>
          <w:rFonts w:cs="Arial"/>
          <w:rtl/>
        </w:rPr>
        <w:t xml:space="preserve"> </w:t>
      </w:r>
      <w:r>
        <w:rPr>
          <w:rFonts w:cs="Arial" w:hint="cs"/>
          <w:rtl/>
        </w:rPr>
        <w:t>שיכירו</w:t>
      </w:r>
      <w:r>
        <w:rPr>
          <w:rFonts w:cs="Arial"/>
          <w:rtl/>
        </w:rPr>
        <w:t xml:space="preserve"> </w:t>
      </w:r>
      <w:r>
        <w:rPr>
          <w:rFonts w:cs="Arial" w:hint="cs"/>
          <w:rtl/>
        </w:rPr>
        <w:t>לשון</w:t>
      </w:r>
      <w:r>
        <w:rPr>
          <w:rFonts w:cs="Arial"/>
          <w:rtl/>
        </w:rPr>
        <w:t xml:space="preserve"> </w:t>
      </w:r>
      <w:r>
        <w:rPr>
          <w:rFonts w:cs="Arial" w:hint="cs"/>
          <w:rtl/>
        </w:rPr>
        <w:t>הגט</w:t>
      </w:r>
      <w:r>
        <w:rPr>
          <w:rFonts w:cs="Arial"/>
          <w:rtl/>
        </w:rPr>
        <w:t xml:space="preserve">. </w:t>
      </w:r>
      <w:r>
        <w:rPr>
          <w:rFonts w:cs="Arial" w:hint="cs"/>
          <w:rtl/>
        </w:rPr>
        <w:t>ואם</w:t>
      </w:r>
      <w:r>
        <w:rPr>
          <w:rFonts w:cs="Arial"/>
          <w:rtl/>
        </w:rPr>
        <w:t xml:space="preserve"> </w:t>
      </w:r>
      <w:r>
        <w:rPr>
          <w:rFonts w:cs="Arial" w:hint="cs"/>
          <w:rtl/>
        </w:rPr>
        <w:t>אינם</w:t>
      </w:r>
      <w:r>
        <w:rPr>
          <w:rFonts w:cs="Arial"/>
          <w:rtl/>
        </w:rPr>
        <w:t xml:space="preserve"> </w:t>
      </w:r>
      <w:r>
        <w:rPr>
          <w:rFonts w:cs="Arial" w:hint="cs"/>
          <w:rtl/>
        </w:rPr>
        <w:t>יודעים</w:t>
      </w:r>
      <w:r>
        <w:rPr>
          <w:rFonts w:cs="Arial"/>
          <w:rtl/>
        </w:rPr>
        <w:t xml:space="preserve"> </w:t>
      </w:r>
      <w:r>
        <w:rPr>
          <w:rFonts w:cs="Arial" w:hint="cs"/>
          <w:rtl/>
        </w:rPr>
        <w:t>לחתום</w:t>
      </w:r>
      <w:r>
        <w:rPr>
          <w:rFonts w:cs="Arial"/>
          <w:rtl/>
        </w:rPr>
        <w:t xml:space="preserve">, </w:t>
      </w:r>
      <w:r>
        <w:rPr>
          <w:rFonts w:cs="Arial" w:hint="cs"/>
          <w:rtl/>
        </w:rPr>
        <w:t>רושמין</w:t>
      </w:r>
      <w:r>
        <w:rPr>
          <w:rFonts w:cs="Arial"/>
          <w:rtl/>
        </w:rPr>
        <w:t xml:space="preserve"> </w:t>
      </w:r>
      <w:r>
        <w:rPr>
          <w:rFonts w:cs="Arial" w:hint="cs"/>
          <w:rtl/>
        </w:rPr>
        <w:t>להם</w:t>
      </w:r>
      <w:r>
        <w:rPr>
          <w:rFonts w:cs="Arial"/>
          <w:rtl/>
        </w:rPr>
        <w:t xml:space="preserve"> </w:t>
      </w:r>
      <w:r>
        <w:rPr>
          <w:rFonts w:cs="Arial" w:hint="cs"/>
          <w:rtl/>
        </w:rPr>
        <w:t>הנייר</w:t>
      </w:r>
      <w:r>
        <w:rPr>
          <w:rFonts w:cs="Arial"/>
          <w:rtl/>
        </w:rPr>
        <w:t xml:space="preserve"> </w:t>
      </w:r>
      <w:r>
        <w:rPr>
          <w:rFonts w:cs="Arial" w:hint="cs"/>
          <w:rtl/>
        </w:rPr>
        <w:t>ברוק</w:t>
      </w:r>
      <w:r>
        <w:rPr>
          <w:rFonts w:cs="Arial"/>
          <w:rtl/>
        </w:rPr>
        <w:t xml:space="preserve"> </w:t>
      </w:r>
      <w:r>
        <w:rPr>
          <w:rFonts w:cs="Arial" w:hint="cs"/>
          <w:rtl/>
        </w:rPr>
        <w:t>וכיוצא</w:t>
      </w:r>
      <w:r>
        <w:rPr>
          <w:rFonts w:cs="Arial"/>
          <w:rtl/>
        </w:rPr>
        <w:t xml:space="preserve"> </w:t>
      </w:r>
      <w:r>
        <w:rPr>
          <w:rFonts w:cs="Arial" w:hint="cs"/>
          <w:rtl/>
        </w:rPr>
        <w:t>בו</w:t>
      </w:r>
      <w:r>
        <w:rPr>
          <w:rFonts w:cs="Arial"/>
          <w:rtl/>
        </w:rPr>
        <w:t xml:space="preserve">, </w:t>
      </w:r>
      <w:r>
        <w:rPr>
          <w:rFonts w:cs="Arial" w:hint="cs"/>
          <w:rtl/>
        </w:rPr>
        <w:t>מדבר</w:t>
      </w:r>
      <w:r>
        <w:rPr>
          <w:rFonts w:cs="Arial"/>
          <w:rtl/>
        </w:rPr>
        <w:t xml:space="preserve"> </w:t>
      </w:r>
      <w:r>
        <w:rPr>
          <w:rFonts w:cs="Arial" w:hint="cs"/>
          <w:rtl/>
        </w:rPr>
        <w:t>שאין</w:t>
      </w:r>
      <w:r>
        <w:rPr>
          <w:rFonts w:cs="Arial"/>
          <w:rtl/>
        </w:rPr>
        <w:t xml:space="preserve"> </w:t>
      </w:r>
      <w:r>
        <w:rPr>
          <w:rFonts w:cs="Arial" w:hint="cs"/>
          <w:rtl/>
        </w:rPr>
        <w:t>רשומו</w:t>
      </w:r>
      <w:r>
        <w:rPr>
          <w:rFonts w:cs="Arial"/>
          <w:rtl/>
        </w:rPr>
        <w:t xml:space="preserve"> </w:t>
      </w:r>
      <w:r>
        <w:rPr>
          <w:rFonts w:cs="Arial" w:hint="cs"/>
          <w:rtl/>
        </w:rPr>
        <w:t>מתקיים</w:t>
      </w:r>
      <w:r>
        <w:rPr>
          <w:rFonts w:cs="Arial"/>
          <w:rtl/>
        </w:rPr>
        <w:t xml:space="preserve">, </w:t>
      </w:r>
      <w:r>
        <w:rPr>
          <w:rFonts w:cs="Arial" w:hint="cs"/>
          <w:rtl/>
        </w:rPr>
        <w:t>והם</w:t>
      </w:r>
      <w:r>
        <w:rPr>
          <w:rFonts w:cs="Arial"/>
          <w:rtl/>
        </w:rPr>
        <w:t xml:space="preserve"> </w:t>
      </w:r>
      <w:r>
        <w:rPr>
          <w:rFonts w:cs="Arial" w:hint="cs"/>
          <w:rtl/>
        </w:rPr>
        <w:t>כותבין</w:t>
      </w:r>
      <w:r>
        <w:rPr>
          <w:rFonts w:cs="Arial"/>
          <w:rtl/>
        </w:rPr>
        <w:t xml:space="preserve"> </w:t>
      </w:r>
      <w:r>
        <w:rPr>
          <w:rFonts w:cs="Arial" w:hint="cs"/>
          <w:rtl/>
        </w:rPr>
        <w:t>על</w:t>
      </w:r>
      <w:r>
        <w:rPr>
          <w:rFonts w:cs="Arial"/>
          <w:rtl/>
        </w:rPr>
        <w:t xml:space="preserve"> </w:t>
      </w:r>
      <w:r>
        <w:rPr>
          <w:rFonts w:cs="Arial" w:hint="cs"/>
          <w:rtl/>
        </w:rPr>
        <w:t>הרושם</w:t>
      </w:r>
      <w:r>
        <w:rPr>
          <w:rFonts w:cs="Arial"/>
          <w:rtl/>
        </w:rPr>
        <w:t xml:space="preserve">. </w:t>
      </w:r>
      <w:r w:rsidRPr="00A14BB0">
        <w:rPr>
          <w:rFonts w:cs="Arial" w:hint="cs"/>
          <w:sz w:val="18"/>
          <w:szCs w:val="18"/>
          <w:rtl/>
        </w:rPr>
        <w:t>הגה</w:t>
      </w:r>
      <w:r w:rsidRPr="00A14BB0">
        <w:rPr>
          <w:rFonts w:cs="Arial"/>
          <w:sz w:val="18"/>
          <w:szCs w:val="18"/>
          <w:rtl/>
        </w:rPr>
        <w:t xml:space="preserve">: </w:t>
      </w:r>
      <w:r w:rsidRPr="00A14BB0">
        <w:rPr>
          <w:rFonts w:cs="Arial" w:hint="cs"/>
          <w:sz w:val="18"/>
          <w:szCs w:val="18"/>
          <w:rtl/>
        </w:rPr>
        <w:t>ויש</w:t>
      </w:r>
      <w:r w:rsidRPr="00A14BB0">
        <w:rPr>
          <w:rFonts w:cs="Arial"/>
          <w:sz w:val="18"/>
          <w:szCs w:val="18"/>
          <w:rtl/>
        </w:rPr>
        <w:t xml:space="preserve"> </w:t>
      </w:r>
      <w:r w:rsidRPr="00A14BB0">
        <w:rPr>
          <w:rFonts w:cs="Arial" w:hint="cs"/>
          <w:sz w:val="18"/>
          <w:szCs w:val="18"/>
          <w:rtl/>
        </w:rPr>
        <w:t>אוסרין</w:t>
      </w:r>
      <w:r w:rsidRPr="00A14BB0">
        <w:rPr>
          <w:rFonts w:cs="Arial"/>
          <w:sz w:val="18"/>
          <w:szCs w:val="18"/>
          <w:rtl/>
        </w:rPr>
        <w:t xml:space="preserve"> </w:t>
      </w:r>
      <w:r w:rsidRPr="00A14BB0">
        <w:rPr>
          <w:rFonts w:cs="Arial" w:hint="cs"/>
          <w:sz w:val="18"/>
          <w:szCs w:val="18"/>
          <w:rtl/>
        </w:rPr>
        <w:t>לעשות</w:t>
      </w:r>
      <w:r w:rsidRPr="00A14BB0">
        <w:rPr>
          <w:rFonts w:cs="Arial"/>
          <w:sz w:val="18"/>
          <w:szCs w:val="18"/>
          <w:rtl/>
        </w:rPr>
        <w:t xml:space="preserve"> </w:t>
      </w:r>
      <w:r w:rsidRPr="00A14BB0">
        <w:rPr>
          <w:rFonts w:cs="Arial" w:hint="cs"/>
          <w:sz w:val="18"/>
          <w:szCs w:val="18"/>
          <w:rtl/>
        </w:rPr>
        <w:t>כן</w:t>
      </w:r>
      <w:r w:rsidRPr="00A14BB0">
        <w:rPr>
          <w:rFonts w:cs="Arial"/>
          <w:sz w:val="18"/>
          <w:szCs w:val="18"/>
          <w:rtl/>
        </w:rPr>
        <w:t xml:space="preserve"> </w:t>
      </w:r>
      <w:r w:rsidRPr="00A14BB0">
        <w:rPr>
          <w:rFonts w:cs="Arial" w:hint="cs"/>
          <w:sz w:val="18"/>
          <w:szCs w:val="18"/>
          <w:rtl/>
        </w:rPr>
        <w:t>לכתחלה</w:t>
      </w:r>
      <w:r w:rsidRPr="00A14BB0">
        <w:rPr>
          <w:rFonts w:cs="Arial"/>
          <w:sz w:val="18"/>
          <w:szCs w:val="18"/>
          <w:rtl/>
        </w:rPr>
        <w:t xml:space="preserve">, </w:t>
      </w:r>
      <w:r w:rsidRPr="00A14BB0">
        <w:rPr>
          <w:rFonts w:cs="Arial" w:hint="cs"/>
          <w:sz w:val="18"/>
          <w:szCs w:val="18"/>
          <w:rtl/>
        </w:rPr>
        <w:t>אלא</w:t>
      </w:r>
      <w:r w:rsidRPr="00A14BB0">
        <w:rPr>
          <w:rFonts w:cs="Arial"/>
          <w:sz w:val="18"/>
          <w:szCs w:val="18"/>
          <w:rtl/>
        </w:rPr>
        <w:t xml:space="preserve"> </w:t>
      </w:r>
      <w:r w:rsidRPr="00A14BB0">
        <w:rPr>
          <w:rFonts w:cs="Arial" w:hint="cs"/>
          <w:sz w:val="18"/>
          <w:szCs w:val="18"/>
          <w:rtl/>
        </w:rPr>
        <w:t>מקרעין</w:t>
      </w:r>
      <w:r w:rsidRPr="00A14BB0">
        <w:rPr>
          <w:rFonts w:cs="Arial"/>
          <w:sz w:val="18"/>
          <w:szCs w:val="18"/>
          <w:rtl/>
        </w:rPr>
        <w:t xml:space="preserve"> </w:t>
      </w:r>
      <w:r w:rsidRPr="00A14BB0">
        <w:rPr>
          <w:rFonts w:cs="Arial" w:hint="cs"/>
          <w:sz w:val="18"/>
          <w:szCs w:val="18"/>
          <w:rtl/>
        </w:rPr>
        <w:t>נייר</w:t>
      </w:r>
      <w:r w:rsidRPr="00A14BB0">
        <w:rPr>
          <w:rFonts w:cs="Arial"/>
          <w:sz w:val="18"/>
          <w:szCs w:val="18"/>
          <w:rtl/>
        </w:rPr>
        <w:t xml:space="preserve"> </w:t>
      </w:r>
      <w:r w:rsidRPr="00A14BB0">
        <w:rPr>
          <w:rFonts w:cs="Arial" w:hint="cs"/>
          <w:sz w:val="18"/>
          <w:szCs w:val="18"/>
          <w:rtl/>
        </w:rPr>
        <w:t>חלק</w:t>
      </w:r>
      <w:r w:rsidRPr="00A14BB0">
        <w:rPr>
          <w:rFonts w:cs="Arial"/>
          <w:sz w:val="18"/>
          <w:szCs w:val="18"/>
          <w:rtl/>
        </w:rPr>
        <w:t xml:space="preserve"> </w:t>
      </w:r>
      <w:r w:rsidRPr="00A14BB0">
        <w:rPr>
          <w:rFonts w:cs="Arial" w:hint="cs"/>
          <w:sz w:val="18"/>
          <w:szCs w:val="18"/>
          <w:rtl/>
        </w:rPr>
        <w:t>לפניהם</w:t>
      </w:r>
      <w:r w:rsidRPr="00A14BB0">
        <w:rPr>
          <w:rFonts w:cs="Arial"/>
          <w:sz w:val="18"/>
          <w:szCs w:val="18"/>
          <w:rtl/>
        </w:rPr>
        <w:t xml:space="preserve">, </w:t>
      </w:r>
      <w:r w:rsidRPr="00A14BB0">
        <w:rPr>
          <w:rFonts w:cs="Arial" w:hint="cs"/>
          <w:sz w:val="18"/>
          <w:szCs w:val="18"/>
          <w:rtl/>
        </w:rPr>
        <w:t>והם</w:t>
      </w:r>
      <w:r w:rsidRPr="00A14BB0">
        <w:rPr>
          <w:rFonts w:cs="Arial"/>
          <w:sz w:val="18"/>
          <w:szCs w:val="18"/>
          <w:rtl/>
        </w:rPr>
        <w:t xml:space="preserve"> </w:t>
      </w:r>
      <w:r w:rsidRPr="00A14BB0">
        <w:rPr>
          <w:rFonts w:cs="Arial" w:hint="cs"/>
          <w:sz w:val="18"/>
          <w:szCs w:val="18"/>
          <w:rtl/>
        </w:rPr>
        <w:t>חותמין</w:t>
      </w:r>
      <w:r w:rsidRPr="00A14BB0">
        <w:rPr>
          <w:rFonts w:cs="Arial"/>
          <w:sz w:val="18"/>
          <w:szCs w:val="18"/>
          <w:rtl/>
        </w:rPr>
        <w:t xml:space="preserve"> </w:t>
      </w:r>
      <w:r w:rsidRPr="00A14BB0">
        <w:rPr>
          <w:rFonts w:cs="Arial" w:hint="cs"/>
          <w:sz w:val="18"/>
          <w:szCs w:val="18"/>
          <w:rtl/>
        </w:rPr>
        <w:t>דרך</w:t>
      </w:r>
      <w:r w:rsidRPr="00A14BB0">
        <w:rPr>
          <w:rFonts w:cs="Arial"/>
          <w:sz w:val="18"/>
          <w:szCs w:val="18"/>
          <w:rtl/>
        </w:rPr>
        <w:t xml:space="preserve"> </w:t>
      </w:r>
      <w:r w:rsidRPr="00A14BB0">
        <w:rPr>
          <w:rFonts w:cs="Arial" w:hint="cs"/>
          <w:sz w:val="18"/>
          <w:szCs w:val="18"/>
          <w:rtl/>
        </w:rPr>
        <w:t>הקרע</w:t>
      </w:r>
      <w:r w:rsidRPr="00A14BB0">
        <w:rPr>
          <w:rFonts w:cs="Arial"/>
          <w:sz w:val="18"/>
          <w:szCs w:val="18"/>
          <w:rtl/>
        </w:rPr>
        <w:t xml:space="preserve"> (</w:t>
      </w:r>
      <w:r w:rsidRPr="00A14BB0">
        <w:rPr>
          <w:rFonts w:cs="Arial" w:hint="cs"/>
          <w:sz w:val="18"/>
          <w:szCs w:val="18"/>
          <w:rtl/>
        </w:rPr>
        <w:t>טור</w:t>
      </w:r>
      <w:r w:rsidRPr="00A14BB0">
        <w:rPr>
          <w:rFonts w:cs="Arial"/>
          <w:sz w:val="18"/>
          <w:szCs w:val="18"/>
          <w:rtl/>
        </w:rPr>
        <w:t xml:space="preserve"> </w:t>
      </w:r>
      <w:r w:rsidRPr="00A14BB0">
        <w:rPr>
          <w:rFonts w:cs="Arial" w:hint="cs"/>
          <w:sz w:val="18"/>
          <w:szCs w:val="18"/>
          <w:rtl/>
        </w:rPr>
        <w:t>בשם</w:t>
      </w:r>
      <w:r w:rsidRPr="00A14BB0">
        <w:rPr>
          <w:rFonts w:cs="Arial"/>
          <w:sz w:val="18"/>
          <w:szCs w:val="18"/>
          <w:rtl/>
        </w:rPr>
        <w:t xml:space="preserve"> </w:t>
      </w:r>
      <w:r w:rsidRPr="00A14BB0">
        <w:rPr>
          <w:rFonts w:cs="Arial" w:hint="cs"/>
          <w:sz w:val="18"/>
          <w:szCs w:val="18"/>
          <w:rtl/>
        </w:rPr>
        <w:t>הרמ</w:t>
      </w:r>
      <w:r w:rsidRPr="00A14BB0">
        <w:rPr>
          <w:rFonts w:cs="Arial"/>
          <w:sz w:val="18"/>
          <w:szCs w:val="18"/>
          <w:rtl/>
        </w:rPr>
        <w:t>"</w:t>
      </w:r>
      <w:r w:rsidRPr="00A14BB0">
        <w:rPr>
          <w:rFonts w:cs="Arial" w:hint="cs"/>
          <w:sz w:val="18"/>
          <w:szCs w:val="18"/>
          <w:rtl/>
        </w:rPr>
        <w:t>ה</w:t>
      </w:r>
      <w:r w:rsidRPr="00A14BB0">
        <w:rPr>
          <w:rFonts w:cs="Arial"/>
          <w:sz w:val="18"/>
          <w:szCs w:val="18"/>
          <w:rtl/>
        </w:rPr>
        <w:t>).</w:t>
      </w:r>
      <w:r>
        <w:rPr>
          <w:rFonts w:cs="Arial"/>
          <w:rtl/>
        </w:rPr>
        <w:t xml:space="preserve"> </w:t>
      </w:r>
    </w:p>
    <w:p w14:paraId="08D22A1D" w14:textId="77777777" w:rsidR="00FA2119" w:rsidRPr="00F25FC6" w:rsidRDefault="00FA2119" w:rsidP="00FA2119">
      <w:pPr>
        <w:rPr>
          <w:u w:val="single"/>
          <w:rtl/>
        </w:rPr>
      </w:pPr>
      <w:r w:rsidRPr="00F25FC6">
        <w:rPr>
          <w:rFonts w:hint="cs"/>
          <w:u w:val="single"/>
          <w:rtl/>
        </w:rPr>
        <w:t>עד שאינו יודע לחתום ואדם אחר מסייעו לחתום:</w:t>
      </w:r>
    </w:p>
    <w:p w14:paraId="01A660E6" w14:textId="484E6B2D" w:rsidR="00FA2119" w:rsidRDefault="00FA2119" w:rsidP="00FA2119">
      <w:pPr>
        <w:pStyle w:val="ab"/>
        <w:numPr>
          <w:ilvl w:val="0"/>
          <w:numId w:val="87"/>
        </w:numPr>
        <w:rPr>
          <w:rtl/>
        </w:rPr>
      </w:pPr>
      <w:r w:rsidRPr="00F25FC6">
        <w:rPr>
          <w:rFonts w:cs="Arial" w:hint="cs"/>
          <w:rtl/>
        </w:rPr>
        <w:t xml:space="preserve">פת"ש </w:t>
      </w:r>
      <w:r w:rsidRPr="00F25FC6">
        <w:rPr>
          <w:rFonts w:cs="Arial" w:hint="cs"/>
          <w:sz w:val="16"/>
          <w:szCs w:val="16"/>
          <w:rtl/>
        </w:rPr>
        <w:t>(סק"י)</w:t>
      </w:r>
      <w:r w:rsidR="00A82951">
        <w:rPr>
          <w:rFonts w:cs="Arial" w:hint="cs"/>
          <w:rtl/>
        </w:rPr>
        <w:t>-</w:t>
      </w:r>
      <w:r w:rsidRPr="00F25FC6">
        <w:rPr>
          <w:rFonts w:cs="Arial" w:hint="cs"/>
          <w:rtl/>
        </w:rPr>
        <w:t xml:space="preserve"> </w:t>
      </w:r>
      <w:r w:rsidRPr="00F25FC6">
        <w:rPr>
          <w:rFonts w:cs="Arial"/>
          <w:rtl/>
        </w:rPr>
        <w:t xml:space="preserve">עיין בס' ג"פ לעיל </w:t>
      </w:r>
      <w:r>
        <w:rPr>
          <w:rFonts w:cs="Arial" w:hint="cs"/>
          <w:rtl/>
        </w:rPr>
        <w:t>(</w:t>
      </w:r>
      <w:r w:rsidRPr="00F25FC6">
        <w:rPr>
          <w:rFonts w:cs="Arial"/>
          <w:rtl/>
        </w:rPr>
        <w:t>סי</w:t>
      </w:r>
      <w:r>
        <w:rPr>
          <w:rFonts w:cs="Arial" w:hint="cs"/>
          <w:rtl/>
        </w:rPr>
        <w:t>'</w:t>
      </w:r>
      <w:r w:rsidRPr="00F25FC6">
        <w:rPr>
          <w:rFonts w:cs="Arial"/>
          <w:rtl/>
        </w:rPr>
        <w:t xml:space="preserve"> קכג סק"ט</w:t>
      </w:r>
      <w:r>
        <w:rPr>
          <w:rFonts w:cs="Arial" w:hint="cs"/>
          <w:rtl/>
        </w:rPr>
        <w:t>)</w:t>
      </w:r>
      <w:r w:rsidRPr="00F25FC6">
        <w:rPr>
          <w:rFonts w:cs="Arial"/>
          <w:rtl/>
        </w:rPr>
        <w:t xml:space="preserve"> שכ' בשם תומת ישרי' </w:t>
      </w:r>
      <w:r>
        <w:rPr>
          <w:rFonts w:cs="Arial" w:hint="cs"/>
          <w:rtl/>
        </w:rPr>
        <w:t>(</w:t>
      </w:r>
      <w:r w:rsidRPr="00F25FC6">
        <w:rPr>
          <w:rFonts w:cs="Arial"/>
          <w:rtl/>
        </w:rPr>
        <w:t>סי</w:t>
      </w:r>
      <w:r>
        <w:rPr>
          <w:rFonts w:cs="Arial" w:hint="cs"/>
          <w:rtl/>
        </w:rPr>
        <w:t>'</w:t>
      </w:r>
      <w:r w:rsidRPr="00F25FC6">
        <w:rPr>
          <w:rFonts w:cs="Arial"/>
          <w:rtl/>
        </w:rPr>
        <w:t xml:space="preserve"> קמב</w:t>
      </w:r>
      <w:r>
        <w:rPr>
          <w:rFonts w:cs="Arial" w:hint="cs"/>
          <w:rtl/>
        </w:rPr>
        <w:t>)</w:t>
      </w:r>
      <w:r w:rsidRPr="00F25FC6">
        <w:rPr>
          <w:rFonts w:cs="Arial"/>
          <w:rtl/>
        </w:rPr>
        <w:t xml:space="preserve"> שכ' בשם רבינו ישעי' השני שהחותם ע"י לבלר</w:t>
      </w:r>
      <w:r w:rsidR="001F6DBF">
        <w:rPr>
          <w:rFonts w:cs="Arial" w:hint="cs"/>
          <w:rtl/>
        </w:rPr>
        <w:t>,</w:t>
      </w:r>
      <w:r w:rsidRPr="00F25FC6">
        <w:rPr>
          <w:rFonts w:cs="Arial"/>
          <w:rtl/>
        </w:rPr>
        <w:t xml:space="preserve"> שהלבלר אוחז ידיו וכותב </w:t>
      </w:r>
      <w:r w:rsidR="001F6DBF">
        <w:rPr>
          <w:rFonts w:cs="Arial" w:hint="cs"/>
          <w:rtl/>
        </w:rPr>
        <w:t xml:space="preserve">- </w:t>
      </w:r>
      <w:r w:rsidRPr="00F25FC6">
        <w:rPr>
          <w:rFonts w:cs="Arial"/>
          <w:rtl/>
        </w:rPr>
        <w:t>אין חתימתו מועלת כלום</w:t>
      </w:r>
      <w:r w:rsidR="001F6DBF">
        <w:rPr>
          <w:rFonts w:cs="Arial" w:hint="cs"/>
          <w:rtl/>
        </w:rPr>
        <w:t>,</w:t>
      </w:r>
      <w:r w:rsidRPr="00F25FC6">
        <w:rPr>
          <w:rFonts w:cs="Arial"/>
          <w:rtl/>
        </w:rPr>
        <w:t xml:space="preserve"> שאין זו כתיבת החותם</w:t>
      </w:r>
      <w:r w:rsidR="001F6DBF">
        <w:rPr>
          <w:rFonts w:cs="Arial" w:hint="cs"/>
          <w:rtl/>
        </w:rPr>
        <w:t>,</w:t>
      </w:r>
      <w:r w:rsidRPr="00F25FC6">
        <w:rPr>
          <w:rFonts w:cs="Arial"/>
          <w:rtl/>
        </w:rPr>
        <w:t xml:space="preserve"> והאריך בראיו' עכ"ל</w:t>
      </w:r>
      <w:r>
        <w:rPr>
          <w:rFonts w:cs="Arial" w:hint="cs"/>
          <w:rtl/>
        </w:rPr>
        <w:t>.</w:t>
      </w:r>
      <w:r w:rsidRPr="00F25FC6">
        <w:rPr>
          <w:rFonts w:cs="Arial"/>
          <w:rtl/>
        </w:rPr>
        <w:t xml:space="preserve"> וכן מבואר מדברי המג"א </w:t>
      </w:r>
      <w:r>
        <w:rPr>
          <w:rFonts w:cs="Arial" w:hint="cs"/>
          <w:rtl/>
        </w:rPr>
        <w:t>(</w:t>
      </w:r>
      <w:r w:rsidRPr="00F25FC6">
        <w:rPr>
          <w:rFonts w:cs="Arial"/>
          <w:rtl/>
        </w:rPr>
        <w:t>בא"ח סי</w:t>
      </w:r>
      <w:r>
        <w:rPr>
          <w:rFonts w:cs="Arial" w:hint="cs"/>
          <w:rtl/>
        </w:rPr>
        <w:t>'</w:t>
      </w:r>
      <w:r w:rsidRPr="00F25FC6">
        <w:rPr>
          <w:rFonts w:cs="Arial"/>
          <w:rtl/>
        </w:rPr>
        <w:t xml:space="preserve"> שמ </w:t>
      </w:r>
      <w:r>
        <w:rPr>
          <w:rFonts w:cs="Arial" w:hint="cs"/>
          <w:rtl/>
        </w:rPr>
        <w:t>סק"ז)</w:t>
      </w:r>
      <w:r w:rsidRPr="00F25FC6">
        <w:rPr>
          <w:rFonts w:cs="Arial"/>
          <w:rtl/>
        </w:rPr>
        <w:t xml:space="preserve"> קטן אוחז בקולמס וגדול אוחז בידו וכותב </w:t>
      </w:r>
      <w:r w:rsidR="001F6DBF">
        <w:rPr>
          <w:rFonts w:cs="Arial" w:hint="cs"/>
          <w:rtl/>
        </w:rPr>
        <w:t xml:space="preserve">- </w:t>
      </w:r>
      <w:r w:rsidRPr="00F25FC6">
        <w:rPr>
          <w:rFonts w:cs="Arial"/>
          <w:rtl/>
        </w:rPr>
        <w:t>חייב גדול אוחז כו' ע"ש</w:t>
      </w:r>
      <w:r>
        <w:rPr>
          <w:rFonts w:cs="Arial" w:hint="cs"/>
          <w:rtl/>
        </w:rPr>
        <w:t>,</w:t>
      </w:r>
      <w:r w:rsidRPr="00F25FC6">
        <w:rPr>
          <w:rFonts w:cs="Arial"/>
          <w:rtl/>
        </w:rPr>
        <w:t xml:space="preserve"> והוא מדברי הרמב"ם </w:t>
      </w:r>
      <w:r>
        <w:rPr>
          <w:rFonts w:cs="Arial" w:hint="cs"/>
          <w:rtl/>
        </w:rPr>
        <w:t>(</w:t>
      </w:r>
      <w:r w:rsidRPr="00F25FC6">
        <w:rPr>
          <w:rFonts w:cs="Arial"/>
          <w:rtl/>
        </w:rPr>
        <w:t xml:space="preserve">פי"א מהל' שבת </w:t>
      </w:r>
      <w:r>
        <w:rPr>
          <w:rFonts w:cs="Arial" w:hint="cs"/>
          <w:rtl/>
        </w:rPr>
        <w:t>ה</w:t>
      </w:r>
      <w:r w:rsidRPr="00F25FC6">
        <w:rPr>
          <w:rFonts w:cs="Arial"/>
          <w:rtl/>
        </w:rPr>
        <w:t>י"ד</w:t>
      </w:r>
      <w:r>
        <w:rPr>
          <w:rFonts w:cs="Arial" w:hint="cs"/>
          <w:rtl/>
        </w:rPr>
        <w:t>).</w:t>
      </w:r>
      <w:r w:rsidRPr="00F25FC6">
        <w:rPr>
          <w:rFonts w:cs="Arial"/>
          <w:rtl/>
        </w:rPr>
        <w:t xml:space="preserve"> וצ"ע בזה בתוספתא שבת </w:t>
      </w:r>
      <w:r>
        <w:rPr>
          <w:rFonts w:cs="Arial" w:hint="cs"/>
          <w:rtl/>
        </w:rPr>
        <w:t>(</w:t>
      </w:r>
      <w:r w:rsidRPr="00F25FC6">
        <w:rPr>
          <w:rFonts w:cs="Arial"/>
          <w:rtl/>
        </w:rPr>
        <w:t>פי"ב ה</w:t>
      </w:r>
      <w:r>
        <w:rPr>
          <w:rFonts w:cs="Arial" w:hint="cs"/>
          <w:rtl/>
        </w:rPr>
        <w:t>"י)</w:t>
      </w:r>
      <w:r w:rsidRPr="00F25FC6">
        <w:rPr>
          <w:rFonts w:cs="Arial"/>
          <w:rtl/>
        </w:rPr>
        <w:t xml:space="preserve"> דאיתא שם נתכוון לסייעו האוחז בקולמס חייב כו'</w:t>
      </w:r>
      <w:r>
        <w:rPr>
          <w:rFonts w:cs="Arial" w:hint="cs"/>
          <w:rtl/>
        </w:rPr>
        <w:t>,</w:t>
      </w:r>
      <w:r w:rsidRPr="00F25FC6">
        <w:rPr>
          <w:rFonts w:cs="Arial"/>
          <w:rtl/>
        </w:rPr>
        <w:t xml:space="preserve"> כפי גירסת רבינו הגר"א ז"ל שם</w:t>
      </w:r>
      <w:r w:rsidRPr="00F25FC6">
        <w:rPr>
          <w:rFonts w:cs="Arial" w:hint="cs"/>
          <w:rtl/>
        </w:rPr>
        <w:t>.</w:t>
      </w:r>
    </w:p>
    <w:p w14:paraId="66DFFA2B" w14:textId="77777777" w:rsidR="00FA2119" w:rsidRDefault="00FA2119" w:rsidP="00FA2119">
      <w:pPr>
        <w:rPr>
          <w:rtl/>
        </w:rPr>
      </w:pPr>
    </w:p>
    <w:p w14:paraId="398D40AE" w14:textId="77777777" w:rsidR="00FA2119" w:rsidRDefault="00FA2119" w:rsidP="00FA2119">
      <w:pPr>
        <w:pStyle w:val="2"/>
        <w:rPr>
          <w:rtl/>
        </w:rPr>
      </w:pPr>
      <w:r>
        <w:rPr>
          <w:rFonts w:hint="cs"/>
          <w:rtl/>
        </w:rPr>
        <w:t>סעיף</w:t>
      </w:r>
      <w:r>
        <w:rPr>
          <w:rtl/>
        </w:rPr>
        <w:t xml:space="preserve"> </w:t>
      </w:r>
      <w:r>
        <w:rPr>
          <w:rFonts w:hint="cs"/>
          <w:rtl/>
        </w:rPr>
        <w:t>יז: גט שחתם בו כותי או פסול.</w:t>
      </w:r>
    </w:p>
    <w:p w14:paraId="7AF71837" w14:textId="4DC383D0" w:rsidR="00FA2119" w:rsidRPr="00417621" w:rsidRDefault="00FA2119" w:rsidP="00FA2119">
      <w:pPr>
        <w:rPr>
          <w:rtl/>
        </w:rPr>
      </w:pPr>
      <w:r>
        <w:rPr>
          <w:rFonts w:cs="Arial" w:hint="cs"/>
          <w:b/>
          <w:bCs/>
          <w:rtl/>
        </w:rPr>
        <w:t xml:space="preserve">חולין </w:t>
      </w:r>
      <w:r w:rsidRPr="00975E49">
        <w:rPr>
          <w:rFonts w:cs="Arial" w:hint="cs"/>
          <w:b/>
          <w:bCs/>
          <w:sz w:val="16"/>
          <w:szCs w:val="16"/>
          <w:rtl/>
        </w:rPr>
        <w:t>(</w:t>
      </w:r>
      <w:r>
        <w:rPr>
          <w:rFonts w:cs="Arial" w:hint="cs"/>
          <w:b/>
          <w:bCs/>
          <w:sz w:val="16"/>
          <w:szCs w:val="16"/>
          <w:rtl/>
        </w:rPr>
        <w:t>פ"ק</w:t>
      </w:r>
      <w:r w:rsidRPr="00975E49">
        <w:rPr>
          <w:rFonts w:cs="Arial" w:hint="cs"/>
          <w:b/>
          <w:bCs/>
          <w:sz w:val="16"/>
          <w:szCs w:val="16"/>
          <w:rtl/>
        </w:rPr>
        <w:t xml:space="preserve">) </w:t>
      </w:r>
      <w:r>
        <w:rPr>
          <w:rFonts w:cs="Arial" w:hint="cs"/>
          <w:b/>
          <w:bCs/>
          <w:rtl/>
        </w:rPr>
        <w:t xml:space="preserve">ו ע"א: </w:t>
      </w:r>
      <w:r w:rsidRPr="00975E49">
        <w:rPr>
          <w:rFonts w:cs="Arial"/>
          <w:u w:val="single"/>
          <w:rtl/>
        </w:rPr>
        <w:t>רבי יצחק בן יוסף</w:t>
      </w:r>
      <w:r w:rsidRPr="00975E49">
        <w:rPr>
          <w:rFonts w:cs="Arial"/>
          <w:rtl/>
        </w:rPr>
        <w:t xml:space="preserve"> שדריה רבי אבהו לאתויי חמרא מבי כותאי, אשכחיה ההוא סבא, </w:t>
      </w:r>
      <w:r w:rsidRPr="00975E49">
        <w:rPr>
          <w:rFonts w:cs="Arial"/>
          <w:u w:val="single"/>
          <w:rtl/>
        </w:rPr>
        <w:t>א"ל</w:t>
      </w:r>
      <w:r w:rsidRPr="00975E49">
        <w:rPr>
          <w:rFonts w:cs="Arial"/>
          <w:rtl/>
        </w:rPr>
        <w:t xml:space="preserve">: לית כאן שומרי תורה. הלך רבי יצחק וספר דברים </w:t>
      </w:r>
      <w:r w:rsidR="00A82951">
        <w:rPr>
          <w:rFonts w:cs="Arial"/>
          <w:rtl/>
        </w:rPr>
        <w:t>-</w:t>
      </w:r>
      <w:r w:rsidRPr="00975E49">
        <w:rPr>
          <w:rFonts w:cs="Arial"/>
          <w:rtl/>
        </w:rPr>
        <w:t xml:space="preserve"> לפני רבי אבהו, והלך רבי אבהו וספר דברים לפני רבי אמי ורבי אסי, ולא זזו משם עד שעשאום עובדי כוכבים גמורין. למאי? אי לשחיטה ויין נסך, מהתם גזרו בהו רבנן! אינהו גזור ולא קבלו מינייהו, אתו רבי אמי ורבי אסי גזרו וקבלו מינייהו. מאי עובדי כוכבים גמורין? </w:t>
      </w:r>
      <w:r w:rsidRPr="00975E49">
        <w:rPr>
          <w:rFonts w:cs="Arial"/>
          <w:u w:val="single"/>
          <w:rtl/>
        </w:rPr>
        <w:t>אמר ר"נ בר יצחק</w:t>
      </w:r>
      <w:r w:rsidRPr="00975E49">
        <w:rPr>
          <w:rFonts w:cs="Arial"/>
          <w:rtl/>
        </w:rPr>
        <w:t xml:space="preserve">: לבטל רשות וליתן </w:t>
      </w:r>
      <w:r w:rsidRPr="00975E49">
        <w:rPr>
          <w:rFonts w:cs="Arial"/>
          <w:rtl/>
        </w:rPr>
        <w:lastRenderedPageBreak/>
        <w:t xml:space="preserve">רשות, וכדתניא: ישראל מומר משמר שבתו בשוק </w:t>
      </w:r>
      <w:r w:rsidR="00A82951">
        <w:rPr>
          <w:rFonts w:cs="Arial"/>
          <w:rtl/>
        </w:rPr>
        <w:t>-</w:t>
      </w:r>
      <w:r w:rsidRPr="00975E49">
        <w:rPr>
          <w:rFonts w:cs="Arial"/>
          <w:rtl/>
        </w:rPr>
        <w:t xml:space="preserve"> מבטל רשות ונותן רשות, ושאינו משמר שבתו בשוק </w:t>
      </w:r>
      <w:r w:rsidR="00A82951">
        <w:rPr>
          <w:rFonts w:cs="Arial"/>
          <w:rtl/>
        </w:rPr>
        <w:t>-</w:t>
      </w:r>
      <w:r w:rsidRPr="00975E49">
        <w:rPr>
          <w:rFonts w:cs="Arial"/>
          <w:rtl/>
        </w:rPr>
        <w:t xml:space="preserve"> אינו מבטל רשות ונותן רשות</w:t>
      </w:r>
      <w:r>
        <w:rPr>
          <w:rFonts w:hint="cs"/>
          <w:rtl/>
        </w:rPr>
        <w:t>.</w:t>
      </w:r>
    </w:p>
    <w:p w14:paraId="74690158" w14:textId="6C2A35EE" w:rsidR="00FA2119" w:rsidRDefault="00FA2119" w:rsidP="00FA2119">
      <w:pPr>
        <w:rPr>
          <w:rtl/>
        </w:rPr>
      </w:pPr>
      <w:r>
        <w:rPr>
          <w:rFonts w:hint="cs"/>
          <w:b/>
          <w:bCs/>
          <w:rtl/>
        </w:rPr>
        <w:t>גיטין</w:t>
      </w:r>
      <w:r>
        <w:rPr>
          <w:b/>
          <w:bCs/>
          <w:rtl/>
        </w:rPr>
        <w:t xml:space="preserve"> </w:t>
      </w:r>
      <w:r>
        <w:rPr>
          <w:b/>
          <w:bCs/>
          <w:szCs w:val="16"/>
          <w:rtl/>
        </w:rPr>
        <w:t>(פ</w:t>
      </w:r>
      <w:r>
        <w:rPr>
          <w:rFonts w:hint="cs"/>
          <w:b/>
          <w:bCs/>
          <w:szCs w:val="16"/>
          <w:rtl/>
        </w:rPr>
        <w:t>"ק</w:t>
      </w:r>
      <w:r>
        <w:rPr>
          <w:b/>
          <w:bCs/>
          <w:szCs w:val="16"/>
          <w:rtl/>
        </w:rPr>
        <w:t xml:space="preserve">) </w:t>
      </w:r>
      <w:r>
        <w:rPr>
          <w:b/>
          <w:bCs/>
          <w:rtl/>
        </w:rPr>
        <w:t>י ע"א:</w:t>
      </w:r>
      <w:r w:rsidRPr="00417621">
        <w:rPr>
          <w:rtl/>
        </w:rPr>
        <w:t xml:space="preserve"> </w:t>
      </w:r>
      <w:r w:rsidRPr="00417621">
        <w:rPr>
          <w:rFonts w:cs="Arial"/>
          <w:u w:val="double"/>
          <w:rtl/>
        </w:rPr>
        <w:t>מתני'</w:t>
      </w:r>
      <w:r>
        <w:rPr>
          <w:rFonts w:cs="Arial" w:hint="cs"/>
          <w:rtl/>
        </w:rPr>
        <w:t>:</w:t>
      </w:r>
      <w:r>
        <w:rPr>
          <w:rFonts w:cs="Arial"/>
          <w:rtl/>
        </w:rPr>
        <w:t xml:space="preserve"> כל גט שיש עליו עד כותי </w:t>
      </w:r>
      <w:r w:rsidR="00A82951">
        <w:rPr>
          <w:rFonts w:cs="Arial"/>
          <w:rtl/>
        </w:rPr>
        <w:t>-</w:t>
      </w:r>
      <w:r>
        <w:rPr>
          <w:rFonts w:cs="Arial"/>
          <w:rtl/>
        </w:rPr>
        <w:t xml:space="preserve"> פסול, חוץ מגיטי נשים ושחרורי עבדים. מעשה שהביאו לפני ר"ג לכפר עותנאי גט אשה, והיו עדיו עדי כותים והכשיר</w:t>
      </w:r>
      <w:r>
        <w:rPr>
          <w:rFonts w:cs="Arial" w:hint="cs"/>
          <w:rtl/>
        </w:rPr>
        <w:t>.</w:t>
      </w:r>
      <w:r w:rsidRPr="009426B8">
        <w:rPr>
          <w:rtl/>
        </w:rPr>
        <w:t xml:space="preserve"> </w:t>
      </w:r>
      <w:r>
        <w:rPr>
          <w:rFonts w:cs="Arial" w:hint="cs"/>
          <w:rtl/>
        </w:rPr>
        <w:t xml:space="preserve">       </w:t>
      </w:r>
      <w:r w:rsidRPr="009426B8">
        <w:rPr>
          <w:rFonts w:cs="Arial"/>
          <w:u w:val="double"/>
          <w:rtl/>
        </w:rPr>
        <w:t>גמ'</w:t>
      </w:r>
      <w:r>
        <w:rPr>
          <w:rFonts w:cs="Arial" w:hint="cs"/>
          <w:rtl/>
        </w:rPr>
        <w:t>:</w:t>
      </w:r>
      <w:r w:rsidRPr="009426B8">
        <w:rPr>
          <w:rFonts w:cs="Arial"/>
          <w:rtl/>
        </w:rPr>
        <w:t xml:space="preserve"> מני מתני'?</w:t>
      </w:r>
      <w:r>
        <w:rPr>
          <w:rFonts w:cs="Arial" w:hint="cs"/>
          <w:rtl/>
        </w:rPr>
        <w:t>...</w:t>
      </w:r>
      <w:r w:rsidRPr="009426B8">
        <w:rPr>
          <w:rFonts w:cs="Arial"/>
          <w:rtl/>
        </w:rPr>
        <w:t xml:space="preserve"> לעולם רבי אלעזר, וכגון דחתים ישראל לבסוף,</w:t>
      </w:r>
      <w:r>
        <w:rPr>
          <w:rFonts w:hint="cs"/>
          <w:sz w:val="14"/>
          <w:szCs w:val="14"/>
          <w:rtl/>
        </w:rPr>
        <w:t xml:space="preserve"> (י:) </w:t>
      </w:r>
      <w:r w:rsidRPr="009426B8">
        <w:rPr>
          <w:rFonts w:cs="Arial"/>
          <w:rtl/>
        </w:rPr>
        <w:t>דאי לאו דכותי חבר הוה, לא מחתים ליה מקמיה.</w:t>
      </w:r>
      <w:r>
        <w:rPr>
          <w:rFonts w:cs="Arial" w:hint="cs"/>
          <w:rtl/>
        </w:rPr>
        <w:t>.</w:t>
      </w:r>
      <w:r w:rsidRPr="009426B8">
        <w:rPr>
          <w:rFonts w:cs="Arial"/>
          <w:rtl/>
        </w:rPr>
        <w:t xml:space="preserve">. גופא, אמר רבי אלעזר: לא הכשירו בו אלא עד אחד כותי בלבד. מאי קמ"ל? תנינא: כל גט שיש עליו עד כותי </w:t>
      </w:r>
      <w:r w:rsidR="00A82951">
        <w:rPr>
          <w:rFonts w:cs="Arial"/>
          <w:rtl/>
        </w:rPr>
        <w:t>-</w:t>
      </w:r>
      <w:r w:rsidRPr="009426B8">
        <w:rPr>
          <w:rFonts w:cs="Arial"/>
          <w:rtl/>
        </w:rPr>
        <w:t xml:space="preserve"> פסול כו'! אי ממתניתין, הוה אמינא אפי' תרי נמי, והאי דקתני חד </w:t>
      </w:r>
      <w:r w:rsidR="00A82951">
        <w:rPr>
          <w:rFonts w:cs="Arial"/>
          <w:rtl/>
        </w:rPr>
        <w:t>-</w:t>
      </w:r>
      <w:r w:rsidRPr="009426B8">
        <w:rPr>
          <w:rFonts w:cs="Arial"/>
          <w:rtl/>
        </w:rPr>
        <w:t xml:space="preserve"> משום דבשטרות אפי' חד נמי לא, קמ"ל. ותרי לא? והא קתני: מעשה והביאו לפני רבן גמליאל לכפר עותנאי גט אשה, והיו עדיו עדי כותים והכשיר! </w:t>
      </w:r>
      <w:r w:rsidRPr="009426B8">
        <w:rPr>
          <w:rFonts w:cs="Arial"/>
          <w:u w:val="single"/>
          <w:rtl/>
        </w:rPr>
        <w:t>אמר אביי</w:t>
      </w:r>
      <w:r>
        <w:rPr>
          <w:rFonts w:cs="Arial" w:hint="cs"/>
          <w:rtl/>
        </w:rPr>
        <w:t>:</w:t>
      </w:r>
      <w:r w:rsidRPr="009426B8">
        <w:rPr>
          <w:rFonts w:cs="Arial"/>
          <w:rtl/>
        </w:rPr>
        <w:t xml:space="preserve"> תני</w:t>
      </w:r>
      <w:r>
        <w:rPr>
          <w:rFonts w:cs="Arial" w:hint="cs"/>
          <w:rtl/>
        </w:rPr>
        <w:t xml:space="preserve"> </w:t>
      </w:r>
      <w:r w:rsidR="00A82951">
        <w:rPr>
          <w:rFonts w:cs="Arial" w:hint="cs"/>
          <w:rtl/>
        </w:rPr>
        <w:t>-</w:t>
      </w:r>
      <w:r w:rsidRPr="009426B8">
        <w:rPr>
          <w:rFonts w:cs="Arial"/>
          <w:rtl/>
        </w:rPr>
        <w:t xml:space="preserve"> עדו. </w:t>
      </w:r>
      <w:r w:rsidRPr="009426B8">
        <w:rPr>
          <w:rFonts w:cs="Arial"/>
          <w:u w:val="single"/>
          <w:rtl/>
        </w:rPr>
        <w:t>רבא אמר</w:t>
      </w:r>
      <w:r>
        <w:rPr>
          <w:rFonts w:cs="Arial" w:hint="cs"/>
          <w:rtl/>
        </w:rPr>
        <w:t>:</w:t>
      </w:r>
      <w:r w:rsidRPr="009426B8">
        <w:rPr>
          <w:rFonts w:cs="Arial"/>
          <w:rtl/>
        </w:rPr>
        <w:t xml:space="preserve"> לעולם תרי, ורבן גמליאל מיפלג פליג, וחסורי מיחסרא והכי קתני: ורבן גמליאל מכשיר בשנים, ומעשה נמי שהביאו לפני רבן גמליאל לכפר עותנאי גט אשה, והיו עדיו עדי כותים והכשיר.</w:t>
      </w:r>
      <w:r w:rsidRPr="009426B8">
        <w:rPr>
          <w:rFonts w:cs="Arial" w:hint="cs"/>
          <w:sz w:val="16"/>
          <w:szCs w:val="16"/>
          <w:rtl/>
        </w:rPr>
        <w:t xml:space="preserve"> </w:t>
      </w:r>
      <w:r>
        <w:rPr>
          <w:rFonts w:cs="Arial" w:hint="cs"/>
          <w:sz w:val="16"/>
          <w:szCs w:val="16"/>
          <w:rtl/>
        </w:rPr>
        <w:t>(</w:t>
      </w:r>
      <w:r w:rsidRPr="009426B8">
        <w:rPr>
          <w:rFonts w:cs="Arial" w:hint="cs"/>
          <w:sz w:val="16"/>
          <w:szCs w:val="16"/>
          <w:rtl/>
        </w:rPr>
        <w:t>ו</w:t>
      </w:r>
      <w:r w:rsidRPr="009426B8">
        <w:rPr>
          <w:rFonts w:cs="Arial"/>
          <w:sz w:val="16"/>
          <w:szCs w:val="16"/>
          <w:rtl/>
        </w:rPr>
        <w:t>כתבו הרי"ף (ג.) והרא"ש (סי' ט) והאידנא כל עד כותי פסול בין בגיטי נשים בין בשאר שטרות דגרסינן בפ</w:t>
      </w:r>
      <w:r>
        <w:rPr>
          <w:rFonts w:cs="Arial" w:hint="cs"/>
          <w:sz w:val="16"/>
          <w:szCs w:val="16"/>
          <w:rtl/>
        </w:rPr>
        <w:t>"</w:t>
      </w:r>
      <w:r w:rsidRPr="009426B8">
        <w:rPr>
          <w:rFonts w:cs="Arial"/>
          <w:sz w:val="16"/>
          <w:szCs w:val="16"/>
          <w:rtl/>
        </w:rPr>
        <w:t>ק דחולין (ו.) לא זזו משם עד שעשאום כגוים גמורים</w:t>
      </w:r>
      <w:r w:rsidRPr="009426B8">
        <w:rPr>
          <w:rFonts w:cs="Arial" w:hint="cs"/>
          <w:sz w:val="16"/>
          <w:szCs w:val="16"/>
          <w:rtl/>
        </w:rPr>
        <w:t>.</w:t>
      </w:r>
      <w:r w:rsidRPr="009426B8">
        <w:rPr>
          <w:rFonts w:cs="Arial"/>
          <w:sz w:val="16"/>
          <w:szCs w:val="16"/>
          <w:rtl/>
        </w:rPr>
        <w:t xml:space="preserve"> וכ</w:t>
      </w:r>
      <w:r w:rsidRPr="009426B8">
        <w:rPr>
          <w:rFonts w:cs="Arial" w:hint="cs"/>
          <w:sz w:val="16"/>
          <w:szCs w:val="16"/>
          <w:rtl/>
        </w:rPr>
        <w:t>"</w:t>
      </w:r>
      <w:r w:rsidRPr="009426B8">
        <w:rPr>
          <w:rFonts w:cs="Arial"/>
          <w:sz w:val="16"/>
          <w:szCs w:val="16"/>
          <w:rtl/>
        </w:rPr>
        <w:t xml:space="preserve">כ הרמב"ם </w:t>
      </w:r>
      <w:r w:rsidRPr="009426B8">
        <w:rPr>
          <w:rFonts w:cs="Arial" w:hint="cs"/>
          <w:sz w:val="16"/>
          <w:szCs w:val="16"/>
          <w:rtl/>
        </w:rPr>
        <w:t>(</w:t>
      </w:r>
      <w:r w:rsidRPr="009426B8">
        <w:rPr>
          <w:rFonts w:cs="Arial"/>
          <w:sz w:val="16"/>
          <w:szCs w:val="16"/>
          <w:rtl/>
        </w:rPr>
        <w:t>פ</w:t>
      </w:r>
      <w:r w:rsidRPr="009426B8">
        <w:rPr>
          <w:rFonts w:cs="Arial" w:hint="cs"/>
          <w:sz w:val="16"/>
          <w:szCs w:val="16"/>
          <w:rtl/>
        </w:rPr>
        <w:t>"</w:t>
      </w:r>
      <w:r w:rsidRPr="009426B8">
        <w:rPr>
          <w:rFonts w:cs="Arial"/>
          <w:sz w:val="16"/>
          <w:szCs w:val="16"/>
          <w:rtl/>
        </w:rPr>
        <w:t>ו מהל</w:t>
      </w:r>
      <w:r w:rsidRPr="009426B8">
        <w:rPr>
          <w:rFonts w:cs="Arial" w:hint="cs"/>
          <w:sz w:val="16"/>
          <w:szCs w:val="16"/>
          <w:rtl/>
        </w:rPr>
        <w:t>'</w:t>
      </w:r>
      <w:r w:rsidRPr="009426B8">
        <w:rPr>
          <w:rFonts w:cs="Arial"/>
          <w:sz w:val="16"/>
          <w:szCs w:val="16"/>
          <w:rtl/>
        </w:rPr>
        <w:t xml:space="preserve"> עבדים ה"ו)</w:t>
      </w:r>
      <w:r>
        <w:rPr>
          <w:rFonts w:cs="Arial" w:hint="cs"/>
          <w:sz w:val="16"/>
          <w:szCs w:val="16"/>
          <w:rtl/>
        </w:rPr>
        <w:t>, ב"י)</w:t>
      </w:r>
    </w:p>
    <w:p w14:paraId="7B658779" w14:textId="36D1B0BC" w:rsidR="00FA2119" w:rsidRDefault="00FA2119" w:rsidP="00FA2119">
      <w:pPr>
        <w:rPr>
          <w:rtl/>
        </w:rPr>
      </w:pPr>
      <w:r>
        <w:rPr>
          <w:rFonts w:cs="Arial" w:hint="cs"/>
          <w:b/>
          <w:bCs/>
          <w:rtl/>
        </w:rPr>
        <w:t>סנהדרין</w:t>
      </w:r>
      <w:r>
        <w:rPr>
          <w:rFonts w:cs="Arial"/>
          <w:b/>
          <w:bCs/>
          <w:rtl/>
        </w:rPr>
        <w:t xml:space="preserve"> </w:t>
      </w:r>
      <w:r>
        <w:rPr>
          <w:rFonts w:cs="Arial"/>
          <w:b/>
          <w:bCs/>
          <w:szCs w:val="16"/>
          <w:rtl/>
        </w:rPr>
        <w:t xml:space="preserve">(פ' </w:t>
      </w:r>
      <w:r>
        <w:rPr>
          <w:rFonts w:cs="Arial" w:hint="cs"/>
          <w:b/>
          <w:bCs/>
          <w:szCs w:val="16"/>
          <w:rtl/>
        </w:rPr>
        <w:t>זה בורר</w:t>
      </w:r>
      <w:r>
        <w:rPr>
          <w:rFonts w:cs="Arial"/>
          <w:b/>
          <w:bCs/>
          <w:szCs w:val="16"/>
          <w:rtl/>
        </w:rPr>
        <w:t xml:space="preserve">) </w:t>
      </w:r>
      <w:r>
        <w:rPr>
          <w:rFonts w:cs="Arial" w:hint="cs"/>
          <w:b/>
          <w:bCs/>
          <w:rtl/>
        </w:rPr>
        <w:t>כח</w:t>
      </w:r>
      <w:r>
        <w:rPr>
          <w:rFonts w:cs="Arial"/>
          <w:b/>
          <w:bCs/>
          <w:rtl/>
        </w:rPr>
        <w:t xml:space="preserve"> ע"</w:t>
      </w:r>
      <w:r>
        <w:rPr>
          <w:rFonts w:cs="Arial" w:hint="cs"/>
          <w:b/>
          <w:bCs/>
          <w:rtl/>
        </w:rPr>
        <w:t>ב</w:t>
      </w:r>
      <w:r>
        <w:rPr>
          <w:rFonts w:cs="Arial"/>
          <w:b/>
          <w:bCs/>
          <w:rtl/>
        </w:rPr>
        <w:t>:</w:t>
      </w:r>
      <w:r>
        <w:rPr>
          <w:rFonts w:cs="Arial" w:hint="cs"/>
          <w:b/>
          <w:bCs/>
          <w:rtl/>
        </w:rPr>
        <w:t xml:space="preserve"> </w:t>
      </w:r>
      <w:r w:rsidRPr="000608B9">
        <w:rPr>
          <w:rFonts w:cs="Arial"/>
          <w:rtl/>
        </w:rPr>
        <w:t xml:space="preserve">ההיא מתנתא דהוי חתימי עלה תרי גיסי. </w:t>
      </w:r>
      <w:r w:rsidRPr="000608B9">
        <w:rPr>
          <w:rFonts w:cs="Arial"/>
          <w:u w:val="single"/>
          <w:rtl/>
        </w:rPr>
        <w:t>סבר רב יוסף</w:t>
      </w:r>
      <w:r w:rsidRPr="000608B9">
        <w:rPr>
          <w:rFonts w:cs="Arial"/>
          <w:rtl/>
        </w:rPr>
        <w:t xml:space="preserve"> לאכשורה. דאמר רב יהודה אמר שמואל: הלכה כרבי יוסי. </w:t>
      </w:r>
      <w:r w:rsidRPr="000608B9">
        <w:rPr>
          <w:rFonts w:cs="Arial"/>
          <w:u w:val="single"/>
          <w:rtl/>
        </w:rPr>
        <w:t>אמר ליה אביי</w:t>
      </w:r>
      <w:r w:rsidRPr="000608B9">
        <w:rPr>
          <w:rFonts w:cs="Arial"/>
          <w:rtl/>
        </w:rPr>
        <w:t xml:space="preserve">: ממאי דרבי יוסי דמתניתין דמכשר בגיסו? דילמא רבי יוסי דברייתא דפסיל בגיסו? לא סלקא דעתך, דאמר שמואל: כגון אנא ופנחס, דהוינן אחי וגיסי. אבל גיסי דעלמא </w:t>
      </w:r>
      <w:r w:rsidR="00A82951">
        <w:rPr>
          <w:rFonts w:cs="Arial"/>
          <w:rtl/>
        </w:rPr>
        <w:t>-</w:t>
      </w:r>
      <w:r w:rsidRPr="000608B9">
        <w:rPr>
          <w:rFonts w:cs="Arial"/>
          <w:rtl/>
        </w:rPr>
        <w:t xml:space="preserve"> שפיר דמי. ודילמא כגון אנא ופנחס </w:t>
      </w:r>
      <w:r w:rsidR="00A82951">
        <w:rPr>
          <w:rFonts w:cs="Arial"/>
          <w:rtl/>
        </w:rPr>
        <w:t>-</w:t>
      </w:r>
      <w:r w:rsidRPr="000608B9">
        <w:rPr>
          <w:rFonts w:cs="Arial"/>
          <w:rtl/>
        </w:rPr>
        <w:t xml:space="preserve"> משום דגיסו קאמר! </w:t>
      </w:r>
      <w:r w:rsidRPr="000608B9">
        <w:rPr>
          <w:rFonts w:cs="Arial"/>
          <w:u w:val="single"/>
          <w:rtl/>
        </w:rPr>
        <w:t>אמר ליה</w:t>
      </w:r>
      <w:r w:rsidRPr="000608B9">
        <w:rPr>
          <w:rFonts w:cs="Arial"/>
          <w:rtl/>
        </w:rPr>
        <w:t xml:space="preserve">: זיל קניה בעדי מסירה כרבי אלעזר. והאמר רבי אבא: מודה רבי אלעזר במזויף מתוכו שהוא פסול! </w:t>
      </w:r>
      <w:r w:rsidRPr="000608B9">
        <w:rPr>
          <w:rFonts w:cs="Arial"/>
          <w:u w:val="single"/>
          <w:rtl/>
        </w:rPr>
        <w:t>אמר ליה</w:t>
      </w:r>
      <w:r w:rsidRPr="000608B9">
        <w:rPr>
          <w:rFonts w:cs="Arial"/>
          <w:rtl/>
        </w:rPr>
        <w:t>: זיל, לא שבקי לי דאותביניה לך.</w:t>
      </w:r>
      <w:r w:rsidRPr="00426798">
        <w:rPr>
          <w:rFonts w:cs="Arial"/>
          <w:sz w:val="16"/>
          <w:szCs w:val="16"/>
          <w:rtl/>
        </w:rPr>
        <w:t xml:space="preserve"> </w:t>
      </w:r>
      <w:r>
        <w:rPr>
          <w:rFonts w:cs="Arial" w:hint="cs"/>
          <w:sz w:val="16"/>
          <w:szCs w:val="16"/>
          <w:rtl/>
        </w:rPr>
        <w:t>(</w:t>
      </w:r>
      <w:r w:rsidRPr="00426798">
        <w:rPr>
          <w:rFonts w:cs="Arial"/>
          <w:sz w:val="16"/>
          <w:szCs w:val="16"/>
          <w:rtl/>
        </w:rPr>
        <w:t>ואפילו בעד אחד כשר ועד אחד פסול כתוב בנמוק</w:t>
      </w:r>
      <w:r w:rsidRPr="00426798">
        <w:rPr>
          <w:rFonts w:cs="Arial" w:hint="cs"/>
          <w:sz w:val="16"/>
          <w:szCs w:val="16"/>
          <w:rtl/>
        </w:rPr>
        <w:t>"</w:t>
      </w:r>
      <w:r w:rsidRPr="00426798">
        <w:rPr>
          <w:rFonts w:cs="Arial"/>
          <w:sz w:val="16"/>
          <w:szCs w:val="16"/>
          <w:rtl/>
        </w:rPr>
        <w:t>י (ז. ד"ה גרסי') בשם הרי"ף (מכות ג.) דפסול</w:t>
      </w:r>
      <w:r w:rsidRPr="00426798">
        <w:rPr>
          <w:rFonts w:cs="Arial" w:hint="cs"/>
          <w:sz w:val="16"/>
          <w:szCs w:val="16"/>
          <w:rtl/>
        </w:rPr>
        <w:t>.</w:t>
      </w:r>
      <w:r w:rsidRPr="00426798">
        <w:rPr>
          <w:rFonts w:cs="Arial"/>
          <w:sz w:val="16"/>
          <w:szCs w:val="16"/>
          <w:rtl/>
        </w:rPr>
        <w:t xml:space="preserve"> וכ</w:t>
      </w:r>
      <w:r w:rsidRPr="00426798">
        <w:rPr>
          <w:rFonts w:cs="Arial" w:hint="cs"/>
          <w:sz w:val="16"/>
          <w:szCs w:val="16"/>
          <w:rtl/>
        </w:rPr>
        <w:t>"</w:t>
      </w:r>
      <w:r w:rsidRPr="00426798">
        <w:rPr>
          <w:rFonts w:cs="Arial"/>
          <w:sz w:val="16"/>
          <w:szCs w:val="16"/>
          <w:rtl/>
        </w:rPr>
        <w:t>כ הרמב"ם בפ</w:t>
      </w:r>
      <w:r w:rsidRPr="00426798">
        <w:rPr>
          <w:rFonts w:cs="Arial" w:hint="cs"/>
          <w:sz w:val="16"/>
          <w:szCs w:val="16"/>
          <w:rtl/>
        </w:rPr>
        <w:t>"</w:t>
      </w:r>
      <w:r w:rsidRPr="00426798">
        <w:rPr>
          <w:rFonts w:cs="Arial"/>
          <w:sz w:val="16"/>
          <w:szCs w:val="16"/>
          <w:rtl/>
        </w:rPr>
        <w:t>א (הי"ז) ובפ</w:t>
      </w:r>
      <w:r w:rsidRPr="00426798">
        <w:rPr>
          <w:rFonts w:cs="Arial" w:hint="cs"/>
          <w:sz w:val="16"/>
          <w:szCs w:val="16"/>
          <w:rtl/>
        </w:rPr>
        <w:t>"</w:t>
      </w:r>
      <w:r w:rsidRPr="00426798">
        <w:rPr>
          <w:rFonts w:cs="Arial"/>
          <w:sz w:val="16"/>
          <w:szCs w:val="16"/>
          <w:rtl/>
        </w:rPr>
        <w:t>ג (ה"ח) מהלכות גירושין</w:t>
      </w:r>
      <w:r w:rsidRPr="00426798">
        <w:rPr>
          <w:rFonts w:cs="Arial" w:hint="cs"/>
          <w:sz w:val="16"/>
          <w:szCs w:val="16"/>
          <w:rtl/>
        </w:rPr>
        <w:t>.</w:t>
      </w:r>
      <w:r w:rsidRPr="00426798">
        <w:rPr>
          <w:rFonts w:cs="Arial"/>
          <w:sz w:val="16"/>
          <w:szCs w:val="16"/>
          <w:rtl/>
        </w:rPr>
        <w:t xml:space="preserve"> וכתב בפ</w:t>
      </w:r>
      <w:r w:rsidRPr="00426798">
        <w:rPr>
          <w:rFonts w:cs="Arial" w:hint="cs"/>
          <w:sz w:val="16"/>
          <w:szCs w:val="16"/>
          <w:rtl/>
        </w:rPr>
        <w:t>"</w:t>
      </w:r>
      <w:r w:rsidRPr="00426798">
        <w:rPr>
          <w:rFonts w:cs="Arial"/>
          <w:sz w:val="16"/>
          <w:szCs w:val="16"/>
          <w:rtl/>
        </w:rPr>
        <w:t xml:space="preserve">ג </w:t>
      </w:r>
      <w:r w:rsidRPr="00426798">
        <w:rPr>
          <w:rFonts w:cs="Arial" w:hint="cs"/>
          <w:sz w:val="16"/>
          <w:szCs w:val="16"/>
          <w:rtl/>
        </w:rPr>
        <w:t xml:space="preserve">(שם) </w:t>
      </w:r>
      <w:r w:rsidRPr="00426798">
        <w:rPr>
          <w:rFonts w:cs="Arial"/>
          <w:sz w:val="16"/>
          <w:szCs w:val="16"/>
          <w:rtl/>
        </w:rPr>
        <w:t>שיש אומרים שאם היה אחד מעדיו פסול או שהיה בו עד אחד בלבד כשר אע</w:t>
      </w:r>
      <w:r w:rsidR="0072719F">
        <w:rPr>
          <w:rFonts w:cs="Arial" w:hint="cs"/>
          <w:sz w:val="16"/>
          <w:szCs w:val="16"/>
          <w:rtl/>
        </w:rPr>
        <w:t>"</w:t>
      </w:r>
      <w:r w:rsidRPr="00426798">
        <w:rPr>
          <w:rFonts w:cs="Arial"/>
          <w:sz w:val="16"/>
          <w:szCs w:val="16"/>
          <w:rtl/>
        </w:rPr>
        <w:t>פ שנמסר בעדים הרי זה גט בטל</w:t>
      </w:r>
      <w:r w:rsidR="0072719F">
        <w:rPr>
          <w:rFonts w:cs="Arial" w:hint="cs"/>
          <w:sz w:val="16"/>
          <w:szCs w:val="16"/>
          <w:rtl/>
        </w:rPr>
        <w:t>,</w:t>
      </w:r>
      <w:r w:rsidRPr="00426798">
        <w:rPr>
          <w:rFonts w:cs="Arial"/>
          <w:sz w:val="16"/>
          <w:szCs w:val="16"/>
          <w:rtl/>
        </w:rPr>
        <w:t xml:space="preserve"> ולא יראה לי דבר זה אלא כמזוייף לא מזוייף ודאי</w:t>
      </w:r>
      <w:r w:rsidR="0072719F">
        <w:rPr>
          <w:rFonts w:cs="Arial" w:hint="cs"/>
          <w:sz w:val="16"/>
          <w:szCs w:val="16"/>
          <w:rtl/>
        </w:rPr>
        <w:t>,</w:t>
      </w:r>
      <w:r w:rsidRPr="00426798">
        <w:rPr>
          <w:rFonts w:cs="Arial"/>
          <w:sz w:val="16"/>
          <w:szCs w:val="16"/>
          <w:rtl/>
        </w:rPr>
        <w:t xml:space="preserve"> והואיל ונמסר בעדי מסירה כשרים הרי זה פסול מדבריהם עכ"ל</w:t>
      </w:r>
      <w:r w:rsidRPr="00426798">
        <w:rPr>
          <w:rFonts w:cs="Arial" w:hint="cs"/>
          <w:sz w:val="16"/>
          <w:szCs w:val="16"/>
          <w:rtl/>
        </w:rPr>
        <w:t>, ב"י</w:t>
      </w:r>
      <w:r>
        <w:rPr>
          <w:rFonts w:cs="Arial" w:hint="cs"/>
          <w:sz w:val="16"/>
          <w:szCs w:val="16"/>
          <w:rtl/>
        </w:rPr>
        <w:t>)</w:t>
      </w:r>
    </w:p>
    <w:p w14:paraId="010B2C90" w14:textId="77777777" w:rsidR="00FA2119" w:rsidRPr="0090742B" w:rsidRDefault="00FA2119" w:rsidP="00FA2119">
      <w:pPr>
        <w:rPr>
          <w:u w:val="single"/>
          <w:rtl/>
        </w:rPr>
      </w:pPr>
      <w:r w:rsidRPr="0090742B">
        <w:rPr>
          <w:rFonts w:hint="cs"/>
          <w:u w:val="single"/>
          <w:rtl/>
        </w:rPr>
        <w:t xml:space="preserve">גט שחתם בו </w:t>
      </w:r>
      <w:r>
        <w:rPr>
          <w:rFonts w:hint="cs"/>
          <w:u w:val="single"/>
          <w:rtl/>
        </w:rPr>
        <w:t>כותי</w:t>
      </w:r>
      <w:r w:rsidRPr="0090742B">
        <w:rPr>
          <w:rFonts w:hint="cs"/>
          <w:u w:val="single"/>
          <w:rtl/>
        </w:rPr>
        <w:t xml:space="preserve"> או פסול:</w:t>
      </w:r>
    </w:p>
    <w:p w14:paraId="24B950AE" w14:textId="697ABA4B" w:rsidR="00FA2119" w:rsidRPr="009426B8" w:rsidRDefault="00FA2119" w:rsidP="00FA2119">
      <w:pPr>
        <w:pStyle w:val="ab"/>
        <w:numPr>
          <w:ilvl w:val="0"/>
          <w:numId w:val="80"/>
        </w:numPr>
      </w:pPr>
      <w:r>
        <w:rPr>
          <w:rFonts w:cs="Arial" w:hint="cs"/>
          <w:rtl/>
        </w:rPr>
        <w:t>טור</w:t>
      </w:r>
      <w:r w:rsidR="00A82951">
        <w:rPr>
          <w:rFonts w:cs="Arial" w:hint="cs"/>
          <w:rtl/>
        </w:rPr>
        <w:t>-</w:t>
      </w:r>
      <w:r>
        <w:rPr>
          <w:rFonts w:cs="Arial" w:hint="cs"/>
          <w:rtl/>
        </w:rPr>
        <w:t xml:space="preserve"> </w:t>
      </w:r>
      <w:r>
        <w:rPr>
          <w:rFonts w:cs="Arial"/>
          <w:rtl/>
        </w:rPr>
        <w:t>גט שחתמו בו כותיים</w:t>
      </w:r>
      <w:r>
        <w:rPr>
          <w:rFonts w:cs="Arial" w:hint="cs"/>
          <w:rtl/>
        </w:rPr>
        <w:t>,</w:t>
      </w:r>
      <w:r>
        <w:rPr>
          <w:rFonts w:cs="Arial"/>
          <w:rtl/>
        </w:rPr>
        <w:t xml:space="preserve"> או שאר פסולים</w:t>
      </w:r>
      <w:r>
        <w:rPr>
          <w:rFonts w:cs="Arial" w:hint="cs"/>
          <w:rtl/>
        </w:rPr>
        <w:t>,</w:t>
      </w:r>
      <w:r>
        <w:rPr>
          <w:rFonts w:cs="Arial"/>
          <w:rtl/>
        </w:rPr>
        <w:t xml:space="preserve"> או אפילו אחד כשר ואחר פסול </w:t>
      </w:r>
      <w:r w:rsidR="00A82951">
        <w:rPr>
          <w:rFonts w:cs="Arial" w:hint="cs"/>
          <w:rtl/>
        </w:rPr>
        <w:t>-</w:t>
      </w:r>
      <w:r>
        <w:rPr>
          <w:rFonts w:cs="Arial" w:hint="cs"/>
          <w:rtl/>
        </w:rPr>
        <w:t xml:space="preserve"> </w:t>
      </w:r>
      <w:r>
        <w:rPr>
          <w:rFonts w:cs="Arial"/>
          <w:rtl/>
        </w:rPr>
        <w:t>ה"ז פסול אפילו יש כאן עידי מסירה</w:t>
      </w:r>
      <w:r>
        <w:rPr>
          <w:rFonts w:cs="Arial" w:hint="cs"/>
          <w:rtl/>
        </w:rPr>
        <w:t>,</w:t>
      </w:r>
      <w:r>
        <w:rPr>
          <w:rFonts w:cs="Arial"/>
          <w:rtl/>
        </w:rPr>
        <w:t xml:space="preserve"> שהרי הוא מזוייף מתוכו</w:t>
      </w:r>
      <w:r>
        <w:rPr>
          <w:rFonts w:cs="Arial" w:hint="cs"/>
          <w:rtl/>
        </w:rPr>
        <w:t>.</w:t>
      </w:r>
      <w:r>
        <w:rPr>
          <w:rFonts w:cs="Arial"/>
          <w:rtl/>
        </w:rPr>
        <w:t xml:space="preserve"> </w:t>
      </w:r>
      <w:r w:rsidR="00FA4247" w:rsidRPr="00555D65">
        <w:rPr>
          <w:rFonts w:cs="Arial" w:hint="cs"/>
          <w:color w:val="E36C0A" w:themeColor="accent6" w:themeShade="BF"/>
          <w:rtl/>
        </w:rPr>
        <w:t>(וכ"פ בשו"ע)</w:t>
      </w:r>
    </w:p>
    <w:p w14:paraId="7458D7CF" w14:textId="77777777" w:rsidR="00FA2119" w:rsidRPr="0031003C" w:rsidRDefault="00FA2119" w:rsidP="00FA2119">
      <w:pPr>
        <w:ind w:left="360"/>
        <w:rPr>
          <w:u w:val="dotted"/>
        </w:rPr>
      </w:pPr>
      <w:r w:rsidRPr="0031003C">
        <w:rPr>
          <w:rFonts w:hint="cs"/>
          <w:u w:val="dotted"/>
          <w:rtl/>
        </w:rPr>
        <w:t xml:space="preserve">מה דין </w:t>
      </w:r>
      <w:r>
        <w:rPr>
          <w:rFonts w:hint="cs"/>
          <w:u w:val="dotted"/>
          <w:rtl/>
        </w:rPr>
        <w:t>צדוקי/בייתוסי</w:t>
      </w:r>
      <w:r w:rsidRPr="0031003C">
        <w:rPr>
          <w:rFonts w:hint="cs"/>
          <w:u w:val="dotted"/>
          <w:rtl/>
        </w:rPr>
        <w:t xml:space="preserve"> </w:t>
      </w:r>
      <w:r>
        <w:rPr>
          <w:rFonts w:hint="cs"/>
          <w:u w:val="dotted"/>
          <w:rtl/>
        </w:rPr>
        <w:t xml:space="preserve">בזמה"ז, ומה הדין </w:t>
      </w:r>
      <w:r w:rsidRPr="0031003C">
        <w:rPr>
          <w:rFonts w:hint="cs"/>
          <w:u w:val="dotted"/>
          <w:rtl/>
        </w:rPr>
        <w:t xml:space="preserve">אם חתם </w:t>
      </w:r>
      <w:r>
        <w:rPr>
          <w:rFonts w:hint="cs"/>
          <w:u w:val="dotted"/>
          <w:rtl/>
        </w:rPr>
        <w:t>אחד מהם על גט</w:t>
      </w:r>
      <w:r w:rsidRPr="0031003C">
        <w:rPr>
          <w:rFonts w:hint="cs"/>
          <w:u w:val="dotted"/>
          <w:rtl/>
        </w:rPr>
        <w:t>:</w:t>
      </w:r>
    </w:p>
    <w:p w14:paraId="0F5C192D" w14:textId="2E239CA9" w:rsidR="00FA2119" w:rsidRPr="00426798" w:rsidRDefault="00FA2119" w:rsidP="00FA2119">
      <w:pPr>
        <w:pStyle w:val="ab"/>
        <w:numPr>
          <w:ilvl w:val="0"/>
          <w:numId w:val="80"/>
        </w:numPr>
        <w:rPr>
          <w:rtl/>
        </w:rPr>
      </w:pPr>
      <w:r>
        <w:rPr>
          <w:rFonts w:cs="Arial" w:hint="cs"/>
          <w:rtl/>
        </w:rPr>
        <w:t>רמב"ם</w:t>
      </w:r>
      <w:r>
        <w:rPr>
          <w:rFonts w:cs="Arial" w:hint="cs"/>
          <w:sz w:val="16"/>
          <w:szCs w:val="16"/>
          <w:rtl/>
        </w:rPr>
        <w:t xml:space="preserve"> (פ"ו מהל' עבדים ה"ו)</w:t>
      </w:r>
      <w:r>
        <w:rPr>
          <w:rFonts w:cs="Arial" w:hint="cs"/>
          <w:rtl/>
        </w:rPr>
        <w:t xml:space="preserve"> ורי"ו </w:t>
      </w:r>
      <w:r w:rsidRPr="009426B8">
        <w:rPr>
          <w:rFonts w:cs="Arial" w:hint="cs"/>
          <w:sz w:val="16"/>
          <w:szCs w:val="16"/>
          <w:rtl/>
        </w:rPr>
        <w:t xml:space="preserve">(ח"ב </w:t>
      </w:r>
      <w:r w:rsidRPr="009426B8">
        <w:rPr>
          <w:rFonts w:cs="Arial"/>
          <w:sz w:val="16"/>
          <w:szCs w:val="16"/>
          <w:rtl/>
        </w:rPr>
        <w:t>שם:)</w:t>
      </w:r>
      <w:r w:rsidR="00A82951">
        <w:rPr>
          <w:rFonts w:cs="Arial" w:hint="cs"/>
          <w:rtl/>
        </w:rPr>
        <w:t>-</w:t>
      </w:r>
      <w:r>
        <w:rPr>
          <w:rFonts w:cs="Arial" w:hint="cs"/>
          <w:rtl/>
        </w:rPr>
        <w:t xml:space="preserve"> </w:t>
      </w:r>
      <w:r w:rsidRPr="0031003C">
        <w:rPr>
          <w:rFonts w:cs="Arial"/>
          <w:rtl/>
        </w:rPr>
        <w:t>כל שטר שיש עליו אפילו עד אחד כותי פסול</w:t>
      </w:r>
      <w:r w:rsidR="00FA4247">
        <w:rPr>
          <w:rFonts w:cs="Arial" w:hint="cs"/>
          <w:rtl/>
        </w:rPr>
        <w:t>,</w:t>
      </w:r>
      <w:r w:rsidRPr="0031003C">
        <w:rPr>
          <w:rFonts w:cs="Arial"/>
          <w:rtl/>
        </w:rPr>
        <w:t xml:space="preserve"> חוץ מגיטי נשים ושחרורי עבדים שהן כשרין בעד אחד ישראל ועד אחד כותי</w:t>
      </w:r>
      <w:r w:rsidR="00FA4247">
        <w:rPr>
          <w:rFonts w:cs="Arial" w:hint="cs"/>
          <w:rtl/>
        </w:rPr>
        <w:t>,</w:t>
      </w:r>
      <w:r w:rsidRPr="0031003C">
        <w:rPr>
          <w:rFonts w:cs="Arial"/>
          <w:rtl/>
        </w:rPr>
        <w:t xml:space="preserve"> והוא שיהיה כותי חבר</w:t>
      </w:r>
      <w:r w:rsidR="00FA4247">
        <w:rPr>
          <w:rFonts w:cs="Arial" w:hint="cs"/>
          <w:rtl/>
        </w:rPr>
        <w:t>.</w:t>
      </w:r>
      <w:r w:rsidRPr="0031003C">
        <w:rPr>
          <w:rFonts w:cs="Arial"/>
          <w:rtl/>
        </w:rPr>
        <w:t xml:space="preserve"> ובזמן הזה שהכותים כ</w:t>
      </w:r>
      <w:r>
        <w:rPr>
          <w:rFonts w:cs="Arial"/>
          <w:rtl/>
        </w:rPr>
        <w:t>גוים</w:t>
      </w:r>
      <w:r w:rsidRPr="0031003C">
        <w:rPr>
          <w:rFonts w:cs="Arial"/>
          <w:rtl/>
        </w:rPr>
        <w:t xml:space="preserve"> לכל דבריהם אנו למדין מהן לצדוקין</w:t>
      </w:r>
      <w:r w:rsidR="00FA4247">
        <w:rPr>
          <w:rFonts w:cs="Arial" w:hint="cs"/>
          <w:rtl/>
        </w:rPr>
        <w:t>,</w:t>
      </w:r>
      <w:r w:rsidRPr="0031003C">
        <w:rPr>
          <w:rFonts w:cs="Arial"/>
          <w:rtl/>
        </w:rPr>
        <w:t xml:space="preserve"> שהצדוקין בזמן הזה כמו כותי באותו הזמן קודם שגזרו עליהם שיהיו כ</w:t>
      </w:r>
      <w:r>
        <w:rPr>
          <w:rFonts w:cs="Arial"/>
          <w:rtl/>
        </w:rPr>
        <w:t>גוים</w:t>
      </w:r>
      <w:r w:rsidRPr="0031003C">
        <w:rPr>
          <w:rFonts w:cs="Arial"/>
          <w:rtl/>
        </w:rPr>
        <w:t xml:space="preserve"> לכל דבריהם</w:t>
      </w:r>
      <w:r>
        <w:rPr>
          <w:rFonts w:cs="Arial" w:hint="cs"/>
          <w:sz w:val="16"/>
          <w:szCs w:val="16"/>
          <w:rtl/>
        </w:rPr>
        <w:t xml:space="preserve"> (ל' הרמב"ם)</w:t>
      </w:r>
      <w:r w:rsidRPr="009426B8">
        <w:rPr>
          <w:rFonts w:cs="Arial" w:hint="cs"/>
          <w:rtl/>
        </w:rPr>
        <w:t>.</w:t>
      </w:r>
      <w:r w:rsidRPr="009426B8">
        <w:rPr>
          <w:rFonts w:cs="Arial"/>
          <w:rtl/>
        </w:rPr>
        <w:t xml:space="preserve"> </w:t>
      </w:r>
      <w:r w:rsidRPr="00426798">
        <w:rPr>
          <w:rFonts w:cs="Arial"/>
          <w:rtl/>
        </w:rPr>
        <w:t xml:space="preserve"> </w:t>
      </w:r>
    </w:p>
    <w:p w14:paraId="5B3E7DAE"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7686E1B" w14:textId="77777777" w:rsidR="00FA2119" w:rsidRDefault="00FA2119" w:rsidP="00FA2119">
      <w:pPr>
        <w:rPr>
          <w:rtl/>
        </w:rPr>
      </w:pPr>
      <w:r>
        <w:rPr>
          <w:rFonts w:cs="Arial" w:hint="cs"/>
          <w:rtl/>
        </w:rPr>
        <w:t>גט</w:t>
      </w:r>
      <w:r>
        <w:rPr>
          <w:rFonts w:cs="Arial"/>
          <w:rtl/>
        </w:rPr>
        <w:t xml:space="preserve"> </w:t>
      </w:r>
      <w:r>
        <w:rPr>
          <w:rFonts w:cs="Arial" w:hint="cs"/>
          <w:rtl/>
        </w:rPr>
        <w:t>שחתמו</w:t>
      </w:r>
      <w:r>
        <w:rPr>
          <w:rFonts w:cs="Arial"/>
          <w:rtl/>
        </w:rPr>
        <w:t xml:space="preserve"> </w:t>
      </w:r>
      <w:r>
        <w:rPr>
          <w:rFonts w:cs="Arial" w:hint="cs"/>
          <w:rtl/>
        </w:rPr>
        <w:t>בו</w:t>
      </w:r>
      <w:r>
        <w:rPr>
          <w:rFonts w:cs="Arial"/>
          <w:rtl/>
        </w:rPr>
        <w:t xml:space="preserve"> </w:t>
      </w:r>
      <w:r>
        <w:rPr>
          <w:rFonts w:cs="Arial" w:hint="cs"/>
          <w:rtl/>
        </w:rPr>
        <w:t>עדים</w:t>
      </w:r>
      <w:r>
        <w:rPr>
          <w:rFonts w:cs="Arial"/>
          <w:rtl/>
        </w:rPr>
        <w:t xml:space="preserve"> </w:t>
      </w:r>
      <w:r>
        <w:rPr>
          <w:rFonts w:cs="Arial" w:hint="cs"/>
          <w:rtl/>
        </w:rPr>
        <w:t>פסולים</w:t>
      </w:r>
      <w:r>
        <w:rPr>
          <w:rFonts w:cs="Arial"/>
          <w:rtl/>
        </w:rPr>
        <w:t xml:space="preserve">, </w:t>
      </w:r>
      <w:r>
        <w:rPr>
          <w:rFonts w:cs="Arial" w:hint="cs"/>
          <w:rtl/>
        </w:rPr>
        <w:t>אפילו</w:t>
      </w:r>
      <w:r>
        <w:rPr>
          <w:rFonts w:cs="Arial"/>
          <w:rtl/>
        </w:rPr>
        <w:t xml:space="preserve"> </w:t>
      </w:r>
      <w:r>
        <w:rPr>
          <w:rFonts w:cs="Arial" w:hint="cs"/>
          <w:rtl/>
        </w:rPr>
        <w:t>אחד</w:t>
      </w:r>
      <w:r>
        <w:rPr>
          <w:rFonts w:cs="Arial"/>
          <w:rtl/>
        </w:rPr>
        <w:t xml:space="preserve"> </w:t>
      </w:r>
      <w:r>
        <w:rPr>
          <w:rFonts w:cs="Arial" w:hint="cs"/>
          <w:rtl/>
        </w:rPr>
        <w:t>פסול</w:t>
      </w:r>
      <w:r>
        <w:rPr>
          <w:rFonts w:cs="Arial"/>
          <w:rtl/>
        </w:rPr>
        <w:t xml:space="preserve"> </w:t>
      </w:r>
      <w:r>
        <w:rPr>
          <w:rFonts w:cs="Arial" w:hint="cs"/>
          <w:rtl/>
        </w:rPr>
        <w:t>ואחד</w:t>
      </w:r>
      <w:r>
        <w:rPr>
          <w:rFonts w:cs="Arial"/>
          <w:rtl/>
        </w:rPr>
        <w:t xml:space="preserve"> </w:t>
      </w:r>
      <w:r>
        <w:rPr>
          <w:rFonts w:cs="Arial" w:hint="cs"/>
          <w:rtl/>
        </w:rPr>
        <w:t>כשר</w:t>
      </w:r>
      <w:r>
        <w:rPr>
          <w:rFonts w:cs="Arial"/>
          <w:rtl/>
        </w:rPr>
        <w:t xml:space="preserve">, </w:t>
      </w:r>
      <w:r>
        <w:rPr>
          <w:rFonts w:cs="Arial" w:hint="cs"/>
          <w:rtl/>
        </w:rPr>
        <w:t>הרי</w:t>
      </w:r>
      <w:r>
        <w:rPr>
          <w:rFonts w:cs="Arial"/>
          <w:rtl/>
        </w:rPr>
        <w:t xml:space="preserve"> </w:t>
      </w:r>
      <w:r>
        <w:rPr>
          <w:rFonts w:cs="Arial" w:hint="cs"/>
          <w:rtl/>
        </w:rPr>
        <w:t>זו</w:t>
      </w:r>
      <w:r>
        <w:rPr>
          <w:rFonts w:cs="Arial"/>
          <w:rtl/>
        </w:rPr>
        <w:t xml:space="preserve"> </w:t>
      </w:r>
      <w:r>
        <w:rPr>
          <w:rFonts w:cs="Arial" w:hint="cs"/>
          <w:rtl/>
        </w:rPr>
        <w:t>פסול</w:t>
      </w:r>
      <w:r>
        <w:rPr>
          <w:rFonts w:cs="Arial"/>
          <w:rtl/>
        </w:rPr>
        <w:t xml:space="preserve">, </w:t>
      </w:r>
      <w:r>
        <w:rPr>
          <w:rFonts w:cs="Arial" w:hint="cs"/>
          <w:rtl/>
        </w:rPr>
        <w:t>אפילו</w:t>
      </w:r>
      <w:r>
        <w:rPr>
          <w:rFonts w:cs="Arial"/>
          <w:rtl/>
        </w:rPr>
        <w:t xml:space="preserve"> </w:t>
      </w:r>
      <w:r>
        <w:rPr>
          <w:rFonts w:cs="Arial" w:hint="cs"/>
          <w:rtl/>
        </w:rPr>
        <w:t>יש</w:t>
      </w:r>
      <w:r>
        <w:rPr>
          <w:rFonts w:cs="Arial"/>
          <w:rtl/>
        </w:rPr>
        <w:t xml:space="preserve"> </w:t>
      </w:r>
      <w:r>
        <w:rPr>
          <w:rFonts w:cs="Arial" w:hint="cs"/>
          <w:rtl/>
        </w:rPr>
        <w:t>כאן</w:t>
      </w:r>
      <w:r>
        <w:rPr>
          <w:rFonts w:cs="Arial"/>
          <w:rtl/>
        </w:rPr>
        <w:t xml:space="preserve"> </w:t>
      </w:r>
      <w:r>
        <w:rPr>
          <w:rFonts w:cs="Arial" w:hint="cs"/>
          <w:rtl/>
        </w:rPr>
        <w:t>עדי</w:t>
      </w:r>
      <w:r>
        <w:rPr>
          <w:rFonts w:cs="Arial"/>
          <w:rtl/>
        </w:rPr>
        <w:t xml:space="preserve"> </w:t>
      </w:r>
      <w:r>
        <w:rPr>
          <w:rFonts w:cs="Arial" w:hint="cs"/>
          <w:rtl/>
        </w:rPr>
        <w:t>מסירה</w:t>
      </w:r>
      <w:r>
        <w:rPr>
          <w:rFonts w:cs="Arial"/>
          <w:rtl/>
        </w:rPr>
        <w:t xml:space="preserve">, </w:t>
      </w:r>
      <w:r>
        <w:rPr>
          <w:rFonts w:cs="Arial" w:hint="cs"/>
          <w:rtl/>
        </w:rPr>
        <w:t>שהרי</w:t>
      </w:r>
      <w:r>
        <w:rPr>
          <w:rFonts w:cs="Arial"/>
          <w:rtl/>
        </w:rPr>
        <w:t xml:space="preserve"> </w:t>
      </w:r>
      <w:r>
        <w:rPr>
          <w:rFonts w:cs="Arial" w:hint="cs"/>
          <w:rtl/>
        </w:rPr>
        <w:t>הוא</w:t>
      </w:r>
      <w:r>
        <w:rPr>
          <w:rFonts w:cs="Arial"/>
          <w:rtl/>
        </w:rPr>
        <w:t xml:space="preserve"> </w:t>
      </w:r>
      <w:r>
        <w:rPr>
          <w:rFonts w:cs="Arial" w:hint="cs"/>
          <w:rtl/>
        </w:rPr>
        <w:t>מזוייף</w:t>
      </w:r>
      <w:r>
        <w:rPr>
          <w:rFonts w:cs="Arial"/>
          <w:rtl/>
        </w:rPr>
        <w:t xml:space="preserve"> </w:t>
      </w:r>
      <w:r>
        <w:rPr>
          <w:rFonts w:cs="Arial" w:hint="cs"/>
          <w:rtl/>
        </w:rPr>
        <w:t>מתוכו</w:t>
      </w:r>
      <w:r>
        <w:rPr>
          <w:rFonts w:cs="Arial"/>
          <w:rtl/>
        </w:rPr>
        <w:t xml:space="preserve">. </w:t>
      </w:r>
    </w:p>
    <w:p w14:paraId="4C54B8E1" w14:textId="77777777" w:rsidR="00FA2119" w:rsidRDefault="00FA2119" w:rsidP="00FA2119">
      <w:pPr>
        <w:rPr>
          <w:rtl/>
        </w:rPr>
      </w:pPr>
    </w:p>
    <w:p w14:paraId="69457CFB" w14:textId="77777777" w:rsidR="00FA2119" w:rsidRDefault="00FA2119" w:rsidP="00FA2119">
      <w:pPr>
        <w:pStyle w:val="2"/>
        <w:rPr>
          <w:rtl/>
        </w:rPr>
      </w:pPr>
      <w:r>
        <w:rPr>
          <w:rFonts w:hint="cs"/>
          <w:rtl/>
        </w:rPr>
        <w:t>סעיף</w:t>
      </w:r>
      <w:r>
        <w:rPr>
          <w:rtl/>
        </w:rPr>
        <w:t xml:space="preserve"> </w:t>
      </w:r>
      <w:r>
        <w:rPr>
          <w:rFonts w:hint="cs"/>
          <w:rtl/>
        </w:rPr>
        <w:t>יח: חתם סופר.</w:t>
      </w:r>
    </w:p>
    <w:p w14:paraId="29D8A2F2" w14:textId="1166EE97" w:rsidR="00FA2119" w:rsidRDefault="00FA2119" w:rsidP="00FA2119">
      <w:pPr>
        <w:rPr>
          <w:rtl/>
        </w:rPr>
      </w:pPr>
      <w:r>
        <w:rPr>
          <w:rFonts w:hint="cs"/>
          <w:b/>
          <w:bCs/>
          <w:rtl/>
        </w:rPr>
        <w:t>גיטין</w:t>
      </w:r>
      <w:r>
        <w:rPr>
          <w:b/>
          <w:bCs/>
          <w:rtl/>
        </w:rPr>
        <w:t xml:space="preserve"> </w:t>
      </w:r>
      <w:r>
        <w:rPr>
          <w:b/>
          <w:bCs/>
          <w:szCs w:val="16"/>
          <w:rtl/>
        </w:rPr>
        <w:t>(פ</w:t>
      </w:r>
      <w:r>
        <w:rPr>
          <w:rFonts w:hint="cs"/>
          <w:b/>
          <w:bCs/>
          <w:szCs w:val="16"/>
          <w:rtl/>
        </w:rPr>
        <w:t>' התקבל</w:t>
      </w:r>
      <w:r>
        <w:rPr>
          <w:b/>
          <w:bCs/>
          <w:szCs w:val="16"/>
          <w:rtl/>
        </w:rPr>
        <w:t xml:space="preserve">) </w:t>
      </w:r>
      <w:r>
        <w:rPr>
          <w:rFonts w:hint="cs"/>
          <w:b/>
          <w:bCs/>
          <w:rtl/>
        </w:rPr>
        <w:t>סו</w:t>
      </w:r>
      <w:r>
        <w:rPr>
          <w:b/>
          <w:bCs/>
          <w:rtl/>
        </w:rPr>
        <w:t xml:space="preserve"> ע"א:</w:t>
      </w:r>
      <w:r w:rsidRPr="00417621">
        <w:rPr>
          <w:rtl/>
        </w:rPr>
        <w:t xml:space="preserve"> </w:t>
      </w:r>
      <w:r w:rsidRPr="00417621">
        <w:rPr>
          <w:rFonts w:cs="Arial"/>
          <w:u w:val="double"/>
          <w:rtl/>
        </w:rPr>
        <w:t>מתני'</w:t>
      </w:r>
      <w:r>
        <w:rPr>
          <w:rFonts w:cs="Arial" w:hint="cs"/>
          <w:rtl/>
        </w:rPr>
        <w:t xml:space="preserve">: </w:t>
      </w:r>
      <w:r w:rsidRPr="008B2690">
        <w:rPr>
          <w:rFonts w:cs="Arial"/>
          <w:rtl/>
        </w:rPr>
        <w:t>אמר לשנים תנו גט לאשתי,</w:t>
      </w:r>
      <w:r w:rsidRPr="008B2690">
        <w:rPr>
          <w:rtl/>
        </w:rPr>
        <w:t xml:space="preserve"> </w:t>
      </w:r>
      <w:r>
        <w:rPr>
          <w:rFonts w:cs="Arial" w:hint="cs"/>
          <w:sz w:val="14"/>
          <w:szCs w:val="14"/>
          <w:rtl/>
        </w:rPr>
        <w:t xml:space="preserve">(סו:) </w:t>
      </w:r>
      <w:r w:rsidRPr="008B2690">
        <w:rPr>
          <w:rFonts w:cs="Arial"/>
          <w:rtl/>
        </w:rPr>
        <w:t xml:space="preserve">או לשלשה כתבו גט ותנו לאשתי </w:t>
      </w:r>
      <w:r w:rsidR="00A82951">
        <w:rPr>
          <w:rFonts w:cs="Arial"/>
          <w:rtl/>
        </w:rPr>
        <w:t>-</w:t>
      </w:r>
      <w:r w:rsidRPr="008B2690">
        <w:rPr>
          <w:rFonts w:cs="Arial"/>
          <w:rtl/>
        </w:rPr>
        <w:t xml:space="preserve"> הרי אלו יכתבו ויתנו.</w:t>
      </w:r>
      <w:r w:rsidRPr="006D01A4">
        <w:rPr>
          <w:rtl/>
        </w:rPr>
        <w:t xml:space="preserve"> </w:t>
      </w:r>
      <w:r w:rsidRPr="006D01A4">
        <w:rPr>
          <w:rFonts w:cs="Arial"/>
          <w:rtl/>
        </w:rPr>
        <w:t xml:space="preserve">אמר לשלשה תנו גט לאשתי </w:t>
      </w:r>
      <w:r w:rsidR="00A82951">
        <w:rPr>
          <w:rFonts w:cs="Arial"/>
          <w:rtl/>
        </w:rPr>
        <w:t>-</w:t>
      </w:r>
      <w:r w:rsidRPr="006D01A4">
        <w:rPr>
          <w:rFonts w:cs="Arial"/>
          <w:rtl/>
        </w:rPr>
        <w:t xml:space="preserve"> הרי אלו יאמרו לאחרים ויכתבו, מפני שעשאן ב"ד, </w:t>
      </w:r>
      <w:r w:rsidRPr="006D01A4">
        <w:rPr>
          <w:rFonts w:cs="Arial"/>
          <w:u w:val="single"/>
          <w:rtl/>
        </w:rPr>
        <w:t>דברי ר"מ</w:t>
      </w:r>
      <w:r>
        <w:rPr>
          <w:rFonts w:cs="Arial" w:hint="cs"/>
          <w:rtl/>
        </w:rPr>
        <w:t>.</w:t>
      </w:r>
      <w:r w:rsidRPr="006D01A4">
        <w:rPr>
          <w:rFonts w:cs="Arial"/>
          <w:rtl/>
        </w:rPr>
        <w:t xml:space="preserve"> וזו הלכה העלה </w:t>
      </w:r>
      <w:r w:rsidRPr="006D01A4">
        <w:rPr>
          <w:rFonts w:cs="Arial"/>
          <w:u w:val="single"/>
          <w:rtl/>
        </w:rPr>
        <w:t>רבי חנינא איש אונו מבית האסורין</w:t>
      </w:r>
      <w:r w:rsidRPr="006D01A4">
        <w:rPr>
          <w:rFonts w:cs="Arial"/>
          <w:rtl/>
        </w:rPr>
        <w:t xml:space="preserve">: מקובל אני, באומר לשלשה תנו גט לאשתי </w:t>
      </w:r>
      <w:r w:rsidR="00A82951">
        <w:rPr>
          <w:rFonts w:cs="Arial"/>
          <w:rtl/>
        </w:rPr>
        <w:t>-</w:t>
      </w:r>
      <w:r w:rsidRPr="006D01A4">
        <w:rPr>
          <w:rFonts w:cs="Arial"/>
          <w:rtl/>
        </w:rPr>
        <w:t xml:space="preserve"> שיאמרו לאחרים ויכתבו, מפני שעשאן ב"ד. </w:t>
      </w:r>
      <w:r w:rsidRPr="006D01A4">
        <w:rPr>
          <w:rFonts w:cs="Arial"/>
          <w:u w:val="single"/>
          <w:rtl/>
        </w:rPr>
        <w:t>אמר רבי יוסי</w:t>
      </w:r>
      <w:r>
        <w:rPr>
          <w:rFonts w:cs="Arial" w:hint="cs"/>
          <w:rtl/>
        </w:rPr>
        <w:t>:</w:t>
      </w:r>
      <w:r w:rsidRPr="006D01A4">
        <w:rPr>
          <w:rFonts w:cs="Arial"/>
          <w:rtl/>
        </w:rPr>
        <w:t xml:space="preserve"> נומינו לשליח</w:t>
      </w:r>
      <w:r>
        <w:rPr>
          <w:rStyle w:val="a7"/>
          <w:rFonts w:cs="Arial"/>
          <w:rtl/>
        </w:rPr>
        <w:footnoteReference w:id="1293"/>
      </w:r>
      <w:r>
        <w:rPr>
          <w:rFonts w:cs="Arial" w:hint="cs"/>
          <w:rtl/>
        </w:rPr>
        <w:t>,</w:t>
      </w:r>
      <w:r w:rsidRPr="006D01A4">
        <w:rPr>
          <w:rFonts w:cs="Arial"/>
          <w:rtl/>
        </w:rPr>
        <w:t xml:space="preserve"> אף אנו מקובלין שאפי' אמר לב"ד הגדול שבירושלים תנו גט לאשתי </w:t>
      </w:r>
      <w:r w:rsidR="00A82951">
        <w:rPr>
          <w:rFonts w:cs="Arial"/>
          <w:rtl/>
        </w:rPr>
        <w:t>-</w:t>
      </w:r>
      <w:r w:rsidRPr="006D01A4">
        <w:rPr>
          <w:rFonts w:cs="Arial"/>
          <w:rtl/>
        </w:rPr>
        <w:t xml:space="preserve"> שילמדו ויכתבו ויתנו.</w:t>
      </w:r>
      <w:r>
        <w:rPr>
          <w:rFonts w:cs="Arial" w:hint="cs"/>
          <w:rtl/>
        </w:rPr>
        <w:t xml:space="preserve">..       </w:t>
      </w:r>
      <w:r w:rsidRPr="008B2690">
        <w:rPr>
          <w:rFonts w:cs="Arial" w:hint="cs"/>
          <w:u w:val="double"/>
          <w:rtl/>
        </w:rPr>
        <w:t>גמ'</w:t>
      </w:r>
      <w:r>
        <w:rPr>
          <w:rFonts w:cs="Arial" w:hint="cs"/>
          <w:rtl/>
        </w:rPr>
        <w:t>:</w:t>
      </w:r>
      <w:r w:rsidRPr="008B2690">
        <w:rPr>
          <w:rtl/>
        </w:rPr>
        <w:t xml:space="preserve"> </w:t>
      </w:r>
      <w:r w:rsidRPr="00E21173">
        <w:rPr>
          <w:rFonts w:cs="Arial"/>
          <w:u w:val="single"/>
          <w:rtl/>
        </w:rPr>
        <w:t>א"ר ירמיה בר אבא</w:t>
      </w:r>
      <w:r w:rsidRPr="00E21173">
        <w:rPr>
          <w:rFonts w:cs="Arial" w:hint="cs"/>
          <w:u w:val="single"/>
          <w:rtl/>
        </w:rPr>
        <w:t>,</w:t>
      </w:r>
      <w:r w:rsidRPr="00E21173">
        <w:rPr>
          <w:rFonts w:cs="Arial"/>
          <w:u w:val="single"/>
          <w:rtl/>
        </w:rPr>
        <w:t xml:space="preserve"> שלחו ליה מבי רב לשמואל</w:t>
      </w:r>
      <w:r w:rsidRPr="00E21173">
        <w:rPr>
          <w:rFonts w:cs="Arial"/>
          <w:rtl/>
        </w:rPr>
        <w:t>: ילמדנו רבינו, אמר לשנים כתבו ותנו גט לאשתי, ואמרו לסופר</w:t>
      </w:r>
      <w:r>
        <w:rPr>
          <w:rFonts w:cs="Arial" w:hint="cs"/>
          <w:rtl/>
        </w:rPr>
        <w:t>,</w:t>
      </w:r>
      <w:r w:rsidRPr="00E21173">
        <w:rPr>
          <w:rFonts w:cs="Arial"/>
          <w:rtl/>
        </w:rPr>
        <w:t xml:space="preserve"> וכתב וחתמו הן, מהו</w:t>
      </w:r>
      <w:r>
        <w:rPr>
          <w:rStyle w:val="a7"/>
          <w:rFonts w:cs="Arial"/>
          <w:rtl/>
        </w:rPr>
        <w:footnoteReference w:id="1294"/>
      </w:r>
      <w:r w:rsidRPr="00E21173">
        <w:rPr>
          <w:rFonts w:cs="Arial"/>
          <w:rtl/>
        </w:rPr>
        <w:t xml:space="preserve">? </w:t>
      </w:r>
      <w:r w:rsidRPr="00E21173">
        <w:rPr>
          <w:rFonts w:cs="Arial"/>
          <w:u w:val="single"/>
          <w:rtl/>
        </w:rPr>
        <w:t>שלח להו</w:t>
      </w:r>
      <w:r w:rsidRPr="00E21173">
        <w:rPr>
          <w:rFonts w:cs="Arial"/>
          <w:rtl/>
        </w:rPr>
        <w:t>: תצא</w:t>
      </w:r>
      <w:r>
        <w:rPr>
          <w:rStyle w:val="a7"/>
          <w:rFonts w:cs="Arial"/>
          <w:rtl/>
        </w:rPr>
        <w:footnoteReference w:id="1295"/>
      </w:r>
      <w:r w:rsidRPr="00E21173">
        <w:rPr>
          <w:rFonts w:cs="Arial"/>
          <w:rtl/>
        </w:rPr>
        <w:t>, והדבר צריך תלמוד. מאי הדבר צריך תלמוד? אילימא משום דהוו להו מילי, ומספקא ליה: מילי אי מימסרן לשליח</w:t>
      </w:r>
      <w:r>
        <w:rPr>
          <w:rStyle w:val="a7"/>
          <w:rFonts w:cs="Arial"/>
          <w:rtl/>
        </w:rPr>
        <w:footnoteReference w:id="1296"/>
      </w:r>
      <w:r w:rsidRPr="00E21173">
        <w:rPr>
          <w:rFonts w:cs="Arial"/>
          <w:rtl/>
        </w:rPr>
        <w:t xml:space="preserve"> אי לא מימסרן לשליח</w:t>
      </w:r>
      <w:r>
        <w:rPr>
          <w:rStyle w:val="a7"/>
          <w:rFonts w:cs="Arial"/>
          <w:rtl/>
        </w:rPr>
        <w:footnoteReference w:id="1297"/>
      </w:r>
      <w:r w:rsidRPr="00E21173">
        <w:rPr>
          <w:rFonts w:cs="Arial"/>
          <w:rtl/>
        </w:rPr>
        <w:t xml:space="preserve">, והאמר שמואל, אמר </w:t>
      </w:r>
      <w:r w:rsidRPr="00E21173">
        <w:rPr>
          <w:rFonts w:cs="Arial"/>
          <w:rtl/>
        </w:rPr>
        <w:lastRenderedPageBreak/>
        <w:t>רבי: הלכה כר' יוסי</w:t>
      </w:r>
      <w:r>
        <w:rPr>
          <w:rStyle w:val="a7"/>
          <w:rFonts w:cs="Arial"/>
          <w:rtl/>
        </w:rPr>
        <w:footnoteReference w:id="1298"/>
      </w:r>
      <w:r w:rsidRPr="00E21173">
        <w:rPr>
          <w:rFonts w:cs="Arial"/>
          <w:rtl/>
        </w:rPr>
        <w:t>, דאמר: מילי לא מימסרן לשליח! אלא לשמואל הא קא מיבעיא ליה: האי כתובו, אי כתב ידן</w:t>
      </w:r>
      <w:r>
        <w:rPr>
          <w:rStyle w:val="a7"/>
          <w:rFonts w:cs="Arial"/>
          <w:rtl/>
        </w:rPr>
        <w:footnoteReference w:id="1299"/>
      </w:r>
      <w:r w:rsidRPr="00E21173">
        <w:rPr>
          <w:rFonts w:cs="Arial"/>
          <w:rtl/>
        </w:rPr>
        <w:t xml:space="preserve"> אי כתב הגט. ותיפשוט ליה ממתני': אמר לשנים תנו גט לאשתי, או לשלשה כתבו גט ותנו לאשתי </w:t>
      </w:r>
      <w:r w:rsidR="00A82951">
        <w:rPr>
          <w:rFonts w:cs="Arial"/>
          <w:rtl/>
        </w:rPr>
        <w:t>-</w:t>
      </w:r>
      <w:r w:rsidRPr="00E21173">
        <w:rPr>
          <w:rFonts w:cs="Arial"/>
          <w:rtl/>
        </w:rPr>
        <w:t xml:space="preserve"> הרי אלו יכתבו ויתנו! היא גופא קא מיבעיא ליה: כתובו, כתב ידן הוא או כתב הגט הוא. פשיטא דכתב הגט הוא! דקתני סיפא: אמר רבי יוסי, נומינו לשליח: אף אנו מקובלין, שאפי' אמר לב"ד הגדול שבירושלים תנו גט לאשתי </w:t>
      </w:r>
      <w:r w:rsidR="00A82951">
        <w:rPr>
          <w:rFonts w:cs="Arial"/>
          <w:rtl/>
        </w:rPr>
        <w:t>-</w:t>
      </w:r>
      <w:r w:rsidRPr="00E21173">
        <w:rPr>
          <w:rFonts w:cs="Arial"/>
          <w:rtl/>
        </w:rPr>
        <w:t xml:space="preserve"> שילמדו ויכתבו ויתנו לה; אי אמרת בשלמא כתב הגט הוא </w:t>
      </w:r>
      <w:r w:rsidR="00A82951">
        <w:rPr>
          <w:rFonts w:cs="Arial"/>
          <w:rtl/>
        </w:rPr>
        <w:t>-</w:t>
      </w:r>
      <w:r w:rsidRPr="00E21173">
        <w:rPr>
          <w:rFonts w:cs="Arial"/>
          <w:rtl/>
        </w:rPr>
        <w:t xml:space="preserve"> שפיר, אלא אי אמרת כתב ידן הוא, מי איכא בי דינא דלא ידעי מחתם חתימת ידייהו? אין, איכא בי דינא חדתא</w:t>
      </w:r>
      <w:r>
        <w:rPr>
          <w:rStyle w:val="a7"/>
          <w:rFonts w:cs="Arial"/>
          <w:rtl/>
        </w:rPr>
        <w:footnoteReference w:id="1300"/>
      </w:r>
      <w:r w:rsidRPr="00E21173">
        <w:rPr>
          <w:rFonts w:cs="Arial"/>
          <w:rtl/>
        </w:rPr>
        <w:t xml:space="preserve">. ואי סבירא לן דהאי כתובו </w:t>
      </w:r>
      <w:r w:rsidR="00A82951">
        <w:rPr>
          <w:rFonts w:cs="Arial"/>
          <w:rtl/>
        </w:rPr>
        <w:t>-</w:t>
      </w:r>
      <w:r w:rsidRPr="00E21173">
        <w:rPr>
          <w:rFonts w:cs="Arial"/>
          <w:rtl/>
        </w:rPr>
        <w:t xml:space="preserve"> כתב ידן הוא, הא כתב הגט כשר? והאמר שמואל, אמר רבי: הלכה כר' יוסי</w:t>
      </w:r>
      <w:r>
        <w:rPr>
          <w:rStyle w:val="a7"/>
          <w:rFonts w:cs="Arial"/>
          <w:rtl/>
        </w:rPr>
        <w:footnoteReference w:id="1301"/>
      </w:r>
      <w:r w:rsidRPr="00E21173">
        <w:rPr>
          <w:rFonts w:cs="Arial"/>
          <w:rtl/>
        </w:rPr>
        <w:t xml:space="preserve">, דאמר: מילי לא מימסרן לשליח! אמרי: אי סבירי לן דכתובו </w:t>
      </w:r>
      <w:r w:rsidR="00A82951">
        <w:rPr>
          <w:rFonts w:cs="Arial"/>
          <w:rtl/>
        </w:rPr>
        <w:t>-</w:t>
      </w:r>
      <w:r w:rsidRPr="00E21173">
        <w:rPr>
          <w:rFonts w:cs="Arial"/>
          <w:rtl/>
        </w:rPr>
        <w:t xml:space="preserve"> כתב ידן הוא, כתב הגט נעשה כאומר אמרו, ומודה ר' יוסי באומר אמרו. </w:t>
      </w:r>
      <w:r w:rsidRPr="008B2690">
        <w:rPr>
          <w:rFonts w:cs="Arial"/>
          <w:rtl/>
        </w:rPr>
        <w:t xml:space="preserve">ומי מודה ר' יוסי באומר אמרו? והתנן: כתב סופר ועד </w:t>
      </w:r>
      <w:r w:rsidR="00A82951">
        <w:rPr>
          <w:rFonts w:cs="Arial"/>
          <w:rtl/>
        </w:rPr>
        <w:t>-</w:t>
      </w:r>
      <w:r w:rsidRPr="008B2690">
        <w:rPr>
          <w:rFonts w:cs="Arial"/>
          <w:rtl/>
        </w:rPr>
        <w:t xml:space="preserve"> כשר, ואמר ר' ירמיה: חתם סופר שנינו</w:t>
      </w:r>
      <w:r>
        <w:rPr>
          <w:rStyle w:val="a7"/>
          <w:rFonts w:cs="Arial"/>
          <w:rtl/>
        </w:rPr>
        <w:footnoteReference w:id="1302"/>
      </w:r>
      <w:r w:rsidRPr="008B2690">
        <w:rPr>
          <w:rFonts w:cs="Arial"/>
          <w:rtl/>
        </w:rPr>
        <w:t>, ואמר רב חסדא: מתני'</w:t>
      </w:r>
      <w:r>
        <w:rPr>
          <w:rStyle w:val="a7"/>
          <w:rFonts w:cs="Arial"/>
          <w:rtl/>
        </w:rPr>
        <w:footnoteReference w:id="1303"/>
      </w:r>
      <w:r w:rsidRPr="008B2690">
        <w:rPr>
          <w:rFonts w:cs="Arial"/>
          <w:rtl/>
        </w:rPr>
        <w:t xml:space="preserve"> מני? ר' יוסי היא, דאמר: מילי לא מימסרן לשליח</w:t>
      </w:r>
      <w:r>
        <w:rPr>
          <w:rStyle w:val="a7"/>
          <w:rFonts w:cs="Arial"/>
          <w:rtl/>
        </w:rPr>
        <w:footnoteReference w:id="1304"/>
      </w:r>
      <w:r w:rsidRPr="008B2690">
        <w:rPr>
          <w:rFonts w:cs="Arial"/>
          <w:rtl/>
        </w:rPr>
        <w:t>; ואי סלקא דעתך מודה רבי יוסי באומר אמרו, נפיק מינה חורבה, דזימנין דאמר להו לשנים</w:t>
      </w:r>
      <w:r w:rsidRPr="008B2690">
        <w:rPr>
          <w:rtl/>
        </w:rPr>
        <w:t xml:space="preserve"> </w:t>
      </w:r>
      <w:r>
        <w:rPr>
          <w:rFonts w:hint="cs"/>
          <w:sz w:val="14"/>
          <w:szCs w:val="14"/>
          <w:rtl/>
        </w:rPr>
        <w:t xml:space="preserve">(סז.) </w:t>
      </w:r>
      <w:r w:rsidRPr="008B2690">
        <w:rPr>
          <w:rFonts w:cs="Arial"/>
          <w:rtl/>
        </w:rPr>
        <w:t>אמרו לסופר ויכתוב ולפלוני ופלוני ויחתמו, ומשום כיסופא דסופר חיישי ומחתמי חד מהנך סהדי וסופר בהדייהו, ובעל לא אמר הכי!</w:t>
      </w:r>
      <w:r w:rsidRPr="00EC6793">
        <w:rPr>
          <w:rtl/>
        </w:rPr>
        <w:t xml:space="preserve"> </w:t>
      </w:r>
      <w:r w:rsidRPr="00EC6793">
        <w:rPr>
          <w:rFonts w:cs="Arial"/>
          <w:rtl/>
        </w:rPr>
        <w:t>כיון דאמר מר</w:t>
      </w:r>
      <w:r>
        <w:rPr>
          <w:rStyle w:val="a7"/>
          <w:rFonts w:cs="Arial"/>
          <w:rtl/>
        </w:rPr>
        <w:footnoteReference w:id="1305"/>
      </w:r>
      <w:r w:rsidRPr="00EC6793">
        <w:rPr>
          <w:rFonts w:cs="Arial"/>
          <w:rtl/>
        </w:rPr>
        <w:t>: כשר ולא תעשה כן בישראל, לא שכיח</w:t>
      </w:r>
      <w:r>
        <w:rPr>
          <w:rStyle w:val="a7"/>
          <w:rFonts w:cs="Arial"/>
          <w:rtl/>
        </w:rPr>
        <w:footnoteReference w:id="1306"/>
      </w:r>
      <w:r w:rsidRPr="00EC6793">
        <w:rPr>
          <w:rFonts w:cs="Arial"/>
          <w:rtl/>
        </w:rPr>
        <w:t>. וליחוש דילמא אמר להו</w:t>
      </w:r>
      <w:r>
        <w:rPr>
          <w:rStyle w:val="a7"/>
          <w:rFonts w:cs="Arial"/>
          <w:rtl/>
        </w:rPr>
        <w:footnoteReference w:id="1307"/>
      </w:r>
      <w:r w:rsidRPr="00EC6793">
        <w:rPr>
          <w:rFonts w:cs="Arial"/>
          <w:rtl/>
        </w:rPr>
        <w:t xml:space="preserve"> לבי תרי אמרו לסופר ויכתוב ואתם חתומו, ואזלי הנך משום כיסופא דסופר ומחתמי ליה לסופר בהדי חד מינייהו, ובעל לא אמר הכי! אמרי: הא נמי כשר ולא תעשה הוא. הניחא למ"ד</w:t>
      </w:r>
      <w:r>
        <w:rPr>
          <w:rStyle w:val="a7"/>
          <w:rFonts w:cs="Arial"/>
          <w:rtl/>
        </w:rPr>
        <w:footnoteReference w:id="1308"/>
      </w:r>
      <w:r w:rsidRPr="00EC6793">
        <w:rPr>
          <w:rFonts w:cs="Arial"/>
          <w:rtl/>
        </w:rPr>
        <w:t xml:space="preserve"> כשר ולא תעשה, אלא למ"ד כשר ותעשה מאי איכא למימר?</w:t>
      </w:r>
      <w:r w:rsidRPr="005D0E9F">
        <w:rPr>
          <w:rtl/>
        </w:rPr>
        <w:t xml:space="preserve"> </w:t>
      </w:r>
      <w:r w:rsidRPr="005D0E9F">
        <w:rPr>
          <w:rFonts w:cs="Arial"/>
          <w:rtl/>
        </w:rPr>
        <w:t>אלא רבי יוסי תרתי אמר</w:t>
      </w:r>
      <w:r>
        <w:rPr>
          <w:rStyle w:val="a7"/>
          <w:rFonts w:cs="Arial"/>
          <w:rtl/>
        </w:rPr>
        <w:footnoteReference w:id="1309"/>
      </w:r>
      <w:r w:rsidRPr="005D0E9F">
        <w:rPr>
          <w:rFonts w:cs="Arial"/>
          <w:rtl/>
        </w:rPr>
        <w:t>, ושמואל</w:t>
      </w:r>
      <w:r>
        <w:rPr>
          <w:rStyle w:val="a7"/>
          <w:rFonts w:cs="Arial"/>
          <w:rtl/>
        </w:rPr>
        <w:footnoteReference w:id="1310"/>
      </w:r>
      <w:r w:rsidRPr="005D0E9F">
        <w:rPr>
          <w:rFonts w:cs="Arial"/>
          <w:rtl/>
        </w:rPr>
        <w:t xml:space="preserve"> סבר לה כוותיה בחדא</w:t>
      </w:r>
      <w:r>
        <w:rPr>
          <w:rStyle w:val="a7"/>
          <w:rFonts w:cs="Arial"/>
          <w:rtl/>
        </w:rPr>
        <w:footnoteReference w:id="1311"/>
      </w:r>
      <w:r w:rsidRPr="005D0E9F">
        <w:rPr>
          <w:rFonts w:cs="Arial"/>
          <w:rtl/>
        </w:rPr>
        <w:t xml:space="preserve"> ופליג עליה</w:t>
      </w:r>
      <w:r>
        <w:rPr>
          <w:rStyle w:val="a7"/>
          <w:rFonts w:cs="Arial"/>
          <w:rtl/>
        </w:rPr>
        <w:footnoteReference w:id="1312"/>
      </w:r>
      <w:r w:rsidRPr="005D0E9F">
        <w:rPr>
          <w:rFonts w:cs="Arial"/>
          <w:rtl/>
        </w:rPr>
        <w:t xml:space="preserve"> בחדא.</w:t>
      </w:r>
      <w:r w:rsidRPr="00343129">
        <w:rPr>
          <w:rFonts w:cs="Arial" w:hint="cs"/>
          <w:sz w:val="16"/>
          <w:szCs w:val="16"/>
          <w:rtl/>
        </w:rPr>
        <w:t xml:space="preserve"> </w:t>
      </w:r>
      <w:r>
        <w:rPr>
          <w:rFonts w:cs="Arial" w:hint="cs"/>
          <w:sz w:val="16"/>
          <w:szCs w:val="16"/>
          <w:rtl/>
        </w:rPr>
        <w:t>(</w:t>
      </w:r>
      <w:r w:rsidRPr="00343129">
        <w:rPr>
          <w:rFonts w:cs="Arial" w:hint="cs"/>
          <w:sz w:val="16"/>
          <w:szCs w:val="16"/>
          <w:rtl/>
        </w:rPr>
        <w:t xml:space="preserve">וסיכם הב"י, </w:t>
      </w:r>
      <w:r w:rsidR="000A0F5A">
        <w:rPr>
          <w:rFonts w:cs="Arial" w:hint="cs"/>
          <w:sz w:val="16"/>
          <w:szCs w:val="16"/>
          <w:rtl/>
        </w:rPr>
        <w:t>וז</w:t>
      </w:r>
      <w:r w:rsidR="000A0F5A">
        <w:rPr>
          <w:rFonts w:cs="Arial"/>
          <w:sz w:val="16"/>
          <w:szCs w:val="16"/>
          <w:rtl/>
        </w:rPr>
        <w:t>"</w:t>
      </w:r>
      <w:r w:rsidR="000A0F5A">
        <w:rPr>
          <w:rFonts w:cs="Arial" w:hint="cs"/>
          <w:sz w:val="16"/>
          <w:szCs w:val="16"/>
          <w:rtl/>
        </w:rPr>
        <w:t>ל:</w:t>
      </w:r>
      <w:r w:rsidRPr="00343129">
        <w:rPr>
          <w:rFonts w:cs="Arial" w:hint="cs"/>
          <w:sz w:val="16"/>
          <w:szCs w:val="16"/>
          <w:rtl/>
        </w:rPr>
        <w:t xml:space="preserve"> אמרינן בגמרא ד</w:t>
      </w:r>
      <w:r w:rsidRPr="00343129">
        <w:rPr>
          <w:rFonts w:cs="Arial"/>
          <w:sz w:val="16"/>
          <w:szCs w:val="16"/>
          <w:rtl/>
        </w:rPr>
        <w:t xml:space="preserve">מאן דמכשר </w:t>
      </w:r>
      <w:r>
        <w:rPr>
          <w:rFonts w:cs="Arial" w:hint="cs"/>
          <w:sz w:val="14"/>
          <w:szCs w:val="14"/>
          <w:rtl/>
        </w:rPr>
        <w:t xml:space="preserve">{שמואל} </w:t>
      </w:r>
      <w:r w:rsidRPr="00343129">
        <w:rPr>
          <w:rFonts w:cs="Arial"/>
          <w:sz w:val="16"/>
          <w:szCs w:val="16"/>
          <w:rtl/>
        </w:rPr>
        <w:t>באומר אמרו לסופר ויכתוב ולעדים ויחתומו פסל בחתם סופר ועד, כלומר שאם הסופר עצמו חותם בעדות הגט עם עד אחד פסול</w:t>
      </w:r>
      <w:r>
        <w:rPr>
          <w:rFonts w:cs="Arial" w:hint="cs"/>
          <w:sz w:val="16"/>
          <w:szCs w:val="16"/>
          <w:rtl/>
        </w:rPr>
        <w:t>,</w:t>
      </w:r>
      <w:r w:rsidRPr="00343129">
        <w:rPr>
          <w:rFonts w:cs="Arial"/>
          <w:sz w:val="16"/>
          <w:szCs w:val="16"/>
          <w:rtl/>
        </w:rPr>
        <w:t xml:space="preserve"> דאי אמרת כשר נפיק מיניה חורבא דזימנין דאמר בעל אמרו לסופר ויכתוב ולפלוני ופלוני ויחתומו ומשום כיסופא דסופר שלא יתבייש לומר שאין מקבלין אותו בעד מחתמי ליה כלומר שאומר לו שהבעל אמר כן ובעל לא אמר הכי ונמצא הגט בטל</w:t>
      </w:r>
      <w:r>
        <w:rPr>
          <w:rFonts w:cs="Arial" w:hint="cs"/>
          <w:sz w:val="16"/>
          <w:szCs w:val="16"/>
          <w:rtl/>
        </w:rPr>
        <w:t>.</w:t>
      </w:r>
      <w:r w:rsidRPr="00343129">
        <w:rPr>
          <w:rFonts w:cs="Arial"/>
          <w:sz w:val="16"/>
          <w:szCs w:val="16"/>
          <w:rtl/>
        </w:rPr>
        <w:t xml:space="preserve"> ומאן דפסל </w:t>
      </w:r>
      <w:r>
        <w:rPr>
          <w:rFonts w:cs="Arial" w:hint="cs"/>
          <w:sz w:val="14"/>
          <w:szCs w:val="14"/>
          <w:rtl/>
        </w:rPr>
        <w:t xml:space="preserve">{ר' יוסי} </w:t>
      </w:r>
      <w:r w:rsidRPr="00343129">
        <w:rPr>
          <w:rFonts w:cs="Arial"/>
          <w:sz w:val="16"/>
          <w:szCs w:val="16"/>
          <w:rtl/>
        </w:rPr>
        <w:t>באומר אמרו משום דמילי לא מימסרן לשליח תו ליכא למיחש להך חורבא</w:t>
      </w:r>
      <w:r>
        <w:rPr>
          <w:rFonts w:cs="Arial" w:hint="cs"/>
          <w:sz w:val="16"/>
          <w:szCs w:val="16"/>
          <w:rtl/>
        </w:rPr>
        <w:t>,</w:t>
      </w:r>
      <w:r w:rsidRPr="00343129">
        <w:rPr>
          <w:rFonts w:cs="Arial"/>
          <w:sz w:val="16"/>
          <w:szCs w:val="16"/>
          <w:rtl/>
        </w:rPr>
        <w:t xml:space="preserve"> דלעולם אין השליח רשאי לומר לעדים חתומו ולעולם אין הסופר חותם אא</w:t>
      </w:r>
      <w:r>
        <w:rPr>
          <w:rFonts w:cs="Arial" w:hint="cs"/>
          <w:sz w:val="16"/>
          <w:szCs w:val="16"/>
          <w:rtl/>
        </w:rPr>
        <w:t>"</w:t>
      </w:r>
      <w:r w:rsidRPr="00343129">
        <w:rPr>
          <w:rFonts w:cs="Arial"/>
          <w:sz w:val="16"/>
          <w:szCs w:val="16"/>
          <w:rtl/>
        </w:rPr>
        <w:t>כ שומע מפי הבעל</w:t>
      </w:r>
      <w:r>
        <w:rPr>
          <w:rFonts w:cs="Arial" w:hint="cs"/>
          <w:sz w:val="16"/>
          <w:szCs w:val="16"/>
          <w:rtl/>
        </w:rPr>
        <w:t>)</w:t>
      </w:r>
    </w:p>
    <w:p w14:paraId="76EFD7C1" w14:textId="77777777" w:rsidR="00FA2119" w:rsidRPr="00B550BB" w:rsidRDefault="00FA2119" w:rsidP="00FA2119">
      <w:pPr>
        <w:rPr>
          <w:u w:val="single"/>
          <w:rtl/>
        </w:rPr>
      </w:pPr>
      <w:r w:rsidRPr="00B550BB">
        <w:rPr>
          <w:rFonts w:hint="cs"/>
          <w:u w:val="single"/>
          <w:rtl/>
        </w:rPr>
        <w:t>כיצד נפסק:</w:t>
      </w:r>
    </w:p>
    <w:p w14:paraId="6A351001" w14:textId="771C4A0B" w:rsidR="00FA2119" w:rsidRPr="00B550BB" w:rsidRDefault="00FA2119" w:rsidP="00FA2119">
      <w:pPr>
        <w:pStyle w:val="ab"/>
        <w:numPr>
          <w:ilvl w:val="0"/>
          <w:numId w:val="80"/>
        </w:numPr>
      </w:pPr>
      <w:r w:rsidRPr="00B550BB">
        <w:rPr>
          <w:rFonts w:cs="Arial"/>
          <w:rtl/>
        </w:rPr>
        <w:t xml:space="preserve">רי"ף </w:t>
      </w:r>
      <w:r w:rsidRPr="00B550BB">
        <w:rPr>
          <w:rFonts w:cs="Arial"/>
          <w:sz w:val="16"/>
          <w:szCs w:val="16"/>
          <w:rtl/>
        </w:rPr>
        <w:t xml:space="preserve">(לג.) </w:t>
      </w:r>
      <w:r>
        <w:rPr>
          <w:rFonts w:cs="Arial" w:hint="cs"/>
          <w:rtl/>
        </w:rPr>
        <w:t>רמב"ם</w:t>
      </w:r>
      <w:r>
        <w:rPr>
          <w:rStyle w:val="a7"/>
          <w:rFonts w:cs="Arial"/>
          <w:rtl/>
        </w:rPr>
        <w:footnoteReference w:id="1313"/>
      </w:r>
      <w:r>
        <w:rPr>
          <w:rFonts w:cs="Arial" w:hint="cs"/>
          <w:rtl/>
        </w:rPr>
        <w:t xml:space="preserve"> </w:t>
      </w:r>
      <w:r>
        <w:rPr>
          <w:rFonts w:cs="Arial" w:hint="cs"/>
          <w:sz w:val="16"/>
          <w:szCs w:val="16"/>
          <w:rtl/>
        </w:rPr>
        <w:t xml:space="preserve">(פ"ט הכ"ז) </w:t>
      </w:r>
      <w:r>
        <w:rPr>
          <w:rFonts w:cs="Arial" w:hint="cs"/>
          <w:rtl/>
        </w:rPr>
        <w:t xml:space="preserve">רמ"ה </w:t>
      </w:r>
      <w:r>
        <w:rPr>
          <w:rFonts w:cs="Arial" w:hint="cs"/>
          <w:sz w:val="16"/>
          <w:szCs w:val="16"/>
          <w:rtl/>
        </w:rPr>
        <w:t>(כ"כ הטור בשמו)</w:t>
      </w:r>
      <w:r>
        <w:rPr>
          <w:rFonts w:cs="Arial" w:hint="cs"/>
          <w:rtl/>
        </w:rPr>
        <w:t xml:space="preserve"> </w:t>
      </w:r>
      <w:r w:rsidRPr="00B550BB">
        <w:rPr>
          <w:rFonts w:cs="Arial"/>
          <w:rtl/>
        </w:rPr>
        <w:t>ורא"ש</w:t>
      </w:r>
      <w:r>
        <w:rPr>
          <w:rStyle w:val="a7"/>
          <w:rFonts w:cs="Arial"/>
          <w:rtl/>
        </w:rPr>
        <w:footnoteReference w:id="1314"/>
      </w:r>
      <w:r w:rsidRPr="00B550BB">
        <w:rPr>
          <w:rFonts w:cs="Arial"/>
          <w:rtl/>
        </w:rPr>
        <w:t xml:space="preserve"> </w:t>
      </w:r>
      <w:r w:rsidRPr="00B550BB">
        <w:rPr>
          <w:rFonts w:cs="Arial"/>
          <w:sz w:val="16"/>
          <w:szCs w:val="16"/>
          <w:rtl/>
        </w:rPr>
        <w:t>(פ"ז סי' יט)</w:t>
      </w:r>
      <w:r w:rsidR="00A82951">
        <w:rPr>
          <w:rFonts w:cs="Arial" w:hint="cs"/>
          <w:rtl/>
        </w:rPr>
        <w:t>-</w:t>
      </w:r>
      <w:r>
        <w:rPr>
          <w:rFonts w:cs="Arial" w:hint="cs"/>
          <w:rtl/>
        </w:rPr>
        <w:t xml:space="preserve"> חתם סופר ועד כשר בדיעבד</w:t>
      </w:r>
      <w:r>
        <w:rPr>
          <w:rStyle w:val="a7"/>
          <w:rFonts w:cs="Arial"/>
          <w:rtl/>
        </w:rPr>
        <w:footnoteReference w:id="1315"/>
      </w:r>
      <w:r>
        <w:rPr>
          <w:rFonts w:cs="Arial" w:hint="cs"/>
          <w:rtl/>
        </w:rPr>
        <w:t>, כיון דאומר 'אמרו' פסול</w:t>
      </w:r>
      <w:r w:rsidRPr="00B550BB">
        <w:rPr>
          <w:rFonts w:cs="Arial" w:hint="cs"/>
          <w:rtl/>
        </w:rPr>
        <w:t>.</w:t>
      </w:r>
      <w:r w:rsidRPr="00B550BB">
        <w:rPr>
          <w:rFonts w:cs="Arial"/>
          <w:rtl/>
        </w:rPr>
        <w:t xml:space="preserve"> </w:t>
      </w:r>
      <w:r w:rsidRPr="0027707C">
        <w:rPr>
          <w:rFonts w:hint="cs"/>
          <w:color w:val="E36C0A" w:themeColor="accent6" w:themeShade="BF"/>
          <w:rtl/>
        </w:rPr>
        <w:t>(וכ"פ בשו"ע)</w:t>
      </w:r>
    </w:p>
    <w:p w14:paraId="10B3F12D" w14:textId="53E1732D" w:rsidR="00FA2119" w:rsidRPr="006C123D" w:rsidRDefault="00FA2119" w:rsidP="00FA2119">
      <w:pPr>
        <w:pStyle w:val="ab"/>
        <w:numPr>
          <w:ilvl w:val="0"/>
          <w:numId w:val="80"/>
        </w:numPr>
      </w:pPr>
      <w:r w:rsidRPr="00EC6793">
        <w:rPr>
          <w:rFonts w:cs="Arial"/>
          <w:rtl/>
        </w:rPr>
        <w:lastRenderedPageBreak/>
        <w:t>ר"</w:t>
      </w:r>
      <w:r>
        <w:rPr>
          <w:rFonts w:cs="Arial" w:hint="cs"/>
          <w:rtl/>
        </w:rPr>
        <w:t xml:space="preserve">י </w:t>
      </w:r>
      <w:r>
        <w:rPr>
          <w:rFonts w:cs="Arial"/>
          <w:rtl/>
        </w:rPr>
        <w:t>תרומה רמב"ן סמ"ג סמ"ק רשב"א</w:t>
      </w:r>
      <w:r>
        <w:rPr>
          <w:rStyle w:val="a7"/>
          <w:rFonts w:cs="Arial"/>
          <w:rtl/>
        </w:rPr>
        <w:footnoteReference w:id="1316"/>
      </w:r>
      <w:r>
        <w:rPr>
          <w:rFonts w:cs="Arial"/>
          <w:rtl/>
        </w:rPr>
        <w:t xml:space="preserve"> </w:t>
      </w:r>
      <w:r>
        <w:rPr>
          <w:rFonts w:cs="Arial" w:hint="cs"/>
          <w:rtl/>
        </w:rPr>
        <w:t>רא"ש ור"ן</w:t>
      </w:r>
      <w:r>
        <w:rPr>
          <w:rStyle w:val="a7"/>
          <w:rFonts w:cs="Arial"/>
          <w:rtl/>
        </w:rPr>
        <w:footnoteReference w:id="1317"/>
      </w:r>
      <w:r w:rsidR="00A82951">
        <w:rPr>
          <w:rFonts w:cs="Arial" w:hint="cs"/>
          <w:rtl/>
        </w:rPr>
        <w:t>-</w:t>
      </w:r>
      <w:r w:rsidRPr="00EC6793">
        <w:rPr>
          <w:rFonts w:cs="Arial"/>
          <w:rtl/>
        </w:rPr>
        <w:t xml:space="preserve"> חתם סופר ועד </w:t>
      </w:r>
      <w:r>
        <w:rPr>
          <w:rFonts w:cs="Arial" w:hint="cs"/>
          <w:rtl/>
        </w:rPr>
        <w:t>פסול</w:t>
      </w:r>
      <w:r>
        <w:rPr>
          <w:rStyle w:val="a7"/>
          <w:rFonts w:cs="Arial"/>
          <w:rtl/>
        </w:rPr>
        <w:footnoteReference w:id="1318"/>
      </w:r>
      <w:r>
        <w:rPr>
          <w:rFonts w:cs="Arial" w:hint="cs"/>
          <w:rtl/>
        </w:rPr>
        <w:t>, אע"ג דהאומר 'אמרו' פסול, לחוש לדברי האומרים דכשר באומר 'אמרו'</w:t>
      </w:r>
      <w:r>
        <w:rPr>
          <w:rStyle w:val="a7"/>
          <w:rFonts w:cs="Arial"/>
          <w:rtl/>
        </w:rPr>
        <w:footnoteReference w:id="1319"/>
      </w:r>
      <w:r>
        <w:rPr>
          <w:rFonts w:cs="Arial" w:hint="cs"/>
          <w:rtl/>
        </w:rPr>
        <w:t xml:space="preserve">. </w:t>
      </w:r>
    </w:p>
    <w:p w14:paraId="6237F3A8" w14:textId="3127CE4A" w:rsidR="00FA2119" w:rsidRPr="00CB0180" w:rsidRDefault="00FA2119" w:rsidP="00FA2119">
      <w:pPr>
        <w:ind w:left="360"/>
        <w:rPr>
          <w:u w:val="dotted"/>
        </w:rPr>
      </w:pPr>
      <w:r w:rsidRPr="00CB0180">
        <w:rPr>
          <w:rFonts w:hint="cs"/>
          <w:u w:val="dotted"/>
          <w:rtl/>
        </w:rPr>
        <w:t xml:space="preserve">לר"י וסיעתו </w:t>
      </w:r>
      <w:r w:rsidR="00A82951">
        <w:rPr>
          <w:u w:val="dotted"/>
          <w:rtl/>
        </w:rPr>
        <w:t>-</w:t>
      </w:r>
      <w:r w:rsidRPr="00CB0180">
        <w:rPr>
          <w:rFonts w:hint="cs"/>
          <w:u w:val="dotted"/>
          <w:rtl/>
        </w:rPr>
        <w:t xml:space="preserve"> מה הדי</w:t>
      </w:r>
      <w:r>
        <w:rPr>
          <w:rFonts w:hint="cs"/>
          <w:u w:val="dotted"/>
          <w:rtl/>
        </w:rPr>
        <w:t>ן</w:t>
      </w:r>
      <w:r w:rsidRPr="00CB0180">
        <w:rPr>
          <w:rFonts w:hint="cs"/>
          <w:u w:val="dotted"/>
          <w:rtl/>
        </w:rPr>
        <w:t xml:space="preserve"> אם נתגרשה בגט שחתם הסופר כנ"ל ונשאת:</w:t>
      </w:r>
    </w:p>
    <w:p w14:paraId="178B6999" w14:textId="3B697EE7" w:rsidR="00FA2119" w:rsidRDefault="00FA2119" w:rsidP="00FA2119">
      <w:pPr>
        <w:pStyle w:val="ab"/>
        <w:numPr>
          <w:ilvl w:val="0"/>
          <w:numId w:val="80"/>
        </w:numPr>
      </w:pPr>
      <w:r w:rsidRPr="00CB0180">
        <w:rPr>
          <w:rFonts w:cs="Arial"/>
          <w:rtl/>
        </w:rPr>
        <w:t xml:space="preserve">ריב"ש </w:t>
      </w:r>
      <w:r w:rsidRPr="00CB0180">
        <w:rPr>
          <w:rFonts w:cs="Arial" w:hint="cs"/>
          <w:sz w:val="16"/>
          <w:szCs w:val="16"/>
          <w:rtl/>
        </w:rPr>
        <w:t>(</w:t>
      </w:r>
      <w:r w:rsidRPr="00CB0180">
        <w:rPr>
          <w:rFonts w:cs="Arial"/>
          <w:sz w:val="16"/>
          <w:szCs w:val="16"/>
          <w:rtl/>
        </w:rPr>
        <w:t>סי</w:t>
      </w:r>
      <w:r w:rsidRPr="00CB0180">
        <w:rPr>
          <w:rFonts w:cs="Arial" w:hint="cs"/>
          <w:sz w:val="16"/>
          <w:szCs w:val="16"/>
          <w:rtl/>
        </w:rPr>
        <w:t>'</w:t>
      </w:r>
      <w:r w:rsidRPr="00CB0180">
        <w:rPr>
          <w:rFonts w:cs="Arial"/>
          <w:sz w:val="16"/>
          <w:szCs w:val="16"/>
          <w:rtl/>
        </w:rPr>
        <w:t xml:space="preserve"> רה</w:t>
      </w:r>
      <w:r w:rsidRPr="00CB0180">
        <w:rPr>
          <w:rFonts w:cs="Arial" w:hint="cs"/>
          <w:sz w:val="16"/>
          <w:szCs w:val="16"/>
          <w:rtl/>
        </w:rPr>
        <w:t>)</w:t>
      </w:r>
      <w:r w:rsidR="00A82951">
        <w:rPr>
          <w:rFonts w:cs="Arial" w:hint="cs"/>
          <w:rtl/>
        </w:rPr>
        <w:t>-</w:t>
      </w:r>
      <w:r w:rsidRPr="00CB0180">
        <w:rPr>
          <w:rFonts w:cs="Arial"/>
          <w:rtl/>
        </w:rPr>
        <w:t xml:space="preserve"> אפילו לדעת האומר חתם סופר ועד פסול </w:t>
      </w:r>
      <w:r w:rsidR="00A82951">
        <w:rPr>
          <w:rFonts w:cs="Arial" w:hint="cs"/>
          <w:rtl/>
        </w:rPr>
        <w:t>-</w:t>
      </w:r>
      <w:r w:rsidRPr="00CB0180">
        <w:rPr>
          <w:rFonts w:cs="Arial" w:hint="cs"/>
          <w:rtl/>
        </w:rPr>
        <w:t xml:space="preserve"> </w:t>
      </w:r>
      <w:r w:rsidRPr="00CB0180">
        <w:rPr>
          <w:rFonts w:cs="Arial"/>
          <w:rtl/>
        </w:rPr>
        <w:t>אם נשאת לא תצא</w:t>
      </w:r>
      <w:r w:rsidRPr="00CB0180">
        <w:rPr>
          <w:rFonts w:cs="Arial" w:hint="cs"/>
          <w:rtl/>
        </w:rPr>
        <w:t>,</w:t>
      </w:r>
      <w:r w:rsidRPr="00CB0180">
        <w:rPr>
          <w:rFonts w:cs="Arial"/>
          <w:rtl/>
        </w:rPr>
        <w:t xml:space="preserve"> אלא שהוא פסול אף אם נתגרשה בו ולא תנשא לכתחלה</w:t>
      </w:r>
      <w:r w:rsidRPr="00CB0180">
        <w:rPr>
          <w:rFonts w:cs="Arial" w:hint="cs"/>
          <w:rtl/>
        </w:rPr>
        <w:t>,</w:t>
      </w:r>
      <w:r w:rsidRPr="00CB0180">
        <w:rPr>
          <w:rFonts w:cs="Arial"/>
          <w:rtl/>
        </w:rPr>
        <w:t xml:space="preserve"> שכן הוא בכל הפסולין דרבנן משום תקנתא או משום גזירה דידהו כמו שכתב רבינו האי בתשובה</w:t>
      </w:r>
      <w:r w:rsidRPr="00CB0180">
        <w:rPr>
          <w:rFonts w:cs="Arial" w:hint="cs"/>
          <w:rtl/>
        </w:rPr>
        <w:t>.</w:t>
      </w:r>
      <w:r w:rsidRPr="00CB0180">
        <w:rPr>
          <w:rFonts w:cs="Arial"/>
          <w:rtl/>
        </w:rPr>
        <w:t xml:space="preserve"> והרמב"ן (פו. ד"ה גמרא) שכתב שנראה לו מסוגיא דפרק המגרש (פו:) דכל פסולי דרבנן אם נשאת תצא כשאין לה בנים כבר כתב בסוף דבריו שביטל דבריו לדעת הגאון</w:t>
      </w:r>
      <w:r w:rsidRPr="00CB0180">
        <w:rPr>
          <w:rFonts w:cs="Arial" w:hint="cs"/>
          <w:rtl/>
        </w:rPr>
        <w:t>,</w:t>
      </w:r>
      <w:r w:rsidRPr="00CB0180">
        <w:rPr>
          <w:rFonts w:cs="Arial"/>
          <w:rtl/>
        </w:rPr>
        <w:t xml:space="preserve"> וכן דעת הרמב"ם </w:t>
      </w:r>
      <w:r w:rsidRPr="00CB0180">
        <w:rPr>
          <w:rFonts w:cs="Arial" w:hint="cs"/>
          <w:rtl/>
        </w:rPr>
        <w:t>(</w:t>
      </w:r>
      <w:r w:rsidRPr="00CB0180">
        <w:rPr>
          <w:rFonts w:cs="Arial"/>
          <w:rtl/>
        </w:rPr>
        <w:t>פ</w:t>
      </w:r>
      <w:r w:rsidRPr="00CB0180">
        <w:rPr>
          <w:rFonts w:cs="Arial" w:hint="cs"/>
          <w:rtl/>
        </w:rPr>
        <w:t>"</w:t>
      </w:r>
      <w:r w:rsidRPr="00CB0180">
        <w:rPr>
          <w:rFonts w:cs="Arial"/>
          <w:rtl/>
        </w:rPr>
        <w:t>י ה"ב) ולזה הסכים הרא"ש ז"ל (פ"ט סי' ו)</w:t>
      </w:r>
      <w:r w:rsidRPr="00CB0180">
        <w:rPr>
          <w:rFonts w:cs="Arial" w:hint="cs"/>
          <w:rtl/>
        </w:rPr>
        <w:t>.</w:t>
      </w:r>
      <w:r w:rsidRPr="00CB0180">
        <w:rPr>
          <w:rFonts w:cs="Arial"/>
          <w:rtl/>
        </w:rPr>
        <w:t xml:space="preserve"> </w:t>
      </w:r>
    </w:p>
    <w:p w14:paraId="5A5EC5D5" w14:textId="0F56BF63" w:rsidR="00FA2119" w:rsidRPr="00CB0180" w:rsidRDefault="00FA2119" w:rsidP="00FA2119">
      <w:pPr>
        <w:pStyle w:val="ab"/>
        <w:numPr>
          <w:ilvl w:val="0"/>
          <w:numId w:val="80"/>
        </w:numPr>
        <w:rPr>
          <w:rtl/>
        </w:rPr>
      </w:pPr>
      <w:r>
        <w:rPr>
          <w:rFonts w:cs="Arial" w:hint="cs"/>
          <w:rtl/>
        </w:rPr>
        <w:t xml:space="preserve">ה"ר אביגדור </w:t>
      </w:r>
      <w:r>
        <w:rPr>
          <w:rFonts w:cs="Arial" w:hint="cs"/>
          <w:sz w:val="16"/>
          <w:szCs w:val="16"/>
          <w:rtl/>
        </w:rPr>
        <w:t>(הביאו המרדכי גיטין סי' תכא)</w:t>
      </w:r>
      <w:r w:rsidR="00A82951">
        <w:rPr>
          <w:rFonts w:cs="Arial" w:hint="cs"/>
          <w:rtl/>
        </w:rPr>
        <w:t>-</w:t>
      </w:r>
      <w:r>
        <w:rPr>
          <w:rFonts w:cs="Arial" w:hint="cs"/>
          <w:rtl/>
        </w:rPr>
        <w:t xml:space="preserve"> </w:t>
      </w:r>
      <w:r w:rsidRPr="00583B45">
        <w:rPr>
          <w:rFonts w:cs="Arial"/>
          <w:rtl/>
        </w:rPr>
        <w:t>ר"י הזקן כתב בתשובתו כדי הוא ר"ח לסמוך עליו בשעת הדחק על מעשה שהיה בגט שחתום בו סופר ועד ונשאת לאחר וילדה והכשיר הולד</w:t>
      </w:r>
      <w:r>
        <w:rPr>
          <w:rStyle w:val="a7"/>
          <w:rFonts w:cs="Arial"/>
          <w:rtl/>
        </w:rPr>
        <w:footnoteReference w:id="1320"/>
      </w:r>
      <w:r>
        <w:rPr>
          <w:rFonts w:cs="Arial" w:hint="cs"/>
          <w:rtl/>
        </w:rPr>
        <w:t>.</w:t>
      </w:r>
    </w:p>
    <w:p w14:paraId="00D85F83" w14:textId="2259D3CD" w:rsidR="00FA2119" w:rsidRPr="001E7375" w:rsidRDefault="00FA2119" w:rsidP="00FA2119">
      <w:pPr>
        <w:ind w:left="360"/>
        <w:rPr>
          <w:u w:val="dotted"/>
        </w:rPr>
      </w:pPr>
      <w:r>
        <w:rPr>
          <w:rFonts w:hint="cs"/>
          <w:u w:val="dotted"/>
          <w:rtl/>
        </w:rPr>
        <w:t xml:space="preserve">לר"י וסיעתו </w:t>
      </w:r>
      <w:r w:rsidR="00A82951">
        <w:rPr>
          <w:rFonts w:hint="cs"/>
          <w:u w:val="dotted"/>
          <w:rtl/>
        </w:rPr>
        <w:t>-</w:t>
      </w:r>
      <w:r>
        <w:rPr>
          <w:rFonts w:hint="cs"/>
          <w:u w:val="dotted"/>
          <w:rtl/>
        </w:rPr>
        <w:t xml:space="preserve"> </w:t>
      </w:r>
      <w:r w:rsidRPr="006C123D">
        <w:rPr>
          <w:rFonts w:hint="cs"/>
          <w:u w:val="dotted"/>
          <w:rtl/>
        </w:rPr>
        <w:t>מה הדין אם חתמו שני עדים והסופר:</w:t>
      </w:r>
    </w:p>
    <w:p w14:paraId="07D4E3FC" w14:textId="60585D92" w:rsidR="00FA2119" w:rsidRDefault="00FA2119" w:rsidP="00FA2119">
      <w:pPr>
        <w:pStyle w:val="ab"/>
        <w:numPr>
          <w:ilvl w:val="0"/>
          <w:numId w:val="80"/>
        </w:numPr>
      </w:pPr>
      <w:r w:rsidRPr="001E7375">
        <w:rPr>
          <w:rFonts w:cs="Arial"/>
          <w:rtl/>
        </w:rPr>
        <w:t xml:space="preserve">ראבי"ה </w:t>
      </w:r>
      <w:r w:rsidRPr="0027707C">
        <w:rPr>
          <w:rFonts w:cs="Arial" w:hint="cs"/>
          <w:sz w:val="16"/>
          <w:szCs w:val="16"/>
          <w:rtl/>
        </w:rPr>
        <w:t>(</w:t>
      </w:r>
      <w:r w:rsidRPr="0027707C">
        <w:rPr>
          <w:rFonts w:cs="Arial"/>
          <w:sz w:val="16"/>
          <w:szCs w:val="16"/>
          <w:rtl/>
        </w:rPr>
        <w:t>סי' תתקכב ד"ה ועל זאת</w:t>
      </w:r>
      <w:r w:rsidRPr="0027707C">
        <w:rPr>
          <w:rFonts w:cs="Arial" w:hint="cs"/>
          <w:sz w:val="16"/>
          <w:szCs w:val="16"/>
          <w:rtl/>
        </w:rPr>
        <w:t>, הביאו המרדכי [סי' תיח]</w:t>
      </w:r>
      <w:r w:rsidRPr="0027707C">
        <w:rPr>
          <w:rFonts w:cs="Arial"/>
          <w:sz w:val="16"/>
          <w:szCs w:val="16"/>
          <w:rtl/>
        </w:rPr>
        <w:t>)</w:t>
      </w:r>
      <w:r>
        <w:rPr>
          <w:rFonts w:cs="Arial" w:hint="cs"/>
          <w:rtl/>
        </w:rPr>
        <w:t xml:space="preserve"> רא"ש </w:t>
      </w:r>
      <w:r>
        <w:rPr>
          <w:rFonts w:cs="Arial" w:hint="cs"/>
          <w:sz w:val="16"/>
          <w:szCs w:val="16"/>
          <w:rtl/>
        </w:rPr>
        <w:t>(</w:t>
      </w:r>
      <w:r w:rsidRPr="001E7375">
        <w:rPr>
          <w:rFonts w:cs="Arial"/>
          <w:sz w:val="16"/>
          <w:szCs w:val="16"/>
          <w:rtl/>
        </w:rPr>
        <w:t xml:space="preserve">כלל מה </w:t>
      </w:r>
      <w:r w:rsidRPr="001E7375">
        <w:rPr>
          <w:rFonts w:cs="Arial" w:hint="cs"/>
          <w:sz w:val="16"/>
          <w:szCs w:val="16"/>
          <w:rtl/>
        </w:rPr>
        <w:t xml:space="preserve">סי' </w:t>
      </w:r>
      <w:r w:rsidRPr="001E7375">
        <w:rPr>
          <w:rFonts w:cs="Arial"/>
          <w:sz w:val="16"/>
          <w:szCs w:val="16"/>
          <w:rtl/>
        </w:rPr>
        <w:t>א</w:t>
      </w:r>
      <w:r>
        <w:rPr>
          <w:rFonts w:cs="Arial" w:hint="cs"/>
          <w:sz w:val="16"/>
          <w:szCs w:val="16"/>
          <w:rtl/>
        </w:rPr>
        <w:t>, וכ"כ הטור בשמו)</w:t>
      </w:r>
      <w:r>
        <w:rPr>
          <w:rFonts w:cs="Arial" w:hint="cs"/>
          <w:rtl/>
        </w:rPr>
        <w:t xml:space="preserve"> ור"ן</w:t>
      </w:r>
      <w:r>
        <w:rPr>
          <w:rFonts w:cs="Arial" w:hint="cs"/>
          <w:sz w:val="16"/>
          <w:szCs w:val="16"/>
          <w:rtl/>
        </w:rPr>
        <w:t xml:space="preserve"> (לג.)</w:t>
      </w:r>
      <w:r w:rsidR="00A82951">
        <w:rPr>
          <w:rFonts w:cs="Arial" w:hint="cs"/>
          <w:rtl/>
        </w:rPr>
        <w:t>-</w:t>
      </w:r>
      <w:r>
        <w:rPr>
          <w:rFonts w:cs="Arial" w:hint="cs"/>
          <w:rtl/>
        </w:rPr>
        <w:t xml:space="preserve"> </w:t>
      </w:r>
      <w:r>
        <w:rPr>
          <w:rFonts w:cs="Arial"/>
          <w:rtl/>
        </w:rPr>
        <w:t xml:space="preserve">אם חתמו בו ב' והסופר </w:t>
      </w:r>
      <w:r w:rsidR="00A82951">
        <w:rPr>
          <w:rFonts w:cs="Arial" w:hint="cs"/>
          <w:rtl/>
        </w:rPr>
        <w:t>-</w:t>
      </w:r>
      <w:r>
        <w:rPr>
          <w:rFonts w:cs="Arial"/>
          <w:rtl/>
        </w:rPr>
        <w:t xml:space="preserve"> </w:t>
      </w:r>
      <w:r w:rsidRPr="001E7375">
        <w:rPr>
          <w:rFonts w:cs="Arial"/>
          <w:rtl/>
        </w:rPr>
        <w:t>לכתחלה נכון שלא לעשותו</w:t>
      </w:r>
      <w:r>
        <w:rPr>
          <w:rFonts w:cs="Arial" w:hint="cs"/>
          <w:rtl/>
        </w:rPr>
        <w:t>,</w:t>
      </w:r>
      <w:r w:rsidRPr="001E7375">
        <w:rPr>
          <w:rFonts w:cs="Arial"/>
          <w:rtl/>
        </w:rPr>
        <w:t xml:space="preserve"> גזירה אטו חתם סופר ועד אחד</w:t>
      </w:r>
      <w:r>
        <w:rPr>
          <w:rFonts w:cs="Arial" w:hint="cs"/>
          <w:rtl/>
        </w:rPr>
        <w:t>.</w:t>
      </w:r>
      <w:r w:rsidRPr="001E7375">
        <w:rPr>
          <w:rFonts w:cs="Arial"/>
          <w:rtl/>
        </w:rPr>
        <w:t xml:space="preserve"> אבל בדיעבד </w:t>
      </w:r>
      <w:r w:rsidR="00A82951">
        <w:rPr>
          <w:rFonts w:cs="Arial" w:hint="cs"/>
          <w:rtl/>
        </w:rPr>
        <w:t>-</w:t>
      </w:r>
      <w:r>
        <w:rPr>
          <w:rFonts w:cs="Arial" w:hint="cs"/>
          <w:rtl/>
        </w:rPr>
        <w:t xml:space="preserve"> </w:t>
      </w:r>
      <w:r w:rsidRPr="001E7375">
        <w:rPr>
          <w:rFonts w:cs="Arial"/>
          <w:rtl/>
        </w:rPr>
        <w:t>אין לפסלו</w:t>
      </w:r>
      <w:r>
        <w:rPr>
          <w:rFonts w:cs="Arial" w:hint="cs"/>
          <w:rtl/>
        </w:rPr>
        <w:t>,</w:t>
      </w:r>
      <w:r w:rsidRPr="001E7375">
        <w:rPr>
          <w:rFonts w:cs="Arial"/>
          <w:rtl/>
        </w:rPr>
        <w:t xml:space="preserve"> דלא שייך ביה חורבא</w:t>
      </w:r>
      <w:r>
        <w:rPr>
          <w:rStyle w:val="a7"/>
          <w:rFonts w:cs="Arial"/>
          <w:rtl/>
        </w:rPr>
        <w:footnoteReference w:id="1321"/>
      </w:r>
      <w:r>
        <w:rPr>
          <w:rFonts w:cs="Arial" w:hint="cs"/>
          <w:sz w:val="16"/>
          <w:szCs w:val="16"/>
          <w:rtl/>
        </w:rPr>
        <w:t xml:space="preserve"> (ל' הב"י בשמו)</w:t>
      </w:r>
      <w:r>
        <w:rPr>
          <w:rFonts w:cs="Arial" w:hint="cs"/>
          <w:rtl/>
        </w:rPr>
        <w:t>.</w:t>
      </w:r>
      <w:r>
        <w:rPr>
          <w:rFonts w:cs="Arial"/>
          <w:rtl/>
        </w:rPr>
        <w:t xml:space="preserve"> </w:t>
      </w:r>
    </w:p>
    <w:p w14:paraId="0D3AE14A" w14:textId="533D840F" w:rsidR="00FA2119" w:rsidRPr="00396366" w:rsidRDefault="00FA2119" w:rsidP="00FA2119">
      <w:pPr>
        <w:pStyle w:val="ab"/>
        <w:numPr>
          <w:ilvl w:val="0"/>
          <w:numId w:val="80"/>
        </w:numPr>
        <w:rPr>
          <w:rtl/>
        </w:rPr>
      </w:pPr>
      <w:r>
        <w:rPr>
          <w:rFonts w:cs="Arial" w:hint="cs"/>
          <w:rtl/>
        </w:rPr>
        <w:t xml:space="preserve">ה"ר אביגדור </w:t>
      </w:r>
      <w:r>
        <w:rPr>
          <w:rFonts w:cs="Arial" w:hint="cs"/>
          <w:sz w:val="16"/>
          <w:szCs w:val="16"/>
          <w:rtl/>
        </w:rPr>
        <w:t>(הביאו המרדכי גיטין סי' תכא)</w:t>
      </w:r>
      <w:r w:rsidR="00A82951">
        <w:rPr>
          <w:rFonts w:cs="Arial" w:hint="cs"/>
          <w:rtl/>
        </w:rPr>
        <w:t>-</w:t>
      </w:r>
      <w:r>
        <w:rPr>
          <w:rFonts w:cs="Arial" w:hint="cs"/>
          <w:rtl/>
        </w:rPr>
        <w:t xml:space="preserve"> </w:t>
      </w:r>
      <w:r w:rsidRPr="00583B45">
        <w:rPr>
          <w:rFonts w:cs="Arial"/>
          <w:rtl/>
        </w:rPr>
        <w:t>ואני אחרי בואי בארץ הזאת בא מעשה לידינו בגט שחתם בו סופר עם ב' עדים ורצו להכשירו ולא שמעו להם והוצרכו לכתוב אחר כהלכתו</w:t>
      </w:r>
      <w:r w:rsidR="007E08DE">
        <w:rPr>
          <w:rFonts w:cs="Arial" w:hint="cs"/>
          <w:rtl/>
        </w:rPr>
        <w:t>.</w:t>
      </w:r>
      <w:r w:rsidRPr="00583B45">
        <w:rPr>
          <w:rFonts w:cs="Arial"/>
          <w:rtl/>
        </w:rPr>
        <w:t xml:space="preserve"> מיהו </w:t>
      </w:r>
      <w:r w:rsidR="007E08DE">
        <w:rPr>
          <w:rFonts w:cs="Arial" w:hint="cs"/>
          <w:rtl/>
        </w:rPr>
        <w:t>הני מילי</w:t>
      </w:r>
      <w:r w:rsidRPr="00583B45">
        <w:rPr>
          <w:rFonts w:cs="Arial"/>
          <w:rtl/>
        </w:rPr>
        <w:t xml:space="preserve"> היכא דאפשר</w:t>
      </w:r>
      <w:r>
        <w:rPr>
          <w:rStyle w:val="a7"/>
          <w:rFonts w:cs="Arial"/>
          <w:rtl/>
        </w:rPr>
        <w:footnoteReference w:id="1322"/>
      </w:r>
      <w:r>
        <w:rPr>
          <w:rFonts w:cs="Arial" w:hint="cs"/>
          <w:rtl/>
        </w:rPr>
        <w:t>.</w:t>
      </w:r>
    </w:p>
    <w:p w14:paraId="26E18F57" w14:textId="2E2D74BE" w:rsidR="00FA2119" w:rsidRPr="00A60A65" w:rsidRDefault="00FA2119" w:rsidP="00FA2119">
      <w:pPr>
        <w:rPr>
          <w:u w:val="single"/>
        </w:rPr>
      </w:pPr>
      <w:r w:rsidRPr="00A60A65">
        <w:rPr>
          <w:rFonts w:hint="cs"/>
          <w:u w:val="single"/>
          <w:rtl/>
        </w:rPr>
        <w:t xml:space="preserve">כשיש שני עדים ואחד מהם סופר </w:t>
      </w:r>
      <w:r w:rsidR="00A82951">
        <w:rPr>
          <w:u w:val="single"/>
          <w:rtl/>
        </w:rPr>
        <w:t>-</w:t>
      </w:r>
      <w:r w:rsidRPr="00A60A65">
        <w:rPr>
          <w:rFonts w:hint="cs"/>
          <w:u w:val="single"/>
          <w:rtl/>
        </w:rPr>
        <w:t xml:space="preserve"> כיצד הסופר חותם:</w:t>
      </w:r>
    </w:p>
    <w:p w14:paraId="3644C852" w14:textId="2E942A80" w:rsidR="00FA2119" w:rsidRPr="00A60A65" w:rsidRDefault="00FA2119" w:rsidP="00FA2119">
      <w:pPr>
        <w:pStyle w:val="ab"/>
        <w:numPr>
          <w:ilvl w:val="0"/>
          <w:numId w:val="88"/>
        </w:numPr>
      </w:pPr>
      <w:r w:rsidRPr="0045000F">
        <w:rPr>
          <w:rFonts w:cs="Arial"/>
          <w:rtl/>
        </w:rPr>
        <w:t xml:space="preserve">מרדכי </w:t>
      </w:r>
      <w:r w:rsidRPr="00615C7D">
        <w:rPr>
          <w:rFonts w:cs="Arial"/>
          <w:sz w:val="16"/>
          <w:szCs w:val="16"/>
          <w:rtl/>
        </w:rPr>
        <w:t>(סי' תיח)</w:t>
      </w:r>
      <w:r>
        <w:rPr>
          <w:rFonts w:cs="Arial" w:hint="cs"/>
          <w:rtl/>
        </w:rPr>
        <w:t xml:space="preserve"> בשם רבינו יואל</w:t>
      </w:r>
      <w:r w:rsidR="00A82951">
        <w:rPr>
          <w:rFonts w:cs="Arial" w:hint="cs"/>
          <w:rtl/>
        </w:rPr>
        <w:t>-</w:t>
      </w:r>
      <w:r>
        <w:rPr>
          <w:rFonts w:cs="Arial" w:hint="cs"/>
          <w:rtl/>
        </w:rPr>
        <w:t xml:space="preserve"> </w:t>
      </w:r>
      <w:r w:rsidRPr="0045000F">
        <w:rPr>
          <w:rFonts w:cs="Arial"/>
          <w:rtl/>
        </w:rPr>
        <w:t>כשאין חתומים בגט רק שני עדים ואחד מהם הוא הסופר</w:t>
      </w:r>
      <w:r>
        <w:rPr>
          <w:rFonts w:cs="Arial" w:hint="cs"/>
          <w:rtl/>
        </w:rPr>
        <w:t>,</w:t>
      </w:r>
      <w:r w:rsidRPr="0045000F">
        <w:rPr>
          <w:rFonts w:cs="Arial"/>
          <w:rtl/>
        </w:rPr>
        <w:t xml:space="preserve"> שיחתום הסופר </w:t>
      </w:r>
      <w:r>
        <w:rPr>
          <w:rFonts w:cs="Arial" w:hint="cs"/>
          <w:rtl/>
        </w:rPr>
        <w:t>'</w:t>
      </w:r>
      <w:r w:rsidRPr="0045000F">
        <w:rPr>
          <w:rFonts w:cs="Arial"/>
          <w:rtl/>
        </w:rPr>
        <w:t>אני פלוני סופר ועד</w:t>
      </w:r>
      <w:r>
        <w:rPr>
          <w:rFonts w:cs="Arial" w:hint="cs"/>
          <w:rtl/>
        </w:rPr>
        <w:t>'</w:t>
      </w:r>
      <w:r>
        <w:rPr>
          <w:rStyle w:val="a7"/>
          <w:rFonts w:cs="Arial"/>
          <w:rtl/>
        </w:rPr>
        <w:footnoteReference w:id="1323"/>
      </w:r>
      <w:r>
        <w:rPr>
          <w:rFonts w:cs="Arial" w:hint="cs"/>
          <w:rtl/>
        </w:rPr>
        <w:t>.</w:t>
      </w:r>
      <w:r w:rsidRPr="0045000F">
        <w:rPr>
          <w:rFonts w:cs="Arial"/>
          <w:rtl/>
        </w:rPr>
        <w:t xml:space="preserve"> </w:t>
      </w:r>
    </w:p>
    <w:p w14:paraId="07C5CD78" w14:textId="77777777" w:rsidR="00FA2119" w:rsidRPr="00A438B3" w:rsidRDefault="00FA2119" w:rsidP="00FA2119">
      <w:pPr>
        <w:rPr>
          <w:rFonts w:cs="Arial"/>
          <w:u w:val="single"/>
          <w:rtl/>
        </w:rPr>
      </w:pPr>
      <w:r w:rsidRPr="00A438B3">
        <w:rPr>
          <w:rFonts w:cs="Arial"/>
          <w:u w:val="single"/>
          <w:rtl/>
        </w:rPr>
        <w:t xml:space="preserve">אחד מהעדים שחתם </w:t>
      </w:r>
      <w:r>
        <w:rPr>
          <w:rFonts w:cs="Arial" w:hint="cs"/>
          <w:u w:val="single"/>
          <w:rtl/>
        </w:rPr>
        <w:t>'</w:t>
      </w:r>
      <w:r w:rsidRPr="00A438B3">
        <w:rPr>
          <w:rFonts w:cs="Arial"/>
          <w:u w:val="single"/>
          <w:rtl/>
        </w:rPr>
        <w:t>אני פלוני סופר ועד</w:t>
      </w:r>
      <w:r>
        <w:rPr>
          <w:rFonts w:cs="Arial" w:hint="cs"/>
          <w:u w:val="single"/>
          <w:rtl/>
        </w:rPr>
        <w:t>',</w:t>
      </w:r>
      <w:r w:rsidRPr="00A438B3">
        <w:rPr>
          <w:rFonts w:cs="Arial"/>
          <w:u w:val="single"/>
          <w:rtl/>
        </w:rPr>
        <w:t xml:space="preserve"> והוא לא היה סופר</w:t>
      </w:r>
      <w:r>
        <w:rPr>
          <w:rFonts w:cs="Arial" w:hint="cs"/>
          <w:u w:val="single"/>
          <w:rtl/>
        </w:rPr>
        <w:t>:</w:t>
      </w:r>
    </w:p>
    <w:p w14:paraId="4A681DF4" w14:textId="398D0068" w:rsidR="00FA2119" w:rsidRDefault="00FA2119" w:rsidP="00FA2119">
      <w:pPr>
        <w:pStyle w:val="ab"/>
        <w:numPr>
          <w:ilvl w:val="0"/>
          <w:numId w:val="88"/>
        </w:numPr>
      </w:pPr>
      <w:r w:rsidRPr="0045000F">
        <w:rPr>
          <w:rFonts w:cs="Arial"/>
          <w:rtl/>
        </w:rPr>
        <w:t xml:space="preserve">מרדכי </w:t>
      </w:r>
      <w:r w:rsidRPr="00615C7D">
        <w:rPr>
          <w:rFonts w:cs="Arial"/>
          <w:sz w:val="16"/>
          <w:szCs w:val="16"/>
          <w:rtl/>
        </w:rPr>
        <w:t>(סי' תיח)</w:t>
      </w:r>
      <w:r>
        <w:rPr>
          <w:rFonts w:cs="Arial" w:hint="cs"/>
          <w:rtl/>
        </w:rPr>
        <w:t xml:space="preserve"> בשם רבינו יואל</w:t>
      </w:r>
      <w:r w:rsidR="00A82951">
        <w:rPr>
          <w:rFonts w:cs="Arial" w:hint="cs"/>
          <w:rtl/>
        </w:rPr>
        <w:t>-</w:t>
      </w:r>
      <w:r>
        <w:rPr>
          <w:rFonts w:cs="Arial" w:hint="cs"/>
          <w:rtl/>
        </w:rPr>
        <w:t xml:space="preserve"> </w:t>
      </w:r>
      <w:r w:rsidRPr="0045000F">
        <w:rPr>
          <w:rFonts w:cs="Arial"/>
          <w:rtl/>
        </w:rPr>
        <w:t xml:space="preserve">אחד מהעדים שחתם </w:t>
      </w:r>
      <w:r>
        <w:rPr>
          <w:rFonts w:cs="Arial" w:hint="cs"/>
          <w:rtl/>
        </w:rPr>
        <w:t>'</w:t>
      </w:r>
      <w:r w:rsidRPr="0045000F">
        <w:rPr>
          <w:rFonts w:cs="Arial"/>
          <w:rtl/>
        </w:rPr>
        <w:t>אני פלוני סופר ועד</w:t>
      </w:r>
      <w:r>
        <w:rPr>
          <w:rFonts w:cs="Arial" w:hint="cs"/>
          <w:rtl/>
        </w:rPr>
        <w:t xml:space="preserve">', </w:t>
      </w:r>
      <w:r w:rsidRPr="0045000F">
        <w:rPr>
          <w:rFonts w:cs="Arial"/>
          <w:rtl/>
        </w:rPr>
        <w:t xml:space="preserve">והוא לא היה סופר </w:t>
      </w:r>
      <w:r w:rsidR="00A82951">
        <w:rPr>
          <w:rFonts w:cs="Arial" w:hint="cs"/>
          <w:rtl/>
        </w:rPr>
        <w:t>-</w:t>
      </w:r>
      <w:r>
        <w:rPr>
          <w:rFonts w:cs="Arial" w:hint="cs"/>
          <w:rtl/>
        </w:rPr>
        <w:t xml:space="preserve"> </w:t>
      </w:r>
      <w:r w:rsidRPr="0045000F">
        <w:rPr>
          <w:rFonts w:cs="Arial"/>
          <w:rtl/>
        </w:rPr>
        <w:t>כשר</w:t>
      </w:r>
      <w:r>
        <w:rPr>
          <w:rFonts w:cs="Arial" w:hint="cs"/>
          <w:rtl/>
        </w:rPr>
        <w:t>,</w:t>
      </w:r>
      <w:r w:rsidRPr="0045000F">
        <w:rPr>
          <w:rFonts w:cs="Arial"/>
          <w:rtl/>
        </w:rPr>
        <w:t xml:space="preserve"> אך ימחקו סופר מתוך הגט</w:t>
      </w:r>
      <w:r>
        <w:rPr>
          <w:rFonts w:cs="Arial" w:hint="cs"/>
          <w:rtl/>
        </w:rPr>
        <w:t>.</w:t>
      </w:r>
      <w:r w:rsidRPr="0045000F">
        <w:rPr>
          <w:rFonts w:cs="Arial"/>
          <w:rtl/>
        </w:rPr>
        <w:t xml:space="preserve"> </w:t>
      </w:r>
    </w:p>
    <w:p w14:paraId="1751FDAC" w14:textId="77777777" w:rsidR="00FA2119" w:rsidRPr="00A06FBD" w:rsidRDefault="00FA2119" w:rsidP="00FA2119">
      <w:pPr>
        <w:rPr>
          <w:sz w:val="16"/>
          <w:szCs w:val="16"/>
        </w:rPr>
      </w:pPr>
      <w:r w:rsidRPr="00A06FBD">
        <w:rPr>
          <w:rFonts w:cs="Arial" w:hint="cs"/>
          <w:u w:val="single"/>
          <w:rtl/>
        </w:rPr>
        <w:lastRenderedPageBreak/>
        <w:t>גט שנעשה ב</w:t>
      </w:r>
      <w:r w:rsidRPr="00A06FBD">
        <w:rPr>
          <w:rFonts w:cs="Arial"/>
          <w:u w:val="single"/>
          <w:rtl/>
        </w:rPr>
        <w:t>מקום שנהגו להכשיר חתם סופר ועד</w:t>
      </w:r>
      <w:r w:rsidRPr="00A06FBD">
        <w:rPr>
          <w:rFonts w:cs="Arial" w:hint="cs"/>
          <w:u w:val="single"/>
          <w:rtl/>
        </w:rPr>
        <w:t>, ונשלח הגט למקום</w:t>
      </w:r>
      <w:r w:rsidRPr="00A06FBD">
        <w:rPr>
          <w:rFonts w:cs="Arial"/>
          <w:u w:val="single"/>
          <w:rtl/>
        </w:rPr>
        <w:t xml:space="preserve"> </w:t>
      </w:r>
      <w:r w:rsidRPr="00A06FBD">
        <w:rPr>
          <w:rFonts w:cs="Arial" w:hint="cs"/>
          <w:u w:val="single"/>
          <w:rtl/>
        </w:rPr>
        <w:t>ש</w:t>
      </w:r>
      <w:r w:rsidRPr="00A06FBD">
        <w:rPr>
          <w:rFonts w:cs="Arial"/>
          <w:u w:val="single"/>
          <w:rtl/>
        </w:rPr>
        <w:t>נוהגין בו איסור</w:t>
      </w:r>
      <w:r w:rsidRPr="00A06FBD">
        <w:rPr>
          <w:rFonts w:cs="Arial" w:hint="cs"/>
          <w:u w:val="single"/>
          <w:rtl/>
        </w:rPr>
        <w:t>:</w:t>
      </w:r>
      <w:r>
        <w:rPr>
          <w:rFonts w:cs="Arial" w:hint="cs"/>
          <w:rtl/>
        </w:rPr>
        <w:t xml:space="preserve"> </w:t>
      </w:r>
      <w:r>
        <w:rPr>
          <w:rFonts w:cs="Arial" w:hint="cs"/>
          <w:sz w:val="16"/>
          <w:szCs w:val="16"/>
          <w:rtl/>
        </w:rPr>
        <w:t xml:space="preserve"> (דרכ"מ אות טו)</w:t>
      </w:r>
    </w:p>
    <w:p w14:paraId="3F7D75C4" w14:textId="2106A332" w:rsidR="00FA2119" w:rsidRPr="00B550BB" w:rsidRDefault="00FA2119" w:rsidP="00FA2119">
      <w:pPr>
        <w:pStyle w:val="ab"/>
        <w:numPr>
          <w:ilvl w:val="0"/>
          <w:numId w:val="80"/>
        </w:numPr>
        <w:rPr>
          <w:rtl/>
        </w:rPr>
      </w:pPr>
      <w:r w:rsidRPr="00396366">
        <w:rPr>
          <w:rFonts w:cs="Arial"/>
          <w:rtl/>
        </w:rPr>
        <w:t xml:space="preserve">רשב"א </w:t>
      </w:r>
      <w:r w:rsidRPr="00A06FBD">
        <w:rPr>
          <w:rFonts w:cs="Arial" w:hint="cs"/>
          <w:sz w:val="16"/>
          <w:szCs w:val="16"/>
          <w:rtl/>
        </w:rPr>
        <w:t>(</w:t>
      </w:r>
      <w:r w:rsidRPr="00A06FBD">
        <w:rPr>
          <w:rFonts w:cs="Arial"/>
          <w:sz w:val="16"/>
          <w:szCs w:val="16"/>
          <w:rtl/>
        </w:rPr>
        <w:t>סי</w:t>
      </w:r>
      <w:r w:rsidRPr="00A06FBD">
        <w:rPr>
          <w:rFonts w:cs="Arial" w:hint="cs"/>
          <w:sz w:val="16"/>
          <w:szCs w:val="16"/>
          <w:rtl/>
        </w:rPr>
        <w:t>'</w:t>
      </w:r>
      <w:r w:rsidRPr="00A06FBD">
        <w:rPr>
          <w:rFonts w:cs="Arial"/>
          <w:sz w:val="16"/>
          <w:szCs w:val="16"/>
          <w:rtl/>
        </w:rPr>
        <w:t xml:space="preserve"> אלף ק</w:t>
      </w:r>
      <w:r w:rsidRPr="00A06FBD">
        <w:rPr>
          <w:rFonts w:cs="Arial" w:hint="cs"/>
          <w:sz w:val="16"/>
          <w:szCs w:val="16"/>
          <w:rtl/>
        </w:rPr>
        <w:t>צ)</w:t>
      </w:r>
      <w:r w:rsidR="00A82951">
        <w:rPr>
          <w:rFonts w:cs="Arial" w:hint="cs"/>
          <w:rtl/>
        </w:rPr>
        <w:t>-</w:t>
      </w:r>
      <w:r w:rsidRPr="00396366">
        <w:rPr>
          <w:rFonts w:cs="Arial"/>
          <w:rtl/>
        </w:rPr>
        <w:t xml:space="preserve"> במקום שנהגו להכשיר חתם סופר ועד</w:t>
      </w:r>
      <w:r w:rsidR="00556AEA">
        <w:rPr>
          <w:rFonts w:cs="Arial" w:hint="cs"/>
          <w:rtl/>
        </w:rPr>
        <w:t>,</w:t>
      </w:r>
      <w:r w:rsidRPr="00396366">
        <w:rPr>
          <w:rFonts w:cs="Arial"/>
          <w:rtl/>
        </w:rPr>
        <w:t xml:space="preserve"> ובשאר ארצות נוהגין בו איסור</w:t>
      </w:r>
      <w:r w:rsidR="00556AEA">
        <w:rPr>
          <w:rFonts w:cs="Arial" w:hint="cs"/>
          <w:rtl/>
        </w:rPr>
        <w:t>,</w:t>
      </w:r>
      <w:r w:rsidRPr="00396366">
        <w:rPr>
          <w:rFonts w:cs="Arial"/>
          <w:rtl/>
        </w:rPr>
        <w:t xml:space="preserve"> גט הבא משם לכאן אפשר דגם כאן יש לנהוג בו היתר</w:t>
      </w:r>
      <w:r w:rsidR="00556AEA">
        <w:rPr>
          <w:rFonts w:cs="Arial" w:hint="cs"/>
          <w:rtl/>
        </w:rPr>
        <w:t>.</w:t>
      </w:r>
      <w:r w:rsidRPr="00396366">
        <w:rPr>
          <w:rFonts w:cs="Arial"/>
          <w:rtl/>
        </w:rPr>
        <w:t xml:space="preserve"> אמנם טוב ליזהר שלא יהא נוהגין כן מכאן ולהבא</w:t>
      </w:r>
      <w:r w:rsidR="00556AEA">
        <w:rPr>
          <w:rFonts w:cs="Arial" w:hint="cs"/>
          <w:rtl/>
        </w:rPr>
        <w:t>.</w:t>
      </w:r>
      <w:r w:rsidRPr="00396366">
        <w:rPr>
          <w:rFonts w:cs="Arial"/>
          <w:rtl/>
        </w:rPr>
        <w:t xml:space="preserve"> וליכא הוצאת לעז על גיטין הראשונים שהרואה אומר בעדים אלו ניחא להו ולא באותו סופר</w:t>
      </w:r>
      <w:r>
        <w:rPr>
          <w:rFonts w:hint="cs"/>
          <w:rtl/>
        </w:rPr>
        <w:t>.</w:t>
      </w:r>
    </w:p>
    <w:p w14:paraId="4B1BC894"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3EAB095" w14:textId="77777777" w:rsidR="00FA2119" w:rsidRDefault="00FA2119" w:rsidP="00FA2119">
      <w:pPr>
        <w:rPr>
          <w:rtl/>
        </w:rPr>
      </w:pPr>
      <w:r>
        <w:rPr>
          <w:rFonts w:cs="Arial" w:hint="cs"/>
          <w:rtl/>
        </w:rPr>
        <w:t>יש</w:t>
      </w:r>
      <w:r>
        <w:rPr>
          <w:rFonts w:cs="Arial"/>
          <w:rtl/>
        </w:rPr>
        <w:t xml:space="preserve"> </w:t>
      </w:r>
      <w:r>
        <w:rPr>
          <w:rFonts w:cs="Arial" w:hint="cs"/>
          <w:rtl/>
        </w:rPr>
        <w:t>ליזהר</w:t>
      </w:r>
      <w:r>
        <w:rPr>
          <w:rFonts w:cs="Arial"/>
          <w:rtl/>
        </w:rPr>
        <w:t xml:space="preserve"> </w:t>
      </w:r>
      <w:r>
        <w:rPr>
          <w:rFonts w:cs="Arial" w:hint="cs"/>
          <w:rtl/>
        </w:rPr>
        <w:t>שלא</w:t>
      </w:r>
      <w:r>
        <w:rPr>
          <w:rFonts w:cs="Arial"/>
          <w:rtl/>
        </w:rPr>
        <w:t xml:space="preserve"> </w:t>
      </w:r>
      <w:r>
        <w:rPr>
          <w:rFonts w:cs="Arial" w:hint="cs"/>
          <w:rtl/>
        </w:rPr>
        <w:t>לחתום</w:t>
      </w:r>
      <w:r>
        <w:rPr>
          <w:rFonts w:cs="Arial"/>
          <w:rtl/>
        </w:rPr>
        <w:t xml:space="preserve"> </w:t>
      </w:r>
      <w:r>
        <w:rPr>
          <w:rFonts w:cs="Arial" w:hint="cs"/>
          <w:rtl/>
        </w:rPr>
        <w:t>הסופר</w:t>
      </w:r>
      <w:r>
        <w:rPr>
          <w:rFonts w:cs="Arial"/>
          <w:rtl/>
        </w:rPr>
        <w:t xml:space="preserve"> </w:t>
      </w:r>
      <w:r>
        <w:rPr>
          <w:rFonts w:cs="Arial" w:hint="cs"/>
          <w:rtl/>
        </w:rPr>
        <w:t>לעד</w:t>
      </w:r>
      <w:r>
        <w:rPr>
          <w:rFonts w:cs="Arial"/>
          <w:rtl/>
        </w:rPr>
        <w:t xml:space="preserve">, </w:t>
      </w:r>
      <w:r>
        <w:rPr>
          <w:rFonts w:cs="Arial" w:hint="cs"/>
          <w:rtl/>
        </w:rPr>
        <w:t>מפני</w:t>
      </w:r>
      <w:r>
        <w:rPr>
          <w:rFonts w:cs="Arial"/>
          <w:rtl/>
        </w:rPr>
        <w:t xml:space="preserve"> </w:t>
      </w:r>
      <w:r>
        <w:rPr>
          <w:rFonts w:cs="Arial" w:hint="cs"/>
          <w:rtl/>
        </w:rPr>
        <w:t>שיש</w:t>
      </w:r>
      <w:r>
        <w:rPr>
          <w:rFonts w:cs="Arial"/>
          <w:rtl/>
        </w:rPr>
        <w:t xml:space="preserve"> </w:t>
      </w:r>
      <w:r>
        <w:rPr>
          <w:rFonts w:cs="Arial" w:hint="cs"/>
          <w:rtl/>
        </w:rPr>
        <w:t>פוסלין</w:t>
      </w:r>
      <w:r>
        <w:rPr>
          <w:rFonts w:cs="Arial"/>
          <w:rtl/>
        </w:rPr>
        <w:t xml:space="preserve">. </w:t>
      </w:r>
    </w:p>
    <w:p w14:paraId="5D84FD4C" w14:textId="77777777" w:rsidR="00FA2119" w:rsidRDefault="00FA2119" w:rsidP="00FA2119">
      <w:pPr>
        <w:rPr>
          <w:rtl/>
        </w:rPr>
      </w:pPr>
    </w:p>
    <w:p w14:paraId="51F63D27" w14:textId="77777777" w:rsidR="00FA2119" w:rsidRDefault="00FA2119" w:rsidP="00FA2119">
      <w:pPr>
        <w:pStyle w:val="2"/>
        <w:rPr>
          <w:rtl/>
        </w:rPr>
      </w:pPr>
      <w:r>
        <w:rPr>
          <w:rFonts w:hint="cs"/>
          <w:rtl/>
        </w:rPr>
        <w:t>סעיף</w:t>
      </w:r>
      <w:r>
        <w:rPr>
          <w:rtl/>
        </w:rPr>
        <w:t xml:space="preserve"> </w:t>
      </w:r>
      <w:r>
        <w:rPr>
          <w:rFonts w:hint="cs"/>
          <w:rtl/>
        </w:rPr>
        <w:t>יט: גט שנעשה בערכאות ועדים גוים חתומים עליו.</w:t>
      </w:r>
    </w:p>
    <w:p w14:paraId="6E94D443" w14:textId="62E1F8E6" w:rsidR="00FA2119" w:rsidRDefault="00FA2119" w:rsidP="00FA2119">
      <w:pPr>
        <w:rPr>
          <w:rFonts w:cs="Arial"/>
          <w:rtl/>
        </w:rPr>
      </w:pPr>
      <w:r>
        <w:rPr>
          <w:rFonts w:cs="Arial" w:hint="cs"/>
          <w:b/>
          <w:bCs/>
          <w:rtl/>
        </w:rPr>
        <w:t>גיטין</w:t>
      </w:r>
      <w:r>
        <w:rPr>
          <w:rFonts w:cs="Arial"/>
          <w:b/>
          <w:bCs/>
          <w:rtl/>
        </w:rPr>
        <w:t xml:space="preserve"> </w:t>
      </w:r>
      <w:r>
        <w:rPr>
          <w:rFonts w:cs="Arial"/>
          <w:b/>
          <w:bCs/>
          <w:szCs w:val="16"/>
          <w:rtl/>
        </w:rPr>
        <w:t>(פ</w:t>
      </w:r>
      <w:r>
        <w:rPr>
          <w:rFonts w:cs="Arial" w:hint="cs"/>
          <w:b/>
          <w:bCs/>
          <w:szCs w:val="16"/>
          <w:rtl/>
        </w:rPr>
        <w:t>"ק</w:t>
      </w:r>
      <w:r>
        <w:rPr>
          <w:rFonts w:cs="Arial"/>
          <w:b/>
          <w:bCs/>
          <w:szCs w:val="16"/>
          <w:rtl/>
        </w:rPr>
        <w:t xml:space="preserve">) </w:t>
      </w:r>
      <w:r>
        <w:rPr>
          <w:rFonts w:cs="Arial"/>
          <w:b/>
          <w:bCs/>
          <w:rtl/>
        </w:rPr>
        <w:t>י ע"</w:t>
      </w:r>
      <w:r>
        <w:rPr>
          <w:rFonts w:cs="Arial" w:hint="cs"/>
          <w:b/>
          <w:bCs/>
          <w:rtl/>
        </w:rPr>
        <w:t>ב</w:t>
      </w:r>
      <w:r>
        <w:rPr>
          <w:rFonts w:cs="Arial"/>
          <w:b/>
          <w:bCs/>
          <w:rtl/>
        </w:rPr>
        <w:t>:</w:t>
      </w:r>
      <w:r>
        <w:rPr>
          <w:rFonts w:cs="Arial" w:hint="cs"/>
          <w:rtl/>
        </w:rPr>
        <w:t xml:space="preserve"> </w:t>
      </w:r>
      <w:r w:rsidRPr="000C640A">
        <w:rPr>
          <w:rFonts w:cs="Arial"/>
          <w:u w:val="double"/>
          <w:rtl/>
        </w:rPr>
        <w:t>מתני'</w:t>
      </w:r>
      <w:r>
        <w:rPr>
          <w:rFonts w:cs="Arial" w:hint="cs"/>
          <w:rtl/>
        </w:rPr>
        <w:t>:</w:t>
      </w:r>
      <w:r w:rsidRPr="000C640A">
        <w:rPr>
          <w:rFonts w:cs="Arial"/>
          <w:rtl/>
        </w:rPr>
        <w:t xml:space="preserve"> כל השטרות העולים בערכאות של </w:t>
      </w:r>
      <w:r>
        <w:rPr>
          <w:rFonts w:cs="Arial" w:hint="cs"/>
          <w:rtl/>
        </w:rPr>
        <w:t>גוים</w:t>
      </w:r>
      <w:r w:rsidRPr="000C640A">
        <w:rPr>
          <w:rFonts w:cs="Arial"/>
          <w:rtl/>
        </w:rPr>
        <w:t xml:space="preserve">, אף על פי שחותמיהם </w:t>
      </w:r>
      <w:r>
        <w:rPr>
          <w:rFonts w:cs="Arial" w:hint="cs"/>
          <w:rtl/>
        </w:rPr>
        <w:t>גוים</w:t>
      </w:r>
      <w:r w:rsidRPr="000C640A">
        <w:rPr>
          <w:rFonts w:cs="Arial"/>
          <w:rtl/>
        </w:rPr>
        <w:t xml:space="preserve"> </w:t>
      </w:r>
      <w:r w:rsidR="00A82951">
        <w:rPr>
          <w:rFonts w:cs="Arial"/>
          <w:rtl/>
        </w:rPr>
        <w:t>-</w:t>
      </w:r>
      <w:r w:rsidRPr="000C640A">
        <w:rPr>
          <w:rFonts w:cs="Arial"/>
          <w:rtl/>
        </w:rPr>
        <w:t xml:space="preserve"> כשירים, חוץ מגיטי נשים ושחרורי עבדים</w:t>
      </w:r>
      <w:r>
        <w:rPr>
          <w:rFonts w:cs="Arial" w:hint="cs"/>
          <w:rtl/>
        </w:rPr>
        <w:t>.</w:t>
      </w:r>
      <w:r w:rsidRPr="000C640A">
        <w:rPr>
          <w:rFonts w:cs="Arial"/>
          <w:rtl/>
        </w:rPr>
        <w:t xml:space="preserve"> </w:t>
      </w:r>
      <w:r w:rsidRPr="000C640A">
        <w:rPr>
          <w:rFonts w:cs="Arial"/>
          <w:u w:val="single"/>
          <w:rtl/>
        </w:rPr>
        <w:t>ר"ש אומר</w:t>
      </w:r>
      <w:r w:rsidRPr="000C640A">
        <w:rPr>
          <w:rFonts w:cs="Arial"/>
          <w:rtl/>
        </w:rPr>
        <w:t>: אף אלו כשירין</w:t>
      </w:r>
      <w:r>
        <w:rPr>
          <w:rFonts w:cs="Arial" w:hint="cs"/>
          <w:rtl/>
        </w:rPr>
        <w:t>,</w:t>
      </w:r>
      <w:r w:rsidRPr="000C640A">
        <w:rPr>
          <w:rFonts w:cs="Arial"/>
          <w:rtl/>
        </w:rPr>
        <w:t xml:space="preserve"> לא הוזכרו אלא בזמן שנעשו בהדיוט.</w:t>
      </w:r>
      <w:r>
        <w:rPr>
          <w:rFonts w:cs="Arial" w:hint="cs"/>
          <w:rtl/>
        </w:rPr>
        <w:t xml:space="preserve">       </w:t>
      </w:r>
      <w:r w:rsidRPr="000C640A">
        <w:rPr>
          <w:rFonts w:cs="Arial"/>
          <w:rtl/>
        </w:rPr>
        <w:t xml:space="preserve"> </w:t>
      </w:r>
      <w:r w:rsidRPr="000C640A">
        <w:rPr>
          <w:rFonts w:cs="Arial"/>
          <w:u w:val="double"/>
          <w:rtl/>
        </w:rPr>
        <w:t>גמ'</w:t>
      </w:r>
      <w:r>
        <w:rPr>
          <w:rFonts w:cs="Arial" w:hint="cs"/>
          <w:rtl/>
        </w:rPr>
        <w:t>:</w:t>
      </w:r>
      <w:r w:rsidRPr="000C640A">
        <w:rPr>
          <w:rFonts w:cs="Arial"/>
          <w:rtl/>
        </w:rPr>
        <w:t xml:space="preserve"> רבי שמעון אומר: אף אלו כשירין וכו'. והא לאו בני כריתות</w:t>
      </w:r>
      <w:r>
        <w:rPr>
          <w:rStyle w:val="a7"/>
          <w:rFonts w:cs="Arial"/>
          <w:rtl/>
        </w:rPr>
        <w:footnoteReference w:id="1324"/>
      </w:r>
      <w:r w:rsidRPr="000C640A">
        <w:rPr>
          <w:rFonts w:cs="Arial"/>
          <w:rtl/>
        </w:rPr>
        <w:t xml:space="preserve"> נינהו! </w:t>
      </w:r>
      <w:r w:rsidRPr="000C640A">
        <w:rPr>
          <w:rFonts w:cs="Arial"/>
          <w:u w:val="single"/>
          <w:rtl/>
        </w:rPr>
        <w:t>אמר רבי זירא</w:t>
      </w:r>
      <w:r w:rsidRPr="000C640A">
        <w:rPr>
          <w:rFonts w:cs="Arial"/>
          <w:rtl/>
        </w:rPr>
        <w:t>: ירד ר' שמעון לשיטתו של רבי אלעזר, דאמר עדי מסירה כרתי. והאמר ר' אבא: מודה ר' אלעזר, במזויף מתוכו</w:t>
      </w:r>
      <w:r>
        <w:rPr>
          <w:rStyle w:val="a7"/>
          <w:rFonts w:cs="Arial"/>
          <w:rtl/>
        </w:rPr>
        <w:footnoteReference w:id="1325"/>
      </w:r>
      <w:r w:rsidRPr="000C640A">
        <w:rPr>
          <w:rFonts w:cs="Arial"/>
          <w:rtl/>
        </w:rPr>
        <w:t xml:space="preserve"> </w:t>
      </w:r>
      <w:r w:rsidR="00A82951">
        <w:rPr>
          <w:rFonts w:cs="Arial"/>
          <w:rtl/>
        </w:rPr>
        <w:t>-</w:t>
      </w:r>
      <w:r w:rsidRPr="000C640A">
        <w:rPr>
          <w:rFonts w:cs="Arial"/>
          <w:rtl/>
        </w:rPr>
        <w:t xml:space="preserve"> שפסול! הכא במאי עסקינן </w:t>
      </w:r>
      <w:r w:rsidR="00A82951">
        <w:rPr>
          <w:rFonts w:cs="Arial" w:hint="cs"/>
          <w:rtl/>
        </w:rPr>
        <w:t>-</w:t>
      </w:r>
      <w:r>
        <w:rPr>
          <w:rFonts w:cs="Arial" w:hint="cs"/>
          <w:sz w:val="14"/>
          <w:szCs w:val="14"/>
          <w:rtl/>
        </w:rPr>
        <w:t xml:space="preserve"> (יא.) </w:t>
      </w:r>
      <w:r w:rsidRPr="00BF297A">
        <w:rPr>
          <w:rFonts w:cs="Arial"/>
          <w:rtl/>
        </w:rPr>
        <w:t>בשמות מובהקין</w:t>
      </w:r>
      <w:r>
        <w:rPr>
          <w:rStyle w:val="a7"/>
          <w:rFonts w:cs="Arial"/>
          <w:rtl/>
        </w:rPr>
        <w:footnoteReference w:id="1326"/>
      </w:r>
      <w:r w:rsidRPr="00BF297A">
        <w:rPr>
          <w:rFonts w:cs="Arial"/>
          <w:rtl/>
        </w:rPr>
        <w:t xml:space="preserve">. היכי דמי שמות מובהקין? </w:t>
      </w:r>
      <w:r w:rsidRPr="00BF297A">
        <w:rPr>
          <w:rFonts w:cs="Arial"/>
          <w:u w:val="single"/>
          <w:rtl/>
        </w:rPr>
        <w:t>אמר רב פפא</w:t>
      </w:r>
      <w:r w:rsidRPr="00BF297A">
        <w:rPr>
          <w:rFonts w:cs="Arial"/>
          <w:rtl/>
        </w:rPr>
        <w:t>: כגון הורמיז, ואבודינא, בר שיבתאי, ובר קידרי, ובאטי, ונקים אונא. אבל שמות שאין מובהקים</w:t>
      </w:r>
      <w:r>
        <w:rPr>
          <w:rStyle w:val="a7"/>
          <w:rFonts w:cs="Arial"/>
          <w:rtl/>
        </w:rPr>
        <w:footnoteReference w:id="1327"/>
      </w:r>
      <w:r w:rsidRPr="00BF297A">
        <w:rPr>
          <w:rFonts w:cs="Arial"/>
          <w:rtl/>
        </w:rPr>
        <w:t xml:space="preserve"> מאי? לא</w:t>
      </w:r>
      <w:r>
        <w:rPr>
          <w:rFonts w:cs="Arial" w:hint="cs"/>
          <w:rtl/>
        </w:rPr>
        <w:t>..</w:t>
      </w:r>
      <w:r w:rsidRPr="00BF297A">
        <w:rPr>
          <w:rFonts w:cs="Arial"/>
          <w:rtl/>
        </w:rPr>
        <w:t>.</w:t>
      </w:r>
      <w:r w:rsidRPr="006C068D">
        <w:rPr>
          <w:rtl/>
        </w:rPr>
        <w:t xml:space="preserve"> </w:t>
      </w:r>
      <w:r w:rsidRPr="00D704E3">
        <w:rPr>
          <w:rFonts w:cs="Arial"/>
          <w:u w:val="single"/>
          <w:rtl/>
        </w:rPr>
        <w:t>בעא מיניה ריש לקיש מר' יוחנן</w:t>
      </w:r>
      <w:r w:rsidRPr="006C068D">
        <w:rPr>
          <w:rFonts w:cs="Arial"/>
          <w:rtl/>
        </w:rPr>
        <w:t>:</w:t>
      </w:r>
      <w:r>
        <w:rPr>
          <w:rFonts w:cs="Arial" w:hint="cs"/>
          <w:sz w:val="14"/>
          <w:szCs w:val="14"/>
          <w:rtl/>
        </w:rPr>
        <w:t xml:space="preserve"> (יא:) </w:t>
      </w:r>
      <w:r w:rsidRPr="006C068D">
        <w:rPr>
          <w:rFonts w:cs="Arial"/>
          <w:rtl/>
        </w:rPr>
        <w:t>עדים החתומין על הגט</w:t>
      </w:r>
      <w:r>
        <w:rPr>
          <w:rStyle w:val="a7"/>
          <w:rFonts w:cs="Arial"/>
          <w:rtl/>
        </w:rPr>
        <w:footnoteReference w:id="1328"/>
      </w:r>
      <w:r w:rsidRPr="006C068D">
        <w:rPr>
          <w:rFonts w:cs="Arial"/>
          <w:rtl/>
        </w:rPr>
        <w:t xml:space="preserve"> ושמותן כשמות עובדי כוכבים, מהו</w:t>
      </w:r>
      <w:r>
        <w:rPr>
          <w:rStyle w:val="a7"/>
          <w:rFonts w:cs="Arial"/>
          <w:rtl/>
        </w:rPr>
        <w:footnoteReference w:id="1329"/>
      </w:r>
      <w:r w:rsidRPr="006C068D">
        <w:rPr>
          <w:rFonts w:cs="Arial"/>
          <w:rtl/>
        </w:rPr>
        <w:t xml:space="preserve">? </w:t>
      </w:r>
      <w:r w:rsidRPr="00D704E3">
        <w:rPr>
          <w:rFonts w:cs="Arial"/>
          <w:u w:val="single"/>
          <w:rtl/>
        </w:rPr>
        <w:t>אמר ליה</w:t>
      </w:r>
      <w:r w:rsidRPr="006C068D">
        <w:rPr>
          <w:rFonts w:cs="Arial"/>
          <w:rtl/>
        </w:rPr>
        <w:t>: לא בא לידינו אלא לוקוס ולוס והכשרנו</w:t>
      </w:r>
      <w:r>
        <w:rPr>
          <w:rStyle w:val="a7"/>
          <w:rFonts w:cs="Arial"/>
          <w:rtl/>
        </w:rPr>
        <w:footnoteReference w:id="1330"/>
      </w:r>
      <w:r w:rsidRPr="006C068D">
        <w:rPr>
          <w:rFonts w:cs="Arial"/>
          <w:rtl/>
        </w:rPr>
        <w:t xml:space="preserve">. ודוקא לוקוס ולוס, דלא שכיחי ישראל דמסקי בשמהתייהו, אבל שמהתא אחריני, דשכיחי ישראל דמסקי בשמהתייהו </w:t>
      </w:r>
      <w:r w:rsidR="00A82951">
        <w:rPr>
          <w:rFonts w:cs="Arial"/>
          <w:rtl/>
        </w:rPr>
        <w:t>-</w:t>
      </w:r>
      <w:r w:rsidRPr="006C068D">
        <w:rPr>
          <w:rFonts w:cs="Arial"/>
          <w:rtl/>
        </w:rPr>
        <w:t xml:space="preserve"> לא.</w:t>
      </w:r>
    </w:p>
    <w:p w14:paraId="5E9FF909" w14:textId="77777777" w:rsidR="00FA2119" w:rsidRPr="0090742B" w:rsidRDefault="00FA2119" w:rsidP="00FA2119">
      <w:pPr>
        <w:rPr>
          <w:u w:val="single"/>
          <w:rtl/>
        </w:rPr>
      </w:pPr>
      <w:r w:rsidRPr="0090742B">
        <w:rPr>
          <w:rFonts w:hint="cs"/>
          <w:u w:val="single"/>
          <w:rtl/>
        </w:rPr>
        <w:t xml:space="preserve">גט </w:t>
      </w:r>
      <w:r w:rsidRPr="001A5922">
        <w:rPr>
          <w:rFonts w:hint="cs"/>
          <w:b/>
          <w:bCs/>
          <w:u w:val="single"/>
          <w:rtl/>
        </w:rPr>
        <w:t>שנעשה בערכאות</w:t>
      </w:r>
      <w:r w:rsidRPr="0090742B">
        <w:rPr>
          <w:rFonts w:hint="cs"/>
          <w:u w:val="single"/>
          <w:rtl/>
        </w:rPr>
        <w:t xml:space="preserve"> ועדים גוים חתומים עליו:</w:t>
      </w:r>
    </w:p>
    <w:p w14:paraId="3A21C149" w14:textId="2960BF97" w:rsidR="00FA2119" w:rsidRPr="00F3040F" w:rsidRDefault="00FA2119" w:rsidP="00FA2119">
      <w:pPr>
        <w:pStyle w:val="ab"/>
        <w:numPr>
          <w:ilvl w:val="0"/>
          <w:numId w:val="80"/>
        </w:numPr>
      </w:pPr>
      <w:r>
        <w:rPr>
          <w:rFonts w:cs="Arial" w:hint="cs"/>
          <w:rtl/>
        </w:rPr>
        <w:t>רי"ף</w:t>
      </w:r>
      <w:r>
        <w:rPr>
          <w:rStyle w:val="a7"/>
          <w:rFonts w:cs="Arial"/>
          <w:rtl/>
        </w:rPr>
        <w:footnoteReference w:id="1331"/>
      </w:r>
      <w:r>
        <w:rPr>
          <w:rFonts w:cs="Arial" w:hint="cs"/>
          <w:sz w:val="16"/>
          <w:szCs w:val="16"/>
          <w:rtl/>
        </w:rPr>
        <w:t xml:space="preserve"> </w:t>
      </w:r>
      <w:r>
        <w:rPr>
          <w:rFonts w:cs="Arial" w:hint="cs"/>
          <w:rtl/>
        </w:rPr>
        <w:t>רמב"ם רשב"א רא"ש</w:t>
      </w:r>
      <w:r>
        <w:rPr>
          <w:rStyle w:val="a7"/>
          <w:rFonts w:cs="Arial"/>
          <w:rtl/>
        </w:rPr>
        <w:footnoteReference w:id="1332"/>
      </w:r>
      <w:r>
        <w:rPr>
          <w:rFonts w:cs="Arial" w:hint="cs"/>
          <w:sz w:val="16"/>
          <w:szCs w:val="16"/>
          <w:rtl/>
        </w:rPr>
        <w:t xml:space="preserve"> </w:t>
      </w:r>
      <w:r>
        <w:rPr>
          <w:rFonts w:cs="Arial" w:hint="cs"/>
          <w:rtl/>
        </w:rPr>
        <w:t>טור</w:t>
      </w:r>
      <w:r w:rsidRPr="003D79F3">
        <w:rPr>
          <w:rFonts w:cs="Arial"/>
          <w:rtl/>
        </w:rPr>
        <w:t xml:space="preserve"> </w:t>
      </w:r>
      <w:r>
        <w:rPr>
          <w:rFonts w:cs="Arial" w:hint="cs"/>
          <w:rtl/>
        </w:rPr>
        <w:t>ו</w:t>
      </w:r>
      <w:r>
        <w:rPr>
          <w:rFonts w:cs="Arial"/>
          <w:rtl/>
        </w:rPr>
        <w:t>ר</w:t>
      </w:r>
      <w:r>
        <w:rPr>
          <w:rFonts w:cs="Arial" w:hint="cs"/>
          <w:rtl/>
        </w:rPr>
        <w:t>י"ו</w:t>
      </w:r>
      <w:r>
        <w:rPr>
          <w:rStyle w:val="a7"/>
          <w:rFonts w:cs="Arial"/>
          <w:rtl/>
        </w:rPr>
        <w:footnoteReference w:id="1333"/>
      </w:r>
      <w:r w:rsidR="00A82951">
        <w:rPr>
          <w:rFonts w:cs="Arial" w:hint="cs"/>
          <w:rtl/>
        </w:rPr>
        <w:t>-</w:t>
      </w:r>
      <w:r>
        <w:rPr>
          <w:rFonts w:cs="Arial" w:hint="cs"/>
          <w:rtl/>
        </w:rPr>
        <w:t xml:space="preserve"> </w:t>
      </w:r>
      <w:r>
        <w:rPr>
          <w:rFonts w:cs="Arial"/>
          <w:rtl/>
        </w:rPr>
        <w:t xml:space="preserve">נעשה בערכאות של </w:t>
      </w:r>
      <w:r>
        <w:rPr>
          <w:rFonts w:cs="Arial" w:hint="cs"/>
          <w:rtl/>
        </w:rPr>
        <w:t>גוים</w:t>
      </w:r>
      <w:r>
        <w:rPr>
          <w:rFonts w:cs="Arial"/>
          <w:rtl/>
        </w:rPr>
        <w:t xml:space="preserve"> ועידי </w:t>
      </w:r>
      <w:r>
        <w:rPr>
          <w:rFonts w:cs="Arial" w:hint="cs"/>
          <w:rtl/>
        </w:rPr>
        <w:t>גוי</w:t>
      </w:r>
      <w:r>
        <w:rPr>
          <w:rFonts w:cs="Arial"/>
          <w:rtl/>
        </w:rPr>
        <w:t>ם חתומים עליו</w:t>
      </w:r>
      <w:r>
        <w:rPr>
          <w:rFonts w:cs="Arial" w:hint="cs"/>
          <w:rtl/>
        </w:rPr>
        <w:t xml:space="preserve"> </w:t>
      </w:r>
      <w:r w:rsidR="00A82951">
        <w:rPr>
          <w:rFonts w:cs="Arial" w:hint="cs"/>
          <w:rtl/>
        </w:rPr>
        <w:t>-</w:t>
      </w:r>
      <w:r>
        <w:rPr>
          <w:rFonts w:cs="Arial"/>
          <w:rtl/>
        </w:rPr>
        <w:t xml:space="preserve"> פסול</w:t>
      </w:r>
      <w:r>
        <w:rPr>
          <w:rStyle w:val="a7"/>
          <w:rFonts w:cs="Arial"/>
          <w:rtl/>
        </w:rPr>
        <w:footnoteReference w:id="1334"/>
      </w:r>
      <w:r>
        <w:rPr>
          <w:rFonts w:cs="Arial"/>
          <w:rtl/>
        </w:rPr>
        <w:t xml:space="preserve"> אפי' כתבו ישראל ונמסר בעידי מסירה ישראל ושמות עדי הגוים החתומים בו מובהקים וניכר לכל שהם </w:t>
      </w:r>
      <w:r>
        <w:rPr>
          <w:rFonts w:cs="Arial" w:hint="cs"/>
          <w:rtl/>
        </w:rPr>
        <w:t>גוי</w:t>
      </w:r>
      <w:r>
        <w:rPr>
          <w:rFonts w:cs="Arial"/>
          <w:rtl/>
        </w:rPr>
        <w:t>ם וליכא למיחש דילמא אתי למסמך עלייהו</w:t>
      </w:r>
      <w:r>
        <w:rPr>
          <w:rFonts w:cs="Arial" w:hint="cs"/>
          <w:rtl/>
        </w:rPr>
        <w:t>,</w:t>
      </w:r>
      <w:r>
        <w:rPr>
          <w:rFonts w:cs="Arial"/>
          <w:rtl/>
        </w:rPr>
        <w:t xml:space="preserve"> אפילו הכי פסול</w:t>
      </w:r>
      <w:r>
        <w:rPr>
          <w:rFonts w:cs="Arial" w:hint="cs"/>
          <w:sz w:val="16"/>
          <w:szCs w:val="16"/>
          <w:rtl/>
        </w:rPr>
        <w:t xml:space="preserve"> (ל' הטור)</w:t>
      </w:r>
      <w:r>
        <w:rPr>
          <w:rFonts w:cs="Arial" w:hint="cs"/>
          <w:rtl/>
        </w:rPr>
        <w:t>.</w:t>
      </w:r>
      <w:r>
        <w:rPr>
          <w:rFonts w:cs="Arial"/>
          <w:rtl/>
        </w:rPr>
        <w:t xml:space="preserve"> </w:t>
      </w:r>
      <w:r w:rsidRPr="0027707C">
        <w:rPr>
          <w:rFonts w:hint="cs"/>
          <w:color w:val="E36C0A" w:themeColor="accent6" w:themeShade="BF"/>
          <w:rtl/>
        </w:rPr>
        <w:t>(וכ"פ בשו"ע)</w:t>
      </w:r>
    </w:p>
    <w:p w14:paraId="3C00E064" w14:textId="2548310A" w:rsidR="00FA2119" w:rsidRPr="00F3040F" w:rsidRDefault="00FA2119" w:rsidP="00FA2119">
      <w:pPr>
        <w:pStyle w:val="ab"/>
        <w:numPr>
          <w:ilvl w:val="0"/>
          <w:numId w:val="80"/>
        </w:numPr>
      </w:pPr>
      <w:r>
        <w:rPr>
          <w:rFonts w:cs="Arial"/>
          <w:rtl/>
        </w:rPr>
        <w:t>ראב"ד</w:t>
      </w:r>
      <w:r>
        <w:rPr>
          <w:rFonts w:cs="Arial" w:hint="cs"/>
          <w:sz w:val="16"/>
          <w:szCs w:val="16"/>
          <w:rtl/>
        </w:rPr>
        <w:t xml:space="preserve"> (כ"כ בשמו רשב"א רא"ש טור ור"ן)</w:t>
      </w:r>
      <w:r w:rsidR="00A82951">
        <w:rPr>
          <w:rFonts w:cs="Arial" w:hint="cs"/>
          <w:rtl/>
        </w:rPr>
        <w:t>-</w:t>
      </w:r>
      <w:r>
        <w:rPr>
          <w:rFonts w:cs="Arial" w:hint="cs"/>
          <w:rtl/>
        </w:rPr>
        <w:t xml:space="preserve"> </w:t>
      </w:r>
      <w:r>
        <w:rPr>
          <w:rFonts w:cs="Arial"/>
          <w:rtl/>
        </w:rPr>
        <w:t>כשר לכתחלה</w:t>
      </w:r>
      <w:r>
        <w:rPr>
          <w:rStyle w:val="a7"/>
          <w:rFonts w:cs="Arial"/>
          <w:rtl/>
        </w:rPr>
        <w:footnoteReference w:id="1335"/>
      </w:r>
      <w:r>
        <w:rPr>
          <w:rFonts w:cs="Arial" w:hint="cs"/>
          <w:rtl/>
        </w:rPr>
        <w:t>.</w:t>
      </w:r>
    </w:p>
    <w:p w14:paraId="08AD3220" w14:textId="2BEC00BE" w:rsidR="00FA2119" w:rsidRDefault="00FA2119" w:rsidP="00FA2119">
      <w:pPr>
        <w:pStyle w:val="ab"/>
        <w:numPr>
          <w:ilvl w:val="0"/>
          <w:numId w:val="80"/>
        </w:numPr>
        <w:rPr>
          <w:rtl/>
        </w:rPr>
      </w:pPr>
      <w:r>
        <w:rPr>
          <w:rFonts w:cs="Arial" w:hint="cs"/>
          <w:rtl/>
        </w:rPr>
        <w:t>ר"ח</w:t>
      </w:r>
      <w:r>
        <w:rPr>
          <w:rFonts w:cs="Arial" w:hint="cs"/>
          <w:sz w:val="16"/>
          <w:szCs w:val="16"/>
          <w:rtl/>
        </w:rPr>
        <w:t xml:space="preserve"> (כ"כ בשמו רשב"א רא"ש טור ור"ן)</w:t>
      </w:r>
      <w:r w:rsidR="00A82951">
        <w:rPr>
          <w:rFonts w:cs="Arial" w:hint="cs"/>
          <w:rtl/>
        </w:rPr>
        <w:t>-</w:t>
      </w:r>
      <w:r>
        <w:rPr>
          <w:rFonts w:cs="Arial"/>
          <w:rtl/>
        </w:rPr>
        <w:t xml:space="preserve"> פס</w:t>
      </w:r>
      <w:r>
        <w:rPr>
          <w:rFonts w:cs="Arial" w:hint="cs"/>
          <w:rtl/>
        </w:rPr>
        <w:t>ו</w:t>
      </w:r>
      <w:r>
        <w:rPr>
          <w:rFonts w:cs="Arial"/>
          <w:rtl/>
        </w:rPr>
        <w:t>ל לכתחילה</w:t>
      </w:r>
      <w:r>
        <w:rPr>
          <w:rFonts w:cs="Arial" w:hint="cs"/>
          <w:rtl/>
        </w:rPr>
        <w:t>,</w:t>
      </w:r>
      <w:r>
        <w:rPr>
          <w:rFonts w:cs="Arial"/>
          <w:rtl/>
        </w:rPr>
        <w:t xml:space="preserve"> וכשר בדיעבד</w:t>
      </w:r>
      <w:r>
        <w:rPr>
          <w:rStyle w:val="a7"/>
          <w:rFonts w:cs="Arial"/>
          <w:rtl/>
        </w:rPr>
        <w:footnoteReference w:id="1336"/>
      </w:r>
      <w:r>
        <w:rPr>
          <w:rFonts w:cs="Arial" w:hint="cs"/>
          <w:rtl/>
        </w:rPr>
        <w:t>.</w:t>
      </w:r>
      <w:r>
        <w:rPr>
          <w:rFonts w:cs="Arial"/>
          <w:rtl/>
        </w:rPr>
        <w:t xml:space="preserve"> </w:t>
      </w:r>
    </w:p>
    <w:p w14:paraId="7768A846" w14:textId="3A84E4AF" w:rsidR="00FA2119" w:rsidRDefault="00FA2119" w:rsidP="00FA2119">
      <w:pPr>
        <w:rPr>
          <w:rFonts w:cs="Arial"/>
          <w:rtl/>
        </w:rPr>
      </w:pPr>
      <w:r>
        <w:rPr>
          <w:rFonts w:cs="Arial" w:hint="cs"/>
          <w:b/>
          <w:bCs/>
          <w:rtl/>
        </w:rPr>
        <w:lastRenderedPageBreak/>
        <w:t>גיטין</w:t>
      </w:r>
      <w:r>
        <w:rPr>
          <w:rFonts w:cs="Arial"/>
          <w:b/>
          <w:bCs/>
          <w:rtl/>
        </w:rPr>
        <w:t xml:space="preserve"> </w:t>
      </w:r>
      <w:r>
        <w:rPr>
          <w:rFonts w:cs="Arial"/>
          <w:b/>
          <w:bCs/>
          <w:szCs w:val="16"/>
          <w:rtl/>
        </w:rPr>
        <w:t>(פ</w:t>
      </w:r>
      <w:r>
        <w:rPr>
          <w:rFonts w:cs="Arial" w:hint="cs"/>
          <w:b/>
          <w:bCs/>
          <w:szCs w:val="16"/>
          <w:rtl/>
        </w:rPr>
        <w:t>"ק</w:t>
      </w:r>
      <w:r>
        <w:rPr>
          <w:rFonts w:cs="Arial"/>
          <w:b/>
          <w:bCs/>
          <w:szCs w:val="16"/>
          <w:rtl/>
        </w:rPr>
        <w:t xml:space="preserve">) </w:t>
      </w:r>
      <w:r>
        <w:rPr>
          <w:rFonts w:cs="Arial"/>
          <w:b/>
          <w:bCs/>
          <w:rtl/>
        </w:rPr>
        <w:t>י</w:t>
      </w:r>
      <w:r>
        <w:rPr>
          <w:rFonts w:cs="Arial" w:hint="cs"/>
          <w:b/>
          <w:bCs/>
          <w:rtl/>
        </w:rPr>
        <w:t>א</w:t>
      </w:r>
      <w:r>
        <w:rPr>
          <w:rFonts w:cs="Arial"/>
          <w:b/>
          <w:bCs/>
          <w:rtl/>
        </w:rPr>
        <w:t xml:space="preserve"> ע"</w:t>
      </w:r>
      <w:r>
        <w:rPr>
          <w:rFonts w:cs="Arial" w:hint="cs"/>
          <w:b/>
          <w:bCs/>
          <w:rtl/>
        </w:rPr>
        <w:t>א</w:t>
      </w:r>
      <w:r>
        <w:rPr>
          <w:rFonts w:cs="Arial"/>
          <w:b/>
          <w:bCs/>
          <w:rtl/>
        </w:rPr>
        <w:t>:</w:t>
      </w:r>
      <w:r>
        <w:rPr>
          <w:rFonts w:cs="Arial" w:hint="cs"/>
          <w:rtl/>
        </w:rPr>
        <w:t xml:space="preserve"> </w:t>
      </w:r>
      <w:r w:rsidRPr="00D704E3">
        <w:rPr>
          <w:rFonts w:cs="Arial"/>
          <w:u w:val="single"/>
          <w:rtl/>
        </w:rPr>
        <w:t>בעא מיניה ריש לקיש מר' יוחנן</w:t>
      </w:r>
      <w:r w:rsidRPr="006C068D">
        <w:rPr>
          <w:rFonts w:cs="Arial"/>
          <w:rtl/>
        </w:rPr>
        <w:t>:</w:t>
      </w:r>
      <w:r>
        <w:rPr>
          <w:rFonts w:cs="Arial" w:hint="cs"/>
          <w:sz w:val="14"/>
          <w:szCs w:val="14"/>
          <w:rtl/>
        </w:rPr>
        <w:t xml:space="preserve"> (יא:) </w:t>
      </w:r>
      <w:r w:rsidRPr="006C068D">
        <w:rPr>
          <w:rFonts w:cs="Arial"/>
          <w:rtl/>
        </w:rPr>
        <w:t xml:space="preserve">עדים החתומין על הגט ושמותן כשמות עובדי כוכבים, מהו? </w:t>
      </w:r>
      <w:r w:rsidRPr="00D704E3">
        <w:rPr>
          <w:rFonts w:cs="Arial"/>
          <w:u w:val="single"/>
          <w:rtl/>
        </w:rPr>
        <w:t>אמר ליה</w:t>
      </w:r>
      <w:r w:rsidRPr="006C068D">
        <w:rPr>
          <w:rFonts w:cs="Arial"/>
          <w:rtl/>
        </w:rPr>
        <w:t xml:space="preserve">: לא בא לידינו אלא לוקוס ולוס והכשרנו. ודוקא לוקוס ולוס, דלא שכיחי ישראל דמסקי בשמהתייהו, אבל שמהתא אחריני, דשכיחי ישראל דמסקי בשמהתייהו </w:t>
      </w:r>
      <w:r w:rsidR="00A82951">
        <w:rPr>
          <w:rFonts w:cs="Arial"/>
          <w:rtl/>
        </w:rPr>
        <w:t>-</w:t>
      </w:r>
      <w:r w:rsidRPr="006C068D">
        <w:rPr>
          <w:rFonts w:cs="Arial"/>
          <w:rtl/>
        </w:rPr>
        <w:t xml:space="preserve"> לא.</w:t>
      </w:r>
      <w:r w:rsidRPr="00BE78E5">
        <w:rPr>
          <w:rFonts w:cs="Arial" w:hint="cs"/>
          <w:sz w:val="16"/>
          <w:szCs w:val="16"/>
          <w:rtl/>
        </w:rPr>
        <w:t xml:space="preserve"> (לעיל הבאתי את פירוש רש"י על גמרא זו, אך </w:t>
      </w:r>
      <w:r w:rsidRPr="00BE78E5">
        <w:rPr>
          <w:rFonts w:cs="Arial"/>
          <w:sz w:val="16"/>
          <w:szCs w:val="16"/>
          <w:rtl/>
        </w:rPr>
        <w:t>הרא"ש (סי' יא) והרשב"א (יא. ד"ה בעא) כתבו בשם רשב"ם דהכי פירושו</w:t>
      </w:r>
      <w:r w:rsidRPr="00BE78E5">
        <w:rPr>
          <w:rFonts w:cs="Arial" w:hint="cs"/>
          <w:sz w:val="16"/>
          <w:szCs w:val="16"/>
          <w:rtl/>
        </w:rPr>
        <w:t>:</w:t>
      </w:r>
      <w:r w:rsidRPr="00BE78E5">
        <w:rPr>
          <w:rFonts w:cs="Arial"/>
          <w:sz w:val="16"/>
          <w:szCs w:val="16"/>
          <w:rtl/>
        </w:rPr>
        <w:t xml:space="preserve"> עדים החתומים על הגט וכו'</w:t>
      </w:r>
      <w:r>
        <w:rPr>
          <w:rFonts w:cs="Arial" w:hint="cs"/>
          <w:sz w:val="16"/>
          <w:szCs w:val="16"/>
          <w:rtl/>
        </w:rPr>
        <w:t>,</w:t>
      </w:r>
      <w:r w:rsidRPr="00BE78E5">
        <w:rPr>
          <w:rFonts w:cs="Arial"/>
          <w:sz w:val="16"/>
          <w:szCs w:val="16"/>
          <w:rtl/>
        </w:rPr>
        <w:t xml:space="preserve"> מי חיישינן שמא גוים הם והשליח או הבעל לא דקדקו יפה והיו סבורים שישראל הם</w:t>
      </w:r>
      <w:r>
        <w:rPr>
          <w:rFonts w:cs="Arial" w:hint="cs"/>
          <w:sz w:val="16"/>
          <w:szCs w:val="16"/>
          <w:rtl/>
        </w:rPr>
        <w:t>,</w:t>
      </w:r>
      <w:r w:rsidRPr="00BE78E5">
        <w:rPr>
          <w:rFonts w:cs="Arial"/>
          <w:sz w:val="16"/>
          <w:szCs w:val="16"/>
          <w:rtl/>
        </w:rPr>
        <w:t xml:space="preserve"> או שמא ידעו שגוים הם והחתימום במתכוין וטעו בין גט לשאר שטרות שחותמותיהן גוים כשרים</w:t>
      </w:r>
      <w:r>
        <w:rPr>
          <w:rFonts w:cs="Arial" w:hint="cs"/>
          <w:sz w:val="16"/>
          <w:szCs w:val="16"/>
          <w:rtl/>
        </w:rPr>
        <w:t>,</w:t>
      </w:r>
      <w:r w:rsidRPr="00BE78E5">
        <w:rPr>
          <w:rFonts w:cs="Arial"/>
          <w:sz w:val="16"/>
          <w:szCs w:val="16"/>
          <w:rtl/>
        </w:rPr>
        <w:t xml:space="preserve"> מי אזלינן בתר רוב שמות כאלו שהם גוים ופסלינן להאי גט כרבנן דמתניתין דקיי</w:t>
      </w:r>
      <w:r>
        <w:rPr>
          <w:rFonts w:cs="Arial" w:hint="cs"/>
          <w:sz w:val="16"/>
          <w:szCs w:val="16"/>
          <w:rtl/>
        </w:rPr>
        <w:t>"</w:t>
      </w:r>
      <w:r w:rsidRPr="00BE78E5">
        <w:rPr>
          <w:rFonts w:cs="Arial"/>
          <w:sz w:val="16"/>
          <w:szCs w:val="16"/>
          <w:rtl/>
        </w:rPr>
        <w:t>ל כוותייהו</w:t>
      </w:r>
      <w:r>
        <w:rPr>
          <w:rFonts w:cs="Arial" w:hint="cs"/>
          <w:sz w:val="16"/>
          <w:szCs w:val="16"/>
          <w:rtl/>
        </w:rPr>
        <w:t>,</w:t>
      </w:r>
      <w:r w:rsidRPr="00BE78E5">
        <w:rPr>
          <w:rFonts w:cs="Arial"/>
          <w:sz w:val="16"/>
          <w:szCs w:val="16"/>
          <w:rtl/>
        </w:rPr>
        <w:t xml:space="preserve"> או דילמא זיל בתר גיטין דלא שכיח להחתים עליהם גוים ותלינן להו בישראל וכשר</w:t>
      </w:r>
      <w:r>
        <w:rPr>
          <w:rFonts w:cs="Arial" w:hint="cs"/>
          <w:sz w:val="16"/>
          <w:szCs w:val="16"/>
          <w:rtl/>
        </w:rPr>
        <w:t>?.</w:t>
      </w:r>
      <w:r w:rsidRPr="00BE78E5">
        <w:rPr>
          <w:rFonts w:cs="Arial"/>
          <w:sz w:val="16"/>
          <w:szCs w:val="16"/>
          <w:rtl/>
        </w:rPr>
        <w:t xml:space="preserve"> אמר ליה לא בא לידינו אלא גט שהיו חתומים עליו לוקוס ולוס והכשרנוהו</w:t>
      </w:r>
      <w:r>
        <w:rPr>
          <w:rFonts w:cs="Arial" w:hint="cs"/>
          <w:sz w:val="16"/>
          <w:szCs w:val="16"/>
          <w:rtl/>
        </w:rPr>
        <w:t>,</w:t>
      </w:r>
      <w:r w:rsidRPr="00BE78E5">
        <w:rPr>
          <w:rFonts w:cs="Arial"/>
          <w:sz w:val="16"/>
          <w:szCs w:val="16"/>
          <w:rtl/>
        </w:rPr>
        <w:t xml:space="preserve"> דכיון דלא שכיחי ישראל בשמות הללו ודאי לא טעה השליח או הבעל להחתים אנשים כאלה שדומים בשמותם לגוים עד שחקר ופשפש אחריהם ונודע לו שישראל הם והחתימום</w:t>
      </w:r>
      <w:r>
        <w:rPr>
          <w:rFonts w:cs="Arial" w:hint="cs"/>
          <w:sz w:val="16"/>
          <w:szCs w:val="16"/>
          <w:rtl/>
        </w:rPr>
        <w:t>.</w:t>
      </w:r>
      <w:r w:rsidRPr="00BE78E5">
        <w:rPr>
          <w:rFonts w:cs="Arial"/>
          <w:sz w:val="16"/>
          <w:szCs w:val="16"/>
          <w:rtl/>
        </w:rPr>
        <w:t xml:space="preserve"> אבל שמהתא אחריני שדומים קצת לשמות ישראל שיכולים מכתבי הגט לטעות בהם משום דשכיחי ישראל אחד מני אלף דמסקי בשמייהו</w:t>
      </w:r>
      <w:r>
        <w:rPr>
          <w:rFonts w:cs="Arial" w:hint="cs"/>
          <w:sz w:val="16"/>
          <w:szCs w:val="16"/>
          <w:rtl/>
        </w:rPr>
        <w:t xml:space="preserve"> </w:t>
      </w:r>
      <w:r w:rsidR="00A82951">
        <w:rPr>
          <w:rFonts w:cs="Arial" w:hint="cs"/>
          <w:sz w:val="16"/>
          <w:szCs w:val="16"/>
          <w:rtl/>
        </w:rPr>
        <w:t>-</w:t>
      </w:r>
      <w:r w:rsidRPr="00BE78E5">
        <w:rPr>
          <w:rFonts w:cs="Arial"/>
          <w:sz w:val="16"/>
          <w:szCs w:val="16"/>
          <w:rtl/>
        </w:rPr>
        <w:t xml:space="preserve"> לא נכשרינהו</w:t>
      </w:r>
      <w:r>
        <w:rPr>
          <w:rFonts w:cs="Arial" w:hint="cs"/>
          <w:sz w:val="16"/>
          <w:szCs w:val="16"/>
          <w:rtl/>
        </w:rPr>
        <w:t>,</w:t>
      </w:r>
      <w:r w:rsidRPr="00BE78E5">
        <w:rPr>
          <w:rFonts w:cs="Arial"/>
          <w:sz w:val="16"/>
          <w:szCs w:val="16"/>
          <w:rtl/>
        </w:rPr>
        <w:t xml:space="preserve"> דחיישינן שמא טעו והחתימום בתורת ישראל עכ"ל. והרא"ש נראה שהוכשר בעיניו פירוש זה</w:t>
      </w:r>
      <w:r>
        <w:rPr>
          <w:rFonts w:cs="Arial" w:hint="cs"/>
          <w:sz w:val="16"/>
          <w:szCs w:val="16"/>
          <w:rtl/>
        </w:rPr>
        <w:t>.</w:t>
      </w:r>
      <w:r w:rsidRPr="00BE78E5">
        <w:rPr>
          <w:rFonts w:cs="Arial"/>
          <w:sz w:val="16"/>
          <w:szCs w:val="16"/>
          <w:rtl/>
        </w:rPr>
        <w:t xml:space="preserve"> אבל הרשב"א כתב עליו וקצת קשה דהיאך אפשר שיעמדו לפני הבעל והסופר ולא יכירו אם גוים הם או ישראלים ויבואו לסמוך עליהם ולהחתימם בגט. ורבינו כתב כמו שפירש הרא"ש בעיא הנזכרת</w:t>
      </w:r>
      <w:r>
        <w:rPr>
          <w:rFonts w:cs="Arial" w:hint="cs"/>
          <w:sz w:val="16"/>
          <w:szCs w:val="16"/>
          <w:rtl/>
        </w:rPr>
        <w:t>, ב"י)</w:t>
      </w:r>
    </w:p>
    <w:p w14:paraId="050C7D8B" w14:textId="77777777" w:rsidR="00FA2119" w:rsidRPr="001A5922" w:rsidRDefault="00FA2119" w:rsidP="00FA2119">
      <w:pPr>
        <w:rPr>
          <w:u w:val="single"/>
        </w:rPr>
      </w:pPr>
      <w:r w:rsidRPr="0090742B">
        <w:rPr>
          <w:rFonts w:hint="cs"/>
          <w:u w:val="single"/>
          <w:rtl/>
        </w:rPr>
        <w:t xml:space="preserve">גט </w:t>
      </w:r>
      <w:r w:rsidRPr="001A5922">
        <w:rPr>
          <w:rFonts w:hint="cs"/>
          <w:b/>
          <w:bCs/>
          <w:u w:val="single"/>
          <w:rtl/>
        </w:rPr>
        <w:t>ש</w:t>
      </w:r>
      <w:r>
        <w:rPr>
          <w:rFonts w:hint="cs"/>
          <w:b/>
          <w:bCs/>
          <w:u w:val="single"/>
          <w:rtl/>
        </w:rPr>
        <w:t xml:space="preserve">לא ידוע לנו אם </w:t>
      </w:r>
      <w:r w:rsidRPr="001A5922">
        <w:rPr>
          <w:rFonts w:hint="cs"/>
          <w:b/>
          <w:bCs/>
          <w:u w:val="single"/>
          <w:rtl/>
        </w:rPr>
        <w:t>נעשה בערכאות</w:t>
      </w:r>
      <w:r w:rsidRPr="0090742B">
        <w:rPr>
          <w:rFonts w:hint="cs"/>
          <w:u w:val="single"/>
          <w:rtl/>
        </w:rPr>
        <w:t xml:space="preserve"> ו</w:t>
      </w:r>
      <w:r>
        <w:rPr>
          <w:rFonts w:hint="cs"/>
          <w:u w:val="single"/>
          <w:rtl/>
        </w:rPr>
        <w:t>שמות ה</w:t>
      </w:r>
      <w:r w:rsidRPr="0090742B">
        <w:rPr>
          <w:rFonts w:hint="cs"/>
          <w:u w:val="single"/>
          <w:rtl/>
        </w:rPr>
        <w:t xml:space="preserve">עדים </w:t>
      </w:r>
      <w:r>
        <w:rPr>
          <w:rFonts w:hint="cs"/>
          <w:u w:val="single"/>
          <w:rtl/>
        </w:rPr>
        <w:t>ש</w:t>
      </w:r>
      <w:r w:rsidRPr="0090742B">
        <w:rPr>
          <w:rFonts w:hint="cs"/>
          <w:u w:val="single"/>
          <w:rtl/>
        </w:rPr>
        <w:t>חתומים עליו</w:t>
      </w:r>
      <w:r>
        <w:rPr>
          <w:rFonts w:hint="cs"/>
          <w:u w:val="single"/>
          <w:rtl/>
        </w:rPr>
        <w:t xml:space="preserve"> כשמות הגוים</w:t>
      </w:r>
      <w:r w:rsidRPr="0090742B">
        <w:rPr>
          <w:rFonts w:hint="cs"/>
          <w:u w:val="single"/>
          <w:rtl/>
        </w:rPr>
        <w:t>:</w:t>
      </w:r>
    </w:p>
    <w:p w14:paraId="4B38F791" w14:textId="61ECCE3C" w:rsidR="00FA2119" w:rsidRPr="00396366" w:rsidRDefault="00FA2119" w:rsidP="00FA2119">
      <w:pPr>
        <w:pStyle w:val="ab"/>
        <w:numPr>
          <w:ilvl w:val="0"/>
          <w:numId w:val="80"/>
        </w:numPr>
        <w:rPr>
          <w:rtl/>
        </w:rPr>
      </w:pPr>
      <w:r>
        <w:rPr>
          <w:rFonts w:cs="Arial" w:hint="cs"/>
          <w:rtl/>
        </w:rPr>
        <w:t>טור</w:t>
      </w:r>
      <w:r w:rsidR="00A82951">
        <w:rPr>
          <w:rFonts w:cs="Arial" w:hint="cs"/>
          <w:rtl/>
        </w:rPr>
        <w:t>-</w:t>
      </w:r>
      <w:r>
        <w:rPr>
          <w:rFonts w:cs="Arial" w:hint="cs"/>
          <w:rtl/>
        </w:rPr>
        <w:t xml:space="preserve"> </w:t>
      </w:r>
      <w:r>
        <w:rPr>
          <w:rFonts w:cs="Arial"/>
          <w:rtl/>
        </w:rPr>
        <w:t>אבל אשה שמביאה גט לפנינו שנתגרשה בו לינשא בו ושמות עדיו כשמות גוים</w:t>
      </w:r>
      <w:r>
        <w:rPr>
          <w:rFonts w:cs="Arial" w:hint="cs"/>
          <w:rtl/>
        </w:rPr>
        <w:t>,</w:t>
      </w:r>
      <w:r>
        <w:rPr>
          <w:rFonts w:cs="Arial"/>
          <w:rtl/>
        </w:rPr>
        <w:t xml:space="preserve"> אם הם שמות שאין דרך ישראל לקרות בהן כלל </w:t>
      </w:r>
      <w:r w:rsidR="00A82951">
        <w:rPr>
          <w:rFonts w:cs="Arial" w:hint="cs"/>
          <w:rtl/>
        </w:rPr>
        <w:t>-</w:t>
      </w:r>
      <w:r>
        <w:rPr>
          <w:rFonts w:cs="Arial" w:hint="cs"/>
          <w:rtl/>
        </w:rPr>
        <w:t xml:space="preserve"> </w:t>
      </w:r>
      <w:r>
        <w:rPr>
          <w:rFonts w:cs="Arial"/>
          <w:rtl/>
        </w:rPr>
        <w:t>תינשא בו</w:t>
      </w:r>
      <w:r>
        <w:rPr>
          <w:rFonts w:cs="Arial" w:hint="cs"/>
          <w:rtl/>
        </w:rPr>
        <w:t>,</w:t>
      </w:r>
      <w:r>
        <w:rPr>
          <w:rFonts w:cs="Arial"/>
          <w:rtl/>
        </w:rPr>
        <w:t xml:space="preserve"> שודאי ישראל הן שלא היו טועים מחתימי הגט להחתים שמות כאלו אם לא שידעו שישראלים הם</w:t>
      </w:r>
      <w:r>
        <w:rPr>
          <w:rFonts w:cs="Arial" w:hint="cs"/>
          <w:rtl/>
        </w:rPr>
        <w:t>.</w:t>
      </w:r>
      <w:r>
        <w:rPr>
          <w:rFonts w:cs="Arial"/>
          <w:rtl/>
        </w:rPr>
        <w:t xml:space="preserve"> ואם הם שמות שדומין קצת לשמות ישראל חיישינן שמא טעו מחתימי הגט והם סבורין שהם ישראל</w:t>
      </w:r>
      <w:r>
        <w:rPr>
          <w:rFonts w:cs="Arial" w:hint="cs"/>
          <w:rtl/>
        </w:rPr>
        <w:t>,</w:t>
      </w:r>
      <w:r>
        <w:rPr>
          <w:rFonts w:cs="Arial"/>
          <w:rtl/>
        </w:rPr>
        <w:t xml:space="preserve"> ושמא גוים היו</w:t>
      </w:r>
      <w:r>
        <w:rPr>
          <w:rFonts w:cs="Arial" w:hint="cs"/>
          <w:rtl/>
        </w:rPr>
        <w:t>,</w:t>
      </w:r>
      <w:r>
        <w:rPr>
          <w:rFonts w:cs="Arial"/>
          <w:rtl/>
        </w:rPr>
        <w:t xml:space="preserve"> ולא תינשא בו</w:t>
      </w:r>
      <w:r>
        <w:rPr>
          <w:rFonts w:cs="Arial" w:hint="cs"/>
          <w:rtl/>
        </w:rPr>
        <w:t>.</w:t>
      </w:r>
      <w:r>
        <w:rPr>
          <w:rFonts w:cs="Arial"/>
          <w:rtl/>
        </w:rPr>
        <w:t xml:space="preserve"> </w:t>
      </w:r>
      <w:r w:rsidRPr="0027707C">
        <w:rPr>
          <w:rFonts w:hint="cs"/>
          <w:color w:val="E36C0A" w:themeColor="accent6" w:themeShade="BF"/>
          <w:rtl/>
        </w:rPr>
        <w:t>(וכ"פ בשו"ע)</w:t>
      </w:r>
    </w:p>
    <w:p w14:paraId="637E46BF"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E6CFBC1" w14:textId="77777777" w:rsidR="00FA2119" w:rsidRDefault="00FA2119" w:rsidP="00FA2119">
      <w:pPr>
        <w:rPr>
          <w:rtl/>
        </w:rPr>
      </w:pPr>
      <w:r>
        <w:rPr>
          <w:rFonts w:cs="Arial" w:hint="cs"/>
          <w:rtl/>
        </w:rPr>
        <w:t>גט</w:t>
      </w:r>
      <w:r>
        <w:rPr>
          <w:rFonts w:cs="Arial"/>
          <w:rtl/>
        </w:rPr>
        <w:t xml:space="preserve"> </w:t>
      </w:r>
      <w:r>
        <w:rPr>
          <w:rFonts w:cs="Arial" w:hint="cs"/>
          <w:rtl/>
        </w:rPr>
        <w:t>שנעשה</w:t>
      </w:r>
      <w:r>
        <w:rPr>
          <w:rFonts w:cs="Arial"/>
          <w:rtl/>
        </w:rPr>
        <w:t xml:space="preserve"> </w:t>
      </w:r>
      <w:r>
        <w:rPr>
          <w:rFonts w:cs="Arial" w:hint="cs"/>
          <w:rtl/>
        </w:rPr>
        <w:t>בערכאות</w:t>
      </w:r>
      <w:r>
        <w:rPr>
          <w:rFonts w:cs="Arial"/>
          <w:rtl/>
        </w:rPr>
        <w:t xml:space="preserve"> </w:t>
      </w:r>
      <w:r>
        <w:rPr>
          <w:rFonts w:cs="Arial" w:hint="cs"/>
          <w:rtl/>
        </w:rPr>
        <w:t>של</w:t>
      </w:r>
      <w:r>
        <w:rPr>
          <w:rFonts w:cs="Arial"/>
          <w:rtl/>
        </w:rPr>
        <w:t xml:space="preserve"> </w:t>
      </w:r>
      <w:r>
        <w:rPr>
          <w:rFonts w:cs="Arial" w:hint="cs"/>
          <w:rtl/>
        </w:rPr>
        <w:t>גוים</w:t>
      </w:r>
      <w:r>
        <w:rPr>
          <w:rFonts w:cs="Arial"/>
          <w:rtl/>
        </w:rPr>
        <w:t xml:space="preserve">, </w:t>
      </w:r>
      <w:r>
        <w:rPr>
          <w:rFonts w:cs="Arial" w:hint="cs"/>
          <w:rtl/>
        </w:rPr>
        <w:t>ועדי</w:t>
      </w:r>
      <w:r>
        <w:rPr>
          <w:rFonts w:cs="Arial"/>
          <w:rtl/>
        </w:rPr>
        <w:t xml:space="preserve"> </w:t>
      </w:r>
      <w:r>
        <w:rPr>
          <w:rFonts w:cs="Arial" w:hint="cs"/>
          <w:rtl/>
        </w:rPr>
        <w:t>גוים</w:t>
      </w:r>
      <w:r>
        <w:rPr>
          <w:rFonts w:cs="Arial"/>
          <w:rtl/>
        </w:rPr>
        <w:t xml:space="preserve"> </w:t>
      </w:r>
      <w:r>
        <w:rPr>
          <w:rFonts w:cs="Arial" w:hint="cs"/>
          <w:rtl/>
        </w:rPr>
        <w:t>חתומים</w:t>
      </w:r>
      <w:r>
        <w:rPr>
          <w:rFonts w:cs="Arial"/>
          <w:rtl/>
        </w:rPr>
        <w:t xml:space="preserve"> </w:t>
      </w:r>
      <w:r>
        <w:rPr>
          <w:rFonts w:cs="Arial" w:hint="cs"/>
          <w:rtl/>
        </w:rPr>
        <w:t>עליו</w:t>
      </w:r>
      <w:r>
        <w:rPr>
          <w:rFonts w:cs="Arial"/>
          <w:rtl/>
        </w:rPr>
        <w:t xml:space="preserve">, </w:t>
      </w:r>
      <w:r>
        <w:rPr>
          <w:rFonts w:cs="Arial" w:hint="cs"/>
          <w:rtl/>
        </w:rPr>
        <w:t>ואפילו</w:t>
      </w:r>
      <w:r>
        <w:rPr>
          <w:rFonts w:cs="Arial"/>
          <w:rtl/>
        </w:rPr>
        <w:t xml:space="preserve"> </w:t>
      </w:r>
      <w:r>
        <w:rPr>
          <w:rFonts w:cs="Arial" w:hint="cs"/>
          <w:rtl/>
        </w:rPr>
        <w:t>כתבו</w:t>
      </w:r>
      <w:r>
        <w:rPr>
          <w:rFonts w:cs="Arial"/>
          <w:rtl/>
        </w:rPr>
        <w:t xml:space="preserve"> </w:t>
      </w:r>
      <w:r>
        <w:rPr>
          <w:rFonts w:cs="Arial" w:hint="cs"/>
          <w:rtl/>
        </w:rPr>
        <w:t>ישראל</w:t>
      </w:r>
      <w:r>
        <w:rPr>
          <w:rFonts w:cs="Arial"/>
          <w:rtl/>
        </w:rPr>
        <w:t xml:space="preserve"> </w:t>
      </w:r>
      <w:r>
        <w:rPr>
          <w:rFonts w:cs="Arial" w:hint="cs"/>
          <w:rtl/>
        </w:rPr>
        <w:t>ונמסר</w:t>
      </w:r>
      <w:r>
        <w:rPr>
          <w:rFonts w:cs="Arial"/>
          <w:rtl/>
        </w:rPr>
        <w:t xml:space="preserve"> </w:t>
      </w:r>
      <w:r>
        <w:rPr>
          <w:rFonts w:cs="Arial" w:hint="cs"/>
          <w:rtl/>
        </w:rPr>
        <w:t>בעדי</w:t>
      </w:r>
      <w:r>
        <w:rPr>
          <w:rFonts w:cs="Arial"/>
          <w:rtl/>
        </w:rPr>
        <w:t xml:space="preserve"> </w:t>
      </w:r>
      <w:r>
        <w:rPr>
          <w:rFonts w:cs="Arial" w:hint="cs"/>
          <w:rtl/>
        </w:rPr>
        <w:t>מסירה</w:t>
      </w:r>
      <w:r>
        <w:rPr>
          <w:rFonts w:cs="Arial"/>
          <w:rtl/>
        </w:rPr>
        <w:t xml:space="preserve"> </w:t>
      </w:r>
      <w:r>
        <w:rPr>
          <w:rFonts w:cs="Arial" w:hint="cs"/>
          <w:rtl/>
        </w:rPr>
        <w:t>ישראל</w:t>
      </w:r>
      <w:r>
        <w:rPr>
          <w:rFonts w:cs="Arial"/>
          <w:rtl/>
        </w:rPr>
        <w:t xml:space="preserve">, </w:t>
      </w:r>
      <w:r>
        <w:rPr>
          <w:rFonts w:cs="Arial" w:hint="cs"/>
          <w:rtl/>
        </w:rPr>
        <w:t>ושמות</w:t>
      </w:r>
      <w:r>
        <w:rPr>
          <w:rFonts w:cs="Arial"/>
          <w:rtl/>
        </w:rPr>
        <w:t xml:space="preserve"> </w:t>
      </w:r>
      <w:r>
        <w:rPr>
          <w:rFonts w:cs="Arial" w:hint="cs"/>
          <w:rtl/>
        </w:rPr>
        <w:t>עדי</w:t>
      </w:r>
      <w:r>
        <w:rPr>
          <w:rFonts w:cs="Arial"/>
          <w:rtl/>
        </w:rPr>
        <w:t xml:space="preserve"> </w:t>
      </w:r>
      <w:r>
        <w:rPr>
          <w:rFonts w:cs="Arial" w:hint="cs"/>
          <w:rtl/>
        </w:rPr>
        <w:t>גוים</w:t>
      </w:r>
      <w:r>
        <w:rPr>
          <w:rFonts w:cs="Arial"/>
          <w:rtl/>
        </w:rPr>
        <w:t xml:space="preserve"> </w:t>
      </w:r>
      <w:r>
        <w:rPr>
          <w:rFonts w:cs="Arial" w:hint="cs"/>
          <w:rtl/>
        </w:rPr>
        <w:t>החתומים</w:t>
      </w:r>
      <w:r>
        <w:rPr>
          <w:rFonts w:cs="Arial"/>
          <w:rtl/>
        </w:rPr>
        <w:t xml:space="preserve"> </w:t>
      </w:r>
      <w:r>
        <w:rPr>
          <w:rFonts w:cs="Arial" w:hint="cs"/>
          <w:rtl/>
        </w:rPr>
        <w:t>בו</w:t>
      </w:r>
      <w:r>
        <w:rPr>
          <w:rFonts w:cs="Arial"/>
          <w:rtl/>
        </w:rPr>
        <w:t xml:space="preserve"> </w:t>
      </w:r>
      <w:r>
        <w:rPr>
          <w:rFonts w:cs="Arial" w:hint="cs"/>
          <w:rtl/>
        </w:rPr>
        <w:t>מובהקים</w:t>
      </w:r>
      <w:r>
        <w:rPr>
          <w:rFonts w:cs="Arial"/>
          <w:rtl/>
        </w:rPr>
        <w:t xml:space="preserve"> </w:t>
      </w:r>
      <w:r>
        <w:rPr>
          <w:rFonts w:cs="Arial" w:hint="cs"/>
          <w:rtl/>
        </w:rPr>
        <w:t>וניכרים</w:t>
      </w:r>
      <w:r>
        <w:rPr>
          <w:rFonts w:cs="Arial"/>
          <w:rtl/>
        </w:rPr>
        <w:t xml:space="preserve"> </w:t>
      </w:r>
      <w:r>
        <w:rPr>
          <w:rFonts w:cs="Arial" w:hint="cs"/>
          <w:rtl/>
        </w:rPr>
        <w:t>לכל</w:t>
      </w:r>
      <w:r>
        <w:rPr>
          <w:rFonts w:cs="Arial"/>
          <w:rtl/>
        </w:rPr>
        <w:t xml:space="preserve"> </w:t>
      </w:r>
      <w:r>
        <w:rPr>
          <w:rFonts w:cs="Arial" w:hint="cs"/>
          <w:rtl/>
        </w:rPr>
        <w:t>שהם</w:t>
      </w:r>
      <w:r>
        <w:rPr>
          <w:rFonts w:cs="Arial"/>
          <w:rtl/>
        </w:rPr>
        <w:t xml:space="preserve"> </w:t>
      </w:r>
      <w:r>
        <w:rPr>
          <w:rFonts w:cs="Arial" w:hint="cs"/>
          <w:rtl/>
        </w:rPr>
        <w:t>גוים</w:t>
      </w:r>
      <w:r>
        <w:rPr>
          <w:rFonts w:cs="Arial"/>
          <w:rtl/>
        </w:rPr>
        <w:t xml:space="preserve">, </w:t>
      </w:r>
      <w:r>
        <w:rPr>
          <w:rFonts w:cs="Arial" w:hint="cs"/>
          <w:rtl/>
        </w:rPr>
        <w:t>דליכא</w:t>
      </w:r>
      <w:r>
        <w:rPr>
          <w:rFonts w:cs="Arial"/>
          <w:rtl/>
        </w:rPr>
        <w:t xml:space="preserve"> </w:t>
      </w:r>
      <w:r>
        <w:rPr>
          <w:rFonts w:cs="Arial" w:hint="cs"/>
          <w:rtl/>
        </w:rPr>
        <w:t>למיחש</w:t>
      </w:r>
      <w:r>
        <w:rPr>
          <w:rFonts w:cs="Arial"/>
          <w:rtl/>
        </w:rPr>
        <w:t xml:space="preserve"> </w:t>
      </w:r>
      <w:r>
        <w:rPr>
          <w:rFonts w:cs="Arial" w:hint="cs"/>
          <w:rtl/>
        </w:rPr>
        <w:t>דילמא</w:t>
      </w:r>
      <w:r>
        <w:rPr>
          <w:rFonts w:cs="Arial"/>
          <w:rtl/>
        </w:rPr>
        <w:t xml:space="preserve"> </w:t>
      </w:r>
      <w:r>
        <w:rPr>
          <w:rFonts w:cs="Arial" w:hint="cs"/>
          <w:rtl/>
        </w:rPr>
        <w:t>אתי</w:t>
      </w:r>
      <w:r>
        <w:rPr>
          <w:rFonts w:cs="Arial"/>
          <w:rtl/>
        </w:rPr>
        <w:t xml:space="preserve"> </w:t>
      </w:r>
      <w:r>
        <w:rPr>
          <w:rFonts w:cs="Arial" w:hint="cs"/>
          <w:rtl/>
        </w:rPr>
        <w:t>למסמך</w:t>
      </w:r>
      <w:r>
        <w:rPr>
          <w:rFonts w:cs="Arial"/>
          <w:rtl/>
        </w:rPr>
        <w:t xml:space="preserve"> </w:t>
      </w:r>
      <w:r>
        <w:rPr>
          <w:rFonts w:cs="Arial" w:hint="cs"/>
          <w:rtl/>
        </w:rPr>
        <w:t>עלייהו</w:t>
      </w:r>
      <w:r>
        <w:rPr>
          <w:rFonts w:cs="Arial"/>
          <w:rtl/>
        </w:rPr>
        <w:t xml:space="preserve">, </w:t>
      </w:r>
      <w:r>
        <w:rPr>
          <w:rFonts w:cs="Arial" w:hint="cs"/>
          <w:rtl/>
        </w:rPr>
        <w:t>אפילו</w:t>
      </w:r>
      <w:r>
        <w:rPr>
          <w:rFonts w:cs="Arial"/>
          <w:rtl/>
        </w:rPr>
        <w:t xml:space="preserve"> </w:t>
      </w:r>
      <w:r>
        <w:rPr>
          <w:rFonts w:cs="Arial" w:hint="cs"/>
          <w:rtl/>
        </w:rPr>
        <w:t>הכי</w:t>
      </w:r>
      <w:r>
        <w:rPr>
          <w:rFonts w:cs="Arial"/>
          <w:rtl/>
        </w:rPr>
        <w:t xml:space="preserve"> </w:t>
      </w:r>
      <w:r>
        <w:rPr>
          <w:rFonts w:cs="Arial" w:hint="cs"/>
          <w:rtl/>
        </w:rPr>
        <w:t>פסול</w:t>
      </w:r>
      <w:r>
        <w:rPr>
          <w:rFonts w:cs="Arial"/>
          <w:rtl/>
        </w:rPr>
        <w:t xml:space="preserve">. </w:t>
      </w:r>
      <w:r>
        <w:rPr>
          <w:rFonts w:cs="Arial" w:hint="cs"/>
          <w:rtl/>
        </w:rPr>
        <w:t>אבל</w:t>
      </w:r>
      <w:r>
        <w:rPr>
          <w:rFonts w:cs="Arial"/>
          <w:rtl/>
        </w:rPr>
        <w:t xml:space="preserve"> </w:t>
      </w:r>
      <w:r>
        <w:rPr>
          <w:rFonts w:cs="Arial" w:hint="cs"/>
          <w:rtl/>
        </w:rPr>
        <w:t>אשה</w:t>
      </w:r>
      <w:r>
        <w:rPr>
          <w:rFonts w:cs="Arial"/>
          <w:rtl/>
        </w:rPr>
        <w:t xml:space="preserve"> </w:t>
      </w:r>
      <w:r>
        <w:rPr>
          <w:rFonts w:cs="Arial" w:hint="cs"/>
          <w:rtl/>
        </w:rPr>
        <w:t>שמביאה</w:t>
      </w:r>
      <w:r>
        <w:rPr>
          <w:rFonts w:cs="Arial"/>
          <w:rtl/>
        </w:rPr>
        <w:t xml:space="preserve"> </w:t>
      </w:r>
      <w:r>
        <w:rPr>
          <w:rFonts w:cs="Arial" w:hint="cs"/>
          <w:rtl/>
        </w:rPr>
        <w:t>לפנינו</w:t>
      </w:r>
      <w:r>
        <w:rPr>
          <w:rFonts w:cs="Arial"/>
          <w:rtl/>
        </w:rPr>
        <w:t xml:space="preserve"> </w:t>
      </w:r>
      <w:r>
        <w:rPr>
          <w:rFonts w:cs="Arial" w:hint="cs"/>
          <w:rtl/>
        </w:rPr>
        <w:t>גט</w:t>
      </w:r>
      <w:r>
        <w:rPr>
          <w:rFonts w:cs="Arial"/>
          <w:rtl/>
        </w:rPr>
        <w:t xml:space="preserve"> </w:t>
      </w:r>
      <w:r>
        <w:rPr>
          <w:rFonts w:cs="Arial" w:hint="cs"/>
          <w:rtl/>
        </w:rPr>
        <w:t>שנתגרשה</w:t>
      </w:r>
      <w:r>
        <w:rPr>
          <w:rFonts w:cs="Arial"/>
          <w:rtl/>
        </w:rPr>
        <w:t xml:space="preserve"> </w:t>
      </w:r>
      <w:r>
        <w:rPr>
          <w:rFonts w:cs="Arial" w:hint="cs"/>
          <w:rtl/>
        </w:rPr>
        <w:t>בו</w:t>
      </w:r>
      <w:r>
        <w:rPr>
          <w:rFonts w:cs="Arial"/>
          <w:rtl/>
        </w:rPr>
        <w:t xml:space="preserve">, </w:t>
      </w:r>
      <w:r>
        <w:rPr>
          <w:rFonts w:cs="Arial" w:hint="cs"/>
          <w:rtl/>
        </w:rPr>
        <w:t>לינשא</w:t>
      </w:r>
      <w:r>
        <w:rPr>
          <w:rFonts w:cs="Arial"/>
          <w:rtl/>
        </w:rPr>
        <w:t xml:space="preserve"> </w:t>
      </w:r>
      <w:r>
        <w:rPr>
          <w:rFonts w:cs="Arial" w:hint="cs"/>
          <w:rtl/>
        </w:rPr>
        <w:t>בו</w:t>
      </w:r>
      <w:r>
        <w:rPr>
          <w:rFonts w:cs="Arial"/>
          <w:rtl/>
        </w:rPr>
        <w:t xml:space="preserve">, </w:t>
      </w:r>
      <w:r>
        <w:rPr>
          <w:rFonts w:cs="Arial" w:hint="cs"/>
          <w:rtl/>
        </w:rPr>
        <w:t>ושמות</w:t>
      </w:r>
      <w:r>
        <w:rPr>
          <w:rFonts w:cs="Arial"/>
          <w:rtl/>
        </w:rPr>
        <w:t xml:space="preserve"> </w:t>
      </w:r>
      <w:r>
        <w:rPr>
          <w:rFonts w:cs="Arial" w:hint="cs"/>
          <w:rtl/>
        </w:rPr>
        <w:t>העדים</w:t>
      </w:r>
      <w:r>
        <w:rPr>
          <w:rFonts w:cs="Arial"/>
          <w:rtl/>
        </w:rPr>
        <w:t xml:space="preserve"> </w:t>
      </w:r>
      <w:r>
        <w:rPr>
          <w:rFonts w:cs="Arial" w:hint="cs"/>
          <w:rtl/>
        </w:rPr>
        <w:t>כשמות</w:t>
      </w:r>
      <w:r>
        <w:rPr>
          <w:rFonts w:cs="Arial"/>
          <w:rtl/>
        </w:rPr>
        <w:t xml:space="preserve"> </w:t>
      </w:r>
      <w:r>
        <w:rPr>
          <w:rFonts w:cs="Arial" w:hint="cs"/>
          <w:rtl/>
        </w:rPr>
        <w:t>גוים</w:t>
      </w:r>
      <w:r>
        <w:rPr>
          <w:rFonts w:cs="Arial"/>
          <w:rtl/>
        </w:rPr>
        <w:t xml:space="preserve">, </w:t>
      </w:r>
      <w:r>
        <w:rPr>
          <w:rFonts w:cs="Arial" w:hint="cs"/>
          <w:rtl/>
        </w:rPr>
        <w:t>אם</w:t>
      </w:r>
      <w:r>
        <w:rPr>
          <w:rFonts w:cs="Arial"/>
          <w:rtl/>
        </w:rPr>
        <w:t xml:space="preserve"> </w:t>
      </w:r>
      <w:r>
        <w:rPr>
          <w:rFonts w:cs="Arial" w:hint="cs"/>
          <w:rtl/>
        </w:rPr>
        <w:t>הם</w:t>
      </w:r>
      <w:r>
        <w:rPr>
          <w:rFonts w:cs="Arial"/>
          <w:rtl/>
        </w:rPr>
        <w:t xml:space="preserve"> </w:t>
      </w:r>
      <w:r>
        <w:rPr>
          <w:rFonts w:cs="Arial" w:hint="cs"/>
          <w:rtl/>
        </w:rPr>
        <w:t>שמות</w:t>
      </w:r>
      <w:r>
        <w:rPr>
          <w:rFonts w:cs="Arial"/>
          <w:rtl/>
        </w:rPr>
        <w:t xml:space="preserve"> </w:t>
      </w:r>
      <w:r>
        <w:rPr>
          <w:rFonts w:cs="Arial" w:hint="cs"/>
          <w:rtl/>
        </w:rPr>
        <w:t>שאין</w:t>
      </w:r>
      <w:r>
        <w:rPr>
          <w:rFonts w:cs="Arial"/>
          <w:rtl/>
        </w:rPr>
        <w:t xml:space="preserve"> </w:t>
      </w:r>
      <w:r>
        <w:rPr>
          <w:rFonts w:cs="Arial" w:hint="cs"/>
          <w:rtl/>
        </w:rPr>
        <w:t>דרך</w:t>
      </w:r>
      <w:r>
        <w:rPr>
          <w:rFonts w:cs="Arial"/>
          <w:rtl/>
        </w:rPr>
        <w:t xml:space="preserve"> </w:t>
      </w:r>
      <w:r>
        <w:rPr>
          <w:rFonts w:cs="Arial" w:hint="cs"/>
          <w:rtl/>
        </w:rPr>
        <w:t>ישראל</w:t>
      </w:r>
      <w:r>
        <w:rPr>
          <w:rFonts w:cs="Arial"/>
          <w:rtl/>
        </w:rPr>
        <w:t xml:space="preserve"> </w:t>
      </w:r>
      <w:r>
        <w:rPr>
          <w:rFonts w:cs="Arial" w:hint="cs"/>
          <w:rtl/>
        </w:rPr>
        <w:t>לקרות</w:t>
      </w:r>
      <w:r>
        <w:rPr>
          <w:rFonts w:cs="Arial"/>
          <w:rtl/>
        </w:rPr>
        <w:t xml:space="preserve"> </w:t>
      </w:r>
      <w:r>
        <w:rPr>
          <w:rFonts w:cs="Arial" w:hint="cs"/>
          <w:rtl/>
        </w:rPr>
        <w:t>בהם</w:t>
      </w:r>
      <w:r>
        <w:rPr>
          <w:rFonts w:cs="Arial"/>
          <w:rtl/>
        </w:rPr>
        <w:t xml:space="preserve"> </w:t>
      </w:r>
      <w:r>
        <w:rPr>
          <w:rFonts w:cs="Arial" w:hint="cs"/>
          <w:rtl/>
        </w:rPr>
        <w:t>כלל</w:t>
      </w:r>
      <w:r>
        <w:rPr>
          <w:rFonts w:cs="Arial"/>
          <w:rtl/>
        </w:rPr>
        <w:t xml:space="preserve">, </w:t>
      </w:r>
      <w:r>
        <w:rPr>
          <w:rFonts w:cs="Arial" w:hint="cs"/>
          <w:rtl/>
        </w:rPr>
        <w:t>תנשא</w:t>
      </w:r>
      <w:r>
        <w:rPr>
          <w:rFonts w:cs="Arial"/>
          <w:rtl/>
        </w:rPr>
        <w:t xml:space="preserve"> </w:t>
      </w:r>
      <w:r>
        <w:rPr>
          <w:rFonts w:cs="Arial" w:hint="cs"/>
          <w:rtl/>
        </w:rPr>
        <w:t>בו</w:t>
      </w:r>
      <w:r>
        <w:rPr>
          <w:rFonts w:cs="Arial"/>
          <w:rtl/>
        </w:rPr>
        <w:t xml:space="preserve">, </w:t>
      </w:r>
      <w:r>
        <w:rPr>
          <w:rFonts w:cs="Arial" w:hint="cs"/>
          <w:rtl/>
        </w:rPr>
        <w:t>שודאי</w:t>
      </w:r>
      <w:r>
        <w:rPr>
          <w:rFonts w:cs="Arial"/>
          <w:rtl/>
        </w:rPr>
        <w:t xml:space="preserve"> </w:t>
      </w:r>
      <w:r>
        <w:rPr>
          <w:rFonts w:cs="Arial" w:hint="cs"/>
          <w:rtl/>
        </w:rPr>
        <w:t>ישראל</w:t>
      </w:r>
      <w:r>
        <w:rPr>
          <w:rFonts w:cs="Arial"/>
          <w:rtl/>
        </w:rPr>
        <w:t xml:space="preserve"> </w:t>
      </w:r>
      <w:r>
        <w:rPr>
          <w:rFonts w:cs="Arial" w:hint="cs"/>
          <w:rtl/>
        </w:rPr>
        <w:t>הם</w:t>
      </w:r>
      <w:r>
        <w:rPr>
          <w:rFonts w:cs="Arial"/>
          <w:rtl/>
        </w:rPr>
        <w:t xml:space="preserve">, </w:t>
      </w:r>
      <w:r>
        <w:rPr>
          <w:rFonts w:cs="Arial" w:hint="cs"/>
          <w:rtl/>
        </w:rPr>
        <w:t>שלא</w:t>
      </w:r>
      <w:r>
        <w:rPr>
          <w:rFonts w:cs="Arial"/>
          <w:rtl/>
        </w:rPr>
        <w:t xml:space="preserve"> </w:t>
      </w:r>
      <w:r>
        <w:rPr>
          <w:rFonts w:cs="Arial" w:hint="cs"/>
          <w:rtl/>
        </w:rPr>
        <w:t>היו</w:t>
      </w:r>
      <w:r>
        <w:rPr>
          <w:rFonts w:cs="Arial"/>
          <w:rtl/>
        </w:rPr>
        <w:t xml:space="preserve"> </w:t>
      </w:r>
      <w:r>
        <w:rPr>
          <w:rFonts w:cs="Arial" w:hint="cs"/>
          <w:rtl/>
        </w:rPr>
        <w:t>טועים</w:t>
      </w:r>
      <w:r>
        <w:rPr>
          <w:rFonts w:cs="Arial"/>
          <w:rtl/>
        </w:rPr>
        <w:t xml:space="preserve"> </w:t>
      </w:r>
      <w:r>
        <w:rPr>
          <w:rFonts w:cs="Arial" w:hint="cs"/>
          <w:rtl/>
        </w:rPr>
        <w:t>מחתומי</w:t>
      </w:r>
      <w:r>
        <w:rPr>
          <w:rFonts w:cs="Arial"/>
          <w:rtl/>
        </w:rPr>
        <w:t xml:space="preserve"> </w:t>
      </w:r>
      <w:r>
        <w:rPr>
          <w:rFonts w:cs="Arial" w:hint="cs"/>
          <w:rtl/>
        </w:rPr>
        <w:t>הגט</w:t>
      </w:r>
      <w:r>
        <w:rPr>
          <w:rFonts w:cs="Arial"/>
          <w:rtl/>
        </w:rPr>
        <w:t xml:space="preserve"> </w:t>
      </w:r>
      <w:r>
        <w:rPr>
          <w:rFonts w:cs="Arial" w:hint="cs"/>
          <w:rtl/>
        </w:rPr>
        <w:t>להחתים</w:t>
      </w:r>
      <w:r>
        <w:rPr>
          <w:rFonts w:cs="Arial"/>
          <w:rtl/>
        </w:rPr>
        <w:t xml:space="preserve"> </w:t>
      </w:r>
      <w:r>
        <w:rPr>
          <w:rFonts w:cs="Arial" w:hint="cs"/>
          <w:rtl/>
        </w:rPr>
        <w:t>שמות</w:t>
      </w:r>
      <w:r>
        <w:rPr>
          <w:rFonts w:cs="Arial"/>
          <w:rtl/>
        </w:rPr>
        <w:t xml:space="preserve"> </w:t>
      </w:r>
      <w:r>
        <w:rPr>
          <w:rFonts w:cs="Arial" w:hint="cs"/>
          <w:rtl/>
        </w:rPr>
        <w:t>כאלו</w:t>
      </w:r>
      <w:r>
        <w:rPr>
          <w:rFonts w:cs="Arial"/>
          <w:rtl/>
        </w:rPr>
        <w:t xml:space="preserve"> </w:t>
      </w:r>
      <w:r>
        <w:rPr>
          <w:rFonts w:cs="Arial" w:hint="cs"/>
          <w:rtl/>
        </w:rPr>
        <w:t>אם</w:t>
      </w:r>
      <w:r>
        <w:rPr>
          <w:rFonts w:cs="Arial"/>
          <w:rtl/>
        </w:rPr>
        <w:t xml:space="preserve"> </w:t>
      </w:r>
      <w:r>
        <w:rPr>
          <w:rFonts w:cs="Arial" w:hint="cs"/>
          <w:rtl/>
        </w:rPr>
        <w:t>לא</w:t>
      </w:r>
      <w:r>
        <w:rPr>
          <w:rFonts w:cs="Arial"/>
          <w:rtl/>
        </w:rPr>
        <w:t xml:space="preserve"> </w:t>
      </w:r>
      <w:r>
        <w:rPr>
          <w:rFonts w:cs="Arial" w:hint="cs"/>
          <w:rtl/>
        </w:rPr>
        <w:t>שידעו</w:t>
      </w:r>
      <w:r>
        <w:rPr>
          <w:rFonts w:cs="Arial"/>
          <w:rtl/>
        </w:rPr>
        <w:t xml:space="preserve"> </w:t>
      </w:r>
      <w:r>
        <w:rPr>
          <w:rFonts w:cs="Arial" w:hint="cs"/>
          <w:rtl/>
        </w:rPr>
        <w:t>שישראלים</w:t>
      </w:r>
      <w:r>
        <w:rPr>
          <w:rFonts w:cs="Arial"/>
          <w:rtl/>
        </w:rPr>
        <w:t xml:space="preserve"> </w:t>
      </w:r>
      <w:r>
        <w:rPr>
          <w:rFonts w:cs="Arial" w:hint="cs"/>
          <w:rtl/>
        </w:rPr>
        <w:t>הם</w:t>
      </w:r>
      <w:r>
        <w:rPr>
          <w:rFonts w:cs="Arial"/>
          <w:rtl/>
        </w:rPr>
        <w:t xml:space="preserve">. </w:t>
      </w:r>
      <w:r>
        <w:rPr>
          <w:rFonts w:cs="Arial" w:hint="cs"/>
          <w:rtl/>
        </w:rPr>
        <w:t>ואם</w:t>
      </w:r>
      <w:r>
        <w:rPr>
          <w:rFonts w:cs="Arial"/>
          <w:rtl/>
        </w:rPr>
        <w:t xml:space="preserve"> </w:t>
      </w:r>
      <w:r>
        <w:rPr>
          <w:rFonts w:cs="Arial" w:hint="cs"/>
          <w:rtl/>
        </w:rPr>
        <w:t>הם</w:t>
      </w:r>
      <w:r>
        <w:rPr>
          <w:rFonts w:cs="Arial"/>
          <w:rtl/>
        </w:rPr>
        <w:t xml:space="preserve"> </w:t>
      </w:r>
      <w:r>
        <w:rPr>
          <w:rFonts w:cs="Arial" w:hint="cs"/>
          <w:rtl/>
        </w:rPr>
        <w:t>שמות</w:t>
      </w:r>
      <w:r>
        <w:rPr>
          <w:rFonts w:cs="Arial"/>
          <w:rtl/>
        </w:rPr>
        <w:t xml:space="preserve"> </w:t>
      </w:r>
      <w:r>
        <w:rPr>
          <w:rFonts w:cs="Arial" w:hint="cs"/>
          <w:rtl/>
        </w:rPr>
        <w:t>שדומין</w:t>
      </w:r>
      <w:r>
        <w:rPr>
          <w:rFonts w:cs="Arial"/>
          <w:rtl/>
        </w:rPr>
        <w:t xml:space="preserve"> </w:t>
      </w:r>
      <w:r>
        <w:rPr>
          <w:rFonts w:cs="Arial" w:hint="cs"/>
          <w:rtl/>
        </w:rPr>
        <w:t>קצת</w:t>
      </w:r>
      <w:r>
        <w:rPr>
          <w:rFonts w:cs="Arial"/>
          <w:rtl/>
        </w:rPr>
        <w:t xml:space="preserve"> </w:t>
      </w:r>
      <w:r>
        <w:rPr>
          <w:rFonts w:cs="Arial" w:hint="cs"/>
          <w:rtl/>
        </w:rPr>
        <w:t>לשמות</w:t>
      </w:r>
      <w:r>
        <w:rPr>
          <w:rFonts w:cs="Arial"/>
          <w:rtl/>
        </w:rPr>
        <w:t xml:space="preserve"> </w:t>
      </w:r>
      <w:r>
        <w:rPr>
          <w:rFonts w:cs="Arial" w:hint="cs"/>
          <w:rtl/>
        </w:rPr>
        <w:t>ישראל</w:t>
      </w:r>
      <w:r>
        <w:rPr>
          <w:rFonts w:cs="Arial"/>
          <w:rtl/>
        </w:rPr>
        <w:t xml:space="preserve">, </w:t>
      </w:r>
      <w:r>
        <w:rPr>
          <w:rFonts w:cs="Arial" w:hint="cs"/>
          <w:rtl/>
        </w:rPr>
        <w:t>חיישינן</w:t>
      </w:r>
      <w:r>
        <w:rPr>
          <w:rFonts w:cs="Arial"/>
          <w:rtl/>
        </w:rPr>
        <w:t xml:space="preserve"> </w:t>
      </w:r>
      <w:r>
        <w:rPr>
          <w:rFonts w:cs="Arial" w:hint="cs"/>
          <w:rtl/>
        </w:rPr>
        <w:t>שמא</w:t>
      </w:r>
      <w:r>
        <w:rPr>
          <w:rFonts w:cs="Arial"/>
          <w:rtl/>
        </w:rPr>
        <w:t xml:space="preserve"> </w:t>
      </w:r>
      <w:r>
        <w:rPr>
          <w:rFonts w:cs="Arial" w:hint="cs"/>
          <w:rtl/>
        </w:rPr>
        <w:t>טעו</w:t>
      </w:r>
      <w:r>
        <w:rPr>
          <w:rFonts w:cs="Arial"/>
          <w:rtl/>
        </w:rPr>
        <w:t xml:space="preserve"> </w:t>
      </w:r>
      <w:r>
        <w:rPr>
          <w:rFonts w:cs="Arial" w:hint="cs"/>
          <w:rtl/>
        </w:rPr>
        <w:t>מחתמי</w:t>
      </w:r>
      <w:r>
        <w:rPr>
          <w:rFonts w:cs="Arial"/>
          <w:rtl/>
        </w:rPr>
        <w:t xml:space="preserve"> </w:t>
      </w:r>
      <w:r>
        <w:rPr>
          <w:rFonts w:cs="Arial" w:hint="cs"/>
          <w:rtl/>
        </w:rPr>
        <w:t>הגט</w:t>
      </w:r>
      <w:r>
        <w:rPr>
          <w:rFonts w:cs="Arial"/>
          <w:rtl/>
        </w:rPr>
        <w:t xml:space="preserve"> </w:t>
      </w:r>
      <w:r>
        <w:rPr>
          <w:rFonts w:cs="Arial" w:hint="cs"/>
          <w:rtl/>
        </w:rPr>
        <w:t>שסברו</w:t>
      </w:r>
      <w:r>
        <w:rPr>
          <w:rFonts w:cs="Arial"/>
          <w:rtl/>
        </w:rPr>
        <w:t xml:space="preserve"> </w:t>
      </w:r>
      <w:r>
        <w:rPr>
          <w:rFonts w:cs="Arial" w:hint="cs"/>
          <w:rtl/>
        </w:rPr>
        <w:t>שהם</w:t>
      </w:r>
      <w:r>
        <w:rPr>
          <w:rFonts w:cs="Arial"/>
          <w:rtl/>
        </w:rPr>
        <w:t xml:space="preserve"> </w:t>
      </w:r>
      <w:r>
        <w:rPr>
          <w:rFonts w:cs="Arial" w:hint="cs"/>
          <w:rtl/>
        </w:rPr>
        <w:t>ישראל</w:t>
      </w:r>
      <w:r>
        <w:rPr>
          <w:rFonts w:cs="Arial"/>
          <w:rtl/>
        </w:rPr>
        <w:t xml:space="preserve">, </w:t>
      </w:r>
      <w:r>
        <w:rPr>
          <w:rFonts w:cs="Arial" w:hint="cs"/>
          <w:rtl/>
        </w:rPr>
        <w:t>ושמא</w:t>
      </w:r>
      <w:r>
        <w:rPr>
          <w:rFonts w:cs="Arial"/>
          <w:rtl/>
        </w:rPr>
        <w:t xml:space="preserve"> </w:t>
      </w:r>
      <w:r>
        <w:rPr>
          <w:rFonts w:cs="Arial" w:hint="cs"/>
          <w:rtl/>
        </w:rPr>
        <w:t>גוים</w:t>
      </w:r>
      <w:r>
        <w:rPr>
          <w:rFonts w:cs="Arial"/>
          <w:rtl/>
        </w:rPr>
        <w:t xml:space="preserve"> </w:t>
      </w:r>
      <w:r>
        <w:rPr>
          <w:rFonts w:cs="Arial" w:hint="cs"/>
          <w:rtl/>
        </w:rPr>
        <w:t>הם</w:t>
      </w:r>
      <w:r>
        <w:rPr>
          <w:rFonts w:cs="Arial"/>
          <w:rtl/>
        </w:rPr>
        <w:t xml:space="preserve">, </w:t>
      </w:r>
      <w:r>
        <w:rPr>
          <w:rFonts w:cs="Arial" w:hint="cs"/>
          <w:rtl/>
        </w:rPr>
        <w:t>ולא</w:t>
      </w:r>
      <w:r>
        <w:rPr>
          <w:rFonts w:cs="Arial"/>
          <w:rtl/>
        </w:rPr>
        <w:t xml:space="preserve"> </w:t>
      </w:r>
      <w:r>
        <w:rPr>
          <w:rFonts w:cs="Arial" w:hint="cs"/>
          <w:rtl/>
        </w:rPr>
        <w:t>תנשא</w:t>
      </w:r>
      <w:r>
        <w:rPr>
          <w:rFonts w:cs="Arial"/>
          <w:rtl/>
        </w:rPr>
        <w:t xml:space="preserve"> </w:t>
      </w:r>
      <w:r>
        <w:rPr>
          <w:rFonts w:cs="Arial" w:hint="cs"/>
          <w:rtl/>
        </w:rPr>
        <w:t>בו</w:t>
      </w:r>
      <w:r>
        <w:rPr>
          <w:rFonts w:cs="Arial"/>
          <w:rtl/>
        </w:rPr>
        <w:t xml:space="preserve">. </w:t>
      </w:r>
    </w:p>
    <w:p w14:paraId="36030A4F" w14:textId="77777777" w:rsidR="00FA2119" w:rsidRDefault="00FA2119" w:rsidP="00FA2119">
      <w:pPr>
        <w:rPr>
          <w:rtl/>
        </w:rPr>
      </w:pPr>
    </w:p>
    <w:p w14:paraId="2DAF4175" w14:textId="77777777" w:rsidR="00FA2119" w:rsidRDefault="00FA2119" w:rsidP="00FA2119">
      <w:pPr>
        <w:pStyle w:val="2"/>
        <w:rPr>
          <w:rtl/>
        </w:rPr>
      </w:pPr>
      <w:r>
        <w:rPr>
          <w:rFonts w:hint="cs"/>
          <w:rtl/>
        </w:rPr>
        <w:t>סעיף</w:t>
      </w:r>
      <w:r>
        <w:rPr>
          <w:rtl/>
        </w:rPr>
        <w:t xml:space="preserve"> </w:t>
      </w:r>
      <w:r>
        <w:rPr>
          <w:rFonts w:hint="cs"/>
          <w:rtl/>
        </w:rPr>
        <w:t>כ: גט שאין עליו עדים, או שיש עליו רק עד אחד.</w:t>
      </w:r>
    </w:p>
    <w:p w14:paraId="376EE74B" w14:textId="77166791" w:rsidR="00FA2119" w:rsidRDefault="00FA2119" w:rsidP="00FA2119">
      <w:pPr>
        <w:rPr>
          <w:rFonts w:cs="Arial"/>
          <w:rtl/>
        </w:rPr>
      </w:pPr>
      <w:r w:rsidRPr="00B613D7">
        <w:rPr>
          <w:rFonts w:hint="cs"/>
          <w:b/>
          <w:bCs/>
          <w:rtl/>
        </w:rPr>
        <w:t xml:space="preserve">גיטין </w:t>
      </w:r>
      <w:r w:rsidRPr="00B613D7">
        <w:rPr>
          <w:rFonts w:hint="cs"/>
          <w:b/>
          <w:bCs/>
          <w:sz w:val="16"/>
          <w:szCs w:val="16"/>
          <w:rtl/>
        </w:rPr>
        <w:t xml:space="preserve">(פ' המגרש) </w:t>
      </w:r>
      <w:r w:rsidRPr="00B613D7">
        <w:rPr>
          <w:rFonts w:hint="cs"/>
          <w:b/>
          <w:bCs/>
          <w:rtl/>
        </w:rPr>
        <w:t xml:space="preserve">פו ע"א: </w:t>
      </w:r>
      <w:r w:rsidRPr="00B613D7">
        <w:rPr>
          <w:rFonts w:cs="Arial"/>
          <w:u w:val="double"/>
          <w:rtl/>
        </w:rPr>
        <w:t>מתני'</w:t>
      </w:r>
      <w:r w:rsidRPr="00B613D7">
        <w:rPr>
          <w:rFonts w:cs="Arial" w:hint="cs"/>
          <w:rtl/>
        </w:rPr>
        <w:t>:</w:t>
      </w:r>
      <w:r w:rsidRPr="00B613D7">
        <w:rPr>
          <w:rFonts w:cs="Arial"/>
          <w:rtl/>
        </w:rPr>
        <w:t xml:space="preserve"> שלשה גיטין פסולין, ואם נשאת הוולד כשר: כתב בכתב ידו ואין עליו עדים, יש עליו עדים ואין בו זמן, יש בו זמן ואין בו אלא עד אחד</w:t>
      </w:r>
      <w:r w:rsidRPr="00B613D7">
        <w:rPr>
          <w:rFonts w:cs="Arial" w:hint="cs"/>
          <w:rtl/>
        </w:rPr>
        <w:t>.</w:t>
      </w:r>
      <w:r w:rsidRPr="00B613D7">
        <w:rPr>
          <w:rFonts w:cs="Arial"/>
          <w:rtl/>
        </w:rPr>
        <w:t xml:space="preserve"> הרי אלו שלשה גיטין פסולין, ואם נשאת </w:t>
      </w:r>
      <w:r w:rsidR="00A82951">
        <w:rPr>
          <w:rFonts w:cs="Arial"/>
          <w:rtl/>
        </w:rPr>
        <w:t>-</w:t>
      </w:r>
      <w:r w:rsidRPr="00B613D7">
        <w:rPr>
          <w:rFonts w:cs="Arial"/>
          <w:rtl/>
        </w:rPr>
        <w:t xml:space="preserve"> הולד כשר.</w:t>
      </w:r>
      <w:r w:rsidRPr="00B613D7">
        <w:rPr>
          <w:rFonts w:cs="Arial" w:hint="cs"/>
          <w:rtl/>
        </w:rPr>
        <w:t>..</w:t>
      </w:r>
      <w:r>
        <w:rPr>
          <w:rFonts w:hint="cs"/>
          <w:rtl/>
        </w:rPr>
        <w:t xml:space="preserve">      </w:t>
      </w:r>
      <w:r w:rsidRPr="00C315E3">
        <w:rPr>
          <w:rFonts w:hint="cs"/>
          <w:u w:val="double"/>
          <w:rtl/>
        </w:rPr>
        <w:t>גמ':</w:t>
      </w:r>
      <w:r w:rsidRPr="00C315E3">
        <w:rPr>
          <w:rtl/>
        </w:rPr>
        <w:t xml:space="preserve"> </w:t>
      </w:r>
      <w:r w:rsidRPr="00C315E3">
        <w:rPr>
          <w:rFonts w:cs="Arial"/>
          <w:rtl/>
        </w:rPr>
        <w:t xml:space="preserve">כתב בכתב ידו ואין עליו עדים. </w:t>
      </w:r>
      <w:r w:rsidRPr="00C339E3">
        <w:rPr>
          <w:rFonts w:cs="Arial"/>
          <w:u w:val="single"/>
          <w:rtl/>
        </w:rPr>
        <w:t>אמר רב</w:t>
      </w:r>
      <w:r w:rsidRPr="00C315E3">
        <w:rPr>
          <w:rFonts w:cs="Arial"/>
          <w:rtl/>
        </w:rPr>
        <w:t>: כתב ידו שנינו. אהייא? אילימא ארישא, פשיטא, כתב ידו קתני! ואלא אמצעיתא</w:t>
      </w:r>
      <w:r>
        <w:rPr>
          <w:rStyle w:val="a7"/>
          <w:rFonts w:cs="Arial"/>
          <w:rtl/>
        </w:rPr>
        <w:footnoteReference w:id="1337"/>
      </w:r>
      <w:r w:rsidRPr="00C315E3">
        <w:rPr>
          <w:rFonts w:cs="Arial"/>
          <w:rtl/>
        </w:rPr>
        <w:t>, הרי יש עליו עדים! אלא אסיפא: יש בו זמן ואין בו אלא עד אחד,</w:t>
      </w:r>
      <w:r>
        <w:rPr>
          <w:rFonts w:hint="cs"/>
          <w:sz w:val="14"/>
          <w:szCs w:val="14"/>
          <w:rtl/>
        </w:rPr>
        <w:t xml:space="preserve"> </w:t>
      </w:r>
      <w:r w:rsidRPr="00C315E3">
        <w:rPr>
          <w:rFonts w:hint="cs"/>
          <w:sz w:val="14"/>
          <w:szCs w:val="14"/>
          <w:rtl/>
        </w:rPr>
        <w:t>(פו:)</w:t>
      </w:r>
      <w:r>
        <w:rPr>
          <w:rFonts w:hint="cs"/>
          <w:sz w:val="14"/>
          <w:szCs w:val="14"/>
          <w:rtl/>
        </w:rPr>
        <w:t xml:space="preserve"> </w:t>
      </w:r>
      <w:r w:rsidRPr="00C339E3">
        <w:rPr>
          <w:rFonts w:cs="Arial"/>
          <w:rtl/>
        </w:rPr>
        <w:t>ודוקא כתב ידו ועד</w:t>
      </w:r>
      <w:r>
        <w:rPr>
          <w:rStyle w:val="a7"/>
          <w:rFonts w:cs="Arial"/>
          <w:rtl/>
        </w:rPr>
        <w:footnoteReference w:id="1338"/>
      </w:r>
      <w:r w:rsidRPr="00C339E3">
        <w:rPr>
          <w:rFonts w:cs="Arial"/>
          <w:rtl/>
        </w:rPr>
        <w:t xml:space="preserve">, אבל כתב סופר ועד </w:t>
      </w:r>
      <w:r w:rsidR="00A82951">
        <w:rPr>
          <w:rFonts w:cs="Arial"/>
          <w:rtl/>
        </w:rPr>
        <w:t>-</w:t>
      </w:r>
      <w:r w:rsidRPr="00C339E3">
        <w:rPr>
          <w:rFonts w:cs="Arial"/>
          <w:rtl/>
        </w:rPr>
        <w:t xml:space="preserve"> לא. </w:t>
      </w:r>
      <w:r w:rsidRPr="00073B28">
        <w:rPr>
          <w:rFonts w:cs="Arial"/>
          <w:u w:val="single"/>
          <w:rtl/>
        </w:rPr>
        <w:t>ושמואל אמר</w:t>
      </w:r>
      <w:r w:rsidRPr="00C339E3">
        <w:rPr>
          <w:rFonts w:cs="Arial"/>
          <w:rtl/>
        </w:rPr>
        <w:t xml:space="preserve">: אפי' כתב סופר ועד, שהרי שנינו: כתב סופר ועד </w:t>
      </w:r>
      <w:r w:rsidR="00A82951">
        <w:rPr>
          <w:rFonts w:cs="Arial"/>
          <w:rtl/>
        </w:rPr>
        <w:t>-</w:t>
      </w:r>
      <w:r w:rsidRPr="00C339E3">
        <w:rPr>
          <w:rFonts w:cs="Arial"/>
          <w:rtl/>
        </w:rPr>
        <w:t xml:space="preserve"> כשר</w:t>
      </w:r>
      <w:r>
        <w:rPr>
          <w:rStyle w:val="a7"/>
          <w:rFonts w:cs="Arial"/>
          <w:rtl/>
        </w:rPr>
        <w:footnoteReference w:id="1339"/>
      </w:r>
      <w:r w:rsidRPr="00C339E3">
        <w:rPr>
          <w:rFonts w:cs="Arial"/>
          <w:rtl/>
        </w:rPr>
        <w:t>. ורב</w:t>
      </w:r>
      <w:r>
        <w:rPr>
          <w:rStyle w:val="a7"/>
          <w:rFonts w:cs="Arial"/>
          <w:rtl/>
        </w:rPr>
        <w:footnoteReference w:id="1340"/>
      </w:r>
      <w:r w:rsidRPr="00C339E3">
        <w:rPr>
          <w:rFonts w:cs="Arial"/>
          <w:rtl/>
        </w:rPr>
        <w:t>? מי דמי, התם תינשא לכתחילה, הכא דיעבד. ושמואל</w:t>
      </w:r>
      <w:r>
        <w:rPr>
          <w:rStyle w:val="a7"/>
          <w:rFonts w:cs="Arial"/>
          <w:rtl/>
        </w:rPr>
        <w:footnoteReference w:id="1341"/>
      </w:r>
      <w:r w:rsidRPr="00C339E3">
        <w:rPr>
          <w:rFonts w:cs="Arial"/>
          <w:rtl/>
        </w:rPr>
        <w:t xml:space="preserve">? לא קשיא: הא בספרא דמובהק, והא בספרא דלא מובהק. </w:t>
      </w:r>
      <w:r w:rsidRPr="00073B28">
        <w:rPr>
          <w:rFonts w:cs="Arial"/>
          <w:u w:val="single"/>
          <w:rtl/>
        </w:rPr>
        <w:t>וכן אמר ר' יוחנן</w:t>
      </w:r>
      <w:r>
        <w:rPr>
          <w:rStyle w:val="a7"/>
          <w:rFonts w:cs="Arial"/>
          <w:rtl/>
        </w:rPr>
        <w:footnoteReference w:id="1342"/>
      </w:r>
      <w:r w:rsidRPr="00C339E3">
        <w:rPr>
          <w:rFonts w:cs="Arial"/>
          <w:rtl/>
        </w:rPr>
        <w:t>: כתב ידו שנינ</w:t>
      </w:r>
      <w:r>
        <w:rPr>
          <w:rFonts w:cs="Arial" w:hint="cs"/>
          <w:rtl/>
        </w:rPr>
        <w:t>ו</w:t>
      </w:r>
      <w:r w:rsidRPr="00C339E3">
        <w:rPr>
          <w:rFonts w:cs="Arial"/>
          <w:rtl/>
        </w:rPr>
        <w:t xml:space="preserve">. </w:t>
      </w:r>
      <w:r w:rsidRPr="00073B28">
        <w:rPr>
          <w:rFonts w:cs="Arial"/>
          <w:u w:val="single"/>
          <w:rtl/>
        </w:rPr>
        <w:t>אמר ליה רבי אלעזר</w:t>
      </w:r>
      <w:r w:rsidRPr="00C339E3">
        <w:rPr>
          <w:rFonts w:cs="Arial"/>
          <w:rtl/>
        </w:rPr>
        <w:t>: הרי יש עליו עדים! אמר ליה: אסיפא.</w:t>
      </w:r>
      <w:r w:rsidRPr="00F32FCB">
        <w:rPr>
          <w:rFonts w:cs="Arial"/>
          <w:sz w:val="16"/>
          <w:szCs w:val="16"/>
          <w:rtl/>
        </w:rPr>
        <w:t xml:space="preserve"> </w:t>
      </w:r>
      <w:r>
        <w:rPr>
          <w:rFonts w:cs="Arial" w:hint="cs"/>
          <w:sz w:val="16"/>
          <w:szCs w:val="16"/>
          <w:rtl/>
        </w:rPr>
        <w:t>(</w:t>
      </w:r>
      <w:r w:rsidRPr="00F32FCB">
        <w:rPr>
          <w:rFonts w:cs="Arial"/>
          <w:sz w:val="16"/>
          <w:szCs w:val="16"/>
          <w:rtl/>
        </w:rPr>
        <w:t>ובודאי דלא קיימא לן כשמואל לגבי רב ורבי יוחנן</w:t>
      </w:r>
      <w:r w:rsidRPr="00F32FCB">
        <w:rPr>
          <w:rFonts w:cs="Arial" w:hint="cs"/>
          <w:sz w:val="16"/>
          <w:szCs w:val="16"/>
          <w:rtl/>
        </w:rPr>
        <w:t>,</w:t>
      </w:r>
      <w:r w:rsidRPr="00F32FCB">
        <w:rPr>
          <w:rFonts w:cs="Arial"/>
          <w:sz w:val="16"/>
          <w:szCs w:val="16"/>
          <w:rtl/>
        </w:rPr>
        <w:t xml:space="preserve"> וכן כתבו הרי"ף והרא"ש (שם)</w:t>
      </w:r>
      <w:r w:rsidRPr="00F32FCB">
        <w:rPr>
          <w:rFonts w:cs="Arial" w:hint="cs"/>
          <w:sz w:val="16"/>
          <w:szCs w:val="16"/>
          <w:rtl/>
        </w:rPr>
        <w:t>.</w:t>
      </w:r>
      <w:r w:rsidRPr="00F32FCB">
        <w:rPr>
          <w:rFonts w:cs="Arial"/>
          <w:sz w:val="16"/>
          <w:szCs w:val="16"/>
          <w:rtl/>
        </w:rPr>
        <w:t xml:space="preserve"> וא"כ כתב סופר לא מהני מידי אפילו בסופר מובהק</w:t>
      </w:r>
      <w:r w:rsidRPr="00F32FCB">
        <w:rPr>
          <w:rStyle w:val="a7"/>
          <w:rFonts w:cs="Arial"/>
          <w:sz w:val="16"/>
          <w:szCs w:val="16"/>
          <w:rtl/>
        </w:rPr>
        <w:footnoteReference w:id="1343"/>
      </w:r>
      <w:r w:rsidRPr="00F32FCB">
        <w:rPr>
          <w:rFonts w:cs="Arial" w:hint="cs"/>
          <w:sz w:val="16"/>
          <w:szCs w:val="16"/>
          <w:rtl/>
        </w:rPr>
        <w:t xml:space="preserve">... </w:t>
      </w:r>
      <w:r w:rsidRPr="00F32FCB">
        <w:rPr>
          <w:rFonts w:cs="Arial"/>
          <w:sz w:val="16"/>
          <w:szCs w:val="16"/>
          <w:rtl/>
        </w:rPr>
        <w:t xml:space="preserve">ואם כן קשה היאך כתב רבינו </w:t>
      </w:r>
      <w:r w:rsidRPr="00F32FCB">
        <w:rPr>
          <w:rFonts w:cs="Arial" w:hint="cs"/>
          <w:sz w:val="16"/>
          <w:szCs w:val="16"/>
          <w:rtl/>
        </w:rPr>
        <w:t>'</w:t>
      </w:r>
      <w:r w:rsidRPr="00F32FCB">
        <w:rPr>
          <w:rFonts w:cs="Arial"/>
          <w:sz w:val="16"/>
          <w:szCs w:val="16"/>
          <w:rtl/>
        </w:rPr>
        <w:t>ניסת לא תצא</w:t>
      </w:r>
      <w:r w:rsidRPr="00F32FCB">
        <w:rPr>
          <w:rFonts w:cs="Arial" w:hint="cs"/>
          <w:sz w:val="16"/>
          <w:szCs w:val="16"/>
          <w:rtl/>
        </w:rPr>
        <w:t>'</w:t>
      </w:r>
      <w:r w:rsidRPr="00F32FCB">
        <w:rPr>
          <w:rFonts w:cs="Arial"/>
          <w:sz w:val="16"/>
          <w:szCs w:val="16"/>
          <w:rtl/>
        </w:rPr>
        <w:t xml:space="preserve"> אהיכא דאין עליו אלא עד אחד אפילו ניכר כתיבת הגט שהיא כתיבת יד סופר בית דין</w:t>
      </w:r>
      <w:r w:rsidRPr="00F32FCB">
        <w:rPr>
          <w:rFonts w:cs="Arial" w:hint="cs"/>
          <w:sz w:val="16"/>
          <w:szCs w:val="16"/>
          <w:rtl/>
        </w:rPr>
        <w:t>,</w:t>
      </w:r>
      <w:r w:rsidRPr="00F32FCB">
        <w:rPr>
          <w:rFonts w:cs="Arial"/>
          <w:sz w:val="16"/>
          <w:szCs w:val="16"/>
          <w:rtl/>
        </w:rPr>
        <w:t xml:space="preserve"> דהא כל כ</w:t>
      </w:r>
      <w:r w:rsidRPr="00F32FCB">
        <w:rPr>
          <w:rFonts w:cs="Arial" w:hint="cs"/>
          <w:sz w:val="16"/>
          <w:szCs w:val="16"/>
          <w:rtl/>
        </w:rPr>
        <w:t>ה"</w:t>
      </w:r>
      <w:r w:rsidRPr="00F32FCB">
        <w:rPr>
          <w:rFonts w:cs="Arial"/>
          <w:sz w:val="16"/>
          <w:szCs w:val="16"/>
          <w:rtl/>
        </w:rPr>
        <w:t>ג תצא והולד ממזר הוא</w:t>
      </w:r>
      <w:r w:rsidRPr="00F32FCB">
        <w:rPr>
          <w:rFonts w:cs="Arial" w:hint="cs"/>
          <w:sz w:val="16"/>
          <w:szCs w:val="16"/>
          <w:rtl/>
        </w:rPr>
        <w:t xml:space="preserve">... </w:t>
      </w:r>
      <w:r w:rsidRPr="00F32FCB">
        <w:rPr>
          <w:rFonts w:cs="Arial"/>
          <w:sz w:val="16"/>
          <w:szCs w:val="16"/>
          <w:rtl/>
        </w:rPr>
        <w:t xml:space="preserve">וצ"ל דסבירא ליה לרבינו דכי פסלו רב ורבי יוחנן כתב סופר ועד וסברי דהולד ממזר ההיא מתניתין דקיימי עלה </w:t>
      </w:r>
      <w:r w:rsidR="00A82951">
        <w:rPr>
          <w:rFonts w:cs="Arial" w:hint="cs"/>
          <w:sz w:val="16"/>
          <w:szCs w:val="16"/>
          <w:rtl/>
        </w:rPr>
        <w:t>-</w:t>
      </w:r>
      <w:r w:rsidRPr="00F32FCB">
        <w:rPr>
          <w:rFonts w:cs="Arial" w:hint="cs"/>
          <w:sz w:val="16"/>
          <w:szCs w:val="16"/>
          <w:rtl/>
        </w:rPr>
        <w:t xml:space="preserve"> </w:t>
      </w:r>
      <w:r w:rsidRPr="00F32FCB">
        <w:rPr>
          <w:rFonts w:cs="Arial"/>
          <w:sz w:val="16"/>
          <w:szCs w:val="16"/>
          <w:rtl/>
        </w:rPr>
        <w:t>רבי מאיר היא (כא:)</w:t>
      </w:r>
      <w:r w:rsidRPr="00F32FCB">
        <w:rPr>
          <w:rFonts w:cs="Arial" w:hint="cs"/>
          <w:sz w:val="16"/>
          <w:szCs w:val="16"/>
          <w:rtl/>
        </w:rPr>
        <w:t>,</w:t>
      </w:r>
      <w:r w:rsidRPr="00F32FCB">
        <w:rPr>
          <w:rFonts w:cs="Arial"/>
          <w:sz w:val="16"/>
          <w:szCs w:val="16"/>
          <w:rtl/>
        </w:rPr>
        <w:t xml:space="preserve"> דמכשר בעדי חתימה בלא עדי מסירה</w:t>
      </w:r>
      <w:r w:rsidRPr="00F32FCB">
        <w:rPr>
          <w:rFonts w:cs="Arial" w:hint="cs"/>
          <w:sz w:val="16"/>
          <w:szCs w:val="16"/>
          <w:rtl/>
        </w:rPr>
        <w:t>,</w:t>
      </w:r>
      <w:r w:rsidRPr="00F32FCB">
        <w:rPr>
          <w:rFonts w:cs="Arial"/>
          <w:sz w:val="16"/>
          <w:szCs w:val="16"/>
          <w:rtl/>
        </w:rPr>
        <w:t xml:space="preserve"> ובכתב סופר ועד כיון דליכא עדי חתימה וגם נמסר בלא עדים הולד ממזר</w:t>
      </w:r>
      <w:r w:rsidRPr="00F32FCB">
        <w:rPr>
          <w:rFonts w:cs="Arial" w:hint="cs"/>
          <w:sz w:val="16"/>
          <w:szCs w:val="16"/>
          <w:rtl/>
        </w:rPr>
        <w:t>.</w:t>
      </w:r>
      <w:r w:rsidRPr="00F32FCB">
        <w:rPr>
          <w:rFonts w:cs="Arial"/>
          <w:sz w:val="16"/>
          <w:szCs w:val="16"/>
          <w:rtl/>
        </w:rPr>
        <w:t xml:space="preserve"> ואע</w:t>
      </w:r>
      <w:r w:rsidRPr="00F32FCB">
        <w:rPr>
          <w:rFonts w:cs="Arial" w:hint="cs"/>
          <w:sz w:val="16"/>
          <w:szCs w:val="16"/>
          <w:rtl/>
        </w:rPr>
        <w:t>"</w:t>
      </w:r>
      <w:r w:rsidRPr="00F32FCB">
        <w:rPr>
          <w:rFonts w:cs="Arial"/>
          <w:sz w:val="16"/>
          <w:szCs w:val="16"/>
          <w:rtl/>
        </w:rPr>
        <w:t>ג דבלא עדי מסירה עסקינן</w:t>
      </w:r>
      <w:r w:rsidRPr="00F32FCB">
        <w:rPr>
          <w:rFonts w:cs="Arial" w:hint="cs"/>
          <w:sz w:val="16"/>
          <w:szCs w:val="16"/>
          <w:rtl/>
        </w:rPr>
        <w:t xml:space="preserve">, </w:t>
      </w:r>
      <w:r w:rsidRPr="00F32FCB">
        <w:rPr>
          <w:rFonts w:cs="Arial"/>
          <w:sz w:val="16"/>
          <w:szCs w:val="16"/>
          <w:rtl/>
        </w:rPr>
        <w:t>כתב בכתב ידו כשר כדפירש רש"י (פו. ד"ה ואם ניסת) משום דכתב ידו הוי כק' עדים</w:t>
      </w:r>
      <w:r w:rsidRPr="00F32FCB">
        <w:rPr>
          <w:rFonts w:cs="Arial" w:hint="cs"/>
          <w:sz w:val="16"/>
          <w:szCs w:val="16"/>
          <w:rtl/>
        </w:rPr>
        <w:t>,</w:t>
      </w:r>
      <w:r w:rsidRPr="00F32FCB">
        <w:rPr>
          <w:rFonts w:cs="Arial"/>
          <w:sz w:val="16"/>
          <w:szCs w:val="16"/>
          <w:rtl/>
        </w:rPr>
        <w:t xml:space="preserve"> וכן כתבו התוספות בריש גיטין (ג: ד"ה שלשה). או כדכתב הר"ן (מו. ד"ה ומהא) דטעמא דמכשרינן בכתב ידו משום דהא איכא חתם שמו</w:t>
      </w:r>
      <w:r w:rsidRPr="00F32FCB">
        <w:rPr>
          <w:rFonts w:cs="Arial" w:hint="cs"/>
          <w:sz w:val="16"/>
          <w:szCs w:val="16"/>
          <w:rtl/>
        </w:rPr>
        <w:t>,</w:t>
      </w:r>
      <w:r w:rsidRPr="00F32FCB">
        <w:rPr>
          <w:rFonts w:cs="Arial"/>
          <w:sz w:val="16"/>
          <w:szCs w:val="16"/>
          <w:rtl/>
        </w:rPr>
        <w:t xml:space="preserve"> שהרי צריך לכתוב הוא שמו בגט</w:t>
      </w:r>
      <w:r w:rsidRPr="00F32FCB">
        <w:rPr>
          <w:rFonts w:cs="Arial" w:hint="cs"/>
          <w:sz w:val="16"/>
          <w:szCs w:val="16"/>
          <w:rtl/>
        </w:rPr>
        <w:t>.</w:t>
      </w:r>
      <w:r w:rsidRPr="00F32FCB">
        <w:rPr>
          <w:rFonts w:cs="Arial"/>
          <w:sz w:val="16"/>
          <w:szCs w:val="16"/>
          <w:rtl/>
        </w:rPr>
        <w:t xml:space="preserve"> ושמואל אמר אפילו כתב סופר ועד כשר וכדאוקימנא בסופר מובהק</w:t>
      </w:r>
      <w:r w:rsidRPr="00F32FCB">
        <w:rPr>
          <w:rFonts w:cs="Arial" w:hint="cs"/>
          <w:sz w:val="16"/>
          <w:szCs w:val="16"/>
          <w:rtl/>
        </w:rPr>
        <w:t>,</w:t>
      </w:r>
      <w:r w:rsidRPr="00F32FCB">
        <w:rPr>
          <w:rFonts w:cs="Arial"/>
          <w:sz w:val="16"/>
          <w:szCs w:val="16"/>
          <w:rtl/>
        </w:rPr>
        <w:t xml:space="preserve"> דכיון דמובהק הוא ה"ל כחתומים עליו כמה עדים דאנן סהדי דלא כתבו א</w:t>
      </w:r>
      <w:r w:rsidRPr="00F32FCB">
        <w:rPr>
          <w:rFonts w:cs="Arial" w:hint="cs"/>
          <w:sz w:val="16"/>
          <w:szCs w:val="16"/>
          <w:rtl/>
        </w:rPr>
        <w:t>א"</w:t>
      </w:r>
      <w:r w:rsidRPr="00F32FCB">
        <w:rPr>
          <w:rFonts w:cs="Arial"/>
          <w:sz w:val="16"/>
          <w:szCs w:val="16"/>
          <w:rtl/>
        </w:rPr>
        <w:t>כ שמע מפי הבעל</w:t>
      </w:r>
      <w:r w:rsidRPr="00F32FCB">
        <w:rPr>
          <w:rFonts w:cs="Arial" w:hint="cs"/>
          <w:sz w:val="16"/>
          <w:szCs w:val="16"/>
          <w:rtl/>
        </w:rPr>
        <w:t>.</w:t>
      </w:r>
      <w:r w:rsidRPr="00F32FCB">
        <w:rPr>
          <w:rFonts w:cs="Arial"/>
          <w:sz w:val="16"/>
          <w:szCs w:val="16"/>
          <w:rtl/>
        </w:rPr>
        <w:t xml:space="preserve"> ולפיכך אע</w:t>
      </w:r>
      <w:r w:rsidRPr="00F32FCB">
        <w:rPr>
          <w:rFonts w:cs="Arial" w:hint="cs"/>
          <w:sz w:val="16"/>
          <w:szCs w:val="16"/>
          <w:rtl/>
        </w:rPr>
        <w:t>"</w:t>
      </w:r>
      <w:r w:rsidRPr="00F32FCB">
        <w:rPr>
          <w:rFonts w:cs="Arial"/>
          <w:sz w:val="16"/>
          <w:szCs w:val="16"/>
          <w:rtl/>
        </w:rPr>
        <w:t>ג דליכא עדי מסירה מכשר</w:t>
      </w:r>
      <w:r w:rsidRPr="00F32FCB">
        <w:rPr>
          <w:rFonts w:cs="Arial" w:hint="cs"/>
          <w:sz w:val="16"/>
          <w:szCs w:val="16"/>
          <w:rtl/>
        </w:rPr>
        <w:t>.</w:t>
      </w:r>
      <w:r w:rsidRPr="00F32FCB">
        <w:rPr>
          <w:rFonts w:cs="Arial"/>
          <w:sz w:val="16"/>
          <w:szCs w:val="16"/>
          <w:rtl/>
        </w:rPr>
        <w:t xml:space="preserve"> אבל לרבי אלעזר דאמר עדי מסירה כרתי לא שנא לן בין כתב ידו לכתב סופר מובהק או שאינו מובהק או אין עליו עדים כלל דבכולהו אם לא נתנו לה בעדי מסירה הולד ממזר לדעת הרא"ש (פ"ט סי' ז)</w:t>
      </w:r>
      <w:r w:rsidRPr="00F32FCB">
        <w:rPr>
          <w:rFonts w:cs="Arial" w:hint="cs"/>
          <w:sz w:val="16"/>
          <w:szCs w:val="16"/>
          <w:rtl/>
        </w:rPr>
        <w:t>,</w:t>
      </w:r>
      <w:r w:rsidRPr="00F32FCB">
        <w:rPr>
          <w:rFonts w:cs="Arial"/>
          <w:sz w:val="16"/>
          <w:szCs w:val="16"/>
          <w:rtl/>
        </w:rPr>
        <w:t xml:space="preserve"> שאע</w:t>
      </w:r>
      <w:r w:rsidRPr="00F32FCB">
        <w:rPr>
          <w:rFonts w:cs="Arial" w:hint="cs"/>
          <w:sz w:val="16"/>
          <w:szCs w:val="16"/>
          <w:rtl/>
        </w:rPr>
        <w:t>"</w:t>
      </w:r>
      <w:r w:rsidRPr="00F32FCB">
        <w:rPr>
          <w:rFonts w:cs="Arial"/>
          <w:sz w:val="16"/>
          <w:szCs w:val="16"/>
          <w:rtl/>
        </w:rPr>
        <w:t xml:space="preserve">פ שעדים חתומים על הגט </w:t>
      </w:r>
      <w:r w:rsidR="00A82951">
        <w:rPr>
          <w:rFonts w:cs="Arial" w:hint="cs"/>
          <w:sz w:val="16"/>
          <w:szCs w:val="16"/>
          <w:rtl/>
        </w:rPr>
        <w:t>-</w:t>
      </w:r>
      <w:r w:rsidRPr="00F32FCB">
        <w:rPr>
          <w:rFonts w:cs="Arial" w:hint="cs"/>
          <w:sz w:val="16"/>
          <w:szCs w:val="16"/>
          <w:rtl/>
        </w:rPr>
        <w:t xml:space="preserve"> </w:t>
      </w:r>
      <w:r w:rsidRPr="00F32FCB">
        <w:rPr>
          <w:rFonts w:cs="Arial"/>
          <w:sz w:val="16"/>
          <w:szCs w:val="16"/>
          <w:rtl/>
        </w:rPr>
        <w:t>פסול עד שימסרנו לה בפני עדים</w:t>
      </w:r>
      <w:r w:rsidRPr="00F32FCB">
        <w:rPr>
          <w:rFonts w:cs="Arial" w:hint="cs"/>
          <w:sz w:val="16"/>
          <w:szCs w:val="16"/>
          <w:rtl/>
        </w:rPr>
        <w:t>,</w:t>
      </w:r>
      <w:r w:rsidRPr="00F32FCB">
        <w:rPr>
          <w:rFonts w:cs="Arial"/>
          <w:sz w:val="16"/>
          <w:szCs w:val="16"/>
          <w:rtl/>
        </w:rPr>
        <w:t xml:space="preserve"> וכמו שיתבאר בסימן קל"ג (לד: </w:t>
      </w:r>
      <w:r w:rsidRPr="00F32FCB">
        <w:rPr>
          <w:rFonts w:cs="Arial"/>
          <w:sz w:val="16"/>
          <w:szCs w:val="16"/>
          <w:rtl/>
        </w:rPr>
        <w:lastRenderedPageBreak/>
        <w:t>ד"ה מסרו לה)</w:t>
      </w:r>
      <w:r w:rsidRPr="00F32FCB">
        <w:rPr>
          <w:rFonts w:cs="Arial" w:hint="cs"/>
          <w:sz w:val="16"/>
          <w:szCs w:val="16"/>
          <w:rtl/>
        </w:rPr>
        <w:t>.</w:t>
      </w:r>
      <w:r w:rsidRPr="00F32FCB">
        <w:rPr>
          <w:rFonts w:cs="Arial"/>
          <w:sz w:val="16"/>
          <w:szCs w:val="16"/>
          <w:rtl/>
        </w:rPr>
        <w:t xml:space="preserve"> ואם נתנו לה בעדי מסירה לכתחלה פסול</w:t>
      </w:r>
      <w:r w:rsidRPr="00F32FCB">
        <w:rPr>
          <w:rFonts w:cs="Arial" w:hint="cs"/>
          <w:sz w:val="16"/>
          <w:szCs w:val="16"/>
          <w:rtl/>
        </w:rPr>
        <w:t>,</w:t>
      </w:r>
      <w:r w:rsidRPr="00F32FCB">
        <w:rPr>
          <w:rFonts w:cs="Arial"/>
          <w:sz w:val="16"/>
          <w:szCs w:val="16"/>
          <w:rtl/>
        </w:rPr>
        <w:t xml:space="preserve"> מפני שצריך שיהו עדים חתומים עליו מפני תיקון העולם</w:t>
      </w:r>
      <w:r w:rsidRPr="00F32FCB">
        <w:rPr>
          <w:rStyle w:val="a7"/>
          <w:rFonts w:cs="Arial"/>
          <w:sz w:val="16"/>
          <w:szCs w:val="16"/>
          <w:rtl/>
        </w:rPr>
        <w:footnoteReference w:id="1344"/>
      </w:r>
      <w:r w:rsidRPr="00F32FCB">
        <w:rPr>
          <w:rFonts w:cs="Arial" w:hint="cs"/>
          <w:sz w:val="16"/>
          <w:szCs w:val="16"/>
          <w:rtl/>
        </w:rPr>
        <w:t xml:space="preserve">... </w:t>
      </w:r>
      <w:r w:rsidRPr="00F32FCB">
        <w:rPr>
          <w:rFonts w:cs="Arial"/>
          <w:sz w:val="16"/>
          <w:szCs w:val="16"/>
          <w:rtl/>
        </w:rPr>
        <w:t>וכמו שכתבתי שמפרש רבינו כן נראה שהוא דעת הרא"ש</w:t>
      </w:r>
      <w:r w:rsidRPr="00F32FCB">
        <w:rPr>
          <w:rFonts w:cs="Arial" w:hint="cs"/>
          <w:sz w:val="16"/>
          <w:szCs w:val="16"/>
          <w:rtl/>
        </w:rPr>
        <w:t xml:space="preserve"> (בהמגרש שם)...</w:t>
      </w:r>
      <w:r w:rsidRPr="00F32FCB">
        <w:rPr>
          <w:rFonts w:cs="Arial"/>
          <w:sz w:val="16"/>
          <w:szCs w:val="16"/>
          <w:rtl/>
        </w:rPr>
        <w:t xml:space="preserve"> ולפי זה רבינו מיירי הכא בשמסרו לה בפני עדים</w:t>
      </w:r>
      <w:r w:rsidRPr="00F32FCB">
        <w:rPr>
          <w:rFonts w:cs="Arial" w:hint="cs"/>
          <w:sz w:val="16"/>
          <w:szCs w:val="16"/>
          <w:rtl/>
        </w:rPr>
        <w:t>,</w:t>
      </w:r>
      <w:r w:rsidRPr="00F32FCB">
        <w:rPr>
          <w:rFonts w:cs="Arial"/>
          <w:sz w:val="16"/>
          <w:szCs w:val="16"/>
          <w:rtl/>
        </w:rPr>
        <w:t xml:space="preserve"> ומשום הכי בכתב סופר או אין עליו עדים כלל לא תצא דעדי מסירה כרתי</w:t>
      </w:r>
      <w:r w:rsidRPr="00F32FCB">
        <w:rPr>
          <w:rFonts w:cs="Arial" w:hint="cs"/>
          <w:sz w:val="16"/>
          <w:szCs w:val="16"/>
          <w:rtl/>
        </w:rPr>
        <w:t>,</w:t>
      </w:r>
      <w:r w:rsidRPr="00F32FCB">
        <w:rPr>
          <w:rFonts w:cs="Arial"/>
          <w:sz w:val="16"/>
          <w:szCs w:val="16"/>
          <w:rtl/>
        </w:rPr>
        <w:t xml:space="preserve"> מיהו לכתחלה לא תנשא עד שיהיו עדים חתומים עליו</w:t>
      </w:r>
      <w:r w:rsidRPr="00F32FCB">
        <w:rPr>
          <w:rStyle w:val="a7"/>
          <w:rFonts w:cs="Arial"/>
          <w:sz w:val="16"/>
          <w:szCs w:val="16"/>
          <w:rtl/>
        </w:rPr>
        <w:footnoteReference w:id="1345"/>
      </w:r>
      <w:r w:rsidR="00AF3090">
        <w:rPr>
          <w:rFonts w:cs="Arial" w:hint="cs"/>
          <w:sz w:val="16"/>
          <w:szCs w:val="16"/>
          <w:rtl/>
        </w:rPr>
        <w:t>, ב"י</w:t>
      </w:r>
      <w:r>
        <w:rPr>
          <w:rFonts w:cs="Arial" w:hint="cs"/>
          <w:sz w:val="16"/>
          <w:szCs w:val="16"/>
          <w:rtl/>
        </w:rPr>
        <w:t>)</w:t>
      </w:r>
    </w:p>
    <w:p w14:paraId="34ABEE28" w14:textId="436F43E6" w:rsidR="00FA2119" w:rsidRDefault="00FA2119" w:rsidP="00FA2119">
      <w:pPr>
        <w:rPr>
          <w:rFonts w:cs="Arial"/>
          <w:rtl/>
        </w:rPr>
      </w:pPr>
      <w:r w:rsidRPr="00B613D7">
        <w:rPr>
          <w:rFonts w:hint="cs"/>
          <w:b/>
          <w:bCs/>
          <w:rtl/>
        </w:rPr>
        <w:t xml:space="preserve">גיטין </w:t>
      </w:r>
      <w:r w:rsidRPr="00B613D7">
        <w:rPr>
          <w:rFonts w:hint="cs"/>
          <w:b/>
          <w:bCs/>
          <w:sz w:val="16"/>
          <w:szCs w:val="16"/>
          <w:rtl/>
        </w:rPr>
        <w:t xml:space="preserve">(פ' המגרש) </w:t>
      </w:r>
      <w:r w:rsidRPr="00B613D7">
        <w:rPr>
          <w:rFonts w:hint="cs"/>
          <w:b/>
          <w:bCs/>
          <w:rtl/>
        </w:rPr>
        <w:t>פו ע"</w:t>
      </w:r>
      <w:r>
        <w:rPr>
          <w:rFonts w:hint="cs"/>
          <w:b/>
          <w:bCs/>
          <w:rtl/>
        </w:rPr>
        <w:t>ב</w:t>
      </w:r>
      <w:r w:rsidRPr="00B613D7">
        <w:rPr>
          <w:rFonts w:hint="cs"/>
          <w:b/>
          <w:bCs/>
          <w:rtl/>
        </w:rPr>
        <w:t>:</w:t>
      </w:r>
      <w:r>
        <w:rPr>
          <w:rFonts w:cs="Arial" w:hint="cs"/>
          <w:rtl/>
        </w:rPr>
        <w:t xml:space="preserve"> </w:t>
      </w:r>
      <w:r w:rsidRPr="00C315E3">
        <w:rPr>
          <w:rFonts w:cs="Arial"/>
          <w:u w:val="single"/>
          <w:rtl/>
        </w:rPr>
        <w:t>זימנין אמר רב</w:t>
      </w:r>
      <w:r>
        <w:rPr>
          <w:rStyle w:val="a7"/>
          <w:rFonts w:cs="Arial"/>
          <w:u w:val="single"/>
          <w:rtl/>
        </w:rPr>
        <w:footnoteReference w:id="1346"/>
      </w:r>
      <w:r w:rsidRPr="00C315E3">
        <w:rPr>
          <w:rFonts w:cs="Arial"/>
          <w:rtl/>
        </w:rPr>
        <w:t>: תצא</w:t>
      </w:r>
      <w:r>
        <w:rPr>
          <w:rFonts w:cs="Arial" w:hint="cs"/>
          <w:rtl/>
        </w:rPr>
        <w:t>.</w:t>
      </w:r>
      <w:r w:rsidRPr="00C315E3">
        <w:rPr>
          <w:rFonts w:cs="Arial"/>
          <w:rtl/>
        </w:rPr>
        <w:t xml:space="preserve"> </w:t>
      </w:r>
      <w:r w:rsidRPr="00C315E3">
        <w:rPr>
          <w:rFonts w:cs="Arial"/>
          <w:u w:val="single"/>
          <w:rtl/>
        </w:rPr>
        <w:t>זימנין אמר רב</w:t>
      </w:r>
      <w:r w:rsidRPr="00C315E3">
        <w:rPr>
          <w:rFonts w:cs="Arial"/>
          <w:rtl/>
        </w:rPr>
        <w:t>: לא תצא</w:t>
      </w:r>
      <w:r>
        <w:rPr>
          <w:rFonts w:cs="Arial" w:hint="cs"/>
          <w:rtl/>
        </w:rPr>
        <w:t>.</w:t>
      </w:r>
      <w:r w:rsidRPr="00C315E3">
        <w:rPr>
          <w:rFonts w:cs="Arial"/>
          <w:rtl/>
        </w:rPr>
        <w:t xml:space="preserve"> הא כיצד? יש לה בנים </w:t>
      </w:r>
      <w:r w:rsidR="00A82951">
        <w:rPr>
          <w:rFonts w:cs="Arial"/>
          <w:rtl/>
        </w:rPr>
        <w:t>-</w:t>
      </w:r>
      <w:r w:rsidRPr="00C315E3">
        <w:rPr>
          <w:rFonts w:cs="Arial"/>
          <w:rtl/>
        </w:rPr>
        <w:t xml:space="preserve"> לא תצא, אין לה בנים </w:t>
      </w:r>
      <w:r w:rsidR="00A82951">
        <w:rPr>
          <w:rFonts w:cs="Arial"/>
          <w:rtl/>
        </w:rPr>
        <w:t>-</w:t>
      </w:r>
      <w:r w:rsidRPr="00C315E3">
        <w:rPr>
          <w:rFonts w:cs="Arial"/>
          <w:rtl/>
        </w:rPr>
        <w:t xml:space="preserve"> תצא.</w:t>
      </w:r>
      <w:r>
        <w:rPr>
          <w:rFonts w:hint="cs"/>
          <w:rtl/>
        </w:rPr>
        <w:t>..</w:t>
      </w:r>
      <w:r w:rsidRPr="00C315E3">
        <w:rPr>
          <w:rtl/>
        </w:rPr>
        <w:t xml:space="preserve"> </w:t>
      </w:r>
      <w:r w:rsidRPr="00C315E3">
        <w:rPr>
          <w:rFonts w:cs="Arial"/>
          <w:u w:val="single"/>
          <w:rtl/>
        </w:rPr>
        <w:t>לוי אמר</w:t>
      </w:r>
      <w:r w:rsidRPr="00C315E3">
        <w:rPr>
          <w:rFonts w:cs="Arial"/>
          <w:rtl/>
        </w:rPr>
        <w:t xml:space="preserve">: לעולם לא תצא. </w:t>
      </w:r>
      <w:r w:rsidRPr="00C315E3">
        <w:rPr>
          <w:rFonts w:cs="Arial"/>
          <w:u w:val="single"/>
          <w:rtl/>
        </w:rPr>
        <w:t>וכן אמר ר' יוחנן</w:t>
      </w:r>
      <w:r w:rsidRPr="00C315E3">
        <w:rPr>
          <w:rFonts w:cs="Arial"/>
          <w:rtl/>
        </w:rPr>
        <w:t>: לעולם לא תצא. וכן אמר להו ר' יוחנן לבני ר' חלפתא דמן הונא, הכי אמר אבוכון: לעולם לא תצא</w:t>
      </w:r>
      <w:r>
        <w:rPr>
          <w:rFonts w:hint="cs"/>
          <w:rtl/>
        </w:rPr>
        <w:t>.</w:t>
      </w:r>
      <w:r>
        <w:rPr>
          <w:rFonts w:cs="Arial" w:hint="cs"/>
          <w:rtl/>
        </w:rPr>
        <w:t xml:space="preserve"> </w:t>
      </w:r>
      <w:r w:rsidRPr="00314B40">
        <w:rPr>
          <w:rFonts w:cs="Arial" w:hint="cs"/>
          <w:sz w:val="16"/>
          <w:szCs w:val="16"/>
          <w:rtl/>
        </w:rPr>
        <w:t>(</w:t>
      </w:r>
      <w:r w:rsidRPr="00314B40">
        <w:rPr>
          <w:rFonts w:cs="Arial"/>
          <w:sz w:val="16"/>
          <w:szCs w:val="16"/>
          <w:rtl/>
        </w:rPr>
        <w:t>וידוע (ביצה ד:) דרב ורבי יוחנן הלכה כרבי יוחנן</w:t>
      </w:r>
      <w:r w:rsidRPr="00314B40">
        <w:rPr>
          <w:rFonts w:cs="Arial" w:hint="cs"/>
          <w:sz w:val="16"/>
          <w:szCs w:val="16"/>
          <w:rtl/>
        </w:rPr>
        <w:t>,</w:t>
      </w:r>
      <w:r w:rsidRPr="00314B40">
        <w:rPr>
          <w:rFonts w:cs="Arial"/>
          <w:sz w:val="16"/>
          <w:szCs w:val="16"/>
          <w:rtl/>
        </w:rPr>
        <w:t xml:space="preserve"> וכל שכן הכא דלוי מסייע ליה</w:t>
      </w:r>
      <w:r w:rsidRPr="00314B40">
        <w:rPr>
          <w:rFonts w:cs="Arial" w:hint="cs"/>
          <w:sz w:val="16"/>
          <w:szCs w:val="16"/>
          <w:rtl/>
        </w:rPr>
        <w:t>,</w:t>
      </w:r>
      <w:r w:rsidRPr="00314B40">
        <w:rPr>
          <w:rFonts w:cs="Arial"/>
          <w:sz w:val="16"/>
          <w:szCs w:val="16"/>
          <w:rtl/>
        </w:rPr>
        <w:t xml:space="preserve"> וכן פסקו הרי"ף (מו:) והרא"ש (סי' ו)</w:t>
      </w:r>
      <w:r>
        <w:rPr>
          <w:rFonts w:cs="Arial" w:hint="cs"/>
          <w:sz w:val="16"/>
          <w:szCs w:val="16"/>
          <w:rtl/>
        </w:rPr>
        <w:t>, ב"י)</w:t>
      </w:r>
      <w:r w:rsidRPr="00E55D0E">
        <w:rPr>
          <w:rFonts w:cs="Arial"/>
          <w:rtl/>
        </w:rPr>
        <w:t xml:space="preserve"> </w:t>
      </w:r>
    </w:p>
    <w:p w14:paraId="42DC3A11" w14:textId="77777777" w:rsidR="00FA2119" w:rsidRPr="00B613D7" w:rsidRDefault="00FA2119" w:rsidP="00FA2119">
      <w:pPr>
        <w:rPr>
          <w:u w:val="single"/>
          <w:rtl/>
        </w:rPr>
      </w:pPr>
      <w:r w:rsidRPr="00B613D7">
        <w:rPr>
          <w:rFonts w:hint="cs"/>
          <w:u w:val="single"/>
          <w:rtl/>
        </w:rPr>
        <w:t>גט שאין עליו עדים</w:t>
      </w:r>
      <w:r>
        <w:rPr>
          <w:rFonts w:hint="cs"/>
          <w:u w:val="single"/>
          <w:rtl/>
        </w:rPr>
        <w:t>, או שיש עליו רק עד אחד</w:t>
      </w:r>
      <w:r w:rsidRPr="00B613D7">
        <w:rPr>
          <w:rFonts w:hint="cs"/>
          <w:u w:val="single"/>
          <w:rtl/>
        </w:rPr>
        <w:t>:</w:t>
      </w:r>
    </w:p>
    <w:p w14:paraId="15AC673C" w14:textId="0A697815" w:rsidR="00FA2119" w:rsidRPr="00314B40" w:rsidRDefault="00FA2119" w:rsidP="00FA2119">
      <w:pPr>
        <w:pStyle w:val="ab"/>
        <w:numPr>
          <w:ilvl w:val="0"/>
          <w:numId w:val="80"/>
        </w:numPr>
        <w:rPr>
          <w:rFonts w:cs="Arial"/>
        </w:rPr>
      </w:pPr>
      <w:r>
        <w:rPr>
          <w:rFonts w:cs="Arial" w:hint="cs"/>
          <w:rtl/>
        </w:rPr>
        <w:t xml:space="preserve">רמב"ם </w:t>
      </w:r>
      <w:r>
        <w:rPr>
          <w:rFonts w:cs="Arial" w:hint="cs"/>
          <w:sz w:val="16"/>
          <w:szCs w:val="16"/>
          <w:rtl/>
        </w:rPr>
        <w:t>(פ"א הי"ג</w:t>
      </w:r>
      <w:r w:rsidR="00A82951">
        <w:rPr>
          <w:rFonts w:cs="Arial" w:hint="cs"/>
          <w:sz w:val="16"/>
          <w:szCs w:val="16"/>
          <w:rtl/>
        </w:rPr>
        <w:t>-</w:t>
      </w:r>
      <w:r>
        <w:rPr>
          <w:rFonts w:cs="Arial" w:hint="cs"/>
          <w:sz w:val="16"/>
          <w:szCs w:val="16"/>
          <w:rtl/>
        </w:rPr>
        <w:t>יד)</w:t>
      </w:r>
      <w:r w:rsidR="00A82951">
        <w:rPr>
          <w:rFonts w:cs="Arial" w:hint="cs"/>
          <w:rtl/>
        </w:rPr>
        <w:t>-</w:t>
      </w:r>
      <w:r>
        <w:rPr>
          <w:rFonts w:cs="Arial" w:hint="cs"/>
          <w:rtl/>
        </w:rPr>
        <w:t xml:space="preserve"> </w:t>
      </w:r>
      <w:r w:rsidRPr="00314B40">
        <w:rPr>
          <w:rFonts w:cs="Arial"/>
          <w:rtl/>
        </w:rPr>
        <w:t xml:space="preserve">אם נתן לה גט בינו לבינה ואפילו בעד אחד </w:t>
      </w:r>
      <w:r w:rsidR="00A82951">
        <w:rPr>
          <w:rFonts w:cs="Arial" w:hint="cs"/>
          <w:rtl/>
        </w:rPr>
        <w:t>-</w:t>
      </w:r>
      <w:r>
        <w:rPr>
          <w:rFonts w:cs="Arial" w:hint="cs"/>
          <w:rtl/>
        </w:rPr>
        <w:t xml:space="preserve"> </w:t>
      </w:r>
      <w:r w:rsidRPr="00314B40">
        <w:rPr>
          <w:rFonts w:cs="Arial"/>
          <w:rtl/>
        </w:rPr>
        <w:t xml:space="preserve">אינו גט כלל. במה דברים אמורים בשהיה הגט בכתב ידי סופר, אבל אם כתב הבעל הגט בכתב ידו וחתם עליו עד אחד ונתנו לה </w:t>
      </w:r>
      <w:r w:rsidR="00A82951">
        <w:rPr>
          <w:rFonts w:cs="Arial" w:hint="cs"/>
          <w:rtl/>
        </w:rPr>
        <w:t>-</w:t>
      </w:r>
      <w:r>
        <w:rPr>
          <w:rFonts w:cs="Arial" w:hint="cs"/>
          <w:rtl/>
        </w:rPr>
        <w:t xml:space="preserve"> </w:t>
      </w:r>
      <w:r w:rsidRPr="00314B40">
        <w:rPr>
          <w:rFonts w:cs="Arial"/>
          <w:rtl/>
        </w:rPr>
        <w:t xml:space="preserve">הרי זה גט פסול ופוסל לכהונה. </w:t>
      </w:r>
      <w:r w:rsidRPr="00061C88">
        <w:rPr>
          <w:rFonts w:cs="Arial" w:hint="cs"/>
          <w:color w:val="E36C0A" w:themeColor="accent6" w:themeShade="BF"/>
          <w:rtl/>
        </w:rPr>
        <w:t>(וכ"פ בשו"ע)</w:t>
      </w:r>
    </w:p>
    <w:p w14:paraId="12012019" w14:textId="4FE6D1FD" w:rsidR="00FA2119" w:rsidRPr="00E36D74" w:rsidRDefault="00FA2119" w:rsidP="00FA2119">
      <w:pPr>
        <w:pStyle w:val="ab"/>
        <w:numPr>
          <w:ilvl w:val="0"/>
          <w:numId w:val="80"/>
        </w:numPr>
      </w:pPr>
      <w:r>
        <w:rPr>
          <w:rFonts w:cs="Arial" w:hint="cs"/>
          <w:rtl/>
        </w:rPr>
        <w:t>טור</w:t>
      </w:r>
      <w:r w:rsidR="00A82951">
        <w:rPr>
          <w:rFonts w:cs="Arial" w:hint="cs"/>
          <w:rtl/>
        </w:rPr>
        <w:t>-</w:t>
      </w:r>
      <w:r>
        <w:rPr>
          <w:rFonts w:cs="Arial" w:hint="cs"/>
          <w:rtl/>
        </w:rPr>
        <w:t xml:space="preserve"> </w:t>
      </w:r>
      <w:r>
        <w:rPr>
          <w:rFonts w:cs="Arial"/>
          <w:rtl/>
        </w:rPr>
        <w:t>גט שאין עליו עדים אפי' ניכר שהוא כתב יד הבעל</w:t>
      </w:r>
      <w:r>
        <w:rPr>
          <w:rFonts w:cs="Arial" w:hint="cs"/>
          <w:rtl/>
        </w:rPr>
        <w:t>,</w:t>
      </w:r>
      <w:r>
        <w:rPr>
          <w:rFonts w:cs="Arial"/>
          <w:rtl/>
        </w:rPr>
        <w:t xml:space="preserve"> או שאין עליו אלא עד אחד אפי' ניכר כתיבת הגט שהיא כתיבת יד סופר ב"ד או אפילו שהיא כתיבת יד הבעל</w:t>
      </w:r>
      <w:r>
        <w:rPr>
          <w:rFonts w:cs="Arial" w:hint="cs"/>
          <w:rtl/>
        </w:rPr>
        <w:t xml:space="preserve"> </w:t>
      </w:r>
      <w:r w:rsidR="00A82951">
        <w:rPr>
          <w:rFonts w:cs="Arial" w:hint="cs"/>
          <w:rtl/>
        </w:rPr>
        <w:t>-</w:t>
      </w:r>
      <w:r>
        <w:rPr>
          <w:rFonts w:cs="Arial"/>
          <w:rtl/>
        </w:rPr>
        <w:t xml:space="preserve"> פסול</w:t>
      </w:r>
      <w:r>
        <w:rPr>
          <w:rStyle w:val="a7"/>
          <w:rFonts w:cs="Arial"/>
          <w:rtl/>
        </w:rPr>
        <w:footnoteReference w:id="1347"/>
      </w:r>
      <w:r>
        <w:rPr>
          <w:rFonts w:cs="Arial" w:hint="cs"/>
          <w:rtl/>
        </w:rPr>
        <w:t>.</w:t>
      </w:r>
      <w:r>
        <w:rPr>
          <w:rFonts w:cs="Arial"/>
          <w:rtl/>
        </w:rPr>
        <w:t xml:space="preserve"> ומיהו אם ניסת בו </w:t>
      </w:r>
      <w:r w:rsidR="00A82951">
        <w:rPr>
          <w:rFonts w:cs="Arial" w:hint="cs"/>
          <w:rtl/>
        </w:rPr>
        <w:t>-</w:t>
      </w:r>
      <w:r>
        <w:rPr>
          <w:rFonts w:cs="Arial" w:hint="cs"/>
          <w:rtl/>
        </w:rPr>
        <w:t xml:space="preserve"> </w:t>
      </w:r>
      <w:r>
        <w:rPr>
          <w:rFonts w:cs="Arial"/>
          <w:rtl/>
        </w:rPr>
        <w:t>לא תצא אפילו אין לה בנים</w:t>
      </w:r>
      <w:r>
        <w:rPr>
          <w:rFonts w:cs="Arial" w:hint="cs"/>
          <w:rtl/>
        </w:rPr>
        <w:t>.</w:t>
      </w:r>
    </w:p>
    <w:p w14:paraId="50391481" w14:textId="751BABB3" w:rsidR="00FA2119" w:rsidRPr="00E36D74" w:rsidRDefault="00FA2119" w:rsidP="00FA2119">
      <w:pPr>
        <w:ind w:left="360"/>
      </w:pPr>
      <w:r w:rsidRPr="00E36D74">
        <w:rPr>
          <w:rFonts w:cs="Arial" w:hint="cs"/>
          <w:u w:val="dotted"/>
          <w:rtl/>
        </w:rPr>
        <w:t xml:space="preserve">ומה הדין אם הסופר כתב בשליחות הבעל </w:t>
      </w:r>
      <w:r w:rsidR="00A82951">
        <w:rPr>
          <w:rFonts w:cs="Arial"/>
          <w:u w:val="dotted"/>
          <w:rtl/>
        </w:rPr>
        <w:t>-</w:t>
      </w:r>
      <w:r w:rsidRPr="00E36D74">
        <w:rPr>
          <w:rFonts w:cs="Arial" w:hint="cs"/>
          <w:u w:val="dotted"/>
          <w:rtl/>
        </w:rPr>
        <w:t xml:space="preserve"> האם חשיב ככתב ידו:</w:t>
      </w:r>
      <w:r>
        <w:rPr>
          <w:rFonts w:cs="Arial" w:hint="cs"/>
          <w:rtl/>
        </w:rPr>
        <w:t xml:space="preserve"> </w:t>
      </w:r>
      <w:r w:rsidRPr="00E36D74">
        <w:rPr>
          <w:rFonts w:cs="Arial"/>
          <w:sz w:val="16"/>
          <w:szCs w:val="16"/>
          <w:rtl/>
        </w:rPr>
        <w:t>(</w:t>
      </w:r>
      <w:r w:rsidRPr="00E36D74">
        <w:rPr>
          <w:rFonts w:cs="Arial" w:hint="cs"/>
          <w:sz w:val="16"/>
          <w:szCs w:val="16"/>
          <w:rtl/>
        </w:rPr>
        <w:t xml:space="preserve">דרכ"מ אות </w:t>
      </w:r>
      <w:r w:rsidRPr="00E36D74">
        <w:rPr>
          <w:rFonts w:cs="Arial"/>
          <w:sz w:val="16"/>
          <w:szCs w:val="16"/>
          <w:rtl/>
        </w:rPr>
        <w:t xml:space="preserve">טז) </w:t>
      </w:r>
    </w:p>
    <w:p w14:paraId="38D48642" w14:textId="6E410C87" w:rsidR="00FA2119" w:rsidRPr="00E36D74" w:rsidRDefault="00FA2119" w:rsidP="00FA2119">
      <w:pPr>
        <w:pStyle w:val="ab"/>
        <w:numPr>
          <w:ilvl w:val="0"/>
          <w:numId w:val="80"/>
        </w:numPr>
        <w:rPr>
          <w:rtl/>
        </w:rPr>
      </w:pPr>
      <w:r w:rsidRPr="00E36D74">
        <w:rPr>
          <w:rFonts w:cs="Arial" w:hint="cs"/>
          <w:rtl/>
        </w:rPr>
        <w:t xml:space="preserve">הגמ"ר </w:t>
      </w:r>
      <w:r w:rsidRPr="00E36D74">
        <w:rPr>
          <w:rFonts w:cs="Arial"/>
          <w:sz w:val="16"/>
          <w:szCs w:val="16"/>
          <w:rtl/>
        </w:rPr>
        <w:t>(סי' תסט)</w:t>
      </w:r>
      <w:r w:rsidR="00A82951">
        <w:rPr>
          <w:rFonts w:cs="Arial" w:hint="cs"/>
          <w:rtl/>
        </w:rPr>
        <w:t>-</w:t>
      </w:r>
      <w:r w:rsidRPr="00E36D74">
        <w:rPr>
          <w:rFonts w:cs="Arial"/>
          <w:rtl/>
        </w:rPr>
        <w:t xml:space="preserve"> אם נתברר דהסופר בשליחות דבעל עביד </w:t>
      </w:r>
      <w:r w:rsidR="00A82951">
        <w:rPr>
          <w:rFonts w:cs="Arial" w:hint="cs"/>
          <w:rtl/>
        </w:rPr>
        <w:t>-</w:t>
      </w:r>
      <w:r w:rsidRPr="00E36D74">
        <w:rPr>
          <w:rFonts w:cs="Arial" w:hint="cs"/>
          <w:rtl/>
        </w:rPr>
        <w:t xml:space="preserve"> </w:t>
      </w:r>
      <w:r w:rsidRPr="00E36D74">
        <w:rPr>
          <w:rFonts w:cs="Arial"/>
          <w:rtl/>
        </w:rPr>
        <w:t xml:space="preserve">הוי ככתיבת יד הבעל דאם נשאת לא תצא אפילו בלא עדי מסירה. </w:t>
      </w:r>
    </w:p>
    <w:p w14:paraId="4C2F734F"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36775AA" w14:textId="77777777" w:rsidR="00FA2119" w:rsidRDefault="00FA2119" w:rsidP="00FA2119">
      <w:pPr>
        <w:rPr>
          <w:rtl/>
        </w:rPr>
      </w:pPr>
      <w:r>
        <w:rPr>
          <w:rFonts w:cs="Arial" w:hint="cs"/>
          <w:rtl/>
        </w:rPr>
        <w:t>נתן</w:t>
      </w:r>
      <w:r>
        <w:rPr>
          <w:rFonts w:cs="Arial"/>
          <w:rtl/>
        </w:rPr>
        <w:t xml:space="preserve"> </w:t>
      </w:r>
      <w:r>
        <w:rPr>
          <w:rFonts w:cs="Arial" w:hint="cs"/>
          <w:rtl/>
        </w:rPr>
        <w:t>לה</w:t>
      </w:r>
      <w:r>
        <w:rPr>
          <w:rFonts w:cs="Arial"/>
          <w:rtl/>
        </w:rPr>
        <w:t xml:space="preserve"> </w:t>
      </w:r>
      <w:r>
        <w:rPr>
          <w:rFonts w:cs="Arial" w:hint="cs"/>
          <w:rtl/>
        </w:rPr>
        <w:t>הגט</w:t>
      </w:r>
      <w:r>
        <w:rPr>
          <w:rFonts w:cs="Arial"/>
          <w:rtl/>
        </w:rPr>
        <w:t xml:space="preserve"> </w:t>
      </w:r>
      <w:r>
        <w:rPr>
          <w:rFonts w:cs="Arial" w:hint="cs"/>
          <w:rtl/>
        </w:rPr>
        <w:t>בינו</w:t>
      </w:r>
      <w:r>
        <w:rPr>
          <w:rFonts w:cs="Arial"/>
          <w:rtl/>
        </w:rPr>
        <w:t xml:space="preserve"> </w:t>
      </w:r>
      <w:r>
        <w:rPr>
          <w:rFonts w:cs="Arial" w:hint="cs"/>
          <w:rtl/>
        </w:rPr>
        <w:t>לבינה</w:t>
      </w:r>
      <w:r>
        <w:rPr>
          <w:rFonts w:cs="Arial"/>
          <w:rtl/>
        </w:rPr>
        <w:t xml:space="preserve">, </w:t>
      </w:r>
      <w:r>
        <w:rPr>
          <w:rFonts w:cs="Arial" w:hint="cs"/>
          <w:rtl/>
        </w:rPr>
        <w:t>ואפילו</w:t>
      </w:r>
      <w:r>
        <w:rPr>
          <w:rFonts w:cs="Arial"/>
          <w:rtl/>
        </w:rPr>
        <w:t xml:space="preserve"> </w:t>
      </w:r>
      <w:r>
        <w:rPr>
          <w:rFonts w:cs="Arial" w:hint="cs"/>
          <w:rtl/>
        </w:rPr>
        <w:t>בעד</w:t>
      </w:r>
      <w:r>
        <w:rPr>
          <w:rFonts w:cs="Arial"/>
          <w:rtl/>
        </w:rPr>
        <w:t xml:space="preserve"> </w:t>
      </w:r>
      <w:r>
        <w:rPr>
          <w:rFonts w:cs="Arial" w:hint="cs"/>
          <w:rtl/>
        </w:rPr>
        <w:t>אחד</w:t>
      </w:r>
      <w:r>
        <w:rPr>
          <w:rFonts w:cs="Arial"/>
          <w:rtl/>
        </w:rPr>
        <w:t xml:space="preserve">, </w:t>
      </w:r>
      <w:r>
        <w:rPr>
          <w:rFonts w:cs="Arial" w:hint="cs"/>
          <w:rtl/>
        </w:rPr>
        <w:t>אינו</w:t>
      </w:r>
      <w:r>
        <w:rPr>
          <w:rFonts w:cs="Arial"/>
          <w:rtl/>
        </w:rPr>
        <w:t xml:space="preserve"> </w:t>
      </w:r>
      <w:r>
        <w:rPr>
          <w:rFonts w:cs="Arial" w:hint="cs"/>
          <w:rtl/>
        </w:rPr>
        <w:t>גט</w:t>
      </w:r>
      <w:r>
        <w:rPr>
          <w:rFonts w:cs="Arial"/>
          <w:rtl/>
        </w:rPr>
        <w:t xml:space="preserve">. </w:t>
      </w:r>
      <w:r>
        <w:rPr>
          <w:rFonts w:cs="Arial" w:hint="cs"/>
          <w:rtl/>
        </w:rPr>
        <w:t>במה דברים אמורים</w:t>
      </w:r>
      <w:r>
        <w:rPr>
          <w:rFonts w:cs="Arial"/>
          <w:rtl/>
        </w:rPr>
        <w:t xml:space="preserve">, </w:t>
      </w:r>
      <w:r>
        <w:rPr>
          <w:rFonts w:cs="Arial" w:hint="cs"/>
          <w:rtl/>
        </w:rPr>
        <w:t>כשהיה</w:t>
      </w:r>
      <w:r>
        <w:rPr>
          <w:rFonts w:cs="Arial"/>
          <w:rtl/>
        </w:rPr>
        <w:t xml:space="preserve"> </w:t>
      </w:r>
      <w:r>
        <w:rPr>
          <w:rFonts w:cs="Arial" w:hint="cs"/>
          <w:rtl/>
        </w:rPr>
        <w:t>הגט</w:t>
      </w:r>
      <w:r>
        <w:rPr>
          <w:rFonts w:cs="Arial"/>
          <w:rtl/>
        </w:rPr>
        <w:t xml:space="preserve"> </w:t>
      </w:r>
      <w:r>
        <w:rPr>
          <w:rFonts w:cs="Arial" w:hint="cs"/>
          <w:rtl/>
        </w:rPr>
        <w:t>בכתב</w:t>
      </w:r>
      <w:r>
        <w:rPr>
          <w:rFonts w:cs="Arial"/>
          <w:rtl/>
        </w:rPr>
        <w:t xml:space="preserve"> </w:t>
      </w:r>
      <w:r>
        <w:rPr>
          <w:rFonts w:cs="Arial" w:hint="cs"/>
          <w:rtl/>
        </w:rPr>
        <w:t>יד</w:t>
      </w:r>
      <w:r>
        <w:rPr>
          <w:rFonts w:cs="Arial"/>
          <w:rtl/>
        </w:rPr>
        <w:t xml:space="preserve"> </w:t>
      </w:r>
      <w:r>
        <w:rPr>
          <w:rFonts w:cs="Arial" w:hint="cs"/>
          <w:rtl/>
        </w:rPr>
        <w:t>סופר</w:t>
      </w:r>
      <w:r>
        <w:rPr>
          <w:rFonts w:cs="Arial"/>
          <w:rtl/>
        </w:rPr>
        <w:t xml:space="preserve">, </w:t>
      </w:r>
      <w:r>
        <w:rPr>
          <w:rFonts w:cs="Arial" w:hint="cs"/>
          <w:rtl/>
        </w:rPr>
        <w:t>אבל</w:t>
      </w:r>
      <w:r>
        <w:rPr>
          <w:rFonts w:cs="Arial"/>
          <w:rtl/>
        </w:rPr>
        <w:t xml:space="preserve"> </w:t>
      </w:r>
      <w:r>
        <w:rPr>
          <w:rFonts w:cs="Arial" w:hint="cs"/>
          <w:rtl/>
        </w:rPr>
        <w:t>אם</w:t>
      </w:r>
      <w:r>
        <w:rPr>
          <w:rFonts w:cs="Arial"/>
          <w:rtl/>
        </w:rPr>
        <w:t xml:space="preserve"> </w:t>
      </w:r>
      <w:r>
        <w:rPr>
          <w:rFonts w:cs="Arial" w:hint="cs"/>
          <w:rtl/>
        </w:rPr>
        <w:t>כתב</w:t>
      </w:r>
      <w:r>
        <w:rPr>
          <w:rFonts w:cs="Arial"/>
          <w:rtl/>
        </w:rPr>
        <w:t xml:space="preserve"> </w:t>
      </w:r>
      <w:r>
        <w:rPr>
          <w:rFonts w:cs="Arial" w:hint="cs"/>
          <w:rtl/>
        </w:rPr>
        <w:t>הבעל</w:t>
      </w:r>
      <w:r>
        <w:rPr>
          <w:rFonts w:cs="Arial"/>
          <w:rtl/>
        </w:rPr>
        <w:t xml:space="preserve"> </w:t>
      </w:r>
      <w:r>
        <w:rPr>
          <w:rFonts w:cs="Arial" w:hint="cs"/>
          <w:rtl/>
        </w:rPr>
        <w:t>הגט</w:t>
      </w:r>
      <w:r>
        <w:rPr>
          <w:rFonts w:cs="Arial"/>
          <w:rtl/>
        </w:rPr>
        <w:t xml:space="preserve"> </w:t>
      </w:r>
      <w:r>
        <w:rPr>
          <w:rFonts w:cs="Arial" w:hint="cs"/>
          <w:rtl/>
        </w:rPr>
        <w:t>בכתב</w:t>
      </w:r>
      <w:r>
        <w:rPr>
          <w:rFonts w:cs="Arial"/>
          <w:rtl/>
        </w:rPr>
        <w:t xml:space="preserve"> </w:t>
      </w:r>
      <w:r>
        <w:rPr>
          <w:rFonts w:cs="Arial" w:hint="cs"/>
          <w:rtl/>
        </w:rPr>
        <w:t>ידו</w:t>
      </w:r>
      <w:r>
        <w:rPr>
          <w:rFonts w:cs="Arial"/>
          <w:rtl/>
        </w:rPr>
        <w:t xml:space="preserve"> </w:t>
      </w:r>
      <w:r>
        <w:rPr>
          <w:rFonts w:cs="Arial" w:hint="cs"/>
          <w:rtl/>
        </w:rPr>
        <w:t>וחתם</w:t>
      </w:r>
      <w:r>
        <w:rPr>
          <w:rFonts w:cs="Arial"/>
          <w:rtl/>
        </w:rPr>
        <w:t xml:space="preserve"> </w:t>
      </w:r>
      <w:r>
        <w:rPr>
          <w:rFonts w:cs="Arial" w:hint="cs"/>
          <w:rtl/>
        </w:rPr>
        <w:t>עד</w:t>
      </w:r>
      <w:r>
        <w:rPr>
          <w:rFonts w:cs="Arial"/>
          <w:rtl/>
        </w:rPr>
        <w:t xml:space="preserve"> </w:t>
      </w:r>
      <w:r>
        <w:rPr>
          <w:rFonts w:cs="Arial" w:hint="cs"/>
          <w:rtl/>
        </w:rPr>
        <w:t>אחד</w:t>
      </w:r>
      <w:r>
        <w:rPr>
          <w:rFonts w:cs="Arial"/>
          <w:rtl/>
        </w:rPr>
        <w:t xml:space="preserve"> </w:t>
      </w:r>
      <w:r>
        <w:rPr>
          <w:rFonts w:cs="Arial" w:hint="cs"/>
          <w:rtl/>
        </w:rPr>
        <w:t>ונתנו</w:t>
      </w:r>
      <w:r>
        <w:rPr>
          <w:rFonts w:cs="Arial"/>
          <w:rtl/>
        </w:rPr>
        <w:t xml:space="preserve"> </w:t>
      </w:r>
      <w:r>
        <w:rPr>
          <w:rFonts w:cs="Arial" w:hint="cs"/>
          <w:rtl/>
        </w:rPr>
        <w:t>לה</w:t>
      </w:r>
      <w:r>
        <w:rPr>
          <w:rFonts w:cs="Arial"/>
          <w:rtl/>
        </w:rPr>
        <w:t xml:space="preserve">, </w:t>
      </w:r>
      <w:r>
        <w:rPr>
          <w:rFonts w:cs="Arial" w:hint="cs"/>
          <w:rtl/>
        </w:rPr>
        <w:t>הרי</w:t>
      </w:r>
      <w:r>
        <w:rPr>
          <w:rFonts w:cs="Arial"/>
          <w:rtl/>
        </w:rPr>
        <w:t xml:space="preserve"> </w:t>
      </w:r>
      <w:r>
        <w:rPr>
          <w:rFonts w:cs="Arial" w:hint="cs"/>
          <w:rtl/>
        </w:rPr>
        <w:t>זה</w:t>
      </w:r>
      <w:r>
        <w:rPr>
          <w:rFonts w:cs="Arial"/>
          <w:rtl/>
        </w:rPr>
        <w:t xml:space="preserve"> </w:t>
      </w:r>
      <w:r>
        <w:rPr>
          <w:rFonts w:cs="Arial" w:hint="cs"/>
          <w:rtl/>
        </w:rPr>
        <w:t>גט</w:t>
      </w:r>
      <w:r>
        <w:rPr>
          <w:rFonts w:cs="Arial"/>
          <w:rtl/>
        </w:rPr>
        <w:t xml:space="preserve"> </w:t>
      </w:r>
      <w:r>
        <w:rPr>
          <w:rFonts w:cs="Arial" w:hint="cs"/>
          <w:rtl/>
        </w:rPr>
        <w:t>פסול</w:t>
      </w:r>
      <w:r>
        <w:rPr>
          <w:rFonts w:cs="Arial"/>
          <w:rtl/>
        </w:rPr>
        <w:t xml:space="preserve">, </w:t>
      </w:r>
      <w:r>
        <w:rPr>
          <w:rFonts w:cs="Arial" w:hint="cs"/>
          <w:rtl/>
        </w:rPr>
        <w:t>ופסול</w:t>
      </w:r>
      <w:r>
        <w:rPr>
          <w:rFonts w:cs="Arial"/>
          <w:rtl/>
        </w:rPr>
        <w:t xml:space="preserve"> </w:t>
      </w:r>
      <w:r>
        <w:rPr>
          <w:rFonts w:cs="Arial" w:hint="cs"/>
          <w:rtl/>
        </w:rPr>
        <w:t>לכהונה</w:t>
      </w:r>
      <w:r>
        <w:rPr>
          <w:rFonts w:cs="Arial"/>
          <w:rtl/>
        </w:rPr>
        <w:t xml:space="preserve">. </w:t>
      </w:r>
    </w:p>
    <w:p w14:paraId="4319DE0A" w14:textId="77777777" w:rsidR="00FA2119" w:rsidRDefault="00FA2119" w:rsidP="00FA2119">
      <w:pPr>
        <w:rPr>
          <w:rtl/>
        </w:rPr>
      </w:pPr>
    </w:p>
    <w:p w14:paraId="5267F2F5" w14:textId="77777777" w:rsidR="00FA2119" w:rsidRDefault="00FA2119" w:rsidP="00FA2119">
      <w:pPr>
        <w:pStyle w:val="2"/>
        <w:rPr>
          <w:rtl/>
        </w:rPr>
      </w:pPr>
      <w:r>
        <w:rPr>
          <w:rFonts w:hint="cs"/>
          <w:rtl/>
        </w:rPr>
        <w:t>סעיף</w:t>
      </w:r>
      <w:r>
        <w:rPr>
          <w:rtl/>
        </w:rPr>
        <w:t xml:space="preserve"> </w:t>
      </w:r>
      <w:r>
        <w:rPr>
          <w:rFonts w:hint="cs"/>
          <w:rtl/>
        </w:rPr>
        <w:t>כא: שכר על העדות בגט.</w:t>
      </w:r>
    </w:p>
    <w:p w14:paraId="78E08C39" w14:textId="77777777" w:rsidR="00FA2119" w:rsidRPr="00DF33D1" w:rsidRDefault="00FA2119" w:rsidP="00FA2119">
      <w:pPr>
        <w:rPr>
          <w:u w:val="single"/>
          <w:rtl/>
        </w:rPr>
      </w:pPr>
      <w:r w:rsidRPr="00DF33D1">
        <w:rPr>
          <w:rFonts w:hint="cs"/>
          <w:u w:val="single"/>
          <w:rtl/>
        </w:rPr>
        <w:t>שכר על העדות בגט:</w:t>
      </w:r>
    </w:p>
    <w:p w14:paraId="59706423" w14:textId="6DED93AC" w:rsidR="00FA2119" w:rsidRDefault="00FA2119" w:rsidP="00FA2119">
      <w:pPr>
        <w:pStyle w:val="ab"/>
        <w:numPr>
          <w:ilvl w:val="0"/>
          <w:numId w:val="80"/>
        </w:numPr>
      </w:pPr>
      <w:r w:rsidRPr="00DF33D1">
        <w:rPr>
          <w:rFonts w:cs="Arial"/>
          <w:rtl/>
        </w:rPr>
        <w:t xml:space="preserve">מרדכי </w:t>
      </w:r>
      <w:r w:rsidRPr="00DF33D1">
        <w:rPr>
          <w:rFonts w:cs="Arial"/>
          <w:sz w:val="16"/>
          <w:szCs w:val="16"/>
          <w:rtl/>
        </w:rPr>
        <w:t>(</w:t>
      </w:r>
      <w:r w:rsidRPr="00DF33D1">
        <w:rPr>
          <w:rFonts w:cs="Arial" w:hint="cs"/>
          <w:sz w:val="16"/>
          <w:szCs w:val="16"/>
          <w:rtl/>
        </w:rPr>
        <w:t xml:space="preserve">הלכות הגט </w:t>
      </w:r>
      <w:r w:rsidRPr="00DF33D1">
        <w:rPr>
          <w:rFonts w:cs="Arial"/>
          <w:sz w:val="16"/>
          <w:szCs w:val="16"/>
          <w:rtl/>
        </w:rPr>
        <w:t>סו"ס תנג</w:t>
      </w:r>
      <w:r>
        <w:rPr>
          <w:rFonts w:cs="Arial" w:hint="cs"/>
          <w:sz w:val="16"/>
          <w:szCs w:val="16"/>
          <w:rtl/>
        </w:rPr>
        <w:t>, ובסי' רעט</w:t>
      </w:r>
      <w:r w:rsidRPr="00DF33D1">
        <w:rPr>
          <w:rFonts w:cs="Arial"/>
          <w:sz w:val="16"/>
          <w:szCs w:val="16"/>
          <w:rtl/>
        </w:rPr>
        <w:t>)</w:t>
      </w:r>
      <w:r w:rsidRPr="00DF33D1">
        <w:rPr>
          <w:rFonts w:cs="Arial"/>
          <w:rtl/>
        </w:rPr>
        <w:t xml:space="preserve"> </w:t>
      </w:r>
      <w:r>
        <w:rPr>
          <w:rFonts w:cs="Arial" w:hint="cs"/>
          <w:rtl/>
        </w:rPr>
        <w:t>ו</w:t>
      </w:r>
      <w:r w:rsidRPr="00DF33D1">
        <w:rPr>
          <w:rFonts w:cs="Arial"/>
          <w:rtl/>
        </w:rPr>
        <w:t xml:space="preserve">קונדריסים </w:t>
      </w:r>
      <w:r w:rsidRPr="00EB3635">
        <w:rPr>
          <w:rFonts w:cs="Arial"/>
          <w:sz w:val="16"/>
          <w:szCs w:val="16"/>
          <w:rtl/>
        </w:rPr>
        <w:t>(סוף סימן ב)</w:t>
      </w:r>
      <w:r w:rsidR="00A82951">
        <w:rPr>
          <w:rFonts w:cs="Arial" w:hint="cs"/>
          <w:rtl/>
        </w:rPr>
        <w:t>-</w:t>
      </w:r>
      <w:r w:rsidRPr="00DF33D1">
        <w:rPr>
          <w:rFonts w:cs="Arial" w:hint="cs"/>
          <w:rtl/>
        </w:rPr>
        <w:t xml:space="preserve"> </w:t>
      </w:r>
      <w:r w:rsidRPr="00525E2C">
        <w:rPr>
          <w:rFonts w:cs="Arial"/>
          <w:rtl/>
        </w:rPr>
        <w:t>כתב רבינו יצחק או</w:t>
      </w:r>
      <w:r>
        <w:rPr>
          <w:rFonts w:cs="Arial" w:hint="cs"/>
          <w:rtl/>
        </w:rPr>
        <w:t>"</w:t>
      </w:r>
      <w:r w:rsidRPr="00525E2C">
        <w:rPr>
          <w:rFonts w:cs="Arial"/>
          <w:rtl/>
        </w:rPr>
        <w:t>ז שלא יטלו עדי הגט שכר אא"כ שכר בטלה דמוכח</w:t>
      </w:r>
      <w:r>
        <w:rPr>
          <w:rFonts w:cs="Arial" w:hint="cs"/>
          <w:rtl/>
        </w:rPr>
        <w:t>,</w:t>
      </w:r>
      <w:r w:rsidRPr="00525E2C">
        <w:rPr>
          <w:rFonts w:cs="Arial"/>
          <w:rtl/>
        </w:rPr>
        <w:t xml:space="preserve"> כדאיתא פרק שני דייני גזירות</w:t>
      </w:r>
      <w:r>
        <w:rPr>
          <w:rFonts w:cs="Arial" w:hint="cs"/>
          <w:rtl/>
        </w:rPr>
        <w:t xml:space="preserve"> </w:t>
      </w:r>
      <w:r w:rsidRPr="00525E2C">
        <w:rPr>
          <w:rFonts w:cs="Arial"/>
          <w:sz w:val="16"/>
          <w:szCs w:val="16"/>
          <w:rtl/>
        </w:rPr>
        <w:t>(כתובות קה.)</w:t>
      </w:r>
      <w:r w:rsidRPr="00525E2C">
        <w:rPr>
          <w:rFonts w:cs="Arial"/>
          <w:rtl/>
        </w:rPr>
        <w:t xml:space="preserve"> גבי קרנא</w:t>
      </w:r>
      <w:r>
        <w:rPr>
          <w:rFonts w:cs="Arial" w:hint="cs"/>
          <w:rtl/>
        </w:rPr>
        <w:t>,</w:t>
      </w:r>
      <w:r w:rsidRPr="00525E2C">
        <w:rPr>
          <w:rFonts w:cs="Arial"/>
          <w:rtl/>
        </w:rPr>
        <w:t xml:space="preserve"> דכי היכי דהנוטל שכר לדון דיניו בטלין הוא הדין לעדים</w:t>
      </w:r>
      <w:r>
        <w:rPr>
          <w:rFonts w:cs="Arial" w:hint="cs"/>
          <w:rtl/>
        </w:rPr>
        <w:t>,</w:t>
      </w:r>
      <w:r w:rsidRPr="00525E2C">
        <w:rPr>
          <w:rFonts w:cs="Arial"/>
          <w:rtl/>
        </w:rPr>
        <w:t xml:space="preserve"> בשם רבי יהודה מפרי"ש </w:t>
      </w:r>
      <w:r>
        <w:rPr>
          <w:rFonts w:cs="Arial" w:hint="cs"/>
          <w:sz w:val="16"/>
          <w:szCs w:val="16"/>
          <w:rtl/>
        </w:rPr>
        <w:t>(ל' המרדכי)</w:t>
      </w:r>
      <w:r>
        <w:rPr>
          <w:rFonts w:cs="Arial" w:hint="cs"/>
          <w:rtl/>
        </w:rPr>
        <w:t>.</w:t>
      </w:r>
      <w:r w:rsidRPr="00124E41">
        <w:rPr>
          <w:rFonts w:cs="Arial" w:hint="cs"/>
          <w:color w:val="E36C0A" w:themeColor="accent6" w:themeShade="BF"/>
          <w:rtl/>
        </w:rPr>
        <w:t xml:space="preserve"> (וכ"פ </w:t>
      </w:r>
      <w:r>
        <w:rPr>
          <w:rFonts w:cs="Arial" w:hint="cs"/>
          <w:color w:val="E36C0A" w:themeColor="accent6" w:themeShade="BF"/>
          <w:rtl/>
        </w:rPr>
        <w:t>בשו"ע</w:t>
      </w:r>
      <w:r w:rsidRPr="00124E41">
        <w:rPr>
          <w:rFonts w:cs="Arial" w:hint="cs"/>
          <w:color w:val="E36C0A" w:themeColor="accent6" w:themeShade="BF"/>
          <w:rtl/>
        </w:rPr>
        <w:t>)</w:t>
      </w:r>
    </w:p>
    <w:p w14:paraId="47BE6F40" w14:textId="77777777" w:rsidR="00FA2119" w:rsidRPr="00525E2C" w:rsidRDefault="00FA2119" w:rsidP="00FA2119">
      <w:pPr>
        <w:ind w:left="360"/>
      </w:pPr>
      <w:r w:rsidRPr="002F0668">
        <w:rPr>
          <w:rFonts w:cs="Arial" w:hint="cs"/>
          <w:u w:val="dotted"/>
          <w:rtl/>
        </w:rPr>
        <w:t xml:space="preserve">כיצד יוכלו העדים לקבל שכר </w:t>
      </w:r>
      <w:r w:rsidRPr="002F0668">
        <w:rPr>
          <w:rFonts w:cs="Arial" w:hint="cs"/>
          <w:sz w:val="16"/>
          <w:szCs w:val="16"/>
          <w:u w:val="dotted"/>
          <w:rtl/>
        </w:rPr>
        <w:t>(ולא רק שכר בטלה דמוכח</w:t>
      </w:r>
      <w:r>
        <w:rPr>
          <w:rFonts w:cs="Arial" w:hint="cs"/>
          <w:sz w:val="16"/>
          <w:szCs w:val="16"/>
          <w:u w:val="dotted"/>
          <w:rtl/>
        </w:rPr>
        <w:t>)</w:t>
      </w:r>
      <w:r w:rsidRPr="002F0668">
        <w:rPr>
          <w:rFonts w:cs="Arial" w:hint="cs"/>
          <w:u w:val="dotted"/>
          <w:rtl/>
        </w:rPr>
        <w:t>:</w:t>
      </w:r>
      <w:r>
        <w:rPr>
          <w:rFonts w:cs="Arial" w:hint="cs"/>
          <w:rtl/>
        </w:rPr>
        <w:t xml:space="preserve"> </w:t>
      </w:r>
      <w:r w:rsidRPr="002F0668">
        <w:rPr>
          <w:rFonts w:cs="Arial"/>
          <w:sz w:val="16"/>
          <w:szCs w:val="16"/>
          <w:rtl/>
        </w:rPr>
        <w:t>(</w:t>
      </w:r>
      <w:r w:rsidRPr="002F0668">
        <w:rPr>
          <w:rFonts w:cs="Arial" w:hint="cs"/>
          <w:sz w:val="16"/>
          <w:szCs w:val="16"/>
          <w:rtl/>
        </w:rPr>
        <w:t xml:space="preserve">דרכ"מ אות </w:t>
      </w:r>
      <w:r w:rsidRPr="002F0668">
        <w:rPr>
          <w:rFonts w:cs="Arial"/>
          <w:sz w:val="16"/>
          <w:szCs w:val="16"/>
          <w:rtl/>
        </w:rPr>
        <w:t>יז)</w:t>
      </w:r>
    </w:p>
    <w:p w14:paraId="6FBED099" w14:textId="17FED54F" w:rsidR="00FA2119" w:rsidRPr="00124E41" w:rsidRDefault="00FA2119" w:rsidP="00FA2119">
      <w:pPr>
        <w:pStyle w:val="ab"/>
        <w:numPr>
          <w:ilvl w:val="0"/>
          <w:numId w:val="80"/>
        </w:numPr>
      </w:pPr>
      <w:r w:rsidRPr="00E55D0E">
        <w:rPr>
          <w:rFonts w:cs="Arial"/>
          <w:rtl/>
        </w:rPr>
        <w:lastRenderedPageBreak/>
        <w:t xml:space="preserve">סדר הגט </w:t>
      </w:r>
      <w:r w:rsidRPr="002F0668">
        <w:rPr>
          <w:rFonts w:cs="Arial" w:hint="cs"/>
          <w:sz w:val="16"/>
          <w:szCs w:val="16"/>
          <w:rtl/>
        </w:rPr>
        <w:t>(</w:t>
      </w:r>
      <w:r w:rsidRPr="002F0668">
        <w:rPr>
          <w:rFonts w:cs="Arial"/>
          <w:sz w:val="16"/>
          <w:szCs w:val="16"/>
          <w:rtl/>
        </w:rPr>
        <w:t>סי</w:t>
      </w:r>
      <w:r w:rsidRPr="002F0668">
        <w:rPr>
          <w:rFonts w:cs="Arial" w:hint="cs"/>
          <w:sz w:val="16"/>
          <w:szCs w:val="16"/>
          <w:rtl/>
        </w:rPr>
        <w:t>'</w:t>
      </w:r>
      <w:r w:rsidRPr="002F0668">
        <w:rPr>
          <w:rFonts w:cs="Arial"/>
          <w:sz w:val="16"/>
          <w:szCs w:val="16"/>
          <w:rtl/>
        </w:rPr>
        <w:t xml:space="preserve"> נו ס"א)</w:t>
      </w:r>
      <w:r w:rsidR="00A82951">
        <w:rPr>
          <w:rFonts w:cs="Arial" w:hint="cs"/>
          <w:rtl/>
        </w:rPr>
        <w:t>-</w:t>
      </w:r>
      <w:r w:rsidRPr="00E55D0E">
        <w:rPr>
          <w:rFonts w:cs="Arial"/>
          <w:rtl/>
        </w:rPr>
        <w:t xml:space="preserve"> מהר"ר ז"</w:t>
      </w:r>
      <w:r>
        <w:rPr>
          <w:rFonts w:cs="Arial" w:hint="cs"/>
          <w:rtl/>
        </w:rPr>
        <w:t>ך</w:t>
      </w:r>
      <w:r w:rsidRPr="00E55D0E">
        <w:rPr>
          <w:rFonts w:cs="Arial"/>
          <w:rtl/>
        </w:rPr>
        <w:t xml:space="preserve"> היה רגיל להתנות עם העדים שאם יקלקלו הגט בחתימותיהן ישלמו השכר לסופר שיכתוב אחר ומעכשיו מותרים ליטול שכר החתימה. ועוד טעם אחר דמפסידין בחתימתן שאסורים לישא הגרושה לכן צריכין ליתן להם שכר</w:t>
      </w:r>
      <w:r>
        <w:rPr>
          <w:rFonts w:cs="Arial" w:hint="cs"/>
          <w:rtl/>
        </w:rPr>
        <w:t>,</w:t>
      </w:r>
      <w:r w:rsidRPr="00E55D0E">
        <w:rPr>
          <w:rFonts w:cs="Arial"/>
          <w:rtl/>
        </w:rPr>
        <w:t xml:space="preserve"> ועל כן היה מחזיר אחר עדים שלא היו כהנים כי כהן בלאו הכי אסור</w:t>
      </w:r>
      <w:r>
        <w:rPr>
          <w:rStyle w:val="a7"/>
          <w:rFonts w:cs="Arial"/>
          <w:rtl/>
        </w:rPr>
        <w:footnoteReference w:id="1348"/>
      </w:r>
      <w:r>
        <w:rPr>
          <w:rFonts w:cs="Arial" w:hint="cs"/>
          <w:rtl/>
        </w:rPr>
        <w:t xml:space="preserve">. </w:t>
      </w:r>
      <w:r w:rsidRPr="00124E41">
        <w:rPr>
          <w:rFonts w:cs="Arial" w:hint="cs"/>
          <w:color w:val="00B0F0"/>
          <w:rtl/>
        </w:rPr>
        <w:t>(וכ"פ הרמ"א)</w:t>
      </w:r>
    </w:p>
    <w:p w14:paraId="0655826F" w14:textId="00CC611D" w:rsidR="00FA2119" w:rsidRPr="002F0668" w:rsidRDefault="00FA2119" w:rsidP="00FA2119">
      <w:pPr>
        <w:pStyle w:val="ab"/>
        <w:numPr>
          <w:ilvl w:val="0"/>
          <w:numId w:val="80"/>
        </w:numPr>
      </w:pPr>
      <w:r>
        <w:rPr>
          <w:rFonts w:cs="Arial" w:hint="cs"/>
          <w:rtl/>
        </w:rPr>
        <w:t xml:space="preserve">סדר הגט </w:t>
      </w:r>
      <w:r>
        <w:rPr>
          <w:rFonts w:cs="Arial" w:hint="cs"/>
          <w:sz w:val="16"/>
          <w:szCs w:val="16"/>
          <w:rtl/>
        </w:rPr>
        <w:t>(שם ס"ג)</w:t>
      </w:r>
      <w:r w:rsidR="00A82951">
        <w:rPr>
          <w:rFonts w:cs="Arial" w:hint="cs"/>
          <w:rtl/>
        </w:rPr>
        <w:t>-</w:t>
      </w:r>
      <w:r>
        <w:rPr>
          <w:rFonts w:cs="Arial" w:hint="cs"/>
          <w:rtl/>
        </w:rPr>
        <w:t xml:space="preserve"> </w:t>
      </w:r>
      <w:r w:rsidRPr="00525E2C">
        <w:rPr>
          <w:rFonts w:cs="Arial"/>
          <w:rtl/>
        </w:rPr>
        <w:t>יש רבוותא נוהגים לשכור הרב והרב ישכור העדים ע"י הבלעה</w:t>
      </w:r>
      <w:r>
        <w:rPr>
          <w:rStyle w:val="a7"/>
          <w:rFonts w:cs="Arial"/>
          <w:rtl/>
        </w:rPr>
        <w:footnoteReference w:id="1349"/>
      </w:r>
      <w:r w:rsidRPr="00525E2C">
        <w:rPr>
          <w:rFonts w:cs="Arial"/>
          <w:rtl/>
        </w:rPr>
        <w:t xml:space="preserve">. </w:t>
      </w:r>
    </w:p>
    <w:p w14:paraId="197991C0"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7D939C8" w14:textId="77777777" w:rsidR="00FA2119" w:rsidRDefault="00FA2119" w:rsidP="00FA2119">
      <w:pPr>
        <w:rPr>
          <w:rtl/>
        </w:rPr>
      </w:pPr>
      <w:r>
        <w:rPr>
          <w:rFonts w:cs="Arial" w:hint="cs"/>
          <w:rtl/>
        </w:rPr>
        <w:t>לא</w:t>
      </w:r>
      <w:r>
        <w:rPr>
          <w:rFonts w:cs="Arial"/>
          <w:rtl/>
        </w:rPr>
        <w:t xml:space="preserve"> </w:t>
      </w:r>
      <w:r>
        <w:rPr>
          <w:rFonts w:cs="Arial" w:hint="cs"/>
          <w:rtl/>
        </w:rPr>
        <w:t>יטלו</w:t>
      </w:r>
      <w:r>
        <w:rPr>
          <w:rFonts w:cs="Arial"/>
          <w:rtl/>
        </w:rPr>
        <w:t xml:space="preserve"> </w:t>
      </w:r>
      <w:r>
        <w:rPr>
          <w:rFonts w:cs="Arial" w:hint="cs"/>
          <w:rtl/>
        </w:rPr>
        <w:t>עדי</w:t>
      </w:r>
      <w:r>
        <w:rPr>
          <w:rFonts w:cs="Arial"/>
          <w:rtl/>
        </w:rPr>
        <w:t xml:space="preserve"> </w:t>
      </w:r>
      <w:r>
        <w:rPr>
          <w:rFonts w:cs="Arial" w:hint="cs"/>
          <w:rtl/>
        </w:rPr>
        <w:t>הגט</w:t>
      </w:r>
      <w:r>
        <w:rPr>
          <w:rFonts w:cs="Arial"/>
          <w:rtl/>
        </w:rPr>
        <w:t xml:space="preserve"> </w:t>
      </w:r>
      <w:r>
        <w:rPr>
          <w:rFonts w:cs="Arial" w:hint="cs"/>
          <w:rtl/>
        </w:rPr>
        <w:t>שכר</w:t>
      </w:r>
      <w:r>
        <w:rPr>
          <w:rFonts w:cs="Arial"/>
          <w:rtl/>
        </w:rPr>
        <w:t xml:space="preserve"> </w:t>
      </w:r>
      <w:r>
        <w:rPr>
          <w:rFonts w:cs="Arial" w:hint="cs"/>
          <w:rtl/>
        </w:rPr>
        <w:t>יותר</w:t>
      </w:r>
      <w:r>
        <w:rPr>
          <w:rFonts w:cs="Arial"/>
          <w:rtl/>
        </w:rPr>
        <w:t xml:space="preserve"> </w:t>
      </w:r>
      <w:r>
        <w:rPr>
          <w:rFonts w:cs="Arial" w:hint="cs"/>
          <w:rtl/>
        </w:rPr>
        <w:t>מכדי</w:t>
      </w:r>
      <w:r>
        <w:rPr>
          <w:rFonts w:cs="Arial"/>
          <w:rtl/>
        </w:rPr>
        <w:t xml:space="preserve"> </w:t>
      </w:r>
      <w:r>
        <w:rPr>
          <w:rFonts w:cs="Arial" w:hint="cs"/>
          <w:rtl/>
        </w:rPr>
        <w:t>שכר</w:t>
      </w:r>
      <w:r>
        <w:rPr>
          <w:rFonts w:cs="Arial"/>
          <w:rtl/>
        </w:rPr>
        <w:t xml:space="preserve"> </w:t>
      </w:r>
      <w:r>
        <w:rPr>
          <w:rFonts w:cs="Arial" w:hint="cs"/>
          <w:rtl/>
        </w:rPr>
        <w:t>בטלה</w:t>
      </w:r>
      <w:r>
        <w:rPr>
          <w:rFonts w:cs="Arial"/>
          <w:rtl/>
        </w:rPr>
        <w:t xml:space="preserve"> </w:t>
      </w:r>
      <w:r>
        <w:rPr>
          <w:rFonts w:cs="Arial" w:hint="cs"/>
          <w:rtl/>
        </w:rPr>
        <w:t>דמוכחת</w:t>
      </w:r>
      <w:r>
        <w:rPr>
          <w:rFonts w:cs="Arial"/>
          <w:rtl/>
        </w:rPr>
        <w:t xml:space="preserve">. </w:t>
      </w:r>
      <w:r w:rsidRPr="00396366">
        <w:rPr>
          <w:rFonts w:cs="Arial" w:hint="cs"/>
          <w:sz w:val="18"/>
          <w:szCs w:val="18"/>
          <w:rtl/>
        </w:rPr>
        <w:t>הגה</w:t>
      </w:r>
      <w:r w:rsidRPr="00396366">
        <w:rPr>
          <w:rFonts w:cs="Arial"/>
          <w:sz w:val="18"/>
          <w:szCs w:val="18"/>
          <w:rtl/>
        </w:rPr>
        <w:t xml:space="preserve">: </w:t>
      </w:r>
      <w:r w:rsidRPr="00396366">
        <w:rPr>
          <w:rFonts w:cs="Arial" w:hint="cs"/>
          <w:sz w:val="18"/>
          <w:szCs w:val="18"/>
          <w:rtl/>
        </w:rPr>
        <w:t>וי</w:t>
      </w:r>
      <w:r w:rsidRPr="00396366">
        <w:rPr>
          <w:rFonts w:cs="Arial"/>
          <w:sz w:val="18"/>
          <w:szCs w:val="18"/>
          <w:rtl/>
        </w:rPr>
        <w:t>"</w:t>
      </w:r>
      <w:r w:rsidRPr="00396366">
        <w:rPr>
          <w:rFonts w:cs="Arial" w:hint="cs"/>
          <w:sz w:val="18"/>
          <w:szCs w:val="18"/>
          <w:rtl/>
        </w:rPr>
        <w:t>א</w:t>
      </w:r>
      <w:r w:rsidRPr="00396366">
        <w:rPr>
          <w:rFonts w:cs="Arial"/>
          <w:sz w:val="18"/>
          <w:szCs w:val="18"/>
          <w:rtl/>
        </w:rPr>
        <w:t xml:space="preserve"> </w:t>
      </w:r>
      <w:r w:rsidRPr="00396366">
        <w:rPr>
          <w:rFonts w:cs="Arial" w:hint="cs"/>
          <w:sz w:val="18"/>
          <w:szCs w:val="18"/>
          <w:rtl/>
        </w:rPr>
        <w:t>דמתנין</w:t>
      </w:r>
      <w:r w:rsidRPr="00396366">
        <w:rPr>
          <w:rFonts w:cs="Arial"/>
          <w:sz w:val="18"/>
          <w:szCs w:val="18"/>
          <w:rtl/>
        </w:rPr>
        <w:t xml:space="preserve"> </w:t>
      </w:r>
      <w:r w:rsidRPr="00396366">
        <w:rPr>
          <w:rFonts w:cs="Arial" w:hint="cs"/>
          <w:sz w:val="18"/>
          <w:szCs w:val="18"/>
          <w:rtl/>
        </w:rPr>
        <w:t>עם</w:t>
      </w:r>
      <w:r w:rsidRPr="00396366">
        <w:rPr>
          <w:rFonts w:cs="Arial"/>
          <w:sz w:val="18"/>
          <w:szCs w:val="18"/>
          <w:rtl/>
        </w:rPr>
        <w:t xml:space="preserve"> </w:t>
      </w:r>
      <w:r w:rsidRPr="00396366">
        <w:rPr>
          <w:rFonts w:cs="Arial" w:hint="cs"/>
          <w:sz w:val="18"/>
          <w:szCs w:val="18"/>
          <w:rtl/>
        </w:rPr>
        <w:t>העדים</w:t>
      </w:r>
      <w:r w:rsidRPr="00396366">
        <w:rPr>
          <w:rFonts w:cs="Arial"/>
          <w:sz w:val="18"/>
          <w:szCs w:val="18"/>
          <w:rtl/>
        </w:rPr>
        <w:t xml:space="preserve"> </w:t>
      </w:r>
      <w:r w:rsidRPr="00396366">
        <w:rPr>
          <w:rFonts w:cs="Arial" w:hint="cs"/>
          <w:sz w:val="18"/>
          <w:szCs w:val="18"/>
          <w:rtl/>
        </w:rPr>
        <w:t>שאם</w:t>
      </w:r>
      <w:r w:rsidRPr="00396366">
        <w:rPr>
          <w:rFonts w:cs="Arial"/>
          <w:sz w:val="18"/>
          <w:szCs w:val="18"/>
          <w:rtl/>
        </w:rPr>
        <w:t xml:space="preserve"> </w:t>
      </w:r>
      <w:r w:rsidRPr="00396366">
        <w:rPr>
          <w:rFonts w:cs="Arial" w:hint="cs"/>
          <w:sz w:val="18"/>
          <w:szCs w:val="18"/>
          <w:rtl/>
        </w:rPr>
        <w:t>יקלקלו</w:t>
      </w:r>
      <w:r w:rsidRPr="00396366">
        <w:rPr>
          <w:rFonts w:cs="Arial"/>
          <w:sz w:val="18"/>
          <w:szCs w:val="18"/>
          <w:rtl/>
        </w:rPr>
        <w:t xml:space="preserve"> </w:t>
      </w:r>
      <w:r w:rsidRPr="00396366">
        <w:rPr>
          <w:rFonts w:cs="Arial" w:hint="cs"/>
          <w:sz w:val="18"/>
          <w:szCs w:val="18"/>
          <w:rtl/>
        </w:rPr>
        <w:t>הגט</w:t>
      </w:r>
      <w:r w:rsidRPr="00396366">
        <w:rPr>
          <w:rFonts w:cs="Arial"/>
          <w:sz w:val="18"/>
          <w:szCs w:val="18"/>
          <w:rtl/>
        </w:rPr>
        <w:t xml:space="preserve"> </w:t>
      </w:r>
      <w:r w:rsidRPr="00396366">
        <w:rPr>
          <w:rFonts w:cs="Arial" w:hint="cs"/>
          <w:sz w:val="18"/>
          <w:szCs w:val="18"/>
          <w:rtl/>
        </w:rPr>
        <w:t>שישלמו</w:t>
      </w:r>
      <w:r w:rsidRPr="00396366">
        <w:rPr>
          <w:rFonts w:cs="Arial"/>
          <w:sz w:val="18"/>
          <w:szCs w:val="18"/>
          <w:rtl/>
        </w:rPr>
        <w:t xml:space="preserve"> </w:t>
      </w:r>
      <w:r w:rsidRPr="00396366">
        <w:rPr>
          <w:rFonts w:cs="Arial" w:hint="cs"/>
          <w:sz w:val="18"/>
          <w:szCs w:val="18"/>
          <w:rtl/>
        </w:rPr>
        <w:t>אותו</w:t>
      </w:r>
      <w:r w:rsidRPr="00396366">
        <w:rPr>
          <w:rFonts w:cs="Arial"/>
          <w:sz w:val="18"/>
          <w:szCs w:val="18"/>
          <w:rtl/>
        </w:rPr>
        <w:t xml:space="preserve">, </w:t>
      </w:r>
      <w:r w:rsidRPr="00396366">
        <w:rPr>
          <w:rFonts w:cs="Arial" w:hint="cs"/>
          <w:sz w:val="18"/>
          <w:szCs w:val="18"/>
          <w:rtl/>
        </w:rPr>
        <w:t>ומכח</w:t>
      </w:r>
      <w:r w:rsidRPr="00396366">
        <w:rPr>
          <w:rFonts w:cs="Arial"/>
          <w:sz w:val="18"/>
          <w:szCs w:val="18"/>
          <w:rtl/>
        </w:rPr>
        <w:t xml:space="preserve"> </w:t>
      </w:r>
      <w:r w:rsidRPr="00396366">
        <w:rPr>
          <w:rFonts w:cs="Arial" w:hint="cs"/>
          <w:sz w:val="18"/>
          <w:szCs w:val="18"/>
          <w:rtl/>
        </w:rPr>
        <w:t>זה</w:t>
      </w:r>
      <w:r w:rsidRPr="00396366">
        <w:rPr>
          <w:rFonts w:cs="Arial"/>
          <w:sz w:val="18"/>
          <w:szCs w:val="18"/>
          <w:rtl/>
        </w:rPr>
        <w:t xml:space="preserve"> </w:t>
      </w:r>
      <w:r w:rsidRPr="00396366">
        <w:rPr>
          <w:rFonts w:cs="Arial" w:hint="cs"/>
          <w:sz w:val="18"/>
          <w:szCs w:val="18"/>
          <w:rtl/>
        </w:rPr>
        <w:t>מותר</w:t>
      </w:r>
      <w:r w:rsidRPr="00396366">
        <w:rPr>
          <w:rFonts w:cs="Arial"/>
          <w:sz w:val="18"/>
          <w:szCs w:val="18"/>
          <w:rtl/>
        </w:rPr>
        <w:t xml:space="preserve"> </w:t>
      </w:r>
      <w:r w:rsidRPr="00396366">
        <w:rPr>
          <w:rFonts w:cs="Arial" w:hint="cs"/>
          <w:sz w:val="18"/>
          <w:szCs w:val="18"/>
          <w:rtl/>
        </w:rPr>
        <w:t>להם</w:t>
      </w:r>
      <w:r w:rsidRPr="00396366">
        <w:rPr>
          <w:rFonts w:cs="Arial"/>
          <w:sz w:val="18"/>
          <w:szCs w:val="18"/>
          <w:rtl/>
        </w:rPr>
        <w:t xml:space="preserve"> </w:t>
      </w:r>
      <w:r w:rsidRPr="00396366">
        <w:rPr>
          <w:rFonts w:cs="Arial" w:hint="cs"/>
          <w:sz w:val="18"/>
          <w:szCs w:val="18"/>
          <w:rtl/>
        </w:rPr>
        <w:t>לקבל</w:t>
      </w:r>
      <w:r w:rsidRPr="00396366">
        <w:rPr>
          <w:rFonts w:cs="Arial"/>
          <w:sz w:val="18"/>
          <w:szCs w:val="18"/>
          <w:rtl/>
        </w:rPr>
        <w:t xml:space="preserve"> </w:t>
      </w:r>
      <w:r w:rsidRPr="00396366">
        <w:rPr>
          <w:rFonts w:cs="Arial" w:hint="cs"/>
          <w:sz w:val="18"/>
          <w:szCs w:val="18"/>
          <w:rtl/>
        </w:rPr>
        <w:t>שכר</w:t>
      </w:r>
      <w:r w:rsidRPr="00396366">
        <w:rPr>
          <w:rFonts w:cs="Arial"/>
          <w:sz w:val="18"/>
          <w:szCs w:val="18"/>
          <w:rtl/>
        </w:rPr>
        <w:t xml:space="preserve"> </w:t>
      </w:r>
      <w:r w:rsidRPr="00396366">
        <w:rPr>
          <w:rFonts w:cs="Arial" w:hint="cs"/>
          <w:sz w:val="18"/>
          <w:szCs w:val="18"/>
          <w:rtl/>
        </w:rPr>
        <w:t>הרבה</w:t>
      </w:r>
      <w:r w:rsidRPr="00396366">
        <w:rPr>
          <w:rFonts w:cs="Arial"/>
          <w:sz w:val="18"/>
          <w:szCs w:val="18"/>
          <w:rtl/>
        </w:rPr>
        <w:t xml:space="preserve">, </w:t>
      </w:r>
      <w:r w:rsidRPr="00396366">
        <w:rPr>
          <w:rFonts w:cs="Arial" w:hint="cs"/>
          <w:sz w:val="18"/>
          <w:szCs w:val="18"/>
          <w:rtl/>
        </w:rPr>
        <w:t>או</w:t>
      </w:r>
      <w:r w:rsidRPr="00396366">
        <w:rPr>
          <w:rFonts w:cs="Arial"/>
          <w:sz w:val="18"/>
          <w:szCs w:val="18"/>
          <w:rtl/>
        </w:rPr>
        <w:t xml:space="preserve"> </w:t>
      </w:r>
      <w:r w:rsidRPr="00396366">
        <w:rPr>
          <w:rFonts w:cs="Arial" w:hint="cs"/>
          <w:sz w:val="18"/>
          <w:szCs w:val="18"/>
          <w:rtl/>
        </w:rPr>
        <w:t>מטעם</w:t>
      </w:r>
      <w:r w:rsidRPr="00396366">
        <w:rPr>
          <w:rFonts w:cs="Arial"/>
          <w:sz w:val="18"/>
          <w:szCs w:val="18"/>
          <w:rtl/>
        </w:rPr>
        <w:t xml:space="preserve"> </w:t>
      </w:r>
      <w:r w:rsidRPr="00396366">
        <w:rPr>
          <w:rFonts w:cs="Arial" w:hint="cs"/>
          <w:sz w:val="18"/>
          <w:szCs w:val="18"/>
          <w:rtl/>
        </w:rPr>
        <w:t>דהעדים</w:t>
      </w:r>
      <w:r w:rsidRPr="00396366">
        <w:rPr>
          <w:rFonts w:cs="Arial"/>
          <w:sz w:val="18"/>
          <w:szCs w:val="18"/>
          <w:rtl/>
        </w:rPr>
        <w:t xml:space="preserve"> </w:t>
      </w:r>
      <w:r w:rsidRPr="00396366">
        <w:rPr>
          <w:rFonts w:cs="Arial" w:hint="cs"/>
          <w:sz w:val="18"/>
          <w:szCs w:val="18"/>
          <w:rtl/>
        </w:rPr>
        <w:t>אסורים</w:t>
      </w:r>
      <w:r w:rsidRPr="00396366">
        <w:rPr>
          <w:rFonts w:cs="Arial"/>
          <w:sz w:val="18"/>
          <w:szCs w:val="18"/>
          <w:rtl/>
        </w:rPr>
        <w:t xml:space="preserve"> </w:t>
      </w:r>
      <w:r w:rsidRPr="00396366">
        <w:rPr>
          <w:rFonts w:cs="Arial" w:hint="cs"/>
          <w:sz w:val="18"/>
          <w:szCs w:val="18"/>
          <w:rtl/>
        </w:rPr>
        <w:t>לישא</w:t>
      </w:r>
      <w:r w:rsidRPr="00396366">
        <w:rPr>
          <w:rFonts w:cs="Arial"/>
          <w:sz w:val="18"/>
          <w:szCs w:val="18"/>
          <w:rtl/>
        </w:rPr>
        <w:t xml:space="preserve"> </w:t>
      </w:r>
      <w:r w:rsidRPr="00396366">
        <w:rPr>
          <w:rFonts w:cs="Arial" w:hint="cs"/>
          <w:sz w:val="18"/>
          <w:szCs w:val="18"/>
          <w:rtl/>
        </w:rPr>
        <w:t>הגרושה</w:t>
      </w:r>
      <w:r>
        <w:rPr>
          <w:rStyle w:val="a7"/>
          <w:rFonts w:cs="Arial"/>
          <w:sz w:val="18"/>
          <w:szCs w:val="18"/>
          <w:rtl/>
        </w:rPr>
        <w:footnoteReference w:id="1350"/>
      </w:r>
      <w:r w:rsidRPr="00396366">
        <w:rPr>
          <w:rFonts w:cs="Arial"/>
          <w:sz w:val="18"/>
          <w:szCs w:val="18"/>
          <w:rtl/>
        </w:rPr>
        <w:t xml:space="preserve"> (</w:t>
      </w:r>
      <w:r w:rsidRPr="00396366">
        <w:rPr>
          <w:rFonts w:cs="Arial" w:hint="cs"/>
          <w:sz w:val="18"/>
          <w:szCs w:val="18"/>
          <w:rtl/>
        </w:rPr>
        <w:t>בסדר</w:t>
      </w:r>
      <w:r w:rsidRPr="00396366">
        <w:rPr>
          <w:rFonts w:cs="Arial"/>
          <w:sz w:val="18"/>
          <w:szCs w:val="18"/>
          <w:rtl/>
        </w:rPr>
        <w:t xml:space="preserve"> </w:t>
      </w:r>
      <w:r w:rsidRPr="00396366">
        <w:rPr>
          <w:rFonts w:cs="Arial" w:hint="cs"/>
          <w:sz w:val="18"/>
          <w:szCs w:val="18"/>
          <w:rtl/>
        </w:rPr>
        <w:t>גיטין</w:t>
      </w:r>
      <w:r w:rsidRPr="00396366">
        <w:rPr>
          <w:rFonts w:cs="Arial"/>
          <w:sz w:val="18"/>
          <w:szCs w:val="18"/>
          <w:rtl/>
        </w:rPr>
        <w:t xml:space="preserve"> </w:t>
      </w:r>
      <w:r w:rsidRPr="00396366">
        <w:rPr>
          <w:rFonts w:cs="Arial" w:hint="cs"/>
          <w:sz w:val="18"/>
          <w:szCs w:val="18"/>
          <w:rtl/>
        </w:rPr>
        <w:t>בשם</w:t>
      </w:r>
      <w:r w:rsidRPr="00396366">
        <w:rPr>
          <w:rFonts w:cs="Arial"/>
          <w:sz w:val="18"/>
          <w:szCs w:val="18"/>
          <w:rtl/>
        </w:rPr>
        <w:t xml:space="preserve"> </w:t>
      </w:r>
      <w:r w:rsidRPr="00396366">
        <w:rPr>
          <w:rFonts w:cs="Arial" w:hint="cs"/>
          <w:sz w:val="18"/>
          <w:szCs w:val="18"/>
          <w:rtl/>
        </w:rPr>
        <w:t>מהרי</w:t>
      </w:r>
      <w:r w:rsidRPr="00396366">
        <w:rPr>
          <w:rFonts w:cs="Arial"/>
          <w:sz w:val="18"/>
          <w:szCs w:val="18"/>
          <w:rtl/>
        </w:rPr>
        <w:t>"</w:t>
      </w:r>
      <w:r w:rsidRPr="00396366">
        <w:rPr>
          <w:rFonts w:cs="Arial" w:hint="cs"/>
          <w:sz w:val="18"/>
          <w:szCs w:val="18"/>
          <w:rtl/>
        </w:rPr>
        <w:t>ק</w:t>
      </w:r>
      <w:r w:rsidRPr="00396366">
        <w:rPr>
          <w:rFonts w:cs="Arial"/>
          <w:sz w:val="18"/>
          <w:szCs w:val="18"/>
          <w:rtl/>
        </w:rPr>
        <w:t xml:space="preserve">), </w:t>
      </w:r>
      <w:r w:rsidRPr="00396366">
        <w:rPr>
          <w:rFonts w:cs="Arial" w:hint="cs"/>
          <w:sz w:val="18"/>
          <w:szCs w:val="18"/>
          <w:rtl/>
        </w:rPr>
        <w:t>כמו</w:t>
      </w:r>
      <w:r w:rsidRPr="00396366">
        <w:rPr>
          <w:rFonts w:cs="Arial"/>
          <w:sz w:val="18"/>
          <w:szCs w:val="18"/>
          <w:rtl/>
        </w:rPr>
        <w:t xml:space="preserve"> </w:t>
      </w:r>
      <w:r w:rsidRPr="00396366">
        <w:rPr>
          <w:rFonts w:cs="Arial" w:hint="cs"/>
          <w:sz w:val="18"/>
          <w:szCs w:val="18"/>
          <w:rtl/>
        </w:rPr>
        <w:t>שנתבאר</w:t>
      </w:r>
      <w:r w:rsidRPr="00396366">
        <w:rPr>
          <w:rFonts w:cs="Arial"/>
          <w:sz w:val="18"/>
          <w:szCs w:val="18"/>
          <w:rtl/>
        </w:rPr>
        <w:t xml:space="preserve"> </w:t>
      </w:r>
      <w:r w:rsidRPr="00396366">
        <w:rPr>
          <w:rFonts w:cs="Arial" w:hint="cs"/>
          <w:sz w:val="18"/>
          <w:szCs w:val="18"/>
          <w:rtl/>
        </w:rPr>
        <w:t>לעיל</w:t>
      </w:r>
      <w:r w:rsidRPr="00396366">
        <w:rPr>
          <w:rFonts w:cs="Arial"/>
          <w:sz w:val="18"/>
          <w:szCs w:val="18"/>
          <w:rtl/>
        </w:rPr>
        <w:t xml:space="preserve"> </w:t>
      </w:r>
      <w:r w:rsidRPr="00396366">
        <w:rPr>
          <w:rFonts w:cs="Arial" w:hint="cs"/>
          <w:sz w:val="18"/>
          <w:szCs w:val="18"/>
          <w:rtl/>
        </w:rPr>
        <w:t>סימן</w:t>
      </w:r>
      <w:r w:rsidRPr="00396366">
        <w:rPr>
          <w:rFonts w:cs="Arial"/>
          <w:sz w:val="18"/>
          <w:szCs w:val="18"/>
          <w:rtl/>
        </w:rPr>
        <w:t xml:space="preserve"> </w:t>
      </w:r>
      <w:r w:rsidRPr="00396366">
        <w:rPr>
          <w:rFonts w:cs="Arial" w:hint="cs"/>
          <w:sz w:val="18"/>
          <w:szCs w:val="18"/>
          <w:rtl/>
        </w:rPr>
        <w:t>י</w:t>
      </w:r>
      <w:r w:rsidRPr="00396366">
        <w:rPr>
          <w:rFonts w:cs="Arial"/>
          <w:sz w:val="18"/>
          <w:szCs w:val="18"/>
          <w:rtl/>
        </w:rPr>
        <w:t>"</w:t>
      </w:r>
      <w:r w:rsidRPr="00396366">
        <w:rPr>
          <w:rFonts w:cs="Arial" w:hint="cs"/>
          <w:sz w:val="18"/>
          <w:szCs w:val="18"/>
          <w:rtl/>
        </w:rPr>
        <w:t>ב</w:t>
      </w:r>
      <w:r w:rsidRPr="00396366">
        <w:rPr>
          <w:rFonts w:cs="Arial"/>
          <w:sz w:val="18"/>
          <w:szCs w:val="18"/>
          <w:rtl/>
        </w:rPr>
        <w:t xml:space="preserve">, </w:t>
      </w:r>
      <w:r w:rsidRPr="00396366">
        <w:rPr>
          <w:rFonts w:cs="Arial" w:hint="cs"/>
          <w:sz w:val="18"/>
          <w:szCs w:val="18"/>
          <w:rtl/>
        </w:rPr>
        <w:t>וכן</w:t>
      </w:r>
      <w:r w:rsidRPr="00396366">
        <w:rPr>
          <w:rFonts w:cs="Arial"/>
          <w:sz w:val="18"/>
          <w:szCs w:val="18"/>
          <w:rtl/>
        </w:rPr>
        <w:t xml:space="preserve"> </w:t>
      </w:r>
      <w:r w:rsidRPr="00396366">
        <w:rPr>
          <w:rFonts w:cs="Arial" w:hint="cs"/>
          <w:sz w:val="18"/>
          <w:szCs w:val="18"/>
          <w:rtl/>
        </w:rPr>
        <w:t>נוהגין</w:t>
      </w:r>
      <w:r w:rsidRPr="00396366">
        <w:rPr>
          <w:rFonts w:cs="Arial"/>
          <w:sz w:val="18"/>
          <w:szCs w:val="18"/>
          <w:rtl/>
        </w:rPr>
        <w:t>.</w:t>
      </w:r>
      <w:r>
        <w:rPr>
          <w:rFonts w:cs="Arial"/>
          <w:rtl/>
        </w:rPr>
        <w:t xml:space="preserve"> </w:t>
      </w:r>
    </w:p>
    <w:p w14:paraId="138A8EFE" w14:textId="77777777" w:rsidR="00FA2119" w:rsidRDefault="00FA2119" w:rsidP="00FA2119">
      <w:pPr>
        <w:rPr>
          <w:rtl/>
        </w:rPr>
      </w:pPr>
    </w:p>
    <w:p w14:paraId="459C57E0" w14:textId="77777777" w:rsidR="00FA2119" w:rsidRDefault="00FA2119" w:rsidP="00FA2119">
      <w:pPr>
        <w:pStyle w:val="2"/>
        <w:rPr>
          <w:rtl/>
        </w:rPr>
      </w:pPr>
      <w:r>
        <w:rPr>
          <w:rFonts w:hint="cs"/>
          <w:rtl/>
        </w:rPr>
        <w:t>סעיף</w:t>
      </w:r>
      <w:r>
        <w:rPr>
          <w:rtl/>
        </w:rPr>
        <w:t xml:space="preserve"> </w:t>
      </w:r>
      <w:r>
        <w:rPr>
          <w:rFonts w:hint="cs"/>
          <w:rtl/>
        </w:rPr>
        <w:t>כב: חתימת העדים לאחר שהגט יבש.</w:t>
      </w:r>
    </w:p>
    <w:p w14:paraId="19E40FA8" w14:textId="77777777" w:rsidR="00FA2119" w:rsidRPr="008A0404" w:rsidRDefault="00FA2119" w:rsidP="00FA2119">
      <w:pPr>
        <w:rPr>
          <w:rFonts w:cs="Arial"/>
          <w:u w:val="single"/>
          <w:rtl/>
        </w:rPr>
      </w:pPr>
      <w:r w:rsidRPr="008A0404">
        <w:rPr>
          <w:rFonts w:hint="cs"/>
          <w:u w:val="single"/>
          <w:rtl/>
        </w:rPr>
        <w:t>חתימת העדים לאחר שהגט יבש</w:t>
      </w:r>
      <w:r w:rsidRPr="008A0404">
        <w:rPr>
          <w:rFonts w:cs="Arial" w:hint="cs"/>
          <w:u w:val="single"/>
          <w:rtl/>
        </w:rPr>
        <w:t>:</w:t>
      </w:r>
    </w:p>
    <w:p w14:paraId="5D396D5B" w14:textId="5A443376" w:rsidR="00FA2119" w:rsidRPr="0045000F" w:rsidRDefault="00FA2119" w:rsidP="00FA2119">
      <w:pPr>
        <w:pStyle w:val="ab"/>
        <w:numPr>
          <w:ilvl w:val="0"/>
          <w:numId w:val="88"/>
        </w:numPr>
      </w:pPr>
      <w:r w:rsidRPr="00E55D0E">
        <w:rPr>
          <w:rFonts w:cs="Arial"/>
          <w:rtl/>
        </w:rPr>
        <w:t xml:space="preserve">קונדריסים </w:t>
      </w:r>
      <w:r w:rsidRPr="0045000F">
        <w:rPr>
          <w:rFonts w:cs="Arial"/>
          <w:sz w:val="16"/>
          <w:szCs w:val="16"/>
          <w:rtl/>
        </w:rPr>
        <w:t>(סי' יב סעיף ז</w:t>
      </w:r>
      <w:r w:rsidRPr="0045000F">
        <w:rPr>
          <w:rFonts w:cs="Arial" w:hint="cs"/>
          <w:sz w:val="16"/>
          <w:szCs w:val="16"/>
          <w:rtl/>
        </w:rPr>
        <w:t>)</w:t>
      </w:r>
      <w:r w:rsidRPr="0045000F">
        <w:rPr>
          <w:rFonts w:cs="Arial"/>
          <w:sz w:val="16"/>
          <w:szCs w:val="16"/>
          <w:rtl/>
        </w:rPr>
        <w:t xml:space="preserve"> </w:t>
      </w:r>
      <w:r>
        <w:rPr>
          <w:rFonts w:cs="Arial" w:hint="cs"/>
          <w:rtl/>
        </w:rPr>
        <w:t>ו</w:t>
      </w:r>
      <w:r w:rsidRPr="00E55D0E">
        <w:rPr>
          <w:rFonts w:cs="Arial"/>
          <w:rtl/>
        </w:rPr>
        <w:t>סדר גיטין</w:t>
      </w:r>
      <w:r w:rsidRPr="0045000F">
        <w:rPr>
          <w:rFonts w:cs="Arial"/>
          <w:sz w:val="16"/>
          <w:szCs w:val="16"/>
          <w:rtl/>
        </w:rPr>
        <w:t xml:space="preserve"> (סי' נח ס"ד</w:t>
      </w:r>
      <w:r w:rsidRPr="0045000F">
        <w:rPr>
          <w:rFonts w:cs="Arial" w:hint="cs"/>
          <w:sz w:val="16"/>
          <w:szCs w:val="16"/>
          <w:rtl/>
        </w:rPr>
        <w:t xml:space="preserve">, וכ"כ הדרכ"מ [אות </w:t>
      </w:r>
      <w:r w:rsidRPr="0045000F">
        <w:rPr>
          <w:rFonts w:cs="Arial"/>
          <w:sz w:val="16"/>
          <w:szCs w:val="16"/>
          <w:rtl/>
        </w:rPr>
        <w:t>יט</w:t>
      </w:r>
      <w:r w:rsidRPr="0045000F">
        <w:rPr>
          <w:rFonts w:cs="Arial" w:hint="cs"/>
          <w:sz w:val="16"/>
          <w:szCs w:val="16"/>
          <w:rtl/>
        </w:rPr>
        <w:t>]</w:t>
      </w:r>
      <w:r w:rsidRPr="0045000F">
        <w:rPr>
          <w:rFonts w:cs="Arial"/>
          <w:sz w:val="16"/>
          <w:szCs w:val="16"/>
          <w:rtl/>
        </w:rPr>
        <w:t>)</w:t>
      </w:r>
      <w:r w:rsidR="00A82951">
        <w:rPr>
          <w:rFonts w:cs="Arial" w:hint="cs"/>
          <w:rtl/>
        </w:rPr>
        <w:t>-</w:t>
      </w:r>
      <w:r>
        <w:rPr>
          <w:rFonts w:cs="Arial" w:hint="cs"/>
          <w:rtl/>
        </w:rPr>
        <w:t xml:space="preserve"> </w:t>
      </w:r>
      <w:r w:rsidRPr="0045000F">
        <w:rPr>
          <w:rFonts w:cs="Arial"/>
          <w:rtl/>
        </w:rPr>
        <w:t>צריך שייבש הגט טרם יחתמו העדים</w:t>
      </w:r>
      <w:r w:rsidRPr="0045000F">
        <w:rPr>
          <w:rFonts w:cs="Arial" w:hint="cs"/>
          <w:rtl/>
        </w:rPr>
        <w:t>.</w:t>
      </w:r>
      <w:r w:rsidRPr="0045000F">
        <w:rPr>
          <w:rFonts w:cs="Arial"/>
          <w:rtl/>
        </w:rPr>
        <w:t xml:space="preserve"> </w:t>
      </w:r>
      <w:r w:rsidRPr="008A0404">
        <w:rPr>
          <w:rFonts w:hint="cs"/>
          <w:color w:val="E36C0A" w:themeColor="accent6" w:themeShade="BF"/>
          <w:rtl/>
        </w:rPr>
        <w:t>(</w:t>
      </w:r>
      <w:r>
        <w:rPr>
          <w:rFonts w:hint="cs"/>
          <w:color w:val="E36C0A" w:themeColor="accent6" w:themeShade="BF"/>
          <w:rtl/>
        </w:rPr>
        <w:t>ו</w:t>
      </w:r>
      <w:r w:rsidRPr="008A0404">
        <w:rPr>
          <w:rFonts w:hint="cs"/>
          <w:color w:val="E36C0A" w:themeColor="accent6" w:themeShade="BF"/>
          <w:rtl/>
        </w:rPr>
        <w:t>כ"כ בשו"ע)</w:t>
      </w:r>
    </w:p>
    <w:p w14:paraId="7F252747" w14:textId="77777777" w:rsidR="00FA2119" w:rsidRPr="00B26965" w:rsidRDefault="00FA2119" w:rsidP="00FA2119">
      <w:pPr>
        <w:rPr>
          <w:u w:val="single"/>
        </w:rPr>
      </w:pPr>
      <w:r w:rsidRPr="00B26965">
        <w:rPr>
          <w:rFonts w:cs="Arial"/>
          <w:u w:val="single"/>
          <w:rtl/>
        </w:rPr>
        <w:t>ישראל מומר שחתם בגט עם ישראל אחר</w:t>
      </w:r>
      <w:r w:rsidRPr="00B26965">
        <w:rPr>
          <w:rFonts w:hint="cs"/>
          <w:u w:val="single"/>
          <w:rtl/>
        </w:rPr>
        <w:t>:</w:t>
      </w:r>
    </w:p>
    <w:p w14:paraId="4F60CC39" w14:textId="286C15D3" w:rsidR="00FA2119" w:rsidRPr="00B26965" w:rsidRDefault="00FA2119" w:rsidP="00FA2119">
      <w:pPr>
        <w:pStyle w:val="ab"/>
        <w:numPr>
          <w:ilvl w:val="0"/>
          <w:numId w:val="88"/>
        </w:numPr>
      </w:pPr>
      <w:r>
        <w:rPr>
          <w:rFonts w:cs="Arial" w:hint="cs"/>
          <w:rtl/>
        </w:rPr>
        <w:t xml:space="preserve">הגה"מ </w:t>
      </w:r>
      <w:r w:rsidRPr="00B26965">
        <w:rPr>
          <w:rFonts w:cs="Arial"/>
          <w:sz w:val="16"/>
          <w:szCs w:val="16"/>
          <w:rtl/>
        </w:rPr>
        <w:t>(</w:t>
      </w:r>
      <w:r w:rsidRPr="00B26965">
        <w:rPr>
          <w:rFonts w:cs="Arial" w:hint="cs"/>
          <w:sz w:val="16"/>
          <w:szCs w:val="16"/>
          <w:rtl/>
        </w:rPr>
        <w:t xml:space="preserve">פ"ג </w:t>
      </w:r>
      <w:r w:rsidRPr="00B26965">
        <w:rPr>
          <w:rFonts w:cs="Arial"/>
          <w:sz w:val="16"/>
          <w:szCs w:val="16"/>
          <w:rtl/>
        </w:rPr>
        <w:t>ד</w:t>
      </w:r>
      <w:r w:rsidRPr="00B26965">
        <w:rPr>
          <w:rFonts w:cs="Arial" w:hint="cs"/>
          <w:sz w:val="16"/>
          <w:szCs w:val="16"/>
          <w:rtl/>
        </w:rPr>
        <w:t>"ק</w:t>
      </w:r>
      <w:r w:rsidRPr="00B26965">
        <w:rPr>
          <w:rFonts w:cs="Arial"/>
          <w:sz w:val="16"/>
          <w:szCs w:val="16"/>
          <w:rtl/>
        </w:rPr>
        <w:t xml:space="preserve"> הי"ג ד"ה ואומר</w:t>
      </w:r>
      <w:r w:rsidRPr="00B26965">
        <w:rPr>
          <w:rFonts w:cs="Arial" w:hint="cs"/>
          <w:sz w:val="16"/>
          <w:szCs w:val="16"/>
          <w:rtl/>
        </w:rPr>
        <w:t>,</w:t>
      </w:r>
      <w:r w:rsidRPr="00B26965">
        <w:rPr>
          <w:rFonts w:cs="Arial"/>
          <w:sz w:val="16"/>
          <w:szCs w:val="16"/>
          <w:rtl/>
        </w:rPr>
        <w:t xml:space="preserve"> ובתשובות מיימוניות סי' יב) </w:t>
      </w:r>
      <w:r w:rsidRPr="0045000F">
        <w:rPr>
          <w:rFonts w:cs="Arial"/>
          <w:rtl/>
        </w:rPr>
        <w:t xml:space="preserve">בשם מר כהן </w:t>
      </w:r>
      <w:r>
        <w:rPr>
          <w:rFonts w:cs="Arial" w:hint="cs"/>
          <w:rtl/>
        </w:rPr>
        <w:t>צדק</w:t>
      </w:r>
      <w:r w:rsidR="00A82951">
        <w:rPr>
          <w:rFonts w:cs="Arial" w:hint="cs"/>
          <w:rtl/>
        </w:rPr>
        <w:t>-</w:t>
      </w:r>
      <w:r>
        <w:rPr>
          <w:rFonts w:cs="Arial" w:hint="cs"/>
          <w:rtl/>
        </w:rPr>
        <w:t xml:space="preserve"> </w:t>
      </w:r>
      <w:r w:rsidRPr="0045000F">
        <w:rPr>
          <w:rFonts w:cs="Arial"/>
          <w:rtl/>
        </w:rPr>
        <w:t>ישראל מומר שחתם בגט עם ישראל אחר</w:t>
      </w:r>
      <w:r>
        <w:rPr>
          <w:rFonts w:cs="Arial" w:hint="cs"/>
          <w:rtl/>
        </w:rPr>
        <w:t xml:space="preserve"> </w:t>
      </w:r>
      <w:r w:rsidR="00A82951">
        <w:rPr>
          <w:rFonts w:cs="Arial" w:hint="cs"/>
          <w:rtl/>
        </w:rPr>
        <w:t>-</w:t>
      </w:r>
      <w:r>
        <w:rPr>
          <w:rFonts w:cs="Arial" w:hint="cs"/>
          <w:rtl/>
        </w:rPr>
        <w:t xml:space="preserve"> </w:t>
      </w:r>
      <w:r w:rsidRPr="0045000F">
        <w:rPr>
          <w:rFonts w:cs="Arial"/>
          <w:rtl/>
        </w:rPr>
        <w:t>כשר</w:t>
      </w:r>
      <w:r>
        <w:rPr>
          <w:rFonts w:cs="Arial" w:hint="cs"/>
          <w:rtl/>
        </w:rPr>
        <w:t xml:space="preserve">. </w:t>
      </w:r>
    </w:p>
    <w:p w14:paraId="4F87833E" w14:textId="44726B1B" w:rsidR="00FA2119" w:rsidRDefault="00FA2119" w:rsidP="00FA2119">
      <w:pPr>
        <w:pStyle w:val="ab"/>
        <w:numPr>
          <w:ilvl w:val="0"/>
          <w:numId w:val="88"/>
        </w:numPr>
      </w:pPr>
      <w:r w:rsidRPr="0045000F">
        <w:rPr>
          <w:rFonts w:cs="Arial"/>
          <w:rtl/>
        </w:rPr>
        <w:t xml:space="preserve">רי"ף </w:t>
      </w:r>
      <w:r w:rsidRPr="00B26965">
        <w:rPr>
          <w:rFonts w:cs="Arial"/>
          <w:sz w:val="16"/>
          <w:szCs w:val="16"/>
          <w:rtl/>
        </w:rPr>
        <w:t>(גיטין ג., עירובין כא.)</w:t>
      </w:r>
      <w:r w:rsidR="00A82951">
        <w:rPr>
          <w:rFonts w:cs="Arial" w:hint="cs"/>
          <w:rtl/>
        </w:rPr>
        <w:t>-</w:t>
      </w:r>
      <w:r w:rsidRPr="0045000F">
        <w:rPr>
          <w:rFonts w:cs="Arial"/>
          <w:rtl/>
        </w:rPr>
        <w:t xml:space="preserve"> פסול</w:t>
      </w:r>
      <w:r>
        <w:rPr>
          <w:rStyle w:val="a7"/>
          <w:rFonts w:cs="Arial"/>
          <w:rtl/>
        </w:rPr>
        <w:footnoteReference w:id="1351"/>
      </w:r>
      <w:r>
        <w:rPr>
          <w:rFonts w:cs="Arial" w:hint="cs"/>
          <w:rtl/>
        </w:rPr>
        <w:t>.</w:t>
      </w:r>
      <w:r w:rsidRPr="0045000F">
        <w:rPr>
          <w:rFonts w:cs="Arial"/>
          <w:rtl/>
        </w:rPr>
        <w:t xml:space="preserve"> </w:t>
      </w:r>
    </w:p>
    <w:p w14:paraId="1CC2C7E1" w14:textId="77777777" w:rsidR="00FA2119" w:rsidRPr="009D0AAB" w:rsidRDefault="00FA2119" w:rsidP="00FA2119">
      <w:pPr>
        <w:rPr>
          <w:u w:val="single"/>
        </w:rPr>
      </w:pPr>
      <w:r w:rsidRPr="009D0AAB">
        <w:rPr>
          <w:rFonts w:hint="cs"/>
          <w:u w:val="single"/>
          <w:rtl/>
        </w:rPr>
        <w:t>סופר שחתם בשם העדים:</w:t>
      </w:r>
    </w:p>
    <w:p w14:paraId="777ABADB" w14:textId="7F56692F" w:rsidR="00FA2119" w:rsidRDefault="00FA2119" w:rsidP="00FA2119">
      <w:pPr>
        <w:pStyle w:val="ab"/>
        <w:numPr>
          <w:ilvl w:val="0"/>
          <w:numId w:val="88"/>
        </w:numPr>
      </w:pPr>
      <w:r>
        <w:rPr>
          <w:rFonts w:cs="Arial" w:hint="cs"/>
          <w:rtl/>
        </w:rPr>
        <w:t xml:space="preserve">הג"א </w:t>
      </w:r>
      <w:r w:rsidRPr="009D0AAB">
        <w:rPr>
          <w:rFonts w:cs="Arial"/>
          <w:sz w:val="16"/>
          <w:szCs w:val="16"/>
          <w:rtl/>
        </w:rPr>
        <w:t>(</w:t>
      </w:r>
      <w:r w:rsidRPr="009D0AAB">
        <w:rPr>
          <w:rFonts w:cs="Arial" w:hint="cs"/>
          <w:sz w:val="16"/>
          <w:szCs w:val="16"/>
          <w:rtl/>
        </w:rPr>
        <w:t xml:space="preserve">פ"ב </w:t>
      </w:r>
      <w:r w:rsidRPr="009D0AAB">
        <w:rPr>
          <w:rFonts w:cs="Arial"/>
          <w:sz w:val="16"/>
          <w:szCs w:val="16"/>
          <w:rtl/>
        </w:rPr>
        <w:t xml:space="preserve">סי' יב) </w:t>
      </w:r>
      <w:r w:rsidRPr="0045000F">
        <w:rPr>
          <w:rFonts w:cs="Arial"/>
          <w:rtl/>
        </w:rPr>
        <w:t>בשם או</w:t>
      </w:r>
      <w:r>
        <w:rPr>
          <w:rFonts w:cs="Arial" w:hint="cs"/>
          <w:rtl/>
        </w:rPr>
        <w:t>"ז</w:t>
      </w:r>
      <w:r w:rsidRPr="009D0AAB">
        <w:rPr>
          <w:rFonts w:cs="Arial"/>
          <w:sz w:val="16"/>
          <w:szCs w:val="16"/>
          <w:rtl/>
        </w:rPr>
        <w:t xml:space="preserve"> (סימני או"ז סימן תשטו)</w:t>
      </w:r>
      <w:r w:rsidR="00A82951">
        <w:rPr>
          <w:rFonts w:cs="Arial" w:hint="cs"/>
          <w:rtl/>
        </w:rPr>
        <w:t>-</w:t>
      </w:r>
      <w:r>
        <w:rPr>
          <w:rFonts w:cs="Arial" w:hint="cs"/>
          <w:rtl/>
        </w:rPr>
        <w:t xml:space="preserve"> </w:t>
      </w:r>
      <w:r w:rsidRPr="0045000F">
        <w:rPr>
          <w:rFonts w:cs="Arial"/>
          <w:rtl/>
        </w:rPr>
        <w:t>גט שלא חתמו העדים בכתב ידן אלא הסופר חתמו</w:t>
      </w:r>
      <w:r>
        <w:rPr>
          <w:rFonts w:cs="Arial" w:hint="cs"/>
          <w:rtl/>
        </w:rPr>
        <w:t xml:space="preserve">, </w:t>
      </w:r>
      <w:r w:rsidRPr="0045000F">
        <w:rPr>
          <w:rFonts w:cs="Arial"/>
          <w:rtl/>
        </w:rPr>
        <w:t>השיב רבינו שמחה דכשר אפילו לרבי מאיר (גיטין כא:) דלא הוי מזוייף מתוכו</w:t>
      </w:r>
      <w:r>
        <w:rPr>
          <w:rFonts w:cs="Arial" w:hint="cs"/>
          <w:rtl/>
        </w:rPr>
        <w:t>,</w:t>
      </w:r>
      <w:r w:rsidRPr="0045000F">
        <w:rPr>
          <w:rFonts w:cs="Arial"/>
          <w:rtl/>
        </w:rPr>
        <w:t xml:space="preserve"> דכיון דאמרו לסופר חתום שמינו</w:t>
      </w:r>
      <w:r>
        <w:rPr>
          <w:rFonts w:cs="Arial" w:hint="cs"/>
          <w:rtl/>
        </w:rPr>
        <w:t xml:space="preserve"> </w:t>
      </w:r>
      <w:r w:rsidR="00A82951">
        <w:rPr>
          <w:rFonts w:cs="Arial" w:hint="cs"/>
          <w:rtl/>
        </w:rPr>
        <w:t>-</w:t>
      </w:r>
      <w:r w:rsidRPr="0045000F">
        <w:rPr>
          <w:rFonts w:cs="Arial"/>
          <w:rtl/>
        </w:rPr>
        <w:t xml:space="preserve"> כשר</w:t>
      </w:r>
      <w:r>
        <w:rPr>
          <w:rFonts w:cs="Arial" w:hint="cs"/>
          <w:rtl/>
        </w:rPr>
        <w:t>,</w:t>
      </w:r>
      <w:r w:rsidRPr="0045000F">
        <w:rPr>
          <w:rFonts w:cs="Arial"/>
          <w:rtl/>
        </w:rPr>
        <w:t xml:space="preserve"> כיון שחותמין לפניו והבעל נותנו לאשה כשר</w:t>
      </w:r>
      <w:r>
        <w:rPr>
          <w:rFonts w:cs="Arial" w:hint="cs"/>
          <w:rtl/>
        </w:rPr>
        <w:t>.</w:t>
      </w:r>
      <w:r w:rsidRPr="0045000F">
        <w:rPr>
          <w:rFonts w:cs="Arial"/>
          <w:rtl/>
        </w:rPr>
        <w:t xml:space="preserve"> וכן המביא גט ממדינת הים יכול לומר בפני נחתם על חתימת הסופר</w:t>
      </w:r>
      <w:r>
        <w:rPr>
          <w:rFonts w:cs="Arial" w:hint="cs"/>
          <w:rtl/>
        </w:rPr>
        <w:t>.</w:t>
      </w:r>
      <w:r w:rsidRPr="0045000F">
        <w:rPr>
          <w:rFonts w:cs="Arial"/>
          <w:rtl/>
        </w:rPr>
        <w:t xml:space="preserve"> ואין נראה בעיני כלל</w:t>
      </w:r>
      <w:r>
        <w:rPr>
          <w:rFonts w:cs="Arial" w:hint="cs"/>
          <w:rtl/>
        </w:rPr>
        <w:t>,</w:t>
      </w:r>
      <w:r w:rsidRPr="0045000F">
        <w:rPr>
          <w:rFonts w:cs="Arial"/>
          <w:rtl/>
        </w:rPr>
        <w:t xml:space="preserve"> אלא כל גט שאין חתומים העדים בכתב ידם </w:t>
      </w:r>
      <w:r w:rsidR="00A82951">
        <w:rPr>
          <w:rFonts w:cs="Arial" w:hint="cs"/>
          <w:rtl/>
        </w:rPr>
        <w:t>-</w:t>
      </w:r>
      <w:r>
        <w:rPr>
          <w:rFonts w:cs="Arial" w:hint="cs"/>
          <w:rtl/>
        </w:rPr>
        <w:t xml:space="preserve"> </w:t>
      </w:r>
      <w:r w:rsidRPr="0045000F">
        <w:rPr>
          <w:rFonts w:cs="Arial"/>
          <w:rtl/>
        </w:rPr>
        <w:t>הרי זה פסול גמור</w:t>
      </w:r>
      <w:r>
        <w:rPr>
          <w:rFonts w:cs="Arial" w:hint="cs"/>
          <w:rtl/>
        </w:rPr>
        <w:t>.</w:t>
      </w:r>
      <w:r w:rsidRPr="0045000F">
        <w:rPr>
          <w:rFonts w:cs="Arial"/>
          <w:rtl/>
        </w:rPr>
        <w:t xml:space="preserve"> אם בא מעשה לידי אני פוסלו</w:t>
      </w:r>
      <w:r>
        <w:rPr>
          <w:rFonts w:cs="Arial" w:hint="cs"/>
          <w:rtl/>
        </w:rPr>
        <w:t>.</w:t>
      </w:r>
      <w:r w:rsidRPr="0045000F">
        <w:rPr>
          <w:rFonts w:cs="Arial"/>
          <w:rtl/>
        </w:rPr>
        <w:t xml:space="preserve"> </w:t>
      </w:r>
    </w:p>
    <w:p w14:paraId="3A5F65A3" w14:textId="77777777" w:rsidR="00FA2119" w:rsidRPr="009D0AAB" w:rsidRDefault="00FA2119" w:rsidP="00FA2119">
      <w:pPr>
        <w:rPr>
          <w:u w:val="single"/>
        </w:rPr>
      </w:pPr>
      <w:r w:rsidRPr="009D0AAB">
        <w:rPr>
          <w:rFonts w:cs="Arial"/>
          <w:u w:val="single"/>
          <w:rtl/>
        </w:rPr>
        <w:t>בעל שמינה סופר ועדים שלא בפניהם</w:t>
      </w:r>
      <w:r w:rsidRPr="009D0AAB">
        <w:rPr>
          <w:rFonts w:hint="cs"/>
          <w:u w:val="single"/>
          <w:rtl/>
        </w:rPr>
        <w:t>:</w:t>
      </w:r>
    </w:p>
    <w:p w14:paraId="78CADE47" w14:textId="06A71968" w:rsidR="00FA2119" w:rsidRPr="009D0AAB" w:rsidRDefault="00FA2119" w:rsidP="00FA2119">
      <w:pPr>
        <w:pStyle w:val="ab"/>
        <w:numPr>
          <w:ilvl w:val="0"/>
          <w:numId w:val="88"/>
        </w:numPr>
      </w:pPr>
      <w:r w:rsidRPr="0045000F">
        <w:rPr>
          <w:rFonts w:cs="Arial"/>
          <w:rtl/>
        </w:rPr>
        <w:t>רא"ה</w:t>
      </w:r>
      <w:r>
        <w:rPr>
          <w:rFonts w:cs="Arial" w:hint="cs"/>
          <w:sz w:val="16"/>
          <w:szCs w:val="16"/>
          <w:rtl/>
        </w:rPr>
        <w:t xml:space="preserve"> (כ"כ הר"ן בשמו)</w:t>
      </w:r>
      <w:r w:rsidRPr="009D0AAB">
        <w:rPr>
          <w:rFonts w:cs="Arial"/>
          <w:rtl/>
        </w:rPr>
        <w:t xml:space="preserve"> </w:t>
      </w:r>
      <w:r>
        <w:rPr>
          <w:rFonts w:cs="Arial" w:hint="cs"/>
          <w:rtl/>
        </w:rPr>
        <w:t>ו</w:t>
      </w:r>
      <w:r w:rsidRPr="0045000F">
        <w:rPr>
          <w:rFonts w:cs="Arial"/>
          <w:rtl/>
        </w:rPr>
        <w:t xml:space="preserve">ר"ן </w:t>
      </w:r>
      <w:r w:rsidRPr="009D0AAB">
        <w:rPr>
          <w:rFonts w:cs="Arial" w:hint="cs"/>
          <w:sz w:val="16"/>
          <w:szCs w:val="16"/>
          <w:rtl/>
        </w:rPr>
        <w:t>(</w:t>
      </w:r>
      <w:r w:rsidRPr="009D0AAB">
        <w:rPr>
          <w:rFonts w:cs="Arial"/>
          <w:sz w:val="16"/>
          <w:szCs w:val="16"/>
          <w:rtl/>
        </w:rPr>
        <w:t>לג. ד"ה והקשה)</w:t>
      </w:r>
      <w:r w:rsidR="00A82951">
        <w:rPr>
          <w:rFonts w:cs="Arial" w:hint="cs"/>
          <w:rtl/>
        </w:rPr>
        <w:t>-</w:t>
      </w:r>
      <w:r>
        <w:rPr>
          <w:rFonts w:cs="Arial" w:hint="cs"/>
          <w:rtl/>
        </w:rPr>
        <w:t xml:space="preserve"> כשר</w:t>
      </w:r>
      <w:r>
        <w:rPr>
          <w:rStyle w:val="a7"/>
          <w:rFonts w:cs="Arial"/>
          <w:rtl/>
        </w:rPr>
        <w:footnoteReference w:id="1352"/>
      </w:r>
      <w:r>
        <w:rPr>
          <w:rFonts w:cs="Arial" w:hint="cs"/>
          <w:rtl/>
        </w:rPr>
        <w:t>.</w:t>
      </w:r>
    </w:p>
    <w:p w14:paraId="19BE2F40" w14:textId="63A189BE" w:rsidR="00FA2119" w:rsidRPr="00A438B3" w:rsidRDefault="00FA2119" w:rsidP="00FA2119">
      <w:pPr>
        <w:pStyle w:val="ab"/>
        <w:numPr>
          <w:ilvl w:val="0"/>
          <w:numId w:val="88"/>
        </w:numPr>
      </w:pPr>
      <w:r w:rsidRPr="0045000F">
        <w:rPr>
          <w:rFonts w:cs="Arial"/>
          <w:rtl/>
        </w:rPr>
        <w:lastRenderedPageBreak/>
        <w:t xml:space="preserve">רמב"ן </w:t>
      </w:r>
      <w:r w:rsidRPr="009D0AAB">
        <w:rPr>
          <w:rFonts w:cs="Arial"/>
          <w:sz w:val="16"/>
          <w:szCs w:val="16"/>
          <w:rtl/>
        </w:rPr>
        <w:t>(סז. ד"ה ואמר רב חסדא</w:t>
      </w:r>
      <w:r>
        <w:rPr>
          <w:rFonts w:cs="Arial" w:hint="cs"/>
          <w:sz w:val="16"/>
          <w:szCs w:val="16"/>
          <w:rtl/>
        </w:rPr>
        <w:t>, כ"כ הר"ן בשמו</w:t>
      </w:r>
      <w:r w:rsidRPr="009D0AAB">
        <w:rPr>
          <w:rFonts w:cs="Arial"/>
          <w:sz w:val="16"/>
          <w:szCs w:val="16"/>
          <w:rtl/>
        </w:rPr>
        <w:t>)</w:t>
      </w:r>
      <w:r w:rsidRPr="00A438B3">
        <w:rPr>
          <w:rFonts w:cs="Arial"/>
          <w:rtl/>
        </w:rPr>
        <w:t xml:space="preserve"> </w:t>
      </w:r>
      <w:r>
        <w:rPr>
          <w:rFonts w:cs="Arial" w:hint="cs"/>
          <w:rtl/>
        </w:rPr>
        <w:t>ו</w:t>
      </w:r>
      <w:r w:rsidRPr="0045000F">
        <w:rPr>
          <w:rFonts w:cs="Arial"/>
          <w:rtl/>
        </w:rPr>
        <w:t xml:space="preserve">רשב"א </w:t>
      </w:r>
      <w:r w:rsidRPr="00A438B3">
        <w:rPr>
          <w:rFonts w:cs="Arial"/>
          <w:sz w:val="16"/>
          <w:szCs w:val="16"/>
          <w:rtl/>
        </w:rPr>
        <w:t>(</w:t>
      </w:r>
      <w:r>
        <w:rPr>
          <w:rFonts w:cs="Arial" w:hint="cs"/>
          <w:sz w:val="16"/>
          <w:szCs w:val="16"/>
          <w:rtl/>
        </w:rPr>
        <w:t>סז.</w:t>
      </w:r>
      <w:r w:rsidRPr="00A438B3">
        <w:rPr>
          <w:rFonts w:cs="Arial"/>
          <w:sz w:val="16"/>
          <w:szCs w:val="16"/>
          <w:rtl/>
        </w:rPr>
        <w:t xml:space="preserve"> ד"ה ר' יוסי)</w:t>
      </w:r>
      <w:r w:rsidR="00A82951">
        <w:rPr>
          <w:rFonts w:cs="Arial" w:hint="cs"/>
          <w:rtl/>
        </w:rPr>
        <w:t>-</w:t>
      </w:r>
      <w:r w:rsidRPr="0045000F">
        <w:rPr>
          <w:rFonts w:cs="Arial"/>
          <w:rtl/>
        </w:rPr>
        <w:t xml:space="preserve"> פס</w:t>
      </w:r>
      <w:r>
        <w:rPr>
          <w:rFonts w:cs="Arial" w:hint="cs"/>
          <w:rtl/>
        </w:rPr>
        <w:t>ו</w:t>
      </w:r>
      <w:r w:rsidRPr="0045000F">
        <w:rPr>
          <w:rFonts w:cs="Arial"/>
          <w:rtl/>
        </w:rPr>
        <w:t>ל</w:t>
      </w:r>
      <w:r>
        <w:rPr>
          <w:rStyle w:val="a7"/>
          <w:rFonts w:cs="Arial"/>
          <w:rtl/>
        </w:rPr>
        <w:footnoteReference w:id="1353"/>
      </w:r>
      <w:r>
        <w:rPr>
          <w:rFonts w:cs="Arial" w:hint="cs"/>
          <w:rtl/>
        </w:rPr>
        <w:t>.</w:t>
      </w:r>
    </w:p>
    <w:p w14:paraId="30275BA1" w14:textId="77777777" w:rsidR="00FA2119" w:rsidRPr="00351B7D" w:rsidRDefault="00FA2119" w:rsidP="00FA2119">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30C7747" w14:textId="1F2B857E" w:rsidR="00FA2119" w:rsidRDefault="00FA2119" w:rsidP="00FA2119">
      <w:pPr>
        <w:rPr>
          <w:rFonts w:cs="Arial"/>
          <w:rtl/>
        </w:rPr>
        <w:sectPr w:rsidR="00FA2119" w:rsidSect="00A347B3">
          <w:headerReference w:type="default" r:id="rId23"/>
          <w:footnotePr>
            <w:numRestart w:val="eachSect"/>
          </w:footnotePr>
          <w:pgSz w:w="11906" w:h="16838"/>
          <w:pgMar w:top="720" w:right="1134" w:bottom="720" w:left="1134" w:header="0" w:footer="0" w:gutter="0"/>
          <w:cols w:space="720"/>
          <w:bidi/>
          <w:rtlGutter/>
          <w:docGrid w:linePitch="360"/>
        </w:sectPr>
      </w:pPr>
      <w:r>
        <w:rPr>
          <w:rFonts w:cs="Arial" w:hint="cs"/>
          <w:rtl/>
        </w:rPr>
        <w:t>יש</w:t>
      </w:r>
      <w:r>
        <w:rPr>
          <w:rFonts w:cs="Arial"/>
          <w:rtl/>
        </w:rPr>
        <w:t xml:space="preserve"> </w:t>
      </w:r>
      <w:r>
        <w:rPr>
          <w:rFonts w:cs="Arial" w:hint="cs"/>
          <w:rtl/>
        </w:rPr>
        <w:t>מי</w:t>
      </w:r>
      <w:r>
        <w:rPr>
          <w:rFonts w:cs="Arial"/>
          <w:rtl/>
        </w:rPr>
        <w:t xml:space="preserve"> </w:t>
      </w:r>
      <w:r>
        <w:rPr>
          <w:rFonts w:cs="Arial" w:hint="cs"/>
          <w:rtl/>
        </w:rPr>
        <w:t>שאומר</w:t>
      </w:r>
      <w:r>
        <w:rPr>
          <w:rFonts w:cs="Arial"/>
          <w:rtl/>
        </w:rPr>
        <w:t xml:space="preserve"> </w:t>
      </w:r>
      <w:r>
        <w:rPr>
          <w:rFonts w:cs="Arial" w:hint="cs"/>
          <w:rtl/>
        </w:rPr>
        <w:t>שצריך</w:t>
      </w:r>
      <w:r>
        <w:rPr>
          <w:rFonts w:cs="Arial"/>
          <w:rtl/>
        </w:rPr>
        <w:t xml:space="preserve"> </w:t>
      </w:r>
      <w:r>
        <w:rPr>
          <w:rFonts w:cs="Arial" w:hint="cs"/>
          <w:rtl/>
        </w:rPr>
        <w:t>שייבש</w:t>
      </w:r>
      <w:r>
        <w:rPr>
          <w:rFonts w:cs="Arial"/>
          <w:rtl/>
        </w:rPr>
        <w:t xml:space="preserve"> </w:t>
      </w:r>
      <w:r>
        <w:rPr>
          <w:rFonts w:cs="Arial" w:hint="cs"/>
          <w:rtl/>
        </w:rPr>
        <w:t>הגט</w:t>
      </w:r>
      <w:r>
        <w:rPr>
          <w:rFonts w:cs="Arial"/>
          <w:rtl/>
        </w:rPr>
        <w:t xml:space="preserve"> </w:t>
      </w:r>
      <w:r>
        <w:rPr>
          <w:rFonts w:cs="Arial" w:hint="cs"/>
          <w:rtl/>
        </w:rPr>
        <w:t>קודם</w:t>
      </w:r>
      <w:r>
        <w:rPr>
          <w:rFonts w:cs="Arial"/>
          <w:rtl/>
        </w:rPr>
        <w:t xml:space="preserve"> </w:t>
      </w:r>
      <w:r>
        <w:rPr>
          <w:rFonts w:cs="Arial" w:hint="cs"/>
          <w:rtl/>
        </w:rPr>
        <w:t>שיחתמו</w:t>
      </w:r>
      <w:r>
        <w:rPr>
          <w:rFonts w:cs="Arial"/>
          <w:rtl/>
        </w:rPr>
        <w:t xml:space="preserve"> </w:t>
      </w:r>
      <w:r>
        <w:rPr>
          <w:rFonts w:cs="Arial" w:hint="cs"/>
          <w:rtl/>
        </w:rPr>
        <w:t>העדים</w:t>
      </w:r>
      <w:r>
        <w:rPr>
          <w:rStyle w:val="a7"/>
          <w:rFonts w:cs="Arial"/>
          <w:rtl/>
        </w:rPr>
        <w:footnoteReference w:id="1354"/>
      </w:r>
      <w:r>
        <w:rPr>
          <w:rFonts w:cs="Arial" w:hint="cs"/>
          <w:rtl/>
        </w:rPr>
        <w:t>.</w:t>
      </w:r>
    </w:p>
    <w:p w14:paraId="2BC49D47" w14:textId="77777777" w:rsidR="00FA2119" w:rsidRDefault="00FA2119" w:rsidP="00FA2119">
      <w:pPr>
        <w:pStyle w:val="1"/>
      </w:pPr>
      <w:r>
        <w:rPr>
          <w:rtl/>
        </w:rPr>
        <w:lastRenderedPageBreak/>
        <w:t xml:space="preserve">סימן קלא: צריך שיהיה כתיבתו וחתימתו לשמה, ובו ט' סעיפים. </w:t>
      </w:r>
    </w:p>
    <w:p w14:paraId="30D27639" w14:textId="77777777" w:rsidR="00FA2119" w:rsidRDefault="00FA2119" w:rsidP="00FA2119">
      <w:pPr>
        <w:pStyle w:val="2"/>
        <w:rPr>
          <w:rtl/>
        </w:rPr>
      </w:pPr>
      <w:r>
        <w:rPr>
          <w:rtl/>
        </w:rPr>
        <w:t>סעיף א: כתיבת הגט וחתימתו לשמה.</w:t>
      </w:r>
    </w:p>
    <w:p w14:paraId="150E42D9" w14:textId="7282F48D" w:rsidR="00FA2119" w:rsidRDefault="00FA2119" w:rsidP="00FA2119">
      <w:pPr>
        <w:rPr>
          <w:rFonts w:cs="Arial"/>
          <w:rtl/>
        </w:rPr>
      </w:pPr>
      <w:r>
        <w:rPr>
          <w:rFonts w:cs="Arial"/>
          <w:b/>
          <w:bCs/>
          <w:rtl/>
        </w:rPr>
        <w:t xml:space="preserve">גיטין </w:t>
      </w:r>
      <w:r>
        <w:rPr>
          <w:rFonts w:cs="Arial"/>
          <w:b/>
          <w:bCs/>
          <w:szCs w:val="16"/>
          <w:rtl/>
        </w:rPr>
        <w:t xml:space="preserve">(פ' כל הגט) </w:t>
      </w:r>
      <w:r>
        <w:rPr>
          <w:rFonts w:cs="Arial"/>
          <w:b/>
          <w:bCs/>
          <w:rtl/>
        </w:rPr>
        <w:t>כו</w:t>
      </w:r>
      <w:r w:rsidR="001F508B">
        <w:rPr>
          <w:rStyle w:val="a7"/>
          <w:rFonts w:cs="Arial"/>
          <w:b/>
          <w:bCs/>
          <w:rtl/>
        </w:rPr>
        <w:footnoteReference w:id="1355"/>
      </w:r>
      <w:r>
        <w:rPr>
          <w:rFonts w:cs="Arial"/>
          <w:b/>
          <w:bCs/>
          <w:rtl/>
        </w:rPr>
        <w:t xml:space="preserve"> ע"א: </w:t>
      </w:r>
      <w:r>
        <w:rPr>
          <w:rFonts w:cs="Arial"/>
          <w:u w:val="double"/>
          <w:rtl/>
        </w:rPr>
        <w:t>מתני'</w:t>
      </w:r>
      <w:r>
        <w:rPr>
          <w:rFonts w:cs="Arial"/>
          <w:rtl/>
        </w:rPr>
        <w:t xml:space="preserve">: הכותב טופסי גיטין </w:t>
      </w:r>
      <w:r w:rsidR="00A82951">
        <w:rPr>
          <w:rFonts w:cs="Arial"/>
          <w:rtl/>
        </w:rPr>
        <w:t>-</w:t>
      </w:r>
      <w:r>
        <w:rPr>
          <w:rFonts w:cs="Arial"/>
          <w:rtl/>
        </w:rPr>
        <w:t xml:space="preserve"> צריך שיניח מקום האיש, ומקום האשה, ומקום הזמן. שטרי מלוה </w:t>
      </w:r>
      <w:r w:rsidR="00A82951">
        <w:rPr>
          <w:rFonts w:cs="Arial"/>
          <w:rtl/>
        </w:rPr>
        <w:t>-</w:t>
      </w:r>
      <w:r>
        <w:rPr>
          <w:rFonts w:cs="Arial"/>
          <w:rtl/>
        </w:rPr>
        <w:t xml:space="preserve"> צריך שיניח מקום המלוה, מקום הלוה, מקום המעות, מקום הזמן; שטרי מקח </w:t>
      </w:r>
      <w:r w:rsidR="00A82951">
        <w:rPr>
          <w:rFonts w:cs="Arial"/>
          <w:rtl/>
        </w:rPr>
        <w:t>-</w:t>
      </w:r>
      <w:r>
        <w:rPr>
          <w:rFonts w:cs="Arial"/>
          <w:rtl/>
        </w:rPr>
        <w:t xml:space="preserve"> צריך שיניח מקום הלוקח, ומקום המוכר, מקום המעות, מקום השדה, ומקום הזמן, מפני התקנה. </w:t>
      </w:r>
      <w:r>
        <w:rPr>
          <w:rFonts w:cs="Arial"/>
          <w:u w:val="single"/>
          <w:rtl/>
        </w:rPr>
        <w:t>ר' יהודה</w:t>
      </w:r>
      <w:r>
        <w:rPr>
          <w:rFonts w:cs="Arial"/>
          <w:rtl/>
        </w:rPr>
        <w:t xml:space="preserve">: פוסל בכולן. </w:t>
      </w:r>
      <w:r>
        <w:rPr>
          <w:rFonts w:cs="Arial"/>
          <w:u w:val="single"/>
          <w:rtl/>
        </w:rPr>
        <w:t>ר' אלעזר</w:t>
      </w:r>
      <w:r>
        <w:rPr>
          <w:rFonts w:cs="Arial"/>
          <w:rtl/>
        </w:rPr>
        <w:t xml:space="preserve">: מכשיר בכולן, חוץ מגיטי נשים, שנאמר: וכתב לה </w:t>
      </w:r>
      <w:r w:rsidR="00A82951">
        <w:rPr>
          <w:rFonts w:cs="Arial"/>
          <w:rtl/>
        </w:rPr>
        <w:t>-</w:t>
      </w:r>
      <w:r>
        <w:rPr>
          <w:rFonts w:cs="Arial"/>
          <w:rtl/>
        </w:rPr>
        <w:t xml:space="preserve"> לשמה.        </w:t>
      </w:r>
      <w:r>
        <w:rPr>
          <w:rFonts w:cs="Arial"/>
          <w:u w:val="double"/>
          <w:rtl/>
        </w:rPr>
        <w:t>גמ'</w:t>
      </w:r>
      <w:r>
        <w:rPr>
          <w:rFonts w:cs="Arial"/>
          <w:rtl/>
        </w:rPr>
        <w:t xml:space="preserve">: </w:t>
      </w:r>
      <w:r>
        <w:rPr>
          <w:rFonts w:cs="Arial"/>
          <w:u w:val="single"/>
          <w:rtl/>
        </w:rPr>
        <w:t>אמר רב יהודה אמר שמואל</w:t>
      </w:r>
      <w:r>
        <w:rPr>
          <w:rFonts w:cs="Arial"/>
          <w:rtl/>
        </w:rPr>
        <w:t>: צריך שיניח אף מקום הרי את מותרת</w:t>
      </w:r>
      <w:r>
        <w:rPr>
          <w:rStyle w:val="a7"/>
          <w:rFonts w:cs="Arial"/>
          <w:rtl/>
        </w:rPr>
        <w:footnoteReference w:id="1356"/>
      </w:r>
      <w:r>
        <w:rPr>
          <w:rFonts w:cs="Arial"/>
          <w:rtl/>
        </w:rPr>
        <w:t xml:space="preserve"> לכל אדם, ור' אלעזר היא, דאמר: עדי מסירה כרתי</w:t>
      </w:r>
      <w:r>
        <w:rPr>
          <w:rStyle w:val="a7"/>
          <w:rFonts w:cs="Arial"/>
          <w:rtl/>
        </w:rPr>
        <w:footnoteReference w:id="1357"/>
      </w:r>
      <w:r>
        <w:rPr>
          <w:rFonts w:cs="Arial"/>
          <w:rtl/>
        </w:rPr>
        <w:t xml:space="preserve">, ובעינן כתיבה לשמה... מפני התקנה. מאי תקנה? </w:t>
      </w:r>
      <w:r>
        <w:rPr>
          <w:rFonts w:cs="Arial"/>
          <w:u w:val="single"/>
          <w:rtl/>
        </w:rPr>
        <w:t>אמר ר' יונתן</w:t>
      </w:r>
      <w:r>
        <w:rPr>
          <w:rFonts w:cs="Arial"/>
          <w:rtl/>
        </w:rPr>
        <w:t xml:space="preserve">: מפני תקנת סופר, ור"א היא, דאמר: עדי מסירה כרתי, ובדין הוא דאפי' טופס נמי לא לכתוב, ומשום תקנת סופרים שרו רבנן. ר' יהודה פוסל בכולן, גזר טופס אטו תורף, גזר שטרות אטו גיטין. ור"א מכשיר בכולן חוץ מגיטי נשים, טופס אטו תורף גזר, שטרות אטו גיטין לא גזר. שנאמר: וכתב לה. והא כי כתיב לה </w:t>
      </w:r>
      <w:r w:rsidR="00A82951">
        <w:rPr>
          <w:rFonts w:cs="Arial"/>
          <w:rtl/>
        </w:rPr>
        <w:t>-</w:t>
      </w:r>
      <w:r>
        <w:rPr>
          <w:rFonts w:cs="Arial"/>
          <w:rtl/>
        </w:rPr>
        <w:t xml:space="preserve"> אתורף הוא דכתיב! אלא אימא, משום שנאמר: וכתב לה </w:t>
      </w:r>
      <w:r w:rsidR="00A82951">
        <w:rPr>
          <w:rFonts w:cs="Arial"/>
          <w:rtl/>
        </w:rPr>
        <w:t>-</w:t>
      </w:r>
      <w:r>
        <w:rPr>
          <w:rFonts w:cs="Arial"/>
          <w:rtl/>
        </w:rPr>
        <w:t xml:space="preserve"> לשמה. </w:t>
      </w:r>
      <w:r>
        <w:rPr>
          <w:rFonts w:cs="Arial"/>
          <w:sz w:val="14"/>
          <w:szCs w:val="14"/>
          <w:rtl/>
        </w:rPr>
        <w:t xml:space="preserve">(כו:) </w:t>
      </w:r>
      <w:r>
        <w:rPr>
          <w:rFonts w:cs="Arial"/>
          <w:rtl/>
        </w:rPr>
        <w:t>קשיא דר' אלעזר אדר' אלעזר</w:t>
      </w:r>
      <w:r>
        <w:rPr>
          <w:rStyle w:val="a7"/>
          <w:rFonts w:cs="Arial"/>
          <w:rtl/>
        </w:rPr>
        <w:footnoteReference w:id="1358"/>
      </w:r>
      <w:r>
        <w:rPr>
          <w:rFonts w:cs="Arial"/>
          <w:rtl/>
        </w:rPr>
        <w:t xml:space="preserve">! תרי תנאי ואליבא דר"א. </w:t>
      </w:r>
      <w:r>
        <w:rPr>
          <w:rFonts w:cs="Arial"/>
          <w:u w:val="single"/>
          <w:rtl/>
        </w:rPr>
        <w:t>ר' שבתי אמר חזקיה</w:t>
      </w:r>
      <w:r>
        <w:rPr>
          <w:rFonts w:cs="Arial"/>
          <w:rtl/>
        </w:rPr>
        <w:t xml:space="preserve">: משום קטטה, ור"מ היא, דאמר: עדי חתימה כרתי, ובדין הוא דאפי' תורף נמי לכתוב, וזמנין דשמעה ליה לסופר דקא כתיב, וסברה איהו קאמר ליה, והוה לה קטטה בהדיה. </w:t>
      </w:r>
      <w:r>
        <w:rPr>
          <w:rFonts w:cs="Arial"/>
          <w:u w:val="single"/>
          <w:rtl/>
        </w:rPr>
        <w:t>רב חסדא אמר אבימי</w:t>
      </w:r>
      <w:r>
        <w:rPr>
          <w:rFonts w:cs="Arial"/>
          <w:rtl/>
        </w:rPr>
        <w:t>: משום תקנת עגונות, אמרי לה ר"מ, ואמרי לה ר"א; אמרי לה ר"מ, דאמר: עדי חתימה כרתי, ובדין הוא דאפי' תורף נמי לכתוב, וזמנין דהוה ליה קטטה בהדה ורתח עלה, וזריק ליה ניהלה ומעגן ומותיב לה</w:t>
      </w:r>
      <w:r>
        <w:rPr>
          <w:rStyle w:val="a7"/>
          <w:rFonts w:cs="Arial"/>
          <w:rtl/>
        </w:rPr>
        <w:footnoteReference w:id="1359"/>
      </w:r>
      <w:r>
        <w:rPr>
          <w:rFonts w:cs="Arial"/>
          <w:rtl/>
        </w:rPr>
        <w:t>; אמרי לה ר"א, דאמר: עידי מסירה כרתי, ובדין הוא דאפי' טופס נמי לא לכתוב, וזמנין דבעי למיזל למדינת הים ולא אשכח ספרא, ושביק לה ואזיל ומעגן ומותיב לה...</w:t>
      </w:r>
      <w:r>
        <w:rPr>
          <w:rtl/>
        </w:rPr>
        <w:t xml:space="preserve"> </w:t>
      </w:r>
      <w:r>
        <w:rPr>
          <w:rFonts w:cs="Arial"/>
          <w:u w:val="single"/>
          <w:rtl/>
        </w:rPr>
        <w:t>א"ר זירא אמר ר' אבא בר שילא אמר רב המנונא סבא אמר רב אדא בר אהבה אמר רב</w:t>
      </w:r>
      <w:r>
        <w:rPr>
          <w:rFonts w:cs="Arial"/>
          <w:rtl/>
        </w:rPr>
        <w:t>: הלכה כר"א</w:t>
      </w:r>
      <w:r>
        <w:rPr>
          <w:rStyle w:val="a7"/>
          <w:rFonts w:cs="Arial"/>
          <w:rtl/>
        </w:rPr>
        <w:footnoteReference w:id="1360"/>
      </w:r>
      <w:r>
        <w:rPr>
          <w:rFonts w:cs="Arial"/>
          <w:rtl/>
        </w:rPr>
        <w:t xml:space="preserve">. </w:t>
      </w:r>
      <w:r>
        <w:rPr>
          <w:rFonts w:cs="Arial"/>
          <w:u w:val="single"/>
          <w:rtl/>
        </w:rPr>
        <w:t>קרי רב עליה דר"א</w:t>
      </w:r>
      <w:r>
        <w:rPr>
          <w:rFonts w:cs="Arial"/>
          <w:rtl/>
        </w:rPr>
        <w:t>: טובינא דחכימי</w:t>
      </w:r>
      <w:r>
        <w:rPr>
          <w:rStyle w:val="a7"/>
          <w:rFonts w:cs="Arial"/>
          <w:rtl/>
        </w:rPr>
        <w:footnoteReference w:id="1361"/>
      </w:r>
      <w:r>
        <w:rPr>
          <w:rFonts w:cs="Arial"/>
          <w:rtl/>
        </w:rPr>
        <w:t>.</w:t>
      </w:r>
      <w:r>
        <w:rPr>
          <w:rtl/>
        </w:rPr>
        <w:t xml:space="preserve"> </w:t>
      </w:r>
      <w:r>
        <w:rPr>
          <w:sz w:val="16"/>
          <w:szCs w:val="16"/>
          <w:rtl/>
        </w:rPr>
        <w:t>(</w:t>
      </w:r>
      <w:r>
        <w:rPr>
          <w:rFonts w:cs="Arial"/>
          <w:sz w:val="16"/>
          <w:szCs w:val="16"/>
          <w:rtl/>
        </w:rPr>
        <w:t>הלכך נקיטינן דבגיטי נשים לא התירו לכתוב אפילו טופס. ולפיכך השמיט הרי"ף ז"ל מאי דאמרינן בגמרא (כו.) דצריך שיניח אף מקום הרי את מותרת לכל אדם, משום דלא איתמר אלא אליבא דת"ק שמתיר לכתוב טופס, אבל אנן דקי"ל כרבי אלעזר אפי' טופס לא שרי. אבל הר"ם במז"ל כתב בפ"ג מהלכות גירושין (ה"ז) מפני תקנת הסופר התירו חכמים לסופר שיכתוב טופסי גיטין וכו'. נראה שהוא סובר דאע"ג דרבה פסיק הכא כרבי אלעזר</w:t>
      </w:r>
      <w:r w:rsidR="00861171">
        <w:rPr>
          <w:rFonts w:cs="Arial" w:hint="cs"/>
          <w:sz w:val="16"/>
          <w:szCs w:val="16"/>
          <w:rtl/>
        </w:rPr>
        <w:t xml:space="preserve"> -</w:t>
      </w:r>
      <w:r>
        <w:rPr>
          <w:rFonts w:cs="Arial"/>
          <w:sz w:val="16"/>
          <w:szCs w:val="16"/>
          <w:rtl/>
        </w:rPr>
        <w:t xml:space="preserve"> לא קי"ל הכי, דדחינן לה מקמיה דרב יהודה אמר שמואל ורב הונא משמיה דעולא דאוקמוה למתני' (כב:) דהכל כשרין לכתוב את הגט ואפי' חש"ו וכו' בשייר מקום התורף כדאיתא בפ' המביא תניין (כג.), אלמא סבירא להו דלא גזרינן טופס אטו תורף. וכבר כתבתי שם (י: ד"ה ר' אלעזר, יא: ד"ה ולענין) שיש לחלק ביניהם ולקיים את שתיהן, ר"ן (יג. מדפה"ר))</w:t>
      </w:r>
    </w:p>
    <w:p w14:paraId="5F274603" w14:textId="67C20AD9" w:rsidR="00FA2119" w:rsidRDefault="00FA2119" w:rsidP="00FA2119">
      <w:pPr>
        <w:rPr>
          <w:rFonts w:cs="Arial"/>
          <w:sz w:val="16"/>
          <w:szCs w:val="16"/>
          <w:rtl/>
        </w:rPr>
      </w:pPr>
      <w:r>
        <w:rPr>
          <w:rFonts w:cs="Arial"/>
          <w:b/>
          <w:bCs/>
          <w:rtl/>
        </w:rPr>
        <w:t xml:space="preserve">ירושלמי גיטין פ"ג ה"ב: </w:t>
      </w:r>
      <w:r>
        <w:rPr>
          <w:rFonts w:cs="Arial"/>
          <w:u w:val="single"/>
          <w:rtl/>
        </w:rPr>
        <w:t>רבי ירמיה בשם ר' זעירה</w:t>
      </w:r>
      <w:r>
        <w:rPr>
          <w:rFonts w:cs="Arial"/>
          <w:rtl/>
        </w:rPr>
        <w:t xml:space="preserve">: מפסולו את למד הכשירו. אילו כתב כולו לשמה ושם האיש ושם האשה שלא לשמה </w:t>
      </w:r>
      <w:r w:rsidR="00A82951">
        <w:rPr>
          <w:rFonts w:cs="Arial"/>
          <w:rtl/>
        </w:rPr>
        <w:t>-</w:t>
      </w:r>
      <w:r>
        <w:rPr>
          <w:rFonts w:cs="Arial"/>
          <w:rtl/>
        </w:rPr>
        <w:t xml:space="preserve"> שמא אינו פסול. ודכוותה כתב כולו שלא לשמה, ושם האיש ושם האשה לשמה </w:t>
      </w:r>
      <w:r w:rsidR="00A82951">
        <w:rPr>
          <w:rFonts w:cs="Arial"/>
          <w:rtl/>
        </w:rPr>
        <w:t>-</w:t>
      </w:r>
      <w:r>
        <w:rPr>
          <w:rFonts w:cs="Arial"/>
          <w:rtl/>
        </w:rPr>
        <w:t xml:space="preserve"> כשר. </w:t>
      </w:r>
      <w:r>
        <w:rPr>
          <w:rFonts w:cs="Arial"/>
          <w:sz w:val="16"/>
          <w:szCs w:val="16"/>
          <w:rtl/>
        </w:rPr>
        <w:t xml:space="preserve">(וכתב בהג"א (פ"ב דגיטין סי' יז) ירושלמי זה, וכתב דמשמע אפילו כתב 'הרי את מותרת לכל אדם' שלא לשמה כשר. ופליג אדשמואל דפ' כל הגט (שם) דלדידיה גם הרי את מותרת לכל אדם צריך לכתוב לשמה, מאור זרוע. עכ"ל. ודבר פשוט הוא דלא קיי"ל כירושלמי במקום גמרא דילן. ומיהו לפי שבטופסי הראשונים לא היה כתוב 'הרי את מותרת לכל אדם', יש לחוש לדברי הירושלמי להחמיר אם נתגרשה בגט זה ופשטה ידה וקיבלה קידושין מאחר, ב"י (בסי' קכג). והוסיף הדרכ"מ (כאן אות ג) דכל שכן דפסול למאן דפסיל בטופס לחוד </w:t>
      </w:r>
      <w:r>
        <w:rPr>
          <w:rFonts w:cs="Arial"/>
          <w:sz w:val="14"/>
          <w:szCs w:val="14"/>
          <w:rtl/>
        </w:rPr>
        <w:t>{כמו שיתבאר בסמוך}</w:t>
      </w:r>
      <w:r>
        <w:rPr>
          <w:rFonts w:cs="Arial"/>
          <w:sz w:val="16"/>
          <w:szCs w:val="16"/>
          <w:rtl/>
        </w:rPr>
        <w:t>)</w:t>
      </w:r>
    </w:p>
    <w:p w14:paraId="00B5D05D" w14:textId="77777777" w:rsidR="00FA2119" w:rsidRDefault="00FA2119" w:rsidP="00FA2119">
      <w:pPr>
        <w:rPr>
          <w:u w:val="single"/>
          <w:rtl/>
        </w:rPr>
      </w:pPr>
      <w:r>
        <w:rPr>
          <w:u w:val="single"/>
          <w:rtl/>
        </w:rPr>
        <w:t>כתיבת הגט וחתימתו לשמה:</w:t>
      </w:r>
    </w:p>
    <w:p w14:paraId="5A072925" w14:textId="3F426E01" w:rsidR="00FA2119" w:rsidRDefault="00FA2119" w:rsidP="006A458D">
      <w:pPr>
        <w:pStyle w:val="ab"/>
        <w:numPr>
          <w:ilvl w:val="0"/>
          <w:numId w:val="89"/>
        </w:numPr>
        <w:rPr>
          <w:rtl/>
        </w:rPr>
      </w:pPr>
      <w:r>
        <w:rPr>
          <w:rtl/>
        </w:rPr>
        <w:t xml:space="preserve">רי"ף </w:t>
      </w:r>
      <w:r>
        <w:rPr>
          <w:sz w:val="16"/>
          <w:szCs w:val="16"/>
          <w:rtl/>
        </w:rPr>
        <w:t>(להב'</w:t>
      </w:r>
      <w:r w:rsidR="001F508B">
        <w:rPr>
          <w:rFonts w:hint="cs"/>
          <w:sz w:val="16"/>
          <w:szCs w:val="16"/>
          <w:rtl/>
        </w:rPr>
        <w:t xml:space="preserve"> </w:t>
      </w:r>
      <w:r>
        <w:rPr>
          <w:sz w:val="16"/>
          <w:szCs w:val="16"/>
          <w:rtl/>
        </w:rPr>
        <w:t>הר"ן)</w:t>
      </w:r>
      <w:r>
        <w:rPr>
          <w:rtl/>
        </w:rPr>
        <w:t xml:space="preserve"> טור ור"ן </w:t>
      </w:r>
      <w:r>
        <w:rPr>
          <w:sz w:val="16"/>
          <w:szCs w:val="16"/>
          <w:rtl/>
        </w:rPr>
        <w:t>(יג.)</w:t>
      </w:r>
      <w:r w:rsidR="00A82951">
        <w:rPr>
          <w:rtl/>
        </w:rPr>
        <w:t>-</w:t>
      </w:r>
      <w:r>
        <w:rPr>
          <w:rtl/>
        </w:rPr>
        <w:t xml:space="preserve"> </w:t>
      </w:r>
      <w:r>
        <w:rPr>
          <w:rFonts w:cs="Arial"/>
          <w:rtl/>
        </w:rPr>
        <w:t>צריך שתהא כתיבת הגט וחתימתו לשם האיש והאשה, לא שנא טופס ל"ש תורף. לפיכך לא יכתוב הסופר טופסי גיטין כדי שיהו מצויין אצלו בכל עת שירצה וכשיבאו להתגרש כותב התורף לשמו</w:t>
      </w:r>
      <w:r>
        <w:rPr>
          <w:rFonts w:cs="Arial"/>
          <w:sz w:val="16"/>
          <w:szCs w:val="16"/>
          <w:rtl/>
        </w:rPr>
        <w:t xml:space="preserve"> (ל' הטור)</w:t>
      </w:r>
      <w:r>
        <w:rPr>
          <w:rFonts w:cs="Arial"/>
          <w:rtl/>
        </w:rPr>
        <w:t xml:space="preserve">. </w:t>
      </w:r>
    </w:p>
    <w:p w14:paraId="5FC25478" w14:textId="6B14CA6A" w:rsidR="00FA2119" w:rsidRDefault="00FA2119" w:rsidP="006A458D">
      <w:pPr>
        <w:pStyle w:val="ab"/>
        <w:numPr>
          <w:ilvl w:val="0"/>
          <w:numId w:val="89"/>
        </w:numPr>
      </w:pPr>
      <w:r>
        <w:rPr>
          <w:rFonts w:cs="Arial"/>
          <w:rtl/>
        </w:rPr>
        <w:t xml:space="preserve">רמב"ם </w:t>
      </w:r>
      <w:r>
        <w:rPr>
          <w:rFonts w:cs="Arial"/>
          <w:sz w:val="16"/>
          <w:szCs w:val="16"/>
          <w:rtl/>
        </w:rPr>
        <w:t>(פ"ג ה"א וה"ז)</w:t>
      </w:r>
      <w:r w:rsidR="00A82951">
        <w:rPr>
          <w:rFonts w:cs="Arial"/>
          <w:rtl/>
        </w:rPr>
        <w:t>-</w:t>
      </w:r>
      <w:r>
        <w:rPr>
          <w:rFonts w:cs="Arial"/>
          <w:rtl/>
        </w:rPr>
        <w:t xml:space="preserve"> כל גט שלא נכתב לשם האיש המגרש ולשם האשה המתגרשת אינו גט... מפני תקנת סופר התירו</w:t>
      </w:r>
      <w:r>
        <w:rPr>
          <w:rStyle w:val="a7"/>
          <w:rFonts w:cs="Arial"/>
          <w:rtl/>
        </w:rPr>
        <w:footnoteReference w:id="1362"/>
      </w:r>
      <w:r>
        <w:rPr>
          <w:rFonts w:cs="Arial"/>
          <w:rtl/>
        </w:rPr>
        <w:t xml:space="preserve"> חכמים לסופר שיכתוב טופסי גיטין, ויניח מקום האיש ומקום האשה ומקום הזמן ומקום הרי את </w:t>
      </w:r>
      <w:r>
        <w:rPr>
          <w:rFonts w:cs="Arial"/>
          <w:rtl/>
        </w:rPr>
        <w:lastRenderedPageBreak/>
        <w:t>מותרת לכל אדם, כדי שיכתבם לשם האיש המגרש ולשם האשה המתגרשת</w:t>
      </w:r>
      <w:r w:rsidR="004C05C0">
        <w:rPr>
          <w:rStyle w:val="a7"/>
          <w:rFonts w:cs="Arial"/>
          <w:rtl/>
        </w:rPr>
        <w:footnoteReference w:id="1363"/>
      </w:r>
      <w:r>
        <w:rPr>
          <w:rFonts w:cs="Arial"/>
          <w:rtl/>
        </w:rPr>
        <w:t>. וכן יחתמו העדים לשמו ולשמה</w:t>
      </w:r>
      <w:r>
        <w:rPr>
          <w:rStyle w:val="a7"/>
          <w:rFonts w:cs="Arial"/>
          <w:rtl/>
        </w:rPr>
        <w:footnoteReference w:id="1364"/>
      </w:r>
      <w:r>
        <w:rPr>
          <w:rFonts w:cs="Arial"/>
          <w:rtl/>
        </w:rPr>
        <w:t xml:space="preserve">. </w:t>
      </w:r>
    </w:p>
    <w:p w14:paraId="3D2F77B4" w14:textId="77777777" w:rsidR="00FA2119" w:rsidRDefault="00FA2119" w:rsidP="00FA2119">
      <w:pPr>
        <w:ind w:left="360"/>
        <w:rPr>
          <w:u w:val="dotted"/>
          <w:rtl/>
        </w:rPr>
      </w:pPr>
      <w:r>
        <w:rPr>
          <w:u w:val="dotted"/>
          <w:rtl/>
        </w:rPr>
        <w:t>ומה הדין אם כבר כתב את טופס הגט:</w:t>
      </w:r>
    </w:p>
    <w:p w14:paraId="611014BF" w14:textId="3340AFCF" w:rsidR="00FA2119" w:rsidRDefault="00FA2119" w:rsidP="006A458D">
      <w:pPr>
        <w:pStyle w:val="ab"/>
        <w:numPr>
          <w:ilvl w:val="0"/>
          <w:numId w:val="89"/>
        </w:numPr>
      </w:pPr>
      <w:r>
        <w:rPr>
          <w:rFonts w:cs="Arial"/>
          <w:rtl/>
        </w:rPr>
        <w:t xml:space="preserve">רמב"ן </w:t>
      </w:r>
      <w:r>
        <w:rPr>
          <w:rFonts w:cs="Arial"/>
          <w:sz w:val="16"/>
          <w:szCs w:val="16"/>
          <w:rtl/>
        </w:rPr>
        <w:t>(כו. ד"ה שטרות)</w:t>
      </w:r>
      <w:r>
        <w:rPr>
          <w:rFonts w:cs="Arial"/>
          <w:rtl/>
        </w:rPr>
        <w:t xml:space="preserve"> ורמ"ה</w:t>
      </w:r>
      <w:r>
        <w:rPr>
          <w:rFonts w:cs="Arial"/>
          <w:sz w:val="16"/>
          <w:szCs w:val="16"/>
          <w:rtl/>
        </w:rPr>
        <w:t xml:space="preserve"> (כ"כ הרא"ש והטור בשמו)</w:t>
      </w:r>
      <w:r w:rsidR="00A82951">
        <w:rPr>
          <w:rFonts w:cs="Arial"/>
          <w:rtl/>
        </w:rPr>
        <w:t>-</w:t>
      </w:r>
      <w:r>
        <w:rPr>
          <w:rFonts w:cs="Arial"/>
          <w:rtl/>
        </w:rPr>
        <w:t xml:space="preserve"> איפסיקא הלכתא כר"א דפסיל בטופס גיטין אפי' בדיעבד</w:t>
      </w:r>
      <w:r>
        <w:rPr>
          <w:rStyle w:val="a7"/>
          <w:rFonts w:cs="Arial"/>
          <w:rtl/>
        </w:rPr>
        <w:footnoteReference w:id="1365"/>
      </w:r>
      <w:r>
        <w:rPr>
          <w:rFonts w:cs="Arial"/>
          <w:rtl/>
        </w:rPr>
        <w:t>. והא דתנן כתבו על המחובר תלשו וחתמו כשר, הכא שכיח טפי טובא ואי שרית להו לספרי כתבי נמי לתורף. וגבי חרש שוטה וקטן לא גזרינן אפי' לכתחילה דמילתא דלא שכיחא היא וכדפרישית לעיל</w:t>
      </w:r>
      <w:r>
        <w:rPr>
          <w:rStyle w:val="a7"/>
          <w:rFonts w:cs="Arial"/>
          <w:rtl/>
        </w:rPr>
        <w:footnoteReference w:id="1366"/>
      </w:r>
      <w:r>
        <w:rPr>
          <w:rFonts w:cs="Arial"/>
          <w:sz w:val="16"/>
          <w:szCs w:val="16"/>
          <w:rtl/>
        </w:rPr>
        <w:t xml:space="preserve"> (ל' הרמב"ן)</w:t>
      </w:r>
      <w:r>
        <w:rPr>
          <w:rStyle w:val="a7"/>
          <w:rFonts w:cs="Arial"/>
          <w:rtl/>
        </w:rPr>
        <w:footnoteReference w:id="1367"/>
      </w:r>
      <w:r>
        <w:rPr>
          <w:rFonts w:cs="Arial"/>
          <w:rtl/>
        </w:rPr>
        <w:t xml:space="preserve">. </w:t>
      </w:r>
    </w:p>
    <w:p w14:paraId="40F8D3DB" w14:textId="6CE854D5" w:rsidR="00FA2119" w:rsidRDefault="00FA2119" w:rsidP="006A458D">
      <w:pPr>
        <w:pStyle w:val="ab"/>
        <w:numPr>
          <w:ilvl w:val="0"/>
          <w:numId w:val="89"/>
        </w:numPr>
        <w:rPr>
          <w:rtl/>
        </w:rPr>
      </w:pPr>
      <w:r>
        <w:rPr>
          <w:rFonts w:cs="Arial"/>
          <w:rtl/>
        </w:rPr>
        <w:t xml:space="preserve">רא"ש </w:t>
      </w:r>
      <w:r>
        <w:rPr>
          <w:rFonts w:cs="Arial"/>
          <w:sz w:val="16"/>
          <w:szCs w:val="16"/>
          <w:rtl/>
        </w:rPr>
        <w:t>(פ"ג סי' ב)</w:t>
      </w:r>
      <w:r w:rsidR="00A82951">
        <w:rPr>
          <w:rFonts w:cs="Arial"/>
          <w:rtl/>
        </w:rPr>
        <w:t>-</w:t>
      </w:r>
      <w:r>
        <w:rPr>
          <w:rFonts w:cs="Arial"/>
          <w:rtl/>
        </w:rPr>
        <w:t xml:space="preserve"> </w:t>
      </w:r>
      <w:r>
        <w:rPr>
          <w:rStyle w:val="a7"/>
          <w:rFonts w:cs="Arial"/>
          <w:rtl/>
        </w:rPr>
        <w:footnoteReference w:id="1368"/>
      </w:r>
      <w:r>
        <w:rPr>
          <w:rFonts w:cs="Arial"/>
          <w:rtl/>
        </w:rPr>
        <w:t>דוקא לכתחלה גזר רבי אלעזר טופס אטו תורף, אבל בדיעבד</w:t>
      </w:r>
      <w:r>
        <w:rPr>
          <w:rStyle w:val="a7"/>
          <w:rFonts w:cs="Arial"/>
          <w:rtl/>
        </w:rPr>
        <w:footnoteReference w:id="1369"/>
      </w:r>
      <w:r>
        <w:rPr>
          <w:rFonts w:cs="Arial"/>
          <w:rtl/>
        </w:rPr>
        <w:t xml:space="preserve"> אף לכתחלה תנשא כדאמרינן (גיטין כא:) גבי מחובר תלשו וחתמו ונתנו לה כשר... ומכל מקום טוב להחמיר ולגרשה בגט אחר אם הבעל לפנינו</w:t>
      </w:r>
      <w:r w:rsidR="004C05C0">
        <w:rPr>
          <w:rStyle w:val="a7"/>
          <w:rFonts w:cs="Arial"/>
          <w:rtl/>
        </w:rPr>
        <w:footnoteReference w:id="1370"/>
      </w:r>
      <w:r>
        <w:rPr>
          <w:rtl/>
        </w:rPr>
        <w:t>.</w:t>
      </w:r>
    </w:p>
    <w:p w14:paraId="24E444B0" w14:textId="65C9AC52" w:rsidR="00FA2119" w:rsidRDefault="00FA2119" w:rsidP="00FA2119">
      <w:pPr>
        <w:rPr>
          <w:u w:val="single"/>
        </w:rPr>
      </w:pPr>
      <w:r>
        <w:rPr>
          <w:rFonts w:cs="Arial"/>
          <w:b/>
          <w:bCs/>
          <w:rtl/>
        </w:rPr>
        <w:t xml:space="preserve">גיטין </w:t>
      </w:r>
      <w:r>
        <w:rPr>
          <w:rFonts w:cs="Arial"/>
          <w:b/>
          <w:bCs/>
          <w:szCs w:val="16"/>
          <w:rtl/>
        </w:rPr>
        <w:t xml:space="preserve">(ר"פ כל הגט) </w:t>
      </w:r>
      <w:r>
        <w:rPr>
          <w:rFonts w:cs="Arial"/>
          <w:b/>
          <w:bCs/>
          <w:rtl/>
        </w:rPr>
        <w:t xml:space="preserve">כד ע"א: </w:t>
      </w:r>
      <w:r>
        <w:rPr>
          <w:rFonts w:cs="Arial"/>
          <w:u w:val="double"/>
          <w:rtl/>
        </w:rPr>
        <w:t>מתני'</w:t>
      </w:r>
      <w:r>
        <w:rPr>
          <w:rFonts w:cs="Arial"/>
          <w:rtl/>
        </w:rPr>
        <w:t xml:space="preserve">: כל גט שנכתב שלא לשום אשה </w:t>
      </w:r>
      <w:r w:rsidR="00A82951">
        <w:rPr>
          <w:rFonts w:cs="Arial"/>
          <w:rtl/>
        </w:rPr>
        <w:t>-</w:t>
      </w:r>
      <w:r>
        <w:rPr>
          <w:rFonts w:cs="Arial"/>
          <w:rtl/>
        </w:rPr>
        <w:t xml:space="preserve"> פסול. כיצד? היה עובר בשוק, ושמע קול סופרים מקרין איש פלוני מגרש את פלונית ממקום פלוני, ואמר זה שמי וזה שם אשתי </w:t>
      </w:r>
      <w:r w:rsidR="00A82951">
        <w:rPr>
          <w:rFonts w:cs="Arial"/>
          <w:rtl/>
        </w:rPr>
        <w:t>-</w:t>
      </w:r>
      <w:r>
        <w:rPr>
          <w:rFonts w:cs="Arial"/>
          <w:rtl/>
        </w:rPr>
        <w:t xml:space="preserve"> פסול לגרש בו. יתר מיכן, כתב לגרש את אשתו ונמלך, מצאו בן עירו ואמר לו שמי כשמך ושם אשתי כשם אשתך </w:t>
      </w:r>
      <w:r w:rsidR="00A82951">
        <w:rPr>
          <w:rFonts w:cs="Arial"/>
          <w:rtl/>
        </w:rPr>
        <w:t>-</w:t>
      </w:r>
      <w:r>
        <w:rPr>
          <w:rFonts w:cs="Arial"/>
          <w:rtl/>
        </w:rPr>
        <w:t xml:space="preserve"> פסול לגרש בו.</w:t>
      </w:r>
      <w:r>
        <w:rPr>
          <w:rtl/>
        </w:rPr>
        <w:t xml:space="preserve"> </w:t>
      </w:r>
      <w:r>
        <w:rPr>
          <w:sz w:val="14"/>
          <w:szCs w:val="14"/>
          <w:rtl/>
        </w:rPr>
        <w:t xml:space="preserve">(כד:) </w:t>
      </w:r>
      <w:r>
        <w:rPr>
          <w:rFonts w:cs="Arial"/>
          <w:rtl/>
        </w:rPr>
        <w:t xml:space="preserve">יתר מיכן, היו לו שתי נשים ושמותיהן שוות, כתב לגרש את הגדולה </w:t>
      </w:r>
      <w:r w:rsidR="00A82951">
        <w:rPr>
          <w:rFonts w:cs="Arial"/>
          <w:rtl/>
        </w:rPr>
        <w:t>-</w:t>
      </w:r>
      <w:r>
        <w:rPr>
          <w:rFonts w:cs="Arial"/>
          <w:rtl/>
        </w:rPr>
        <w:t xml:space="preserve"> לא יגרש בו את הקטנה. יתר מיכן, אמר ללבלר כתוב לאיזו שארצה אגרש </w:t>
      </w:r>
      <w:r w:rsidR="00A82951">
        <w:rPr>
          <w:rFonts w:cs="Arial"/>
          <w:rtl/>
        </w:rPr>
        <w:t>-</w:t>
      </w:r>
      <w:r>
        <w:rPr>
          <w:rFonts w:cs="Arial"/>
          <w:rtl/>
        </w:rPr>
        <w:t xml:space="preserve"> פסול לגרש בו.          </w:t>
      </w:r>
      <w:r>
        <w:rPr>
          <w:rFonts w:cs="Arial"/>
          <w:u w:val="double"/>
          <w:rtl/>
        </w:rPr>
        <w:t>גמ':</w:t>
      </w:r>
      <w:r>
        <w:rPr>
          <w:rFonts w:cs="Arial"/>
          <w:rtl/>
        </w:rPr>
        <w:t xml:space="preserve"> </w:t>
      </w:r>
      <w:r>
        <w:rPr>
          <w:rFonts w:cs="Arial"/>
          <w:u w:val="single"/>
          <w:rtl/>
        </w:rPr>
        <w:t>אמר רב</w:t>
      </w:r>
      <w:r>
        <w:rPr>
          <w:rFonts w:cs="Arial"/>
          <w:rtl/>
        </w:rPr>
        <w:t xml:space="preserve">: כולן פוסלין בכהונה חוץ מן הראשון. </w:t>
      </w:r>
      <w:r>
        <w:rPr>
          <w:rFonts w:cs="Arial"/>
          <w:u w:val="single"/>
          <w:rtl/>
        </w:rPr>
        <w:t>ושמואל אמר</w:t>
      </w:r>
      <w:r>
        <w:rPr>
          <w:rFonts w:cs="Arial"/>
          <w:rtl/>
        </w:rPr>
        <w:t>: אף ראשון נמי פוסל...</w:t>
      </w:r>
      <w:r>
        <w:rPr>
          <w:rFonts w:cs="Arial"/>
          <w:sz w:val="14"/>
          <w:szCs w:val="14"/>
          <w:rtl/>
        </w:rPr>
        <w:t xml:space="preserve"> (כה.)</w:t>
      </w:r>
      <w:r>
        <w:rPr>
          <w:rFonts w:cs="Arial"/>
          <w:rtl/>
        </w:rPr>
        <w:t xml:space="preserve"> </w:t>
      </w:r>
      <w:r>
        <w:rPr>
          <w:rFonts w:cs="Arial"/>
          <w:u w:val="single"/>
          <w:rtl/>
        </w:rPr>
        <w:t>זעירי אמר</w:t>
      </w:r>
      <w:r>
        <w:rPr>
          <w:rFonts w:cs="Arial"/>
          <w:rtl/>
        </w:rPr>
        <w:t xml:space="preserve">: כולן אין פוסלין חוץ מן האחרון. </w:t>
      </w:r>
      <w:r>
        <w:rPr>
          <w:rFonts w:cs="Arial"/>
          <w:u w:val="single"/>
          <w:rtl/>
        </w:rPr>
        <w:t>וכן אמר רב אסי</w:t>
      </w:r>
      <w:r>
        <w:rPr>
          <w:rFonts w:cs="Arial"/>
          <w:rtl/>
        </w:rPr>
        <w:t xml:space="preserve">: כולן אין פוסלין חוץ מן האחרון. </w:t>
      </w:r>
      <w:r>
        <w:rPr>
          <w:rFonts w:cs="Arial"/>
          <w:u w:val="single"/>
          <w:rtl/>
        </w:rPr>
        <w:t>ור' יוחנן אמר</w:t>
      </w:r>
      <w:r>
        <w:rPr>
          <w:rFonts w:cs="Arial"/>
          <w:rtl/>
        </w:rPr>
        <w:t>: אף אחרון נמי אינו פוסל</w:t>
      </w:r>
      <w:r>
        <w:rPr>
          <w:rStyle w:val="a7"/>
          <w:rFonts w:cs="Arial"/>
          <w:rtl/>
        </w:rPr>
        <w:footnoteReference w:id="1371"/>
      </w:r>
      <w:r>
        <w:rPr>
          <w:rFonts w:cs="Arial"/>
          <w:rtl/>
        </w:rPr>
        <w:t xml:space="preserve">... </w:t>
      </w:r>
      <w:r>
        <w:rPr>
          <w:rFonts w:cs="Arial"/>
          <w:u w:val="single"/>
          <w:rtl/>
        </w:rPr>
        <w:t>בעא מיניה רב הושעיא מרב יהודה</w:t>
      </w:r>
      <w:r>
        <w:rPr>
          <w:rFonts w:cs="Arial"/>
          <w:rtl/>
        </w:rPr>
        <w:t>: אמר ללבלר כתוב לאיזו שתצא בפתח תחילה</w:t>
      </w:r>
      <w:r>
        <w:rPr>
          <w:rStyle w:val="a7"/>
          <w:rFonts w:cs="Arial"/>
          <w:rtl/>
        </w:rPr>
        <w:footnoteReference w:id="1372"/>
      </w:r>
      <w:r>
        <w:rPr>
          <w:rFonts w:cs="Arial"/>
          <w:rtl/>
        </w:rPr>
        <w:t xml:space="preserve">, מהו? </w:t>
      </w:r>
      <w:r>
        <w:rPr>
          <w:rFonts w:cs="Arial"/>
          <w:u w:val="single"/>
          <w:rtl/>
        </w:rPr>
        <w:t>אמר ליה</w:t>
      </w:r>
      <w:r>
        <w:rPr>
          <w:rFonts w:cs="Arial"/>
          <w:rtl/>
        </w:rPr>
        <w:t xml:space="preserve">: תניתוה: יתר מיכן, אמר ללבלר כתוב לאיזו שארצה אגרש </w:t>
      </w:r>
      <w:r w:rsidR="00A82951">
        <w:rPr>
          <w:rFonts w:cs="Arial"/>
          <w:rtl/>
        </w:rPr>
        <w:t>-</w:t>
      </w:r>
      <w:r>
        <w:rPr>
          <w:rFonts w:cs="Arial"/>
          <w:rtl/>
        </w:rPr>
        <w:t xml:space="preserve"> פסול לגרש בו, אלמא אין ברירה.</w:t>
      </w:r>
    </w:p>
    <w:p w14:paraId="642BDC64" w14:textId="77777777" w:rsidR="00FA2119" w:rsidRDefault="00FA2119" w:rsidP="00FA2119">
      <w:pPr>
        <w:rPr>
          <w:u w:val="single"/>
          <w:rtl/>
        </w:rPr>
      </w:pPr>
      <w:r>
        <w:rPr>
          <w:u w:val="single"/>
          <w:rtl/>
        </w:rPr>
        <w:t>היכי דמי כתיבת גט שלא לשמה:</w:t>
      </w:r>
    </w:p>
    <w:p w14:paraId="01B2DAF9" w14:textId="356A7F89" w:rsidR="00FA2119" w:rsidRDefault="00FA2119" w:rsidP="006A458D">
      <w:pPr>
        <w:pStyle w:val="ab"/>
        <w:numPr>
          <w:ilvl w:val="0"/>
          <w:numId w:val="89"/>
        </w:numPr>
      </w:pPr>
      <w:r>
        <w:rPr>
          <w:rtl/>
        </w:rPr>
        <w:t>טור</w:t>
      </w:r>
      <w:r w:rsidR="00A82951">
        <w:rPr>
          <w:rtl/>
        </w:rPr>
        <w:t>-</w:t>
      </w:r>
      <w:r>
        <w:rPr>
          <w:rFonts w:cs="Arial"/>
          <w:rtl/>
        </w:rPr>
        <w:t xml:space="preserve"> כיצד שלא לשמה, סופר שהיה כותב גיטין להתלמד וכתב שם איש בעלמא ושם אשתו ושם עירם, ובא האיש שנכתב בשמו לגרש בו </w:t>
      </w:r>
      <w:r w:rsidR="00A82951">
        <w:rPr>
          <w:rFonts w:cs="Arial"/>
          <w:rtl/>
        </w:rPr>
        <w:t>-</w:t>
      </w:r>
      <w:r>
        <w:rPr>
          <w:rFonts w:cs="Arial"/>
          <w:rtl/>
        </w:rPr>
        <w:t xml:space="preserve"> פסול. ויותר מכאן, אפילו צוה אחד לכתוב גט לגרש אשתו, ונמלך, ומצאו בן עירו ואמר לו שמי כשמך ושם אשתי כשם אשתך </w:t>
      </w:r>
      <w:r w:rsidR="00A82951">
        <w:rPr>
          <w:rFonts w:cs="Arial"/>
          <w:rtl/>
        </w:rPr>
        <w:t>-</w:t>
      </w:r>
      <w:r>
        <w:rPr>
          <w:rFonts w:cs="Arial"/>
          <w:rtl/>
        </w:rPr>
        <w:t xml:space="preserve"> פסול לו לגרש בו, כיון שלא נכתב לשמו. ואפי' יש לו ב' נשים שמותיהן שוין, וצוה לכתוב לגרש בו אחת מהן </w:t>
      </w:r>
      <w:r w:rsidR="00A82951">
        <w:rPr>
          <w:rFonts w:cs="Arial"/>
          <w:rtl/>
        </w:rPr>
        <w:t>-</w:t>
      </w:r>
      <w:r>
        <w:rPr>
          <w:rFonts w:cs="Arial"/>
          <w:rtl/>
        </w:rPr>
        <w:t xml:space="preserve"> לא יגרש בו השנייה. ואפילו אמר לסופר כתוב ואיזו שארצה אגרש בו, וכתב הסופר על דעת זה </w:t>
      </w:r>
      <w:r w:rsidR="00A82951">
        <w:rPr>
          <w:rFonts w:cs="Arial"/>
          <w:rtl/>
        </w:rPr>
        <w:t>-</w:t>
      </w:r>
      <w:r>
        <w:rPr>
          <w:rFonts w:cs="Arial"/>
          <w:rtl/>
        </w:rPr>
        <w:t xml:space="preserve"> פסול, כיון שלא פירש לשם איזו הוא כותבו. ואפי' תלה בדעת אחרים שאמר לו כתוב לאיזו שתצא בפתח תחילה אגרשנה בו </w:t>
      </w:r>
      <w:r w:rsidR="00A82951">
        <w:rPr>
          <w:rFonts w:cs="Arial"/>
          <w:rtl/>
        </w:rPr>
        <w:t>-</w:t>
      </w:r>
      <w:r>
        <w:rPr>
          <w:rFonts w:cs="Arial"/>
          <w:rtl/>
        </w:rPr>
        <w:t xml:space="preserve"> פסול, דאין ברירה. </w:t>
      </w:r>
      <w:r>
        <w:rPr>
          <w:color w:val="E36C0A" w:themeColor="accent6" w:themeShade="BF"/>
          <w:rtl/>
        </w:rPr>
        <w:t>(וכ"פ בשו"ע</w:t>
      </w:r>
      <w:r>
        <w:rPr>
          <w:color w:val="E36C0A" w:themeColor="accent6" w:themeShade="BF"/>
          <w:sz w:val="16"/>
          <w:szCs w:val="16"/>
          <w:rtl/>
        </w:rPr>
        <w:t xml:space="preserve"> </w:t>
      </w:r>
      <w:r>
        <w:rPr>
          <w:sz w:val="16"/>
          <w:szCs w:val="16"/>
          <w:rtl/>
        </w:rPr>
        <w:t>[סע' א</w:t>
      </w:r>
      <w:r w:rsidR="00A82951">
        <w:rPr>
          <w:sz w:val="16"/>
          <w:szCs w:val="16"/>
          <w:rtl/>
        </w:rPr>
        <w:t>-</w:t>
      </w:r>
      <w:r>
        <w:rPr>
          <w:sz w:val="16"/>
          <w:szCs w:val="16"/>
          <w:rtl/>
        </w:rPr>
        <w:t>ד]</w:t>
      </w:r>
      <w:r>
        <w:rPr>
          <w:color w:val="E36C0A" w:themeColor="accent6" w:themeShade="BF"/>
          <w:rtl/>
        </w:rPr>
        <w:t>)</w:t>
      </w:r>
    </w:p>
    <w:p w14:paraId="4587327C" w14:textId="5517275B" w:rsidR="00FA2119" w:rsidRDefault="00FA2119" w:rsidP="00FA2119">
      <w:pPr>
        <w:ind w:left="360"/>
        <w:rPr>
          <w:u w:val="dotted"/>
        </w:rPr>
      </w:pPr>
      <w:r>
        <w:rPr>
          <w:u w:val="dotted"/>
          <w:rtl/>
        </w:rPr>
        <w:t xml:space="preserve">בכל המקרים הנ"ל </w:t>
      </w:r>
      <w:r w:rsidR="00A82951">
        <w:rPr>
          <w:u w:val="dotted"/>
          <w:rtl/>
        </w:rPr>
        <w:t>-</w:t>
      </w:r>
      <w:r>
        <w:rPr>
          <w:u w:val="dotted"/>
          <w:rtl/>
        </w:rPr>
        <w:t xml:space="preserve"> הגט בטל או פסול:</w:t>
      </w:r>
    </w:p>
    <w:p w14:paraId="6EA8A972" w14:textId="7222665F" w:rsidR="00FA2119" w:rsidRDefault="00FA2119" w:rsidP="006A458D">
      <w:pPr>
        <w:pStyle w:val="ab"/>
        <w:numPr>
          <w:ilvl w:val="0"/>
          <w:numId w:val="89"/>
        </w:numPr>
      </w:pPr>
      <w:r>
        <w:rPr>
          <w:rFonts w:cs="Arial"/>
          <w:rtl/>
        </w:rPr>
        <w:t>טור</w:t>
      </w:r>
      <w:r w:rsidR="00A82951">
        <w:rPr>
          <w:rFonts w:cs="Arial"/>
          <w:rtl/>
        </w:rPr>
        <w:t>-</w:t>
      </w:r>
      <w:r>
        <w:rPr>
          <w:rFonts w:cs="Arial"/>
          <w:rtl/>
        </w:rPr>
        <w:t xml:space="preserve"> ובכולן לא הוי גט כלל, דאפי' לכהונה לא נפסלה אם נתגרשה בו. חוץ מאיזה שארצה אגרש, או</w:t>
      </w:r>
      <w:r>
        <w:rPr>
          <w:rStyle w:val="a7"/>
          <w:rFonts w:cs="Arial"/>
          <w:rtl/>
        </w:rPr>
        <w:footnoteReference w:id="1373"/>
      </w:r>
      <w:r>
        <w:rPr>
          <w:rFonts w:cs="Arial"/>
          <w:rtl/>
        </w:rPr>
        <w:t xml:space="preserve"> לאיזה שתצא בפתח תחילה </w:t>
      </w:r>
      <w:r w:rsidR="00A82951">
        <w:rPr>
          <w:rFonts w:cs="Arial"/>
          <w:rtl/>
        </w:rPr>
        <w:t>-</w:t>
      </w:r>
      <w:r>
        <w:rPr>
          <w:rFonts w:cs="Arial"/>
          <w:rtl/>
        </w:rPr>
        <w:t xml:space="preserve"> שהוא גט לפוסלה לכהונה. </w:t>
      </w:r>
      <w:r>
        <w:rPr>
          <w:color w:val="E36C0A" w:themeColor="accent6" w:themeShade="BF"/>
          <w:rtl/>
        </w:rPr>
        <w:t>(וכ"פ בשו"ע</w:t>
      </w:r>
      <w:r>
        <w:rPr>
          <w:color w:val="E36C0A" w:themeColor="accent6" w:themeShade="BF"/>
          <w:sz w:val="16"/>
          <w:szCs w:val="16"/>
          <w:rtl/>
        </w:rPr>
        <w:t xml:space="preserve"> </w:t>
      </w:r>
      <w:r>
        <w:rPr>
          <w:sz w:val="16"/>
          <w:szCs w:val="16"/>
          <w:rtl/>
        </w:rPr>
        <w:t>[סע' א</w:t>
      </w:r>
      <w:r w:rsidR="00A82951">
        <w:rPr>
          <w:sz w:val="16"/>
          <w:szCs w:val="16"/>
          <w:rtl/>
        </w:rPr>
        <w:t>-</w:t>
      </w:r>
      <w:r>
        <w:rPr>
          <w:sz w:val="16"/>
          <w:szCs w:val="16"/>
          <w:rtl/>
        </w:rPr>
        <w:t>ד]</w:t>
      </w:r>
      <w:r>
        <w:rPr>
          <w:color w:val="E36C0A" w:themeColor="accent6" w:themeShade="BF"/>
          <w:rtl/>
        </w:rPr>
        <w:t>)</w:t>
      </w:r>
    </w:p>
    <w:p w14:paraId="5779688F" w14:textId="61C49903" w:rsidR="00FA2119" w:rsidRDefault="00FA2119" w:rsidP="00FA2119">
      <w:pPr>
        <w:ind w:left="720"/>
        <w:rPr>
          <w:u w:val="wave"/>
        </w:rPr>
      </w:pPr>
      <w:r>
        <w:rPr>
          <w:u w:val="wave"/>
          <w:rtl/>
        </w:rPr>
        <w:lastRenderedPageBreak/>
        <w:t>במקרים הנ"ל שהגט פסול</w:t>
      </w:r>
      <w:r>
        <w:rPr>
          <w:sz w:val="16"/>
          <w:szCs w:val="16"/>
          <w:u w:val="wave"/>
          <w:rtl/>
        </w:rPr>
        <w:t xml:space="preserve"> (ופוסלה לכהונה)</w:t>
      </w:r>
      <w:r>
        <w:rPr>
          <w:u w:val="wave"/>
          <w:rtl/>
        </w:rPr>
        <w:t xml:space="preserve"> </w:t>
      </w:r>
      <w:r w:rsidR="00A82951">
        <w:rPr>
          <w:u w:val="wave"/>
          <w:rtl/>
        </w:rPr>
        <w:t>-</w:t>
      </w:r>
      <w:r>
        <w:rPr>
          <w:u w:val="wave"/>
          <w:rtl/>
        </w:rPr>
        <w:t xml:space="preserve"> מה הדין אם בא מישהו וקדשה:</w:t>
      </w:r>
    </w:p>
    <w:p w14:paraId="67AD1063" w14:textId="49A85066" w:rsidR="00FA2119" w:rsidRDefault="00FA2119" w:rsidP="006A458D">
      <w:pPr>
        <w:pStyle w:val="ab"/>
        <w:numPr>
          <w:ilvl w:val="0"/>
          <w:numId w:val="89"/>
        </w:numPr>
      </w:pPr>
      <w:r>
        <w:rPr>
          <w:rFonts w:cs="Arial"/>
          <w:rtl/>
        </w:rPr>
        <w:t xml:space="preserve">ר"ן </w:t>
      </w:r>
      <w:r>
        <w:rPr>
          <w:rFonts w:cs="Arial"/>
          <w:sz w:val="16"/>
          <w:szCs w:val="16"/>
          <w:rtl/>
        </w:rPr>
        <w:t>(יב: סוד"ה וכלם)</w:t>
      </w:r>
      <w:r w:rsidR="00A82951">
        <w:rPr>
          <w:rFonts w:cs="Arial"/>
          <w:rtl/>
        </w:rPr>
        <w:t>-</w:t>
      </w:r>
      <w:r>
        <w:rPr>
          <w:rFonts w:cs="Arial"/>
          <w:rtl/>
        </w:rPr>
        <w:t xml:space="preserve"> 'והלכתא כולן אין פוסלין חוץ מן האחרון' נראה לי דאחרון לאו פוסל לכהונה בלחוד הוא, אלא אם בא אחר וקדשה </w:t>
      </w:r>
      <w:r w:rsidR="00A82951">
        <w:rPr>
          <w:rFonts w:cs="Arial"/>
          <w:rtl/>
        </w:rPr>
        <w:t>-</w:t>
      </w:r>
      <w:r>
        <w:rPr>
          <w:rFonts w:cs="Arial"/>
          <w:rtl/>
        </w:rPr>
        <w:t xml:space="preserve"> חוששין לקידושיו, דכיון דקיימא לן דבדרבנן יש ברירה כדאיתא בפרק משילין (ביצה לח.), משמע דמאי דאמרינן דבדאורייתא אין ברירה היינו משום דלחומרא אין ברירה, אבל לקולא ודאי לא אמרינן דאין ברירה. ולפיכך אמר ללבלר כתוב לאיזו מהן שארצה לגרש וגירש </w:t>
      </w:r>
      <w:r w:rsidR="00A82951">
        <w:rPr>
          <w:rFonts w:cs="Arial"/>
          <w:rtl/>
        </w:rPr>
        <w:t>-</w:t>
      </w:r>
      <w:r>
        <w:rPr>
          <w:rFonts w:cs="Arial"/>
          <w:rtl/>
        </w:rPr>
        <w:t xml:space="preserve"> הרי זה ספק גירושין</w:t>
      </w:r>
      <w:r>
        <w:rPr>
          <w:rStyle w:val="a7"/>
          <w:rFonts w:cs="Arial"/>
          <w:rtl/>
        </w:rPr>
        <w:footnoteReference w:id="1374"/>
      </w:r>
      <w:r>
        <w:rPr>
          <w:rFonts w:cs="Arial"/>
          <w:rtl/>
        </w:rPr>
        <w:t xml:space="preserve">. וכ"כ הרמב"ם בפ"ג מהלכות גירושין (ה"ד). </w:t>
      </w:r>
      <w:r>
        <w:rPr>
          <w:color w:val="E36C0A" w:themeColor="accent6" w:themeShade="BF"/>
          <w:rtl/>
        </w:rPr>
        <w:t>(וכ"פ בשו"ע</w:t>
      </w:r>
      <w:r>
        <w:rPr>
          <w:color w:val="E36C0A" w:themeColor="accent6" w:themeShade="BF"/>
          <w:sz w:val="16"/>
          <w:szCs w:val="16"/>
          <w:rtl/>
        </w:rPr>
        <w:t xml:space="preserve"> </w:t>
      </w:r>
      <w:r>
        <w:rPr>
          <w:sz w:val="16"/>
          <w:szCs w:val="16"/>
          <w:rtl/>
        </w:rPr>
        <w:t>[סע' ד]</w:t>
      </w:r>
      <w:r>
        <w:rPr>
          <w:color w:val="E36C0A" w:themeColor="accent6" w:themeShade="BF"/>
          <w:rtl/>
        </w:rPr>
        <w:t>)</w:t>
      </w:r>
    </w:p>
    <w:p w14:paraId="755A8904"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D47639A" w14:textId="77777777" w:rsidR="00FA2119" w:rsidRDefault="00FA2119" w:rsidP="00FA2119">
      <w:pPr>
        <w:rPr>
          <w:rtl/>
        </w:rPr>
      </w:pPr>
      <w:r>
        <w:rPr>
          <w:rFonts w:cs="Arial"/>
          <w:rtl/>
        </w:rPr>
        <w:t xml:space="preserve">צריך שתהיה כתיבת הגט וחתימתו לשם האיש המגרש ולשם האשה המתגרשת. ואם לא נכתב לשמה, אינו גט. כיצד, סופר שכתב גט ללמד או להתלמד, ובא הבעל ומצא שם שנכתב בגט זה כשמו, ושם האשה כשם אשתו, ושם העיר כשם עירו, ונטלו וגירש בו, אינו גט. </w:t>
      </w:r>
    </w:p>
    <w:p w14:paraId="26C4DC3F" w14:textId="77777777" w:rsidR="00FA2119" w:rsidRDefault="00FA2119" w:rsidP="00FA2119">
      <w:pPr>
        <w:rPr>
          <w:rFonts w:cs="Arial"/>
          <w:rtl/>
        </w:rPr>
      </w:pPr>
      <w:r>
        <w:rPr>
          <w:rFonts w:cs="Arial"/>
          <w:u w:val="single"/>
          <w:rtl/>
        </w:rPr>
        <w:t>כתב גט לשם נכרית ששמה כשם אשתו:</w:t>
      </w:r>
      <w:r>
        <w:rPr>
          <w:rFonts w:cs="Arial"/>
          <w:sz w:val="16"/>
          <w:szCs w:val="16"/>
          <w:rtl/>
        </w:rPr>
        <w:t xml:space="preserve"> (</w:t>
      </w:r>
      <w:r>
        <w:rPr>
          <w:sz w:val="16"/>
          <w:szCs w:val="16"/>
          <w:rtl/>
        </w:rPr>
        <w:t>פת"ש סק"א)</w:t>
      </w:r>
    </w:p>
    <w:p w14:paraId="6942136F" w14:textId="6A8D62A5" w:rsidR="00FA2119" w:rsidRDefault="00FA2119" w:rsidP="006A458D">
      <w:pPr>
        <w:pStyle w:val="ab"/>
        <w:numPr>
          <w:ilvl w:val="0"/>
          <w:numId w:val="89"/>
        </w:numPr>
        <w:rPr>
          <w:b/>
          <w:bCs/>
          <w:rtl/>
        </w:rPr>
      </w:pPr>
      <w:r>
        <w:rPr>
          <w:rFonts w:cs="Arial"/>
          <w:rtl/>
        </w:rPr>
        <w:t>הגהת יד אפרים</w:t>
      </w:r>
      <w:r w:rsidR="00A82951">
        <w:rPr>
          <w:rFonts w:cs="Arial"/>
          <w:rtl/>
        </w:rPr>
        <w:t>-</w:t>
      </w:r>
      <w:r>
        <w:rPr>
          <w:rFonts w:cs="Arial"/>
          <w:rtl/>
        </w:rPr>
        <w:t xml:space="preserve"> ואפילו כתבו לשם נכרית פסול אע"ג דלאו מינה לא מחריב בה, מ"מ לא עדיף מסתמא דפסול. כן הוא בש"ס ריש זבחים</w:t>
      </w:r>
      <w:r>
        <w:rPr>
          <w:rStyle w:val="a7"/>
          <w:rFonts w:cs="Arial"/>
          <w:rtl/>
        </w:rPr>
        <w:footnoteReference w:id="1375"/>
      </w:r>
      <w:r>
        <w:rPr>
          <w:rFonts w:cs="Arial"/>
          <w:rtl/>
        </w:rPr>
        <w:t xml:space="preserve"> (ג.).</w:t>
      </w:r>
      <w:r>
        <w:rPr>
          <w:rtl/>
        </w:rPr>
        <w:t xml:space="preserve"> </w:t>
      </w:r>
    </w:p>
    <w:p w14:paraId="26F06C28" w14:textId="36E1E218" w:rsidR="00FA2119" w:rsidRDefault="00FA2119" w:rsidP="00FA2119">
      <w:pPr>
        <w:rPr>
          <w:b/>
          <w:bCs/>
          <w:u w:val="single"/>
        </w:rPr>
      </w:pPr>
      <w:r>
        <w:rPr>
          <w:rFonts w:cs="Arial"/>
          <w:u w:val="single"/>
          <w:rtl/>
        </w:rPr>
        <w:t>כתב הכל לשמה חוץ מ</w:t>
      </w:r>
      <w:r w:rsidR="00A82951">
        <w:rPr>
          <w:rFonts w:cs="Arial"/>
          <w:u w:val="single"/>
          <w:rtl/>
        </w:rPr>
        <w:t>-</w:t>
      </w:r>
      <w:r>
        <w:rPr>
          <w:rFonts w:cs="Arial"/>
          <w:u w:val="single"/>
          <w:rtl/>
        </w:rPr>
        <w:t xml:space="preserve"> 'והרי את מותרת' שכתב שלא לשמה</w:t>
      </w:r>
      <w:r>
        <w:rPr>
          <w:b/>
          <w:bCs/>
          <w:u w:val="single"/>
          <w:rtl/>
        </w:rPr>
        <w:t>:</w:t>
      </w:r>
    </w:p>
    <w:p w14:paraId="70720468" w14:textId="7CD404FC" w:rsidR="00FA2119" w:rsidRDefault="00FA2119" w:rsidP="006A458D">
      <w:pPr>
        <w:pStyle w:val="ab"/>
        <w:numPr>
          <w:ilvl w:val="0"/>
          <w:numId w:val="89"/>
        </w:numPr>
        <w:rPr>
          <w:b/>
          <w:bCs/>
        </w:rPr>
      </w:pPr>
      <w:r>
        <w:rPr>
          <w:rFonts w:cs="Arial"/>
          <w:rtl/>
        </w:rPr>
        <w:t xml:space="preserve">ב"ש </w:t>
      </w:r>
      <w:r>
        <w:rPr>
          <w:rFonts w:cs="Arial"/>
          <w:sz w:val="16"/>
          <w:szCs w:val="16"/>
          <w:rtl/>
        </w:rPr>
        <w:t>(סק"א)</w:t>
      </w:r>
      <w:r w:rsidR="00A82951">
        <w:rPr>
          <w:rFonts w:cs="Arial"/>
          <w:rtl/>
        </w:rPr>
        <w:t>-</w:t>
      </w:r>
      <w:r>
        <w:rPr>
          <w:rFonts w:cs="Arial"/>
          <w:rtl/>
        </w:rPr>
        <w:t xml:space="preserve"> כתב הכל לשמה והרי את מותרת כתב שלא לשמה </w:t>
      </w:r>
      <w:r w:rsidR="00A82951">
        <w:rPr>
          <w:rFonts w:cs="Arial"/>
          <w:rtl/>
        </w:rPr>
        <w:t>-</w:t>
      </w:r>
      <w:r>
        <w:rPr>
          <w:rFonts w:cs="Arial"/>
          <w:rtl/>
        </w:rPr>
        <w:t xml:space="preserve"> יש לחוש ל</w:t>
      </w:r>
      <w:r w:rsidR="004D7D08">
        <w:rPr>
          <w:rFonts w:cs="Arial" w:hint="cs"/>
          <w:rtl/>
        </w:rPr>
        <w:t>ח</w:t>
      </w:r>
      <w:r>
        <w:rPr>
          <w:rFonts w:cs="Arial"/>
          <w:rtl/>
        </w:rPr>
        <w:t>ומר</w:t>
      </w:r>
      <w:r w:rsidR="004D7D08">
        <w:rPr>
          <w:rFonts w:cs="Arial" w:hint="cs"/>
          <w:rtl/>
        </w:rPr>
        <w:t>א</w:t>
      </w:r>
      <w:r>
        <w:rPr>
          <w:rFonts w:cs="Arial"/>
          <w:rtl/>
        </w:rPr>
        <w:t xml:space="preserve"> אם קדשה אחר, הואיל בטופסי גיטין הראשוני' לא היה כתב והרי את מותרת וכו' כמ"ש בתוס' (כו.), כן כתב הב"י בסימן קכ"ג, ולמ"ש בסימן קכ"ו אף ספר תרוכי' נמי תורף ע"ש</w:t>
      </w:r>
      <w:r>
        <w:rPr>
          <w:b/>
          <w:bCs/>
          <w:rtl/>
        </w:rPr>
        <w:t>.</w:t>
      </w:r>
    </w:p>
    <w:p w14:paraId="61200DBA" w14:textId="77777777" w:rsidR="00FA2119" w:rsidRDefault="00FA2119" w:rsidP="00FA2119">
      <w:pPr>
        <w:rPr>
          <w:b/>
          <w:bCs/>
          <w:rtl/>
        </w:rPr>
      </w:pPr>
    </w:p>
    <w:p w14:paraId="25BB93D4" w14:textId="77777777" w:rsidR="00FA2119" w:rsidRDefault="00FA2119" w:rsidP="00FA2119">
      <w:pPr>
        <w:pStyle w:val="2"/>
        <w:rPr>
          <w:rtl/>
        </w:rPr>
      </w:pPr>
      <w:r>
        <w:rPr>
          <w:rtl/>
        </w:rPr>
        <w:t>סעיף ב: כתב גט לאשתו ונמלך, ורוצה חברו להשתמש בגט לגרש אשתו.</w:t>
      </w:r>
    </w:p>
    <w:p w14:paraId="2822FE24" w14:textId="77777777" w:rsidR="00FA2119" w:rsidRDefault="00FA2119" w:rsidP="00FA2119">
      <w:pPr>
        <w:rPr>
          <w:rtl/>
        </w:rPr>
      </w:pPr>
      <w:r>
        <w:rPr>
          <w:rtl/>
        </w:rPr>
        <w:t>עיין במקורות בסעיף א.</w:t>
      </w:r>
    </w:p>
    <w:p w14:paraId="617C618D"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BB73A15" w14:textId="77777777" w:rsidR="00FA2119" w:rsidRDefault="00FA2119" w:rsidP="00FA2119">
      <w:pPr>
        <w:rPr>
          <w:rtl/>
        </w:rPr>
      </w:pPr>
      <w:r>
        <w:rPr>
          <w:rFonts w:cs="Arial"/>
          <w:rtl/>
        </w:rPr>
        <w:t xml:space="preserve">יותר על כך, כתב לגרש את אשתו, ונמלך, ומצאו בן עירו ואמר לו: שמי כשמך ושם אשתי כשם אשתך, ונטלו ממנו וגירש בו, אף על פי שנכתב לשם גירושין, אינו גט. </w:t>
      </w:r>
    </w:p>
    <w:p w14:paraId="3F3C2BFE" w14:textId="77777777" w:rsidR="00FA2119" w:rsidRDefault="00FA2119" w:rsidP="00FA2119">
      <w:pPr>
        <w:rPr>
          <w:rtl/>
        </w:rPr>
      </w:pPr>
    </w:p>
    <w:p w14:paraId="02708C90" w14:textId="77777777" w:rsidR="00FA2119" w:rsidRDefault="00FA2119" w:rsidP="00FA2119">
      <w:pPr>
        <w:pStyle w:val="2"/>
        <w:rPr>
          <w:rtl/>
        </w:rPr>
      </w:pPr>
      <w:r>
        <w:rPr>
          <w:rtl/>
        </w:rPr>
        <w:t>סעיף ג: לשתי נשיו שמות שוים, וכתב הגט לשם אחת, ונמלך וגרש בו את השניה.</w:t>
      </w:r>
    </w:p>
    <w:p w14:paraId="32CD2942" w14:textId="77777777" w:rsidR="00FA2119" w:rsidRDefault="00FA2119" w:rsidP="00FA2119">
      <w:pPr>
        <w:rPr>
          <w:rtl/>
        </w:rPr>
      </w:pPr>
      <w:r>
        <w:rPr>
          <w:rtl/>
        </w:rPr>
        <w:t>עיין במקורות בסעיף א.</w:t>
      </w:r>
    </w:p>
    <w:p w14:paraId="03B4A49F"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41C117F" w14:textId="77777777" w:rsidR="00FA2119" w:rsidRDefault="00FA2119" w:rsidP="00FA2119">
      <w:pPr>
        <w:rPr>
          <w:rtl/>
        </w:rPr>
      </w:pPr>
      <w:r>
        <w:rPr>
          <w:rFonts w:cs="Arial"/>
          <w:rtl/>
        </w:rPr>
        <w:t>יתר על זה, מי שיש לו שתי נשים ששמותיהן שוות, וכתב לגרש את הגדולה, ונמלך, וגירש בו את הקטנה, אינו גט</w:t>
      </w:r>
      <w:r>
        <w:rPr>
          <w:rStyle w:val="a7"/>
          <w:rFonts w:cs="Arial"/>
          <w:rtl/>
        </w:rPr>
        <w:footnoteReference w:id="1376"/>
      </w:r>
      <w:r>
        <w:rPr>
          <w:rFonts w:cs="Arial"/>
          <w:rtl/>
        </w:rPr>
        <w:t xml:space="preserve">, שאף על פי שנכתב לשם האיש המגרש, לא נכתב לשם זו שנתגרשה בו. </w:t>
      </w:r>
    </w:p>
    <w:p w14:paraId="03D815A6" w14:textId="77777777" w:rsidR="00FA2119" w:rsidRDefault="00FA2119" w:rsidP="00FA2119">
      <w:pPr>
        <w:rPr>
          <w:rtl/>
        </w:rPr>
      </w:pPr>
    </w:p>
    <w:p w14:paraId="13C332FC" w14:textId="77777777" w:rsidR="00FA2119" w:rsidRDefault="00FA2119" w:rsidP="00FA2119">
      <w:pPr>
        <w:pStyle w:val="2"/>
        <w:rPr>
          <w:rtl/>
        </w:rPr>
      </w:pPr>
      <w:r>
        <w:rPr>
          <w:rtl/>
        </w:rPr>
        <w:t>סעיף ד: לשתי נשיו שמות שוים, ורוצה לכתוב גט על שם אחת שיבחר אח"כ.</w:t>
      </w:r>
    </w:p>
    <w:p w14:paraId="4287B16F" w14:textId="77777777" w:rsidR="00FA2119" w:rsidRDefault="00FA2119" w:rsidP="00FA2119">
      <w:pPr>
        <w:rPr>
          <w:rtl/>
        </w:rPr>
      </w:pPr>
      <w:r>
        <w:rPr>
          <w:rtl/>
        </w:rPr>
        <w:t>עיין במקורות בסעיף א.</w:t>
      </w:r>
    </w:p>
    <w:p w14:paraId="6AAEB887"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BE9FEA4" w14:textId="77777777" w:rsidR="00FA2119" w:rsidRDefault="00FA2119" w:rsidP="00FA2119">
      <w:pPr>
        <w:rPr>
          <w:rtl/>
        </w:rPr>
      </w:pPr>
      <w:r>
        <w:rPr>
          <w:rFonts w:cs="Arial"/>
          <w:rtl/>
        </w:rPr>
        <w:t xml:space="preserve">יתר על כן, אמר לסופר: כתוב, ואי זו שארצה אגרש בו, וכתב הסופר על דעת זה, וגירש בו אחת מהן, הרי זה ספק גירושין. והוא הדין אם אמר לו: כתוב, לאי זו שתצא בפתח תחלה אגרשנה בו. </w:t>
      </w:r>
    </w:p>
    <w:p w14:paraId="6ADAAD1F" w14:textId="77777777" w:rsidR="00FA2119" w:rsidRDefault="00FA2119" w:rsidP="00FA2119">
      <w:pPr>
        <w:rPr>
          <w:rtl/>
        </w:rPr>
      </w:pPr>
    </w:p>
    <w:p w14:paraId="62306C68" w14:textId="77777777" w:rsidR="00FA2119" w:rsidRDefault="00FA2119" w:rsidP="00FA2119">
      <w:pPr>
        <w:pStyle w:val="2"/>
        <w:rPr>
          <w:rtl/>
        </w:rPr>
      </w:pPr>
      <w:r>
        <w:rPr>
          <w:rtl/>
        </w:rPr>
        <w:t>סעיף ה: כתב לא לשמה והעביר עליו קולמוס לשמה.</w:t>
      </w:r>
    </w:p>
    <w:p w14:paraId="76BBAC37" w14:textId="52F7400C" w:rsidR="00FA2119" w:rsidRDefault="00FA2119" w:rsidP="00FA2119">
      <w:pPr>
        <w:rPr>
          <w:rtl/>
        </w:rPr>
      </w:pPr>
      <w:r>
        <w:rPr>
          <w:rFonts w:cs="Arial"/>
          <w:b/>
          <w:bCs/>
          <w:rtl/>
        </w:rPr>
        <w:t xml:space="preserve">גיטין </w:t>
      </w:r>
      <w:r>
        <w:rPr>
          <w:rFonts w:cs="Arial"/>
          <w:b/>
          <w:bCs/>
          <w:szCs w:val="16"/>
          <w:rtl/>
        </w:rPr>
        <w:t xml:space="preserve">(פ"ב) </w:t>
      </w:r>
      <w:r>
        <w:rPr>
          <w:rFonts w:cs="Arial"/>
          <w:b/>
          <w:bCs/>
          <w:rtl/>
        </w:rPr>
        <w:t>כ ע"א:</w:t>
      </w:r>
      <w:r>
        <w:rPr>
          <w:rFonts w:cs="Arial"/>
          <w:rtl/>
        </w:rPr>
        <w:t xml:space="preserve"> </w:t>
      </w:r>
      <w:r>
        <w:rPr>
          <w:rFonts w:cs="Arial"/>
          <w:u w:val="single"/>
          <w:rtl/>
        </w:rPr>
        <w:t>אמר רב חסדא</w:t>
      </w:r>
      <w:r>
        <w:rPr>
          <w:rFonts w:cs="Arial"/>
          <w:rtl/>
        </w:rPr>
        <w:t xml:space="preserve">: גט שכתבו שלא לשמה והעביר עליו קולמוס לשמה, באנו למחלוקת רבי יהודה ורבנן; דתניא: הרי שהיה צריך לכתוב את השם, ונתכוין לכתוב יהודה וטעה ולא הטיל בו דלת, מעביר עליו קולמוס ומקדשו, דברי רבי יהודה, וחכמים אומרים: אין השם מן המובחר. </w:t>
      </w:r>
      <w:r>
        <w:rPr>
          <w:rFonts w:cs="Arial"/>
          <w:u w:val="single"/>
          <w:rtl/>
        </w:rPr>
        <w:t>אמר רב אחא בר יעקב</w:t>
      </w:r>
      <w:r>
        <w:rPr>
          <w:rFonts w:cs="Arial"/>
          <w:rtl/>
        </w:rPr>
        <w:t xml:space="preserve">: דילמא לא היא, עד כאן לא קאמרי רבנן התם </w:t>
      </w:r>
      <w:r w:rsidR="00A82951">
        <w:rPr>
          <w:rFonts w:cs="Arial"/>
          <w:rtl/>
        </w:rPr>
        <w:t>-</w:t>
      </w:r>
      <w:r>
        <w:rPr>
          <w:rFonts w:cs="Arial"/>
          <w:rtl/>
        </w:rPr>
        <w:t xml:space="preserve"> דבעינא זה אלי ואנוהו וליכא, אבל הכא לא.</w:t>
      </w:r>
      <w:r>
        <w:rPr>
          <w:rFonts w:cs="Arial"/>
          <w:sz w:val="16"/>
          <w:szCs w:val="16"/>
          <w:rtl/>
        </w:rPr>
        <w:t xml:space="preserve"> (וכתב הרא"ש (סי' יז) והלכה כחכמים. וגם הר"ן (ט: ד"ה וגרסי' תו בגמ') כתב דכרבנן קיימא לן. וכן דעת הרמב"ם (פ"ג ה"ד), ב"י)</w:t>
      </w:r>
    </w:p>
    <w:p w14:paraId="18CAC367" w14:textId="48A23060" w:rsidR="00FA2119" w:rsidRDefault="00FA2119" w:rsidP="00FA2119">
      <w:pPr>
        <w:rPr>
          <w:rtl/>
        </w:rPr>
      </w:pPr>
      <w:r>
        <w:rPr>
          <w:rFonts w:cs="Arial"/>
          <w:b/>
          <w:bCs/>
          <w:rtl/>
        </w:rPr>
        <w:t>ירושלמי שבת פי"ב ה"ה:</w:t>
      </w:r>
      <w:r>
        <w:rPr>
          <w:rFonts w:cs="Arial"/>
          <w:rtl/>
        </w:rPr>
        <w:t xml:space="preserve"> היה צריך לכתוב את השם</w:t>
      </w:r>
      <w:r w:rsidR="00E80D84">
        <w:rPr>
          <w:rFonts w:cs="Arial" w:hint="cs"/>
          <w:rtl/>
        </w:rPr>
        <w:t>,</w:t>
      </w:r>
      <w:r>
        <w:rPr>
          <w:rFonts w:cs="Arial"/>
          <w:rtl/>
        </w:rPr>
        <w:t xml:space="preserve"> ונתכוין לכתוב יהודה</w:t>
      </w:r>
      <w:r w:rsidR="00E80D84">
        <w:rPr>
          <w:rFonts w:cs="Arial" w:hint="cs"/>
          <w:rtl/>
        </w:rPr>
        <w:t>,</w:t>
      </w:r>
      <w:r>
        <w:rPr>
          <w:rFonts w:cs="Arial"/>
          <w:rtl/>
        </w:rPr>
        <w:t xml:space="preserve"> ושכח ולא כתב דלת</w:t>
      </w:r>
      <w:r w:rsidR="00E80D84">
        <w:rPr>
          <w:rFonts w:cs="Arial" w:hint="cs"/>
          <w:rtl/>
        </w:rPr>
        <w:t>,</w:t>
      </w:r>
      <w:r>
        <w:rPr>
          <w:rFonts w:cs="Arial"/>
          <w:rtl/>
        </w:rPr>
        <w:t xml:space="preserve"> הרי השם במקומו הוא מוחקו ומקיימו הוא בקדושה. ר' יהודה אומר</w:t>
      </w:r>
      <w:r w:rsidR="00E80D84">
        <w:rPr>
          <w:rFonts w:cs="Arial" w:hint="cs"/>
          <w:rtl/>
        </w:rPr>
        <w:t>:</w:t>
      </w:r>
      <w:r>
        <w:rPr>
          <w:rFonts w:cs="Arial"/>
          <w:rtl/>
        </w:rPr>
        <w:t xml:space="preserve"> מעביר את הקולמוס עליו ומקיימו. אמרו לו אף הוא אינו מן המובחר... הוא בשיטתו השיבוהו. בשיטתך שאת אומר כתב הוא אינו מן המובחר.</w:t>
      </w:r>
    </w:p>
    <w:p w14:paraId="35B6FEFD" w14:textId="77777777" w:rsidR="00FA2119" w:rsidRDefault="00FA2119" w:rsidP="00FA2119">
      <w:pPr>
        <w:rPr>
          <w:u w:val="single"/>
          <w:rtl/>
        </w:rPr>
      </w:pPr>
      <w:r>
        <w:rPr>
          <w:u w:val="single"/>
          <w:rtl/>
        </w:rPr>
        <w:t>גט שכתבו לא לשמה, והעביר עליו קולמוס לשמה:</w:t>
      </w:r>
    </w:p>
    <w:p w14:paraId="4E8BF33D" w14:textId="3463225A" w:rsidR="00FA2119" w:rsidRDefault="00FA2119" w:rsidP="006A458D">
      <w:pPr>
        <w:pStyle w:val="ab"/>
        <w:numPr>
          <w:ilvl w:val="0"/>
          <w:numId w:val="89"/>
        </w:numPr>
      </w:pPr>
      <w:r>
        <w:rPr>
          <w:rFonts w:cs="Arial"/>
          <w:rtl/>
        </w:rPr>
        <w:t xml:space="preserve">רמב"ם </w:t>
      </w:r>
      <w:r>
        <w:rPr>
          <w:rFonts w:cs="Arial"/>
          <w:sz w:val="16"/>
          <w:szCs w:val="16"/>
          <w:rtl/>
        </w:rPr>
        <w:t>(פ"ג ה"ד)</w:t>
      </w:r>
      <w:r w:rsidR="00A82951">
        <w:rPr>
          <w:rFonts w:cs="Arial"/>
          <w:rtl/>
        </w:rPr>
        <w:t>-</w:t>
      </w:r>
      <w:r>
        <w:rPr>
          <w:rFonts w:cs="Arial"/>
          <w:rtl/>
        </w:rPr>
        <w:t xml:space="preserve"> וכל גט שכתבו שלא לשמה אע"פ שהעביר עליו קולמוס לשמה </w:t>
      </w:r>
      <w:r w:rsidR="00A82951">
        <w:rPr>
          <w:rFonts w:cs="Arial"/>
          <w:rtl/>
        </w:rPr>
        <w:t>-</w:t>
      </w:r>
      <w:r>
        <w:rPr>
          <w:rFonts w:cs="Arial"/>
          <w:rtl/>
        </w:rPr>
        <w:t xml:space="preserve"> אינו גט. </w:t>
      </w:r>
      <w:r>
        <w:rPr>
          <w:color w:val="E36C0A" w:themeColor="accent6" w:themeShade="BF"/>
          <w:rtl/>
        </w:rPr>
        <w:t>(וכ"ס בשו"ע)</w:t>
      </w:r>
    </w:p>
    <w:p w14:paraId="69FF52DC" w14:textId="1582E5B9" w:rsidR="00FA2119" w:rsidRDefault="00FA2119" w:rsidP="006A458D">
      <w:pPr>
        <w:pStyle w:val="ab"/>
        <w:numPr>
          <w:ilvl w:val="0"/>
          <w:numId w:val="89"/>
        </w:numPr>
      </w:pPr>
      <w:r>
        <w:rPr>
          <w:rFonts w:cs="Arial"/>
          <w:rtl/>
        </w:rPr>
        <w:t xml:space="preserve">רשב"א </w:t>
      </w:r>
      <w:r>
        <w:rPr>
          <w:rFonts w:cs="Arial"/>
          <w:sz w:val="16"/>
          <w:szCs w:val="16"/>
          <w:rtl/>
        </w:rPr>
        <w:t>(כ. ד"ה הא דאמר)</w:t>
      </w:r>
      <w:r w:rsidR="00A82951">
        <w:rPr>
          <w:rFonts w:cs="Arial"/>
          <w:rtl/>
        </w:rPr>
        <w:t>-</w:t>
      </w:r>
      <w:r>
        <w:rPr>
          <w:rFonts w:cs="Arial"/>
          <w:rtl/>
        </w:rPr>
        <w:t xml:space="preserve"> ולענין פסק הלכה כתב ר"ח כיון דלא אמר בהדיא לא כשר ולא פסול</w:t>
      </w:r>
      <w:r w:rsidR="00E80D84">
        <w:rPr>
          <w:rFonts w:cs="Arial" w:hint="cs"/>
          <w:rtl/>
        </w:rPr>
        <w:t xml:space="preserve"> -</w:t>
      </w:r>
      <w:r>
        <w:rPr>
          <w:rFonts w:cs="Arial"/>
          <w:rtl/>
        </w:rPr>
        <w:t xml:space="preserve"> חיישינן ליה. אבל הרמב"ם כתב דאינו גט לומר דאין חוששין לו ולא פסלה מן הכהונה. ונראים דברי רבינו חננאל, דהא לדברי רב אחא גט כשר לכולי עלמא, ואע"ג דלקולא לא עבדינן כוותיה, לחומרא מיהא לחוש חוששין לו</w:t>
      </w:r>
      <w:r>
        <w:rPr>
          <w:rStyle w:val="a7"/>
          <w:rFonts w:cs="Arial"/>
          <w:rtl/>
        </w:rPr>
        <w:footnoteReference w:id="1377"/>
      </w:r>
      <w:r>
        <w:rPr>
          <w:rFonts w:cs="Arial"/>
          <w:rtl/>
        </w:rPr>
        <w:t>.</w:t>
      </w:r>
    </w:p>
    <w:p w14:paraId="031AAAC0"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1153FA6" w14:textId="77777777" w:rsidR="00FA2119" w:rsidRDefault="00FA2119" w:rsidP="00FA2119">
      <w:pPr>
        <w:rPr>
          <w:rtl/>
        </w:rPr>
      </w:pPr>
      <w:r>
        <w:rPr>
          <w:rFonts w:cs="Arial"/>
          <w:rtl/>
        </w:rPr>
        <w:t>גט שכתבו שלא לשמה, אף על פי שהעביר עליו קולמוס לשמה, אינו גט</w:t>
      </w:r>
      <w:r>
        <w:rPr>
          <w:rStyle w:val="a7"/>
          <w:rFonts w:cs="Arial"/>
          <w:rtl/>
        </w:rPr>
        <w:footnoteReference w:id="1378"/>
      </w:r>
      <w:r>
        <w:rPr>
          <w:rFonts w:cs="Arial"/>
          <w:rtl/>
        </w:rPr>
        <w:t>. ויש אומרים שחוששין לו</w:t>
      </w:r>
      <w:r>
        <w:rPr>
          <w:rStyle w:val="a7"/>
          <w:rFonts w:cs="Arial"/>
          <w:rtl/>
        </w:rPr>
        <w:footnoteReference w:id="1379"/>
      </w:r>
      <w:r>
        <w:rPr>
          <w:rFonts w:cs="Arial"/>
          <w:rtl/>
        </w:rPr>
        <w:t xml:space="preserve">. </w:t>
      </w:r>
    </w:p>
    <w:p w14:paraId="17378A1E" w14:textId="77777777" w:rsidR="00FA2119" w:rsidRDefault="00FA2119" w:rsidP="00FA2119">
      <w:pPr>
        <w:rPr>
          <w:rtl/>
        </w:rPr>
      </w:pPr>
    </w:p>
    <w:p w14:paraId="48BA5DF7" w14:textId="77777777" w:rsidR="00FA2119" w:rsidRDefault="00FA2119" w:rsidP="00FA2119">
      <w:pPr>
        <w:pStyle w:val="2"/>
        <w:rPr>
          <w:rtl/>
        </w:rPr>
      </w:pPr>
      <w:r>
        <w:rPr>
          <w:rtl/>
        </w:rPr>
        <w:t>סעיף ו: עדים שלא חתמו לשמה.</w:t>
      </w:r>
    </w:p>
    <w:p w14:paraId="30B3A7FF" w14:textId="5CF42E92" w:rsidR="00FA2119" w:rsidRDefault="00FA2119" w:rsidP="00FA2119">
      <w:pPr>
        <w:rPr>
          <w:rFonts w:cs="Arial"/>
          <w:rtl/>
        </w:rPr>
      </w:pPr>
      <w:r>
        <w:rPr>
          <w:rFonts w:cs="Arial"/>
          <w:b/>
          <w:bCs/>
          <w:rtl/>
        </w:rPr>
        <w:t xml:space="preserve">גיטין </w:t>
      </w:r>
      <w:r>
        <w:rPr>
          <w:rFonts w:cs="Arial"/>
          <w:b/>
          <w:bCs/>
          <w:sz w:val="16"/>
          <w:szCs w:val="16"/>
          <w:rtl/>
        </w:rPr>
        <w:t>(פ"ק)</w:t>
      </w:r>
      <w:r>
        <w:rPr>
          <w:rFonts w:cs="Arial"/>
          <w:b/>
          <w:bCs/>
          <w:rtl/>
        </w:rPr>
        <w:t xml:space="preserve"> ד ע"א: </w:t>
      </w:r>
      <w:r>
        <w:rPr>
          <w:rFonts w:cs="Arial"/>
          <w:rtl/>
        </w:rPr>
        <w:t xml:space="preserve">אלא לעולם רבי אלעזר היא, וכי לא בעי רבי אלעזר חתימה </w:t>
      </w:r>
      <w:r w:rsidR="00A82951">
        <w:rPr>
          <w:rFonts w:cs="Arial"/>
          <w:rtl/>
        </w:rPr>
        <w:t>-</w:t>
      </w:r>
      <w:r>
        <w:rPr>
          <w:rFonts w:cs="Arial"/>
          <w:rtl/>
        </w:rPr>
        <w:t xml:space="preserve"> היכא דליכא עדים כלל</w:t>
      </w:r>
      <w:r>
        <w:rPr>
          <w:rStyle w:val="a7"/>
          <w:rFonts w:cs="Arial"/>
          <w:rtl/>
        </w:rPr>
        <w:footnoteReference w:id="1380"/>
      </w:r>
      <w:r>
        <w:rPr>
          <w:rFonts w:cs="Arial"/>
          <w:rtl/>
        </w:rPr>
        <w:t xml:space="preserve">, היכא דאיכא עדים </w:t>
      </w:r>
      <w:r w:rsidR="00A82951">
        <w:rPr>
          <w:rFonts w:cs="Arial"/>
          <w:rtl/>
        </w:rPr>
        <w:t>-</w:t>
      </w:r>
      <w:r>
        <w:rPr>
          <w:rFonts w:cs="Arial"/>
          <w:rtl/>
        </w:rPr>
        <w:t xml:space="preserve"> בעי, דאמר רבי אבא: מודה רבי אלעזר, במזוייף מתוכו</w:t>
      </w:r>
      <w:r>
        <w:rPr>
          <w:rStyle w:val="a7"/>
          <w:rFonts w:cs="Arial"/>
          <w:rtl/>
        </w:rPr>
        <w:footnoteReference w:id="1381"/>
      </w:r>
      <w:r>
        <w:rPr>
          <w:rFonts w:cs="Arial"/>
          <w:rtl/>
        </w:rPr>
        <w:t xml:space="preserve"> שהוא פסול. </w:t>
      </w:r>
    </w:p>
    <w:p w14:paraId="0503FB6F" w14:textId="1116E67F" w:rsidR="00FA2119" w:rsidRPr="00CF2F95" w:rsidRDefault="00FA2119" w:rsidP="00CF2F95">
      <w:pPr>
        <w:rPr>
          <w:u w:val="single"/>
          <w:rtl/>
        </w:rPr>
      </w:pPr>
      <w:r>
        <w:rPr>
          <w:u w:val="single"/>
          <w:rtl/>
        </w:rPr>
        <w:t>עדים שלא חתמו לשמה:</w:t>
      </w:r>
    </w:p>
    <w:p w14:paraId="04D1804F" w14:textId="74125054" w:rsidR="00FA2119" w:rsidRDefault="00FA2119" w:rsidP="006A458D">
      <w:pPr>
        <w:pStyle w:val="ab"/>
        <w:numPr>
          <w:ilvl w:val="0"/>
          <w:numId w:val="89"/>
        </w:numPr>
      </w:pPr>
      <w:r>
        <w:rPr>
          <w:rFonts w:cs="Arial"/>
          <w:rtl/>
        </w:rPr>
        <w:lastRenderedPageBreak/>
        <w:t xml:space="preserve">רמב"ם </w:t>
      </w:r>
      <w:r>
        <w:rPr>
          <w:rFonts w:cs="Arial"/>
          <w:sz w:val="16"/>
          <w:szCs w:val="16"/>
          <w:rtl/>
        </w:rPr>
        <w:t>(פ"ג ה"ח)</w:t>
      </w:r>
      <w:r w:rsidR="00CF2F95">
        <w:rPr>
          <w:rFonts w:cs="Arial" w:hint="cs"/>
          <w:rtl/>
        </w:rPr>
        <w:t xml:space="preserve"> וטור</w:t>
      </w:r>
      <w:r w:rsidR="00CF2F95">
        <w:rPr>
          <w:rStyle w:val="a7"/>
          <w:rFonts w:cs="Arial"/>
          <w:rtl/>
        </w:rPr>
        <w:footnoteReference w:id="1382"/>
      </w:r>
      <w:r w:rsidR="00A82951">
        <w:rPr>
          <w:rFonts w:cs="Arial"/>
          <w:rtl/>
        </w:rPr>
        <w:t>-</w:t>
      </w:r>
      <w:r>
        <w:rPr>
          <w:rFonts w:cs="Arial"/>
          <w:rtl/>
        </w:rPr>
        <w:t xml:space="preserve"> יש מי שאומר שאם חתמו העדים שלא לשמה הואיל והוא כמזוייף מתוכו הרי זה גט בטל... </w:t>
      </w:r>
      <w:r w:rsidR="00A82951">
        <w:rPr>
          <w:rFonts w:cs="Arial"/>
          <w:rtl/>
        </w:rPr>
        <w:t>-</w:t>
      </w:r>
      <w:r>
        <w:rPr>
          <w:rFonts w:cs="Arial"/>
          <w:rtl/>
        </w:rPr>
        <w:t xml:space="preserve"> ולא יראה לי דבר זה, אלא כמזוייף, לא מזוייף ודאי</w:t>
      </w:r>
      <w:r>
        <w:rPr>
          <w:rStyle w:val="a7"/>
          <w:rFonts w:cs="Arial"/>
          <w:rtl/>
        </w:rPr>
        <w:footnoteReference w:id="1383"/>
      </w:r>
      <w:r>
        <w:rPr>
          <w:rFonts w:cs="Arial"/>
          <w:rtl/>
        </w:rPr>
        <w:t xml:space="preserve">, והואיל ונמסר בעדים כשרים </w:t>
      </w:r>
      <w:r w:rsidR="00A82951">
        <w:rPr>
          <w:rFonts w:cs="Arial"/>
          <w:rtl/>
        </w:rPr>
        <w:t>-</w:t>
      </w:r>
      <w:r>
        <w:rPr>
          <w:rFonts w:cs="Arial"/>
          <w:rtl/>
        </w:rPr>
        <w:t xml:space="preserve"> הרי זה פסול מדבריהם</w:t>
      </w:r>
      <w:r>
        <w:rPr>
          <w:rStyle w:val="a7"/>
          <w:rFonts w:cs="Arial"/>
          <w:rtl/>
        </w:rPr>
        <w:footnoteReference w:id="1384"/>
      </w:r>
      <w:r>
        <w:rPr>
          <w:rFonts w:cs="Arial"/>
          <w:rtl/>
        </w:rPr>
        <w:t>.</w:t>
      </w:r>
      <w:r>
        <w:rPr>
          <w:rtl/>
        </w:rPr>
        <w:t xml:space="preserve"> </w:t>
      </w:r>
      <w:r>
        <w:rPr>
          <w:color w:val="E36C0A" w:themeColor="accent6" w:themeShade="BF"/>
          <w:rtl/>
        </w:rPr>
        <w:t>(וכ"ס בשו"ע)</w:t>
      </w:r>
    </w:p>
    <w:p w14:paraId="1A3E264D" w14:textId="3A2C80E8" w:rsidR="00CF2F95" w:rsidRPr="00CF2F95" w:rsidRDefault="00CF2F95" w:rsidP="00CF2F95">
      <w:pPr>
        <w:ind w:left="360"/>
        <w:rPr>
          <w:sz w:val="16"/>
          <w:szCs w:val="16"/>
        </w:rPr>
      </w:pPr>
      <w:r w:rsidRPr="00CF2F95">
        <w:rPr>
          <w:rFonts w:hint="cs"/>
          <w:u w:val="dotted"/>
          <w:rtl/>
        </w:rPr>
        <w:t>ומה הדין אם התחיל העד לחתום לא לשמה ונזכר באמצע וסיים לשמה:</w:t>
      </w:r>
      <w:r>
        <w:rPr>
          <w:rFonts w:hint="cs"/>
          <w:sz w:val="16"/>
          <w:szCs w:val="16"/>
          <w:rtl/>
        </w:rPr>
        <w:t xml:space="preserve"> (דרכ"מ אות ד)</w:t>
      </w:r>
    </w:p>
    <w:p w14:paraId="279F1063" w14:textId="02B4629F" w:rsidR="00CF2F95" w:rsidRDefault="00EC2403" w:rsidP="006A458D">
      <w:pPr>
        <w:pStyle w:val="ab"/>
        <w:numPr>
          <w:ilvl w:val="0"/>
          <w:numId w:val="89"/>
        </w:numPr>
      </w:pPr>
      <w:r>
        <w:rPr>
          <w:rFonts w:cs="Arial" w:hint="cs"/>
          <w:rtl/>
        </w:rPr>
        <w:t>דרכ"מ</w:t>
      </w:r>
      <w:r w:rsidRPr="00EC2403">
        <w:rPr>
          <w:rFonts w:cs="Arial" w:hint="cs"/>
          <w:sz w:val="16"/>
          <w:szCs w:val="16"/>
          <w:rtl/>
        </w:rPr>
        <w:t xml:space="preserve"> (אות ד)</w:t>
      </w:r>
      <w:r>
        <w:rPr>
          <w:rFonts w:cs="Arial" w:hint="cs"/>
          <w:rtl/>
        </w:rPr>
        <w:t>- ב</w:t>
      </w:r>
      <w:r w:rsidR="00CF2F95">
        <w:rPr>
          <w:rFonts w:cs="Arial"/>
          <w:rtl/>
        </w:rPr>
        <w:t>תרו</w:t>
      </w:r>
      <w:r w:rsidR="00CF2F95">
        <w:rPr>
          <w:rFonts w:cs="Arial" w:hint="cs"/>
          <w:rtl/>
        </w:rPr>
        <w:t>ה"ד</w:t>
      </w:r>
      <w:r>
        <w:rPr>
          <w:rStyle w:val="a7"/>
          <w:rFonts w:cs="Arial"/>
          <w:rtl/>
        </w:rPr>
        <w:footnoteReference w:id="1385"/>
      </w:r>
      <w:r w:rsidR="00CF2F95">
        <w:rPr>
          <w:rFonts w:cs="Arial"/>
          <w:rtl/>
        </w:rPr>
        <w:t xml:space="preserve"> </w:t>
      </w:r>
      <w:r w:rsidR="00CF2F95" w:rsidRPr="00CF2F95">
        <w:rPr>
          <w:rFonts w:cs="Arial" w:hint="cs"/>
          <w:sz w:val="16"/>
          <w:szCs w:val="16"/>
          <w:rtl/>
        </w:rPr>
        <w:t>(</w:t>
      </w:r>
      <w:r w:rsidR="00CF2F95" w:rsidRPr="00CF2F95">
        <w:rPr>
          <w:rFonts w:cs="Arial"/>
          <w:sz w:val="16"/>
          <w:szCs w:val="16"/>
          <w:rtl/>
        </w:rPr>
        <w:t>סי</w:t>
      </w:r>
      <w:r w:rsidR="00CF2F95" w:rsidRPr="00CF2F95">
        <w:rPr>
          <w:rFonts w:cs="Arial" w:hint="cs"/>
          <w:sz w:val="16"/>
          <w:szCs w:val="16"/>
          <w:rtl/>
        </w:rPr>
        <w:t>'</w:t>
      </w:r>
      <w:r w:rsidR="00CF2F95" w:rsidRPr="00CF2F95">
        <w:rPr>
          <w:rFonts w:cs="Arial"/>
          <w:sz w:val="16"/>
          <w:szCs w:val="16"/>
          <w:rtl/>
        </w:rPr>
        <w:t xml:space="preserve"> רכח</w:t>
      </w:r>
      <w:r w:rsidR="00CF2F95" w:rsidRPr="00CF2F95">
        <w:rPr>
          <w:rFonts w:cs="Arial" w:hint="cs"/>
          <w:sz w:val="16"/>
          <w:szCs w:val="16"/>
          <w:rtl/>
        </w:rPr>
        <w:t>)</w:t>
      </w:r>
      <w:r w:rsidR="00CF2F95">
        <w:rPr>
          <w:rFonts w:cs="Arial" w:hint="cs"/>
          <w:rtl/>
        </w:rPr>
        <w:t xml:space="preserve"> ו</w:t>
      </w:r>
      <w:r>
        <w:rPr>
          <w:rFonts w:cs="Arial" w:hint="cs"/>
          <w:rtl/>
        </w:rPr>
        <w:t xml:space="preserve">בתשו' </w:t>
      </w:r>
      <w:r w:rsidR="00CF2F95">
        <w:rPr>
          <w:rFonts w:cs="Arial"/>
          <w:rtl/>
        </w:rPr>
        <w:t>מהר</w:t>
      </w:r>
      <w:r>
        <w:rPr>
          <w:rFonts w:cs="Arial" w:hint="cs"/>
          <w:rtl/>
        </w:rPr>
        <w:t>"</w:t>
      </w:r>
      <w:r w:rsidR="00CF2F95">
        <w:rPr>
          <w:rFonts w:cs="Arial" w:hint="cs"/>
          <w:rtl/>
        </w:rPr>
        <w:t>י</w:t>
      </w:r>
      <w:r>
        <w:rPr>
          <w:rFonts w:cs="Arial" w:hint="cs"/>
          <w:rtl/>
        </w:rPr>
        <w:t xml:space="preserve"> </w:t>
      </w:r>
      <w:r w:rsidR="00CF2F95">
        <w:rPr>
          <w:rFonts w:cs="Arial"/>
          <w:rtl/>
        </w:rPr>
        <w:t>ו</w:t>
      </w:r>
      <w:r>
        <w:rPr>
          <w:rFonts w:cs="Arial" w:hint="cs"/>
          <w:rtl/>
        </w:rPr>
        <w:t>וייל</w:t>
      </w:r>
      <w:r w:rsidR="00CF2F95" w:rsidRPr="00CF2F95">
        <w:rPr>
          <w:rFonts w:cs="Arial"/>
          <w:sz w:val="16"/>
          <w:szCs w:val="16"/>
          <w:rtl/>
        </w:rPr>
        <w:t xml:space="preserve"> </w:t>
      </w:r>
      <w:r w:rsidR="00CF2F95" w:rsidRPr="00CF2F95">
        <w:rPr>
          <w:rFonts w:cs="Arial" w:hint="cs"/>
          <w:sz w:val="16"/>
          <w:szCs w:val="16"/>
          <w:rtl/>
        </w:rPr>
        <w:t>(</w:t>
      </w:r>
      <w:r w:rsidR="00CF2F95" w:rsidRPr="00CF2F95">
        <w:rPr>
          <w:rFonts w:cs="Arial"/>
          <w:sz w:val="16"/>
          <w:szCs w:val="16"/>
          <w:rtl/>
        </w:rPr>
        <w:t>סי</w:t>
      </w:r>
      <w:r w:rsidR="00CF2F95" w:rsidRPr="00CF2F95">
        <w:rPr>
          <w:rFonts w:cs="Arial" w:hint="cs"/>
          <w:sz w:val="16"/>
          <w:szCs w:val="16"/>
          <w:rtl/>
        </w:rPr>
        <w:t>'</w:t>
      </w:r>
      <w:r w:rsidR="00CF2F95" w:rsidRPr="00CF2F95">
        <w:rPr>
          <w:rFonts w:cs="Arial"/>
          <w:sz w:val="16"/>
          <w:szCs w:val="16"/>
          <w:rtl/>
        </w:rPr>
        <w:t xml:space="preserve"> כז</w:t>
      </w:r>
      <w:r w:rsidR="00CF2F95" w:rsidRPr="00CF2F95">
        <w:rPr>
          <w:rFonts w:cs="Arial" w:hint="cs"/>
          <w:sz w:val="16"/>
          <w:szCs w:val="16"/>
          <w:rtl/>
        </w:rPr>
        <w:t>)</w:t>
      </w:r>
      <w:r w:rsidR="00CF2F95">
        <w:rPr>
          <w:rFonts w:cs="Arial"/>
          <w:rtl/>
        </w:rPr>
        <w:t xml:space="preserve"> מעשה באחד שחתם סתם ואחר שחתם מקצת שמו נזכר שלא אמר לשמו ולשמה ואמר אני חותם לשמו וכו' והכשירו החתימה חדא דעד אומר שחתמו לשמו אף על פי שלא אמר בפירוש ונאמן העד על זה. ותו דהא לא גמר חתימתו שלא לשמה ומאחר שגמרו לשמה הגט כשר. ותו דאפילו כתב כל שמו שלא לשמו ולשמה מכל מקום כתב אח"כ בן פלוני לשמו ולשמה ובהכי סגי (עיין לעיל סימן קל סי"א) עכ"ל</w:t>
      </w:r>
      <w:r w:rsidR="007C79AF">
        <w:rPr>
          <w:rFonts w:cs="Arial" w:hint="cs"/>
          <w:sz w:val="16"/>
          <w:szCs w:val="16"/>
          <w:rtl/>
        </w:rPr>
        <w:t xml:space="preserve"> </w:t>
      </w:r>
      <w:r w:rsidR="007C79AF" w:rsidRPr="007C79AF">
        <w:rPr>
          <w:rFonts w:cs="Arial" w:hint="cs"/>
          <w:color w:val="00B0F0"/>
          <w:sz w:val="16"/>
          <w:szCs w:val="16"/>
          <w:rtl/>
        </w:rPr>
        <w:t xml:space="preserve">(וכ"כ בהג"ה </w:t>
      </w:r>
      <w:r w:rsidR="007C79AF" w:rsidRPr="007C79AF">
        <w:rPr>
          <w:rFonts w:cs="Arial" w:hint="cs"/>
          <w:sz w:val="14"/>
          <w:szCs w:val="14"/>
          <w:rtl/>
        </w:rPr>
        <w:t xml:space="preserve">[בסע' </w:t>
      </w:r>
      <w:r w:rsidR="007C79AF">
        <w:rPr>
          <w:rFonts w:cs="Arial" w:hint="cs"/>
          <w:sz w:val="14"/>
          <w:szCs w:val="14"/>
          <w:rtl/>
        </w:rPr>
        <w:t>ט</w:t>
      </w:r>
      <w:r w:rsidR="007C79AF" w:rsidRPr="007C79AF">
        <w:rPr>
          <w:rFonts w:cs="Arial" w:hint="cs"/>
          <w:sz w:val="14"/>
          <w:szCs w:val="14"/>
          <w:rtl/>
        </w:rPr>
        <w:t>]</w:t>
      </w:r>
      <w:r w:rsidR="007C79AF" w:rsidRPr="007C79AF">
        <w:rPr>
          <w:rFonts w:cs="Arial" w:hint="cs"/>
          <w:color w:val="00B0F0"/>
          <w:sz w:val="16"/>
          <w:szCs w:val="16"/>
          <w:rtl/>
        </w:rPr>
        <w:t>)</w:t>
      </w:r>
      <w:r w:rsidR="00CF2F95">
        <w:rPr>
          <w:rFonts w:cs="Arial"/>
          <w:rtl/>
        </w:rPr>
        <w:t xml:space="preserve">. והר"ד כהן האריך בתשובה </w:t>
      </w:r>
      <w:r>
        <w:rPr>
          <w:rFonts w:cs="Arial" w:hint="cs"/>
          <w:rtl/>
        </w:rPr>
        <w:t>(</w:t>
      </w:r>
      <w:r w:rsidR="00CF2F95">
        <w:rPr>
          <w:rFonts w:cs="Arial"/>
          <w:rtl/>
        </w:rPr>
        <w:t>בית א חדר ג</w:t>
      </w:r>
      <w:r>
        <w:rPr>
          <w:rFonts w:cs="Arial" w:hint="cs"/>
          <w:rtl/>
        </w:rPr>
        <w:t>)</w:t>
      </w:r>
      <w:r w:rsidR="00CF2F95">
        <w:rPr>
          <w:rFonts w:cs="Arial"/>
          <w:rtl/>
        </w:rPr>
        <w:t xml:space="preserve"> במי שכתב מקצת אות שלא לשמו וגמרו לשמו, ודעתו לפסול ועיי"ש</w:t>
      </w:r>
      <w:r w:rsidR="000A7D04">
        <w:rPr>
          <w:rFonts w:cs="Arial" w:hint="cs"/>
          <w:rtl/>
        </w:rPr>
        <w:t>.</w:t>
      </w:r>
    </w:p>
    <w:p w14:paraId="743405E7"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AD35965" w14:textId="77777777" w:rsidR="00FA2119" w:rsidRDefault="00FA2119" w:rsidP="00FA2119">
      <w:pPr>
        <w:rPr>
          <w:rtl/>
        </w:rPr>
      </w:pPr>
      <w:r>
        <w:rPr>
          <w:rFonts w:cs="Arial"/>
          <w:rtl/>
        </w:rPr>
        <w:t xml:space="preserve">אפילו נכתב לשמו, אם לא חתמו העדים לשמו, אם נתנו לה בלא עדי מסירה, אינו גט. ואם נתנו לה בעדי מסירה, הרי זה פסול. ויש אומרים שגם זה אינו גט. </w:t>
      </w:r>
    </w:p>
    <w:p w14:paraId="69192F83" w14:textId="77777777" w:rsidR="00FA2119" w:rsidRDefault="00FA2119" w:rsidP="00FA2119">
      <w:pPr>
        <w:rPr>
          <w:rtl/>
        </w:rPr>
      </w:pPr>
    </w:p>
    <w:p w14:paraId="06409ACC" w14:textId="77777777" w:rsidR="00FA2119" w:rsidRDefault="00FA2119" w:rsidP="00FA2119">
      <w:pPr>
        <w:pStyle w:val="2"/>
        <w:rPr>
          <w:rtl/>
        </w:rPr>
      </w:pPr>
      <w:r>
        <w:rPr>
          <w:rtl/>
        </w:rPr>
        <w:t>סעיף ז: ציווי הסופר לכתוב לשמה.</w:t>
      </w:r>
    </w:p>
    <w:p w14:paraId="777F2E4A" w14:textId="392C02F7" w:rsidR="00FA2119" w:rsidRDefault="00FA2119" w:rsidP="00FA2119">
      <w:pPr>
        <w:rPr>
          <w:rtl/>
        </w:rPr>
      </w:pPr>
      <w:r>
        <w:rPr>
          <w:rFonts w:cs="Arial"/>
          <w:b/>
          <w:bCs/>
          <w:rtl/>
        </w:rPr>
        <w:t xml:space="preserve">גיטין </w:t>
      </w:r>
      <w:r>
        <w:rPr>
          <w:rFonts w:cs="Arial"/>
          <w:b/>
          <w:bCs/>
          <w:szCs w:val="16"/>
          <w:rtl/>
        </w:rPr>
        <w:t xml:space="preserve">(ר"פ כל הגט) </w:t>
      </w:r>
      <w:r>
        <w:rPr>
          <w:rFonts w:cs="Arial"/>
          <w:b/>
          <w:bCs/>
          <w:rtl/>
        </w:rPr>
        <w:t xml:space="preserve">כד ע"א: </w:t>
      </w:r>
      <w:r>
        <w:rPr>
          <w:rFonts w:cs="Arial"/>
          <w:u w:val="double"/>
          <w:rtl/>
        </w:rPr>
        <w:t>מתני'</w:t>
      </w:r>
      <w:r>
        <w:rPr>
          <w:rFonts w:cs="Arial"/>
          <w:rtl/>
        </w:rPr>
        <w:t xml:space="preserve">: כל גט שנכתב שלא לשום אשה </w:t>
      </w:r>
      <w:r w:rsidR="00A82951">
        <w:rPr>
          <w:rFonts w:cs="Arial"/>
          <w:rtl/>
        </w:rPr>
        <w:t>-</w:t>
      </w:r>
      <w:r>
        <w:rPr>
          <w:rFonts w:cs="Arial"/>
          <w:rtl/>
        </w:rPr>
        <w:t xml:space="preserve"> פסול.</w:t>
      </w:r>
      <w:r>
        <w:rPr>
          <w:rFonts w:cs="Arial"/>
          <w:sz w:val="16"/>
          <w:szCs w:val="16"/>
          <w:rtl/>
        </w:rPr>
        <w:t xml:space="preserve"> (והאי פסול היינו לומר שהוא בטל, וכ"כ הרמב"ם בפ"ג (ה"א), ובסמוך יתבאר, ב"י)</w:t>
      </w:r>
    </w:p>
    <w:p w14:paraId="651FD733" w14:textId="77777777" w:rsidR="00FA2119" w:rsidRDefault="00FA2119" w:rsidP="00FA2119">
      <w:pPr>
        <w:rPr>
          <w:u w:val="single"/>
          <w:rtl/>
        </w:rPr>
      </w:pPr>
      <w:r>
        <w:rPr>
          <w:u w:val="single"/>
          <w:rtl/>
        </w:rPr>
        <w:t>ציווי הסופר לכתוב לשמה:</w:t>
      </w:r>
    </w:p>
    <w:p w14:paraId="118FA55C" w14:textId="190A45B4" w:rsidR="00FA2119" w:rsidRDefault="00FA2119" w:rsidP="006A458D">
      <w:pPr>
        <w:pStyle w:val="ab"/>
        <w:numPr>
          <w:ilvl w:val="0"/>
          <w:numId w:val="89"/>
        </w:numPr>
        <w:rPr>
          <w:rtl/>
        </w:rPr>
      </w:pPr>
      <w:r>
        <w:rPr>
          <w:rFonts w:cs="Arial"/>
          <w:rtl/>
        </w:rPr>
        <w:t xml:space="preserve">סמ"ג </w:t>
      </w:r>
      <w:r>
        <w:rPr>
          <w:rFonts w:cs="Arial"/>
          <w:sz w:val="16"/>
          <w:szCs w:val="16"/>
          <w:rtl/>
        </w:rPr>
        <w:t>(עשין נ דף קכט ע"ד)</w:t>
      </w:r>
      <w:r w:rsidR="00A82951">
        <w:rPr>
          <w:rFonts w:cs="Arial"/>
          <w:rtl/>
        </w:rPr>
        <w:t>-</w:t>
      </w:r>
      <w:r>
        <w:rPr>
          <w:rFonts w:cs="Arial"/>
          <w:rtl/>
        </w:rPr>
        <w:t xml:space="preserve"> הבעל הכותב גט לאשתו צריך שיאמר 'לשם פלונית אשתי אני כותב שתהיה מתגרשת בו'. ואם אמר לכתבו ע"י אחר</w:t>
      </w:r>
      <w:r w:rsidR="00082AE7">
        <w:rPr>
          <w:rFonts w:cs="Arial" w:hint="cs"/>
          <w:rtl/>
        </w:rPr>
        <w:t>,</w:t>
      </w:r>
      <w:r>
        <w:rPr>
          <w:rFonts w:cs="Arial"/>
          <w:rtl/>
        </w:rPr>
        <w:t xml:space="preserve"> צריך שיאמר לסופר 'כתוב לי גט לשם גרושי פלונית אשתי'. והסופר יכוין לכתבו לשמה</w:t>
      </w:r>
      <w:r>
        <w:rPr>
          <w:rStyle w:val="a7"/>
          <w:rFonts w:cs="Arial"/>
          <w:rtl/>
        </w:rPr>
        <w:footnoteReference w:id="1386"/>
      </w:r>
      <w:r>
        <w:rPr>
          <w:rFonts w:cs="Arial"/>
          <w:rtl/>
        </w:rPr>
        <w:t xml:space="preserve">. </w:t>
      </w:r>
    </w:p>
    <w:p w14:paraId="4EC76821" w14:textId="3BA4FEFB" w:rsidR="00FA2119" w:rsidRDefault="00FA2119" w:rsidP="006A458D">
      <w:pPr>
        <w:pStyle w:val="ab"/>
        <w:numPr>
          <w:ilvl w:val="0"/>
          <w:numId w:val="89"/>
        </w:numPr>
        <w:rPr>
          <w:rtl/>
        </w:rPr>
      </w:pPr>
      <w:r>
        <w:rPr>
          <w:rtl/>
        </w:rPr>
        <w:t>טור</w:t>
      </w:r>
      <w:r w:rsidR="00A82951">
        <w:rPr>
          <w:rtl/>
        </w:rPr>
        <w:t>-</w:t>
      </w:r>
      <w:r>
        <w:rPr>
          <w:rFonts w:cs="Arial"/>
          <w:rtl/>
        </w:rPr>
        <w:t xml:space="preserve"> לא נכתב לשמו פסול. לכך צריך ליזהר כשהבעל מצוה לסופר לכתוב שיאמר 'כתוב לשם פלונית אשתי'. וכן יאמר הסופר בפיו</w:t>
      </w:r>
      <w:r>
        <w:rPr>
          <w:rStyle w:val="a7"/>
          <w:rFonts w:cs="Arial"/>
          <w:rtl/>
        </w:rPr>
        <w:footnoteReference w:id="1387"/>
      </w:r>
      <w:r>
        <w:rPr>
          <w:rFonts w:cs="Arial"/>
          <w:rtl/>
        </w:rPr>
        <w:t xml:space="preserve"> כשמתחילו לכתוב. </w:t>
      </w:r>
      <w:r>
        <w:rPr>
          <w:color w:val="E36C0A" w:themeColor="accent6" w:themeShade="BF"/>
          <w:rtl/>
        </w:rPr>
        <w:t>(וכ"פ בשו"ע)</w:t>
      </w:r>
    </w:p>
    <w:p w14:paraId="52F28C2F" w14:textId="776A7B75" w:rsidR="00FA2119" w:rsidRDefault="00FA2119" w:rsidP="00FA2119">
      <w:pPr>
        <w:rPr>
          <w:rFonts w:cs="Arial"/>
        </w:rPr>
      </w:pPr>
      <w:r>
        <w:rPr>
          <w:rFonts w:cs="Arial"/>
          <w:u w:val="single"/>
          <w:rtl/>
        </w:rPr>
        <w:t xml:space="preserve">תיקון הקלף/שרטוט/חתיכת הקולמוס </w:t>
      </w:r>
      <w:r w:rsidR="00A82951">
        <w:rPr>
          <w:rFonts w:cs="Arial"/>
          <w:u w:val="single"/>
          <w:rtl/>
        </w:rPr>
        <w:t>-</w:t>
      </w:r>
      <w:r>
        <w:rPr>
          <w:rFonts w:cs="Arial"/>
          <w:u w:val="single"/>
          <w:rtl/>
        </w:rPr>
        <w:t xml:space="preserve"> האם צריך לעשותם לשמה:</w:t>
      </w:r>
      <w:r>
        <w:rPr>
          <w:rFonts w:cs="Arial"/>
          <w:rtl/>
        </w:rPr>
        <w:t xml:space="preserve"> </w:t>
      </w:r>
      <w:r>
        <w:rPr>
          <w:rFonts w:cs="Arial"/>
          <w:sz w:val="16"/>
          <w:szCs w:val="16"/>
          <w:rtl/>
        </w:rPr>
        <w:t>(דרכ"מ אות א)</w:t>
      </w:r>
      <w:r>
        <w:rPr>
          <w:rFonts w:cs="Arial"/>
          <w:rtl/>
        </w:rPr>
        <w:t xml:space="preserve"> </w:t>
      </w:r>
    </w:p>
    <w:p w14:paraId="3DF8CAE1" w14:textId="217D1113" w:rsidR="00FA2119" w:rsidRDefault="00FA2119" w:rsidP="006A458D">
      <w:pPr>
        <w:pStyle w:val="ab"/>
        <w:numPr>
          <w:ilvl w:val="0"/>
          <w:numId w:val="89"/>
        </w:numPr>
        <w:rPr>
          <w:rtl/>
        </w:rPr>
      </w:pPr>
      <w:r>
        <w:rPr>
          <w:rFonts w:cs="Arial"/>
          <w:rtl/>
        </w:rPr>
        <w:lastRenderedPageBreak/>
        <w:t xml:space="preserve">סדר גיטין </w:t>
      </w:r>
      <w:r>
        <w:rPr>
          <w:rFonts w:cs="Arial"/>
          <w:sz w:val="16"/>
          <w:szCs w:val="16"/>
          <w:rtl/>
        </w:rPr>
        <w:t>(סי' א)</w:t>
      </w:r>
      <w:r w:rsidR="00A82951">
        <w:rPr>
          <w:rFonts w:cs="Arial"/>
          <w:rtl/>
        </w:rPr>
        <w:t>-</w:t>
      </w:r>
      <w:r>
        <w:rPr>
          <w:rFonts w:cs="Arial"/>
          <w:rtl/>
        </w:rPr>
        <w:t xml:space="preserve"> אפשר שהשרטוט אין צריך לשמן. ובתיקון ישן מצאתי יש מחמירין דתיקון הקלף וחתיכת הקולמוס צריך להיות לשמן.</w:t>
      </w:r>
      <w:r>
        <w:rPr>
          <w:color w:val="00B0F0"/>
          <w:rtl/>
        </w:rPr>
        <w:t xml:space="preserve"> (וכ"פ הרמ"א)</w:t>
      </w:r>
    </w:p>
    <w:p w14:paraId="0C8BF17C" w14:textId="77777777" w:rsidR="00FA2119" w:rsidRDefault="00FA2119" w:rsidP="00FA2119">
      <w:pPr>
        <w:rPr>
          <w:u w:val="single"/>
        </w:rPr>
      </w:pPr>
      <w:r>
        <w:rPr>
          <w:u w:val="single"/>
          <w:rtl/>
        </w:rPr>
        <w:t>כתיבת הגט עם הפסקות:</w:t>
      </w:r>
      <w:r>
        <w:rPr>
          <w:rFonts w:cs="Arial"/>
          <w:sz w:val="16"/>
          <w:szCs w:val="16"/>
          <w:rtl/>
        </w:rPr>
        <w:t xml:space="preserve"> (דרכ"מ אות א)</w:t>
      </w:r>
    </w:p>
    <w:p w14:paraId="6FBBCA0E" w14:textId="135BD575" w:rsidR="00FA2119" w:rsidRDefault="00FA2119" w:rsidP="006A458D">
      <w:pPr>
        <w:pStyle w:val="ab"/>
        <w:numPr>
          <w:ilvl w:val="0"/>
          <w:numId w:val="89"/>
        </w:numPr>
      </w:pPr>
      <w:r>
        <w:rPr>
          <w:rFonts w:cs="Arial"/>
          <w:rtl/>
        </w:rPr>
        <w:t xml:space="preserve">סדר גיטין </w:t>
      </w:r>
      <w:r>
        <w:rPr>
          <w:rFonts w:cs="Arial"/>
          <w:sz w:val="16"/>
          <w:szCs w:val="16"/>
          <w:rtl/>
        </w:rPr>
        <w:t>(סי' ז)</w:t>
      </w:r>
      <w:r w:rsidR="00A82951">
        <w:rPr>
          <w:rFonts w:cs="Arial"/>
          <w:rtl/>
        </w:rPr>
        <w:t>-</w:t>
      </w:r>
      <w:r>
        <w:rPr>
          <w:rFonts w:cs="Arial"/>
          <w:rtl/>
        </w:rPr>
        <w:t xml:space="preserve"> הסופר צריך לכתוב הגט בקביעות ולא בסירוגין, דחייב לכתוב כל הגט לשמו ולשמה. ולכן כשהתחיל לומר שכותבו לשמן צריך לגמרו בקביעות ולא בסירוגין, אבל כשכותבו בסירוגין איכא למיחש שמא שכח לכתבו לשמן</w:t>
      </w:r>
      <w:r>
        <w:rPr>
          <w:rStyle w:val="a7"/>
          <w:rFonts w:cs="Arial"/>
          <w:rtl/>
        </w:rPr>
        <w:footnoteReference w:id="1388"/>
      </w:r>
      <w:r>
        <w:rPr>
          <w:rFonts w:cs="Arial"/>
          <w:rtl/>
        </w:rPr>
        <w:t xml:space="preserve">. </w:t>
      </w:r>
      <w:r>
        <w:rPr>
          <w:color w:val="00B0F0"/>
          <w:rtl/>
        </w:rPr>
        <w:t>(וכ"פ הרמ"א)</w:t>
      </w:r>
    </w:p>
    <w:p w14:paraId="12437B24"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1D7D7E3" w14:textId="77777777" w:rsidR="00FA2119" w:rsidRDefault="00FA2119" w:rsidP="00FA2119">
      <w:pPr>
        <w:rPr>
          <w:rtl/>
        </w:rPr>
      </w:pPr>
      <w:r>
        <w:rPr>
          <w:rFonts w:cs="Arial"/>
          <w:rtl/>
        </w:rPr>
        <w:t>לפיכך צריך ליזהר כשהבעל מצוה לסופר לכתוב שיאמר</w:t>
      </w:r>
      <w:r>
        <w:rPr>
          <w:rFonts w:cs="Arial"/>
          <w:sz w:val="18"/>
          <w:szCs w:val="18"/>
          <w:rtl/>
        </w:rPr>
        <w:t xml:space="preserve"> [הגה] בפני עדים שיחתמו על הגט</w:t>
      </w:r>
      <w:r>
        <w:rPr>
          <w:rFonts w:cs="Arial"/>
          <w:rtl/>
        </w:rPr>
        <w:t>: כתוב גט לשם פלונית אשתי. וכן יאמר הסופר בפיו</w:t>
      </w:r>
      <w:r>
        <w:rPr>
          <w:rStyle w:val="a7"/>
          <w:rFonts w:cs="Arial"/>
          <w:rtl/>
        </w:rPr>
        <w:footnoteReference w:id="1389"/>
      </w:r>
      <w:r>
        <w:rPr>
          <w:rFonts w:cs="Arial"/>
          <w:rtl/>
        </w:rPr>
        <w:t xml:space="preserve"> כשמתחיל לכתוב, שכותבו לשם פלונית אשת פלוני ולשמו של פלוני. </w:t>
      </w:r>
      <w:r>
        <w:rPr>
          <w:rFonts w:cs="Arial"/>
          <w:sz w:val="18"/>
          <w:szCs w:val="18"/>
          <w:rtl/>
        </w:rPr>
        <w:t>הגה: ויאמר כן בפני עדים החותמים על הגט, ויכתבנו אח"כ בקביעות ולא בסירוגין</w:t>
      </w:r>
      <w:r>
        <w:rPr>
          <w:rStyle w:val="a7"/>
          <w:rFonts w:cs="Arial"/>
          <w:sz w:val="18"/>
          <w:szCs w:val="18"/>
          <w:rtl/>
        </w:rPr>
        <w:footnoteReference w:id="1390"/>
      </w:r>
      <w:r>
        <w:rPr>
          <w:rFonts w:cs="Arial"/>
          <w:sz w:val="18"/>
          <w:szCs w:val="18"/>
          <w:rtl/>
        </w:rPr>
        <w:t>, כדי שיכתבו לשמו ולשמה כמו שהתחיל (בסדר גיטין). ומיהו בדיעבד אם כתבו בסירוגין, כשר (ד"ע). י"א תיקון הקלף וחתיכת הקולמוס, וכל שכן השרטוט, צריך הכל להיות לשמם (מ"כ בתיקון). ומיהו אם עשה אלו הדברים שלא לשמם, אינו פסול.</w:t>
      </w:r>
      <w:r>
        <w:rPr>
          <w:rFonts w:cs="Arial"/>
          <w:rtl/>
        </w:rPr>
        <w:t xml:space="preserve"> </w:t>
      </w:r>
    </w:p>
    <w:p w14:paraId="10820811" w14:textId="77777777" w:rsidR="00FA2119" w:rsidRDefault="00FA2119" w:rsidP="00FA2119">
      <w:pPr>
        <w:rPr>
          <w:rtl/>
        </w:rPr>
      </w:pPr>
    </w:p>
    <w:p w14:paraId="677C3D87" w14:textId="77777777" w:rsidR="00FA2119" w:rsidRDefault="00FA2119" w:rsidP="00FA2119">
      <w:pPr>
        <w:pStyle w:val="2"/>
        <w:rPr>
          <w:rtl/>
        </w:rPr>
      </w:pPr>
      <w:r>
        <w:rPr>
          <w:rtl/>
        </w:rPr>
        <w:t>סעיף ח: עדות שהסופר כתב את הגט לשמה.</w:t>
      </w:r>
    </w:p>
    <w:p w14:paraId="24515D94" w14:textId="77777777" w:rsidR="00FA2119" w:rsidRDefault="00FA2119" w:rsidP="00FA2119">
      <w:pPr>
        <w:rPr>
          <w:u w:val="single"/>
          <w:rtl/>
        </w:rPr>
      </w:pPr>
      <w:r>
        <w:rPr>
          <w:u w:val="single"/>
          <w:rtl/>
        </w:rPr>
        <w:t>עדות שהסופר כתב את הגט לשמה:</w:t>
      </w:r>
    </w:p>
    <w:p w14:paraId="607FC211" w14:textId="6D5AF184" w:rsidR="00FA2119" w:rsidRDefault="00FA2119" w:rsidP="006A458D">
      <w:pPr>
        <w:pStyle w:val="ab"/>
        <w:numPr>
          <w:ilvl w:val="0"/>
          <w:numId w:val="89"/>
        </w:numPr>
        <w:rPr>
          <w:rtl/>
        </w:rPr>
      </w:pPr>
      <w:r>
        <w:rPr>
          <w:rtl/>
        </w:rPr>
        <w:t>טור</w:t>
      </w:r>
      <w:r w:rsidR="00A82951">
        <w:rPr>
          <w:rtl/>
        </w:rPr>
        <w:t>-</w:t>
      </w:r>
      <w:r>
        <w:rPr>
          <w:rFonts w:cs="Arial"/>
          <w:rtl/>
        </w:rPr>
        <w:t xml:space="preserve"> והעדים החותמים צריך</w:t>
      </w:r>
      <w:r>
        <w:rPr>
          <w:rStyle w:val="a7"/>
          <w:rFonts w:cs="Arial"/>
          <w:rtl/>
        </w:rPr>
        <w:footnoteReference w:id="1391"/>
      </w:r>
      <w:r>
        <w:rPr>
          <w:rFonts w:cs="Arial"/>
          <w:rtl/>
        </w:rPr>
        <w:t xml:space="preserve"> שיהיו שם בשעה שהסופר כותבו. ושיכירוהו שזהו הגט שכתב הסופר לשמה</w:t>
      </w:r>
      <w:r>
        <w:rPr>
          <w:rStyle w:val="a7"/>
          <w:rFonts w:cs="Arial"/>
          <w:rtl/>
        </w:rPr>
        <w:footnoteReference w:id="1392"/>
      </w:r>
      <w:r>
        <w:rPr>
          <w:rFonts w:cs="Arial"/>
          <w:rtl/>
        </w:rPr>
        <w:t xml:space="preserve">. ומיהו אפי' אם אינם שם אלא בתחילת הכתיבה ושמעו שמתחיל לכתוב לשמה </w:t>
      </w:r>
      <w:r w:rsidR="00A82951">
        <w:rPr>
          <w:rFonts w:cs="Arial"/>
          <w:rtl/>
        </w:rPr>
        <w:t>-</w:t>
      </w:r>
      <w:r>
        <w:rPr>
          <w:rFonts w:cs="Arial"/>
          <w:rtl/>
        </w:rPr>
        <w:t xml:space="preserve"> שפיר דמי. </w:t>
      </w:r>
    </w:p>
    <w:p w14:paraId="2044F512" w14:textId="719F3937" w:rsidR="00FA2119" w:rsidRDefault="00FA2119" w:rsidP="006A458D">
      <w:pPr>
        <w:pStyle w:val="ab"/>
        <w:numPr>
          <w:ilvl w:val="0"/>
          <w:numId w:val="89"/>
        </w:numPr>
      </w:pPr>
      <w:r>
        <w:rPr>
          <w:rtl/>
        </w:rPr>
        <w:t xml:space="preserve">תרומה </w:t>
      </w:r>
      <w:r>
        <w:rPr>
          <w:sz w:val="16"/>
          <w:szCs w:val="16"/>
          <w:rtl/>
        </w:rPr>
        <w:t>(סי' קיז, הביאו המרדכי [סי' שלה])</w:t>
      </w:r>
      <w:r>
        <w:rPr>
          <w:rStyle w:val="a7"/>
          <w:rFonts w:cs="Arial"/>
          <w:rtl/>
        </w:rPr>
        <w:footnoteReference w:id="1393"/>
      </w:r>
      <w:r w:rsidR="00A82951">
        <w:rPr>
          <w:rtl/>
        </w:rPr>
        <w:t>-</w:t>
      </w:r>
      <w:r>
        <w:rPr>
          <w:rtl/>
        </w:rPr>
        <w:t xml:space="preserve"> </w:t>
      </w:r>
      <w:r>
        <w:rPr>
          <w:rFonts w:cs="Arial"/>
          <w:rtl/>
        </w:rPr>
        <w:t xml:space="preserve">והעדים שיחתמו בו צריכין שיהיו שם בשעה שהסופר יכתבנו, שידעו שזה הגט שצוה הבעל לכתוב ושנכתב לשמה. אמנם אפילו לא היו אלא בשעת כתיבת שיטה ראשונה וידעו שלשמה היתה והלכו להם </w:t>
      </w:r>
      <w:r w:rsidR="00A82951">
        <w:rPr>
          <w:rFonts w:cs="Arial"/>
          <w:rtl/>
        </w:rPr>
        <w:t>-</w:t>
      </w:r>
      <w:r>
        <w:rPr>
          <w:rFonts w:cs="Arial"/>
          <w:rtl/>
        </w:rPr>
        <w:t xml:space="preserve"> כשר, דיש לו לומר כמו שהתחיל הסופר לכותבו לשמה מסתמא גמרו לשמה, כדאמ' ר"א (שם ה:, טו:) אפי' לא כתב אלא שיטה</w:t>
      </w:r>
      <w:r>
        <w:rPr>
          <w:rStyle w:val="a7"/>
          <w:rFonts w:cs="Arial"/>
          <w:rtl/>
        </w:rPr>
        <w:footnoteReference w:id="1394"/>
      </w:r>
      <w:r>
        <w:rPr>
          <w:rFonts w:cs="Arial"/>
          <w:rtl/>
        </w:rPr>
        <w:t xml:space="preserve"> אחת לשמה כשר. אבל אם היו בסופו של גט ולא בתחלתו </w:t>
      </w:r>
      <w:r w:rsidR="00A82951">
        <w:rPr>
          <w:rFonts w:cs="Arial"/>
          <w:rtl/>
        </w:rPr>
        <w:t>-</w:t>
      </w:r>
      <w:r>
        <w:rPr>
          <w:rFonts w:cs="Arial"/>
          <w:rtl/>
        </w:rPr>
        <w:t xml:space="preserve"> פסול, כדתנן פ"ב</w:t>
      </w:r>
      <w:r>
        <w:rPr>
          <w:rStyle w:val="a7"/>
          <w:rFonts w:cs="Arial"/>
          <w:rtl/>
        </w:rPr>
        <w:footnoteReference w:id="1395"/>
      </w:r>
      <w:r>
        <w:rPr>
          <w:rFonts w:cs="Arial"/>
          <w:rtl/>
        </w:rPr>
        <w:t xml:space="preserve"> (שם) בפני נכתב ובפני נחתם חציו </w:t>
      </w:r>
      <w:r w:rsidR="00A82951">
        <w:rPr>
          <w:rFonts w:cs="Arial"/>
          <w:rtl/>
        </w:rPr>
        <w:t>-</w:t>
      </w:r>
      <w:r>
        <w:rPr>
          <w:rFonts w:cs="Arial"/>
          <w:rtl/>
        </w:rPr>
        <w:t xml:space="preserve"> פסול, ומוקי לה בחציו אחרון.</w:t>
      </w:r>
    </w:p>
    <w:p w14:paraId="107A86CA" w14:textId="79C14BE2" w:rsidR="00FA2119" w:rsidRDefault="00FA2119" w:rsidP="00FA2119">
      <w:pPr>
        <w:ind w:left="360"/>
        <w:rPr>
          <w:u w:val="dotted"/>
        </w:rPr>
      </w:pPr>
      <w:r>
        <w:rPr>
          <w:u w:val="dotted"/>
          <w:rtl/>
        </w:rPr>
        <w:t xml:space="preserve">ומה הדין אם </w:t>
      </w:r>
      <w:r w:rsidR="003616E1">
        <w:rPr>
          <w:rFonts w:hint="cs"/>
          <w:u w:val="dotted"/>
          <w:rtl/>
        </w:rPr>
        <w:t>ה</w:t>
      </w:r>
      <w:r w:rsidR="003616E1">
        <w:rPr>
          <w:u w:val="dotted"/>
          <w:rtl/>
        </w:rPr>
        <w:t xml:space="preserve">עדים </w:t>
      </w:r>
      <w:r w:rsidR="003616E1">
        <w:rPr>
          <w:rFonts w:hint="cs"/>
          <w:u w:val="dotted"/>
          <w:rtl/>
        </w:rPr>
        <w:t>לא היו שם</w:t>
      </w:r>
      <w:r>
        <w:rPr>
          <w:u w:val="dotted"/>
          <w:rtl/>
        </w:rPr>
        <w:t xml:space="preserve"> </w:t>
      </w:r>
      <w:r w:rsidR="003616E1">
        <w:rPr>
          <w:rFonts w:hint="cs"/>
          <w:u w:val="dotted"/>
          <w:rtl/>
        </w:rPr>
        <w:t>כלל בזמן</w:t>
      </w:r>
      <w:r>
        <w:rPr>
          <w:u w:val="dotted"/>
          <w:rtl/>
        </w:rPr>
        <w:t xml:space="preserve"> הכתיבה:</w:t>
      </w:r>
    </w:p>
    <w:p w14:paraId="47919F4A" w14:textId="2760E48F" w:rsidR="00FA2119" w:rsidRDefault="00FA2119" w:rsidP="006A458D">
      <w:pPr>
        <w:pStyle w:val="ab"/>
        <w:numPr>
          <w:ilvl w:val="0"/>
          <w:numId w:val="89"/>
        </w:numPr>
      </w:pPr>
      <w:r>
        <w:rPr>
          <w:rFonts w:cs="Arial"/>
          <w:rtl/>
        </w:rPr>
        <w:lastRenderedPageBreak/>
        <w:t xml:space="preserve">תרומה </w:t>
      </w:r>
      <w:r>
        <w:rPr>
          <w:rFonts w:cs="Arial"/>
          <w:sz w:val="16"/>
          <w:szCs w:val="16"/>
          <w:rtl/>
        </w:rPr>
        <w:t>(סי' קלא)</w:t>
      </w:r>
      <w:r>
        <w:rPr>
          <w:rFonts w:cs="Arial"/>
          <w:rtl/>
        </w:rPr>
        <w:t xml:space="preserve"> סמ"ג </w:t>
      </w:r>
      <w:r>
        <w:rPr>
          <w:rFonts w:cs="Arial"/>
          <w:sz w:val="16"/>
          <w:szCs w:val="16"/>
          <w:rtl/>
        </w:rPr>
        <w:t>(עשין נ)</w:t>
      </w:r>
      <w:r>
        <w:rPr>
          <w:rFonts w:cs="Arial"/>
          <w:rtl/>
        </w:rPr>
        <w:t xml:space="preserve"> ומרדכי </w:t>
      </w:r>
      <w:r>
        <w:rPr>
          <w:rFonts w:cs="Arial"/>
          <w:sz w:val="16"/>
          <w:szCs w:val="16"/>
          <w:rtl/>
        </w:rPr>
        <w:t>(סי' תנב)</w:t>
      </w:r>
      <w:r w:rsidR="00A82951">
        <w:rPr>
          <w:rFonts w:cs="Arial"/>
          <w:rtl/>
        </w:rPr>
        <w:t>-</w:t>
      </w:r>
      <w:r>
        <w:rPr>
          <w:rFonts w:cs="Arial"/>
          <w:rtl/>
        </w:rPr>
        <w:t xml:space="preserve"> ואם אין עד בשעת כתיבה נראה שהוא כשר</w:t>
      </w:r>
      <w:r w:rsidR="00C434F8">
        <w:rPr>
          <w:rFonts w:cs="Arial" w:hint="cs"/>
          <w:rtl/>
        </w:rPr>
        <w:t>,</w:t>
      </w:r>
      <w:r>
        <w:rPr>
          <w:rFonts w:cs="Arial"/>
          <w:rtl/>
        </w:rPr>
        <w:t xml:space="preserve"> דמסתמא כיון שהבעל צוה לסופר בפני עדים לכותבו מסתמא נתנו לשמה בהכשר. ואפי' אין מכיר כתיבת הסופר, דרוב בקיאים הם. ולא הצריכו חכמים להיות בשעת כתיבה כי אם לשליח המוליך גט לאשה שיכול לומר בפני נכתב ובפני נחתם שלא יוציא הבעל לעז על הגט. אבל כשהבעל עצמו נותנו אין לחוש שמא כתבו הגט שלא לשמה</w:t>
      </w:r>
      <w:r w:rsidR="00544B09">
        <w:rPr>
          <w:rStyle w:val="a7"/>
          <w:rFonts w:cs="Arial"/>
          <w:rtl/>
        </w:rPr>
        <w:footnoteReference w:id="1396"/>
      </w:r>
      <w:r>
        <w:rPr>
          <w:rFonts w:cs="Arial"/>
          <w:rtl/>
        </w:rPr>
        <w:t>... ואעפ"כ טוב הדבר להיות עדים בשעת כתיבה. וכן עמא דבר</w:t>
      </w:r>
      <w:r>
        <w:rPr>
          <w:rFonts w:cs="Arial"/>
          <w:sz w:val="16"/>
          <w:szCs w:val="16"/>
          <w:rtl/>
        </w:rPr>
        <w:t xml:space="preserve"> (ל' התרומה)</w:t>
      </w:r>
      <w:r>
        <w:rPr>
          <w:rFonts w:cs="Arial"/>
          <w:rtl/>
        </w:rPr>
        <w:t>.</w:t>
      </w:r>
      <w:r>
        <w:rPr>
          <w:rFonts w:cs="Arial"/>
          <w:color w:val="E36C0A" w:themeColor="accent6" w:themeShade="BF"/>
          <w:rtl/>
        </w:rPr>
        <w:t xml:space="preserve"> </w:t>
      </w:r>
      <w:r>
        <w:rPr>
          <w:color w:val="E36C0A" w:themeColor="accent6" w:themeShade="BF"/>
          <w:rtl/>
        </w:rPr>
        <w:t>(וכ"ס בשו"ע)</w:t>
      </w:r>
    </w:p>
    <w:p w14:paraId="3898C4A8"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7BD34A6" w14:textId="77777777" w:rsidR="00FA2119" w:rsidRDefault="00FA2119" w:rsidP="00FA2119">
      <w:pPr>
        <w:rPr>
          <w:rtl/>
        </w:rPr>
      </w:pPr>
      <w:r>
        <w:rPr>
          <w:rFonts w:cs="Arial"/>
          <w:rtl/>
        </w:rPr>
        <w:t>יהיו שם שני עדי החתימה בשעה שמתחיל</w:t>
      </w:r>
      <w:r>
        <w:rPr>
          <w:rStyle w:val="a7"/>
          <w:rFonts w:cs="Arial"/>
          <w:rtl/>
        </w:rPr>
        <w:footnoteReference w:id="1397"/>
      </w:r>
      <w:r>
        <w:rPr>
          <w:rFonts w:cs="Arial"/>
          <w:rtl/>
        </w:rPr>
        <w:t xml:space="preserve"> לכתוב הגט, כדי שידעו שנכתב לשמה ויכירוהו בשעת חתימה. </w:t>
      </w:r>
    </w:p>
    <w:p w14:paraId="1099B96C" w14:textId="77777777" w:rsidR="00FA2119" w:rsidRDefault="00FA2119" w:rsidP="00FA2119">
      <w:pPr>
        <w:rPr>
          <w:rtl/>
        </w:rPr>
      </w:pPr>
    </w:p>
    <w:p w14:paraId="746B1409" w14:textId="77777777" w:rsidR="00FA2119" w:rsidRDefault="00FA2119" w:rsidP="00FA2119">
      <w:pPr>
        <w:pStyle w:val="2"/>
        <w:rPr>
          <w:rtl/>
        </w:rPr>
      </w:pPr>
      <w:r>
        <w:rPr>
          <w:rtl/>
        </w:rPr>
        <w:t>סעיף ט: העדים יאמרו בפיהם שחותמים לשמה.</w:t>
      </w:r>
    </w:p>
    <w:p w14:paraId="4AEC9920" w14:textId="77777777" w:rsidR="00FA2119" w:rsidRDefault="00FA2119" w:rsidP="00FA2119">
      <w:pPr>
        <w:rPr>
          <w:rFonts w:cs="Arial"/>
          <w:u w:val="single"/>
          <w:rtl/>
        </w:rPr>
      </w:pPr>
      <w:r>
        <w:rPr>
          <w:u w:val="single"/>
          <w:rtl/>
        </w:rPr>
        <w:t>העדים יאמרו בפיהם שחותמים לשמה</w:t>
      </w:r>
      <w:r>
        <w:rPr>
          <w:rFonts w:cs="Arial"/>
          <w:u w:val="single"/>
          <w:rtl/>
        </w:rPr>
        <w:t>:</w:t>
      </w:r>
    </w:p>
    <w:p w14:paraId="71BB4434" w14:textId="4A8473D1" w:rsidR="00FA2119" w:rsidRDefault="00FA2119" w:rsidP="006A458D">
      <w:pPr>
        <w:pStyle w:val="ab"/>
        <w:numPr>
          <w:ilvl w:val="0"/>
          <w:numId w:val="90"/>
        </w:numPr>
        <w:rPr>
          <w:rtl/>
        </w:rPr>
      </w:pPr>
      <w:r>
        <w:rPr>
          <w:rFonts w:cs="Arial"/>
          <w:rtl/>
        </w:rPr>
        <w:t xml:space="preserve">קונדריסין </w:t>
      </w:r>
      <w:r>
        <w:rPr>
          <w:rFonts w:cs="Arial"/>
          <w:sz w:val="16"/>
          <w:szCs w:val="16"/>
          <w:rtl/>
        </w:rPr>
        <w:t>(ריש סי' יב)</w:t>
      </w:r>
      <w:r w:rsidR="00A82951">
        <w:rPr>
          <w:rFonts w:cs="Arial"/>
          <w:rtl/>
        </w:rPr>
        <w:t>-</w:t>
      </w:r>
      <w:r>
        <w:rPr>
          <w:rFonts w:cs="Arial"/>
          <w:rtl/>
        </w:rPr>
        <w:t xml:space="preserve"> גם כל אחד מהעדים יוציא בפה שהוא חותם לשם פלוני ולשם אשתו פלונית</w:t>
      </w:r>
      <w:r>
        <w:rPr>
          <w:rStyle w:val="a7"/>
          <w:rFonts w:cs="Arial"/>
          <w:rtl/>
        </w:rPr>
        <w:footnoteReference w:id="1398"/>
      </w:r>
      <w:r>
        <w:rPr>
          <w:rFonts w:cs="Arial"/>
          <w:rtl/>
        </w:rPr>
        <w:t>.</w:t>
      </w:r>
      <w:r>
        <w:rPr>
          <w:color w:val="E36C0A" w:themeColor="accent6" w:themeShade="BF"/>
          <w:rtl/>
        </w:rPr>
        <w:t xml:space="preserve"> (וכ"פ בשו"ע)</w:t>
      </w:r>
    </w:p>
    <w:p w14:paraId="38346817"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D8A1518" w14:textId="586F0832" w:rsidR="00FA2119" w:rsidRDefault="00FA2119" w:rsidP="00FA2119">
      <w:pPr>
        <w:rPr>
          <w:rtl/>
        </w:rPr>
      </w:pPr>
      <w:r>
        <w:rPr>
          <w:rFonts w:cs="Arial"/>
          <w:rtl/>
        </w:rPr>
        <w:t xml:space="preserve">כשאומר לעדים לחתום בגט, יאמר להם שיחתמוהו לשם פלונית אשתי. וכן יאמר כל אחד בפיו, כשחותם, שהוא חתמו לשם פלונית אשת פלוני ולשמו. </w:t>
      </w:r>
      <w:r>
        <w:rPr>
          <w:rFonts w:cs="Arial"/>
          <w:sz w:val="18"/>
          <w:szCs w:val="18"/>
          <w:rtl/>
        </w:rPr>
        <w:t>הגה: ואם התחיל לחתום מקצת</w:t>
      </w:r>
      <w:r>
        <w:rPr>
          <w:rStyle w:val="a7"/>
          <w:rFonts w:cs="Arial"/>
          <w:sz w:val="18"/>
          <w:szCs w:val="18"/>
          <w:rtl/>
        </w:rPr>
        <w:footnoteReference w:id="1399"/>
      </w:r>
      <w:r>
        <w:rPr>
          <w:rFonts w:cs="Arial"/>
          <w:sz w:val="18"/>
          <w:szCs w:val="18"/>
          <w:rtl/>
        </w:rPr>
        <w:t xml:space="preserve"> שמו, ולא אמר לשמו ולשמה, ואח"כ נזכר ואמרו, יש מכשירין</w:t>
      </w:r>
      <w:r>
        <w:rPr>
          <w:rStyle w:val="a7"/>
          <w:rFonts w:cs="Arial"/>
          <w:sz w:val="18"/>
          <w:szCs w:val="18"/>
          <w:rtl/>
        </w:rPr>
        <w:footnoteReference w:id="1400"/>
      </w:r>
      <w:r>
        <w:rPr>
          <w:rFonts w:cs="Arial"/>
          <w:sz w:val="18"/>
          <w:szCs w:val="18"/>
          <w:rtl/>
        </w:rPr>
        <w:t xml:space="preserve"> (תרוה"ד ומהרי"ו).</w:t>
      </w:r>
    </w:p>
    <w:p w14:paraId="45581249" w14:textId="77777777" w:rsidR="00FA2119" w:rsidRDefault="00FA2119" w:rsidP="00FA2119">
      <w:pPr>
        <w:bidi w:val="0"/>
        <w:spacing w:after="0"/>
        <w:rPr>
          <w:rtl/>
        </w:rPr>
        <w:sectPr w:rsidR="00FA2119">
          <w:headerReference w:type="default" r:id="rId24"/>
          <w:footnotePr>
            <w:numRestart w:val="eachSect"/>
          </w:footnotePr>
          <w:pgSz w:w="11906" w:h="16838"/>
          <w:pgMar w:top="720" w:right="1134" w:bottom="720" w:left="1134" w:header="0" w:footer="0" w:gutter="0"/>
          <w:cols w:space="720"/>
          <w:bidi/>
          <w:rtlGutter/>
        </w:sectPr>
      </w:pPr>
    </w:p>
    <w:p w14:paraId="5EC248D1" w14:textId="77777777" w:rsidR="00FA2119" w:rsidRDefault="00FA2119" w:rsidP="00FA2119">
      <w:pPr>
        <w:pStyle w:val="1"/>
        <w:rPr>
          <w:rtl/>
        </w:rPr>
      </w:pPr>
      <w:r>
        <w:rPr>
          <w:rtl/>
        </w:rPr>
        <w:lastRenderedPageBreak/>
        <w:t xml:space="preserve">סימן קלב: </w:t>
      </w:r>
      <w:r>
        <w:rPr>
          <w:rFonts w:cs="Arial"/>
          <w:rtl/>
        </w:rPr>
        <w:t xml:space="preserve">שצריך להזכיר שם האיש ואשתו, והמביא גט ונפל ממנו, ובו ד' סעיפים. </w:t>
      </w:r>
    </w:p>
    <w:p w14:paraId="5E707302" w14:textId="77777777" w:rsidR="00FA2119" w:rsidRDefault="00FA2119" w:rsidP="00FA2119">
      <w:pPr>
        <w:pStyle w:val="2"/>
        <w:rPr>
          <w:rtl/>
        </w:rPr>
      </w:pPr>
      <w:r>
        <w:rPr>
          <w:rtl/>
        </w:rPr>
        <w:t>סעיף א: כתב גט לארוסתו, וגרש בו לאחר הנישואין.</w:t>
      </w:r>
    </w:p>
    <w:p w14:paraId="1AF901F3" w14:textId="436305E4" w:rsidR="00FA2119" w:rsidRDefault="00FA2119" w:rsidP="00FA2119">
      <w:pPr>
        <w:rPr>
          <w:rtl/>
        </w:rPr>
      </w:pPr>
      <w:r>
        <w:rPr>
          <w:rFonts w:cs="Arial"/>
          <w:b/>
          <w:bCs/>
          <w:rtl/>
        </w:rPr>
        <w:t xml:space="preserve">גיטין </w:t>
      </w:r>
      <w:r>
        <w:rPr>
          <w:rFonts w:cs="Arial"/>
          <w:b/>
          <w:bCs/>
          <w:sz w:val="16"/>
          <w:szCs w:val="16"/>
          <w:rtl/>
        </w:rPr>
        <w:t>(פ' הזורק)</w:t>
      </w:r>
      <w:r>
        <w:rPr>
          <w:rFonts w:cs="Arial"/>
          <w:b/>
          <w:bCs/>
          <w:rtl/>
        </w:rPr>
        <w:t xml:space="preserve"> עט</w:t>
      </w:r>
      <w:r w:rsidR="007C79AF">
        <w:rPr>
          <w:rStyle w:val="a7"/>
          <w:rFonts w:cs="Arial"/>
          <w:b/>
          <w:bCs/>
          <w:rtl/>
        </w:rPr>
        <w:footnoteReference w:id="1401"/>
      </w:r>
      <w:r>
        <w:rPr>
          <w:rFonts w:cs="Arial"/>
          <w:b/>
          <w:bCs/>
          <w:rtl/>
        </w:rPr>
        <w:t xml:space="preserve"> ע"ב: </w:t>
      </w:r>
      <w:r>
        <w:rPr>
          <w:rFonts w:cs="Arial"/>
          <w:u w:val="double"/>
          <w:rtl/>
        </w:rPr>
        <w:t>מתני'</w:t>
      </w:r>
      <w:r>
        <w:rPr>
          <w:rFonts w:cs="Arial"/>
          <w:rtl/>
        </w:rPr>
        <w:t xml:space="preserve">: </w:t>
      </w:r>
      <w:r>
        <w:rPr>
          <w:rFonts w:cs="Arial"/>
          <w:u w:val="single"/>
          <w:rtl/>
        </w:rPr>
        <w:t>ב"ש אומרים</w:t>
      </w:r>
      <w:r>
        <w:rPr>
          <w:rFonts w:cs="Arial"/>
          <w:rtl/>
        </w:rPr>
        <w:t xml:space="preserve">: פוטר אדם אשתו בגט ישן, </w:t>
      </w:r>
      <w:r>
        <w:rPr>
          <w:rFonts w:cs="Arial"/>
          <w:u w:val="single"/>
          <w:rtl/>
        </w:rPr>
        <w:t>ובית הלל</w:t>
      </w:r>
      <w:r>
        <w:rPr>
          <w:rFonts w:cs="Arial"/>
          <w:rtl/>
        </w:rPr>
        <w:t xml:space="preserve"> אוסרין. ואיזהו גט ישן? כל שנתייחד עמה מאחר שכתבו לה. </w:t>
      </w:r>
      <w:r>
        <w:rPr>
          <w:rtl/>
        </w:rPr>
        <w:t xml:space="preserve">     </w:t>
      </w:r>
      <w:r>
        <w:rPr>
          <w:rFonts w:cs="Arial"/>
          <w:u w:val="double"/>
          <w:rtl/>
        </w:rPr>
        <w:t>גמ'</w:t>
      </w:r>
      <w:r>
        <w:rPr>
          <w:rFonts w:cs="Arial"/>
          <w:rtl/>
        </w:rPr>
        <w:t>: במאי קמיפלגי? ב"ש סברי, לא אמרינן: גזרה שמא יאמרו גיטה קודם לבנה; וב"ה סברי, אמרי': גזרה שמא יאמרו גיטה קודם לבנה</w:t>
      </w:r>
      <w:r>
        <w:rPr>
          <w:rStyle w:val="a7"/>
          <w:rFonts w:cs="Arial"/>
          <w:rtl/>
        </w:rPr>
        <w:footnoteReference w:id="1402"/>
      </w:r>
      <w:r>
        <w:rPr>
          <w:rFonts w:cs="Arial"/>
          <w:rtl/>
        </w:rPr>
        <w:t xml:space="preserve">. </w:t>
      </w:r>
      <w:r>
        <w:rPr>
          <w:rFonts w:cs="Arial"/>
          <w:u w:val="single"/>
          <w:rtl/>
        </w:rPr>
        <w:t>א"ר אבא אמר שמואל</w:t>
      </w:r>
      <w:r>
        <w:rPr>
          <w:rFonts w:cs="Arial"/>
          <w:rtl/>
        </w:rPr>
        <w:t xml:space="preserve">: אם נישאת </w:t>
      </w:r>
      <w:r w:rsidR="00A82951">
        <w:rPr>
          <w:rFonts w:cs="Arial"/>
          <w:rtl/>
        </w:rPr>
        <w:t>-</w:t>
      </w:r>
      <w:r>
        <w:rPr>
          <w:rFonts w:cs="Arial"/>
          <w:rtl/>
        </w:rPr>
        <w:t xml:space="preserve"> לא תצא. </w:t>
      </w:r>
      <w:r>
        <w:rPr>
          <w:rFonts w:cs="Arial"/>
          <w:u w:val="dotted"/>
          <w:rtl/>
        </w:rPr>
        <w:t>וא"ד</w:t>
      </w:r>
      <w:r>
        <w:rPr>
          <w:rFonts w:cs="Arial"/>
          <w:rtl/>
        </w:rPr>
        <w:t xml:space="preserve">: </w:t>
      </w:r>
      <w:r>
        <w:rPr>
          <w:rFonts w:cs="Arial"/>
          <w:u w:val="single"/>
          <w:rtl/>
        </w:rPr>
        <w:t>א"ר אבא אמר שמואל</w:t>
      </w:r>
      <w:r>
        <w:rPr>
          <w:rFonts w:cs="Arial"/>
          <w:rtl/>
        </w:rPr>
        <w:t>: אם נתגרשה</w:t>
      </w:r>
      <w:r>
        <w:rPr>
          <w:rStyle w:val="a7"/>
          <w:rFonts w:cs="Arial"/>
          <w:rtl/>
        </w:rPr>
        <w:footnoteReference w:id="1403"/>
      </w:r>
      <w:r>
        <w:rPr>
          <w:rFonts w:cs="Arial"/>
          <w:rtl/>
        </w:rPr>
        <w:t xml:space="preserve"> </w:t>
      </w:r>
      <w:r w:rsidR="00A82951">
        <w:rPr>
          <w:rFonts w:cs="Arial"/>
          <w:rtl/>
        </w:rPr>
        <w:t>-</w:t>
      </w:r>
      <w:r>
        <w:rPr>
          <w:rFonts w:cs="Arial"/>
          <w:rtl/>
        </w:rPr>
        <w:t xml:space="preserve"> תינשא לכתחלה.</w:t>
      </w:r>
    </w:p>
    <w:p w14:paraId="5DCC822B" w14:textId="6D000086" w:rsidR="00FA2119" w:rsidRDefault="00FA2119" w:rsidP="00FA2119">
      <w:pPr>
        <w:rPr>
          <w:rFonts w:cs="Arial"/>
          <w:rtl/>
        </w:rPr>
      </w:pPr>
      <w:r>
        <w:rPr>
          <w:rFonts w:cs="Arial"/>
          <w:b/>
          <w:bCs/>
          <w:rtl/>
        </w:rPr>
        <w:t xml:space="preserve">גיטין </w:t>
      </w:r>
      <w:r>
        <w:rPr>
          <w:rFonts w:cs="Arial"/>
          <w:b/>
          <w:bCs/>
          <w:sz w:val="16"/>
          <w:szCs w:val="16"/>
          <w:rtl/>
        </w:rPr>
        <w:t>(פ' כל הגט)</w:t>
      </w:r>
      <w:r>
        <w:rPr>
          <w:rFonts w:cs="Arial"/>
          <w:b/>
          <w:bCs/>
          <w:rtl/>
        </w:rPr>
        <w:t xml:space="preserve"> כו ע"ב: </w:t>
      </w:r>
      <w:r>
        <w:rPr>
          <w:rFonts w:cs="Arial"/>
          <w:rtl/>
        </w:rPr>
        <w:t>דתניא: האומר</w:t>
      </w:r>
      <w:r w:rsidR="000F20BB">
        <w:rPr>
          <w:rFonts w:cs="Arial" w:hint="cs"/>
          <w:rtl/>
        </w:rPr>
        <w:t>:</w:t>
      </w:r>
      <w:r>
        <w:rPr>
          <w:rFonts w:cs="Arial"/>
          <w:rtl/>
        </w:rPr>
        <w:t xml:space="preserve"> כתבו גט לארוסתי לכשאכנסנה אגרשנה </w:t>
      </w:r>
      <w:r w:rsidR="00A82951">
        <w:rPr>
          <w:rFonts w:cs="Arial"/>
          <w:rtl/>
        </w:rPr>
        <w:t>-</w:t>
      </w:r>
      <w:r>
        <w:rPr>
          <w:rFonts w:cs="Arial"/>
          <w:rtl/>
        </w:rPr>
        <w:t xml:space="preserve"> אינו גט. </w:t>
      </w:r>
      <w:r>
        <w:rPr>
          <w:rFonts w:cs="Arial"/>
          <w:u w:val="single"/>
          <w:rtl/>
        </w:rPr>
        <w:t>ואמר עולא</w:t>
      </w:r>
      <w:r>
        <w:rPr>
          <w:rFonts w:cs="Arial"/>
          <w:rtl/>
        </w:rPr>
        <w:t>: מה טעם? גזירה שמא יאמרו גיטה קודם לבנה.</w:t>
      </w:r>
    </w:p>
    <w:p w14:paraId="09AAA2FC" w14:textId="0E3FA822" w:rsidR="00FA2119" w:rsidRPr="00543C4E" w:rsidRDefault="00FA2119" w:rsidP="001327CD">
      <w:pPr>
        <w:rPr>
          <w:rFonts w:cs="Arial"/>
          <w:sz w:val="16"/>
          <w:szCs w:val="16"/>
          <w:rtl/>
        </w:rPr>
      </w:pPr>
      <w:r>
        <w:rPr>
          <w:rFonts w:cs="Arial"/>
          <w:b/>
          <w:bCs/>
          <w:rtl/>
        </w:rPr>
        <w:t xml:space="preserve">יבמות </w:t>
      </w:r>
      <w:r>
        <w:rPr>
          <w:rFonts w:cs="Arial"/>
          <w:b/>
          <w:bCs/>
          <w:sz w:val="16"/>
          <w:szCs w:val="16"/>
          <w:rtl/>
        </w:rPr>
        <w:t>(פ' רבן גמליאל)</w:t>
      </w:r>
      <w:r>
        <w:rPr>
          <w:rFonts w:cs="Arial"/>
          <w:b/>
          <w:bCs/>
          <w:rtl/>
        </w:rPr>
        <w:t xml:space="preserve"> נב ע"א:</w:t>
      </w:r>
      <w:r>
        <w:rPr>
          <w:rFonts w:cs="Arial"/>
          <w:rtl/>
        </w:rPr>
        <w:t xml:space="preserve"> </w:t>
      </w:r>
      <w:r>
        <w:rPr>
          <w:rFonts w:cs="Arial"/>
          <w:u w:val="single"/>
          <w:rtl/>
        </w:rPr>
        <w:t>אמר רמי בר חמא</w:t>
      </w:r>
      <w:r>
        <w:rPr>
          <w:rFonts w:cs="Arial"/>
          <w:rtl/>
        </w:rPr>
        <w:t xml:space="preserve">: הרי אמרו: אמר אחד ללבלר כתוב גט לארוסתי לכשאכנסנה אגרשנה </w:t>
      </w:r>
      <w:r w:rsidR="00A82951">
        <w:rPr>
          <w:rFonts w:cs="Arial"/>
          <w:rtl/>
        </w:rPr>
        <w:t>-</w:t>
      </w:r>
      <w:r>
        <w:rPr>
          <w:rFonts w:cs="Arial"/>
          <w:rtl/>
        </w:rPr>
        <w:t xml:space="preserve"> הרי זה גט</w:t>
      </w:r>
      <w:r>
        <w:rPr>
          <w:rStyle w:val="a7"/>
          <w:rFonts w:cs="Arial"/>
          <w:rtl/>
        </w:rPr>
        <w:footnoteReference w:id="1404"/>
      </w:r>
      <w:r>
        <w:rPr>
          <w:rFonts w:cs="Arial"/>
          <w:rtl/>
        </w:rPr>
        <w:t>, מפני שבידו לגרשה.</w:t>
      </w:r>
      <w:r>
        <w:rPr>
          <w:rFonts w:cs="Arial"/>
          <w:sz w:val="16"/>
          <w:szCs w:val="16"/>
          <w:rtl/>
        </w:rPr>
        <w:t xml:space="preserve"> </w:t>
      </w:r>
      <w:r w:rsidR="001327CD">
        <w:rPr>
          <w:rFonts w:cs="Arial" w:hint="cs"/>
          <w:sz w:val="16"/>
          <w:szCs w:val="16"/>
          <w:rtl/>
        </w:rPr>
        <w:t>(</w:t>
      </w:r>
      <w:r w:rsidR="00871FA4" w:rsidRPr="00871FA4">
        <w:rPr>
          <w:rFonts w:cs="Arial"/>
          <w:sz w:val="16"/>
          <w:szCs w:val="16"/>
          <w:rtl/>
        </w:rPr>
        <w:t>תימה</w:t>
      </w:r>
      <w:r w:rsidR="00871FA4">
        <w:rPr>
          <w:rFonts w:cs="Arial" w:hint="cs"/>
          <w:sz w:val="16"/>
          <w:szCs w:val="16"/>
          <w:rtl/>
        </w:rPr>
        <w:t>,</w:t>
      </w:r>
      <w:r w:rsidR="00871FA4" w:rsidRPr="00871FA4">
        <w:rPr>
          <w:rFonts w:cs="Arial"/>
          <w:sz w:val="16"/>
          <w:szCs w:val="16"/>
          <w:rtl/>
        </w:rPr>
        <w:t xml:space="preserve"> דבפרק כל הגט (גיטין</w:t>
      </w:r>
      <w:r w:rsidR="00871FA4">
        <w:rPr>
          <w:rFonts w:cs="Arial" w:hint="cs"/>
          <w:sz w:val="16"/>
          <w:szCs w:val="16"/>
          <w:rtl/>
        </w:rPr>
        <w:t xml:space="preserve"> </w:t>
      </w:r>
      <w:r w:rsidR="00871FA4" w:rsidRPr="00871FA4">
        <w:rPr>
          <w:rFonts w:cs="Arial"/>
          <w:sz w:val="16"/>
          <w:szCs w:val="16"/>
          <w:rtl/>
        </w:rPr>
        <w:t>כו:) אמרינן דאינו גט שלא יאמרו גטה קודם לבנה</w:t>
      </w:r>
      <w:r w:rsidR="00871FA4">
        <w:rPr>
          <w:rFonts w:cs="Arial" w:hint="cs"/>
          <w:sz w:val="16"/>
          <w:szCs w:val="16"/>
          <w:rtl/>
        </w:rPr>
        <w:t>.</w:t>
      </w:r>
      <w:r w:rsidR="00871FA4" w:rsidRPr="00871FA4">
        <w:rPr>
          <w:rFonts w:cs="Arial"/>
          <w:sz w:val="16"/>
          <w:szCs w:val="16"/>
          <w:rtl/>
        </w:rPr>
        <w:t xml:space="preserve"> ובקונטרס פי' דהכא נמי לא קאמר דהוי גט אלא בדיעבד שכבר נתגרשה בו</w:t>
      </w:r>
      <w:r w:rsidR="00871FA4">
        <w:rPr>
          <w:rFonts w:cs="Arial" w:hint="cs"/>
          <w:sz w:val="16"/>
          <w:szCs w:val="16"/>
          <w:rtl/>
        </w:rPr>
        <w:t>.</w:t>
      </w:r>
      <w:r w:rsidR="00871FA4" w:rsidRPr="00871FA4">
        <w:rPr>
          <w:rFonts w:cs="Arial"/>
          <w:sz w:val="16"/>
          <w:szCs w:val="16"/>
          <w:rtl/>
        </w:rPr>
        <w:t xml:space="preserve"> ואין נראה</w:t>
      </w:r>
      <w:r w:rsidR="00871FA4">
        <w:rPr>
          <w:rFonts w:cs="Arial" w:hint="cs"/>
          <w:sz w:val="16"/>
          <w:szCs w:val="16"/>
          <w:rtl/>
        </w:rPr>
        <w:t>,</w:t>
      </w:r>
      <w:r w:rsidR="00871FA4" w:rsidRPr="00871FA4">
        <w:rPr>
          <w:rFonts w:cs="Arial"/>
          <w:sz w:val="16"/>
          <w:szCs w:val="16"/>
          <w:rtl/>
        </w:rPr>
        <w:t xml:space="preserve"> דהתם דקאמר אין גט משמע דלא הוי גט כלל</w:t>
      </w:r>
      <w:r w:rsidR="001327CD">
        <w:rPr>
          <w:rStyle w:val="a7"/>
          <w:rFonts w:cs="Arial"/>
          <w:sz w:val="16"/>
          <w:szCs w:val="16"/>
          <w:rtl/>
        </w:rPr>
        <w:footnoteReference w:id="1405"/>
      </w:r>
      <w:r w:rsidR="00871FA4">
        <w:rPr>
          <w:rFonts w:cs="Arial" w:hint="cs"/>
          <w:sz w:val="16"/>
          <w:szCs w:val="16"/>
          <w:rtl/>
        </w:rPr>
        <w:t>.</w:t>
      </w:r>
      <w:r w:rsidR="00871FA4" w:rsidRPr="00871FA4">
        <w:rPr>
          <w:rFonts w:cs="Arial"/>
          <w:sz w:val="16"/>
          <w:szCs w:val="16"/>
          <w:rtl/>
        </w:rPr>
        <w:t xml:space="preserve"> ואר"ת דהכא כשכתב בו זמן שאחר נשואין שהוא זמן נתינה</w:t>
      </w:r>
      <w:r w:rsidR="00871FA4">
        <w:rPr>
          <w:rFonts w:cs="Arial" w:hint="cs"/>
          <w:sz w:val="16"/>
          <w:szCs w:val="16"/>
          <w:rtl/>
        </w:rPr>
        <w:t>,</w:t>
      </w:r>
      <w:r w:rsidR="00871FA4" w:rsidRPr="00871FA4">
        <w:rPr>
          <w:rFonts w:cs="Arial"/>
          <w:sz w:val="16"/>
          <w:szCs w:val="16"/>
          <w:rtl/>
        </w:rPr>
        <w:t xml:space="preserve"> דאפילו גט ישן לא הוי שלא נתייחד עמה אחר זמן הכתוב בגטה</w:t>
      </w:r>
      <w:r w:rsidR="00871FA4">
        <w:rPr>
          <w:rFonts w:cs="Arial" w:hint="cs"/>
          <w:sz w:val="16"/>
          <w:szCs w:val="16"/>
          <w:rtl/>
        </w:rPr>
        <w:t xml:space="preserve">. </w:t>
      </w:r>
      <w:r w:rsidR="00BA15FB" w:rsidRPr="00BA15FB">
        <w:rPr>
          <w:rFonts w:cs="Arial"/>
          <w:sz w:val="16"/>
          <w:szCs w:val="16"/>
          <w:rtl/>
        </w:rPr>
        <w:t>והרי זה גט דקאמר היינו לגרש בו לכתחלה</w:t>
      </w:r>
      <w:r w:rsidR="00871FA4">
        <w:rPr>
          <w:rFonts w:cs="Arial" w:hint="cs"/>
          <w:sz w:val="16"/>
          <w:szCs w:val="16"/>
          <w:rtl/>
        </w:rPr>
        <w:t>.</w:t>
      </w:r>
      <w:r w:rsidR="00BA15FB" w:rsidRPr="00BA15FB">
        <w:rPr>
          <w:rFonts w:cs="Arial"/>
          <w:sz w:val="16"/>
          <w:szCs w:val="16"/>
          <w:rtl/>
        </w:rPr>
        <w:t xml:space="preserve"> וההיא דכל הגט שכתב זמן דקודם נישואין וגרע טפי מגט ישן</w:t>
      </w:r>
      <w:r w:rsidR="00871FA4">
        <w:rPr>
          <w:rFonts w:cs="Arial" w:hint="cs"/>
          <w:sz w:val="16"/>
          <w:szCs w:val="16"/>
          <w:rtl/>
        </w:rPr>
        <w:t>,</w:t>
      </w:r>
      <w:r w:rsidR="00BA15FB" w:rsidRPr="00BA15FB">
        <w:rPr>
          <w:rFonts w:cs="Arial"/>
          <w:sz w:val="16"/>
          <w:szCs w:val="16"/>
          <w:rtl/>
        </w:rPr>
        <w:t xml:space="preserve"> דבגט ישן ליכא אלא ייחוד בעלמא לכך אם נתגרשה בו תנשא לכתחלה</w:t>
      </w:r>
      <w:r w:rsidR="00871FA4">
        <w:rPr>
          <w:rFonts w:cs="Arial" w:hint="cs"/>
          <w:sz w:val="16"/>
          <w:szCs w:val="16"/>
          <w:rtl/>
        </w:rPr>
        <w:t>,</w:t>
      </w:r>
      <w:r w:rsidR="00BA15FB" w:rsidRPr="00BA15FB">
        <w:rPr>
          <w:rFonts w:cs="Arial"/>
          <w:sz w:val="16"/>
          <w:szCs w:val="16"/>
          <w:rtl/>
        </w:rPr>
        <w:t xml:space="preserve"> אבל התם דכנסה ואיכא ודאי ביאה אינו גט כלל</w:t>
      </w:r>
      <w:r w:rsidR="00543C4E">
        <w:rPr>
          <w:rFonts w:cs="Arial" w:hint="cs"/>
          <w:sz w:val="16"/>
          <w:szCs w:val="16"/>
          <w:rtl/>
        </w:rPr>
        <w:t>,</w:t>
      </w:r>
      <w:r w:rsidR="00543C4E" w:rsidRPr="00543C4E">
        <w:rPr>
          <w:rFonts w:cs="Arial"/>
          <w:sz w:val="16"/>
          <w:szCs w:val="16"/>
          <w:rtl/>
        </w:rPr>
        <w:t xml:space="preserve"> </w:t>
      </w:r>
      <w:r w:rsidR="00543C4E" w:rsidRPr="00543C4E">
        <w:rPr>
          <w:rFonts w:cs="Arial"/>
          <w:b/>
          <w:bCs/>
          <w:sz w:val="16"/>
          <w:szCs w:val="16"/>
          <w:rtl/>
        </w:rPr>
        <w:t>תוס'</w:t>
      </w:r>
      <w:r w:rsidR="00543C4E">
        <w:rPr>
          <w:rFonts w:cs="Arial"/>
          <w:sz w:val="16"/>
          <w:szCs w:val="16"/>
          <w:rtl/>
        </w:rPr>
        <w:t xml:space="preserve"> (נב. ד"ה לכשאכנסנה</w:t>
      </w:r>
      <w:r w:rsidR="00543C4E">
        <w:rPr>
          <w:rFonts w:cs="Arial" w:hint="cs"/>
          <w:sz w:val="16"/>
          <w:szCs w:val="16"/>
          <w:rtl/>
        </w:rPr>
        <w:t>)</w:t>
      </w:r>
      <w:r w:rsidR="00BA15FB" w:rsidRPr="00BA15FB">
        <w:rPr>
          <w:rFonts w:cs="Arial"/>
          <w:sz w:val="16"/>
          <w:szCs w:val="16"/>
          <w:rtl/>
        </w:rPr>
        <w:t>.</w:t>
      </w:r>
      <w:r w:rsidR="00543C4E">
        <w:rPr>
          <w:rFonts w:cs="Arial" w:hint="cs"/>
          <w:sz w:val="16"/>
          <w:szCs w:val="16"/>
          <w:rtl/>
        </w:rPr>
        <w:t xml:space="preserve">    </w:t>
      </w:r>
      <w:r>
        <w:rPr>
          <w:rFonts w:cs="Arial"/>
          <w:sz w:val="16"/>
          <w:szCs w:val="16"/>
          <w:rtl/>
        </w:rPr>
        <w:t xml:space="preserve"> וכתב הרשב"א (כו: ד"ה א"ר עמרם) דמדברי הרמב"ם (פ"ג מגירושין ה"ה</w:t>
      </w:r>
      <w:r w:rsidR="00A82951">
        <w:rPr>
          <w:rFonts w:cs="Arial"/>
          <w:sz w:val="16"/>
          <w:szCs w:val="16"/>
          <w:rtl/>
        </w:rPr>
        <w:t>-</w:t>
      </w:r>
      <w:r>
        <w:rPr>
          <w:rFonts w:cs="Arial"/>
          <w:sz w:val="16"/>
          <w:szCs w:val="16"/>
          <w:rtl/>
        </w:rPr>
        <w:t xml:space="preserve">ו) משמע שהוא מפרש לזו 'אינו גט' משום גט ישן כדברי רש"י, ו'הרי זה גט' דהתם לומר שאם גירשה בו כשר, </w:t>
      </w:r>
      <w:r w:rsidRPr="00543C4E">
        <w:rPr>
          <w:rFonts w:cs="Arial"/>
          <w:b/>
          <w:bCs/>
          <w:sz w:val="16"/>
          <w:szCs w:val="16"/>
          <w:rtl/>
        </w:rPr>
        <w:t>ב"י</w:t>
      </w:r>
      <w:r>
        <w:rPr>
          <w:rFonts w:cs="Arial"/>
          <w:sz w:val="16"/>
          <w:szCs w:val="16"/>
          <w:rtl/>
        </w:rPr>
        <w:t>)</w:t>
      </w:r>
    </w:p>
    <w:p w14:paraId="723B5E95" w14:textId="77777777" w:rsidR="00FA2119" w:rsidRDefault="00FA2119" w:rsidP="00FA2119">
      <w:pPr>
        <w:rPr>
          <w:u w:val="single"/>
          <w:rtl/>
        </w:rPr>
      </w:pPr>
      <w:r>
        <w:rPr>
          <w:u w:val="single"/>
          <w:rtl/>
        </w:rPr>
        <w:t>כתב גט לארוסתו, וגרש בו לאחר הנישואין:</w:t>
      </w:r>
    </w:p>
    <w:p w14:paraId="6AA86D71" w14:textId="294E008E" w:rsidR="00FA2119" w:rsidRDefault="00FA2119" w:rsidP="006A458D">
      <w:pPr>
        <w:pStyle w:val="ab"/>
        <w:numPr>
          <w:ilvl w:val="0"/>
          <w:numId w:val="90"/>
        </w:numPr>
        <w:rPr>
          <w:rtl/>
        </w:rPr>
      </w:pPr>
      <w:r>
        <w:rPr>
          <w:rFonts w:cs="Arial"/>
          <w:rtl/>
        </w:rPr>
        <w:t xml:space="preserve">ראב"ד </w:t>
      </w:r>
      <w:r>
        <w:rPr>
          <w:rFonts w:cs="Arial"/>
          <w:sz w:val="16"/>
          <w:szCs w:val="16"/>
          <w:rtl/>
        </w:rPr>
        <w:t>(בהשגות פ"ג ה"ו)</w:t>
      </w:r>
      <w:r>
        <w:rPr>
          <w:rFonts w:cs="Arial"/>
          <w:rtl/>
        </w:rPr>
        <w:t xml:space="preserve"> תוס' </w:t>
      </w:r>
      <w:r>
        <w:rPr>
          <w:rFonts w:cs="Arial"/>
          <w:sz w:val="16"/>
          <w:szCs w:val="16"/>
          <w:rtl/>
        </w:rPr>
        <w:t>(שם)</w:t>
      </w:r>
      <w:r>
        <w:rPr>
          <w:rFonts w:cs="Arial"/>
          <w:rtl/>
        </w:rPr>
        <w:t xml:space="preserve"> רא"ש </w:t>
      </w:r>
      <w:r>
        <w:rPr>
          <w:rFonts w:cs="Arial"/>
          <w:sz w:val="16"/>
          <w:szCs w:val="16"/>
          <w:rtl/>
        </w:rPr>
        <w:t>(שם)</w:t>
      </w:r>
      <w:r>
        <w:rPr>
          <w:rFonts w:cs="Arial"/>
          <w:rtl/>
        </w:rPr>
        <w:t xml:space="preserve"> וטור</w:t>
      </w:r>
      <w:r w:rsidR="00A82951">
        <w:rPr>
          <w:rFonts w:cs="Arial"/>
          <w:rtl/>
        </w:rPr>
        <w:t>-</w:t>
      </w:r>
      <w:r>
        <w:rPr>
          <w:rFonts w:cs="Arial"/>
          <w:rtl/>
        </w:rPr>
        <w:t xml:space="preserve"> אמר לסופר כתוב גט לארוסתי לכשאכנסנה אגרשנה, וכנס וגירשה בו </w:t>
      </w:r>
      <w:r w:rsidR="00A82951">
        <w:rPr>
          <w:rFonts w:cs="Arial"/>
          <w:rtl/>
        </w:rPr>
        <w:t>-</w:t>
      </w:r>
      <w:r>
        <w:rPr>
          <w:rFonts w:cs="Arial"/>
          <w:rtl/>
        </w:rPr>
        <w:t xml:space="preserve"> הוי גט, כיון שבידו לגרשה עתה. בד"א, שכתב בו זמן הנתינה, אבל אם כתב בו זמן הכתיבה </w:t>
      </w:r>
      <w:r w:rsidR="00A82951">
        <w:rPr>
          <w:rFonts w:cs="Arial"/>
          <w:rtl/>
        </w:rPr>
        <w:t>-</w:t>
      </w:r>
      <w:r>
        <w:rPr>
          <w:rFonts w:cs="Arial"/>
          <w:rtl/>
        </w:rPr>
        <w:t xml:space="preserve"> פסול</w:t>
      </w:r>
      <w:r>
        <w:rPr>
          <w:rFonts w:cs="Arial"/>
          <w:sz w:val="16"/>
          <w:szCs w:val="16"/>
          <w:rtl/>
        </w:rPr>
        <w:t xml:space="preserve"> (ל' הטור)</w:t>
      </w:r>
      <w:r>
        <w:rPr>
          <w:rFonts w:cs="Arial"/>
          <w:rtl/>
        </w:rPr>
        <w:t xml:space="preserve">. </w:t>
      </w:r>
      <w:r>
        <w:rPr>
          <w:color w:val="E36C0A" w:themeColor="accent6" w:themeShade="BF"/>
          <w:rtl/>
        </w:rPr>
        <w:t>(וכ"פ בשו"ע)</w:t>
      </w:r>
    </w:p>
    <w:p w14:paraId="5A7B76DE" w14:textId="3301B096" w:rsidR="00FA2119" w:rsidRDefault="00120FCD" w:rsidP="006A458D">
      <w:pPr>
        <w:pStyle w:val="ab"/>
        <w:numPr>
          <w:ilvl w:val="0"/>
          <w:numId w:val="90"/>
        </w:numPr>
      </w:pPr>
      <w:r>
        <w:rPr>
          <w:rFonts w:cs="Arial" w:hint="cs"/>
          <w:rtl/>
        </w:rPr>
        <w:t xml:space="preserve">רש"י </w:t>
      </w:r>
      <w:r w:rsidR="00A62038">
        <w:rPr>
          <w:rFonts w:cs="Arial" w:hint="cs"/>
          <w:sz w:val="16"/>
          <w:szCs w:val="16"/>
          <w:rtl/>
        </w:rPr>
        <w:t>(יבמות נב. ד"ה הרי זה)</w:t>
      </w:r>
      <w:r w:rsidR="00A62038">
        <w:rPr>
          <w:rFonts w:cs="Arial" w:hint="cs"/>
          <w:rtl/>
        </w:rPr>
        <w:t xml:space="preserve"> ו</w:t>
      </w:r>
      <w:r w:rsidR="00FA2119">
        <w:rPr>
          <w:rFonts w:cs="Arial"/>
          <w:rtl/>
        </w:rPr>
        <w:t xml:space="preserve">רמב"ם </w:t>
      </w:r>
      <w:r w:rsidR="00FA2119">
        <w:rPr>
          <w:rFonts w:cs="Arial"/>
          <w:sz w:val="16"/>
          <w:szCs w:val="16"/>
          <w:rtl/>
        </w:rPr>
        <w:t>(פ"ג מגירושין ה"ו)</w:t>
      </w:r>
      <w:r w:rsidR="00A82951">
        <w:rPr>
          <w:rFonts w:cs="Arial"/>
          <w:rtl/>
        </w:rPr>
        <w:t>-</w:t>
      </w:r>
      <w:r w:rsidR="00FA2119">
        <w:rPr>
          <w:rFonts w:cs="Arial"/>
          <w:rtl/>
        </w:rPr>
        <w:t xml:space="preserve"> אמר לסופר כתוב גט... לארוסתי לכשאשאנה אגרשנה בו, וכנסה וגירשה בו </w:t>
      </w:r>
      <w:r w:rsidR="00A82951">
        <w:rPr>
          <w:rFonts w:cs="Arial"/>
          <w:rtl/>
        </w:rPr>
        <w:t>-</w:t>
      </w:r>
      <w:r w:rsidR="00FA2119">
        <w:rPr>
          <w:rFonts w:cs="Arial"/>
          <w:rtl/>
        </w:rPr>
        <w:t xml:space="preserve"> כשר</w:t>
      </w:r>
      <w:r w:rsidR="00A62038">
        <w:rPr>
          <w:rFonts w:cs="Arial" w:hint="cs"/>
          <w:sz w:val="16"/>
          <w:szCs w:val="16"/>
          <w:rtl/>
        </w:rPr>
        <w:t xml:space="preserve"> (ל' הרמב"ם)</w:t>
      </w:r>
      <w:r w:rsidR="00FA2119">
        <w:rPr>
          <w:rFonts w:cs="Arial"/>
          <w:rtl/>
        </w:rPr>
        <w:t>.</w:t>
      </w:r>
    </w:p>
    <w:p w14:paraId="4D8C154A"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2198E47" w14:textId="77777777" w:rsidR="00FA2119" w:rsidRDefault="00FA2119" w:rsidP="00FA2119">
      <w:pPr>
        <w:rPr>
          <w:rtl/>
        </w:rPr>
      </w:pPr>
      <w:r>
        <w:rPr>
          <w:rFonts w:cs="Arial"/>
          <w:rtl/>
        </w:rPr>
        <w:t>אמר לסופר: כתוב גט לארוסתי, לכשאכניסנה אגרשנה, וכנסה וגירשה בו, הוי גט, כיון שבידו לגרשה עתה. במה דברים אמורים, שכתב בו זמן הנתינה, אבל אם כתב בו זמן הכתיבה, פסול</w:t>
      </w:r>
      <w:r>
        <w:rPr>
          <w:rStyle w:val="a7"/>
          <w:rFonts w:cs="Arial"/>
          <w:rtl/>
        </w:rPr>
        <w:footnoteReference w:id="1406"/>
      </w:r>
      <w:r>
        <w:rPr>
          <w:rFonts w:cs="Arial"/>
          <w:rtl/>
        </w:rPr>
        <w:t xml:space="preserve">. </w:t>
      </w:r>
    </w:p>
    <w:p w14:paraId="7973FDD3" w14:textId="77777777" w:rsidR="00FA2119" w:rsidRDefault="00FA2119" w:rsidP="00FA2119">
      <w:pPr>
        <w:rPr>
          <w:rtl/>
        </w:rPr>
      </w:pPr>
    </w:p>
    <w:p w14:paraId="71DD8528" w14:textId="77777777" w:rsidR="00FA2119" w:rsidRDefault="00FA2119" w:rsidP="00FA2119">
      <w:pPr>
        <w:pStyle w:val="2"/>
        <w:rPr>
          <w:rtl/>
        </w:rPr>
      </w:pPr>
      <w:r>
        <w:rPr>
          <w:rtl/>
        </w:rPr>
        <w:lastRenderedPageBreak/>
        <w:t>סעיף ב: כתב גט לאשה בעלמא/ליבמתו, וגרש בו לאחר שנשא לה.</w:t>
      </w:r>
    </w:p>
    <w:p w14:paraId="5A4A32F6" w14:textId="54FE42CE" w:rsidR="00FA2119" w:rsidRDefault="00FA2119" w:rsidP="00FA2119">
      <w:pPr>
        <w:rPr>
          <w:rFonts w:cs="Arial"/>
          <w:rtl/>
        </w:rPr>
      </w:pPr>
      <w:r>
        <w:rPr>
          <w:rFonts w:cs="Arial"/>
          <w:b/>
          <w:bCs/>
          <w:rtl/>
        </w:rPr>
        <w:t xml:space="preserve">יבמות </w:t>
      </w:r>
      <w:r>
        <w:rPr>
          <w:rFonts w:cs="Arial"/>
          <w:b/>
          <w:bCs/>
          <w:sz w:val="16"/>
          <w:szCs w:val="16"/>
          <w:rtl/>
        </w:rPr>
        <w:t>(פ' רבן גמליאל)</w:t>
      </w:r>
      <w:r>
        <w:rPr>
          <w:rFonts w:cs="Arial"/>
          <w:b/>
          <w:bCs/>
          <w:rtl/>
        </w:rPr>
        <w:t xml:space="preserve"> נב ע"א:</w:t>
      </w:r>
      <w:r>
        <w:rPr>
          <w:rFonts w:cs="Arial"/>
          <w:rtl/>
        </w:rPr>
        <w:t xml:space="preserve"> </w:t>
      </w:r>
      <w:r>
        <w:rPr>
          <w:rFonts w:cs="Arial"/>
          <w:u w:val="single"/>
          <w:rtl/>
        </w:rPr>
        <w:t>אמר רמי בר חמא</w:t>
      </w:r>
      <w:r>
        <w:rPr>
          <w:rFonts w:cs="Arial"/>
          <w:rtl/>
        </w:rPr>
        <w:t xml:space="preserve">: הרי אמרו: אמר אחד ללבלר כתוב גט לארוסתי לכשאכנסנה אגרשנה </w:t>
      </w:r>
      <w:r w:rsidR="00A82951">
        <w:rPr>
          <w:rFonts w:cs="Arial"/>
          <w:rtl/>
        </w:rPr>
        <w:t>-</w:t>
      </w:r>
      <w:r>
        <w:rPr>
          <w:rFonts w:cs="Arial"/>
          <w:rtl/>
        </w:rPr>
        <w:t xml:space="preserve"> הרי זה גט</w:t>
      </w:r>
      <w:r>
        <w:rPr>
          <w:rStyle w:val="a7"/>
          <w:rFonts w:cs="Arial"/>
          <w:rtl/>
        </w:rPr>
        <w:footnoteReference w:id="1407"/>
      </w:r>
      <w:r>
        <w:rPr>
          <w:rFonts w:cs="Arial"/>
          <w:rtl/>
        </w:rPr>
        <w:t>, מפני שבידו לגרשה.</w:t>
      </w:r>
      <w:r>
        <w:rPr>
          <w:rFonts w:cs="Arial"/>
          <w:sz w:val="14"/>
          <w:szCs w:val="14"/>
          <w:rtl/>
        </w:rPr>
        <w:t xml:space="preserve"> (נב:) </w:t>
      </w:r>
      <w:r>
        <w:rPr>
          <w:rFonts w:cs="Arial"/>
          <w:rtl/>
        </w:rPr>
        <w:t>ולאשה בעלמא</w:t>
      </w:r>
      <w:r>
        <w:rPr>
          <w:rStyle w:val="a7"/>
          <w:rFonts w:cs="Arial"/>
          <w:rtl/>
        </w:rPr>
        <w:footnoteReference w:id="1408"/>
      </w:r>
      <w:r>
        <w:rPr>
          <w:rFonts w:cs="Arial"/>
          <w:rtl/>
        </w:rPr>
        <w:t xml:space="preserve"> </w:t>
      </w:r>
      <w:r w:rsidR="00A82951">
        <w:rPr>
          <w:rFonts w:cs="Arial"/>
          <w:rtl/>
        </w:rPr>
        <w:t>-</w:t>
      </w:r>
      <w:r>
        <w:rPr>
          <w:rFonts w:cs="Arial"/>
          <w:rtl/>
        </w:rPr>
        <w:t xml:space="preserve"> אין גט</w:t>
      </w:r>
      <w:r>
        <w:rPr>
          <w:rStyle w:val="a7"/>
          <w:rFonts w:cs="Arial"/>
          <w:rtl/>
        </w:rPr>
        <w:footnoteReference w:id="1409"/>
      </w:r>
      <w:r>
        <w:rPr>
          <w:rFonts w:cs="Arial"/>
          <w:rtl/>
        </w:rPr>
        <w:t>, מפני שאין בידו לגרשה.</w:t>
      </w:r>
      <w:r>
        <w:rPr>
          <w:rtl/>
        </w:rPr>
        <w:t xml:space="preserve"> </w:t>
      </w:r>
      <w:r>
        <w:rPr>
          <w:rFonts w:cs="Arial"/>
          <w:u w:val="single"/>
          <w:rtl/>
        </w:rPr>
        <w:t>בעי רמי בר חמא</w:t>
      </w:r>
      <w:r>
        <w:rPr>
          <w:rFonts w:cs="Arial"/>
          <w:rtl/>
        </w:rPr>
        <w:t>: ליבמתו מהו</w:t>
      </w:r>
      <w:r>
        <w:rPr>
          <w:rStyle w:val="a7"/>
          <w:rFonts w:cs="Arial"/>
          <w:rtl/>
        </w:rPr>
        <w:footnoteReference w:id="1410"/>
      </w:r>
      <w:r>
        <w:rPr>
          <w:rFonts w:cs="Arial"/>
          <w:rtl/>
        </w:rPr>
        <w:t>? כיון דאגידא ביה כארוסתו דמיא, או דלמא כיון דלא עבד בה מאמר לא? תיקו.</w:t>
      </w:r>
    </w:p>
    <w:p w14:paraId="6B91E2B4" w14:textId="77777777" w:rsidR="00FA2119" w:rsidRDefault="00FA2119" w:rsidP="00FA2119">
      <w:pPr>
        <w:rPr>
          <w:u w:val="single"/>
          <w:rtl/>
        </w:rPr>
      </w:pPr>
      <w:r>
        <w:rPr>
          <w:u w:val="single"/>
          <w:rtl/>
        </w:rPr>
        <w:t>כתב גט לאשה בעלמא/ליבמתו, וגרש בו לאחר שנשא לה:</w:t>
      </w:r>
    </w:p>
    <w:p w14:paraId="56B2FD57" w14:textId="3FE24A46" w:rsidR="00FA2119" w:rsidRDefault="00FA2119" w:rsidP="006A458D">
      <w:pPr>
        <w:pStyle w:val="ab"/>
        <w:numPr>
          <w:ilvl w:val="0"/>
          <w:numId w:val="90"/>
        </w:numPr>
        <w:rPr>
          <w:rtl/>
        </w:rPr>
      </w:pPr>
      <w:r>
        <w:rPr>
          <w:rFonts w:cs="Arial"/>
          <w:rtl/>
        </w:rPr>
        <w:t xml:space="preserve">רמב"ם </w:t>
      </w:r>
      <w:r>
        <w:rPr>
          <w:rFonts w:cs="Arial"/>
          <w:sz w:val="16"/>
          <w:szCs w:val="16"/>
          <w:rtl/>
        </w:rPr>
        <w:t>(פ"ג מגירושין ה"ו)</w:t>
      </w:r>
      <w:r w:rsidR="00A82951">
        <w:rPr>
          <w:rFonts w:cs="Arial"/>
          <w:rtl/>
        </w:rPr>
        <w:t>-</w:t>
      </w:r>
      <w:r>
        <w:rPr>
          <w:rFonts w:cs="Arial"/>
          <w:rtl/>
        </w:rPr>
        <w:t xml:space="preserve"> אמר לסופר כתוב גט לפלונית ויהיה עמי לכשאשאנה אגרשנה בו</w:t>
      </w:r>
      <w:r w:rsidR="006E3E92">
        <w:rPr>
          <w:rFonts w:cs="Arial" w:hint="cs"/>
          <w:rtl/>
        </w:rPr>
        <w:t>,</w:t>
      </w:r>
      <w:r>
        <w:rPr>
          <w:rFonts w:cs="Arial"/>
          <w:rtl/>
        </w:rPr>
        <w:t xml:space="preserve"> ונכתב ונשאה וגירשה בו </w:t>
      </w:r>
      <w:r w:rsidR="00A82951">
        <w:rPr>
          <w:rFonts w:cs="Arial"/>
          <w:rtl/>
        </w:rPr>
        <w:t>-</w:t>
      </w:r>
      <w:r>
        <w:rPr>
          <w:rFonts w:cs="Arial"/>
          <w:rtl/>
        </w:rPr>
        <w:t xml:space="preserve"> אינו גט</w:t>
      </w:r>
      <w:r>
        <w:rPr>
          <w:rStyle w:val="a7"/>
          <w:rFonts w:cs="Arial"/>
          <w:rtl/>
        </w:rPr>
        <w:footnoteReference w:id="1411"/>
      </w:r>
      <w:r>
        <w:rPr>
          <w:rFonts w:cs="Arial"/>
          <w:rtl/>
        </w:rPr>
        <w:t xml:space="preserve">, מפני שלא היתה בת גירושין ממנו כשנכתב גט זה ונמצא שנכתב שלא לשם גירושין... כתבו ליבמתו ואחר שיבמה גירשה בו </w:t>
      </w:r>
      <w:r w:rsidR="00A82951">
        <w:rPr>
          <w:rFonts w:cs="Arial"/>
          <w:rtl/>
        </w:rPr>
        <w:t>-</w:t>
      </w:r>
      <w:r>
        <w:rPr>
          <w:rFonts w:cs="Arial"/>
          <w:rtl/>
        </w:rPr>
        <w:t xml:space="preserve"> הרי זה ספק גירושין, הואיל ואינה אשתו גמורה כשכתבו.</w:t>
      </w:r>
      <w:r>
        <w:rPr>
          <w:color w:val="E36C0A" w:themeColor="accent6" w:themeShade="BF"/>
          <w:rtl/>
        </w:rPr>
        <w:t xml:space="preserve"> (וכ"פ בשו"ע)</w:t>
      </w:r>
    </w:p>
    <w:p w14:paraId="2BADC674" w14:textId="3E0EA286" w:rsidR="00FA2119" w:rsidRDefault="00FA2119" w:rsidP="006A458D">
      <w:pPr>
        <w:pStyle w:val="ab"/>
        <w:numPr>
          <w:ilvl w:val="0"/>
          <w:numId w:val="90"/>
        </w:numPr>
      </w:pPr>
      <w:r>
        <w:rPr>
          <w:rFonts w:cs="Arial"/>
          <w:rtl/>
        </w:rPr>
        <w:t xml:space="preserve">רא"ש </w:t>
      </w:r>
      <w:r>
        <w:rPr>
          <w:rFonts w:cs="Arial"/>
          <w:sz w:val="16"/>
          <w:szCs w:val="16"/>
          <w:rtl/>
        </w:rPr>
        <w:t>(כ"כ הטור בשמו)</w:t>
      </w:r>
      <w:r w:rsidR="00A82951">
        <w:rPr>
          <w:rFonts w:cs="Arial"/>
          <w:rtl/>
        </w:rPr>
        <w:t>-</w:t>
      </w:r>
      <w:r>
        <w:rPr>
          <w:rFonts w:cs="Arial"/>
          <w:rtl/>
        </w:rPr>
        <w:t xml:space="preserve"> אפי' לאשה דעלמא הוי גט למ"ד אדם מקנה דשלב"ל</w:t>
      </w:r>
      <w:r>
        <w:rPr>
          <w:rFonts w:cs="Arial"/>
          <w:sz w:val="16"/>
          <w:szCs w:val="16"/>
          <w:rtl/>
        </w:rPr>
        <w:t xml:space="preserve"> (ל' הטור)</w:t>
      </w:r>
      <w:r>
        <w:rPr>
          <w:rFonts w:cs="Arial"/>
          <w:rtl/>
        </w:rPr>
        <w:t xml:space="preserve">. </w:t>
      </w:r>
    </w:p>
    <w:p w14:paraId="44A30D6F"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3E472521" w14:textId="77777777" w:rsidR="00FA2119" w:rsidRDefault="00FA2119" w:rsidP="00FA2119">
      <w:pPr>
        <w:rPr>
          <w:rtl/>
        </w:rPr>
      </w:pPr>
      <w:r>
        <w:rPr>
          <w:rFonts w:cs="Arial"/>
          <w:rtl/>
        </w:rPr>
        <w:t xml:space="preserve">צוה לכתוב גט לגרש בו אשה בעלמא לכשיכניסנה, אינו גט. ואם היא יבמתו ואחר שיבמה גירשה בו, הרי זו ספק מגורשת. </w:t>
      </w:r>
    </w:p>
    <w:p w14:paraId="4A68399B" w14:textId="77777777" w:rsidR="00FA2119" w:rsidRDefault="00FA2119" w:rsidP="00FA2119">
      <w:pPr>
        <w:rPr>
          <w:rtl/>
        </w:rPr>
      </w:pPr>
    </w:p>
    <w:p w14:paraId="1B76C840" w14:textId="77777777" w:rsidR="00FA2119" w:rsidRDefault="00FA2119" w:rsidP="00FA2119">
      <w:pPr>
        <w:pStyle w:val="2"/>
        <w:rPr>
          <w:rtl/>
        </w:rPr>
      </w:pPr>
      <w:r>
        <w:rPr>
          <w:rtl/>
        </w:rPr>
        <w:t>סעיף ג: שנים ששלחו שני גיטין שוין ונתערבו.</w:t>
      </w:r>
    </w:p>
    <w:p w14:paraId="36ED0A08" w14:textId="4023353C" w:rsidR="00FA2119" w:rsidRDefault="00FA2119" w:rsidP="00FA2119">
      <w:pPr>
        <w:rPr>
          <w:rtl/>
        </w:rPr>
      </w:pPr>
      <w:r>
        <w:rPr>
          <w:rFonts w:cs="Arial"/>
          <w:b/>
          <w:bCs/>
          <w:rtl/>
        </w:rPr>
        <w:t xml:space="preserve">גיטין </w:t>
      </w:r>
      <w:r>
        <w:rPr>
          <w:rFonts w:cs="Arial"/>
          <w:b/>
          <w:bCs/>
          <w:sz w:val="16"/>
          <w:szCs w:val="16"/>
          <w:rtl/>
        </w:rPr>
        <w:t>(פ' המגרש)</w:t>
      </w:r>
      <w:r>
        <w:rPr>
          <w:rFonts w:cs="Arial"/>
          <w:b/>
          <w:bCs/>
          <w:rtl/>
        </w:rPr>
        <w:t xml:space="preserve"> פו ע"ב: </w:t>
      </w:r>
      <w:r>
        <w:rPr>
          <w:rFonts w:cs="Arial"/>
          <w:u w:val="double"/>
          <w:rtl/>
        </w:rPr>
        <w:t>מתני'</w:t>
      </w:r>
      <w:r>
        <w:rPr>
          <w:rFonts w:cs="Arial"/>
          <w:rtl/>
        </w:rPr>
        <w:t xml:space="preserve">: שנים ששלחו שני גיטין שוין ונתערבו, נותן שניהם לזו ושניהם לזו, לפיכך אבד אחד מהן </w:t>
      </w:r>
      <w:r w:rsidR="00A82951">
        <w:rPr>
          <w:rFonts w:cs="Arial"/>
          <w:rtl/>
        </w:rPr>
        <w:t>-</w:t>
      </w:r>
      <w:r>
        <w:rPr>
          <w:rFonts w:cs="Arial"/>
          <w:rtl/>
        </w:rPr>
        <w:t xml:space="preserve"> הרי השני בטל.</w:t>
      </w:r>
    </w:p>
    <w:p w14:paraId="3EA69306" w14:textId="77777777" w:rsidR="00FA2119" w:rsidRDefault="00FA2119" w:rsidP="00FA2119">
      <w:pPr>
        <w:rPr>
          <w:u w:val="single"/>
          <w:rtl/>
        </w:rPr>
      </w:pPr>
      <w:r>
        <w:rPr>
          <w:u w:val="single"/>
          <w:rtl/>
        </w:rPr>
        <w:t>שנים ששלחו שני גיטין שוין ונתערבו:</w:t>
      </w:r>
    </w:p>
    <w:p w14:paraId="176316E9" w14:textId="5B51A408" w:rsidR="00FA2119" w:rsidRDefault="00FA2119" w:rsidP="006A458D">
      <w:pPr>
        <w:pStyle w:val="ab"/>
        <w:numPr>
          <w:ilvl w:val="0"/>
          <w:numId w:val="90"/>
        </w:numPr>
        <w:rPr>
          <w:rtl/>
        </w:rPr>
      </w:pPr>
      <w:r>
        <w:rPr>
          <w:rFonts w:cs="Arial"/>
          <w:rtl/>
        </w:rPr>
        <w:t>טור</w:t>
      </w:r>
      <w:r w:rsidR="00A82951">
        <w:rPr>
          <w:rFonts w:cs="Arial"/>
          <w:rtl/>
        </w:rPr>
        <w:t>-</w:t>
      </w:r>
      <w:r>
        <w:rPr>
          <w:rFonts w:cs="Arial"/>
          <w:rtl/>
        </w:rPr>
        <w:t xml:space="preserve"> שנים ששמותיהם שוין ושמות נשותיהן שוין</w:t>
      </w:r>
      <w:r w:rsidR="001F2556">
        <w:rPr>
          <w:rFonts w:cs="Arial" w:hint="cs"/>
          <w:rtl/>
        </w:rPr>
        <w:t>,</w:t>
      </w:r>
      <w:r>
        <w:rPr>
          <w:rFonts w:cs="Arial"/>
          <w:rtl/>
        </w:rPr>
        <w:t xml:space="preserve"> ושלחו ב' גיטין ונתערבו זה בזה </w:t>
      </w:r>
      <w:r w:rsidR="00A82951">
        <w:rPr>
          <w:rFonts w:cs="Arial"/>
          <w:rtl/>
        </w:rPr>
        <w:t>-</w:t>
      </w:r>
      <w:r>
        <w:rPr>
          <w:rFonts w:cs="Arial"/>
          <w:rtl/>
        </w:rPr>
        <w:t xml:space="preserve"> נותנין שניהם לזו ושניהם לזו בעידי מסירה</w:t>
      </w:r>
      <w:r w:rsidR="001F2556">
        <w:rPr>
          <w:rFonts w:cs="Arial" w:hint="cs"/>
          <w:rtl/>
        </w:rPr>
        <w:t>,</w:t>
      </w:r>
      <w:r>
        <w:rPr>
          <w:rFonts w:cs="Arial"/>
          <w:rtl/>
        </w:rPr>
        <w:t xml:space="preserve"> דממה נפשך יגיע לכל אחת גיטה בידה. </w:t>
      </w:r>
      <w:r>
        <w:rPr>
          <w:color w:val="E36C0A" w:themeColor="accent6" w:themeShade="BF"/>
          <w:rtl/>
        </w:rPr>
        <w:t>(וכ"פ בשו"ע)</w:t>
      </w:r>
    </w:p>
    <w:p w14:paraId="4F72B84B" w14:textId="77777777" w:rsidR="00FA2119" w:rsidRDefault="00FA2119" w:rsidP="00FA2119">
      <w:pPr>
        <w:ind w:left="360"/>
        <w:rPr>
          <w:u w:val="dotted"/>
        </w:rPr>
      </w:pPr>
      <w:r>
        <w:rPr>
          <w:u w:val="dotted"/>
          <w:rtl/>
        </w:rPr>
        <w:t>ומה הדין אם אחד מהגיטין נאבד:</w:t>
      </w:r>
    </w:p>
    <w:p w14:paraId="7F14F24E" w14:textId="2C457CA1" w:rsidR="00FA2119" w:rsidRDefault="00FA2119" w:rsidP="006A458D">
      <w:pPr>
        <w:pStyle w:val="ab"/>
        <w:numPr>
          <w:ilvl w:val="0"/>
          <w:numId w:val="90"/>
        </w:numPr>
      </w:pPr>
      <w:r>
        <w:rPr>
          <w:rFonts w:cs="Arial"/>
          <w:rtl/>
        </w:rPr>
        <w:t>טור</w:t>
      </w:r>
      <w:r w:rsidR="00A82951">
        <w:rPr>
          <w:rFonts w:cs="Arial"/>
          <w:rtl/>
        </w:rPr>
        <w:t>-</w:t>
      </w:r>
      <w:r>
        <w:rPr>
          <w:rFonts w:cs="Arial"/>
          <w:rtl/>
        </w:rPr>
        <w:t xml:space="preserve"> אם נאבד אחד מהן גם השני בטל. </w:t>
      </w:r>
    </w:p>
    <w:p w14:paraId="61A08B1A" w14:textId="00CAEE0E" w:rsidR="00FA2119" w:rsidRDefault="00FA2119" w:rsidP="006A458D">
      <w:pPr>
        <w:pStyle w:val="ab"/>
        <w:numPr>
          <w:ilvl w:val="0"/>
          <w:numId w:val="90"/>
        </w:numPr>
      </w:pPr>
      <w:r>
        <w:rPr>
          <w:rFonts w:cs="Arial"/>
          <w:rtl/>
        </w:rPr>
        <w:t xml:space="preserve">הה"מ </w:t>
      </w:r>
      <w:r>
        <w:rPr>
          <w:rFonts w:cs="Arial"/>
          <w:sz w:val="16"/>
          <w:szCs w:val="16"/>
          <w:rtl/>
        </w:rPr>
        <w:t>(פ"ג הי"ב)</w:t>
      </w:r>
      <w:r>
        <w:rPr>
          <w:rFonts w:cs="Arial"/>
          <w:rtl/>
        </w:rPr>
        <w:t xml:space="preserve"> ור"ן </w:t>
      </w:r>
      <w:r>
        <w:rPr>
          <w:rFonts w:cs="Arial"/>
          <w:sz w:val="16"/>
          <w:szCs w:val="16"/>
          <w:rtl/>
        </w:rPr>
        <w:t>(מח. סוף המשנה)</w:t>
      </w:r>
      <w:r w:rsidR="00A82951">
        <w:rPr>
          <w:rFonts w:cs="Arial"/>
          <w:rtl/>
        </w:rPr>
        <w:t>-</w:t>
      </w:r>
      <w:r>
        <w:rPr>
          <w:rFonts w:cs="Arial"/>
          <w:rtl/>
        </w:rPr>
        <w:t xml:space="preserve"> כי תנן אם אבד אחד מהם הרי השני בטל</w:t>
      </w:r>
      <w:r w:rsidR="00B5237A">
        <w:rPr>
          <w:rFonts w:cs="Arial" w:hint="cs"/>
          <w:rtl/>
        </w:rPr>
        <w:t>,</w:t>
      </w:r>
      <w:r>
        <w:rPr>
          <w:rFonts w:cs="Arial"/>
          <w:rtl/>
        </w:rPr>
        <w:t xml:space="preserve"> לא בטל ממש קאמר, אלא דכיון דלא ידעינן דמאן ניהו </w:t>
      </w:r>
      <w:r w:rsidR="00A82951">
        <w:rPr>
          <w:rFonts w:cs="Arial"/>
          <w:rtl/>
        </w:rPr>
        <w:t>-</w:t>
      </w:r>
      <w:r>
        <w:rPr>
          <w:rFonts w:cs="Arial"/>
          <w:rtl/>
        </w:rPr>
        <w:t xml:space="preserve"> לא ינתן לא לזו ולא לזו. אבל אם ניתן לאחת מהן או לשתיהן </w:t>
      </w:r>
      <w:r w:rsidR="00A82951">
        <w:rPr>
          <w:rFonts w:cs="Arial"/>
          <w:rtl/>
        </w:rPr>
        <w:t>-</w:t>
      </w:r>
      <w:r>
        <w:rPr>
          <w:rFonts w:cs="Arial"/>
          <w:rtl/>
        </w:rPr>
        <w:t xml:space="preserve"> הרי זה ספק גירושין</w:t>
      </w:r>
      <w:r>
        <w:rPr>
          <w:rFonts w:cs="Arial"/>
          <w:sz w:val="16"/>
          <w:szCs w:val="16"/>
          <w:rtl/>
        </w:rPr>
        <w:t xml:space="preserve"> (ל' הר"ן)</w:t>
      </w:r>
      <w:r>
        <w:rPr>
          <w:rFonts w:cs="Arial"/>
          <w:rtl/>
        </w:rPr>
        <w:t>.</w:t>
      </w:r>
      <w:r>
        <w:rPr>
          <w:color w:val="E36C0A" w:themeColor="accent6" w:themeShade="BF"/>
          <w:rtl/>
        </w:rPr>
        <w:t xml:space="preserve"> (וכ"פ בשו"ע)</w:t>
      </w:r>
    </w:p>
    <w:p w14:paraId="67054C85"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lastRenderedPageBreak/>
        <w:t>שו"ע:</w:t>
      </w:r>
    </w:p>
    <w:p w14:paraId="51556F9E" w14:textId="77777777" w:rsidR="00FA2119" w:rsidRDefault="00FA2119" w:rsidP="00FA2119">
      <w:pPr>
        <w:rPr>
          <w:rtl/>
        </w:rPr>
      </w:pPr>
      <w:r>
        <w:rPr>
          <w:rFonts w:cs="Arial"/>
          <w:rtl/>
        </w:rPr>
        <w:t>שנים ששמותיהם שוים ושמות נשותיהם שוים, ושלחו שני גיטין ונתערבו זה בזה</w:t>
      </w:r>
      <w:r>
        <w:rPr>
          <w:rStyle w:val="a7"/>
          <w:rFonts w:cs="Arial"/>
          <w:rtl/>
        </w:rPr>
        <w:footnoteReference w:id="1412"/>
      </w:r>
      <w:r>
        <w:rPr>
          <w:rFonts w:cs="Arial"/>
          <w:rtl/>
        </w:rPr>
        <w:t xml:space="preserve">, נותן שניהם לזו ושניהם לזו בעדי מסירה. ואם נאבד אחד מהם, לא ינתן הגט הנשאר לא לזו ולא לזו. ואם ניתן לאחת מהן או לשתיהן, הרי זו ספק גירושין. </w:t>
      </w:r>
    </w:p>
    <w:p w14:paraId="55A7F06A" w14:textId="77777777" w:rsidR="00FA2119" w:rsidRDefault="00FA2119" w:rsidP="00FA2119">
      <w:pPr>
        <w:rPr>
          <w:rtl/>
        </w:rPr>
      </w:pPr>
    </w:p>
    <w:p w14:paraId="26BF018E" w14:textId="77777777" w:rsidR="00FA2119" w:rsidRDefault="00FA2119" w:rsidP="00FA2119">
      <w:pPr>
        <w:pStyle w:val="2"/>
        <w:rPr>
          <w:rtl/>
        </w:rPr>
      </w:pPr>
      <w:r>
        <w:rPr>
          <w:rtl/>
        </w:rPr>
        <w:t>סעיף ד: המביא גט ונפל ממנו ומצאו.</w:t>
      </w:r>
    </w:p>
    <w:p w14:paraId="08AB5F69" w14:textId="1BDB5B5A" w:rsidR="00FA2119" w:rsidRDefault="00FA2119" w:rsidP="00FA2119">
      <w:pPr>
        <w:rPr>
          <w:rFonts w:cs="Arial"/>
          <w:rtl/>
        </w:rPr>
      </w:pPr>
      <w:r>
        <w:rPr>
          <w:rFonts w:cs="Arial"/>
          <w:b/>
          <w:bCs/>
          <w:rtl/>
        </w:rPr>
        <w:t xml:space="preserve">גיטין </w:t>
      </w:r>
      <w:r>
        <w:rPr>
          <w:rFonts w:cs="Arial"/>
          <w:b/>
          <w:bCs/>
          <w:sz w:val="16"/>
          <w:szCs w:val="16"/>
          <w:rtl/>
        </w:rPr>
        <w:t>(פ' כל הגט)</w:t>
      </w:r>
      <w:r>
        <w:rPr>
          <w:rFonts w:cs="Arial"/>
          <w:b/>
          <w:bCs/>
          <w:rtl/>
        </w:rPr>
        <w:t xml:space="preserve"> כז ע"א: </w:t>
      </w:r>
      <w:r>
        <w:rPr>
          <w:rFonts w:cs="Arial"/>
          <w:u w:val="double"/>
          <w:rtl/>
        </w:rPr>
        <w:t>מתני'</w:t>
      </w:r>
      <w:r>
        <w:rPr>
          <w:rFonts w:cs="Arial"/>
          <w:rtl/>
        </w:rPr>
        <w:t xml:space="preserve">: המביא גט ואבד הימנו, מצאו לאלתר </w:t>
      </w:r>
      <w:r w:rsidR="00A82951">
        <w:rPr>
          <w:rFonts w:cs="Arial"/>
          <w:rtl/>
        </w:rPr>
        <w:t>-</w:t>
      </w:r>
      <w:r>
        <w:rPr>
          <w:rFonts w:cs="Arial"/>
          <w:rtl/>
        </w:rPr>
        <w:t xml:space="preserve"> כשר, ואם לאו </w:t>
      </w:r>
      <w:r w:rsidR="00A82951">
        <w:rPr>
          <w:rFonts w:cs="Arial"/>
          <w:rtl/>
        </w:rPr>
        <w:t>-</w:t>
      </w:r>
      <w:r>
        <w:rPr>
          <w:rFonts w:cs="Arial"/>
          <w:rtl/>
        </w:rPr>
        <w:t xml:space="preserve"> פסול. מצאו בחפיסה</w:t>
      </w:r>
      <w:r>
        <w:rPr>
          <w:rStyle w:val="a7"/>
          <w:rFonts w:cs="Arial"/>
          <w:rtl/>
        </w:rPr>
        <w:footnoteReference w:id="1413"/>
      </w:r>
      <w:r>
        <w:rPr>
          <w:rFonts w:cs="Arial"/>
          <w:rtl/>
        </w:rPr>
        <w:t xml:space="preserve"> או בדלוסקמא</w:t>
      </w:r>
      <w:r>
        <w:rPr>
          <w:rStyle w:val="a7"/>
          <w:rFonts w:cs="Arial"/>
          <w:rtl/>
        </w:rPr>
        <w:footnoteReference w:id="1414"/>
      </w:r>
      <w:r>
        <w:rPr>
          <w:rFonts w:cs="Arial"/>
          <w:rtl/>
        </w:rPr>
        <w:t>, אם מכירו</w:t>
      </w:r>
      <w:r>
        <w:rPr>
          <w:rStyle w:val="a7"/>
          <w:rFonts w:cs="Arial"/>
          <w:rtl/>
        </w:rPr>
        <w:footnoteReference w:id="1415"/>
      </w:r>
      <w:r>
        <w:rPr>
          <w:rFonts w:cs="Arial"/>
          <w:rtl/>
        </w:rPr>
        <w:t xml:space="preserve"> </w:t>
      </w:r>
      <w:r w:rsidR="00A82951">
        <w:rPr>
          <w:rFonts w:cs="Arial"/>
          <w:rtl/>
        </w:rPr>
        <w:t>-</w:t>
      </w:r>
      <w:r>
        <w:rPr>
          <w:rFonts w:cs="Arial"/>
          <w:rtl/>
        </w:rPr>
        <w:t xml:space="preserve"> כשר.         </w:t>
      </w:r>
      <w:r>
        <w:rPr>
          <w:rFonts w:cs="Arial"/>
          <w:u w:val="double"/>
          <w:rtl/>
        </w:rPr>
        <w:t>גמ'</w:t>
      </w:r>
      <w:r>
        <w:rPr>
          <w:rFonts w:cs="Arial"/>
          <w:rtl/>
        </w:rPr>
        <w:t>: ורמינהו: מצא גיטי נשים, ושחרורי עבדים, דייתיקי</w:t>
      </w:r>
      <w:r>
        <w:rPr>
          <w:rStyle w:val="a7"/>
          <w:rFonts w:cs="Arial"/>
          <w:rtl/>
        </w:rPr>
        <w:footnoteReference w:id="1416"/>
      </w:r>
      <w:r>
        <w:rPr>
          <w:rFonts w:cs="Arial"/>
          <w:rtl/>
        </w:rPr>
        <w:t xml:space="preserve">, מתנות, ושוברין </w:t>
      </w:r>
      <w:r w:rsidR="00A82951">
        <w:rPr>
          <w:rFonts w:cs="Arial"/>
          <w:rtl/>
        </w:rPr>
        <w:t>-</w:t>
      </w:r>
      <w:r>
        <w:rPr>
          <w:rFonts w:cs="Arial"/>
          <w:rtl/>
        </w:rPr>
        <w:t xml:space="preserve"> הרי זה לא יחזיר</w:t>
      </w:r>
      <w:r>
        <w:rPr>
          <w:rStyle w:val="a7"/>
          <w:rFonts w:cs="Arial"/>
          <w:rtl/>
        </w:rPr>
        <w:footnoteReference w:id="1417"/>
      </w:r>
      <w:r>
        <w:rPr>
          <w:rFonts w:cs="Arial"/>
          <w:rtl/>
        </w:rPr>
        <w:t xml:space="preserve">, שאני אומר: כתובין היו ונמלך עליהן שלא ליתנן; הא אמר תנו </w:t>
      </w:r>
      <w:r w:rsidR="00A82951">
        <w:rPr>
          <w:rFonts w:cs="Arial"/>
          <w:rtl/>
        </w:rPr>
        <w:t>-</w:t>
      </w:r>
      <w:r>
        <w:rPr>
          <w:rFonts w:cs="Arial"/>
          <w:rtl/>
        </w:rPr>
        <w:t xml:space="preserve"> נותנין, ואפי' לזמן מרובה! </w:t>
      </w:r>
      <w:r>
        <w:rPr>
          <w:rFonts w:cs="Arial"/>
          <w:u w:val="single"/>
          <w:rtl/>
        </w:rPr>
        <w:t>אמר רבה</w:t>
      </w:r>
      <w:r>
        <w:rPr>
          <w:rFonts w:cs="Arial"/>
          <w:rtl/>
        </w:rPr>
        <w:t>: לא קשיא, כאן במקום שהשיירות מצויות</w:t>
      </w:r>
      <w:r>
        <w:rPr>
          <w:rStyle w:val="a7"/>
          <w:rFonts w:cs="Arial"/>
          <w:rtl/>
        </w:rPr>
        <w:footnoteReference w:id="1418"/>
      </w:r>
      <w:r>
        <w:rPr>
          <w:rFonts w:cs="Arial"/>
          <w:rtl/>
        </w:rPr>
        <w:t>, כאן במקום שאין השיירות מצויות. ואפילו</w:t>
      </w:r>
      <w:r>
        <w:rPr>
          <w:rStyle w:val="a7"/>
          <w:rFonts w:cs="Arial"/>
          <w:rtl/>
        </w:rPr>
        <w:footnoteReference w:id="1419"/>
      </w:r>
      <w:r>
        <w:rPr>
          <w:rFonts w:cs="Arial"/>
          <w:rtl/>
        </w:rPr>
        <w:t xml:space="preserve"> במקום שהשיירות מצויות, והוא שהוחזקו שני יוסף בן שמעון בעיר אחת,</w:t>
      </w:r>
      <w:r>
        <w:rPr>
          <w:rtl/>
        </w:rPr>
        <w:t xml:space="preserve"> </w:t>
      </w:r>
      <w:r>
        <w:rPr>
          <w:rFonts w:cs="Arial"/>
          <w:rtl/>
        </w:rPr>
        <w:t>דאי לא תימא הכי, קשיא דרבה אדרבה... עבד רבה עובדא בההוא גיטא דאישתכח בי כיתנא בפומבדיתא כשמעתיה</w:t>
      </w:r>
      <w:r>
        <w:rPr>
          <w:rStyle w:val="a7"/>
          <w:rFonts w:cs="Arial"/>
          <w:rtl/>
        </w:rPr>
        <w:footnoteReference w:id="1420"/>
      </w:r>
      <w:r>
        <w:rPr>
          <w:rFonts w:cs="Arial"/>
          <w:rtl/>
        </w:rPr>
        <w:t xml:space="preserve">... </w:t>
      </w:r>
      <w:r>
        <w:rPr>
          <w:rFonts w:cs="Arial"/>
          <w:u w:val="single"/>
          <w:rtl/>
        </w:rPr>
        <w:t>רבי זירא רמי מתני' אברייתא ומשני</w:t>
      </w:r>
      <w:r>
        <w:rPr>
          <w:rFonts w:cs="Arial"/>
          <w:rtl/>
        </w:rPr>
        <w:t xml:space="preserve">: תנן: המביא גט ואבד הימנו, אם מצאו לאלתר </w:t>
      </w:r>
      <w:r w:rsidR="00A82951">
        <w:rPr>
          <w:rFonts w:cs="Arial"/>
          <w:rtl/>
        </w:rPr>
        <w:t>-</w:t>
      </w:r>
      <w:r>
        <w:rPr>
          <w:rFonts w:cs="Arial"/>
          <w:rtl/>
        </w:rPr>
        <w:t xml:space="preserve"> כשר, ואם לאו </w:t>
      </w:r>
      <w:r w:rsidR="00A82951">
        <w:rPr>
          <w:rFonts w:cs="Arial"/>
          <w:rtl/>
        </w:rPr>
        <w:t>-</w:t>
      </w:r>
      <w:r>
        <w:rPr>
          <w:rFonts w:cs="Arial"/>
          <w:rtl/>
        </w:rPr>
        <w:t xml:space="preserve"> פסול, ורמינהו: מצא גט אשה בשוק, בזמן שהבעל מודה </w:t>
      </w:r>
      <w:r w:rsidR="00A82951">
        <w:rPr>
          <w:rFonts w:cs="Arial"/>
          <w:rtl/>
        </w:rPr>
        <w:t>-</w:t>
      </w:r>
      <w:r>
        <w:rPr>
          <w:rFonts w:cs="Arial"/>
          <w:rtl/>
        </w:rPr>
        <w:t xml:space="preserve"> יחזיר לאשה, אין הבעל מודה </w:t>
      </w:r>
      <w:r w:rsidR="00A82951">
        <w:rPr>
          <w:rFonts w:cs="Arial"/>
          <w:rtl/>
        </w:rPr>
        <w:t>-</w:t>
      </w:r>
      <w:r>
        <w:rPr>
          <w:rFonts w:cs="Arial"/>
          <w:rtl/>
        </w:rPr>
        <w:t xml:space="preserve"> לא יחזיר לא לזה ולא לזה; הא</w:t>
      </w:r>
      <w:r>
        <w:rPr>
          <w:rFonts w:cs="Arial"/>
          <w:sz w:val="14"/>
          <w:szCs w:val="14"/>
          <w:rtl/>
        </w:rPr>
        <w:t xml:space="preserve"> (כז:)</w:t>
      </w:r>
      <w:r>
        <w:rPr>
          <w:rFonts w:cs="Arial"/>
          <w:rtl/>
        </w:rPr>
        <w:t xml:space="preserve"> בזמן שהבעל מודה מיהת יחזיר לאשה, ואפי' לזמן מרובה! ומשני: כאן במקום שהשיירות מצויות, כאן במקום שאין השיירות מצויות. איכא דאמרי: והוא שהוחזקו, הוא דלא ליהדר, והיינו דרבה. ואיכא דאמרי: אף על גב דלא הוחזקו לא ליהדר, ופליגא דרבה. בשלמא דרבה לא אמר כר' זירא, מתני' אלימא ליה לאקשויי, אלא רבי זירא מאי טעמא לא אמר כרבה? אמר לך, מי קתני: אם אמר תנו </w:t>
      </w:r>
      <w:r w:rsidR="00A82951">
        <w:rPr>
          <w:rFonts w:cs="Arial"/>
          <w:rtl/>
        </w:rPr>
        <w:t>-</w:t>
      </w:r>
      <w:r>
        <w:rPr>
          <w:rFonts w:cs="Arial"/>
          <w:rtl/>
        </w:rPr>
        <w:t xml:space="preserve"> נותנין ואפילו לזמן מרובה? דלמא אם אמר תנו </w:t>
      </w:r>
      <w:r w:rsidR="00A82951">
        <w:rPr>
          <w:rFonts w:cs="Arial"/>
          <w:rtl/>
        </w:rPr>
        <w:t>-</w:t>
      </w:r>
      <w:r>
        <w:rPr>
          <w:rFonts w:cs="Arial"/>
          <w:rtl/>
        </w:rPr>
        <w:t xml:space="preserve"> נותנין כדקי"ל לאלתר. </w:t>
      </w:r>
      <w:r>
        <w:rPr>
          <w:rFonts w:cs="Arial"/>
          <w:u w:val="single"/>
          <w:rtl/>
        </w:rPr>
        <w:t>רבי ירמיה אמר</w:t>
      </w:r>
      <w:r>
        <w:rPr>
          <w:rStyle w:val="a7"/>
          <w:rFonts w:cs="Arial"/>
          <w:u w:val="single"/>
          <w:rtl/>
        </w:rPr>
        <w:footnoteReference w:id="1421"/>
      </w:r>
      <w:r>
        <w:rPr>
          <w:rFonts w:cs="Arial"/>
          <w:rtl/>
        </w:rPr>
        <w:t>: כגון דקאמרי עדים מעולם לא חתמנו אלא על גט אחד של יוסף בן שמעון</w:t>
      </w:r>
      <w:r>
        <w:rPr>
          <w:rStyle w:val="a7"/>
          <w:rFonts w:cs="Arial"/>
          <w:rtl/>
        </w:rPr>
        <w:footnoteReference w:id="1422"/>
      </w:r>
      <w:r>
        <w:rPr>
          <w:rFonts w:cs="Arial"/>
          <w:rtl/>
        </w:rPr>
        <w:t xml:space="preserve">. אי הכי, מאי למימרא? מהו דתימא ליחוש דלמא איתרמי שמא כשמא </w:t>
      </w:r>
      <w:r>
        <w:rPr>
          <w:rFonts w:cs="Arial"/>
          <w:rtl/>
        </w:rPr>
        <w:lastRenderedPageBreak/>
        <w:t>ועדים כעדים, קמ"ל</w:t>
      </w:r>
      <w:r>
        <w:rPr>
          <w:rStyle w:val="a7"/>
          <w:rFonts w:cs="Arial"/>
          <w:rtl/>
        </w:rPr>
        <w:footnoteReference w:id="1423"/>
      </w:r>
      <w:r>
        <w:rPr>
          <w:rFonts w:cs="Arial"/>
          <w:rtl/>
        </w:rPr>
        <w:t xml:space="preserve">. </w:t>
      </w:r>
      <w:r>
        <w:rPr>
          <w:rFonts w:cs="Arial"/>
          <w:u w:val="single"/>
          <w:rtl/>
        </w:rPr>
        <w:t>רב אשי אמר</w:t>
      </w:r>
      <w:r>
        <w:rPr>
          <w:rFonts w:cs="Arial"/>
          <w:rtl/>
        </w:rPr>
        <w:t>: כגון דקאמר</w:t>
      </w:r>
      <w:r>
        <w:rPr>
          <w:rStyle w:val="a7"/>
          <w:rFonts w:cs="Arial"/>
          <w:rtl/>
        </w:rPr>
        <w:footnoteReference w:id="1424"/>
      </w:r>
      <w:r>
        <w:rPr>
          <w:rFonts w:cs="Arial"/>
          <w:rtl/>
        </w:rPr>
        <w:t xml:space="preserve"> נקב יש בו בצד אות פלונית, דהוה ליה סימן מובהק. ודוקא בצד אות פלונית, דהוה ליה סימן מובהק, אבל נקב בעלמא לא, מספקא ליה: סימנין, אי דאורייתא אי דרבנן. </w:t>
      </w:r>
      <w:r>
        <w:rPr>
          <w:rFonts w:cs="Arial"/>
          <w:u w:val="single"/>
          <w:rtl/>
        </w:rPr>
        <w:t>רבה בר בר חנה</w:t>
      </w:r>
      <w:r>
        <w:rPr>
          <w:rFonts w:cs="Arial"/>
          <w:rtl/>
        </w:rPr>
        <w:t xml:space="preserve"> אירכס ליה גיטא בי מדרשא, אמר: אי סימנא </w:t>
      </w:r>
      <w:r w:rsidR="00A82951">
        <w:rPr>
          <w:rFonts w:cs="Arial"/>
          <w:rtl/>
        </w:rPr>
        <w:t>-</w:t>
      </w:r>
      <w:r>
        <w:rPr>
          <w:rFonts w:cs="Arial"/>
          <w:rtl/>
        </w:rPr>
        <w:t xml:space="preserve"> אית לי בגויה, אי טביעות עינא </w:t>
      </w:r>
      <w:r w:rsidR="00A82951">
        <w:rPr>
          <w:rFonts w:cs="Arial"/>
          <w:rtl/>
        </w:rPr>
        <w:t>-</w:t>
      </w:r>
      <w:r>
        <w:rPr>
          <w:rFonts w:cs="Arial"/>
          <w:rtl/>
        </w:rPr>
        <w:t xml:space="preserve"> אית לי בגויה; אהדרוה ניהליה. אמר: לא ידענא אי משום סימנא אהדרוה, וקסברי סימנים דאורייתא, אי משום טביעות עינא, ודוקא צורבא מדרבנן, אבל אינש בעלמא לא</w:t>
      </w:r>
      <w:r>
        <w:rPr>
          <w:rStyle w:val="a7"/>
          <w:rFonts w:cs="Arial"/>
          <w:rtl/>
        </w:rPr>
        <w:footnoteReference w:id="1425"/>
      </w:r>
      <w:r>
        <w:rPr>
          <w:rFonts w:cs="Arial"/>
          <w:rtl/>
        </w:rPr>
        <w:t xml:space="preserve">. </w:t>
      </w:r>
      <w:r w:rsidR="002A4F8D">
        <w:rPr>
          <w:rFonts w:cs="Arial" w:hint="cs"/>
          <w:rtl/>
        </w:rPr>
        <w:t xml:space="preserve">     </w:t>
      </w:r>
      <w:r>
        <w:rPr>
          <w:rFonts w:cs="Arial"/>
          <w:rtl/>
        </w:rPr>
        <w:t xml:space="preserve">ואם לאו </w:t>
      </w:r>
      <w:r w:rsidR="00A82951">
        <w:rPr>
          <w:rFonts w:cs="Arial"/>
          <w:rtl/>
        </w:rPr>
        <w:t>-</w:t>
      </w:r>
      <w:r>
        <w:rPr>
          <w:rFonts w:cs="Arial"/>
          <w:rtl/>
        </w:rPr>
        <w:t xml:space="preserve"> פסול. ת"ר: איזהו שלא לאלתר? </w:t>
      </w:r>
      <w:r>
        <w:rPr>
          <w:rFonts w:cs="Arial"/>
          <w:u w:val="single"/>
          <w:rtl/>
        </w:rPr>
        <w:t>רבי נתן אומר</w:t>
      </w:r>
      <w:r>
        <w:rPr>
          <w:rFonts w:cs="Arial"/>
          <w:rtl/>
        </w:rPr>
        <w:t xml:space="preserve">: ששהה כדי שתעבור שיירא ותשרה. </w:t>
      </w:r>
      <w:r>
        <w:rPr>
          <w:rFonts w:cs="Arial"/>
          <w:u w:val="single"/>
          <w:rtl/>
        </w:rPr>
        <w:t>ר"ש בן אלעזר אומר</w:t>
      </w:r>
      <w:r>
        <w:rPr>
          <w:rFonts w:cs="Arial"/>
          <w:rtl/>
        </w:rPr>
        <w:t>: כדי שיהא אדם עומד ורואה שלא עבר שם אדם</w:t>
      </w:r>
      <w:r>
        <w:rPr>
          <w:rStyle w:val="a7"/>
          <w:rFonts w:cs="Arial"/>
          <w:rtl/>
        </w:rPr>
        <w:footnoteReference w:id="1426"/>
      </w:r>
      <w:r>
        <w:rPr>
          <w:rFonts w:cs="Arial"/>
          <w:rtl/>
        </w:rPr>
        <w:t xml:space="preserve">, ויש אומרים: שלא שהה אדם שם, </w:t>
      </w:r>
      <w:r>
        <w:rPr>
          <w:rFonts w:cs="Arial"/>
          <w:u w:val="single"/>
          <w:rtl/>
        </w:rPr>
        <w:t>רבי אומר</w:t>
      </w:r>
      <w:r>
        <w:rPr>
          <w:rFonts w:cs="Arial"/>
          <w:rtl/>
        </w:rPr>
        <w:t xml:space="preserve">: כדי לכתוב את הגט, </w:t>
      </w:r>
      <w:r>
        <w:rPr>
          <w:rFonts w:cs="Arial"/>
          <w:u w:val="single"/>
          <w:rtl/>
        </w:rPr>
        <w:t>רבי יצחק אומר</w:t>
      </w:r>
      <w:r>
        <w:rPr>
          <w:rFonts w:cs="Arial"/>
          <w:rtl/>
        </w:rPr>
        <w:t xml:space="preserve">: כדי לקרותו, </w:t>
      </w:r>
      <w:r>
        <w:rPr>
          <w:rFonts w:cs="Arial"/>
          <w:u w:val="single"/>
          <w:rtl/>
        </w:rPr>
        <w:t>אחרים אומרים</w:t>
      </w:r>
      <w:r>
        <w:rPr>
          <w:rFonts w:cs="Arial"/>
          <w:rtl/>
        </w:rPr>
        <w:t xml:space="preserve">: כדי לכותבו ולקרותו. ואפי' שהה ויש בו סימנין </w:t>
      </w:r>
      <w:r w:rsidR="00A82951">
        <w:rPr>
          <w:rFonts w:cs="Arial"/>
          <w:rtl/>
        </w:rPr>
        <w:t>-</w:t>
      </w:r>
      <w:r>
        <w:rPr>
          <w:rFonts w:cs="Arial"/>
          <w:rtl/>
        </w:rPr>
        <w:t xml:space="preserve"> מעידים עליו, דאמרי נקב יש בו בצד אות פלונית, ואין מעידין על סימני הגוף, דאמרי ארוך וגוץ. מצאו קשור בכיס, בארנקי</w:t>
      </w:r>
      <w:r>
        <w:rPr>
          <w:rStyle w:val="a7"/>
          <w:rFonts w:cs="Arial"/>
          <w:rtl/>
        </w:rPr>
        <w:footnoteReference w:id="1427"/>
      </w:r>
      <w:r>
        <w:rPr>
          <w:rFonts w:cs="Arial"/>
          <w:rtl/>
        </w:rPr>
        <w:t>, ובטבעת,</w:t>
      </w:r>
      <w:r>
        <w:rPr>
          <w:rFonts w:cs="Arial"/>
          <w:sz w:val="14"/>
          <w:szCs w:val="14"/>
          <w:rtl/>
        </w:rPr>
        <w:t xml:space="preserve"> (כח.)</w:t>
      </w:r>
      <w:r>
        <w:rPr>
          <w:rFonts w:cs="Arial"/>
          <w:rtl/>
        </w:rPr>
        <w:t xml:space="preserve"> או שמצאו בין כליו</w:t>
      </w:r>
      <w:r>
        <w:rPr>
          <w:rStyle w:val="a7"/>
          <w:rFonts w:cs="Arial"/>
          <w:rtl/>
        </w:rPr>
        <w:footnoteReference w:id="1428"/>
      </w:r>
      <w:r>
        <w:rPr>
          <w:rFonts w:cs="Arial"/>
          <w:rtl/>
        </w:rPr>
        <w:t xml:space="preserve">, אפילו לזמן מרובה </w:t>
      </w:r>
      <w:r w:rsidR="00A82951">
        <w:rPr>
          <w:rFonts w:cs="Arial"/>
          <w:rtl/>
        </w:rPr>
        <w:t>-</w:t>
      </w:r>
      <w:r>
        <w:rPr>
          <w:rFonts w:cs="Arial"/>
          <w:rtl/>
        </w:rPr>
        <w:t xml:space="preserve"> כשר. איתמר: </w:t>
      </w:r>
      <w:r>
        <w:rPr>
          <w:rFonts w:cs="Arial"/>
          <w:u w:val="single"/>
          <w:rtl/>
        </w:rPr>
        <w:t>רב יהודה אמר שמואל</w:t>
      </w:r>
      <w:r>
        <w:rPr>
          <w:rFonts w:cs="Arial"/>
          <w:rtl/>
        </w:rPr>
        <w:t xml:space="preserve">: הלכה </w:t>
      </w:r>
      <w:r w:rsidR="00A82951">
        <w:rPr>
          <w:rFonts w:cs="Arial"/>
          <w:rtl/>
        </w:rPr>
        <w:t>-</w:t>
      </w:r>
      <w:r>
        <w:rPr>
          <w:rFonts w:cs="Arial"/>
          <w:rtl/>
        </w:rPr>
        <w:t xml:space="preserve"> שלא שהה אדם שם. </w:t>
      </w:r>
      <w:r>
        <w:rPr>
          <w:rFonts w:cs="Arial"/>
          <w:u w:val="single"/>
          <w:rtl/>
        </w:rPr>
        <w:t>רבה בר בר חנה אמר רב יצחק בר שמואל</w:t>
      </w:r>
      <w:r>
        <w:rPr>
          <w:rFonts w:cs="Arial"/>
          <w:rtl/>
        </w:rPr>
        <w:t xml:space="preserve">: הלכה </w:t>
      </w:r>
      <w:r w:rsidR="00A82951">
        <w:rPr>
          <w:rFonts w:cs="Arial"/>
          <w:rtl/>
        </w:rPr>
        <w:t>-</w:t>
      </w:r>
      <w:r>
        <w:rPr>
          <w:rFonts w:cs="Arial"/>
          <w:rtl/>
        </w:rPr>
        <w:t xml:space="preserve"> שלא עבר אדם שם. </w:t>
      </w:r>
    </w:p>
    <w:p w14:paraId="3177E2D0" w14:textId="484F8BC9" w:rsidR="00FA2119" w:rsidRDefault="00FA2119" w:rsidP="00FA2119">
      <w:pPr>
        <w:rPr>
          <w:rFonts w:cs="Arial"/>
          <w:u w:val="single"/>
          <w:rtl/>
        </w:rPr>
      </w:pPr>
      <w:r>
        <w:rPr>
          <w:rFonts w:cs="Arial"/>
          <w:u w:val="single"/>
          <w:rtl/>
        </w:rPr>
        <w:t>המביא גט ואבד ממנו ומצאו</w:t>
      </w:r>
      <w:r w:rsidR="00163D97">
        <w:rPr>
          <w:rFonts w:cs="Arial" w:hint="cs"/>
          <w:u w:val="single"/>
          <w:rtl/>
        </w:rPr>
        <w:t>,</w:t>
      </w:r>
      <w:r>
        <w:rPr>
          <w:rFonts w:cs="Arial"/>
          <w:u w:val="single"/>
          <w:rtl/>
        </w:rPr>
        <w:t xml:space="preserve"> והוא במקום </w:t>
      </w:r>
      <w:r>
        <w:rPr>
          <w:rFonts w:cs="Arial"/>
          <w:b/>
          <w:bCs/>
          <w:u w:val="single"/>
          <w:rtl/>
        </w:rPr>
        <w:t>שאין</w:t>
      </w:r>
      <w:r>
        <w:rPr>
          <w:rFonts w:cs="Arial"/>
          <w:u w:val="single"/>
          <w:rtl/>
        </w:rPr>
        <w:t xml:space="preserve"> השיירות מצויות:</w:t>
      </w:r>
    </w:p>
    <w:p w14:paraId="5F450AB8" w14:textId="61365790" w:rsidR="00FA2119" w:rsidRPr="000C45DC" w:rsidRDefault="00FA2119" w:rsidP="000C45DC">
      <w:pPr>
        <w:pStyle w:val="ab"/>
        <w:numPr>
          <w:ilvl w:val="0"/>
          <w:numId w:val="91"/>
        </w:numPr>
        <w:rPr>
          <w:rFonts w:cs="Arial"/>
          <w:rtl/>
        </w:rPr>
      </w:pPr>
      <w:r>
        <w:rPr>
          <w:rFonts w:cs="Arial"/>
          <w:rtl/>
        </w:rPr>
        <w:t xml:space="preserve">רי"ף </w:t>
      </w:r>
      <w:r>
        <w:rPr>
          <w:rFonts w:cs="Arial"/>
          <w:sz w:val="16"/>
          <w:szCs w:val="16"/>
          <w:rtl/>
        </w:rPr>
        <w:t>(ב"מ פ"ק י:)</w:t>
      </w:r>
      <w:r>
        <w:rPr>
          <w:rFonts w:cs="Arial"/>
          <w:rtl/>
        </w:rPr>
        <w:t xml:space="preserve"> רמב"ם </w:t>
      </w:r>
      <w:r>
        <w:rPr>
          <w:rFonts w:cs="Arial"/>
          <w:sz w:val="16"/>
          <w:szCs w:val="16"/>
          <w:rtl/>
        </w:rPr>
        <w:t xml:space="preserve">(פ"ג ה"ט) </w:t>
      </w:r>
      <w:r>
        <w:rPr>
          <w:rFonts w:cs="Arial"/>
          <w:rtl/>
        </w:rPr>
        <w:t xml:space="preserve">רא"ש </w:t>
      </w:r>
      <w:r>
        <w:rPr>
          <w:rFonts w:cs="Arial"/>
          <w:sz w:val="16"/>
          <w:szCs w:val="16"/>
          <w:rtl/>
        </w:rPr>
        <w:t>(ב"מ פ"א סי' מה)</w:t>
      </w:r>
      <w:r>
        <w:rPr>
          <w:rFonts w:cs="Arial"/>
          <w:rtl/>
        </w:rPr>
        <w:t xml:space="preserve"> וטור</w:t>
      </w:r>
      <w:r w:rsidR="00A82951">
        <w:rPr>
          <w:rFonts w:cs="Arial"/>
          <w:rtl/>
        </w:rPr>
        <w:t>-</w:t>
      </w:r>
      <w:r>
        <w:rPr>
          <w:rFonts w:cs="Arial"/>
          <w:rtl/>
        </w:rPr>
        <w:t xml:space="preserve"> המביא גט ואבד ממנו ומצאו, אם אבד ממנו במקום שאין השיירות מצויות אפילו מצאו לאחר זמן מרובה </w:t>
      </w:r>
      <w:r w:rsidR="00A82951">
        <w:rPr>
          <w:rFonts w:cs="Arial"/>
          <w:rtl/>
        </w:rPr>
        <w:t>-</w:t>
      </w:r>
      <w:r>
        <w:rPr>
          <w:rFonts w:cs="Arial"/>
          <w:rtl/>
        </w:rPr>
        <w:t xml:space="preserve"> הרי זה בחזקת שהגט שאבד ממנו הוא הגט שנמצא ותתגרש בו</w:t>
      </w:r>
      <w:r>
        <w:rPr>
          <w:rStyle w:val="a7"/>
          <w:rFonts w:cs="Arial"/>
          <w:rtl/>
        </w:rPr>
        <w:footnoteReference w:id="1429"/>
      </w:r>
      <w:r>
        <w:rPr>
          <w:rFonts w:cs="Arial"/>
          <w:sz w:val="16"/>
          <w:szCs w:val="16"/>
          <w:rtl/>
        </w:rPr>
        <w:t xml:space="preserve"> (ל' הרמב"ם)</w:t>
      </w:r>
      <w:r w:rsidRPr="000C45DC">
        <w:rPr>
          <w:rFonts w:cs="Arial"/>
          <w:rtl/>
        </w:rPr>
        <w:t xml:space="preserve">. </w:t>
      </w:r>
      <w:r w:rsidRPr="000C45DC">
        <w:rPr>
          <w:rFonts w:cs="Arial"/>
          <w:color w:val="E36C0A" w:themeColor="accent6" w:themeShade="BF"/>
          <w:rtl/>
        </w:rPr>
        <w:t>(וכ"פ בשו"ע)</w:t>
      </w:r>
    </w:p>
    <w:p w14:paraId="76B927C8" w14:textId="2EB266C7" w:rsidR="00FA2119" w:rsidRDefault="00FA2119" w:rsidP="00FA2119">
      <w:pPr>
        <w:rPr>
          <w:rFonts w:cs="Arial"/>
        </w:rPr>
      </w:pPr>
      <w:r>
        <w:rPr>
          <w:rFonts w:cs="Arial"/>
          <w:u w:val="single"/>
          <w:rtl/>
        </w:rPr>
        <w:t>המביא גט ואבד ממנו ומצאו</w:t>
      </w:r>
      <w:r w:rsidR="00163D97">
        <w:rPr>
          <w:rFonts w:cs="Arial" w:hint="cs"/>
          <w:u w:val="single"/>
          <w:rtl/>
        </w:rPr>
        <w:t>,</w:t>
      </w:r>
      <w:r>
        <w:rPr>
          <w:rFonts w:cs="Arial"/>
          <w:u w:val="single"/>
          <w:rtl/>
        </w:rPr>
        <w:t xml:space="preserve"> והוא במקום שהשיירות מצויות </w:t>
      </w:r>
      <w:r w:rsidR="00A82951">
        <w:rPr>
          <w:rFonts w:cs="Arial"/>
          <w:u w:val="single"/>
          <w:rtl/>
        </w:rPr>
        <w:t>-</w:t>
      </w:r>
      <w:r>
        <w:rPr>
          <w:rFonts w:cs="Arial"/>
          <w:u w:val="single"/>
          <w:rtl/>
        </w:rPr>
        <w:t xml:space="preserve"> מה הדין במקרים הבאים:</w:t>
      </w:r>
    </w:p>
    <w:p w14:paraId="383815EC" w14:textId="77777777" w:rsidR="00FA2119" w:rsidRDefault="00FA2119" w:rsidP="00FA2119">
      <w:pPr>
        <w:ind w:left="360"/>
        <w:rPr>
          <w:rFonts w:cs="Arial"/>
          <w:u w:val="dotted"/>
          <w:rtl/>
        </w:rPr>
      </w:pPr>
      <w:r>
        <w:rPr>
          <w:rFonts w:cs="Arial"/>
          <w:u w:val="dotted"/>
          <w:rtl/>
        </w:rPr>
        <w:t>מצאו לאלתר:</w:t>
      </w:r>
    </w:p>
    <w:p w14:paraId="5AADD8B9" w14:textId="22E7BBD9" w:rsidR="00FA2119" w:rsidRDefault="00FA2119" w:rsidP="006A458D">
      <w:pPr>
        <w:pStyle w:val="ab"/>
        <w:numPr>
          <w:ilvl w:val="0"/>
          <w:numId w:val="91"/>
        </w:numPr>
        <w:rPr>
          <w:rFonts w:cs="Arial"/>
        </w:rPr>
      </w:pPr>
      <w:r>
        <w:rPr>
          <w:rFonts w:cs="Arial"/>
          <w:rtl/>
        </w:rPr>
        <w:t xml:space="preserve">רמב"ם </w:t>
      </w:r>
      <w:r>
        <w:rPr>
          <w:rFonts w:cs="Arial"/>
          <w:sz w:val="16"/>
          <w:szCs w:val="16"/>
          <w:rtl/>
        </w:rPr>
        <w:t>(פ"ג ה"ט)</w:t>
      </w:r>
      <w:r w:rsidR="00A82951">
        <w:rPr>
          <w:rFonts w:cs="Arial"/>
          <w:rtl/>
        </w:rPr>
        <w:t>-</w:t>
      </w:r>
      <w:r>
        <w:rPr>
          <w:rFonts w:cs="Arial"/>
          <w:rtl/>
        </w:rPr>
        <w:t xml:space="preserve"> אבד במקום שהשיירות מצויות, אם מצאו מיד ועדיין לא שהה שם אדם מן העוברים... </w:t>
      </w:r>
      <w:r w:rsidR="00A82951">
        <w:rPr>
          <w:rFonts w:cs="Arial"/>
          <w:rtl/>
        </w:rPr>
        <w:t>-</w:t>
      </w:r>
      <w:r>
        <w:rPr>
          <w:rFonts w:cs="Arial"/>
          <w:rtl/>
        </w:rPr>
        <w:t xml:space="preserve"> הרי הוא בחזקתו ותתגרש בו.</w:t>
      </w:r>
    </w:p>
    <w:p w14:paraId="5A6010D0" w14:textId="141F8267" w:rsidR="00FA2119" w:rsidRDefault="00FA2119" w:rsidP="006A458D">
      <w:pPr>
        <w:pStyle w:val="ab"/>
        <w:numPr>
          <w:ilvl w:val="0"/>
          <w:numId w:val="91"/>
        </w:numPr>
        <w:rPr>
          <w:rFonts w:cs="Arial"/>
        </w:rPr>
      </w:pPr>
      <w:r>
        <w:rPr>
          <w:rFonts w:cs="Arial"/>
          <w:rtl/>
        </w:rPr>
        <w:t xml:space="preserve">רי"ף </w:t>
      </w:r>
      <w:r>
        <w:rPr>
          <w:rFonts w:cs="Arial"/>
          <w:sz w:val="16"/>
          <w:szCs w:val="16"/>
          <w:rtl/>
        </w:rPr>
        <w:t>(גיטין יד.)</w:t>
      </w:r>
      <w:r>
        <w:rPr>
          <w:rFonts w:cs="Arial"/>
          <w:rtl/>
        </w:rPr>
        <w:t xml:space="preserve"> רא"ש </w:t>
      </w:r>
      <w:r>
        <w:rPr>
          <w:rFonts w:cs="Arial"/>
          <w:sz w:val="16"/>
          <w:szCs w:val="16"/>
          <w:rtl/>
        </w:rPr>
        <w:t>(גיטין פ"ג ס"ג)</w:t>
      </w:r>
      <w:r>
        <w:rPr>
          <w:rFonts w:cs="Arial"/>
          <w:rtl/>
        </w:rPr>
        <w:t xml:space="preserve"> וטור</w:t>
      </w:r>
      <w:r w:rsidR="00A82951">
        <w:rPr>
          <w:rFonts w:cs="Arial"/>
          <w:rtl/>
        </w:rPr>
        <w:t>-</w:t>
      </w:r>
      <w:r>
        <w:rPr>
          <w:rFonts w:cs="Arial"/>
          <w:rtl/>
        </w:rPr>
        <w:t xml:space="preserve"> ראינו לגאון שפסק הלכה שלא שהה אדם שם ומסתברא לן דבכי הא מילתא דהיא איסורא </w:t>
      </w:r>
      <w:r w:rsidR="00A82951">
        <w:rPr>
          <w:rFonts w:cs="Arial"/>
          <w:rtl/>
        </w:rPr>
        <w:t>-</w:t>
      </w:r>
      <w:r>
        <w:rPr>
          <w:rFonts w:cs="Arial"/>
          <w:rtl/>
        </w:rPr>
        <w:t xml:space="preserve"> לחומרא עבדינן שלא עבר אדם שם. אבל אם עבר</w:t>
      </w:r>
      <w:r>
        <w:rPr>
          <w:rStyle w:val="a7"/>
          <w:rFonts w:cs="Arial"/>
          <w:rtl/>
        </w:rPr>
        <w:footnoteReference w:id="1430"/>
      </w:r>
      <w:r>
        <w:rPr>
          <w:rFonts w:cs="Arial"/>
          <w:rtl/>
        </w:rPr>
        <w:t xml:space="preserve"> אדם שם והוחזקו</w:t>
      </w:r>
      <w:r>
        <w:rPr>
          <w:rStyle w:val="a7"/>
          <w:rFonts w:cs="Arial"/>
          <w:rtl/>
        </w:rPr>
        <w:footnoteReference w:id="1431"/>
      </w:r>
      <w:r>
        <w:rPr>
          <w:rFonts w:cs="Arial"/>
          <w:rtl/>
        </w:rPr>
        <w:t xml:space="preserve"> שני יוסף בן </w:t>
      </w:r>
      <w:r>
        <w:rPr>
          <w:rFonts w:cs="Arial"/>
          <w:rtl/>
        </w:rPr>
        <w:lastRenderedPageBreak/>
        <w:t xml:space="preserve">שמעון </w:t>
      </w:r>
      <w:r w:rsidR="00A82951">
        <w:rPr>
          <w:rFonts w:cs="Arial"/>
          <w:rtl/>
        </w:rPr>
        <w:t>-</w:t>
      </w:r>
      <w:r>
        <w:rPr>
          <w:rFonts w:cs="Arial"/>
          <w:rtl/>
        </w:rPr>
        <w:t xml:space="preserve"> חיישינן שמא ממנו נפל</w:t>
      </w:r>
      <w:r>
        <w:rPr>
          <w:rStyle w:val="a7"/>
          <w:rFonts w:cs="Arial"/>
          <w:rtl/>
        </w:rPr>
        <w:footnoteReference w:id="1432"/>
      </w:r>
      <w:r>
        <w:rPr>
          <w:rFonts w:cs="Arial"/>
          <w:rtl/>
        </w:rPr>
        <w:t>, וצריכין אנו ליתן סימן מובהק כרב אשי או שיאמרו עדים מעולם לא חתמנו אלא על גט אחד של יוסף בן שמעון כדאמרינן לעיל</w:t>
      </w:r>
      <w:r>
        <w:rPr>
          <w:rFonts w:cs="Arial"/>
          <w:sz w:val="16"/>
          <w:szCs w:val="16"/>
          <w:rtl/>
        </w:rPr>
        <w:t xml:space="preserve"> (ל' הרי"ף)</w:t>
      </w:r>
      <w:r>
        <w:rPr>
          <w:rFonts w:cs="Arial"/>
          <w:rtl/>
        </w:rPr>
        <w:t>.</w:t>
      </w:r>
      <w:r>
        <w:rPr>
          <w:rFonts w:cs="Arial"/>
          <w:color w:val="E36C0A" w:themeColor="accent6" w:themeShade="BF"/>
          <w:rtl/>
        </w:rPr>
        <w:t xml:space="preserve"> (וכ"ס בשו"ע)</w:t>
      </w:r>
    </w:p>
    <w:p w14:paraId="3271F313" w14:textId="4B485AD4" w:rsidR="00FA2119" w:rsidRDefault="003B1E8A" w:rsidP="00FA2119">
      <w:pPr>
        <w:ind w:left="360"/>
        <w:rPr>
          <w:rFonts w:cs="Arial"/>
          <w:u w:val="dotted"/>
        </w:rPr>
      </w:pPr>
      <w:r>
        <w:rPr>
          <w:rFonts w:cs="Arial" w:hint="cs"/>
          <w:u w:val="dotted"/>
          <w:rtl/>
        </w:rPr>
        <w:t>מצאו לאחר</w:t>
      </w:r>
      <w:r w:rsidR="00163D97">
        <w:rPr>
          <w:rFonts w:cs="Arial" w:hint="cs"/>
          <w:u w:val="dotted"/>
          <w:rtl/>
        </w:rPr>
        <w:t xml:space="preserve"> זמן</w:t>
      </w:r>
      <w:r w:rsidR="00FA2119">
        <w:rPr>
          <w:rFonts w:cs="Arial"/>
          <w:u w:val="dotted"/>
          <w:rtl/>
        </w:rPr>
        <w:t>:</w:t>
      </w:r>
    </w:p>
    <w:p w14:paraId="5886EEE0" w14:textId="5D489B6E" w:rsidR="00FA2119" w:rsidRDefault="00FA2119" w:rsidP="006A458D">
      <w:pPr>
        <w:pStyle w:val="ab"/>
        <w:numPr>
          <w:ilvl w:val="0"/>
          <w:numId w:val="91"/>
        </w:numPr>
        <w:rPr>
          <w:rFonts w:cs="Arial"/>
        </w:rPr>
      </w:pPr>
      <w:r>
        <w:rPr>
          <w:rFonts w:cs="Arial"/>
          <w:rtl/>
        </w:rPr>
        <w:t xml:space="preserve">בה"ג </w:t>
      </w:r>
      <w:r>
        <w:rPr>
          <w:rFonts w:cs="Arial"/>
          <w:sz w:val="16"/>
          <w:szCs w:val="16"/>
          <w:rtl/>
        </w:rPr>
        <w:t>(סי' לט דף עח ע"ד, כ"כ בשמו רשב"א [שם] ור"ן [יד.])</w:t>
      </w:r>
      <w:r>
        <w:rPr>
          <w:rFonts w:cs="Arial"/>
          <w:rtl/>
        </w:rPr>
        <w:t xml:space="preserve"> ר"ח</w:t>
      </w:r>
      <w:r>
        <w:rPr>
          <w:rFonts w:cs="Arial"/>
          <w:sz w:val="16"/>
          <w:szCs w:val="16"/>
          <w:rtl/>
        </w:rPr>
        <w:t xml:space="preserve"> (כ"כ בשמו רשב"א ור"ן)</w:t>
      </w:r>
      <w:r>
        <w:rPr>
          <w:rFonts w:cs="Arial"/>
          <w:rtl/>
        </w:rPr>
        <w:t xml:space="preserve"> ורמב"ם </w:t>
      </w:r>
      <w:r>
        <w:rPr>
          <w:rFonts w:cs="Arial"/>
          <w:sz w:val="16"/>
          <w:szCs w:val="16"/>
          <w:rtl/>
        </w:rPr>
        <w:t>(פ"ג ה"י)</w:t>
      </w:r>
      <w:r w:rsidR="00A82951">
        <w:rPr>
          <w:rFonts w:cs="Arial"/>
          <w:rtl/>
        </w:rPr>
        <w:t>-</w:t>
      </w:r>
      <w:r>
        <w:rPr>
          <w:rFonts w:cs="Arial"/>
          <w:rtl/>
        </w:rPr>
        <w:t xml:space="preserve"> הוחזק באותו המקום איש אחר ששמו כשם שבגט, חוששים שמא גט זה הנמצא של אותו האיש האחר הוא הואיל ועבר</w:t>
      </w:r>
      <w:r>
        <w:rPr>
          <w:rStyle w:val="a7"/>
          <w:rFonts w:cs="Arial"/>
          <w:rtl/>
        </w:rPr>
        <w:footnoteReference w:id="1433"/>
      </w:r>
      <w:r>
        <w:rPr>
          <w:rFonts w:cs="Arial"/>
          <w:rtl/>
        </w:rPr>
        <w:t xml:space="preserve"> אדם שם ואע"פ שלא שהה</w:t>
      </w:r>
      <w:r w:rsidR="00283A08">
        <w:rPr>
          <w:rFonts w:cs="Arial" w:hint="cs"/>
          <w:rtl/>
        </w:rPr>
        <w:t>,</w:t>
      </w:r>
      <w:r>
        <w:rPr>
          <w:rFonts w:cs="Arial"/>
          <w:rtl/>
        </w:rPr>
        <w:t xml:space="preserve"> ואם נתגרשה בו </w:t>
      </w:r>
      <w:r w:rsidR="00A82951">
        <w:rPr>
          <w:rFonts w:cs="Arial"/>
          <w:rtl/>
        </w:rPr>
        <w:t>-</w:t>
      </w:r>
      <w:r>
        <w:rPr>
          <w:rFonts w:cs="Arial"/>
          <w:rtl/>
        </w:rPr>
        <w:t xml:space="preserve"> הרי זו ספק מגורשת. אבל אם לא עבר אדם שם </w:t>
      </w:r>
      <w:r w:rsidR="00A82951">
        <w:rPr>
          <w:rFonts w:cs="Arial"/>
          <w:rtl/>
        </w:rPr>
        <w:t>-</w:t>
      </w:r>
      <w:r>
        <w:rPr>
          <w:rFonts w:cs="Arial"/>
          <w:rtl/>
        </w:rPr>
        <w:t xml:space="preserve"> הרי זה בחזקתו אע"פ שהוחזקו שם שנים ששמותיהן שוין</w:t>
      </w:r>
      <w:r>
        <w:rPr>
          <w:rFonts w:cs="Arial"/>
          <w:sz w:val="16"/>
          <w:szCs w:val="16"/>
          <w:rtl/>
        </w:rPr>
        <w:t xml:space="preserve"> (ל' הרמב"ם)</w:t>
      </w:r>
      <w:r>
        <w:rPr>
          <w:rFonts w:cs="Arial"/>
          <w:rtl/>
        </w:rPr>
        <w:t xml:space="preserve">. </w:t>
      </w:r>
    </w:p>
    <w:p w14:paraId="4B86F272" w14:textId="0905535F" w:rsidR="00FA2119" w:rsidRDefault="00FA2119" w:rsidP="006A458D">
      <w:pPr>
        <w:pStyle w:val="ab"/>
        <w:numPr>
          <w:ilvl w:val="0"/>
          <w:numId w:val="91"/>
        </w:numPr>
        <w:rPr>
          <w:rFonts w:cs="Arial"/>
        </w:rPr>
      </w:pPr>
      <w:r>
        <w:rPr>
          <w:rFonts w:cs="Arial"/>
          <w:rtl/>
        </w:rPr>
        <w:t xml:space="preserve">רי"ף </w:t>
      </w:r>
      <w:r>
        <w:rPr>
          <w:rFonts w:cs="Arial"/>
          <w:sz w:val="16"/>
          <w:szCs w:val="16"/>
          <w:rtl/>
        </w:rPr>
        <w:t>(ב"מ פ"ק י:, ובגיטין פ' כל הגט יג:)</w:t>
      </w:r>
      <w:r>
        <w:rPr>
          <w:rFonts w:cs="Arial"/>
          <w:rtl/>
        </w:rPr>
        <w:t xml:space="preserve"> רא"ש </w:t>
      </w:r>
      <w:r>
        <w:rPr>
          <w:rFonts w:cs="Arial"/>
          <w:sz w:val="16"/>
          <w:szCs w:val="16"/>
          <w:rtl/>
        </w:rPr>
        <w:t>(ב"מ פ"א סי' מה, כ"כ הב"י בשמו)</w:t>
      </w:r>
      <w:r>
        <w:rPr>
          <w:rFonts w:cs="Arial"/>
          <w:rtl/>
        </w:rPr>
        <w:t xml:space="preserve"> וטור</w:t>
      </w:r>
      <w:r w:rsidR="00A82951">
        <w:rPr>
          <w:rFonts w:cs="Arial"/>
          <w:rtl/>
        </w:rPr>
        <w:t>-</w:t>
      </w:r>
      <w:r>
        <w:rPr>
          <w:rFonts w:cs="Arial"/>
          <w:rtl/>
        </w:rPr>
        <w:t xml:space="preserve"> כיון דלא איפסיקא הלכתא בהא מילתא בהדיא עבדינן בה לחומרא</w:t>
      </w:r>
      <w:r>
        <w:rPr>
          <w:rStyle w:val="a7"/>
          <w:rFonts w:cs="Arial"/>
          <w:rtl/>
        </w:rPr>
        <w:footnoteReference w:id="1434"/>
      </w:r>
      <w:r>
        <w:rPr>
          <w:rFonts w:cs="Arial"/>
          <w:rtl/>
        </w:rPr>
        <w:t xml:space="preserve"> ולא מהדרינן גט לזמן מרובה אלא במקום שאין השיירות מצויות. אבל במקום שהשיירות מצויות </w:t>
      </w:r>
      <w:r w:rsidR="00A82951">
        <w:rPr>
          <w:rFonts w:cs="Arial"/>
          <w:rtl/>
        </w:rPr>
        <w:t>-</w:t>
      </w:r>
      <w:r>
        <w:rPr>
          <w:rFonts w:cs="Arial"/>
          <w:rtl/>
        </w:rPr>
        <w:t xml:space="preserve"> לא מהדרינן אע"פ שלא הוחזקו שני יוסף בן שמעון באותה העיר</w:t>
      </w:r>
      <w:r>
        <w:rPr>
          <w:rStyle w:val="a7"/>
          <w:rFonts w:cs="Arial"/>
          <w:rtl/>
        </w:rPr>
        <w:footnoteReference w:id="1435"/>
      </w:r>
      <w:r>
        <w:rPr>
          <w:rFonts w:cs="Arial"/>
          <w:sz w:val="16"/>
          <w:szCs w:val="16"/>
          <w:rtl/>
        </w:rPr>
        <w:t xml:space="preserve"> (ל' הרי"ף בב"מ)</w:t>
      </w:r>
      <w:r>
        <w:rPr>
          <w:rStyle w:val="a7"/>
          <w:rFonts w:cs="Arial"/>
          <w:rtl/>
        </w:rPr>
        <w:footnoteReference w:id="1436"/>
      </w:r>
      <w:r>
        <w:rPr>
          <w:rFonts w:cs="Arial"/>
          <w:rtl/>
        </w:rPr>
        <w:t xml:space="preserve">. </w:t>
      </w:r>
      <w:r>
        <w:rPr>
          <w:rFonts w:cs="Arial"/>
          <w:color w:val="E36C0A" w:themeColor="accent6" w:themeShade="BF"/>
          <w:rtl/>
        </w:rPr>
        <w:t>(וכ"פ בשו"ע)</w:t>
      </w:r>
    </w:p>
    <w:p w14:paraId="130FEEE9" w14:textId="77777777" w:rsidR="00FA2119" w:rsidRDefault="00FA2119" w:rsidP="00FA2119">
      <w:pPr>
        <w:ind w:left="360"/>
        <w:rPr>
          <w:rFonts w:cs="Arial"/>
          <w:u w:val="dotted"/>
        </w:rPr>
      </w:pPr>
      <w:r>
        <w:rPr>
          <w:rFonts w:cs="Arial"/>
          <w:u w:val="dotted"/>
          <w:rtl/>
        </w:rPr>
        <w:t>מצא את הגט בכלי שבו הוא היה:</w:t>
      </w:r>
    </w:p>
    <w:p w14:paraId="654D1EE8" w14:textId="3D7A3A3F" w:rsidR="00FA2119" w:rsidRDefault="00FA2119" w:rsidP="006A458D">
      <w:pPr>
        <w:pStyle w:val="ab"/>
        <w:numPr>
          <w:ilvl w:val="0"/>
          <w:numId w:val="91"/>
        </w:numPr>
        <w:rPr>
          <w:rFonts w:cs="Arial"/>
        </w:rPr>
      </w:pPr>
      <w:r>
        <w:rPr>
          <w:rFonts w:cs="Arial"/>
          <w:rtl/>
        </w:rPr>
        <w:t xml:space="preserve">רמב"ם </w:t>
      </w:r>
      <w:r>
        <w:rPr>
          <w:rFonts w:cs="Arial"/>
          <w:sz w:val="16"/>
          <w:szCs w:val="16"/>
          <w:rtl/>
        </w:rPr>
        <w:t>(פ"ג ה"ט)</w:t>
      </w:r>
      <w:r>
        <w:rPr>
          <w:rStyle w:val="a7"/>
          <w:rFonts w:cs="Arial"/>
          <w:rtl/>
        </w:rPr>
        <w:footnoteReference w:id="1437"/>
      </w:r>
      <w:r w:rsidR="00A82951">
        <w:rPr>
          <w:rFonts w:cs="Arial"/>
          <w:rtl/>
        </w:rPr>
        <w:t>-</w:t>
      </w:r>
      <w:r>
        <w:rPr>
          <w:rFonts w:cs="Arial"/>
          <w:rtl/>
        </w:rPr>
        <w:t xml:space="preserve"> מצאו בכלי שהניחו בו ויש</w:t>
      </w:r>
      <w:r>
        <w:rPr>
          <w:rStyle w:val="a7"/>
          <w:rFonts w:cs="Arial"/>
          <w:rtl/>
        </w:rPr>
        <w:footnoteReference w:id="1438"/>
      </w:r>
      <w:r>
        <w:rPr>
          <w:rFonts w:cs="Arial"/>
          <w:rtl/>
        </w:rPr>
        <w:t xml:space="preserve"> לו טביעות עין בארכו ורחבו של גט כשהיה כרוך </w:t>
      </w:r>
      <w:r w:rsidR="00A82951">
        <w:rPr>
          <w:rFonts w:cs="Arial"/>
          <w:rtl/>
        </w:rPr>
        <w:t>-</w:t>
      </w:r>
      <w:r>
        <w:rPr>
          <w:rFonts w:cs="Arial"/>
          <w:rtl/>
        </w:rPr>
        <w:t xml:space="preserve"> הרי הוא בחזקתו ותתגרש בו. </w:t>
      </w:r>
    </w:p>
    <w:p w14:paraId="5AA7A84F" w14:textId="30B3628D" w:rsidR="00FA2119" w:rsidRDefault="00FA2119" w:rsidP="006A458D">
      <w:pPr>
        <w:pStyle w:val="ab"/>
        <w:numPr>
          <w:ilvl w:val="0"/>
          <w:numId w:val="91"/>
        </w:numPr>
        <w:rPr>
          <w:rFonts w:cs="Arial"/>
        </w:rPr>
      </w:pPr>
      <w:r>
        <w:rPr>
          <w:rFonts w:cs="Arial"/>
          <w:rtl/>
        </w:rPr>
        <w:t xml:space="preserve">רש"י </w:t>
      </w:r>
      <w:r>
        <w:rPr>
          <w:rFonts w:cs="Arial"/>
          <w:sz w:val="16"/>
          <w:szCs w:val="16"/>
          <w:rtl/>
        </w:rPr>
        <w:t xml:space="preserve">(כז. ד"ה אם) </w:t>
      </w:r>
      <w:r>
        <w:rPr>
          <w:rFonts w:cs="Arial"/>
          <w:rtl/>
        </w:rPr>
        <w:t xml:space="preserve">תוס' </w:t>
      </w:r>
      <w:r>
        <w:rPr>
          <w:rFonts w:cs="Arial"/>
          <w:sz w:val="16"/>
          <w:szCs w:val="16"/>
          <w:rtl/>
        </w:rPr>
        <w:t xml:space="preserve">(כח. ד"ה מצאו) </w:t>
      </w:r>
      <w:r>
        <w:rPr>
          <w:rFonts w:cs="Arial"/>
          <w:rtl/>
        </w:rPr>
        <w:t xml:space="preserve">רשב"א </w:t>
      </w:r>
      <w:r>
        <w:rPr>
          <w:rFonts w:cs="Arial"/>
          <w:sz w:val="16"/>
          <w:szCs w:val="16"/>
          <w:rtl/>
        </w:rPr>
        <w:t xml:space="preserve">(כז. ד"ה מתני') </w:t>
      </w:r>
      <w:r>
        <w:rPr>
          <w:rFonts w:cs="Arial"/>
          <w:rtl/>
        </w:rPr>
        <w:t xml:space="preserve">מרדכי </w:t>
      </w:r>
      <w:r>
        <w:rPr>
          <w:rFonts w:cs="Arial"/>
          <w:sz w:val="16"/>
          <w:szCs w:val="16"/>
          <w:rtl/>
        </w:rPr>
        <w:t xml:space="preserve">(סי' שנח) </w:t>
      </w:r>
      <w:r>
        <w:rPr>
          <w:rFonts w:cs="Arial"/>
          <w:rtl/>
        </w:rPr>
        <w:t xml:space="preserve">רא"ש </w:t>
      </w:r>
      <w:r>
        <w:rPr>
          <w:rFonts w:cs="Arial"/>
          <w:sz w:val="16"/>
          <w:szCs w:val="16"/>
          <w:rtl/>
        </w:rPr>
        <w:t>(סי' ג)</w:t>
      </w:r>
      <w:r>
        <w:rPr>
          <w:rFonts w:cs="Arial"/>
          <w:rtl/>
        </w:rPr>
        <w:t xml:space="preserve"> טור ור"ן </w:t>
      </w:r>
      <w:r>
        <w:rPr>
          <w:rFonts w:cs="Arial"/>
          <w:sz w:val="16"/>
          <w:szCs w:val="16"/>
          <w:rtl/>
        </w:rPr>
        <w:t>(יג:)</w:t>
      </w:r>
      <w:r w:rsidR="00A82951">
        <w:rPr>
          <w:rFonts w:cs="Arial"/>
          <w:rtl/>
        </w:rPr>
        <w:t>-</w:t>
      </w:r>
      <w:r>
        <w:rPr>
          <w:rFonts w:cs="Arial"/>
          <w:rtl/>
        </w:rPr>
        <w:t xml:space="preserve"> מצאו בחפיסא ויש לו סימן בה, או שמכירו לגט</w:t>
      </w:r>
      <w:r>
        <w:rPr>
          <w:rStyle w:val="a7"/>
          <w:rFonts w:cs="Arial"/>
          <w:rtl/>
        </w:rPr>
        <w:footnoteReference w:id="1439"/>
      </w:r>
      <w:r>
        <w:rPr>
          <w:rFonts w:cs="Arial"/>
          <w:rtl/>
        </w:rPr>
        <w:t xml:space="preserve"> בטביעות עינא</w:t>
      </w:r>
      <w:r>
        <w:rPr>
          <w:rStyle w:val="a7"/>
          <w:rFonts w:cs="Arial"/>
          <w:rtl/>
        </w:rPr>
        <w:footnoteReference w:id="1440"/>
      </w:r>
      <w:r>
        <w:rPr>
          <w:rFonts w:cs="Arial"/>
          <w:rtl/>
        </w:rPr>
        <w:t xml:space="preserve"> </w:t>
      </w:r>
      <w:r w:rsidR="00A82951">
        <w:rPr>
          <w:rFonts w:cs="Arial"/>
          <w:rtl/>
        </w:rPr>
        <w:t>-</w:t>
      </w:r>
      <w:r>
        <w:rPr>
          <w:rFonts w:cs="Arial"/>
          <w:rtl/>
        </w:rPr>
        <w:t xml:space="preserve"> כשר</w:t>
      </w:r>
      <w:r>
        <w:rPr>
          <w:rStyle w:val="a7"/>
          <w:rFonts w:cs="Arial"/>
          <w:rtl/>
        </w:rPr>
        <w:footnoteReference w:id="1441"/>
      </w:r>
      <w:r>
        <w:rPr>
          <w:rFonts w:cs="Arial"/>
          <w:sz w:val="16"/>
          <w:szCs w:val="16"/>
          <w:rtl/>
        </w:rPr>
        <w:t xml:space="preserve"> (ל' הר"ן)</w:t>
      </w:r>
      <w:r>
        <w:rPr>
          <w:rFonts w:cs="Arial"/>
          <w:rtl/>
        </w:rPr>
        <w:t>.</w:t>
      </w:r>
      <w:r>
        <w:rPr>
          <w:rFonts w:cs="Arial"/>
          <w:color w:val="E36C0A" w:themeColor="accent6" w:themeShade="BF"/>
          <w:rtl/>
        </w:rPr>
        <w:t xml:space="preserve"> (וכ"פ בשו"ע)</w:t>
      </w:r>
    </w:p>
    <w:p w14:paraId="6CF0CC77" w14:textId="77777777" w:rsidR="00FA2119" w:rsidRDefault="00FA2119" w:rsidP="00FA2119">
      <w:pPr>
        <w:ind w:left="360"/>
        <w:rPr>
          <w:rFonts w:cs="Arial"/>
          <w:u w:val="dotted"/>
        </w:rPr>
      </w:pPr>
      <w:r>
        <w:rPr>
          <w:rFonts w:cs="Arial"/>
          <w:u w:val="dotted"/>
          <w:rtl/>
        </w:rPr>
        <w:t>העדים נותנים סימן, או שאומרים שלא חתמו מעולם על גט עם שמות אלו חוץ מהגט הזה:</w:t>
      </w:r>
    </w:p>
    <w:p w14:paraId="6CE0F567" w14:textId="58950990" w:rsidR="00FA2119" w:rsidRDefault="00FA2119" w:rsidP="006A458D">
      <w:pPr>
        <w:pStyle w:val="ab"/>
        <w:numPr>
          <w:ilvl w:val="0"/>
          <w:numId w:val="91"/>
        </w:numPr>
        <w:rPr>
          <w:rFonts w:cs="Arial"/>
        </w:rPr>
      </w:pPr>
      <w:r>
        <w:rPr>
          <w:rFonts w:cs="Arial"/>
          <w:rtl/>
        </w:rPr>
        <w:lastRenderedPageBreak/>
        <w:t xml:space="preserve">רמב"ם </w:t>
      </w:r>
      <w:r>
        <w:rPr>
          <w:rFonts w:cs="Arial"/>
          <w:sz w:val="16"/>
          <w:szCs w:val="16"/>
          <w:rtl/>
        </w:rPr>
        <w:t>(פ"ג הי"א)</w:t>
      </w:r>
      <w:r w:rsidR="00A82951">
        <w:rPr>
          <w:rFonts w:cs="Arial"/>
          <w:rtl/>
        </w:rPr>
        <w:t>-</w:t>
      </w:r>
      <w:r>
        <w:rPr>
          <w:rFonts w:cs="Arial"/>
          <w:rtl/>
        </w:rPr>
        <w:t xml:space="preserve"> היה לעדים</w:t>
      </w:r>
      <w:r>
        <w:rPr>
          <w:rStyle w:val="a7"/>
          <w:rFonts w:cs="Arial"/>
          <w:rtl/>
        </w:rPr>
        <w:footnoteReference w:id="1442"/>
      </w:r>
      <w:r>
        <w:rPr>
          <w:rFonts w:cs="Arial"/>
          <w:rtl/>
        </w:rPr>
        <w:t xml:space="preserve"> בגט סימן מובהק כגון שאמרו נקב יש בו בצד אות פלונית, או שאמרו מעולם לא חתמנו אלא על גט אחד שיש בו שמות כשמות אלו </w:t>
      </w:r>
      <w:r w:rsidR="00366CED">
        <w:rPr>
          <w:rFonts w:cs="Arial" w:hint="cs"/>
          <w:rtl/>
        </w:rPr>
        <w:t xml:space="preserve">- </w:t>
      </w:r>
      <w:r>
        <w:rPr>
          <w:rFonts w:cs="Arial"/>
          <w:rtl/>
        </w:rPr>
        <w:t>הרי זה בחזקתו ותתגרש בו ואע</w:t>
      </w:r>
      <w:r w:rsidR="00366CED">
        <w:rPr>
          <w:rFonts w:cs="Arial" w:hint="cs"/>
          <w:rtl/>
        </w:rPr>
        <w:t>"</w:t>
      </w:r>
      <w:r>
        <w:rPr>
          <w:rFonts w:cs="Arial"/>
          <w:rtl/>
        </w:rPr>
        <w:t xml:space="preserve">פ שמצאו אחר זמן מרובה ובמקום שהשיירות מצויות והוחזקו שם שנים ששמותיהן שוין. </w:t>
      </w:r>
    </w:p>
    <w:p w14:paraId="0D335A25" w14:textId="66CE8938" w:rsidR="00FA2119" w:rsidRDefault="00FA2119" w:rsidP="006A458D">
      <w:pPr>
        <w:pStyle w:val="ab"/>
        <w:numPr>
          <w:ilvl w:val="0"/>
          <w:numId w:val="91"/>
        </w:numPr>
        <w:rPr>
          <w:rFonts w:cs="Arial"/>
        </w:rPr>
      </w:pPr>
      <w:r>
        <w:rPr>
          <w:rFonts w:cs="Arial"/>
          <w:rtl/>
        </w:rPr>
        <w:t xml:space="preserve">רי"ף </w:t>
      </w:r>
      <w:r>
        <w:rPr>
          <w:rFonts w:cs="Arial"/>
          <w:sz w:val="16"/>
          <w:szCs w:val="16"/>
          <w:rtl/>
        </w:rPr>
        <w:t>(גיטין יג:</w:t>
      </w:r>
      <w:r w:rsidR="00A82951">
        <w:rPr>
          <w:rFonts w:cs="Arial"/>
          <w:sz w:val="16"/>
          <w:szCs w:val="16"/>
          <w:rtl/>
        </w:rPr>
        <w:t>-</w:t>
      </w:r>
      <w:r>
        <w:rPr>
          <w:rFonts w:cs="Arial"/>
          <w:sz w:val="16"/>
          <w:szCs w:val="16"/>
          <w:rtl/>
        </w:rPr>
        <w:t>יד.)</w:t>
      </w:r>
      <w:r>
        <w:rPr>
          <w:rFonts w:cs="Arial"/>
          <w:rtl/>
        </w:rPr>
        <w:t xml:space="preserve"> רא"ש </w:t>
      </w:r>
      <w:r>
        <w:rPr>
          <w:rFonts w:cs="Arial"/>
          <w:sz w:val="16"/>
          <w:szCs w:val="16"/>
          <w:rtl/>
        </w:rPr>
        <w:t>(גיטין פ"ג ס"ג)</w:t>
      </w:r>
      <w:r>
        <w:rPr>
          <w:rFonts w:cs="Arial"/>
          <w:rtl/>
        </w:rPr>
        <w:t xml:space="preserve"> וטור</w:t>
      </w:r>
      <w:r w:rsidR="00A82951">
        <w:rPr>
          <w:rFonts w:cs="Arial"/>
          <w:rtl/>
        </w:rPr>
        <w:t>-</w:t>
      </w:r>
      <w:r>
        <w:rPr>
          <w:rFonts w:cs="Arial"/>
          <w:rtl/>
        </w:rPr>
        <w:t xml:space="preserve"> לא מהדרינן גט לזמן מרובה במקום שהשיירות מצויות אלא כגון דאמרי עדים מעולם לא חתמנו אלא על גט אחד של יוסף בן שמעון</w:t>
      </w:r>
      <w:r>
        <w:rPr>
          <w:rStyle w:val="a7"/>
          <w:rFonts w:cs="Arial"/>
          <w:rtl/>
        </w:rPr>
        <w:footnoteReference w:id="1443"/>
      </w:r>
      <w:r>
        <w:rPr>
          <w:rFonts w:cs="Arial"/>
          <w:rtl/>
        </w:rPr>
        <w:t>, דהא מלתא לית בה ספיקא. אי נמי כדאמרי נקב</w:t>
      </w:r>
      <w:r>
        <w:rPr>
          <w:rtl/>
        </w:rPr>
        <w:t xml:space="preserve"> </w:t>
      </w:r>
      <w:r>
        <w:rPr>
          <w:rFonts w:cs="Arial"/>
          <w:rtl/>
        </w:rPr>
        <w:t>יש בו בצד אות פלונית, דהוה ליה סימן מובהק, כרב אשי, אבל נקב בעלמא לא</w:t>
      </w:r>
      <w:r>
        <w:rPr>
          <w:rStyle w:val="a7"/>
          <w:rFonts w:cs="Arial"/>
          <w:rtl/>
        </w:rPr>
        <w:footnoteReference w:id="1444"/>
      </w:r>
      <w:r>
        <w:rPr>
          <w:rFonts w:cs="Arial"/>
          <w:sz w:val="16"/>
          <w:szCs w:val="16"/>
          <w:rtl/>
        </w:rPr>
        <w:t xml:space="preserve"> (ל' הרי"ף)</w:t>
      </w:r>
      <w:r>
        <w:rPr>
          <w:rFonts w:cs="Arial"/>
          <w:rtl/>
        </w:rPr>
        <w:t>.</w:t>
      </w:r>
      <w:r>
        <w:rPr>
          <w:rFonts w:cs="Arial"/>
          <w:color w:val="E36C0A" w:themeColor="accent6" w:themeShade="BF"/>
          <w:rtl/>
        </w:rPr>
        <w:t xml:space="preserve"> (וכ"פ בשו"ע)</w:t>
      </w:r>
    </w:p>
    <w:p w14:paraId="0615FC4F" w14:textId="078C82DD" w:rsidR="00FA2119" w:rsidRDefault="00FA2119" w:rsidP="00FA2119">
      <w:pPr>
        <w:ind w:left="720"/>
        <w:rPr>
          <w:rFonts w:cs="Arial"/>
          <w:u w:val="wave"/>
        </w:rPr>
      </w:pPr>
      <w:r>
        <w:rPr>
          <w:rFonts w:cs="Arial"/>
          <w:u w:val="wave"/>
          <w:rtl/>
        </w:rPr>
        <w:t xml:space="preserve">כשהעדים אומרים שחתמו רק על גט אחד כזה </w:t>
      </w:r>
      <w:r w:rsidR="00A82951">
        <w:rPr>
          <w:rFonts w:cs="Arial"/>
          <w:u w:val="wave"/>
          <w:rtl/>
        </w:rPr>
        <w:t>-</w:t>
      </w:r>
      <w:r>
        <w:rPr>
          <w:rFonts w:cs="Arial"/>
          <w:u w:val="wave"/>
          <w:rtl/>
        </w:rPr>
        <w:t xml:space="preserve"> מה הדין אם אינם מעידים בפירוש שזוהי חתימת ידם:</w:t>
      </w:r>
    </w:p>
    <w:p w14:paraId="147D2563" w14:textId="0F46B017" w:rsidR="00FA2119" w:rsidRDefault="00FA2119" w:rsidP="006A458D">
      <w:pPr>
        <w:pStyle w:val="ab"/>
        <w:numPr>
          <w:ilvl w:val="0"/>
          <w:numId w:val="90"/>
        </w:numPr>
      </w:pPr>
      <w:r>
        <w:rPr>
          <w:rFonts w:cs="Arial"/>
          <w:rtl/>
        </w:rPr>
        <w:t>רמ"ה</w:t>
      </w:r>
      <w:r>
        <w:rPr>
          <w:rFonts w:cs="Arial"/>
          <w:sz w:val="16"/>
          <w:szCs w:val="16"/>
          <w:rtl/>
        </w:rPr>
        <w:t xml:space="preserve"> (כ"כ הטור בשמו)</w:t>
      </w:r>
      <w:r w:rsidR="00A82951">
        <w:rPr>
          <w:rFonts w:cs="Arial"/>
          <w:rtl/>
        </w:rPr>
        <w:t>-</w:t>
      </w:r>
      <w:r>
        <w:rPr>
          <w:rFonts w:cs="Arial"/>
          <w:rtl/>
        </w:rPr>
        <w:t xml:space="preserve"> אע"ג שאינן מעידים בפירוש שזהו חתימת ידם, כגון שאין הגט עתה בפנינו </w:t>
      </w:r>
      <w:r w:rsidR="00A82951">
        <w:rPr>
          <w:rFonts w:cs="Arial"/>
          <w:rtl/>
        </w:rPr>
        <w:t>-</w:t>
      </w:r>
      <w:r>
        <w:rPr>
          <w:rFonts w:cs="Arial"/>
          <w:rtl/>
        </w:rPr>
        <w:t xml:space="preserve"> אפילו הכי כשר. וכגון דלא איתחזק דאיכא עדים אחרים ששמם כשמם של אלו. אבל אם יש עדים אחרים ששמם כשם אלו </w:t>
      </w:r>
      <w:r w:rsidR="00A82951">
        <w:rPr>
          <w:rFonts w:cs="Arial"/>
          <w:rtl/>
        </w:rPr>
        <w:t>-</w:t>
      </w:r>
      <w:r>
        <w:rPr>
          <w:rFonts w:cs="Arial"/>
          <w:rtl/>
        </w:rPr>
        <w:t xml:space="preserve"> אינו כשר עד שיעידו שזהו חתימת ידם</w:t>
      </w:r>
      <w:r>
        <w:rPr>
          <w:rStyle w:val="a7"/>
          <w:rFonts w:cs="Arial"/>
          <w:rtl/>
        </w:rPr>
        <w:footnoteReference w:id="1445"/>
      </w:r>
      <w:r>
        <w:rPr>
          <w:rFonts w:cs="Arial"/>
          <w:rtl/>
        </w:rPr>
        <w:t xml:space="preserve">. </w:t>
      </w:r>
      <w:r>
        <w:rPr>
          <w:rFonts w:cs="Arial"/>
          <w:color w:val="E36C0A" w:themeColor="accent6" w:themeShade="BF"/>
          <w:rtl/>
        </w:rPr>
        <w:t>(וכ"פ בשו"ע)</w:t>
      </w:r>
    </w:p>
    <w:p w14:paraId="201013C5" w14:textId="1007D6B0" w:rsidR="00FA2119" w:rsidRDefault="00FA2119" w:rsidP="00FA2119">
      <w:pPr>
        <w:ind w:left="720"/>
        <w:rPr>
          <w:u w:val="wave"/>
        </w:rPr>
      </w:pPr>
      <w:r>
        <w:rPr>
          <w:u w:val="wave"/>
          <w:rtl/>
        </w:rPr>
        <w:t xml:space="preserve">כשהעדים נותנים סימן </w:t>
      </w:r>
      <w:r w:rsidR="00A82951">
        <w:rPr>
          <w:u w:val="wave"/>
          <w:rtl/>
        </w:rPr>
        <w:t>-</w:t>
      </w:r>
      <w:r>
        <w:rPr>
          <w:u w:val="wave"/>
          <w:rtl/>
        </w:rPr>
        <w:t xml:space="preserve"> האם מועיל אם ראו את הגט הגט קודם ורק אח"כ נתנו סימן:</w:t>
      </w:r>
    </w:p>
    <w:p w14:paraId="23D32703" w14:textId="000F283B" w:rsidR="00FA2119" w:rsidRDefault="00FA2119" w:rsidP="006A458D">
      <w:pPr>
        <w:pStyle w:val="ab"/>
        <w:numPr>
          <w:ilvl w:val="0"/>
          <w:numId w:val="90"/>
        </w:numPr>
      </w:pPr>
      <w:r>
        <w:rPr>
          <w:rFonts w:cs="Arial"/>
          <w:rtl/>
        </w:rPr>
        <w:t>טור</w:t>
      </w:r>
      <w:r w:rsidR="00A82951">
        <w:rPr>
          <w:rFonts w:cs="Arial"/>
          <w:rtl/>
        </w:rPr>
        <w:t>-</w:t>
      </w:r>
      <w:r>
        <w:rPr>
          <w:rFonts w:cs="Arial"/>
          <w:rtl/>
        </w:rPr>
        <w:t xml:space="preserve"> כשר אפי' אינם אומרים הסימן עד אחר שיראו אותו</w:t>
      </w:r>
      <w:r>
        <w:rPr>
          <w:rStyle w:val="a7"/>
          <w:rFonts w:cs="Arial"/>
          <w:rtl/>
        </w:rPr>
        <w:footnoteReference w:id="1446"/>
      </w:r>
      <w:r>
        <w:rPr>
          <w:rFonts w:cs="Arial"/>
          <w:rtl/>
        </w:rPr>
        <w:t xml:space="preserve">. ואם התובעו אומר הסימן </w:t>
      </w:r>
      <w:r w:rsidR="00A82951">
        <w:rPr>
          <w:rFonts w:cs="Arial"/>
          <w:rtl/>
        </w:rPr>
        <w:t>-</w:t>
      </w:r>
      <w:r>
        <w:rPr>
          <w:rFonts w:cs="Arial"/>
          <w:rtl/>
        </w:rPr>
        <w:t xml:space="preserve"> אינו מועיל אא"כ יאמר אותו קודם שיראה הגט. אבל בטביעות עין אין מחזירין אותו לתובעו, שאין מועיל טביעת עין להכשירו אלא כשמוצאו אותו בעצמו שאבד לו</w:t>
      </w:r>
      <w:r>
        <w:rPr>
          <w:rStyle w:val="a7"/>
          <w:rFonts w:cs="Arial"/>
          <w:rtl/>
        </w:rPr>
        <w:footnoteReference w:id="1447"/>
      </w:r>
      <w:r>
        <w:rPr>
          <w:rFonts w:cs="Arial"/>
          <w:rtl/>
        </w:rPr>
        <w:t xml:space="preserve">. </w:t>
      </w:r>
      <w:r>
        <w:rPr>
          <w:rFonts w:cs="Arial"/>
          <w:color w:val="E36C0A" w:themeColor="accent6" w:themeShade="BF"/>
          <w:rtl/>
        </w:rPr>
        <w:t>(וכ"פ בשו"ע)</w:t>
      </w:r>
    </w:p>
    <w:p w14:paraId="768C6BA3" w14:textId="77777777" w:rsidR="00FA2119" w:rsidRDefault="00FA2119" w:rsidP="00FA2119">
      <w:r>
        <w:rPr>
          <w:u w:val="single"/>
          <w:rtl/>
        </w:rPr>
        <w:t>גט שנאבד ונמצא ומוזכר בו שם העיר:</w:t>
      </w:r>
      <w:r>
        <w:rPr>
          <w:rFonts w:cs="Arial"/>
          <w:sz w:val="16"/>
          <w:szCs w:val="16"/>
          <w:rtl/>
        </w:rPr>
        <w:t xml:space="preserve"> (דרכ"מ אות א)</w:t>
      </w:r>
      <w:r>
        <w:rPr>
          <w:rtl/>
        </w:rPr>
        <w:t xml:space="preserve"> </w:t>
      </w:r>
    </w:p>
    <w:p w14:paraId="040A4C59" w14:textId="0D071FA6" w:rsidR="00FA2119" w:rsidRDefault="00FA2119" w:rsidP="006A458D">
      <w:pPr>
        <w:pStyle w:val="ab"/>
        <w:numPr>
          <w:ilvl w:val="0"/>
          <w:numId w:val="90"/>
        </w:numPr>
      </w:pPr>
      <w:r>
        <w:rPr>
          <w:rFonts w:cs="Arial"/>
          <w:rtl/>
        </w:rPr>
        <w:t xml:space="preserve">רא"ש </w:t>
      </w:r>
      <w:r>
        <w:rPr>
          <w:rFonts w:cs="Arial"/>
          <w:sz w:val="16"/>
          <w:szCs w:val="16"/>
          <w:rtl/>
        </w:rPr>
        <w:t>(כלל מה סי' כא)</w:t>
      </w:r>
      <w:r w:rsidR="00A82951">
        <w:rPr>
          <w:rFonts w:cs="Arial"/>
          <w:rtl/>
        </w:rPr>
        <w:t>-</w:t>
      </w:r>
      <w:r>
        <w:rPr>
          <w:rFonts w:cs="Arial"/>
          <w:rtl/>
        </w:rPr>
        <w:t xml:space="preserve"> ודאי בגט שנפל ונמצא דחיישינן שמא מאחר נפל אותו </w:t>
      </w:r>
      <w:r w:rsidR="00A82951">
        <w:rPr>
          <w:rFonts w:cs="Arial"/>
          <w:rtl/>
        </w:rPr>
        <w:t>-</w:t>
      </w:r>
      <w:r>
        <w:rPr>
          <w:rFonts w:cs="Arial"/>
          <w:rtl/>
        </w:rPr>
        <w:t xml:space="preserve"> כשר ע"ש העיר, דלא חיישינן לשתי עיירות ששמותיהם שוות כיון שלא הוחזקו ולא שכיחי שיירתא</w:t>
      </w:r>
      <w:r>
        <w:rPr>
          <w:rStyle w:val="a7"/>
          <w:rFonts w:cs="Arial"/>
          <w:rtl/>
        </w:rPr>
        <w:footnoteReference w:id="1448"/>
      </w:r>
      <w:r>
        <w:rPr>
          <w:rFonts w:cs="Arial"/>
          <w:rtl/>
        </w:rPr>
        <w:t xml:space="preserve">. </w:t>
      </w:r>
    </w:p>
    <w:p w14:paraId="1A1F96D3"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8E9E1BC" w14:textId="2A9D4730" w:rsidR="00FA2119" w:rsidRDefault="00FA2119" w:rsidP="00FA2119">
      <w:pPr>
        <w:rPr>
          <w:rtl/>
        </w:rPr>
      </w:pPr>
      <w:r>
        <w:rPr>
          <w:rFonts w:cs="Arial"/>
          <w:rtl/>
        </w:rPr>
        <w:t>המביא גט ונפל ממנו במקום ששיירות מצויות, או אפילו במקום שאין השיירות מצויות, ובעיר שנכתב הגט הוחזקו שנים ששמותיהם ושמות נשותיהם שוים, אם מצאו לאלתר שראה שלא עבר שום אדם שם משעה שנפל עד שמצאו, או אפילו לא מצאו לאלתר ויש לו סימן מובהק או טביעות עין בגט, או אפילו אין לו סימן וטביעות עין בגט אלא שמוצאו בכלי שהיה בו הגט ויש לו סימן או טביעות עין בכלי ויודע שלא השאילו לאחר או שמצאו קשור בכיס או בארנקי או בטבעת שחזקת כלים אלו שאינו משאילם לאחרים, או שמצאו בביתו בין כליו, כשר, ולא חיישינן שמא אחר הוא. אבל אם אינו יודע אם עבר אדם שם, ואין לו טביעות עין וסימן בכלי ולא בגט, חיישינן שמא לא זה הוא הגט שנאבד לזה, ואפי</w:t>
      </w:r>
      <w:r w:rsidR="000E4ACC">
        <w:rPr>
          <w:rFonts w:cs="Arial" w:hint="cs"/>
          <w:rtl/>
        </w:rPr>
        <w:t>לו</w:t>
      </w:r>
      <w:r>
        <w:rPr>
          <w:rFonts w:cs="Arial"/>
          <w:rtl/>
        </w:rPr>
        <w:t xml:space="preserve"> אם עדים מעידים שהאחר שהוחזק בשמו של זה לא היה בעיר כשנכתב. וכן אם ראה שעבר אדם שם, אפילו לא שכיחי שיירות ולא הוחזקו שני יוסף בן שמעון, חיישינן, אפילו היה עובד כוכבים שעבר שם, א</w:t>
      </w:r>
      <w:r w:rsidR="000E4ACC">
        <w:rPr>
          <w:rFonts w:cs="Arial" w:hint="cs"/>
          <w:rtl/>
        </w:rPr>
        <w:t>לא אם כן</w:t>
      </w:r>
      <w:r>
        <w:rPr>
          <w:rFonts w:cs="Arial"/>
          <w:rtl/>
        </w:rPr>
        <w:t xml:space="preserve"> עדי הגט אומרים: מעולם לא חתמנו על גט אחר ששמו כשם האיש הזה</w:t>
      </w:r>
      <w:r w:rsidR="000E4ACC">
        <w:rPr>
          <w:rFonts w:cs="Arial" w:hint="cs"/>
          <w:rtl/>
        </w:rPr>
        <w:t>,</w:t>
      </w:r>
      <w:r>
        <w:rPr>
          <w:rFonts w:cs="Arial"/>
          <w:rtl/>
        </w:rPr>
        <w:t xml:space="preserve"> אפי</w:t>
      </w:r>
      <w:r w:rsidR="000E4ACC">
        <w:rPr>
          <w:rFonts w:cs="Arial" w:hint="cs"/>
          <w:rtl/>
        </w:rPr>
        <w:t>לו</w:t>
      </w:r>
      <w:r>
        <w:rPr>
          <w:rFonts w:cs="Arial"/>
          <w:rtl/>
        </w:rPr>
        <w:t xml:space="preserve"> אינן מעידים בפירוש שזה היא חתימת ידם, כגון שאין הגט עתה בפנינו, כשר, וכגון דאיכא עדים דלא איתחזק אנשים ששמם כשמם של אלו </w:t>
      </w:r>
      <w:r w:rsidR="00986E00" w:rsidRPr="00986E00">
        <w:rPr>
          <w:rFonts w:cs="Arial" w:hint="cs"/>
          <w:sz w:val="18"/>
          <w:szCs w:val="18"/>
          <w:rtl/>
        </w:rPr>
        <w:t xml:space="preserve">[הגה] </w:t>
      </w:r>
      <w:r w:rsidRPr="00986E00">
        <w:rPr>
          <w:rFonts w:cs="Arial"/>
          <w:sz w:val="18"/>
          <w:szCs w:val="18"/>
          <w:rtl/>
        </w:rPr>
        <w:t>העדים</w:t>
      </w:r>
      <w:r>
        <w:rPr>
          <w:rFonts w:cs="Arial"/>
          <w:rtl/>
        </w:rPr>
        <w:t>. אבל אם יש עדים אחרים ששמם כשם אלו, חיישינן, עד שיעידו שזה היא חתימת ידם או שיאמרו העדים: אנו מכירים הגט שיש לנו בו סימן מובהק שיש בו נקב בצד אות פלוני</w:t>
      </w:r>
      <w:r w:rsidR="00850CF2">
        <w:rPr>
          <w:rFonts w:cs="Arial" w:hint="cs"/>
          <w:rtl/>
        </w:rPr>
        <w:t>,</w:t>
      </w:r>
      <w:r>
        <w:rPr>
          <w:rFonts w:cs="Arial"/>
          <w:rtl/>
        </w:rPr>
        <w:t xml:space="preserve"> ואפילו אינם אומרים הסימן עד אחר שיראו אותו. ואם התובעו אומר הסימן, אינו מועיל, אלא א</w:t>
      </w:r>
      <w:r w:rsidR="00850CF2">
        <w:rPr>
          <w:rFonts w:cs="Arial" w:hint="cs"/>
          <w:rtl/>
        </w:rPr>
        <w:t xml:space="preserve">ם </w:t>
      </w:r>
      <w:r>
        <w:rPr>
          <w:rFonts w:cs="Arial"/>
          <w:rtl/>
        </w:rPr>
        <w:t>כ</w:t>
      </w:r>
      <w:r w:rsidR="00850CF2">
        <w:rPr>
          <w:rFonts w:cs="Arial" w:hint="cs"/>
          <w:rtl/>
        </w:rPr>
        <w:t>ן</w:t>
      </w:r>
      <w:r>
        <w:rPr>
          <w:rFonts w:cs="Arial"/>
          <w:rtl/>
        </w:rPr>
        <w:t xml:space="preserve"> יאמר אותו קודם שיראה הגט, אבל בטביעות עין אין מחזירין אותו לתובעו, שאין מועיל טביעת עין להכשירו אלא כשמוצאו אותו בעצמו שאבד לו. ואם [לא] הוחזקו שני יוסף בן שמעון ולא שכיחי שיירות, </w:t>
      </w:r>
      <w:r>
        <w:rPr>
          <w:rFonts w:cs="Arial"/>
          <w:rtl/>
        </w:rPr>
        <w:lastRenderedPageBreak/>
        <w:t>מחזירין אותו בלא סימן, אפי</w:t>
      </w:r>
      <w:r w:rsidR="0081146B">
        <w:rPr>
          <w:rFonts w:cs="Arial" w:hint="cs"/>
          <w:rtl/>
        </w:rPr>
        <w:t>לו</w:t>
      </w:r>
      <w:r>
        <w:rPr>
          <w:rFonts w:cs="Arial"/>
          <w:rtl/>
        </w:rPr>
        <w:t xml:space="preserve"> שהה כדי שיעבור אדם שם. ויש שפסקו שאם אבד ממנו במקום שאין השיירות מצויות, אפילו מצאו לאחר זמן מרובה, לא חיישינן שמא אחר הוא, אפילו הוחזקו באותו מקום שנים ששמותיהם שוים ושמות נשותיהם שוים. ואם אבד במקום שהשיירות מצויות, אם מצאו מיד ועדיין לא שהה אדם שם מהעוברים, או שמצאו בכלי שהניחו בו ויש בו טביעת עין בארכו ורחבו של גט שהיה כרוך, הרי הוא בחזקתו ותתגרש בו. ואם הוחזקו באותו המקום שנים ששמותיהם שוים ושמות נשותיהם שוין, אם אבד במקום שהשיירות מצויות, חוששין שמא גט זה הנמצא של אותו האיש האחר הוא, הואיל ועבר אדם שם אף על פי שלא שהה. אבל אם לא עבר אדם שם, הרי הוא בחזקתו. </w:t>
      </w:r>
      <w:r>
        <w:rPr>
          <w:rFonts w:cs="Arial"/>
          <w:sz w:val="18"/>
          <w:szCs w:val="18"/>
          <w:rtl/>
        </w:rPr>
        <w:t>הגה: י"א שאם הוזכר שם העיר בגט, אין לחוש לשיירות מצויות, דאין חוששין לשני עיירות ששמם שוה (</w:t>
      </w:r>
      <w:r w:rsidR="003C5DCA">
        <w:rPr>
          <w:rFonts w:cs="Arial" w:hint="cs"/>
          <w:sz w:val="18"/>
          <w:szCs w:val="18"/>
          <w:rtl/>
        </w:rPr>
        <w:t>הבנתו ב</w:t>
      </w:r>
      <w:r>
        <w:rPr>
          <w:rFonts w:cs="Arial"/>
          <w:sz w:val="18"/>
          <w:szCs w:val="18"/>
          <w:rtl/>
        </w:rPr>
        <w:t>רא"ש).</w:t>
      </w:r>
    </w:p>
    <w:p w14:paraId="4F85D545" w14:textId="77777777" w:rsidR="00FA2119" w:rsidRDefault="00FA2119" w:rsidP="00FA2119">
      <w:pPr>
        <w:bidi w:val="0"/>
        <w:spacing w:after="0"/>
        <w:rPr>
          <w:rtl/>
        </w:rPr>
        <w:sectPr w:rsidR="00FA2119">
          <w:headerReference w:type="default" r:id="rId25"/>
          <w:footnotePr>
            <w:numRestart w:val="eachSect"/>
          </w:footnotePr>
          <w:pgSz w:w="11906" w:h="16838"/>
          <w:pgMar w:top="720" w:right="1134" w:bottom="720" w:left="1134" w:header="0" w:footer="0" w:gutter="0"/>
          <w:cols w:space="720"/>
          <w:bidi/>
          <w:rtlGutter/>
        </w:sectPr>
      </w:pPr>
    </w:p>
    <w:p w14:paraId="5C538817" w14:textId="77777777" w:rsidR="00FA2119" w:rsidRDefault="00FA2119" w:rsidP="00FA2119">
      <w:pPr>
        <w:pStyle w:val="1"/>
        <w:rPr>
          <w:rtl/>
        </w:rPr>
      </w:pPr>
      <w:r>
        <w:rPr>
          <w:rtl/>
        </w:rPr>
        <w:lastRenderedPageBreak/>
        <w:t xml:space="preserve">סימן קלג: </w:t>
      </w:r>
      <w:r>
        <w:rPr>
          <w:rFonts w:cs="Arial"/>
          <w:rtl/>
        </w:rPr>
        <w:t xml:space="preserve">צריך שימסור הגט בפני שני עדים כשרים, ובו ג' סעיפים. </w:t>
      </w:r>
    </w:p>
    <w:p w14:paraId="0B98B3E6" w14:textId="77777777" w:rsidR="00FA2119" w:rsidRDefault="00FA2119" w:rsidP="00FA2119">
      <w:pPr>
        <w:pStyle w:val="2"/>
        <w:rPr>
          <w:rtl/>
        </w:rPr>
      </w:pPr>
      <w:r>
        <w:rPr>
          <w:rtl/>
        </w:rPr>
        <w:t>סעיף א: עדי מסירה.</w:t>
      </w:r>
    </w:p>
    <w:p w14:paraId="7C3A345A" w14:textId="77777777" w:rsidR="00FA2119" w:rsidRDefault="00FA2119" w:rsidP="00FA2119">
      <w:pPr>
        <w:rPr>
          <w:rtl/>
        </w:rPr>
      </w:pPr>
      <w:r>
        <w:rPr>
          <w:rFonts w:cs="Arial"/>
          <w:b/>
          <w:bCs/>
          <w:rtl/>
        </w:rPr>
        <w:t xml:space="preserve">גיטין </w:t>
      </w:r>
      <w:r>
        <w:rPr>
          <w:rFonts w:cs="Arial"/>
          <w:b/>
          <w:bCs/>
          <w:sz w:val="16"/>
          <w:szCs w:val="16"/>
          <w:rtl/>
        </w:rPr>
        <w:t xml:space="preserve">(פ' השולח) </w:t>
      </w:r>
      <w:r>
        <w:rPr>
          <w:rFonts w:cs="Arial"/>
          <w:b/>
          <w:bCs/>
          <w:rtl/>
        </w:rPr>
        <w:t>לד ע"ב:</w:t>
      </w:r>
      <w:r>
        <w:rPr>
          <w:rFonts w:cs="Arial"/>
          <w:rtl/>
        </w:rPr>
        <w:t xml:space="preserve"> </w:t>
      </w:r>
      <w:r>
        <w:rPr>
          <w:rFonts w:cs="Arial"/>
          <w:u w:val="double"/>
          <w:rtl/>
        </w:rPr>
        <w:t>מתני'</w:t>
      </w:r>
      <w:r>
        <w:rPr>
          <w:rFonts w:cs="Arial"/>
          <w:rtl/>
        </w:rPr>
        <w:t>:...</w:t>
      </w:r>
      <w:r>
        <w:rPr>
          <w:rtl/>
        </w:rPr>
        <w:t xml:space="preserve"> </w:t>
      </w:r>
      <w:r>
        <w:rPr>
          <w:rFonts w:cs="Arial"/>
          <w:rtl/>
        </w:rPr>
        <w:t>התקין ר"ג הזקן</w:t>
      </w:r>
      <w:r>
        <w:rPr>
          <w:rtl/>
        </w:rPr>
        <w:t xml:space="preserve">... </w:t>
      </w:r>
      <w:r>
        <w:rPr>
          <w:rFonts w:cs="Arial"/>
          <w:rtl/>
        </w:rPr>
        <w:t xml:space="preserve">העדים חותמין על הגט, מפני תיקון העולם.      </w:t>
      </w:r>
      <w:r>
        <w:rPr>
          <w:rFonts w:cs="Arial"/>
          <w:u w:val="double"/>
          <w:rtl/>
        </w:rPr>
        <w:t>גמ'</w:t>
      </w:r>
      <w:r>
        <w:rPr>
          <w:rFonts w:cs="Arial"/>
          <w:sz w:val="14"/>
          <w:szCs w:val="14"/>
          <w:u w:val="double"/>
          <w:rtl/>
        </w:rPr>
        <w:t>(לו.)</w:t>
      </w:r>
      <w:r>
        <w:rPr>
          <w:rFonts w:cs="Arial"/>
          <w:u w:val="double"/>
          <w:rtl/>
        </w:rPr>
        <w:t>:</w:t>
      </w:r>
      <w:r>
        <w:rPr>
          <w:rtl/>
        </w:rPr>
        <w:t xml:space="preserve"> </w:t>
      </w:r>
      <w:r>
        <w:rPr>
          <w:rFonts w:cs="Arial"/>
          <w:rtl/>
        </w:rPr>
        <w:t xml:space="preserve">והעדים חותמין על הגט, מפני תיקון העולם. מפני תיקון העולם? דאורייתא הוא, דכתיב: וכתוב בספר וחתום! </w:t>
      </w:r>
      <w:r>
        <w:rPr>
          <w:rFonts w:cs="Arial"/>
          <w:u w:val="single"/>
          <w:rtl/>
        </w:rPr>
        <w:t>אמר רבה</w:t>
      </w:r>
      <w:r>
        <w:rPr>
          <w:rFonts w:cs="Arial"/>
          <w:rtl/>
        </w:rPr>
        <w:t>: לא צריכא לרבי אלעזר, דאמר: עדי מסירה כרתי, תקינו רבנן עדי חתימה מפני תיקון העולם, דזמנין דמייתי סהדי, אי נמי זימנין דאזלי למדינת הים...</w:t>
      </w:r>
    </w:p>
    <w:p w14:paraId="5FF74A91" w14:textId="7F00FCDD" w:rsidR="00FA2119" w:rsidRDefault="00FA2119" w:rsidP="00FA2119">
      <w:pPr>
        <w:rPr>
          <w:rFonts w:cs="Arial"/>
          <w:sz w:val="16"/>
          <w:szCs w:val="16"/>
          <w:rtl/>
        </w:rPr>
      </w:pPr>
      <w:r>
        <w:rPr>
          <w:rFonts w:cs="Arial"/>
          <w:b/>
          <w:bCs/>
          <w:rtl/>
        </w:rPr>
        <w:t xml:space="preserve">גיטין </w:t>
      </w:r>
      <w:r>
        <w:rPr>
          <w:rFonts w:cs="Arial"/>
          <w:b/>
          <w:bCs/>
          <w:sz w:val="16"/>
          <w:szCs w:val="16"/>
          <w:rtl/>
        </w:rPr>
        <w:t xml:space="preserve">(פ' המגרש) </w:t>
      </w:r>
      <w:r>
        <w:rPr>
          <w:rFonts w:cs="Arial"/>
          <w:b/>
          <w:bCs/>
          <w:rtl/>
        </w:rPr>
        <w:t>פו ע"א:</w:t>
      </w:r>
      <w:r>
        <w:rPr>
          <w:rFonts w:cs="Arial"/>
          <w:rtl/>
        </w:rPr>
        <w:t xml:space="preserve"> </w:t>
      </w:r>
      <w:r>
        <w:rPr>
          <w:rFonts w:cs="Arial"/>
          <w:u w:val="double"/>
          <w:rtl/>
        </w:rPr>
        <w:t>מתני'</w:t>
      </w:r>
      <w:r>
        <w:rPr>
          <w:rFonts w:cs="Arial"/>
          <w:rtl/>
        </w:rPr>
        <w:t xml:space="preserve">:... </w:t>
      </w:r>
      <w:r>
        <w:rPr>
          <w:rFonts w:cs="Arial"/>
          <w:u w:val="single"/>
          <w:rtl/>
        </w:rPr>
        <w:t>רבי אליעזר אומר</w:t>
      </w:r>
      <w:r>
        <w:rPr>
          <w:rFonts w:cs="Arial"/>
          <w:rtl/>
        </w:rPr>
        <w:t xml:space="preserve">: אף על פי שאין עליו עדים אלא שנתנו לה בפני עדים </w:t>
      </w:r>
      <w:r w:rsidR="00A82951">
        <w:rPr>
          <w:rFonts w:cs="Arial"/>
          <w:rtl/>
        </w:rPr>
        <w:t>-</w:t>
      </w:r>
      <w:r>
        <w:rPr>
          <w:rFonts w:cs="Arial"/>
          <w:rtl/>
        </w:rPr>
        <w:t xml:space="preserve"> כשר, וגובה מנכסים משועבדים, שאין העדים חותמים על הגט אלא מפני תיקון העולם.     </w:t>
      </w:r>
      <w:r>
        <w:rPr>
          <w:rFonts w:cs="Arial"/>
          <w:u w:val="double"/>
          <w:rtl/>
        </w:rPr>
        <w:t>גמ'</w:t>
      </w:r>
      <w:r>
        <w:rPr>
          <w:rFonts w:cs="Arial"/>
          <w:sz w:val="14"/>
          <w:szCs w:val="14"/>
          <w:u w:val="double"/>
          <w:rtl/>
        </w:rPr>
        <w:t>(פו:)</w:t>
      </w:r>
      <w:r>
        <w:rPr>
          <w:rFonts w:cs="Arial"/>
          <w:u w:val="double"/>
          <w:rtl/>
        </w:rPr>
        <w:t>:</w:t>
      </w:r>
      <w:r>
        <w:rPr>
          <w:rFonts w:cs="Arial"/>
          <w:rtl/>
        </w:rPr>
        <w:t xml:space="preserve"> </w:t>
      </w:r>
      <w:r>
        <w:rPr>
          <w:rFonts w:cs="Arial"/>
          <w:u w:val="single"/>
          <w:rtl/>
        </w:rPr>
        <w:t>אמר רב יהודה אמר רב</w:t>
      </w:r>
      <w:r>
        <w:rPr>
          <w:rFonts w:cs="Arial"/>
          <w:rtl/>
        </w:rPr>
        <w:t>: הלכה כר' אלעזר בגיטין.</w:t>
      </w:r>
      <w:r>
        <w:rPr>
          <w:rFonts w:cs="Arial"/>
          <w:sz w:val="16"/>
          <w:szCs w:val="16"/>
          <w:rtl/>
        </w:rPr>
        <w:t xml:space="preserve"> (וכתב </w:t>
      </w:r>
      <w:r>
        <w:rPr>
          <w:rFonts w:cs="Arial"/>
          <w:b/>
          <w:bCs/>
          <w:sz w:val="16"/>
          <w:szCs w:val="16"/>
          <w:rtl/>
        </w:rPr>
        <w:t xml:space="preserve">הרי"ף </w:t>
      </w:r>
      <w:r>
        <w:rPr>
          <w:rFonts w:cs="Arial"/>
          <w:sz w:val="16"/>
          <w:szCs w:val="16"/>
          <w:rtl/>
        </w:rPr>
        <w:t>(מז:) דמהא שמעינן דלא בעינן עדי מסירה היכא דאיכא עדי חתימה. והיינו דתנן בהשולח (לד:) שאין העדים חותמין על הגט אלא מפני תיקון העולם דאי ליכא בגט עדי חתימה אלא ניתן בעדי מסירה בלבד זימנין דמייתי עדי מסירה ואתי בעל ומערער ומקלקל לה הילכך תקינו שיהו העדים חותמין בגט דאי אתי בעל ומערער מפקא ליה לגיטא ומקיימא ליה בעדי חתימה ודחיא ליה. ואי ס"ד דלא סגי לן בעדי חתימה אלא עד דאיכא עדי מסירה מאי תיקון העולם איכא אע"ג דמקיימא ליה לגיטא בעדי חתימה ליחוש דלמא לא איתיהיב ליה בעדי מסירה, אלא ודאי כל היכא דאיכא עדי חתימה לא בעינן עדי מסירה וכל היכא דאיכא עדי מסירה לא בעינן עדי חתימה</w:t>
      </w:r>
      <w:r w:rsidR="0012403F">
        <w:rPr>
          <w:rFonts w:cs="Arial" w:hint="cs"/>
          <w:sz w:val="16"/>
          <w:szCs w:val="16"/>
          <w:rtl/>
        </w:rPr>
        <w:t>,</w:t>
      </w:r>
      <w:r>
        <w:rPr>
          <w:rFonts w:cs="Arial"/>
          <w:sz w:val="16"/>
          <w:szCs w:val="16"/>
          <w:rtl/>
        </w:rPr>
        <w:t xml:space="preserve"> דבחד מינייהו סגי. אלא מיהו ה"מ בדיעבד, אי נמי דאשתכחו עדי מסירה פסולין, אבל לכתחלה בעינן עדי מסירה והן העיקר שאין העדים חותמין על הגט אלא מפני תיקון העולם עכ"ל. והביא ראיות לדבריו. ולפי זה כי אמר רבי אלעזר עדי מסירה כרתי פירושו אף עדי מסירה, כלומר בעדי חתימה לחודייהו סגי וה"ה בעדי מסירה לחוד. ולר"מ דוקא עדי חתימה כרתי לחודייהו</w:t>
      </w:r>
      <w:r w:rsidR="00A4442E">
        <w:rPr>
          <w:rFonts w:cs="Arial" w:hint="cs"/>
          <w:sz w:val="16"/>
          <w:szCs w:val="16"/>
          <w:rtl/>
        </w:rPr>
        <w:t>,</w:t>
      </w:r>
      <w:r>
        <w:rPr>
          <w:rFonts w:cs="Arial"/>
          <w:sz w:val="16"/>
          <w:szCs w:val="16"/>
          <w:rtl/>
        </w:rPr>
        <w:t xml:space="preserve"> אבל עדי מסירה לחודייהו לא כרתי</w:t>
      </w:r>
      <w:r>
        <w:rPr>
          <w:rFonts w:cs="Arial"/>
          <w:b/>
          <w:bCs/>
          <w:sz w:val="16"/>
          <w:szCs w:val="16"/>
          <w:rtl/>
        </w:rPr>
        <w:t xml:space="preserve">. והרא"ש </w:t>
      </w:r>
      <w:r>
        <w:rPr>
          <w:rFonts w:cs="Arial"/>
          <w:sz w:val="16"/>
          <w:szCs w:val="16"/>
          <w:rtl/>
        </w:rPr>
        <w:t>(סי' ז) דחה ראיותיו</w:t>
      </w:r>
      <w:r w:rsidR="006564DF">
        <w:rPr>
          <w:rFonts w:cs="Arial" w:hint="cs"/>
          <w:sz w:val="16"/>
          <w:szCs w:val="16"/>
          <w:rtl/>
        </w:rPr>
        <w:t>,</w:t>
      </w:r>
      <w:r>
        <w:rPr>
          <w:rFonts w:cs="Arial"/>
          <w:sz w:val="16"/>
          <w:szCs w:val="16"/>
          <w:rtl/>
        </w:rPr>
        <w:t xml:space="preserve"> וכתב עוד</w:t>
      </w:r>
      <w:r w:rsidR="006564DF">
        <w:rPr>
          <w:rFonts w:cs="Arial" w:hint="cs"/>
          <w:sz w:val="16"/>
          <w:szCs w:val="16"/>
          <w:rtl/>
        </w:rPr>
        <w:t>:</w:t>
      </w:r>
      <w:r>
        <w:rPr>
          <w:rFonts w:cs="Arial"/>
          <w:sz w:val="16"/>
          <w:szCs w:val="16"/>
          <w:rtl/>
        </w:rPr>
        <w:t xml:space="preserve"> ומדקאמר בכל דוכתא עדי מסירה כרתי ומשמע שהכריתות תלוי רק בעדי מסירה וזולתם אינו גט כלל והא דקאמרינן שאין העדים חותמין על הגט אלא מפני תיקון העולם לא קאמר שלא יהו צריכים לעדי מסירה בשעת נתינה, אלא ה"ק תיקון העולם הוא שיהו גם עדי חתימה עם עדי מסירה כדי שלא תצטרך לחזור אחר עדי מסירה היום ולמחר כשתביא הגט לראיה, דכיון שהגט בידה ועדים חתומים בו תלינן דמסתמא בהכשר נעשה גם בעדי מסירה דהכל יודעים דאין דבר שבערוה פחות משנים, וא"א להתיר אשת איש אם לא נמסר לה הגט בפני שנים להתירה לשוק. ואף לרבי מאיר דאמר עדי חתימה כרתי לעולם אינה מותרת לשוק אם לא שנמסר בפני עדים, דעדי חתימה אינם מעידים שבא לידה. וכן פר"ת (ד. תוד"ה דקיי"ל) וכן משמע בפרק השולח (לו.). ולדברי הרי"ף ז"ל לא ידענא מאי עיקר וטפל שייך במידי דאורייתא וכו' ועוד תימה הוא וכו'. אלא ודאי לכו"ע צריך שיבוא הגט לידה בפני עדים, אלא דר"מ דריש וכתב דקרא וחתם ומצריך חתימה לשמה אבל כתיבה לשמה לא בעי, ורבי אלעזר בעי כתיבה לשמה ולא מצריך חתימה כלל אלא הכל תלוי בעדי מסירה ואם נמסר לה בפני עדים פסולים אינה מגורשת אפילו חתומים עליו עדים כשרים עכ"ל, ב"י)</w:t>
      </w:r>
      <w:r>
        <w:rPr>
          <w:rFonts w:cs="Arial"/>
          <w:rtl/>
        </w:rPr>
        <w:t xml:space="preserve"> </w:t>
      </w:r>
    </w:p>
    <w:p w14:paraId="2CF48FD8" w14:textId="77777777" w:rsidR="00FA2119" w:rsidRDefault="00FA2119" w:rsidP="00FA2119">
      <w:pPr>
        <w:rPr>
          <w:u w:val="single"/>
          <w:rtl/>
        </w:rPr>
      </w:pPr>
      <w:r>
        <w:rPr>
          <w:u w:val="single"/>
          <w:rtl/>
        </w:rPr>
        <w:t>מסירת הגט בפני שני עדים כשרים:</w:t>
      </w:r>
    </w:p>
    <w:p w14:paraId="3D3F0BEA" w14:textId="1F039D39" w:rsidR="00FA2119" w:rsidRDefault="00FA2119" w:rsidP="006A458D">
      <w:pPr>
        <w:pStyle w:val="ab"/>
        <w:numPr>
          <w:ilvl w:val="0"/>
          <w:numId w:val="90"/>
        </w:numPr>
        <w:rPr>
          <w:rtl/>
        </w:rPr>
      </w:pPr>
      <w:r>
        <w:rPr>
          <w:rFonts w:cs="Arial"/>
          <w:rtl/>
        </w:rPr>
        <w:t>טור</w:t>
      </w:r>
      <w:r w:rsidR="00A82951">
        <w:rPr>
          <w:rFonts w:cs="Arial"/>
          <w:rtl/>
        </w:rPr>
        <w:t>-</w:t>
      </w:r>
      <w:r>
        <w:rPr>
          <w:rFonts w:cs="Arial"/>
          <w:rtl/>
        </w:rPr>
        <w:t xml:space="preserve"> צריך שיהיו שני עדים כשרים בשעת מסירת הגט, שימסרנו לה בפני שניהם</w:t>
      </w:r>
      <w:r>
        <w:rPr>
          <w:rStyle w:val="a7"/>
          <w:rFonts w:cs="Arial"/>
          <w:rtl/>
        </w:rPr>
        <w:footnoteReference w:id="1449"/>
      </w:r>
      <w:r>
        <w:rPr>
          <w:rFonts w:cs="Arial"/>
          <w:rtl/>
        </w:rPr>
        <w:t xml:space="preserve">. מסרו לה שלא בעדים, או אפי' בעד אחד, או שנמצאו עידי מסירה פסולין </w:t>
      </w:r>
      <w:r w:rsidR="00A82951">
        <w:rPr>
          <w:rFonts w:cs="Arial"/>
          <w:rtl/>
        </w:rPr>
        <w:t>-</w:t>
      </w:r>
      <w:r>
        <w:rPr>
          <w:rFonts w:cs="Arial"/>
          <w:rtl/>
        </w:rPr>
        <w:t xml:space="preserve"> אינו גט</w:t>
      </w:r>
      <w:r>
        <w:rPr>
          <w:rFonts w:cs="Arial"/>
          <w:sz w:val="16"/>
          <w:szCs w:val="16"/>
          <w:rtl/>
        </w:rPr>
        <w:t xml:space="preserve"> {כיון שאין עדים חתומים בגט}</w:t>
      </w:r>
      <w:r>
        <w:rPr>
          <w:rFonts w:cs="Arial"/>
          <w:rtl/>
        </w:rPr>
        <w:t xml:space="preserve">. </w:t>
      </w:r>
    </w:p>
    <w:p w14:paraId="36B8DD8F" w14:textId="77777777" w:rsidR="00FA2119" w:rsidRDefault="00FA2119" w:rsidP="00FA2119">
      <w:pPr>
        <w:rPr>
          <w:u w:val="single"/>
        </w:rPr>
      </w:pPr>
      <w:r>
        <w:rPr>
          <w:u w:val="single"/>
          <w:rtl/>
        </w:rPr>
        <w:t>חתימת עדים על הגט אע"ג שיש עדי מסירה:</w:t>
      </w:r>
    </w:p>
    <w:p w14:paraId="6D1890B6" w14:textId="4362295B" w:rsidR="00FA2119" w:rsidRDefault="00FA2119" w:rsidP="006A458D">
      <w:pPr>
        <w:pStyle w:val="ab"/>
        <w:numPr>
          <w:ilvl w:val="0"/>
          <w:numId w:val="90"/>
        </w:numPr>
      </w:pPr>
      <w:r>
        <w:rPr>
          <w:rFonts w:cs="Arial"/>
          <w:rtl/>
        </w:rPr>
        <w:t>טור</w:t>
      </w:r>
      <w:r w:rsidR="00A82951">
        <w:rPr>
          <w:rFonts w:cs="Arial"/>
          <w:rtl/>
        </w:rPr>
        <w:t>-</w:t>
      </w:r>
      <w:r>
        <w:rPr>
          <w:rFonts w:cs="Arial"/>
          <w:rtl/>
        </w:rPr>
        <w:t xml:space="preserve"> ואע"פ שצריך למוסרו לה בעדים תקנו</w:t>
      </w:r>
      <w:r>
        <w:rPr>
          <w:rStyle w:val="a7"/>
          <w:rFonts w:cs="Arial"/>
          <w:rtl/>
        </w:rPr>
        <w:footnoteReference w:id="1450"/>
      </w:r>
      <w:r>
        <w:rPr>
          <w:rFonts w:cs="Arial"/>
          <w:rtl/>
        </w:rPr>
        <w:t xml:space="preserve"> חכמים להחתים עליו ב' עדים, שמא ימותו עידי מסירה ויבא הבעל ויערער לקלקלה, לכך תקנו עידי חתימה</w:t>
      </w:r>
      <w:r>
        <w:rPr>
          <w:rStyle w:val="a7"/>
          <w:rFonts w:cs="Arial"/>
          <w:rtl/>
        </w:rPr>
        <w:footnoteReference w:id="1451"/>
      </w:r>
      <w:r>
        <w:rPr>
          <w:rFonts w:cs="Arial"/>
          <w:rtl/>
        </w:rPr>
        <w:t xml:space="preserve">. </w:t>
      </w:r>
    </w:p>
    <w:p w14:paraId="6274872F" w14:textId="464638F3" w:rsidR="00FA2119" w:rsidRDefault="00FA2119" w:rsidP="006A458D">
      <w:pPr>
        <w:pStyle w:val="ab"/>
        <w:numPr>
          <w:ilvl w:val="0"/>
          <w:numId w:val="90"/>
        </w:numPr>
      </w:pPr>
      <w:r>
        <w:rPr>
          <w:rFonts w:cs="Arial"/>
          <w:rtl/>
        </w:rPr>
        <w:t xml:space="preserve">רמב"ם </w:t>
      </w:r>
      <w:r>
        <w:rPr>
          <w:rFonts w:cs="Arial"/>
          <w:sz w:val="16"/>
          <w:szCs w:val="16"/>
          <w:rtl/>
        </w:rPr>
        <w:t>(פ"א הט"ו)</w:t>
      </w:r>
      <w:r w:rsidR="00A82951">
        <w:rPr>
          <w:rFonts w:cs="Arial"/>
          <w:rtl/>
        </w:rPr>
        <w:t>-</w:t>
      </w:r>
      <w:r>
        <w:rPr>
          <w:rFonts w:cs="Arial"/>
          <w:rtl/>
        </w:rPr>
        <w:t xml:space="preserve"> תקנת חכמים היא שיהיו העדים חותמין על הגט, שמא יתן לה גט בפני שנים וימותו ונמצא הגט שבידה כחרש מחרשי אדמה שהרי אין בו עדים, לפיכך תקנו שיעידו מתוכו, ואע"פ שהעדים בתוכו נותנו לה בפני שנים</w:t>
      </w:r>
      <w:r w:rsidR="00676165">
        <w:rPr>
          <w:rFonts w:cs="Arial" w:hint="cs"/>
          <w:rtl/>
        </w:rPr>
        <w:t>,</w:t>
      </w:r>
      <w:r>
        <w:rPr>
          <w:rFonts w:cs="Arial"/>
          <w:rtl/>
        </w:rPr>
        <w:t xml:space="preserve"> בין אותן העדים החתומין עליו בין בפני שנים אחרים</w:t>
      </w:r>
      <w:r w:rsidR="00676165">
        <w:rPr>
          <w:rFonts w:cs="Arial" w:hint="cs"/>
          <w:rtl/>
        </w:rPr>
        <w:t>,</w:t>
      </w:r>
      <w:r>
        <w:rPr>
          <w:rFonts w:cs="Arial"/>
          <w:rtl/>
        </w:rPr>
        <w:t xml:space="preserve"> שעיקר הגירושין בעידי מסירה.</w:t>
      </w:r>
    </w:p>
    <w:p w14:paraId="2B72F3A9" w14:textId="77777777" w:rsidR="00FA2119" w:rsidRDefault="00FA2119" w:rsidP="00FA2119">
      <w:pPr>
        <w:ind w:left="360"/>
        <w:rPr>
          <w:u w:val="dotted"/>
        </w:rPr>
      </w:pPr>
      <w:r>
        <w:rPr>
          <w:u w:val="dotted"/>
          <w:rtl/>
        </w:rPr>
        <w:t>ומה הדין אם נתן לה בעדי חתימה בלא עדי מסירה:</w:t>
      </w:r>
    </w:p>
    <w:p w14:paraId="73FA6F36" w14:textId="552C99C9" w:rsidR="00FA2119" w:rsidRDefault="00FA2119" w:rsidP="006A458D">
      <w:pPr>
        <w:pStyle w:val="ab"/>
        <w:numPr>
          <w:ilvl w:val="0"/>
          <w:numId w:val="90"/>
        </w:numPr>
      </w:pPr>
      <w:r>
        <w:rPr>
          <w:rFonts w:cs="Arial"/>
          <w:rtl/>
        </w:rPr>
        <w:lastRenderedPageBreak/>
        <w:t>תוס'</w:t>
      </w:r>
      <w:r>
        <w:rPr>
          <w:rFonts w:cs="Arial"/>
          <w:sz w:val="16"/>
          <w:szCs w:val="16"/>
          <w:rtl/>
        </w:rPr>
        <w:t xml:space="preserve"> (ד. ד"ה דקיי"ל)</w:t>
      </w:r>
      <w:r>
        <w:rPr>
          <w:rFonts w:cs="Arial"/>
          <w:rtl/>
        </w:rPr>
        <w:t xml:space="preserve"> רא"ש </w:t>
      </w:r>
      <w:r>
        <w:rPr>
          <w:rFonts w:cs="Arial"/>
          <w:sz w:val="16"/>
          <w:szCs w:val="16"/>
          <w:rtl/>
        </w:rPr>
        <w:t>(סי' יז</w:t>
      </w:r>
      <w:r>
        <w:rPr>
          <w:rStyle w:val="a7"/>
          <w:rFonts w:cs="Arial"/>
          <w:sz w:val="16"/>
          <w:szCs w:val="16"/>
          <w:rtl/>
        </w:rPr>
        <w:footnoteReference w:id="1452"/>
      </w:r>
      <w:r>
        <w:rPr>
          <w:rFonts w:cs="Arial"/>
          <w:sz w:val="16"/>
          <w:szCs w:val="16"/>
          <w:rtl/>
        </w:rPr>
        <w:t>)</w:t>
      </w:r>
      <w:r>
        <w:rPr>
          <w:rFonts w:cs="Arial"/>
          <w:rtl/>
        </w:rPr>
        <w:t xml:space="preserve"> וטור</w:t>
      </w:r>
      <w:r w:rsidR="00A82951">
        <w:rPr>
          <w:rFonts w:cs="Arial"/>
          <w:rtl/>
        </w:rPr>
        <w:t>-</w:t>
      </w:r>
      <w:r>
        <w:rPr>
          <w:rFonts w:cs="Arial"/>
          <w:rtl/>
        </w:rPr>
        <w:t xml:space="preserve"> אם ידוע שלא נמסר בעדים אינו גט כלל</w:t>
      </w:r>
      <w:r>
        <w:rPr>
          <w:rFonts w:cs="Arial"/>
          <w:sz w:val="16"/>
          <w:szCs w:val="16"/>
          <w:rtl/>
        </w:rPr>
        <w:t xml:space="preserve"> (ל' הטור)</w:t>
      </w:r>
      <w:r>
        <w:rPr>
          <w:rStyle w:val="a7"/>
          <w:rFonts w:cs="Arial"/>
          <w:rtl/>
        </w:rPr>
        <w:footnoteReference w:id="1453"/>
      </w:r>
      <w:r>
        <w:rPr>
          <w:rFonts w:cs="Arial"/>
          <w:rtl/>
        </w:rPr>
        <w:t xml:space="preserve">. </w:t>
      </w:r>
    </w:p>
    <w:p w14:paraId="69895C22" w14:textId="18B41AA2" w:rsidR="00FA2119" w:rsidRDefault="00FA2119" w:rsidP="006A458D">
      <w:pPr>
        <w:pStyle w:val="ab"/>
        <w:numPr>
          <w:ilvl w:val="0"/>
          <w:numId w:val="90"/>
        </w:numPr>
      </w:pPr>
      <w:r>
        <w:rPr>
          <w:rFonts w:cs="Arial"/>
          <w:rtl/>
        </w:rPr>
        <w:t xml:space="preserve">רי"ף </w:t>
      </w:r>
      <w:r>
        <w:rPr>
          <w:rFonts w:cs="Arial"/>
          <w:sz w:val="16"/>
          <w:szCs w:val="16"/>
          <w:rtl/>
        </w:rPr>
        <w:t>(מז:)</w:t>
      </w:r>
      <w:r>
        <w:rPr>
          <w:rFonts w:cs="Arial"/>
          <w:rtl/>
        </w:rPr>
        <w:t xml:space="preserve"> ורמב"ם</w:t>
      </w:r>
      <w:r>
        <w:rPr>
          <w:rStyle w:val="a7"/>
          <w:rFonts w:cs="Arial"/>
          <w:rtl/>
        </w:rPr>
        <w:footnoteReference w:id="1454"/>
      </w:r>
      <w:r>
        <w:rPr>
          <w:rFonts w:cs="Arial"/>
          <w:rtl/>
        </w:rPr>
        <w:t xml:space="preserve"> </w:t>
      </w:r>
      <w:r>
        <w:rPr>
          <w:rFonts w:cs="Arial"/>
          <w:sz w:val="16"/>
          <w:szCs w:val="16"/>
          <w:rtl/>
        </w:rPr>
        <w:t>(פ"א הט"ז)</w:t>
      </w:r>
      <w:r w:rsidR="00A82951">
        <w:rPr>
          <w:rFonts w:cs="Arial"/>
          <w:rtl/>
        </w:rPr>
        <w:t>-</w:t>
      </w:r>
      <w:r>
        <w:rPr>
          <w:rFonts w:cs="Arial"/>
          <w:rtl/>
        </w:rPr>
        <w:t xml:space="preserve"> ודאי לכתחלה צריך עידי מסירה ועידי חתימה</w:t>
      </w:r>
      <w:r w:rsidR="00676165">
        <w:rPr>
          <w:rFonts w:cs="Arial" w:hint="cs"/>
          <w:rtl/>
        </w:rPr>
        <w:t>,</w:t>
      </w:r>
      <w:r>
        <w:rPr>
          <w:rFonts w:cs="Arial"/>
          <w:rtl/>
        </w:rPr>
        <w:t xml:space="preserve"> אבל בדיעבד שלא היו אלא עידי מסירה או עידי חתימה</w:t>
      </w:r>
      <w:r w:rsidR="00676165">
        <w:rPr>
          <w:rFonts w:cs="Arial" w:hint="cs"/>
          <w:rtl/>
        </w:rPr>
        <w:t>,</w:t>
      </w:r>
      <w:r>
        <w:rPr>
          <w:rFonts w:cs="Arial"/>
          <w:rtl/>
        </w:rPr>
        <w:t xml:space="preserve"> או שנמצאו עידי מסירה פסולים </w:t>
      </w:r>
      <w:r w:rsidR="00A82951">
        <w:rPr>
          <w:rFonts w:cs="Arial"/>
          <w:rtl/>
        </w:rPr>
        <w:t>-</w:t>
      </w:r>
      <w:r>
        <w:rPr>
          <w:rFonts w:cs="Arial"/>
          <w:rtl/>
        </w:rPr>
        <w:t xml:space="preserve"> סגי בעידי חתימה ולא אמרינן עדיין היא אשת איש, הואיל ואיכא עידי חתימה והם כשרים והגט יוצא מתחת ידה גט מעליא הוא</w:t>
      </w:r>
      <w:r>
        <w:rPr>
          <w:rFonts w:cs="Arial"/>
          <w:sz w:val="16"/>
          <w:szCs w:val="16"/>
          <w:rtl/>
        </w:rPr>
        <w:t xml:space="preserve"> (ל' הטור בשם הרי"ף)</w:t>
      </w:r>
      <w:r>
        <w:rPr>
          <w:rStyle w:val="a7"/>
          <w:rFonts w:cs="Arial"/>
          <w:rtl/>
        </w:rPr>
        <w:footnoteReference w:id="1455"/>
      </w:r>
      <w:r>
        <w:rPr>
          <w:rFonts w:cs="Arial"/>
          <w:rtl/>
        </w:rPr>
        <w:t xml:space="preserve">. </w:t>
      </w:r>
      <w:r>
        <w:rPr>
          <w:color w:val="E36C0A" w:themeColor="accent6" w:themeShade="BF"/>
          <w:rtl/>
        </w:rPr>
        <w:t>(וכ"ס בשו"ע)</w:t>
      </w:r>
    </w:p>
    <w:p w14:paraId="55A06562" w14:textId="46FC91F0" w:rsidR="00FA2119" w:rsidRDefault="00FA2119" w:rsidP="006A458D">
      <w:pPr>
        <w:pStyle w:val="ab"/>
        <w:numPr>
          <w:ilvl w:val="0"/>
          <w:numId w:val="90"/>
        </w:numPr>
      </w:pPr>
      <w:r>
        <w:rPr>
          <w:rFonts w:cs="Arial"/>
          <w:rtl/>
        </w:rPr>
        <w:t>גאון</w:t>
      </w:r>
      <w:r>
        <w:rPr>
          <w:rFonts w:cs="Arial"/>
          <w:sz w:val="16"/>
          <w:szCs w:val="16"/>
          <w:rtl/>
        </w:rPr>
        <w:t xml:space="preserve"> (כ"כ הרמב"ם [שם] בשמו)</w:t>
      </w:r>
      <w:r w:rsidR="00A82951">
        <w:rPr>
          <w:rFonts w:cs="Arial"/>
          <w:rtl/>
        </w:rPr>
        <w:t>-</w:t>
      </w:r>
      <w:r>
        <w:rPr>
          <w:rFonts w:cs="Arial"/>
          <w:rtl/>
        </w:rPr>
        <w:t xml:space="preserve"> הוא פסול. </w:t>
      </w:r>
    </w:p>
    <w:p w14:paraId="055E4310"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C3F63DB" w14:textId="3AC4D45F" w:rsidR="00FA2119" w:rsidRDefault="00FA2119" w:rsidP="00FA2119">
      <w:pPr>
        <w:rPr>
          <w:rtl/>
        </w:rPr>
      </w:pPr>
      <w:r>
        <w:rPr>
          <w:rFonts w:cs="Arial"/>
          <w:rtl/>
        </w:rPr>
        <w:t xml:space="preserve">צריך שיהיו שני עדים כשרים בשעת מסירת הגט </w:t>
      </w:r>
      <w:r>
        <w:rPr>
          <w:rFonts w:cs="Arial"/>
          <w:sz w:val="18"/>
          <w:szCs w:val="18"/>
          <w:rtl/>
        </w:rPr>
        <w:t>[הגה] ושימסור לה הגט בפני שניהם ביחד</w:t>
      </w:r>
      <w:r>
        <w:rPr>
          <w:rStyle w:val="a7"/>
          <w:rFonts w:cs="Arial"/>
          <w:sz w:val="18"/>
          <w:szCs w:val="18"/>
          <w:rtl/>
        </w:rPr>
        <w:footnoteReference w:id="1456"/>
      </w:r>
      <w:r>
        <w:rPr>
          <w:rFonts w:cs="Arial"/>
          <w:sz w:val="18"/>
          <w:szCs w:val="18"/>
          <w:rtl/>
        </w:rPr>
        <w:t xml:space="preserve"> (טור וב"י),</w:t>
      </w:r>
      <w:r>
        <w:rPr>
          <w:rFonts w:cs="Arial"/>
          <w:rtl/>
        </w:rPr>
        <w:t xml:space="preserve"> וכן צריך להחתים עליו עדים לכתחלה. אבל בדיעבד אם לא היו אלא עדי חתימה, ומסרו בינו לבינה, כשר. וכן אם היו עדי מסירה ולא היו בו עדי חתימה, כשר</w:t>
      </w:r>
      <w:r>
        <w:rPr>
          <w:rStyle w:val="a7"/>
          <w:rFonts w:cs="Arial"/>
          <w:rtl/>
        </w:rPr>
        <w:footnoteReference w:id="1457"/>
      </w:r>
      <w:r>
        <w:rPr>
          <w:rFonts w:cs="Arial"/>
          <w:rtl/>
        </w:rPr>
        <w:t>. ויש אומרים שאם נודע שניתן לה בלא עדי מסירה, אף על פי שעדים חתומים בו, פסול</w:t>
      </w:r>
      <w:r>
        <w:rPr>
          <w:rStyle w:val="a7"/>
          <w:rFonts w:cs="Arial"/>
          <w:rtl/>
        </w:rPr>
        <w:footnoteReference w:id="1458"/>
      </w:r>
      <w:r>
        <w:rPr>
          <w:rFonts w:cs="Arial"/>
          <w:rtl/>
        </w:rPr>
        <w:t xml:space="preserve">. ומיהו כשרואין אותו חתום, תולין שבודאי נמסר בעדי מסירה. </w:t>
      </w:r>
      <w:r>
        <w:rPr>
          <w:rFonts w:cs="Arial"/>
          <w:sz w:val="18"/>
          <w:szCs w:val="18"/>
          <w:rtl/>
        </w:rPr>
        <w:t>הגה: וע"ל ריש סימן ק"ל דלוקחין כת אחת של עדים לחתימה ולמסירה, ולא שני כיתות.</w:t>
      </w:r>
      <w:r>
        <w:rPr>
          <w:rFonts w:cs="Arial"/>
          <w:rtl/>
        </w:rPr>
        <w:t xml:space="preserve"> </w:t>
      </w:r>
    </w:p>
    <w:p w14:paraId="76E66E05" w14:textId="77777777" w:rsidR="00FA2119" w:rsidRDefault="00FA2119" w:rsidP="00FA2119">
      <w:pPr>
        <w:rPr>
          <w:rtl/>
        </w:rPr>
      </w:pPr>
    </w:p>
    <w:p w14:paraId="0117AF21" w14:textId="77777777" w:rsidR="00FA2119" w:rsidRDefault="00FA2119" w:rsidP="00FA2119">
      <w:pPr>
        <w:pStyle w:val="2"/>
        <w:rPr>
          <w:rtl/>
        </w:rPr>
      </w:pPr>
      <w:r>
        <w:rPr>
          <w:rtl/>
        </w:rPr>
        <w:t>סעיף ב: ייבוש הגט קודם נתינתו.</w:t>
      </w:r>
    </w:p>
    <w:p w14:paraId="04A63B77" w14:textId="77777777" w:rsidR="00FA2119" w:rsidRDefault="00FA2119" w:rsidP="00FA2119">
      <w:pPr>
        <w:rPr>
          <w:u w:val="single"/>
          <w:rtl/>
        </w:rPr>
      </w:pPr>
      <w:r>
        <w:rPr>
          <w:u w:val="single"/>
          <w:rtl/>
        </w:rPr>
        <w:t>ייבוש הגט קודם נתינתו:</w:t>
      </w:r>
    </w:p>
    <w:p w14:paraId="7843F9BA" w14:textId="1CA66A2B" w:rsidR="00FA2119" w:rsidRDefault="00FA2119" w:rsidP="006A458D">
      <w:pPr>
        <w:pStyle w:val="ab"/>
        <w:numPr>
          <w:ilvl w:val="0"/>
          <w:numId w:val="90"/>
        </w:numPr>
        <w:rPr>
          <w:rtl/>
        </w:rPr>
      </w:pPr>
      <w:r>
        <w:rPr>
          <w:rFonts w:cs="Arial"/>
          <w:rtl/>
        </w:rPr>
        <w:t xml:space="preserve">תרומה </w:t>
      </w:r>
      <w:r>
        <w:rPr>
          <w:rFonts w:cs="Arial"/>
          <w:sz w:val="16"/>
          <w:szCs w:val="16"/>
          <w:rtl/>
        </w:rPr>
        <w:t>(סי' קלא סדר הגט)</w:t>
      </w:r>
      <w:r>
        <w:rPr>
          <w:rFonts w:cs="Arial"/>
          <w:rtl/>
        </w:rPr>
        <w:t xml:space="preserve"> סמ"ג </w:t>
      </w:r>
      <w:r>
        <w:rPr>
          <w:rFonts w:cs="Arial"/>
          <w:sz w:val="16"/>
          <w:szCs w:val="16"/>
          <w:rtl/>
        </w:rPr>
        <w:t>(קלב ע"ד)</w:t>
      </w:r>
      <w:r>
        <w:rPr>
          <w:rFonts w:cs="Arial"/>
          <w:rtl/>
        </w:rPr>
        <w:t xml:space="preserve"> ר"פ </w:t>
      </w:r>
      <w:r>
        <w:rPr>
          <w:rFonts w:cs="Arial"/>
          <w:sz w:val="16"/>
          <w:szCs w:val="16"/>
          <w:rtl/>
        </w:rPr>
        <w:t>(סי' קפד)</w:t>
      </w:r>
      <w:r>
        <w:rPr>
          <w:rFonts w:cs="Arial"/>
          <w:rtl/>
        </w:rPr>
        <w:t xml:space="preserve"> מרדכי </w:t>
      </w:r>
      <w:r>
        <w:rPr>
          <w:rFonts w:cs="Arial"/>
          <w:sz w:val="16"/>
          <w:szCs w:val="16"/>
          <w:rtl/>
        </w:rPr>
        <w:t>(סי' תנב, וסי' שמ בשם התוס')</w:t>
      </w:r>
      <w:r>
        <w:rPr>
          <w:rFonts w:cs="Arial"/>
          <w:rtl/>
        </w:rPr>
        <w:t xml:space="preserve"> וכל בו </w:t>
      </w:r>
      <w:r>
        <w:rPr>
          <w:rFonts w:cs="Arial"/>
          <w:sz w:val="16"/>
          <w:szCs w:val="16"/>
          <w:rtl/>
        </w:rPr>
        <w:t>(סי' עו מח.)</w:t>
      </w:r>
      <w:r w:rsidR="00A82951">
        <w:rPr>
          <w:rFonts w:cs="Arial"/>
          <w:rtl/>
        </w:rPr>
        <w:t>-</w:t>
      </w:r>
      <w:r>
        <w:rPr>
          <w:rFonts w:cs="Arial"/>
          <w:rtl/>
        </w:rPr>
        <w:t xml:space="preserve"> צריך שיהיה הגט וגם החתימות יבשים בשעת נתינת הגט, כדי שלא יהיה קרוי כתב שיכול להזדייף. </w:t>
      </w:r>
      <w:r>
        <w:rPr>
          <w:rFonts w:cs="Arial"/>
          <w:color w:val="E36C0A" w:themeColor="accent6" w:themeShade="BF"/>
          <w:rtl/>
        </w:rPr>
        <w:t>(וכ"פ בשו"ע)</w:t>
      </w:r>
    </w:p>
    <w:p w14:paraId="62D0546E"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lastRenderedPageBreak/>
        <w:t>שו"ע:</w:t>
      </w:r>
    </w:p>
    <w:p w14:paraId="6D43E44A" w14:textId="77777777" w:rsidR="00FA2119" w:rsidRDefault="00FA2119" w:rsidP="00FA2119">
      <w:pPr>
        <w:rPr>
          <w:rtl/>
        </w:rPr>
      </w:pPr>
      <w:r>
        <w:rPr>
          <w:rFonts w:cs="Arial"/>
          <w:rtl/>
        </w:rPr>
        <w:t xml:space="preserve">צריך שיהיו גם החתימות יבשות בשעת נתינת הגט. </w:t>
      </w:r>
    </w:p>
    <w:p w14:paraId="6099CD0A" w14:textId="77777777" w:rsidR="00FA2119" w:rsidRDefault="00FA2119" w:rsidP="00FA2119">
      <w:pPr>
        <w:rPr>
          <w:rtl/>
        </w:rPr>
      </w:pPr>
    </w:p>
    <w:p w14:paraId="075BD0AD" w14:textId="77777777" w:rsidR="00FA2119" w:rsidRDefault="00FA2119" w:rsidP="00FA2119">
      <w:pPr>
        <w:pStyle w:val="2"/>
        <w:rPr>
          <w:rtl/>
        </w:rPr>
      </w:pPr>
      <w:r>
        <w:rPr>
          <w:rtl/>
        </w:rPr>
        <w:t>סעיף ג: נתינת הגט במניין אנשים.</w:t>
      </w:r>
    </w:p>
    <w:p w14:paraId="686140BB" w14:textId="77777777" w:rsidR="00FA2119" w:rsidRDefault="00FA2119" w:rsidP="00FA2119">
      <w:pPr>
        <w:rPr>
          <w:u w:val="single"/>
          <w:rtl/>
        </w:rPr>
      </w:pPr>
      <w:r>
        <w:rPr>
          <w:u w:val="single"/>
          <w:rtl/>
        </w:rPr>
        <w:t>נתינת הגט במניין אנשים:</w:t>
      </w:r>
    </w:p>
    <w:p w14:paraId="75FD3580" w14:textId="3906C069" w:rsidR="00FA2119" w:rsidRDefault="00FA2119" w:rsidP="006A458D">
      <w:pPr>
        <w:pStyle w:val="ab"/>
        <w:numPr>
          <w:ilvl w:val="0"/>
          <w:numId w:val="90"/>
        </w:numPr>
        <w:rPr>
          <w:rtl/>
        </w:rPr>
      </w:pPr>
      <w:r>
        <w:rPr>
          <w:rFonts w:cs="Arial"/>
          <w:rtl/>
        </w:rPr>
        <w:t xml:space="preserve">קונדריסין </w:t>
      </w:r>
      <w:r>
        <w:rPr>
          <w:rFonts w:cs="Arial"/>
          <w:sz w:val="16"/>
          <w:szCs w:val="16"/>
          <w:rtl/>
        </w:rPr>
        <w:t xml:space="preserve">(סי' יב סעי' ג) </w:t>
      </w:r>
      <w:r>
        <w:rPr>
          <w:rFonts w:cs="Arial"/>
          <w:rtl/>
        </w:rPr>
        <w:t xml:space="preserve">בשם רפ"א </w:t>
      </w:r>
      <w:r>
        <w:rPr>
          <w:rFonts w:cs="Arial"/>
          <w:sz w:val="16"/>
          <w:szCs w:val="16"/>
          <w:rtl/>
        </w:rPr>
        <w:t xml:space="preserve">(הגהת סמ"ק אות יב, סמ"ק מצוריך אות רנה) </w:t>
      </w:r>
      <w:r>
        <w:rPr>
          <w:rFonts w:cs="Arial"/>
          <w:rtl/>
        </w:rPr>
        <w:t>וסדר גיטין</w:t>
      </w:r>
      <w:r>
        <w:rPr>
          <w:rFonts w:cs="Arial"/>
          <w:sz w:val="16"/>
          <w:szCs w:val="16"/>
          <w:rtl/>
        </w:rPr>
        <w:t xml:space="preserve"> (סי' פג ס"ב)</w:t>
      </w:r>
      <w:r w:rsidR="00A82951">
        <w:rPr>
          <w:rFonts w:cs="Arial"/>
          <w:rtl/>
        </w:rPr>
        <w:t>-</w:t>
      </w:r>
      <w:r>
        <w:rPr>
          <w:rFonts w:cs="Arial"/>
          <w:rtl/>
        </w:rPr>
        <w:t xml:space="preserve"> רגילות ליתן הגט במנין. </w:t>
      </w:r>
      <w:r>
        <w:rPr>
          <w:rFonts w:cs="Arial"/>
          <w:color w:val="E36C0A" w:themeColor="accent6" w:themeShade="BF"/>
          <w:rtl/>
        </w:rPr>
        <w:t>(וכ"כ בשו"ע)</w:t>
      </w:r>
    </w:p>
    <w:p w14:paraId="0DFA5B1A"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885A1A0" w14:textId="77777777" w:rsidR="00FA2119" w:rsidRDefault="00FA2119" w:rsidP="00FA2119">
      <w:pPr>
        <w:rPr>
          <w:rtl/>
        </w:rPr>
      </w:pPr>
      <w:r>
        <w:rPr>
          <w:rFonts w:cs="Arial"/>
          <w:rtl/>
        </w:rPr>
        <w:t>רגילין ליתן הגט במנין עשרה.</w:t>
      </w:r>
    </w:p>
    <w:p w14:paraId="19966546" w14:textId="77777777" w:rsidR="00FA2119" w:rsidRDefault="00FA2119" w:rsidP="00FA2119">
      <w:pPr>
        <w:bidi w:val="0"/>
        <w:spacing w:after="0"/>
        <w:rPr>
          <w:rtl/>
        </w:rPr>
        <w:sectPr w:rsidR="00FA2119">
          <w:headerReference w:type="default" r:id="rId26"/>
          <w:footnotePr>
            <w:numRestart w:val="eachSect"/>
          </w:footnotePr>
          <w:pgSz w:w="11906" w:h="16838"/>
          <w:pgMar w:top="720" w:right="1134" w:bottom="720" w:left="1134" w:header="0" w:footer="0" w:gutter="0"/>
          <w:cols w:space="720"/>
          <w:bidi/>
          <w:rtlGutter/>
        </w:sectPr>
      </w:pPr>
    </w:p>
    <w:p w14:paraId="39B7E25B" w14:textId="77777777" w:rsidR="00FA2119" w:rsidRDefault="00FA2119" w:rsidP="00FA2119">
      <w:pPr>
        <w:pStyle w:val="1"/>
        <w:rPr>
          <w:rtl/>
        </w:rPr>
      </w:pPr>
      <w:r>
        <w:rPr>
          <w:rtl/>
        </w:rPr>
        <w:lastRenderedPageBreak/>
        <w:t xml:space="preserve">סימן קלד: </w:t>
      </w:r>
      <w:r>
        <w:rPr>
          <w:rFonts w:cs="Arial"/>
          <w:rtl/>
        </w:rPr>
        <w:t xml:space="preserve">צריך שיבטל הבעל כל מודעות, ובו י' סעיפים. </w:t>
      </w:r>
    </w:p>
    <w:p w14:paraId="5E73922D" w14:textId="77777777" w:rsidR="00FA2119" w:rsidRDefault="00FA2119" w:rsidP="00FA2119">
      <w:pPr>
        <w:pStyle w:val="2"/>
        <w:rPr>
          <w:rtl/>
        </w:rPr>
      </w:pPr>
      <w:r>
        <w:rPr>
          <w:rtl/>
        </w:rPr>
        <w:t>סעיף א: מסירת מודעה. וביטול מודעה קודם נתינת הגט.</w:t>
      </w:r>
    </w:p>
    <w:p w14:paraId="12BBAF61" w14:textId="77777777" w:rsidR="00FA2119" w:rsidRDefault="00FA2119" w:rsidP="00FA2119">
      <w:pPr>
        <w:rPr>
          <w:rtl/>
        </w:rPr>
      </w:pPr>
      <w:r>
        <w:rPr>
          <w:rFonts w:cs="Arial"/>
          <w:b/>
          <w:bCs/>
          <w:rtl/>
        </w:rPr>
        <w:t xml:space="preserve">ערכין </w:t>
      </w:r>
      <w:r>
        <w:rPr>
          <w:rFonts w:cs="Arial"/>
          <w:b/>
          <w:bCs/>
          <w:sz w:val="16"/>
          <w:szCs w:val="16"/>
          <w:rtl/>
        </w:rPr>
        <w:t>(ס"פ האומר משקלי עלי)</w:t>
      </w:r>
      <w:r>
        <w:rPr>
          <w:rFonts w:cs="Arial"/>
          <w:b/>
          <w:bCs/>
          <w:rtl/>
        </w:rPr>
        <w:t xml:space="preserve"> כא ע"א:</w:t>
      </w:r>
      <w:r>
        <w:rPr>
          <w:rFonts w:cs="Arial"/>
          <w:rtl/>
        </w:rPr>
        <w:t xml:space="preserve"> </w:t>
      </w:r>
      <w:r>
        <w:rPr>
          <w:rFonts w:cs="Arial"/>
          <w:u w:val="double"/>
          <w:rtl/>
        </w:rPr>
        <w:t>מתני'</w:t>
      </w:r>
      <w:r>
        <w:rPr>
          <w:rFonts w:cs="Arial"/>
          <w:rtl/>
        </w:rPr>
        <w:t>:... וכן אתה אומר בגיטי נשים, כופין אותו עד שיאמר רוצה אני.</w:t>
      </w:r>
      <w:r>
        <w:rPr>
          <w:rtl/>
        </w:rPr>
        <w:t xml:space="preserve">      </w:t>
      </w:r>
      <w:r>
        <w:rPr>
          <w:u w:val="double"/>
          <w:rtl/>
        </w:rPr>
        <w:t>גמ'</w:t>
      </w:r>
      <w:r>
        <w:rPr>
          <w:sz w:val="14"/>
          <w:szCs w:val="14"/>
          <w:u w:val="double"/>
          <w:rtl/>
        </w:rPr>
        <w:t>(כא:)</w:t>
      </w:r>
      <w:r>
        <w:rPr>
          <w:u w:val="double"/>
          <w:rtl/>
        </w:rPr>
        <w:t>:</w:t>
      </w:r>
      <w:r>
        <w:rPr>
          <w:rtl/>
        </w:rPr>
        <w:t xml:space="preserve"> </w:t>
      </w:r>
      <w:r>
        <w:rPr>
          <w:rFonts w:cs="Arial"/>
          <w:rtl/>
        </w:rPr>
        <w:t xml:space="preserve">וכן בגיטי נשים כופין וכו'. </w:t>
      </w:r>
      <w:r>
        <w:rPr>
          <w:rFonts w:cs="Arial"/>
          <w:u w:val="single"/>
          <w:rtl/>
        </w:rPr>
        <w:t>אמר רב ששת</w:t>
      </w:r>
      <w:r>
        <w:rPr>
          <w:rFonts w:cs="Arial"/>
          <w:rtl/>
        </w:rPr>
        <w:t>: האי מאן דמסר מודעא אגיטא, מודעיה מודעא. פשיטא! לא, צריכא, דעשאוה</w:t>
      </w:r>
      <w:r>
        <w:rPr>
          <w:rStyle w:val="a7"/>
          <w:rFonts w:cs="Arial"/>
          <w:rtl/>
        </w:rPr>
        <w:footnoteReference w:id="1459"/>
      </w:r>
      <w:r>
        <w:rPr>
          <w:rFonts w:cs="Arial"/>
          <w:rtl/>
        </w:rPr>
        <w:t xml:space="preserve"> ואירצי</w:t>
      </w:r>
      <w:r>
        <w:rPr>
          <w:rStyle w:val="a7"/>
          <w:rFonts w:cs="Arial"/>
          <w:rtl/>
        </w:rPr>
        <w:footnoteReference w:id="1460"/>
      </w:r>
      <w:r>
        <w:rPr>
          <w:rFonts w:cs="Arial"/>
          <w:rtl/>
        </w:rPr>
        <w:t>, מהו דתימא בטולי בטליה</w:t>
      </w:r>
      <w:r>
        <w:rPr>
          <w:rStyle w:val="a7"/>
          <w:rFonts w:cs="Arial"/>
          <w:rtl/>
        </w:rPr>
        <w:footnoteReference w:id="1461"/>
      </w:r>
      <w:r>
        <w:rPr>
          <w:rFonts w:cs="Arial"/>
          <w:rtl/>
        </w:rPr>
        <w:t>, קמ"ל, דא"כ ליתני עד שיתן, מאי עד שיאמר? עד דמבטל ליה למודעיה.</w:t>
      </w:r>
      <w:r>
        <w:rPr>
          <w:rFonts w:cs="Arial"/>
          <w:sz w:val="16"/>
          <w:szCs w:val="16"/>
          <w:rtl/>
        </w:rPr>
        <w:t xml:space="preserve"> (וכתבוהו הרי"ף (טז:) והרא"ש (סי' ו) בהשולח, ב"י)</w:t>
      </w:r>
    </w:p>
    <w:p w14:paraId="4543C659" w14:textId="77777777" w:rsidR="00FA2119" w:rsidRDefault="00FA2119" w:rsidP="00FA2119">
      <w:pPr>
        <w:rPr>
          <w:u w:val="single"/>
          <w:rtl/>
        </w:rPr>
      </w:pPr>
      <w:r>
        <w:rPr>
          <w:u w:val="single"/>
          <w:rtl/>
        </w:rPr>
        <w:t>ביטול מודעה קודם נתינת הגט:</w:t>
      </w:r>
    </w:p>
    <w:p w14:paraId="541D2151" w14:textId="73509A84" w:rsidR="00FA2119" w:rsidRDefault="00FA2119" w:rsidP="006A458D">
      <w:pPr>
        <w:pStyle w:val="ab"/>
        <w:numPr>
          <w:ilvl w:val="0"/>
          <w:numId w:val="90"/>
        </w:numPr>
        <w:rPr>
          <w:rtl/>
        </w:rPr>
      </w:pPr>
      <w:r>
        <w:rPr>
          <w:rtl/>
        </w:rPr>
        <w:t>טור</w:t>
      </w:r>
      <w:r w:rsidR="00A82951">
        <w:rPr>
          <w:rtl/>
        </w:rPr>
        <w:t>-</w:t>
      </w:r>
      <w:r>
        <w:rPr>
          <w:rtl/>
        </w:rPr>
        <w:t xml:space="preserve"> </w:t>
      </w:r>
      <w:r>
        <w:rPr>
          <w:rFonts w:cs="Arial"/>
          <w:rtl/>
        </w:rPr>
        <w:t xml:space="preserve">צריך שיבטל כל מודעא קודם שיתן הגט. שאם מסר מודעא בפני ב' ואמר: "גט זה שאני רוצה ליתן לאשתי דעו שאני אנוס ליתנו ולכן אני אומר בפניכם שיהא בטל" </w:t>
      </w:r>
      <w:r w:rsidR="00A82951">
        <w:rPr>
          <w:rFonts w:cs="Arial"/>
          <w:rtl/>
        </w:rPr>
        <w:t>-</w:t>
      </w:r>
      <w:r>
        <w:rPr>
          <w:rFonts w:cs="Arial"/>
          <w:rtl/>
        </w:rPr>
        <w:t xml:space="preserve"> הרי הוא בטל, אע"פ</w:t>
      </w:r>
      <w:r>
        <w:rPr>
          <w:rStyle w:val="a7"/>
          <w:rFonts w:cs="Arial"/>
          <w:rtl/>
        </w:rPr>
        <w:footnoteReference w:id="1462"/>
      </w:r>
      <w:r>
        <w:rPr>
          <w:rFonts w:cs="Arial"/>
          <w:rtl/>
        </w:rPr>
        <w:t xml:space="preserve"> שלא לקח בקנין... ואע"פ שנותנו אח"כ לא אמרינן שבטל המודעא שמסר עד שיאמר בפירוש שמבטל המודעא, ואז היא בטילה, ואין צריך קנין. </w:t>
      </w:r>
      <w:r>
        <w:rPr>
          <w:color w:val="E36C0A" w:themeColor="accent6" w:themeShade="BF"/>
          <w:rtl/>
        </w:rPr>
        <w:t>(וכ"פ בשו"ע)</w:t>
      </w:r>
    </w:p>
    <w:p w14:paraId="7C940A39" w14:textId="77777777" w:rsidR="00FA2119" w:rsidRDefault="00FA2119" w:rsidP="00FA2119">
      <w:r>
        <w:rPr>
          <w:rFonts w:cs="Arial"/>
          <w:b/>
          <w:bCs/>
          <w:rtl/>
        </w:rPr>
        <w:t xml:space="preserve">בבא בתרא </w:t>
      </w:r>
      <w:r>
        <w:rPr>
          <w:rFonts w:cs="Arial"/>
          <w:b/>
          <w:bCs/>
          <w:sz w:val="16"/>
          <w:szCs w:val="16"/>
          <w:rtl/>
        </w:rPr>
        <w:t xml:space="preserve">(פ' חזקת) </w:t>
      </w:r>
      <w:r>
        <w:rPr>
          <w:rFonts w:cs="Arial"/>
          <w:b/>
          <w:bCs/>
          <w:rtl/>
        </w:rPr>
        <w:t xml:space="preserve">מ ע"ב: </w:t>
      </w:r>
      <w:r>
        <w:rPr>
          <w:rFonts w:cs="Arial"/>
          <w:u w:val="single"/>
          <w:rtl/>
        </w:rPr>
        <w:t>אמרי נהרדעי</w:t>
      </w:r>
      <w:r>
        <w:rPr>
          <w:rFonts w:cs="Arial"/>
          <w:rtl/>
        </w:rPr>
        <w:t>: כל מודעא</w:t>
      </w:r>
      <w:r>
        <w:rPr>
          <w:rtl/>
        </w:rPr>
        <w:t xml:space="preserve"> </w:t>
      </w:r>
      <w:r>
        <w:rPr>
          <w:sz w:val="14"/>
          <w:szCs w:val="14"/>
          <w:rtl/>
        </w:rPr>
        <w:t xml:space="preserve">(מא.) </w:t>
      </w:r>
      <w:r>
        <w:rPr>
          <w:rFonts w:cs="Arial"/>
          <w:rtl/>
        </w:rPr>
        <w:t>דלא כתיב בה אנן ידעינן ביה באונסא דפלניא, לאו מודעא היא. מודעא דמאי? אי דגיטא ודמתנתא, גלויי מילתא בעלמא היא!</w:t>
      </w:r>
      <w:r>
        <w:rPr>
          <w:rtl/>
        </w:rPr>
        <w:t>...</w:t>
      </w:r>
    </w:p>
    <w:p w14:paraId="565918D4" w14:textId="675DFD1D" w:rsidR="00FA2119" w:rsidRDefault="00FA2119" w:rsidP="00FA2119">
      <w:pPr>
        <w:rPr>
          <w:rtl/>
        </w:rPr>
      </w:pPr>
      <w:r>
        <w:rPr>
          <w:rFonts w:cs="Arial"/>
          <w:b/>
          <w:bCs/>
          <w:rtl/>
        </w:rPr>
        <w:t xml:space="preserve">גיטין </w:t>
      </w:r>
      <w:r>
        <w:rPr>
          <w:rFonts w:cs="Arial"/>
          <w:b/>
          <w:bCs/>
          <w:sz w:val="16"/>
          <w:szCs w:val="16"/>
          <w:rtl/>
        </w:rPr>
        <w:t xml:space="preserve">(פ' השולח גט) </w:t>
      </w:r>
      <w:r>
        <w:rPr>
          <w:rFonts w:cs="Arial"/>
          <w:b/>
          <w:bCs/>
          <w:rtl/>
        </w:rPr>
        <w:t>לב ע"א:</w:t>
      </w:r>
      <w:r>
        <w:rPr>
          <w:rFonts w:cs="Arial"/>
          <w:rtl/>
        </w:rPr>
        <w:t xml:space="preserve"> </w:t>
      </w:r>
      <w:r>
        <w:rPr>
          <w:rFonts w:cs="Arial"/>
          <w:u w:val="double"/>
          <w:rtl/>
        </w:rPr>
        <w:t>מתני'</w:t>
      </w:r>
      <w:r>
        <w:rPr>
          <w:rFonts w:cs="Arial"/>
          <w:rtl/>
        </w:rPr>
        <w:t xml:space="preserve">: השולח גט לאשתו, והגיע בשליח או ששלח אחריו שליח, ואמר לו גט שנתתי לך בטל הוא </w:t>
      </w:r>
      <w:r w:rsidR="00A82951">
        <w:rPr>
          <w:rFonts w:cs="Arial"/>
          <w:rtl/>
        </w:rPr>
        <w:t>-</w:t>
      </w:r>
      <w:r>
        <w:rPr>
          <w:rFonts w:cs="Arial"/>
          <w:rtl/>
        </w:rPr>
        <w:t xml:space="preserve"> הרי זה בטל. קידם אצל אשתו או ששלח אצלה שליח, ואמר לה גט ששלחתי לך בטל הוא </w:t>
      </w:r>
      <w:r w:rsidR="00A82951">
        <w:rPr>
          <w:rFonts w:cs="Arial"/>
          <w:rtl/>
        </w:rPr>
        <w:t>-</w:t>
      </w:r>
      <w:r>
        <w:rPr>
          <w:rFonts w:cs="Arial"/>
          <w:rtl/>
        </w:rPr>
        <w:t xml:space="preserve"> הרי זה בטל. אם משהגיע גט לידה </w:t>
      </w:r>
      <w:r w:rsidR="00A82951">
        <w:rPr>
          <w:rFonts w:cs="Arial"/>
          <w:rtl/>
        </w:rPr>
        <w:t>-</w:t>
      </w:r>
      <w:r>
        <w:rPr>
          <w:rFonts w:cs="Arial"/>
          <w:rtl/>
        </w:rPr>
        <w:t xml:space="preserve"> שוב אינו יכול לבטלו.</w:t>
      </w:r>
    </w:p>
    <w:p w14:paraId="331A5B0D" w14:textId="77777777" w:rsidR="00FA2119" w:rsidRDefault="00FA2119" w:rsidP="00FA2119">
      <w:pPr>
        <w:rPr>
          <w:u w:val="single"/>
          <w:rtl/>
        </w:rPr>
      </w:pPr>
      <w:r>
        <w:rPr>
          <w:u w:val="single"/>
          <w:rtl/>
        </w:rPr>
        <w:t>האם ביטול מודעה מועיל אע"ג שהעדים לא יודעים את סיבת האונס או כשהמוסר מודעה משקר ואין לו באמת אונס:</w:t>
      </w:r>
    </w:p>
    <w:p w14:paraId="1523D9FE" w14:textId="3C349DCA" w:rsidR="00FA2119" w:rsidRDefault="00FA2119" w:rsidP="006A458D">
      <w:pPr>
        <w:pStyle w:val="ab"/>
        <w:numPr>
          <w:ilvl w:val="0"/>
          <w:numId w:val="90"/>
        </w:numPr>
        <w:rPr>
          <w:rtl/>
        </w:rPr>
      </w:pPr>
      <w:r>
        <w:rPr>
          <w:rFonts w:cs="Arial"/>
          <w:rtl/>
        </w:rPr>
        <w:t xml:space="preserve">רא"ש </w:t>
      </w:r>
      <w:r>
        <w:rPr>
          <w:rFonts w:cs="Arial"/>
          <w:sz w:val="16"/>
          <w:szCs w:val="16"/>
          <w:rtl/>
        </w:rPr>
        <w:t>(פ"ד סי' ו)</w:t>
      </w:r>
      <w:r>
        <w:rPr>
          <w:rFonts w:cs="Arial"/>
          <w:rtl/>
        </w:rPr>
        <w:t xml:space="preserve"> רשב"א </w:t>
      </w:r>
      <w:r>
        <w:rPr>
          <w:rFonts w:cs="Arial"/>
          <w:sz w:val="16"/>
          <w:szCs w:val="16"/>
          <w:rtl/>
        </w:rPr>
        <w:t xml:space="preserve">(גיטין טז:) </w:t>
      </w:r>
      <w:r>
        <w:rPr>
          <w:rtl/>
        </w:rPr>
        <w:t xml:space="preserve">טור </w:t>
      </w:r>
      <w:r>
        <w:rPr>
          <w:rFonts w:cs="Arial"/>
          <w:rtl/>
        </w:rPr>
        <w:t xml:space="preserve">ור"ן </w:t>
      </w:r>
      <w:r>
        <w:rPr>
          <w:rFonts w:cs="Arial"/>
          <w:sz w:val="16"/>
          <w:szCs w:val="16"/>
          <w:rtl/>
        </w:rPr>
        <w:t>(גיטין טז:, ובחידושיו</w:t>
      </w:r>
      <w:r>
        <w:rPr>
          <w:rStyle w:val="a7"/>
          <w:rFonts w:cs="Arial"/>
          <w:sz w:val="16"/>
          <w:szCs w:val="16"/>
          <w:rtl/>
        </w:rPr>
        <w:footnoteReference w:id="1463"/>
      </w:r>
      <w:r>
        <w:rPr>
          <w:rFonts w:cs="Arial"/>
          <w:sz w:val="16"/>
          <w:szCs w:val="16"/>
          <w:rtl/>
        </w:rPr>
        <w:t xml:space="preserve"> ב"ב מ:)</w:t>
      </w:r>
      <w:r>
        <w:rPr>
          <w:rStyle w:val="a7"/>
          <w:rtl/>
        </w:rPr>
        <w:footnoteReference w:id="1464"/>
      </w:r>
      <w:r w:rsidR="00A82951">
        <w:rPr>
          <w:rtl/>
        </w:rPr>
        <w:t>-</w:t>
      </w:r>
      <w:r>
        <w:rPr>
          <w:rFonts w:cs="Arial"/>
          <w:rtl/>
        </w:rPr>
        <w:t xml:space="preserve"> אע"פ שאין מכירין את אונסו, ואפילו אינו אומר אמת</w:t>
      </w:r>
      <w:r w:rsidR="00471E77">
        <w:rPr>
          <w:rFonts w:cs="Arial" w:hint="cs"/>
          <w:rtl/>
        </w:rPr>
        <w:t>,</w:t>
      </w:r>
      <w:r>
        <w:rPr>
          <w:rFonts w:cs="Arial"/>
          <w:rtl/>
        </w:rPr>
        <w:t xml:space="preserve"> שאינו אנוס, כיון שבטלו </w:t>
      </w:r>
      <w:r w:rsidR="00A82951">
        <w:rPr>
          <w:rFonts w:cs="Arial"/>
          <w:rtl/>
        </w:rPr>
        <w:t>-</w:t>
      </w:r>
      <w:r>
        <w:rPr>
          <w:rFonts w:cs="Arial"/>
          <w:rtl/>
        </w:rPr>
        <w:t xml:space="preserve"> אינו גט</w:t>
      </w:r>
      <w:r>
        <w:rPr>
          <w:rFonts w:cs="Arial"/>
          <w:sz w:val="16"/>
          <w:szCs w:val="16"/>
          <w:rtl/>
        </w:rPr>
        <w:t xml:space="preserve"> (ל' הטור)</w:t>
      </w:r>
      <w:r>
        <w:rPr>
          <w:rFonts w:cs="Arial"/>
          <w:rtl/>
        </w:rPr>
        <w:t>.</w:t>
      </w:r>
      <w:r>
        <w:rPr>
          <w:rtl/>
        </w:rPr>
        <w:t xml:space="preserve"> </w:t>
      </w:r>
      <w:r>
        <w:rPr>
          <w:color w:val="E36C0A" w:themeColor="accent6" w:themeShade="BF"/>
          <w:rtl/>
        </w:rPr>
        <w:t>(וכ"פ בשו"ע)</w:t>
      </w:r>
    </w:p>
    <w:p w14:paraId="1B6E97B4" w14:textId="4E3A21B2" w:rsidR="00FA2119" w:rsidRDefault="00FA2119" w:rsidP="006A458D">
      <w:pPr>
        <w:pStyle w:val="ab"/>
        <w:numPr>
          <w:ilvl w:val="0"/>
          <w:numId w:val="90"/>
        </w:numPr>
      </w:pPr>
      <w:r>
        <w:rPr>
          <w:rFonts w:cs="Arial"/>
          <w:rtl/>
        </w:rPr>
        <w:t>רמב"ן</w:t>
      </w:r>
      <w:r>
        <w:rPr>
          <w:rStyle w:val="a7"/>
          <w:rFonts w:cs="Arial"/>
          <w:rtl/>
        </w:rPr>
        <w:footnoteReference w:id="1465"/>
      </w:r>
      <w:r>
        <w:rPr>
          <w:rFonts w:cs="Arial"/>
          <w:rtl/>
        </w:rPr>
        <w:t xml:space="preserve"> </w:t>
      </w:r>
      <w:r>
        <w:rPr>
          <w:rFonts w:cs="Arial"/>
          <w:sz w:val="16"/>
          <w:szCs w:val="16"/>
          <w:rtl/>
        </w:rPr>
        <w:t>(ב"ב מ:)</w:t>
      </w:r>
      <w:r w:rsidR="00A82951">
        <w:rPr>
          <w:rFonts w:cs="Arial"/>
          <w:rtl/>
        </w:rPr>
        <w:t>-</w:t>
      </w:r>
      <w:r>
        <w:rPr>
          <w:rFonts w:cs="Arial"/>
          <w:rtl/>
        </w:rPr>
        <w:t xml:space="preserve"> דוקא מודעא שיש בה אונס, אבל בלא אונס אמר גט שאעשה לא יהא גט </w:t>
      </w:r>
      <w:r w:rsidR="00A82951">
        <w:rPr>
          <w:rFonts w:cs="Arial"/>
          <w:rtl/>
        </w:rPr>
        <w:t>-</w:t>
      </w:r>
      <w:r>
        <w:rPr>
          <w:rFonts w:cs="Arial"/>
          <w:rtl/>
        </w:rPr>
        <w:t xml:space="preserve"> הגט פסול, שמא במודעה זו בא לבטל שליחות סופר ועדים והוי כאילו כתבוהו שלא במצותו</w:t>
      </w:r>
      <w:r>
        <w:rPr>
          <w:rFonts w:cs="Arial"/>
          <w:sz w:val="16"/>
          <w:szCs w:val="16"/>
          <w:rtl/>
        </w:rPr>
        <w:t xml:space="preserve"> (ע"פ דברי הרמב"ן)</w:t>
      </w:r>
      <w:r>
        <w:rPr>
          <w:rFonts w:cs="Arial"/>
          <w:rtl/>
        </w:rPr>
        <w:t>.</w:t>
      </w:r>
    </w:p>
    <w:p w14:paraId="7CBE913B" w14:textId="67CFA1FE" w:rsidR="00FA2119" w:rsidRDefault="00FA2119" w:rsidP="006A458D">
      <w:pPr>
        <w:pStyle w:val="ab"/>
        <w:numPr>
          <w:ilvl w:val="0"/>
          <w:numId w:val="90"/>
        </w:numPr>
      </w:pPr>
      <w:r>
        <w:rPr>
          <w:rFonts w:cs="Arial"/>
          <w:rtl/>
        </w:rPr>
        <w:lastRenderedPageBreak/>
        <w:t xml:space="preserve">רשב"ם </w:t>
      </w:r>
      <w:r>
        <w:rPr>
          <w:rFonts w:cs="Arial"/>
          <w:sz w:val="16"/>
          <w:szCs w:val="16"/>
          <w:rtl/>
        </w:rPr>
        <w:t>(ב"ב שם. סוד"ה גלוי מילתא)</w:t>
      </w:r>
      <w:r w:rsidR="00A82951">
        <w:rPr>
          <w:rFonts w:cs="Arial"/>
          <w:rtl/>
        </w:rPr>
        <w:t>-</w:t>
      </w:r>
      <w:r>
        <w:rPr>
          <w:rFonts w:cs="Arial"/>
          <w:rtl/>
        </w:rPr>
        <w:t xml:space="preserve"> דוקא מודעא שיש בה אונס, אבל בלא אונס אמר גט שאעשה לא יהא גט </w:t>
      </w:r>
      <w:r w:rsidR="00A82951">
        <w:rPr>
          <w:rFonts w:cs="Arial"/>
          <w:rtl/>
        </w:rPr>
        <w:t>-</w:t>
      </w:r>
      <w:r>
        <w:rPr>
          <w:rFonts w:cs="Arial"/>
          <w:rtl/>
        </w:rPr>
        <w:t xml:space="preserve"> אין זה ביטול, דכיון דלא נאנס כלל אנן סהדי דגמר בלבו בשעת מעשה</w:t>
      </w:r>
      <w:r w:rsidR="00BD456B">
        <w:rPr>
          <w:rFonts w:cs="Arial" w:hint="cs"/>
          <w:rtl/>
        </w:rPr>
        <w:t>,</w:t>
      </w:r>
      <w:r>
        <w:rPr>
          <w:rFonts w:cs="Arial"/>
          <w:rtl/>
        </w:rPr>
        <w:t xml:space="preserve"> ולא מהני ביה ביטול קודם כתיבה אא"כ ביטלו אחר כתיבה.</w:t>
      </w:r>
    </w:p>
    <w:p w14:paraId="35D67128" w14:textId="77777777" w:rsidR="00FA2119" w:rsidRDefault="00FA2119" w:rsidP="00FA2119">
      <w:r>
        <w:rPr>
          <w:rFonts w:cs="Arial"/>
          <w:u w:val="single"/>
          <w:rtl/>
        </w:rPr>
        <w:t>תלה מודעתו בדבר אחד, ונמצא אותו הדבר בטל:</w:t>
      </w:r>
      <w:r>
        <w:rPr>
          <w:rFonts w:cs="Arial"/>
          <w:sz w:val="16"/>
          <w:szCs w:val="16"/>
          <w:rtl/>
        </w:rPr>
        <w:t xml:space="preserve">  (דרכ"מ אות א)</w:t>
      </w:r>
      <w:r>
        <w:rPr>
          <w:rFonts w:cs="Arial"/>
          <w:rtl/>
        </w:rPr>
        <w:t xml:space="preserve"> </w:t>
      </w:r>
    </w:p>
    <w:p w14:paraId="7EBFD495" w14:textId="5BBB1064" w:rsidR="00FA2119" w:rsidRDefault="00FA2119" w:rsidP="006A458D">
      <w:pPr>
        <w:pStyle w:val="ab"/>
        <w:numPr>
          <w:ilvl w:val="0"/>
          <w:numId w:val="90"/>
        </w:numPr>
      </w:pPr>
      <w:r>
        <w:rPr>
          <w:rFonts w:cs="Arial"/>
          <w:rtl/>
        </w:rPr>
        <w:t xml:space="preserve">רשב"א </w:t>
      </w:r>
      <w:r>
        <w:rPr>
          <w:rFonts w:cs="Arial"/>
          <w:sz w:val="16"/>
          <w:szCs w:val="16"/>
          <w:rtl/>
        </w:rPr>
        <w:t>(ח"א סי' תקעג)</w:t>
      </w:r>
      <w:r>
        <w:rPr>
          <w:rFonts w:cs="Arial"/>
          <w:rtl/>
        </w:rPr>
        <w:t xml:space="preserve"> ור"ן </w:t>
      </w:r>
      <w:r>
        <w:rPr>
          <w:rFonts w:cs="Arial"/>
          <w:sz w:val="16"/>
          <w:szCs w:val="16"/>
          <w:rtl/>
        </w:rPr>
        <w:t>(פרק השולח יז.)</w:t>
      </w:r>
      <w:r w:rsidR="00A82951">
        <w:rPr>
          <w:rFonts w:cs="Arial"/>
          <w:rtl/>
        </w:rPr>
        <w:t>-</w:t>
      </w:r>
      <w:r>
        <w:rPr>
          <w:rFonts w:cs="Arial"/>
          <w:rtl/>
        </w:rPr>
        <w:t xml:space="preserve"> אפילו תלה מודעתו בדבר אחד ונמצא אותו הדבר בטלה </w:t>
      </w:r>
      <w:r w:rsidR="00A82951">
        <w:rPr>
          <w:rFonts w:cs="Arial"/>
          <w:rtl/>
        </w:rPr>
        <w:t>-</w:t>
      </w:r>
      <w:r>
        <w:rPr>
          <w:rFonts w:cs="Arial"/>
          <w:rtl/>
        </w:rPr>
        <w:t xml:space="preserve"> אפילו הכי מודעתו קיימת</w:t>
      </w:r>
      <w:r>
        <w:rPr>
          <w:rFonts w:cs="Arial"/>
          <w:sz w:val="16"/>
          <w:szCs w:val="16"/>
          <w:rtl/>
        </w:rPr>
        <w:t xml:space="preserve"> (ל' הר"ן)</w:t>
      </w:r>
      <w:r>
        <w:rPr>
          <w:rFonts w:cs="Arial"/>
          <w:rtl/>
        </w:rPr>
        <w:t xml:space="preserve">. </w:t>
      </w:r>
    </w:p>
    <w:p w14:paraId="204B5C28" w14:textId="77777777" w:rsidR="00FA2119" w:rsidRDefault="00FA2119" w:rsidP="00FA2119">
      <w:r>
        <w:rPr>
          <w:rFonts w:cs="Arial"/>
          <w:u w:val="single"/>
          <w:rtl/>
        </w:rPr>
        <w:t xml:space="preserve">מסירת מודעה לשני עדים בנפרד </w:t>
      </w:r>
      <w:r>
        <w:rPr>
          <w:rFonts w:cs="Arial"/>
          <w:sz w:val="16"/>
          <w:szCs w:val="16"/>
          <w:u w:val="single"/>
          <w:rtl/>
        </w:rPr>
        <w:t>(עדות מיוחדת)</w:t>
      </w:r>
      <w:r>
        <w:rPr>
          <w:rFonts w:cs="Arial"/>
          <w:u w:val="single"/>
          <w:rtl/>
        </w:rPr>
        <w:t>:</w:t>
      </w:r>
      <w:r>
        <w:rPr>
          <w:rFonts w:cs="Arial"/>
          <w:sz w:val="16"/>
          <w:szCs w:val="16"/>
          <w:rtl/>
        </w:rPr>
        <w:t xml:space="preserve">  (דרכ"מ אות א)</w:t>
      </w:r>
    </w:p>
    <w:p w14:paraId="061B201C" w14:textId="25DA5A59" w:rsidR="00FA2119" w:rsidRDefault="00FA2119" w:rsidP="006A458D">
      <w:pPr>
        <w:pStyle w:val="ab"/>
        <w:numPr>
          <w:ilvl w:val="0"/>
          <w:numId w:val="90"/>
        </w:numPr>
      </w:pPr>
      <w:r>
        <w:rPr>
          <w:rFonts w:cs="Arial"/>
          <w:rtl/>
        </w:rPr>
        <w:t xml:space="preserve">ריב"ש </w:t>
      </w:r>
      <w:r>
        <w:rPr>
          <w:rFonts w:cs="Arial"/>
          <w:sz w:val="16"/>
          <w:szCs w:val="16"/>
          <w:rtl/>
        </w:rPr>
        <w:t>(סי' רלב)</w:t>
      </w:r>
      <w:r w:rsidR="00A82951">
        <w:rPr>
          <w:rFonts w:cs="Arial"/>
          <w:rtl/>
        </w:rPr>
        <w:t>-</w:t>
      </w:r>
      <w:r>
        <w:rPr>
          <w:rFonts w:cs="Arial"/>
          <w:rtl/>
        </w:rPr>
        <w:t xml:space="preserve"> מסירת מודעא מהני בעדות מיוחדת, דהיינו שמסר מודעא לפני אחד ואח"כ מסר מודעא לפני שני. אבל לא מהני עדות זו לענין ביטול גט עד שיהיו העדים ביחד.</w:t>
      </w:r>
      <w:r>
        <w:rPr>
          <w:rtl/>
        </w:rPr>
        <w:t xml:space="preserve"> </w:t>
      </w:r>
      <w:r>
        <w:rPr>
          <w:color w:val="00B0F0"/>
          <w:rtl/>
        </w:rPr>
        <w:t>(וכ"פ הרמ"א)</w:t>
      </w:r>
    </w:p>
    <w:p w14:paraId="59AB80C7"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3782B63" w14:textId="552AEB91" w:rsidR="00FA2119" w:rsidRDefault="00FA2119" w:rsidP="00FA2119">
      <w:pPr>
        <w:rPr>
          <w:rFonts w:cs="Arial"/>
          <w:rtl/>
        </w:rPr>
      </w:pPr>
      <w:r>
        <w:rPr>
          <w:rFonts w:cs="Arial"/>
          <w:rtl/>
        </w:rPr>
        <w:t>צריך שיבטל כל מודעה קודם שיתן הגט. שאם מסר מודעא</w:t>
      </w:r>
      <w:r>
        <w:rPr>
          <w:rStyle w:val="a7"/>
          <w:rFonts w:cs="Arial"/>
          <w:rtl/>
        </w:rPr>
        <w:footnoteReference w:id="1466"/>
      </w:r>
      <w:r>
        <w:rPr>
          <w:rFonts w:cs="Arial"/>
          <w:rtl/>
        </w:rPr>
        <w:t xml:space="preserve"> בפני</w:t>
      </w:r>
      <w:r>
        <w:rPr>
          <w:rStyle w:val="a7"/>
          <w:rFonts w:cs="Arial"/>
          <w:rtl/>
        </w:rPr>
        <w:footnoteReference w:id="1467"/>
      </w:r>
      <w:r>
        <w:rPr>
          <w:rFonts w:cs="Arial"/>
          <w:rtl/>
        </w:rPr>
        <w:t xml:space="preserve"> שנים ואמר: גט שאני רוצה ליתן לאשתי דעו שאני אנוס</w:t>
      </w:r>
      <w:r>
        <w:rPr>
          <w:rStyle w:val="a7"/>
          <w:rFonts w:cs="Arial"/>
          <w:rtl/>
        </w:rPr>
        <w:footnoteReference w:id="1468"/>
      </w:r>
      <w:r>
        <w:rPr>
          <w:rFonts w:cs="Arial"/>
          <w:rtl/>
        </w:rPr>
        <w:t xml:space="preserve"> ליתנו ולכן אני אומר בפניכם שיהא בטל, הרי הוא בטל, אף על פי שלא לקח בקנין, </w:t>
      </w:r>
      <w:r>
        <w:rPr>
          <w:rFonts w:cs="Arial"/>
          <w:sz w:val="18"/>
          <w:szCs w:val="18"/>
          <w:rtl/>
        </w:rPr>
        <w:t>הגה: ואע"פ שלא מסר בפני שני עדים ביחד, רק בזה שלא בפני זה, ובלבד שיהיו כשרים (ריב"ש)</w:t>
      </w:r>
      <w:r>
        <w:rPr>
          <w:rFonts w:cs="Arial"/>
          <w:rtl/>
        </w:rPr>
        <w:t xml:space="preserve">, אף על פי שאין מכירין את אונסו, ואפילו אם האונס שאמר היה שקר. ואף על פי שנתנו אחר כך, לא אמרינן שביטל המודעא שמסר, עד שיאמר בפירוש שמבטל המודעא ואז הוא בטל, ואינו צריך קנין. </w:t>
      </w:r>
    </w:p>
    <w:p w14:paraId="54252751" w14:textId="77777777" w:rsidR="00FA2119" w:rsidRDefault="00FA2119" w:rsidP="00FA2119">
      <w:pPr>
        <w:rPr>
          <w:rtl/>
        </w:rPr>
      </w:pPr>
    </w:p>
    <w:p w14:paraId="30622AAA" w14:textId="77777777" w:rsidR="00FA2119" w:rsidRDefault="00FA2119" w:rsidP="00FA2119">
      <w:pPr>
        <w:pStyle w:val="2"/>
        <w:rPr>
          <w:rtl/>
        </w:rPr>
      </w:pPr>
      <w:r>
        <w:rPr>
          <w:rtl/>
        </w:rPr>
        <w:t>סעיף ב: נוסח ביטול המודעה.</w:t>
      </w:r>
    </w:p>
    <w:p w14:paraId="410B863D" w14:textId="4ED67595" w:rsidR="00FA2119" w:rsidRDefault="00FA2119" w:rsidP="00FA2119">
      <w:pPr>
        <w:rPr>
          <w:u w:val="single"/>
          <w:rtl/>
        </w:rPr>
      </w:pPr>
      <w:r>
        <w:rPr>
          <w:u w:val="single"/>
          <w:rtl/>
        </w:rPr>
        <w:t>מסר מודעה שהגט שיכתוב בטל</w:t>
      </w:r>
      <w:r w:rsidR="00087745">
        <w:rPr>
          <w:rFonts w:hint="cs"/>
          <w:u w:val="single"/>
          <w:rtl/>
        </w:rPr>
        <w:t>,</w:t>
      </w:r>
      <w:r>
        <w:rPr>
          <w:u w:val="single"/>
          <w:rtl/>
        </w:rPr>
        <w:t xml:space="preserve"> והוסיף שמודעה זו לא תוכל להתבטל </w:t>
      </w:r>
      <w:r w:rsidR="00A82951">
        <w:rPr>
          <w:u w:val="single"/>
          <w:rtl/>
        </w:rPr>
        <w:t>-</w:t>
      </w:r>
      <w:r>
        <w:rPr>
          <w:u w:val="single"/>
          <w:rtl/>
        </w:rPr>
        <w:t xml:space="preserve"> האם יכול לבטלה אח"כ ע"י מודעה אחרת:</w:t>
      </w:r>
    </w:p>
    <w:p w14:paraId="72299AC3" w14:textId="32ABCB51" w:rsidR="00FA2119" w:rsidRDefault="00FA2119" w:rsidP="006A458D">
      <w:pPr>
        <w:pStyle w:val="ab"/>
        <w:numPr>
          <w:ilvl w:val="0"/>
          <w:numId w:val="90"/>
        </w:numPr>
        <w:rPr>
          <w:rFonts w:cs="Arial"/>
          <w:rtl/>
        </w:rPr>
      </w:pPr>
      <w:r>
        <w:rPr>
          <w:rFonts w:cs="Arial"/>
          <w:rtl/>
        </w:rPr>
        <w:t xml:space="preserve">רמב"ם </w:t>
      </w:r>
      <w:r>
        <w:rPr>
          <w:rFonts w:cs="Arial"/>
          <w:sz w:val="16"/>
          <w:szCs w:val="16"/>
          <w:rtl/>
        </w:rPr>
        <w:t>(פ"ו הי"ט</w:t>
      </w:r>
      <w:r w:rsidR="00A82951">
        <w:rPr>
          <w:rFonts w:cs="Arial"/>
          <w:sz w:val="16"/>
          <w:szCs w:val="16"/>
          <w:rtl/>
        </w:rPr>
        <w:t>-</w:t>
      </w:r>
      <w:r>
        <w:rPr>
          <w:rFonts w:cs="Arial"/>
          <w:sz w:val="16"/>
          <w:szCs w:val="16"/>
          <w:rtl/>
        </w:rPr>
        <w:t>כ)</w:t>
      </w:r>
      <w:r w:rsidR="00A82951">
        <w:rPr>
          <w:rFonts w:cs="Arial"/>
          <w:rtl/>
        </w:rPr>
        <w:t>-</w:t>
      </w:r>
      <w:r>
        <w:rPr>
          <w:rFonts w:cs="Arial"/>
          <w:rtl/>
        </w:rPr>
        <w:t xml:space="preserve"> וכן אם אמר לשנים 'כל גט שאכתוב לפלונית אשתי בטל הוא וכל דבר שאבטל בו מודעא זו הרי הוא בטל', וכתב אחר כך גט ונתנו לה, אף על פי שביטל המודעא קודם שיכתוב הגט ויתנו לה </w:t>
      </w:r>
      <w:r w:rsidR="00A82951">
        <w:rPr>
          <w:rFonts w:cs="Arial"/>
          <w:rtl/>
        </w:rPr>
        <w:t>-</w:t>
      </w:r>
      <w:r>
        <w:rPr>
          <w:rFonts w:cs="Arial"/>
          <w:rtl/>
        </w:rPr>
        <w:t xml:space="preserve"> הרי הגט בטל. אם כן מה תקנת דבר זה, שיאמרו לו העדים קודם כתיבת הגט 'אמור בפנינו שכל הדברים שמסרת שגורמין כשיתקיימו אותן הדברים לבטל גט זה הרי הן בטלים'. והוא אומר 'הין'. ואחר כך אומר להם לכתוב ולחתום וליתן לה. ולא יניחוהו לילך עד שיגיע הגט לידה, כדי שלא יצא ויבטלו</w:t>
      </w:r>
      <w:r>
        <w:rPr>
          <w:rStyle w:val="a7"/>
          <w:rFonts w:cs="Arial"/>
          <w:rtl/>
        </w:rPr>
        <w:footnoteReference w:id="1469"/>
      </w:r>
      <w:r>
        <w:rPr>
          <w:rFonts w:cs="Arial"/>
          <w:rtl/>
        </w:rPr>
        <w:t xml:space="preserve">. ואין המוסר מודעא ולא המבטל מודעא צריך קנין. </w:t>
      </w:r>
    </w:p>
    <w:p w14:paraId="41232B6B" w14:textId="42A8A895" w:rsidR="00FA2119" w:rsidRDefault="00FA2119" w:rsidP="006A458D">
      <w:pPr>
        <w:pStyle w:val="ab"/>
        <w:numPr>
          <w:ilvl w:val="0"/>
          <w:numId w:val="90"/>
        </w:numPr>
      </w:pPr>
      <w:r>
        <w:rPr>
          <w:rFonts w:cs="Arial"/>
          <w:rtl/>
        </w:rPr>
        <w:lastRenderedPageBreak/>
        <w:t>רא"ש</w:t>
      </w:r>
      <w:r>
        <w:rPr>
          <w:rFonts w:cs="Arial"/>
          <w:sz w:val="16"/>
          <w:szCs w:val="16"/>
          <w:rtl/>
        </w:rPr>
        <w:t xml:space="preserve"> (פ"ד סי' ו, כ"כ הטור בשמו)</w:t>
      </w:r>
      <w:r w:rsidR="00A82951">
        <w:rPr>
          <w:rFonts w:cs="Arial"/>
          <w:rtl/>
        </w:rPr>
        <w:t>-</w:t>
      </w:r>
      <w:r>
        <w:rPr>
          <w:rFonts w:cs="Arial"/>
          <w:rtl/>
        </w:rPr>
        <w:t xml:space="preserve"> ואם מסר מודעא ואמר אף אם אבטלנה לא תבטל, אם בטל מודעא ומודעא דמודעי עד סוף כל מודעי</w:t>
      </w:r>
      <w:r w:rsidR="008670E0">
        <w:rPr>
          <w:rStyle w:val="a7"/>
          <w:rFonts w:cs="Arial"/>
          <w:rtl/>
        </w:rPr>
        <w:footnoteReference w:id="1470"/>
      </w:r>
      <w:r>
        <w:rPr>
          <w:rFonts w:cs="Arial"/>
          <w:rtl/>
        </w:rPr>
        <w:t xml:space="preserve"> </w:t>
      </w:r>
      <w:r w:rsidR="00A82951">
        <w:rPr>
          <w:rFonts w:cs="Arial"/>
          <w:rtl/>
        </w:rPr>
        <w:t>-</w:t>
      </w:r>
      <w:r>
        <w:rPr>
          <w:rFonts w:cs="Arial"/>
          <w:rtl/>
        </w:rPr>
        <w:t xml:space="preserve"> הכל בטל, כשם שמועיל ביטולו על מודעא אחת, כך מועיל על כמה מודעות ועל כל תנאין שהתנה, וכן עמא דבר</w:t>
      </w:r>
      <w:r>
        <w:rPr>
          <w:rStyle w:val="a7"/>
          <w:rFonts w:cs="Arial"/>
          <w:rtl/>
        </w:rPr>
        <w:footnoteReference w:id="1471"/>
      </w:r>
      <w:r>
        <w:rPr>
          <w:rFonts w:cs="Arial"/>
          <w:rtl/>
        </w:rPr>
        <w:t>.</w:t>
      </w:r>
      <w:r>
        <w:rPr>
          <w:rtl/>
        </w:rPr>
        <w:t xml:space="preserve"> </w:t>
      </w:r>
      <w:r>
        <w:rPr>
          <w:color w:val="00B0F0"/>
          <w:rtl/>
        </w:rPr>
        <w:t>(וכ"כ הרמ"א)</w:t>
      </w:r>
      <w:r w:rsidR="008670E0">
        <w:rPr>
          <w:rFonts w:hint="cs"/>
          <w:rtl/>
        </w:rPr>
        <w:t xml:space="preserve"> </w:t>
      </w:r>
    </w:p>
    <w:p w14:paraId="6CCD88F6" w14:textId="2BA6FBC3" w:rsidR="00FA2119" w:rsidRDefault="00FA2119" w:rsidP="006A458D">
      <w:pPr>
        <w:pStyle w:val="ab"/>
        <w:numPr>
          <w:ilvl w:val="0"/>
          <w:numId w:val="90"/>
        </w:numPr>
      </w:pPr>
      <w:r>
        <w:rPr>
          <w:rFonts w:cs="Arial"/>
          <w:rtl/>
        </w:rPr>
        <w:t xml:space="preserve">רשב"א </w:t>
      </w:r>
      <w:r>
        <w:rPr>
          <w:rFonts w:cs="Arial"/>
          <w:sz w:val="16"/>
          <w:szCs w:val="16"/>
          <w:rtl/>
        </w:rPr>
        <w:t>(גיטין לד. ד"ה ולענין מסירת)</w:t>
      </w:r>
      <w:r w:rsidR="00A82951">
        <w:rPr>
          <w:rFonts w:cs="Arial"/>
          <w:rtl/>
        </w:rPr>
        <w:t>-</w:t>
      </w:r>
      <w:r>
        <w:rPr>
          <w:rFonts w:cs="Arial"/>
          <w:rtl/>
        </w:rPr>
        <w:t xml:space="preserve"> </w:t>
      </w:r>
      <w:r>
        <w:rPr>
          <w:rStyle w:val="a7"/>
          <w:rFonts w:cs="Arial"/>
          <w:rtl/>
        </w:rPr>
        <w:footnoteReference w:id="1472"/>
      </w:r>
      <w:r>
        <w:rPr>
          <w:rFonts w:cs="Arial"/>
          <w:rtl/>
        </w:rPr>
        <w:t>להוציא מיד כל ספק שיבטל כל מודעא ועוד שיפסול כל עד שיעיד שמסר מודעא לפניו</w:t>
      </w:r>
      <w:r>
        <w:rPr>
          <w:rStyle w:val="a7"/>
          <w:rFonts w:cs="Arial"/>
          <w:rtl/>
        </w:rPr>
        <w:footnoteReference w:id="1473"/>
      </w:r>
      <w:r>
        <w:rPr>
          <w:rFonts w:cs="Arial"/>
          <w:rtl/>
        </w:rPr>
        <w:t xml:space="preserve">... </w:t>
      </w:r>
      <w:r>
        <w:rPr>
          <w:rStyle w:val="a7"/>
          <w:rFonts w:cs="Arial"/>
          <w:rtl/>
        </w:rPr>
        <w:footnoteReference w:id="1474"/>
      </w:r>
      <w:r>
        <w:rPr>
          <w:rFonts w:cs="Arial"/>
          <w:rtl/>
        </w:rPr>
        <w:t>ויאמר כן: 'הריני מבטל כל מודעא שמסרתי על גט זה וכן אני מבטל כל דבר שגורם כשיתקיימו אותם דברים ביטול לגט זה, וכן אני מעיד על עצמי שלא מסרתי שום דבר על הגט שיבוטל הגט מחמתו, והריני פוסל כל עדים</w:t>
      </w:r>
      <w:r>
        <w:rPr>
          <w:rStyle w:val="a7"/>
          <w:rFonts w:cs="Arial"/>
          <w:rtl/>
        </w:rPr>
        <w:footnoteReference w:id="1475"/>
      </w:r>
      <w:r>
        <w:rPr>
          <w:rFonts w:cs="Arial"/>
          <w:rtl/>
        </w:rPr>
        <w:t xml:space="preserve"> שיעידו שמסרתי או שאמרתי שום דבר שיבוטל מחמתו גט זה או שיורע כחו של גט זה מחמת אותה מודעא או אותו דיבור'. ויכתבו העדים בשטר בפני עצמו להעיד שהוא ביטל בפניהם בענין זה כל מודעא או דיבור שאמר או שמסר על הגט שכתב לאשתו פלונית.</w:t>
      </w:r>
      <w:r>
        <w:rPr>
          <w:rFonts w:cs="Arial"/>
          <w:color w:val="E36C0A" w:themeColor="accent6" w:themeShade="BF"/>
          <w:rtl/>
        </w:rPr>
        <w:t xml:space="preserve"> </w:t>
      </w:r>
      <w:r>
        <w:rPr>
          <w:color w:val="E36C0A" w:themeColor="accent6" w:themeShade="BF"/>
          <w:rtl/>
        </w:rPr>
        <w:t>(וכ"פ בשו"ע)</w:t>
      </w:r>
    </w:p>
    <w:p w14:paraId="240C3BFB" w14:textId="77777777" w:rsidR="00FA2119" w:rsidRDefault="00FA2119" w:rsidP="00FA2119">
      <w:pPr>
        <w:ind w:left="360"/>
      </w:pPr>
      <w:r>
        <w:rPr>
          <w:rFonts w:cs="Arial"/>
          <w:u w:val="dotted"/>
          <w:rtl/>
        </w:rPr>
        <w:t>ומה הדין אם המודעה הייתה בלשון כולל, אך הביטול לא נאמר בלשון כולל:</w:t>
      </w:r>
    </w:p>
    <w:p w14:paraId="0465D458" w14:textId="23C5DDF1" w:rsidR="00FA2119" w:rsidRDefault="00FA2119" w:rsidP="006A458D">
      <w:pPr>
        <w:pStyle w:val="ab"/>
        <w:numPr>
          <w:ilvl w:val="0"/>
          <w:numId w:val="90"/>
        </w:numPr>
      </w:pPr>
      <w:r>
        <w:rPr>
          <w:rFonts w:cs="Arial"/>
          <w:rtl/>
        </w:rPr>
        <w:t>ריב"ש</w:t>
      </w:r>
      <w:r>
        <w:rPr>
          <w:rFonts w:cs="Arial"/>
          <w:sz w:val="16"/>
          <w:szCs w:val="16"/>
          <w:rtl/>
        </w:rPr>
        <w:t xml:space="preserve"> (סי' תפב, וע"ע בסי' שנח)</w:t>
      </w:r>
      <w:r w:rsidR="00A82951">
        <w:rPr>
          <w:rFonts w:cs="Arial"/>
          <w:rtl/>
        </w:rPr>
        <w:t>-</w:t>
      </w:r>
      <w:r>
        <w:rPr>
          <w:rFonts w:cs="Arial"/>
          <w:rtl/>
        </w:rPr>
        <w:t xml:space="preserve"> </w:t>
      </w:r>
      <w:r>
        <w:rPr>
          <w:rStyle w:val="a7"/>
          <w:rFonts w:cs="Arial"/>
          <w:rtl/>
        </w:rPr>
        <w:footnoteReference w:id="1476"/>
      </w:r>
      <w:r>
        <w:rPr>
          <w:rFonts w:cs="Arial"/>
          <w:rtl/>
        </w:rPr>
        <w:t xml:space="preserve">ובנדון זה כבר פסל כל עדים שיעידו על מסירת מודעא, וא"כ המודעא בטלה אם לא היתה בלשון כולל, ואף אם הביטול לא היה בלשון כולל. ואם המודעא היתה בלשון כולל, אם הביטול היה ג"כ בלשון כולל </w:t>
      </w:r>
      <w:r w:rsidR="00A82951">
        <w:rPr>
          <w:rFonts w:cs="Arial"/>
          <w:rtl/>
        </w:rPr>
        <w:t>-</w:t>
      </w:r>
      <w:r>
        <w:rPr>
          <w:rFonts w:cs="Arial"/>
          <w:rtl/>
        </w:rPr>
        <w:t xml:space="preserve"> המודעא בטלה ג"כ והחליצה קיימת וכשרה, וכל שכן שפסל עדים שאין כאן בית מיחוש לדברי הכל. אמנם אם המודעא היתה בלשון כולל שמוסר מודעא על כל ביטול, והביטול אינו במאמר כולל שיכנס בכללו ביטול כל מה שאמר קודם </w:t>
      </w:r>
      <w:r w:rsidR="00A82951">
        <w:rPr>
          <w:rFonts w:cs="Arial"/>
          <w:rtl/>
        </w:rPr>
        <w:t>-</w:t>
      </w:r>
      <w:r>
        <w:rPr>
          <w:rFonts w:cs="Arial"/>
          <w:rtl/>
        </w:rPr>
        <w:t xml:space="preserve"> אז המודעא קיימת והביטול אינו מועיל. ונמשך מזה שהחליצה פסולה. וכל זה במי שלא ידענו שהוא אנוס, אבל אם ידענו שהוא אנוס </w:t>
      </w:r>
      <w:r w:rsidR="00A82951">
        <w:rPr>
          <w:rFonts w:cs="Arial"/>
          <w:rtl/>
        </w:rPr>
        <w:t>-</w:t>
      </w:r>
      <w:r>
        <w:rPr>
          <w:rFonts w:cs="Arial"/>
          <w:rtl/>
        </w:rPr>
        <w:t xml:space="preserve"> חליצתו פסולה ואע"פ שביטל המודעא והמודעא כאילו אינה כיון שביטלה, מכל מקום האונס במקומו עומד ופוסל החליצה. </w:t>
      </w:r>
    </w:p>
    <w:p w14:paraId="518FE45F" w14:textId="77777777" w:rsidR="00FA2119" w:rsidRDefault="00FA2119" w:rsidP="00FA2119">
      <w:pPr>
        <w:ind w:left="360"/>
        <w:rPr>
          <w:u w:val="dotted"/>
          <w:rtl/>
        </w:rPr>
      </w:pPr>
      <w:r>
        <w:rPr>
          <w:u w:val="dotted"/>
          <w:rtl/>
        </w:rPr>
        <w:t>האם אפשר לעשות ביטול מודעה כנ"ל גם במכר:</w:t>
      </w:r>
    </w:p>
    <w:p w14:paraId="1838F764" w14:textId="0F561FBE" w:rsidR="00FA2119" w:rsidRDefault="00FA2119" w:rsidP="006A458D">
      <w:pPr>
        <w:pStyle w:val="ab"/>
        <w:numPr>
          <w:ilvl w:val="0"/>
          <w:numId w:val="90"/>
        </w:numPr>
      </w:pPr>
      <w:r>
        <w:rPr>
          <w:rFonts w:cs="Arial"/>
          <w:rtl/>
        </w:rPr>
        <w:t xml:space="preserve">ר"ן </w:t>
      </w:r>
      <w:r>
        <w:rPr>
          <w:rFonts w:cs="Arial"/>
          <w:sz w:val="16"/>
          <w:szCs w:val="16"/>
          <w:rtl/>
        </w:rPr>
        <w:t>(ב"ב מח: סוד"ה אי לאו, הביאו הנמוק"י [ב"ב כו: ד"ה טאבי])</w:t>
      </w:r>
      <w:r w:rsidR="00A82951">
        <w:rPr>
          <w:rFonts w:cs="Arial"/>
          <w:rtl/>
        </w:rPr>
        <w:t>-</w:t>
      </w:r>
      <w:r>
        <w:rPr>
          <w:rtl/>
        </w:rPr>
        <w:t xml:space="preserve"> </w:t>
      </w:r>
      <w:r>
        <w:rPr>
          <w:rFonts w:cs="Arial"/>
          <w:rtl/>
        </w:rPr>
        <w:t>מיהא שמעינן דאע"ג דאמרינן תלוה וזבין זביניה זביני, כל היכא דמסר מודעא לא הוו זביני, ומיהו אם בטל המודעא ואפי' מתוך האונס מסתברא דמודעתו בטלה, דלא עדיפא בטול מודעא מאונס המכר עצמו דאמרינן דאגב אונסא דזוזי גמר ומקני</w:t>
      </w:r>
      <w:r w:rsidR="00DE230C">
        <w:rPr>
          <w:rFonts w:cs="Arial" w:hint="cs"/>
          <w:rtl/>
        </w:rPr>
        <w:t>,</w:t>
      </w:r>
      <w:r>
        <w:rPr>
          <w:rFonts w:cs="Arial"/>
          <w:rtl/>
        </w:rPr>
        <w:t xml:space="preserve"> הכא נמי אגב אונסא דזוזי גמר ומבטל לה למודעא. ומיהו אם מסר מודעא על כל בטולין שיבטל </w:t>
      </w:r>
      <w:r w:rsidR="00A82951">
        <w:rPr>
          <w:rFonts w:cs="Arial"/>
          <w:rtl/>
        </w:rPr>
        <w:t>-</w:t>
      </w:r>
      <w:r>
        <w:rPr>
          <w:rFonts w:cs="Arial"/>
          <w:rtl/>
        </w:rPr>
        <w:t xml:space="preserve"> בכה"ג אין כל אותן הביטולין כלום לפי שכבר מסר מודעא על כולן ואי איפשר לבטל מודעתו. הילכך כל היכא דמסר מודעא על הבטולין וידעינן </w:t>
      </w:r>
      <w:r>
        <w:rPr>
          <w:rFonts w:cs="Arial"/>
          <w:rtl/>
        </w:rPr>
        <w:lastRenderedPageBreak/>
        <w:t xml:space="preserve">באונסיה </w:t>
      </w:r>
      <w:r w:rsidR="00A82951">
        <w:rPr>
          <w:rFonts w:cs="Arial"/>
          <w:rtl/>
        </w:rPr>
        <w:t>-</w:t>
      </w:r>
      <w:r>
        <w:rPr>
          <w:rFonts w:cs="Arial"/>
          <w:rtl/>
        </w:rPr>
        <w:t xml:space="preserve"> לא הוו זביני. וכ"כ הרמב"ם ז"ל בפ"י מהל' מכירה (ה"ח). וכתב הרשב"א דתקנת דבר זה בפוסל עדי בטול שיאמר 'הריני פוסל כל עדים שיאמרו שמסרתי מודעא על מכר זה', דשוינהו לנפשיה כעדים פסולים וכענין שאמרו בנאמנות. ואני אומר שאם מסר מודעא אף על פסול עדים זה אכתי לא מהני, שאף פסול זה מחמת אונסו הוא שפוסל, וכבר קדם ומסר מודעא על זה. ולפיכך נ"ל דכל היכא דידעינן באונסיה ומסר מודעא על המכר ועל כל הבטולים שיעשה ואף על פסול עדים </w:t>
      </w:r>
      <w:r w:rsidR="00D146BD">
        <w:rPr>
          <w:rFonts w:cs="Arial" w:hint="cs"/>
          <w:rtl/>
        </w:rPr>
        <w:t xml:space="preserve">- </w:t>
      </w:r>
      <w:r>
        <w:rPr>
          <w:rFonts w:cs="Arial"/>
          <w:rtl/>
        </w:rPr>
        <w:t>הרי המכר בטל ואין לו תקנה</w:t>
      </w:r>
      <w:r>
        <w:rPr>
          <w:rStyle w:val="a7"/>
          <w:rFonts w:cs="Arial"/>
          <w:rtl/>
        </w:rPr>
        <w:footnoteReference w:id="1477"/>
      </w:r>
      <w:r>
        <w:rPr>
          <w:rFonts w:cs="Arial"/>
          <w:rtl/>
        </w:rPr>
        <w:t>.</w:t>
      </w:r>
    </w:p>
    <w:p w14:paraId="5C7779DD" w14:textId="77777777" w:rsidR="00FA2119" w:rsidRDefault="00FA2119" w:rsidP="00FA2119">
      <w:pPr>
        <w:rPr>
          <w:u w:val="single"/>
          <w:rtl/>
        </w:rPr>
      </w:pPr>
      <w:r>
        <w:rPr>
          <w:u w:val="single"/>
          <w:rtl/>
        </w:rPr>
        <w:t>מי שאנסוהו לבטל כל מודעות שנתן על הגט:</w:t>
      </w:r>
    </w:p>
    <w:p w14:paraId="6E8AF883" w14:textId="63B0DB76" w:rsidR="00FA2119" w:rsidRDefault="00FA2119" w:rsidP="006A458D">
      <w:pPr>
        <w:pStyle w:val="ab"/>
        <w:numPr>
          <w:ilvl w:val="0"/>
          <w:numId w:val="90"/>
        </w:numPr>
      </w:pPr>
      <w:r>
        <w:rPr>
          <w:rFonts w:cs="Arial"/>
          <w:rtl/>
        </w:rPr>
        <w:t xml:space="preserve">ה"ר יונה </w:t>
      </w:r>
      <w:r>
        <w:rPr>
          <w:rFonts w:cs="Arial"/>
          <w:sz w:val="16"/>
          <w:szCs w:val="16"/>
          <w:rtl/>
        </w:rPr>
        <w:t>(עליות דרבינו יונה [מ: סוד"ה עלה בידינו], הביאו הנמוק"י [ב"ב כא. ד"ה כי ההיא])</w:t>
      </w:r>
      <w:r w:rsidR="00A82951">
        <w:rPr>
          <w:rFonts w:cs="Arial"/>
          <w:rtl/>
        </w:rPr>
        <w:t>-</w:t>
      </w:r>
      <w:r>
        <w:rPr>
          <w:rFonts w:cs="Arial"/>
          <w:rtl/>
        </w:rPr>
        <w:t xml:space="preserve"> אם אנסוהו עד שביטל המודעא שמסר </w:t>
      </w:r>
      <w:r w:rsidR="00A82951">
        <w:rPr>
          <w:rFonts w:cs="Arial"/>
          <w:rtl/>
        </w:rPr>
        <w:t>-</w:t>
      </w:r>
      <w:r>
        <w:rPr>
          <w:rFonts w:cs="Arial"/>
          <w:rtl/>
        </w:rPr>
        <w:t xml:space="preserve"> מכרו קיים, וכן הדין בגט ומתנה</w:t>
      </w:r>
      <w:r w:rsidR="008C3148">
        <w:rPr>
          <w:rStyle w:val="a7"/>
          <w:rFonts w:cs="Arial"/>
          <w:rtl/>
        </w:rPr>
        <w:footnoteReference w:id="1478"/>
      </w:r>
      <w:r>
        <w:rPr>
          <w:rFonts w:cs="Arial"/>
          <w:rtl/>
        </w:rPr>
        <w:t xml:space="preserve">. ואם המוכר מוסר מודעא על המכר ועל הביטול שיבטל המודעא באונס, כיון שאנסוהו לבטל כל המודעות </w:t>
      </w:r>
      <w:r w:rsidR="00A82951">
        <w:rPr>
          <w:rFonts w:cs="Arial"/>
          <w:rtl/>
        </w:rPr>
        <w:t>-</w:t>
      </w:r>
      <w:r>
        <w:rPr>
          <w:rFonts w:cs="Arial"/>
          <w:rtl/>
        </w:rPr>
        <w:t xml:space="preserve"> הרי נתבטלו ביטוליו ואגב אונסו גמר וביטלם. ואין כח מסירת המודעא על הביטול יתר מכח מסירת מודעא על המכר, שאנו דנין בו ואומרים </w:t>
      </w:r>
      <w:r w:rsidR="00A82951">
        <w:rPr>
          <w:rFonts w:cs="Arial"/>
          <w:rtl/>
        </w:rPr>
        <w:t>-</w:t>
      </w:r>
      <w:r>
        <w:rPr>
          <w:rFonts w:cs="Arial"/>
          <w:rtl/>
        </w:rPr>
        <w:t xml:space="preserve"> כשמבטל מודעא מתוך האונס גמר בלבו והקנה. וכן דעת רבותי. ולענין גט יש לחוש בדבר ולהחמיר.</w:t>
      </w:r>
      <w:r w:rsidR="008C3148">
        <w:rPr>
          <w:rFonts w:cs="Arial" w:hint="cs"/>
          <w:rtl/>
        </w:rPr>
        <w:t xml:space="preserve"> </w:t>
      </w:r>
      <w:r>
        <w:rPr>
          <w:rFonts w:cs="Arial"/>
          <w:rtl/>
        </w:rPr>
        <w:t xml:space="preserve"> </w:t>
      </w:r>
    </w:p>
    <w:p w14:paraId="646CA2A3"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6A83A88" w14:textId="0B1C9D6F" w:rsidR="00FA2119" w:rsidRDefault="00FA2119" w:rsidP="00FA2119">
      <w:pPr>
        <w:rPr>
          <w:rFonts w:cs="Arial"/>
          <w:rtl/>
        </w:rPr>
      </w:pPr>
      <w:r>
        <w:rPr>
          <w:rFonts w:cs="Arial"/>
          <w:rtl/>
        </w:rPr>
        <w:t>לכן צריך שיבטל קודם כתיבת הגט כל מודעא שמסר, ויאמר כן</w:t>
      </w:r>
      <w:r>
        <w:rPr>
          <w:rStyle w:val="a7"/>
          <w:rFonts w:cs="Arial"/>
          <w:rtl/>
        </w:rPr>
        <w:footnoteReference w:id="1479"/>
      </w:r>
      <w:r>
        <w:rPr>
          <w:rFonts w:cs="Arial"/>
          <w:rtl/>
        </w:rPr>
        <w:t>: הריני מבטל כל מודעא שמסרתי על גט זה</w:t>
      </w:r>
      <w:r w:rsidR="00FA1039">
        <w:rPr>
          <w:rFonts w:cs="Arial" w:hint="cs"/>
          <w:rtl/>
        </w:rPr>
        <w:t>,</w:t>
      </w:r>
      <w:r>
        <w:rPr>
          <w:rFonts w:cs="Arial"/>
          <w:rtl/>
        </w:rPr>
        <w:t xml:space="preserve"> וכן אני מבטל כל דבר שגורם כשיתקיימו אותן הדברים ביטול לגט זה</w:t>
      </w:r>
      <w:r w:rsidR="00FA1039">
        <w:rPr>
          <w:rFonts w:cs="Arial" w:hint="cs"/>
          <w:rtl/>
        </w:rPr>
        <w:t>,</w:t>
      </w:r>
      <w:r>
        <w:rPr>
          <w:rFonts w:cs="Arial"/>
          <w:rtl/>
        </w:rPr>
        <w:t xml:space="preserve"> וכן אני מעיד על עצמי שלא מסרתי דבר על הגט שיבוטל הגט מחמתו, והריני פוסל כל עד או עדים שיעידו שמסרתי או שאמרתי שום דבר שיבוטל מחמתו גט זה או שיורע כחו של גט זה מחמת אותה מודעא או אותו דיבור. </w:t>
      </w:r>
      <w:r>
        <w:rPr>
          <w:rFonts w:cs="Arial"/>
          <w:sz w:val="18"/>
          <w:szCs w:val="18"/>
          <w:rtl/>
        </w:rPr>
        <w:t>הגה: וי"א דסגי אם אומר שמבטל מודעא ומודעא דמודעא עד סוף כל מודעי (טור בשם הרא"ש), וכן נוהגין, אך טוב לכתחלה לחוש ולומר כסברא הראשונה.</w:t>
      </w:r>
    </w:p>
    <w:p w14:paraId="6EDA3BC9" w14:textId="49E1A083" w:rsidR="00FA2119" w:rsidRDefault="00FA2119" w:rsidP="00FA2119">
      <w:pPr>
        <w:rPr>
          <w:rFonts w:cs="Arial"/>
          <w:u w:val="single"/>
          <w:rtl/>
        </w:rPr>
      </w:pPr>
      <w:r>
        <w:rPr>
          <w:rFonts w:cs="Arial"/>
          <w:u w:val="single"/>
          <w:rtl/>
        </w:rPr>
        <w:t xml:space="preserve">עשה את הביטול בנוסח הנ"ל </w:t>
      </w:r>
      <w:r w:rsidR="00A82951">
        <w:rPr>
          <w:rFonts w:cs="Arial"/>
          <w:u w:val="single"/>
          <w:rtl/>
        </w:rPr>
        <w:t>-</w:t>
      </w:r>
      <w:r>
        <w:rPr>
          <w:rFonts w:cs="Arial"/>
          <w:u w:val="single"/>
          <w:rtl/>
        </w:rPr>
        <w:t xml:space="preserve"> אך נתברר שעשה לפנ"כ מסירת מודעה </w:t>
      </w:r>
      <w:r>
        <w:rPr>
          <w:rFonts w:cs="Arial"/>
          <w:b/>
          <w:bCs/>
          <w:u w:val="single"/>
          <w:rtl/>
        </w:rPr>
        <w:t>בשבועה</w:t>
      </w:r>
      <w:r>
        <w:rPr>
          <w:rFonts w:cs="Arial"/>
          <w:u w:val="single"/>
          <w:rtl/>
        </w:rPr>
        <w:t>:</w:t>
      </w:r>
      <w:r>
        <w:rPr>
          <w:rFonts w:cs="Arial"/>
          <w:sz w:val="16"/>
          <w:szCs w:val="16"/>
          <w:rtl/>
        </w:rPr>
        <w:t xml:space="preserve"> (פת"ש סק"ד)</w:t>
      </w:r>
    </w:p>
    <w:p w14:paraId="453479B1" w14:textId="7865D8D4" w:rsidR="00FA2119" w:rsidRDefault="00FA2119" w:rsidP="006A458D">
      <w:pPr>
        <w:pStyle w:val="ab"/>
        <w:numPr>
          <w:ilvl w:val="0"/>
          <w:numId w:val="90"/>
        </w:numPr>
        <w:rPr>
          <w:rFonts w:cs="Arial"/>
          <w:rtl/>
        </w:rPr>
      </w:pPr>
      <w:r>
        <w:rPr>
          <w:rFonts w:cs="Arial"/>
          <w:rtl/>
        </w:rPr>
        <w:t xml:space="preserve">גליא מסכת </w:t>
      </w:r>
      <w:r>
        <w:rPr>
          <w:rFonts w:cs="Arial"/>
          <w:sz w:val="16"/>
          <w:szCs w:val="16"/>
          <w:rtl/>
        </w:rPr>
        <w:t>(בקו"א סי' ד)</w:t>
      </w:r>
      <w:r w:rsidR="00A82951">
        <w:rPr>
          <w:rFonts w:cs="Arial"/>
          <w:rtl/>
        </w:rPr>
        <w:t>-</w:t>
      </w:r>
      <w:r>
        <w:rPr>
          <w:rFonts w:cs="Arial"/>
          <w:rtl/>
        </w:rPr>
        <w:t xml:space="preserve"> אם עשה כן ואח"כ נתברר שעשה מסירת מודעה וביטול על כל הביטולים וקיבל עליו </w:t>
      </w:r>
      <w:r>
        <w:rPr>
          <w:rFonts w:cs="Arial"/>
          <w:b/>
          <w:bCs/>
          <w:rtl/>
        </w:rPr>
        <w:t>בשבועה</w:t>
      </w:r>
      <w:r>
        <w:rPr>
          <w:rFonts w:cs="Arial"/>
          <w:rtl/>
        </w:rPr>
        <w:t xml:space="preserve"> שלא לבטל מודעה דנא... </w:t>
      </w:r>
      <w:r w:rsidR="00A82951">
        <w:rPr>
          <w:rFonts w:cs="Arial"/>
          <w:rtl/>
        </w:rPr>
        <w:t>-</w:t>
      </w:r>
      <w:r>
        <w:rPr>
          <w:rFonts w:cs="Arial"/>
          <w:rtl/>
        </w:rPr>
        <w:t xml:space="preserve"> אין כאן שום פקפוק והגט הוא כשר לכל הדיעות... והרי זה דומה לנשבע שלא יבא תוך עיר פ' ועבר ובא לעיר ההיא וגירש שם אשתו.</w:t>
      </w:r>
    </w:p>
    <w:p w14:paraId="092D55E5" w14:textId="77777777" w:rsidR="00FA2119" w:rsidRDefault="00FA2119" w:rsidP="00FA2119">
      <w:pPr>
        <w:rPr>
          <w:rtl/>
        </w:rPr>
      </w:pPr>
    </w:p>
    <w:p w14:paraId="2B44D675" w14:textId="77777777" w:rsidR="00FA2119" w:rsidRDefault="00FA2119" w:rsidP="00FA2119">
      <w:pPr>
        <w:pStyle w:val="2"/>
        <w:rPr>
          <w:rtl/>
        </w:rPr>
      </w:pPr>
      <w:r>
        <w:rPr>
          <w:rtl/>
        </w:rPr>
        <w:t>סעיף ג: ביטול מודעה כשמגרש מרצונו.</w:t>
      </w:r>
    </w:p>
    <w:p w14:paraId="0AE41D0D" w14:textId="3D615D69" w:rsidR="00FA2119" w:rsidRDefault="00FA2119" w:rsidP="00FA2119">
      <w:pPr>
        <w:rPr>
          <w:u w:val="single"/>
          <w:rtl/>
        </w:rPr>
      </w:pPr>
      <w:r>
        <w:rPr>
          <w:rFonts w:cs="Arial"/>
          <w:u w:val="single"/>
          <w:rtl/>
        </w:rPr>
        <w:t xml:space="preserve">המגרש אשתו מרצונו </w:t>
      </w:r>
      <w:r w:rsidR="00A82951">
        <w:rPr>
          <w:rFonts w:cs="Arial"/>
          <w:u w:val="single"/>
          <w:rtl/>
        </w:rPr>
        <w:t>-</w:t>
      </w:r>
      <w:r>
        <w:rPr>
          <w:rFonts w:cs="Arial"/>
          <w:u w:val="single"/>
          <w:rtl/>
        </w:rPr>
        <w:t xml:space="preserve"> האם צריך לעשות ביטול מודעה:</w:t>
      </w:r>
    </w:p>
    <w:p w14:paraId="6C3B2754" w14:textId="002D9D49" w:rsidR="00FA2119" w:rsidRDefault="00FA2119" w:rsidP="006A458D">
      <w:pPr>
        <w:pStyle w:val="ab"/>
        <w:numPr>
          <w:ilvl w:val="0"/>
          <w:numId w:val="90"/>
        </w:numPr>
      </w:pPr>
      <w:r>
        <w:rPr>
          <w:rFonts w:cs="Arial"/>
          <w:rtl/>
        </w:rPr>
        <w:t>רא"ש</w:t>
      </w:r>
      <w:r>
        <w:rPr>
          <w:rFonts w:cs="Arial"/>
          <w:sz w:val="16"/>
          <w:szCs w:val="16"/>
          <w:rtl/>
        </w:rPr>
        <w:t xml:space="preserve"> (פ"ד סי' ו, כ"כ הטור בשמו)</w:t>
      </w:r>
      <w:r w:rsidR="00A82951">
        <w:rPr>
          <w:rFonts w:cs="Arial"/>
          <w:rtl/>
        </w:rPr>
        <w:t>-</w:t>
      </w:r>
      <w:r>
        <w:rPr>
          <w:rFonts w:cs="Arial"/>
          <w:rtl/>
        </w:rPr>
        <w:t xml:space="preserve"> המגרש אשתו מרצונו אין כאן חשש אם לא יבטל מודעא, דכיון דמדעתו מגרש אינו חשוד לקלקלה בידי שמים. </w:t>
      </w:r>
    </w:p>
    <w:p w14:paraId="3460B6C8" w14:textId="77777777" w:rsidR="00FA2119" w:rsidRDefault="00FA2119" w:rsidP="00FA2119">
      <w:pPr>
        <w:ind w:left="360"/>
        <w:rPr>
          <w:u w:val="dotted"/>
        </w:rPr>
      </w:pPr>
      <w:r>
        <w:rPr>
          <w:u w:val="dotted"/>
          <w:rtl/>
        </w:rPr>
        <w:t>האם לכתחילה כדאי בכל מצב לעשות ביטול מודעה:</w:t>
      </w:r>
    </w:p>
    <w:p w14:paraId="7D50D478" w14:textId="66CBDA4B" w:rsidR="00FA2119" w:rsidRDefault="00FA2119" w:rsidP="006A458D">
      <w:pPr>
        <w:pStyle w:val="ab"/>
        <w:numPr>
          <w:ilvl w:val="0"/>
          <w:numId w:val="90"/>
        </w:numPr>
        <w:rPr>
          <w:rtl/>
        </w:rPr>
      </w:pPr>
      <w:r>
        <w:rPr>
          <w:rFonts w:cs="Arial"/>
          <w:rtl/>
        </w:rPr>
        <w:t xml:space="preserve">מרדכי </w:t>
      </w:r>
      <w:r>
        <w:rPr>
          <w:rFonts w:cs="Arial"/>
          <w:sz w:val="16"/>
          <w:szCs w:val="16"/>
          <w:rtl/>
        </w:rPr>
        <w:t>(פ' השולח ריש סי' שסח)</w:t>
      </w:r>
      <w:r>
        <w:rPr>
          <w:rFonts w:cs="Arial"/>
          <w:rtl/>
        </w:rPr>
        <w:t xml:space="preserve"> הה"מ </w:t>
      </w:r>
      <w:r>
        <w:rPr>
          <w:rFonts w:cs="Arial"/>
          <w:sz w:val="16"/>
          <w:szCs w:val="16"/>
          <w:rtl/>
        </w:rPr>
        <w:t>(פ"ו הכ"ז)</w:t>
      </w:r>
      <w:r>
        <w:rPr>
          <w:rtl/>
        </w:rPr>
        <w:t xml:space="preserve"> וטור</w:t>
      </w:r>
      <w:r w:rsidR="00A82951">
        <w:rPr>
          <w:rtl/>
        </w:rPr>
        <w:t>-</w:t>
      </w:r>
      <w:r>
        <w:rPr>
          <w:rFonts w:cs="Arial"/>
          <w:rtl/>
        </w:rPr>
        <w:t xml:space="preserve"> ומ"מ לכתחלה טוב הוא שיבטל מודעא ואפילו במגרש מרצונו</w:t>
      </w:r>
      <w:r>
        <w:rPr>
          <w:rStyle w:val="a7"/>
          <w:rFonts w:cs="Arial"/>
          <w:rtl/>
        </w:rPr>
        <w:footnoteReference w:id="1480"/>
      </w:r>
      <w:r>
        <w:rPr>
          <w:rFonts w:cs="Arial"/>
          <w:rtl/>
        </w:rPr>
        <w:t>.</w:t>
      </w:r>
      <w:r>
        <w:rPr>
          <w:rtl/>
        </w:rPr>
        <w:t xml:space="preserve"> </w:t>
      </w:r>
      <w:r>
        <w:rPr>
          <w:color w:val="E36C0A" w:themeColor="accent6" w:themeShade="BF"/>
          <w:rtl/>
        </w:rPr>
        <w:t>(וכ"פ בשו"ע)</w:t>
      </w:r>
    </w:p>
    <w:p w14:paraId="20F3FA2E" w14:textId="77777777" w:rsidR="00FA2119" w:rsidRDefault="00FA2119" w:rsidP="00FA2119">
      <w:pPr>
        <w:rPr>
          <w:u w:val="single"/>
        </w:rPr>
      </w:pPr>
      <w:r>
        <w:rPr>
          <w:u w:val="single"/>
          <w:rtl/>
        </w:rPr>
        <w:lastRenderedPageBreak/>
        <w:t>בעל שאמר את נוסח ביטול מודעה ואח"כ ביטל את הגט בפני העדים</w:t>
      </w:r>
      <w:r>
        <w:rPr>
          <w:sz w:val="16"/>
          <w:szCs w:val="16"/>
          <w:u w:val="single"/>
          <w:rtl/>
        </w:rPr>
        <w:t xml:space="preserve"> (לפני שנתנו לאשה)</w:t>
      </w:r>
      <w:r>
        <w:rPr>
          <w:u w:val="single"/>
          <w:rtl/>
        </w:rPr>
        <w:t>:</w:t>
      </w:r>
    </w:p>
    <w:p w14:paraId="4AD1707B" w14:textId="65D27947" w:rsidR="00FA2119" w:rsidRDefault="00FA2119" w:rsidP="006A458D">
      <w:pPr>
        <w:pStyle w:val="ab"/>
        <w:numPr>
          <w:ilvl w:val="0"/>
          <w:numId w:val="90"/>
        </w:numPr>
        <w:rPr>
          <w:rtl/>
        </w:rPr>
      </w:pPr>
      <w:r>
        <w:rPr>
          <w:rFonts w:cs="Arial"/>
          <w:rtl/>
        </w:rPr>
        <w:t xml:space="preserve">סמ"ג </w:t>
      </w:r>
      <w:r>
        <w:rPr>
          <w:rFonts w:cs="Arial"/>
          <w:sz w:val="16"/>
          <w:szCs w:val="16"/>
          <w:rtl/>
        </w:rPr>
        <w:t>(עשין נ קלא.)</w:t>
      </w:r>
      <w:r w:rsidR="00A82951">
        <w:rPr>
          <w:rFonts w:cs="Arial"/>
          <w:rtl/>
        </w:rPr>
        <w:t>-</w:t>
      </w:r>
      <w:r>
        <w:rPr>
          <w:rFonts w:cs="Arial"/>
          <w:rtl/>
        </w:rPr>
        <w:t xml:space="preserve"> בהשולח (לב.) שנינו שהשליח שנטל הגט להוליך לאשה, שיכול הבעל לבטל עד שיגיע ליד האשה, ואף לאחר שביטלו קיי"ל כרב נחמן דאמר (שם:) חוזר ומגרש בו כשירצה. ומפרש שם הטעם נהי דבטליה לשליחותיה דשליח, גט גופיה מי בטיל. לפי לשון התלמוד שאומר כן משמע שאין כח לבעל לבטל גוף הגט עצמו. ובקידושין פרק האומר (נט:) כתוב שם בכל הספרים בטעמו של רב נחמן נהי דבטליה מתורת שליח מתורת גט לא בטליה. משמע אבל אם ביטל הגט בפירוש מודה רב נחמן שבטל. וגירסא זו תפס הרמב"ם (פ"ו הכ"א) עיקר. ויש לדקדק לפי זה מה מועיל ביטול מודעא שנוהגין עתה לעשות בשעת נתינה והלא יש לחוש שביטל גוף הגט, ומודה רב נחמן שאינו יכול לחזור ולגרש בו. וכתב הרמב"ם (שם ה"כ) </w:t>
      </w:r>
      <w:r w:rsidR="000A0F5A">
        <w:rPr>
          <w:rFonts w:cs="Arial"/>
          <w:rtl/>
        </w:rPr>
        <w:t>וז"ל:</w:t>
      </w:r>
      <w:r>
        <w:rPr>
          <w:rFonts w:cs="Arial"/>
          <w:rtl/>
        </w:rPr>
        <w:t xml:space="preserve"> שיאמרו לו העדים קודם כתיבת הגט אמור בפנינו שכל הדברים שמסרת וכו' ואח"כ אומר להם לכתוב ולחתום וליתן לה ולא יניחוהו לילך עד שיגיע הגט לידה כדי שלא יצא ויבטלנו. ובספר התרומה (סי' קכח לג.) כתב רבינו ברוך שלאחר שאמר לסופר ולעדים לכתוב ולחתום אינו יכול לבטלו שלא בפניהם כיון שצוה להם לעשות מעשה. וכן משמע בהשולח. לפיכך אם קודם שנגמר הגט או לאחר שנגמר ביטלו הבעל לפניהם אז אין מועיל ביטול מודעא</w:t>
      </w:r>
      <w:r>
        <w:rPr>
          <w:rStyle w:val="a7"/>
          <w:rFonts w:cs="Arial"/>
          <w:rtl/>
        </w:rPr>
        <w:footnoteReference w:id="1481"/>
      </w:r>
      <w:r>
        <w:rPr>
          <w:rFonts w:cs="Arial"/>
          <w:rtl/>
        </w:rPr>
        <w:t xml:space="preserve">. </w:t>
      </w:r>
    </w:p>
    <w:p w14:paraId="5FD4FA3F" w14:textId="77777777" w:rsidR="00FA2119" w:rsidRDefault="00FA2119" w:rsidP="00FA2119">
      <w:pPr>
        <w:rPr>
          <w:u w:val="single"/>
        </w:rPr>
      </w:pPr>
      <w:r>
        <w:rPr>
          <w:u w:val="single"/>
          <w:rtl/>
        </w:rPr>
        <w:t>מתי הכי טוב לעשות את הביטול מודעה:</w:t>
      </w:r>
    </w:p>
    <w:p w14:paraId="08911B61" w14:textId="090D795A" w:rsidR="00FA2119" w:rsidRDefault="00FA2119" w:rsidP="006A458D">
      <w:pPr>
        <w:pStyle w:val="ab"/>
        <w:numPr>
          <w:ilvl w:val="0"/>
          <w:numId w:val="90"/>
        </w:numPr>
      </w:pPr>
      <w:r>
        <w:rPr>
          <w:rFonts w:cs="Arial"/>
          <w:rtl/>
        </w:rPr>
        <w:t xml:space="preserve">רמב"ם </w:t>
      </w:r>
      <w:r>
        <w:rPr>
          <w:rFonts w:cs="Arial"/>
          <w:sz w:val="16"/>
          <w:szCs w:val="16"/>
          <w:rtl/>
        </w:rPr>
        <w:t>(פ"ו ה"כ)</w:t>
      </w:r>
      <w:r>
        <w:rPr>
          <w:rFonts w:cs="Arial"/>
          <w:rtl/>
        </w:rPr>
        <w:t xml:space="preserve"> ורשב"א </w:t>
      </w:r>
      <w:r>
        <w:rPr>
          <w:rFonts w:cs="Arial"/>
          <w:sz w:val="16"/>
          <w:szCs w:val="16"/>
          <w:rtl/>
        </w:rPr>
        <w:t>(בתיקון הגט שהביא הר"ן בסוף גיטין [נא. מדפה"ר])</w:t>
      </w:r>
      <w:r w:rsidR="00A82951">
        <w:rPr>
          <w:rFonts w:cs="Arial"/>
          <w:rtl/>
        </w:rPr>
        <w:t>-</w:t>
      </w:r>
      <w:r>
        <w:rPr>
          <w:rtl/>
        </w:rPr>
        <w:t xml:space="preserve"> </w:t>
      </w:r>
      <w:r>
        <w:rPr>
          <w:rFonts w:cs="Arial"/>
          <w:rtl/>
        </w:rPr>
        <w:t>שיאמרו לו העדים קודם כתיבת הגט 'אמור בפנינו שכל הדברים שמסרת שגורמין כשיתקיימו אותן הדברים לבטל גט זה הרי הן בטלים'. והוא אומר 'הין'. ואח</w:t>
      </w:r>
      <w:r w:rsidR="000F5BE2">
        <w:rPr>
          <w:rFonts w:cs="Arial" w:hint="cs"/>
          <w:rtl/>
        </w:rPr>
        <w:t>"</w:t>
      </w:r>
      <w:r>
        <w:rPr>
          <w:rFonts w:cs="Arial"/>
          <w:rtl/>
        </w:rPr>
        <w:t>כ אומר להם לכתוב ולחתום וליתן לה. ולא יניחוהו לילך עד שיגיע הגט לידה, כדי שלא יצא ויבטלו</w:t>
      </w:r>
      <w:r>
        <w:rPr>
          <w:rFonts w:cs="Arial"/>
          <w:sz w:val="16"/>
          <w:szCs w:val="16"/>
          <w:rtl/>
        </w:rPr>
        <w:t xml:space="preserve"> (ל' הרמב"ם)</w:t>
      </w:r>
      <w:r>
        <w:rPr>
          <w:rtl/>
        </w:rPr>
        <w:t>.</w:t>
      </w:r>
      <w:r>
        <w:rPr>
          <w:color w:val="E36C0A" w:themeColor="accent6" w:themeShade="BF"/>
          <w:rtl/>
        </w:rPr>
        <w:t xml:space="preserve"> (וכ"פ בשו"ע</w:t>
      </w:r>
      <w:r>
        <w:rPr>
          <w:color w:val="E36C0A" w:themeColor="accent6" w:themeShade="BF"/>
          <w:sz w:val="16"/>
          <w:szCs w:val="16"/>
          <w:rtl/>
        </w:rPr>
        <w:t xml:space="preserve"> </w:t>
      </w:r>
      <w:r>
        <w:rPr>
          <w:color w:val="000000" w:themeColor="text1"/>
          <w:sz w:val="16"/>
          <w:szCs w:val="16"/>
          <w:rtl/>
        </w:rPr>
        <w:t>[בסע' ב]</w:t>
      </w:r>
      <w:r>
        <w:rPr>
          <w:color w:val="E36C0A" w:themeColor="accent6" w:themeShade="BF"/>
          <w:rtl/>
        </w:rPr>
        <w:t>)</w:t>
      </w:r>
    </w:p>
    <w:p w14:paraId="41D41F92" w14:textId="576D686F" w:rsidR="00FA2119" w:rsidRDefault="00FA2119" w:rsidP="006A458D">
      <w:pPr>
        <w:pStyle w:val="ab"/>
        <w:numPr>
          <w:ilvl w:val="0"/>
          <w:numId w:val="90"/>
        </w:numPr>
      </w:pPr>
      <w:r>
        <w:rPr>
          <w:rFonts w:cs="Arial"/>
          <w:rtl/>
        </w:rPr>
        <w:t xml:space="preserve">תרומה </w:t>
      </w:r>
      <w:r>
        <w:rPr>
          <w:rFonts w:cs="Arial"/>
          <w:sz w:val="16"/>
          <w:szCs w:val="16"/>
          <w:rtl/>
        </w:rPr>
        <w:t>(סי' קכח)</w:t>
      </w:r>
      <w:r>
        <w:rPr>
          <w:rFonts w:cs="Arial"/>
          <w:rtl/>
        </w:rPr>
        <w:t xml:space="preserve"> סמ"ג </w:t>
      </w:r>
      <w:r>
        <w:rPr>
          <w:rFonts w:cs="Arial"/>
          <w:sz w:val="16"/>
          <w:szCs w:val="16"/>
          <w:rtl/>
        </w:rPr>
        <w:t>(סדר הגט שם קלב ע"ד)</w:t>
      </w:r>
      <w:r>
        <w:rPr>
          <w:rFonts w:cs="Arial"/>
          <w:rtl/>
        </w:rPr>
        <w:t xml:space="preserve"> והגה"מ </w:t>
      </w:r>
      <w:r>
        <w:rPr>
          <w:rFonts w:cs="Arial"/>
          <w:sz w:val="16"/>
          <w:szCs w:val="16"/>
          <w:rtl/>
        </w:rPr>
        <w:t>(פ"ב ה"כ)</w:t>
      </w:r>
      <w:r w:rsidR="00A82951">
        <w:rPr>
          <w:rFonts w:cs="Arial"/>
          <w:rtl/>
        </w:rPr>
        <w:t>-</w:t>
      </w:r>
      <w:r>
        <w:rPr>
          <w:rFonts w:cs="Arial"/>
          <w:rtl/>
        </w:rPr>
        <w:t xml:space="preserve"> בשעת נתינה</w:t>
      </w:r>
      <w:r>
        <w:rPr>
          <w:rStyle w:val="a7"/>
          <w:rFonts w:cs="Arial"/>
          <w:rtl/>
        </w:rPr>
        <w:footnoteReference w:id="1482"/>
      </w:r>
      <w:r>
        <w:rPr>
          <w:rFonts w:cs="Arial"/>
          <w:rtl/>
        </w:rPr>
        <w:t>.</w:t>
      </w:r>
    </w:p>
    <w:p w14:paraId="01CBFAE3" w14:textId="64F52A6A" w:rsidR="00FA2119" w:rsidRDefault="00FA2119" w:rsidP="006A458D">
      <w:pPr>
        <w:pStyle w:val="ab"/>
        <w:numPr>
          <w:ilvl w:val="0"/>
          <w:numId w:val="90"/>
        </w:numPr>
      </w:pPr>
      <w:r>
        <w:rPr>
          <w:rFonts w:cs="Arial"/>
          <w:rtl/>
        </w:rPr>
        <w:t xml:space="preserve">תוס' </w:t>
      </w:r>
      <w:r>
        <w:rPr>
          <w:rFonts w:cs="Arial"/>
          <w:sz w:val="16"/>
          <w:szCs w:val="16"/>
          <w:rtl/>
        </w:rPr>
        <w:t>(ערכין כא: ד"ה האי)</w:t>
      </w:r>
      <w:r>
        <w:rPr>
          <w:rFonts w:cs="Arial"/>
          <w:rtl/>
        </w:rPr>
        <w:t xml:space="preserve"> מרדכי </w:t>
      </w:r>
      <w:r>
        <w:rPr>
          <w:rFonts w:cs="Arial"/>
          <w:sz w:val="16"/>
          <w:szCs w:val="16"/>
          <w:rtl/>
        </w:rPr>
        <w:t>(סי' שסח)</w:t>
      </w:r>
      <w:r>
        <w:rPr>
          <w:rFonts w:cs="Arial"/>
          <w:rtl/>
        </w:rPr>
        <w:t xml:space="preserve"> וסדר גיטין </w:t>
      </w:r>
      <w:r>
        <w:rPr>
          <w:rFonts w:cs="Arial"/>
          <w:sz w:val="16"/>
          <w:szCs w:val="16"/>
          <w:rtl/>
        </w:rPr>
        <w:t>(סי' נז ס"ז, סי' נח ס"ח)</w:t>
      </w:r>
      <w:r w:rsidR="00A82951">
        <w:rPr>
          <w:rFonts w:cs="Arial"/>
          <w:rtl/>
        </w:rPr>
        <w:t>-</w:t>
      </w:r>
      <w:r>
        <w:rPr>
          <w:rFonts w:cs="Arial"/>
          <w:rtl/>
        </w:rPr>
        <w:t xml:space="preserve"> האי מאן דמסר מודעא אגיטא מודעיה מודעא </w:t>
      </w:r>
      <w:r w:rsidR="00A82951">
        <w:rPr>
          <w:rFonts w:cs="Arial"/>
          <w:rtl/>
        </w:rPr>
        <w:t>-</w:t>
      </w:r>
      <w:r>
        <w:rPr>
          <w:rFonts w:cs="Arial"/>
          <w:rtl/>
        </w:rPr>
        <w:t xml:space="preserve"> לפיכך נהגו העולם לבטל כל מודעי ומודעי דאתו מגו מודעי בשעת כתיבת הגט, ובשעת הנתינה, דחיישינן שמא בטל אותו</w:t>
      </w:r>
      <w:r>
        <w:rPr>
          <w:rStyle w:val="a7"/>
          <w:rFonts w:cs="Arial"/>
          <w:rtl/>
        </w:rPr>
        <w:footnoteReference w:id="1483"/>
      </w:r>
      <w:r>
        <w:rPr>
          <w:rFonts w:cs="Arial"/>
          <w:sz w:val="16"/>
          <w:szCs w:val="16"/>
          <w:rtl/>
        </w:rPr>
        <w:t xml:space="preserve"> (ל' התוס')</w:t>
      </w:r>
      <w:r>
        <w:rPr>
          <w:rFonts w:cs="Arial"/>
          <w:rtl/>
        </w:rPr>
        <w:t xml:space="preserve">. </w:t>
      </w:r>
      <w:r>
        <w:rPr>
          <w:color w:val="00B0F0"/>
          <w:rtl/>
        </w:rPr>
        <w:t>(וכ"פ הרמ"א)</w:t>
      </w:r>
    </w:p>
    <w:p w14:paraId="09647796" w14:textId="77777777" w:rsidR="00FA2119" w:rsidRDefault="00FA2119" w:rsidP="00FA2119">
      <w:pPr>
        <w:rPr>
          <w:u w:val="single"/>
        </w:rPr>
      </w:pPr>
      <w:r>
        <w:rPr>
          <w:u w:val="single"/>
          <w:rtl/>
        </w:rPr>
        <w:t>השבעת הבעל שלא ביטל את הגט:</w:t>
      </w:r>
    </w:p>
    <w:p w14:paraId="6E4C73E8" w14:textId="6C6C4B0E" w:rsidR="00FA2119" w:rsidRDefault="00FA2119" w:rsidP="006A458D">
      <w:pPr>
        <w:pStyle w:val="ab"/>
        <w:numPr>
          <w:ilvl w:val="0"/>
          <w:numId w:val="90"/>
        </w:numPr>
      </w:pPr>
      <w:r>
        <w:rPr>
          <w:rFonts w:cs="Arial"/>
          <w:rtl/>
        </w:rPr>
        <w:t xml:space="preserve">קונדריסין </w:t>
      </w:r>
      <w:r>
        <w:rPr>
          <w:rFonts w:cs="Arial"/>
          <w:sz w:val="16"/>
          <w:szCs w:val="16"/>
          <w:rtl/>
        </w:rPr>
        <w:t>(שם סעיף יח)</w:t>
      </w:r>
      <w:r w:rsidR="00A82951">
        <w:rPr>
          <w:rFonts w:cs="Arial"/>
          <w:rtl/>
        </w:rPr>
        <w:t>-</w:t>
      </w:r>
      <w:r>
        <w:rPr>
          <w:rFonts w:cs="Arial"/>
          <w:rtl/>
        </w:rPr>
        <w:t xml:space="preserve"> טוב להשביע הבעל בשבועה ובחרם שלא ביטל הגט בשום ענין ושלא מסר שום מודעא ושלא אמר שום דבר שיגרום שום ביטול בגט. וזה יעשה סמוך למסירת הגט בשעת ביטול המודעות בפעם השניה</w:t>
      </w:r>
      <w:r>
        <w:rPr>
          <w:rStyle w:val="a7"/>
          <w:rFonts w:cs="Arial"/>
          <w:rtl/>
        </w:rPr>
        <w:footnoteReference w:id="1484"/>
      </w:r>
      <w:r>
        <w:rPr>
          <w:rFonts w:cs="Arial"/>
          <w:rtl/>
        </w:rPr>
        <w:t>.</w:t>
      </w:r>
    </w:p>
    <w:p w14:paraId="060787E2"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9F48FFD" w14:textId="6C5A7FBB" w:rsidR="00FA2119" w:rsidRDefault="00FA2119" w:rsidP="00FA2119">
      <w:pPr>
        <w:rPr>
          <w:rFonts w:cs="Arial"/>
          <w:rtl/>
        </w:rPr>
      </w:pPr>
      <w:r>
        <w:rPr>
          <w:rFonts w:cs="Arial"/>
          <w:rtl/>
        </w:rPr>
        <w:t xml:space="preserve">נהגו להצריך ביטול מודעא אף למגרש מרצונו. </w:t>
      </w:r>
      <w:r>
        <w:rPr>
          <w:rFonts w:cs="Arial"/>
          <w:sz w:val="18"/>
          <w:szCs w:val="18"/>
          <w:rtl/>
        </w:rPr>
        <w:t xml:space="preserve">הגה: ומיהו אם שכח מלבטל, כשר, מאחר שמגרש מרצונו (רא"ש ומהרי"ל). ונהגו עוד לבטל מודעי קודם שיצוה לכתוב </w:t>
      </w:r>
      <w:r w:rsidR="00E35604">
        <w:rPr>
          <w:rFonts w:cs="Arial" w:hint="cs"/>
          <w:sz w:val="18"/>
          <w:szCs w:val="18"/>
          <w:rtl/>
        </w:rPr>
        <w:t>ו</w:t>
      </w:r>
      <w:r>
        <w:rPr>
          <w:rFonts w:cs="Arial"/>
          <w:sz w:val="18"/>
          <w:szCs w:val="18"/>
          <w:rtl/>
        </w:rPr>
        <w:t>קודם הנתינה (</w:t>
      </w:r>
      <w:r w:rsidR="00E35604">
        <w:rPr>
          <w:rFonts w:cs="Arial" w:hint="cs"/>
          <w:sz w:val="18"/>
          <w:szCs w:val="18"/>
          <w:rtl/>
        </w:rPr>
        <w:t>תוס' ו</w:t>
      </w:r>
      <w:r>
        <w:rPr>
          <w:rFonts w:cs="Arial"/>
          <w:sz w:val="18"/>
          <w:szCs w:val="18"/>
          <w:rtl/>
        </w:rPr>
        <w:t>מרדכי). ואע"פ שיש אומרים</w:t>
      </w:r>
      <w:r>
        <w:rPr>
          <w:rStyle w:val="a7"/>
          <w:rFonts w:cs="Arial"/>
          <w:sz w:val="18"/>
          <w:szCs w:val="18"/>
          <w:rtl/>
        </w:rPr>
        <w:footnoteReference w:id="1485"/>
      </w:r>
      <w:r>
        <w:rPr>
          <w:rFonts w:cs="Arial"/>
          <w:sz w:val="18"/>
          <w:szCs w:val="18"/>
          <w:rtl/>
        </w:rPr>
        <w:t xml:space="preserve"> שאם בִּטל הגט בין כתיבה לנתינה לא היה מועיל אח"כ ביטול מודעי לגרש באותו גט ולכן אין מניחין אותו לילך עד שיתן הגט, אפילו הכי מחמירין גם כן לבטל מודעי בשעת נתינה.</w:t>
      </w:r>
    </w:p>
    <w:p w14:paraId="6644C12A" w14:textId="77777777" w:rsidR="00FA2119" w:rsidRDefault="00FA2119" w:rsidP="00FA2119">
      <w:pPr>
        <w:rPr>
          <w:rtl/>
        </w:rPr>
      </w:pPr>
      <w:r>
        <w:rPr>
          <w:rFonts w:cs="Arial"/>
          <w:rtl/>
        </w:rPr>
        <w:t xml:space="preserve"> </w:t>
      </w:r>
    </w:p>
    <w:p w14:paraId="76B34371" w14:textId="77777777" w:rsidR="00FA2119" w:rsidRDefault="00FA2119" w:rsidP="00FA2119">
      <w:pPr>
        <w:pStyle w:val="2"/>
        <w:rPr>
          <w:rtl/>
        </w:rPr>
      </w:pPr>
      <w:r>
        <w:rPr>
          <w:rtl/>
        </w:rPr>
        <w:lastRenderedPageBreak/>
        <w:t>סעיף ד: נשבע לתת גט. או שנתן ערבות.</w:t>
      </w:r>
    </w:p>
    <w:p w14:paraId="562F486D" w14:textId="77777777" w:rsidR="00FA2119" w:rsidRDefault="00FA2119" w:rsidP="00FA2119">
      <w:pPr>
        <w:rPr>
          <w:u w:val="single"/>
          <w:rtl/>
        </w:rPr>
      </w:pPr>
      <w:r>
        <w:rPr>
          <w:u w:val="single"/>
          <w:rtl/>
        </w:rPr>
        <w:t>בעל שנשבע לתת גט, או שנתן ערבות:</w:t>
      </w:r>
    </w:p>
    <w:p w14:paraId="6EFA5988" w14:textId="2C0A84E0" w:rsidR="00FA2119" w:rsidRDefault="00FA2119" w:rsidP="006A458D">
      <w:pPr>
        <w:pStyle w:val="ab"/>
        <w:numPr>
          <w:ilvl w:val="0"/>
          <w:numId w:val="90"/>
        </w:numPr>
        <w:rPr>
          <w:rtl/>
        </w:rPr>
      </w:pPr>
      <w:r>
        <w:rPr>
          <w:rFonts w:cs="Arial"/>
          <w:rtl/>
        </w:rPr>
        <w:t xml:space="preserve">ר"פ </w:t>
      </w:r>
      <w:r>
        <w:rPr>
          <w:rFonts w:cs="Arial"/>
          <w:sz w:val="16"/>
          <w:szCs w:val="16"/>
          <w:rtl/>
        </w:rPr>
        <w:t>(סדר הגט</w:t>
      </w:r>
      <w:r w:rsidR="00C665C2">
        <w:rPr>
          <w:rFonts w:cs="Arial" w:hint="cs"/>
          <w:sz w:val="16"/>
          <w:szCs w:val="16"/>
          <w:rtl/>
        </w:rPr>
        <w:t xml:space="preserve">, </w:t>
      </w:r>
      <w:r>
        <w:rPr>
          <w:rFonts w:cs="Arial"/>
          <w:sz w:val="16"/>
          <w:szCs w:val="16"/>
          <w:rtl/>
        </w:rPr>
        <w:t>בהג</w:t>
      </w:r>
      <w:r w:rsidR="00C665C2">
        <w:rPr>
          <w:rFonts w:cs="Arial" w:hint="cs"/>
          <w:sz w:val="16"/>
          <w:szCs w:val="16"/>
          <w:rtl/>
        </w:rPr>
        <w:t>'</w:t>
      </w:r>
      <w:r>
        <w:rPr>
          <w:rFonts w:cs="Arial"/>
          <w:sz w:val="16"/>
          <w:szCs w:val="16"/>
          <w:rtl/>
        </w:rPr>
        <w:t xml:space="preserve"> סמ"ק סי' קפד עמ' קנ אות יג, והו"ד בסדר הגט בטור ס</w:t>
      </w:r>
      <w:r w:rsidR="00C665C2">
        <w:rPr>
          <w:rFonts w:cs="Arial" w:hint="cs"/>
          <w:sz w:val="16"/>
          <w:szCs w:val="16"/>
          <w:rtl/>
        </w:rPr>
        <w:t>"ס</w:t>
      </w:r>
      <w:r>
        <w:rPr>
          <w:rFonts w:cs="Arial"/>
          <w:sz w:val="16"/>
          <w:szCs w:val="16"/>
          <w:rtl/>
        </w:rPr>
        <w:t xml:space="preserve"> קנד)</w:t>
      </w:r>
      <w:r w:rsidR="00A82951">
        <w:rPr>
          <w:rtl/>
        </w:rPr>
        <w:t>-</w:t>
      </w:r>
      <w:r>
        <w:rPr>
          <w:rtl/>
        </w:rPr>
        <w:t xml:space="preserve"> </w:t>
      </w:r>
      <w:r>
        <w:rPr>
          <w:rFonts w:cs="Arial"/>
          <w:rtl/>
        </w:rPr>
        <w:t>אם נשבע האיש ליתן הגט</w:t>
      </w:r>
      <w:r w:rsidR="00C665C2">
        <w:rPr>
          <w:rFonts w:cs="Arial" w:hint="cs"/>
          <w:rtl/>
        </w:rPr>
        <w:t>,</w:t>
      </w:r>
      <w:r>
        <w:rPr>
          <w:rFonts w:cs="Arial"/>
          <w:rtl/>
        </w:rPr>
        <w:t xml:space="preserve"> צריך</w:t>
      </w:r>
      <w:r w:rsidR="002D3716">
        <w:rPr>
          <w:rStyle w:val="a7"/>
          <w:rFonts w:cs="Arial"/>
          <w:rtl/>
        </w:rPr>
        <w:footnoteReference w:id="1486"/>
      </w:r>
      <w:r>
        <w:rPr>
          <w:rFonts w:cs="Arial"/>
          <w:rtl/>
        </w:rPr>
        <w:t xml:space="preserve"> שיתירו לו</w:t>
      </w:r>
      <w:r>
        <w:rPr>
          <w:rStyle w:val="a7"/>
          <w:rFonts w:cs="Arial"/>
          <w:rtl/>
        </w:rPr>
        <w:footnoteReference w:id="1487"/>
      </w:r>
      <w:r>
        <w:rPr>
          <w:rFonts w:cs="Arial"/>
          <w:rtl/>
        </w:rPr>
        <w:t xml:space="preserve"> קודם שיתן שלא יהיה דומה לאונס</w:t>
      </w:r>
      <w:r w:rsidR="00C665C2">
        <w:rPr>
          <w:rFonts w:cs="Arial" w:hint="cs"/>
          <w:rtl/>
        </w:rPr>
        <w:t>.</w:t>
      </w:r>
      <w:r>
        <w:rPr>
          <w:rFonts w:cs="Arial"/>
          <w:rtl/>
        </w:rPr>
        <w:t xml:space="preserve"> אך ערבות יתן אם ירצה</w:t>
      </w:r>
      <w:r w:rsidR="00C665C2">
        <w:rPr>
          <w:rFonts w:cs="Arial" w:hint="cs"/>
          <w:rtl/>
        </w:rPr>
        <w:t>,</w:t>
      </w:r>
      <w:r>
        <w:rPr>
          <w:rFonts w:cs="Arial"/>
          <w:rtl/>
        </w:rPr>
        <w:t xml:space="preserve"> שאין זה דומה לאונס.</w:t>
      </w:r>
      <w:r>
        <w:rPr>
          <w:rtl/>
        </w:rPr>
        <w:t xml:space="preserve"> </w:t>
      </w:r>
      <w:r>
        <w:rPr>
          <w:color w:val="E36C0A" w:themeColor="accent6" w:themeShade="BF"/>
          <w:rtl/>
        </w:rPr>
        <w:t>(וכ"פ בשו"ע)</w:t>
      </w:r>
    </w:p>
    <w:p w14:paraId="473478E6" w14:textId="3A995CBC" w:rsidR="00FA2119" w:rsidRDefault="00FA2119" w:rsidP="002D3716">
      <w:pPr>
        <w:pStyle w:val="ab"/>
        <w:numPr>
          <w:ilvl w:val="0"/>
          <w:numId w:val="90"/>
        </w:numPr>
      </w:pPr>
      <w:r>
        <w:rPr>
          <w:rFonts w:cs="Arial"/>
          <w:rtl/>
        </w:rPr>
        <w:t xml:space="preserve">תשב"ץ </w:t>
      </w:r>
      <w:r>
        <w:rPr>
          <w:rFonts w:cs="Arial"/>
          <w:sz w:val="16"/>
          <w:szCs w:val="16"/>
          <w:rtl/>
        </w:rPr>
        <w:t>(ח"ב סי' סח)</w:t>
      </w:r>
      <w:r w:rsidR="00A82951">
        <w:rPr>
          <w:rFonts w:cs="Arial"/>
          <w:rtl/>
        </w:rPr>
        <w:t>-</w:t>
      </w:r>
      <w:r>
        <w:rPr>
          <w:rFonts w:cs="Arial"/>
          <w:rtl/>
        </w:rPr>
        <w:t xml:space="preserve"> יכול לגרש בלי היתר שבועתו</w:t>
      </w:r>
      <w:r>
        <w:rPr>
          <w:rStyle w:val="a7"/>
          <w:rFonts w:cs="Arial"/>
          <w:rtl/>
        </w:rPr>
        <w:footnoteReference w:id="1488"/>
      </w:r>
      <w:r>
        <w:rPr>
          <w:rFonts w:cs="Arial"/>
          <w:rtl/>
        </w:rPr>
        <w:t>... וגטו גט כשר הוא ממה נפשך.</w:t>
      </w:r>
    </w:p>
    <w:p w14:paraId="430EF635" w14:textId="26B15389" w:rsidR="00FA2119" w:rsidRDefault="00FA2119" w:rsidP="00FA2119">
      <w:pPr>
        <w:rPr>
          <w:u w:val="single"/>
          <w:rtl/>
        </w:rPr>
      </w:pPr>
      <w:r>
        <w:rPr>
          <w:u w:val="single"/>
          <w:rtl/>
        </w:rPr>
        <w:t xml:space="preserve">מי שחייב עצמו בסכום גדול של כסף אם לא יגרש את אשתו </w:t>
      </w:r>
      <w:r w:rsidR="00A82951">
        <w:rPr>
          <w:u w:val="single"/>
          <w:rtl/>
        </w:rPr>
        <w:t>-</w:t>
      </w:r>
      <w:r>
        <w:rPr>
          <w:u w:val="single"/>
          <w:rtl/>
        </w:rPr>
        <w:t xml:space="preserve"> האם נחשב כגט מעושה:</w:t>
      </w:r>
    </w:p>
    <w:p w14:paraId="30082340" w14:textId="1448FE47" w:rsidR="00FA2119" w:rsidRDefault="00FA2119" w:rsidP="006A458D">
      <w:pPr>
        <w:pStyle w:val="ab"/>
        <w:numPr>
          <w:ilvl w:val="0"/>
          <w:numId w:val="90"/>
        </w:numPr>
        <w:rPr>
          <w:rFonts w:cs="Arial"/>
        </w:rPr>
      </w:pPr>
      <w:r>
        <w:rPr>
          <w:rFonts w:cs="Arial"/>
          <w:rtl/>
        </w:rPr>
        <w:t xml:space="preserve">תשב"ץ </w:t>
      </w:r>
      <w:r>
        <w:rPr>
          <w:rFonts w:cs="Arial"/>
          <w:sz w:val="16"/>
          <w:szCs w:val="16"/>
          <w:rtl/>
        </w:rPr>
        <w:t>(ח"ב סי' סח)</w:t>
      </w:r>
      <w:r w:rsidR="00A82951">
        <w:rPr>
          <w:rFonts w:cs="Arial"/>
          <w:rtl/>
        </w:rPr>
        <w:t>-</w:t>
      </w:r>
      <w:r>
        <w:rPr>
          <w:rFonts w:cs="Arial"/>
          <w:rtl/>
        </w:rPr>
        <w:t xml:space="preserve"> קסנטינה אל החכם ר' מיימון נ'גאר</w:t>
      </w:r>
      <w:r>
        <w:rPr>
          <w:rStyle w:val="a7"/>
          <w:rFonts w:cs="Arial"/>
          <w:rtl/>
        </w:rPr>
        <w:footnoteReference w:id="1489"/>
      </w:r>
      <w:r>
        <w:rPr>
          <w:rFonts w:cs="Arial"/>
          <w:rtl/>
        </w:rPr>
        <w:t xml:space="preserve"> יצ"ו. שאלת ראובן קנס עצמו במאה זהובים לאדון העיר אם יחזיר את אשתו ולא יגרשנה. ולאחר ימים גרשה בבטול כל מודעי כדת וכהלכה. ונפל ביניכם מחלוקת יש אומרים דגט מעושה הוא בעבור הקנס אחר שלא יכול להחזירה אם לא יפרע הסך או יתפשר עם אדון העיר והו"ל א"כ גט מעושה. ויש אומרים שמכיון שמדעתו חייב את עצמו בדבר שהוא רוצה לעשות שאין זה גט מעושה שכל זמן שיגרש ברצונו יגרש. ואע"פ שאין בידו להחזירה אם לא יפסיד לא הו"ל אונס, שזה הי' רצונו מתחלה לגרש וברצונו מגרש, והקנס שעשה ברצונו עשאו לחזק את עצמו לגרש ולא הו"ל אונס ולזה האחרון דעתך נוטה.      תשובה: מה שהוקשה לך מה שמצאת בסדר נתינת הגט להר"ף ז"ל </w:t>
      </w:r>
      <w:r>
        <w:rPr>
          <w:rFonts w:cs="Arial"/>
          <w:sz w:val="16"/>
          <w:szCs w:val="16"/>
          <w:rtl/>
        </w:rPr>
        <w:t>(סדר הגט לר"פ בהגהת סמ"ק סי' קפד עמ' קנ, והו"ד בסדר הגט בטור סוס"י קנד)</w:t>
      </w:r>
      <w:r>
        <w:rPr>
          <w:rFonts w:cs="Arial"/>
          <w:rtl/>
        </w:rPr>
        <w:t xml:space="preserve"> ואם נשבע האיש שיתן גט צריך שיתירו לו קודם שיתן שלא יהא זה דומה לאונס אך ערבון יתן אם ירצה שאין זה דומה לאונס וקשיא לך מאי שנא מהאומר קונם פירות עלי אם איני מגרשך. הא לא תקשי כלל שהנודר מפירות אם רוצה יגרש אם רוצה לא יגרש אבל הנשבע לגרש על כרחו יש לו לגרש כל זמן שלא מצא פתח לנדרו והרי זה כפוי לגרש מהורמנא דמלכא מפני לאו דלא יחל והרי זה גט מעושה בישראל שלא כדין שלא היה זה מן הכופין אותו לגרש וא"כ גט פסול הוא זהו דעתו של הרב ז"ל. אבל נראה לי דחומר' בעלמ' היא ויכול לגרש בלי היתר שבועתו ולא דמי לאונס...</w:t>
      </w:r>
      <w:r>
        <w:rPr>
          <w:rtl/>
        </w:rPr>
        <w:t xml:space="preserve"> </w:t>
      </w:r>
      <w:r>
        <w:rPr>
          <w:rFonts w:cs="Arial"/>
          <w:rtl/>
        </w:rPr>
        <w:t xml:space="preserve">ומ"מ מדברי הרב ז"ל שכ' שנתינת ערבון לא הויא אונס למדנו שהמחייב עצמו ממון אם לא יגרש וגרש </w:t>
      </w:r>
      <w:r w:rsidR="00A82951">
        <w:rPr>
          <w:rFonts w:cs="Arial"/>
          <w:rtl/>
        </w:rPr>
        <w:t>-</w:t>
      </w:r>
      <w:r>
        <w:rPr>
          <w:rFonts w:cs="Arial"/>
          <w:rtl/>
        </w:rPr>
        <w:t xml:space="preserve"> שאין זה אונס, וא"כ האומר אתן למלך מאה זהובים אם לא אגרש אשתי </w:t>
      </w:r>
      <w:r w:rsidR="00A82951">
        <w:rPr>
          <w:rFonts w:cs="Arial"/>
          <w:rtl/>
        </w:rPr>
        <w:t>-</w:t>
      </w:r>
      <w:r>
        <w:rPr>
          <w:rFonts w:cs="Arial"/>
          <w:rtl/>
        </w:rPr>
        <w:t xml:space="preserve"> מגרש ואין חשש בדבר, שכיון שמעצמו נתחייב </w:t>
      </w:r>
      <w:r>
        <w:rPr>
          <w:rFonts w:cs="Arial"/>
          <w:rtl/>
        </w:rPr>
        <w:lastRenderedPageBreak/>
        <w:t>בזה, ברצונו הוא מגרש. וכ"ש שאם אמר אם אחזירנה בלי גרושין אתן מאה זהובים שאין זה אונס כלל מטעמא אחרינא, שהרי אפשר לו שלא יחזירנה ולא יגרש ולא יתן מאה זהובים</w:t>
      </w:r>
      <w:r>
        <w:rPr>
          <w:rStyle w:val="a7"/>
          <w:rFonts w:cs="Arial"/>
          <w:rtl/>
        </w:rPr>
        <w:footnoteReference w:id="1490"/>
      </w:r>
      <w:r>
        <w:rPr>
          <w:rFonts w:cs="Arial"/>
          <w:sz w:val="16"/>
          <w:szCs w:val="16"/>
          <w:rtl/>
        </w:rPr>
        <w:t xml:space="preserve"> (ל' התשב"ץ)</w:t>
      </w:r>
      <w:r>
        <w:rPr>
          <w:rStyle w:val="a7"/>
          <w:rFonts w:cs="Arial"/>
          <w:rtl/>
        </w:rPr>
        <w:footnoteReference w:id="1491"/>
      </w:r>
      <w:r>
        <w:rPr>
          <w:rFonts w:cs="Arial"/>
          <w:rtl/>
        </w:rPr>
        <w:t xml:space="preserve">. </w:t>
      </w:r>
    </w:p>
    <w:p w14:paraId="433D197A" w14:textId="74C48626" w:rsidR="00FA2119" w:rsidRDefault="00FA2119" w:rsidP="006A458D">
      <w:pPr>
        <w:pStyle w:val="ab"/>
        <w:numPr>
          <w:ilvl w:val="0"/>
          <w:numId w:val="90"/>
        </w:numPr>
      </w:pPr>
      <w:r>
        <w:rPr>
          <w:rFonts w:cs="Arial"/>
          <w:rtl/>
        </w:rPr>
        <w:t xml:space="preserve">רשב"א </w:t>
      </w:r>
      <w:r>
        <w:rPr>
          <w:rFonts w:cs="Arial"/>
          <w:sz w:val="16"/>
          <w:szCs w:val="16"/>
          <w:rtl/>
        </w:rPr>
        <w:t>(ח"ד סי' מ)</w:t>
      </w:r>
      <w:r w:rsidR="00A82951">
        <w:rPr>
          <w:rFonts w:cs="Arial"/>
          <w:rtl/>
        </w:rPr>
        <w:t>-</w:t>
      </w:r>
      <w:r>
        <w:rPr>
          <w:rFonts w:cs="Arial"/>
          <w:rtl/>
        </w:rPr>
        <w:t xml:space="preserve"> שאלת ראובן בעל לאה וקרובי לאה היו בהסכמה שיגרש ראובן את לאה אשתו, ונאותו זה לזה בקנס אלף דינר ושיגרש לזמן קבוע. ואחר נתחרט ראובן ומיאן בדבר, והללו מתרין בו מצד הקנס עד שהלך לגזבר להתפשר עמו ולא קיבל. ומחמת יראה זו גירש ראובן זה, אלא שלא היה בקי למסור מודעא. אם נדון גט זה בגט מעושה.     תשובה: נראה לי שגט זה מעושה ופסול כל שיודעין באונסו אע"פ שלא מסר מודעא, שאין מסירת מודעא אלא היכא דשקל זוזי, משום דסתמא דמילתא אגב אונסא דזוזי גמר ומקני (ב"ב מח.) כל שלא מסר מודעא, אבל תליוה ויהיב לאו כלום הוא, ואינו צריך מודעא כל דידעינן באונסיה ותליוה וגירש אינם גירושין דהא ליכא זוזי. ואם נפשך לומר כתליוה וזבין הוא זה דכיון שקיבל על עצמו מדעתו קנס אלף דינרין ובנתינת הגט הרויח ממון זה הוי כמקבל ממון דעלמא </w:t>
      </w:r>
      <w:r w:rsidR="00A82951">
        <w:rPr>
          <w:rFonts w:cs="Arial"/>
          <w:rtl/>
        </w:rPr>
        <w:t>-</w:t>
      </w:r>
      <w:r>
        <w:rPr>
          <w:rFonts w:cs="Arial"/>
          <w:rtl/>
        </w:rPr>
        <w:t xml:space="preserve"> לא היא שאין זה כמקבל ממון אלא כניצול מהפסד ממון, וגריע טובא מהפקעת שאר וכסות כדמוכח בגמרא </w:t>
      </w:r>
      <w:r>
        <w:rPr>
          <w:rFonts w:cs="Arial"/>
          <w:sz w:val="16"/>
          <w:szCs w:val="16"/>
          <w:rtl/>
        </w:rPr>
        <w:t xml:space="preserve">(גיטין פח:, עיין ב"ב שם תוד"ה אילימא) </w:t>
      </w:r>
      <w:r>
        <w:rPr>
          <w:rFonts w:cs="Arial"/>
          <w:rtl/>
        </w:rPr>
        <w:t xml:space="preserve">בהדיא דהפקעת דברים אלו דמיפטר מינייהו על ידי הגט לא חשבינן להו כקבלת ממון. </w:t>
      </w:r>
    </w:p>
    <w:p w14:paraId="1A074540" w14:textId="77777777" w:rsidR="00FA2119" w:rsidRDefault="00FA2119" w:rsidP="00FA2119">
      <w:r>
        <w:rPr>
          <w:u w:val="single"/>
          <w:rtl/>
        </w:rPr>
        <w:t>בעל שגירש בגלל אונס שהוא הביא על עצמו:</w:t>
      </w:r>
    </w:p>
    <w:p w14:paraId="23F85941" w14:textId="1C5F7726" w:rsidR="00FA2119" w:rsidRDefault="00FA2119" w:rsidP="006A458D">
      <w:pPr>
        <w:pStyle w:val="ab"/>
        <w:numPr>
          <w:ilvl w:val="0"/>
          <w:numId w:val="90"/>
        </w:numPr>
      </w:pPr>
      <w:r>
        <w:rPr>
          <w:rFonts w:cs="Arial"/>
          <w:rtl/>
        </w:rPr>
        <w:t>תשב"ץ</w:t>
      </w:r>
      <w:r>
        <w:rPr>
          <w:rFonts w:cs="Arial"/>
          <w:sz w:val="16"/>
          <w:szCs w:val="16"/>
          <w:rtl/>
        </w:rPr>
        <w:t xml:space="preserve"> (ח"א סימן א דף א ע"ד)</w:t>
      </w:r>
      <w:r w:rsidR="00A82951">
        <w:rPr>
          <w:rFonts w:cs="Arial"/>
          <w:rtl/>
        </w:rPr>
        <w:t>-</w:t>
      </w:r>
      <w:r>
        <w:rPr>
          <w:rFonts w:cs="Arial"/>
          <w:rtl/>
        </w:rPr>
        <w:t xml:space="preserve"> אונסין שהם אונסא דמנפשיה </w:t>
      </w:r>
      <w:r w:rsidR="00A82951">
        <w:rPr>
          <w:rFonts w:cs="Arial"/>
          <w:rtl/>
        </w:rPr>
        <w:t>-</w:t>
      </w:r>
      <w:r>
        <w:rPr>
          <w:rFonts w:cs="Arial"/>
          <w:rtl/>
        </w:rPr>
        <w:t xml:space="preserve"> אינן פוסלין בגט. וראיה מדאמרינן בפרק חזקת (מז:) גבי תליוה וזבין. ודילמא שאני אונסא דנפשיה מאונסא דאחריני. </w:t>
      </w:r>
    </w:p>
    <w:p w14:paraId="0984E483" w14:textId="77777777" w:rsidR="00FA2119" w:rsidRDefault="00FA2119" w:rsidP="00FA2119">
      <w:pPr>
        <w:rPr>
          <w:u w:val="single"/>
        </w:rPr>
      </w:pPr>
      <w:r>
        <w:rPr>
          <w:u w:val="single"/>
          <w:rtl/>
        </w:rPr>
        <w:t>בעל שהשליש כסף ביד שליש על מנת שלא יחזור אליו אם לא יגרש:</w:t>
      </w:r>
    </w:p>
    <w:p w14:paraId="4A3F3D85" w14:textId="767DBB08" w:rsidR="00FA2119" w:rsidRDefault="00FA2119" w:rsidP="006A458D">
      <w:pPr>
        <w:pStyle w:val="ab"/>
        <w:numPr>
          <w:ilvl w:val="0"/>
          <w:numId w:val="90"/>
        </w:numPr>
      </w:pPr>
      <w:r>
        <w:rPr>
          <w:rFonts w:cs="Arial"/>
          <w:rtl/>
        </w:rPr>
        <w:t xml:space="preserve">מהרי"ק </w:t>
      </w:r>
      <w:r>
        <w:rPr>
          <w:rFonts w:cs="Arial"/>
          <w:sz w:val="16"/>
          <w:szCs w:val="16"/>
          <w:rtl/>
        </w:rPr>
        <w:t>(שורש סג ענף ב)</w:t>
      </w:r>
      <w:r w:rsidR="00A82951">
        <w:rPr>
          <w:rFonts w:cs="Arial"/>
          <w:rtl/>
        </w:rPr>
        <w:t>-</w:t>
      </w:r>
      <w:r>
        <w:rPr>
          <w:rFonts w:cs="Arial"/>
          <w:rtl/>
        </w:rPr>
        <w:t xml:space="preserve"> אם הוא השליש ממון ביד שליש לכך, ואין השליש רוצה ליתן לו המעות עד שיגרש </w:t>
      </w:r>
      <w:r w:rsidR="00A82951">
        <w:rPr>
          <w:rFonts w:cs="Arial"/>
          <w:rtl/>
        </w:rPr>
        <w:t>-</w:t>
      </w:r>
      <w:r>
        <w:rPr>
          <w:rFonts w:cs="Arial"/>
          <w:rtl/>
        </w:rPr>
        <w:t xml:space="preserve"> לא מיקרי אונס, דלא מיקרי אונס אלא הבא לאדם מחמת אחרים, ולא כשהביא הוא האונס עליו. </w:t>
      </w:r>
    </w:p>
    <w:p w14:paraId="7727FF8A" w14:textId="77777777" w:rsidR="00FA2119" w:rsidRDefault="00FA2119" w:rsidP="00FA2119">
      <w:pPr>
        <w:rPr>
          <w:u w:val="single"/>
        </w:rPr>
      </w:pPr>
      <w:r>
        <w:rPr>
          <w:u w:val="single"/>
          <w:rtl/>
        </w:rPr>
        <w:t>בעל שגירש בגלל שעינו את קרובו בכמה עינויים:</w:t>
      </w:r>
    </w:p>
    <w:p w14:paraId="5483445F" w14:textId="6764FA98" w:rsidR="00FA2119" w:rsidRDefault="00FA2119" w:rsidP="006A458D">
      <w:pPr>
        <w:pStyle w:val="ab"/>
        <w:numPr>
          <w:ilvl w:val="0"/>
          <w:numId w:val="90"/>
        </w:numPr>
      </w:pPr>
      <w:r>
        <w:rPr>
          <w:rFonts w:cs="Arial"/>
          <w:rtl/>
        </w:rPr>
        <w:t>תשב"ץ</w:t>
      </w:r>
      <w:r>
        <w:rPr>
          <w:rFonts w:cs="Arial"/>
          <w:sz w:val="16"/>
          <w:szCs w:val="16"/>
          <w:rtl/>
        </w:rPr>
        <w:t xml:space="preserve"> (ח"א סימן א דף א סוע"ג)</w:t>
      </w:r>
      <w:r w:rsidR="00A82951">
        <w:rPr>
          <w:rFonts w:cs="Arial"/>
          <w:rtl/>
        </w:rPr>
        <w:t>-</w:t>
      </w:r>
      <w:r>
        <w:rPr>
          <w:rFonts w:cs="Arial"/>
          <w:rtl/>
        </w:rPr>
        <w:t xml:space="preserve"> נראה ברור שמה שעיכבו האב מלצאת מהעיר אינה כפייה לגבי הבן. חדא, שאפילו היו חובטין לאב עד שיגרש בנו</w:t>
      </w:r>
      <w:r>
        <w:rPr>
          <w:rFonts w:cs="Arial"/>
          <w:sz w:val="16"/>
          <w:szCs w:val="16"/>
          <w:rtl/>
        </w:rPr>
        <w:t xml:space="preserve"> {את אשתו}</w:t>
      </w:r>
      <w:r>
        <w:rPr>
          <w:rFonts w:cs="Arial"/>
          <w:rtl/>
        </w:rPr>
        <w:t xml:space="preserve"> לא מיקרי עישוי, שאפילו היה בנו שרחמי האב על הבן (סוטה מט. ועיין סנהדרין ריש עב:) לא מיקרי עישוי. ועוד שאפילו עיכבו המגרש עצמו כדרך שעיכבו אביו לא מיקרי עישוי, כיון שלא חבשו אותו ולא הכוהו והיה הולך ובא ברצונו בתוך העיר וגם חוץ לעיר ובלבד שלא יעתיק דירתו. ועוד שנראה שדירתו באותו מקום היתה עריבה עליו וכל עיקר לא היה מעתיק דירתו משם אלא כדי לעגן אותה אשה, והעיכוב לא היה אלא כדי שיעמוד בנו לדין, ואין זה אונס כלל... ויש אונס אחר ולא מצינו דומה לו בגמרא והוא שאנסו אחרים כדין או שלא כדין בגוף או בממון ואומרים בפירוש שאונס זה לא יסלקוהו עד שיגרש פלוני</w:t>
      </w:r>
      <w:r w:rsidR="00E94540">
        <w:rPr>
          <w:rFonts w:cs="Arial" w:hint="cs"/>
          <w:rtl/>
        </w:rPr>
        <w:t>,</w:t>
      </w:r>
      <w:r>
        <w:rPr>
          <w:rFonts w:cs="Arial"/>
          <w:rtl/>
        </w:rPr>
        <w:t xml:space="preserve"> אפילו אותו פלוני לא היה דינו לגרש אני אומר שאין זה בכלל אונסין, אפילו הוציאו להריגה בנו שרחמיו עליו אם הוא לא יגרש אשתו וגירשה להציל בנו כיון שלא מסר מודעא אין זה גט מעושה כלל</w:t>
      </w:r>
      <w:r>
        <w:rPr>
          <w:rStyle w:val="a7"/>
          <w:rFonts w:cs="Arial"/>
          <w:rtl/>
        </w:rPr>
        <w:footnoteReference w:id="1492"/>
      </w:r>
      <w:r w:rsidR="00E94540">
        <w:rPr>
          <w:rFonts w:cs="Arial" w:hint="cs"/>
          <w:rtl/>
        </w:rPr>
        <w:t>,</w:t>
      </w:r>
      <w:r>
        <w:rPr>
          <w:rFonts w:cs="Arial"/>
          <w:rtl/>
        </w:rPr>
        <w:t xml:space="preserve"> שאין העישוי אלא בגופו, ועור בעד עור וכל אשר לאיש יתן בעד נפשו (איוב ב ד). ומעתה נשוב לנדון שלפנינו ותמה על עצמך היאך יקרא זה המגרש אנוס מפני שלא הרשו לאביו לצאת מאותו מקום. חדא, שלא עיכבוהו עד שיגרש בנו אלא עד שיעמוד בנו לדין, ועיכוב זה בדין היה שכן הדין נותן למי שרוצה לעגן בנות ישראל או לגרום עיגונן לעכבו עד שיגיעו עצומיהם לפני דיינים. ועוד, שאפילו היה עיכוב זה שלא כדין לא מיקרי אונס כלל, שאין זו חבטה ולא הכאה שתקרא אונס. ואפילו אונס ממון לא הוי כל כך. וכבר אמרנו שאין כל זה בכלל האונסין. ועוד, שאפילו היה אונס כיון שלא עשו אותו בגופו ממש אלא באחרים לא הוי אונס כלל. ועוד, שאפילו נעשה האונס בגופו ואח"כ נתרצה בזה על ידי פדיון</w:t>
      </w:r>
      <w:r w:rsidR="00D13C16">
        <w:rPr>
          <w:rFonts w:cs="Arial" w:hint="cs"/>
          <w:rtl/>
        </w:rPr>
        <w:t>,</w:t>
      </w:r>
      <w:r>
        <w:rPr>
          <w:rFonts w:cs="Arial"/>
          <w:rtl/>
        </w:rPr>
        <w:t xml:space="preserve"> אין לך הוכחה גדולה מזו שאין כאן אונס. ועוד, שכיון שנבררו הדיינים כבר נסתלק אותו אונס</w:t>
      </w:r>
      <w:r>
        <w:rPr>
          <w:rStyle w:val="a7"/>
          <w:rFonts w:cs="Arial"/>
          <w:rtl/>
        </w:rPr>
        <w:footnoteReference w:id="1493"/>
      </w:r>
      <w:r>
        <w:rPr>
          <w:rFonts w:cs="Arial"/>
          <w:rtl/>
        </w:rPr>
        <w:t xml:space="preserve">.  </w:t>
      </w:r>
    </w:p>
    <w:p w14:paraId="4AE2D870" w14:textId="77777777" w:rsidR="00FA2119" w:rsidRDefault="00FA2119" w:rsidP="00FA2119">
      <w:pPr>
        <w:rPr>
          <w:u w:val="single"/>
        </w:rPr>
      </w:pPr>
      <w:r>
        <w:rPr>
          <w:u w:val="single"/>
          <w:rtl/>
        </w:rPr>
        <w:t>בעל שגירש בגלל שאביו הזקיקו לגרש:</w:t>
      </w:r>
    </w:p>
    <w:p w14:paraId="7B96180D" w14:textId="0C898C98" w:rsidR="00FA2119" w:rsidRDefault="00FA2119" w:rsidP="006A458D">
      <w:pPr>
        <w:pStyle w:val="ab"/>
        <w:numPr>
          <w:ilvl w:val="0"/>
          <w:numId w:val="90"/>
        </w:numPr>
      </w:pPr>
      <w:r>
        <w:rPr>
          <w:rFonts w:cs="Arial"/>
          <w:rtl/>
        </w:rPr>
        <w:lastRenderedPageBreak/>
        <w:t>תשב"ץ</w:t>
      </w:r>
      <w:r>
        <w:rPr>
          <w:rFonts w:cs="Arial"/>
          <w:sz w:val="16"/>
          <w:szCs w:val="16"/>
          <w:rtl/>
        </w:rPr>
        <w:t xml:space="preserve"> (ח"א סימן א דף א סוע"ג)</w:t>
      </w:r>
      <w:r w:rsidR="00A82951">
        <w:rPr>
          <w:rFonts w:cs="Arial"/>
          <w:rtl/>
        </w:rPr>
        <w:t>-</w:t>
      </w:r>
      <w:r>
        <w:rPr>
          <w:rFonts w:cs="Arial"/>
          <w:rtl/>
        </w:rPr>
        <w:t xml:space="preserve"> אם מי שהוא חייב בכבודו הזקיקו לגרש</w:t>
      </w:r>
      <w:r w:rsidR="002658E5">
        <w:rPr>
          <w:rFonts w:cs="Arial" w:hint="cs"/>
          <w:rtl/>
        </w:rPr>
        <w:t>,</w:t>
      </w:r>
      <w:r>
        <w:rPr>
          <w:rFonts w:cs="Arial"/>
          <w:rtl/>
        </w:rPr>
        <w:t xml:space="preserve"> גיטו גט מפני שני דברים</w:t>
      </w:r>
      <w:r w:rsidR="002658E5">
        <w:rPr>
          <w:rFonts w:cs="Arial" w:hint="cs"/>
          <w:rtl/>
        </w:rPr>
        <w:t>.</w:t>
      </w:r>
      <w:r>
        <w:rPr>
          <w:rFonts w:cs="Arial"/>
          <w:rtl/>
        </w:rPr>
        <w:t xml:space="preserve"> האחד</w:t>
      </w:r>
      <w:r w:rsidR="002658E5">
        <w:rPr>
          <w:rFonts w:cs="Arial" w:hint="cs"/>
          <w:rtl/>
        </w:rPr>
        <w:t>,</w:t>
      </w:r>
      <w:r>
        <w:rPr>
          <w:rFonts w:cs="Arial"/>
          <w:rtl/>
        </w:rPr>
        <w:t xml:space="preserve"> שלא אנסו בהכאות</w:t>
      </w:r>
      <w:r w:rsidR="002658E5">
        <w:rPr>
          <w:rFonts w:cs="Arial" w:hint="cs"/>
          <w:rtl/>
        </w:rPr>
        <w:t>.</w:t>
      </w:r>
      <w:r>
        <w:rPr>
          <w:rFonts w:cs="Arial"/>
          <w:rtl/>
        </w:rPr>
        <w:t xml:space="preserve"> והשני</w:t>
      </w:r>
      <w:r w:rsidR="002658E5">
        <w:rPr>
          <w:rFonts w:cs="Arial" w:hint="cs"/>
          <w:rtl/>
        </w:rPr>
        <w:t>,</w:t>
      </w:r>
      <w:r>
        <w:rPr>
          <w:rFonts w:cs="Arial"/>
          <w:rtl/>
        </w:rPr>
        <w:t xml:space="preserve"> שאפילו אנסוהו אחרים על פי אביו ואמרו לו אל תסתור דברי אביך הוי גט משום מצוה לשמוע דברי אביו כיון שלא היו דבריו לעבור על דברי תורה (יבמות ה:) והיו כדי להסתלק מן המריבה.</w:t>
      </w:r>
    </w:p>
    <w:p w14:paraId="4825A2FB" w14:textId="77777777" w:rsidR="00FA2119" w:rsidRDefault="00FA2119" w:rsidP="00FA2119">
      <w:pPr>
        <w:rPr>
          <w:u w:val="single"/>
        </w:rPr>
      </w:pPr>
      <w:r>
        <w:rPr>
          <w:u w:val="single"/>
          <w:rtl/>
        </w:rPr>
        <w:t>בעל שגירש בגלל שאנסוהו לעשות דבר אחר, ואמרו לו אם תגרש תיפטר מלעשות הדבר ההוא:</w:t>
      </w:r>
    </w:p>
    <w:p w14:paraId="66EA658D" w14:textId="04B458BA" w:rsidR="00FA2119" w:rsidRDefault="00FA2119" w:rsidP="006A458D">
      <w:pPr>
        <w:pStyle w:val="ab"/>
        <w:numPr>
          <w:ilvl w:val="0"/>
          <w:numId w:val="90"/>
        </w:numPr>
      </w:pPr>
      <w:r>
        <w:rPr>
          <w:rFonts w:cs="Arial"/>
          <w:rtl/>
        </w:rPr>
        <w:t>תשב"ץ</w:t>
      </w:r>
      <w:r>
        <w:rPr>
          <w:rFonts w:cs="Arial"/>
          <w:sz w:val="16"/>
          <w:szCs w:val="16"/>
          <w:rtl/>
        </w:rPr>
        <w:t xml:space="preserve"> (ח"א סימן א דף ב ריש ע"א)</w:t>
      </w:r>
      <w:r w:rsidR="00A82951">
        <w:rPr>
          <w:rFonts w:cs="Arial"/>
          <w:rtl/>
        </w:rPr>
        <w:t>-</w:t>
      </w:r>
      <w:r>
        <w:rPr>
          <w:rFonts w:cs="Arial"/>
          <w:rtl/>
        </w:rPr>
        <w:t xml:space="preserve"> יש אונס אחר שאע"פ שהוא אונסו בגופו אינו אונסו לגרש, אלא שהוא אונסו לעשות דבר אחד והוא מעצמו כדי להנצל מאותו אונס מגרש מעצמו, וזה אינו קרוי כפייה כיון שלא כפו אותו ממש להוציא. וראיה מדאמרינן בירושלמי פרק אלמנה נזונת (כתובות ה"ז) אמר שמואל אין מעשין אלא לפסולות וכו' שמענו שמוציא שמענו שכופין?. פירוש שמענו שכופין בתמיה</w:t>
      </w:r>
      <w:r w:rsidR="0033529E">
        <w:rPr>
          <w:rFonts w:cs="Arial" w:hint="cs"/>
          <w:rtl/>
        </w:rPr>
        <w:t>,</w:t>
      </w:r>
      <w:r>
        <w:rPr>
          <w:rFonts w:cs="Arial"/>
          <w:rtl/>
        </w:rPr>
        <w:t xml:space="preserve"> דיוציא לחוד וכופין לחוד</w:t>
      </w:r>
      <w:r w:rsidR="00BF701B">
        <w:rPr>
          <w:rFonts w:cs="Arial" w:hint="cs"/>
          <w:rtl/>
        </w:rPr>
        <w:t>.</w:t>
      </w:r>
      <w:r>
        <w:rPr>
          <w:rFonts w:cs="Arial"/>
          <w:rtl/>
        </w:rPr>
        <w:t xml:space="preserve"> דכופין</w:t>
      </w:r>
      <w:r w:rsidR="00BF701B">
        <w:rPr>
          <w:rFonts w:cs="Arial" w:hint="cs"/>
          <w:rtl/>
        </w:rPr>
        <w:t>,</w:t>
      </w:r>
      <w:r>
        <w:rPr>
          <w:rFonts w:cs="Arial"/>
          <w:rtl/>
        </w:rPr>
        <w:t xml:space="preserve"> ר"ל שהכו אותו ממש לגרש. ויוציא</w:t>
      </w:r>
      <w:r w:rsidR="00BF701B">
        <w:rPr>
          <w:rFonts w:cs="Arial" w:hint="cs"/>
          <w:rtl/>
        </w:rPr>
        <w:t>,</w:t>
      </w:r>
      <w:r>
        <w:rPr>
          <w:rFonts w:cs="Arial"/>
          <w:rtl/>
        </w:rPr>
        <w:t xml:space="preserve"> ר"ל שכופין אותו לפרוע כתובתה ואם מתוך כפייה זו רוצה לגרש יגרש</w:t>
      </w:r>
      <w:r w:rsidR="00BF701B">
        <w:rPr>
          <w:rFonts w:cs="Arial" w:hint="cs"/>
          <w:rtl/>
        </w:rPr>
        <w:t>.</w:t>
      </w:r>
      <w:r>
        <w:rPr>
          <w:rFonts w:cs="Arial"/>
          <w:rtl/>
        </w:rPr>
        <w:t xml:space="preserve"> וכן פירש הרמב"ן בפרק אף על פי (כתובות סג: ד"ה ומצינו). והא דשמואל דאמר אין מעשין אלא לפסולות היינו עישוי בגופו ממש לגרש</w:t>
      </w:r>
      <w:r w:rsidR="00BF701B">
        <w:rPr>
          <w:rFonts w:cs="Arial" w:hint="cs"/>
          <w:rtl/>
        </w:rPr>
        <w:t>,</w:t>
      </w:r>
      <w:r>
        <w:rPr>
          <w:rFonts w:cs="Arial"/>
          <w:rtl/>
        </w:rPr>
        <w:t xml:space="preserve"> דהיינו לישנא דעישוי הגט. וכן נמי הא דתנן (פח:) גט מעושה שלא כדין פסול</w:t>
      </w:r>
      <w:r w:rsidR="00797ECC">
        <w:rPr>
          <w:rFonts w:cs="Arial" w:hint="cs"/>
          <w:rtl/>
        </w:rPr>
        <w:t>,</w:t>
      </w:r>
      <w:r>
        <w:rPr>
          <w:rFonts w:cs="Arial"/>
          <w:rtl/>
        </w:rPr>
        <w:t xml:space="preserve"> דכוותה היא שמעשין אותו בגופו לגרש</w:t>
      </w:r>
      <w:r w:rsidR="00797ECC">
        <w:rPr>
          <w:rFonts w:cs="Arial" w:hint="cs"/>
          <w:rtl/>
        </w:rPr>
        <w:t>.</w:t>
      </w:r>
      <w:r>
        <w:rPr>
          <w:rFonts w:cs="Arial"/>
          <w:rtl/>
        </w:rPr>
        <w:t xml:space="preserve"> אבל אם עישו אותו בדברים אחרים שהיה הדין לכופו בהן</w:t>
      </w:r>
      <w:r w:rsidR="00797ECC">
        <w:rPr>
          <w:rFonts w:cs="Arial" w:hint="cs"/>
          <w:rtl/>
        </w:rPr>
        <w:t>,</w:t>
      </w:r>
      <w:r>
        <w:rPr>
          <w:rFonts w:cs="Arial"/>
          <w:rtl/>
        </w:rPr>
        <w:t xml:space="preserve"> כגון פריעת כתובה דפריעת בעל חוב מצוה ומכין אותו עד שיאמר רוצה אני כדאיתא בפרק הכותב (כתובות פו.)</w:t>
      </w:r>
      <w:r w:rsidR="00797ECC">
        <w:rPr>
          <w:rFonts w:cs="Arial" w:hint="cs"/>
          <w:rtl/>
        </w:rPr>
        <w:t>,</w:t>
      </w:r>
      <w:r>
        <w:rPr>
          <w:rFonts w:cs="Arial"/>
          <w:rtl/>
        </w:rPr>
        <w:t xml:space="preserve"> ולהציל עצמו מאותו עישוי נתרצה לגרש לא הוי גט מעושה</w:t>
      </w:r>
      <w:r w:rsidR="00797ECC">
        <w:rPr>
          <w:rFonts w:cs="Arial" w:hint="cs"/>
          <w:rtl/>
        </w:rPr>
        <w:t>.</w:t>
      </w:r>
      <w:r>
        <w:rPr>
          <w:rFonts w:cs="Arial"/>
          <w:rtl/>
        </w:rPr>
        <w:t xml:space="preserve"> ומיהו מסתברא דהני מילי כשכפוהו כדין באותם דברים אחרים</w:t>
      </w:r>
      <w:r w:rsidR="00797ECC">
        <w:rPr>
          <w:rFonts w:cs="Arial" w:hint="cs"/>
          <w:rtl/>
        </w:rPr>
        <w:t>,</w:t>
      </w:r>
      <w:r>
        <w:rPr>
          <w:rFonts w:cs="Arial"/>
          <w:rtl/>
        </w:rPr>
        <w:t xml:space="preserve"> כגון הכא שהדין נותן לפרוע כתובתה ובדין כפוהו בפריעתה</w:t>
      </w:r>
      <w:r w:rsidR="00797ECC">
        <w:rPr>
          <w:rFonts w:cs="Arial" w:hint="cs"/>
          <w:rtl/>
        </w:rPr>
        <w:t>.</w:t>
      </w:r>
      <w:r>
        <w:rPr>
          <w:rFonts w:cs="Arial"/>
          <w:rtl/>
        </w:rPr>
        <w:t xml:space="preserve"> אבל אם כפוהו שלא כדין בדבר אחר</w:t>
      </w:r>
      <w:r w:rsidR="00797ECC">
        <w:rPr>
          <w:rFonts w:cs="Arial" w:hint="cs"/>
          <w:rtl/>
        </w:rPr>
        <w:t>,</w:t>
      </w:r>
      <w:r>
        <w:rPr>
          <w:rFonts w:cs="Arial"/>
          <w:rtl/>
        </w:rPr>
        <w:t xml:space="preserve"> ומתוך אותה כפייה גירש</w:t>
      </w:r>
      <w:r w:rsidR="00797ECC">
        <w:rPr>
          <w:rFonts w:cs="Arial" w:hint="cs"/>
          <w:rtl/>
        </w:rPr>
        <w:t>,</w:t>
      </w:r>
      <w:r>
        <w:rPr>
          <w:rFonts w:cs="Arial"/>
          <w:rtl/>
        </w:rPr>
        <w:t xml:space="preserve"> אפשר דהוי גט מעושה דנקטיה בכובסיה דלישבקיה לגלימיה הוי (ב"מ קא:)</w:t>
      </w:r>
      <w:r w:rsidR="00797ECC">
        <w:rPr>
          <w:rFonts w:cs="Arial" w:hint="cs"/>
          <w:rtl/>
        </w:rPr>
        <w:t>,</w:t>
      </w:r>
      <w:r>
        <w:rPr>
          <w:rFonts w:cs="Arial"/>
          <w:rtl/>
        </w:rPr>
        <w:t xml:space="preserve"> וצריך עיון. </w:t>
      </w:r>
    </w:p>
    <w:p w14:paraId="4946C16A" w14:textId="77777777" w:rsidR="00FA2119" w:rsidRDefault="00FA2119" w:rsidP="00FA2119">
      <w:pPr>
        <w:rPr>
          <w:u w:val="single"/>
        </w:rPr>
      </w:pPr>
      <w:r>
        <w:rPr>
          <w:u w:val="single"/>
          <w:rtl/>
        </w:rPr>
        <w:t>בעל שגירש בגלל שפחד להפסיד כסף:</w:t>
      </w:r>
    </w:p>
    <w:p w14:paraId="3A76EEA1" w14:textId="5AD5CE4B" w:rsidR="00FA2119" w:rsidRDefault="00FA2119" w:rsidP="006A458D">
      <w:pPr>
        <w:pStyle w:val="ab"/>
        <w:numPr>
          <w:ilvl w:val="0"/>
          <w:numId w:val="90"/>
        </w:numPr>
      </w:pPr>
      <w:r>
        <w:rPr>
          <w:rFonts w:cs="Arial"/>
          <w:rtl/>
        </w:rPr>
        <w:t>תשב"ץ</w:t>
      </w:r>
      <w:r>
        <w:rPr>
          <w:rFonts w:cs="Arial"/>
          <w:sz w:val="16"/>
          <w:szCs w:val="16"/>
          <w:rtl/>
        </w:rPr>
        <w:t xml:space="preserve"> (ח"א סימן א דף ב ריש ע"א)</w:t>
      </w:r>
      <w:r w:rsidR="00A82951">
        <w:rPr>
          <w:rFonts w:cs="Arial"/>
          <w:rtl/>
        </w:rPr>
        <w:t>-</w:t>
      </w:r>
      <w:r>
        <w:rPr>
          <w:rFonts w:cs="Arial"/>
          <w:rtl/>
        </w:rPr>
        <w:t xml:space="preserve"> ויש אונס אחר אע"פ שהוא אונסא דאחריני אינו אונס בגופו</w:t>
      </w:r>
      <w:r w:rsidR="00D51652">
        <w:rPr>
          <w:rFonts w:cs="Arial" w:hint="cs"/>
          <w:rtl/>
        </w:rPr>
        <w:t>,</w:t>
      </w:r>
      <w:r>
        <w:rPr>
          <w:rFonts w:cs="Arial"/>
          <w:rtl/>
        </w:rPr>
        <w:t xml:space="preserve"> כגון שגזלה אשתו ממנו ממון ואינה רוצה להחזירו עד שיגרשנה</w:t>
      </w:r>
      <w:r w:rsidR="00D51652">
        <w:rPr>
          <w:rFonts w:cs="Arial" w:hint="cs"/>
          <w:rtl/>
        </w:rPr>
        <w:t>,</w:t>
      </w:r>
      <w:r>
        <w:rPr>
          <w:rFonts w:cs="Arial"/>
          <w:rtl/>
        </w:rPr>
        <w:t xml:space="preserve"> ואינו יכול לכופה בדין להחזירו אליו, או מפחידתו להפסידו ממון, ולא מסר מודעא, אני מסתפק אי ידיע מילתא דמחמת אותו עישוי גירש הוי גט מעושה. וקרוב אני לומר דכיון דלא מסר מודעא לא הוי גט מעושה, ואגב אונסיה גמר ומגרש. וכן נראה דעת רבינו פרץ</w:t>
      </w:r>
      <w:r>
        <w:rPr>
          <w:rFonts w:cs="Arial"/>
          <w:sz w:val="16"/>
          <w:szCs w:val="16"/>
          <w:rtl/>
        </w:rPr>
        <w:t xml:space="preserve"> (סדר הגט בהגהת סמ"ק סי' קפד עמ' קנ והו"ד בסדר הגט בטור סוס"י קנד)</w:t>
      </w:r>
      <w:r>
        <w:rPr>
          <w:rFonts w:cs="Arial"/>
          <w:rtl/>
        </w:rPr>
        <w:t xml:space="preserve"> שכתב שאם נתן ערבון וגירש שאין זה אונס</w:t>
      </w:r>
      <w:r>
        <w:rPr>
          <w:rStyle w:val="a7"/>
          <w:rFonts w:cs="Arial"/>
          <w:rtl/>
        </w:rPr>
        <w:footnoteReference w:id="1494"/>
      </w:r>
      <w:r>
        <w:rPr>
          <w:rFonts w:cs="Arial"/>
          <w:rtl/>
        </w:rPr>
        <w:t xml:space="preserve">. ואע"ג דאמרינן בפרק חזקת (מ:) ההוא גברא דאזל לקדושי איתתא וכו', משמע דבמתנה דבגילויי מילתא סגי, מתבטלת המתנה משום הוכחה לבד, וא"כ כל שכן בגיטין באונס ממון דהויא הוכחה לבטולי גיטא </w:t>
      </w:r>
      <w:r w:rsidR="00A82951">
        <w:rPr>
          <w:rFonts w:cs="Arial"/>
          <w:rtl/>
        </w:rPr>
        <w:t>-</w:t>
      </w:r>
      <w:r>
        <w:rPr>
          <w:rFonts w:cs="Arial"/>
          <w:rtl/>
        </w:rPr>
        <w:t xml:space="preserve"> הא לא מוכחא, דהכא משום דמתנה טמירתא קדמה למתנת האשה הוא דסגי הוכחה, והוי כמודעא, דבמתנה אפילו נאנס מתנתו מתנה כל שלא מסר מודעא, א"כ אמאי אמרינן התם דלא קנתה איהי, אלא דמתנה טמירתא היכא דמוכחא מילתא דמשום אונס הוא הויא כמודעא, אבל אי לא מתנה טמירתא הויא מתנתו מתנה, הוא הדין באונס ממון בגט כל שלא מסר מודעא הוי גט. זה היה נ"ל, אבל קושטא דמילתא דתליוה ויהיב לא הויא מתנה (רשב"ם שם סוף מז:) ואינו צריך מודעא.</w:t>
      </w:r>
    </w:p>
    <w:p w14:paraId="7FAD5846" w14:textId="1E7A1068" w:rsidR="00FA2119" w:rsidRDefault="00FA2119" w:rsidP="00FA2119">
      <w:pPr>
        <w:rPr>
          <w:u w:val="single"/>
        </w:rPr>
      </w:pPr>
      <w:r>
        <w:rPr>
          <w:u w:val="single"/>
          <w:rtl/>
        </w:rPr>
        <w:t>בעל שאמר לקרובו '</w:t>
      </w:r>
      <w:r>
        <w:rPr>
          <w:rFonts w:cs="Arial"/>
          <w:u w:val="single"/>
          <w:rtl/>
        </w:rPr>
        <w:t xml:space="preserve">מה צורך לבכות אני נותן בכח זה הגט' </w:t>
      </w:r>
      <w:r w:rsidR="00A82951">
        <w:rPr>
          <w:rFonts w:cs="Arial"/>
          <w:u w:val="single"/>
          <w:rtl/>
        </w:rPr>
        <w:t>-</w:t>
      </w:r>
      <w:r>
        <w:rPr>
          <w:rFonts w:cs="Arial"/>
          <w:u w:val="single"/>
          <w:rtl/>
        </w:rPr>
        <w:t xml:space="preserve"> האם יש לחוש לגט מעושה:</w:t>
      </w:r>
    </w:p>
    <w:p w14:paraId="382061B4" w14:textId="12898448" w:rsidR="00FA2119" w:rsidRDefault="00FA2119" w:rsidP="006A458D">
      <w:pPr>
        <w:pStyle w:val="ab"/>
        <w:numPr>
          <w:ilvl w:val="0"/>
          <w:numId w:val="90"/>
        </w:numPr>
      </w:pPr>
      <w:r>
        <w:rPr>
          <w:rFonts w:cs="Arial"/>
          <w:rtl/>
        </w:rPr>
        <w:t>תשב"ץ</w:t>
      </w:r>
      <w:r>
        <w:rPr>
          <w:rFonts w:cs="Arial"/>
          <w:sz w:val="16"/>
          <w:szCs w:val="16"/>
          <w:rtl/>
        </w:rPr>
        <w:t xml:space="preserve"> (ח"א סימן א דף א ע"א)</w:t>
      </w:r>
      <w:r w:rsidR="00A82951">
        <w:rPr>
          <w:rFonts w:cs="Arial"/>
          <w:rtl/>
        </w:rPr>
        <w:t>-</w:t>
      </w:r>
      <w:r>
        <w:rPr>
          <w:rFonts w:cs="Arial"/>
          <w:rtl/>
        </w:rPr>
        <w:t xml:space="preserve"> היה דודו של המגרש בוכה שהיה קשה בעיניו הדבר</w:t>
      </w:r>
      <w:r w:rsidR="00CC7555">
        <w:rPr>
          <w:rFonts w:cs="Arial" w:hint="cs"/>
          <w:rtl/>
        </w:rPr>
        <w:t>,</w:t>
      </w:r>
      <w:r>
        <w:rPr>
          <w:rFonts w:cs="Arial"/>
          <w:rtl/>
        </w:rPr>
        <w:t xml:space="preserve"> ואמר לו המגרש</w:t>
      </w:r>
      <w:r w:rsidR="00CC7555">
        <w:rPr>
          <w:rFonts w:cs="Arial" w:hint="cs"/>
          <w:rtl/>
        </w:rPr>
        <w:t>:</w:t>
      </w:r>
      <w:r>
        <w:rPr>
          <w:rFonts w:cs="Arial"/>
          <w:rtl/>
        </w:rPr>
        <w:t xml:space="preserve"> מה צורך לבכות אני נותן בכח זה הגט</w:t>
      </w:r>
      <w:r w:rsidR="00CC7555">
        <w:rPr>
          <w:rFonts w:cs="Arial" w:hint="cs"/>
          <w:rtl/>
        </w:rPr>
        <w:t>.</w:t>
      </w:r>
      <w:r>
        <w:rPr>
          <w:rFonts w:cs="Arial"/>
          <w:rtl/>
        </w:rPr>
        <w:t xml:space="preserve"> וה"ר יצחק אמר לו מה ר"ל בכח שאמרת</w:t>
      </w:r>
      <w:r w:rsidR="00CC7555">
        <w:rPr>
          <w:rFonts w:cs="Arial" w:hint="cs"/>
          <w:rtl/>
        </w:rPr>
        <w:t>?</w:t>
      </w:r>
      <w:r>
        <w:rPr>
          <w:rFonts w:cs="Arial"/>
          <w:rtl/>
        </w:rPr>
        <w:t xml:space="preserve"> פרש לו והשיב</w:t>
      </w:r>
      <w:r w:rsidR="00CC7555">
        <w:rPr>
          <w:rFonts w:cs="Arial" w:hint="cs"/>
          <w:rtl/>
        </w:rPr>
        <w:t>:</w:t>
      </w:r>
      <w:r>
        <w:rPr>
          <w:rFonts w:cs="Arial"/>
          <w:rtl/>
        </w:rPr>
        <w:t xml:space="preserve"> רצוני לומר כי מאחר שאינה רוצה אותי איני רוצה אותה</w:t>
      </w:r>
      <w:r w:rsidR="00CC7555">
        <w:rPr>
          <w:rFonts w:cs="Arial" w:hint="cs"/>
          <w:rtl/>
        </w:rPr>
        <w:t>.</w:t>
      </w:r>
      <w:r>
        <w:rPr>
          <w:rFonts w:cs="Arial"/>
          <w:rtl/>
        </w:rPr>
        <w:t xml:space="preserve"> זה הלשון (שם ב ע"ג) אינו גורם קלקול כלל בגט ולא במסירתו</w:t>
      </w:r>
      <w:r w:rsidR="00CC7555">
        <w:rPr>
          <w:rFonts w:cs="Arial" w:hint="cs"/>
          <w:rtl/>
        </w:rPr>
        <w:t>,</w:t>
      </w:r>
      <w:r>
        <w:rPr>
          <w:rFonts w:cs="Arial"/>
          <w:rtl/>
        </w:rPr>
        <w:t xml:space="preserve"> מפני שני דברים</w:t>
      </w:r>
      <w:r w:rsidR="00CC7555">
        <w:rPr>
          <w:rFonts w:cs="Arial" w:hint="cs"/>
          <w:rtl/>
        </w:rPr>
        <w:t>.</w:t>
      </w:r>
      <w:r>
        <w:rPr>
          <w:rFonts w:cs="Arial"/>
          <w:rtl/>
        </w:rPr>
        <w:t xml:space="preserve"> </w:t>
      </w:r>
      <w:r w:rsidR="00EC3AF9">
        <w:rPr>
          <w:rFonts w:cs="Arial" w:hint="cs"/>
          <w:rtl/>
        </w:rPr>
        <w:t xml:space="preserve">    </w:t>
      </w:r>
      <w:r>
        <w:rPr>
          <w:rFonts w:cs="Arial"/>
          <w:rtl/>
        </w:rPr>
        <w:t>האחד</w:t>
      </w:r>
      <w:r w:rsidR="00CC7555">
        <w:rPr>
          <w:rFonts w:cs="Arial" w:hint="cs"/>
          <w:rtl/>
        </w:rPr>
        <w:t>,</w:t>
      </w:r>
      <w:r>
        <w:rPr>
          <w:rFonts w:cs="Arial"/>
          <w:rtl/>
        </w:rPr>
        <w:t xml:space="preserve"> שאפילו אמר בפירוש לדודו הריני אנוס בגט זה ואי איפשי בו או שאר לשונות הפוסלים בגט</w:t>
      </w:r>
      <w:r w:rsidR="00CC7555">
        <w:rPr>
          <w:rFonts w:cs="Arial" w:hint="cs"/>
          <w:rtl/>
        </w:rPr>
        <w:t>,</w:t>
      </w:r>
      <w:r>
        <w:rPr>
          <w:rFonts w:cs="Arial"/>
          <w:rtl/>
        </w:rPr>
        <w:t xml:space="preserve"> אפילו הכי אין גט זה בטל מפני אותם הדברים</w:t>
      </w:r>
      <w:r w:rsidR="00CC7555">
        <w:rPr>
          <w:rFonts w:cs="Arial" w:hint="cs"/>
          <w:rtl/>
        </w:rPr>
        <w:t>,</w:t>
      </w:r>
      <w:r>
        <w:rPr>
          <w:rFonts w:cs="Arial"/>
          <w:rtl/>
        </w:rPr>
        <w:t xml:space="preserve"> כיון שלא היו דבריו לעדים כמוסר מודעא אליהם</w:t>
      </w:r>
      <w:r w:rsidR="00CC7555">
        <w:rPr>
          <w:rFonts w:cs="Arial" w:hint="cs"/>
          <w:rtl/>
        </w:rPr>
        <w:t>,</w:t>
      </w:r>
      <w:r>
        <w:rPr>
          <w:rFonts w:cs="Arial"/>
          <w:rtl/>
        </w:rPr>
        <w:t xml:space="preserve"> דבמודעא בעינן שימסור</w:t>
      </w:r>
      <w:r w:rsidR="00CC7555">
        <w:rPr>
          <w:rFonts w:cs="Arial" w:hint="cs"/>
          <w:rtl/>
        </w:rPr>
        <w:t>,</w:t>
      </w:r>
      <w:r>
        <w:rPr>
          <w:rFonts w:cs="Arial"/>
          <w:rtl/>
        </w:rPr>
        <w:t xml:space="preserve"> ובעינן נמי שיהיו שנים (ב"ב מ.)</w:t>
      </w:r>
      <w:r w:rsidR="00CC7555">
        <w:rPr>
          <w:rFonts w:cs="Arial" w:hint="cs"/>
          <w:rtl/>
        </w:rPr>
        <w:t>,</w:t>
      </w:r>
      <w:r>
        <w:rPr>
          <w:rFonts w:cs="Arial"/>
          <w:rtl/>
        </w:rPr>
        <w:t xml:space="preserve"> ושלא בפני עדים לא הויא מודעא אע</w:t>
      </w:r>
      <w:r w:rsidR="00CC7555">
        <w:rPr>
          <w:rFonts w:cs="Arial" w:hint="cs"/>
          <w:rtl/>
        </w:rPr>
        <w:t>"</w:t>
      </w:r>
      <w:r>
        <w:rPr>
          <w:rFonts w:cs="Arial"/>
          <w:rtl/>
        </w:rPr>
        <w:t>פ שהלה מודה לו שמסר מודעא בפניו</w:t>
      </w:r>
      <w:r w:rsidR="00117224">
        <w:rPr>
          <w:rFonts w:cs="Arial" w:hint="cs"/>
          <w:rtl/>
        </w:rPr>
        <w:t>.</w:t>
      </w:r>
      <w:r>
        <w:rPr>
          <w:rFonts w:cs="Arial"/>
          <w:rtl/>
        </w:rPr>
        <w:t xml:space="preserve"> ואפילו מסר מודעא בפניו ובפני עד אחד מפקפק הרמב"ן בפרק חזקת (לט: סוד"ה מחאה)</w:t>
      </w:r>
      <w:r w:rsidR="00117224">
        <w:rPr>
          <w:rFonts w:cs="Arial" w:hint="cs"/>
          <w:rtl/>
        </w:rPr>
        <w:t>,</w:t>
      </w:r>
      <w:r>
        <w:rPr>
          <w:rFonts w:cs="Arial"/>
          <w:rtl/>
        </w:rPr>
        <w:t xml:space="preserve"> וכיון שכן צריך שתהיה מסירת המודעא כמוסר דבריו לעדים</w:t>
      </w:r>
      <w:r w:rsidR="00117224">
        <w:rPr>
          <w:rFonts w:cs="Arial" w:hint="cs"/>
          <w:rtl/>
        </w:rPr>
        <w:t>.</w:t>
      </w:r>
      <w:r>
        <w:rPr>
          <w:rFonts w:cs="Arial"/>
          <w:rtl/>
        </w:rPr>
        <w:t xml:space="preserve"> אבל אם אמר דבריו לאחרים שאינם ראויים לעדות מפני קורבה או מפני פסול אחר</w:t>
      </w:r>
      <w:r w:rsidR="00117224">
        <w:rPr>
          <w:rFonts w:cs="Arial" w:hint="cs"/>
          <w:rtl/>
        </w:rPr>
        <w:t>,</w:t>
      </w:r>
      <w:r>
        <w:rPr>
          <w:rFonts w:cs="Arial"/>
          <w:rtl/>
        </w:rPr>
        <w:t xml:space="preserve"> אע"פ ששמעוהו אחרים מספר אותם דברים לאחרים אין זו מודעא כלל, שאם היה רצונו לבטל הגט מפני אותם דברים למה לא מסרן לאותן עדים שהיו שם וסיפר דרך סיפור. וכיון דמודעא בעינן בפני שני עדים צריך שיהיו דבריו עם השנים</w:t>
      </w:r>
      <w:r w:rsidR="00117224">
        <w:rPr>
          <w:rFonts w:cs="Arial" w:hint="cs"/>
          <w:rtl/>
        </w:rPr>
        <w:t>,</w:t>
      </w:r>
      <w:r>
        <w:rPr>
          <w:rFonts w:cs="Arial"/>
          <w:rtl/>
        </w:rPr>
        <w:t xml:space="preserve"> וליכא בין מכירה לגט בהא מידי. והכי מוכח לישנא דגמרא (ערכין כא:) דאמרינן האי מאן דמסר מודעא אגיטא. משמע דבעינן שימסור דבריו לעדים</w:t>
      </w:r>
      <w:r w:rsidR="0061427D">
        <w:rPr>
          <w:rFonts w:cs="Arial" w:hint="cs"/>
          <w:rtl/>
        </w:rPr>
        <w:t>,</w:t>
      </w:r>
      <w:r>
        <w:rPr>
          <w:rFonts w:cs="Arial"/>
          <w:rtl/>
        </w:rPr>
        <w:t xml:space="preserve"> שזהו לשון מסירה דשמא משטה בדודו היה או דוחהו בדברים</w:t>
      </w:r>
      <w:r w:rsidR="0061427D">
        <w:rPr>
          <w:rFonts w:cs="Arial" w:hint="cs"/>
          <w:rtl/>
        </w:rPr>
        <w:t>,</w:t>
      </w:r>
      <w:r>
        <w:rPr>
          <w:rFonts w:cs="Arial"/>
          <w:rtl/>
        </w:rPr>
        <w:t xml:space="preserve"> שאילו לא היתה דעתו מפוייסת עליו במסירת הגט לעדיו היה אומר כן</w:t>
      </w:r>
      <w:r w:rsidR="0061427D">
        <w:rPr>
          <w:rFonts w:cs="Arial" w:hint="cs"/>
          <w:rtl/>
        </w:rPr>
        <w:t>.</w:t>
      </w:r>
      <w:r>
        <w:rPr>
          <w:rFonts w:cs="Arial"/>
          <w:rtl/>
        </w:rPr>
        <w:t xml:space="preserve"> וכיון שלא מסר כן לעדים השומעים אותם הדברים בודאי דרך שיחה בעלמא היה אומרן ולא דרך מסירת עדות. ועוד שהוא לא אמרן מעצמו אלא אחר שראה דודו בוכה ומצטער </w:t>
      </w:r>
      <w:r>
        <w:rPr>
          <w:rFonts w:cs="Arial"/>
          <w:rtl/>
        </w:rPr>
        <w:lastRenderedPageBreak/>
        <w:t>על הגירושין</w:t>
      </w:r>
      <w:r w:rsidR="0061427D">
        <w:rPr>
          <w:rFonts w:cs="Arial" w:hint="cs"/>
          <w:rtl/>
        </w:rPr>
        <w:t>,</w:t>
      </w:r>
      <w:r>
        <w:rPr>
          <w:rFonts w:cs="Arial"/>
          <w:rtl/>
        </w:rPr>
        <w:t xml:space="preserve"> ולפייסו אמר כן</w:t>
      </w:r>
      <w:r w:rsidR="0061427D">
        <w:rPr>
          <w:rFonts w:cs="Arial" w:hint="cs"/>
          <w:rtl/>
        </w:rPr>
        <w:t>,</w:t>
      </w:r>
      <w:r>
        <w:rPr>
          <w:rFonts w:cs="Arial"/>
          <w:rtl/>
        </w:rPr>
        <w:t xml:space="preserve"> אדרבא נראה שהיה חפץ בגירושין כיון שהוא היה משתדל לפייסו</w:t>
      </w:r>
      <w:r w:rsidR="0061427D">
        <w:rPr>
          <w:rFonts w:cs="Arial" w:hint="cs"/>
          <w:rtl/>
        </w:rPr>
        <w:t>.</w:t>
      </w:r>
      <w:r>
        <w:rPr>
          <w:rFonts w:cs="Arial"/>
          <w:rtl/>
        </w:rPr>
        <w:t xml:space="preserve"> וכל המחברים כתבו בנוסח מסירת מודעא שצריך שיאמר כן לעדים. ונראה דאפילו רבא דסבירא ליה (גיטין לד.) דגילויי דעתא בגיטא מילתא היא</w:t>
      </w:r>
      <w:r w:rsidR="0061427D">
        <w:rPr>
          <w:rFonts w:cs="Arial" w:hint="cs"/>
          <w:rtl/>
        </w:rPr>
        <w:t>,</w:t>
      </w:r>
      <w:r>
        <w:rPr>
          <w:rFonts w:cs="Arial"/>
          <w:rtl/>
        </w:rPr>
        <w:t xml:space="preserve"> מודה הכא דאפילו גילוי דעתא לא הוי</w:t>
      </w:r>
      <w:r w:rsidR="00580377">
        <w:rPr>
          <w:rFonts w:cs="Arial" w:hint="cs"/>
          <w:rtl/>
        </w:rPr>
        <w:t>.</w:t>
      </w:r>
      <w:r>
        <w:rPr>
          <w:rFonts w:cs="Arial"/>
          <w:rtl/>
        </w:rPr>
        <w:t xml:space="preserve"> דלא אשכחן ליה דאמר גילוי דעתא מילתא היא אלא כשאמר אותן דברים לשליח כי ההיא דגידול בר רעילאי (שם)</w:t>
      </w:r>
      <w:r w:rsidR="00580377">
        <w:rPr>
          <w:rFonts w:cs="Arial" w:hint="cs"/>
          <w:rtl/>
        </w:rPr>
        <w:t>.</w:t>
      </w:r>
      <w:r>
        <w:rPr>
          <w:rFonts w:cs="Arial"/>
          <w:rtl/>
        </w:rPr>
        <w:t xml:space="preserve"> אי נמי כשהוא מבטל הגט בפני עדים והם אינם שומעים אותו אלא שיודעים בודאי מגילוי דעתו שהוא מבטל אותו, כגון ההיא דאותיבו קרי באודנייכו וקא רהיט אבתרייהו (שם), וסבירא ליה לרבא דכיון שעם העדים עצמם היה מגלה דעתו בטל גיטא משום גילויי דעתא. וכן נמי ההוא דאמר אי לא נסיבנא ראש חדש אדר ליהוי גיטא</w:t>
      </w:r>
      <w:r w:rsidR="00580377">
        <w:rPr>
          <w:rFonts w:cs="Arial" w:hint="cs"/>
          <w:rtl/>
        </w:rPr>
        <w:t>,</w:t>
      </w:r>
      <w:r>
        <w:rPr>
          <w:rFonts w:cs="Arial"/>
          <w:rtl/>
        </w:rPr>
        <w:t xml:space="preserve"> ואמר אנא ראש חדש דניסן אמרי (שם)</w:t>
      </w:r>
      <w:r w:rsidR="00580377">
        <w:rPr>
          <w:rFonts w:cs="Arial" w:hint="cs"/>
          <w:rtl/>
        </w:rPr>
        <w:t>,</w:t>
      </w:r>
      <w:r>
        <w:rPr>
          <w:rFonts w:cs="Arial"/>
          <w:rtl/>
        </w:rPr>
        <w:t xml:space="preserve"> שהרי עם עדיו היה מדבר</w:t>
      </w:r>
      <w:r w:rsidR="00580377">
        <w:rPr>
          <w:rFonts w:cs="Arial" w:hint="cs"/>
          <w:rtl/>
        </w:rPr>
        <w:t>.</w:t>
      </w:r>
      <w:r>
        <w:rPr>
          <w:rFonts w:cs="Arial"/>
          <w:rtl/>
        </w:rPr>
        <w:t xml:space="preserve"> אבל דברים שאמר לאחרים כגון זה שהיה מדבר עם דודו אע"פ ששומעים הדברים כיון שלא היה דברו עמהם אפילו גילויי דעתא לא הוי. וכל שכן לדידן דקיי"ל (שם:) כנחמני דגילויי דעתא לאו מילתא היא שאין כאן בית מיחוש. </w:t>
      </w:r>
      <w:r w:rsidR="00EC3AF9">
        <w:rPr>
          <w:rFonts w:cs="Arial" w:hint="cs"/>
          <w:rtl/>
        </w:rPr>
        <w:t xml:space="preserve">       </w:t>
      </w:r>
      <w:r>
        <w:rPr>
          <w:rFonts w:cs="Arial"/>
          <w:rtl/>
        </w:rPr>
        <w:t>השני, שאפילו אמר כן לעדים לא הוה בטיל גיטא</w:t>
      </w:r>
      <w:r w:rsidR="00EC3AF9">
        <w:rPr>
          <w:rFonts w:cs="Arial" w:hint="cs"/>
          <w:rtl/>
        </w:rPr>
        <w:t>,</w:t>
      </w:r>
      <w:r>
        <w:rPr>
          <w:rFonts w:cs="Arial"/>
          <w:rtl/>
        </w:rPr>
        <w:t xml:space="preserve"> מפני אותן דברים שה"ר יצחק אמר לו פרש דבריך מה ר"ל בכח אני נותן זה הגט, והשיב רצוני לומר מאחר שהיא אינה רוצה אותי אני איני רוצה אותה. ופירוש ענין זה הוא שזה הלשון הוא סתום שאפשר שיהיה רצונו בכח אני נותן אותו לפי שאני אנוס בו ואין דעתי נכונה בנתינתי ולא נתרציתי כלל אלא בכח ליתנו, ולפי זה המשמעות היה הגט בטל. ואפשר ג"כ שיהיה רצונו חובה הוא עלי לצאת ידי שמים מכיון שאי אפשר להתקיים הזיווג בינינו לגרש, כי כן ראוי לכל בעל ברית שלא לעגן בנות ישראל. אי נמי לצאת ידי הבריות שנכנסו מפשרים ופייסוני לגרש וגנאי הדבר אם לא אעמוד בדיבורי או כיוצא בזה, ולפי זה המשמעות אין הגט בטל. ולפי שהיה הלשון סתום רצה ה"ר יצחק שיפרש לו כוונתו ופירשה לטוב שבלשונות לקיום הגט, וכיון שהוא פירש דעתו במה שאמר שאינו רוצה בביטול הגט אלא בקיומו </w:t>
      </w:r>
      <w:r w:rsidR="00A82951">
        <w:rPr>
          <w:rFonts w:cs="Arial"/>
          <w:rtl/>
        </w:rPr>
        <w:t>-</w:t>
      </w:r>
      <w:r>
        <w:rPr>
          <w:rFonts w:cs="Arial"/>
          <w:rtl/>
        </w:rPr>
        <w:t xml:space="preserve"> לא נתבטל הגט כלל. וכעין ראיה לזה דתנן בפרק ב' דנדרים (יח:) סתם נדרים להחמיר ופירושן להקל וכו', וכיון שכן הרי הוא נאמן במה שפירש אותו דיבור שר"ל שאם היא אינה רוצה אותו שהוא ג"כ אינו רוצה אותה והרי הן כבעל התל ובעל החריץ (מגילה יד.). ועוד שאפילו בלא פירש אין במשמע דבריו מסירת מודעא, שלא אמר אלא לשון שמשמעו כעין גילוי הדעת שאינו חפץ בו, אבל לא הזכיר בגט שום ביטול, אלא שאפשר שמתוך דבריו יהא נלמד. וכיון שלא אמר כן בפירוש הוי גילוי דעתא בגיטא ולאו מילתא היא. וגדולה מזו אני אומר שאפילו היה במשמע דבריו מסירת מודעא ממש כיון שחזר בו ופירשם על ענין אחר שאין משמעות מודעא </w:t>
      </w:r>
      <w:r w:rsidR="00A82951">
        <w:rPr>
          <w:rFonts w:cs="Arial"/>
          <w:rtl/>
        </w:rPr>
        <w:t>-</w:t>
      </w:r>
      <w:r>
        <w:rPr>
          <w:rFonts w:cs="Arial"/>
          <w:rtl/>
        </w:rPr>
        <w:t xml:space="preserve"> מהני מדין ביטול מודעא והפה שאסר הוא הפה שהתיר (כתובות כב.), אלא שאין אנו צריכים לזה. </w:t>
      </w:r>
    </w:p>
    <w:p w14:paraId="4D50FC00" w14:textId="77777777" w:rsidR="00FA2119" w:rsidRDefault="00FA2119" w:rsidP="00FA2119">
      <w:r>
        <w:rPr>
          <w:rFonts w:cs="Arial"/>
          <w:u w:val="single"/>
          <w:rtl/>
        </w:rPr>
        <w:t>בעל שאסרו אותו כיון שלא רצה לגרש, ושחררו אותו, ואותו זה שאסר אותו בתחילה ביקש ממנו שוב לתת גט:</w:t>
      </w:r>
    </w:p>
    <w:p w14:paraId="36E05C06" w14:textId="0373A58A" w:rsidR="00FA2119" w:rsidRDefault="00FA2119" w:rsidP="006A458D">
      <w:pPr>
        <w:pStyle w:val="ab"/>
        <w:numPr>
          <w:ilvl w:val="0"/>
          <w:numId w:val="90"/>
        </w:numPr>
      </w:pPr>
      <w:r>
        <w:rPr>
          <w:rFonts w:cs="Arial"/>
          <w:rtl/>
        </w:rPr>
        <w:t xml:space="preserve">מהרי"ק </w:t>
      </w:r>
      <w:r>
        <w:rPr>
          <w:rFonts w:cs="Arial"/>
          <w:sz w:val="16"/>
          <w:szCs w:val="16"/>
          <w:rtl/>
        </w:rPr>
        <w:t>(שורש סג ענף א)</w:t>
      </w:r>
      <w:r w:rsidR="00A82951">
        <w:rPr>
          <w:rFonts w:cs="Arial"/>
          <w:rtl/>
        </w:rPr>
        <w:t>-</w:t>
      </w:r>
      <w:r>
        <w:rPr>
          <w:rFonts w:cs="Arial"/>
          <w:rtl/>
        </w:rPr>
        <w:t xml:space="preserve"> על דבר הגט שמתחלה נאסר הבעל, ולבסוף הותר, וגירש בביטול מודעות. לפי דעתי באנו למחלוקת שני גדולי הדור בימים שעברו וכו' והיכא שהאנס מאנס לעשות דבר אחד</w:t>
      </w:r>
      <w:r w:rsidR="00B611A5">
        <w:rPr>
          <w:rFonts w:cs="Arial" w:hint="cs"/>
          <w:rtl/>
        </w:rPr>
        <w:t>,</w:t>
      </w:r>
      <w:r>
        <w:rPr>
          <w:rFonts w:cs="Arial"/>
          <w:rtl/>
        </w:rPr>
        <w:t xml:space="preserve"> ושוב מתיר מאותו אונס</w:t>
      </w:r>
      <w:r w:rsidR="00B611A5">
        <w:rPr>
          <w:rFonts w:cs="Arial" w:hint="cs"/>
          <w:rtl/>
        </w:rPr>
        <w:t>,</w:t>
      </w:r>
      <w:r>
        <w:rPr>
          <w:rFonts w:cs="Arial"/>
          <w:rtl/>
        </w:rPr>
        <w:t xml:space="preserve"> ולמחר מבקש ממנו לעשות אותו מעשה עצמו אשר עליו אנס אותו מתחלה </w:t>
      </w:r>
      <w:r w:rsidR="00A82951">
        <w:rPr>
          <w:rFonts w:cs="Arial"/>
          <w:rtl/>
        </w:rPr>
        <w:t>-</w:t>
      </w:r>
      <w:r>
        <w:rPr>
          <w:rFonts w:cs="Arial"/>
          <w:rtl/>
        </w:rPr>
        <w:t xml:space="preserve"> מאן לימא לן דלא חשיב אונס כיון שבידו לחזור ולאנס אותו כבתחלה, וכל שכן באיסור אשת איש החמור. ואמנם שמעתי שיצא הדבר בהיתר על פי רוב חכמי אשכנז אשר היו בימים ההם, ובאולי לא היה מעשה כזה ממש, כי אני בעניותי לא ראיתי לפום ריהטא ראיה ברורה שיוכלו לסמוך עליה על מעשה כזה להתיר איסור כזה, וזה שהתיר, בודאי שלבו גס בהוראה מאד. </w:t>
      </w:r>
    </w:p>
    <w:p w14:paraId="58372BB8" w14:textId="77777777" w:rsidR="00FA2119" w:rsidRDefault="00FA2119" w:rsidP="00FA2119">
      <w:pPr>
        <w:ind w:left="360"/>
        <w:rPr>
          <w:u w:val="dotted"/>
        </w:rPr>
      </w:pPr>
      <w:r>
        <w:rPr>
          <w:u w:val="dotted"/>
          <w:rtl/>
        </w:rPr>
        <w:t>ומה הדין אם אינם יכולים לאונסו שוב כבתחילה:</w:t>
      </w:r>
    </w:p>
    <w:p w14:paraId="57950E01" w14:textId="1999D224" w:rsidR="00FA2119" w:rsidRDefault="00FA2119" w:rsidP="006A458D">
      <w:pPr>
        <w:pStyle w:val="ab"/>
        <w:numPr>
          <w:ilvl w:val="0"/>
          <w:numId w:val="90"/>
        </w:numPr>
      </w:pPr>
      <w:r>
        <w:rPr>
          <w:rFonts w:cs="Arial"/>
          <w:rtl/>
        </w:rPr>
        <w:t xml:space="preserve">מהרי"ק </w:t>
      </w:r>
      <w:r>
        <w:rPr>
          <w:rFonts w:cs="Arial"/>
          <w:sz w:val="16"/>
          <w:szCs w:val="16"/>
          <w:rtl/>
        </w:rPr>
        <w:t>(שורש סג ענף ב)</w:t>
      </w:r>
      <w:r w:rsidR="00A82951">
        <w:rPr>
          <w:rFonts w:cs="Arial"/>
          <w:rtl/>
        </w:rPr>
        <w:t>-</w:t>
      </w:r>
      <w:r>
        <w:rPr>
          <w:rFonts w:cs="Arial"/>
          <w:rtl/>
        </w:rPr>
        <w:t xml:space="preserve"> אשר שאלת היכא שיאנסו לאחד ליתן גט, ויהיה מאותם שאין כופין להוציא, ואח"כ נתפייס ליתן גט אם מחמת ממון אם מחמת יראה, ומכירין אנו שמגרש לאנסו, במה יודע שנסתלק האונס? נראה לי דודאי עומד הוא בחזקתו הראשונה עד שיתברר לנו שנשתנה הענין, כלומר שאין ביד האנס לאנסו כבתחלה, דאז אין לתלות ולומר מחמת אונס הראשון עשה, כיון שנשתנה הענין, חשיב כדברים שבלב (קידושין מט:) אם באנו לתלות ולומר שעוד ירא פן יאנסנו פעם אחרת כיון שסיבה ראשונה הלכה לה. ואע"ג דאפשר לומר שעדיין יש כח ביד האנס לאנסו, מכל מקום כיון שתשש כחו בקצת אין לנו לבדות מלבנו אונס אחר כדי לבטל המעשה הנעשה בפנינו דחשיב כדברים שבלב. </w:t>
      </w:r>
    </w:p>
    <w:p w14:paraId="0C47263E" w14:textId="77777777" w:rsidR="00FA2119" w:rsidRDefault="00FA2119" w:rsidP="00FA2119">
      <w:r>
        <w:rPr>
          <w:u w:val="single"/>
          <w:rtl/>
        </w:rPr>
        <w:t>האם אפשר להחרים שאף אחד לא ידבר/יעסוק/ירוויח/וכו' עם הבעל עד שיגרש, או שזה נקרא עישוי גט:</w:t>
      </w:r>
    </w:p>
    <w:p w14:paraId="2092BEE4" w14:textId="7F327D2A" w:rsidR="00FA2119" w:rsidRDefault="00FA2119" w:rsidP="006A458D">
      <w:pPr>
        <w:pStyle w:val="ab"/>
        <w:numPr>
          <w:ilvl w:val="0"/>
          <w:numId w:val="90"/>
        </w:numPr>
      </w:pPr>
      <w:r>
        <w:rPr>
          <w:rFonts w:cs="Arial"/>
          <w:rtl/>
        </w:rPr>
        <w:t xml:space="preserve">מהרי"ק </w:t>
      </w:r>
      <w:r>
        <w:rPr>
          <w:rFonts w:cs="Arial"/>
          <w:sz w:val="16"/>
          <w:szCs w:val="16"/>
          <w:rtl/>
        </w:rPr>
        <w:t>(שורש קב ענף א)</w:t>
      </w:r>
      <w:r w:rsidR="00A82951">
        <w:rPr>
          <w:rFonts w:cs="Arial"/>
          <w:rtl/>
        </w:rPr>
        <w:t>-</w:t>
      </w:r>
      <w:r>
        <w:rPr>
          <w:rFonts w:cs="Arial"/>
          <w:rtl/>
        </w:rPr>
        <w:t xml:space="preserve"> יבם המסרב לחלוץ איני רואה שיהא בידינו לכופו אלא על דרך שכתב בסמ"ק (סוס"י קפה) לשון חרם להבדל ממנו עד שיחלוץ, דב</w:t>
      </w:r>
      <w:r w:rsidR="00B611A5">
        <w:rPr>
          <w:rFonts w:cs="Arial" w:hint="cs"/>
          <w:rtl/>
        </w:rPr>
        <w:t>כ</w:t>
      </w:r>
      <w:r>
        <w:rPr>
          <w:rFonts w:cs="Arial"/>
          <w:rtl/>
        </w:rPr>
        <w:t>ה</w:t>
      </w:r>
      <w:r w:rsidR="00B611A5">
        <w:rPr>
          <w:rFonts w:cs="Arial" w:hint="cs"/>
          <w:rtl/>
        </w:rPr>
        <w:t>"</w:t>
      </w:r>
      <w:r>
        <w:rPr>
          <w:rFonts w:cs="Arial"/>
          <w:rtl/>
        </w:rPr>
        <w:t xml:space="preserve">ג שרי אפילו לדברי האומרים (עיין לקמן ריש סי' קסה) דאין כופין לחלוץ. וראיה לדבר שהרי ידוע הוא (כתובות סג: תוד"ה אבל) שר"ת הפליג לדבר ולאסור לכוף הבעל לגרש בטענת מאיס עלי, וכתב (שו"ת ספר הישר סי' כד) כל המֵעשה בטענה זו טועה גמור ומרבה ממזרים בישראל, ואפילו הכי בתשובה אשר שם האריך לאסור הכפייה בטענה זו כתב, וז"ל: אך כל רבותינו שוו בדבר תגזרו באלה חמורה על כל איש ואשה שלא יהיו רשאים לדבר עמו ולישא וליתן ולהרויחו ולהאכילו ולהשקותו </w:t>
      </w:r>
      <w:r>
        <w:rPr>
          <w:rFonts w:cs="Arial"/>
          <w:rtl/>
        </w:rPr>
        <w:lastRenderedPageBreak/>
        <w:t>וללוותו ולבקרו בחליו ועוד יוסיפו חומר כרצונם על כל אדם אם לא יגרש אותו האיש ויתיר את הילדה הזאת, שבזה אין כפייה עליו</w:t>
      </w:r>
      <w:r w:rsidR="00B611A5">
        <w:rPr>
          <w:rFonts w:cs="Arial" w:hint="cs"/>
          <w:rtl/>
        </w:rPr>
        <w:t>,</w:t>
      </w:r>
      <w:r>
        <w:rPr>
          <w:rFonts w:cs="Arial"/>
          <w:rtl/>
        </w:rPr>
        <w:t xml:space="preserve"> שאם ירצה ימצא לו מקום והוא לא ילקה בגופו מתוך נידוי זה, אך אנו נתפרד מעליו עכ"ל. הרי לך בהדיא דאפילו טוענת מאיס עלי דסבירא ליה אין כופין וחשיב גט המעושה שלא כדין לפי דבריו, אפילו הכי כתב שיכולין לגזור ולהבדל ממנו ולהרחיקו בכל מיני ריחוק שאין זה קרוי כפייה. כל שכן וכל שכן בנדון דידן שהוא מותר לכולי עלמא אפילו לדברי האומר שאין כופין לחלוץ.</w:t>
      </w:r>
    </w:p>
    <w:p w14:paraId="38B1E44E"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B905603" w14:textId="66DB19BD" w:rsidR="00FA2119" w:rsidRDefault="00FA2119" w:rsidP="00FA2119">
      <w:pPr>
        <w:rPr>
          <w:rtl/>
        </w:rPr>
      </w:pPr>
      <w:r>
        <w:rPr>
          <w:rFonts w:cs="Arial"/>
          <w:rtl/>
        </w:rPr>
        <w:t xml:space="preserve">אם נשבע הבעל ליתן גט, צריך שיתירו לו קודם, שלא יהא דומה לאונס. אך ערבות יתן אם ירצה, שאין זה דומה לאונס. </w:t>
      </w:r>
      <w:r>
        <w:rPr>
          <w:rFonts w:cs="Arial"/>
          <w:sz w:val="18"/>
          <w:szCs w:val="18"/>
          <w:rtl/>
        </w:rPr>
        <w:t>הגה: והוא הדין אם קבל קנין לגרש</w:t>
      </w:r>
      <w:r>
        <w:rPr>
          <w:rStyle w:val="a7"/>
          <w:rFonts w:cs="Arial"/>
          <w:sz w:val="18"/>
          <w:szCs w:val="18"/>
          <w:rtl/>
        </w:rPr>
        <w:footnoteReference w:id="1495"/>
      </w:r>
      <w:r>
        <w:rPr>
          <w:rFonts w:cs="Arial"/>
          <w:sz w:val="18"/>
          <w:szCs w:val="18"/>
          <w:rtl/>
        </w:rPr>
        <w:t xml:space="preserve"> (פסקי מהרא"י סי' קעג). אבל אם קבל עליו קנסות אם לא יגרש, לא מקרי אונס, מאחר דתלה גיטו בדבר אחר, ויוכל ליתן הקנסות ולא לגרש (תשב"ץ ומהרי"ק). ויש מחמירין אפילו בכהאי גוונא (שם בתשובת הרשב"א), וטוב לחוש לכתחלה ולפטרו מן הקנס. אבל אם כבר גירש מפני זה, ואפילו גירש מכח שבועה שעשה מעצמו לגרש, הגט כשר, הואיל ומתחלה לא אנסוהו על כך (ריטב"א). י"א דלא מקרי אונס אלא מה שאונסין לאדם עצמו, אבל אם אונסין לאחר עד שיגרש חבירו, אפילו אב על בנו או להיפך, לא מקרי אונס (תשב"ץ). ויש מחמירין באב על בנו (ב"י). ועיין לקמן סימן קנ"ד מדינים אלו.</w:t>
      </w:r>
      <w:r>
        <w:rPr>
          <w:rFonts w:cs="Arial"/>
          <w:rtl/>
        </w:rPr>
        <w:t xml:space="preserve"> </w:t>
      </w:r>
    </w:p>
    <w:p w14:paraId="0B40641F" w14:textId="77777777" w:rsidR="00FA2119" w:rsidRDefault="00FA2119" w:rsidP="00FA2119">
      <w:pPr>
        <w:rPr>
          <w:rtl/>
        </w:rPr>
      </w:pPr>
    </w:p>
    <w:p w14:paraId="404DA120" w14:textId="77777777" w:rsidR="00FA2119" w:rsidRDefault="00FA2119" w:rsidP="00FA2119">
      <w:pPr>
        <w:pStyle w:val="2"/>
        <w:rPr>
          <w:rtl/>
        </w:rPr>
      </w:pPr>
      <w:r>
        <w:rPr>
          <w:rtl/>
        </w:rPr>
        <w:t>סעיף ה: אנסוהו בית דין לגרש.</w:t>
      </w:r>
    </w:p>
    <w:p w14:paraId="7D2B1460" w14:textId="7E7762EA" w:rsidR="00FA2119" w:rsidRDefault="00FA2119" w:rsidP="00FA2119">
      <w:pPr>
        <w:rPr>
          <w:rFonts w:cs="Arial"/>
          <w:rtl/>
        </w:rPr>
      </w:pPr>
      <w:r>
        <w:rPr>
          <w:rFonts w:cs="Arial"/>
          <w:b/>
          <w:bCs/>
          <w:rtl/>
        </w:rPr>
        <w:t xml:space="preserve">גיטין </w:t>
      </w:r>
      <w:r>
        <w:rPr>
          <w:rFonts w:cs="Arial"/>
          <w:b/>
          <w:bCs/>
          <w:szCs w:val="16"/>
          <w:rtl/>
        </w:rPr>
        <w:t xml:space="preserve">(ס"פ המגרש) </w:t>
      </w:r>
      <w:r>
        <w:rPr>
          <w:rFonts w:cs="Arial"/>
          <w:b/>
          <w:bCs/>
          <w:rtl/>
        </w:rPr>
        <w:t>פח</w:t>
      </w:r>
      <w:r w:rsidR="003B7972">
        <w:rPr>
          <w:rStyle w:val="a7"/>
          <w:rFonts w:cs="Arial"/>
          <w:b/>
          <w:bCs/>
          <w:rtl/>
        </w:rPr>
        <w:footnoteReference w:id="1496"/>
      </w:r>
      <w:r>
        <w:rPr>
          <w:rFonts w:cs="Arial"/>
          <w:b/>
          <w:bCs/>
          <w:rtl/>
        </w:rPr>
        <w:t xml:space="preserve"> ע"ב: </w:t>
      </w:r>
      <w:r>
        <w:rPr>
          <w:rFonts w:cs="Arial"/>
          <w:u w:val="double"/>
          <w:rtl/>
        </w:rPr>
        <w:t>מתני'</w:t>
      </w:r>
      <w:r>
        <w:rPr>
          <w:rFonts w:cs="Arial"/>
          <w:rtl/>
        </w:rPr>
        <w:t>: גט מעושה</w:t>
      </w:r>
      <w:r>
        <w:rPr>
          <w:rStyle w:val="a7"/>
          <w:rFonts w:cs="Arial"/>
          <w:rtl/>
        </w:rPr>
        <w:footnoteReference w:id="1497"/>
      </w:r>
      <w:r>
        <w:rPr>
          <w:rFonts w:cs="Arial"/>
          <w:rtl/>
        </w:rPr>
        <w:t xml:space="preserve">, בישראל </w:t>
      </w:r>
      <w:r w:rsidR="00A82951">
        <w:rPr>
          <w:rFonts w:cs="Arial"/>
          <w:rtl/>
        </w:rPr>
        <w:t>-</w:t>
      </w:r>
      <w:r>
        <w:rPr>
          <w:rFonts w:cs="Arial"/>
          <w:rtl/>
        </w:rPr>
        <w:t xml:space="preserve"> כשר, ובעובדי כוכבים </w:t>
      </w:r>
      <w:r w:rsidR="00A82951">
        <w:rPr>
          <w:rFonts w:cs="Arial"/>
          <w:rtl/>
        </w:rPr>
        <w:t>-</w:t>
      </w:r>
      <w:r>
        <w:rPr>
          <w:rFonts w:cs="Arial"/>
          <w:rtl/>
        </w:rPr>
        <w:t xml:space="preserve"> פסול. ובעובדי כוכבים, חובטין אותו ואומרים לו עשה מה שישראל אומרים לך (וכשר).         </w:t>
      </w:r>
      <w:r>
        <w:rPr>
          <w:rFonts w:cs="Arial"/>
          <w:u w:val="double"/>
          <w:rtl/>
        </w:rPr>
        <w:t>גמ'</w:t>
      </w:r>
      <w:r>
        <w:rPr>
          <w:rFonts w:cs="Arial"/>
          <w:rtl/>
        </w:rPr>
        <w:t xml:space="preserve">: </w:t>
      </w:r>
      <w:r>
        <w:rPr>
          <w:rFonts w:cs="Arial"/>
          <w:u w:val="single"/>
          <w:rtl/>
        </w:rPr>
        <w:t>אמר ר"נ אמר שמואל</w:t>
      </w:r>
      <w:r>
        <w:rPr>
          <w:rFonts w:cs="Arial"/>
          <w:rtl/>
        </w:rPr>
        <w:t>: גט המעושה בישראל, כדין</w:t>
      </w:r>
      <w:r>
        <w:rPr>
          <w:rStyle w:val="a7"/>
          <w:rFonts w:cs="Arial"/>
          <w:rtl/>
        </w:rPr>
        <w:footnoteReference w:id="1498"/>
      </w:r>
      <w:r>
        <w:rPr>
          <w:rFonts w:cs="Arial"/>
          <w:rtl/>
        </w:rPr>
        <w:t xml:space="preserve"> </w:t>
      </w:r>
      <w:r w:rsidR="00A82951">
        <w:rPr>
          <w:rFonts w:cs="Arial"/>
          <w:rtl/>
        </w:rPr>
        <w:t>-</w:t>
      </w:r>
      <w:r>
        <w:rPr>
          <w:rFonts w:cs="Arial"/>
          <w:rtl/>
        </w:rPr>
        <w:t xml:space="preserve"> כשר, שלא כדין </w:t>
      </w:r>
      <w:r w:rsidR="00A82951">
        <w:rPr>
          <w:rFonts w:cs="Arial"/>
          <w:rtl/>
        </w:rPr>
        <w:t>-</w:t>
      </w:r>
      <w:r>
        <w:rPr>
          <w:rFonts w:cs="Arial"/>
          <w:rtl/>
        </w:rPr>
        <w:t xml:space="preserve"> פסול ופוסל. ובעובדי כוכבים, כדין </w:t>
      </w:r>
      <w:r w:rsidR="00A82951">
        <w:rPr>
          <w:rFonts w:cs="Arial"/>
          <w:rtl/>
        </w:rPr>
        <w:t>-</w:t>
      </w:r>
      <w:r>
        <w:rPr>
          <w:rFonts w:cs="Arial"/>
          <w:rtl/>
        </w:rPr>
        <w:t xml:space="preserve"> פסול ופוסל, שלא כדין </w:t>
      </w:r>
      <w:r w:rsidR="00A82951">
        <w:rPr>
          <w:rFonts w:cs="Arial"/>
          <w:rtl/>
        </w:rPr>
        <w:t>-</w:t>
      </w:r>
      <w:r>
        <w:rPr>
          <w:rFonts w:cs="Arial"/>
          <w:rtl/>
        </w:rPr>
        <w:t xml:space="preserve"> אפי' ריח הגט אין בו. מה נפשך? אי עובדי כוכבי' בני עשויי נינהו, איתכשורי נמי ליתכשר! אי לאו בני עשויי נינהו, מיפסל לא ליפסל!... וטעמא מאי? כָּדִין</w:t>
      </w:r>
      <w:r>
        <w:rPr>
          <w:rStyle w:val="a7"/>
          <w:rFonts w:cs="Arial"/>
          <w:rtl/>
        </w:rPr>
        <w:footnoteReference w:id="1499"/>
      </w:r>
      <w:r>
        <w:rPr>
          <w:rFonts w:cs="Arial"/>
          <w:rtl/>
        </w:rPr>
        <w:t xml:space="preserve">, בְּכָּדִין דישראל </w:t>
      </w:r>
      <w:r w:rsidR="00A82951">
        <w:rPr>
          <w:rFonts w:cs="Arial"/>
          <w:rtl/>
        </w:rPr>
        <w:t>-</w:t>
      </w:r>
      <w:r>
        <w:rPr>
          <w:rFonts w:cs="Arial"/>
          <w:rtl/>
        </w:rPr>
        <w:t xml:space="preserve"> מיחלף, שלא כדין</w:t>
      </w:r>
      <w:r>
        <w:rPr>
          <w:rStyle w:val="a7"/>
          <w:rFonts w:cs="Arial"/>
          <w:rtl/>
        </w:rPr>
        <w:footnoteReference w:id="1500"/>
      </w:r>
      <w:r>
        <w:rPr>
          <w:rFonts w:cs="Arial"/>
          <w:rtl/>
        </w:rPr>
        <w:t xml:space="preserve">, בכדין ישראל </w:t>
      </w:r>
      <w:r w:rsidR="00A82951">
        <w:rPr>
          <w:rFonts w:cs="Arial"/>
          <w:rtl/>
        </w:rPr>
        <w:t>-</w:t>
      </w:r>
      <w:r>
        <w:rPr>
          <w:rFonts w:cs="Arial"/>
          <w:rtl/>
        </w:rPr>
        <w:t xml:space="preserve"> לא מיחלף. </w:t>
      </w:r>
      <w:r>
        <w:rPr>
          <w:rFonts w:cs="Arial"/>
          <w:u w:val="single"/>
          <w:rtl/>
        </w:rPr>
        <w:t>אביי אשכחיה לרב יוסף</w:t>
      </w:r>
      <w:r>
        <w:rPr>
          <w:rFonts w:cs="Arial"/>
          <w:rtl/>
        </w:rPr>
        <w:t xml:space="preserve"> דיתיב וקא מעשה אגיטי, </w:t>
      </w:r>
      <w:r>
        <w:rPr>
          <w:rFonts w:cs="Arial"/>
          <w:u w:val="single"/>
          <w:rtl/>
        </w:rPr>
        <w:t>א"ל</w:t>
      </w:r>
      <w:r>
        <w:rPr>
          <w:rFonts w:cs="Arial"/>
          <w:rtl/>
        </w:rPr>
        <w:t xml:space="preserve">: והא אנן הדיוטות אנן, ותניא, היה ר"ט אומר: כל מקום שאתה מוצא אגוריאות של עובדי כוכבים, אף על פי שדיניהם כדיני ישראל, אי אתה רשאי להיזקק להם, שנאמר: ואלה המשפטים אשר תשים לפניהם, לפניהם ולא לפני עובדי כוכבים, דבר אחר: לפניהם </w:t>
      </w:r>
      <w:r w:rsidR="00A82951">
        <w:rPr>
          <w:rFonts w:cs="Arial"/>
          <w:rtl/>
        </w:rPr>
        <w:t>-</w:t>
      </w:r>
      <w:r>
        <w:rPr>
          <w:rFonts w:cs="Arial"/>
          <w:rtl/>
        </w:rPr>
        <w:t xml:space="preserve"> ולא לפני הדיוטות</w:t>
      </w:r>
      <w:r>
        <w:rPr>
          <w:rStyle w:val="a7"/>
          <w:rFonts w:cs="Arial"/>
          <w:rtl/>
        </w:rPr>
        <w:footnoteReference w:id="1501"/>
      </w:r>
      <w:r>
        <w:rPr>
          <w:rFonts w:cs="Arial"/>
          <w:rtl/>
        </w:rPr>
        <w:t xml:space="preserve">! </w:t>
      </w:r>
      <w:r>
        <w:rPr>
          <w:rFonts w:cs="Arial"/>
          <w:u w:val="single"/>
          <w:rtl/>
        </w:rPr>
        <w:t>א"ל</w:t>
      </w:r>
      <w:r>
        <w:rPr>
          <w:rFonts w:cs="Arial"/>
          <w:rtl/>
        </w:rPr>
        <w:t>: אנן שליחותייהו קא עבדינן</w:t>
      </w:r>
      <w:r>
        <w:rPr>
          <w:rStyle w:val="a7"/>
          <w:rFonts w:cs="Arial"/>
          <w:rtl/>
        </w:rPr>
        <w:footnoteReference w:id="1502"/>
      </w:r>
      <w:r>
        <w:rPr>
          <w:rFonts w:cs="Arial"/>
          <w:rtl/>
        </w:rPr>
        <w:t xml:space="preserve">, מידי דהוה אהודאות והלואות... </w:t>
      </w:r>
    </w:p>
    <w:p w14:paraId="78B99936" w14:textId="77777777" w:rsidR="00FA2119" w:rsidRDefault="00FA2119" w:rsidP="00FA2119">
      <w:pPr>
        <w:rPr>
          <w:u w:val="single"/>
          <w:rtl/>
        </w:rPr>
      </w:pPr>
      <w:r>
        <w:rPr>
          <w:u w:val="single"/>
          <w:rtl/>
        </w:rPr>
        <w:t>אנסוהו בית דין לגרש:</w:t>
      </w:r>
    </w:p>
    <w:p w14:paraId="0337B404" w14:textId="11641854" w:rsidR="00FA2119" w:rsidRDefault="00FA2119" w:rsidP="006A458D">
      <w:pPr>
        <w:pStyle w:val="ab"/>
        <w:numPr>
          <w:ilvl w:val="0"/>
          <w:numId w:val="90"/>
        </w:numPr>
        <w:rPr>
          <w:rtl/>
        </w:rPr>
      </w:pPr>
      <w:r>
        <w:rPr>
          <w:rFonts w:cs="Arial"/>
          <w:rtl/>
        </w:rPr>
        <w:t>טור</w:t>
      </w:r>
      <w:r w:rsidR="00A82951">
        <w:rPr>
          <w:rFonts w:cs="Arial"/>
          <w:rtl/>
        </w:rPr>
        <w:t>-</w:t>
      </w:r>
      <w:r>
        <w:rPr>
          <w:rFonts w:cs="Arial"/>
          <w:rtl/>
        </w:rPr>
        <w:t xml:space="preserve"> מסר מודעא בפני ב' ואמר גט זה שאני רוצה ליתן לאשתי דעו שאני אנוס ליתנו ולכן אני אומר בפניכם שיהא בטל </w:t>
      </w:r>
      <w:r w:rsidR="00A82951">
        <w:rPr>
          <w:rFonts w:cs="Arial"/>
          <w:rtl/>
        </w:rPr>
        <w:t>-</w:t>
      </w:r>
      <w:r>
        <w:rPr>
          <w:rFonts w:cs="Arial"/>
          <w:rtl/>
        </w:rPr>
        <w:t xml:space="preserve"> הרי הוא בטל... והא דאינו גט כשהיה אנוס</w:t>
      </w:r>
      <w:r>
        <w:rPr>
          <w:rStyle w:val="a7"/>
          <w:rFonts w:cs="Arial"/>
          <w:rtl/>
        </w:rPr>
        <w:footnoteReference w:id="1503"/>
      </w:r>
      <w:r>
        <w:rPr>
          <w:rFonts w:cs="Arial"/>
          <w:rtl/>
        </w:rPr>
        <w:t xml:space="preserve"> </w:t>
      </w:r>
      <w:r w:rsidR="00A82951">
        <w:rPr>
          <w:rFonts w:cs="Arial"/>
          <w:rtl/>
        </w:rPr>
        <w:t>-</w:t>
      </w:r>
      <w:r>
        <w:rPr>
          <w:rFonts w:cs="Arial"/>
          <w:rtl/>
        </w:rPr>
        <w:t xml:space="preserve"> דוקא כשאנסוהו שלא כדין, אבל אנסוהו כדין, כגון </w:t>
      </w:r>
      <w:r>
        <w:rPr>
          <w:rFonts w:cs="Arial"/>
          <w:rtl/>
        </w:rPr>
        <w:lastRenderedPageBreak/>
        <w:t xml:space="preserve">שהוא חייב להוציא ואינו רוצה, ואנסוהו ב"ד עד שהוציאה </w:t>
      </w:r>
      <w:r w:rsidR="00A82951">
        <w:rPr>
          <w:rFonts w:cs="Arial"/>
          <w:rtl/>
        </w:rPr>
        <w:t>-</w:t>
      </w:r>
      <w:r>
        <w:rPr>
          <w:rFonts w:cs="Arial"/>
          <w:rtl/>
        </w:rPr>
        <w:t xml:space="preserve"> הוי גט. ומצוה על כל ב"ד שבכל מקום ובכל זמן לכופו לגרשו.</w:t>
      </w:r>
    </w:p>
    <w:p w14:paraId="0B01B9A0" w14:textId="7E71869C" w:rsidR="00FA2119" w:rsidRDefault="00FA2119" w:rsidP="006A458D">
      <w:pPr>
        <w:pStyle w:val="ab"/>
        <w:numPr>
          <w:ilvl w:val="0"/>
          <w:numId w:val="90"/>
        </w:numPr>
      </w:pPr>
      <w:r>
        <w:rPr>
          <w:rFonts w:cs="Arial"/>
          <w:rtl/>
        </w:rPr>
        <w:t xml:space="preserve">תשב"ץ </w:t>
      </w:r>
      <w:r>
        <w:rPr>
          <w:rFonts w:cs="Arial"/>
          <w:sz w:val="16"/>
          <w:szCs w:val="16"/>
          <w:rtl/>
        </w:rPr>
        <w:t>(ח"א סי' א)</w:t>
      </w:r>
      <w:r w:rsidR="00A82951">
        <w:rPr>
          <w:rFonts w:cs="Arial"/>
          <w:rtl/>
        </w:rPr>
        <w:t>-</w:t>
      </w:r>
      <w:r>
        <w:rPr>
          <w:rFonts w:cs="Arial"/>
          <w:rtl/>
        </w:rPr>
        <w:t xml:space="preserve"> מסר מודעא בפני ב' ואמר</w:t>
      </w:r>
      <w:r w:rsidR="00006CED">
        <w:rPr>
          <w:rFonts w:cs="Arial" w:hint="cs"/>
          <w:rtl/>
        </w:rPr>
        <w:t>:</w:t>
      </w:r>
      <w:r>
        <w:rPr>
          <w:rFonts w:cs="Arial"/>
          <w:rtl/>
        </w:rPr>
        <w:t xml:space="preserve"> גט זה שאני רוצה ליתן לאשתי דעו שאני אנוס ליתנו ולכן אני אומר בפניכם שיהא בטל </w:t>
      </w:r>
      <w:r w:rsidR="00A82951">
        <w:rPr>
          <w:rFonts w:cs="Arial"/>
          <w:rtl/>
        </w:rPr>
        <w:t>-</w:t>
      </w:r>
      <w:r>
        <w:rPr>
          <w:rFonts w:cs="Arial"/>
          <w:rtl/>
        </w:rPr>
        <w:t xml:space="preserve"> הרי הוא בטל... והני מילי כי מסר מודעא, אבל בדלא מסר מודעא אם אנסוהו שלא כדין </w:t>
      </w:r>
      <w:r w:rsidR="00A82951">
        <w:rPr>
          <w:rFonts w:cs="Arial"/>
          <w:rtl/>
        </w:rPr>
        <w:t>-</w:t>
      </w:r>
      <w:r>
        <w:rPr>
          <w:rFonts w:cs="Arial"/>
          <w:rtl/>
        </w:rPr>
        <w:t xml:space="preserve"> פסול. וכדין </w:t>
      </w:r>
      <w:r w:rsidR="00A82951">
        <w:rPr>
          <w:rFonts w:cs="Arial"/>
          <w:rtl/>
        </w:rPr>
        <w:t>-</w:t>
      </w:r>
      <w:r>
        <w:rPr>
          <w:rFonts w:cs="Arial"/>
          <w:rtl/>
        </w:rPr>
        <w:t xml:space="preserve"> כשר, ומצוה לכופו וכו'.</w:t>
      </w:r>
      <w:r>
        <w:rPr>
          <w:rFonts w:cs="Arial"/>
          <w:color w:val="E36C0A" w:themeColor="accent6" w:themeShade="BF"/>
          <w:rtl/>
        </w:rPr>
        <w:t xml:space="preserve"> (וכ"פ בשו"ע)</w:t>
      </w:r>
    </w:p>
    <w:p w14:paraId="5C3ADD22" w14:textId="77777777" w:rsidR="00FA2119" w:rsidRDefault="00FA2119" w:rsidP="00FA2119">
      <w:pPr>
        <w:rPr>
          <w:u w:val="single"/>
        </w:rPr>
      </w:pPr>
      <w:r>
        <w:rPr>
          <w:u w:val="single"/>
          <w:rtl/>
        </w:rPr>
        <w:t>כת עדים מעידה שביטל הגט לפני נתינתו ולא ביטל מודעי, וכת עדים אחרת מעידה שכן ביטל מודעי:</w:t>
      </w:r>
    </w:p>
    <w:p w14:paraId="5942400D" w14:textId="64461684" w:rsidR="00FA2119" w:rsidRDefault="00FA2119" w:rsidP="006A458D">
      <w:pPr>
        <w:pStyle w:val="ab"/>
        <w:numPr>
          <w:ilvl w:val="0"/>
          <w:numId w:val="90"/>
        </w:numPr>
      </w:pPr>
      <w:r>
        <w:rPr>
          <w:rFonts w:cs="Arial"/>
          <w:rtl/>
        </w:rPr>
        <w:t xml:space="preserve">רשב"א </w:t>
      </w:r>
      <w:r>
        <w:rPr>
          <w:rFonts w:cs="Arial"/>
          <w:sz w:val="16"/>
          <w:szCs w:val="16"/>
          <w:rtl/>
        </w:rPr>
        <w:t xml:space="preserve">(שו"ת הרשב"א שבספר אדעתא דרבנן י </w:t>
      </w:r>
      <w:r w:rsidR="00A82951">
        <w:rPr>
          <w:rFonts w:cs="Arial"/>
          <w:sz w:val="16"/>
          <w:szCs w:val="16"/>
          <w:rtl/>
        </w:rPr>
        <w:t>-</w:t>
      </w:r>
      <w:r>
        <w:rPr>
          <w:rFonts w:cs="Arial"/>
          <w:sz w:val="16"/>
          <w:szCs w:val="16"/>
          <w:rtl/>
        </w:rPr>
        <w:t xml:space="preserve"> ם תדש"מ סי' יח)</w:t>
      </w:r>
      <w:r w:rsidR="00A82951">
        <w:rPr>
          <w:rFonts w:cs="Arial"/>
          <w:rtl/>
        </w:rPr>
        <w:t>-</w:t>
      </w:r>
      <w:r>
        <w:rPr>
          <w:rFonts w:cs="Arial"/>
          <w:rtl/>
        </w:rPr>
        <w:t xml:space="preserve"> שאלת</w:t>
      </w:r>
      <w:r w:rsidR="00006CED">
        <w:rPr>
          <w:rFonts w:cs="Arial" w:hint="cs"/>
          <w:rtl/>
        </w:rPr>
        <w:t>:</w:t>
      </w:r>
      <w:r>
        <w:rPr>
          <w:rFonts w:cs="Arial"/>
          <w:rtl/>
        </w:rPr>
        <w:t xml:space="preserve"> על נתינת הגט שביטלו הבעל קודם שיכתבנו, ואחר שכתבו מסר מודעא עליו ועל ביטולו אם יבטל כל מודעא, ומסר מודעות אלו בפני עדי הגט, והם הלכו עמו ונתנו לה. ויש אחרים שמכחישים אותם ואומרים שהם היו שם וראו שביטל כל מודעא. והעדים הראשונים שהם עדי הגט מעידים שהם היו שם בשעת מסירה ולא ביטל כלל. ועוד מעידים שאותם עדים המעידים שביטל לא היו שם.     תשובה: יראה ודאי דבין כך וכך אינה יכולה לינשא, ולא עדיפא משנים אומרים נתגרשה ושנים אומרים לא נתגרשה דקיי"ל בפרק שני דכתובות (כב:) לא תנשא. ומכל מקום אני רואה שַעֲרוּרָה בעדים החתומים על הגט שחתמו והסכימו לעשות עולה, ויותר ראוי לענשם מן הבעל, שאין להם יתרון בזה כבעל הלשון (עיין ערכין טו:), ובאמת הדבר מכוער.</w:t>
      </w:r>
    </w:p>
    <w:p w14:paraId="5DA0140E" w14:textId="67961889" w:rsidR="00FA2119" w:rsidRDefault="00FA2119" w:rsidP="00FA2119">
      <w:r>
        <w:rPr>
          <w:rFonts w:cs="Arial"/>
          <w:b/>
          <w:bCs/>
          <w:rtl/>
        </w:rPr>
        <w:t xml:space="preserve">ירושלמי כתובות פי"א ה"ז: </w:t>
      </w:r>
      <w:r>
        <w:rPr>
          <w:rFonts w:cs="Arial"/>
          <w:u w:val="single"/>
          <w:rtl/>
        </w:rPr>
        <w:t>שמואל אמר</w:t>
      </w:r>
      <w:r>
        <w:rPr>
          <w:rFonts w:cs="Arial"/>
          <w:rtl/>
        </w:rPr>
        <w:t>: אין מעשין אלא כגון אלמנה לכהן גדול גרושה וחלוצה לכהן הדיוט. והא תנינן שניות</w:t>
      </w:r>
      <w:r w:rsidR="00221B14">
        <w:rPr>
          <w:rFonts w:cs="Arial" w:hint="cs"/>
          <w:rtl/>
        </w:rPr>
        <w:t>!</w:t>
      </w:r>
      <w:r>
        <w:rPr>
          <w:rFonts w:cs="Arial"/>
          <w:rtl/>
        </w:rPr>
        <w:t xml:space="preserve"> לא בגין דא אמר שמואל</w:t>
      </w:r>
      <w:r w:rsidR="00221B14">
        <w:rPr>
          <w:rStyle w:val="a7"/>
          <w:rFonts w:cs="Arial"/>
          <w:rtl/>
        </w:rPr>
        <w:footnoteReference w:id="1504"/>
      </w:r>
      <w:r w:rsidR="00221B14">
        <w:rPr>
          <w:rFonts w:cs="Arial" w:hint="cs"/>
          <w:rtl/>
        </w:rPr>
        <w:t>?</w:t>
      </w:r>
      <w:r w:rsidR="00953B82">
        <w:rPr>
          <w:rFonts w:cs="Arial" w:hint="cs"/>
          <w:rtl/>
        </w:rPr>
        <w:t>!</w:t>
      </w:r>
      <w:r>
        <w:rPr>
          <w:rFonts w:cs="Arial"/>
          <w:rtl/>
        </w:rPr>
        <w:t xml:space="preserve"> והא תנינן המדיר את אשתו מליהנות לו עד שלשים יום יעמיד פרנס יותר מיכן יוציא ויתן כתובה. שמענו שהוא מוציא! שמענו שכופין?.</w:t>
      </w:r>
      <w:r>
        <w:rPr>
          <w:rtl/>
        </w:rPr>
        <w:t xml:space="preserve"> </w:t>
      </w:r>
      <w:r>
        <w:rPr>
          <w:rFonts w:cs="Arial"/>
          <w:sz w:val="16"/>
          <w:szCs w:val="16"/>
          <w:rtl/>
        </w:rPr>
        <w:t>(ש"מ דאין כופין אלא היכא דקתני כופין</w:t>
      </w:r>
      <w:r w:rsidR="00221B14">
        <w:rPr>
          <w:rFonts w:cs="Arial" w:hint="cs"/>
          <w:sz w:val="16"/>
          <w:szCs w:val="16"/>
          <w:rtl/>
        </w:rPr>
        <w:t>,</w:t>
      </w:r>
      <w:r>
        <w:rPr>
          <w:rFonts w:cs="Arial"/>
          <w:sz w:val="16"/>
          <w:szCs w:val="16"/>
          <w:rtl/>
        </w:rPr>
        <w:t xml:space="preserve"> אבל היכא דאמור רבנן יוציא ולא פירשו כופין אומרים לו חייבוך רבנן להוציא ואם לא הוציא מותר לקרותו עבריינא אבל לכפותו בשוטים לא</w:t>
      </w:r>
      <w:r>
        <w:rPr>
          <w:sz w:val="16"/>
          <w:szCs w:val="16"/>
          <w:rtl/>
        </w:rPr>
        <w:t>, תוס' (</w:t>
      </w:r>
      <w:r w:rsidR="00F86E2F">
        <w:rPr>
          <w:rFonts w:hint="cs"/>
          <w:sz w:val="16"/>
          <w:szCs w:val="16"/>
          <w:rtl/>
        </w:rPr>
        <w:t xml:space="preserve">יבמות </w:t>
      </w:r>
      <w:r>
        <w:rPr>
          <w:sz w:val="16"/>
          <w:szCs w:val="16"/>
          <w:rtl/>
        </w:rPr>
        <w:t>סד. ד"ה יוציא). והעתיקו הסמ"ג (עשין מח))</w:t>
      </w:r>
    </w:p>
    <w:p w14:paraId="612E350D" w14:textId="44E01BCD" w:rsidR="00FA2119" w:rsidRDefault="00FA2119" w:rsidP="00FA2119">
      <w:pPr>
        <w:rPr>
          <w:rtl/>
        </w:rPr>
      </w:pPr>
      <w:r>
        <w:rPr>
          <w:rFonts w:cs="Arial"/>
          <w:b/>
          <w:bCs/>
          <w:rtl/>
        </w:rPr>
        <w:t>ירושלמי גיטין פ"ט ה"ט:</w:t>
      </w:r>
      <w:r>
        <w:rPr>
          <w:rFonts w:cs="Arial"/>
          <w:rtl/>
        </w:rPr>
        <w:t xml:space="preserve"> </w:t>
      </w:r>
      <w:r>
        <w:rPr>
          <w:rFonts w:cs="Arial"/>
          <w:u w:val="double"/>
          <w:rtl/>
        </w:rPr>
        <w:t>מתני'</w:t>
      </w:r>
      <w:r>
        <w:rPr>
          <w:rFonts w:cs="Arial"/>
          <w:rtl/>
        </w:rPr>
        <w:t xml:space="preserve">: גט מעושה בישראל </w:t>
      </w:r>
      <w:r w:rsidR="00A82951">
        <w:rPr>
          <w:rFonts w:cs="Arial"/>
          <w:rtl/>
        </w:rPr>
        <w:t>-</w:t>
      </w:r>
      <w:r>
        <w:rPr>
          <w:rFonts w:cs="Arial"/>
          <w:rtl/>
        </w:rPr>
        <w:t xml:space="preserve"> כשר. ובעכו"ם </w:t>
      </w:r>
      <w:r w:rsidR="00A82951">
        <w:rPr>
          <w:rFonts w:cs="Arial"/>
          <w:rtl/>
        </w:rPr>
        <w:t>-</w:t>
      </w:r>
      <w:r>
        <w:rPr>
          <w:rFonts w:cs="Arial"/>
          <w:rtl/>
        </w:rPr>
        <w:t xml:space="preserve"> פסול. והעכו"ם חובטין אותו ואומרים לו עשה מה שישראל אומר לך.       </w:t>
      </w:r>
      <w:r>
        <w:rPr>
          <w:rFonts w:cs="Arial"/>
          <w:u w:val="double"/>
          <w:rtl/>
        </w:rPr>
        <w:t>גמ'</w:t>
      </w:r>
      <w:r>
        <w:rPr>
          <w:rFonts w:cs="Arial"/>
          <w:rtl/>
        </w:rPr>
        <w:t xml:space="preserve">: </w:t>
      </w:r>
      <w:r>
        <w:rPr>
          <w:rFonts w:cs="Arial"/>
          <w:u w:val="single"/>
          <w:rtl/>
        </w:rPr>
        <w:t>שמואל אמר</w:t>
      </w:r>
      <w:r>
        <w:rPr>
          <w:rFonts w:cs="Arial"/>
          <w:rtl/>
        </w:rPr>
        <w:t xml:space="preserve">: פסול ופוסל בכהונה. </w:t>
      </w:r>
      <w:r>
        <w:rPr>
          <w:rFonts w:cs="Arial"/>
          <w:u w:val="single"/>
          <w:rtl/>
        </w:rPr>
        <w:t>שמואל אמר</w:t>
      </w:r>
      <w:r>
        <w:rPr>
          <w:rFonts w:cs="Arial"/>
          <w:rtl/>
        </w:rPr>
        <w:t xml:space="preserve">: אין מעשין אלא לפסולין. </w:t>
      </w:r>
      <w:r>
        <w:rPr>
          <w:rFonts w:cs="Arial"/>
          <w:u w:val="single"/>
          <w:rtl/>
        </w:rPr>
        <w:t>שמואל אמר</w:t>
      </w:r>
      <w:r>
        <w:rPr>
          <w:rFonts w:cs="Arial"/>
          <w:rtl/>
        </w:rPr>
        <w:t>: אין מעשין אלא אלמנה לכהן גדול גרושה וחלוצה לכהן הדיוט. והתנינן שניות</w:t>
      </w:r>
      <w:r w:rsidR="00953B82">
        <w:rPr>
          <w:rFonts w:cs="Arial" w:hint="cs"/>
          <w:rtl/>
        </w:rPr>
        <w:t>.</w:t>
      </w:r>
      <w:r>
        <w:rPr>
          <w:rFonts w:cs="Arial"/>
          <w:rtl/>
        </w:rPr>
        <w:t xml:space="preserve"> לא בגין דא אמר שמואל</w:t>
      </w:r>
      <w:r w:rsidR="00953B82">
        <w:rPr>
          <w:rFonts w:cs="Arial" w:hint="cs"/>
          <w:rtl/>
        </w:rPr>
        <w:t>?!</w:t>
      </w:r>
      <w:r>
        <w:rPr>
          <w:rFonts w:cs="Arial"/>
          <w:rtl/>
        </w:rPr>
        <w:t xml:space="preserve"> והתנינן המדיר את אשתו מליהנות לו עד שלשים יום יעמיד פרנס יותר מיכן יוציא ויתן כתובה. שמענו שהוא מוציא!. שמענו שכופין? </w:t>
      </w:r>
      <w:r>
        <w:rPr>
          <w:rFonts w:cs="Arial"/>
          <w:u w:val="single"/>
          <w:rtl/>
        </w:rPr>
        <w:t>רב ירמיה בשם רב</w:t>
      </w:r>
      <w:r>
        <w:rPr>
          <w:rFonts w:cs="Arial"/>
          <w:rtl/>
        </w:rPr>
        <w:t xml:space="preserve">: ישראל שעיסו במעשה עכו"ם </w:t>
      </w:r>
      <w:r w:rsidR="00A82951">
        <w:rPr>
          <w:rFonts w:cs="Arial"/>
          <w:rtl/>
        </w:rPr>
        <w:t>-</w:t>
      </w:r>
      <w:r>
        <w:rPr>
          <w:rFonts w:cs="Arial"/>
          <w:rtl/>
        </w:rPr>
        <w:t xml:space="preserve"> פסול, ובאומר איני זן ומפרנס</w:t>
      </w:r>
      <w:r>
        <w:rPr>
          <w:rStyle w:val="a7"/>
          <w:rFonts w:cs="Arial"/>
          <w:rtl/>
        </w:rPr>
        <w:footnoteReference w:id="1505"/>
      </w:r>
      <w:r>
        <w:rPr>
          <w:rFonts w:cs="Arial"/>
          <w:rtl/>
        </w:rPr>
        <w:t xml:space="preserve">. </w:t>
      </w:r>
      <w:r>
        <w:rPr>
          <w:rFonts w:cs="Arial"/>
          <w:u w:val="single"/>
          <w:rtl/>
        </w:rPr>
        <w:t>תני רבי חייה</w:t>
      </w:r>
      <w:r>
        <w:rPr>
          <w:rFonts w:cs="Arial"/>
          <w:rtl/>
        </w:rPr>
        <w:t xml:space="preserve">: ועכו"ם שעיסו במעשה ישראל </w:t>
      </w:r>
      <w:r w:rsidR="00A82951">
        <w:rPr>
          <w:rFonts w:cs="Arial"/>
          <w:rtl/>
        </w:rPr>
        <w:t>-</w:t>
      </w:r>
      <w:r>
        <w:rPr>
          <w:rFonts w:cs="Arial"/>
          <w:rtl/>
        </w:rPr>
        <w:t xml:space="preserve"> כשר</w:t>
      </w:r>
      <w:r w:rsidR="005E77EC">
        <w:rPr>
          <w:rFonts w:cs="Arial" w:hint="cs"/>
          <w:rtl/>
        </w:rPr>
        <w:t>,</w:t>
      </w:r>
      <w:r>
        <w:rPr>
          <w:rFonts w:cs="Arial"/>
          <w:rtl/>
        </w:rPr>
        <w:t xml:space="preserve"> אפילו אמר איני זן ומפרנס</w:t>
      </w:r>
      <w:r>
        <w:rPr>
          <w:rStyle w:val="a7"/>
          <w:rFonts w:cs="Arial"/>
          <w:rtl/>
        </w:rPr>
        <w:footnoteReference w:id="1506"/>
      </w:r>
      <w:r>
        <w:rPr>
          <w:rFonts w:cs="Arial"/>
          <w:rtl/>
        </w:rPr>
        <w:t xml:space="preserve">. </w:t>
      </w:r>
      <w:r>
        <w:rPr>
          <w:rFonts w:cs="Arial"/>
          <w:u w:val="single"/>
          <w:rtl/>
        </w:rPr>
        <w:t>אמר רבי יוסי</w:t>
      </w:r>
      <w:r>
        <w:rPr>
          <w:rFonts w:cs="Arial"/>
          <w:rtl/>
        </w:rPr>
        <w:t xml:space="preserve">: מתניתא אמרה כן, והעכו"ם אומרים לו וחובטין אותו ואומרים לו עשה מה שישראל אומר לך. </w:t>
      </w:r>
      <w:r>
        <w:rPr>
          <w:rFonts w:cs="Arial"/>
          <w:u w:val="single"/>
          <w:rtl/>
        </w:rPr>
        <w:t>רבי חייה בר אשי בשם איסי</w:t>
      </w:r>
      <w:r>
        <w:rPr>
          <w:rFonts w:cs="Arial"/>
          <w:rtl/>
        </w:rPr>
        <w:t xml:space="preserve">: האומר איני זן ומפרנס כופין אותו להוציא. </w:t>
      </w:r>
      <w:r>
        <w:rPr>
          <w:rFonts w:cs="Arial"/>
          <w:u w:val="single"/>
          <w:rtl/>
        </w:rPr>
        <w:t>רבי ירמיה בעא קומי רבי אבהו</w:t>
      </w:r>
      <w:r w:rsidR="005E77EC">
        <w:rPr>
          <w:rFonts w:cs="Arial" w:hint="cs"/>
          <w:u w:val="single"/>
          <w:rtl/>
        </w:rPr>
        <w:t>:</w:t>
      </w:r>
      <w:r>
        <w:rPr>
          <w:rFonts w:cs="Arial"/>
          <w:rtl/>
        </w:rPr>
        <w:t xml:space="preserve"> וכופין.</w:t>
      </w:r>
    </w:p>
    <w:p w14:paraId="44B61701" w14:textId="77777777" w:rsidR="00FA2119" w:rsidRDefault="00FA2119" w:rsidP="00FA2119">
      <w:pPr>
        <w:rPr>
          <w:u w:val="single"/>
        </w:rPr>
      </w:pPr>
      <w:r>
        <w:rPr>
          <w:u w:val="single"/>
          <w:rtl/>
        </w:rPr>
        <w:t>האם אפשר לכפות משומד לתת גט:</w:t>
      </w:r>
    </w:p>
    <w:p w14:paraId="65E0A128" w14:textId="2D976621" w:rsidR="00FA2119" w:rsidRDefault="00FA2119" w:rsidP="006A458D">
      <w:pPr>
        <w:pStyle w:val="ab"/>
        <w:numPr>
          <w:ilvl w:val="0"/>
          <w:numId w:val="90"/>
        </w:numPr>
      </w:pPr>
      <w:r>
        <w:rPr>
          <w:rFonts w:cs="Arial"/>
          <w:rtl/>
        </w:rPr>
        <w:t xml:space="preserve">מהר"ם </w:t>
      </w:r>
      <w:r>
        <w:rPr>
          <w:rFonts w:cs="Arial"/>
          <w:sz w:val="16"/>
          <w:szCs w:val="16"/>
          <w:rtl/>
        </w:rPr>
        <w:t>(כ"כ בשמו ההגה"מ [אישות פכ"ה אות ד])</w:t>
      </w:r>
      <w:r w:rsidR="00A82951">
        <w:rPr>
          <w:rFonts w:cs="Arial"/>
          <w:rtl/>
        </w:rPr>
        <w:t>-</w:t>
      </w:r>
      <w:r>
        <w:rPr>
          <w:rFonts w:cs="Arial"/>
          <w:rtl/>
        </w:rPr>
        <w:t xml:space="preserve"> עובר על דת או אפילו מומר אין כופין אותו להוציא</w:t>
      </w:r>
      <w:r>
        <w:rPr>
          <w:rStyle w:val="a7"/>
          <w:rFonts w:cs="Arial"/>
          <w:rtl/>
        </w:rPr>
        <w:footnoteReference w:id="1507"/>
      </w:r>
      <w:r>
        <w:rPr>
          <w:rFonts w:cs="Arial"/>
          <w:rtl/>
        </w:rPr>
        <w:t>. ותדע מדלא מנה רשע שכופין אותו להוציא. וטעמא דטב למיתב טן דו מלמיתב ארמלו. אם לא שעבר על דת שקיבל עליו חרם שהוא כלפי דידה כגון שלא להכותה או שלא להקניטה ועיין בסימן י"ו</w:t>
      </w:r>
      <w:r>
        <w:rPr>
          <w:rStyle w:val="a7"/>
          <w:rFonts w:cs="Arial"/>
          <w:rtl/>
        </w:rPr>
        <w:footnoteReference w:id="1508"/>
      </w:r>
      <w:r>
        <w:rPr>
          <w:rFonts w:cs="Arial"/>
          <w:rtl/>
        </w:rPr>
        <w:t xml:space="preserve">. </w:t>
      </w:r>
    </w:p>
    <w:p w14:paraId="759378F5" w14:textId="72DFCCA6" w:rsidR="00FA2119" w:rsidRDefault="00FA2119" w:rsidP="006A458D">
      <w:pPr>
        <w:pStyle w:val="ab"/>
        <w:numPr>
          <w:ilvl w:val="0"/>
          <w:numId w:val="90"/>
        </w:numPr>
      </w:pPr>
      <w:r>
        <w:rPr>
          <w:rFonts w:cs="Arial"/>
          <w:rtl/>
        </w:rPr>
        <w:t xml:space="preserve">תרומה </w:t>
      </w:r>
      <w:r>
        <w:rPr>
          <w:rFonts w:cs="Arial"/>
          <w:sz w:val="16"/>
          <w:szCs w:val="16"/>
          <w:rtl/>
        </w:rPr>
        <w:t>(העתיק הסמ"ג [עשין נ] את דבריו, והביאו ההגה"מ [גירושין פ"ב ה"כ אות ד, הביאו הב"י בבדה"ב])</w:t>
      </w:r>
      <w:r w:rsidR="00A82951">
        <w:rPr>
          <w:rFonts w:cs="Arial"/>
          <w:rtl/>
        </w:rPr>
        <w:t>-</w:t>
      </w:r>
      <w:r>
        <w:rPr>
          <w:rFonts w:cs="Arial"/>
          <w:rtl/>
        </w:rPr>
        <w:t xml:space="preserve"> תנן פרק המגרש גט המעושה בישראל כשר ובעכו"ם פסול כיון שהדיינין עכו"ם... ובעכו"ם חובטין אותו ואומרין לו עשה מה שישראל אומר לך... בא להכשיר ולומר אע"פ שהמעשים והחובטים הם עכו"ם אפי' הכי כשר היכא שהדייני' הם ישראלים אומרים שחייב ליתן את הגט. וכן מוכח בירושלמי (גיטין פ"ט ה"ט)... תני רבי חייא עכו"ם שעישו כמעשה ישראל כשר בשאומר איני זן ואיני מפרנס. ומתניתא אמרה כן... אלמא מתניתין להכשיר. וא"כ אותם מומרים מותר להכריחם ע"י עכו"ם עד שירצו ליתן גט כדברי דייני ישראל. וצריכין שיאמרו לבסוף אני רוצה</w:t>
      </w:r>
      <w:r>
        <w:rPr>
          <w:rStyle w:val="a7"/>
          <w:rFonts w:cs="Arial"/>
          <w:rtl/>
        </w:rPr>
        <w:footnoteReference w:id="1509"/>
      </w:r>
      <w:r>
        <w:rPr>
          <w:rFonts w:cs="Arial"/>
          <w:rtl/>
        </w:rPr>
        <w:t>.</w:t>
      </w:r>
    </w:p>
    <w:p w14:paraId="1FF385CE" w14:textId="77777777" w:rsidR="00323D17" w:rsidRDefault="00323D17" w:rsidP="00323D17">
      <w:pPr>
        <w:pStyle w:val="ab"/>
        <w:numPr>
          <w:ilvl w:val="0"/>
          <w:numId w:val="90"/>
        </w:numPr>
      </w:pPr>
      <w:r>
        <w:rPr>
          <w:rFonts w:cs="Arial"/>
          <w:rtl/>
        </w:rPr>
        <w:lastRenderedPageBreak/>
        <w:t xml:space="preserve">מהרי"ק </w:t>
      </w:r>
      <w:r>
        <w:rPr>
          <w:rFonts w:cs="Arial"/>
          <w:sz w:val="16"/>
          <w:szCs w:val="16"/>
          <w:rtl/>
        </w:rPr>
        <w:t>(שורש סג ענף ג)</w:t>
      </w:r>
      <w:r>
        <w:rPr>
          <w:rFonts w:cs="Arial"/>
          <w:rtl/>
        </w:rPr>
        <w:t xml:space="preserve">- ואשר דקדקת מלשון רבינו משה </w:t>
      </w:r>
      <w:r>
        <w:rPr>
          <w:rFonts w:cs="Arial"/>
          <w:sz w:val="16"/>
          <w:szCs w:val="16"/>
          <w:rtl/>
        </w:rPr>
        <w:t>(רמב"ם</w:t>
      </w:r>
      <w:r w:rsidRPr="00453FCC">
        <w:rPr>
          <w:rStyle w:val="a7"/>
          <w:rFonts w:cs="Arial"/>
          <w:sz w:val="16"/>
          <w:szCs w:val="16"/>
          <w:rtl/>
        </w:rPr>
        <w:footnoteReference w:id="1510"/>
      </w:r>
      <w:r>
        <w:rPr>
          <w:rFonts w:cs="Arial"/>
          <w:sz w:val="16"/>
          <w:szCs w:val="16"/>
          <w:rtl/>
        </w:rPr>
        <w:t xml:space="preserve"> הל' גירושין פ"ב ה"כ) </w:t>
      </w:r>
      <w:r>
        <w:rPr>
          <w:rFonts w:cs="Arial"/>
          <w:rtl/>
        </w:rPr>
        <w:t>בעניין כפיית המשומדים לגרש, לפי הנראה לעניות דעתי יפה דקדקת, ולכאורה אין תקנה לאשת משומד לפי דבריו</w:t>
      </w:r>
      <w:r>
        <w:rPr>
          <w:rStyle w:val="a7"/>
          <w:rFonts w:cs="Arial"/>
          <w:rtl/>
        </w:rPr>
        <w:footnoteReference w:id="1511"/>
      </w:r>
      <w:r>
        <w:rPr>
          <w:rFonts w:cs="Arial"/>
          <w:rtl/>
        </w:rPr>
        <w:t xml:space="preserve">. ואולי בכה"ג סבר רבינו משה דאפקעינהו רבנן לקידושי מינה </w:t>
      </w:r>
      <w:r>
        <w:rPr>
          <w:rFonts w:cs="Arial"/>
          <w:sz w:val="16"/>
          <w:szCs w:val="16"/>
          <w:rtl/>
        </w:rPr>
        <w:t xml:space="preserve">(יבמות צ:) </w:t>
      </w:r>
      <w:r>
        <w:rPr>
          <w:rFonts w:cs="Arial"/>
          <w:rtl/>
        </w:rPr>
        <w:t xml:space="preserve">ע"י גט זה שנותן המשומד בכפייה, דמשום עיגונא חשו רבנן טובא. </w:t>
      </w:r>
    </w:p>
    <w:p w14:paraId="359451C1" w14:textId="77777777" w:rsidR="00FA2119" w:rsidRDefault="00FA2119" w:rsidP="00FA2119">
      <w:pPr>
        <w:rPr>
          <w:u w:val="single"/>
        </w:rPr>
      </w:pPr>
      <w:r>
        <w:rPr>
          <w:u w:val="single"/>
          <w:rtl/>
        </w:rPr>
        <w:t>בעל שמערער על גט שנתן</w:t>
      </w:r>
      <w:r>
        <w:rPr>
          <w:sz w:val="16"/>
          <w:szCs w:val="16"/>
          <w:u w:val="single"/>
          <w:rtl/>
        </w:rPr>
        <w:t xml:space="preserve"> (שביטל את שליחות השליח)</w:t>
      </w:r>
      <w:r>
        <w:rPr>
          <w:u w:val="single"/>
          <w:rtl/>
        </w:rPr>
        <w:t xml:space="preserve"> ואין לו עדים על כך:</w:t>
      </w:r>
    </w:p>
    <w:p w14:paraId="1611319B" w14:textId="59755799" w:rsidR="00FA2119" w:rsidRDefault="00FA2119" w:rsidP="006A458D">
      <w:pPr>
        <w:pStyle w:val="ab"/>
        <w:numPr>
          <w:ilvl w:val="0"/>
          <w:numId w:val="90"/>
        </w:numPr>
      </w:pPr>
      <w:r>
        <w:rPr>
          <w:rFonts w:cs="Arial"/>
          <w:rtl/>
        </w:rPr>
        <w:t>ר"ן</w:t>
      </w:r>
      <w:r>
        <w:rPr>
          <w:rFonts w:cs="Arial"/>
          <w:sz w:val="16"/>
          <w:szCs w:val="16"/>
          <w:rtl/>
        </w:rPr>
        <w:t xml:space="preserve"> (בתשו' סי' מג)</w:t>
      </w:r>
      <w:r w:rsidR="00A82951">
        <w:rPr>
          <w:rFonts w:cs="Arial"/>
          <w:rtl/>
        </w:rPr>
        <w:t>-</w:t>
      </w:r>
      <w:r>
        <w:rPr>
          <w:rFonts w:cs="Arial"/>
          <w:rtl/>
        </w:rPr>
        <w:t xml:space="preserve"> עמדתי על ענייני ערער שערער הבעל על שליחות הגט, וראיתי שערער ואמר שביטל שליחות הגט במקומות רבים, אך לא הוכיח דבריו בעדים ולא בשטר, ובכיוצא בזה </w:t>
      </w:r>
      <w:r w:rsidR="00A82951">
        <w:rPr>
          <w:rFonts w:cs="Arial"/>
          <w:rtl/>
        </w:rPr>
        <w:t>-</w:t>
      </w:r>
      <w:r>
        <w:rPr>
          <w:rFonts w:cs="Arial"/>
          <w:rtl/>
        </w:rPr>
        <w:t xml:space="preserve"> הדבר ברור שאין לחוש לדבריו וערעורו בטל</w:t>
      </w:r>
      <w:r>
        <w:rPr>
          <w:rStyle w:val="a7"/>
          <w:rFonts w:cs="Arial"/>
          <w:rtl/>
        </w:rPr>
        <w:footnoteReference w:id="1512"/>
      </w:r>
      <w:r>
        <w:rPr>
          <w:rFonts w:cs="Arial"/>
          <w:rtl/>
        </w:rPr>
        <w:t>... ואפילו זמן אין נותנין לו לברר דבריו. ואפילו יצא קול בעיר דאיכא סהדי במדינת הים שיודעים אמיתת הדבר</w:t>
      </w:r>
      <w:r>
        <w:rPr>
          <w:rtl/>
        </w:rPr>
        <w:t>...</w:t>
      </w:r>
    </w:p>
    <w:p w14:paraId="2CA8CEA4" w14:textId="77777777" w:rsidR="00FA2119" w:rsidRDefault="00FA2119" w:rsidP="00FA2119">
      <w:pPr>
        <w:ind w:left="360"/>
        <w:rPr>
          <w:u w:val="dotted"/>
        </w:rPr>
      </w:pPr>
      <w:r>
        <w:rPr>
          <w:u w:val="dotted"/>
          <w:rtl/>
        </w:rPr>
        <w:t>ומה הדין אם הוא הביא אח"כ שטר חתום בעדים שביטל את שליחות השליח:</w:t>
      </w:r>
    </w:p>
    <w:p w14:paraId="630C406B" w14:textId="15E2D886" w:rsidR="00FA2119" w:rsidRDefault="00FA2119" w:rsidP="006A458D">
      <w:pPr>
        <w:pStyle w:val="ab"/>
        <w:numPr>
          <w:ilvl w:val="0"/>
          <w:numId w:val="90"/>
        </w:numPr>
      </w:pPr>
      <w:r>
        <w:rPr>
          <w:rFonts w:cs="Arial"/>
          <w:rtl/>
        </w:rPr>
        <w:t>ר"ן</w:t>
      </w:r>
      <w:r>
        <w:rPr>
          <w:rFonts w:cs="Arial"/>
          <w:sz w:val="16"/>
          <w:szCs w:val="16"/>
          <w:rtl/>
        </w:rPr>
        <w:t xml:space="preserve"> (בתשו' סי' מג)</w:t>
      </w:r>
      <w:r w:rsidR="00A82951">
        <w:rPr>
          <w:rFonts w:cs="Arial"/>
          <w:rtl/>
        </w:rPr>
        <w:t>-</w:t>
      </w:r>
      <w:r>
        <w:rPr>
          <w:rFonts w:cs="Arial"/>
          <w:rtl/>
        </w:rPr>
        <w:t xml:space="preserve"> אך לפני כבודך </w:t>
      </w:r>
      <w:r>
        <w:rPr>
          <w:rFonts w:cs="Arial"/>
          <w:sz w:val="16"/>
          <w:szCs w:val="16"/>
          <w:rtl/>
        </w:rPr>
        <w:t xml:space="preserve">{ה"ר פרץ הכהן [שאליו שלח הר"ן תשובתו]} </w:t>
      </w:r>
      <w:r>
        <w:rPr>
          <w:rFonts w:cs="Arial"/>
          <w:rtl/>
        </w:rPr>
        <w:t>אומר מה שמיראני ומבהלני והוא כי האיש הזה קל ברגליו ועובר ארחות ימים וירא אנכי מאד פן ילך ויביא שטר מהביטול</w:t>
      </w:r>
      <w:r w:rsidR="00A611F8">
        <w:rPr>
          <w:rFonts w:cs="Arial" w:hint="cs"/>
          <w:rtl/>
        </w:rPr>
        <w:t>,</w:t>
      </w:r>
      <w:r>
        <w:rPr>
          <w:rFonts w:cs="Arial"/>
          <w:rtl/>
        </w:rPr>
        <w:t xml:space="preserve"> הן שיהיה בדרך אמת או בשקר</w:t>
      </w:r>
      <w:r w:rsidR="00A611F8">
        <w:rPr>
          <w:rFonts w:cs="Arial" w:hint="cs"/>
          <w:rtl/>
        </w:rPr>
        <w:t>,</w:t>
      </w:r>
      <w:r>
        <w:rPr>
          <w:rFonts w:cs="Arial"/>
          <w:rtl/>
        </w:rPr>
        <w:t xml:space="preserve"> כי בעוונותינו שכיחי פריצי ורמאי אף כי באיים הרחוקים קצוצי פאה, ואם חס ושלום יעשה כן דעת </w:t>
      </w:r>
      <w:r>
        <w:rPr>
          <w:rFonts w:cs="Arial"/>
          <w:rtl/>
        </w:rPr>
        <w:lastRenderedPageBreak/>
        <w:t>תלמידכם נוטה שתהא אסורה על בעלה ותצא מזה ומזה וכל הדרכים האלו בה (גיטין פ.)</w:t>
      </w:r>
      <w:r>
        <w:rPr>
          <w:rStyle w:val="a7"/>
          <w:rFonts w:cs="Arial"/>
          <w:rtl/>
        </w:rPr>
        <w:footnoteReference w:id="1513"/>
      </w:r>
      <w:r>
        <w:rPr>
          <w:rFonts w:cs="Arial"/>
          <w:rtl/>
        </w:rPr>
        <w:t xml:space="preserve">... דכיון דקיי"ל (קידושין נט.) אתי דיבור ומבטל דיבור </w:t>
      </w:r>
      <w:r w:rsidR="00A82951">
        <w:rPr>
          <w:rFonts w:cs="Arial"/>
          <w:rtl/>
        </w:rPr>
        <w:t>-</w:t>
      </w:r>
      <w:r>
        <w:rPr>
          <w:rFonts w:cs="Arial"/>
          <w:rtl/>
        </w:rPr>
        <w:t xml:space="preserve"> הדיבור האחרון הוא עיקר ומבטל כל הדברים הקודמים אליו... שביטול השליחות האחרון מבטל כל הדברים הראשונים... ולפיכך כתבו הראשונים להשביעו בכך כמו שכתוב בספר התרומה (סוס"י קכח) ולא מצאו תקנה אחרת לדבר</w:t>
      </w:r>
      <w:r>
        <w:rPr>
          <w:rStyle w:val="a7"/>
          <w:rFonts w:cs="Arial"/>
          <w:rtl/>
        </w:rPr>
        <w:footnoteReference w:id="1514"/>
      </w:r>
      <w:r>
        <w:rPr>
          <w:rFonts w:cs="Arial"/>
          <w:rtl/>
        </w:rPr>
        <w:t>.</w:t>
      </w:r>
    </w:p>
    <w:p w14:paraId="681036B7"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10FEF42" w14:textId="77777777" w:rsidR="00FA2119" w:rsidRDefault="00FA2119" w:rsidP="00FA2119">
      <w:pPr>
        <w:rPr>
          <w:rtl/>
        </w:rPr>
      </w:pPr>
      <w:r>
        <w:rPr>
          <w:rFonts w:cs="Arial"/>
          <w:rtl/>
        </w:rPr>
        <w:t xml:space="preserve">הא דאינו גט כשהוא אנוס, הני מילי כשמסר מודעא. אבל אם לא מסר מודעא, אם אנסוהו שלא כדין, פסול. וכדין, כגון שהוא חייב להוציא ואינו רוצה, ואנסוהו בית דין עד שהוציא, הוי גט. ומצוה על כל בית דין שבכל מקום ובכל זמן לכופו לגרש לבטל המודעא. </w:t>
      </w:r>
    </w:p>
    <w:p w14:paraId="6B5A9C94" w14:textId="77777777" w:rsidR="00FA2119" w:rsidRDefault="00FA2119" w:rsidP="00FA2119">
      <w:pPr>
        <w:rPr>
          <w:rtl/>
        </w:rPr>
      </w:pPr>
    </w:p>
    <w:p w14:paraId="0E35BF4C" w14:textId="77777777" w:rsidR="00FA2119" w:rsidRDefault="00FA2119" w:rsidP="00FA2119">
      <w:pPr>
        <w:pStyle w:val="2"/>
        <w:rPr>
          <w:rtl/>
        </w:rPr>
      </w:pPr>
      <w:r>
        <w:rPr>
          <w:rtl/>
        </w:rPr>
        <w:t>סעיף ו: האם מכין מכות מרדות לבעל שמסר מודעה.</w:t>
      </w:r>
    </w:p>
    <w:p w14:paraId="3EF87EE2" w14:textId="77777777" w:rsidR="00FA2119" w:rsidRDefault="00FA2119" w:rsidP="00FA2119">
      <w:pPr>
        <w:rPr>
          <w:rFonts w:cs="Arial"/>
          <w:rtl/>
        </w:rPr>
      </w:pPr>
      <w:r>
        <w:rPr>
          <w:rFonts w:cs="Arial"/>
          <w:b/>
          <w:bCs/>
          <w:rtl/>
        </w:rPr>
        <w:t>קידושין</w:t>
      </w:r>
      <w:r>
        <w:rPr>
          <w:rStyle w:val="a7"/>
          <w:rFonts w:cs="Arial"/>
          <w:b/>
          <w:bCs/>
          <w:rtl/>
        </w:rPr>
        <w:footnoteReference w:id="1515"/>
      </w:r>
      <w:r>
        <w:rPr>
          <w:rFonts w:cs="Arial"/>
          <w:b/>
          <w:bCs/>
          <w:rtl/>
        </w:rPr>
        <w:t xml:space="preserve"> </w:t>
      </w:r>
      <w:r>
        <w:rPr>
          <w:rFonts w:cs="Arial"/>
          <w:b/>
          <w:bCs/>
          <w:sz w:val="16"/>
          <w:szCs w:val="16"/>
          <w:rtl/>
        </w:rPr>
        <w:t>(פ"ק)</w:t>
      </w:r>
      <w:r>
        <w:rPr>
          <w:rFonts w:cs="Arial"/>
          <w:b/>
          <w:bCs/>
          <w:rtl/>
        </w:rPr>
        <w:t xml:space="preserve"> יב ע"ב: </w:t>
      </w:r>
      <w:r>
        <w:rPr>
          <w:rFonts w:cs="Arial"/>
          <w:rtl/>
        </w:rPr>
        <w:t xml:space="preserve">ההוא גברא דאקדיש בשוטיתא דאסא בשוקא, </w:t>
      </w:r>
      <w:r>
        <w:rPr>
          <w:rFonts w:cs="Arial"/>
          <w:u w:val="single"/>
          <w:rtl/>
        </w:rPr>
        <w:t>שלחה רב אחא בר הונא לקמיה דרב יוסף</w:t>
      </w:r>
      <w:r>
        <w:rPr>
          <w:rFonts w:cs="Arial"/>
          <w:rtl/>
        </w:rPr>
        <w:t xml:space="preserve">: כה"ג מאי? </w:t>
      </w:r>
      <w:r>
        <w:rPr>
          <w:rFonts w:cs="Arial"/>
          <w:u w:val="single"/>
          <w:rtl/>
        </w:rPr>
        <w:t>שלח ליה</w:t>
      </w:r>
      <w:r>
        <w:rPr>
          <w:rFonts w:cs="Arial"/>
          <w:rtl/>
        </w:rPr>
        <w:t>: נגדיה כרב, ואצטריך גיטא כשמואל. דרב מנגיד על דמקדש בשוקא... ועל דמבטיל גיטא, ועל דמסר מודעא אגיטא</w:t>
      </w:r>
      <w:r>
        <w:rPr>
          <w:rStyle w:val="a7"/>
          <w:rFonts w:cs="Arial"/>
          <w:rtl/>
        </w:rPr>
        <w:footnoteReference w:id="1516"/>
      </w:r>
      <w:r>
        <w:rPr>
          <w:rFonts w:cs="Arial"/>
          <w:rtl/>
        </w:rPr>
        <w:t xml:space="preserve">... </w:t>
      </w:r>
      <w:r>
        <w:rPr>
          <w:rFonts w:cs="Arial"/>
          <w:u w:val="single"/>
          <w:rtl/>
        </w:rPr>
        <w:t>נהרדעי אמרי</w:t>
      </w:r>
      <w:r>
        <w:rPr>
          <w:rFonts w:cs="Arial"/>
          <w:rtl/>
        </w:rPr>
        <w:t>: בכולהו לא מנגיד רב, אלא על דמקדש בביאה בלא שידוכי. ואיכא דאמרי: ואפילו בשידוכי נמי, משום פריצותא.</w:t>
      </w:r>
    </w:p>
    <w:p w14:paraId="5E286763" w14:textId="77777777" w:rsidR="00FA2119" w:rsidRDefault="00FA2119" w:rsidP="00FA2119">
      <w:pPr>
        <w:rPr>
          <w:u w:val="single"/>
          <w:rtl/>
        </w:rPr>
      </w:pPr>
      <w:r>
        <w:rPr>
          <w:u w:val="single"/>
          <w:rtl/>
        </w:rPr>
        <w:t>האם מכין מכות מרדות לבעל שמסר מודעה:</w:t>
      </w:r>
    </w:p>
    <w:p w14:paraId="4F131F26" w14:textId="40558E84" w:rsidR="00FA2119" w:rsidRDefault="00FA2119" w:rsidP="006A458D">
      <w:pPr>
        <w:pStyle w:val="ab"/>
        <w:numPr>
          <w:ilvl w:val="0"/>
          <w:numId w:val="90"/>
        </w:numPr>
        <w:rPr>
          <w:rtl/>
        </w:rPr>
      </w:pPr>
      <w:r>
        <w:rPr>
          <w:rFonts w:cs="Arial"/>
          <w:rtl/>
        </w:rPr>
        <w:t xml:space="preserve">רמב"ם </w:t>
      </w:r>
      <w:r>
        <w:rPr>
          <w:rFonts w:cs="Arial"/>
          <w:sz w:val="16"/>
          <w:szCs w:val="16"/>
          <w:rtl/>
        </w:rPr>
        <w:t>(פ"ו הכ"ו)</w:t>
      </w:r>
      <w:r w:rsidR="00A82951">
        <w:rPr>
          <w:rFonts w:cs="Arial"/>
          <w:rtl/>
        </w:rPr>
        <w:t>-</w:t>
      </w:r>
      <w:r>
        <w:rPr>
          <w:rFonts w:cs="Arial"/>
          <w:rtl/>
        </w:rPr>
        <w:t xml:space="preserve"> מי ששלח גט לאשתו וחזר ובטלו בפני שנים אחרים וכן מי שמסר מודעא על הגט </w:t>
      </w:r>
      <w:r w:rsidR="00A82951">
        <w:rPr>
          <w:rFonts w:cs="Arial"/>
          <w:rtl/>
        </w:rPr>
        <w:t>-</w:t>
      </w:r>
      <w:r>
        <w:rPr>
          <w:rFonts w:cs="Arial"/>
          <w:rtl/>
        </w:rPr>
        <w:t xml:space="preserve"> מכין אותו מכת מרדות, מפני שגורם להיות ממזרים. שהרי יגיע גט לידה ותנשא בו, ואחר זמן יצאו העדים שבטל בפניהם או שמסר מודעא בפניהם קודם שיכתוב הגט, ונמצא הולד ממזר.</w:t>
      </w:r>
      <w:r>
        <w:rPr>
          <w:rtl/>
        </w:rPr>
        <w:t xml:space="preserve"> </w:t>
      </w:r>
      <w:r>
        <w:rPr>
          <w:rFonts w:cs="Arial"/>
          <w:color w:val="E36C0A" w:themeColor="accent6" w:themeShade="BF"/>
          <w:rtl/>
        </w:rPr>
        <w:t>(וכ"פ בשו"ע)</w:t>
      </w:r>
    </w:p>
    <w:p w14:paraId="2B9EDB02" w14:textId="6EDCA22C" w:rsidR="00FA2119" w:rsidRDefault="00FA2119" w:rsidP="006A458D">
      <w:pPr>
        <w:pStyle w:val="ab"/>
        <w:numPr>
          <w:ilvl w:val="0"/>
          <w:numId w:val="90"/>
        </w:numPr>
      </w:pPr>
      <w:r>
        <w:rPr>
          <w:rFonts w:cs="Arial"/>
          <w:rtl/>
        </w:rPr>
        <w:lastRenderedPageBreak/>
        <w:t xml:space="preserve">רא"ש </w:t>
      </w:r>
      <w:r>
        <w:rPr>
          <w:rFonts w:cs="Arial"/>
          <w:sz w:val="16"/>
          <w:szCs w:val="16"/>
          <w:rtl/>
        </w:rPr>
        <w:t>(יבמות פ"ה סי' ב)</w:t>
      </w:r>
      <w:r w:rsidR="00A82951">
        <w:rPr>
          <w:rFonts w:cs="Arial"/>
          <w:rtl/>
        </w:rPr>
        <w:t>-</w:t>
      </w:r>
      <w:r>
        <w:rPr>
          <w:rFonts w:cs="Arial"/>
          <w:rtl/>
        </w:rPr>
        <w:t xml:space="preserve"> האידנא נהוג עלמא כנהרדעי</w:t>
      </w:r>
      <w:r>
        <w:rPr>
          <w:rStyle w:val="a7"/>
          <w:rFonts w:cs="Arial"/>
          <w:rtl/>
        </w:rPr>
        <w:footnoteReference w:id="1517"/>
      </w:r>
      <w:r>
        <w:rPr>
          <w:rFonts w:cs="Arial"/>
          <w:rtl/>
        </w:rPr>
        <w:t xml:space="preserve"> דאמרי לא מנגיד רב אלא אמאן דמקדש בביאה, ובשל סופרים הלך אחר המיקל (ע"ז ז.).</w:t>
      </w:r>
    </w:p>
    <w:p w14:paraId="0844AC47" w14:textId="4F196085" w:rsidR="00FA2119" w:rsidRDefault="00FA2119" w:rsidP="006A458D">
      <w:pPr>
        <w:pStyle w:val="ab"/>
        <w:numPr>
          <w:ilvl w:val="0"/>
          <w:numId w:val="90"/>
        </w:numPr>
      </w:pPr>
      <w:r>
        <w:rPr>
          <w:rFonts w:cs="Arial"/>
          <w:rtl/>
        </w:rPr>
        <w:t>טור</w:t>
      </w:r>
      <w:r w:rsidR="00A82951">
        <w:rPr>
          <w:rFonts w:cs="Arial"/>
          <w:rtl/>
        </w:rPr>
        <w:t>-</w:t>
      </w:r>
      <w:r>
        <w:rPr>
          <w:rFonts w:cs="Arial"/>
          <w:rtl/>
        </w:rPr>
        <w:t xml:space="preserve"> אם מסר מודעא תחילה כדי לבטלו משמתינן</w:t>
      </w:r>
      <w:r>
        <w:rPr>
          <w:rStyle w:val="a7"/>
          <w:rFonts w:cs="Arial"/>
          <w:rtl/>
        </w:rPr>
        <w:footnoteReference w:id="1518"/>
      </w:r>
      <w:r>
        <w:rPr>
          <w:rFonts w:cs="Arial"/>
          <w:rtl/>
        </w:rPr>
        <w:t xml:space="preserve"> ליה. </w:t>
      </w:r>
    </w:p>
    <w:p w14:paraId="4D91DD62"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6FE6DE47" w14:textId="77777777" w:rsidR="00FA2119" w:rsidRDefault="00FA2119" w:rsidP="00FA2119">
      <w:pPr>
        <w:rPr>
          <w:rFonts w:cs="Arial"/>
          <w:sz w:val="18"/>
          <w:szCs w:val="18"/>
          <w:rtl/>
        </w:rPr>
      </w:pPr>
      <w:r>
        <w:rPr>
          <w:rFonts w:cs="Arial"/>
          <w:rtl/>
        </w:rPr>
        <w:t>מי שמסר מודעא על הגט, מכין אותו מכת מרדות</w:t>
      </w:r>
      <w:r>
        <w:rPr>
          <w:rStyle w:val="a7"/>
          <w:rFonts w:cs="Arial"/>
          <w:rtl/>
        </w:rPr>
        <w:footnoteReference w:id="1519"/>
      </w:r>
      <w:r>
        <w:rPr>
          <w:rFonts w:cs="Arial"/>
          <w:rtl/>
        </w:rPr>
        <w:t xml:space="preserve">, מפני שגרם להיות ממזרים, שהרי הגיע הגט לידה ותנשא בו, ואחר זמן יבואו עדים שביטל בפניהם או שמסר מודעא בפניהם קודם שיכתוב הגט, ונמצא הולד ממזר. </w:t>
      </w:r>
      <w:r>
        <w:rPr>
          <w:rFonts w:cs="Arial"/>
          <w:sz w:val="18"/>
          <w:szCs w:val="18"/>
          <w:rtl/>
        </w:rPr>
        <w:t xml:space="preserve">הגה: ואפילו בטל המודעא בשעת נתינה, אפ"ה משמתינן ליה, דיש לחוש שמא איכא דידעי במודעא ולא ידעי בביטול (ב"י ורא"ש [כלל נב]). </w:t>
      </w:r>
    </w:p>
    <w:p w14:paraId="06EA364B" w14:textId="77777777" w:rsidR="00FA2119" w:rsidRDefault="00FA2119" w:rsidP="00FA2119">
      <w:pPr>
        <w:rPr>
          <w:rtl/>
        </w:rPr>
      </w:pPr>
    </w:p>
    <w:p w14:paraId="62318F52" w14:textId="77777777" w:rsidR="00FA2119" w:rsidRDefault="00FA2119" w:rsidP="00FA2119">
      <w:pPr>
        <w:pStyle w:val="2"/>
        <w:rPr>
          <w:rtl/>
        </w:rPr>
      </w:pPr>
      <w:r>
        <w:rPr>
          <w:rtl/>
        </w:rPr>
        <w:t>סעיף ז: אנסוהו ישראל לגרש, שלא כדין.</w:t>
      </w:r>
    </w:p>
    <w:p w14:paraId="22541FD9" w14:textId="1CC64873" w:rsidR="00FA2119" w:rsidRDefault="00FA2119" w:rsidP="00FA2119">
      <w:pPr>
        <w:rPr>
          <w:rFonts w:cs="Arial"/>
          <w:rtl/>
        </w:rPr>
      </w:pPr>
      <w:r>
        <w:rPr>
          <w:rFonts w:cs="Arial"/>
          <w:b/>
          <w:bCs/>
          <w:rtl/>
        </w:rPr>
        <w:t xml:space="preserve">גיטין </w:t>
      </w:r>
      <w:r>
        <w:rPr>
          <w:rFonts w:cs="Arial"/>
          <w:b/>
          <w:bCs/>
          <w:szCs w:val="16"/>
          <w:rtl/>
        </w:rPr>
        <w:t xml:space="preserve">(ס"פ המגרש) </w:t>
      </w:r>
      <w:r>
        <w:rPr>
          <w:rFonts w:cs="Arial"/>
          <w:b/>
          <w:bCs/>
          <w:rtl/>
        </w:rPr>
        <w:t>פח</w:t>
      </w:r>
      <w:r w:rsidR="004D23D9">
        <w:rPr>
          <w:rStyle w:val="a7"/>
          <w:rFonts w:cs="Arial"/>
          <w:b/>
          <w:bCs/>
          <w:rtl/>
        </w:rPr>
        <w:footnoteReference w:id="1520"/>
      </w:r>
      <w:r>
        <w:rPr>
          <w:rFonts w:cs="Arial"/>
          <w:b/>
          <w:bCs/>
          <w:rtl/>
        </w:rPr>
        <w:t xml:space="preserve"> ע"ב: </w:t>
      </w:r>
      <w:r>
        <w:rPr>
          <w:rFonts w:cs="Arial"/>
          <w:u w:val="double"/>
          <w:rtl/>
        </w:rPr>
        <w:t>מתני'</w:t>
      </w:r>
      <w:r>
        <w:rPr>
          <w:rFonts w:cs="Arial"/>
          <w:rtl/>
        </w:rPr>
        <w:t>: גט מעושה</w:t>
      </w:r>
      <w:r>
        <w:rPr>
          <w:rStyle w:val="a7"/>
          <w:rFonts w:cs="Arial"/>
          <w:rtl/>
        </w:rPr>
        <w:footnoteReference w:id="1521"/>
      </w:r>
      <w:r>
        <w:rPr>
          <w:rFonts w:cs="Arial"/>
          <w:rtl/>
        </w:rPr>
        <w:t xml:space="preserve">, בישראל </w:t>
      </w:r>
      <w:r w:rsidR="00A82951">
        <w:rPr>
          <w:rFonts w:cs="Arial"/>
          <w:rtl/>
        </w:rPr>
        <w:t>-</w:t>
      </w:r>
      <w:r>
        <w:rPr>
          <w:rFonts w:cs="Arial"/>
          <w:rtl/>
        </w:rPr>
        <w:t xml:space="preserve"> כשר, ובעובדי כוכבים </w:t>
      </w:r>
      <w:r w:rsidR="00A82951">
        <w:rPr>
          <w:rFonts w:cs="Arial"/>
          <w:rtl/>
        </w:rPr>
        <w:t>-</w:t>
      </w:r>
      <w:r>
        <w:rPr>
          <w:rFonts w:cs="Arial"/>
          <w:rtl/>
        </w:rPr>
        <w:t xml:space="preserve"> פסול. ובעובדי כוכבים חובטין אותו ואומרים לו עשה מה שישראל אומרים לך</w:t>
      </w:r>
      <w:r>
        <w:rPr>
          <w:rStyle w:val="a7"/>
          <w:rFonts w:cs="Arial"/>
          <w:rtl/>
        </w:rPr>
        <w:footnoteReference w:id="1522"/>
      </w:r>
      <w:r>
        <w:rPr>
          <w:rFonts w:cs="Arial"/>
          <w:rtl/>
        </w:rPr>
        <w:t xml:space="preserve">.         </w:t>
      </w:r>
      <w:r>
        <w:rPr>
          <w:rFonts w:cs="Arial"/>
          <w:u w:val="double"/>
          <w:rtl/>
        </w:rPr>
        <w:t>גמ'</w:t>
      </w:r>
      <w:r>
        <w:rPr>
          <w:rFonts w:cs="Arial"/>
          <w:rtl/>
        </w:rPr>
        <w:t xml:space="preserve">: </w:t>
      </w:r>
      <w:r>
        <w:rPr>
          <w:rFonts w:cs="Arial"/>
          <w:u w:val="single"/>
          <w:rtl/>
        </w:rPr>
        <w:t>אמר ר"נ אמר שמואל</w:t>
      </w:r>
      <w:r>
        <w:rPr>
          <w:rFonts w:cs="Arial"/>
          <w:rtl/>
        </w:rPr>
        <w:t>: גט המעושה בישראל, כדין</w:t>
      </w:r>
      <w:r>
        <w:rPr>
          <w:rStyle w:val="a7"/>
          <w:rFonts w:cs="Arial"/>
          <w:rtl/>
        </w:rPr>
        <w:footnoteReference w:id="1523"/>
      </w:r>
      <w:r>
        <w:rPr>
          <w:rFonts w:cs="Arial"/>
          <w:rtl/>
        </w:rPr>
        <w:t xml:space="preserve"> </w:t>
      </w:r>
      <w:r w:rsidR="00A82951">
        <w:rPr>
          <w:rFonts w:cs="Arial"/>
          <w:rtl/>
        </w:rPr>
        <w:t>-</w:t>
      </w:r>
      <w:r>
        <w:rPr>
          <w:rFonts w:cs="Arial"/>
          <w:rtl/>
        </w:rPr>
        <w:t xml:space="preserve"> כשר, שלא כדין </w:t>
      </w:r>
      <w:r w:rsidR="00A82951">
        <w:rPr>
          <w:rFonts w:cs="Arial"/>
          <w:rtl/>
        </w:rPr>
        <w:t>-</w:t>
      </w:r>
      <w:r>
        <w:rPr>
          <w:rFonts w:cs="Arial"/>
          <w:rtl/>
        </w:rPr>
        <w:t xml:space="preserve"> פסול ופוסל</w:t>
      </w:r>
      <w:r>
        <w:rPr>
          <w:rStyle w:val="a7"/>
          <w:rFonts w:cs="Arial"/>
          <w:rtl/>
        </w:rPr>
        <w:footnoteReference w:id="1524"/>
      </w:r>
      <w:r>
        <w:rPr>
          <w:rFonts w:cs="Arial"/>
          <w:rtl/>
        </w:rPr>
        <w:t xml:space="preserve">. ובעובדי כוכבים, כדין </w:t>
      </w:r>
      <w:r w:rsidR="00A82951">
        <w:rPr>
          <w:rFonts w:cs="Arial"/>
          <w:rtl/>
        </w:rPr>
        <w:t>-</w:t>
      </w:r>
      <w:r>
        <w:rPr>
          <w:rFonts w:cs="Arial"/>
          <w:rtl/>
        </w:rPr>
        <w:t xml:space="preserve"> פסול ופוסל, שלא כדין </w:t>
      </w:r>
      <w:r w:rsidR="00A82951">
        <w:rPr>
          <w:rFonts w:cs="Arial"/>
          <w:rtl/>
        </w:rPr>
        <w:t>-</w:t>
      </w:r>
      <w:r>
        <w:rPr>
          <w:rFonts w:cs="Arial"/>
          <w:rtl/>
        </w:rPr>
        <w:t xml:space="preserve"> אפי' ריח הגט אין בו. מה נפשך? אי עובדי כוכבי' בני עשויי נינהו, איתכשורי נמי ליתכשר! אי לאו בני עשויי נינהו, מיפסל לא ליפסל!. </w:t>
      </w:r>
      <w:r>
        <w:rPr>
          <w:rFonts w:cs="Arial"/>
          <w:u w:val="single"/>
          <w:rtl/>
        </w:rPr>
        <w:t>אמר רב משרשיא</w:t>
      </w:r>
      <w:r>
        <w:rPr>
          <w:rFonts w:cs="Arial"/>
          <w:rtl/>
        </w:rPr>
        <w:t>: דבר תורה גט מעושה בעובדי כוכבי' כשר, ומה טעם אמרו: פסול? שלא תהא כל אחת ואחת הולכת ותולה עצמה בעובד כוכבי', ומפקעת עצמה מיד בעלה. אי הכי, שלא כדין אפי' ריח הגט אין בו, ונהוי שלא כדין כישראל, ומפסיל נמי לפסול! אלא, הא דרב משרשיא בדותא היא</w:t>
      </w:r>
      <w:r>
        <w:rPr>
          <w:rStyle w:val="a7"/>
          <w:rFonts w:cs="Arial"/>
          <w:rtl/>
        </w:rPr>
        <w:footnoteReference w:id="1525"/>
      </w:r>
      <w:r>
        <w:rPr>
          <w:rFonts w:cs="Arial"/>
          <w:rtl/>
        </w:rPr>
        <w:t>. וטעמא מאי? כָּדִין</w:t>
      </w:r>
      <w:r>
        <w:rPr>
          <w:rStyle w:val="a7"/>
          <w:rFonts w:cs="Arial"/>
          <w:rtl/>
        </w:rPr>
        <w:footnoteReference w:id="1526"/>
      </w:r>
      <w:r>
        <w:rPr>
          <w:rFonts w:cs="Arial"/>
          <w:rtl/>
        </w:rPr>
        <w:t xml:space="preserve">, בְּכָּדִין דישראל </w:t>
      </w:r>
      <w:r w:rsidR="00A82951">
        <w:rPr>
          <w:rFonts w:cs="Arial"/>
          <w:rtl/>
        </w:rPr>
        <w:t>-</w:t>
      </w:r>
      <w:r>
        <w:rPr>
          <w:rFonts w:cs="Arial"/>
          <w:rtl/>
        </w:rPr>
        <w:t xml:space="preserve"> מיחלף, שלא כדין</w:t>
      </w:r>
      <w:r>
        <w:rPr>
          <w:rStyle w:val="a7"/>
          <w:rFonts w:cs="Arial"/>
          <w:rtl/>
        </w:rPr>
        <w:footnoteReference w:id="1527"/>
      </w:r>
      <w:r>
        <w:rPr>
          <w:rFonts w:cs="Arial"/>
          <w:rtl/>
        </w:rPr>
        <w:t xml:space="preserve">, בכדין ישראל </w:t>
      </w:r>
      <w:r w:rsidR="00A82951">
        <w:rPr>
          <w:rFonts w:cs="Arial"/>
          <w:rtl/>
        </w:rPr>
        <w:t>-</w:t>
      </w:r>
      <w:r>
        <w:rPr>
          <w:rFonts w:cs="Arial"/>
          <w:rtl/>
        </w:rPr>
        <w:t xml:space="preserve"> לא מיחלף. </w:t>
      </w:r>
      <w:r>
        <w:rPr>
          <w:rFonts w:cs="Arial"/>
          <w:sz w:val="16"/>
          <w:szCs w:val="16"/>
          <w:rtl/>
        </w:rPr>
        <w:t xml:space="preserve">(משמע בהדיא דכדין דגוים מדאורייתא נמי מפסיל. ולישנא דרב נחמן נמי הכי דייק, דקאמר פסול ופוסל דמשמע דלית ביה שום צד גט אלא שפוסל בכהונה. ולפיכך יש לתמוה על הרמב"ם ז"ל שכתב בפ"ב (ה"כ) דכדין בגוים פסול הוא, ולא בטל. ואפשר דסבירא ליה דאע"ג דאמרינן הכא דהא דרב משרשיא בדותא היא כיון דחזינן דבפרק חזקת (ב"ב מח.) פריך תלמודא ממתניתין דגט המעושה ומשני הא איתמר עלה אמר רב משרשיא דבר תורה אפילו בגוים </w:t>
      </w:r>
      <w:r>
        <w:rPr>
          <w:rFonts w:cs="Arial"/>
          <w:sz w:val="16"/>
          <w:szCs w:val="16"/>
          <w:rtl/>
        </w:rPr>
        <w:lastRenderedPageBreak/>
        <w:t>כשר וכו' קיי"ל כוותיה. ומכל מקום קשה, דאמאי דאיתמר הכא בדוכתא דבדותא היא אית לן למיסמך טפי. ואפילו איבעיא למיחש לההיא דפרק חזקת, הויא לה ספק מגורשת, ולמה כתב פסול, דהיינו פסול דרבנן ואם נישאת לא תצא כדין פסול הנזכר באותן הלכות כמבואר בדבריו בפרק י' (ה"ב), ב"י)</w:t>
      </w:r>
      <w:r>
        <w:rPr>
          <w:rFonts w:cs="Arial"/>
          <w:rtl/>
        </w:rPr>
        <w:t xml:space="preserve"> </w:t>
      </w:r>
    </w:p>
    <w:p w14:paraId="10568042" w14:textId="50F31781" w:rsidR="00FA2119" w:rsidRDefault="00FA2119" w:rsidP="00FA2119">
      <w:pPr>
        <w:rPr>
          <w:rtl/>
        </w:rPr>
      </w:pPr>
      <w:r>
        <w:rPr>
          <w:rFonts w:cs="Arial"/>
          <w:b/>
          <w:bCs/>
          <w:rtl/>
        </w:rPr>
        <w:t>ירושלמי גיטין פ"ט ה"ט:</w:t>
      </w:r>
      <w:r>
        <w:rPr>
          <w:rFonts w:cs="Arial"/>
          <w:rtl/>
        </w:rPr>
        <w:t xml:space="preserve"> </w:t>
      </w:r>
      <w:r>
        <w:rPr>
          <w:rFonts w:cs="Arial"/>
          <w:u w:val="double"/>
          <w:rtl/>
        </w:rPr>
        <w:t>מתני'</w:t>
      </w:r>
      <w:r>
        <w:rPr>
          <w:rFonts w:cs="Arial"/>
          <w:rtl/>
        </w:rPr>
        <w:t xml:space="preserve">: גט מעושה בישראל </w:t>
      </w:r>
      <w:r w:rsidR="00A82951">
        <w:rPr>
          <w:rFonts w:cs="Arial"/>
          <w:rtl/>
        </w:rPr>
        <w:t>-</w:t>
      </w:r>
      <w:r>
        <w:rPr>
          <w:rFonts w:cs="Arial"/>
          <w:rtl/>
        </w:rPr>
        <w:t xml:space="preserve"> כשר. ובעכו"ם </w:t>
      </w:r>
      <w:r w:rsidR="00A82951">
        <w:rPr>
          <w:rFonts w:cs="Arial"/>
          <w:rtl/>
        </w:rPr>
        <w:t>-</w:t>
      </w:r>
      <w:r>
        <w:rPr>
          <w:rFonts w:cs="Arial"/>
          <w:rtl/>
        </w:rPr>
        <w:t xml:space="preserve"> פסול. והעכו"ם חובטין אותו ואומרים לו עשה מה שישראל אומר לך.       </w:t>
      </w:r>
      <w:r>
        <w:rPr>
          <w:rFonts w:cs="Arial"/>
          <w:u w:val="double"/>
          <w:rtl/>
        </w:rPr>
        <w:t>גמ'</w:t>
      </w:r>
      <w:r>
        <w:rPr>
          <w:rFonts w:cs="Arial"/>
          <w:rtl/>
        </w:rPr>
        <w:t xml:space="preserve">: </w:t>
      </w:r>
      <w:r>
        <w:rPr>
          <w:rFonts w:cs="Arial"/>
          <w:u w:val="single"/>
          <w:rtl/>
        </w:rPr>
        <w:t>שמואל אמר</w:t>
      </w:r>
      <w:r>
        <w:rPr>
          <w:rFonts w:cs="Arial"/>
          <w:rtl/>
        </w:rPr>
        <w:t xml:space="preserve">: פסול ופוסל בכהונה. </w:t>
      </w:r>
      <w:r>
        <w:rPr>
          <w:rFonts w:cs="Arial"/>
          <w:u w:val="single"/>
          <w:rtl/>
        </w:rPr>
        <w:t>שמואל אמר</w:t>
      </w:r>
      <w:r>
        <w:rPr>
          <w:rFonts w:cs="Arial"/>
          <w:rtl/>
        </w:rPr>
        <w:t xml:space="preserve">: אין מעשין אלא לפסולין. </w:t>
      </w:r>
      <w:r>
        <w:rPr>
          <w:rFonts w:cs="Arial"/>
          <w:u w:val="single"/>
          <w:rtl/>
        </w:rPr>
        <w:t>שמואל אמר</w:t>
      </w:r>
      <w:r>
        <w:rPr>
          <w:rFonts w:cs="Arial"/>
          <w:rtl/>
        </w:rPr>
        <w:t>: אין מעשין אלא אלמנה לכהן גדול גרושה וחלוצה לכהן הדיוט. והתנינן שניות</w:t>
      </w:r>
      <w:r w:rsidR="00671FC1">
        <w:rPr>
          <w:rFonts w:cs="Arial" w:hint="cs"/>
          <w:rtl/>
        </w:rPr>
        <w:t>.</w:t>
      </w:r>
      <w:r>
        <w:rPr>
          <w:rFonts w:cs="Arial"/>
          <w:rtl/>
        </w:rPr>
        <w:t xml:space="preserve"> לא בגין דא אמר שמואל</w:t>
      </w:r>
      <w:r w:rsidR="00671FC1">
        <w:rPr>
          <w:rFonts w:cs="Arial" w:hint="cs"/>
          <w:rtl/>
        </w:rPr>
        <w:t>?!</w:t>
      </w:r>
      <w:r>
        <w:rPr>
          <w:rFonts w:cs="Arial"/>
          <w:rtl/>
        </w:rPr>
        <w:t xml:space="preserve"> והתנינן המדיר את אשתו מליהנות לו עד שלשים יום יעמיד פרנס יותר מיכן יוציא ויתן כתובה. שמענו שהוא מוציא!. שמענו שכופין?. </w:t>
      </w:r>
      <w:r>
        <w:rPr>
          <w:rFonts w:cs="Arial"/>
          <w:u w:val="single"/>
          <w:rtl/>
        </w:rPr>
        <w:t>רב ירמיה בשם רב</w:t>
      </w:r>
      <w:r>
        <w:rPr>
          <w:rFonts w:cs="Arial"/>
          <w:rtl/>
        </w:rPr>
        <w:t xml:space="preserve">: ישראל שעיסו במעשה עכו"ם </w:t>
      </w:r>
      <w:r w:rsidR="00A82951">
        <w:rPr>
          <w:rFonts w:cs="Arial"/>
          <w:rtl/>
        </w:rPr>
        <w:t>-</w:t>
      </w:r>
      <w:r>
        <w:rPr>
          <w:rFonts w:cs="Arial"/>
          <w:rtl/>
        </w:rPr>
        <w:t xml:space="preserve"> פסול, ובאומר איני זן ומפרנס</w:t>
      </w:r>
      <w:r>
        <w:rPr>
          <w:rStyle w:val="a7"/>
          <w:rFonts w:cs="Arial"/>
          <w:rtl/>
        </w:rPr>
        <w:footnoteReference w:id="1528"/>
      </w:r>
      <w:r>
        <w:rPr>
          <w:rFonts w:cs="Arial"/>
          <w:rtl/>
        </w:rPr>
        <w:t xml:space="preserve">. </w:t>
      </w:r>
      <w:r>
        <w:rPr>
          <w:rFonts w:cs="Arial"/>
          <w:u w:val="single"/>
          <w:rtl/>
        </w:rPr>
        <w:t>תני רבי חייה</w:t>
      </w:r>
      <w:r>
        <w:rPr>
          <w:rFonts w:cs="Arial"/>
          <w:rtl/>
        </w:rPr>
        <w:t xml:space="preserve">: ועכו"ם שעיסו במעשה ישראל </w:t>
      </w:r>
      <w:r w:rsidR="00A82951">
        <w:rPr>
          <w:rFonts w:cs="Arial"/>
          <w:rtl/>
        </w:rPr>
        <w:t>-</w:t>
      </w:r>
      <w:r>
        <w:rPr>
          <w:rFonts w:cs="Arial"/>
          <w:rtl/>
        </w:rPr>
        <w:t xml:space="preserve"> כשר. אפילו אמר איני זן ומפרנס</w:t>
      </w:r>
      <w:r>
        <w:rPr>
          <w:rStyle w:val="a7"/>
          <w:rFonts w:cs="Arial"/>
          <w:rtl/>
        </w:rPr>
        <w:footnoteReference w:id="1529"/>
      </w:r>
      <w:r>
        <w:rPr>
          <w:rFonts w:cs="Arial"/>
          <w:rtl/>
        </w:rPr>
        <w:t xml:space="preserve">. </w:t>
      </w:r>
      <w:r>
        <w:rPr>
          <w:rFonts w:cs="Arial"/>
          <w:u w:val="single"/>
          <w:rtl/>
        </w:rPr>
        <w:t>אמר רבי יוסי</w:t>
      </w:r>
      <w:r>
        <w:rPr>
          <w:rFonts w:cs="Arial"/>
          <w:rtl/>
        </w:rPr>
        <w:t xml:space="preserve">: מתניתא אמרה כן, והעכו"ם אומרים לו וחובטין אותו ואומרים לו עשה מה שישראל אומר לך. </w:t>
      </w:r>
      <w:r>
        <w:rPr>
          <w:rFonts w:cs="Arial"/>
          <w:u w:val="single"/>
          <w:rtl/>
        </w:rPr>
        <w:t>רבי חייה בר אשי בשם איסי</w:t>
      </w:r>
      <w:r>
        <w:rPr>
          <w:rFonts w:cs="Arial"/>
          <w:rtl/>
        </w:rPr>
        <w:t xml:space="preserve">: האומר איני זן ומפרנס כופין אותו להוציא. </w:t>
      </w:r>
      <w:r>
        <w:rPr>
          <w:rFonts w:cs="Arial"/>
          <w:u w:val="single"/>
          <w:rtl/>
        </w:rPr>
        <w:t>רבי ירמיה בעא קומי רבי אבהו</w:t>
      </w:r>
      <w:r w:rsidR="00671FC1">
        <w:rPr>
          <w:rFonts w:cs="Arial" w:hint="cs"/>
          <w:rtl/>
        </w:rPr>
        <w:t>:</w:t>
      </w:r>
      <w:r>
        <w:rPr>
          <w:rFonts w:cs="Arial"/>
          <w:rtl/>
        </w:rPr>
        <w:t xml:space="preserve"> וכופין.</w:t>
      </w:r>
    </w:p>
    <w:p w14:paraId="61830ED5" w14:textId="77777777" w:rsidR="00FA2119" w:rsidRDefault="00FA2119" w:rsidP="00FA2119">
      <w:pPr>
        <w:rPr>
          <w:u w:val="single"/>
          <w:rtl/>
        </w:rPr>
      </w:pPr>
      <w:r>
        <w:rPr>
          <w:u w:val="single"/>
          <w:rtl/>
        </w:rPr>
        <w:t>אנסוהו ישראל לגרש, שלא כדין:</w:t>
      </w:r>
    </w:p>
    <w:p w14:paraId="7BDCFDAE" w14:textId="773CD661" w:rsidR="00FA2119" w:rsidRDefault="00FA2119" w:rsidP="006A458D">
      <w:pPr>
        <w:pStyle w:val="ab"/>
        <w:numPr>
          <w:ilvl w:val="0"/>
          <w:numId w:val="90"/>
        </w:numPr>
        <w:rPr>
          <w:rtl/>
        </w:rPr>
      </w:pPr>
      <w:r>
        <w:rPr>
          <w:rFonts w:cs="Arial"/>
          <w:rtl/>
        </w:rPr>
        <w:t>טור</w:t>
      </w:r>
      <w:r w:rsidR="00A82951">
        <w:rPr>
          <w:rFonts w:cs="Arial"/>
          <w:rtl/>
        </w:rPr>
        <w:t>-</w:t>
      </w:r>
      <w:r>
        <w:rPr>
          <w:rFonts w:cs="Arial"/>
          <w:rtl/>
        </w:rPr>
        <w:t xml:space="preserve"> ואפי' אנסוהו שלא בדין</w:t>
      </w:r>
      <w:r w:rsidR="00212309">
        <w:rPr>
          <w:rFonts w:cs="Arial" w:hint="cs"/>
          <w:rtl/>
        </w:rPr>
        <w:t>,</w:t>
      </w:r>
      <w:r>
        <w:rPr>
          <w:rFonts w:cs="Arial"/>
          <w:rtl/>
        </w:rPr>
        <w:t xml:space="preserve"> שאינו גט להתירה</w:t>
      </w:r>
      <w:r w:rsidR="00212309">
        <w:rPr>
          <w:rFonts w:cs="Arial" w:hint="cs"/>
          <w:rtl/>
        </w:rPr>
        <w:t>,</w:t>
      </w:r>
      <w:r>
        <w:rPr>
          <w:rFonts w:cs="Arial"/>
          <w:rtl/>
        </w:rPr>
        <w:t xml:space="preserve"> פוסלתה מיהא מן הכהונה</w:t>
      </w:r>
      <w:r>
        <w:rPr>
          <w:rStyle w:val="a7"/>
          <w:rFonts w:cs="Arial"/>
          <w:rtl/>
        </w:rPr>
        <w:footnoteReference w:id="1530"/>
      </w:r>
      <w:r>
        <w:rPr>
          <w:rFonts w:cs="Arial"/>
          <w:rtl/>
        </w:rPr>
        <w:t xml:space="preserve">. </w:t>
      </w:r>
      <w:r>
        <w:rPr>
          <w:color w:val="E36C0A" w:themeColor="accent6" w:themeShade="BF"/>
          <w:rtl/>
        </w:rPr>
        <w:t>(וכ"פ בשו"ע)</w:t>
      </w:r>
    </w:p>
    <w:p w14:paraId="67FD0986" w14:textId="7BFCFF4F" w:rsidR="00FA2119" w:rsidRDefault="00FA2119" w:rsidP="006A458D">
      <w:pPr>
        <w:pStyle w:val="ab"/>
        <w:numPr>
          <w:ilvl w:val="0"/>
          <w:numId w:val="90"/>
        </w:numPr>
      </w:pPr>
      <w:r>
        <w:rPr>
          <w:rFonts w:cs="Arial"/>
          <w:rtl/>
        </w:rPr>
        <w:t xml:space="preserve">רמב"ם </w:t>
      </w:r>
      <w:r>
        <w:rPr>
          <w:rFonts w:cs="Arial"/>
          <w:sz w:val="16"/>
          <w:szCs w:val="16"/>
          <w:rtl/>
        </w:rPr>
        <w:t>(פ"ב ה"כ)</w:t>
      </w:r>
      <w:r w:rsidR="00A82951">
        <w:rPr>
          <w:rFonts w:cs="Arial"/>
          <w:rtl/>
        </w:rPr>
        <w:t>-</w:t>
      </w:r>
      <w:r>
        <w:rPr>
          <w:rFonts w:cs="Arial"/>
          <w:rtl/>
        </w:rPr>
        <w:t xml:space="preserve"> לא היה הדין נותן שכופין אותו לגרש וטעו בית דין של ישראל או שהיו הדיוטות ואנסוהו עד שגירש </w:t>
      </w:r>
      <w:r w:rsidR="00A82951">
        <w:rPr>
          <w:rFonts w:cs="Arial"/>
          <w:rtl/>
        </w:rPr>
        <w:t>-</w:t>
      </w:r>
      <w:r>
        <w:rPr>
          <w:rFonts w:cs="Arial"/>
          <w:rtl/>
        </w:rPr>
        <w:t xml:space="preserve"> הרי זה גט פסול, הואיל וישראל אנסוהו יגמור ויגרש. </w:t>
      </w:r>
      <w:r w:rsidR="007E7421">
        <w:rPr>
          <w:color w:val="E36C0A" w:themeColor="accent6" w:themeShade="BF"/>
          <w:rtl/>
        </w:rPr>
        <w:t>(וכ"פ בשו"ע)</w:t>
      </w:r>
    </w:p>
    <w:p w14:paraId="716349B2" w14:textId="77777777" w:rsidR="00FA2119" w:rsidRDefault="00FA2119" w:rsidP="00FA2119">
      <w:r>
        <w:rPr>
          <w:u w:val="single"/>
          <w:rtl/>
        </w:rPr>
        <w:t>אנסוהו גוים לגרש:</w:t>
      </w:r>
    </w:p>
    <w:p w14:paraId="090F20B6" w14:textId="0A7C8E36" w:rsidR="00FA2119" w:rsidRDefault="00FA2119" w:rsidP="006A458D">
      <w:pPr>
        <w:pStyle w:val="ab"/>
        <w:numPr>
          <w:ilvl w:val="0"/>
          <w:numId w:val="90"/>
        </w:numPr>
      </w:pPr>
      <w:r>
        <w:rPr>
          <w:rFonts w:cs="Arial"/>
          <w:rtl/>
        </w:rPr>
        <w:t>רמב"ם</w:t>
      </w:r>
      <w:r>
        <w:rPr>
          <w:rStyle w:val="a7"/>
          <w:rFonts w:cs="Arial"/>
          <w:rtl/>
        </w:rPr>
        <w:footnoteReference w:id="1531"/>
      </w:r>
      <w:r>
        <w:rPr>
          <w:rFonts w:cs="Arial"/>
          <w:rtl/>
        </w:rPr>
        <w:t xml:space="preserve"> </w:t>
      </w:r>
      <w:r>
        <w:rPr>
          <w:rFonts w:cs="Arial"/>
          <w:sz w:val="16"/>
          <w:szCs w:val="16"/>
          <w:rtl/>
        </w:rPr>
        <w:t>(פ"ב ה"כ)</w:t>
      </w:r>
      <w:r>
        <w:rPr>
          <w:rFonts w:cs="Arial"/>
          <w:rtl/>
        </w:rPr>
        <w:t xml:space="preserve"> וטור</w:t>
      </w:r>
      <w:r w:rsidR="00A82951">
        <w:rPr>
          <w:rFonts w:cs="Arial"/>
          <w:rtl/>
        </w:rPr>
        <w:t>-</w:t>
      </w:r>
      <w:r>
        <w:rPr>
          <w:rFonts w:cs="Arial"/>
          <w:rtl/>
        </w:rPr>
        <w:t xml:space="preserve"> אם אנסוהו עכו"ם לגרש, אפילו אנסוהו כדין שחייב להוציא </w:t>
      </w:r>
      <w:r w:rsidR="00A82951">
        <w:rPr>
          <w:rFonts w:cs="Arial"/>
          <w:rtl/>
        </w:rPr>
        <w:t>-</w:t>
      </w:r>
      <w:r>
        <w:rPr>
          <w:rFonts w:cs="Arial"/>
          <w:rtl/>
        </w:rPr>
        <w:t xml:space="preserve"> אינו גט להתירה אלא לפוסלה לכהונה.</w:t>
      </w:r>
      <w:r>
        <w:rPr>
          <w:rtl/>
        </w:rPr>
        <w:t xml:space="preserve"> </w:t>
      </w:r>
      <w:r>
        <w:rPr>
          <w:rFonts w:cs="Arial"/>
          <w:rtl/>
        </w:rPr>
        <w:t xml:space="preserve">ואם אנסוהו שלא כדין </w:t>
      </w:r>
      <w:r w:rsidR="00A82951">
        <w:rPr>
          <w:rFonts w:cs="Arial"/>
          <w:rtl/>
        </w:rPr>
        <w:t>-</w:t>
      </w:r>
      <w:r>
        <w:rPr>
          <w:rFonts w:cs="Arial"/>
          <w:rtl/>
        </w:rPr>
        <w:t xml:space="preserve"> אפילו ריח הגט אין בו לפוסלה לכהונה</w:t>
      </w:r>
      <w:r>
        <w:rPr>
          <w:rFonts w:cs="Arial"/>
          <w:sz w:val="16"/>
          <w:szCs w:val="16"/>
          <w:rtl/>
        </w:rPr>
        <w:t xml:space="preserve"> (ל' הטור)</w:t>
      </w:r>
      <w:r>
        <w:rPr>
          <w:rFonts w:cs="Arial"/>
          <w:rtl/>
        </w:rPr>
        <w:t xml:space="preserve">. </w:t>
      </w:r>
      <w:r>
        <w:rPr>
          <w:color w:val="E36C0A" w:themeColor="accent6" w:themeShade="BF"/>
          <w:rtl/>
        </w:rPr>
        <w:t>(וכ"פ בשו"ע</w:t>
      </w:r>
      <w:r>
        <w:rPr>
          <w:color w:val="E36C0A" w:themeColor="accent6" w:themeShade="BF"/>
          <w:sz w:val="16"/>
          <w:szCs w:val="16"/>
          <w:rtl/>
        </w:rPr>
        <w:t xml:space="preserve"> </w:t>
      </w:r>
      <w:r>
        <w:rPr>
          <w:color w:val="000000" w:themeColor="text1"/>
          <w:sz w:val="16"/>
          <w:szCs w:val="16"/>
          <w:rtl/>
        </w:rPr>
        <w:t>[בסע' ח]</w:t>
      </w:r>
      <w:r>
        <w:rPr>
          <w:color w:val="E36C0A" w:themeColor="accent6" w:themeShade="BF"/>
          <w:rtl/>
        </w:rPr>
        <w:t>)</w:t>
      </w:r>
    </w:p>
    <w:p w14:paraId="2466A116" w14:textId="77777777" w:rsidR="00FA2119" w:rsidRDefault="00FA2119" w:rsidP="00FA2119">
      <w:pPr>
        <w:rPr>
          <w:u w:val="single"/>
        </w:rPr>
      </w:pPr>
      <w:r>
        <w:rPr>
          <w:u w:val="single"/>
          <w:rtl/>
        </w:rPr>
        <w:t>אנסוהו בית דין לגרש, כדין, ע"י גוים:</w:t>
      </w:r>
    </w:p>
    <w:p w14:paraId="103EA0F6" w14:textId="55C88D9F" w:rsidR="00FA2119" w:rsidRDefault="00FA2119" w:rsidP="006A458D">
      <w:pPr>
        <w:pStyle w:val="ab"/>
        <w:numPr>
          <w:ilvl w:val="0"/>
          <w:numId w:val="90"/>
        </w:numPr>
      </w:pPr>
      <w:r>
        <w:rPr>
          <w:rFonts w:cs="Arial"/>
          <w:rtl/>
        </w:rPr>
        <w:t>רמב"ם</w:t>
      </w:r>
      <w:r>
        <w:rPr>
          <w:rStyle w:val="a7"/>
          <w:rFonts w:cs="Arial"/>
          <w:rtl/>
        </w:rPr>
        <w:footnoteReference w:id="1532"/>
      </w:r>
      <w:r>
        <w:rPr>
          <w:rFonts w:cs="Arial"/>
          <w:rtl/>
        </w:rPr>
        <w:t xml:space="preserve"> </w:t>
      </w:r>
      <w:r>
        <w:rPr>
          <w:rFonts w:cs="Arial"/>
          <w:sz w:val="16"/>
          <w:szCs w:val="16"/>
          <w:rtl/>
        </w:rPr>
        <w:t>(פ"ב ה"כ)</w:t>
      </w:r>
      <w:r>
        <w:rPr>
          <w:rFonts w:cs="Arial"/>
          <w:rtl/>
        </w:rPr>
        <w:t xml:space="preserve"> וטור</w:t>
      </w:r>
      <w:r w:rsidR="00A82951">
        <w:rPr>
          <w:rFonts w:cs="Arial"/>
          <w:rtl/>
        </w:rPr>
        <w:t>-</w:t>
      </w:r>
      <w:r>
        <w:rPr>
          <w:rFonts w:cs="Arial"/>
          <w:rtl/>
        </w:rPr>
        <w:t xml:space="preserve"> אבל אם ב"ד של ישראל כופין אותו ע"י עכו"ם ואומרים לו 'עשה מה שב"ד ישראל אומרים לך', וכופין אותו על כך </w:t>
      </w:r>
      <w:r w:rsidR="00A82951">
        <w:rPr>
          <w:rFonts w:cs="Arial"/>
          <w:rtl/>
        </w:rPr>
        <w:t>-</w:t>
      </w:r>
      <w:r>
        <w:rPr>
          <w:rFonts w:cs="Arial"/>
          <w:rtl/>
        </w:rPr>
        <w:t xml:space="preserve"> הוי גט</w:t>
      </w:r>
      <w:r>
        <w:rPr>
          <w:rFonts w:cs="Arial"/>
          <w:sz w:val="16"/>
          <w:szCs w:val="16"/>
          <w:rtl/>
        </w:rPr>
        <w:t xml:space="preserve"> (ל' הטור)</w:t>
      </w:r>
      <w:r>
        <w:rPr>
          <w:rFonts w:cs="Arial"/>
          <w:rtl/>
        </w:rPr>
        <w:t xml:space="preserve">. </w:t>
      </w:r>
      <w:r>
        <w:rPr>
          <w:color w:val="E36C0A" w:themeColor="accent6" w:themeShade="BF"/>
          <w:rtl/>
        </w:rPr>
        <w:t>(וכ"פ בשו"ע</w:t>
      </w:r>
      <w:r>
        <w:rPr>
          <w:color w:val="E36C0A" w:themeColor="accent6" w:themeShade="BF"/>
          <w:sz w:val="16"/>
          <w:szCs w:val="16"/>
          <w:rtl/>
        </w:rPr>
        <w:t xml:space="preserve"> </w:t>
      </w:r>
      <w:r>
        <w:rPr>
          <w:color w:val="000000" w:themeColor="text1"/>
          <w:sz w:val="16"/>
          <w:szCs w:val="16"/>
          <w:rtl/>
        </w:rPr>
        <w:t>[בסע' ח]</w:t>
      </w:r>
      <w:r>
        <w:rPr>
          <w:color w:val="E36C0A" w:themeColor="accent6" w:themeShade="BF"/>
          <w:rtl/>
        </w:rPr>
        <w:t>)</w:t>
      </w:r>
    </w:p>
    <w:p w14:paraId="4DB1BA49" w14:textId="77777777" w:rsidR="00FA2119" w:rsidRDefault="00FA2119" w:rsidP="00FA2119">
      <w:pPr>
        <w:ind w:left="360"/>
        <w:rPr>
          <w:u w:val="dotted"/>
        </w:rPr>
      </w:pPr>
      <w:r>
        <w:rPr>
          <w:u w:val="dotted"/>
          <w:rtl/>
        </w:rPr>
        <w:t>ומה הדין אם הגוים לא אמרו בדיוק כנ"ל אלא אמרו לו 'תן גט':</w:t>
      </w:r>
    </w:p>
    <w:p w14:paraId="36444FD9" w14:textId="7291BDD7" w:rsidR="00FA2119" w:rsidRDefault="00FA2119" w:rsidP="006A458D">
      <w:pPr>
        <w:pStyle w:val="ab"/>
        <w:numPr>
          <w:ilvl w:val="0"/>
          <w:numId w:val="90"/>
        </w:numPr>
      </w:pPr>
      <w:r>
        <w:rPr>
          <w:rFonts w:cs="Arial"/>
          <w:rtl/>
        </w:rPr>
        <w:t>רמ"ה</w:t>
      </w:r>
      <w:r w:rsidR="00A72729">
        <w:rPr>
          <w:rFonts w:cs="Arial" w:hint="cs"/>
          <w:rtl/>
        </w:rPr>
        <w:t xml:space="preserve"> </w:t>
      </w:r>
      <w:r w:rsidR="00A72729">
        <w:rPr>
          <w:rFonts w:cs="Arial"/>
          <w:sz w:val="16"/>
          <w:szCs w:val="16"/>
          <w:rtl/>
        </w:rPr>
        <w:t>(כ"כ הטור בשמו)</w:t>
      </w:r>
      <w:r w:rsidR="00A82951">
        <w:rPr>
          <w:rFonts w:cs="Arial"/>
          <w:rtl/>
        </w:rPr>
        <w:t>-</w:t>
      </w:r>
      <w:r>
        <w:rPr>
          <w:rFonts w:cs="Arial"/>
          <w:rtl/>
        </w:rPr>
        <w:t xml:space="preserve"> דוקא בזה הלשון, אבל אם עכו"ם כופין אותו ואומרים לו 'תן גט' </w:t>
      </w:r>
      <w:r w:rsidR="00A82951">
        <w:rPr>
          <w:rFonts w:cs="Arial"/>
          <w:rtl/>
        </w:rPr>
        <w:t>-</w:t>
      </w:r>
      <w:r>
        <w:rPr>
          <w:rFonts w:cs="Arial"/>
          <w:rtl/>
        </w:rPr>
        <w:t xml:space="preserve"> אע"פ שישראל אומר להם לכופו פסול</w:t>
      </w:r>
      <w:r w:rsidR="00A72729">
        <w:rPr>
          <w:rFonts w:cs="Arial" w:hint="cs"/>
          <w:rtl/>
        </w:rPr>
        <w:t xml:space="preserve"> </w:t>
      </w:r>
      <w:r w:rsidR="00A72729">
        <w:rPr>
          <w:rFonts w:cs="Arial"/>
          <w:sz w:val="16"/>
          <w:szCs w:val="16"/>
          <w:rtl/>
        </w:rPr>
        <w:t>(</w:t>
      </w:r>
      <w:r w:rsidR="00A72729">
        <w:rPr>
          <w:rFonts w:cs="Arial" w:hint="cs"/>
          <w:sz w:val="16"/>
          <w:szCs w:val="16"/>
          <w:rtl/>
        </w:rPr>
        <w:t>ל'</w:t>
      </w:r>
      <w:r w:rsidR="00A72729">
        <w:rPr>
          <w:rFonts w:cs="Arial"/>
          <w:sz w:val="16"/>
          <w:szCs w:val="16"/>
          <w:rtl/>
        </w:rPr>
        <w:t xml:space="preserve"> הטור בשמו)</w:t>
      </w:r>
      <w:r>
        <w:rPr>
          <w:rFonts w:cs="Arial"/>
          <w:rtl/>
        </w:rPr>
        <w:t xml:space="preserve">. </w:t>
      </w:r>
    </w:p>
    <w:p w14:paraId="75B7FCB0" w14:textId="04403786" w:rsidR="00FA2119" w:rsidRDefault="00FA2119" w:rsidP="006A458D">
      <w:pPr>
        <w:pStyle w:val="ab"/>
        <w:numPr>
          <w:ilvl w:val="0"/>
          <w:numId w:val="90"/>
        </w:numPr>
      </w:pPr>
      <w:r>
        <w:rPr>
          <w:rFonts w:cs="Arial"/>
          <w:rtl/>
        </w:rPr>
        <w:t>רא"ש</w:t>
      </w:r>
      <w:r>
        <w:rPr>
          <w:rFonts w:cs="Arial"/>
          <w:sz w:val="16"/>
          <w:szCs w:val="16"/>
          <w:rtl/>
        </w:rPr>
        <w:t xml:space="preserve"> (כ"כ הטור בשמו)</w:t>
      </w:r>
      <w:r w:rsidR="00A82951">
        <w:rPr>
          <w:rFonts w:cs="Arial"/>
          <w:rtl/>
        </w:rPr>
        <w:t>-</w:t>
      </w:r>
      <w:r>
        <w:rPr>
          <w:rFonts w:cs="Arial"/>
          <w:rtl/>
        </w:rPr>
        <w:t xml:space="preserve"> כיון שישראל אומר להם לכופו אפי' אם העכו"ם אומרין ליתן גט </w:t>
      </w:r>
      <w:r w:rsidR="00A82951">
        <w:rPr>
          <w:rFonts w:cs="Arial"/>
          <w:rtl/>
        </w:rPr>
        <w:t>-</w:t>
      </w:r>
      <w:r>
        <w:rPr>
          <w:rFonts w:cs="Arial"/>
          <w:rtl/>
        </w:rPr>
        <w:t xml:space="preserve"> כשר.</w:t>
      </w:r>
    </w:p>
    <w:p w14:paraId="2E65E95E" w14:textId="77777777" w:rsidR="00FA2119" w:rsidRDefault="00FA2119" w:rsidP="00FA2119">
      <w:pPr>
        <w:rPr>
          <w:rFonts w:cs="Arial"/>
        </w:rPr>
      </w:pPr>
      <w:r>
        <w:rPr>
          <w:rFonts w:cs="Arial"/>
          <w:u w:val="single"/>
          <w:rtl/>
        </w:rPr>
        <w:t>בעל שגרש בגלל שהביאו לו כסף:</w:t>
      </w:r>
      <w:r>
        <w:rPr>
          <w:rFonts w:cs="Arial"/>
          <w:rtl/>
        </w:rPr>
        <w:t xml:space="preserve"> </w:t>
      </w:r>
      <w:r>
        <w:rPr>
          <w:rFonts w:cs="Arial"/>
          <w:sz w:val="16"/>
          <w:szCs w:val="16"/>
          <w:rtl/>
        </w:rPr>
        <w:t>(דרכ"מ אות ג**)</w:t>
      </w:r>
      <w:r>
        <w:rPr>
          <w:rFonts w:cs="Arial"/>
          <w:rtl/>
        </w:rPr>
        <w:t xml:space="preserve"> </w:t>
      </w:r>
    </w:p>
    <w:p w14:paraId="16B697B0" w14:textId="1B5B6B16" w:rsidR="00FA2119" w:rsidRDefault="00FA2119" w:rsidP="006A458D">
      <w:pPr>
        <w:pStyle w:val="ab"/>
        <w:numPr>
          <w:ilvl w:val="0"/>
          <w:numId w:val="92"/>
        </w:numPr>
        <w:rPr>
          <w:rtl/>
        </w:rPr>
      </w:pPr>
      <w:r>
        <w:rPr>
          <w:rFonts w:cs="Arial"/>
          <w:rtl/>
        </w:rPr>
        <w:t xml:space="preserve">שלט"ג </w:t>
      </w:r>
      <w:r>
        <w:rPr>
          <w:rFonts w:cs="Arial"/>
          <w:sz w:val="16"/>
          <w:szCs w:val="16"/>
          <w:rtl/>
        </w:rPr>
        <w:t>(מט. אות ה)</w:t>
      </w:r>
      <w:r w:rsidR="00A82951">
        <w:rPr>
          <w:rFonts w:cs="Arial"/>
          <w:rtl/>
        </w:rPr>
        <w:t>-</w:t>
      </w:r>
      <w:r>
        <w:rPr>
          <w:rFonts w:cs="Arial"/>
          <w:rtl/>
        </w:rPr>
        <w:t xml:space="preserve"> אפילו נתנו לו מעות לא אמרינן משום זה נתרצה כו'.</w:t>
      </w:r>
      <w:r>
        <w:rPr>
          <w:color w:val="00B0F0"/>
          <w:rtl/>
        </w:rPr>
        <w:t xml:space="preserve"> (וכ"פ הרמ"א</w:t>
      </w:r>
      <w:r>
        <w:rPr>
          <w:color w:val="000000" w:themeColor="text1"/>
          <w:sz w:val="16"/>
          <w:szCs w:val="16"/>
          <w:rtl/>
        </w:rPr>
        <w:t xml:space="preserve"> [בסע' ח]</w:t>
      </w:r>
      <w:r>
        <w:rPr>
          <w:color w:val="00B0F0"/>
          <w:rtl/>
        </w:rPr>
        <w:t>)</w:t>
      </w:r>
    </w:p>
    <w:p w14:paraId="75E5FAEC"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2D83496" w14:textId="1EAC4DBB" w:rsidR="00FA2119" w:rsidRDefault="00FA2119" w:rsidP="00FA2119">
      <w:pPr>
        <w:rPr>
          <w:rtl/>
        </w:rPr>
      </w:pPr>
      <w:r>
        <w:rPr>
          <w:rFonts w:cs="Arial"/>
          <w:rtl/>
        </w:rPr>
        <w:lastRenderedPageBreak/>
        <w:t>אנסוהו ישראל לגרש שלא כדין, ואמר: רוצה אני, וגם ביטל המודעא או לא מסרה, פסול</w:t>
      </w:r>
      <w:r w:rsidR="00A72729">
        <w:rPr>
          <w:rFonts w:cs="Arial" w:hint="cs"/>
          <w:rtl/>
        </w:rPr>
        <w:t>.</w:t>
      </w:r>
      <w:r>
        <w:rPr>
          <w:rFonts w:cs="Arial"/>
          <w:rtl/>
        </w:rPr>
        <w:t xml:space="preserve"> ואף על פי כן פסלה מן הכהונה</w:t>
      </w:r>
      <w:r>
        <w:rPr>
          <w:rStyle w:val="a7"/>
          <w:rFonts w:cs="Arial"/>
          <w:rtl/>
        </w:rPr>
        <w:footnoteReference w:id="1533"/>
      </w:r>
      <w:r>
        <w:rPr>
          <w:rFonts w:cs="Arial"/>
          <w:rtl/>
        </w:rPr>
        <w:t xml:space="preserve">. </w:t>
      </w:r>
    </w:p>
    <w:p w14:paraId="0B6613EB" w14:textId="77777777" w:rsidR="00FA2119" w:rsidRDefault="00FA2119" w:rsidP="00FA2119">
      <w:pPr>
        <w:rPr>
          <w:rtl/>
        </w:rPr>
      </w:pPr>
    </w:p>
    <w:p w14:paraId="6616E567" w14:textId="77777777" w:rsidR="00FA2119" w:rsidRDefault="00FA2119" w:rsidP="00FA2119">
      <w:pPr>
        <w:pStyle w:val="2"/>
        <w:rPr>
          <w:rtl/>
        </w:rPr>
      </w:pPr>
      <w:r>
        <w:rPr>
          <w:rtl/>
        </w:rPr>
        <w:t>סעיף ח: אנסוהו גוים לגרש.</w:t>
      </w:r>
    </w:p>
    <w:p w14:paraId="176B81C1" w14:textId="77777777" w:rsidR="00FA2119" w:rsidRDefault="00FA2119" w:rsidP="00FA2119">
      <w:pPr>
        <w:rPr>
          <w:rtl/>
        </w:rPr>
      </w:pPr>
      <w:r>
        <w:rPr>
          <w:rtl/>
        </w:rPr>
        <w:t>עיין במקורות בסעיף ז.</w:t>
      </w:r>
    </w:p>
    <w:p w14:paraId="125D7AB8"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739A1C3" w14:textId="5ACBB5F5" w:rsidR="00FA2119" w:rsidRDefault="00FA2119" w:rsidP="00FA2119">
      <w:pPr>
        <w:rPr>
          <w:rFonts w:cs="Arial"/>
          <w:rtl/>
        </w:rPr>
      </w:pPr>
      <w:r>
        <w:rPr>
          <w:rFonts w:cs="Arial"/>
          <w:rtl/>
        </w:rPr>
        <w:t>אנסוהו</w:t>
      </w:r>
      <w:r>
        <w:rPr>
          <w:rStyle w:val="a7"/>
          <w:rFonts w:cs="Arial"/>
          <w:rtl/>
        </w:rPr>
        <w:footnoteReference w:id="1534"/>
      </w:r>
      <w:r>
        <w:rPr>
          <w:rFonts w:cs="Arial"/>
          <w:rtl/>
        </w:rPr>
        <w:t xml:space="preserve"> גוים לגרש, אם הוא חייב לגרשה מן הדין, פסול, ואף על פי כן פסלה מהכהונה. ואם לא היה חייב לגרשה מן הדין, אפילו ריח גט אין בו ולא נפסלה מהכהונה. </w:t>
      </w:r>
      <w:r>
        <w:rPr>
          <w:rFonts w:cs="Arial"/>
          <w:sz w:val="18"/>
          <w:szCs w:val="18"/>
          <w:rtl/>
        </w:rPr>
        <w:t>[הגה] ואפילו אם קבל מעות על נתינת הגט, לא אמרינן משום זה נתרצה</w:t>
      </w:r>
      <w:r>
        <w:rPr>
          <w:rStyle w:val="a7"/>
          <w:rFonts w:cs="Arial"/>
          <w:sz w:val="18"/>
          <w:szCs w:val="18"/>
          <w:rtl/>
        </w:rPr>
        <w:footnoteReference w:id="1535"/>
      </w:r>
      <w:r>
        <w:rPr>
          <w:rFonts w:cs="Arial"/>
          <w:sz w:val="18"/>
          <w:szCs w:val="18"/>
          <w:rtl/>
        </w:rPr>
        <w:t xml:space="preserve"> (</w:t>
      </w:r>
      <w:r w:rsidR="00C0077B">
        <w:rPr>
          <w:rFonts w:cs="Arial" w:hint="cs"/>
          <w:sz w:val="18"/>
          <w:szCs w:val="18"/>
          <w:rtl/>
        </w:rPr>
        <w:t>שלט"ג</w:t>
      </w:r>
      <w:r>
        <w:rPr>
          <w:rFonts w:cs="Arial"/>
          <w:sz w:val="18"/>
          <w:szCs w:val="18"/>
          <w:rtl/>
        </w:rPr>
        <w:t>).</w:t>
      </w:r>
    </w:p>
    <w:p w14:paraId="68FF832A" w14:textId="77777777" w:rsidR="00FA2119" w:rsidRDefault="00FA2119" w:rsidP="00FA2119">
      <w:pPr>
        <w:rPr>
          <w:rFonts w:cs="Arial"/>
          <w:rtl/>
        </w:rPr>
      </w:pPr>
    </w:p>
    <w:p w14:paraId="2D57CD7B" w14:textId="77777777" w:rsidR="00FA2119" w:rsidRDefault="00FA2119" w:rsidP="00FA2119">
      <w:pPr>
        <w:pStyle w:val="2"/>
        <w:rPr>
          <w:rtl/>
        </w:rPr>
      </w:pPr>
      <w:r>
        <w:rPr>
          <w:rtl/>
        </w:rPr>
        <w:t>סעיף ט: אנסוהו בית דין לגרש ע"י גוים.</w:t>
      </w:r>
    </w:p>
    <w:p w14:paraId="1C72BEC1" w14:textId="77777777" w:rsidR="00FA2119" w:rsidRDefault="00FA2119" w:rsidP="00FA2119">
      <w:pPr>
        <w:rPr>
          <w:rtl/>
        </w:rPr>
      </w:pPr>
      <w:r>
        <w:rPr>
          <w:rtl/>
        </w:rPr>
        <w:t>עיין במקורות בסעיף ז.</w:t>
      </w:r>
    </w:p>
    <w:p w14:paraId="790CA822"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59B1F21" w14:textId="77777777" w:rsidR="00FA2119" w:rsidRDefault="00FA2119" w:rsidP="00FA2119">
      <w:pPr>
        <w:rPr>
          <w:rtl/>
        </w:rPr>
      </w:pPr>
      <w:r>
        <w:rPr>
          <w:rFonts w:cs="Arial"/>
          <w:rtl/>
        </w:rPr>
        <w:t xml:space="preserve">אם דחקו אותו בית דין של ישראל על ידי גוים, והיו גוים מכין אותו ואומרים: עשה מה שישראל אומרים לך, דינו כאנסוהו ישראל. </w:t>
      </w:r>
    </w:p>
    <w:p w14:paraId="5B061BB7" w14:textId="77777777" w:rsidR="00FA2119" w:rsidRDefault="00FA2119" w:rsidP="00FA2119">
      <w:pPr>
        <w:rPr>
          <w:rtl/>
        </w:rPr>
      </w:pPr>
    </w:p>
    <w:p w14:paraId="14621685" w14:textId="77777777" w:rsidR="00FA2119" w:rsidRDefault="00FA2119" w:rsidP="00FA2119">
      <w:pPr>
        <w:pStyle w:val="2"/>
        <w:rPr>
          <w:rtl/>
        </w:rPr>
      </w:pPr>
      <w:r>
        <w:rPr>
          <w:rtl/>
        </w:rPr>
        <w:t xml:space="preserve">סעיף י: מסר מודעה ונתן את הגט, ואז ביטל המודעה. </w:t>
      </w:r>
    </w:p>
    <w:p w14:paraId="70EF5C5D" w14:textId="143EFC0D" w:rsidR="00DA2ACC" w:rsidRDefault="00DA2ACC" w:rsidP="00DA2ACC">
      <w:pPr>
        <w:rPr>
          <w:rFonts w:cs="Arial"/>
          <w:rtl/>
        </w:rPr>
      </w:pPr>
      <w:r>
        <w:rPr>
          <w:rFonts w:cs="Arial"/>
          <w:b/>
          <w:bCs/>
          <w:rtl/>
        </w:rPr>
        <w:t xml:space="preserve">גיטין </w:t>
      </w:r>
      <w:r>
        <w:rPr>
          <w:rFonts w:cs="Arial"/>
          <w:b/>
          <w:bCs/>
          <w:sz w:val="16"/>
          <w:szCs w:val="16"/>
          <w:rtl/>
        </w:rPr>
        <w:t>(פ' הזורק)</w:t>
      </w:r>
      <w:r>
        <w:rPr>
          <w:rFonts w:cs="Arial"/>
          <w:b/>
          <w:bCs/>
          <w:rtl/>
        </w:rPr>
        <w:t xml:space="preserve"> עח ע"א:</w:t>
      </w:r>
      <w:r>
        <w:rPr>
          <w:rFonts w:cs="Arial"/>
          <w:rtl/>
        </w:rPr>
        <w:t xml:space="preserve"> </w:t>
      </w:r>
      <w:r>
        <w:rPr>
          <w:rFonts w:cs="Arial"/>
          <w:u w:val="double"/>
          <w:rtl/>
        </w:rPr>
        <w:t>מתני'</w:t>
      </w:r>
      <w:r>
        <w:rPr>
          <w:rFonts w:cs="Arial"/>
          <w:rtl/>
        </w:rPr>
        <w:t>:... נתן בידה והיא ישנה, ניעורה קוראה והרי הוא גיטה - אינו גט</w:t>
      </w:r>
      <w:r>
        <w:rPr>
          <w:rStyle w:val="a7"/>
          <w:rFonts w:cs="Arial"/>
          <w:rtl/>
        </w:rPr>
        <w:footnoteReference w:id="1536"/>
      </w:r>
      <w:r>
        <w:rPr>
          <w:rFonts w:cs="Arial"/>
          <w:rtl/>
        </w:rPr>
        <w:t>, עד שיאמר לה הא גיטיך.</w:t>
      </w:r>
      <w:r>
        <w:rPr>
          <w:rtl/>
        </w:rPr>
        <w:t xml:space="preserve"> </w:t>
      </w:r>
      <w:r>
        <w:rPr>
          <w:rFonts w:cs="Arial"/>
          <w:rtl/>
        </w:rPr>
        <w:t xml:space="preserve">      </w:t>
      </w:r>
      <w:r>
        <w:rPr>
          <w:rFonts w:cs="Arial"/>
          <w:u w:val="double"/>
          <w:rtl/>
        </w:rPr>
        <w:t>גמ'</w:t>
      </w:r>
      <w:r>
        <w:rPr>
          <w:rFonts w:cs="Arial"/>
          <w:rtl/>
        </w:rPr>
        <w:t xml:space="preserve">: תניא:... נתנו בידה והיא ישנה, ניעורה וקוראה והרי הוא גיטה - אינו גט, עד שיאמר לה הא גיטיך, </w:t>
      </w:r>
      <w:r>
        <w:rPr>
          <w:rFonts w:cs="Arial"/>
          <w:u w:val="single"/>
          <w:rtl/>
        </w:rPr>
        <w:t>דברי רבי</w:t>
      </w:r>
      <w:r>
        <w:rPr>
          <w:rFonts w:cs="Arial"/>
          <w:rtl/>
        </w:rPr>
        <w:t xml:space="preserve">. </w:t>
      </w:r>
      <w:r>
        <w:rPr>
          <w:rFonts w:cs="Arial"/>
          <w:u w:val="single"/>
          <w:rtl/>
        </w:rPr>
        <w:t>רבי שמעון בן אלעזר אומר</w:t>
      </w:r>
      <w:r>
        <w:rPr>
          <w:rFonts w:cs="Arial"/>
          <w:rtl/>
        </w:rPr>
        <w:t xml:space="preserve">: עד שיטלנו הימנה ויחזור ויתננו לה ויאמר לה הא גיטיך. </w:t>
      </w:r>
      <w:r>
        <w:rPr>
          <w:rFonts w:cs="Arial"/>
          <w:sz w:val="16"/>
          <w:szCs w:val="16"/>
          <w:rtl/>
        </w:rPr>
        <w:t>(וכבר כתבתי בתחלת סימן קל"ז דהלכה כרבי שאינו צריך ליטלו ממנה אלא בעודו בידה כשתקיץ משנתה אומר לה הא גיטך</w:t>
      </w:r>
      <w:r w:rsidR="003F6B22">
        <w:rPr>
          <w:rFonts w:cs="Arial"/>
          <w:sz w:val="16"/>
          <w:szCs w:val="16"/>
          <w:rtl/>
        </w:rPr>
        <w:t xml:space="preserve"> </w:t>
      </w:r>
      <w:r>
        <w:rPr>
          <w:rFonts w:cs="Arial"/>
          <w:sz w:val="16"/>
          <w:szCs w:val="16"/>
          <w:rtl/>
        </w:rPr>
        <w:t>, ב"י)</w:t>
      </w:r>
    </w:p>
    <w:p w14:paraId="29B753D2" w14:textId="0A43597E" w:rsidR="00DA2ACC" w:rsidRPr="00195D4C" w:rsidRDefault="00DA2ACC" w:rsidP="00DA2ACC">
      <w:pPr>
        <w:rPr>
          <w:u w:val="single"/>
          <w:rtl/>
        </w:rPr>
      </w:pPr>
      <w:r w:rsidRPr="00195D4C">
        <w:rPr>
          <w:u w:val="single"/>
          <w:rtl/>
        </w:rPr>
        <w:t>נתן את הגט כשהיא ישנה</w:t>
      </w:r>
      <w:r w:rsidR="00195D4C">
        <w:rPr>
          <w:rFonts w:hint="cs"/>
          <w:u w:val="single"/>
          <w:rtl/>
        </w:rPr>
        <w:t>, ואח"כ אמר ה"ז גיטך.</w:t>
      </w:r>
      <w:r w:rsidR="00195D4C" w:rsidRPr="00195D4C">
        <w:rPr>
          <w:rFonts w:hint="cs"/>
          <w:u w:val="single"/>
          <w:rtl/>
        </w:rPr>
        <w:t xml:space="preserve"> </w:t>
      </w:r>
      <w:r w:rsidR="00195D4C">
        <w:rPr>
          <w:rFonts w:hint="cs"/>
          <w:u w:val="single"/>
          <w:rtl/>
        </w:rPr>
        <w:t>או</w:t>
      </w:r>
      <w:r w:rsidR="00195D4C" w:rsidRPr="00195D4C">
        <w:rPr>
          <w:rFonts w:hint="cs"/>
          <w:u w:val="single"/>
          <w:rtl/>
        </w:rPr>
        <w:t xml:space="preserve"> </w:t>
      </w:r>
      <w:r w:rsidR="00195D4C">
        <w:rPr>
          <w:rFonts w:hint="cs"/>
          <w:u w:val="single"/>
          <w:rtl/>
        </w:rPr>
        <w:t>ש</w:t>
      </w:r>
      <w:r w:rsidR="00195D4C" w:rsidRPr="00195D4C">
        <w:rPr>
          <w:u w:val="single"/>
          <w:rtl/>
        </w:rPr>
        <w:t>מסר מודעה ונתן את הגט, ואז ביטל המודעה</w:t>
      </w:r>
      <w:r w:rsidRPr="00195D4C">
        <w:rPr>
          <w:u w:val="single"/>
          <w:rtl/>
        </w:rPr>
        <w:t>:</w:t>
      </w:r>
    </w:p>
    <w:p w14:paraId="791778D3" w14:textId="6830BFC3" w:rsidR="00DA2ACC" w:rsidRDefault="00DA2ACC" w:rsidP="00DA2ACC">
      <w:pPr>
        <w:pStyle w:val="ab"/>
        <w:numPr>
          <w:ilvl w:val="0"/>
          <w:numId w:val="96"/>
        </w:numPr>
        <w:rPr>
          <w:rtl/>
        </w:rPr>
      </w:pPr>
      <w:r>
        <w:rPr>
          <w:rtl/>
        </w:rPr>
        <w:lastRenderedPageBreak/>
        <w:t>טור</w:t>
      </w:r>
      <w:r w:rsidR="00195D4C">
        <w:rPr>
          <w:rFonts w:hint="cs"/>
          <w:sz w:val="16"/>
          <w:szCs w:val="16"/>
          <w:rtl/>
        </w:rPr>
        <w:t xml:space="preserve"> (סי' קלח ס"ג)</w:t>
      </w:r>
      <w:r>
        <w:rPr>
          <w:rtl/>
        </w:rPr>
        <w:t>-</w:t>
      </w:r>
      <w:r>
        <w:rPr>
          <w:rFonts w:cs="Arial"/>
          <w:rtl/>
        </w:rPr>
        <w:t xml:space="preserve"> נתנו לה כשהיא ישנה, וננערת והגט הוא בידה, אומר לה ה"ז גיטיך, וא"צ לחזור וליטלו ממנה וליתנו לה</w:t>
      </w:r>
      <w:r w:rsidR="003F6B22">
        <w:rPr>
          <w:rFonts w:cs="Arial" w:hint="cs"/>
          <w:rtl/>
        </w:rPr>
        <w:t>.</w:t>
      </w:r>
      <w:r w:rsidR="003F6B22" w:rsidRPr="003F6B22">
        <w:rPr>
          <w:rFonts w:cs="Arial"/>
          <w:rtl/>
        </w:rPr>
        <w:t xml:space="preserve"> </w:t>
      </w:r>
      <w:r w:rsidR="003F6B22">
        <w:rPr>
          <w:rFonts w:cs="Arial"/>
          <w:rtl/>
        </w:rPr>
        <w:t>וכתב הרמ"ה (שם) דה"ה אם מסר מודעא על הגט ונתנו לה</w:t>
      </w:r>
      <w:r w:rsidR="003F6B22">
        <w:rPr>
          <w:rFonts w:cs="Arial" w:hint="cs"/>
          <w:rtl/>
        </w:rPr>
        <w:t>,</w:t>
      </w:r>
      <w:r w:rsidR="003F6B22">
        <w:rPr>
          <w:rFonts w:cs="Arial"/>
          <w:rtl/>
        </w:rPr>
        <w:t xml:space="preserve"> ואח"כ בטל המודעא מרצונו וא"ל תתגרשי בגט שנתתי לך כבר - אין צריך לחזור וליטלו ממנה, כיון שמכח נתינת הבעל באה לידה אע"ג דמעיקרא לא הוה בדעתו ליתנו לה בתורת גירושין</w:t>
      </w:r>
      <w:r>
        <w:rPr>
          <w:rStyle w:val="a7"/>
          <w:rFonts w:cs="Arial"/>
          <w:rtl/>
        </w:rPr>
        <w:footnoteReference w:id="1537"/>
      </w:r>
      <w:r>
        <w:rPr>
          <w:rFonts w:cs="Arial"/>
          <w:rtl/>
        </w:rPr>
        <w:t>. אבל אם לא אמר ה"ז גיטיך, אפי' אמר לעדים ראו גט שאני נותן לה - אינו כלום, כיון שהיא היתה ישנה.</w:t>
      </w:r>
      <w:r>
        <w:rPr>
          <w:rtl/>
        </w:rPr>
        <w:t xml:space="preserve"> </w:t>
      </w:r>
      <w:r>
        <w:rPr>
          <w:color w:val="E36C0A" w:themeColor="accent6" w:themeShade="BF"/>
          <w:rtl/>
        </w:rPr>
        <w:t>(וכ"פ בשו"ע)</w:t>
      </w:r>
    </w:p>
    <w:p w14:paraId="7C1AB971"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8492A8D" w14:textId="77777777" w:rsidR="00FA2119" w:rsidRDefault="00FA2119" w:rsidP="00FA2119">
      <w:pPr>
        <w:rPr>
          <w:rtl/>
        </w:rPr>
      </w:pPr>
      <w:r>
        <w:rPr>
          <w:rFonts w:cs="Arial"/>
          <w:rtl/>
        </w:rPr>
        <w:t>גט שמסר הבעל מודעא על נתינתו, ונתנה לה, ואחר כך ביטל מרצונו, ואמר לה: התגרשי בגט שנתתי לך כבר, אין צריך לחזור וליטלו ממנה.</w:t>
      </w:r>
    </w:p>
    <w:p w14:paraId="19F21880" w14:textId="77777777" w:rsidR="00FA2119" w:rsidRDefault="00FA2119" w:rsidP="00FA2119">
      <w:pPr>
        <w:bidi w:val="0"/>
        <w:spacing w:after="0"/>
        <w:rPr>
          <w:rFonts w:asciiTheme="majorHAnsi" w:eastAsiaTheme="majorEastAsia" w:hAnsiTheme="majorHAnsi"/>
          <w:b/>
          <w:bCs/>
          <w:color w:val="365F91" w:themeColor="accent1" w:themeShade="BF"/>
          <w:sz w:val="28"/>
          <w:szCs w:val="28"/>
          <w:rtl/>
        </w:rPr>
        <w:sectPr w:rsidR="00FA2119">
          <w:headerReference w:type="default" r:id="rId27"/>
          <w:footnotePr>
            <w:numRestart w:val="eachSect"/>
          </w:footnotePr>
          <w:pgSz w:w="11906" w:h="16838"/>
          <w:pgMar w:top="720" w:right="1134" w:bottom="720" w:left="1134" w:header="0" w:footer="0" w:gutter="0"/>
          <w:cols w:space="720"/>
          <w:bidi/>
          <w:rtlGutter/>
        </w:sectPr>
      </w:pPr>
    </w:p>
    <w:p w14:paraId="77A29F98" w14:textId="77777777" w:rsidR="00FA2119" w:rsidRDefault="00FA2119" w:rsidP="00FA2119">
      <w:pPr>
        <w:pStyle w:val="1"/>
        <w:rPr>
          <w:rtl/>
        </w:rPr>
      </w:pPr>
      <w:r>
        <w:rPr>
          <w:rtl/>
        </w:rPr>
        <w:lastRenderedPageBreak/>
        <w:t xml:space="preserve">סימן קלה: </w:t>
      </w:r>
      <w:r>
        <w:rPr>
          <w:rFonts w:cs="Arial"/>
          <w:rtl/>
        </w:rPr>
        <w:t xml:space="preserve">צריך לקרות הגט קודם נתינה ולאחריו, ובו ה' סעיפים. </w:t>
      </w:r>
    </w:p>
    <w:p w14:paraId="34D173CB" w14:textId="77777777" w:rsidR="00FA2119" w:rsidRDefault="00FA2119" w:rsidP="00FA2119">
      <w:pPr>
        <w:pStyle w:val="2"/>
        <w:rPr>
          <w:rtl/>
        </w:rPr>
      </w:pPr>
      <w:r>
        <w:rPr>
          <w:rtl/>
        </w:rPr>
        <w:t>סעיף א: העדים צריכים לקרוא את הגט לפני ואחרי הנתינה.</w:t>
      </w:r>
    </w:p>
    <w:p w14:paraId="62540A09" w14:textId="5B595AFF" w:rsidR="00FA2119" w:rsidRDefault="00FA2119" w:rsidP="00FA2119">
      <w:pPr>
        <w:rPr>
          <w:rFonts w:cs="Arial"/>
          <w:rtl/>
        </w:rPr>
      </w:pPr>
      <w:r>
        <w:rPr>
          <w:rFonts w:cs="Arial"/>
          <w:b/>
          <w:bCs/>
          <w:rtl/>
        </w:rPr>
        <w:t xml:space="preserve">גיטין </w:t>
      </w:r>
      <w:r>
        <w:rPr>
          <w:rFonts w:cs="Arial"/>
          <w:b/>
          <w:bCs/>
          <w:sz w:val="16"/>
          <w:szCs w:val="16"/>
          <w:rtl/>
        </w:rPr>
        <w:t xml:space="preserve">(פ"ב) </w:t>
      </w:r>
      <w:r>
        <w:rPr>
          <w:rFonts w:cs="Arial"/>
          <w:b/>
          <w:bCs/>
          <w:rtl/>
        </w:rPr>
        <w:t>יט ע"ב:</w:t>
      </w:r>
      <w:r>
        <w:rPr>
          <w:rFonts w:cs="Arial"/>
          <w:rtl/>
        </w:rPr>
        <w:t xml:space="preserve"> </w:t>
      </w:r>
      <w:r>
        <w:rPr>
          <w:rFonts w:cs="Arial"/>
          <w:u w:val="single"/>
          <w:rtl/>
        </w:rPr>
        <w:t>אמר רבינא, אמר לי אמימר, הכי אמר מרימר משמיה דרב דימי</w:t>
      </w:r>
      <w:r>
        <w:rPr>
          <w:rFonts w:cs="Arial"/>
          <w:rtl/>
        </w:rPr>
        <w:t>: הני בי תרי</w:t>
      </w:r>
      <w:r>
        <w:rPr>
          <w:rStyle w:val="a7"/>
          <w:rFonts w:cs="Arial"/>
          <w:rtl/>
        </w:rPr>
        <w:footnoteReference w:id="1538"/>
      </w:r>
      <w:r>
        <w:rPr>
          <w:rFonts w:cs="Arial"/>
          <w:rtl/>
        </w:rPr>
        <w:t xml:space="preserve"> דיהיב גיטא קמייהו, צריכי למיקרייה. מיתיבי: ה"ז גיטך, ונטלתו וזרקתו לים או לאור או לכל דבר האבד, וחזר ואמר שטר פסים הוא, שטר אמנה הוא </w:t>
      </w:r>
      <w:r w:rsidR="00A82951">
        <w:rPr>
          <w:rFonts w:cs="Arial"/>
          <w:rtl/>
        </w:rPr>
        <w:t>-</w:t>
      </w:r>
      <w:r>
        <w:rPr>
          <w:rFonts w:cs="Arial"/>
          <w:rtl/>
        </w:rPr>
        <w:t xml:space="preserve"> מגורשת, ולא כל הימנו לאוסרה. ואי אמרת צריכי למיקרייה, בתר דקריוה מי מצי אמר לה הכי? לא צריכא, דבתר דקריוה עייליה לבי ידיה</w:t>
      </w:r>
      <w:r>
        <w:rPr>
          <w:rStyle w:val="a7"/>
          <w:rFonts w:cs="Arial"/>
          <w:rtl/>
        </w:rPr>
        <w:footnoteReference w:id="1539"/>
      </w:r>
      <w:r>
        <w:rPr>
          <w:rFonts w:cs="Arial"/>
          <w:rtl/>
        </w:rPr>
        <w:t xml:space="preserve"> ואפקיה, מהו דתימא חלופי חלפיה, קמ"ל. </w:t>
      </w:r>
      <w:r>
        <w:rPr>
          <w:rFonts w:cs="Arial"/>
          <w:sz w:val="16"/>
          <w:szCs w:val="16"/>
          <w:rtl/>
        </w:rPr>
        <w:t xml:space="preserve">(וכתבו התוספות (יט:) צריכי למיקרייה </w:t>
      </w:r>
      <w:r w:rsidR="00A82951">
        <w:rPr>
          <w:rFonts w:cs="Arial"/>
          <w:sz w:val="16"/>
          <w:szCs w:val="16"/>
          <w:rtl/>
        </w:rPr>
        <w:t>-</w:t>
      </w:r>
      <w:r>
        <w:rPr>
          <w:rFonts w:cs="Arial"/>
          <w:sz w:val="16"/>
          <w:szCs w:val="16"/>
          <w:rtl/>
        </w:rPr>
        <w:t xml:space="preserve"> קודם נתינה איירי, מדשני בסמוך לא צריכא דלבתר דקריוה עייליה וכו'. ואי לא קרייה </w:t>
      </w:r>
      <w:r w:rsidR="00A82951">
        <w:rPr>
          <w:rFonts w:cs="Arial"/>
          <w:sz w:val="16"/>
          <w:szCs w:val="16"/>
          <w:rtl/>
        </w:rPr>
        <w:t>-</w:t>
      </w:r>
      <w:r>
        <w:rPr>
          <w:rFonts w:cs="Arial"/>
          <w:sz w:val="16"/>
          <w:szCs w:val="16"/>
          <w:rtl/>
        </w:rPr>
        <w:t xml:space="preserve"> נראה דלא הוי גט, מדלא משני 'הכא </w:t>
      </w:r>
      <w:r>
        <w:rPr>
          <w:rFonts w:cs="Arial"/>
          <w:sz w:val="12"/>
          <w:szCs w:val="12"/>
          <w:rtl/>
        </w:rPr>
        <w:t xml:space="preserve">{בנאבד} </w:t>
      </w:r>
      <w:r>
        <w:rPr>
          <w:rFonts w:cs="Arial"/>
          <w:sz w:val="16"/>
          <w:szCs w:val="16"/>
          <w:rtl/>
        </w:rPr>
        <w:t>במאי עסקינן דלא קרייה'</w:t>
      </w:r>
      <w:r>
        <w:rPr>
          <w:rFonts w:cs="Arial"/>
          <w:sz w:val="12"/>
          <w:szCs w:val="12"/>
          <w:rtl/>
        </w:rPr>
        <w:t xml:space="preserve"> {ובדיעבד מגורשת}</w:t>
      </w:r>
      <w:r>
        <w:rPr>
          <w:rFonts w:cs="Arial"/>
          <w:sz w:val="16"/>
          <w:szCs w:val="16"/>
          <w:rtl/>
        </w:rPr>
        <w:t xml:space="preserve">, משמע דאי לא קרייה אינה מגורשת. ואם תאמר דתנן בהזורק (פ.) כתב גט לאיש ושובר לאשה וטעה ונתן וכו' ולאחר זמן גט יוצא מתחת יד האיש ושובר מיד האשה תצא מזה ומזה. ודייק עלה בהאשה רבה (יבמות צא:) מאי הוה לה למיעבד. ומשני איבעי לה לאקרויי גט. והשתא (גיטין יט:) אי לא קרייה אפילו לא הוחלפה להם אינה מגורשת. וי"ל דנהי דאסורה לינשא בדלא קרייה, מכל מקום אם נישאת לא תצא. אי נמי התם </w:t>
      </w:r>
      <w:r>
        <w:rPr>
          <w:rFonts w:cs="Arial"/>
          <w:sz w:val="12"/>
          <w:szCs w:val="12"/>
          <w:rtl/>
        </w:rPr>
        <w:t xml:space="preserve">{יבמות צא:} </w:t>
      </w:r>
      <w:r>
        <w:rPr>
          <w:rFonts w:cs="Arial"/>
          <w:sz w:val="16"/>
          <w:szCs w:val="16"/>
          <w:rtl/>
        </w:rPr>
        <w:t>בדקריוה ובתר הכי עייליה לבי ידיה, וקנסינן לה, משום דאיבעי לה למיהדר לאקרויי מיד או לאחר נתינה מאחר שבאה לידי קלקול</w:t>
      </w:r>
      <w:r>
        <w:rPr>
          <w:rFonts w:cs="Arial"/>
          <w:sz w:val="12"/>
          <w:szCs w:val="12"/>
          <w:rtl/>
        </w:rPr>
        <w:t xml:space="preserve"> {והוא דעייליה לבי ידיה}</w:t>
      </w:r>
      <w:r>
        <w:rPr>
          <w:rFonts w:cs="Arial"/>
          <w:sz w:val="16"/>
          <w:szCs w:val="16"/>
          <w:rtl/>
        </w:rPr>
        <w:t>, ומיהו אינה אסורה לינשא אם לא קראה שנית</w:t>
      </w:r>
      <w:r>
        <w:rPr>
          <w:rFonts w:cs="Arial"/>
          <w:sz w:val="12"/>
          <w:szCs w:val="12"/>
          <w:rtl/>
        </w:rPr>
        <w:t xml:space="preserve"> {דלא חיישינן לאיחלופי עד דאיתידע לן}</w:t>
      </w:r>
      <w:r>
        <w:rPr>
          <w:rFonts w:cs="Arial"/>
          <w:sz w:val="16"/>
          <w:szCs w:val="16"/>
          <w:rtl/>
        </w:rPr>
        <w:t xml:space="preserve">, כדאמרינן הכא לאו כל הימנו לאסרה. והיה רגיל ר"י לקרות קודם הנתינה ואחר הנתינה. ומיהו פשיטא דאי לא קראו קודם הנתינה וקראו לאחר נתינה דמגורשת </w:t>
      </w:r>
      <w:r>
        <w:rPr>
          <w:rFonts w:cs="Arial"/>
          <w:sz w:val="14"/>
          <w:szCs w:val="14"/>
          <w:rtl/>
        </w:rPr>
        <w:t>[עכ"ל התוס']</w:t>
      </w:r>
      <w:r>
        <w:rPr>
          <w:rFonts w:cs="Arial"/>
          <w:sz w:val="16"/>
          <w:szCs w:val="16"/>
          <w:rtl/>
        </w:rPr>
        <w:t>. וכן כתבו הרא"ש (סי' טז) והר"ן (ט: ד"ה הני) והמרדכי (סי' שמג) והגה"מ (פ"א ה"כ), ב"י)</w:t>
      </w:r>
      <w:r>
        <w:rPr>
          <w:rFonts w:cs="Arial"/>
          <w:rtl/>
        </w:rPr>
        <w:t xml:space="preserve"> </w:t>
      </w:r>
    </w:p>
    <w:p w14:paraId="4D11EC90" w14:textId="68EA6560" w:rsidR="00FA2119" w:rsidRDefault="00FA2119" w:rsidP="00FA2119">
      <w:pPr>
        <w:rPr>
          <w:rFonts w:cs="Arial"/>
          <w:rtl/>
        </w:rPr>
      </w:pPr>
      <w:r>
        <w:rPr>
          <w:rFonts w:cs="Arial"/>
          <w:b/>
          <w:bCs/>
          <w:rtl/>
        </w:rPr>
        <w:t xml:space="preserve">יבמות </w:t>
      </w:r>
      <w:r>
        <w:rPr>
          <w:rFonts w:cs="Arial"/>
          <w:b/>
          <w:bCs/>
          <w:sz w:val="16"/>
          <w:szCs w:val="16"/>
          <w:rtl/>
        </w:rPr>
        <w:t>(פ' האשה רבה)</w:t>
      </w:r>
      <w:r>
        <w:rPr>
          <w:rFonts w:cs="Arial"/>
          <w:b/>
          <w:bCs/>
          <w:rtl/>
        </w:rPr>
        <w:t xml:space="preserve"> צא ע"ב: </w:t>
      </w:r>
      <w:r>
        <w:rPr>
          <w:rFonts w:cs="Arial"/>
          <w:u w:val="single"/>
          <w:rtl/>
        </w:rPr>
        <w:t>אמר רבא</w:t>
      </w:r>
      <w:r>
        <w:rPr>
          <w:rFonts w:cs="Arial"/>
          <w:rtl/>
        </w:rPr>
        <w:t xml:space="preserve">: תא שמע: </w:t>
      </w:r>
      <w:r>
        <w:rPr>
          <w:rStyle w:val="a7"/>
          <w:rFonts w:cs="Arial"/>
          <w:rtl/>
        </w:rPr>
        <w:footnoteReference w:id="1540"/>
      </w:r>
      <w:r>
        <w:rPr>
          <w:rFonts w:cs="Arial"/>
          <w:rtl/>
        </w:rPr>
        <w:t xml:space="preserve">כתב סופר גט לאיש ושובר לאשה, וטעה ונתן גט לאשה ושובר לאיש ונתנו זה לזה וזה לזה, ולאחר זמן הרי הגט יוצא מתחת ידי האיש ושובר מתחת ידי האשה </w:t>
      </w:r>
      <w:r w:rsidR="00A82951">
        <w:rPr>
          <w:rFonts w:cs="Arial"/>
          <w:rtl/>
        </w:rPr>
        <w:t>-</w:t>
      </w:r>
      <w:r>
        <w:rPr>
          <w:rFonts w:cs="Arial"/>
          <w:rtl/>
        </w:rPr>
        <w:t xml:space="preserve"> תצא מזה ומזה, וכל הדרכים האלו בה. ואמאי? נימא מאי הוה לה למיעבד</w:t>
      </w:r>
      <w:r>
        <w:rPr>
          <w:rStyle w:val="a7"/>
          <w:rFonts w:cs="Arial"/>
          <w:rtl/>
        </w:rPr>
        <w:footnoteReference w:id="1541"/>
      </w:r>
      <w:r>
        <w:rPr>
          <w:rFonts w:cs="Arial"/>
          <w:rtl/>
        </w:rPr>
        <w:t>! איבעי לה לאקרויי לגיטא.</w:t>
      </w:r>
    </w:p>
    <w:p w14:paraId="43AD1C5D" w14:textId="77777777" w:rsidR="00FA2119" w:rsidRDefault="00FA2119" w:rsidP="00FA2119">
      <w:pPr>
        <w:rPr>
          <w:u w:val="single"/>
          <w:rtl/>
        </w:rPr>
      </w:pPr>
      <w:r>
        <w:rPr>
          <w:u w:val="single"/>
          <w:rtl/>
        </w:rPr>
        <w:t>העדים קוראים את הגט לפני ואחרי הנתינה:</w:t>
      </w:r>
    </w:p>
    <w:p w14:paraId="632603A2" w14:textId="4B71BEE5" w:rsidR="00FA2119" w:rsidRDefault="00FA2119" w:rsidP="006A458D">
      <w:pPr>
        <w:pStyle w:val="ab"/>
        <w:numPr>
          <w:ilvl w:val="0"/>
          <w:numId w:val="92"/>
        </w:numPr>
        <w:rPr>
          <w:rtl/>
        </w:rPr>
      </w:pPr>
      <w:r>
        <w:rPr>
          <w:rFonts w:cs="Arial"/>
          <w:rtl/>
        </w:rPr>
        <w:t xml:space="preserve">ר"י </w:t>
      </w:r>
      <w:r>
        <w:rPr>
          <w:rFonts w:cs="Arial"/>
          <w:sz w:val="16"/>
          <w:szCs w:val="16"/>
          <w:rtl/>
        </w:rPr>
        <w:t>(שם)</w:t>
      </w:r>
      <w:r>
        <w:rPr>
          <w:rFonts w:cs="Arial"/>
          <w:rtl/>
        </w:rPr>
        <w:t xml:space="preserve"> רא"ש </w:t>
      </w:r>
      <w:r>
        <w:rPr>
          <w:rFonts w:cs="Arial"/>
          <w:sz w:val="16"/>
          <w:szCs w:val="16"/>
          <w:rtl/>
        </w:rPr>
        <w:t xml:space="preserve">(שם) </w:t>
      </w:r>
      <w:r>
        <w:rPr>
          <w:rFonts w:cs="Arial"/>
          <w:rtl/>
        </w:rPr>
        <w:t>וטור</w:t>
      </w:r>
      <w:r w:rsidR="00A82951">
        <w:rPr>
          <w:rFonts w:cs="Arial"/>
          <w:rtl/>
        </w:rPr>
        <w:t>-</w:t>
      </w:r>
      <w:r>
        <w:rPr>
          <w:rFonts w:cs="Arial"/>
          <w:rtl/>
        </w:rPr>
        <w:t xml:space="preserve"> העדים שנותנין הגט לפניהם צריכין לקרותו קודם נתינה ולאחריה</w:t>
      </w:r>
      <w:r>
        <w:rPr>
          <w:rFonts w:cs="Arial"/>
          <w:sz w:val="16"/>
          <w:szCs w:val="16"/>
          <w:rtl/>
        </w:rPr>
        <w:t xml:space="preserve"> (ל' הטור)</w:t>
      </w:r>
      <w:r>
        <w:rPr>
          <w:rFonts w:cs="Arial"/>
          <w:rtl/>
        </w:rPr>
        <w:t xml:space="preserve">. </w:t>
      </w:r>
      <w:r>
        <w:rPr>
          <w:color w:val="E36C0A" w:themeColor="accent6" w:themeShade="BF"/>
          <w:rtl/>
        </w:rPr>
        <w:t>(וכ"פ בשו"ע)</w:t>
      </w:r>
    </w:p>
    <w:p w14:paraId="4466549D" w14:textId="74A53761" w:rsidR="00FA2119" w:rsidRDefault="00FA2119" w:rsidP="006A458D">
      <w:pPr>
        <w:pStyle w:val="ab"/>
        <w:numPr>
          <w:ilvl w:val="0"/>
          <w:numId w:val="92"/>
        </w:numPr>
      </w:pPr>
      <w:r>
        <w:rPr>
          <w:rFonts w:cs="Arial"/>
          <w:rtl/>
        </w:rPr>
        <w:t xml:space="preserve">רמב"ם </w:t>
      </w:r>
      <w:r>
        <w:rPr>
          <w:rFonts w:cs="Arial"/>
          <w:sz w:val="16"/>
          <w:szCs w:val="16"/>
          <w:rtl/>
        </w:rPr>
        <w:t>(פ"א הי"ט)</w:t>
      </w:r>
      <w:r w:rsidR="00A82951">
        <w:rPr>
          <w:rFonts w:cs="Arial"/>
          <w:rtl/>
        </w:rPr>
        <w:t>-</w:t>
      </w:r>
      <w:r>
        <w:rPr>
          <w:rFonts w:cs="Arial"/>
          <w:rtl/>
        </w:rPr>
        <w:t xml:space="preserve"> אפילו לכתחלה לא בעינן למיקרי אלא קודם נתינה לחוד</w:t>
      </w:r>
      <w:r>
        <w:rPr>
          <w:rFonts w:cs="Arial"/>
          <w:sz w:val="16"/>
          <w:szCs w:val="16"/>
          <w:rtl/>
        </w:rPr>
        <w:t xml:space="preserve"> (ל' הב"י בשמו)</w:t>
      </w:r>
      <w:r>
        <w:rPr>
          <w:rFonts w:cs="Arial"/>
          <w:rtl/>
        </w:rPr>
        <w:t>.</w:t>
      </w:r>
    </w:p>
    <w:p w14:paraId="24C8E10E" w14:textId="77777777" w:rsidR="00FA2119" w:rsidRDefault="00FA2119" w:rsidP="00FA2119">
      <w:pPr>
        <w:ind w:left="360"/>
        <w:rPr>
          <w:u w:val="dotted"/>
        </w:rPr>
      </w:pPr>
      <w:r>
        <w:rPr>
          <w:u w:val="dotted"/>
          <w:rtl/>
        </w:rPr>
        <w:t>מה הדין אם קראו אותו רק לבסוף:</w:t>
      </w:r>
    </w:p>
    <w:p w14:paraId="496E9DA4" w14:textId="6FD5B7A4" w:rsidR="00FA2119" w:rsidRDefault="00FA2119" w:rsidP="006A458D">
      <w:pPr>
        <w:pStyle w:val="ab"/>
        <w:numPr>
          <w:ilvl w:val="0"/>
          <w:numId w:val="92"/>
        </w:numPr>
      </w:pPr>
      <w:r>
        <w:rPr>
          <w:rFonts w:cs="Arial"/>
          <w:rtl/>
        </w:rPr>
        <w:t xml:space="preserve">ר"י </w:t>
      </w:r>
      <w:r>
        <w:rPr>
          <w:rFonts w:cs="Arial"/>
          <w:sz w:val="16"/>
          <w:szCs w:val="16"/>
          <w:rtl/>
        </w:rPr>
        <w:t>(שם)</w:t>
      </w:r>
      <w:r>
        <w:rPr>
          <w:rFonts w:cs="Arial"/>
          <w:rtl/>
        </w:rPr>
        <w:t xml:space="preserve"> רמב"ם </w:t>
      </w:r>
      <w:r>
        <w:rPr>
          <w:rFonts w:cs="Arial"/>
          <w:sz w:val="16"/>
          <w:szCs w:val="16"/>
          <w:rtl/>
        </w:rPr>
        <w:t xml:space="preserve">(פ"א הי"ט) </w:t>
      </w:r>
      <w:r>
        <w:rPr>
          <w:rFonts w:cs="Arial"/>
          <w:rtl/>
        </w:rPr>
        <w:t xml:space="preserve">סמ"ג </w:t>
      </w:r>
      <w:r>
        <w:rPr>
          <w:rFonts w:cs="Arial"/>
          <w:sz w:val="16"/>
          <w:szCs w:val="16"/>
          <w:rtl/>
        </w:rPr>
        <w:t xml:space="preserve">(שם) </w:t>
      </w:r>
      <w:r>
        <w:rPr>
          <w:rFonts w:cs="Arial"/>
          <w:rtl/>
        </w:rPr>
        <w:t xml:space="preserve">רא"ש </w:t>
      </w:r>
      <w:r>
        <w:rPr>
          <w:rFonts w:cs="Arial"/>
          <w:sz w:val="16"/>
          <w:szCs w:val="16"/>
          <w:rtl/>
        </w:rPr>
        <w:t xml:space="preserve">(שם) </w:t>
      </w:r>
      <w:r>
        <w:rPr>
          <w:rFonts w:cs="Arial"/>
          <w:rtl/>
        </w:rPr>
        <w:t xml:space="preserve">הגה"מ </w:t>
      </w:r>
      <w:r>
        <w:rPr>
          <w:rFonts w:cs="Arial"/>
          <w:sz w:val="16"/>
          <w:szCs w:val="16"/>
          <w:rtl/>
        </w:rPr>
        <w:t>(שם)</w:t>
      </w:r>
      <w:r>
        <w:rPr>
          <w:rFonts w:cs="Arial"/>
          <w:rtl/>
        </w:rPr>
        <w:t xml:space="preserve"> טור ור"ן</w:t>
      </w:r>
      <w:r>
        <w:rPr>
          <w:rFonts w:cs="Arial"/>
          <w:sz w:val="16"/>
          <w:szCs w:val="16"/>
          <w:rtl/>
        </w:rPr>
        <w:t xml:space="preserve"> (שם)</w:t>
      </w:r>
      <w:r w:rsidR="00A82951">
        <w:rPr>
          <w:rFonts w:cs="Arial"/>
          <w:rtl/>
        </w:rPr>
        <w:t>-</w:t>
      </w:r>
      <w:r>
        <w:rPr>
          <w:rFonts w:cs="Arial"/>
          <w:rtl/>
        </w:rPr>
        <w:t xml:space="preserve"> ואם קראוהו אחר הנתינה ולא לפניה </w:t>
      </w:r>
      <w:r w:rsidR="00A82951">
        <w:rPr>
          <w:rFonts w:cs="Arial"/>
          <w:rtl/>
        </w:rPr>
        <w:t>-</w:t>
      </w:r>
      <w:r>
        <w:rPr>
          <w:rFonts w:cs="Arial"/>
          <w:rtl/>
        </w:rPr>
        <w:t xml:space="preserve"> הוי גט ותינשא לכתחלה</w:t>
      </w:r>
      <w:r>
        <w:rPr>
          <w:rStyle w:val="a7"/>
          <w:rFonts w:cs="Arial"/>
          <w:rtl/>
        </w:rPr>
        <w:footnoteReference w:id="1542"/>
      </w:r>
      <w:r>
        <w:rPr>
          <w:rFonts w:cs="Arial"/>
          <w:sz w:val="16"/>
          <w:szCs w:val="16"/>
          <w:rtl/>
        </w:rPr>
        <w:t xml:space="preserve"> (ל' הטור)</w:t>
      </w:r>
      <w:r>
        <w:rPr>
          <w:rFonts w:cs="Arial"/>
          <w:rtl/>
        </w:rPr>
        <w:t xml:space="preserve">. </w:t>
      </w:r>
      <w:r>
        <w:rPr>
          <w:color w:val="E36C0A" w:themeColor="accent6" w:themeShade="BF"/>
          <w:rtl/>
        </w:rPr>
        <w:t>(וכ"פ בשו"ע)</w:t>
      </w:r>
    </w:p>
    <w:p w14:paraId="33A28853" w14:textId="77777777" w:rsidR="00FA2119" w:rsidRDefault="00FA2119" w:rsidP="00FA2119">
      <w:pPr>
        <w:ind w:left="360"/>
        <w:rPr>
          <w:u w:val="dotted"/>
        </w:rPr>
      </w:pPr>
      <w:r>
        <w:rPr>
          <w:u w:val="dotted"/>
          <w:rtl/>
        </w:rPr>
        <w:t>ומה הדין אם לא קראוהו כלל ונאבד:</w:t>
      </w:r>
    </w:p>
    <w:p w14:paraId="7D54B9A1" w14:textId="016093CC" w:rsidR="00FA2119" w:rsidRDefault="00FA2119" w:rsidP="006A458D">
      <w:pPr>
        <w:pStyle w:val="ab"/>
        <w:numPr>
          <w:ilvl w:val="0"/>
          <w:numId w:val="92"/>
        </w:numPr>
      </w:pPr>
      <w:r>
        <w:rPr>
          <w:rFonts w:cs="Arial"/>
          <w:rtl/>
        </w:rPr>
        <w:t xml:space="preserve">רא"ש </w:t>
      </w:r>
      <w:r>
        <w:rPr>
          <w:rFonts w:cs="Arial"/>
          <w:sz w:val="16"/>
          <w:szCs w:val="16"/>
          <w:rtl/>
        </w:rPr>
        <w:t>(שם)</w:t>
      </w:r>
      <w:r w:rsidR="00A82951">
        <w:rPr>
          <w:rFonts w:cs="Arial"/>
          <w:rtl/>
        </w:rPr>
        <w:t>-</w:t>
      </w:r>
      <w:r>
        <w:rPr>
          <w:rFonts w:cs="Arial"/>
          <w:rtl/>
        </w:rPr>
        <w:t xml:space="preserve"> ואם לא קראוהו כלל ונאבד </w:t>
      </w:r>
      <w:r w:rsidR="00A82951">
        <w:rPr>
          <w:rFonts w:cs="Arial"/>
          <w:rtl/>
        </w:rPr>
        <w:t>-</w:t>
      </w:r>
      <w:r>
        <w:rPr>
          <w:rFonts w:cs="Arial"/>
          <w:rtl/>
        </w:rPr>
        <w:t xml:space="preserve"> צריכה גט אחר</w:t>
      </w:r>
      <w:r>
        <w:rPr>
          <w:rStyle w:val="a7"/>
          <w:rFonts w:cs="Arial"/>
          <w:rtl/>
        </w:rPr>
        <w:footnoteReference w:id="1543"/>
      </w:r>
      <w:r>
        <w:rPr>
          <w:rFonts w:cs="Arial"/>
          <w:rtl/>
        </w:rPr>
        <w:t xml:space="preserve">. </w:t>
      </w:r>
    </w:p>
    <w:p w14:paraId="366261C1" w14:textId="47AC29D2" w:rsidR="00FA2119" w:rsidRDefault="00FA2119" w:rsidP="006A458D">
      <w:pPr>
        <w:pStyle w:val="ab"/>
        <w:numPr>
          <w:ilvl w:val="0"/>
          <w:numId w:val="92"/>
        </w:numPr>
      </w:pPr>
      <w:r>
        <w:rPr>
          <w:rFonts w:cs="Arial"/>
          <w:rtl/>
        </w:rPr>
        <w:t>טור</w:t>
      </w:r>
      <w:r w:rsidR="00A82951">
        <w:rPr>
          <w:rFonts w:cs="Arial"/>
          <w:rtl/>
        </w:rPr>
        <w:t>-</w:t>
      </w:r>
      <w:r>
        <w:rPr>
          <w:rFonts w:cs="Arial"/>
          <w:rtl/>
        </w:rPr>
        <w:t xml:space="preserve"> לא קראוהו כלל ונאבד, והוא אומר שלא היה גט מה שנתן לה אלא שטר בעלמא </w:t>
      </w:r>
      <w:r w:rsidR="00A82951">
        <w:rPr>
          <w:rFonts w:cs="Arial"/>
          <w:rtl/>
        </w:rPr>
        <w:t>-</w:t>
      </w:r>
      <w:r>
        <w:rPr>
          <w:rFonts w:cs="Arial"/>
          <w:rtl/>
        </w:rPr>
        <w:t xml:space="preserve"> לא תינשא ופסולה לכהונה, ואם ניסת </w:t>
      </w:r>
      <w:r w:rsidR="00A82951">
        <w:rPr>
          <w:rFonts w:cs="Arial"/>
          <w:rtl/>
        </w:rPr>
        <w:t>-</w:t>
      </w:r>
      <w:r>
        <w:rPr>
          <w:rFonts w:cs="Arial"/>
          <w:rtl/>
        </w:rPr>
        <w:t xml:space="preserve"> לא תצא. </w:t>
      </w:r>
    </w:p>
    <w:p w14:paraId="60A51A3E" w14:textId="49158082" w:rsidR="00FA2119" w:rsidRPr="002B7D52" w:rsidRDefault="00FA2119" w:rsidP="002B7D52">
      <w:pPr>
        <w:pStyle w:val="ab"/>
        <w:numPr>
          <w:ilvl w:val="0"/>
          <w:numId w:val="92"/>
        </w:numPr>
      </w:pPr>
      <w:r>
        <w:rPr>
          <w:rFonts w:cs="Arial"/>
          <w:rtl/>
        </w:rPr>
        <w:t>רמב"ם</w:t>
      </w:r>
      <w:r>
        <w:rPr>
          <w:rFonts w:cs="Arial"/>
          <w:sz w:val="16"/>
          <w:szCs w:val="16"/>
          <w:rtl/>
        </w:rPr>
        <w:t xml:space="preserve"> (פ"א הכ"א)</w:t>
      </w:r>
      <w:r w:rsidR="002B7D52" w:rsidRPr="002B7D52">
        <w:rPr>
          <w:rFonts w:cs="Arial"/>
          <w:rtl/>
        </w:rPr>
        <w:t xml:space="preserve"> </w:t>
      </w:r>
      <w:r w:rsidR="002B7D52">
        <w:rPr>
          <w:rFonts w:cs="Arial" w:hint="cs"/>
          <w:rtl/>
        </w:rPr>
        <w:t>ו</w:t>
      </w:r>
      <w:r w:rsidR="002B7D52">
        <w:rPr>
          <w:rFonts w:cs="Arial"/>
          <w:rtl/>
        </w:rPr>
        <w:t>רשב"א</w:t>
      </w:r>
      <w:r w:rsidR="002B7D52">
        <w:rPr>
          <w:rStyle w:val="a7"/>
          <w:rFonts w:cs="Arial"/>
          <w:rtl/>
        </w:rPr>
        <w:footnoteReference w:id="1544"/>
      </w:r>
      <w:r w:rsidR="002B7D52">
        <w:rPr>
          <w:rFonts w:cs="Arial"/>
          <w:rtl/>
        </w:rPr>
        <w:t xml:space="preserve"> </w:t>
      </w:r>
      <w:r w:rsidR="002B7D52">
        <w:rPr>
          <w:rFonts w:cs="Arial"/>
          <w:sz w:val="16"/>
          <w:szCs w:val="16"/>
          <w:rtl/>
        </w:rPr>
        <w:t>(יט: ד"ה אמר אמימר)</w:t>
      </w:r>
      <w:r>
        <w:rPr>
          <w:rStyle w:val="a7"/>
          <w:rFonts w:cs="Arial"/>
          <w:rtl/>
        </w:rPr>
        <w:footnoteReference w:id="1545"/>
      </w:r>
      <w:r w:rsidR="00A82951">
        <w:rPr>
          <w:rFonts w:cs="Arial"/>
          <w:rtl/>
        </w:rPr>
        <w:t>-</w:t>
      </w:r>
      <w:r>
        <w:rPr>
          <w:rFonts w:cs="Arial"/>
          <w:rtl/>
        </w:rPr>
        <w:t xml:space="preserve"> הרי שלא קראו הגט בתחלה</w:t>
      </w:r>
      <w:r w:rsidR="00273D24">
        <w:rPr>
          <w:rFonts w:cs="Arial" w:hint="cs"/>
          <w:rtl/>
        </w:rPr>
        <w:t>,</w:t>
      </w:r>
      <w:r>
        <w:rPr>
          <w:rFonts w:cs="Arial"/>
          <w:rtl/>
        </w:rPr>
        <w:t xml:space="preserve"> ונתן לה הגט בפניהם</w:t>
      </w:r>
      <w:r w:rsidR="00273D24">
        <w:rPr>
          <w:rFonts w:cs="Arial" w:hint="cs"/>
          <w:rtl/>
        </w:rPr>
        <w:t>,</w:t>
      </w:r>
      <w:r>
        <w:rPr>
          <w:rFonts w:cs="Arial"/>
          <w:rtl/>
        </w:rPr>
        <w:t xml:space="preserve"> וזרקתו לאור או לים, אע"פ שהבעל אומר גט כשר היה </w:t>
      </w:r>
      <w:r w:rsidR="00A82951">
        <w:rPr>
          <w:rFonts w:cs="Arial"/>
          <w:rtl/>
        </w:rPr>
        <w:t>-</w:t>
      </w:r>
      <w:r>
        <w:rPr>
          <w:rFonts w:cs="Arial"/>
          <w:rtl/>
        </w:rPr>
        <w:t xml:space="preserve"> הרי זו ספק מגורשת</w:t>
      </w:r>
      <w:r>
        <w:rPr>
          <w:rStyle w:val="a7"/>
          <w:rFonts w:cs="Arial"/>
          <w:rtl/>
        </w:rPr>
        <w:footnoteReference w:id="1546"/>
      </w:r>
      <w:r w:rsidR="002B7D52">
        <w:rPr>
          <w:rFonts w:cs="Arial" w:hint="cs"/>
          <w:sz w:val="16"/>
          <w:szCs w:val="16"/>
          <w:rtl/>
        </w:rPr>
        <w:t xml:space="preserve"> (ל' הרמב"ם)</w:t>
      </w:r>
      <w:r>
        <w:rPr>
          <w:rFonts w:cs="Arial"/>
          <w:rtl/>
        </w:rPr>
        <w:t xml:space="preserve">. </w:t>
      </w:r>
      <w:r>
        <w:rPr>
          <w:color w:val="E36C0A" w:themeColor="accent6" w:themeShade="BF"/>
          <w:rtl/>
        </w:rPr>
        <w:t>(וכ"פ בשו"ע</w:t>
      </w:r>
      <w:r>
        <w:rPr>
          <w:color w:val="000000" w:themeColor="text1"/>
          <w:sz w:val="16"/>
          <w:szCs w:val="16"/>
          <w:rtl/>
        </w:rPr>
        <w:t xml:space="preserve"> [בסע' ג]</w:t>
      </w:r>
      <w:r>
        <w:rPr>
          <w:color w:val="E36C0A" w:themeColor="accent6" w:themeShade="BF"/>
          <w:rtl/>
        </w:rPr>
        <w:t>)</w:t>
      </w:r>
    </w:p>
    <w:p w14:paraId="38ECA0DA" w14:textId="77777777" w:rsidR="00FA2119" w:rsidRDefault="00FA2119" w:rsidP="00FA2119">
      <w:pPr>
        <w:ind w:left="360"/>
        <w:rPr>
          <w:u w:val="dotted"/>
        </w:rPr>
      </w:pPr>
      <w:r>
        <w:rPr>
          <w:u w:val="dotted"/>
          <w:rtl/>
        </w:rPr>
        <w:lastRenderedPageBreak/>
        <w:t>ומה הדין אם קראוהו ונתנוהו ביד הבעל, והוא העלים מהם לזמן מועט את הגט:</w:t>
      </w:r>
    </w:p>
    <w:p w14:paraId="68E3AD59" w14:textId="342FE713" w:rsidR="00FA2119" w:rsidRDefault="00FA2119" w:rsidP="006A458D">
      <w:pPr>
        <w:pStyle w:val="ab"/>
        <w:numPr>
          <w:ilvl w:val="0"/>
          <w:numId w:val="92"/>
        </w:numPr>
      </w:pPr>
      <w:r>
        <w:rPr>
          <w:rFonts w:cs="Arial"/>
          <w:rtl/>
        </w:rPr>
        <w:t xml:space="preserve">רא"ש </w:t>
      </w:r>
      <w:r>
        <w:rPr>
          <w:rFonts w:cs="Arial"/>
          <w:sz w:val="16"/>
          <w:szCs w:val="16"/>
          <w:rtl/>
        </w:rPr>
        <w:t xml:space="preserve">(שם) </w:t>
      </w:r>
      <w:r>
        <w:rPr>
          <w:rFonts w:cs="Arial"/>
          <w:rtl/>
        </w:rPr>
        <w:t>וטור</w:t>
      </w:r>
      <w:r w:rsidR="00A82951">
        <w:rPr>
          <w:rFonts w:cs="Arial"/>
          <w:rtl/>
        </w:rPr>
        <w:t>-</w:t>
      </w:r>
      <w:r>
        <w:rPr>
          <w:rFonts w:cs="Arial"/>
          <w:rtl/>
        </w:rPr>
        <w:t xml:space="preserve"> קראוהו ונתנוהו לבעל והכניסו לבין ידיו </w:t>
      </w:r>
      <w:r w:rsidR="00A82951">
        <w:rPr>
          <w:rFonts w:cs="Arial"/>
          <w:rtl/>
        </w:rPr>
        <w:t>-</w:t>
      </w:r>
      <w:r>
        <w:rPr>
          <w:rFonts w:cs="Arial"/>
          <w:rtl/>
        </w:rPr>
        <w:t xml:space="preserve"> לכתחלה צריך לקרותו פעם שנית קודם שיתנהו לה. לא קראוהו ונתנו לה, והוא אומר שהחליפו ונתן לה שטר אחר ונאבד </w:t>
      </w:r>
      <w:r w:rsidR="00A82951">
        <w:rPr>
          <w:rFonts w:cs="Arial"/>
          <w:rtl/>
        </w:rPr>
        <w:t>-</w:t>
      </w:r>
      <w:r>
        <w:rPr>
          <w:rFonts w:cs="Arial"/>
          <w:rtl/>
        </w:rPr>
        <w:t xml:space="preserve"> הרי זו מגורשת ותינשא לכתחלה, כיון שקראוהו פעם אחת. </w:t>
      </w:r>
      <w:r>
        <w:rPr>
          <w:color w:val="E36C0A" w:themeColor="accent6" w:themeShade="BF"/>
          <w:rtl/>
        </w:rPr>
        <w:t>(וכ"פ בשו"ע</w:t>
      </w:r>
      <w:r>
        <w:rPr>
          <w:color w:val="000000" w:themeColor="text1"/>
          <w:sz w:val="16"/>
          <w:szCs w:val="16"/>
          <w:rtl/>
        </w:rPr>
        <w:t xml:space="preserve"> [בסע' ב]</w:t>
      </w:r>
      <w:r>
        <w:rPr>
          <w:color w:val="E36C0A" w:themeColor="accent6" w:themeShade="BF"/>
          <w:rtl/>
        </w:rPr>
        <w:t>)</w:t>
      </w:r>
    </w:p>
    <w:p w14:paraId="017E2D97" w14:textId="77777777" w:rsidR="00FA2119" w:rsidRDefault="00FA2119" w:rsidP="00FA2119">
      <w:pPr>
        <w:ind w:left="720"/>
        <w:rPr>
          <w:u w:val="wave"/>
        </w:rPr>
      </w:pPr>
      <w:r>
        <w:rPr>
          <w:u w:val="wave"/>
          <w:rtl/>
        </w:rPr>
        <w:t>ומה הדין הגט נעלם כנ"ל והבעל מראה את הגט בידו:</w:t>
      </w:r>
    </w:p>
    <w:p w14:paraId="60A7AFCD" w14:textId="2DBDB0FC" w:rsidR="00FA2119" w:rsidRDefault="00FA2119" w:rsidP="006A458D">
      <w:pPr>
        <w:pStyle w:val="ab"/>
        <w:numPr>
          <w:ilvl w:val="0"/>
          <w:numId w:val="92"/>
        </w:numPr>
      </w:pPr>
      <w:r>
        <w:rPr>
          <w:rFonts w:cs="Arial"/>
          <w:rtl/>
        </w:rPr>
        <w:t>טור</w:t>
      </w:r>
      <w:r w:rsidR="00A82951">
        <w:rPr>
          <w:rFonts w:cs="Arial"/>
          <w:rtl/>
        </w:rPr>
        <w:t>-</w:t>
      </w:r>
      <w:r>
        <w:rPr>
          <w:rFonts w:cs="Arial"/>
          <w:rtl/>
        </w:rPr>
        <w:t xml:space="preserve"> ואם הגט בידו ומראה אותו</w:t>
      </w:r>
      <w:r w:rsidR="00B21C7B">
        <w:rPr>
          <w:rFonts w:cs="Arial" w:hint="cs"/>
          <w:rtl/>
        </w:rPr>
        <w:t xml:space="preserve">, </w:t>
      </w:r>
      <w:r>
        <w:rPr>
          <w:rFonts w:cs="Arial"/>
          <w:rtl/>
        </w:rPr>
        <w:t xml:space="preserve">נאמן כל זמן שלא נישאת כדלקמן. </w:t>
      </w:r>
      <w:r>
        <w:rPr>
          <w:color w:val="E36C0A" w:themeColor="accent6" w:themeShade="BF"/>
          <w:rtl/>
        </w:rPr>
        <w:t xml:space="preserve">(וכ"פ בשו"ע </w:t>
      </w:r>
      <w:r>
        <w:rPr>
          <w:color w:val="000000" w:themeColor="text1"/>
          <w:sz w:val="16"/>
          <w:szCs w:val="16"/>
          <w:rtl/>
        </w:rPr>
        <w:t>[בסע' ב]</w:t>
      </w:r>
      <w:r>
        <w:rPr>
          <w:color w:val="E36C0A" w:themeColor="accent6" w:themeShade="BF"/>
          <w:rtl/>
        </w:rPr>
        <w:t>)</w:t>
      </w:r>
    </w:p>
    <w:p w14:paraId="1C104349" w14:textId="77777777" w:rsidR="00FA2119" w:rsidRDefault="00FA2119" w:rsidP="00FA2119">
      <w:pPr>
        <w:rPr>
          <w:u w:val="single"/>
        </w:rPr>
      </w:pPr>
      <w:r>
        <w:rPr>
          <w:u w:val="single"/>
          <w:rtl/>
        </w:rPr>
        <w:t>בעל לקח גט כתוב וחתום, ושני עדים הלכו עמו, ונתנו בלי קריאה סמוך לנתינה, ועד א' מעיד שנעלם ממנו לזמן מועט:</w:t>
      </w:r>
    </w:p>
    <w:p w14:paraId="36F21778" w14:textId="0E0B64E6" w:rsidR="00FA2119" w:rsidRDefault="00FA2119" w:rsidP="006A458D">
      <w:pPr>
        <w:pStyle w:val="ab"/>
        <w:numPr>
          <w:ilvl w:val="0"/>
          <w:numId w:val="92"/>
        </w:numPr>
        <w:rPr>
          <w:rFonts w:cs="Arial"/>
          <w:rtl/>
        </w:rPr>
      </w:pPr>
      <w:r>
        <w:rPr>
          <w:rFonts w:cs="Arial"/>
          <w:rtl/>
        </w:rPr>
        <w:t xml:space="preserve">זכרון יהודה </w:t>
      </w:r>
      <w:r>
        <w:rPr>
          <w:rFonts w:cs="Arial"/>
          <w:sz w:val="16"/>
          <w:szCs w:val="16"/>
          <w:rtl/>
        </w:rPr>
        <w:t>(סי' ה)</w:t>
      </w:r>
      <w:r w:rsidR="00A82951">
        <w:rPr>
          <w:rFonts w:cs="Arial"/>
          <w:rtl/>
        </w:rPr>
        <w:t>-</w:t>
      </w:r>
      <w:r>
        <w:rPr>
          <w:rFonts w:cs="Arial"/>
          <w:rtl/>
        </w:rPr>
        <w:t xml:space="preserve"> גט שכתוב וחתום ובעוד שהולכים לתתו הוא ביד הבעל. והעד האחד מעיד שלא נעלם מעיניו עד שבא לידה. והשני אמר שנעלם בדרך אַחַר שנתנו לבעל. וניתן ולא קראוהו קודם נתינה ולא לאחר נתינה </w:t>
      </w:r>
      <w:r w:rsidR="00A82951">
        <w:rPr>
          <w:rFonts w:cs="Arial"/>
          <w:rtl/>
        </w:rPr>
        <w:t>-</w:t>
      </w:r>
      <w:r>
        <w:rPr>
          <w:rFonts w:cs="Arial"/>
          <w:rtl/>
        </w:rPr>
        <w:t xml:space="preserve"> יראה דבזמן מועט כזה אין לחוש, כיון שקראוהו ונתנוהו לבעל על דעת ליתנו מיד והלכו עמו וגירשה בפניהם</w:t>
      </w:r>
      <w:r>
        <w:rPr>
          <w:rStyle w:val="a7"/>
          <w:rFonts w:cs="Arial"/>
          <w:rtl/>
        </w:rPr>
        <w:footnoteReference w:id="1547"/>
      </w:r>
      <w:r>
        <w:rPr>
          <w:rFonts w:cs="Arial"/>
          <w:rtl/>
        </w:rPr>
        <w:t xml:space="preserve">. </w:t>
      </w:r>
    </w:p>
    <w:p w14:paraId="007B292B" w14:textId="150B46A2" w:rsidR="00FA2119" w:rsidRDefault="00FA2119" w:rsidP="0029152E">
      <w:pPr>
        <w:rPr>
          <w:u w:val="single"/>
          <w:rtl/>
        </w:rPr>
      </w:pPr>
      <w:r>
        <w:rPr>
          <w:u w:val="single"/>
          <w:rtl/>
        </w:rPr>
        <w:t>האם חובה שהעדים יקראו את הגט, או מספיק שיעידו שהם יודעים בברור שזהו גיטה</w:t>
      </w:r>
      <w:r>
        <w:rPr>
          <w:sz w:val="16"/>
          <w:szCs w:val="16"/>
          <w:u w:val="single"/>
          <w:rtl/>
        </w:rPr>
        <w:t xml:space="preserve"> (כגון ש</w:t>
      </w:r>
      <w:r w:rsidR="0029152E">
        <w:rPr>
          <w:rFonts w:hint="cs"/>
          <w:sz w:val="16"/>
          <w:szCs w:val="16"/>
          <w:u w:val="single"/>
          <w:rtl/>
        </w:rPr>
        <w:t>ראו אותו ללא הפסק</w:t>
      </w:r>
      <w:r>
        <w:rPr>
          <w:sz w:val="16"/>
          <w:szCs w:val="16"/>
          <w:u w:val="single"/>
          <w:rtl/>
        </w:rPr>
        <w:t>)</w:t>
      </w:r>
      <w:r>
        <w:rPr>
          <w:u w:val="single"/>
          <w:rtl/>
        </w:rPr>
        <w:t>:</w:t>
      </w:r>
    </w:p>
    <w:p w14:paraId="0FE7108B" w14:textId="0A6EA404" w:rsidR="00FA2119" w:rsidRDefault="00FA2119" w:rsidP="006A458D">
      <w:pPr>
        <w:pStyle w:val="ab"/>
        <w:numPr>
          <w:ilvl w:val="0"/>
          <w:numId w:val="92"/>
        </w:numPr>
      </w:pPr>
      <w:r>
        <w:rPr>
          <w:rFonts w:cs="Arial"/>
          <w:rtl/>
        </w:rPr>
        <w:t xml:space="preserve">מחזור ויטרי </w:t>
      </w:r>
      <w:r>
        <w:rPr>
          <w:rFonts w:cs="Arial"/>
          <w:sz w:val="16"/>
          <w:szCs w:val="16"/>
          <w:rtl/>
        </w:rPr>
        <w:t xml:space="preserve">(מסה"ת לר' ברוך בר"י, סי' קלח) </w:t>
      </w:r>
      <w:r>
        <w:rPr>
          <w:rFonts w:cs="Arial"/>
          <w:rtl/>
        </w:rPr>
        <w:t xml:space="preserve">סמ"ג </w:t>
      </w:r>
      <w:r>
        <w:rPr>
          <w:rFonts w:cs="Arial"/>
          <w:sz w:val="16"/>
          <w:szCs w:val="16"/>
          <w:rtl/>
        </w:rPr>
        <w:t>(סדר הגט קלב סוע"ד)</w:t>
      </w:r>
      <w:r>
        <w:rPr>
          <w:rFonts w:cs="Arial"/>
          <w:rtl/>
        </w:rPr>
        <w:t xml:space="preserve"> מרדכי</w:t>
      </w:r>
      <w:r>
        <w:rPr>
          <w:rFonts w:cs="Arial"/>
          <w:sz w:val="16"/>
          <w:szCs w:val="16"/>
          <w:rtl/>
        </w:rPr>
        <w:t xml:space="preserve"> (סי' תנב) </w:t>
      </w:r>
      <w:r>
        <w:rPr>
          <w:rFonts w:cs="Arial"/>
          <w:rtl/>
        </w:rPr>
        <w:t xml:space="preserve">וקונדריסין </w:t>
      </w:r>
      <w:r>
        <w:rPr>
          <w:rFonts w:cs="Arial"/>
          <w:sz w:val="16"/>
          <w:szCs w:val="16"/>
          <w:rtl/>
        </w:rPr>
        <w:t>(סי' יב סט"ו)</w:t>
      </w:r>
      <w:r w:rsidR="00A82951">
        <w:rPr>
          <w:rFonts w:cs="Arial"/>
          <w:rtl/>
        </w:rPr>
        <w:t>-</w:t>
      </w:r>
      <w:r>
        <w:rPr>
          <w:rFonts w:cs="Arial"/>
          <w:rtl/>
        </w:rPr>
        <w:t xml:space="preserve"> ויקראוהו העדים קודם נתינה ואחר הנתינה, או יעיינו בטוב שזהו גיטה שחתמו בו ואותו שנכתב בשבילה</w:t>
      </w:r>
      <w:r>
        <w:rPr>
          <w:rFonts w:cs="Arial"/>
          <w:sz w:val="16"/>
          <w:szCs w:val="16"/>
          <w:rtl/>
        </w:rPr>
        <w:t xml:space="preserve"> (ל' סמ"ג)</w:t>
      </w:r>
      <w:r>
        <w:rPr>
          <w:rFonts w:cs="Arial"/>
          <w:rtl/>
        </w:rPr>
        <w:t xml:space="preserve">. </w:t>
      </w:r>
      <w:r>
        <w:rPr>
          <w:color w:val="00B0F0"/>
          <w:rtl/>
        </w:rPr>
        <w:t>(וכ"פ הרמ"א)</w:t>
      </w:r>
    </w:p>
    <w:p w14:paraId="2E7267A2" w14:textId="77777777" w:rsidR="00FA2119" w:rsidRDefault="00FA2119" w:rsidP="00FA2119">
      <w:pPr>
        <w:rPr>
          <w:u w:val="single"/>
        </w:rPr>
      </w:pPr>
      <w:r>
        <w:rPr>
          <w:u w:val="single"/>
          <w:rtl/>
        </w:rPr>
        <w:t>מנהג שהחכם קורא ושואל את העדים והסופר שאלות על כשרות הגט:</w:t>
      </w:r>
    </w:p>
    <w:p w14:paraId="75FE8D99" w14:textId="26D21E85" w:rsidR="00FA2119" w:rsidRDefault="00FA2119" w:rsidP="006A458D">
      <w:pPr>
        <w:pStyle w:val="ab"/>
        <w:numPr>
          <w:ilvl w:val="0"/>
          <w:numId w:val="92"/>
        </w:numPr>
      </w:pPr>
      <w:r>
        <w:rPr>
          <w:rFonts w:cs="Arial"/>
          <w:rtl/>
        </w:rPr>
        <w:t xml:space="preserve">קונדריסין </w:t>
      </w:r>
      <w:r>
        <w:rPr>
          <w:rFonts w:cs="Arial"/>
          <w:sz w:val="16"/>
          <w:szCs w:val="16"/>
          <w:rtl/>
        </w:rPr>
        <w:t>(סי' יב סט"ז)</w:t>
      </w:r>
      <w:r w:rsidR="00A82951">
        <w:rPr>
          <w:rFonts w:cs="Arial"/>
          <w:rtl/>
        </w:rPr>
        <w:t>-</w:t>
      </w:r>
      <w:r>
        <w:rPr>
          <w:rFonts w:cs="Arial"/>
          <w:rtl/>
        </w:rPr>
        <w:t xml:space="preserve"> אנן נהיגינן שהחכם קורא אותו, ואח"כ אחרי קראו ישאל להם</w:t>
      </w:r>
      <w:r>
        <w:rPr>
          <w:rFonts w:cs="Arial"/>
          <w:sz w:val="16"/>
          <w:szCs w:val="16"/>
          <w:rtl/>
        </w:rPr>
        <w:t xml:space="preserve"> {האם זה גיטה}</w:t>
      </w:r>
      <w:r>
        <w:rPr>
          <w:rFonts w:cs="Arial"/>
          <w:rtl/>
        </w:rPr>
        <w:t>. וכן ראיתי ששואל תחלה לסופר 'זהו גט שכתבת אותו בציווי הבעל לשמו ולשם גירושי אשתו פלונית', והוא אומר הן. ושואל לעדים לכל אחד לבד 'שמעת שצוה הבעל לסופר לכתוב גט לשמו ולשם גירושי אשתו פלונית', 'אתה מכיר חותמך', 'חתמת בפני חבירך', 'אתה מכיר חתימתו', והוא משיב הן על כל שאלה. וגם השני כמשפט הזה יעשה לו</w:t>
      </w:r>
      <w:r>
        <w:rPr>
          <w:rStyle w:val="a7"/>
          <w:rFonts w:cs="Arial"/>
          <w:rtl/>
        </w:rPr>
        <w:footnoteReference w:id="1548"/>
      </w:r>
      <w:r>
        <w:rPr>
          <w:rFonts w:cs="Arial"/>
          <w:rtl/>
        </w:rPr>
        <w:t>.</w:t>
      </w:r>
      <w:r>
        <w:rPr>
          <w:color w:val="00B0F0"/>
          <w:rtl/>
        </w:rPr>
        <w:t xml:space="preserve"> (וכ"פ הרמ"א)</w:t>
      </w:r>
    </w:p>
    <w:p w14:paraId="418B23AD"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1E47419" w14:textId="77777777" w:rsidR="00FA2119" w:rsidRDefault="00FA2119" w:rsidP="00FA2119">
      <w:pPr>
        <w:rPr>
          <w:rFonts w:cs="Arial"/>
          <w:rtl/>
        </w:rPr>
      </w:pPr>
      <w:r>
        <w:rPr>
          <w:rFonts w:cs="Arial"/>
          <w:rtl/>
        </w:rPr>
        <w:t>העדים שנותנים הגט לפניהם צריכים לקרותו קודם נתינה</w:t>
      </w:r>
      <w:r>
        <w:rPr>
          <w:rStyle w:val="a7"/>
          <w:rFonts w:cs="Arial"/>
          <w:rtl/>
        </w:rPr>
        <w:footnoteReference w:id="1549"/>
      </w:r>
      <w:r>
        <w:rPr>
          <w:rFonts w:cs="Arial"/>
          <w:rtl/>
        </w:rPr>
        <w:t xml:space="preserve">. וטוב לקרותו גם לאחר נתינה. ואם לא קראוהו אלא לאחר נתינה בלבד, מגורשת. </w:t>
      </w:r>
      <w:r>
        <w:rPr>
          <w:rFonts w:cs="Arial"/>
          <w:sz w:val="18"/>
          <w:szCs w:val="18"/>
          <w:rtl/>
        </w:rPr>
        <w:t>הגה: וכן אם יעידו</w:t>
      </w:r>
      <w:r>
        <w:rPr>
          <w:rStyle w:val="a7"/>
          <w:rFonts w:cs="Arial"/>
          <w:sz w:val="18"/>
          <w:szCs w:val="18"/>
          <w:rtl/>
        </w:rPr>
        <w:footnoteReference w:id="1550"/>
      </w:r>
      <w:r>
        <w:rPr>
          <w:rFonts w:cs="Arial"/>
          <w:sz w:val="18"/>
          <w:szCs w:val="18"/>
          <w:rtl/>
        </w:rPr>
        <w:t xml:space="preserve"> בטוב שזהו גיטה (סמ"ג). ולכתחלה אנו נוהגין שהחכם המסדר הגט קורא אותו תחילה וסוף עם העדים (ד"ע), ואחר כך שואל לסופר אם זהו הגט שכתב לשמו ולשמה ולשם גרושין, ואח"כ שואל לכל אחד מהעדים אם מכיר חתימתו וחתימת חבירו, אם חתמו זה בפני זה (קונדריסין).</w:t>
      </w:r>
      <w:r>
        <w:rPr>
          <w:rFonts w:cs="Arial"/>
          <w:rtl/>
        </w:rPr>
        <w:t xml:space="preserve"> </w:t>
      </w:r>
    </w:p>
    <w:p w14:paraId="0446AB2B" w14:textId="77777777" w:rsidR="00FA2119" w:rsidRDefault="00FA2119" w:rsidP="00FA2119">
      <w:pPr>
        <w:rPr>
          <w:rtl/>
        </w:rPr>
      </w:pPr>
    </w:p>
    <w:p w14:paraId="26213A0F" w14:textId="77777777" w:rsidR="00FA2119" w:rsidRDefault="00FA2119" w:rsidP="00FA2119">
      <w:pPr>
        <w:pStyle w:val="2"/>
        <w:rPr>
          <w:rtl/>
        </w:rPr>
      </w:pPr>
      <w:r>
        <w:rPr>
          <w:rtl/>
        </w:rPr>
        <w:t>סעיף ב: קראוהו ונתנוהו ביד הבעל, והוא העלים מהם לזמן מועט את הגט.</w:t>
      </w:r>
    </w:p>
    <w:p w14:paraId="63BD1615" w14:textId="77777777" w:rsidR="00FA2119" w:rsidRDefault="00FA2119" w:rsidP="00FA2119">
      <w:pPr>
        <w:rPr>
          <w:rtl/>
        </w:rPr>
      </w:pPr>
      <w:r>
        <w:rPr>
          <w:rtl/>
        </w:rPr>
        <w:t xml:space="preserve">עיין במקורות בסעיף א. </w:t>
      </w:r>
    </w:p>
    <w:p w14:paraId="68050C27"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4B01CEB" w14:textId="77777777" w:rsidR="00FA2119" w:rsidRDefault="00FA2119" w:rsidP="00FA2119">
      <w:pPr>
        <w:rPr>
          <w:rtl/>
        </w:rPr>
      </w:pPr>
      <w:r>
        <w:rPr>
          <w:rFonts w:cs="Arial"/>
          <w:rtl/>
        </w:rPr>
        <w:t xml:space="preserve">קראוהו ונתנוהו לבעל או לשלוחו, והכניסו לבית ידו ונתנו לה, צריך לקרותו פעם שנית קודם שיתנהו לה. ואם לא קראוהו, ונתנו לה וזרקתו לים או לאש, הרי זו מגורשת, הואיל וקראוהו תחילה אין חוששין לו שהחליפו. ולא עוד אלא </w:t>
      </w:r>
      <w:r>
        <w:rPr>
          <w:rFonts w:cs="Arial"/>
          <w:rtl/>
        </w:rPr>
        <w:lastRenderedPageBreak/>
        <w:t>אפילו אמר הבעל: שטר אחר היה ולא היה הגט שקראתם, אינו נאמן, והרי היא מגורשת. ואם הגט בידו ומראה אותו, נאמן כל זמן שלא נשאת</w:t>
      </w:r>
      <w:r>
        <w:rPr>
          <w:rStyle w:val="a7"/>
          <w:rFonts w:cs="Arial"/>
          <w:rtl/>
        </w:rPr>
        <w:footnoteReference w:id="1551"/>
      </w:r>
      <w:r>
        <w:rPr>
          <w:rFonts w:cs="Arial"/>
          <w:rtl/>
        </w:rPr>
        <w:t xml:space="preserve">. </w:t>
      </w:r>
    </w:p>
    <w:p w14:paraId="13523AAA" w14:textId="77777777" w:rsidR="00FA2119" w:rsidRDefault="00FA2119" w:rsidP="00FA2119">
      <w:pPr>
        <w:rPr>
          <w:rtl/>
        </w:rPr>
      </w:pPr>
    </w:p>
    <w:p w14:paraId="54A156AF" w14:textId="77777777" w:rsidR="00FA2119" w:rsidRDefault="00FA2119" w:rsidP="00FA2119">
      <w:pPr>
        <w:pStyle w:val="2"/>
        <w:rPr>
          <w:rtl/>
        </w:rPr>
      </w:pPr>
      <w:r>
        <w:rPr>
          <w:rtl/>
        </w:rPr>
        <w:t>סעיף ג: לא קראו את הגט כלל ונאבד.</w:t>
      </w:r>
    </w:p>
    <w:p w14:paraId="4C8769FD" w14:textId="77777777" w:rsidR="00FA2119" w:rsidRDefault="00FA2119" w:rsidP="00FA2119">
      <w:pPr>
        <w:rPr>
          <w:rtl/>
        </w:rPr>
      </w:pPr>
      <w:r>
        <w:rPr>
          <w:rtl/>
        </w:rPr>
        <w:t>עיין במקורות בסעיף א.</w:t>
      </w:r>
    </w:p>
    <w:p w14:paraId="01F9F6C4"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D7C673C" w14:textId="77777777" w:rsidR="00FA2119" w:rsidRDefault="00FA2119" w:rsidP="00FA2119">
      <w:pPr>
        <w:rPr>
          <w:rFonts w:cs="Arial"/>
          <w:rtl/>
        </w:rPr>
      </w:pPr>
      <w:r>
        <w:rPr>
          <w:rFonts w:cs="Arial"/>
          <w:rtl/>
        </w:rPr>
        <w:t>הרי שלא קראו הגט תחלה, ונתנו לה בפניהם וזרקתו לאור או לים, אף על פי שהבעל אומר: כשר היה, הרי זו ספק מגורשת</w:t>
      </w:r>
      <w:r>
        <w:rPr>
          <w:rStyle w:val="a7"/>
          <w:rFonts w:cs="Arial"/>
          <w:rtl/>
        </w:rPr>
        <w:footnoteReference w:id="1552"/>
      </w:r>
      <w:r>
        <w:rPr>
          <w:rFonts w:cs="Arial"/>
          <w:rtl/>
        </w:rPr>
        <w:t xml:space="preserve">. </w:t>
      </w:r>
      <w:r>
        <w:rPr>
          <w:rFonts w:cs="Arial"/>
          <w:sz w:val="18"/>
          <w:szCs w:val="18"/>
          <w:rtl/>
        </w:rPr>
        <w:t>הגה: ואפילו אם נשאת, תצא (תוספות [בלשון שני] רשב"א וב"י). אבל אם הגט עדיין יוצא מתחת ידה, אם נשאת לא תצא, אבל לא תנשא בגט זה מאחר שלא קראו אותו תיכף אחר הנתינה (ד"ע בפירוש רי"ו). ויש חולקין</w:t>
      </w:r>
      <w:r>
        <w:rPr>
          <w:rStyle w:val="a7"/>
          <w:rFonts w:cs="Arial"/>
          <w:sz w:val="18"/>
          <w:szCs w:val="18"/>
          <w:rtl/>
        </w:rPr>
        <w:footnoteReference w:id="1553"/>
      </w:r>
      <w:r>
        <w:rPr>
          <w:rFonts w:cs="Arial"/>
          <w:sz w:val="18"/>
          <w:szCs w:val="18"/>
          <w:rtl/>
        </w:rPr>
        <w:t>.</w:t>
      </w:r>
      <w:r>
        <w:rPr>
          <w:rFonts w:cs="Arial"/>
          <w:rtl/>
        </w:rPr>
        <w:t xml:space="preserve"> </w:t>
      </w:r>
    </w:p>
    <w:p w14:paraId="5891652E" w14:textId="77777777" w:rsidR="00FA2119" w:rsidRDefault="00FA2119" w:rsidP="00FA2119">
      <w:pPr>
        <w:rPr>
          <w:rtl/>
        </w:rPr>
      </w:pPr>
    </w:p>
    <w:p w14:paraId="5CE37458" w14:textId="77777777" w:rsidR="00FA2119" w:rsidRDefault="00FA2119" w:rsidP="00FA2119">
      <w:pPr>
        <w:pStyle w:val="2"/>
        <w:rPr>
          <w:rtl/>
        </w:rPr>
      </w:pPr>
      <w:r>
        <w:rPr>
          <w:rtl/>
        </w:rPr>
        <w:t>סעיף ד: נתן לה נייר חלק ואמר לה הרי זה גיטך.</w:t>
      </w:r>
    </w:p>
    <w:p w14:paraId="1CF33D9F" w14:textId="52E4637D" w:rsidR="00FA2119" w:rsidRDefault="00FA2119" w:rsidP="00FA2119">
      <w:pPr>
        <w:rPr>
          <w:rFonts w:cs="Arial"/>
          <w:rtl/>
        </w:rPr>
      </w:pPr>
      <w:r>
        <w:rPr>
          <w:rFonts w:cs="Arial"/>
          <w:b/>
          <w:bCs/>
          <w:rtl/>
        </w:rPr>
        <w:t xml:space="preserve">גיטין </w:t>
      </w:r>
      <w:r>
        <w:rPr>
          <w:rFonts w:cs="Arial"/>
          <w:b/>
          <w:bCs/>
          <w:sz w:val="16"/>
          <w:szCs w:val="16"/>
          <w:rtl/>
        </w:rPr>
        <w:t>(פ"ב)</w:t>
      </w:r>
      <w:r>
        <w:rPr>
          <w:rFonts w:cs="Arial"/>
          <w:b/>
          <w:bCs/>
          <w:rtl/>
        </w:rPr>
        <w:t xml:space="preserve"> יט ע"ב:</w:t>
      </w:r>
      <w:r>
        <w:rPr>
          <w:rFonts w:cs="Arial"/>
          <w:rtl/>
        </w:rPr>
        <w:t xml:space="preserve"> </w:t>
      </w:r>
      <w:r>
        <w:rPr>
          <w:rFonts w:cs="Arial"/>
          <w:u w:val="single"/>
          <w:rtl/>
        </w:rPr>
        <w:t>אמר שמואל</w:t>
      </w:r>
      <w:r>
        <w:rPr>
          <w:rFonts w:cs="Arial"/>
          <w:rtl/>
        </w:rPr>
        <w:t>: נתן לה נייר</w:t>
      </w:r>
      <w:r>
        <w:rPr>
          <w:rStyle w:val="a7"/>
          <w:rFonts w:cs="Arial"/>
          <w:rtl/>
        </w:rPr>
        <w:footnoteReference w:id="1554"/>
      </w:r>
      <w:r>
        <w:rPr>
          <w:rFonts w:cs="Arial"/>
          <w:rtl/>
        </w:rPr>
        <w:t xml:space="preserve"> חלק ואמר לה ה"ז גיטיך </w:t>
      </w:r>
      <w:r w:rsidR="00A82951">
        <w:rPr>
          <w:rFonts w:cs="Arial"/>
          <w:rtl/>
        </w:rPr>
        <w:t>-</w:t>
      </w:r>
      <w:r>
        <w:rPr>
          <w:rFonts w:cs="Arial"/>
          <w:rtl/>
        </w:rPr>
        <w:t xml:space="preserve"> מגורשת, חיישינן שמא במי מילין כתבו</w:t>
      </w:r>
      <w:r>
        <w:rPr>
          <w:rStyle w:val="a7"/>
          <w:rFonts w:cs="Arial"/>
          <w:rtl/>
        </w:rPr>
        <w:footnoteReference w:id="1555"/>
      </w:r>
      <w:r>
        <w:rPr>
          <w:rFonts w:cs="Arial"/>
          <w:rtl/>
        </w:rPr>
        <w:t xml:space="preserve">. מיתיבי: הרי זה גיטך, ונטלתו וזרקתו לים או לאור או לכל דבר האבד, וחזר ואמר שטר פסים הוא שטר אמנה הוא </w:t>
      </w:r>
      <w:r w:rsidR="00A82951">
        <w:rPr>
          <w:rFonts w:cs="Arial"/>
          <w:rtl/>
        </w:rPr>
        <w:t>-</w:t>
      </w:r>
      <w:r>
        <w:rPr>
          <w:rFonts w:cs="Arial"/>
          <w:rtl/>
        </w:rPr>
        <w:t xml:space="preserve"> מגורשת, ולא כל הימנו לאוסרה. טעמא דאיכא כתב, הא ליכא כתב </w:t>
      </w:r>
      <w:r w:rsidR="00A82951">
        <w:rPr>
          <w:rFonts w:cs="Arial"/>
          <w:rtl/>
        </w:rPr>
        <w:t>-</w:t>
      </w:r>
      <w:r>
        <w:rPr>
          <w:rFonts w:cs="Arial"/>
          <w:rtl/>
        </w:rPr>
        <w:t xml:space="preserve"> לא</w:t>
      </w:r>
      <w:r>
        <w:rPr>
          <w:rStyle w:val="a7"/>
          <w:rFonts w:cs="Arial"/>
          <w:rtl/>
        </w:rPr>
        <w:footnoteReference w:id="1556"/>
      </w:r>
      <w:r>
        <w:rPr>
          <w:rFonts w:cs="Arial"/>
          <w:rtl/>
        </w:rPr>
        <w:t xml:space="preserve">! כי קאמר שמואל </w:t>
      </w:r>
      <w:r w:rsidR="00A82951">
        <w:rPr>
          <w:rFonts w:cs="Arial"/>
          <w:rtl/>
        </w:rPr>
        <w:t>-</w:t>
      </w:r>
      <w:r>
        <w:rPr>
          <w:rFonts w:cs="Arial"/>
          <w:rtl/>
        </w:rPr>
        <w:t xml:space="preserve"> דבדקינן ליה במיא דנרא</w:t>
      </w:r>
      <w:r>
        <w:rPr>
          <w:rStyle w:val="a7"/>
          <w:rFonts w:cs="Arial"/>
          <w:rtl/>
        </w:rPr>
        <w:footnoteReference w:id="1557"/>
      </w:r>
      <w:r>
        <w:rPr>
          <w:rFonts w:cs="Arial"/>
          <w:rtl/>
        </w:rPr>
        <w:t xml:space="preserve">, אי פליט </w:t>
      </w:r>
      <w:r w:rsidR="00A82951">
        <w:rPr>
          <w:rFonts w:cs="Arial"/>
          <w:rtl/>
        </w:rPr>
        <w:t>-</w:t>
      </w:r>
      <w:r>
        <w:rPr>
          <w:rFonts w:cs="Arial"/>
          <w:rtl/>
        </w:rPr>
        <w:t xml:space="preserve"> פליט, ואי לא פליט </w:t>
      </w:r>
      <w:r w:rsidR="00A82951">
        <w:rPr>
          <w:rFonts w:cs="Arial"/>
          <w:rtl/>
        </w:rPr>
        <w:t>-</w:t>
      </w:r>
      <w:r>
        <w:rPr>
          <w:rFonts w:cs="Arial"/>
          <w:rtl/>
        </w:rPr>
        <w:t xml:space="preserve"> לאו כלום הוא. וכי פליט מאי הוי? השתא הוא דפליט</w:t>
      </w:r>
      <w:r>
        <w:rPr>
          <w:rStyle w:val="a7"/>
          <w:rFonts w:cs="Arial"/>
          <w:rtl/>
        </w:rPr>
        <w:footnoteReference w:id="1558"/>
      </w:r>
      <w:r>
        <w:rPr>
          <w:rFonts w:cs="Arial"/>
          <w:rtl/>
        </w:rPr>
        <w:t>! שמואל נמי חיישינן</w:t>
      </w:r>
      <w:r>
        <w:rPr>
          <w:rStyle w:val="a7"/>
          <w:rFonts w:cs="Arial"/>
          <w:rtl/>
        </w:rPr>
        <w:footnoteReference w:id="1559"/>
      </w:r>
      <w:r>
        <w:rPr>
          <w:rFonts w:cs="Arial"/>
          <w:rtl/>
        </w:rPr>
        <w:t xml:space="preserve"> קאמר. </w:t>
      </w:r>
      <w:r>
        <w:rPr>
          <w:rFonts w:cs="Arial"/>
          <w:sz w:val="16"/>
          <w:szCs w:val="16"/>
          <w:rtl/>
        </w:rPr>
        <w:t xml:space="preserve">(וכתבו התוספות (שם) שמואל נמי חיישינן קאמר </w:t>
      </w:r>
      <w:r w:rsidR="00A82951">
        <w:rPr>
          <w:rFonts w:cs="Arial"/>
          <w:sz w:val="16"/>
          <w:szCs w:val="16"/>
          <w:rtl/>
        </w:rPr>
        <w:t>-</w:t>
      </w:r>
      <w:r>
        <w:rPr>
          <w:rFonts w:cs="Arial"/>
          <w:sz w:val="16"/>
          <w:szCs w:val="16"/>
          <w:rtl/>
        </w:rPr>
        <w:t xml:space="preserve"> השתא לא צריכנא לאוקמי בבדקיניה, דכי לא בדקיניה נמי איכא למיחש, ומיהו ודאי אי בדקיניה ולא פליט לאו כלום הוא. וכתב הרשב"א (ד"ה אמר שמואל) על דבריהם</w:t>
      </w:r>
      <w:r w:rsidR="00230100">
        <w:rPr>
          <w:rFonts w:cs="Arial" w:hint="cs"/>
          <w:sz w:val="16"/>
          <w:szCs w:val="16"/>
          <w:rtl/>
        </w:rPr>
        <w:t>:</w:t>
      </w:r>
      <w:r>
        <w:rPr>
          <w:rFonts w:cs="Arial"/>
          <w:sz w:val="16"/>
          <w:szCs w:val="16"/>
          <w:rtl/>
        </w:rPr>
        <w:t xml:space="preserve"> ותמיהא לי דא"כ הוה ליה למימר אלא 'שמואל חיישינן קאמר'. אלא ודאי לכאורה משמע דאשינויא קמא סמכינן, ולומר דכיון דליכא כתב אפילו מיחש לא חיישינן עד דבדקינן ליה ופליט. וכי פליט נמי אינה מגורשת ודאית, אלא ספק מגורשת ופסולה מן הכהונה. וכתב רבינו סתם כדברי התוספות. וכן נראה שהוא דעת רי"ו (ח"ה נכ"ד רי ע"ד), וגם נראה מדבריו שכן דעת רש"י (שם ד"ה משום מי מלין) גבי מעשה באחד שלקח ספר תורה ואמר לאשתו הרי זה גיטך. ודעת הרמ"ה הוא כדעת הרשב"א. וכתב הר"ן (ט: ד"ה גרסי' בגמרא אמר שמואל) שיש מי שפירש דלא מספקינן כלל אי הוה גט או נייר חלק, דכיון דאמר הרי זה גיטך נאמן כדמשמע בפרק יש נוחלין (ב"ב קלד:), וחששא דשמואל ליתיה אלא שמא בשעת הנתינה נבלעו האותיות ולא היה רישומן ניכר כלל עכ"ל. והרי"ף והרמב"ם השמיטו להא דשמואל. ואפשר דמשום דהיא מילתא דלא שכיחא לא חשו לכותבה, או שהיו מפרשים כדברי הרשב"א והרמ"ה דלעולם לא חיישינן לה אלא כי בדקיניה ופליט, וכל כי האי גוונא פשיטא דחיישינן ולא הוצרכו לכתבו, ב"י)</w:t>
      </w:r>
    </w:p>
    <w:p w14:paraId="3A8FB495" w14:textId="77777777" w:rsidR="00FA2119" w:rsidRDefault="00FA2119" w:rsidP="00FA2119">
      <w:pPr>
        <w:rPr>
          <w:u w:val="single"/>
          <w:rtl/>
        </w:rPr>
      </w:pPr>
      <w:r>
        <w:rPr>
          <w:rFonts w:cs="Arial"/>
          <w:u w:val="single"/>
          <w:rtl/>
        </w:rPr>
        <w:t>נתן לה נייר חלק ואמר לה הרי זה גיטך</w:t>
      </w:r>
      <w:r>
        <w:rPr>
          <w:u w:val="single"/>
          <w:rtl/>
        </w:rPr>
        <w:t>:</w:t>
      </w:r>
    </w:p>
    <w:p w14:paraId="360F9E55" w14:textId="14352C92" w:rsidR="00FA2119" w:rsidRDefault="00FA2119" w:rsidP="006A458D">
      <w:pPr>
        <w:pStyle w:val="ab"/>
        <w:numPr>
          <w:ilvl w:val="0"/>
          <w:numId w:val="92"/>
        </w:numPr>
        <w:rPr>
          <w:rtl/>
        </w:rPr>
      </w:pPr>
      <w:r>
        <w:rPr>
          <w:rFonts w:cs="Arial"/>
          <w:rtl/>
        </w:rPr>
        <w:t xml:space="preserve">תוס' </w:t>
      </w:r>
      <w:r>
        <w:rPr>
          <w:rFonts w:cs="Arial"/>
          <w:sz w:val="16"/>
          <w:szCs w:val="16"/>
          <w:rtl/>
        </w:rPr>
        <w:t>(יט: ד"ה ושמואל נמי)</w:t>
      </w:r>
      <w:r>
        <w:rPr>
          <w:rFonts w:cs="Arial"/>
          <w:rtl/>
        </w:rPr>
        <w:t xml:space="preserve"> וטור</w:t>
      </w:r>
      <w:r w:rsidR="00A82951">
        <w:rPr>
          <w:rFonts w:cs="Arial"/>
          <w:rtl/>
        </w:rPr>
        <w:t>-</w:t>
      </w:r>
      <w:r>
        <w:rPr>
          <w:rFonts w:cs="Arial"/>
          <w:rtl/>
        </w:rPr>
        <w:t xml:space="preserve"> נתן לה נייר חלק ואמר לה ה"ז גיטך, אם לא בדקו הנייר במי נירין לראות אם היה שום דבר כתוב בו, או אם יבדקו ותפלוט הכתיבה </w:t>
      </w:r>
      <w:r w:rsidR="00A82951">
        <w:rPr>
          <w:rFonts w:cs="Arial"/>
          <w:rtl/>
        </w:rPr>
        <w:t>-</w:t>
      </w:r>
      <w:r>
        <w:rPr>
          <w:rFonts w:cs="Arial"/>
          <w:rtl/>
        </w:rPr>
        <w:t xml:space="preserve"> הרי זו ספק מגורשת. ואם יבדקוהו ולא תפלוט הכתיבה </w:t>
      </w:r>
      <w:r w:rsidR="00A82951">
        <w:rPr>
          <w:rFonts w:cs="Arial"/>
          <w:rtl/>
        </w:rPr>
        <w:t>-</w:t>
      </w:r>
      <w:r>
        <w:rPr>
          <w:rFonts w:cs="Arial"/>
          <w:rtl/>
        </w:rPr>
        <w:t xml:space="preserve"> אין כאן חשש גירושין </w:t>
      </w:r>
      <w:r>
        <w:rPr>
          <w:rFonts w:cs="Arial"/>
          <w:sz w:val="16"/>
          <w:szCs w:val="16"/>
          <w:rtl/>
        </w:rPr>
        <w:t>(ל' הטור)</w:t>
      </w:r>
      <w:r>
        <w:rPr>
          <w:rFonts w:cs="Arial"/>
          <w:rtl/>
        </w:rPr>
        <w:t>.</w:t>
      </w:r>
      <w:r>
        <w:rPr>
          <w:rFonts w:cs="Arial"/>
          <w:color w:val="E36C0A" w:themeColor="accent6" w:themeShade="BF"/>
          <w:rtl/>
        </w:rPr>
        <w:t xml:space="preserve"> </w:t>
      </w:r>
      <w:r>
        <w:rPr>
          <w:color w:val="E36C0A" w:themeColor="accent6" w:themeShade="BF"/>
          <w:rtl/>
        </w:rPr>
        <w:t>(וכ"פ בשו"ע)</w:t>
      </w:r>
    </w:p>
    <w:p w14:paraId="1039F36E" w14:textId="0AB61735" w:rsidR="00FA2119" w:rsidRDefault="00FA2119" w:rsidP="006A458D">
      <w:pPr>
        <w:pStyle w:val="ab"/>
        <w:numPr>
          <w:ilvl w:val="0"/>
          <w:numId w:val="92"/>
        </w:numPr>
      </w:pPr>
      <w:r>
        <w:rPr>
          <w:rFonts w:cs="Arial"/>
          <w:rtl/>
        </w:rPr>
        <w:t xml:space="preserve">רמ"ה </w:t>
      </w:r>
      <w:r>
        <w:rPr>
          <w:rFonts w:cs="Arial"/>
          <w:sz w:val="16"/>
          <w:szCs w:val="16"/>
          <w:rtl/>
        </w:rPr>
        <w:t>(כ"כ הב"י בשמו)</w:t>
      </w:r>
      <w:r>
        <w:rPr>
          <w:rFonts w:cs="Arial"/>
          <w:rtl/>
        </w:rPr>
        <w:t xml:space="preserve"> ורשב"א </w:t>
      </w:r>
      <w:r>
        <w:rPr>
          <w:rFonts w:cs="Arial"/>
          <w:sz w:val="16"/>
          <w:szCs w:val="16"/>
          <w:rtl/>
        </w:rPr>
        <w:t>(ד"ה אמר שמואל)</w:t>
      </w:r>
      <w:r w:rsidR="00A82951">
        <w:rPr>
          <w:rFonts w:cs="Arial"/>
          <w:rtl/>
        </w:rPr>
        <w:t>-</w:t>
      </w:r>
      <w:r>
        <w:rPr>
          <w:rFonts w:cs="Arial"/>
          <w:rtl/>
        </w:rPr>
        <w:t xml:space="preserve"> כיון דליכא כתב אפילו מיחש לא חיישינן עד דבדקינן ליה ופליט</w:t>
      </w:r>
      <w:r>
        <w:rPr>
          <w:rStyle w:val="a7"/>
          <w:rFonts w:cs="Arial"/>
          <w:rtl/>
        </w:rPr>
        <w:footnoteReference w:id="1560"/>
      </w:r>
      <w:r>
        <w:rPr>
          <w:rFonts w:cs="Arial"/>
          <w:rtl/>
        </w:rPr>
        <w:t>. וכי פליט נמי אינה מגורשת ודאית, אלא ספק מגורשת ופסולה מן הכהונה</w:t>
      </w:r>
      <w:r>
        <w:rPr>
          <w:rFonts w:cs="Arial"/>
          <w:sz w:val="16"/>
          <w:szCs w:val="16"/>
          <w:rtl/>
        </w:rPr>
        <w:t xml:space="preserve"> (ל' הרשב"א)</w:t>
      </w:r>
      <w:r>
        <w:rPr>
          <w:rFonts w:cs="Arial"/>
          <w:rtl/>
        </w:rPr>
        <w:t>.</w:t>
      </w:r>
    </w:p>
    <w:p w14:paraId="1A3C808E"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lastRenderedPageBreak/>
        <w:t>שו"ע:</w:t>
      </w:r>
    </w:p>
    <w:p w14:paraId="1E1C86E7" w14:textId="77777777" w:rsidR="00FA2119" w:rsidRDefault="00FA2119" w:rsidP="00FA2119">
      <w:pPr>
        <w:rPr>
          <w:rFonts w:cs="Arial"/>
          <w:rtl/>
        </w:rPr>
      </w:pPr>
      <w:r>
        <w:rPr>
          <w:rFonts w:cs="Arial"/>
          <w:rtl/>
        </w:rPr>
        <w:t xml:space="preserve">נתן לה נייר חלק ואמר לה: הרי זה גיטך, אם לא בדקו הנייר במי נרא לראות אם היה שם דבר כתוב בו, או אם יבדקו ותפלוט הכתיבה, הרי זו ספק מגורשת. ואם יבדקוהו ולא תפלוט הכתיבה, אין כאן חשש גירושין. </w:t>
      </w:r>
    </w:p>
    <w:p w14:paraId="4770120D" w14:textId="77777777" w:rsidR="00FA2119" w:rsidRDefault="00FA2119" w:rsidP="00FA2119">
      <w:pPr>
        <w:rPr>
          <w:rtl/>
        </w:rPr>
      </w:pPr>
    </w:p>
    <w:p w14:paraId="3171572A" w14:textId="77777777" w:rsidR="00FA2119" w:rsidRDefault="00FA2119" w:rsidP="00FA2119">
      <w:pPr>
        <w:pStyle w:val="2"/>
        <w:rPr>
          <w:rtl/>
        </w:rPr>
      </w:pPr>
      <w:r>
        <w:rPr>
          <w:rtl/>
        </w:rPr>
        <w:t>סעיף ה:</w:t>
      </w:r>
      <w:r>
        <w:rPr>
          <w:rFonts w:cs="Arial"/>
          <w:rtl/>
        </w:rPr>
        <w:t xml:space="preserve"> זרק לה גט בין החביות</w:t>
      </w:r>
      <w:r>
        <w:rPr>
          <w:rtl/>
        </w:rPr>
        <w:t>, ומצאו שטר אחר.</w:t>
      </w:r>
    </w:p>
    <w:p w14:paraId="6429A2F3" w14:textId="77777777" w:rsidR="00FA2119" w:rsidRDefault="00FA2119" w:rsidP="00FA2119">
      <w:pPr>
        <w:rPr>
          <w:rFonts w:cs="Arial"/>
          <w:rtl/>
        </w:rPr>
      </w:pPr>
      <w:r>
        <w:rPr>
          <w:rFonts w:cs="Arial"/>
          <w:b/>
          <w:bCs/>
          <w:rtl/>
        </w:rPr>
        <w:t xml:space="preserve">גיטין </w:t>
      </w:r>
      <w:r>
        <w:rPr>
          <w:rFonts w:cs="Arial"/>
          <w:b/>
          <w:bCs/>
          <w:sz w:val="16"/>
          <w:szCs w:val="16"/>
          <w:rtl/>
        </w:rPr>
        <w:t>(פ"ב)</w:t>
      </w:r>
      <w:r>
        <w:rPr>
          <w:rFonts w:cs="Arial"/>
          <w:b/>
          <w:bCs/>
          <w:rtl/>
        </w:rPr>
        <w:t xml:space="preserve"> יט ע"ב:</w:t>
      </w:r>
      <w:r>
        <w:rPr>
          <w:rFonts w:cs="Arial"/>
          <w:rtl/>
        </w:rPr>
        <w:t xml:space="preserve"> ההוא גברא דזרק לה גיטא לדביתהו לביני דני, אשתכח מזוזתא. </w:t>
      </w:r>
      <w:r>
        <w:rPr>
          <w:rFonts w:cs="Arial"/>
          <w:u w:val="single"/>
          <w:rtl/>
        </w:rPr>
        <w:t>אמר רב נחמן</w:t>
      </w:r>
      <w:r>
        <w:rPr>
          <w:rFonts w:cs="Arial"/>
          <w:rtl/>
        </w:rPr>
        <w:t xml:space="preserve">: מזוזתא ביני דני לא שכיחא. וה"מ דאשתכח חדא, אבל ב' ג', מדהא הואי, הא נמי הואי, וגיטא אימור עכברים שקלוה. </w:t>
      </w:r>
    </w:p>
    <w:p w14:paraId="2C5D2310" w14:textId="77777777" w:rsidR="00FA2119" w:rsidRDefault="00FA2119" w:rsidP="00FA2119">
      <w:pPr>
        <w:rPr>
          <w:u w:val="single"/>
          <w:rtl/>
        </w:rPr>
      </w:pPr>
      <w:r>
        <w:rPr>
          <w:rFonts w:cs="Arial"/>
          <w:u w:val="single"/>
          <w:rtl/>
        </w:rPr>
        <w:t xml:space="preserve">זרק לה גט בין החביות, </w:t>
      </w:r>
      <w:r>
        <w:rPr>
          <w:rFonts w:cs="Arial"/>
          <w:b/>
          <w:bCs/>
          <w:u w:val="single"/>
          <w:rtl/>
        </w:rPr>
        <w:t>ולא קראו</w:t>
      </w:r>
      <w:r>
        <w:rPr>
          <w:rFonts w:cs="Arial"/>
          <w:u w:val="single"/>
          <w:rtl/>
        </w:rPr>
        <w:t xml:space="preserve"> אותו העדים לפנ"כ</w:t>
      </w:r>
      <w:r>
        <w:rPr>
          <w:u w:val="single"/>
          <w:rtl/>
        </w:rPr>
        <w:t>, ומצאו שם שטר אחר:</w:t>
      </w:r>
    </w:p>
    <w:p w14:paraId="0C16EE0A" w14:textId="0D48771D" w:rsidR="00FA2119" w:rsidRDefault="00FA2119" w:rsidP="006A458D">
      <w:pPr>
        <w:pStyle w:val="ab"/>
        <w:numPr>
          <w:ilvl w:val="0"/>
          <w:numId w:val="92"/>
        </w:numPr>
        <w:rPr>
          <w:rtl/>
        </w:rPr>
      </w:pPr>
      <w:r>
        <w:rPr>
          <w:rFonts w:cs="Arial"/>
          <w:rtl/>
        </w:rPr>
        <w:t xml:space="preserve">רמב"ם </w:t>
      </w:r>
      <w:r>
        <w:rPr>
          <w:rFonts w:cs="Arial"/>
          <w:sz w:val="16"/>
          <w:szCs w:val="16"/>
          <w:rtl/>
        </w:rPr>
        <w:t>(פ"א הי"ט</w:t>
      </w:r>
      <w:r w:rsidR="00A82951">
        <w:rPr>
          <w:rFonts w:cs="Arial"/>
          <w:sz w:val="16"/>
          <w:szCs w:val="16"/>
          <w:rtl/>
        </w:rPr>
        <w:t>-</w:t>
      </w:r>
      <w:r>
        <w:rPr>
          <w:rFonts w:cs="Arial"/>
          <w:sz w:val="16"/>
          <w:szCs w:val="16"/>
          <w:rtl/>
        </w:rPr>
        <w:t>כב)</w:t>
      </w:r>
      <w:r>
        <w:rPr>
          <w:rFonts w:cs="Arial"/>
          <w:rtl/>
        </w:rPr>
        <w:t xml:space="preserve"> רשב"א </w:t>
      </w:r>
      <w:r>
        <w:rPr>
          <w:rFonts w:cs="Arial"/>
          <w:sz w:val="16"/>
          <w:szCs w:val="16"/>
          <w:rtl/>
        </w:rPr>
        <w:t>(יט: ד"ה ההוא גברא דזרק)</w:t>
      </w:r>
      <w:r>
        <w:rPr>
          <w:rFonts w:cs="Arial"/>
          <w:rtl/>
        </w:rPr>
        <w:t xml:space="preserve"> טור ור"ן </w:t>
      </w:r>
      <w:r>
        <w:rPr>
          <w:rFonts w:cs="Arial"/>
          <w:sz w:val="16"/>
          <w:szCs w:val="16"/>
          <w:rtl/>
        </w:rPr>
        <w:t>(ט: ד"ה גרסי' בגמ' ההוא)</w:t>
      </w:r>
      <w:r w:rsidR="00A82951">
        <w:rPr>
          <w:rFonts w:cs="Arial"/>
          <w:rtl/>
        </w:rPr>
        <w:t>-</w:t>
      </w:r>
      <w:r>
        <w:rPr>
          <w:rFonts w:cs="Arial"/>
          <w:rtl/>
        </w:rPr>
        <w:t xml:space="preserve"> זרק לה כתב בפני עדים בין החביות ואמר לה ה"ז גיטך, ובקשוהו ומצאו מזוזה או שטר אחר</w:t>
      </w:r>
      <w:r>
        <w:rPr>
          <w:rStyle w:val="a7"/>
          <w:rFonts w:cs="Arial"/>
          <w:rtl/>
        </w:rPr>
        <w:footnoteReference w:id="1561"/>
      </w:r>
      <w:r>
        <w:rPr>
          <w:rFonts w:cs="Arial"/>
          <w:rtl/>
        </w:rPr>
        <w:t xml:space="preserve"> </w:t>
      </w:r>
      <w:r w:rsidR="00A82951">
        <w:rPr>
          <w:rFonts w:cs="Arial"/>
          <w:rtl/>
        </w:rPr>
        <w:t>-</w:t>
      </w:r>
      <w:r>
        <w:rPr>
          <w:rFonts w:cs="Arial"/>
          <w:rtl/>
        </w:rPr>
        <w:t xml:space="preserve"> אין חוששין לגירושין</w:t>
      </w:r>
      <w:r>
        <w:rPr>
          <w:rStyle w:val="a7"/>
          <w:rFonts w:cs="Arial"/>
          <w:rtl/>
        </w:rPr>
        <w:footnoteReference w:id="1562"/>
      </w:r>
      <w:r>
        <w:rPr>
          <w:rFonts w:cs="Arial"/>
          <w:rtl/>
        </w:rPr>
        <w:t>, שזה ודאי שנמצא הוא שזרק</w:t>
      </w:r>
      <w:r w:rsidR="0025062C">
        <w:rPr>
          <w:rFonts w:cs="Arial" w:hint="cs"/>
          <w:rtl/>
        </w:rPr>
        <w:t>...</w:t>
      </w:r>
      <w:r>
        <w:rPr>
          <w:rFonts w:cs="Arial"/>
          <w:rtl/>
        </w:rPr>
        <w:t xml:space="preserve"> </w:t>
      </w:r>
      <w:r w:rsidR="00550C61">
        <w:rPr>
          <w:rFonts w:cs="Arial"/>
          <w:rtl/>
        </w:rPr>
        <w:t>נמצאו ב' או ג' מזוזות, חוששין שמא גט שזרק גררוהו עכברים - והרי זו ספק מגורשת</w:t>
      </w:r>
      <w:r w:rsidR="00550C61">
        <w:rPr>
          <w:rFonts w:cs="Arial"/>
          <w:sz w:val="16"/>
          <w:szCs w:val="16"/>
          <w:rtl/>
        </w:rPr>
        <w:t xml:space="preserve"> </w:t>
      </w:r>
      <w:r>
        <w:rPr>
          <w:rFonts w:cs="Arial"/>
          <w:sz w:val="16"/>
          <w:szCs w:val="16"/>
          <w:rtl/>
        </w:rPr>
        <w:t>(ל' הטור)</w:t>
      </w:r>
      <w:r>
        <w:rPr>
          <w:rFonts w:cs="Arial"/>
          <w:rtl/>
        </w:rPr>
        <w:t xml:space="preserve">. </w:t>
      </w:r>
      <w:r>
        <w:rPr>
          <w:color w:val="E36C0A" w:themeColor="accent6" w:themeShade="BF"/>
          <w:rtl/>
        </w:rPr>
        <w:t>(וכ"פ בשו"ע)</w:t>
      </w:r>
    </w:p>
    <w:p w14:paraId="66B6A536" w14:textId="77777777" w:rsidR="00FA2119" w:rsidRDefault="00FA2119" w:rsidP="00FA2119">
      <w:pPr>
        <w:ind w:left="360"/>
        <w:rPr>
          <w:u w:val="dotted"/>
        </w:rPr>
      </w:pPr>
      <w:r>
        <w:rPr>
          <w:u w:val="dotted"/>
          <w:rtl/>
        </w:rPr>
        <w:t xml:space="preserve">ומה הדין אם </w:t>
      </w:r>
      <w:r>
        <w:rPr>
          <w:b/>
          <w:bCs/>
          <w:u w:val="dotted"/>
          <w:rtl/>
        </w:rPr>
        <w:t>קראו</w:t>
      </w:r>
      <w:r>
        <w:rPr>
          <w:u w:val="dotted"/>
          <w:rtl/>
        </w:rPr>
        <w:t xml:space="preserve"> אותו העדים לפני שזרק לה:</w:t>
      </w:r>
    </w:p>
    <w:p w14:paraId="07ECEF93" w14:textId="016FA81F" w:rsidR="00FA2119" w:rsidRDefault="00FA2119" w:rsidP="006A458D">
      <w:pPr>
        <w:pStyle w:val="ab"/>
        <w:numPr>
          <w:ilvl w:val="0"/>
          <w:numId w:val="92"/>
        </w:numPr>
      </w:pPr>
      <w:r>
        <w:rPr>
          <w:rFonts w:cs="Arial"/>
          <w:rtl/>
        </w:rPr>
        <w:t>טור</w:t>
      </w:r>
      <w:r w:rsidR="00A82951">
        <w:rPr>
          <w:rFonts w:cs="Arial"/>
          <w:rtl/>
        </w:rPr>
        <w:t>-</w:t>
      </w:r>
      <w:r>
        <w:rPr>
          <w:rFonts w:cs="Arial"/>
          <w:rtl/>
        </w:rPr>
        <w:t xml:space="preserve"> ודוקא שלא קראוהו,</w:t>
      </w:r>
      <w:r>
        <w:rPr>
          <w:rFonts w:cs="Arial"/>
          <w:sz w:val="16"/>
          <w:szCs w:val="16"/>
          <w:rtl/>
        </w:rPr>
        <w:t xml:space="preserve"> </w:t>
      </w:r>
      <w:r>
        <w:rPr>
          <w:rFonts w:cs="Arial"/>
          <w:rtl/>
        </w:rPr>
        <w:t xml:space="preserve">אבל אם לאחר שקראוהו שהיה גט, וחזר הבעל ולקחו מידה וזרקו ונמצא מזוזה </w:t>
      </w:r>
      <w:r w:rsidR="00A82951">
        <w:rPr>
          <w:rFonts w:cs="Arial"/>
          <w:rtl/>
        </w:rPr>
        <w:t>-</w:t>
      </w:r>
      <w:r>
        <w:rPr>
          <w:rFonts w:cs="Arial"/>
          <w:rtl/>
        </w:rPr>
        <w:t xml:space="preserve"> הוי ספק מגורשת. </w:t>
      </w:r>
      <w:r>
        <w:rPr>
          <w:color w:val="E36C0A" w:themeColor="accent6" w:themeShade="BF"/>
          <w:rtl/>
        </w:rPr>
        <w:t>(וכ"פ בשו"ע)</w:t>
      </w:r>
    </w:p>
    <w:p w14:paraId="27AF7D8C" w14:textId="2E8F279A" w:rsidR="00FA2119" w:rsidRDefault="00FA2119" w:rsidP="006A458D">
      <w:pPr>
        <w:pStyle w:val="ab"/>
        <w:numPr>
          <w:ilvl w:val="0"/>
          <w:numId w:val="92"/>
        </w:numPr>
      </w:pPr>
      <w:r>
        <w:rPr>
          <w:rFonts w:cs="Arial"/>
          <w:rtl/>
        </w:rPr>
        <w:t>רשב"א</w:t>
      </w:r>
      <w:r>
        <w:rPr>
          <w:rFonts w:cs="Arial"/>
          <w:sz w:val="16"/>
          <w:szCs w:val="16"/>
          <w:rtl/>
        </w:rPr>
        <w:t xml:space="preserve"> (שם)</w:t>
      </w:r>
      <w:r w:rsidR="00A82951">
        <w:rPr>
          <w:rFonts w:cs="Arial"/>
          <w:rtl/>
        </w:rPr>
        <w:t>-</w:t>
      </w:r>
      <w:r>
        <w:rPr>
          <w:rFonts w:cs="Arial"/>
          <w:rtl/>
        </w:rPr>
        <w:t xml:space="preserve"> קראוהו תחלה ועייליה לבי ידיה ואפקיה וזרקו לה </w:t>
      </w:r>
      <w:r w:rsidR="00A82951">
        <w:rPr>
          <w:rFonts w:cs="Arial"/>
          <w:rtl/>
        </w:rPr>
        <w:t>-</w:t>
      </w:r>
      <w:r>
        <w:rPr>
          <w:rFonts w:cs="Arial"/>
          <w:rtl/>
        </w:rPr>
        <w:t xml:space="preserve"> מגורשת ודאית אפילו לא אשתכח אלא חדא.</w:t>
      </w:r>
    </w:p>
    <w:p w14:paraId="70E97CCA"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8654419" w14:textId="77777777" w:rsidR="00FA2119" w:rsidRDefault="00FA2119" w:rsidP="00FA2119">
      <w:pPr>
        <w:rPr>
          <w:rtl/>
        </w:rPr>
      </w:pPr>
      <w:r>
        <w:rPr>
          <w:rFonts w:cs="Arial"/>
          <w:rtl/>
        </w:rPr>
        <w:t>זרק לה הגט לחצרה לבין החביות, בפני עדים, ובקשו ומצאו מזוזה או שטר אחר, אין חוששין לה, שזה שנמצא הוא שזרק. ואם נמצאו ב' או ג' מזוזות או שטרות, חוששין שמא גט שזרק אכלוהו עכברים, והרי זו ספק מגורשת. במה דברים אמורים, כשלא קראוהו. אבל אם לאחר שקראוהו שהיה גט חזר הבעל ולקחו מידם וזרקו [לחצירה] לבין החביות, אפילו לא נמצא אלא מזוזה אחת או שטר אחד, הרי זו ספק מגורשת</w:t>
      </w:r>
      <w:r>
        <w:rPr>
          <w:rStyle w:val="a7"/>
          <w:rFonts w:cs="Arial"/>
          <w:rtl/>
        </w:rPr>
        <w:footnoteReference w:id="1563"/>
      </w:r>
      <w:r>
        <w:rPr>
          <w:rFonts w:cs="Arial"/>
          <w:rtl/>
        </w:rPr>
        <w:t>.</w:t>
      </w:r>
    </w:p>
    <w:p w14:paraId="6FF25084" w14:textId="77777777" w:rsidR="00FA2119" w:rsidRDefault="00FA2119" w:rsidP="00FA2119">
      <w:pPr>
        <w:bidi w:val="0"/>
        <w:spacing w:after="0"/>
        <w:rPr>
          <w:rtl/>
        </w:rPr>
        <w:sectPr w:rsidR="00FA2119">
          <w:headerReference w:type="default" r:id="rId28"/>
          <w:footnotePr>
            <w:numRestart w:val="eachSect"/>
          </w:footnotePr>
          <w:pgSz w:w="11906" w:h="16838"/>
          <w:pgMar w:top="720" w:right="1134" w:bottom="720" w:left="1134" w:header="0" w:footer="0" w:gutter="0"/>
          <w:cols w:space="720"/>
          <w:bidi/>
          <w:rtlGutter/>
        </w:sectPr>
      </w:pPr>
    </w:p>
    <w:p w14:paraId="3E07C533" w14:textId="77777777" w:rsidR="00FA2119" w:rsidRDefault="00FA2119" w:rsidP="00FA2119">
      <w:pPr>
        <w:pStyle w:val="1"/>
        <w:rPr>
          <w:rtl/>
        </w:rPr>
      </w:pPr>
      <w:r>
        <w:rPr>
          <w:rtl/>
        </w:rPr>
        <w:lastRenderedPageBreak/>
        <w:t xml:space="preserve">סימן קלו: </w:t>
      </w:r>
      <w:r>
        <w:rPr>
          <w:rFonts w:cs="Arial"/>
          <w:rtl/>
        </w:rPr>
        <w:t xml:space="preserve">דין איזה לשון צריך שיאמר בשעת הנתינה, והמגרש בשבת, ובו ז' סעיפים. </w:t>
      </w:r>
    </w:p>
    <w:p w14:paraId="4B250912" w14:textId="77777777" w:rsidR="00FA2119" w:rsidRDefault="00FA2119" w:rsidP="00FA2119">
      <w:pPr>
        <w:pStyle w:val="2"/>
        <w:rPr>
          <w:rtl/>
        </w:rPr>
      </w:pPr>
      <w:r>
        <w:rPr>
          <w:rtl/>
        </w:rPr>
        <w:t>סעיף א: מה צריך לומר בשעת נתינת הגט.</w:t>
      </w:r>
    </w:p>
    <w:p w14:paraId="66D9E5AE" w14:textId="048BE106" w:rsidR="00FA2119" w:rsidRDefault="00FA2119" w:rsidP="00FA2119">
      <w:pPr>
        <w:rPr>
          <w:rtl/>
        </w:rPr>
      </w:pPr>
      <w:r>
        <w:rPr>
          <w:rFonts w:cs="Arial"/>
          <w:b/>
          <w:bCs/>
          <w:rtl/>
        </w:rPr>
        <w:t xml:space="preserve">גיטין </w:t>
      </w:r>
      <w:r>
        <w:rPr>
          <w:rFonts w:cs="Arial"/>
          <w:b/>
          <w:bCs/>
          <w:sz w:val="16"/>
          <w:szCs w:val="16"/>
          <w:rtl/>
        </w:rPr>
        <w:t>(פ' הניזקין)</w:t>
      </w:r>
      <w:r>
        <w:rPr>
          <w:rFonts w:cs="Arial"/>
          <w:b/>
          <w:bCs/>
          <w:rtl/>
        </w:rPr>
        <w:t xml:space="preserve"> נה ע"א:</w:t>
      </w:r>
      <w:r>
        <w:rPr>
          <w:rFonts w:cs="Arial"/>
          <w:rtl/>
        </w:rPr>
        <w:t xml:space="preserve"> </w:t>
      </w:r>
      <w:r>
        <w:rPr>
          <w:rFonts w:cs="Arial"/>
          <w:u w:val="double"/>
          <w:rtl/>
        </w:rPr>
        <w:t>מתני'</w:t>
      </w:r>
      <w:r>
        <w:rPr>
          <w:rFonts w:cs="Arial"/>
          <w:rtl/>
        </w:rPr>
        <w:t xml:space="preserve">: </w:t>
      </w:r>
      <w:r>
        <w:rPr>
          <w:rFonts w:cs="Arial"/>
          <w:u w:val="single"/>
          <w:rtl/>
        </w:rPr>
        <w:t>העיד רבי יוחנן בן גודגדא</w:t>
      </w:r>
      <w:r>
        <w:rPr>
          <w:rFonts w:cs="Arial"/>
          <w:rtl/>
        </w:rPr>
        <w:t xml:space="preserve">: על החרשת שהשיאה אביה </w:t>
      </w:r>
      <w:r w:rsidR="00A82951">
        <w:rPr>
          <w:rFonts w:cs="Arial"/>
          <w:rtl/>
        </w:rPr>
        <w:t>-</w:t>
      </w:r>
      <w:r>
        <w:rPr>
          <w:rFonts w:cs="Arial"/>
          <w:rtl/>
        </w:rPr>
        <w:t xml:space="preserve"> שהיא יוצאה בגט...     </w:t>
      </w:r>
      <w:r>
        <w:rPr>
          <w:rFonts w:cs="Arial"/>
          <w:u w:val="double"/>
          <w:rtl/>
        </w:rPr>
        <w:t>גמ'</w:t>
      </w:r>
      <w:r>
        <w:rPr>
          <w:rFonts w:cs="Arial"/>
          <w:rtl/>
        </w:rPr>
        <w:t xml:space="preserve">: </w:t>
      </w:r>
      <w:r>
        <w:rPr>
          <w:rFonts w:cs="Arial"/>
          <w:u w:val="single"/>
          <w:rtl/>
        </w:rPr>
        <w:t>אמר רבא</w:t>
      </w:r>
      <w:r>
        <w:rPr>
          <w:rFonts w:cs="Arial"/>
          <w:rtl/>
        </w:rPr>
        <w:t xml:space="preserve">: מעדותו של רבי יוחנן בן גודגדא, אמר לעדים ראו גט זה שאני נותן לה, וחזר ואמר לה כנסי שטר חוב זה </w:t>
      </w:r>
      <w:r w:rsidR="00A82951">
        <w:rPr>
          <w:rFonts w:cs="Arial"/>
          <w:rtl/>
        </w:rPr>
        <w:t>-</w:t>
      </w:r>
      <w:r>
        <w:rPr>
          <w:rFonts w:cs="Arial"/>
          <w:rtl/>
        </w:rPr>
        <w:t xml:space="preserve"> הרי זו מגורשת, מי לא אמר ר' יוחנן בן גודגדא לא בעינן דעתה? ה"נ לא בעינן דעתה. פשיטא! מהו דתימא, כיון דאמר כנסי שטר חוב זה בטולי בטליה, קמ"ל, אם איתא דבטליה </w:t>
      </w:r>
      <w:r w:rsidR="00A82951">
        <w:rPr>
          <w:rFonts w:cs="Arial"/>
          <w:rtl/>
        </w:rPr>
        <w:t>-</w:t>
      </w:r>
      <w:r>
        <w:rPr>
          <w:rFonts w:cs="Arial"/>
          <w:rtl/>
        </w:rPr>
        <w:t xml:space="preserve"> לעדים הוה אמר להו, והאי דקאמר הכי </w:t>
      </w:r>
      <w:r w:rsidR="00A82951">
        <w:rPr>
          <w:rFonts w:cs="Arial"/>
          <w:rtl/>
        </w:rPr>
        <w:t>-</w:t>
      </w:r>
      <w:r>
        <w:rPr>
          <w:rFonts w:cs="Arial"/>
          <w:rtl/>
        </w:rPr>
        <w:t xml:space="preserve"> משום כיסופא.</w:t>
      </w:r>
    </w:p>
    <w:p w14:paraId="504D44DD" w14:textId="34F4A233" w:rsidR="00FA2119" w:rsidRDefault="00FA2119" w:rsidP="00FA2119">
      <w:pPr>
        <w:rPr>
          <w:rtl/>
        </w:rPr>
      </w:pPr>
      <w:r>
        <w:rPr>
          <w:rFonts w:cs="Arial"/>
          <w:b/>
          <w:bCs/>
          <w:rtl/>
        </w:rPr>
        <w:t xml:space="preserve">גיטין </w:t>
      </w:r>
      <w:r>
        <w:rPr>
          <w:rFonts w:cs="Arial"/>
          <w:b/>
          <w:bCs/>
          <w:sz w:val="16"/>
          <w:szCs w:val="16"/>
          <w:rtl/>
        </w:rPr>
        <w:t>(פ' הזורק)</w:t>
      </w:r>
      <w:r>
        <w:rPr>
          <w:rFonts w:cs="Arial"/>
          <w:b/>
          <w:bCs/>
          <w:rtl/>
        </w:rPr>
        <w:t xml:space="preserve"> עח ע"א:</w:t>
      </w:r>
      <w:r>
        <w:rPr>
          <w:rFonts w:cs="Arial"/>
          <w:rtl/>
        </w:rPr>
        <w:t xml:space="preserve"> </w:t>
      </w:r>
      <w:r>
        <w:rPr>
          <w:rFonts w:cs="Arial"/>
          <w:u w:val="double"/>
          <w:rtl/>
        </w:rPr>
        <w:t>מתני'</w:t>
      </w:r>
      <w:r>
        <w:rPr>
          <w:rFonts w:cs="Arial"/>
          <w:rtl/>
        </w:rPr>
        <w:t xml:space="preserve">: אמר לה כנסי שטר חוב זה, או שמצאתו מאחוריו, קוראה והרי הוא גיטה </w:t>
      </w:r>
      <w:r w:rsidR="00A82951">
        <w:rPr>
          <w:rFonts w:cs="Arial"/>
          <w:rtl/>
        </w:rPr>
        <w:t>-</w:t>
      </w:r>
      <w:r>
        <w:rPr>
          <w:rFonts w:cs="Arial"/>
          <w:rtl/>
        </w:rPr>
        <w:t xml:space="preserve"> אינו גט, עד שיאמר לה הא גיטיך. נתן בידה והיא ישנה, ניעורה קוראה והרי הוא גיטה </w:t>
      </w:r>
      <w:r w:rsidR="00A82951">
        <w:rPr>
          <w:rFonts w:cs="Arial"/>
          <w:rtl/>
        </w:rPr>
        <w:t>-</w:t>
      </w:r>
      <w:r>
        <w:rPr>
          <w:rFonts w:cs="Arial"/>
          <w:rtl/>
        </w:rPr>
        <w:t xml:space="preserve"> אינו גט, עד שיאמר לה הא גיטיך.</w:t>
      </w:r>
      <w:r>
        <w:rPr>
          <w:rtl/>
        </w:rPr>
        <w:t xml:space="preserve"> </w:t>
      </w:r>
      <w:r>
        <w:rPr>
          <w:rFonts w:cs="Arial"/>
          <w:sz w:val="16"/>
          <w:szCs w:val="16"/>
          <w:rtl/>
        </w:rPr>
        <w:t xml:space="preserve">(וכתבו </w:t>
      </w:r>
      <w:r w:rsidRPr="005C7C31">
        <w:rPr>
          <w:rFonts w:cs="Arial"/>
          <w:sz w:val="16"/>
          <w:szCs w:val="16"/>
          <w:rtl/>
        </w:rPr>
        <w:t>התוס' (ד"ה אינו גט)</w:t>
      </w:r>
      <w:r w:rsidR="00E72D6E" w:rsidRPr="005C7C31">
        <w:rPr>
          <w:rFonts w:cs="Arial" w:hint="cs"/>
          <w:sz w:val="16"/>
          <w:szCs w:val="16"/>
          <w:rtl/>
        </w:rPr>
        <w:t>:</w:t>
      </w:r>
      <w:r w:rsidRPr="005C7C31">
        <w:rPr>
          <w:rFonts w:cs="Arial"/>
          <w:sz w:val="16"/>
          <w:szCs w:val="16"/>
          <w:rtl/>
        </w:rPr>
        <w:t xml:space="preserve"> ר"י היה מצריך לנותן גט לאשתו לומר 'הי גיטיך' וגם 'הרי את מותרת לכל אדם', כדמשמע בהמגרש (פה:) שהיו רגילים לומר ג"כ ודן</w:t>
      </w:r>
      <w:r w:rsidRPr="005C7C31">
        <w:rPr>
          <w:rStyle w:val="a7"/>
          <w:rFonts w:cs="Arial"/>
          <w:sz w:val="16"/>
          <w:szCs w:val="16"/>
          <w:rtl/>
        </w:rPr>
        <w:footnoteReference w:id="1564"/>
      </w:r>
      <w:r w:rsidRPr="005C7C31">
        <w:rPr>
          <w:rFonts w:cs="Arial"/>
          <w:sz w:val="16"/>
          <w:szCs w:val="16"/>
          <w:rtl/>
        </w:rPr>
        <w:t>. ומיהו קשה</w:t>
      </w:r>
      <w:r w:rsidR="005C7C31">
        <w:rPr>
          <w:rFonts w:cs="Arial" w:hint="cs"/>
          <w:sz w:val="16"/>
          <w:szCs w:val="16"/>
          <w:rtl/>
        </w:rPr>
        <w:t>,</w:t>
      </w:r>
      <w:r w:rsidRPr="005C7C31">
        <w:rPr>
          <w:rFonts w:cs="Arial"/>
          <w:sz w:val="16"/>
          <w:szCs w:val="16"/>
          <w:rtl/>
        </w:rPr>
        <w:t xml:space="preserve"> דבהניזקין (נה.) משמע דאפילו לא אמר כשר גבי מעדותו של רבי יוחנן בן גודגדא נשמע אמר לעדים ראו גט זה וכו'. וי"ל דהתם נמי אח"כ יגידו לה העדים</w:t>
      </w:r>
      <w:r>
        <w:rPr>
          <w:rFonts w:cs="Arial"/>
          <w:sz w:val="16"/>
          <w:szCs w:val="16"/>
          <w:rtl/>
        </w:rPr>
        <w:t xml:space="preserve"> שהיא מגורשת, אע"פ דהאשה מתגרשת בעל כרחה מכל מקום צריך לומר לה הי גיטיך והרי את מותרת לכל אדם, שתדע שהיא מגורשת ולא תהא חוזרת, דבעינן שיהא משלחה ואינה חוזרת)</w:t>
      </w:r>
    </w:p>
    <w:p w14:paraId="3F57A767" w14:textId="77777777" w:rsidR="00FA2119" w:rsidRDefault="00FA2119" w:rsidP="00FA2119">
      <w:pPr>
        <w:rPr>
          <w:u w:val="single"/>
          <w:rtl/>
        </w:rPr>
      </w:pPr>
      <w:r>
        <w:rPr>
          <w:rFonts w:cs="Arial"/>
          <w:u w:val="single"/>
          <w:rtl/>
        </w:rPr>
        <w:t>מה צריך לומר בשעת נתינת הגט</w:t>
      </w:r>
      <w:r>
        <w:rPr>
          <w:u w:val="single"/>
          <w:rtl/>
        </w:rPr>
        <w:t>:</w:t>
      </w:r>
    </w:p>
    <w:p w14:paraId="20BE0172" w14:textId="747B6CC1" w:rsidR="00FA2119" w:rsidRDefault="00FA2119" w:rsidP="006A458D">
      <w:pPr>
        <w:pStyle w:val="ab"/>
        <w:numPr>
          <w:ilvl w:val="0"/>
          <w:numId w:val="92"/>
        </w:numPr>
        <w:rPr>
          <w:rtl/>
        </w:rPr>
      </w:pPr>
      <w:r>
        <w:rPr>
          <w:rFonts w:cs="Arial"/>
          <w:rtl/>
        </w:rPr>
        <w:t xml:space="preserve">ר"י </w:t>
      </w:r>
      <w:r>
        <w:rPr>
          <w:rFonts w:cs="Arial"/>
          <w:sz w:val="16"/>
          <w:szCs w:val="16"/>
          <w:rtl/>
        </w:rPr>
        <w:t>(בתוס' עח. ד"ה אינו גט)</w:t>
      </w:r>
      <w:r w:rsidR="00A82951">
        <w:rPr>
          <w:rFonts w:cs="Arial"/>
          <w:rtl/>
        </w:rPr>
        <w:t>-</w:t>
      </w:r>
      <w:r>
        <w:rPr>
          <w:rFonts w:cs="Arial"/>
          <w:rtl/>
        </w:rPr>
        <w:t xml:space="preserve">  צריך לומר לה 'הי גיטיך והרי את מותרת לכל אדם'. </w:t>
      </w:r>
    </w:p>
    <w:p w14:paraId="1FF4DB74" w14:textId="2717F491" w:rsidR="00FA2119" w:rsidRDefault="00FA2119" w:rsidP="006A458D">
      <w:pPr>
        <w:pStyle w:val="ab"/>
        <w:numPr>
          <w:ilvl w:val="0"/>
          <w:numId w:val="92"/>
        </w:numPr>
      </w:pPr>
      <w:r>
        <w:rPr>
          <w:rFonts w:cs="Arial"/>
          <w:rtl/>
        </w:rPr>
        <w:t>טור</w:t>
      </w:r>
      <w:r w:rsidR="00A82951">
        <w:rPr>
          <w:rFonts w:cs="Arial"/>
          <w:rtl/>
        </w:rPr>
        <w:t>-</w:t>
      </w:r>
      <w:r>
        <w:rPr>
          <w:rFonts w:cs="Arial"/>
          <w:rtl/>
        </w:rPr>
        <w:t xml:space="preserve"> נותן לה גט הוא או שלוחו, לידה או ליד שלוחה, ואומר בשעה שנותנו לה 'הרי את מגורשת ממני בגט זה ומותרת לכל אדם', או 'הרי את משולחת ממני'. ואם שלוחו נותנו לה אומר 'הרי את מגורשת מפלוני בעלך'</w:t>
      </w:r>
      <w:r>
        <w:rPr>
          <w:rFonts w:cs="Arial"/>
          <w:sz w:val="16"/>
          <w:szCs w:val="16"/>
          <w:rtl/>
        </w:rPr>
        <w:t xml:space="preserve"> (ל' הטור)</w:t>
      </w:r>
      <w:r>
        <w:rPr>
          <w:rFonts w:cs="Arial"/>
          <w:rtl/>
        </w:rPr>
        <w:t xml:space="preserve">. </w:t>
      </w:r>
      <w:r>
        <w:rPr>
          <w:color w:val="E36C0A" w:themeColor="accent6" w:themeShade="BF"/>
          <w:rtl/>
        </w:rPr>
        <w:t>(וכ"פ בשו"ע</w:t>
      </w:r>
      <w:r>
        <w:rPr>
          <w:color w:val="000000" w:themeColor="text1"/>
          <w:sz w:val="16"/>
          <w:szCs w:val="16"/>
          <w:rtl/>
        </w:rPr>
        <w:t xml:space="preserve"> [בסע' ג]</w:t>
      </w:r>
      <w:r>
        <w:rPr>
          <w:color w:val="E36C0A" w:themeColor="accent6" w:themeShade="BF"/>
          <w:rtl/>
        </w:rPr>
        <w:t>)</w:t>
      </w:r>
    </w:p>
    <w:p w14:paraId="0F93B494" w14:textId="0430C1ED" w:rsidR="00FA2119" w:rsidRDefault="00FA2119" w:rsidP="006A458D">
      <w:pPr>
        <w:pStyle w:val="ab"/>
        <w:numPr>
          <w:ilvl w:val="0"/>
          <w:numId w:val="92"/>
        </w:numPr>
      </w:pPr>
      <w:r>
        <w:rPr>
          <w:rFonts w:cs="Arial"/>
          <w:rtl/>
        </w:rPr>
        <w:t xml:space="preserve">רמב"ם </w:t>
      </w:r>
      <w:r>
        <w:rPr>
          <w:rFonts w:cs="Arial"/>
          <w:sz w:val="16"/>
          <w:szCs w:val="16"/>
          <w:rtl/>
        </w:rPr>
        <w:t>(פ"א הי"א)</w:t>
      </w:r>
      <w:r w:rsidR="00A82951">
        <w:rPr>
          <w:rFonts w:cs="Arial"/>
          <w:rtl/>
        </w:rPr>
        <w:t>-</w:t>
      </w:r>
      <w:r>
        <w:rPr>
          <w:rFonts w:cs="Arial"/>
          <w:rtl/>
        </w:rPr>
        <w:t xml:space="preserve"> המגרש צריך שיאמר לה כשיתן לה הגט 'הרי זה גיטיך' או 'הוא גיטיך' וכיוצא בזה.</w:t>
      </w:r>
      <w:r>
        <w:rPr>
          <w:rtl/>
        </w:rPr>
        <w:t xml:space="preserve"> </w:t>
      </w:r>
      <w:r>
        <w:rPr>
          <w:color w:val="E36C0A" w:themeColor="accent6" w:themeShade="BF"/>
          <w:rtl/>
        </w:rPr>
        <w:t>(וכ"פ בשו"ע)</w:t>
      </w:r>
    </w:p>
    <w:p w14:paraId="0D895D84" w14:textId="37A60B00" w:rsidR="00123EF1" w:rsidRDefault="00123EF1" w:rsidP="00123EF1">
      <w:pPr>
        <w:pStyle w:val="ab"/>
        <w:numPr>
          <w:ilvl w:val="0"/>
          <w:numId w:val="92"/>
        </w:numPr>
      </w:pPr>
      <w:r>
        <w:rPr>
          <w:rFonts w:cs="Arial"/>
          <w:rtl/>
        </w:rPr>
        <w:t xml:space="preserve">מרדכי </w:t>
      </w:r>
      <w:r>
        <w:rPr>
          <w:rFonts w:cs="Arial"/>
          <w:sz w:val="16"/>
          <w:szCs w:val="16"/>
          <w:rtl/>
        </w:rPr>
        <w:t>(סי' תמב)</w:t>
      </w:r>
      <w:r>
        <w:rPr>
          <w:rFonts w:cs="Arial"/>
          <w:rtl/>
        </w:rPr>
        <w:t>- כשהוא עוסק בנתינת הגט מצריך לנותן הגט לומר 'הרי זה גיטיך והרי את מגורשת ממני והרי את מותרת לכל אדם'</w:t>
      </w:r>
      <w:r>
        <w:rPr>
          <w:rStyle w:val="a7"/>
          <w:rFonts w:cs="Arial"/>
          <w:rtl/>
        </w:rPr>
        <w:footnoteReference w:id="1565"/>
      </w:r>
      <w:r>
        <w:rPr>
          <w:rFonts w:cs="Arial"/>
          <w:rtl/>
        </w:rPr>
        <w:t xml:space="preserve">. </w:t>
      </w:r>
      <w:r>
        <w:rPr>
          <w:rFonts w:hint="cs"/>
          <w:rtl/>
        </w:rPr>
        <w:t xml:space="preserve"> </w:t>
      </w:r>
    </w:p>
    <w:p w14:paraId="30835786" w14:textId="68D7FCA1" w:rsidR="00FA2119" w:rsidRDefault="00FA2119" w:rsidP="006A458D">
      <w:pPr>
        <w:pStyle w:val="ab"/>
        <w:numPr>
          <w:ilvl w:val="0"/>
          <w:numId w:val="92"/>
        </w:numPr>
      </w:pPr>
      <w:r>
        <w:rPr>
          <w:rFonts w:cs="Arial"/>
          <w:rtl/>
        </w:rPr>
        <w:t xml:space="preserve">סמ"ג </w:t>
      </w:r>
      <w:r>
        <w:rPr>
          <w:rFonts w:cs="Arial"/>
          <w:sz w:val="16"/>
          <w:szCs w:val="16"/>
          <w:rtl/>
        </w:rPr>
        <w:t>(סדר הגט עשין נ קלב סוע"ד)</w:t>
      </w:r>
      <w:r w:rsidR="00A82951">
        <w:rPr>
          <w:rFonts w:cs="Arial"/>
          <w:rtl/>
        </w:rPr>
        <w:t>-</w:t>
      </w:r>
      <w:r>
        <w:rPr>
          <w:rFonts w:cs="Arial"/>
          <w:rtl/>
        </w:rPr>
        <w:t xml:space="preserve"> ויאמר לה בשעת נתינה 'התקבלי גיטך ותהא מגורשת ממני ומותרת לכל אדם'. </w:t>
      </w:r>
    </w:p>
    <w:p w14:paraId="39C18DA4" w14:textId="406A48FF" w:rsidR="00FA2119" w:rsidRDefault="00FA2119" w:rsidP="006A458D">
      <w:pPr>
        <w:pStyle w:val="ab"/>
        <w:numPr>
          <w:ilvl w:val="0"/>
          <w:numId w:val="92"/>
        </w:numPr>
      </w:pPr>
      <w:r>
        <w:rPr>
          <w:rFonts w:cs="Arial"/>
          <w:rtl/>
        </w:rPr>
        <w:t xml:space="preserve">קונדריסין </w:t>
      </w:r>
      <w:r>
        <w:rPr>
          <w:rFonts w:cs="Arial"/>
          <w:sz w:val="16"/>
          <w:szCs w:val="16"/>
          <w:rtl/>
        </w:rPr>
        <w:t>(סוף הסדר סי' יב ס"כ)</w:t>
      </w:r>
      <w:r>
        <w:rPr>
          <w:rFonts w:cs="Arial"/>
          <w:rtl/>
        </w:rPr>
        <w:t xml:space="preserve"> בשם ר"פ</w:t>
      </w:r>
      <w:r>
        <w:rPr>
          <w:rFonts w:cs="Arial"/>
          <w:sz w:val="16"/>
          <w:szCs w:val="16"/>
          <w:rtl/>
        </w:rPr>
        <w:t xml:space="preserve"> (דיני הגט בהג' הסמ"ק)</w:t>
      </w:r>
      <w:r w:rsidR="00A82951">
        <w:rPr>
          <w:rFonts w:cs="Arial"/>
          <w:rtl/>
        </w:rPr>
        <w:t>-</w:t>
      </w:r>
      <w:r>
        <w:rPr>
          <w:rFonts w:cs="Arial"/>
          <w:rtl/>
        </w:rPr>
        <w:t xml:space="preserve"> וכה יאמר לה כשיתן הגט 'הרי זה גיטך והתקבלי גיטך זה</w:t>
      </w:r>
      <w:r>
        <w:rPr>
          <w:rStyle w:val="a7"/>
          <w:rFonts w:cs="Arial"/>
          <w:rtl/>
        </w:rPr>
        <w:footnoteReference w:id="1566"/>
      </w:r>
      <w:r>
        <w:rPr>
          <w:rFonts w:cs="Arial"/>
          <w:rtl/>
        </w:rPr>
        <w:t xml:space="preserve"> והרי את מגורשת ממני ומותרת לכל אדם'. </w:t>
      </w:r>
      <w:r>
        <w:rPr>
          <w:rStyle w:val="a7"/>
          <w:rFonts w:cs="Arial"/>
          <w:rtl/>
        </w:rPr>
        <w:footnoteReference w:id="1567"/>
      </w:r>
      <w:r>
        <w:rPr>
          <w:rFonts w:cs="Arial"/>
          <w:rtl/>
        </w:rPr>
        <w:t>ויש אומרים 'מעכשיו'.</w:t>
      </w:r>
      <w:r>
        <w:rPr>
          <w:rtl/>
        </w:rPr>
        <w:t xml:space="preserve"> </w:t>
      </w:r>
      <w:r>
        <w:rPr>
          <w:color w:val="00B0F0"/>
          <w:rtl/>
        </w:rPr>
        <w:t>(וכ"פ הרמ"א)</w:t>
      </w:r>
    </w:p>
    <w:p w14:paraId="51639DE0" w14:textId="77777777" w:rsidR="00FA2119" w:rsidRDefault="00FA2119" w:rsidP="00FA2119">
      <w:pPr>
        <w:rPr>
          <w:rtl/>
        </w:rPr>
      </w:pPr>
      <w:r>
        <w:rPr>
          <w:rFonts w:cs="Arial"/>
          <w:b/>
          <w:bCs/>
          <w:rtl/>
        </w:rPr>
        <w:t xml:space="preserve">קידושין </w:t>
      </w:r>
      <w:r>
        <w:rPr>
          <w:rFonts w:cs="Arial"/>
          <w:b/>
          <w:bCs/>
          <w:sz w:val="16"/>
          <w:szCs w:val="16"/>
          <w:rtl/>
        </w:rPr>
        <w:t>(פ"ק)</w:t>
      </w:r>
      <w:r>
        <w:rPr>
          <w:rFonts w:cs="Arial"/>
          <w:b/>
          <w:bCs/>
          <w:rtl/>
        </w:rPr>
        <w:t xml:space="preserve"> ו ע"א:</w:t>
      </w:r>
      <w:r>
        <w:rPr>
          <w:rFonts w:cs="Arial"/>
          <w:rtl/>
        </w:rPr>
        <w:t xml:space="preserve"> גופא</w:t>
      </w:r>
      <w:r>
        <w:rPr>
          <w:rFonts w:cs="Arial"/>
          <w:sz w:val="14"/>
          <w:szCs w:val="14"/>
          <w:rtl/>
        </w:rPr>
        <w:t xml:space="preserve"> (משנה במעשר שני פ"ד מ"ז)</w:t>
      </w:r>
      <w:r>
        <w:rPr>
          <w:rFonts w:cs="Arial"/>
          <w:rtl/>
        </w:rPr>
        <w:t xml:space="preserve">: היה מדבר עם האשה על עיסקי גיטה וקידושיה, ונתן לה גיטה וקידושיה ולא פירש, </w:t>
      </w:r>
      <w:r>
        <w:rPr>
          <w:rFonts w:cs="Arial"/>
          <w:u w:val="single"/>
          <w:rtl/>
        </w:rPr>
        <w:t>רבי יוסי אומר</w:t>
      </w:r>
      <w:r>
        <w:rPr>
          <w:rFonts w:cs="Arial"/>
          <w:rtl/>
        </w:rPr>
        <w:t xml:space="preserve">: דיו. </w:t>
      </w:r>
      <w:r>
        <w:rPr>
          <w:rFonts w:cs="Arial"/>
          <w:u w:val="single"/>
          <w:rtl/>
        </w:rPr>
        <w:t>ר' יהודה אומר</w:t>
      </w:r>
      <w:r>
        <w:rPr>
          <w:rFonts w:cs="Arial"/>
          <w:rtl/>
        </w:rPr>
        <w:t xml:space="preserve">: צריך לפרש. </w:t>
      </w:r>
      <w:r>
        <w:rPr>
          <w:rFonts w:cs="Arial"/>
          <w:u w:val="single"/>
          <w:rtl/>
        </w:rPr>
        <w:t>אמר רב יהודה אמר שמואל</w:t>
      </w:r>
      <w:r>
        <w:rPr>
          <w:rFonts w:cs="Arial"/>
          <w:rtl/>
        </w:rPr>
        <w:t>: והוא שעסוקין באותו ענין</w:t>
      </w:r>
      <w:r>
        <w:rPr>
          <w:rStyle w:val="a7"/>
          <w:rFonts w:cs="Arial"/>
          <w:rtl/>
        </w:rPr>
        <w:footnoteReference w:id="1568"/>
      </w:r>
      <w:r>
        <w:rPr>
          <w:rFonts w:cs="Arial"/>
          <w:rtl/>
        </w:rPr>
        <w:t xml:space="preserve">. </w:t>
      </w:r>
      <w:r>
        <w:rPr>
          <w:rFonts w:cs="Arial"/>
          <w:u w:val="single"/>
          <w:rtl/>
        </w:rPr>
        <w:t>וכן אמר ר"א א"ר אושעיא</w:t>
      </w:r>
      <w:r>
        <w:rPr>
          <w:rFonts w:cs="Arial"/>
          <w:rtl/>
        </w:rPr>
        <w:t>: והוא שעסוקין באותו ענין.</w:t>
      </w:r>
      <w:r>
        <w:rPr>
          <w:rtl/>
        </w:rPr>
        <w:t xml:space="preserve"> </w:t>
      </w:r>
      <w:r>
        <w:rPr>
          <w:rFonts w:cs="Arial"/>
          <w:rtl/>
        </w:rPr>
        <w:t xml:space="preserve">כתנאי; </w:t>
      </w:r>
      <w:r>
        <w:rPr>
          <w:rFonts w:cs="Arial"/>
          <w:u w:val="single"/>
          <w:rtl/>
        </w:rPr>
        <w:t>רבי אומר</w:t>
      </w:r>
      <w:r>
        <w:rPr>
          <w:rFonts w:cs="Arial"/>
          <w:rtl/>
        </w:rPr>
        <w:t xml:space="preserve">: והוא שעסוקין באותו ענין. </w:t>
      </w:r>
      <w:r>
        <w:rPr>
          <w:rFonts w:cs="Arial"/>
          <w:u w:val="single"/>
          <w:rtl/>
        </w:rPr>
        <w:t>ר' אלעזר בר ר"ש אומר</w:t>
      </w:r>
      <w:r>
        <w:rPr>
          <w:rFonts w:cs="Arial"/>
          <w:rtl/>
        </w:rPr>
        <w:t xml:space="preserve">: אף על פי שאין עסוקין באותו ענין. ואי לאו דעסוקין באותו ענין, מנא ידעה מאי קאמר לה? </w:t>
      </w:r>
      <w:r>
        <w:rPr>
          <w:rFonts w:cs="Arial"/>
          <w:u w:val="single"/>
          <w:rtl/>
        </w:rPr>
        <w:t>אמר אביי</w:t>
      </w:r>
      <w:r>
        <w:rPr>
          <w:rFonts w:cs="Arial"/>
          <w:rtl/>
        </w:rPr>
        <w:t>: מענין לענין</w:t>
      </w:r>
      <w:r>
        <w:rPr>
          <w:rStyle w:val="a7"/>
          <w:rFonts w:cs="Arial"/>
          <w:rtl/>
        </w:rPr>
        <w:footnoteReference w:id="1569"/>
      </w:r>
      <w:r>
        <w:rPr>
          <w:rFonts w:cs="Arial"/>
          <w:rtl/>
        </w:rPr>
        <w:t xml:space="preserve"> באותו ענין. </w:t>
      </w:r>
      <w:r>
        <w:rPr>
          <w:rFonts w:cs="Arial"/>
          <w:u w:val="single"/>
          <w:rtl/>
        </w:rPr>
        <w:t>אמר רב הונא אמר שמואל</w:t>
      </w:r>
      <w:r>
        <w:rPr>
          <w:rFonts w:cs="Arial"/>
          <w:rtl/>
        </w:rPr>
        <w:t>: הלכה כר' יוסי.</w:t>
      </w:r>
    </w:p>
    <w:p w14:paraId="75AC7748" w14:textId="77777777" w:rsidR="00FA2119" w:rsidRDefault="00FA2119" w:rsidP="00FA2119">
      <w:pPr>
        <w:rPr>
          <w:u w:val="single"/>
        </w:rPr>
      </w:pPr>
      <w:r>
        <w:rPr>
          <w:u w:val="single"/>
          <w:rtl/>
        </w:rPr>
        <w:t>נתן לה גט בלי לומר כלום:</w:t>
      </w:r>
    </w:p>
    <w:p w14:paraId="74690E59" w14:textId="4BED0474" w:rsidR="00FA2119" w:rsidRDefault="00FA2119" w:rsidP="006A458D">
      <w:pPr>
        <w:pStyle w:val="ab"/>
        <w:numPr>
          <w:ilvl w:val="0"/>
          <w:numId w:val="92"/>
        </w:numPr>
      </w:pPr>
      <w:r>
        <w:rPr>
          <w:rFonts w:cs="Arial"/>
          <w:rtl/>
        </w:rPr>
        <w:lastRenderedPageBreak/>
        <w:t>טור</w:t>
      </w:r>
      <w:r w:rsidR="00A82951">
        <w:rPr>
          <w:rFonts w:cs="Arial"/>
          <w:rtl/>
        </w:rPr>
        <w:t>-</w:t>
      </w:r>
      <w:r>
        <w:rPr>
          <w:rFonts w:cs="Arial"/>
          <w:rtl/>
        </w:rPr>
        <w:t xml:space="preserve"> נתנו לה בשתיקה והיה מדבר עמה על עסקי גיטה והיו </w:t>
      </w:r>
      <w:r>
        <w:rPr>
          <w:rStyle w:val="a7"/>
          <w:rFonts w:cs="Arial"/>
          <w:rtl/>
        </w:rPr>
        <w:footnoteReference w:id="1570"/>
      </w:r>
      <w:r>
        <w:rPr>
          <w:rFonts w:cs="Arial"/>
          <w:rtl/>
        </w:rPr>
        <w:t xml:space="preserve">[עדיין] עסוקים באותו ענין </w:t>
      </w:r>
      <w:r w:rsidR="00A82951">
        <w:rPr>
          <w:rFonts w:cs="Arial"/>
          <w:rtl/>
        </w:rPr>
        <w:t>-</w:t>
      </w:r>
      <w:r>
        <w:rPr>
          <w:rFonts w:cs="Arial"/>
          <w:rtl/>
        </w:rPr>
        <w:t xml:space="preserve"> הוי גט. ואם לאו </w:t>
      </w:r>
      <w:r w:rsidR="00A82951">
        <w:rPr>
          <w:rFonts w:cs="Arial"/>
          <w:rtl/>
        </w:rPr>
        <w:t>-</w:t>
      </w:r>
      <w:r>
        <w:rPr>
          <w:rFonts w:cs="Arial"/>
          <w:rtl/>
        </w:rPr>
        <w:t xml:space="preserve"> אינו גט. </w:t>
      </w:r>
    </w:p>
    <w:p w14:paraId="7D585CA5" w14:textId="26348010" w:rsidR="00FA2119" w:rsidRDefault="00FA2119" w:rsidP="006A458D">
      <w:pPr>
        <w:pStyle w:val="ab"/>
        <w:numPr>
          <w:ilvl w:val="0"/>
          <w:numId w:val="92"/>
        </w:numPr>
      </w:pPr>
      <w:r>
        <w:rPr>
          <w:rFonts w:cs="Arial"/>
          <w:rtl/>
        </w:rPr>
        <w:t xml:space="preserve">רמב"ם </w:t>
      </w:r>
      <w:r>
        <w:rPr>
          <w:rFonts w:cs="Arial"/>
          <w:sz w:val="16"/>
          <w:szCs w:val="16"/>
          <w:rtl/>
        </w:rPr>
        <w:t>(פ"א הי"א)</w:t>
      </w:r>
      <w:r w:rsidR="00A82951">
        <w:rPr>
          <w:rFonts w:cs="Arial"/>
          <w:rtl/>
        </w:rPr>
        <w:t>-</w:t>
      </w:r>
      <w:r>
        <w:rPr>
          <w:rFonts w:cs="Arial"/>
          <w:rtl/>
        </w:rPr>
        <w:t xml:space="preserve"> ואם נתן בידה ולא אמר כלום </w:t>
      </w:r>
      <w:r w:rsidR="00A82951">
        <w:rPr>
          <w:rFonts w:cs="Arial"/>
          <w:rtl/>
        </w:rPr>
        <w:t>-</w:t>
      </w:r>
      <w:r>
        <w:rPr>
          <w:rFonts w:cs="Arial"/>
          <w:rtl/>
        </w:rPr>
        <w:t xml:space="preserve"> הרי זה פסול</w:t>
      </w:r>
      <w:r>
        <w:rPr>
          <w:rStyle w:val="a7"/>
          <w:rFonts w:cs="Arial"/>
          <w:rtl/>
        </w:rPr>
        <w:footnoteReference w:id="1571"/>
      </w:r>
      <w:r>
        <w:rPr>
          <w:rFonts w:cs="Arial"/>
          <w:rtl/>
        </w:rPr>
        <w:t xml:space="preserve">. במה דברים אמורים בשלא היה מדבר עמה על עסקי גיטה, אבל אם היה מדבר עמה על עסקי גיטה ונטל הגט ונתן בידה ולא אמר כלום </w:t>
      </w:r>
      <w:r w:rsidR="00A82951">
        <w:rPr>
          <w:rFonts w:cs="Arial"/>
          <w:rtl/>
        </w:rPr>
        <w:t>-</w:t>
      </w:r>
      <w:r>
        <w:rPr>
          <w:rFonts w:cs="Arial"/>
          <w:rtl/>
        </w:rPr>
        <w:t xml:space="preserve"> הרי זה גט כשר.</w:t>
      </w:r>
      <w:r>
        <w:rPr>
          <w:color w:val="E36C0A" w:themeColor="accent6" w:themeShade="BF"/>
          <w:rtl/>
        </w:rPr>
        <w:t xml:space="preserve"> (וכ"פ בשו"ע</w:t>
      </w:r>
      <w:r>
        <w:rPr>
          <w:color w:val="000000" w:themeColor="text1"/>
          <w:sz w:val="16"/>
          <w:szCs w:val="16"/>
          <w:rtl/>
        </w:rPr>
        <w:t xml:space="preserve"> [כאן ובסע' הבא]</w:t>
      </w:r>
      <w:r>
        <w:rPr>
          <w:color w:val="E36C0A" w:themeColor="accent6" w:themeShade="BF"/>
          <w:rtl/>
        </w:rPr>
        <w:t>)</w:t>
      </w:r>
    </w:p>
    <w:p w14:paraId="41E730EF" w14:textId="77777777" w:rsidR="00FA2119" w:rsidRDefault="00FA2119" w:rsidP="00FA2119">
      <w:pPr>
        <w:rPr>
          <w:rFonts w:cs="Arial"/>
        </w:rPr>
      </w:pPr>
      <w:r>
        <w:rPr>
          <w:rFonts w:cs="Arial"/>
          <w:u w:val="single"/>
          <w:rtl/>
        </w:rPr>
        <w:t>כיפול הגט שיכנס כולו ביד האשה:</w:t>
      </w:r>
      <w:r>
        <w:rPr>
          <w:rFonts w:cs="Arial"/>
          <w:rtl/>
        </w:rPr>
        <w:t xml:space="preserve"> </w:t>
      </w:r>
      <w:r>
        <w:rPr>
          <w:rFonts w:cs="Arial"/>
          <w:sz w:val="16"/>
          <w:szCs w:val="16"/>
          <w:rtl/>
        </w:rPr>
        <w:t>(דרכ"מ אות א)</w:t>
      </w:r>
      <w:r>
        <w:rPr>
          <w:rFonts w:cs="Arial"/>
          <w:rtl/>
        </w:rPr>
        <w:t xml:space="preserve"> </w:t>
      </w:r>
    </w:p>
    <w:p w14:paraId="5D4D1890" w14:textId="004ADA0E" w:rsidR="00FA2119" w:rsidRDefault="00FA2119" w:rsidP="006A458D">
      <w:pPr>
        <w:pStyle w:val="ab"/>
        <w:numPr>
          <w:ilvl w:val="0"/>
          <w:numId w:val="93"/>
        </w:numPr>
        <w:rPr>
          <w:rtl/>
        </w:rPr>
      </w:pPr>
      <w:r>
        <w:rPr>
          <w:rFonts w:cs="Arial"/>
          <w:rtl/>
        </w:rPr>
        <w:t xml:space="preserve">סדר גיטין </w:t>
      </w:r>
      <w:r>
        <w:rPr>
          <w:rFonts w:cs="Arial"/>
          <w:sz w:val="16"/>
          <w:szCs w:val="16"/>
          <w:rtl/>
        </w:rPr>
        <w:t>(סי' נח ס"ז)</w:t>
      </w:r>
      <w:r w:rsidR="00A82951">
        <w:rPr>
          <w:rFonts w:cs="Arial"/>
          <w:rtl/>
        </w:rPr>
        <w:t>-</w:t>
      </w:r>
      <w:r>
        <w:rPr>
          <w:rFonts w:cs="Arial"/>
          <w:rtl/>
        </w:rPr>
        <w:t xml:space="preserve"> והבעל יכפול הגט כמו אגרת כשנותן לה לידה</w:t>
      </w:r>
      <w:r w:rsidR="00091DDA">
        <w:rPr>
          <w:rFonts w:cs="Arial" w:hint="cs"/>
          <w:rtl/>
        </w:rPr>
        <w:t>,</w:t>
      </w:r>
      <w:r>
        <w:rPr>
          <w:rFonts w:cs="Arial"/>
          <w:rtl/>
        </w:rPr>
        <w:t xml:space="preserve"> שתוכל לאחוז כולו בידה. </w:t>
      </w:r>
      <w:r>
        <w:rPr>
          <w:color w:val="00B0F0"/>
          <w:rtl/>
        </w:rPr>
        <w:t>(וכ"פ הרמ"א)</w:t>
      </w:r>
    </w:p>
    <w:p w14:paraId="71B4410C" w14:textId="77777777" w:rsidR="00FA2119" w:rsidRDefault="00FA2119" w:rsidP="00FA2119">
      <w:r>
        <w:rPr>
          <w:rFonts w:cs="Arial"/>
          <w:u w:val="single"/>
          <w:rtl/>
        </w:rPr>
        <w:t>הבעל צריך לידע לשון הגט ופירושו:</w:t>
      </w:r>
      <w:r>
        <w:rPr>
          <w:rFonts w:cs="Arial"/>
          <w:rtl/>
        </w:rPr>
        <w:t xml:space="preserve"> </w:t>
      </w:r>
      <w:r>
        <w:rPr>
          <w:rFonts w:cs="Arial"/>
          <w:sz w:val="16"/>
          <w:szCs w:val="16"/>
          <w:rtl/>
        </w:rPr>
        <w:t>(דרכ"מ אות א)</w:t>
      </w:r>
    </w:p>
    <w:p w14:paraId="2B30696A" w14:textId="529BF831" w:rsidR="00FA2119" w:rsidRDefault="00FA2119" w:rsidP="006A458D">
      <w:pPr>
        <w:pStyle w:val="ab"/>
        <w:numPr>
          <w:ilvl w:val="0"/>
          <w:numId w:val="93"/>
        </w:numPr>
      </w:pPr>
      <w:r>
        <w:rPr>
          <w:rFonts w:cs="Arial"/>
          <w:rtl/>
        </w:rPr>
        <w:t xml:space="preserve">סדר גיטין </w:t>
      </w:r>
      <w:r>
        <w:rPr>
          <w:rFonts w:cs="Arial"/>
          <w:sz w:val="16"/>
          <w:szCs w:val="16"/>
          <w:rtl/>
        </w:rPr>
        <w:t>(סי' פט)</w:t>
      </w:r>
      <w:r w:rsidR="00A82951">
        <w:rPr>
          <w:rFonts w:cs="Arial"/>
          <w:rtl/>
        </w:rPr>
        <w:t>-</w:t>
      </w:r>
      <w:r>
        <w:rPr>
          <w:rFonts w:cs="Arial"/>
          <w:rtl/>
        </w:rPr>
        <w:t xml:space="preserve"> הבעל צריך לידע מהו לשון הגט ופירושו</w:t>
      </w:r>
      <w:r w:rsidR="00091DDA">
        <w:rPr>
          <w:rFonts w:cs="Arial" w:hint="cs"/>
          <w:rtl/>
        </w:rPr>
        <w:t>,</w:t>
      </w:r>
      <w:r>
        <w:rPr>
          <w:rFonts w:cs="Arial"/>
          <w:rtl/>
        </w:rPr>
        <w:t xml:space="preserve"> וכן כל מה שאומר הבעל צריך לידע מה אומר.</w:t>
      </w:r>
      <w:r>
        <w:rPr>
          <w:color w:val="00B0F0"/>
          <w:rtl/>
        </w:rPr>
        <w:t xml:space="preserve"> (וכ"פ הרמ"א)</w:t>
      </w:r>
    </w:p>
    <w:p w14:paraId="7B48CB51"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2ACCB07" w14:textId="7E71EEA3" w:rsidR="00FA2119" w:rsidRDefault="00FA2119" w:rsidP="00FA2119">
      <w:pPr>
        <w:rPr>
          <w:rtl/>
        </w:rPr>
      </w:pPr>
      <w:r>
        <w:rPr>
          <w:rFonts w:cs="Arial"/>
          <w:rtl/>
        </w:rPr>
        <w:t>המגרש צריך שיאמר כשיתן לה הגט: הרי זה גיטיך, וכיוצא בזה. ואם נתן בידה ולא אמר כלום, הרי זה גט פסול</w:t>
      </w:r>
      <w:r>
        <w:rPr>
          <w:rStyle w:val="a7"/>
          <w:rFonts w:cs="Arial"/>
          <w:rtl/>
        </w:rPr>
        <w:footnoteReference w:id="1572"/>
      </w:r>
      <w:r>
        <w:rPr>
          <w:rFonts w:cs="Arial"/>
          <w:rtl/>
        </w:rPr>
        <w:t xml:space="preserve">. </w:t>
      </w:r>
      <w:r>
        <w:rPr>
          <w:rFonts w:cs="Arial"/>
          <w:sz w:val="18"/>
          <w:szCs w:val="18"/>
          <w:rtl/>
        </w:rPr>
        <w:t>הגה: ולכתחילה יאמר לה: הרי זה גיטיך [והתקבלי גיטך]</w:t>
      </w:r>
      <w:r>
        <w:rPr>
          <w:rStyle w:val="a7"/>
          <w:rFonts w:cs="Arial"/>
          <w:sz w:val="18"/>
          <w:szCs w:val="18"/>
          <w:rtl/>
        </w:rPr>
        <w:footnoteReference w:id="1573"/>
      </w:r>
      <w:r>
        <w:rPr>
          <w:rFonts w:cs="Arial"/>
          <w:sz w:val="18"/>
          <w:szCs w:val="18"/>
          <w:rtl/>
        </w:rPr>
        <w:t xml:space="preserve"> והרי את מגורשת ממני והרי את מותרת לכל אדם (</w:t>
      </w:r>
      <w:r w:rsidR="006F5416">
        <w:rPr>
          <w:rFonts w:cs="Arial" w:hint="cs"/>
          <w:sz w:val="18"/>
          <w:szCs w:val="18"/>
          <w:rtl/>
        </w:rPr>
        <w:t>קונ</w:t>
      </w:r>
      <w:r w:rsidR="00901510">
        <w:rPr>
          <w:rFonts w:cs="Arial" w:hint="cs"/>
          <w:sz w:val="18"/>
          <w:szCs w:val="18"/>
          <w:rtl/>
        </w:rPr>
        <w:t>טרס בשם ר"פ</w:t>
      </w:r>
      <w:r>
        <w:rPr>
          <w:rFonts w:cs="Arial"/>
          <w:sz w:val="18"/>
          <w:szCs w:val="18"/>
          <w:rtl/>
        </w:rPr>
        <w:t>) מעכשיו (ב"י בשם י"א). ונוהגין שהבעל כופל הגט כמו אגרת, ונותנו לה, כדי שתוכל לאחזו כולו בידה כשנתנו לה. והבעל צריך לידע מה הוא אומר לה. וכן כל מה שאומר לה, יודיעו אותו בפירוש (סדר גיטין).</w:t>
      </w:r>
      <w:r>
        <w:rPr>
          <w:rFonts w:cs="Arial"/>
          <w:rtl/>
        </w:rPr>
        <w:t xml:space="preserve"> </w:t>
      </w:r>
    </w:p>
    <w:p w14:paraId="29F594E6" w14:textId="77777777" w:rsidR="00FA2119" w:rsidRDefault="00FA2119" w:rsidP="00FA2119">
      <w:pPr>
        <w:rPr>
          <w:rtl/>
        </w:rPr>
      </w:pPr>
    </w:p>
    <w:p w14:paraId="4D5E0EB9" w14:textId="77777777" w:rsidR="00FA2119" w:rsidRDefault="00FA2119" w:rsidP="00FA2119">
      <w:pPr>
        <w:pStyle w:val="2"/>
        <w:rPr>
          <w:rtl/>
        </w:rPr>
      </w:pPr>
      <w:r>
        <w:rPr>
          <w:rtl/>
        </w:rPr>
        <w:t>סעיף ב: נתן גט בלי לומר כלום.</w:t>
      </w:r>
    </w:p>
    <w:p w14:paraId="2C67C0E0" w14:textId="77777777" w:rsidR="00FA2119" w:rsidRDefault="00FA2119" w:rsidP="00FA2119">
      <w:pPr>
        <w:rPr>
          <w:rtl/>
        </w:rPr>
      </w:pPr>
      <w:r>
        <w:rPr>
          <w:rtl/>
        </w:rPr>
        <w:t>עיין במקורות בסעיף הקודם.</w:t>
      </w:r>
    </w:p>
    <w:p w14:paraId="235F19E8"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271AC88" w14:textId="77777777" w:rsidR="00FA2119" w:rsidRDefault="00FA2119" w:rsidP="00FA2119">
      <w:pPr>
        <w:rPr>
          <w:rtl/>
        </w:rPr>
      </w:pPr>
      <w:r>
        <w:rPr>
          <w:rFonts w:cs="Arial"/>
          <w:rtl/>
        </w:rPr>
        <w:t xml:space="preserve">במה דברים אמורים, בשלא היה מדבר עמה על עסקי גיטה. אבל אם היה מדבר עמה על עסקי גיטה, ונטל הגט ונתן בידה ולא אמר כלום, הרי זה גט. </w:t>
      </w:r>
    </w:p>
    <w:p w14:paraId="2DF48951" w14:textId="77777777" w:rsidR="00FA2119" w:rsidRDefault="00FA2119" w:rsidP="00FA2119">
      <w:pPr>
        <w:rPr>
          <w:rtl/>
        </w:rPr>
      </w:pPr>
    </w:p>
    <w:p w14:paraId="1944ACD7" w14:textId="77777777" w:rsidR="00FA2119" w:rsidRDefault="00FA2119" w:rsidP="00FA2119">
      <w:pPr>
        <w:pStyle w:val="2"/>
        <w:rPr>
          <w:rtl/>
        </w:rPr>
      </w:pPr>
      <w:r>
        <w:rPr>
          <w:rtl/>
        </w:rPr>
        <w:t xml:space="preserve">סעיף ג: אמר לה 'איני אישך' </w:t>
      </w:r>
      <w:r>
        <w:rPr>
          <w:sz w:val="20"/>
          <w:szCs w:val="20"/>
          <w:rtl/>
        </w:rPr>
        <w:t>(וכדו')</w:t>
      </w:r>
      <w:r>
        <w:rPr>
          <w:rtl/>
        </w:rPr>
        <w:t>.</w:t>
      </w:r>
    </w:p>
    <w:p w14:paraId="7AA7615C" w14:textId="02FEFB58" w:rsidR="00FA2119" w:rsidRDefault="00FA2119" w:rsidP="00FA2119">
      <w:pPr>
        <w:rPr>
          <w:rtl/>
        </w:rPr>
      </w:pPr>
      <w:r>
        <w:rPr>
          <w:rFonts w:cs="Arial"/>
          <w:b/>
          <w:bCs/>
          <w:rtl/>
        </w:rPr>
        <w:t xml:space="preserve">קידושין </w:t>
      </w:r>
      <w:r>
        <w:rPr>
          <w:rFonts w:cs="Arial"/>
          <w:b/>
          <w:bCs/>
          <w:sz w:val="16"/>
          <w:szCs w:val="16"/>
          <w:rtl/>
        </w:rPr>
        <w:t>(פ"ק)</w:t>
      </w:r>
      <w:r>
        <w:rPr>
          <w:rFonts w:cs="Arial"/>
          <w:b/>
          <w:bCs/>
          <w:rtl/>
        </w:rPr>
        <w:t xml:space="preserve"> ה ע"ב:</w:t>
      </w:r>
      <w:r>
        <w:rPr>
          <w:rFonts w:cs="Arial"/>
          <w:rtl/>
        </w:rPr>
        <w:t xml:space="preserve"> </w:t>
      </w:r>
      <w:r>
        <w:rPr>
          <w:rFonts w:cs="Arial"/>
          <w:u w:val="single"/>
          <w:rtl/>
        </w:rPr>
        <w:t>אמר שמואל</w:t>
      </w:r>
      <w:r>
        <w:rPr>
          <w:rFonts w:cs="Arial"/>
          <w:rtl/>
        </w:rPr>
        <w:t xml:space="preserve">: בקידושין, נתן לה כסף ושוה כסף, ואמר לה... הריני אישך, הריני בעליך, הריני ארוסיך </w:t>
      </w:r>
      <w:r w:rsidR="00A82951">
        <w:rPr>
          <w:rFonts w:cs="Arial"/>
          <w:rtl/>
        </w:rPr>
        <w:t>-</w:t>
      </w:r>
      <w:r>
        <w:rPr>
          <w:rFonts w:cs="Arial"/>
          <w:rtl/>
        </w:rPr>
        <w:t xml:space="preserve"> אין כאן בית מיחוש. וכן בגירושין, נתן לה ואמר לה... איני אישך, איני בעליך, איני ארוסיך </w:t>
      </w:r>
      <w:r w:rsidR="00A82951">
        <w:rPr>
          <w:rFonts w:cs="Arial"/>
          <w:rtl/>
        </w:rPr>
        <w:t>-</w:t>
      </w:r>
      <w:r>
        <w:rPr>
          <w:rFonts w:cs="Arial"/>
          <w:rtl/>
        </w:rPr>
        <w:t xml:space="preserve"> אין כאן בית מיחוש.</w:t>
      </w:r>
      <w:r>
        <w:rPr>
          <w:rtl/>
        </w:rPr>
        <w:t xml:space="preserve">.. </w:t>
      </w:r>
      <w:r>
        <w:rPr>
          <w:rFonts w:cs="Arial"/>
          <w:sz w:val="14"/>
          <w:szCs w:val="14"/>
          <w:rtl/>
        </w:rPr>
        <w:t xml:space="preserve">(ו.) </w:t>
      </w:r>
      <w:r>
        <w:rPr>
          <w:rFonts w:cs="Arial"/>
          <w:rtl/>
        </w:rPr>
        <w:t>הכא כתיב</w:t>
      </w:r>
      <w:r>
        <w:rPr>
          <w:rFonts w:cs="Arial"/>
          <w:sz w:val="16"/>
          <w:szCs w:val="16"/>
          <w:rtl/>
        </w:rPr>
        <w:t xml:space="preserve"> (דברים כב יג)</w:t>
      </w:r>
      <w:r>
        <w:rPr>
          <w:rFonts w:cs="Arial"/>
          <w:rtl/>
        </w:rPr>
        <w:t xml:space="preserve">: כי יקח </w:t>
      </w:r>
      <w:r w:rsidR="00A82951">
        <w:rPr>
          <w:rFonts w:cs="Arial"/>
          <w:rtl/>
        </w:rPr>
        <w:t>-</w:t>
      </w:r>
      <w:r>
        <w:rPr>
          <w:rFonts w:cs="Arial"/>
          <w:rtl/>
        </w:rPr>
        <w:t xml:space="preserve"> ולא שיקח את עצמו, והכא כתיב </w:t>
      </w:r>
      <w:r>
        <w:rPr>
          <w:rFonts w:cs="Arial"/>
          <w:sz w:val="16"/>
          <w:szCs w:val="16"/>
          <w:rtl/>
        </w:rPr>
        <w:t>(דברים כד א)</w:t>
      </w:r>
      <w:r>
        <w:rPr>
          <w:rFonts w:cs="Arial"/>
          <w:rtl/>
        </w:rPr>
        <w:t xml:space="preserve">: וְשִלְחָהּ </w:t>
      </w:r>
      <w:r w:rsidR="00A82951">
        <w:rPr>
          <w:rFonts w:cs="Arial"/>
          <w:rtl/>
        </w:rPr>
        <w:t>-</w:t>
      </w:r>
      <w:r>
        <w:rPr>
          <w:rFonts w:cs="Arial"/>
          <w:rtl/>
        </w:rPr>
        <w:t xml:space="preserve"> ולא שישלח את עצמו.</w:t>
      </w:r>
    </w:p>
    <w:p w14:paraId="024EFB8A" w14:textId="77777777" w:rsidR="00FA2119" w:rsidRDefault="00FA2119" w:rsidP="00FA2119">
      <w:pPr>
        <w:rPr>
          <w:u w:val="single"/>
          <w:rtl/>
        </w:rPr>
      </w:pPr>
      <w:r>
        <w:rPr>
          <w:u w:val="single"/>
          <w:rtl/>
        </w:rPr>
        <w:t>נתן לה הגט ואמר 'איני אישך':</w:t>
      </w:r>
    </w:p>
    <w:p w14:paraId="2B148D03" w14:textId="3FF15381" w:rsidR="00FA2119" w:rsidRDefault="00FA2119" w:rsidP="006A458D">
      <w:pPr>
        <w:pStyle w:val="ab"/>
        <w:numPr>
          <w:ilvl w:val="0"/>
          <w:numId w:val="92"/>
        </w:numPr>
        <w:rPr>
          <w:rtl/>
        </w:rPr>
      </w:pPr>
      <w:r>
        <w:rPr>
          <w:rFonts w:cs="Arial"/>
          <w:rtl/>
        </w:rPr>
        <w:t>טור</w:t>
      </w:r>
      <w:r w:rsidR="00A82951">
        <w:rPr>
          <w:rFonts w:cs="Arial"/>
          <w:rtl/>
        </w:rPr>
        <w:t>-</w:t>
      </w:r>
      <w:r>
        <w:rPr>
          <w:rFonts w:cs="Arial"/>
          <w:rtl/>
        </w:rPr>
        <w:t xml:space="preserve"> ואם אמר לה 'איני אישך', 'איני בעלך' </w:t>
      </w:r>
      <w:r w:rsidR="00A82951">
        <w:rPr>
          <w:rFonts w:cs="Arial"/>
          <w:rtl/>
        </w:rPr>
        <w:t>-</w:t>
      </w:r>
      <w:r>
        <w:rPr>
          <w:rFonts w:cs="Arial"/>
          <w:rtl/>
        </w:rPr>
        <w:t xml:space="preserve"> אינו גט אפילו לפוסלה לכהונה, אפילו היה מדבר עמה על עסקי גיטה, דכתיב וְשִלְחָהּ, ולא שישלח את עצמו. </w:t>
      </w:r>
      <w:r>
        <w:rPr>
          <w:rtl/>
        </w:rPr>
        <w:t>(וכ"פ הב"ש</w:t>
      </w:r>
      <w:r>
        <w:rPr>
          <w:sz w:val="16"/>
          <w:szCs w:val="16"/>
          <w:rtl/>
        </w:rPr>
        <w:t xml:space="preserve"> [סק"ב]</w:t>
      </w:r>
      <w:r>
        <w:rPr>
          <w:rtl/>
        </w:rPr>
        <w:t>)</w:t>
      </w:r>
    </w:p>
    <w:p w14:paraId="4E72888E" w14:textId="47D6928F" w:rsidR="00FA2119" w:rsidRDefault="00FA2119" w:rsidP="006A458D">
      <w:pPr>
        <w:pStyle w:val="ab"/>
        <w:numPr>
          <w:ilvl w:val="0"/>
          <w:numId w:val="92"/>
        </w:numPr>
      </w:pPr>
      <w:r>
        <w:rPr>
          <w:rFonts w:cs="Arial"/>
          <w:rtl/>
        </w:rPr>
        <w:lastRenderedPageBreak/>
        <w:t xml:space="preserve">רי"ו </w:t>
      </w:r>
      <w:r>
        <w:rPr>
          <w:rFonts w:cs="Arial"/>
          <w:sz w:val="16"/>
          <w:szCs w:val="16"/>
          <w:rtl/>
        </w:rPr>
        <w:t>(ח"ב נכ"ד רה:)</w:t>
      </w:r>
      <w:r w:rsidR="00A82951">
        <w:rPr>
          <w:rFonts w:cs="Arial"/>
          <w:rtl/>
        </w:rPr>
        <w:t>-</w:t>
      </w:r>
      <w:r>
        <w:rPr>
          <w:rFonts w:cs="Arial"/>
          <w:rtl/>
        </w:rPr>
        <w:t xml:space="preserve"> איני ארוסך איני בעלך איני אישך אינו גט. ואם היה מדבר עמה על עסקי גיטה, אי הוי מגורשת או בספק </w:t>
      </w:r>
      <w:r w:rsidR="00A82951">
        <w:rPr>
          <w:rFonts w:cs="Arial"/>
          <w:rtl/>
        </w:rPr>
        <w:t>-</w:t>
      </w:r>
      <w:r>
        <w:rPr>
          <w:rFonts w:cs="Arial"/>
          <w:rtl/>
        </w:rPr>
        <w:t xml:space="preserve"> כתבתיו בענין קידושין </w:t>
      </w:r>
      <w:r>
        <w:rPr>
          <w:rFonts w:cs="Arial"/>
          <w:sz w:val="16"/>
          <w:szCs w:val="16"/>
          <w:rtl/>
        </w:rPr>
        <w:t xml:space="preserve">(ח"א נכ"ב קפא ע"ג) </w:t>
      </w:r>
      <w:r>
        <w:rPr>
          <w:rFonts w:cs="Arial"/>
          <w:rtl/>
        </w:rPr>
        <w:t xml:space="preserve">בדין הריני אישך כי דינם שוה. </w:t>
      </w:r>
      <w:r w:rsidR="002F3049">
        <w:rPr>
          <w:rFonts w:cs="Arial" w:hint="cs"/>
          <w:sz w:val="16"/>
          <w:szCs w:val="16"/>
          <w:rtl/>
        </w:rPr>
        <w:t>{</w:t>
      </w:r>
      <w:r>
        <w:rPr>
          <w:rFonts w:cs="Arial"/>
          <w:sz w:val="16"/>
          <w:szCs w:val="16"/>
          <w:rtl/>
        </w:rPr>
        <w:t>ושם כתב</w:t>
      </w:r>
      <w:r w:rsidR="00A82951">
        <w:rPr>
          <w:rFonts w:cs="Arial"/>
          <w:sz w:val="16"/>
          <w:szCs w:val="16"/>
          <w:rtl/>
        </w:rPr>
        <w:t>-</w:t>
      </w:r>
      <w:r w:rsidR="002F3049">
        <w:rPr>
          <w:rFonts w:cs="Arial" w:hint="cs"/>
          <w:sz w:val="16"/>
          <w:szCs w:val="16"/>
          <w:rtl/>
        </w:rPr>
        <w:t>}</w:t>
      </w:r>
      <w:r>
        <w:rPr>
          <w:rFonts w:cs="Arial"/>
          <w:sz w:val="16"/>
          <w:szCs w:val="16"/>
          <w:rtl/>
        </w:rPr>
        <w:t xml:space="preserve"> </w:t>
      </w:r>
      <w:r>
        <w:rPr>
          <w:rFonts w:cs="Arial"/>
          <w:rtl/>
        </w:rPr>
        <w:t xml:space="preserve">הריני אישך </w:t>
      </w:r>
      <w:r w:rsidR="00A82951">
        <w:rPr>
          <w:rFonts w:cs="Arial"/>
          <w:rtl/>
        </w:rPr>
        <w:t>-</w:t>
      </w:r>
      <w:r>
        <w:rPr>
          <w:rFonts w:cs="Arial"/>
          <w:rtl/>
        </w:rPr>
        <w:t xml:space="preserve"> אינה מקודשת כלל. יש מפרשים דאם היה מדבר עמה על עסקי קידושיה </w:t>
      </w:r>
      <w:r w:rsidR="00A82951">
        <w:rPr>
          <w:rFonts w:cs="Arial"/>
          <w:rtl/>
        </w:rPr>
        <w:t>-</w:t>
      </w:r>
      <w:r>
        <w:rPr>
          <w:rFonts w:cs="Arial"/>
          <w:rtl/>
        </w:rPr>
        <w:t xml:space="preserve"> דהוי ספק מקודשת. ויש מפרשים </w:t>
      </w:r>
      <w:r w:rsidR="00A82951">
        <w:rPr>
          <w:rFonts w:cs="Arial"/>
          <w:rtl/>
        </w:rPr>
        <w:t>-</w:t>
      </w:r>
      <w:r>
        <w:rPr>
          <w:rFonts w:cs="Arial"/>
          <w:rtl/>
        </w:rPr>
        <w:t xml:space="preserve"> דמקודשת ודאי, דלא גרע מהיכא דנתן לה בשתיקה. ויש מפרשים </w:t>
      </w:r>
      <w:r w:rsidR="00A82951">
        <w:rPr>
          <w:rFonts w:cs="Arial"/>
          <w:rtl/>
        </w:rPr>
        <w:t>-</w:t>
      </w:r>
      <w:r>
        <w:rPr>
          <w:rFonts w:cs="Arial"/>
          <w:rtl/>
        </w:rPr>
        <w:t xml:space="preserve"> דלא הוי מקודשת כלל, דהני לשונות גרועים יותר מנתן לה בשתיקה. ולזה הסכים הרא"ש ז"ל </w:t>
      </w:r>
      <w:r>
        <w:rPr>
          <w:rFonts w:cs="Arial"/>
          <w:sz w:val="16"/>
          <w:szCs w:val="16"/>
          <w:rtl/>
        </w:rPr>
        <w:t>(קידושין פ"א סי' ב)</w:t>
      </w:r>
      <w:r>
        <w:rPr>
          <w:rFonts w:cs="Arial"/>
          <w:rtl/>
        </w:rPr>
        <w:t>.</w:t>
      </w:r>
    </w:p>
    <w:p w14:paraId="1AED7F9D"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4455D37" w14:textId="77777777" w:rsidR="00FA2119" w:rsidRDefault="00FA2119" w:rsidP="00FA2119">
      <w:pPr>
        <w:rPr>
          <w:rtl/>
        </w:rPr>
      </w:pPr>
      <w:r>
        <w:rPr>
          <w:rFonts w:cs="Arial"/>
          <w:rtl/>
        </w:rPr>
        <w:t>כשיתן לה הגט יאמר לה: הרי את מגורשת ממני בגט זה ומותרת לכל אדם, או הרי את משולחת ממני. ואם שלוחו נותנו לה, אומר: הרי את מגורשת מפלוני בגט זה והרי את מותרת לכל אדם. ואם אמר לה: איני אישך איני בעליך, יש מי שאומר שאינו גט, אפילו היה מדבר עמה על עסקי גיטה, דכתיב וְשִלְחָהּ ולא שישלח את עצמו. ויש מי שאומר שאם היה מדבר עמה על עסקי גיטה, הוי ספק מגורשת</w:t>
      </w:r>
      <w:r>
        <w:rPr>
          <w:rStyle w:val="a7"/>
          <w:rFonts w:cs="Arial"/>
          <w:rtl/>
        </w:rPr>
        <w:footnoteReference w:id="1574"/>
      </w:r>
      <w:r>
        <w:rPr>
          <w:rFonts w:cs="Arial"/>
          <w:rtl/>
        </w:rPr>
        <w:t xml:space="preserve">. </w:t>
      </w:r>
    </w:p>
    <w:p w14:paraId="1415BCC8" w14:textId="77777777" w:rsidR="00FA2119" w:rsidRDefault="00FA2119" w:rsidP="00FA2119">
      <w:pPr>
        <w:rPr>
          <w:rtl/>
        </w:rPr>
      </w:pPr>
    </w:p>
    <w:p w14:paraId="20F8082B" w14:textId="77777777" w:rsidR="00FA2119" w:rsidRDefault="00FA2119" w:rsidP="00FA2119">
      <w:pPr>
        <w:pStyle w:val="2"/>
        <w:rPr>
          <w:rtl/>
        </w:rPr>
      </w:pPr>
      <w:r>
        <w:rPr>
          <w:rtl/>
        </w:rPr>
        <w:t>סעיף ד: אמר לה 'הרי את לעצמך', 'הרי את בת חורין'.</w:t>
      </w:r>
    </w:p>
    <w:p w14:paraId="665E2658" w14:textId="3C2DB5FE" w:rsidR="00FA2119" w:rsidRDefault="00FA2119" w:rsidP="00FA2119">
      <w:pPr>
        <w:rPr>
          <w:rtl/>
        </w:rPr>
      </w:pPr>
      <w:r>
        <w:rPr>
          <w:rFonts w:cs="Arial"/>
          <w:b/>
          <w:bCs/>
          <w:rtl/>
        </w:rPr>
        <w:t xml:space="preserve">קידושין </w:t>
      </w:r>
      <w:r>
        <w:rPr>
          <w:rFonts w:cs="Arial"/>
          <w:b/>
          <w:bCs/>
          <w:sz w:val="16"/>
          <w:szCs w:val="16"/>
          <w:rtl/>
        </w:rPr>
        <w:t>(פ"ק)</w:t>
      </w:r>
      <w:r>
        <w:rPr>
          <w:rFonts w:cs="Arial"/>
          <w:b/>
          <w:bCs/>
          <w:rtl/>
        </w:rPr>
        <w:t xml:space="preserve"> ו ע"א:</w:t>
      </w:r>
      <w:r>
        <w:rPr>
          <w:rFonts w:cs="Arial"/>
          <w:rtl/>
        </w:rPr>
        <w:t xml:space="preserve"> נתן לה גיטה, ואמר לה לאשתו הרי את בת חורין</w:t>
      </w:r>
      <w:r>
        <w:rPr>
          <w:rFonts w:cs="Arial"/>
          <w:sz w:val="14"/>
          <w:szCs w:val="14"/>
          <w:rtl/>
        </w:rPr>
        <w:t xml:space="preserve"> (ו:)</w:t>
      </w:r>
      <w:r>
        <w:rPr>
          <w:rFonts w:cs="Arial"/>
          <w:rtl/>
        </w:rPr>
        <w:t xml:space="preserve"> </w:t>
      </w:r>
      <w:r w:rsidR="00A82951">
        <w:rPr>
          <w:rFonts w:cs="Arial"/>
          <w:rtl/>
        </w:rPr>
        <w:t>-</w:t>
      </w:r>
      <w:r>
        <w:rPr>
          <w:rtl/>
        </w:rPr>
        <w:t xml:space="preserve"> </w:t>
      </w:r>
      <w:r>
        <w:rPr>
          <w:rFonts w:cs="Arial"/>
          <w:rtl/>
        </w:rPr>
        <w:t xml:space="preserve">לא אמר ולא כלום, אמר לה לשפחתו הרי את מותרת לכל אדם </w:t>
      </w:r>
      <w:r w:rsidR="00A82951">
        <w:rPr>
          <w:rFonts w:cs="Arial"/>
          <w:rtl/>
        </w:rPr>
        <w:t>-</w:t>
      </w:r>
      <w:r>
        <w:rPr>
          <w:rFonts w:cs="Arial"/>
          <w:rtl/>
        </w:rPr>
        <w:t xml:space="preserve"> לא אמר ולא כלום. אמר לה לאשתו הרי את לעצמך, מהו? מי אמרינן למלאכה קאמר לה, או דילמא לגמרי קאמר לה? </w:t>
      </w:r>
      <w:r w:rsidRPr="002F3049">
        <w:rPr>
          <w:rFonts w:cs="Arial"/>
          <w:u w:val="single"/>
          <w:rtl/>
        </w:rPr>
        <w:t>א"ל רבינא לרב אשי</w:t>
      </w:r>
      <w:r w:rsidR="002F3049">
        <w:rPr>
          <w:rFonts w:cs="Arial" w:hint="cs"/>
          <w:rtl/>
        </w:rPr>
        <w:t>:</w:t>
      </w:r>
      <w:r>
        <w:rPr>
          <w:rFonts w:cs="Arial"/>
          <w:rtl/>
        </w:rPr>
        <w:t xml:space="preserve"> ת"ש: דתניא, גופו של גט שחרור: הרי אתה בן חורין, הרי אתה לעצמך; השתא ומה עבד כנעני דקני ליה גופיה, כי א"ל הרי אתה לעצמך </w:t>
      </w:r>
      <w:r w:rsidR="00A82951">
        <w:rPr>
          <w:rFonts w:cs="Arial"/>
          <w:rtl/>
        </w:rPr>
        <w:t>-</w:t>
      </w:r>
      <w:r>
        <w:rPr>
          <w:rFonts w:cs="Arial"/>
          <w:rtl/>
        </w:rPr>
        <w:t xml:space="preserve"> לגמרי קא"ל, אשה דלא קני ליה גופה לא כ"ש.</w:t>
      </w:r>
      <w:r>
        <w:rPr>
          <w:rFonts w:cs="Arial"/>
          <w:sz w:val="16"/>
          <w:szCs w:val="16"/>
          <w:rtl/>
        </w:rPr>
        <w:t xml:space="preserve"> (והכי איתא בפרק בתרא דגיטין (פה:). והרמב"ם (פ"א ה"ד) מפרש כל אלו הלשונות לענין כותב כן בגט, וכן פירש רש"י (קידושין ו: ד"ה לא אמר כלום, גיטין שם ד"ה אמר לה). וכתב הר"ן (קידושין ב. ד"ה אמר) שכן דעת הרי"ף. ורבינו פירש לשון אמר כפשוטו. ומשמע דגם הרמב"ם והרי"ף ורש"י מודו דכל שאמר כי הנך לישני אינה מגורשת, אלא משום דבהמגרש איתמור הנך לישני אמתניתין (גיטין שם.) דגופו של גט הרי את מותרת לכל אדם, דמיפרשא בכותב, פירשו גם הני לישני בכותב. ודע דבגמרא (קידושין ו: גיטין שם) איבעיא לן אמר לעבדו 'אין לי עסק בך' מהו וכתב הר"ן (גיטין מה. ריש ד"ה גרסינן) דדוקא בעבד בעי אבל באשה לא איסתפק לן משום דלא שייך לישנא דאין לי עסק בך אלא בעבד שגופו קנוי, ב"י)</w:t>
      </w:r>
    </w:p>
    <w:p w14:paraId="44F1FE2C" w14:textId="77777777" w:rsidR="00FA2119" w:rsidRDefault="00FA2119" w:rsidP="00FA2119">
      <w:pPr>
        <w:rPr>
          <w:u w:val="single"/>
          <w:rtl/>
        </w:rPr>
      </w:pPr>
      <w:r>
        <w:rPr>
          <w:u w:val="single"/>
          <w:rtl/>
        </w:rPr>
        <w:t>אמר לה 'הרי את לעצמך', 'הרי את בת חורין':</w:t>
      </w:r>
    </w:p>
    <w:p w14:paraId="12B0AFA9" w14:textId="28A69F26" w:rsidR="00FA2119" w:rsidRDefault="00FA2119" w:rsidP="006A458D">
      <w:pPr>
        <w:pStyle w:val="ab"/>
        <w:numPr>
          <w:ilvl w:val="0"/>
          <w:numId w:val="92"/>
        </w:numPr>
        <w:rPr>
          <w:rtl/>
        </w:rPr>
      </w:pPr>
      <w:r>
        <w:rPr>
          <w:rFonts w:cs="Arial"/>
          <w:rtl/>
        </w:rPr>
        <w:t>טור</w:t>
      </w:r>
      <w:r w:rsidR="00A82951">
        <w:rPr>
          <w:rFonts w:cs="Arial"/>
          <w:rtl/>
        </w:rPr>
        <w:t>-</w:t>
      </w:r>
      <w:r>
        <w:rPr>
          <w:rFonts w:cs="Arial"/>
          <w:rtl/>
        </w:rPr>
        <w:t xml:space="preserve"> אמר לה 'הרי את לעצמך'</w:t>
      </w:r>
      <w:r w:rsidR="002F3049">
        <w:rPr>
          <w:rFonts w:cs="Arial" w:hint="cs"/>
          <w:rtl/>
        </w:rPr>
        <w:t xml:space="preserve"> -</w:t>
      </w:r>
      <w:r>
        <w:rPr>
          <w:rFonts w:cs="Arial"/>
          <w:rtl/>
        </w:rPr>
        <w:t xml:space="preserve"> ה"ז גט. אבל אמר לה 'הרי את בת חורין' </w:t>
      </w:r>
      <w:r w:rsidR="00A82951">
        <w:rPr>
          <w:rFonts w:cs="Arial"/>
          <w:rtl/>
        </w:rPr>
        <w:t>-</w:t>
      </w:r>
      <w:r>
        <w:rPr>
          <w:rFonts w:cs="Arial"/>
          <w:rtl/>
        </w:rPr>
        <w:t xml:space="preserve"> לא אמר כלום. </w:t>
      </w:r>
      <w:r>
        <w:rPr>
          <w:color w:val="E36C0A" w:themeColor="accent6" w:themeShade="BF"/>
          <w:rtl/>
        </w:rPr>
        <w:t>(וכ"פ בשו"ע)</w:t>
      </w:r>
    </w:p>
    <w:p w14:paraId="1F4F996C"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BBD9276" w14:textId="77777777" w:rsidR="00FA2119" w:rsidRDefault="00FA2119" w:rsidP="00FA2119">
      <w:pPr>
        <w:rPr>
          <w:rtl/>
        </w:rPr>
      </w:pPr>
      <w:r>
        <w:rPr>
          <w:rFonts w:cs="Arial"/>
          <w:rtl/>
        </w:rPr>
        <w:t xml:space="preserve">אמר לה: הרי את לעצמך, הרי זה גט. אבל אם אמר לה: הרי את בת חורין, לא אמר כלום. </w:t>
      </w:r>
    </w:p>
    <w:p w14:paraId="42A8849F" w14:textId="77777777" w:rsidR="00FA2119" w:rsidRDefault="00FA2119" w:rsidP="00FA2119">
      <w:pPr>
        <w:rPr>
          <w:rtl/>
        </w:rPr>
      </w:pPr>
    </w:p>
    <w:p w14:paraId="55F493BD" w14:textId="77777777" w:rsidR="00FA2119" w:rsidRDefault="00FA2119" w:rsidP="00FA2119">
      <w:pPr>
        <w:pStyle w:val="2"/>
        <w:rPr>
          <w:rtl/>
        </w:rPr>
      </w:pPr>
      <w:r>
        <w:rPr>
          <w:rtl/>
        </w:rPr>
        <w:t>סעיף ה: צריך שתדע האשה שזה גיטה להתגרש בו.</w:t>
      </w:r>
    </w:p>
    <w:p w14:paraId="22D49A8B" w14:textId="77777777" w:rsidR="00FA2119" w:rsidRDefault="00FA2119" w:rsidP="00FA2119">
      <w:pPr>
        <w:rPr>
          <w:u w:val="single"/>
          <w:rtl/>
        </w:rPr>
      </w:pPr>
      <w:r>
        <w:rPr>
          <w:u w:val="single"/>
          <w:rtl/>
        </w:rPr>
        <w:t>צריך שתדע האשה שזה גיטה להתגרש בו:</w:t>
      </w:r>
    </w:p>
    <w:p w14:paraId="51399B04" w14:textId="7AC5D6A4" w:rsidR="00FA2119" w:rsidRDefault="00FA2119" w:rsidP="006A458D">
      <w:pPr>
        <w:pStyle w:val="ab"/>
        <w:numPr>
          <w:ilvl w:val="0"/>
          <w:numId w:val="92"/>
        </w:numPr>
        <w:rPr>
          <w:rtl/>
        </w:rPr>
      </w:pPr>
      <w:r>
        <w:rPr>
          <w:rFonts w:cs="Arial"/>
          <w:rtl/>
        </w:rPr>
        <w:t xml:space="preserve">רמב"ם </w:t>
      </w:r>
      <w:r>
        <w:rPr>
          <w:rFonts w:cs="Arial"/>
          <w:sz w:val="16"/>
          <w:szCs w:val="16"/>
          <w:rtl/>
        </w:rPr>
        <w:t>(פ"א ה"א)</w:t>
      </w:r>
      <w:r w:rsidR="00A82951">
        <w:rPr>
          <w:rFonts w:cs="Arial"/>
          <w:rtl/>
        </w:rPr>
        <w:t>-</w:t>
      </w:r>
      <w:r>
        <w:rPr>
          <w:rFonts w:cs="Arial"/>
          <w:rtl/>
        </w:rPr>
        <w:t xml:space="preserve"> ועשרה דברים הן עיקר הגירושין מן התורה ואלו הן:... ושיתננו לה בתורת גירושין...</w:t>
      </w:r>
      <w:r>
        <w:rPr>
          <w:rFonts w:cs="Arial"/>
          <w:sz w:val="16"/>
          <w:szCs w:val="16"/>
          <w:rtl/>
        </w:rPr>
        <w:t xml:space="preserve"> (והמשיך בהלכה ט</w:t>
      </w:r>
      <w:r w:rsidR="00A82951">
        <w:rPr>
          <w:rFonts w:cs="Arial"/>
          <w:sz w:val="16"/>
          <w:szCs w:val="16"/>
          <w:rtl/>
        </w:rPr>
        <w:t>-</w:t>
      </w:r>
      <w:r>
        <w:rPr>
          <w:rFonts w:cs="Arial"/>
          <w:sz w:val="16"/>
          <w:szCs w:val="16"/>
          <w:rtl/>
        </w:rPr>
        <w:t>)</w:t>
      </w:r>
      <w:r>
        <w:rPr>
          <w:rFonts w:cs="Arial"/>
          <w:rtl/>
        </w:rPr>
        <w:t xml:space="preserve"> ומנין שאינו נותנו לה אלא בתורת גירושין, שנאמר </w:t>
      </w:r>
      <w:r>
        <w:rPr>
          <w:rFonts w:cs="Arial"/>
          <w:sz w:val="16"/>
          <w:szCs w:val="16"/>
          <w:rtl/>
        </w:rPr>
        <w:t xml:space="preserve">(דברים כד א) </w:t>
      </w:r>
      <w:r>
        <w:rPr>
          <w:rFonts w:cs="Arial"/>
          <w:rtl/>
        </w:rPr>
        <w:t xml:space="preserve">ספר כריתות ונתן בידה, שיתן אותו בתורת ספר כריתות. אבל אם נתנו לה בתורת שהוא שטר חוב או מזוזה, או שנתנו בידה והיא ישנה ונעורה והרי הוא בידה </w:t>
      </w:r>
      <w:r w:rsidR="00A82951">
        <w:rPr>
          <w:rFonts w:cs="Arial"/>
          <w:rtl/>
        </w:rPr>
        <w:t>-</w:t>
      </w:r>
      <w:r>
        <w:rPr>
          <w:rFonts w:cs="Arial"/>
          <w:rtl/>
        </w:rPr>
        <w:t xml:space="preserve"> אינו גט. ואם אמר לה אחר כך הרי הוא גיטיך </w:t>
      </w:r>
      <w:r w:rsidR="00A82951">
        <w:rPr>
          <w:rFonts w:cs="Arial"/>
          <w:rtl/>
        </w:rPr>
        <w:t>-</w:t>
      </w:r>
      <w:r>
        <w:rPr>
          <w:rFonts w:cs="Arial"/>
          <w:rtl/>
        </w:rPr>
        <w:t xml:space="preserve"> הרי זה גט. </w:t>
      </w:r>
    </w:p>
    <w:p w14:paraId="29FCBE19" w14:textId="345E0225" w:rsidR="00FA2119" w:rsidRDefault="00FA2119" w:rsidP="006A458D">
      <w:pPr>
        <w:pStyle w:val="ab"/>
        <w:numPr>
          <w:ilvl w:val="0"/>
          <w:numId w:val="92"/>
        </w:numPr>
      </w:pPr>
      <w:r>
        <w:rPr>
          <w:rFonts w:cs="Arial"/>
          <w:rtl/>
        </w:rPr>
        <w:lastRenderedPageBreak/>
        <w:t>טור</w:t>
      </w:r>
      <w:r w:rsidR="00A82951">
        <w:rPr>
          <w:rFonts w:cs="Arial"/>
          <w:rtl/>
        </w:rPr>
        <w:t>-</w:t>
      </w:r>
      <w:r>
        <w:rPr>
          <w:rFonts w:cs="Arial"/>
          <w:rtl/>
        </w:rPr>
        <w:t xml:space="preserve"> וצריך שתדע בשעה שמקבלת גיטה שהוא גיטה ושהיא מקבלת אותו להתגרש בו</w:t>
      </w:r>
      <w:r>
        <w:rPr>
          <w:rStyle w:val="a7"/>
          <w:rFonts w:cs="Arial"/>
          <w:rtl/>
        </w:rPr>
        <w:footnoteReference w:id="1575"/>
      </w:r>
      <w:r>
        <w:rPr>
          <w:rFonts w:cs="Arial"/>
          <w:rtl/>
        </w:rPr>
        <w:t xml:space="preserve">. אבל אם נותנו לה בחזקת שהוא שט"ח </w:t>
      </w:r>
      <w:r w:rsidR="00A82951">
        <w:rPr>
          <w:rFonts w:cs="Arial"/>
          <w:rtl/>
        </w:rPr>
        <w:t>-</w:t>
      </w:r>
      <w:r>
        <w:rPr>
          <w:rFonts w:cs="Arial"/>
          <w:rtl/>
        </w:rPr>
        <w:t xml:space="preserve"> אינה מגורשת, אא"כ יאמר לה אח"כ הרי זה גיטך, או שיודיענו לעדים</w:t>
      </w:r>
      <w:r>
        <w:rPr>
          <w:rStyle w:val="a7"/>
          <w:rFonts w:cs="Arial"/>
          <w:rtl/>
        </w:rPr>
        <w:footnoteReference w:id="1576"/>
      </w:r>
      <w:r>
        <w:rPr>
          <w:rFonts w:cs="Arial"/>
          <w:rtl/>
        </w:rPr>
        <w:t xml:space="preserve"> תחלה כדלקמן. </w:t>
      </w:r>
      <w:r w:rsidR="0041443B">
        <w:rPr>
          <w:rFonts w:cs="Arial"/>
          <w:color w:val="E36C0A" w:themeColor="accent6" w:themeShade="BF"/>
          <w:rtl/>
        </w:rPr>
        <w:t>(וכ"פ בשו"ע)</w:t>
      </w:r>
    </w:p>
    <w:p w14:paraId="60159029" w14:textId="6132D5AA" w:rsidR="00FA2119" w:rsidRDefault="00FA2119" w:rsidP="006A458D">
      <w:pPr>
        <w:pStyle w:val="ab"/>
        <w:numPr>
          <w:ilvl w:val="0"/>
          <w:numId w:val="92"/>
        </w:numPr>
      </w:pPr>
      <w:r>
        <w:rPr>
          <w:rFonts w:cs="Arial"/>
          <w:rtl/>
        </w:rPr>
        <w:t xml:space="preserve">תוס' </w:t>
      </w:r>
      <w:r>
        <w:rPr>
          <w:rFonts w:cs="Arial"/>
          <w:sz w:val="16"/>
          <w:szCs w:val="16"/>
          <w:rtl/>
        </w:rPr>
        <w:t>(עח. ד"ה אינו גט)</w:t>
      </w:r>
      <w:r w:rsidR="00A82951">
        <w:rPr>
          <w:rFonts w:cs="Arial"/>
          <w:rtl/>
        </w:rPr>
        <w:t>-</w:t>
      </w:r>
      <w:r>
        <w:rPr>
          <w:rFonts w:cs="Arial"/>
          <w:rtl/>
        </w:rPr>
        <w:t xml:space="preserve"> ר"י היה מצריך לנותן גט לאשתו לומר הי גיטיך וגם הרי את מותרת לכל אדם כדמשמע בהמגרש (לקמן פה:) שהיו רגילים לומר ג"כ ודן. ומיהו קשה דבהניזקין (לעיל נה.) משמע דאפילו לא אמר כשר גבי מעדותו של רבי יוחנן בן גודגדא נשמע אמר לעדים ראו גט זה וכו'. וי"ל דהתם נמי אחר כך יגידו לה העדים שהיא מגורשת</w:t>
      </w:r>
      <w:r>
        <w:rPr>
          <w:rtl/>
        </w:rPr>
        <w:t xml:space="preserve">. </w:t>
      </w:r>
      <w:r>
        <w:rPr>
          <w:color w:val="00B0F0"/>
          <w:rtl/>
        </w:rPr>
        <w:t>(וכ"פ הרמ"א)</w:t>
      </w:r>
    </w:p>
    <w:p w14:paraId="36484EE2"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F0713B7" w14:textId="77777777" w:rsidR="00FA2119" w:rsidRDefault="00FA2119" w:rsidP="00FA2119">
      <w:pPr>
        <w:rPr>
          <w:rtl/>
        </w:rPr>
      </w:pPr>
      <w:r>
        <w:rPr>
          <w:rFonts w:cs="Arial"/>
          <w:rtl/>
        </w:rPr>
        <w:t>צריך שיתננו לה בתורת גרושין, אבל אם נתנו לה בתורת שהוא שטר חוב, אינה מגורשת אלא אם כן יאמר אחר כך</w:t>
      </w:r>
      <w:r>
        <w:rPr>
          <w:rStyle w:val="a7"/>
          <w:rFonts w:cs="Arial"/>
          <w:rtl/>
        </w:rPr>
        <w:footnoteReference w:id="1577"/>
      </w:r>
      <w:r>
        <w:rPr>
          <w:rFonts w:cs="Arial"/>
          <w:rtl/>
        </w:rPr>
        <w:t xml:space="preserve">: הרי זה גיטך, או שיודיע כן לעדים בתחלה. </w:t>
      </w:r>
      <w:r>
        <w:rPr>
          <w:rFonts w:cs="Arial"/>
          <w:sz w:val="18"/>
          <w:szCs w:val="18"/>
          <w:rtl/>
        </w:rPr>
        <w:t>[הגה] ובלבד שתדע האשה שנתגרשה בו, או שהעדים מגידים לה אח"כ</w:t>
      </w:r>
      <w:r>
        <w:rPr>
          <w:rStyle w:val="a7"/>
          <w:rFonts w:cs="Arial"/>
          <w:sz w:val="18"/>
          <w:szCs w:val="18"/>
          <w:rtl/>
        </w:rPr>
        <w:footnoteReference w:id="1578"/>
      </w:r>
      <w:r>
        <w:rPr>
          <w:rFonts w:cs="Arial"/>
          <w:sz w:val="18"/>
          <w:szCs w:val="18"/>
          <w:rtl/>
        </w:rPr>
        <w:t xml:space="preserve"> (תוס').</w:t>
      </w:r>
      <w:r>
        <w:rPr>
          <w:rFonts w:cs="Arial"/>
          <w:rtl/>
        </w:rPr>
        <w:t xml:space="preserve"> </w:t>
      </w:r>
    </w:p>
    <w:p w14:paraId="1D8BFE44" w14:textId="77777777" w:rsidR="00FA2119" w:rsidRDefault="00FA2119" w:rsidP="00FA2119">
      <w:pPr>
        <w:rPr>
          <w:rtl/>
        </w:rPr>
      </w:pPr>
    </w:p>
    <w:p w14:paraId="1EA645AE" w14:textId="77777777" w:rsidR="00FA2119" w:rsidRDefault="00FA2119" w:rsidP="00FA2119">
      <w:pPr>
        <w:pStyle w:val="2"/>
        <w:rPr>
          <w:rtl/>
        </w:rPr>
      </w:pPr>
      <w:r>
        <w:rPr>
          <w:rtl/>
        </w:rPr>
        <w:t>סעיף ו: כשיש זוג ששמותיהם שוים צריך לגרש בפניהם.</w:t>
      </w:r>
    </w:p>
    <w:p w14:paraId="6BCBE8EB" w14:textId="65952A6E" w:rsidR="00FA2119" w:rsidRDefault="00FA2119" w:rsidP="00FA2119">
      <w:pPr>
        <w:rPr>
          <w:rFonts w:cs="Arial"/>
          <w:rtl/>
        </w:rPr>
      </w:pPr>
      <w:r>
        <w:rPr>
          <w:rFonts w:cs="Arial"/>
          <w:b/>
          <w:bCs/>
          <w:rtl/>
        </w:rPr>
        <w:t xml:space="preserve">בבא בתרא </w:t>
      </w:r>
      <w:r>
        <w:rPr>
          <w:rFonts w:cs="Arial"/>
          <w:b/>
          <w:bCs/>
          <w:sz w:val="16"/>
          <w:szCs w:val="16"/>
          <w:rtl/>
        </w:rPr>
        <w:t xml:space="preserve">(פ' גט פשוט) </w:t>
      </w:r>
      <w:r>
        <w:rPr>
          <w:rFonts w:cs="Arial"/>
          <w:b/>
          <w:bCs/>
          <w:rtl/>
        </w:rPr>
        <w:t>קסז ע"א:</w:t>
      </w:r>
      <w:r>
        <w:rPr>
          <w:rFonts w:cs="Arial"/>
          <w:rtl/>
        </w:rPr>
        <w:t xml:space="preserve"> </w:t>
      </w:r>
      <w:r>
        <w:rPr>
          <w:rFonts w:cs="Arial"/>
          <w:u w:val="double"/>
          <w:rtl/>
        </w:rPr>
        <w:t>מתני'</w:t>
      </w:r>
      <w:r>
        <w:rPr>
          <w:rFonts w:cs="Arial"/>
          <w:rtl/>
        </w:rPr>
        <w:t xml:space="preserve">: כותבין גט לאיש אף על פי שאין אשתו עמו, והשובר לאשה </w:t>
      </w:r>
      <w:r w:rsidR="00A82951">
        <w:rPr>
          <w:rFonts w:cs="Arial"/>
          <w:rtl/>
        </w:rPr>
        <w:t>-</w:t>
      </w:r>
      <w:r>
        <w:rPr>
          <w:rFonts w:cs="Arial"/>
          <w:rtl/>
        </w:rPr>
        <w:t xml:space="preserve"> אף על פי שאין בעלה עמה, ובלבד שיהא מכירן; והבעל נותן שכר.      </w:t>
      </w:r>
      <w:r>
        <w:rPr>
          <w:rFonts w:cs="Arial"/>
          <w:u w:val="double"/>
          <w:rtl/>
        </w:rPr>
        <w:t>גמ'</w:t>
      </w:r>
      <w:r>
        <w:rPr>
          <w:rFonts w:cs="Arial"/>
          <w:sz w:val="14"/>
          <w:szCs w:val="14"/>
          <w:u w:val="double"/>
          <w:rtl/>
        </w:rPr>
        <w:t>(קסז:)</w:t>
      </w:r>
      <w:r>
        <w:rPr>
          <w:rFonts w:cs="Arial"/>
          <w:u w:val="double"/>
          <w:rtl/>
        </w:rPr>
        <w:t>:</w:t>
      </w:r>
      <w:r>
        <w:rPr>
          <w:rFonts w:cs="Arial"/>
          <w:rtl/>
        </w:rPr>
        <w:t xml:space="preserve"> וליחוש לשני יוסף בן שמעון הדרים בעיר אחת, דלמא כתיב גיטא ואזיל וממטי ליה לאיתתיה דהיאך! </w:t>
      </w:r>
      <w:r>
        <w:rPr>
          <w:rFonts w:cs="Arial"/>
          <w:u w:val="single"/>
          <w:rtl/>
        </w:rPr>
        <w:t>אמר להו רב אחא בר הונא, הכי אמר רב</w:t>
      </w:r>
      <w:r>
        <w:rPr>
          <w:rFonts w:cs="Arial"/>
          <w:rtl/>
        </w:rPr>
        <w:t>: שני יוסף בן שמעון הדרים בעיר אחת, אין מגרשין נשותיהן אלא זה בפני זה.</w:t>
      </w:r>
    </w:p>
    <w:p w14:paraId="08B36EDE" w14:textId="61EE852B" w:rsidR="00FA2119" w:rsidRDefault="00FA2119" w:rsidP="00FA2119">
      <w:pPr>
        <w:rPr>
          <w:u w:val="single"/>
          <w:rtl/>
        </w:rPr>
      </w:pPr>
      <w:r>
        <w:rPr>
          <w:u w:val="single"/>
          <w:rtl/>
        </w:rPr>
        <w:t xml:space="preserve">כשיש זוג ששמותיהם שוים </w:t>
      </w:r>
      <w:r w:rsidR="00A82951">
        <w:rPr>
          <w:u w:val="single"/>
          <w:rtl/>
        </w:rPr>
        <w:t>-</w:t>
      </w:r>
      <w:r>
        <w:rPr>
          <w:u w:val="single"/>
          <w:rtl/>
        </w:rPr>
        <w:t xml:space="preserve"> צריך לגרש בפניהם:</w:t>
      </w:r>
    </w:p>
    <w:p w14:paraId="66B0F8E9" w14:textId="22AC97EF" w:rsidR="00FA2119" w:rsidRDefault="00FA2119" w:rsidP="006A458D">
      <w:pPr>
        <w:pStyle w:val="ab"/>
        <w:numPr>
          <w:ilvl w:val="0"/>
          <w:numId w:val="92"/>
        </w:numPr>
        <w:rPr>
          <w:rtl/>
        </w:rPr>
      </w:pPr>
      <w:r>
        <w:rPr>
          <w:rFonts w:cs="Arial"/>
          <w:rtl/>
        </w:rPr>
        <w:t>טור</w:t>
      </w:r>
      <w:r w:rsidR="00A82951">
        <w:rPr>
          <w:rFonts w:cs="Arial"/>
          <w:rtl/>
        </w:rPr>
        <w:t>-</w:t>
      </w:r>
      <w:r>
        <w:rPr>
          <w:rFonts w:cs="Arial"/>
          <w:rtl/>
        </w:rPr>
        <w:t xml:space="preserve"> אם יש אחד בעיר ששמו כשמו ושם אשתו כשם אשתו </w:t>
      </w:r>
      <w:r w:rsidR="00A82951">
        <w:rPr>
          <w:rFonts w:cs="Arial"/>
          <w:rtl/>
        </w:rPr>
        <w:t>-</w:t>
      </w:r>
      <w:r>
        <w:rPr>
          <w:rFonts w:cs="Arial"/>
          <w:rtl/>
        </w:rPr>
        <w:t xml:space="preserve"> אינו יכול לגרש אלא בפני האחר, שמא יכתוב גט ויתננו לאשת האחר ששמו כשמו, ויאסרנה על בעלה. </w:t>
      </w:r>
      <w:r>
        <w:rPr>
          <w:rFonts w:cs="Arial"/>
          <w:color w:val="E36C0A" w:themeColor="accent6" w:themeShade="BF"/>
          <w:rtl/>
        </w:rPr>
        <w:t>(וכ"פ בשו"ע)</w:t>
      </w:r>
    </w:p>
    <w:p w14:paraId="2E4A00AD" w14:textId="77777777" w:rsidR="00FA2119" w:rsidRDefault="00FA2119" w:rsidP="00FA2119">
      <w:pPr>
        <w:ind w:left="360"/>
        <w:rPr>
          <w:u w:val="dotted"/>
        </w:rPr>
      </w:pPr>
      <w:r>
        <w:rPr>
          <w:u w:val="dotted"/>
          <w:rtl/>
        </w:rPr>
        <w:t>האם העדים צריכים לדעת שבאמת זו היא אשתו:</w:t>
      </w:r>
    </w:p>
    <w:p w14:paraId="6808B441" w14:textId="26574B5D" w:rsidR="00FA2119" w:rsidRDefault="00995DE4" w:rsidP="006A458D">
      <w:pPr>
        <w:pStyle w:val="ab"/>
        <w:numPr>
          <w:ilvl w:val="0"/>
          <w:numId w:val="92"/>
        </w:numPr>
      </w:pPr>
      <w:r>
        <w:rPr>
          <w:rFonts w:cs="Arial" w:hint="cs"/>
          <w:rtl/>
        </w:rPr>
        <w:t>ר"י</w:t>
      </w:r>
      <w:r w:rsidR="00FA2119">
        <w:rPr>
          <w:rFonts w:cs="Arial"/>
          <w:rtl/>
        </w:rPr>
        <w:t xml:space="preserve"> </w:t>
      </w:r>
      <w:r w:rsidR="00FA2119">
        <w:rPr>
          <w:rFonts w:cs="Arial"/>
          <w:sz w:val="16"/>
          <w:szCs w:val="16"/>
          <w:rtl/>
        </w:rPr>
        <w:t>(</w:t>
      </w:r>
      <w:r>
        <w:rPr>
          <w:rFonts w:cs="Arial" w:hint="cs"/>
          <w:sz w:val="16"/>
          <w:szCs w:val="16"/>
          <w:rtl/>
        </w:rPr>
        <w:t xml:space="preserve">בתוס' גיטין </w:t>
      </w:r>
      <w:r w:rsidR="00FA2119">
        <w:rPr>
          <w:rFonts w:cs="Arial"/>
          <w:sz w:val="16"/>
          <w:szCs w:val="16"/>
          <w:rtl/>
        </w:rPr>
        <w:t>כד: ד"ה בעדי מסירה)</w:t>
      </w:r>
      <w:r w:rsidR="00A82951">
        <w:rPr>
          <w:rFonts w:cs="Arial"/>
          <w:rtl/>
        </w:rPr>
        <w:t>-</w:t>
      </w:r>
      <w:r w:rsidR="00FA2119">
        <w:rPr>
          <w:rFonts w:cs="Arial"/>
          <w:rtl/>
        </w:rPr>
        <w:t xml:space="preserve"> </w:t>
      </w:r>
      <w:r w:rsidR="0045333D">
        <w:rPr>
          <w:rFonts w:cs="Arial"/>
          <w:rtl/>
        </w:rPr>
        <w:t>אין עדי מסירה מדקדקים לראות אם זו אשתו כיון שמכירים שמו ושמה וכתוב בגט שמו ושמה, ולא חיישי' שמא יתננו לאשת חבירו ששמו כשמו ושמה כשמה. וגם לא מסקי אדעתייהו להבחין אם יש יוסף בן שמעון אחר בעיר. וכשבאה לב"ד להתירה להנשא מעידים עדי מסירה בפני ב"ד שראו שבעלה נתן לה גט, אע"פ שלא דקדקו אם היא היתה אשתו.</w:t>
      </w:r>
      <w:r w:rsidR="001875E3">
        <w:rPr>
          <w:rFonts w:hint="cs"/>
          <w:rtl/>
        </w:rPr>
        <w:t>..</w:t>
      </w:r>
      <w:r w:rsidR="001875E3" w:rsidRPr="001875E3">
        <w:rPr>
          <w:rtl/>
        </w:rPr>
        <w:t xml:space="preserve"> </w:t>
      </w:r>
      <w:r w:rsidR="001875E3" w:rsidRPr="001875E3">
        <w:rPr>
          <w:rFonts w:cs="Arial"/>
          <w:rtl/>
        </w:rPr>
        <w:t>וכשבאה לבית דין להתירה שיילי ב"ד לעדי מסירה אם היו שם שני יוסף בן שמעון</w:t>
      </w:r>
      <w:r w:rsidR="001875E3">
        <w:rPr>
          <w:rFonts w:cs="Arial" w:hint="cs"/>
          <w:rtl/>
        </w:rPr>
        <w:t>.</w:t>
      </w:r>
    </w:p>
    <w:p w14:paraId="30F7FF6D" w14:textId="77777777" w:rsidR="00FA2119" w:rsidRDefault="00FA2119" w:rsidP="00FA2119">
      <w:pPr>
        <w:ind w:left="360"/>
        <w:rPr>
          <w:u w:val="dotted"/>
        </w:rPr>
      </w:pPr>
      <w:r>
        <w:rPr>
          <w:u w:val="dotted"/>
          <w:rtl/>
        </w:rPr>
        <w:t>כשהעדים מכירים את האשה</w:t>
      </w:r>
      <w:r>
        <w:rPr>
          <w:sz w:val="16"/>
          <w:szCs w:val="16"/>
          <w:u w:val="dotted"/>
          <w:rtl/>
        </w:rPr>
        <w:t xml:space="preserve"> (שזו היא אשתו, ולא רק את שמה)</w:t>
      </w:r>
      <w:r>
        <w:rPr>
          <w:u w:val="dotted"/>
          <w:rtl/>
        </w:rPr>
        <w:t>, האם צריך אעפ"כ לגרש בפני הזוג השני:</w:t>
      </w:r>
    </w:p>
    <w:p w14:paraId="350EBBF6" w14:textId="4AEEC2A2" w:rsidR="00FA2119" w:rsidRDefault="00FA2119" w:rsidP="006A458D">
      <w:pPr>
        <w:pStyle w:val="ab"/>
        <w:numPr>
          <w:ilvl w:val="0"/>
          <w:numId w:val="92"/>
        </w:numPr>
      </w:pPr>
      <w:r>
        <w:rPr>
          <w:rFonts w:cs="Arial"/>
          <w:rtl/>
        </w:rPr>
        <w:t xml:space="preserve">ריטב"א </w:t>
      </w:r>
      <w:r>
        <w:rPr>
          <w:rFonts w:cs="Arial"/>
          <w:sz w:val="16"/>
          <w:szCs w:val="16"/>
          <w:rtl/>
        </w:rPr>
        <w:t>(חי' החדשים ב"מ יח. ד"ה ואפילו, והו"ד בשטמ"ק שם, הביאו הב"י בבדה"ב)</w:t>
      </w:r>
      <w:r w:rsidR="00A82951">
        <w:rPr>
          <w:rFonts w:cs="Arial"/>
          <w:rtl/>
        </w:rPr>
        <w:t>-</w:t>
      </w:r>
      <w:r>
        <w:rPr>
          <w:rFonts w:cs="Arial"/>
          <w:rtl/>
        </w:rPr>
        <w:t xml:space="preserve"> </w:t>
      </w:r>
      <w:r>
        <w:rPr>
          <w:rStyle w:val="a7"/>
          <w:rFonts w:cs="Arial"/>
          <w:rtl/>
        </w:rPr>
        <w:footnoteReference w:id="1579"/>
      </w:r>
      <w:r>
        <w:rPr>
          <w:rFonts w:cs="Arial"/>
          <w:rtl/>
        </w:rPr>
        <w:t>אם מכירים אותה ודאי יכול לגרשה שלא בפני אשת חבירו, אלא שאין העדים כותבים ונותנים לו עד שיגרשנה בפניהם</w:t>
      </w:r>
      <w:r>
        <w:rPr>
          <w:rStyle w:val="a7"/>
          <w:rFonts w:cs="Arial"/>
          <w:rtl/>
        </w:rPr>
        <w:footnoteReference w:id="1580"/>
      </w:r>
      <w:r>
        <w:rPr>
          <w:rFonts w:cs="Arial"/>
          <w:rtl/>
        </w:rPr>
        <w:t xml:space="preserve">. </w:t>
      </w:r>
    </w:p>
    <w:p w14:paraId="114D8B29" w14:textId="77777777" w:rsidR="00FA2119" w:rsidRDefault="00FA2119" w:rsidP="00FA2119">
      <w:pPr>
        <w:rPr>
          <w:u w:val="single"/>
          <w:rtl/>
        </w:rPr>
      </w:pPr>
      <w:r>
        <w:rPr>
          <w:u w:val="single"/>
          <w:rtl/>
        </w:rPr>
        <w:t>אשה מוציאה גט במקום שיש עוד זוג כשמם, ואין ידוע אם גירש את אשתו בפניהם:</w:t>
      </w:r>
    </w:p>
    <w:p w14:paraId="66E05F9C" w14:textId="2AC19805" w:rsidR="00FA2119" w:rsidRDefault="00FA2119" w:rsidP="006A458D">
      <w:pPr>
        <w:pStyle w:val="ab"/>
        <w:numPr>
          <w:ilvl w:val="0"/>
          <w:numId w:val="92"/>
        </w:numPr>
      </w:pPr>
      <w:r>
        <w:rPr>
          <w:rFonts w:cs="Arial"/>
          <w:rtl/>
        </w:rPr>
        <w:lastRenderedPageBreak/>
        <w:t xml:space="preserve">רי"ו </w:t>
      </w:r>
      <w:r>
        <w:rPr>
          <w:rFonts w:cs="Arial"/>
          <w:sz w:val="16"/>
          <w:szCs w:val="16"/>
          <w:rtl/>
        </w:rPr>
        <w:t>(ח"ה נכ"ד ריב.)</w:t>
      </w:r>
      <w:r w:rsidR="00A82951">
        <w:rPr>
          <w:rFonts w:cs="Arial"/>
          <w:rtl/>
        </w:rPr>
        <w:t>-</w:t>
      </w:r>
      <w:r>
        <w:rPr>
          <w:rFonts w:cs="Arial"/>
          <w:rtl/>
        </w:rPr>
        <w:t xml:space="preserve"> שני יוסף בן שמעון בעיר אחת ושם נשותיהן שוין אין מגרשים נשותיהן אלא זה בפני זה</w:t>
      </w:r>
      <w:r w:rsidR="00E26534">
        <w:rPr>
          <w:rFonts w:cs="Arial" w:hint="cs"/>
          <w:rtl/>
        </w:rPr>
        <w:t>,</w:t>
      </w:r>
      <w:r>
        <w:rPr>
          <w:rFonts w:cs="Arial"/>
          <w:rtl/>
        </w:rPr>
        <w:t xml:space="preserve"> פשוט בבתרא</w:t>
      </w:r>
      <w:r w:rsidR="00E26534">
        <w:rPr>
          <w:rFonts w:cs="Arial" w:hint="cs"/>
          <w:rtl/>
        </w:rPr>
        <w:t>.</w:t>
      </w:r>
      <w:r>
        <w:rPr>
          <w:rFonts w:cs="Arial"/>
          <w:rtl/>
        </w:rPr>
        <w:t xml:space="preserve"> פירוש</w:t>
      </w:r>
      <w:r w:rsidR="00E26534">
        <w:rPr>
          <w:rFonts w:cs="Arial" w:hint="cs"/>
          <w:rtl/>
        </w:rPr>
        <w:t>,</w:t>
      </w:r>
      <w:r>
        <w:rPr>
          <w:rFonts w:cs="Arial"/>
          <w:rtl/>
        </w:rPr>
        <w:t xml:space="preserve"> ואינה מגורשת אפילו הוציאה גט עד שתביא ראיה שגירשה בפני האחר ששמו כשמו, או יבואו עדי מסירה ויעידו שזהו המגרש וזו היא המגורשת</w:t>
      </w:r>
      <w:r>
        <w:rPr>
          <w:rStyle w:val="a7"/>
          <w:rFonts w:cs="Arial"/>
          <w:rtl/>
        </w:rPr>
        <w:footnoteReference w:id="1581"/>
      </w:r>
      <w:r>
        <w:rPr>
          <w:rFonts w:cs="Arial"/>
          <w:rtl/>
        </w:rPr>
        <w:t>.</w:t>
      </w:r>
      <w:r>
        <w:rPr>
          <w:color w:val="00B0F0"/>
          <w:rtl/>
        </w:rPr>
        <w:t xml:space="preserve"> (וכ"פ הרמ"א)</w:t>
      </w:r>
    </w:p>
    <w:p w14:paraId="48C0DAF5" w14:textId="77777777" w:rsidR="00FA2119" w:rsidRDefault="00FA2119" w:rsidP="00FA2119">
      <w:r>
        <w:rPr>
          <w:rFonts w:cs="Arial"/>
          <w:u w:val="single"/>
          <w:rtl/>
        </w:rPr>
        <w:t>מנהגים בגט כשיש באותה עיר שני יוסף בן שמעון:</w:t>
      </w:r>
      <w:r>
        <w:rPr>
          <w:rFonts w:cs="Arial"/>
          <w:rtl/>
        </w:rPr>
        <w:t xml:space="preserve"> </w:t>
      </w:r>
      <w:r>
        <w:rPr>
          <w:rFonts w:cs="Arial"/>
          <w:sz w:val="16"/>
          <w:szCs w:val="16"/>
          <w:rtl/>
        </w:rPr>
        <w:t xml:space="preserve">(דרכ"מ אות ד) </w:t>
      </w:r>
    </w:p>
    <w:p w14:paraId="299CC970" w14:textId="7EB9A305" w:rsidR="00FA2119" w:rsidRDefault="00FA2119" w:rsidP="006A458D">
      <w:pPr>
        <w:pStyle w:val="ab"/>
        <w:numPr>
          <w:ilvl w:val="0"/>
          <w:numId w:val="92"/>
        </w:numPr>
      </w:pPr>
      <w:r>
        <w:rPr>
          <w:rFonts w:cs="Arial"/>
          <w:rtl/>
        </w:rPr>
        <w:t xml:space="preserve">אגודה </w:t>
      </w:r>
      <w:r>
        <w:rPr>
          <w:rFonts w:cs="Arial"/>
          <w:sz w:val="16"/>
          <w:szCs w:val="16"/>
          <w:rtl/>
        </w:rPr>
        <w:t>(פ' כל הגט סי' לו)</w:t>
      </w:r>
      <w:r w:rsidR="00A82951">
        <w:rPr>
          <w:rFonts w:cs="Arial"/>
          <w:rtl/>
        </w:rPr>
        <w:t>-</w:t>
      </w:r>
      <w:r>
        <w:rPr>
          <w:rFonts w:cs="Arial"/>
          <w:rtl/>
        </w:rPr>
        <w:t xml:space="preserve"> נוהגין ליתן גט בחצר בית הכנסת כדי שיראה כל העולם אם יש שם יוסף בן שמעון אחר יבוא ויראה. </w:t>
      </w:r>
      <w:r>
        <w:rPr>
          <w:color w:val="00B0F0"/>
          <w:rtl/>
        </w:rPr>
        <w:t>(וכ"כ הרמ"א)</w:t>
      </w:r>
    </w:p>
    <w:p w14:paraId="7EE89EC2" w14:textId="23343189" w:rsidR="00FA2119" w:rsidRDefault="00FA2119" w:rsidP="006A458D">
      <w:pPr>
        <w:pStyle w:val="ab"/>
        <w:numPr>
          <w:ilvl w:val="0"/>
          <w:numId w:val="92"/>
        </w:numPr>
      </w:pPr>
      <w:r>
        <w:rPr>
          <w:rFonts w:cs="Arial"/>
          <w:rtl/>
        </w:rPr>
        <w:t>סדר גיטין</w:t>
      </w:r>
      <w:r>
        <w:rPr>
          <w:rFonts w:cs="Arial"/>
          <w:sz w:val="16"/>
          <w:szCs w:val="16"/>
          <w:rtl/>
        </w:rPr>
        <w:t xml:space="preserve"> (סי' צט)</w:t>
      </w:r>
      <w:r w:rsidR="00A82951">
        <w:rPr>
          <w:rFonts w:cs="Arial"/>
          <w:rtl/>
        </w:rPr>
        <w:t>-</w:t>
      </w:r>
      <w:r>
        <w:rPr>
          <w:rFonts w:cs="Arial"/>
          <w:rtl/>
        </w:rPr>
        <w:t xml:space="preserve"> שני יוסף בן שמעון הדרים בעיר אחת, אע"פ שאין שמות נשותיהם שוין אפילו הכי צריך לכתוב כינוייהן או שם אבי אביהם לסימן</w:t>
      </w:r>
      <w:r>
        <w:rPr>
          <w:rStyle w:val="a7"/>
          <w:rFonts w:cs="Arial"/>
          <w:rtl/>
        </w:rPr>
        <w:footnoteReference w:id="1582"/>
      </w:r>
      <w:r>
        <w:rPr>
          <w:rFonts w:cs="Arial"/>
          <w:rtl/>
        </w:rPr>
        <w:t xml:space="preserve">. </w:t>
      </w:r>
      <w:r>
        <w:rPr>
          <w:color w:val="00B0F0"/>
          <w:rtl/>
        </w:rPr>
        <w:t>(וכ"כ הרמ"א)</w:t>
      </w:r>
    </w:p>
    <w:p w14:paraId="3D1F66D9"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8B95BBC" w14:textId="77777777" w:rsidR="00FA2119" w:rsidRDefault="00FA2119" w:rsidP="00FA2119">
      <w:pPr>
        <w:rPr>
          <w:rFonts w:cs="Arial"/>
          <w:rtl/>
        </w:rPr>
      </w:pPr>
      <w:r>
        <w:rPr>
          <w:rFonts w:cs="Arial"/>
          <w:rtl/>
        </w:rPr>
        <w:t>אם יש אחר בעיר ששמו כשמו ושם אשתו כשם אשתו, אינו יכול לגרש אלא בפני</w:t>
      </w:r>
      <w:r>
        <w:rPr>
          <w:rStyle w:val="a7"/>
          <w:rFonts w:cs="Arial"/>
          <w:rtl/>
        </w:rPr>
        <w:footnoteReference w:id="1583"/>
      </w:r>
      <w:r>
        <w:rPr>
          <w:rFonts w:cs="Arial"/>
          <w:rtl/>
        </w:rPr>
        <w:t xml:space="preserve"> האחר</w:t>
      </w:r>
      <w:r>
        <w:rPr>
          <w:rStyle w:val="a7"/>
          <w:rFonts w:cs="Arial"/>
          <w:rtl/>
        </w:rPr>
        <w:footnoteReference w:id="1584"/>
      </w:r>
      <w:r>
        <w:rPr>
          <w:rFonts w:cs="Arial"/>
          <w:rtl/>
        </w:rPr>
        <w:t xml:space="preserve">. </w:t>
      </w:r>
      <w:r>
        <w:rPr>
          <w:rFonts w:cs="Arial"/>
          <w:sz w:val="18"/>
          <w:szCs w:val="18"/>
          <w:rtl/>
        </w:rPr>
        <w:t>הגה: ואפילו יצא גט מתחת יד אחת, אינה מגורשת, עד שתביא ראיה שגירשה בפני האחר, או תביא עדי מסירה שזהו שגירש את אשתו (רי"ו). י"א דאם שמות המגרשים שווים, אע"פ שאין שמות הנשים שווים</w:t>
      </w:r>
      <w:r>
        <w:rPr>
          <w:rStyle w:val="a7"/>
          <w:rFonts w:cs="Arial"/>
          <w:sz w:val="18"/>
          <w:szCs w:val="18"/>
          <w:rtl/>
        </w:rPr>
        <w:footnoteReference w:id="1585"/>
      </w:r>
      <w:r>
        <w:rPr>
          <w:rFonts w:cs="Arial"/>
          <w:sz w:val="18"/>
          <w:szCs w:val="18"/>
          <w:rtl/>
        </w:rPr>
        <w:t>, מ"מ יכתבו סימן במגרש או מצד כינוי שלו (סדר גיטין), או שהאחד כהן והשני אינו כהן (פסקי מהרא"י). ולכן נהגו לתת הגט ברבים, שאם היו בעיר שנים ששמותיהם שוים, שיהיה אצל הגט (אגודה).</w:t>
      </w:r>
    </w:p>
    <w:p w14:paraId="7A013161" w14:textId="69C12C58" w:rsidR="00FA2119" w:rsidRDefault="00FA2119" w:rsidP="00FA2119">
      <w:pPr>
        <w:rPr>
          <w:rFonts w:cs="Arial"/>
          <w:rtl/>
        </w:rPr>
      </w:pPr>
      <w:r>
        <w:rPr>
          <w:rFonts w:cs="Arial"/>
          <w:u w:val="single"/>
          <w:rtl/>
        </w:rPr>
        <w:t xml:space="preserve">במקרה שמשלש את השמות </w:t>
      </w:r>
      <w:r w:rsidR="00A82951">
        <w:rPr>
          <w:rFonts w:cs="Arial"/>
          <w:u w:val="single"/>
          <w:rtl/>
        </w:rPr>
        <w:t>-</w:t>
      </w:r>
      <w:r>
        <w:rPr>
          <w:rFonts w:cs="Arial"/>
          <w:u w:val="single"/>
          <w:rtl/>
        </w:rPr>
        <w:t xml:space="preserve"> האם עדיין צריך לתת את הגט זה בפני זה:</w:t>
      </w:r>
      <w:r>
        <w:rPr>
          <w:rFonts w:cs="Arial"/>
          <w:rtl/>
        </w:rPr>
        <w:t xml:space="preserve"> </w:t>
      </w:r>
      <w:r>
        <w:rPr>
          <w:rFonts w:cs="Arial"/>
          <w:sz w:val="16"/>
          <w:szCs w:val="16"/>
          <w:rtl/>
        </w:rPr>
        <w:t>(פת"ש סק"ד)</w:t>
      </w:r>
      <w:r>
        <w:rPr>
          <w:rFonts w:cs="Arial"/>
          <w:rtl/>
        </w:rPr>
        <w:t xml:space="preserve"> </w:t>
      </w:r>
    </w:p>
    <w:p w14:paraId="1AD060A2" w14:textId="2117BECB" w:rsidR="00FA2119" w:rsidRDefault="00FA2119" w:rsidP="006A458D">
      <w:pPr>
        <w:pStyle w:val="ab"/>
        <w:numPr>
          <w:ilvl w:val="0"/>
          <w:numId w:val="93"/>
        </w:numPr>
        <w:rPr>
          <w:rFonts w:cs="Arial"/>
          <w:rtl/>
        </w:rPr>
      </w:pPr>
      <w:r>
        <w:rPr>
          <w:rFonts w:cs="Arial"/>
          <w:rtl/>
        </w:rPr>
        <w:t xml:space="preserve">מהר"ם מלובלין </w:t>
      </w:r>
      <w:r>
        <w:rPr>
          <w:rFonts w:cs="Arial"/>
          <w:sz w:val="16"/>
          <w:szCs w:val="16"/>
          <w:rtl/>
        </w:rPr>
        <w:t>(סדר גיטין אות כה)</w:t>
      </w:r>
      <w:r w:rsidR="00A82951">
        <w:rPr>
          <w:rFonts w:cs="Arial"/>
          <w:rtl/>
        </w:rPr>
        <w:t>-</w:t>
      </w:r>
      <w:r>
        <w:rPr>
          <w:rFonts w:cs="Arial"/>
          <w:rtl/>
        </w:rPr>
        <w:t xml:space="preserve"> שילוש עדיף מזה בפני זה</w:t>
      </w:r>
      <w:r>
        <w:rPr>
          <w:rStyle w:val="a7"/>
          <w:rFonts w:cs="Arial"/>
          <w:rtl/>
        </w:rPr>
        <w:footnoteReference w:id="1586"/>
      </w:r>
      <w:r>
        <w:rPr>
          <w:rFonts w:cs="Arial"/>
          <w:rtl/>
        </w:rPr>
        <w:t xml:space="preserve">. </w:t>
      </w:r>
    </w:p>
    <w:p w14:paraId="4717ED36" w14:textId="4509079D" w:rsidR="00FA2119" w:rsidRDefault="00FA2119" w:rsidP="006A458D">
      <w:pPr>
        <w:pStyle w:val="ab"/>
        <w:numPr>
          <w:ilvl w:val="0"/>
          <w:numId w:val="93"/>
        </w:numPr>
        <w:rPr>
          <w:rtl/>
        </w:rPr>
      </w:pPr>
      <w:r>
        <w:rPr>
          <w:rFonts w:cs="Arial"/>
          <w:rtl/>
        </w:rPr>
        <w:t xml:space="preserve">רשב"א </w:t>
      </w:r>
      <w:r>
        <w:rPr>
          <w:rFonts w:cs="Arial"/>
          <w:sz w:val="16"/>
          <w:szCs w:val="16"/>
          <w:rtl/>
        </w:rPr>
        <w:t>(גיטין כד: בסוף העמוד)</w:t>
      </w:r>
      <w:r w:rsidR="00A82951">
        <w:rPr>
          <w:rFonts w:cs="Arial"/>
          <w:rtl/>
        </w:rPr>
        <w:t>-</w:t>
      </w:r>
      <w:r>
        <w:rPr>
          <w:rFonts w:cs="Arial"/>
          <w:rtl/>
        </w:rPr>
        <w:t xml:space="preserve"> אע</w:t>
      </w:r>
      <w:r w:rsidR="004C0F80">
        <w:rPr>
          <w:rFonts w:cs="Arial" w:hint="cs"/>
          <w:rtl/>
        </w:rPr>
        <w:t>"</w:t>
      </w:r>
      <w:r>
        <w:rPr>
          <w:rFonts w:cs="Arial"/>
          <w:rtl/>
        </w:rPr>
        <w:t>פ שכותבין דורות או סימן או כהן אין אנו סומכים בכך עד שיגרש בפני חברו דאז ליכא למיחש לשמא נתן את הגט לאשת חברו שלא היה האחר סובל, א"נ י"ל שאז ידקדקו העדים יותר, זו היא שיטתם של רבותינו בעלי התוס' ז"ל.</w:t>
      </w:r>
      <w:r w:rsidR="004C0F80" w:rsidRPr="004C0F80">
        <w:rPr>
          <w:rFonts w:cs="Arial" w:hint="cs"/>
          <w:rtl/>
        </w:rPr>
        <w:t xml:space="preserve"> </w:t>
      </w:r>
      <w:r w:rsidR="004C0F80">
        <w:rPr>
          <w:rFonts w:cs="Arial" w:hint="cs"/>
          <w:rtl/>
        </w:rPr>
        <w:t xml:space="preserve">(וכ"פ </w:t>
      </w:r>
      <w:r w:rsidR="004C0F80">
        <w:rPr>
          <w:rFonts w:cs="Arial"/>
          <w:rtl/>
        </w:rPr>
        <w:t xml:space="preserve">תו"ג גט מקושר וג"פ </w:t>
      </w:r>
      <w:r w:rsidR="004C0F80">
        <w:rPr>
          <w:rFonts w:cs="Arial" w:hint="cs"/>
          <w:sz w:val="16"/>
          <w:szCs w:val="16"/>
          <w:rtl/>
        </w:rPr>
        <w:t>[</w:t>
      </w:r>
      <w:r w:rsidR="004C0F80">
        <w:rPr>
          <w:rFonts w:cs="Arial"/>
          <w:sz w:val="16"/>
          <w:szCs w:val="16"/>
          <w:rtl/>
        </w:rPr>
        <w:t>סי' קכ סקי"ט</w:t>
      </w:r>
      <w:r w:rsidR="004C0F80">
        <w:rPr>
          <w:rFonts w:cs="Arial" w:hint="cs"/>
          <w:sz w:val="16"/>
          <w:szCs w:val="16"/>
          <w:rtl/>
        </w:rPr>
        <w:t>]</w:t>
      </w:r>
      <w:r w:rsidR="004C0F80">
        <w:rPr>
          <w:rFonts w:cs="Arial" w:hint="cs"/>
          <w:rtl/>
        </w:rPr>
        <w:t>)</w:t>
      </w:r>
      <w:r>
        <w:rPr>
          <w:rFonts w:cs="Arial"/>
          <w:rtl/>
        </w:rPr>
        <w:t xml:space="preserve"> </w:t>
      </w:r>
    </w:p>
    <w:p w14:paraId="7BF3F998" w14:textId="7348AACD" w:rsidR="00FA2119" w:rsidRDefault="00FA2119" w:rsidP="006A458D">
      <w:pPr>
        <w:pStyle w:val="ab"/>
        <w:numPr>
          <w:ilvl w:val="0"/>
          <w:numId w:val="93"/>
        </w:numPr>
      </w:pPr>
      <w:r>
        <w:rPr>
          <w:rFonts w:cs="Arial"/>
          <w:rtl/>
        </w:rPr>
        <w:t xml:space="preserve">בית מאיר </w:t>
      </w:r>
      <w:r>
        <w:rPr>
          <w:rFonts w:cs="Arial"/>
          <w:sz w:val="16"/>
          <w:szCs w:val="16"/>
          <w:rtl/>
        </w:rPr>
        <w:t>(סי' קכ)</w:t>
      </w:r>
      <w:r w:rsidR="00A82951">
        <w:rPr>
          <w:rFonts w:cs="Arial"/>
          <w:rtl/>
        </w:rPr>
        <w:t>-</w:t>
      </w:r>
      <w:r>
        <w:rPr>
          <w:rFonts w:cs="Arial"/>
          <w:rtl/>
        </w:rPr>
        <w:t xml:space="preserve"> היכא דשני יוב"ש עם שמות הנשים שוות אף דודאי לכתחלה ראוי לצאת דעת תוס' אליבא דר"מ לכתוב סימן כדי שיהי' מוכח מתוכו</w:t>
      </w:r>
      <w:r w:rsidR="004C0F80">
        <w:rPr>
          <w:rFonts w:cs="Arial" w:hint="cs"/>
          <w:rtl/>
        </w:rPr>
        <w:t>,</w:t>
      </w:r>
      <w:r>
        <w:rPr>
          <w:rFonts w:cs="Arial"/>
          <w:rtl/>
        </w:rPr>
        <w:t xml:space="preserve"> מ"מ אין לזוז ממשמעות הש"ע דאין לגרש אלא זה בפני זה</w:t>
      </w:r>
      <w:r w:rsidR="00CD52C8">
        <w:rPr>
          <w:rFonts w:cs="Arial" w:hint="cs"/>
          <w:rtl/>
        </w:rPr>
        <w:t>.</w:t>
      </w:r>
      <w:r>
        <w:rPr>
          <w:rFonts w:cs="Arial"/>
          <w:rtl/>
        </w:rPr>
        <w:t xml:space="preserve"> ואם השני אינו רוצה לבא</w:t>
      </w:r>
      <w:r w:rsidR="00CD52C8">
        <w:rPr>
          <w:rFonts w:cs="Arial" w:hint="cs"/>
          <w:rtl/>
        </w:rPr>
        <w:t>,</w:t>
      </w:r>
      <w:r>
        <w:rPr>
          <w:rFonts w:cs="Arial"/>
          <w:rtl/>
        </w:rPr>
        <w:t xml:space="preserve"> לענ"ד הרשות ביד ב"ד לכופו כדי לקיים תק"ח </w:t>
      </w:r>
      <w:r>
        <w:rPr>
          <w:rFonts w:cs="Arial"/>
          <w:sz w:val="16"/>
          <w:szCs w:val="16"/>
          <w:rtl/>
        </w:rPr>
        <w:t>(ע' בס"ק שאח"ז)</w:t>
      </w:r>
      <w:r>
        <w:rPr>
          <w:rFonts w:cs="Arial"/>
          <w:rtl/>
        </w:rPr>
        <w:t>. אבל כשאין שמות הנשים בשמה ושם אביה שוות, דאז למשמעות הראשוני' א"צ כלום ומנהגינו להחמיר, אך ע"פ הש"ג וב"ח ותשו' ש"י אזי יש לנהוג כסדר ר"מ הנ"ל.</w:t>
      </w:r>
      <w:r w:rsidR="004C0F80">
        <w:rPr>
          <w:rFonts w:hint="cs"/>
          <w:rtl/>
        </w:rPr>
        <w:t xml:space="preserve"> </w:t>
      </w:r>
    </w:p>
    <w:p w14:paraId="59BB3946" w14:textId="77777777" w:rsidR="00FA2119" w:rsidRDefault="00FA2119" w:rsidP="00FA2119">
      <w:pPr>
        <w:rPr>
          <w:rtl/>
        </w:rPr>
      </w:pPr>
    </w:p>
    <w:p w14:paraId="7E911269" w14:textId="77777777" w:rsidR="00FA2119" w:rsidRDefault="00FA2119" w:rsidP="00FA2119">
      <w:pPr>
        <w:pStyle w:val="2"/>
        <w:rPr>
          <w:rtl/>
        </w:rPr>
      </w:pPr>
      <w:r>
        <w:rPr>
          <w:rtl/>
        </w:rPr>
        <w:lastRenderedPageBreak/>
        <w:t>סעיף ז: גירושין בשבת.</w:t>
      </w:r>
    </w:p>
    <w:p w14:paraId="1E7C3A23" w14:textId="06D82EAD" w:rsidR="00FA2119" w:rsidRDefault="00FA2119" w:rsidP="00FA2119">
      <w:pPr>
        <w:rPr>
          <w:rtl/>
        </w:rPr>
      </w:pPr>
      <w:r>
        <w:rPr>
          <w:rFonts w:cs="Arial"/>
          <w:b/>
          <w:bCs/>
          <w:rtl/>
        </w:rPr>
        <w:t>תוספתא ביצה פ"ד ה"ד:</w:t>
      </w:r>
      <w:r>
        <w:rPr>
          <w:rFonts w:cs="Arial"/>
          <w:rtl/>
        </w:rPr>
        <w:t xml:space="preserve"> אילו הן משום שבות לא עולין באילן ולא רוכבין על גבי בהמה ולא שטין על פני המים ולא מספקין ולא מטפחין ולא מרקדין. ואילו הן משום רשות לא דנין ולא מקדשין </w:t>
      </w:r>
      <w:r>
        <w:rPr>
          <w:rStyle w:val="a7"/>
          <w:rFonts w:cs="Arial"/>
          <w:rtl/>
        </w:rPr>
        <w:footnoteReference w:id="1587"/>
      </w:r>
      <w:r>
        <w:rPr>
          <w:rFonts w:cs="Arial"/>
          <w:rtl/>
        </w:rPr>
        <w:t xml:space="preserve">[ולא מגרשין ולא ממאנין] ולא חולצין ולא מייבמין ואילו הן משום מצוה לא מקדישין ולא מעריכין ולא מחרימין ולא מגביהין תרומה ומעשרות. כל אילו ביום טוב וקל וחומר בשבת, ואין בין יום טוב לשבת אלא אוכל נפש בלבד. כולם שעשאום ישראל בין אנוסין בין שוגגין בין מזידין בין מוטעין </w:t>
      </w:r>
      <w:r w:rsidR="00A82951">
        <w:rPr>
          <w:rFonts w:cs="Arial"/>
          <w:rtl/>
        </w:rPr>
        <w:t>-</w:t>
      </w:r>
      <w:r>
        <w:rPr>
          <w:rFonts w:cs="Arial"/>
          <w:rtl/>
        </w:rPr>
        <w:t xml:space="preserve"> מה שעשה עשוי בשבת, ואין צריך לומר ביום טוב.</w:t>
      </w:r>
    </w:p>
    <w:p w14:paraId="1ECF0B16" w14:textId="155D3698" w:rsidR="00FA2119" w:rsidRDefault="00FA2119" w:rsidP="00FA2119">
      <w:pPr>
        <w:rPr>
          <w:rtl/>
        </w:rPr>
      </w:pPr>
      <w:r>
        <w:rPr>
          <w:rFonts w:cs="Arial"/>
          <w:b/>
          <w:bCs/>
          <w:rtl/>
        </w:rPr>
        <w:t>ספרא אחרי מות פרשה ה פרק ז אות ט:</w:t>
      </w:r>
      <w:r>
        <w:rPr>
          <w:rFonts w:cs="Arial"/>
          <w:rtl/>
        </w:rPr>
        <w:t xml:space="preserve"> אין לי אלא מלאכה שחייבים על מינה כרת. מלאכה שאין חייבין על מינה כרת מנין? שלא יעלה באילן ושלא ירכב על גבי בהמה ולא ישוט על המים ולא יספוק ולא יטפיח ולא ירקד</w:t>
      </w:r>
      <w:r w:rsidR="0058714B">
        <w:rPr>
          <w:rFonts w:cs="Arial" w:hint="cs"/>
          <w:rtl/>
        </w:rPr>
        <w:t>,</w:t>
      </w:r>
      <w:r>
        <w:rPr>
          <w:rFonts w:cs="Arial"/>
          <w:rtl/>
        </w:rPr>
        <w:t xml:space="preserve"> תלמוד לומר שבתון שבות. אין לי אלא שביתת רשות, שביתת מצוה מנין? לא יקדיש ולא יעריך ולא ולא יחרים ולא יגביה ולא יתרום ולא יעשר ולא יקדש ולא יגרש ולא ימאן ולא יחלוץ ולא ייבם ולא יפדה נטע רביעי ומעשר שני, תלמוד לומר שבתון שבות. </w:t>
      </w:r>
    </w:p>
    <w:p w14:paraId="07E91194" w14:textId="3A1FF82E" w:rsidR="00FA2119" w:rsidRDefault="00FA2119" w:rsidP="00FA2119">
      <w:pPr>
        <w:rPr>
          <w:rtl/>
        </w:rPr>
      </w:pPr>
      <w:r>
        <w:rPr>
          <w:rFonts w:cs="Arial"/>
          <w:b/>
          <w:bCs/>
          <w:rtl/>
        </w:rPr>
        <w:t xml:space="preserve">גיטין </w:t>
      </w:r>
      <w:r>
        <w:rPr>
          <w:rFonts w:cs="Arial"/>
          <w:b/>
          <w:bCs/>
          <w:sz w:val="16"/>
          <w:szCs w:val="16"/>
          <w:rtl/>
        </w:rPr>
        <w:t xml:space="preserve">(ר"פ הזורק) </w:t>
      </w:r>
      <w:r>
        <w:rPr>
          <w:rFonts w:cs="Arial"/>
          <w:b/>
          <w:bCs/>
          <w:rtl/>
        </w:rPr>
        <w:t>עז</w:t>
      </w:r>
      <w:r w:rsidR="0099579F">
        <w:rPr>
          <w:rStyle w:val="a7"/>
          <w:rFonts w:cs="Arial"/>
          <w:b/>
          <w:bCs/>
          <w:rtl/>
        </w:rPr>
        <w:footnoteReference w:id="1588"/>
      </w:r>
      <w:r>
        <w:rPr>
          <w:rFonts w:cs="Arial"/>
          <w:b/>
          <w:bCs/>
          <w:rtl/>
        </w:rPr>
        <w:t xml:space="preserve"> ע"ב: </w:t>
      </w:r>
      <w:r>
        <w:rPr>
          <w:rFonts w:cs="Arial"/>
          <w:rtl/>
        </w:rPr>
        <w:t>ההוא שכיב מרע דכתב לה גיטא לדביתהו בהדי פניא דמעלי שבתא, ולא הספיק למיתביה לה. למחר תקף ליה עלמא</w:t>
      </w:r>
      <w:r>
        <w:rPr>
          <w:rStyle w:val="a7"/>
          <w:rFonts w:cs="Arial"/>
          <w:rtl/>
        </w:rPr>
        <w:footnoteReference w:id="1589"/>
      </w:r>
      <w:r>
        <w:rPr>
          <w:rFonts w:cs="Arial"/>
          <w:rtl/>
        </w:rPr>
        <w:t xml:space="preserve">, אתו לקמיה דרבא, </w:t>
      </w:r>
      <w:r>
        <w:rPr>
          <w:rFonts w:cs="Arial"/>
          <w:u w:val="single"/>
          <w:rtl/>
        </w:rPr>
        <w:t>אמר להו</w:t>
      </w:r>
      <w:r>
        <w:rPr>
          <w:rFonts w:cs="Arial"/>
          <w:rtl/>
        </w:rPr>
        <w:t>: זילו אמרו ליה ליקניה</w:t>
      </w:r>
      <w:r>
        <w:rPr>
          <w:rStyle w:val="a7"/>
          <w:rFonts w:cs="Arial"/>
          <w:rtl/>
        </w:rPr>
        <w:footnoteReference w:id="1590"/>
      </w:r>
      <w:r>
        <w:rPr>
          <w:rFonts w:cs="Arial"/>
          <w:rtl/>
        </w:rPr>
        <w:t xml:space="preserve"> ניהלה לההוא דוכתא דיתיב ביה גיטא, ותיזל איהי ותיחוד ותפתח ותחזיק ביה, דתנן: נעל, גדר, פרץ כל שהוא </w:t>
      </w:r>
      <w:r w:rsidR="00A82951">
        <w:rPr>
          <w:rFonts w:cs="Arial"/>
          <w:rtl/>
        </w:rPr>
        <w:t>-</w:t>
      </w:r>
      <w:r>
        <w:rPr>
          <w:rFonts w:cs="Arial"/>
          <w:rtl/>
        </w:rPr>
        <w:t xml:space="preserve"> הרי זו חזקה</w:t>
      </w:r>
      <w:r>
        <w:rPr>
          <w:rStyle w:val="a7"/>
          <w:rFonts w:cs="Arial"/>
          <w:rtl/>
        </w:rPr>
        <w:footnoteReference w:id="1591"/>
      </w:r>
      <w:r>
        <w:rPr>
          <w:rFonts w:cs="Arial"/>
          <w:rtl/>
        </w:rPr>
        <w:t xml:space="preserve">. </w:t>
      </w:r>
      <w:r>
        <w:rPr>
          <w:rFonts w:cs="Arial"/>
          <w:u w:val="single"/>
          <w:rtl/>
        </w:rPr>
        <w:t>אמר ליה רב עיליש לרבא</w:t>
      </w:r>
      <w:r>
        <w:rPr>
          <w:rFonts w:cs="Arial"/>
          <w:rtl/>
        </w:rPr>
        <w:t xml:space="preserve">: מה שקנתה אשה קנה בעלה! איכסיף. לסוף איגלי מילתא דארוסה הואי, אמר רבא: אם אמרו בנשואה יאמרו בארוסה? הדר אמר רבא: לא שנא ארוסה ולא שנא נשואה, גיטה וחצירה באין כאחד. והא אמרה רבא מעיקרא! כי אמרה רבא </w:t>
      </w:r>
      <w:r w:rsidR="00A82951">
        <w:rPr>
          <w:rFonts w:cs="Arial"/>
          <w:rtl/>
        </w:rPr>
        <w:t>-</w:t>
      </w:r>
      <w:r>
        <w:rPr>
          <w:rFonts w:cs="Arial"/>
          <w:rtl/>
        </w:rPr>
        <w:t xml:space="preserve"> אהאי מעשה אמרה.</w:t>
      </w:r>
    </w:p>
    <w:p w14:paraId="1354124A" w14:textId="77777777" w:rsidR="00FA2119" w:rsidRDefault="00FA2119" w:rsidP="00FA2119">
      <w:pPr>
        <w:rPr>
          <w:rtl/>
        </w:rPr>
      </w:pPr>
      <w:r>
        <w:rPr>
          <w:u w:val="single"/>
          <w:rtl/>
        </w:rPr>
        <w:t>האם מותר לטלטל גט בשבת:</w:t>
      </w:r>
    </w:p>
    <w:p w14:paraId="1B4E6B37" w14:textId="409B07E0" w:rsidR="00FA2119" w:rsidRDefault="00FA2119" w:rsidP="006A458D">
      <w:pPr>
        <w:pStyle w:val="ab"/>
        <w:numPr>
          <w:ilvl w:val="0"/>
          <w:numId w:val="94"/>
        </w:numPr>
        <w:rPr>
          <w:rFonts w:cs="Arial"/>
          <w:rtl/>
        </w:rPr>
      </w:pPr>
      <w:r>
        <w:rPr>
          <w:rtl/>
        </w:rPr>
        <w:t xml:space="preserve">רש"י </w:t>
      </w:r>
      <w:r>
        <w:rPr>
          <w:sz w:val="16"/>
          <w:szCs w:val="16"/>
          <w:rtl/>
        </w:rPr>
        <w:t xml:space="preserve">(עז: ד"ה תקף ליה) </w:t>
      </w:r>
      <w:r>
        <w:rPr>
          <w:rtl/>
        </w:rPr>
        <w:t xml:space="preserve">תוס' </w:t>
      </w:r>
      <w:r>
        <w:rPr>
          <w:rFonts w:cs="Arial"/>
          <w:sz w:val="16"/>
          <w:szCs w:val="16"/>
          <w:rtl/>
        </w:rPr>
        <w:t>(עז: ד"ה ותיזיל)</w:t>
      </w:r>
      <w:r>
        <w:rPr>
          <w:rFonts w:cs="Arial"/>
          <w:rtl/>
        </w:rPr>
        <w:t xml:space="preserve"> רשב"א </w:t>
      </w:r>
      <w:r>
        <w:rPr>
          <w:rFonts w:cs="Arial"/>
          <w:sz w:val="16"/>
          <w:szCs w:val="16"/>
          <w:rtl/>
        </w:rPr>
        <w:t>(עז: ד"ה ותיזיל)</w:t>
      </w:r>
      <w:r>
        <w:rPr>
          <w:rFonts w:cs="Arial"/>
          <w:rtl/>
        </w:rPr>
        <w:t xml:space="preserve"> רא"ש </w:t>
      </w:r>
      <w:r>
        <w:rPr>
          <w:rFonts w:cs="Arial"/>
          <w:sz w:val="16"/>
          <w:szCs w:val="16"/>
          <w:rtl/>
        </w:rPr>
        <w:t>(פ"ח סי' ב)</w:t>
      </w:r>
      <w:r>
        <w:rPr>
          <w:rFonts w:cs="Arial"/>
          <w:rtl/>
        </w:rPr>
        <w:t xml:space="preserve"> ור"ן </w:t>
      </w:r>
      <w:r>
        <w:rPr>
          <w:rFonts w:cs="Arial"/>
          <w:sz w:val="16"/>
          <w:szCs w:val="16"/>
          <w:rtl/>
        </w:rPr>
        <w:t>(לט: ד"ה ההוא ש"מ)</w:t>
      </w:r>
      <w:r w:rsidR="00A82951">
        <w:rPr>
          <w:rFonts w:cs="Arial"/>
          <w:rtl/>
        </w:rPr>
        <w:t>-</w:t>
      </w:r>
      <w:r>
        <w:rPr>
          <w:rFonts w:cs="Arial"/>
          <w:rtl/>
        </w:rPr>
        <w:t xml:space="preserve"> אסור לטלטל גט בשבת ולמוסרו לה</w:t>
      </w:r>
      <w:r>
        <w:rPr>
          <w:rStyle w:val="a7"/>
          <w:rFonts w:cs="Arial"/>
          <w:rtl/>
        </w:rPr>
        <w:footnoteReference w:id="1592"/>
      </w:r>
      <w:r>
        <w:rPr>
          <w:rFonts w:cs="Arial"/>
          <w:sz w:val="16"/>
          <w:szCs w:val="16"/>
          <w:rtl/>
        </w:rPr>
        <w:t xml:space="preserve"> (ל' רש"י)</w:t>
      </w:r>
      <w:r>
        <w:rPr>
          <w:rFonts w:cs="Arial"/>
          <w:rtl/>
        </w:rPr>
        <w:t xml:space="preserve">. </w:t>
      </w:r>
    </w:p>
    <w:p w14:paraId="2A73D7A7" w14:textId="6F08C0D7" w:rsidR="00FA2119" w:rsidRDefault="00FA2119" w:rsidP="006A458D">
      <w:pPr>
        <w:pStyle w:val="ab"/>
        <w:numPr>
          <w:ilvl w:val="0"/>
          <w:numId w:val="94"/>
        </w:numPr>
        <w:rPr>
          <w:rFonts w:cs="Arial"/>
        </w:rPr>
      </w:pPr>
      <w:r>
        <w:rPr>
          <w:rFonts w:cs="Arial"/>
          <w:rtl/>
        </w:rPr>
        <w:t>ר</w:t>
      </w:r>
      <w:r>
        <w:rPr>
          <w:rtl/>
        </w:rPr>
        <w:t xml:space="preserve">שב"ם </w:t>
      </w:r>
      <w:r>
        <w:rPr>
          <w:sz w:val="16"/>
          <w:szCs w:val="16"/>
          <w:rtl/>
        </w:rPr>
        <w:t xml:space="preserve">(הביאו הרא"ש שם) </w:t>
      </w:r>
      <w:r>
        <w:rPr>
          <w:rtl/>
        </w:rPr>
        <w:t xml:space="preserve">ובהעי"ט </w:t>
      </w:r>
      <w:r>
        <w:rPr>
          <w:rFonts w:cs="Arial"/>
          <w:sz w:val="16"/>
          <w:szCs w:val="16"/>
          <w:rtl/>
        </w:rPr>
        <w:t>(אות ג גט ג ע"ג, כ"כ הר"ן [שם] בשמו)</w:t>
      </w:r>
      <w:r w:rsidR="00A82951">
        <w:rPr>
          <w:rtl/>
        </w:rPr>
        <w:t>-</w:t>
      </w:r>
      <w:r>
        <w:rPr>
          <w:rtl/>
        </w:rPr>
        <w:t xml:space="preserve"> </w:t>
      </w:r>
      <w:r>
        <w:rPr>
          <w:rFonts w:cs="Arial"/>
          <w:rtl/>
        </w:rPr>
        <w:t>ומסתברא דגיטא הוה בדוכתא דלא אפשר למיתבה ניהלה דרשות הרבים מפסיק ביניהן וסופר הוא שכתבו והניחו שם</w:t>
      </w:r>
      <w:r w:rsidR="005965C7">
        <w:rPr>
          <w:rFonts w:cs="Arial" w:hint="cs"/>
          <w:rtl/>
        </w:rPr>
        <w:t>,</w:t>
      </w:r>
      <w:r>
        <w:rPr>
          <w:rFonts w:cs="Arial"/>
          <w:rtl/>
        </w:rPr>
        <w:t xml:space="preserve"> הא לאו הכי שרי לטילטוליה ולמיתביה ניהלה</w:t>
      </w:r>
      <w:r w:rsidR="005C5266">
        <w:rPr>
          <w:rFonts w:cs="Arial" w:hint="cs"/>
          <w:rtl/>
        </w:rPr>
        <w:t>,</w:t>
      </w:r>
      <w:r>
        <w:rPr>
          <w:rFonts w:cs="Arial"/>
          <w:rtl/>
        </w:rPr>
        <w:t xml:space="preserve"> דהא ביטול רשות לב"ש אסור בשבת משום דמקנה רשותא הוא</w:t>
      </w:r>
      <w:r w:rsidR="0034237A">
        <w:rPr>
          <w:rFonts w:cs="Arial" w:hint="cs"/>
          <w:rtl/>
        </w:rPr>
        <w:t>,</w:t>
      </w:r>
      <w:r>
        <w:rPr>
          <w:rFonts w:cs="Arial"/>
          <w:rtl/>
        </w:rPr>
        <w:t xml:space="preserve"> וקנין אגב קרקע נמי מקנה רשותא הוא ואפ"ה משום עגונא אקילו בה רבנן</w:t>
      </w:r>
      <w:r w:rsidR="0034237A">
        <w:rPr>
          <w:rFonts w:cs="Arial" w:hint="cs"/>
          <w:rtl/>
        </w:rPr>
        <w:t>,</w:t>
      </w:r>
      <w:r>
        <w:rPr>
          <w:rFonts w:cs="Arial"/>
          <w:rtl/>
        </w:rPr>
        <w:t xml:space="preserve"> טילטול נמי משום עגונא אקילו בה רבנן</w:t>
      </w:r>
      <w:r w:rsidR="0034237A">
        <w:rPr>
          <w:rFonts w:cs="Arial" w:hint="cs"/>
          <w:rtl/>
        </w:rPr>
        <w:t>.</w:t>
      </w:r>
      <w:r>
        <w:rPr>
          <w:rFonts w:cs="Arial"/>
          <w:rtl/>
        </w:rPr>
        <w:t xml:space="preserve"> ומעשה בא לידי והתרתי</w:t>
      </w:r>
      <w:r w:rsidR="0034237A">
        <w:rPr>
          <w:rFonts w:cs="Arial" w:hint="cs"/>
          <w:rtl/>
        </w:rPr>
        <w:t>.</w:t>
      </w:r>
      <w:r>
        <w:rPr>
          <w:rFonts w:cs="Arial"/>
          <w:rtl/>
        </w:rPr>
        <w:t xml:space="preserve"> וכן פי' גאון שלא היה שם</w:t>
      </w:r>
      <w:r w:rsidR="0034237A">
        <w:rPr>
          <w:rFonts w:cs="Arial" w:hint="cs"/>
          <w:rtl/>
        </w:rPr>
        <w:t>,</w:t>
      </w:r>
      <w:r>
        <w:rPr>
          <w:rFonts w:cs="Arial"/>
          <w:rtl/>
        </w:rPr>
        <w:t xml:space="preserve"> ועיקר</w:t>
      </w:r>
      <w:r>
        <w:rPr>
          <w:rFonts w:cs="Arial"/>
          <w:sz w:val="16"/>
          <w:szCs w:val="16"/>
          <w:rtl/>
        </w:rPr>
        <w:t xml:space="preserve"> (ל' בהעי"ט)</w:t>
      </w:r>
      <w:r>
        <w:rPr>
          <w:rStyle w:val="a7"/>
          <w:rFonts w:cs="Arial"/>
          <w:rtl/>
        </w:rPr>
        <w:footnoteReference w:id="1593"/>
      </w:r>
      <w:r>
        <w:rPr>
          <w:rFonts w:cs="Arial"/>
          <w:rtl/>
        </w:rPr>
        <w:t>.</w:t>
      </w:r>
    </w:p>
    <w:p w14:paraId="3924DDC3" w14:textId="366175A9" w:rsidR="00FA2119" w:rsidRDefault="00FA2119" w:rsidP="006A458D">
      <w:pPr>
        <w:pStyle w:val="ab"/>
        <w:numPr>
          <w:ilvl w:val="0"/>
          <w:numId w:val="94"/>
        </w:numPr>
        <w:rPr>
          <w:rFonts w:cs="Arial"/>
        </w:rPr>
      </w:pPr>
      <w:r>
        <w:rPr>
          <w:rFonts w:cs="Arial"/>
          <w:rtl/>
        </w:rPr>
        <w:t xml:space="preserve">מרדכי </w:t>
      </w:r>
      <w:r>
        <w:rPr>
          <w:rFonts w:cs="Arial"/>
          <w:sz w:val="16"/>
          <w:szCs w:val="16"/>
          <w:rtl/>
        </w:rPr>
        <w:t>(סי' תלו)</w:t>
      </w:r>
      <w:r>
        <w:rPr>
          <w:rFonts w:cs="Arial"/>
          <w:rtl/>
        </w:rPr>
        <w:t xml:space="preserve"> סמ"ג </w:t>
      </w:r>
      <w:r>
        <w:rPr>
          <w:rFonts w:cs="Arial"/>
          <w:sz w:val="16"/>
          <w:szCs w:val="16"/>
          <w:rtl/>
        </w:rPr>
        <w:t>(עשין נ קלב.)</w:t>
      </w:r>
      <w:r>
        <w:rPr>
          <w:rFonts w:cs="Arial"/>
          <w:rtl/>
        </w:rPr>
        <w:t xml:space="preserve"> והגה"מ</w:t>
      </w:r>
      <w:r>
        <w:rPr>
          <w:rFonts w:cs="Arial"/>
          <w:sz w:val="16"/>
          <w:szCs w:val="16"/>
          <w:rtl/>
        </w:rPr>
        <w:t xml:space="preserve"> (פ"ה אות ד)</w:t>
      </w:r>
      <w:r w:rsidR="00A82951">
        <w:rPr>
          <w:rFonts w:cs="Arial"/>
          <w:rtl/>
        </w:rPr>
        <w:t>-</w:t>
      </w:r>
      <w:r>
        <w:rPr>
          <w:rFonts w:cs="Arial"/>
          <w:rtl/>
        </w:rPr>
        <w:t xml:space="preserve"> בזמן הזה שניתנה תורה שבעל פה ליכתב (גיטין ס.) לכולי עלמא מותר לטלטל גט, שהרי אדם יכול ללמוד הימנו כמה הלכות הגט</w:t>
      </w:r>
      <w:r>
        <w:rPr>
          <w:rStyle w:val="a7"/>
          <w:rFonts w:cs="Arial"/>
          <w:rtl/>
        </w:rPr>
        <w:footnoteReference w:id="1594"/>
      </w:r>
      <w:r>
        <w:rPr>
          <w:rFonts w:cs="Arial"/>
          <w:sz w:val="16"/>
          <w:szCs w:val="16"/>
          <w:rtl/>
        </w:rPr>
        <w:t xml:space="preserve"> (ל' הב"י)</w:t>
      </w:r>
      <w:r>
        <w:rPr>
          <w:rFonts w:cs="Arial"/>
          <w:rtl/>
        </w:rPr>
        <w:t xml:space="preserve">. </w:t>
      </w:r>
      <w:r>
        <w:rPr>
          <w:rFonts w:cs="Arial"/>
          <w:color w:val="00B0F0"/>
          <w:rtl/>
        </w:rPr>
        <w:t>(וכ"כ הרמ"א)</w:t>
      </w:r>
    </w:p>
    <w:p w14:paraId="565C4F3D" w14:textId="77777777" w:rsidR="00FA2119" w:rsidRDefault="00FA2119" w:rsidP="00FA2119">
      <w:pPr>
        <w:rPr>
          <w:u w:val="single"/>
          <w:rtl/>
        </w:rPr>
      </w:pPr>
      <w:r>
        <w:rPr>
          <w:u w:val="single"/>
          <w:rtl/>
        </w:rPr>
        <w:t>האם מותר לגרש בשבת:</w:t>
      </w:r>
    </w:p>
    <w:p w14:paraId="2E58C95A" w14:textId="139944B2" w:rsidR="00FA2119" w:rsidRDefault="00FA2119" w:rsidP="006A458D">
      <w:pPr>
        <w:pStyle w:val="ab"/>
        <w:numPr>
          <w:ilvl w:val="0"/>
          <w:numId w:val="92"/>
        </w:numPr>
        <w:rPr>
          <w:rtl/>
        </w:rPr>
      </w:pPr>
      <w:r>
        <w:rPr>
          <w:rFonts w:cs="Arial"/>
          <w:rtl/>
        </w:rPr>
        <w:t>טור</w:t>
      </w:r>
      <w:r w:rsidR="00A82951">
        <w:rPr>
          <w:rFonts w:cs="Arial"/>
          <w:rtl/>
        </w:rPr>
        <w:t>-</w:t>
      </w:r>
      <w:r>
        <w:rPr>
          <w:rFonts w:cs="Arial"/>
          <w:rtl/>
        </w:rPr>
        <w:t xml:space="preserve"> אין מגרשין בשבת. </w:t>
      </w:r>
      <w:r>
        <w:rPr>
          <w:color w:val="E36C0A" w:themeColor="accent6" w:themeShade="BF"/>
          <w:rtl/>
        </w:rPr>
        <w:t>(וכ"פ בשו"ע)</w:t>
      </w:r>
    </w:p>
    <w:p w14:paraId="1F3154A5" w14:textId="77777777" w:rsidR="00FA2119" w:rsidRDefault="00FA2119" w:rsidP="00FA2119">
      <w:pPr>
        <w:ind w:left="360"/>
        <w:rPr>
          <w:u w:val="dotted"/>
        </w:rPr>
      </w:pPr>
      <w:r>
        <w:rPr>
          <w:u w:val="dotted"/>
          <w:rtl/>
        </w:rPr>
        <w:t>ומה הדין אם הבעל חולה ויש חשש שיפול למשכב בשבת:</w:t>
      </w:r>
    </w:p>
    <w:p w14:paraId="4288F457" w14:textId="7DB3A3BA" w:rsidR="00FA2119" w:rsidRDefault="00FA2119" w:rsidP="006A458D">
      <w:pPr>
        <w:pStyle w:val="ab"/>
        <w:numPr>
          <w:ilvl w:val="0"/>
          <w:numId w:val="92"/>
        </w:numPr>
      </w:pPr>
      <w:r>
        <w:rPr>
          <w:rtl/>
        </w:rPr>
        <w:lastRenderedPageBreak/>
        <w:t xml:space="preserve">תוס' </w:t>
      </w:r>
      <w:r>
        <w:rPr>
          <w:rFonts w:cs="Arial"/>
          <w:sz w:val="16"/>
          <w:szCs w:val="16"/>
          <w:rtl/>
        </w:rPr>
        <w:t>(שם)</w:t>
      </w:r>
      <w:r>
        <w:rPr>
          <w:rFonts w:cs="Arial"/>
          <w:rtl/>
        </w:rPr>
        <w:t xml:space="preserve"> רא"ש </w:t>
      </w:r>
      <w:r>
        <w:rPr>
          <w:rFonts w:cs="Arial"/>
          <w:sz w:val="16"/>
          <w:szCs w:val="16"/>
          <w:rtl/>
        </w:rPr>
        <w:t>(שם)</w:t>
      </w:r>
      <w:r>
        <w:rPr>
          <w:rFonts w:cs="Arial"/>
          <w:rtl/>
        </w:rPr>
        <w:t xml:space="preserve"> וטור</w:t>
      </w:r>
      <w:r w:rsidR="00A82951">
        <w:rPr>
          <w:rFonts w:cs="Arial"/>
          <w:rtl/>
        </w:rPr>
        <w:t>-</w:t>
      </w:r>
      <w:r>
        <w:rPr>
          <w:rFonts w:cs="Arial"/>
          <w:rtl/>
        </w:rPr>
        <w:t xml:space="preserve"> ואם השעה צריכה לכך כגון שכיב מרע שתקף עליו החולי ורוצה לגרש כדי שלא תיזקק ליבום, אם הגט ברשותו </w:t>
      </w:r>
      <w:r w:rsidR="00A82951">
        <w:rPr>
          <w:rFonts w:cs="Arial"/>
          <w:rtl/>
        </w:rPr>
        <w:t>-</w:t>
      </w:r>
      <w:r>
        <w:rPr>
          <w:rFonts w:cs="Arial"/>
          <w:rtl/>
        </w:rPr>
        <w:t xml:space="preserve"> יתן לה הרשות ותזכה בו ובגט שבתוכו, אבל לא יטלטל הגט ליתנו לה, מפני שהוא מוקצה</w:t>
      </w:r>
      <w:r>
        <w:rPr>
          <w:rFonts w:cs="Arial"/>
          <w:sz w:val="16"/>
          <w:szCs w:val="16"/>
          <w:rtl/>
        </w:rPr>
        <w:t xml:space="preserve"> (ל' הטור)</w:t>
      </w:r>
      <w:r>
        <w:rPr>
          <w:rFonts w:cs="Arial"/>
          <w:rtl/>
        </w:rPr>
        <w:t xml:space="preserve">. </w:t>
      </w:r>
      <w:r>
        <w:rPr>
          <w:color w:val="E36C0A" w:themeColor="accent6" w:themeShade="BF"/>
          <w:rtl/>
        </w:rPr>
        <w:t>(וכ"פ בשו"ע)</w:t>
      </w:r>
    </w:p>
    <w:p w14:paraId="1B128280" w14:textId="7A00AA58" w:rsidR="00FA2119" w:rsidRDefault="00FA2119" w:rsidP="006A458D">
      <w:pPr>
        <w:pStyle w:val="ab"/>
        <w:numPr>
          <w:ilvl w:val="0"/>
          <w:numId w:val="92"/>
        </w:numPr>
      </w:pPr>
      <w:r>
        <w:rPr>
          <w:rFonts w:cs="Arial"/>
          <w:rtl/>
        </w:rPr>
        <w:t>ר</w:t>
      </w:r>
      <w:r>
        <w:rPr>
          <w:rtl/>
        </w:rPr>
        <w:t xml:space="preserve">שב"ם </w:t>
      </w:r>
      <w:r>
        <w:rPr>
          <w:sz w:val="16"/>
          <w:szCs w:val="16"/>
          <w:rtl/>
        </w:rPr>
        <w:t xml:space="preserve">(שם) </w:t>
      </w:r>
      <w:r>
        <w:rPr>
          <w:rtl/>
        </w:rPr>
        <w:t xml:space="preserve">ובהעי"ט </w:t>
      </w:r>
      <w:r>
        <w:rPr>
          <w:rFonts w:cs="Arial"/>
          <w:sz w:val="16"/>
          <w:szCs w:val="16"/>
          <w:rtl/>
        </w:rPr>
        <w:t>(שם)</w:t>
      </w:r>
      <w:r w:rsidR="00A82951">
        <w:rPr>
          <w:rtl/>
        </w:rPr>
        <w:t>-</w:t>
      </w:r>
      <w:r>
        <w:rPr>
          <w:rFonts w:cs="Arial"/>
          <w:rtl/>
        </w:rPr>
        <w:t xml:space="preserve"> שרי לטילטוליה ולמיתביה ניהלה</w:t>
      </w:r>
      <w:r>
        <w:rPr>
          <w:sz w:val="16"/>
          <w:szCs w:val="16"/>
          <w:rtl/>
        </w:rPr>
        <w:t xml:space="preserve"> (ל' בהעי"ט)</w:t>
      </w:r>
      <w:r>
        <w:rPr>
          <w:rtl/>
        </w:rPr>
        <w:t>.</w:t>
      </w:r>
    </w:p>
    <w:p w14:paraId="30253A9F" w14:textId="7376A279" w:rsidR="00FA2119" w:rsidRDefault="00FA2119" w:rsidP="00FA2119">
      <w:pPr>
        <w:ind w:left="360"/>
        <w:rPr>
          <w:u w:val="dotted"/>
        </w:rPr>
      </w:pPr>
      <w:r>
        <w:rPr>
          <w:u w:val="dotted"/>
          <w:rtl/>
        </w:rPr>
        <w:t xml:space="preserve">לרש"י וסיעתו </w:t>
      </w:r>
      <w:r w:rsidR="00A82951">
        <w:rPr>
          <w:u w:val="dotted"/>
          <w:rtl/>
        </w:rPr>
        <w:t>-</w:t>
      </w:r>
      <w:r>
        <w:rPr>
          <w:u w:val="dotted"/>
          <w:rtl/>
        </w:rPr>
        <w:t xml:space="preserve"> מה הדין אם אי אפשר לתת לה את הגט בלי לטלטלו:</w:t>
      </w:r>
    </w:p>
    <w:p w14:paraId="1F46C29A" w14:textId="292A83C7" w:rsidR="00FA2119" w:rsidRDefault="00FA2119" w:rsidP="006A458D">
      <w:pPr>
        <w:pStyle w:val="ab"/>
        <w:numPr>
          <w:ilvl w:val="0"/>
          <w:numId w:val="92"/>
        </w:numPr>
      </w:pPr>
      <w:r>
        <w:rPr>
          <w:rFonts w:cs="Arial"/>
          <w:rtl/>
        </w:rPr>
        <w:t xml:space="preserve">רשב"א </w:t>
      </w:r>
      <w:r>
        <w:rPr>
          <w:rFonts w:cs="Arial"/>
          <w:sz w:val="16"/>
          <w:szCs w:val="16"/>
          <w:rtl/>
        </w:rPr>
        <w:t>(שם)</w:t>
      </w:r>
      <w:r>
        <w:rPr>
          <w:rFonts w:cs="Arial"/>
          <w:rtl/>
        </w:rPr>
        <w:t xml:space="preserve"> רא"ש </w:t>
      </w:r>
      <w:r>
        <w:rPr>
          <w:rFonts w:cs="Arial"/>
          <w:sz w:val="16"/>
          <w:szCs w:val="16"/>
          <w:rtl/>
        </w:rPr>
        <w:t>(שם)</w:t>
      </w:r>
      <w:r>
        <w:rPr>
          <w:rFonts w:cs="Arial"/>
          <w:rtl/>
        </w:rPr>
        <w:t xml:space="preserve"> וטור</w:t>
      </w:r>
      <w:r w:rsidR="00A82951">
        <w:rPr>
          <w:rFonts w:cs="Arial"/>
          <w:rtl/>
        </w:rPr>
        <w:t>-</w:t>
      </w:r>
      <w:r>
        <w:rPr>
          <w:rFonts w:cs="Arial"/>
          <w:rtl/>
        </w:rPr>
        <w:t xml:space="preserve"> ואם אי איפשר בלא טלטול, כגון שאין הגט מונח ברשותו </w:t>
      </w:r>
      <w:r w:rsidR="00A82951">
        <w:rPr>
          <w:rFonts w:cs="Arial"/>
          <w:rtl/>
        </w:rPr>
        <w:t>-</w:t>
      </w:r>
      <w:r>
        <w:rPr>
          <w:rFonts w:cs="Arial"/>
          <w:rtl/>
        </w:rPr>
        <w:t xml:space="preserve"> יטלנו בידו ויתננו לה, שלא העמידו דבריהם במקום שכיב מרע</w:t>
      </w:r>
      <w:r>
        <w:rPr>
          <w:rFonts w:cs="Arial"/>
          <w:sz w:val="16"/>
          <w:szCs w:val="16"/>
          <w:rtl/>
        </w:rPr>
        <w:t xml:space="preserve"> (ל' הטור)</w:t>
      </w:r>
      <w:r>
        <w:rPr>
          <w:rFonts w:cs="Arial"/>
          <w:rtl/>
        </w:rPr>
        <w:t>.</w:t>
      </w:r>
      <w:r>
        <w:rPr>
          <w:color w:val="E36C0A" w:themeColor="accent6" w:themeShade="BF"/>
          <w:rtl/>
        </w:rPr>
        <w:t xml:space="preserve"> (וכ"פ בשו"ע)</w:t>
      </w:r>
    </w:p>
    <w:p w14:paraId="78A44371"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50BC3A6A" w14:textId="77777777" w:rsidR="00FA2119" w:rsidRDefault="00FA2119" w:rsidP="00FA2119">
      <w:pPr>
        <w:rPr>
          <w:rtl/>
        </w:rPr>
      </w:pPr>
      <w:r>
        <w:rPr>
          <w:rFonts w:cs="Arial"/>
          <w:rtl/>
        </w:rPr>
        <w:t>אין מגרשין בשבת. ואם השעה צריכה לכך, כגון שכיב מרע שתקף עליו החולי ורוצה לגרשה כדי שלא תזקק ליבם, אם הגט ברשותו יקנה לה אותו, ותזכה בו</w:t>
      </w:r>
      <w:r>
        <w:rPr>
          <w:rStyle w:val="a7"/>
          <w:rFonts w:cs="Arial"/>
          <w:rtl/>
        </w:rPr>
        <w:footnoteReference w:id="1595"/>
      </w:r>
      <w:r>
        <w:rPr>
          <w:rFonts w:cs="Arial"/>
          <w:rtl/>
        </w:rPr>
        <w:t xml:space="preserve"> ובגט שבתוכו. ואם אי אפשר בלא טלטול, כגון שאין הגט מונח ברשותו, יטלנו בידו ויתננו לה. </w:t>
      </w:r>
      <w:r>
        <w:rPr>
          <w:rFonts w:cs="Arial"/>
          <w:sz w:val="18"/>
          <w:szCs w:val="18"/>
          <w:rtl/>
        </w:rPr>
        <w:t>[הגה] וי"א דבזמן הזה דכותבין תורה שבעל פה, מותר לטלטל גט בשבת</w:t>
      </w:r>
      <w:r>
        <w:rPr>
          <w:rStyle w:val="a7"/>
          <w:rFonts w:cs="Arial"/>
          <w:sz w:val="18"/>
          <w:szCs w:val="18"/>
          <w:rtl/>
        </w:rPr>
        <w:footnoteReference w:id="1596"/>
      </w:r>
      <w:r>
        <w:rPr>
          <w:rFonts w:cs="Arial"/>
          <w:sz w:val="18"/>
          <w:szCs w:val="18"/>
          <w:rtl/>
        </w:rPr>
        <w:t xml:space="preserve"> (מרדכי וסמ"ג), ויכול ליתנו לה בכל ענין.</w:t>
      </w:r>
    </w:p>
    <w:p w14:paraId="6019D1CB" w14:textId="77777777" w:rsidR="00FA2119" w:rsidRDefault="00FA2119" w:rsidP="00FA2119">
      <w:pPr>
        <w:bidi w:val="0"/>
        <w:spacing w:after="0"/>
        <w:rPr>
          <w:rtl/>
        </w:rPr>
        <w:sectPr w:rsidR="00FA2119">
          <w:headerReference w:type="default" r:id="rId29"/>
          <w:footnotePr>
            <w:numRestart w:val="eachSect"/>
          </w:footnotePr>
          <w:pgSz w:w="11906" w:h="16838"/>
          <w:pgMar w:top="720" w:right="1134" w:bottom="720" w:left="1134" w:header="0" w:footer="0" w:gutter="0"/>
          <w:cols w:space="720"/>
          <w:bidi/>
          <w:rtlGutter/>
        </w:sectPr>
      </w:pPr>
    </w:p>
    <w:p w14:paraId="5992380E" w14:textId="77777777" w:rsidR="00FA2119" w:rsidRDefault="00FA2119" w:rsidP="00FA2119">
      <w:pPr>
        <w:pStyle w:val="1"/>
        <w:rPr>
          <w:rtl/>
        </w:rPr>
      </w:pPr>
      <w:r>
        <w:rPr>
          <w:rtl/>
        </w:rPr>
        <w:lastRenderedPageBreak/>
        <w:t xml:space="preserve">סימן קלז: </w:t>
      </w:r>
      <w:r>
        <w:rPr>
          <w:rFonts w:cs="Arial"/>
          <w:rtl/>
        </w:rPr>
        <w:t xml:space="preserve">צריך שיתירנה היתר גמור, ובו ה' סעיפים. </w:t>
      </w:r>
    </w:p>
    <w:p w14:paraId="597D4CB9" w14:textId="77777777" w:rsidR="00FA2119" w:rsidRDefault="00FA2119" w:rsidP="00FA2119">
      <w:pPr>
        <w:pStyle w:val="2"/>
        <w:rPr>
          <w:rtl/>
        </w:rPr>
      </w:pPr>
      <w:r>
        <w:rPr>
          <w:rtl/>
        </w:rPr>
        <w:t>סעיף א: צריך שיתירנה היתר גמור שתהא מותרת לכל אדם.</w:t>
      </w:r>
    </w:p>
    <w:p w14:paraId="36F534AB" w14:textId="31858BC3" w:rsidR="00FA2119" w:rsidRDefault="00FA2119" w:rsidP="00FA2119">
      <w:pPr>
        <w:rPr>
          <w:rFonts w:cs="Arial"/>
          <w:rtl/>
        </w:rPr>
      </w:pPr>
      <w:r>
        <w:rPr>
          <w:rFonts w:cs="Arial"/>
          <w:b/>
          <w:bCs/>
          <w:rtl/>
        </w:rPr>
        <w:t xml:space="preserve">גיטין </w:t>
      </w:r>
      <w:r>
        <w:rPr>
          <w:rFonts w:cs="Arial"/>
          <w:b/>
          <w:bCs/>
          <w:sz w:val="16"/>
          <w:szCs w:val="16"/>
          <w:rtl/>
        </w:rPr>
        <w:t>(פ' הזורק)</w:t>
      </w:r>
      <w:r>
        <w:rPr>
          <w:rFonts w:cs="Arial"/>
          <w:b/>
          <w:bCs/>
          <w:rtl/>
        </w:rPr>
        <w:t xml:space="preserve"> עח ע"א:</w:t>
      </w:r>
      <w:r>
        <w:rPr>
          <w:rFonts w:cs="Arial"/>
          <w:rtl/>
        </w:rPr>
        <w:t xml:space="preserve"> </w:t>
      </w:r>
      <w:r>
        <w:rPr>
          <w:rFonts w:cs="Arial"/>
          <w:u w:val="double"/>
          <w:rtl/>
        </w:rPr>
        <w:t>מתני'</w:t>
      </w:r>
      <w:r>
        <w:rPr>
          <w:rFonts w:cs="Arial"/>
          <w:rtl/>
        </w:rPr>
        <w:t xml:space="preserve">: אמר לה כנסי שטר חוב זה, או שמצאתו מאחוריו, קוראה והרי הוא גיטה </w:t>
      </w:r>
      <w:r w:rsidR="00A82951">
        <w:rPr>
          <w:rFonts w:cs="Arial"/>
          <w:rtl/>
        </w:rPr>
        <w:t>-</w:t>
      </w:r>
      <w:r>
        <w:rPr>
          <w:rFonts w:cs="Arial"/>
          <w:rtl/>
        </w:rPr>
        <w:t xml:space="preserve"> אינו גט עד שיאמר לה הא גיטיך...      </w:t>
      </w:r>
      <w:r>
        <w:rPr>
          <w:rFonts w:cs="Arial"/>
          <w:u w:val="double"/>
          <w:rtl/>
        </w:rPr>
        <w:t>גמ'</w:t>
      </w:r>
      <w:r>
        <w:rPr>
          <w:rFonts w:cs="Arial"/>
          <w:rtl/>
        </w:rPr>
        <w:t xml:space="preserve">: תניא...: אמר לה כנסי שטר חוב זה, או ששלפתו מאחוריו, קראתו והרי הוא גיטה </w:t>
      </w:r>
      <w:r w:rsidR="00A82951">
        <w:rPr>
          <w:rFonts w:cs="Arial"/>
          <w:rtl/>
        </w:rPr>
        <w:t>-</w:t>
      </w:r>
      <w:r>
        <w:rPr>
          <w:rFonts w:cs="Arial"/>
          <w:rtl/>
        </w:rPr>
        <w:t xml:space="preserve"> אינו גט עד שיאמר לה הא גיטיך, </w:t>
      </w:r>
      <w:r>
        <w:rPr>
          <w:rFonts w:cs="Arial"/>
          <w:u w:val="single"/>
          <w:rtl/>
        </w:rPr>
        <w:t>דברי רבי</w:t>
      </w:r>
      <w:r>
        <w:rPr>
          <w:rFonts w:cs="Arial"/>
          <w:rtl/>
        </w:rPr>
        <w:t xml:space="preserve">. </w:t>
      </w:r>
      <w:r>
        <w:rPr>
          <w:rFonts w:cs="Arial"/>
          <w:u w:val="single"/>
          <w:rtl/>
        </w:rPr>
        <w:t>רבי שמעון בן אלעזר אומר</w:t>
      </w:r>
      <w:r>
        <w:rPr>
          <w:rFonts w:cs="Arial"/>
          <w:rtl/>
        </w:rPr>
        <w:t>: לעולם אינו גט, עד שיטלנו הימנה ויחזור ויתננו לה ויאמר לה הא גיטיך.</w:t>
      </w:r>
    </w:p>
    <w:p w14:paraId="77F24754" w14:textId="569F1909" w:rsidR="00FA2119" w:rsidRDefault="00FA2119" w:rsidP="00FA2119">
      <w:pPr>
        <w:rPr>
          <w:rFonts w:cs="Arial"/>
          <w:rtl/>
        </w:rPr>
      </w:pPr>
      <w:r>
        <w:rPr>
          <w:rFonts w:cs="Arial"/>
          <w:b/>
          <w:bCs/>
          <w:rtl/>
        </w:rPr>
        <w:t xml:space="preserve">גיטין </w:t>
      </w:r>
      <w:r>
        <w:rPr>
          <w:rFonts w:cs="Arial"/>
          <w:b/>
          <w:bCs/>
          <w:sz w:val="16"/>
          <w:szCs w:val="16"/>
          <w:rtl/>
        </w:rPr>
        <w:t>(ר"פ בתרא)</w:t>
      </w:r>
      <w:r>
        <w:rPr>
          <w:rFonts w:cs="Arial"/>
          <w:b/>
          <w:bCs/>
          <w:rtl/>
        </w:rPr>
        <w:t xml:space="preserve"> פב ע"א:</w:t>
      </w:r>
      <w:r>
        <w:rPr>
          <w:rFonts w:cs="Arial"/>
          <w:rtl/>
        </w:rPr>
        <w:t xml:space="preserve"> </w:t>
      </w:r>
      <w:r>
        <w:rPr>
          <w:rFonts w:cs="Arial"/>
          <w:u w:val="double"/>
          <w:rtl/>
        </w:rPr>
        <w:t>מתני'</w:t>
      </w:r>
      <w:r>
        <w:rPr>
          <w:rFonts w:cs="Arial"/>
          <w:rtl/>
        </w:rPr>
        <w:t xml:space="preserve">: המגרש את אשתו, ואמר לה הרי את מותרת לכל אדם אלא לפלוני </w:t>
      </w:r>
      <w:r w:rsidR="00A82951">
        <w:rPr>
          <w:rFonts w:cs="Arial"/>
          <w:rtl/>
        </w:rPr>
        <w:t>-</w:t>
      </w:r>
      <w:r>
        <w:rPr>
          <w:rFonts w:cs="Arial"/>
          <w:rtl/>
        </w:rPr>
        <w:t xml:space="preserve"> </w:t>
      </w:r>
      <w:r w:rsidRPr="00DA02EE">
        <w:rPr>
          <w:rFonts w:cs="Arial"/>
          <w:u w:val="single"/>
          <w:rtl/>
        </w:rPr>
        <w:t>ר' אליעזר</w:t>
      </w:r>
      <w:r>
        <w:rPr>
          <w:rFonts w:cs="Arial"/>
          <w:rtl/>
        </w:rPr>
        <w:t xml:space="preserve"> מתיר, </w:t>
      </w:r>
      <w:r w:rsidRPr="00DA02EE">
        <w:rPr>
          <w:rFonts w:cs="Arial"/>
          <w:u w:val="single"/>
          <w:rtl/>
        </w:rPr>
        <w:t>וחכמים</w:t>
      </w:r>
      <w:r w:rsidRPr="00DA02EE">
        <w:rPr>
          <w:rFonts w:cs="Arial"/>
          <w:rtl/>
        </w:rPr>
        <w:t xml:space="preserve"> אוסרים</w:t>
      </w:r>
      <w:r>
        <w:rPr>
          <w:rFonts w:cs="Arial"/>
          <w:rtl/>
        </w:rPr>
        <w:t xml:space="preserve">. כיצד יעשה? יטלנו הימנה, ויחזור ויתננו לה ויאמר לה הרי את מותרת לכל אדם...       </w:t>
      </w:r>
      <w:r>
        <w:rPr>
          <w:rFonts w:cs="Arial"/>
          <w:u w:val="double"/>
          <w:rtl/>
        </w:rPr>
        <w:t>גמ'</w:t>
      </w:r>
      <w:r>
        <w:rPr>
          <w:rFonts w:cs="Arial"/>
          <w:sz w:val="14"/>
          <w:szCs w:val="14"/>
          <w:u w:val="double"/>
          <w:rtl/>
        </w:rPr>
        <w:t>(פד:)</w:t>
      </w:r>
      <w:r>
        <w:rPr>
          <w:rFonts w:cs="Arial"/>
          <w:u w:val="double"/>
          <w:rtl/>
        </w:rPr>
        <w:t>:</w:t>
      </w:r>
      <w:r>
        <w:rPr>
          <w:rFonts w:cs="Arial"/>
          <w:rtl/>
        </w:rPr>
        <w:t xml:space="preserve"> כיצד יעשה? יטלנו הימנה וכו'. מאן תנא? </w:t>
      </w:r>
      <w:r>
        <w:rPr>
          <w:rFonts w:cs="Arial"/>
          <w:u w:val="single"/>
          <w:rtl/>
        </w:rPr>
        <w:t>אמר חזקיה</w:t>
      </w:r>
      <w:r>
        <w:rPr>
          <w:rFonts w:cs="Arial"/>
          <w:rtl/>
        </w:rPr>
        <w:t>: ר"ש בן אלעזר היא. דתניא, ר"ש בן אלעזר אומר: עד שיטלנו הימנה, ויחזור ויתננו לה ויאמר לה הי גיטך</w:t>
      </w:r>
      <w:r>
        <w:rPr>
          <w:rStyle w:val="a7"/>
          <w:rFonts w:cs="Arial"/>
          <w:rtl/>
        </w:rPr>
        <w:footnoteReference w:id="1597"/>
      </w:r>
      <w:r>
        <w:rPr>
          <w:rFonts w:cs="Arial"/>
          <w:rtl/>
        </w:rPr>
        <w:t xml:space="preserve">. </w:t>
      </w:r>
      <w:r>
        <w:rPr>
          <w:rFonts w:cs="Arial"/>
          <w:u w:val="single"/>
          <w:rtl/>
        </w:rPr>
        <w:t>ר' יוחנן אמר</w:t>
      </w:r>
      <w:r>
        <w:rPr>
          <w:rFonts w:cs="Arial"/>
          <w:rtl/>
        </w:rPr>
        <w:t>: אפילו תימא רבי, דילכון אמר</w:t>
      </w:r>
      <w:r>
        <w:rPr>
          <w:rStyle w:val="a7"/>
          <w:rFonts w:cs="Arial"/>
          <w:rtl/>
        </w:rPr>
        <w:footnoteReference w:id="1598"/>
      </w:r>
      <w:r>
        <w:rPr>
          <w:rFonts w:cs="Arial"/>
          <w:rtl/>
        </w:rPr>
        <w:t>: שאני הכא</w:t>
      </w:r>
      <w:r>
        <w:rPr>
          <w:rStyle w:val="a7"/>
          <w:rFonts w:cs="Arial"/>
          <w:rtl/>
        </w:rPr>
        <w:footnoteReference w:id="1599"/>
      </w:r>
      <w:r>
        <w:rPr>
          <w:rFonts w:cs="Arial"/>
          <w:rtl/>
        </w:rPr>
        <w:t xml:space="preserve">, הואיל וקנאתו ליפסל בו לכהונה. </w:t>
      </w:r>
      <w:r>
        <w:rPr>
          <w:rFonts w:cs="Arial"/>
          <w:sz w:val="16"/>
          <w:szCs w:val="16"/>
          <w:rtl/>
        </w:rPr>
        <w:t>(ולענין הלכה כתב הר"ן (מג. ד"ה המגרש)</w:t>
      </w:r>
      <w:r w:rsidR="00DA02EE">
        <w:rPr>
          <w:rFonts w:cs="Arial" w:hint="cs"/>
          <w:sz w:val="16"/>
          <w:szCs w:val="16"/>
          <w:rtl/>
        </w:rPr>
        <w:t>:</w:t>
      </w:r>
      <w:r>
        <w:rPr>
          <w:rFonts w:cs="Arial"/>
          <w:sz w:val="16"/>
          <w:szCs w:val="16"/>
          <w:rtl/>
        </w:rPr>
        <w:t xml:space="preserve"> ופירש רש"י (פד: ד"ה דילכון) דרבי יוחנן בחיי חזקיה רבו נחלק עליו, ולפי זה אפשר דלא קיי"ל כסתם מתניתין, לפי שאין הלכה כתלמיד במקום הרב (רי"ף ב"ב טו.). אבל לדעת ר"י (תוס' פד: ד"ה ר' יוחנן) לאחר פטירת חזקיה נחלק עליו, ולפי זה הלכה כרבי יוחנן. וכן דעת הרשב"א (שם ד"ה כיצד). וכתבו הרשב"א והר"ן שכן דעת הרי"ף (מג.) שכתב משנתינו כצורתה. וגם הרא"ש (סי' א) שהלך בדרכו וכתב משנתינו כצורתה משמע דהכי נמי סבירא ליה. וכן דעת הרמב"ם (פ"ח מהל' גירושין הי"ז). וכן דעת רש"י שכתב בהזורק (עח.) אמתניתין דאמר לה כנסי שטר חוב זה וכו' אינו גט עד שיאמר לה הי גיטך ואפילו לאחר שבא לידה אומר לה כן ודיו, ב"י)</w:t>
      </w:r>
      <w:r>
        <w:rPr>
          <w:rFonts w:cs="Arial"/>
          <w:rtl/>
        </w:rPr>
        <w:t xml:space="preserve"> </w:t>
      </w:r>
    </w:p>
    <w:p w14:paraId="24A75F19" w14:textId="77777777" w:rsidR="00FA2119" w:rsidRDefault="00FA2119" w:rsidP="00FA2119">
      <w:pPr>
        <w:rPr>
          <w:u w:val="single"/>
          <w:rtl/>
        </w:rPr>
      </w:pPr>
      <w:r>
        <w:rPr>
          <w:rFonts w:cs="Arial"/>
          <w:u w:val="single"/>
          <w:rtl/>
        </w:rPr>
        <w:t>צריך שיתירנה היתר גמור שתהא מותרת לכל אדם</w:t>
      </w:r>
      <w:r>
        <w:rPr>
          <w:u w:val="single"/>
          <w:rtl/>
        </w:rPr>
        <w:t>:</w:t>
      </w:r>
    </w:p>
    <w:p w14:paraId="43F8060B" w14:textId="75FEE648" w:rsidR="00FA2119" w:rsidRDefault="00FA2119" w:rsidP="006A458D">
      <w:pPr>
        <w:pStyle w:val="ab"/>
        <w:numPr>
          <w:ilvl w:val="0"/>
          <w:numId w:val="95"/>
        </w:numPr>
        <w:rPr>
          <w:rtl/>
        </w:rPr>
      </w:pPr>
      <w:r>
        <w:rPr>
          <w:rtl/>
        </w:rPr>
        <w:t>טור</w:t>
      </w:r>
      <w:r w:rsidR="00A82951">
        <w:rPr>
          <w:rtl/>
        </w:rPr>
        <w:t>-</w:t>
      </w:r>
      <w:r>
        <w:rPr>
          <w:rtl/>
        </w:rPr>
        <w:t xml:space="preserve"> </w:t>
      </w:r>
      <w:r>
        <w:rPr>
          <w:rFonts w:cs="Arial"/>
          <w:rtl/>
        </w:rPr>
        <w:t xml:space="preserve">צריך שיתירנה היתר גמור שתהא מותרת לכל אדם. </w:t>
      </w:r>
      <w:r>
        <w:rPr>
          <w:color w:val="E36C0A" w:themeColor="accent6" w:themeShade="BF"/>
          <w:rtl/>
        </w:rPr>
        <w:t>(וכ"פ בשו"ע)</w:t>
      </w:r>
    </w:p>
    <w:p w14:paraId="1D0CA42C" w14:textId="77777777" w:rsidR="00FA2119" w:rsidRDefault="00FA2119" w:rsidP="00FA2119">
      <w:pPr>
        <w:ind w:left="360"/>
        <w:rPr>
          <w:u w:val="dotted"/>
        </w:rPr>
      </w:pPr>
      <w:r>
        <w:rPr>
          <w:u w:val="dotted"/>
          <w:rtl/>
        </w:rPr>
        <w:t xml:space="preserve">ומה הדין אם אמר לה 'הרי את מותרת לכל אדם חוץ מפלוני' </w:t>
      </w:r>
      <w:r>
        <w:rPr>
          <w:sz w:val="16"/>
          <w:szCs w:val="16"/>
          <w:u w:val="dotted"/>
          <w:rtl/>
        </w:rPr>
        <w:t>(וכדומה)</w:t>
      </w:r>
      <w:r>
        <w:rPr>
          <w:u w:val="dotted"/>
          <w:rtl/>
        </w:rPr>
        <w:t>:</w:t>
      </w:r>
    </w:p>
    <w:p w14:paraId="0902ED1A" w14:textId="7BFE3DA0" w:rsidR="00FA2119" w:rsidRDefault="00FA2119" w:rsidP="006A458D">
      <w:pPr>
        <w:pStyle w:val="ab"/>
        <w:numPr>
          <w:ilvl w:val="0"/>
          <w:numId w:val="95"/>
        </w:numPr>
      </w:pPr>
      <w:r>
        <w:rPr>
          <w:rFonts w:cs="Arial"/>
          <w:rtl/>
        </w:rPr>
        <w:t>טור</w:t>
      </w:r>
      <w:r w:rsidR="00A82951">
        <w:rPr>
          <w:rFonts w:cs="Arial"/>
          <w:rtl/>
        </w:rPr>
        <w:t>-</w:t>
      </w:r>
      <w:r>
        <w:rPr>
          <w:rFonts w:cs="Arial"/>
          <w:rtl/>
        </w:rPr>
        <w:t xml:space="preserve"> אבל אם אמר לה 'הרי את מגורשת ממני ותהא מותרת לכל אדם חוץ מפלוני שתהיה אסורה לו', או שאומר 'אלא לפלוני' </w:t>
      </w:r>
      <w:r w:rsidR="00A82951">
        <w:rPr>
          <w:rFonts w:cs="Arial"/>
          <w:rtl/>
        </w:rPr>
        <w:t>-</w:t>
      </w:r>
      <w:r>
        <w:rPr>
          <w:rFonts w:cs="Arial"/>
          <w:rtl/>
        </w:rPr>
        <w:t xml:space="preserve"> אינו גט, ויטלנו ממנה ויחזור ויתננו לה ויתירנה לכל אדם</w:t>
      </w:r>
      <w:r>
        <w:rPr>
          <w:rStyle w:val="a7"/>
          <w:rFonts w:cs="Arial"/>
          <w:rtl/>
        </w:rPr>
        <w:footnoteReference w:id="1600"/>
      </w:r>
      <w:r>
        <w:rPr>
          <w:rFonts w:cs="Arial"/>
          <w:rtl/>
        </w:rPr>
        <w:t xml:space="preserve">. </w:t>
      </w:r>
      <w:r>
        <w:rPr>
          <w:color w:val="E36C0A" w:themeColor="accent6" w:themeShade="BF"/>
          <w:rtl/>
        </w:rPr>
        <w:t>(וכ"פ בשו"ע)</w:t>
      </w:r>
    </w:p>
    <w:p w14:paraId="504EAC00" w14:textId="6AF0321F" w:rsidR="00FA2119" w:rsidRDefault="00FA2119" w:rsidP="006A458D">
      <w:pPr>
        <w:pStyle w:val="ab"/>
        <w:numPr>
          <w:ilvl w:val="0"/>
          <w:numId w:val="95"/>
        </w:numPr>
      </w:pPr>
      <w:r>
        <w:rPr>
          <w:rFonts w:cs="Arial"/>
          <w:rtl/>
        </w:rPr>
        <w:t>רמב"ם</w:t>
      </w:r>
      <w:r>
        <w:rPr>
          <w:rFonts w:cs="Arial"/>
          <w:sz w:val="16"/>
          <w:szCs w:val="16"/>
          <w:rtl/>
        </w:rPr>
        <w:t xml:space="preserve"> (פ"ח הי"ז)</w:t>
      </w:r>
      <w:r w:rsidR="00A82951">
        <w:rPr>
          <w:rFonts w:cs="Arial"/>
          <w:rtl/>
        </w:rPr>
        <w:t>-</w:t>
      </w:r>
      <w:r>
        <w:rPr>
          <w:rFonts w:cs="Arial"/>
          <w:rtl/>
        </w:rPr>
        <w:t xml:space="preserve"> כיצד, הרי שנתן גט לאשתו ואמר לה 'הרי את מגורשת בזה ומותרת לכל אדם חוץ מפלוני', אם נטלו ממנה, וחזר ונתנו לה ואמר לה </w:t>
      </w:r>
      <w:r w:rsidR="005E17D0">
        <w:rPr>
          <w:rFonts w:cs="Arial" w:hint="cs"/>
          <w:rtl/>
        </w:rPr>
        <w:t>'</w:t>
      </w:r>
      <w:r>
        <w:rPr>
          <w:rFonts w:cs="Arial"/>
          <w:rtl/>
        </w:rPr>
        <w:t xml:space="preserve">הרי את מותרת לכל אדם', או 'הרי זה גיטיך' </w:t>
      </w:r>
      <w:r w:rsidR="00A82951">
        <w:rPr>
          <w:rFonts w:cs="Arial"/>
          <w:rtl/>
        </w:rPr>
        <w:t>-</w:t>
      </w:r>
      <w:r>
        <w:rPr>
          <w:rFonts w:cs="Arial"/>
          <w:rtl/>
        </w:rPr>
        <w:t xml:space="preserve"> הרי זו מגורשת. וכן כל כיוצא בזה.</w:t>
      </w:r>
    </w:p>
    <w:p w14:paraId="7529669F" w14:textId="30744DD6" w:rsidR="00FA2119" w:rsidRDefault="00FA2119" w:rsidP="00FA2119">
      <w:pPr>
        <w:rPr>
          <w:sz w:val="16"/>
          <w:szCs w:val="16"/>
        </w:rPr>
      </w:pPr>
      <w:r>
        <w:rPr>
          <w:rFonts w:cs="Arial"/>
          <w:b/>
          <w:bCs/>
          <w:rtl/>
        </w:rPr>
        <w:t xml:space="preserve">גיטין </w:t>
      </w:r>
      <w:r>
        <w:rPr>
          <w:rFonts w:cs="Arial"/>
          <w:b/>
          <w:bCs/>
          <w:sz w:val="16"/>
          <w:szCs w:val="16"/>
          <w:rtl/>
        </w:rPr>
        <w:t>(ר"פ בתרא)</w:t>
      </w:r>
      <w:r>
        <w:rPr>
          <w:rFonts w:cs="Arial"/>
          <w:b/>
          <w:bCs/>
          <w:rtl/>
        </w:rPr>
        <w:t xml:space="preserve"> פב ע"א:</w:t>
      </w:r>
      <w:r>
        <w:rPr>
          <w:rFonts w:cs="Arial"/>
          <w:rtl/>
        </w:rPr>
        <w:t xml:space="preserve"> </w:t>
      </w:r>
      <w:r>
        <w:rPr>
          <w:rFonts w:cs="Arial"/>
          <w:u w:val="double"/>
          <w:rtl/>
        </w:rPr>
        <w:t>מתני'</w:t>
      </w:r>
      <w:r>
        <w:rPr>
          <w:rFonts w:cs="Arial"/>
          <w:rtl/>
        </w:rPr>
        <w:t xml:space="preserve">: המגרש את אשתו, ואמר לה הרי את מותרת לכל אדם אלא לפלוני </w:t>
      </w:r>
      <w:r w:rsidR="00A82951">
        <w:rPr>
          <w:rFonts w:cs="Arial"/>
          <w:rtl/>
        </w:rPr>
        <w:t>-</w:t>
      </w:r>
      <w:r>
        <w:rPr>
          <w:rFonts w:cs="Arial"/>
          <w:rtl/>
        </w:rPr>
        <w:t xml:space="preserve"> </w:t>
      </w:r>
      <w:r w:rsidRPr="001D2D62">
        <w:rPr>
          <w:rFonts w:cs="Arial"/>
          <w:u w:val="single"/>
          <w:rtl/>
        </w:rPr>
        <w:t>ר' אליעזר</w:t>
      </w:r>
      <w:r>
        <w:rPr>
          <w:rFonts w:cs="Arial"/>
          <w:rtl/>
        </w:rPr>
        <w:t xml:space="preserve"> מתיר, </w:t>
      </w:r>
      <w:r w:rsidRPr="001D2D62">
        <w:rPr>
          <w:rFonts w:cs="Arial"/>
          <w:u w:val="single"/>
          <w:rtl/>
        </w:rPr>
        <w:t>וחכמים</w:t>
      </w:r>
      <w:r>
        <w:rPr>
          <w:rFonts w:cs="Arial"/>
          <w:rtl/>
        </w:rPr>
        <w:t xml:space="preserve"> אוסרים. כיצד יעשה? יטלנו הימנה, ויחזור ויתננו לה ויאמר לה הרי את מותרת לכל אדם...       </w:t>
      </w:r>
      <w:r>
        <w:rPr>
          <w:rFonts w:cs="Arial"/>
          <w:u w:val="double"/>
          <w:rtl/>
        </w:rPr>
        <w:t>גמ':</w:t>
      </w:r>
      <w:r>
        <w:rPr>
          <w:rFonts w:cs="Arial"/>
          <w:rtl/>
        </w:rPr>
        <w:t xml:space="preserve"> איבעיא להו: האי אלא, חוץ הוא או על מנת הוא? חוץ הוא, ובחוץ הוא דפליגי רבנן עליה דר' אליעזר, דהא שייר לה בגט, אבל בעל מנת מודו ליה, מידי דהוה אכל תנאי דעלמא. או דלמא על מנת הוא, ובע"מ הוא דפליג ר' אליעזר אדרבנן, אבל בחוץ מודה, דהא שייר לה בגט? </w:t>
      </w:r>
      <w:r>
        <w:rPr>
          <w:rFonts w:cs="Arial"/>
          <w:u w:val="single"/>
          <w:rtl/>
        </w:rPr>
        <w:t>אמר רבינא</w:t>
      </w:r>
      <w:r>
        <w:rPr>
          <w:rFonts w:cs="Arial"/>
          <w:rtl/>
        </w:rPr>
        <w:t>: ת"ש</w:t>
      </w:r>
      <w:r>
        <w:rPr>
          <w:rFonts w:cs="Arial"/>
          <w:sz w:val="14"/>
          <w:szCs w:val="14"/>
          <w:rtl/>
        </w:rPr>
        <w:t xml:space="preserve"> (נגעים פי"ב מ"א)</w:t>
      </w:r>
      <w:r>
        <w:rPr>
          <w:rFonts w:cs="Arial"/>
          <w:rtl/>
        </w:rPr>
        <w:t xml:space="preserve">: כל הבתים מטמאין בנגעים אלא של עובדי כוכבים; אי אמרת בשלמא חוץ הוא </w:t>
      </w:r>
      <w:r w:rsidR="00A82951">
        <w:rPr>
          <w:rFonts w:cs="Arial"/>
          <w:rtl/>
        </w:rPr>
        <w:t>-</w:t>
      </w:r>
      <w:r>
        <w:rPr>
          <w:rFonts w:cs="Arial"/>
          <w:rtl/>
        </w:rPr>
        <w:t xml:space="preserve"> שפיר, אלא אי אמרת על מנת הוא, על מנת דלא מיטמו בתי עובדי כוכבים הוא דמיטמו בתי ישראל, הא מיטמו בתי עובדי כוכבים לא מטמאי בתי ישראל? ועוד, בתי עובדי כוכבים מי מטמאי? והתניא: ונתתי נגע צרעת בבית ארץ אחוזתכם </w:t>
      </w:r>
      <w:r w:rsidR="00A82951">
        <w:rPr>
          <w:rFonts w:cs="Arial"/>
          <w:rtl/>
        </w:rPr>
        <w:t>-</w:t>
      </w:r>
      <w:r>
        <w:rPr>
          <w:rFonts w:cs="Arial"/>
          <w:rtl/>
        </w:rPr>
        <w:t xml:space="preserve"> ארץ אחוזתכם מטמאה בנגעים, ואין בתי עובדי כוכבים מטמאין בנגעים! אלא שמע מינה חוץ הוא, ש"מ.</w:t>
      </w:r>
      <w:r>
        <w:rPr>
          <w:sz w:val="16"/>
          <w:szCs w:val="16"/>
          <w:rtl/>
        </w:rPr>
        <w:t xml:space="preserve"> (</w:t>
      </w:r>
      <w:r>
        <w:rPr>
          <w:rFonts w:cs="Arial"/>
          <w:sz w:val="16"/>
          <w:szCs w:val="16"/>
          <w:rtl/>
        </w:rPr>
        <w:t xml:space="preserve">וכתבו הרי"ף (מג:) והרא"ש (שם) ופשט רבינא דחוץ הוא, אבל בעל מנת מודו ליה. וכ"כ הרשב"א (פב. ד"ה אלא). וכן נראה שהוא דעת התוספות (שם ד"ה אבל). וכן דעת הרמב"ם בפ"ח מהל' גירושין (הי"ב). וכ"כ הר"ן (מג: ד"ה ופשט). וכתב עוד אבל אחרים אומרים דמדלא מסקינן בפשטא דבעיין שמע מינה חוץ הוא אבל על מנת מודו ליה משמע דאכתי מספקא אי פליגי נמי בעל מנת. וראיה לדבר דהא בגמרא (פג.) אמרינן שלאחר פטירתו של רבי אליעזר נכנסו ארבעה זקנים להשיב על דבריו וכו'. ולפיכך הדבר נראה להחמיר ולומר דאפילו בעל מנת לא מודו רבנן לרבי </w:t>
      </w:r>
      <w:r>
        <w:rPr>
          <w:rFonts w:cs="Arial"/>
          <w:sz w:val="16"/>
          <w:szCs w:val="16"/>
          <w:rtl/>
        </w:rPr>
        <w:lastRenderedPageBreak/>
        <w:t>אליעזר ומידי ספיקא מיהא לא נפיק עכ"ל. והזכיר סברא זו רי"ו בח"א (דנכ"ד רב:), והרשב"א (פג: ד"ה ולענין פסק) כתב סברא זו בשם הרמב"ן (פב. ד"ה הא דאמרינן)</w:t>
      </w:r>
      <w:r>
        <w:rPr>
          <w:sz w:val="16"/>
          <w:szCs w:val="16"/>
          <w:rtl/>
        </w:rPr>
        <w:t>, ב"י)</w:t>
      </w:r>
    </w:p>
    <w:p w14:paraId="5052CDCF" w14:textId="77777777" w:rsidR="00FA2119" w:rsidRDefault="00FA2119" w:rsidP="00FA2119">
      <w:pPr>
        <w:rPr>
          <w:u w:val="single"/>
        </w:rPr>
      </w:pPr>
      <w:r>
        <w:rPr>
          <w:u w:val="single"/>
          <w:rtl/>
        </w:rPr>
        <w:t>התנה עמה שלא תהיה מותרת לפלוני:</w:t>
      </w:r>
    </w:p>
    <w:p w14:paraId="13AE5558" w14:textId="02D2894C" w:rsidR="00FA2119" w:rsidRDefault="00FA2119" w:rsidP="006A458D">
      <w:pPr>
        <w:pStyle w:val="ab"/>
        <w:numPr>
          <w:ilvl w:val="0"/>
          <w:numId w:val="95"/>
        </w:numPr>
      </w:pPr>
      <w:r>
        <w:rPr>
          <w:rFonts w:cs="Arial"/>
          <w:rtl/>
        </w:rPr>
        <w:t xml:space="preserve">רי"ף </w:t>
      </w:r>
      <w:r>
        <w:rPr>
          <w:rFonts w:cs="Arial"/>
          <w:sz w:val="16"/>
          <w:szCs w:val="16"/>
          <w:rtl/>
        </w:rPr>
        <w:t xml:space="preserve">(מג:) </w:t>
      </w:r>
      <w:r>
        <w:rPr>
          <w:rFonts w:cs="Arial"/>
          <w:rtl/>
        </w:rPr>
        <w:t xml:space="preserve">תוס' </w:t>
      </w:r>
      <w:r>
        <w:rPr>
          <w:rFonts w:cs="Arial"/>
          <w:sz w:val="16"/>
          <w:szCs w:val="16"/>
          <w:rtl/>
        </w:rPr>
        <w:t xml:space="preserve">(שם ד"ה אבל) </w:t>
      </w:r>
      <w:r>
        <w:rPr>
          <w:rFonts w:cs="Arial"/>
          <w:rtl/>
        </w:rPr>
        <w:t xml:space="preserve">רמב"ם </w:t>
      </w:r>
      <w:r>
        <w:rPr>
          <w:rFonts w:cs="Arial"/>
          <w:sz w:val="16"/>
          <w:szCs w:val="16"/>
          <w:rtl/>
        </w:rPr>
        <w:t xml:space="preserve">(פ"ח הי"ב) </w:t>
      </w:r>
      <w:r>
        <w:rPr>
          <w:rFonts w:cs="Arial"/>
          <w:rtl/>
        </w:rPr>
        <w:t xml:space="preserve">רשב"א </w:t>
      </w:r>
      <w:r>
        <w:rPr>
          <w:rFonts w:cs="Arial"/>
          <w:sz w:val="16"/>
          <w:szCs w:val="16"/>
          <w:rtl/>
        </w:rPr>
        <w:t xml:space="preserve">(פב. ד"ה אלא) </w:t>
      </w:r>
      <w:r>
        <w:rPr>
          <w:rFonts w:cs="Arial"/>
          <w:rtl/>
        </w:rPr>
        <w:t xml:space="preserve">רא"ש </w:t>
      </w:r>
      <w:r>
        <w:rPr>
          <w:rFonts w:cs="Arial"/>
          <w:sz w:val="16"/>
          <w:szCs w:val="16"/>
          <w:rtl/>
        </w:rPr>
        <w:t xml:space="preserve">(שם) </w:t>
      </w:r>
      <w:r>
        <w:rPr>
          <w:rFonts w:cs="Arial"/>
          <w:rtl/>
        </w:rPr>
        <w:t>טור ור"ן</w:t>
      </w:r>
      <w:r>
        <w:rPr>
          <w:rFonts w:cs="Arial"/>
          <w:sz w:val="16"/>
          <w:szCs w:val="16"/>
          <w:rtl/>
        </w:rPr>
        <w:t xml:space="preserve"> (מג: ד"ה ופשט)</w:t>
      </w:r>
      <w:r w:rsidR="00A82951">
        <w:rPr>
          <w:rFonts w:cs="Arial"/>
          <w:rtl/>
        </w:rPr>
        <w:t>-</w:t>
      </w:r>
      <w:r>
        <w:rPr>
          <w:rFonts w:cs="Arial"/>
          <w:rtl/>
        </w:rPr>
        <w:t xml:space="preserve"> אבל אם אמר לה 'על מנת' </w:t>
      </w:r>
      <w:r w:rsidR="00A82951">
        <w:rPr>
          <w:rFonts w:cs="Arial"/>
          <w:rtl/>
        </w:rPr>
        <w:t>-</w:t>
      </w:r>
      <w:r>
        <w:rPr>
          <w:rFonts w:cs="Arial"/>
          <w:rtl/>
        </w:rPr>
        <w:t xml:space="preserve"> הרי הוא כשאר תנאי גט, והגט גט, והיא תקיים התנאי. בין אמר לה על מנת שלא תינשא לו, או על מנת שלא תבעלי לו, או על מנת שלא תהיה מותרת לו</w:t>
      </w:r>
      <w:r>
        <w:rPr>
          <w:rFonts w:cs="Arial"/>
          <w:sz w:val="16"/>
          <w:szCs w:val="16"/>
          <w:rtl/>
        </w:rPr>
        <w:t xml:space="preserve"> (ל' הטור)</w:t>
      </w:r>
      <w:r>
        <w:rPr>
          <w:rStyle w:val="a7"/>
          <w:rFonts w:cs="Arial"/>
          <w:rtl/>
        </w:rPr>
        <w:footnoteReference w:id="1601"/>
      </w:r>
      <w:r>
        <w:rPr>
          <w:rFonts w:cs="Arial"/>
          <w:rtl/>
        </w:rPr>
        <w:t xml:space="preserve">. </w:t>
      </w:r>
      <w:r>
        <w:rPr>
          <w:color w:val="E36C0A" w:themeColor="accent6" w:themeShade="BF"/>
          <w:rtl/>
        </w:rPr>
        <w:t>(וכ"פ בשו"ע)</w:t>
      </w:r>
    </w:p>
    <w:p w14:paraId="220CCDF6" w14:textId="20DC871A" w:rsidR="00FA2119" w:rsidRDefault="00FA2119" w:rsidP="006A458D">
      <w:pPr>
        <w:pStyle w:val="ab"/>
        <w:numPr>
          <w:ilvl w:val="0"/>
          <w:numId w:val="95"/>
        </w:numPr>
      </w:pPr>
      <w:r>
        <w:rPr>
          <w:rFonts w:cs="Arial"/>
          <w:rtl/>
        </w:rPr>
        <w:t>רמ"ה</w:t>
      </w:r>
      <w:r>
        <w:rPr>
          <w:rFonts w:cs="Arial"/>
          <w:sz w:val="16"/>
          <w:szCs w:val="16"/>
          <w:rtl/>
        </w:rPr>
        <w:t xml:space="preserve"> (כ"כ הטור בשמו)</w:t>
      </w:r>
      <w:r>
        <w:rPr>
          <w:rFonts w:cs="Arial"/>
          <w:rtl/>
        </w:rPr>
        <w:t xml:space="preserve"> רמב"ן</w:t>
      </w:r>
      <w:r>
        <w:rPr>
          <w:rFonts w:cs="Arial"/>
          <w:sz w:val="16"/>
          <w:szCs w:val="16"/>
          <w:rtl/>
        </w:rPr>
        <w:t xml:space="preserve"> (שם, כ"כ הרשב"א בשמו)</w:t>
      </w:r>
      <w:r>
        <w:rPr>
          <w:rFonts w:cs="Arial"/>
          <w:rtl/>
        </w:rPr>
        <w:t xml:space="preserve"> וי"א </w:t>
      </w:r>
      <w:r>
        <w:rPr>
          <w:rFonts w:cs="Arial"/>
          <w:sz w:val="16"/>
          <w:szCs w:val="16"/>
          <w:rtl/>
        </w:rPr>
        <w:t>(הביאם הר"ן [שם])</w:t>
      </w:r>
      <w:r w:rsidR="00A82951">
        <w:rPr>
          <w:rFonts w:cs="Arial"/>
          <w:rtl/>
        </w:rPr>
        <w:t>-</w:t>
      </w:r>
      <w:r>
        <w:rPr>
          <w:rFonts w:cs="Arial"/>
          <w:rtl/>
        </w:rPr>
        <w:t xml:space="preserve"> על מנת שלא תהיה מותרת לפלוני </w:t>
      </w:r>
      <w:r w:rsidR="00A82951">
        <w:rPr>
          <w:rFonts w:cs="Arial"/>
          <w:rtl/>
        </w:rPr>
        <w:t>-</w:t>
      </w:r>
      <w:r>
        <w:rPr>
          <w:rFonts w:cs="Arial"/>
          <w:rtl/>
        </w:rPr>
        <w:t xml:space="preserve"> לא הוי גט</w:t>
      </w:r>
      <w:r>
        <w:rPr>
          <w:rFonts w:cs="Arial"/>
          <w:sz w:val="16"/>
          <w:szCs w:val="16"/>
          <w:rtl/>
        </w:rPr>
        <w:t xml:space="preserve"> (ל' הטור בשם הרמ"ה)</w:t>
      </w:r>
      <w:r>
        <w:rPr>
          <w:rFonts w:cs="Arial"/>
          <w:rtl/>
        </w:rPr>
        <w:t xml:space="preserve">. </w:t>
      </w:r>
      <w:r w:rsidR="00B86739">
        <w:rPr>
          <w:color w:val="00B0F0"/>
          <w:rtl/>
        </w:rPr>
        <w:t>(וכ"פ הרמ"א)</w:t>
      </w:r>
    </w:p>
    <w:p w14:paraId="60462AA9" w14:textId="108141D6" w:rsidR="00FA2119" w:rsidRDefault="00FA2119" w:rsidP="00FA2119">
      <w:pPr>
        <w:ind w:left="360"/>
        <w:rPr>
          <w:u w:val="dotted"/>
        </w:rPr>
      </w:pPr>
      <w:r>
        <w:rPr>
          <w:u w:val="dotted"/>
          <w:rtl/>
        </w:rPr>
        <w:t>ל</w:t>
      </w:r>
      <w:r w:rsidR="00B86739">
        <w:rPr>
          <w:rFonts w:hint="cs"/>
          <w:u w:val="dotted"/>
          <w:rtl/>
        </w:rPr>
        <w:t>אומ</w:t>
      </w:r>
      <w:r>
        <w:rPr>
          <w:u w:val="dotted"/>
          <w:rtl/>
        </w:rPr>
        <w:t xml:space="preserve">רים דהוי גט </w:t>
      </w:r>
      <w:r w:rsidR="00A82951">
        <w:rPr>
          <w:u w:val="dotted"/>
          <w:rtl/>
        </w:rPr>
        <w:t>-</w:t>
      </w:r>
      <w:r>
        <w:rPr>
          <w:u w:val="dotted"/>
          <w:rtl/>
        </w:rPr>
        <w:t xml:space="preserve"> מה הדין אם אמר לה 'על מנת שלא תבעלי ולא תנשאי לפלוני': </w:t>
      </w:r>
    </w:p>
    <w:p w14:paraId="7EDF7C7E" w14:textId="68F9CA66" w:rsidR="00FA2119" w:rsidRDefault="00FA2119" w:rsidP="006A458D">
      <w:pPr>
        <w:pStyle w:val="ab"/>
        <w:numPr>
          <w:ilvl w:val="0"/>
          <w:numId w:val="95"/>
        </w:numPr>
      </w:pPr>
      <w:r>
        <w:rPr>
          <w:rFonts w:cs="Arial"/>
          <w:rtl/>
        </w:rPr>
        <w:t xml:space="preserve">תוס' </w:t>
      </w:r>
      <w:r>
        <w:rPr>
          <w:rFonts w:cs="Arial"/>
          <w:sz w:val="16"/>
          <w:szCs w:val="16"/>
          <w:rtl/>
        </w:rPr>
        <w:t>(פב. ד"ה אבל בעל מנת מודו ליה)</w:t>
      </w:r>
      <w:r>
        <w:rPr>
          <w:rFonts w:cs="Arial"/>
          <w:rtl/>
        </w:rPr>
        <w:t xml:space="preserve"> רא"ש </w:t>
      </w:r>
      <w:r>
        <w:rPr>
          <w:rFonts w:cs="Arial"/>
          <w:sz w:val="16"/>
          <w:szCs w:val="16"/>
          <w:rtl/>
        </w:rPr>
        <w:t>(שם)</w:t>
      </w:r>
      <w:r>
        <w:rPr>
          <w:rFonts w:cs="Arial"/>
          <w:rtl/>
        </w:rPr>
        <w:t xml:space="preserve"> ור"ן </w:t>
      </w:r>
      <w:r>
        <w:rPr>
          <w:rFonts w:cs="Arial"/>
          <w:sz w:val="16"/>
          <w:szCs w:val="16"/>
          <w:rtl/>
        </w:rPr>
        <w:t>(שם)</w:t>
      </w:r>
      <w:r w:rsidR="00A82951">
        <w:rPr>
          <w:rFonts w:cs="Arial"/>
          <w:rtl/>
        </w:rPr>
        <w:t>-</w:t>
      </w:r>
      <w:r>
        <w:rPr>
          <w:rFonts w:cs="Arial"/>
          <w:rtl/>
        </w:rPr>
        <w:t xml:space="preserve"> לכאורה היה נראה דדוקא בעל מנת שלא תנשאי מודו דלא הוי שיור משום דהותרה אצלו בזנות אבל בעל מנת שלא תבעלי ושלא תנשאי הוי שיור כמו חוץ. ומיהו נראה לר"י דאפילו בעל מנת שלא תנשאי ולא תבעלי מודו רבנן דלא הוי שיורא, דכיון דאין אוסרה אלא בלשון תנאי הוי כאילו הותרה לכל</w:t>
      </w:r>
      <w:r>
        <w:rPr>
          <w:rFonts w:cs="Arial"/>
          <w:sz w:val="16"/>
          <w:szCs w:val="16"/>
          <w:rtl/>
        </w:rPr>
        <w:t xml:space="preserve"> (ל' התוס')</w:t>
      </w:r>
      <w:r>
        <w:rPr>
          <w:rFonts w:cs="Arial"/>
          <w:rtl/>
        </w:rPr>
        <w:t xml:space="preserve">. </w:t>
      </w:r>
      <w:r w:rsidR="00B86739">
        <w:rPr>
          <w:color w:val="E36C0A" w:themeColor="accent6" w:themeShade="BF"/>
          <w:rtl/>
        </w:rPr>
        <w:t>(וכ"פ בשו"ע)</w:t>
      </w:r>
    </w:p>
    <w:p w14:paraId="5EB7EB94" w14:textId="0447B290" w:rsidR="00FA2119" w:rsidRDefault="00FA2119" w:rsidP="006A458D">
      <w:pPr>
        <w:pStyle w:val="ab"/>
        <w:numPr>
          <w:ilvl w:val="0"/>
          <w:numId w:val="95"/>
        </w:numPr>
      </w:pPr>
      <w:r>
        <w:rPr>
          <w:rFonts w:cs="Arial"/>
          <w:rtl/>
        </w:rPr>
        <w:t xml:space="preserve">רש"י </w:t>
      </w:r>
      <w:r>
        <w:rPr>
          <w:rFonts w:cs="Arial"/>
          <w:sz w:val="16"/>
          <w:szCs w:val="16"/>
          <w:rtl/>
        </w:rPr>
        <w:t>(פב. ד"ה אבל)</w:t>
      </w:r>
      <w:r w:rsidR="00A82951">
        <w:rPr>
          <w:rFonts w:cs="Arial"/>
          <w:rtl/>
        </w:rPr>
        <w:t>-</w:t>
      </w:r>
      <w:r>
        <w:rPr>
          <w:rFonts w:cs="Arial"/>
          <w:rtl/>
        </w:rPr>
        <w:t xml:space="preserve"> אבל בעל מנת מודו ליה דבגט לא שייר שהרי התירה במסירת הגט לכל אדם אלא שהתנה עמה על מנת שלא תנשאי לזה ואין זה אלא כתנאי בעלמא</w:t>
      </w:r>
      <w:r>
        <w:rPr>
          <w:rStyle w:val="a7"/>
          <w:rFonts w:cs="Arial"/>
          <w:rtl/>
        </w:rPr>
        <w:footnoteReference w:id="1602"/>
      </w:r>
      <w:r>
        <w:rPr>
          <w:rFonts w:cs="Arial"/>
          <w:rtl/>
        </w:rPr>
        <w:t xml:space="preserve">. </w:t>
      </w:r>
    </w:p>
    <w:p w14:paraId="50D565B4" w14:textId="04EF1F49" w:rsidR="00FA2119" w:rsidRDefault="00FA2119" w:rsidP="00FA2119">
      <w:pPr>
        <w:ind w:left="360"/>
        <w:rPr>
          <w:u w:val="dotted"/>
        </w:rPr>
      </w:pPr>
      <w:r>
        <w:rPr>
          <w:u w:val="dotted"/>
          <w:rtl/>
        </w:rPr>
        <w:t xml:space="preserve">לאומרים דהוי גט </w:t>
      </w:r>
      <w:r w:rsidR="00A82951">
        <w:rPr>
          <w:u w:val="dotted"/>
          <w:rtl/>
        </w:rPr>
        <w:t>-</w:t>
      </w:r>
      <w:r>
        <w:rPr>
          <w:u w:val="dotted"/>
          <w:rtl/>
        </w:rPr>
        <w:t xml:space="preserve"> האם יכולה להנשא מיד לכתחילה:</w:t>
      </w:r>
    </w:p>
    <w:p w14:paraId="25AB9B89" w14:textId="2F6BAE24" w:rsidR="00FA2119" w:rsidRDefault="00FA2119" w:rsidP="006A458D">
      <w:pPr>
        <w:pStyle w:val="ab"/>
        <w:numPr>
          <w:ilvl w:val="0"/>
          <w:numId w:val="95"/>
        </w:numPr>
      </w:pPr>
      <w:r>
        <w:rPr>
          <w:rFonts w:cs="Arial"/>
          <w:rtl/>
        </w:rPr>
        <w:t xml:space="preserve">תוס' </w:t>
      </w:r>
      <w:r>
        <w:rPr>
          <w:rFonts w:cs="Arial"/>
          <w:sz w:val="16"/>
          <w:szCs w:val="16"/>
          <w:rtl/>
        </w:rPr>
        <w:t>(פב: ד"ה שרבי אליעזר, הביאו הטור בסי' קמג)</w:t>
      </w:r>
      <w:r w:rsidR="00A82951">
        <w:rPr>
          <w:rFonts w:cs="Arial"/>
          <w:rtl/>
        </w:rPr>
        <w:t>-</w:t>
      </w:r>
      <w:r>
        <w:rPr>
          <w:rFonts w:cs="Arial"/>
          <w:rtl/>
        </w:rPr>
        <w:t xml:space="preserve"> בעל מנת שלא תבעלי לפלוני </w:t>
      </w:r>
      <w:r w:rsidR="00A82951">
        <w:rPr>
          <w:rFonts w:cs="Arial"/>
          <w:rtl/>
        </w:rPr>
        <w:t>-</w:t>
      </w:r>
      <w:r>
        <w:rPr>
          <w:rFonts w:cs="Arial"/>
          <w:rtl/>
        </w:rPr>
        <w:t xml:space="preserve"> לא תנשא לכתחלה, דחיישינן שמא יבוא עליה באונס. אבל בעל מנת שלא תנשאי </w:t>
      </w:r>
      <w:r w:rsidR="00A82951">
        <w:rPr>
          <w:rFonts w:cs="Arial"/>
          <w:rtl/>
        </w:rPr>
        <w:t>-</w:t>
      </w:r>
      <w:r>
        <w:rPr>
          <w:rFonts w:cs="Arial"/>
          <w:rtl/>
        </w:rPr>
        <w:t xml:space="preserve"> ליכא למיחש שישאנה בעל כרחה דנישואין אי אפשר בעל כרחה. </w:t>
      </w:r>
    </w:p>
    <w:p w14:paraId="437A94E3" w14:textId="31EF5997" w:rsidR="00FA2119" w:rsidRDefault="00FA2119" w:rsidP="006A458D">
      <w:pPr>
        <w:pStyle w:val="ab"/>
        <w:numPr>
          <w:ilvl w:val="0"/>
          <w:numId w:val="95"/>
        </w:numPr>
      </w:pPr>
      <w:r>
        <w:rPr>
          <w:rFonts w:cs="Arial"/>
          <w:rtl/>
        </w:rPr>
        <w:t xml:space="preserve">ר"ח </w:t>
      </w:r>
      <w:r>
        <w:rPr>
          <w:rFonts w:cs="Arial"/>
          <w:sz w:val="16"/>
          <w:szCs w:val="16"/>
          <w:rtl/>
        </w:rPr>
        <w:t>(כ"כ הרשב"א בשמו [פג: ד"ה ולענין פסק])</w:t>
      </w:r>
      <w:r w:rsidR="00A82951">
        <w:rPr>
          <w:rFonts w:cs="Arial"/>
          <w:rtl/>
        </w:rPr>
        <w:t>-</w:t>
      </w:r>
      <w:r>
        <w:rPr>
          <w:rFonts w:cs="Arial"/>
          <w:rtl/>
        </w:rPr>
        <w:t xml:space="preserve"> אפילו בעל מנת שלא תנשאי לא תנשא עד שימות אותו פלוני</w:t>
      </w:r>
      <w:r>
        <w:rPr>
          <w:rFonts w:cs="Arial"/>
          <w:sz w:val="16"/>
          <w:szCs w:val="16"/>
          <w:rtl/>
        </w:rPr>
        <w:t xml:space="preserve"> (ל' הב"י בשמו)</w:t>
      </w:r>
      <w:r>
        <w:rPr>
          <w:rStyle w:val="a7"/>
          <w:rFonts w:cs="Arial"/>
          <w:rtl/>
        </w:rPr>
        <w:footnoteReference w:id="1603"/>
      </w:r>
      <w:r>
        <w:rPr>
          <w:rFonts w:cs="Arial"/>
          <w:rtl/>
        </w:rPr>
        <w:t xml:space="preserve">. </w:t>
      </w:r>
    </w:p>
    <w:p w14:paraId="50AE9232" w14:textId="0861B886" w:rsidR="00FA2119" w:rsidRDefault="00FA2119" w:rsidP="00FA2119">
      <w:r>
        <w:rPr>
          <w:rFonts w:cs="Arial"/>
          <w:u w:val="single"/>
          <w:rtl/>
        </w:rPr>
        <w:t xml:space="preserve">מי שחושב שאשתו נתנה עיניה באחר, ורוצה לגרשה בלי שתוכל אח"כ להנשא לאותו אחר </w:t>
      </w:r>
      <w:r w:rsidR="00A82951">
        <w:rPr>
          <w:rFonts w:cs="Arial"/>
          <w:u w:val="single"/>
          <w:rtl/>
        </w:rPr>
        <w:t>-</w:t>
      </w:r>
      <w:r>
        <w:rPr>
          <w:rFonts w:cs="Arial"/>
          <w:u w:val="single"/>
          <w:rtl/>
        </w:rPr>
        <w:t xml:space="preserve"> כיצד יעשה:</w:t>
      </w:r>
      <w:r>
        <w:rPr>
          <w:rFonts w:cs="Arial"/>
          <w:rtl/>
        </w:rPr>
        <w:t xml:space="preserve"> </w:t>
      </w:r>
      <w:r>
        <w:rPr>
          <w:rFonts w:cs="Arial"/>
          <w:sz w:val="16"/>
          <w:szCs w:val="16"/>
          <w:rtl/>
        </w:rPr>
        <w:t xml:space="preserve">(דרכ"מ אות א) </w:t>
      </w:r>
    </w:p>
    <w:p w14:paraId="542B57D0" w14:textId="58536CA3" w:rsidR="00FA2119" w:rsidRDefault="00FA2119" w:rsidP="006A458D">
      <w:pPr>
        <w:pStyle w:val="ab"/>
        <w:numPr>
          <w:ilvl w:val="0"/>
          <w:numId w:val="95"/>
        </w:numPr>
      </w:pPr>
      <w:r>
        <w:rPr>
          <w:rFonts w:cs="Arial"/>
          <w:rtl/>
        </w:rPr>
        <w:t xml:space="preserve">רב נטרונאי גאון </w:t>
      </w:r>
      <w:r>
        <w:rPr>
          <w:rFonts w:cs="Arial"/>
          <w:sz w:val="16"/>
          <w:szCs w:val="16"/>
          <w:rtl/>
        </w:rPr>
        <w:t>(כ"כ בשמו המרדכי [ריש המגרש סי' תמד])</w:t>
      </w:r>
      <w:r w:rsidR="00A82951">
        <w:rPr>
          <w:rFonts w:cs="Arial"/>
          <w:rtl/>
        </w:rPr>
        <w:t>-</w:t>
      </w:r>
      <w:r>
        <w:rPr>
          <w:rFonts w:cs="Arial"/>
          <w:rtl/>
        </w:rPr>
        <w:t xml:space="preserve"> המקנא לאשתו ורוצה לגרשה והוא חושד אותה בשום אדם כיצד יעשה, אם תמצא לומר יאמר לה 'על מנת', שמא תעבור ונמצא גט בטל ובניה ממזרים. אלא אומר לבית דין והם מוחים בידיהם שלא ישאו זה את זה לעולם, והוא יגרשנה בלא תנאי.</w:t>
      </w:r>
      <w:r>
        <w:rPr>
          <w:color w:val="00B0F0"/>
          <w:rtl/>
        </w:rPr>
        <w:t xml:space="preserve"> (וכ"פ הרמ"א)</w:t>
      </w:r>
    </w:p>
    <w:p w14:paraId="1DD4A3A0"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195FB88" w14:textId="466DCB32" w:rsidR="00FA2119" w:rsidRDefault="00FA2119" w:rsidP="00FA2119">
      <w:pPr>
        <w:rPr>
          <w:rtl/>
        </w:rPr>
      </w:pPr>
      <w:r>
        <w:rPr>
          <w:rFonts w:cs="Arial"/>
          <w:rtl/>
        </w:rPr>
        <w:t>אמר לה: הרי את מותרת לכל אדם, חוץ מפלוני, או אלא לפלוני, אינו גט. כיצד יעשה, יטלנו ממנה</w:t>
      </w:r>
      <w:r>
        <w:rPr>
          <w:rStyle w:val="a7"/>
          <w:rFonts w:cs="Arial"/>
          <w:rtl/>
        </w:rPr>
        <w:footnoteReference w:id="1604"/>
      </w:r>
      <w:r>
        <w:rPr>
          <w:rFonts w:cs="Arial"/>
          <w:rtl/>
        </w:rPr>
        <w:t xml:space="preserve"> ויחזור ויתננו ויאמר: הרי את מותרת לכל אדם. אבל אם אמר על מנת, הרי הוא כשאר תנאי הגט, בין אמר לה: על מנת שלא תנשא לו, או על מנת שלא תבעלי לו, או על מנת שלא תהיה לו. </w:t>
      </w:r>
      <w:r>
        <w:rPr>
          <w:rFonts w:cs="Arial"/>
          <w:sz w:val="18"/>
          <w:szCs w:val="18"/>
          <w:rtl/>
        </w:rPr>
        <w:t>[הגה] ויש מחמירין אפילו באומר על מנת (</w:t>
      </w:r>
      <w:r w:rsidR="00B86739">
        <w:rPr>
          <w:rFonts w:cs="Arial" w:hint="cs"/>
          <w:sz w:val="18"/>
          <w:szCs w:val="18"/>
          <w:rtl/>
        </w:rPr>
        <w:t>רמב"ן</w:t>
      </w:r>
      <w:r>
        <w:rPr>
          <w:rFonts w:cs="Arial"/>
          <w:sz w:val="18"/>
          <w:szCs w:val="18"/>
          <w:rtl/>
        </w:rPr>
        <w:t>), ויש להחמיר לכתחלה. ואם חשודה מאדם, יאמר לב"ד והם ימחו בידם שלא ישאו זה את זה (מרדכי).</w:t>
      </w:r>
      <w:r>
        <w:rPr>
          <w:rFonts w:cs="Arial"/>
          <w:rtl/>
        </w:rPr>
        <w:t xml:space="preserve"> </w:t>
      </w:r>
    </w:p>
    <w:p w14:paraId="71DF520A" w14:textId="77777777" w:rsidR="00FA2119" w:rsidRDefault="00FA2119" w:rsidP="00FA2119">
      <w:pPr>
        <w:rPr>
          <w:sz w:val="16"/>
          <w:szCs w:val="16"/>
          <w:rtl/>
        </w:rPr>
      </w:pPr>
      <w:r>
        <w:rPr>
          <w:u w:val="single"/>
          <w:rtl/>
        </w:rPr>
        <w:t>האם יכול לומר לה 'על מנת שלא תנשאי לאף אחד חוץ מפלוני':</w:t>
      </w:r>
      <w:r>
        <w:rPr>
          <w:sz w:val="16"/>
          <w:szCs w:val="16"/>
          <w:rtl/>
        </w:rPr>
        <w:t xml:space="preserve"> (פת"ש סק"ד)</w:t>
      </w:r>
    </w:p>
    <w:p w14:paraId="1F5B4E56" w14:textId="7A21A91C" w:rsidR="00FA2119" w:rsidRDefault="00FA2119" w:rsidP="006A458D">
      <w:pPr>
        <w:pStyle w:val="ab"/>
        <w:numPr>
          <w:ilvl w:val="0"/>
          <w:numId w:val="95"/>
        </w:numPr>
        <w:rPr>
          <w:rtl/>
        </w:rPr>
      </w:pPr>
      <w:r>
        <w:rPr>
          <w:rFonts w:cs="Arial"/>
          <w:rtl/>
        </w:rPr>
        <w:t xml:space="preserve">פת"ש </w:t>
      </w:r>
      <w:r>
        <w:rPr>
          <w:rFonts w:cs="Arial"/>
          <w:sz w:val="16"/>
          <w:szCs w:val="16"/>
          <w:rtl/>
        </w:rPr>
        <w:t>(סק"ד)</w:t>
      </w:r>
      <w:r w:rsidR="00A82951">
        <w:rPr>
          <w:rFonts w:cs="Arial"/>
          <w:rtl/>
        </w:rPr>
        <w:t>-</w:t>
      </w:r>
      <w:r>
        <w:rPr>
          <w:rFonts w:cs="Arial"/>
          <w:rtl/>
        </w:rPr>
        <w:t xml:space="preserve"> עיין בס' שעה"מ (פ"ח מה"ג די"א) שהביא תשובת הרשב"ץ (ח"א סי' ד) שנשאל אם יכול לגרשה ולאוסרה בעל מנת על הרבה בני אדם </w:t>
      </w:r>
      <w:r>
        <w:rPr>
          <w:rFonts w:cs="Arial"/>
          <w:sz w:val="16"/>
          <w:szCs w:val="16"/>
          <w:rtl/>
        </w:rPr>
        <w:t xml:space="preserve">(דאפשר הא דשרי בע"מ דוקא כשמתירה לכל העולם ואינו אוסרה אלא לאחד אבל לא </w:t>
      </w:r>
      <w:r>
        <w:rPr>
          <w:rFonts w:cs="Arial"/>
          <w:sz w:val="16"/>
          <w:szCs w:val="16"/>
          <w:rtl/>
        </w:rPr>
        <w:lastRenderedPageBreak/>
        <w:t>להיפך)</w:t>
      </w:r>
      <w:r w:rsidR="00B86739">
        <w:rPr>
          <w:rFonts w:cs="Arial" w:hint="cs"/>
          <w:rtl/>
        </w:rPr>
        <w:t>.</w:t>
      </w:r>
      <w:r>
        <w:rPr>
          <w:rFonts w:cs="Arial"/>
          <w:rtl/>
        </w:rPr>
        <w:t xml:space="preserve"> והשיב מסתברא לי שיכול לאסור</w:t>
      </w:r>
      <w:r w:rsidR="00B86739">
        <w:rPr>
          <w:rFonts w:cs="Arial" w:hint="cs"/>
          <w:rtl/>
        </w:rPr>
        <w:t>,</w:t>
      </w:r>
      <w:r>
        <w:rPr>
          <w:rFonts w:cs="Arial"/>
          <w:rtl/>
        </w:rPr>
        <w:t xml:space="preserve"> דהא ר"א דשרי בחוץ בעי בגמ' מאי טעמא ואמרינן אמר קרא והיתה לאיש אחר אפילו לא התירה אלא לאיש אחד כו', ומדר"א בחוץ, נשמע לרבנן בעל מנת מכ"ש, דטפי עדיף ע"מ לרבנן מחוץ לר"א יעו"ש. והוא ז"ל כתב עליו שדבריו ז"ל הם דוקא באוסרה לכל העולם עד זמן פלוני וכמו שכתוב בלשון השאלה שם אם יכול לאוסרה על הרבה ב"א עד זמן כ' שנה או יותר, דהשתא משום טעמא דאגידא בי' ליכא כל שנתן קצבה לדבר (כמ"ש לקמן סי' קמ"ג סעי' ט"ז וסעי' כ' וכ"א), אלא דמספקא לי' כיון דאסרה להרבה ב"א חשיב כמו שיור ובשיור אפי' לזמן קצוב לא הוי גט כמבואר מדברי הרשב"א בחי' פ' המגרש והריטב"א בפ"ק דקידושין (וכ"כ הב"ש בסי' קמ"ג סקכ"ח), ואהא השיב הרב ז"ל דמדר"א בחוץ נשמע לרבנן בעל מנת כו'. אבל באומר ע"מ שלא תנשאי לעולם אלא לפלוני </w:t>
      </w:r>
      <w:r w:rsidR="00A82951">
        <w:rPr>
          <w:rFonts w:cs="Arial"/>
          <w:rtl/>
        </w:rPr>
        <w:t>-</w:t>
      </w:r>
      <w:r>
        <w:rPr>
          <w:rFonts w:cs="Arial"/>
          <w:rtl/>
        </w:rPr>
        <w:t xml:space="preserve"> ודאי דלכ"ע אינו גט מטעמא דכל ימיה אגידא בי', ואפילו לדעת הרמב"ן והרשב"א כו' ע"ש. ויובא לקמן סי' קמ"ג סכ"ב סקכ"ג</w:t>
      </w:r>
      <w:r>
        <w:rPr>
          <w:rtl/>
        </w:rPr>
        <w:t>.</w:t>
      </w:r>
    </w:p>
    <w:p w14:paraId="0CD8EC46" w14:textId="77777777" w:rsidR="00FA2119" w:rsidRDefault="00FA2119" w:rsidP="00FA2119">
      <w:pPr>
        <w:rPr>
          <w:rtl/>
        </w:rPr>
      </w:pPr>
    </w:p>
    <w:p w14:paraId="78ECE14A" w14:textId="77777777" w:rsidR="00FA2119" w:rsidRDefault="00FA2119" w:rsidP="00FA2119">
      <w:pPr>
        <w:pStyle w:val="2"/>
        <w:rPr>
          <w:rtl/>
        </w:rPr>
      </w:pPr>
      <w:r>
        <w:rPr>
          <w:rtl/>
        </w:rPr>
        <w:t>סעיף ב: אמר לה 'חוץ מפלוני', ואותו פלוני אסור עליה בין כה וכה, או שהוא קטן.</w:t>
      </w:r>
    </w:p>
    <w:p w14:paraId="328BC600" w14:textId="7A88EF17" w:rsidR="00FA2119" w:rsidRDefault="00FA2119" w:rsidP="00FA2119">
      <w:pPr>
        <w:rPr>
          <w:rFonts w:cs="Arial"/>
          <w:rtl/>
        </w:rPr>
      </w:pPr>
      <w:r>
        <w:rPr>
          <w:rFonts w:cs="Arial"/>
          <w:b/>
          <w:bCs/>
          <w:rtl/>
        </w:rPr>
        <w:t xml:space="preserve">גיטין </w:t>
      </w:r>
      <w:r>
        <w:rPr>
          <w:rFonts w:cs="Arial"/>
          <w:b/>
          <w:bCs/>
          <w:sz w:val="16"/>
          <w:szCs w:val="16"/>
          <w:rtl/>
        </w:rPr>
        <w:t>(פ' בתרא)</w:t>
      </w:r>
      <w:r>
        <w:rPr>
          <w:rFonts w:cs="Arial"/>
          <w:b/>
          <w:bCs/>
          <w:rtl/>
        </w:rPr>
        <w:t xml:space="preserve"> פה ע"א:</w:t>
      </w:r>
      <w:r>
        <w:rPr>
          <w:rFonts w:cs="Arial"/>
          <w:rtl/>
        </w:rPr>
        <w:t xml:space="preserve"> </w:t>
      </w:r>
      <w:r>
        <w:rPr>
          <w:rFonts w:cs="Arial"/>
          <w:u w:val="double"/>
          <w:rtl/>
        </w:rPr>
        <w:t>מתני'</w:t>
      </w:r>
      <w:r>
        <w:rPr>
          <w:rFonts w:cs="Arial"/>
          <w:rtl/>
        </w:rPr>
        <w:t xml:space="preserve">: הרי את מותרת לכל אדם אלא לאבא ולאביך, לאחי ולאחיך, לעבד ולעובד כוכבים, ולכל מי שאין לה עליו קדושין </w:t>
      </w:r>
      <w:r w:rsidR="00A82951">
        <w:rPr>
          <w:rFonts w:cs="Arial"/>
          <w:rtl/>
        </w:rPr>
        <w:t>-</w:t>
      </w:r>
      <w:r>
        <w:rPr>
          <w:rFonts w:cs="Arial"/>
          <w:rtl/>
        </w:rPr>
        <w:t xml:space="preserve"> כשר. הרי את מותרת לכל אדם אלא אלמנה לכהן גדול, גרושה וחלוצה לכהן הדיוט, ממזרת ונתינה לישראל, בת ישראל לממזר ולנתין, וכל מי שיש לה עליו קדושין אפילו בעבירה </w:t>
      </w:r>
      <w:r w:rsidR="00A82951">
        <w:rPr>
          <w:rFonts w:cs="Arial"/>
          <w:rtl/>
        </w:rPr>
        <w:t>-</w:t>
      </w:r>
      <w:r>
        <w:rPr>
          <w:rFonts w:cs="Arial"/>
          <w:rtl/>
        </w:rPr>
        <w:t xml:space="preserve"> פסול</w:t>
      </w:r>
      <w:r>
        <w:rPr>
          <w:rStyle w:val="a7"/>
          <w:rFonts w:cs="Arial"/>
          <w:rtl/>
        </w:rPr>
        <w:footnoteReference w:id="1605"/>
      </w:r>
      <w:r>
        <w:rPr>
          <w:rFonts w:cs="Arial"/>
          <w:rtl/>
        </w:rPr>
        <w:t xml:space="preserve">. </w:t>
      </w:r>
    </w:p>
    <w:p w14:paraId="3737BA0E" w14:textId="7CDA761F" w:rsidR="00FA2119" w:rsidRDefault="00FA2119" w:rsidP="00FA2119">
      <w:pPr>
        <w:rPr>
          <w:u w:val="single"/>
          <w:rtl/>
        </w:rPr>
      </w:pPr>
      <w:r>
        <w:rPr>
          <w:u w:val="single"/>
          <w:rtl/>
        </w:rPr>
        <w:t xml:space="preserve">אמר לה 'הרי את מותרת לכל אדם חוץ מפלוני' </w:t>
      </w:r>
      <w:r w:rsidR="00A82951">
        <w:rPr>
          <w:u w:val="single"/>
          <w:rtl/>
        </w:rPr>
        <w:t>-</w:t>
      </w:r>
      <w:r>
        <w:rPr>
          <w:u w:val="single"/>
          <w:rtl/>
        </w:rPr>
        <w:t xml:space="preserve"> ואותו פלוני בין כה וכה אסור לבוא עליה: </w:t>
      </w:r>
    </w:p>
    <w:p w14:paraId="6FE96C92" w14:textId="12555F81" w:rsidR="00FA2119" w:rsidRDefault="00FA2119" w:rsidP="006A458D">
      <w:pPr>
        <w:pStyle w:val="ab"/>
        <w:numPr>
          <w:ilvl w:val="0"/>
          <w:numId w:val="95"/>
        </w:numPr>
        <w:rPr>
          <w:rtl/>
        </w:rPr>
      </w:pPr>
      <w:r>
        <w:rPr>
          <w:rFonts w:cs="Arial"/>
          <w:rtl/>
        </w:rPr>
        <w:t>טור</w:t>
      </w:r>
      <w:r w:rsidR="00A82951">
        <w:rPr>
          <w:rFonts w:cs="Arial"/>
          <w:rtl/>
        </w:rPr>
        <w:t>-</w:t>
      </w:r>
      <w:r>
        <w:rPr>
          <w:rFonts w:cs="Arial"/>
          <w:rtl/>
        </w:rPr>
        <w:t xml:space="preserve"> היה אותו פלוני שהוציא מכלל גט אסור לבא עליה משום ערוה, כגון שהוא אביה או אחיה </w:t>
      </w:r>
      <w:r w:rsidR="00A82951">
        <w:rPr>
          <w:rFonts w:cs="Arial"/>
          <w:rtl/>
        </w:rPr>
        <w:t>-</w:t>
      </w:r>
      <w:r>
        <w:rPr>
          <w:rFonts w:cs="Arial"/>
          <w:rtl/>
        </w:rPr>
        <w:t xml:space="preserve"> לא הוי שיור והגט גט, כיון דבלאו הכי לא תפשי בה קידושין. אבל אם שייר מי שתופשין לו בה קידושין אפי' בעבירה, כגון חייבי לאוין </w:t>
      </w:r>
      <w:r w:rsidR="00A82951">
        <w:rPr>
          <w:rFonts w:cs="Arial"/>
          <w:rtl/>
        </w:rPr>
        <w:t>-</w:t>
      </w:r>
      <w:r>
        <w:rPr>
          <w:rFonts w:cs="Arial"/>
          <w:rtl/>
        </w:rPr>
        <w:t xml:space="preserve"> הוי שיור. </w:t>
      </w:r>
      <w:r w:rsidR="007501F6">
        <w:rPr>
          <w:color w:val="E36C0A" w:themeColor="accent6" w:themeShade="BF"/>
          <w:rtl/>
        </w:rPr>
        <w:t>(וכ"פ בשו"ע)</w:t>
      </w:r>
    </w:p>
    <w:p w14:paraId="68F713CC" w14:textId="7FC08E0C" w:rsidR="00FA2119" w:rsidRDefault="00FA2119" w:rsidP="00FA2119">
      <w:pPr>
        <w:rPr>
          <w:rFonts w:cs="Arial"/>
        </w:rPr>
      </w:pPr>
      <w:r>
        <w:rPr>
          <w:rFonts w:cs="Arial"/>
          <w:b/>
          <w:bCs/>
          <w:rtl/>
        </w:rPr>
        <w:t xml:space="preserve">גיטין </w:t>
      </w:r>
      <w:r>
        <w:rPr>
          <w:rFonts w:cs="Arial"/>
          <w:b/>
          <w:bCs/>
          <w:sz w:val="16"/>
          <w:szCs w:val="16"/>
          <w:rtl/>
        </w:rPr>
        <w:t>(פ' בתרא)</w:t>
      </w:r>
      <w:r>
        <w:rPr>
          <w:rFonts w:cs="Arial"/>
          <w:b/>
          <w:bCs/>
          <w:rtl/>
        </w:rPr>
        <w:t xml:space="preserve"> פה ע"א:</w:t>
      </w:r>
      <w:r>
        <w:rPr>
          <w:rFonts w:cs="Arial"/>
          <w:rtl/>
        </w:rPr>
        <w:t xml:space="preserve"> </w:t>
      </w:r>
      <w:r>
        <w:rPr>
          <w:rFonts w:cs="Arial"/>
          <w:u w:val="single"/>
          <w:rtl/>
        </w:rPr>
        <w:t>בעא מיניה רבא מרב נחמן</w:t>
      </w:r>
      <w:r>
        <w:rPr>
          <w:rFonts w:cs="Arial"/>
          <w:rtl/>
        </w:rPr>
        <w:t>: חוץ מקדושי קטן</w:t>
      </w:r>
      <w:r>
        <w:rPr>
          <w:rStyle w:val="a7"/>
          <w:rFonts w:cs="Arial"/>
          <w:rtl/>
        </w:rPr>
        <w:footnoteReference w:id="1606"/>
      </w:r>
      <w:r>
        <w:rPr>
          <w:rFonts w:cs="Arial"/>
          <w:rtl/>
        </w:rPr>
        <w:t xml:space="preserve">, מהו? מי אמרינן השתא מיהא לאו בר הויה הוא, או דלמא אתי לכלל הויה? </w:t>
      </w:r>
      <w:r>
        <w:rPr>
          <w:rFonts w:cs="Arial"/>
          <w:u w:val="single"/>
          <w:rtl/>
        </w:rPr>
        <w:t>א"ל</w:t>
      </w:r>
      <w:r>
        <w:rPr>
          <w:rFonts w:cs="Arial"/>
          <w:rtl/>
        </w:rPr>
        <w:t>: תניתוה: קטנה מתגרשת</w:t>
      </w:r>
      <w:r>
        <w:rPr>
          <w:rStyle w:val="a7"/>
          <w:rFonts w:cs="Arial"/>
          <w:rtl/>
        </w:rPr>
        <w:footnoteReference w:id="1607"/>
      </w:r>
      <w:r>
        <w:rPr>
          <w:rFonts w:cs="Arial"/>
          <w:rtl/>
        </w:rPr>
        <w:t xml:space="preserve"> בקידושי אביה</w:t>
      </w:r>
      <w:r>
        <w:rPr>
          <w:rStyle w:val="a7"/>
          <w:rFonts w:cs="Arial"/>
          <w:rtl/>
        </w:rPr>
        <w:footnoteReference w:id="1608"/>
      </w:r>
      <w:r>
        <w:rPr>
          <w:rFonts w:cs="Arial"/>
          <w:rtl/>
        </w:rPr>
        <w:t>; אמאי? והא בעינן ויצאה והיתה</w:t>
      </w:r>
      <w:r>
        <w:rPr>
          <w:rStyle w:val="a7"/>
          <w:rFonts w:cs="Arial"/>
          <w:rtl/>
        </w:rPr>
        <w:footnoteReference w:id="1609"/>
      </w:r>
      <w:r>
        <w:rPr>
          <w:rFonts w:cs="Arial"/>
          <w:rtl/>
        </w:rPr>
        <w:t>! אלא אתיא לכלל הויה</w:t>
      </w:r>
      <w:r>
        <w:rPr>
          <w:rStyle w:val="a7"/>
          <w:rFonts w:cs="Arial"/>
          <w:rtl/>
        </w:rPr>
        <w:footnoteReference w:id="1610"/>
      </w:r>
      <w:r>
        <w:rPr>
          <w:rFonts w:cs="Arial"/>
          <w:rtl/>
        </w:rPr>
        <w:t xml:space="preserve">, הכא נמי אתיא לכלל הויה. </w:t>
      </w:r>
      <w:r>
        <w:rPr>
          <w:rFonts w:cs="Arial"/>
          <w:sz w:val="16"/>
          <w:szCs w:val="16"/>
          <w:rtl/>
        </w:rPr>
        <w:t>(כך היא גירסת הספרים, ולפי זה בעיין איפשיטא. וכן גורס הרא"ש (סי' ג), וכן נראה מדברי הרמב"ם בפ"ח (שם). וכתב הרשב"א (פה. ד"ה בעא מיניה)</w:t>
      </w:r>
      <w:r w:rsidR="00E556DD">
        <w:rPr>
          <w:rFonts w:cs="Arial" w:hint="cs"/>
          <w:sz w:val="16"/>
          <w:szCs w:val="16"/>
          <w:rtl/>
        </w:rPr>
        <w:t>:</w:t>
      </w:r>
      <w:r>
        <w:rPr>
          <w:rFonts w:cs="Arial"/>
          <w:sz w:val="16"/>
          <w:szCs w:val="16"/>
          <w:rtl/>
        </w:rPr>
        <w:t xml:space="preserve"> אבל רבינו חננאל נראה שאינו גורס בהא 'תניתוה', דהאי נמי סלקא בתיקו, ב"י)</w:t>
      </w:r>
    </w:p>
    <w:p w14:paraId="69BF7590" w14:textId="77777777" w:rsidR="00FA2119" w:rsidRDefault="00FA2119" w:rsidP="00FA2119">
      <w:pPr>
        <w:rPr>
          <w:u w:val="single"/>
          <w:rtl/>
        </w:rPr>
      </w:pPr>
      <w:r>
        <w:rPr>
          <w:rFonts w:cs="Arial"/>
          <w:u w:val="single"/>
          <w:rtl/>
        </w:rPr>
        <w:t>התירה לכל חוץ מפלוני והוא קטן</w:t>
      </w:r>
      <w:r>
        <w:rPr>
          <w:u w:val="single"/>
          <w:rtl/>
        </w:rPr>
        <w:t>:</w:t>
      </w:r>
    </w:p>
    <w:p w14:paraId="710E0A33" w14:textId="731A883B" w:rsidR="00FA2119" w:rsidRDefault="00FA2119" w:rsidP="006A458D">
      <w:pPr>
        <w:pStyle w:val="ab"/>
        <w:numPr>
          <w:ilvl w:val="0"/>
          <w:numId w:val="95"/>
        </w:numPr>
      </w:pPr>
      <w:r>
        <w:rPr>
          <w:rFonts w:cs="Arial"/>
          <w:rtl/>
        </w:rPr>
        <w:t>טור</w:t>
      </w:r>
      <w:r w:rsidR="00A82951">
        <w:rPr>
          <w:rFonts w:cs="Arial"/>
          <w:rtl/>
        </w:rPr>
        <w:t>-</w:t>
      </w:r>
      <w:r>
        <w:rPr>
          <w:rFonts w:cs="Arial"/>
          <w:rtl/>
        </w:rPr>
        <w:t xml:space="preserve"> התירה לכל חוץ מפלוני והוא קטן </w:t>
      </w:r>
      <w:r w:rsidR="00A82951">
        <w:rPr>
          <w:rFonts w:cs="Arial"/>
          <w:rtl/>
        </w:rPr>
        <w:t>-</w:t>
      </w:r>
      <w:r>
        <w:rPr>
          <w:rFonts w:cs="Arial"/>
          <w:rtl/>
        </w:rPr>
        <w:t xml:space="preserve"> הוי שיור ואינו גט. </w:t>
      </w:r>
      <w:r w:rsidR="00E556DD">
        <w:rPr>
          <w:color w:val="E36C0A" w:themeColor="accent6" w:themeShade="BF"/>
          <w:rtl/>
        </w:rPr>
        <w:t>(וכ"</w:t>
      </w:r>
      <w:r w:rsidR="00E556DD">
        <w:rPr>
          <w:rFonts w:hint="cs"/>
          <w:color w:val="E36C0A" w:themeColor="accent6" w:themeShade="BF"/>
          <w:rtl/>
        </w:rPr>
        <w:t>ס</w:t>
      </w:r>
      <w:r w:rsidR="00E556DD">
        <w:rPr>
          <w:color w:val="E36C0A" w:themeColor="accent6" w:themeShade="BF"/>
          <w:rtl/>
        </w:rPr>
        <w:t xml:space="preserve"> בשו"ע)</w:t>
      </w:r>
    </w:p>
    <w:p w14:paraId="42AA2E27" w14:textId="772C3C6F" w:rsidR="00FA2119" w:rsidRDefault="00FA2119" w:rsidP="006A458D">
      <w:pPr>
        <w:pStyle w:val="ab"/>
        <w:numPr>
          <w:ilvl w:val="0"/>
          <w:numId w:val="95"/>
        </w:numPr>
      </w:pPr>
      <w:r>
        <w:rPr>
          <w:rFonts w:cs="Arial"/>
          <w:rtl/>
        </w:rPr>
        <w:t>ר"ח</w:t>
      </w:r>
      <w:r>
        <w:rPr>
          <w:rFonts w:cs="Arial"/>
          <w:sz w:val="16"/>
          <w:szCs w:val="16"/>
          <w:rtl/>
        </w:rPr>
        <w:t xml:space="preserve"> (כ"כ הטור בשמו)</w:t>
      </w:r>
      <w:r w:rsidR="00A82951">
        <w:rPr>
          <w:rFonts w:cs="Arial"/>
          <w:rtl/>
        </w:rPr>
        <w:t>-</w:t>
      </w:r>
      <w:r>
        <w:rPr>
          <w:rFonts w:cs="Arial"/>
          <w:rtl/>
        </w:rPr>
        <w:t xml:space="preserve"> הוי ספק מגורשת. </w:t>
      </w:r>
    </w:p>
    <w:p w14:paraId="15B9701A"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60E586F" w14:textId="073E3282" w:rsidR="00FA2119" w:rsidRDefault="00FA2119" w:rsidP="00FA2119">
      <w:pPr>
        <w:rPr>
          <w:rFonts w:cs="Arial"/>
          <w:rtl/>
        </w:rPr>
      </w:pPr>
      <w:r>
        <w:rPr>
          <w:rFonts w:cs="Arial"/>
          <w:rtl/>
        </w:rPr>
        <w:t xml:space="preserve">היה אותו פלוני שהוציא מכלל הגט בחוץ או באלו מי שאין קידושין תופסים לו בה, הרי זה גט כשר. אבל אם קדושין תופסין לו בה, אף על פי שהוא מחייבי לאוין, אינו גט. והוא הדין אם שייר קטן. ויש מי שאומר דבשייר קטן </w:t>
      </w:r>
      <w:r>
        <w:rPr>
          <w:rStyle w:val="a7"/>
          <w:rFonts w:cs="Arial"/>
          <w:sz w:val="18"/>
          <w:szCs w:val="18"/>
          <w:rtl/>
        </w:rPr>
        <w:footnoteReference w:id="1611"/>
      </w:r>
      <w:r>
        <w:rPr>
          <w:rFonts w:cs="Arial"/>
          <w:sz w:val="18"/>
          <w:szCs w:val="18"/>
          <w:rtl/>
        </w:rPr>
        <w:t>[הגה] הוי ספק מגורשת (ר"</w:t>
      </w:r>
      <w:r w:rsidR="00E556DD">
        <w:rPr>
          <w:rFonts w:cs="Arial" w:hint="cs"/>
          <w:sz w:val="18"/>
          <w:szCs w:val="18"/>
          <w:rtl/>
        </w:rPr>
        <w:t>ח</w:t>
      </w:r>
      <w:r>
        <w:rPr>
          <w:rFonts w:cs="Arial"/>
          <w:sz w:val="18"/>
          <w:szCs w:val="18"/>
          <w:rtl/>
        </w:rPr>
        <w:t>).</w:t>
      </w:r>
      <w:r>
        <w:rPr>
          <w:rFonts w:cs="Arial"/>
          <w:rtl/>
        </w:rPr>
        <w:t xml:space="preserve"> </w:t>
      </w:r>
    </w:p>
    <w:p w14:paraId="6F635CA2" w14:textId="77777777" w:rsidR="00FA2119" w:rsidRDefault="00FA2119" w:rsidP="00FA2119">
      <w:pPr>
        <w:rPr>
          <w:rtl/>
        </w:rPr>
      </w:pPr>
    </w:p>
    <w:p w14:paraId="51E5A98A" w14:textId="77777777" w:rsidR="00FA2119" w:rsidRDefault="00FA2119" w:rsidP="00FA2119">
      <w:pPr>
        <w:pStyle w:val="2"/>
        <w:rPr>
          <w:rtl/>
        </w:rPr>
      </w:pPr>
      <w:r>
        <w:rPr>
          <w:rtl/>
        </w:rPr>
        <w:t>סעיף ג: שייר בעל אחותה/מי שלא נולד/זנותיה/שלא כדרכה/שטר וביאה/הפרת נדריה/ירושתה.</w:t>
      </w:r>
    </w:p>
    <w:p w14:paraId="72A5E22E" w14:textId="72B70B80" w:rsidR="00FA2119" w:rsidRDefault="00FA2119" w:rsidP="00FA2119">
      <w:pPr>
        <w:rPr>
          <w:rtl/>
        </w:rPr>
      </w:pPr>
      <w:r>
        <w:rPr>
          <w:rFonts w:cs="Arial"/>
          <w:b/>
          <w:bCs/>
          <w:rtl/>
        </w:rPr>
        <w:t xml:space="preserve">גיטין </w:t>
      </w:r>
      <w:r>
        <w:rPr>
          <w:rFonts w:cs="Arial"/>
          <w:b/>
          <w:bCs/>
          <w:sz w:val="16"/>
          <w:szCs w:val="16"/>
          <w:rtl/>
        </w:rPr>
        <w:t>(פ' בתרא)</w:t>
      </w:r>
      <w:r>
        <w:rPr>
          <w:rFonts w:cs="Arial"/>
          <w:b/>
          <w:bCs/>
          <w:rtl/>
        </w:rPr>
        <w:t xml:space="preserve"> פה ע"א:</w:t>
      </w:r>
      <w:r>
        <w:rPr>
          <w:rFonts w:cs="Arial"/>
          <w:rtl/>
        </w:rPr>
        <w:t xml:space="preserve"> חוץ מן הנולדים, מהו? השתא מיהא לא איתיליד, או דלמא עתידי דמתיילדי? </w:t>
      </w:r>
      <w:r w:rsidRPr="00FC0E1C">
        <w:rPr>
          <w:rFonts w:cs="Arial"/>
          <w:u w:val="single"/>
          <w:rtl/>
        </w:rPr>
        <w:t>א"ל</w:t>
      </w:r>
      <w:r w:rsidR="00FC0E1C">
        <w:rPr>
          <w:rFonts w:cs="Arial" w:hint="cs"/>
          <w:rtl/>
        </w:rPr>
        <w:t>:</w:t>
      </w:r>
      <w:r>
        <w:rPr>
          <w:rFonts w:cs="Arial"/>
          <w:rtl/>
        </w:rPr>
        <w:t xml:space="preserve"> תניתוה: לעבד ולעובד כוכבים; אם איתא, עבד ועובד כוכבים נמי עבידי דמיגיירי! הנך לאו לאיגיורי קיימי, הני לאיתילודי קיימי. חוץ מבעל אחותה, מהו? השתא מיהא לא חזיא ליה, או דלמא זמנין דמתה אחותה וחזיא ליה? </w:t>
      </w:r>
      <w:r w:rsidRPr="00FC0E1C">
        <w:rPr>
          <w:rFonts w:cs="Arial"/>
          <w:u w:val="single"/>
          <w:rtl/>
        </w:rPr>
        <w:t>אמר ליה</w:t>
      </w:r>
      <w:r w:rsidR="00FC0E1C">
        <w:rPr>
          <w:rFonts w:cs="Arial" w:hint="cs"/>
          <w:rtl/>
        </w:rPr>
        <w:t>:</w:t>
      </w:r>
      <w:r>
        <w:rPr>
          <w:rFonts w:cs="Arial"/>
          <w:rtl/>
        </w:rPr>
        <w:t xml:space="preserve"> תניתוה: לעבד ולעובד כוכבים; עבד ועובד כוכבים נמי עבידי דמיגיירי! גירות לא שכיחא, מיתה שכיחא. חוץ מזנותיך, מהו? </w:t>
      </w:r>
      <w:r>
        <w:rPr>
          <w:rFonts w:cs="Arial"/>
          <w:rtl/>
        </w:rPr>
        <w:lastRenderedPageBreak/>
        <w:t xml:space="preserve">בנשואין הא לא שייר, או דלמא שייר בביאה? </w:t>
      </w:r>
      <w:r w:rsidRPr="00FC0E1C">
        <w:rPr>
          <w:rFonts w:cs="Arial"/>
          <w:u w:val="single"/>
          <w:rtl/>
        </w:rPr>
        <w:t>א"ל</w:t>
      </w:r>
      <w:r w:rsidR="00FC0E1C">
        <w:rPr>
          <w:rFonts w:cs="Arial" w:hint="cs"/>
          <w:rtl/>
        </w:rPr>
        <w:t>:</w:t>
      </w:r>
      <w:r>
        <w:rPr>
          <w:rFonts w:cs="Arial"/>
          <w:rtl/>
        </w:rPr>
        <w:t xml:space="preserve"> תניתוה: לאבא ולאביך; ובמאי? אילימא בנשואין, אבא ואביך בני נשואין נינהו? אלא לאו בזנות, ולאבא ולאביך הוא דלא שייר, הא לאחר שייר. דלמא בנשואין, דעבר ואינסיב. חוץ משלא כדרכה, מהו? בכדרכה הא לא שייר, או דלמא משכבי אשה כתיב? חוץ מהפרת נדריך, מהו? בנשואין הא לא שייר, או דלמא אישה יקימנו ואישה יפירנו כתיב? חוץ מתרומתיך, מהו? בנשואין הא לא שייר, או דלמא קנין כספו כתיב? חוץ מירושתיך, מהו? בנשואין הא לא שייר, או דלמא לשארו וירש אותה כתיב? חוץ מקידושיך בשטר, מהו? מי אמרינן: אפשר דמקדש לה בכסף ובביאה, או דלמא ויצאה והיתה, איתקוש הוויות להדדי? תיקו.</w:t>
      </w:r>
    </w:p>
    <w:p w14:paraId="60E2F0C0" w14:textId="77777777" w:rsidR="00FA2119" w:rsidRDefault="00FA2119" w:rsidP="00FA2119">
      <w:pPr>
        <w:rPr>
          <w:u w:val="single"/>
          <w:rtl/>
        </w:rPr>
      </w:pPr>
      <w:r>
        <w:rPr>
          <w:u w:val="single"/>
          <w:rtl/>
        </w:rPr>
        <w:t>שייר בעל אחותה/מי שלא נולד/זנותיה/שלא כדרכה/שטר וביאה/הפרת נדריה/ירושתה:</w:t>
      </w:r>
    </w:p>
    <w:p w14:paraId="7D3AE145" w14:textId="1E81B3F2" w:rsidR="00FA2119" w:rsidRDefault="00FA2119" w:rsidP="006A458D">
      <w:pPr>
        <w:pStyle w:val="ab"/>
        <w:numPr>
          <w:ilvl w:val="0"/>
          <w:numId w:val="95"/>
        </w:numPr>
        <w:rPr>
          <w:rtl/>
        </w:rPr>
      </w:pPr>
      <w:r>
        <w:rPr>
          <w:rFonts w:cs="Arial"/>
          <w:rtl/>
        </w:rPr>
        <w:t>טור</w:t>
      </w:r>
      <w:r w:rsidR="00A82951">
        <w:rPr>
          <w:rFonts w:cs="Arial"/>
          <w:rtl/>
        </w:rPr>
        <w:t>-</w:t>
      </w:r>
      <w:r>
        <w:rPr>
          <w:rFonts w:cs="Arial"/>
          <w:rtl/>
        </w:rPr>
        <w:t xml:space="preserve"> שייר בעל אחותה, מיבעיא אי הוי שיור, כיון שראויה לו אחרי מות אחותה. או ששייר מי שעתיד עדיין לילד. או שאמר לה חוץ מזונותיך, פירוש שתהיה מותרת להנשא, אבל בזנות תהיה באיסור אשת איש. או שתהיה מותרת לכל מי שיבא עליך כדרך כל הארץ, אבל שלא כדרך הרי את באיסור אשת איש. או שתהיה מותרת להתקדש בכסף, אבל לענין שטר וביאה תהיה באיסור אשת איש. או שאמר לה תהא מותרת לכל, אלא שישאר לי רשות עליך להפר נדריך וליורשך. בכולהו מיבעיא ולא איפשיטא </w:t>
      </w:r>
      <w:r w:rsidR="00A82951">
        <w:rPr>
          <w:rFonts w:cs="Arial"/>
          <w:rtl/>
        </w:rPr>
        <w:t>-</w:t>
      </w:r>
      <w:r>
        <w:rPr>
          <w:rFonts w:cs="Arial"/>
          <w:rtl/>
        </w:rPr>
        <w:t xml:space="preserve"> והויא ספק מקודשת.</w:t>
      </w:r>
      <w:r w:rsidR="00FC0E1C" w:rsidRPr="00FC0E1C">
        <w:rPr>
          <w:color w:val="E36C0A" w:themeColor="accent6" w:themeShade="BF"/>
          <w:rtl/>
        </w:rPr>
        <w:t xml:space="preserve"> </w:t>
      </w:r>
      <w:r w:rsidR="00FC0E1C">
        <w:rPr>
          <w:color w:val="E36C0A" w:themeColor="accent6" w:themeShade="BF"/>
          <w:rtl/>
        </w:rPr>
        <w:t>(וכ"פ בשו"ע)</w:t>
      </w:r>
      <w:r>
        <w:rPr>
          <w:rFonts w:cs="Arial"/>
          <w:rtl/>
        </w:rPr>
        <w:t xml:space="preserve"> </w:t>
      </w:r>
    </w:p>
    <w:p w14:paraId="56E10701"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1D6A3C8" w14:textId="77777777" w:rsidR="00FA2119" w:rsidRDefault="00FA2119" w:rsidP="00FA2119">
      <w:pPr>
        <w:rPr>
          <w:rtl/>
        </w:rPr>
      </w:pPr>
      <w:r>
        <w:rPr>
          <w:rFonts w:cs="Arial"/>
          <w:rtl/>
        </w:rPr>
        <w:t>שייר בעל אחותה, או ששייר מי שעתיד עדיין להוליד, או שאמר לה: חוץ מזנותיך</w:t>
      </w:r>
      <w:r>
        <w:rPr>
          <w:rStyle w:val="a7"/>
          <w:rFonts w:cs="Arial"/>
          <w:rtl/>
        </w:rPr>
        <w:footnoteReference w:id="1612"/>
      </w:r>
      <w:r>
        <w:rPr>
          <w:rFonts w:cs="Arial"/>
          <w:rtl/>
        </w:rPr>
        <w:t xml:space="preserve"> </w:t>
      </w:r>
      <w:r>
        <w:rPr>
          <w:rFonts w:cs="Arial"/>
          <w:sz w:val="18"/>
          <w:szCs w:val="18"/>
          <w:rtl/>
        </w:rPr>
        <w:t>[הגה] או חוץ משלא כדרכה (טור)</w:t>
      </w:r>
      <w:r>
        <w:rPr>
          <w:rFonts w:cs="Arial"/>
          <w:rtl/>
        </w:rPr>
        <w:t xml:space="preserve"> או חוץ משטר וביאה, או חוץ מהפרת נדריך או חוץ מירושתך, הרי זו ספק מגורשת. </w:t>
      </w:r>
    </w:p>
    <w:p w14:paraId="7255F124" w14:textId="77777777" w:rsidR="00FA2119" w:rsidRDefault="00FA2119" w:rsidP="00FA2119">
      <w:pPr>
        <w:rPr>
          <w:rtl/>
        </w:rPr>
      </w:pPr>
    </w:p>
    <w:p w14:paraId="6610E8D6" w14:textId="77777777" w:rsidR="00FA2119" w:rsidRDefault="00FA2119" w:rsidP="00FA2119">
      <w:pPr>
        <w:pStyle w:val="2"/>
        <w:rPr>
          <w:rtl/>
        </w:rPr>
      </w:pPr>
      <w:r>
        <w:rPr>
          <w:rtl/>
        </w:rPr>
        <w:t>סעיף ד: אמר לה 'הרי את מותרת לכל אדם חוץ מראובן ושמעון', וחזר והתיר לה.</w:t>
      </w:r>
    </w:p>
    <w:p w14:paraId="31C15633" w14:textId="564BDCEA" w:rsidR="00FA2119" w:rsidRDefault="00FA2119" w:rsidP="00FA2119">
      <w:pPr>
        <w:rPr>
          <w:rtl/>
        </w:rPr>
      </w:pPr>
      <w:r>
        <w:rPr>
          <w:rFonts w:cs="Arial"/>
          <w:b/>
          <w:bCs/>
          <w:rtl/>
        </w:rPr>
        <w:t xml:space="preserve">גיטין </w:t>
      </w:r>
      <w:r>
        <w:rPr>
          <w:rFonts w:cs="Arial"/>
          <w:b/>
          <w:bCs/>
          <w:sz w:val="16"/>
          <w:szCs w:val="16"/>
          <w:rtl/>
        </w:rPr>
        <w:t>(ר"פ המגרש)</w:t>
      </w:r>
      <w:r>
        <w:rPr>
          <w:rFonts w:cs="Arial"/>
          <w:b/>
          <w:bCs/>
          <w:rtl/>
        </w:rPr>
        <w:t xml:space="preserve"> פב ע"ב:</w:t>
      </w:r>
      <w:r>
        <w:rPr>
          <w:rFonts w:cs="Arial"/>
          <w:rtl/>
        </w:rPr>
        <w:t xml:space="preserve"> </w:t>
      </w:r>
      <w:r>
        <w:rPr>
          <w:rFonts w:cs="Arial"/>
          <w:u w:val="single"/>
          <w:rtl/>
        </w:rPr>
        <w:t>בעי אביי</w:t>
      </w:r>
      <w:r>
        <w:rPr>
          <w:rFonts w:cs="Arial"/>
          <w:rtl/>
        </w:rPr>
        <w:t>: אמר לה הרי את מותרת לכל אדם חוץ מראובן ושמעון, וחזר ואמר לה לראובן ושמעון, מהו? מי אמרינן מאי דאסר שרא</w:t>
      </w:r>
      <w:r>
        <w:rPr>
          <w:rStyle w:val="a7"/>
          <w:rFonts w:cs="Arial"/>
          <w:rtl/>
        </w:rPr>
        <w:footnoteReference w:id="1613"/>
      </w:r>
      <w:r>
        <w:rPr>
          <w:rFonts w:cs="Arial"/>
          <w:rtl/>
        </w:rPr>
        <w:t>, או דלמא</w:t>
      </w:r>
      <w:r>
        <w:rPr>
          <w:rStyle w:val="a7"/>
          <w:rFonts w:cs="Arial"/>
          <w:rtl/>
        </w:rPr>
        <w:footnoteReference w:id="1614"/>
      </w:r>
      <w:r>
        <w:rPr>
          <w:rFonts w:cs="Arial"/>
          <w:rtl/>
        </w:rPr>
        <w:t xml:space="preserve"> מאי דאסר שרא ומאי דשרא אסר? אם תמצא לומר </w:t>
      </w:r>
      <w:r>
        <w:rPr>
          <w:rFonts w:cs="Arial"/>
          <w:sz w:val="14"/>
          <w:szCs w:val="14"/>
          <w:rtl/>
        </w:rPr>
        <w:t xml:space="preserve">(פג.) </w:t>
      </w:r>
      <w:r>
        <w:rPr>
          <w:rFonts w:cs="Arial"/>
          <w:rtl/>
        </w:rPr>
        <w:t xml:space="preserve">מאי דאסר שרא, לראובן מהו? לראובן והוא הדין לשמעון, והאי דקאמר לראובן </w:t>
      </w:r>
      <w:r w:rsidR="00A82951">
        <w:rPr>
          <w:rFonts w:cs="Arial"/>
          <w:rtl/>
        </w:rPr>
        <w:t>-</w:t>
      </w:r>
      <w:r>
        <w:rPr>
          <w:rFonts w:cs="Arial"/>
          <w:rtl/>
        </w:rPr>
        <w:t xml:space="preserve"> משום דפתח ביה, או דלמא לראובן דוקא? ואם תמצא לומר לראובן דוקא, לשמעון מהו? לשמעון וה"ה לראובן, והאי דקאמר שמעון </w:t>
      </w:r>
      <w:r w:rsidR="00A82951">
        <w:rPr>
          <w:rFonts w:cs="Arial"/>
          <w:rtl/>
        </w:rPr>
        <w:t>-</w:t>
      </w:r>
      <w:r>
        <w:rPr>
          <w:rFonts w:cs="Arial"/>
          <w:rtl/>
        </w:rPr>
        <w:t xml:space="preserve"> משום דסליק מיניה, או דלמא לשמעון דוקא? </w:t>
      </w:r>
      <w:r>
        <w:rPr>
          <w:rFonts w:cs="Arial"/>
          <w:u w:val="single"/>
          <w:rtl/>
        </w:rPr>
        <w:t>בעי רב אשי</w:t>
      </w:r>
      <w:r>
        <w:rPr>
          <w:rFonts w:cs="Arial"/>
          <w:rtl/>
        </w:rPr>
        <w:t>: אף לשמעון, מהו</w:t>
      </w:r>
      <w:r>
        <w:rPr>
          <w:rStyle w:val="a7"/>
          <w:rFonts w:cs="Arial"/>
          <w:rtl/>
        </w:rPr>
        <w:footnoteReference w:id="1615"/>
      </w:r>
      <w:r>
        <w:rPr>
          <w:rFonts w:cs="Arial"/>
          <w:rtl/>
        </w:rPr>
        <w:t>? אף, אראובן קאי, או דלמא אף, אעלמא קאי? תיקו.</w:t>
      </w:r>
      <w:r>
        <w:rPr>
          <w:rFonts w:cs="Arial"/>
          <w:sz w:val="16"/>
          <w:szCs w:val="16"/>
          <w:rtl/>
        </w:rPr>
        <w:t xml:space="preserve"> (וכתב הר"ן (מג: סוד"ה גרסינן בגמרא)</w:t>
      </w:r>
      <w:r w:rsidR="00FC0E1C">
        <w:rPr>
          <w:rFonts w:cs="Arial" w:hint="cs"/>
          <w:sz w:val="16"/>
          <w:szCs w:val="16"/>
          <w:rtl/>
        </w:rPr>
        <w:t>:</w:t>
      </w:r>
      <w:r>
        <w:rPr>
          <w:rFonts w:cs="Arial"/>
          <w:sz w:val="16"/>
          <w:szCs w:val="16"/>
          <w:rtl/>
        </w:rPr>
        <w:t xml:space="preserve"> ויש מי שאומר (הראב"ד בהשגות לרי"ף מג. ד"ה הניח) דנקיטינן בכל הני בעיי לחומרא ככל תיקו דאיסורא. אבל הרמב"ם ז"ל פוסק בפ"ח (ה"ז</w:t>
      </w:r>
      <w:r w:rsidR="00A82951">
        <w:rPr>
          <w:rFonts w:cs="Arial"/>
          <w:sz w:val="16"/>
          <w:szCs w:val="16"/>
          <w:rtl/>
        </w:rPr>
        <w:t>-</w:t>
      </w:r>
      <w:r>
        <w:rPr>
          <w:rFonts w:cs="Arial"/>
          <w:sz w:val="16"/>
          <w:szCs w:val="16"/>
          <w:rtl/>
        </w:rPr>
        <w:t>ח) דמאי דאיתמר ביה אם תימצי לומר כאילו איפשיט בהדיא, וכן דרכו בכל מקום, ובתרי בעיי בתראי פוסק שהיא ספק מגורשת. וכתבו התוספות (פג. ד"ה אף) דכי היכי דמיבעיא לרב אשי באומר אף לשמעון</w:t>
      </w:r>
      <w:r w:rsidR="00CD0917">
        <w:rPr>
          <w:rFonts w:cs="Arial" w:hint="cs"/>
          <w:sz w:val="16"/>
          <w:szCs w:val="16"/>
          <w:rtl/>
        </w:rPr>
        <w:t>,</w:t>
      </w:r>
      <w:r>
        <w:rPr>
          <w:rFonts w:cs="Arial"/>
          <w:sz w:val="16"/>
          <w:szCs w:val="16"/>
          <w:rtl/>
        </w:rPr>
        <w:t xml:space="preserve"> הכי נמי מיבעיא ליה באומר אף לראובן ולא הזכיר שמעון, ב"י)</w:t>
      </w:r>
    </w:p>
    <w:p w14:paraId="6114B10D" w14:textId="77777777" w:rsidR="00FA2119" w:rsidRDefault="00FA2119" w:rsidP="00FA2119">
      <w:pPr>
        <w:rPr>
          <w:u w:val="single"/>
          <w:rtl/>
        </w:rPr>
      </w:pPr>
      <w:r>
        <w:rPr>
          <w:u w:val="single"/>
          <w:rtl/>
        </w:rPr>
        <w:t>אמר לה 'הרי את מותרת לכל אדם חוץ מראובן ושמעון', וחזר והתיר לה:</w:t>
      </w:r>
    </w:p>
    <w:p w14:paraId="71D92759" w14:textId="5AFFBFCF" w:rsidR="00FA2119" w:rsidRDefault="00FA2119" w:rsidP="006A458D">
      <w:pPr>
        <w:pStyle w:val="ab"/>
        <w:numPr>
          <w:ilvl w:val="0"/>
          <w:numId w:val="95"/>
        </w:numPr>
        <w:rPr>
          <w:rtl/>
        </w:rPr>
      </w:pPr>
      <w:r>
        <w:rPr>
          <w:rFonts w:cs="Arial"/>
          <w:rtl/>
        </w:rPr>
        <w:t>טור</w:t>
      </w:r>
      <w:r w:rsidR="00A82951">
        <w:rPr>
          <w:rFonts w:cs="Arial"/>
          <w:rtl/>
        </w:rPr>
        <w:t>-</w:t>
      </w:r>
      <w:r>
        <w:rPr>
          <w:rFonts w:cs="Arial"/>
          <w:rtl/>
        </w:rPr>
        <w:t xml:space="preserve"> אמר לה 'הרי את מותרת לכל אדם חוץ מראובן ושמעון', וחזר ואמר לה בשעה שמסר לה הגט 'לראובן ושמעון' </w:t>
      </w:r>
      <w:r w:rsidR="00A82951">
        <w:rPr>
          <w:rFonts w:cs="Arial"/>
          <w:rtl/>
        </w:rPr>
        <w:t>-</w:t>
      </w:r>
      <w:r>
        <w:rPr>
          <w:rFonts w:cs="Arial"/>
          <w:rtl/>
        </w:rPr>
        <w:t xml:space="preserve"> מיבעיא אם נאמר שחזר ממה ששייר ומתירה אף לראובן ושמעון, או נאמר שלא רצה להתירה אלא לראובן ושמעון. או אם חזר ואמר בשעת מסירה 'לראובן' ולא הזכיר 'שמעון', או 'לשמעון' ולא הזכיר 'ראובן', או אם אמר 'אף לשמעון' </w:t>
      </w:r>
      <w:r w:rsidR="00A82951">
        <w:rPr>
          <w:rFonts w:cs="Arial"/>
          <w:rtl/>
        </w:rPr>
        <w:t>-</w:t>
      </w:r>
      <w:r>
        <w:rPr>
          <w:rFonts w:cs="Arial"/>
          <w:rtl/>
        </w:rPr>
        <w:t xml:space="preserve"> בכולהו מיבעיא אי הוי שיור ולא איפשיטא והויא ספק מגורשת.</w:t>
      </w:r>
      <w:r>
        <w:rPr>
          <w:rFonts w:cs="Arial"/>
          <w:color w:val="E36C0A" w:themeColor="accent6" w:themeShade="BF"/>
          <w:rtl/>
        </w:rPr>
        <w:t xml:space="preserve"> </w:t>
      </w:r>
      <w:r>
        <w:rPr>
          <w:color w:val="E36C0A" w:themeColor="accent6" w:themeShade="BF"/>
          <w:rtl/>
        </w:rPr>
        <w:t>(וכ"פ בשו"ע)</w:t>
      </w:r>
    </w:p>
    <w:p w14:paraId="32C76331" w14:textId="05305741" w:rsidR="00FA2119" w:rsidRDefault="00FA2119" w:rsidP="006A458D">
      <w:pPr>
        <w:pStyle w:val="ab"/>
        <w:numPr>
          <w:ilvl w:val="0"/>
          <w:numId w:val="95"/>
        </w:numPr>
      </w:pPr>
      <w:r>
        <w:rPr>
          <w:rFonts w:cs="Arial"/>
          <w:rtl/>
        </w:rPr>
        <w:t xml:space="preserve">רמב"ם </w:t>
      </w:r>
      <w:r>
        <w:rPr>
          <w:rFonts w:cs="Arial"/>
          <w:sz w:val="16"/>
          <w:szCs w:val="16"/>
          <w:rtl/>
        </w:rPr>
        <w:t>(פ"ח ה"ז</w:t>
      </w:r>
      <w:r w:rsidR="00A82951">
        <w:rPr>
          <w:rFonts w:cs="Arial"/>
          <w:sz w:val="16"/>
          <w:szCs w:val="16"/>
          <w:rtl/>
        </w:rPr>
        <w:t>-</w:t>
      </w:r>
      <w:r>
        <w:rPr>
          <w:rFonts w:cs="Arial"/>
          <w:sz w:val="16"/>
          <w:szCs w:val="16"/>
          <w:rtl/>
        </w:rPr>
        <w:t>ח)</w:t>
      </w:r>
      <w:r w:rsidR="00A82951">
        <w:rPr>
          <w:rFonts w:cs="Arial"/>
          <w:rtl/>
        </w:rPr>
        <w:t>-</w:t>
      </w:r>
      <w:r>
        <w:rPr>
          <w:rFonts w:cs="Arial"/>
          <w:rtl/>
        </w:rPr>
        <w:t xml:space="preserve"> אמר לה 'הרי את מותרת לכל אדם חוץ מראובן ושמעון', וחזר ואמר לה 'הרי את מותרת לראובן ושמעון' </w:t>
      </w:r>
      <w:r w:rsidR="00A82951">
        <w:rPr>
          <w:rFonts w:cs="Arial"/>
          <w:rtl/>
        </w:rPr>
        <w:t>-</w:t>
      </w:r>
      <w:r>
        <w:rPr>
          <w:rFonts w:cs="Arial"/>
          <w:rtl/>
        </w:rPr>
        <w:t xml:space="preserve"> הרי זו מגורשת</w:t>
      </w:r>
      <w:r>
        <w:rPr>
          <w:rStyle w:val="a7"/>
          <w:rFonts w:cs="Arial"/>
          <w:rtl/>
        </w:rPr>
        <w:footnoteReference w:id="1616"/>
      </w:r>
      <w:r>
        <w:rPr>
          <w:rFonts w:cs="Arial"/>
          <w:rtl/>
        </w:rPr>
        <w:t xml:space="preserve">, שהאנשים שהתנה בהן הרי התירן ובטל התנאי. אמר לה 'הרי את מותרת לראובן' </w:t>
      </w:r>
      <w:r w:rsidR="00A82951">
        <w:rPr>
          <w:rFonts w:cs="Arial"/>
          <w:rtl/>
        </w:rPr>
        <w:t>-</w:t>
      </w:r>
      <w:r>
        <w:rPr>
          <w:rFonts w:cs="Arial"/>
          <w:rtl/>
        </w:rPr>
        <w:t xml:space="preserve"> הרי זו אינה מגורשת, שהרי לא בטל תנאו של שמעון. אמר לה 'הרי את מותרת לשמעון', </w:t>
      </w:r>
      <w:r>
        <w:rPr>
          <w:rFonts w:cs="Arial"/>
          <w:rtl/>
        </w:rPr>
        <w:lastRenderedPageBreak/>
        <w:t xml:space="preserve">או שאמר לה 'הרי את מותרת אף לשמעון' </w:t>
      </w:r>
      <w:r w:rsidR="00A82951">
        <w:rPr>
          <w:rFonts w:cs="Arial"/>
          <w:rtl/>
        </w:rPr>
        <w:t>-</w:t>
      </w:r>
      <w:r>
        <w:rPr>
          <w:rFonts w:cs="Arial"/>
          <w:rtl/>
        </w:rPr>
        <w:t xml:space="preserve"> הרי זה ספק גירושין, שמא לא התירה אלא לשמעון, וראובן באיסורו עומד, וזה שאמר 'אף לשמעון' כלומר לכל אדם אף לשמעון, או שמא התירה לכל וזה שאמר אף לשמעון והוא הדין לראובן, ששמעון סמוך היה לראובן בתנאו.</w:t>
      </w:r>
    </w:p>
    <w:p w14:paraId="26350AF8"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BF2A076" w14:textId="77777777" w:rsidR="00FA2119" w:rsidRDefault="00FA2119" w:rsidP="00FA2119">
      <w:pPr>
        <w:rPr>
          <w:rtl/>
        </w:rPr>
      </w:pPr>
      <w:r>
        <w:rPr>
          <w:rFonts w:cs="Arial"/>
          <w:rtl/>
        </w:rPr>
        <w:t xml:space="preserve">אמר לה: הרי את מותרת לכל אדם חוץ מראובן ושמעון, וחזר ואמר לה בשעה שמסר לה הגט: הרי את מותרת לראובן ושמעון, או שאמר: הרי את מותרת לראובן, או שאמר: הרי את מותרת לשמעון, או שאמר אף לשמעון, הרי זו ספק מגורשת. </w:t>
      </w:r>
    </w:p>
    <w:p w14:paraId="0602BCF1" w14:textId="77777777" w:rsidR="00FA2119" w:rsidRDefault="00FA2119" w:rsidP="00FA2119">
      <w:pPr>
        <w:rPr>
          <w:rtl/>
        </w:rPr>
      </w:pPr>
    </w:p>
    <w:p w14:paraId="32171682" w14:textId="77777777" w:rsidR="00FA2119" w:rsidRDefault="00FA2119" w:rsidP="00FA2119">
      <w:pPr>
        <w:pStyle w:val="2"/>
        <w:rPr>
          <w:rtl/>
        </w:rPr>
      </w:pPr>
      <w:r>
        <w:rPr>
          <w:rtl/>
        </w:rPr>
        <w:t>סעיף ה: אמר לה 'הרי את מגורשת ממני היום, ולמחר את אשתי'.</w:t>
      </w:r>
    </w:p>
    <w:p w14:paraId="3AC75278" w14:textId="7D725406" w:rsidR="00FA2119" w:rsidRDefault="00FA2119" w:rsidP="00FA2119">
      <w:pPr>
        <w:rPr>
          <w:rtl/>
        </w:rPr>
      </w:pPr>
      <w:r>
        <w:rPr>
          <w:rFonts w:cs="Arial"/>
          <w:b/>
          <w:bCs/>
          <w:rtl/>
        </w:rPr>
        <w:t xml:space="preserve">גיטין </w:t>
      </w:r>
      <w:r>
        <w:rPr>
          <w:rFonts w:cs="Arial"/>
          <w:b/>
          <w:bCs/>
          <w:sz w:val="16"/>
          <w:szCs w:val="16"/>
          <w:rtl/>
        </w:rPr>
        <w:t>(ר"פ המגרש)</w:t>
      </w:r>
      <w:r>
        <w:rPr>
          <w:rFonts w:cs="Arial"/>
          <w:b/>
          <w:bCs/>
          <w:rtl/>
        </w:rPr>
        <w:t xml:space="preserve"> פג ע"ב:</w:t>
      </w:r>
      <w:r>
        <w:rPr>
          <w:rFonts w:cs="Arial"/>
          <w:rtl/>
        </w:rPr>
        <w:t xml:space="preserve"> </w:t>
      </w:r>
      <w:r>
        <w:rPr>
          <w:rFonts w:cs="Arial"/>
          <w:u w:val="single"/>
          <w:rtl/>
        </w:rPr>
        <w:t>בעא מיניה רבא מרב נחמן</w:t>
      </w:r>
      <w:r>
        <w:rPr>
          <w:rFonts w:cs="Arial"/>
          <w:rtl/>
        </w:rPr>
        <w:t xml:space="preserve">: היום אי את אשתי ולמחר את אשתי, מהו? תיבעי לר' אליעזר, תיבעי לרבנן; תיבעי לרבי אליעזר, עד כאן לא קאמר רבי אליעזר התם </w:t>
      </w:r>
      <w:r w:rsidR="00A82951">
        <w:rPr>
          <w:rFonts w:cs="Arial"/>
          <w:rtl/>
        </w:rPr>
        <w:t>-</w:t>
      </w:r>
      <w:r>
        <w:rPr>
          <w:rFonts w:cs="Arial"/>
          <w:rtl/>
        </w:rPr>
        <w:t xml:space="preserve"> אלא דלמאן דקא שרי קא שרי לעולם, אבל הכא לא, או דלמא לא שנא? תיבעי לרבנן, עד כאן לא קאמרי רבנן התם </w:t>
      </w:r>
      <w:r w:rsidR="00A82951">
        <w:rPr>
          <w:rFonts w:cs="Arial"/>
          <w:rtl/>
        </w:rPr>
        <w:t>-</w:t>
      </w:r>
      <w:r>
        <w:rPr>
          <w:rFonts w:cs="Arial"/>
          <w:rtl/>
        </w:rPr>
        <w:t xml:space="preserve"> אלא דלא פסקה מיניה לגמרי, אבל הכא כיון דפסקה </w:t>
      </w:r>
      <w:r w:rsidR="00A82951">
        <w:rPr>
          <w:rFonts w:cs="Arial"/>
          <w:rtl/>
        </w:rPr>
        <w:t>-</w:t>
      </w:r>
      <w:r>
        <w:rPr>
          <w:rFonts w:cs="Arial"/>
          <w:rtl/>
        </w:rPr>
        <w:t xml:space="preserve"> פסקה? בתר דבעיא הדר פשטה:</w:t>
      </w:r>
      <w:r>
        <w:rPr>
          <w:rFonts w:cs="Arial"/>
          <w:sz w:val="14"/>
          <w:szCs w:val="14"/>
          <w:rtl/>
        </w:rPr>
        <w:t xml:space="preserve"> (פד.) </w:t>
      </w:r>
      <w:r>
        <w:rPr>
          <w:rFonts w:cs="Arial"/>
          <w:rtl/>
        </w:rPr>
        <w:t xml:space="preserve">מסתברא, בין לרבי אליעזר בין לרבנן, כיון דפסקה </w:t>
      </w:r>
      <w:r w:rsidR="00A82951">
        <w:rPr>
          <w:rFonts w:cs="Arial"/>
          <w:rtl/>
        </w:rPr>
        <w:t>-</w:t>
      </w:r>
      <w:r>
        <w:rPr>
          <w:rFonts w:cs="Arial"/>
          <w:rtl/>
        </w:rPr>
        <w:t xml:space="preserve"> פסקה.</w:t>
      </w:r>
      <w:r>
        <w:rPr>
          <w:rtl/>
        </w:rPr>
        <w:t>..</w:t>
      </w:r>
      <w:r>
        <w:rPr>
          <w:sz w:val="14"/>
          <w:szCs w:val="14"/>
          <w:rtl/>
        </w:rPr>
        <w:t xml:space="preserve"> (פה:)</w:t>
      </w:r>
      <w:r>
        <w:rPr>
          <w:rtl/>
        </w:rPr>
        <w:t xml:space="preserve"> </w:t>
      </w:r>
      <w:r>
        <w:rPr>
          <w:rFonts w:cs="Arial"/>
          <w:rtl/>
        </w:rPr>
        <w:t xml:space="preserve">תא שמע, דאתקין רבא בגיטי: איך פלניא בר פלניא פטר ותריך ית פלוניתא אינתתיה דהות אינתתיה מן קדם דנא מיומא דנן ולעלם... מיומא דנן </w:t>
      </w:r>
      <w:r w:rsidR="00A82951">
        <w:rPr>
          <w:rFonts w:cs="Arial"/>
          <w:rtl/>
        </w:rPr>
        <w:t>-</w:t>
      </w:r>
      <w:r>
        <w:rPr>
          <w:rFonts w:cs="Arial"/>
          <w:rtl/>
        </w:rPr>
        <w:t xml:space="preserve"> לאפוקי מדרבי יוסי, דאמר: זמנו של שטר מוכיח עליו. ולעלם </w:t>
      </w:r>
      <w:r w:rsidR="00A82951">
        <w:rPr>
          <w:rFonts w:cs="Arial"/>
          <w:rtl/>
        </w:rPr>
        <w:t>-</w:t>
      </w:r>
      <w:r>
        <w:rPr>
          <w:rtl/>
        </w:rPr>
        <w:t xml:space="preserve"> </w:t>
      </w:r>
      <w:r>
        <w:rPr>
          <w:sz w:val="14"/>
          <w:szCs w:val="14"/>
          <w:rtl/>
        </w:rPr>
        <w:t>(פו.)</w:t>
      </w:r>
      <w:r>
        <w:rPr>
          <w:rFonts w:cs="Arial"/>
          <w:rtl/>
        </w:rPr>
        <w:t>לאפוקי מדבעא מיניה רבא מרב נחמן, דאמר היום אי את אשתי ולמחר את אשתי.</w:t>
      </w:r>
      <w:r>
        <w:rPr>
          <w:rFonts w:cs="Arial"/>
          <w:sz w:val="16"/>
          <w:szCs w:val="16"/>
          <w:rtl/>
        </w:rPr>
        <w:t xml:space="preserve"> (הא ד</w:t>
      </w:r>
      <w:r w:rsidR="00A82951">
        <w:rPr>
          <w:rFonts w:cs="Arial"/>
          <w:sz w:val="16"/>
          <w:szCs w:val="16"/>
          <w:rtl/>
        </w:rPr>
        <w:t>-</w:t>
      </w:r>
      <w:r>
        <w:rPr>
          <w:rFonts w:cs="Arial"/>
          <w:sz w:val="16"/>
          <w:szCs w:val="16"/>
          <w:rtl/>
        </w:rPr>
        <w:t>'מסתברא כיון דפסקה פסקה' פירושו</w:t>
      </w:r>
      <w:r w:rsidR="00B33005">
        <w:rPr>
          <w:rFonts w:cs="Arial" w:hint="cs"/>
          <w:sz w:val="16"/>
          <w:szCs w:val="16"/>
          <w:rtl/>
        </w:rPr>
        <w:t>:</w:t>
      </w:r>
      <w:r>
        <w:rPr>
          <w:rFonts w:cs="Arial"/>
          <w:sz w:val="16"/>
          <w:szCs w:val="16"/>
          <w:rtl/>
        </w:rPr>
        <w:t xml:space="preserve"> כיון דפסקה מיניה היום לגמרי אצל כל אדם </w:t>
      </w:r>
      <w:r w:rsidR="00A82951">
        <w:rPr>
          <w:rFonts w:cs="Arial"/>
          <w:sz w:val="16"/>
          <w:szCs w:val="16"/>
          <w:rtl/>
        </w:rPr>
        <w:t>-</w:t>
      </w:r>
      <w:r>
        <w:rPr>
          <w:rFonts w:cs="Arial"/>
          <w:sz w:val="16"/>
          <w:szCs w:val="16"/>
          <w:rtl/>
        </w:rPr>
        <w:t xml:space="preserve"> פסקה לעולם ושוב אינה אשתו עד שיחזור ויקדשנה, הילכך אין תנאי זה כלום. והרא"ש (סי' ב) כתב בעיא ופשיטותא דידה. אבל הרי"ף השמיטה, והרמב"ם כתב בהדיא בפ"ח (ה"ט) שאינה מגורשת. וכתבו הר"ן (מד. ד"ה גרסי' בגמ' בעא) והה"מ שדחאוה מדאמרינן בפרק הנזכר (סוף פה:) גמרא גופו של גט הרי את מותרת לכל אדם אתקין רב בגיטי מן יומא דנן ולעלם לאפוקי מדבעא רבא מרב נחמן, והם מפרשים לאפוקי מדבעא מיניה וכו' לומר שאין אומרים כיון דפסקא פסקא, אלא שאינה מגורשת כל זמן שאמר לה בפירוש ולמחר את אשתי. הילכך מן התקנה צריך לומר ולעלם, ומיהו מדינא סְתַמוֹ כמפרש לעלם דמי. ודעת רש"י כדעת הרא"ש דקיימא לן כפשיטותא דרב נחמן שכתב (פו. ד"ה לאפוקי) דאע"ג דפשטינן כיון דפסקא פסקא אפילו הכי תיקן דלא נעביד הכי שלא להוציא לעז על הגט. וכן דעת הרשב"א (פג: סוד"ה תיבעי) שכתב ו</w:t>
      </w:r>
      <w:r w:rsidR="00B33005">
        <w:rPr>
          <w:rFonts w:cs="Arial" w:hint="cs"/>
          <w:sz w:val="16"/>
          <w:szCs w:val="16"/>
          <w:rtl/>
        </w:rPr>
        <w:t>ז"ל:</w:t>
      </w:r>
      <w:r>
        <w:rPr>
          <w:rFonts w:cs="Arial"/>
          <w:sz w:val="16"/>
          <w:szCs w:val="16"/>
          <w:rtl/>
        </w:rPr>
        <w:t xml:space="preserve"> ואפשר לפרש נמי דהא דאמרינן אתקין רב בגיטין מן יומא דנן ולעלם לאפוקי מדבעא רבא מרב נחמן, כלומר לכך הוצרך לתקן כך כדי שלא יוציאו לעז על הגט לומר שאינה מגורשת אלא ליום אחד, ומיהו קיי</w:t>
      </w:r>
      <w:r w:rsidR="00B33005">
        <w:rPr>
          <w:rFonts w:cs="Arial" w:hint="cs"/>
          <w:sz w:val="16"/>
          <w:szCs w:val="16"/>
          <w:rtl/>
        </w:rPr>
        <w:t>"</w:t>
      </w:r>
      <w:r>
        <w:rPr>
          <w:rFonts w:cs="Arial"/>
          <w:sz w:val="16"/>
          <w:szCs w:val="16"/>
          <w:rtl/>
        </w:rPr>
        <w:t>ל כרב נחמן דכיון דפסקא פסקא, ובמקום יבם חולצת ולא מתייבמת. ואפשר נמי דאפילו אם נישאת לא תצא, דמשום גזירה לא מפקינן לה כדאמרינן בסמוך, והרמב"ם שכתב דאינה מגורשת כלל לא נראו דבריו עכ"ל. והר"ן כתב ג"כ שאינו מחוור דעת הרי"ף והרמב"ם, דמידי ספק מגורשת מיהא לא נפקא, דאי בעיין לא מיפשטא לרב דתקין ולעלם לאפוקי מדבעא מיניה רבא מרב נחמן שפיר שייך למימר לאפוקי. גם הרב המגיד כתב ויש מי שפסק שהיא ספק מגורשת וכן ראוי להחמיר בכל דבר שבערוה עכ"ל)</w:t>
      </w:r>
    </w:p>
    <w:p w14:paraId="0BB385E3" w14:textId="77777777" w:rsidR="00FA2119" w:rsidRDefault="00FA2119" w:rsidP="00FA2119">
      <w:pPr>
        <w:rPr>
          <w:u w:val="single"/>
          <w:rtl/>
        </w:rPr>
      </w:pPr>
      <w:r>
        <w:rPr>
          <w:u w:val="single"/>
          <w:rtl/>
        </w:rPr>
        <w:t>אמר לה 'הרי את מגורשת ממני היום, ולמחר את אשתי':</w:t>
      </w:r>
    </w:p>
    <w:p w14:paraId="0124031A" w14:textId="18123688" w:rsidR="00FA2119" w:rsidRDefault="00FA2119" w:rsidP="006A458D">
      <w:pPr>
        <w:pStyle w:val="ab"/>
        <w:numPr>
          <w:ilvl w:val="0"/>
          <w:numId w:val="95"/>
        </w:numPr>
        <w:rPr>
          <w:rtl/>
        </w:rPr>
      </w:pPr>
      <w:r>
        <w:rPr>
          <w:rFonts w:cs="Arial"/>
          <w:rtl/>
        </w:rPr>
        <w:t xml:space="preserve">רש"י </w:t>
      </w:r>
      <w:r>
        <w:rPr>
          <w:rFonts w:cs="Arial"/>
          <w:sz w:val="16"/>
          <w:szCs w:val="16"/>
          <w:rtl/>
        </w:rPr>
        <w:t xml:space="preserve">(פו. ד"ה לאפוקי) </w:t>
      </w:r>
      <w:r>
        <w:rPr>
          <w:rFonts w:cs="Arial"/>
          <w:rtl/>
        </w:rPr>
        <w:t>ורא"ש</w:t>
      </w:r>
      <w:r>
        <w:rPr>
          <w:rFonts w:cs="Arial"/>
          <w:sz w:val="16"/>
          <w:szCs w:val="16"/>
          <w:rtl/>
        </w:rPr>
        <w:t xml:space="preserve"> (סי' ב, כ"כ הטור בשמו)</w:t>
      </w:r>
      <w:r w:rsidR="00A82951">
        <w:rPr>
          <w:rFonts w:cs="Arial"/>
          <w:rtl/>
        </w:rPr>
        <w:t>-</w:t>
      </w:r>
      <w:r>
        <w:rPr>
          <w:rFonts w:cs="Arial"/>
          <w:rtl/>
        </w:rPr>
        <w:t xml:space="preserve"> אמר לה 'הרי זה גיטך והרי את מגורשת ממני היום ולמחר את אשתי' </w:t>
      </w:r>
      <w:r w:rsidR="00A82951">
        <w:rPr>
          <w:rFonts w:cs="Arial"/>
          <w:rtl/>
        </w:rPr>
        <w:t>-</w:t>
      </w:r>
      <w:r>
        <w:rPr>
          <w:rFonts w:cs="Arial"/>
          <w:rtl/>
        </w:rPr>
        <w:t xml:space="preserve"> מגורשת</w:t>
      </w:r>
      <w:r>
        <w:rPr>
          <w:rFonts w:cs="Arial"/>
          <w:sz w:val="16"/>
          <w:szCs w:val="16"/>
          <w:rtl/>
        </w:rPr>
        <w:t xml:space="preserve"> (ל' הטור בשם הרא"ש)</w:t>
      </w:r>
      <w:r>
        <w:rPr>
          <w:rFonts w:cs="Arial"/>
          <w:rtl/>
        </w:rPr>
        <w:t xml:space="preserve">. </w:t>
      </w:r>
    </w:p>
    <w:p w14:paraId="5D97A14F" w14:textId="79BEB5C1" w:rsidR="00FA2119" w:rsidRDefault="00FA2119" w:rsidP="006A458D">
      <w:pPr>
        <w:pStyle w:val="ab"/>
        <w:numPr>
          <w:ilvl w:val="0"/>
          <w:numId w:val="95"/>
        </w:numPr>
      </w:pPr>
      <w:r>
        <w:rPr>
          <w:rFonts w:cs="Arial"/>
          <w:rtl/>
        </w:rPr>
        <w:t xml:space="preserve">רמב"ם </w:t>
      </w:r>
      <w:r>
        <w:rPr>
          <w:rFonts w:cs="Arial"/>
          <w:sz w:val="16"/>
          <w:szCs w:val="16"/>
          <w:rtl/>
        </w:rPr>
        <w:t>(פ"ח ה"ט)</w:t>
      </w:r>
      <w:r w:rsidR="00A82951">
        <w:rPr>
          <w:rFonts w:cs="Arial"/>
          <w:rtl/>
        </w:rPr>
        <w:t>-</w:t>
      </w:r>
      <w:r>
        <w:rPr>
          <w:rFonts w:cs="Arial"/>
          <w:rtl/>
        </w:rPr>
        <w:t xml:space="preserve"> התנה עליה ואמר 'היום אין את אשתי ולמחר את אשתי' </w:t>
      </w:r>
      <w:r w:rsidR="00A82951">
        <w:rPr>
          <w:rFonts w:cs="Arial"/>
          <w:rtl/>
        </w:rPr>
        <w:t>-</w:t>
      </w:r>
      <w:r>
        <w:rPr>
          <w:rFonts w:cs="Arial"/>
          <w:rtl/>
        </w:rPr>
        <w:t xml:space="preserve"> אינה מגורשת, ואף על פי שכרת בינו לבינה היום. לפיכך כותבין בגיטין מן היום הזה ולעולם.</w:t>
      </w:r>
    </w:p>
    <w:p w14:paraId="1D143BA1" w14:textId="1EE9D77D" w:rsidR="00FA2119" w:rsidRDefault="00FA2119" w:rsidP="006A458D">
      <w:pPr>
        <w:pStyle w:val="ab"/>
        <w:numPr>
          <w:ilvl w:val="0"/>
          <w:numId w:val="95"/>
        </w:numPr>
        <w:rPr>
          <w:rtl/>
        </w:rPr>
      </w:pPr>
      <w:r>
        <w:rPr>
          <w:rFonts w:cs="Arial"/>
          <w:rtl/>
        </w:rPr>
        <w:t xml:space="preserve">הה"מ </w:t>
      </w:r>
      <w:r>
        <w:rPr>
          <w:rFonts w:cs="Arial"/>
          <w:sz w:val="16"/>
          <w:szCs w:val="16"/>
          <w:rtl/>
        </w:rPr>
        <w:t>(פ"ח ה"ט)</w:t>
      </w:r>
      <w:r>
        <w:rPr>
          <w:rFonts w:cs="Arial"/>
          <w:rtl/>
        </w:rPr>
        <w:t xml:space="preserve"> ור"ן </w:t>
      </w:r>
      <w:r>
        <w:rPr>
          <w:rFonts w:cs="Arial"/>
          <w:sz w:val="16"/>
          <w:szCs w:val="16"/>
          <w:rtl/>
        </w:rPr>
        <w:t>(מד. ד"ה גרסי' בגמ' בעא)</w:t>
      </w:r>
      <w:r w:rsidR="00A82951">
        <w:rPr>
          <w:rtl/>
        </w:rPr>
        <w:t>-</w:t>
      </w:r>
      <w:r>
        <w:rPr>
          <w:rtl/>
        </w:rPr>
        <w:t xml:space="preserve"> ספק מגורשת. </w:t>
      </w:r>
      <w:r>
        <w:rPr>
          <w:color w:val="E36C0A" w:themeColor="accent6" w:themeShade="BF"/>
          <w:rtl/>
        </w:rPr>
        <w:t>(וכ"פ בשו"ע)</w:t>
      </w:r>
    </w:p>
    <w:p w14:paraId="2C404BF5"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39AEBFE2" w14:textId="77777777" w:rsidR="00FA2119" w:rsidRDefault="00FA2119" w:rsidP="00FA2119">
      <w:pPr>
        <w:rPr>
          <w:rtl/>
        </w:rPr>
      </w:pPr>
      <w:r>
        <w:rPr>
          <w:rFonts w:cs="Arial"/>
          <w:rtl/>
        </w:rPr>
        <w:t>אמר לה: הרי זה גיטך והרי את מגורשת ממני היום ולמחר את אשתי, הרי זו ספק מגורשת.</w:t>
      </w:r>
    </w:p>
    <w:p w14:paraId="00041EB1" w14:textId="77777777" w:rsidR="00FA2119" w:rsidRDefault="00FA2119" w:rsidP="00FA2119">
      <w:pPr>
        <w:bidi w:val="0"/>
        <w:spacing w:after="0"/>
        <w:rPr>
          <w:rtl/>
        </w:rPr>
        <w:sectPr w:rsidR="00FA2119">
          <w:headerReference w:type="default" r:id="rId30"/>
          <w:footnotePr>
            <w:numRestart w:val="eachSect"/>
          </w:footnotePr>
          <w:pgSz w:w="11906" w:h="16838"/>
          <w:pgMar w:top="720" w:right="1134" w:bottom="720" w:left="1134" w:header="0" w:footer="0" w:gutter="0"/>
          <w:cols w:space="720"/>
          <w:bidi/>
          <w:rtlGutter/>
        </w:sectPr>
      </w:pPr>
    </w:p>
    <w:p w14:paraId="391A1AC2" w14:textId="77777777" w:rsidR="00FA2119" w:rsidRDefault="00FA2119" w:rsidP="00FA2119">
      <w:pPr>
        <w:pStyle w:val="1"/>
        <w:rPr>
          <w:rtl/>
        </w:rPr>
      </w:pPr>
      <w:r>
        <w:rPr>
          <w:rtl/>
        </w:rPr>
        <w:lastRenderedPageBreak/>
        <w:t xml:space="preserve">סימן קלח: </w:t>
      </w:r>
      <w:r>
        <w:rPr>
          <w:rFonts w:cs="Arial"/>
          <w:rtl/>
        </w:rPr>
        <w:t xml:space="preserve">דין נתינת הגט מידו, ובו ד' סעיפים. </w:t>
      </w:r>
    </w:p>
    <w:p w14:paraId="39814FA2" w14:textId="77777777" w:rsidR="00FA2119" w:rsidRDefault="00FA2119" w:rsidP="00FA2119">
      <w:pPr>
        <w:pStyle w:val="2"/>
        <w:rPr>
          <w:rtl/>
        </w:rPr>
      </w:pPr>
      <w:r>
        <w:rPr>
          <w:rtl/>
        </w:rPr>
        <w:t>סעיף א: סיוע הבעל בנתינת הגט.</w:t>
      </w:r>
    </w:p>
    <w:p w14:paraId="30D8C24F" w14:textId="5E63F8C1" w:rsidR="00FA2119" w:rsidRDefault="00FA2119" w:rsidP="00FA2119">
      <w:pPr>
        <w:rPr>
          <w:rFonts w:cs="Arial"/>
          <w:rtl/>
        </w:rPr>
      </w:pPr>
      <w:r>
        <w:rPr>
          <w:rFonts w:cs="Arial"/>
          <w:b/>
          <w:bCs/>
          <w:rtl/>
        </w:rPr>
        <w:t xml:space="preserve">גיטין </w:t>
      </w:r>
      <w:r>
        <w:rPr>
          <w:rFonts w:cs="Arial"/>
          <w:b/>
          <w:bCs/>
          <w:sz w:val="16"/>
          <w:szCs w:val="16"/>
          <w:rtl/>
        </w:rPr>
        <w:t>(ר"פ הזורק)</w:t>
      </w:r>
      <w:r>
        <w:rPr>
          <w:rFonts w:cs="Arial"/>
          <w:b/>
          <w:bCs/>
          <w:rtl/>
        </w:rPr>
        <w:t xml:space="preserve"> עז ע"א:</w:t>
      </w:r>
      <w:r>
        <w:rPr>
          <w:rFonts w:cs="Arial"/>
          <w:rtl/>
        </w:rPr>
        <w:t xml:space="preserve"> </w:t>
      </w:r>
      <w:r>
        <w:rPr>
          <w:rFonts w:cs="Arial"/>
          <w:u w:val="double"/>
          <w:rtl/>
        </w:rPr>
        <w:t>מתני'</w:t>
      </w:r>
      <w:r>
        <w:rPr>
          <w:rFonts w:cs="Arial"/>
          <w:rtl/>
        </w:rPr>
        <w:t xml:space="preserve">: הזורק גט לאשתו, והיא בתוך ביתה או בתוך חצרה </w:t>
      </w:r>
      <w:r w:rsidR="00A82951">
        <w:rPr>
          <w:rFonts w:cs="Arial"/>
          <w:rtl/>
        </w:rPr>
        <w:t>-</w:t>
      </w:r>
      <w:r>
        <w:rPr>
          <w:rFonts w:cs="Arial"/>
          <w:rtl/>
        </w:rPr>
        <w:t xml:space="preserve"> הרי זו מגורשת; זרקו לה בתוך ביתו או בתוך חצרו, אפילו הוא עמה במטה </w:t>
      </w:r>
      <w:r w:rsidR="00A82951">
        <w:rPr>
          <w:rFonts w:cs="Arial"/>
          <w:rtl/>
        </w:rPr>
        <w:t>-</w:t>
      </w:r>
      <w:r>
        <w:rPr>
          <w:rFonts w:cs="Arial"/>
          <w:rtl/>
        </w:rPr>
        <w:t xml:space="preserve"> אינה מגורשת; לתוך חיקה או לתוך קלתה </w:t>
      </w:r>
      <w:r w:rsidR="00A82951">
        <w:rPr>
          <w:rFonts w:cs="Arial"/>
          <w:rtl/>
        </w:rPr>
        <w:t>-</w:t>
      </w:r>
      <w:r>
        <w:rPr>
          <w:rFonts w:cs="Arial"/>
          <w:rtl/>
        </w:rPr>
        <w:t xml:space="preserve"> הרי זו מגורשת.       </w:t>
      </w:r>
      <w:r>
        <w:rPr>
          <w:rFonts w:cs="Arial"/>
          <w:u w:val="double"/>
          <w:rtl/>
        </w:rPr>
        <w:t>גמ'</w:t>
      </w:r>
      <w:r>
        <w:rPr>
          <w:rFonts w:cs="Arial"/>
          <w:rtl/>
        </w:rPr>
        <w:t xml:space="preserve">: מנא הני מילי? דתנו רבנן: ונתן בידה </w:t>
      </w:r>
      <w:r w:rsidR="00A82951">
        <w:rPr>
          <w:rFonts w:cs="Arial"/>
          <w:rtl/>
        </w:rPr>
        <w:t>-</w:t>
      </w:r>
      <w:r>
        <w:rPr>
          <w:rFonts w:cs="Arial"/>
          <w:rtl/>
        </w:rPr>
        <w:t xml:space="preserve"> אין לי אלא ידה; גגה, חצרה וקרפיפה מנין? ת"ל: ונתן, מכל מקום. </w:t>
      </w:r>
      <w:r>
        <w:rPr>
          <w:rFonts w:cs="Arial"/>
          <w:sz w:val="16"/>
          <w:szCs w:val="16"/>
          <w:rtl/>
        </w:rPr>
        <w:t xml:space="preserve">(ופירש רש"י 'תלמוד לומר ונתן מכל מקום' </w:t>
      </w:r>
      <w:r w:rsidR="00A82951">
        <w:rPr>
          <w:rFonts w:cs="Arial"/>
          <w:sz w:val="16"/>
          <w:szCs w:val="16"/>
          <w:rtl/>
        </w:rPr>
        <w:t>-</w:t>
      </w:r>
      <w:r>
        <w:rPr>
          <w:rFonts w:cs="Arial"/>
          <w:sz w:val="16"/>
          <w:szCs w:val="16"/>
          <w:rtl/>
        </w:rPr>
        <w:t xml:space="preserve"> ודרשינן ליה באנפי נפשיה מדלא כתיב ובידה יתננו משמע לן נתינה כל דהו וידה דכתב רחמנא דבעינן דומיא דידה דמשתמרת לדעתה כדמפרש לקמיה (עז:) עכ"ל. ולפי זה מ</w:t>
      </w:r>
      <w:r w:rsidR="00A82951">
        <w:rPr>
          <w:rFonts w:cs="Arial"/>
          <w:sz w:val="16"/>
          <w:szCs w:val="16"/>
          <w:rtl/>
        </w:rPr>
        <w:t>-</w:t>
      </w:r>
      <w:r>
        <w:rPr>
          <w:rFonts w:cs="Arial"/>
          <w:sz w:val="16"/>
          <w:szCs w:val="16"/>
          <w:rtl/>
        </w:rPr>
        <w:t>'ידה' לא מתרבי רשותה, דאדרבא משמע דוקא 'ידה'. ומ</w:t>
      </w:r>
      <w:r w:rsidR="00A82951">
        <w:rPr>
          <w:rFonts w:cs="Arial"/>
          <w:sz w:val="16"/>
          <w:szCs w:val="16"/>
          <w:rtl/>
        </w:rPr>
        <w:t>-</w:t>
      </w:r>
      <w:r>
        <w:rPr>
          <w:rFonts w:cs="Arial"/>
          <w:sz w:val="16"/>
          <w:szCs w:val="16"/>
          <w:rtl/>
        </w:rPr>
        <w:t>'ונתן' מרבינן רשותה. אך הטור פירש דמדלא כתיב 'ונתן לה' אלא 'בידה' דרשינן לרשותה. וצריך לומר דהכי קאמר, דאי הוה כתיב 'ונתן לה' לא הוה דרשינן ונתן מכל מקום, משום ד</w:t>
      </w:r>
      <w:r w:rsidR="00A82951">
        <w:rPr>
          <w:rFonts w:cs="Arial"/>
          <w:sz w:val="16"/>
          <w:szCs w:val="16"/>
          <w:rtl/>
        </w:rPr>
        <w:t>-</w:t>
      </w:r>
      <w:r>
        <w:rPr>
          <w:rFonts w:cs="Arial"/>
          <w:sz w:val="16"/>
          <w:szCs w:val="16"/>
          <w:rtl/>
        </w:rPr>
        <w:t>'לה' משתמע לה ממש, ולא משתמע כלל לרשותה, אבל השתא דכתיב 'ידה' דרשינן שפיר ונתן מכל מקום, ד</w:t>
      </w:r>
      <w:r w:rsidR="00A82951">
        <w:rPr>
          <w:rFonts w:cs="Arial"/>
          <w:sz w:val="16"/>
          <w:szCs w:val="16"/>
          <w:rtl/>
        </w:rPr>
        <w:t>-</w:t>
      </w:r>
      <w:r>
        <w:rPr>
          <w:rFonts w:cs="Arial"/>
          <w:sz w:val="16"/>
          <w:szCs w:val="16"/>
          <w:rtl/>
        </w:rPr>
        <w:t>'ידה' משתמע נמי רשותה כדכתיב (במדבר כא כו) ויקח את כל ארצו מידו. כן נ"ל, ב"י)</w:t>
      </w:r>
    </w:p>
    <w:p w14:paraId="06A31CFB" w14:textId="77777777" w:rsidR="00FA2119" w:rsidRDefault="00FA2119" w:rsidP="00FA2119">
      <w:pPr>
        <w:rPr>
          <w:u w:val="single"/>
          <w:rtl/>
        </w:rPr>
      </w:pPr>
      <w:r>
        <w:rPr>
          <w:u w:val="single"/>
          <w:rtl/>
        </w:rPr>
        <w:t>נתינת הגט לרשות האשה:</w:t>
      </w:r>
    </w:p>
    <w:p w14:paraId="3A9B7937" w14:textId="1EAA7895" w:rsidR="00FA2119" w:rsidRDefault="00FA2119" w:rsidP="006A458D">
      <w:pPr>
        <w:pStyle w:val="ab"/>
        <w:numPr>
          <w:ilvl w:val="0"/>
          <w:numId w:val="96"/>
        </w:numPr>
        <w:rPr>
          <w:rtl/>
        </w:rPr>
      </w:pPr>
      <w:r>
        <w:rPr>
          <w:rtl/>
        </w:rPr>
        <w:t>טור</w:t>
      </w:r>
      <w:r w:rsidR="00A82951">
        <w:rPr>
          <w:rtl/>
        </w:rPr>
        <w:t>-</w:t>
      </w:r>
      <w:r>
        <w:rPr>
          <w:rtl/>
        </w:rPr>
        <w:t xml:space="preserve"> </w:t>
      </w:r>
      <w:r>
        <w:rPr>
          <w:rFonts w:cs="Arial"/>
          <w:rtl/>
        </w:rPr>
        <w:t>אע</w:t>
      </w:r>
      <w:r w:rsidR="00B33005">
        <w:rPr>
          <w:rFonts w:cs="Arial" w:hint="cs"/>
          <w:rtl/>
        </w:rPr>
        <w:t>"</w:t>
      </w:r>
      <w:r>
        <w:rPr>
          <w:rFonts w:cs="Arial"/>
          <w:rtl/>
        </w:rPr>
        <w:t xml:space="preserve">ג דכתיב וכתב לה ספר כריתות ונתן בידה, אינו דומה נתינת הבעל לקבלת האשה. דנתינתו צריך שתהא מידו ממש או מיד שלוחו, אבל קבלה אינה צריכה שתקבלנו בידה ממש אלא לרשותה, מדלא כתיב 'ונתן לה' אלא 'בידה' דרשינן לרשותה. </w:t>
      </w:r>
    </w:p>
    <w:p w14:paraId="7985F703" w14:textId="5FEBEFA8" w:rsidR="00FA2119" w:rsidRDefault="00FA2119" w:rsidP="00FA2119">
      <w:pPr>
        <w:rPr>
          <w:rFonts w:cs="Arial"/>
        </w:rPr>
      </w:pPr>
      <w:r>
        <w:rPr>
          <w:rFonts w:cs="Arial"/>
          <w:b/>
          <w:bCs/>
          <w:rtl/>
        </w:rPr>
        <w:t xml:space="preserve">גיטין </w:t>
      </w:r>
      <w:r>
        <w:rPr>
          <w:rFonts w:cs="Arial"/>
          <w:b/>
          <w:bCs/>
          <w:sz w:val="16"/>
          <w:szCs w:val="16"/>
          <w:rtl/>
        </w:rPr>
        <w:t>(פ' הזורק)</w:t>
      </w:r>
      <w:r>
        <w:rPr>
          <w:rFonts w:cs="Arial"/>
          <w:b/>
          <w:bCs/>
          <w:rtl/>
        </w:rPr>
        <w:t xml:space="preserve"> עח ע"א:</w:t>
      </w:r>
      <w:r>
        <w:rPr>
          <w:rFonts w:cs="Arial"/>
          <w:rtl/>
        </w:rPr>
        <w:t xml:space="preserve"> </w:t>
      </w:r>
      <w:r>
        <w:rPr>
          <w:rFonts w:cs="Arial"/>
          <w:u w:val="double"/>
          <w:rtl/>
        </w:rPr>
        <w:t>מתני'</w:t>
      </w:r>
      <w:r>
        <w:rPr>
          <w:rFonts w:cs="Arial"/>
          <w:rtl/>
        </w:rPr>
        <w:t xml:space="preserve">: אמר לה כנסי שטר חוב זה, או שמצאתו מאחוריו, קוראה והרי הוא גיטה </w:t>
      </w:r>
      <w:r w:rsidR="00A82951">
        <w:rPr>
          <w:rFonts w:cs="Arial"/>
          <w:rtl/>
        </w:rPr>
        <w:t>-</w:t>
      </w:r>
      <w:r>
        <w:rPr>
          <w:rFonts w:cs="Arial"/>
          <w:rtl/>
        </w:rPr>
        <w:t xml:space="preserve"> אינו גט, עד שיאמר לה הא גיטיך. נתן בידה והיא ישנה, ניעורה קוראה והרי הוא גיטה </w:t>
      </w:r>
      <w:r w:rsidR="00A82951">
        <w:rPr>
          <w:rFonts w:cs="Arial"/>
          <w:rtl/>
        </w:rPr>
        <w:t>-</w:t>
      </w:r>
      <w:r>
        <w:rPr>
          <w:rFonts w:cs="Arial"/>
          <w:rtl/>
        </w:rPr>
        <w:t xml:space="preserve"> אינו גט, עד שיאמר לה הא גיטיך.</w:t>
      </w:r>
      <w:r>
        <w:rPr>
          <w:rtl/>
        </w:rPr>
        <w:t xml:space="preserve"> </w:t>
      </w:r>
      <w:r>
        <w:rPr>
          <w:rFonts w:cs="Arial"/>
          <w:rtl/>
        </w:rPr>
        <w:t xml:space="preserve">     </w:t>
      </w:r>
      <w:r>
        <w:rPr>
          <w:rFonts w:cs="Arial"/>
          <w:u w:val="double"/>
          <w:rtl/>
        </w:rPr>
        <w:t>גמ'</w:t>
      </w:r>
      <w:r>
        <w:rPr>
          <w:rFonts w:cs="Arial"/>
          <w:rtl/>
        </w:rPr>
        <w:t xml:space="preserve">: כי אמר לה הא גיטיך מאי הוי? הוה ליה טלי גיטיך מעל גבי קרקע, ואמר רבא: טלי גיטיך מעל גבי קרקע </w:t>
      </w:r>
      <w:r w:rsidR="00A82951">
        <w:rPr>
          <w:rFonts w:cs="Arial"/>
          <w:rtl/>
        </w:rPr>
        <w:t>-</w:t>
      </w:r>
      <w:r>
        <w:rPr>
          <w:rFonts w:cs="Arial"/>
          <w:rtl/>
        </w:rPr>
        <w:t xml:space="preserve"> לא אמר כלום</w:t>
      </w:r>
      <w:r>
        <w:rPr>
          <w:rStyle w:val="a7"/>
          <w:rFonts w:cs="Arial"/>
          <w:rtl/>
        </w:rPr>
        <w:footnoteReference w:id="1617"/>
      </w:r>
      <w:r>
        <w:rPr>
          <w:rFonts w:cs="Arial"/>
          <w:rtl/>
        </w:rPr>
        <w:t>! אימא: ששלפתו</w:t>
      </w:r>
      <w:r>
        <w:rPr>
          <w:rStyle w:val="a7"/>
          <w:rFonts w:cs="Arial"/>
          <w:rtl/>
        </w:rPr>
        <w:footnoteReference w:id="1618"/>
      </w:r>
      <w:r>
        <w:rPr>
          <w:rFonts w:cs="Arial"/>
          <w:rtl/>
        </w:rPr>
        <w:t xml:space="preserve"> מאחוריו. שלפתו נמי, הא בעינא ונתן בידה וליכא! לא צריכא, דערק לה חרציה</w:t>
      </w:r>
      <w:r>
        <w:rPr>
          <w:rStyle w:val="a7"/>
          <w:rFonts w:cs="Arial"/>
          <w:rtl/>
        </w:rPr>
        <w:footnoteReference w:id="1619"/>
      </w:r>
      <w:r>
        <w:rPr>
          <w:rFonts w:cs="Arial"/>
          <w:rtl/>
        </w:rPr>
        <w:t xml:space="preserve"> ושלפתיה.</w:t>
      </w:r>
    </w:p>
    <w:p w14:paraId="23622B99" w14:textId="77777777" w:rsidR="00FA2119" w:rsidRDefault="00FA2119" w:rsidP="00FA2119">
      <w:pPr>
        <w:rPr>
          <w:u w:val="single"/>
          <w:rtl/>
        </w:rPr>
      </w:pPr>
      <w:r>
        <w:rPr>
          <w:u w:val="single"/>
          <w:rtl/>
        </w:rPr>
        <w:t>הבעל צריך לסייע בנתינת הגט:</w:t>
      </w:r>
    </w:p>
    <w:p w14:paraId="082F49A7" w14:textId="18F86CE0" w:rsidR="00FA2119" w:rsidRDefault="00FA2119" w:rsidP="006A458D">
      <w:pPr>
        <w:pStyle w:val="ab"/>
        <w:numPr>
          <w:ilvl w:val="0"/>
          <w:numId w:val="96"/>
        </w:numPr>
      </w:pPr>
      <w:r>
        <w:rPr>
          <w:rFonts w:cs="Arial"/>
          <w:rtl/>
        </w:rPr>
        <w:t>ר"ח</w:t>
      </w:r>
      <w:r>
        <w:rPr>
          <w:rStyle w:val="a7"/>
          <w:rFonts w:cs="Arial"/>
          <w:rtl/>
        </w:rPr>
        <w:footnoteReference w:id="1620"/>
      </w:r>
      <w:r>
        <w:rPr>
          <w:rFonts w:cs="Arial"/>
          <w:sz w:val="16"/>
          <w:szCs w:val="16"/>
          <w:rtl/>
        </w:rPr>
        <w:t xml:space="preserve"> (כ"כ הרא"ש [שם] בשמו)</w:t>
      </w:r>
      <w:r>
        <w:rPr>
          <w:rFonts w:cs="Arial"/>
          <w:rtl/>
        </w:rPr>
        <w:t xml:space="preserve"> רא"ש </w:t>
      </w:r>
      <w:r>
        <w:rPr>
          <w:rFonts w:cs="Arial"/>
          <w:sz w:val="16"/>
          <w:szCs w:val="16"/>
          <w:rtl/>
        </w:rPr>
        <w:t>(סי' ה, כ"כ הטור בשמו)</w:t>
      </w:r>
      <w:r>
        <w:rPr>
          <w:rFonts w:cs="Arial"/>
          <w:rtl/>
        </w:rPr>
        <w:t xml:space="preserve"> וטור</w:t>
      </w:r>
      <w:r w:rsidR="00A82951">
        <w:rPr>
          <w:rFonts w:cs="Arial"/>
          <w:rtl/>
        </w:rPr>
        <w:t>-</w:t>
      </w:r>
      <w:r>
        <w:rPr>
          <w:rFonts w:cs="Arial"/>
          <w:rtl/>
        </w:rPr>
        <w:t xml:space="preserve"> כיצד, אמר לה 'טולי גיטך מעל גבי קרקע' </w:t>
      </w:r>
      <w:r w:rsidR="00A82951">
        <w:rPr>
          <w:rFonts w:cs="Arial"/>
          <w:rtl/>
        </w:rPr>
        <w:t>-</w:t>
      </w:r>
      <w:r>
        <w:rPr>
          <w:rFonts w:cs="Arial"/>
          <w:rtl/>
        </w:rPr>
        <w:t xml:space="preserve"> אינו כלום. או אפילו היה מונח על גבי ידו, והיתה קרובה אליו ולקחתו משם </w:t>
      </w:r>
      <w:r w:rsidR="00A82951">
        <w:rPr>
          <w:rFonts w:cs="Arial"/>
          <w:rtl/>
        </w:rPr>
        <w:t>-</w:t>
      </w:r>
      <w:r>
        <w:rPr>
          <w:rFonts w:cs="Arial"/>
          <w:rtl/>
        </w:rPr>
        <w:t xml:space="preserve"> אינו גט, כיון שלא סייע בנטילתו. או אפילו היתה ידו סגורה והגט בתוכה, ופתח הוא ידו ולקחתו מתוכו, שסייע בנטילתו </w:t>
      </w:r>
      <w:r w:rsidR="00A82951">
        <w:rPr>
          <w:rFonts w:cs="Arial"/>
          <w:rtl/>
        </w:rPr>
        <w:t>-</w:t>
      </w:r>
      <w:r>
        <w:rPr>
          <w:rFonts w:cs="Arial"/>
          <w:rtl/>
        </w:rPr>
        <w:t xml:space="preserve"> אפ"ה אינו גט, כיון שלא קירב הגט אליה. אבל אם אוחז הגט בראש האחד ומושיטו לה, והיא לקחה אותו בראש השני </w:t>
      </w:r>
      <w:r w:rsidR="00A82951">
        <w:rPr>
          <w:rFonts w:cs="Arial"/>
          <w:rtl/>
        </w:rPr>
        <w:t>-</w:t>
      </w:r>
      <w:r>
        <w:rPr>
          <w:rFonts w:cs="Arial"/>
          <w:rtl/>
        </w:rPr>
        <w:t xml:space="preserve"> הוי גט. וכן אם הגט תחוב לו תחת חגורתו על מתניו, וצמצם מתניו ונתחלחלו, והטה עצמו לצדה ונטלתו </w:t>
      </w:r>
      <w:r w:rsidR="00A82951">
        <w:rPr>
          <w:rFonts w:cs="Arial"/>
          <w:rtl/>
        </w:rPr>
        <w:t>-</w:t>
      </w:r>
      <w:r>
        <w:rPr>
          <w:rFonts w:cs="Arial"/>
          <w:rtl/>
        </w:rPr>
        <w:t xml:space="preserve"> קרינן ביה שפיר ונתן. אבל אם צמצם מתניו ולא הטה עצמו אליה, או שהטה עצמו ולא צמצם מתניו </w:t>
      </w:r>
      <w:r w:rsidR="00A82951">
        <w:rPr>
          <w:rFonts w:cs="Arial"/>
          <w:rtl/>
        </w:rPr>
        <w:t>-</w:t>
      </w:r>
      <w:r>
        <w:rPr>
          <w:rFonts w:cs="Arial"/>
          <w:rtl/>
        </w:rPr>
        <w:t xml:space="preserve"> לא הוי נתינה</w:t>
      </w:r>
      <w:r>
        <w:rPr>
          <w:rStyle w:val="a7"/>
          <w:rFonts w:cs="Arial"/>
          <w:rtl/>
        </w:rPr>
        <w:footnoteReference w:id="1621"/>
      </w:r>
      <w:r>
        <w:rPr>
          <w:rFonts w:cs="Arial"/>
          <w:sz w:val="16"/>
          <w:szCs w:val="16"/>
          <w:rtl/>
        </w:rPr>
        <w:t xml:space="preserve"> (ל' הטור)</w:t>
      </w:r>
      <w:r>
        <w:rPr>
          <w:rFonts w:cs="Arial"/>
          <w:rtl/>
        </w:rPr>
        <w:t xml:space="preserve">. </w:t>
      </w:r>
      <w:r>
        <w:rPr>
          <w:color w:val="E36C0A" w:themeColor="accent6" w:themeShade="BF"/>
          <w:rtl/>
        </w:rPr>
        <w:t>(וכ"ס בשו"ע)</w:t>
      </w:r>
    </w:p>
    <w:p w14:paraId="19294092" w14:textId="2C742A7B" w:rsidR="00FA2119" w:rsidRDefault="00FA2119" w:rsidP="006A458D">
      <w:pPr>
        <w:pStyle w:val="ab"/>
        <w:numPr>
          <w:ilvl w:val="0"/>
          <w:numId w:val="96"/>
        </w:numPr>
        <w:rPr>
          <w:rFonts w:cs="Arial"/>
        </w:rPr>
      </w:pPr>
      <w:r>
        <w:rPr>
          <w:rFonts w:cs="Arial"/>
          <w:rtl/>
        </w:rPr>
        <w:t xml:space="preserve">רמב"ם </w:t>
      </w:r>
      <w:r>
        <w:rPr>
          <w:rFonts w:cs="Arial"/>
          <w:sz w:val="16"/>
          <w:szCs w:val="16"/>
          <w:rtl/>
        </w:rPr>
        <w:t>(פ"א הי"ב)</w:t>
      </w:r>
      <w:r>
        <w:rPr>
          <w:rFonts w:cs="Arial"/>
          <w:rtl/>
        </w:rPr>
        <w:t xml:space="preserve"> רשב"א</w:t>
      </w:r>
      <w:r>
        <w:rPr>
          <w:rStyle w:val="a7"/>
          <w:rFonts w:cs="Arial"/>
          <w:rtl/>
        </w:rPr>
        <w:footnoteReference w:id="1622"/>
      </w:r>
      <w:r>
        <w:rPr>
          <w:rFonts w:cs="Arial"/>
          <w:rtl/>
        </w:rPr>
        <w:t xml:space="preserve"> </w:t>
      </w:r>
      <w:r>
        <w:rPr>
          <w:rFonts w:cs="Arial"/>
          <w:sz w:val="16"/>
          <w:szCs w:val="16"/>
          <w:rtl/>
        </w:rPr>
        <w:t>(עח. ד"ה גמ' אימא)</w:t>
      </w:r>
      <w:r>
        <w:rPr>
          <w:rFonts w:cs="Arial"/>
          <w:rtl/>
        </w:rPr>
        <w:t xml:space="preserve"> ור"ן </w:t>
      </w:r>
      <w:r>
        <w:rPr>
          <w:rFonts w:cs="Arial"/>
          <w:sz w:val="16"/>
          <w:szCs w:val="16"/>
          <w:rtl/>
        </w:rPr>
        <w:t>(מ: דיבור ראשון)</w:t>
      </w:r>
      <w:r w:rsidR="00A82951">
        <w:rPr>
          <w:rFonts w:cs="Arial"/>
          <w:rtl/>
        </w:rPr>
        <w:t>-</w:t>
      </w:r>
      <w:r>
        <w:rPr>
          <w:rtl/>
        </w:rPr>
        <w:t xml:space="preserve"> </w:t>
      </w:r>
      <w:r>
        <w:rPr>
          <w:rFonts w:cs="Arial"/>
          <w:rtl/>
        </w:rPr>
        <w:t>גט שהיה מונח על הארץ</w:t>
      </w:r>
      <w:r w:rsidR="00730D41">
        <w:rPr>
          <w:rFonts w:cs="Arial" w:hint="cs"/>
          <w:rtl/>
        </w:rPr>
        <w:t>,</w:t>
      </w:r>
      <w:r>
        <w:rPr>
          <w:rFonts w:cs="Arial"/>
          <w:rtl/>
        </w:rPr>
        <w:t xml:space="preserve"> ואמר לה טלי גיטיך מעל גבי קרקע</w:t>
      </w:r>
      <w:r w:rsidR="00730D41">
        <w:rPr>
          <w:rFonts w:cs="Arial" w:hint="cs"/>
          <w:rtl/>
        </w:rPr>
        <w:t>,</w:t>
      </w:r>
      <w:r>
        <w:rPr>
          <w:rFonts w:cs="Arial"/>
          <w:rtl/>
        </w:rPr>
        <w:t xml:space="preserve"> ונטלתו</w:t>
      </w:r>
      <w:r w:rsidR="00730D41">
        <w:rPr>
          <w:rFonts w:cs="Arial" w:hint="cs"/>
          <w:rtl/>
        </w:rPr>
        <w:t>,</w:t>
      </w:r>
      <w:r>
        <w:rPr>
          <w:rFonts w:cs="Arial"/>
          <w:rtl/>
        </w:rPr>
        <w:t xml:space="preserve"> או שהיה קשור על ידו או על ירכו ושלפתו ממנו</w:t>
      </w:r>
      <w:r w:rsidR="00730D41">
        <w:rPr>
          <w:rFonts w:cs="Arial" w:hint="cs"/>
          <w:rtl/>
        </w:rPr>
        <w:t>,</w:t>
      </w:r>
      <w:r>
        <w:rPr>
          <w:rFonts w:cs="Arial"/>
          <w:rtl/>
        </w:rPr>
        <w:t xml:space="preserve"> אע</w:t>
      </w:r>
      <w:r w:rsidR="00730D41">
        <w:rPr>
          <w:rFonts w:cs="Arial" w:hint="cs"/>
          <w:rtl/>
        </w:rPr>
        <w:t>"</w:t>
      </w:r>
      <w:r>
        <w:rPr>
          <w:rFonts w:cs="Arial"/>
          <w:rtl/>
        </w:rPr>
        <w:t>פ שאמר לה אחר שבא לידה הרי הוא גיטיך</w:t>
      </w:r>
      <w:r w:rsidR="00730D41">
        <w:rPr>
          <w:rFonts w:cs="Arial" w:hint="cs"/>
          <w:rtl/>
        </w:rPr>
        <w:t xml:space="preserve"> -</w:t>
      </w:r>
      <w:r>
        <w:rPr>
          <w:rFonts w:cs="Arial"/>
          <w:rtl/>
        </w:rPr>
        <w:t xml:space="preserve"> אינו גט</w:t>
      </w:r>
      <w:r w:rsidR="00730D41">
        <w:rPr>
          <w:rFonts w:cs="Arial" w:hint="cs"/>
          <w:rtl/>
        </w:rPr>
        <w:t>,</w:t>
      </w:r>
      <w:r>
        <w:rPr>
          <w:rFonts w:cs="Arial"/>
          <w:rtl/>
        </w:rPr>
        <w:t xml:space="preserve"> שנ</w:t>
      </w:r>
      <w:r w:rsidR="00730D41">
        <w:rPr>
          <w:rFonts w:cs="Arial" w:hint="cs"/>
          <w:rtl/>
        </w:rPr>
        <w:t>אמר</w:t>
      </w:r>
      <w:r>
        <w:rPr>
          <w:rFonts w:cs="Arial"/>
          <w:rtl/>
        </w:rPr>
        <w:t xml:space="preserve"> ונתן בידה לא שתקח היא מעצמה והרי לא נתן לה לא הוא ולא שלוחו</w:t>
      </w:r>
      <w:r w:rsidR="00730D41">
        <w:rPr>
          <w:rFonts w:cs="Arial" w:hint="cs"/>
          <w:rtl/>
        </w:rPr>
        <w:t>.</w:t>
      </w:r>
      <w:r>
        <w:rPr>
          <w:rFonts w:cs="Arial"/>
          <w:rtl/>
        </w:rPr>
        <w:t xml:space="preserve"> אבל אם הרכין לה בגופו</w:t>
      </w:r>
      <w:r w:rsidR="00730D41">
        <w:rPr>
          <w:rFonts w:cs="Arial" w:hint="cs"/>
          <w:rtl/>
        </w:rPr>
        <w:t>,</w:t>
      </w:r>
      <w:r>
        <w:rPr>
          <w:rFonts w:cs="Arial"/>
          <w:rtl/>
        </w:rPr>
        <w:t xml:space="preserve"> או הטה ידו עד ששלפה הגט מעליו</w:t>
      </w:r>
      <w:r w:rsidR="00730D41">
        <w:rPr>
          <w:rFonts w:cs="Arial" w:hint="cs"/>
          <w:rtl/>
        </w:rPr>
        <w:t>,</w:t>
      </w:r>
      <w:r>
        <w:rPr>
          <w:rFonts w:cs="Arial"/>
          <w:rtl/>
        </w:rPr>
        <w:t xml:space="preserve"> ואמר לה הרי זה גיטיך </w:t>
      </w:r>
      <w:r w:rsidR="00730D41">
        <w:rPr>
          <w:rFonts w:cs="Arial" w:hint="cs"/>
          <w:rtl/>
        </w:rPr>
        <w:t xml:space="preserve">- </w:t>
      </w:r>
      <w:r>
        <w:rPr>
          <w:rFonts w:cs="Arial"/>
          <w:rtl/>
        </w:rPr>
        <w:t xml:space="preserve">הרי זה גט </w:t>
      </w:r>
      <w:r>
        <w:rPr>
          <w:rFonts w:cs="Arial"/>
          <w:sz w:val="16"/>
          <w:szCs w:val="16"/>
          <w:rtl/>
        </w:rPr>
        <w:t>(ל' הרמב"ם)</w:t>
      </w:r>
      <w:r>
        <w:rPr>
          <w:rFonts w:cs="Arial"/>
          <w:rtl/>
        </w:rPr>
        <w:t xml:space="preserve">. </w:t>
      </w:r>
    </w:p>
    <w:p w14:paraId="5E9EDDA8" w14:textId="4EAE4DD0" w:rsidR="00FA2119" w:rsidRDefault="00FA2119" w:rsidP="00FA2119">
      <w:pPr>
        <w:rPr>
          <w:rFonts w:cs="Arial"/>
        </w:rPr>
      </w:pPr>
      <w:r>
        <w:rPr>
          <w:rFonts w:cs="Arial"/>
          <w:b/>
          <w:bCs/>
          <w:rtl/>
        </w:rPr>
        <w:lastRenderedPageBreak/>
        <w:t xml:space="preserve">גיטין </w:t>
      </w:r>
      <w:r>
        <w:rPr>
          <w:rFonts w:cs="Arial"/>
          <w:b/>
          <w:bCs/>
          <w:sz w:val="16"/>
          <w:szCs w:val="16"/>
          <w:rtl/>
        </w:rPr>
        <w:t>(פ' הזורק)</w:t>
      </w:r>
      <w:r>
        <w:rPr>
          <w:rFonts w:cs="Arial"/>
          <w:b/>
          <w:bCs/>
          <w:rtl/>
        </w:rPr>
        <w:t xml:space="preserve"> עח ע"א:</w:t>
      </w:r>
      <w:r>
        <w:rPr>
          <w:rFonts w:cs="Arial"/>
          <w:rtl/>
        </w:rPr>
        <w:t xml:space="preserve"> </w:t>
      </w:r>
      <w:r>
        <w:rPr>
          <w:rFonts w:cs="Arial"/>
          <w:u w:val="double"/>
          <w:rtl/>
        </w:rPr>
        <w:t>מתני'</w:t>
      </w:r>
      <w:r>
        <w:rPr>
          <w:rFonts w:cs="Arial"/>
          <w:rtl/>
        </w:rPr>
        <w:t xml:space="preserve">: אמר לה כנסי שטר חוב זה, או שמצאתו מאחוריו, קוראה והרי הוא גיטה </w:t>
      </w:r>
      <w:r w:rsidR="00A82951">
        <w:rPr>
          <w:rFonts w:cs="Arial"/>
          <w:rtl/>
        </w:rPr>
        <w:t>-</w:t>
      </w:r>
      <w:r>
        <w:rPr>
          <w:rFonts w:cs="Arial"/>
          <w:rtl/>
        </w:rPr>
        <w:t xml:space="preserve"> אינו גט עד שיאמר לה הא גיטיך...      </w:t>
      </w:r>
      <w:r>
        <w:rPr>
          <w:rFonts w:cs="Arial"/>
          <w:u w:val="double"/>
          <w:rtl/>
        </w:rPr>
        <w:t>גמ'</w:t>
      </w:r>
      <w:r>
        <w:rPr>
          <w:rFonts w:cs="Arial"/>
          <w:rtl/>
        </w:rPr>
        <w:t xml:space="preserve">: תניא...: אמר לה כנסי שטר חוב זה, או ששלפתו מאחוריו, קראתו והרי הוא גיטה </w:t>
      </w:r>
      <w:r w:rsidR="00A82951">
        <w:rPr>
          <w:rFonts w:cs="Arial"/>
          <w:rtl/>
        </w:rPr>
        <w:t>-</w:t>
      </w:r>
      <w:r>
        <w:rPr>
          <w:rFonts w:cs="Arial"/>
          <w:rtl/>
        </w:rPr>
        <w:t xml:space="preserve"> אינו גט עד שיאמר לה הא גיטיך, </w:t>
      </w:r>
      <w:r>
        <w:rPr>
          <w:rFonts w:cs="Arial"/>
          <w:u w:val="single"/>
          <w:rtl/>
        </w:rPr>
        <w:t>דברי רבי</w:t>
      </w:r>
      <w:r>
        <w:rPr>
          <w:rFonts w:cs="Arial"/>
          <w:rtl/>
        </w:rPr>
        <w:t xml:space="preserve">. </w:t>
      </w:r>
      <w:r>
        <w:rPr>
          <w:rFonts w:cs="Arial"/>
          <w:u w:val="single"/>
          <w:rtl/>
        </w:rPr>
        <w:t>רבי שמעון בן אלעזר אומר</w:t>
      </w:r>
      <w:r>
        <w:rPr>
          <w:rFonts w:cs="Arial"/>
          <w:rtl/>
        </w:rPr>
        <w:t xml:space="preserve">: לעולם אינו גט, עד שיטלנו הימנה ויחזור ויתננו לה ויאמר לה הא גיטיך. </w:t>
      </w:r>
      <w:r>
        <w:rPr>
          <w:rFonts w:cs="Arial"/>
          <w:sz w:val="16"/>
          <w:szCs w:val="16"/>
          <w:rtl/>
        </w:rPr>
        <w:t>(וכבר כתבתי בתחלת סי' קל"ז (ס"א) שדעת הפוסקים דהלכה כרבי שאינו צריך ליטלו ממנה אלא בעודו בידה אומר לה הא גיטך</w:t>
      </w:r>
      <w:r>
        <w:rPr>
          <w:rStyle w:val="a7"/>
          <w:rFonts w:cs="Arial"/>
          <w:sz w:val="16"/>
          <w:szCs w:val="16"/>
          <w:rtl/>
        </w:rPr>
        <w:footnoteReference w:id="1623"/>
      </w:r>
      <w:r>
        <w:rPr>
          <w:rFonts w:cs="Arial"/>
          <w:sz w:val="16"/>
          <w:szCs w:val="16"/>
          <w:rtl/>
        </w:rPr>
        <w:t>. וכתב הר"ן (מ. ד"ה מתני') אמתניתין דאמר לה כנסי שטר חוב זה וכו' דבעסוקין בענין גירושין עסקינן. דאי לא מאי איריא אמר לה כנסי שטר חוב זה או מצאתו מאחריו, אפילו נתנו לה נתינה מעלייתא אלא שלא פירש אינו כלום. אלא הכא בעסוקין בענין גירושין מתחלה עסקינן, ואילו נתנו לה נתינה מעליא בסתם מהני. אבל כשאמר לה כנסי שטר חוב זה הרי נתבטל כל מה שהיו עסוקין באותו ענין מתחלה, כיון שלא אמר לעדים ראו גט שאני נותן לה, וכן נמי כשמצאתו מאחוריו אינו גט, שאין עסוקין באותו ענין מועיל כשנתנו סתם אלא היכא דאיכא נתינה מעלייתא, לא בזו שהיא נתינה גרועה כדמוקי לה בגמרא דעייק לה חרציה ושקלתיה. ומיהו כי אמר לה בתר הכי הא גיטך אפילו אחר שבא לידה מהני, דונתן בידה קרינן ביה אף על גב דנתינה ראשונה לאו כלום היא עכ"ל. ב"י)</w:t>
      </w:r>
    </w:p>
    <w:p w14:paraId="0FAA4DDA"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379532E" w14:textId="6DE44C0F" w:rsidR="00FA2119" w:rsidRDefault="00FA2119" w:rsidP="00FA2119">
      <w:pPr>
        <w:rPr>
          <w:rtl/>
        </w:rPr>
      </w:pPr>
      <w:r>
        <w:rPr>
          <w:rFonts w:cs="Arial"/>
          <w:rtl/>
        </w:rPr>
        <w:t>אמר לה: טולי גיטיך מעל גבי קרקע, אינו כלום</w:t>
      </w:r>
      <w:r>
        <w:rPr>
          <w:rStyle w:val="a7"/>
          <w:rFonts w:cs="Arial"/>
          <w:rtl/>
        </w:rPr>
        <w:footnoteReference w:id="1624"/>
      </w:r>
      <w:r>
        <w:rPr>
          <w:rFonts w:cs="Arial"/>
          <w:rtl/>
        </w:rPr>
        <w:t xml:space="preserve">. ואפילו היה מונח על גבי ידו והיא קרובה אליו ולקחתו משם אינו גט, כיון שלא סייע בנטילתו. אפילו היתה ידו סגורה והגט בתוכה, ופתח הוא ידו ונטלתו מתוכה, שסייע בנטילתו, אפילו הכי אינו גט, כיון שלא קירב גופו אליה. ואם הגט תחוב לו תחת חגורתו על מתניו, וצמצם מתניו ונתחלחלו והטה עצמו לה ונטלתו, קרי ביה שפיר ונתן </w:t>
      </w:r>
      <w:r>
        <w:rPr>
          <w:rFonts w:cs="Arial"/>
          <w:sz w:val="14"/>
          <w:szCs w:val="14"/>
          <w:rtl/>
        </w:rPr>
        <w:t>(דברים כד, א ו</w:t>
      </w:r>
      <w:r w:rsidR="00A82951">
        <w:rPr>
          <w:rFonts w:cs="Arial"/>
          <w:sz w:val="14"/>
          <w:szCs w:val="14"/>
          <w:rtl/>
        </w:rPr>
        <w:t>-</w:t>
      </w:r>
      <w:r>
        <w:rPr>
          <w:rFonts w:cs="Arial"/>
          <w:sz w:val="14"/>
          <w:szCs w:val="14"/>
          <w:rtl/>
        </w:rPr>
        <w:t>ג)</w:t>
      </w:r>
      <w:r>
        <w:rPr>
          <w:rFonts w:cs="Arial"/>
          <w:rtl/>
        </w:rPr>
        <w:t xml:space="preserve">, אבל אם צמצם מתניו ולא הטה עצמו אליה, או שהטה עצמו ולא צמצם מתניו, לא הוי נתינה. ויש מי שאומר שאם היה קשור על ידו או על יריכו, והרכין לה בגופו והטה ידו עד ששלפה הגט מעליו, ואמר לה: הרי זה גיטיך, הרי זה גט. </w:t>
      </w:r>
    </w:p>
    <w:p w14:paraId="3078BAEB" w14:textId="77777777" w:rsidR="00FA2119" w:rsidRDefault="00FA2119" w:rsidP="00FA2119">
      <w:pPr>
        <w:rPr>
          <w:rFonts w:cs="Arial"/>
          <w:sz w:val="16"/>
          <w:szCs w:val="16"/>
          <w:u w:val="single"/>
          <w:rtl/>
        </w:rPr>
      </w:pPr>
      <w:r>
        <w:rPr>
          <w:rFonts w:cs="Arial"/>
          <w:u w:val="single"/>
          <w:rtl/>
        </w:rPr>
        <w:t>שכיב ממרע שהושיט גט לאשתו ביד פתוחה והיא נטלתו ממנו:</w:t>
      </w:r>
      <w:r>
        <w:rPr>
          <w:rFonts w:cs="Arial"/>
          <w:sz w:val="16"/>
          <w:szCs w:val="16"/>
          <w:rtl/>
        </w:rPr>
        <w:t xml:space="preserve"> (פת"ש סק"ג)</w:t>
      </w:r>
    </w:p>
    <w:p w14:paraId="22A78D7C" w14:textId="38BC2624" w:rsidR="00FA2119" w:rsidRDefault="00FA2119" w:rsidP="006A458D">
      <w:pPr>
        <w:pStyle w:val="ab"/>
        <w:numPr>
          <w:ilvl w:val="0"/>
          <w:numId w:val="97"/>
        </w:numPr>
        <w:rPr>
          <w:rtl/>
        </w:rPr>
      </w:pPr>
      <w:r>
        <w:rPr>
          <w:rFonts w:cs="Arial"/>
          <w:rtl/>
        </w:rPr>
        <w:t xml:space="preserve">תולדות יצחק </w:t>
      </w:r>
      <w:r>
        <w:rPr>
          <w:rFonts w:cs="Arial"/>
          <w:sz w:val="16"/>
          <w:szCs w:val="16"/>
          <w:rtl/>
        </w:rPr>
        <w:t>(סי' ו)</w:t>
      </w:r>
      <w:r w:rsidR="00A82951">
        <w:rPr>
          <w:rFonts w:cs="Arial"/>
          <w:rtl/>
        </w:rPr>
        <w:t>-</w:t>
      </w:r>
      <w:r>
        <w:rPr>
          <w:rFonts w:cs="Arial"/>
          <w:rtl/>
        </w:rPr>
        <w:t xml:space="preserve"> שכ"מ שבא ליתן גט לאשתו שלא תפול לפני יבם, והלך למרחקים מכמה שנים. ובעת שנתן השכ"מ הגט לאשתו, דהיינו כשפשט ידו עם הגט ואמר 'הרי זה גיטך', ועדיין לא אמר שאר הדברים 'והרי את מגורשת ממני והרי את מותרת לכל אדם' ביקש מאשתו ליתן לו מים לשתות, ונטלה אשתו מעצמה הגט מידו ונתנה לו לשתות, והוא מתוך שתיית המים נחנק בגרונו ומת... יש לצדד להתירה ע"י גט זה</w:t>
      </w:r>
      <w:r>
        <w:rPr>
          <w:rStyle w:val="a7"/>
          <w:rFonts w:cs="Arial"/>
          <w:rtl/>
        </w:rPr>
        <w:footnoteReference w:id="1625"/>
      </w:r>
      <w:r>
        <w:rPr>
          <w:rFonts w:cs="Arial"/>
          <w:rtl/>
        </w:rPr>
        <w:t xml:space="preserve">. </w:t>
      </w:r>
    </w:p>
    <w:p w14:paraId="10EB85CC" w14:textId="77777777" w:rsidR="00FA2119" w:rsidRDefault="00FA2119" w:rsidP="00FA2119">
      <w:pPr>
        <w:rPr>
          <w:rtl/>
        </w:rPr>
      </w:pPr>
    </w:p>
    <w:p w14:paraId="36789BFB" w14:textId="77777777" w:rsidR="00FA2119" w:rsidRDefault="00FA2119" w:rsidP="00FA2119">
      <w:pPr>
        <w:pStyle w:val="2"/>
        <w:rPr>
          <w:rtl/>
        </w:rPr>
      </w:pPr>
      <w:r>
        <w:rPr>
          <w:rtl/>
        </w:rPr>
        <w:t>סעיף ב: גט בידה ומשיחה בידו.</w:t>
      </w:r>
    </w:p>
    <w:p w14:paraId="4C04C0DA" w14:textId="21572FE3" w:rsidR="00FA2119" w:rsidRDefault="00FA2119" w:rsidP="00FA2119">
      <w:pPr>
        <w:rPr>
          <w:rFonts w:cs="Arial"/>
          <w:rtl/>
        </w:rPr>
      </w:pPr>
      <w:r>
        <w:rPr>
          <w:rFonts w:cs="Arial"/>
          <w:b/>
          <w:bCs/>
          <w:rtl/>
        </w:rPr>
        <w:t xml:space="preserve">גיטין </w:t>
      </w:r>
      <w:r>
        <w:rPr>
          <w:rFonts w:cs="Arial"/>
          <w:b/>
          <w:bCs/>
          <w:sz w:val="16"/>
          <w:szCs w:val="16"/>
          <w:rtl/>
        </w:rPr>
        <w:t>(פ' הזורק)</w:t>
      </w:r>
      <w:r>
        <w:rPr>
          <w:rFonts w:cs="Arial"/>
          <w:b/>
          <w:bCs/>
          <w:rtl/>
        </w:rPr>
        <w:t xml:space="preserve"> עח ע"</w:t>
      </w:r>
      <w:r w:rsidR="00730D41">
        <w:rPr>
          <w:rFonts w:cs="Arial" w:hint="cs"/>
          <w:b/>
          <w:bCs/>
          <w:rtl/>
        </w:rPr>
        <w:t>ב</w:t>
      </w:r>
      <w:r>
        <w:rPr>
          <w:rFonts w:cs="Arial"/>
          <w:b/>
          <w:bCs/>
          <w:rtl/>
        </w:rPr>
        <w:t>:</w:t>
      </w:r>
      <w:r>
        <w:rPr>
          <w:rFonts w:cs="Arial"/>
          <w:rtl/>
        </w:rPr>
        <w:t xml:space="preserve"> </w:t>
      </w:r>
      <w:r>
        <w:rPr>
          <w:rFonts w:cs="Arial"/>
          <w:u w:val="single"/>
          <w:rtl/>
        </w:rPr>
        <w:t>אמר רב חסדא</w:t>
      </w:r>
      <w:r>
        <w:rPr>
          <w:rFonts w:cs="Arial"/>
          <w:rtl/>
        </w:rPr>
        <w:t>: גט בידה</w:t>
      </w:r>
      <w:r>
        <w:rPr>
          <w:rStyle w:val="a7"/>
          <w:rFonts w:cs="Arial"/>
          <w:rtl/>
        </w:rPr>
        <w:footnoteReference w:id="1626"/>
      </w:r>
      <w:r>
        <w:rPr>
          <w:rFonts w:cs="Arial"/>
          <w:rtl/>
        </w:rPr>
        <w:t xml:space="preserve"> ומשיחה</w:t>
      </w:r>
      <w:r>
        <w:rPr>
          <w:rStyle w:val="a7"/>
          <w:rFonts w:cs="Arial"/>
          <w:rtl/>
        </w:rPr>
        <w:footnoteReference w:id="1627"/>
      </w:r>
      <w:r>
        <w:rPr>
          <w:rFonts w:cs="Arial"/>
          <w:rtl/>
        </w:rPr>
        <w:t xml:space="preserve"> בידו, אם יכול לנתקו ולהביאו אצלו </w:t>
      </w:r>
      <w:r w:rsidR="00A82951">
        <w:rPr>
          <w:rFonts w:cs="Arial"/>
          <w:rtl/>
        </w:rPr>
        <w:t>-</w:t>
      </w:r>
      <w:r>
        <w:rPr>
          <w:rFonts w:cs="Arial"/>
          <w:rtl/>
        </w:rPr>
        <w:t xml:space="preserve"> אינה מגורשת, ואם לאו </w:t>
      </w:r>
      <w:r w:rsidR="00A82951">
        <w:rPr>
          <w:rFonts w:cs="Arial"/>
          <w:rtl/>
        </w:rPr>
        <w:t>-</w:t>
      </w:r>
      <w:r>
        <w:rPr>
          <w:rFonts w:cs="Arial"/>
          <w:rtl/>
        </w:rPr>
        <w:t xml:space="preserve"> מגורשת. מאי טעמא? בעינן כריתות וליכא. </w:t>
      </w:r>
      <w:r>
        <w:rPr>
          <w:rFonts w:cs="Arial"/>
          <w:sz w:val="16"/>
          <w:szCs w:val="16"/>
          <w:rtl/>
        </w:rPr>
        <w:t>(וכתבו התוספות (ד"ה אם) נראה ד</w:t>
      </w:r>
      <w:bookmarkStart w:id="18" w:name="_Hlk89776199"/>
      <w:r>
        <w:rPr>
          <w:rFonts w:cs="Arial"/>
          <w:sz w:val="16"/>
          <w:szCs w:val="16"/>
          <w:rtl/>
        </w:rPr>
        <w:t>לא מיירי כשהיתה ידה פתוחה ולאחר שנתן הגט בידה קפצה ידה, דא"כ אפילו אינו יכול להביאו אצלו אינה מגורשת, כיון דבשעת נתינה היה יכול להביאו אצלו, ומה שקופצת ידה אח"כ זה אינו עושה הבעל אלא היא, והוה ליה כטלי גיטך מעל גבי קרקע ואינו גט. אלא</w:t>
      </w:r>
      <w:bookmarkEnd w:id="18"/>
      <w:r>
        <w:rPr>
          <w:rFonts w:cs="Arial"/>
          <w:sz w:val="16"/>
          <w:szCs w:val="16"/>
          <w:rtl/>
        </w:rPr>
        <w:t xml:space="preserve"> נראה לר"י דמיירי שכבר היתה ידה קפוצה ותחב הגט לידה ואם תחב כל כך בחוזק עד שאינו יכול להביאו אצלו הויא מגורשת. ורבינו תם מפרש דבידה פתוחה איירי שפיר, ואם אינו יכול להביאו אצלו היינו כשהגט כבד ואם ימשוך המשיחה אצלו תינתק המשיחה. וצריך </w:t>
      </w:r>
      <w:r>
        <w:rPr>
          <w:rFonts w:cs="Arial"/>
          <w:sz w:val="16"/>
          <w:szCs w:val="16"/>
          <w:rtl/>
        </w:rPr>
        <w:lastRenderedPageBreak/>
        <w:t xml:space="preserve">ליזהר שתהא היד פתוחה עד שיניח כל הגט בידה, דאם תקפוץ ידה בעוד שהבעל אוחז ראש הגט בידו לא הוי גט דהוי כמו גט בידה ומשיחה בידו. </w:t>
      </w:r>
      <w:r>
        <w:rPr>
          <w:rFonts w:cs="Arial"/>
          <w:b/>
          <w:bCs/>
          <w:sz w:val="16"/>
          <w:szCs w:val="16"/>
          <w:rtl/>
        </w:rPr>
        <w:t>ונראה דכשר</w:t>
      </w:r>
      <w:r>
        <w:rPr>
          <w:rFonts w:cs="Arial"/>
          <w:sz w:val="16"/>
          <w:szCs w:val="16"/>
          <w:rtl/>
        </w:rPr>
        <w:t>, דלא גרע מעייק לה חרציה ושלפתו דהוי גט אע"ג דביד הבעל להדק מתניו שלא תטול. והמחמיר תבוא עליו ברכה. עכ"ל. וכתב התרומה</w:t>
      </w:r>
      <w:r>
        <w:rPr>
          <w:rStyle w:val="a7"/>
          <w:rFonts w:cs="Arial"/>
          <w:sz w:val="16"/>
          <w:szCs w:val="16"/>
          <w:rtl/>
        </w:rPr>
        <w:footnoteReference w:id="1628"/>
      </w:r>
      <w:r>
        <w:rPr>
          <w:rFonts w:cs="Arial"/>
          <w:sz w:val="16"/>
          <w:szCs w:val="16"/>
          <w:rtl/>
        </w:rPr>
        <w:t xml:space="preserve"> (סי' קכג) שמה שסיימו התוס' 'ונראה דכשר...' הרי זו מסקנתם, להיפך ממה שדחו התוס' בתחילת דבריהם. אך הרשב"א (עח:) הרא"ש (סי' ז) הה"מ (פ"ה הט"ז) והר"ן (מא.) פירשו שדברים אלו חוזרים על דברי ר"י, וזו מסקנתו)</w:t>
      </w:r>
    </w:p>
    <w:p w14:paraId="6D674EC6" w14:textId="664BE4C6" w:rsidR="00FA2119" w:rsidRDefault="00FA2119" w:rsidP="00FA2119">
      <w:pPr>
        <w:rPr>
          <w:rFonts w:cs="Arial"/>
          <w:rtl/>
        </w:rPr>
      </w:pPr>
      <w:r>
        <w:rPr>
          <w:rFonts w:cs="Arial"/>
          <w:u w:val="single"/>
          <w:rtl/>
        </w:rPr>
        <w:t xml:space="preserve">'גט בידה ומשיחה בידו' </w:t>
      </w:r>
      <w:r w:rsidR="00A82951">
        <w:rPr>
          <w:rFonts w:cs="Arial"/>
          <w:u w:val="single"/>
          <w:rtl/>
        </w:rPr>
        <w:t>-</w:t>
      </w:r>
      <w:r>
        <w:rPr>
          <w:rFonts w:cs="Arial"/>
          <w:u w:val="single"/>
          <w:rtl/>
        </w:rPr>
        <w:t xml:space="preserve"> היכי דמי:</w:t>
      </w:r>
    </w:p>
    <w:p w14:paraId="2F45EB21" w14:textId="7FD01C16" w:rsidR="00FA2119" w:rsidRDefault="00FA2119" w:rsidP="006A458D">
      <w:pPr>
        <w:pStyle w:val="ab"/>
        <w:numPr>
          <w:ilvl w:val="0"/>
          <w:numId w:val="98"/>
        </w:numPr>
        <w:rPr>
          <w:rFonts w:cs="Arial"/>
          <w:rtl/>
        </w:rPr>
      </w:pPr>
      <w:r>
        <w:rPr>
          <w:rFonts w:cs="Arial"/>
          <w:rtl/>
        </w:rPr>
        <w:t>(ר"י</w:t>
      </w:r>
      <w:r>
        <w:rPr>
          <w:rFonts w:cs="Arial"/>
          <w:sz w:val="16"/>
          <w:szCs w:val="16"/>
          <w:rtl/>
        </w:rPr>
        <w:t xml:space="preserve"> [בתוס' שם] להב' רשב"א הה"מ ור"ן</w:t>
      </w:r>
      <w:r>
        <w:rPr>
          <w:rFonts w:cs="Arial"/>
          <w:rtl/>
        </w:rPr>
        <w:t xml:space="preserve">) (ותוס' </w:t>
      </w:r>
      <w:r>
        <w:rPr>
          <w:rFonts w:cs="Arial"/>
          <w:sz w:val="16"/>
          <w:szCs w:val="16"/>
          <w:rtl/>
        </w:rPr>
        <w:t>[שם] להב' התרומה [סי' קכג]</w:t>
      </w:r>
      <w:r>
        <w:rPr>
          <w:rFonts w:cs="Arial"/>
          <w:rtl/>
        </w:rPr>
        <w:t>)</w:t>
      </w:r>
      <w:r w:rsidR="00A82951">
        <w:rPr>
          <w:rFonts w:cs="Arial"/>
          <w:rtl/>
        </w:rPr>
        <w:t>-</w:t>
      </w:r>
      <w:r>
        <w:rPr>
          <w:rFonts w:cs="Arial"/>
          <w:rtl/>
        </w:rPr>
        <w:t xml:space="preserve"> צריך ליזהר שתהא יד האשה פתוחה עד שיניח כל הגט בידה, דאם תקפוץ ידה בעוד שהבעל אוחז בראש הגט בידו </w:t>
      </w:r>
      <w:r w:rsidR="00A82951">
        <w:rPr>
          <w:rFonts w:cs="Arial"/>
          <w:rtl/>
        </w:rPr>
        <w:t>-</w:t>
      </w:r>
      <w:r>
        <w:rPr>
          <w:rFonts w:cs="Arial"/>
          <w:rtl/>
        </w:rPr>
        <w:t xml:space="preserve"> לא הוי גט, דהוי כמו גט בידה ומשיחה בידו. ונראה דכשר</w:t>
      </w:r>
      <w:r>
        <w:rPr>
          <w:rStyle w:val="a7"/>
          <w:rFonts w:cs="Arial"/>
          <w:rtl/>
        </w:rPr>
        <w:footnoteReference w:id="1629"/>
      </w:r>
      <w:r>
        <w:rPr>
          <w:rFonts w:cs="Arial"/>
          <w:rtl/>
        </w:rPr>
        <w:t xml:space="preserve">, דלא גרע מערק לה חרציה ושלפתו דהוי גט אע"ג דביד הבעל להדק מתניו שלא תטול. והמחמיר תבא עליו ברכה. </w:t>
      </w:r>
    </w:p>
    <w:p w14:paraId="285A2BBA" w14:textId="3B436B67" w:rsidR="00FA2119" w:rsidRDefault="00FA2119" w:rsidP="006A458D">
      <w:pPr>
        <w:pStyle w:val="ab"/>
        <w:numPr>
          <w:ilvl w:val="0"/>
          <w:numId w:val="98"/>
        </w:numPr>
        <w:rPr>
          <w:rFonts w:cs="Arial"/>
        </w:rPr>
      </w:pPr>
      <w:r>
        <w:rPr>
          <w:rFonts w:cs="Arial"/>
          <w:rtl/>
        </w:rPr>
        <w:t xml:space="preserve">ר"ת </w:t>
      </w:r>
      <w:r>
        <w:rPr>
          <w:rFonts w:cs="Arial"/>
          <w:sz w:val="16"/>
          <w:szCs w:val="16"/>
          <w:rtl/>
        </w:rPr>
        <w:t>(בתוס' שם)</w:t>
      </w:r>
      <w:r w:rsidR="00A82951">
        <w:rPr>
          <w:rFonts w:cs="Arial"/>
          <w:rtl/>
        </w:rPr>
        <w:t>-</w:t>
      </w:r>
      <w:r>
        <w:rPr>
          <w:rFonts w:cs="Arial"/>
          <w:rtl/>
        </w:rPr>
        <w:t xml:space="preserve"> לא מיירי כשהיתה ידה פתוחה ולאחר שנתן הגט בידה קפצה ידה, דא"כ אפילו אינו יכול להביאו אצלו אינה מגורשת, כיון דבשעת נתינה היה יכול להביאו אצלו, ומה שקופצת ידה אח"כ זה אינו עושה הבעל אלא היא, והוה ליה כטלי גיטך מעל גבי קרקע ואינו גט. אלא... בידה פתוחה איירי שפיר. ואם אינו יכול להביאו אצלו, היינו כשהגט כבד ואם ימשוך אצלו תינתק המשיחה</w:t>
      </w:r>
      <w:r>
        <w:rPr>
          <w:rStyle w:val="a7"/>
          <w:rFonts w:cs="Arial"/>
          <w:rtl/>
        </w:rPr>
        <w:footnoteReference w:id="1630"/>
      </w:r>
      <w:r>
        <w:rPr>
          <w:rFonts w:cs="Arial"/>
          <w:rtl/>
        </w:rPr>
        <w:t>.</w:t>
      </w:r>
    </w:p>
    <w:p w14:paraId="264C5723" w14:textId="476F5CB0" w:rsidR="00FA2119" w:rsidRDefault="00FA2119" w:rsidP="00FA2119">
      <w:pPr>
        <w:rPr>
          <w:rFonts w:cs="Arial"/>
          <w:u w:val="single"/>
          <w:rtl/>
        </w:rPr>
      </w:pPr>
      <w:r>
        <w:rPr>
          <w:rFonts w:cs="Arial"/>
          <w:u w:val="single"/>
          <w:rtl/>
        </w:rPr>
        <w:t xml:space="preserve">למעשה </w:t>
      </w:r>
      <w:r w:rsidR="00A82951">
        <w:rPr>
          <w:rFonts w:cs="Arial"/>
          <w:u w:val="single"/>
          <w:rtl/>
        </w:rPr>
        <w:t>-</w:t>
      </w:r>
      <w:r>
        <w:rPr>
          <w:rFonts w:cs="Arial"/>
          <w:u w:val="single"/>
          <w:rtl/>
        </w:rPr>
        <w:t xml:space="preserve"> בעל שהניח גט ביד האשה וקשור בגט חוט לידו, והאשה קפצה ידה ותפסה את הגט בחזקה:</w:t>
      </w:r>
    </w:p>
    <w:p w14:paraId="59B7A803" w14:textId="7CD9C9A4" w:rsidR="00FA2119" w:rsidRDefault="00FA2119" w:rsidP="006A458D">
      <w:pPr>
        <w:pStyle w:val="ab"/>
        <w:numPr>
          <w:ilvl w:val="0"/>
          <w:numId w:val="98"/>
        </w:numPr>
      </w:pPr>
      <w:r>
        <w:rPr>
          <w:rFonts w:cs="Arial"/>
          <w:rtl/>
        </w:rPr>
        <w:t>טור</w:t>
      </w:r>
      <w:r w:rsidR="00A82951">
        <w:rPr>
          <w:rFonts w:cs="Arial"/>
          <w:rtl/>
        </w:rPr>
        <w:t>-</w:t>
      </w:r>
      <w:r>
        <w:rPr>
          <w:rFonts w:cs="Arial"/>
          <w:rtl/>
        </w:rPr>
        <w:t xml:space="preserve"> נתן הגט לידה ונשאר החוט שהוא קשור עדיין בידו, אם הקשר אמיץ עד שיכול לנתקו</w:t>
      </w:r>
      <w:r>
        <w:rPr>
          <w:rFonts w:cs="Arial"/>
          <w:sz w:val="16"/>
          <w:szCs w:val="16"/>
          <w:rtl/>
        </w:rPr>
        <w:t xml:space="preserve"> {את הגט}</w:t>
      </w:r>
      <w:r>
        <w:rPr>
          <w:rFonts w:cs="Arial"/>
          <w:rtl/>
        </w:rPr>
        <w:t xml:space="preserve"> ולהביאו אצלו </w:t>
      </w:r>
      <w:r w:rsidR="00A82951">
        <w:rPr>
          <w:rFonts w:cs="Arial"/>
          <w:rtl/>
        </w:rPr>
        <w:t>-</w:t>
      </w:r>
      <w:r>
        <w:rPr>
          <w:rFonts w:cs="Arial"/>
          <w:rtl/>
        </w:rPr>
        <w:t xml:space="preserve"> אינה מגורשת. ואם לאו </w:t>
      </w:r>
      <w:r w:rsidR="00A82951">
        <w:rPr>
          <w:rFonts w:cs="Arial"/>
          <w:rtl/>
        </w:rPr>
        <w:t>-</w:t>
      </w:r>
      <w:r>
        <w:rPr>
          <w:rFonts w:cs="Arial"/>
          <w:rtl/>
        </w:rPr>
        <w:t xml:space="preserve"> מגורשת. </w:t>
      </w:r>
      <w:r>
        <w:rPr>
          <w:color w:val="E36C0A" w:themeColor="accent6" w:themeShade="BF"/>
          <w:rtl/>
        </w:rPr>
        <w:t>(וכ"פ בשו"ע)</w:t>
      </w:r>
    </w:p>
    <w:p w14:paraId="75B5742C" w14:textId="77777777" w:rsidR="00FA2119" w:rsidRDefault="00FA2119" w:rsidP="00FA2119">
      <w:pPr>
        <w:ind w:left="360"/>
        <w:rPr>
          <w:u w:val="dotted"/>
        </w:rPr>
      </w:pPr>
      <w:r>
        <w:rPr>
          <w:u w:val="dotted"/>
          <w:rtl/>
        </w:rPr>
        <w:t>ומה הדין אם הקשר אמיץ אבל אינו יכול לנתקו מחמת שקפצה ידה:</w:t>
      </w:r>
    </w:p>
    <w:p w14:paraId="4D36AA34" w14:textId="4BDD93CD" w:rsidR="00FA2119" w:rsidRDefault="00FA2119" w:rsidP="006A458D">
      <w:pPr>
        <w:pStyle w:val="ab"/>
        <w:numPr>
          <w:ilvl w:val="0"/>
          <w:numId w:val="98"/>
        </w:numPr>
      </w:pPr>
      <w:r>
        <w:rPr>
          <w:rFonts w:cs="Arial"/>
          <w:rtl/>
        </w:rPr>
        <w:t xml:space="preserve">ר"ת </w:t>
      </w:r>
      <w:r>
        <w:rPr>
          <w:rFonts w:cs="Arial"/>
          <w:sz w:val="16"/>
          <w:szCs w:val="16"/>
          <w:rtl/>
        </w:rPr>
        <w:t>(שם, וכ"כ בשמו רשב"א</w:t>
      </w:r>
      <w:r>
        <w:rPr>
          <w:rStyle w:val="a7"/>
          <w:rFonts w:cs="Arial"/>
          <w:sz w:val="16"/>
          <w:szCs w:val="16"/>
          <w:rtl/>
        </w:rPr>
        <w:footnoteReference w:id="1631"/>
      </w:r>
      <w:r>
        <w:rPr>
          <w:rFonts w:cs="Arial"/>
          <w:sz w:val="16"/>
          <w:szCs w:val="16"/>
          <w:rtl/>
        </w:rPr>
        <w:t xml:space="preserve"> הה"מ טור ור"ן)</w:t>
      </w:r>
      <w:r>
        <w:rPr>
          <w:rFonts w:cs="Arial"/>
          <w:rtl/>
        </w:rPr>
        <w:t xml:space="preserve"> ורא"ש</w:t>
      </w:r>
      <w:r>
        <w:rPr>
          <w:rStyle w:val="a7"/>
          <w:rFonts w:cs="Arial"/>
          <w:rtl/>
        </w:rPr>
        <w:footnoteReference w:id="1632"/>
      </w:r>
      <w:r>
        <w:rPr>
          <w:rFonts w:cs="Arial"/>
          <w:sz w:val="16"/>
          <w:szCs w:val="16"/>
          <w:rtl/>
        </w:rPr>
        <w:t xml:space="preserve"> (פ"ח סי' ז, כ"כ הטור בשמו)</w:t>
      </w:r>
      <w:r w:rsidR="00A82951">
        <w:rPr>
          <w:rFonts w:cs="Arial"/>
          <w:rtl/>
        </w:rPr>
        <w:t>-</w:t>
      </w:r>
      <w:r>
        <w:rPr>
          <w:rFonts w:cs="Arial"/>
          <w:rtl/>
        </w:rPr>
        <w:t xml:space="preserve"> ואם הקשר אמיץ שהיה יכול לנתקו ולהביאו אצלו אילו לא קפצה ידה, אלא מחמת שקפצה ידה אינו יכול לנתקו ולהביאו אצלו </w:t>
      </w:r>
      <w:r w:rsidR="00A82951">
        <w:rPr>
          <w:rFonts w:cs="Arial"/>
          <w:rtl/>
        </w:rPr>
        <w:t>-</w:t>
      </w:r>
      <w:r>
        <w:rPr>
          <w:rFonts w:cs="Arial"/>
          <w:rtl/>
        </w:rPr>
        <w:t xml:space="preserve"> לא הוי נתינה, כיון שגמר הנתינה היתה מכח שקפצה ידה</w:t>
      </w:r>
      <w:r>
        <w:rPr>
          <w:rFonts w:cs="Arial" w:hint="cs"/>
          <w:sz w:val="16"/>
          <w:szCs w:val="16"/>
        </w:rPr>
        <w:t xml:space="preserve"> </w:t>
      </w:r>
      <w:r>
        <w:rPr>
          <w:rFonts w:cs="Arial"/>
          <w:sz w:val="16"/>
          <w:szCs w:val="16"/>
          <w:rtl/>
        </w:rPr>
        <w:t>(ל' הטור בשם ר"ת)</w:t>
      </w:r>
      <w:r>
        <w:rPr>
          <w:rFonts w:cs="Arial"/>
          <w:rtl/>
        </w:rPr>
        <w:t>.</w:t>
      </w:r>
      <w:r>
        <w:rPr>
          <w:rtl/>
        </w:rPr>
        <w:t xml:space="preserve"> </w:t>
      </w:r>
      <w:r>
        <w:rPr>
          <w:color w:val="E36C0A" w:themeColor="accent6" w:themeShade="BF"/>
          <w:rtl/>
        </w:rPr>
        <w:t>(וכ"ס בשו"ע)</w:t>
      </w:r>
    </w:p>
    <w:p w14:paraId="452C6E39" w14:textId="7EDE7E9F" w:rsidR="00FA2119" w:rsidRDefault="00FA2119" w:rsidP="006A458D">
      <w:pPr>
        <w:pStyle w:val="ab"/>
        <w:numPr>
          <w:ilvl w:val="0"/>
          <w:numId w:val="98"/>
        </w:numPr>
      </w:pPr>
      <w:r>
        <w:rPr>
          <w:rFonts w:cs="Arial"/>
          <w:rtl/>
        </w:rPr>
        <w:t>ר"י</w:t>
      </w:r>
      <w:r>
        <w:rPr>
          <w:rFonts w:cs="Arial"/>
          <w:sz w:val="16"/>
          <w:szCs w:val="16"/>
          <w:rtl/>
        </w:rPr>
        <w:t xml:space="preserve"> ([בתוס' שם] להב' רשב"א הה"מ טור ור"ן)</w:t>
      </w:r>
      <w:r>
        <w:rPr>
          <w:rFonts w:cs="Arial"/>
          <w:rtl/>
        </w:rPr>
        <w:t xml:space="preserve"> סמ"ג </w:t>
      </w:r>
      <w:r>
        <w:rPr>
          <w:rFonts w:cs="Arial"/>
          <w:sz w:val="16"/>
          <w:szCs w:val="16"/>
          <w:rtl/>
        </w:rPr>
        <w:t>(עשין נ קכט.)</w:t>
      </w:r>
      <w:r>
        <w:rPr>
          <w:rFonts w:cs="Arial"/>
          <w:rtl/>
        </w:rPr>
        <w:t xml:space="preserve"> וספר התרומה </w:t>
      </w:r>
      <w:r>
        <w:rPr>
          <w:rFonts w:cs="Arial"/>
          <w:sz w:val="16"/>
          <w:szCs w:val="16"/>
          <w:rtl/>
        </w:rPr>
        <w:t>(סי' קכג, וכ"כ בשמו הגה"מ [פ"ה הט"ז])</w:t>
      </w:r>
      <w:r w:rsidR="00A82951">
        <w:rPr>
          <w:rFonts w:cs="Arial"/>
          <w:rtl/>
        </w:rPr>
        <w:t>-</w:t>
      </w:r>
      <w:r>
        <w:rPr>
          <w:rFonts w:cs="Arial"/>
          <w:rtl/>
        </w:rPr>
        <w:t xml:space="preserve"> גט בידה ומשיחה בידו שאם קפצה ידה ומחמת זה יפסק החוט כשהוא מושך </w:t>
      </w:r>
      <w:r w:rsidR="00A82951">
        <w:rPr>
          <w:rFonts w:cs="Arial"/>
          <w:rtl/>
        </w:rPr>
        <w:t>-</w:t>
      </w:r>
      <w:r>
        <w:rPr>
          <w:rFonts w:cs="Arial"/>
          <w:rtl/>
        </w:rPr>
        <w:t xml:space="preserve"> מיקרי שפיר נתינה</w:t>
      </w:r>
      <w:r>
        <w:rPr>
          <w:rStyle w:val="a7"/>
          <w:rFonts w:cs="Arial"/>
          <w:rtl/>
        </w:rPr>
        <w:footnoteReference w:id="1633"/>
      </w:r>
      <w:r>
        <w:rPr>
          <w:rFonts w:cs="Arial"/>
          <w:rtl/>
        </w:rPr>
        <w:t>. והמחמיר תבוא עליו ברכה</w:t>
      </w:r>
      <w:r>
        <w:rPr>
          <w:rFonts w:cs="Arial"/>
          <w:sz w:val="16"/>
          <w:szCs w:val="16"/>
          <w:rtl/>
        </w:rPr>
        <w:t xml:space="preserve"> (ל' הב"י בשם סמ"ג והתרומה)</w:t>
      </w:r>
      <w:r>
        <w:rPr>
          <w:rFonts w:cs="Arial"/>
          <w:rtl/>
        </w:rPr>
        <w:t xml:space="preserve">. </w:t>
      </w:r>
    </w:p>
    <w:p w14:paraId="548D58AC"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D8FA1C4" w14:textId="77777777" w:rsidR="00FA2119" w:rsidRDefault="00FA2119" w:rsidP="00FA2119">
      <w:pPr>
        <w:rPr>
          <w:rtl/>
        </w:rPr>
      </w:pPr>
      <w:r>
        <w:rPr>
          <w:rFonts w:cs="Arial"/>
          <w:rtl/>
        </w:rPr>
        <w:lastRenderedPageBreak/>
        <w:t>נתן הגט לידה ונשאר החוט שהוא קשור בו בידו, אם הקשר אמיץ עד שיכול לנתקו ולהביאו אצלו, אינה מגורשת</w:t>
      </w:r>
      <w:r>
        <w:rPr>
          <w:rStyle w:val="a7"/>
          <w:rFonts w:cs="Arial"/>
          <w:rtl/>
        </w:rPr>
        <w:footnoteReference w:id="1634"/>
      </w:r>
      <w:r>
        <w:rPr>
          <w:rFonts w:cs="Arial"/>
          <w:rtl/>
        </w:rPr>
        <w:t xml:space="preserve">. ואם לאו, מגורשת. ואם הקשר אמיץ שהיה יכול לנתקו ולהביאו אצלו אלו לא קפצה ידה, אלא מחמת שקפצה ידה אינו יכול לנתקו ולהביאה אצלו, לא הוי נתינה ואינה מגורשת. ויש מי שאומר שהיא מגורשת. </w:t>
      </w:r>
      <w:r>
        <w:rPr>
          <w:rFonts w:cs="Arial"/>
          <w:sz w:val="18"/>
          <w:szCs w:val="18"/>
          <w:rtl/>
        </w:rPr>
        <w:t>הגה: וכל זה לא מיירי אלא שקפצה ידה בלא רצון הבעל, אבל אם הבעל מצוה לה לקפוץ, ואפילו הושיט לה הגט והיא לקחה אותו בצד הב', הוי גט</w:t>
      </w:r>
      <w:r>
        <w:rPr>
          <w:rStyle w:val="a7"/>
          <w:rFonts w:cs="Arial"/>
          <w:sz w:val="18"/>
          <w:szCs w:val="18"/>
          <w:rtl/>
        </w:rPr>
        <w:footnoteReference w:id="1635"/>
      </w:r>
      <w:r>
        <w:rPr>
          <w:rFonts w:cs="Arial"/>
          <w:sz w:val="18"/>
          <w:szCs w:val="18"/>
          <w:rtl/>
        </w:rPr>
        <w:t>, כן נראה לי.</w:t>
      </w:r>
      <w:r>
        <w:rPr>
          <w:rFonts w:cs="Arial"/>
          <w:rtl/>
        </w:rPr>
        <w:t xml:space="preserve"> </w:t>
      </w:r>
    </w:p>
    <w:p w14:paraId="1A3DA988" w14:textId="77777777" w:rsidR="00FA2119" w:rsidRDefault="00FA2119" w:rsidP="00FA2119">
      <w:pPr>
        <w:rPr>
          <w:rtl/>
        </w:rPr>
      </w:pPr>
    </w:p>
    <w:p w14:paraId="4A9D8B44" w14:textId="77777777" w:rsidR="00FA2119" w:rsidRDefault="00FA2119" w:rsidP="00FA2119">
      <w:pPr>
        <w:pStyle w:val="2"/>
        <w:rPr>
          <w:rtl/>
        </w:rPr>
      </w:pPr>
      <w:r>
        <w:rPr>
          <w:rtl/>
        </w:rPr>
        <w:t>סעיף ג: נתן את הגט כשהיא ישנה.</w:t>
      </w:r>
    </w:p>
    <w:p w14:paraId="18F486C6" w14:textId="25AA972B" w:rsidR="00FA2119" w:rsidRDefault="00FA2119" w:rsidP="00FA2119">
      <w:pPr>
        <w:rPr>
          <w:rFonts w:cs="Arial"/>
          <w:rtl/>
        </w:rPr>
      </w:pPr>
      <w:r>
        <w:rPr>
          <w:rFonts w:cs="Arial"/>
          <w:b/>
          <w:bCs/>
          <w:rtl/>
        </w:rPr>
        <w:t xml:space="preserve">גיטין </w:t>
      </w:r>
      <w:r>
        <w:rPr>
          <w:rFonts w:cs="Arial"/>
          <w:b/>
          <w:bCs/>
          <w:sz w:val="16"/>
          <w:szCs w:val="16"/>
          <w:rtl/>
        </w:rPr>
        <w:t>(פ' הזורק)</w:t>
      </w:r>
      <w:r>
        <w:rPr>
          <w:rFonts w:cs="Arial"/>
          <w:b/>
          <w:bCs/>
          <w:rtl/>
        </w:rPr>
        <w:t xml:space="preserve"> עח ע"א:</w:t>
      </w:r>
      <w:r>
        <w:rPr>
          <w:rFonts w:cs="Arial"/>
          <w:rtl/>
        </w:rPr>
        <w:t xml:space="preserve"> </w:t>
      </w:r>
      <w:r>
        <w:rPr>
          <w:rFonts w:cs="Arial"/>
          <w:u w:val="double"/>
          <w:rtl/>
        </w:rPr>
        <w:t>מתני'</w:t>
      </w:r>
      <w:r>
        <w:rPr>
          <w:rFonts w:cs="Arial"/>
          <w:rtl/>
        </w:rPr>
        <w:t xml:space="preserve">:... נתן בידה והיא ישנה, ניעורה קוראה והרי הוא גיטה </w:t>
      </w:r>
      <w:r w:rsidR="00A82951">
        <w:rPr>
          <w:rFonts w:cs="Arial"/>
          <w:rtl/>
        </w:rPr>
        <w:t>-</w:t>
      </w:r>
      <w:r>
        <w:rPr>
          <w:rFonts w:cs="Arial"/>
          <w:rtl/>
        </w:rPr>
        <w:t xml:space="preserve"> אינו גט</w:t>
      </w:r>
      <w:r>
        <w:rPr>
          <w:rStyle w:val="a7"/>
          <w:rFonts w:cs="Arial"/>
          <w:rtl/>
        </w:rPr>
        <w:footnoteReference w:id="1636"/>
      </w:r>
      <w:r>
        <w:rPr>
          <w:rFonts w:cs="Arial"/>
          <w:rtl/>
        </w:rPr>
        <w:t>, עד שיאמר לה הא גיטיך.</w:t>
      </w:r>
      <w:r>
        <w:rPr>
          <w:rtl/>
        </w:rPr>
        <w:t xml:space="preserve"> </w:t>
      </w:r>
      <w:r>
        <w:rPr>
          <w:rFonts w:cs="Arial"/>
          <w:rtl/>
        </w:rPr>
        <w:t xml:space="preserve">      </w:t>
      </w:r>
      <w:r>
        <w:rPr>
          <w:rFonts w:cs="Arial"/>
          <w:u w:val="double"/>
          <w:rtl/>
        </w:rPr>
        <w:t>גמ'</w:t>
      </w:r>
      <w:r>
        <w:rPr>
          <w:rFonts w:cs="Arial"/>
          <w:rtl/>
        </w:rPr>
        <w:t xml:space="preserve">: תניא:... נתנו בידה והיא ישנה, ניעורה וקוראה והרי הוא גיטה </w:t>
      </w:r>
      <w:r w:rsidR="00A82951">
        <w:rPr>
          <w:rFonts w:cs="Arial"/>
          <w:rtl/>
        </w:rPr>
        <w:t>-</w:t>
      </w:r>
      <w:r>
        <w:rPr>
          <w:rFonts w:cs="Arial"/>
          <w:rtl/>
        </w:rPr>
        <w:t xml:space="preserve"> אינו גט, עד שיאמר לה הא גיטיך, </w:t>
      </w:r>
      <w:r>
        <w:rPr>
          <w:rFonts w:cs="Arial"/>
          <w:u w:val="single"/>
          <w:rtl/>
        </w:rPr>
        <w:t>דברי רבי</w:t>
      </w:r>
      <w:r>
        <w:rPr>
          <w:rFonts w:cs="Arial"/>
          <w:rtl/>
        </w:rPr>
        <w:t xml:space="preserve">. </w:t>
      </w:r>
      <w:r>
        <w:rPr>
          <w:rFonts w:cs="Arial"/>
          <w:u w:val="single"/>
          <w:rtl/>
        </w:rPr>
        <w:t>רבי שמעון בן אלעזר אומר</w:t>
      </w:r>
      <w:r>
        <w:rPr>
          <w:rFonts w:cs="Arial"/>
          <w:rtl/>
        </w:rPr>
        <w:t xml:space="preserve">: עד שיטלנו הימנה ויחזור ויתננו לה ויאמר לה הא גיטיך. </w:t>
      </w:r>
      <w:r>
        <w:rPr>
          <w:rFonts w:cs="Arial"/>
          <w:sz w:val="16"/>
          <w:szCs w:val="16"/>
          <w:rtl/>
        </w:rPr>
        <w:t>(וכבר כתבתי בתחלת סימן קל"ז דהלכה כרבי שאינו צריך ליטלו ממנה אלא בעודו בידה כשתקיץ משנתה אומר לה הא גיטך. וכתב הרא"ש (סי' ד) דטעמא דישינה הוא משום דלית בה דעת כלל, וגריעה מחרשת (גיטין נה.). והרשב"א (עח. סוד"ה נתן גט) כתב דאין הענין משום דעת אלא לפי שאין לה יד כלל, והרי זו כנשתטית או שאינה יודעת לשמור גיטה דאינה יכולה להתגרש (יבמות קיג:). וגם הר"ן (מ. ד"ה נתן גט) כתב דאע"ג דלא בעינן דעתא דידה (גיטין נה.), מקום המשתמר מיהא בעינן (שם עז:), וכשהיא ישינה לא מינטר, ב"י)</w:t>
      </w:r>
    </w:p>
    <w:p w14:paraId="77E30FF3" w14:textId="77777777" w:rsidR="00FA2119" w:rsidRDefault="00FA2119" w:rsidP="00FA2119">
      <w:pPr>
        <w:rPr>
          <w:u w:val="single"/>
          <w:rtl/>
        </w:rPr>
      </w:pPr>
      <w:r>
        <w:rPr>
          <w:u w:val="single"/>
          <w:rtl/>
        </w:rPr>
        <w:t>נתן את הגט כשהיא ישנה:</w:t>
      </w:r>
    </w:p>
    <w:p w14:paraId="5CE7DC0E" w14:textId="3B11090C" w:rsidR="00FA2119" w:rsidRDefault="00FA2119" w:rsidP="006A458D">
      <w:pPr>
        <w:pStyle w:val="ab"/>
        <w:numPr>
          <w:ilvl w:val="0"/>
          <w:numId w:val="96"/>
        </w:numPr>
        <w:rPr>
          <w:rtl/>
        </w:rPr>
      </w:pPr>
      <w:r>
        <w:rPr>
          <w:rtl/>
        </w:rPr>
        <w:t>טור</w:t>
      </w:r>
      <w:r w:rsidR="00A82951">
        <w:rPr>
          <w:rtl/>
        </w:rPr>
        <w:t>-</w:t>
      </w:r>
      <w:r>
        <w:rPr>
          <w:rFonts w:cs="Arial"/>
          <w:rtl/>
        </w:rPr>
        <w:t xml:space="preserve"> נתנו לה כשהיא ישנה, וננערת והגט הוא בידה, אומר לה ה"ז גיטיך, וא"צ לחזור וליטלו ממנה וליתנו לה</w:t>
      </w:r>
      <w:r>
        <w:rPr>
          <w:rStyle w:val="a7"/>
          <w:rFonts w:cs="Arial"/>
          <w:rtl/>
        </w:rPr>
        <w:footnoteReference w:id="1637"/>
      </w:r>
      <w:r>
        <w:rPr>
          <w:rFonts w:cs="Arial"/>
          <w:rtl/>
        </w:rPr>
        <w:t xml:space="preserve">. אבל אם לא אמר ה"ז גיטיך, אפי' אמר לעדים ראו גט שאני נותן לה </w:t>
      </w:r>
      <w:r w:rsidR="00A82951">
        <w:rPr>
          <w:rFonts w:cs="Arial"/>
          <w:rtl/>
        </w:rPr>
        <w:t>-</w:t>
      </w:r>
      <w:r>
        <w:rPr>
          <w:rFonts w:cs="Arial"/>
          <w:rtl/>
        </w:rPr>
        <w:t xml:space="preserve"> אינו כלום, כיון שהיא היתה ישנה.</w:t>
      </w:r>
      <w:r>
        <w:rPr>
          <w:rtl/>
        </w:rPr>
        <w:t xml:space="preserve"> </w:t>
      </w:r>
      <w:r>
        <w:rPr>
          <w:color w:val="E36C0A" w:themeColor="accent6" w:themeShade="BF"/>
          <w:rtl/>
        </w:rPr>
        <w:t>(וכ"פ בשו"ע)</w:t>
      </w:r>
    </w:p>
    <w:p w14:paraId="45F1EBD0" w14:textId="77777777" w:rsidR="00FA2119" w:rsidRDefault="00FA2119" w:rsidP="00FA2119">
      <w:pPr>
        <w:ind w:left="360"/>
        <w:rPr>
          <w:u w:val="dotted"/>
        </w:rPr>
      </w:pPr>
      <w:r>
        <w:rPr>
          <w:u w:val="dotted"/>
          <w:rtl/>
        </w:rPr>
        <w:t>ומה הדין אם נפל מידה בעודה ישנה וכשהתעוררה חזרה ולקחתו:</w:t>
      </w:r>
    </w:p>
    <w:p w14:paraId="6CF06586" w14:textId="01CDED3E" w:rsidR="00FA2119" w:rsidRDefault="00FA2119" w:rsidP="006A458D">
      <w:pPr>
        <w:pStyle w:val="ab"/>
        <w:numPr>
          <w:ilvl w:val="0"/>
          <w:numId w:val="96"/>
        </w:numPr>
      </w:pPr>
      <w:r>
        <w:rPr>
          <w:rFonts w:cs="Arial"/>
          <w:rtl/>
        </w:rPr>
        <w:t xml:space="preserve">רמ"ה </w:t>
      </w:r>
      <w:r>
        <w:rPr>
          <w:rFonts w:cs="Arial"/>
          <w:sz w:val="16"/>
          <w:szCs w:val="16"/>
          <w:rtl/>
        </w:rPr>
        <w:t xml:space="preserve">(שיטות קדמונים גיטין עח. ד"ה נתן גט) </w:t>
      </w:r>
      <w:r>
        <w:rPr>
          <w:rFonts w:cs="Arial"/>
          <w:rtl/>
        </w:rPr>
        <w:t>רא"ש</w:t>
      </w:r>
      <w:r>
        <w:rPr>
          <w:rStyle w:val="a7"/>
          <w:rFonts w:cs="Arial"/>
          <w:rtl/>
        </w:rPr>
        <w:footnoteReference w:id="1638"/>
      </w:r>
      <w:r>
        <w:rPr>
          <w:rFonts w:cs="Arial"/>
          <w:rtl/>
        </w:rPr>
        <w:t xml:space="preserve"> </w:t>
      </w:r>
      <w:r>
        <w:rPr>
          <w:rFonts w:cs="Arial"/>
          <w:sz w:val="16"/>
          <w:szCs w:val="16"/>
          <w:rtl/>
        </w:rPr>
        <w:t>(פ' הזורק סי' ד)</w:t>
      </w:r>
      <w:r>
        <w:rPr>
          <w:rFonts w:cs="Arial"/>
          <w:rtl/>
        </w:rPr>
        <w:t xml:space="preserve"> וטור</w:t>
      </w:r>
      <w:r w:rsidR="00A82951">
        <w:rPr>
          <w:rFonts w:cs="Arial"/>
          <w:rtl/>
        </w:rPr>
        <w:t>-</w:t>
      </w:r>
      <w:r>
        <w:rPr>
          <w:rFonts w:cs="Arial"/>
          <w:rtl/>
        </w:rPr>
        <w:t xml:space="preserve"> וכן אם נפל מידה בעודה ישנה, אע"פ שחזרה ולקחתו </w:t>
      </w:r>
      <w:r w:rsidR="00A82951">
        <w:rPr>
          <w:rFonts w:cs="Arial"/>
          <w:rtl/>
        </w:rPr>
        <w:t>-</w:t>
      </w:r>
      <w:r>
        <w:rPr>
          <w:rFonts w:cs="Arial"/>
          <w:rtl/>
        </w:rPr>
        <w:t xml:space="preserve"> אינו גט עד שיחזור ויתננו לה ויאמר הרי זה גיטך </w:t>
      </w:r>
      <w:r>
        <w:rPr>
          <w:rFonts w:cs="Arial"/>
          <w:sz w:val="16"/>
          <w:szCs w:val="16"/>
          <w:rtl/>
        </w:rPr>
        <w:t>(ל' הטור)</w:t>
      </w:r>
      <w:r>
        <w:rPr>
          <w:rFonts w:cs="Arial"/>
          <w:rtl/>
        </w:rPr>
        <w:t xml:space="preserve">. </w:t>
      </w:r>
      <w:r>
        <w:rPr>
          <w:color w:val="E36C0A" w:themeColor="accent6" w:themeShade="BF"/>
          <w:rtl/>
        </w:rPr>
        <w:t>(וכ"פ בשו"ע)</w:t>
      </w:r>
    </w:p>
    <w:p w14:paraId="5D73B326" w14:textId="77777777" w:rsidR="00FA2119" w:rsidRDefault="00FA2119" w:rsidP="00FA2119">
      <w:pPr>
        <w:ind w:left="360"/>
        <w:rPr>
          <w:u w:val="dotted"/>
          <w:rtl/>
        </w:rPr>
      </w:pPr>
      <w:r>
        <w:rPr>
          <w:u w:val="dotted"/>
          <w:rtl/>
        </w:rPr>
        <w:t>ומה הדין אם נתן את הגט לשליח קבלה שלה בזמן שהיא ישנה:</w:t>
      </w:r>
    </w:p>
    <w:p w14:paraId="3AACA12E" w14:textId="08027246" w:rsidR="00FA2119" w:rsidRDefault="00FA2119" w:rsidP="006A458D">
      <w:pPr>
        <w:pStyle w:val="ab"/>
        <w:numPr>
          <w:ilvl w:val="0"/>
          <w:numId w:val="96"/>
        </w:numPr>
      </w:pPr>
      <w:r>
        <w:rPr>
          <w:rFonts w:cs="Arial"/>
          <w:rtl/>
        </w:rPr>
        <w:t xml:space="preserve">ר"ן </w:t>
      </w:r>
      <w:r>
        <w:rPr>
          <w:rFonts w:cs="Arial"/>
          <w:sz w:val="16"/>
          <w:szCs w:val="16"/>
          <w:rtl/>
        </w:rPr>
        <w:t>(הזורק מ. סוף דיבור ראשון)</w:t>
      </w:r>
      <w:r w:rsidR="00A82951">
        <w:rPr>
          <w:rFonts w:cs="Arial"/>
          <w:rtl/>
        </w:rPr>
        <w:t>-</w:t>
      </w:r>
      <w:r>
        <w:rPr>
          <w:rFonts w:cs="Arial"/>
          <w:rtl/>
        </w:rPr>
        <w:t xml:space="preserve"> טעמא דנתן בידה והיא ישנה דלא הוי גט </w:t>
      </w:r>
      <w:r w:rsidR="00A82951">
        <w:rPr>
          <w:rFonts w:cs="Arial"/>
          <w:rtl/>
        </w:rPr>
        <w:t>-</w:t>
      </w:r>
      <w:r>
        <w:rPr>
          <w:rFonts w:cs="Arial"/>
          <w:rtl/>
        </w:rPr>
        <w:t xml:space="preserve"> היינו משום דבעינן מקום המשתמר, וכשהיא ישנה לא מינטר. וכיון דמהאי טעמא הוא, אין ספק שאם נתנו לשליח קבלה שלה בשעה שהיא ישנה שמתגרשת, דהא מינטר</w:t>
      </w:r>
      <w:r>
        <w:rPr>
          <w:rStyle w:val="a7"/>
          <w:rFonts w:cs="Arial"/>
          <w:rtl/>
        </w:rPr>
        <w:footnoteReference w:id="1639"/>
      </w:r>
      <w:r>
        <w:rPr>
          <w:rFonts w:cs="Arial"/>
          <w:rtl/>
        </w:rPr>
        <w:t>.</w:t>
      </w:r>
      <w:r>
        <w:rPr>
          <w:rtl/>
        </w:rPr>
        <w:t xml:space="preserve"> </w:t>
      </w:r>
      <w:r>
        <w:rPr>
          <w:color w:val="00B0F0"/>
          <w:rtl/>
        </w:rPr>
        <w:t>(וכ"פ הרמ"א)</w:t>
      </w:r>
    </w:p>
    <w:p w14:paraId="0BB03C87" w14:textId="77777777" w:rsidR="00FA2119" w:rsidRDefault="00FA2119" w:rsidP="00FA2119">
      <w:pPr>
        <w:ind w:left="360"/>
        <w:rPr>
          <w:rFonts w:cs="Arial"/>
          <w:u w:val="dotted"/>
          <w:rtl/>
        </w:rPr>
      </w:pPr>
      <w:r>
        <w:rPr>
          <w:rFonts w:cs="Arial"/>
          <w:u w:val="dotted"/>
          <w:rtl/>
        </w:rPr>
        <w:lastRenderedPageBreak/>
        <w:t xml:space="preserve">ומה הדין אם זרק לחצרה </w:t>
      </w:r>
      <w:r>
        <w:rPr>
          <w:rFonts w:cs="Arial"/>
          <w:sz w:val="16"/>
          <w:szCs w:val="16"/>
          <w:u w:val="dotted"/>
          <w:rtl/>
        </w:rPr>
        <w:t xml:space="preserve">(שהוא מקום המשתמר) </w:t>
      </w:r>
      <w:r>
        <w:rPr>
          <w:rFonts w:cs="Arial"/>
          <w:u w:val="dotted"/>
          <w:rtl/>
        </w:rPr>
        <w:t xml:space="preserve">והיא ישנה: </w:t>
      </w:r>
    </w:p>
    <w:p w14:paraId="030EC038" w14:textId="2A5A579B" w:rsidR="00FA2119" w:rsidRDefault="00FA2119" w:rsidP="006A458D">
      <w:pPr>
        <w:pStyle w:val="ab"/>
        <w:numPr>
          <w:ilvl w:val="0"/>
          <w:numId w:val="96"/>
        </w:numPr>
        <w:rPr>
          <w:rFonts w:cs="Arial"/>
        </w:rPr>
      </w:pPr>
      <w:r>
        <w:rPr>
          <w:rFonts w:cs="Arial"/>
          <w:rtl/>
        </w:rPr>
        <w:t xml:space="preserve">רשב"א </w:t>
      </w:r>
      <w:r>
        <w:rPr>
          <w:rFonts w:cs="Arial"/>
          <w:sz w:val="16"/>
          <w:szCs w:val="16"/>
          <w:rtl/>
        </w:rPr>
        <w:t>(הזורק עח.)</w:t>
      </w:r>
      <w:r w:rsidR="00A82951">
        <w:rPr>
          <w:rFonts w:cs="Arial"/>
          <w:rtl/>
        </w:rPr>
        <w:t>-</w:t>
      </w:r>
      <w:r>
        <w:rPr>
          <w:rFonts w:cs="Arial"/>
          <w:rtl/>
        </w:rPr>
        <w:t xml:space="preserve"> לעולם דעת בעינן, אבל דעתה דוקא לא בעינן, אלא או דעתה או דעת העדים, והיינו אמר לעדים ראו גט שאני נותן לה אע"פ שחזר ואמר לה כנסי שטר חוב זה דמגורשת, וישנה אע"פ שיש כאן דעת עדים דאינה מגורשת, אין הענין משום דעת אלא לפי שאין לה יד כלל והרי זו כנשתטית או שאינה יודעת לשמור את גיטה דאינה יכולה להתגרש (יבמות קיג:). וזרק לה גט בחצרה והיא בטבריא וחצרה בציפורי אע"פ שאינה יודעת בשעת זריקתו דהויא מגורשת לרבי אושעיא, או לעולא בחצרה הסמוכה לה (גיטין עז:), התם היינו טעמא משום דחצרה משום ידה אתרבאי, וכיון שהיא יכולה להתגרש על ידה בכענין זה שאם נתנו בידה סתם והיא נעורה ואמר לעדים ראו גט שאני נותן לה מגורשת, הכי נמי בחצר שהרי יש כאן דעת עדים ודיו</w:t>
      </w:r>
      <w:r>
        <w:rPr>
          <w:rStyle w:val="a7"/>
          <w:rFonts w:cs="Arial"/>
          <w:rtl/>
        </w:rPr>
        <w:footnoteReference w:id="1640"/>
      </w:r>
      <w:r>
        <w:rPr>
          <w:rFonts w:cs="Arial"/>
          <w:rtl/>
        </w:rPr>
        <w:t>. אבל מה שכתב הראב"ד ז"ל דאפילו זרקו לה בחצרה והיא ישנה</w:t>
      </w:r>
      <w:r>
        <w:rPr>
          <w:rFonts w:cs="Arial"/>
          <w:sz w:val="16"/>
          <w:szCs w:val="16"/>
          <w:rtl/>
        </w:rPr>
        <w:t xml:space="preserve"> {ולא אמר לעדים לפנ"כ שזה גיטה}</w:t>
      </w:r>
      <w:r>
        <w:rPr>
          <w:rFonts w:cs="Arial"/>
          <w:rtl/>
        </w:rPr>
        <w:t xml:space="preserve"> דמגורשת </w:t>
      </w:r>
      <w:r w:rsidR="00A82951">
        <w:rPr>
          <w:rFonts w:cs="Arial"/>
          <w:rtl/>
        </w:rPr>
        <w:t>-</w:t>
      </w:r>
      <w:r>
        <w:rPr>
          <w:rFonts w:cs="Arial"/>
          <w:rtl/>
        </w:rPr>
        <w:t xml:space="preserve"> הא ודאי צריך עיון, ומסתברא דאינה מגורשת, דלא עדיפא חצרה מידה. דאם נתנו בידה והיא ישנה אינה מגורשת, כ"ש חצרה דיציבא בארעא וגיורא בשמי שמיא. ועד דאתו עדים ואמרי בההיא שעתא נעורה היתה </w:t>
      </w:r>
      <w:r w:rsidR="00A82951">
        <w:rPr>
          <w:rFonts w:cs="Arial"/>
          <w:rtl/>
        </w:rPr>
        <w:t>-</w:t>
      </w:r>
      <w:r>
        <w:rPr>
          <w:rFonts w:cs="Arial"/>
          <w:rtl/>
        </w:rPr>
        <w:t xml:space="preserve"> אינה מגורשת. ותדע לך דכל שאין לה יד אין לה חצר... ומיהו אף כשתמצא לומר דחצרה כיון שהיא משתמרת לדעתה, אע"ג דהיא ישנה בשעת זריקת הגט, הרי זו מגורשת, דמכל מקום בחצר המשתמרת זרקו לה, ולא דמי לישנה דאינו משתמר כלל </w:t>
      </w:r>
      <w:r>
        <w:rPr>
          <w:rFonts w:cs="Arial"/>
          <w:sz w:val="16"/>
          <w:szCs w:val="16"/>
          <w:rtl/>
        </w:rPr>
        <w:t>(ולשוטה לא דמי דכיון דאין לה יד כלל ולאו סמיה בידן הילכך אין לה חצר, אבל ישנה אע"ג דהשתא אין לה יד מכל מקום ראויה להיות לה יד דלאו מחוסרת מעשה וסמיה בידן, הילכך אפילו השתא יש לה חצר כיון שהיא משתמרת)</w:t>
      </w:r>
      <w:r>
        <w:rPr>
          <w:rFonts w:cs="Arial"/>
          <w:rtl/>
        </w:rPr>
        <w:t>, מכל מקום אכתי לא תקשי לן, דכיון שהיא משתמרת</w:t>
      </w:r>
      <w:r>
        <w:rPr>
          <w:rFonts w:cs="Arial"/>
          <w:sz w:val="16"/>
          <w:szCs w:val="16"/>
          <w:rtl/>
        </w:rPr>
        <w:t xml:space="preserve"> </w:t>
      </w:r>
      <w:r>
        <w:rPr>
          <w:rFonts w:cs="Arial"/>
          <w:rtl/>
        </w:rPr>
        <w:t xml:space="preserve">ואיכא דעת עדים </w:t>
      </w:r>
      <w:r w:rsidR="00A82951">
        <w:rPr>
          <w:rFonts w:cs="Arial"/>
          <w:rtl/>
        </w:rPr>
        <w:t>-</w:t>
      </w:r>
      <w:r>
        <w:rPr>
          <w:rFonts w:cs="Arial"/>
          <w:rtl/>
        </w:rPr>
        <w:t xml:space="preserve"> הרי זו מגורשת</w:t>
      </w:r>
      <w:r>
        <w:rPr>
          <w:rStyle w:val="a7"/>
          <w:rFonts w:cs="Arial"/>
          <w:rtl/>
        </w:rPr>
        <w:footnoteReference w:id="1641"/>
      </w:r>
      <w:r>
        <w:rPr>
          <w:rFonts w:cs="Arial"/>
          <w:sz w:val="16"/>
          <w:szCs w:val="16"/>
          <w:rtl/>
        </w:rPr>
        <w:t xml:space="preserve"> {אבל כאן אין דעת עדים}</w:t>
      </w:r>
      <w:r>
        <w:rPr>
          <w:rFonts w:cs="Arial"/>
          <w:rtl/>
        </w:rPr>
        <w:t>.</w:t>
      </w:r>
      <w:r>
        <w:rPr>
          <w:color w:val="00B0F0"/>
          <w:rtl/>
        </w:rPr>
        <w:t xml:space="preserve"> (וכ"כ הרמ"א)</w:t>
      </w:r>
      <w:r>
        <w:rPr>
          <w:rFonts w:cs="Arial"/>
          <w:rtl/>
        </w:rPr>
        <w:t xml:space="preserve"> </w:t>
      </w:r>
    </w:p>
    <w:p w14:paraId="67F0C828"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B3B9FFF" w14:textId="77777777" w:rsidR="00FA2119" w:rsidRDefault="00FA2119" w:rsidP="00FA2119">
      <w:pPr>
        <w:rPr>
          <w:rFonts w:cs="Arial"/>
          <w:rtl/>
        </w:rPr>
      </w:pPr>
      <w:r>
        <w:rPr>
          <w:rFonts w:cs="Arial"/>
          <w:rtl/>
        </w:rPr>
        <w:t>נתן הגט כשהיא ישנה, וננערה, והרי הוא בידה, ואמר לה: הרי זה גיטך, אין צריך לחזור וליטלו מידה וליתנו לה. אבל אם לא אמר לה: הרי זה גיטך, אפילו אמר לעדים: ראו גט שאני נותן לה, אינו כלום, כיון שהיא היתה ישנה</w:t>
      </w:r>
      <w:r>
        <w:rPr>
          <w:rStyle w:val="a7"/>
          <w:rFonts w:cs="Arial"/>
          <w:rtl/>
        </w:rPr>
        <w:footnoteReference w:id="1642"/>
      </w:r>
      <w:r>
        <w:rPr>
          <w:rFonts w:cs="Arial"/>
          <w:rtl/>
        </w:rPr>
        <w:t xml:space="preserve">. וכן אם נפל מידה בעודה ישנה, אף על פי שחזרה ולקחתו, אינו גט עד שיחזור ויתננו לה ויאמר לה: הרי זה גיטך. </w:t>
      </w:r>
      <w:r>
        <w:rPr>
          <w:rFonts w:cs="Arial"/>
          <w:sz w:val="18"/>
          <w:szCs w:val="18"/>
          <w:rtl/>
        </w:rPr>
        <w:t>הגה: נתן גיטה בחצירה בשעת שהיא ישנה, י"א דלא הוי גט (רשב"א ור"ן). אבל ביד שלוחה, לכולי עלמא הוי גט (ר"ן וב"י בשם הרא"ש).</w:t>
      </w:r>
      <w:r>
        <w:rPr>
          <w:rFonts w:cs="Arial"/>
          <w:rtl/>
        </w:rPr>
        <w:t xml:space="preserve"> </w:t>
      </w:r>
    </w:p>
    <w:p w14:paraId="5975AE9C" w14:textId="77777777" w:rsidR="00FA2119" w:rsidRDefault="00FA2119" w:rsidP="00FA2119">
      <w:pPr>
        <w:rPr>
          <w:rtl/>
        </w:rPr>
      </w:pPr>
    </w:p>
    <w:p w14:paraId="12B880A0" w14:textId="77777777" w:rsidR="00FA2119" w:rsidRDefault="00FA2119" w:rsidP="00FA2119">
      <w:pPr>
        <w:pStyle w:val="2"/>
        <w:rPr>
          <w:rtl/>
        </w:rPr>
      </w:pPr>
      <w:r>
        <w:rPr>
          <w:rtl/>
        </w:rPr>
        <w:t>סעיף ד: אמר לה 'כנסי שטר חוב זה'.</w:t>
      </w:r>
    </w:p>
    <w:p w14:paraId="4B2B2775" w14:textId="4897BFDB" w:rsidR="00FA2119" w:rsidRDefault="00FA2119" w:rsidP="00FA2119">
      <w:pPr>
        <w:rPr>
          <w:rtl/>
        </w:rPr>
      </w:pPr>
      <w:r>
        <w:rPr>
          <w:rFonts w:cs="Arial"/>
          <w:b/>
          <w:bCs/>
          <w:rtl/>
        </w:rPr>
        <w:t xml:space="preserve">גיטין </w:t>
      </w:r>
      <w:r>
        <w:rPr>
          <w:rFonts w:cs="Arial"/>
          <w:b/>
          <w:bCs/>
          <w:sz w:val="16"/>
          <w:szCs w:val="16"/>
          <w:rtl/>
        </w:rPr>
        <w:t>(פ' הניזקין)</w:t>
      </w:r>
      <w:r>
        <w:rPr>
          <w:rFonts w:cs="Arial"/>
          <w:b/>
          <w:bCs/>
          <w:rtl/>
        </w:rPr>
        <w:t xml:space="preserve"> נה ע"א:</w:t>
      </w:r>
      <w:r>
        <w:rPr>
          <w:rFonts w:cs="Arial"/>
          <w:rtl/>
        </w:rPr>
        <w:t xml:space="preserve"> </w:t>
      </w:r>
      <w:r>
        <w:rPr>
          <w:rFonts w:cs="Arial"/>
          <w:u w:val="double"/>
          <w:rtl/>
        </w:rPr>
        <w:t>מתני'</w:t>
      </w:r>
      <w:r>
        <w:rPr>
          <w:rFonts w:cs="Arial"/>
          <w:rtl/>
        </w:rPr>
        <w:t xml:space="preserve">: </w:t>
      </w:r>
      <w:r>
        <w:rPr>
          <w:rFonts w:cs="Arial"/>
          <w:u w:val="single"/>
          <w:rtl/>
        </w:rPr>
        <w:t>העיד רבי יוחנן בן גודגדא</w:t>
      </w:r>
      <w:r>
        <w:rPr>
          <w:rFonts w:cs="Arial"/>
          <w:rtl/>
        </w:rPr>
        <w:t xml:space="preserve">: על החרשת שהשיאה אביה </w:t>
      </w:r>
      <w:r w:rsidR="00A82951">
        <w:rPr>
          <w:rFonts w:cs="Arial"/>
          <w:rtl/>
        </w:rPr>
        <w:t>-</w:t>
      </w:r>
      <w:r>
        <w:rPr>
          <w:rFonts w:cs="Arial"/>
          <w:rtl/>
        </w:rPr>
        <w:t xml:space="preserve"> שהיא יוצאה בגט...     </w:t>
      </w:r>
      <w:r>
        <w:rPr>
          <w:rFonts w:cs="Arial"/>
          <w:u w:val="double"/>
          <w:rtl/>
        </w:rPr>
        <w:t>גמ'</w:t>
      </w:r>
      <w:r>
        <w:rPr>
          <w:rFonts w:cs="Arial"/>
          <w:rtl/>
        </w:rPr>
        <w:t xml:space="preserve">: </w:t>
      </w:r>
      <w:r>
        <w:rPr>
          <w:rFonts w:cs="Arial"/>
          <w:u w:val="single"/>
          <w:rtl/>
        </w:rPr>
        <w:t>אמר רבא</w:t>
      </w:r>
      <w:r>
        <w:rPr>
          <w:rFonts w:cs="Arial"/>
          <w:rtl/>
        </w:rPr>
        <w:t xml:space="preserve">: מעדותו של רבי יוחנן בן גודגדא, אמר לעדים ראו גט זה שאני נותן לה, וחזר ואמר לה כנסי שטר חוב זה </w:t>
      </w:r>
      <w:r w:rsidR="00A82951">
        <w:rPr>
          <w:rFonts w:cs="Arial"/>
          <w:rtl/>
        </w:rPr>
        <w:t>-</w:t>
      </w:r>
      <w:r>
        <w:rPr>
          <w:rFonts w:cs="Arial"/>
          <w:rtl/>
        </w:rPr>
        <w:t xml:space="preserve"> הרי זו מגורשת, מי לא אמר ר' יוחנן בן גודגדא לא בעינן דעתה? ה"נ לא בעינן דעתה. פשיטא! מהו דתימא, כיון דאמר כנסי שטר חוב זה בטולי בטליה, קמ"ל, אם איתא דבטליה </w:t>
      </w:r>
      <w:r w:rsidR="00A82951">
        <w:rPr>
          <w:rFonts w:cs="Arial"/>
          <w:rtl/>
        </w:rPr>
        <w:t>-</w:t>
      </w:r>
      <w:r>
        <w:rPr>
          <w:rFonts w:cs="Arial"/>
          <w:rtl/>
        </w:rPr>
        <w:t xml:space="preserve"> לעדים הוה אמר להו, והאי דקאמר הכי </w:t>
      </w:r>
      <w:r w:rsidR="00A82951">
        <w:rPr>
          <w:rFonts w:cs="Arial"/>
          <w:rtl/>
        </w:rPr>
        <w:t>-</w:t>
      </w:r>
      <w:r>
        <w:rPr>
          <w:rFonts w:cs="Arial"/>
          <w:rtl/>
        </w:rPr>
        <w:t xml:space="preserve"> משום כיסופא.</w:t>
      </w:r>
    </w:p>
    <w:p w14:paraId="51958939" w14:textId="77777777" w:rsidR="00FA2119" w:rsidRDefault="00FA2119" w:rsidP="00FA2119">
      <w:pPr>
        <w:rPr>
          <w:u w:val="single"/>
          <w:rtl/>
        </w:rPr>
      </w:pPr>
      <w:r>
        <w:rPr>
          <w:rFonts w:cs="Arial"/>
          <w:u w:val="single"/>
          <w:rtl/>
        </w:rPr>
        <w:t>אמר לעדים 'ראו גט שאני נותן לאשתי', ואמר לה בשעה שמסרו לה 'כנסי שטר חוב זה'</w:t>
      </w:r>
      <w:r>
        <w:rPr>
          <w:u w:val="single"/>
          <w:rtl/>
        </w:rPr>
        <w:t>:</w:t>
      </w:r>
    </w:p>
    <w:p w14:paraId="70BE21C0" w14:textId="5EBC58EF" w:rsidR="00FA2119" w:rsidRDefault="00FA2119" w:rsidP="006A458D">
      <w:pPr>
        <w:pStyle w:val="ab"/>
        <w:numPr>
          <w:ilvl w:val="0"/>
          <w:numId w:val="96"/>
        </w:numPr>
        <w:rPr>
          <w:rtl/>
        </w:rPr>
      </w:pPr>
      <w:r>
        <w:rPr>
          <w:rFonts w:cs="Arial"/>
          <w:rtl/>
        </w:rPr>
        <w:t>טור</w:t>
      </w:r>
      <w:r w:rsidR="00A82951">
        <w:rPr>
          <w:rFonts w:cs="Arial"/>
          <w:rtl/>
        </w:rPr>
        <w:t>-</w:t>
      </w:r>
      <w:r>
        <w:rPr>
          <w:rFonts w:cs="Arial"/>
          <w:rtl/>
        </w:rPr>
        <w:t xml:space="preserve"> אמר לעדים 'ראו גט שאני נותן לאשתי', ואמר לה בשעה שמסרו לה 'כנסי שטר חוב זה' </w:t>
      </w:r>
      <w:r w:rsidR="00A82951">
        <w:rPr>
          <w:rFonts w:cs="Arial"/>
          <w:rtl/>
        </w:rPr>
        <w:t>-</w:t>
      </w:r>
      <w:r>
        <w:rPr>
          <w:rFonts w:cs="Arial"/>
          <w:rtl/>
        </w:rPr>
        <w:t xml:space="preserve"> הרי זה גט, אע"פ שלא אמר ה"ז גיטך. ולא אמרינן שבטלו אח"כ, שהרי הודיע לעדים שנותנו לה בתורת גירושין, ולא אמר כן אלא מפני הבושה, או שהיה ירא שלא תקבלנו. </w:t>
      </w:r>
      <w:r>
        <w:rPr>
          <w:color w:val="E36C0A" w:themeColor="accent6" w:themeShade="BF"/>
          <w:rtl/>
        </w:rPr>
        <w:t>(וכ"פ בשו"ע)</w:t>
      </w:r>
    </w:p>
    <w:p w14:paraId="4921BEFB" w14:textId="77777777" w:rsidR="00FA2119" w:rsidRDefault="00FA2119" w:rsidP="00FA2119">
      <w:pPr>
        <w:ind w:left="360"/>
        <w:rPr>
          <w:u w:val="dotted"/>
        </w:rPr>
      </w:pPr>
      <w:r>
        <w:rPr>
          <w:u w:val="dotted"/>
          <w:rtl/>
        </w:rPr>
        <w:t xml:space="preserve">ומה הדין אם אמר לעדים כן </w:t>
      </w:r>
      <w:r>
        <w:rPr>
          <w:b/>
          <w:bCs/>
          <w:u w:val="dotted"/>
          <w:rtl/>
        </w:rPr>
        <w:t>בפניה</w:t>
      </w:r>
      <w:r>
        <w:rPr>
          <w:u w:val="dotted"/>
          <w:rtl/>
        </w:rPr>
        <w:t xml:space="preserve"> </w:t>
      </w:r>
      <w:r>
        <w:rPr>
          <w:sz w:val="16"/>
          <w:szCs w:val="16"/>
          <w:u w:val="dotted"/>
          <w:rtl/>
        </w:rPr>
        <w:t>(כך שאין לו באמת בושה/יראה)</w:t>
      </w:r>
      <w:r>
        <w:rPr>
          <w:u w:val="dotted"/>
          <w:rtl/>
        </w:rPr>
        <w:t>:</w:t>
      </w:r>
    </w:p>
    <w:p w14:paraId="2EA88351" w14:textId="5C10FC6B" w:rsidR="00FA2119" w:rsidRDefault="00FA2119" w:rsidP="006A458D">
      <w:pPr>
        <w:pStyle w:val="ab"/>
        <w:numPr>
          <w:ilvl w:val="0"/>
          <w:numId w:val="96"/>
        </w:numPr>
      </w:pPr>
      <w:r>
        <w:rPr>
          <w:rFonts w:cs="Arial"/>
          <w:rtl/>
        </w:rPr>
        <w:t xml:space="preserve">רמ"ה </w:t>
      </w:r>
      <w:r>
        <w:rPr>
          <w:rFonts w:cs="Arial"/>
          <w:sz w:val="16"/>
          <w:szCs w:val="16"/>
          <w:rtl/>
        </w:rPr>
        <w:t>(כ"כ הטור בשמו)</w:t>
      </w:r>
      <w:r w:rsidR="00A82951">
        <w:rPr>
          <w:rFonts w:cs="Arial"/>
          <w:rtl/>
        </w:rPr>
        <w:t>-</w:t>
      </w:r>
      <w:r>
        <w:rPr>
          <w:rFonts w:cs="Arial"/>
          <w:rtl/>
        </w:rPr>
        <w:t xml:space="preserve"> דוקא שלא אמר להו לעדים מעיקרא קָמָהּ, אבל אמר להו מעיקרא קמה 'ראו גט שאני נותן לה' וחזר ואמר 'כנסי שטר חוב זה', ש"מ לית ליה כיסופא מינה, וא"כ למה אמר כנסי שטר חוב </w:t>
      </w:r>
      <w:r w:rsidR="00A82951">
        <w:rPr>
          <w:rFonts w:cs="Arial"/>
          <w:rtl/>
        </w:rPr>
        <w:t>-</w:t>
      </w:r>
      <w:r>
        <w:rPr>
          <w:rFonts w:cs="Arial"/>
          <w:rtl/>
        </w:rPr>
        <w:t xml:space="preserve"> ש"מ </w:t>
      </w:r>
      <w:r>
        <w:rPr>
          <w:rFonts w:cs="Arial"/>
          <w:rtl/>
        </w:rPr>
        <w:lastRenderedPageBreak/>
        <w:t>בטולי בטליה</w:t>
      </w:r>
      <w:r>
        <w:rPr>
          <w:rStyle w:val="a7"/>
          <w:rFonts w:cs="Arial"/>
          <w:rtl/>
        </w:rPr>
        <w:footnoteReference w:id="1643"/>
      </w:r>
      <w:r>
        <w:rPr>
          <w:rFonts w:cs="Arial"/>
          <w:rtl/>
        </w:rPr>
        <w:t>, וכל כה"ג עבדינן לחומרא וצריכה ממנו גט שני</w:t>
      </w:r>
      <w:r>
        <w:rPr>
          <w:rStyle w:val="a7"/>
          <w:rFonts w:cs="Arial"/>
          <w:rtl/>
        </w:rPr>
        <w:footnoteReference w:id="1644"/>
      </w:r>
      <w:r>
        <w:rPr>
          <w:rFonts w:cs="Arial"/>
          <w:rtl/>
        </w:rPr>
        <w:t xml:space="preserve">. ואם קבלה קידושין מאחר </w:t>
      </w:r>
      <w:r w:rsidR="00A82951">
        <w:rPr>
          <w:rFonts w:cs="Arial"/>
          <w:rtl/>
        </w:rPr>
        <w:t>-</w:t>
      </w:r>
      <w:r>
        <w:rPr>
          <w:rFonts w:cs="Arial"/>
          <w:rtl/>
        </w:rPr>
        <w:t xml:space="preserve"> צריכה גט מזה ומזה. ואם מת אע"פ שלא נתן לה גט אחר </w:t>
      </w:r>
      <w:r w:rsidR="00A82951">
        <w:rPr>
          <w:rFonts w:cs="Arial"/>
          <w:rtl/>
        </w:rPr>
        <w:t>-</w:t>
      </w:r>
      <w:r>
        <w:rPr>
          <w:rFonts w:cs="Arial"/>
          <w:rtl/>
        </w:rPr>
        <w:t xml:space="preserve"> פסלה מן הכהונה. </w:t>
      </w:r>
      <w:r>
        <w:rPr>
          <w:color w:val="E36C0A" w:themeColor="accent6" w:themeShade="BF"/>
          <w:rtl/>
        </w:rPr>
        <w:t>(וכ"כ בשו"ע)</w:t>
      </w:r>
    </w:p>
    <w:p w14:paraId="11C295FE" w14:textId="54753C1F" w:rsidR="00FA2119" w:rsidRDefault="00FA2119" w:rsidP="00FA2119">
      <w:r>
        <w:rPr>
          <w:rFonts w:cs="Arial"/>
          <w:b/>
          <w:bCs/>
          <w:rtl/>
        </w:rPr>
        <w:t xml:space="preserve">גיטין </w:t>
      </w:r>
      <w:r>
        <w:rPr>
          <w:rFonts w:cs="Arial"/>
          <w:b/>
          <w:bCs/>
          <w:sz w:val="16"/>
          <w:szCs w:val="16"/>
          <w:rtl/>
        </w:rPr>
        <w:t>(פ' הזורק)</w:t>
      </w:r>
      <w:r>
        <w:rPr>
          <w:rFonts w:cs="Arial"/>
          <w:b/>
          <w:bCs/>
          <w:rtl/>
        </w:rPr>
        <w:t xml:space="preserve"> עח ע"א:</w:t>
      </w:r>
      <w:r>
        <w:rPr>
          <w:rFonts w:cs="Arial"/>
          <w:rtl/>
        </w:rPr>
        <w:t xml:space="preserve"> </w:t>
      </w:r>
      <w:r>
        <w:rPr>
          <w:rFonts w:cs="Arial"/>
          <w:u w:val="double"/>
          <w:rtl/>
        </w:rPr>
        <w:t>מתני'</w:t>
      </w:r>
      <w:r>
        <w:rPr>
          <w:rFonts w:cs="Arial"/>
          <w:rtl/>
        </w:rPr>
        <w:t xml:space="preserve">: אמר לה כנסי שטר חוב זה, או שמצאתו מאחוריו, קוראה והרי הוא גיטה </w:t>
      </w:r>
      <w:r w:rsidR="00A82951">
        <w:rPr>
          <w:rFonts w:cs="Arial"/>
          <w:rtl/>
        </w:rPr>
        <w:t>-</w:t>
      </w:r>
      <w:r>
        <w:rPr>
          <w:rFonts w:cs="Arial"/>
          <w:rtl/>
        </w:rPr>
        <w:t xml:space="preserve"> אינו גט, עד שיאמר לה הא גיטיך.       </w:t>
      </w:r>
      <w:r>
        <w:rPr>
          <w:rFonts w:cs="Arial"/>
          <w:u w:val="double"/>
          <w:rtl/>
        </w:rPr>
        <w:t>גמ'</w:t>
      </w:r>
      <w:r>
        <w:rPr>
          <w:rFonts w:cs="Arial"/>
          <w:rtl/>
        </w:rPr>
        <w:t xml:space="preserve">: תניא:... אמר לה כנסי שטר חוב זה, או ששלפתו מאחוריו, קראתו והרי הוא גיטה </w:t>
      </w:r>
      <w:r w:rsidR="00A82951">
        <w:rPr>
          <w:rFonts w:cs="Arial"/>
          <w:rtl/>
        </w:rPr>
        <w:t>-</w:t>
      </w:r>
      <w:r>
        <w:rPr>
          <w:rFonts w:cs="Arial"/>
          <w:rtl/>
        </w:rPr>
        <w:t xml:space="preserve"> אינו גט, עד שיאמר לה הא גיטיך, דברי רבי; רבי שמעון בן אלעזר אומר: לעולם אינו גט, עד שיטלנו הימנה ויחזור ויתננו לה ויאמר לה הא גיטיך. </w:t>
      </w:r>
      <w:r>
        <w:rPr>
          <w:rFonts w:cs="Arial"/>
          <w:sz w:val="16"/>
          <w:szCs w:val="16"/>
          <w:rtl/>
        </w:rPr>
        <w:t>(וכבר כתבתי בראש סי' קל"ז דהלכה כרבי דאמר אינו צריך שיטלנו הימנה אלא אומר לה הא גיטך וכו'. וכתבו הרשב"א (שם ד"ה מתני') והר"ן (מ. ד"ה מתני') דבעסוקין באותו ענין עסקינן, דאל"כ מאי איריא אמר לה כנסי שטר חוב זה, אפילו נתנו לה סתם נמי אינו גט</w:t>
      </w:r>
      <w:r>
        <w:rPr>
          <w:rStyle w:val="a7"/>
          <w:rFonts w:cs="Arial"/>
          <w:sz w:val="16"/>
          <w:szCs w:val="16"/>
          <w:rtl/>
        </w:rPr>
        <w:footnoteReference w:id="1645"/>
      </w:r>
      <w:r>
        <w:rPr>
          <w:rFonts w:cs="Arial"/>
          <w:sz w:val="16"/>
          <w:szCs w:val="16"/>
          <w:rtl/>
        </w:rPr>
        <w:t>, ב"י)</w:t>
      </w:r>
    </w:p>
    <w:p w14:paraId="7100E366" w14:textId="77777777" w:rsidR="00FA2119" w:rsidRDefault="00FA2119" w:rsidP="00FA2119">
      <w:pPr>
        <w:rPr>
          <w:u w:val="single"/>
          <w:rtl/>
        </w:rPr>
      </w:pPr>
      <w:r>
        <w:rPr>
          <w:rFonts w:cs="Arial"/>
          <w:u w:val="single"/>
          <w:rtl/>
        </w:rPr>
        <w:t>אמר לה 'כנסי שטר חוב זה',</w:t>
      </w:r>
      <w:r>
        <w:rPr>
          <w:u w:val="single"/>
          <w:rtl/>
        </w:rPr>
        <w:t xml:space="preserve"> </w:t>
      </w:r>
      <w:r>
        <w:rPr>
          <w:b/>
          <w:bCs/>
          <w:u w:val="single"/>
          <w:rtl/>
        </w:rPr>
        <w:t>ולא</w:t>
      </w:r>
      <w:r>
        <w:rPr>
          <w:u w:val="single"/>
          <w:rtl/>
        </w:rPr>
        <w:t xml:space="preserve"> אמר בתחילה לעדים</w:t>
      </w:r>
      <w:r>
        <w:rPr>
          <w:rFonts w:cs="Arial"/>
          <w:u w:val="single"/>
          <w:rtl/>
        </w:rPr>
        <w:t xml:space="preserve"> 'ראו גט זה שאני נותן לה'</w:t>
      </w:r>
      <w:r>
        <w:rPr>
          <w:u w:val="single"/>
          <w:rtl/>
        </w:rPr>
        <w:t>:</w:t>
      </w:r>
    </w:p>
    <w:p w14:paraId="4A20ADC0" w14:textId="7501D76B" w:rsidR="00FA2119" w:rsidRDefault="00FA2119" w:rsidP="006A458D">
      <w:pPr>
        <w:pStyle w:val="ab"/>
        <w:numPr>
          <w:ilvl w:val="0"/>
          <w:numId w:val="96"/>
        </w:numPr>
      </w:pPr>
      <w:r>
        <w:rPr>
          <w:rFonts w:cs="Arial"/>
          <w:rtl/>
        </w:rPr>
        <w:t xml:space="preserve">רשב"א </w:t>
      </w:r>
      <w:r>
        <w:rPr>
          <w:rFonts w:cs="Arial"/>
          <w:sz w:val="16"/>
          <w:szCs w:val="16"/>
          <w:rtl/>
        </w:rPr>
        <w:t>(שם ד"ה מתני')</w:t>
      </w:r>
      <w:r>
        <w:rPr>
          <w:rFonts w:cs="Arial"/>
          <w:rtl/>
        </w:rPr>
        <w:t xml:space="preserve"> וטור</w:t>
      </w:r>
      <w:r w:rsidR="00A82951">
        <w:rPr>
          <w:rFonts w:cs="Arial"/>
          <w:rtl/>
        </w:rPr>
        <w:t>-</w:t>
      </w:r>
      <w:r>
        <w:rPr>
          <w:rFonts w:cs="Arial"/>
          <w:rtl/>
        </w:rPr>
        <w:t xml:space="preserve"> אבל אם </w:t>
      </w:r>
      <w:r>
        <w:rPr>
          <w:rFonts w:cs="Arial"/>
          <w:b/>
          <w:bCs/>
          <w:rtl/>
        </w:rPr>
        <w:t>לא</w:t>
      </w:r>
      <w:r>
        <w:rPr>
          <w:rFonts w:cs="Arial"/>
          <w:rtl/>
        </w:rPr>
        <w:t xml:space="preserve"> אמר תחילה 'ראו גט זה שאני נותן לה', ואמר לה 'כנסי שטר חוב זה' </w:t>
      </w:r>
      <w:r w:rsidR="00A82951">
        <w:rPr>
          <w:rFonts w:cs="Arial"/>
          <w:rtl/>
        </w:rPr>
        <w:t>-</w:t>
      </w:r>
      <w:r>
        <w:rPr>
          <w:rFonts w:cs="Arial"/>
          <w:rtl/>
        </w:rPr>
        <w:t xml:space="preserve"> צריך שיאמר לה ה"ז גיטך</w:t>
      </w:r>
      <w:r>
        <w:rPr>
          <w:rStyle w:val="a7"/>
          <w:rFonts w:cs="Arial"/>
          <w:rtl/>
        </w:rPr>
        <w:footnoteReference w:id="1646"/>
      </w:r>
      <w:r>
        <w:rPr>
          <w:rFonts w:cs="Arial"/>
          <w:rtl/>
        </w:rPr>
        <w:t>, אבל אין צריך ליטלו ממנה ולהחזיר וליתן לה</w:t>
      </w:r>
      <w:r>
        <w:rPr>
          <w:rFonts w:cs="Arial"/>
          <w:sz w:val="16"/>
          <w:szCs w:val="16"/>
          <w:rtl/>
        </w:rPr>
        <w:t xml:space="preserve"> (ל' הטור)</w:t>
      </w:r>
      <w:r>
        <w:rPr>
          <w:rFonts w:cs="Arial"/>
          <w:rtl/>
        </w:rPr>
        <w:t xml:space="preserve">. </w:t>
      </w:r>
      <w:r>
        <w:rPr>
          <w:color w:val="E36C0A" w:themeColor="accent6" w:themeShade="BF"/>
          <w:rtl/>
        </w:rPr>
        <w:t>(וכ"פ בשו"ע)</w:t>
      </w:r>
    </w:p>
    <w:p w14:paraId="62B67597" w14:textId="77777777" w:rsidR="00FA2119" w:rsidRDefault="00FA2119" w:rsidP="00FA2119">
      <w:pPr>
        <w:ind w:left="360"/>
        <w:rPr>
          <w:u w:val="dotted"/>
        </w:rPr>
      </w:pPr>
      <w:r>
        <w:rPr>
          <w:rFonts w:cs="Arial"/>
          <w:u w:val="dotted"/>
          <w:rtl/>
        </w:rPr>
        <w:t>ומה הדין אם אמר לה 'זכי בשטר חוב זה':</w:t>
      </w:r>
    </w:p>
    <w:p w14:paraId="0CCA0FB4" w14:textId="28060C97" w:rsidR="00FA2119" w:rsidRDefault="00FA2119" w:rsidP="006A458D">
      <w:pPr>
        <w:pStyle w:val="ab"/>
        <w:numPr>
          <w:ilvl w:val="0"/>
          <w:numId w:val="96"/>
        </w:numPr>
      </w:pPr>
      <w:r>
        <w:rPr>
          <w:rFonts w:cs="Arial"/>
          <w:rtl/>
        </w:rPr>
        <w:t>רמ"ה</w:t>
      </w:r>
      <w:r>
        <w:rPr>
          <w:rFonts w:cs="Arial"/>
          <w:sz w:val="16"/>
          <w:szCs w:val="16"/>
          <w:rtl/>
        </w:rPr>
        <w:t xml:space="preserve"> (שיטות קדמונים גיטין עח. ד"ה מתני', כ"כ הטור בשמו)</w:t>
      </w:r>
      <w:r w:rsidR="00A82951">
        <w:rPr>
          <w:rFonts w:cs="Arial"/>
          <w:rtl/>
        </w:rPr>
        <w:t>-</w:t>
      </w:r>
      <w:r>
        <w:rPr>
          <w:rFonts w:cs="Arial"/>
          <w:rtl/>
        </w:rPr>
        <w:t xml:space="preserve"> דוקא דאמר כנסי דמשמע לשם פקדון בעלמא, אבל אם אמר לה מעיקרא 'זכי בשטר חוב זה', מגו דקנתה ליה בנתינה קמייתא לצור על פי צלוחיתה, אע"ג דאמר לה בתר הכי 'הרי זה גיטך' </w:t>
      </w:r>
      <w:r w:rsidR="00A82951">
        <w:rPr>
          <w:rFonts w:cs="Arial"/>
          <w:rtl/>
        </w:rPr>
        <w:t>-</w:t>
      </w:r>
      <w:r>
        <w:rPr>
          <w:rFonts w:cs="Arial"/>
          <w:rtl/>
        </w:rPr>
        <w:t xml:space="preserve"> לית לה תקנתא עד שיטלנו ממנה ויחזור ויתננו לה</w:t>
      </w:r>
      <w:r>
        <w:rPr>
          <w:rStyle w:val="a7"/>
          <w:rFonts w:cs="Arial"/>
          <w:rtl/>
        </w:rPr>
        <w:footnoteReference w:id="1647"/>
      </w:r>
      <w:r>
        <w:rPr>
          <w:rFonts w:cs="Arial"/>
          <w:rtl/>
        </w:rPr>
        <w:t xml:space="preserve">. </w:t>
      </w:r>
      <w:r>
        <w:rPr>
          <w:color w:val="E36C0A" w:themeColor="accent6" w:themeShade="BF"/>
          <w:rtl/>
        </w:rPr>
        <w:t>(וכ"כ בשו"ע)</w:t>
      </w:r>
    </w:p>
    <w:p w14:paraId="3EC92ACE"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67C0670" w14:textId="77777777" w:rsidR="00FA2119" w:rsidRDefault="00FA2119" w:rsidP="00FA2119">
      <w:pPr>
        <w:rPr>
          <w:rtl/>
        </w:rPr>
      </w:pPr>
      <w:r>
        <w:rPr>
          <w:rFonts w:cs="Arial"/>
          <w:rtl/>
        </w:rPr>
        <w:t>אמר לעדים 'ראו גט שאני נותן לאשתי', ואמר לה בשעה שמסרו לה 'כנסי שטר חוב זה', הרי זה גט, אף על פי שלא אמר 'הרי זה גיטך'. ויש מי שאומר דהני מילי באומר לעדים שלא בפניה, אבל אם אמר בפניה, ובשעה שמסרו לה אמר לה 'כנסי שטר חוב זה', הרי זו ספק מגורשת. אבל אם לא אמר תחלה 'ראו גט זה שאני נותן לה', ואמר לה 'כנסי שטר חוב זה', צריך לומר לה 'הרי זה גיטיך', אבל אין צריך ליטלו ממנה ולחזור וליתנו לה. ויש מי שאומר דהני מילי באומר 'כנסי שטר חוב זה', אבל אם אמר לה 'זכי בשטר חוב זה', אין לה תקנה עד שיטלנו ממנה ויחזור ויתננו לה ויאמר לה 'הרי זה גיטיך'.</w:t>
      </w:r>
    </w:p>
    <w:p w14:paraId="1F0FDC38" w14:textId="77777777" w:rsidR="00FA2119" w:rsidRDefault="00FA2119" w:rsidP="00FA2119">
      <w:pPr>
        <w:bidi w:val="0"/>
        <w:spacing w:after="0"/>
        <w:rPr>
          <w:rtl/>
        </w:rPr>
        <w:sectPr w:rsidR="00FA2119">
          <w:headerReference w:type="default" r:id="rId31"/>
          <w:footnotePr>
            <w:numRestart w:val="eachSect"/>
          </w:footnotePr>
          <w:pgSz w:w="11906" w:h="16838"/>
          <w:pgMar w:top="720" w:right="1134" w:bottom="720" w:left="1134" w:header="0" w:footer="0" w:gutter="0"/>
          <w:cols w:space="720"/>
          <w:bidi/>
          <w:rtlGutter/>
        </w:sectPr>
      </w:pPr>
    </w:p>
    <w:p w14:paraId="3E80088A" w14:textId="77777777" w:rsidR="00FA2119" w:rsidRDefault="00FA2119" w:rsidP="00FA2119">
      <w:pPr>
        <w:pStyle w:val="1"/>
        <w:rPr>
          <w:rtl/>
        </w:rPr>
      </w:pPr>
      <w:r>
        <w:rPr>
          <w:rtl/>
        </w:rPr>
        <w:lastRenderedPageBreak/>
        <w:t xml:space="preserve">סימן קלט: </w:t>
      </w:r>
      <w:r>
        <w:rPr>
          <w:rFonts w:cs="Arial"/>
          <w:rtl/>
        </w:rPr>
        <w:t xml:space="preserve">דין קבלה מידו, ואם זרק לה ולחצרה, ובו י"ח סעיפים. </w:t>
      </w:r>
    </w:p>
    <w:p w14:paraId="50D478D0" w14:textId="77777777" w:rsidR="00FA2119" w:rsidRDefault="00FA2119" w:rsidP="00FA2119">
      <w:pPr>
        <w:pStyle w:val="2"/>
        <w:rPr>
          <w:rtl/>
        </w:rPr>
      </w:pPr>
      <w:r>
        <w:rPr>
          <w:rtl/>
        </w:rPr>
        <w:t>סעיף א: זרק לה הגט בחצירה.</w:t>
      </w:r>
    </w:p>
    <w:p w14:paraId="022BA5DF" w14:textId="04A44686" w:rsidR="00FA2119" w:rsidRDefault="00FA2119" w:rsidP="00FA2119">
      <w:pPr>
        <w:rPr>
          <w:rFonts w:cs="Arial"/>
          <w:rtl/>
        </w:rPr>
      </w:pPr>
      <w:r>
        <w:rPr>
          <w:rFonts w:cs="Arial"/>
          <w:b/>
          <w:bCs/>
          <w:rtl/>
        </w:rPr>
        <w:t xml:space="preserve">גיטין </w:t>
      </w:r>
      <w:r>
        <w:rPr>
          <w:rFonts w:cs="Arial"/>
          <w:b/>
          <w:bCs/>
          <w:sz w:val="16"/>
          <w:szCs w:val="16"/>
          <w:rtl/>
        </w:rPr>
        <w:t>(ר"פ הזורק)</w:t>
      </w:r>
      <w:r>
        <w:rPr>
          <w:rFonts w:cs="Arial"/>
          <w:b/>
          <w:bCs/>
          <w:rtl/>
        </w:rPr>
        <w:t xml:space="preserve"> עז ע"א:</w:t>
      </w:r>
      <w:r>
        <w:rPr>
          <w:rFonts w:cs="Arial"/>
          <w:rtl/>
        </w:rPr>
        <w:t xml:space="preserve"> </w:t>
      </w:r>
      <w:r>
        <w:rPr>
          <w:rFonts w:cs="Arial"/>
          <w:u w:val="double"/>
          <w:rtl/>
        </w:rPr>
        <w:t>מתני'</w:t>
      </w:r>
      <w:r>
        <w:rPr>
          <w:rFonts w:cs="Arial"/>
          <w:rtl/>
        </w:rPr>
        <w:t>: הזורק גט לאשתו, והיא בתוך ביתה</w:t>
      </w:r>
      <w:r>
        <w:rPr>
          <w:rStyle w:val="a7"/>
          <w:rFonts w:cs="Arial"/>
          <w:rtl/>
        </w:rPr>
        <w:footnoteReference w:id="1648"/>
      </w:r>
      <w:r>
        <w:rPr>
          <w:rFonts w:cs="Arial"/>
          <w:rtl/>
        </w:rPr>
        <w:t xml:space="preserve"> או בתוך חצרה </w:t>
      </w:r>
      <w:r w:rsidR="00A82951">
        <w:rPr>
          <w:rFonts w:cs="Arial"/>
          <w:rtl/>
        </w:rPr>
        <w:t>-</w:t>
      </w:r>
      <w:r>
        <w:rPr>
          <w:rFonts w:cs="Arial"/>
          <w:rtl/>
        </w:rPr>
        <w:t xml:space="preserve"> הרי זו מגורשת</w:t>
      </w:r>
      <w:r>
        <w:rPr>
          <w:rStyle w:val="a7"/>
          <w:rFonts w:cs="Arial"/>
          <w:rtl/>
        </w:rPr>
        <w:footnoteReference w:id="1649"/>
      </w:r>
      <w:r>
        <w:rPr>
          <w:rFonts w:cs="Arial"/>
          <w:rtl/>
        </w:rPr>
        <w:t xml:space="preserve">...     </w:t>
      </w:r>
      <w:r>
        <w:rPr>
          <w:rFonts w:cs="Arial"/>
          <w:u w:val="double"/>
          <w:rtl/>
        </w:rPr>
        <w:t>גמ':</w:t>
      </w:r>
      <w:r>
        <w:rPr>
          <w:rtl/>
        </w:rPr>
        <w:t xml:space="preserve"> </w:t>
      </w:r>
      <w:r>
        <w:rPr>
          <w:rFonts w:cs="Arial"/>
          <w:rtl/>
        </w:rPr>
        <w:t>חצרה, מה שקנתה אשה קנה בעלה!...</w:t>
      </w:r>
      <w:r>
        <w:rPr>
          <w:rtl/>
        </w:rPr>
        <w:t xml:space="preserve"> </w:t>
      </w:r>
      <w:r>
        <w:rPr>
          <w:rFonts w:cs="Arial"/>
          <w:sz w:val="14"/>
          <w:szCs w:val="14"/>
          <w:rtl/>
        </w:rPr>
        <w:t xml:space="preserve">(עז:) </w:t>
      </w:r>
      <w:r>
        <w:rPr>
          <w:rFonts w:cs="Arial"/>
          <w:u w:val="single"/>
          <w:rtl/>
        </w:rPr>
        <w:t>רבא אמר</w:t>
      </w:r>
      <w:r>
        <w:rPr>
          <w:rFonts w:cs="Arial"/>
          <w:rtl/>
        </w:rPr>
        <w:t>: אטו ידה מי לא קניא ליה לבעל? אלא גיטה וידה באין כאחד</w:t>
      </w:r>
      <w:r>
        <w:rPr>
          <w:rStyle w:val="a7"/>
          <w:rFonts w:cs="Arial"/>
          <w:rtl/>
        </w:rPr>
        <w:footnoteReference w:id="1650"/>
      </w:r>
      <w:r>
        <w:rPr>
          <w:rFonts w:cs="Arial"/>
          <w:rtl/>
        </w:rPr>
        <w:t>, הכא נמי גיטה וחצרה באין כאחד...</w:t>
      </w:r>
      <w:r>
        <w:rPr>
          <w:rFonts w:cs="Arial"/>
          <w:sz w:val="14"/>
          <w:szCs w:val="14"/>
          <w:rtl/>
        </w:rPr>
        <w:t xml:space="preserve"> </w:t>
      </w:r>
      <w:r>
        <w:rPr>
          <w:rFonts w:cs="Arial"/>
          <w:rtl/>
        </w:rPr>
        <w:t xml:space="preserve">והיא בתוך ביתה. </w:t>
      </w:r>
      <w:r>
        <w:rPr>
          <w:rFonts w:cs="Arial"/>
          <w:u w:val="single"/>
          <w:rtl/>
        </w:rPr>
        <w:t>אמר עולא</w:t>
      </w:r>
      <w:r>
        <w:rPr>
          <w:rFonts w:cs="Arial"/>
          <w:rtl/>
        </w:rPr>
        <w:t xml:space="preserve">: והוא, שעומדת בצד ביתה ובצד חצרה. </w:t>
      </w:r>
      <w:r>
        <w:rPr>
          <w:rFonts w:cs="Arial"/>
          <w:u w:val="single"/>
          <w:rtl/>
        </w:rPr>
        <w:t>ר' אושעיא אמר</w:t>
      </w:r>
      <w:r>
        <w:rPr>
          <w:rFonts w:cs="Arial"/>
          <w:rtl/>
        </w:rPr>
        <w:t xml:space="preserve">: אפילו היא בטבריא וחצרה בציפורי, היא בציפורי וחצרה בטבריא </w:t>
      </w:r>
      <w:r w:rsidR="00A82951">
        <w:rPr>
          <w:rFonts w:cs="Arial"/>
          <w:rtl/>
        </w:rPr>
        <w:t>-</w:t>
      </w:r>
      <w:r>
        <w:rPr>
          <w:rFonts w:cs="Arial"/>
          <w:rtl/>
        </w:rPr>
        <w:t xml:space="preserve"> מגורש'. והא היא בתוך ביתה ובתוך חצרה קתני! ה"ק: והיא כמי שבתוך ביתה, והיא כמי שבתוך חצרה, דכיון דחצר משתמרת לדעתה היא </w:t>
      </w:r>
      <w:r w:rsidR="00A82951">
        <w:rPr>
          <w:rFonts w:cs="Arial"/>
          <w:rtl/>
        </w:rPr>
        <w:t>-</w:t>
      </w:r>
      <w:r>
        <w:rPr>
          <w:rFonts w:cs="Arial"/>
          <w:rtl/>
        </w:rPr>
        <w:t xml:space="preserve"> מתגרשת. לימא בהא קמיפלגי, דמר סבר: חצר משום ידה אתרבאי</w:t>
      </w:r>
      <w:r>
        <w:rPr>
          <w:rStyle w:val="a7"/>
          <w:rFonts w:cs="Arial"/>
          <w:rtl/>
        </w:rPr>
        <w:footnoteReference w:id="1651"/>
      </w:r>
      <w:r>
        <w:rPr>
          <w:rFonts w:cs="Arial"/>
          <w:rtl/>
        </w:rPr>
        <w:t xml:space="preserve">, ומר סבר: חצר משום שליחות אתרבאי! לא, דכולי עלמא </w:t>
      </w:r>
      <w:r w:rsidR="00A82951">
        <w:rPr>
          <w:rFonts w:cs="Arial"/>
          <w:rtl/>
        </w:rPr>
        <w:t>-</w:t>
      </w:r>
      <w:r>
        <w:rPr>
          <w:rFonts w:cs="Arial"/>
          <w:rtl/>
        </w:rPr>
        <w:t xml:space="preserve"> חצר משום ידה איתרבאי, מר סבר: כידה, מה ידה בסמוכה, אף חצרה בסמוכה. ואידך? אי מה ידה בדבוקה, אף חצרה בדבוקה! אלא כידה, מה ידה משתמרת לדעתה, אף חצרה המשתמרת לדעתה, לאפוקי חצר המשתמרת שלא לדעתה. </w:t>
      </w:r>
      <w:r>
        <w:rPr>
          <w:rFonts w:cs="Arial"/>
          <w:sz w:val="16"/>
          <w:szCs w:val="16"/>
          <w:rtl/>
        </w:rPr>
        <w:t>(וכתבו הרי"ף (לט:) והרא"ש (סי' ג) והלכתא כעולא, דהכי אסקה רב אשי בפרק שנים אוחזין (ב"מ יא:) דחצר אתרבאי מידה, ולא גרע משליחות גבי גט דחוב הוא לה ואין חבין לאדם שלא בפניו, הילכך בעינן והוא שעומדת בצד ביתה או בצד חצרה. וכן פסק הרמב"ם ז"ל בפ"ה (ה"ב). ופירש הר"ן (מ. דיבור ראשון) גבי גט דחוב הוא לה אי אפשר לחצרה שתקנה לה מתורת שליחות אלא מתורת יד, ומשום הכי אפילו משתמרת בעינן שתהא עומדת בצד חצרה, דכיון דמידה גמרינן, סמוכה לה בעינן עכ"ל, ב"י)</w:t>
      </w:r>
    </w:p>
    <w:p w14:paraId="4B5C04BE" w14:textId="77777777" w:rsidR="001A0195" w:rsidRDefault="001A0195" w:rsidP="001A0195">
      <w:pPr>
        <w:rPr>
          <w:rtl/>
        </w:rPr>
      </w:pPr>
      <w:r>
        <w:rPr>
          <w:rFonts w:cs="Arial"/>
          <w:b/>
          <w:bCs/>
          <w:rtl/>
        </w:rPr>
        <w:t xml:space="preserve">ירושלמי גיטין פ"א ה"א: </w:t>
      </w:r>
      <w:r>
        <w:rPr>
          <w:rFonts w:cs="Arial"/>
          <w:rtl/>
        </w:rPr>
        <w:t xml:space="preserve">נתן לה את גיטה ואחר כך אמרה תזכה לי חצירי שבעכו. </w:t>
      </w:r>
      <w:r>
        <w:rPr>
          <w:rFonts w:cs="Arial"/>
          <w:u w:val="single"/>
          <w:rtl/>
        </w:rPr>
        <w:t>אמר רבי חיננא</w:t>
      </w:r>
      <w:r>
        <w:rPr>
          <w:rFonts w:cs="Arial"/>
          <w:rtl/>
        </w:rPr>
        <w:t>: נעשית כמי שהיתה ידה ארוכה.</w:t>
      </w:r>
    </w:p>
    <w:p w14:paraId="5F871B79" w14:textId="77777777" w:rsidR="00FA2119" w:rsidRDefault="00FA2119" w:rsidP="00FA2119">
      <w:pPr>
        <w:rPr>
          <w:u w:val="single"/>
          <w:rtl/>
        </w:rPr>
      </w:pPr>
      <w:r>
        <w:rPr>
          <w:rFonts w:cs="Arial"/>
          <w:u w:val="single"/>
          <w:rtl/>
        </w:rPr>
        <w:t>זרק לה הגט בחצירה</w:t>
      </w:r>
      <w:r>
        <w:rPr>
          <w:u w:val="single"/>
          <w:rtl/>
        </w:rPr>
        <w:t>:</w:t>
      </w:r>
    </w:p>
    <w:p w14:paraId="5D35EB64" w14:textId="0E2B8DD6" w:rsidR="00FA2119" w:rsidRDefault="00FA2119" w:rsidP="006A458D">
      <w:pPr>
        <w:pStyle w:val="ab"/>
        <w:numPr>
          <w:ilvl w:val="0"/>
          <w:numId w:val="96"/>
        </w:numPr>
        <w:rPr>
          <w:rtl/>
        </w:rPr>
      </w:pPr>
      <w:r>
        <w:rPr>
          <w:rtl/>
        </w:rPr>
        <w:t>טור</w:t>
      </w:r>
      <w:r w:rsidR="00A82951">
        <w:rPr>
          <w:rtl/>
        </w:rPr>
        <w:t>-</w:t>
      </w:r>
      <w:r>
        <w:rPr>
          <w:rtl/>
        </w:rPr>
        <w:t xml:space="preserve"> </w:t>
      </w:r>
      <w:r>
        <w:rPr>
          <w:rFonts w:cs="Arial"/>
          <w:rtl/>
        </w:rPr>
        <w:t>קבלתה כיצד, זרק לה הגט בחצירה, בין שהוא קנוי לה או שאול או מושכר</w:t>
      </w:r>
      <w:r>
        <w:rPr>
          <w:rStyle w:val="a7"/>
          <w:rFonts w:cs="Arial"/>
          <w:rtl/>
        </w:rPr>
        <w:footnoteReference w:id="1652"/>
      </w:r>
      <w:r>
        <w:rPr>
          <w:rFonts w:cs="Arial"/>
          <w:rtl/>
        </w:rPr>
        <w:t xml:space="preserve"> </w:t>
      </w:r>
      <w:r w:rsidR="00A82951">
        <w:rPr>
          <w:rFonts w:cs="Arial"/>
          <w:rtl/>
        </w:rPr>
        <w:t>-</w:t>
      </w:r>
      <w:r>
        <w:rPr>
          <w:rFonts w:cs="Arial"/>
          <w:rtl/>
        </w:rPr>
        <w:t xml:space="preserve"> הרי זו מגורשת. בד"א שהיא עומדת בחצירה והוא משתמר לדעתה</w:t>
      </w:r>
      <w:r>
        <w:rPr>
          <w:rStyle w:val="a7"/>
          <w:rFonts w:cs="Arial"/>
          <w:rtl/>
        </w:rPr>
        <w:footnoteReference w:id="1653"/>
      </w:r>
      <w:r>
        <w:rPr>
          <w:rFonts w:cs="Arial"/>
          <w:rtl/>
        </w:rPr>
        <w:t xml:space="preserve">, אבל אם אינה עומדת שם אע"פ שהוא משתמר לדעתה </w:t>
      </w:r>
      <w:r w:rsidR="00A82951">
        <w:rPr>
          <w:rFonts w:cs="Arial"/>
          <w:rtl/>
        </w:rPr>
        <w:t>-</w:t>
      </w:r>
      <w:r>
        <w:rPr>
          <w:rFonts w:cs="Arial"/>
          <w:rtl/>
        </w:rPr>
        <w:t xml:space="preserve"> אינה מגורשת. </w:t>
      </w:r>
      <w:r>
        <w:rPr>
          <w:color w:val="E36C0A" w:themeColor="accent6" w:themeShade="BF"/>
          <w:rtl/>
        </w:rPr>
        <w:t>(וכ"פ בשו"ע)</w:t>
      </w:r>
    </w:p>
    <w:p w14:paraId="78944486" w14:textId="77777777" w:rsidR="00FA2119" w:rsidRDefault="00FA2119" w:rsidP="00FA2119">
      <w:pPr>
        <w:ind w:left="360"/>
        <w:rPr>
          <w:u w:val="dotted"/>
        </w:rPr>
      </w:pPr>
      <w:r>
        <w:rPr>
          <w:u w:val="dotted"/>
          <w:rtl/>
        </w:rPr>
        <w:t>ומה הדין אם אינה עומדת בצד ביתה אבל רוצה להתגרש בגט זה:</w:t>
      </w:r>
    </w:p>
    <w:p w14:paraId="437805E5" w14:textId="03FF06A4" w:rsidR="00D67B1D" w:rsidRDefault="00FA2119" w:rsidP="006A458D">
      <w:pPr>
        <w:pStyle w:val="ab"/>
        <w:numPr>
          <w:ilvl w:val="0"/>
          <w:numId w:val="96"/>
        </w:numPr>
      </w:pPr>
      <w:r>
        <w:rPr>
          <w:rFonts w:cs="Arial"/>
          <w:rtl/>
        </w:rPr>
        <w:t xml:space="preserve">רשב"א </w:t>
      </w:r>
      <w:r>
        <w:rPr>
          <w:rFonts w:cs="Arial"/>
          <w:sz w:val="16"/>
          <w:szCs w:val="16"/>
          <w:rtl/>
        </w:rPr>
        <w:t xml:space="preserve">(עז: ד"ה </w:t>
      </w:r>
      <w:r w:rsidR="00D67B1D">
        <w:rPr>
          <w:rFonts w:cs="Arial" w:hint="cs"/>
          <w:sz w:val="16"/>
          <w:szCs w:val="16"/>
          <w:rtl/>
        </w:rPr>
        <w:t>והיכא דזרק</w:t>
      </w:r>
      <w:r>
        <w:rPr>
          <w:rFonts w:cs="Arial"/>
          <w:sz w:val="16"/>
          <w:szCs w:val="16"/>
          <w:rtl/>
        </w:rPr>
        <w:t xml:space="preserve">) </w:t>
      </w:r>
      <w:r>
        <w:rPr>
          <w:rFonts w:cs="Arial"/>
          <w:rtl/>
        </w:rPr>
        <w:t xml:space="preserve">ור"ן </w:t>
      </w:r>
      <w:r>
        <w:rPr>
          <w:rFonts w:cs="Arial"/>
          <w:sz w:val="16"/>
          <w:szCs w:val="16"/>
          <w:rtl/>
        </w:rPr>
        <w:t>(שם)</w:t>
      </w:r>
      <w:r w:rsidR="00A82951">
        <w:rPr>
          <w:rFonts w:cs="Arial"/>
          <w:rtl/>
        </w:rPr>
        <w:t>-</w:t>
      </w:r>
      <w:r>
        <w:rPr>
          <w:rFonts w:cs="Arial"/>
          <w:rtl/>
        </w:rPr>
        <w:t xml:space="preserve"> </w:t>
      </w:r>
      <w:r w:rsidR="00DE6E6C" w:rsidRPr="00DE6E6C">
        <w:rPr>
          <w:rFonts w:cs="Arial"/>
          <w:rtl/>
        </w:rPr>
        <w:t>והיכא דזרק לה מדעתה ומרצונה בחצר המשתמרת לדעתה אע</w:t>
      </w:r>
      <w:r w:rsidR="00DE6E6C">
        <w:rPr>
          <w:rFonts w:cs="Arial" w:hint="cs"/>
          <w:rtl/>
        </w:rPr>
        <w:t>"</w:t>
      </w:r>
      <w:r w:rsidR="00DE6E6C" w:rsidRPr="00DE6E6C">
        <w:rPr>
          <w:rFonts w:cs="Arial"/>
          <w:rtl/>
        </w:rPr>
        <w:t>פ שאינה סמוכה לה איכא למימר דמודה עולא דמגורשת</w:t>
      </w:r>
      <w:r w:rsidR="00DE6E6C">
        <w:rPr>
          <w:rFonts w:cs="Arial" w:hint="cs"/>
          <w:rtl/>
        </w:rPr>
        <w:t>,</w:t>
      </w:r>
      <w:r w:rsidR="00DE6E6C" w:rsidRPr="00DE6E6C">
        <w:rPr>
          <w:rFonts w:cs="Arial"/>
          <w:rtl/>
        </w:rPr>
        <w:t xml:space="preserve"> דלא גרע משליחות</w:t>
      </w:r>
      <w:r w:rsidR="00DE6E6C">
        <w:rPr>
          <w:rFonts w:cs="Arial" w:hint="cs"/>
          <w:rtl/>
        </w:rPr>
        <w:t>,</w:t>
      </w:r>
      <w:r w:rsidR="00DE6E6C" w:rsidRPr="00DE6E6C">
        <w:rPr>
          <w:rFonts w:cs="Arial"/>
          <w:rtl/>
        </w:rPr>
        <w:t xml:space="preserve"> וכיון שהיא רוצה בגירושיה ומרצונה נתנו בחצרה זכות הוא לה וזכין לאדם שלא בפניו</w:t>
      </w:r>
      <w:r w:rsidR="00DE6E6C">
        <w:rPr>
          <w:rFonts w:cs="Arial" w:hint="cs"/>
          <w:rtl/>
        </w:rPr>
        <w:t>.</w:t>
      </w:r>
      <w:r w:rsidR="00DE6E6C" w:rsidRPr="00DE6E6C">
        <w:rPr>
          <w:rFonts w:cs="Arial"/>
          <w:rtl/>
        </w:rPr>
        <w:t xml:space="preserve"> ומסתברא דאינה מגורשת</w:t>
      </w:r>
      <w:r w:rsidR="00DE6E6C">
        <w:rPr>
          <w:rFonts w:cs="Arial" w:hint="cs"/>
          <w:rtl/>
        </w:rPr>
        <w:t>,</w:t>
      </w:r>
      <w:r w:rsidR="00DE6E6C" w:rsidRPr="00DE6E6C">
        <w:rPr>
          <w:rFonts w:cs="Arial"/>
          <w:rtl/>
        </w:rPr>
        <w:t xml:space="preserve"> דהא בשליחות דכותה אינה מגורשת משום דעיקר גרושין חוב הוא לאשה, ואע</w:t>
      </w:r>
      <w:r w:rsidR="00DE6E6C">
        <w:rPr>
          <w:rFonts w:cs="Arial" w:hint="cs"/>
          <w:rtl/>
        </w:rPr>
        <w:t>"</w:t>
      </w:r>
      <w:r w:rsidR="00DE6E6C" w:rsidRPr="00DE6E6C">
        <w:rPr>
          <w:rFonts w:cs="Arial"/>
          <w:rtl/>
        </w:rPr>
        <w:t xml:space="preserve">פ שהיא מחזרת להתגרש דלמא הדרה בה, והכין איתא בירושלמי פרק האומר </w:t>
      </w:r>
      <w:r w:rsidR="00DE6E6C">
        <w:rPr>
          <w:rFonts w:cs="Arial" w:hint="cs"/>
          <w:rtl/>
        </w:rPr>
        <w:t xml:space="preserve">(פ"ו ה"א) </w:t>
      </w:r>
      <w:r w:rsidR="00DE6E6C" w:rsidRPr="00DE6E6C">
        <w:rPr>
          <w:rFonts w:cs="Arial"/>
          <w:rtl/>
        </w:rPr>
        <w:t>התקבל הגע עצמך שהיא צווחת להתגרש אני אומר שמא חזרה בה</w:t>
      </w:r>
      <w:r w:rsidR="00D67B1D">
        <w:rPr>
          <w:rFonts w:cs="Arial" w:hint="cs"/>
          <w:sz w:val="16"/>
          <w:szCs w:val="16"/>
          <w:rtl/>
        </w:rPr>
        <w:t xml:space="preserve"> (ל' הרשב"א)</w:t>
      </w:r>
      <w:r w:rsidR="00DE6E6C">
        <w:rPr>
          <w:rFonts w:cs="Arial" w:hint="cs"/>
          <w:rtl/>
        </w:rPr>
        <w:t>.</w:t>
      </w:r>
      <w:r w:rsidR="00DE6E6C" w:rsidRPr="00DE6E6C">
        <w:rPr>
          <w:rFonts w:cs="Arial"/>
          <w:rtl/>
        </w:rPr>
        <w:t xml:space="preserve"> </w:t>
      </w:r>
      <w:r w:rsidR="00250021">
        <w:rPr>
          <w:color w:val="E36C0A" w:themeColor="accent6" w:themeShade="BF"/>
          <w:rtl/>
        </w:rPr>
        <w:t>(וכ"פ בשו"ע)</w:t>
      </w:r>
    </w:p>
    <w:p w14:paraId="36FB18B9" w14:textId="4A4E8FD7" w:rsidR="001A0195" w:rsidRDefault="001A0195" w:rsidP="001A0195">
      <w:pPr>
        <w:ind w:left="360"/>
      </w:pPr>
      <w:r w:rsidRPr="001A0195">
        <w:rPr>
          <w:rFonts w:hint="cs"/>
          <w:u w:val="dotted"/>
          <w:rtl/>
        </w:rPr>
        <w:t xml:space="preserve">ומה הדין אם </w:t>
      </w:r>
      <w:r>
        <w:rPr>
          <w:rFonts w:hint="cs"/>
          <w:u w:val="dotted"/>
          <w:rtl/>
        </w:rPr>
        <w:t>הגיעה לחצרה ועדיין רוצה בגט זה</w:t>
      </w:r>
      <w:r w:rsidRPr="001A0195">
        <w:rPr>
          <w:rFonts w:hint="cs"/>
          <w:u w:val="dotted"/>
          <w:rtl/>
        </w:rPr>
        <w:t>:</w:t>
      </w:r>
    </w:p>
    <w:p w14:paraId="5F0194EA" w14:textId="07230BCA" w:rsidR="001A0195" w:rsidRPr="001A0195" w:rsidRDefault="001A0195" w:rsidP="001A0195">
      <w:pPr>
        <w:pStyle w:val="ab"/>
        <w:numPr>
          <w:ilvl w:val="0"/>
          <w:numId w:val="96"/>
        </w:numPr>
      </w:pPr>
      <w:r>
        <w:rPr>
          <w:rFonts w:cs="Arial"/>
          <w:rtl/>
        </w:rPr>
        <w:t>רמ"ה</w:t>
      </w:r>
      <w:r>
        <w:rPr>
          <w:rFonts w:cs="Arial"/>
          <w:sz w:val="16"/>
          <w:szCs w:val="16"/>
          <w:rtl/>
        </w:rPr>
        <w:t xml:space="preserve"> (שיטות קדמונים עח. ד"ה נתן גט, כ"כ הטור בשמו)</w:t>
      </w:r>
      <w:r>
        <w:rPr>
          <w:rFonts w:cs="Arial"/>
          <w:rtl/>
        </w:rPr>
        <w:t>- אם נתן הגט בחצירה, ואח"כ באה שם, ואמר לה 'הרי זה גיטך'</w:t>
      </w:r>
      <w:r>
        <w:rPr>
          <w:rFonts w:cs="Arial" w:hint="cs"/>
          <w:rtl/>
        </w:rPr>
        <w:t>,</w:t>
      </w:r>
      <w:r>
        <w:rPr>
          <w:rFonts w:cs="Arial"/>
          <w:rtl/>
        </w:rPr>
        <w:t xml:space="preserve"> אע"פ שעדיין הגט שם </w:t>
      </w:r>
      <w:r>
        <w:rPr>
          <w:rFonts w:cs="Arial" w:hint="cs"/>
          <w:rtl/>
        </w:rPr>
        <w:t xml:space="preserve">- </w:t>
      </w:r>
      <w:r>
        <w:rPr>
          <w:rFonts w:cs="Arial"/>
          <w:rtl/>
        </w:rPr>
        <w:t>אינה מגורשת</w:t>
      </w:r>
      <w:r w:rsidRPr="004B6685">
        <w:rPr>
          <w:rFonts w:cs="Arial"/>
          <w:rtl/>
        </w:rPr>
        <w:t xml:space="preserve"> עד שתטלנו משם או עד שיטלנו משם ויתננו לה להתגרש בו</w:t>
      </w:r>
      <w:r>
        <w:rPr>
          <w:rStyle w:val="a7"/>
          <w:rFonts w:cs="Arial"/>
          <w:rtl/>
        </w:rPr>
        <w:footnoteReference w:id="1654"/>
      </w:r>
      <w:r w:rsidRPr="004B6685">
        <w:rPr>
          <w:rFonts w:cs="Arial"/>
          <w:rtl/>
        </w:rPr>
        <w:t xml:space="preserve">, דבעינן שתהא סמוכה לחצר בשעת נתינת הגט לתוכה. וכן בגיטה וחצירה באין כאחד בעינן שעומדת בצד החצר בשעת נתינה, ואע"ג דאזלה בתר הכי והדר אתיא, ואקניה החצר בתר דאתיא, ואמר לה ה"ז גיטיך - מגורשת, כיון שהיא סמוכה לחצר תחילה </w:t>
      </w:r>
      <w:r w:rsidRPr="004B6685">
        <w:rPr>
          <w:rFonts w:cs="Arial"/>
          <w:sz w:val="16"/>
          <w:szCs w:val="16"/>
          <w:rtl/>
        </w:rPr>
        <w:t xml:space="preserve">{בזמן נתינת הגט בחצר} </w:t>
      </w:r>
      <w:r w:rsidRPr="004B6685">
        <w:rPr>
          <w:rFonts w:cs="Arial"/>
          <w:rtl/>
        </w:rPr>
        <w:t>וסוף</w:t>
      </w:r>
      <w:r w:rsidRPr="004B6685">
        <w:rPr>
          <w:rFonts w:cs="Arial"/>
          <w:sz w:val="16"/>
          <w:szCs w:val="16"/>
          <w:rtl/>
        </w:rPr>
        <w:t xml:space="preserve"> {בזמן הקניית החצר}</w:t>
      </w:r>
      <w:r w:rsidRPr="004B6685">
        <w:rPr>
          <w:rFonts w:cs="Arial"/>
          <w:rtl/>
        </w:rPr>
        <w:t xml:space="preserve">. וה"ה בחצר דידה בעינן </w:t>
      </w:r>
      <w:r w:rsidRPr="004B6685">
        <w:rPr>
          <w:rFonts w:cs="Arial"/>
          <w:rtl/>
        </w:rPr>
        <w:lastRenderedPageBreak/>
        <w:t>דתיהוי סמוכה לה בעידן דלימא לה ה"ז גיטך. ואי לא סמוכה לה מתחילה ועד סוף</w:t>
      </w:r>
      <w:r>
        <w:rPr>
          <w:rStyle w:val="a7"/>
          <w:rFonts w:cs="Arial"/>
          <w:rtl/>
        </w:rPr>
        <w:footnoteReference w:id="1655"/>
      </w:r>
      <w:r w:rsidRPr="004B6685">
        <w:rPr>
          <w:rFonts w:cs="Arial"/>
          <w:rtl/>
        </w:rPr>
        <w:t xml:space="preserve"> - מספקא לן ולחומרא עבדינן בה</w:t>
      </w:r>
      <w:r>
        <w:rPr>
          <w:rStyle w:val="a7"/>
          <w:rFonts w:cs="Arial"/>
          <w:rtl/>
        </w:rPr>
        <w:footnoteReference w:id="1656"/>
      </w:r>
      <w:r w:rsidRPr="004B6685">
        <w:rPr>
          <w:rFonts w:cs="Arial"/>
          <w:rtl/>
        </w:rPr>
        <w:t>.</w:t>
      </w:r>
      <w:r w:rsidR="00014A5A">
        <w:rPr>
          <w:rFonts w:hint="cs"/>
          <w:rtl/>
        </w:rPr>
        <w:t xml:space="preserve"> </w:t>
      </w:r>
      <w:r w:rsidR="00014A5A">
        <w:rPr>
          <w:color w:val="E36C0A" w:themeColor="accent6" w:themeShade="BF"/>
          <w:rtl/>
        </w:rPr>
        <w:t>(וכ"</w:t>
      </w:r>
      <w:r w:rsidR="00014A5A">
        <w:rPr>
          <w:rFonts w:hint="cs"/>
          <w:color w:val="E36C0A" w:themeColor="accent6" w:themeShade="BF"/>
          <w:rtl/>
        </w:rPr>
        <w:t>ס</w:t>
      </w:r>
      <w:r w:rsidR="00014A5A">
        <w:rPr>
          <w:color w:val="E36C0A" w:themeColor="accent6" w:themeShade="BF"/>
          <w:rtl/>
        </w:rPr>
        <w:t xml:space="preserve"> בשו"ע</w:t>
      </w:r>
      <w:r w:rsidR="00014A5A">
        <w:rPr>
          <w:rFonts w:hint="cs"/>
          <w:color w:val="E36C0A" w:themeColor="accent6" w:themeShade="BF"/>
          <w:sz w:val="16"/>
          <w:szCs w:val="16"/>
          <w:rtl/>
        </w:rPr>
        <w:t xml:space="preserve"> </w:t>
      </w:r>
      <w:r w:rsidR="00014A5A" w:rsidRPr="00014A5A">
        <w:rPr>
          <w:rFonts w:hint="cs"/>
          <w:color w:val="000000" w:themeColor="text1"/>
          <w:sz w:val="16"/>
          <w:szCs w:val="16"/>
          <w:rtl/>
        </w:rPr>
        <w:t>[</w:t>
      </w:r>
      <w:r w:rsidR="00014A5A">
        <w:rPr>
          <w:rFonts w:hint="cs"/>
          <w:color w:val="000000" w:themeColor="text1"/>
          <w:sz w:val="16"/>
          <w:szCs w:val="16"/>
          <w:rtl/>
        </w:rPr>
        <w:t>בסע' הבא</w:t>
      </w:r>
      <w:r w:rsidR="00014A5A" w:rsidRPr="00014A5A">
        <w:rPr>
          <w:rFonts w:hint="cs"/>
          <w:color w:val="000000" w:themeColor="text1"/>
          <w:sz w:val="16"/>
          <w:szCs w:val="16"/>
          <w:rtl/>
        </w:rPr>
        <w:t>]</w:t>
      </w:r>
      <w:r w:rsidR="00014A5A">
        <w:rPr>
          <w:color w:val="E36C0A" w:themeColor="accent6" w:themeShade="BF"/>
          <w:rtl/>
        </w:rPr>
        <w:t>)</w:t>
      </w:r>
    </w:p>
    <w:p w14:paraId="4C79A554" w14:textId="5B97CC17" w:rsidR="00D67B1D" w:rsidRPr="00D67B1D" w:rsidRDefault="00D67B1D" w:rsidP="00D67B1D">
      <w:pPr>
        <w:ind w:left="360"/>
        <w:rPr>
          <w:u w:val="dotted"/>
        </w:rPr>
      </w:pPr>
      <w:r w:rsidRPr="00D67B1D">
        <w:rPr>
          <w:rFonts w:hint="cs"/>
          <w:u w:val="dotted"/>
          <w:rtl/>
        </w:rPr>
        <w:t xml:space="preserve">ומה הדין אם </w:t>
      </w:r>
      <w:r w:rsidR="00700CC5">
        <w:rPr>
          <w:rFonts w:hint="cs"/>
          <w:u w:val="dotted"/>
          <w:rtl/>
        </w:rPr>
        <w:t>אינה כלל ליד חצרה</w:t>
      </w:r>
      <w:r w:rsidR="00700CC5" w:rsidRPr="00700CC5">
        <w:rPr>
          <w:rFonts w:hint="cs"/>
          <w:sz w:val="16"/>
          <w:szCs w:val="16"/>
          <w:u w:val="dotted"/>
          <w:rtl/>
        </w:rPr>
        <w:t xml:space="preserve"> (לא בתחילה ולא בסוף)</w:t>
      </w:r>
      <w:r w:rsidR="00700CC5">
        <w:rPr>
          <w:rFonts w:hint="cs"/>
          <w:u w:val="dotted"/>
          <w:rtl/>
        </w:rPr>
        <w:t xml:space="preserve"> אבל </w:t>
      </w:r>
      <w:r w:rsidRPr="00D67B1D">
        <w:rPr>
          <w:rFonts w:hint="cs"/>
          <w:u w:val="dotted"/>
          <w:rtl/>
        </w:rPr>
        <w:t xml:space="preserve">אמרה בפירוש </w:t>
      </w:r>
      <w:r w:rsidR="00700CC5">
        <w:rPr>
          <w:rFonts w:hint="cs"/>
          <w:u w:val="dotted"/>
          <w:rtl/>
        </w:rPr>
        <w:t>"</w:t>
      </w:r>
      <w:r w:rsidRPr="00D67B1D">
        <w:rPr>
          <w:rFonts w:hint="cs"/>
          <w:u w:val="dotted"/>
          <w:rtl/>
        </w:rPr>
        <w:t>תזכה לי חצרי</w:t>
      </w:r>
      <w:r w:rsidR="00700CC5">
        <w:rPr>
          <w:rFonts w:hint="cs"/>
          <w:u w:val="dotted"/>
          <w:rtl/>
        </w:rPr>
        <w:t>"</w:t>
      </w:r>
      <w:r w:rsidRPr="00D67B1D">
        <w:rPr>
          <w:rFonts w:hint="cs"/>
          <w:u w:val="dotted"/>
          <w:rtl/>
        </w:rPr>
        <w:t>:</w:t>
      </w:r>
    </w:p>
    <w:p w14:paraId="5D6140CD" w14:textId="5F37EE02" w:rsidR="00DE6E6C" w:rsidRPr="00DE6E6C" w:rsidRDefault="00D67B1D" w:rsidP="006A458D">
      <w:pPr>
        <w:pStyle w:val="ab"/>
        <w:numPr>
          <w:ilvl w:val="0"/>
          <w:numId w:val="96"/>
        </w:numPr>
      </w:pPr>
      <w:r>
        <w:rPr>
          <w:rFonts w:cs="Arial"/>
          <w:rtl/>
        </w:rPr>
        <w:t xml:space="preserve">רשב"א </w:t>
      </w:r>
      <w:r>
        <w:rPr>
          <w:rFonts w:cs="Arial"/>
          <w:sz w:val="16"/>
          <w:szCs w:val="16"/>
          <w:rtl/>
        </w:rPr>
        <w:t>(עז: ד"ה היא בתוך)</w:t>
      </w:r>
      <w:r>
        <w:rPr>
          <w:rFonts w:cs="Arial" w:hint="cs"/>
          <w:rtl/>
        </w:rPr>
        <w:t xml:space="preserve">- </w:t>
      </w:r>
      <w:r w:rsidR="00DE6E6C" w:rsidRPr="00DE6E6C">
        <w:rPr>
          <w:rFonts w:cs="Arial"/>
          <w:rtl/>
        </w:rPr>
        <w:t>אבל אם נתנו כבר בחצרה שהוא בציפורי</w:t>
      </w:r>
      <w:r>
        <w:rPr>
          <w:rFonts w:cs="Arial" w:hint="cs"/>
          <w:rtl/>
        </w:rPr>
        <w:t>,</w:t>
      </w:r>
      <w:r w:rsidR="00DE6E6C" w:rsidRPr="00DE6E6C">
        <w:rPr>
          <w:rFonts w:cs="Arial"/>
          <w:rtl/>
        </w:rPr>
        <w:t xml:space="preserve"> ואמר לה הא גיטך בחצרך</w:t>
      </w:r>
      <w:r>
        <w:rPr>
          <w:rFonts w:cs="Arial" w:hint="cs"/>
          <w:rtl/>
        </w:rPr>
        <w:t>,</w:t>
      </w:r>
      <w:r w:rsidR="00DE6E6C" w:rsidRPr="00DE6E6C">
        <w:rPr>
          <w:rFonts w:cs="Arial"/>
          <w:rtl/>
        </w:rPr>
        <w:t xml:space="preserve"> ואמרה תזכה לי חצרי</w:t>
      </w:r>
      <w:r>
        <w:rPr>
          <w:rFonts w:cs="Arial" w:hint="cs"/>
          <w:rtl/>
        </w:rPr>
        <w:t xml:space="preserve"> -</w:t>
      </w:r>
      <w:r w:rsidR="00DE6E6C" w:rsidRPr="00DE6E6C">
        <w:rPr>
          <w:rFonts w:cs="Arial"/>
          <w:rtl/>
        </w:rPr>
        <w:t xml:space="preserve"> בזו נראה דמגורשת, ומצאתי בירושלמי דמכלתין בפ"ק נתן לה את גיטה ואמרה תזכה לי חצרי שבעכו אמר ר' חנינא נעשית כמי שהיתה ידה ארוכה, אלמא בכענין זה זכתה לה חצרה ומגורשת, אא"כ תדחה דר' חנינא כר' הושעיא סבירא ליה, והראשון נראה עיקר. ולא עוד אלא אפי' לא נתנו שם עדיין</w:t>
      </w:r>
      <w:r>
        <w:rPr>
          <w:rFonts w:cs="Arial" w:hint="cs"/>
          <w:rtl/>
        </w:rPr>
        <w:t>,</w:t>
      </w:r>
      <w:r w:rsidR="00DE6E6C" w:rsidRPr="00DE6E6C">
        <w:rPr>
          <w:rFonts w:cs="Arial"/>
          <w:rtl/>
        </w:rPr>
        <w:t xml:space="preserve"> אלא שאמרה היא זרוק לי גיטי בחצרי ותזכה לי חצרי </w:t>
      </w:r>
      <w:r>
        <w:rPr>
          <w:rFonts w:cs="Arial" w:hint="cs"/>
          <w:rtl/>
        </w:rPr>
        <w:t xml:space="preserve">- </w:t>
      </w:r>
      <w:r w:rsidR="00DE6E6C" w:rsidRPr="00DE6E6C">
        <w:rPr>
          <w:rFonts w:cs="Arial"/>
          <w:rtl/>
        </w:rPr>
        <w:t>משמע לי דמגורשת, דהא חצר לא גרע משליחות כדאיתא בפ"ק דמציעא</w:t>
      </w:r>
      <w:r w:rsidR="001A0195">
        <w:rPr>
          <w:rFonts w:cs="Arial" w:hint="cs"/>
          <w:rtl/>
        </w:rPr>
        <w:t xml:space="preserve"> (יב.)</w:t>
      </w:r>
      <w:r w:rsidR="00DE6E6C" w:rsidRPr="00DE6E6C">
        <w:rPr>
          <w:rFonts w:cs="Arial"/>
          <w:rtl/>
        </w:rPr>
        <w:t xml:space="preserve"> ובשליח דכותה מגורשת בממנה שליח לקבלה</w:t>
      </w:r>
      <w:r w:rsidR="001A0195">
        <w:rPr>
          <w:rStyle w:val="a7"/>
          <w:rFonts w:cs="Arial"/>
          <w:rtl/>
        </w:rPr>
        <w:footnoteReference w:id="1657"/>
      </w:r>
      <w:r>
        <w:rPr>
          <w:rFonts w:cs="Arial" w:hint="cs"/>
          <w:rtl/>
        </w:rPr>
        <w:t>.</w:t>
      </w:r>
    </w:p>
    <w:p w14:paraId="77B1C054" w14:textId="77777777" w:rsidR="001A0195" w:rsidRDefault="001A0195" w:rsidP="001A0195">
      <w:pPr>
        <w:pStyle w:val="ab"/>
        <w:numPr>
          <w:ilvl w:val="0"/>
          <w:numId w:val="96"/>
        </w:numPr>
      </w:pPr>
      <w:r>
        <w:rPr>
          <w:rFonts w:cs="Arial"/>
          <w:rtl/>
        </w:rPr>
        <w:t xml:space="preserve">ר"ן </w:t>
      </w:r>
      <w:r>
        <w:rPr>
          <w:rFonts w:cs="Arial"/>
          <w:sz w:val="16"/>
          <w:szCs w:val="16"/>
          <w:rtl/>
        </w:rPr>
        <w:t>(שם)</w:t>
      </w:r>
      <w:r>
        <w:rPr>
          <w:rFonts w:cs="Arial"/>
          <w:rtl/>
        </w:rPr>
        <w:t xml:space="preserve">- </w:t>
      </w:r>
      <w:r>
        <w:rPr>
          <w:rStyle w:val="a7"/>
          <w:rFonts w:cs="Arial"/>
          <w:rtl/>
        </w:rPr>
        <w:footnoteReference w:id="1658"/>
      </w:r>
      <w:r>
        <w:rPr>
          <w:rFonts w:cs="Arial"/>
          <w:rtl/>
        </w:rPr>
        <w:t>ולי משמע דירושלמי (שם) דקאמר 'נעשית כמו שהיתה ידה ארוכה' בכי האי גוונא בתרא הוא, שאמרה היא מתחלה זרוק לי גיטי ותזכה לי חצרי ואח"כ זרקו לה שם</w:t>
      </w:r>
      <w:r>
        <w:rPr>
          <w:rStyle w:val="a7"/>
          <w:rFonts w:cs="Arial"/>
          <w:rtl/>
        </w:rPr>
        <w:footnoteReference w:id="1659"/>
      </w:r>
      <w:r>
        <w:rPr>
          <w:rFonts w:cs="Arial"/>
          <w:rtl/>
        </w:rPr>
        <w:t xml:space="preserve">. </w:t>
      </w:r>
    </w:p>
    <w:p w14:paraId="3DEAD64C"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52BF6F3" w14:textId="77777777" w:rsidR="00FA2119" w:rsidRDefault="00FA2119" w:rsidP="00FA2119">
      <w:pPr>
        <w:rPr>
          <w:rtl/>
        </w:rPr>
      </w:pPr>
      <w:r>
        <w:rPr>
          <w:rFonts w:cs="Arial"/>
          <w:rtl/>
        </w:rPr>
        <w:t xml:space="preserve">זרק לה הגט בחצרה, בין שהוא קנוי לה או שאול או מושכר, הרי זו מגורשת. במה דברים אמורים, כשהיא עומדת בחצרה והוא משתמר לדעתה, אבל אם אינה עומדת שם, אף על פי שהוא משתמר לדעתה, אינה מגורשת. </w:t>
      </w:r>
    </w:p>
    <w:p w14:paraId="32ADC436" w14:textId="77777777" w:rsidR="00FA2119" w:rsidRDefault="00FA2119" w:rsidP="00FA2119">
      <w:pPr>
        <w:rPr>
          <w:rtl/>
        </w:rPr>
      </w:pPr>
    </w:p>
    <w:p w14:paraId="4F4D0FE0" w14:textId="77777777" w:rsidR="00FA2119" w:rsidRDefault="00FA2119" w:rsidP="00FA2119">
      <w:pPr>
        <w:pStyle w:val="2"/>
        <w:rPr>
          <w:rtl/>
        </w:rPr>
      </w:pPr>
      <w:r>
        <w:rPr>
          <w:rtl/>
        </w:rPr>
        <w:t>סעיף ב: סמיכות האשה לחצרה בזמן נתינת הגט שם.</w:t>
      </w:r>
    </w:p>
    <w:p w14:paraId="548FABF2" w14:textId="6CC8DA59" w:rsidR="00FA2119" w:rsidRDefault="001A0195" w:rsidP="001A0195">
      <w:r>
        <w:rPr>
          <w:rFonts w:cs="Arial" w:hint="cs"/>
          <w:rtl/>
        </w:rPr>
        <w:t>עיין במקורות בסעיף א.</w:t>
      </w:r>
      <w:r w:rsidR="00FA2119" w:rsidRPr="001A0195">
        <w:rPr>
          <w:rFonts w:cs="Arial"/>
          <w:rtl/>
        </w:rPr>
        <w:t xml:space="preserve"> </w:t>
      </w:r>
    </w:p>
    <w:p w14:paraId="533B9430"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2FB0D127" w14:textId="6639C35D" w:rsidR="00FA2119" w:rsidRDefault="00FA2119" w:rsidP="00FA2119">
      <w:pPr>
        <w:rPr>
          <w:rFonts w:cs="Arial"/>
          <w:rtl/>
        </w:rPr>
      </w:pPr>
      <w:r>
        <w:rPr>
          <w:rFonts w:cs="Arial"/>
          <w:rtl/>
        </w:rPr>
        <w:t>אם נתן בחצרה, ואחר כך באה שם ואמר לה: הרי זה גיטיך, יש מי שכתב שאף על פי שהגט עדיין שם אינה מגורשת, עד שתטלנו משם או עד שיטלנו משם, ויתננו לה להתגרש בו</w:t>
      </w:r>
      <w:r w:rsidR="00250021">
        <w:rPr>
          <w:rFonts w:cs="Arial" w:hint="cs"/>
          <w:rtl/>
        </w:rPr>
        <w:t>,</w:t>
      </w:r>
      <w:r>
        <w:rPr>
          <w:rFonts w:cs="Arial"/>
          <w:rtl/>
        </w:rPr>
        <w:t xml:space="preserve"> דבעינן שתהא סמוכה לחצר בשעת נתינת הגט לתוכו </w:t>
      </w:r>
      <w:r>
        <w:rPr>
          <w:rFonts w:cs="Arial"/>
          <w:sz w:val="18"/>
          <w:szCs w:val="18"/>
          <w:rtl/>
        </w:rPr>
        <w:t>[הגה] ובשעה שאומר לה הא גיטיך (רמ"ה).</w:t>
      </w:r>
      <w:r>
        <w:rPr>
          <w:rFonts w:cs="Arial"/>
          <w:rtl/>
        </w:rPr>
        <w:t xml:space="preserve"> וכן בגיטה וחצרה באים כאחד, בעינן שעומדת בצד החצר בשעת נתינה. ויש חולקין.</w:t>
      </w:r>
    </w:p>
    <w:p w14:paraId="2D54853C" w14:textId="77777777" w:rsidR="00FA2119" w:rsidRDefault="00FA2119" w:rsidP="00FA2119">
      <w:pPr>
        <w:rPr>
          <w:rtl/>
        </w:rPr>
      </w:pPr>
    </w:p>
    <w:p w14:paraId="1E880DE4" w14:textId="77777777" w:rsidR="00FA2119" w:rsidRDefault="00FA2119" w:rsidP="00FA2119">
      <w:pPr>
        <w:pStyle w:val="2"/>
        <w:rPr>
          <w:rtl/>
        </w:rPr>
      </w:pPr>
      <w:r>
        <w:rPr>
          <w:rtl/>
        </w:rPr>
        <w:t>סעיף ג: נתנו בחצרה שלא מדעתה ואינה עומדת בצד חצרה.</w:t>
      </w:r>
    </w:p>
    <w:p w14:paraId="6489950E" w14:textId="77777777" w:rsidR="00FA2119" w:rsidRDefault="00FA2119" w:rsidP="00FA2119">
      <w:pPr>
        <w:rPr>
          <w:u w:val="single"/>
          <w:rtl/>
        </w:rPr>
      </w:pPr>
      <w:r>
        <w:rPr>
          <w:rFonts w:cs="Arial"/>
          <w:u w:val="single"/>
          <w:rtl/>
        </w:rPr>
        <w:t>נתנו בחצרה שלא מדעתה ואינה עומדת בצד חצרה</w:t>
      </w:r>
      <w:r>
        <w:rPr>
          <w:u w:val="single"/>
          <w:rtl/>
        </w:rPr>
        <w:t>:</w:t>
      </w:r>
    </w:p>
    <w:p w14:paraId="0D2820E4" w14:textId="14E1A216" w:rsidR="00FA2119" w:rsidRDefault="00FA2119" w:rsidP="006A458D">
      <w:pPr>
        <w:pStyle w:val="ab"/>
        <w:numPr>
          <w:ilvl w:val="0"/>
          <w:numId w:val="99"/>
        </w:numPr>
        <w:rPr>
          <w:rFonts w:cs="Arial"/>
          <w:rtl/>
        </w:rPr>
      </w:pPr>
      <w:r>
        <w:rPr>
          <w:rFonts w:cs="Arial"/>
          <w:rtl/>
        </w:rPr>
        <w:t xml:space="preserve">רשב"א </w:t>
      </w:r>
      <w:r>
        <w:rPr>
          <w:rFonts w:cs="Arial"/>
          <w:sz w:val="16"/>
          <w:szCs w:val="16"/>
          <w:rtl/>
        </w:rPr>
        <w:t>(עז: ד"ה והיכא דנתנו)</w:t>
      </w:r>
      <w:r w:rsidR="00A82951">
        <w:rPr>
          <w:rFonts w:cs="Arial"/>
          <w:rtl/>
        </w:rPr>
        <w:t>-</w:t>
      </w:r>
      <w:r>
        <w:rPr>
          <w:rFonts w:cs="Arial"/>
          <w:rtl/>
        </w:rPr>
        <w:t xml:space="preserve"> והיכא דנתנו בחצרה שלא מדעתה </w:t>
      </w:r>
      <w:r w:rsidR="00A82951">
        <w:rPr>
          <w:rFonts w:cs="Arial"/>
          <w:rtl/>
        </w:rPr>
        <w:t>-</w:t>
      </w:r>
      <w:r>
        <w:rPr>
          <w:rFonts w:cs="Arial"/>
          <w:rtl/>
        </w:rPr>
        <w:t xml:space="preserve"> נמי במקום יבם מסתברא דהויא ספק מגורשת. דהא מספקא לן ביבמות פרק האשה שלום (קטז: </w:t>
      </w:r>
      <w:r w:rsidR="00A82951">
        <w:rPr>
          <w:rFonts w:cs="Arial"/>
          <w:rtl/>
        </w:rPr>
        <w:t>-</w:t>
      </w:r>
      <w:r>
        <w:rPr>
          <w:rFonts w:cs="Arial"/>
          <w:rtl/>
        </w:rPr>
        <w:t xml:space="preserve"> קיח.) מזכה גט לאשתו במקום יבם אי הוי גט או </w:t>
      </w:r>
      <w:r>
        <w:rPr>
          <w:rFonts w:cs="Arial"/>
          <w:rtl/>
        </w:rPr>
        <w:lastRenderedPageBreak/>
        <w:t>לא, וחולצת ולא מתיבמת. וה"נ דילמא זכות הוא לה וזכין לאדם שלא בפניו, וחולצת ולא מתיבמת.</w:t>
      </w:r>
      <w:r>
        <w:rPr>
          <w:color w:val="E36C0A" w:themeColor="accent6" w:themeShade="BF"/>
          <w:rtl/>
        </w:rPr>
        <w:t xml:space="preserve"> (וכ"פ בשו"ע)</w:t>
      </w:r>
    </w:p>
    <w:p w14:paraId="57828665" w14:textId="77777777" w:rsidR="00FA2119" w:rsidRDefault="00FA2119" w:rsidP="00FA2119">
      <w:pPr>
        <w:rPr>
          <w:rFonts w:cs="Arial"/>
          <w:u w:val="single"/>
        </w:rPr>
      </w:pPr>
      <w:r>
        <w:rPr>
          <w:rFonts w:cs="Arial"/>
          <w:u w:val="single"/>
          <w:rtl/>
        </w:rPr>
        <w:t>זרק גט בביתה בפני עדים שלא מדעתה והיא בצד ביתה:</w:t>
      </w:r>
    </w:p>
    <w:p w14:paraId="456ABA0A" w14:textId="28E0B2E1" w:rsidR="00FA2119" w:rsidRDefault="00FA2119" w:rsidP="006A458D">
      <w:pPr>
        <w:pStyle w:val="ab"/>
        <w:numPr>
          <w:ilvl w:val="0"/>
          <w:numId w:val="99"/>
        </w:numPr>
        <w:rPr>
          <w:rFonts w:cs="Arial"/>
        </w:rPr>
      </w:pPr>
      <w:r>
        <w:rPr>
          <w:rFonts w:cs="Arial"/>
          <w:rtl/>
        </w:rPr>
        <w:t xml:space="preserve">רשב"א </w:t>
      </w:r>
      <w:r>
        <w:rPr>
          <w:rFonts w:cs="Arial"/>
          <w:sz w:val="16"/>
          <w:szCs w:val="16"/>
          <w:rtl/>
        </w:rPr>
        <w:t>(עז: ד"ה והיכא דקימא)</w:t>
      </w:r>
      <w:r w:rsidR="00A82951">
        <w:rPr>
          <w:rFonts w:cs="Arial"/>
          <w:rtl/>
        </w:rPr>
        <w:t>-</w:t>
      </w:r>
      <w:r>
        <w:rPr>
          <w:rFonts w:cs="Arial"/>
          <w:rtl/>
        </w:rPr>
        <w:t xml:space="preserve"> והיכא דקימא בצד ביתה וזרקו לה בתוך ביתה ושלא מדעתה איפשר לומר דמגורשת אם זרקו לה בפני עדים ואמר להם ראו גט שאני נותן לאשתי, דומיא דידה, וכעדותו של ר' יוחנן בן גודגדה (נה.)</w:t>
      </w:r>
      <w:r>
        <w:rPr>
          <w:rStyle w:val="a7"/>
          <w:rFonts w:cs="Arial"/>
          <w:rtl/>
        </w:rPr>
        <w:footnoteReference w:id="1660"/>
      </w:r>
      <w:r>
        <w:rPr>
          <w:rFonts w:cs="Arial"/>
          <w:rtl/>
        </w:rPr>
        <w:t xml:space="preserve"> שהעיד על חרשת שהשיאה אביה שהיא יוצאה בגט, ולא דמי לישנה, דהכא אית לה יד לזכות לה, וכיון דיש לה יד אף חצרה קונה לה דומיא דידה, דידה אלו נתנו לה סתם ואמר לעדים ראו גט שאני נותן לאשתי ודאי מגורשת, דלא אמרו אינה מגורשת אלא בישנה דלאו בת אגרושי היא אבל נעורה דבת אגרושי היא מגורשת וה"ה לחצרה, וכל זה צ"ע</w:t>
      </w:r>
      <w:r>
        <w:rPr>
          <w:rStyle w:val="a7"/>
          <w:rtl/>
        </w:rPr>
        <w:footnoteReference w:id="1661"/>
      </w:r>
      <w:r>
        <w:rPr>
          <w:rFonts w:cs="Arial"/>
          <w:rtl/>
        </w:rPr>
        <w:t>.</w:t>
      </w:r>
    </w:p>
    <w:p w14:paraId="2A6FFA4F"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4E27906" w14:textId="77777777" w:rsidR="00FA2119" w:rsidRDefault="00FA2119" w:rsidP="00FA2119">
      <w:pPr>
        <w:rPr>
          <w:rtl/>
        </w:rPr>
      </w:pPr>
      <w:r>
        <w:rPr>
          <w:rFonts w:cs="Arial"/>
          <w:rtl/>
        </w:rPr>
        <w:t>נתנו בחצרה, שלא מדעתה, ואינה עומדת בצד חצרה, הרי זו ספק מגורשת</w:t>
      </w:r>
      <w:r>
        <w:rPr>
          <w:rStyle w:val="a7"/>
          <w:rFonts w:cs="Arial"/>
          <w:rtl/>
        </w:rPr>
        <w:footnoteReference w:id="1662"/>
      </w:r>
      <w:r>
        <w:rPr>
          <w:rFonts w:cs="Arial"/>
          <w:rtl/>
        </w:rPr>
        <w:t xml:space="preserve">. </w:t>
      </w:r>
    </w:p>
    <w:p w14:paraId="1F49AA3B" w14:textId="77777777" w:rsidR="00FA2119" w:rsidRDefault="00FA2119" w:rsidP="00FA2119">
      <w:pPr>
        <w:rPr>
          <w:rtl/>
        </w:rPr>
      </w:pPr>
    </w:p>
    <w:p w14:paraId="6814651C" w14:textId="77777777" w:rsidR="00FA2119" w:rsidRDefault="00FA2119" w:rsidP="00FA2119">
      <w:pPr>
        <w:pStyle w:val="2"/>
        <w:rPr>
          <w:rtl/>
        </w:rPr>
      </w:pPr>
      <w:r>
        <w:rPr>
          <w:rtl/>
        </w:rPr>
        <w:t>סעיף ד: היא בגג והוא בחצר וזרק לה גט.</w:t>
      </w:r>
    </w:p>
    <w:p w14:paraId="7177CE8B" w14:textId="46080169" w:rsidR="00FA2119" w:rsidRDefault="00FA2119" w:rsidP="00FA2119">
      <w:pPr>
        <w:rPr>
          <w:rFonts w:cs="Arial"/>
          <w:rtl/>
        </w:rPr>
      </w:pPr>
      <w:r>
        <w:rPr>
          <w:rFonts w:cs="Arial"/>
          <w:b/>
          <w:bCs/>
          <w:rtl/>
        </w:rPr>
        <w:t xml:space="preserve">גיטין </w:t>
      </w:r>
      <w:r>
        <w:rPr>
          <w:rFonts w:cs="Arial"/>
          <w:b/>
          <w:bCs/>
          <w:sz w:val="16"/>
          <w:szCs w:val="16"/>
          <w:rtl/>
        </w:rPr>
        <w:t>(פ' הזורק)</w:t>
      </w:r>
      <w:r>
        <w:rPr>
          <w:rFonts w:cs="Arial"/>
          <w:b/>
          <w:bCs/>
          <w:rtl/>
        </w:rPr>
        <w:t xml:space="preserve"> עט ע"א:</w:t>
      </w:r>
      <w:r>
        <w:rPr>
          <w:rFonts w:cs="Arial"/>
          <w:rtl/>
        </w:rPr>
        <w:t xml:space="preserve"> </w:t>
      </w:r>
      <w:r>
        <w:rPr>
          <w:rFonts w:cs="Arial"/>
          <w:u w:val="double"/>
          <w:rtl/>
        </w:rPr>
        <w:t>מתני'</w:t>
      </w:r>
      <w:r>
        <w:rPr>
          <w:rFonts w:cs="Arial"/>
          <w:rtl/>
        </w:rPr>
        <w:t xml:space="preserve">: היתה עומדת על ראש הגג וזרקו לה, כיון שהגיע לאויר הגג </w:t>
      </w:r>
      <w:r w:rsidR="00A82951">
        <w:rPr>
          <w:rFonts w:cs="Arial"/>
          <w:rtl/>
        </w:rPr>
        <w:t>-</w:t>
      </w:r>
      <w:r>
        <w:rPr>
          <w:rFonts w:cs="Arial"/>
          <w:rtl/>
        </w:rPr>
        <w:t xml:space="preserve"> הרי זו מגורשת. הוא מלמעלה והיא מלמטה וזרקו לה, כיון שיצא מרשות הגג, נמחק או נשרף </w:t>
      </w:r>
      <w:r w:rsidR="00A82951">
        <w:rPr>
          <w:rFonts w:cs="Arial"/>
          <w:rtl/>
        </w:rPr>
        <w:t>-</w:t>
      </w:r>
      <w:r>
        <w:rPr>
          <w:rFonts w:cs="Arial"/>
          <w:rtl/>
        </w:rPr>
        <w:t xml:space="preserve"> הרי זו מגורשת.</w:t>
      </w:r>
      <w:r>
        <w:rPr>
          <w:rtl/>
        </w:rPr>
        <w:t xml:space="preserve">      </w:t>
      </w:r>
      <w:r>
        <w:rPr>
          <w:rFonts w:cs="Arial"/>
          <w:u w:val="double"/>
          <w:rtl/>
        </w:rPr>
        <w:t>גמ'</w:t>
      </w:r>
      <w:r>
        <w:rPr>
          <w:rFonts w:cs="Arial"/>
          <w:rtl/>
        </w:rPr>
        <w:t>: והא לא מינטר</w:t>
      </w:r>
      <w:r>
        <w:rPr>
          <w:rStyle w:val="a7"/>
          <w:rFonts w:cs="Arial"/>
          <w:rtl/>
        </w:rPr>
        <w:footnoteReference w:id="1663"/>
      </w:r>
      <w:r>
        <w:rPr>
          <w:rFonts w:cs="Arial"/>
          <w:rtl/>
        </w:rPr>
        <w:t xml:space="preserve">! </w:t>
      </w:r>
      <w:r>
        <w:rPr>
          <w:rFonts w:cs="Arial"/>
          <w:u w:val="single"/>
          <w:rtl/>
        </w:rPr>
        <w:t>אמר רב יהודה אמר שמואל</w:t>
      </w:r>
      <w:r>
        <w:rPr>
          <w:rFonts w:cs="Arial"/>
          <w:rtl/>
        </w:rPr>
        <w:t xml:space="preserve">: בגג שיש לו מעקה עסקינן. </w:t>
      </w:r>
      <w:r>
        <w:rPr>
          <w:rFonts w:cs="Arial"/>
          <w:u w:val="single"/>
          <w:rtl/>
        </w:rPr>
        <w:t>עולא בר מנשיא משמיה דאבימי אמר</w:t>
      </w:r>
      <w:r>
        <w:rPr>
          <w:rFonts w:cs="Arial"/>
          <w:rtl/>
        </w:rPr>
        <w:t>: הכא בפחות משלשה סמוך לגג עסקינן</w:t>
      </w:r>
      <w:r>
        <w:rPr>
          <w:rStyle w:val="a7"/>
          <w:rFonts w:cs="Arial"/>
          <w:rtl/>
        </w:rPr>
        <w:footnoteReference w:id="1664"/>
      </w:r>
      <w:r>
        <w:rPr>
          <w:rFonts w:cs="Arial"/>
          <w:rtl/>
        </w:rPr>
        <w:t xml:space="preserve">, דכל פחות משלשה סמוך לגג </w:t>
      </w:r>
      <w:r w:rsidR="00A82951">
        <w:rPr>
          <w:rFonts w:cs="Arial"/>
          <w:rtl/>
        </w:rPr>
        <w:t>-</w:t>
      </w:r>
      <w:r>
        <w:rPr>
          <w:rFonts w:cs="Arial"/>
          <w:rtl/>
        </w:rPr>
        <w:t xml:space="preserve"> כגג דמי</w:t>
      </w:r>
      <w:r>
        <w:rPr>
          <w:rStyle w:val="a7"/>
          <w:rFonts w:cs="Arial"/>
          <w:rtl/>
        </w:rPr>
        <w:footnoteReference w:id="1665"/>
      </w:r>
      <w:r>
        <w:rPr>
          <w:rFonts w:cs="Arial"/>
          <w:rtl/>
        </w:rPr>
        <w:t>. הוא מלמעלה. והא לא מינטר</w:t>
      </w:r>
      <w:r>
        <w:rPr>
          <w:rStyle w:val="a7"/>
          <w:rFonts w:cs="Arial"/>
          <w:rtl/>
        </w:rPr>
        <w:footnoteReference w:id="1666"/>
      </w:r>
      <w:r>
        <w:rPr>
          <w:rFonts w:cs="Arial"/>
          <w:rtl/>
        </w:rPr>
        <w:t xml:space="preserve">! </w:t>
      </w:r>
      <w:r>
        <w:rPr>
          <w:rFonts w:cs="Arial"/>
          <w:u w:val="single"/>
          <w:rtl/>
        </w:rPr>
        <w:t>א"ר יהודה אמר שמואל</w:t>
      </w:r>
      <w:r>
        <w:rPr>
          <w:rFonts w:cs="Arial"/>
          <w:rtl/>
        </w:rPr>
        <w:t>: כגון שהיו מחיצות התחתונות</w:t>
      </w:r>
      <w:r>
        <w:rPr>
          <w:rStyle w:val="a7"/>
          <w:rFonts w:cs="Arial"/>
          <w:rtl/>
        </w:rPr>
        <w:footnoteReference w:id="1667"/>
      </w:r>
      <w:r>
        <w:rPr>
          <w:rFonts w:cs="Arial"/>
          <w:rtl/>
        </w:rPr>
        <w:t xml:space="preserve"> עודפות</w:t>
      </w:r>
      <w:r>
        <w:rPr>
          <w:rStyle w:val="a7"/>
          <w:rFonts w:cs="Arial"/>
          <w:rtl/>
        </w:rPr>
        <w:footnoteReference w:id="1668"/>
      </w:r>
      <w:r>
        <w:rPr>
          <w:rFonts w:cs="Arial"/>
          <w:rtl/>
        </w:rPr>
        <w:t xml:space="preserve"> על העליונות. </w:t>
      </w:r>
      <w:r>
        <w:rPr>
          <w:rFonts w:cs="Arial"/>
          <w:u w:val="single"/>
          <w:rtl/>
        </w:rPr>
        <w:t>וכן אמר רבי אלעזר א"ר אושעיא</w:t>
      </w:r>
      <w:r>
        <w:rPr>
          <w:rFonts w:cs="Arial"/>
          <w:rtl/>
        </w:rPr>
        <w:t xml:space="preserve">: כגון שהיו מחיצות התחתונות עודפות על העליונות. </w:t>
      </w:r>
      <w:r>
        <w:rPr>
          <w:rFonts w:cs="Arial"/>
          <w:u w:val="single"/>
          <w:rtl/>
        </w:rPr>
        <w:t>וכן אמר עולא א"ר יוחנן</w:t>
      </w:r>
      <w:r>
        <w:rPr>
          <w:rFonts w:cs="Arial"/>
          <w:rtl/>
        </w:rPr>
        <w:t xml:space="preserve">: כגון שהיו מחיצות התחתונות עודפות על העליונות. </w:t>
      </w:r>
      <w:r>
        <w:rPr>
          <w:rFonts w:cs="Arial"/>
          <w:u w:val="single"/>
          <w:rtl/>
        </w:rPr>
        <w:t>א"ל ר' אבא לעולא</w:t>
      </w:r>
      <w:r>
        <w:rPr>
          <w:rFonts w:cs="Arial"/>
          <w:rtl/>
        </w:rPr>
        <w:t>: כמאן? כרבי, דאמר: קלוטה כמי שהונחה דמיא</w:t>
      </w:r>
      <w:r>
        <w:rPr>
          <w:rStyle w:val="a7"/>
          <w:rFonts w:cs="Arial"/>
          <w:rtl/>
        </w:rPr>
        <w:footnoteReference w:id="1669"/>
      </w:r>
      <w:r>
        <w:rPr>
          <w:rFonts w:cs="Arial"/>
          <w:rtl/>
        </w:rPr>
        <w:t xml:space="preserve">! </w:t>
      </w:r>
      <w:r>
        <w:rPr>
          <w:rFonts w:cs="Arial"/>
          <w:u w:val="single"/>
          <w:rtl/>
        </w:rPr>
        <w:t>א"ל</w:t>
      </w:r>
      <w:r>
        <w:rPr>
          <w:rFonts w:cs="Arial"/>
          <w:rtl/>
        </w:rPr>
        <w:t xml:space="preserve">: אפילו תימא רבנן, עד כאן לא פליגי רבנן עליה </w:t>
      </w:r>
      <w:r>
        <w:rPr>
          <w:rFonts w:cs="Arial"/>
          <w:rtl/>
        </w:rPr>
        <w:lastRenderedPageBreak/>
        <w:t xml:space="preserve">דרבי </w:t>
      </w:r>
      <w:r w:rsidR="00A82951">
        <w:rPr>
          <w:rFonts w:cs="Arial"/>
          <w:rtl/>
        </w:rPr>
        <w:t>-</w:t>
      </w:r>
      <w:r>
        <w:rPr>
          <w:rFonts w:cs="Arial"/>
          <w:rtl/>
        </w:rPr>
        <w:t xml:space="preserve"> אלא לענין שבת, אבל הכא משום אינטורי הוא, והא קא מינטר. </w:t>
      </w:r>
      <w:r>
        <w:rPr>
          <w:rFonts w:cs="Arial"/>
          <w:u w:val="single"/>
          <w:rtl/>
        </w:rPr>
        <w:t>וכן אמר ר' אסי א"ר יוחנן</w:t>
      </w:r>
      <w:r>
        <w:rPr>
          <w:rFonts w:cs="Arial"/>
          <w:rtl/>
        </w:rPr>
        <w:t xml:space="preserve">: כגון שהיו מחיצות התחתונות עודפות על העליונות. </w:t>
      </w:r>
      <w:r>
        <w:rPr>
          <w:rFonts w:cs="Arial"/>
          <w:u w:val="single"/>
          <w:rtl/>
        </w:rPr>
        <w:t>א"ל רבי זירא לר' אסי</w:t>
      </w:r>
      <w:r>
        <w:rPr>
          <w:rFonts w:cs="Arial"/>
          <w:rtl/>
        </w:rPr>
        <w:t xml:space="preserve">: כמאן? כרבי, דאמר: קלוטה כמי שהונחה דמיא! </w:t>
      </w:r>
      <w:r w:rsidRPr="00B91C21">
        <w:rPr>
          <w:rFonts w:cs="Arial"/>
          <w:u w:val="single"/>
          <w:rtl/>
        </w:rPr>
        <w:t>א"ל</w:t>
      </w:r>
      <w:r>
        <w:rPr>
          <w:rFonts w:cs="Arial"/>
          <w:rtl/>
        </w:rPr>
        <w:t xml:space="preserve">: אפילו תימא רבנן, עד כאן לא פליגי רבנן עליה דרבי </w:t>
      </w:r>
      <w:r w:rsidR="00A82951">
        <w:rPr>
          <w:rFonts w:cs="Arial"/>
          <w:rtl/>
        </w:rPr>
        <w:t>-</w:t>
      </w:r>
      <w:r>
        <w:rPr>
          <w:rFonts w:cs="Arial"/>
          <w:rtl/>
        </w:rPr>
        <w:t xml:space="preserve"> אלא לענין שבת, אבל הכא משום אינטורי הוא, והא קא מינטר. נמחק. </w:t>
      </w:r>
      <w:r>
        <w:rPr>
          <w:rFonts w:cs="Arial"/>
          <w:u w:val="single"/>
          <w:rtl/>
        </w:rPr>
        <w:t>א"ר נחמן אמר רבה בר אבוה</w:t>
      </w:r>
      <w:r>
        <w:rPr>
          <w:rFonts w:cs="Arial"/>
          <w:rtl/>
        </w:rPr>
        <w:t>: לא שנו אלא שנמחק דרך ירידה</w:t>
      </w:r>
      <w:r>
        <w:rPr>
          <w:rStyle w:val="a7"/>
          <w:rFonts w:cs="Arial"/>
          <w:rtl/>
        </w:rPr>
        <w:footnoteReference w:id="1670"/>
      </w:r>
      <w:r>
        <w:rPr>
          <w:rFonts w:cs="Arial"/>
          <w:rtl/>
        </w:rPr>
        <w:t>, אבל נמחק דרך עלייה</w:t>
      </w:r>
      <w:r>
        <w:rPr>
          <w:rStyle w:val="a7"/>
          <w:rFonts w:cs="Arial"/>
          <w:rtl/>
        </w:rPr>
        <w:footnoteReference w:id="1671"/>
      </w:r>
      <w:r>
        <w:rPr>
          <w:rFonts w:cs="Arial"/>
          <w:rtl/>
        </w:rPr>
        <w:t xml:space="preserve"> </w:t>
      </w:r>
      <w:r w:rsidR="00A82951">
        <w:rPr>
          <w:rFonts w:cs="Arial"/>
          <w:rtl/>
        </w:rPr>
        <w:t>-</w:t>
      </w:r>
      <w:r>
        <w:rPr>
          <w:rFonts w:cs="Arial"/>
          <w:rtl/>
        </w:rPr>
        <w:t xml:space="preserve"> לא</w:t>
      </w:r>
      <w:r>
        <w:rPr>
          <w:rStyle w:val="a7"/>
          <w:rFonts w:cs="Arial"/>
          <w:rtl/>
        </w:rPr>
        <w:footnoteReference w:id="1672"/>
      </w:r>
      <w:r>
        <w:rPr>
          <w:rFonts w:cs="Arial"/>
          <w:rtl/>
        </w:rPr>
        <w:t xml:space="preserve">. מאי טעמא? מעיקרא לא למינח קאי. נשרף. </w:t>
      </w:r>
      <w:r>
        <w:rPr>
          <w:rFonts w:cs="Arial"/>
          <w:u w:val="single"/>
          <w:rtl/>
        </w:rPr>
        <w:t>אמר ר"נ אמר רבה בר אבוה</w:t>
      </w:r>
      <w:r>
        <w:rPr>
          <w:rFonts w:cs="Arial"/>
          <w:rtl/>
        </w:rPr>
        <w:t>: לא שנו אלא שקדם גט לדליקה</w:t>
      </w:r>
      <w:r>
        <w:rPr>
          <w:rStyle w:val="a7"/>
          <w:rFonts w:cs="Arial"/>
          <w:rtl/>
        </w:rPr>
        <w:footnoteReference w:id="1673"/>
      </w:r>
      <w:r>
        <w:rPr>
          <w:rFonts w:cs="Arial"/>
          <w:rtl/>
        </w:rPr>
        <w:t xml:space="preserve">, אבל קדמה דליקה לגט </w:t>
      </w:r>
      <w:r w:rsidR="00A82951">
        <w:rPr>
          <w:rFonts w:cs="Arial"/>
          <w:rtl/>
        </w:rPr>
        <w:t>-</w:t>
      </w:r>
      <w:r>
        <w:rPr>
          <w:rFonts w:cs="Arial"/>
          <w:rtl/>
        </w:rPr>
        <w:t xml:space="preserve"> לא. מ"ט? מעיקרא לשריפה קאזיל.</w:t>
      </w:r>
    </w:p>
    <w:p w14:paraId="1C3B8F80" w14:textId="408C31FC" w:rsidR="00FA2119" w:rsidRDefault="00FA2119" w:rsidP="00FA2119">
      <w:pPr>
        <w:rPr>
          <w:rFonts w:cs="Arial"/>
          <w:u w:val="single"/>
          <w:rtl/>
        </w:rPr>
      </w:pPr>
      <w:r>
        <w:rPr>
          <w:rFonts w:cs="Arial"/>
          <w:u w:val="single"/>
          <w:rtl/>
        </w:rPr>
        <w:t>היא בחצר/בגג</w:t>
      </w:r>
      <w:r>
        <w:rPr>
          <w:rFonts w:cs="Arial"/>
          <w:sz w:val="16"/>
          <w:szCs w:val="16"/>
          <w:u w:val="single"/>
          <w:rtl/>
        </w:rPr>
        <w:t xml:space="preserve">, </w:t>
      </w:r>
      <w:r>
        <w:rPr>
          <w:rFonts w:cs="Arial"/>
          <w:u w:val="single"/>
          <w:rtl/>
        </w:rPr>
        <w:t xml:space="preserve">והוא בגג/בחצר, וזרק לה גט </w:t>
      </w:r>
      <w:r w:rsidR="00A82951">
        <w:rPr>
          <w:rFonts w:cs="Arial"/>
          <w:u w:val="single"/>
          <w:rtl/>
        </w:rPr>
        <w:t>-</w:t>
      </w:r>
      <w:r>
        <w:rPr>
          <w:rFonts w:cs="Arial"/>
          <w:u w:val="single"/>
          <w:rtl/>
        </w:rPr>
        <w:t xml:space="preserve"> ונאבד/נמחק/נשרף:</w:t>
      </w:r>
    </w:p>
    <w:p w14:paraId="33FCF5A5" w14:textId="6F55723B" w:rsidR="00FA2119" w:rsidRDefault="00FA2119" w:rsidP="006A458D">
      <w:pPr>
        <w:pStyle w:val="ab"/>
        <w:numPr>
          <w:ilvl w:val="0"/>
          <w:numId w:val="96"/>
        </w:numPr>
        <w:rPr>
          <w:rtl/>
        </w:rPr>
      </w:pPr>
      <w:r>
        <w:rPr>
          <w:rFonts w:cs="Arial"/>
          <w:rtl/>
        </w:rPr>
        <w:t>טור</w:t>
      </w:r>
      <w:r w:rsidR="00A82951">
        <w:rPr>
          <w:rFonts w:cs="Arial"/>
          <w:rtl/>
        </w:rPr>
        <w:t>-</w:t>
      </w:r>
      <w:r>
        <w:rPr>
          <w:rFonts w:cs="Arial"/>
          <w:rtl/>
        </w:rPr>
        <w:t xml:space="preserve"> היתה עומדת על גגה, וזרקו לה לראש הגג, אם יש לו מעקה כיון שהגיע לאויר תוך מחיצת המעקה, או אפילו אין לו מעקה והגיע לתוך ג' טפחים סמוך לקרקעית הגג </w:t>
      </w:r>
      <w:r w:rsidR="00A82951">
        <w:rPr>
          <w:rFonts w:cs="Arial"/>
          <w:rtl/>
        </w:rPr>
        <w:t>-</w:t>
      </w:r>
      <w:r>
        <w:rPr>
          <w:rFonts w:cs="Arial"/>
          <w:rtl/>
        </w:rPr>
        <w:t xml:space="preserve"> הרי זו מגורשת, אפילו נשרף קודם שנח</w:t>
      </w:r>
      <w:r>
        <w:rPr>
          <w:rStyle w:val="a7"/>
          <w:rFonts w:cs="Arial"/>
          <w:rtl/>
        </w:rPr>
        <w:footnoteReference w:id="1674"/>
      </w:r>
      <w:r>
        <w:rPr>
          <w:rFonts w:cs="Arial"/>
          <w:rtl/>
        </w:rPr>
        <w:t xml:space="preserve">. והוא שקדם גט לדליקה, שהרי ראוי לנוח אלמלא האש שבא אחר שזרקו, אבל אם קדם האש </w:t>
      </w:r>
      <w:r w:rsidR="00A82951">
        <w:rPr>
          <w:rFonts w:cs="Arial"/>
          <w:rtl/>
        </w:rPr>
        <w:t>-</w:t>
      </w:r>
      <w:r>
        <w:rPr>
          <w:rFonts w:cs="Arial"/>
          <w:rtl/>
        </w:rPr>
        <w:t xml:space="preserve"> לא, שלעולם לא היה ראוי לנוח ברשותה.</w:t>
      </w:r>
      <w:r>
        <w:rPr>
          <w:rFonts w:cs="Arial"/>
          <w:sz w:val="16"/>
          <w:szCs w:val="16"/>
          <w:rtl/>
        </w:rPr>
        <w:t xml:space="preserve"> </w:t>
      </w:r>
      <w:r>
        <w:rPr>
          <w:rFonts w:cs="Arial"/>
          <w:rtl/>
        </w:rPr>
        <w:t xml:space="preserve">היה הוא בגגו וזרקו לה לחצרה, אם מחיצות החצר גבוהות מהגג בענין שמיד כשזרק הגט מאויר הגג נכנס לאויר מחיצות החצר </w:t>
      </w:r>
      <w:r w:rsidR="00A82951">
        <w:rPr>
          <w:rFonts w:cs="Arial"/>
          <w:rtl/>
        </w:rPr>
        <w:t>-</w:t>
      </w:r>
      <w:r>
        <w:rPr>
          <w:rFonts w:cs="Arial"/>
          <w:rtl/>
        </w:rPr>
        <w:t xml:space="preserve"> מגורשת אפי' נמחק קודם שהגיע לארץ, וכגון שנמחק לאחר שהתחיל לירד, דכשזרקו מידו כדי להעבירו המעקה צריך לזורקו כלפי מעלה. ואם נמחק בעודו דרך עלייה</w:t>
      </w:r>
      <w:r>
        <w:rPr>
          <w:rFonts w:cs="Arial"/>
          <w:sz w:val="16"/>
          <w:szCs w:val="16"/>
          <w:rtl/>
        </w:rPr>
        <w:t xml:space="preserve"> {בין היא למעלה ובין הוא למעלה}</w:t>
      </w:r>
      <w:r>
        <w:rPr>
          <w:rFonts w:cs="Arial"/>
          <w:rtl/>
        </w:rPr>
        <w:t xml:space="preserve">, אפילו יצא מתוך מחיצות הגג ונכנס לאויר מחיצות החצר </w:t>
      </w:r>
      <w:r w:rsidR="00A82951">
        <w:rPr>
          <w:rFonts w:cs="Arial"/>
          <w:rtl/>
        </w:rPr>
        <w:t>-</w:t>
      </w:r>
      <w:r>
        <w:rPr>
          <w:rFonts w:cs="Arial"/>
          <w:rtl/>
        </w:rPr>
        <w:t xml:space="preserve"> לא הוי גט, אא"כ הוא דרך ירידה לאחר שהתחיל לירד. </w:t>
      </w:r>
      <w:r w:rsidR="00014A5A">
        <w:rPr>
          <w:color w:val="E36C0A" w:themeColor="accent6" w:themeShade="BF"/>
          <w:rtl/>
        </w:rPr>
        <w:t>(וכ"פ בשו"ע)</w:t>
      </w:r>
      <w:r w:rsidR="00987DBF">
        <w:rPr>
          <w:rFonts w:hint="cs"/>
          <w:rtl/>
        </w:rPr>
        <w:t xml:space="preserve"> </w:t>
      </w:r>
    </w:p>
    <w:p w14:paraId="0A68941C" w14:textId="069CA7FB" w:rsidR="00FA2119" w:rsidRDefault="00FA2119" w:rsidP="006A458D">
      <w:pPr>
        <w:pStyle w:val="ab"/>
        <w:numPr>
          <w:ilvl w:val="0"/>
          <w:numId w:val="96"/>
        </w:numPr>
        <w:rPr>
          <w:rFonts w:cs="Arial"/>
        </w:rPr>
      </w:pPr>
      <w:r>
        <w:rPr>
          <w:rFonts w:cs="Arial"/>
          <w:rtl/>
        </w:rPr>
        <w:t xml:space="preserve">רמב"ם </w:t>
      </w:r>
      <w:r>
        <w:rPr>
          <w:rFonts w:cs="Arial"/>
          <w:sz w:val="16"/>
          <w:szCs w:val="16"/>
          <w:rtl/>
        </w:rPr>
        <w:t>(פ"ה ה"ג</w:t>
      </w:r>
      <w:r w:rsidR="00A82951">
        <w:rPr>
          <w:rFonts w:cs="Arial"/>
          <w:sz w:val="16"/>
          <w:szCs w:val="16"/>
          <w:rtl/>
        </w:rPr>
        <w:t>-</w:t>
      </w:r>
      <w:r>
        <w:rPr>
          <w:rFonts w:cs="Arial"/>
          <w:sz w:val="16"/>
          <w:szCs w:val="16"/>
          <w:rtl/>
        </w:rPr>
        <w:t>ה)</w:t>
      </w:r>
      <w:r w:rsidR="00A82951">
        <w:rPr>
          <w:rFonts w:cs="Arial"/>
          <w:rtl/>
        </w:rPr>
        <w:t>-</w:t>
      </w:r>
      <w:r>
        <w:rPr>
          <w:rFonts w:cs="Arial"/>
          <w:rtl/>
        </w:rPr>
        <w:t xml:space="preserve"> היתה עומדת בראש הגג שלה, והוא מלמטה בחצרו, וזרקו לה למעלה, כיון שהגיע לאויר מחיצות המעקה או לפחות משלשה טפחים סמוך לגג </w:t>
      </w:r>
      <w:r w:rsidR="00A82951">
        <w:rPr>
          <w:rFonts w:cs="Arial"/>
          <w:rtl/>
        </w:rPr>
        <w:t>-</w:t>
      </w:r>
      <w:r>
        <w:rPr>
          <w:rFonts w:cs="Arial"/>
          <w:rtl/>
        </w:rPr>
        <w:t xml:space="preserve"> נתגרשה, ובלבד שיהא יורד לנוח. אבל אם נמחק או נשרף קודם שיגיע לה, אע"פ שנמחק לאחר שהגיע לאויר מחיצות או אחר שהגיע לפחות משלשה טפחים סמוך לגג, כגון שנשבה הרוח והעלתהו ונמחק או נשרף, הואיל ואינו הולך לנוח </w:t>
      </w:r>
      <w:r w:rsidR="00A82951">
        <w:rPr>
          <w:rFonts w:cs="Arial"/>
          <w:rtl/>
        </w:rPr>
        <w:t>-</w:t>
      </w:r>
      <w:r>
        <w:rPr>
          <w:rFonts w:cs="Arial"/>
          <w:rtl/>
        </w:rPr>
        <w:t xml:space="preserve"> אינו גט ולא נתגרשה</w:t>
      </w:r>
      <w:r>
        <w:rPr>
          <w:rStyle w:val="a7"/>
          <w:rFonts w:cs="Arial"/>
          <w:rtl/>
        </w:rPr>
        <w:footnoteReference w:id="1675"/>
      </w:r>
      <w:r>
        <w:rPr>
          <w:rFonts w:cs="Arial"/>
          <w:rtl/>
        </w:rPr>
        <w:t xml:space="preserve">. היה הגג שלו והוא מלמעלה בו, והיא מלמטה בחצר שלה, וזרק לה גיטה, כיון שיצא הגט ממחיצות הגג והגיע למחיצות מקומה שהיא עומדת בו </w:t>
      </w:r>
      <w:r w:rsidR="00A82951">
        <w:rPr>
          <w:rFonts w:cs="Arial"/>
          <w:rtl/>
        </w:rPr>
        <w:t>-</w:t>
      </w:r>
      <w:r>
        <w:rPr>
          <w:rFonts w:cs="Arial"/>
          <w:rtl/>
        </w:rPr>
        <w:t xml:space="preserve"> נתגרשה. זרקו לרשותה לתוך האש ונשרף או תוך המים ונמחק או נאבד </w:t>
      </w:r>
      <w:r w:rsidR="00A82951">
        <w:rPr>
          <w:rFonts w:cs="Arial"/>
          <w:rtl/>
        </w:rPr>
        <w:t>-</w:t>
      </w:r>
      <w:r>
        <w:rPr>
          <w:rFonts w:cs="Arial"/>
          <w:rtl/>
        </w:rPr>
        <w:t xml:space="preserve"> אינו גט. אבל אם הגיע לרשותה ונח, ואח"כ באה אש ושרפתהו </w:t>
      </w:r>
      <w:r w:rsidR="00A82951">
        <w:rPr>
          <w:rFonts w:cs="Arial"/>
          <w:rtl/>
        </w:rPr>
        <w:t>-</w:t>
      </w:r>
      <w:r>
        <w:rPr>
          <w:rFonts w:cs="Arial"/>
          <w:rtl/>
        </w:rPr>
        <w:t xml:space="preserve"> הרי זה גט. </w:t>
      </w:r>
    </w:p>
    <w:p w14:paraId="6906AF7D" w14:textId="3E177D9C" w:rsidR="00FA2119" w:rsidRDefault="00FA2119" w:rsidP="00FA2119">
      <w:pPr>
        <w:rPr>
          <w:rFonts w:cs="Arial"/>
          <w:rtl/>
        </w:rPr>
      </w:pPr>
      <w:r>
        <w:rPr>
          <w:rFonts w:cs="Arial"/>
          <w:u w:val="single"/>
          <w:rtl/>
        </w:rPr>
        <w:t xml:space="preserve">זרק לה לתוך ד' אמותיה </w:t>
      </w:r>
      <w:r w:rsidR="00A82951">
        <w:rPr>
          <w:rFonts w:cs="Arial"/>
          <w:u w:val="single"/>
          <w:rtl/>
        </w:rPr>
        <w:t>-</w:t>
      </w:r>
      <w:r>
        <w:rPr>
          <w:rFonts w:cs="Arial"/>
          <w:u w:val="single"/>
          <w:rtl/>
        </w:rPr>
        <w:t xml:space="preserve"> ואין שם מעקה ולא הגיע לג' טפחים סמוך לקרקע:</w:t>
      </w:r>
    </w:p>
    <w:p w14:paraId="40874CE4" w14:textId="682F5631" w:rsidR="00FA2119" w:rsidRDefault="00FA2119" w:rsidP="006A458D">
      <w:pPr>
        <w:pStyle w:val="ab"/>
        <w:numPr>
          <w:ilvl w:val="0"/>
          <w:numId w:val="100"/>
        </w:numPr>
        <w:rPr>
          <w:rtl/>
        </w:rPr>
      </w:pPr>
      <w:r>
        <w:rPr>
          <w:rFonts w:cs="Arial"/>
          <w:rtl/>
        </w:rPr>
        <w:t xml:space="preserve">רשב"א </w:t>
      </w:r>
      <w:r>
        <w:rPr>
          <w:rFonts w:cs="Arial"/>
          <w:sz w:val="16"/>
          <w:szCs w:val="16"/>
          <w:rtl/>
        </w:rPr>
        <w:t>(עח: ד"ה הא דמקשינן)</w:t>
      </w:r>
      <w:r w:rsidR="00A82951">
        <w:rPr>
          <w:rFonts w:cs="Arial"/>
          <w:rtl/>
        </w:rPr>
        <w:t>-</w:t>
      </w:r>
      <w:r>
        <w:rPr>
          <w:rFonts w:cs="Arial"/>
          <w:rtl/>
        </w:rPr>
        <w:t xml:space="preserve"> יש מפרשים דכל תוך ד' אמות דידה הוי מינטר ומתני' דאוקימנא בגג שיש לו מעקה הא לאו הכי אינה מגורשת משום דלאו מינטר איכא למימר דמיירי כגון שלא נכנס לתוך ד' אמות, ובשם ר"י ז"ל </w:t>
      </w:r>
      <w:r>
        <w:rPr>
          <w:rFonts w:cs="Arial"/>
          <w:sz w:val="16"/>
          <w:szCs w:val="16"/>
          <w:rtl/>
        </w:rPr>
        <w:t xml:space="preserve">(בתוס' שם ד"ה ותתגרש) </w:t>
      </w:r>
      <w:r>
        <w:rPr>
          <w:rFonts w:cs="Arial"/>
          <w:rtl/>
        </w:rPr>
        <w:t xml:space="preserve">תירצו דהכי קא מיבעיא ליה לר"א כשתקנו ד' אמות אפי' אוירן תקנו כאלו היא חצר </w:t>
      </w:r>
      <w:r>
        <w:rPr>
          <w:rFonts w:cs="Arial"/>
          <w:rtl/>
        </w:rPr>
        <w:lastRenderedPageBreak/>
        <w:t>המשתמרת דכי היכי דעשאום כרשותו אף על פי שאינן רשותו כמו כן אף על פי שאינו משתמר עשאוהו כמשתמר.</w:t>
      </w:r>
    </w:p>
    <w:p w14:paraId="219D91AF"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4EAABA9" w14:textId="77777777" w:rsidR="00FA2119" w:rsidRDefault="00FA2119" w:rsidP="00FA2119">
      <w:pPr>
        <w:rPr>
          <w:rtl/>
        </w:rPr>
      </w:pPr>
      <w:r>
        <w:rPr>
          <w:rFonts w:cs="Arial"/>
          <w:rtl/>
        </w:rPr>
        <w:t xml:space="preserve">היתה עומדת על גגה, וזרקו לה לראש הגג, אם יש לה מעקה כיון שהגיע לאויר תוך מחיצות המעקה, או אפילו אין לו מעקה והגיע לתוך ג' טפחים סמוך לקרקעית הגג, הרי זו מגורשת, אפילו נשרף קודם שנח. והוא שקדם גט לדליקה, שהרי היה ראוי לנוח אלמלא האש שבא אחר זרקו. אבל אם קדם האש, לא, שהרי לא יהיה ראוי לנוח ברשותה. </w:t>
      </w:r>
    </w:p>
    <w:p w14:paraId="29C83801" w14:textId="77777777" w:rsidR="00FA2119" w:rsidRDefault="00FA2119" w:rsidP="00FA2119">
      <w:pPr>
        <w:rPr>
          <w:rtl/>
        </w:rPr>
      </w:pPr>
    </w:p>
    <w:p w14:paraId="01194E64" w14:textId="77777777" w:rsidR="00FA2119" w:rsidRDefault="00FA2119" w:rsidP="00FA2119">
      <w:pPr>
        <w:pStyle w:val="2"/>
        <w:rPr>
          <w:rtl/>
        </w:rPr>
      </w:pPr>
      <w:r>
        <w:rPr>
          <w:rtl/>
        </w:rPr>
        <w:t xml:space="preserve">סעיף ה: המשך לנ"ל. </w:t>
      </w:r>
    </w:p>
    <w:p w14:paraId="42E10581" w14:textId="77777777" w:rsidR="00FA2119" w:rsidRDefault="00FA2119" w:rsidP="00FA2119">
      <w:pPr>
        <w:rPr>
          <w:rtl/>
        </w:rPr>
      </w:pPr>
      <w:r>
        <w:rPr>
          <w:rtl/>
        </w:rPr>
        <w:t>עיין במקורות בסעיף ד.</w:t>
      </w:r>
    </w:p>
    <w:p w14:paraId="4D9D0207"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B639585" w14:textId="77777777" w:rsidR="00FA2119" w:rsidRDefault="00FA2119" w:rsidP="00FA2119">
      <w:pPr>
        <w:rPr>
          <w:rtl/>
        </w:rPr>
      </w:pPr>
      <w:r>
        <w:rPr>
          <w:rFonts w:cs="Arial"/>
          <w:rtl/>
        </w:rPr>
        <w:t xml:space="preserve">ויש מי שאומר שאם נמחק או נשרף קודם שיגיע, אפילו נמחק או נשרף אחר שהגיע לאויר מחיצות או לפחות מג' טפחים סמוך לגג, אינה מגורשת. </w:t>
      </w:r>
    </w:p>
    <w:p w14:paraId="566BD406" w14:textId="77777777" w:rsidR="00FA2119" w:rsidRDefault="00FA2119" w:rsidP="00FA2119">
      <w:pPr>
        <w:rPr>
          <w:rtl/>
        </w:rPr>
      </w:pPr>
    </w:p>
    <w:p w14:paraId="01B1D9AD" w14:textId="77777777" w:rsidR="00FA2119" w:rsidRDefault="00FA2119" w:rsidP="00FA2119">
      <w:pPr>
        <w:pStyle w:val="2"/>
        <w:rPr>
          <w:rtl/>
        </w:rPr>
      </w:pPr>
      <w:r>
        <w:rPr>
          <w:rtl/>
        </w:rPr>
        <w:t>סעיף ו: היא בחצר והוא בגג וזרק לה גט.</w:t>
      </w:r>
    </w:p>
    <w:p w14:paraId="1EF8801E" w14:textId="77777777" w:rsidR="00FA2119" w:rsidRDefault="00FA2119" w:rsidP="00FA2119">
      <w:pPr>
        <w:rPr>
          <w:rtl/>
        </w:rPr>
      </w:pPr>
      <w:r>
        <w:rPr>
          <w:rtl/>
        </w:rPr>
        <w:t>עיין במקורות בסעיף ד.</w:t>
      </w:r>
    </w:p>
    <w:p w14:paraId="3E57B034"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50F994D" w14:textId="77777777" w:rsidR="00FA2119" w:rsidRDefault="00FA2119" w:rsidP="00FA2119">
      <w:pPr>
        <w:rPr>
          <w:rtl/>
        </w:rPr>
      </w:pPr>
      <w:r>
        <w:rPr>
          <w:rFonts w:cs="Arial"/>
          <w:rtl/>
        </w:rPr>
        <w:t xml:space="preserve">היה הוא בגגו וזרק לה לחצרה, אם מחיצות החצר גבוהות מהגג בענין שמיד כשזרק הגט מאויר הגג נכנס לאויר מחיצות החצר, מגורשת, אפילו נמחק קודם שהגיע לארץ, וכגון שנמחק לאחר שהתחיל לירד. </w:t>
      </w:r>
    </w:p>
    <w:p w14:paraId="0278F3B8" w14:textId="77777777" w:rsidR="00FA2119" w:rsidRDefault="00FA2119" w:rsidP="00FA2119">
      <w:pPr>
        <w:rPr>
          <w:rtl/>
        </w:rPr>
      </w:pPr>
    </w:p>
    <w:p w14:paraId="752A9E07" w14:textId="77777777" w:rsidR="00FA2119" w:rsidRDefault="00FA2119" w:rsidP="00FA2119">
      <w:pPr>
        <w:pStyle w:val="2"/>
        <w:rPr>
          <w:rtl/>
        </w:rPr>
      </w:pPr>
      <w:r>
        <w:rPr>
          <w:rtl/>
        </w:rPr>
        <w:t>סעיף ז: זרק לה גט לחצרה ונח על קנה שבולט מעל המחיצות.</w:t>
      </w:r>
    </w:p>
    <w:p w14:paraId="7EFD579F" w14:textId="5B698CBD" w:rsidR="00FA2119" w:rsidRDefault="00FA2119" w:rsidP="00FA2119">
      <w:pPr>
        <w:rPr>
          <w:rFonts w:cs="Arial"/>
          <w:sz w:val="16"/>
          <w:szCs w:val="16"/>
          <w:rtl/>
        </w:rPr>
      </w:pPr>
      <w:r>
        <w:rPr>
          <w:rFonts w:cs="Arial"/>
          <w:b/>
          <w:bCs/>
          <w:rtl/>
        </w:rPr>
        <w:t xml:space="preserve">גיטין </w:t>
      </w:r>
      <w:r>
        <w:rPr>
          <w:rFonts w:cs="Arial"/>
          <w:b/>
          <w:bCs/>
          <w:sz w:val="16"/>
          <w:szCs w:val="16"/>
          <w:rtl/>
        </w:rPr>
        <w:t>(פ' הזורק)</w:t>
      </w:r>
      <w:r>
        <w:rPr>
          <w:rFonts w:cs="Arial"/>
          <w:b/>
          <w:bCs/>
          <w:rtl/>
        </w:rPr>
        <w:t xml:space="preserve"> עט ע"א:</w:t>
      </w:r>
      <w:r>
        <w:rPr>
          <w:rFonts w:cs="Arial"/>
          <w:rtl/>
        </w:rPr>
        <w:t xml:space="preserve"> </w:t>
      </w:r>
      <w:r>
        <w:rPr>
          <w:rFonts w:cs="Arial"/>
          <w:u w:val="single"/>
          <w:rtl/>
        </w:rPr>
        <w:t>אמר רבא</w:t>
      </w:r>
      <w:r>
        <w:rPr>
          <w:rFonts w:cs="Arial"/>
          <w:rtl/>
        </w:rPr>
        <w:t>: שלש מדות בגיטין</w:t>
      </w:r>
      <w:r>
        <w:rPr>
          <w:rStyle w:val="a7"/>
          <w:rFonts w:cs="Arial"/>
          <w:rtl/>
        </w:rPr>
        <w:footnoteReference w:id="1676"/>
      </w:r>
      <w:r>
        <w:rPr>
          <w:rFonts w:cs="Arial"/>
          <w:rtl/>
        </w:rPr>
        <w:t xml:space="preserve">... </w:t>
      </w:r>
      <w:r>
        <w:rPr>
          <w:rFonts w:cs="Arial"/>
          <w:u w:val="single"/>
          <w:rtl/>
        </w:rPr>
        <w:t>והא דאמר רב חסדא</w:t>
      </w:r>
      <w:r>
        <w:rPr>
          <w:rFonts w:cs="Arial"/>
          <w:rtl/>
        </w:rPr>
        <w:t>: נעץ קנה</w:t>
      </w:r>
      <w:r>
        <w:rPr>
          <w:rStyle w:val="a7"/>
          <w:rFonts w:cs="Arial"/>
          <w:rtl/>
        </w:rPr>
        <w:footnoteReference w:id="1677"/>
      </w:r>
      <w:r>
        <w:rPr>
          <w:rFonts w:cs="Arial"/>
          <w:rtl/>
        </w:rPr>
        <w:t xml:space="preserve"> ברשות היחיד ובראשו טרסקל וזרק</w:t>
      </w:r>
      <w:r>
        <w:rPr>
          <w:rStyle w:val="a7"/>
          <w:rFonts w:cs="Arial"/>
          <w:rtl/>
        </w:rPr>
        <w:footnoteReference w:id="1678"/>
      </w:r>
      <w:r>
        <w:rPr>
          <w:rFonts w:cs="Arial"/>
          <w:rtl/>
        </w:rPr>
        <w:t xml:space="preserve"> ונח על גביו, אפילו גבוה מאה אמה </w:t>
      </w:r>
      <w:r w:rsidR="00A82951">
        <w:rPr>
          <w:rFonts w:cs="Arial"/>
          <w:rtl/>
        </w:rPr>
        <w:t>-</w:t>
      </w:r>
      <w:r>
        <w:rPr>
          <w:rFonts w:cs="Arial"/>
          <w:rtl/>
        </w:rPr>
        <w:t xml:space="preserve"> חייב, לפי שרשות היחיד עולה עד לרקיע, הני מילי לענין שבת, אבל</w:t>
      </w:r>
      <w:r>
        <w:rPr>
          <w:rStyle w:val="a7"/>
          <w:rFonts w:cs="Arial"/>
          <w:rtl/>
        </w:rPr>
        <w:footnoteReference w:id="1679"/>
      </w:r>
      <w:r>
        <w:rPr>
          <w:rFonts w:cs="Arial"/>
          <w:rtl/>
        </w:rPr>
        <w:t xml:space="preserve"> הכא משום אינטורי הוא, והא לא מינטר. </w:t>
      </w:r>
      <w:r>
        <w:rPr>
          <w:rFonts w:cs="Arial"/>
          <w:sz w:val="16"/>
          <w:szCs w:val="16"/>
          <w:rtl/>
        </w:rPr>
        <w:t>(והקשה הרשב"א (ד"ה זרק) דהא משמע בגמרא דכי נח ממש ברשותה אף על גב דלא מינטר מחמת רשותה אלא מחמתה דמנטרה ליה מגורשת וא"כ כי נח בטרסקל שלה ממש כי לא מינטר מאי הוי הא נח ממש ברשותה. וי"ל דטרסקל שאני שהוא קצר ביותר ואזיל מיניה אפילו ברוח מצויה ולא מינטר כלל, וכמאן דלא נח דמי עכ"ל)</w:t>
      </w:r>
    </w:p>
    <w:p w14:paraId="581760E0" w14:textId="77777777" w:rsidR="00FA2119" w:rsidRDefault="00FA2119" w:rsidP="00FA2119">
      <w:pPr>
        <w:rPr>
          <w:u w:val="single"/>
          <w:rtl/>
        </w:rPr>
      </w:pPr>
      <w:r>
        <w:rPr>
          <w:u w:val="single"/>
          <w:rtl/>
        </w:rPr>
        <w:t>זרק לה גט לחצרה ונח על קנה שבולט מעל המחיצות:</w:t>
      </w:r>
    </w:p>
    <w:p w14:paraId="13EC63CB" w14:textId="24591274" w:rsidR="00FA2119" w:rsidRDefault="00FA2119" w:rsidP="006A458D">
      <w:pPr>
        <w:pStyle w:val="ab"/>
        <w:numPr>
          <w:ilvl w:val="0"/>
          <w:numId w:val="96"/>
        </w:numPr>
        <w:rPr>
          <w:rtl/>
        </w:rPr>
      </w:pPr>
      <w:r>
        <w:rPr>
          <w:rFonts w:cs="Arial"/>
          <w:rtl/>
        </w:rPr>
        <w:t xml:space="preserve">רמב"ם </w:t>
      </w:r>
      <w:r>
        <w:rPr>
          <w:rFonts w:cs="Arial"/>
          <w:sz w:val="16"/>
          <w:szCs w:val="16"/>
          <w:rtl/>
        </w:rPr>
        <w:t xml:space="preserve">(פ"ה ה"ו) </w:t>
      </w:r>
      <w:r>
        <w:rPr>
          <w:rFonts w:cs="Arial"/>
          <w:rtl/>
        </w:rPr>
        <w:t>וטור</w:t>
      </w:r>
      <w:r w:rsidR="00A82951">
        <w:rPr>
          <w:rFonts w:cs="Arial"/>
          <w:rtl/>
        </w:rPr>
        <w:t>-</w:t>
      </w:r>
      <w:r>
        <w:rPr>
          <w:rFonts w:cs="Arial"/>
          <w:rtl/>
        </w:rPr>
        <w:t xml:space="preserve"> היה לה קנה נעוץ בחצרה והוא עולה למעלה ממחיצות החצר וזרק הגט עליו </w:t>
      </w:r>
      <w:r w:rsidR="00A82951">
        <w:rPr>
          <w:rFonts w:cs="Arial"/>
          <w:rtl/>
        </w:rPr>
        <w:t>-</w:t>
      </w:r>
      <w:r>
        <w:rPr>
          <w:rFonts w:cs="Arial"/>
          <w:rtl/>
        </w:rPr>
        <w:t xml:space="preserve"> אינה מגורשת, שאינו משתמר שם</w:t>
      </w:r>
      <w:r>
        <w:rPr>
          <w:rFonts w:cs="Arial"/>
          <w:sz w:val="16"/>
          <w:szCs w:val="16"/>
          <w:rtl/>
        </w:rPr>
        <w:t xml:space="preserve"> (ל' הטור)</w:t>
      </w:r>
      <w:r>
        <w:rPr>
          <w:rFonts w:cs="Arial"/>
          <w:rtl/>
        </w:rPr>
        <w:t xml:space="preserve">. </w:t>
      </w:r>
      <w:r>
        <w:rPr>
          <w:rFonts w:cs="Arial"/>
          <w:color w:val="E36C0A" w:themeColor="accent6" w:themeShade="BF"/>
          <w:rtl/>
        </w:rPr>
        <w:t>(וכ"פ בשו"ע)</w:t>
      </w:r>
    </w:p>
    <w:p w14:paraId="6EBD243B"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6923E231" w14:textId="77777777" w:rsidR="00FA2119" w:rsidRDefault="00FA2119" w:rsidP="00FA2119">
      <w:pPr>
        <w:rPr>
          <w:rtl/>
        </w:rPr>
      </w:pPr>
      <w:r>
        <w:rPr>
          <w:rFonts w:cs="Arial"/>
          <w:rtl/>
        </w:rPr>
        <w:t xml:space="preserve">היה לה קנה נעוץ בחצרה, והיא עולה למעלה ממחיצות החצר, וזרק הגט עליה, אינה מגורשת, שאינו משתמר שם. </w:t>
      </w:r>
    </w:p>
    <w:p w14:paraId="20A96E42" w14:textId="77777777" w:rsidR="00FA2119" w:rsidRDefault="00FA2119" w:rsidP="00FA2119">
      <w:pPr>
        <w:rPr>
          <w:rtl/>
        </w:rPr>
      </w:pPr>
    </w:p>
    <w:p w14:paraId="1EF7A881" w14:textId="77777777" w:rsidR="00FA2119" w:rsidRDefault="00FA2119" w:rsidP="00FA2119">
      <w:pPr>
        <w:pStyle w:val="2"/>
        <w:rPr>
          <w:rtl/>
        </w:rPr>
      </w:pPr>
      <w:r>
        <w:rPr>
          <w:rtl/>
        </w:rPr>
        <w:lastRenderedPageBreak/>
        <w:t xml:space="preserve">סעיף ח: גט שעבר ברשותה </w:t>
      </w:r>
      <w:r>
        <w:rPr>
          <w:sz w:val="18"/>
          <w:szCs w:val="18"/>
          <w:rtl/>
        </w:rPr>
        <w:t>(בתוך ג' טפחים)</w:t>
      </w:r>
      <w:r>
        <w:rPr>
          <w:rtl/>
        </w:rPr>
        <w:t xml:space="preserve"> ויצא מרשותה.</w:t>
      </w:r>
    </w:p>
    <w:p w14:paraId="1E081E21" w14:textId="77777777" w:rsidR="00FA2119" w:rsidRDefault="00FA2119" w:rsidP="00FA2119">
      <w:pPr>
        <w:rPr>
          <w:rFonts w:cs="Arial"/>
          <w:rtl/>
        </w:rPr>
      </w:pPr>
      <w:r>
        <w:rPr>
          <w:rFonts w:cs="Arial"/>
          <w:b/>
          <w:bCs/>
          <w:rtl/>
        </w:rPr>
        <w:t xml:space="preserve">בבא מציעא </w:t>
      </w:r>
      <w:r>
        <w:rPr>
          <w:rFonts w:cs="Arial"/>
          <w:b/>
          <w:bCs/>
          <w:sz w:val="16"/>
          <w:szCs w:val="16"/>
          <w:rtl/>
        </w:rPr>
        <w:t xml:space="preserve">(פ"ק) </w:t>
      </w:r>
      <w:r>
        <w:rPr>
          <w:rFonts w:cs="Arial"/>
          <w:b/>
          <w:bCs/>
          <w:rtl/>
        </w:rPr>
        <w:t xml:space="preserve">יב ע"א: </w:t>
      </w:r>
      <w:r>
        <w:rPr>
          <w:rFonts w:cs="Arial"/>
          <w:u w:val="single"/>
          <w:rtl/>
        </w:rPr>
        <w:t>בעי רבא</w:t>
      </w:r>
      <w:r>
        <w:rPr>
          <w:rFonts w:cs="Arial"/>
          <w:rtl/>
        </w:rPr>
        <w:t xml:space="preserve">: זרק ארנקי בפתח זה ויצא בפתח אחר מהו? אויר שאין סופו לנוח כמונח דמי, או לא? </w:t>
      </w:r>
      <w:r>
        <w:rPr>
          <w:rFonts w:cs="Arial"/>
          <w:sz w:val="16"/>
          <w:szCs w:val="16"/>
          <w:rtl/>
        </w:rPr>
        <w:t>(וסבור הרמב"ם דלגבי גט בודאי אויר שאין סופו לנוח לאו כמונח דמי מדאמרינן בגמרא גבי נמחק אבל דרך עלייה לא מאי טעמא מעיקרא לאו למינח קאי והכא נמי איגלאי מילתא דמעיקרא לאו ברשותה קאי, הה"מ (פ"ה ה"י). וכן כתב הר"ן בהזורק (מא. ד"ה גרסינן) גבי הא דאמר רב נחמן בר יצחק לא שנו אלא שקדם גט לדליקה וכו' שדעת הרמב"ם דבעיין איפשיטא מדאמרינן אבל דרך עלייה לא מאי טעמא מעיקרא לאו למינח קאי. וכתבו הר"ן והה"מ שהרמב"ן (ב"מ יב. ד"ה ורבינו הגדול) והרשב"א (שם ד"ה ובעיין) מחלקים בין ההיא בעיא למאי דאמרינן מעיקרא לאו למינח קאי ולדעתם הויא ספק מגורשת, ב"י)</w:t>
      </w:r>
    </w:p>
    <w:p w14:paraId="3878937B" w14:textId="77777777" w:rsidR="00FA2119" w:rsidRDefault="00FA2119" w:rsidP="00FA2119">
      <w:pPr>
        <w:rPr>
          <w:u w:val="single"/>
          <w:rtl/>
        </w:rPr>
      </w:pPr>
      <w:r>
        <w:rPr>
          <w:u w:val="single"/>
          <w:rtl/>
        </w:rPr>
        <w:t xml:space="preserve">גט שעבר ברשותה </w:t>
      </w:r>
      <w:r>
        <w:rPr>
          <w:sz w:val="18"/>
          <w:szCs w:val="18"/>
          <w:u w:val="single"/>
          <w:rtl/>
        </w:rPr>
        <w:t>(בתוך ג' טפחים)</w:t>
      </w:r>
      <w:r>
        <w:rPr>
          <w:u w:val="single"/>
          <w:rtl/>
        </w:rPr>
        <w:t xml:space="preserve"> ויצא מרשותה:</w:t>
      </w:r>
    </w:p>
    <w:p w14:paraId="04BEB812" w14:textId="52D280CD" w:rsidR="00FA2119" w:rsidRDefault="00FA2119" w:rsidP="006A458D">
      <w:pPr>
        <w:pStyle w:val="ab"/>
        <w:numPr>
          <w:ilvl w:val="0"/>
          <w:numId w:val="96"/>
        </w:numPr>
        <w:rPr>
          <w:rtl/>
        </w:rPr>
      </w:pPr>
      <w:r>
        <w:rPr>
          <w:rFonts w:cs="Arial"/>
          <w:rtl/>
        </w:rPr>
        <w:t xml:space="preserve">רמב"ם </w:t>
      </w:r>
      <w:r>
        <w:rPr>
          <w:rFonts w:cs="Arial"/>
          <w:sz w:val="16"/>
          <w:szCs w:val="16"/>
          <w:rtl/>
        </w:rPr>
        <w:t>(פ"ה ה"י)</w:t>
      </w:r>
      <w:r>
        <w:rPr>
          <w:rFonts w:cs="Arial"/>
          <w:rtl/>
        </w:rPr>
        <w:t xml:space="preserve"> וטור</w:t>
      </w:r>
      <w:r w:rsidR="00A82951">
        <w:rPr>
          <w:rFonts w:cs="Arial"/>
          <w:rtl/>
        </w:rPr>
        <w:t>-</w:t>
      </w:r>
      <w:r>
        <w:rPr>
          <w:rFonts w:cs="Arial"/>
          <w:rtl/>
        </w:rPr>
        <w:t xml:space="preserve"> זרקו לה לרשותה ועבר כל רשותה ויצא חוץ לרשותה </w:t>
      </w:r>
      <w:r w:rsidR="00A82951">
        <w:rPr>
          <w:rFonts w:cs="Arial"/>
          <w:rtl/>
        </w:rPr>
        <w:t>-</w:t>
      </w:r>
      <w:r>
        <w:rPr>
          <w:rFonts w:cs="Arial"/>
          <w:rtl/>
        </w:rPr>
        <w:t xml:space="preserve"> אינה מגורשת אע"פ שהיה בתוך ג' טפחים סמוך לקרקע בתוך רשותה, כיון שלא היה סופו לנוח ברשותה</w:t>
      </w:r>
      <w:r>
        <w:rPr>
          <w:rFonts w:cs="Arial"/>
          <w:sz w:val="16"/>
          <w:szCs w:val="16"/>
          <w:rtl/>
        </w:rPr>
        <w:t xml:space="preserve"> (ל' הטור)</w:t>
      </w:r>
      <w:r>
        <w:rPr>
          <w:rFonts w:cs="Arial"/>
          <w:rtl/>
        </w:rPr>
        <w:t xml:space="preserve">. </w:t>
      </w:r>
      <w:r>
        <w:rPr>
          <w:color w:val="E36C0A" w:themeColor="accent6" w:themeShade="BF"/>
          <w:rtl/>
        </w:rPr>
        <w:t>(וכ"ס בשו"ע)</w:t>
      </w:r>
    </w:p>
    <w:p w14:paraId="23A82A9C" w14:textId="62568D9C" w:rsidR="00FA2119" w:rsidRDefault="00FA2119" w:rsidP="006A458D">
      <w:pPr>
        <w:pStyle w:val="ab"/>
        <w:numPr>
          <w:ilvl w:val="0"/>
          <w:numId w:val="96"/>
        </w:numPr>
      </w:pPr>
      <w:r>
        <w:rPr>
          <w:rFonts w:cs="Arial"/>
          <w:rtl/>
        </w:rPr>
        <w:t xml:space="preserve">רמב"ן </w:t>
      </w:r>
      <w:r>
        <w:rPr>
          <w:rFonts w:cs="Arial"/>
          <w:sz w:val="16"/>
          <w:szCs w:val="16"/>
          <w:rtl/>
        </w:rPr>
        <w:t xml:space="preserve">(ב"מ יב. ד"ה ורבינו הגדול) </w:t>
      </w:r>
      <w:r>
        <w:rPr>
          <w:rFonts w:cs="Arial"/>
          <w:rtl/>
        </w:rPr>
        <w:t xml:space="preserve">ורשב"א </w:t>
      </w:r>
      <w:r>
        <w:rPr>
          <w:rFonts w:cs="Arial"/>
          <w:sz w:val="16"/>
          <w:szCs w:val="16"/>
          <w:rtl/>
        </w:rPr>
        <w:t>(שם ד"ה ובעיין)</w:t>
      </w:r>
      <w:r w:rsidR="00A82951">
        <w:rPr>
          <w:rtl/>
        </w:rPr>
        <w:t>-</w:t>
      </w:r>
      <w:r>
        <w:rPr>
          <w:rtl/>
        </w:rPr>
        <w:t xml:space="preserve"> הויא ספק מגורשת.</w:t>
      </w:r>
    </w:p>
    <w:p w14:paraId="057772A0"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52751055" w14:textId="77777777" w:rsidR="00FA2119" w:rsidRDefault="00FA2119" w:rsidP="00FA2119">
      <w:pPr>
        <w:rPr>
          <w:rtl/>
        </w:rPr>
      </w:pPr>
      <w:r>
        <w:rPr>
          <w:rFonts w:cs="Arial"/>
          <w:rtl/>
        </w:rPr>
        <w:t xml:space="preserve">זרקו לה לרשותה, ועבר כל רשותה ויצא חוץ לרשותה, אינה מגורשת, אף על פי שהיה בתוך שלשה טפחים סמוך לקרקע בתוך רשותה, כיון שלא היה סופו לנוח ברשותה. ויש אומרים שהיא ספק מגורשת. </w:t>
      </w:r>
    </w:p>
    <w:p w14:paraId="70006D29" w14:textId="77777777" w:rsidR="00FA2119" w:rsidRDefault="00FA2119" w:rsidP="00FA2119">
      <w:pPr>
        <w:rPr>
          <w:rtl/>
        </w:rPr>
      </w:pPr>
    </w:p>
    <w:p w14:paraId="5B68A764" w14:textId="77777777" w:rsidR="00FA2119" w:rsidRDefault="00FA2119" w:rsidP="00FA2119">
      <w:pPr>
        <w:pStyle w:val="2"/>
        <w:rPr>
          <w:rtl/>
        </w:rPr>
      </w:pPr>
      <w:r>
        <w:rPr>
          <w:rtl/>
        </w:rPr>
        <w:t>סעיף ט: שתי חצרות זו לפנים מזו. שתי סלים זה בתוך זה.</w:t>
      </w:r>
    </w:p>
    <w:p w14:paraId="58EA9DF0" w14:textId="6850755A" w:rsidR="00FA2119" w:rsidRDefault="00FA2119" w:rsidP="00FA2119">
      <w:pPr>
        <w:rPr>
          <w:rFonts w:cs="Arial"/>
          <w:rtl/>
        </w:rPr>
      </w:pPr>
      <w:r>
        <w:rPr>
          <w:rFonts w:cs="Arial"/>
          <w:b/>
          <w:bCs/>
          <w:rtl/>
        </w:rPr>
        <w:t xml:space="preserve">גיטין </w:t>
      </w:r>
      <w:r>
        <w:rPr>
          <w:rFonts w:cs="Arial"/>
          <w:b/>
          <w:bCs/>
          <w:sz w:val="16"/>
          <w:szCs w:val="16"/>
          <w:rtl/>
        </w:rPr>
        <w:t>(פ' הזורק)</w:t>
      </w:r>
      <w:r>
        <w:rPr>
          <w:rFonts w:cs="Arial"/>
          <w:b/>
          <w:bCs/>
          <w:rtl/>
        </w:rPr>
        <w:t xml:space="preserve"> עט ע"ב:</w:t>
      </w:r>
      <w:r>
        <w:rPr>
          <w:rtl/>
        </w:rPr>
        <w:t xml:space="preserve"> </w:t>
      </w:r>
      <w:r>
        <w:rPr>
          <w:rFonts w:cs="Arial"/>
          <w:u w:val="single"/>
          <w:rtl/>
        </w:rPr>
        <w:t>אמר אביי</w:t>
      </w:r>
      <w:r>
        <w:rPr>
          <w:rFonts w:cs="Arial"/>
          <w:rtl/>
        </w:rPr>
        <w:t xml:space="preserve">: שתי חצרות זו לפנים מזו, פנימית שלה וחיצונה שלו, ומחיצות החיצונות עודפות על הפנימיות, וזרקו לה, כיון שהגיע לאויר מחיצות החיצונה </w:t>
      </w:r>
      <w:r w:rsidR="00A82951">
        <w:rPr>
          <w:rFonts w:cs="Arial"/>
          <w:rtl/>
        </w:rPr>
        <w:t>-</w:t>
      </w:r>
      <w:r>
        <w:rPr>
          <w:rFonts w:cs="Arial"/>
          <w:rtl/>
        </w:rPr>
        <w:t xml:space="preserve"> הרי זו מגורשת, מאי טעמא? פנימית גופה במחיצות החיצונה קא מינטרה</w:t>
      </w:r>
      <w:r>
        <w:rPr>
          <w:rStyle w:val="a7"/>
          <w:rFonts w:cs="Arial"/>
          <w:rtl/>
        </w:rPr>
        <w:footnoteReference w:id="1680"/>
      </w:r>
      <w:r>
        <w:rPr>
          <w:rFonts w:cs="Arial"/>
          <w:rtl/>
        </w:rPr>
        <w:t xml:space="preserve">. מה שאין כן בקופות, שתי קופות זו בתוך זו, פנימית שלה וחיצונה שלו, וזרקו לה, אפילו הגיע לאויר פנימית </w:t>
      </w:r>
      <w:r w:rsidR="00A82951">
        <w:rPr>
          <w:rFonts w:cs="Arial"/>
          <w:rtl/>
        </w:rPr>
        <w:t>-</w:t>
      </w:r>
      <w:r>
        <w:rPr>
          <w:rFonts w:cs="Arial"/>
          <w:rtl/>
        </w:rPr>
        <w:t xml:space="preserve"> אינה מגורשת, מאי טעמא? דהא לא נח</w:t>
      </w:r>
      <w:r>
        <w:rPr>
          <w:rStyle w:val="a7"/>
          <w:rFonts w:cs="Arial"/>
          <w:rtl/>
        </w:rPr>
        <w:footnoteReference w:id="1681"/>
      </w:r>
      <w:r>
        <w:rPr>
          <w:rFonts w:cs="Arial"/>
          <w:rtl/>
        </w:rPr>
        <w:t>. וכי נח מאי הוי? כליו של לוקח ברשות מוכר הוא</w:t>
      </w:r>
      <w:r>
        <w:rPr>
          <w:rStyle w:val="a7"/>
          <w:rFonts w:cs="Arial"/>
          <w:rtl/>
        </w:rPr>
        <w:footnoteReference w:id="1682"/>
      </w:r>
      <w:r>
        <w:rPr>
          <w:rFonts w:cs="Arial"/>
          <w:rtl/>
        </w:rPr>
        <w:t xml:space="preserve">! הכא במאי עסקינן </w:t>
      </w:r>
      <w:r w:rsidR="00A82951">
        <w:rPr>
          <w:rFonts w:cs="Arial"/>
          <w:rtl/>
        </w:rPr>
        <w:t>-</w:t>
      </w:r>
      <w:r>
        <w:rPr>
          <w:rFonts w:cs="Arial"/>
          <w:rtl/>
        </w:rPr>
        <w:t xml:space="preserve"> בקופה שאין לה שוליים</w:t>
      </w:r>
      <w:r>
        <w:rPr>
          <w:rStyle w:val="a7"/>
          <w:rFonts w:cs="Arial"/>
          <w:rtl/>
        </w:rPr>
        <w:footnoteReference w:id="1683"/>
      </w:r>
      <w:r>
        <w:rPr>
          <w:rFonts w:cs="Arial"/>
          <w:rtl/>
        </w:rPr>
        <w:t xml:space="preserve">. </w:t>
      </w:r>
    </w:p>
    <w:p w14:paraId="3BB9EEA2" w14:textId="329CCA64" w:rsidR="00FA2119" w:rsidRDefault="00FA2119" w:rsidP="00FA2119">
      <w:pPr>
        <w:rPr>
          <w:u w:val="single"/>
          <w:rtl/>
        </w:rPr>
      </w:pPr>
      <w:r>
        <w:rPr>
          <w:u w:val="single"/>
          <w:rtl/>
        </w:rPr>
        <w:t xml:space="preserve">שתי חצרות זו לפנים מזו, או שתי סלים זה בתוך זה </w:t>
      </w:r>
      <w:r w:rsidR="00A82951">
        <w:rPr>
          <w:u w:val="single"/>
          <w:rtl/>
        </w:rPr>
        <w:t>-</w:t>
      </w:r>
      <w:r>
        <w:rPr>
          <w:u w:val="single"/>
          <w:rtl/>
        </w:rPr>
        <w:t xml:space="preserve"> וזרק לה גט לבפנים:</w:t>
      </w:r>
    </w:p>
    <w:p w14:paraId="67048CA6" w14:textId="352664FF" w:rsidR="00FA2119" w:rsidRDefault="00FA2119" w:rsidP="006A458D">
      <w:pPr>
        <w:pStyle w:val="ab"/>
        <w:numPr>
          <w:ilvl w:val="0"/>
          <w:numId w:val="96"/>
        </w:numPr>
        <w:rPr>
          <w:rtl/>
        </w:rPr>
      </w:pPr>
      <w:r>
        <w:rPr>
          <w:rFonts w:cs="Arial"/>
          <w:rtl/>
        </w:rPr>
        <w:t>טור</w:t>
      </w:r>
      <w:r w:rsidR="00A82951">
        <w:rPr>
          <w:rFonts w:cs="Arial"/>
          <w:rtl/>
        </w:rPr>
        <w:t>-</w:t>
      </w:r>
      <w:r>
        <w:rPr>
          <w:rFonts w:cs="Arial"/>
          <w:rtl/>
        </w:rPr>
        <w:t xml:space="preserve"> שתי חצירות זו לפנים מזו, החיצונה שלו והפנימית שלה, וכותלי החיצונה גבוהות מכותלי הפנימית, וזרקו לה לפנימית, כיון שהגיע כנגד אויר הפנימית אפי' למעלה ממחיצותיה והוא בתוך אויר מחיצות החיצונה </w:t>
      </w:r>
      <w:r w:rsidR="00A82951">
        <w:rPr>
          <w:rFonts w:cs="Arial"/>
          <w:rtl/>
        </w:rPr>
        <w:t>-</w:t>
      </w:r>
      <w:r>
        <w:rPr>
          <w:rFonts w:cs="Arial"/>
          <w:rtl/>
        </w:rPr>
        <w:t xml:space="preserve"> מגורשת. ובקופה כי האי גוונא וזרקו לה לפנימית </w:t>
      </w:r>
      <w:r w:rsidR="00A82951">
        <w:rPr>
          <w:rFonts w:cs="Arial"/>
          <w:rtl/>
        </w:rPr>
        <w:t>-</w:t>
      </w:r>
      <w:r>
        <w:rPr>
          <w:rFonts w:cs="Arial"/>
          <w:rtl/>
        </w:rPr>
        <w:t xml:space="preserve"> אינה מגורשת עד שיגיע לתוך חלל מחיצות הפנימית. ומיהו כשיגיעו לחללן </w:t>
      </w:r>
      <w:r w:rsidR="00A82951">
        <w:rPr>
          <w:rFonts w:cs="Arial"/>
          <w:rtl/>
        </w:rPr>
        <w:t>-</w:t>
      </w:r>
      <w:r>
        <w:rPr>
          <w:rFonts w:cs="Arial"/>
          <w:rtl/>
        </w:rPr>
        <w:t xml:space="preserve"> מגורשת אף על פי שעדיין לא נח בשוליה, כיון שסופו לנוח. ומיירי שאין לחיצונה שולים ונמצא שעומד הפנימית ע"ג הקרקע, שאם היה לה שולים הוי ליה כליו של לוקח ברשות מוכר </w:t>
      </w:r>
      <w:r w:rsidR="00A82951">
        <w:rPr>
          <w:rFonts w:cs="Arial"/>
          <w:rtl/>
        </w:rPr>
        <w:t>-</w:t>
      </w:r>
      <w:r>
        <w:rPr>
          <w:rFonts w:cs="Arial"/>
          <w:rtl/>
        </w:rPr>
        <w:t xml:space="preserve"> והויא ספק מגורשת. </w:t>
      </w:r>
    </w:p>
    <w:p w14:paraId="3494A74E" w14:textId="3A7D48F0" w:rsidR="00FA2119" w:rsidRDefault="00FA2119" w:rsidP="006A458D">
      <w:pPr>
        <w:pStyle w:val="ab"/>
        <w:numPr>
          <w:ilvl w:val="0"/>
          <w:numId w:val="96"/>
        </w:numPr>
      </w:pPr>
      <w:r>
        <w:rPr>
          <w:rFonts w:cs="Arial"/>
          <w:rtl/>
        </w:rPr>
        <w:t xml:space="preserve">רמב"ם </w:t>
      </w:r>
      <w:r>
        <w:rPr>
          <w:rFonts w:cs="Arial"/>
          <w:sz w:val="16"/>
          <w:szCs w:val="16"/>
          <w:rtl/>
        </w:rPr>
        <w:t>(פ"ה ה"ו</w:t>
      </w:r>
      <w:r w:rsidR="00A82951">
        <w:rPr>
          <w:rFonts w:cs="Arial"/>
          <w:sz w:val="16"/>
          <w:szCs w:val="16"/>
          <w:rtl/>
        </w:rPr>
        <w:t>-</w:t>
      </w:r>
      <w:r>
        <w:rPr>
          <w:rFonts w:cs="Arial"/>
          <w:sz w:val="16"/>
          <w:szCs w:val="16"/>
          <w:rtl/>
        </w:rPr>
        <w:t>ז)</w:t>
      </w:r>
      <w:r w:rsidR="00A82951">
        <w:rPr>
          <w:rFonts w:cs="Arial"/>
          <w:rtl/>
        </w:rPr>
        <w:t>-</w:t>
      </w:r>
      <w:r>
        <w:rPr>
          <w:rFonts w:cs="Arial"/>
          <w:rtl/>
        </w:rPr>
        <w:t xml:space="preserve"> שתי חצרות זו לפנים מזו, הפנימית שלה והחיצונה שלו, וכתלי החיצונה גבוהות על הפנימית, כיון שזרק הגט לתוך אויר החיצונה </w:t>
      </w:r>
      <w:r w:rsidR="00A82951">
        <w:rPr>
          <w:rFonts w:cs="Arial"/>
          <w:rtl/>
        </w:rPr>
        <w:t>-</w:t>
      </w:r>
      <w:r>
        <w:rPr>
          <w:rFonts w:cs="Arial"/>
          <w:rtl/>
        </w:rPr>
        <w:t xml:space="preserve"> נתגרשה, שהפנימית בכתלי החיצונה משתמרת, מה שאין כן בקופות. כיצד, שתי קופות זו לפנים מזו, הפנימית שלה והחיצונה שלו, וזרק לה גיטה בתוכן, אפילו הגיע לאויר הפנימית </w:t>
      </w:r>
      <w:r w:rsidR="00A82951">
        <w:rPr>
          <w:rFonts w:cs="Arial"/>
          <w:rtl/>
        </w:rPr>
        <w:t>-</w:t>
      </w:r>
      <w:r>
        <w:rPr>
          <w:rFonts w:cs="Arial"/>
          <w:rtl/>
        </w:rPr>
        <w:t xml:space="preserve"> אינה מגורשת עד שינוח על צד הקופה הפנימית. במה דברים אמורים בשהיה מוטה על </w:t>
      </w:r>
      <w:r>
        <w:rPr>
          <w:rFonts w:cs="Arial"/>
          <w:rtl/>
        </w:rPr>
        <w:lastRenderedPageBreak/>
        <w:t xml:space="preserve">צדה ואין לה שולים, אבל אם יש לה שולים </w:t>
      </w:r>
      <w:r w:rsidR="00A82951">
        <w:rPr>
          <w:rFonts w:cs="Arial"/>
          <w:rtl/>
        </w:rPr>
        <w:t>-</w:t>
      </w:r>
      <w:r>
        <w:rPr>
          <w:rFonts w:cs="Arial"/>
          <w:rtl/>
        </w:rPr>
        <w:t xml:space="preserve"> אפילו נח בקרקעיתה אינה מגורשת, שכלי האשה ברשות הבעל אינו קונה לה הגט, אלא אם כן אינו מקפיד על מקומו</w:t>
      </w:r>
      <w:r>
        <w:rPr>
          <w:rStyle w:val="a7"/>
          <w:rFonts w:cs="Arial"/>
          <w:rtl/>
        </w:rPr>
        <w:footnoteReference w:id="1684"/>
      </w:r>
      <w:r>
        <w:rPr>
          <w:rFonts w:cs="Arial"/>
          <w:rtl/>
        </w:rPr>
        <w:t xml:space="preserve">. </w:t>
      </w:r>
      <w:r>
        <w:rPr>
          <w:color w:val="E36C0A" w:themeColor="accent6" w:themeShade="BF"/>
          <w:rtl/>
        </w:rPr>
        <w:t>(וכ"פ בשו"ע)</w:t>
      </w:r>
    </w:p>
    <w:p w14:paraId="45E31D7F"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34EF79E3" w14:textId="77777777" w:rsidR="00FA2119" w:rsidRDefault="00FA2119" w:rsidP="00FA2119">
      <w:pPr>
        <w:rPr>
          <w:rtl/>
        </w:rPr>
      </w:pPr>
      <w:r>
        <w:rPr>
          <w:rFonts w:cs="Arial"/>
          <w:rtl/>
        </w:rPr>
        <w:t>שתי חצירות זו לפנים מזו, הפנימית שלה והחיצונה שלו, וכותלי החיצונה גבוהות על הפנימית, כיון שזרק הגט לתוך אויר החיצונה, נתגרשה, שהפנימית בכותלי החיצונה משתמרת. מה שאין כן בקופות. כיצד, שתי קופות זו לפנים מזו, פנימית שלה והחיצונה שלו, וזרק לו בתוכם גיטה, אפילו הגיע לאויר הפנימית, אינה מגורשת עד שינוח על צד הקופה הפנימית. במה דברים אומרים, כשהיתה מוטה על צדה ואין לה שוליים, אבל אם יש לה שוליים, אפילו נח בקרקעיתה, אינה מגורשת, שכלי האשה ברשות הבעל אינה קונה לה גט</w:t>
      </w:r>
      <w:r>
        <w:rPr>
          <w:rStyle w:val="a7"/>
          <w:rFonts w:cs="Arial"/>
          <w:rtl/>
        </w:rPr>
        <w:footnoteReference w:id="1685"/>
      </w:r>
      <w:r>
        <w:rPr>
          <w:rFonts w:cs="Arial"/>
          <w:rtl/>
        </w:rPr>
        <w:t xml:space="preserve"> אלא אם כן אינו מקפיד על מקומו. </w:t>
      </w:r>
    </w:p>
    <w:p w14:paraId="6223D0C1" w14:textId="77777777" w:rsidR="00FA2119" w:rsidRDefault="00FA2119" w:rsidP="00FA2119">
      <w:pPr>
        <w:rPr>
          <w:rtl/>
        </w:rPr>
      </w:pPr>
    </w:p>
    <w:p w14:paraId="130C6D68" w14:textId="77777777" w:rsidR="00FA2119" w:rsidRDefault="00FA2119" w:rsidP="00FA2119">
      <w:pPr>
        <w:pStyle w:val="2"/>
        <w:rPr>
          <w:rtl/>
        </w:rPr>
      </w:pPr>
      <w:r>
        <w:rPr>
          <w:rtl/>
        </w:rPr>
        <w:t>סעיף י: זרק לה גט לחצרו ונפל במיטתה/סמוך לה/בכלי שלה.</w:t>
      </w:r>
    </w:p>
    <w:p w14:paraId="5ECDFAD5" w14:textId="2B79E1BB" w:rsidR="00FA2119" w:rsidRDefault="00FA2119" w:rsidP="00FA2119">
      <w:pPr>
        <w:rPr>
          <w:rtl/>
        </w:rPr>
      </w:pPr>
      <w:r>
        <w:rPr>
          <w:rFonts w:cs="Arial"/>
          <w:b/>
          <w:bCs/>
          <w:rtl/>
        </w:rPr>
        <w:t xml:space="preserve">גיטין </w:t>
      </w:r>
      <w:r>
        <w:rPr>
          <w:rFonts w:cs="Arial"/>
          <w:b/>
          <w:bCs/>
          <w:sz w:val="16"/>
          <w:szCs w:val="16"/>
          <w:rtl/>
        </w:rPr>
        <w:t>(ר"פ הזורק)</w:t>
      </w:r>
      <w:r>
        <w:rPr>
          <w:rFonts w:cs="Arial"/>
          <w:b/>
          <w:bCs/>
          <w:rtl/>
        </w:rPr>
        <w:t xml:space="preserve"> עז ע"א:</w:t>
      </w:r>
      <w:r>
        <w:rPr>
          <w:rtl/>
        </w:rPr>
        <w:t xml:space="preserve"> </w:t>
      </w:r>
      <w:r>
        <w:rPr>
          <w:rFonts w:cs="Arial"/>
          <w:u w:val="double"/>
          <w:rtl/>
        </w:rPr>
        <w:t>מתני'</w:t>
      </w:r>
      <w:r>
        <w:rPr>
          <w:rFonts w:cs="Arial"/>
          <w:rtl/>
        </w:rPr>
        <w:t xml:space="preserve">: הזורק גט לאשתו, והיא בתוך ביתה או בתוך חצרה </w:t>
      </w:r>
      <w:r w:rsidR="00A82951">
        <w:rPr>
          <w:rFonts w:cs="Arial"/>
          <w:rtl/>
        </w:rPr>
        <w:t>-</w:t>
      </w:r>
      <w:r>
        <w:rPr>
          <w:rFonts w:cs="Arial"/>
          <w:rtl/>
        </w:rPr>
        <w:t xml:space="preserve"> הרי זו מגורשת. זרקו לה בתוך ביתו או בתוך חצרו, אפילו הוא עמה</w:t>
      </w:r>
      <w:r>
        <w:rPr>
          <w:rStyle w:val="a7"/>
          <w:rFonts w:cs="Arial"/>
          <w:rtl/>
        </w:rPr>
        <w:footnoteReference w:id="1686"/>
      </w:r>
      <w:r>
        <w:rPr>
          <w:rFonts w:cs="Arial"/>
          <w:rtl/>
        </w:rPr>
        <w:t xml:space="preserve"> במטה </w:t>
      </w:r>
      <w:r w:rsidR="00A82951">
        <w:rPr>
          <w:rFonts w:cs="Arial"/>
          <w:rtl/>
        </w:rPr>
        <w:t>-</w:t>
      </w:r>
      <w:r>
        <w:rPr>
          <w:rFonts w:cs="Arial"/>
          <w:rtl/>
        </w:rPr>
        <w:t xml:space="preserve"> אינה מגורשת. לתוך חיקה או לתוך קלתה </w:t>
      </w:r>
      <w:r w:rsidR="00A82951">
        <w:rPr>
          <w:rFonts w:cs="Arial"/>
          <w:rtl/>
        </w:rPr>
        <w:t>-</w:t>
      </w:r>
      <w:r>
        <w:rPr>
          <w:rFonts w:cs="Arial"/>
          <w:rtl/>
        </w:rPr>
        <w:t xml:space="preserve"> הרי זו מגורשת.</w:t>
      </w:r>
      <w:r>
        <w:rPr>
          <w:rtl/>
        </w:rPr>
        <w:t xml:space="preserve">    </w:t>
      </w:r>
      <w:r>
        <w:rPr>
          <w:rFonts w:cs="Arial"/>
          <w:u w:val="double"/>
          <w:rtl/>
        </w:rPr>
        <w:t>גמ'</w:t>
      </w:r>
      <w:r>
        <w:rPr>
          <w:rFonts w:cs="Arial"/>
          <w:sz w:val="14"/>
          <w:szCs w:val="14"/>
          <w:u w:val="double"/>
          <w:rtl/>
        </w:rPr>
        <w:t>(עח.)</w:t>
      </w:r>
      <w:r>
        <w:rPr>
          <w:rFonts w:cs="Arial"/>
          <w:u w:val="double"/>
          <w:rtl/>
        </w:rPr>
        <w:t>:</w:t>
      </w:r>
      <w:r>
        <w:rPr>
          <w:rFonts w:cs="Arial"/>
          <w:rtl/>
        </w:rPr>
        <w:t xml:space="preserve"> אפילו הוא עמה במטה כו'. </w:t>
      </w:r>
      <w:r>
        <w:rPr>
          <w:rFonts w:cs="Arial"/>
          <w:u w:val="single"/>
          <w:rtl/>
        </w:rPr>
        <w:t>אמר רבא</w:t>
      </w:r>
      <w:r>
        <w:rPr>
          <w:rFonts w:cs="Arial"/>
          <w:rtl/>
        </w:rPr>
        <w:t xml:space="preserve">: לא שנו אלא במטה שלו, אבל במטה שלה </w:t>
      </w:r>
      <w:r w:rsidR="00A82951">
        <w:rPr>
          <w:rFonts w:cs="Arial"/>
          <w:rtl/>
        </w:rPr>
        <w:t>-</w:t>
      </w:r>
      <w:r>
        <w:rPr>
          <w:rFonts w:cs="Arial"/>
          <w:rtl/>
        </w:rPr>
        <w:t xml:space="preserve"> מגורשת. תניא נמי הכי, </w:t>
      </w:r>
      <w:r>
        <w:rPr>
          <w:rFonts w:cs="Arial"/>
          <w:u w:val="single"/>
          <w:rtl/>
        </w:rPr>
        <w:t>רבי אליעזר אומר</w:t>
      </w:r>
      <w:r>
        <w:rPr>
          <w:rFonts w:cs="Arial"/>
          <w:rtl/>
        </w:rPr>
        <w:t xml:space="preserve">: במטה שלו </w:t>
      </w:r>
      <w:r w:rsidR="00A82951">
        <w:rPr>
          <w:rFonts w:cs="Arial"/>
          <w:rtl/>
        </w:rPr>
        <w:t>-</w:t>
      </w:r>
      <w:r>
        <w:rPr>
          <w:rFonts w:cs="Arial"/>
          <w:rtl/>
        </w:rPr>
        <w:t xml:space="preserve"> אינה מגורשת, במטה שלה </w:t>
      </w:r>
      <w:r w:rsidR="00A82951">
        <w:rPr>
          <w:rFonts w:cs="Arial"/>
          <w:rtl/>
        </w:rPr>
        <w:t>-</w:t>
      </w:r>
      <w:r>
        <w:rPr>
          <w:rFonts w:cs="Arial"/>
          <w:rtl/>
        </w:rPr>
        <w:t xml:space="preserve"> מגורשת. ובמטה שלה מגורשת? כליו של לוקח ברשות מוכר הוא</w:t>
      </w:r>
      <w:r>
        <w:rPr>
          <w:rStyle w:val="a7"/>
          <w:rFonts w:cs="Arial"/>
          <w:rtl/>
        </w:rPr>
        <w:footnoteReference w:id="1687"/>
      </w:r>
      <w:r>
        <w:rPr>
          <w:rFonts w:cs="Arial"/>
          <w:rtl/>
        </w:rPr>
        <w:t xml:space="preserve">! שמעת מינה: כליו של לוקח ברשות מוכר </w:t>
      </w:r>
      <w:r w:rsidR="00A82951">
        <w:rPr>
          <w:rFonts w:cs="Arial"/>
          <w:rtl/>
        </w:rPr>
        <w:t>-</w:t>
      </w:r>
      <w:r>
        <w:rPr>
          <w:rFonts w:cs="Arial"/>
          <w:rtl/>
        </w:rPr>
        <w:t xml:space="preserve"> קנה לוקח! לא צריכא דגבוה עשרה</w:t>
      </w:r>
      <w:r>
        <w:rPr>
          <w:rStyle w:val="a7"/>
          <w:rFonts w:cs="Arial"/>
          <w:rtl/>
        </w:rPr>
        <w:footnoteReference w:id="1688"/>
      </w:r>
      <w:r>
        <w:rPr>
          <w:rFonts w:cs="Arial"/>
          <w:rtl/>
        </w:rPr>
        <w:t>. והאיכא מקום כרעי! אמקום כרעי לא קפדי אינשי</w:t>
      </w:r>
      <w:r>
        <w:rPr>
          <w:rStyle w:val="a7"/>
          <w:rFonts w:cs="Arial"/>
          <w:rtl/>
        </w:rPr>
        <w:footnoteReference w:id="1689"/>
      </w:r>
      <w:r>
        <w:rPr>
          <w:rFonts w:cs="Arial"/>
          <w:rtl/>
        </w:rPr>
        <w:t xml:space="preserve">. לתוך חיקה או לתוך קלתה </w:t>
      </w:r>
      <w:r w:rsidR="00A82951">
        <w:rPr>
          <w:rFonts w:cs="Arial"/>
          <w:rtl/>
        </w:rPr>
        <w:t>-</w:t>
      </w:r>
      <w:r>
        <w:rPr>
          <w:rFonts w:cs="Arial"/>
          <w:rtl/>
        </w:rPr>
        <w:t xml:space="preserve"> מגורשת. אמאי? כליו של לוקח ברשות מוכר הוא! </w:t>
      </w:r>
      <w:r>
        <w:rPr>
          <w:rFonts w:cs="Arial"/>
          <w:u w:val="single"/>
          <w:rtl/>
        </w:rPr>
        <w:t>אמר רב יהודה אמר שמואל</w:t>
      </w:r>
      <w:r>
        <w:rPr>
          <w:rFonts w:cs="Arial"/>
          <w:rtl/>
        </w:rPr>
        <w:t xml:space="preserve">: כגון שהיתה קלתה תלויה בה. </w:t>
      </w:r>
      <w:r>
        <w:rPr>
          <w:rFonts w:cs="Arial"/>
          <w:u w:val="single"/>
          <w:rtl/>
        </w:rPr>
        <w:t>וכן אמר ר' אלעזר אמר רבי אושעיא</w:t>
      </w:r>
      <w:r>
        <w:rPr>
          <w:rFonts w:cs="Arial"/>
          <w:rtl/>
        </w:rPr>
        <w:t xml:space="preserve">: כגון שהיתה קלתה תלויה בה. </w:t>
      </w:r>
      <w:r>
        <w:rPr>
          <w:rFonts w:cs="Arial"/>
          <w:u w:val="single"/>
          <w:rtl/>
        </w:rPr>
        <w:t>ור' שמעון בן לקיש אמר</w:t>
      </w:r>
      <w:r>
        <w:rPr>
          <w:rFonts w:cs="Arial"/>
          <w:rtl/>
        </w:rPr>
        <w:t xml:space="preserve">: קשורה אף על פי שאינה תלויה. </w:t>
      </w:r>
      <w:r>
        <w:rPr>
          <w:rFonts w:cs="Arial"/>
          <w:u w:val="single"/>
          <w:rtl/>
        </w:rPr>
        <w:t>רב אדא בר אהבה אמר</w:t>
      </w:r>
      <w:r>
        <w:rPr>
          <w:rFonts w:cs="Arial"/>
          <w:rtl/>
        </w:rPr>
        <w:t xml:space="preserve">: כגון שהיתה קלתה מונחת לה בין ירכותיה. </w:t>
      </w:r>
      <w:r>
        <w:rPr>
          <w:rFonts w:cs="Arial"/>
          <w:u w:val="single"/>
          <w:rtl/>
        </w:rPr>
        <w:t>רב משרשיא בר רב דימי אמר</w:t>
      </w:r>
      <w:r>
        <w:rPr>
          <w:rFonts w:cs="Arial"/>
          <w:rtl/>
        </w:rPr>
        <w:t xml:space="preserve">: כגון שהיה בעלה מוכר קלתות. </w:t>
      </w:r>
      <w:r>
        <w:rPr>
          <w:rFonts w:cs="Arial"/>
          <w:u w:val="single"/>
          <w:rtl/>
        </w:rPr>
        <w:t>ר' יוחנן אמר</w:t>
      </w:r>
      <w:r>
        <w:rPr>
          <w:rFonts w:cs="Arial"/>
          <w:rtl/>
        </w:rPr>
        <w:t xml:space="preserve">: מקום חיקה קנוי לה, מקום קלתה קנוי לה. </w:t>
      </w:r>
      <w:r>
        <w:rPr>
          <w:rFonts w:cs="Arial"/>
          <w:u w:val="single"/>
          <w:rtl/>
        </w:rPr>
        <w:t>אמר רבא</w:t>
      </w:r>
      <w:r>
        <w:rPr>
          <w:rFonts w:cs="Arial"/>
          <w:rtl/>
        </w:rPr>
        <w:t xml:space="preserve">: מ"ט דר' יוחנן? לפי שאין אדם מקפיד לא על מקום חיקה ולא על מקום קלתה. תניא נמי הכי: זרקו לה לתוך חיקה או לתוך קלתה, או לתוך כל דבר שהוא כקלתה </w:t>
      </w:r>
      <w:r w:rsidR="00A82951">
        <w:rPr>
          <w:rFonts w:cs="Arial"/>
          <w:rtl/>
        </w:rPr>
        <w:t>-</w:t>
      </w:r>
      <w:r>
        <w:rPr>
          <w:rFonts w:cs="Arial"/>
          <w:rtl/>
        </w:rPr>
        <w:t xml:space="preserve"> הרי זו מגורשת. כל דבר שהוא כקלתה לאיתויי מאי? לאיתויי טסקא דאכלה בה תמרי. </w:t>
      </w:r>
      <w:r>
        <w:rPr>
          <w:rFonts w:cs="Arial"/>
          <w:sz w:val="16"/>
          <w:szCs w:val="16"/>
          <w:rtl/>
        </w:rPr>
        <w:t xml:space="preserve">(ומאחר דבעיין דכליו של לוקח ברשות מוכר לא איפשיטא, כשאינה גבוהה עשרה הויא לה ספק מגורשת. ואפילו לדעת הר"ן (מ. ד"ה מאי טעמא) שכתב גבי הא דאמר רבי יוחנן אין אדם מקפיד על מקום חיקה וכו' דאע"ג דבהספינה (ב"ב פה:) לא איפשיטא בעיין דכליו של לוקח ברשות מוכר, סוגיין דהכא מוכחא דלא קנה, מ"מ כיון דלא איפשיטא בהדיא משום הוכחה בעלמא לא נפקא מידי ספיקא, ב"י. </w:t>
      </w:r>
      <w:r>
        <w:rPr>
          <w:rFonts w:cs="Arial"/>
          <w:color w:val="E36C0A" w:themeColor="accent6" w:themeShade="BF"/>
          <w:sz w:val="16"/>
          <w:szCs w:val="16"/>
          <w:rtl/>
        </w:rPr>
        <w:t>(וכ"פ בשו"ע)</w:t>
      </w:r>
      <w:r>
        <w:rPr>
          <w:rFonts w:cs="Arial"/>
          <w:sz w:val="16"/>
          <w:szCs w:val="16"/>
          <w:rtl/>
        </w:rPr>
        <w:t>)</w:t>
      </w:r>
    </w:p>
    <w:p w14:paraId="1F1CA53B" w14:textId="77777777" w:rsidR="00FA2119" w:rsidRDefault="00FA2119" w:rsidP="00FA2119">
      <w:pPr>
        <w:rPr>
          <w:u w:val="single"/>
          <w:rtl/>
        </w:rPr>
      </w:pPr>
      <w:r>
        <w:rPr>
          <w:u w:val="single"/>
          <w:rtl/>
        </w:rPr>
        <w:t>זרק לה גט לחצרו ונפל במיטתה/סמוך לה/בכלי שלה:</w:t>
      </w:r>
    </w:p>
    <w:p w14:paraId="28FB98D5" w14:textId="43C01025" w:rsidR="00FA2119" w:rsidRDefault="00FA2119" w:rsidP="006A458D">
      <w:pPr>
        <w:pStyle w:val="ab"/>
        <w:numPr>
          <w:ilvl w:val="0"/>
          <w:numId w:val="96"/>
        </w:numPr>
      </w:pPr>
      <w:r>
        <w:rPr>
          <w:rFonts w:cs="Arial"/>
          <w:rtl/>
        </w:rPr>
        <w:t>טור</w:t>
      </w:r>
      <w:r w:rsidR="00A82951">
        <w:rPr>
          <w:rFonts w:cs="Arial"/>
          <w:rtl/>
        </w:rPr>
        <w:t>-</w:t>
      </w:r>
      <w:r>
        <w:rPr>
          <w:rFonts w:cs="Arial"/>
          <w:rtl/>
        </w:rPr>
        <w:t xml:space="preserve"> היתה בחצרו וזרקו לה שם </w:t>
      </w:r>
      <w:r w:rsidR="00A82951">
        <w:rPr>
          <w:rFonts w:cs="Arial"/>
          <w:rtl/>
        </w:rPr>
        <w:t>-</w:t>
      </w:r>
      <w:r>
        <w:rPr>
          <w:rFonts w:cs="Arial"/>
          <w:rtl/>
        </w:rPr>
        <w:t xml:space="preserve"> אינה מגורשת. אפילו היא יושבת במטה ונפל הגט במטה </w:t>
      </w:r>
      <w:r w:rsidR="00A82951">
        <w:rPr>
          <w:rFonts w:cs="Arial"/>
          <w:rtl/>
        </w:rPr>
        <w:t>-</w:t>
      </w:r>
      <w:r>
        <w:rPr>
          <w:rFonts w:cs="Arial"/>
          <w:rtl/>
        </w:rPr>
        <w:t xml:space="preserve"> אינה מגורשת</w:t>
      </w:r>
      <w:r>
        <w:rPr>
          <w:rStyle w:val="a7"/>
          <w:rFonts w:cs="Arial"/>
          <w:rtl/>
        </w:rPr>
        <w:footnoteReference w:id="1690"/>
      </w:r>
      <w:r>
        <w:rPr>
          <w:rFonts w:cs="Arial"/>
          <w:rtl/>
        </w:rPr>
        <w:t xml:space="preserve">, אא"כ הגיע לידה או לכלי מן הכלים שלה שאין הבעל מקפיד על מקומו, כגון צלוחית או כפיפה קטנה וכיוצא בהן. וכן אם נפל למטה שלה שהיא גבוהה י' טפחים </w:t>
      </w:r>
      <w:r w:rsidR="00A82951">
        <w:rPr>
          <w:rFonts w:cs="Arial"/>
          <w:rtl/>
        </w:rPr>
        <w:t>-</w:t>
      </w:r>
      <w:r>
        <w:rPr>
          <w:rFonts w:cs="Arial"/>
          <w:rtl/>
        </w:rPr>
        <w:t xml:space="preserve"> מגורשת, שהיא חלקה מקום לעצמה, ואין הבעל מקפיד על מקום רגלי כרעי המטה שלה.</w:t>
      </w:r>
    </w:p>
    <w:p w14:paraId="5722F965" w14:textId="275188A0" w:rsidR="00FA2119" w:rsidRDefault="00FA2119" w:rsidP="006A458D">
      <w:pPr>
        <w:pStyle w:val="ab"/>
        <w:numPr>
          <w:ilvl w:val="0"/>
          <w:numId w:val="96"/>
        </w:numPr>
      </w:pPr>
      <w:r>
        <w:rPr>
          <w:rFonts w:cs="Arial"/>
          <w:rtl/>
        </w:rPr>
        <w:t xml:space="preserve">רמב"ם </w:t>
      </w:r>
      <w:r>
        <w:rPr>
          <w:rFonts w:cs="Arial"/>
          <w:sz w:val="16"/>
          <w:szCs w:val="16"/>
          <w:rtl/>
        </w:rPr>
        <w:t>(פ"ה ה"ז</w:t>
      </w:r>
      <w:r w:rsidR="00A82951">
        <w:rPr>
          <w:rFonts w:cs="Arial"/>
          <w:sz w:val="16"/>
          <w:szCs w:val="16"/>
          <w:rtl/>
        </w:rPr>
        <w:t>-</w:t>
      </w:r>
      <w:r>
        <w:rPr>
          <w:rFonts w:cs="Arial"/>
          <w:sz w:val="16"/>
          <w:szCs w:val="16"/>
          <w:rtl/>
        </w:rPr>
        <w:t>ח)</w:t>
      </w:r>
      <w:r w:rsidR="00A82951">
        <w:rPr>
          <w:rFonts w:cs="Arial"/>
          <w:rtl/>
        </w:rPr>
        <w:t>-</w:t>
      </w:r>
      <w:r>
        <w:rPr>
          <w:rFonts w:cs="Arial"/>
          <w:rtl/>
        </w:rPr>
        <w:t xml:space="preserve"> כלי האשה ברשות הבעל אינו קונה לה הגט אלא אם כן אינו מקפיד על מקומו... זרק לה גיטה והיא בתוך ביתו או בתוך חצרו </w:t>
      </w:r>
      <w:r w:rsidR="00A82951">
        <w:rPr>
          <w:rFonts w:cs="Arial"/>
          <w:rtl/>
        </w:rPr>
        <w:t>-</w:t>
      </w:r>
      <w:r>
        <w:rPr>
          <w:rFonts w:cs="Arial"/>
          <w:rtl/>
        </w:rPr>
        <w:t xml:space="preserve"> אינה מגורשת עד שיגיע הגט לידה או לחיקה או לכלי מן הכלים שלה שאין הבעל מקפיד על מקומו, כגון צלוחית או קפיפה קטנה וכיוצא בהן. וכן אם הגיע למטה שלה שהיא </w:t>
      </w:r>
      <w:r>
        <w:rPr>
          <w:rFonts w:cs="Arial"/>
          <w:rtl/>
        </w:rPr>
        <w:lastRenderedPageBreak/>
        <w:t xml:space="preserve">יושבת עליה והיתה גבוהה עשרה טפחים </w:t>
      </w:r>
      <w:r w:rsidR="00A82951">
        <w:rPr>
          <w:rFonts w:cs="Arial"/>
          <w:rtl/>
        </w:rPr>
        <w:t>-</w:t>
      </w:r>
      <w:r>
        <w:rPr>
          <w:rFonts w:cs="Arial"/>
          <w:rtl/>
        </w:rPr>
        <w:t xml:space="preserve"> הרי זו מגורשת, שהרי חלקה רשות לעצמה ואין הבעל מקפיד על מקום כרעי המטה.</w:t>
      </w:r>
      <w:r>
        <w:rPr>
          <w:rtl/>
        </w:rPr>
        <w:t xml:space="preserve"> </w:t>
      </w:r>
    </w:p>
    <w:p w14:paraId="73C6859C"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2009D6C" w14:textId="77777777" w:rsidR="00FA2119" w:rsidRDefault="00FA2119" w:rsidP="00FA2119">
      <w:pPr>
        <w:rPr>
          <w:rtl/>
        </w:rPr>
      </w:pPr>
      <w:r>
        <w:rPr>
          <w:rFonts w:cs="Arial"/>
          <w:rtl/>
        </w:rPr>
        <w:t>היתה בחצרו, וזרקו לה שם, אינה מגורשת. אפילו היא יושבת במטה ונפל הגט במטה, אינה מגורשת עד שיגיע הגט לידה או לחיקה או לכלי מהכלים שאין הבעל מקפיד על מקומו. וכן אם הגיע למטה שלה שהיא יושבת עליה, והיתה גבוה עשרה טפחים, הרי זו מגורשת, שהרי חלקה רשות לעצמה ואין הבעל</w:t>
      </w:r>
      <w:r>
        <w:rPr>
          <w:rStyle w:val="a7"/>
          <w:rFonts w:cs="Arial"/>
          <w:rtl/>
        </w:rPr>
        <w:footnoteReference w:id="1691"/>
      </w:r>
      <w:r>
        <w:rPr>
          <w:rFonts w:cs="Arial"/>
          <w:rtl/>
        </w:rPr>
        <w:t xml:space="preserve"> מקפיד על מקום כרעי המטה. ואם לא היתה גבוה י' טפחים, הרי זו ספק מגורשת</w:t>
      </w:r>
      <w:r>
        <w:rPr>
          <w:rStyle w:val="a7"/>
          <w:rFonts w:cs="Arial"/>
          <w:rtl/>
        </w:rPr>
        <w:footnoteReference w:id="1692"/>
      </w:r>
      <w:r>
        <w:rPr>
          <w:rFonts w:cs="Arial"/>
          <w:rtl/>
        </w:rPr>
        <w:t xml:space="preserve">. </w:t>
      </w:r>
    </w:p>
    <w:p w14:paraId="0CA3F382" w14:textId="77777777" w:rsidR="00FA2119" w:rsidRDefault="00FA2119" w:rsidP="00FA2119">
      <w:pPr>
        <w:rPr>
          <w:rtl/>
        </w:rPr>
      </w:pPr>
    </w:p>
    <w:p w14:paraId="08C16958" w14:textId="77777777" w:rsidR="00FA2119" w:rsidRDefault="00FA2119" w:rsidP="00FA2119">
      <w:pPr>
        <w:pStyle w:val="2"/>
        <w:rPr>
          <w:rtl/>
        </w:rPr>
      </w:pPr>
      <w:r>
        <w:rPr>
          <w:rtl/>
        </w:rPr>
        <w:t>סעיף יא: השאיל לה מקום בחצרו וזרק לשם גט, ונפל במקום שחלוק לעצמו.</w:t>
      </w:r>
    </w:p>
    <w:p w14:paraId="7EF30166" w14:textId="203DF7CA" w:rsidR="00FA2119" w:rsidRDefault="00FA2119" w:rsidP="00FA2119">
      <w:pPr>
        <w:rPr>
          <w:rFonts w:cs="Arial"/>
          <w:rtl/>
        </w:rPr>
      </w:pPr>
      <w:r>
        <w:rPr>
          <w:rFonts w:cs="Arial"/>
          <w:b/>
          <w:bCs/>
          <w:rtl/>
        </w:rPr>
        <w:t xml:space="preserve">גיטין </w:t>
      </w:r>
      <w:r>
        <w:rPr>
          <w:rFonts w:cs="Arial"/>
          <w:b/>
          <w:bCs/>
          <w:sz w:val="16"/>
          <w:szCs w:val="16"/>
          <w:rtl/>
        </w:rPr>
        <w:t>(ר"פ הזורק)</w:t>
      </w:r>
      <w:r>
        <w:rPr>
          <w:rFonts w:cs="Arial"/>
          <w:b/>
          <w:bCs/>
          <w:rtl/>
        </w:rPr>
        <w:t xml:space="preserve"> עז ע"ב:</w:t>
      </w:r>
      <w:r>
        <w:rPr>
          <w:rtl/>
        </w:rPr>
        <w:t xml:space="preserve"> </w:t>
      </w:r>
      <w:r>
        <w:rPr>
          <w:rFonts w:cs="Arial"/>
          <w:rtl/>
        </w:rPr>
        <w:t>ההוא גברא דזרק לה גיטא לדביתהו, הוה קיימא בחצר, אזל גיטא נפל בפיסלא</w:t>
      </w:r>
      <w:r>
        <w:rPr>
          <w:rStyle w:val="a7"/>
          <w:rFonts w:cs="Arial"/>
          <w:rtl/>
        </w:rPr>
        <w:footnoteReference w:id="1693"/>
      </w:r>
      <w:r>
        <w:rPr>
          <w:rFonts w:cs="Arial"/>
          <w:rtl/>
        </w:rPr>
        <w:t xml:space="preserve">. </w:t>
      </w:r>
      <w:r>
        <w:rPr>
          <w:rFonts w:cs="Arial"/>
          <w:u w:val="single"/>
          <w:rtl/>
        </w:rPr>
        <w:t>אמר רב יוסף</w:t>
      </w:r>
      <w:r>
        <w:rPr>
          <w:rFonts w:cs="Arial"/>
          <w:rtl/>
        </w:rPr>
        <w:t xml:space="preserve">: חזינן, אי הויא ארבע אמות על ארבע אמות </w:t>
      </w:r>
      <w:r w:rsidR="00A82951">
        <w:rPr>
          <w:rFonts w:cs="Arial"/>
          <w:rtl/>
        </w:rPr>
        <w:t>-</w:t>
      </w:r>
      <w:r>
        <w:rPr>
          <w:rFonts w:cs="Arial"/>
          <w:rtl/>
        </w:rPr>
        <w:t xml:space="preserve"> פלג ליה רשותא לנפשיה</w:t>
      </w:r>
      <w:r>
        <w:rPr>
          <w:rStyle w:val="a7"/>
          <w:rFonts w:cs="Arial"/>
          <w:rtl/>
        </w:rPr>
        <w:footnoteReference w:id="1694"/>
      </w:r>
      <w:r>
        <w:rPr>
          <w:rFonts w:cs="Arial"/>
          <w:rtl/>
        </w:rPr>
        <w:t xml:space="preserve">, ואי לא </w:t>
      </w:r>
      <w:r w:rsidR="00A82951">
        <w:rPr>
          <w:rFonts w:cs="Arial"/>
          <w:rtl/>
        </w:rPr>
        <w:t>-</w:t>
      </w:r>
      <w:r>
        <w:rPr>
          <w:rFonts w:cs="Arial"/>
          <w:rtl/>
        </w:rPr>
        <w:t xml:space="preserve"> חדא רשותא היא. במאי עסקינן? אילימא בחצר דידה, כי הוי ד' אמות מאי הוי</w:t>
      </w:r>
      <w:r>
        <w:rPr>
          <w:rStyle w:val="a7"/>
          <w:rFonts w:cs="Arial"/>
          <w:rtl/>
        </w:rPr>
        <w:footnoteReference w:id="1695"/>
      </w:r>
      <w:r>
        <w:rPr>
          <w:rFonts w:cs="Arial"/>
          <w:rtl/>
        </w:rPr>
        <w:t>? אלא בחצר דידיה, כי לא הוי ארבע אמות מאי הוי? לא צריכא דאושלה מקום</w:t>
      </w:r>
      <w:r>
        <w:rPr>
          <w:rStyle w:val="a7"/>
          <w:rFonts w:cs="Arial"/>
          <w:rtl/>
        </w:rPr>
        <w:footnoteReference w:id="1696"/>
      </w:r>
      <w:r>
        <w:rPr>
          <w:rFonts w:cs="Arial"/>
          <w:rtl/>
        </w:rPr>
        <w:t>, דחד מקום מושלי אינשי, תרי מקומות לא מושלי אינשי</w:t>
      </w:r>
      <w:r>
        <w:rPr>
          <w:rStyle w:val="a7"/>
          <w:rFonts w:cs="Arial"/>
          <w:rtl/>
        </w:rPr>
        <w:footnoteReference w:id="1697"/>
      </w:r>
      <w:r>
        <w:rPr>
          <w:rFonts w:cs="Arial"/>
          <w:rtl/>
        </w:rPr>
        <w:t xml:space="preserve">. ולא אמרן אלא דלא גבוה עשרה, אבל גבוה עשרה </w:t>
      </w:r>
      <w:r w:rsidR="00A82951">
        <w:rPr>
          <w:rFonts w:cs="Arial"/>
          <w:rtl/>
        </w:rPr>
        <w:t>-</w:t>
      </w:r>
      <w:r>
        <w:rPr>
          <w:rFonts w:cs="Arial"/>
          <w:rtl/>
        </w:rPr>
        <w:t xml:space="preserve"> אף על גב דלא הוי ארבע אמות. ולא אמרן אלא דלית ליה </w:t>
      </w:r>
      <w:r>
        <w:rPr>
          <w:rFonts w:cs="Arial"/>
          <w:sz w:val="14"/>
          <w:szCs w:val="14"/>
          <w:rtl/>
        </w:rPr>
        <w:t xml:space="preserve">(עח.) </w:t>
      </w:r>
      <w:r>
        <w:rPr>
          <w:rFonts w:cs="Arial"/>
          <w:rtl/>
        </w:rPr>
        <w:t>שם לווי, אבל אית ליה שם לווי</w:t>
      </w:r>
      <w:r>
        <w:rPr>
          <w:rStyle w:val="a7"/>
          <w:rFonts w:cs="Arial"/>
          <w:rtl/>
        </w:rPr>
        <w:footnoteReference w:id="1698"/>
      </w:r>
      <w:r>
        <w:rPr>
          <w:rFonts w:cs="Arial"/>
          <w:rtl/>
        </w:rPr>
        <w:t>, אף על גב דלא גבוה עשרה ואף על גב דלא הוי ארבע אמות.</w:t>
      </w:r>
    </w:p>
    <w:p w14:paraId="4B899B3E" w14:textId="35595C8D" w:rsidR="00FA2119" w:rsidRDefault="00FA2119" w:rsidP="00FA2119">
      <w:pPr>
        <w:rPr>
          <w:u w:val="single"/>
          <w:rtl/>
        </w:rPr>
      </w:pPr>
      <w:r>
        <w:rPr>
          <w:u w:val="single"/>
          <w:rtl/>
        </w:rPr>
        <w:t>השאיל לה מקום בחצרו</w:t>
      </w:r>
      <w:r>
        <w:rPr>
          <w:sz w:val="16"/>
          <w:szCs w:val="16"/>
          <w:u w:val="single"/>
          <w:rtl/>
        </w:rPr>
        <w:t xml:space="preserve"> (ולא ייחד מקום מסויים שאותו הוא משאיל)</w:t>
      </w:r>
      <w:r>
        <w:rPr>
          <w:u w:val="single"/>
          <w:rtl/>
        </w:rPr>
        <w:t xml:space="preserve"> וזרק לשם גט </w:t>
      </w:r>
      <w:r w:rsidR="00A82951">
        <w:rPr>
          <w:u w:val="single"/>
          <w:rtl/>
        </w:rPr>
        <w:t>-</w:t>
      </w:r>
      <w:r>
        <w:rPr>
          <w:u w:val="single"/>
          <w:rtl/>
        </w:rPr>
        <w:t xml:space="preserve"> ונפל הגט במקום שחלוק לעצמו:</w:t>
      </w:r>
    </w:p>
    <w:p w14:paraId="791576A8" w14:textId="3EAD7052" w:rsidR="00FA2119" w:rsidRDefault="00FA2119" w:rsidP="006A458D">
      <w:pPr>
        <w:pStyle w:val="ab"/>
        <w:numPr>
          <w:ilvl w:val="0"/>
          <w:numId w:val="96"/>
        </w:numPr>
        <w:rPr>
          <w:rtl/>
        </w:rPr>
      </w:pPr>
      <w:r>
        <w:rPr>
          <w:rFonts w:cs="Arial"/>
          <w:rtl/>
        </w:rPr>
        <w:t>טור</w:t>
      </w:r>
      <w:r w:rsidR="00A82951">
        <w:rPr>
          <w:rFonts w:cs="Arial"/>
          <w:rtl/>
        </w:rPr>
        <w:t>-</w:t>
      </w:r>
      <w:r>
        <w:rPr>
          <w:rFonts w:cs="Arial"/>
          <w:rtl/>
        </w:rPr>
        <w:t xml:space="preserve"> השאיל לה הבעל חצרו וזרק לה לתוכו </w:t>
      </w:r>
      <w:r w:rsidR="00A82951">
        <w:rPr>
          <w:rFonts w:cs="Arial"/>
          <w:rtl/>
        </w:rPr>
        <w:t>-</w:t>
      </w:r>
      <w:r>
        <w:rPr>
          <w:rFonts w:cs="Arial"/>
          <w:rtl/>
        </w:rPr>
        <w:t xml:space="preserve"> מגורשת. היה בחצר מקום חלוק לעצמו שיש בו ד"א על ד"א או אפילו אין בו ד' על ד' והוא גבוה עשרה טפחים או אפילו אין בו ד' על ד' ולא גבוה י' והוא חלוק בשם לעצמו </w:t>
      </w:r>
      <w:r w:rsidR="00A82951">
        <w:rPr>
          <w:rFonts w:cs="Arial"/>
          <w:rtl/>
        </w:rPr>
        <w:t>-</w:t>
      </w:r>
      <w:r>
        <w:rPr>
          <w:rFonts w:cs="Arial"/>
          <w:rtl/>
        </w:rPr>
        <w:t xml:space="preserve"> חשוב מקום לעצמו ואינו שאול לה בכלל החצר ואם נפל הגט שם אינה מגורשת. </w:t>
      </w:r>
      <w:r>
        <w:rPr>
          <w:color w:val="E36C0A" w:themeColor="accent6" w:themeShade="BF"/>
          <w:rtl/>
        </w:rPr>
        <w:t>(וכ"ס בשו"ע)</w:t>
      </w:r>
    </w:p>
    <w:p w14:paraId="477602C4" w14:textId="3211F702" w:rsidR="00FA2119" w:rsidRDefault="00FA2119" w:rsidP="006A458D">
      <w:pPr>
        <w:pStyle w:val="ab"/>
        <w:numPr>
          <w:ilvl w:val="0"/>
          <w:numId w:val="96"/>
        </w:numPr>
      </w:pPr>
      <w:r>
        <w:rPr>
          <w:rFonts w:cs="Arial"/>
          <w:rtl/>
        </w:rPr>
        <w:t xml:space="preserve">רמב"ם </w:t>
      </w:r>
      <w:r>
        <w:rPr>
          <w:rFonts w:cs="Arial"/>
          <w:sz w:val="16"/>
          <w:szCs w:val="16"/>
          <w:rtl/>
        </w:rPr>
        <w:t>(פ"ה ה"ט)</w:t>
      </w:r>
      <w:r w:rsidR="00A82951">
        <w:rPr>
          <w:rFonts w:cs="Arial"/>
          <w:rtl/>
        </w:rPr>
        <w:t>-</w:t>
      </w:r>
      <w:r>
        <w:rPr>
          <w:rFonts w:cs="Arial"/>
          <w:rtl/>
        </w:rPr>
        <w:t xml:space="preserve"> השאילה הבעל מקום בחצרו ולא ייחדו, וזרק לה הגט והגיע לארבע אמות שלה</w:t>
      </w:r>
      <w:r>
        <w:rPr>
          <w:rStyle w:val="a7"/>
          <w:rFonts w:cs="Arial"/>
          <w:rtl/>
        </w:rPr>
        <w:footnoteReference w:id="1699"/>
      </w:r>
      <w:r>
        <w:rPr>
          <w:rFonts w:cs="Arial"/>
          <w:rtl/>
        </w:rPr>
        <w:t xml:space="preserve"> שהיא עומדת בהן </w:t>
      </w:r>
      <w:r w:rsidR="00A82951">
        <w:rPr>
          <w:rFonts w:cs="Arial"/>
          <w:rtl/>
        </w:rPr>
        <w:t>-</w:t>
      </w:r>
      <w:r>
        <w:rPr>
          <w:rFonts w:cs="Arial"/>
          <w:rtl/>
        </w:rPr>
        <w:t xml:space="preserve"> הרי זו מגורשת. נתגלגל ונפל על גבי קורה או על גבי סלע רחוק ממנה, אם היה המקום שנפל עליו אין בו ארבע אמות על ארבע אמות ואינו גבוה עשרה ואין לו שם לווי </w:t>
      </w:r>
      <w:r w:rsidR="00A82951">
        <w:rPr>
          <w:rFonts w:cs="Arial"/>
          <w:rtl/>
        </w:rPr>
        <w:t>-</w:t>
      </w:r>
      <w:r>
        <w:rPr>
          <w:rFonts w:cs="Arial"/>
          <w:rtl/>
        </w:rPr>
        <w:t xml:space="preserve"> הרי זה לא חלק רשות לעצמו וכאילו הוא והיא במקום אחד. ואם יש שם אחד משלשה דברים אלו </w:t>
      </w:r>
      <w:r w:rsidR="00A82951">
        <w:rPr>
          <w:rFonts w:cs="Arial"/>
          <w:rtl/>
        </w:rPr>
        <w:t>-</w:t>
      </w:r>
      <w:r>
        <w:rPr>
          <w:rFonts w:cs="Arial"/>
          <w:rtl/>
        </w:rPr>
        <w:t xml:space="preserve"> חלק רשות לעצמו ומקום אחד השאיל לה שני מקומות לא השאיל לה ואינה מגורשת עד שיגיע הגט לידה.</w:t>
      </w:r>
      <w:r>
        <w:rPr>
          <w:rtl/>
        </w:rPr>
        <w:t xml:space="preserve"> </w:t>
      </w:r>
    </w:p>
    <w:p w14:paraId="1554FD3C"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883AD14" w14:textId="77777777" w:rsidR="00FA2119" w:rsidRDefault="00FA2119" w:rsidP="00FA2119">
      <w:pPr>
        <w:rPr>
          <w:rtl/>
        </w:rPr>
      </w:pPr>
      <w:r>
        <w:rPr>
          <w:rFonts w:cs="Arial"/>
          <w:rtl/>
        </w:rPr>
        <w:t xml:space="preserve">השאיל לה הבעל מקום בחצרו ולא יחד לה, ונפל על גבי קורה או על גבי סלע, אם המקום שנפל אין בו ארבע אמות על ארבע אמות ואין גבוה עשרה ואין לו שם לווי, הרי זו מגורשת. ואם יש שם אחד מג' דברים אלו, חלק רשות </w:t>
      </w:r>
      <w:r>
        <w:rPr>
          <w:rFonts w:cs="Arial"/>
          <w:rtl/>
        </w:rPr>
        <w:lastRenderedPageBreak/>
        <w:t>לעצמה, ומקום אחד השאיל לה ולא שני מקומות, ואינה מגורשת. ויש מי שכתב שאף על פי שאין שם שום אחד משלשה דברים אלו אינה מגורשת עד שיהיה בתוך ארבע אמותיה</w:t>
      </w:r>
      <w:r>
        <w:rPr>
          <w:rStyle w:val="a7"/>
          <w:rFonts w:cs="Arial"/>
          <w:rtl/>
        </w:rPr>
        <w:footnoteReference w:id="1700"/>
      </w:r>
      <w:r>
        <w:rPr>
          <w:rFonts w:cs="Arial"/>
          <w:rtl/>
        </w:rPr>
        <w:t xml:space="preserve">. </w:t>
      </w:r>
    </w:p>
    <w:p w14:paraId="6E93C0A3" w14:textId="77777777" w:rsidR="00FA2119" w:rsidRDefault="00FA2119" w:rsidP="00FA2119">
      <w:pPr>
        <w:rPr>
          <w:rtl/>
        </w:rPr>
      </w:pPr>
    </w:p>
    <w:p w14:paraId="35522E78" w14:textId="77777777" w:rsidR="00FA2119" w:rsidRDefault="00FA2119" w:rsidP="00FA2119">
      <w:pPr>
        <w:pStyle w:val="2"/>
        <w:rPr>
          <w:rtl/>
        </w:rPr>
      </w:pPr>
      <w:r>
        <w:rPr>
          <w:rtl/>
        </w:rPr>
        <w:t>סעיף יב: השאיל לה גגו, ונפל הגט על גג הסמוך לו.</w:t>
      </w:r>
    </w:p>
    <w:p w14:paraId="2CCD71CF" w14:textId="77777777" w:rsidR="00FA2119" w:rsidRDefault="00FA2119" w:rsidP="00FA2119">
      <w:pPr>
        <w:rPr>
          <w:rFonts w:cs="Arial"/>
          <w:rtl/>
        </w:rPr>
      </w:pPr>
      <w:r>
        <w:rPr>
          <w:rFonts w:cs="Arial"/>
          <w:b/>
          <w:bCs/>
          <w:rtl/>
        </w:rPr>
        <w:t xml:space="preserve">גיטין </w:t>
      </w:r>
      <w:r>
        <w:rPr>
          <w:rFonts w:cs="Arial"/>
          <w:b/>
          <w:bCs/>
          <w:sz w:val="16"/>
          <w:szCs w:val="16"/>
          <w:rtl/>
        </w:rPr>
        <w:t>(פ' הזורק)</w:t>
      </w:r>
      <w:r>
        <w:rPr>
          <w:rFonts w:cs="Arial"/>
          <w:b/>
          <w:bCs/>
          <w:rtl/>
        </w:rPr>
        <w:t xml:space="preserve"> עט ע"א:</w:t>
      </w:r>
      <w:r>
        <w:rPr>
          <w:rFonts w:cs="Arial"/>
          <w:rtl/>
        </w:rPr>
        <w:t xml:space="preserve"> </w:t>
      </w:r>
      <w:r>
        <w:rPr>
          <w:rFonts w:cs="Arial"/>
          <w:u w:val="single"/>
          <w:rtl/>
        </w:rPr>
        <w:t>אמר רבא</w:t>
      </w:r>
      <w:r>
        <w:rPr>
          <w:rFonts w:cs="Arial"/>
          <w:rtl/>
        </w:rPr>
        <w:t>: שלש מדות בגיטין</w:t>
      </w:r>
      <w:r>
        <w:rPr>
          <w:rStyle w:val="a7"/>
          <w:rFonts w:cs="Arial"/>
          <w:rtl/>
        </w:rPr>
        <w:footnoteReference w:id="1701"/>
      </w:r>
      <w:r>
        <w:rPr>
          <w:rFonts w:cs="Arial"/>
          <w:rtl/>
        </w:rPr>
        <w:t xml:space="preserve">... </w:t>
      </w:r>
      <w:r>
        <w:rPr>
          <w:rFonts w:cs="Arial"/>
          <w:sz w:val="14"/>
          <w:szCs w:val="14"/>
          <w:rtl/>
        </w:rPr>
        <w:t xml:space="preserve">(עט:) </w:t>
      </w:r>
      <w:r>
        <w:rPr>
          <w:rFonts w:cs="Arial"/>
          <w:u w:val="single"/>
          <w:rtl/>
        </w:rPr>
        <w:t>והא דאמר רב יהודה אמר שמואל</w:t>
      </w:r>
      <w:r>
        <w:rPr>
          <w:rFonts w:cs="Arial"/>
          <w:rtl/>
        </w:rPr>
        <w:t>: לא יעמוד אדם בגג זה ויקלוט מי גשמים</w:t>
      </w:r>
      <w:r>
        <w:rPr>
          <w:rStyle w:val="a7"/>
          <w:rFonts w:cs="Arial"/>
          <w:rtl/>
        </w:rPr>
        <w:footnoteReference w:id="1702"/>
      </w:r>
      <w:r>
        <w:rPr>
          <w:rFonts w:cs="Arial"/>
          <w:rtl/>
        </w:rPr>
        <w:t xml:space="preserve"> מגגו של חבירו, שכשם שדיורין חלוקין מלמטה כך דיורין חלוקין מלמעלה, הני מילי לענין שבת, אבל לענין גט משום קפידא הוא, וכולי האי לא קפדי אינשי. </w:t>
      </w:r>
      <w:r>
        <w:rPr>
          <w:rFonts w:cs="Arial"/>
          <w:sz w:val="16"/>
          <w:szCs w:val="16"/>
          <w:rtl/>
        </w:rPr>
        <w:t xml:space="preserve">(הילכך היו לו שני גגין סמוכין זה לזה והשאילה מקום בזה לקבל את גיטה וקיבלתו בזה לא אמרינן הכא רשויות חלוקות דהא דאמרן לעיל תרי מקומות לא מושלי אינשי משום קפידא הוא יש משאיל חצרו ומקפיד על ביתו אבל כולי האי גגין סמוכין ואין תשמיש רגיל בהן לא קפדי אינשי, </w:t>
      </w:r>
      <w:r>
        <w:rPr>
          <w:rFonts w:cs="Arial"/>
          <w:b/>
          <w:bCs/>
          <w:sz w:val="16"/>
          <w:szCs w:val="16"/>
          <w:rtl/>
        </w:rPr>
        <w:t>רש"י</w:t>
      </w:r>
      <w:r>
        <w:rPr>
          <w:rFonts w:cs="Arial"/>
          <w:sz w:val="16"/>
          <w:szCs w:val="16"/>
          <w:rtl/>
        </w:rPr>
        <w:t xml:space="preserve">. ודברי </w:t>
      </w:r>
      <w:r>
        <w:rPr>
          <w:rFonts w:cs="Arial"/>
          <w:b/>
          <w:bCs/>
          <w:sz w:val="16"/>
          <w:szCs w:val="16"/>
          <w:rtl/>
        </w:rPr>
        <w:t>רבינו</w:t>
      </w:r>
      <w:r>
        <w:rPr>
          <w:rFonts w:cs="Arial"/>
          <w:sz w:val="16"/>
          <w:szCs w:val="16"/>
          <w:rtl/>
        </w:rPr>
        <w:t xml:space="preserve"> בה כפירוש רש"י (עט: ד"ה אבל בגיטין) וכן דעת </w:t>
      </w:r>
      <w:r>
        <w:rPr>
          <w:rFonts w:cs="Arial"/>
          <w:b/>
          <w:bCs/>
          <w:sz w:val="16"/>
          <w:szCs w:val="16"/>
          <w:rtl/>
        </w:rPr>
        <w:t>הראב"ד</w:t>
      </w:r>
      <w:r>
        <w:rPr>
          <w:rFonts w:cs="Arial"/>
          <w:sz w:val="16"/>
          <w:szCs w:val="16"/>
          <w:rtl/>
        </w:rPr>
        <w:t xml:space="preserve"> בהשגות. אבל</w:t>
      </w:r>
      <w:r>
        <w:rPr>
          <w:rFonts w:cs="Arial"/>
          <w:b/>
          <w:bCs/>
          <w:sz w:val="16"/>
          <w:szCs w:val="16"/>
          <w:rtl/>
        </w:rPr>
        <w:t xml:space="preserve"> הרמב"ם</w:t>
      </w:r>
      <w:r>
        <w:rPr>
          <w:rFonts w:cs="Arial"/>
          <w:sz w:val="16"/>
          <w:szCs w:val="16"/>
          <w:rtl/>
        </w:rPr>
        <w:t xml:space="preserve"> (פ"ה הי"א) כתב היתה עומדת על גגה וזרקו לה וכו', וטעם דבריו ביאר </w:t>
      </w:r>
      <w:r>
        <w:rPr>
          <w:rFonts w:cs="Arial"/>
          <w:b/>
          <w:bCs/>
          <w:sz w:val="16"/>
          <w:szCs w:val="16"/>
          <w:rtl/>
        </w:rPr>
        <w:t>הרשב"א</w:t>
      </w:r>
      <w:r>
        <w:rPr>
          <w:rFonts w:cs="Arial"/>
          <w:sz w:val="16"/>
          <w:szCs w:val="16"/>
          <w:rtl/>
        </w:rPr>
        <w:t xml:space="preserve"> בהזורק (שם ד"ה והא דאמר), ומכל מקום הוא ז"ל הסכים לפירוש רש"י, ב"י)</w:t>
      </w:r>
    </w:p>
    <w:p w14:paraId="6093DF39" w14:textId="77777777" w:rsidR="00FA2119" w:rsidRDefault="00FA2119" w:rsidP="00FA2119">
      <w:pPr>
        <w:rPr>
          <w:u w:val="single"/>
          <w:rtl/>
        </w:rPr>
      </w:pPr>
      <w:r>
        <w:rPr>
          <w:rFonts w:cs="Arial"/>
          <w:u w:val="single"/>
          <w:rtl/>
        </w:rPr>
        <w:t>השאיל לה גגו, ונפל הגט על גג הסמוך לו</w:t>
      </w:r>
      <w:r>
        <w:rPr>
          <w:u w:val="single"/>
          <w:rtl/>
        </w:rPr>
        <w:t>:</w:t>
      </w:r>
    </w:p>
    <w:p w14:paraId="23E7836C" w14:textId="078F297B" w:rsidR="00FA2119" w:rsidRDefault="00FA2119" w:rsidP="006A458D">
      <w:pPr>
        <w:pStyle w:val="ab"/>
        <w:numPr>
          <w:ilvl w:val="0"/>
          <w:numId w:val="96"/>
        </w:numPr>
        <w:rPr>
          <w:rtl/>
        </w:rPr>
      </w:pPr>
      <w:r>
        <w:rPr>
          <w:rFonts w:cs="Arial"/>
          <w:rtl/>
        </w:rPr>
        <w:t>טור</w:t>
      </w:r>
      <w:r w:rsidR="00A82951">
        <w:rPr>
          <w:rFonts w:cs="Arial"/>
          <w:rtl/>
        </w:rPr>
        <w:t>-</w:t>
      </w:r>
      <w:r>
        <w:rPr>
          <w:rFonts w:cs="Arial"/>
          <w:rtl/>
        </w:rPr>
        <w:t xml:space="preserve"> אבל אם השאיל לה גגו, ונפל הגט על גג אחד שיש לו אצלו </w:t>
      </w:r>
      <w:r w:rsidR="00A82951">
        <w:rPr>
          <w:rFonts w:cs="Arial"/>
          <w:rtl/>
        </w:rPr>
        <w:t>-</w:t>
      </w:r>
      <w:r>
        <w:rPr>
          <w:rFonts w:cs="Arial"/>
          <w:rtl/>
        </w:rPr>
        <w:t xml:space="preserve"> מגורשת, כיון שאין דיורין קבועין בגג אינו מקפיד עליו. </w:t>
      </w:r>
      <w:r>
        <w:rPr>
          <w:color w:val="E36C0A" w:themeColor="accent6" w:themeShade="BF"/>
          <w:rtl/>
        </w:rPr>
        <w:t>(וכ"פ בשו"ע)</w:t>
      </w:r>
    </w:p>
    <w:p w14:paraId="03A9876D" w14:textId="4D0BF6B4" w:rsidR="00FA2119" w:rsidRDefault="00FA2119" w:rsidP="006A458D">
      <w:pPr>
        <w:pStyle w:val="ab"/>
        <w:numPr>
          <w:ilvl w:val="0"/>
          <w:numId w:val="96"/>
        </w:numPr>
      </w:pPr>
      <w:r>
        <w:rPr>
          <w:rFonts w:cs="Arial"/>
          <w:rtl/>
        </w:rPr>
        <w:t xml:space="preserve">רמב"ם </w:t>
      </w:r>
      <w:r>
        <w:rPr>
          <w:rFonts w:cs="Arial"/>
          <w:sz w:val="16"/>
          <w:szCs w:val="16"/>
          <w:rtl/>
        </w:rPr>
        <w:t>(פ"ה הי"א)</w:t>
      </w:r>
      <w:r w:rsidR="00A82951">
        <w:rPr>
          <w:rFonts w:cs="Arial"/>
          <w:rtl/>
        </w:rPr>
        <w:t>-</w:t>
      </w:r>
      <w:r>
        <w:rPr>
          <w:rFonts w:cs="Arial"/>
          <w:rtl/>
        </w:rPr>
        <w:t xml:space="preserve"> היתה עומדת על גגה וזרקו לה ונפל בגג אחר סמוך לו, אם יכולה לפשוט ידה וליטלו הרי זו מגורשת, שאע"פ שדיורין חלוקין למעלה כשם שהן חלוקין למטה אין בני אדם מקפידין על מקום כיוצא בזה</w:t>
      </w:r>
      <w:r>
        <w:rPr>
          <w:rStyle w:val="a7"/>
          <w:rFonts w:cs="Arial"/>
          <w:rtl/>
        </w:rPr>
        <w:footnoteReference w:id="1703"/>
      </w:r>
      <w:r>
        <w:rPr>
          <w:rFonts w:cs="Arial"/>
          <w:rtl/>
        </w:rPr>
        <w:t xml:space="preserve">. </w:t>
      </w:r>
    </w:p>
    <w:p w14:paraId="19BD1520"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5E02CC4" w14:textId="77777777" w:rsidR="00FA2119" w:rsidRDefault="00FA2119" w:rsidP="00FA2119">
      <w:pPr>
        <w:rPr>
          <w:rtl/>
        </w:rPr>
      </w:pPr>
      <w:r>
        <w:rPr>
          <w:rFonts w:cs="Arial"/>
          <w:rtl/>
        </w:rPr>
        <w:t xml:space="preserve">השאיל לה גגו, ונפל הגט על גג שיש לו אצלו, מגורשת, כיון שאין דיורים קבועים בגג אינו מקפיד עליו. ויש מי שכתב שאפילו נפל הגט על גג של כל אדם, והיא יכולה לפשוט ידה וליטלו משם, הרי זו מגורשת. </w:t>
      </w:r>
    </w:p>
    <w:p w14:paraId="04222144" w14:textId="77777777" w:rsidR="00FA2119" w:rsidRDefault="00FA2119" w:rsidP="00FA2119">
      <w:pPr>
        <w:rPr>
          <w:rtl/>
        </w:rPr>
      </w:pPr>
    </w:p>
    <w:p w14:paraId="2C62DAD0" w14:textId="77777777" w:rsidR="00FA2119" w:rsidRDefault="00FA2119" w:rsidP="00FA2119">
      <w:pPr>
        <w:pStyle w:val="2"/>
        <w:rPr>
          <w:rtl/>
        </w:rPr>
      </w:pPr>
      <w:r>
        <w:rPr>
          <w:rtl/>
        </w:rPr>
        <w:t>סעיף יג: עמדה ברשות הרבים וזרק גט לתוך ד' אמותיה.</w:t>
      </w:r>
    </w:p>
    <w:p w14:paraId="67711E60" w14:textId="260A5C8F" w:rsidR="00FA2119" w:rsidRDefault="00FA2119" w:rsidP="00FA2119">
      <w:pPr>
        <w:rPr>
          <w:rFonts w:cs="Arial"/>
          <w:sz w:val="16"/>
          <w:szCs w:val="16"/>
          <w:rtl/>
        </w:rPr>
      </w:pPr>
      <w:r>
        <w:rPr>
          <w:rFonts w:cs="Arial"/>
          <w:b/>
          <w:bCs/>
          <w:rtl/>
        </w:rPr>
        <w:t xml:space="preserve">גיטין </w:t>
      </w:r>
      <w:r>
        <w:rPr>
          <w:rFonts w:cs="Arial"/>
          <w:b/>
          <w:bCs/>
          <w:sz w:val="16"/>
          <w:szCs w:val="16"/>
          <w:rtl/>
        </w:rPr>
        <w:t>(פ' הזורק)</w:t>
      </w:r>
      <w:r>
        <w:rPr>
          <w:rFonts w:cs="Arial"/>
          <w:b/>
          <w:bCs/>
          <w:rtl/>
        </w:rPr>
        <w:t xml:space="preserve"> עח ע"א:</w:t>
      </w:r>
      <w:r>
        <w:rPr>
          <w:rtl/>
        </w:rPr>
        <w:t xml:space="preserve"> </w:t>
      </w:r>
      <w:r>
        <w:rPr>
          <w:rFonts w:cs="Arial"/>
          <w:u w:val="double"/>
          <w:rtl/>
        </w:rPr>
        <w:t>מתני'</w:t>
      </w:r>
      <w:r>
        <w:rPr>
          <w:rFonts w:cs="Arial"/>
          <w:rtl/>
        </w:rPr>
        <w:t xml:space="preserve">: היתה עומדת ברשות הרבים וזרקו לה, קרוב לה </w:t>
      </w:r>
      <w:r w:rsidR="00A82951">
        <w:rPr>
          <w:rFonts w:cs="Arial"/>
          <w:rtl/>
        </w:rPr>
        <w:t>-</w:t>
      </w:r>
      <w:r>
        <w:rPr>
          <w:rFonts w:cs="Arial"/>
          <w:rtl/>
        </w:rPr>
        <w:t xml:space="preserve"> מגורשת, קרוב לו </w:t>
      </w:r>
      <w:r w:rsidR="00A82951">
        <w:rPr>
          <w:rFonts w:cs="Arial"/>
          <w:rtl/>
        </w:rPr>
        <w:t>-</w:t>
      </w:r>
      <w:r>
        <w:rPr>
          <w:rFonts w:cs="Arial"/>
          <w:rtl/>
        </w:rPr>
        <w:t xml:space="preserve"> אינה מגורשת, מחצה על מחצה </w:t>
      </w:r>
      <w:r w:rsidR="00A82951">
        <w:rPr>
          <w:rFonts w:cs="Arial"/>
          <w:rtl/>
        </w:rPr>
        <w:t>-</w:t>
      </w:r>
      <w:r>
        <w:rPr>
          <w:rFonts w:cs="Arial"/>
          <w:rtl/>
        </w:rPr>
        <w:t xml:space="preserve"> מגורשת ואינה מגורשת. וכן לענין קדושין</w:t>
      </w:r>
      <w:r>
        <w:rPr>
          <w:rtl/>
        </w:rPr>
        <w:t xml:space="preserve">. </w:t>
      </w:r>
      <w:r>
        <w:rPr>
          <w:rFonts w:cs="Arial"/>
          <w:rtl/>
        </w:rPr>
        <w:t xml:space="preserve">וכן לענין החוב...        </w:t>
      </w:r>
      <w:r>
        <w:rPr>
          <w:rFonts w:cs="Arial"/>
          <w:u w:val="double"/>
          <w:rtl/>
        </w:rPr>
        <w:t>גמ'</w:t>
      </w:r>
      <w:r>
        <w:rPr>
          <w:rFonts w:cs="Arial"/>
          <w:rtl/>
        </w:rPr>
        <w:t xml:space="preserve">: היכי דמי קרוב לה, והיכי דמי קרוב לו? </w:t>
      </w:r>
      <w:r>
        <w:rPr>
          <w:rFonts w:cs="Arial"/>
          <w:u w:val="single"/>
          <w:rtl/>
        </w:rPr>
        <w:t>אמר רב</w:t>
      </w:r>
      <w:r>
        <w:rPr>
          <w:rFonts w:cs="Arial"/>
          <w:rtl/>
        </w:rPr>
        <w:t xml:space="preserve">: ארבע אמות שלה </w:t>
      </w:r>
      <w:r w:rsidR="00A82951">
        <w:rPr>
          <w:rFonts w:cs="Arial"/>
          <w:rtl/>
        </w:rPr>
        <w:t>-</w:t>
      </w:r>
      <w:r>
        <w:rPr>
          <w:rFonts w:cs="Arial"/>
          <w:rtl/>
        </w:rPr>
        <w:t xml:space="preserve"> זהו קרוב לה, ארבע אמות שלו</w:t>
      </w:r>
      <w:r>
        <w:rPr>
          <w:rStyle w:val="a7"/>
          <w:rFonts w:cs="Arial"/>
          <w:rtl/>
        </w:rPr>
        <w:footnoteReference w:id="1704"/>
      </w:r>
      <w:r>
        <w:rPr>
          <w:rFonts w:cs="Arial"/>
          <w:rtl/>
        </w:rPr>
        <w:t xml:space="preserve"> </w:t>
      </w:r>
      <w:r w:rsidR="00A82951">
        <w:rPr>
          <w:rFonts w:cs="Arial"/>
          <w:rtl/>
        </w:rPr>
        <w:t>-</w:t>
      </w:r>
      <w:r>
        <w:rPr>
          <w:rFonts w:cs="Arial"/>
          <w:rtl/>
        </w:rPr>
        <w:t xml:space="preserve"> זהו קרוב לו</w:t>
      </w:r>
      <w:r>
        <w:rPr>
          <w:rStyle w:val="a7"/>
          <w:rFonts w:cs="Arial"/>
          <w:rtl/>
        </w:rPr>
        <w:footnoteReference w:id="1705"/>
      </w:r>
      <w:r>
        <w:rPr>
          <w:rFonts w:cs="Arial"/>
          <w:rtl/>
        </w:rPr>
        <w:t xml:space="preserve">. היכי דמי מחצה על מחצה? </w:t>
      </w:r>
      <w:r>
        <w:rPr>
          <w:rFonts w:cs="Arial"/>
          <w:u w:val="single"/>
          <w:rtl/>
        </w:rPr>
        <w:t>אמר ר' שמואל בר רב יצחק</w:t>
      </w:r>
      <w:r>
        <w:rPr>
          <w:rFonts w:cs="Arial"/>
          <w:rtl/>
        </w:rPr>
        <w:t>: כגון שהיו שניהן עומדין בארבע אמות</w:t>
      </w:r>
      <w:r>
        <w:rPr>
          <w:rStyle w:val="a7"/>
          <w:rFonts w:cs="Arial"/>
          <w:rtl/>
        </w:rPr>
        <w:footnoteReference w:id="1706"/>
      </w:r>
      <w:r>
        <w:rPr>
          <w:rFonts w:cs="Arial"/>
          <w:rtl/>
        </w:rPr>
        <w:t>. וליחזי הי מינייהו קדים</w:t>
      </w:r>
      <w:r>
        <w:rPr>
          <w:rStyle w:val="a7"/>
          <w:rFonts w:cs="Arial"/>
          <w:rtl/>
        </w:rPr>
        <w:footnoteReference w:id="1707"/>
      </w:r>
      <w:r>
        <w:rPr>
          <w:rFonts w:cs="Arial"/>
          <w:rtl/>
        </w:rPr>
        <w:t>? וכי תימא דאתו תרוייהו בהדי הדדי, והא אי אפשר לצמצם</w:t>
      </w:r>
      <w:r>
        <w:rPr>
          <w:rStyle w:val="a7"/>
          <w:rFonts w:cs="Arial"/>
          <w:rtl/>
        </w:rPr>
        <w:footnoteReference w:id="1708"/>
      </w:r>
      <w:r>
        <w:rPr>
          <w:rFonts w:cs="Arial"/>
          <w:rtl/>
        </w:rPr>
        <w:t xml:space="preserve">! </w:t>
      </w:r>
      <w:r>
        <w:rPr>
          <w:rFonts w:cs="Arial"/>
          <w:u w:val="single"/>
          <w:rtl/>
        </w:rPr>
        <w:t>אלא אמר רב כהנא</w:t>
      </w:r>
      <w:r>
        <w:rPr>
          <w:rFonts w:cs="Arial"/>
          <w:rtl/>
        </w:rPr>
        <w:t>: הכא בח' אמות מצומצמות</w:t>
      </w:r>
      <w:r>
        <w:rPr>
          <w:rStyle w:val="a7"/>
          <w:rFonts w:cs="Arial"/>
          <w:rtl/>
        </w:rPr>
        <w:footnoteReference w:id="1709"/>
      </w:r>
      <w:r>
        <w:rPr>
          <w:rFonts w:cs="Arial"/>
          <w:rtl/>
        </w:rPr>
        <w:t xml:space="preserve"> עסקינן,</w:t>
      </w:r>
      <w:r>
        <w:rPr>
          <w:sz w:val="14"/>
          <w:szCs w:val="14"/>
          <w:rtl/>
        </w:rPr>
        <w:t xml:space="preserve"> (עח:)</w:t>
      </w:r>
      <w:r>
        <w:rPr>
          <w:rtl/>
        </w:rPr>
        <w:t xml:space="preserve"> </w:t>
      </w:r>
      <w:r>
        <w:rPr>
          <w:rFonts w:cs="Arial"/>
          <w:rtl/>
        </w:rPr>
        <w:t>וגט יוצא</w:t>
      </w:r>
      <w:r>
        <w:rPr>
          <w:rStyle w:val="a7"/>
          <w:rFonts w:cs="Arial"/>
          <w:rtl/>
        </w:rPr>
        <w:footnoteReference w:id="1710"/>
      </w:r>
      <w:r>
        <w:rPr>
          <w:rFonts w:cs="Arial"/>
          <w:rtl/>
        </w:rPr>
        <w:t xml:space="preserve"> מארבע אמות שלו לד' אמות שלה. והא אגיד גביה</w:t>
      </w:r>
      <w:r>
        <w:rPr>
          <w:rStyle w:val="a7"/>
          <w:rFonts w:cs="Arial"/>
          <w:rtl/>
        </w:rPr>
        <w:footnoteReference w:id="1711"/>
      </w:r>
      <w:r>
        <w:rPr>
          <w:rFonts w:cs="Arial"/>
          <w:rtl/>
        </w:rPr>
        <w:t xml:space="preserve">! </w:t>
      </w:r>
      <w:r>
        <w:rPr>
          <w:rFonts w:cs="Arial"/>
          <w:u w:val="single"/>
          <w:rtl/>
        </w:rPr>
        <w:t>אלא רבה ורב יוסף דאמרי תרוייהו</w:t>
      </w:r>
      <w:r>
        <w:rPr>
          <w:rFonts w:cs="Arial"/>
          <w:rtl/>
        </w:rPr>
        <w:t xml:space="preserve">: הכא בשתי כיתי עדים </w:t>
      </w:r>
      <w:r>
        <w:rPr>
          <w:rFonts w:cs="Arial"/>
          <w:rtl/>
        </w:rPr>
        <w:lastRenderedPageBreak/>
        <w:t xml:space="preserve">עסקינן, אחת אומרת קרוב לו, ואחת אומרת קרוב לה. </w:t>
      </w:r>
      <w:r>
        <w:rPr>
          <w:rFonts w:cs="Arial"/>
          <w:u w:val="single"/>
          <w:rtl/>
        </w:rPr>
        <w:t>רבי יוחנן אומר</w:t>
      </w:r>
      <w:r>
        <w:rPr>
          <w:rFonts w:cs="Arial"/>
          <w:rtl/>
        </w:rPr>
        <w:t xml:space="preserve">: קרוב לה </w:t>
      </w:r>
      <w:r w:rsidR="00A82951">
        <w:rPr>
          <w:rFonts w:cs="Arial"/>
          <w:rtl/>
        </w:rPr>
        <w:t>-</w:t>
      </w:r>
      <w:r>
        <w:rPr>
          <w:rFonts w:cs="Arial"/>
          <w:rtl/>
        </w:rPr>
        <w:t xml:space="preserve"> שנינו אפילו מאה אמה, וקרוב לו </w:t>
      </w:r>
      <w:r w:rsidR="00A82951">
        <w:rPr>
          <w:rFonts w:cs="Arial"/>
          <w:rtl/>
        </w:rPr>
        <w:t>-</w:t>
      </w:r>
      <w:r>
        <w:rPr>
          <w:rFonts w:cs="Arial"/>
          <w:rtl/>
        </w:rPr>
        <w:t xml:space="preserve"> שנינו אפילו מאה אמה. היכי דמי מחצה על מחצה? </w:t>
      </w:r>
      <w:r>
        <w:rPr>
          <w:rFonts w:cs="Arial"/>
          <w:u w:val="single"/>
          <w:rtl/>
        </w:rPr>
        <w:t>אמר רב שמן בר אבא לדידי מיפרשא לה מיניה דרבי יוחנן</w:t>
      </w:r>
      <w:r>
        <w:rPr>
          <w:rFonts w:cs="Arial"/>
          <w:rtl/>
        </w:rPr>
        <w:t xml:space="preserve">: הוא יכול לשומרו והיא אינה יכולה לשומרו </w:t>
      </w:r>
      <w:r w:rsidR="00A82951">
        <w:rPr>
          <w:rFonts w:cs="Arial"/>
          <w:rtl/>
        </w:rPr>
        <w:t>-</w:t>
      </w:r>
      <w:r>
        <w:rPr>
          <w:rFonts w:cs="Arial"/>
          <w:rtl/>
        </w:rPr>
        <w:t xml:space="preserve"> זהו קרוב לו, היא יכולה לשומרו והוא אינו יכול לשומרו </w:t>
      </w:r>
      <w:r w:rsidR="00A82951">
        <w:rPr>
          <w:rFonts w:cs="Arial"/>
          <w:rtl/>
        </w:rPr>
        <w:t>-</w:t>
      </w:r>
      <w:r>
        <w:rPr>
          <w:rFonts w:cs="Arial"/>
          <w:rtl/>
        </w:rPr>
        <w:t xml:space="preserve"> זהו קרוב לה</w:t>
      </w:r>
      <w:r>
        <w:rPr>
          <w:rStyle w:val="a7"/>
          <w:rFonts w:cs="Arial"/>
          <w:rtl/>
        </w:rPr>
        <w:footnoteReference w:id="1712"/>
      </w:r>
      <w:r>
        <w:rPr>
          <w:rFonts w:cs="Arial"/>
          <w:rtl/>
        </w:rPr>
        <w:t>. שניהם יכולין לשומרו, שניהם אין יכולין</w:t>
      </w:r>
      <w:r>
        <w:rPr>
          <w:rStyle w:val="a7"/>
          <w:rFonts w:cs="Arial"/>
          <w:rtl/>
        </w:rPr>
        <w:footnoteReference w:id="1713"/>
      </w:r>
      <w:r>
        <w:rPr>
          <w:rFonts w:cs="Arial"/>
          <w:rtl/>
        </w:rPr>
        <w:t xml:space="preserve"> </w:t>
      </w:r>
      <w:r w:rsidR="00A82951">
        <w:rPr>
          <w:rFonts w:cs="Arial"/>
          <w:rtl/>
        </w:rPr>
        <w:t>-</w:t>
      </w:r>
      <w:r>
        <w:rPr>
          <w:rFonts w:cs="Arial"/>
          <w:rtl/>
        </w:rPr>
        <w:t xml:space="preserve"> זהו מחצה על מחצה. </w:t>
      </w:r>
      <w:r>
        <w:rPr>
          <w:rFonts w:cs="Arial"/>
          <w:u w:val="single"/>
          <w:rtl/>
        </w:rPr>
        <w:t>אמרוה רבנן קמיה דרבי יוחנן</w:t>
      </w:r>
      <w:r>
        <w:rPr>
          <w:rStyle w:val="a7"/>
          <w:rFonts w:cs="Arial"/>
          <w:u w:val="single"/>
          <w:rtl/>
        </w:rPr>
        <w:footnoteReference w:id="1714"/>
      </w:r>
      <w:r>
        <w:rPr>
          <w:rFonts w:cs="Arial"/>
          <w:u w:val="single"/>
          <w:rtl/>
        </w:rPr>
        <w:t xml:space="preserve"> משמיה דרבי יונתן</w:t>
      </w:r>
      <w:r>
        <w:rPr>
          <w:rFonts w:cs="Arial"/>
          <w:rtl/>
        </w:rPr>
        <w:t xml:space="preserve"> הכי</w:t>
      </w:r>
      <w:r>
        <w:rPr>
          <w:rStyle w:val="a7"/>
          <w:rFonts w:cs="Arial"/>
          <w:rtl/>
        </w:rPr>
        <w:footnoteReference w:id="1715"/>
      </w:r>
      <w:r>
        <w:rPr>
          <w:rFonts w:cs="Arial"/>
          <w:rtl/>
        </w:rPr>
        <w:t xml:space="preserve">. </w:t>
      </w:r>
      <w:r>
        <w:rPr>
          <w:rFonts w:cs="Arial"/>
          <w:u w:val="single"/>
          <w:rtl/>
        </w:rPr>
        <w:t>אמר</w:t>
      </w:r>
      <w:r>
        <w:rPr>
          <w:rFonts w:cs="Arial"/>
          <w:rtl/>
        </w:rPr>
        <w:t>: ידעין חברין בבלאי לפרושי כי האי טעמא. תניא נמי הכי</w:t>
      </w:r>
      <w:r>
        <w:rPr>
          <w:rStyle w:val="a7"/>
          <w:rFonts w:cs="Arial"/>
          <w:rtl/>
        </w:rPr>
        <w:footnoteReference w:id="1716"/>
      </w:r>
      <w:r>
        <w:rPr>
          <w:rFonts w:cs="Arial"/>
          <w:rtl/>
        </w:rPr>
        <w:t xml:space="preserve">, </w:t>
      </w:r>
      <w:r>
        <w:rPr>
          <w:rFonts w:cs="Arial"/>
          <w:u w:val="single"/>
          <w:rtl/>
        </w:rPr>
        <w:t>רבי אליעזר אומר</w:t>
      </w:r>
      <w:r>
        <w:rPr>
          <w:rFonts w:cs="Arial"/>
          <w:rtl/>
        </w:rPr>
        <w:t>: כל שהוא קרוב לה מלו</w:t>
      </w:r>
      <w:r>
        <w:rPr>
          <w:rStyle w:val="a7"/>
          <w:rFonts w:cs="Arial"/>
          <w:rtl/>
        </w:rPr>
        <w:footnoteReference w:id="1717"/>
      </w:r>
      <w:r>
        <w:rPr>
          <w:rFonts w:cs="Arial"/>
          <w:rtl/>
        </w:rPr>
        <w:t xml:space="preserve">, ובא כלב ונטלו </w:t>
      </w:r>
      <w:r w:rsidR="00A82951">
        <w:rPr>
          <w:rFonts w:cs="Arial"/>
          <w:rtl/>
        </w:rPr>
        <w:t>-</w:t>
      </w:r>
      <w:r>
        <w:rPr>
          <w:rFonts w:cs="Arial"/>
          <w:rtl/>
        </w:rPr>
        <w:t xml:space="preserve"> אינה מגורשת. אינה מגורשת? כל היכי תינטריה ותיזיל</w:t>
      </w:r>
      <w:r>
        <w:rPr>
          <w:rStyle w:val="a7"/>
          <w:rFonts w:cs="Arial"/>
          <w:rtl/>
        </w:rPr>
        <w:footnoteReference w:id="1718"/>
      </w:r>
      <w:r>
        <w:rPr>
          <w:rFonts w:cs="Arial"/>
          <w:rtl/>
        </w:rPr>
        <w:t>? אלא לאו, ה"ק</w:t>
      </w:r>
      <w:r>
        <w:rPr>
          <w:rStyle w:val="a7"/>
          <w:rFonts w:cs="Arial"/>
          <w:rtl/>
        </w:rPr>
        <w:footnoteReference w:id="1719"/>
      </w:r>
      <w:r>
        <w:rPr>
          <w:rFonts w:cs="Arial"/>
          <w:rtl/>
        </w:rPr>
        <w:t xml:space="preserve">: כל שקרוב לה מלו, ואילו בא כלב ונטלו והוא יכול לשומרו והיא אינה יכולה לשומרו </w:t>
      </w:r>
      <w:r w:rsidR="00A82951">
        <w:rPr>
          <w:rFonts w:cs="Arial"/>
          <w:rtl/>
        </w:rPr>
        <w:t>-</w:t>
      </w:r>
      <w:r>
        <w:rPr>
          <w:rFonts w:cs="Arial"/>
          <w:rtl/>
        </w:rPr>
        <w:t xml:space="preserve"> אינה מגורשת. </w:t>
      </w:r>
      <w:r>
        <w:rPr>
          <w:rFonts w:cs="Arial"/>
          <w:u w:val="single"/>
          <w:rtl/>
        </w:rPr>
        <w:t>אמר ליה שמואל לרב יהודה</w:t>
      </w:r>
      <w:r>
        <w:rPr>
          <w:rFonts w:cs="Arial"/>
          <w:rtl/>
        </w:rPr>
        <w:t>: שיננא, כדי שתשוח ותטלנו</w:t>
      </w:r>
      <w:r>
        <w:rPr>
          <w:rStyle w:val="a7"/>
          <w:rFonts w:cs="Arial"/>
          <w:rtl/>
        </w:rPr>
        <w:footnoteReference w:id="1720"/>
      </w:r>
      <w:r>
        <w:rPr>
          <w:rFonts w:cs="Arial"/>
          <w:rtl/>
        </w:rPr>
        <w:t>, ואת לא תעביד עובדא עד דמטי גיטא לידה</w:t>
      </w:r>
      <w:r>
        <w:rPr>
          <w:rStyle w:val="a7"/>
          <w:rFonts w:cs="Arial"/>
          <w:rtl/>
        </w:rPr>
        <w:footnoteReference w:id="1721"/>
      </w:r>
      <w:r>
        <w:rPr>
          <w:rFonts w:cs="Arial"/>
          <w:rtl/>
        </w:rPr>
        <w:t xml:space="preserve">. </w:t>
      </w:r>
      <w:r>
        <w:rPr>
          <w:rFonts w:cs="Arial"/>
          <w:u w:val="single"/>
          <w:rtl/>
        </w:rPr>
        <w:t>אמר ליה רב מרדכי לרב אשי</w:t>
      </w:r>
      <w:r>
        <w:rPr>
          <w:rFonts w:cs="Arial"/>
          <w:rtl/>
        </w:rPr>
        <w:t>: הוה עובדא</w:t>
      </w:r>
      <w:r>
        <w:rPr>
          <w:rStyle w:val="a7"/>
          <w:rFonts w:cs="Arial"/>
          <w:rtl/>
        </w:rPr>
        <w:footnoteReference w:id="1722"/>
      </w:r>
      <w:r>
        <w:rPr>
          <w:rFonts w:cs="Arial"/>
          <w:rtl/>
        </w:rPr>
        <w:t xml:space="preserve"> הכי ואצרכוה חליצה.</w:t>
      </w:r>
      <w:r>
        <w:rPr>
          <w:rFonts w:cs="Arial"/>
          <w:sz w:val="16"/>
          <w:szCs w:val="16"/>
          <w:rtl/>
        </w:rPr>
        <w:t xml:space="preserve">  </w:t>
      </w:r>
    </w:p>
    <w:p w14:paraId="79A72748" w14:textId="77777777" w:rsidR="00FA2119" w:rsidRDefault="00FA2119" w:rsidP="00FA2119">
      <w:pPr>
        <w:rPr>
          <w:u w:val="single"/>
          <w:rtl/>
        </w:rPr>
      </w:pPr>
      <w:r>
        <w:rPr>
          <w:u w:val="single"/>
          <w:rtl/>
        </w:rPr>
        <w:t>עמדה ברשות הרבים וזרק לתוך ד' אמותיה:</w:t>
      </w:r>
    </w:p>
    <w:p w14:paraId="1C9AF044" w14:textId="13808B87" w:rsidR="00FA2119" w:rsidRDefault="00FA2119" w:rsidP="006A458D">
      <w:pPr>
        <w:pStyle w:val="ab"/>
        <w:numPr>
          <w:ilvl w:val="0"/>
          <w:numId w:val="96"/>
        </w:numPr>
        <w:rPr>
          <w:rtl/>
        </w:rPr>
      </w:pPr>
      <w:r>
        <w:rPr>
          <w:rFonts w:cs="Arial"/>
          <w:rtl/>
        </w:rPr>
        <w:t xml:space="preserve">רא"ש </w:t>
      </w:r>
      <w:r>
        <w:rPr>
          <w:rFonts w:cs="Arial"/>
          <w:sz w:val="16"/>
          <w:szCs w:val="16"/>
          <w:rtl/>
        </w:rPr>
        <w:t>(סי' ו, כ"כ הטור בשמו)</w:t>
      </w:r>
      <w:r>
        <w:rPr>
          <w:rFonts w:cs="Arial"/>
          <w:rtl/>
        </w:rPr>
        <w:t xml:space="preserve"> וטור</w:t>
      </w:r>
      <w:r w:rsidR="00A82951">
        <w:rPr>
          <w:rFonts w:cs="Arial"/>
          <w:rtl/>
        </w:rPr>
        <w:t>-</w:t>
      </w:r>
      <w:r>
        <w:rPr>
          <w:rFonts w:cs="Arial"/>
          <w:rtl/>
        </w:rPr>
        <w:t xml:space="preserve"> היתה עומדת ברשות הרבים וזרקו לתוך ד' אמותיה </w:t>
      </w:r>
      <w:r w:rsidR="00A82951">
        <w:rPr>
          <w:rFonts w:cs="Arial"/>
          <w:rtl/>
        </w:rPr>
        <w:t>-</w:t>
      </w:r>
      <w:r>
        <w:rPr>
          <w:rFonts w:cs="Arial"/>
          <w:rtl/>
        </w:rPr>
        <w:t xml:space="preserve"> מגורשת</w:t>
      </w:r>
      <w:r>
        <w:rPr>
          <w:rStyle w:val="a7"/>
          <w:rFonts w:cs="Arial"/>
          <w:rtl/>
        </w:rPr>
        <w:footnoteReference w:id="1723"/>
      </w:r>
      <w:r>
        <w:rPr>
          <w:rFonts w:cs="Arial"/>
          <w:rtl/>
        </w:rPr>
        <w:t xml:space="preserve">. בד"א שאין הבעל עומד עמה בתוך ד' אמותיה, אבל אם עומד עמה בתוכן, אפילו קדמה היא וזכתה בהן </w:t>
      </w:r>
      <w:r w:rsidR="00A82951">
        <w:rPr>
          <w:rFonts w:cs="Arial"/>
          <w:rtl/>
        </w:rPr>
        <w:t>-</w:t>
      </w:r>
      <w:r>
        <w:rPr>
          <w:rFonts w:cs="Arial"/>
          <w:rtl/>
        </w:rPr>
        <w:t xml:space="preserve"> אינה מגורשת</w:t>
      </w:r>
      <w:r>
        <w:rPr>
          <w:rStyle w:val="a7"/>
          <w:rFonts w:cs="Arial"/>
          <w:rtl/>
        </w:rPr>
        <w:footnoteReference w:id="1724"/>
      </w:r>
      <w:r>
        <w:rPr>
          <w:rFonts w:cs="Arial"/>
          <w:rtl/>
        </w:rPr>
        <w:t xml:space="preserve"> עד שיגיע לידה. וכן אם זרקו לה ברשות הרבים והוא רחוק ממנה, אפילו אם היא יכולה לשמרו ולא הוא </w:t>
      </w:r>
      <w:r w:rsidR="00A82951">
        <w:rPr>
          <w:rFonts w:cs="Arial"/>
          <w:rtl/>
        </w:rPr>
        <w:t>-</w:t>
      </w:r>
      <w:r>
        <w:rPr>
          <w:rFonts w:cs="Arial"/>
          <w:rtl/>
        </w:rPr>
        <w:t xml:space="preserve"> אינה מגורשת</w:t>
      </w:r>
      <w:r>
        <w:rPr>
          <w:rStyle w:val="a7"/>
          <w:rFonts w:cs="Arial"/>
          <w:rtl/>
        </w:rPr>
        <w:footnoteReference w:id="1725"/>
      </w:r>
      <w:r>
        <w:rPr>
          <w:rFonts w:cs="Arial"/>
          <w:rtl/>
        </w:rPr>
        <w:t xml:space="preserve"> עד שיגיע לידה. שנים אומרים הגיע לתוך ד' אמותיה, ושנים אומרים לא הגיע </w:t>
      </w:r>
      <w:r w:rsidR="00A82951">
        <w:rPr>
          <w:rFonts w:cs="Arial"/>
          <w:rtl/>
        </w:rPr>
        <w:t>-</w:t>
      </w:r>
      <w:r>
        <w:rPr>
          <w:rFonts w:cs="Arial"/>
          <w:rtl/>
        </w:rPr>
        <w:t xml:space="preserve"> הוי ספק מגורשת</w:t>
      </w:r>
      <w:r>
        <w:rPr>
          <w:rFonts w:cs="Arial"/>
          <w:sz w:val="16"/>
          <w:szCs w:val="16"/>
          <w:rtl/>
        </w:rPr>
        <w:t xml:space="preserve"> (ל' הטור)</w:t>
      </w:r>
      <w:r>
        <w:rPr>
          <w:rFonts w:cs="Arial"/>
          <w:rtl/>
        </w:rPr>
        <w:t xml:space="preserve">. </w:t>
      </w:r>
    </w:p>
    <w:p w14:paraId="7F0024F6" w14:textId="2F2AFEAF" w:rsidR="00FA2119" w:rsidRDefault="00FA2119" w:rsidP="006A458D">
      <w:pPr>
        <w:pStyle w:val="ab"/>
        <w:numPr>
          <w:ilvl w:val="0"/>
          <w:numId w:val="96"/>
        </w:numPr>
        <w:rPr>
          <w:rFonts w:cs="Arial"/>
        </w:rPr>
      </w:pPr>
      <w:r>
        <w:rPr>
          <w:rFonts w:cs="Arial"/>
          <w:rtl/>
        </w:rPr>
        <w:t xml:space="preserve">רמב"ם </w:t>
      </w:r>
      <w:r>
        <w:rPr>
          <w:rFonts w:cs="Arial"/>
          <w:sz w:val="16"/>
          <w:szCs w:val="16"/>
          <w:rtl/>
        </w:rPr>
        <w:t>(פ"ה הי"ג</w:t>
      </w:r>
      <w:r w:rsidR="00A82951">
        <w:rPr>
          <w:rFonts w:cs="Arial"/>
          <w:sz w:val="16"/>
          <w:szCs w:val="16"/>
          <w:rtl/>
        </w:rPr>
        <w:t>-</w:t>
      </w:r>
      <w:r>
        <w:rPr>
          <w:rFonts w:cs="Arial"/>
          <w:sz w:val="16"/>
          <w:szCs w:val="16"/>
          <w:rtl/>
        </w:rPr>
        <w:t>טו)</w:t>
      </w:r>
      <w:r w:rsidR="00A82951">
        <w:rPr>
          <w:rFonts w:cs="Arial"/>
          <w:rtl/>
        </w:rPr>
        <w:t>-</w:t>
      </w:r>
      <w:r>
        <w:rPr>
          <w:rFonts w:cs="Arial"/>
          <w:rtl/>
        </w:rPr>
        <w:t xml:space="preserve"> זרקו לה ברשות הרבים או ברשות שאינה של שניהם</w:t>
      </w:r>
      <w:r>
        <w:rPr>
          <w:rStyle w:val="a7"/>
          <w:rFonts w:cs="Arial"/>
          <w:rtl/>
        </w:rPr>
        <w:footnoteReference w:id="1726"/>
      </w:r>
      <w:r>
        <w:rPr>
          <w:rFonts w:cs="Arial"/>
          <w:rtl/>
        </w:rPr>
        <w:t xml:space="preserve"> קרוב לו </w:t>
      </w:r>
      <w:r w:rsidR="00A82951">
        <w:rPr>
          <w:rFonts w:cs="Arial"/>
          <w:rtl/>
        </w:rPr>
        <w:t>-</w:t>
      </w:r>
      <w:r>
        <w:rPr>
          <w:rFonts w:cs="Arial"/>
          <w:rtl/>
        </w:rPr>
        <w:t xml:space="preserve"> אינה מגורשת. היה הגט מחצה על מחצה וממחצה על מחצה עד שיהיה קרוב לה </w:t>
      </w:r>
      <w:r w:rsidR="00A82951">
        <w:rPr>
          <w:rFonts w:cs="Arial"/>
          <w:rtl/>
        </w:rPr>
        <w:t>-</w:t>
      </w:r>
      <w:r>
        <w:rPr>
          <w:rFonts w:cs="Arial"/>
          <w:rtl/>
        </w:rPr>
        <w:t xml:space="preserve"> הרי זו ספק מגורשת. היה קרוב לה כדי </w:t>
      </w:r>
      <w:r>
        <w:rPr>
          <w:rFonts w:cs="Arial"/>
          <w:rtl/>
        </w:rPr>
        <w:lastRenderedPageBreak/>
        <w:t xml:space="preserve">שתשוח ותטלנו </w:t>
      </w:r>
      <w:r w:rsidR="00A82951">
        <w:rPr>
          <w:rFonts w:cs="Arial"/>
          <w:rtl/>
        </w:rPr>
        <w:t>-</w:t>
      </w:r>
      <w:r>
        <w:rPr>
          <w:rFonts w:cs="Arial"/>
          <w:rtl/>
        </w:rPr>
        <w:t xml:space="preserve"> הרי זה פסול עד שיגיע גט לידה ואח"כ תנשא בו לכתחלה. כיצד הוא קרוב לו, היה הוא יכול לשמרו והיא אינה יכולה לשמרו </w:t>
      </w:r>
      <w:r w:rsidR="00A82951">
        <w:rPr>
          <w:rFonts w:cs="Arial"/>
          <w:rtl/>
        </w:rPr>
        <w:t>-</w:t>
      </w:r>
      <w:r>
        <w:rPr>
          <w:rFonts w:cs="Arial"/>
          <w:rtl/>
        </w:rPr>
        <w:t xml:space="preserve"> זהו קרוב לו. שניהם יכולים לשמרו או שניהם אין יכולים לשמרו </w:t>
      </w:r>
      <w:r w:rsidR="00A82951">
        <w:rPr>
          <w:rFonts w:cs="Arial"/>
          <w:rtl/>
        </w:rPr>
        <w:t>-</w:t>
      </w:r>
      <w:r>
        <w:rPr>
          <w:rFonts w:cs="Arial"/>
          <w:rtl/>
        </w:rPr>
        <w:t xml:space="preserve"> זהו מחצה למחצה. בא הוא תחלה ועמד, ואח"כ עמדה היא כנגדו וזרקו לה, [אם היה הגט בתוך ארבע אמות שלו </w:t>
      </w:r>
      <w:r w:rsidR="00A82951">
        <w:rPr>
          <w:rFonts w:cs="Arial"/>
          <w:rtl/>
        </w:rPr>
        <w:t>-</w:t>
      </w:r>
      <w:r>
        <w:rPr>
          <w:rFonts w:cs="Arial"/>
          <w:rtl/>
        </w:rPr>
        <w:t xml:space="preserve"> אינה מגורשת אע"פ שאם תשוח תטלנו. עמדה היא תחלה ובא הוא ועמד כנגדה וזרקו לה] אע"פ שהוא מחצה על מחצה הואיל והוא לתוך ארבע אמות שלה </w:t>
      </w:r>
      <w:r w:rsidR="00A82951">
        <w:rPr>
          <w:rFonts w:cs="Arial"/>
          <w:rtl/>
        </w:rPr>
        <w:t>-</w:t>
      </w:r>
      <w:r>
        <w:rPr>
          <w:rFonts w:cs="Arial"/>
          <w:rtl/>
        </w:rPr>
        <w:t xml:space="preserve"> הרי זה גט פסול עד שיגיע הגט לידה</w:t>
      </w:r>
      <w:r>
        <w:rPr>
          <w:rStyle w:val="a7"/>
          <w:rFonts w:cs="Arial"/>
          <w:rtl/>
        </w:rPr>
        <w:footnoteReference w:id="1727"/>
      </w:r>
      <w:r>
        <w:rPr>
          <w:rFonts w:cs="Arial"/>
          <w:rtl/>
        </w:rPr>
        <w:t xml:space="preserve">. </w:t>
      </w:r>
      <w:r>
        <w:rPr>
          <w:rFonts w:cs="Arial"/>
          <w:color w:val="E36C0A" w:themeColor="accent6" w:themeShade="BF"/>
          <w:rtl/>
        </w:rPr>
        <w:t>(וכ"פ בשו"ע</w:t>
      </w:r>
      <w:r>
        <w:rPr>
          <w:rFonts w:cs="Arial"/>
          <w:color w:val="E36C0A" w:themeColor="accent6" w:themeShade="BF"/>
          <w:sz w:val="16"/>
          <w:szCs w:val="16"/>
          <w:rtl/>
        </w:rPr>
        <w:t xml:space="preserve"> </w:t>
      </w:r>
      <w:r>
        <w:rPr>
          <w:rFonts w:cs="Arial"/>
          <w:sz w:val="16"/>
          <w:szCs w:val="16"/>
          <w:rtl/>
        </w:rPr>
        <w:t>[כאן ובסע' הבא]</w:t>
      </w:r>
      <w:r>
        <w:rPr>
          <w:rFonts w:cs="Arial"/>
          <w:color w:val="E36C0A" w:themeColor="accent6" w:themeShade="BF"/>
          <w:rtl/>
        </w:rPr>
        <w:t>)</w:t>
      </w:r>
    </w:p>
    <w:p w14:paraId="4396DD6A" w14:textId="0AECC5C4" w:rsidR="00FA2119" w:rsidRDefault="00FA2119" w:rsidP="006A458D">
      <w:pPr>
        <w:pStyle w:val="ab"/>
        <w:numPr>
          <w:ilvl w:val="0"/>
          <w:numId w:val="96"/>
        </w:numPr>
      </w:pPr>
      <w:r>
        <w:rPr>
          <w:rtl/>
        </w:rPr>
        <w:t>רי"ף</w:t>
      </w:r>
      <w:r>
        <w:rPr>
          <w:sz w:val="16"/>
          <w:szCs w:val="16"/>
          <w:rtl/>
        </w:rPr>
        <w:t xml:space="preserve"> (מ:)</w:t>
      </w:r>
      <w:r w:rsidR="00A82951">
        <w:rPr>
          <w:rtl/>
        </w:rPr>
        <w:t>-</w:t>
      </w:r>
      <w:r>
        <w:rPr>
          <w:rtl/>
        </w:rPr>
        <w:t xml:space="preserve"> </w:t>
      </w:r>
      <w:r>
        <w:rPr>
          <w:rFonts w:cs="Arial"/>
          <w:rtl/>
        </w:rPr>
        <w:t>היכי דמי קרוב לה א"ל שמואל לרב יהודה כדי שתשוח ותטלנו ואת לא תעביד עובדא עד דמטי גיטא לידה א"ל רב מרדכי לרב אשי הוי עובדא ואצרכוה חליצה</w:t>
      </w:r>
      <w:r>
        <w:rPr>
          <w:rStyle w:val="a7"/>
          <w:rFonts w:cs="Arial"/>
          <w:rtl/>
        </w:rPr>
        <w:footnoteReference w:id="1728"/>
      </w:r>
      <w:r>
        <w:rPr>
          <w:rFonts w:cs="Arial"/>
          <w:rtl/>
        </w:rPr>
        <w:t>.</w:t>
      </w:r>
    </w:p>
    <w:p w14:paraId="0DB902A7" w14:textId="12E38DDD" w:rsidR="00FA2119" w:rsidRDefault="00FA2119" w:rsidP="006A458D">
      <w:pPr>
        <w:pStyle w:val="ab"/>
        <w:numPr>
          <w:ilvl w:val="0"/>
          <w:numId w:val="96"/>
        </w:numPr>
      </w:pPr>
      <w:r>
        <w:rPr>
          <w:rFonts w:cs="Arial"/>
          <w:rtl/>
        </w:rPr>
        <w:t xml:space="preserve">ר"ח </w:t>
      </w:r>
      <w:r>
        <w:rPr>
          <w:rFonts w:cs="Arial"/>
          <w:sz w:val="16"/>
          <w:szCs w:val="16"/>
          <w:rtl/>
        </w:rPr>
        <w:t>(כ"כ הטור והר"ן בשמו)</w:t>
      </w:r>
      <w:r w:rsidR="00A82951">
        <w:rPr>
          <w:rFonts w:cs="Arial"/>
          <w:rtl/>
        </w:rPr>
        <w:t>-</w:t>
      </w:r>
      <w:r>
        <w:rPr>
          <w:rFonts w:cs="Arial"/>
          <w:rtl/>
        </w:rPr>
        <w:t xml:space="preserve"> אנו קבלנו מרבותינו שאפילו זרקו לה בחצרה לא משתריא לעלמא עד דמטי גיטא לידה</w:t>
      </w:r>
      <w:r>
        <w:rPr>
          <w:rStyle w:val="a7"/>
          <w:rFonts w:cs="Arial"/>
          <w:rtl/>
        </w:rPr>
        <w:footnoteReference w:id="1729"/>
      </w:r>
      <w:r>
        <w:rPr>
          <w:rFonts w:cs="Arial"/>
          <w:sz w:val="16"/>
          <w:szCs w:val="16"/>
          <w:rtl/>
        </w:rPr>
        <w:t xml:space="preserve"> (ל' הר"ן בשמו)</w:t>
      </w:r>
      <w:r>
        <w:rPr>
          <w:rFonts w:cs="Arial"/>
          <w:rtl/>
        </w:rPr>
        <w:t>.</w:t>
      </w:r>
      <w:r>
        <w:rPr>
          <w:rFonts w:cs="Arial"/>
          <w:color w:val="00B0F0"/>
          <w:rtl/>
        </w:rPr>
        <w:t xml:space="preserve"> (וכ"פ הרמ"א)</w:t>
      </w:r>
    </w:p>
    <w:p w14:paraId="0DA77DAA" w14:textId="43F3F118" w:rsidR="00FA2119" w:rsidRDefault="00FA2119" w:rsidP="006A458D">
      <w:pPr>
        <w:pStyle w:val="ab"/>
        <w:numPr>
          <w:ilvl w:val="0"/>
          <w:numId w:val="101"/>
        </w:numPr>
        <w:rPr>
          <w:rFonts w:cs="Arial"/>
          <w:rtl/>
        </w:rPr>
      </w:pPr>
      <w:r>
        <w:rPr>
          <w:rFonts w:cs="Arial"/>
          <w:rtl/>
        </w:rPr>
        <w:t>ר"ן</w:t>
      </w:r>
      <w:r>
        <w:rPr>
          <w:rFonts w:cs="Arial"/>
          <w:sz w:val="16"/>
          <w:szCs w:val="16"/>
          <w:rtl/>
        </w:rPr>
        <w:t xml:space="preserve"> (שם)</w:t>
      </w:r>
      <w:r w:rsidR="00A82951">
        <w:rPr>
          <w:rFonts w:cs="Arial"/>
          <w:rtl/>
        </w:rPr>
        <w:t>-</w:t>
      </w:r>
      <w:r>
        <w:rPr>
          <w:rFonts w:cs="Arial"/>
          <w:rtl/>
        </w:rPr>
        <w:t xml:space="preserve"> </w:t>
      </w:r>
      <w:r>
        <w:rPr>
          <w:rStyle w:val="a7"/>
          <w:rFonts w:cs="Arial"/>
          <w:rtl/>
        </w:rPr>
        <w:footnoteReference w:id="1730"/>
      </w:r>
      <w:r>
        <w:rPr>
          <w:rFonts w:cs="Arial"/>
          <w:rtl/>
        </w:rPr>
        <w:t xml:space="preserve">הרי"ף לא הביא בהלכות אלא הא דשמואל, ובודאי דלענין דלא נעביד בה עובדא עד שיגיע הגט לידה מסקנא דשמעתין היא דהוה עובדא ואצרכוה חליצה. אלא מיהו לענין פלוגתא דשמואל ורבי יוחנן לענין </w:t>
      </w:r>
      <w:r>
        <w:rPr>
          <w:rFonts w:cs="Arial"/>
          <w:rtl/>
        </w:rPr>
        <w:lastRenderedPageBreak/>
        <w:t xml:space="preserve">קרוב לה נראה לי דקיי"ל כרבי יוחנן, ונפקא מינה שכל שהיא יכולה לשמרו ואפילו מאה אמה </w:t>
      </w:r>
      <w:r w:rsidR="00A82951">
        <w:rPr>
          <w:rFonts w:cs="Arial"/>
          <w:rtl/>
        </w:rPr>
        <w:t>-</w:t>
      </w:r>
      <w:r>
        <w:rPr>
          <w:rFonts w:cs="Arial"/>
          <w:rtl/>
        </w:rPr>
        <w:t xml:space="preserve"> אם נישאת לא תצא.</w:t>
      </w:r>
    </w:p>
    <w:p w14:paraId="6D8C90B0" w14:textId="7E253EBF" w:rsidR="00FA2119" w:rsidRDefault="00FA2119" w:rsidP="006A458D">
      <w:pPr>
        <w:pStyle w:val="ab"/>
        <w:numPr>
          <w:ilvl w:val="0"/>
          <w:numId w:val="101"/>
        </w:numPr>
        <w:rPr>
          <w:rFonts w:cs="Arial"/>
        </w:rPr>
      </w:pPr>
      <w:r>
        <w:rPr>
          <w:rFonts w:cs="Arial"/>
          <w:rtl/>
        </w:rPr>
        <w:t xml:space="preserve">רמ"ה </w:t>
      </w:r>
      <w:r>
        <w:rPr>
          <w:rFonts w:cs="Arial"/>
          <w:sz w:val="16"/>
          <w:szCs w:val="16"/>
          <w:rtl/>
        </w:rPr>
        <w:t>(כ"כ רי"ו בשמו [ח"ה נכ"ד ריא ע"ג])</w:t>
      </w:r>
      <w:r w:rsidR="00A82951">
        <w:rPr>
          <w:rFonts w:cs="Arial"/>
          <w:rtl/>
        </w:rPr>
        <w:t>-</w:t>
      </w:r>
      <w:r>
        <w:rPr>
          <w:rFonts w:cs="Arial"/>
          <w:rtl/>
        </w:rPr>
        <w:t xml:space="preserve"> בחצר שלה </w:t>
      </w:r>
      <w:r w:rsidR="00A82951">
        <w:rPr>
          <w:rFonts w:cs="Arial"/>
          <w:rtl/>
        </w:rPr>
        <w:t>-</w:t>
      </w:r>
      <w:r>
        <w:rPr>
          <w:rFonts w:cs="Arial"/>
          <w:rtl/>
        </w:rPr>
        <w:t xml:space="preserve"> מגורשת אפילו קרוב לו וחוץ לארבע אמות שלה. וברשות הרבים </w:t>
      </w:r>
      <w:r w:rsidR="00A82951">
        <w:rPr>
          <w:rFonts w:cs="Arial"/>
          <w:rtl/>
        </w:rPr>
        <w:t>-</w:t>
      </w:r>
      <w:r>
        <w:rPr>
          <w:rFonts w:cs="Arial"/>
          <w:rtl/>
        </w:rPr>
        <w:t xml:space="preserve"> דוקא בארבע אמות שלה, אבל חוץ לארבע אמות </w:t>
      </w:r>
      <w:r w:rsidR="00A82951">
        <w:rPr>
          <w:rFonts w:cs="Arial"/>
          <w:rtl/>
        </w:rPr>
        <w:t>-</w:t>
      </w:r>
      <w:r>
        <w:rPr>
          <w:rFonts w:cs="Arial"/>
          <w:rtl/>
        </w:rPr>
        <w:t xml:space="preserve"> לא מיגרשא ואפילו קרוב לה. ובחצר שאינה שלה או בחצר שאינה של שניהם</w:t>
      </w:r>
      <w:r>
        <w:rPr>
          <w:rStyle w:val="a7"/>
          <w:rFonts w:cs="Arial"/>
          <w:rtl/>
        </w:rPr>
        <w:footnoteReference w:id="1731"/>
      </w:r>
      <w:r>
        <w:rPr>
          <w:rFonts w:cs="Arial"/>
          <w:rtl/>
        </w:rPr>
        <w:t xml:space="preserve"> </w:t>
      </w:r>
      <w:r w:rsidR="00A82951">
        <w:rPr>
          <w:rFonts w:cs="Arial"/>
          <w:rtl/>
        </w:rPr>
        <w:t>-</w:t>
      </w:r>
      <w:r>
        <w:rPr>
          <w:rFonts w:cs="Arial"/>
          <w:rtl/>
        </w:rPr>
        <w:t xml:space="preserve"> לא מיגרשא אפילו תוך ארבע אמות שלה, פשוט בפרק ארבעה אחין. </w:t>
      </w:r>
    </w:p>
    <w:p w14:paraId="4497970A" w14:textId="77777777" w:rsidR="00FA2119" w:rsidRDefault="00FA2119" w:rsidP="00FA2119">
      <w:pPr>
        <w:rPr>
          <w:rFonts w:cs="Arial"/>
          <w:u w:val="single"/>
        </w:rPr>
      </w:pPr>
      <w:r>
        <w:rPr>
          <w:rFonts w:cs="Arial"/>
          <w:u w:val="single"/>
          <w:rtl/>
        </w:rPr>
        <w:t>בעל שזרק גט לאשתו בבית הכנסת תוך ארבע אמותיה:</w:t>
      </w:r>
    </w:p>
    <w:p w14:paraId="068A3214" w14:textId="75EF28F8" w:rsidR="00FA2119" w:rsidRDefault="00FA2119" w:rsidP="006A458D">
      <w:pPr>
        <w:pStyle w:val="ab"/>
        <w:numPr>
          <w:ilvl w:val="0"/>
          <w:numId w:val="101"/>
        </w:numPr>
        <w:rPr>
          <w:rFonts w:cs="Arial"/>
        </w:rPr>
      </w:pPr>
      <w:r>
        <w:rPr>
          <w:rFonts w:cs="Arial"/>
          <w:rtl/>
        </w:rPr>
        <w:t xml:space="preserve">ריב"ש </w:t>
      </w:r>
      <w:r>
        <w:rPr>
          <w:rFonts w:cs="Arial"/>
          <w:sz w:val="16"/>
          <w:szCs w:val="16"/>
          <w:rtl/>
        </w:rPr>
        <w:t>(סי' רה)</w:t>
      </w:r>
      <w:r w:rsidR="00A82951">
        <w:rPr>
          <w:rFonts w:cs="Arial"/>
          <w:rtl/>
        </w:rPr>
        <w:t>-</w:t>
      </w:r>
      <w:r>
        <w:rPr>
          <w:rFonts w:cs="Arial"/>
          <w:rtl/>
        </w:rPr>
        <w:t xml:space="preserve"> מי שזרק גט לאשתו בבית הכנסת תוך ארבע אמותיה ולא נתנו לידה </w:t>
      </w:r>
      <w:r w:rsidR="00A82951">
        <w:rPr>
          <w:rFonts w:cs="Arial"/>
          <w:rtl/>
        </w:rPr>
        <w:t>-</w:t>
      </w:r>
      <w:r>
        <w:rPr>
          <w:rFonts w:cs="Arial"/>
          <w:rtl/>
        </w:rPr>
        <w:t xml:space="preserve"> אם נישאת לא תצא</w:t>
      </w:r>
      <w:r>
        <w:rPr>
          <w:rStyle w:val="a7"/>
          <w:rFonts w:cs="Arial"/>
          <w:rtl/>
        </w:rPr>
        <w:footnoteReference w:id="1732"/>
      </w:r>
      <w:r>
        <w:rPr>
          <w:rFonts w:cs="Arial"/>
          <w:rtl/>
        </w:rPr>
        <w:t>, שלא נאמרו הדברים אלא דוקא להשיאה לכתחלה שאין זה אלא חומרא בעלמא כדקאמר ואת לא תעביד עובדא עד דמטי גיטא לידה. וכל שכן שבשטר המסירה כתוב שנפל על בגדיה, וזו הרי היא כמטא גיטא לידה</w:t>
      </w:r>
      <w:r>
        <w:rPr>
          <w:rStyle w:val="a7"/>
          <w:rFonts w:cs="Arial"/>
          <w:rtl/>
        </w:rPr>
        <w:footnoteReference w:id="1733"/>
      </w:r>
      <w:r>
        <w:rPr>
          <w:rFonts w:cs="Arial"/>
          <w:rtl/>
        </w:rPr>
        <w:t>. ואע"פ שהעד לא חתם ברצונו, אם לא היה כן לא היה חותם על שקר. ובאמת שאם נישאת שלא ברצון דייני העיר היה ראוי להוכיח הנושא והנישאת ולייסרם בסילוא דלא מבע דמא (כתובות צא.) לפי שעברו והקילו בספק ערוה החמורה.</w:t>
      </w:r>
    </w:p>
    <w:p w14:paraId="7EAFDBC4"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B8ED861" w14:textId="77777777" w:rsidR="00FA2119" w:rsidRDefault="00FA2119" w:rsidP="00FA2119">
      <w:pPr>
        <w:rPr>
          <w:rtl/>
        </w:rPr>
      </w:pPr>
      <w:r>
        <w:rPr>
          <w:rFonts w:cs="Arial"/>
          <w:rtl/>
        </w:rPr>
        <w:t>זרקו לה ברשות הרבים, או ברשות שאינה של שניהם, קרוב לו אינה מגורשת. היה הגט מחצה למחצה</w:t>
      </w:r>
      <w:r>
        <w:rPr>
          <w:rStyle w:val="a7"/>
          <w:rFonts w:cs="Arial"/>
          <w:rtl/>
        </w:rPr>
        <w:footnoteReference w:id="1734"/>
      </w:r>
      <w:r>
        <w:rPr>
          <w:rFonts w:cs="Arial"/>
          <w:rtl/>
        </w:rPr>
        <w:t>, וממחצה למחצה עד שיהיה קרוב לה, הרי זו ספק מגורשת</w:t>
      </w:r>
      <w:r>
        <w:rPr>
          <w:rStyle w:val="a7"/>
          <w:rFonts w:cs="Arial"/>
          <w:rtl/>
        </w:rPr>
        <w:footnoteReference w:id="1735"/>
      </w:r>
      <w:r>
        <w:rPr>
          <w:rFonts w:cs="Arial"/>
          <w:rtl/>
        </w:rPr>
        <w:t xml:space="preserve">. היה קרוב לה כדי שתשוח ותטלנו, הרי זה פסול עד שיגיע לידה, ואחר כך תנשא בו לכתחלה. כיצד הוא קרוב לו, היה הוא יכול לשומרו והיא אינה יכולה לשומרו, זה הוא קרוב לו. שניהם יכולים לשומרו, או שניהם אינם יכולים לשומרו, זהו מחצה למחצה. </w:t>
      </w:r>
    </w:p>
    <w:p w14:paraId="720FC38C" w14:textId="77777777" w:rsidR="00FA2119" w:rsidRDefault="00FA2119" w:rsidP="00FA2119">
      <w:pPr>
        <w:rPr>
          <w:rtl/>
        </w:rPr>
      </w:pPr>
    </w:p>
    <w:p w14:paraId="61CDC88B" w14:textId="77777777" w:rsidR="00FA2119" w:rsidRDefault="00FA2119" w:rsidP="00FA2119">
      <w:pPr>
        <w:pStyle w:val="2"/>
        <w:rPr>
          <w:rtl/>
        </w:rPr>
      </w:pPr>
      <w:r>
        <w:rPr>
          <w:rtl/>
        </w:rPr>
        <w:t>סעיף יד: המשך הנ"ל.</w:t>
      </w:r>
    </w:p>
    <w:p w14:paraId="2E9371E9" w14:textId="77777777" w:rsidR="00FA2119" w:rsidRDefault="00FA2119" w:rsidP="00FA2119">
      <w:pPr>
        <w:rPr>
          <w:rtl/>
        </w:rPr>
      </w:pPr>
      <w:r>
        <w:rPr>
          <w:rtl/>
        </w:rPr>
        <w:t>עיין במקורות בסעיף הקודם.</w:t>
      </w:r>
    </w:p>
    <w:p w14:paraId="6985C352" w14:textId="77777777" w:rsidR="00FA2119" w:rsidRDefault="00FA2119" w:rsidP="00FA2119">
      <w:pPr>
        <w:rPr>
          <w:rtl/>
        </w:rPr>
      </w:pPr>
      <w:r>
        <w:rPr>
          <w:u w:val="single"/>
          <w:rtl/>
        </w:rPr>
        <w:t>כיצד יש ליתן את הגט לכתחילה לכל הדעות:</w:t>
      </w:r>
    </w:p>
    <w:p w14:paraId="4BA30C29" w14:textId="6F4F05C4" w:rsidR="00FA2119" w:rsidRDefault="00FA2119" w:rsidP="006A458D">
      <w:pPr>
        <w:pStyle w:val="ab"/>
        <w:numPr>
          <w:ilvl w:val="0"/>
          <w:numId w:val="101"/>
        </w:numPr>
        <w:rPr>
          <w:rtl/>
        </w:rPr>
      </w:pPr>
      <w:r>
        <w:rPr>
          <w:rFonts w:cs="Arial"/>
          <w:rtl/>
        </w:rPr>
        <w:t xml:space="preserve">ר"פ </w:t>
      </w:r>
      <w:r>
        <w:rPr>
          <w:rFonts w:cs="Arial"/>
          <w:sz w:val="16"/>
          <w:szCs w:val="16"/>
          <w:rtl/>
        </w:rPr>
        <w:t>(סי' קפד בהגהות הר"ף אות ה)</w:t>
      </w:r>
      <w:r>
        <w:rPr>
          <w:rFonts w:cs="Arial"/>
          <w:rtl/>
        </w:rPr>
        <w:t xml:space="preserve"> מרדכי </w:t>
      </w:r>
      <w:r>
        <w:rPr>
          <w:rFonts w:cs="Arial"/>
          <w:sz w:val="16"/>
          <w:szCs w:val="16"/>
          <w:rtl/>
        </w:rPr>
        <w:t>(סי' תלז)</w:t>
      </w:r>
      <w:r>
        <w:rPr>
          <w:rFonts w:cs="Arial"/>
          <w:rtl/>
        </w:rPr>
        <w:t xml:space="preserve"> כל בו </w:t>
      </w:r>
      <w:r>
        <w:rPr>
          <w:rFonts w:cs="Arial"/>
          <w:sz w:val="16"/>
          <w:szCs w:val="16"/>
          <w:rtl/>
        </w:rPr>
        <w:t xml:space="preserve">(סי' עו מו ע"ד) </w:t>
      </w:r>
      <w:r>
        <w:rPr>
          <w:rFonts w:cs="Arial"/>
          <w:rtl/>
        </w:rPr>
        <w:t xml:space="preserve">והגה"מ </w:t>
      </w:r>
      <w:r>
        <w:rPr>
          <w:rFonts w:cs="Arial"/>
          <w:sz w:val="16"/>
          <w:szCs w:val="16"/>
          <w:rtl/>
        </w:rPr>
        <w:t>(פ"ה ה"א)</w:t>
      </w:r>
      <w:r w:rsidR="00A82951">
        <w:rPr>
          <w:rFonts w:cs="Arial"/>
          <w:rtl/>
        </w:rPr>
        <w:t>-</w:t>
      </w:r>
      <w:r>
        <w:rPr>
          <w:rFonts w:cs="Arial"/>
          <w:rtl/>
        </w:rPr>
        <w:t xml:space="preserve"> נהגו העם שלא לגרש ע"י נתינת גט תוך ביתה או חצרה ואפילו בתוך קלתה או מלבושה. והטעם פירש רבינו יחיאל לפי שלפעמים מלבושיה שאולים ואולי הבעלים מקפידים על כך, וא"כ לא הוי גיטא כיון דלאו להכי אושלינהו. לכך טוב ליתן הגט לידה ממש. וידה תהיה פתוחה מתחלת הנתינה עד גמר הנתינה. וכן כתב רבינו פרץ בן רבינו אליהו</w:t>
      </w:r>
      <w:r>
        <w:rPr>
          <w:rFonts w:cs="Arial"/>
          <w:sz w:val="16"/>
          <w:szCs w:val="16"/>
          <w:rtl/>
        </w:rPr>
        <w:t xml:space="preserve"> (ל' המרדכי)</w:t>
      </w:r>
      <w:r>
        <w:rPr>
          <w:rFonts w:cs="Arial"/>
          <w:rtl/>
        </w:rPr>
        <w:t>.</w:t>
      </w:r>
      <w:r>
        <w:rPr>
          <w:rFonts w:cs="Arial"/>
          <w:color w:val="00B0F0"/>
          <w:rtl/>
        </w:rPr>
        <w:t xml:space="preserve"> (וכ"פ הרמ"א)</w:t>
      </w:r>
      <w:r>
        <w:rPr>
          <w:rFonts w:cs="Arial"/>
          <w:rtl/>
        </w:rPr>
        <w:t xml:space="preserve"> </w:t>
      </w:r>
    </w:p>
    <w:p w14:paraId="491665E6" w14:textId="77777777" w:rsidR="00FA2119" w:rsidRDefault="00FA2119" w:rsidP="00FA2119">
      <w:r>
        <w:rPr>
          <w:rFonts w:cs="Arial"/>
          <w:u w:val="single"/>
          <w:rtl/>
        </w:rPr>
        <w:t>הנהגות בנתינת הגט:</w:t>
      </w:r>
      <w:r>
        <w:rPr>
          <w:rFonts w:cs="Arial"/>
          <w:rtl/>
        </w:rPr>
        <w:t xml:space="preserve"> </w:t>
      </w:r>
      <w:r>
        <w:rPr>
          <w:rFonts w:cs="Arial"/>
          <w:sz w:val="16"/>
          <w:szCs w:val="16"/>
          <w:rtl/>
        </w:rPr>
        <w:t>(דרכ"מ אות ד)</w:t>
      </w:r>
      <w:r>
        <w:rPr>
          <w:rFonts w:cs="Arial"/>
          <w:rtl/>
        </w:rPr>
        <w:t xml:space="preserve"> </w:t>
      </w:r>
    </w:p>
    <w:p w14:paraId="7B4FFCB2" w14:textId="2DA16FC8" w:rsidR="00FA2119" w:rsidRDefault="00FA2119" w:rsidP="006A458D">
      <w:pPr>
        <w:pStyle w:val="ab"/>
        <w:numPr>
          <w:ilvl w:val="0"/>
          <w:numId w:val="101"/>
        </w:numPr>
      </w:pPr>
      <w:r>
        <w:rPr>
          <w:rFonts w:cs="Arial"/>
          <w:rtl/>
        </w:rPr>
        <w:t xml:space="preserve">סדר גיטין </w:t>
      </w:r>
      <w:r>
        <w:rPr>
          <w:rFonts w:cs="Arial"/>
          <w:sz w:val="16"/>
          <w:szCs w:val="16"/>
          <w:rtl/>
        </w:rPr>
        <w:t>(סי' נח סט"ז, סי' סז, וסי' סט</w:t>
      </w:r>
      <w:r w:rsidR="00A82951">
        <w:rPr>
          <w:rFonts w:cs="Arial"/>
          <w:sz w:val="16"/>
          <w:szCs w:val="16"/>
          <w:rtl/>
        </w:rPr>
        <w:t>-</w:t>
      </w:r>
      <w:r>
        <w:rPr>
          <w:rFonts w:cs="Arial"/>
          <w:sz w:val="16"/>
          <w:szCs w:val="16"/>
          <w:rtl/>
        </w:rPr>
        <w:t>ע)</w:t>
      </w:r>
      <w:r w:rsidR="00A82951">
        <w:rPr>
          <w:rFonts w:cs="Arial"/>
          <w:rtl/>
        </w:rPr>
        <w:t>-</w:t>
      </w:r>
      <w:r>
        <w:rPr>
          <w:rFonts w:cs="Arial"/>
          <w:rtl/>
        </w:rPr>
        <w:t xml:space="preserve"> נוהגין שהאשה מכנסת הגט תחת סרבלה או בגדיה וגם תסגור ידיה לאחר שנתן לה הבעל הגט... ותזהר שלא יהיו ידיה קרובות לארץ שלשה טפחים דהוי כלבוד... וצריכה ליזהר שלא יהיה בידיה שום דבר כמו טבעת או שאר דברים, וכן הוא בסמ"ג. ולא יגע שום דבר בידיה בשעה שמקבלת גיטה, ואם נגע צריך לחזור ולגרשה. ומעשה אירע לפני ה"ר פרץ באשה שסייעה לה אשה אחרת </w:t>
      </w:r>
      <w:r>
        <w:rPr>
          <w:rFonts w:cs="Arial"/>
          <w:rtl/>
        </w:rPr>
        <w:lastRenderedPageBreak/>
        <w:t>לקפוץ ידיה והצריכה ה"ר פרץ לקבל הגט פעם שנית עכ"ל סמ"ק. ומטעם זה צריכים להסיר כל דבר מידה דשמא יהא צר לה בידה ותקפוץ ידיה משום זה והוי כקפצה ע"י דבר אחר.</w:t>
      </w:r>
      <w:r>
        <w:rPr>
          <w:rFonts w:cs="Arial"/>
          <w:color w:val="00B0F0"/>
          <w:rtl/>
        </w:rPr>
        <w:t xml:space="preserve"> (וכ"פ הרמ"א</w:t>
      </w:r>
      <w:r>
        <w:rPr>
          <w:rFonts w:cs="Arial"/>
          <w:color w:val="00B0F0"/>
          <w:sz w:val="16"/>
          <w:szCs w:val="16"/>
          <w:rtl/>
        </w:rPr>
        <w:t xml:space="preserve"> </w:t>
      </w:r>
      <w:r>
        <w:rPr>
          <w:rFonts w:cs="Arial"/>
          <w:color w:val="000000" w:themeColor="text1"/>
          <w:sz w:val="16"/>
          <w:szCs w:val="16"/>
          <w:rtl/>
        </w:rPr>
        <w:t>[כאן ובסע' טו]</w:t>
      </w:r>
      <w:r>
        <w:rPr>
          <w:rFonts w:cs="Arial"/>
          <w:color w:val="00B0F0"/>
          <w:rtl/>
        </w:rPr>
        <w:t>)</w:t>
      </w:r>
    </w:p>
    <w:p w14:paraId="469E3831"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EDE8FA2" w14:textId="77777777" w:rsidR="00FA2119" w:rsidRDefault="00FA2119" w:rsidP="00FA2119">
      <w:pPr>
        <w:rPr>
          <w:rtl/>
        </w:rPr>
      </w:pPr>
      <w:r>
        <w:rPr>
          <w:rFonts w:cs="Arial"/>
          <w:rtl/>
        </w:rPr>
        <w:t xml:space="preserve">בא הוא תחלה ועמד, ואחר כך עמדה היא כנגדו, וזרקו לה, אם היה הגט בתוך ארבע אמות שלו, אינה מגורשת, אף על פי שאם תשוח תטלנו. עמדה היא תחלה, ובא הוא ועמד כנגדה וזרקו לה, אף על פי שהוא מחצה למחצה, הואיל והיא לתוך ארבע אמות שלה, הרי זה גט פסול, עד שיגיע הגט לידה. </w:t>
      </w:r>
      <w:r>
        <w:rPr>
          <w:rFonts w:cs="Arial"/>
          <w:sz w:val="18"/>
          <w:szCs w:val="18"/>
          <w:rtl/>
        </w:rPr>
        <w:t>הגה: אבל אם זרק לה לתוך ארבע אמות שלה, ואין הבעל נכנס לתוכו, הרי זו מגורשת. וכל זה מדינא, אבל לכתחלה אין לגרש, אפילו ליתן הגט לתוך חצירה או לתוך מלבושיה, אלא לתוך ידה ממש, וידה תהא פתוחה מתחלת הנתינה עד סופה (מרדכי פרק הזורק וסמ"ק וכל בו), כמו שנתבאר לעיל סי' קל"ח. ואפילו בדיעבד אין להתירה לעלמא עד שבא הגט לידה ממש. ונהגו עוד שלאחר שנתן לה הגט תסגור ידיה ותכניסנו תחת בגדיה, ותזהר שלא יסייע לה שום אדם בקבלתו, גם לא יהא שום דבר כגון טבעת בידה וכיוצא בזה בשעת קבלתו (הכל בסדר הגט).</w:t>
      </w:r>
      <w:r>
        <w:rPr>
          <w:rFonts w:cs="Arial"/>
          <w:rtl/>
        </w:rPr>
        <w:t xml:space="preserve"> </w:t>
      </w:r>
    </w:p>
    <w:p w14:paraId="7B391FE7" w14:textId="77777777" w:rsidR="00FA2119" w:rsidRDefault="00FA2119" w:rsidP="00FA2119">
      <w:pPr>
        <w:rPr>
          <w:rtl/>
        </w:rPr>
      </w:pPr>
    </w:p>
    <w:p w14:paraId="5989C9E4" w14:textId="77777777" w:rsidR="00FA2119" w:rsidRDefault="00FA2119" w:rsidP="00FA2119">
      <w:pPr>
        <w:pStyle w:val="2"/>
        <w:rPr>
          <w:rtl/>
        </w:rPr>
      </w:pPr>
      <w:r>
        <w:rPr>
          <w:rtl/>
        </w:rPr>
        <w:t>סעיף טו: היתה ידה קטפרס</w:t>
      </w:r>
      <w:r>
        <w:rPr>
          <w:sz w:val="18"/>
          <w:szCs w:val="18"/>
          <w:rtl/>
        </w:rPr>
        <w:t xml:space="preserve"> (משופעת)</w:t>
      </w:r>
      <w:r>
        <w:rPr>
          <w:rtl/>
        </w:rPr>
        <w:t>, וזרקו לתוכה ונפל.</w:t>
      </w:r>
    </w:p>
    <w:p w14:paraId="16131C1A" w14:textId="0CA42135" w:rsidR="00FA2119" w:rsidRDefault="00FA2119" w:rsidP="00FA2119">
      <w:pPr>
        <w:rPr>
          <w:rFonts w:cs="Arial"/>
          <w:rtl/>
        </w:rPr>
      </w:pPr>
      <w:r>
        <w:rPr>
          <w:rFonts w:cs="Arial"/>
          <w:b/>
          <w:bCs/>
          <w:rtl/>
        </w:rPr>
        <w:t xml:space="preserve">גיטין </w:t>
      </w:r>
      <w:r>
        <w:rPr>
          <w:rFonts w:cs="Arial"/>
          <w:b/>
          <w:bCs/>
          <w:sz w:val="16"/>
          <w:szCs w:val="16"/>
          <w:rtl/>
        </w:rPr>
        <w:t>(פ' הזורק)</w:t>
      </w:r>
      <w:r>
        <w:rPr>
          <w:rFonts w:cs="Arial"/>
          <w:b/>
          <w:bCs/>
          <w:rtl/>
        </w:rPr>
        <w:t xml:space="preserve"> עח ע"ב:</w:t>
      </w:r>
      <w:r>
        <w:rPr>
          <w:rFonts w:cs="Arial"/>
          <w:rtl/>
        </w:rPr>
        <w:t xml:space="preserve"> </w:t>
      </w:r>
      <w:r>
        <w:rPr>
          <w:rFonts w:cs="Arial"/>
          <w:u w:val="single"/>
          <w:rtl/>
        </w:rPr>
        <w:t>אמר רב יהודה</w:t>
      </w:r>
      <w:r>
        <w:rPr>
          <w:rFonts w:cs="Arial"/>
          <w:rtl/>
        </w:rPr>
        <w:t xml:space="preserve">: היתה ידה עשויה כקטפרס וזרקו לה, אף על פי שהגיע גט לידה </w:t>
      </w:r>
      <w:r w:rsidR="00A82951">
        <w:rPr>
          <w:rFonts w:cs="Arial"/>
          <w:rtl/>
        </w:rPr>
        <w:t>-</w:t>
      </w:r>
      <w:r>
        <w:rPr>
          <w:rFonts w:cs="Arial"/>
          <w:rtl/>
        </w:rPr>
        <w:t xml:space="preserve"> אינה מגורשת. אמאי? הא כי נפיל </w:t>
      </w:r>
      <w:r w:rsidR="00A82951">
        <w:rPr>
          <w:rFonts w:cs="Arial"/>
          <w:rtl/>
        </w:rPr>
        <w:t>-</w:t>
      </w:r>
      <w:r>
        <w:rPr>
          <w:rFonts w:cs="Arial"/>
          <w:rtl/>
        </w:rPr>
        <w:t xml:space="preserve"> בארבע אמות דידה קא נפיל! בדלא נח. ותיגרש מאוירא דארבע אמות! תפשוט דבעי רבי אלעזר: ארבע אמות שאמרו, יש להן אויר או אין להן אויר? תפשוט דאין להן אויר? הכא במאי עסקינן </w:t>
      </w:r>
      <w:r w:rsidR="00A82951">
        <w:rPr>
          <w:rFonts w:cs="Arial"/>
          <w:rtl/>
        </w:rPr>
        <w:t>-</w:t>
      </w:r>
      <w:r>
        <w:rPr>
          <w:rFonts w:cs="Arial"/>
          <w:rtl/>
        </w:rPr>
        <w:t xml:space="preserve"> בעומדת על גב הנהר, דמעיקרא לאיבוד קאי. </w:t>
      </w:r>
      <w:r>
        <w:rPr>
          <w:rFonts w:cs="Arial"/>
          <w:sz w:val="16"/>
          <w:szCs w:val="16"/>
          <w:rtl/>
        </w:rPr>
        <w:t>(וכתב הר"ן (מא. ד"ה גרסינן בגמ') דהא דלא איפשיטא לן אויר ארבע אמות אי קני אי לא קני היינו במקום שאינו רשותה, דכיון דארבע אמות תקנתא דרבנן נינהו כי היכי דלא ליתי לאינצויי (ב"מ י.) אפשר דארעא תקון, אוירא לא תקון, אבל ברשות הקנויה לאדם פשיטא שיש לו אויר, דהא שלו הוא מתהום ארעא עד רום רקיעא</w:t>
      </w:r>
      <w:r>
        <w:rPr>
          <w:rStyle w:val="a7"/>
          <w:rFonts w:cs="Arial"/>
          <w:sz w:val="16"/>
          <w:szCs w:val="16"/>
          <w:rtl/>
        </w:rPr>
        <w:footnoteReference w:id="1736"/>
      </w:r>
      <w:r>
        <w:rPr>
          <w:rFonts w:cs="Arial"/>
          <w:sz w:val="16"/>
          <w:szCs w:val="16"/>
          <w:rtl/>
        </w:rPr>
        <w:t xml:space="preserve">. וכתב עוד דהא דמשמע דפשיטא לן דבתוך ארבע אמות מגורשת הני מילי במקום שארבע אמות קונות, אבל ברשות הרבים לדידן דקיי"ל (שם:) שאינן קונות אלא בסימטא </w:t>
      </w:r>
      <w:r w:rsidR="00A82951">
        <w:rPr>
          <w:rFonts w:cs="Arial"/>
          <w:sz w:val="16"/>
          <w:szCs w:val="16"/>
          <w:rtl/>
        </w:rPr>
        <w:t>-</w:t>
      </w:r>
      <w:r>
        <w:rPr>
          <w:rFonts w:cs="Arial"/>
          <w:sz w:val="16"/>
          <w:szCs w:val="16"/>
          <w:rtl/>
        </w:rPr>
        <w:t xml:space="preserve"> אינה מגורשת, דהא אסבריה שמואל רביה לרב יהודה דברשות הרבים שאינן קונות דוקא כדי שתשוח ותטלנו מפני תקנת עגונות וכמו שכתבתי למעלה (מ: ד"ה היכי דמי) והיכי נפרוך אליביה (דגמרא) והא כי נפיל בארבע אמות דידה נפול, אלא ודאי כדאמרן עכ"ל, ב"י)</w:t>
      </w:r>
    </w:p>
    <w:p w14:paraId="7629D6FA" w14:textId="77777777" w:rsidR="00FA2119" w:rsidRDefault="00FA2119" w:rsidP="00FA2119">
      <w:pPr>
        <w:rPr>
          <w:u w:val="single"/>
          <w:rtl/>
        </w:rPr>
      </w:pPr>
      <w:r>
        <w:rPr>
          <w:rFonts w:cs="Arial"/>
          <w:u w:val="single"/>
          <w:rtl/>
        </w:rPr>
        <w:t>היתה ידה קטפרס</w:t>
      </w:r>
      <w:r>
        <w:rPr>
          <w:rFonts w:cs="Arial"/>
          <w:sz w:val="18"/>
          <w:szCs w:val="18"/>
          <w:u w:val="single"/>
          <w:rtl/>
        </w:rPr>
        <w:t xml:space="preserve"> </w:t>
      </w:r>
      <w:r>
        <w:rPr>
          <w:rFonts w:cs="Arial"/>
          <w:sz w:val="16"/>
          <w:szCs w:val="16"/>
          <w:u w:val="single"/>
          <w:rtl/>
        </w:rPr>
        <w:t>(משופעת)</w:t>
      </w:r>
      <w:r>
        <w:rPr>
          <w:rFonts w:cs="Arial"/>
          <w:u w:val="single"/>
          <w:rtl/>
        </w:rPr>
        <w:t>, וזרקו לתוכה ונפל</w:t>
      </w:r>
      <w:r>
        <w:rPr>
          <w:u w:val="single"/>
          <w:rtl/>
        </w:rPr>
        <w:t>:</w:t>
      </w:r>
    </w:p>
    <w:p w14:paraId="3E29243D" w14:textId="5F15DC7D" w:rsidR="00FA2119" w:rsidRDefault="00FA2119" w:rsidP="006A458D">
      <w:pPr>
        <w:pStyle w:val="ab"/>
        <w:numPr>
          <w:ilvl w:val="0"/>
          <w:numId w:val="96"/>
        </w:numPr>
        <w:rPr>
          <w:rtl/>
        </w:rPr>
      </w:pPr>
      <w:r>
        <w:rPr>
          <w:rFonts w:cs="Arial"/>
          <w:rtl/>
        </w:rPr>
        <w:t>טור</w:t>
      </w:r>
      <w:r w:rsidR="00A82951">
        <w:rPr>
          <w:rFonts w:cs="Arial"/>
          <w:rtl/>
        </w:rPr>
        <w:t>-</w:t>
      </w:r>
      <w:r>
        <w:rPr>
          <w:rFonts w:cs="Arial"/>
          <w:rtl/>
        </w:rPr>
        <w:t xml:space="preserve"> היתה ידה קטפרס וזרקו לתוכה ונפל לארץ, אם נח בתוך ארבע אמותיה </w:t>
      </w:r>
      <w:r w:rsidR="00A82951">
        <w:rPr>
          <w:rFonts w:cs="Arial"/>
          <w:rtl/>
        </w:rPr>
        <w:t>-</w:t>
      </w:r>
      <w:r>
        <w:rPr>
          <w:rFonts w:cs="Arial"/>
          <w:rtl/>
        </w:rPr>
        <w:t xml:space="preserve"> מגורשת. לא נח בתוכו אלא נתגלגל מיד מתוכו לחוצה להן </w:t>
      </w:r>
      <w:r w:rsidR="00A82951">
        <w:rPr>
          <w:rFonts w:cs="Arial"/>
          <w:rtl/>
        </w:rPr>
        <w:t>-</w:t>
      </w:r>
      <w:r>
        <w:rPr>
          <w:rFonts w:cs="Arial"/>
          <w:rtl/>
        </w:rPr>
        <w:t xml:space="preserve"> מיבעיא אי אויר של ד' אמות קונות ולא איפשיטא והוי ספק מגורשת. ואם עומדת על שפת הים או אצל האש שמיד כשנפל מידה נפל למים או נשרף </w:t>
      </w:r>
      <w:r w:rsidR="00A82951">
        <w:rPr>
          <w:rFonts w:cs="Arial"/>
          <w:rtl/>
        </w:rPr>
        <w:t>-</w:t>
      </w:r>
      <w:r>
        <w:rPr>
          <w:rFonts w:cs="Arial"/>
          <w:rtl/>
        </w:rPr>
        <w:t xml:space="preserve"> אינה מגורשת. </w:t>
      </w:r>
    </w:p>
    <w:p w14:paraId="4B6015E5"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034D4F2" w14:textId="77777777" w:rsidR="00FA2119" w:rsidRDefault="00FA2119" w:rsidP="00FA2119">
      <w:pPr>
        <w:rPr>
          <w:rtl/>
        </w:rPr>
      </w:pPr>
      <w:r>
        <w:rPr>
          <w:rFonts w:cs="Arial"/>
          <w:rtl/>
        </w:rPr>
        <w:t xml:space="preserve">היה ידה קטפרס, וזרק הגט על ידה ונפל לארץ, אם נפל לתוך ארבע אמות שלה ונח, הרי זו מגורשת. ואם לא נח בתוכן, אלא נתגלגל מיד מתוכה לחוצה להן, הרי זו ספק מגורשת. נפל לתוך הים או לתוך האש, אינה מגורשת, והוא שתהא על גבי המים או סמוך לאש, שמתחלת נפילתו, לאיבוד היה עומד. </w:t>
      </w:r>
      <w:r>
        <w:rPr>
          <w:rFonts w:cs="Arial"/>
          <w:sz w:val="18"/>
          <w:szCs w:val="18"/>
          <w:rtl/>
        </w:rPr>
        <w:t>הגה: וכל זה שאינה עומדת ברשותה, אבל אם עומדת ברשותה, אע"פ שנפל מידה ונתגלגל חוץ לארבע אמות, מגורשת, דהא לא נתגלגל רק לרשותה. מיהו לדידן דאין מגרשין על ידי רשותה, כמו שנתבאר, אם נפל הגט מידה צריך לגרש שנית. ועל כן תגביה האשה ידיה בשעה שמקבלת גיטה, שלא יפול מידה. גם יהיו ידיה גבוהות מן הארץ ג' טפחים (ג"ז בסדר גיטין).</w:t>
      </w:r>
      <w:r>
        <w:rPr>
          <w:rFonts w:cs="Arial"/>
          <w:rtl/>
        </w:rPr>
        <w:t xml:space="preserve"> </w:t>
      </w:r>
    </w:p>
    <w:p w14:paraId="45DA3130" w14:textId="77777777" w:rsidR="00FA2119" w:rsidRDefault="00FA2119" w:rsidP="00FA2119">
      <w:pPr>
        <w:rPr>
          <w:rFonts w:cs="Arial"/>
          <w:rtl/>
        </w:rPr>
      </w:pPr>
      <w:r>
        <w:rPr>
          <w:rFonts w:cs="Arial"/>
          <w:u w:val="single"/>
          <w:rtl/>
        </w:rPr>
        <w:t xml:space="preserve">האם מועיל שאר קנינים בגט </w:t>
      </w:r>
      <w:r>
        <w:rPr>
          <w:rFonts w:cs="Arial"/>
          <w:sz w:val="16"/>
          <w:szCs w:val="16"/>
          <w:u w:val="single"/>
          <w:rtl/>
        </w:rPr>
        <w:t>(כגון אגב קרקע)</w:t>
      </w:r>
      <w:r>
        <w:rPr>
          <w:rFonts w:cs="Arial"/>
          <w:u w:val="single"/>
          <w:rtl/>
        </w:rPr>
        <w:t>, והאם יכול לתת לה בלא דעתה בקנינים אלו. והאם אסור שיצא הגט מידה:</w:t>
      </w:r>
      <w:r>
        <w:rPr>
          <w:rFonts w:cs="Arial"/>
          <w:rtl/>
        </w:rPr>
        <w:t xml:space="preserve"> </w:t>
      </w:r>
    </w:p>
    <w:p w14:paraId="5E9DE024" w14:textId="1DFDC383" w:rsidR="00FA2119" w:rsidRDefault="00FA2119" w:rsidP="006A458D">
      <w:pPr>
        <w:pStyle w:val="ab"/>
        <w:numPr>
          <w:ilvl w:val="0"/>
          <w:numId w:val="96"/>
        </w:numPr>
        <w:rPr>
          <w:rtl/>
        </w:rPr>
      </w:pPr>
      <w:r>
        <w:rPr>
          <w:rFonts w:cs="Arial"/>
          <w:rtl/>
        </w:rPr>
        <w:t>תו"ג</w:t>
      </w:r>
      <w:r>
        <w:rPr>
          <w:rFonts w:cs="Arial"/>
          <w:sz w:val="16"/>
          <w:szCs w:val="16"/>
          <w:rtl/>
        </w:rPr>
        <w:t xml:space="preserve"> (הביאו הפת"ש [סק"ד])</w:t>
      </w:r>
      <w:r w:rsidR="00A82951">
        <w:rPr>
          <w:rFonts w:cs="Arial"/>
          <w:rtl/>
        </w:rPr>
        <w:t>-</w:t>
      </w:r>
      <w:r>
        <w:rPr>
          <w:rFonts w:cs="Arial"/>
          <w:rtl/>
        </w:rPr>
        <w:t xml:space="preserve"> הנה יש לעיין אי מועיל שאר קנינים בגט כגון משיכה או אגב קקרקע או קניין סודר כיון שקונין במטלטלין, או דילמא דוקא ידה בעינן. ונראה דשאר קנינים דלא נתרבו מידם כגון ק"ס או אג"ק אינו מועיל בגט, כדמוכח בב"ב (קנא:) דאמר דגט לאו בר קנין הוא, וכן מוכח מרשב"א (והר"ן, עי' ב"ש סי' קלו סק"ז) בגיטין (עז.) שחולק על רש"י וכ' דלא נתגרשה ע"י אגב אמנם הגבהה או משיכה שלא בידה כגון שמוגבה מכוחה או שמשכה אותו עג"ק באופן דלא הוי טלי גיטך מעג"ק, כגון שקירב לה הגט באופן המבואר בסימן קל"ח, דמהני מטעם טלי גיטך מועיל בגט ובכלל ידה הוא, דהא אמרינן בפ' הזהב כו'. ועוד דאלת"ה </w:t>
      </w:r>
      <w:r>
        <w:rPr>
          <w:rFonts w:cs="Arial"/>
          <w:rtl/>
        </w:rPr>
        <w:lastRenderedPageBreak/>
        <w:t>א"כ הי' צריך שיהי' כל הגט טמון באויר ידה שלא יהא קצתו חוץ לידה</w:t>
      </w:r>
      <w:r>
        <w:rPr>
          <w:rStyle w:val="a7"/>
          <w:rFonts w:cs="Arial"/>
          <w:rtl/>
        </w:rPr>
        <w:footnoteReference w:id="1737"/>
      </w:r>
      <w:r>
        <w:rPr>
          <w:rFonts w:cs="Arial"/>
          <w:rtl/>
        </w:rPr>
        <w:t xml:space="preserve">, דהא בחצירה כה"ג אם הגט מונח קצת חוץ לחצירה ודאי דאינה מגורשת, ואי הגבהה לא קני, ידה לא עדיפא מחצירה, דמחד קרא נפקא. אלא ודאי דהגבהה בגט קונה, וקונה הגט מטעם הגבהה כו'. ומטעם זה נראה הא דבעינן כאן שיהא ידיה גבוהות מן הארץ ג"ט, אף דמוכח בכתובות (לא.) בתוס' (ד"ה רב אשי) דידי' קונה אפי' למטה מג', אלא ודאי הטעם משום דחיישי' שמא יהא הגט קצתו חוץ לידה ואז בעינן שיהא גבוהים ג"ט שתקנה הגט בהגבהה. אמנם נראה דדוקא כשמגרש ברצונה מהני קנין הגבהה ומשיכה אבל כשכופה אותה בע"כ לעשות משיכה או הגבהה שלא בידה, כגון שקשור בה הגט וכופה לילך שיהא הגט נמשך או שיהא הגט מוגבה מכוחה ואין הגט בידה </w:t>
      </w:r>
      <w:r w:rsidR="00A82951">
        <w:rPr>
          <w:rFonts w:cs="Arial"/>
          <w:rtl/>
        </w:rPr>
        <w:t>-</w:t>
      </w:r>
      <w:r>
        <w:rPr>
          <w:rFonts w:cs="Arial"/>
          <w:rtl/>
        </w:rPr>
        <w:t xml:space="preserve"> י"ל דאינה מגורשת כמבואר בח"מ (סי' ר) דהגבהה בלא כוונת קנין לא קנה. וה"ה בכל הקנינים בעינן כוונה, וכשהיא בע"כ אין כאן כוונת קנין, משא"כ חצירה וידה דקונין שלא מדעת קנין. ומטעם זה נראה הא דמצריכין אותה ליתן הגט לתוך סרבלה (כמ"ש הרמ"א בסעי' הקודם וסדר מהר"ם אות רל"ה ועיין בהרא"ש פ' הזורק סי' ז' ודוק) משום גזירה דלפעמים נותן לה בע"כ. ולא הוי כטלי גיטך מעג"ק דהא הבעל קירב לה הגט. ולפ"ז צ"ע במה שמטעין לפעמים האשה ונותנין הגט לתוך חפץ והיא אוחזת בראש החפץ ואין מקנה לה החפץ דזה לא נחשב רק כהגבהה בלא דעת קנין. אם לא שנותן לה גם החפץ במתנה דאז דמי לכתב גט ונתן בחצירו וכתב לה שטר מתנה עליו דקנאתו ומתגרשת בו כדלעיל סי' קל"ח וכליו מטעם חצר הוא כמ"ש הש"מ בב"מ דף ט'. ובעינן ג"כ שיודיע להאשה בשעת מעשה ולא מהני מה שמודיע להעדים, דבחצר מסופק הרשב"א הביאו הב"ש סימן קל"ח סק"א. וגם בעינן שלא חזרה בה תכ"ד לקנייתה שאם זרקה תכ"ד החפץ מידה וחזרה מקנין החפץ, דבקנין מהני חזרה תכ"ד, וממילא לאו חצירה הוא, דנהי דבגט לא מהני חזרה תכ"ד, מ"מ לענין קנין של החפץ מהני החזרה וממילא נתבטל גם הגט.</w:t>
      </w:r>
    </w:p>
    <w:p w14:paraId="69ACBFE2" w14:textId="77777777" w:rsidR="00FA2119" w:rsidRDefault="00FA2119" w:rsidP="00FA2119">
      <w:pPr>
        <w:rPr>
          <w:rtl/>
        </w:rPr>
      </w:pPr>
    </w:p>
    <w:p w14:paraId="234A3624" w14:textId="4ABD74F5" w:rsidR="00FA2119" w:rsidRDefault="00FA2119" w:rsidP="00FA2119">
      <w:pPr>
        <w:pStyle w:val="2"/>
        <w:rPr>
          <w:rtl/>
        </w:rPr>
      </w:pPr>
      <w:r>
        <w:rPr>
          <w:rtl/>
        </w:rPr>
        <w:t xml:space="preserve">סעיף טז: נתן גט ביד עבדה </w:t>
      </w:r>
      <w:r w:rsidR="00A82951">
        <w:rPr>
          <w:rtl/>
        </w:rPr>
        <w:t>-</w:t>
      </w:r>
      <w:r>
        <w:rPr>
          <w:rtl/>
        </w:rPr>
        <w:t xml:space="preserve"> והוא ניעור.</w:t>
      </w:r>
    </w:p>
    <w:p w14:paraId="710BD246" w14:textId="4F19A47C" w:rsidR="00FA2119" w:rsidRDefault="00FA2119" w:rsidP="00FA2119">
      <w:pPr>
        <w:rPr>
          <w:rFonts w:cs="Arial"/>
          <w:rtl/>
        </w:rPr>
      </w:pPr>
      <w:r>
        <w:rPr>
          <w:rFonts w:cs="Arial"/>
          <w:b/>
          <w:bCs/>
          <w:rtl/>
        </w:rPr>
        <w:t xml:space="preserve">גיטין </w:t>
      </w:r>
      <w:r>
        <w:rPr>
          <w:rFonts w:cs="Arial"/>
          <w:b/>
          <w:bCs/>
          <w:sz w:val="16"/>
          <w:szCs w:val="16"/>
          <w:rtl/>
        </w:rPr>
        <w:t>(פ' הזורק)</w:t>
      </w:r>
      <w:r>
        <w:rPr>
          <w:rFonts w:cs="Arial"/>
          <w:b/>
          <w:bCs/>
          <w:rtl/>
        </w:rPr>
        <w:t xml:space="preserve"> עח ע"</w:t>
      </w:r>
      <w:r w:rsidR="007275D1">
        <w:rPr>
          <w:rFonts w:cs="Arial" w:hint="cs"/>
          <w:b/>
          <w:bCs/>
          <w:rtl/>
        </w:rPr>
        <w:t>א</w:t>
      </w:r>
      <w:r>
        <w:rPr>
          <w:rFonts w:cs="Arial"/>
          <w:b/>
          <w:bCs/>
          <w:rtl/>
        </w:rPr>
        <w:t>:</w:t>
      </w:r>
      <w:r>
        <w:rPr>
          <w:rtl/>
        </w:rPr>
        <w:t xml:space="preserve"> </w:t>
      </w:r>
      <w:r>
        <w:rPr>
          <w:rFonts w:cs="Arial"/>
          <w:u w:val="single"/>
          <w:rtl/>
        </w:rPr>
        <w:t>אמר רבא</w:t>
      </w:r>
      <w:r>
        <w:rPr>
          <w:rFonts w:cs="Arial"/>
          <w:rtl/>
        </w:rPr>
        <w:t xml:space="preserve">: כתב לה גט ונתנו ביד עבדה ישן ומשמרתו </w:t>
      </w:r>
      <w:r w:rsidR="00A82951">
        <w:rPr>
          <w:rFonts w:cs="Arial"/>
          <w:rtl/>
        </w:rPr>
        <w:t>-</w:t>
      </w:r>
      <w:r>
        <w:rPr>
          <w:rFonts w:cs="Arial"/>
          <w:rtl/>
        </w:rPr>
        <w:t xml:space="preserve"> ה"ז גט</w:t>
      </w:r>
      <w:r>
        <w:rPr>
          <w:rStyle w:val="a7"/>
          <w:rFonts w:cs="Arial"/>
          <w:rtl/>
        </w:rPr>
        <w:footnoteReference w:id="1738"/>
      </w:r>
      <w:r>
        <w:rPr>
          <w:rFonts w:cs="Arial"/>
          <w:rtl/>
        </w:rPr>
        <w:t xml:space="preserve">, ניעור </w:t>
      </w:r>
      <w:r w:rsidR="00A82951">
        <w:rPr>
          <w:rFonts w:cs="Arial"/>
          <w:rtl/>
        </w:rPr>
        <w:t>-</w:t>
      </w:r>
      <w:r>
        <w:rPr>
          <w:rFonts w:cs="Arial"/>
          <w:rtl/>
        </w:rPr>
        <w:t xml:space="preserve"> אינו גט</w:t>
      </w:r>
      <w:r>
        <w:rPr>
          <w:rStyle w:val="a7"/>
          <w:rFonts w:cs="Arial"/>
          <w:rtl/>
        </w:rPr>
        <w:footnoteReference w:id="1739"/>
      </w:r>
      <w:r>
        <w:rPr>
          <w:rFonts w:cs="Arial"/>
          <w:rtl/>
        </w:rPr>
        <w:t xml:space="preserve">, דהויא ליה חצר המשתמרת שלא לדעתה. ישן ומשמרתו </w:t>
      </w:r>
      <w:r w:rsidR="00A82951">
        <w:rPr>
          <w:rFonts w:cs="Arial"/>
          <w:rtl/>
        </w:rPr>
        <w:t>-</w:t>
      </w:r>
      <w:r>
        <w:rPr>
          <w:rFonts w:cs="Arial"/>
          <w:rtl/>
        </w:rPr>
        <w:t xml:space="preserve"> הרי זה גט, אמאי? חצר מהלכת היא, וחצר מהלכת לא קנה</w:t>
      </w:r>
      <w:r>
        <w:rPr>
          <w:rStyle w:val="a7"/>
          <w:rFonts w:cs="Arial"/>
          <w:rtl/>
        </w:rPr>
        <w:footnoteReference w:id="1740"/>
      </w:r>
      <w:r>
        <w:rPr>
          <w:rFonts w:cs="Arial"/>
          <w:rtl/>
        </w:rPr>
        <w:t>! וכי תימא ישן שאני, והא אמר רבא: כל שאילו מהלך לא קנה, עומד ויושב לא קנה</w:t>
      </w:r>
      <w:r>
        <w:rPr>
          <w:rStyle w:val="a7"/>
          <w:rFonts w:cs="Arial"/>
          <w:rtl/>
        </w:rPr>
        <w:footnoteReference w:id="1741"/>
      </w:r>
      <w:r>
        <w:rPr>
          <w:rFonts w:cs="Arial"/>
          <w:rtl/>
        </w:rPr>
        <w:t xml:space="preserve">! והלכתא: בכפות. </w:t>
      </w:r>
      <w:r>
        <w:rPr>
          <w:rFonts w:cs="Arial"/>
          <w:sz w:val="16"/>
          <w:szCs w:val="16"/>
          <w:rtl/>
        </w:rPr>
        <w:t xml:space="preserve">(ופירש רש"י והלכתא בכפות </w:t>
      </w:r>
      <w:r w:rsidR="00A82951">
        <w:rPr>
          <w:rFonts w:cs="Arial"/>
          <w:sz w:val="16"/>
          <w:szCs w:val="16"/>
          <w:rtl/>
        </w:rPr>
        <w:t>-</w:t>
      </w:r>
      <w:r>
        <w:rPr>
          <w:rFonts w:cs="Arial"/>
          <w:sz w:val="16"/>
          <w:szCs w:val="16"/>
          <w:rtl/>
        </w:rPr>
        <w:t xml:space="preserve"> שאינו ראוי להלך בההוא קאמר רבא דהוי גט [עכ"ל]. כלומר דכי קאמר רבא דישן ומשמרתו הוי גט </w:t>
      </w:r>
      <w:r w:rsidR="00A82951">
        <w:rPr>
          <w:rFonts w:cs="Arial"/>
          <w:sz w:val="16"/>
          <w:szCs w:val="16"/>
          <w:rtl/>
        </w:rPr>
        <w:t>-</w:t>
      </w:r>
      <w:r>
        <w:rPr>
          <w:rFonts w:cs="Arial"/>
          <w:sz w:val="16"/>
          <w:szCs w:val="16"/>
          <w:rtl/>
        </w:rPr>
        <w:t xml:space="preserve"> בכפות קאמר, דתרתי בעינן, כפות כדי שלא יהא חצר מהלכת, וישן כדי שיהא משתמר לדעתה. וכן כתבו התוספות בפ"ב דגיטין (כא. ד"ה והילכתא). וכן כתבו הרא"ש (סי' ה) והרשב"א (ד"ה והלכתא) והר"ן (מ: ד"ה גרסינן) כאן בהזורק. וגם הוא דעת הרמב"ם (פ"ה הי"ז) לגירסת רבינו דגריס ביה 'נתן הגט ביד עבדה והוא נעור אפילו היה כפות אינו גט'. אבל בספרים דידן הכי גרסינן 'נתן ביד עבדה והוא נעור אם היה כפות הרי זה גט'. וכן גורסין הרשב"א (כא. ד"ה אמר רבא) והר"ן (שם מ:) והרב המגיד, וגירסתם בדברי הרמב"ם </w:t>
      </w:r>
      <w:r>
        <w:rPr>
          <w:rFonts w:cs="Arial"/>
          <w:sz w:val="16"/>
          <w:szCs w:val="16"/>
          <w:rtl/>
        </w:rPr>
        <w:lastRenderedPageBreak/>
        <w:t>נראה עיקר דבכפות סגי, דומיא דנתנו ביד עבדו שכתב בסמוך (שם הי"ח) דסגי בכפות. אלא שלגירסא זו יש לדקדק למה חזר לכתוב ואם היה כפות הרי זו מגורשת אנתן ביד העבד והוא ישן, דהא אפילו בהיה נעור הכשיר ברישא, וצריך עיון, ב"י)</w:t>
      </w:r>
      <w:r>
        <w:rPr>
          <w:rFonts w:cs="Arial"/>
          <w:rtl/>
        </w:rPr>
        <w:t xml:space="preserve"> </w:t>
      </w:r>
    </w:p>
    <w:p w14:paraId="6D8EC768" w14:textId="6F5D465F" w:rsidR="00FA2119" w:rsidRDefault="00FA2119" w:rsidP="00FA2119">
      <w:pPr>
        <w:rPr>
          <w:u w:val="single"/>
          <w:rtl/>
        </w:rPr>
      </w:pPr>
      <w:r>
        <w:rPr>
          <w:u w:val="single"/>
          <w:rtl/>
        </w:rPr>
        <w:t xml:space="preserve">נתן גט ביד עבדה </w:t>
      </w:r>
      <w:r w:rsidR="00A82951">
        <w:rPr>
          <w:u w:val="single"/>
          <w:rtl/>
        </w:rPr>
        <w:t>-</w:t>
      </w:r>
      <w:r>
        <w:rPr>
          <w:u w:val="single"/>
          <w:rtl/>
        </w:rPr>
        <w:t xml:space="preserve"> והוא נעור:</w:t>
      </w:r>
    </w:p>
    <w:p w14:paraId="1984C3EA" w14:textId="7A53C5A8" w:rsidR="00FA2119" w:rsidRDefault="00FA2119" w:rsidP="006A458D">
      <w:pPr>
        <w:pStyle w:val="ab"/>
        <w:numPr>
          <w:ilvl w:val="0"/>
          <w:numId w:val="96"/>
        </w:numPr>
        <w:rPr>
          <w:rtl/>
        </w:rPr>
      </w:pPr>
      <w:r>
        <w:rPr>
          <w:rFonts w:cs="Arial"/>
          <w:rtl/>
        </w:rPr>
        <w:t>רא"ש</w:t>
      </w:r>
      <w:r>
        <w:rPr>
          <w:rFonts w:cs="Arial"/>
          <w:sz w:val="16"/>
          <w:szCs w:val="16"/>
          <w:rtl/>
        </w:rPr>
        <w:t xml:space="preserve"> (סי' ה)</w:t>
      </w:r>
      <w:r>
        <w:rPr>
          <w:rFonts w:cs="Arial"/>
          <w:rtl/>
        </w:rPr>
        <w:t xml:space="preserve"> וטור</w:t>
      </w:r>
      <w:r w:rsidR="00A82951">
        <w:rPr>
          <w:rFonts w:cs="Arial"/>
          <w:rtl/>
        </w:rPr>
        <w:t>-</w:t>
      </w:r>
      <w:r>
        <w:rPr>
          <w:rFonts w:cs="Arial"/>
          <w:rtl/>
        </w:rPr>
        <w:t xml:space="preserve"> נתנו ביד עבדה והוא ישן וכפות </w:t>
      </w:r>
      <w:r w:rsidR="00A82951">
        <w:rPr>
          <w:rFonts w:cs="Arial"/>
          <w:rtl/>
        </w:rPr>
        <w:t>-</w:t>
      </w:r>
      <w:r>
        <w:rPr>
          <w:rFonts w:cs="Arial"/>
          <w:rtl/>
        </w:rPr>
        <w:t xml:space="preserve"> הוי גט. היה נעור אפי' ידיו ורגליו כפותות </w:t>
      </w:r>
      <w:r w:rsidR="00A82951">
        <w:rPr>
          <w:rFonts w:cs="Arial"/>
          <w:rtl/>
        </w:rPr>
        <w:t>-</w:t>
      </w:r>
      <w:r>
        <w:rPr>
          <w:rFonts w:cs="Arial"/>
          <w:rtl/>
        </w:rPr>
        <w:t xml:space="preserve"> אינו גט</w:t>
      </w:r>
      <w:r>
        <w:rPr>
          <w:rFonts w:cs="Arial"/>
          <w:sz w:val="16"/>
          <w:szCs w:val="16"/>
          <w:rtl/>
        </w:rPr>
        <w:t xml:space="preserve"> (ל' הטור ברמזים)</w:t>
      </w:r>
      <w:r>
        <w:rPr>
          <w:rFonts w:cs="Arial"/>
          <w:rtl/>
        </w:rPr>
        <w:t xml:space="preserve">. </w:t>
      </w:r>
    </w:p>
    <w:p w14:paraId="155CA77A" w14:textId="17AC06C8" w:rsidR="00FA2119" w:rsidRDefault="00FA2119" w:rsidP="006A458D">
      <w:pPr>
        <w:pStyle w:val="ab"/>
        <w:numPr>
          <w:ilvl w:val="0"/>
          <w:numId w:val="96"/>
        </w:numPr>
      </w:pPr>
      <w:r>
        <w:rPr>
          <w:rFonts w:cs="Arial"/>
          <w:rtl/>
        </w:rPr>
        <w:t>רמב"ם</w:t>
      </w:r>
      <w:r>
        <w:rPr>
          <w:rFonts w:cs="Arial"/>
          <w:sz w:val="16"/>
          <w:szCs w:val="16"/>
          <w:rtl/>
        </w:rPr>
        <w:t xml:space="preserve"> (פ"ה הי"ז)</w:t>
      </w:r>
      <w:r w:rsidR="00A82951">
        <w:rPr>
          <w:rFonts w:cs="Arial"/>
          <w:rtl/>
        </w:rPr>
        <w:t>-</w:t>
      </w:r>
      <w:r>
        <w:rPr>
          <w:rFonts w:cs="Arial"/>
          <w:rtl/>
        </w:rPr>
        <w:t xml:space="preserve"> נתן הגט ביד עבדה והוא נעור והיא משמרתו, אם היה כפות </w:t>
      </w:r>
      <w:r w:rsidR="00A82951">
        <w:rPr>
          <w:rFonts w:cs="Arial"/>
          <w:rtl/>
        </w:rPr>
        <w:t>-</w:t>
      </w:r>
      <w:r>
        <w:rPr>
          <w:rFonts w:cs="Arial"/>
          <w:rtl/>
        </w:rPr>
        <w:t xml:space="preserve"> הרי זה גט וכאילו הגיע לחצירה שהיא עומדת בצדה, ואם אינו כפות </w:t>
      </w:r>
      <w:r w:rsidR="00A82951">
        <w:rPr>
          <w:rFonts w:cs="Arial"/>
          <w:rtl/>
        </w:rPr>
        <w:t>-</w:t>
      </w:r>
      <w:r>
        <w:rPr>
          <w:rFonts w:cs="Arial"/>
          <w:rtl/>
        </w:rPr>
        <w:t xml:space="preserve"> אינו גט. </w:t>
      </w:r>
      <w:r>
        <w:rPr>
          <w:color w:val="E36C0A" w:themeColor="accent6" w:themeShade="BF"/>
          <w:rtl/>
        </w:rPr>
        <w:t>(וכ"ס בשו"ע)</w:t>
      </w:r>
    </w:p>
    <w:p w14:paraId="1E91A107" w14:textId="77777777" w:rsidR="00FA2119" w:rsidRDefault="00FA2119" w:rsidP="00FA2119">
      <w:pPr>
        <w:ind w:left="360"/>
        <w:rPr>
          <w:u w:val="dotted"/>
        </w:rPr>
      </w:pPr>
      <w:r>
        <w:rPr>
          <w:u w:val="dotted"/>
          <w:rtl/>
        </w:rPr>
        <w:t>ומה הדין אם הוא ישן:</w:t>
      </w:r>
    </w:p>
    <w:p w14:paraId="53DB5BBD" w14:textId="1A054897" w:rsidR="00FA2119" w:rsidRDefault="00FA2119" w:rsidP="006A458D">
      <w:pPr>
        <w:pStyle w:val="ab"/>
        <w:numPr>
          <w:ilvl w:val="0"/>
          <w:numId w:val="96"/>
        </w:numPr>
      </w:pPr>
      <w:r>
        <w:rPr>
          <w:rFonts w:cs="Arial"/>
          <w:rtl/>
        </w:rPr>
        <w:t>רא"ש</w:t>
      </w:r>
      <w:r>
        <w:rPr>
          <w:rFonts w:cs="Arial"/>
          <w:sz w:val="16"/>
          <w:szCs w:val="16"/>
          <w:rtl/>
        </w:rPr>
        <w:t xml:space="preserve"> (סי' ה)</w:t>
      </w:r>
      <w:r>
        <w:rPr>
          <w:rFonts w:cs="Arial"/>
          <w:rtl/>
        </w:rPr>
        <w:t xml:space="preserve"> וטור</w:t>
      </w:r>
      <w:r w:rsidR="00A82951">
        <w:rPr>
          <w:rFonts w:cs="Arial"/>
          <w:rtl/>
        </w:rPr>
        <w:t>-</w:t>
      </w:r>
      <w:r>
        <w:rPr>
          <w:rFonts w:cs="Arial"/>
          <w:rtl/>
        </w:rPr>
        <w:t xml:space="preserve"> נתנו ביד עבדה והוא ישן וכפות </w:t>
      </w:r>
      <w:r w:rsidR="00A82951">
        <w:rPr>
          <w:rFonts w:cs="Arial"/>
          <w:rtl/>
        </w:rPr>
        <w:t>-</w:t>
      </w:r>
      <w:r>
        <w:rPr>
          <w:rFonts w:cs="Arial"/>
          <w:rtl/>
        </w:rPr>
        <w:t xml:space="preserve"> הוי גט.</w:t>
      </w:r>
    </w:p>
    <w:p w14:paraId="215B4578" w14:textId="54210F05" w:rsidR="00FA2119" w:rsidRDefault="00FA2119" w:rsidP="006A458D">
      <w:pPr>
        <w:pStyle w:val="ab"/>
        <w:numPr>
          <w:ilvl w:val="0"/>
          <w:numId w:val="96"/>
        </w:numPr>
      </w:pPr>
      <w:r>
        <w:rPr>
          <w:rFonts w:cs="Arial"/>
          <w:rtl/>
        </w:rPr>
        <w:t>רמב"ם</w:t>
      </w:r>
      <w:r>
        <w:rPr>
          <w:rFonts w:cs="Arial"/>
          <w:sz w:val="16"/>
          <w:szCs w:val="16"/>
          <w:rtl/>
        </w:rPr>
        <w:t xml:space="preserve"> (פ"ה הי"ז)</w:t>
      </w:r>
      <w:r w:rsidR="00A82951">
        <w:rPr>
          <w:rFonts w:cs="Arial"/>
          <w:rtl/>
        </w:rPr>
        <w:t>-</w:t>
      </w:r>
      <w:r>
        <w:rPr>
          <w:rFonts w:cs="Arial"/>
          <w:rtl/>
        </w:rPr>
        <w:t xml:space="preserve"> נתנו ביד העבד והוא ישן והיא משמרתו </w:t>
      </w:r>
      <w:r w:rsidR="00A82951">
        <w:rPr>
          <w:rFonts w:cs="Arial"/>
          <w:rtl/>
        </w:rPr>
        <w:t>-</w:t>
      </w:r>
      <w:r>
        <w:rPr>
          <w:rFonts w:cs="Arial"/>
          <w:rtl/>
        </w:rPr>
        <w:t xml:space="preserve"> הרי זה פסול</w:t>
      </w:r>
      <w:r>
        <w:rPr>
          <w:rStyle w:val="a7"/>
          <w:rFonts w:cs="Arial"/>
          <w:rtl/>
        </w:rPr>
        <w:footnoteReference w:id="1742"/>
      </w:r>
      <w:r>
        <w:rPr>
          <w:rFonts w:cs="Arial"/>
          <w:rtl/>
        </w:rPr>
        <w:t xml:space="preserve">, ואם היה כפות </w:t>
      </w:r>
      <w:r w:rsidR="00A82951">
        <w:rPr>
          <w:rFonts w:cs="Arial"/>
          <w:rtl/>
        </w:rPr>
        <w:t>-</w:t>
      </w:r>
      <w:r>
        <w:rPr>
          <w:rFonts w:cs="Arial"/>
          <w:rtl/>
        </w:rPr>
        <w:t xml:space="preserve"> הרי זו מגורשת.</w:t>
      </w:r>
      <w:r>
        <w:rPr>
          <w:rtl/>
        </w:rPr>
        <w:t xml:space="preserve"> </w:t>
      </w:r>
      <w:r>
        <w:rPr>
          <w:color w:val="E36C0A" w:themeColor="accent6" w:themeShade="BF"/>
          <w:rtl/>
        </w:rPr>
        <w:t>(וכ"פ בשו"ע</w:t>
      </w:r>
      <w:r>
        <w:rPr>
          <w:color w:val="E36C0A" w:themeColor="accent6" w:themeShade="BF"/>
          <w:sz w:val="16"/>
          <w:szCs w:val="16"/>
          <w:rtl/>
        </w:rPr>
        <w:t xml:space="preserve"> </w:t>
      </w:r>
      <w:r>
        <w:rPr>
          <w:sz w:val="16"/>
          <w:szCs w:val="16"/>
          <w:rtl/>
        </w:rPr>
        <w:t>[בסע' הבא]</w:t>
      </w:r>
      <w:r>
        <w:rPr>
          <w:color w:val="E36C0A" w:themeColor="accent6" w:themeShade="BF"/>
          <w:rtl/>
        </w:rPr>
        <w:t>)</w:t>
      </w:r>
    </w:p>
    <w:p w14:paraId="4584BDF9"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078C7D6" w14:textId="5569E3AE" w:rsidR="00FA2119" w:rsidRDefault="00FA2119" w:rsidP="00FA2119">
      <w:pPr>
        <w:rPr>
          <w:rtl/>
        </w:rPr>
      </w:pPr>
      <w:r>
        <w:rPr>
          <w:rFonts w:cs="Arial"/>
          <w:rtl/>
        </w:rPr>
        <w:t>נתן ביד עבדה, והוא נעור, והיא משמרתו, אם היה כפות</w:t>
      </w:r>
      <w:r>
        <w:rPr>
          <w:rStyle w:val="a7"/>
          <w:rFonts w:cs="Arial"/>
          <w:rtl/>
        </w:rPr>
        <w:footnoteReference w:id="1743"/>
      </w:r>
      <w:r>
        <w:rPr>
          <w:rFonts w:cs="Arial"/>
          <w:rtl/>
        </w:rPr>
        <w:t>, הרי זה גט, וכאילו הגיע לחצרה שהיא עומדת בצדה. ואם אינו כפות, אינ</w:t>
      </w:r>
      <w:r w:rsidR="00DD6C7F">
        <w:rPr>
          <w:rFonts w:cs="Arial" w:hint="cs"/>
          <w:rtl/>
        </w:rPr>
        <w:t>ו</w:t>
      </w:r>
      <w:r>
        <w:rPr>
          <w:rFonts w:cs="Arial"/>
          <w:rtl/>
        </w:rPr>
        <w:t xml:space="preserve"> גט. ויש אומרים דתרתי בעינן: כפות, כדי שלא יהא חצר מהלכת; וישן, כדי שיהא משתמר לדעתה. </w:t>
      </w:r>
    </w:p>
    <w:p w14:paraId="04971012" w14:textId="77777777" w:rsidR="00FA2119" w:rsidRDefault="00FA2119" w:rsidP="00FA2119">
      <w:pPr>
        <w:rPr>
          <w:rtl/>
        </w:rPr>
      </w:pPr>
    </w:p>
    <w:p w14:paraId="32504647" w14:textId="06A5573C" w:rsidR="00FA2119" w:rsidRDefault="00FA2119" w:rsidP="00FA2119">
      <w:pPr>
        <w:pStyle w:val="2"/>
        <w:rPr>
          <w:rtl/>
        </w:rPr>
      </w:pPr>
      <w:r>
        <w:rPr>
          <w:rtl/>
        </w:rPr>
        <w:t xml:space="preserve">סעיף יז: נתן גט ביד עבדה </w:t>
      </w:r>
      <w:r w:rsidR="00A82951">
        <w:rPr>
          <w:rtl/>
        </w:rPr>
        <w:t>-</w:t>
      </w:r>
      <w:r>
        <w:rPr>
          <w:rtl/>
        </w:rPr>
        <w:t xml:space="preserve"> והוא ישן.</w:t>
      </w:r>
    </w:p>
    <w:p w14:paraId="4CA4CD10" w14:textId="77777777" w:rsidR="00FA2119" w:rsidRDefault="00FA2119" w:rsidP="00FA2119">
      <w:pPr>
        <w:rPr>
          <w:rtl/>
        </w:rPr>
      </w:pPr>
      <w:r>
        <w:rPr>
          <w:rtl/>
        </w:rPr>
        <w:t>עיין במקורות בסעיף הקודם.</w:t>
      </w:r>
    </w:p>
    <w:p w14:paraId="695BAC49"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CED65AD" w14:textId="77777777" w:rsidR="00FA2119" w:rsidRDefault="00FA2119" w:rsidP="00FA2119">
      <w:pPr>
        <w:rPr>
          <w:rFonts w:cs="Arial"/>
          <w:rtl/>
        </w:rPr>
      </w:pPr>
      <w:r>
        <w:rPr>
          <w:rFonts w:cs="Arial"/>
          <w:rtl/>
        </w:rPr>
        <w:t xml:space="preserve">נתנו ביד העבד, והוא ישן והיא משמרתו, הרי זה פסול. ואם היה כפות, הרי זו מגורשת. </w:t>
      </w:r>
    </w:p>
    <w:p w14:paraId="3A629309" w14:textId="77777777" w:rsidR="00FA2119" w:rsidRDefault="00FA2119" w:rsidP="00FA2119">
      <w:pPr>
        <w:rPr>
          <w:rtl/>
        </w:rPr>
      </w:pPr>
    </w:p>
    <w:p w14:paraId="72AF9D67" w14:textId="77777777" w:rsidR="00FA2119" w:rsidRDefault="00FA2119" w:rsidP="00FA2119">
      <w:pPr>
        <w:pStyle w:val="2"/>
        <w:rPr>
          <w:rtl/>
        </w:rPr>
      </w:pPr>
      <w:r>
        <w:rPr>
          <w:rtl/>
        </w:rPr>
        <w:t>סעיף יח: נתן הגט ביד עבדו ונתן לה את העבד במתנה.</w:t>
      </w:r>
    </w:p>
    <w:p w14:paraId="56367027" w14:textId="498B2E86" w:rsidR="00FA2119" w:rsidRDefault="00FA2119" w:rsidP="00FA2119">
      <w:pPr>
        <w:rPr>
          <w:rFonts w:cs="Arial"/>
          <w:rtl/>
        </w:rPr>
      </w:pPr>
      <w:r>
        <w:rPr>
          <w:rFonts w:cs="Arial"/>
          <w:b/>
          <w:bCs/>
          <w:rtl/>
        </w:rPr>
        <w:t xml:space="preserve">גיטין </w:t>
      </w:r>
      <w:r>
        <w:rPr>
          <w:rFonts w:cs="Arial"/>
          <w:b/>
          <w:bCs/>
          <w:sz w:val="16"/>
          <w:szCs w:val="16"/>
          <w:rtl/>
        </w:rPr>
        <w:t xml:space="preserve">(פ"ב) </w:t>
      </w:r>
      <w:r>
        <w:rPr>
          <w:rFonts w:cs="Arial"/>
          <w:b/>
          <w:bCs/>
          <w:rtl/>
        </w:rPr>
        <w:t>כא ע"א:</w:t>
      </w:r>
      <w:r>
        <w:rPr>
          <w:rtl/>
        </w:rPr>
        <w:t xml:space="preserve"> </w:t>
      </w:r>
      <w:r>
        <w:rPr>
          <w:rFonts w:cs="Arial"/>
          <w:u w:val="single"/>
          <w:rtl/>
        </w:rPr>
        <w:t>אמר רבא</w:t>
      </w:r>
      <w:r>
        <w:rPr>
          <w:rFonts w:cs="Arial"/>
          <w:rtl/>
        </w:rPr>
        <w:t>: כתב לה גט ונתנו ביד עבדו, וכתב לה שטר מתנה עליו</w:t>
      </w:r>
      <w:r>
        <w:rPr>
          <w:rStyle w:val="a7"/>
          <w:rFonts w:cs="Arial"/>
          <w:rtl/>
        </w:rPr>
        <w:footnoteReference w:id="1744"/>
      </w:r>
      <w:r>
        <w:rPr>
          <w:rFonts w:cs="Arial"/>
          <w:rtl/>
        </w:rPr>
        <w:t xml:space="preserve"> </w:t>
      </w:r>
      <w:r w:rsidR="00A82951">
        <w:rPr>
          <w:rFonts w:cs="Arial"/>
          <w:rtl/>
        </w:rPr>
        <w:t>-</w:t>
      </w:r>
      <w:r>
        <w:rPr>
          <w:rFonts w:cs="Arial"/>
          <w:rtl/>
        </w:rPr>
        <w:t xml:space="preserve"> קנאתהו</w:t>
      </w:r>
      <w:r>
        <w:rPr>
          <w:rStyle w:val="a7"/>
          <w:rFonts w:cs="Arial"/>
          <w:rtl/>
        </w:rPr>
        <w:footnoteReference w:id="1745"/>
      </w:r>
      <w:r>
        <w:rPr>
          <w:rFonts w:cs="Arial"/>
          <w:rtl/>
        </w:rPr>
        <w:t xml:space="preserve"> ומתגרשת בו. ואמאי? חצר מהלכת היא, וחצר מהלכת לא קנה! וכי תימא בעומד, והאמר רבא: כל שאילו מהלך לא קנה, עומד ויושב לא קנה! והלכתא: בכפות</w:t>
      </w:r>
      <w:r>
        <w:rPr>
          <w:rStyle w:val="a7"/>
          <w:rFonts w:cs="Arial"/>
          <w:rtl/>
        </w:rPr>
        <w:footnoteReference w:id="1746"/>
      </w:r>
      <w:r>
        <w:rPr>
          <w:rFonts w:cs="Arial"/>
          <w:rtl/>
        </w:rPr>
        <w:t xml:space="preserve">. </w:t>
      </w:r>
      <w:r>
        <w:rPr>
          <w:rFonts w:cs="Arial"/>
          <w:u w:val="single"/>
          <w:rtl/>
        </w:rPr>
        <w:t>ואמר רבא</w:t>
      </w:r>
      <w:r>
        <w:rPr>
          <w:rFonts w:cs="Arial"/>
          <w:rtl/>
        </w:rPr>
        <w:t xml:space="preserve">: כתב לה גט ונתנו בחצרו, וכתב לה שטר מתנה עליו </w:t>
      </w:r>
      <w:r w:rsidR="00A82951">
        <w:rPr>
          <w:rFonts w:cs="Arial"/>
          <w:rtl/>
        </w:rPr>
        <w:t>-</w:t>
      </w:r>
      <w:r>
        <w:rPr>
          <w:rFonts w:cs="Arial"/>
          <w:rtl/>
        </w:rPr>
        <w:t xml:space="preserve"> קנאתהו ומתגרשת בו. וצריכא; דאי אשמעינן עבד, הוה אמינא דוקא עבד, אבל חצר </w:t>
      </w:r>
      <w:r w:rsidR="00A82951">
        <w:rPr>
          <w:rFonts w:cs="Arial"/>
          <w:rtl/>
        </w:rPr>
        <w:t>-</w:t>
      </w:r>
      <w:r>
        <w:rPr>
          <w:rFonts w:cs="Arial"/>
          <w:rtl/>
        </w:rPr>
        <w:t xml:space="preserve"> ליגזר משום חצרה הבאה לאחר מכאן</w:t>
      </w:r>
      <w:r>
        <w:rPr>
          <w:rStyle w:val="a7"/>
          <w:rFonts w:cs="Arial"/>
          <w:rtl/>
        </w:rPr>
        <w:footnoteReference w:id="1747"/>
      </w:r>
      <w:r>
        <w:rPr>
          <w:rFonts w:cs="Arial"/>
          <w:rtl/>
        </w:rPr>
        <w:t xml:space="preserve">. ואי אשמעינן חצר, ה"א דוקא חצר, אבל עבד </w:t>
      </w:r>
      <w:r w:rsidR="00A82951">
        <w:rPr>
          <w:rFonts w:cs="Arial"/>
          <w:rtl/>
        </w:rPr>
        <w:t>-</w:t>
      </w:r>
      <w:r>
        <w:rPr>
          <w:rFonts w:cs="Arial"/>
          <w:rtl/>
        </w:rPr>
        <w:t xml:space="preserve"> ליגזר כפות אטו שאינו כפות, קמ"ל.  </w:t>
      </w:r>
    </w:p>
    <w:p w14:paraId="01796C34" w14:textId="77777777" w:rsidR="00FA2119" w:rsidRDefault="00FA2119" w:rsidP="00FA2119">
      <w:pPr>
        <w:rPr>
          <w:u w:val="single"/>
          <w:rtl/>
        </w:rPr>
      </w:pPr>
      <w:r>
        <w:rPr>
          <w:u w:val="single"/>
          <w:rtl/>
        </w:rPr>
        <w:t>נתן הגט ביד עבדו ונתן לה את העבד במתנה:</w:t>
      </w:r>
    </w:p>
    <w:p w14:paraId="2A38A6D0" w14:textId="016E6023" w:rsidR="00FA2119" w:rsidRDefault="00FA2119" w:rsidP="006A458D">
      <w:pPr>
        <w:pStyle w:val="ab"/>
        <w:numPr>
          <w:ilvl w:val="0"/>
          <w:numId w:val="96"/>
        </w:numPr>
        <w:rPr>
          <w:rtl/>
        </w:rPr>
      </w:pPr>
      <w:r>
        <w:rPr>
          <w:rFonts w:cs="Arial"/>
          <w:rtl/>
        </w:rPr>
        <w:lastRenderedPageBreak/>
        <w:t>טור</w:t>
      </w:r>
      <w:r w:rsidR="00A82951">
        <w:rPr>
          <w:rFonts w:cs="Arial"/>
          <w:rtl/>
        </w:rPr>
        <w:t>-</w:t>
      </w:r>
      <w:r>
        <w:rPr>
          <w:rFonts w:cs="Arial"/>
          <w:rtl/>
        </w:rPr>
        <w:t xml:space="preserve"> נתנו ביד עבדו והוא ישן וכפות, ונתן לה העבד במתנה </w:t>
      </w:r>
      <w:r w:rsidR="00A82951">
        <w:rPr>
          <w:rFonts w:cs="Arial"/>
          <w:rtl/>
        </w:rPr>
        <w:t>-</w:t>
      </w:r>
      <w:r>
        <w:rPr>
          <w:rFonts w:cs="Arial"/>
          <w:rtl/>
        </w:rPr>
        <w:t xml:space="preserve"> כיון שזכתה בעבד זכתה גם בגט והיא מגורשת. וכן אם נתנו בחצירו ונותן לה חצירו </w:t>
      </w:r>
      <w:r w:rsidR="00A82951">
        <w:rPr>
          <w:rFonts w:cs="Arial"/>
          <w:rtl/>
        </w:rPr>
        <w:t>-</w:t>
      </w:r>
      <w:r>
        <w:rPr>
          <w:rFonts w:cs="Arial"/>
          <w:rtl/>
        </w:rPr>
        <w:t xml:space="preserve"> זכתה בשניהם. </w:t>
      </w:r>
    </w:p>
    <w:p w14:paraId="5A643B93" w14:textId="262877D0" w:rsidR="00FA2119" w:rsidRDefault="00FA2119" w:rsidP="006A458D">
      <w:pPr>
        <w:pStyle w:val="ab"/>
        <w:numPr>
          <w:ilvl w:val="0"/>
          <w:numId w:val="96"/>
        </w:numPr>
      </w:pPr>
      <w:r>
        <w:rPr>
          <w:rFonts w:cs="Arial"/>
          <w:rtl/>
        </w:rPr>
        <w:t xml:space="preserve">רמב"ם </w:t>
      </w:r>
      <w:r>
        <w:rPr>
          <w:rFonts w:cs="Arial"/>
          <w:sz w:val="16"/>
          <w:szCs w:val="16"/>
          <w:rtl/>
        </w:rPr>
        <w:t>(פ"ה הי"ח)</w:t>
      </w:r>
      <w:r w:rsidR="00A82951">
        <w:rPr>
          <w:rFonts w:cs="Arial"/>
          <w:rtl/>
        </w:rPr>
        <w:t>-</w:t>
      </w:r>
      <w:r>
        <w:rPr>
          <w:rFonts w:cs="Arial"/>
          <w:rtl/>
        </w:rPr>
        <w:t xml:space="preserve"> כתב גט ונתנו ביד עבדו, וכתב לה שטר מתנה עליו </w:t>
      </w:r>
      <w:r w:rsidR="00A82951">
        <w:rPr>
          <w:rFonts w:cs="Arial"/>
          <w:rtl/>
        </w:rPr>
        <w:t>-</w:t>
      </w:r>
      <w:r>
        <w:rPr>
          <w:rFonts w:cs="Arial"/>
          <w:rtl/>
        </w:rPr>
        <w:t xml:space="preserve"> כיון שזכת בעבד זכת בגט ונתגרשה אם היה כפות. ואם אינו כפות, ונעור</w:t>
      </w:r>
      <w:r>
        <w:rPr>
          <w:rStyle w:val="a7"/>
          <w:rFonts w:cs="Arial"/>
          <w:rtl/>
        </w:rPr>
        <w:footnoteReference w:id="1748"/>
      </w:r>
      <w:r>
        <w:rPr>
          <w:rFonts w:cs="Arial"/>
          <w:rtl/>
        </w:rPr>
        <w:t xml:space="preserve"> </w:t>
      </w:r>
      <w:r w:rsidR="00A82951">
        <w:rPr>
          <w:rFonts w:cs="Arial"/>
          <w:rtl/>
        </w:rPr>
        <w:t>-</w:t>
      </w:r>
      <w:r>
        <w:rPr>
          <w:rFonts w:cs="Arial"/>
          <w:rtl/>
        </w:rPr>
        <w:t xml:space="preserve"> קנת העבד ואינה מגורשת עד שיגיע הגט לידה</w:t>
      </w:r>
      <w:r>
        <w:rPr>
          <w:rStyle w:val="a7"/>
          <w:rFonts w:cs="Arial"/>
          <w:rtl/>
        </w:rPr>
        <w:footnoteReference w:id="1749"/>
      </w:r>
      <w:r>
        <w:rPr>
          <w:rFonts w:cs="Arial"/>
          <w:rtl/>
        </w:rPr>
        <w:t xml:space="preserve">. וכן אם נתן הגט בחצרו ומכר לה החצר או נתנה לה </w:t>
      </w:r>
      <w:r w:rsidR="00A82951">
        <w:rPr>
          <w:rFonts w:cs="Arial"/>
          <w:rtl/>
        </w:rPr>
        <w:t>-</w:t>
      </w:r>
      <w:r>
        <w:rPr>
          <w:rFonts w:cs="Arial"/>
          <w:rtl/>
        </w:rPr>
        <w:t xml:space="preserve"> כיון שקנת החצר בשטר או בכסף או בחזקה נתגרשה</w:t>
      </w:r>
      <w:r>
        <w:rPr>
          <w:rStyle w:val="a7"/>
          <w:rFonts w:cs="Arial"/>
          <w:rtl/>
        </w:rPr>
        <w:footnoteReference w:id="1750"/>
      </w:r>
      <w:r>
        <w:rPr>
          <w:rFonts w:cs="Arial"/>
          <w:rtl/>
        </w:rPr>
        <w:t xml:space="preserve">. </w:t>
      </w:r>
      <w:r>
        <w:rPr>
          <w:color w:val="E36C0A" w:themeColor="accent6" w:themeShade="BF"/>
          <w:rtl/>
        </w:rPr>
        <w:t>(וכ"פ בשו"ע)</w:t>
      </w:r>
    </w:p>
    <w:p w14:paraId="524E5CB7" w14:textId="77777777" w:rsidR="00FA2119" w:rsidRDefault="00FA2119" w:rsidP="00FA2119">
      <w:pPr>
        <w:ind w:left="360"/>
        <w:rPr>
          <w:u w:val="dotted"/>
        </w:rPr>
      </w:pPr>
      <w:r>
        <w:rPr>
          <w:u w:val="dotted"/>
          <w:rtl/>
        </w:rPr>
        <w:t>ומה הדין אם נתנו בחצרו של אדם אחר, ואח"כ החצר עברה לרשותה:</w:t>
      </w:r>
    </w:p>
    <w:p w14:paraId="2347C6A1" w14:textId="48C17D22" w:rsidR="00FA2119" w:rsidRDefault="00FA2119" w:rsidP="006A458D">
      <w:pPr>
        <w:pStyle w:val="ab"/>
        <w:numPr>
          <w:ilvl w:val="0"/>
          <w:numId w:val="96"/>
        </w:numPr>
      </w:pPr>
      <w:r>
        <w:rPr>
          <w:rFonts w:cs="Arial"/>
          <w:rtl/>
        </w:rPr>
        <w:t>טור</w:t>
      </w:r>
      <w:r w:rsidR="00A82951">
        <w:rPr>
          <w:rFonts w:cs="Arial"/>
          <w:rtl/>
        </w:rPr>
        <w:t>-</w:t>
      </w:r>
      <w:r>
        <w:rPr>
          <w:rFonts w:cs="Arial"/>
          <w:rtl/>
        </w:rPr>
        <w:t xml:space="preserve"> אבל אם נתנו בחצירו של כל אדם, והאחר נתן לה החצר, או שקנאתו ממנו </w:t>
      </w:r>
      <w:r w:rsidR="00A82951">
        <w:rPr>
          <w:rFonts w:cs="Arial"/>
          <w:rtl/>
        </w:rPr>
        <w:t>-</w:t>
      </w:r>
      <w:r>
        <w:rPr>
          <w:rFonts w:cs="Arial"/>
          <w:rtl/>
        </w:rPr>
        <w:t xml:space="preserve"> אינה מגורשת.</w:t>
      </w:r>
      <w:r>
        <w:rPr>
          <w:color w:val="E36C0A" w:themeColor="accent6" w:themeShade="BF"/>
          <w:rtl/>
        </w:rPr>
        <w:t xml:space="preserve"> (וכ"פ בשו"ע)</w:t>
      </w:r>
    </w:p>
    <w:p w14:paraId="139BC26B"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97E31A0" w14:textId="77777777" w:rsidR="00FA2119" w:rsidRDefault="00FA2119" w:rsidP="00FA2119">
      <w:pPr>
        <w:rPr>
          <w:rtl/>
        </w:rPr>
      </w:pPr>
      <w:r>
        <w:rPr>
          <w:rFonts w:cs="Arial"/>
          <w:rtl/>
        </w:rPr>
        <w:t>כתב הגט ונתנו ביד עבדו, וכתב</w:t>
      </w:r>
      <w:r>
        <w:rPr>
          <w:rStyle w:val="a7"/>
          <w:rFonts w:cs="Arial"/>
          <w:rtl/>
        </w:rPr>
        <w:footnoteReference w:id="1751"/>
      </w:r>
      <w:r>
        <w:rPr>
          <w:rFonts w:cs="Arial"/>
          <w:rtl/>
        </w:rPr>
        <w:t xml:space="preserve"> לה שטר מתנה עליו, כיון שזכתה בעבד זכתה בגט ונתגרשה אם היה כפות. ואם אינו כפות, ונעור, קנתה העבד ואינה מגורשת עד שיגיע הגט לידה. וכן אם נתן הגט בחצרו ומכר לה החצר או נתנו לה, כיון שקנתה החצר בשטר או בכסף או בחזקה נתגרשה. אבל אם נתנו בחצרו של אדם אחר, והאחר נתן לה החצר, או שקנאתו ממנו, אינה מגורשת.</w:t>
      </w:r>
    </w:p>
    <w:p w14:paraId="5942AE26" w14:textId="77777777" w:rsidR="00FA2119" w:rsidRDefault="00FA2119" w:rsidP="00FA2119">
      <w:pPr>
        <w:bidi w:val="0"/>
        <w:spacing w:after="0"/>
        <w:rPr>
          <w:rtl/>
        </w:rPr>
        <w:sectPr w:rsidR="00FA2119">
          <w:headerReference w:type="default" r:id="rId32"/>
          <w:footnotePr>
            <w:numRestart w:val="eachSect"/>
          </w:footnotePr>
          <w:pgSz w:w="11906" w:h="16838"/>
          <w:pgMar w:top="720" w:right="1134" w:bottom="720" w:left="1134" w:header="0" w:footer="0" w:gutter="0"/>
          <w:cols w:space="720"/>
          <w:bidi/>
          <w:rtlGutter/>
        </w:sectPr>
      </w:pPr>
    </w:p>
    <w:p w14:paraId="6E1FDEA3" w14:textId="77777777" w:rsidR="00FA2119" w:rsidRDefault="00FA2119" w:rsidP="00FA2119">
      <w:pPr>
        <w:pStyle w:val="1"/>
        <w:rPr>
          <w:rtl/>
        </w:rPr>
      </w:pPr>
      <w:r>
        <w:rPr>
          <w:rtl/>
        </w:rPr>
        <w:lastRenderedPageBreak/>
        <w:t xml:space="preserve">סימן קמ: </w:t>
      </w:r>
      <w:r>
        <w:rPr>
          <w:rFonts w:cs="Arial"/>
          <w:rtl/>
        </w:rPr>
        <w:t xml:space="preserve">דין </w:t>
      </w:r>
      <w:bookmarkStart w:id="19" w:name="_Hlk137980512"/>
      <w:r>
        <w:rPr>
          <w:rFonts w:cs="Arial"/>
          <w:rtl/>
        </w:rPr>
        <w:t>שליח להולכה וקבלה והבאה</w:t>
      </w:r>
      <w:bookmarkEnd w:id="19"/>
      <w:r>
        <w:rPr>
          <w:rFonts w:cs="Arial"/>
          <w:rtl/>
        </w:rPr>
        <w:t xml:space="preserve">, ובו י"א סעיפים. </w:t>
      </w:r>
    </w:p>
    <w:p w14:paraId="57AD1690" w14:textId="77777777" w:rsidR="00FA2119" w:rsidRDefault="00FA2119" w:rsidP="00FA2119">
      <w:pPr>
        <w:pStyle w:val="2"/>
        <w:rPr>
          <w:rtl/>
        </w:rPr>
      </w:pPr>
      <w:r>
        <w:rPr>
          <w:rtl/>
        </w:rPr>
        <w:t>סעיף א: שליח הולכה.</w:t>
      </w:r>
    </w:p>
    <w:p w14:paraId="26477C30" w14:textId="558E45EC" w:rsidR="00FA2119" w:rsidRDefault="00FA2119" w:rsidP="00FA2119">
      <w:pPr>
        <w:rPr>
          <w:rtl/>
        </w:rPr>
      </w:pPr>
      <w:r>
        <w:rPr>
          <w:rFonts w:cs="Arial"/>
          <w:b/>
          <w:bCs/>
          <w:rtl/>
        </w:rPr>
        <w:t xml:space="preserve">גיטין </w:t>
      </w:r>
      <w:r>
        <w:rPr>
          <w:rFonts w:cs="Arial"/>
          <w:b/>
          <w:bCs/>
          <w:sz w:val="16"/>
          <w:szCs w:val="16"/>
          <w:rtl/>
        </w:rPr>
        <w:t>(ר"פ התקבל)</w:t>
      </w:r>
      <w:r>
        <w:rPr>
          <w:rFonts w:cs="Arial"/>
          <w:b/>
          <w:bCs/>
          <w:rtl/>
        </w:rPr>
        <w:t xml:space="preserve"> סב ע"ב:</w:t>
      </w:r>
      <w:r>
        <w:rPr>
          <w:rFonts w:cs="Arial"/>
          <w:rtl/>
        </w:rPr>
        <w:t xml:space="preserve"> </w:t>
      </w:r>
      <w:r>
        <w:rPr>
          <w:rFonts w:cs="Arial"/>
          <w:u w:val="double"/>
          <w:rtl/>
        </w:rPr>
        <w:t>מתני'</w:t>
      </w:r>
      <w:r>
        <w:rPr>
          <w:rFonts w:cs="Arial"/>
          <w:rtl/>
        </w:rPr>
        <w:t>: האומר התקבל גט זה לאשתי או הולך גט זה לאשתי, אם רצה לחזור</w:t>
      </w:r>
      <w:r>
        <w:rPr>
          <w:rStyle w:val="a7"/>
          <w:rFonts w:cs="Arial"/>
          <w:rtl/>
        </w:rPr>
        <w:footnoteReference w:id="1752"/>
      </w:r>
      <w:r>
        <w:rPr>
          <w:rFonts w:cs="Arial"/>
          <w:rtl/>
        </w:rPr>
        <w:t xml:space="preserve"> </w:t>
      </w:r>
      <w:r w:rsidR="00A82951">
        <w:rPr>
          <w:rFonts w:cs="Arial"/>
          <w:rtl/>
        </w:rPr>
        <w:t>-</w:t>
      </w:r>
      <w:r>
        <w:rPr>
          <w:rFonts w:cs="Arial"/>
          <w:rtl/>
        </w:rPr>
        <w:t xml:space="preserve"> יחזור</w:t>
      </w:r>
      <w:r>
        <w:rPr>
          <w:rStyle w:val="a7"/>
          <w:rFonts w:cs="Arial"/>
          <w:rtl/>
        </w:rPr>
        <w:footnoteReference w:id="1753"/>
      </w:r>
      <w:r>
        <w:rPr>
          <w:rFonts w:cs="Arial"/>
          <w:rtl/>
        </w:rPr>
        <w:t>...</w:t>
      </w:r>
    </w:p>
    <w:p w14:paraId="1F740A2B" w14:textId="77777777" w:rsidR="00FA2119" w:rsidRDefault="00FA2119" w:rsidP="00FA2119">
      <w:pPr>
        <w:rPr>
          <w:u w:val="single"/>
          <w:rtl/>
        </w:rPr>
      </w:pPr>
      <w:r>
        <w:rPr>
          <w:u w:val="single"/>
          <w:rtl/>
        </w:rPr>
        <w:t>שליח הולכה:</w:t>
      </w:r>
    </w:p>
    <w:p w14:paraId="41B6C719" w14:textId="7C7121AF" w:rsidR="00FA2119" w:rsidRDefault="00FA2119" w:rsidP="006A458D">
      <w:pPr>
        <w:pStyle w:val="ab"/>
        <w:numPr>
          <w:ilvl w:val="0"/>
          <w:numId w:val="102"/>
        </w:numPr>
        <w:rPr>
          <w:rtl/>
        </w:rPr>
      </w:pPr>
      <w:r>
        <w:rPr>
          <w:rtl/>
        </w:rPr>
        <w:t>טור</w:t>
      </w:r>
      <w:r w:rsidR="00A82951">
        <w:rPr>
          <w:rtl/>
        </w:rPr>
        <w:t>-</w:t>
      </w:r>
      <w:r>
        <w:rPr>
          <w:rtl/>
        </w:rPr>
        <w:t xml:space="preserve"> </w:t>
      </w:r>
      <w:r>
        <w:rPr>
          <w:rFonts w:cs="Arial"/>
          <w:rtl/>
        </w:rPr>
        <w:t xml:space="preserve">האיש עושה שליח להוליך גט לאשתו, וזהו שנקרא שליח להולכה. ואינו גט עד שיגיע גט לידה, לפיכך יכול לחזור בו עד שיגיע גט לידה. </w:t>
      </w:r>
      <w:r>
        <w:rPr>
          <w:color w:val="E36C0A" w:themeColor="accent6" w:themeShade="BF"/>
          <w:rtl/>
        </w:rPr>
        <w:t>(וכ"פ בשו"ע)</w:t>
      </w:r>
    </w:p>
    <w:p w14:paraId="1C00DBC2"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67FB5480" w14:textId="1B264085" w:rsidR="00FA2119" w:rsidRDefault="00FA2119" w:rsidP="00FA2119">
      <w:pPr>
        <w:rPr>
          <w:rtl/>
        </w:rPr>
      </w:pPr>
      <w:r>
        <w:rPr>
          <w:rFonts w:cs="Arial"/>
          <w:rtl/>
        </w:rPr>
        <w:t xml:space="preserve">האיש עושה שליח להוליך גט לאשתו, וזה נקרא שליח הולכה. ואינו גט עד שיגיע גט לידה, לפיכך יכול לחזור בו עד שיגיע גט לידה. </w:t>
      </w:r>
    </w:p>
    <w:p w14:paraId="2FE5A717" w14:textId="77777777" w:rsidR="00FA2119" w:rsidRDefault="00FA2119" w:rsidP="00FA2119">
      <w:pPr>
        <w:rPr>
          <w:rtl/>
        </w:rPr>
      </w:pPr>
    </w:p>
    <w:p w14:paraId="1847E91C" w14:textId="77777777" w:rsidR="00FA2119" w:rsidRDefault="00FA2119" w:rsidP="00FA2119">
      <w:pPr>
        <w:pStyle w:val="2"/>
        <w:rPr>
          <w:rtl/>
        </w:rPr>
      </w:pPr>
      <w:r>
        <w:rPr>
          <w:rtl/>
        </w:rPr>
        <w:t>סעיף ב: דין השליח כדין הבעל.</w:t>
      </w:r>
    </w:p>
    <w:p w14:paraId="19C6A327" w14:textId="77777777" w:rsidR="00FA2119" w:rsidRDefault="00FA2119" w:rsidP="00FA2119">
      <w:pPr>
        <w:rPr>
          <w:u w:val="single"/>
          <w:rtl/>
        </w:rPr>
      </w:pPr>
      <w:r>
        <w:rPr>
          <w:u w:val="single"/>
          <w:rtl/>
        </w:rPr>
        <w:t>דין השליח כדין הבעל:</w:t>
      </w:r>
    </w:p>
    <w:p w14:paraId="746DC9AF" w14:textId="076F876D" w:rsidR="00FA2119" w:rsidRDefault="00FA2119" w:rsidP="006A458D">
      <w:pPr>
        <w:pStyle w:val="ab"/>
        <w:numPr>
          <w:ilvl w:val="0"/>
          <w:numId w:val="102"/>
        </w:numPr>
        <w:rPr>
          <w:rtl/>
        </w:rPr>
      </w:pPr>
      <w:r>
        <w:rPr>
          <w:rtl/>
        </w:rPr>
        <w:t>רמב"ם</w:t>
      </w:r>
      <w:r>
        <w:rPr>
          <w:rStyle w:val="a7"/>
          <w:rtl/>
        </w:rPr>
        <w:footnoteReference w:id="1754"/>
      </w:r>
      <w:r>
        <w:rPr>
          <w:rtl/>
        </w:rPr>
        <w:t xml:space="preserve"> </w:t>
      </w:r>
      <w:r>
        <w:rPr>
          <w:sz w:val="16"/>
          <w:szCs w:val="16"/>
          <w:rtl/>
        </w:rPr>
        <w:t>(פ"ו הי"ד)</w:t>
      </w:r>
      <w:r>
        <w:rPr>
          <w:rtl/>
        </w:rPr>
        <w:t xml:space="preserve"> וטור</w:t>
      </w:r>
      <w:r w:rsidR="00A82951">
        <w:rPr>
          <w:rtl/>
        </w:rPr>
        <w:t>-</w:t>
      </w:r>
      <w:r>
        <w:rPr>
          <w:rFonts w:cs="Arial"/>
          <w:rtl/>
        </w:rPr>
        <w:t xml:space="preserve"> וכל דין האיש עם האשה בענין נתינת הגט בקריאתו ודבורו </w:t>
      </w:r>
      <w:r w:rsidR="00A82951">
        <w:rPr>
          <w:rFonts w:cs="Arial"/>
          <w:rtl/>
        </w:rPr>
        <w:t>-</w:t>
      </w:r>
      <w:r>
        <w:rPr>
          <w:rFonts w:cs="Arial"/>
          <w:rtl/>
        </w:rPr>
        <w:t xml:space="preserve"> כן דין שלוחו עמה</w:t>
      </w:r>
      <w:r>
        <w:rPr>
          <w:rStyle w:val="a7"/>
          <w:rFonts w:cs="Arial"/>
          <w:rtl/>
        </w:rPr>
        <w:footnoteReference w:id="1755"/>
      </w:r>
      <w:r>
        <w:rPr>
          <w:rFonts w:cs="Arial"/>
          <w:sz w:val="16"/>
          <w:szCs w:val="16"/>
          <w:rtl/>
        </w:rPr>
        <w:t xml:space="preserve"> (ל' הטור)</w:t>
      </w:r>
      <w:r>
        <w:rPr>
          <w:rFonts w:cs="Arial"/>
          <w:rtl/>
        </w:rPr>
        <w:t>.</w:t>
      </w:r>
      <w:r>
        <w:rPr>
          <w:color w:val="E36C0A" w:themeColor="accent6" w:themeShade="BF"/>
          <w:rtl/>
        </w:rPr>
        <w:t xml:space="preserve"> (וכ"פ בשו"ע)</w:t>
      </w:r>
    </w:p>
    <w:p w14:paraId="32DF3975" w14:textId="77777777" w:rsidR="00FA2119" w:rsidRDefault="00FA2119" w:rsidP="00FA2119">
      <w:r>
        <w:rPr>
          <w:rFonts w:cs="Arial"/>
          <w:u w:val="single"/>
          <w:rtl/>
        </w:rPr>
        <w:t>אמר לשליח 'הולך גט זה לאשתי בפני עדים, ואם יאבד תכתוב גט אחר עד שיבא הגט לידה'</w:t>
      </w:r>
      <w:r>
        <w:rPr>
          <w:u w:val="single"/>
          <w:rtl/>
        </w:rPr>
        <w:t>:</w:t>
      </w:r>
    </w:p>
    <w:p w14:paraId="38AC1326" w14:textId="76489505" w:rsidR="00FA2119" w:rsidRDefault="00FA2119" w:rsidP="006A458D">
      <w:pPr>
        <w:pStyle w:val="ab"/>
        <w:numPr>
          <w:ilvl w:val="0"/>
          <w:numId w:val="102"/>
        </w:numPr>
      </w:pPr>
      <w:r>
        <w:rPr>
          <w:rFonts w:cs="Arial"/>
          <w:rtl/>
        </w:rPr>
        <w:t xml:space="preserve">בהעי"ט </w:t>
      </w:r>
      <w:r>
        <w:rPr>
          <w:rFonts w:cs="Arial"/>
          <w:sz w:val="16"/>
          <w:szCs w:val="16"/>
          <w:rtl/>
        </w:rPr>
        <w:t>(מאמר שביעי כח ע"ד, כ"כ הטור בשמו)</w:t>
      </w:r>
      <w:r w:rsidR="00A82951">
        <w:rPr>
          <w:rFonts w:cs="Arial"/>
          <w:rtl/>
        </w:rPr>
        <w:t>-</w:t>
      </w:r>
      <w:r>
        <w:rPr>
          <w:rFonts w:cs="Arial"/>
          <w:rtl/>
        </w:rPr>
        <w:t xml:space="preserve"> אמר לשליח 'הולך גט זה לאשתי בפני עדים, ואם יאבד תכתוב גט אחר עד שיבא הגט לידה' </w:t>
      </w:r>
      <w:r w:rsidR="00A82951">
        <w:rPr>
          <w:rFonts w:cs="Arial"/>
          <w:rtl/>
        </w:rPr>
        <w:t>-</w:t>
      </w:r>
      <w:r>
        <w:rPr>
          <w:rFonts w:cs="Arial"/>
          <w:rtl/>
        </w:rPr>
        <w:t xml:space="preserve"> לית ליה רשות למימר לספרא למכתביה, דמילי לא ממסרי לשליח. ואם כתב הוא בעצמו ונתנו לה בפני עדים </w:t>
      </w:r>
      <w:r w:rsidR="00A82951">
        <w:rPr>
          <w:rFonts w:cs="Arial"/>
          <w:rtl/>
        </w:rPr>
        <w:t>-</w:t>
      </w:r>
      <w:r>
        <w:rPr>
          <w:rFonts w:cs="Arial"/>
          <w:rtl/>
        </w:rPr>
        <w:t xml:space="preserve"> כשר ותנשא בו לכתחילה, דעידי מסירה כרתי בדיעבד</w:t>
      </w:r>
      <w:r>
        <w:rPr>
          <w:rFonts w:cs="Arial"/>
          <w:sz w:val="16"/>
          <w:szCs w:val="16"/>
          <w:rtl/>
        </w:rPr>
        <w:t xml:space="preserve"> (ל' הטור בשמו)</w:t>
      </w:r>
      <w:r>
        <w:rPr>
          <w:rStyle w:val="a7"/>
          <w:rFonts w:cs="Arial"/>
          <w:rtl/>
        </w:rPr>
        <w:footnoteReference w:id="1756"/>
      </w:r>
      <w:r>
        <w:rPr>
          <w:rFonts w:cs="Arial"/>
          <w:rtl/>
        </w:rPr>
        <w:t>.</w:t>
      </w:r>
    </w:p>
    <w:p w14:paraId="3C6763E2"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56FAF17" w14:textId="77777777" w:rsidR="00FA2119" w:rsidRDefault="00FA2119" w:rsidP="00FA2119">
      <w:pPr>
        <w:rPr>
          <w:rtl/>
        </w:rPr>
      </w:pPr>
      <w:r>
        <w:rPr>
          <w:rFonts w:cs="Arial"/>
          <w:rtl/>
        </w:rPr>
        <w:t xml:space="preserve">כל דין האיש עם האשה, בענין נתינת הגט וקריאתו ודיבורו, כן דין שלוחו עמה. </w:t>
      </w:r>
      <w:r>
        <w:rPr>
          <w:rFonts w:cs="Arial"/>
          <w:sz w:val="18"/>
          <w:szCs w:val="18"/>
          <w:rtl/>
        </w:rPr>
        <w:t>הגה: והחכם המסדר הנתינה עם שנים שעמו, כמו שיתבאר לקמן סי' קמ"א סעיף ד', ידקדק בגט תחילה שכתוב כהוגן (וכמו שיתבאר לקמן בסדר הגט סע' צא).</w:t>
      </w:r>
      <w:r>
        <w:rPr>
          <w:rFonts w:cs="Arial"/>
          <w:rtl/>
        </w:rPr>
        <w:t xml:space="preserve"> </w:t>
      </w:r>
    </w:p>
    <w:p w14:paraId="089CE4F8" w14:textId="77777777" w:rsidR="00FA2119" w:rsidRDefault="00FA2119" w:rsidP="00FA2119">
      <w:pPr>
        <w:rPr>
          <w:rtl/>
        </w:rPr>
      </w:pPr>
    </w:p>
    <w:p w14:paraId="0608A8E2" w14:textId="77777777" w:rsidR="00FA2119" w:rsidRDefault="00FA2119" w:rsidP="00FA2119">
      <w:pPr>
        <w:pStyle w:val="2"/>
        <w:rPr>
          <w:rtl/>
        </w:rPr>
      </w:pPr>
      <w:r>
        <w:rPr>
          <w:rtl/>
        </w:rPr>
        <w:t>סעיף ג: שליח קבלה.</w:t>
      </w:r>
    </w:p>
    <w:p w14:paraId="15438EB7" w14:textId="15D89930" w:rsidR="00FA2119" w:rsidRDefault="00FA2119" w:rsidP="00FA2119">
      <w:pPr>
        <w:rPr>
          <w:rtl/>
        </w:rPr>
      </w:pPr>
      <w:r>
        <w:rPr>
          <w:rFonts w:cs="Arial"/>
          <w:b/>
          <w:bCs/>
          <w:rtl/>
        </w:rPr>
        <w:t xml:space="preserve">גיטין </w:t>
      </w:r>
      <w:r>
        <w:rPr>
          <w:rFonts w:cs="Arial"/>
          <w:b/>
          <w:bCs/>
          <w:sz w:val="16"/>
          <w:szCs w:val="16"/>
          <w:rtl/>
        </w:rPr>
        <w:t>(ר"פ התקבל)</w:t>
      </w:r>
      <w:r>
        <w:rPr>
          <w:rFonts w:cs="Arial"/>
          <w:b/>
          <w:bCs/>
          <w:rtl/>
        </w:rPr>
        <w:t xml:space="preserve"> סב ע"ב:</w:t>
      </w:r>
      <w:r>
        <w:rPr>
          <w:rFonts w:cs="Arial"/>
          <w:rtl/>
        </w:rPr>
        <w:t xml:space="preserve"> </w:t>
      </w:r>
      <w:r>
        <w:rPr>
          <w:rFonts w:cs="Arial"/>
          <w:u w:val="double"/>
          <w:rtl/>
        </w:rPr>
        <w:t>מתני'</w:t>
      </w:r>
      <w:r>
        <w:rPr>
          <w:rFonts w:cs="Arial"/>
          <w:rtl/>
        </w:rPr>
        <w:t xml:space="preserve">:... האשה שאמרה התקבל לי גיטי, אם רצה לחזור </w:t>
      </w:r>
      <w:r w:rsidR="00A82951">
        <w:rPr>
          <w:rFonts w:cs="Arial"/>
          <w:rtl/>
        </w:rPr>
        <w:t>-</w:t>
      </w:r>
      <w:r>
        <w:rPr>
          <w:rFonts w:cs="Arial"/>
          <w:rtl/>
        </w:rPr>
        <w:t xml:space="preserve"> לא יחזור</w:t>
      </w:r>
      <w:r>
        <w:rPr>
          <w:rStyle w:val="a7"/>
          <w:rFonts w:cs="Arial"/>
          <w:rtl/>
        </w:rPr>
        <w:footnoteReference w:id="1757"/>
      </w:r>
      <w:r>
        <w:rPr>
          <w:rFonts w:cs="Arial"/>
          <w:rtl/>
        </w:rPr>
        <w:t>.</w:t>
      </w:r>
    </w:p>
    <w:p w14:paraId="5BC6C730" w14:textId="77777777" w:rsidR="00FA2119" w:rsidRDefault="00FA2119" w:rsidP="00FA2119">
      <w:pPr>
        <w:rPr>
          <w:u w:val="single"/>
          <w:rtl/>
        </w:rPr>
      </w:pPr>
      <w:r>
        <w:rPr>
          <w:u w:val="single"/>
          <w:rtl/>
        </w:rPr>
        <w:t>שליח קבלה:</w:t>
      </w:r>
    </w:p>
    <w:p w14:paraId="73D46BEE" w14:textId="7BFCE81B"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האשה עושה שליח לקבלה,</w:t>
      </w:r>
      <w:r w:rsidR="00C73162">
        <w:rPr>
          <w:rFonts w:cs="Arial" w:hint="cs"/>
          <w:rtl/>
        </w:rPr>
        <w:t xml:space="preserve"> </w:t>
      </w:r>
      <w:r>
        <w:rPr>
          <w:rFonts w:cs="Arial"/>
          <w:rtl/>
        </w:rPr>
        <w:t xml:space="preserve">והיא מגורשת בקבלתו מיד כשיגיע הגט לידו. </w:t>
      </w:r>
      <w:r>
        <w:rPr>
          <w:color w:val="E36C0A" w:themeColor="accent6" w:themeShade="BF"/>
          <w:rtl/>
        </w:rPr>
        <w:t>(וכ"פ בשו"ע)</w:t>
      </w:r>
    </w:p>
    <w:p w14:paraId="373D6E17" w14:textId="77777777" w:rsidR="00FA2119" w:rsidRDefault="00FA2119" w:rsidP="00FA2119">
      <w:pPr>
        <w:ind w:left="360"/>
        <w:rPr>
          <w:u w:val="dotted"/>
        </w:rPr>
      </w:pPr>
      <w:r>
        <w:rPr>
          <w:u w:val="dotted"/>
          <w:rtl/>
        </w:rPr>
        <w:t>ומה הדין אם זרק את הגט ל</w:t>
      </w:r>
      <w:r>
        <w:rPr>
          <w:rFonts w:cs="Arial"/>
          <w:u w:val="dotted"/>
          <w:rtl/>
        </w:rPr>
        <w:t>חצרו או לתוך ד' אמותיו של השליח:</w:t>
      </w:r>
    </w:p>
    <w:p w14:paraId="4AB54019" w14:textId="3B7CA527" w:rsidR="00FA2119" w:rsidRDefault="00FA2119" w:rsidP="006A458D">
      <w:pPr>
        <w:pStyle w:val="ab"/>
        <w:numPr>
          <w:ilvl w:val="0"/>
          <w:numId w:val="102"/>
        </w:numPr>
      </w:pPr>
      <w:r>
        <w:rPr>
          <w:rFonts w:cs="Arial"/>
          <w:rtl/>
        </w:rPr>
        <w:lastRenderedPageBreak/>
        <w:t>טור</w:t>
      </w:r>
      <w:r w:rsidR="00A82951">
        <w:rPr>
          <w:rFonts w:cs="Arial"/>
          <w:rtl/>
        </w:rPr>
        <w:t>-</w:t>
      </w:r>
      <w:r>
        <w:rPr>
          <w:rFonts w:cs="Arial"/>
          <w:rtl/>
        </w:rPr>
        <w:t xml:space="preserve"> ובהא מספקא לן אם דינו כדין האשה לכל דבר לענין שאם זרק לחצרו או לתוך ד' אמותיו שתהיה מגורשת</w:t>
      </w:r>
      <w:r>
        <w:rPr>
          <w:rStyle w:val="a7"/>
          <w:rFonts w:cs="Arial"/>
          <w:rtl/>
        </w:rPr>
        <w:footnoteReference w:id="1758"/>
      </w:r>
      <w:r>
        <w:rPr>
          <w:rFonts w:cs="Arial"/>
          <w:rtl/>
        </w:rPr>
        <w:t xml:space="preserve">, ומסתברא שדינו כדין האשה לכל דבר. </w:t>
      </w:r>
      <w:r>
        <w:rPr>
          <w:color w:val="E36C0A" w:themeColor="accent6" w:themeShade="BF"/>
          <w:rtl/>
        </w:rPr>
        <w:t>(וכ"פ בשו"ע)</w:t>
      </w:r>
    </w:p>
    <w:p w14:paraId="2668CD75"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D9EDB32" w14:textId="2C64727D" w:rsidR="00FA2119" w:rsidRDefault="00FA2119" w:rsidP="00FA2119">
      <w:pPr>
        <w:rPr>
          <w:rtl/>
        </w:rPr>
      </w:pPr>
      <w:r>
        <w:rPr>
          <w:rFonts w:cs="Arial"/>
          <w:rtl/>
        </w:rPr>
        <w:t xml:space="preserve">האשה עושה שליח לקבלה, והיא מגורשת בקבלתו מיד כשיגיע הגט לידו. ודינו כדין האשה לכל דבר, לענין אם זרק גט לחצרו או לתוך ארבע אמותיו. </w:t>
      </w:r>
      <w:r>
        <w:rPr>
          <w:rFonts w:cs="Arial"/>
          <w:sz w:val="18"/>
          <w:szCs w:val="18"/>
          <w:rtl/>
        </w:rPr>
        <w:t xml:space="preserve">הגה: וכותב בגט: הרי את מותרת וכו', אבל כשנותן הגט אומר לו: התקבל גט זה לאשתי (ר"ן </w:t>
      </w:r>
      <w:r w:rsidRPr="00FA2FDE">
        <w:rPr>
          <w:rFonts w:cs="Arial"/>
          <w:sz w:val="18"/>
          <w:szCs w:val="18"/>
          <w:rtl/>
        </w:rPr>
        <w:t>קידושין ה. ד"ה וכתב</w:t>
      </w:r>
      <w:r>
        <w:rPr>
          <w:rFonts w:cs="Arial"/>
          <w:sz w:val="18"/>
          <w:szCs w:val="18"/>
          <w:rtl/>
        </w:rPr>
        <w:t>).</w:t>
      </w:r>
      <w:r>
        <w:rPr>
          <w:rFonts w:cs="Arial"/>
          <w:rtl/>
        </w:rPr>
        <w:t xml:space="preserve"> </w:t>
      </w:r>
    </w:p>
    <w:p w14:paraId="724BD0E6" w14:textId="77777777" w:rsidR="00FA2119" w:rsidRDefault="00FA2119" w:rsidP="00FA2119">
      <w:pPr>
        <w:rPr>
          <w:rFonts w:cs="Arial"/>
          <w:rtl/>
        </w:rPr>
      </w:pPr>
      <w:r>
        <w:rPr>
          <w:rFonts w:cs="Arial"/>
          <w:u w:val="single"/>
          <w:rtl/>
        </w:rPr>
        <w:t>אשה שאומרת 'כל מי שיבחר פלוני הוא שליח לקבל גיטי':</w:t>
      </w:r>
      <w:r>
        <w:rPr>
          <w:rFonts w:cs="Arial"/>
          <w:rtl/>
        </w:rPr>
        <w:t xml:space="preserve">  </w:t>
      </w:r>
      <w:r>
        <w:rPr>
          <w:rFonts w:cs="Arial"/>
          <w:sz w:val="16"/>
          <w:szCs w:val="16"/>
          <w:rtl/>
        </w:rPr>
        <w:t>(פת"ש סק"ב)</w:t>
      </w:r>
      <w:r>
        <w:rPr>
          <w:rFonts w:cs="Arial"/>
          <w:rtl/>
        </w:rPr>
        <w:t xml:space="preserve"> </w:t>
      </w:r>
    </w:p>
    <w:p w14:paraId="6199E92F" w14:textId="6147E39D" w:rsidR="00FA2119" w:rsidRDefault="00FA2119" w:rsidP="006A458D">
      <w:pPr>
        <w:pStyle w:val="ab"/>
        <w:numPr>
          <w:ilvl w:val="0"/>
          <w:numId w:val="102"/>
        </w:numPr>
        <w:rPr>
          <w:rtl/>
        </w:rPr>
      </w:pPr>
      <w:r>
        <w:rPr>
          <w:rFonts w:cs="Arial"/>
          <w:rtl/>
        </w:rPr>
        <w:t xml:space="preserve">נו"ב </w:t>
      </w:r>
      <w:r>
        <w:rPr>
          <w:rFonts w:cs="Arial"/>
          <w:sz w:val="16"/>
          <w:szCs w:val="16"/>
          <w:rtl/>
        </w:rPr>
        <w:t>(סי' צא)</w:t>
      </w:r>
      <w:r w:rsidR="00A82951">
        <w:rPr>
          <w:rFonts w:cs="Arial"/>
          <w:rtl/>
        </w:rPr>
        <w:t>-</w:t>
      </w:r>
      <w:r>
        <w:rPr>
          <w:rFonts w:cs="Arial"/>
          <w:rtl/>
        </w:rPr>
        <w:t xml:space="preserve"> אם יכולה אשה לברור שליח לקבלה שלא תייחדנו בשם רק שאומרת את מי שיבחר פלוני שיהיה שלוחי אותו אני ממנה... אם אומרת 'כל הרוצה לקבל גיטה יהיה שלוחה' </w:t>
      </w:r>
      <w:r w:rsidR="00A82951">
        <w:rPr>
          <w:rFonts w:cs="Arial"/>
          <w:rtl/>
        </w:rPr>
        <w:t>-</w:t>
      </w:r>
      <w:r>
        <w:rPr>
          <w:rFonts w:cs="Arial"/>
          <w:rtl/>
        </w:rPr>
        <w:t xml:space="preserve"> זה ודאי לא מהני דכל הרוצה לאו שליחות הוא (ע' בזה בתשו' הרדב"ז ח"ג סי' תקצח) שאינה מייחדת אדם מיוחד</w:t>
      </w:r>
      <w:r w:rsidR="00FA2FDE">
        <w:rPr>
          <w:rFonts w:cs="Arial" w:hint="cs"/>
          <w:rtl/>
        </w:rPr>
        <w:t>,</w:t>
      </w:r>
      <w:r>
        <w:rPr>
          <w:rFonts w:cs="Arial"/>
          <w:rtl/>
        </w:rPr>
        <w:t xml:space="preserve"> וכמ"ש התוס' בגיטין (סו.). אבל באמרה 'כל מי שיבחר פלוני' </w:t>
      </w:r>
      <w:r w:rsidR="00A82951">
        <w:rPr>
          <w:rFonts w:cs="Arial"/>
          <w:rtl/>
        </w:rPr>
        <w:t>-</w:t>
      </w:r>
      <w:r>
        <w:rPr>
          <w:rFonts w:cs="Arial"/>
          <w:rtl/>
        </w:rPr>
        <w:t xml:space="preserve"> נראה דמהני, דהרי בחרה דוקא במי שיבחר פלוני ושפיר הוי שליחות, דומיא דכל השומע קולי יכתב גט. ואף דיש לדחות דשם תיכף שומע השומע ונגמר המינוי, אבל כאן אין השליחות נגמר אלא בעת שיבחר פלוני, א"כ יש חשש למ"ד אין ברירה, מ"מ נראה דכל דיני ברירה לא נאמרו אלא בדבר שאנו צריכין לומר שהוברר למפרע, אבל מינוי השליחות א"צ להיות מבורר למפרע, ודי שהוא שלוחה בשעת קבלה, א"כ אין דבר זה נוגע לדיני ברירה כלל. וראיה לזה מהאומר לעשרה כתבו וחתמו ותנו גט לאשתי (לעיל סי' ק"כ ס"ח) אחד כותב וב' חותמין וא' נותן והרי הבעל לא יחד מי מהם ואעפ"כ אין בזה חשש ברירה... ולפי שדיני ברירה מפוזרים וצ"ע בכמה מקומות לא קבעתי מסמורת לחלוטין בזה למעשה רק גבי עוזב דת, שבלא"ה הרבה פוסקים לזכות הגט אף בלא מינוי שליחות מן המגורשת, סמכתי ע"ז שהעוזב דת היה במקום רחוק שתמנה אשתו שליח על דרך הנזכר, ואעפ"כ כתבתי למקום שהעוזב דת שם שיתן אח"כ הגט בתורת הולכה כנהוג</w:t>
      </w:r>
      <w:r>
        <w:rPr>
          <w:rStyle w:val="a7"/>
          <w:rFonts w:cs="Arial"/>
          <w:rtl/>
        </w:rPr>
        <w:footnoteReference w:id="1759"/>
      </w:r>
      <w:r>
        <w:rPr>
          <w:rFonts w:cs="Arial"/>
          <w:rtl/>
        </w:rPr>
        <w:t xml:space="preserve">. </w:t>
      </w:r>
    </w:p>
    <w:p w14:paraId="6893A3FC" w14:textId="36F887BC" w:rsidR="00FA2119" w:rsidRDefault="00FA2119" w:rsidP="006A458D">
      <w:pPr>
        <w:pStyle w:val="ab"/>
        <w:numPr>
          <w:ilvl w:val="0"/>
          <w:numId w:val="102"/>
        </w:numPr>
      </w:pPr>
      <w:r>
        <w:rPr>
          <w:rFonts w:cs="Arial"/>
          <w:rtl/>
        </w:rPr>
        <w:t xml:space="preserve">ישועות יעקב </w:t>
      </w:r>
      <w:r>
        <w:rPr>
          <w:rFonts w:cs="Arial"/>
          <w:sz w:val="16"/>
          <w:szCs w:val="16"/>
          <w:rtl/>
        </w:rPr>
        <w:t>(סי' קמא סק"כ)</w:t>
      </w:r>
      <w:r w:rsidR="00A82951">
        <w:rPr>
          <w:rFonts w:cs="Arial"/>
          <w:rtl/>
        </w:rPr>
        <w:t>-</w:t>
      </w:r>
      <w:r>
        <w:rPr>
          <w:rFonts w:cs="Arial"/>
          <w:rtl/>
        </w:rPr>
        <w:t xml:space="preserve"> בדין האומרת מי שיבחר פלוני הוא יהיה שליח לקבלה... הרשב"א מסתפק בכיוצא בזה דאפשר נאמר אין ברירה, וגם הר"ש כ' בהדיא דלא שייך בכה"ג חשש ברירה</w:t>
      </w:r>
      <w:r>
        <w:rPr>
          <w:rStyle w:val="a7"/>
          <w:rFonts w:cs="Arial"/>
          <w:rtl/>
        </w:rPr>
        <w:footnoteReference w:id="1760"/>
      </w:r>
      <w:r>
        <w:rPr>
          <w:rFonts w:cs="Arial"/>
          <w:rtl/>
        </w:rPr>
        <w:t xml:space="preserve">... וגם ראיתי בס' אחד מחכמי הזמן </w:t>
      </w:r>
      <w:r>
        <w:rPr>
          <w:rFonts w:cs="Arial"/>
          <w:sz w:val="16"/>
          <w:szCs w:val="16"/>
          <w:rtl/>
        </w:rPr>
        <w:t xml:space="preserve">(כנראה שכיון על הגאון נו"ב הנ"ל) </w:t>
      </w:r>
      <w:r>
        <w:rPr>
          <w:rFonts w:cs="Arial"/>
          <w:rtl/>
        </w:rPr>
        <w:t xml:space="preserve">שנשאל ע"ז וחשש להחמיר... ויש לתמוה עליו שנעלם ממנו דברי הרשב"א וגם דברי הר"ש הנ"ל... ונראה להקל ולומר דאין חשש בזה, והגם שקשה להכריע נגד הרשב"א ז"ל מ"מ כיון דהוא בעצמו מסתפק בדבר וכתב לשון אפשר כנראה שגם בעיני הרשב"א ז"ל היה הדבר רחוק אלא שחשש בזה ע"כ אפשר לנו לצדד להקל בזה. </w:t>
      </w:r>
    </w:p>
    <w:p w14:paraId="0306FAAE" w14:textId="77777777" w:rsidR="00FA2119" w:rsidRDefault="00FA2119" w:rsidP="00FA2119">
      <w:pPr>
        <w:rPr>
          <w:rtl/>
        </w:rPr>
      </w:pPr>
    </w:p>
    <w:p w14:paraId="3DCB898D" w14:textId="77777777" w:rsidR="00FA2119" w:rsidRDefault="00FA2119" w:rsidP="00FA2119">
      <w:pPr>
        <w:pStyle w:val="2"/>
        <w:rPr>
          <w:rtl/>
        </w:rPr>
      </w:pPr>
      <w:r>
        <w:rPr>
          <w:rtl/>
        </w:rPr>
        <w:t>סעיף ד: איזו לשון קבלה תאמר האשה לשליח.</w:t>
      </w:r>
    </w:p>
    <w:p w14:paraId="4468C3BC" w14:textId="6AD5DDF9" w:rsidR="00FA2119" w:rsidRDefault="00FA2119" w:rsidP="00FA2119">
      <w:pPr>
        <w:rPr>
          <w:rFonts w:cs="Arial"/>
          <w:rtl/>
        </w:rPr>
      </w:pPr>
      <w:r>
        <w:rPr>
          <w:rFonts w:cs="Arial"/>
          <w:b/>
          <w:bCs/>
          <w:rtl/>
        </w:rPr>
        <w:t xml:space="preserve">גיטין </w:t>
      </w:r>
      <w:r>
        <w:rPr>
          <w:rFonts w:cs="Arial"/>
          <w:b/>
          <w:bCs/>
          <w:sz w:val="16"/>
          <w:szCs w:val="16"/>
          <w:rtl/>
        </w:rPr>
        <w:t>(ר"פ התקבל)</w:t>
      </w:r>
      <w:r>
        <w:rPr>
          <w:rFonts w:cs="Arial"/>
          <w:b/>
          <w:bCs/>
          <w:rtl/>
        </w:rPr>
        <w:t xml:space="preserve"> סג ע"ב:</w:t>
      </w:r>
      <w:r>
        <w:rPr>
          <w:rFonts w:cs="Arial"/>
          <w:rtl/>
        </w:rPr>
        <w:t xml:space="preserve"> תנו רבנן: טול לי, ושא לי, ויהא לי בידך </w:t>
      </w:r>
      <w:r w:rsidR="00A82951">
        <w:rPr>
          <w:rFonts w:cs="Arial"/>
          <w:rtl/>
        </w:rPr>
        <w:t>-</w:t>
      </w:r>
      <w:r>
        <w:rPr>
          <w:rFonts w:cs="Arial"/>
          <w:rtl/>
        </w:rPr>
        <w:t xml:space="preserve"> כולן לשון קבלה הן. </w:t>
      </w:r>
      <w:r>
        <w:rPr>
          <w:rFonts w:cs="Arial"/>
          <w:sz w:val="16"/>
          <w:szCs w:val="16"/>
          <w:rtl/>
        </w:rPr>
        <w:t>(הכי גריס רש"י, וכן כתב רי"ו (ח"ג נכ"ד רט.), וכן גורס הה"מ (פ"ו ה"ט). אבל הרי"ף (כט.) והרא"ש (סי' ו) לא גרסו 'שא לי'. וגם הרמב"ם (פ"ו שם) לא הזכירו. וגם בדברי רבינו לא הוזכר. ואפשר דבכלל טול לי הואי. ובמקום יהא לי בידך כתב רי"ו (ח"ג שם) 'קח לי בידך', והכל אחד, ב"י)</w:t>
      </w:r>
    </w:p>
    <w:p w14:paraId="0229E828" w14:textId="77777777" w:rsidR="00FA2119" w:rsidRDefault="00FA2119" w:rsidP="00FA2119">
      <w:pPr>
        <w:rPr>
          <w:u w:val="single"/>
          <w:rtl/>
        </w:rPr>
      </w:pPr>
      <w:r>
        <w:rPr>
          <w:u w:val="single"/>
          <w:rtl/>
        </w:rPr>
        <w:t>איזו לשון קבלה תאמר האשה לשליח:</w:t>
      </w:r>
    </w:p>
    <w:p w14:paraId="1CBBE661" w14:textId="36B1581D"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בין אמרה לו התקבל לי גיטי, או טול לי, או יהא לי בידך </w:t>
      </w:r>
      <w:r w:rsidR="00A82951">
        <w:rPr>
          <w:rFonts w:cs="Arial"/>
          <w:rtl/>
        </w:rPr>
        <w:t>-</w:t>
      </w:r>
      <w:r>
        <w:rPr>
          <w:rFonts w:cs="Arial"/>
          <w:rtl/>
        </w:rPr>
        <w:t xml:space="preserve"> כולן לשון קבלה הן. </w:t>
      </w:r>
      <w:r w:rsidR="001960E8">
        <w:rPr>
          <w:color w:val="E36C0A" w:themeColor="accent6" w:themeShade="BF"/>
          <w:rtl/>
        </w:rPr>
        <w:t>(וכ"פ בשו"ע)</w:t>
      </w:r>
    </w:p>
    <w:p w14:paraId="6F81D248" w14:textId="77777777" w:rsidR="00FA2119" w:rsidRDefault="00FA2119" w:rsidP="00FA2119">
      <w:pPr>
        <w:ind w:left="360"/>
      </w:pPr>
      <w:r>
        <w:rPr>
          <w:u w:val="dotted"/>
          <w:rtl/>
        </w:rPr>
        <w:t>האם האשה חייבת לומר את התיבה 'לי':</w:t>
      </w:r>
    </w:p>
    <w:p w14:paraId="626D0A17" w14:textId="50E966B5" w:rsidR="00FA2119" w:rsidRDefault="00FA2119" w:rsidP="006A458D">
      <w:pPr>
        <w:pStyle w:val="ab"/>
        <w:numPr>
          <w:ilvl w:val="0"/>
          <w:numId w:val="102"/>
        </w:numPr>
      </w:pPr>
      <w:r>
        <w:rPr>
          <w:rFonts w:cs="Arial"/>
          <w:rtl/>
        </w:rPr>
        <w:lastRenderedPageBreak/>
        <w:t xml:space="preserve">רשב"א </w:t>
      </w:r>
      <w:r>
        <w:rPr>
          <w:rFonts w:cs="Arial"/>
          <w:sz w:val="16"/>
          <w:szCs w:val="16"/>
          <w:rtl/>
        </w:rPr>
        <w:t>(גיטין סב:)</w:t>
      </w:r>
      <w:r w:rsidR="00A82951">
        <w:rPr>
          <w:rFonts w:cs="Arial"/>
          <w:rtl/>
        </w:rPr>
        <w:t>-</w:t>
      </w:r>
      <w:r>
        <w:rPr>
          <w:rFonts w:cs="Arial"/>
          <w:rtl/>
        </w:rPr>
        <w:t xml:space="preserve"> ההוא גברא דשדר גיטא לדביתהו אזל שליח אשכחה כי יתבה דקא לישה אמר לה הא גיטך אמרה ליה ליהוי בידך. והראב"ד ז"ל (השגות הראב"ד ברי"ף שם אות ב) גריס ליהוי לי בידך דהו"ל כפקדון, אבל ליהוי בידך ולא אמר לי לכו"ע לאו כלום הוא. והכי איתא בירושלמי דמפליג בין יהא בידך ליהא לי בידך. וכדקתני במתני' וברייתא שא לי טול לי. וכ"כ הרמב"ן נ"ר (שם סוד"ה הוה), והביא ראיה מן התוספתא דקתני ה"ז גיטך ואמרה תנהו לפלוני אין זו מגורשת, שיקבלהו לי הרי זה מגורשת. וכן נמי אמרי' בקידושין (ח:) התקדשי לי במנה תנהו לאבא ולאביך אינה מקודשת שיקבלם לי מקודשת. ומיהו התקבל סתם נמי כתב הרמב"ן נ"ר דנראה דמהני ולא בעי לי. ובהלכות רבינו אלפסי ז"ל ובפר"ח ז"ל גרסי הכא ליהוי פקדון בידך והאי לישנא ודאי הוי כאלו אמרה ליה יהא לי פקדון בידך דהא בעל לא מסריה ניהליה לפקדון.</w:t>
      </w:r>
      <w:r>
        <w:rPr>
          <w:rtl/>
        </w:rPr>
        <w:t xml:space="preserve"> </w:t>
      </w:r>
    </w:p>
    <w:p w14:paraId="0C2910F7"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E7C89D5" w14:textId="77777777" w:rsidR="00FA2119" w:rsidRDefault="00FA2119" w:rsidP="00FA2119">
      <w:pPr>
        <w:rPr>
          <w:rtl/>
        </w:rPr>
      </w:pPr>
      <w:r>
        <w:rPr>
          <w:rFonts w:cs="Arial"/>
          <w:rtl/>
        </w:rPr>
        <w:t xml:space="preserve">אמרה לו: התקבל לי גיטי, או טול לי, או יהא לי בידך, כולן לשון קבלה הן. </w:t>
      </w:r>
      <w:r>
        <w:rPr>
          <w:rFonts w:cs="Arial"/>
          <w:sz w:val="18"/>
          <w:szCs w:val="18"/>
          <w:rtl/>
        </w:rPr>
        <w:t>[הגה] וי"א דהוא הדין שא לי (ב"י בשם רש"י והמ"מ) או קח לי (רי"ו).</w:t>
      </w:r>
      <w:r>
        <w:rPr>
          <w:rFonts w:cs="Arial"/>
          <w:rtl/>
        </w:rPr>
        <w:t xml:space="preserve"> </w:t>
      </w:r>
    </w:p>
    <w:p w14:paraId="2AC06967" w14:textId="77777777" w:rsidR="00FA2119" w:rsidRDefault="00FA2119" w:rsidP="00FA2119">
      <w:pPr>
        <w:rPr>
          <w:rtl/>
        </w:rPr>
      </w:pPr>
    </w:p>
    <w:p w14:paraId="329850A9" w14:textId="77777777" w:rsidR="00FA2119" w:rsidRDefault="00FA2119" w:rsidP="00FA2119">
      <w:pPr>
        <w:pStyle w:val="2"/>
        <w:rPr>
          <w:rtl/>
        </w:rPr>
      </w:pPr>
      <w:r>
        <w:rPr>
          <w:rtl/>
        </w:rPr>
        <w:t>סעיף ה: שליח הובאה. בעל שרוצה למנות שליח קבלה</w:t>
      </w:r>
      <w:r>
        <w:rPr>
          <w:sz w:val="18"/>
          <w:szCs w:val="18"/>
          <w:rtl/>
        </w:rPr>
        <w:t xml:space="preserve"> (לזכות גט לאשתו)</w:t>
      </w:r>
      <w:r>
        <w:rPr>
          <w:rtl/>
        </w:rPr>
        <w:t>.</w:t>
      </w:r>
    </w:p>
    <w:p w14:paraId="185B3EBC" w14:textId="53526C1D" w:rsidR="00FA2119" w:rsidRDefault="00FA2119" w:rsidP="00FA2119">
      <w:pPr>
        <w:rPr>
          <w:rtl/>
        </w:rPr>
      </w:pPr>
      <w:r>
        <w:rPr>
          <w:rFonts w:cs="Arial"/>
          <w:b/>
          <w:bCs/>
          <w:rtl/>
        </w:rPr>
        <w:t xml:space="preserve">גיטין </w:t>
      </w:r>
      <w:r>
        <w:rPr>
          <w:rFonts w:cs="Arial"/>
          <w:b/>
          <w:bCs/>
          <w:sz w:val="16"/>
          <w:szCs w:val="16"/>
          <w:rtl/>
        </w:rPr>
        <w:t>(פ' התקבל)</w:t>
      </w:r>
      <w:r>
        <w:rPr>
          <w:rFonts w:cs="Arial"/>
          <w:b/>
          <w:bCs/>
          <w:rtl/>
        </w:rPr>
        <w:t xml:space="preserve"> סה ע"א:</w:t>
      </w:r>
      <w:r>
        <w:rPr>
          <w:rFonts w:cs="Arial"/>
          <w:rtl/>
        </w:rPr>
        <w:t xml:space="preserve"> </w:t>
      </w:r>
      <w:r>
        <w:rPr>
          <w:rFonts w:cs="Arial"/>
          <w:u w:val="double"/>
          <w:rtl/>
        </w:rPr>
        <w:t>מתני'</w:t>
      </w:r>
      <w:r>
        <w:rPr>
          <w:rFonts w:cs="Arial"/>
          <w:rtl/>
        </w:rPr>
        <w:t xml:space="preserve">: הבא לי גיטי </w:t>
      </w:r>
      <w:r w:rsidR="00A82951">
        <w:rPr>
          <w:rFonts w:cs="Arial"/>
          <w:rtl/>
        </w:rPr>
        <w:t>-</w:t>
      </w:r>
      <w:r>
        <w:rPr>
          <w:rFonts w:cs="Arial"/>
          <w:rtl/>
        </w:rPr>
        <w:t xml:space="preserve"> אוכלת בתרומה עד שיגיע גט לידה, התקבל לי גיטי </w:t>
      </w:r>
      <w:r w:rsidR="00A82951">
        <w:rPr>
          <w:rFonts w:cs="Arial"/>
          <w:rtl/>
        </w:rPr>
        <w:t>-</w:t>
      </w:r>
      <w:r>
        <w:rPr>
          <w:rFonts w:cs="Arial"/>
          <w:rtl/>
        </w:rPr>
        <w:t xml:space="preserve"> אסורה לאכול בתרומה מיד. </w:t>
      </w:r>
      <w:r>
        <w:rPr>
          <w:sz w:val="16"/>
          <w:szCs w:val="16"/>
          <w:rtl/>
        </w:rPr>
        <w:t>(</w:t>
      </w:r>
      <w:r>
        <w:rPr>
          <w:rFonts w:cs="Arial"/>
          <w:sz w:val="16"/>
          <w:szCs w:val="16"/>
          <w:rtl/>
        </w:rPr>
        <w:t>בפרק התקבל (סב: סג. סה.) הוזכר כמה פעמים האשה שאמרה הבא לי גיטי, ומפרש שם במשנה (סה.) שאינו גט עד שיגיע גט לידה</w:t>
      </w:r>
      <w:r>
        <w:rPr>
          <w:sz w:val="16"/>
          <w:szCs w:val="16"/>
          <w:rtl/>
        </w:rPr>
        <w:t>, ב"י)</w:t>
      </w:r>
    </w:p>
    <w:p w14:paraId="7F8275E1" w14:textId="77777777" w:rsidR="00FA2119" w:rsidRDefault="00FA2119" w:rsidP="00FA2119">
      <w:pPr>
        <w:rPr>
          <w:u w:val="single"/>
          <w:rtl/>
        </w:rPr>
      </w:pPr>
      <w:r>
        <w:rPr>
          <w:u w:val="single"/>
          <w:rtl/>
        </w:rPr>
        <w:t>האם אשה יכולה לעשות שליח הובאה:</w:t>
      </w:r>
    </w:p>
    <w:p w14:paraId="4AF132CC" w14:textId="1445D4E1" w:rsidR="00FA2119" w:rsidRDefault="00FA2119" w:rsidP="006A458D">
      <w:pPr>
        <w:pStyle w:val="ab"/>
        <w:numPr>
          <w:ilvl w:val="0"/>
          <w:numId w:val="102"/>
        </w:numPr>
        <w:rPr>
          <w:rtl/>
        </w:rPr>
      </w:pPr>
      <w:r>
        <w:rPr>
          <w:rFonts w:cs="Arial"/>
          <w:rtl/>
        </w:rPr>
        <w:t xml:space="preserve">בה"ג </w:t>
      </w:r>
      <w:r>
        <w:rPr>
          <w:rFonts w:cs="Arial"/>
          <w:sz w:val="16"/>
          <w:szCs w:val="16"/>
          <w:rtl/>
        </w:rPr>
        <w:t>(גירושין עט ע"ג)</w:t>
      </w:r>
      <w:r>
        <w:rPr>
          <w:rFonts w:cs="Arial"/>
          <w:rtl/>
        </w:rPr>
        <w:t xml:space="preserve"> רמב"ם</w:t>
      </w:r>
      <w:r>
        <w:rPr>
          <w:rStyle w:val="a7"/>
          <w:rFonts w:cs="Arial"/>
          <w:rtl/>
        </w:rPr>
        <w:footnoteReference w:id="1761"/>
      </w:r>
      <w:r>
        <w:rPr>
          <w:rFonts w:cs="Arial"/>
          <w:rtl/>
        </w:rPr>
        <w:t xml:space="preserve"> </w:t>
      </w:r>
      <w:r>
        <w:rPr>
          <w:rFonts w:cs="Arial"/>
          <w:sz w:val="16"/>
          <w:szCs w:val="16"/>
          <w:rtl/>
        </w:rPr>
        <w:t>(פ"ו ה"ד</w:t>
      </w:r>
      <w:r w:rsidR="00A82951">
        <w:rPr>
          <w:rFonts w:cs="Arial"/>
          <w:sz w:val="16"/>
          <w:szCs w:val="16"/>
          <w:rtl/>
        </w:rPr>
        <w:t>-</w:t>
      </w:r>
      <w:r>
        <w:rPr>
          <w:rFonts w:cs="Arial"/>
          <w:sz w:val="16"/>
          <w:szCs w:val="16"/>
          <w:rtl/>
        </w:rPr>
        <w:t xml:space="preserve">ה) </w:t>
      </w:r>
      <w:r>
        <w:rPr>
          <w:rFonts w:cs="Arial"/>
          <w:rtl/>
        </w:rPr>
        <w:t>רמב"ן</w:t>
      </w:r>
      <w:r>
        <w:rPr>
          <w:rStyle w:val="a7"/>
          <w:rFonts w:cs="Arial"/>
          <w:rtl/>
        </w:rPr>
        <w:footnoteReference w:id="1762"/>
      </w:r>
      <w:r>
        <w:rPr>
          <w:rFonts w:cs="Arial"/>
          <w:rtl/>
        </w:rPr>
        <w:t xml:space="preserve"> רשב"א </w:t>
      </w:r>
      <w:r>
        <w:rPr>
          <w:rFonts w:cs="Arial"/>
          <w:sz w:val="16"/>
          <w:szCs w:val="16"/>
          <w:rtl/>
        </w:rPr>
        <w:t xml:space="preserve">(סה: ד"ה גיטא) </w:t>
      </w:r>
      <w:r>
        <w:rPr>
          <w:rFonts w:cs="Arial"/>
          <w:rtl/>
        </w:rPr>
        <w:t>טור ורשב"ש</w:t>
      </w:r>
      <w:r>
        <w:rPr>
          <w:rStyle w:val="a7"/>
          <w:rFonts w:cs="Arial"/>
          <w:rtl/>
        </w:rPr>
        <w:footnoteReference w:id="1763"/>
      </w:r>
      <w:r>
        <w:rPr>
          <w:rFonts w:cs="Arial"/>
          <w:rtl/>
        </w:rPr>
        <w:t xml:space="preserve"> </w:t>
      </w:r>
      <w:r>
        <w:rPr>
          <w:rFonts w:cs="Arial"/>
          <w:sz w:val="16"/>
          <w:szCs w:val="16"/>
          <w:rtl/>
        </w:rPr>
        <w:t>(סי' רסו)</w:t>
      </w:r>
      <w:r w:rsidR="00A82951">
        <w:rPr>
          <w:rFonts w:cs="Arial"/>
          <w:rtl/>
        </w:rPr>
        <w:t>-</w:t>
      </w:r>
      <w:r>
        <w:rPr>
          <w:rFonts w:cs="Arial"/>
          <w:rtl/>
        </w:rPr>
        <w:t xml:space="preserve"> ויכולה ג"כ לעשות שליח להובאה, שתאמר לו 'הבא לי גיטי'</w:t>
      </w:r>
      <w:r>
        <w:rPr>
          <w:rStyle w:val="a7"/>
          <w:rFonts w:cs="Arial"/>
          <w:rtl/>
        </w:rPr>
        <w:footnoteReference w:id="1764"/>
      </w:r>
      <w:r>
        <w:rPr>
          <w:rFonts w:cs="Arial"/>
          <w:rtl/>
        </w:rPr>
        <w:t xml:space="preserve">. ודין זה כדין שליח הולכה של הבעל, שאינו גט עד שיגיע לידה. </w:t>
      </w:r>
      <w:r>
        <w:rPr>
          <w:color w:val="E36C0A" w:themeColor="accent6" w:themeShade="BF"/>
          <w:rtl/>
        </w:rPr>
        <w:t>(וכ"פ בשו"ע)</w:t>
      </w:r>
    </w:p>
    <w:p w14:paraId="223691E8" w14:textId="19063CA3" w:rsidR="00FA2119" w:rsidRDefault="00FA2119" w:rsidP="006A458D">
      <w:pPr>
        <w:pStyle w:val="ab"/>
        <w:numPr>
          <w:ilvl w:val="0"/>
          <w:numId w:val="102"/>
        </w:numPr>
      </w:pPr>
      <w:r>
        <w:rPr>
          <w:rFonts w:cs="Arial"/>
          <w:rtl/>
        </w:rPr>
        <w:t xml:space="preserve">ר"ח </w:t>
      </w:r>
      <w:r>
        <w:rPr>
          <w:rFonts w:cs="Arial"/>
          <w:sz w:val="16"/>
          <w:szCs w:val="16"/>
          <w:rtl/>
        </w:rPr>
        <w:t xml:space="preserve">(כ"כ הר"ן </w:t>
      </w:r>
      <w:r w:rsidR="007B44EF">
        <w:rPr>
          <w:rFonts w:cs="Arial" w:hint="cs"/>
          <w:sz w:val="16"/>
          <w:szCs w:val="16"/>
          <w:rtl/>
        </w:rPr>
        <w:t xml:space="preserve">[כח. ד"ה ונחלקו] </w:t>
      </w:r>
      <w:r>
        <w:rPr>
          <w:rFonts w:cs="Arial"/>
          <w:sz w:val="16"/>
          <w:szCs w:val="16"/>
          <w:rtl/>
        </w:rPr>
        <w:t>בשמו)</w:t>
      </w:r>
      <w:r>
        <w:rPr>
          <w:rFonts w:cs="Arial"/>
          <w:rtl/>
        </w:rPr>
        <w:t xml:space="preserve"> ורש"י</w:t>
      </w:r>
      <w:r>
        <w:rPr>
          <w:rFonts w:cs="Arial"/>
          <w:sz w:val="16"/>
          <w:szCs w:val="16"/>
          <w:rtl/>
        </w:rPr>
        <w:t xml:space="preserve"> (ב"מ עו. ד"ה ה"ג הבא, כ"כ הרמב"ן בשמו)</w:t>
      </w:r>
      <w:r w:rsidR="00A82951">
        <w:rPr>
          <w:rFonts w:cs="Arial"/>
          <w:rtl/>
        </w:rPr>
        <w:t>-</w:t>
      </w:r>
      <w:r>
        <w:rPr>
          <w:rFonts w:cs="Arial"/>
          <w:rtl/>
        </w:rPr>
        <w:t xml:space="preserve"> אין האשה עושה שליח להולכה</w:t>
      </w:r>
      <w:r>
        <w:rPr>
          <w:rFonts w:cs="Arial"/>
          <w:sz w:val="16"/>
          <w:szCs w:val="16"/>
          <w:rtl/>
        </w:rPr>
        <w:t xml:space="preserve"> (ל' הר"ן בשם ר"ח)</w:t>
      </w:r>
      <w:r>
        <w:rPr>
          <w:rFonts w:cs="Arial"/>
          <w:rtl/>
        </w:rPr>
        <w:t xml:space="preserve">. </w:t>
      </w:r>
    </w:p>
    <w:p w14:paraId="228823EF" w14:textId="77777777" w:rsidR="00FA2119" w:rsidRDefault="00FA2119" w:rsidP="00FA2119">
      <w:pPr>
        <w:ind w:left="360"/>
        <w:rPr>
          <w:u w:val="dotted"/>
        </w:rPr>
      </w:pPr>
      <w:r>
        <w:rPr>
          <w:u w:val="dotted"/>
          <w:rtl/>
        </w:rPr>
        <w:t xml:space="preserve">ומה הדין אם הבעל אומר 'קח את הגט אבל אתה לא שליח שלי': </w:t>
      </w:r>
    </w:p>
    <w:p w14:paraId="5BD75992" w14:textId="527238D1" w:rsidR="00FA2119" w:rsidRDefault="00FA2119" w:rsidP="006A458D">
      <w:pPr>
        <w:pStyle w:val="ab"/>
        <w:numPr>
          <w:ilvl w:val="0"/>
          <w:numId w:val="102"/>
        </w:numPr>
      </w:pPr>
      <w:r>
        <w:rPr>
          <w:rFonts w:cs="Arial"/>
          <w:rtl/>
        </w:rPr>
        <w:t xml:space="preserve">רשב"ש </w:t>
      </w:r>
      <w:r>
        <w:rPr>
          <w:rFonts w:cs="Arial"/>
          <w:sz w:val="16"/>
          <w:szCs w:val="16"/>
          <w:rtl/>
        </w:rPr>
        <w:t>(סי' רסו)</w:t>
      </w:r>
      <w:r w:rsidR="00A82951">
        <w:rPr>
          <w:rFonts w:cs="Arial"/>
          <w:rtl/>
        </w:rPr>
        <w:t>-</w:t>
      </w:r>
      <w:r>
        <w:rPr>
          <w:rFonts w:cs="Arial"/>
          <w:rtl/>
        </w:rPr>
        <w:t xml:space="preserve"> אם אין הבעל חפץ לתת לו גט להוליכו לה, אין כאן שליחות ולא הועיל לה כלום מינוי השליח.</w:t>
      </w:r>
    </w:p>
    <w:p w14:paraId="6F941665" w14:textId="610DB752" w:rsidR="00FA2119" w:rsidRDefault="00FA2119" w:rsidP="006A458D">
      <w:pPr>
        <w:pStyle w:val="ab"/>
        <w:numPr>
          <w:ilvl w:val="0"/>
          <w:numId w:val="102"/>
        </w:numPr>
      </w:pPr>
      <w:r>
        <w:rPr>
          <w:rFonts w:cs="Arial"/>
          <w:rtl/>
        </w:rPr>
        <w:t xml:space="preserve">ר"ן </w:t>
      </w:r>
      <w:r>
        <w:rPr>
          <w:rFonts w:cs="Arial"/>
          <w:sz w:val="16"/>
          <w:szCs w:val="16"/>
          <w:rtl/>
        </w:rPr>
        <w:t>(כח. ד"ה גמ' פשיטא, כ"כ הדרכ"מ בשמו [אות ג*])</w:t>
      </w:r>
      <w:r w:rsidR="00A82951">
        <w:rPr>
          <w:rFonts w:cs="Arial"/>
          <w:rtl/>
        </w:rPr>
        <w:t>-</w:t>
      </w:r>
      <w:r>
        <w:rPr>
          <w:rFonts w:cs="Arial"/>
          <w:rtl/>
        </w:rPr>
        <w:t xml:space="preserve"> אפילו אמר הבעל שלא יהא שלוחו, אפילו הכי מגורשת בגט זה שמביא לאשה בשליחות הבאה</w:t>
      </w:r>
      <w:r>
        <w:rPr>
          <w:rtl/>
        </w:rPr>
        <w:t>.</w:t>
      </w:r>
    </w:p>
    <w:p w14:paraId="1F2C1129" w14:textId="0CB71F64" w:rsidR="00FA2119" w:rsidRDefault="00FA2119" w:rsidP="00FA2119">
      <w:pPr>
        <w:rPr>
          <w:rtl/>
        </w:rPr>
      </w:pPr>
      <w:r>
        <w:rPr>
          <w:rFonts w:cs="Arial"/>
          <w:b/>
          <w:bCs/>
          <w:rtl/>
        </w:rPr>
        <w:lastRenderedPageBreak/>
        <w:t xml:space="preserve">גיטין </w:t>
      </w:r>
      <w:r>
        <w:rPr>
          <w:rFonts w:cs="Arial"/>
          <w:b/>
          <w:bCs/>
          <w:sz w:val="16"/>
          <w:szCs w:val="16"/>
          <w:rtl/>
        </w:rPr>
        <w:t>(ר"פ התקבל)</w:t>
      </w:r>
      <w:r>
        <w:rPr>
          <w:rFonts w:cs="Arial"/>
          <w:b/>
          <w:bCs/>
          <w:rtl/>
        </w:rPr>
        <w:t xml:space="preserve"> סב ע"ב:</w:t>
      </w:r>
      <w:r>
        <w:rPr>
          <w:rFonts w:cs="Arial"/>
          <w:rtl/>
        </w:rPr>
        <w:t xml:space="preserve"> </w:t>
      </w:r>
      <w:r>
        <w:rPr>
          <w:rFonts w:cs="Arial"/>
          <w:u w:val="double"/>
          <w:rtl/>
        </w:rPr>
        <w:t>מתני'</w:t>
      </w:r>
      <w:r>
        <w:rPr>
          <w:rFonts w:cs="Arial"/>
          <w:rtl/>
        </w:rPr>
        <w:t>:</w:t>
      </w:r>
      <w:r>
        <w:rPr>
          <w:rtl/>
        </w:rPr>
        <w:t xml:space="preserve"> </w:t>
      </w:r>
      <w:r>
        <w:rPr>
          <w:rFonts w:cs="Arial"/>
          <w:rtl/>
        </w:rPr>
        <w:t>האומר התקבל גט זה לאשתי או הולך גט זה לאשתי, אם רצה לחזור</w:t>
      </w:r>
      <w:r>
        <w:rPr>
          <w:rStyle w:val="a7"/>
          <w:rFonts w:cs="Arial"/>
          <w:rtl/>
        </w:rPr>
        <w:footnoteReference w:id="1765"/>
      </w:r>
      <w:r>
        <w:rPr>
          <w:rFonts w:cs="Arial"/>
          <w:rtl/>
        </w:rPr>
        <w:t xml:space="preserve"> </w:t>
      </w:r>
      <w:r w:rsidR="00A82951">
        <w:rPr>
          <w:rFonts w:cs="Arial"/>
          <w:rtl/>
        </w:rPr>
        <w:t>-</w:t>
      </w:r>
      <w:r>
        <w:rPr>
          <w:rFonts w:cs="Arial"/>
          <w:rtl/>
        </w:rPr>
        <w:t xml:space="preserve"> יחזור</w:t>
      </w:r>
      <w:r>
        <w:rPr>
          <w:rStyle w:val="a7"/>
          <w:rFonts w:cs="Arial"/>
          <w:rtl/>
        </w:rPr>
        <w:footnoteReference w:id="1766"/>
      </w:r>
      <w:r>
        <w:rPr>
          <w:rFonts w:cs="Arial"/>
          <w:rtl/>
        </w:rPr>
        <w:t>.</w:t>
      </w:r>
    </w:p>
    <w:p w14:paraId="789B1E18" w14:textId="5CD651EA" w:rsidR="00FA2119" w:rsidRDefault="00FA2119" w:rsidP="00FA2119">
      <w:pPr>
        <w:rPr>
          <w:rFonts w:cs="Arial"/>
          <w:rtl/>
        </w:rPr>
      </w:pPr>
      <w:r>
        <w:rPr>
          <w:rFonts w:cs="Arial"/>
          <w:b/>
          <w:bCs/>
          <w:rtl/>
        </w:rPr>
        <w:t xml:space="preserve">יבמות </w:t>
      </w:r>
      <w:r>
        <w:rPr>
          <w:rFonts w:cs="Arial"/>
          <w:b/>
          <w:bCs/>
          <w:sz w:val="16"/>
          <w:szCs w:val="16"/>
          <w:rtl/>
        </w:rPr>
        <w:t xml:space="preserve">(פ' האשה שלום) </w:t>
      </w:r>
      <w:r>
        <w:rPr>
          <w:rFonts w:cs="Arial"/>
          <w:b/>
          <w:bCs/>
          <w:rtl/>
        </w:rPr>
        <w:t xml:space="preserve">קיח ע"ב: </w:t>
      </w:r>
      <w:r>
        <w:rPr>
          <w:rFonts w:cs="Arial"/>
          <w:u w:val="single"/>
          <w:rtl/>
        </w:rPr>
        <w:t>אמר ליה רבינא לרבא</w:t>
      </w:r>
      <w:r>
        <w:rPr>
          <w:rFonts w:cs="Arial"/>
          <w:rtl/>
        </w:rPr>
        <w:t>: המזכה גט לאשתו במקום קטטה, מהו? כיון דאית לה קטטה בהדיה זכות הוא לה, או דלמא ניחא דגופא עדיף לה? תא שמע, דאמר ריש לקיש: טב למיתב טן דו</w:t>
      </w:r>
      <w:r>
        <w:rPr>
          <w:rStyle w:val="a7"/>
          <w:rFonts w:cs="Arial"/>
          <w:rtl/>
        </w:rPr>
        <w:footnoteReference w:id="1767"/>
      </w:r>
      <w:r>
        <w:rPr>
          <w:rFonts w:cs="Arial"/>
          <w:rtl/>
        </w:rPr>
        <w:t xml:space="preserve"> מלמיתב ארמלו.</w:t>
      </w:r>
      <w:r>
        <w:rPr>
          <w:rFonts w:cs="Arial"/>
          <w:sz w:val="16"/>
          <w:szCs w:val="16"/>
          <w:rtl/>
        </w:rPr>
        <w:t xml:space="preserve"> (ומשמע דפשט ליה דאינו יכול לזכות, דנייחא דגופה עדיף, ואם זיכה אינה מגורשת כלל. וכן כתוב בנמוק"י (מד: ד"ה גמ') בשם הרשב"א (שם קיח: ד"ה הא) דאפילו אשת מוכה שחין או שהיתה קטטה בינו לבינה ותובעת להתגרש אין חוששין לה כלל אלא חולצת או מתייבמת, וכן מוכח בגמרא דבני מערבא (גיטין פ"א ה"ה ופ"ו ה"א). אבל הר"ן כתב בפרק התקבל (כח. סוד"ה האומר) דבמזכה במקום קטטה איבעיא ולא איפשיטא. אפשר שהוא מפרש דכי אמרינן תא שמע דאמר ריש לקיש טב למיתב טן דו היינו לומר דאע"ג דאית לה קטטה אכתי מספקא לן דילמא חוב הוא לה משום דטב למיתב טן דו, והילכך אם זיכה לה חולצת ולא מתייבמת. וכתב רבינו בסמוך שדעת בעל העיטור ש</w:t>
      </w:r>
      <w:bookmarkStart w:id="20" w:name="_Hlk90803217"/>
      <w:r>
        <w:rPr>
          <w:rFonts w:cs="Arial"/>
          <w:sz w:val="16"/>
          <w:szCs w:val="16"/>
          <w:rtl/>
        </w:rPr>
        <w:t xml:space="preserve">אם היתה רוצה להתגרש וזיכה הבעל לשליח </w:t>
      </w:r>
      <w:r w:rsidR="00A82951">
        <w:rPr>
          <w:rFonts w:cs="Arial"/>
          <w:sz w:val="16"/>
          <w:szCs w:val="16"/>
          <w:rtl/>
        </w:rPr>
        <w:t>-</w:t>
      </w:r>
      <w:r>
        <w:rPr>
          <w:rFonts w:cs="Arial"/>
          <w:sz w:val="16"/>
          <w:szCs w:val="16"/>
          <w:rtl/>
        </w:rPr>
        <w:t xml:space="preserve"> שהיא מגורשת</w:t>
      </w:r>
      <w:bookmarkEnd w:id="20"/>
      <w:r>
        <w:rPr>
          <w:rFonts w:cs="Arial"/>
          <w:sz w:val="16"/>
          <w:szCs w:val="16"/>
          <w:rtl/>
        </w:rPr>
        <w:t xml:space="preserve"> ושלא כדברי הירושלמי (פ"ו ה"א), ב"י)</w:t>
      </w:r>
      <w:r>
        <w:rPr>
          <w:rFonts w:cs="Arial"/>
          <w:rtl/>
        </w:rPr>
        <w:t xml:space="preserve"> </w:t>
      </w:r>
    </w:p>
    <w:p w14:paraId="71DE7481" w14:textId="37A6E68E" w:rsidR="00FA2119" w:rsidRDefault="00FA2119" w:rsidP="00FA2119">
      <w:pPr>
        <w:rPr>
          <w:rFonts w:cs="Arial"/>
          <w:rtl/>
        </w:rPr>
      </w:pPr>
      <w:r>
        <w:rPr>
          <w:rFonts w:cs="Arial"/>
          <w:b/>
          <w:bCs/>
          <w:rtl/>
        </w:rPr>
        <w:t>ירושלמי גיטין פ"ו ה"א:</w:t>
      </w:r>
      <w:r>
        <w:rPr>
          <w:rFonts w:cs="Arial"/>
          <w:rtl/>
        </w:rPr>
        <w:t xml:space="preserve"> </w:t>
      </w:r>
      <w:r>
        <w:rPr>
          <w:rFonts w:cs="Arial"/>
          <w:u w:val="double"/>
          <w:rtl/>
        </w:rPr>
        <w:t>מתני'</w:t>
      </w:r>
      <w:r>
        <w:rPr>
          <w:rFonts w:cs="Arial"/>
          <w:rtl/>
        </w:rPr>
        <w:t>: האומר התקבל גט זה לאשתי או הולך גט זה לאשתי</w:t>
      </w:r>
      <w:r w:rsidR="00897A6F">
        <w:rPr>
          <w:rFonts w:cs="Arial" w:hint="cs"/>
          <w:rtl/>
        </w:rPr>
        <w:t>,</w:t>
      </w:r>
      <w:r>
        <w:rPr>
          <w:rFonts w:cs="Arial"/>
          <w:rtl/>
        </w:rPr>
        <w:t xml:space="preserve"> אם רצה לחזיר </w:t>
      </w:r>
      <w:r w:rsidR="00897A6F">
        <w:rPr>
          <w:rFonts w:cs="Arial" w:hint="cs"/>
          <w:rtl/>
        </w:rPr>
        <w:t xml:space="preserve">- </w:t>
      </w:r>
      <w:r>
        <w:rPr>
          <w:rFonts w:cs="Arial"/>
          <w:rtl/>
        </w:rPr>
        <w:t xml:space="preserve">יחזיר...      </w:t>
      </w:r>
      <w:r>
        <w:rPr>
          <w:rFonts w:cs="Arial"/>
          <w:u w:val="double"/>
          <w:rtl/>
        </w:rPr>
        <w:t>גמ'</w:t>
      </w:r>
      <w:r>
        <w:rPr>
          <w:rFonts w:cs="Arial"/>
          <w:rtl/>
        </w:rPr>
        <w:t>: בכל אתר את אמר התקבל כזכה, הכא את אמר התקבל כהולך? שנייה היא, שזכין לו לאדם שלא בפניו</w:t>
      </w:r>
      <w:r>
        <w:rPr>
          <w:rStyle w:val="a7"/>
          <w:rFonts w:cs="Arial"/>
          <w:rtl/>
        </w:rPr>
        <w:footnoteReference w:id="1768"/>
      </w:r>
      <w:r>
        <w:rPr>
          <w:rFonts w:cs="Arial"/>
          <w:rtl/>
        </w:rPr>
        <w:t xml:space="preserve">. </w:t>
      </w:r>
      <w:r>
        <w:rPr>
          <w:rFonts w:cs="Arial"/>
          <w:u w:val="single"/>
          <w:rtl/>
        </w:rPr>
        <w:t>התיב ר' שמי:</w:t>
      </w:r>
      <w:r>
        <w:rPr>
          <w:rFonts w:cs="Arial"/>
          <w:rtl/>
        </w:rPr>
        <w:t xml:space="preserve"> הגע עצמך שהיתה צווחת להתגרש אני אומר שמא חזרה בה?</w:t>
      </w:r>
      <w:r>
        <w:rPr>
          <w:rtl/>
        </w:rPr>
        <w:t xml:space="preserve"> </w:t>
      </w:r>
      <w:r>
        <w:rPr>
          <w:rFonts w:cs="Arial"/>
          <w:rtl/>
        </w:rPr>
        <w:t>הא תנינן היא עצמה מביאה את גיטה! חש לומר שמא חזרה בה. תמן היא חבה לעצמה. ברם הכא חוב לה.</w:t>
      </w:r>
    </w:p>
    <w:p w14:paraId="7E286761" w14:textId="77777777" w:rsidR="00FA2119" w:rsidRDefault="00FA2119" w:rsidP="00FA2119">
      <w:pPr>
        <w:rPr>
          <w:u w:val="single"/>
          <w:rtl/>
        </w:rPr>
      </w:pPr>
      <w:r>
        <w:rPr>
          <w:u w:val="single"/>
          <w:rtl/>
        </w:rPr>
        <w:t>האם בעל יכול למנות שליח קבלה</w:t>
      </w:r>
      <w:r>
        <w:rPr>
          <w:sz w:val="16"/>
          <w:szCs w:val="16"/>
          <w:u w:val="single"/>
          <w:rtl/>
        </w:rPr>
        <w:t xml:space="preserve"> (היינו לזכות גט לאשתו)</w:t>
      </w:r>
      <w:r>
        <w:rPr>
          <w:u w:val="single"/>
          <w:rtl/>
        </w:rPr>
        <w:t>:</w:t>
      </w:r>
    </w:p>
    <w:p w14:paraId="6F12F171" w14:textId="6D2769EC" w:rsidR="00FA2119" w:rsidRDefault="00FA2119" w:rsidP="006A458D">
      <w:pPr>
        <w:pStyle w:val="ab"/>
        <w:numPr>
          <w:ilvl w:val="0"/>
          <w:numId w:val="102"/>
        </w:numPr>
      </w:pPr>
      <w:r>
        <w:rPr>
          <w:rFonts w:cs="Arial"/>
          <w:rtl/>
        </w:rPr>
        <w:t>טור</w:t>
      </w:r>
      <w:r w:rsidR="00A82951">
        <w:rPr>
          <w:rFonts w:cs="Arial"/>
          <w:rtl/>
        </w:rPr>
        <w:t>-</w:t>
      </w:r>
      <w:r>
        <w:rPr>
          <w:rFonts w:cs="Arial"/>
          <w:rtl/>
        </w:rPr>
        <w:t xml:space="preserve"> אבל האיש אינו יכול לעשות שליח קבלה, שאינו יכול לעשות שליח לחובתה שלא מדעתה. ואפילו אם היה קטטה ביניהם ואמר לאחר 'זכה בגט זה בשבילה' </w:t>
      </w:r>
      <w:r w:rsidR="00A82951">
        <w:rPr>
          <w:rFonts w:cs="Arial"/>
          <w:rtl/>
        </w:rPr>
        <w:t>-</w:t>
      </w:r>
      <w:r>
        <w:rPr>
          <w:rFonts w:cs="Arial"/>
          <w:rtl/>
        </w:rPr>
        <w:t xml:space="preserve"> אינו כלום דלעולם חובה הוא לה.</w:t>
      </w:r>
      <w:r w:rsidR="00897A6F" w:rsidRPr="00897A6F">
        <w:rPr>
          <w:color w:val="E36C0A" w:themeColor="accent6" w:themeShade="BF"/>
          <w:rtl/>
        </w:rPr>
        <w:t xml:space="preserve"> </w:t>
      </w:r>
      <w:r w:rsidR="00897A6F">
        <w:rPr>
          <w:color w:val="E36C0A" w:themeColor="accent6" w:themeShade="BF"/>
          <w:rtl/>
        </w:rPr>
        <w:t>(וכ"</w:t>
      </w:r>
      <w:r w:rsidR="00897A6F">
        <w:rPr>
          <w:rFonts w:hint="cs"/>
          <w:color w:val="E36C0A" w:themeColor="accent6" w:themeShade="BF"/>
          <w:rtl/>
        </w:rPr>
        <w:t>ס</w:t>
      </w:r>
      <w:r w:rsidR="00897A6F">
        <w:rPr>
          <w:color w:val="E36C0A" w:themeColor="accent6" w:themeShade="BF"/>
          <w:rtl/>
        </w:rPr>
        <w:t xml:space="preserve"> בשו"ע)</w:t>
      </w:r>
    </w:p>
    <w:p w14:paraId="44C569F8" w14:textId="4E7545EC" w:rsidR="00FA2119" w:rsidRDefault="00FA2119" w:rsidP="006A458D">
      <w:pPr>
        <w:pStyle w:val="ab"/>
        <w:numPr>
          <w:ilvl w:val="0"/>
          <w:numId w:val="102"/>
        </w:numPr>
      </w:pPr>
      <w:r>
        <w:rPr>
          <w:rFonts w:cs="Arial"/>
          <w:rtl/>
        </w:rPr>
        <w:t xml:space="preserve">ר"ן </w:t>
      </w:r>
      <w:r>
        <w:rPr>
          <w:rFonts w:cs="Arial"/>
          <w:sz w:val="16"/>
          <w:szCs w:val="16"/>
          <w:rtl/>
        </w:rPr>
        <w:t>(גיטין כח. ד"ה האומר)</w:t>
      </w:r>
      <w:r w:rsidR="00A82951">
        <w:rPr>
          <w:rFonts w:cs="Arial"/>
          <w:rtl/>
        </w:rPr>
        <w:t>-</w:t>
      </w:r>
      <w:r>
        <w:rPr>
          <w:rFonts w:cs="Arial"/>
          <w:rtl/>
        </w:rPr>
        <w:t xml:space="preserve"> במזכה גט לאשתו במקום יבם ובמקום קטטה איבעיא לן בפרק האשה שלום (קיח:) ולא איפשיטא, הילכך חולצת ולא מתייבמת</w:t>
      </w:r>
      <w:r>
        <w:rPr>
          <w:rtl/>
        </w:rPr>
        <w:t>.</w:t>
      </w:r>
    </w:p>
    <w:p w14:paraId="647F3AEA" w14:textId="2EA877FC" w:rsidR="00FA2119" w:rsidRDefault="00FA2119" w:rsidP="006A458D">
      <w:pPr>
        <w:pStyle w:val="ab"/>
        <w:numPr>
          <w:ilvl w:val="0"/>
          <w:numId w:val="102"/>
        </w:numPr>
      </w:pPr>
      <w:r>
        <w:rPr>
          <w:rFonts w:cs="Arial"/>
          <w:rtl/>
        </w:rPr>
        <w:t xml:space="preserve">בהעי"ט </w:t>
      </w:r>
      <w:r>
        <w:rPr>
          <w:rFonts w:cs="Arial"/>
          <w:sz w:val="16"/>
          <w:szCs w:val="16"/>
          <w:rtl/>
        </w:rPr>
        <w:t xml:space="preserve"> (אות ש שלישות גט מה ע"ד)</w:t>
      </w:r>
      <w:r w:rsidR="00A82951">
        <w:rPr>
          <w:rFonts w:cs="Arial"/>
          <w:rtl/>
        </w:rPr>
        <w:t>-</w:t>
      </w:r>
      <w:r>
        <w:rPr>
          <w:rFonts w:cs="Arial"/>
          <w:rtl/>
        </w:rPr>
        <w:t xml:space="preserve"> היכא דאמר ליה זכי לה או התקבל, והיא רצת בו </w:t>
      </w:r>
      <w:r w:rsidR="00A82951">
        <w:rPr>
          <w:rFonts w:cs="Arial"/>
          <w:rtl/>
        </w:rPr>
        <w:t>-</w:t>
      </w:r>
      <w:r>
        <w:rPr>
          <w:rFonts w:cs="Arial"/>
          <w:rtl/>
        </w:rPr>
        <w:t xml:space="preserve"> נתגרשה מיד בקבלתו אפילו לא עשאתו שליח לקבלה</w:t>
      </w:r>
      <w:r>
        <w:rPr>
          <w:rStyle w:val="a7"/>
          <w:rFonts w:cs="Arial"/>
          <w:rtl/>
        </w:rPr>
        <w:footnoteReference w:id="1769"/>
      </w:r>
      <w:r>
        <w:rPr>
          <w:sz w:val="16"/>
          <w:szCs w:val="16"/>
          <w:rtl/>
        </w:rPr>
        <w:t xml:space="preserve"> (ל' הטור בשמו)</w:t>
      </w:r>
      <w:r>
        <w:rPr>
          <w:rtl/>
        </w:rPr>
        <w:t>.</w:t>
      </w:r>
    </w:p>
    <w:p w14:paraId="00040B76" w14:textId="77777777" w:rsidR="00FA2119" w:rsidRDefault="00FA2119" w:rsidP="00FA2119">
      <w:pPr>
        <w:rPr>
          <w:u w:val="dotted"/>
        </w:rPr>
      </w:pPr>
      <w:r>
        <w:rPr>
          <w:rFonts w:cs="Arial"/>
          <w:b/>
          <w:bCs/>
          <w:rtl/>
        </w:rPr>
        <w:t xml:space="preserve">יבמות </w:t>
      </w:r>
      <w:r>
        <w:rPr>
          <w:rFonts w:cs="Arial"/>
          <w:b/>
          <w:bCs/>
          <w:sz w:val="16"/>
          <w:szCs w:val="16"/>
          <w:rtl/>
        </w:rPr>
        <w:t xml:space="preserve">(פ' האשה שלום) </w:t>
      </w:r>
      <w:r>
        <w:rPr>
          <w:rFonts w:cs="Arial"/>
          <w:b/>
          <w:bCs/>
          <w:rtl/>
        </w:rPr>
        <w:t xml:space="preserve">קיח ע"ב: </w:t>
      </w:r>
      <w:r>
        <w:rPr>
          <w:rFonts w:cs="Arial"/>
          <w:u w:val="single"/>
          <w:rtl/>
        </w:rPr>
        <w:t>בעא מיניה רבא מרב נחמן</w:t>
      </w:r>
      <w:r>
        <w:rPr>
          <w:rFonts w:cs="Arial"/>
          <w:rtl/>
        </w:rPr>
        <w:t xml:space="preserve">: המזכה גט לאשתו במקום יבם, מהו? כיון דסניא ליה זכות הוא לה, וזכין לאדם שלא בפניו, או דלמא כיון דזימנין דרחמא ליה חוב הוא לה, ואין חבין לאדם שלא בפניו? </w:t>
      </w:r>
      <w:r>
        <w:rPr>
          <w:rFonts w:cs="Arial"/>
          <w:u w:val="single"/>
          <w:rtl/>
        </w:rPr>
        <w:t>אמר ליה</w:t>
      </w:r>
      <w:r>
        <w:rPr>
          <w:rFonts w:cs="Arial"/>
          <w:rtl/>
        </w:rPr>
        <w:t>: תנינא; וחוששין לדבריה וחולצת ולא מתייבמת.</w:t>
      </w:r>
    </w:p>
    <w:p w14:paraId="36386949" w14:textId="77777777" w:rsidR="00FA2119" w:rsidRDefault="00FA2119" w:rsidP="00FA2119">
      <w:pPr>
        <w:rPr>
          <w:u w:val="single"/>
          <w:rtl/>
        </w:rPr>
      </w:pPr>
      <w:r>
        <w:rPr>
          <w:u w:val="single"/>
          <w:rtl/>
        </w:rPr>
        <w:t>האם שכיב מרע יכול לזכות לאשתו גט כדי שלא תיפול לפני יבם:</w:t>
      </w:r>
    </w:p>
    <w:p w14:paraId="2D2BF0EF" w14:textId="1C176378" w:rsidR="00FA2119" w:rsidRDefault="00FA2119" w:rsidP="006A458D">
      <w:pPr>
        <w:pStyle w:val="ab"/>
        <w:numPr>
          <w:ilvl w:val="0"/>
          <w:numId w:val="102"/>
        </w:numPr>
      </w:pPr>
      <w:r>
        <w:rPr>
          <w:rFonts w:cs="Arial"/>
          <w:rtl/>
        </w:rPr>
        <w:t>טור</w:t>
      </w:r>
      <w:r>
        <w:rPr>
          <w:rFonts w:cs="Arial"/>
          <w:sz w:val="16"/>
          <w:szCs w:val="16"/>
          <w:rtl/>
        </w:rPr>
        <w:t xml:space="preserve"> (ס"ס קמה)</w:t>
      </w:r>
      <w:r w:rsidR="00A82951">
        <w:rPr>
          <w:rFonts w:cs="Arial"/>
          <w:rtl/>
        </w:rPr>
        <w:t>-</w:t>
      </w:r>
      <w:r>
        <w:rPr>
          <w:rFonts w:cs="Arial"/>
          <w:rtl/>
        </w:rPr>
        <w:t xml:space="preserve"> שכיב מרע שנתן גט ליד אחד ואמר לו זכה בגט זה לאשתי כדי שלא תפול לפני יבם</w:t>
      </w:r>
      <w:r w:rsidR="00897A6F">
        <w:rPr>
          <w:rFonts w:cs="Arial" w:hint="cs"/>
          <w:rtl/>
        </w:rPr>
        <w:t>,</w:t>
      </w:r>
      <w:r>
        <w:rPr>
          <w:rFonts w:cs="Arial"/>
          <w:rtl/>
        </w:rPr>
        <w:t xml:space="preserve"> ומת קודם שהגיע לידה </w:t>
      </w:r>
      <w:r w:rsidR="00A82951">
        <w:rPr>
          <w:rFonts w:cs="Arial"/>
          <w:rtl/>
        </w:rPr>
        <w:t>-</w:t>
      </w:r>
      <w:r>
        <w:rPr>
          <w:rFonts w:cs="Arial"/>
          <w:rtl/>
        </w:rPr>
        <w:t xml:space="preserve"> הוי ספק מגורשת וחולצת ולא מתייבמת</w:t>
      </w:r>
      <w:r>
        <w:rPr>
          <w:rStyle w:val="a7"/>
          <w:rFonts w:cs="Arial"/>
          <w:rtl/>
        </w:rPr>
        <w:footnoteReference w:id="1770"/>
      </w:r>
      <w:r>
        <w:rPr>
          <w:rFonts w:cs="Arial"/>
          <w:rtl/>
        </w:rPr>
        <w:t xml:space="preserve">. </w:t>
      </w:r>
    </w:p>
    <w:p w14:paraId="09C6D93E" w14:textId="77777777" w:rsidR="00FA2119" w:rsidRDefault="00FA2119" w:rsidP="00FA2119">
      <w:pPr>
        <w:rPr>
          <w:u w:val="single"/>
        </w:rPr>
      </w:pPr>
      <w:r>
        <w:rPr>
          <w:u w:val="single"/>
          <w:rtl/>
        </w:rPr>
        <w:t>זיכוי גט לאשה במקום שבודאי זכות הוא לה</w:t>
      </w:r>
      <w:r>
        <w:rPr>
          <w:sz w:val="16"/>
          <w:szCs w:val="16"/>
          <w:u w:val="single"/>
          <w:rtl/>
        </w:rPr>
        <w:t xml:space="preserve"> (כגון משומד וכדו')</w:t>
      </w:r>
      <w:r>
        <w:rPr>
          <w:u w:val="single"/>
          <w:rtl/>
        </w:rPr>
        <w:t>:</w:t>
      </w:r>
    </w:p>
    <w:p w14:paraId="2C88DFE3" w14:textId="484FB940" w:rsidR="00FA2119" w:rsidRDefault="00FA2119" w:rsidP="006A458D">
      <w:pPr>
        <w:pStyle w:val="ab"/>
        <w:numPr>
          <w:ilvl w:val="0"/>
          <w:numId w:val="102"/>
        </w:numPr>
      </w:pPr>
      <w:r>
        <w:rPr>
          <w:rFonts w:cs="Arial"/>
          <w:rtl/>
        </w:rPr>
        <w:lastRenderedPageBreak/>
        <w:t xml:space="preserve">הגמ"ר </w:t>
      </w:r>
      <w:r>
        <w:rPr>
          <w:rFonts w:cs="Arial"/>
          <w:sz w:val="16"/>
          <w:szCs w:val="16"/>
          <w:rtl/>
        </w:rPr>
        <w:t>(גיטין סוף סי' תסז)</w:t>
      </w:r>
      <w:r>
        <w:rPr>
          <w:rFonts w:cs="Arial"/>
          <w:rtl/>
        </w:rPr>
        <w:t xml:space="preserve"> ה"ר פרץ הכהן</w:t>
      </w:r>
      <w:r>
        <w:rPr>
          <w:rStyle w:val="a7"/>
          <w:rFonts w:cs="Arial"/>
          <w:rtl/>
        </w:rPr>
        <w:footnoteReference w:id="1771"/>
      </w:r>
      <w:r>
        <w:rPr>
          <w:rFonts w:cs="Arial"/>
          <w:sz w:val="16"/>
          <w:szCs w:val="16"/>
          <w:rtl/>
        </w:rPr>
        <w:t xml:space="preserve"> (כ"כ הר"ן [סי' מג] בשמו)</w:t>
      </w:r>
      <w:r>
        <w:rPr>
          <w:rFonts w:cs="Arial"/>
          <w:rtl/>
        </w:rPr>
        <w:t xml:space="preserve"> רי"ו</w:t>
      </w:r>
      <w:r>
        <w:rPr>
          <w:rStyle w:val="a7"/>
          <w:rFonts w:cs="Arial"/>
          <w:rtl/>
        </w:rPr>
        <w:footnoteReference w:id="1772"/>
      </w:r>
      <w:r>
        <w:rPr>
          <w:rFonts w:cs="Arial"/>
          <w:rtl/>
        </w:rPr>
        <w:t xml:space="preserve"> </w:t>
      </w:r>
      <w:r>
        <w:rPr>
          <w:rFonts w:cs="Arial"/>
          <w:sz w:val="16"/>
          <w:szCs w:val="16"/>
          <w:rtl/>
        </w:rPr>
        <w:t>(ח"ג נכ"ד רח ע"ד)</w:t>
      </w:r>
      <w:r w:rsidR="00A82951">
        <w:rPr>
          <w:rFonts w:cs="Arial"/>
          <w:rtl/>
        </w:rPr>
        <w:t>-</w:t>
      </w:r>
      <w:r>
        <w:rPr>
          <w:rFonts w:cs="Arial"/>
          <w:rtl/>
        </w:rPr>
        <w:t xml:space="preserve"> השיב הר"י מלונדרו"ש היכא שאנו יודעים בודאי דזכות הוא לאשה</w:t>
      </w:r>
      <w:r w:rsidR="00897A6F">
        <w:rPr>
          <w:rFonts w:cs="Arial" w:hint="cs"/>
          <w:rtl/>
        </w:rPr>
        <w:t>,</w:t>
      </w:r>
      <w:r>
        <w:rPr>
          <w:rFonts w:cs="Arial"/>
          <w:rtl/>
        </w:rPr>
        <w:t xml:space="preserve"> שיוכל אדם אחר לקבל גיטה בלא דעתה. ומעשה בימי רש"י על אשת משומד שנתרצה לתת גיטה, והורה רש"י לאחר לקבל הגט שלא מדעתה</w:t>
      </w:r>
      <w:r>
        <w:rPr>
          <w:rFonts w:cs="Arial"/>
          <w:sz w:val="16"/>
          <w:szCs w:val="16"/>
          <w:rtl/>
        </w:rPr>
        <w:t xml:space="preserve"> (ל' ההגמ"ר)</w:t>
      </w:r>
      <w:r>
        <w:rPr>
          <w:rFonts w:cs="Arial"/>
          <w:rtl/>
        </w:rPr>
        <w:t xml:space="preserve">. </w:t>
      </w:r>
    </w:p>
    <w:p w14:paraId="1A01E26E" w14:textId="1A109F30" w:rsidR="00FA2119" w:rsidRDefault="00FA2119" w:rsidP="006A458D">
      <w:pPr>
        <w:pStyle w:val="ab"/>
        <w:numPr>
          <w:ilvl w:val="0"/>
          <w:numId w:val="102"/>
        </w:numPr>
      </w:pPr>
      <w:r>
        <w:rPr>
          <w:rFonts w:cs="Arial"/>
          <w:rtl/>
        </w:rPr>
        <w:t xml:space="preserve">מהרי"ק </w:t>
      </w:r>
      <w:r>
        <w:rPr>
          <w:rFonts w:cs="Arial"/>
          <w:sz w:val="16"/>
          <w:szCs w:val="16"/>
          <w:rtl/>
        </w:rPr>
        <w:t>(שורש קמא)</w:t>
      </w:r>
      <w:r w:rsidR="00A82951">
        <w:rPr>
          <w:rFonts w:cs="Arial"/>
          <w:rtl/>
        </w:rPr>
        <w:t>-</w:t>
      </w:r>
      <w:r>
        <w:rPr>
          <w:rFonts w:cs="Arial"/>
          <w:rtl/>
        </w:rPr>
        <w:t xml:space="preserve"> אין </w:t>
      </w:r>
      <w:r>
        <w:rPr>
          <w:rStyle w:val="a7"/>
          <w:rFonts w:cs="Arial"/>
          <w:rtl/>
        </w:rPr>
        <w:footnoteReference w:id="1773"/>
      </w:r>
      <w:r>
        <w:rPr>
          <w:rFonts w:cs="Arial"/>
          <w:rtl/>
        </w:rPr>
        <w:t>להתירה בגט זה עד שיגיע לידה</w:t>
      </w:r>
      <w:r>
        <w:rPr>
          <w:rStyle w:val="a7"/>
          <w:rFonts w:cs="Arial"/>
          <w:rtl/>
        </w:rPr>
        <w:footnoteReference w:id="1774"/>
      </w:r>
      <w:r>
        <w:rPr>
          <w:rFonts w:cs="Arial"/>
          <w:rtl/>
        </w:rPr>
        <w:t xml:space="preserve">. </w:t>
      </w:r>
    </w:p>
    <w:p w14:paraId="55585D11" w14:textId="2A87E6AD" w:rsidR="00FA2119" w:rsidRDefault="00FA2119" w:rsidP="006A458D">
      <w:pPr>
        <w:pStyle w:val="ab"/>
        <w:numPr>
          <w:ilvl w:val="0"/>
          <w:numId w:val="102"/>
        </w:numPr>
      </w:pPr>
      <w:r>
        <w:rPr>
          <w:rFonts w:cs="Arial"/>
          <w:rtl/>
        </w:rPr>
        <w:t xml:space="preserve">תרוה"ד </w:t>
      </w:r>
      <w:r>
        <w:rPr>
          <w:rFonts w:cs="Arial"/>
          <w:sz w:val="16"/>
          <w:szCs w:val="16"/>
          <w:rtl/>
        </w:rPr>
        <w:t>(סי' רלז, ובפסקים ח"ב סי' מג)</w:t>
      </w:r>
      <w:r w:rsidR="00A82951">
        <w:rPr>
          <w:rFonts w:cs="Arial"/>
          <w:rtl/>
        </w:rPr>
        <w:t>-</w:t>
      </w:r>
      <w:r>
        <w:rPr>
          <w:rFonts w:cs="Arial"/>
          <w:rtl/>
        </w:rPr>
        <w:t xml:space="preserve"> </w:t>
      </w:r>
      <w:r>
        <w:rPr>
          <w:rStyle w:val="a7"/>
          <w:rFonts w:cs="Arial"/>
          <w:rtl/>
        </w:rPr>
        <w:footnoteReference w:id="1775"/>
      </w:r>
      <w:r>
        <w:rPr>
          <w:rFonts w:cs="Arial"/>
          <w:rtl/>
        </w:rPr>
        <w:t xml:space="preserve">נראה שאם אשת המשומד ביקשה מכמה בני אדם מי שיוכל לפתות את המשומד או לשחדו שיתן לה גט זה עושה לה טובה ורצון, ואח"כ אירע שאחד מאותם ששמעו בקשת האשה נזדמן אל המשומד ופיתה אותו לתת גט לאשתו </w:t>
      </w:r>
      <w:r w:rsidR="00A82951">
        <w:rPr>
          <w:rFonts w:cs="Arial"/>
          <w:rtl/>
        </w:rPr>
        <w:t>-</w:t>
      </w:r>
      <w:r>
        <w:rPr>
          <w:rFonts w:cs="Arial"/>
          <w:rtl/>
        </w:rPr>
        <w:t xml:space="preserve"> כה"ג מצינו למיסמך אהנהו גאוני דסבירי דדי בקבלה לחוד, דהא חזינן הכא דודאי זכות הוא לה להתגרש. וכעין זה כתב אשיר"י </w:t>
      </w:r>
      <w:r>
        <w:rPr>
          <w:rFonts w:cs="Arial"/>
          <w:sz w:val="16"/>
          <w:szCs w:val="16"/>
          <w:rtl/>
        </w:rPr>
        <w:t xml:space="preserve">(פ"ב סי' ז) </w:t>
      </w:r>
      <w:r>
        <w:rPr>
          <w:rFonts w:cs="Arial"/>
          <w:rtl/>
        </w:rPr>
        <w:t xml:space="preserve">דקידושין לענין קידושין. ואע"ג דגרסינן בירושלמי (פ"ו ה"א) דאפילו בצווחת להתגרש אני אומר שמא חזרה בה. כלומר ואע"פ שגם עכשיו כשאומרים לה שגירשה שמחה בדבר אכתי איכא למיחש שמא בשעת נתינת הגט חזרה, איכא למימר דשאני הכא דכיון דמשומד הוא מסתמא לא חזרה בה. אי נמי ההיא דירושלמי בצווחת להתגרש ומיהו אינה ממנה שליח כלל, אבל זאת שביקשה מבני אדם לפתותו לגרשה ה"ל כאילו אמרה כל השומע דברי יפתה אותו שיגרשני, וכאילו מינתה אותם שלוחים לקבל לה גיטה דמיא כנ"ל... וצ"ע באו"ז </w:t>
      </w:r>
      <w:r>
        <w:rPr>
          <w:rFonts w:cs="Arial"/>
          <w:sz w:val="16"/>
          <w:szCs w:val="16"/>
          <w:rtl/>
        </w:rPr>
        <w:t>(הלכות גיטין סי' תשו)</w:t>
      </w:r>
      <w:r>
        <w:rPr>
          <w:rFonts w:cs="Arial"/>
          <w:rtl/>
        </w:rPr>
        <w:t xml:space="preserve">. </w:t>
      </w:r>
    </w:p>
    <w:p w14:paraId="5CFE452A" w14:textId="2F1CCAEC" w:rsidR="00FA2119" w:rsidRDefault="00FA2119" w:rsidP="0084424C">
      <w:pPr>
        <w:pStyle w:val="ab"/>
        <w:numPr>
          <w:ilvl w:val="0"/>
          <w:numId w:val="102"/>
        </w:numPr>
      </w:pPr>
      <w:r>
        <w:rPr>
          <w:rFonts w:cs="Arial"/>
          <w:rtl/>
        </w:rPr>
        <w:t xml:space="preserve">ר"ן </w:t>
      </w:r>
      <w:r>
        <w:rPr>
          <w:rFonts w:cs="Arial"/>
          <w:sz w:val="16"/>
          <w:szCs w:val="16"/>
          <w:rtl/>
        </w:rPr>
        <w:t>(בתשו' סי' מג)</w:t>
      </w:r>
      <w:r w:rsidR="00A82951">
        <w:rPr>
          <w:rFonts w:cs="Arial"/>
          <w:rtl/>
        </w:rPr>
        <w:t>-</w:t>
      </w:r>
      <w:r>
        <w:rPr>
          <w:rFonts w:cs="Arial"/>
          <w:rtl/>
        </w:rPr>
        <w:t xml:space="preserve"> </w:t>
      </w:r>
      <w:r w:rsidR="008C26A5">
        <w:rPr>
          <w:rFonts w:cs="Arial" w:hint="cs"/>
          <w:rtl/>
        </w:rPr>
        <w:t xml:space="preserve">בגט משומד... </w:t>
      </w:r>
      <w:r>
        <w:rPr>
          <w:rFonts w:cs="Arial"/>
          <w:rtl/>
        </w:rPr>
        <w:t>כיון דאסקינן בגמרא דאפי' במקום קטטה חוב הוא לה, סתמא קאמרינן</w:t>
      </w:r>
      <w:r w:rsidR="008C26A5">
        <w:rPr>
          <w:rFonts w:cs="Arial" w:hint="cs"/>
          <w:rtl/>
        </w:rPr>
        <w:t>,</w:t>
      </w:r>
      <w:r>
        <w:rPr>
          <w:rFonts w:cs="Arial"/>
          <w:rtl/>
        </w:rPr>
        <w:t xml:space="preserve"> ואפי' תובעת להתגרש</w:t>
      </w:r>
      <w:r w:rsidR="0084424C">
        <w:rPr>
          <w:rStyle w:val="a7"/>
          <w:rFonts w:cs="Arial"/>
          <w:rtl/>
        </w:rPr>
        <w:footnoteReference w:id="1776"/>
      </w:r>
      <w:r>
        <w:rPr>
          <w:rFonts w:cs="Arial"/>
          <w:rtl/>
        </w:rPr>
        <w:t>, והכי איתא בהדיא בירושלמי... וכן כתב בחידושי הרשב"א מפורש שאפי' אשת מוכה שחין או שהיתה קטטה בינו לבינה ותובעת להתגרש אין חוששין לה כלל אלא חולצת או מתיבמת</w:t>
      </w:r>
      <w:r>
        <w:rPr>
          <w:rStyle w:val="a7"/>
          <w:rFonts w:cs="Arial"/>
          <w:rtl/>
        </w:rPr>
        <w:footnoteReference w:id="1777"/>
      </w:r>
      <w:r>
        <w:rPr>
          <w:rFonts w:cs="Arial"/>
          <w:rtl/>
        </w:rPr>
        <w:t>.</w:t>
      </w:r>
      <w:r>
        <w:rPr>
          <w:color w:val="E36C0A" w:themeColor="accent6" w:themeShade="BF"/>
          <w:rtl/>
        </w:rPr>
        <w:t xml:space="preserve"> (וכ"ס בשו"ע)</w:t>
      </w:r>
    </w:p>
    <w:p w14:paraId="21B03FEA" w14:textId="77777777" w:rsidR="00FA2119" w:rsidRDefault="00FA2119" w:rsidP="00FA2119">
      <w:pPr>
        <w:ind w:left="360"/>
        <w:rPr>
          <w:u w:val="dotted"/>
        </w:rPr>
      </w:pPr>
      <w:r>
        <w:rPr>
          <w:u w:val="dotted"/>
          <w:rtl/>
        </w:rPr>
        <w:t>ומה הדין בשכיב מרע שיש לו אח משומד ורוצה לזכות לה גט שלא תיפול לפניו</w:t>
      </w:r>
      <w:r>
        <w:rPr>
          <w:sz w:val="16"/>
          <w:szCs w:val="16"/>
          <w:u w:val="dotted"/>
          <w:rtl/>
        </w:rPr>
        <w:t xml:space="preserve"> (ומה הדין אם חזר בתשובה או המיר באונס)</w:t>
      </w:r>
      <w:r>
        <w:rPr>
          <w:u w:val="dotted"/>
          <w:rtl/>
        </w:rPr>
        <w:t>:</w:t>
      </w:r>
    </w:p>
    <w:p w14:paraId="0190BDD1" w14:textId="49084382" w:rsidR="00FA2119" w:rsidRDefault="00FA2119" w:rsidP="006A458D">
      <w:pPr>
        <w:pStyle w:val="ab"/>
        <w:numPr>
          <w:ilvl w:val="0"/>
          <w:numId w:val="102"/>
        </w:numPr>
      </w:pPr>
      <w:r>
        <w:rPr>
          <w:rFonts w:cs="Arial"/>
          <w:rtl/>
        </w:rPr>
        <w:t>ב"י</w:t>
      </w:r>
      <w:r w:rsidR="00A82951">
        <w:rPr>
          <w:rFonts w:cs="Arial"/>
          <w:rtl/>
        </w:rPr>
        <w:t>-</w:t>
      </w:r>
      <w:r>
        <w:rPr>
          <w:rFonts w:cs="Arial"/>
          <w:rtl/>
        </w:rPr>
        <w:t xml:space="preserve"> ולענין שכיב מרע שיש לו אח משומד וזיכה גט לאשתו כדי שלא תפול לפני המשומד אפשר לצרף סברת המתירים לזכות לה מבעל משומד משום דזכות הוא עם סברת המתירים (לקמן ריש סי' קנז) יבמה שנפלה לפני משומד. ושמעתי שחתנו של מה"ר שמואל נגרי"ש ז"ל נטה למות ולא היה לו זרע והיו לו אחים משומדים בפורטוגאל, ואשתו היתה בדרך רחוקה, והורה מורי הרב הגדול הר"י בי רב נר"ו לזכות לה גט ע"י אחר והתירה לשוק.</w:t>
      </w:r>
      <w:r w:rsidR="00833D0F">
        <w:rPr>
          <w:rFonts w:cs="Arial" w:hint="cs"/>
          <w:rtl/>
        </w:rPr>
        <w:t xml:space="preserve"> </w:t>
      </w:r>
      <w:r>
        <w:rPr>
          <w:rFonts w:cs="Arial"/>
          <w:rtl/>
        </w:rPr>
        <w:t xml:space="preserve">ויש לדקדק אי איגלאי מילתא דבשעת זיכוי הגט כבר שבו בתשובה מה היה אומר בה הר"י בי רב, מי אמרינן כיון דשבו חוב הוא לה, או דילמא כיון שבאותה שעה לא נודע לה ששבו דעתה היתה להתגרש וזכות הוא לה. וזה נראה יותר. ומתוך הוראה זו שמעינן דאע"פ שהמיר באונס, כל שמצא שעת הכושר ולא נמלט </w:t>
      </w:r>
      <w:r w:rsidR="00A82951">
        <w:rPr>
          <w:rFonts w:cs="Arial"/>
          <w:rtl/>
        </w:rPr>
        <w:t>-</w:t>
      </w:r>
      <w:r>
        <w:rPr>
          <w:rFonts w:cs="Arial"/>
          <w:rtl/>
        </w:rPr>
        <w:t xml:space="preserve"> משומד מיקרי גם לענין גט, דהא בני פורטוגאל הכי הוו. וקצת משמע כן מדברי תרוה"ד (סי' רלז) שכתב שאין לחלק בין משומד שהמיר בלא שום אונס לנשתמד מחמת שהנואפים פיתוהו. אבל אם המיר באונס ולא מצא שעת הכושר להמלט איכא לספוקי אם נאמר שאינו זכות לה, דהיום או למחר ימצא שעת הכושר ויצא מבין הגוים, או דילמא זכות הוא לה דדילמא לא ימצא שעת הכושר לעולם, או שמא יטמע בין הגוים. ועיין בתשובת ריב"ש ותעתיק פה.</w:t>
      </w:r>
      <w:r>
        <w:rPr>
          <w:rtl/>
        </w:rPr>
        <w:t xml:space="preserve"> </w:t>
      </w:r>
      <w:r>
        <w:rPr>
          <w:rFonts w:cs="Arial"/>
          <w:rtl/>
        </w:rPr>
        <w:t>אחר זמן</w:t>
      </w:r>
      <w:r>
        <w:rPr>
          <w:rStyle w:val="a7"/>
          <w:rFonts w:cs="Arial"/>
          <w:rtl/>
        </w:rPr>
        <w:footnoteReference w:id="1778"/>
      </w:r>
      <w:r>
        <w:rPr>
          <w:rFonts w:cs="Arial"/>
          <w:rtl/>
        </w:rPr>
        <w:t xml:space="preserve"> באה לידי תשובת מהרי"ל (סימן ק) והביא בה דברי </w:t>
      </w:r>
      <w:r>
        <w:rPr>
          <w:rFonts w:cs="Arial"/>
          <w:rtl/>
        </w:rPr>
        <w:lastRenderedPageBreak/>
        <w:t>ספר אגודה ואח"כ כתב כלשון הזה</w:t>
      </w:r>
      <w:r w:rsidR="00833D0F">
        <w:rPr>
          <w:rFonts w:cs="Arial" w:hint="cs"/>
          <w:rtl/>
        </w:rPr>
        <w:t>:</w:t>
      </w:r>
      <w:r>
        <w:rPr>
          <w:rFonts w:cs="Arial"/>
          <w:rtl/>
        </w:rPr>
        <w:t xml:space="preserve"> עדיין לבי נוקפי לחלק...</w:t>
      </w:r>
      <w:r>
        <w:rPr>
          <w:rtl/>
        </w:rPr>
        <w:t xml:space="preserve"> </w:t>
      </w:r>
      <w:r>
        <w:rPr>
          <w:rFonts w:cs="Arial"/>
          <w:rtl/>
        </w:rPr>
        <w:t>שוב מצאתי תשובת מהר"מ דלא כוותיה וז"ל אשה שנשתמד בעלה מותר לכל אדם לקבל גיטה שלא מדעתה דאנן סהדי דזכות הוא לה לפי דברי הגאונים דפטרו אשה יבמה שנפלה לפני יבם משומד בלא חליצה משום דאדעתא דהכי לא נתקדשה וכו' אבל רש"י (בתשו' שהובאה בב"י לקמן פג. ד"ה ומה שכתב רבינו דלא) שחולק על הגאונים דכתב שצריכה חליצה א"כ על כרחך צריך לומר דגם בזה שייך לומר טן דו וכו' א"כ אסור לקבל לה גיטה דשמא אינו זכות לה וכן נוהגין עכ"ל מהר"ם...</w:t>
      </w:r>
      <w:r>
        <w:rPr>
          <w:rtl/>
        </w:rPr>
        <w:t xml:space="preserve"> </w:t>
      </w:r>
      <w:r>
        <w:rPr>
          <w:rFonts w:cs="Arial"/>
          <w:rtl/>
        </w:rPr>
        <w:t xml:space="preserve">זאת מצאתי אחר כך והדרינן מתשובה הראשונה, ותמהתי שנעלמה מבעל האגודה התשובה... עכ"ל מהרי"ל. </w:t>
      </w:r>
    </w:p>
    <w:p w14:paraId="28CEAB2E" w14:textId="77777777" w:rsidR="00FA2119" w:rsidRDefault="00FA2119" w:rsidP="00FA2119">
      <w:pPr>
        <w:rPr>
          <w:u w:val="single"/>
        </w:rPr>
      </w:pPr>
      <w:r>
        <w:rPr>
          <w:u w:val="single"/>
          <w:rtl/>
        </w:rPr>
        <w:t>מי שנשתמדה אשתו או שנאסרה עליו ורוצה לזכות לה גט:</w:t>
      </w:r>
    </w:p>
    <w:p w14:paraId="1B89DCA8" w14:textId="2ED04BD3" w:rsidR="00FA2119" w:rsidRDefault="00FA2119" w:rsidP="006A458D">
      <w:pPr>
        <w:pStyle w:val="ab"/>
        <w:numPr>
          <w:ilvl w:val="0"/>
          <w:numId w:val="102"/>
        </w:numPr>
      </w:pPr>
      <w:r>
        <w:rPr>
          <w:rFonts w:cs="Arial"/>
          <w:rtl/>
        </w:rPr>
        <w:t xml:space="preserve">תרוה"ד </w:t>
      </w:r>
      <w:r>
        <w:rPr>
          <w:rFonts w:cs="Arial"/>
          <w:sz w:val="16"/>
          <w:szCs w:val="16"/>
          <w:rtl/>
        </w:rPr>
        <w:t>(סי' רלז)</w:t>
      </w:r>
      <w:r w:rsidR="00A82951">
        <w:rPr>
          <w:rFonts w:cs="Arial"/>
          <w:rtl/>
        </w:rPr>
        <w:t>-</w:t>
      </w:r>
      <w:r>
        <w:rPr>
          <w:rFonts w:cs="Arial"/>
          <w:rtl/>
        </w:rPr>
        <w:t xml:space="preserve"> מי שנשתמדה אשתו ורוצה לישא אחרת </w:t>
      </w:r>
      <w:r w:rsidR="00A82951">
        <w:rPr>
          <w:rFonts w:cs="Arial"/>
          <w:rtl/>
        </w:rPr>
        <w:t>-</w:t>
      </w:r>
      <w:r>
        <w:rPr>
          <w:rFonts w:cs="Arial"/>
          <w:rtl/>
        </w:rPr>
        <w:t xml:space="preserve"> מזכה לה גט ע"י אחר משום חשש תקנת רבינו גרשום, ואם תחזור בתשובה לאחר זמן </w:t>
      </w:r>
      <w:r w:rsidR="00833D0F">
        <w:rPr>
          <w:rFonts w:cs="Arial" w:hint="cs"/>
          <w:rtl/>
        </w:rPr>
        <w:t xml:space="preserve">- </w:t>
      </w:r>
      <w:r>
        <w:rPr>
          <w:rFonts w:cs="Arial"/>
          <w:rtl/>
        </w:rPr>
        <w:t>מגורשת היתה בקבלה זו</w:t>
      </w:r>
      <w:r>
        <w:rPr>
          <w:rStyle w:val="a7"/>
          <w:rFonts w:cs="Arial"/>
          <w:rtl/>
        </w:rPr>
        <w:footnoteReference w:id="1779"/>
      </w:r>
      <w:r>
        <w:rPr>
          <w:rFonts w:cs="Arial"/>
          <w:rtl/>
        </w:rPr>
        <w:t xml:space="preserve">... וכתב האו"ז </w:t>
      </w:r>
      <w:r>
        <w:rPr>
          <w:rFonts w:cs="Arial"/>
          <w:sz w:val="16"/>
          <w:szCs w:val="16"/>
          <w:rtl/>
        </w:rPr>
        <w:t>(הלכות גיטין סי' תשו, הג"א [פ"ק דגיטין סי' יג], תשו' רש"י)</w:t>
      </w:r>
      <w:r>
        <w:rPr>
          <w:rFonts w:cs="Arial"/>
          <w:rtl/>
        </w:rPr>
        <w:t xml:space="preserve"> דבאשה הנאסרת על בעלה יזכה גט והרי היא מגורשת בקבלתו של זה מיד</w:t>
      </w:r>
      <w:r>
        <w:rPr>
          <w:rStyle w:val="a7"/>
          <w:rFonts w:cs="Arial"/>
          <w:rtl/>
        </w:rPr>
        <w:footnoteReference w:id="1780"/>
      </w:r>
      <w:r>
        <w:rPr>
          <w:rFonts w:cs="Arial"/>
          <w:rtl/>
        </w:rPr>
        <w:t>.</w:t>
      </w:r>
    </w:p>
    <w:p w14:paraId="12E2C8F3"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143DF0B" w14:textId="009C9673" w:rsidR="00FA2119" w:rsidRDefault="00FA2119" w:rsidP="00FA2119">
      <w:pPr>
        <w:rPr>
          <w:rFonts w:cs="Arial"/>
          <w:rtl/>
        </w:rPr>
      </w:pPr>
      <w:r>
        <w:rPr>
          <w:rFonts w:cs="Arial"/>
          <w:rtl/>
        </w:rPr>
        <w:t xml:space="preserve">יכולה גם כן לעשות שליח להבאה, שתאמר לו: הבא לי גיטי. ודינו כדין שליח הולכה של בעל, שאינו גט עד שיגיע לידה. אבל האיש אינו יכול לעשות שליח לקבלה, שאינו יכול לעשות שליח לחובתה שלא מדעתה, ואפילו היתה אשת מוכת שחין, או שהיתה קטטה ביניהם ותובעת להתגרש. ויש מי שאומר בזו שהיא ספק מגורשת. </w:t>
      </w:r>
      <w:r>
        <w:rPr>
          <w:rFonts w:cs="Arial"/>
          <w:sz w:val="18"/>
          <w:szCs w:val="18"/>
          <w:rtl/>
        </w:rPr>
        <w:t>הגה: ואם בעלה מומר, וידעינן שהיא מהדרת אחר גט, י"א דהמומר יכול לזכות לה גט (תרוה"ד), ויש מחמירין גם בזה (ר"ן בתשובה). וכן אם היה היבם מומר, והבעל מזכה לה גט כדי שלא תפול לפני היבם (עיין בב"י). ואם אשתו מומרת, וזיכה לה גט ע"י אחר</w:t>
      </w:r>
      <w:r w:rsidR="002F70D3">
        <w:rPr>
          <w:rFonts w:cs="Arial" w:hint="cs"/>
          <w:sz w:val="18"/>
          <w:szCs w:val="18"/>
          <w:rtl/>
        </w:rPr>
        <w:t>,</w:t>
      </w:r>
      <w:r>
        <w:rPr>
          <w:rFonts w:cs="Arial"/>
          <w:sz w:val="18"/>
          <w:szCs w:val="18"/>
          <w:rtl/>
        </w:rPr>
        <w:t xml:space="preserve"> כמו שנתבאר לעיל סעיף א', אע"פ שחזרה בה אח"כ, אינה צריכה גט אחר (תרוה"ד). והוא הדין לאשה הנאסרת על בעלה, מזכה לה גט ע"י אחר. ויש מחמירין בזה</w:t>
      </w:r>
      <w:r>
        <w:rPr>
          <w:rStyle w:val="a7"/>
          <w:rFonts w:cs="Arial"/>
          <w:sz w:val="18"/>
          <w:szCs w:val="18"/>
          <w:rtl/>
        </w:rPr>
        <w:footnoteReference w:id="1781"/>
      </w:r>
      <w:r>
        <w:rPr>
          <w:rFonts w:cs="Arial"/>
          <w:sz w:val="18"/>
          <w:szCs w:val="18"/>
          <w:rtl/>
        </w:rPr>
        <w:t xml:space="preserve"> (מהרי"ק שורש קמא).</w:t>
      </w:r>
      <w:r>
        <w:rPr>
          <w:rFonts w:cs="Arial"/>
          <w:rtl/>
        </w:rPr>
        <w:t xml:space="preserve"> </w:t>
      </w:r>
    </w:p>
    <w:p w14:paraId="43D07323" w14:textId="77777777" w:rsidR="00FA2119" w:rsidRDefault="00FA2119" w:rsidP="00FA2119">
      <w:pPr>
        <w:rPr>
          <w:rtl/>
        </w:rPr>
      </w:pPr>
    </w:p>
    <w:p w14:paraId="2EDDE882" w14:textId="77777777" w:rsidR="00FA2119" w:rsidRDefault="00FA2119" w:rsidP="00FA2119">
      <w:pPr>
        <w:pStyle w:val="2"/>
        <w:rPr>
          <w:rtl/>
        </w:rPr>
      </w:pPr>
      <w:r>
        <w:rPr>
          <w:rtl/>
        </w:rPr>
        <w:t>סעיף ו: אשה עשתה שליח קבלה, והבעל אמר לו לשון הולכה.</w:t>
      </w:r>
    </w:p>
    <w:p w14:paraId="122D9CD8" w14:textId="7E8A22CA" w:rsidR="00FA2119" w:rsidRDefault="00FA2119" w:rsidP="00FA2119">
      <w:pPr>
        <w:rPr>
          <w:rtl/>
        </w:rPr>
      </w:pPr>
      <w:r>
        <w:rPr>
          <w:rFonts w:cs="Arial"/>
          <w:b/>
          <w:bCs/>
          <w:rtl/>
        </w:rPr>
        <w:t xml:space="preserve">גיטין </w:t>
      </w:r>
      <w:r>
        <w:rPr>
          <w:rFonts w:cs="Arial"/>
          <w:b/>
          <w:bCs/>
          <w:sz w:val="16"/>
          <w:szCs w:val="16"/>
          <w:rtl/>
        </w:rPr>
        <w:t>(ר"פ התקבל)</w:t>
      </w:r>
      <w:r>
        <w:rPr>
          <w:rFonts w:cs="Arial"/>
          <w:b/>
          <w:bCs/>
          <w:rtl/>
        </w:rPr>
        <w:t xml:space="preserve"> סב ע"ב:</w:t>
      </w:r>
      <w:r>
        <w:rPr>
          <w:rFonts w:cs="Arial"/>
          <w:rtl/>
        </w:rPr>
        <w:t xml:space="preserve"> </w:t>
      </w:r>
      <w:r>
        <w:rPr>
          <w:rFonts w:cs="Arial"/>
          <w:u w:val="double"/>
          <w:rtl/>
        </w:rPr>
        <w:t>מתני'</w:t>
      </w:r>
      <w:r>
        <w:rPr>
          <w:rFonts w:cs="Arial"/>
          <w:rtl/>
        </w:rPr>
        <w:t xml:space="preserve">:... האשה שאמרה התקבל לי גיטי, אם רצה לחזור </w:t>
      </w:r>
      <w:r w:rsidR="00A82951">
        <w:rPr>
          <w:rFonts w:cs="Arial"/>
          <w:rtl/>
        </w:rPr>
        <w:t>-</w:t>
      </w:r>
      <w:r>
        <w:rPr>
          <w:rFonts w:cs="Arial"/>
          <w:rtl/>
        </w:rPr>
        <w:t xml:space="preserve"> לא יחזור. לפיכך</w:t>
      </w:r>
      <w:r>
        <w:rPr>
          <w:rStyle w:val="a7"/>
          <w:rFonts w:cs="Arial"/>
          <w:rtl/>
        </w:rPr>
        <w:footnoteReference w:id="1782"/>
      </w:r>
      <w:r>
        <w:rPr>
          <w:rFonts w:cs="Arial"/>
          <w:rtl/>
        </w:rPr>
        <w:t>, אם אמר לו הבעל אי איפשי שתקבל לה אלא הולך ותן לה, אם רצה לחזור</w:t>
      </w:r>
      <w:r>
        <w:rPr>
          <w:rStyle w:val="a7"/>
          <w:rFonts w:cs="Arial"/>
          <w:rtl/>
        </w:rPr>
        <w:footnoteReference w:id="1783"/>
      </w:r>
      <w:r>
        <w:rPr>
          <w:rFonts w:cs="Arial"/>
          <w:rtl/>
        </w:rPr>
        <w:t xml:space="preserve"> </w:t>
      </w:r>
      <w:r w:rsidR="00A82951">
        <w:rPr>
          <w:rFonts w:cs="Arial"/>
          <w:rtl/>
        </w:rPr>
        <w:t>-</w:t>
      </w:r>
      <w:r>
        <w:rPr>
          <w:rFonts w:cs="Arial"/>
          <w:rtl/>
        </w:rPr>
        <w:t xml:space="preserve"> יחזור</w:t>
      </w:r>
      <w:r>
        <w:rPr>
          <w:rStyle w:val="a7"/>
          <w:rFonts w:cs="Arial"/>
          <w:rtl/>
        </w:rPr>
        <w:footnoteReference w:id="1784"/>
      </w:r>
      <w:r>
        <w:rPr>
          <w:rFonts w:cs="Arial"/>
          <w:rtl/>
        </w:rPr>
        <w:t>...</w:t>
      </w:r>
      <w:r>
        <w:rPr>
          <w:rtl/>
        </w:rPr>
        <w:t xml:space="preserve">      </w:t>
      </w:r>
      <w:r>
        <w:rPr>
          <w:rFonts w:cs="Arial"/>
          <w:u w:val="double"/>
          <w:rtl/>
        </w:rPr>
        <w:t>גמ'</w:t>
      </w:r>
      <w:r>
        <w:rPr>
          <w:rFonts w:cs="Arial"/>
          <w:sz w:val="14"/>
          <w:szCs w:val="14"/>
          <w:u w:val="double"/>
          <w:rtl/>
        </w:rPr>
        <w:t>(סג.)</w:t>
      </w:r>
      <w:r>
        <w:rPr>
          <w:rFonts w:cs="Arial"/>
          <w:u w:val="double"/>
          <w:rtl/>
        </w:rPr>
        <w:t>:</w:t>
      </w:r>
      <w:r>
        <w:rPr>
          <w:rFonts w:cs="Arial"/>
          <w:rtl/>
        </w:rPr>
        <w:t xml:space="preserve"> ת"ר: התקבל לי גיטי, ואשתך אמרה התקבל לי גיטי</w:t>
      </w:r>
      <w:r>
        <w:rPr>
          <w:rStyle w:val="a7"/>
          <w:rFonts w:cs="Arial"/>
          <w:rtl/>
        </w:rPr>
        <w:footnoteReference w:id="1785"/>
      </w:r>
      <w:r>
        <w:rPr>
          <w:rFonts w:cs="Arial"/>
          <w:rtl/>
        </w:rPr>
        <w:t>, והוא אומר</w:t>
      </w:r>
      <w:r w:rsidR="004C1240">
        <w:rPr>
          <w:rFonts w:cs="Arial" w:hint="cs"/>
          <w:rtl/>
        </w:rPr>
        <w:t>:</w:t>
      </w:r>
      <w:r>
        <w:rPr>
          <w:rFonts w:cs="Arial"/>
          <w:rtl/>
        </w:rPr>
        <w:t xml:space="preserve"> הולך ותן לה, זכי לה והתקבל לה, רצה לחזור </w:t>
      </w:r>
      <w:r w:rsidR="00A82951">
        <w:rPr>
          <w:rFonts w:cs="Arial"/>
          <w:rtl/>
        </w:rPr>
        <w:t>-</w:t>
      </w:r>
      <w:r>
        <w:rPr>
          <w:rFonts w:cs="Arial"/>
          <w:rtl/>
        </w:rPr>
        <w:t xml:space="preserve"> לא יחזור</w:t>
      </w:r>
      <w:r>
        <w:rPr>
          <w:rStyle w:val="a7"/>
          <w:rFonts w:cs="Arial"/>
          <w:rtl/>
        </w:rPr>
        <w:footnoteReference w:id="1786"/>
      </w:r>
      <w:r>
        <w:rPr>
          <w:rFonts w:cs="Arial"/>
          <w:rtl/>
        </w:rPr>
        <w:t xml:space="preserve">. </w:t>
      </w:r>
      <w:r>
        <w:rPr>
          <w:rFonts w:cs="Arial"/>
          <w:u w:val="single"/>
          <w:rtl/>
        </w:rPr>
        <w:t>ר' נתן אומר</w:t>
      </w:r>
      <w:r>
        <w:rPr>
          <w:rFonts w:cs="Arial"/>
          <w:rtl/>
        </w:rPr>
        <w:t xml:space="preserve">: הולך ותן לה, רצה לחזור </w:t>
      </w:r>
      <w:r w:rsidR="00A82951">
        <w:rPr>
          <w:rFonts w:cs="Arial"/>
          <w:rtl/>
        </w:rPr>
        <w:t>-</w:t>
      </w:r>
      <w:r>
        <w:rPr>
          <w:rFonts w:cs="Arial"/>
          <w:rtl/>
        </w:rPr>
        <w:t xml:space="preserve"> יחזור, זכי לה והתקבל לה, רצה לחזור </w:t>
      </w:r>
      <w:r w:rsidR="00A82951">
        <w:rPr>
          <w:rFonts w:cs="Arial"/>
          <w:rtl/>
        </w:rPr>
        <w:t>-</w:t>
      </w:r>
      <w:r>
        <w:rPr>
          <w:rFonts w:cs="Arial"/>
          <w:rtl/>
        </w:rPr>
        <w:t xml:space="preserve"> לא יחזור. </w:t>
      </w:r>
      <w:r>
        <w:rPr>
          <w:rFonts w:cs="Arial"/>
          <w:u w:val="single"/>
          <w:rtl/>
        </w:rPr>
        <w:t>רבי אומר</w:t>
      </w:r>
      <w:r>
        <w:rPr>
          <w:rFonts w:cs="Arial"/>
          <w:rtl/>
        </w:rPr>
        <w:t xml:space="preserve">: בכולן אם רצה לחזור </w:t>
      </w:r>
      <w:r w:rsidR="00A82951">
        <w:rPr>
          <w:rFonts w:cs="Arial"/>
          <w:rtl/>
        </w:rPr>
        <w:t>-</w:t>
      </w:r>
      <w:r>
        <w:rPr>
          <w:rFonts w:cs="Arial"/>
          <w:rtl/>
        </w:rPr>
        <w:t xml:space="preserve"> לא יחזור, אבל אם אמר לו</w:t>
      </w:r>
      <w:r w:rsidR="004C1240">
        <w:rPr>
          <w:rFonts w:cs="Arial" w:hint="cs"/>
          <w:rtl/>
        </w:rPr>
        <w:t>:</w:t>
      </w:r>
      <w:r>
        <w:rPr>
          <w:rFonts w:cs="Arial"/>
          <w:rtl/>
        </w:rPr>
        <w:t xml:space="preserve"> אי איפשי שתקבל</w:t>
      </w:r>
      <w:r>
        <w:rPr>
          <w:rStyle w:val="a7"/>
          <w:rFonts w:cs="Arial"/>
          <w:rtl/>
        </w:rPr>
        <w:footnoteReference w:id="1787"/>
      </w:r>
      <w:r>
        <w:rPr>
          <w:rFonts w:cs="Arial"/>
          <w:rtl/>
        </w:rPr>
        <w:t xml:space="preserve"> לה אלא הולך ותן לה, רצה לחזור </w:t>
      </w:r>
      <w:r w:rsidR="00A82951">
        <w:rPr>
          <w:rFonts w:cs="Arial"/>
          <w:rtl/>
        </w:rPr>
        <w:t>-</w:t>
      </w:r>
      <w:r>
        <w:rPr>
          <w:rFonts w:cs="Arial"/>
          <w:rtl/>
        </w:rPr>
        <w:t xml:space="preserve"> יחזור. רבי היינו ת"ק! איבעית אימא: אי איפשי אתא לאשמועינן. ואיבעית אימא: הא קא משמע לן; מאן ת"ק </w:t>
      </w:r>
      <w:r w:rsidR="00A82951">
        <w:rPr>
          <w:rFonts w:cs="Arial"/>
          <w:rtl/>
        </w:rPr>
        <w:t>-</w:t>
      </w:r>
      <w:r>
        <w:rPr>
          <w:rFonts w:cs="Arial"/>
          <w:rtl/>
        </w:rPr>
        <w:t xml:space="preserve"> רבי. איבעיא להו: הילך לר' נתן, כזכי דמי או לאו כזכי דמי?... </w:t>
      </w:r>
      <w:r>
        <w:rPr>
          <w:sz w:val="14"/>
          <w:szCs w:val="14"/>
          <w:rtl/>
        </w:rPr>
        <w:t>(סג:)</w:t>
      </w:r>
      <w:r>
        <w:rPr>
          <w:rtl/>
        </w:rPr>
        <w:t xml:space="preserve"> </w:t>
      </w:r>
      <w:r>
        <w:rPr>
          <w:rFonts w:cs="Arial"/>
          <w:rtl/>
        </w:rPr>
        <w:t xml:space="preserve">ת"ש: הולך גט זה לאשתי </w:t>
      </w:r>
      <w:r w:rsidR="00A82951">
        <w:rPr>
          <w:rFonts w:cs="Arial"/>
          <w:rtl/>
        </w:rPr>
        <w:t>-</w:t>
      </w:r>
      <w:r>
        <w:rPr>
          <w:rFonts w:cs="Arial"/>
          <w:rtl/>
        </w:rPr>
        <w:t xml:space="preserve"> רצה לחזור יחזור, הילך גט זה לאשתי </w:t>
      </w:r>
      <w:r w:rsidR="00A82951">
        <w:rPr>
          <w:rFonts w:cs="Arial"/>
          <w:rtl/>
        </w:rPr>
        <w:t>-</w:t>
      </w:r>
      <w:r>
        <w:rPr>
          <w:rFonts w:cs="Arial"/>
          <w:rtl/>
        </w:rPr>
        <w:t xml:space="preserve"> רצה לחזור לא יחזור. מאן שמעת ליה דאמר: בהולך </w:t>
      </w:r>
      <w:r w:rsidR="00A82951">
        <w:rPr>
          <w:rFonts w:cs="Arial"/>
          <w:rtl/>
        </w:rPr>
        <w:t>-</w:t>
      </w:r>
      <w:r>
        <w:rPr>
          <w:rFonts w:cs="Arial"/>
          <w:rtl/>
        </w:rPr>
        <w:t xml:space="preserve"> רצה לחזור יחזור? ר' נתן, וקאמר: בהילך </w:t>
      </w:r>
      <w:r w:rsidR="00A82951">
        <w:rPr>
          <w:rFonts w:cs="Arial"/>
          <w:rtl/>
        </w:rPr>
        <w:t>-</w:t>
      </w:r>
      <w:r>
        <w:rPr>
          <w:rFonts w:cs="Arial"/>
          <w:rtl/>
        </w:rPr>
        <w:t xml:space="preserve"> רצה לחזור לא יחזור, ש"מ: הילך כזכי דמי, ש"מ. אתמר: התקבל לי גיטי, ואשתך אמרה התקבל לי גיטי, והוא אומר</w:t>
      </w:r>
      <w:r w:rsidR="00206876">
        <w:rPr>
          <w:rFonts w:cs="Arial" w:hint="cs"/>
          <w:rtl/>
        </w:rPr>
        <w:t xml:space="preserve">: </w:t>
      </w:r>
      <w:r>
        <w:rPr>
          <w:rFonts w:cs="Arial"/>
          <w:rtl/>
        </w:rPr>
        <w:t xml:space="preserve">הולך ותן לה, </w:t>
      </w:r>
      <w:r>
        <w:rPr>
          <w:rFonts w:cs="Arial"/>
          <w:u w:val="single"/>
          <w:rtl/>
        </w:rPr>
        <w:t>אמר ר' אבא אמר רב הונא אמר רב</w:t>
      </w:r>
      <w:r>
        <w:rPr>
          <w:rFonts w:cs="Arial"/>
          <w:rtl/>
        </w:rPr>
        <w:t>: נעשה שלוחו ושלוחה וחולצת</w:t>
      </w:r>
      <w:r>
        <w:rPr>
          <w:rStyle w:val="a7"/>
          <w:rFonts w:cs="Arial"/>
          <w:rtl/>
        </w:rPr>
        <w:footnoteReference w:id="1788"/>
      </w:r>
      <w:r>
        <w:rPr>
          <w:rFonts w:cs="Arial"/>
          <w:rtl/>
        </w:rPr>
        <w:t>. למימרא, דמספקא ליה לרב אי הולך כזכי</w:t>
      </w:r>
      <w:r>
        <w:rPr>
          <w:rStyle w:val="a7"/>
          <w:rFonts w:cs="Arial"/>
          <w:rtl/>
        </w:rPr>
        <w:footnoteReference w:id="1789"/>
      </w:r>
      <w:r>
        <w:rPr>
          <w:rFonts w:cs="Arial"/>
          <w:rtl/>
        </w:rPr>
        <w:t xml:space="preserve"> דמי אי לאו כזכי דמי, והא </w:t>
      </w:r>
      <w:r>
        <w:rPr>
          <w:rFonts w:cs="Arial"/>
          <w:rtl/>
        </w:rPr>
        <w:lastRenderedPageBreak/>
        <w:t>אתמר: הולך מנה לפלוני שאני חייב לו, אמר רב: חייב</w:t>
      </w:r>
      <w:r>
        <w:rPr>
          <w:rStyle w:val="a7"/>
          <w:rFonts w:cs="Arial"/>
          <w:rtl/>
        </w:rPr>
        <w:footnoteReference w:id="1790"/>
      </w:r>
      <w:r>
        <w:rPr>
          <w:rFonts w:cs="Arial"/>
          <w:rtl/>
        </w:rPr>
        <w:t xml:space="preserve"> באחריותו, ואם בא לחזור </w:t>
      </w:r>
      <w:r w:rsidR="00A82951">
        <w:rPr>
          <w:rFonts w:cs="Arial"/>
          <w:rtl/>
        </w:rPr>
        <w:t>-</w:t>
      </w:r>
      <w:r>
        <w:rPr>
          <w:rFonts w:cs="Arial"/>
          <w:rtl/>
        </w:rPr>
        <w:t xml:space="preserve"> אינו חוזר</w:t>
      </w:r>
      <w:r>
        <w:rPr>
          <w:rStyle w:val="a7"/>
          <w:rFonts w:cs="Arial"/>
          <w:rtl/>
        </w:rPr>
        <w:footnoteReference w:id="1791"/>
      </w:r>
      <w:r>
        <w:rPr>
          <w:rFonts w:cs="Arial"/>
          <w:rtl/>
        </w:rPr>
        <w:t>! התם ספק ממונא לקולא</w:t>
      </w:r>
      <w:r>
        <w:rPr>
          <w:rStyle w:val="a7"/>
          <w:rFonts w:cs="Arial"/>
          <w:rtl/>
        </w:rPr>
        <w:footnoteReference w:id="1792"/>
      </w:r>
      <w:r>
        <w:rPr>
          <w:rFonts w:cs="Arial"/>
          <w:rtl/>
        </w:rPr>
        <w:t xml:space="preserve">, הכא ספק איסורא </w:t>
      </w:r>
      <w:r w:rsidR="00A82951">
        <w:rPr>
          <w:rFonts w:cs="Arial"/>
          <w:rtl/>
        </w:rPr>
        <w:t>-</w:t>
      </w:r>
      <w:r>
        <w:rPr>
          <w:rFonts w:cs="Arial"/>
          <w:rtl/>
        </w:rPr>
        <w:t xml:space="preserve"> לחומרא.</w:t>
      </w:r>
    </w:p>
    <w:p w14:paraId="7AE6C73B" w14:textId="77777777" w:rsidR="00FA2119" w:rsidRDefault="00FA2119" w:rsidP="00FA2119">
      <w:pPr>
        <w:rPr>
          <w:rFonts w:cs="Arial"/>
          <w:rtl/>
        </w:rPr>
      </w:pPr>
      <w:r>
        <w:rPr>
          <w:rFonts w:cs="Arial"/>
          <w:u w:val="single"/>
          <w:rtl/>
        </w:rPr>
        <w:t>כיצד נפסק:</w:t>
      </w:r>
    </w:p>
    <w:p w14:paraId="02762E8E" w14:textId="1A9D1006" w:rsidR="00FA2119" w:rsidRDefault="00FA2119" w:rsidP="006A458D">
      <w:pPr>
        <w:pStyle w:val="ab"/>
        <w:numPr>
          <w:ilvl w:val="0"/>
          <w:numId w:val="103"/>
        </w:numPr>
        <w:rPr>
          <w:rFonts w:cs="Arial"/>
          <w:rtl/>
        </w:rPr>
      </w:pPr>
      <w:r>
        <w:rPr>
          <w:rFonts w:cs="Arial"/>
          <w:rtl/>
        </w:rPr>
        <w:t xml:space="preserve">רי"ף </w:t>
      </w:r>
      <w:r>
        <w:rPr>
          <w:rFonts w:cs="Arial"/>
          <w:sz w:val="16"/>
          <w:szCs w:val="16"/>
          <w:rtl/>
        </w:rPr>
        <w:t xml:space="preserve">(כח:) </w:t>
      </w:r>
      <w:r>
        <w:rPr>
          <w:rFonts w:cs="Arial"/>
          <w:rtl/>
        </w:rPr>
        <w:t xml:space="preserve">רמב"ם </w:t>
      </w:r>
      <w:r>
        <w:rPr>
          <w:rFonts w:cs="Arial"/>
          <w:sz w:val="16"/>
          <w:szCs w:val="16"/>
          <w:rtl/>
        </w:rPr>
        <w:t xml:space="preserve">(פ"ו ה"י) </w:t>
      </w:r>
      <w:r>
        <w:rPr>
          <w:rFonts w:cs="Arial"/>
          <w:rtl/>
        </w:rPr>
        <w:t xml:space="preserve">ורא"ש </w:t>
      </w:r>
      <w:r>
        <w:rPr>
          <w:rFonts w:cs="Arial"/>
          <w:sz w:val="16"/>
          <w:szCs w:val="16"/>
          <w:rtl/>
        </w:rPr>
        <w:t>(סי' ד)</w:t>
      </w:r>
      <w:r w:rsidR="00A82951">
        <w:rPr>
          <w:rFonts w:cs="Arial"/>
          <w:rtl/>
        </w:rPr>
        <w:t>-</w:t>
      </w:r>
      <w:r>
        <w:rPr>
          <w:rFonts w:cs="Arial"/>
          <w:rtl/>
        </w:rPr>
        <w:t xml:space="preserve"> הלכה כרבי נתן דאמר הולך לאו כזכי דמי, דגרסינן בהשולח (לב:) אמר אביי נקיטינן שליח מתנה כשליח הגט למאי נפקא מינה להולך לאו כזכי</w:t>
      </w:r>
      <w:r>
        <w:rPr>
          <w:rStyle w:val="a7"/>
          <w:rFonts w:cs="Arial"/>
          <w:rtl/>
        </w:rPr>
        <w:footnoteReference w:id="1793"/>
      </w:r>
      <w:r>
        <w:rPr>
          <w:rFonts w:cs="Arial"/>
          <w:sz w:val="16"/>
          <w:szCs w:val="16"/>
          <w:rtl/>
        </w:rPr>
        <w:t xml:space="preserve"> (ל' הרי"ף)</w:t>
      </w:r>
      <w:r>
        <w:rPr>
          <w:rFonts w:cs="Arial"/>
          <w:rtl/>
        </w:rPr>
        <w:t xml:space="preserve">. </w:t>
      </w:r>
      <w:r>
        <w:rPr>
          <w:rFonts w:cs="Arial"/>
          <w:color w:val="E36C0A" w:themeColor="accent6" w:themeShade="BF"/>
          <w:rtl/>
        </w:rPr>
        <w:t>(וכ"פ בשו"ע)</w:t>
      </w:r>
    </w:p>
    <w:p w14:paraId="0AE4A47A" w14:textId="421893B9" w:rsidR="00FA2119" w:rsidRDefault="00FA2119" w:rsidP="006A458D">
      <w:pPr>
        <w:pStyle w:val="ab"/>
        <w:numPr>
          <w:ilvl w:val="0"/>
          <w:numId w:val="103"/>
        </w:numPr>
        <w:rPr>
          <w:rFonts w:cs="Arial"/>
          <w:rtl/>
        </w:rPr>
      </w:pPr>
      <w:r>
        <w:rPr>
          <w:rFonts w:cs="Arial"/>
          <w:rtl/>
        </w:rPr>
        <w:t xml:space="preserve">תוס' </w:t>
      </w:r>
      <w:r>
        <w:rPr>
          <w:rFonts w:cs="Arial"/>
          <w:sz w:val="16"/>
          <w:szCs w:val="16"/>
          <w:rtl/>
        </w:rPr>
        <w:t xml:space="preserve">(כ"כ רי"ו בשמם [נכ"ד ח"ג רט:]) </w:t>
      </w:r>
      <w:r>
        <w:rPr>
          <w:rFonts w:cs="Arial"/>
          <w:rtl/>
        </w:rPr>
        <w:t xml:space="preserve">רשב"א </w:t>
      </w:r>
      <w:r>
        <w:rPr>
          <w:rFonts w:cs="Arial"/>
          <w:sz w:val="16"/>
          <w:szCs w:val="16"/>
          <w:rtl/>
        </w:rPr>
        <w:t xml:space="preserve">(סג: ד"ה אמר ר' אבא, כ"כ בשמו הה"מ [פ"ו]) </w:t>
      </w:r>
      <w:r>
        <w:rPr>
          <w:rFonts w:cs="Arial"/>
          <w:rtl/>
        </w:rPr>
        <w:t xml:space="preserve">וי"א </w:t>
      </w:r>
      <w:r>
        <w:rPr>
          <w:rFonts w:cs="Arial"/>
          <w:sz w:val="16"/>
          <w:szCs w:val="16"/>
          <w:rtl/>
        </w:rPr>
        <w:t>(הביאם הר"ן</w:t>
      </w:r>
      <w:r>
        <w:rPr>
          <w:rStyle w:val="a7"/>
          <w:rFonts w:cs="Arial"/>
          <w:sz w:val="16"/>
          <w:szCs w:val="16"/>
          <w:rtl/>
        </w:rPr>
        <w:footnoteReference w:id="1794"/>
      </w:r>
      <w:r>
        <w:rPr>
          <w:rFonts w:cs="Arial"/>
          <w:sz w:val="16"/>
          <w:szCs w:val="16"/>
          <w:rtl/>
        </w:rPr>
        <w:t xml:space="preserve"> [כח:])</w:t>
      </w:r>
      <w:r w:rsidR="00A82951">
        <w:rPr>
          <w:rFonts w:cs="Arial"/>
          <w:rtl/>
        </w:rPr>
        <w:t>-</w:t>
      </w:r>
      <w:r>
        <w:rPr>
          <w:rFonts w:cs="Arial"/>
          <w:rtl/>
        </w:rPr>
        <w:t xml:space="preserve"> הלכתא כרב דאמר חולצת. </w:t>
      </w:r>
    </w:p>
    <w:p w14:paraId="00869A38" w14:textId="59DB272A" w:rsidR="00FA2119" w:rsidRDefault="00FA2119" w:rsidP="00FA2119">
      <w:pPr>
        <w:rPr>
          <w:u w:val="single"/>
          <w:rtl/>
        </w:rPr>
      </w:pPr>
      <w:r>
        <w:rPr>
          <w:u w:val="single"/>
          <w:rtl/>
        </w:rPr>
        <w:t xml:space="preserve">למעשה </w:t>
      </w:r>
      <w:r w:rsidR="00A82951">
        <w:rPr>
          <w:u w:val="single"/>
          <w:rtl/>
        </w:rPr>
        <w:t>-</w:t>
      </w:r>
      <w:r>
        <w:rPr>
          <w:u w:val="single"/>
          <w:rtl/>
        </w:rPr>
        <w:t xml:space="preserve"> עשאתו שליח קבלה, אבל בעלה אמר לו לשון</w:t>
      </w:r>
      <w:r>
        <w:rPr>
          <w:sz w:val="16"/>
          <w:szCs w:val="16"/>
          <w:u w:val="single"/>
          <w:rtl/>
        </w:rPr>
        <w:t xml:space="preserve"> (ודאי/מסופק)</w:t>
      </w:r>
      <w:r>
        <w:rPr>
          <w:u w:val="single"/>
          <w:rtl/>
        </w:rPr>
        <w:t xml:space="preserve"> של שליח הולכה: </w:t>
      </w:r>
    </w:p>
    <w:p w14:paraId="46D6FBCC" w14:textId="28A8E392"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עשאתו שליח לקבלה, וכשבא לבעלה אמר</w:t>
      </w:r>
      <w:r w:rsidR="001F32ED">
        <w:rPr>
          <w:rFonts w:cs="Arial" w:hint="cs"/>
          <w:rtl/>
        </w:rPr>
        <w:t>:</w:t>
      </w:r>
      <w:r>
        <w:rPr>
          <w:rFonts w:cs="Arial"/>
          <w:rtl/>
        </w:rPr>
        <w:t xml:space="preserve"> איני רוצה שתהיה שליח לקבלה אלא להולכה</w:t>
      </w:r>
      <w:r>
        <w:rPr>
          <w:rStyle w:val="a7"/>
          <w:rFonts w:cs="Arial"/>
          <w:rtl/>
        </w:rPr>
        <w:footnoteReference w:id="1795"/>
      </w:r>
      <w:r>
        <w:rPr>
          <w:rFonts w:cs="Arial"/>
          <w:rtl/>
        </w:rPr>
        <w:t xml:space="preserve"> </w:t>
      </w:r>
      <w:r w:rsidR="00A82951">
        <w:rPr>
          <w:rFonts w:cs="Arial"/>
          <w:rtl/>
        </w:rPr>
        <w:t>-</w:t>
      </w:r>
      <w:r>
        <w:rPr>
          <w:rFonts w:cs="Arial"/>
          <w:rtl/>
        </w:rPr>
        <w:t xml:space="preserve"> נתבטלה שליחות הקבלה, שאין הגט גט אלא כפי רצון הבעל. ואפי' לא אמר לו איני רוצה שתהיה שליח לקבלה, אלא אמר לו</w:t>
      </w:r>
      <w:r w:rsidR="001F32ED">
        <w:rPr>
          <w:rFonts w:cs="Arial" w:hint="cs"/>
          <w:rtl/>
        </w:rPr>
        <w:t>:</w:t>
      </w:r>
      <w:r>
        <w:rPr>
          <w:rFonts w:cs="Arial"/>
          <w:rtl/>
        </w:rPr>
        <w:t xml:space="preserve"> הולך גט זה</w:t>
      </w:r>
      <w:r w:rsidR="001F32ED">
        <w:rPr>
          <w:rFonts w:cs="Arial" w:hint="cs"/>
          <w:rtl/>
        </w:rPr>
        <w:t xml:space="preserve">, </w:t>
      </w:r>
      <w:r>
        <w:rPr>
          <w:rFonts w:cs="Arial"/>
          <w:rtl/>
        </w:rPr>
        <w:t>או</w:t>
      </w:r>
      <w:r w:rsidR="001F32ED">
        <w:rPr>
          <w:rFonts w:cs="Arial" w:hint="cs"/>
          <w:rtl/>
        </w:rPr>
        <w:t xml:space="preserve"> </w:t>
      </w:r>
      <w:r>
        <w:rPr>
          <w:rFonts w:cs="Arial"/>
          <w:rtl/>
        </w:rPr>
        <w:t xml:space="preserve">תן לה </w:t>
      </w:r>
      <w:r w:rsidR="00A82951">
        <w:rPr>
          <w:rFonts w:cs="Arial"/>
          <w:rtl/>
        </w:rPr>
        <w:t>-</w:t>
      </w:r>
      <w:r>
        <w:rPr>
          <w:rFonts w:cs="Arial"/>
          <w:rtl/>
        </w:rPr>
        <w:t xml:space="preserve"> לא הוי כזכי ולא נתגרשה עד שיגיע לידה. אבל אמר לו</w:t>
      </w:r>
      <w:r w:rsidR="001F32ED">
        <w:rPr>
          <w:rFonts w:cs="Arial" w:hint="cs"/>
          <w:rtl/>
        </w:rPr>
        <w:t xml:space="preserve">: </w:t>
      </w:r>
      <w:r>
        <w:rPr>
          <w:rFonts w:cs="Arial"/>
          <w:rtl/>
        </w:rPr>
        <w:t>[הילך]</w:t>
      </w:r>
      <w:r>
        <w:rPr>
          <w:rStyle w:val="a7"/>
          <w:rFonts w:cs="Arial"/>
          <w:rtl/>
        </w:rPr>
        <w:footnoteReference w:id="1796"/>
      </w:r>
      <w:r>
        <w:rPr>
          <w:rFonts w:cs="Arial"/>
          <w:rtl/>
        </w:rPr>
        <w:t xml:space="preserve"> לה גט</w:t>
      </w:r>
      <w:r w:rsidR="001F32ED">
        <w:rPr>
          <w:rFonts w:cs="Arial" w:hint="cs"/>
          <w:rtl/>
        </w:rPr>
        <w:t>,</w:t>
      </w:r>
      <w:r>
        <w:rPr>
          <w:rFonts w:cs="Arial"/>
          <w:rtl/>
        </w:rPr>
        <w:t xml:space="preserve"> או זכי לה בגט זה</w:t>
      </w:r>
      <w:r w:rsidR="001F32ED">
        <w:rPr>
          <w:rFonts w:cs="Arial" w:hint="cs"/>
          <w:rtl/>
        </w:rPr>
        <w:t>,</w:t>
      </w:r>
      <w:r>
        <w:rPr>
          <w:rFonts w:cs="Arial"/>
          <w:rtl/>
        </w:rPr>
        <w:t xml:space="preserve"> או התקבל, והיא עשאתו שליח לקבלה </w:t>
      </w:r>
      <w:r w:rsidR="00A82951">
        <w:rPr>
          <w:rFonts w:cs="Arial"/>
          <w:rtl/>
        </w:rPr>
        <w:t>-</w:t>
      </w:r>
      <w:r>
        <w:rPr>
          <w:rFonts w:cs="Arial"/>
          <w:rtl/>
        </w:rPr>
        <w:t xml:space="preserve"> נתגרשה מיד בקבלתו. </w:t>
      </w:r>
      <w:r>
        <w:rPr>
          <w:rFonts w:cs="Arial"/>
          <w:color w:val="E36C0A" w:themeColor="accent6" w:themeShade="BF"/>
          <w:rtl/>
        </w:rPr>
        <w:t>(וכ"פ בשו"ע)</w:t>
      </w:r>
    </w:p>
    <w:p w14:paraId="4086AB2A" w14:textId="7FA3C39C" w:rsidR="00FA2119" w:rsidRDefault="00FA2119" w:rsidP="006A458D">
      <w:pPr>
        <w:pStyle w:val="ab"/>
        <w:numPr>
          <w:ilvl w:val="0"/>
          <w:numId w:val="102"/>
        </w:numPr>
      </w:pPr>
      <w:r>
        <w:rPr>
          <w:rFonts w:cs="Arial"/>
          <w:rtl/>
        </w:rPr>
        <w:t xml:space="preserve">תוס' </w:t>
      </w:r>
      <w:r>
        <w:rPr>
          <w:rFonts w:cs="Arial"/>
          <w:sz w:val="16"/>
          <w:szCs w:val="16"/>
          <w:rtl/>
        </w:rPr>
        <w:t>(שם)</w:t>
      </w:r>
      <w:r>
        <w:rPr>
          <w:rFonts w:cs="Arial"/>
          <w:rtl/>
        </w:rPr>
        <w:t xml:space="preserve"> רשב"א </w:t>
      </w:r>
      <w:r>
        <w:rPr>
          <w:rFonts w:cs="Arial"/>
          <w:sz w:val="16"/>
          <w:szCs w:val="16"/>
          <w:rtl/>
        </w:rPr>
        <w:t xml:space="preserve">(שם) </w:t>
      </w:r>
      <w:r>
        <w:rPr>
          <w:rFonts w:cs="Arial"/>
          <w:rtl/>
        </w:rPr>
        <w:t xml:space="preserve">וי"א </w:t>
      </w:r>
      <w:r>
        <w:rPr>
          <w:rFonts w:cs="Arial"/>
          <w:sz w:val="16"/>
          <w:szCs w:val="16"/>
          <w:rtl/>
        </w:rPr>
        <w:t>(שם)</w:t>
      </w:r>
      <w:r w:rsidR="00A82951">
        <w:rPr>
          <w:rFonts w:cs="Arial"/>
          <w:rtl/>
        </w:rPr>
        <w:t>-</w:t>
      </w:r>
      <w:r>
        <w:rPr>
          <w:rFonts w:cs="Arial"/>
          <w:rtl/>
        </w:rPr>
        <w:t xml:space="preserve"> מספקא לן אי הולך כזכי דמי או לאו, הילכך חולצת ולא מתייבמת.</w:t>
      </w:r>
      <w:r>
        <w:rPr>
          <w:rtl/>
        </w:rPr>
        <w:t xml:space="preserve"> </w:t>
      </w:r>
      <w:r>
        <w:rPr>
          <w:color w:val="00B0F0"/>
          <w:rtl/>
        </w:rPr>
        <w:t>(וכ"כ הרמ"א)</w:t>
      </w:r>
    </w:p>
    <w:p w14:paraId="09613171" w14:textId="77777777" w:rsidR="00FA2119" w:rsidRDefault="00FA2119" w:rsidP="00FA2119">
      <w:pPr>
        <w:ind w:left="360"/>
        <w:rPr>
          <w:u w:val="dotted"/>
        </w:rPr>
      </w:pPr>
      <w:r>
        <w:rPr>
          <w:u w:val="dotted"/>
          <w:rtl/>
        </w:rPr>
        <w:t xml:space="preserve">ומה הדין הפוך, שהיא עשאתו שליח הולכה, והבעל אמר לו לשון של שליח קבלה: </w:t>
      </w:r>
    </w:p>
    <w:p w14:paraId="70B284F4" w14:textId="32AFF45C" w:rsidR="00FA2119" w:rsidRDefault="00FA2119" w:rsidP="006A458D">
      <w:pPr>
        <w:pStyle w:val="ab"/>
        <w:numPr>
          <w:ilvl w:val="0"/>
          <w:numId w:val="102"/>
        </w:numPr>
      </w:pPr>
      <w:r>
        <w:rPr>
          <w:rFonts w:cs="Arial"/>
          <w:rtl/>
        </w:rPr>
        <w:t xml:space="preserve">בהעי"ט </w:t>
      </w:r>
      <w:r>
        <w:rPr>
          <w:rFonts w:cs="Arial"/>
          <w:sz w:val="16"/>
          <w:szCs w:val="16"/>
          <w:rtl/>
        </w:rPr>
        <w:t xml:space="preserve"> (אות ש שלישות גט מה ע"ד)</w:t>
      </w:r>
      <w:r w:rsidR="00A82951">
        <w:rPr>
          <w:rFonts w:cs="Arial"/>
          <w:rtl/>
        </w:rPr>
        <w:t>-</w:t>
      </w:r>
      <w:r>
        <w:rPr>
          <w:rFonts w:cs="Arial"/>
          <w:rtl/>
        </w:rPr>
        <w:t xml:space="preserve"> היכא דאמר ליה זכי לה או התקבל, והיא רצת בו </w:t>
      </w:r>
      <w:r w:rsidR="00A82951">
        <w:rPr>
          <w:rFonts w:cs="Arial"/>
          <w:rtl/>
        </w:rPr>
        <w:t>-</w:t>
      </w:r>
      <w:r>
        <w:rPr>
          <w:rFonts w:cs="Arial"/>
          <w:rtl/>
        </w:rPr>
        <w:t xml:space="preserve"> נתגרשה מיד בקבלתו אפילו לא עשאתו שליח לקבלה</w:t>
      </w:r>
      <w:r>
        <w:rPr>
          <w:rStyle w:val="a7"/>
          <w:rFonts w:cs="Arial"/>
          <w:rtl/>
        </w:rPr>
        <w:footnoteReference w:id="1797"/>
      </w:r>
      <w:r>
        <w:rPr>
          <w:sz w:val="16"/>
          <w:szCs w:val="16"/>
          <w:rtl/>
        </w:rPr>
        <w:t xml:space="preserve"> (ל' הטור בשמו)</w:t>
      </w:r>
      <w:r>
        <w:rPr>
          <w:rtl/>
        </w:rPr>
        <w:t>.</w:t>
      </w:r>
    </w:p>
    <w:p w14:paraId="0BA37ABB" w14:textId="58194C2F" w:rsidR="00FA2119" w:rsidRDefault="00FA2119" w:rsidP="006A458D">
      <w:pPr>
        <w:pStyle w:val="ab"/>
        <w:numPr>
          <w:ilvl w:val="0"/>
          <w:numId w:val="102"/>
        </w:numPr>
      </w:pPr>
      <w:r>
        <w:rPr>
          <w:rFonts w:cs="Arial"/>
          <w:rtl/>
        </w:rPr>
        <w:t>טור</w:t>
      </w:r>
      <w:r w:rsidR="00A82951">
        <w:rPr>
          <w:rFonts w:cs="Arial"/>
          <w:rtl/>
        </w:rPr>
        <w:t>-</w:t>
      </w:r>
      <w:r>
        <w:rPr>
          <w:rFonts w:cs="Arial"/>
          <w:rtl/>
        </w:rPr>
        <w:t xml:space="preserve"> כל זמן שלא עשתה אותו שליח</w:t>
      </w:r>
      <w:r>
        <w:rPr>
          <w:rFonts w:cs="Arial"/>
          <w:sz w:val="16"/>
          <w:szCs w:val="16"/>
          <w:rtl/>
        </w:rPr>
        <w:t xml:space="preserve"> {קבלה}</w:t>
      </w:r>
      <w:r>
        <w:rPr>
          <w:rFonts w:cs="Arial"/>
          <w:rtl/>
        </w:rPr>
        <w:t xml:space="preserve"> </w:t>
      </w:r>
      <w:r w:rsidR="00A82951">
        <w:rPr>
          <w:rFonts w:cs="Arial"/>
          <w:rtl/>
        </w:rPr>
        <w:t>-</w:t>
      </w:r>
      <w:r>
        <w:rPr>
          <w:rFonts w:cs="Arial"/>
          <w:rtl/>
        </w:rPr>
        <w:t xml:space="preserve"> אין יכול לזכות לה שחוב הוא לה, וא"כ יכול לחזור בו</w:t>
      </w:r>
      <w:r>
        <w:rPr>
          <w:rStyle w:val="a7"/>
          <w:rFonts w:cs="Arial"/>
          <w:rtl/>
        </w:rPr>
        <w:footnoteReference w:id="1798"/>
      </w:r>
      <w:r>
        <w:rPr>
          <w:rFonts w:cs="Arial"/>
          <w:rtl/>
        </w:rPr>
        <w:t xml:space="preserve">. </w:t>
      </w:r>
      <w:r>
        <w:rPr>
          <w:rFonts w:cs="Arial"/>
          <w:color w:val="E36C0A" w:themeColor="accent6" w:themeShade="BF"/>
          <w:rtl/>
        </w:rPr>
        <w:t>(וכ"ס בשו"ע</w:t>
      </w:r>
      <w:r>
        <w:rPr>
          <w:rFonts w:cs="Arial"/>
          <w:color w:val="E36C0A" w:themeColor="accent6" w:themeShade="BF"/>
          <w:sz w:val="16"/>
          <w:szCs w:val="16"/>
          <w:rtl/>
        </w:rPr>
        <w:t xml:space="preserve"> </w:t>
      </w:r>
      <w:r>
        <w:rPr>
          <w:rFonts w:cs="Arial"/>
          <w:sz w:val="16"/>
          <w:szCs w:val="16"/>
          <w:rtl/>
        </w:rPr>
        <w:t>[כאן ובסע' ה]</w:t>
      </w:r>
      <w:r>
        <w:rPr>
          <w:rFonts w:cs="Arial"/>
          <w:color w:val="E36C0A" w:themeColor="accent6" w:themeShade="BF"/>
          <w:rtl/>
        </w:rPr>
        <w:t>)</w:t>
      </w:r>
    </w:p>
    <w:p w14:paraId="19A8159A" w14:textId="77777777" w:rsidR="00FA2119" w:rsidRDefault="00FA2119" w:rsidP="00FA2119">
      <w:pPr>
        <w:rPr>
          <w:u w:val="single"/>
        </w:rPr>
      </w:pPr>
      <w:r>
        <w:rPr>
          <w:rFonts w:cs="Arial"/>
          <w:u w:val="single"/>
          <w:rtl/>
        </w:rPr>
        <w:t>אשה עשתה שליח קבלה, וכהשגיע אמר לו הבעל 'הולך גט זה לאשתי ותהא ידך כידי ופיך כפי'</w:t>
      </w:r>
      <w:r>
        <w:rPr>
          <w:u w:val="single"/>
          <w:rtl/>
        </w:rPr>
        <w:t>:</w:t>
      </w:r>
    </w:p>
    <w:p w14:paraId="60517B3A" w14:textId="24A93F4A" w:rsidR="00FA2119" w:rsidRDefault="00FA2119" w:rsidP="006A458D">
      <w:pPr>
        <w:pStyle w:val="ab"/>
        <w:numPr>
          <w:ilvl w:val="0"/>
          <w:numId w:val="102"/>
        </w:numPr>
      </w:pPr>
      <w:r>
        <w:rPr>
          <w:rFonts w:cs="Arial"/>
          <w:rtl/>
        </w:rPr>
        <w:t xml:space="preserve">ריב"ש </w:t>
      </w:r>
      <w:r>
        <w:rPr>
          <w:rFonts w:cs="Arial"/>
          <w:sz w:val="16"/>
          <w:szCs w:val="16"/>
          <w:rtl/>
        </w:rPr>
        <w:t>(סי' תעב)</w:t>
      </w:r>
      <w:r w:rsidR="00A82951">
        <w:rPr>
          <w:rFonts w:cs="Arial"/>
          <w:rtl/>
        </w:rPr>
        <w:t>-</w:t>
      </w:r>
      <w:r>
        <w:rPr>
          <w:rFonts w:cs="Arial"/>
          <w:rtl/>
        </w:rPr>
        <w:t xml:space="preserve"> דברים פשוטים אני רואה כאן שאע"פ שעשאתו שליח לקבלה בפני הבעל, הנה כשמסר הבעל ליד השליח ואמר לו 'הולך גט זה לאשתי ותהא ידך כידי ופיך כפי' הנה עשאו שליח הולכה ולא רצה שיקבלנו בתורת שליח קבלה. ואע"ג דחש לה הרשב"א לדרב דאמר חולצת ולא מתייבמת, בנדון זה ליכא לספוקי כלל, דכיון שהוסיף ואמר לשליח 'ותהא ידך כידי ופיך כפי' על כרחין שליח להולכה עשאו, שהרי כל זמן שהגט ביד השליח הרי הוא כאילו הוא ביד הבעל, שכך אמר לו שתהא ידו כידו, וא"כ הרי הוא כאילו אמר לו בפירוש אי איפשי שתקבל לה. ועוד שהעדים אומרים מסר לשלוחו וכך אמר לשלוחו. ומה שאומר השליח שהיה בדעתו בשעת קבלתו שתהיה מגורשת מיד </w:t>
      </w:r>
      <w:r w:rsidR="00A82951">
        <w:rPr>
          <w:rFonts w:cs="Arial"/>
          <w:rtl/>
        </w:rPr>
        <w:t>-</w:t>
      </w:r>
      <w:r>
        <w:rPr>
          <w:rFonts w:cs="Arial"/>
          <w:rtl/>
        </w:rPr>
        <w:t xml:space="preserve"> אין הדבר תלוי בו, אלא בשליחות הבעל הדבר תלוי. ואיברא שאם היה לנו הוכחה שהשליח לא נתכוין להיות שליח הולכה כי אם שליח קבלה שאז היה הדין שאינה מגורשת כלל ואפילו הגיע גט לידה, דומיא דהבא לי גיטי ואשתך אמרה התקבל לי גיטי והוא אומר הילך כמו שאמרה (סב:) משום דעקריה לשליחותיה (סג.). אלא שבנדון זה אין לומר כן, שהרי אין כאן הוכחה כלל שלא קיבל שליחותו </w:t>
      </w:r>
      <w:r>
        <w:rPr>
          <w:rFonts w:cs="Arial"/>
          <w:rtl/>
        </w:rPr>
        <w:lastRenderedPageBreak/>
        <w:t xml:space="preserve">של בעל, שהרי קיבל הגט מידו על פי הדברים ההם שאמר לו. ואם מפני שאומר שבלבו היה כן, הוו להו דברים שבלב ואינם דברים (קידושין מט:) ואפילו להחמיר. ועוד דשאני התם שתלוי דיבורו בדיבורה, אבל אם היה אומר הולך ותן לה ולא היה תולה דיבורו בדיבורה, כשהגיע גט לידה מגורשת. כל שכן בנדון זה שהוא שליח גמור להולכה וכשהגיע לידה מגורשת גמורה, וקודם לכן אינה מגורשת כלל ואפילו ריח הגט (יבמות נב.) אין בו, ואם מת הבעל קודם שהגיע גט לידה או חולצת או מתייבמת. </w:t>
      </w:r>
      <w:r>
        <w:rPr>
          <w:rtl/>
        </w:rPr>
        <w:t>(וכ"פ הב"ש</w:t>
      </w:r>
      <w:r>
        <w:rPr>
          <w:sz w:val="16"/>
          <w:szCs w:val="16"/>
          <w:rtl/>
        </w:rPr>
        <w:t xml:space="preserve"> [סק"י]</w:t>
      </w:r>
      <w:r>
        <w:rPr>
          <w:rtl/>
        </w:rPr>
        <w:t>)</w:t>
      </w:r>
    </w:p>
    <w:p w14:paraId="30F14872"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375183A" w14:textId="16E15EB1" w:rsidR="00FA2119" w:rsidRDefault="00FA2119" w:rsidP="00FA2119">
      <w:pPr>
        <w:rPr>
          <w:rFonts w:cs="Arial"/>
          <w:rtl/>
        </w:rPr>
      </w:pPr>
      <w:r>
        <w:rPr>
          <w:rFonts w:cs="Arial"/>
          <w:rtl/>
        </w:rPr>
        <w:t>האשה שעשתה שליח לקבלה ואמר לו הבעל: אין רצוני שתקבל לה גיטה, אלא הרי זו גיטה הולך</w:t>
      </w:r>
      <w:r>
        <w:rPr>
          <w:rStyle w:val="a7"/>
          <w:rFonts w:cs="Arial"/>
          <w:rtl/>
        </w:rPr>
        <w:footnoteReference w:id="1799"/>
      </w:r>
      <w:r>
        <w:rPr>
          <w:rFonts w:cs="Arial"/>
          <w:rtl/>
        </w:rPr>
        <w:t xml:space="preserve"> אותו לה, הרשות ביד הבעל, ונעשה זה שליח להולכה. אבל אם אמר לו: התקבל לה גיטה</w:t>
      </w:r>
      <w:r w:rsidR="001F32ED">
        <w:rPr>
          <w:rFonts w:cs="Arial" w:hint="cs"/>
          <w:rtl/>
        </w:rPr>
        <w:t>,</w:t>
      </w:r>
      <w:r>
        <w:rPr>
          <w:rFonts w:cs="Arial"/>
          <w:rtl/>
        </w:rPr>
        <w:t xml:space="preserve"> או הא לך</w:t>
      </w:r>
      <w:r w:rsidR="001F32ED">
        <w:rPr>
          <w:rFonts w:cs="Arial" w:hint="cs"/>
          <w:rtl/>
        </w:rPr>
        <w:t>,</w:t>
      </w:r>
      <w:r>
        <w:rPr>
          <w:rFonts w:cs="Arial"/>
          <w:rtl/>
        </w:rPr>
        <w:t xml:space="preserve"> או זכה לה, לא עקר שליחות הקבלה. אבל אם אמר לו: הולך לה, עקר שליחות הקבלה ונעשה שליח הבעל. וכן אם אמר ליה: הולך ותן לה, עקר שליחות הקבלה, ובזה ובזה לא נתגרשה עד שיגיע גט לידה. </w:t>
      </w:r>
      <w:r>
        <w:rPr>
          <w:rFonts w:cs="Arial"/>
          <w:sz w:val="18"/>
          <w:szCs w:val="18"/>
          <w:rtl/>
        </w:rPr>
        <w:t>[הגה] וי"א דבתן לה</w:t>
      </w:r>
      <w:r>
        <w:rPr>
          <w:rStyle w:val="a7"/>
          <w:rFonts w:cs="Arial"/>
          <w:sz w:val="18"/>
          <w:szCs w:val="18"/>
          <w:rtl/>
        </w:rPr>
        <w:footnoteReference w:id="1800"/>
      </w:r>
      <w:r>
        <w:rPr>
          <w:rFonts w:cs="Arial"/>
          <w:sz w:val="18"/>
          <w:szCs w:val="18"/>
          <w:rtl/>
        </w:rPr>
        <w:t xml:space="preserve"> הויא ספק מגורשת (רי"ו בשם תוס', רשב"א, ור"ן בשם י"א).</w:t>
      </w:r>
    </w:p>
    <w:p w14:paraId="2E2F489B" w14:textId="77777777" w:rsidR="00FA2119" w:rsidRDefault="00FA2119" w:rsidP="00FA2119">
      <w:pPr>
        <w:rPr>
          <w:rtl/>
        </w:rPr>
      </w:pPr>
      <w:r>
        <w:rPr>
          <w:rFonts w:cs="Arial"/>
          <w:rtl/>
        </w:rPr>
        <w:t xml:space="preserve"> </w:t>
      </w:r>
    </w:p>
    <w:p w14:paraId="67012C7C" w14:textId="77777777" w:rsidR="00FA2119" w:rsidRDefault="00FA2119" w:rsidP="00FA2119">
      <w:pPr>
        <w:pStyle w:val="2"/>
        <w:rPr>
          <w:rtl/>
        </w:rPr>
      </w:pPr>
      <w:r>
        <w:rPr>
          <w:rtl/>
        </w:rPr>
        <w:t>סעיף ז: בעל שאמר לשליח 'התקבל לה'.</w:t>
      </w:r>
    </w:p>
    <w:p w14:paraId="33148A82" w14:textId="604D669D" w:rsidR="00FA2119" w:rsidRDefault="00FA2119" w:rsidP="00FA2119">
      <w:pPr>
        <w:rPr>
          <w:rtl/>
        </w:rPr>
      </w:pPr>
      <w:r>
        <w:rPr>
          <w:rFonts w:cs="Arial"/>
          <w:b/>
          <w:bCs/>
          <w:rtl/>
        </w:rPr>
        <w:t xml:space="preserve">גיטין </w:t>
      </w:r>
      <w:r>
        <w:rPr>
          <w:rFonts w:cs="Arial"/>
          <w:b/>
          <w:bCs/>
          <w:sz w:val="16"/>
          <w:szCs w:val="16"/>
          <w:rtl/>
        </w:rPr>
        <w:t>(ר"פ התקבל)</w:t>
      </w:r>
      <w:r>
        <w:rPr>
          <w:rFonts w:cs="Arial"/>
          <w:b/>
          <w:bCs/>
          <w:rtl/>
        </w:rPr>
        <w:t xml:space="preserve"> סב ע"ב:</w:t>
      </w:r>
      <w:r>
        <w:rPr>
          <w:rFonts w:cs="Arial"/>
          <w:rtl/>
        </w:rPr>
        <w:t xml:space="preserve"> </w:t>
      </w:r>
      <w:r>
        <w:rPr>
          <w:rFonts w:cs="Arial"/>
          <w:u w:val="double"/>
          <w:rtl/>
        </w:rPr>
        <w:t>מתני'</w:t>
      </w:r>
      <w:r>
        <w:rPr>
          <w:rFonts w:cs="Arial"/>
          <w:rtl/>
        </w:rPr>
        <w:t>: האומר</w:t>
      </w:r>
      <w:r w:rsidR="00EC0E94">
        <w:rPr>
          <w:rFonts w:cs="Arial" w:hint="cs"/>
          <w:rtl/>
        </w:rPr>
        <w:t>:</w:t>
      </w:r>
      <w:r>
        <w:rPr>
          <w:rFonts w:cs="Arial"/>
          <w:rtl/>
        </w:rPr>
        <w:t xml:space="preserve"> התקבל גט זה לאשתי</w:t>
      </w:r>
      <w:r w:rsidR="00EC0E94">
        <w:rPr>
          <w:rFonts w:cs="Arial" w:hint="cs"/>
          <w:rtl/>
        </w:rPr>
        <w:t>,</w:t>
      </w:r>
      <w:r>
        <w:rPr>
          <w:rFonts w:cs="Arial"/>
          <w:rtl/>
        </w:rPr>
        <w:t xml:space="preserve"> או הולך גט זה לאשתי, אם רצה לחזור </w:t>
      </w:r>
      <w:r w:rsidR="00A82951">
        <w:rPr>
          <w:rFonts w:cs="Arial"/>
          <w:rtl/>
        </w:rPr>
        <w:t>-</w:t>
      </w:r>
      <w:r>
        <w:rPr>
          <w:rFonts w:cs="Arial"/>
          <w:rtl/>
        </w:rPr>
        <w:t xml:space="preserve"> יחזור...   </w:t>
      </w:r>
      <w:r>
        <w:rPr>
          <w:rFonts w:cs="Arial"/>
          <w:u w:val="double"/>
          <w:rtl/>
        </w:rPr>
        <w:t>גמ'</w:t>
      </w:r>
      <w:r>
        <w:rPr>
          <w:rFonts w:cs="Arial"/>
          <w:rtl/>
        </w:rPr>
        <w:t xml:space="preserve">: </w:t>
      </w:r>
      <w:r>
        <w:rPr>
          <w:rFonts w:cs="Arial"/>
          <w:u w:val="single"/>
          <w:rtl/>
        </w:rPr>
        <w:t>א"ל רב אחא בריה דרב אויא לרב אשי</w:t>
      </w:r>
      <w:r>
        <w:rPr>
          <w:rFonts w:cs="Arial"/>
          <w:rtl/>
        </w:rPr>
        <w:t xml:space="preserve">: טעמא דלא שויתיה איהי שליח לקבלה, הא שויתיה איהי שליח לקבלה, רצה לחזור </w:t>
      </w:r>
      <w:r w:rsidR="00A82951">
        <w:rPr>
          <w:rFonts w:cs="Arial"/>
          <w:rtl/>
        </w:rPr>
        <w:t>-</w:t>
      </w:r>
      <w:r>
        <w:rPr>
          <w:rFonts w:cs="Arial"/>
          <w:rtl/>
        </w:rPr>
        <w:t xml:space="preserve"> לא יחזור, ש"מ: הולך כזכי דמי! לא, לעולם אימא לך: הולך לאו כזכי דמי, והתקבל גט לאשתי איצטריכא ליה, דס"ד אמינא הואיל ובעל לאו בר שויה שליח לקבלה הוא, אף על גב דמטא גיטא לידה לא להוי גיטא, קמ"ל דהתקבל והולך קאמר.</w:t>
      </w:r>
    </w:p>
    <w:p w14:paraId="36126190" w14:textId="77777777" w:rsidR="00FA2119" w:rsidRDefault="00FA2119" w:rsidP="00FA2119">
      <w:pPr>
        <w:rPr>
          <w:u w:val="single"/>
          <w:rtl/>
        </w:rPr>
      </w:pPr>
      <w:r>
        <w:rPr>
          <w:u w:val="single"/>
          <w:rtl/>
        </w:rPr>
        <w:t>בעל שאמר לשליח 'התקבל לה':</w:t>
      </w:r>
    </w:p>
    <w:p w14:paraId="7A359DF6" w14:textId="4D751AC7"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לא עשאתו שליח לקבלה, והבעל אומר תתקבל לה או הולך לה </w:t>
      </w:r>
      <w:r w:rsidR="00A82951">
        <w:rPr>
          <w:rFonts w:cs="Arial"/>
          <w:rtl/>
        </w:rPr>
        <w:t>-</w:t>
      </w:r>
      <w:r>
        <w:rPr>
          <w:rFonts w:cs="Arial"/>
          <w:rtl/>
        </w:rPr>
        <w:t xml:space="preserve"> לכשיגיע לידה מגורשת שאדם יודע שאין בידו לעשות שליח לקבלה, והתקבל והולך לה קאמר. </w:t>
      </w:r>
      <w:r>
        <w:rPr>
          <w:rFonts w:cs="Arial"/>
          <w:color w:val="E36C0A" w:themeColor="accent6" w:themeShade="BF"/>
          <w:rtl/>
        </w:rPr>
        <w:t>(וכ"פ בשו"ע)</w:t>
      </w:r>
    </w:p>
    <w:p w14:paraId="75F9DF99"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E03ECE4" w14:textId="77777777" w:rsidR="00FA2119" w:rsidRDefault="00FA2119" w:rsidP="00FA2119">
      <w:pPr>
        <w:rPr>
          <w:rtl/>
        </w:rPr>
      </w:pPr>
      <w:r>
        <w:rPr>
          <w:rFonts w:cs="Arial"/>
          <w:rtl/>
        </w:rPr>
        <w:t xml:space="preserve">לא עשאתו שליח לקבלה, והבעל אומר: התקבל לה, לכשיגיע לידה מגורשת, שאדם יודע שאין בידו לעשות שליח קבלה, והתקבל והולך לה, קאמר. </w:t>
      </w:r>
    </w:p>
    <w:p w14:paraId="47A3A77E" w14:textId="77777777" w:rsidR="00FA2119" w:rsidRDefault="00FA2119" w:rsidP="00FA2119">
      <w:pPr>
        <w:rPr>
          <w:rtl/>
        </w:rPr>
      </w:pPr>
    </w:p>
    <w:p w14:paraId="6C5D5D3E" w14:textId="77777777" w:rsidR="00FA2119" w:rsidRDefault="00FA2119" w:rsidP="00FA2119">
      <w:pPr>
        <w:pStyle w:val="2"/>
        <w:rPr>
          <w:rtl/>
        </w:rPr>
      </w:pPr>
      <w:r>
        <w:rPr>
          <w:rtl/>
        </w:rPr>
        <w:t>סעיף ח: אשה עשתה שליח הובאה, ואמר שהוא שליח קבלה, והבעל אמר הילך כמו שאמרה.</w:t>
      </w:r>
    </w:p>
    <w:p w14:paraId="54CF16DF" w14:textId="20400FB9" w:rsidR="00FA2119" w:rsidRDefault="00FA2119" w:rsidP="00FA2119">
      <w:pPr>
        <w:rPr>
          <w:rFonts w:cs="Arial"/>
          <w:rtl/>
        </w:rPr>
      </w:pPr>
      <w:r>
        <w:rPr>
          <w:rFonts w:cs="Arial"/>
          <w:b/>
          <w:bCs/>
          <w:rtl/>
        </w:rPr>
        <w:t xml:space="preserve">גיטין </w:t>
      </w:r>
      <w:r>
        <w:rPr>
          <w:rFonts w:cs="Arial"/>
          <w:b/>
          <w:bCs/>
          <w:sz w:val="16"/>
          <w:szCs w:val="16"/>
          <w:rtl/>
        </w:rPr>
        <w:t>(ר"פ התקבל)</w:t>
      </w:r>
      <w:r>
        <w:rPr>
          <w:rFonts w:cs="Arial"/>
          <w:b/>
          <w:bCs/>
          <w:rtl/>
        </w:rPr>
        <w:t xml:space="preserve"> סב ע"ב:</w:t>
      </w:r>
      <w:r>
        <w:rPr>
          <w:rFonts w:cs="Arial"/>
          <w:rtl/>
        </w:rPr>
        <w:t xml:space="preserve"> איתמר: הבא לי גיטי, ואשתך אמרה התקבל לי גיטי</w:t>
      </w:r>
      <w:r>
        <w:rPr>
          <w:rStyle w:val="a7"/>
          <w:rFonts w:cs="Arial"/>
          <w:rtl/>
        </w:rPr>
        <w:footnoteReference w:id="1801"/>
      </w:r>
      <w:r>
        <w:rPr>
          <w:rFonts w:cs="Arial"/>
          <w:rtl/>
        </w:rPr>
        <w:t>, והוא אמר</w:t>
      </w:r>
      <w:r>
        <w:rPr>
          <w:rStyle w:val="a7"/>
          <w:rFonts w:cs="Arial"/>
          <w:rtl/>
        </w:rPr>
        <w:footnoteReference w:id="1802"/>
      </w:r>
      <w:r>
        <w:rPr>
          <w:rFonts w:cs="Arial"/>
          <w:rtl/>
        </w:rPr>
        <w:t xml:space="preserve"> הילך כמה שאמרה, </w:t>
      </w:r>
      <w:r>
        <w:rPr>
          <w:rFonts w:cs="Arial"/>
          <w:u w:val="single"/>
          <w:rtl/>
        </w:rPr>
        <w:t>אמר רב נחמן אמר רבה בר אבוה אמר רב</w:t>
      </w:r>
      <w:r>
        <w:rPr>
          <w:rFonts w:cs="Arial"/>
          <w:rtl/>
        </w:rPr>
        <w:t xml:space="preserve">: אפילו הגיע גט לידה </w:t>
      </w:r>
      <w:r w:rsidR="00A82951">
        <w:rPr>
          <w:rFonts w:cs="Arial"/>
          <w:rtl/>
        </w:rPr>
        <w:t>-</w:t>
      </w:r>
      <w:r>
        <w:rPr>
          <w:rFonts w:cs="Arial"/>
          <w:rtl/>
        </w:rPr>
        <w:t xml:space="preserve"> אינה מגורשת. שמע מינה</w:t>
      </w:r>
      <w:r>
        <w:rPr>
          <w:rStyle w:val="a7"/>
          <w:rFonts w:cs="Arial"/>
          <w:rtl/>
        </w:rPr>
        <w:footnoteReference w:id="1803"/>
      </w:r>
      <w:r>
        <w:rPr>
          <w:rFonts w:cs="Arial"/>
          <w:rtl/>
        </w:rPr>
        <w:t>, אדיבורא דידיה קא סמיך, דאי אדיבורא דידה קא סמיך</w:t>
      </w:r>
      <w:r>
        <w:rPr>
          <w:rStyle w:val="a7"/>
          <w:rFonts w:cs="Arial"/>
          <w:rtl/>
        </w:rPr>
        <w:footnoteReference w:id="1804"/>
      </w:r>
      <w:r>
        <w:rPr>
          <w:rFonts w:cs="Arial"/>
          <w:rtl/>
        </w:rPr>
        <w:t>, מכי מטי גיטא לידה מיהא תיגרש</w:t>
      </w:r>
      <w:r>
        <w:rPr>
          <w:rStyle w:val="a7"/>
          <w:rFonts w:cs="Arial"/>
          <w:rtl/>
        </w:rPr>
        <w:footnoteReference w:id="1805"/>
      </w:r>
      <w:r>
        <w:rPr>
          <w:rFonts w:cs="Arial"/>
          <w:rtl/>
        </w:rPr>
        <w:t xml:space="preserve">! </w:t>
      </w:r>
      <w:r>
        <w:rPr>
          <w:rFonts w:cs="Arial"/>
          <w:u w:val="single"/>
          <w:rtl/>
        </w:rPr>
        <w:t>אמר רב אשי</w:t>
      </w:r>
      <w:r>
        <w:rPr>
          <w:rFonts w:cs="Arial"/>
          <w:rtl/>
        </w:rPr>
        <w:t xml:space="preserve">: הכי השתא, </w:t>
      </w:r>
      <w:r>
        <w:rPr>
          <w:rFonts w:cs="Arial"/>
          <w:sz w:val="14"/>
          <w:szCs w:val="14"/>
          <w:rtl/>
        </w:rPr>
        <w:t xml:space="preserve">(סג.) </w:t>
      </w:r>
      <w:r>
        <w:rPr>
          <w:rFonts w:cs="Arial"/>
          <w:rtl/>
        </w:rPr>
        <w:t>בשלמא אי איתמר איפכא: התקבל לי גיטי</w:t>
      </w:r>
      <w:r>
        <w:rPr>
          <w:rStyle w:val="a7"/>
          <w:rFonts w:cs="Arial"/>
          <w:rtl/>
        </w:rPr>
        <w:footnoteReference w:id="1806"/>
      </w:r>
      <w:r>
        <w:rPr>
          <w:rFonts w:cs="Arial"/>
          <w:rtl/>
        </w:rPr>
        <w:t xml:space="preserve">, ואשתך אמרה הבא לי גיטי, והוא אמר הילך כמה שאמרה, </w:t>
      </w:r>
      <w:r>
        <w:rPr>
          <w:rFonts w:cs="Arial"/>
          <w:u w:val="single"/>
          <w:rtl/>
        </w:rPr>
        <w:t xml:space="preserve">וא"ר נחמן אמר רבה בר </w:t>
      </w:r>
      <w:r>
        <w:rPr>
          <w:rFonts w:cs="Arial"/>
          <w:u w:val="single"/>
          <w:rtl/>
        </w:rPr>
        <w:lastRenderedPageBreak/>
        <w:t>אבוה אמר רב</w:t>
      </w:r>
      <w:r>
        <w:rPr>
          <w:rFonts w:cs="Arial"/>
          <w:rtl/>
        </w:rPr>
        <w:t>: כיון שהגיע גט לידו מגורשת, אלמא אדיבורא דידה הוא דקא סמיך, א"נ</w:t>
      </w:r>
      <w:r>
        <w:rPr>
          <w:rStyle w:val="a7"/>
          <w:rFonts w:cs="Arial"/>
          <w:rtl/>
        </w:rPr>
        <w:footnoteReference w:id="1807"/>
      </w:r>
      <w:r>
        <w:rPr>
          <w:rFonts w:cs="Arial"/>
          <w:rtl/>
        </w:rPr>
        <w:t xml:space="preserve"> לידה </w:t>
      </w:r>
      <w:r w:rsidR="00A82951">
        <w:rPr>
          <w:rFonts w:cs="Arial"/>
          <w:rtl/>
        </w:rPr>
        <w:t>-</w:t>
      </w:r>
      <w:r>
        <w:rPr>
          <w:rFonts w:cs="Arial"/>
          <w:rtl/>
        </w:rPr>
        <w:t xml:space="preserve"> אדיבורא דידיה קא סמיך, אלא הכא משום דעקריה שליח לשליחותיה לגמרי הוא, דאמר: שליח לקבלה הוינא, להולכה לא הוינא.</w:t>
      </w:r>
    </w:p>
    <w:p w14:paraId="27AD52E3" w14:textId="77777777" w:rsidR="00FA2119" w:rsidRDefault="00FA2119" w:rsidP="00FA2119">
      <w:pPr>
        <w:rPr>
          <w:u w:val="single"/>
          <w:rtl/>
        </w:rPr>
      </w:pPr>
      <w:r>
        <w:rPr>
          <w:rFonts w:cs="Arial"/>
          <w:u w:val="single"/>
          <w:rtl/>
        </w:rPr>
        <w:t>עשאתו שליח הובאה, וכשהגיע לבעל אמר שהוא שליח קבלה, ואמר לו הבעל 'הילך כמו שאמרה היא'</w:t>
      </w:r>
      <w:r>
        <w:rPr>
          <w:u w:val="single"/>
          <w:rtl/>
        </w:rPr>
        <w:t>:</w:t>
      </w:r>
    </w:p>
    <w:p w14:paraId="3F519B31" w14:textId="0811A488" w:rsidR="00FA2119" w:rsidRDefault="00FA2119" w:rsidP="00921475">
      <w:pPr>
        <w:pStyle w:val="ab"/>
        <w:numPr>
          <w:ilvl w:val="0"/>
          <w:numId w:val="102"/>
        </w:numPr>
        <w:rPr>
          <w:rtl/>
        </w:rPr>
      </w:pPr>
      <w:r>
        <w:rPr>
          <w:rFonts w:cs="Arial"/>
          <w:rtl/>
        </w:rPr>
        <w:t>טור</w:t>
      </w:r>
      <w:r w:rsidR="00A82951">
        <w:rPr>
          <w:rFonts w:cs="Arial"/>
          <w:rtl/>
        </w:rPr>
        <w:t>-</w:t>
      </w:r>
      <w:r>
        <w:rPr>
          <w:rFonts w:cs="Arial"/>
          <w:rtl/>
        </w:rPr>
        <w:t xml:space="preserve"> עשאתו שליח להביא לה גיטה, ובא לבעל ואמר</w:t>
      </w:r>
      <w:r w:rsidR="00921475">
        <w:rPr>
          <w:rFonts w:cs="Arial" w:hint="cs"/>
          <w:rtl/>
        </w:rPr>
        <w:t>:</w:t>
      </w:r>
      <w:r>
        <w:rPr>
          <w:rFonts w:cs="Arial"/>
          <w:rtl/>
        </w:rPr>
        <w:t xml:space="preserve"> אשתך עשאתני שליח לקבל לה גיטה, והוא אמר</w:t>
      </w:r>
      <w:r w:rsidR="00921475">
        <w:rPr>
          <w:rFonts w:cs="Arial" w:hint="cs"/>
          <w:rtl/>
        </w:rPr>
        <w:t>:</w:t>
      </w:r>
      <w:r>
        <w:rPr>
          <w:rFonts w:cs="Arial"/>
          <w:rtl/>
        </w:rPr>
        <w:t xml:space="preserve"> הילך כמו שאמרה היא</w:t>
      </w:r>
      <w:r w:rsidR="00921475">
        <w:rPr>
          <w:rFonts w:cs="Arial" w:hint="cs"/>
          <w:rtl/>
        </w:rPr>
        <w:t>,</w:t>
      </w:r>
      <w:r w:rsidRPr="00921475">
        <w:rPr>
          <w:rFonts w:cs="Arial"/>
          <w:rtl/>
        </w:rPr>
        <w:t xml:space="preserve"> אפילו הגיע גט לידה </w:t>
      </w:r>
      <w:r w:rsidR="00921475">
        <w:rPr>
          <w:rFonts w:cs="Arial" w:hint="cs"/>
          <w:rtl/>
        </w:rPr>
        <w:t xml:space="preserve">- </w:t>
      </w:r>
      <w:r w:rsidRPr="00921475">
        <w:rPr>
          <w:rFonts w:cs="Arial"/>
          <w:rtl/>
        </w:rPr>
        <w:t xml:space="preserve">אינה מגורשת, שהרי הוא עוקר שליחותו ממה שנתרצה להיות שליח להובאה מפני שיש בו טורח יותר שצריך להגיע גט לידה, והבעל ג"כ לא עשאו שליח להולכה כיון שאמר לו הילך כמו שאמרה היא, נמצא שאין כאן שליחות כלל, ואפילו נמלך אח"כ להוליכו לה אינו כלום, כיון שלא בא לידו בתורת שליחות. </w:t>
      </w:r>
      <w:r w:rsidRPr="00921475">
        <w:rPr>
          <w:rFonts w:cs="Arial"/>
          <w:color w:val="E36C0A" w:themeColor="accent6" w:themeShade="BF"/>
          <w:rtl/>
        </w:rPr>
        <w:t>(וכ"פ בשו"ע)</w:t>
      </w:r>
    </w:p>
    <w:p w14:paraId="38BB80A4" w14:textId="77777777" w:rsidR="00FA2119" w:rsidRDefault="00FA2119" w:rsidP="00FA2119">
      <w:pPr>
        <w:ind w:left="360"/>
        <w:rPr>
          <w:u w:val="dotted"/>
        </w:rPr>
      </w:pPr>
      <w:r>
        <w:rPr>
          <w:u w:val="dotted"/>
          <w:rtl/>
        </w:rPr>
        <w:t>ומה הדין אם אמר לו הבעל 'הולך', או 'זכי לה':</w:t>
      </w:r>
    </w:p>
    <w:p w14:paraId="0C42E541" w14:textId="70EF0814" w:rsidR="00FA2119" w:rsidRDefault="00FA2119" w:rsidP="006A458D">
      <w:pPr>
        <w:pStyle w:val="ab"/>
        <w:numPr>
          <w:ilvl w:val="0"/>
          <w:numId w:val="102"/>
        </w:numPr>
      </w:pPr>
      <w:r>
        <w:rPr>
          <w:rFonts w:cs="Arial"/>
          <w:rtl/>
        </w:rPr>
        <w:t>טור</w:t>
      </w:r>
      <w:r w:rsidR="00A82951">
        <w:rPr>
          <w:rFonts w:cs="Arial"/>
          <w:rtl/>
        </w:rPr>
        <w:t>-</w:t>
      </w:r>
      <w:r>
        <w:rPr>
          <w:rFonts w:cs="Arial"/>
          <w:rtl/>
        </w:rPr>
        <w:t xml:space="preserve"> ודוקא שאמר לו 'הילך כמו שאמרה', אבל אמר לו הולך או זכי לה, ודאי עתה עשאו שליח להולכה ואדעתא דהכי קבלו </w:t>
      </w:r>
      <w:r w:rsidR="00A82951">
        <w:rPr>
          <w:rFonts w:cs="Arial"/>
          <w:rtl/>
        </w:rPr>
        <w:t>-</w:t>
      </w:r>
      <w:r>
        <w:rPr>
          <w:rFonts w:cs="Arial"/>
          <w:rtl/>
        </w:rPr>
        <w:t xml:space="preserve"> וכשיגיע לידה מתגרשת</w:t>
      </w:r>
      <w:r>
        <w:rPr>
          <w:rStyle w:val="a7"/>
          <w:rFonts w:cs="Arial"/>
          <w:rtl/>
        </w:rPr>
        <w:footnoteReference w:id="1808"/>
      </w:r>
      <w:r>
        <w:rPr>
          <w:rFonts w:cs="Arial"/>
          <w:rtl/>
        </w:rPr>
        <w:t xml:space="preserve">. </w:t>
      </w:r>
      <w:r>
        <w:rPr>
          <w:rFonts w:cs="Arial"/>
          <w:color w:val="E36C0A" w:themeColor="accent6" w:themeShade="BF"/>
          <w:rtl/>
        </w:rPr>
        <w:t>(וכ"פ בשו"ע)</w:t>
      </w:r>
    </w:p>
    <w:p w14:paraId="7D61A1A3" w14:textId="77777777" w:rsidR="00FA2119" w:rsidRDefault="00FA2119" w:rsidP="00FA2119">
      <w:pPr>
        <w:ind w:left="360"/>
      </w:pPr>
      <w:r>
        <w:rPr>
          <w:u w:val="dotted"/>
          <w:rtl/>
        </w:rPr>
        <w:t>ומה הדין אם אמר לו הבעל '</w:t>
      </w:r>
      <w:r>
        <w:rPr>
          <w:rFonts w:cs="Arial"/>
          <w:u w:val="dotted"/>
          <w:rtl/>
        </w:rPr>
        <w:t xml:space="preserve">התקבל' </w:t>
      </w:r>
      <w:r>
        <w:rPr>
          <w:rFonts w:cs="Arial"/>
          <w:sz w:val="16"/>
          <w:szCs w:val="16"/>
          <w:u w:val="dotted"/>
          <w:rtl/>
        </w:rPr>
        <w:t>(ולא אמר 'כמו שאמרה היא')</w:t>
      </w:r>
      <w:r>
        <w:rPr>
          <w:rFonts w:cs="Arial"/>
          <w:u w:val="dotted"/>
          <w:rtl/>
        </w:rPr>
        <w:t>:</w:t>
      </w:r>
      <w:r>
        <w:rPr>
          <w:rFonts w:cs="Arial"/>
          <w:rtl/>
        </w:rPr>
        <w:t xml:space="preserve"> </w:t>
      </w:r>
    </w:p>
    <w:p w14:paraId="2582DECE" w14:textId="69A8F795" w:rsidR="00FA2119" w:rsidRDefault="00FA2119" w:rsidP="006A458D">
      <w:pPr>
        <w:pStyle w:val="ab"/>
        <w:numPr>
          <w:ilvl w:val="0"/>
          <w:numId w:val="102"/>
        </w:numPr>
      </w:pPr>
      <w:r>
        <w:rPr>
          <w:rFonts w:cs="Arial"/>
          <w:rtl/>
        </w:rPr>
        <w:t xml:space="preserve">בהעי"ט </w:t>
      </w:r>
      <w:r>
        <w:rPr>
          <w:rFonts w:cs="Arial"/>
          <w:sz w:val="16"/>
          <w:szCs w:val="16"/>
          <w:rtl/>
        </w:rPr>
        <w:t>(שם מז סוף ע"ב, כ"כ בשמו הה"מ [פ"ו הי"א])</w:t>
      </w:r>
      <w:r w:rsidR="00A82951">
        <w:rPr>
          <w:rFonts w:cs="Arial"/>
          <w:rtl/>
        </w:rPr>
        <w:t>-</w:t>
      </w:r>
      <w:r>
        <w:rPr>
          <w:rFonts w:cs="Arial"/>
          <w:rtl/>
        </w:rPr>
        <w:t xml:space="preserve"> מכי מטי גיטה לידה איגרשה דשליח הולכה שוייה ואיהו נמי כשפשט ידו וקיבלו על דעת מה שאמר לו הבעל קיבלו והתקבל דאמר לו הבעל התקבל והולך קאמר.</w:t>
      </w:r>
    </w:p>
    <w:p w14:paraId="28AA5097" w14:textId="112C1163" w:rsidR="00FA2119" w:rsidRDefault="00FA2119" w:rsidP="006A458D">
      <w:pPr>
        <w:pStyle w:val="ab"/>
        <w:numPr>
          <w:ilvl w:val="0"/>
          <w:numId w:val="102"/>
        </w:numPr>
      </w:pPr>
      <w:r>
        <w:rPr>
          <w:rFonts w:cs="Arial"/>
          <w:rtl/>
        </w:rPr>
        <w:t xml:space="preserve">רשב"א </w:t>
      </w:r>
      <w:r>
        <w:rPr>
          <w:rFonts w:cs="Arial"/>
          <w:sz w:val="16"/>
          <w:szCs w:val="16"/>
          <w:rtl/>
        </w:rPr>
        <w:t>(סג. ד"ה ולענין)</w:t>
      </w:r>
      <w:r>
        <w:rPr>
          <w:rFonts w:cs="Arial"/>
          <w:rtl/>
        </w:rPr>
        <w:t xml:space="preserve"> ור"ן </w:t>
      </w:r>
      <w:r>
        <w:rPr>
          <w:rFonts w:cs="Arial"/>
          <w:sz w:val="16"/>
          <w:szCs w:val="16"/>
          <w:rtl/>
        </w:rPr>
        <w:t>(ר"פ התקבל כח: ד"ה איתמר)</w:t>
      </w:r>
      <w:r w:rsidR="00A82951">
        <w:rPr>
          <w:rFonts w:cs="Arial"/>
          <w:rtl/>
        </w:rPr>
        <w:t>-</w:t>
      </w:r>
      <w:r>
        <w:rPr>
          <w:rFonts w:cs="Arial"/>
          <w:rtl/>
        </w:rPr>
        <w:t xml:space="preserve"> אפילו אמר לו התקבל לה ולא אמר לו כמו שאמרה </w:t>
      </w:r>
      <w:r w:rsidR="00A82951">
        <w:rPr>
          <w:rFonts w:cs="Arial"/>
          <w:rtl/>
        </w:rPr>
        <w:t>-</w:t>
      </w:r>
      <w:r>
        <w:rPr>
          <w:rFonts w:cs="Arial"/>
          <w:rtl/>
        </w:rPr>
        <w:t xml:space="preserve"> אפילו הגיע גט לידה אינה מגורשת</w:t>
      </w:r>
      <w:r>
        <w:rPr>
          <w:sz w:val="16"/>
          <w:szCs w:val="16"/>
          <w:rtl/>
        </w:rPr>
        <w:t xml:space="preserve"> (ל' הב"י)</w:t>
      </w:r>
      <w:r>
        <w:rPr>
          <w:rFonts w:cs="Arial"/>
          <w:rtl/>
        </w:rPr>
        <w:t>.</w:t>
      </w:r>
    </w:p>
    <w:p w14:paraId="28E27CD6"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3DBD844" w14:textId="77777777" w:rsidR="00FA2119" w:rsidRDefault="00FA2119" w:rsidP="00FA2119">
      <w:pPr>
        <w:rPr>
          <w:rtl/>
        </w:rPr>
      </w:pPr>
      <w:r>
        <w:rPr>
          <w:rFonts w:cs="Arial"/>
          <w:rtl/>
        </w:rPr>
        <w:t xml:space="preserve">עשאתו שליח להביא לה גיטה, ובא ואמר לבעל: אשתך עשאתני שליח לקבל לה גיטה, והוא אמר: הולך כמו שאמרה היא, אפילו הגיע גט לידה אינה מגורשת. ואם הבעל אמר לו: הולך לה או זכה לה, ולא אמר: כמו שאמרה היא, כשיגיע לידה מתגרשת. </w:t>
      </w:r>
    </w:p>
    <w:p w14:paraId="740456DB" w14:textId="77777777" w:rsidR="00FA2119" w:rsidRDefault="00FA2119" w:rsidP="00FA2119">
      <w:pPr>
        <w:rPr>
          <w:rtl/>
        </w:rPr>
      </w:pPr>
    </w:p>
    <w:p w14:paraId="65850B90" w14:textId="77777777" w:rsidR="00FA2119" w:rsidRDefault="00FA2119" w:rsidP="00FA2119">
      <w:pPr>
        <w:pStyle w:val="2"/>
        <w:rPr>
          <w:rtl/>
        </w:rPr>
      </w:pPr>
      <w:r>
        <w:rPr>
          <w:rtl/>
        </w:rPr>
        <w:t>סעיף ט: אשה עשתה שליח קבלה, ואמר שהוא שליח הובאה, והבעל אמר הילך כמו שאמרה.</w:t>
      </w:r>
    </w:p>
    <w:p w14:paraId="3C1984D4" w14:textId="27E1B21A" w:rsidR="00FA2119" w:rsidRDefault="00FA2119" w:rsidP="00FA2119">
      <w:pPr>
        <w:rPr>
          <w:rFonts w:cs="Arial"/>
          <w:rtl/>
        </w:rPr>
      </w:pPr>
      <w:r>
        <w:rPr>
          <w:rFonts w:cs="Arial"/>
          <w:b/>
          <w:bCs/>
          <w:rtl/>
        </w:rPr>
        <w:t xml:space="preserve">גיטין </w:t>
      </w:r>
      <w:r>
        <w:rPr>
          <w:rFonts w:cs="Arial"/>
          <w:b/>
          <w:bCs/>
          <w:sz w:val="16"/>
          <w:szCs w:val="16"/>
          <w:rtl/>
        </w:rPr>
        <w:t>(ר"פ התקבל)</w:t>
      </w:r>
      <w:r>
        <w:rPr>
          <w:rFonts w:cs="Arial"/>
          <w:b/>
          <w:bCs/>
          <w:rtl/>
        </w:rPr>
        <w:t xml:space="preserve"> סב ע"ב:</w:t>
      </w:r>
      <w:r>
        <w:rPr>
          <w:rFonts w:cs="Arial"/>
          <w:rtl/>
        </w:rPr>
        <w:t xml:space="preserve"> איתמר: הבא לי גיטי, ואשתך אמרה התקבל לי גיטי</w:t>
      </w:r>
      <w:r>
        <w:rPr>
          <w:rStyle w:val="a7"/>
          <w:rFonts w:cs="Arial"/>
          <w:rtl/>
        </w:rPr>
        <w:footnoteReference w:id="1809"/>
      </w:r>
      <w:r>
        <w:rPr>
          <w:rFonts w:cs="Arial"/>
          <w:rtl/>
        </w:rPr>
        <w:t>, והוא אמר</w:t>
      </w:r>
      <w:r>
        <w:rPr>
          <w:rStyle w:val="a7"/>
          <w:rFonts w:cs="Arial"/>
          <w:rtl/>
        </w:rPr>
        <w:footnoteReference w:id="1810"/>
      </w:r>
      <w:r>
        <w:rPr>
          <w:rFonts w:cs="Arial"/>
          <w:rtl/>
        </w:rPr>
        <w:t xml:space="preserve"> הילך כמה שאמרה, </w:t>
      </w:r>
      <w:r>
        <w:rPr>
          <w:rFonts w:cs="Arial"/>
          <w:u w:val="single"/>
          <w:rtl/>
        </w:rPr>
        <w:t>אמר רב נחמן אמר רבה בר אבוה אמר רב</w:t>
      </w:r>
      <w:r>
        <w:rPr>
          <w:rFonts w:cs="Arial"/>
          <w:rtl/>
        </w:rPr>
        <w:t xml:space="preserve">: אפילו הגיע גט לידה </w:t>
      </w:r>
      <w:r w:rsidR="00A82951">
        <w:rPr>
          <w:rFonts w:cs="Arial"/>
          <w:rtl/>
        </w:rPr>
        <w:t>-</w:t>
      </w:r>
      <w:r>
        <w:rPr>
          <w:rFonts w:cs="Arial"/>
          <w:rtl/>
        </w:rPr>
        <w:t xml:space="preserve"> אינה מגורשת. שמע מינה</w:t>
      </w:r>
      <w:r>
        <w:rPr>
          <w:rStyle w:val="a7"/>
          <w:rFonts w:cs="Arial"/>
          <w:rtl/>
        </w:rPr>
        <w:footnoteReference w:id="1811"/>
      </w:r>
      <w:r>
        <w:rPr>
          <w:rFonts w:cs="Arial"/>
          <w:rtl/>
        </w:rPr>
        <w:t>, אדיבורא דידיה קא סמיך, דאי אדיבורא דידה קא סמיך</w:t>
      </w:r>
      <w:r>
        <w:rPr>
          <w:rStyle w:val="a7"/>
          <w:rFonts w:cs="Arial"/>
          <w:rtl/>
        </w:rPr>
        <w:footnoteReference w:id="1812"/>
      </w:r>
      <w:r>
        <w:rPr>
          <w:rFonts w:cs="Arial"/>
          <w:rtl/>
        </w:rPr>
        <w:t>, מכי מטי גיטא לידה מיהא תיגרש</w:t>
      </w:r>
      <w:r>
        <w:rPr>
          <w:rStyle w:val="a7"/>
          <w:rFonts w:cs="Arial"/>
          <w:rtl/>
        </w:rPr>
        <w:footnoteReference w:id="1813"/>
      </w:r>
      <w:r>
        <w:rPr>
          <w:rFonts w:cs="Arial"/>
          <w:rtl/>
        </w:rPr>
        <w:t xml:space="preserve">! </w:t>
      </w:r>
      <w:r>
        <w:rPr>
          <w:rFonts w:cs="Arial"/>
          <w:u w:val="single"/>
          <w:rtl/>
        </w:rPr>
        <w:t>אמר רב אשי</w:t>
      </w:r>
      <w:r>
        <w:rPr>
          <w:rFonts w:cs="Arial"/>
          <w:rtl/>
        </w:rPr>
        <w:t xml:space="preserve">: הכי השתא, </w:t>
      </w:r>
      <w:r>
        <w:rPr>
          <w:rFonts w:cs="Arial"/>
          <w:sz w:val="14"/>
          <w:szCs w:val="14"/>
          <w:rtl/>
        </w:rPr>
        <w:t xml:space="preserve">(סג.) </w:t>
      </w:r>
      <w:r>
        <w:rPr>
          <w:rFonts w:cs="Arial"/>
          <w:rtl/>
        </w:rPr>
        <w:t>בשלמא אי איתמר איפכא: התקבל לי גיטי</w:t>
      </w:r>
      <w:r>
        <w:rPr>
          <w:rStyle w:val="a7"/>
          <w:rFonts w:cs="Arial"/>
          <w:rtl/>
        </w:rPr>
        <w:footnoteReference w:id="1814"/>
      </w:r>
      <w:r>
        <w:rPr>
          <w:rFonts w:cs="Arial"/>
          <w:rtl/>
        </w:rPr>
        <w:t xml:space="preserve">, ואשתך אמרה הבא לי גיטי, והוא אמר הילך כמה שאמרה, </w:t>
      </w:r>
      <w:r>
        <w:rPr>
          <w:rFonts w:cs="Arial"/>
          <w:u w:val="single"/>
          <w:rtl/>
        </w:rPr>
        <w:t>וא"ר נחמן אמר רבה בר אבוה אמר רב</w:t>
      </w:r>
      <w:r>
        <w:rPr>
          <w:rFonts w:cs="Arial"/>
          <w:rtl/>
        </w:rPr>
        <w:t>: כיון שהגיע גט לידו מגורשת, אלמא אדיבורא דידה הוא דקא סמיך, א"נ</w:t>
      </w:r>
      <w:r>
        <w:rPr>
          <w:rStyle w:val="a7"/>
          <w:rFonts w:cs="Arial"/>
          <w:rtl/>
        </w:rPr>
        <w:footnoteReference w:id="1815"/>
      </w:r>
      <w:r>
        <w:rPr>
          <w:rFonts w:cs="Arial"/>
          <w:rtl/>
        </w:rPr>
        <w:t xml:space="preserve"> לידה </w:t>
      </w:r>
      <w:r w:rsidR="00A82951">
        <w:rPr>
          <w:rFonts w:cs="Arial"/>
          <w:rtl/>
        </w:rPr>
        <w:t>-</w:t>
      </w:r>
      <w:r>
        <w:rPr>
          <w:rFonts w:cs="Arial"/>
          <w:rtl/>
        </w:rPr>
        <w:t xml:space="preserve"> אדיבורא דידיה קא סמיך, אלא הכא משום דעקריה שליח לשליחותיה לגמרי הוא, דאמר: שליח לקבלה הוינא, להולכה לא הוינא.</w:t>
      </w:r>
      <w:r>
        <w:rPr>
          <w:rFonts w:cs="Arial"/>
          <w:sz w:val="16"/>
          <w:szCs w:val="16"/>
          <w:rtl/>
        </w:rPr>
        <w:t xml:space="preserve"> (ומאחר דתלי רב אשי טעמא דעקריה שליח לשליחותיה</w:t>
      </w:r>
      <w:r w:rsidR="00921475">
        <w:rPr>
          <w:rFonts w:cs="Arial" w:hint="cs"/>
          <w:sz w:val="16"/>
          <w:szCs w:val="16"/>
          <w:rtl/>
        </w:rPr>
        <w:t>,</w:t>
      </w:r>
      <w:r>
        <w:rPr>
          <w:rFonts w:cs="Arial"/>
          <w:sz w:val="16"/>
          <w:szCs w:val="16"/>
          <w:rtl/>
        </w:rPr>
        <w:t xml:space="preserve"> ממילא משמע דבהתקבל לי גיטי ואשתך אמרה הבא לי גיטי והוא אומר הילך כמו שאמרה דלא עקר לשליחותיה לגמרי, דכיון שהגיע גט לידה מגורשת ממה נפשך, אי אדיבורא דידה קא סמיך מכי מטי ליד שליח איגרשה לה, ואי אדיבורא דידיה סמיך כי מטא לידה מיהא </w:t>
      </w:r>
      <w:r>
        <w:rPr>
          <w:rFonts w:cs="Arial"/>
          <w:sz w:val="16"/>
          <w:szCs w:val="16"/>
          <w:rtl/>
        </w:rPr>
        <w:lastRenderedPageBreak/>
        <w:t>נתגרשה. וכן פסקו הרי"ף (כח:) והרא"ש (סי' ג). וכן כתב הרמב"ם בפ"ו (הי"ב). וכתב הה"מ שכן פסק בה"ג (הלכות גירושין עט ע"ג) וכן פסקו מן האחרונים ז"ל (רשב"א שם). ומכל מקום היכא דלא מטא גיטא לידה, כיון דבעיין דהאומנין (עו.) לא איפשיטא מספקא לן אי אדיבורא דידיה סמיך ואינו גט, או דילמא אדיבורא דידה סמיך ומגורשת בקבלתו, והילכך ספיקא הוי ואם מת בעל חולצת ולא מתייבמת, כן כתב הר"ן (ר"פ התקבל כח: ד"ה התקבל) ורי"ו (ח"ג נכ"ד רט:), וזהו דעת רבינו שכתב ואם נשרף הגט או אבד קודם שהגיע לידה הרי זו ספק מגורשת, ב"י)</w:t>
      </w:r>
    </w:p>
    <w:p w14:paraId="3A0999F9" w14:textId="084FDB35" w:rsidR="00FA2119" w:rsidRDefault="00FA2119" w:rsidP="00FA2119">
      <w:pPr>
        <w:rPr>
          <w:rFonts w:cs="Arial"/>
          <w:rtl/>
        </w:rPr>
      </w:pPr>
      <w:r>
        <w:rPr>
          <w:rFonts w:cs="Arial"/>
          <w:b/>
          <w:bCs/>
          <w:rtl/>
        </w:rPr>
        <w:t xml:space="preserve">בבא מציעא </w:t>
      </w:r>
      <w:r>
        <w:rPr>
          <w:rFonts w:cs="Arial"/>
          <w:b/>
          <w:bCs/>
          <w:sz w:val="16"/>
          <w:szCs w:val="16"/>
          <w:rtl/>
        </w:rPr>
        <w:t>(פ' האומנים)</w:t>
      </w:r>
      <w:r>
        <w:rPr>
          <w:rFonts w:cs="Arial"/>
          <w:b/>
          <w:bCs/>
          <w:rtl/>
        </w:rPr>
        <w:t xml:space="preserve"> עו ע"א: </w:t>
      </w:r>
      <w:r>
        <w:rPr>
          <w:rFonts w:cs="Arial"/>
          <w:rtl/>
        </w:rPr>
        <w:t xml:space="preserve">אלא אי אמר ליה בעל הבית בארבעה, ואזל איהו אמר להו בתלתא, ואמרי: כמה שאמר בעל הבית, מאי? אדיבורא דידיה קא סמכי, דאמרי ליה מהימנת לן דהכי אמר בעל הבית, או דלמא אדיבורא דבעל הבית קא סמכי? תא שמע: הבא לי גיטי, ואשתך אמרה התקבל לי גיטי, והוא אומר הילך כמה שאמרה. </w:t>
      </w:r>
      <w:r>
        <w:rPr>
          <w:rFonts w:cs="Arial"/>
          <w:u w:val="single"/>
          <w:rtl/>
        </w:rPr>
        <w:t>אמר רב נחמן אמר רבה בר אבוה אמר רב</w:t>
      </w:r>
      <w:r>
        <w:rPr>
          <w:rFonts w:cs="Arial"/>
          <w:rtl/>
        </w:rPr>
        <w:t xml:space="preserve">: אפילו הגיע גט לידה אינה מגורשת. שמעת מינה: אדיבורא דידיה קא סמיך, דאי סלקא דעתך דאדיבורא דידה קא סמיך </w:t>
      </w:r>
      <w:r w:rsidR="00A82951">
        <w:rPr>
          <w:rFonts w:cs="Arial"/>
          <w:rtl/>
        </w:rPr>
        <w:t>-</w:t>
      </w:r>
      <w:r>
        <w:rPr>
          <w:rFonts w:cs="Arial"/>
          <w:rtl/>
        </w:rPr>
        <w:t xml:space="preserve"> מכי מטי גיטא לידה מיהא תיגרש! </w:t>
      </w:r>
      <w:r>
        <w:rPr>
          <w:rFonts w:cs="Arial"/>
          <w:u w:val="single"/>
          <w:rtl/>
        </w:rPr>
        <w:t>אמר רב אשי</w:t>
      </w:r>
      <w:r>
        <w:rPr>
          <w:rFonts w:cs="Arial"/>
          <w:rtl/>
        </w:rPr>
        <w:t>:</w:t>
      </w:r>
      <w:r>
        <w:rPr>
          <w:rtl/>
        </w:rPr>
        <w:t xml:space="preserve"> </w:t>
      </w:r>
      <w:r>
        <w:rPr>
          <w:rFonts w:cs="Arial"/>
          <w:sz w:val="14"/>
          <w:szCs w:val="14"/>
          <w:rtl/>
        </w:rPr>
        <w:t xml:space="preserve">(עו:) </w:t>
      </w:r>
      <w:r>
        <w:rPr>
          <w:rFonts w:cs="Arial"/>
          <w:rtl/>
        </w:rPr>
        <w:t xml:space="preserve">הכי השתא? בשלמא אי איתמר איפכא: התקבל לי גיטי ואשתך אמרה הבא לי גיטי והוא אומר הילך כמו שאמרה, </w:t>
      </w:r>
      <w:r>
        <w:rPr>
          <w:rFonts w:cs="Arial"/>
          <w:u w:val="single"/>
          <w:rtl/>
        </w:rPr>
        <w:t>ואמר רב נחמן אמר רבה בר אבוה אמר רב</w:t>
      </w:r>
      <w:r>
        <w:rPr>
          <w:rFonts w:cs="Arial"/>
          <w:rtl/>
        </w:rPr>
        <w:t xml:space="preserve">: משיגיע גט לידו מגורשת </w:t>
      </w:r>
      <w:r w:rsidR="00A82951">
        <w:rPr>
          <w:rFonts w:cs="Arial"/>
          <w:rtl/>
        </w:rPr>
        <w:t>-</w:t>
      </w:r>
      <w:r>
        <w:rPr>
          <w:rFonts w:cs="Arial"/>
          <w:rtl/>
        </w:rPr>
        <w:t xml:space="preserve"> אלמא דאדיבורא דידה קא סמיך. אי נמי: משהגיע גט לידה מגורשת </w:t>
      </w:r>
      <w:r w:rsidR="00A82951">
        <w:rPr>
          <w:rFonts w:cs="Arial"/>
          <w:rtl/>
        </w:rPr>
        <w:t>-</w:t>
      </w:r>
      <w:r>
        <w:rPr>
          <w:rFonts w:cs="Arial"/>
          <w:rtl/>
        </w:rPr>
        <w:t xml:space="preserve"> אלמא דאדיבורא דידיה קא סמיך. אלא התם </w:t>
      </w:r>
      <w:r w:rsidR="00A82951">
        <w:rPr>
          <w:rFonts w:cs="Arial"/>
          <w:rtl/>
        </w:rPr>
        <w:t>-</w:t>
      </w:r>
      <w:r>
        <w:rPr>
          <w:rFonts w:cs="Arial"/>
          <w:rtl/>
        </w:rPr>
        <w:t xml:space="preserve"> משום דעקר שליח לשליחותיה לגמרי, דאמר ליה: שליח לקבלה הוינא, להולכה לא הוינא.</w:t>
      </w:r>
    </w:p>
    <w:p w14:paraId="1D64C0F2" w14:textId="77777777" w:rsidR="00FA2119" w:rsidRDefault="00FA2119" w:rsidP="00FA2119">
      <w:pPr>
        <w:rPr>
          <w:rtl/>
        </w:rPr>
      </w:pPr>
      <w:r>
        <w:rPr>
          <w:rFonts w:cs="Arial"/>
          <w:u w:val="single"/>
          <w:rtl/>
        </w:rPr>
        <w:t>עשאתו שליח קבלה, וכשהגיע לבעל אמר שהוא שליח הובאה, ואמר לו הבעל 'הילך כמו שאמרה היא'</w:t>
      </w:r>
      <w:r>
        <w:rPr>
          <w:u w:val="single"/>
          <w:rtl/>
        </w:rPr>
        <w:t>:</w:t>
      </w:r>
    </w:p>
    <w:p w14:paraId="3D4AD570" w14:textId="6FAB8B69" w:rsidR="00FA2119" w:rsidRDefault="00FA2119" w:rsidP="006A458D">
      <w:pPr>
        <w:pStyle w:val="ab"/>
        <w:numPr>
          <w:ilvl w:val="0"/>
          <w:numId w:val="102"/>
        </w:numPr>
      </w:pPr>
      <w:r>
        <w:rPr>
          <w:rFonts w:cs="Arial"/>
          <w:rtl/>
        </w:rPr>
        <w:t>טור</w:t>
      </w:r>
      <w:r w:rsidR="00A82951">
        <w:rPr>
          <w:rFonts w:cs="Arial"/>
          <w:rtl/>
        </w:rPr>
        <w:t>-</w:t>
      </w:r>
      <w:r>
        <w:rPr>
          <w:rFonts w:cs="Arial"/>
          <w:rtl/>
        </w:rPr>
        <w:t xml:space="preserve"> עשאתו שליח לקבלה, ובא לבעל ואמר אשתך עשאתני שליח להובאה, וא"ל הילך כמו שאמרה היא </w:t>
      </w:r>
      <w:r w:rsidR="00A82951">
        <w:rPr>
          <w:rFonts w:cs="Arial"/>
          <w:rtl/>
        </w:rPr>
        <w:t>-</w:t>
      </w:r>
      <w:r>
        <w:rPr>
          <w:rFonts w:cs="Arial"/>
          <w:rtl/>
        </w:rPr>
        <w:t xml:space="preserve"> כיון שהגיע גט לידה מגורשת, שהרי לא עקר שליחותו אלא נתרצה להיות אפי' שליח להובאה. ואם נשרף הגט או אבד קודם שהגיע לידה </w:t>
      </w:r>
      <w:r w:rsidR="00A82951">
        <w:rPr>
          <w:rFonts w:cs="Arial"/>
          <w:rtl/>
        </w:rPr>
        <w:t>-</w:t>
      </w:r>
      <w:r>
        <w:rPr>
          <w:rFonts w:cs="Arial"/>
          <w:rtl/>
        </w:rPr>
        <w:t xml:space="preserve"> הויא ספק מגורשת.</w:t>
      </w:r>
      <w:r>
        <w:rPr>
          <w:rFonts w:cs="Arial"/>
          <w:color w:val="E36C0A" w:themeColor="accent6" w:themeShade="BF"/>
          <w:rtl/>
        </w:rPr>
        <w:t xml:space="preserve"> (וכ"פ בשו"ע)</w:t>
      </w:r>
    </w:p>
    <w:p w14:paraId="7AEAF523"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2CB3C8C" w14:textId="7618DB7C" w:rsidR="00FA2119" w:rsidRDefault="00FA2119" w:rsidP="00FA2119">
      <w:pPr>
        <w:rPr>
          <w:rtl/>
        </w:rPr>
      </w:pPr>
      <w:r>
        <w:rPr>
          <w:rFonts w:cs="Arial"/>
          <w:rtl/>
        </w:rPr>
        <w:t>עשאתו שליח לקבלה, ובא לבעל ואמר: אשתך עשאתני שליח להובאה, ואמר לו: הילך כמו שאמרה היא, כיון שהגיע הגט לידה הרי זו מגורשת. ואם נשרף הגט או אבד קודם שהגיע הגט לידה, הויא ספק מגורשת</w:t>
      </w:r>
      <w:r>
        <w:rPr>
          <w:rStyle w:val="a7"/>
          <w:rFonts w:cs="Arial"/>
          <w:rtl/>
        </w:rPr>
        <w:footnoteReference w:id="1816"/>
      </w:r>
      <w:r>
        <w:rPr>
          <w:rFonts w:cs="Arial"/>
          <w:rtl/>
        </w:rPr>
        <w:t xml:space="preserve">. </w:t>
      </w:r>
    </w:p>
    <w:p w14:paraId="69DE9203" w14:textId="77777777" w:rsidR="00FA2119" w:rsidRDefault="00FA2119" w:rsidP="00FA2119">
      <w:pPr>
        <w:rPr>
          <w:rtl/>
        </w:rPr>
      </w:pPr>
    </w:p>
    <w:p w14:paraId="1A945E0D" w14:textId="77777777" w:rsidR="00FA2119" w:rsidRDefault="00FA2119" w:rsidP="00FA2119">
      <w:pPr>
        <w:pStyle w:val="2"/>
        <w:rPr>
          <w:rtl/>
        </w:rPr>
      </w:pPr>
      <w:r>
        <w:rPr>
          <w:rtl/>
        </w:rPr>
        <w:t>סעיף י: כנ"ל רק שהבעל אמר לו 'התקבל'.</w:t>
      </w:r>
    </w:p>
    <w:p w14:paraId="48E8CDD9" w14:textId="77777777" w:rsidR="00FA2119" w:rsidRDefault="00FA2119" w:rsidP="00FA2119">
      <w:pPr>
        <w:rPr>
          <w:rtl/>
        </w:rPr>
      </w:pPr>
      <w:r>
        <w:rPr>
          <w:rFonts w:cs="Arial"/>
          <w:u w:val="single"/>
          <w:rtl/>
        </w:rPr>
        <w:t>עשאתו שליח קבלה, וכשהגיע לבעל אמר שהוא שליח הובאה, ואמר לו הבעל 'התקבל'</w:t>
      </w:r>
      <w:r>
        <w:rPr>
          <w:u w:val="single"/>
          <w:rtl/>
        </w:rPr>
        <w:t>:</w:t>
      </w:r>
    </w:p>
    <w:p w14:paraId="262DCF5B" w14:textId="47751B91" w:rsidR="00FA2119" w:rsidRDefault="00FA2119" w:rsidP="006A458D">
      <w:pPr>
        <w:pStyle w:val="ab"/>
        <w:numPr>
          <w:ilvl w:val="0"/>
          <w:numId w:val="102"/>
        </w:numPr>
      </w:pPr>
      <w:r>
        <w:rPr>
          <w:rFonts w:cs="Arial"/>
          <w:rtl/>
        </w:rPr>
        <w:t xml:space="preserve">ר"ן </w:t>
      </w:r>
      <w:r>
        <w:rPr>
          <w:rFonts w:cs="Arial"/>
          <w:sz w:val="16"/>
          <w:szCs w:val="16"/>
          <w:rtl/>
        </w:rPr>
        <w:t>(ר"פ התקבל שם ד"ה איתמר)</w:t>
      </w:r>
      <w:r w:rsidR="00A82951">
        <w:rPr>
          <w:rFonts w:cs="Arial"/>
          <w:rtl/>
        </w:rPr>
        <w:t>-</w:t>
      </w:r>
      <w:r>
        <w:rPr>
          <w:rFonts w:cs="Arial"/>
          <w:rtl/>
        </w:rPr>
        <w:t xml:space="preserve"> ואם אמרה לו התקבל לי גיטי, והוא אומר לבעל אשתך אמרה הבא לי גיטי, והבעל אמר לו התקבל, ולא אמר כמו שאמרה </w:t>
      </w:r>
      <w:r w:rsidR="00A82951">
        <w:rPr>
          <w:rFonts w:cs="Arial"/>
          <w:rtl/>
        </w:rPr>
        <w:t>-</w:t>
      </w:r>
      <w:r>
        <w:rPr>
          <w:rFonts w:cs="Arial"/>
          <w:rtl/>
        </w:rPr>
        <w:t xml:space="preserve"> גם בזה כשהגיע גט לידה מגורשת דהתקבל והולך קאמר.</w:t>
      </w:r>
      <w:r>
        <w:rPr>
          <w:rFonts w:cs="Arial"/>
          <w:color w:val="E36C0A" w:themeColor="accent6" w:themeShade="BF"/>
          <w:rtl/>
        </w:rPr>
        <w:t xml:space="preserve"> (וכ"פ בשו"ע)</w:t>
      </w:r>
    </w:p>
    <w:p w14:paraId="4678A183" w14:textId="77777777" w:rsidR="00FA2119" w:rsidRDefault="00FA2119" w:rsidP="00FA2119">
      <w:pPr>
        <w:rPr>
          <w:u w:val="single"/>
        </w:rPr>
      </w:pPr>
      <w:r>
        <w:rPr>
          <w:u w:val="single"/>
          <w:rtl/>
        </w:rPr>
        <w:t>שליח קבלה שבא אצל הבעל, ונתן לו הבעל שטר הולכה ואת הגט, ואח"כ חזר הבעל ונתן לו שטר קבלה:</w:t>
      </w:r>
    </w:p>
    <w:p w14:paraId="1CD8F50F" w14:textId="4D24F527" w:rsidR="00FA2119" w:rsidRDefault="00FA2119" w:rsidP="006A458D">
      <w:pPr>
        <w:pStyle w:val="ab"/>
        <w:numPr>
          <w:ilvl w:val="0"/>
          <w:numId w:val="102"/>
        </w:numPr>
      </w:pPr>
      <w:r>
        <w:rPr>
          <w:rFonts w:cs="Arial"/>
          <w:rtl/>
        </w:rPr>
        <w:t xml:space="preserve">ריב"ש </w:t>
      </w:r>
      <w:r>
        <w:rPr>
          <w:rFonts w:cs="Arial"/>
          <w:sz w:val="16"/>
          <w:szCs w:val="16"/>
          <w:rtl/>
        </w:rPr>
        <w:t>(סי' שכט)</w:t>
      </w:r>
      <w:r w:rsidR="00A82951">
        <w:rPr>
          <w:rFonts w:cs="Arial"/>
          <w:rtl/>
        </w:rPr>
        <w:t>-</w:t>
      </w:r>
      <w:r>
        <w:rPr>
          <w:rFonts w:cs="Arial"/>
          <w:rtl/>
        </w:rPr>
        <w:t xml:space="preserve"> שאלה: ראובן שליח קבלה שבא אצל הבעל ואמר לו אשתך אמרה התקבל לי גיטי, והוא כתב לו שטר הולכה ונתנו בידו, וחזר ונתן לו שטר קבלה.     תשובה: דברים סתומים אני רואה כאן, שאם הבעל בשטר האחרון היה דעתו שיהיה שליח לקבלה, למה לו לעשות שטר שליחות, והלא שליח קבלה אין על הבעל לעשותו והיה לו לומר לשליח בשעת נתינת הגט התקבל גט זה לאשתי ומיד שהגיע ליד השליח הרי היא מגורשת בכח שליחות האשה ולא בכח שליחות הבעל. ואם היה דעתו בשטר קבלה לומר התקבל והולך, למה לו לכתוב שני שטרי שליחות הולכה. ומכל מקום אני נוטה שהכל תלוי בשעת נתינת הגט ליד השליח, שאם בשעה שנתן הבעל לשליח שטר שליחות הולכה הראשון מסר לו הגט, הרי נתבטל שליחות הקבלה שעשתה האשה. וכשחזר ונתן לו שטר שליחות קבלה אם היתה כוונתו שתתגרש מעתה, צריך שיטלנו מן השליח ויחזור ויתננו לו. והנה כבר נתבטל שליחות ההולכה וגם שליחות קבלה שעשתה האשה נתבטל מכיון שמסר הבעל הגט ליד השליח בתורת הולכה, ואם כן אפילו הגיע הגט לידה אינה מגורשת שכיון שנתבטל שליחות האשה לקבלה וגם שליחות הבעל להולכה מעתה אין שליחות הבעל לקבלה כלום ואף אם רמז הבעל מחמת שליחות האשה לקבלה, שהרי מכיון שקיבל השליח הגט מיד הבעל להולכה נתבטל שליחות האשה לקבלה, כי האשה היה דעתה בשליחותה שיקבלנו השליח במסירה הראשונה בתורת שליחות קבלה, והיה צריך שתעשה האשה שליחות קבלה מחדש. אבל אם בשעה שמסר הבעל שטר שליחות הולכה עדיין לא מסר הגט בידו, הרי לא נתבטל שליחות האשה לקבלה, שאין ביד הבעל לבטל שליחותה אלא שאינה מתגרשת אלא על פי דיבורו שבשעת נתינת הגט, אבל שלא בשעת נתינת הגט אין שליחות האשה מתבטל </w:t>
      </w:r>
      <w:r>
        <w:rPr>
          <w:rFonts w:cs="Arial"/>
          <w:rtl/>
        </w:rPr>
        <w:lastRenderedPageBreak/>
        <w:t>מפני דיבורו של בעל. וגם מפני רצון השליח להיות שליח הולכה לא נתבטל שליחות הקבלה, דאי הוי שליח להולכה כל שכן דהוי שליח לקבלה, דהא אי אפשר להולכה בלא קבלה. וא"כ כשחזר הבעל ועשה שליחות קבלה, על דעת שליחות האשה לקבלה עשאו, ומכי מטי גיטא לידיה דשליח הויא מגורשת, דכיון שהוא יודע שהיא עשאתו שליח לקבלה ולא נתבטל שליחותה א"כ כשאמר התקבל על דעת שליחות לקבלה אמר.</w:t>
      </w:r>
      <w:r>
        <w:rPr>
          <w:rtl/>
        </w:rPr>
        <w:t xml:space="preserve"> </w:t>
      </w:r>
      <w:r>
        <w:rPr>
          <w:color w:val="00B0F0"/>
          <w:rtl/>
        </w:rPr>
        <w:t>(וכ"פ הרמ"א)</w:t>
      </w:r>
    </w:p>
    <w:p w14:paraId="4A3E0B74"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94A3429" w14:textId="5C3887D2" w:rsidR="00FA2119" w:rsidRDefault="00FA2119" w:rsidP="00FA2119">
      <w:pPr>
        <w:rPr>
          <w:rtl/>
        </w:rPr>
      </w:pPr>
      <w:r>
        <w:rPr>
          <w:rFonts w:cs="Arial"/>
          <w:rtl/>
        </w:rPr>
        <w:t>עשאתו שליח לקבלה, ובא לבעל ואמר: אשתך עשאתני שליח להובאה, ואמר לו הבעל: התקבל, ולא אמר: כמו שאמרה היא, משהגיע לידה הרי זו מגורשת</w:t>
      </w:r>
      <w:r>
        <w:rPr>
          <w:rStyle w:val="a7"/>
          <w:rFonts w:cs="Arial"/>
          <w:rtl/>
        </w:rPr>
        <w:footnoteReference w:id="1817"/>
      </w:r>
      <w:r>
        <w:rPr>
          <w:rFonts w:cs="Arial"/>
          <w:rtl/>
        </w:rPr>
        <w:t xml:space="preserve">. </w:t>
      </w:r>
      <w:r>
        <w:rPr>
          <w:rFonts w:cs="Arial"/>
          <w:sz w:val="18"/>
          <w:szCs w:val="18"/>
          <w:rtl/>
        </w:rPr>
        <w:t>הגה: עשאתו שליח לקבלה, וכן אמר השליח לבעל, והבעל נתן לשליח שטר הולכה ואח</w:t>
      </w:r>
      <w:r w:rsidR="00086275">
        <w:rPr>
          <w:rFonts w:cs="Arial" w:hint="cs"/>
          <w:sz w:val="18"/>
          <w:szCs w:val="18"/>
          <w:rtl/>
        </w:rPr>
        <w:t>"</w:t>
      </w:r>
      <w:r>
        <w:rPr>
          <w:rFonts w:cs="Arial"/>
          <w:sz w:val="18"/>
          <w:szCs w:val="18"/>
          <w:rtl/>
        </w:rPr>
        <w:t>כ נתן לו שטר קבלה, אם נתן לו הגט כשנתן לו שטר הולכה, הרי בטל שליחות האשה ואח"כ כשחזר ונתן לו לקבלה הרי בטל שליחות הולכה, ואין הבעל עושה שליח לקבלה ואין כאן שליחות כלל, ואינה מגורשת בשליחות זו, אלא יחזור ויתננו לו לשם קבלת שליחות האשה</w:t>
      </w:r>
      <w:r>
        <w:rPr>
          <w:rStyle w:val="a7"/>
          <w:rFonts w:cs="Arial"/>
          <w:sz w:val="18"/>
          <w:szCs w:val="18"/>
          <w:rtl/>
        </w:rPr>
        <w:footnoteReference w:id="1818"/>
      </w:r>
      <w:r>
        <w:rPr>
          <w:rFonts w:cs="Arial"/>
          <w:sz w:val="18"/>
          <w:szCs w:val="18"/>
          <w:rtl/>
        </w:rPr>
        <w:t>. אבל אם לא נתן לו הגט רק בשעה שמסר לו שטר שליחות הקבלה, מגורשת מיד שנתן הגט לידו, דמאחר שלא נתן לו הגט בראשונה לא נתבטל שליחות האשה (ריב"ש).</w:t>
      </w:r>
      <w:r>
        <w:rPr>
          <w:rFonts w:cs="Arial"/>
          <w:rtl/>
        </w:rPr>
        <w:t xml:space="preserve"> </w:t>
      </w:r>
    </w:p>
    <w:p w14:paraId="3EBFECA0" w14:textId="77777777" w:rsidR="00FA2119" w:rsidRDefault="00FA2119" w:rsidP="00FA2119">
      <w:pPr>
        <w:rPr>
          <w:rtl/>
        </w:rPr>
      </w:pPr>
    </w:p>
    <w:p w14:paraId="63E586E5" w14:textId="77777777" w:rsidR="00FA2119" w:rsidRDefault="00FA2119" w:rsidP="00FA2119">
      <w:pPr>
        <w:pStyle w:val="2"/>
        <w:rPr>
          <w:rtl/>
        </w:rPr>
      </w:pPr>
      <w:r>
        <w:rPr>
          <w:rtl/>
        </w:rPr>
        <w:t>סעיף יא: משומד המגרש את אשתו</w:t>
      </w:r>
    </w:p>
    <w:p w14:paraId="7774F80C" w14:textId="3C176CF8" w:rsidR="00FA2119" w:rsidRDefault="00FA2119" w:rsidP="00FA2119">
      <w:pPr>
        <w:rPr>
          <w:rFonts w:cs="Arial"/>
          <w:rtl/>
        </w:rPr>
      </w:pPr>
      <w:r>
        <w:rPr>
          <w:rFonts w:cs="Arial"/>
          <w:u w:val="single"/>
          <w:rtl/>
        </w:rPr>
        <w:t xml:space="preserve">משומד המגרש את אשתו </w:t>
      </w:r>
      <w:r w:rsidR="00A82951">
        <w:rPr>
          <w:rFonts w:cs="Arial"/>
          <w:u w:val="single"/>
          <w:rtl/>
        </w:rPr>
        <w:t>-</w:t>
      </w:r>
      <w:r>
        <w:rPr>
          <w:rFonts w:cs="Arial"/>
          <w:u w:val="single"/>
          <w:rtl/>
        </w:rPr>
        <w:t xml:space="preserve"> כיצד יעשו כדי שלא יבטל המשומד את הגט:</w:t>
      </w:r>
    </w:p>
    <w:p w14:paraId="5D5CE409" w14:textId="060A5099" w:rsidR="00FA2119" w:rsidRDefault="00FA2119" w:rsidP="006A458D">
      <w:pPr>
        <w:pStyle w:val="ab"/>
        <w:numPr>
          <w:ilvl w:val="0"/>
          <w:numId w:val="102"/>
        </w:numPr>
      </w:pPr>
      <w:r>
        <w:rPr>
          <w:rFonts w:cs="Arial"/>
          <w:rtl/>
        </w:rPr>
        <w:t xml:space="preserve">תרוה"ד </w:t>
      </w:r>
      <w:r>
        <w:rPr>
          <w:rFonts w:cs="Arial"/>
          <w:sz w:val="16"/>
          <w:szCs w:val="16"/>
          <w:rtl/>
        </w:rPr>
        <w:t>(סי' רלז)</w:t>
      </w:r>
      <w:r w:rsidR="00A82951">
        <w:rPr>
          <w:rFonts w:cs="Arial"/>
          <w:rtl/>
        </w:rPr>
        <w:t>-</w:t>
      </w:r>
      <w:r>
        <w:rPr>
          <w:rFonts w:cs="Arial"/>
          <w:rtl/>
        </w:rPr>
        <w:t xml:space="preserve"> משומד המגרש את אשתו מצאתי כתוב על שם אחד מהגדולים שהיה חושש שמא יבטל הגט, והכי נמי משמע בתשובות קדמוניות. לפיכך תקנה לצאת בה ידי כל החששות הטוב שנוכל והיא שהיה אומר למשומד צריך אתה לתת הגט על שני דרכים, הראשון עיקר והשני לרווחא דמילתא, וככה תעשה, תמסור הגט ליד פלוני שיקבלנו ויזכה בו לאשתך ותתגרש בו מיד בקבלתו של זה, ואולי יש קצת גמגום בדבר אם תועיל קבלה זאת ולכך תחזור ותקח הגט ותמסרנו ליד השליח להולכה. ובדרך זה מתוקנים כמעט כל הספיקות, דממה נפשך אם יש בקבלה די כמו שסוברים הרבה גאונים, תו לא צריכי למידי. ואפילו אם אינו די, מכל מקום המשומד אסח דעתיה מלבטל השליחות כי יאמר שנסמוך על הקבלה לחודה בשעת הדחק. ומיהו למיעבד איפכא, שימסור להולכה בתחלה ואח"כ בקבלה, ודאי לאו שפיר דמי, שאם אין הקבלה כלום גם ההולכה לא היתה כלום בדרך זה, שהרי ביטל לפנינו את השליחות במסירתו לקבלה</w:t>
      </w:r>
      <w:r>
        <w:rPr>
          <w:rStyle w:val="a7"/>
          <w:rFonts w:cs="Arial"/>
          <w:rtl/>
        </w:rPr>
        <w:footnoteReference w:id="1819"/>
      </w:r>
      <w:r>
        <w:rPr>
          <w:rFonts w:cs="Arial"/>
          <w:rtl/>
        </w:rPr>
        <w:t xml:space="preserve">. </w:t>
      </w:r>
      <w:r>
        <w:rPr>
          <w:rFonts w:cs="Arial"/>
          <w:color w:val="E36C0A" w:themeColor="accent6" w:themeShade="BF"/>
          <w:rtl/>
        </w:rPr>
        <w:t>(וכ"פ בשו"ע)</w:t>
      </w:r>
      <w:r w:rsidR="00C4710C">
        <w:rPr>
          <w:rFonts w:hint="cs"/>
          <w:rtl/>
        </w:rPr>
        <w:t xml:space="preserve"> </w:t>
      </w:r>
      <w:r w:rsidR="00C4710C" w:rsidRPr="00C4710C">
        <w:rPr>
          <w:rFonts w:hint="cs"/>
          <w:color w:val="00B0F0"/>
          <w:rtl/>
        </w:rPr>
        <w:t>(וכ"פ הרמ"א</w:t>
      </w:r>
      <w:r w:rsidR="00C4710C" w:rsidRPr="00C4710C">
        <w:rPr>
          <w:rFonts w:hint="cs"/>
          <w:color w:val="00B0F0"/>
          <w:sz w:val="16"/>
          <w:szCs w:val="16"/>
          <w:rtl/>
        </w:rPr>
        <w:t xml:space="preserve"> </w:t>
      </w:r>
      <w:r w:rsidR="00C4710C">
        <w:rPr>
          <w:rFonts w:hint="cs"/>
          <w:sz w:val="16"/>
          <w:szCs w:val="16"/>
          <w:rtl/>
        </w:rPr>
        <w:t>[סי' קמא סנ"ט]</w:t>
      </w:r>
      <w:r w:rsidR="00C4710C" w:rsidRPr="00C4710C">
        <w:rPr>
          <w:rFonts w:hint="cs"/>
          <w:color w:val="00B0F0"/>
          <w:rtl/>
        </w:rPr>
        <w:t>)</w:t>
      </w:r>
    </w:p>
    <w:p w14:paraId="4FA51AE4"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C056CB5" w14:textId="6B858493" w:rsidR="00FA2119" w:rsidRDefault="00FA2119" w:rsidP="00FA2119">
      <w:pPr>
        <w:rPr>
          <w:rFonts w:cs="Arial"/>
          <w:rtl/>
        </w:rPr>
      </w:pPr>
      <w:r>
        <w:rPr>
          <w:rFonts w:cs="Arial"/>
          <w:rtl/>
        </w:rPr>
        <w:t xml:space="preserve">מומר השולח גט לאשתו, מלבד שישביעוהו ויקבל חרם וכל האלות התורה שלא יבטל לא את הגט ולא את השליחות, יעשו תיקון אחר והוא שכשימסור הגט לשליח יאמר לו: זכה בגט זה לאשתי פלונית בת פלוני והרי היא מגורשת ממני ומותרת לכל אדם, ואחר כך יאמר החכם למתנכר: כבר אשתך מותרת לכל אדם ולרווחא דמלתא תקח הגט מיד השליח ותחזור למסרו לו ואמור לו: הולך גט זה לאשתי פלונית בת פלוני ותהא ידך כידי ופיך כפי ועשייתך כעשייתי ותהא מגורשת ממני ומותרת לכל אדם. </w:t>
      </w:r>
      <w:r w:rsidR="00760487">
        <w:rPr>
          <w:rFonts w:cs="Arial" w:hint="cs"/>
          <w:sz w:val="18"/>
          <w:szCs w:val="18"/>
          <w:rtl/>
        </w:rPr>
        <w:t xml:space="preserve">[הגה] </w:t>
      </w:r>
      <w:r>
        <w:rPr>
          <w:rFonts w:cs="Arial"/>
          <w:sz w:val="18"/>
          <w:szCs w:val="18"/>
          <w:rtl/>
        </w:rPr>
        <w:t>ועיין לקמן סי' קמ"א סעיף נ"ט</w:t>
      </w:r>
      <w:r>
        <w:rPr>
          <w:rFonts w:cs="Arial"/>
          <w:rtl/>
        </w:rPr>
        <w:t>.</w:t>
      </w:r>
    </w:p>
    <w:p w14:paraId="472800FE" w14:textId="77777777" w:rsidR="00FA2119" w:rsidRDefault="00FA2119" w:rsidP="00FA2119">
      <w:pPr>
        <w:rPr>
          <w:rFonts w:cs="Arial"/>
          <w:rtl/>
        </w:rPr>
      </w:pPr>
      <w:r>
        <w:rPr>
          <w:rFonts w:cs="Arial"/>
          <w:u w:val="single"/>
          <w:rtl/>
        </w:rPr>
        <w:t>משומד המגרש את אשתו, ויש לו שני שמות:</w:t>
      </w:r>
      <w:r>
        <w:rPr>
          <w:rFonts w:cs="Arial"/>
          <w:rtl/>
        </w:rPr>
        <w:t xml:space="preserve"> </w:t>
      </w:r>
      <w:r>
        <w:rPr>
          <w:rFonts w:cs="Arial"/>
          <w:sz w:val="16"/>
          <w:szCs w:val="16"/>
          <w:rtl/>
        </w:rPr>
        <w:t>(פת"ש סקי"ב)</w:t>
      </w:r>
      <w:r>
        <w:rPr>
          <w:rFonts w:cs="Arial"/>
          <w:rtl/>
        </w:rPr>
        <w:t xml:space="preserve"> </w:t>
      </w:r>
    </w:p>
    <w:p w14:paraId="64BAF4AD" w14:textId="4143F3E1" w:rsidR="00FA2119" w:rsidRDefault="00760487" w:rsidP="006A458D">
      <w:pPr>
        <w:pStyle w:val="ab"/>
        <w:numPr>
          <w:ilvl w:val="0"/>
          <w:numId w:val="102"/>
        </w:numPr>
        <w:rPr>
          <w:rFonts w:cs="Arial"/>
          <w:rtl/>
        </w:rPr>
      </w:pPr>
      <w:r>
        <w:rPr>
          <w:rFonts w:cs="Arial"/>
          <w:rtl/>
        </w:rPr>
        <w:t xml:space="preserve">מהר"ם כ"ץ </w:t>
      </w:r>
      <w:r w:rsidR="00FA2119">
        <w:rPr>
          <w:rFonts w:cs="Arial"/>
          <w:sz w:val="16"/>
          <w:szCs w:val="16"/>
          <w:rtl/>
        </w:rPr>
        <w:t>(</w:t>
      </w:r>
      <w:r>
        <w:rPr>
          <w:rFonts w:cs="Arial" w:hint="cs"/>
          <w:sz w:val="16"/>
          <w:szCs w:val="16"/>
          <w:rtl/>
        </w:rPr>
        <w:t>שו"ת סי' א, וכ"כ בשמו הגבורת אנשים [</w:t>
      </w:r>
      <w:r w:rsidR="00FA2119">
        <w:rPr>
          <w:rFonts w:cs="Arial"/>
          <w:sz w:val="16"/>
          <w:szCs w:val="16"/>
          <w:rtl/>
        </w:rPr>
        <w:t>סי' א</w:t>
      </w:r>
      <w:r>
        <w:rPr>
          <w:rFonts w:cs="Arial" w:hint="cs"/>
          <w:sz w:val="16"/>
          <w:szCs w:val="16"/>
          <w:rtl/>
        </w:rPr>
        <w:t>]</w:t>
      </w:r>
      <w:r w:rsidR="00FA2119">
        <w:rPr>
          <w:rFonts w:cs="Arial"/>
          <w:sz w:val="16"/>
          <w:szCs w:val="16"/>
          <w:rtl/>
        </w:rPr>
        <w:t>)</w:t>
      </w:r>
      <w:r w:rsidR="00A82951">
        <w:rPr>
          <w:rFonts w:cs="Arial"/>
          <w:rtl/>
        </w:rPr>
        <w:t>-</w:t>
      </w:r>
      <w:r w:rsidR="00FA2119">
        <w:rPr>
          <w:rFonts w:cs="Arial"/>
          <w:rtl/>
        </w:rPr>
        <w:t xml:space="preserve"> </w:t>
      </w:r>
      <w:r w:rsidRPr="00760487">
        <w:rPr>
          <w:rFonts w:cs="Arial"/>
          <w:rtl/>
        </w:rPr>
        <w:t xml:space="preserve">כל מומר שמגרש ויש לו שני שמות אחד במקום הכתיבה ואחד במקום הנתינה צריך שני גטין, באחד יעשה שליח לקבלה ויעשה מקום הכתיבה עיקר, ובאחד יעשה שליח להולכה ויעשה מקום הנתינה עיקר, אבל לגרש בגט אחד אי אפשר. וזה לא נמצא בשום פוסק קדמון ואחרון ולא אשתמיט חד מינייהו, אשר באמת בשינוי גמור בשם האיש נ"ל לפסוק הלכה ולסדר שני גטין כמ"ש, משא"כ בנדון דידן מכל הלין ראיות שכתבתי לעיל. </w:t>
      </w:r>
    </w:p>
    <w:p w14:paraId="734979F8" w14:textId="77777777" w:rsidR="00FA2119" w:rsidRDefault="00FA2119" w:rsidP="00FA2119">
      <w:pPr>
        <w:bidi w:val="0"/>
        <w:spacing w:after="0"/>
        <w:rPr>
          <w:rtl/>
        </w:rPr>
        <w:sectPr w:rsidR="00FA2119">
          <w:headerReference w:type="default" r:id="rId33"/>
          <w:footnotePr>
            <w:numRestart w:val="eachSect"/>
          </w:footnotePr>
          <w:pgSz w:w="11906" w:h="16838"/>
          <w:pgMar w:top="720" w:right="1134" w:bottom="720" w:left="1134" w:header="0" w:footer="0" w:gutter="0"/>
          <w:cols w:space="720"/>
          <w:bidi/>
          <w:rtlGutter/>
        </w:sectPr>
      </w:pPr>
    </w:p>
    <w:p w14:paraId="64D9193A" w14:textId="77777777" w:rsidR="00FA2119" w:rsidRDefault="00FA2119" w:rsidP="00FA2119">
      <w:pPr>
        <w:pStyle w:val="1"/>
        <w:rPr>
          <w:rtl/>
        </w:rPr>
      </w:pPr>
      <w:r>
        <w:rPr>
          <w:rtl/>
        </w:rPr>
        <w:lastRenderedPageBreak/>
        <w:t xml:space="preserve">סימן קמא: </w:t>
      </w:r>
      <w:r>
        <w:rPr>
          <w:rFonts w:cs="Arial"/>
          <w:rtl/>
        </w:rPr>
        <w:t xml:space="preserve">דין השליחות והחזרה ממנו, ובו ס"ט סעיפים. </w:t>
      </w:r>
    </w:p>
    <w:p w14:paraId="77A9A2E7" w14:textId="77777777" w:rsidR="00FA2119" w:rsidRDefault="00FA2119" w:rsidP="00FA2119">
      <w:pPr>
        <w:pStyle w:val="2"/>
        <w:rPr>
          <w:rtl/>
        </w:rPr>
      </w:pPr>
      <w:r>
        <w:rPr>
          <w:rtl/>
        </w:rPr>
        <w:t>סעיף א: אשה שעשתה שליח לקבל גיטה מיד שליח בעלה.</w:t>
      </w:r>
    </w:p>
    <w:p w14:paraId="41DB7A25" w14:textId="77777777" w:rsidR="00FA2119" w:rsidRDefault="00FA2119" w:rsidP="00FA2119">
      <w:pPr>
        <w:rPr>
          <w:rFonts w:cs="Arial"/>
          <w:rtl/>
        </w:rPr>
      </w:pPr>
      <w:r>
        <w:rPr>
          <w:rFonts w:cs="Arial"/>
          <w:b/>
          <w:bCs/>
          <w:rtl/>
        </w:rPr>
        <w:t xml:space="preserve">גיטין </w:t>
      </w:r>
      <w:r>
        <w:rPr>
          <w:rFonts w:cs="Arial"/>
          <w:b/>
          <w:bCs/>
          <w:sz w:val="16"/>
          <w:szCs w:val="16"/>
          <w:rtl/>
        </w:rPr>
        <w:t>(פ' התקבל)</w:t>
      </w:r>
      <w:r>
        <w:rPr>
          <w:rFonts w:cs="Arial"/>
          <w:b/>
          <w:bCs/>
          <w:rtl/>
        </w:rPr>
        <w:t xml:space="preserve"> סג ע"ב:</w:t>
      </w:r>
      <w:r>
        <w:rPr>
          <w:rFonts w:cs="Arial"/>
          <w:rtl/>
        </w:rPr>
        <w:t xml:space="preserve"> </w:t>
      </w:r>
      <w:r>
        <w:rPr>
          <w:rFonts w:cs="Arial"/>
          <w:u w:val="single"/>
          <w:rtl/>
        </w:rPr>
        <w:t>אמר רב</w:t>
      </w:r>
      <w:r>
        <w:rPr>
          <w:rFonts w:cs="Arial"/>
          <w:rtl/>
        </w:rPr>
        <w:t xml:space="preserve">: אין האשה עושה שליח לקבל לה גיטה מיד שליח בעלה. </w:t>
      </w:r>
      <w:r>
        <w:rPr>
          <w:rFonts w:cs="Arial"/>
          <w:u w:val="single"/>
          <w:rtl/>
        </w:rPr>
        <w:t>ור' חנינא אמר</w:t>
      </w:r>
      <w:r>
        <w:rPr>
          <w:rFonts w:cs="Arial"/>
          <w:rtl/>
        </w:rPr>
        <w:t>: אשה עושה שליח לקבל לה גיטה מיד שליח בעלה. מ"ט דרב? איבעית אימא: משום בזיון דבעל</w:t>
      </w:r>
      <w:r>
        <w:rPr>
          <w:rStyle w:val="a7"/>
          <w:rFonts w:cs="Arial"/>
          <w:rtl/>
        </w:rPr>
        <w:footnoteReference w:id="1820"/>
      </w:r>
      <w:r>
        <w:rPr>
          <w:rFonts w:cs="Arial"/>
          <w:rtl/>
        </w:rPr>
        <w:t>; אב"א: משום חצרה הבא לאחר מיכן</w:t>
      </w:r>
      <w:r>
        <w:rPr>
          <w:rStyle w:val="a7"/>
          <w:rFonts w:cs="Arial"/>
          <w:rtl/>
        </w:rPr>
        <w:footnoteReference w:id="1821"/>
      </w:r>
      <w:r>
        <w:rPr>
          <w:rFonts w:cs="Arial"/>
          <w:rtl/>
        </w:rPr>
        <w:t>. מאי בינייהו</w:t>
      </w:r>
      <w:r>
        <w:rPr>
          <w:rStyle w:val="a7"/>
          <w:rFonts w:cs="Arial"/>
          <w:rtl/>
        </w:rPr>
        <w:footnoteReference w:id="1822"/>
      </w:r>
      <w:r>
        <w:rPr>
          <w:rFonts w:cs="Arial"/>
          <w:rtl/>
        </w:rPr>
        <w:t>? איכא בינייהו, דקדמה איהי ושויה שליח</w:t>
      </w:r>
      <w:r>
        <w:rPr>
          <w:rStyle w:val="a7"/>
          <w:rFonts w:cs="Arial"/>
          <w:rtl/>
        </w:rPr>
        <w:footnoteReference w:id="1823"/>
      </w:r>
      <w:r>
        <w:rPr>
          <w:rFonts w:cs="Arial"/>
          <w:rtl/>
        </w:rPr>
        <w:t xml:space="preserve"> מעיקרא.  </w:t>
      </w:r>
    </w:p>
    <w:p w14:paraId="1BE9AB98" w14:textId="77777777" w:rsidR="00FA2119" w:rsidRDefault="00FA2119" w:rsidP="00FA2119">
      <w:pPr>
        <w:rPr>
          <w:u w:val="single"/>
          <w:rtl/>
        </w:rPr>
      </w:pPr>
      <w:r>
        <w:rPr>
          <w:u w:val="single"/>
          <w:rtl/>
        </w:rPr>
        <w:t>אשה שעשתה שליח לקבל גיטה מיד שליח בעלה:</w:t>
      </w:r>
    </w:p>
    <w:p w14:paraId="6E68AB00" w14:textId="4D4AB1D5" w:rsidR="00FA2119" w:rsidRDefault="00FA2119" w:rsidP="006A458D">
      <w:pPr>
        <w:pStyle w:val="ab"/>
        <w:numPr>
          <w:ilvl w:val="0"/>
          <w:numId w:val="102"/>
        </w:numPr>
        <w:rPr>
          <w:rtl/>
        </w:rPr>
      </w:pPr>
      <w:r>
        <w:rPr>
          <w:rFonts w:cs="Arial"/>
          <w:rtl/>
        </w:rPr>
        <w:t>רב האי ר"ח רי"ף רמב"ם רשב"א רא"ש הה"מ וטור</w:t>
      </w:r>
      <w:r>
        <w:rPr>
          <w:rStyle w:val="a7"/>
          <w:rFonts w:cs="Arial"/>
          <w:rtl/>
        </w:rPr>
        <w:footnoteReference w:id="1824"/>
      </w:r>
      <w:r w:rsidR="00A82951">
        <w:rPr>
          <w:rFonts w:cs="Arial"/>
          <w:rtl/>
        </w:rPr>
        <w:t>-</w:t>
      </w:r>
      <w:r>
        <w:rPr>
          <w:rFonts w:cs="Arial"/>
          <w:rtl/>
        </w:rPr>
        <w:t xml:space="preserve"> הלכתא כר' חנינא, הילכך האשה יכולה לעשות שליח לקבל גיטה מיד שליח בעלה.</w:t>
      </w:r>
      <w:r>
        <w:rPr>
          <w:color w:val="E36C0A" w:themeColor="accent6" w:themeShade="BF"/>
          <w:rtl/>
        </w:rPr>
        <w:t xml:space="preserve"> (וכ"פ בשו"ע)</w:t>
      </w:r>
    </w:p>
    <w:p w14:paraId="40751576" w14:textId="028CC428" w:rsidR="00FA2119" w:rsidRDefault="00FA2119" w:rsidP="006A458D">
      <w:pPr>
        <w:pStyle w:val="ab"/>
        <w:numPr>
          <w:ilvl w:val="0"/>
          <w:numId w:val="102"/>
        </w:numPr>
      </w:pPr>
      <w:r>
        <w:rPr>
          <w:rFonts w:cs="Arial"/>
          <w:rtl/>
        </w:rPr>
        <w:t xml:space="preserve">רבינו שמואל בן חפני </w:t>
      </w:r>
      <w:r>
        <w:rPr>
          <w:rFonts w:cs="Arial"/>
          <w:sz w:val="16"/>
          <w:szCs w:val="16"/>
          <w:rtl/>
        </w:rPr>
        <w:t>(כ"כ הרשב"א בשמו)</w:t>
      </w:r>
      <w:r>
        <w:rPr>
          <w:rFonts w:cs="Arial"/>
          <w:rtl/>
        </w:rPr>
        <w:t xml:space="preserve"> בה"ג </w:t>
      </w:r>
      <w:r>
        <w:rPr>
          <w:rFonts w:cs="Arial"/>
          <w:sz w:val="16"/>
          <w:szCs w:val="16"/>
          <w:rtl/>
        </w:rPr>
        <w:t>(הל' גיטין עט ע"ד)</w:t>
      </w:r>
      <w:r>
        <w:rPr>
          <w:rFonts w:cs="Arial"/>
          <w:rtl/>
        </w:rPr>
        <w:t xml:space="preserve"> ר"ת </w:t>
      </w:r>
      <w:r>
        <w:rPr>
          <w:rFonts w:cs="Arial"/>
          <w:sz w:val="16"/>
          <w:szCs w:val="16"/>
          <w:rtl/>
        </w:rPr>
        <w:t xml:space="preserve">(ספר הישר, חידו' סי' קלט) </w:t>
      </w:r>
      <w:r>
        <w:rPr>
          <w:rFonts w:cs="Arial"/>
          <w:rtl/>
        </w:rPr>
        <w:t xml:space="preserve">והתרומה </w:t>
      </w:r>
      <w:r>
        <w:rPr>
          <w:rFonts w:cs="Arial"/>
          <w:sz w:val="16"/>
          <w:szCs w:val="16"/>
          <w:rtl/>
        </w:rPr>
        <w:t>(סי' קכ)</w:t>
      </w:r>
      <w:r w:rsidR="00A82951">
        <w:rPr>
          <w:rFonts w:cs="Arial"/>
          <w:rtl/>
        </w:rPr>
        <w:t>-</w:t>
      </w:r>
      <w:r>
        <w:rPr>
          <w:rFonts w:cs="Arial"/>
          <w:rtl/>
        </w:rPr>
        <w:t xml:space="preserve"> הלכתא כרב, הילכך אשה אינה יכולה לעשות שליח לקבלו מיד שליח בעלה.</w:t>
      </w:r>
      <w:r>
        <w:rPr>
          <w:rtl/>
        </w:rPr>
        <w:t xml:space="preserve"> </w:t>
      </w:r>
      <w:r>
        <w:rPr>
          <w:color w:val="00B0F0"/>
          <w:rtl/>
        </w:rPr>
        <w:t>(וכ"כ הרמ"א)</w:t>
      </w:r>
    </w:p>
    <w:p w14:paraId="66C53073" w14:textId="62F05035" w:rsidR="00FA2119" w:rsidRDefault="00FA2119" w:rsidP="006A458D">
      <w:pPr>
        <w:pStyle w:val="ab"/>
        <w:numPr>
          <w:ilvl w:val="0"/>
          <w:numId w:val="102"/>
        </w:numPr>
      </w:pPr>
      <w:r>
        <w:rPr>
          <w:rFonts w:cs="Arial"/>
          <w:rtl/>
        </w:rPr>
        <w:t xml:space="preserve">ר"ן </w:t>
      </w:r>
      <w:r>
        <w:rPr>
          <w:rFonts w:cs="Arial"/>
          <w:sz w:val="16"/>
          <w:szCs w:val="16"/>
          <w:rtl/>
        </w:rPr>
        <w:t>(כט. ד"ה אם)</w:t>
      </w:r>
      <w:r w:rsidR="00A82951">
        <w:rPr>
          <w:rFonts w:cs="Arial"/>
          <w:rtl/>
        </w:rPr>
        <w:t>-</w:t>
      </w:r>
      <w:r>
        <w:rPr>
          <w:rFonts w:cs="Arial"/>
          <w:rtl/>
        </w:rPr>
        <w:t xml:space="preserve"> חיישינן לדרב ואין האשה עושה שליח לקבל גיטה מיד שליח בעלה, ואם עשאתו חולצת ולא מתייבמת. </w:t>
      </w:r>
    </w:p>
    <w:p w14:paraId="35E08ACA" w14:textId="34B069FE" w:rsidR="00FA2119" w:rsidRDefault="00FA2119" w:rsidP="006A458D">
      <w:pPr>
        <w:pStyle w:val="ab"/>
        <w:numPr>
          <w:ilvl w:val="1"/>
          <w:numId w:val="102"/>
        </w:numPr>
      </w:pPr>
      <w:r>
        <w:rPr>
          <w:rFonts w:cs="Arial"/>
          <w:rtl/>
        </w:rPr>
        <w:t>ב"י</w:t>
      </w:r>
      <w:r w:rsidR="00A82951">
        <w:rPr>
          <w:rFonts w:cs="Arial"/>
          <w:rtl/>
        </w:rPr>
        <w:t>-</w:t>
      </w:r>
      <w:r>
        <w:rPr>
          <w:rFonts w:cs="Arial"/>
          <w:rtl/>
        </w:rPr>
        <w:t xml:space="preserve"> ולענין הלכה כיון שהרי"ף והרמב"ם והרא"ש מסכימים להכשיר ונלוו אליהם עוד רבינו האיי והרשב"א והרב המגיד </w:t>
      </w:r>
      <w:r w:rsidR="00A82951">
        <w:rPr>
          <w:rFonts w:cs="Arial"/>
          <w:rtl/>
        </w:rPr>
        <w:t>-</w:t>
      </w:r>
      <w:r>
        <w:rPr>
          <w:rFonts w:cs="Arial"/>
          <w:rtl/>
        </w:rPr>
        <w:t xml:space="preserve"> הכי נקיטינן. ומיהו היכא דאפשר </w:t>
      </w:r>
      <w:r w:rsidR="00A82951">
        <w:rPr>
          <w:rFonts w:cs="Arial"/>
          <w:rtl/>
        </w:rPr>
        <w:t>-</w:t>
      </w:r>
      <w:r>
        <w:rPr>
          <w:rFonts w:cs="Arial"/>
          <w:rtl/>
        </w:rPr>
        <w:t xml:space="preserve"> ראוי לחוש לדברי הנוטים לסברת רב מפני חומר אשת איש. </w:t>
      </w:r>
    </w:p>
    <w:p w14:paraId="02392727" w14:textId="77777777" w:rsidR="00FA2119" w:rsidRDefault="00FA2119" w:rsidP="00FA2119">
      <w:pPr>
        <w:rPr>
          <w:rFonts w:cs="Arial"/>
          <w:rtl/>
        </w:rPr>
      </w:pPr>
      <w:r>
        <w:rPr>
          <w:rFonts w:cs="Arial"/>
          <w:b/>
          <w:bCs/>
          <w:rtl/>
        </w:rPr>
        <w:t xml:space="preserve">גיטין </w:t>
      </w:r>
      <w:r>
        <w:rPr>
          <w:rFonts w:cs="Arial"/>
          <w:b/>
          <w:bCs/>
          <w:sz w:val="16"/>
          <w:szCs w:val="16"/>
          <w:rtl/>
        </w:rPr>
        <w:t>(פ' התקבל)</w:t>
      </w:r>
      <w:r>
        <w:rPr>
          <w:rFonts w:cs="Arial"/>
          <w:b/>
          <w:bCs/>
          <w:rtl/>
        </w:rPr>
        <w:t xml:space="preserve"> סג ע"ב:</w:t>
      </w:r>
      <w:r>
        <w:rPr>
          <w:rFonts w:cs="Arial"/>
          <w:rtl/>
        </w:rPr>
        <w:t xml:space="preserve"> ההוא גברא דשדר לה גיטא לדביתהו, אזל שליחא אשכחה כי יתבה וקא לישא, אמר לה: הילך גיטך, אמרה ליה: ליהוי [פקדון]</w:t>
      </w:r>
      <w:r>
        <w:rPr>
          <w:rStyle w:val="a7"/>
          <w:rFonts w:cs="Arial"/>
          <w:rtl/>
        </w:rPr>
        <w:footnoteReference w:id="1825"/>
      </w:r>
      <w:r>
        <w:rPr>
          <w:rFonts w:cs="Arial"/>
          <w:rtl/>
        </w:rPr>
        <w:t xml:space="preserve"> בידך; </w:t>
      </w:r>
      <w:r>
        <w:rPr>
          <w:rFonts w:cs="Arial"/>
          <w:u w:val="single"/>
          <w:rtl/>
        </w:rPr>
        <w:t>אמר רב נחמן</w:t>
      </w:r>
      <w:r>
        <w:rPr>
          <w:rFonts w:cs="Arial"/>
          <w:rtl/>
        </w:rPr>
        <w:t>: אם איתא לדרבי חנינא</w:t>
      </w:r>
      <w:r>
        <w:rPr>
          <w:rStyle w:val="a7"/>
          <w:rFonts w:cs="Arial"/>
          <w:rtl/>
        </w:rPr>
        <w:footnoteReference w:id="1826"/>
      </w:r>
      <w:r>
        <w:rPr>
          <w:rFonts w:cs="Arial"/>
          <w:rtl/>
        </w:rPr>
        <w:t>, עבדי</w:t>
      </w:r>
      <w:r>
        <w:rPr>
          <w:rStyle w:val="a7"/>
          <w:rFonts w:cs="Arial"/>
          <w:rtl/>
        </w:rPr>
        <w:footnoteReference w:id="1827"/>
      </w:r>
      <w:r>
        <w:rPr>
          <w:rFonts w:cs="Arial"/>
          <w:rtl/>
        </w:rPr>
        <w:t xml:space="preserve"> בה עובדא. </w:t>
      </w:r>
      <w:r>
        <w:rPr>
          <w:rFonts w:cs="Arial"/>
          <w:u w:val="single"/>
          <w:rtl/>
        </w:rPr>
        <w:t>אמר ליה רבא</w:t>
      </w:r>
      <w:r>
        <w:rPr>
          <w:rFonts w:cs="Arial"/>
          <w:rtl/>
        </w:rPr>
        <w:t>: ואם איתא לדר' חנינא, עבדת בה עובדא? הא לא חזרה שליחות אצל הבעל</w:t>
      </w:r>
      <w:r>
        <w:rPr>
          <w:rStyle w:val="a7"/>
          <w:rFonts w:cs="Arial"/>
          <w:rtl/>
        </w:rPr>
        <w:footnoteReference w:id="1828"/>
      </w:r>
      <w:r>
        <w:rPr>
          <w:rFonts w:cs="Arial"/>
          <w:rtl/>
        </w:rPr>
        <w:t xml:space="preserve">! שלחוה לקמיה דר' אמי, </w:t>
      </w:r>
      <w:r>
        <w:rPr>
          <w:rFonts w:cs="Arial"/>
          <w:u w:val="single"/>
          <w:rtl/>
        </w:rPr>
        <w:t>שלח להו</w:t>
      </w:r>
      <w:r>
        <w:rPr>
          <w:rFonts w:cs="Arial"/>
          <w:rtl/>
        </w:rPr>
        <w:t xml:space="preserve">: לא חזרה שליחות אצל הבעל. </w:t>
      </w:r>
      <w:r>
        <w:rPr>
          <w:rFonts w:cs="Arial"/>
          <w:u w:val="single"/>
          <w:rtl/>
        </w:rPr>
        <w:t>ור' חייא בר אבא אמר</w:t>
      </w:r>
      <w:r>
        <w:rPr>
          <w:rFonts w:cs="Arial"/>
          <w:rtl/>
        </w:rPr>
        <w:t>: נתיישב בדבר</w:t>
      </w:r>
      <w:r>
        <w:rPr>
          <w:rStyle w:val="a7"/>
          <w:rFonts w:cs="Arial"/>
          <w:rtl/>
        </w:rPr>
        <w:footnoteReference w:id="1829"/>
      </w:r>
      <w:r>
        <w:rPr>
          <w:rFonts w:cs="Arial"/>
          <w:rtl/>
        </w:rPr>
        <w:t>. הדור שלחוה</w:t>
      </w:r>
      <w:r>
        <w:rPr>
          <w:rStyle w:val="a7"/>
          <w:rFonts w:cs="Arial"/>
          <w:rtl/>
        </w:rPr>
        <w:footnoteReference w:id="1830"/>
      </w:r>
      <w:r>
        <w:rPr>
          <w:rFonts w:cs="Arial"/>
          <w:rtl/>
        </w:rPr>
        <w:t xml:space="preserve"> קמיה דר' חייא בר אבא, אמר: כל הני</w:t>
      </w:r>
      <w:r>
        <w:rPr>
          <w:rStyle w:val="a7"/>
          <w:rFonts w:cs="Arial"/>
          <w:rtl/>
        </w:rPr>
        <w:footnoteReference w:id="1831"/>
      </w:r>
      <w:r>
        <w:rPr>
          <w:rFonts w:cs="Arial"/>
          <w:rtl/>
        </w:rPr>
        <w:t xml:space="preserve"> שלחו לה ואזלי! כי היכי דמספקא להו לדידהו, הכי נמי מספקא לן לדידן. הוי דבר שבערוה</w:t>
      </w:r>
      <w:r>
        <w:rPr>
          <w:rStyle w:val="a7"/>
          <w:rFonts w:cs="Arial"/>
          <w:rtl/>
        </w:rPr>
        <w:footnoteReference w:id="1832"/>
      </w:r>
      <w:r>
        <w:rPr>
          <w:rFonts w:cs="Arial"/>
          <w:rtl/>
        </w:rPr>
        <w:t>, ודבר שבערוה חולצת</w:t>
      </w:r>
      <w:r>
        <w:rPr>
          <w:rStyle w:val="a7"/>
          <w:rFonts w:cs="Arial"/>
          <w:rtl/>
        </w:rPr>
        <w:footnoteReference w:id="1833"/>
      </w:r>
      <w:r>
        <w:rPr>
          <w:rFonts w:cs="Arial"/>
          <w:rtl/>
        </w:rPr>
        <w:t>. הוה עובדא, ואצרכה רב יצחק בר שמואל בר מרתא גט וחליצה. תרתי? גט מחיים</w:t>
      </w:r>
      <w:r>
        <w:rPr>
          <w:rStyle w:val="a7"/>
          <w:rFonts w:cs="Arial"/>
          <w:rtl/>
        </w:rPr>
        <w:footnoteReference w:id="1834"/>
      </w:r>
      <w:r>
        <w:rPr>
          <w:rFonts w:cs="Arial"/>
          <w:rtl/>
        </w:rPr>
        <w:t>, וחליצה לאחר מיתה</w:t>
      </w:r>
      <w:r>
        <w:rPr>
          <w:rStyle w:val="a7"/>
          <w:rFonts w:cs="Arial"/>
          <w:rtl/>
        </w:rPr>
        <w:footnoteReference w:id="1835"/>
      </w:r>
      <w:r>
        <w:rPr>
          <w:rFonts w:cs="Arial"/>
          <w:rtl/>
        </w:rPr>
        <w:t>.</w:t>
      </w:r>
    </w:p>
    <w:p w14:paraId="659FA662" w14:textId="735B431C" w:rsidR="00FA2119" w:rsidRDefault="00FA2119" w:rsidP="00FA2119">
      <w:pPr>
        <w:rPr>
          <w:u w:val="single"/>
          <w:rtl/>
        </w:rPr>
      </w:pPr>
      <w:r>
        <w:rPr>
          <w:u w:val="single"/>
          <w:rtl/>
        </w:rPr>
        <w:t xml:space="preserve">לפוסקים כר' חנינא </w:t>
      </w:r>
      <w:r w:rsidR="00A82951">
        <w:rPr>
          <w:u w:val="single"/>
          <w:rtl/>
        </w:rPr>
        <w:t>-</w:t>
      </w:r>
      <w:r>
        <w:rPr>
          <w:u w:val="single"/>
          <w:rtl/>
        </w:rPr>
        <w:t xml:space="preserve"> מה הדין אם האשה אמרה לשליח הבעל 'תהיה גם שליח שלי לקבלת הגט':</w:t>
      </w:r>
    </w:p>
    <w:p w14:paraId="38BEE5AE" w14:textId="27F2D94F" w:rsidR="00FA2119" w:rsidRDefault="00FA2119" w:rsidP="006A458D">
      <w:pPr>
        <w:pStyle w:val="ab"/>
        <w:numPr>
          <w:ilvl w:val="0"/>
          <w:numId w:val="102"/>
        </w:numPr>
      </w:pPr>
      <w:r>
        <w:rPr>
          <w:rFonts w:cs="Arial"/>
          <w:rtl/>
        </w:rPr>
        <w:lastRenderedPageBreak/>
        <w:t>טור</w:t>
      </w:r>
      <w:r w:rsidR="00A82951">
        <w:rPr>
          <w:rFonts w:cs="Arial"/>
          <w:rtl/>
        </w:rPr>
        <w:t>-</w:t>
      </w:r>
      <w:r>
        <w:rPr>
          <w:rFonts w:cs="Arial"/>
          <w:rtl/>
        </w:rPr>
        <w:t xml:space="preserve"> בד"א</w:t>
      </w:r>
      <w:r>
        <w:rPr>
          <w:rFonts w:cs="Arial"/>
          <w:sz w:val="16"/>
          <w:szCs w:val="16"/>
          <w:rtl/>
        </w:rPr>
        <w:t xml:space="preserve"> {שהאשה עושה שליח כנ"ל}</w:t>
      </w:r>
      <w:r>
        <w:rPr>
          <w:rFonts w:cs="Arial"/>
          <w:rtl/>
        </w:rPr>
        <w:t xml:space="preserve">, שעשתה שליח אחר לקבלו ממנו, אבל אם אמרה לשליח הבעל לפני עדים תהיה גם שלוחי לקבלה </w:t>
      </w:r>
      <w:r w:rsidR="00A82951">
        <w:rPr>
          <w:rFonts w:cs="Arial"/>
          <w:rtl/>
        </w:rPr>
        <w:t>-</w:t>
      </w:r>
      <w:r>
        <w:rPr>
          <w:rFonts w:cs="Arial"/>
          <w:rtl/>
        </w:rPr>
        <w:t xml:space="preserve"> הרי זו ספק מגורשת, ואם מת חולצת ולא מתייבמת. </w:t>
      </w:r>
    </w:p>
    <w:p w14:paraId="0E7E1A28" w14:textId="03BD879D" w:rsidR="00FA2119" w:rsidRDefault="00FA2119" w:rsidP="006A458D">
      <w:pPr>
        <w:pStyle w:val="ab"/>
        <w:numPr>
          <w:ilvl w:val="0"/>
          <w:numId w:val="102"/>
        </w:numPr>
      </w:pPr>
      <w:r>
        <w:rPr>
          <w:rFonts w:cs="Arial"/>
          <w:rtl/>
        </w:rPr>
        <w:t xml:space="preserve">רמב"ם </w:t>
      </w:r>
      <w:r>
        <w:rPr>
          <w:rFonts w:cs="Arial"/>
          <w:sz w:val="16"/>
          <w:szCs w:val="16"/>
          <w:rtl/>
        </w:rPr>
        <w:t>(פ"ו הי"ג)</w:t>
      </w:r>
      <w:r w:rsidR="00A82951">
        <w:rPr>
          <w:rFonts w:cs="Arial"/>
          <w:rtl/>
        </w:rPr>
        <w:t>-</w:t>
      </w:r>
      <w:r>
        <w:rPr>
          <w:rFonts w:cs="Arial"/>
          <w:rtl/>
        </w:rPr>
        <w:t xml:space="preserve"> הבעל ששלח גט לאשתו, בא שליח ליתנו לה, לא נטלתו אלא אמרה לו בפני עדים</w:t>
      </w:r>
      <w:r>
        <w:rPr>
          <w:rStyle w:val="a7"/>
          <w:rFonts w:cs="Arial"/>
          <w:rtl/>
        </w:rPr>
        <w:footnoteReference w:id="1836"/>
      </w:r>
      <w:r>
        <w:rPr>
          <w:rFonts w:cs="Arial"/>
          <w:rtl/>
        </w:rPr>
        <w:t xml:space="preserve"> יהיה לי גט זה פקדון אצלך, או שאמרה לו הרי את שליח לקבלו לי </w:t>
      </w:r>
      <w:r w:rsidR="00A82951">
        <w:rPr>
          <w:rFonts w:cs="Arial"/>
          <w:rtl/>
        </w:rPr>
        <w:t>-</w:t>
      </w:r>
      <w:r>
        <w:rPr>
          <w:rFonts w:cs="Arial"/>
          <w:rtl/>
        </w:rPr>
        <w:t xml:space="preserve"> הרי זו מגורשת בספק עד שיגיע גט לידה, ומשיגיע גט לידה תתגרש ודאי. </w:t>
      </w:r>
      <w:r>
        <w:rPr>
          <w:color w:val="E36C0A" w:themeColor="accent6" w:themeShade="BF"/>
          <w:rtl/>
        </w:rPr>
        <w:t>(וכ"פ בשו"ע)</w:t>
      </w:r>
    </w:p>
    <w:p w14:paraId="16BE311F" w14:textId="77777777" w:rsidR="00FA2119" w:rsidRDefault="00FA2119" w:rsidP="00FA2119">
      <w:pPr>
        <w:rPr>
          <w:u w:val="single"/>
        </w:rPr>
      </w:pPr>
      <w:r>
        <w:rPr>
          <w:u w:val="single"/>
          <w:rtl/>
        </w:rPr>
        <w:t>מה עדיף יותר, שישלח הבעל את הגט ע"י גוי, או לסמוך על הפוסקים כר' חנינא ושהאשה תעשה שליח ישראל:</w:t>
      </w:r>
    </w:p>
    <w:p w14:paraId="196F3BC5" w14:textId="299456FA" w:rsidR="00FA2119" w:rsidRDefault="00FA2119" w:rsidP="006A458D">
      <w:pPr>
        <w:pStyle w:val="ab"/>
        <w:numPr>
          <w:ilvl w:val="0"/>
          <w:numId w:val="102"/>
        </w:numPr>
        <w:rPr>
          <w:rtl/>
        </w:rPr>
      </w:pPr>
      <w:r>
        <w:rPr>
          <w:rFonts w:cs="Arial"/>
          <w:rtl/>
        </w:rPr>
        <w:t xml:space="preserve">ריב"ש </w:t>
      </w:r>
      <w:r>
        <w:rPr>
          <w:rFonts w:cs="Arial"/>
          <w:sz w:val="16"/>
          <w:szCs w:val="16"/>
          <w:rtl/>
        </w:rPr>
        <w:t>(סי' נה)</w:t>
      </w:r>
      <w:r w:rsidR="00A82951">
        <w:rPr>
          <w:rFonts w:cs="Arial"/>
          <w:rtl/>
        </w:rPr>
        <w:t>-</w:t>
      </w:r>
      <w:r>
        <w:rPr>
          <w:rFonts w:cs="Arial"/>
          <w:rtl/>
        </w:rPr>
        <w:t xml:space="preserve"> שאלת: איזה טוב יותר, האם שתמנה האשה שליח שיקבל גיטה מיד שליח בעלה ולסמוך על הפוסקים כרבי חנינא. או שישלחנו לה שליח הבעל ע"י גוי כמו שכתב רבינו בסימן זה (נ:) בשם הרא"ש שנהגו באשכנז ובצרפת...    תשובה: יותר ראוי לסמוך על הפוסקים כרבי חנינא, וכל שכן אם בשטר השליחות מזכיר שיתן הגט לידה או ליד שלוחה, שכן נהגו בכל שטרי שליחות</w:t>
      </w:r>
      <w:r w:rsidR="00C842F8">
        <w:rPr>
          <w:rFonts w:cs="Arial" w:hint="cs"/>
          <w:rtl/>
        </w:rPr>
        <w:t>.</w:t>
      </w:r>
      <w:r>
        <w:rPr>
          <w:rFonts w:cs="Arial"/>
          <w:rtl/>
        </w:rPr>
        <w:t xml:space="preserve"> ולמאן דאית ליה (גיטין סג:) טעם האיסור משום בזיון דבעל הכא איהו לא קפיד שהרי מזכירין שהיה לו כח מן הבעל במינוי שליחות זה. ואע"פ ששטר השליחות אינו מקויים, כיון דקיום שטרות דרבנן (שם ג.), פסקינן לקולא. </w:t>
      </w:r>
    </w:p>
    <w:p w14:paraId="5AD6531F" w14:textId="77777777" w:rsidR="00FA2119" w:rsidRDefault="00FA2119" w:rsidP="00FA2119">
      <w:pPr>
        <w:rPr>
          <w:u w:val="single"/>
        </w:rPr>
      </w:pPr>
      <w:r>
        <w:rPr>
          <w:rFonts w:cs="Arial"/>
          <w:u w:val="single"/>
          <w:rtl/>
        </w:rPr>
        <w:t>אשה שעשתה שליח לקבל גיטה מיד בעלה</w:t>
      </w:r>
      <w:r>
        <w:rPr>
          <w:u w:val="single"/>
          <w:rtl/>
        </w:rPr>
        <w:t>, והבעל אמר לשלוחו ליתן לה הגט:</w:t>
      </w:r>
    </w:p>
    <w:p w14:paraId="6B3FBBE7" w14:textId="497EB6D5" w:rsidR="00FA2119" w:rsidRDefault="00FA2119" w:rsidP="006A458D">
      <w:pPr>
        <w:pStyle w:val="ab"/>
        <w:numPr>
          <w:ilvl w:val="0"/>
          <w:numId w:val="102"/>
        </w:numPr>
        <w:rPr>
          <w:rtl/>
        </w:rPr>
      </w:pPr>
      <w:r>
        <w:rPr>
          <w:rFonts w:cs="Arial"/>
          <w:rtl/>
        </w:rPr>
        <w:t xml:space="preserve">רשב"א </w:t>
      </w:r>
      <w:r>
        <w:rPr>
          <w:rFonts w:cs="Arial"/>
          <w:sz w:val="16"/>
          <w:szCs w:val="16"/>
          <w:rtl/>
        </w:rPr>
        <w:t>(ח"א סי' אלף רז)</w:t>
      </w:r>
      <w:r w:rsidR="00A82951">
        <w:rPr>
          <w:rFonts w:cs="Arial"/>
          <w:rtl/>
        </w:rPr>
        <w:t>-</w:t>
      </w:r>
      <w:r>
        <w:rPr>
          <w:rFonts w:cs="Arial"/>
          <w:rtl/>
        </w:rPr>
        <w:t xml:space="preserve"> שאלת: האשה שעשתה שליח לקבל גיטה מיד בעלה, ואמר הבעל לסופר כתוב ולעדים חתומו</w:t>
      </w:r>
      <w:r w:rsidR="00C842F8">
        <w:rPr>
          <w:rFonts w:cs="Arial" w:hint="cs"/>
          <w:rtl/>
        </w:rPr>
        <w:t>.</w:t>
      </w:r>
      <w:r>
        <w:rPr>
          <w:rFonts w:cs="Arial"/>
          <w:rtl/>
        </w:rPr>
        <w:t xml:space="preserve"> ואחר שנכתב אמר הבעל לעדים תנוהו לשליח קבלה זה. מה ספק במסירה זו מפני שראינו חוששים שמא האשה עשאתו שליח לקבלו מיד הבעל ממש ולא מיד שלוחו וקפידא הוי.      תשובה: רואה אני את דברי החושש באומרת התקבל לי גיטי מיד בעלי שמא מקפדת בדבר זה, ודוקא באומרת התקבל לי גיטי </w:t>
      </w:r>
      <w:r>
        <w:rPr>
          <w:rFonts w:cs="Arial"/>
          <w:b/>
          <w:bCs/>
          <w:rtl/>
        </w:rPr>
        <w:t>מיד בעלי</w:t>
      </w:r>
      <w:r>
        <w:rPr>
          <w:rFonts w:cs="Arial"/>
          <w:rtl/>
        </w:rPr>
        <w:t xml:space="preserve"> אבל לא באומרת התקבל לי גיטי </w:t>
      </w:r>
      <w:r>
        <w:rPr>
          <w:rFonts w:cs="Arial"/>
          <w:b/>
          <w:bCs/>
          <w:rtl/>
        </w:rPr>
        <w:t>מבעלי</w:t>
      </w:r>
      <w:r>
        <w:rPr>
          <w:rFonts w:cs="Arial"/>
          <w:rtl/>
        </w:rPr>
        <w:t>. וכן האיש שעשה שליח הולכה ואמר תן גט זה לאשתי, ואפילו לרבי חנינא (גיטין סג:). ולא נחלקו הם אלא בהולך גט זה לאשתי, ואע"פ שלא פירשו כן בשום מקום, שמא לפי שאינו צריך דלאו כרוכלא לימני וליזיל, דהא תנן הקפדה בין בגיטין (גיטין סה.) בין בקידושין (קידושין נ.), וממנה דכל שאומר, בין הוא בין היא, מיד בעלי או ליד אשתי, דילמא בהקפדה אמרי. ועוד דלכשתמצא לומר דהלכה כרב ומשום בזיון דבעל (גיטין סג:), דילמא אף כאן משום בזיון דידה כאילו הבעל מבזה אותה שלא ליתנו אלא ע"י שליח ולא ע"י עצמו. ואם תאמר אחר שאני חושש לדבר זה מפני מה חילקתי בין 'התקבל לי מבעלי' ל</w:t>
      </w:r>
      <w:r w:rsidR="00A82951">
        <w:rPr>
          <w:rFonts w:cs="Arial"/>
          <w:rtl/>
        </w:rPr>
        <w:t>-</w:t>
      </w:r>
      <w:r>
        <w:rPr>
          <w:rFonts w:cs="Arial"/>
          <w:rtl/>
        </w:rPr>
        <w:t>'התקבל לי מיד בעלי', וכן בבעל בין 'תן גט זה לאשתי' ל</w:t>
      </w:r>
      <w:r w:rsidR="00A82951">
        <w:rPr>
          <w:rFonts w:cs="Arial"/>
          <w:rtl/>
        </w:rPr>
        <w:t>-</w:t>
      </w:r>
      <w:r>
        <w:rPr>
          <w:rFonts w:cs="Arial"/>
          <w:rtl/>
        </w:rPr>
        <w:t>'הולך גט זה לאשתי', לפי שעל כרחנו יש לנו לומר דבהולך גט זה לאשתי לאו בהקפדה אמר, דהא לרבי חנינא הועיל ולרב נמי לא הוי טעמא לחד מלישני אלא משום גזירת חצרה הבאה לאחר מכאן, ואם קדמה איהי ושוייה שליח אפילו לרב הועיל. אלא שאני אומר דהתם בשלא אמר תן גט זה ליד אשתי, אלא הולך גט זה לאשתי. וקרוב אני בעיני שאם אמר תן גט זה ליד אשתי, דהוי קפידא ודאי. וממנה לאשה שאמרה התקבל לי מיד בעלי. אבל אם אמרה התקבל לי, לא הוי קפידא לכשתמצא לומר הלכה כרבי חנינא, או אפילו כרב ללישנא דגזירה משום חצרה הבאה לאחר מכאן. ומכל מקום אפשר לומר בנדון שאמרת שהיה הבעל במעמד וצוה לסופר לכתוב ולעדים לחתום והיה שם שליח קבלה ואמר לעדים אחר שחתמו תנו לו, שזה כאילו קיבלו מיד הבעל. ועם כל זה טוב ליזהר.</w:t>
      </w:r>
      <w:r>
        <w:rPr>
          <w:rtl/>
        </w:rPr>
        <w:t xml:space="preserve"> </w:t>
      </w:r>
      <w:r>
        <w:rPr>
          <w:color w:val="00B0F0"/>
          <w:rtl/>
        </w:rPr>
        <w:t>(וכ"פ הרמ"א)</w:t>
      </w:r>
    </w:p>
    <w:p w14:paraId="07187F7D"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1DF878C" w14:textId="3AD97243" w:rsidR="00FA2119" w:rsidRDefault="00FA2119" w:rsidP="00FA2119">
      <w:pPr>
        <w:rPr>
          <w:rFonts w:cs="Arial"/>
          <w:rtl/>
        </w:rPr>
      </w:pPr>
      <w:r>
        <w:rPr>
          <w:rFonts w:cs="Arial"/>
          <w:rtl/>
        </w:rPr>
        <w:t xml:space="preserve">האשה יכולה לעשות שליח לקבל גיטה מיד שליח בעלה. במה דברים אמורים, שעשתה שליח אחר לקבל ממנו. אבל אם אמרה לשליח הבעל: יהיה גט זה פקדון אצלך, או שאמרה לו: הרי אתה שליח לקבלו לי </w:t>
      </w:r>
      <w:r>
        <w:rPr>
          <w:rFonts w:cs="Arial"/>
          <w:sz w:val="18"/>
          <w:szCs w:val="18"/>
          <w:rtl/>
        </w:rPr>
        <w:t>[הגה] וי"א אפילו לא אמרה לו רק: התקבל (רמב"ן ורשב"א)</w:t>
      </w:r>
      <w:r>
        <w:rPr>
          <w:rFonts w:cs="Arial"/>
          <w:rtl/>
        </w:rPr>
        <w:t xml:space="preserve">, הרי זו ספק מגורשת, עד שיגיע גט לידה, ומשיגיע לידה תתגרש ודאי. </w:t>
      </w:r>
      <w:r>
        <w:rPr>
          <w:rFonts w:cs="Arial"/>
          <w:sz w:val="18"/>
          <w:szCs w:val="18"/>
          <w:rtl/>
        </w:rPr>
        <w:t>הגה: אמרה האשה לשלוחה לקבל הגט מיד בעלה, אין לקבלו מיד שלוחו. אבל אמרה: קבל גט מבעלי, יכול לקבלו מיד שלוחו (רשב"א). ויש אומרים שאין האשה יכולה לעשות שליח לקבל מיד שליח בעלה</w:t>
      </w:r>
      <w:r>
        <w:rPr>
          <w:rStyle w:val="a7"/>
          <w:rFonts w:cs="Arial"/>
          <w:sz w:val="18"/>
          <w:szCs w:val="18"/>
          <w:rtl/>
        </w:rPr>
        <w:footnoteReference w:id="1837"/>
      </w:r>
      <w:r>
        <w:rPr>
          <w:rFonts w:cs="Arial"/>
          <w:sz w:val="18"/>
          <w:szCs w:val="18"/>
          <w:rtl/>
        </w:rPr>
        <w:t xml:space="preserve"> (תרומה). </w:t>
      </w:r>
    </w:p>
    <w:p w14:paraId="075FD4FD" w14:textId="77777777" w:rsidR="00FA2119" w:rsidRDefault="00FA2119" w:rsidP="00FA2119">
      <w:pPr>
        <w:rPr>
          <w:rtl/>
        </w:rPr>
      </w:pPr>
    </w:p>
    <w:p w14:paraId="027A9A32" w14:textId="77777777" w:rsidR="00FA2119" w:rsidRDefault="00FA2119" w:rsidP="00FA2119">
      <w:pPr>
        <w:pStyle w:val="2"/>
        <w:rPr>
          <w:rtl/>
        </w:rPr>
      </w:pPr>
      <w:r>
        <w:rPr>
          <w:rtl/>
        </w:rPr>
        <w:lastRenderedPageBreak/>
        <w:t>סעיף ב: נערה שרוצה לעשות שליח קבלה.</w:t>
      </w:r>
    </w:p>
    <w:p w14:paraId="347A310E" w14:textId="77777777" w:rsidR="00FA2119" w:rsidRDefault="00FA2119" w:rsidP="00FA2119">
      <w:pPr>
        <w:rPr>
          <w:rFonts w:cs="Arial"/>
          <w:rtl/>
        </w:rPr>
      </w:pPr>
      <w:r>
        <w:rPr>
          <w:rFonts w:cs="Arial"/>
          <w:b/>
          <w:bCs/>
          <w:rtl/>
        </w:rPr>
        <w:t xml:space="preserve">גיטין </w:t>
      </w:r>
      <w:r>
        <w:rPr>
          <w:rFonts w:cs="Arial"/>
          <w:b/>
          <w:bCs/>
          <w:sz w:val="16"/>
          <w:szCs w:val="16"/>
          <w:rtl/>
        </w:rPr>
        <w:t>(פ' התקבל)</w:t>
      </w:r>
      <w:r>
        <w:rPr>
          <w:rFonts w:cs="Arial"/>
          <w:b/>
          <w:bCs/>
          <w:rtl/>
        </w:rPr>
        <w:t xml:space="preserve"> סד ע"ב:</w:t>
      </w:r>
      <w:r>
        <w:rPr>
          <w:rFonts w:cs="Arial"/>
          <w:rtl/>
        </w:rPr>
        <w:t xml:space="preserve"> </w:t>
      </w:r>
      <w:r>
        <w:rPr>
          <w:rFonts w:cs="Arial"/>
          <w:u w:val="double"/>
          <w:rtl/>
        </w:rPr>
        <w:t>מתני'</w:t>
      </w:r>
      <w:r>
        <w:rPr>
          <w:rFonts w:cs="Arial"/>
          <w:rtl/>
        </w:rPr>
        <w:t>: נערה המאורסה, היא ואביה</w:t>
      </w:r>
      <w:r>
        <w:rPr>
          <w:rStyle w:val="a7"/>
          <w:rFonts w:cs="Arial"/>
          <w:rtl/>
        </w:rPr>
        <w:footnoteReference w:id="1838"/>
      </w:r>
      <w:r>
        <w:rPr>
          <w:rFonts w:cs="Arial"/>
          <w:rtl/>
        </w:rPr>
        <w:t xml:space="preserve"> מקבלין את גיטה. </w:t>
      </w:r>
      <w:r>
        <w:rPr>
          <w:rFonts w:cs="Arial"/>
          <w:u w:val="single"/>
          <w:rtl/>
        </w:rPr>
        <w:t>אמר רבי יהודה</w:t>
      </w:r>
      <w:r>
        <w:rPr>
          <w:rFonts w:cs="Arial"/>
          <w:rtl/>
        </w:rPr>
        <w:t xml:space="preserve">: אין שתי ידים זוכות כאחת, אלא אביה מקבל את גיטה בלבד. </w:t>
      </w:r>
      <w:r>
        <w:rPr>
          <w:rFonts w:cs="Arial"/>
          <w:sz w:val="16"/>
          <w:szCs w:val="16"/>
          <w:rtl/>
        </w:rPr>
        <w:t>(וידוע (רי"ף שבת סוף מח.) דהלכה כתנא קמא, ב"י)</w:t>
      </w:r>
      <w:r>
        <w:rPr>
          <w:rFonts w:cs="Arial"/>
          <w:rtl/>
        </w:rPr>
        <w:t xml:space="preserve"> </w:t>
      </w:r>
    </w:p>
    <w:p w14:paraId="4EB8A51A" w14:textId="0A4A4802" w:rsidR="00FA2119" w:rsidRDefault="00FA2119" w:rsidP="00FA2119">
      <w:pPr>
        <w:rPr>
          <w:rtl/>
        </w:rPr>
      </w:pPr>
      <w:r>
        <w:rPr>
          <w:rFonts w:cs="Arial"/>
          <w:b/>
          <w:bCs/>
          <w:rtl/>
        </w:rPr>
        <w:t xml:space="preserve">קידושין </w:t>
      </w:r>
      <w:r>
        <w:rPr>
          <w:rFonts w:cs="Arial"/>
          <w:b/>
          <w:bCs/>
          <w:sz w:val="16"/>
          <w:szCs w:val="16"/>
          <w:rtl/>
        </w:rPr>
        <w:t>(פ' האיש המקדש)</w:t>
      </w:r>
      <w:r>
        <w:rPr>
          <w:rFonts w:cs="Arial"/>
          <w:b/>
          <w:bCs/>
          <w:rtl/>
        </w:rPr>
        <w:t xml:space="preserve"> מד ע"א:</w:t>
      </w:r>
      <w:r>
        <w:rPr>
          <w:rFonts w:cs="Arial"/>
          <w:rtl/>
        </w:rPr>
        <w:t xml:space="preserve"> </w:t>
      </w:r>
      <w:r>
        <w:rPr>
          <w:rFonts w:cs="Arial"/>
          <w:u w:val="single"/>
          <w:rtl/>
        </w:rPr>
        <w:t>בעא מיניה רבא מרב נחמן</w:t>
      </w:r>
      <w:r>
        <w:rPr>
          <w:rFonts w:cs="Arial"/>
          <w:rtl/>
        </w:rPr>
        <w:t>:</w:t>
      </w:r>
      <w:r>
        <w:rPr>
          <w:rtl/>
        </w:rPr>
        <w:t xml:space="preserve"> </w:t>
      </w:r>
      <w:r>
        <w:rPr>
          <w:sz w:val="14"/>
          <w:szCs w:val="14"/>
          <w:rtl/>
        </w:rPr>
        <w:t xml:space="preserve">(מד:) </w:t>
      </w:r>
      <w:r>
        <w:rPr>
          <w:rFonts w:cs="Arial"/>
          <w:rtl/>
        </w:rPr>
        <w:t>נערה</w:t>
      </w:r>
      <w:r>
        <w:rPr>
          <w:rStyle w:val="a7"/>
          <w:rFonts w:cs="Arial"/>
          <w:rtl/>
        </w:rPr>
        <w:footnoteReference w:id="1839"/>
      </w:r>
      <w:r>
        <w:rPr>
          <w:rFonts w:cs="Arial"/>
          <w:rtl/>
        </w:rPr>
        <w:t xml:space="preserve">, מהו שתעשה שליח לקבל גיטה מיד בעלה?... לעולם פשיטא ליה דכי יד אביה דמיא, והכי קמיבעיא ליה: מי אלימא כיד אביה לשויה איהי שליח או לא? </w:t>
      </w:r>
      <w:r>
        <w:rPr>
          <w:rFonts w:cs="Arial"/>
          <w:u w:val="single"/>
          <w:rtl/>
        </w:rPr>
        <w:t>א"ל</w:t>
      </w:r>
      <w:r>
        <w:rPr>
          <w:rFonts w:cs="Arial"/>
          <w:rtl/>
        </w:rPr>
        <w:t xml:space="preserve">: אין עושה שליח. איתיביה: קטנה שאמרה התקבל לי גיטי </w:t>
      </w:r>
      <w:r w:rsidR="00A82951">
        <w:rPr>
          <w:rFonts w:cs="Arial"/>
          <w:rtl/>
        </w:rPr>
        <w:t>-</w:t>
      </w:r>
      <w:r>
        <w:rPr>
          <w:rFonts w:cs="Arial"/>
          <w:rtl/>
        </w:rPr>
        <w:t xml:space="preserve"> אינו גט עד שיגיע גט לידה; הא נערה </w:t>
      </w:r>
      <w:r w:rsidR="00A82951">
        <w:rPr>
          <w:rFonts w:cs="Arial"/>
          <w:rtl/>
        </w:rPr>
        <w:t>-</w:t>
      </w:r>
      <w:r>
        <w:rPr>
          <w:rFonts w:cs="Arial"/>
          <w:rtl/>
        </w:rPr>
        <w:t xml:space="preserve"> ה"ז גט! הכא במאי עסקינן </w:t>
      </w:r>
      <w:r w:rsidR="00A82951">
        <w:rPr>
          <w:rFonts w:cs="Arial"/>
          <w:rtl/>
        </w:rPr>
        <w:t>-</w:t>
      </w:r>
      <w:r>
        <w:rPr>
          <w:rFonts w:cs="Arial"/>
          <w:rtl/>
        </w:rPr>
        <w:t xml:space="preserve"> בשאין לה אב. הא מדקתני סיפא: אם אמר אביה צא וקבל גט לבתי, אם רצה בעל לחזור בו </w:t>
      </w:r>
      <w:r w:rsidR="00A82951">
        <w:rPr>
          <w:rFonts w:cs="Arial"/>
          <w:rtl/>
        </w:rPr>
        <w:t>-</w:t>
      </w:r>
      <w:r>
        <w:rPr>
          <w:rFonts w:cs="Arial"/>
          <w:rtl/>
        </w:rPr>
        <w:t xml:space="preserve"> לא יחזור; מכלל, דרישא בדיש לה אב עסקינן! חסורי מיחסרא והכי קתני: קטנה שאמרה התקבל לי גיטי </w:t>
      </w:r>
      <w:r w:rsidR="00A82951">
        <w:rPr>
          <w:rFonts w:cs="Arial"/>
          <w:rtl/>
        </w:rPr>
        <w:t>-</w:t>
      </w:r>
      <w:r>
        <w:rPr>
          <w:rFonts w:cs="Arial"/>
          <w:rtl/>
        </w:rPr>
        <w:t xml:space="preserve"> אינו גט עד שיגיע גט לידה, הא נערה </w:t>
      </w:r>
      <w:r w:rsidR="00A82951">
        <w:rPr>
          <w:rFonts w:cs="Arial"/>
          <w:rtl/>
        </w:rPr>
        <w:t>-</w:t>
      </w:r>
      <w:r>
        <w:rPr>
          <w:rFonts w:cs="Arial"/>
          <w:rtl/>
        </w:rPr>
        <w:t xml:space="preserve"> ה"ז גט; במה דברים אמורים </w:t>
      </w:r>
      <w:r w:rsidR="00A82951">
        <w:rPr>
          <w:rFonts w:cs="Arial"/>
          <w:rtl/>
        </w:rPr>
        <w:t>-</w:t>
      </w:r>
      <w:r>
        <w:rPr>
          <w:rFonts w:cs="Arial"/>
          <w:rtl/>
        </w:rPr>
        <w:t xml:space="preserve"> כשאין לה אב, אבל יש לה אב, ואמר אביה צא וקבל לבתי גיטה, ורוצה בעל לחזור </w:t>
      </w:r>
      <w:r w:rsidR="00A82951">
        <w:rPr>
          <w:rFonts w:cs="Arial"/>
          <w:rtl/>
        </w:rPr>
        <w:t>-</w:t>
      </w:r>
      <w:r>
        <w:rPr>
          <w:rFonts w:cs="Arial"/>
          <w:rtl/>
        </w:rPr>
        <w:t xml:space="preserve"> לא יחזור.</w:t>
      </w:r>
    </w:p>
    <w:p w14:paraId="1CA2BE13" w14:textId="77777777" w:rsidR="00FA2119" w:rsidRDefault="00FA2119" w:rsidP="00FA2119">
      <w:pPr>
        <w:rPr>
          <w:u w:val="single"/>
          <w:rtl/>
        </w:rPr>
      </w:pPr>
      <w:r>
        <w:rPr>
          <w:u w:val="single"/>
          <w:rtl/>
        </w:rPr>
        <w:t>נערה מאורסה שרוצה לעשות שליח קבלה:</w:t>
      </w:r>
    </w:p>
    <w:p w14:paraId="2A629A66" w14:textId="031D02CB"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נערה המאורסה, אע"פ שמתגרשה בקבלת גיטה לידה כמו בקבלת אביה </w:t>
      </w:r>
      <w:r w:rsidR="00A82951">
        <w:rPr>
          <w:rFonts w:cs="Arial"/>
          <w:rtl/>
        </w:rPr>
        <w:t>-</w:t>
      </w:r>
      <w:r>
        <w:rPr>
          <w:rFonts w:cs="Arial"/>
          <w:rtl/>
        </w:rPr>
        <w:t xml:space="preserve"> אינה יכולה לעשות שליח לקבלה. אבל אביה יכול לעשות שליח לקבלה. בד"א, כשיש לה אב, אבל אין לה אב או שנישאת </w:t>
      </w:r>
      <w:r w:rsidR="00A82951">
        <w:rPr>
          <w:rFonts w:cs="Arial"/>
          <w:rtl/>
        </w:rPr>
        <w:t>-</w:t>
      </w:r>
      <w:r>
        <w:rPr>
          <w:rFonts w:cs="Arial"/>
          <w:rtl/>
        </w:rPr>
        <w:t xml:space="preserve"> יכולה לעשות שליח לקבלה.</w:t>
      </w:r>
      <w:r>
        <w:rPr>
          <w:color w:val="E36C0A" w:themeColor="accent6" w:themeShade="BF"/>
          <w:rtl/>
        </w:rPr>
        <w:t xml:space="preserve"> (וכ"פ בשו"ע)</w:t>
      </w:r>
    </w:p>
    <w:p w14:paraId="23C9F713"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6185A56" w14:textId="77777777" w:rsidR="00FA2119" w:rsidRDefault="00FA2119" w:rsidP="00FA2119">
      <w:pPr>
        <w:rPr>
          <w:rtl/>
        </w:rPr>
      </w:pPr>
      <w:r>
        <w:rPr>
          <w:rFonts w:cs="Arial"/>
          <w:rtl/>
        </w:rPr>
        <w:t xml:space="preserve">נערה המאורסה, אף על פי שמתגרשת בקבלת גיטה בידה כמו קבלת אביה, אביה יכול לעשות שליח קבלה, אבל היא אינה יכולה לעשות שליח קבלה, אלא אם כן אין לה אב, או שנשאת. </w:t>
      </w:r>
    </w:p>
    <w:p w14:paraId="3F4E6531" w14:textId="77777777" w:rsidR="00FA2119" w:rsidRDefault="00FA2119" w:rsidP="00FA2119">
      <w:pPr>
        <w:rPr>
          <w:rtl/>
        </w:rPr>
      </w:pPr>
    </w:p>
    <w:p w14:paraId="3D8CDB5F" w14:textId="77777777" w:rsidR="00FA2119" w:rsidRDefault="00FA2119" w:rsidP="00FA2119">
      <w:pPr>
        <w:pStyle w:val="2"/>
        <w:rPr>
          <w:rtl/>
        </w:rPr>
      </w:pPr>
      <w:r>
        <w:rPr>
          <w:rtl/>
        </w:rPr>
        <w:t>סעיף ג: קטנה שרוצה לעשות שליח קבלה.</w:t>
      </w:r>
    </w:p>
    <w:p w14:paraId="5FC8ABCB" w14:textId="77777777" w:rsidR="00FA2119" w:rsidRDefault="00FA2119" w:rsidP="00FA2119">
      <w:pPr>
        <w:rPr>
          <w:rFonts w:cs="Arial"/>
          <w:rtl/>
        </w:rPr>
      </w:pPr>
      <w:r>
        <w:rPr>
          <w:rFonts w:cs="Arial"/>
          <w:b/>
          <w:bCs/>
          <w:rtl/>
        </w:rPr>
        <w:t xml:space="preserve">גיטין </w:t>
      </w:r>
      <w:r>
        <w:rPr>
          <w:rFonts w:cs="Arial"/>
          <w:b/>
          <w:bCs/>
          <w:sz w:val="16"/>
          <w:szCs w:val="16"/>
          <w:rtl/>
        </w:rPr>
        <w:t>(פ' התקבל)</w:t>
      </w:r>
      <w:r>
        <w:rPr>
          <w:rFonts w:cs="Arial"/>
          <w:b/>
          <w:bCs/>
          <w:rtl/>
        </w:rPr>
        <w:t xml:space="preserve"> סד ע"ב:</w:t>
      </w:r>
      <w:r>
        <w:rPr>
          <w:rFonts w:cs="Arial"/>
          <w:rtl/>
        </w:rPr>
        <w:t xml:space="preserve"> </w:t>
      </w:r>
      <w:r>
        <w:rPr>
          <w:rFonts w:cs="Arial"/>
          <w:u w:val="double"/>
          <w:rtl/>
        </w:rPr>
        <w:t>מתני'</w:t>
      </w:r>
      <w:r>
        <w:rPr>
          <w:rFonts w:cs="Arial"/>
          <w:rtl/>
        </w:rPr>
        <w:t>: נערה המאורסה, היא ואביה</w:t>
      </w:r>
      <w:r>
        <w:rPr>
          <w:rStyle w:val="a7"/>
          <w:rFonts w:cs="Arial"/>
          <w:rtl/>
        </w:rPr>
        <w:footnoteReference w:id="1840"/>
      </w:r>
      <w:r>
        <w:rPr>
          <w:rFonts w:cs="Arial"/>
          <w:rtl/>
        </w:rPr>
        <w:t xml:space="preserve"> מקבלין את גיטה. </w:t>
      </w:r>
      <w:r>
        <w:rPr>
          <w:rFonts w:cs="Arial"/>
          <w:u w:val="single"/>
          <w:rtl/>
        </w:rPr>
        <w:t>אמר רבי יהודה</w:t>
      </w:r>
      <w:r>
        <w:rPr>
          <w:rFonts w:cs="Arial"/>
          <w:rtl/>
        </w:rPr>
        <w:t>: אין שתי ידים זוכות כאחת, אלא אביה מקבל את גיטה בלבד.</w:t>
      </w:r>
      <w:r>
        <w:rPr>
          <w:rtl/>
        </w:rPr>
        <w:t xml:space="preserve"> </w:t>
      </w:r>
      <w:r>
        <w:rPr>
          <w:rFonts w:cs="Arial"/>
          <w:rtl/>
        </w:rPr>
        <w:t xml:space="preserve">וכל שאינה יכולה לשמור את גיטה, אינה יכולה להתגרש. </w:t>
      </w:r>
    </w:p>
    <w:p w14:paraId="3073743F" w14:textId="5AB5B87E" w:rsidR="00FA2119" w:rsidRDefault="00FA2119" w:rsidP="00FA2119">
      <w:pPr>
        <w:rPr>
          <w:rFonts w:cs="Arial"/>
          <w:rtl/>
        </w:rPr>
      </w:pPr>
      <w:r>
        <w:rPr>
          <w:rFonts w:cs="Arial"/>
          <w:b/>
          <w:bCs/>
          <w:rtl/>
        </w:rPr>
        <w:t xml:space="preserve">גיטין </w:t>
      </w:r>
      <w:r>
        <w:rPr>
          <w:rFonts w:cs="Arial"/>
          <w:b/>
          <w:bCs/>
          <w:sz w:val="16"/>
          <w:szCs w:val="16"/>
          <w:rtl/>
        </w:rPr>
        <w:t>(פ' התקבל)</w:t>
      </w:r>
      <w:r>
        <w:rPr>
          <w:rFonts w:cs="Arial"/>
          <w:b/>
          <w:bCs/>
          <w:rtl/>
        </w:rPr>
        <w:t xml:space="preserve"> סה ע"א:</w:t>
      </w:r>
      <w:r>
        <w:rPr>
          <w:rFonts w:cs="Arial"/>
          <w:rtl/>
        </w:rPr>
        <w:t xml:space="preserve"> </w:t>
      </w:r>
      <w:r>
        <w:rPr>
          <w:rFonts w:cs="Arial"/>
          <w:u w:val="double"/>
          <w:rtl/>
        </w:rPr>
        <w:t>מתני'</w:t>
      </w:r>
      <w:r>
        <w:rPr>
          <w:rFonts w:cs="Arial"/>
          <w:rtl/>
        </w:rPr>
        <w:t xml:space="preserve">: קטנה שאמרה התקבל לי גיטי </w:t>
      </w:r>
      <w:r w:rsidR="00A82951">
        <w:rPr>
          <w:rFonts w:cs="Arial"/>
          <w:rtl/>
        </w:rPr>
        <w:t>-</w:t>
      </w:r>
      <w:r>
        <w:rPr>
          <w:rFonts w:cs="Arial"/>
          <w:rtl/>
        </w:rPr>
        <w:t xml:space="preserve"> אינו גט עד שיגיע גט לידה, לפיכך אם רצה הבעל לחזור </w:t>
      </w:r>
      <w:r w:rsidR="00A82951">
        <w:rPr>
          <w:rFonts w:cs="Arial"/>
          <w:rtl/>
        </w:rPr>
        <w:t>-</w:t>
      </w:r>
      <w:r>
        <w:rPr>
          <w:rFonts w:cs="Arial"/>
          <w:rtl/>
        </w:rPr>
        <w:t xml:space="preserve"> יחזור, שאין קטן עושה שליח. ואם אמר לו אביה צא והתקבל לבתי גיטה, אם רצה לחזור </w:t>
      </w:r>
      <w:r w:rsidR="00A82951">
        <w:rPr>
          <w:rFonts w:cs="Arial"/>
          <w:rtl/>
        </w:rPr>
        <w:t>-</w:t>
      </w:r>
      <w:r>
        <w:rPr>
          <w:rFonts w:cs="Arial"/>
          <w:rtl/>
        </w:rPr>
        <w:t xml:space="preserve"> לא יחזור. </w:t>
      </w:r>
      <w:r>
        <w:rPr>
          <w:rFonts w:cs="Arial"/>
          <w:sz w:val="16"/>
          <w:szCs w:val="16"/>
          <w:rtl/>
        </w:rPr>
        <w:t>(ואוקימנא בהאיש מקדש (מד:) בשאין לה אב, דאי בשיש לה אב אפילו נערה נמי אינה עושה שליח, וכדפשט ליה רבא לרב נחמן. וכבר כתבתי בסמוך דנישאת דינה כאין לה אב, ב"י)</w:t>
      </w:r>
    </w:p>
    <w:p w14:paraId="583F6522" w14:textId="21DEA721" w:rsidR="00FA2119" w:rsidRDefault="00FA2119" w:rsidP="00FA2119">
      <w:pPr>
        <w:rPr>
          <w:rtl/>
        </w:rPr>
      </w:pPr>
      <w:r>
        <w:rPr>
          <w:rFonts w:cs="Arial"/>
          <w:b/>
          <w:bCs/>
          <w:rtl/>
        </w:rPr>
        <w:t xml:space="preserve">קידושין </w:t>
      </w:r>
      <w:r>
        <w:rPr>
          <w:rFonts w:cs="Arial"/>
          <w:b/>
          <w:bCs/>
          <w:sz w:val="16"/>
          <w:szCs w:val="16"/>
          <w:rtl/>
        </w:rPr>
        <w:t>(פ' האיש המקדש)</w:t>
      </w:r>
      <w:r>
        <w:rPr>
          <w:rFonts w:cs="Arial"/>
          <w:b/>
          <w:bCs/>
          <w:rtl/>
        </w:rPr>
        <w:t xml:space="preserve"> מד ע"א:</w:t>
      </w:r>
      <w:r>
        <w:rPr>
          <w:rFonts w:cs="Arial"/>
          <w:rtl/>
        </w:rPr>
        <w:t xml:space="preserve"> </w:t>
      </w:r>
      <w:r>
        <w:rPr>
          <w:rFonts w:cs="Arial"/>
          <w:u w:val="single"/>
          <w:rtl/>
        </w:rPr>
        <w:t>בעא מיניה רבא מרב נחמן</w:t>
      </w:r>
      <w:r>
        <w:rPr>
          <w:rFonts w:cs="Arial"/>
          <w:rtl/>
        </w:rPr>
        <w:t>:</w:t>
      </w:r>
      <w:r>
        <w:rPr>
          <w:rtl/>
        </w:rPr>
        <w:t xml:space="preserve"> </w:t>
      </w:r>
      <w:r>
        <w:rPr>
          <w:sz w:val="14"/>
          <w:szCs w:val="14"/>
          <w:rtl/>
        </w:rPr>
        <w:t xml:space="preserve">(מד:) </w:t>
      </w:r>
      <w:r>
        <w:rPr>
          <w:rFonts w:cs="Arial"/>
          <w:rtl/>
        </w:rPr>
        <w:t>נערה</w:t>
      </w:r>
      <w:r>
        <w:rPr>
          <w:rStyle w:val="a7"/>
          <w:rFonts w:cs="Arial"/>
          <w:rtl/>
        </w:rPr>
        <w:footnoteReference w:id="1841"/>
      </w:r>
      <w:r>
        <w:rPr>
          <w:rFonts w:cs="Arial"/>
          <w:rtl/>
        </w:rPr>
        <w:t xml:space="preserve">, מהו שתעשה שליח לקבל גיטה מיד בעלה?... לעולם פשיטא ליה דכי יד אביה דמיא, והכי קמיבעיא ליה: מי אלימא כיד אביה לשויה איהי שליח או לא? </w:t>
      </w:r>
      <w:r>
        <w:rPr>
          <w:rFonts w:cs="Arial"/>
          <w:u w:val="single"/>
          <w:rtl/>
        </w:rPr>
        <w:t>א"ל</w:t>
      </w:r>
      <w:r>
        <w:rPr>
          <w:rFonts w:cs="Arial"/>
          <w:rtl/>
        </w:rPr>
        <w:t xml:space="preserve">: אין עושה שליח. איתיביה: קטנה שאמרה התקבל לי גיטי </w:t>
      </w:r>
      <w:r w:rsidR="00A82951">
        <w:rPr>
          <w:rFonts w:cs="Arial"/>
          <w:rtl/>
        </w:rPr>
        <w:t>-</w:t>
      </w:r>
      <w:r>
        <w:rPr>
          <w:rFonts w:cs="Arial"/>
          <w:rtl/>
        </w:rPr>
        <w:t xml:space="preserve"> אינו גט עד שיגיע גט לידה; הא נערה </w:t>
      </w:r>
      <w:r w:rsidR="00A82951">
        <w:rPr>
          <w:rFonts w:cs="Arial"/>
          <w:rtl/>
        </w:rPr>
        <w:t>-</w:t>
      </w:r>
      <w:r>
        <w:rPr>
          <w:rFonts w:cs="Arial"/>
          <w:rtl/>
        </w:rPr>
        <w:t xml:space="preserve"> ה"ז גט! הכא במאי עסקינן </w:t>
      </w:r>
      <w:r w:rsidR="00A82951">
        <w:rPr>
          <w:rFonts w:cs="Arial"/>
          <w:rtl/>
        </w:rPr>
        <w:t>-</w:t>
      </w:r>
      <w:r>
        <w:rPr>
          <w:rFonts w:cs="Arial"/>
          <w:rtl/>
        </w:rPr>
        <w:t xml:space="preserve"> בשאין לה אב. הא מדקתני סיפא: אם אמר אביה צא וקבל גט לבתי, אם רצה בעל לחזור בו </w:t>
      </w:r>
      <w:r w:rsidR="00A82951">
        <w:rPr>
          <w:rFonts w:cs="Arial"/>
          <w:rtl/>
        </w:rPr>
        <w:t>-</w:t>
      </w:r>
      <w:r>
        <w:rPr>
          <w:rFonts w:cs="Arial"/>
          <w:rtl/>
        </w:rPr>
        <w:t xml:space="preserve"> לא יחזור; מכלל, דרישא בדיש לה אב עסקינן! חסורי מיחסרא והכי קתני: קטנה שאמרה התקבל לי גיטי </w:t>
      </w:r>
      <w:r w:rsidR="00A82951">
        <w:rPr>
          <w:rFonts w:cs="Arial"/>
          <w:rtl/>
        </w:rPr>
        <w:t>-</w:t>
      </w:r>
      <w:r>
        <w:rPr>
          <w:rFonts w:cs="Arial"/>
          <w:rtl/>
        </w:rPr>
        <w:t xml:space="preserve"> אינו גט עד שיגיע גט לידה, הא נערה </w:t>
      </w:r>
      <w:r w:rsidR="00A82951">
        <w:rPr>
          <w:rFonts w:cs="Arial"/>
          <w:rtl/>
        </w:rPr>
        <w:t>-</w:t>
      </w:r>
      <w:r>
        <w:rPr>
          <w:rFonts w:cs="Arial"/>
          <w:rtl/>
        </w:rPr>
        <w:t xml:space="preserve"> ה"ז גט; במה דברים אמורים </w:t>
      </w:r>
      <w:r w:rsidR="00A82951">
        <w:rPr>
          <w:rFonts w:cs="Arial"/>
          <w:rtl/>
        </w:rPr>
        <w:t>-</w:t>
      </w:r>
      <w:r>
        <w:rPr>
          <w:rFonts w:cs="Arial"/>
          <w:rtl/>
        </w:rPr>
        <w:t xml:space="preserve"> כשאין לה אב, אבל יש לה אב, ואמר אביה צא וקבל לבתי גיטה, ורוצה בעל לחזור </w:t>
      </w:r>
      <w:r w:rsidR="00A82951">
        <w:rPr>
          <w:rFonts w:cs="Arial"/>
          <w:rtl/>
        </w:rPr>
        <w:t>-</w:t>
      </w:r>
      <w:r>
        <w:rPr>
          <w:rFonts w:cs="Arial"/>
          <w:rtl/>
        </w:rPr>
        <w:t xml:space="preserve"> לא יחזור.</w:t>
      </w:r>
    </w:p>
    <w:p w14:paraId="1317B7CD" w14:textId="77777777" w:rsidR="00FA2119" w:rsidRDefault="00FA2119" w:rsidP="00FA2119">
      <w:pPr>
        <w:rPr>
          <w:u w:val="single"/>
          <w:rtl/>
        </w:rPr>
      </w:pPr>
      <w:r>
        <w:rPr>
          <w:u w:val="single"/>
          <w:rtl/>
        </w:rPr>
        <w:t xml:space="preserve">קטנה ארוסה ואין לה אב </w:t>
      </w:r>
      <w:r>
        <w:rPr>
          <w:sz w:val="16"/>
          <w:szCs w:val="16"/>
          <w:u w:val="single"/>
          <w:rtl/>
        </w:rPr>
        <w:t>(או נשואה אפי' יש לה אב)</w:t>
      </w:r>
      <w:r>
        <w:rPr>
          <w:u w:val="single"/>
          <w:rtl/>
        </w:rPr>
        <w:t xml:space="preserve"> שרוצה לעשות שליח קבלה:</w:t>
      </w:r>
    </w:p>
    <w:p w14:paraId="0FF2DCE9" w14:textId="4EEFD737" w:rsidR="00FA2119" w:rsidRDefault="00FA2119" w:rsidP="006A458D">
      <w:pPr>
        <w:pStyle w:val="ab"/>
        <w:numPr>
          <w:ilvl w:val="0"/>
          <w:numId w:val="102"/>
        </w:numPr>
        <w:rPr>
          <w:rtl/>
        </w:rPr>
      </w:pPr>
      <w:r>
        <w:rPr>
          <w:rFonts w:cs="Arial"/>
          <w:rtl/>
        </w:rPr>
        <w:lastRenderedPageBreak/>
        <w:t>טור</w:t>
      </w:r>
      <w:r w:rsidR="00A82951">
        <w:rPr>
          <w:rFonts w:cs="Arial"/>
          <w:rtl/>
        </w:rPr>
        <w:t>-</w:t>
      </w:r>
      <w:r>
        <w:rPr>
          <w:rFonts w:cs="Arial"/>
          <w:rtl/>
        </w:rPr>
        <w:t xml:space="preserve"> קטנה אפי' אין לה אב או שנשאת </w:t>
      </w:r>
      <w:r w:rsidR="00A82951">
        <w:rPr>
          <w:rFonts w:cs="Arial"/>
          <w:rtl/>
        </w:rPr>
        <w:t>-</w:t>
      </w:r>
      <w:r>
        <w:rPr>
          <w:rFonts w:cs="Arial"/>
          <w:rtl/>
        </w:rPr>
        <w:t xml:space="preserve"> אינה יכולה לעשות שליח לקבלה, אבל היא בעצמה מקבלת אותו. </w:t>
      </w:r>
      <w:r>
        <w:rPr>
          <w:color w:val="E36C0A" w:themeColor="accent6" w:themeShade="BF"/>
          <w:rtl/>
        </w:rPr>
        <w:t>(וכ"פ בשו"ע)</w:t>
      </w:r>
    </w:p>
    <w:p w14:paraId="73119B47" w14:textId="77777777" w:rsidR="00FA2119" w:rsidRDefault="00FA2119" w:rsidP="00FA2119">
      <w:pPr>
        <w:ind w:left="360"/>
        <w:rPr>
          <w:u w:val="dotted"/>
        </w:rPr>
      </w:pPr>
      <w:r>
        <w:rPr>
          <w:u w:val="dotted"/>
          <w:rtl/>
        </w:rPr>
        <w:t>ומה הדין אם היא ארוסה ויש לה אב:</w:t>
      </w:r>
      <w:r>
        <w:rPr>
          <w:rFonts w:cs="Arial"/>
          <w:rtl/>
        </w:rPr>
        <w:t xml:space="preserve"> </w:t>
      </w:r>
      <w:r>
        <w:rPr>
          <w:rtl/>
        </w:rPr>
        <w:t xml:space="preserve"> </w:t>
      </w:r>
    </w:p>
    <w:p w14:paraId="057EDB52" w14:textId="079DFBB9" w:rsidR="00FA2119" w:rsidRDefault="00FA2119" w:rsidP="006A458D">
      <w:pPr>
        <w:pStyle w:val="ab"/>
        <w:numPr>
          <w:ilvl w:val="0"/>
          <w:numId w:val="102"/>
        </w:numPr>
      </w:pPr>
      <w:r>
        <w:rPr>
          <w:rFonts w:cs="Arial"/>
          <w:rtl/>
        </w:rPr>
        <w:t xml:space="preserve">רי"ף </w:t>
      </w:r>
      <w:r>
        <w:rPr>
          <w:rFonts w:cs="Arial"/>
          <w:sz w:val="16"/>
          <w:szCs w:val="16"/>
          <w:rtl/>
        </w:rPr>
        <w:t>(גיטין סוף ל:)</w:t>
      </w:r>
      <w:r>
        <w:rPr>
          <w:sz w:val="16"/>
          <w:szCs w:val="16"/>
          <w:rtl/>
        </w:rPr>
        <w:t xml:space="preserve"> </w:t>
      </w:r>
      <w:r>
        <w:rPr>
          <w:rtl/>
        </w:rPr>
        <w:t>רש"י</w:t>
      </w:r>
      <w:r>
        <w:rPr>
          <w:rStyle w:val="a7"/>
          <w:rtl/>
        </w:rPr>
        <w:footnoteReference w:id="1842"/>
      </w:r>
      <w:r>
        <w:rPr>
          <w:rtl/>
        </w:rPr>
        <w:t xml:space="preserve"> </w:t>
      </w:r>
      <w:r>
        <w:rPr>
          <w:sz w:val="16"/>
          <w:szCs w:val="16"/>
          <w:rtl/>
        </w:rPr>
        <w:t>(גיטין סד: ד"ה היא ואביה)</w:t>
      </w:r>
      <w:r>
        <w:rPr>
          <w:rFonts w:cs="Arial"/>
          <w:rtl/>
        </w:rPr>
        <w:t xml:space="preserve"> ראב"ד </w:t>
      </w:r>
      <w:r>
        <w:rPr>
          <w:rFonts w:cs="Arial"/>
          <w:sz w:val="16"/>
          <w:szCs w:val="16"/>
          <w:rtl/>
        </w:rPr>
        <w:t>(במסכת קידושין, כ"כ הב"י בשמו)</w:t>
      </w:r>
      <w:r>
        <w:rPr>
          <w:rFonts w:cs="Arial"/>
          <w:rtl/>
        </w:rPr>
        <w:t xml:space="preserve"> ורמב"ם </w:t>
      </w:r>
      <w:r>
        <w:rPr>
          <w:rFonts w:cs="Arial"/>
          <w:sz w:val="16"/>
          <w:szCs w:val="16"/>
          <w:rtl/>
        </w:rPr>
        <w:t>(פ"ב הי"ח)</w:t>
      </w:r>
      <w:r w:rsidR="00A82951">
        <w:rPr>
          <w:rtl/>
        </w:rPr>
        <w:t>-</w:t>
      </w:r>
      <w:r>
        <w:rPr>
          <w:rtl/>
        </w:rPr>
        <w:t xml:space="preserve"> </w:t>
      </w:r>
      <w:r>
        <w:rPr>
          <w:rFonts w:cs="Arial"/>
          <w:rtl/>
        </w:rPr>
        <w:t>דוקא אביה מקבל גיטה ולא היא</w:t>
      </w:r>
      <w:r>
        <w:rPr>
          <w:rStyle w:val="a7"/>
          <w:rtl/>
        </w:rPr>
        <w:footnoteReference w:id="1843"/>
      </w:r>
      <w:r>
        <w:rPr>
          <w:rtl/>
        </w:rPr>
        <w:t xml:space="preserve">. </w:t>
      </w:r>
      <w:r>
        <w:rPr>
          <w:color w:val="E36C0A" w:themeColor="accent6" w:themeShade="BF"/>
          <w:rtl/>
        </w:rPr>
        <w:t>(וכ"פ בשו"ע)</w:t>
      </w:r>
    </w:p>
    <w:p w14:paraId="6EB09B3F" w14:textId="5DB57D89" w:rsidR="00FA2119" w:rsidRDefault="00FA2119" w:rsidP="006A458D">
      <w:pPr>
        <w:pStyle w:val="ab"/>
        <w:numPr>
          <w:ilvl w:val="0"/>
          <w:numId w:val="102"/>
        </w:numPr>
      </w:pPr>
      <w:r>
        <w:rPr>
          <w:rtl/>
        </w:rPr>
        <w:t xml:space="preserve">רש"י </w:t>
      </w:r>
      <w:r>
        <w:rPr>
          <w:sz w:val="16"/>
          <w:szCs w:val="16"/>
          <w:rtl/>
        </w:rPr>
        <w:t>(קידושין מג: ד"ה נערה המאורסה)</w:t>
      </w:r>
      <w:r>
        <w:rPr>
          <w:rFonts w:cs="Arial"/>
          <w:rtl/>
        </w:rPr>
        <w:t xml:space="preserve"> תוס' רז"ה ובהעי"ט</w:t>
      </w:r>
      <w:r>
        <w:rPr>
          <w:rStyle w:val="a7"/>
          <w:rtl/>
        </w:rPr>
        <w:footnoteReference w:id="1844"/>
      </w:r>
      <w:r w:rsidR="00A82951">
        <w:rPr>
          <w:rtl/>
        </w:rPr>
        <w:t>-</w:t>
      </w:r>
      <w:r>
        <w:rPr>
          <w:rtl/>
        </w:rPr>
        <w:t xml:space="preserve"> יכולה קטנה המאורסה לקבל את גיטה</w:t>
      </w:r>
      <w:r>
        <w:rPr>
          <w:rStyle w:val="a7"/>
          <w:rtl/>
        </w:rPr>
        <w:footnoteReference w:id="1845"/>
      </w:r>
      <w:r>
        <w:rPr>
          <w:rtl/>
        </w:rPr>
        <w:t>.</w:t>
      </w:r>
    </w:p>
    <w:p w14:paraId="0840C483" w14:textId="4B28C977" w:rsidR="00FA2119" w:rsidRDefault="00FA2119" w:rsidP="006A458D">
      <w:pPr>
        <w:pStyle w:val="ab"/>
        <w:numPr>
          <w:ilvl w:val="0"/>
          <w:numId w:val="102"/>
        </w:numPr>
      </w:pPr>
      <w:r>
        <w:rPr>
          <w:rFonts w:cs="Arial"/>
          <w:rtl/>
        </w:rPr>
        <w:t xml:space="preserve">רא"ש </w:t>
      </w:r>
      <w:r>
        <w:rPr>
          <w:rFonts w:cs="Arial"/>
          <w:sz w:val="16"/>
          <w:szCs w:val="16"/>
          <w:rtl/>
        </w:rPr>
        <w:t>(</w:t>
      </w:r>
      <w:r w:rsidR="00CE68EF">
        <w:rPr>
          <w:rFonts w:cs="Arial" w:hint="cs"/>
          <w:sz w:val="16"/>
          <w:szCs w:val="16"/>
          <w:rtl/>
        </w:rPr>
        <w:t xml:space="preserve">פ"ז </w:t>
      </w:r>
      <w:r>
        <w:rPr>
          <w:rFonts w:cs="Arial"/>
          <w:sz w:val="16"/>
          <w:szCs w:val="16"/>
          <w:rtl/>
        </w:rPr>
        <w:t xml:space="preserve">סי' ט) </w:t>
      </w:r>
      <w:r>
        <w:rPr>
          <w:rFonts w:cs="Arial"/>
          <w:rtl/>
        </w:rPr>
        <w:t>וטור</w:t>
      </w:r>
      <w:r w:rsidR="00A82951">
        <w:rPr>
          <w:rFonts w:cs="Arial"/>
          <w:rtl/>
        </w:rPr>
        <w:t>-</w:t>
      </w:r>
      <w:r>
        <w:rPr>
          <w:rFonts w:cs="Arial"/>
          <w:rtl/>
        </w:rPr>
        <w:t xml:space="preserve"> כיון דאיכא פלוגתא דרבוותא ראוי לנו להחמיר שלא תקבלנו אלא ע"י אביה</w:t>
      </w:r>
      <w:r>
        <w:rPr>
          <w:rFonts w:cs="Arial"/>
          <w:sz w:val="16"/>
          <w:szCs w:val="16"/>
          <w:rtl/>
        </w:rPr>
        <w:t xml:space="preserve"> (ל' הטור בשם הרא"ש)</w:t>
      </w:r>
      <w:r>
        <w:rPr>
          <w:rFonts w:cs="Arial"/>
          <w:rtl/>
        </w:rPr>
        <w:t>.</w:t>
      </w:r>
    </w:p>
    <w:p w14:paraId="37BF9C8C" w14:textId="49969F3F" w:rsidR="00FA2119" w:rsidRDefault="00FA2119" w:rsidP="006A458D">
      <w:pPr>
        <w:pStyle w:val="ab"/>
        <w:numPr>
          <w:ilvl w:val="1"/>
          <w:numId w:val="102"/>
        </w:numPr>
      </w:pPr>
      <w:r>
        <w:rPr>
          <w:rFonts w:cs="Arial"/>
          <w:rtl/>
        </w:rPr>
        <w:t>ב"י</w:t>
      </w:r>
      <w:r w:rsidR="00A82951">
        <w:rPr>
          <w:rFonts w:cs="Arial"/>
          <w:rtl/>
        </w:rPr>
        <w:t>-</w:t>
      </w:r>
      <w:r>
        <w:rPr>
          <w:rFonts w:cs="Arial"/>
          <w:rtl/>
        </w:rPr>
        <w:t xml:space="preserve"> ולענין הלכה כיון שהרי"ף והרמב"ם מסכימים לדעת אחת וכמה רבוותא הכי סבירא להו נקיטינן כוותייהו.</w:t>
      </w:r>
    </w:p>
    <w:p w14:paraId="4CE58139"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B9B43CC" w14:textId="77777777" w:rsidR="00FA2119" w:rsidRDefault="00FA2119" w:rsidP="00FA2119">
      <w:pPr>
        <w:rPr>
          <w:rFonts w:cs="Arial"/>
          <w:rtl/>
        </w:rPr>
      </w:pPr>
      <w:r>
        <w:rPr>
          <w:rFonts w:cs="Arial"/>
          <w:rtl/>
        </w:rPr>
        <w:t>קטנה, אפילו אין לה אב, או שנשאת, אינה יכולה לעשות שליח קבלה. אבל אביה יכול לעשותו אם היא ארוסה.</w:t>
      </w:r>
    </w:p>
    <w:p w14:paraId="2E84A5A7" w14:textId="77777777" w:rsidR="00FA2119" w:rsidRDefault="00FA2119" w:rsidP="00FA2119">
      <w:pPr>
        <w:rPr>
          <w:rtl/>
        </w:rPr>
      </w:pPr>
      <w:r>
        <w:rPr>
          <w:rFonts w:cs="Arial"/>
          <w:rtl/>
        </w:rPr>
        <w:t xml:space="preserve"> </w:t>
      </w:r>
    </w:p>
    <w:p w14:paraId="31D3C884" w14:textId="77777777" w:rsidR="00FA2119" w:rsidRDefault="00FA2119" w:rsidP="00FA2119">
      <w:pPr>
        <w:pStyle w:val="2"/>
        <w:rPr>
          <w:rtl/>
        </w:rPr>
      </w:pPr>
      <w:r>
        <w:rPr>
          <w:rtl/>
        </w:rPr>
        <w:t>סעיף ד: קטנה ארוסה מקבלת גיטה מדעת אביה.</w:t>
      </w:r>
    </w:p>
    <w:p w14:paraId="24C0496B" w14:textId="6B8674D5" w:rsidR="00FA2119" w:rsidRDefault="00FA2119" w:rsidP="00FA2119">
      <w:pPr>
        <w:rPr>
          <w:u w:val="single"/>
          <w:rtl/>
        </w:rPr>
      </w:pPr>
      <w:r>
        <w:rPr>
          <w:u w:val="single"/>
          <w:rtl/>
        </w:rPr>
        <w:t xml:space="preserve">קידש קטנה ע"י אביה, ורוצה לגרשה בעודה קטנה ארוסה </w:t>
      </w:r>
      <w:r w:rsidR="00A82951">
        <w:rPr>
          <w:u w:val="single"/>
          <w:rtl/>
        </w:rPr>
        <w:t>-</w:t>
      </w:r>
      <w:r>
        <w:rPr>
          <w:u w:val="single"/>
          <w:rtl/>
        </w:rPr>
        <w:t xml:space="preserve"> האם יכולה לקבל גט מדעת אביה:</w:t>
      </w:r>
    </w:p>
    <w:p w14:paraId="7FCD6310" w14:textId="44778E7B" w:rsidR="00FA2119" w:rsidRDefault="00FA2119" w:rsidP="006A458D">
      <w:pPr>
        <w:pStyle w:val="ab"/>
        <w:numPr>
          <w:ilvl w:val="0"/>
          <w:numId w:val="102"/>
        </w:numPr>
        <w:rPr>
          <w:rFonts w:cs="Arial"/>
          <w:rtl/>
        </w:rPr>
      </w:pPr>
      <w:r>
        <w:rPr>
          <w:rFonts w:cs="Arial"/>
          <w:rtl/>
        </w:rPr>
        <w:t xml:space="preserve">רשב"א </w:t>
      </w:r>
      <w:r>
        <w:rPr>
          <w:rFonts w:cs="Arial"/>
          <w:sz w:val="16"/>
          <w:szCs w:val="16"/>
          <w:rtl/>
        </w:rPr>
        <w:t>(ח"ד סי' שכד)</w:t>
      </w:r>
      <w:r w:rsidR="00A82951">
        <w:rPr>
          <w:rFonts w:cs="Arial"/>
          <w:rtl/>
        </w:rPr>
        <w:t>-</w:t>
      </w:r>
      <w:r>
        <w:rPr>
          <w:rFonts w:cs="Arial"/>
          <w:rtl/>
        </w:rPr>
        <w:t xml:space="preserve"> מעשה באחד ששידך בתו קטנה וקיבל קידושיה כשהיא קטנה, ולא נישאת, ועכשיו רוצה להתגרש מן האירוסין. ונסתפקו מי יקבל גיטה, לפי שאין אנו יודעים אם היא עדיין קטנה ואביה ולא היא מקבל גיטה, או אם נערה ובין היא ובין אביה מקבלין גיטה דהלכה כרבנן, או גדולה ויצאה מרשות אביה והיא ולא אביה. והעולה בידינו שתעשה היא שליח לקבלה אביה, ויקבל גיטה על ענין זה שאם היא גדולה תהא מגורשת מתורת שליחות, כדאיתא בירושלמי (פ"ו ה"ב) גבי משנת התקבל לי גיטי צריכה שתי כיתי עדים הדא אמרה קרוב נעשה שליח, ואם היא קטנה או נערה שאינן יכולות לעשות שליח תהא מגורשת מחמת שהיא ברשותו. זאת ועוד אחרת שיאמר הארוס לסופר לכתוב שני גיטין ולעדים ולחתום, ויתן אחד לה ואחד לאביה, וממה נפשך מגורשת.     תשובה: כל מה שאמרת, יפה אמרת. שאפשר לאביה לקבל גיטה בשליחותה, וממה נפשך מתגרשת, או לכתוב שני גיטין אילו היה הענין צריך לכך. אבל אין צורך לכל מה שאמרת, שאני רואה שאתם סוברים כי קטנה שאינה יכולה לקבל גיטה היינו שאין לה יד כלל ואפילו קיבלה גיטה מדעת אביה </w:t>
      </w:r>
      <w:r w:rsidR="00A82951">
        <w:rPr>
          <w:rFonts w:cs="Arial"/>
          <w:rtl/>
        </w:rPr>
        <w:t>-</w:t>
      </w:r>
      <w:r>
        <w:rPr>
          <w:rFonts w:cs="Arial"/>
          <w:rtl/>
        </w:rPr>
        <w:t xml:space="preserve"> וזה אינו כלל, ואינו צריך לפנים, אלא אם קיבלה גיטה מדעת אביה מתגרשת היא בלא ספק. ולא נחלקו רבי יהודה וחכמים אלא בנערה שקיבלה גיטה מדעת עצמה שלא מדעת אביה, והיינו דאמר רבי יהודה אין שתי ידים זוכות כאחת, ואילו לדעת האב אין כאן שתי ידים זוכות אלא יד האב שמדעתו היא מקבלתו. ועוד דבפרק האיש מקדש (מג:) נחלקו רבי יוחנן וריש לקיש אם כמחלוקת בגירושין כך מחלוקת בקידושין אם לאו, ורבי יוחנן סבר מחלוקת בגירושין אבל בקידושין דברי הכל אביה ולא היא, ואילו במקבלת מדעת אביה אפילו בקידושין דברי הכל אפילו קטנה מקודשת, וכדאיתא בהדיא בפרק קמא דקידושין (יט.). ועוד ראיה דהא קא מפרש התם טעמיה דרבי יוחנן דמחלק בין קידושין לגירושין, ואמר, גירושין דמכנסת עצמה לרשות אביה </w:t>
      </w:r>
      <w:r w:rsidR="00A82951">
        <w:rPr>
          <w:rFonts w:cs="Arial"/>
          <w:rtl/>
        </w:rPr>
        <w:t>-</w:t>
      </w:r>
      <w:r>
        <w:rPr>
          <w:rFonts w:cs="Arial"/>
          <w:rtl/>
        </w:rPr>
        <w:t xml:space="preserve"> בין היא בין אביה, קידושין דמפקעת עצמה מרשות אביה </w:t>
      </w:r>
      <w:r w:rsidR="00A82951">
        <w:rPr>
          <w:rFonts w:cs="Arial"/>
          <w:rtl/>
        </w:rPr>
        <w:t>-</w:t>
      </w:r>
      <w:r>
        <w:rPr>
          <w:rFonts w:cs="Arial"/>
          <w:rtl/>
        </w:rPr>
        <w:t xml:space="preserve"> אביה ולא היא, כלומר אינה יכולה להפקיע עצמה מרשות אביה אלא מדעת אביה. ואקשינן והרי מאמר דמפקעת עצמה מרשות אביה ותניא קטנה מן האירוסין אין עושין בה מאמר אלא מדעת אביה והנערה בין מדעת אביה בין מדעת עצמה. הנה זה מבואר כי על ידה ועל יד אביה היינו מדעת עצמה בלא דעת אביה ועל דעת אביה שלא מדעתה. </w:t>
      </w:r>
      <w:r>
        <w:rPr>
          <w:rFonts w:cs="Arial"/>
          <w:rtl/>
        </w:rPr>
        <w:lastRenderedPageBreak/>
        <w:t>ומעתה אין צריכים אתם לכל כך, אלא נותן גיטה על ידה מדעת אביה מחשש קטנה ושפיר דמי</w:t>
      </w:r>
      <w:r>
        <w:rPr>
          <w:rStyle w:val="a7"/>
          <w:rFonts w:cs="Arial"/>
          <w:rtl/>
        </w:rPr>
        <w:footnoteReference w:id="1846"/>
      </w:r>
      <w:r>
        <w:rPr>
          <w:rFonts w:cs="Arial"/>
          <w:rtl/>
        </w:rPr>
        <w:t>.</w:t>
      </w:r>
      <w:r>
        <w:rPr>
          <w:rFonts w:cs="Arial"/>
          <w:color w:val="E36C0A" w:themeColor="accent6" w:themeShade="BF"/>
          <w:rtl/>
        </w:rPr>
        <w:t xml:space="preserve"> (וכ"ס בשו"ע)</w:t>
      </w:r>
    </w:p>
    <w:p w14:paraId="055E4AD0" w14:textId="1477AE9C" w:rsidR="00FA2119" w:rsidRDefault="00FA2119" w:rsidP="006A458D">
      <w:pPr>
        <w:pStyle w:val="ab"/>
        <w:numPr>
          <w:ilvl w:val="0"/>
          <w:numId w:val="102"/>
        </w:numPr>
        <w:rPr>
          <w:rtl/>
        </w:rPr>
      </w:pPr>
      <w:r>
        <w:rPr>
          <w:rFonts w:cs="Arial"/>
          <w:rtl/>
        </w:rPr>
        <w:t>מהרלב"ח</w:t>
      </w:r>
      <w:r>
        <w:rPr>
          <w:rFonts w:cs="Arial"/>
          <w:sz w:val="16"/>
          <w:szCs w:val="16"/>
          <w:rtl/>
        </w:rPr>
        <w:t xml:space="preserve"> (סי' נז, הביאו הב"י בבדה"ב)</w:t>
      </w:r>
      <w:r w:rsidR="00A82951">
        <w:rPr>
          <w:rFonts w:cs="Arial"/>
          <w:rtl/>
        </w:rPr>
        <w:t>-</w:t>
      </w:r>
      <w:r>
        <w:rPr>
          <w:rFonts w:cs="Arial"/>
          <w:rtl/>
        </w:rPr>
        <w:t xml:space="preserve"> ראיתי להודיע למעיין בתשובה זו </w:t>
      </w:r>
      <w:r>
        <w:rPr>
          <w:rFonts w:cs="Arial"/>
          <w:sz w:val="16"/>
          <w:szCs w:val="16"/>
          <w:rtl/>
        </w:rPr>
        <w:t xml:space="preserve">{של הרשב"א} </w:t>
      </w:r>
      <w:r>
        <w:rPr>
          <w:rFonts w:cs="Arial"/>
          <w:rtl/>
        </w:rPr>
        <w:t>שלא יסמוך עליה לעשות מעשה לכתחלה שתתקבל הקטנה גט על ידי עצמה אפילו מדעת אביה. ואע"פ שדברי הרשב"א כתבם ג"כ הרמב"ן פ"ק דקידושין (ט. ד"ה בין) עם כל זה אין לעשות מעשה על פיהם באיסור אשת איש לכתחלה לפי שהר"ן כתב שם (ה. ד"ה וכתב הרמב"ן) דדוקא בקידושי כסף אומר אדם לבתו צאי וקבלי קידושיך, לא בקידושי שטר, והביא ראיה לזה. וא"כ לדעתו הוא הדין בגט שלא תתגרש הקטנה ע"י קבלתה הגט בעצמה אע"פ שיהיה לדעת האב ואפילו במאמרו שאמר לה צאי וקבלי גיטך. וכמו שאינה מתגרשת ע"י עצמה שלא לדעת אביה אם היא קטנה שאינה יודעת לשמור את גיטה לדעת כל הפוסקים, או אפילו יודעת לשמור את גיטה לדעת הרי"ף והנמשכים אחריו (לעיל בד"ה במה דברים), כמו כן אינה מתגרשת ע"י עצמה אפילו לדעת אביה ואפילו במאמרו. ויותר מבואר מזה כתב נמוק"י בפרק הנזכר בהסכמת הראב"ד והריטב"א (שם ד"ה אמר רבא) שאין קטנה מתגרשת על ידה אע"פ שאמר לה אביה צאי וקבלי גיטך.</w:t>
      </w:r>
    </w:p>
    <w:p w14:paraId="0D68B38E" w14:textId="77777777" w:rsidR="00FA2119" w:rsidRDefault="00FA2119" w:rsidP="00FA2119">
      <w:pPr>
        <w:rPr>
          <w:sz w:val="16"/>
          <w:szCs w:val="16"/>
          <w:u w:val="single"/>
        </w:rPr>
      </w:pPr>
      <w:r>
        <w:rPr>
          <w:u w:val="single"/>
          <w:rtl/>
        </w:rPr>
        <w:t>כיצד כותבים את לשון הגט לקטנה המתגרשת ע"י אביה:</w:t>
      </w:r>
      <w:r>
        <w:rPr>
          <w:rtl/>
        </w:rPr>
        <w:t xml:space="preserve"> </w:t>
      </w:r>
    </w:p>
    <w:p w14:paraId="04BD0596" w14:textId="133152DB" w:rsidR="00FA2119" w:rsidRDefault="00FA2119" w:rsidP="006A458D">
      <w:pPr>
        <w:pStyle w:val="ab"/>
        <w:numPr>
          <w:ilvl w:val="0"/>
          <w:numId w:val="102"/>
        </w:numPr>
        <w:rPr>
          <w:rtl/>
        </w:rPr>
      </w:pPr>
      <w:r>
        <w:rPr>
          <w:rFonts w:cs="Arial"/>
          <w:rtl/>
        </w:rPr>
        <w:t xml:space="preserve">ר"ן </w:t>
      </w:r>
      <w:r>
        <w:rPr>
          <w:rFonts w:cs="Arial"/>
          <w:sz w:val="16"/>
          <w:szCs w:val="16"/>
          <w:rtl/>
        </w:rPr>
        <w:t xml:space="preserve">(ה. ד"ה וכתב הרמב"ן, הביאו </w:t>
      </w:r>
      <w:r>
        <w:rPr>
          <w:sz w:val="16"/>
          <w:szCs w:val="16"/>
          <w:rtl/>
        </w:rPr>
        <w:t>הב"י בבדה"ב</w:t>
      </w:r>
      <w:r>
        <w:rPr>
          <w:rFonts w:cs="Arial"/>
          <w:sz w:val="16"/>
          <w:szCs w:val="16"/>
          <w:rtl/>
        </w:rPr>
        <w:t>)</w:t>
      </w:r>
      <w:r w:rsidR="00A82951">
        <w:rPr>
          <w:rFonts w:cs="Arial"/>
          <w:rtl/>
        </w:rPr>
        <w:t>-</w:t>
      </w:r>
      <w:r>
        <w:rPr>
          <w:rFonts w:cs="Arial"/>
          <w:rtl/>
        </w:rPr>
        <w:t xml:space="preserve"> אמר רבא אמר רב נחמן (שם ט.) כתב לו על הנייר או על החרס בתך מקודשת לי וכו', ולפי זה אף הקטנה המתגרשת ע"י אביה צריך לכתוב בגט 'בתך פלונית'. זהו מה שאני חוכך בזה להחמיר.</w:t>
      </w:r>
    </w:p>
    <w:p w14:paraId="628C0B67" w14:textId="68957B8A" w:rsidR="00FA2119" w:rsidRDefault="00FA2119" w:rsidP="006A458D">
      <w:pPr>
        <w:pStyle w:val="ab"/>
        <w:numPr>
          <w:ilvl w:val="0"/>
          <w:numId w:val="102"/>
        </w:numPr>
      </w:pPr>
      <w:r>
        <w:rPr>
          <w:rFonts w:cs="Arial"/>
          <w:rtl/>
        </w:rPr>
        <w:t>ב"י</w:t>
      </w:r>
      <w:r w:rsidR="00A82951">
        <w:rPr>
          <w:rFonts w:cs="Arial"/>
          <w:rtl/>
        </w:rPr>
        <w:t>-</w:t>
      </w:r>
      <w:r>
        <w:rPr>
          <w:rFonts w:cs="Arial"/>
          <w:rtl/>
        </w:rPr>
        <w:t xml:space="preserve"> שמעתי כי בפני הרב ה"ר אליה מזרחי ז"ל נתגרשה קטנה על ידי אביה וצוה להכתיב שני גיטין, אחד בנוסח הפשוט, ואחר שהנוסח שלו כמדבר עם האב 'ותרוכית ית ברתך פלונית דהות ארוסתי מקדמת דנא וכדו פטרית ותרוכית יתה דתהוי רשאה ושלטאה בנפשה למהך להתנסבא לכל גבר דתיצביי', וכן כל שאר לשונות הגט בלשון נסתר לאשה ובלשון נוכח לאב. וכן כתב הרב רבי לוי ן' חביב ז"ל (שם סי' נה) ששמע בשם הרב הנזכר</w:t>
      </w:r>
      <w:r>
        <w:rPr>
          <w:rStyle w:val="a7"/>
          <w:rFonts w:cs="Arial"/>
          <w:rtl/>
        </w:rPr>
        <w:footnoteReference w:id="1847"/>
      </w:r>
      <w:r>
        <w:rPr>
          <w:rFonts w:cs="Arial"/>
          <w:rtl/>
        </w:rPr>
        <w:t xml:space="preserve">. </w:t>
      </w:r>
      <w:r>
        <w:rPr>
          <w:color w:val="E36C0A" w:themeColor="accent6" w:themeShade="BF"/>
          <w:rtl/>
        </w:rPr>
        <w:t>(וכ"פ בשו"ע</w:t>
      </w:r>
      <w:r>
        <w:rPr>
          <w:color w:val="E36C0A" w:themeColor="accent6" w:themeShade="BF"/>
          <w:sz w:val="16"/>
          <w:szCs w:val="16"/>
          <w:rtl/>
        </w:rPr>
        <w:t xml:space="preserve"> </w:t>
      </w:r>
      <w:r>
        <w:rPr>
          <w:sz w:val="16"/>
          <w:szCs w:val="16"/>
          <w:rtl/>
        </w:rPr>
        <w:t>[סדר הגט סע' צו]</w:t>
      </w:r>
      <w:r>
        <w:rPr>
          <w:color w:val="E36C0A" w:themeColor="accent6" w:themeShade="BF"/>
          <w:rtl/>
        </w:rPr>
        <w:t>)</w:t>
      </w:r>
    </w:p>
    <w:p w14:paraId="319E6C4C" w14:textId="30F824B7" w:rsidR="00FA2119" w:rsidRDefault="00FA2119" w:rsidP="006A458D">
      <w:pPr>
        <w:pStyle w:val="ab"/>
        <w:numPr>
          <w:ilvl w:val="0"/>
          <w:numId w:val="102"/>
        </w:numPr>
      </w:pPr>
      <w:r>
        <w:rPr>
          <w:rFonts w:cs="Arial"/>
          <w:rtl/>
        </w:rPr>
        <w:t>תרוה"ד</w:t>
      </w:r>
      <w:r>
        <w:rPr>
          <w:rFonts w:cs="Arial"/>
          <w:sz w:val="16"/>
          <w:szCs w:val="16"/>
          <w:rtl/>
        </w:rPr>
        <w:t xml:space="preserve"> (פסקים סי' מו, כ"כ הדרכ"מ [אות ג] בשמו)</w:t>
      </w:r>
      <w:r>
        <w:rPr>
          <w:rFonts w:cs="Arial"/>
          <w:rtl/>
        </w:rPr>
        <w:t xml:space="preserve"> ומהר"ם פאדו"ה </w:t>
      </w:r>
      <w:r>
        <w:rPr>
          <w:rFonts w:cs="Arial"/>
          <w:sz w:val="16"/>
          <w:szCs w:val="16"/>
          <w:rtl/>
        </w:rPr>
        <w:t>(סי' ג, עי' שם ובסי' א, כ"כ הדרכ"מ [שם] בשמו)</w:t>
      </w:r>
      <w:r w:rsidR="00A82951">
        <w:rPr>
          <w:rFonts w:cs="Arial"/>
          <w:rtl/>
        </w:rPr>
        <w:t>-</w:t>
      </w:r>
      <w:r>
        <w:rPr>
          <w:rFonts w:cs="Arial"/>
          <w:rtl/>
        </w:rPr>
        <w:t xml:space="preserve"> שפיר עבדו מהר"ם וחביריו שכתבו גט זה בלשון נוכח כלפי הבת המתגרשת, וכשר הדבר ותעשה כן לכתחלה, ולמעורר מזכיר גזירת הקדמונים ר"ת והרבה גדולים שהיו בימיו, שהחרימו חרם חמור שלא להוציא שום לעז על הגט לאחר שניתן. ואומר אני כי פורץ גדר זה ינשכנו נחש, ויהא מוחזק לי למוחרם גמור מאן דהוא ואיך שהוא שמו, המוציא ומחזיק וכל בית ישראל יהיו נקיים</w:t>
      </w:r>
      <w:r>
        <w:rPr>
          <w:rStyle w:val="a7"/>
          <w:rFonts w:cs="Arial"/>
          <w:rtl/>
        </w:rPr>
        <w:footnoteReference w:id="1848"/>
      </w:r>
      <w:r>
        <w:rPr>
          <w:rFonts w:cs="Arial"/>
          <w:sz w:val="16"/>
          <w:szCs w:val="16"/>
          <w:rtl/>
        </w:rPr>
        <w:t xml:space="preserve"> (ל' תרוה"ד)</w:t>
      </w:r>
      <w:r>
        <w:rPr>
          <w:rFonts w:cs="Arial"/>
          <w:rtl/>
        </w:rPr>
        <w:t>.</w:t>
      </w:r>
    </w:p>
    <w:p w14:paraId="25AD7F72"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BFEF81B" w14:textId="77777777" w:rsidR="00FA2119" w:rsidRDefault="00FA2119" w:rsidP="00FA2119">
      <w:pPr>
        <w:rPr>
          <w:rFonts w:cs="Arial"/>
          <w:rtl/>
        </w:rPr>
      </w:pPr>
      <w:r>
        <w:rPr>
          <w:rFonts w:cs="Arial"/>
          <w:rtl/>
        </w:rPr>
        <w:t xml:space="preserve">המקדש קטנה על ידי אביה, וגרשה כשהיא קטנה </w:t>
      </w:r>
      <w:r>
        <w:rPr>
          <w:rFonts w:cs="Arial"/>
          <w:sz w:val="18"/>
          <w:szCs w:val="18"/>
          <w:rtl/>
        </w:rPr>
        <w:t>[הגה] בעודה ארוסה ואביה חי (טור)</w:t>
      </w:r>
      <w:r>
        <w:rPr>
          <w:rFonts w:cs="Arial"/>
          <w:rtl/>
        </w:rPr>
        <w:t>, אביה מקבל גיטה, ולא היא שלא מדעתו</w:t>
      </w:r>
      <w:r>
        <w:rPr>
          <w:rStyle w:val="a7"/>
          <w:rFonts w:cs="Arial"/>
          <w:rtl/>
        </w:rPr>
        <w:footnoteReference w:id="1849"/>
      </w:r>
      <w:r>
        <w:rPr>
          <w:rFonts w:cs="Arial"/>
          <w:rtl/>
        </w:rPr>
        <w:t>. ויש אומרים</w:t>
      </w:r>
      <w:r>
        <w:rPr>
          <w:rStyle w:val="a7"/>
          <w:rFonts w:cs="Arial"/>
          <w:rtl/>
        </w:rPr>
        <w:footnoteReference w:id="1850"/>
      </w:r>
      <w:r>
        <w:rPr>
          <w:rFonts w:cs="Arial"/>
          <w:rtl/>
        </w:rPr>
        <w:t xml:space="preserve"> שהיא יכולה לקבל גיטה.</w:t>
      </w:r>
    </w:p>
    <w:p w14:paraId="4F80E66B" w14:textId="77777777" w:rsidR="00FA2119" w:rsidRDefault="00FA2119" w:rsidP="00FA2119">
      <w:pPr>
        <w:rPr>
          <w:rtl/>
        </w:rPr>
      </w:pPr>
      <w:r>
        <w:rPr>
          <w:rFonts w:cs="Arial"/>
          <w:rtl/>
        </w:rPr>
        <w:t xml:space="preserve"> </w:t>
      </w:r>
    </w:p>
    <w:p w14:paraId="1F148312" w14:textId="77777777" w:rsidR="00FA2119" w:rsidRDefault="00FA2119" w:rsidP="00FA2119">
      <w:pPr>
        <w:pStyle w:val="2"/>
        <w:rPr>
          <w:rtl/>
        </w:rPr>
      </w:pPr>
      <w:r>
        <w:rPr>
          <w:rtl/>
        </w:rPr>
        <w:t>סעיף ה: קטנה שנשאת.</w:t>
      </w:r>
    </w:p>
    <w:p w14:paraId="70F5081A" w14:textId="77777777" w:rsidR="00FA2119" w:rsidRDefault="00FA2119" w:rsidP="00FA2119">
      <w:pPr>
        <w:rPr>
          <w:rFonts w:cs="Arial"/>
          <w:rtl/>
        </w:rPr>
      </w:pPr>
      <w:r>
        <w:rPr>
          <w:rFonts w:cs="Arial"/>
          <w:b/>
          <w:bCs/>
          <w:rtl/>
        </w:rPr>
        <w:t>ירושלמי תרומות פ"ח ה"א:</w:t>
      </w:r>
      <w:r>
        <w:rPr>
          <w:rFonts w:cs="Arial"/>
          <w:rtl/>
        </w:rPr>
        <w:t xml:space="preserve"> </w:t>
      </w:r>
      <w:r>
        <w:rPr>
          <w:rFonts w:cs="Arial"/>
          <w:u w:val="double"/>
          <w:rtl/>
        </w:rPr>
        <w:t>מתני'</w:t>
      </w:r>
      <w:r>
        <w:rPr>
          <w:rFonts w:cs="Arial"/>
          <w:rtl/>
        </w:rPr>
        <w:t xml:space="preserve">: האשה שהיתה אוכלת בתרומה ובאו ואמרו לה מת בעליך או גירשך... </w:t>
      </w:r>
      <w:r>
        <w:rPr>
          <w:rFonts w:cs="Arial"/>
          <w:u w:val="single"/>
          <w:rtl/>
        </w:rPr>
        <w:t>ר"א</w:t>
      </w:r>
      <w:r>
        <w:rPr>
          <w:rFonts w:cs="Arial"/>
          <w:rtl/>
        </w:rPr>
        <w:t xml:space="preserve"> מחייב קרן וחומש, </w:t>
      </w:r>
      <w:r>
        <w:rPr>
          <w:rFonts w:cs="Arial"/>
          <w:u w:val="single"/>
          <w:rtl/>
        </w:rPr>
        <w:t>ור' יהושע</w:t>
      </w:r>
      <w:r>
        <w:rPr>
          <w:rFonts w:cs="Arial"/>
          <w:rtl/>
        </w:rPr>
        <w:t xml:space="preserve"> פוטר...      </w:t>
      </w:r>
      <w:r>
        <w:rPr>
          <w:rFonts w:cs="Arial"/>
          <w:u w:val="double"/>
          <w:rtl/>
        </w:rPr>
        <w:t>גמ'</w:t>
      </w:r>
      <w:r>
        <w:rPr>
          <w:rFonts w:cs="Arial"/>
          <w:rtl/>
        </w:rPr>
        <w:t>: האשה שהיתה אוכלת בתרומה כו'. ניחא מת בעליך, גירשך</w:t>
      </w:r>
      <w:r>
        <w:rPr>
          <w:rStyle w:val="a7"/>
          <w:rFonts w:cs="Arial"/>
          <w:rtl/>
        </w:rPr>
        <w:footnoteReference w:id="1851"/>
      </w:r>
      <w:r>
        <w:rPr>
          <w:rFonts w:cs="Arial"/>
          <w:rtl/>
        </w:rPr>
        <w:t xml:space="preserve">? </w:t>
      </w:r>
      <w:r>
        <w:rPr>
          <w:rFonts w:cs="Arial"/>
          <w:u w:val="single"/>
          <w:rtl/>
        </w:rPr>
        <w:t>רבנן אמרין</w:t>
      </w:r>
      <w:r>
        <w:rPr>
          <w:rFonts w:cs="Arial"/>
          <w:rtl/>
        </w:rPr>
        <w:t>: כמשנה ראשונה</w:t>
      </w:r>
      <w:r>
        <w:rPr>
          <w:rStyle w:val="a7"/>
          <w:rFonts w:cs="Arial"/>
          <w:rtl/>
        </w:rPr>
        <w:footnoteReference w:id="1852"/>
      </w:r>
      <w:r>
        <w:rPr>
          <w:rFonts w:cs="Arial"/>
          <w:rtl/>
        </w:rPr>
        <w:t xml:space="preserve">, שכן ארוסה בת ישראל אוכלת בתרומה ואביה מקבל את גיטה. </w:t>
      </w:r>
      <w:r>
        <w:rPr>
          <w:rFonts w:cs="Arial"/>
          <w:u w:val="single"/>
          <w:rtl/>
        </w:rPr>
        <w:t>רבי לעזר אומר</w:t>
      </w:r>
      <w:r>
        <w:rPr>
          <w:rFonts w:cs="Arial"/>
          <w:rtl/>
        </w:rPr>
        <w:t xml:space="preserve">: ואפילו תימר </w:t>
      </w:r>
      <w:r>
        <w:rPr>
          <w:rFonts w:cs="Arial"/>
          <w:rtl/>
        </w:rPr>
        <w:lastRenderedPageBreak/>
        <w:t>כמשנה אחרונה</w:t>
      </w:r>
      <w:r>
        <w:rPr>
          <w:rStyle w:val="a7"/>
          <w:rFonts w:cs="Arial"/>
          <w:rtl/>
        </w:rPr>
        <w:footnoteReference w:id="1853"/>
      </w:r>
      <w:r>
        <w:rPr>
          <w:rFonts w:cs="Arial"/>
          <w:rtl/>
        </w:rPr>
        <w:t xml:space="preserve">, תפתר שאמרה לו הבא גיטי ממקום פלוני והיה דרכו להביא לה בעשרה ימים ומצא סוס רץ והביא לה לחמשה ימים. </w:t>
      </w:r>
      <w:r>
        <w:rPr>
          <w:rFonts w:cs="Arial"/>
          <w:sz w:val="16"/>
          <w:szCs w:val="16"/>
          <w:rtl/>
        </w:rPr>
        <w:t xml:space="preserve">(והשתא מדדחיק לאוקמי כמשנה אחרונה וכגון שאמרה התקבל וכו' ולא מוקי לה בשנשאת כשהיא קטנה ואביה מקבל את גיטה, משמע דמשנשאת אף כי היא קטנה אין אביה מקבל גיטה, ר"י (בתוס' קידושין י. ד"ה ומקבל) </w:t>
      </w:r>
      <w:r>
        <w:rPr>
          <w:rFonts w:cs="Arial"/>
          <w:rtl/>
        </w:rPr>
        <w:t xml:space="preserve"> </w:t>
      </w:r>
    </w:p>
    <w:p w14:paraId="0344C0FD" w14:textId="5F8ECFD7" w:rsidR="00FA2119" w:rsidRDefault="00FA2119" w:rsidP="00FA2119">
      <w:pPr>
        <w:rPr>
          <w:rFonts w:cs="Arial"/>
          <w:rtl/>
        </w:rPr>
      </w:pPr>
      <w:r>
        <w:rPr>
          <w:rFonts w:cs="Arial"/>
          <w:u w:val="single"/>
          <w:rtl/>
        </w:rPr>
        <w:t xml:space="preserve">קטנה שנשאת </w:t>
      </w:r>
      <w:r w:rsidR="00A82951">
        <w:rPr>
          <w:rFonts w:cs="Arial"/>
          <w:u w:val="single"/>
          <w:rtl/>
        </w:rPr>
        <w:t>-</w:t>
      </w:r>
      <w:r>
        <w:rPr>
          <w:rFonts w:cs="Arial"/>
          <w:u w:val="single"/>
          <w:rtl/>
        </w:rPr>
        <w:t xml:space="preserve"> האם אביה יכול לקבל גיטה:</w:t>
      </w:r>
    </w:p>
    <w:p w14:paraId="7FAC60FB" w14:textId="26C9ABF8" w:rsidR="00FA2119" w:rsidRDefault="00FA2119" w:rsidP="006A458D">
      <w:pPr>
        <w:pStyle w:val="ab"/>
        <w:numPr>
          <w:ilvl w:val="0"/>
          <w:numId w:val="102"/>
        </w:numPr>
        <w:rPr>
          <w:rtl/>
        </w:rPr>
      </w:pPr>
      <w:r>
        <w:rPr>
          <w:rFonts w:cs="Arial"/>
          <w:rtl/>
        </w:rPr>
        <w:t xml:space="preserve">תוס' </w:t>
      </w:r>
      <w:r>
        <w:rPr>
          <w:rFonts w:cs="Arial"/>
          <w:sz w:val="16"/>
          <w:szCs w:val="16"/>
          <w:rtl/>
        </w:rPr>
        <w:t>(פ"ק דקידושין י. ד"ה ומקבל את גיטה)</w:t>
      </w:r>
      <w:r>
        <w:rPr>
          <w:rFonts w:cs="Arial"/>
          <w:rtl/>
        </w:rPr>
        <w:t xml:space="preserve"> ור"ן </w:t>
      </w:r>
      <w:r>
        <w:rPr>
          <w:rFonts w:cs="Arial"/>
          <w:sz w:val="16"/>
          <w:szCs w:val="16"/>
          <w:rtl/>
        </w:rPr>
        <w:t>(פרק התקבל ל: ד"ה נערה)</w:t>
      </w:r>
      <w:r w:rsidR="00A82951">
        <w:rPr>
          <w:rFonts w:cs="Arial"/>
          <w:rtl/>
        </w:rPr>
        <w:t>-</w:t>
      </w:r>
      <w:r>
        <w:rPr>
          <w:rFonts w:cs="Arial"/>
          <w:rtl/>
        </w:rPr>
        <w:t xml:space="preserve"> יש להסתפק אם יכול האב לקבל גט לבתו קטנה משנשאת</w:t>
      </w:r>
      <w:r w:rsidR="00FE0B21">
        <w:rPr>
          <w:rFonts w:cs="Arial" w:hint="cs"/>
          <w:rtl/>
        </w:rPr>
        <w:t>.</w:t>
      </w:r>
      <w:r>
        <w:rPr>
          <w:rFonts w:cs="Arial"/>
          <w:rtl/>
        </w:rPr>
        <w:t xml:space="preserve"> ונראה למורי הר"ר יצחק דמשנשאת אין האב יכול לקבל לה גט ואפילו היא קטנה</w:t>
      </w:r>
      <w:r w:rsidR="00FE0B21">
        <w:rPr>
          <w:rFonts w:cs="Arial" w:hint="cs"/>
          <w:rtl/>
        </w:rPr>
        <w:t>,</w:t>
      </w:r>
      <w:r>
        <w:rPr>
          <w:rFonts w:cs="Arial"/>
          <w:rtl/>
        </w:rPr>
        <w:t xml:space="preserve"> ומביא ראיה מהא דתנן בירושלמי במסכת תרומות בפ"ח... משמע דמשנשאת אף כי היא קטנה אין אביה מקבל גיטה</w:t>
      </w:r>
      <w:r>
        <w:rPr>
          <w:rFonts w:cs="Arial"/>
          <w:sz w:val="16"/>
          <w:szCs w:val="16"/>
          <w:rtl/>
        </w:rPr>
        <w:t xml:space="preserve"> (ל' התוס')</w:t>
      </w:r>
      <w:r>
        <w:rPr>
          <w:rFonts w:cs="Arial"/>
          <w:rtl/>
        </w:rPr>
        <w:t>.</w:t>
      </w:r>
      <w:r>
        <w:rPr>
          <w:rFonts w:cs="Arial"/>
          <w:color w:val="E36C0A" w:themeColor="accent6" w:themeShade="BF"/>
          <w:rtl/>
        </w:rPr>
        <w:t xml:space="preserve"> (וכ"פ בשו"ע)</w:t>
      </w:r>
    </w:p>
    <w:p w14:paraId="13116A6F"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E2CE870" w14:textId="77777777" w:rsidR="00FA2119" w:rsidRDefault="00FA2119" w:rsidP="00FA2119">
      <w:pPr>
        <w:rPr>
          <w:rtl/>
        </w:rPr>
      </w:pPr>
      <w:r>
        <w:rPr>
          <w:rFonts w:cs="Arial"/>
          <w:rtl/>
        </w:rPr>
        <w:t xml:space="preserve">נשאת, אין אביה יכול לקבל גיטה. </w:t>
      </w:r>
    </w:p>
    <w:p w14:paraId="3BDDC86F" w14:textId="77777777" w:rsidR="00FA2119" w:rsidRDefault="00FA2119" w:rsidP="00FA2119">
      <w:pPr>
        <w:rPr>
          <w:rtl/>
        </w:rPr>
      </w:pPr>
    </w:p>
    <w:p w14:paraId="465F298F" w14:textId="14235168" w:rsidR="00FA2119" w:rsidRDefault="00FA2119" w:rsidP="00FA2119">
      <w:pPr>
        <w:pStyle w:val="2"/>
        <w:rPr>
          <w:rtl/>
        </w:rPr>
      </w:pPr>
      <w:r>
        <w:rPr>
          <w:rtl/>
        </w:rPr>
        <w:t xml:space="preserve">סעיף ו: קטנה </w:t>
      </w:r>
      <w:r w:rsidR="00A82951">
        <w:rPr>
          <w:rtl/>
        </w:rPr>
        <w:t>-</w:t>
      </w:r>
      <w:r>
        <w:rPr>
          <w:rtl/>
        </w:rPr>
        <w:t xml:space="preserve"> ממתי יכולה להתגרש.</w:t>
      </w:r>
    </w:p>
    <w:p w14:paraId="4BCA279E" w14:textId="5CF09D5E" w:rsidR="00FA2119" w:rsidRDefault="00FA2119" w:rsidP="00FA2119">
      <w:pPr>
        <w:rPr>
          <w:rtl/>
        </w:rPr>
      </w:pPr>
      <w:r>
        <w:rPr>
          <w:rFonts w:cs="Arial"/>
          <w:b/>
          <w:bCs/>
          <w:rtl/>
        </w:rPr>
        <w:t xml:space="preserve">גיטין </w:t>
      </w:r>
      <w:r>
        <w:rPr>
          <w:rFonts w:cs="Arial"/>
          <w:b/>
          <w:bCs/>
          <w:sz w:val="16"/>
          <w:szCs w:val="16"/>
          <w:rtl/>
        </w:rPr>
        <w:t>(פ' התקבל)</w:t>
      </w:r>
      <w:r>
        <w:rPr>
          <w:rFonts w:cs="Arial"/>
          <w:b/>
          <w:bCs/>
          <w:rtl/>
        </w:rPr>
        <w:t xml:space="preserve"> סד</w:t>
      </w:r>
      <w:r w:rsidR="00720E34">
        <w:rPr>
          <w:rStyle w:val="a7"/>
          <w:rFonts w:cs="Arial"/>
          <w:b/>
          <w:bCs/>
          <w:rtl/>
        </w:rPr>
        <w:footnoteReference w:id="1854"/>
      </w:r>
      <w:r>
        <w:rPr>
          <w:rFonts w:cs="Arial"/>
          <w:b/>
          <w:bCs/>
          <w:rtl/>
        </w:rPr>
        <w:t xml:space="preserve"> ע"ב:</w:t>
      </w:r>
      <w:r>
        <w:rPr>
          <w:rFonts w:cs="Arial"/>
          <w:rtl/>
        </w:rPr>
        <w:t xml:space="preserve"> </w:t>
      </w:r>
      <w:r>
        <w:rPr>
          <w:rFonts w:cs="Arial"/>
          <w:u w:val="double"/>
          <w:rtl/>
        </w:rPr>
        <w:t>מתני'</w:t>
      </w:r>
      <w:r>
        <w:rPr>
          <w:rFonts w:cs="Arial"/>
          <w:rtl/>
        </w:rPr>
        <w:t>:.. וכל שאינה יכולה לשמור את גיטה, אינה יכולה להתגרש.</w:t>
      </w:r>
      <w:r>
        <w:rPr>
          <w:rtl/>
        </w:rPr>
        <w:t xml:space="preserve">       </w:t>
      </w:r>
      <w:r>
        <w:rPr>
          <w:u w:val="double"/>
          <w:rtl/>
        </w:rPr>
        <w:t>גמ'</w:t>
      </w:r>
      <w:r>
        <w:rPr>
          <w:rtl/>
        </w:rPr>
        <w:t xml:space="preserve">: </w:t>
      </w:r>
      <w:r>
        <w:rPr>
          <w:rFonts w:cs="Arial"/>
          <w:rtl/>
        </w:rPr>
        <w:t xml:space="preserve">וכל שאינה יכולה לשמור את גיטה. ת"ר: קטנה היודעת לשמור את גיטה </w:t>
      </w:r>
      <w:r w:rsidR="00A82951">
        <w:rPr>
          <w:rFonts w:cs="Arial"/>
          <w:rtl/>
        </w:rPr>
        <w:t>-</w:t>
      </w:r>
      <w:r>
        <w:rPr>
          <w:rFonts w:cs="Arial"/>
          <w:rtl/>
        </w:rPr>
        <w:t xml:space="preserve"> מתגרשת, ושאינה יודעת לשמור את גיטה </w:t>
      </w:r>
      <w:r w:rsidR="00A82951">
        <w:rPr>
          <w:rFonts w:cs="Arial"/>
          <w:rtl/>
        </w:rPr>
        <w:t>-</w:t>
      </w:r>
      <w:r>
        <w:rPr>
          <w:rFonts w:cs="Arial"/>
          <w:rtl/>
        </w:rPr>
        <w:t xml:space="preserve"> אינה מתגרשת</w:t>
      </w:r>
      <w:r>
        <w:rPr>
          <w:rStyle w:val="a7"/>
          <w:rFonts w:cs="Arial"/>
          <w:rtl/>
        </w:rPr>
        <w:footnoteReference w:id="1855"/>
      </w:r>
      <w:r>
        <w:rPr>
          <w:rFonts w:cs="Arial"/>
          <w:rtl/>
        </w:rPr>
        <w:t xml:space="preserve">, ואיזו היא קטנה יודעת לשמור את גיטה? כל שמשמרת גיטה ודבר אחר. מאי קאמר? </w:t>
      </w:r>
      <w:r>
        <w:rPr>
          <w:rFonts w:cs="Arial"/>
          <w:u w:val="single"/>
          <w:rtl/>
        </w:rPr>
        <w:t>א"ר יוחנן, ה"ק</w:t>
      </w:r>
      <w:r>
        <w:rPr>
          <w:rFonts w:cs="Arial"/>
          <w:rtl/>
        </w:rPr>
        <w:t>: כל שמשמרת דבר אחר מחמת גיטה</w:t>
      </w:r>
      <w:r>
        <w:rPr>
          <w:rStyle w:val="a7"/>
          <w:rFonts w:cs="Arial"/>
          <w:rtl/>
        </w:rPr>
        <w:footnoteReference w:id="1856"/>
      </w:r>
      <w:r>
        <w:rPr>
          <w:rFonts w:cs="Arial"/>
          <w:rtl/>
        </w:rPr>
        <w:t xml:space="preserve">. </w:t>
      </w:r>
      <w:r>
        <w:rPr>
          <w:rFonts w:cs="Arial"/>
          <w:u w:val="single"/>
          <w:rtl/>
        </w:rPr>
        <w:t>מתקיף לה רב הונא בר מנוח</w:t>
      </w:r>
      <w:r>
        <w:rPr>
          <w:rFonts w:cs="Arial"/>
          <w:rtl/>
        </w:rPr>
        <w:t xml:space="preserve">: הא שוטה בעלמא היא! </w:t>
      </w:r>
      <w:r>
        <w:rPr>
          <w:rFonts w:cs="Arial"/>
          <w:u w:val="single"/>
          <w:rtl/>
        </w:rPr>
        <w:t>אלא אמר רב הונא בר מנוח משמיה דרב אחא בריה דרב איקא</w:t>
      </w:r>
      <w:r>
        <w:rPr>
          <w:rFonts w:cs="Arial"/>
          <w:rtl/>
        </w:rPr>
        <w:t>: כל שמבחנת בין גיטה לדבר אחר.</w:t>
      </w:r>
      <w:r>
        <w:rPr>
          <w:rtl/>
        </w:rPr>
        <w:t xml:space="preserve">.. </w:t>
      </w:r>
      <w:r>
        <w:rPr>
          <w:rFonts w:cs="Arial"/>
          <w:sz w:val="14"/>
          <w:szCs w:val="14"/>
          <w:rtl/>
        </w:rPr>
        <w:t xml:space="preserve">(סה.) </w:t>
      </w:r>
      <w:r>
        <w:rPr>
          <w:rFonts w:cs="Arial"/>
          <w:u w:val="single"/>
          <w:rtl/>
        </w:rPr>
        <w:t>אמר רבא</w:t>
      </w:r>
      <w:r>
        <w:rPr>
          <w:rFonts w:cs="Arial"/>
          <w:rtl/>
        </w:rPr>
        <w:t xml:space="preserve">: ג' מדות בקטן. צרור וזורקו, אגוז ונוטלו </w:t>
      </w:r>
      <w:r w:rsidR="00A82951">
        <w:rPr>
          <w:rFonts w:cs="Arial"/>
          <w:rtl/>
        </w:rPr>
        <w:t>-</w:t>
      </w:r>
      <w:r>
        <w:rPr>
          <w:rFonts w:cs="Arial"/>
          <w:rtl/>
        </w:rPr>
        <w:t xml:space="preserve"> זוכה לעצמו ואין זוכה לאחרים, וכנגדן בקטנה </w:t>
      </w:r>
      <w:r w:rsidR="00A82951">
        <w:rPr>
          <w:rFonts w:cs="Arial"/>
          <w:rtl/>
        </w:rPr>
        <w:t>-</w:t>
      </w:r>
      <w:r>
        <w:rPr>
          <w:rFonts w:cs="Arial"/>
          <w:rtl/>
        </w:rPr>
        <w:t xml:space="preserve"> מתקדשת למיאון. הפעוטות </w:t>
      </w:r>
      <w:r w:rsidR="00A82951">
        <w:rPr>
          <w:rFonts w:cs="Arial"/>
          <w:rtl/>
        </w:rPr>
        <w:t>-</w:t>
      </w:r>
      <w:r>
        <w:rPr>
          <w:rFonts w:cs="Arial"/>
          <w:rtl/>
        </w:rPr>
        <w:t xml:space="preserve"> מקחן מקח וממכרן ממכר במטלטלין, וכנגדן בקטנה </w:t>
      </w:r>
      <w:r w:rsidR="00A82951">
        <w:rPr>
          <w:rFonts w:cs="Arial"/>
          <w:rtl/>
        </w:rPr>
        <w:t>-</w:t>
      </w:r>
      <w:r>
        <w:rPr>
          <w:rFonts w:cs="Arial"/>
          <w:rtl/>
        </w:rPr>
        <w:t xml:space="preserve"> מתגרשת בקידושי אביה. הגיעו לעונת נדרים </w:t>
      </w:r>
      <w:r w:rsidR="00A82951">
        <w:rPr>
          <w:rFonts w:cs="Arial"/>
          <w:rtl/>
        </w:rPr>
        <w:t>-</w:t>
      </w:r>
      <w:r>
        <w:rPr>
          <w:rFonts w:cs="Arial"/>
          <w:rtl/>
        </w:rPr>
        <w:t xml:space="preserve"> נדריהן נדר והקדשן הקדש, וכנגדן בקטנה </w:t>
      </w:r>
      <w:r w:rsidR="00A82951">
        <w:rPr>
          <w:rFonts w:cs="Arial"/>
          <w:rtl/>
        </w:rPr>
        <w:t>-</w:t>
      </w:r>
      <w:r>
        <w:rPr>
          <w:rFonts w:cs="Arial"/>
          <w:rtl/>
        </w:rPr>
        <w:t xml:space="preserve"> חולצת. ולמכור בנכסי אביו, עד שיהא בן עשרים.</w:t>
      </w:r>
      <w:r>
        <w:rPr>
          <w:rFonts w:cs="Arial"/>
          <w:sz w:val="16"/>
          <w:szCs w:val="16"/>
          <w:rtl/>
        </w:rPr>
        <w:t xml:space="preserve"> (והרי"ף (לא.) והרשב"א (ד"ה אמר רבא) מחליפים הגירסא דבמדה ראשונה גורסין 'וכנגדו בקטנה מתגרשת בקידושי אביה', ובמדה שנייה גורסין 'וכנגדו בקטנה מתקדשת למיאון'</w:t>
      </w:r>
      <w:r>
        <w:rPr>
          <w:rFonts w:cs="Arial"/>
          <w:sz w:val="14"/>
          <w:szCs w:val="14"/>
          <w:rtl/>
        </w:rPr>
        <w:t xml:space="preserve"> </w:t>
      </w:r>
      <w:r>
        <w:rPr>
          <w:rFonts w:cs="Arial"/>
          <w:color w:val="E36C0A" w:themeColor="accent6" w:themeShade="BF"/>
          <w:sz w:val="14"/>
          <w:szCs w:val="14"/>
          <w:rtl/>
        </w:rPr>
        <w:t>(וכ"פ בשו"ע</w:t>
      </w:r>
      <w:r>
        <w:rPr>
          <w:rFonts w:cs="Arial"/>
          <w:color w:val="E36C0A" w:themeColor="accent6" w:themeShade="BF"/>
          <w:sz w:val="12"/>
          <w:szCs w:val="12"/>
          <w:rtl/>
        </w:rPr>
        <w:t xml:space="preserve"> </w:t>
      </w:r>
      <w:r>
        <w:rPr>
          <w:rFonts w:cs="Arial"/>
          <w:color w:val="000000" w:themeColor="text1"/>
          <w:sz w:val="12"/>
          <w:szCs w:val="12"/>
          <w:rtl/>
        </w:rPr>
        <w:t>[סדר הגט סע' צה]</w:t>
      </w:r>
      <w:r>
        <w:rPr>
          <w:rFonts w:cs="Arial"/>
          <w:color w:val="E36C0A" w:themeColor="accent6" w:themeShade="BF"/>
          <w:sz w:val="14"/>
          <w:szCs w:val="14"/>
          <w:rtl/>
        </w:rPr>
        <w:t>)</w:t>
      </w:r>
      <w:r>
        <w:rPr>
          <w:rFonts w:cs="Arial"/>
          <w:sz w:val="16"/>
          <w:szCs w:val="16"/>
          <w:rtl/>
        </w:rPr>
        <w:t>. וכתב הרא"ש (סי' יא) דטפי מסתבר כגירסת רש"י. וכן דעת התוספות (סד: ד"ה כל) שכתבו כל שמבחנת בין גיטה לדבר אחר היינו בפעוטות כדאמרינן לקמן וכנגדן בקטנה מתגרשת. וכתב הר"ן (לא. דיבור ראשון) שכן גורס הרז"ה (ל:). והרמב"ם בפ"ב (הי"ט) סתם דבריו וכתב אם מבחנת בין גיטה לדבר אחר הרי זו מגורשת משיגיע הגט לידה. ומכל מקום נראה שדעתו נוטה לגירסת רי"ף</w:t>
      </w:r>
      <w:r>
        <w:rPr>
          <w:rStyle w:val="a7"/>
          <w:rFonts w:cs="Arial"/>
          <w:sz w:val="16"/>
          <w:szCs w:val="16"/>
          <w:rtl/>
        </w:rPr>
        <w:footnoteReference w:id="1857"/>
      </w:r>
      <w:r>
        <w:rPr>
          <w:rFonts w:cs="Arial"/>
          <w:sz w:val="16"/>
          <w:szCs w:val="16"/>
          <w:rtl/>
        </w:rPr>
        <w:t>... ורבינו סתם דבריו כדעת הרא"ש, ב"י)</w:t>
      </w:r>
    </w:p>
    <w:p w14:paraId="255EBBFB" w14:textId="20F52CA2" w:rsidR="00FA2119" w:rsidRDefault="00FA2119" w:rsidP="00FA2119">
      <w:pPr>
        <w:rPr>
          <w:rtl/>
        </w:rPr>
      </w:pPr>
      <w:r>
        <w:rPr>
          <w:rFonts w:cs="Arial"/>
          <w:b/>
          <w:bCs/>
          <w:rtl/>
        </w:rPr>
        <w:t xml:space="preserve">גיטין </w:t>
      </w:r>
      <w:r>
        <w:rPr>
          <w:rFonts w:cs="Arial"/>
          <w:b/>
          <w:bCs/>
          <w:sz w:val="16"/>
          <w:szCs w:val="16"/>
          <w:rtl/>
        </w:rPr>
        <w:t>(פ' הניזקין)</w:t>
      </w:r>
      <w:r>
        <w:rPr>
          <w:rFonts w:cs="Arial"/>
          <w:b/>
          <w:bCs/>
          <w:rtl/>
        </w:rPr>
        <w:t xml:space="preserve"> נט ע"א:</w:t>
      </w:r>
      <w:r>
        <w:rPr>
          <w:rFonts w:cs="Arial"/>
          <w:rtl/>
        </w:rPr>
        <w:t xml:space="preserve"> </w:t>
      </w:r>
      <w:r>
        <w:rPr>
          <w:rFonts w:cs="Arial"/>
          <w:u w:val="double"/>
          <w:rtl/>
        </w:rPr>
        <w:t>מתני'</w:t>
      </w:r>
      <w:r>
        <w:rPr>
          <w:rFonts w:cs="Arial"/>
          <w:rtl/>
        </w:rPr>
        <w:t xml:space="preserve">:... הפעוטות </w:t>
      </w:r>
      <w:r w:rsidR="00A82951">
        <w:rPr>
          <w:rFonts w:cs="Arial"/>
          <w:rtl/>
        </w:rPr>
        <w:t>-</w:t>
      </w:r>
      <w:r>
        <w:rPr>
          <w:rFonts w:cs="Arial"/>
          <w:rtl/>
        </w:rPr>
        <w:t xml:space="preserve"> מקחן מקח וממכרן ממכר במטלטלין. </w:t>
      </w:r>
      <w:r>
        <w:rPr>
          <w:rtl/>
        </w:rPr>
        <w:t xml:space="preserve">   </w:t>
      </w:r>
      <w:r>
        <w:rPr>
          <w:rFonts w:cs="Arial"/>
          <w:rtl/>
        </w:rPr>
        <w:t xml:space="preserve">   </w:t>
      </w:r>
      <w:r>
        <w:rPr>
          <w:rFonts w:cs="Arial"/>
          <w:u w:val="double"/>
          <w:rtl/>
        </w:rPr>
        <w:t>גמ'</w:t>
      </w:r>
      <w:r>
        <w:rPr>
          <w:rFonts w:cs="Arial"/>
          <w:rtl/>
        </w:rPr>
        <w:t xml:space="preserve">: הפעוטות </w:t>
      </w:r>
      <w:r w:rsidR="00A82951">
        <w:rPr>
          <w:rFonts w:cs="Arial"/>
          <w:rtl/>
        </w:rPr>
        <w:t>-</w:t>
      </w:r>
      <w:r>
        <w:rPr>
          <w:rFonts w:cs="Arial"/>
          <w:rtl/>
        </w:rPr>
        <w:t xml:space="preserve"> מקחן מקח וממכרן ממכר במטלטלין. ועד כמה? </w:t>
      </w:r>
      <w:r>
        <w:rPr>
          <w:rFonts w:cs="Arial"/>
          <w:u w:val="single"/>
          <w:rtl/>
        </w:rPr>
        <w:t>מחוי רב יהודה לרב יצחק בריה</w:t>
      </w:r>
      <w:r>
        <w:rPr>
          <w:rFonts w:cs="Arial"/>
          <w:rtl/>
        </w:rPr>
        <w:t xml:space="preserve">: כבר שית, כבר שב. </w:t>
      </w:r>
      <w:r>
        <w:rPr>
          <w:rFonts w:cs="Arial"/>
          <w:u w:val="single"/>
          <w:rtl/>
        </w:rPr>
        <w:t>רב כהנא אמר</w:t>
      </w:r>
      <w:r>
        <w:rPr>
          <w:rFonts w:cs="Arial"/>
          <w:rtl/>
        </w:rPr>
        <w:t xml:space="preserve">: כבר שב, כבר תמני. </w:t>
      </w:r>
      <w:r>
        <w:rPr>
          <w:rFonts w:cs="Arial"/>
          <w:u w:val="single"/>
          <w:rtl/>
        </w:rPr>
        <w:t>במתניתא תנא</w:t>
      </w:r>
      <w:r>
        <w:rPr>
          <w:rFonts w:cs="Arial"/>
          <w:rtl/>
        </w:rPr>
        <w:t xml:space="preserve">: כבר תשע, כבר עשר. ולא פליגי, כל חד וחד לפי חורפיה. וטעמא מאי? </w:t>
      </w:r>
      <w:r>
        <w:rPr>
          <w:rFonts w:cs="Arial"/>
          <w:u w:val="single"/>
          <w:rtl/>
        </w:rPr>
        <w:t>א"ר אבא בר יעקב א"ר יוחנן</w:t>
      </w:r>
      <w:r>
        <w:rPr>
          <w:rFonts w:cs="Arial"/>
          <w:rtl/>
        </w:rPr>
        <w:t>: משום כדי חייו</w:t>
      </w:r>
      <w:r>
        <w:rPr>
          <w:rStyle w:val="a7"/>
          <w:rFonts w:cs="Arial"/>
          <w:rtl/>
        </w:rPr>
        <w:footnoteReference w:id="1858"/>
      </w:r>
      <w:r>
        <w:rPr>
          <w:rFonts w:cs="Arial"/>
          <w:rtl/>
        </w:rPr>
        <w:t>.</w:t>
      </w:r>
    </w:p>
    <w:p w14:paraId="3E5E4F05" w14:textId="77777777" w:rsidR="00FA2119" w:rsidRDefault="00FA2119" w:rsidP="00FA2119">
      <w:pPr>
        <w:rPr>
          <w:u w:val="single"/>
          <w:rtl/>
        </w:rPr>
      </w:pPr>
      <w:r>
        <w:rPr>
          <w:u w:val="single"/>
          <w:rtl/>
        </w:rPr>
        <w:t>קטנה שאינה יכולה לשמור את גיטה:</w:t>
      </w:r>
    </w:p>
    <w:p w14:paraId="430A4D8E" w14:textId="2D23A938"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והא דקטנה מתגרשת ע"י עצמה כשיש בה דעת להבחין בין גיטה לחפץ אחר, כגון בת ו' ובת ז', דהיינו בפעוטות שמקחן מקח וממכרן ממכר, ומפרשי ליה כבר ו' וכבר ז' כל חד וחד לפום חורפיה, אבל פחות מכאן אינה יודעת לשמור גיטה ואינה מתגרשת בו.</w:t>
      </w:r>
    </w:p>
    <w:p w14:paraId="7D4E1926" w14:textId="1095C699" w:rsidR="00FA2119" w:rsidRDefault="00FA2119" w:rsidP="006A458D">
      <w:pPr>
        <w:pStyle w:val="ab"/>
        <w:numPr>
          <w:ilvl w:val="0"/>
          <w:numId w:val="102"/>
        </w:numPr>
      </w:pPr>
      <w:r>
        <w:rPr>
          <w:rFonts w:cs="Arial"/>
          <w:rtl/>
        </w:rPr>
        <w:lastRenderedPageBreak/>
        <w:t xml:space="preserve">רמב"ם </w:t>
      </w:r>
      <w:r>
        <w:rPr>
          <w:rFonts w:cs="Arial"/>
          <w:sz w:val="16"/>
          <w:szCs w:val="16"/>
          <w:rtl/>
        </w:rPr>
        <w:t>(פ"ב הי"ט)</w:t>
      </w:r>
      <w:r w:rsidR="00A82951">
        <w:rPr>
          <w:rFonts w:cs="Arial"/>
          <w:rtl/>
        </w:rPr>
        <w:t>-</w:t>
      </w:r>
      <w:r>
        <w:rPr>
          <w:rFonts w:cs="Arial"/>
          <w:rtl/>
        </w:rPr>
        <w:t xml:space="preserve"> קדשה אביה כשהיא קטנה, ומת, אם מבחנת בין גיטה לדבר אחר </w:t>
      </w:r>
      <w:r w:rsidR="00A82951">
        <w:rPr>
          <w:rFonts w:cs="Arial"/>
          <w:rtl/>
        </w:rPr>
        <w:t>-</w:t>
      </w:r>
      <w:r>
        <w:rPr>
          <w:rFonts w:cs="Arial"/>
          <w:rtl/>
        </w:rPr>
        <w:t xml:space="preserve"> הרי זו מתגרשת משיגיע הגט לידה. ואם לאו </w:t>
      </w:r>
      <w:r w:rsidR="00A82951">
        <w:rPr>
          <w:rFonts w:cs="Arial"/>
          <w:rtl/>
        </w:rPr>
        <w:t>-</w:t>
      </w:r>
      <w:r>
        <w:rPr>
          <w:rFonts w:cs="Arial"/>
          <w:rtl/>
        </w:rPr>
        <w:t xml:space="preserve"> אינה מתגרשת עד שתבחין. ואם גירשה </w:t>
      </w:r>
      <w:r w:rsidR="00A82951">
        <w:rPr>
          <w:rFonts w:cs="Arial"/>
          <w:rtl/>
        </w:rPr>
        <w:t>-</w:t>
      </w:r>
      <w:r>
        <w:rPr>
          <w:rFonts w:cs="Arial"/>
          <w:rtl/>
        </w:rPr>
        <w:t xml:space="preserve"> אינה מגורשת. </w:t>
      </w:r>
      <w:r>
        <w:rPr>
          <w:rFonts w:cs="Arial"/>
          <w:color w:val="E36C0A" w:themeColor="accent6" w:themeShade="BF"/>
          <w:rtl/>
        </w:rPr>
        <w:t>(וכ"פ בשו"ע)</w:t>
      </w:r>
    </w:p>
    <w:p w14:paraId="3827BB78" w14:textId="77777777" w:rsidR="00FA2119" w:rsidRDefault="00FA2119" w:rsidP="00FA2119">
      <w:pPr>
        <w:ind w:left="360"/>
        <w:rPr>
          <w:u w:val="dotted"/>
        </w:rPr>
      </w:pPr>
      <w:r>
        <w:rPr>
          <w:u w:val="dotted"/>
          <w:rtl/>
        </w:rPr>
        <w:t>ומה הדין אם אביה מקבל את הגט בשבילה:</w:t>
      </w:r>
    </w:p>
    <w:p w14:paraId="674FBD63" w14:textId="733239F1" w:rsidR="00FA2119" w:rsidRDefault="00FA2119" w:rsidP="006A458D">
      <w:pPr>
        <w:pStyle w:val="ab"/>
        <w:numPr>
          <w:ilvl w:val="0"/>
          <w:numId w:val="102"/>
        </w:numPr>
      </w:pPr>
      <w:r>
        <w:rPr>
          <w:rFonts w:cs="Arial"/>
          <w:rtl/>
        </w:rPr>
        <w:t>רש"י</w:t>
      </w:r>
      <w:r>
        <w:rPr>
          <w:rFonts w:cs="Arial"/>
          <w:sz w:val="16"/>
          <w:szCs w:val="16"/>
          <w:rtl/>
        </w:rPr>
        <w:t xml:space="preserve"> (סד: ד"ה אינה מתגרשת)</w:t>
      </w:r>
      <w:r w:rsidR="00A82951">
        <w:rPr>
          <w:rFonts w:cs="Arial"/>
          <w:rtl/>
        </w:rPr>
        <w:t>-</w:t>
      </w:r>
      <w:r>
        <w:rPr>
          <w:rFonts w:cs="Arial"/>
          <w:rtl/>
        </w:rPr>
        <w:t xml:space="preserve"> אפילו בקבלת אביה אינה מתגרשת. </w:t>
      </w:r>
    </w:p>
    <w:p w14:paraId="79217426" w14:textId="132C0947" w:rsidR="00FA2119" w:rsidRDefault="00FA2119" w:rsidP="006A458D">
      <w:pPr>
        <w:pStyle w:val="ab"/>
        <w:numPr>
          <w:ilvl w:val="0"/>
          <w:numId w:val="102"/>
        </w:numPr>
      </w:pPr>
      <w:r>
        <w:rPr>
          <w:rFonts w:cs="Arial"/>
          <w:rtl/>
        </w:rPr>
        <w:t>רב האי בה"ג ר"ת תוס' רמב"ם</w:t>
      </w:r>
      <w:r>
        <w:rPr>
          <w:rStyle w:val="a7"/>
          <w:rFonts w:cs="Arial"/>
          <w:rtl/>
        </w:rPr>
        <w:footnoteReference w:id="1859"/>
      </w:r>
      <w:r>
        <w:rPr>
          <w:rFonts w:cs="Arial"/>
          <w:rtl/>
        </w:rPr>
        <w:t xml:space="preserve"> ורא"ש</w:t>
      </w:r>
      <w:r>
        <w:rPr>
          <w:rStyle w:val="a7"/>
          <w:rFonts w:cs="Arial"/>
          <w:rtl/>
        </w:rPr>
        <w:footnoteReference w:id="1860"/>
      </w:r>
      <w:r w:rsidR="00A82951">
        <w:rPr>
          <w:rFonts w:cs="Arial"/>
          <w:rtl/>
        </w:rPr>
        <w:t>-</w:t>
      </w:r>
      <w:r>
        <w:rPr>
          <w:rFonts w:cs="Arial"/>
          <w:rtl/>
        </w:rPr>
        <w:t xml:space="preserve"> דוקא בקבלתה אינה מתגרשת</w:t>
      </w:r>
      <w:r w:rsidR="00720E34">
        <w:rPr>
          <w:rFonts w:cs="Arial" w:hint="cs"/>
          <w:rtl/>
        </w:rPr>
        <w:t>,</w:t>
      </w:r>
      <w:r>
        <w:rPr>
          <w:rFonts w:cs="Arial"/>
          <w:rtl/>
        </w:rPr>
        <w:t xml:space="preserve"> אבל אם יש לה אב והיא עדיין ברשותו </w:t>
      </w:r>
      <w:r w:rsidR="00A82951">
        <w:rPr>
          <w:rFonts w:cs="Arial"/>
          <w:rtl/>
        </w:rPr>
        <w:t>-</w:t>
      </w:r>
      <w:r>
        <w:rPr>
          <w:rFonts w:cs="Arial"/>
          <w:rtl/>
        </w:rPr>
        <w:t xml:space="preserve"> מתגרשת בקבלה</w:t>
      </w:r>
      <w:r>
        <w:rPr>
          <w:rStyle w:val="a7"/>
          <w:rFonts w:cs="Arial"/>
          <w:rtl/>
        </w:rPr>
        <w:footnoteReference w:id="1861"/>
      </w:r>
      <w:r>
        <w:rPr>
          <w:rFonts w:cs="Arial"/>
          <w:sz w:val="16"/>
          <w:szCs w:val="16"/>
          <w:rtl/>
        </w:rPr>
        <w:t xml:space="preserve"> (ל' הטור בשם ר"ת)</w:t>
      </w:r>
      <w:r>
        <w:rPr>
          <w:rFonts w:cs="Arial"/>
          <w:rtl/>
        </w:rPr>
        <w:t>.</w:t>
      </w:r>
      <w:r>
        <w:rPr>
          <w:rFonts w:cs="Arial"/>
          <w:color w:val="E36C0A" w:themeColor="accent6" w:themeShade="BF"/>
          <w:rtl/>
        </w:rPr>
        <w:t xml:space="preserve"> (וכ"ס בשו"ע)</w:t>
      </w:r>
    </w:p>
    <w:p w14:paraId="1371D94F"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1AA56C9" w14:textId="77777777" w:rsidR="00FA2119" w:rsidRDefault="00FA2119" w:rsidP="00FA2119">
      <w:pPr>
        <w:rPr>
          <w:rtl/>
        </w:rPr>
      </w:pPr>
      <w:r>
        <w:rPr>
          <w:rFonts w:cs="Arial"/>
          <w:rtl/>
        </w:rPr>
        <w:t>קדשה אביה כשהיא קטנה, ומת, או שנשאת, אם מבחנת בין גיטה לדבר אחר, דהיינו שנותנים לה צרור וזרקו, אגוז ונוטלו, ויש אומרים</w:t>
      </w:r>
      <w:r>
        <w:rPr>
          <w:rStyle w:val="a7"/>
          <w:rFonts w:cs="Arial"/>
          <w:rtl/>
        </w:rPr>
        <w:footnoteReference w:id="1862"/>
      </w:r>
      <w:r>
        <w:rPr>
          <w:rFonts w:cs="Arial"/>
          <w:rtl/>
        </w:rPr>
        <w:t xml:space="preserve"> דהיינו משתגיע לעונת הפעוטות </w:t>
      </w:r>
      <w:r>
        <w:rPr>
          <w:rFonts w:cs="Arial"/>
          <w:sz w:val="18"/>
          <w:szCs w:val="18"/>
          <w:rtl/>
        </w:rPr>
        <w:t>[הגה] דהיינו בת שית או בת שבע, כל חד וחד לפום חורפיה (טור)</w:t>
      </w:r>
      <w:r>
        <w:rPr>
          <w:rFonts w:cs="Arial"/>
          <w:rtl/>
        </w:rPr>
        <w:t xml:space="preserve">, מתגרשת על ידי עצמה. ואם אינה מבחנת, וגירשה על ידי עצמה, אינה מגורשת. אבל על ידי אביה מתגרשת, אפילו אינה מבחנת. ויש מי שחולק ואומר שכל שאינה מבחנת אינה מתגרשת אפילו על ידי אביה. </w:t>
      </w:r>
      <w:r>
        <w:rPr>
          <w:rFonts w:cs="Arial"/>
          <w:sz w:val="18"/>
          <w:szCs w:val="18"/>
          <w:rtl/>
        </w:rPr>
        <w:t>הגה: ועיין לקמן בסדר בגט סעיף צ"ו כיצד כותבין לקטנה המתגרשת על ידי אביה.</w:t>
      </w:r>
      <w:r>
        <w:rPr>
          <w:rFonts w:cs="Arial"/>
          <w:rtl/>
        </w:rPr>
        <w:t xml:space="preserve"> </w:t>
      </w:r>
    </w:p>
    <w:p w14:paraId="4ED02181" w14:textId="77777777" w:rsidR="00FA2119" w:rsidRDefault="00FA2119" w:rsidP="00FA2119">
      <w:pPr>
        <w:rPr>
          <w:rtl/>
        </w:rPr>
      </w:pPr>
    </w:p>
    <w:p w14:paraId="21A22C74" w14:textId="77777777" w:rsidR="00FA2119" w:rsidRDefault="00FA2119" w:rsidP="00FA2119">
      <w:pPr>
        <w:pStyle w:val="2"/>
        <w:rPr>
          <w:rtl/>
        </w:rPr>
      </w:pPr>
      <w:r>
        <w:rPr>
          <w:rtl/>
        </w:rPr>
        <w:t>סעיף ז: זריקת הגט לתוך חצר הקטנה</w:t>
      </w:r>
      <w:r>
        <w:rPr>
          <w:sz w:val="18"/>
          <w:szCs w:val="18"/>
          <w:rtl/>
        </w:rPr>
        <w:t xml:space="preserve"> (או לד' אמותיה)</w:t>
      </w:r>
      <w:r>
        <w:rPr>
          <w:rtl/>
        </w:rPr>
        <w:t>.</w:t>
      </w:r>
    </w:p>
    <w:p w14:paraId="659028C4" w14:textId="5AE02F32" w:rsidR="00FA2119" w:rsidRDefault="00FA2119" w:rsidP="00FA2119">
      <w:pPr>
        <w:rPr>
          <w:rtl/>
        </w:rPr>
      </w:pPr>
      <w:r>
        <w:rPr>
          <w:rFonts w:cs="Arial"/>
          <w:b/>
          <w:bCs/>
          <w:rtl/>
        </w:rPr>
        <w:t xml:space="preserve">בבא מציעא </w:t>
      </w:r>
      <w:r>
        <w:rPr>
          <w:rFonts w:cs="Arial"/>
          <w:b/>
          <w:bCs/>
          <w:sz w:val="16"/>
          <w:szCs w:val="16"/>
          <w:rtl/>
        </w:rPr>
        <w:t>(פ"ק)</w:t>
      </w:r>
      <w:r>
        <w:rPr>
          <w:rFonts w:cs="Arial"/>
          <w:b/>
          <w:bCs/>
          <w:rtl/>
        </w:rPr>
        <w:t xml:space="preserve"> י ע"ב: </w:t>
      </w:r>
      <w:r>
        <w:rPr>
          <w:rFonts w:cs="Arial"/>
          <w:u w:val="single"/>
          <w:rtl/>
        </w:rPr>
        <w:t>ואמר ריש לקיש משום אבא כהן ברדלא</w:t>
      </w:r>
      <w:r>
        <w:rPr>
          <w:rFonts w:cs="Arial"/>
          <w:rtl/>
        </w:rPr>
        <w:t xml:space="preserve">: קטנה אין לה חצר, ואין לה ארבע אמות. </w:t>
      </w:r>
      <w:r>
        <w:rPr>
          <w:rFonts w:cs="Arial"/>
          <w:u w:val="single"/>
          <w:rtl/>
        </w:rPr>
        <w:t>ורבי יוחנן משום רבי ינאי אמר</w:t>
      </w:r>
      <w:r>
        <w:rPr>
          <w:rFonts w:cs="Arial"/>
          <w:rtl/>
        </w:rPr>
        <w:t xml:space="preserve">: יש לה חצר ויש לה ארבע אמות. במאי קמיפלגי? מר סבר: חצר משום ידה איתרבאי, כי היכי דאית לה יד </w:t>
      </w:r>
      <w:r w:rsidR="00A82951">
        <w:rPr>
          <w:rFonts w:cs="Arial"/>
          <w:rtl/>
        </w:rPr>
        <w:t>-</w:t>
      </w:r>
      <w:r>
        <w:rPr>
          <w:rFonts w:cs="Arial"/>
          <w:rtl/>
        </w:rPr>
        <w:t xml:space="preserve"> חצר נמי אית לה. ומר סבר: חצר משום שליחות איתרבאי, וכי היכי דשליחות לית לה </w:t>
      </w:r>
      <w:r w:rsidR="00A82951">
        <w:rPr>
          <w:rFonts w:cs="Arial"/>
          <w:rtl/>
        </w:rPr>
        <w:t>-</w:t>
      </w:r>
      <w:r>
        <w:rPr>
          <w:rFonts w:cs="Arial"/>
          <w:rtl/>
        </w:rPr>
        <w:t xml:space="preserve"> חצר נמי לית לה... לענין גט </w:t>
      </w:r>
      <w:r w:rsidR="00A82951">
        <w:rPr>
          <w:rFonts w:cs="Arial"/>
          <w:rtl/>
        </w:rPr>
        <w:t>-</w:t>
      </w:r>
      <w:r>
        <w:rPr>
          <w:rFonts w:cs="Arial"/>
          <w:rtl/>
        </w:rPr>
        <w:t xml:space="preserve"> כולי עלמא לא פליגי דחצר משום ידה איתרבאי, כי פליגי </w:t>
      </w:r>
      <w:r w:rsidR="00A82951">
        <w:rPr>
          <w:rFonts w:cs="Arial"/>
          <w:rtl/>
        </w:rPr>
        <w:t>-</w:t>
      </w:r>
      <w:r>
        <w:rPr>
          <w:rFonts w:cs="Arial"/>
          <w:rtl/>
        </w:rPr>
        <w:t xml:space="preserve"> לענין מציאה...</w:t>
      </w:r>
    </w:p>
    <w:p w14:paraId="6678E41B" w14:textId="77777777" w:rsidR="00FA2119" w:rsidRDefault="00FA2119" w:rsidP="00FA2119">
      <w:pPr>
        <w:rPr>
          <w:u w:val="single"/>
          <w:rtl/>
        </w:rPr>
      </w:pPr>
      <w:r>
        <w:rPr>
          <w:u w:val="single"/>
          <w:rtl/>
        </w:rPr>
        <w:t>זריקת הגט לתוך חצר הקטנה</w:t>
      </w:r>
      <w:r>
        <w:rPr>
          <w:sz w:val="18"/>
          <w:szCs w:val="18"/>
          <w:u w:val="single"/>
          <w:rtl/>
        </w:rPr>
        <w:t xml:space="preserve"> </w:t>
      </w:r>
      <w:r>
        <w:rPr>
          <w:sz w:val="16"/>
          <w:szCs w:val="16"/>
          <w:u w:val="single"/>
          <w:rtl/>
        </w:rPr>
        <w:t>(או לד' אמותיה)</w:t>
      </w:r>
      <w:r>
        <w:rPr>
          <w:u w:val="single"/>
          <w:rtl/>
        </w:rPr>
        <w:t>:</w:t>
      </w:r>
    </w:p>
    <w:p w14:paraId="46D3D825" w14:textId="5D0C5EAC"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כל היכא שיש לקטנה יד לקבל גיטה </w:t>
      </w:r>
      <w:r w:rsidR="00A82951">
        <w:rPr>
          <w:rFonts w:cs="Arial"/>
          <w:rtl/>
        </w:rPr>
        <w:t>-</w:t>
      </w:r>
      <w:r>
        <w:rPr>
          <w:rFonts w:cs="Arial"/>
          <w:rtl/>
        </w:rPr>
        <w:t xml:space="preserve"> יש לה תורת חצר</w:t>
      </w:r>
      <w:r>
        <w:rPr>
          <w:rStyle w:val="a7"/>
          <w:rFonts w:cs="Arial"/>
          <w:rtl/>
        </w:rPr>
        <w:footnoteReference w:id="1863"/>
      </w:r>
      <w:r>
        <w:rPr>
          <w:rFonts w:cs="Arial"/>
          <w:rtl/>
        </w:rPr>
        <w:t xml:space="preserve"> לקבלו, שאם זרקו לתוכו מגורשת. </w:t>
      </w:r>
      <w:r>
        <w:rPr>
          <w:rFonts w:cs="Arial"/>
          <w:color w:val="E36C0A" w:themeColor="accent6" w:themeShade="BF"/>
          <w:rtl/>
        </w:rPr>
        <w:t>(וכ"פ בשו"ע)</w:t>
      </w:r>
    </w:p>
    <w:p w14:paraId="4817D257"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54ED37B5" w14:textId="77777777" w:rsidR="00FA2119" w:rsidRDefault="00FA2119" w:rsidP="00FA2119">
      <w:pPr>
        <w:rPr>
          <w:rtl/>
        </w:rPr>
      </w:pPr>
      <w:r>
        <w:rPr>
          <w:rFonts w:cs="Arial"/>
          <w:rtl/>
        </w:rPr>
        <w:t xml:space="preserve">כל היכא שיש לקטנה יד לקבל גיטה, יש לה תורת חצר </w:t>
      </w:r>
      <w:r>
        <w:rPr>
          <w:rFonts w:cs="Arial"/>
          <w:sz w:val="18"/>
          <w:szCs w:val="18"/>
          <w:rtl/>
        </w:rPr>
        <w:t>[הגה] או ד' אמות (הגה"מ)</w:t>
      </w:r>
      <w:r>
        <w:rPr>
          <w:rFonts w:cs="Arial"/>
          <w:rtl/>
        </w:rPr>
        <w:t xml:space="preserve"> לקבלו, כשם שיש לגדולה. </w:t>
      </w:r>
    </w:p>
    <w:p w14:paraId="2B7F0E5F" w14:textId="77777777" w:rsidR="00FA2119" w:rsidRDefault="00FA2119" w:rsidP="00FA2119">
      <w:pPr>
        <w:rPr>
          <w:rtl/>
        </w:rPr>
      </w:pPr>
    </w:p>
    <w:p w14:paraId="44571067" w14:textId="77777777" w:rsidR="00FA2119" w:rsidRDefault="00FA2119" w:rsidP="00FA2119">
      <w:pPr>
        <w:pStyle w:val="2"/>
        <w:rPr>
          <w:rtl/>
        </w:rPr>
      </w:pPr>
      <w:r>
        <w:rPr>
          <w:rtl/>
        </w:rPr>
        <w:t>סעיף ח: עשיית שליח קבלה בפני ב' עדים.</w:t>
      </w:r>
    </w:p>
    <w:p w14:paraId="5B1D1A9B" w14:textId="0A91FB10" w:rsidR="00FA2119" w:rsidRDefault="00FA2119" w:rsidP="00FA2119">
      <w:pPr>
        <w:rPr>
          <w:rFonts w:cs="Arial"/>
          <w:rtl/>
        </w:rPr>
      </w:pPr>
      <w:r>
        <w:rPr>
          <w:rFonts w:cs="Arial"/>
          <w:b/>
          <w:bCs/>
          <w:rtl/>
        </w:rPr>
        <w:t xml:space="preserve">גיטין </w:t>
      </w:r>
      <w:r>
        <w:rPr>
          <w:rFonts w:cs="Arial"/>
          <w:b/>
          <w:bCs/>
          <w:sz w:val="16"/>
          <w:szCs w:val="16"/>
          <w:rtl/>
        </w:rPr>
        <w:t>(פ' התקבל)</w:t>
      </w:r>
      <w:r>
        <w:rPr>
          <w:rFonts w:cs="Arial"/>
          <w:b/>
          <w:bCs/>
          <w:rtl/>
        </w:rPr>
        <w:t xml:space="preserve"> סג ע"ב:</w:t>
      </w:r>
      <w:r>
        <w:rPr>
          <w:rFonts w:cs="Arial"/>
          <w:rtl/>
        </w:rPr>
        <w:t xml:space="preserve"> </w:t>
      </w:r>
      <w:r>
        <w:rPr>
          <w:rFonts w:cs="Arial"/>
          <w:u w:val="double"/>
          <w:rtl/>
        </w:rPr>
        <w:t>מתני'</w:t>
      </w:r>
      <w:r>
        <w:rPr>
          <w:rFonts w:cs="Arial"/>
          <w:rtl/>
        </w:rPr>
        <w:t xml:space="preserve">: האשה שאמרה התקבל לי גיטי </w:t>
      </w:r>
      <w:r w:rsidR="00A82951">
        <w:rPr>
          <w:rFonts w:cs="Arial"/>
          <w:rtl/>
        </w:rPr>
        <w:t>-</w:t>
      </w:r>
      <w:r>
        <w:rPr>
          <w:rFonts w:cs="Arial"/>
          <w:rtl/>
        </w:rPr>
        <w:t xml:space="preserve"> צריכה שתי כיתי עדים, שנים שאומרי' בפנינו אמרה, ושני' שאומרים בפנינו קבל וקרע, אפי' הן הראשוני' והן האחרוני',</w:t>
      </w:r>
      <w:r>
        <w:rPr>
          <w:rtl/>
        </w:rPr>
        <w:t xml:space="preserve"> </w:t>
      </w:r>
      <w:r>
        <w:rPr>
          <w:sz w:val="14"/>
          <w:szCs w:val="14"/>
          <w:rtl/>
        </w:rPr>
        <w:t xml:space="preserve">(סד.) </w:t>
      </w:r>
      <w:r>
        <w:rPr>
          <w:rFonts w:cs="Arial"/>
          <w:rtl/>
        </w:rPr>
        <w:t>או אחד מן הראשונים ואחד מן האחרונים ואחד מצטרף עמהן.</w:t>
      </w:r>
    </w:p>
    <w:p w14:paraId="06928853" w14:textId="77777777" w:rsidR="00FA2119" w:rsidRDefault="00FA2119" w:rsidP="00FA2119">
      <w:pPr>
        <w:rPr>
          <w:u w:val="single"/>
          <w:rtl/>
        </w:rPr>
      </w:pPr>
      <w:r>
        <w:rPr>
          <w:u w:val="single"/>
          <w:rtl/>
        </w:rPr>
        <w:t>עשיית שליח קבלה בפני ב' עדים:</w:t>
      </w:r>
    </w:p>
    <w:p w14:paraId="3E848DBA" w14:textId="0622C5F4" w:rsidR="00FA2119" w:rsidRDefault="00FA2119" w:rsidP="006A458D">
      <w:pPr>
        <w:pStyle w:val="ab"/>
        <w:numPr>
          <w:ilvl w:val="0"/>
          <w:numId w:val="102"/>
        </w:numPr>
        <w:rPr>
          <w:rtl/>
        </w:rPr>
      </w:pPr>
      <w:r>
        <w:rPr>
          <w:rFonts w:cs="Arial"/>
          <w:rtl/>
        </w:rPr>
        <w:lastRenderedPageBreak/>
        <w:t xml:space="preserve">רמב"ם </w:t>
      </w:r>
      <w:r>
        <w:rPr>
          <w:rFonts w:cs="Arial"/>
          <w:sz w:val="16"/>
          <w:szCs w:val="16"/>
          <w:rtl/>
        </w:rPr>
        <w:t>(פ"ו ה"א)</w:t>
      </w:r>
      <w:r>
        <w:rPr>
          <w:rFonts w:cs="Arial"/>
          <w:rtl/>
        </w:rPr>
        <w:t xml:space="preserve"> וטור</w:t>
      </w:r>
      <w:r w:rsidR="00A82951">
        <w:rPr>
          <w:rFonts w:cs="Arial"/>
          <w:rtl/>
        </w:rPr>
        <w:t>-</w:t>
      </w:r>
      <w:r>
        <w:rPr>
          <w:rFonts w:cs="Arial"/>
          <w:rtl/>
        </w:rPr>
        <w:t xml:space="preserve"> כשהיא עושה שליח לקבלה צריכה לעשותו בפני ב' עדים, וצריך השליח לקבל הגט בפני שנים, אפילו אם השנים המעידים על השליחות הם המעידים על קבלת הגט, או אחד מעיד על השליחות ואחד מעיד על הקבלה ואחד מצטרף עם כל אחד להיות מעיד על זה ועל זה</w:t>
      </w:r>
      <w:r>
        <w:rPr>
          <w:rFonts w:cs="Arial"/>
          <w:sz w:val="16"/>
          <w:szCs w:val="16"/>
          <w:rtl/>
        </w:rPr>
        <w:t xml:space="preserve"> (ל' הטור)</w:t>
      </w:r>
      <w:r>
        <w:rPr>
          <w:rFonts w:cs="Arial"/>
          <w:rtl/>
        </w:rPr>
        <w:t xml:space="preserve">. </w:t>
      </w:r>
      <w:r>
        <w:rPr>
          <w:rFonts w:cs="Arial"/>
          <w:color w:val="E36C0A" w:themeColor="accent6" w:themeShade="BF"/>
          <w:rtl/>
        </w:rPr>
        <w:t>(וכ"פ בשו"ע)</w:t>
      </w:r>
    </w:p>
    <w:p w14:paraId="7E3DED89" w14:textId="77777777" w:rsidR="00FA2119" w:rsidRDefault="00FA2119" w:rsidP="00FA2119">
      <w:pPr>
        <w:ind w:left="360"/>
        <w:rPr>
          <w:u w:val="dotted"/>
        </w:rPr>
      </w:pPr>
      <w:r>
        <w:rPr>
          <w:u w:val="dotted"/>
          <w:rtl/>
        </w:rPr>
        <w:t>האם השליח מצטרף להיות אחד משני עדי הקבלה:</w:t>
      </w:r>
    </w:p>
    <w:p w14:paraId="28CEA039" w14:textId="372D6795" w:rsidR="00FA2119" w:rsidRDefault="00FA2119" w:rsidP="006A458D">
      <w:pPr>
        <w:pStyle w:val="ab"/>
        <w:numPr>
          <w:ilvl w:val="0"/>
          <w:numId w:val="102"/>
        </w:numPr>
      </w:pPr>
      <w:r>
        <w:rPr>
          <w:rFonts w:cs="Arial"/>
          <w:rtl/>
        </w:rPr>
        <w:t xml:space="preserve">בהעי"ט </w:t>
      </w:r>
      <w:r>
        <w:rPr>
          <w:rFonts w:cs="Arial"/>
          <w:sz w:val="16"/>
          <w:szCs w:val="16"/>
          <w:rtl/>
        </w:rPr>
        <w:t>(אות ש שלישות גט מז ע"ג)</w:t>
      </w:r>
      <w:r w:rsidR="00A82951">
        <w:rPr>
          <w:rFonts w:cs="Arial"/>
          <w:rtl/>
        </w:rPr>
        <w:t>-</w:t>
      </w:r>
      <w:r>
        <w:rPr>
          <w:rFonts w:cs="Arial"/>
          <w:rtl/>
        </w:rPr>
        <w:t xml:space="preserve"> מה שצריך שנים על הקבלה דוקא כשאין השליח כשר, אבל אם הוא כשר </w:t>
      </w:r>
      <w:r w:rsidR="00A82951">
        <w:rPr>
          <w:rFonts w:cs="Arial"/>
          <w:rtl/>
        </w:rPr>
        <w:t>-</w:t>
      </w:r>
      <w:r>
        <w:rPr>
          <w:rFonts w:cs="Arial"/>
          <w:rtl/>
        </w:rPr>
        <w:t xml:space="preserve"> מצטרף עם עד אחר</w:t>
      </w:r>
      <w:r>
        <w:rPr>
          <w:rFonts w:cs="Arial"/>
          <w:sz w:val="16"/>
          <w:szCs w:val="16"/>
          <w:rtl/>
        </w:rPr>
        <w:t xml:space="preserve"> (ל' הטור בשמו)</w:t>
      </w:r>
      <w:r>
        <w:rPr>
          <w:rFonts w:cs="Arial"/>
          <w:rtl/>
        </w:rPr>
        <w:t xml:space="preserve">. </w:t>
      </w:r>
      <w:r>
        <w:rPr>
          <w:rFonts w:cs="Arial"/>
          <w:color w:val="E36C0A" w:themeColor="accent6" w:themeShade="BF"/>
          <w:rtl/>
        </w:rPr>
        <w:t>(וכ"ס בשו"ע</w:t>
      </w:r>
      <w:r>
        <w:rPr>
          <w:rFonts w:cs="Arial"/>
          <w:color w:val="E36C0A" w:themeColor="accent6" w:themeShade="BF"/>
          <w:sz w:val="16"/>
          <w:szCs w:val="16"/>
          <w:rtl/>
        </w:rPr>
        <w:t xml:space="preserve"> </w:t>
      </w:r>
      <w:r>
        <w:rPr>
          <w:rFonts w:cs="Arial"/>
          <w:color w:val="000000" w:themeColor="text1"/>
          <w:sz w:val="16"/>
          <w:szCs w:val="16"/>
          <w:rtl/>
        </w:rPr>
        <w:t>[בסע' ט]</w:t>
      </w:r>
      <w:r>
        <w:rPr>
          <w:rFonts w:cs="Arial"/>
          <w:color w:val="E36C0A" w:themeColor="accent6" w:themeShade="BF"/>
          <w:rtl/>
        </w:rPr>
        <w:t>)</w:t>
      </w:r>
    </w:p>
    <w:p w14:paraId="19E58380" w14:textId="5DC709E8" w:rsidR="00FA2119" w:rsidRDefault="00FA2119" w:rsidP="006A458D">
      <w:pPr>
        <w:pStyle w:val="ab"/>
        <w:numPr>
          <w:ilvl w:val="0"/>
          <w:numId w:val="102"/>
        </w:numPr>
      </w:pPr>
      <w:r>
        <w:rPr>
          <w:rFonts w:cs="Arial"/>
          <w:rtl/>
        </w:rPr>
        <w:t xml:space="preserve">(רא"ש </w:t>
      </w:r>
      <w:r>
        <w:rPr>
          <w:rFonts w:cs="Arial"/>
          <w:sz w:val="16"/>
          <w:szCs w:val="16"/>
          <w:rtl/>
        </w:rPr>
        <w:t>להב' הב"י</w:t>
      </w:r>
      <w:r>
        <w:rPr>
          <w:rStyle w:val="a7"/>
          <w:rFonts w:cs="Arial"/>
          <w:sz w:val="16"/>
          <w:szCs w:val="16"/>
          <w:rtl/>
        </w:rPr>
        <w:footnoteReference w:id="1864"/>
      </w:r>
      <w:r>
        <w:rPr>
          <w:rFonts w:cs="Arial"/>
          <w:rtl/>
        </w:rPr>
        <w:t>)</w:t>
      </w:r>
      <w:r w:rsidR="00A82951">
        <w:rPr>
          <w:rFonts w:cs="Arial"/>
          <w:rtl/>
        </w:rPr>
        <w:t>-</w:t>
      </w:r>
      <w:r>
        <w:rPr>
          <w:rFonts w:cs="Arial"/>
          <w:rtl/>
        </w:rPr>
        <w:t xml:space="preserve"> כל היכא שבא במקום בעל דבר </w:t>
      </w:r>
      <w:r w:rsidR="00A82951">
        <w:rPr>
          <w:rFonts w:cs="Arial"/>
          <w:rtl/>
        </w:rPr>
        <w:t>-</w:t>
      </w:r>
      <w:r>
        <w:rPr>
          <w:rFonts w:cs="Arial"/>
          <w:rtl/>
        </w:rPr>
        <w:t xml:space="preserve"> אינו עולה לעד, ואם כן שליח קבלה שבא במקום האשה </w:t>
      </w:r>
      <w:r w:rsidR="00A82951">
        <w:rPr>
          <w:rFonts w:cs="Arial"/>
          <w:rtl/>
        </w:rPr>
        <w:t>-</w:t>
      </w:r>
      <w:r>
        <w:rPr>
          <w:rFonts w:cs="Arial"/>
          <w:rtl/>
        </w:rPr>
        <w:t xml:space="preserve"> אינו עולה לעד. </w:t>
      </w:r>
    </w:p>
    <w:p w14:paraId="14F28258" w14:textId="77777777" w:rsidR="00FA2119" w:rsidRDefault="00FA2119" w:rsidP="00FA2119">
      <w:pPr>
        <w:rPr>
          <w:u w:val="single"/>
        </w:rPr>
      </w:pPr>
      <w:r>
        <w:rPr>
          <w:u w:val="single"/>
          <w:rtl/>
        </w:rPr>
        <w:t>האם הבעל צריך לברר לפני שנותן את הגט לשליח קבלה אם יש לו עדים שהוא שליח האשה:</w:t>
      </w:r>
      <w:r>
        <w:rPr>
          <w:rFonts w:cs="Arial"/>
          <w:sz w:val="16"/>
          <w:szCs w:val="16"/>
          <w:rtl/>
        </w:rPr>
        <w:t xml:space="preserve">  (דרכ"מ אות ה)</w:t>
      </w:r>
    </w:p>
    <w:p w14:paraId="367F3054" w14:textId="599CCCD3" w:rsidR="00FA2119" w:rsidRDefault="00FA2119" w:rsidP="006A458D">
      <w:pPr>
        <w:pStyle w:val="ab"/>
        <w:numPr>
          <w:ilvl w:val="0"/>
          <w:numId w:val="102"/>
        </w:numPr>
      </w:pPr>
      <w:r>
        <w:rPr>
          <w:rFonts w:cs="Arial"/>
          <w:rtl/>
        </w:rPr>
        <w:t xml:space="preserve">מהר"ם </w:t>
      </w:r>
      <w:r>
        <w:rPr>
          <w:rFonts w:cs="Arial"/>
          <w:sz w:val="16"/>
          <w:szCs w:val="16"/>
          <w:rtl/>
        </w:rPr>
        <w:t>(ספר סיני וליקוטים סי' תקעז, הביאו המרדכי [ר"פ התקבל סי' תט])</w:t>
      </w:r>
      <w:r w:rsidR="00A82951">
        <w:rPr>
          <w:rFonts w:cs="Arial"/>
          <w:rtl/>
        </w:rPr>
        <w:t>-</w:t>
      </w:r>
      <w:r>
        <w:rPr>
          <w:rFonts w:cs="Arial"/>
          <w:rtl/>
        </w:rPr>
        <w:t xml:space="preserve"> בשלמא אי איתמר איפכא התקבל לי גיטי ואשתך אמרה הבא לי גיטי, ואמר רב נחמן אמר רבה בר אבוה משהגיע גט לידה מגורשת, שמע מינה דאדיבורה דידה קסמיך (גיטין סג.). </w:t>
      </w:r>
      <w:r>
        <w:rPr>
          <w:rFonts w:cs="Arial"/>
          <w:sz w:val="16"/>
          <w:szCs w:val="16"/>
          <w:rtl/>
        </w:rPr>
        <w:t>{מזה שהשליח אומר מה שהוא רוצה, והבעל נותן לו גט בלי לברר, ואכן כשהגיע לידה מגורשת}</w:t>
      </w:r>
      <w:r>
        <w:rPr>
          <w:rFonts w:cs="Arial"/>
          <w:rtl/>
        </w:rPr>
        <w:t xml:space="preserve"> אלמא אע"ג דלא ידע הבעל אי הוה שליח לקבלה אורחא דמלתא למיתב לה גיטא, ולא מצרכינן ליה לברר שהוא שליח, ולא חיישינן לבית דין טועין (יבמות קו.) שישיאוה בלא עידי אמירה, דבהא לא טעו. והכי תנן במתני' (גיטין סג:) האשה שאמרה התקבל לי גיטי צריכה שני כיתי עדים וכו', וע"כ מיירי דכת אמירה לא זזה ממקומה ולא ראתה קבלת הגט, והבעל נותן הגט בפני כת דקבלה אע"פ שאין שם עידי אמירה, דאי קיימי התם עידי אמירה ליסהדו נמי אקבלה, וב' כיתי עדים למה לי. מיהו משום חשש לעז יש להחמיר ולהצריך לברר שליחותן בעדים קודם נתינת הגט</w:t>
      </w:r>
      <w:r>
        <w:rPr>
          <w:rStyle w:val="a7"/>
          <w:rFonts w:cs="Arial"/>
          <w:rtl/>
        </w:rPr>
        <w:footnoteReference w:id="1865"/>
      </w:r>
      <w:r>
        <w:rPr>
          <w:rFonts w:cs="Arial"/>
          <w:rtl/>
        </w:rPr>
        <w:t xml:space="preserve">. </w:t>
      </w:r>
      <w:r>
        <w:rPr>
          <w:color w:val="00B0F0"/>
          <w:rtl/>
        </w:rPr>
        <w:t>(וכ"פ הרמ"א)</w:t>
      </w:r>
    </w:p>
    <w:p w14:paraId="486DCF7F"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37BE11D4" w14:textId="77777777" w:rsidR="00FA2119" w:rsidRDefault="00FA2119" w:rsidP="00FA2119">
      <w:pPr>
        <w:rPr>
          <w:rtl/>
        </w:rPr>
      </w:pPr>
      <w:r>
        <w:rPr>
          <w:rFonts w:cs="Arial"/>
          <w:rtl/>
        </w:rPr>
        <w:t xml:space="preserve">כשהיא עושה שליח לקבלה, צריכה לעשותו בפני שני עדים. וצריך לקבל הגט בפני שנים, אפילו אם השנים המעידים על השליחות הם מעידים על קבלת גיטה, או אחד מעיד על השליחות ואחד על הקבלה ואחד מצטרף עם כל אחד להיות מעיד על זה ועל זה. </w:t>
      </w:r>
      <w:r>
        <w:rPr>
          <w:rFonts w:cs="Arial"/>
          <w:sz w:val="18"/>
          <w:szCs w:val="18"/>
          <w:rtl/>
        </w:rPr>
        <w:t>הגה: ולכתחילה</w:t>
      </w:r>
      <w:r>
        <w:rPr>
          <w:rStyle w:val="a7"/>
          <w:rFonts w:cs="Arial"/>
          <w:sz w:val="18"/>
          <w:szCs w:val="18"/>
          <w:rtl/>
        </w:rPr>
        <w:footnoteReference w:id="1866"/>
      </w:r>
      <w:r>
        <w:rPr>
          <w:rFonts w:cs="Arial"/>
          <w:sz w:val="18"/>
          <w:szCs w:val="18"/>
          <w:rtl/>
        </w:rPr>
        <w:t xml:space="preserve"> לא ימסור הבעל הגט ליד השליח, עד שיברר תחלה שנעשה שליח קבלה בעדים (מהר"ם).</w:t>
      </w:r>
      <w:r>
        <w:rPr>
          <w:rFonts w:cs="Arial"/>
          <w:rtl/>
        </w:rPr>
        <w:t xml:space="preserve"> </w:t>
      </w:r>
    </w:p>
    <w:p w14:paraId="11BED1ED" w14:textId="77777777" w:rsidR="00FA2119" w:rsidRDefault="00FA2119" w:rsidP="00FA2119">
      <w:pPr>
        <w:rPr>
          <w:rtl/>
        </w:rPr>
      </w:pPr>
    </w:p>
    <w:p w14:paraId="608837C1" w14:textId="77777777" w:rsidR="00FA2119" w:rsidRDefault="00FA2119" w:rsidP="00FA2119">
      <w:pPr>
        <w:pStyle w:val="2"/>
        <w:rPr>
          <w:rtl/>
        </w:rPr>
      </w:pPr>
      <w:r>
        <w:rPr>
          <w:rtl/>
        </w:rPr>
        <w:t>סעיף ט: האם השליח מצטרף להיות אחד משני עדי הקבלה.</w:t>
      </w:r>
    </w:p>
    <w:p w14:paraId="64CFCBF7" w14:textId="77777777" w:rsidR="00FA2119" w:rsidRDefault="00FA2119" w:rsidP="00FA2119">
      <w:pPr>
        <w:rPr>
          <w:rtl/>
        </w:rPr>
      </w:pPr>
      <w:r>
        <w:rPr>
          <w:rtl/>
        </w:rPr>
        <w:t>עיין במקורות בסעיף הקודם.</w:t>
      </w:r>
    </w:p>
    <w:p w14:paraId="12D0AF4E"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AE1FE61" w14:textId="77777777" w:rsidR="00FA2119" w:rsidRDefault="00FA2119" w:rsidP="00FA2119">
      <w:pPr>
        <w:rPr>
          <w:rtl/>
        </w:rPr>
      </w:pPr>
      <w:r>
        <w:rPr>
          <w:rFonts w:cs="Arial"/>
          <w:rtl/>
        </w:rPr>
        <w:t>מה שצריך שני עדים על הקבלה, דוקא כשאין השליח כשר. אבל אם הוא כשר, מצטרף עם עד אחד</w:t>
      </w:r>
      <w:r>
        <w:rPr>
          <w:rStyle w:val="a7"/>
          <w:rFonts w:cs="Arial"/>
          <w:rtl/>
        </w:rPr>
        <w:footnoteReference w:id="1867"/>
      </w:r>
      <w:r>
        <w:rPr>
          <w:rFonts w:cs="Arial"/>
          <w:rtl/>
        </w:rPr>
        <w:t>. ויש מי שנראה מדבריו שחולק על זה.</w:t>
      </w:r>
      <w:r>
        <w:rPr>
          <w:rFonts w:cs="Arial"/>
          <w:sz w:val="18"/>
          <w:szCs w:val="18"/>
          <w:rtl/>
        </w:rPr>
        <w:t xml:space="preserve"> [הגה] והוא הדין בשליחות להולכה. </w:t>
      </w:r>
    </w:p>
    <w:p w14:paraId="7AE8AE2B" w14:textId="77777777" w:rsidR="00FA2119" w:rsidRDefault="00FA2119" w:rsidP="00FA2119">
      <w:pPr>
        <w:rPr>
          <w:rtl/>
        </w:rPr>
      </w:pPr>
    </w:p>
    <w:p w14:paraId="4B6EAD38" w14:textId="77777777" w:rsidR="00FA2119" w:rsidRDefault="00FA2119" w:rsidP="00FA2119">
      <w:pPr>
        <w:pStyle w:val="2"/>
        <w:rPr>
          <w:rtl/>
        </w:rPr>
      </w:pPr>
      <w:r>
        <w:rPr>
          <w:rtl/>
        </w:rPr>
        <w:lastRenderedPageBreak/>
        <w:t>סעיף י: אם צריך עדי קבלה כשהגט נמצא ביד השליח קבלה.</w:t>
      </w:r>
    </w:p>
    <w:p w14:paraId="6FF81216" w14:textId="699E171D" w:rsidR="00FA2119" w:rsidRDefault="00FA2119" w:rsidP="00FA2119">
      <w:pPr>
        <w:rPr>
          <w:rtl/>
        </w:rPr>
      </w:pPr>
      <w:r>
        <w:rPr>
          <w:rFonts w:cs="Arial"/>
          <w:b/>
          <w:bCs/>
          <w:rtl/>
        </w:rPr>
        <w:t xml:space="preserve">גיטין </w:t>
      </w:r>
      <w:r>
        <w:rPr>
          <w:rFonts w:cs="Arial"/>
          <w:b/>
          <w:bCs/>
          <w:sz w:val="16"/>
          <w:szCs w:val="16"/>
          <w:rtl/>
        </w:rPr>
        <w:t>(פ' התקבל)</w:t>
      </w:r>
      <w:r>
        <w:rPr>
          <w:rFonts w:cs="Arial"/>
          <w:b/>
          <w:bCs/>
          <w:rtl/>
        </w:rPr>
        <w:t xml:space="preserve"> סד ע"א:</w:t>
      </w:r>
      <w:r>
        <w:rPr>
          <w:rFonts w:cs="Arial"/>
          <w:rtl/>
        </w:rPr>
        <w:t xml:space="preserve"> איתמר: בעל אומר לפקדון ושליש אומר לגירושין, מי נאמן? </w:t>
      </w:r>
      <w:r>
        <w:rPr>
          <w:rFonts w:cs="Arial"/>
          <w:u w:val="single"/>
          <w:rtl/>
        </w:rPr>
        <w:t>רב הונא אמר</w:t>
      </w:r>
      <w:r>
        <w:rPr>
          <w:rFonts w:cs="Arial"/>
          <w:rtl/>
        </w:rPr>
        <w:t xml:space="preserve">: בעל נאמן. </w:t>
      </w:r>
      <w:r>
        <w:rPr>
          <w:rFonts w:cs="Arial"/>
          <w:u w:val="single"/>
          <w:rtl/>
        </w:rPr>
        <w:t>ורב חסדא אמר</w:t>
      </w:r>
      <w:r>
        <w:rPr>
          <w:rFonts w:cs="Arial"/>
          <w:rtl/>
        </w:rPr>
        <w:t>: שליש נאמן.</w:t>
      </w:r>
      <w:r>
        <w:rPr>
          <w:rtl/>
        </w:rPr>
        <w:t xml:space="preserve">.. </w:t>
      </w:r>
      <w:r>
        <w:rPr>
          <w:rFonts w:cs="Arial"/>
          <w:rtl/>
        </w:rPr>
        <w:t xml:space="preserve">תנן: האשה שאמרה התקבל לי גיטי </w:t>
      </w:r>
      <w:r w:rsidR="00A82951">
        <w:rPr>
          <w:rFonts w:cs="Arial"/>
          <w:rtl/>
        </w:rPr>
        <w:t>-</w:t>
      </w:r>
      <w:r>
        <w:rPr>
          <w:rFonts w:cs="Arial"/>
          <w:rtl/>
        </w:rPr>
        <w:t xml:space="preserve"> צריכה שתי כיתי עדים, שנים שיאמרו בפנינו אמרה, ושנים שיאמרו בפנינו קבל וקרע; ואמאי? ליהמניה לשליש! מי קא נפיק גיטא מתותי ידיה דליהמניה?</w:t>
      </w:r>
      <w:r>
        <w:rPr>
          <w:rtl/>
        </w:rPr>
        <w:t>.</w:t>
      </w:r>
    </w:p>
    <w:p w14:paraId="1ADAC08B" w14:textId="0E9460B4" w:rsidR="00FA2119" w:rsidRDefault="00FA2119" w:rsidP="00FA2119">
      <w:pPr>
        <w:rPr>
          <w:u w:val="single"/>
          <w:rtl/>
        </w:rPr>
      </w:pPr>
      <w:r>
        <w:rPr>
          <w:u w:val="single"/>
          <w:rtl/>
        </w:rPr>
        <w:t xml:space="preserve">שליח קבלה שהגט יוצא מתחת ידו </w:t>
      </w:r>
      <w:r w:rsidR="00A82951">
        <w:rPr>
          <w:u w:val="single"/>
          <w:rtl/>
        </w:rPr>
        <w:t>-</w:t>
      </w:r>
      <w:r>
        <w:rPr>
          <w:u w:val="single"/>
          <w:rtl/>
        </w:rPr>
        <w:t xml:space="preserve"> האם גם הוא צריך להביא עדים שקיבל את הגט מיד הבעל: </w:t>
      </w:r>
    </w:p>
    <w:p w14:paraId="5519535C" w14:textId="0B880FBD" w:rsidR="00FA2119" w:rsidRDefault="00FA2119" w:rsidP="006A458D">
      <w:pPr>
        <w:pStyle w:val="ab"/>
        <w:numPr>
          <w:ilvl w:val="0"/>
          <w:numId w:val="102"/>
        </w:numPr>
        <w:rPr>
          <w:rtl/>
        </w:rPr>
      </w:pPr>
      <w:r>
        <w:rPr>
          <w:rFonts w:cs="Arial"/>
          <w:rtl/>
        </w:rPr>
        <w:t xml:space="preserve">רי"ף </w:t>
      </w:r>
      <w:r>
        <w:rPr>
          <w:rFonts w:cs="Arial"/>
          <w:sz w:val="16"/>
          <w:szCs w:val="16"/>
          <w:rtl/>
        </w:rPr>
        <w:t xml:space="preserve">(בשו"ת סי' כח) </w:t>
      </w:r>
      <w:r>
        <w:rPr>
          <w:rFonts w:cs="Arial"/>
          <w:rtl/>
        </w:rPr>
        <w:t xml:space="preserve">רמב"ם </w:t>
      </w:r>
      <w:r>
        <w:rPr>
          <w:rFonts w:cs="Arial"/>
          <w:sz w:val="16"/>
          <w:szCs w:val="16"/>
          <w:rtl/>
        </w:rPr>
        <w:t>(פ"ו ה"א</w:t>
      </w:r>
      <w:r w:rsidR="00A82951">
        <w:rPr>
          <w:rFonts w:cs="Arial"/>
          <w:sz w:val="16"/>
          <w:szCs w:val="16"/>
          <w:rtl/>
        </w:rPr>
        <w:t>-</w:t>
      </w:r>
      <w:r>
        <w:rPr>
          <w:rFonts w:cs="Arial"/>
          <w:sz w:val="16"/>
          <w:szCs w:val="16"/>
          <w:rtl/>
        </w:rPr>
        <w:t>ב)</w:t>
      </w:r>
      <w:r>
        <w:rPr>
          <w:rFonts w:cs="Arial"/>
          <w:rtl/>
        </w:rPr>
        <w:t xml:space="preserve"> וטור</w:t>
      </w:r>
      <w:r w:rsidR="00A82951">
        <w:rPr>
          <w:rFonts w:cs="Arial"/>
          <w:rtl/>
        </w:rPr>
        <w:t>-</w:t>
      </w:r>
      <w:r>
        <w:rPr>
          <w:rFonts w:cs="Arial"/>
          <w:rtl/>
        </w:rPr>
        <w:t xml:space="preserve"> וצריכה שני עדים שיעידו שהגיע הגט ליד שלוחה... במה דברים אמורים</w:t>
      </w:r>
      <w:r>
        <w:rPr>
          <w:rFonts w:cs="Arial"/>
          <w:sz w:val="16"/>
          <w:szCs w:val="16"/>
          <w:rtl/>
        </w:rPr>
        <w:t xml:space="preserve"> </w:t>
      </w:r>
      <w:r w:rsidR="00A82951">
        <w:rPr>
          <w:rFonts w:cs="Arial"/>
          <w:rtl/>
        </w:rPr>
        <w:t>-</w:t>
      </w:r>
      <w:r>
        <w:rPr>
          <w:rFonts w:cs="Arial"/>
          <w:rtl/>
        </w:rPr>
        <w:t xml:space="preserve"> בשאבד הגט או נקרע, אבל אם היה הגט יוצא מתחת ידי שליח הקבלה</w:t>
      </w:r>
      <w:r>
        <w:rPr>
          <w:rStyle w:val="a7"/>
          <w:rFonts w:cs="Arial"/>
          <w:rtl/>
        </w:rPr>
        <w:footnoteReference w:id="1868"/>
      </w:r>
      <w:r>
        <w:rPr>
          <w:rFonts w:cs="Arial"/>
          <w:rtl/>
        </w:rPr>
        <w:t xml:space="preserve"> </w:t>
      </w:r>
      <w:r w:rsidR="00A82951">
        <w:rPr>
          <w:rFonts w:cs="Arial"/>
          <w:rtl/>
        </w:rPr>
        <w:t>-</w:t>
      </w:r>
      <w:r>
        <w:rPr>
          <w:rFonts w:cs="Arial"/>
          <w:rtl/>
        </w:rPr>
        <w:t xml:space="preserve"> אינו צריך עדים</w:t>
      </w:r>
      <w:r>
        <w:rPr>
          <w:rStyle w:val="a7"/>
          <w:rFonts w:cs="Arial"/>
          <w:rtl/>
        </w:rPr>
        <w:footnoteReference w:id="1869"/>
      </w:r>
      <w:r>
        <w:rPr>
          <w:rFonts w:cs="Arial"/>
          <w:sz w:val="16"/>
          <w:szCs w:val="16"/>
          <w:rtl/>
        </w:rPr>
        <w:t xml:space="preserve"> (ל' הרמב"ם)</w:t>
      </w:r>
      <w:r>
        <w:rPr>
          <w:rFonts w:cs="Arial"/>
          <w:rtl/>
        </w:rPr>
        <w:t xml:space="preserve">. </w:t>
      </w:r>
      <w:r>
        <w:rPr>
          <w:rFonts w:cs="Arial"/>
          <w:color w:val="E36C0A" w:themeColor="accent6" w:themeShade="BF"/>
          <w:rtl/>
        </w:rPr>
        <w:t>(וכ"פ בשו"ע)</w:t>
      </w:r>
    </w:p>
    <w:p w14:paraId="479FD979" w14:textId="77777777" w:rsidR="00FA2119" w:rsidRDefault="00FA2119" w:rsidP="00FA2119">
      <w:pPr>
        <w:ind w:left="360"/>
        <w:rPr>
          <w:u w:val="dotted"/>
        </w:rPr>
      </w:pPr>
      <w:r>
        <w:rPr>
          <w:u w:val="dotted"/>
          <w:rtl/>
        </w:rPr>
        <w:t>ומה הדין אם באמת הבעל נתן לו את הגט ללא עדים:</w:t>
      </w:r>
    </w:p>
    <w:p w14:paraId="5A66C3C2" w14:textId="51A3FEAA" w:rsidR="00FA2119" w:rsidRDefault="00FA2119" w:rsidP="006A458D">
      <w:pPr>
        <w:pStyle w:val="ab"/>
        <w:numPr>
          <w:ilvl w:val="0"/>
          <w:numId w:val="102"/>
        </w:numPr>
      </w:pPr>
      <w:r>
        <w:rPr>
          <w:rFonts w:cs="Arial"/>
          <w:rtl/>
        </w:rPr>
        <w:t xml:space="preserve">רי"ף </w:t>
      </w:r>
      <w:r>
        <w:rPr>
          <w:rFonts w:cs="Arial"/>
          <w:sz w:val="16"/>
          <w:szCs w:val="16"/>
          <w:rtl/>
        </w:rPr>
        <w:t xml:space="preserve">(בשו"ת סי' כח) </w:t>
      </w:r>
      <w:r>
        <w:rPr>
          <w:rFonts w:cs="Arial"/>
          <w:rtl/>
        </w:rPr>
        <w:t xml:space="preserve">ורמב"ם </w:t>
      </w:r>
      <w:r>
        <w:rPr>
          <w:rFonts w:cs="Arial"/>
          <w:sz w:val="16"/>
          <w:szCs w:val="16"/>
          <w:rtl/>
        </w:rPr>
        <w:t>(פ"ו ה"ב, יד</w:t>
      </w:r>
      <w:r w:rsidR="00A82951">
        <w:rPr>
          <w:rFonts w:cs="Arial"/>
          <w:sz w:val="16"/>
          <w:szCs w:val="16"/>
          <w:rtl/>
        </w:rPr>
        <w:t>-</w:t>
      </w:r>
      <w:r>
        <w:rPr>
          <w:rFonts w:cs="Arial"/>
          <w:sz w:val="16"/>
          <w:szCs w:val="16"/>
          <w:rtl/>
        </w:rPr>
        <w:t>טו)</w:t>
      </w:r>
      <w:r w:rsidR="00A82951">
        <w:rPr>
          <w:rFonts w:cs="Arial"/>
          <w:rtl/>
        </w:rPr>
        <w:t>-</w:t>
      </w:r>
      <w:r>
        <w:rPr>
          <w:rFonts w:cs="Arial"/>
          <w:rtl/>
        </w:rPr>
        <w:t xml:space="preserve"> אם היה הגט יוצא מתחת ידי שליח הקבלה אינו צריך עדים</w:t>
      </w:r>
      <w:r w:rsidR="006B362B">
        <w:rPr>
          <w:rFonts w:cs="Arial" w:hint="cs"/>
          <w:rtl/>
        </w:rPr>
        <w:t>,</w:t>
      </w:r>
      <w:r>
        <w:rPr>
          <w:rFonts w:cs="Arial"/>
          <w:rtl/>
        </w:rPr>
        <w:t xml:space="preserve"> בין שנמסר לו בעדים בין שנתנו לו הבעל בינו לבינו, יציאתו מתחת ידו כיציאתו מתחת ידי האשה. ואעפ"כ לכתחלה לא יתן לו הגט אלא בעידי מסירה כמו האשה עצמה...</w:t>
      </w:r>
      <w:r>
        <w:rPr>
          <w:rtl/>
        </w:rPr>
        <w:t xml:space="preserve"> </w:t>
      </w:r>
      <w:r>
        <w:rPr>
          <w:rFonts w:cs="Arial"/>
          <w:sz w:val="16"/>
          <w:szCs w:val="16"/>
          <w:rtl/>
        </w:rPr>
        <w:t xml:space="preserve">{וכ"כ גבי שליח הובאה, </w:t>
      </w:r>
      <w:r w:rsidR="000A0F5A">
        <w:rPr>
          <w:rFonts w:cs="Arial"/>
          <w:sz w:val="16"/>
          <w:szCs w:val="16"/>
          <w:rtl/>
        </w:rPr>
        <w:t>וז"ל:</w:t>
      </w:r>
      <w:r>
        <w:rPr>
          <w:rFonts w:cs="Arial"/>
          <w:sz w:val="16"/>
          <w:szCs w:val="16"/>
          <w:rtl/>
        </w:rPr>
        <w:t xml:space="preserve">} </w:t>
      </w:r>
      <w:r>
        <w:rPr>
          <w:rFonts w:cs="Arial"/>
          <w:rtl/>
        </w:rPr>
        <w:t xml:space="preserve">שליח שהביא גט, כשהוא נותנו לה </w:t>
      </w:r>
      <w:r w:rsidR="00A82951">
        <w:rPr>
          <w:rFonts w:cs="Arial"/>
          <w:rtl/>
        </w:rPr>
        <w:t>-</w:t>
      </w:r>
      <w:r>
        <w:rPr>
          <w:rFonts w:cs="Arial"/>
          <w:rtl/>
        </w:rPr>
        <w:t xml:space="preserve"> נותנו בפני שנים...</w:t>
      </w:r>
      <w:r>
        <w:rPr>
          <w:rtl/>
        </w:rPr>
        <w:t xml:space="preserve"> </w:t>
      </w:r>
      <w:r>
        <w:rPr>
          <w:rFonts w:cs="Arial"/>
          <w:rtl/>
        </w:rPr>
        <w:t>עבר השליח ונתן הגט בינו לבינה</w:t>
      </w:r>
      <w:r w:rsidR="006B362B">
        <w:rPr>
          <w:rFonts w:cs="Arial" w:hint="cs"/>
          <w:rtl/>
        </w:rPr>
        <w:t>,</w:t>
      </w:r>
      <w:r>
        <w:rPr>
          <w:rFonts w:cs="Arial"/>
          <w:rtl/>
        </w:rPr>
        <w:t xml:space="preserve"> יטלנו ממנה ויחזור ויתננו לה בפני שנים, ואם מת הואיל והגט יוצא מתחת ידה מקויים בחותמיו</w:t>
      </w:r>
      <w:r w:rsidR="006B362B">
        <w:rPr>
          <w:rFonts w:cs="Arial" w:hint="cs"/>
          <w:rtl/>
        </w:rPr>
        <w:t xml:space="preserve"> -</w:t>
      </w:r>
      <w:r>
        <w:rPr>
          <w:rFonts w:cs="Arial"/>
          <w:rtl/>
        </w:rPr>
        <w:t xml:space="preserve"> הרי זה כשר</w:t>
      </w:r>
      <w:r>
        <w:rPr>
          <w:rStyle w:val="a7"/>
          <w:rFonts w:cs="Arial"/>
          <w:rtl/>
        </w:rPr>
        <w:footnoteReference w:id="1870"/>
      </w:r>
      <w:r>
        <w:rPr>
          <w:rFonts w:cs="Arial"/>
          <w:sz w:val="16"/>
          <w:szCs w:val="16"/>
          <w:rtl/>
        </w:rPr>
        <w:t xml:space="preserve"> (ל' הרמב"ם)</w:t>
      </w:r>
      <w:r>
        <w:rPr>
          <w:rFonts w:cs="Arial"/>
          <w:rtl/>
        </w:rPr>
        <w:t>.</w:t>
      </w:r>
      <w:r>
        <w:rPr>
          <w:rtl/>
        </w:rPr>
        <w:t xml:space="preserve"> </w:t>
      </w:r>
    </w:p>
    <w:p w14:paraId="3370CA49" w14:textId="5FE4B08F"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למאי דכתבינן לעיל (סי' קלג) דאף באשה עצמה אם לא נמסר לה בפני עדים פסול, א"כ הוא הדין נמי בשלוחה המקבל אותו. ומיהו הא דבעינן שצריך שתביא שני עדים שנמסר לה בפניהם </w:t>
      </w:r>
      <w:r w:rsidR="00A82951">
        <w:rPr>
          <w:rFonts w:cs="Arial"/>
          <w:rtl/>
        </w:rPr>
        <w:t>-</w:t>
      </w:r>
      <w:r>
        <w:rPr>
          <w:rFonts w:cs="Arial"/>
          <w:rtl/>
        </w:rPr>
        <w:t xml:space="preserve"> מיירי כשאין מכירין חתימת העדים החתומים על הגט, אבל אם נתקיימו</w:t>
      </w:r>
      <w:r>
        <w:rPr>
          <w:rStyle w:val="a7"/>
          <w:rFonts w:cs="Arial"/>
          <w:rtl/>
        </w:rPr>
        <w:footnoteReference w:id="1871"/>
      </w:r>
      <w:r>
        <w:rPr>
          <w:rFonts w:cs="Arial"/>
          <w:rtl/>
        </w:rPr>
        <w:t xml:space="preserve"> חתימת העדים שעל הגט אין צריך שתביא עדי מסירה בפנינו, רק ייאמר השליח שקבלו בפני שנים ומתירין אותה על פי הגט שחתום בעדים, שאנו תולין שבא לידו כראוי כדפירשתי לעיל. </w:t>
      </w:r>
    </w:p>
    <w:p w14:paraId="090D2013"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57942C4D" w14:textId="77777777" w:rsidR="00FA2119" w:rsidRDefault="00FA2119" w:rsidP="00FA2119">
      <w:pPr>
        <w:rPr>
          <w:rtl/>
        </w:rPr>
      </w:pPr>
      <w:r>
        <w:rPr>
          <w:rFonts w:cs="Arial"/>
          <w:rtl/>
        </w:rPr>
        <w:t xml:space="preserve">במה דברים אמורים שצריך עדי קבלה, כשאבד הגט או נקרע. אבל אם היה הגט יוצא מתחת יד שליח קבלה, אינו צריך עידי קבלה. </w:t>
      </w:r>
      <w:r>
        <w:rPr>
          <w:rFonts w:cs="Arial"/>
          <w:sz w:val="18"/>
          <w:szCs w:val="18"/>
          <w:rtl/>
        </w:rPr>
        <w:t>[הגה] ועיין לקמן סימן זה סעיף י"ג</w:t>
      </w:r>
      <w:r>
        <w:rPr>
          <w:rFonts w:cs="Arial"/>
          <w:rtl/>
        </w:rPr>
        <w:t xml:space="preserve">. </w:t>
      </w:r>
    </w:p>
    <w:p w14:paraId="6A74770A" w14:textId="77777777" w:rsidR="00FA2119" w:rsidRDefault="00FA2119" w:rsidP="00FA2119">
      <w:pPr>
        <w:rPr>
          <w:rtl/>
        </w:rPr>
      </w:pPr>
    </w:p>
    <w:p w14:paraId="11079826" w14:textId="77777777" w:rsidR="00FA2119" w:rsidRDefault="00FA2119" w:rsidP="00FA2119">
      <w:pPr>
        <w:pStyle w:val="2"/>
        <w:rPr>
          <w:rtl/>
        </w:rPr>
      </w:pPr>
      <w:r>
        <w:rPr>
          <w:rtl/>
        </w:rPr>
        <w:lastRenderedPageBreak/>
        <w:t>סעיף יא: עשיית שליח הולכה בפני ב' עדים.</w:t>
      </w:r>
    </w:p>
    <w:p w14:paraId="6B64914A" w14:textId="774BA740" w:rsidR="00FA2119" w:rsidRDefault="00FA2119" w:rsidP="00FA2119">
      <w:pPr>
        <w:rPr>
          <w:rFonts w:cs="Arial"/>
          <w:rtl/>
        </w:rPr>
      </w:pPr>
      <w:r>
        <w:rPr>
          <w:rFonts w:cs="Arial"/>
          <w:b/>
          <w:bCs/>
          <w:rtl/>
        </w:rPr>
        <w:t xml:space="preserve">ירושלמי גיטין פ"ד ה"א: </w:t>
      </w:r>
      <w:r>
        <w:rPr>
          <w:rFonts w:cs="Arial"/>
          <w:rtl/>
        </w:rPr>
        <w:t xml:space="preserve">עשה שליח להוליך את הגט </w:t>
      </w:r>
      <w:r w:rsidR="00A82951">
        <w:rPr>
          <w:rFonts w:cs="Arial"/>
          <w:rtl/>
        </w:rPr>
        <w:t>-</w:t>
      </w:r>
      <w:r>
        <w:rPr>
          <w:rFonts w:cs="Arial"/>
          <w:rtl/>
        </w:rPr>
        <w:t xml:space="preserve"> צריך ליתנו לה בפני שנים, ואין השליח עולה לו משום שנים.</w:t>
      </w:r>
      <w:r>
        <w:rPr>
          <w:rtl/>
        </w:rPr>
        <w:t xml:space="preserve"> </w:t>
      </w:r>
      <w:r>
        <w:rPr>
          <w:rFonts w:cs="Arial"/>
          <w:rtl/>
        </w:rPr>
        <w:t xml:space="preserve">[עשה שליח להוליך את הגט </w:t>
      </w:r>
      <w:r w:rsidR="00A82951">
        <w:rPr>
          <w:rFonts w:cs="Arial"/>
          <w:rtl/>
        </w:rPr>
        <w:t>-</w:t>
      </w:r>
      <w:r>
        <w:rPr>
          <w:rFonts w:cs="Arial"/>
          <w:rtl/>
        </w:rPr>
        <w:t xml:space="preserve"> צריך להחזיקו בפני שנים, ואין השליח עולה משום שנים]</w:t>
      </w:r>
      <w:r>
        <w:rPr>
          <w:rStyle w:val="a7"/>
          <w:rFonts w:cs="Arial"/>
          <w:rtl/>
        </w:rPr>
        <w:footnoteReference w:id="1872"/>
      </w:r>
      <w:r>
        <w:rPr>
          <w:rFonts w:cs="Arial"/>
          <w:rtl/>
        </w:rPr>
        <w:t xml:space="preserve">. הלך השליח לבטל את הגט </w:t>
      </w:r>
      <w:r w:rsidR="00A82951">
        <w:rPr>
          <w:rFonts w:cs="Arial"/>
          <w:rtl/>
        </w:rPr>
        <w:t>-</w:t>
      </w:r>
      <w:r>
        <w:rPr>
          <w:rFonts w:cs="Arial"/>
          <w:rtl/>
        </w:rPr>
        <w:t xml:space="preserve"> צריך לבטלו בפני שנים, והשליח עולה משום שנים.</w:t>
      </w:r>
    </w:p>
    <w:p w14:paraId="0C26B986" w14:textId="77777777" w:rsidR="00FA2119" w:rsidRDefault="00FA2119" w:rsidP="00FA2119">
      <w:pPr>
        <w:rPr>
          <w:rFonts w:cs="Arial"/>
          <w:u w:val="single"/>
          <w:rtl/>
        </w:rPr>
      </w:pPr>
      <w:r>
        <w:rPr>
          <w:rFonts w:cs="Arial"/>
          <w:u w:val="single"/>
          <w:rtl/>
        </w:rPr>
        <w:t>כיצד יש לפרש את דברי הירושלמי:</w:t>
      </w:r>
    </w:p>
    <w:p w14:paraId="44A8040D" w14:textId="45E31F10" w:rsidR="00FA2119" w:rsidRDefault="00FA2119" w:rsidP="006A458D">
      <w:pPr>
        <w:pStyle w:val="ab"/>
        <w:numPr>
          <w:ilvl w:val="0"/>
          <w:numId w:val="104"/>
        </w:numPr>
        <w:rPr>
          <w:rFonts w:cs="Arial"/>
          <w:rtl/>
        </w:rPr>
      </w:pPr>
      <w:r>
        <w:rPr>
          <w:rFonts w:cs="Arial"/>
          <w:rtl/>
        </w:rPr>
        <w:t xml:space="preserve">רא"ש </w:t>
      </w:r>
      <w:r>
        <w:rPr>
          <w:sz w:val="16"/>
          <w:szCs w:val="16"/>
          <w:rtl/>
        </w:rPr>
        <w:t>(פ"ד סי' ב)</w:t>
      </w:r>
      <w:r>
        <w:rPr>
          <w:rFonts w:cs="Arial"/>
          <w:rtl/>
        </w:rPr>
        <w:t xml:space="preserve"> ורי"ו</w:t>
      </w:r>
      <w:r>
        <w:rPr>
          <w:rFonts w:cs="Arial"/>
          <w:sz w:val="16"/>
          <w:szCs w:val="16"/>
          <w:rtl/>
        </w:rPr>
        <w:t xml:space="preserve"> (ח"ג נכ"ד רז.)</w:t>
      </w:r>
      <w:r w:rsidR="00A82951">
        <w:rPr>
          <w:rFonts w:cs="Arial"/>
          <w:rtl/>
        </w:rPr>
        <w:t>-</w:t>
      </w:r>
      <w:r>
        <w:rPr>
          <w:rFonts w:cs="Arial"/>
          <w:rtl/>
        </w:rPr>
        <w:t xml:space="preserve"> הא דקאמר 'צריך ליתנו לה בפני שנים' </w:t>
      </w:r>
      <w:r w:rsidR="00A82951">
        <w:rPr>
          <w:rFonts w:cs="Arial"/>
          <w:rtl/>
        </w:rPr>
        <w:t>-</w:t>
      </w:r>
      <w:r>
        <w:rPr>
          <w:rFonts w:cs="Arial"/>
          <w:rtl/>
        </w:rPr>
        <w:t xml:space="preserve"> היינו כר' אלעזר דאמר עדי מסירה כרתי, או אפילו כרבי מאיר וכמו שפירש ר"ת </w:t>
      </w:r>
      <w:r>
        <w:rPr>
          <w:rFonts w:cs="Arial"/>
          <w:sz w:val="16"/>
          <w:szCs w:val="16"/>
          <w:rtl/>
        </w:rPr>
        <w:t xml:space="preserve">(ד. ד"ה דקי"ל) </w:t>
      </w:r>
      <w:r>
        <w:rPr>
          <w:rFonts w:cs="Arial"/>
          <w:rtl/>
        </w:rPr>
        <w:t xml:space="preserve">דאין דבר שבערוה פחות משנים. וכיון שנתרת לשוק בגט זה צריך שנים בנתינת הגט ואין סומכין על עדי חתימה. 'ואין השליח משום שנים' </w:t>
      </w:r>
      <w:r w:rsidR="00A82951">
        <w:rPr>
          <w:rFonts w:cs="Arial"/>
          <w:rtl/>
        </w:rPr>
        <w:t>-</w:t>
      </w:r>
      <w:r>
        <w:rPr>
          <w:rFonts w:cs="Arial"/>
          <w:rtl/>
        </w:rPr>
        <w:t xml:space="preserve"> שהרי הוא עומד במקום הבעל</w:t>
      </w:r>
      <w:r>
        <w:rPr>
          <w:rStyle w:val="a7"/>
          <w:rFonts w:cs="Arial"/>
          <w:rtl/>
        </w:rPr>
        <w:footnoteReference w:id="1873"/>
      </w:r>
      <w:r>
        <w:rPr>
          <w:rFonts w:cs="Arial"/>
          <w:sz w:val="16"/>
          <w:szCs w:val="16"/>
          <w:rtl/>
        </w:rPr>
        <w:t xml:space="preserve"> (ל' הרא"ש)</w:t>
      </w:r>
      <w:r>
        <w:rPr>
          <w:rFonts w:cs="Arial"/>
          <w:rtl/>
        </w:rPr>
        <w:t>.</w:t>
      </w:r>
    </w:p>
    <w:p w14:paraId="7CB02D4D" w14:textId="50004008" w:rsidR="00FA2119" w:rsidRDefault="00FA2119" w:rsidP="006A458D">
      <w:pPr>
        <w:pStyle w:val="ab"/>
        <w:numPr>
          <w:ilvl w:val="0"/>
          <w:numId w:val="104"/>
        </w:numPr>
        <w:rPr>
          <w:rFonts w:cs="Arial"/>
        </w:rPr>
      </w:pPr>
      <w:r>
        <w:rPr>
          <w:rFonts w:cs="Arial"/>
          <w:rtl/>
        </w:rPr>
        <w:t xml:space="preserve">בהעי"ט </w:t>
      </w:r>
      <w:r>
        <w:rPr>
          <w:rFonts w:cs="Arial"/>
          <w:sz w:val="16"/>
          <w:szCs w:val="16"/>
          <w:rtl/>
        </w:rPr>
        <w:t xml:space="preserve">(אות ש שלישות גט מו.) </w:t>
      </w:r>
      <w:r>
        <w:rPr>
          <w:rFonts w:cs="Arial"/>
          <w:rtl/>
        </w:rPr>
        <w:t>וטור</w:t>
      </w:r>
      <w:r w:rsidR="00A82951">
        <w:rPr>
          <w:rFonts w:cs="Arial"/>
          <w:rtl/>
        </w:rPr>
        <w:t>-</w:t>
      </w:r>
      <w:r>
        <w:rPr>
          <w:rFonts w:cs="Arial"/>
          <w:rtl/>
        </w:rPr>
        <w:t xml:space="preserve"> ש"מ מדקאמר אין השליח עולה במקום שנים </w:t>
      </w:r>
      <w:r w:rsidR="00A82951">
        <w:rPr>
          <w:rFonts w:cs="Arial"/>
          <w:rtl/>
        </w:rPr>
        <w:t>-</w:t>
      </w:r>
      <w:r>
        <w:rPr>
          <w:rFonts w:cs="Arial"/>
          <w:rtl/>
        </w:rPr>
        <w:t xml:space="preserve"> אבל בעד אחד עולה</w:t>
      </w:r>
      <w:r>
        <w:rPr>
          <w:rStyle w:val="a7"/>
          <w:rFonts w:cs="Arial"/>
          <w:rtl/>
        </w:rPr>
        <w:footnoteReference w:id="1874"/>
      </w:r>
      <w:r>
        <w:rPr>
          <w:rFonts w:cs="Arial"/>
          <w:rtl/>
        </w:rPr>
        <w:t xml:space="preserve">. ש"מ שליח נעשה עד כדגרסינן בפ"ב דקידושין </w:t>
      </w:r>
      <w:r>
        <w:rPr>
          <w:rFonts w:cs="Arial"/>
          <w:sz w:val="16"/>
          <w:szCs w:val="16"/>
          <w:rtl/>
        </w:rPr>
        <w:t xml:space="preserve">(מג.) </w:t>
      </w:r>
      <w:r>
        <w:rPr>
          <w:rFonts w:cs="Arial"/>
          <w:rtl/>
        </w:rPr>
        <w:t>והלכה שליח נעשה עד, דאמר רבא אמר רב נחמן אמר לשנים צאו קדשו את האשה הן הן שלוחיו הן הן עדיו. וכן בגירושין וכן בדיני ממונות וכדאיתא התם</w:t>
      </w:r>
      <w:r>
        <w:rPr>
          <w:rFonts w:cs="Arial"/>
          <w:sz w:val="16"/>
          <w:szCs w:val="16"/>
          <w:rtl/>
        </w:rPr>
        <w:t xml:space="preserve"> (ל' בהעי"ט)</w:t>
      </w:r>
      <w:r>
        <w:rPr>
          <w:rFonts w:cs="Arial"/>
          <w:rtl/>
        </w:rPr>
        <w:t>.</w:t>
      </w:r>
    </w:p>
    <w:p w14:paraId="0DC6E739" w14:textId="2319FCC3" w:rsidR="00FA2119" w:rsidRDefault="00FA2119" w:rsidP="006A458D">
      <w:pPr>
        <w:pStyle w:val="ab"/>
        <w:numPr>
          <w:ilvl w:val="0"/>
          <w:numId w:val="104"/>
        </w:numPr>
        <w:rPr>
          <w:rFonts w:cs="Arial"/>
        </w:rPr>
      </w:pPr>
      <w:r>
        <w:rPr>
          <w:rFonts w:cs="Arial"/>
          <w:rtl/>
        </w:rPr>
        <w:t xml:space="preserve">רשב"א </w:t>
      </w:r>
      <w:r>
        <w:rPr>
          <w:rFonts w:cs="Arial"/>
          <w:sz w:val="16"/>
          <w:szCs w:val="16"/>
          <w:rtl/>
        </w:rPr>
        <w:t>(לב. ד"ה ירושלמי)</w:t>
      </w:r>
      <w:r w:rsidR="00A82951">
        <w:rPr>
          <w:rFonts w:cs="Arial"/>
          <w:rtl/>
        </w:rPr>
        <w:t>-</w:t>
      </w:r>
      <w:r>
        <w:rPr>
          <w:rFonts w:cs="Arial"/>
          <w:rtl/>
        </w:rPr>
        <w:t xml:space="preserve"> במקום שצריך להתקיים בחותמיו עסקינן </w:t>
      </w:r>
      <w:r>
        <w:rPr>
          <w:rFonts w:cs="Arial"/>
          <w:sz w:val="16"/>
          <w:szCs w:val="16"/>
          <w:rtl/>
        </w:rPr>
        <w:t>{כגון המביא ממדינה למדינה בחו"ל, א"נ בארץ במקום שיש חרום ידוע}</w:t>
      </w:r>
      <w:r>
        <w:rPr>
          <w:rFonts w:cs="Arial"/>
          <w:rtl/>
        </w:rPr>
        <w:t xml:space="preserve">, שצריך ליתנו לה בפני שנים והוא כדי שיהו בית דין ויתקיים בפניהם. ואיצטריך לאשמעינן דאע"ג דבעדי קיום שטרות דעלמא בעינן שנים ובגט השליח עולה משום שנים </w:t>
      </w:r>
      <w:r w:rsidR="00A82951">
        <w:rPr>
          <w:rFonts w:cs="Arial"/>
          <w:rtl/>
        </w:rPr>
        <w:t>-</w:t>
      </w:r>
      <w:r>
        <w:rPr>
          <w:rFonts w:cs="Arial"/>
          <w:rtl/>
        </w:rPr>
        <w:t xml:space="preserve"> לענין דייני קיום אינו כן, אלא לענין דייני קיום אין השליח עולה משום שנים, אלא שנים מלבד השליח בעינן. אבל כל היכא שאינו צריך ליתנו לה אלא בפני שנים לבד</w:t>
      </w:r>
      <w:r>
        <w:rPr>
          <w:rFonts w:cs="Arial"/>
          <w:sz w:val="16"/>
          <w:szCs w:val="16"/>
          <w:rtl/>
        </w:rPr>
        <w:t xml:space="preserve"> {כגון המביא במדינה אחת בחו"ל, א"נ בארץ במקום שאין חרום ידוע}</w:t>
      </w:r>
      <w:r>
        <w:rPr>
          <w:rFonts w:cs="Arial"/>
          <w:rtl/>
        </w:rPr>
        <w:t xml:space="preserve"> </w:t>
      </w:r>
      <w:r w:rsidR="00A82951">
        <w:rPr>
          <w:rFonts w:cs="Arial"/>
          <w:rtl/>
        </w:rPr>
        <w:t>-</w:t>
      </w:r>
      <w:r>
        <w:rPr>
          <w:rFonts w:cs="Arial"/>
          <w:rtl/>
        </w:rPr>
        <w:t xml:space="preserve"> אז ודאי שליח עולה משום שנים, דהא לכולי עלמא שליח נעשה עד כדאיתא בריש מכילתין (ה:).</w:t>
      </w:r>
    </w:p>
    <w:p w14:paraId="22A1401D" w14:textId="77A4A7A8" w:rsidR="00FA2119" w:rsidRDefault="00FA2119" w:rsidP="00FA2119">
      <w:pPr>
        <w:rPr>
          <w:u w:val="single"/>
        </w:rPr>
      </w:pPr>
      <w:r>
        <w:rPr>
          <w:u w:val="single"/>
          <w:rtl/>
        </w:rPr>
        <w:t xml:space="preserve">למעשה </w:t>
      </w:r>
      <w:r w:rsidR="00A82951">
        <w:rPr>
          <w:u w:val="single"/>
          <w:rtl/>
        </w:rPr>
        <w:t>-</w:t>
      </w:r>
      <w:r>
        <w:rPr>
          <w:u w:val="single"/>
          <w:rtl/>
        </w:rPr>
        <w:t xml:space="preserve"> האם צריך להחזיק שליח הולכה/הובאה בפני ב' בעדים:</w:t>
      </w:r>
    </w:p>
    <w:p w14:paraId="1F255A2D" w14:textId="5551CC9D" w:rsidR="00FA2119" w:rsidRDefault="00FA2119" w:rsidP="006A458D">
      <w:pPr>
        <w:pStyle w:val="ab"/>
        <w:numPr>
          <w:ilvl w:val="0"/>
          <w:numId w:val="104"/>
        </w:numPr>
      </w:pPr>
      <w:r>
        <w:rPr>
          <w:rFonts w:cs="Arial"/>
          <w:rtl/>
        </w:rPr>
        <w:t xml:space="preserve">רמב"ם </w:t>
      </w:r>
      <w:r>
        <w:rPr>
          <w:rFonts w:cs="Arial"/>
          <w:sz w:val="16"/>
          <w:szCs w:val="16"/>
          <w:rtl/>
        </w:rPr>
        <w:t>(גירושין פ"ו ה"ד)</w:t>
      </w:r>
      <w:r w:rsidR="00A82951">
        <w:rPr>
          <w:rFonts w:cs="Arial"/>
          <w:rtl/>
        </w:rPr>
        <w:t>-</w:t>
      </w:r>
      <w:r>
        <w:rPr>
          <w:rFonts w:cs="Arial"/>
          <w:rtl/>
        </w:rPr>
        <w:t xml:space="preserve"> וכן האשה שולחת שליח להביא לה גטה מיד בעלה וזה הוא הנקרא שליח הבאה, ואין שליח הולכה והבאה צריך עדים, </w:t>
      </w:r>
      <w:r>
        <w:rPr>
          <w:rFonts w:cs="Arial"/>
          <w:sz w:val="16"/>
          <w:szCs w:val="16"/>
          <w:rtl/>
        </w:rPr>
        <w:t>(ובהלכות אישות [פ"ג הט"ו] כתב הטעם</w:t>
      </w:r>
      <w:r w:rsidR="00A82951">
        <w:rPr>
          <w:rFonts w:cs="Arial"/>
          <w:sz w:val="16"/>
          <w:szCs w:val="16"/>
          <w:rtl/>
        </w:rPr>
        <w:t>-</w:t>
      </w:r>
      <w:r>
        <w:rPr>
          <w:rFonts w:cs="Arial"/>
          <w:sz w:val="16"/>
          <w:szCs w:val="16"/>
          <w:rtl/>
        </w:rPr>
        <w:t>)</w:t>
      </w:r>
      <w:r>
        <w:rPr>
          <w:rFonts w:cs="Arial"/>
          <w:rtl/>
        </w:rPr>
        <w:t xml:space="preserve"> שאין מקום לעדים בשליחות האיש אלא להודיע אמתת הדבר, לפיכך אם הודו השליח והמשלח </w:t>
      </w:r>
      <w:r w:rsidR="00A82951">
        <w:rPr>
          <w:rFonts w:cs="Arial"/>
          <w:rtl/>
        </w:rPr>
        <w:t>-</w:t>
      </w:r>
      <w:r>
        <w:rPr>
          <w:rFonts w:cs="Arial"/>
          <w:rtl/>
        </w:rPr>
        <w:t xml:space="preserve"> אינן צריכין עדים</w:t>
      </w:r>
      <w:r>
        <w:rPr>
          <w:rStyle w:val="a7"/>
          <w:rFonts w:cs="Arial"/>
          <w:rtl/>
        </w:rPr>
        <w:footnoteReference w:id="1875"/>
      </w:r>
      <w:r>
        <w:rPr>
          <w:rFonts w:cs="Arial"/>
          <w:rtl/>
        </w:rPr>
        <w:t>, כמו שליח הגט וכמו שליח שהרשהו להפריש לו תרומה וכיוצא בהן, בכל שלוחו של אדם כמותו ואינו צריך עדים.</w:t>
      </w:r>
      <w:r>
        <w:rPr>
          <w:rtl/>
        </w:rPr>
        <w:t xml:space="preserve"> </w:t>
      </w:r>
      <w:r>
        <w:rPr>
          <w:color w:val="E36C0A" w:themeColor="accent6" w:themeShade="BF"/>
          <w:rtl/>
        </w:rPr>
        <w:t>(וכ"</w:t>
      </w:r>
      <w:r w:rsidR="004441C1">
        <w:rPr>
          <w:rFonts w:hint="cs"/>
          <w:color w:val="E36C0A" w:themeColor="accent6" w:themeShade="BF"/>
          <w:rtl/>
        </w:rPr>
        <w:t>ס</w:t>
      </w:r>
      <w:r>
        <w:rPr>
          <w:color w:val="E36C0A" w:themeColor="accent6" w:themeShade="BF"/>
          <w:rtl/>
        </w:rPr>
        <w:t xml:space="preserve"> בשו"ע</w:t>
      </w:r>
      <w:r>
        <w:rPr>
          <w:color w:val="E36C0A" w:themeColor="accent6" w:themeShade="BF"/>
          <w:sz w:val="16"/>
          <w:szCs w:val="16"/>
          <w:rtl/>
        </w:rPr>
        <w:t xml:space="preserve"> </w:t>
      </w:r>
      <w:r>
        <w:rPr>
          <w:color w:val="000000" w:themeColor="text1"/>
          <w:sz w:val="16"/>
          <w:szCs w:val="16"/>
          <w:rtl/>
        </w:rPr>
        <w:t>[כאן ובסע' יב]</w:t>
      </w:r>
      <w:r>
        <w:rPr>
          <w:color w:val="E36C0A" w:themeColor="accent6" w:themeShade="BF"/>
          <w:rtl/>
        </w:rPr>
        <w:t>)</w:t>
      </w:r>
    </w:p>
    <w:p w14:paraId="77012851" w14:textId="0A71B6D8" w:rsidR="00FA2119" w:rsidRDefault="00FA2119" w:rsidP="006A458D">
      <w:pPr>
        <w:pStyle w:val="ab"/>
        <w:numPr>
          <w:ilvl w:val="0"/>
          <w:numId w:val="104"/>
        </w:numPr>
      </w:pPr>
      <w:r>
        <w:rPr>
          <w:rFonts w:cs="Arial"/>
          <w:rtl/>
        </w:rPr>
        <w:t xml:space="preserve">רא"ש </w:t>
      </w:r>
      <w:r>
        <w:rPr>
          <w:rFonts w:cs="Arial"/>
          <w:sz w:val="16"/>
          <w:szCs w:val="16"/>
          <w:rtl/>
        </w:rPr>
        <w:t>(גיטין פ"ד סי' ב)</w:t>
      </w:r>
      <w:r>
        <w:rPr>
          <w:rFonts w:cs="Arial"/>
          <w:rtl/>
        </w:rPr>
        <w:t xml:space="preserve"> ורי"ו</w:t>
      </w:r>
      <w:r>
        <w:rPr>
          <w:rFonts w:cs="Arial"/>
          <w:sz w:val="16"/>
          <w:szCs w:val="16"/>
          <w:rtl/>
        </w:rPr>
        <w:t xml:space="preserve"> (ח"ג נכ"ד רז.)</w:t>
      </w:r>
      <w:r w:rsidR="00A82951">
        <w:rPr>
          <w:rFonts w:cs="Arial"/>
          <w:rtl/>
        </w:rPr>
        <w:t>-</w:t>
      </w:r>
      <w:r>
        <w:rPr>
          <w:rFonts w:cs="Arial"/>
          <w:rtl/>
        </w:rPr>
        <w:t xml:space="preserve"> צריכין שנים מלבד השליח, שאין השליח משום שנים שהרי הוא עומד במקום הבעל</w:t>
      </w:r>
      <w:r>
        <w:rPr>
          <w:rStyle w:val="a7"/>
          <w:rFonts w:cs="Arial"/>
          <w:rtl/>
        </w:rPr>
        <w:footnoteReference w:id="1876"/>
      </w:r>
      <w:r>
        <w:rPr>
          <w:rtl/>
        </w:rPr>
        <w:t>.</w:t>
      </w:r>
    </w:p>
    <w:p w14:paraId="02749F92" w14:textId="036CA7F8" w:rsidR="00FA2119" w:rsidRDefault="00FA2119" w:rsidP="006A458D">
      <w:pPr>
        <w:pStyle w:val="ab"/>
        <w:numPr>
          <w:ilvl w:val="0"/>
          <w:numId w:val="104"/>
        </w:numPr>
        <w:rPr>
          <w:rFonts w:cs="Arial"/>
        </w:rPr>
      </w:pPr>
      <w:r>
        <w:rPr>
          <w:rFonts w:cs="Arial"/>
          <w:rtl/>
        </w:rPr>
        <w:lastRenderedPageBreak/>
        <w:t>טור</w:t>
      </w:r>
      <w:r w:rsidR="00A82951">
        <w:rPr>
          <w:rFonts w:cs="Arial"/>
          <w:rtl/>
        </w:rPr>
        <w:t>-</w:t>
      </w:r>
      <w:r>
        <w:rPr>
          <w:rFonts w:cs="Arial"/>
          <w:rtl/>
        </w:rPr>
        <w:t xml:space="preserve"> נראה שהוא עד אחד</w:t>
      </w:r>
      <w:r w:rsidR="00B34E3B">
        <w:rPr>
          <w:rFonts w:cs="Arial" w:hint="cs"/>
          <w:rtl/>
        </w:rPr>
        <w:t>,</w:t>
      </w:r>
      <w:r>
        <w:rPr>
          <w:rFonts w:cs="Arial"/>
          <w:rtl/>
        </w:rPr>
        <w:t xml:space="preserve"> והשני שחתום עמו על השליחות צריך שיתקיים חתימתו קודם שיתן השליח גט לאשה</w:t>
      </w:r>
      <w:r>
        <w:rPr>
          <w:rStyle w:val="a7"/>
          <w:rFonts w:cs="Arial"/>
          <w:rtl/>
        </w:rPr>
        <w:footnoteReference w:id="1877"/>
      </w:r>
      <w:r>
        <w:rPr>
          <w:rFonts w:cs="Arial"/>
          <w:rtl/>
        </w:rPr>
        <w:t xml:space="preserve">. </w:t>
      </w:r>
    </w:p>
    <w:p w14:paraId="4F1A4621" w14:textId="39909A6D" w:rsidR="00FA2119" w:rsidRDefault="00FA2119" w:rsidP="00FA2119">
      <w:pPr>
        <w:ind w:left="360"/>
        <w:rPr>
          <w:rFonts w:cs="Arial"/>
          <w:u w:val="dotted"/>
        </w:rPr>
      </w:pPr>
      <w:r>
        <w:rPr>
          <w:rFonts w:cs="Arial"/>
          <w:u w:val="dotted"/>
          <w:rtl/>
        </w:rPr>
        <w:t xml:space="preserve">לרמב"ם וסיעתו </w:t>
      </w:r>
      <w:r w:rsidR="00A82951">
        <w:rPr>
          <w:rFonts w:cs="Arial"/>
          <w:u w:val="dotted"/>
          <w:rtl/>
        </w:rPr>
        <w:t>-</w:t>
      </w:r>
      <w:r>
        <w:rPr>
          <w:rFonts w:cs="Arial"/>
          <w:u w:val="dotted"/>
          <w:rtl/>
        </w:rPr>
        <w:t xml:space="preserve"> מה הדין אם לאחר שנתן השליח את הגט לאשה הבעל מכחיש שעשאו שליח:</w:t>
      </w:r>
    </w:p>
    <w:p w14:paraId="3E0152A2" w14:textId="4700F47B" w:rsidR="00FA2119" w:rsidRDefault="00FA2119" w:rsidP="006A458D">
      <w:pPr>
        <w:pStyle w:val="ab"/>
        <w:numPr>
          <w:ilvl w:val="0"/>
          <w:numId w:val="104"/>
        </w:numPr>
        <w:rPr>
          <w:rFonts w:cs="Arial"/>
        </w:rPr>
      </w:pPr>
      <w:r>
        <w:rPr>
          <w:rFonts w:cs="Arial"/>
          <w:rtl/>
        </w:rPr>
        <w:t>הגה"מ</w:t>
      </w:r>
      <w:r>
        <w:rPr>
          <w:rFonts w:cs="Arial"/>
          <w:sz w:val="16"/>
          <w:szCs w:val="16"/>
          <w:rtl/>
        </w:rPr>
        <w:t xml:space="preserve"> (פ"ג מאישות הט"ו אות ל)</w:t>
      </w:r>
      <w:r w:rsidR="00A82951">
        <w:rPr>
          <w:rFonts w:cs="Arial"/>
          <w:rtl/>
        </w:rPr>
        <w:t>-</w:t>
      </w:r>
      <w:r>
        <w:rPr>
          <w:rFonts w:cs="Arial"/>
          <w:rtl/>
        </w:rPr>
        <w:t xml:space="preserve"> ואם כופר המשלח אחרי נתינת הגט והקידושין </w:t>
      </w:r>
      <w:r w:rsidR="00A82951">
        <w:rPr>
          <w:rFonts w:cs="Arial"/>
          <w:rtl/>
        </w:rPr>
        <w:t>-</w:t>
      </w:r>
      <w:r>
        <w:rPr>
          <w:rFonts w:cs="Arial"/>
          <w:rtl/>
        </w:rPr>
        <w:t xml:space="preserve"> ה"ל ספק ואזלינן לחומרא שהרי יצא שלישותו מתחת ידו. ולראבי"ה נראה דאין קידושיו קידושין כלל, כדאמרינן מי קנפיק גיטא מתותיה ידיה דליהמנא. ועיין בהלכות גירושין פ"ו ופ"ז ע"ב.</w:t>
      </w:r>
    </w:p>
    <w:p w14:paraId="53CBD7E2"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E25DA6F" w14:textId="77777777" w:rsidR="00FA2119" w:rsidRDefault="00FA2119" w:rsidP="00FA2119">
      <w:pPr>
        <w:rPr>
          <w:rtl/>
        </w:rPr>
      </w:pPr>
      <w:r>
        <w:rPr>
          <w:rFonts w:cs="Arial"/>
          <w:rtl/>
        </w:rPr>
        <w:t xml:space="preserve">אין שליח הולכה צריך עדים אם הודו השליח והמשלח. ואם המשלח כופר, הרי זה ספק. ויש אומרים ששליח הולכה צריך למנותו בעדים. </w:t>
      </w:r>
      <w:r>
        <w:rPr>
          <w:rFonts w:cs="Arial"/>
          <w:sz w:val="18"/>
          <w:szCs w:val="18"/>
          <w:rtl/>
        </w:rPr>
        <w:t>הגה: מיהו השליח נאמן לומר שעשאו בעדים, ואין צריך עדות על כך (ב"י בשם הרא"ש והטור, הגה"מ בשם סמ"ג, סמ"ק בשם ר"י). ונוהגין להצריך הרשאה</w:t>
      </w:r>
      <w:r>
        <w:rPr>
          <w:rStyle w:val="a7"/>
          <w:rFonts w:cs="Arial"/>
          <w:sz w:val="18"/>
          <w:szCs w:val="18"/>
          <w:rtl/>
        </w:rPr>
        <w:footnoteReference w:id="1878"/>
      </w:r>
      <w:r>
        <w:rPr>
          <w:rFonts w:cs="Arial"/>
          <w:sz w:val="18"/>
          <w:szCs w:val="18"/>
          <w:rtl/>
        </w:rPr>
        <w:t>, ועדים על ההרשאה, שנעשה שליח (סדר גיטין סי' עג ס"א). ועיין לקמן סעיף כ"ד.</w:t>
      </w:r>
      <w:r>
        <w:rPr>
          <w:rFonts w:cs="Arial"/>
          <w:rtl/>
        </w:rPr>
        <w:t xml:space="preserve"> </w:t>
      </w:r>
    </w:p>
    <w:p w14:paraId="1D39AC4B" w14:textId="77777777" w:rsidR="00FA2119" w:rsidRDefault="00FA2119" w:rsidP="00FA2119">
      <w:pPr>
        <w:rPr>
          <w:rtl/>
        </w:rPr>
      </w:pPr>
    </w:p>
    <w:p w14:paraId="4893762A" w14:textId="77777777" w:rsidR="00FA2119" w:rsidRDefault="00FA2119" w:rsidP="00FA2119">
      <w:pPr>
        <w:pStyle w:val="2"/>
        <w:rPr>
          <w:rtl/>
        </w:rPr>
      </w:pPr>
      <w:r>
        <w:rPr>
          <w:rtl/>
        </w:rPr>
        <w:t>סעיף יב: עשה שליח הולכה בלא עדים כנ"ל, אבל נתן לו גט שאין בו עדים.</w:t>
      </w:r>
    </w:p>
    <w:p w14:paraId="5C28F695" w14:textId="186DF53C" w:rsidR="00FA2119" w:rsidRDefault="00FA2119" w:rsidP="00FA2119">
      <w:pPr>
        <w:rPr>
          <w:u w:val="single"/>
          <w:rtl/>
        </w:rPr>
      </w:pPr>
      <w:r>
        <w:rPr>
          <w:u w:val="single"/>
          <w:rtl/>
        </w:rPr>
        <w:t xml:space="preserve">לרמב"ם וסיעתו </w:t>
      </w:r>
      <w:r w:rsidR="00A82951">
        <w:rPr>
          <w:u w:val="single"/>
          <w:rtl/>
        </w:rPr>
        <w:t>-</w:t>
      </w:r>
      <w:r>
        <w:rPr>
          <w:u w:val="single"/>
          <w:rtl/>
        </w:rPr>
        <w:t xml:space="preserve"> מה הדין אם עשה שליח הולכה בלא עדים כנ"ל, </w:t>
      </w:r>
      <w:r w:rsidR="004441C1">
        <w:rPr>
          <w:rFonts w:hint="cs"/>
          <w:u w:val="single"/>
          <w:rtl/>
        </w:rPr>
        <w:t>ו</w:t>
      </w:r>
      <w:r>
        <w:rPr>
          <w:u w:val="single"/>
          <w:rtl/>
        </w:rPr>
        <w:t>נתן לו גט שאין בו עדים:</w:t>
      </w:r>
    </w:p>
    <w:p w14:paraId="2A889D5A" w14:textId="5FE4F931" w:rsidR="00FA2119" w:rsidRDefault="00FA2119" w:rsidP="006A458D">
      <w:pPr>
        <w:pStyle w:val="ab"/>
        <w:numPr>
          <w:ilvl w:val="0"/>
          <w:numId w:val="102"/>
        </w:numPr>
        <w:rPr>
          <w:rtl/>
        </w:rPr>
      </w:pPr>
      <w:r>
        <w:rPr>
          <w:rFonts w:cs="Arial"/>
          <w:rtl/>
        </w:rPr>
        <w:t xml:space="preserve">רמב"ם </w:t>
      </w:r>
      <w:r>
        <w:rPr>
          <w:rFonts w:cs="Arial"/>
          <w:sz w:val="16"/>
          <w:szCs w:val="16"/>
          <w:rtl/>
        </w:rPr>
        <w:t>(פ"ט הל"ב)</w:t>
      </w:r>
      <w:r w:rsidR="00A82951">
        <w:rPr>
          <w:rFonts w:cs="Arial"/>
          <w:rtl/>
        </w:rPr>
        <w:t>-</w:t>
      </w:r>
      <w:r>
        <w:rPr>
          <w:rFonts w:cs="Arial"/>
          <w:rtl/>
        </w:rPr>
        <w:t xml:space="preserve"> אמר לסופר כתוב לי גט לאשתי. כתבו ונתנו לבעל בלא עדים, ונטלו הבעל ונתנו לשליח ואמר לו 'תן גט זה לאשתי בפני עדים'. והלך השליח ונתנו לה בפני עדים </w:t>
      </w:r>
      <w:r w:rsidR="00A82951">
        <w:rPr>
          <w:rFonts w:cs="Arial"/>
          <w:rtl/>
        </w:rPr>
        <w:t>-</w:t>
      </w:r>
      <w:r>
        <w:rPr>
          <w:rFonts w:cs="Arial"/>
          <w:rtl/>
        </w:rPr>
        <w:t xml:space="preserve"> הרי זו ספק מגורשת, שאין השליח נאמן להתיר הערוה אע"פ שהוא עד אחד אלא מפני כתב העדים שחתמו על הגט, שהן כמי שנחקרה עדותן עד שיהיה שם מערער כמו שבארנו. ואם היו שם שני עדים שיעידו שגט זה הבעל נתנו לשליח לגרשה בו </w:t>
      </w:r>
      <w:r w:rsidR="00A82951">
        <w:rPr>
          <w:rFonts w:cs="Arial"/>
          <w:rtl/>
        </w:rPr>
        <w:t>-</w:t>
      </w:r>
      <w:r>
        <w:rPr>
          <w:rFonts w:cs="Arial"/>
          <w:rtl/>
        </w:rPr>
        <w:t xml:space="preserve"> הרי זו מגורשת. </w:t>
      </w:r>
      <w:r>
        <w:rPr>
          <w:color w:val="E36C0A" w:themeColor="accent6" w:themeShade="BF"/>
          <w:rtl/>
        </w:rPr>
        <w:t>(וכ"פ בשו"ע)</w:t>
      </w:r>
    </w:p>
    <w:p w14:paraId="56095CC3"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038813A" w14:textId="77777777" w:rsidR="00FA2119" w:rsidRDefault="00FA2119" w:rsidP="00FA2119">
      <w:pPr>
        <w:rPr>
          <w:rtl/>
        </w:rPr>
      </w:pPr>
      <w:r>
        <w:rPr>
          <w:rFonts w:cs="Arial"/>
          <w:rtl/>
        </w:rPr>
        <w:t xml:space="preserve">במה דברים אמורים שאין שליח האיש צריך עדים, כשמסר לה גט שחתומים בו עדים. אבל אם אין עדים חתומים בו, והלך השליח ומסרו לה בפני עדים, הרי זו ספק מגורשת. </w:t>
      </w:r>
    </w:p>
    <w:p w14:paraId="52C2667C" w14:textId="77777777" w:rsidR="00FA2119" w:rsidRDefault="00FA2119" w:rsidP="00FA2119">
      <w:pPr>
        <w:rPr>
          <w:rtl/>
        </w:rPr>
      </w:pPr>
    </w:p>
    <w:p w14:paraId="06E289C7" w14:textId="77777777" w:rsidR="00FA2119" w:rsidRDefault="00FA2119" w:rsidP="00FA2119">
      <w:pPr>
        <w:pStyle w:val="2"/>
        <w:rPr>
          <w:rtl/>
        </w:rPr>
      </w:pPr>
      <w:r>
        <w:rPr>
          <w:rtl/>
        </w:rPr>
        <w:t>סעיף יג: עשיית שליח הולכה/הובאה בפני ב' עדים.</w:t>
      </w:r>
    </w:p>
    <w:p w14:paraId="3BCC4BE5" w14:textId="77777777" w:rsidR="00FA2119" w:rsidRDefault="00FA2119" w:rsidP="00FA2119">
      <w:pPr>
        <w:rPr>
          <w:rtl/>
        </w:rPr>
      </w:pPr>
      <w:r>
        <w:rPr>
          <w:rtl/>
        </w:rPr>
        <w:t xml:space="preserve">עיין במקורות בסעיף יא. </w:t>
      </w:r>
    </w:p>
    <w:p w14:paraId="2788574D"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489E6E9" w14:textId="1DE7CCD9" w:rsidR="00FA2119" w:rsidRDefault="00FA2119" w:rsidP="00FA2119">
      <w:pPr>
        <w:rPr>
          <w:rtl/>
        </w:rPr>
      </w:pPr>
      <w:r>
        <w:rPr>
          <w:rFonts w:cs="Arial"/>
          <w:rtl/>
        </w:rPr>
        <w:t>יש מי שאומר ששליח הולכה ושליח הובאה</w:t>
      </w:r>
      <w:r>
        <w:rPr>
          <w:rStyle w:val="a7"/>
          <w:rFonts w:cs="Arial"/>
          <w:rtl/>
        </w:rPr>
        <w:footnoteReference w:id="1879"/>
      </w:r>
      <w:r>
        <w:rPr>
          <w:rFonts w:cs="Arial"/>
          <w:rtl/>
        </w:rPr>
        <w:t xml:space="preserve"> אין צריך לעשותו בעדים, ויש מי שחולק. </w:t>
      </w:r>
      <w:r>
        <w:rPr>
          <w:rFonts w:cs="Arial"/>
          <w:sz w:val="18"/>
          <w:szCs w:val="18"/>
          <w:rtl/>
        </w:rPr>
        <w:t>הגה: כפל דברים הן בכאן, כי בבא זו נתבאר סעיף י"א, ויש מחלוקת בדין זה בדרך אחר</w:t>
      </w:r>
      <w:r>
        <w:rPr>
          <w:rStyle w:val="a7"/>
          <w:rFonts w:cs="Arial"/>
          <w:sz w:val="18"/>
          <w:szCs w:val="18"/>
          <w:rtl/>
        </w:rPr>
        <w:footnoteReference w:id="1880"/>
      </w:r>
      <w:r>
        <w:rPr>
          <w:rFonts w:cs="Arial"/>
          <w:sz w:val="18"/>
          <w:szCs w:val="18"/>
          <w:rtl/>
        </w:rPr>
        <w:t xml:space="preserve">, דיש אומרים דשליח הולכה אם מסר לה הגט בינו לבינה, ואי אפשר לחזור וליתנו לה בפני </w:t>
      </w:r>
      <w:r>
        <w:rPr>
          <w:rFonts w:cs="Arial"/>
          <w:sz w:val="18"/>
          <w:szCs w:val="18"/>
          <w:rtl/>
        </w:rPr>
        <w:lastRenderedPageBreak/>
        <w:t>שנים, דמגורשת מאחר שהגט יוצא מתחת ידה בחותמיו (טור בשם הרמב"ם). וי"א דפסול (טור בשם הגאונים). מיהו אם הגט מקויים בחותמיו מתחת ידה, אינה צריכה שתביא עידי מסירה בפנינו, רק שאומרת שקבלה אותו בפני שנים כראוי (טור), והוא הדין בשליח קבלה מן הבעל.</w:t>
      </w:r>
      <w:r>
        <w:rPr>
          <w:rFonts w:cs="Arial"/>
          <w:rtl/>
        </w:rPr>
        <w:t xml:space="preserve"> </w:t>
      </w:r>
    </w:p>
    <w:p w14:paraId="296C4C7E" w14:textId="77777777" w:rsidR="00FA2119" w:rsidRDefault="00FA2119" w:rsidP="00FA2119">
      <w:pPr>
        <w:rPr>
          <w:rtl/>
        </w:rPr>
      </w:pPr>
    </w:p>
    <w:p w14:paraId="3ABF3B11" w14:textId="77777777" w:rsidR="00FA2119" w:rsidRDefault="00FA2119" w:rsidP="00FA2119">
      <w:pPr>
        <w:pStyle w:val="2"/>
        <w:rPr>
          <w:rtl/>
        </w:rPr>
      </w:pPr>
      <w:r>
        <w:rPr>
          <w:rtl/>
        </w:rPr>
        <w:t xml:space="preserve">סעיף יד: איש/אשה שרוצים למנות שליח שלא נמצא לידם. </w:t>
      </w:r>
    </w:p>
    <w:p w14:paraId="5549C4FB" w14:textId="77777777" w:rsidR="00FA2119" w:rsidRDefault="00FA2119" w:rsidP="00FA2119">
      <w:pPr>
        <w:rPr>
          <w:rtl/>
        </w:rPr>
      </w:pPr>
      <w:r>
        <w:rPr>
          <w:rFonts w:cs="Arial"/>
          <w:b/>
          <w:bCs/>
          <w:rtl/>
        </w:rPr>
        <w:t xml:space="preserve">גיטין </w:t>
      </w:r>
      <w:r>
        <w:rPr>
          <w:rFonts w:cs="Arial"/>
          <w:b/>
          <w:bCs/>
          <w:sz w:val="16"/>
          <w:szCs w:val="16"/>
          <w:rtl/>
        </w:rPr>
        <w:t>(פ' כל הגט)</w:t>
      </w:r>
      <w:r>
        <w:rPr>
          <w:rFonts w:cs="Arial"/>
          <w:b/>
          <w:bCs/>
          <w:rtl/>
        </w:rPr>
        <w:t xml:space="preserve"> כט ע"ב: </w:t>
      </w:r>
      <w:r>
        <w:rPr>
          <w:rFonts w:cs="Arial"/>
          <w:rtl/>
        </w:rPr>
        <w:t xml:space="preserve">ההוא גברא דשדר לה גיטא לדביתהו, א"ל לשליח: לא תיתביה ניהלה עד תלתין יומין. אתניס בגו תלתין יומין, אתא לקמיה דרבא, </w:t>
      </w:r>
      <w:r>
        <w:rPr>
          <w:rFonts w:cs="Arial"/>
          <w:u w:val="single"/>
          <w:rtl/>
        </w:rPr>
        <w:t>אמר רבא</w:t>
      </w:r>
      <w:r>
        <w:rPr>
          <w:rFonts w:cs="Arial"/>
          <w:rtl/>
        </w:rPr>
        <w:t xml:space="preserve">: חלה טעמא מאי? משום דאנוס, האי נמי אנוס הוא, </w:t>
      </w:r>
      <w:r w:rsidRPr="00DD39A1">
        <w:rPr>
          <w:rFonts w:cs="Arial"/>
          <w:u w:val="single"/>
          <w:rtl/>
        </w:rPr>
        <w:t>אמר ליה</w:t>
      </w:r>
      <w:r>
        <w:rPr>
          <w:rFonts w:cs="Arial"/>
          <w:rtl/>
        </w:rPr>
        <w:t xml:space="preserve">: מסור מילך קמי דידן, דלבתר תלתין יומין משוינן שליח ויהיב ליה ניהלה... </w:t>
      </w:r>
      <w:r>
        <w:rPr>
          <w:rFonts w:cs="Arial"/>
          <w:u w:val="single"/>
          <w:rtl/>
        </w:rPr>
        <w:t>אמר רבא</w:t>
      </w:r>
      <w:r>
        <w:rPr>
          <w:rFonts w:cs="Arial"/>
          <w:rtl/>
        </w:rPr>
        <w:t>: הא ודאי קא מיבעיא לן:</w:t>
      </w:r>
      <w:r>
        <w:rPr>
          <w:rtl/>
        </w:rPr>
        <w:t xml:space="preserve"> </w:t>
      </w:r>
      <w:r>
        <w:rPr>
          <w:sz w:val="14"/>
          <w:szCs w:val="14"/>
          <w:rtl/>
        </w:rPr>
        <w:t xml:space="preserve">(ל.) </w:t>
      </w:r>
      <w:r>
        <w:rPr>
          <w:rFonts w:cs="Arial"/>
          <w:rtl/>
        </w:rPr>
        <w:t>כי משוו ב"ד שליח</w:t>
      </w:r>
      <w:r>
        <w:rPr>
          <w:rStyle w:val="a7"/>
          <w:rFonts w:cs="Arial"/>
          <w:rtl/>
        </w:rPr>
        <w:footnoteReference w:id="1881"/>
      </w:r>
      <w:r>
        <w:rPr>
          <w:rFonts w:cs="Arial"/>
          <w:rtl/>
        </w:rPr>
        <w:t>, בפניו או שלא בפניו? הדר פשטה: בין בפניו בין שלא בפניו. שלחו מתם: בין בפניו בין שלא בפניו.</w:t>
      </w:r>
    </w:p>
    <w:p w14:paraId="0A16A7CE" w14:textId="77777777" w:rsidR="00FA2119" w:rsidRDefault="00FA2119" w:rsidP="00FA2119">
      <w:pPr>
        <w:rPr>
          <w:u w:val="single"/>
          <w:rtl/>
        </w:rPr>
      </w:pPr>
      <w:r>
        <w:rPr>
          <w:u w:val="single"/>
          <w:rtl/>
        </w:rPr>
        <w:t>איש/אשה שרוצים למנות שליח שלא נמצא לידם:</w:t>
      </w:r>
    </w:p>
    <w:p w14:paraId="22303C6A" w14:textId="0F63477C" w:rsidR="00FA2119" w:rsidRDefault="00FA2119" w:rsidP="006A458D">
      <w:pPr>
        <w:pStyle w:val="ab"/>
        <w:numPr>
          <w:ilvl w:val="0"/>
          <w:numId w:val="102"/>
        </w:numPr>
        <w:rPr>
          <w:rtl/>
        </w:rPr>
      </w:pPr>
      <w:r>
        <w:rPr>
          <w:rFonts w:cs="Arial"/>
          <w:rtl/>
        </w:rPr>
        <w:t>רמב"ם</w:t>
      </w:r>
      <w:r>
        <w:rPr>
          <w:rStyle w:val="a7"/>
          <w:rFonts w:cs="Arial"/>
          <w:rtl/>
        </w:rPr>
        <w:footnoteReference w:id="1882"/>
      </w:r>
      <w:r>
        <w:rPr>
          <w:rFonts w:cs="Arial"/>
          <w:rtl/>
        </w:rPr>
        <w:t xml:space="preserve"> </w:t>
      </w:r>
      <w:r>
        <w:rPr>
          <w:rFonts w:cs="Arial"/>
          <w:sz w:val="16"/>
          <w:szCs w:val="16"/>
          <w:rtl/>
        </w:rPr>
        <w:t>(פ"ז הכ"ב)</w:t>
      </w:r>
      <w:r>
        <w:rPr>
          <w:rFonts w:cs="Arial"/>
          <w:rtl/>
        </w:rPr>
        <w:t xml:space="preserve"> רא"ש</w:t>
      </w:r>
      <w:r>
        <w:rPr>
          <w:rFonts w:cs="Arial"/>
          <w:sz w:val="16"/>
          <w:szCs w:val="16"/>
          <w:rtl/>
        </w:rPr>
        <w:t xml:space="preserve"> (ס"פ התקבל סי' כ)</w:t>
      </w:r>
      <w:r>
        <w:rPr>
          <w:rFonts w:cs="Arial"/>
          <w:rtl/>
        </w:rPr>
        <w:t xml:space="preserve"> וטור</w:t>
      </w:r>
      <w:r w:rsidR="00A82951">
        <w:rPr>
          <w:rFonts w:cs="Arial"/>
          <w:rtl/>
        </w:rPr>
        <w:t>-</w:t>
      </w:r>
      <w:r>
        <w:rPr>
          <w:rFonts w:cs="Arial"/>
          <w:rtl/>
        </w:rPr>
        <w:t xml:space="preserve"> בין שליח האשה בין שליח האיש אין צריך שישמעו מפיהם שממנים אותו שליח. לפיכך בין האיש בין האשה יכולים לעשות בפני עדים שליח העומד במקום אחד, והעדים כותבין וחותמין שמינה לפלוני שליח</w:t>
      </w:r>
      <w:r>
        <w:rPr>
          <w:rFonts w:cs="Arial"/>
          <w:sz w:val="16"/>
          <w:szCs w:val="16"/>
          <w:rtl/>
        </w:rPr>
        <w:t xml:space="preserve"> (ל' הטור בשם הרא"ש)</w:t>
      </w:r>
      <w:r>
        <w:rPr>
          <w:rStyle w:val="a7"/>
          <w:rFonts w:cs="Arial"/>
          <w:rtl/>
        </w:rPr>
        <w:footnoteReference w:id="1883"/>
      </w:r>
      <w:r>
        <w:rPr>
          <w:rFonts w:cs="Arial"/>
          <w:rtl/>
        </w:rPr>
        <w:t>.</w:t>
      </w:r>
      <w:r>
        <w:rPr>
          <w:rFonts w:cs="Arial"/>
          <w:color w:val="E36C0A" w:themeColor="accent6" w:themeShade="BF"/>
          <w:rtl/>
        </w:rPr>
        <w:t xml:space="preserve"> </w:t>
      </w:r>
      <w:r w:rsidRPr="003D33EF">
        <w:rPr>
          <w:color w:val="E36C0A" w:themeColor="accent6" w:themeShade="BF"/>
          <w:rtl/>
        </w:rPr>
        <w:t>(וכ"פ בשו"ע)</w:t>
      </w:r>
    </w:p>
    <w:p w14:paraId="2F8A794A" w14:textId="74C7FF1F" w:rsidR="00FA2119" w:rsidRDefault="00FA2119" w:rsidP="006A458D">
      <w:pPr>
        <w:pStyle w:val="ab"/>
        <w:numPr>
          <w:ilvl w:val="0"/>
          <w:numId w:val="102"/>
        </w:numPr>
      </w:pPr>
      <w:r>
        <w:rPr>
          <w:rFonts w:cs="Arial"/>
          <w:rtl/>
        </w:rPr>
        <w:t xml:space="preserve">התרומה </w:t>
      </w:r>
      <w:r>
        <w:rPr>
          <w:rFonts w:cs="Arial"/>
          <w:sz w:val="16"/>
          <w:szCs w:val="16"/>
          <w:rtl/>
        </w:rPr>
        <w:t>(כ"כ המרדכי [סי' תיז] בשמו, הביאו הדרכ"מ [אות ו**, ובסי' קכ אות ו])</w:t>
      </w:r>
      <w:r w:rsidR="00A82951">
        <w:rPr>
          <w:rFonts w:cs="Arial"/>
          <w:rtl/>
        </w:rPr>
        <w:t>-</w:t>
      </w:r>
      <w:r>
        <w:rPr>
          <w:rFonts w:cs="Arial"/>
          <w:rtl/>
        </w:rPr>
        <w:t xml:space="preserve"> אין אדם יכול לשלוח כתב ידו לב"ד שבמקום פלוני שיכתבו ויתנו גט לאשתו. </w:t>
      </w:r>
    </w:p>
    <w:p w14:paraId="6E5BC9FF" w14:textId="383D9FC2" w:rsidR="00FA2119" w:rsidRDefault="00FA2119" w:rsidP="00FA2119">
      <w:pPr>
        <w:ind w:left="360"/>
        <w:rPr>
          <w:u w:val="dotted"/>
        </w:rPr>
      </w:pPr>
      <w:r>
        <w:rPr>
          <w:u w:val="dotted"/>
          <w:rtl/>
        </w:rPr>
        <w:t xml:space="preserve">לרמב"ם וסיעתו </w:t>
      </w:r>
      <w:r w:rsidR="00A82951">
        <w:rPr>
          <w:u w:val="dotted"/>
          <w:rtl/>
        </w:rPr>
        <w:t>-</w:t>
      </w:r>
      <w:r>
        <w:rPr>
          <w:u w:val="dotted"/>
          <w:rtl/>
        </w:rPr>
        <w:t xml:space="preserve"> האם אפשר למנות גם שליח קבלה שלא בפניו:</w:t>
      </w:r>
    </w:p>
    <w:p w14:paraId="52612BBB" w14:textId="072C0AF4" w:rsidR="00FA2119" w:rsidRDefault="00FA2119" w:rsidP="006A458D">
      <w:pPr>
        <w:pStyle w:val="ab"/>
        <w:numPr>
          <w:ilvl w:val="0"/>
          <w:numId w:val="102"/>
        </w:numPr>
      </w:pPr>
      <w:r>
        <w:rPr>
          <w:rFonts w:cs="Arial"/>
          <w:rtl/>
        </w:rPr>
        <w:t xml:space="preserve">הה"מ </w:t>
      </w:r>
      <w:r>
        <w:rPr>
          <w:rFonts w:cs="Arial"/>
          <w:sz w:val="16"/>
          <w:szCs w:val="16"/>
          <w:rtl/>
        </w:rPr>
        <w:t>(פ"ז הכ"ב)</w:t>
      </w:r>
      <w:r w:rsidR="00A82951">
        <w:rPr>
          <w:rFonts w:cs="Arial"/>
          <w:rtl/>
        </w:rPr>
        <w:t>-</w:t>
      </w:r>
      <w:r>
        <w:rPr>
          <w:rtl/>
        </w:rPr>
        <w:t xml:space="preserve"> </w:t>
      </w:r>
      <w:r>
        <w:rPr>
          <w:rFonts w:cs="Arial"/>
          <w:rtl/>
        </w:rPr>
        <w:t>אף בשליח קבלה כתוב בהלכות גדולות עגונה דאתיא לב"ד ואמרה הוו עלי סהדי דפלוני דאיתיה במדינת הים שויתיה שליח לקבולי לי גיטא מיד בעלי וכו' אם דנפיל גיטא לידא דשליח אם נשרף או נקרע מיגרשא הדא עגונא ע"כ. ואף דעת רבינו כן שכתב כל העושה שליח וכו'. ולזה הסכימו הרמב"ן והרשב"א ז"ל</w:t>
      </w:r>
      <w:r w:rsidR="003D33EF">
        <w:rPr>
          <w:rStyle w:val="a7"/>
          <w:rFonts w:cs="Arial"/>
          <w:rtl/>
        </w:rPr>
        <w:footnoteReference w:id="1884"/>
      </w:r>
      <w:r>
        <w:rPr>
          <w:rFonts w:cs="Arial"/>
          <w:rtl/>
        </w:rPr>
        <w:t>.</w:t>
      </w:r>
      <w:r w:rsidR="003D33EF">
        <w:rPr>
          <w:rFonts w:hint="cs"/>
          <w:color w:val="E36C0A" w:themeColor="accent6" w:themeShade="BF"/>
          <w:rtl/>
        </w:rPr>
        <w:t xml:space="preserve"> </w:t>
      </w:r>
      <w:r w:rsidR="003D33EF" w:rsidRPr="003D33EF">
        <w:rPr>
          <w:color w:val="E36C0A" w:themeColor="accent6" w:themeShade="BF"/>
          <w:rtl/>
        </w:rPr>
        <w:t>(וכ"פ בשו"ע)</w:t>
      </w:r>
      <w:r w:rsidR="003D33EF">
        <w:rPr>
          <w:rFonts w:cs="Arial" w:hint="cs"/>
          <w:rtl/>
        </w:rPr>
        <w:t xml:space="preserve"> </w:t>
      </w:r>
    </w:p>
    <w:p w14:paraId="74D77494"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8A05532" w14:textId="77777777" w:rsidR="00FA2119" w:rsidRDefault="00FA2119" w:rsidP="00FA2119">
      <w:pPr>
        <w:rPr>
          <w:rtl/>
        </w:rPr>
      </w:pPr>
      <w:r>
        <w:rPr>
          <w:rFonts w:cs="Arial"/>
          <w:rtl/>
        </w:rPr>
        <w:t xml:space="preserve">בין שליח קבלה בין שליח הולכה אין צריך שישמעו מפיהם שממנים אותו שליח. לפיכך בין האיש בין האשה יכולים לעשות בפני עדים שליח העומד במקום אחר, והעדים כותבים וחותמים שמינה לפלוני שליח. </w:t>
      </w:r>
      <w:r>
        <w:rPr>
          <w:rFonts w:cs="Arial"/>
          <w:sz w:val="18"/>
          <w:szCs w:val="18"/>
          <w:rtl/>
        </w:rPr>
        <w:t>[הגה] ועיין לקמן סעיף ל"ה.</w:t>
      </w:r>
      <w:r>
        <w:rPr>
          <w:rFonts w:cs="Arial"/>
          <w:rtl/>
        </w:rPr>
        <w:t xml:space="preserve"> </w:t>
      </w:r>
    </w:p>
    <w:p w14:paraId="09F1035C" w14:textId="77777777" w:rsidR="00FA2119" w:rsidRDefault="00FA2119" w:rsidP="00FA2119">
      <w:pPr>
        <w:rPr>
          <w:rtl/>
        </w:rPr>
      </w:pPr>
    </w:p>
    <w:p w14:paraId="7E1A89A1" w14:textId="77777777" w:rsidR="00FA2119" w:rsidRDefault="00FA2119" w:rsidP="00FA2119">
      <w:pPr>
        <w:pStyle w:val="2"/>
        <w:rPr>
          <w:rtl/>
        </w:rPr>
      </w:pPr>
      <w:r>
        <w:rPr>
          <w:rtl/>
        </w:rPr>
        <w:t xml:space="preserve">סעיף טו: אלו מילים צריך לומר לשליח. </w:t>
      </w:r>
    </w:p>
    <w:p w14:paraId="5B1EE1F1" w14:textId="72EBF67D" w:rsidR="00FA2119" w:rsidRDefault="00FA2119" w:rsidP="00FA2119">
      <w:pPr>
        <w:rPr>
          <w:rtl/>
        </w:rPr>
      </w:pPr>
      <w:r>
        <w:rPr>
          <w:rFonts w:cs="Arial"/>
          <w:b/>
          <w:bCs/>
          <w:rtl/>
        </w:rPr>
        <w:t xml:space="preserve">גיטין </w:t>
      </w:r>
      <w:r>
        <w:rPr>
          <w:rFonts w:cs="Arial"/>
          <w:b/>
          <w:bCs/>
          <w:sz w:val="16"/>
          <w:szCs w:val="16"/>
          <w:rtl/>
        </w:rPr>
        <w:t>(פ' התקבל)</w:t>
      </w:r>
      <w:r>
        <w:rPr>
          <w:rFonts w:cs="Arial"/>
          <w:b/>
          <w:bCs/>
          <w:rtl/>
        </w:rPr>
        <w:t xml:space="preserve"> סה ע"ב:</w:t>
      </w:r>
      <w:r>
        <w:rPr>
          <w:rFonts w:cs="Arial"/>
          <w:rtl/>
        </w:rPr>
        <w:t xml:space="preserve"> </w:t>
      </w:r>
      <w:r>
        <w:rPr>
          <w:rFonts w:cs="Arial"/>
          <w:u w:val="double"/>
          <w:rtl/>
        </w:rPr>
        <w:t>מתני'</w:t>
      </w:r>
      <w:r>
        <w:rPr>
          <w:rFonts w:cs="Arial"/>
          <w:rtl/>
        </w:rPr>
        <w:t xml:space="preserve">: האומר כתבו גט ותנו לאשתי, גרשוה, כתבו איגרת ותנו לה </w:t>
      </w:r>
      <w:r w:rsidR="00A82951">
        <w:rPr>
          <w:rFonts w:cs="Arial"/>
          <w:rtl/>
        </w:rPr>
        <w:t>-</w:t>
      </w:r>
      <w:r>
        <w:rPr>
          <w:rFonts w:cs="Arial"/>
          <w:rtl/>
        </w:rPr>
        <w:t xml:space="preserve"> הרי אלו יכתבו ויתנו. פטרוה</w:t>
      </w:r>
      <w:r>
        <w:rPr>
          <w:rStyle w:val="a7"/>
          <w:rFonts w:cs="Arial"/>
          <w:rtl/>
        </w:rPr>
        <w:footnoteReference w:id="1885"/>
      </w:r>
      <w:r>
        <w:rPr>
          <w:rFonts w:cs="Arial"/>
          <w:rtl/>
        </w:rPr>
        <w:t>, פרנסוה</w:t>
      </w:r>
      <w:r>
        <w:rPr>
          <w:rStyle w:val="a7"/>
          <w:rFonts w:cs="Arial"/>
          <w:rtl/>
        </w:rPr>
        <w:footnoteReference w:id="1886"/>
      </w:r>
      <w:r>
        <w:rPr>
          <w:rFonts w:cs="Arial"/>
          <w:rtl/>
        </w:rPr>
        <w:t>, עשו לה כנימוס</w:t>
      </w:r>
      <w:r>
        <w:rPr>
          <w:rStyle w:val="a7"/>
          <w:rFonts w:cs="Arial"/>
          <w:rtl/>
        </w:rPr>
        <w:footnoteReference w:id="1887"/>
      </w:r>
      <w:r>
        <w:rPr>
          <w:rFonts w:cs="Arial"/>
          <w:rtl/>
        </w:rPr>
        <w:t xml:space="preserve">, עשו לה כראוי </w:t>
      </w:r>
      <w:r w:rsidR="00A82951">
        <w:rPr>
          <w:rFonts w:cs="Arial"/>
          <w:rtl/>
        </w:rPr>
        <w:t>-</w:t>
      </w:r>
      <w:r>
        <w:rPr>
          <w:rFonts w:cs="Arial"/>
          <w:rtl/>
        </w:rPr>
        <w:t xml:space="preserve"> לא אמר כלום.        </w:t>
      </w:r>
      <w:r>
        <w:rPr>
          <w:rFonts w:cs="Arial"/>
          <w:u w:val="double"/>
          <w:rtl/>
        </w:rPr>
        <w:t>גמ'</w:t>
      </w:r>
      <w:r>
        <w:rPr>
          <w:rFonts w:cs="Arial"/>
          <w:rtl/>
        </w:rPr>
        <w:t xml:space="preserve">: ת"ר: שלחוה, שבקוה, תרכוה </w:t>
      </w:r>
      <w:r w:rsidR="00A82951">
        <w:rPr>
          <w:rFonts w:cs="Arial"/>
          <w:rtl/>
        </w:rPr>
        <w:t>-</w:t>
      </w:r>
      <w:r>
        <w:rPr>
          <w:rFonts w:cs="Arial"/>
          <w:rtl/>
        </w:rPr>
        <w:t xml:space="preserve"> הרי אלו יכתבו ויתנו. פטרוה, פרנסוה, עשו לה כנימוס, עשו לה כראוי </w:t>
      </w:r>
      <w:r w:rsidR="00A82951">
        <w:rPr>
          <w:rFonts w:cs="Arial"/>
          <w:rtl/>
        </w:rPr>
        <w:t>-</w:t>
      </w:r>
      <w:r>
        <w:rPr>
          <w:rFonts w:cs="Arial"/>
          <w:rtl/>
        </w:rPr>
        <w:t xml:space="preserve"> לא אמר כלום. תניא, </w:t>
      </w:r>
      <w:r w:rsidRPr="003D33EF">
        <w:rPr>
          <w:rFonts w:cs="Arial"/>
          <w:u w:val="single"/>
          <w:rtl/>
        </w:rPr>
        <w:t>רבי נתן אומר</w:t>
      </w:r>
      <w:r>
        <w:rPr>
          <w:rFonts w:cs="Arial"/>
          <w:rtl/>
        </w:rPr>
        <w:t xml:space="preserve">: פטרוה </w:t>
      </w:r>
      <w:r w:rsidR="00A82951">
        <w:rPr>
          <w:rFonts w:cs="Arial"/>
          <w:rtl/>
        </w:rPr>
        <w:t>-</w:t>
      </w:r>
      <w:r>
        <w:rPr>
          <w:rFonts w:cs="Arial"/>
          <w:rtl/>
        </w:rPr>
        <w:t xml:space="preserve"> דבריו קיימין. פיטרוה </w:t>
      </w:r>
      <w:r w:rsidR="00A82951">
        <w:rPr>
          <w:rFonts w:cs="Arial"/>
          <w:rtl/>
        </w:rPr>
        <w:t>-</w:t>
      </w:r>
      <w:r>
        <w:rPr>
          <w:rFonts w:cs="Arial"/>
          <w:rtl/>
        </w:rPr>
        <w:t xml:space="preserve"> לא אמר כלום. </w:t>
      </w:r>
      <w:r>
        <w:rPr>
          <w:rFonts w:cs="Arial"/>
          <w:u w:val="single"/>
          <w:rtl/>
        </w:rPr>
        <w:t>אמר רבא</w:t>
      </w:r>
      <w:r>
        <w:rPr>
          <w:rFonts w:cs="Arial"/>
          <w:rtl/>
        </w:rPr>
        <w:t>: רבי נתן דבבלאה הוא, ודייק בין פיטרוה לפטרוה</w:t>
      </w:r>
      <w:r>
        <w:rPr>
          <w:rStyle w:val="a7"/>
          <w:rFonts w:cs="Arial"/>
          <w:rtl/>
        </w:rPr>
        <w:footnoteReference w:id="1888"/>
      </w:r>
      <w:r>
        <w:rPr>
          <w:rFonts w:cs="Arial"/>
          <w:rtl/>
        </w:rPr>
        <w:t xml:space="preserve">, תנא דידן דבר א"י הוא, </w:t>
      </w:r>
      <w:r>
        <w:rPr>
          <w:rFonts w:cs="Arial"/>
          <w:rtl/>
        </w:rPr>
        <w:lastRenderedPageBreak/>
        <w:t>לא דייק. איבעיא להו: הוציאוה</w:t>
      </w:r>
      <w:r>
        <w:rPr>
          <w:rStyle w:val="a7"/>
          <w:rFonts w:cs="Arial"/>
          <w:rtl/>
        </w:rPr>
        <w:footnoteReference w:id="1889"/>
      </w:r>
      <w:r>
        <w:rPr>
          <w:rFonts w:cs="Arial"/>
          <w:rtl/>
        </w:rPr>
        <w:t>, מהו? עזבוה</w:t>
      </w:r>
      <w:r>
        <w:rPr>
          <w:rStyle w:val="a7"/>
          <w:rFonts w:cs="Arial"/>
          <w:rtl/>
        </w:rPr>
        <w:footnoteReference w:id="1890"/>
      </w:r>
      <w:r>
        <w:rPr>
          <w:rFonts w:cs="Arial"/>
          <w:rtl/>
        </w:rPr>
        <w:t>, מהו? התירוה</w:t>
      </w:r>
      <w:r>
        <w:rPr>
          <w:rStyle w:val="a7"/>
          <w:rFonts w:cs="Arial"/>
          <w:rtl/>
        </w:rPr>
        <w:footnoteReference w:id="1891"/>
      </w:r>
      <w:r>
        <w:rPr>
          <w:rFonts w:cs="Arial"/>
          <w:rtl/>
        </w:rPr>
        <w:t xml:space="preserve">, מהו? הניחוה, מהו? הועילו לה, מהו? עשו לה כדת, מהו? פשוט מיהא חדא, דתניא: עשו לה כדת, עשו לה כנימוס, עשו לה כראוי </w:t>
      </w:r>
      <w:r w:rsidR="00A82951">
        <w:rPr>
          <w:rFonts w:cs="Arial"/>
          <w:rtl/>
        </w:rPr>
        <w:t>-</w:t>
      </w:r>
      <w:r>
        <w:rPr>
          <w:rFonts w:cs="Arial"/>
          <w:rtl/>
        </w:rPr>
        <w:t xml:space="preserve"> לא אמר כלום.</w:t>
      </w:r>
      <w:r>
        <w:rPr>
          <w:rFonts w:cs="Arial"/>
          <w:sz w:val="16"/>
          <w:szCs w:val="16"/>
          <w:rtl/>
        </w:rPr>
        <w:t xml:space="preserve"> (ומשמע מדברי רש"י (ד"ה פטרוה, ד"ה פרנסוה וד"ה כנימוס) דכי תנן לא אמר כלום היינו לומר שאין כותבין גט על פי אותם הדברים, אבל אם כתבו ונתנו לה </w:t>
      </w:r>
      <w:r w:rsidR="00A82951">
        <w:rPr>
          <w:rFonts w:cs="Arial"/>
          <w:sz w:val="16"/>
          <w:szCs w:val="16"/>
          <w:rtl/>
        </w:rPr>
        <w:t>-</w:t>
      </w:r>
      <w:r>
        <w:rPr>
          <w:rFonts w:cs="Arial"/>
          <w:sz w:val="16"/>
          <w:szCs w:val="16"/>
          <w:rtl/>
        </w:rPr>
        <w:t xml:space="preserve"> הרי זו ספק מגורשת, דהנך לישני משמעם נמי לגט כמו לדברים אחרים. אבל הרמב"ם (פ"ב ה"י) כתב שאם כתבו ונתנו לה </w:t>
      </w:r>
      <w:r w:rsidR="00A82951">
        <w:rPr>
          <w:rFonts w:cs="Arial"/>
          <w:sz w:val="16"/>
          <w:szCs w:val="16"/>
          <w:rtl/>
        </w:rPr>
        <w:t>-</w:t>
      </w:r>
      <w:r>
        <w:rPr>
          <w:rFonts w:cs="Arial"/>
          <w:sz w:val="16"/>
          <w:szCs w:val="16"/>
          <w:rtl/>
        </w:rPr>
        <w:t xml:space="preserve"> הרי זה גט בטל. והם הם דברי רבינו, ב"י)</w:t>
      </w:r>
    </w:p>
    <w:p w14:paraId="4ACECF83" w14:textId="77777777" w:rsidR="00FA2119" w:rsidRDefault="00FA2119" w:rsidP="00FA2119">
      <w:pPr>
        <w:rPr>
          <w:u w:val="single"/>
          <w:rtl/>
        </w:rPr>
      </w:pPr>
      <w:r>
        <w:rPr>
          <w:u w:val="single"/>
          <w:rtl/>
        </w:rPr>
        <w:t>אלו מילים צריך לומר לשליח:</w:t>
      </w:r>
    </w:p>
    <w:p w14:paraId="7AFBC32E" w14:textId="48AE64EC"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בעל שעשה שליח להולכה צריך שיאמר לו 'תן גט זה לאשתי', או שיאמר לסופר ולעדים שיכתבו ויחתמו גט ויתנו לאשתו, או לשון שמשמעו שיגרשנה כמו גרשוה, או שלחוה, או שבקוה, או תרכוה, או כתבו אגרת ותנו לה. אבל אם אמר: פטרוה, פרנסוה, עשו לה כדת, עשו לה כנימוס, עשו לה כראוי </w:t>
      </w:r>
      <w:r w:rsidR="00A82951">
        <w:rPr>
          <w:rFonts w:cs="Arial"/>
          <w:rtl/>
        </w:rPr>
        <w:t>-</w:t>
      </w:r>
      <w:r>
        <w:rPr>
          <w:rFonts w:cs="Arial"/>
          <w:rtl/>
        </w:rPr>
        <w:t xml:space="preserve"> אין כלום, ואם כתבו ונתנו לה </w:t>
      </w:r>
      <w:r w:rsidR="00A82951">
        <w:rPr>
          <w:rFonts w:cs="Arial"/>
          <w:rtl/>
        </w:rPr>
        <w:t>-</w:t>
      </w:r>
      <w:r>
        <w:rPr>
          <w:rFonts w:cs="Arial"/>
          <w:rtl/>
        </w:rPr>
        <w:t xml:space="preserve"> אינו כלום. אמר להם: עזבוה, הוציאוה, התירוה, הניחוה, הועילו לה </w:t>
      </w:r>
      <w:r w:rsidR="00A82951">
        <w:rPr>
          <w:rFonts w:cs="Arial"/>
          <w:rtl/>
        </w:rPr>
        <w:t>-</w:t>
      </w:r>
      <w:r>
        <w:rPr>
          <w:rFonts w:cs="Arial"/>
          <w:rtl/>
        </w:rPr>
        <w:t xml:space="preserve"> ה"ז ספק אם משמעות מלות אלו הוא לשון גירושין או לשון דבר אחר, לפיכך לא יכתבו ויתנו. ואם כתבו ונתנו לה </w:t>
      </w:r>
      <w:r w:rsidR="00A82951">
        <w:rPr>
          <w:rFonts w:cs="Arial"/>
          <w:rtl/>
        </w:rPr>
        <w:t>-</w:t>
      </w:r>
      <w:r>
        <w:rPr>
          <w:rFonts w:cs="Arial"/>
          <w:rtl/>
        </w:rPr>
        <w:t xml:space="preserve"> הרי זו ספק מגורשת. </w:t>
      </w:r>
      <w:r>
        <w:rPr>
          <w:color w:val="E36C0A" w:themeColor="accent6" w:themeShade="BF"/>
          <w:rtl/>
        </w:rPr>
        <w:t>(וכ"פ בשו"ע)</w:t>
      </w:r>
    </w:p>
    <w:p w14:paraId="277BBFD0"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17A4B07" w14:textId="77777777" w:rsidR="00FA2119" w:rsidRDefault="00FA2119" w:rsidP="00FA2119">
      <w:pPr>
        <w:rPr>
          <w:rtl/>
        </w:rPr>
      </w:pPr>
      <w:r>
        <w:rPr>
          <w:rFonts w:cs="Arial"/>
          <w:rtl/>
        </w:rPr>
        <w:t>בעל שעשה שליח להולכה, צריך שיאמר לו: תן גט זה לאשתי, או שיאמר לסופר ולעדים שיכתבו ויחתמו גט ויתנו לאשתו, או לשון שמשמעו שיגרשוה</w:t>
      </w:r>
      <w:r>
        <w:rPr>
          <w:rStyle w:val="a7"/>
          <w:rFonts w:cs="Arial"/>
          <w:rtl/>
        </w:rPr>
        <w:footnoteReference w:id="1892"/>
      </w:r>
      <w:r>
        <w:rPr>
          <w:rFonts w:cs="Arial"/>
          <w:rtl/>
        </w:rPr>
        <w:t>, כמו: גרשוה או שלחוה או שבקוה או תרכוה או כתבו אגרת ותנו לה. אבל אם אמר: פטרוה, פרנסוה, עשו לה כדת, עשו לה כנימוס, עשו לה כראוי, לא אמר כלום. אמר להם: עזבוה, הוציאוה, התירוה, הניחוה, הועילו לה, הרי זה ספק.</w:t>
      </w:r>
    </w:p>
    <w:p w14:paraId="5B9D3BC9" w14:textId="77777777" w:rsidR="00FA2119" w:rsidRDefault="00FA2119" w:rsidP="00FA2119">
      <w:pPr>
        <w:rPr>
          <w:rtl/>
        </w:rPr>
      </w:pPr>
    </w:p>
    <w:p w14:paraId="3A0B6B9B" w14:textId="77777777" w:rsidR="00FA2119" w:rsidRDefault="00FA2119" w:rsidP="00FA2119">
      <w:pPr>
        <w:pStyle w:val="2"/>
        <w:rPr>
          <w:rtl/>
        </w:rPr>
      </w:pPr>
      <w:r>
        <w:rPr>
          <w:rtl/>
        </w:rPr>
        <w:t>סעיף טז: האומר 'כתבו גט לאשתי' ולא אמר 'תנו'.</w:t>
      </w:r>
    </w:p>
    <w:p w14:paraId="632BEE20" w14:textId="390AFC96" w:rsidR="00FA2119" w:rsidRDefault="00FA2119" w:rsidP="00FA2119">
      <w:pPr>
        <w:rPr>
          <w:rFonts w:cs="Arial"/>
          <w:rtl/>
        </w:rPr>
      </w:pPr>
      <w:r>
        <w:rPr>
          <w:rFonts w:cs="Arial"/>
          <w:b/>
          <w:bCs/>
          <w:rtl/>
        </w:rPr>
        <w:t xml:space="preserve">גיטין </w:t>
      </w:r>
      <w:r>
        <w:rPr>
          <w:rFonts w:cs="Arial"/>
          <w:b/>
          <w:bCs/>
          <w:sz w:val="16"/>
          <w:szCs w:val="16"/>
          <w:rtl/>
        </w:rPr>
        <w:t>(פ' התקבל)</w:t>
      </w:r>
      <w:r>
        <w:rPr>
          <w:rFonts w:cs="Arial"/>
          <w:b/>
          <w:bCs/>
          <w:rtl/>
        </w:rPr>
        <w:t xml:space="preserve"> סה</w:t>
      </w:r>
      <w:r w:rsidR="00BF6E88">
        <w:rPr>
          <w:rStyle w:val="a7"/>
          <w:rFonts w:cs="Arial"/>
          <w:b/>
          <w:bCs/>
          <w:rtl/>
        </w:rPr>
        <w:footnoteReference w:id="1893"/>
      </w:r>
      <w:r>
        <w:rPr>
          <w:rFonts w:cs="Arial"/>
          <w:b/>
          <w:bCs/>
          <w:rtl/>
        </w:rPr>
        <w:t xml:space="preserve"> ע"ב:</w:t>
      </w:r>
      <w:r>
        <w:rPr>
          <w:rFonts w:cs="Arial"/>
          <w:rtl/>
        </w:rPr>
        <w:t xml:space="preserve"> </w:t>
      </w:r>
      <w:r>
        <w:rPr>
          <w:rFonts w:cs="Arial"/>
          <w:u w:val="double"/>
          <w:rtl/>
        </w:rPr>
        <w:t>מתני'</w:t>
      </w:r>
      <w:r>
        <w:rPr>
          <w:rFonts w:cs="Arial"/>
          <w:rtl/>
        </w:rPr>
        <w:t>: בראשונה היו אומרים: היוצא בקולר</w:t>
      </w:r>
      <w:r>
        <w:rPr>
          <w:rStyle w:val="a7"/>
          <w:rFonts w:cs="Arial"/>
          <w:rtl/>
        </w:rPr>
        <w:footnoteReference w:id="1894"/>
      </w:r>
      <w:r>
        <w:rPr>
          <w:rFonts w:cs="Arial"/>
          <w:rtl/>
        </w:rPr>
        <w:t>, ואמר כתבו</w:t>
      </w:r>
      <w:r>
        <w:rPr>
          <w:rStyle w:val="a7"/>
          <w:rFonts w:cs="Arial"/>
          <w:rtl/>
        </w:rPr>
        <w:footnoteReference w:id="1895"/>
      </w:r>
      <w:r>
        <w:rPr>
          <w:rFonts w:cs="Arial"/>
          <w:rtl/>
        </w:rPr>
        <w:t xml:space="preserve"> גט לאשתי </w:t>
      </w:r>
      <w:r w:rsidR="00A82951">
        <w:rPr>
          <w:rFonts w:cs="Arial"/>
          <w:rtl/>
        </w:rPr>
        <w:t>-</w:t>
      </w:r>
      <w:r>
        <w:rPr>
          <w:rFonts w:cs="Arial"/>
          <w:rtl/>
        </w:rPr>
        <w:t xml:space="preserve"> הרי אלו יכתבו ויתנו</w:t>
      </w:r>
      <w:r>
        <w:rPr>
          <w:rStyle w:val="a7"/>
          <w:rFonts w:cs="Arial"/>
          <w:rtl/>
        </w:rPr>
        <w:footnoteReference w:id="1896"/>
      </w:r>
      <w:r>
        <w:rPr>
          <w:rFonts w:cs="Arial"/>
          <w:rtl/>
        </w:rPr>
        <w:t>. חזרו לומר: אף המפרש, והיוצא בשיירא</w:t>
      </w:r>
      <w:r>
        <w:rPr>
          <w:rStyle w:val="a7"/>
          <w:rFonts w:cs="Arial"/>
          <w:rtl/>
        </w:rPr>
        <w:footnoteReference w:id="1897"/>
      </w:r>
      <w:r>
        <w:rPr>
          <w:rFonts w:cs="Arial"/>
          <w:rtl/>
        </w:rPr>
        <w:t xml:space="preserve">. </w:t>
      </w:r>
      <w:r>
        <w:rPr>
          <w:rFonts w:cs="Arial"/>
          <w:u w:val="single"/>
          <w:rtl/>
        </w:rPr>
        <w:t>רבי שמעון שזורי אומר</w:t>
      </w:r>
      <w:r>
        <w:rPr>
          <w:rFonts w:cs="Arial"/>
          <w:rtl/>
        </w:rPr>
        <w:t>: אף המסוכן</w:t>
      </w:r>
      <w:r>
        <w:rPr>
          <w:rStyle w:val="a7"/>
          <w:rFonts w:cs="Arial"/>
          <w:rtl/>
        </w:rPr>
        <w:footnoteReference w:id="1898"/>
      </w:r>
      <w:r>
        <w:rPr>
          <w:rFonts w:cs="Arial"/>
          <w:rtl/>
        </w:rPr>
        <w:t xml:space="preserve">. </w:t>
      </w:r>
      <w:r>
        <w:rPr>
          <w:rFonts w:cs="Arial"/>
          <w:sz w:val="16"/>
          <w:szCs w:val="16"/>
          <w:rtl/>
        </w:rPr>
        <w:t>(וכתבו הרי"ף (לב.) והרא"ש (סי' טו) והלכה כרבי שמעון השזורי כדאיתא בפרק בהמה המקשה (חולין עה:). וכ"פ הרמב"ם בפ"ב (הי"ב), ב"י)</w:t>
      </w:r>
      <w:r>
        <w:rPr>
          <w:rFonts w:cs="Arial"/>
          <w:rtl/>
        </w:rPr>
        <w:t xml:space="preserve"> </w:t>
      </w:r>
    </w:p>
    <w:p w14:paraId="275B3325" w14:textId="77777777" w:rsidR="00FA2119" w:rsidRDefault="00FA2119" w:rsidP="00FA2119">
      <w:pPr>
        <w:rPr>
          <w:rFonts w:cs="Arial"/>
          <w:rtl/>
        </w:rPr>
      </w:pPr>
      <w:r>
        <w:rPr>
          <w:rFonts w:cs="Arial"/>
          <w:b/>
          <w:bCs/>
          <w:rtl/>
        </w:rPr>
        <w:t xml:space="preserve">ירושלמי גיטין פ"ו ה"ה: </w:t>
      </w:r>
      <w:r>
        <w:rPr>
          <w:rFonts w:cs="Arial"/>
          <w:rtl/>
        </w:rPr>
        <w:t>תני אף החולה</w:t>
      </w:r>
      <w:r>
        <w:rPr>
          <w:rStyle w:val="a7"/>
          <w:rFonts w:cs="Arial"/>
          <w:rtl/>
        </w:rPr>
        <w:footnoteReference w:id="1899"/>
      </w:r>
      <w:r>
        <w:rPr>
          <w:rFonts w:cs="Arial"/>
          <w:rtl/>
        </w:rPr>
        <w:t xml:space="preserve">. </w:t>
      </w:r>
      <w:r>
        <w:rPr>
          <w:rFonts w:cs="Arial"/>
          <w:u w:val="single"/>
          <w:rtl/>
        </w:rPr>
        <w:t>ר' יעקב בר אידי בשם ר' יונתן</w:t>
      </w:r>
      <w:r>
        <w:rPr>
          <w:rFonts w:cs="Arial"/>
          <w:rtl/>
        </w:rPr>
        <w:t xml:space="preserve">: הלכה כרבי שמעון השזורי במסוכן. מה בין מסוכן מה בין חולה. חולה כדרך הארץ. ומסוכן כל שקפץ עליו החולי. דרך הארץ הקרובים נכנסין אצלו מיד והרחוקין לאחר ג' ימים. ואם קפץ עליו החולי אילו ואילו נכנסין אצלו מיד. </w:t>
      </w:r>
      <w:r>
        <w:rPr>
          <w:sz w:val="16"/>
          <w:szCs w:val="16"/>
          <w:rtl/>
        </w:rPr>
        <w:t>(</w:t>
      </w:r>
      <w:r>
        <w:rPr>
          <w:rFonts w:cs="Arial"/>
          <w:sz w:val="16"/>
          <w:szCs w:val="16"/>
          <w:rtl/>
        </w:rPr>
        <w:t>אלמא משמע דאחר שלשה ימים נקרא שכיב מרע וכל צוואתו מחמת מיתה הוא, רא"ש (גיטין פ"ט סי' יח))</w:t>
      </w:r>
    </w:p>
    <w:p w14:paraId="70C5CD08" w14:textId="77777777" w:rsidR="00FA2119" w:rsidRDefault="00FA2119" w:rsidP="00FA2119">
      <w:pPr>
        <w:rPr>
          <w:u w:val="single"/>
          <w:rtl/>
        </w:rPr>
      </w:pPr>
      <w:r>
        <w:rPr>
          <w:rFonts w:cs="Arial"/>
          <w:u w:val="single"/>
          <w:rtl/>
        </w:rPr>
        <w:t>האומר 'כתבו גט לאשתי'</w:t>
      </w:r>
      <w:r>
        <w:rPr>
          <w:u w:val="single"/>
          <w:rtl/>
        </w:rPr>
        <w:t xml:space="preserve"> ולא אמר 'תנו':</w:t>
      </w:r>
    </w:p>
    <w:p w14:paraId="6F57ADC1" w14:textId="62EA1CB2"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אמר כתבו גט לאשתי ולא אמר תנו </w:t>
      </w:r>
      <w:r w:rsidR="00A82951">
        <w:rPr>
          <w:rFonts w:cs="Arial"/>
          <w:rtl/>
        </w:rPr>
        <w:t>-</w:t>
      </w:r>
      <w:r>
        <w:rPr>
          <w:rFonts w:cs="Arial"/>
          <w:rtl/>
        </w:rPr>
        <w:t xml:space="preserve"> יכתבו ויתנוהו לידו, אבל לא יתנוהו לידה, שלא עשאם שלוחים אלא לכתוב ולא לגרש. בד"א, בבריא. אבל בחולה לאחר ג' ימים, או תוך ג' ימים ונתחזק עליו החולי, אע"פ שלא אמר אלא כתבו </w:t>
      </w:r>
      <w:r w:rsidR="00A82951">
        <w:rPr>
          <w:rFonts w:cs="Arial"/>
          <w:rtl/>
        </w:rPr>
        <w:t>-</w:t>
      </w:r>
      <w:r>
        <w:rPr>
          <w:rFonts w:cs="Arial"/>
          <w:rtl/>
        </w:rPr>
        <w:t xml:space="preserve"> כותבין ונותנין, שדעתו לומר תנו אלא שהוא בהול מחמת החולי. וכן הדין ביוצא </w:t>
      </w:r>
      <w:r>
        <w:rPr>
          <w:rFonts w:cs="Arial"/>
          <w:rtl/>
        </w:rPr>
        <w:lastRenderedPageBreak/>
        <w:t>בשיירא, ומפרש בים, וביוצא בקולר בין על עסקי ממון בין על עסקי נפשות, שנותנין אע"פ שלא אמר אלא כתבו.</w:t>
      </w:r>
      <w:r>
        <w:rPr>
          <w:rtl/>
        </w:rPr>
        <w:t xml:space="preserve"> </w:t>
      </w:r>
    </w:p>
    <w:p w14:paraId="11B1BD14" w14:textId="47F7546F" w:rsidR="00FA2119" w:rsidRDefault="00FA2119" w:rsidP="006A458D">
      <w:pPr>
        <w:pStyle w:val="ab"/>
        <w:numPr>
          <w:ilvl w:val="0"/>
          <w:numId w:val="102"/>
        </w:numPr>
      </w:pPr>
      <w:r>
        <w:rPr>
          <w:rFonts w:cs="Arial"/>
          <w:rtl/>
        </w:rPr>
        <w:t xml:space="preserve">רמב"ם </w:t>
      </w:r>
      <w:r>
        <w:rPr>
          <w:rFonts w:cs="Arial"/>
          <w:sz w:val="16"/>
          <w:szCs w:val="16"/>
          <w:rtl/>
        </w:rPr>
        <w:t>(פ"ב הי"ב)</w:t>
      </w:r>
      <w:r w:rsidR="00A82951">
        <w:rPr>
          <w:rFonts w:cs="Arial"/>
          <w:rtl/>
        </w:rPr>
        <w:t>-</w:t>
      </w:r>
      <w:r>
        <w:rPr>
          <w:rFonts w:cs="Arial"/>
          <w:rtl/>
        </w:rPr>
        <w:t xml:space="preserve"> האומר כתבו גט לאשתי הרי אלו כותבין וחותמין ונותנין לבעל בידו</w:t>
      </w:r>
      <w:r w:rsidR="00991C39">
        <w:rPr>
          <w:rFonts w:cs="Arial" w:hint="cs"/>
          <w:rtl/>
        </w:rPr>
        <w:t>,</w:t>
      </w:r>
      <w:r>
        <w:rPr>
          <w:rFonts w:cs="Arial"/>
          <w:rtl/>
        </w:rPr>
        <w:t xml:space="preserve"> ואין נותנין לאשתו עד שיאמר להם ליתן לה, ואם נתנו לה אינו גט</w:t>
      </w:r>
      <w:r w:rsidR="00991C39">
        <w:rPr>
          <w:rFonts w:cs="Arial" w:hint="cs"/>
          <w:rtl/>
        </w:rPr>
        <w:t>.</w:t>
      </w:r>
      <w:r>
        <w:rPr>
          <w:rFonts w:cs="Arial"/>
          <w:rtl/>
        </w:rPr>
        <w:t xml:space="preserve"> במה דברים אמורים בבריא, אבל המסוכן והוא אדם שקפץ עליו החולי במהרה והכביד חליו מיד</w:t>
      </w:r>
      <w:r w:rsidR="00991C39">
        <w:rPr>
          <w:rFonts w:cs="Arial" w:hint="cs"/>
          <w:rtl/>
        </w:rPr>
        <w:t>,</w:t>
      </w:r>
      <w:r>
        <w:rPr>
          <w:rFonts w:cs="Arial"/>
          <w:rtl/>
        </w:rPr>
        <w:t xml:space="preserve"> והיוצא בקולר אפילו על עסקי ממון</w:t>
      </w:r>
      <w:r w:rsidR="00991C39">
        <w:rPr>
          <w:rFonts w:cs="Arial" w:hint="cs"/>
          <w:rtl/>
        </w:rPr>
        <w:t>,</w:t>
      </w:r>
      <w:r>
        <w:rPr>
          <w:rFonts w:cs="Arial"/>
          <w:rtl/>
        </w:rPr>
        <w:t xml:space="preserve"> והמפרש בים והיוצא בשיירה ואמר כתבו גט לאשתי</w:t>
      </w:r>
      <w:r w:rsidR="00991C39">
        <w:rPr>
          <w:rFonts w:cs="Arial" w:hint="cs"/>
          <w:rtl/>
        </w:rPr>
        <w:t xml:space="preserve"> -</w:t>
      </w:r>
      <w:r>
        <w:rPr>
          <w:rFonts w:cs="Arial"/>
          <w:rtl/>
        </w:rPr>
        <w:t xml:space="preserve"> הרי אלו יכתבו ויחתמו ויתנו לה, שהדבר ידוע שלא נתכוון זה אלא לכתוב וליתן לה.</w:t>
      </w:r>
      <w:r>
        <w:rPr>
          <w:color w:val="E36C0A" w:themeColor="accent6" w:themeShade="BF"/>
          <w:rtl/>
        </w:rPr>
        <w:t xml:space="preserve"> </w:t>
      </w:r>
      <w:r w:rsidRPr="004542B9">
        <w:rPr>
          <w:color w:val="E36C0A" w:themeColor="accent6" w:themeShade="BF"/>
          <w:rtl/>
        </w:rPr>
        <w:t>(וכ"פ בשו"ע)</w:t>
      </w:r>
    </w:p>
    <w:p w14:paraId="6AAF5465"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345A65E" w14:textId="77777777" w:rsidR="00FA2119" w:rsidRDefault="00FA2119" w:rsidP="00FA2119">
      <w:pPr>
        <w:rPr>
          <w:rtl/>
        </w:rPr>
      </w:pPr>
      <w:r>
        <w:rPr>
          <w:rFonts w:cs="Arial"/>
          <w:rtl/>
        </w:rPr>
        <w:t>האומר: כתבו גט לאשתי, הרי אלו כותבין ונותנין לבעל בידו, ואין נותנין לאשתו עד שיאמר להם ליתן לה. ואם נתנו לה, אינו גט. במה דברים אמורים, בבריא. אבל במסוכן, והוא אדם שקפץ החולי במהרה והכביד עליו חליו מיד, והיוצא בקולר, אפילו על עסקי ממון, והמפרש בים והיוצא בשיירא ואמר: כתבו גט לאשתי, הרי אלו יכתבו</w:t>
      </w:r>
      <w:r>
        <w:rPr>
          <w:rStyle w:val="a7"/>
          <w:rFonts w:cs="Arial"/>
          <w:rtl/>
        </w:rPr>
        <w:footnoteReference w:id="1900"/>
      </w:r>
      <w:r>
        <w:rPr>
          <w:rFonts w:cs="Arial"/>
          <w:rtl/>
        </w:rPr>
        <w:t xml:space="preserve"> ויתנו לה</w:t>
      </w:r>
      <w:r>
        <w:rPr>
          <w:rStyle w:val="a7"/>
          <w:rFonts w:cs="Arial"/>
          <w:rtl/>
        </w:rPr>
        <w:footnoteReference w:id="1901"/>
      </w:r>
      <w:r>
        <w:rPr>
          <w:rFonts w:cs="Arial"/>
          <w:rtl/>
        </w:rPr>
        <w:t xml:space="preserve">, שהדבר ידוע שלא נתכוין זה אלא לכתוב וליתן לה. </w:t>
      </w:r>
    </w:p>
    <w:p w14:paraId="020C51C6" w14:textId="77777777" w:rsidR="00FA2119" w:rsidRDefault="00FA2119" w:rsidP="00FA2119">
      <w:pPr>
        <w:rPr>
          <w:rtl/>
        </w:rPr>
      </w:pPr>
    </w:p>
    <w:p w14:paraId="2DA9C271" w14:textId="77777777" w:rsidR="00FA2119" w:rsidRDefault="00FA2119" w:rsidP="00FA2119">
      <w:pPr>
        <w:pStyle w:val="2"/>
        <w:rPr>
          <w:rtl/>
        </w:rPr>
      </w:pPr>
      <w:r>
        <w:rPr>
          <w:rtl/>
        </w:rPr>
        <w:t xml:space="preserve">סעיף יז: בריא האומר 'כתבו גט לאשתי' </w:t>
      </w:r>
      <w:r>
        <w:rPr>
          <w:sz w:val="18"/>
          <w:szCs w:val="18"/>
          <w:rtl/>
        </w:rPr>
        <w:t>(ולא אמר 'תנו')</w:t>
      </w:r>
      <w:r>
        <w:rPr>
          <w:rtl/>
        </w:rPr>
        <w:t>, והמית את עצמו מיד.</w:t>
      </w:r>
    </w:p>
    <w:p w14:paraId="649534A7" w14:textId="571D1F50" w:rsidR="00FA2119" w:rsidRDefault="00FA2119" w:rsidP="00FA2119">
      <w:pPr>
        <w:rPr>
          <w:rFonts w:cs="Arial"/>
          <w:rtl/>
        </w:rPr>
      </w:pPr>
      <w:r>
        <w:rPr>
          <w:rFonts w:cs="Arial"/>
          <w:b/>
          <w:bCs/>
          <w:rtl/>
        </w:rPr>
        <w:t xml:space="preserve">גיטין </w:t>
      </w:r>
      <w:r>
        <w:rPr>
          <w:rFonts w:cs="Arial"/>
          <w:b/>
          <w:bCs/>
          <w:sz w:val="16"/>
          <w:szCs w:val="16"/>
          <w:rtl/>
        </w:rPr>
        <w:t>(פ' התקבל)</w:t>
      </w:r>
      <w:r>
        <w:rPr>
          <w:rFonts w:cs="Arial"/>
          <w:b/>
          <w:bCs/>
          <w:rtl/>
        </w:rPr>
        <w:t xml:space="preserve"> סו ע"א:</w:t>
      </w:r>
      <w:r>
        <w:rPr>
          <w:rFonts w:cs="Arial"/>
          <w:rtl/>
        </w:rPr>
        <w:t xml:space="preserve"> </w:t>
      </w:r>
      <w:r>
        <w:rPr>
          <w:rFonts w:cs="Arial"/>
          <w:u w:val="double"/>
          <w:rtl/>
        </w:rPr>
        <w:t>מתני'</w:t>
      </w:r>
      <w:r>
        <w:rPr>
          <w:rFonts w:cs="Arial"/>
          <w:rtl/>
        </w:rPr>
        <w:t xml:space="preserve">: הבריא שאמר כתבו גט לאשתי </w:t>
      </w:r>
      <w:r w:rsidR="00A82951">
        <w:rPr>
          <w:rFonts w:cs="Arial"/>
          <w:rtl/>
        </w:rPr>
        <w:t>-</w:t>
      </w:r>
      <w:r>
        <w:rPr>
          <w:rFonts w:cs="Arial"/>
          <w:rtl/>
        </w:rPr>
        <w:t xml:space="preserve"> רצה לשחק בה. מעשה בבריא אחד שאמר כתבו גט לאשתי, ועלה לראש הגג ונפל ומת, </w:t>
      </w:r>
      <w:r>
        <w:rPr>
          <w:rFonts w:cs="Arial"/>
          <w:u w:val="single"/>
          <w:rtl/>
        </w:rPr>
        <w:t>אמר רשב"ג</w:t>
      </w:r>
      <w:r>
        <w:rPr>
          <w:rFonts w:cs="Arial"/>
          <w:rtl/>
        </w:rPr>
        <w:t xml:space="preserve">: אם מעצמו נפל </w:t>
      </w:r>
      <w:r w:rsidR="00A82951">
        <w:rPr>
          <w:rFonts w:cs="Arial"/>
          <w:rtl/>
        </w:rPr>
        <w:t>-</w:t>
      </w:r>
      <w:r>
        <w:rPr>
          <w:rFonts w:cs="Arial"/>
          <w:rtl/>
        </w:rPr>
        <w:t xml:space="preserve"> הרי זה גט, אם הרוח דחתו </w:t>
      </w:r>
      <w:r w:rsidR="00A82951">
        <w:rPr>
          <w:rFonts w:cs="Arial"/>
          <w:rtl/>
        </w:rPr>
        <w:t>-</w:t>
      </w:r>
      <w:r>
        <w:rPr>
          <w:rFonts w:cs="Arial"/>
          <w:rtl/>
        </w:rPr>
        <w:t xml:space="preserve"> אינו גט.       </w:t>
      </w:r>
      <w:r>
        <w:rPr>
          <w:rFonts w:cs="Arial"/>
          <w:u w:val="double"/>
          <w:rtl/>
        </w:rPr>
        <w:t>גמ'</w:t>
      </w:r>
      <w:r>
        <w:rPr>
          <w:rFonts w:cs="Arial"/>
          <w:rtl/>
        </w:rPr>
        <w:t xml:space="preserve">: מעשה לסתור? חסורי מיחסרא והכי קתני: אם הוכיח סופו על תחילתו </w:t>
      </w:r>
      <w:r w:rsidR="00A82951">
        <w:rPr>
          <w:rFonts w:cs="Arial"/>
          <w:rtl/>
        </w:rPr>
        <w:t>-</w:t>
      </w:r>
      <w:r>
        <w:rPr>
          <w:rFonts w:cs="Arial"/>
          <w:rtl/>
        </w:rPr>
        <w:t xml:space="preserve"> הרי זה גט, ומעשה נמי בבריא שאמר כתבו גט לאשתי, ועלה לראש הגג ונפל ומת, ואמר רשב"ג: אם מעצמו נפל </w:t>
      </w:r>
      <w:r w:rsidR="00A82951">
        <w:rPr>
          <w:rFonts w:cs="Arial"/>
          <w:rtl/>
        </w:rPr>
        <w:t>-</w:t>
      </w:r>
      <w:r>
        <w:rPr>
          <w:rFonts w:cs="Arial"/>
          <w:rtl/>
        </w:rPr>
        <w:t xml:space="preserve"> הרי זה גט, אם הרוח דחתו </w:t>
      </w:r>
      <w:r w:rsidR="00A82951">
        <w:rPr>
          <w:rFonts w:cs="Arial"/>
          <w:rtl/>
        </w:rPr>
        <w:t>-</w:t>
      </w:r>
      <w:r>
        <w:rPr>
          <w:rFonts w:cs="Arial"/>
          <w:rtl/>
        </w:rPr>
        <w:t xml:space="preserve"> אינו גט. </w:t>
      </w:r>
      <w:r>
        <w:rPr>
          <w:rFonts w:cs="Arial"/>
          <w:sz w:val="16"/>
          <w:szCs w:val="16"/>
          <w:rtl/>
        </w:rPr>
        <w:t>(וכתב הר"ן (לב: ד"ה גמ' מעשה) דרבי שמעון בן גמליאל לאו לאיפלוגי אתא. ופשוט הוא, ב"י)</w:t>
      </w:r>
      <w:r>
        <w:rPr>
          <w:rFonts w:cs="Arial"/>
          <w:rtl/>
        </w:rPr>
        <w:t xml:space="preserve"> </w:t>
      </w:r>
    </w:p>
    <w:p w14:paraId="4B11E613" w14:textId="10C26F55" w:rsidR="00FA2119" w:rsidRDefault="00FA2119" w:rsidP="00FA2119">
      <w:pPr>
        <w:rPr>
          <w:rFonts w:cs="Arial"/>
          <w:rtl/>
        </w:rPr>
      </w:pPr>
      <w:r>
        <w:rPr>
          <w:rFonts w:cs="Arial"/>
          <w:b/>
          <w:bCs/>
          <w:rtl/>
        </w:rPr>
        <w:t xml:space="preserve">תוספתא גיטין פ"ד ה"ח: </w:t>
      </w:r>
      <w:r>
        <w:rPr>
          <w:rFonts w:cs="Arial"/>
          <w:rtl/>
        </w:rPr>
        <w:t xml:space="preserve">בריא שאמר כתבו גט לאשתי ועלה לראש הגג ונפל </w:t>
      </w:r>
      <w:r w:rsidR="00A82951">
        <w:rPr>
          <w:rFonts w:cs="Arial"/>
          <w:rtl/>
        </w:rPr>
        <w:t>-</w:t>
      </w:r>
      <w:r>
        <w:rPr>
          <w:rFonts w:cs="Arial"/>
          <w:rtl/>
        </w:rPr>
        <w:t xml:space="preserve"> כותבין ונותנין לה כל זמן שיש בו נשמה. </w:t>
      </w:r>
      <w:r>
        <w:rPr>
          <w:rFonts w:cs="Arial"/>
          <w:u w:val="single"/>
          <w:rtl/>
        </w:rPr>
        <w:t>רבן שמעון בן גמליאל אומר</w:t>
      </w:r>
      <w:r>
        <w:rPr>
          <w:rFonts w:cs="Arial"/>
          <w:rtl/>
        </w:rPr>
        <w:t xml:space="preserve">: אם מעצמו נפל </w:t>
      </w:r>
      <w:r w:rsidR="00A82951">
        <w:rPr>
          <w:rFonts w:cs="Arial"/>
          <w:rtl/>
        </w:rPr>
        <w:t>-</w:t>
      </w:r>
      <w:r>
        <w:rPr>
          <w:rFonts w:cs="Arial"/>
          <w:rtl/>
        </w:rPr>
        <w:t xml:space="preserve"> הרי זה גט. אם לאחר זמן נפל </w:t>
      </w:r>
      <w:r w:rsidR="00A82951">
        <w:rPr>
          <w:rFonts w:cs="Arial"/>
          <w:rtl/>
        </w:rPr>
        <w:t>-</w:t>
      </w:r>
      <w:r>
        <w:rPr>
          <w:rFonts w:cs="Arial"/>
          <w:rtl/>
        </w:rPr>
        <w:t xml:space="preserve"> כותבין ואין נותנין, שאני אומר הרוח דחפתו. </w:t>
      </w:r>
      <w:r>
        <w:rPr>
          <w:rFonts w:cs="Arial"/>
          <w:sz w:val="16"/>
          <w:szCs w:val="16"/>
          <w:rtl/>
        </w:rPr>
        <w:t xml:space="preserve">(וכתבה הרשב"א (סוף סה:, סו. ד"ה רשב"ג) והרא"ש (סי' יח). והרמב"ם בפ"ב (הי"ג) משמע דמפרש למתניתין בשכתבו קודם שנפל. ואפשר דמתניתין כללא קתני, דכל שנפל מעצמו הוי ליה כאומר כתבו ותנו, ואם כתבו ונתנו קודם שנפל </w:t>
      </w:r>
      <w:r w:rsidR="00A82951">
        <w:rPr>
          <w:rFonts w:cs="Arial"/>
          <w:sz w:val="16"/>
          <w:szCs w:val="16"/>
          <w:rtl/>
        </w:rPr>
        <w:t>-</w:t>
      </w:r>
      <w:r>
        <w:rPr>
          <w:rFonts w:cs="Arial"/>
          <w:sz w:val="16"/>
          <w:szCs w:val="16"/>
          <w:rtl/>
        </w:rPr>
        <w:t xml:space="preserve"> הרי זה גט. ואם לא כתבו עד שנפל </w:t>
      </w:r>
      <w:r w:rsidR="00A82951">
        <w:rPr>
          <w:rFonts w:cs="Arial"/>
          <w:sz w:val="16"/>
          <w:szCs w:val="16"/>
          <w:rtl/>
        </w:rPr>
        <w:t>-</w:t>
      </w:r>
      <w:r>
        <w:rPr>
          <w:rFonts w:cs="Arial"/>
          <w:sz w:val="16"/>
          <w:szCs w:val="16"/>
          <w:rtl/>
        </w:rPr>
        <w:t xml:space="preserve"> כותבין ונותנין אחר נפילה כל זמן שיש בו נשמה, ב"י</w:t>
      </w:r>
      <w:r w:rsidR="004542B9">
        <w:rPr>
          <w:rFonts w:cs="Arial" w:hint="cs"/>
          <w:sz w:val="16"/>
          <w:szCs w:val="16"/>
          <w:rtl/>
        </w:rPr>
        <w:t>.</w:t>
      </w:r>
      <w:r w:rsidR="004542B9" w:rsidRPr="004542B9">
        <w:rPr>
          <w:color w:val="E36C0A" w:themeColor="accent6" w:themeShade="BF"/>
          <w:sz w:val="16"/>
          <w:szCs w:val="16"/>
          <w:rtl/>
        </w:rPr>
        <w:t xml:space="preserve"> (וכ"פ בשו"ע)</w:t>
      </w:r>
      <w:r>
        <w:rPr>
          <w:rFonts w:cs="Arial"/>
          <w:sz w:val="16"/>
          <w:szCs w:val="16"/>
          <w:rtl/>
        </w:rPr>
        <w:t>)</w:t>
      </w:r>
    </w:p>
    <w:p w14:paraId="08B446F7" w14:textId="77777777" w:rsidR="00FA2119" w:rsidRDefault="00FA2119" w:rsidP="00FA2119">
      <w:pPr>
        <w:rPr>
          <w:u w:val="single"/>
          <w:rtl/>
        </w:rPr>
      </w:pPr>
      <w:r>
        <w:rPr>
          <w:rFonts w:cs="Arial"/>
          <w:u w:val="single"/>
          <w:rtl/>
        </w:rPr>
        <w:t>בריא האומר 'כתבו גט לאשתי' ולא אמר 'תנו'</w:t>
      </w:r>
      <w:r>
        <w:rPr>
          <w:u w:val="single"/>
          <w:rtl/>
        </w:rPr>
        <w:t>, והמית את עצמו מיד:</w:t>
      </w:r>
    </w:p>
    <w:p w14:paraId="07131FF7" w14:textId="043CB246"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בריא שאמר כתבו, וכתבו ונתנו לה, ואח"כ המית את עצמו, כגון שעלה לגג ונפל ומת </w:t>
      </w:r>
      <w:r w:rsidR="00A82951">
        <w:rPr>
          <w:rFonts w:cs="Arial"/>
          <w:rtl/>
        </w:rPr>
        <w:t>-</w:t>
      </w:r>
      <w:r>
        <w:rPr>
          <w:rFonts w:cs="Arial"/>
          <w:rtl/>
        </w:rPr>
        <w:t xml:space="preserve"> ה"ז גט, שדעתו לומר תנו אלא שהיה בהול. אבל אם עלה ודחפו הרוח ונפל ומת </w:t>
      </w:r>
      <w:r w:rsidR="00A82951">
        <w:rPr>
          <w:rFonts w:cs="Arial"/>
          <w:rtl/>
        </w:rPr>
        <w:t>-</w:t>
      </w:r>
      <w:r>
        <w:rPr>
          <w:rFonts w:cs="Arial"/>
          <w:rtl/>
        </w:rPr>
        <w:t xml:space="preserve"> אינו גט.</w:t>
      </w:r>
      <w:r>
        <w:rPr>
          <w:color w:val="E36C0A" w:themeColor="accent6" w:themeShade="BF"/>
          <w:rtl/>
        </w:rPr>
        <w:t xml:space="preserve"> </w:t>
      </w:r>
    </w:p>
    <w:p w14:paraId="03BDFCFC" w14:textId="0E35C395" w:rsidR="00FA2119" w:rsidRDefault="00FA2119" w:rsidP="006A458D">
      <w:pPr>
        <w:pStyle w:val="ab"/>
        <w:numPr>
          <w:ilvl w:val="0"/>
          <w:numId w:val="102"/>
        </w:numPr>
      </w:pPr>
      <w:r>
        <w:rPr>
          <w:rFonts w:cs="Arial"/>
          <w:rtl/>
        </w:rPr>
        <w:t xml:space="preserve">רמב"ם </w:t>
      </w:r>
      <w:r>
        <w:rPr>
          <w:rFonts w:cs="Arial"/>
          <w:sz w:val="16"/>
          <w:szCs w:val="16"/>
          <w:rtl/>
        </w:rPr>
        <w:t>(פ"ב הי"ג)</w:t>
      </w:r>
      <w:r w:rsidR="00A82951">
        <w:rPr>
          <w:rFonts w:cs="Arial"/>
          <w:rtl/>
        </w:rPr>
        <w:t>-</w:t>
      </w:r>
      <w:r>
        <w:rPr>
          <w:rFonts w:cs="Arial"/>
          <w:rtl/>
        </w:rPr>
        <w:t xml:space="preserve"> בריא שאמר כתבו גט לאשתי, וכתבו וחתמו ונתנו לה, והרג עצמו מיד, כגון שהשליך עצמו מן הגג או הפיל עצמו לים </w:t>
      </w:r>
      <w:r w:rsidR="00A82951">
        <w:rPr>
          <w:rFonts w:cs="Arial"/>
          <w:rtl/>
        </w:rPr>
        <w:t>-</w:t>
      </w:r>
      <w:r>
        <w:rPr>
          <w:rFonts w:cs="Arial"/>
          <w:rtl/>
        </w:rPr>
        <w:t xml:space="preserve"> הרי זה גט כשר. עלה לגג ודחפתו הרוח ונפל ומת </w:t>
      </w:r>
      <w:r w:rsidR="00A82951">
        <w:rPr>
          <w:rFonts w:cs="Arial"/>
          <w:rtl/>
        </w:rPr>
        <w:t>-</w:t>
      </w:r>
      <w:r>
        <w:rPr>
          <w:rFonts w:cs="Arial"/>
          <w:rtl/>
        </w:rPr>
        <w:t xml:space="preserve"> אינו גט. </w:t>
      </w:r>
      <w:r w:rsidR="004542B9" w:rsidRPr="004542B9">
        <w:rPr>
          <w:color w:val="E36C0A" w:themeColor="accent6" w:themeShade="BF"/>
          <w:rtl/>
        </w:rPr>
        <w:t>(וכ"פ בשו"ע)</w:t>
      </w:r>
    </w:p>
    <w:p w14:paraId="2A9EF024"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2E6F6F71" w14:textId="77777777" w:rsidR="00FA2119" w:rsidRDefault="00FA2119" w:rsidP="00FA2119">
      <w:pPr>
        <w:rPr>
          <w:rFonts w:cs="Arial"/>
          <w:rtl/>
        </w:rPr>
      </w:pPr>
      <w:r>
        <w:rPr>
          <w:rFonts w:cs="Arial"/>
          <w:rtl/>
        </w:rPr>
        <w:t>בריא שאמר: כתבו גט לאשתי, וכתבו ונתנו לה, והרג עצמו מיד</w:t>
      </w:r>
      <w:r>
        <w:rPr>
          <w:rStyle w:val="a7"/>
          <w:rFonts w:cs="Arial"/>
          <w:rtl/>
        </w:rPr>
        <w:footnoteReference w:id="1902"/>
      </w:r>
      <w:r>
        <w:rPr>
          <w:rFonts w:cs="Arial"/>
          <w:rtl/>
        </w:rPr>
        <w:t>, כגון שהשליך עצמו מן הגג, או הפיל עצמו לים, הרי זה גט כשר. ואם לא כתבוהו, כותבין ונותנין לה כל זמן שיש בו נשמה</w:t>
      </w:r>
      <w:r>
        <w:rPr>
          <w:rStyle w:val="a7"/>
          <w:rFonts w:cs="Arial"/>
          <w:rtl/>
        </w:rPr>
        <w:footnoteReference w:id="1903"/>
      </w:r>
      <w:r>
        <w:rPr>
          <w:rFonts w:cs="Arial"/>
          <w:rtl/>
        </w:rPr>
        <w:t>. עלה לגג ודחפתו הרוח ונפל ומת, אינו גט.</w:t>
      </w:r>
    </w:p>
    <w:p w14:paraId="04131E24" w14:textId="77777777" w:rsidR="00FA2119" w:rsidRDefault="00FA2119" w:rsidP="00FA2119">
      <w:pPr>
        <w:rPr>
          <w:rtl/>
        </w:rPr>
      </w:pPr>
      <w:r>
        <w:rPr>
          <w:rFonts w:cs="Arial"/>
          <w:rtl/>
        </w:rPr>
        <w:t xml:space="preserve"> </w:t>
      </w:r>
    </w:p>
    <w:p w14:paraId="6C78079E" w14:textId="77777777" w:rsidR="00FA2119" w:rsidRDefault="00FA2119" w:rsidP="00FA2119">
      <w:pPr>
        <w:pStyle w:val="2"/>
        <w:rPr>
          <w:rtl/>
        </w:rPr>
      </w:pPr>
      <w:r>
        <w:rPr>
          <w:rtl/>
        </w:rPr>
        <w:lastRenderedPageBreak/>
        <w:t xml:space="preserve">סעיף יח: כנ"ל רק שספק אם הרג את עצמו או שהרוח דחפתו. </w:t>
      </w:r>
    </w:p>
    <w:p w14:paraId="53C92F9C" w14:textId="0FBDF1D4" w:rsidR="00FA2119" w:rsidRDefault="00FA2119" w:rsidP="00FA2119">
      <w:pPr>
        <w:rPr>
          <w:rtl/>
        </w:rPr>
      </w:pPr>
      <w:r>
        <w:rPr>
          <w:rFonts w:cs="Arial"/>
          <w:b/>
          <w:bCs/>
          <w:rtl/>
        </w:rPr>
        <w:t>ירושלמי גיטין פ"ו ה"ו:</w:t>
      </w:r>
      <w:r>
        <w:rPr>
          <w:rFonts w:cs="Arial"/>
          <w:rtl/>
        </w:rPr>
        <w:t xml:space="preserve"> ספק מעצמו נפל ספק הרוח דחתו</w:t>
      </w:r>
      <w:r>
        <w:rPr>
          <w:rStyle w:val="a7"/>
          <w:rFonts w:cs="Arial"/>
          <w:rtl/>
        </w:rPr>
        <w:footnoteReference w:id="1904"/>
      </w:r>
      <w:r>
        <w:rPr>
          <w:rFonts w:cs="Arial"/>
          <w:rtl/>
        </w:rPr>
        <w:t xml:space="preserve">. נישמעינה מן הדא, </w:t>
      </w:r>
      <w:r>
        <w:rPr>
          <w:rFonts w:cs="Arial"/>
          <w:u w:val="single"/>
          <w:rtl/>
        </w:rPr>
        <w:t>רבן שמעון בן גמליאל אומר</w:t>
      </w:r>
      <w:r>
        <w:rPr>
          <w:rFonts w:cs="Arial"/>
          <w:rtl/>
        </w:rPr>
        <w:t>: אם על אתר נפל הרי זה גט, ואם לאחר זמן נפל אינו גט. וההן על אתר</w:t>
      </w:r>
      <w:r>
        <w:rPr>
          <w:rStyle w:val="a7"/>
          <w:rFonts w:cs="Arial"/>
          <w:rtl/>
        </w:rPr>
        <w:footnoteReference w:id="1905"/>
      </w:r>
      <w:r>
        <w:rPr>
          <w:rFonts w:cs="Arial"/>
          <w:rtl/>
        </w:rPr>
        <w:t xml:space="preserve"> ולא ספק הוא?!. הדא אמרה ספק מעצמו נפל ספק הרוח דחתו </w:t>
      </w:r>
      <w:r w:rsidR="00A82951">
        <w:rPr>
          <w:rFonts w:cs="Arial"/>
          <w:rtl/>
        </w:rPr>
        <w:t>-</w:t>
      </w:r>
      <w:r>
        <w:rPr>
          <w:rFonts w:cs="Arial"/>
          <w:rtl/>
        </w:rPr>
        <w:t xml:space="preserve"> הרי זה גט (ספק)</w:t>
      </w:r>
      <w:r>
        <w:rPr>
          <w:rStyle w:val="a7"/>
          <w:rFonts w:cs="Arial"/>
          <w:rtl/>
        </w:rPr>
        <w:footnoteReference w:id="1906"/>
      </w:r>
      <w:r>
        <w:rPr>
          <w:rFonts w:cs="Arial"/>
          <w:rtl/>
        </w:rPr>
        <w:t>.</w:t>
      </w:r>
    </w:p>
    <w:p w14:paraId="68344D36" w14:textId="3EB080F8" w:rsidR="00FA2119" w:rsidRDefault="00FA2119" w:rsidP="00FA2119">
      <w:pPr>
        <w:rPr>
          <w:rFonts w:cs="Arial"/>
          <w:rtl/>
        </w:rPr>
      </w:pPr>
      <w:r>
        <w:rPr>
          <w:rFonts w:cs="Arial"/>
          <w:b/>
          <w:bCs/>
          <w:rtl/>
        </w:rPr>
        <w:t>תוספתא גיטין פ"ד ה"ח:</w:t>
      </w:r>
      <w:r>
        <w:rPr>
          <w:rFonts w:cs="Arial"/>
          <w:rtl/>
        </w:rPr>
        <w:t xml:space="preserve"> בריא שאמר כתבו גט לאשתי ועלה לראש הגג ונפל </w:t>
      </w:r>
      <w:r w:rsidR="00A82951">
        <w:rPr>
          <w:rFonts w:cs="Arial"/>
          <w:rtl/>
        </w:rPr>
        <w:t>-</w:t>
      </w:r>
      <w:r>
        <w:rPr>
          <w:rFonts w:cs="Arial"/>
          <w:rtl/>
        </w:rPr>
        <w:t xml:space="preserve"> כותבין ונותנין לה כל זמן שיש בו נשמה. </w:t>
      </w:r>
      <w:r>
        <w:rPr>
          <w:rFonts w:cs="Arial"/>
          <w:u w:val="single"/>
          <w:rtl/>
        </w:rPr>
        <w:t>רבן שמעון בן גמליאל אומר</w:t>
      </w:r>
      <w:r>
        <w:rPr>
          <w:rFonts w:cs="Arial"/>
          <w:rtl/>
        </w:rPr>
        <w:t xml:space="preserve">: אם מעצמו נפל </w:t>
      </w:r>
      <w:r w:rsidR="00A82951">
        <w:rPr>
          <w:rFonts w:cs="Arial"/>
          <w:rtl/>
        </w:rPr>
        <w:t>-</w:t>
      </w:r>
      <w:r>
        <w:rPr>
          <w:rFonts w:cs="Arial"/>
          <w:rtl/>
        </w:rPr>
        <w:t xml:space="preserve"> הרי זה גט. אם לאחר זמן נפל </w:t>
      </w:r>
      <w:r w:rsidR="00A82951">
        <w:rPr>
          <w:rFonts w:cs="Arial"/>
          <w:rtl/>
        </w:rPr>
        <w:t>-</w:t>
      </w:r>
      <w:r>
        <w:rPr>
          <w:rFonts w:cs="Arial"/>
          <w:rtl/>
        </w:rPr>
        <w:t xml:space="preserve"> כותבין ואין נותנין, שאני אומר הרוח דחפתו. </w:t>
      </w:r>
      <w:r>
        <w:rPr>
          <w:rStyle w:val="a7"/>
          <w:rFonts w:cs="Arial"/>
          <w:rtl/>
        </w:rPr>
        <w:footnoteReference w:id="1907"/>
      </w:r>
      <w:r>
        <w:rPr>
          <w:rFonts w:cs="Arial"/>
          <w:rtl/>
        </w:rPr>
        <w:t xml:space="preserve">[ספק מעצמו נפל, ספק הרוח דחפו, אם לאלתר נפל </w:t>
      </w:r>
      <w:r w:rsidR="00A82951">
        <w:rPr>
          <w:rFonts w:cs="Arial"/>
          <w:rtl/>
        </w:rPr>
        <w:t>-</w:t>
      </w:r>
      <w:r>
        <w:rPr>
          <w:rFonts w:cs="Arial"/>
          <w:rtl/>
        </w:rPr>
        <w:t xml:space="preserve"> כותבין ונותנין, שאני אומר מעצמו נפל. ואם לאחר זמן נפל </w:t>
      </w:r>
      <w:r w:rsidR="00A82951">
        <w:rPr>
          <w:rFonts w:cs="Arial"/>
          <w:rtl/>
        </w:rPr>
        <w:t>-</w:t>
      </w:r>
      <w:r>
        <w:rPr>
          <w:rFonts w:cs="Arial"/>
          <w:rtl/>
        </w:rPr>
        <w:t xml:space="preserve"> אין כותבין ונותנין, שמא הרוח דחפתו]. </w:t>
      </w:r>
    </w:p>
    <w:p w14:paraId="3982ECC8" w14:textId="76213622" w:rsidR="00FA2119" w:rsidRDefault="00FA2119" w:rsidP="00FA2119">
      <w:pPr>
        <w:rPr>
          <w:rtl/>
        </w:rPr>
      </w:pPr>
      <w:r>
        <w:rPr>
          <w:rFonts w:cs="Arial"/>
          <w:u w:val="single"/>
          <w:rtl/>
        </w:rPr>
        <w:t xml:space="preserve">בריא האומר 'כתבו גט לאשתי' ולא אמר 'תנו' </w:t>
      </w:r>
      <w:r w:rsidR="00A82951">
        <w:rPr>
          <w:rFonts w:cs="Arial"/>
          <w:u w:val="single"/>
          <w:rtl/>
        </w:rPr>
        <w:t>-</w:t>
      </w:r>
      <w:r>
        <w:rPr>
          <w:rFonts w:cs="Arial"/>
          <w:u w:val="single"/>
          <w:rtl/>
        </w:rPr>
        <w:t xml:space="preserve"> ומת, וספק אם הרג את עצמו או שהרוח דחפתו: </w:t>
      </w:r>
    </w:p>
    <w:p w14:paraId="6EC2782A" w14:textId="47D468FB" w:rsidR="00FA2119" w:rsidRDefault="00FA2119" w:rsidP="006A458D">
      <w:pPr>
        <w:pStyle w:val="ab"/>
        <w:numPr>
          <w:ilvl w:val="0"/>
          <w:numId w:val="102"/>
        </w:numPr>
        <w:rPr>
          <w:rtl/>
        </w:rPr>
      </w:pPr>
      <w:r>
        <w:rPr>
          <w:rFonts w:cs="Arial"/>
          <w:rtl/>
        </w:rPr>
        <w:t xml:space="preserve">רמב"ם </w:t>
      </w:r>
      <w:r>
        <w:rPr>
          <w:rFonts w:cs="Arial"/>
          <w:sz w:val="16"/>
          <w:szCs w:val="16"/>
          <w:rtl/>
        </w:rPr>
        <w:t>(פ"ב הי"ג)</w:t>
      </w:r>
      <w:r w:rsidR="00A82951">
        <w:rPr>
          <w:rFonts w:cs="Arial"/>
          <w:rtl/>
        </w:rPr>
        <w:t>-</w:t>
      </w:r>
      <w:r>
        <w:rPr>
          <w:rFonts w:cs="Arial"/>
          <w:rtl/>
        </w:rPr>
        <w:t xml:space="preserve"> בריא שאמר כתבו גט לאשתי, וכתבו וחתמו ונתנו לה, והרג עצמו מיד, כגון שהשליך עצמו מן הגג או הפיל עצמו לים </w:t>
      </w:r>
      <w:r w:rsidR="00A82951">
        <w:rPr>
          <w:rFonts w:cs="Arial"/>
          <w:rtl/>
        </w:rPr>
        <w:t>-</w:t>
      </w:r>
      <w:r>
        <w:rPr>
          <w:rFonts w:cs="Arial"/>
          <w:rtl/>
        </w:rPr>
        <w:t xml:space="preserve"> הרי זה גט כשר. עלה לגג ודחפתו הרוח ונפל ומת </w:t>
      </w:r>
      <w:r w:rsidR="00A82951">
        <w:rPr>
          <w:rFonts w:cs="Arial"/>
          <w:rtl/>
        </w:rPr>
        <w:t>-</w:t>
      </w:r>
      <w:r>
        <w:rPr>
          <w:rFonts w:cs="Arial"/>
          <w:rtl/>
        </w:rPr>
        <w:t xml:space="preserve"> אינו גט. ספק הפיל עצמו ספק דחפתו הרוח </w:t>
      </w:r>
      <w:r w:rsidR="00A82951">
        <w:rPr>
          <w:rFonts w:cs="Arial"/>
          <w:rtl/>
        </w:rPr>
        <w:t>-</w:t>
      </w:r>
      <w:r>
        <w:rPr>
          <w:rFonts w:cs="Arial"/>
          <w:rtl/>
        </w:rPr>
        <w:t xml:space="preserve"> הרי זה (ספק)</w:t>
      </w:r>
      <w:r>
        <w:rPr>
          <w:rStyle w:val="a7"/>
          <w:rFonts w:cs="Arial"/>
          <w:rtl/>
        </w:rPr>
        <w:footnoteReference w:id="1908"/>
      </w:r>
      <w:r>
        <w:rPr>
          <w:rFonts w:cs="Arial"/>
          <w:rtl/>
        </w:rPr>
        <w:t xml:space="preserve"> גט עד שיודע בודאי שהרוח דחפתו. </w:t>
      </w:r>
      <w:r>
        <w:rPr>
          <w:color w:val="E36C0A" w:themeColor="accent6" w:themeShade="BF"/>
          <w:rtl/>
        </w:rPr>
        <w:t>(וכ"פ בשו"ע</w:t>
      </w:r>
      <w:r>
        <w:rPr>
          <w:color w:val="E36C0A" w:themeColor="accent6" w:themeShade="BF"/>
          <w:sz w:val="16"/>
          <w:szCs w:val="16"/>
          <w:rtl/>
        </w:rPr>
        <w:t xml:space="preserve"> </w:t>
      </w:r>
      <w:r>
        <w:rPr>
          <w:color w:val="000000" w:themeColor="text1"/>
          <w:sz w:val="16"/>
          <w:szCs w:val="16"/>
          <w:rtl/>
        </w:rPr>
        <w:t>[ע"פ הבנתו ברמב"ם]</w:t>
      </w:r>
      <w:r>
        <w:rPr>
          <w:color w:val="E36C0A" w:themeColor="accent6" w:themeShade="BF"/>
          <w:rtl/>
        </w:rPr>
        <w:t>)</w:t>
      </w:r>
    </w:p>
    <w:p w14:paraId="3588D659" w14:textId="70F8C989" w:rsidR="00FA2119" w:rsidRDefault="00FA2119" w:rsidP="006A458D">
      <w:pPr>
        <w:pStyle w:val="ab"/>
        <w:numPr>
          <w:ilvl w:val="0"/>
          <w:numId w:val="102"/>
        </w:numPr>
      </w:pPr>
      <w:r>
        <w:rPr>
          <w:rFonts w:cs="Arial"/>
          <w:rtl/>
        </w:rPr>
        <w:t xml:space="preserve">ראב"ד </w:t>
      </w:r>
      <w:r>
        <w:rPr>
          <w:rFonts w:cs="Arial"/>
          <w:sz w:val="16"/>
          <w:szCs w:val="16"/>
          <w:rtl/>
        </w:rPr>
        <w:t>(בהשגות שם)</w:t>
      </w:r>
      <w:r w:rsidR="00A82951">
        <w:rPr>
          <w:rFonts w:cs="Arial"/>
          <w:rtl/>
        </w:rPr>
        <w:t>-</w:t>
      </w:r>
      <w:r>
        <w:rPr>
          <w:rFonts w:cs="Arial"/>
          <w:rtl/>
        </w:rPr>
        <w:t xml:space="preserve"> ספק הפיל עצמו ספק דחפתו הרוח הרי זה גט. א"א זה הספק להקל בירושלמי (פ"ו ה"ו) מצא אותו, ושם אמרו אם על אתר נפל הרי זה גט אם לאחר שעה אין זה גט ועל אתר לאו ספק הוא, הדא אמרה ספק </w:t>
      </w:r>
      <w:r w:rsidR="00A82951">
        <w:rPr>
          <w:rFonts w:cs="Arial"/>
          <w:rtl/>
        </w:rPr>
        <w:t>-</w:t>
      </w:r>
      <w:r>
        <w:rPr>
          <w:rFonts w:cs="Arial"/>
          <w:rtl/>
        </w:rPr>
        <w:t xml:space="preserve"> הרי זה גט</w:t>
      </w:r>
      <w:r>
        <w:rPr>
          <w:rtl/>
        </w:rPr>
        <w:t>.</w:t>
      </w:r>
    </w:p>
    <w:p w14:paraId="5D93EE2B" w14:textId="44DA9896" w:rsidR="00FA2119" w:rsidRDefault="00FA2119" w:rsidP="006A458D">
      <w:pPr>
        <w:pStyle w:val="ab"/>
        <w:numPr>
          <w:ilvl w:val="0"/>
          <w:numId w:val="102"/>
        </w:numPr>
      </w:pPr>
      <w:r>
        <w:rPr>
          <w:rFonts w:cs="Arial"/>
          <w:rtl/>
        </w:rPr>
        <w:t>טור</w:t>
      </w:r>
      <w:r w:rsidR="00A82951">
        <w:rPr>
          <w:rFonts w:cs="Arial"/>
          <w:rtl/>
        </w:rPr>
        <w:t>-</w:t>
      </w:r>
      <w:r>
        <w:rPr>
          <w:rFonts w:cs="Arial"/>
          <w:rtl/>
        </w:rPr>
        <w:t xml:space="preserve"> ספק אם הרוח דחפו או מעצמו נפל, כתב הרמב"ם שהוא ספק גט עד שיודעים בודאי שהרוח דחפו, והראב"ד השיג עליו וכתב שהוא ודאי גט, והכי איתא בירושל', וכך הוא מסקנת א"א הרא"ש </w:t>
      </w:r>
      <w:r>
        <w:rPr>
          <w:rFonts w:cs="Arial"/>
          <w:sz w:val="16"/>
          <w:szCs w:val="16"/>
          <w:rtl/>
        </w:rPr>
        <w:t>(פ"ז סי' יח)</w:t>
      </w:r>
      <w:r>
        <w:rPr>
          <w:rFonts w:cs="Arial"/>
          <w:rtl/>
        </w:rPr>
        <w:t xml:space="preserve"> ז"ל.</w:t>
      </w:r>
    </w:p>
    <w:p w14:paraId="0F24DFA9"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4A5096C" w14:textId="77777777" w:rsidR="00FA2119" w:rsidRDefault="00FA2119" w:rsidP="00FA2119">
      <w:pPr>
        <w:rPr>
          <w:rtl/>
        </w:rPr>
      </w:pPr>
      <w:r>
        <w:rPr>
          <w:rFonts w:cs="Arial"/>
          <w:rtl/>
        </w:rPr>
        <w:t xml:space="preserve">ספק מעצמו נפל, ספק הרוח דחפתו, אם לאלתר נפל, הרי זה גט. ואם לא נפל לאלתר, הרי זה ספק. </w:t>
      </w:r>
    </w:p>
    <w:p w14:paraId="1A674276" w14:textId="77777777" w:rsidR="00FA2119" w:rsidRDefault="00FA2119" w:rsidP="00FA2119">
      <w:pPr>
        <w:rPr>
          <w:rtl/>
        </w:rPr>
      </w:pPr>
    </w:p>
    <w:p w14:paraId="066D74A0" w14:textId="77777777" w:rsidR="00FA2119" w:rsidRDefault="00FA2119" w:rsidP="00FA2119">
      <w:pPr>
        <w:pStyle w:val="2"/>
        <w:rPr>
          <w:rtl/>
        </w:rPr>
      </w:pPr>
      <w:r>
        <w:rPr>
          <w:rtl/>
        </w:rPr>
        <w:t>סעיף יט: המושלך בבור ואומר 'כל השומע קולי יכתוב גט לאשתי'.</w:t>
      </w:r>
    </w:p>
    <w:p w14:paraId="301FC3BE" w14:textId="0FBC04FE" w:rsidR="00FA2119" w:rsidRDefault="00FA2119" w:rsidP="00FA2119">
      <w:pPr>
        <w:rPr>
          <w:rtl/>
        </w:rPr>
      </w:pPr>
      <w:r>
        <w:rPr>
          <w:rFonts w:cs="Arial"/>
          <w:b/>
          <w:bCs/>
          <w:rtl/>
        </w:rPr>
        <w:t xml:space="preserve">גיטין </w:t>
      </w:r>
      <w:r>
        <w:rPr>
          <w:rFonts w:cs="Arial"/>
          <w:b/>
          <w:bCs/>
          <w:sz w:val="16"/>
          <w:szCs w:val="16"/>
          <w:rtl/>
        </w:rPr>
        <w:t>(פ' התקבל)</w:t>
      </w:r>
      <w:r>
        <w:rPr>
          <w:rFonts w:cs="Arial"/>
          <w:b/>
          <w:bCs/>
          <w:rtl/>
        </w:rPr>
        <w:t xml:space="preserve"> סו ע"א:</w:t>
      </w:r>
      <w:r>
        <w:rPr>
          <w:rFonts w:cs="Arial"/>
          <w:rtl/>
        </w:rPr>
        <w:t xml:space="preserve"> </w:t>
      </w:r>
      <w:r>
        <w:rPr>
          <w:rFonts w:cs="Arial"/>
          <w:u w:val="double"/>
          <w:rtl/>
        </w:rPr>
        <w:t>מתני'</w:t>
      </w:r>
      <w:r>
        <w:rPr>
          <w:rFonts w:cs="Arial"/>
          <w:rtl/>
        </w:rPr>
        <w:t xml:space="preserve">: מי שהיה מושלך לבור, ואמר כל השומע את קולו יכתוב גט לאשתו </w:t>
      </w:r>
      <w:r w:rsidR="00A82951">
        <w:rPr>
          <w:rFonts w:cs="Arial"/>
          <w:rtl/>
        </w:rPr>
        <w:t>-</w:t>
      </w:r>
      <w:r>
        <w:rPr>
          <w:rFonts w:cs="Arial"/>
          <w:rtl/>
        </w:rPr>
        <w:t xml:space="preserve"> הרי אלו יכתבו ויתנו. </w:t>
      </w:r>
      <w:r>
        <w:rPr>
          <w:rtl/>
        </w:rPr>
        <w:t xml:space="preserve">     </w:t>
      </w:r>
      <w:r>
        <w:rPr>
          <w:rFonts w:cs="Arial"/>
          <w:u w:val="double"/>
          <w:rtl/>
        </w:rPr>
        <w:t>גמ'</w:t>
      </w:r>
      <w:r>
        <w:rPr>
          <w:rFonts w:cs="Arial"/>
          <w:rtl/>
        </w:rPr>
        <w:t xml:space="preserve">: וליחוש שמא שד הוא! </w:t>
      </w:r>
      <w:r>
        <w:rPr>
          <w:rFonts w:cs="Arial"/>
          <w:u w:val="single"/>
          <w:rtl/>
        </w:rPr>
        <w:t>א"ר יהודה</w:t>
      </w:r>
      <w:r>
        <w:rPr>
          <w:rFonts w:cs="Arial"/>
          <w:rtl/>
        </w:rPr>
        <w:t>: כשראו לו דמות אדם. אינהו נמי אידמויי אידמו</w:t>
      </w:r>
      <w:r>
        <w:rPr>
          <w:rStyle w:val="a7"/>
          <w:rFonts w:cs="Arial"/>
          <w:rtl/>
        </w:rPr>
        <w:footnoteReference w:id="1909"/>
      </w:r>
      <w:r>
        <w:rPr>
          <w:rFonts w:cs="Arial"/>
          <w:rtl/>
        </w:rPr>
        <w:t xml:space="preserve">! דחזו ליה בבואה. אינהו נמי אית להו בבואה! דחזו ליה בבואה דבבואה. ודלמא אינהו נמי אית להו! </w:t>
      </w:r>
      <w:r>
        <w:rPr>
          <w:rFonts w:cs="Arial"/>
          <w:u w:val="single"/>
          <w:rtl/>
        </w:rPr>
        <w:t>א"ר חנינא, לימדני יונתן בני</w:t>
      </w:r>
      <w:r>
        <w:rPr>
          <w:rFonts w:cs="Arial"/>
          <w:rtl/>
        </w:rPr>
        <w:t>: בבואה אית להו, בבואה דבבואה לית להו. ודלמא צרה היא</w:t>
      </w:r>
      <w:r>
        <w:rPr>
          <w:rStyle w:val="a7"/>
          <w:rFonts w:cs="Arial"/>
          <w:rtl/>
        </w:rPr>
        <w:footnoteReference w:id="1910"/>
      </w:r>
      <w:r>
        <w:rPr>
          <w:rFonts w:cs="Arial"/>
          <w:rtl/>
        </w:rPr>
        <w:t xml:space="preserve">! </w:t>
      </w:r>
      <w:r w:rsidRPr="00670030">
        <w:rPr>
          <w:rFonts w:cs="Arial"/>
          <w:u w:val="single"/>
          <w:rtl/>
        </w:rPr>
        <w:t>תנא דבי רבי ישמעאל</w:t>
      </w:r>
      <w:r>
        <w:rPr>
          <w:rFonts w:cs="Arial"/>
          <w:rtl/>
        </w:rPr>
        <w:t>: בשעת הסכנה</w:t>
      </w:r>
      <w:r>
        <w:rPr>
          <w:rStyle w:val="a7"/>
          <w:rFonts w:cs="Arial"/>
          <w:rtl/>
        </w:rPr>
        <w:footnoteReference w:id="1911"/>
      </w:r>
      <w:r>
        <w:rPr>
          <w:rFonts w:cs="Arial"/>
          <w:rtl/>
        </w:rPr>
        <w:t>, כותבין ונותנין אף על פי שאין מכירין</w:t>
      </w:r>
      <w:r>
        <w:rPr>
          <w:rStyle w:val="a7"/>
          <w:rFonts w:cs="Arial"/>
          <w:rtl/>
        </w:rPr>
        <w:footnoteReference w:id="1912"/>
      </w:r>
      <w:r>
        <w:rPr>
          <w:rFonts w:cs="Arial"/>
          <w:rtl/>
        </w:rPr>
        <w:t>.</w:t>
      </w:r>
    </w:p>
    <w:p w14:paraId="4DA50A8B" w14:textId="77777777" w:rsidR="00FA2119" w:rsidRDefault="00FA2119" w:rsidP="00FA2119">
      <w:pPr>
        <w:rPr>
          <w:rtl/>
        </w:rPr>
      </w:pPr>
      <w:r>
        <w:rPr>
          <w:rFonts w:cs="Arial"/>
          <w:b/>
          <w:bCs/>
          <w:rtl/>
        </w:rPr>
        <w:t xml:space="preserve">יבמות </w:t>
      </w:r>
      <w:r>
        <w:rPr>
          <w:rFonts w:cs="Arial"/>
          <w:b/>
          <w:bCs/>
          <w:sz w:val="16"/>
          <w:szCs w:val="16"/>
          <w:rtl/>
        </w:rPr>
        <w:t>(פ' בתרא)</w:t>
      </w:r>
      <w:r>
        <w:rPr>
          <w:rFonts w:cs="Arial"/>
          <w:b/>
          <w:bCs/>
          <w:rtl/>
        </w:rPr>
        <w:t xml:space="preserve"> קכב ע"א:</w:t>
      </w:r>
      <w:r>
        <w:rPr>
          <w:rFonts w:cs="Arial"/>
          <w:rtl/>
        </w:rPr>
        <w:t xml:space="preserve"> </w:t>
      </w:r>
      <w:r>
        <w:rPr>
          <w:rFonts w:cs="Arial"/>
          <w:u w:val="double"/>
          <w:rtl/>
        </w:rPr>
        <w:t>מתני'</w:t>
      </w:r>
      <w:r>
        <w:rPr>
          <w:rFonts w:cs="Arial"/>
          <w:rtl/>
        </w:rPr>
        <w:t xml:space="preserve">: מעידין לאור הנר ולאור הלבנה, ומשיאין על פי בת קול. מעשה באחד שעמד על ראש ההר ואמר: איש פלוני בן פלוני ממקום פלוני מת, הלכו ולא מצאו שם אדם, והשיאו את אשתו. ושוב מעשה בצלמון באחד שאמר: אני איש פלוני בן איש פלוני, נשכני נחש והרי אני מת, והלכו ולא הכירוהו, והלכו והשיאו את אשתו. </w:t>
      </w:r>
      <w:r>
        <w:rPr>
          <w:rtl/>
        </w:rPr>
        <w:t xml:space="preserve">       </w:t>
      </w:r>
      <w:r>
        <w:rPr>
          <w:rFonts w:cs="Arial"/>
          <w:u w:val="double"/>
          <w:rtl/>
        </w:rPr>
        <w:t>גמ'</w:t>
      </w:r>
      <w:r>
        <w:rPr>
          <w:rFonts w:cs="Arial"/>
          <w:rtl/>
        </w:rPr>
        <w:t xml:space="preserve">: והלכו ולא מצאו. ודלמא שד הוה! </w:t>
      </w:r>
      <w:r>
        <w:rPr>
          <w:rFonts w:cs="Arial"/>
          <w:u w:val="single"/>
          <w:rtl/>
        </w:rPr>
        <w:t>א"ר יהודה אמר רב</w:t>
      </w:r>
      <w:r>
        <w:rPr>
          <w:rFonts w:cs="Arial"/>
          <w:rtl/>
        </w:rPr>
        <w:t xml:space="preserve">: שראו לו דמות אדם. אינהו נמי דמו! דחזו ליה בבואה. ואינהו נמי אית להו בבואה! דחזו ליה בבואה דבבואה. ודלמא לדידהו אית להו בבואה דבבואה! </w:t>
      </w:r>
      <w:r>
        <w:rPr>
          <w:rFonts w:cs="Arial"/>
          <w:u w:val="single"/>
          <w:rtl/>
        </w:rPr>
        <w:t>אמר רבי חנינא, אמר לי יונתן</w:t>
      </w:r>
      <w:r>
        <w:rPr>
          <w:rFonts w:cs="Arial"/>
          <w:rtl/>
        </w:rPr>
        <w:t xml:space="preserve">: שידא, בבואה אית להו, בבואה דבבואה לית להו. ודלמא צרה הואי! </w:t>
      </w:r>
      <w:r>
        <w:rPr>
          <w:rFonts w:cs="Arial"/>
          <w:u w:val="single"/>
          <w:rtl/>
        </w:rPr>
        <w:t>תנא דבי רבי ישמעאל</w:t>
      </w:r>
      <w:r>
        <w:rPr>
          <w:rFonts w:cs="Arial"/>
          <w:rtl/>
        </w:rPr>
        <w:t>: בשעת הסכנה, כותבין ונותנין אף על פי שאין מכירין.</w:t>
      </w:r>
      <w:r>
        <w:rPr>
          <w:rFonts w:cs="Arial"/>
          <w:sz w:val="16"/>
          <w:szCs w:val="16"/>
          <w:rtl/>
        </w:rPr>
        <w:t xml:space="preserve"> (וכתבו הרי"ף (יבמות מו.) והרא"ש (יבמות סי' ח) וליחוש שמא שד הוא אמר רב יהודה אמר שמואל שראו לו דמות אדם, וחזו ליה נמי בבואה דבבואה, ולא חיישינן דילמא צרה היא דתנא דבי רבי ישמעאל בשעת הסכנה כותבין ונותנין אע"פ שאין מכירין</w:t>
      </w:r>
      <w:r>
        <w:rPr>
          <w:rFonts w:cs="Arial"/>
          <w:sz w:val="12"/>
          <w:szCs w:val="12"/>
          <w:rtl/>
        </w:rPr>
        <w:t xml:space="preserve"> </w:t>
      </w:r>
      <w:r w:rsidRPr="00670030">
        <w:rPr>
          <w:rFonts w:cs="Arial"/>
          <w:sz w:val="14"/>
          <w:szCs w:val="14"/>
          <w:rtl/>
        </w:rPr>
        <w:t>[ע"כ]</w:t>
      </w:r>
      <w:r>
        <w:rPr>
          <w:rFonts w:cs="Arial"/>
          <w:sz w:val="16"/>
          <w:szCs w:val="16"/>
          <w:rtl/>
        </w:rPr>
        <w:t>. משמע דסבירא להו דהא דמייתי לתנא דבי רבי ישמעאל לאו למידחייה לדרב יהודה, דלעולם לאפוקי מחששת שד בעינן דחזו ליה דמות אדם ובבואה דבבואה, אבל לחששא דצרה דלא שכיחא סמכינן אתנא דבי רבי ישמעאל. וכ"כ הרשב"א בפרק התקבל (סו. ד"ה וליחוש). וכ"כ גם הר"ן בפרק התקבל (לב: ד"ה וגרסי') בשם ר"ח. אבל מדברי הרמב"ם בפ"ב מהלכות גירושין (הי"ג) נראה דבתר דמייתינן הא דתנא דבי רבי ישמעאל לא צריכינן לבבואה כלל אלא כי היכי דלא חיישינן לצרה הכי נמי לא חיישינן לשד. וכן כתוב בנמוק"י בסוף יבמות (ריש מו:) שכתב הריטב"א (שם ד"ה ודילמא) בשם רבו ז"ל. ורבינו סתם הדברים כדעת הרי"ף והרא"ש וסיעתם</w:t>
      </w:r>
      <w:r>
        <w:rPr>
          <w:rStyle w:val="a7"/>
          <w:rFonts w:cs="Arial"/>
          <w:sz w:val="16"/>
          <w:szCs w:val="16"/>
          <w:rtl/>
        </w:rPr>
        <w:footnoteReference w:id="1913"/>
      </w:r>
      <w:r>
        <w:rPr>
          <w:rFonts w:cs="Arial"/>
          <w:sz w:val="16"/>
          <w:szCs w:val="16"/>
          <w:rtl/>
        </w:rPr>
        <w:t>, ב"י)</w:t>
      </w:r>
    </w:p>
    <w:p w14:paraId="50FB8BFD" w14:textId="5BCFE27A" w:rsidR="009A613C" w:rsidRDefault="009A613C" w:rsidP="009A613C">
      <w:pPr>
        <w:rPr>
          <w:sz w:val="16"/>
          <w:szCs w:val="16"/>
          <w:rtl/>
        </w:rPr>
      </w:pPr>
      <w:r>
        <w:rPr>
          <w:rFonts w:cs="Arial"/>
          <w:b/>
          <w:bCs/>
          <w:rtl/>
        </w:rPr>
        <w:t xml:space="preserve">ירושלמי </w:t>
      </w:r>
      <w:r>
        <w:rPr>
          <w:rFonts w:cs="Arial" w:hint="cs"/>
          <w:b/>
          <w:bCs/>
          <w:rtl/>
        </w:rPr>
        <w:t>יבמות פט"ז ה"ו</w:t>
      </w:r>
      <w:r>
        <w:rPr>
          <w:rStyle w:val="a7"/>
          <w:rFonts w:cs="Arial"/>
          <w:b/>
          <w:bCs/>
          <w:rtl/>
        </w:rPr>
        <w:footnoteReference w:id="1914"/>
      </w:r>
      <w:r>
        <w:rPr>
          <w:rFonts w:cs="Arial"/>
          <w:b/>
          <w:bCs/>
          <w:rtl/>
        </w:rPr>
        <w:t>:</w:t>
      </w:r>
      <w:r>
        <w:rPr>
          <w:rFonts w:cs="Arial"/>
          <w:rtl/>
        </w:rPr>
        <w:t xml:space="preserve"> תמן תנינן מעידין לאור הנר ולאור הלבנה. ומשיאין על פי בת קול. </w:t>
      </w:r>
      <w:r>
        <w:rPr>
          <w:rFonts w:cs="Arial"/>
          <w:u w:val="single"/>
          <w:rtl/>
        </w:rPr>
        <w:t>ומר רבי יונתן</w:t>
      </w:r>
      <w:r>
        <w:rPr>
          <w:rFonts w:cs="Arial"/>
          <w:rtl/>
        </w:rPr>
        <w:t xml:space="preserve">: והן שראו בוביי' של אדם. </w:t>
      </w:r>
      <w:r>
        <w:rPr>
          <w:rFonts w:cs="Arial"/>
          <w:u w:val="single"/>
          <w:rtl/>
        </w:rPr>
        <w:t>ר' אחא בר חנינה בשם ר' חנינה</w:t>
      </w:r>
      <w:r>
        <w:rPr>
          <w:rFonts w:cs="Arial"/>
          <w:rtl/>
        </w:rPr>
        <w:t>: הדא דתימר בשדה, אבל בעיר אפילו לא ראו בוביי' של אדם. והתנינן</w:t>
      </w:r>
      <w:r>
        <w:rPr>
          <w:rFonts w:cs="Arial" w:hint="cs"/>
          <w:rtl/>
        </w:rPr>
        <w:t xml:space="preserve"> </w:t>
      </w:r>
      <w:r w:rsidRPr="002637A9">
        <w:rPr>
          <w:rFonts w:cs="Arial"/>
          <w:sz w:val="16"/>
          <w:szCs w:val="16"/>
          <w:rtl/>
        </w:rPr>
        <w:t>(</w:t>
      </w:r>
      <w:r>
        <w:rPr>
          <w:rFonts w:cs="Arial" w:hint="cs"/>
          <w:sz w:val="16"/>
          <w:szCs w:val="16"/>
          <w:rtl/>
        </w:rPr>
        <w:t>ב</w:t>
      </w:r>
      <w:r w:rsidRPr="002637A9">
        <w:rPr>
          <w:rFonts w:cs="Arial"/>
          <w:sz w:val="16"/>
          <w:szCs w:val="16"/>
          <w:rtl/>
        </w:rPr>
        <w:t>גיטין סו.)</w:t>
      </w:r>
      <w:r>
        <w:rPr>
          <w:rFonts w:cs="Arial" w:hint="cs"/>
          <w:rtl/>
        </w:rPr>
        <w:t>:</w:t>
      </w:r>
      <w:r>
        <w:rPr>
          <w:rFonts w:cs="Arial"/>
          <w:rtl/>
        </w:rPr>
        <w:t xml:space="preserve"> מי שהיה מושלך בבור</w:t>
      </w:r>
      <w:r>
        <w:rPr>
          <w:rFonts w:cs="Arial" w:hint="cs"/>
          <w:rtl/>
        </w:rPr>
        <w:t>.</w:t>
      </w:r>
      <w:r>
        <w:rPr>
          <w:rFonts w:cs="Arial"/>
          <w:rtl/>
        </w:rPr>
        <w:t xml:space="preserve"> ואמר רבי יונתן</w:t>
      </w:r>
      <w:r>
        <w:rPr>
          <w:rFonts w:cs="Arial" w:hint="cs"/>
          <w:rtl/>
        </w:rPr>
        <w:t>:</w:t>
      </w:r>
      <w:r>
        <w:rPr>
          <w:rFonts w:cs="Arial"/>
          <w:rtl/>
        </w:rPr>
        <w:t xml:space="preserve"> והן שראו בוביה של אדם! </w:t>
      </w:r>
      <w:r>
        <w:rPr>
          <w:rFonts w:cs="Arial"/>
          <w:u w:val="single"/>
          <w:rtl/>
        </w:rPr>
        <w:t>אמר ר' אבין</w:t>
      </w:r>
      <w:r>
        <w:rPr>
          <w:rFonts w:cs="Arial"/>
          <w:rtl/>
        </w:rPr>
        <w:t>: המזיקין היו מצויין בבורות כדרך שהן מצויין בשדות</w:t>
      </w:r>
      <w:r>
        <w:rPr>
          <w:rStyle w:val="a7"/>
          <w:rFonts w:cs="Arial"/>
          <w:rtl/>
        </w:rPr>
        <w:footnoteReference w:id="1915"/>
      </w:r>
      <w:r>
        <w:rPr>
          <w:rFonts w:cs="Arial"/>
          <w:rtl/>
        </w:rPr>
        <w:t>.</w:t>
      </w:r>
      <w:r>
        <w:rPr>
          <w:rtl/>
        </w:rPr>
        <w:t xml:space="preserve"> </w:t>
      </w:r>
      <w:r>
        <w:rPr>
          <w:sz w:val="16"/>
          <w:szCs w:val="16"/>
          <w:rtl/>
        </w:rPr>
        <w:t>(ו</w:t>
      </w:r>
      <w:r>
        <w:rPr>
          <w:rFonts w:hint="cs"/>
          <w:sz w:val="16"/>
          <w:szCs w:val="16"/>
          <w:rtl/>
        </w:rPr>
        <w:t>את הירושלמי הנ"ל העתיקו</w:t>
      </w:r>
      <w:r>
        <w:rPr>
          <w:sz w:val="16"/>
          <w:szCs w:val="16"/>
          <w:rtl/>
        </w:rPr>
        <w:t xml:space="preserve"> תוס' (גיטין סו. ד"ה וליחוש, יבמות קכב. ד"ה דחזו) </w:t>
      </w:r>
      <w:r>
        <w:rPr>
          <w:rFonts w:hint="cs"/>
          <w:sz w:val="16"/>
          <w:szCs w:val="16"/>
          <w:rtl/>
        </w:rPr>
        <w:t xml:space="preserve">רמב"ן (גיטין סו.) </w:t>
      </w:r>
      <w:r>
        <w:rPr>
          <w:sz w:val="16"/>
          <w:szCs w:val="16"/>
          <w:rtl/>
        </w:rPr>
        <w:t xml:space="preserve">רשב"א (גיטין שם) רא"ש (יבמות </w:t>
      </w:r>
      <w:r>
        <w:rPr>
          <w:rFonts w:hint="cs"/>
          <w:sz w:val="16"/>
          <w:szCs w:val="16"/>
          <w:rtl/>
        </w:rPr>
        <w:t xml:space="preserve">פט"ז </w:t>
      </w:r>
      <w:r>
        <w:rPr>
          <w:sz w:val="16"/>
          <w:szCs w:val="16"/>
          <w:rtl/>
        </w:rPr>
        <w:t xml:space="preserve">סי' ח) ור"ן (גיטין שם). </w:t>
      </w:r>
      <w:r w:rsidRPr="002240F5">
        <w:rPr>
          <w:rFonts w:cs="Arial"/>
          <w:sz w:val="16"/>
          <w:szCs w:val="16"/>
          <w:rtl/>
        </w:rPr>
        <w:t>וכ</w:t>
      </w:r>
      <w:r w:rsidRPr="002240F5">
        <w:rPr>
          <w:rFonts w:cs="Arial" w:hint="cs"/>
          <w:sz w:val="16"/>
          <w:szCs w:val="16"/>
          <w:rtl/>
        </w:rPr>
        <w:t>' הה"מ</w:t>
      </w:r>
      <w:r w:rsidRPr="002240F5">
        <w:rPr>
          <w:rFonts w:cs="Arial"/>
          <w:sz w:val="16"/>
          <w:szCs w:val="16"/>
          <w:rtl/>
        </w:rPr>
        <w:t xml:space="preserve"> </w:t>
      </w:r>
      <w:r w:rsidRPr="002240F5">
        <w:rPr>
          <w:rFonts w:cs="Arial" w:hint="cs"/>
          <w:sz w:val="16"/>
          <w:szCs w:val="16"/>
          <w:rtl/>
        </w:rPr>
        <w:t>(</w:t>
      </w:r>
      <w:r w:rsidRPr="002240F5">
        <w:rPr>
          <w:rFonts w:cs="Arial"/>
          <w:sz w:val="16"/>
          <w:szCs w:val="16"/>
          <w:rtl/>
        </w:rPr>
        <w:t>פי"ג מגירושין הכ"ג) דהכי איתא בתוספתא</w:t>
      </w:r>
      <w:r>
        <w:rPr>
          <w:rFonts w:hint="cs"/>
          <w:sz w:val="16"/>
          <w:szCs w:val="16"/>
          <w:rtl/>
        </w:rPr>
        <w:t xml:space="preserve">. </w:t>
      </w:r>
      <w:r w:rsidRPr="00980B48">
        <w:rPr>
          <w:rFonts w:cs="Arial"/>
          <w:sz w:val="16"/>
          <w:szCs w:val="16"/>
          <w:rtl/>
        </w:rPr>
        <w:t>ו</w:t>
      </w:r>
      <w:r>
        <w:rPr>
          <w:rFonts w:cs="Arial" w:hint="cs"/>
          <w:sz w:val="16"/>
          <w:szCs w:val="16"/>
          <w:rtl/>
        </w:rPr>
        <w:t>כתב הריטב"א (יבמות קכב.) ש</w:t>
      </w:r>
      <w:r w:rsidRPr="00980B48">
        <w:rPr>
          <w:rFonts w:cs="Arial"/>
          <w:sz w:val="16"/>
          <w:szCs w:val="16"/>
          <w:rtl/>
        </w:rPr>
        <w:t>לזה הסכימו כל רבותינו ז"ל</w:t>
      </w:r>
      <w:r>
        <w:rPr>
          <w:rFonts w:hint="cs"/>
          <w:sz w:val="16"/>
          <w:szCs w:val="16"/>
          <w:rtl/>
        </w:rPr>
        <w:t>.</w:t>
      </w:r>
      <w:r>
        <w:rPr>
          <w:sz w:val="16"/>
          <w:szCs w:val="16"/>
          <w:rtl/>
        </w:rPr>
        <w:t xml:space="preserve"> וכ"פ הטור</w:t>
      </w:r>
      <w:r>
        <w:rPr>
          <w:rFonts w:hint="cs"/>
          <w:sz w:val="16"/>
          <w:szCs w:val="16"/>
          <w:rtl/>
        </w:rPr>
        <w:t xml:space="preserve"> (כאן ובסי' יז ה"י)</w:t>
      </w:r>
      <w:r>
        <w:rPr>
          <w:sz w:val="16"/>
          <w:szCs w:val="16"/>
          <w:rtl/>
        </w:rPr>
        <w:t>)</w:t>
      </w:r>
    </w:p>
    <w:p w14:paraId="3A54AE19" w14:textId="77777777" w:rsidR="00FA2119" w:rsidRDefault="00FA2119" w:rsidP="00FA2119">
      <w:pPr>
        <w:rPr>
          <w:u w:val="single"/>
          <w:rtl/>
        </w:rPr>
      </w:pPr>
      <w:r>
        <w:rPr>
          <w:u w:val="single"/>
          <w:rtl/>
        </w:rPr>
        <w:t>המושלך בבור ואומר 'כל השומע קולי יכתוב גט לאשתי':</w:t>
      </w:r>
    </w:p>
    <w:p w14:paraId="5DA7C029" w14:textId="73B7F712"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וכן מי שהוא מושלך בבור ואומר כל השומע קולי</w:t>
      </w:r>
      <w:r>
        <w:rPr>
          <w:rStyle w:val="a7"/>
          <w:rFonts w:cs="Arial"/>
          <w:rtl/>
        </w:rPr>
        <w:footnoteReference w:id="1916"/>
      </w:r>
      <w:r>
        <w:rPr>
          <w:rFonts w:cs="Arial"/>
          <w:rtl/>
        </w:rPr>
        <w:t xml:space="preserve"> יכתוב גט לאשתי, ופירש שמו ושם אשתו ושם עירו ושם עירה </w:t>
      </w:r>
      <w:r w:rsidR="00A82951">
        <w:rPr>
          <w:rFonts w:cs="Arial"/>
          <w:rtl/>
        </w:rPr>
        <w:t>-</w:t>
      </w:r>
      <w:r>
        <w:rPr>
          <w:rFonts w:cs="Arial"/>
          <w:rtl/>
        </w:rPr>
        <w:t xml:space="preserve"> יכתבו ויתנו אע"פ שהעלוהו ולא הכירוהו</w:t>
      </w:r>
      <w:r>
        <w:rPr>
          <w:rStyle w:val="a7"/>
          <w:rFonts w:cs="Arial"/>
          <w:rtl/>
        </w:rPr>
        <w:footnoteReference w:id="1917"/>
      </w:r>
      <w:r>
        <w:rPr>
          <w:rFonts w:cs="Arial"/>
          <w:rtl/>
        </w:rPr>
        <w:t>, שזהו שעת הסכנה שכותבין ונותנין אע"פ שאין מכירין. וכגון דחזו ליה בבואה דבבואה, הא לאו הכי חיישינן שמא שד הוא ואין כותבין. וה"מ במושלך בבור או בשדה במקום ששדים מצויים</w:t>
      </w:r>
      <w:r w:rsidR="009A613C">
        <w:rPr>
          <w:rFonts w:cs="Arial" w:hint="cs"/>
          <w:rtl/>
        </w:rPr>
        <w:t>,</w:t>
      </w:r>
      <w:r>
        <w:rPr>
          <w:rFonts w:cs="Arial"/>
          <w:rtl/>
        </w:rPr>
        <w:t xml:space="preserve"> אבל אדם שאומר בלילה</w:t>
      </w:r>
      <w:r w:rsidR="009A613C">
        <w:rPr>
          <w:rStyle w:val="a7"/>
          <w:rFonts w:cs="Arial"/>
          <w:rtl/>
        </w:rPr>
        <w:footnoteReference w:id="1918"/>
      </w:r>
      <w:r>
        <w:rPr>
          <w:rFonts w:cs="Arial"/>
          <w:rtl/>
        </w:rPr>
        <w:t xml:space="preserve"> כתבו גט לאשתי </w:t>
      </w:r>
      <w:r w:rsidR="00A82951">
        <w:rPr>
          <w:rFonts w:cs="Arial"/>
          <w:rtl/>
        </w:rPr>
        <w:t>-</w:t>
      </w:r>
      <w:r>
        <w:rPr>
          <w:rFonts w:cs="Arial"/>
          <w:rtl/>
        </w:rPr>
        <w:t xml:space="preserve"> לא חיישינן שמא שד הוא וכותבים ונותנים אע"ג דלא חזו ליה בבואה דבבואה.</w:t>
      </w:r>
      <w:r w:rsidR="00802280">
        <w:rPr>
          <w:rFonts w:cs="Arial" w:hint="cs"/>
          <w:rtl/>
        </w:rPr>
        <w:t xml:space="preserve"> </w:t>
      </w:r>
      <w:bookmarkStart w:id="21" w:name="_Hlk111048399"/>
      <w:r w:rsidR="00802280">
        <w:rPr>
          <w:color w:val="E36C0A" w:themeColor="accent6" w:themeShade="BF"/>
          <w:rtl/>
        </w:rPr>
        <w:t>(וכ"</w:t>
      </w:r>
      <w:r w:rsidR="00802280">
        <w:rPr>
          <w:rFonts w:hint="cs"/>
          <w:color w:val="E36C0A" w:themeColor="accent6" w:themeShade="BF"/>
          <w:rtl/>
        </w:rPr>
        <w:t>פ</w:t>
      </w:r>
      <w:r w:rsidR="00802280">
        <w:rPr>
          <w:color w:val="E36C0A" w:themeColor="accent6" w:themeShade="BF"/>
          <w:rtl/>
        </w:rPr>
        <w:t xml:space="preserve"> בשו"ע</w:t>
      </w:r>
      <w:r w:rsidR="00802280">
        <w:rPr>
          <w:rFonts w:hint="cs"/>
          <w:color w:val="E36C0A" w:themeColor="accent6" w:themeShade="BF"/>
          <w:sz w:val="16"/>
          <w:szCs w:val="16"/>
          <w:rtl/>
        </w:rPr>
        <w:t xml:space="preserve"> </w:t>
      </w:r>
      <w:r w:rsidR="00802280" w:rsidRPr="00802280">
        <w:rPr>
          <w:rFonts w:hint="cs"/>
          <w:color w:val="000000" w:themeColor="text1"/>
          <w:sz w:val="16"/>
          <w:szCs w:val="16"/>
          <w:rtl/>
        </w:rPr>
        <w:t>[</w:t>
      </w:r>
      <w:r w:rsidR="00802280">
        <w:rPr>
          <w:rFonts w:hint="cs"/>
          <w:color w:val="000000" w:themeColor="text1"/>
          <w:sz w:val="16"/>
          <w:szCs w:val="16"/>
          <w:rtl/>
        </w:rPr>
        <w:t>בסי' יז ה"י</w:t>
      </w:r>
      <w:r w:rsidR="00802280" w:rsidRPr="00802280">
        <w:rPr>
          <w:rFonts w:hint="cs"/>
          <w:color w:val="000000" w:themeColor="text1"/>
          <w:sz w:val="16"/>
          <w:szCs w:val="16"/>
          <w:rtl/>
        </w:rPr>
        <w:t>]</w:t>
      </w:r>
      <w:r w:rsidR="00802280">
        <w:rPr>
          <w:color w:val="E36C0A" w:themeColor="accent6" w:themeShade="BF"/>
          <w:rtl/>
        </w:rPr>
        <w:t>)</w:t>
      </w:r>
      <w:bookmarkEnd w:id="21"/>
      <w:r>
        <w:rPr>
          <w:rFonts w:cs="Arial"/>
          <w:rtl/>
        </w:rPr>
        <w:t xml:space="preserve"> </w:t>
      </w:r>
    </w:p>
    <w:p w14:paraId="0783BEE3" w14:textId="352136EE" w:rsidR="00FA2119" w:rsidRDefault="00FA2119" w:rsidP="006A458D">
      <w:pPr>
        <w:pStyle w:val="ab"/>
        <w:numPr>
          <w:ilvl w:val="0"/>
          <w:numId w:val="102"/>
        </w:numPr>
      </w:pPr>
      <w:r>
        <w:rPr>
          <w:rFonts w:cs="Arial"/>
          <w:rtl/>
        </w:rPr>
        <w:lastRenderedPageBreak/>
        <w:t xml:space="preserve">רמב"ם </w:t>
      </w:r>
      <w:r>
        <w:rPr>
          <w:rFonts w:cs="Arial"/>
          <w:sz w:val="16"/>
          <w:szCs w:val="16"/>
          <w:rtl/>
        </w:rPr>
        <w:t>(פ"ב הי"ג)</w:t>
      </w:r>
      <w:r w:rsidR="00A82951">
        <w:rPr>
          <w:rFonts w:cs="Arial"/>
          <w:rtl/>
        </w:rPr>
        <w:t>-</w:t>
      </w:r>
      <w:r>
        <w:rPr>
          <w:rFonts w:cs="Arial"/>
          <w:rtl/>
        </w:rPr>
        <w:t xml:space="preserve"> וכן מי שהיה מושלך בבור ואמר 'כל השומע קולי יכתוב גט לאשתי' </w:t>
      </w:r>
      <w:r w:rsidR="00A82951">
        <w:rPr>
          <w:rFonts w:cs="Arial"/>
          <w:rtl/>
        </w:rPr>
        <w:t>-</w:t>
      </w:r>
      <w:r>
        <w:rPr>
          <w:rFonts w:cs="Arial"/>
          <w:rtl/>
        </w:rPr>
        <w:t xml:space="preserve"> הרי אלו יכתבו ויתנו לה, והוא שידעו אותו</w:t>
      </w:r>
      <w:r>
        <w:rPr>
          <w:rStyle w:val="a7"/>
          <w:rFonts w:cs="Arial"/>
          <w:rtl/>
        </w:rPr>
        <w:footnoteReference w:id="1919"/>
      </w:r>
      <w:r>
        <w:rPr>
          <w:rFonts w:cs="Arial"/>
          <w:rtl/>
        </w:rPr>
        <w:t>, ואע"פ שהעלוהו ולא הכירוהו הרי הגט כשר, שזה בשעת הסכנה הוא שכותבין ונותנין אע"פ שאין מכירין</w:t>
      </w:r>
      <w:r>
        <w:rPr>
          <w:rtl/>
        </w:rPr>
        <w:t>.</w:t>
      </w:r>
      <w:r>
        <w:rPr>
          <w:color w:val="E36C0A" w:themeColor="accent6" w:themeShade="BF"/>
          <w:rtl/>
        </w:rPr>
        <w:t xml:space="preserve"> (וכ"</w:t>
      </w:r>
      <w:r w:rsidR="00802280">
        <w:rPr>
          <w:rFonts w:hint="cs"/>
          <w:color w:val="E36C0A" w:themeColor="accent6" w:themeShade="BF"/>
          <w:rtl/>
        </w:rPr>
        <w:t>ס</w:t>
      </w:r>
      <w:r>
        <w:rPr>
          <w:color w:val="E36C0A" w:themeColor="accent6" w:themeShade="BF"/>
          <w:rtl/>
        </w:rPr>
        <w:t xml:space="preserve"> בשו"ע</w:t>
      </w:r>
      <w:r w:rsidR="00402416" w:rsidRPr="004445AA">
        <w:rPr>
          <w:rStyle w:val="a7"/>
          <w:color w:val="000000" w:themeColor="text1"/>
          <w:rtl/>
        </w:rPr>
        <w:footnoteReference w:id="1920"/>
      </w:r>
      <w:r>
        <w:rPr>
          <w:color w:val="E36C0A" w:themeColor="accent6" w:themeShade="BF"/>
          <w:rtl/>
        </w:rPr>
        <w:t>)</w:t>
      </w:r>
    </w:p>
    <w:p w14:paraId="643EC3B5"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6E6EE43" w14:textId="77777777" w:rsidR="00FA2119" w:rsidRDefault="00FA2119" w:rsidP="00FA2119">
      <w:pPr>
        <w:rPr>
          <w:rtl/>
        </w:rPr>
      </w:pPr>
      <w:r>
        <w:rPr>
          <w:rFonts w:cs="Arial"/>
          <w:rtl/>
        </w:rPr>
        <w:t>וכן מי שהיה מושלך לבור ואמר: כל השומע קולי יכתוב גט לאשתי, ופירש שמו ושם אשתו, שם עירו ושם עירה, הרי אלו יכתבו לה, ואף על פי שהעלוהו ולא הכירוהו, הרי זו כשר, שזה כשעת הסכנה הוא שכותבין ונותנין אף על פי שאין מכירין. ויש אומרים דהני מילי שראו לו דמות אדם וחזו ליה נמי בבואה דבבואה</w:t>
      </w:r>
      <w:r>
        <w:rPr>
          <w:rStyle w:val="a7"/>
          <w:rFonts w:cs="Arial"/>
          <w:rtl/>
        </w:rPr>
        <w:footnoteReference w:id="1921"/>
      </w:r>
      <w:r>
        <w:rPr>
          <w:rFonts w:cs="Arial"/>
          <w:rtl/>
        </w:rPr>
        <w:t xml:space="preserve">, הא לאו הכי חיישינן שמא שד הוא, שדרך השדים לימצא בבורות וכן בשדות. </w:t>
      </w:r>
    </w:p>
    <w:p w14:paraId="744F75AD" w14:textId="77777777" w:rsidR="00FA2119" w:rsidRDefault="00FA2119" w:rsidP="00FA2119">
      <w:pPr>
        <w:rPr>
          <w:rtl/>
        </w:rPr>
      </w:pPr>
    </w:p>
    <w:p w14:paraId="276258EC" w14:textId="30896813" w:rsidR="00FA2119" w:rsidRDefault="00FA2119" w:rsidP="00FA2119">
      <w:pPr>
        <w:pStyle w:val="2"/>
        <w:rPr>
          <w:rtl/>
        </w:rPr>
      </w:pPr>
      <w:r>
        <w:rPr>
          <w:rtl/>
        </w:rPr>
        <w:t xml:space="preserve">סעיף כ: המושלך בבור ואומר 'כל השומע קולי יכתוב גט לאשתי' </w:t>
      </w:r>
      <w:r w:rsidR="00A82951">
        <w:rPr>
          <w:rtl/>
        </w:rPr>
        <w:t>-</w:t>
      </w:r>
      <w:r>
        <w:rPr>
          <w:rtl/>
        </w:rPr>
        <w:t xml:space="preserve"> ויש שם ג' אנשים.</w:t>
      </w:r>
    </w:p>
    <w:p w14:paraId="02FA1EF2" w14:textId="670DFE0F" w:rsidR="00FA2119" w:rsidRDefault="00FA2119" w:rsidP="00FA2119">
      <w:pPr>
        <w:rPr>
          <w:u w:val="single"/>
          <w:rtl/>
        </w:rPr>
      </w:pPr>
      <w:r>
        <w:rPr>
          <w:u w:val="single"/>
          <w:rtl/>
        </w:rPr>
        <w:t xml:space="preserve">המושלך בבור ואומר 'כל השומע קולי יכתוב גט לאשתי' </w:t>
      </w:r>
      <w:r w:rsidR="00A82951">
        <w:rPr>
          <w:u w:val="single"/>
          <w:rtl/>
        </w:rPr>
        <w:t>-</w:t>
      </w:r>
      <w:r>
        <w:rPr>
          <w:u w:val="single"/>
          <w:rtl/>
        </w:rPr>
        <w:t xml:space="preserve"> ויש שם ג' אנשים:</w:t>
      </w:r>
    </w:p>
    <w:p w14:paraId="5081C8C9" w14:textId="129E415B" w:rsidR="00FA2119" w:rsidRDefault="00FA2119" w:rsidP="006A458D">
      <w:pPr>
        <w:pStyle w:val="ab"/>
        <w:numPr>
          <w:ilvl w:val="0"/>
          <w:numId w:val="102"/>
        </w:numPr>
        <w:rPr>
          <w:rtl/>
        </w:rPr>
      </w:pPr>
      <w:r>
        <w:rPr>
          <w:rFonts w:cs="Arial"/>
          <w:rtl/>
        </w:rPr>
        <w:t xml:space="preserve">רמב"ן </w:t>
      </w:r>
      <w:r>
        <w:rPr>
          <w:rFonts w:cs="Arial"/>
          <w:sz w:val="16"/>
          <w:szCs w:val="16"/>
          <w:rtl/>
        </w:rPr>
        <w:t>(סו. ד"ה הא דתנן, כ"כ בשמו רשב"א [סו. ד"ה מתני'] טור ור"ן [לב: סוד"ה מתני' מי])</w:t>
      </w:r>
      <w:r w:rsidR="00A82951">
        <w:rPr>
          <w:rFonts w:cs="Arial"/>
          <w:rtl/>
        </w:rPr>
        <w:t>-</w:t>
      </w:r>
      <w:r>
        <w:rPr>
          <w:rFonts w:cs="Arial"/>
          <w:rtl/>
        </w:rPr>
        <w:t xml:space="preserve"> אם היו שם ג' ואומר כל השומע קולי וכו' </w:t>
      </w:r>
      <w:r w:rsidR="00A82951">
        <w:rPr>
          <w:rFonts w:cs="Arial"/>
          <w:rtl/>
        </w:rPr>
        <w:t>-</w:t>
      </w:r>
      <w:r>
        <w:rPr>
          <w:rFonts w:cs="Arial"/>
          <w:rtl/>
        </w:rPr>
        <w:t xml:space="preserve"> אחד כותב ושנים חותמים, ואין צריך במעמד כולם אע"פ שאמר 'כל השומע', שלא כיון לרבות בעלים אלא ליתן רשות לכל שנים איזה שירצה רשאי</w:t>
      </w:r>
      <w:r>
        <w:rPr>
          <w:rStyle w:val="a7"/>
          <w:rFonts w:cs="Arial"/>
          <w:rtl/>
        </w:rPr>
        <w:footnoteReference w:id="1922"/>
      </w:r>
      <w:r>
        <w:rPr>
          <w:rFonts w:cs="Arial"/>
          <w:sz w:val="16"/>
          <w:szCs w:val="16"/>
          <w:rtl/>
        </w:rPr>
        <w:t xml:space="preserve"> (ל' הטור בשם הרמב"ן)</w:t>
      </w:r>
      <w:r>
        <w:rPr>
          <w:rFonts w:cs="Arial"/>
          <w:rtl/>
        </w:rPr>
        <w:t>.</w:t>
      </w:r>
      <w:r>
        <w:rPr>
          <w:color w:val="E36C0A" w:themeColor="accent6" w:themeShade="BF"/>
          <w:rtl/>
        </w:rPr>
        <w:t xml:space="preserve"> (וכ"פ בשו"ע)</w:t>
      </w:r>
    </w:p>
    <w:p w14:paraId="1E009A92"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8368B76" w14:textId="77777777" w:rsidR="00FA2119" w:rsidRDefault="00FA2119" w:rsidP="00FA2119">
      <w:pPr>
        <w:rPr>
          <w:rtl/>
        </w:rPr>
      </w:pPr>
      <w:r>
        <w:rPr>
          <w:rFonts w:cs="Arial"/>
          <w:rtl/>
        </w:rPr>
        <w:t xml:space="preserve">אם היו שם שלשה, ואמר: כל השומע קולי יכתוב גט לאשתי, אחד כותב ושנים חותמין, ואין צריך במעמד כולם, דאף על גב דאמר: כל, לא הויא כאומר: כולכם כתובו. </w:t>
      </w:r>
    </w:p>
    <w:p w14:paraId="7F90FF16" w14:textId="77777777" w:rsidR="00FA2119" w:rsidRDefault="00FA2119" w:rsidP="00FA2119">
      <w:pPr>
        <w:rPr>
          <w:rtl/>
        </w:rPr>
      </w:pPr>
    </w:p>
    <w:p w14:paraId="7896EB4C" w14:textId="77777777" w:rsidR="00FA2119" w:rsidRDefault="00FA2119" w:rsidP="00FA2119">
      <w:pPr>
        <w:pStyle w:val="2"/>
        <w:rPr>
          <w:rtl/>
        </w:rPr>
      </w:pPr>
      <w:r>
        <w:rPr>
          <w:rtl/>
        </w:rPr>
        <w:t>סעיף כא: אמר בפני רבים 'הוליכו גט לאשתי'.</w:t>
      </w:r>
    </w:p>
    <w:p w14:paraId="50CDA9A3" w14:textId="28CD2C35" w:rsidR="00FA2119" w:rsidRDefault="00FA2119" w:rsidP="00FA2119">
      <w:pPr>
        <w:rPr>
          <w:rFonts w:cs="Arial"/>
          <w:rtl/>
        </w:rPr>
      </w:pPr>
      <w:r>
        <w:rPr>
          <w:rFonts w:cs="Arial"/>
          <w:b/>
          <w:bCs/>
          <w:rtl/>
        </w:rPr>
        <w:t xml:space="preserve">גיטין </w:t>
      </w:r>
      <w:r>
        <w:rPr>
          <w:rFonts w:cs="Arial"/>
          <w:b/>
          <w:bCs/>
          <w:sz w:val="16"/>
          <w:szCs w:val="16"/>
          <w:rtl/>
        </w:rPr>
        <w:t>(פ' התקבל)</w:t>
      </w:r>
      <w:r>
        <w:rPr>
          <w:rFonts w:cs="Arial"/>
          <w:b/>
          <w:bCs/>
          <w:rtl/>
        </w:rPr>
        <w:t xml:space="preserve"> סז ע"ב:</w:t>
      </w:r>
      <w:r>
        <w:rPr>
          <w:rFonts w:cs="Arial"/>
          <w:rtl/>
        </w:rPr>
        <w:t xml:space="preserve"> אמר לעשרה כתבו גט. ת"ר: אמר לעשרה... הוליכו גט לאשתי </w:t>
      </w:r>
      <w:r w:rsidR="00A82951">
        <w:rPr>
          <w:rFonts w:cs="Arial"/>
          <w:rtl/>
        </w:rPr>
        <w:t>-</w:t>
      </w:r>
      <w:r>
        <w:rPr>
          <w:rFonts w:cs="Arial"/>
          <w:rtl/>
        </w:rPr>
        <w:t xml:space="preserve"> אחד מוליך ע"י כולם, כולכם הוליכו </w:t>
      </w:r>
      <w:r w:rsidR="00A82951">
        <w:rPr>
          <w:rFonts w:cs="Arial"/>
          <w:rtl/>
        </w:rPr>
        <w:t>-</w:t>
      </w:r>
      <w:r>
        <w:rPr>
          <w:rFonts w:cs="Arial"/>
          <w:rtl/>
        </w:rPr>
        <w:t xml:space="preserve"> אחד מוליך במעמד כולם. </w:t>
      </w:r>
    </w:p>
    <w:p w14:paraId="7CF1A2C2" w14:textId="3675970B" w:rsidR="00FA2119" w:rsidRDefault="00FA2119" w:rsidP="00FA2119">
      <w:pPr>
        <w:rPr>
          <w:rFonts w:cs="Arial"/>
          <w:rtl/>
        </w:rPr>
      </w:pPr>
      <w:r>
        <w:rPr>
          <w:rFonts w:cs="Arial"/>
          <w:b/>
          <w:bCs/>
          <w:rtl/>
        </w:rPr>
        <w:t xml:space="preserve">גיטין </w:t>
      </w:r>
      <w:r>
        <w:rPr>
          <w:rFonts w:cs="Arial"/>
          <w:b/>
          <w:bCs/>
          <w:sz w:val="16"/>
          <w:szCs w:val="16"/>
          <w:rtl/>
        </w:rPr>
        <w:t>(פ' התקבל)</w:t>
      </w:r>
      <w:r>
        <w:rPr>
          <w:rFonts w:cs="Arial"/>
          <w:b/>
          <w:bCs/>
          <w:rtl/>
        </w:rPr>
        <w:t xml:space="preserve"> סו ע"א:</w:t>
      </w:r>
      <w:r>
        <w:rPr>
          <w:rFonts w:cs="Arial"/>
          <w:rtl/>
        </w:rPr>
        <w:t xml:space="preserve"> ההוא גברא דעל לבי כנישתא, אשכח מקרי ינוקא ובריה דיתבי ויתיב איניש אחרינא גבייהו, אמר להו: בי תרי מינייכו נכתבו גיטא לדביתהו</w:t>
      </w:r>
      <w:r>
        <w:rPr>
          <w:rStyle w:val="a7"/>
          <w:rFonts w:cs="Arial"/>
          <w:rtl/>
        </w:rPr>
        <w:footnoteReference w:id="1923"/>
      </w:r>
      <w:r>
        <w:rPr>
          <w:rFonts w:cs="Arial"/>
          <w:rtl/>
        </w:rPr>
        <w:t>, לסוף שכיב מקרי ינוקא, מי משוו אינשי ברא שליחא במקום אבא</w:t>
      </w:r>
      <w:r>
        <w:rPr>
          <w:rStyle w:val="a7"/>
          <w:rFonts w:cs="Arial"/>
          <w:rtl/>
        </w:rPr>
        <w:footnoteReference w:id="1924"/>
      </w:r>
      <w:r>
        <w:rPr>
          <w:rFonts w:cs="Arial"/>
          <w:rtl/>
        </w:rPr>
        <w:t xml:space="preserve"> או לא? </w:t>
      </w:r>
      <w:r>
        <w:rPr>
          <w:rFonts w:cs="Arial"/>
          <w:u w:val="single"/>
          <w:rtl/>
        </w:rPr>
        <w:t>רב נחמן אמר</w:t>
      </w:r>
      <w:r>
        <w:rPr>
          <w:rFonts w:cs="Arial"/>
          <w:rtl/>
        </w:rPr>
        <w:t xml:space="preserve">: לא משוו אינשי ברא שליחא במקום אבא, </w:t>
      </w:r>
      <w:r>
        <w:rPr>
          <w:rFonts w:cs="Arial"/>
          <w:u w:val="single"/>
          <w:rtl/>
        </w:rPr>
        <w:t>ורב פפי אמר</w:t>
      </w:r>
      <w:r>
        <w:rPr>
          <w:rFonts w:cs="Arial"/>
          <w:rtl/>
        </w:rPr>
        <w:t xml:space="preserve">: משוו אינשי ברא שליחא במקום אבא. </w:t>
      </w:r>
      <w:r>
        <w:rPr>
          <w:rFonts w:cs="Arial"/>
          <w:u w:val="single"/>
          <w:rtl/>
        </w:rPr>
        <w:t>אמר רבא</w:t>
      </w:r>
      <w:r>
        <w:rPr>
          <w:rFonts w:cs="Arial"/>
          <w:rtl/>
        </w:rPr>
        <w:t>: הילכתא, משוו אינשי ברא שליחא במקום אבא.</w:t>
      </w:r>
      <w:r>
        <w:rPr>
          <w:rFonts w:cs="Arial"/>
          <w:sz w:val="16"/>
          <w:szCs w:val="16"/>
          <w:rtl/>
        </w:rPr>
        <w:t xml:space="preserve"> (וכיון דאסיקנא דמשוי איניש שליח לברא במקום אבא אפילו לא מת האב יכול הבן להיות שליח. מיהו אם עשאם שלוחים לכתוב האב או הבן, יצטרפו עם העד האחר, דאב ובנו פסולים להעיד ביחד. אבל אם עשאם שלוחים להוליך, אב ובנו יכולין להוליכו. והתימה על רבינו שכתב מעשה זה לענין הולכה ובגמרא כתוב לענין כתיבה. [בדה"ב] ואע"ג דאפשר לומר דלמד מדין כתיבה לדין הולכה, מכל מקום לא הוה ליה להשמט מלכותבו בדין כתיבה [ע"כ]. ועוד שכתב שהאב או הבן יצטרפו עם אחר</w:t>
      </w:r>
      <w:r w:rsidR="004E3CDF">
        <w:rPr>
          <w:rFonts w:cs="Arial" w:hint="cs"/>
          <w:sz w:val="16"/>
          <w:szCs w:val="16"/>
          <w:rtl/>
        </w:rPr>
        <w:t>,</w:t>
      </w:r>
      <w:r>
        <w:rPr>
          <w:rFonts w:cs="Arial"/>
          <w:sz w:val="16"/>
          <w:szCs w:val="16"/>
          <w:rtl/>
        </w:rPr>
        <w:t xml:space="preserve"> ואילו לענין הולכה אפילו אב ובנו מצטרפין, ב"י. </w:t>
      </w:r>
      <w:r>
        <w:rPr>
          <w:rFonts w:cs="Arial"/>
          <w:color w:val="E36C0A" w:themeColor="accent6" w:themeShade="BF"/>
          <w:sz w:val="16"/>
          <w:szCs w:val="16"/>
          <w:rtl/>
        </w:rPr>
        <w:t xml:space="preserve">(וכ"פ בשו"ע </w:t>
      </w:r>
      <w:r>
        <w:rPr>
          <w:rFonts w:cs="Arial"/>
          <w:sz w:val="12"/>
          <w:szCs w:val="12"/>
          <w:rtl/>
        </w:rPr>
        <w:t>[בסע' הבא]</w:t>
      </w:r>
      <w:r>
        <w:rPr>
          <w:rFonts w:cs="Arial"/>
          <w:color w:val="E36C0A" w:themeColor="accent6" w:themeShade="BF"/>
          <w:sz w:val="16"/>
          <w:szCs w:val="16"/>
          <w:rtl/>
        </w:rPr>
        <w:t>)</w:t>
      </w:r>
      <w:r>
        <w:rPr>
          <w:rFonts w:cs="Arial"/>
          <w:sz w:val="16"/>
          <w:szCs w:val="16"/>
          <w:rtl/>
        </w:rPr>
        <w:t>)</w:t>
      </w:r>
    </w:p>
    <w:p w14:paraId="5CFDF6CB" w14:textId="77777777" w:rsidR="00FA2119" w:rsidRDefault="00FA2119" w:rsidP="00FA2119">
      <w:pPr>
        <w:rPr>
          <w:u w:val="single"/>
          <w:rtl/>
        </w:rPr>
      </w:pPr>
      <w:r>
        <w:rPr>
          <w:u w:val="single"/>
          <w:rtl/>
        </w:rPr>
        <w:lastRenderedPageBreak/>
        <w:t>אמר בפני רבים 'הוליכו גט לאשתי':</w:t>
      </w:r>
    </w:p>
    <w:p w14:paraId="15F1AF94" w14:textId="0473F1DA"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היו רבים עומדים ביחד ואמר 'הוליכו גט לאשתי' </w:t>
      </w:r>
      <w:r w:rsidR="00A82951">
        <w:rPr>
          <w:rFonts w:cs="Arial"/>
          <w:rtl/>
        </w:rPr>
        <w:t>-</w:t>
      </w:r>
      <w:r>
        <w:rPr>
          <w:rFonts w:cs="Arial"/>
          <w:rtl/>
        </w:rPr>
        <w:t xml:space="preserve"> איזה מהם שירצה יוליך אותו בשביל כולם. ואם אמר ב' מכם יוליכוהו, יוליכוהו ב', אפי' היה בכללם אב ובנו </w:t>
      </w:r>
      <w:r w:rsidR="00A82951">
        <w:rPr>
          <w:rFonts w:cs="Arial"/>
          <w:rtl/>
        </w:rPr>
        <w:t>-</w:t>
      </w:r>
      <w:r>
        <w:rPr>
          <w:rFonts w:cs="Arial"/>
          <w:rtl/>
        </w:rPr>
        <w:t xml:space="preserve"> דעתו גם על הבן, ונעשה הבן שליח במקום האב, והאב או הבן יצטרפו עם אחד מהם להיות שלוחים. </w:t>
      </w:r>
      <w:r>
        <w:rPr>
          <w:rFonts w:cs="Arial"/>
          <w:color w:val="E36C0A" w:themeColor="accent6" w:themeShade="BF"/>
          <w:rtl/>
        </w:rPr>
        <w:t>(וכ"פ בשו"ע)</w:t>
      </w:r>
    </w:p>
    <w:p w14:paraId="73E96E78"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5D3FEA27" w14:textId="77777777" w:rsidR="00FA2119" w:rsidRDefault="00FA2119" w:rsidP="00FA2119">
      <w:pPr>
        <w:rPr>
          <w:rtl/>
        </w:rPr>
      </w:pPr>
      <w:r>
        <w:rPr>
          <w:rFonts w:cs="Arial"/>
          <w:rtl/>
        </w:rPr>
        <w:t xml:space="preserve">היו רבים עומדים ביחד, ואמר: הוליכו גט לאשתי, איזה מהם שירצה יוליך אותו בשביל כלם. </w:t>
      </w:r>
      <w:r>
        <w:rPr>
          <w:rFonts w:cs="Arial"/>
          <w:sz w:val="18"/>
          <w:szCs w:val="18"/>
          <w:rtl/>
        </w:rPr>
        <w:t>[הגה] ועיין בסמוך סוף סעיף כג.</w:t>
      </w:r>
      <w:r>
        <w:rPr>
          <w:rFonts w:cs="Arial"/>
          <w:rtl/>
        </w:rPr>
        <w:t xml:space="preserve"> ואם אמר: שנים מכם יוליכוהו, יוליכו שנים. אפילו היה בכללם אב ובנו, דעתו גם על הבן, ונעשה הבן שליח במקום האב</w:t>
      </w:r>
      <w:r>
        <w:rPr>
          <w:rStyle w:val="a7"/>
          <w:rFonts w:cs="Arial"/>
          <w:rtl/>
        </w:rPr>
        <w:footnoteReference w:id="1925"/>
      </w:r>
      <w:r>
        <w:rPr>
          <w:rFonts w:cs="Arial"/>
          <w:rtl/>
        </w:rPr>
        <w:t xml:space="preserve">. </w:t>
      </w:r>
    </w:p>
    <w:p w14:paraId="7806BE0B" w14:textId="77777777" w:rsidR="00FA2119" w:rsidRDefault="00FA2119" w:rsidP="00FA2119">
      <w:pPr>
        <w:rPr>
          <w:rtl/>
        </w:rPr>
      </w:pPr>
    </w:p>
    <w:p w14:paraId="35B5B112" w14:textId="77777777" w:rsidR="00FA2119" w:rsidRDefault="00FA2119" w:rsidP="00FA2119">
      <w:pPr>
        <w:pStyle w:val="2"/>
        <w:rPr>
          <w:rtl/>
        </w:rPr>
      </w:pPr>
      <w:r>
        <w:rPr>
          <w:rtl/>
        </w:rPr>
        <w:t>סעיף כב: אמר בפני שלשה 'שנים מכם יכתבו ויחתמו ויתנו גט לאשתי', והיה בניהם אב ובנו.</w:t>
      </w:r>
    </w:p>
    <w:p w14:paraId="1656C9CC" w14:textId="77777777" w:rsidR="00FA2119" w:rsidRDefault="00FA2119" w:rsidP="00FA2119">
      <w:pPr>
        <w:rPr>
          <w:rtl/>
        </w:rPr>
      </w:pPr>
      <w:r>
        <w:rPr>
          <w:rtl/>
        </w:rPr>
        <w:t>עיין במקורות בסעיף כא.</w:t>
      </w:r>
    </w:p>
    <w:p w14:paraId="1A884AD0" w14:textId="77777777" w:rsidR="00FA2119" w:rsidRDefault="00FA2119" w:rsidP="00FA2119">
      <w:pPr>
        <w:rPr>
          <w:u w:val="single"/>
          <w:rtl/>
        </w:rPr>
      </w:pPr>
      <w:r>
        <w:rPr>
          <w:u w:val="single"/>
          <w:rtl/>
        </w:rPr>
        <w:t>אמר בפני שלשה 'שנים מכם יכתבו ויחתמו ויתנו גט לאשתי', והיה בניהם אב ובנו:</w:t>
      </w:r>
    </w:p>
    <w:p w14:paraId="79AACDC6" w14:textId="503DFD4C" w:rsidR="00FA2119" w:rsidRDefault="00FA2119" w:rsidP="006A458D">
      <w:pPr>
        <w:pStyle w:val="ab"/>
        <w:numPr>
          <w:ilvl w:val="0"/>
          <w:numId w:val="102"/>
        </w:numPr>
      </w:pPr>
      <w:r>
        <w:rPr>
          <w:rFonts w:cs="Arial"/>
          <w:rtl/>
        </w:rPr>
        <w:t xml:space="preserve">רמב"ם </w:t>
      </w:r>
      <w:r>
        <w:rPr>
          <w:rFonts w:cs="Arial"/>
          <w:sz w:val="16"/>
          <w:szCs w:val="16"/>
          <w:rtl/>
        </w:rPr>
        <w:t>(פ"ט ה"ל)</w:t>
      </w:r>
      <w:r w:rsidR="00A82951">
        <w:rPr>
          <w:rFonts w:cs="Arial"/>
          <w:rtl/>
        </w:rPr>
        <w:t>-</w:t>
      </w:r>
      <w:r>
        <w:rPr>
          <w:rFonts w:cs="Arial"/>
          <w:rtl/>
        </w:rPr>
        <w:t xml:space="preserve"> אמר לשלשה שנים מכם יכתבו גט לאשתי ויחתמו ויתנו לה והיה בהן אב ובנו בין שחתם האב עם האחד בין שחתם הבן עם האחד </w:t>
      </w:r>
      <w:r w:rsidR="00A82951">
        <w:rPr>
          <w:rFonts w:cs="Arial"/>
          <w:rtl/>
        </w:rPr>
        <w:t>-</w:t>
      </w:r>
      <w:r>
        <w:rPr>
          <w:rFonts w:cs="Arial"/>
          <w:rtl/>
        </w:rPr>
        <w:t xml:space="preserve"> הרי זה גט כשר, שהאדם עושה הבן שליח במקום האב.</w:t>
      </w:r>
      <w:r>
        <w:rPr>
          <w:rFonts w:cs="Arial"/>
          <w:color w:val="E36C0A" w:themeColor="accent6" w:themeShade="BF"/>
          <w:sz w:val="16"/>
          <w:szCs w:val="16"/>
          <w:rtl/>
        </w:rPr>
        <w:t xml:space="preserve"> </w:t>
      </w:r>
      <w:r>
        <w:rPr>
          <w:rFonts w:cs="Arial"/>
          <w:color w:val="E36C0A" w:themeColor="accent6" w:themeShade="BF"/>
          <w:rtl/>
        </w:rPr>
        <w:t>(וכ"פ בשו"ע)</w:t>
      </w:r>
    </w:p>
    <w:p w14:paraId="28A51852"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60A2D123" w14:textId="77777777" w:rsidR="00FA2119" w:rsidRDefault="00FA2119" w:rsidP="00FA2119">
      <w:pPr>
        <w:rPr>
          <w:rtl/>
        </w:rPr>
      </w:pPr>
      <w:r>
        <w:rPr>
          <w:rFonts w:cs="Arial"/>
          <w:rtl/>
        </w:rPr>
        <w:t xml:space="preserve">והוא הדין לאומר לשלשה: שנים מכם יכתבו גט לאשתי ויחתמו ויתנו לה, והיה בהם אב ובנו, בין שחתם הבן עם האחר, בין שחתם האב עם האחר, הרי זה גט כשר. </w:t>
      </w:r>
    </w:p>
    <w:p w14:paraId="613E1344" w14:textId="77777777" w:rsidR="00FA2119" w:rsidRDefault="00FA2119" w:rsidP="00FA2119">
      <w:pPr>
        <w:rPr>
          <w:rtl/>
        </w:rPr>
      </w:pPr>
    </w:p>
    <w:p w14:paraId="2575F298" w14:textId="77777777" w:rsidR="00FA2119" w:rsidRDefault="00FA2119" w:rsidP="00FA2119">
      <w:pPr>
        <w:pStyle w:val="2"/>
        <w:rPr>
          <w:rtl/>
        </w:rPr>
      </w:pPr>
      <w:r>
        <w:rPr>
          <w:rtl/>
        </w:rPr>
        <w:t>סעיף כג: אמר בפני רבים 'כולכם הוליכו גט לאשתי'.</w:t>
      </w:r>
    </w:p>
    <w:p w14:paraId="38E8715C" w14:textId="67C17BE3" w:rsidR="00FA2119" w:rsidRDefault="00FA2119" w:rsidP="00FA2119">
      <w:pPr>
        <w:rPr>
          <w:rFonts w:cs="Arial"/>
          <w:rtl/>
        </w:rPr>
      </w:pPr>
      <w:r>
        <w:rPr>
          <w:rFonts w:cs="Arial"/>
          <w:b/>
          <w:bCs/>
          <w:rtl/>
        </w:rPr>
        <w:t xml:space="preserve">גיטין </w:t>
      </w:r>
      <w:r>
        <w:rPr>
          <w:rFonts w:cs="Arial"/>
          <w:b/>
          <w:bCs/>
          <w:sz w:val="16"/>
          <w:szCs w:val="16"/>
          <w:rtl/>
        </w:rPr>
        <w:t>(פ' התקבל)</w:t>
      </w:r>
      <w:r>
        <w:rPr>
          <w:rFonts w:cs="Arial"/>
          <w:b/>
          <w:bCs/>
          <w:rtl/>
        </w:rPr>
        <w:t xml:space="preserve"> סז ע"ב:</w:t>
      </w:r>
      <w:r>
        <w:rPr>
          <w:rFonts w:cs="Arial"/>
          <w:rtl/>
        </w:rPr>
        <w:t xml:space="preserve"> אמר לעשרה כתבו גט. ת"ר: אמר לעשרה... הוליכו גט לאשתי </w:t>
      </w:r>
      <w:r w:rsidR="00A82951">
        <w:rPr>
          <w:rFonts w:cs="Arial"/>
          <w:rtl/>
        </w:rPr>
        <w:t>-</w:t>
      </w:r>
      <w:r>
        <w:rPr>
          <w:rFonts w:cs="Arial"/>
          <w:rtl/>
        </w:rPr>
        <w:t xml:space="preserve"> אחד מוליך ע"י כולם, כולכם הוליכו </w:t>
      </w:r>
      <w:r w:rsidR="00A82951">
        <w:rPr>
          <w:rFonts w:cs="Arial"/>
          <w:rtl/>
        </w:rPr>
        <w:t>-</w:t>
      </w:r>
      <w:r>
        <w:rPr>
          <w:rFonts w:cs="Arial"/>
          <w:rtl/>
        </w:rPr>
        <w:t xml:space="preserve"> אחד מוליך במעמד כולם... </w:t>
      </w:r>
      <w:r>
        <w:rPr>
          <w:rFonts w:cs="Arial"/>
          <w:u w:val="single"/>
          <w:rtl/>
        </w:rPr>
        <w:t>אתקין רב יהודה</w:t>
      </w:r>
      <w:r>
        <w:rPr>
          <w:rFonts w:cs="Arial"/>
          <w:rtl/>
        </w:rPr>
        <w:t>: בגיטא דכולכם</w:t>
      </w:r>
      <w:r>
        <w:rPr>
          <w:rStyle w:val="a7"/>
          <w:rFonts w:cs="Arial"/>
          <w:rtl/>
        </w:rPr>
        <w:footnoteReference w:id="1926"/>
      </w:r>
      <w:r>
        <w:rPr>
          <w:rFonts w:cs="Arial"/>
          <w:rtl/>
        </w:rPr>
        <w:t xml:space="preserve"> </w:t>
      </w:r>
      <w:r w:rsidR="00A82951">
        <w:rPr>
          <w:rFonts w:cs="Arial"/>
          <w:rtl/>
        </w:rPr>
        <w:t>-</w:t>
      </w:r>
      <w:r>
        <w:rPr>
          <w:rFonts w:cs="Arial"/>
          <w:rtl/>
        </w:rPr>
        <w:t xml:space="preserve"> כתובו או כולכון או כל חד וחד מינכון, חתומו או כולכון או כל תרי מינכון, אובילו או כולכון או כל חד וחד מינכון. </w:t>
      </w:r>
      <w:r>
        <w:rPr>
          <w:rFonts w:cs="Arial"/>
          <w:u w:val="single"/>
          <w:rtl/>
        </w:rPr>
        <w:t>אמר רבא</w:t>
      </w:r>
      <w:r>
        <w:rPr>
          <w:rFonts w:cs="Arial"/>
          <w:rtl/>
        </w:rPr>
        <w:t xml:space="preserve">: זימנין דגאיז ליה לדיבוריה, ואמר כולכון ולא אמר כל חד מינכון, ואתי לאיפסולי! </w:t>
      </w:r>
      <w:r>
        <w:rPr>
          <w:rFonts w:cs="Arial"/>
          <w:u w:val="single"/>
          <w:rtl/>
        </w:rPr>
        <w:t>אלא אמר רבא</w:t>
      </w:r>
      <w:r>
        <w:rPr>
          <w:rFonts w:cs="Arial"/>
          <w:rtl/>
        </w:rPr>
        <w:t xml:space="preserve">: כתובו כל חד מינכון, חתומו כל תרי מינכון, אובילו כל חד מינכון. </w:t>
      </w:r>
      <w:r>
        <w:rPr>
          <w:rFonts w:cs="Arial"/>
          <w:sz w:val="16"/>
          <w:szCs w:val="16"/>
          <w:rtl/>
        </w:rPr>
        <w:t>(ונתבאר בסימן ק"כ (סע' יא), ב"י)</w:t>
      </w:r>
    </w:p>
    <w:p w14:paraId="48519C7B" w14:textId="77777777" w:rsidR="00FA2119" w:rsidRDefault="00FA2119" w:rsidP="00FA2119">
      <w:pPr>
        <w:rPr>
          <w:u w:val="single"/>
          <w:rtl/>
        </w:rPr>
      </w:pPr>
      <w:r>
        <w:rPr>
          <w:u w:val="single"/>
          <w:rtl/>
        </w:rPr>
        <w:t>אמר בפני רבים 'כולכם הוליכו גט לאשתי':</w:t>
      </w:r>
    </w:p>
    <w:p w14:paraId="7DECEE26" w14:textId="583BA47E"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אמר לחבורה כולכם הוליכוהו </w:t>
      </w:r>
      <w:r w:rsidR="00A82951">
        <w:rPr>
          <w:rFonts w:cs="Arial"/>
          <w:rtl/>
        </w:rPr>
        <w:t>-</w:t>
      </w:r>
      <w:r>
        <w:rPr>
          <w:rFonts w:cs="Arial"/>
          <w:rtl/>
        </w:rPr>
        <w:t xml:space="preserve"> אינו גט עד שיוליכוהו כולם. והאידנא תיקון חכמים שהאומר במקום מעמד רבים 'הוליכו גט לאשתי' שיפרש בהדיא 'הוליכוהו אחד מכם'. ואפי' אמר סתם ולא פירש 'אחד מכם' </w:t>
      </w:r>
      <w:r w:rsidR="00A82951">
        <w:rPr>
          <w:rFonts w:cs="Arial"/>
          <w:rtl/>
        </w:rPr>
        <w:t>-</w:t>
      </w:r>
      <w:r>
        <w:rPr>
          <w:rFonts w:cs="Arial"/>
          <w:rtl/>
        </w:rPr>
        <w:t xml:space="preserve"> סגי בחד כדפי' לעיל בכולכם כתובו.</w:t>
      </w:r>
      <w:r>
        <w:rPr>
          <w:rFonts w:cs="Arial"/>
          <w:color w:val="E36C0A" w:themeColor="accent6" w:themeShade="BF"/>
          <w:rtl/>
        </w:rPr>
        <w:t xml:space="preserve"> (וכ"פ בשו"ע)</w:t>
      </w:r>
    </w:p>
    <w:p w14:paraId="05793559"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6004F75" w14:textId="77777777" w:rsidR="00FA2119" w:rsidRDefault="00FA2119" w:rsidP="00FA2119">
      <w:pPr>
        <w:rPr>
          <w:rtl/>
        </w:rPr>
      </w:pPr>
      <w:r>
        <w:rPr>
          <w:rFonts w:cs="Arial"/>
          <w:rtl/>
        </w:rPr>
        <w:t xml:space="preserve">אמר לחבורה: כולכם הוליכוהו, אינו גט עד שיוליכוהו כלם. והאידנא תקנו חכמים שהאומר לרבים להוליך גט לאשתו, יאמר: כל אחד מכם יוליך גט לאשתי. </w:t>
      </w:r>
    </w:p>
    <w:p w14:paraId="24F4F0DB" w14:textId="77777777" w:rsidR="00FA2119" w:rsidRDefault="00FA2119" w:rsidP="00FA2119">
      <w:pPr>
        <w:rPr>
          <w:rtl/>
        </w:rPr>
      </w:pPr>
    </w:p>
    <w:p w14:paraId="63C8C19F" w14:textId="77777777" w:rsidR="00FA2119" w:rsidRDefault="00FA2119" w:rsidP="00FA2119">
      <w:pPr>
        <w:pStyle w:val="2"/>
        <w:rPr>
          <w:rtl/>
        </w:rPr>
      </w:pPr>
      <w:r>
        <w:rPr>
          <w:rtl/>
        </w:rPr>
        <w:lastRenderedPageBreak/>
        <w:t>סעיף כד: שטר הרשאה לשליח.</w:t>
      </w:r>
    </w:p>
    <w:p w14:paraId="27B8D637" w14:textId="77777777" w:rsidR="00FA2119" w:rsidRDefault="00FA2119" w:rsidP="00FA2119">
      <w:pPr>
        <w:rPr>
          <w:u w:val="single"/>
          <w:rtl/>
        </w:rPr>
      </w:pPr>
      <w:r>
        <w:rPr>
          <w:u w:val="single"/>
          <w:rtl/>
        </w:rPr>
        <w:t>שטר הרשאה לשליח הולכה:</w:t>
      </w:r>
    </w:p>
    <w:p w14:paraId="78FED392" w14:textId="56DC25A1" w:rsidR="00FA2119" w:rsidRDefault="00FA2119" w:rsidP="006A458D">
      <w:pPr>
        <w:pStyle w:val="ab"/>
        <w:numPr>
          <w:ilvl w:val="0"/>
          <w:numId w:val="102"/>
        </w:numPr>
        <w:rPr>
          <w:rtl/>
        </w:rPr>
      </w:pPr>
      <w:r>
        <w:rPr>
          <w:rFonts w:cs="Arial"/>
          <w:rtl/>
        </w:rPr>
        <w:t xml:space="preserve">רבינו פרץ </w:t>
      </w:r>
      <w:r>
        <w:rPr>
          <w:rFonts w:cs="Arial"/>
          <w:sz w:val="16"/>
          <w:szCs w:val="16"/>
          <w:rtl/>
        </w:rPr>
        <w:t>(בתיקון שטרות, בהגהות סמ"ק סי' קפד עמ' קנא, הביאו הטור)</w:t>
      </w:r>
      <w:r w:rsidR="00A82951">
        <w:rPr>
          <w:rFonts w:cs="Arial"/>
          <w:rtl/>
        </w:rPr>
        <w:t>-</w:t>
      </w:r>
      <w:r>
        <w:rPr>
          <w:rFonts w:cs="Arial"/>
          <w:rtl/>
        </w:rPr>
        <w:t xml:space="preserve"> שטר הרשאה בשולח גט ממקום למקום נראה שאין צריך</w:t>
      </w:r>
      <w:r>
        <w:rPr>
          <w:rStyle w:val="a7"/>
          <w:rFonts w:cs="Arial"/>
          <w:rtl/>
        </w:rPr>
        <w:footnoteReference w:id="1927"/>
      </w:r>
      <w:r>
        <w:rPr>
          <w:rFonts w:cs="Arial"/>
          <w:rtl/>
        </w:rPr>
        <w:t>, אלא לפי שכתוב בה שנותן הבעל לשליח רשות לעשות כמה שלוחים ואפי' לא יחלה ולא יאנס ע"כ בתשובה. והורגלו עתה לעשות הרשאה לשולח גט, וז"ל: בפנינו עדים חתומי מטה בכך וכך בשבת בכך וכך לירח פלוני בשנת כך וכך לבריאת עולם למנין שאנו מנין בו כאן</w:t>
      </w:r>
      <w:r>
        <w:rPr>
          <w:rStyle w:val="a7"/>
          <w:rFonts w:cs="Arial"/>
          <w:rtl/>
        </w:rPr>
        <w:footnoteReference w:id="1928"/>
      </w:r>
      <w:r>
        <w:rPr>
          <w:rFonts w:cs="Arial"/>
          <w:rtl/>
        </w:rPr>
        <w:t xml:space="preserve"> במתא פלוני' מסר פב"פ לפב"פ גט להוליך לאשתו פב"פ וכך אמר לפנינו פב"פ לשליח פב"פ הולך גט זה לאשתי פב"פ</w:t>
      </w:r>
      <w:r>
        <w:rPr>
          <w:rStyle w:val="a7"/>
          <w:rFonts w:cs="Arial"/>
          <w:rtl/>
        </w:rPr>
        <w:footnoteReference w:id="1929"/>
      </w:r>
      <w:r>
        <w:rPr>
          <w:rFonts w:cs="Arial"/>
          <w:rtl/>
        </w:rPr>
        <w:t xml:space="preserve"> ותהא ידך כידי ופיך כפי ועשייתך כעשייתי ונותן אני לך רשות</w:t>
      </w:r>
      <w:r>
        <w:rPr>
          <w:rStyle w:val="a7"/>
          <w:rFonts w:cs="Arial"/>
          <w:rtl/>
        </w:rPr>
        <w:footnoteReference w:id="1930"/>
      </w:r>
      <w:r>
        <w:rPr>
          <w:rFonts w:cs="Arial"/>
          <w:rtl/>
        </w:rPr>
        <w:t xml:space="preserve"> לעשות שליח ושליח שליח עד מאה ליתן גט זה לאשתו פב"פ כל מקום שתמצאנה אתה או</w:t>
      </w:r>
      <w:r>
        <w:rPr>
          <w:rStyle w:val="a7"/>
          <w:rFonts w:cs="Arial"/>
          <w:rtl/>
        </w:rPr>
        <w:footnoteReference w:id="1931"/>
      </w:r>
      <w:r>
        <w:rPr>
          <w:rFonts w:cs="Arial"/>
          <w:rtl/>
        </w:rPr>
        <w:t xml:space="preserve"> שלוחך או שליח שלוחך והגט שנעשה עליו פב"פ שליח להוליכו ככל הכתוב למעלה נכתב ונחתם בפלונית מתא</w:t>
      </w:r>
      <w:r>
        <w:rPr>
          <w:rStyle w:val="a7"/>
          <w:rFonts w:cs="Arial"/>
          <w:rtl/>
        </w:rPr>
        <w:footnoteReference w:id="1932"/>
      </w:r>
      <w:r>
        <w:rPr>
          <w:rFonts w:cs="Arial"/>
          <w:rtl/>
        </w:rPr>
        <w:t xml:space="preserve"> בכך וכך בשבת בכך וכך לירח פלוני בשנת כך וכך לבריאת עולם ועידיו החתומין בו פב"פ ופב"פ ובפנינו בטל פב"פ הבעל</w:t>
      </w:r>
      <w:r>
        <w:rPr>
          <w:rStyle w:val="a7"/>
          <w:rFonts w:cs="Arial"/>
          <w:rtl/>
        </w:rPr>
        <w:footnoteReference w:id="1933"/>
      </w:r>
      <w:r>
        <w:rPr>
          <w:rFonts w:cs="Arial"/>
          <w:rtl/>
        </w:rPr>
        <w:t xml:space="preserve"> כל מודעות שמסר על גט זה וגם בפנינו קבל עליו פב"פ הבעל בחרם</w:t>
      </w:r>
      <w:r>
        <w:rPr>
          <w:rStyle w:val="a7"/>
          <w:rFonts w:cs="Arial"/>
          <w:rtl/>
        </w:rPr>
        <w:footnoteReference w:id="1934"/>
      </w:r>
      <w:r>
        <w:rPr>
          <w:rFonts w:cs="Arial"/>
          <w:rtl/>
        </w:rPr>
        <w:t xml:space="preserve"> שלא לבטל את הגט ואת השליח ומה שראינו ונעשה בפנינו</w:t>
      </w:r>
      <w:r>
        <w:rPr>
          <w:rStyle w:val="a7"/>
          <w:rFonts w:cs="Arial"/>
          <w:rtl/>
        </w:rPr>
        <w:footnoteReference w:id="1935"/>
      </w:r>
      <w:r>
        <w:rPr>
          <w:rFonts w:cs="Arial"/>
          <w:rtl/>
        </w:rPr>
        <w:t xml:space="preserve"> כתבנו וחתמנו</w:t>
      </w:r>
      <w:r>
        <w:rPr>
          <w:rFonts w:cs="Arial"/>
          <w:sz w:val="16"/>
          <w:szCs w:val="16"/>
          <w:rtl/>
        </w:rPr>
        <w:t xml:space="preserve"> {ע"כ לשון שטר ההרשאה}</w:t>
      </w:r>
      <w:r>
        <w:rPr>
          <w:rFonts w:cs="Arial"/>
          <w:rtl/>
        </w:rPr>
        <w:t>. וימסרנו הבעל לשליח</w:t>
      </w:r>
      <w:r>
        <w:rPr>
          <w:rStyle w:val="a7"/>
          <w:rFonts w:cs="Arial"/>
          <w:rtl/>
        </w:rPr>
        <w:footnoteReference w:id="1936"/>
      </w:r>
      <w:r>
        <w:rPr>
          <w:rFonts w:cs="Arial"/>
          <w:rtl/>
        </w:rPr>
        <w:t xml:space="preserve"> בפני עדים ויקראוהו לפני מסירה ולאחר מסירה וכך יאמר הבעל לשליח: 'הולך גט זה לאשתי פלונית בת פלוני ותהא ידך כידי ופיך כפי ועשייתך כעשייתי ותהא מגורשת ממני ומותרת </w:t>
      </w:r>
      <w:r>
        <w:rPr>
          <w:rFonts w:cs="Arial"/>
          <w:rtl/>
        </w:rPr>
        <w:lastRenderedPageBreak/>
        <w:t>לכל אדם'. וקודם מסירתו לשליח יבטל</w:t>
      </w:r>
      <w:r>
        <w:rPr>
          <w:rStyle w:val="a7"/>
          <w:rFonts w:cs="Arial"/>
          <w:rtl/>
        </w:rPr>
        <w:footnoteReference w:id="1937"/>
      </w:r>
      <w:r>
        <w:rPr>
          <w:rFonts w:cs="Arial"/>
          <w:rtl/>
        </w:rPr>
        <w:t xml:space="preserve"> כל מודעי דאית ליה. וגם יקבל עליו חרם</w:t>
      </w:r>
      <w:r>
        <w:rPr>
          <w:rStyle w:val="a7"/>
          <w:rFonts w:cs="Arial"/>
          <w:rtl/>
        </w:rPr>
        <w:footnoteReference w:id="1938"/>
      </w:r>
      <w:r>
        <w:rPr>
          <w:rFonts w:cs="Arial"/>
          <w:rtl/>
        </w:rPr>
        <w:t xml:space="preserve"> שלא לעשות שום ביטול בגט. והשליח אומר לאשה</w:t>
      </w:r>
      <w:r>
        <w:rPr>
          <w:rStyle w:val="a7"/>
          <w:rFonts w:cs="Arial"/>
          <w:rtl/>
        </w:rPr>
        <w:footnoteReference w:id="1939"/>
      </w:r>
      <w:r>
        <w:rPr>
          <w:rFonts w:cs="Arial"/>
          <w:rtl/>
        </w:rPr>
        <w:t xml:space="preserve">: 'הילך גט מפלוני בעלך המכונה פב"פ והתקבלי גיטך והרי את מגורשת ממנו ומותרת לכל אדם' </w:t>
      </w:r>
      <w:r>
        <w:rPr>
          <w:rFonts w:cs="Arial"/>
          <w:sz w:val="16"/>
          <w:szCs w:val="16"/>
          <w:rtl/>
        </w:rPr>
        <w:t>(ל' הטור בשמו)</w:t>
      </w:r>
      <w:r>
        <w:rPr>
          <w:rFonts w:cs="Arial"/>
          <w:rtl/>
        </w:rPr>
        <w:t>.</w:t>
      </w:r>
    </w:p>
    <w:p w14:paraId="7B58129E" w14:textId="77777777" w:rsidR="00FA2119" w:rsidRDefault="00FA2119" w:rsidP="00FA2119">
      <w:pPr>
        <w:rPr>
          <w:u w:val="single"/>
        </w:rPr>
      </w:pPr>
      <w:r>
        <w:rPr>
          <w:u w:val="single"/>
          <w:rtl/>
        </w:rPr>
        <w:t>בעל ששלח שליח ליתן גטו לאשתו, וכשבא ראה שהגט אצל שליח האשה, ושליח האשה טוען שהוא שליח קבלה:</w:t>
      </w:r>
    </w:p>
    <w:p w14:paraId="7CCF2012" w14:textId="60952E07" w:rsidR="00FA2119" w:rsidRDefault="00FA2119" w:rsidP="006A458D">
      <w:pPr>
        <w:pStyle w:val="ab"/>
        <w:numPr>
          <w:ilvl w:val="0"/>
          <w:numId w:val="102"/>
        </w:numPr>
      </w:pPr>
      <w:r>
        <w:rPr>
          <w:rFonts w:cs="Arial"/>
          <w:rtl/>
        </w:rPr>
        <w:t xml:space="preserve">רא"ש </w:t>
      </w:r>
      <w:r>
        <w:rPr>
          <w:rFonts w:cs="Arial"/>
          <w:sz w:val="16"/>
          <w:szCs w:val="16"/>
          <w:rtl/>
        </w:rPr>
        <w:t>(כלל מה סי' ט)</w:t>
      </w:r>
      <w:r w:rsidR="00A82951">
        <w:rPr>
          <w:rFonts w:cs="Arial"/>
          <w:rtl/>
        </w:rPr>
        <w:t>-</w:t>
      </w:r>
      <w:r>
        <w:rPr>
          <w:rFonts w:cs="Arial"/>
          <w:rtl/>
        </w:rPr>
        <w:t xml:space="preserve"> ראובן עשה לבנו שליח להוליך גט לאשתו, וכשבא לאמו לא רצה ליתנו לה אא"כ תתן לו כך וכך. אמר לו א' מהזקנים כלום אתה עושה זה אלא כדי שלא תינשא בלא דעתך, תמסור לנו הגט וכשתרצה לינשא נודיעך. ונתנו להם ע"פ הדברים האלה. לאחר זמן בא בעלה ועדיין היה הגט ביד הזקן, וביטל הגט ונתייחד עמה. ואמר הזקן שהוא שליח לקבלה ונתגרשה בקבלתו, ושני חביריו הזקנים עדים בדבר.    תשובה: אם יש עדים</w:t>
      </w:r>
      <w:r>
        <w:rPr>
          <w:rStyle w:val="a7"/>
          <w:rFonts w:cs="Arial"/>
          <w:rtl/>
        </w:rPr>
        <w:footnoteReference w:id="1940"/>
      </w:r>
      <w:r>
        <w:rPr>
          <w:rFonts w:cs="Arial"/>
          <w:rtl/>
        </w:rPr>
        <w:t xml:space="preserve"> ששמעון בנה היה שליח של הבעל, ובעדים נתנו ליד הזקן, ושהיה הזקן שליח האשה לקבלה בעדים </w:t>
      </w:r>
      <w:r w:rsidR="00A82951">
        <w:rPr>
          <w:rFonts w:cs="Arial"/>
          <w:rtl/>
        </w:rPr>
        <w:t>-</w:t>
      </w:r>
      <w:r>
        <w:rPr>
          <w:rFonts w:cs="Arial"/>
          <w:rtl/>
        </w:rPr>
        <w:t xml:space="preserve"> הגט גט ואין ביטול הבעל מועיל אחר שבא ליד שליח לקבלה, ומה שנתייחד אח"כ עמה ודאי לא בעל לשם קידושין, כי היה סבור שהיה גט בטל ובעל אדעתא דקידושין הראשונים. הלכך מותרת לעלמא או יקיימנה</w:t>
      </w:r>
      <w:r>
        <w:rPr>
          <w:rFonts w:cs="Arial"/>
          <w:sz w:val="16"/>
          <w:szCs w:val="16"/>
          <w:rtl/>
        </w:rPr>
        <w:t xml:space="preserve"> (ל' הטור בשמו)</w:t>
      </w:r>
      <w:r>
        <w:rPr>
          <w:rFonts w:cs="Arial"/>
          <w:rtl/>
        </w:rPr>
        <w:t xml:space="preserve">. </w:t>
      </w:r>
    </w:p>
    <w:p w14:paraId="310E494D" w14:textId="77777777" w:rsidR="00FA2119" w:rsidRDefault="00FA2119" w:rsidP="00FA2119">
      <w:pPr>
        <w:rPr>
          <w:u w:val="single"/>
        </w:rPr>
      </w:pPr>
      <w:r>
        <w:rPr>
          <w:u w:val="single"/>
          <w:rtl/>
        </w:rPr>
        <w:t>שטר הרשאה שאבד:</w:t>
      </w:r>
      <w:r>
        <w:rPr>
          <w:rFonts w:cs="Arial"/>
          <w:sz w:val="16"/>
          <w:szCs w:val="16"/>
          <w:rtl/>
        </w:rPr>
        <w:t xml:space="preserve"> (דרכ"מ אות יא)</w:t>
      </w:r>
    </w:p>
    <w:p w14:paraId="0C1EE512" w14:textId="51FB35AA" w:rsidR="00FA2119" w:rsidRDefault="00FA2119" w:rsidP="006A458D">
      <w:pPr>
        <w:pStyle w:val="ab"/>
        <w:numPr>
          <w:ilvl w:val="0"/>
          <w:numId w:val="102"/>
        </w:numPr>
      </w:pPr>
      <w:r>
        <w:rPr>
          <w:rFonts w:cs="Arial"/>
          <w:rtl/>
        </w:rPr>
        <w:t xml:space="preserve">מהרי"ק </w:t>
      </w:r>
      <w:r>
        <w:rPr>
          <w:rFonts w:cs="Arial"/>
          <w:sz w:val="16"/>
          <w:szCs w:val="16"/>
          <w:rtl/>
        </w:rPr>
        <w:t>(שורש כו)</w:t>
      </w:r>
      <w:r w:rsidR="00A82951">
        <w:rPr>
          <w:rFonts w:cs="Arial"/>
          <w:rtl/>
        </w:rPr>
        <w:t>-</w:t>
      </w:r>
      <w:r>
        <w:rPr>
          <w:rFonts w:cs="Arial"/>
          <w:rtl/>
        </w:rPr>
        <w:t xml:space="preserve"> אם אבד שטר ההרשאה והוא שעת הדחק ויש לחוש לעיגון האשה </w:t>
      </w:r>
      <w:r w:rsidR="004E3CDF">
        <w:rPr>
          <w:rFonts w:cs="Arial" w:hint="cs"/>
          <w:rtl/>
        </w:rPr>
        <w:t xml:space="preserve">- </w:t>
      </w:r>
      <w:r>
        <w:rPr>
          <w:rFonts w:cs="Arial"/>
          <w:rtl/>
        </w:rPr>
        <w:t>הגט כשר</w:t>
      </w:r>
      <w:r>
        <w:rPr>
          <w:rStyle w:val="a7"/>
          <w:rFonts w:cs="Arial"/>
          <w:rtl/>
        </w:rPr>
        <w:footnoteReference w:id="1941"/>
      </w:r>
      <w:r>
        <w:rPr>
          <w:rFonts w:cs="Arial"/>
          <w:rtl/>
        </w:rPr>
        <w:t xml:space="preserve">. </w:t>
      </w:r>
      <w:r>
        <w:rPr>
          <w:color w:val="00B0F0"/>
          <w:rtl/>
        </w:rPr>
        <w:t>(וכ"פ הרמ"א)</w:t>
      </w:r>
    </w:p>
    <w:p w14:paraId="18468BB4" w14:textId="77777777" w:rsidR="00FA2119" w:rsidRDefault="00FA2119" w:rsidP="00FA2119">
      <w:pPr>
        <w:rPr>
          <w:u w:val="single"/>
        </w:rPr>
      </w:pPr>
      <w:r>
        <w:rPr>
          <w:u w:val="single"/>
          <w:rtl/>
        </w:rPr>
        <w:t>הרשאה שנכתב בה מילים בצורה שונה מהגט, וכן הרשאה שנכתבו בה ראשי תיבות:</w:t>
      </w:r>
      <w:r>
        <w:rPr>
          <w:rFonts w:cs="Arial"/>
          <w:sz w:val="16"/>
          <w:szCs w:val="16"/>
          <w:rtl/>
        </w:rPr>
        <w:t xml:space="preserve">  (דרכ"מ אות יא)</w:t>
      </w:r>
    </w:p>
    <w:p w14:paraId="656A39A7" w14:textId="0E3F4542" w:rsidR="00FA2119" w:rsidRDefault="00FA2119" w:rsidP="006A458D">
      <w:pPr>
        <w:pStyle w:val="ab"/>
        <w:numPr>
          <w:ilvl w:val="0"/>
          <w:numId w:val="102"/>
        </w:numPr>
      </w:pPr>
      <w:r>
        <w:rPr>
          <w:rFonts w:cs="Arial"/>
          <w:rtl/>
        </w:rPr>
        <w:t>מהר"י מינץ</w:t>
      </w:r>
      <w:r>
        <w:rPr>
          <w:rFonts w:cs="Arial"/>
          <w:sz w:val="16"/>
          <w:szCs w:val="16"/>
          <w:rtl/>
        </w:rPr>
        <w:t xml:space="preserve"> (סדר הגט אות כא)</w:t>
      </w:r>
      <w:r w:rsidR="00A82951">
        <w:rPr>
          <w:rFonts w:cs="Arial"/>
          <w:rtl/>
        </w:rPr>
        <w:t>-</w:t>
      </w:r>
      <w:r>
        <w:rPr>
          <w:rFonts w:cs="Arial"/>
          <w:rtl/>
        </w:rPr>
        <w:t xml:space="preserve"> מהרא"י פסל הרשאה שהיה כתוב בה זנביל בב', כי בגט היה כתוב בו', כי צריך לכתבו כמו שכתוב בגט. וצוה לכתוב חתומי מטה, ופסל הרשאה אחת שהיה כתוב בה ח"מ ראשי תיבות, כי לא טוב לכתוב ראשי תיבות ולא נקודות רק תיבות שלימות. </w:t>
      </w:r>
    </w:p>
    <w:p w14:paraId="37329D86" w14:textId="6E79D6BC" w:rsidR="00FA2119" w:rsidRDefault="00FA2119" w:rsidP="006A458D">
      <w:pPr>
        <w:pStyle w:val="ab"/>
        <w:numPr>
          <w:ilvl w:val="0"/>
          <w:numId w:val="102"/>
        </w:numPr>
      </w:pPr>
      <w:r>
        <w:rPr>
          <w:rFonts w:cs="Arial"/>
          <w:rtl/>
        </w:rPr>
        <w:t xml:space="preserve">דרכ"מ </w:t>
      </w:r>
      <w:r>
        <w:rPr>
          <w:rFonts w:cs="Arial"/>
          <w:sz w:val="16"/>
          <w:szCs w:val="16"/>
          <w:rtl/>
        </w:rPr>
        <w:t>(אות יא)</w:t>
      </w:r>
      <w:r w:rsidR="00A82951">
        <w:rPr>
          <w:rFonts w:cs="Arial"/>
          <w:rtl/>
        </w:rPr>
        <w:t>-</w:t>
      </w:r>
      <w:r>
        <w:rPr>
          <w:rFonts w:cs="Arial"/>
          <w:rtl/>
        </w:rPr>
        <w:t xml:space="preserve"> נראה דאין לפסול בכה</w:t>
      </w:r>
      <w:r w:rsidR="004E3CDF">
        <w:rPr>
          <w:rFonts w:cs="Arial" w:hint="cs"/>
          <w:rtl/>
        </w:rPr>
        <w:t>"</w:t>
      </w:r>
      <w:r>
        <w:rPr>
          <w:rFonts w:cs="Arial"/>
          <w:rtl/>
        </w:rPr>
        <w:t xml:space="preserve">ג אלא קודם שהלך השליח דטוב לכתוב אחרת. אבל אם הביא השליח הרשאה שכתובה בכה"ג אין לפסול, דהרי כתבתי למעלה דאף בגט יש להכשיר אם נכתב ראשי תיבות במקום שאין לטעות, ועיין לעיל. </w:t>
      </w:r>
      <w:r>
        <w:rPr>
          <w:color w:val="00B0F0"/>
          <w:rtl/>
        </w:rPr>
        <w:t>(וכ"פ בגה"ה)</w:t>
      </w:r>
    </w:p>
    <w:p w14:paraId="2BD20010" w14:textId="77777777" w:rsidR="00FA2119" w:rsidRDefault="00FA2119" w:rsidP="00FA2119">
      <w:pPr>
        <w:rPr>
          <w:u w:val="single"/>
        </w:rPr>
      </w:pPr>
      <w:r>
        <w:rPr>
          <w:u w:val="single"/>
          <w:rtl/>
        </w:rPr>
        <w:t>הרשאה לגט של ארוסה:</w:t>
      </w:r>
      <w:r>
        <w:rPr>
          <w:rFonts w:cs="Arial"/>
          <w:sz w:val="16"/>
          <w:szCs w:val="16"/>
          <w:rtl/>
        </w:rPr>
        <w:t xml:space="preserve"> (דרכ"מ אות יא)</w:t>
      </w:r>
    </w:p>
    <w:p w14:paraId="32592C3F" w14:textId="77777777" w:rsidR="00FA2119" w:rsidRDefault="00FA2119" w:rsidP="006A458D">
      <w:pPr>
        <w:pStyle w:val="ab"/>
        <w:numPr>
          <w:ilvl w:val="0"/>
          <w:numId w:val="102"/>
        </w:numPr>
      </w:pPr>
      <w:r>
        <w:rPr>
          <w:rFonts w:cs="Arial"/>
          <w:rtl/>
        </w:rPr>
        <w:t>מצאתי בתיקון ישן דאם היא ארוסה יכתוב בהרשאה הבעל ששלח מדאמרינן פרק המדיר (כתובות עא ב) והיה ביום ההוא [וגו'] תקראי אישי ולא [וגו'] בעלי (הושע ב יח) אמר רבי יוחנן ככלה בבית חמיה ולא ככלה בבית אביה עכ"ל וכן ראיתי מעשה. וכתב עוד שם כשהשליח נותן הגט ליד הארוסה יאמר הרי זה גיטך ששלח בעליך וכו' והרב כששואל לשליח ישאלנו בשם ארוס רצה לומר יאמר לו אם זה הוא [ה]גט ששלח הארוס וכו'. וכל זה תמוה בעיני כי מי יכריחנו לדוחקים אלו הלא מוטב לכתוב בהרשאה ולומר לה הלשון הפשוט המורגל בפי כל דהיינו ארוס. ואפשר דכותבין כן כדי שלא לשנות משאר גיטין דעלמא</w:t>
      </w:r>
    </w:p>
    <w:p w14:paraId="22033CD6"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lastRenderedPageBreak/>
        <w:t>שו"ע:</w:t>
      </w:r>
    </w:p>
    <w:p w14:paraId="7141B04F" w14:textId="79E65A7B" w:rsidR="00FA2119" w:rsidRDefault="00FA2119" w:rsidP="00FA2119">
      <w:pPr>
        <w:rPr>
          <w:rtl/>
        </w:rPr>
      </w:pPr>
      <w:r>
        <w:rPr>
          <w:rFonts w:cs="Arial"/>
          <w:rtl/>
        </w:rPr>
        <w:t>מה שכתוב בתיקון שטרות שטר הרשאה בשולח גט ממקום למקום, אין צריך</w:t>
      </w:r>
      <w:r>
        <w:rPr>
          <w:rStyle w:val="a7"/>
          <w:rFonts w:cs="Arial"/>
          <w:rtl/>
        </w:rPr>
        <w:footnoteReference w:id="1942"/>
      </w:r>
      <w:r>
        <w:rPr>
          <w:rFonts w:cs="Arial"/>
          <w:rtl/>
        </w:rPr>
        <w:t xml:space="preserve"> אלא</w:t>
      </w:r>
      <w:r>
        <w:rPr>
          <w:rStyle w:val="a7"/>
          <w:rFonts w:cs="Arial"/>
          <w:rtl/>
        </w:rPr>
        <w:footnoteReference w:id="1943"/>
      </w:r>
      <w:r>
        <w:rPr>
          <w:rFonts w:cs="Arial"/>
          <w:rtl/>
        </w:rPr>
        <w:t xml:space="preserve"> לפי שכתוב בה שנותן הבעל רשות לעשות כמה שלוחים אפילו לא יחלה ולא יאנס. </w:t>
      </w:r>
      <w:r>
        <w:rPr>
          <w:rFonts w:cs="Arial"/>
          <w:sz w:val="18"/>
          <w:szCs w:val="18"/>
          <w:rtl/>
        </w:rPr>
        <w:t>הגה: ולכן אם נאבד שטר הרשאה או נפסד, והוא שעת הדחק, נותנין הגט בלא הרשאה</w:t>
      </w:r>
      <w:r>
        <w:rPr>
          <w:rStyle w:val="a7"/>
          <w:rFonts w:cs="Arial"/>
          <w:sz w:val="18"/>
          <w:szCs w:val="18"/>
          <w:rtl/>
        </w:rPr>
        <w:footnoteReference w:id="1944"/>
      </w:r>
      <w:r>
        <w:rPr>
          <w:rFonts w:cs="Arial"/>
          <w:sz w:val="18"/>
          <w:szCs w:val="18"/>
          <w:rtl/>
        </w:rPr>
        <w:t xml:space="preserve"> (מהרי"ק). והשליח נאמן על השליחות ולומר שעשאו שליח בעדים, כמו שנאמן לומר בפני נכתב ובפני נחתם (ועיין לקמן סי' קמב סע' ג). אבל אם לכתחלה, כותבין ההרשאה בדקדוק, ונזהרין שלא לכתוב בה ראשי תיבות (בתיקון מהר"י מינץ בשם מהר"ש). גם שלא לשנות</w:t>
      </w:r>
      <w:r>
        <w:rPr>
          <w:rStyle w:val="a7"/>
          <w:rFonts w:cs="Arial"/>
          <w:sz w:val="18"/>
          <w:szCs w:val="18"/>
          <w:rtl/>
        </w:rPr>
        <w:footnoteReference w:id="1945"/>
      </w:r>
      <w:r>
        <w:rPr>
          <w:rFonts w:cs="Arial"/>
          <w:sz w:val="18"/>
          <w:szCs w:val="18"/>
          <w:rtl/>
        </w:rPr>
        <w:t xml:space="preserve"> בה בדברים הכתובים בגט, כגון אם כתוב בגט שם זנביל בב', לא יכתוב בהרשאה בוי"ו (ג"ז שם), וכל כיוצא בזה. ונוסח הרשאה עיין באבן העזר סימן קמ"א ולמטה סעיף ל', ושאר דינים וסדר השליחות עיין לקמן בסדר הגט. עדי הרשאה לא יהיו קרובים זה לזה, ולא לאיש ולא לאשה, ולא לעדי הגט</w:t>
      </w:r>
      <w:r>
        <w:rPr>
          <w:rStyle w:val="a7"/>
          <w:rFonts w:cs="Arial"/>
          <w:sz w:val="18"/>
          <w:szCs w:val="18"/>
          <w:rtl/>
        </w:rPr>
        <w:footnoteReference w:id="1946"/>
      </w:r>
      <w:r>
        <w:rPr>
          <w:rFonts w:cs="Arial"/>
          <w:sz w:val="18"/>
          <w:szCs w:val="18"/>
          <w:rtl/>
        </w:rPr>
        <w:t xml:space="preserve"> (בסדר גיטין). ואם נמצאו עידי הרשאה פסולים, נתבטל כל השליחות</w:t>
      </w:r>
      <w:r>
        <w:rPr>
          <w:rStyle w:val="a7"/>
          <w:rFonts w:cs="Arial"/>
          <w:sz w:val="18"/>
          <w:szCs w:val="18"/>
          <w:rtl/>
        </w:rPr>
        <w:footnoteReference w:id="1947"/>
      </w:r>
      <w:r>
        <w:rPr>
          <w:rFonts w:cs="Arial"/>
          <w:sz w:val="18"/>
          <w:szCs w:val="18"/>
          <w:rtl/>
        </w:rPr>
        <w:t>, שהרי הם מעידים על עיקר השליחות ושבפניהם עשה הבעל לשליח, ולא דמי לשאר פסולי הרשאה, כן נראה לי. ונהגו שהרב המסדר הגט מקיים ההרשאה. וי"א דיש לקיימה בג'. מיהו אם אינו ניכר רק חתימה אחת, סגי</w:t>
      </w:r>
      <w:r>
        <w:rPr>
          <w:rStyle w:val="a7"/>
          <w:rFonts w:cs="Arial"/>
          <w:sz w:val="18"/>
          <w:szCs w:val="18"/>
          <w:rtl/>
        </w:rPr>
        <w:footnoteReference w:id="1948"/>
      </w:r>
      <w:r>
        <w:rPr>
          <w:rFonts w:cs="Arial"/>
          <w:sz w:val="18"/>
          <w:szCs w:val="18"/>
          <w:rtl/>
        </w:rPr>
        <w:t xml:space="preserve"> (ג"ז בסדר). ויש נוהגין לכתוב כתב של מקום הנתינה להודיע אם יש שינוי באיזה דבר בהרשאה (שם בשם מהר"ר ז"ק).</w:t>
      </w:r>
    </w:p>
    <w:p w14:paraId="0015CD59" w14:textId="77777777" w:rsidR="00FA2119" w:rsidRDefault="00FA2119" w:rsidP="00FA2119">
      <w:pPr>
        <w:rPr>
          <w:rtl/>
        </w:rPr>
      </w:pPr>
    </w:p>
    <w:p w14:paraId="5F73928B" w14:textId="77777777" w:rsidR="00FA2119" w:rsidRDefault="00FA2119" w:rsidP="00FA2119">
      <w:pPr>
        <w:pStyle w:val="2"/>
        <w:rPr>
          <w:rtl/>
        </w:rPr>
      </w:pPr>
      <w:r>
        <w:rPr>
          <w:rtl/>
        </w:rPr>
        <w:t>סעיף כה: בדיקה שהשליח/בעל גדול.</w:t>
      </w:r>
    </w:p>
    <w:p w14:paraId="6FC9B5B6" w14:textId="77777777" w:rsidR="00FA2119" w:rsidRDefault="00FA2119" w:rsidP="00FA2119">
      <w:pPr>
        <w:rPr>
          <w:rFonts w:cs="Arial"/>
          <w:rtl/>
        </w:rPr>
      </w:pPr>
      <w:r>
        <w:rPr>
          <w:rFonts w:cs="Arial"/>
          <w:u w:val="single"/>
          <w:rtl/>
        </w:rPr>
        <w:t>האם צריך לבדוק שהבעל גדול לפני שנותנים לו לעשות שליח:</w:t>
      </w:r>
    </w:p>
    <w:p w14:paraId="284CFF14" w14:textId="34D16043" w:rsidR="00FA2119" w:rsidRDefault="00FA2119" w:rsidP="006A458D">
      <w:pPr>
        <w:pStyle w:val="ab"/>
        <w:numPr>
          <w:ilvl w:val="0"/>
          <w:numId w:val="104"/>
        </w:numPr>
        <w:rPr>
          <w:rtl/>
        </w:rPr>
      </w:pPr>
      <w:r>
        <w:rPr>
          <w:rFonts w:cs="Arial"/>
          <w:rtl/>
        </w:rPr>
        <w:t xml:space="preserve">רבינו פרץ </w:t>
      </w:r>
      <w:r>
        <w:rPr>
          <w:rFonts w:cs="Arial"/>
          <w:sz w:val="16"/>
          <w:szCs w:val="16"/>
          <w:rtl/>
        </w:rPr>
        <w:t>(בתיקון שטרות, בהגהות סמ"ק סי' קפד עמ' קנא, הביאו הטור)</w:t>
      </w:r>
      <w:r w:rsidR="00A82951">
        <w:rPr>
          <w:rFonts w:cs="Arial"/>
          <w:rtl/>
        </w:rPr>
        <w:t>-</w:t>
      </w:r>
      <w:r>
        <w:rPr>
          <w:rFonts w:cs="Arial"/>
          <w:rtl/>
        </w:rPr>
        <w:t xml:space="preserve"> ואם הבעל רך בשנים טוב להצריך</w:t>
      </w:r>
      <w:r>
        <w:rPr>
          <w:rStyle w:val="a7"/>
          <w:rFonts w:cs="Arial"/>
          <w:rtl/>
        </w:rPr>
        <w:footnoteReference w:id="1949"/>
      </w:r>
      <w:r>
        <w:rPr>
          <w:rFonts w:cs="Arial"/>
          <w:rtl/>
        </w:rPr>
        <w:t xml:space="preserve"> לדקדק אחריו אם הביא סימנים כשעושה שליח, שאין קטן עושה שליח. ומיהו אם יש לו זקן בפניו אין לחוש</w:t>
      </w:r>
      <w:r>
        <w:rPr>
          <w:rFonts w:cs="Arial"/>
          <w:sz w:val="16"/>
          <w:szCs w:val="16"/>
          <w:rtl/>
        </w:rPr>
        <w:t xml:space="preserve"> (ל' הטור בשמו)</w:t>
      </w:r>
      <w:r>
        <w:rPr>
          <w:rFonts w:cs="Arial"/>
          <w:rtl/>
        </w:rPr>
        <w:t>.</w:t>
      </w:r>
      <w:r>
        <w:rPr>
          <w:rtl/>
        </w:rPr>
        <w:t xml:space="preserve"> </w:t>
      </w:r>
      <w:r>
        <w:rPr>
          <w:color w:val="E36C0A" w:themeColor="accent6" w:themeShade="BF"/>
          <w:rtl/>
        </w:rPr>
        <w:t>(וכ"פ בשו"ע)</w:t>
      </w:r>
    </w:p>
    <w:p w14:paraId="2CE274C3" w14:textId="77777777" w:rsidR="00FA2119" w:rsidRDefault="00FA2119" w:rsidP="00FA2119">
      <w:pPr>
        <w:rPr>
          <w:u w:val="single"/>
          <w:rtl/>
        </w:rPr>
      </w:pPr>
      <w:r>
        <w:rPr>
          <w:u w:val="single"/>
          <w:rtl/>
        </w:rPr>
        <w:lastRenderedPageBreak/>
        <w:t>קיום חתימות העדים ובדיקה שהשליח גדול:</w:t>
      </w:r>
    </w:p>
    <w:p w14:paraId="06A63628" w14:textId="05A05D74" w:rsidR="00FA2119" w:rsidRDefault="00FA2119" w:rsidP="006A458D">
      <w:pPr>
        <w:pStyle w:val="ab"/>
        <w:numPr>
          <w:ilvl w:val="0"/>
          <w:numId w:val="104"/>
        </w:numPr>
        <w:rPr>
          <w:rtl/>
        </w:rPr>
      </w:pPr>
      <w:r>
        <w:rPr>
          <w:rFonts w:cs="Arial"/>
          <w:rtl/>
        </w:rPr>
        <w:t xml:space="preserve">ה"ר פרץ </w:t>
      </w:r>
      <w:r>
        <w:rPr>
          <w:rFonts w:cs="Arial"/>
          <w:sz w:val="16"/>
          <w:szCs w:val="16"/>
          <w:rtl/>
        </w:rPr>
        <w:t>(כ"כ בשמו הארחות חיים [הל' גיטין סי' ד])</w:t>
      </w:r>
      <w:r w:rsidR="00A82951">
        <w:rPr>
          <w:rFonts w:cs="Arial"/>
          <w:rtl/>
        </w:rPr>
        <w:t>-</w:t>
      </w:r>
      <w:r>
        <w:rPr>
          <w:rFonts w:cs="Arial"/>
          <w:rtl/>
        </w:rPr>
        <w:t xml:space="preserve"> רבינו ברוך כתב </w:t>
      </w:r>
      <w:r>
        <w:rPr>
          <w:rFonts w:cs="Arial"/>
          <w:sz w:val="16"/>
          <w:szCs w:val="16"/>
          <w:rtl/>
        </w:rPr>
        <w:t>(ספר התרומה סי' קלא לה.)</w:t>
      </w:r>
      <w:r>
        <w:rPr>
          <w:rFonts w:cs="Arial"/>
          <w:rtl/>
        </w:rPr>
        <w:t xml:space="preserve"> דלענין שליח קבלה צריך להושיב שלשה שיכירו חתימות העדים החתומים בשטר קבלה. וכן נראה, דהא קיום שטרות בשלשה</w:t>
      </w:r>
      <w:r>
        <w:rPr>
          <w:rStyle w:val="a7"/>
          <w:rFonts w:cs="Arial"/>
          <w:rtl/>
        </w:rPr>
        <w:footnoteReference w:id="1950"/>
      </w:r>
      <w:r>
        <w:rPr>
          <w:rFonts w:cs="Arial"/>
          <w:rtl/>
        </w:rPr>
        <w:t xml:space="preserve"> (ב"ב מ.), ואע"ג דאמרינן בפרק התקבל (סג:) במתניתין דלא צריך כי אם שנים שיאמרו בפנינו קיבל, הני מילי כשהעדים הראשונים שאמרה בפניהם התקבל לי גיטי הם עומדים שם בשעת נתינת הגט ליד השליח, אבל ע"י שטר צריך קיום שלשה. הילכך קודם שיקבל הגט השליח קבלה יושיבו שלשה שיכירו החתומים, וטוב שיהיו האנשים ידועים, כי הם יעידו בכתב ידם על נתינת הגט והגירושין לשלוח למקום האשה להודיע לה. מכאן נראה שאין לסמוך על פי שלוחים דקבלה שרגילים לעשות קיום חותמיו מעיר לעיר, לפי שאין רגילות להיות באותו קיום שלשה בני אדם ידועים וניכרים במקום הנתינה שיכירו עדי השטר לקבלה כי כן צריך לשלשתן יחד כדפרישית. וטוב לחזר אחר שליח הניכר שהוא גדול על ידי בנים או על ידי זקן בין לקבלה בין להולכה, שאל"כ אפילו מוחזק בשנים היה נראה שצריך לבדקו לכל הפחות על ידי עד אחד</w:t>
      </w:r>
      <w:r>
        <w:rPr>
          <w:color w:val="E36C0A" w:themeColor="accent6" w:themeShade="BF"/>
          <w:sz w:val="16"/>
          <w:szCs w:val="16"/>
          <w:rtl/>
        </w:rPr>
        <w:t xml:space="preserve"> (וכ"פ בשו"ע)</w:t>
      </w:r>
      <w:r>
        <w:rPr>
          <w:rFonts w:cs="Arial"/>
          <w:rtl/>
        </w:rPr>
        <w:t>, מכל שכן דחליצה (סי' קסז וסי' קסט). ומיהו בעדי חתימה אין להקפיד כיון שהוא מוחזק בשנים דקיי"ל (גיטין פו:) דעדי מסירה כרתי, ובשעת נתינת הגט יש כמה עדים גדולים שהרי רגילות ליתנו במנין</w:t>
      </w:r>
      <w:r>
        <w:rPr>
          <w:rFonts w:cs="Arial"/>
          <w:sz w:val="16"/>
          <w:szCs w:val="16"/>
          <w:rtl/>
        </w:rPr>
        <w:t xml:space="preserve"> (ל' הא"ח בשמו)</w:t>
      </w:r>
      <w:r>
        <w:rPr>
          <w:rFonts w:cs="Arial"/>
          <w:rtl/>
        </w:rPr>
        <w:t>.</w:t>
      </w:r>
      <w:r>
        <w:rPr>
          <w:color w:val="E36C0A" w:themeColor="accent6" w:themeShade="BF"/>
          <w:rtl/>
        </w:rPr>
        <w:t xml:space="preserve"> </w:t>
      </w:r>
    </w:p>
    <w:p w14:paraId="317863CA"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72990C41" w14:textId="77777777" w:rsidR="00FA2119" w:rsidRDefault="00FA2119" w:rsidP="00FA2119">
      <w:pPr>
        <w:rPr>
          <w:rtl/>
        </w:rPr>
      </w:pPr>
      <w:r>
        <w:rPr>
          <w:rFonts w:cs="Arial"/>
          <w:rtl/>
        </w:rPr>
        <w:t>אם הבעל או השליח רך בשנים, טוב להצריך לדקדק</w:t>
      </w:r>
      <w:r>
        <w:rPr>
          <w:rStyle w:val="a7"/>
          <w:rFonts w:cs="Arial"/>
          <w:rtl/>
        </w:rPr>
        <w:footnoteReference w:id="1951"/>
      </w:r>
      <w:r>
        <w:rPr>
          <w:rFonts w:cs="Arial"/>
          <w:rtl/>
        </w:rPr>
        <w:t xml:space="preserve"> אחריו אם הביא סימנים כשעושה שליח, שאין קטן עושה שליח ולא נעשה שליח. ואם יש לו זקן בפניו, אין לחוש. </w:t>
      </w:r>
      <w:r>
        <w:rPr>
          <w:rFonts w:cs="Arial"/>
          <w:sz w:val="18"/>
          <w:szCs w:val="18"/>
          <w:rtl/>
        </w:rPr>
        <w:t xml:space="preserve">הגה: אבל אין צריך לדקדק כל כך בעידי חתימה, דעידי מסירה כרתי, ורגילים להיות הרבה גדולים אצל נתינת הגט (ר"פ). ולפי מה שנוהגין לייחד עידי מסירה, ידקדק בהם שיהיו גדולים. </w:t>
      </w:r>
    </w:p>
    <w:p w14:paraId="74780B94" w14:textId="77777777" w:rsidR="00FA2119" w:rsidRDefault="00FA2119" w:rsidP="00FA2119">
      <w:pPr>
        <w:rPr>
          <w:rtl/>
        </w:rPr>
      </w:pPr>
    </w:p>
    <w:p w14:paraId="3C61113F" w14:textId="77777777" w:rsidR="00FA2119" w:rsidRDefault="00FA2119" w:rsidP="00FA2119">
      <w:pPr>
        <w:pStyle w:val="2"/>
        <w:rPr>
          <w:rtl/>
        </w:rPr>
      </w:pPr>
      <w:r>
        <w:rPr>
          <w:rtl/>
        </w:rPr>
        <w:t>סעיף כו: עשיית שליח בקנין.</w:t>
      </w:r>
    </w:p>
    <w:p w14:paraId="72DF67B0" w14:textId="77777777" w:rsidR="00FA2119" w:rsidRDefault="00FA2119" w:rsidP="00FA2119">
      <w:pPr>
        <w:rPr>
          <w:u w:val="single"/>
          <w:rtl/>
        </w:rPr>
      </w:pPr>
      <w:r>
        <w:rPr>
          <w:u w:val="single"/>
          <w:rtl/>
        </w:rPr>
        <w:t>עשיית שליח בקנין:</w:t>
      </w:r>
    </w:p>
    <w:p w14:paraId="7F99C7EA" w14:textId="202C54C7" w:rsidR="00FA2119" w:rsidRDefault="00FA2119" w:rsidP="006A458D">
      <w:pPr>
        <w:pStyle w:val="ab"/>
        <w:numPr>
          <w:ilvl w:val="0"/>
          <w:numId w:val="104"/>
        </w:numPr>
        <w:rPr>
          <w:rtl/>
        </w:rPr>
      </w:pPr>
      <w:r>
        <w:rPr>
          <w:rFonts w:cs="Arial"/>
          <w:rtl/>
        </w:rPr>
        <w:t xml:space="preserve">בהעי"ט </w:t>
      </w:r>
      <w:r>
        <w:rPr>
          <w:rFonts w:cs="Arial"/>
          <w:sz w:val="16"/>
          <w:szCs w:val="16"/>
          <w:rtl/>
        </w:rPr>
        <w:t>(אות שי"ן שלישות גט מט:)</w:t>
      </w:r>
      <w:r w:rsidR="00A82951">
        <w:rPr>
          <w:rFonts w:cs="Arial"/>
          <w:rtl/>
        </w:rPr>
        <w:t>-</w:t>
      </w:r>
      <w:r>
        <w:rPr>
          <w:rFonts w:cs="Arial"/>
          <w:rtl/>
        </w:rPr>
        <w:t xml:space="preserve"> בכך וכך בשבת וכו' איך פלונית אמר לנא הוו עלי סהדי </w:t>
      </w:r>
      <w:r>
        <w:rPr>
          <w:rFonts w:cs="Arial"/>
          <w:b/>
          <w:bCs/>
          <w:rtl/>
        </w:rPr>
        <w:t>וקנו מינאי</w:t>
      </w:r>
      <w:r>
        <w:rPr>
          <w:rFonts w:cs="Arial"/>
          <w:rtl/>
        </w:rPr>
        <w:t xml:space="preserve"> וכתובו וחתומו דאנא מניתי ית פלוני ואשליטית יתיה דליהוי שליחא דילי לקבל לי גיטא מידא דפלוני בעלי.</w:t>
      </w:r>
      <w:r>
        <w:rPr>
          <w:rtl/>
        </w:rPr>
        <w:t xml:space="preserve"> </w:t>
      </w:r>
      <w:r>
        <w:rPr>
          <w:rFonts w:cs="Arial"/>
          <w:rtl/>
        </w:rPr>
        <w:t>וקיבלתי' דגיטא דידיה כקבל ידי מידא דפלוני בעלי, וליזיל וליקבל גיטא, וליהוי ליה רשותא לשווי שליחא ושליחא שליחא אחרינא עד דתתקבל לי גיטא ותיתי ותימטא לידא דפלוני שליחא דידי</w:t>
      </w:r>
      <w:r>
        <w:rPr>
          <w:rStyle w:val="a7"/>
          <w:rFonts w:cs="Arial"/>
          <w:rtl/>
        </w:rPr>
        <w:footnoteReference w:id="1952"/>
      </w:r>
      <w:r>
        <w:rPr>
          <w:rFonts w:cs="Arial"/>
          <w:rtl/>
        </w:rPr>
        <w:t xml:space="preserve">, דאנא פלונית מניתיה וארישיתי למיהוי שליחא כשליחא דידי וקבלתיה כקבלתי והורמנותיה כהורמנותי, וקבלית יתיה עלי כחומר כל שטרי אשלטותא והירמנותא דנהיגין בישראל ולא כאסמכתא ודלא כטופסא דשטרי, </w:t>
      </w:r>
      <w:r>
        <w:rPr>
          <w:rFonts w:cs="Arial"/>
          <w:b/>
          <w:bCs/>
          <w:rtl/>
        </w:rPr>
        <w:t>וקנינא</w:t>
      </w:r>
      <w:r>
        <w:rPr>
          <w:rFonts w:cs="Arial"/>
          <w:rtl/>
        </w:rPr>
        <w:t xml:space="preserve"> וכו' בכל מה דכתיב ומפרש לעיל...</w:t>
      </w:r>
      <w:r>
        <w:rPr>
          <w:rtl/>
        </w:rPr>
        <w:t xml:space="preserve"> </w:t>
      </w:r>
      <w:r>
        <w:rPr>
          <w:rFonts w:cs="Arial"/>
          <w:rtl/>
        </w:rPr>
        <w:t xml:space="preserve">והרב המחבר </w:t>
      </w:r>
      <w:r>
        <w:rPr>
          <w:rFonts w:cs="Arial"/>
          <w:sz w:val="16"/>
          <w:szCs w:val="16"/>
          <w:rtl/>
        </w:rPr>
        <w:t xml:space="preserve">{היינו ה"ר יהודה בן ברזילי} </w:t>
      </w:r>
      <w:r>
        <w:rPr>
          <w:rFonts w:cs="Arial"/>
          <w:rtl/>
        </w:rPr>
        <w:t>כתב בשליחות אגב ארבע אמות קרקע לשופרא דשטרא</w:t>
      </w:r>
      <w:r>
        <w:rPr>
          <w:rStyle w:val="a7"/>
          <w:rFonts w:cs="Arial"/>
          <w:rtl/>
        </w:rPr>
        <w:footnoteReference w:id="1953"/>
      </w:r>
      <w:r>
        <w:rPr>
          <w:rFonts w:cs="Arial"/>
          <w:rtl/>
        </w:rPr>
        <w:t>. ומסתברא דלא שייך ביה.</w:t>
      </w:r>
    </w:p>
    <w:p w14:paraId="49975B50" w14:textId="74C77E3B" w:rsidR="00FA2119" w:rsidRDefault="00FA2119" w:rsidP="006A458D">
      <w:pPr>
        <w:pStyle w:val="ab"/>
        <w:numPr>
          <w:ilvl w:val="0"/>
          <w:numId w:val="104"/>
        </w:numPr>
      </w:pPr>
      <w:r>
        <w:rPr>
          <w:rFonts w:cs="Arial"/>
          <w:rtl/>
        </w:rPr>
        <w:t xml:space="preserve">מרדכי </w:t>
      </w:r>
      <w:r>
        <w:rPr>
          <w:rFonts w:cs="Arial"/>
          <w:sz w:val="16"/>
          <w:szCs w:val="16"/>
          <w:rtl/>
        </w:rPr>
        <w:t>(גיטין סי' תט, הביאו הדרכ"מ [אות כד])</w:t>
      </w:r>
      <w:r w:rsidR="00A82951">
        <w:rPr>
          <w:rtl/>
        </w:rPr>
        <w:t>-</w:t>
      </w:r>
      <w:r>
        <w:rPr>
          <w:rtl/>
        </w:rPr>
        <w:t xml:space="preserve"> </w:t>
      </w:r>
      <w:r>
        <w:rPr>
          <w:rFonts w:cs="Arial"/>
          <w:rtl/>
        </w:rPr>
        <w:t>ותי' דבתיקון שטרות כתיב הרשאה להולכת הגט וכן כתיב וקנינא ומה קנין שייך.</w:t>
      </w:r>
    </w:p>
    <w:p w14:paraId="4E96D6EA" w14:textId="6CED5D9A" w:rsidR="00FA2119" w:rsidRDefault="00FA2119" w:rsidP="006A458D">
      <w:pPr>
        <w:pStyle w:val="ab"/>
        <w:numPr>
          <w:ilvl w:val="0"/>
          <w:numId w:val="104"/>
        </w:numPr>
      </w:pPr>
      <w:r>
        <w:rPr>
          <w:rFonts w:cs="Arial"/>
          <w:rtl/>
        </w:rPr>
        <w:t xml:space="preserve">רמב"ם </w:t>
      </w:r>
      <w:r>
        <w:rPr>
          <w:rFonts w:cs="Arial"/>
          <w:sz w:val="16"/>
          <w:szCs w:val="16"/>
          <w:rtl/>
        </w:rPr>
        <w:t>(פ"ה ממכירה הי"ב</w:t>
      </w:r>
      <w:r w:rsidR="00A82951">
        <w:rPr>
          <w:rFonts w:cs="Arial"/>
          <w:sz w:val="16"/>
          <w:szCs w:val="16"/>
          <w:rtl/>
        </w:rPr>
        <w:t>-</w:t>
      </w:r>
      <w:r>
        <w:rPr>
          <w:rFonts w:cs="Arial"/>
          <w:sz w:val="16"/>
          <w:szCs w:val="16"/>
          <w:rtl/>
        </w:rPr>
        <w:t>יג)</w:t>
      </w:r>
      <w:r w:rsidR="00A82951">
        <w:rPr>
          <w:rFonts w:cs="Arial"/>
          <w:rtl/>
        </w:rPr>
        <w:t>-</w:t>
      </w:r>
      <w:r>
        <w:rPr>
          <w:rFonts w:cs="Arial"/>
          <w:rtl/>
        </w:rPr>
        <w:t xml:space="preserve"> נהגו רוב המקומות להקנות למקצת אלו הדברים או כיוצא באלו, ואומרים וקנינו מפלוני שעשה פלוני שליח, או שמחל לפלוני חוב שיש לו אצלו, או שבטל המודעה שמסר על גט זה וכיוצא באלו, אע</w:t>
      </w:r>
      <w:r w:rsidR="00CD65FA">
        <w:rPr>
          <w:rFonts w:cs="Arial" w:hint="cs"/>
          <w:rtl/>
        </w:rPr>
        <w:t>"</w:t>
      </w:r>
      <w:r>
        <w:rPr>
          <w:rFonts w:cs="Arial"/>
          <w:rtl/>
        </w:rPr>
        <w:t>פ שאינו צריך. קנין זה שנהגו להקנות באלו הדברים אינו מועיל כלום, אלא להודיע שאינו אומר דברים אלו כמשחק ומהתל אלא שגמר בלבו ואחר כך אמר</w:t>
      </w:r>
      <w:r w:rsidR="00CD65FA">
        <w:rPr>
          <w:rFonts w:cs="Arial" w:hint="cs"/>
          <w:rtl/>
        </w:rPr>
        <w:t>.</w:t>
      </w:r>
      <w:r>
        <w:rPr>
          <w:rFonts w:cs="Arial"/>
          <w:rtl/>
        </w:rPr>
        <w:t xml:space="preserve"> לפיכך אם אמר</w:t>
      </w:r>
      <w:r w:rsidR="00CD65FA">
        <w:rPr>
          <w:rFonts w:cs="Arial" w:hint="cs"/>
          <w:rtl/>
        </w:rPr>
        <w:t>:</w:t>
      </w:r>
      <w:r>
        <w:rPr>
          <w:rFonts w:cs="Arial"/>
          <w:rtl/>
        </w:rPr>
        <w:t xml:space="preserve"> בלב שלם אני אמרתי וגמרתי לעשות דבר זה</w:t>
      </w:r>
      <w:r w:rsidR="00CD65FA">
        <w:rPr>
          <w:rFonts w:cs="Arial" w:hint="cs"/>
          <w:rtl/>
        </w:rPr>
        <w:t xml:space="preserve"> -</w:t>
      </w:r>
      <w:r>
        <w:rPr>
          <w:rFonts w:cs="Arial"/>
          <w:rtl/>
        </w:rPr>
        <w:t xml:space="preserve"> אין צריך דבר אחר כלל.</w:t>
      </w:r>
      <w:r>
        <w:rPr>
          <w:rtl/>
        </w:rPr>
        <w:t xml:space="preserve"> </w:t>
      </w:r>
      <w:r>
        <w:rPr>
          <w:color w:val="E36C0A" w:themeColor="accent6" w:themeShade="BF"/>
          <w:rtl/>
        </w:rPr>
        <w:t>(וכ"פ בשו"ע)</w:t>
      </w:r>
    </w:p>
    <w:p w14:paraId="0BBFBA75"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lastRenderedPageBreak/>
        <w:t>שו"ע:</w:t>
      </w:r>
    </w:p>
    <w:p w14:paraId="5560E01C" w14:textId="77777777" w:rsidR="00FA2119" w:rsidRDefault="00FA2119" w:rsidP="00FA2119">
      <w:pPr>
        <w:rPr>
          <w:rtl/>
        </w:rPr>
      </w:pPr>
      <w:r>
        <w:rPr>
          <w:rFonts w:cs="Arial"/>
          <w:rtl/>
        </w:rPr>
        <w:t xml:space="preserve">נהגו להקנות לעושה שליח, להודיע שגמר בלבו. ואם אמר: בלב שלם אמרתי וגמרתי לעשות דבר זה, אין צריך קנין. </w:t>
      </w:r>
    </w:p>
    <w:p w14:paraId="00828890" w14:textId="77777777" w:rsidR="00FA2119" w:rsidRDefault="00FA2119" w:rsidP="00FA2119">
      <w:pPr>
        <w:rPr>
          <w:rtl/>
        </w:rPr>
      </w:pPr>
    </w:p>
    <w:p w14:paraId="2ABDAF7D" w14:textId="77777777" w:rsidR="00FA2119" w:rsidRDefault="00FA2119" w:rsidP="00FA2119">
      <w:pPr>
        <w:pStyle w:val="2"/>
        <w:rPr>
          <w:rtl/>
        </w:rPr>
      </w:pPr>
      <w:r>
        <w:rPr>
          <w:rtl/>
        </w:rPr>
        <w:t>סעיף כז: חתימת שני עדים כשרים וידועים על שטר שליחות קבלה.</w:t>
      </w:r>
    </w:p>
    <w:p w14:paraId="4A022A93" w14:textId="77777777" w:rsidR="00FA2119" w:rsidRDefault="00FA2119" w:rsidP="00FA2119">
      <w:pPr>
        <w:rPr>
          <w:u w:val="single"/>
          <w:rtl/>
        </w:rPr>
      </w:pPr>
      <w:r>
        <w:rPr>
          <w:u w:val="single"/>
          <w:rtl/>
        </w:rPr>
        <w:t>חתימת שני עדים כשרים וידועים על שטר שליחות קבלה:</w:t>
      </w:r>
    </w:p>
    <w:p w14:paraId="5028186A" w14:textId="06CE32F8" w:rsidR="00FA2119" w:rsidRDefault="00FA2119" w:rsidP="006A458D">
      <w:pPr>
        <w:pStyle w:val="ab"/>
        <w:numPr>
          <w:ilvl w:val="0"/>
          <w:numId w:val="102"/>
        </w:numPr>
        <w:rPr>
          <w:rtl/>
        </w:rPr>
      </w:pPr>
      <w:r>
        <w:rPr>
          <w:rFonts w:cs="Arial"/>
          <w:rtl/>
        </w:rPr>
        <w:t xml:space="preserve">רבינו פרץ </w:t>
      </w:r>
      <w:r>
        <w:rPr>
          <w:rFonts w:cs="Arial"/>
          <w:sz w:val="16"/>
          <w:szCs w:val="16"/>
          <w:rtl/>
        </w:rPr>
        <w:t>(בתיקון שטרות, בהגהות סמ"ק סי' קפד עמ' קנא, הביאו הטור)</w:t>
      </w:r>
      <w:r w:rsidR="00A82951">
        <w:rPr>
          <w:rFonts w:cs="Arial"/>
          <w:rtl/>
        </w:rPr>
        <w:t>-</w:t>
      </w:r>
      <w:r>
        <w:rPr>
          <w:rFonts w:cs="Arial"/>
          <w:rtl/>
        </w:rPr>
        <w:t xml:space="preserve"> ויחתמו בו ב' עדים כשרים, וצריך שיהיו בני אדם ידועים שתהיה חתימתן ניכרת במקום הנתינה, ואף אם יקיימוהו בהנפק צריך שתהיה חתימת הדיינין ניכרות וידועות לבני מקום הנתינה </w:t>
      </w:r>
      <w:r>
        <w:rPr>
          <w:rFonts w:cs="Arial"/>
          <w:sz w:val="16"/>
          <w:szCs w:val="16"/>
          <w:rtl/>
        </w:rPr>
        <w:t>(ל' הטור בשמו)</w:t>
      </w:r>
      <w:r>
        <w:rPr>
          <w:rFonts w:cs="Arial"/>
          <w:rtl/>
        </w:rPr>
        <w:t>.</w:t>
      </w:r>
      <w:r>
        <w:rPr>
          <w:color w:val="E36C0A" w:themeColor="accent6" w:themeShade="BF"/>
          <w:sz w:val="16"/>
          <w:szCs w:val="16"/>
          <w:rtl/>
        </w:rPr>
        <w:t xml:space="preserve"> </w:t>
      </w:r>
      <w:r>
        <w:rPr>
          <w:color w:val="E36C0A" w:themeColor="accent6" w:themeShade="BF"/>
          <w:rtl/>
        </w:rPr>
        <w:t>(וכ"פ בשו"ע)</w:t>
      </w:r>
      <w:r>
        <w:rPr>
          <w:rFonts w:cs="Arial"/>
          <w:rtl/>
        </w:rPr>
        <w:t xml:space="preserve"> </w:t>
      </w:r>
    </w:p>
    <w:p w14:paraId="2D3D75EC"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9E1A94A" w14:textId="6EE54730" w:rsidR="00FA2119" w:rsidRDefault="00FA2119" w:rsidP="00FA2119">
      <w:pPr>
        <w:rPr>
          <w:rtl/>
        </w:rPr>
      </w:pPr>
      <w:r>
        <w:rPr>
          <w:rFonts w:cs="Arial"/>
          <w:rtl/>
        </w:rPr>
        <w:t>על שטר שליחות קבלה יחתמו שני עדים כשרים</w:t>
      </w:r>
      <w:r w:rsidR="00D87420">
        <w:rPr>
          <w:rFonts w:cs="Arial" w:hint="cs"/>
          <w:rtl/>
        </w:rPr>
        <w:t>.</w:t>
      </w:r>
      <w:r>
        <w:rPr>
          <w:rFonts w:cs="Arial"/>
          <w:rtl/>
        </w:rPr>
        <w:t xml:space="preserve"> וצריך</w:t>
      </w:r>
      <w:r>
        <w:rPr>
          <w:rStyle w:val="a7"/>
          <w:rFonts w:cs="Arial"/>
          <w:rtl/>
        </w:rPr>
        <w:footnoteReference w:id="1954"/>
      </w:r>
      <w:r>
        <w:rPr>
          <w:rFonts w:cs="Arial"/>
          <w:rtl/>
        </w:rPr>
        <w:t xml:space="preserve"> שיהיו בני אדם ידועים</w:t>
      </w:r>
      <w:r w:rsidR="00D87420">
        <w:rPr>
          <w:rFonts w:cs="Arial" w:hint="cs"/>
          <w:rtl/>
        </w:rPr>
        <w:t>,</w:t>
      </w:r>
      <w:r>
        <w:rPr>
          <w:rFonts w:cs="Arial"/>
          <w:rtl/>
        </w:rPr>
        <w:t xml:space="preserve"> שתהיה חתימתן ניכר במקום הנתינה</w:t>
      </w:r>
      <w:r w:rsidR="00D87420">
        <w:rPr>
          <w:rFonts w:cs="Arial" w:hint="cs"/>
          <w:rtl/>
        </w:rPr>
        <w:t>.</w:t>
      </w:r>
      <w:r>
        <w:rPr>
          <w:rFonts w:cs="Arial"/>
          <w:rtl/>
        </w:rPr>
        <w:t xml:space="preserve"> ואף אם יקיימוה בהנפק, צריך שיהיו חתימות הדיינים ניכרות</w:t>
      </w:r>
      <w:r>
        <w:rPr>
          <w:rStyle w:val="a7"/>
          <w:rFonts w:cs="Arial"/>
          <w:rtl/>
        </w:rPr>
        <w:footnoteReference w:id="1955"/>
      </w:r>
      <w:r>
        <w:rPr>
          <w:rFonts w:cs="Arial"/>
          <w:rtl/>
        </w:rPr>
        <w:t xml:space="preserve"> וידועות לבני מקום הנתינה. </w:t>
      </w:r>
      <w:r>
        <w:rPr>
          <w:rFonts w:cs="Arial"/>
          <w:sz w:val="18"/>
          <w:szCs w:val="18"/>
          <w:rtl/>
        </w:rPr>
        <w:t>[הגה] ועיין בטור סימן זה נוסח שטר שליחות הקבלה</w:t>
      </w:r>
      <w:r>
        <w:rPr>
          <w:rStyle w:val="a7"/>
          <w:rFonts w:cs="Arial"/>
          <w:sz w:val="18"/>
          <w:szCs w:val="18"/>
          <w:rtl/>
        </w:rPr>
        <w:footnoteReference w:id="1956"/>
      </w:r>
      <w:r>
        <w:rPr>
          <w:rFonts w:cs="Arial"/>
          <w:sz w:val="18"/>
          <w:szCs w:val="18"/>
          <w:rtl/>
        </w:rPr>
        <w:t>.</w:t>
      </w:r>
      <w:r>
        <w:rPr>
          <w:rFonts w:cs="Arial"/>
          <w:rtl/>
        </w:rPr>
        <w:t xml:space="preserve"> </w:t>
      </w:r>
    </w:p>
    <w:p w14:paraId="51284B75" w14:textId="77777777" w:rsidR="00FA2119" w:rsidRDefault="00FA2119" w:rsidP="00FA2119">
      <w:pPr>
        <w:rPr>
          <w:rtl/>
        </w:rPr>
      </w:pPr>
    </w:p>
    <w:p w14:paraId="11E39D9A" w14:textId="77777777" w:rsidR="00FA2119" w:rsidRDefault="00FA2119" w:rsidP="00FA2119">
      <w:pPr>
        <w:pStyle w:val="2"/>
        <w:rPr>
          <w:rtl/>
        </w:rPr>
      </w:pPr>
      <w:r>
        <w:rPr>
          <w:rtl/>
        </w:rPr>
        <w:t xml:space="preserve">סעיף כח: בדיקה שהאשה </w:t>
      </w:r>
      <w:r>
        <w:rPr>
          <w:sz w:val="18"/>
          <w:szCs w:val="18"/>
          <w:rtl/>
        </w:rPr>
        <w:t>(שעשתה שליח קבלה)</w:t>
      </w:r>
      <w:r>
        <w:rPr>
          <w:rtl/>
        </w:rPr>
        <w:t xml:space="preserve"> גדולה.</w:t>
      </w:r>
    </w:p>
    <w:p w14:paraId="6421C51B" w14:textId="77777777" w:rsidR="00FA2119" w:rsidRDefault="00FA2119" w:rsidP="00FA2119">
      <w:pPr>
        <w:rPr>
          <w:u w:val="single"/>
          <w:rtl/>
        </w:rPr>
      </w:pPr>
      <w:r>
        <w:rPr>
          <w:u w:val="single"/>
          <w:rtl/>
        </w:rPr>
        <w:t xml:space="preserve">בדיקה שהאשה </w:t>
      </w:r>
      <w:r>
        <w:rPr>
          <w:sz w:val="16"/>
          <w:szCs w:val="16"/>
          <w:u w:val="single"/>
          <w:rtl/>
        </w:rPr>
        <w:t>(שעשתה שליח קבלה)</w:t>
      </w:r>
      <w:r>
        <w:rPr>
          <w:u w:val="single"/>
          <w:rtl/>
        </w:rPr>
        <w:t xml:space="preserve"> גדולה:</w:t>
      </w:r>
    </w:p>
    <w:p w14:paraId="7E93846E" w14:textId="45027085" w:rsidR="00FA2119" w:rsidRDefault="00FA2119" w:rsidP="006A458D">
      <w:pPr>
        <w:pStyle w:val="ab"/>
        <w:numPr>
          <w:ilvl w:val="0"/>
          <w:numId w:val="102"/>
        </w:numPr>
        <w:rPr>
          <w:rtl/>
        </w:rPr>
      </w:pPr>
      <w:r>
        <w:rPr>
          <w:rFonts w:cs="Arial"/>
          <w:rtl/>
        </w:rPr>
        <w:t xml:space="preserve">רבינו פרץ </w:t>
      </w:r>
      <w:r>
        <w:rPr>
          <w:rFonts w:cs="Arial"/>
          <w:sz w:val="16"/>
          <w:szCs w:val="16"/>
          <w:rtl/>
        </w:rPr>
        <w:t>(בתיקון שטרות, בהגהות סמ"ק סי' קפד עמ' קנא, הביאו הטור)</w:t>
      </w:r>
      <w:r w:rsidR="00A82951">
        <w:rPr>
          <w:rFonts w:cs="Arial"/>
          <w:rtl/>
        </w:rPr>
        <w:t>-</w:t>
      </w:r>
      <w:r>
        <w:rPr>
          <w:rFonts w:cs="Arial"/>
          <w:rtl/>
        </w:rPr>
        <w:t xml:space="preserve"> וגם צריך ליזהר ולדקדק שתהיה האשה שעושה שליח לקבלה גדולה בשנים ובסימנים. ואם אין השנים ידועות כי אם על פי האב, צריך רבוי שערות שחורות וגדולות כדי לכוף ראשן לעיקרן </w:t>
      </w:r>
      <w:r>
        <w:rPr>
          <w:rFonts w:cs="Arial"/>
          <w:sz w:val="16"/>
          <w:szCs w:val="16"/>
          <w:rtl/>
        </w:rPr>
        <w:t>(ל' הטור בשמו)</w:t>
      </w:r>
      <w:r>
        <w:rPr>
          <w:rFonts w:cs="Arial"/>
          <w:rtl/>
        </w:rPr>
        <w:t xml:space="preserve">. </w:t>
      </w:r>
      <w:r>
        <w:rPr>
          <w:color w:val="E36C0A" w:themeColor="accent6" w:themeShade="BF"/>
          <w:rtl/>
        </w:rPr>
        <w:t>(וכ"פ בשו"ע)</w:t>
      </w:r>
      <w:r>
        <w:rPr>
          <w:rFonts w:cs="Arial"/>
          <w:rtl/>
        </w:rPr>
        <w:t xml:space="preserve"> </w:t>
      </w:r>
    </w:p>
    <w:p w14:paraId="7C4C782D"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CAB5F3E" w14:textId="77777777" w:rsidR="00FA2119" w:rsidRDefault="00FA2119" w:rsidP="00FA2119">
      <w:pPr>
        <w:rPr>
          <w:rtl/>
        </w:rPr>
      </w:pPr>
      <w:r>
        <w:rPr>
          <w:rFonts w:cs="Arial"/>
          <w:rtl/>
        </w:rPr>
        <w:t xml:space="preserve">צריך ליזהר ולדקדק שתהיה האשה שעושה שליח קבלה גדולה בשנים ובסימנים. ואם אין השנים ידועות כי אם על פי האב, צריך ריבוי שערות שחורות וגדולות כדי לכוף ראשן לעיקרן. </w:t>
      </w:r>
    </w:p>
    <w:p w14:paraId="7571A1F7" w14:textId="77777777" w:rsidR="00FA2119" w:rsidRDefault="00FA2119" w:rsidP="00FA2119">
      <w:pPr>
        <w:rPr>
          <w:rtl/>
        </w:rPr>
      </w:pPr>
    </w:p>
    <w:p w14:paraId="235F75C5" w14:textId="77777777" w:rsidR="00FA2119" w:rsidRDefault="00FA2119" w:rsidP="00FA2119">
      <w:pPr>
        <w:pStyle w:val="2"/>
        <w:rPr>
          <w:rtl/>
        </w:rPr>
      </w:pPr>
      <w:r>
        <w:rPr>
          <w:rtl/>
        </w:rPr>
        <w:t>סעיף כט: נתינת הגט לשליח קבלה.</w:t>
      </w:r>
    </w:p>
    <w:p w14:paraId="2035D5EB" w14:textId="71D73CFF" w:rsidR="00FA2119" w:rsidRDefault="00FA2119" w:rsidP="00FA2119">
      <w:pPr>
        <w:rPr>
          <w:u w:val="single"/>
          <w:rtl/>
        </w:rPr>
      </w:pPr>
      <w:r>
        <w:rPr>
          <w:rFonts w:cs="Arial"/>
          <w:u w:val="single"/>
          <w:rtl/>
        </w:rPr>
        <w:t xml:space="preserve">נתינת הגט לשליח קבלה </w:t>
      </w:r>
      <w:r w:rsidR="00A82951">
        <w:rPr>
          <w:rFonts w:cs="Arial"/>
          <w:u w:val="single"/>
          <w:rtl/>
        </w:rPr>
        <w:t>-</w:t>
      </w:r>
      <w:r>
        <w:rPr>
          <w:rFonts w:cs="Arial"/>
          <w:u w:val="single"/>
          <w:rtl/>
        </w:rPr>
        <w:t xml:space="preserve"> כיצד</w:t>
      </w:r>
      <w:r>
        <w:rPr>
          <w:u w:val="single"/>
          <w:rtl/>
        </w:rPr>
        <w:t>:</w:t>
      </w:r>
    </w:p>
    <w:p w14:paraId="4C5C598F" w14:textId="32042FED" w:rsidR="00FA2119" w:rsidRDefault="00FA2119" w:rsidP="006A458D">
      <w:pPr>
        <w:pStyle w:val="ab"/>
        <w:numPr>
          <w:ilvl w:val="0"/>
          <w:numId w:val="102"/>
        </w:numPr>
        <w:rPr>
          <w:rtl/>
        </w:rPr>
      </w:pPr>
      <w:r>
        <w:rPr>
          <w:rFonts w:cs="Arial"/>
          <w:rtl/>
        </w:rPr>
        <w:t xml:space="preserve">רבינו פרץ </w:t>
      </w:r>
      <w:r>
        <w:rPr>
          <w:rFonts w:cs="Arial"/>
          <w:sz w:val="16"/>
          <w:szCs w:val="16"/>
          <w:rtl/>
        </w:rPr>
        <w:t>(בתיקון שטרות, בהגהות סמ"ק סי' קפד עמ' קנא, הביאו הטור)</w:t>
      </w:r>
      <w:r w:rsidR="00A82951">
        <w:rPr>
          <w:rFonts w:cs="Arial"/>
          <w:rtl/>
        </w:rPr>
        <w:t>-</w:t>
      </w:r>
      <w:r>
        <w:rPr>
          <w:rFonts w:cs="Arial"/>
          <w:rtl/>
        </w:rPr>
        <w:t xml:space="preserve"> ובשעת נתינת הגט ליד השליח יושיב הבעל בית דין כשרים שאין קרובים זה לזה ולא לבעל ולא לאשה, ולא לשליח קבלה</w:t>
      </w:r>
      <w:r>
        <w:rPr>
          <w:rStyle w:val="a7"/>
          <w:rFonts w:cs="Arial"/>
          <w:rtl/>
        </w:rPr>
        <w:footnoteReference w:id="1957"/>
      </w:r>
      <w:r>
        <w:rPr>
          <w:rFonts w:cs="Arial"/>
          <w:rtl/>
        </w:rPr>
        <w:t xml:space="preserve">, ויראו שטר ההרשאה אם החתימות ניכרות. ואחר שיכירו חתימות ההרשאה יביא הבעל הגט ויקראוהו קודם הנתינה, ויחזירוהו לו, ויבטל כל מודעא, ויתנהו ליד השליח, ויאמר לו: 'התקבל גט זה לפלונית אשתי המכונה פלונית בת פלוני והרי </w:t>
      </w:r>
      <w:r>
        <w:rPr>
          <w:rFonts w:cs="Arial"/>
          <w:rtl/>
        </w:rPr>
        <w:lastRenderedPageBreak/>
        <w:t>היא מגורשת ממני ומותרת לכל אדם'. ולא יטיל בו שום תנאי</w:t>
      </w:r>
      <w:r>
        <w:rPr>
          <w:rStyle w:val="a7"/>
          <w:rFonts w:cs="Arial"/>
          <w:rtl/>
        </w:rPr>
        <w:footnoteReference w:id="1958"/>
      </w:r>
      <w:r>
        <w:rPr>
          <w:rFonts w:cs="Arial"/>
          <w:rtl/>
        </w:rPr>
        <w:t>. ויקראוהו אחר הנתינה. והדיינים יכתבו עדותן וימסרנו ליד השליח</w:t>
      </w:r>
      <w:r>
        <w:rPr>
          <w:rFonts w:cs="Arial"/>
          <w:sz w:val="16"/>
          <w:szCs w:val="16"/>
          <w:rtl/>
        </w:rPr>
        <w:t xml:space="preserve"> </w:t>
      </w:r>
      <w:r>
        <w:rPr>
          <w:rFonts w:cs="Arial"/>
          <w:color w:val="E36C0A" w:themeColor="accent6" w:themeShade="BF"/>
          <w:sz w:val="16"/>
          <w:szCs w:val="16"/>
          <w:rtl/>
        </w:rPr>
        <w:t>(וכ"פ בשו"ע)</w:t>
      </w:r>
      <w:r>
        <w:rPr>
          <w:rFonts w:cs="Arial"/>
          <w:rtl/>
        </w:rPr>
        <w:t xml:space="preserve">. וזה לשונו: בכך וכך בשבת בכך וכך לירח פלוני בשנת כך וכך לבריאת עולם למנין שאנו מנין בו כאן במתא פלונית דיתבא על נהר פלוני אנו ב"ד חתומי מטה במותב תלתא כחדא הוינא ובא פלוני המכונה פלוני בן פלוני העומד היום בפלונית מתא דיתבא על נהר פלוני וגירש לאשתו פלונית בת פלוני המכונה פלונית (ולא יכתוב שם מקומה כיון שאינה עומדת שם לקבל גיטה מפלוני בעלה) ונתן גיטה ליד פב"ב שעשאתו אשתו שלוחה לקבל גיטה מיד בעלה פלוני בן פלוני ואמר לו התקבל גט זה לאשתי פלונית המכונה פלונית בת פלוני והרי היא מגורשת ממני ומותרת לכל אדם וקודם נתינתו בטל לפנינו כל מודעי דהוה ליה שאם מסר שום מודעא שתהא מבוטלת ולא נתן לה שום תנאי בגירושין אלא גירשה גירושין גמורין והגט קראנוהו וראינוהו כשר כדת וכהלכה ומחמת שראינו גירושי פלונית בת פלוני מר' פלוני בן פלוני בעלה שנתן גט ליד שלוחה לקבלה כתבנו לה שטר זה להיות בידה לראיה והכל שריר וקיים פלוני בן פלוני דיין פלוני בן פלוני דיין פלוני בן פלוני דיין. וגם הבעל יכתוב תחת החתימות כך: אני פלוני החתום מטה המכונה פלוני בן פלוני העומד היום בפלונית מתא דיתבא על נהר פלוני גירשתי אשתי פלונית בת פלוני וגירשתיה בפלונית מתא דיתבא על נהר פלוני ביד פב"ב שלוחה בפני ב"ד פלוני בן פלוני ופלוני בן פלוני ופלוני בן פלוני החתומים בשטר של מעלה וגירשתיה גירושין גמורין בביטול כל מודעי ובלא שום תנאי ככל הכתוב למעלה ושטרם וחתימתם היא אמת ובעבור שהכל אמת כתבתי גם אני שטר זה להיות לה גם כתב ידי לראיה ולזכות שלא יהא לי פתחון פה לערער על דבר זה והכל שריר וקיים. פלוני בן פלוני. </w:t>
      </w:r>
      <w:r>
        <w:rPr>
          <w:rStyle w:val="a7"/>
          <w:rFonts w:cs="Arial"/>
          <w:rtl/>
        </w:rPr>
        <w:footnoteReference w:id="1959"/>
      </w:r>
      <w:r>
        <w:rPr>
          <w:rFonts w:cs="Arial"/>
          <w:rtl/>
        </w:rPr>
        <w:t>הנה פירשנו דין שליח לקבלה אבל נכון שלא תעשה אשה שליח לקבלה שאין אדם יכול לצאת ידי חובתו נקי</w:t>
      </w:r>
      <w:r w:rsidR="00E32828">
        <w:rPr>
          <w:rFonts w:cs="Arial" w:hint="cs"/>
          <w:rtl/>
        </w:rPr>
        <w:t>,</w:t>
      </w:r>
      <w:r>
        <w:rPr>
          <w:rFonts w:cs="Arial"/>
          <w:rtl/>
        </w:rPr>
        <w:t xml:space="preserve"> כי ברוב הפעמים אינו מצוי שיהיו ג' בני אדם ידועים וחתימתן ניכרת במקום כתיבת הגט עדים שיכירו חתימת כל השלשה דיינים</w:t>
      </w:r>
      <w:r w:rsidR="00E32828">
        <w:rPr>
          <w:rFonts w:cs="Arial" w:hint="cs"/>
          <w:rtl/>
        </w:rPr>
        <w:t>,</w:t>
      </w:r>
      <w:r>
        <w:rPr>
          <w:rFonts w:cs="Arial"/>
          <w:rtl/>
        </w:rPr>
        <w:t xml:space="preserve"> וצריך שהג' דיינין שהן בשעת נתינה שיכירו החתימות שחתמו בשטר שעשתה אותו שליח קבלה</w:t>
      </w:r>
      <w:r w:rsidR="00E32828">
        <w:rPr>
          <w:rFonts w:cs="Arial" w:hint="cs"/>
          <w:rtl/>
        </w:rPr>
        <w:t>,</w:t>
      </w:r>
      <w:r>
        <w:rPr>
          <w:rFonts w:cs="Arial"/>
          <w:rtl/>
        </w:rPr>
        <w:t xml:space="preserve"> ולא סגי בחתימות שיקיימוהו מעיר לעיר דשמא לא יכירו החתימות מכולם</w:t>
      </w:r>
      <w:r w:rsidR="00E32828">
        <w:rPr>
          <w:rFonts w:cs="Arial" w:hint="cs"/>
          <w:rtl/>
        </w:rPr>
        <w:t>,</w:t>
      </w:r>
      <w:r>
        <w:rPr>
          <w:rFonts w:cs="Arial"/>
          <w:rtl/>
        </w:rPr>
        <w:t xml:space="preserve"> וצריך לקיים כל שלשה בגט, דקיום שטרות בג'</w:t>
      </w:r>
      <w:r>
        <w:rPr>
          <w:rStyle w:val="a7"/>
          <w:rFonts w:cs="Arial"/>
          <w:rtl/>
        </w:rPr>
        <w:footnoteReference w:id="1960"/>
      </w:r>
      <w:r>
        <w:rPr>
          <w:rFonts w:cs="Arial"/>
          <w:sz w:val="16"/>
          <w:szCs w:val="16"/>
          <w:rtl/>
        </w:rPr>
        <w:t xml:space="preserve"> (ב"ב מ.)</w:t>
      </w:r>
      <w:r>
        <w:rPr>
          <w:rFonts w:cs="Arial"/>
          <w:rtl/>
        </w:rPr>
        <w:t>. לכך נכון להחמיר שלא לעשות שליח לקבלה</w:t>
      </w:r>
      <w:r>
        <w:rPr>
          <w:rStyle w:val="a7"/>
          <w:rFonts w:cs="Arial"/>
          <w:rtl/>
        </w:rPr>
        <w:footnoteReference w:id="1961"/>
      </w:r>
      <w:r>
        <w:rPr>
          <w:rFonts w:cs="Arial"/>
          <w:rtl/>
        </w:rPr>
        <w:t xml:space="preserve"> </w:t>
      </w:r>
      <w:r>
        <w:rPr>
          <w:rFonts w:cs="Arial"/>
          <w:sz w:val="16"/>
          <w:szCs w:val="16"/>
          <w:rtl/>
        </w:rPr>
        <w:t>(ל' הטור בשמו)</w:t>
      </w:r>
      <w:r>
        <w:rPr>
          <w:rFonts w:cs="Arial"/>
          <w:rtl/>
        </w:rPr>
        <w:t xml:space="preserve">. </w:t>
      </w:r>
      <w:r>
        <w:rPr>
          <w:color w:val="00B0F0"/>
          <w:rtl/>
        </w:rPr>
        <w:t>(וכ"פ הרמ"א)</w:t>
      </w:r>
    </w:p>
    <w:p w14:paraId="0DE49DD7" w14:textId="2027B11E" w:rsidR="00FA2119" w:rsidRDefault="00FA2119" w:rsidP="00FA2119">
      <w:pPr>
        <w:rPr>
          <w:u w:val="single"/>
          <w:rtl/>
        </w:rPr>
      </w:pPr>
      <w:r>
        <w:rPr>
          <w:u w:val="single"/>
          <w:rtl/>
        </w:rPr>
        <w:t xml:space="preserve">נוסח שטר הולכה </w:t>
      </w:r>
      <w:r w:rsidR="00A82951">
        <w:rPr>
          <w:u w:val="single"/>
          <w:rtl/>
        </w:rPr>
        <w:t>-</w:t>
      </w:r>
      <w:r>
        <w:rPr>
          <w:u w:val="single"/>
          <w:rtl/>
        </w:rPr>
        <w:t xml:space="preserve"> כשהבעל מוליך גט לאשתו שנמצאת בעיר אחרת:</w:t>
      </w:r>
    </w:p>
    <w:p w14:paraId="1688013F" w14:textId="59FAD7A0" w:rsidR="00FA2119" w:rsidRDefault="00FA2119" w:rsidP="006A458D">
      <w:pPr>
        <w:pStyle w:val="ab"/>
        <w:numPr>
          <w:ilvl w:val="0"/>
          <w:numId w:val="105"/>
        </w:numPr>
        <w:rPr>
          <w:rtl/>
        </w:rPr>
      </w:pPr>
      <w:r>
        <w:rPr>
          <w:rFonts w:cs="Arial"/>
          <w:rtl/>
        </w:rPr>
        <w:t xml:space="preserve">ארחות חיים </w:t>
      </w:r>
      <w:r>
        <w:rPr>
          <w:rFonts w:cs="Arial"/>
          <w:sz w:val="16"/>
          <w:szCs w:val="16"/>
          <w:rtl/>
        </w:rPr>
        <w:t>(הל' גיטין סי' ד)</w:t>
      </w:r>
      <w:r w:rsidR="00A82951">
        <w:rPr>
          <w:rFonts w:cs="Arial"/>
          <w:rtl/>
        </w:rPr>
        <w:t>-</w:t>
      </w:r>
      <w:r>
        <w:rPr>
          <w:rFonts w:cs="Arial"/>
          <w:rtl/>
        </w:rPr>
        <w:t xml:space="preserve"> זהו לשון שליחות שטר הולכה כשהבעל עצמו מוליך גט לאשתו בעיר אחרת: 'הנה פלוני בן פלוני מוליך גט לאשתו פלונית בת פלוני ונכתב ונחתם כהלכתו לדעתנו'. ואין כותבין בו מקום כלל לפי שלא היתה האשה במקום כתיבת הגט. והוא נכתב ונחתם כהלכתו בפני הבעל, כדי שיוכל לומר בפני נכתב ובפני נחתם, כיון שהבעל עצמו מביאו כדאמרינן בפ"ק דגיטין (ה.) הבעל עצמו וכו' כי בעוונותינו אין אנו בני תורה כמו הראשונים. וזה הלשון שיאמר הבעל בשעת הנתינה קודם שיתן הגט לאשתו: 'התקבלי גיטך זה ממני והרי את מגורשת ממני ומותרת לכל אדם וגט זה בפני נכתב ובפני נחתם'. ויתנהו לה בפני שלשה, ויבטל כל המודעות, ויקראוהו קודם נתינה ואחר נתינה, ויקבל חרם שלא יוציא לעז על הגט ועל החתימות, וכל החתימות שבגט ידועות לנו</w:t>
      </w:r>
      <w:r>
        <w:rPr>
          <w:rStyle w:val="a7"/>
          <w:rFonts w:cs="Arial"/>
          <w:rtl/>
        </w:rPr>
        <w:footnoteReference w:id="1962"/>
      </w:r>
      <w:r>
        <w:rPr>
          <w:rFonts w:cs="Arial"/>
          <w:rtl/>
        </w:rPr>
        <w:t>.</w:t>
      </w:r>
    </w:p>
    <w:p w14:paraId="7AA493F1" w14:textId="77777777" w:rsidR="00FA2119" w:rsidRDefault="00FA2119" w:rsidP="00FA2119">
      <w:pPr>
        <w:rPr>
          <w:u w:val="single"/>
        </w:rPr>
      </w:pPr>
      <w:r>
        <w:rPr>
          <w:u w:val="single"/>
          <w:rtl/>
        </w:rPr>
        <w:t xml:space="preserve">אחד מהדיינים </w:t>
      </w:r>
      <w:r>
        <w:rPr>
          <w:sz w:val="16"/>
          <w:szCs w:val="16"/>
          <w:u w:val="single"/>
          <w:rtl/>
        </w:rPr>
        <w:t xml:space="preserve">(שכותבים מעשה ב"ד על מסירת הגט) </w:t>
      </w:r>
      <w:r>
        <w:rPr>
          <w:u w:val="single"/>
          <w:rtl/>
        </w:rPr>
        <w:t>שקרוב לאחד מעדי המסירה, או שהיה הוא אחד מעדי המסירה בעצמו:</w:t>
      </w:r>
    </w:p>
    <w:p w14:paraId="16CC7E63" w14:textId="15BAA24E" w:rsidR="00FA2119" w:rsidRDefault="00FA2119" w:rsidP="006A458D">
      <w:pPr>
        <w:pStyle w:val="ab"/>
        <w:numPr>
          <w:ilvl w:val="0"/>
          <w:numId w:val="105"/>
        </w:numPr>
      </w:pPr>
      <w:r>
        <w:rPr>
          <w:rFonts w:cs="Arial"/>
          <w:rtl/>
        </w:rPr>
        <w:t xml:space="preserve">תשב"ץ </w:t>
      </w:r>
      <w:r>
        <w:rPr>
          <w:rFonts w:cs="Arial"/>
          <w:sz w:val="16"/>
          <w:szCs w:val="16"/>
          <w:rtl/>
        </w:rPr>
        <w:t>(ח"א סי' כו וסי' כז)</w:t>
      </w:r>
      <w:r w:rsidR="00A82951">
        <w:rPr>
          <w:rFonts w:cs="Arial"/>
          <w:rtl/>
        </w:rPr>
        <w:t>-</w:t>
      </w:r>
      <w:r>
        <w:rPr>
          <w:rFonts w:cs="Arial"/>
          <w:rtl/>
        </w:rPr>
        <w:t xml:space="preserve"> היה נראה לומר דאין דיין יכול לעשות מעשה בית דין להתיר אשה על פי עדות קרובו שהוא אחד מעדי מסירה</w:t>
      </w:r>
      <w:r w:rsidR="00E32828">
        <w:rPr>
          <w:rFonts w:cs="Arial" w:hint="cs"/>
          <w:rtl/>
        </w:rPr>
        <w:t>.</w:t>
      </w:r>
      <w:r>
        <w:rPr>
          <w:rFonts w:cs="Arial"/>
          <w:rtl/>
        </w:rPr>
        <w:t xml:space="preserve"> אלא שבירושלמי </w:t>
      </w:r>
      <w:r>
        <w:rPr>
          <w:rFonts w:cs="Arial"/>
          <w:sz w:val="16"/>
          <w:szCs w:val="16"/>
          <w:rtl/>
        </w:rPr>
        <w:t xml:space="preserve">(פ"ו ה"ב) </w:t>
      </w:r>
      <w:r>
        <w:rPr>
          <w:rFonts w:cs="Arial"/>
          <w:rtl/>
        </w:rPr>
        <w:t xml:space="preserve">שהביא בהעי"ט </w:t>
      </w:r>
      <w:r>
        <w:rPr>
          <w:rFonts w:cs="Arial"/>
          <w:sz w:val="16"/>
          <w:szCs w:val="16"/>
          <w:rtl/>
        </w:rPr>
        <w:t xml:space="preserve">(אות ש שלישות גט מז ע"ג) </w:t>
      </w:r>
      <w:r>
        <w:rPr>
          <w:rFonts w:cs="Arial"/>
          <w:rtl/>
        </w:rPr>
        <w:t xml:space="preserve">ופוסקים אחרים משמע דמצטרף. ומה שכתב ה"ר פרץ שצריך שיהיו הב"ד רחוקים לשליח קבלה </w:t>
      </w:r>
      <w:r w:rsidR="00A82951">
        <w:rPr>
          <w:rFonts w:cs="Arial"/>
          <w:rtl/>
        </w:rPr>
        <w:t>-</w:t>
      </w:r>
      <w:r>
        <w:rPr>
          <w:rFonts w:cs="Arial"/>
          <w:rtl/>
        </w:rPr>
        <w:t xml:space="preserve"> לכתחלה הוא</w:t>
      </w:r>
      <w:r>
        <w:rPr>
          <w:rStyle w:val="a7"/>
          <w:rFonts w:cs="Arial"/>
          <w:rtl/>
        </w:rPr>
        <w:footnoteReference w:id="1963"/>
      </w:r>
      <w:r>
        <w:rPr>
          <w:rFonts w:cs="Arial"/>
          <w:rtl/>
        </w:rPr>
        <w:t>.</w:t>
      </w:r>
    </w:p>
    <w:p w14:paraId="3E195CEE" w14:textId="5FBC87D0" w:rsidR="00FA2119" w:rsidRDefault="00FA2119" w:rsidP="006A458D">
      <w:pPr>
        <w:pStyle w:val="ab"/>
        <w:numPr>
          <w:ilvl w:val="0"/>
          <w:numId w:val="105"/>
        </w:numPr>
      </w:pPr>
      <w:r>
        <w:rPr>
          <w:rFonts w:cs="Arial"/>
          <w:rtl/>
        </w:rPr>
        <w:lastRenderedPageBreak/>
        <w:t xml:space="preserve">ריב"ש </w:t>
      </w:r>
      <w:r>
        <w:rPr>
          <w:rFonts w:cs="Arial"/>
          <w:sz w:val="16"/>
          <w:szCs w:val="16"/>
          <w:rtl/>
        </w:rPr>
        <w:t>(סי' שצ, הביאו הדרכ"מ [אות כז])</w:t>
      </w:r>
      <w:r w:rsidR="00A82951">
        <w:rPr>
          <w:rFonts w:cs="Arial"/>
          <w:rtl/>
        </w:rPr>
        <w:t>-</w:t>
      </w:r>
      <w:r>
        <w:rPr>
          <w:rFonts w:cs="Arial"/>
          <w:rtl/>
        </w:rPr>
        <w:t xml:space="preserve"> העדים שנמסר הגט לפניהם יכולים להיות דיינים בדבר, ולא אמרינן בכי האי גוונא אין עד נעשה דיין </w:t>
      </w:r>
      <w:r>
        <w:rPr>
          <w:rFonts w:cs="Arial"/>
          <w:sz w:val="16"/>
          <w:szCs w:val="16"/>
          <w:rtl/>
        </w:rPr>
        <w:t>(כתובות כא:)</w:t>
      </w:r>
      <w:r>
        <w:rPr>
          <w:rFonts w:cs="Arial"/>
          <w:rtl/>
        </w:rPr>
        <w:t>.</w:t>
      </w:r>
      <w:r>
        <w:rPr>
          <w:rtl/>
        </w:rPr>
        <w:t xml:space="preserve"> (וכ"כ הב"ש </w:t>
      </w:r>
      <w:r>
        <w:rPr>
          <w:sz w:val="16"/>
          <w:szCs w:val="16"/>
          <w:rtl/>
        </w:rPr>
        <w:t>[סקמ"ג]</w:t>
      </w:r>
      <w:r>
        <w:rPr>
          <w:rtl/>
        </w:rPr>
        <w:t>)</w:t>
      </w:r>
    </w:p>
    <w:p w14:paraId="6E0EDC71"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B2BCDEA" w14:textId="77777777" w:rsidR="00FA2119" w:rsidRDefault="00FA2119" w:rsidP="00FA2119">
      <w:pPr>
        <w:rPr>
          <w:rtl/>
        </w:rPr>
      </w:pPr>
      <w:r>
        <w:rPr>
          <w:rFonts w:cs="Arial"/>
          <w:rtl/>
        </w:rPr>
        <w:t xml:space="preserve">בשעת נתינת הגט ביד שליח קבלה, ישבו בית דין כשרים שאינם קרובים זה לזה ולא לבעל ולא לאשה, ונהגו ליזהר גם כן שלא יהיה קרוב לשליח, ויכירו חתימת ההרשאה, ואחר כך יביא הבעל הגט, ויקראוהו ויחזירוהו לו, ויבטל כל מודעות ויפסול עדים שיעידו דבר שגורם בטול הגט, ויתנוהו ליד השליח ויאמר לו: התקבל גט זה לפלונית אשתי והרי היא מגורשת ממני ומותרת לכל אדם. ויש מי שאומר שלא יטיל בו שום תנאי. ויחזרו לקרותו אחר הנתינה, והדיינים יכתבו עדותם </w:t>
      </w:r>
      <w:r>
        <w:rPr>
          <w:rFonts w:cs="Arial"/>
          <w:sz w:val="18"/>
          <w:szCs w:val="18"/>
          <w:rtl/>
        </w:rPr>
        <w:t>[הגה] ויהיו החתימות ניכרות וידועות (טור)</w:t>
      </w:r>
      <w:r>
        <w:rPr>
          <w:rFonts w:cs="Arial"/>
          <w:rtl/>
        </w:rPr>
        <w:t xml:space="preserve">, ויתננו ליד השליח. </w:t>
      </w:r>
      <w:r>
        <w:rPr>
          <w:rFonts w:cs="Arial"/>
          <w:sz w:val="18"/>
          <w:szCs w:val="18"/>
          <w:rtl/>
        </w:rPr>
        <w:t>הגה: ונוסח הגט שנותנים לו</w:t>
      </w:r>
      <w:r>
        <w:rPr>
          <w:rStyle w:val="a7"/>
          <w:rFonts w:cs="Arial"/>
          <w:sz w:val="18"/>
          <w:szCs w:val="18"/>
          <w:rtl/>
        </w:rPr>
        <w:footnoteReference w:id="1964"/>
      </w:r>
      <w:r>
        <w:rPr>
          <w:rFonts w:cs="Arial"/>
          <w:sz w:val="18"/>
          <w:szCs w:val="18"/>
          <w:rtl/>
        </w:rPr>
        <w:t>, עיין בטור סימן זה. וכל זה הוא מדינא, אבל יש אומרים שנכון להחמיר שלא לגרש על ידי שליח קבלה כלל (טור בשם הרי"ף), וכן נוהגין</w:t>
      </w:r>
      <w:r>
        <w:rPr>
          <w:rStyle w:val="a7"/>
          <w:rFonts w:cs="Arial"/>
          <w:sz w:val="18"/>
          <w:szCs w:val="18"/>
          <w:rtl/>
        </w:rPr>
        <w:footnoteReference w:id="1965"/>
      </w:r>
      <w:r>
        <w:rPr>
          <w:rFonts w:cs="Arial"/>
          <w:sz w:val="18"/>
          <w:szCs w:val="18"/>
          <w:rtl/>
        </w:rPr>
        <w:t>.</w:t>
      </w:r>
      <w:r>
        <w:rPr>
          <w:rFonts w:cs="Arial"/>
          <w:rtl/>
        </w:rPr>
        <w:t xml:space="preserve"> </w:t>
      </w:r>
    </w:p>
    <w:p w14:paraId="6A877561" w14:textId="77777777" w:rsidR="00FA2119" w:rsidRDefault="00FA2119" w:rsidP="00FA2119">
      <w:pPr>
        <w:rPr>
          <w:rtl/>
        </w:rPr>
      </w:pPr>
    </w:p>
    <w:p w14:paraId="69AEEF3D" w14:textId="77777777" w:rsidR="00FA2119" w:rsidRDefault="00FA2119" w:rsidP="00FA2119">
      <w:pPr>
        <w:pStyle w:val="2"/>
        <w:rPr>
          <w:rtl/>
        </w:rPr>
      </w:pPr>
      <w:r>
        <w:rPr>
          <w:rtl/>
        </w:rPr>
        <w:t>סעיף ל: נוסח שטר הרשאה לשליח הולכה.</w:t>
      </w:r>
    </w:p>
    <w:p w14:paraId="771CF1AA" w14:textId="77777777" w:rsidR="00FA2119" w:rsidRDefault="00FA2119" w:rsidP="00FA2119">
      <w:pPr>
        <w:rPr>
          <w:u w:val="single"/>
          <w:rtl/>
        </w:rPr>
      </w:pPr>
      <w:r>
        <w:rPr>
          <w:u w:val="single"/>
          <w:rtl/>
        </w:rPr>
        <w:t>נוסח שטר הרשאה לשליח הולכה:</w:t>
      </w:r>
    </w:p>
    <w:p w14:paraId="2C70064A" w14:textId="182CBE36" w:rsidR="00FA2119" w:rsidRDefault="00FA2119" w:rsidP="006A458D">
      <w:pPr>
        <w:pStyle w:val="ab"/>
        <w:numPr>
          <w:ilvl w:val="0"/>
          <w:numId w:val="102"/>
        </w:numPr>
        <w:rPr>
          <w:rtl/>
        </w:rPr>
      </w:pPr>
      <w:r>
        <w:rPr>
          <w:rFonts w:cs="Arial"/>
          <w:rtl/>
        </w:rPr>
        <w:t xml:space="preserve">רבינו פרץ </w:t>
      </w:r>
      <w:r>
        <w:rPr>
          <w:rFonts w:cs="Arial"/>
          <w:sz w:val="16"/>
          <w:szCs w:val="16"/>
          <w:rtl/>
        </w:rPr>
        <w:t>(בתיקון שטרות, בהגהות סמ"ק סי' קפד עמ' קנא, הביאו הטור)</w:t>
      </w:r>
      <w:r w:rsidR="00A82951">
        <w:rPr>
          <w:rFonts w:cs="Arial"/>
          <w:rtl/>
        </w:rPr>
        <w:t>-</w:t>
      </w:r>
      <w:r>
        <w:rPr>
          <w:rFonts w:cs="Arial"/>
          <w:rtl/>
        </w:rPr>
        <w:t xml:space="preserve"> שטר הרשאה בשולח גט ממקום למקום נראה שאין צריך, אלא לפי שכתוב בה שנותן הבעל לשליח רשות לעשות כמה שלוחים ואפי' לא יחלה ולא יאנס ע"כ בתשובה. והורגלו עתה לעשות הרשאה לשולח גט, וז"ל: בפנינו עדים חתומי מטה בכך וכך בשבת בכך וכך לירח פלוני בשנת כך וכך לבריאת עולם למנין שאנו מנין בו כאן במתא פלוני' מסר פב"פ לפב"פ גט להוליך לאשתו פב"פ וכך אמר לפנינו פב"פ לשליח פב"פ הולך גט זה לאשתי פב"פ ותהא ידך כידי ופיך כפי ועשייתך כעשייתי ונותן אני לך רשות לעשות שליח ושליח שליח עד מאה ליתן גט זה לאשתו פב"פ כל מקום שתמצאנה אתה או שלוחך או שליח שלוחך והגט שנעשה עליו פב"פ שליח להוליכו ככל הכתוב למעלה נכתב ונחתם בפלונית מתא בכך וכך בשבת בכך וכך לירח פלוני בשנת כך וכך לבריאת עולם ועידיו החתומין בו פב"פ ופב"פ ובפנינו בטל פב"פ הבעל כל מודעות שמסר על גט זה וגם בפנינו קבל עליו פב"פ הבעל בחרם שלא לבטל את הגט ואת השליח ומה שראינו ונעשה בפנינו כתבנו וחתמנו</w:t>
      </w:r>
      <w:r>
        <w:rPr>
          <w:rFonts w:cs="Arial"/>
          <w:sz w:val="16"/>
          <w:szCs w:val="16"/>
          <w:rtl/>
        </w:rPr>
        <w:t xml:space="preserve"> {ע"כ לשון שטר ההרשאה}</w:t>
      </w:r>
      <w:r>
        <w:rPr>
          <w:rFonts w:cs="Arial"/>
          <w:rtl/>
        </w:rPr>
        <w:t xml:space="preserve">. וימסרנו הבעל לשליח בפני עדים ויקראוהו לפני מסירה ולאחר מסירה וכך יאמר הבעל לשליח: 'הולך גט זה לאשתי פלונית בת פלוני ותהא ידך כידי ופיך כפי ועשייתך כעשייתי ותהא מגורשת ממני ומותרת לכל אדם'. וקודם מסירתו לשליח יבטל כל מודעי דאית ליה. וגם יקבל עליו חרם שלא לעשות שום ביטול בגט. והשליח אומר לאשה: 'הילך גט מפלוני בעלך המכונה פב"פ והתקבלי גיטך והרי את מגורשת ממנו ומותרת לכל אדם' </w:t>
      </w:r>
      <w:r>
        <w:rPr>
          <w:rFonts w:cs="Arial"/>
          <w:sz w:val="16"/>
          <w:szCs w:val="16"/>
          <w:rtl/>
        </w:rPr>
        <w:t>(ל' הטור בשמו)</w:t>
      </w:r>
      <w:r>
        <w:rPr>
          <w:rFonts w:cs="Arial"/>
          <w:rtl/>
        </w:rPr>
        <w:t>.</w:t>
      </w:r>
    </w:p>
    <w:p w14:paraId="60ADFE5A" w14:textId="2081F0B4" w:rsidR="00FA2119" w:rsidRDefault="00FA2119" w:rsidP="006A458D">
      <w:pPr>
        <w:pStyle w:val="ab"/>
        <w:numPr>
          <w:ilvl w:val="0"/>
          <w:numId w:val="102"/>
        </w:numPr>
      </w:pPr>
      <w:r>
        <w:rPr>
          <w:rFonts w:cs="Arial"/>
          <w:rtl/>
        </w:rPr>
        <w:t xml:space="preserve">הגמ"ר </w:t>
      </w:r>
      <w:r>
        <w:rPr>
          <w:rFonts w:cs="Arial"/>
          <w:sz w:val="16"/>
          <w:szCs w:val="16"/>
          <w:rtl/>
        </w:rPr>
        <w:t>(סי' תסט)</w:t>
      </w:r>
      <w:r w:rsidR="00A82951">
        <w:rPr>
          <w:rFonts w:cs="Arial"/>
          <w:rtl/>
        </w:rPr>
        <w:t>-</w:t>
      </w:r>
      <w:r>
        <w:rPr>
          <w:rFonts w:cs="Arial"/>
          <w:rtl/>
        </w:rPr>
        <w:t xml:space="preserve"> פסק רבינו יחיאל שליח להולכת הגט אין צריך הרשאה אך הורגלו עתה לכתוב בזה הלשון: בפנינו ח"מ בכך וכך בשבת כו' מסר פלוני בר' פלוני גט ליד פלוני ב"פ, וכן אמר ליה, הולך גט זה לאשתי פב"פ, ואם עשה תנאי יפרש התנאי בה, ותהא ידך כידי ועשייתך כעשייתי ודיבורך כדיבורי, ונותן אני לך רשות לעשות שליח ושליח לשליח עד מאה אפילו בלא אונס ולתת גט לאשתי פב"פ בכל מקום שתמצאה, והגט שנעשה עליו פב"פ שליח להוליכו ככל הכתוב למעלה נכתב ונחתם בעיר פלוני ביום פלוני בכך ימים כו', ועדיו החתומים בו פב"פ, ובפנינו ביטל פב"פ הבעל כל מודעי שמסר על גט זה, וגם בפנינו קבל עליו בחרם שלא לבטל לא את הגט ולא את השליח, מה שראינו ונעשה בפנינו כתבנו וחתמנו. ובשעת נתינתו לשליח יקראהו תחלה לשני עדים ויאמר לו בפניהם: הולך גט זה לפלונית אשתי בת פלוני, ואם יש תנאי יפרשנו ויאמר</w:t>
      </w:r>
      <w:r w:rsidR="00A82951">
        <w:rPr>
          <w:rFonts w:cs="Arial"/>
          <w:rtl/>
        </w:rPr>
        <w:t>-</w:t>
      </w:r>
      <w:r>
        <w:rPr>
          <w:rFonts w:cs="Arial"/>
          <w:rtl/>
        </w:rPr>
        <w:t xml:space="preserve"> תהא מגורשת ממני משעה שיגיע גט זה לידה בתנאי כך וכך, ואם לא יהיה כך לא תהא מגורשת, ותהא ידך כידי ועשייתך כעשייתי ופיך כפי ושלוחך כשלוחי, ואני נותן לך רשות לעשות שליח ושליח שליח עד מאה ואפילו בלא אונס ותהא היא מגורשת ממני ומותרת לכל אדם, וזה הגט מרצון נפשי אני נותנו לה, ואני מבטל כל מודעות על גט זה והנני מקבל עלי בתוקף חרם שלא אבטל לא את הגט ולא את השליח ויקראוהו ויחזירוהו לשליח, והשליח יאמר לאשה הרי זה גיטיך מפלוני בן פלוני בעליך והתקבלי גיטיך זה והרי את </w:t>
      </w:r>
      <w:r>
        <w:rPr>
          <w:rFonts w:cs="Arial"/>
          <w:rtl/>
        </w:rPr>
        <w:lastRenderedPageBreak/>
        <w:t>מגורשת ממנו ומותרת לכל אדם, וגט זה בפני נכתב ובפני נחתם. ויפרש התנאי אם יש תנאי. וישבו שלשה דיינין לקבל עדות השליח, ויקראו הגט קודם נתינתו בידה, ואח"כ יתננה לה אחר תשלום כל דבריו</w:t>
      </w:r>
      <w:r>
        <w:rPr>
          <w:rStyle w:val="a7"/>
          <w:rFonts w:cs="Arial"/>
          <w:rtl/>
        </w:rPr>
        <w:footnoteReference w:id="1966"/>
      </w:r>
      <w:r>
        <w:rPr>
          <w:rFonts w:cs="Arial"/>
          <w:rtl/>
        </w:rPr>
        <w:t xml:space="preserve">. </w:t>
      </w:r>
    </w:p>
    <w:p w14:paraId="0E03A8C0" w14:textId="77777777" w:rsidR="00FA2119" w:rsidRDefault="00FA2119" w:rsidP="00FA2119">
      <w:pPr>
        <w:ind w:left="360"/>
        <w:rPr>
          <w:u w:val="dotted"/>
        </w:rPr>
      </w:pPr>
      <w:r>
        <w:rPr>
          <w:u w:val="dotted"/>
          <w:rtl/>
        </w:rPr>
        <w:t xml:space="preserve">האם צריך להוסיף לנוסח הנ"ל </w:t>
      </w:r>
      <w:r>
        <w:rPr>
          <w:rFonts w:cs="Arial"/>
          <w:u w:val="dotted"/>
          <w:rtl/>
        </w:rPr>
        <w:t>'וכיון שיגיע גט זה ליד אשתי פב"פ... תהא מגורשת ממני ומותרת לכל אדם':</w:t>
      </w:r>
    </w:p>
    <w:p w14:paraId="3D6D905D" w14:textId="6220EDA0" w:rsidR="00FA2119" w:rsidRDefault="00FA2119" w:rsidP="006A458D">
      <w:pPr>
        <w:pStyle w:val="ab"/>
        <w:numPr>
          <w:ilvl w:val="0"/>
          <w:numId w:val="102"/>
        </w:numPr>
      </w:pPr>
      <w:r>
        <w:rPr>
          <w:rFonts w:cs="Arial"/>
          <w:rtl/>
        </w:rPr>
        <w:t xml:space="preserve">תרוה"ד </w:t>
      </w:r>
      <w:r>
        <w:rPr>
          <w:rFonts w:cs="Arial"/>
          <w:sz w:val="16"/>
          <w:szCs w:val="16"/>
          <w:rtl/>
        </w:rPr>
        <w:t>(ח"ב סי' טו)</w:t>
      </w:r>
      <w:r w:rsidR="00A82951">
        <w:rPr>
          <w:rFonts w:cs="Arial"/>
          <w:rtl/>
        </w:rPr>
        <w:t>-</w:t>
      </w:r>
      <w:r>
        <w:rPr>
          <w:rFonts w:cs="Arial"/>
          <w:rtl/>
        </w:rPr>
        <w:t xml:space="preserve"> </w:t>
      </w:r>
      <w:r>
        <w:rPr>
          <w:rStyle w:val="a7"/>
          <w:rFonts w:cs="Arial"/>
          <w:rtl/>
        </w:rPr>
        <w:footnoteReference w:id="1967"/>
      </w:r>
      <w:r>
        <w:rPr>
          <w:rFonts w:cs="Arial"/>
          <w:rtl/>
        </w:rPr>
        <w:t xml:space="preserve">אין לומר דכל סמ"ק שנתפשטו בגולה נפל בהם טעות, ובחיבור הרב הגדול מהרר"י מולן </w:t>
      </w:r>
      <w:r>
        <w:rPr>
          <w:rFonts w:cs="Arial"/>
          <w:sz w:val="16"/>
          <w:szCs w:val="16"/>
          <w:rtl/>
        </w:rPr>
        <w:t xml:space="preserve">(מהרי"ל הל' גיטין ע סוע"א) </w:t>
      </w:r>
      <w:r>
        <w:rPr>
          <w:rFonts w:cs="Arial"/>
          <w:rtl/>
        </w:rPr>
        <w:t xml:space="preserve">נוסח ההרשאה כסמ"ק, ועל דא אני סומך טפי מעל מנהגכם וסידורכם. ונראה טעם וסברא דכל מה שנוכל למעט ההרשאה טפי עדיף משום דאיכא למיחש שמא יארע קלקול מרוב הכתיבה ומתבטל השליחות, והכי אמרינן בריש גיטין (ג.) אתי למיגזייה ומה בכך אי גזייה ומתבטל השליחות אלא משום עיגונא חשו להכי. </w:t>
      </w:r>
    </w:p>
    <w:p w14:paraId="2F48059F" w14:textId="3D8DE150" w:rsidR="00FA2119" w:rsidRDefault="00FA2119" w:rsidP="006A458D">
      <w:pPr>
        <w:pStyle w:val="ab"/>
        <w:numPr>
          <w:ilvl w:val="0"/>
          <w:numId w:val="102"/>
        </w:numPr>
      </w:pPr>
      <w:r>
        <w:rPr>
          <w:rFonts w:cs="Arial"/>
          <w:rtl/>
        </w:rPr>
        <w:t>ב"י</w:t>
      </w:r>
      <w:r w:rsidR="00A82951">
        <w:rPr>
          <w:rFonts w:cs="Arial"/>
          <w:rtl/>
        </w:rPr>
        <w:t>-</w:t>
      </w:r>
      <w:r>
        <w:rPr>
          <w:rFonts w:cs="Arial"/>
          <w:rtl/>
        </w:rPr>
        <w:t xml:space="preserve"> ולעניות דעתי נראה הטעם שלא נכתב בסמ"ק הוא לפי שאם נותנו על תנאי צריך להוסיף בו דברים, ולכן הניחו חלק כדי שכל אחד יכתוב כפי מה שיזדמן לו אם בתנאי ואם בלא תנאי. וראיה מהלכות גט דמרדכי שכתב ויאמר לו בפניהם הולך גט זה וכו' ואם יש תנאי יפרשנו ויאמר תהא מגורשת ממני משעה שיגיע גט זה לידה וכו' הרי שהבעל צריך שיאמר כן לשליח ושטר שליחות סיפור דברי הבעל הם. ומה שכתב </w:t>
      </w:r>
      <w:r>
        <w:rPr>
          <w:rFonts w:cs="Arial"/>
          <w:sz w:val="16"/>
          <w:szCs w:val="16"/>
          <w:rtl/>
        </w:rPr>
        <w:t xml:space="preserve">{תרוה"ד} </w:t>
      </w:r>
      <w:r>
        <w:rPr>
          <w:rFonts w:cs="Arial"/>
          <w:rtl/>
        </w:rPr>
        <w:t xml:space="preserve">שכל מה שנוכל למעט בהרשאה טפי עדיף משום דאיכא למיחש משום שמא יארע קלקול מרוב הכתיבה ותתבטל השליחות </w:t>
      </w:r>
      <w:r w:rsidR="00A82951">
        <w:rPr>
          <w:rFonts w:cs="Arial"/>
          <w:rtl/>
        </w:rPr>
        <w:t>-</w:t>
      </w:r>
      <w:r>
        <w:rPr>
          <w:rFonts w:cs="Arial"/>
          <w:rtl/>
        </w:rPr>
        <w:t xml:space="preserve"> אומר אני דלגבי דבר זה שהוא עיקר השליחות לא אמרינן הכי, וההיא דריש גיטין אין ענינה לכאן, דהתם דתקנת חכמים היא מה שיאמר השליח ואם חיסר הוי ליה משנה ממטבע חכמים והולד ממזר (גיטין ה:) לפיכך קצרו הדיבור, אבל שטר שליחות לא תקנוהו חכמי התלמוד אלא מסרוהו לכל אחד שיסדרנה כפי צחות לשונו וכל שיכתוב עיקר השליחות בין בדרך ארוכה בין בדרך קצרה שפיר דמי ולא נפיק מיניה חורבא כלל. ולפיכך נראה לי שצריך לכתוב ונותן אני לך רשות לעשות שליח וכו' עד מאה וליתן גט לאשתי פלונית בת פלוני וכו' או שליח שלוחך ותיכף שיגיע גט לידה מידך או מיד שלוחך או מיד שליח שלוחך תהא פלונית בת פלוני מגורשת ממני ומותרת לכל אדם והגט שנעשה עליו פלוני בן פלוני שליח וכו'. וכל שלא כתב כן </w:t>
      </w:r>
      <w:r w:rsidR="00A82951">
        <w:rPr>
          <w:rFonts w:cs="Arial"/>
          <w:rtl/>
        </w:rPr>
        <w:t>-</w:t>
      </w:r>
      <w:r>
        <w:rPr>
          <w:rFonts w:cs="Arial"/>
          <w:rtl/>
        </w:rPr>
        <w:t xml:space="preserve"> קרוב אני לומר שעיקר השליחות חסר מן הספר.</w:t>
      </w:r>
    </w:p>
    <w:p w14:paraId="790C6353" w14:textId="77777777" w:rsidR="00FA2119" w:rsidRDefault="00FA2119" w:rsidP="00FA2119">
      <w:pPr>
        <w:rPr>
          <w:u w:val="single"/>
          <w:rtl/>
        </w:rPr>
      </w:pPr>
      <w:r>
        <w:rPr>
          <w:u w:val="single"/>
          <w:rtl/>
        </w:rPr>
        <w:t>נוסח שטר הרשאה לשליח קבלה:</w:t>
      </w:r>
    </w:p>
    <w:p w14:paraId="6B4B5AB1" w14:textId="16A6C925" w:rsidR="00FA2119" w:rsidRDefault="00FA2119" w:rsidP="006A458D">
      <w:pPr>
        <w:pStyle w:val="ab"/>
        <w:numPr>
          <w:ilvl w:val="0"/>
          <w:numId w:val="102"/>
        </w:numPr>
        <w:rPr>
          <w:rtl/>
        </w:rPr>
      </w:pPr>
      <w:r>
        <w:rPr>
          <w:rFonts w:cs="Arial"/>
          <w:rtl/>
        </w:rPr>
        <w:t xml:space="preserve">רבינו פרץ </w:t>
      </w:r>
      <w:r>
        <w:rPr>
          <w:rFonts w:cs="Arial"/>
          <w:sz w:val="16"/>
          <w:szCs w:val="16"/>
          <w:rtl/>
        </w:rPr>
        <w:t>(בתיקון שטרות, בהגהות סמ"ק סי' קפד עמ' קנא, הביאו הטור)</w:t>
      </w:r>
      <w:r w:rsidR="00A82951">
        <w:rPr>
          <w:rFonts w:cs="Arial"/>
          <w:rtl/>
        </w:rPr>
        <w:t>-</w:t>
      </w:r>
      <w:r>
        <w:rPr>
          <w:rFonts w:cs="Arial"/>
          <w:rtl/>
        </w:rPr>
        <w:t xml:space="preserve"> שליח קבלה צריך שטר הרשאה, וז"ל: זכרון עדות שהיתה בפנינו חתומי מטה בכך וכך לירח פלוני בשנת כך וכך לבריאת עולם למנין שאנו מנין כאן במתא פלונית דיתבא על נהר פלוני פלונית המכונה פלונית בת פלוני העומדת היום במתא פלונית דיתבא על נהר פלוני מינתה בפנינו את פב"ב להיות שליח לקבל גיטה מיד פלוני בעלה המכונה פב"ב ובפנינו אמרה לזה פב"ב שלוחה התקבל לי גיטי מיד פב"ב בעלי ותהא ידך כידי וקבלתך כקבלתי ותזכה לי בו ותקבלהו לי ומיד כשיגיע הגט לידך אהיה מגורשת ממנו ומותרת לכל אדם ומה שנעשה בפנינו ושמענו וראינו כתבנו וחתמנו לראיה על מינוי שליחות קבלת גיטה והכל שריר וקיים </w:t>
      </w:r>
      <w:r>
        <w:rPr>
          <w:rFonts w:cs="Arial"/>
          <w:sz w:val="16"/>
          <w:szCs w:val="16"/>
          <w:rtl/>
        </w:rPr>
        <w:t>(ל' הטור בשמו)</w:t>
      </w:r>
      <w:r w:rsidRPr="007C55B8">
        <w:rPr>
          <w:rStyle w:val="a7"/>
          <w:rFonts w:cs="Arial"/>
          <w:rtl/>
        </w:rPr>
        <w:footnoteReference w:id="1968"/>
      </w:r>
      <w:r>
        <w:rPr>
          <w:rFonts w:cs="Arial"/>
          <w:rtl/>
        </w:rPr>
        <w:t>.</w:t>
      </w:r>
    </w:p>
    <w:p w14:paraId="44E315BD" w14:textId="77777777" w:rsidR="00FA2119" w:rsidRDefault="00FA2119" w:rsidP="00FA2119">
      <w:pPr>
        <w:rPr>
          <w:u w:val="single"/>
        </w:rPr>
      </w:pPr>
      <w:r>
        <w:rPr>
          <w:u w:val="single"/>
          <w:rtl/>
        </w:rPr>
        <w:t xml:space="preserve">מעשה בשליח שאמר שהוא שליח הולכה, ובשטר שהחזיק בידו מוכח שעשאו הבעל שליח קבלה בלא דעת האשה: </w:t>
      </w:r>
    </w:p>
    <w:p w14:paraId="56C5BA9E" w14:textId="074F2C34" w:rsidR="00FA2119" w:rsidRDefault="00FA2119" w:rsidP="006A458D">
      <w:pPr>
        <w:pStyle w:val="ab"/>
        <w:numPr>
          <w:ilvl w:val="0"/>
          <w:numId w:val="102"/>
        </w:numPr>
      </w:pPr>
      <w:r>
        <w:rPr>
          <w:rFonts w:cs="Arial"/>
          <w:rtl/>
        </w:rPr>
        <w:t>ב"י</w:t>
      </w:r>
      <w:r w:rsidR="00A82951">
        <w:rPr>
          <w:rFonts w:cs="Arial"/>
          <w:rtl/>
        </w:rPr>
        <w:t>-</w:t>
      </w:r>
      <w:r>
        <w:rPr>
          <w:rFonts w:cs="Arial"/>
          <w:rtl/>
        </w:rPr>
        <w:t xml:space="preserve"> מצאתי כתוב </w:t>
      </w:r>
      <w:r>
        <w:rPr>
          <w:rFonts w:cs="Arial"/>
          <w:sz w:val="16"/>
          <w:szCs w:val="16"/>
          <w:rtl/>
        </w:rPr>
        <w:t>(שו"ת רבי אליהו מזרחי סי' לה)</w:t>
      </w:r>
      <w:r>
        <w:rPr>
          <w:rFonts w:cs="Arial"/>
          <w:rtl/>
        </w:rPr>
        <w:t xml:space="preserve"> מעשה באחד שבא עם גט בידו ואמר שהוא שליח להולכה. והשטר שהוציא מידו לאמת דבריו היה שטר מעשה בית דין שהיה כתוב בו אנו בית דין חתומי מטה במותב תלתא הוינא יתבי ובא פלוני וגירש לאשתו פלונית ואמר לו התקבל גט זה לאשתי פלונית והרי היא מותרת לכל אדם. ובא זה השליח לפני הה"ר אליא מזרחי וכשראה דבריו שהיה אומר שהוא שליח להולכה והשטר של מעשה בית דין מוכיח שהיה שליח לקבלה שעשאו הבעל מעצמו בלי רשות האשה רצה בתחלה להתיר מאותה תשובה שהביא הטור בסוף סימן קמ"א שמתחלת לשון מינוי שליחות קנינא מרבי יונה וכו', וכך היה </w:t>
      </w:r>
      <w:r>
        <w:rPr>
          <w:rFonts w:cs="Arial"/>
          <w:rtl/>
        </w:rPr>
        <w:lastRenderedPageBreak/>
        <w:t>נראה לומר בנדון זה שאותו בית דין עמי הארץ היו וחשבו שיש בידו של בעל למנות שליח לקבלה וליפות כח האשה נתכוונו אם תועיל שליחות הקבלה שתתגרש בו מיד ואם לאו ישאר שליחות ההולכה במקומו. אחר כן התבונן בענין וראה שאין הנדון דומה לראיה מכמה אנפי. חדא, שאותו השטר של רבי יונה היה כתוב בו ויותר על זה רבי יונה זה מינה וכו', והלשון הזה מוכיח שרבי יונה זו לתוספת נתכוון ולא לבטל. ועוד, ששם באותו שטר עצמו שהיה כותב שליחות ההולכה היה כותב גם הלשון המורה על שליחות הקבלה, וכדי שלא יסתור קצתו לקצתו יש לנו לדחוק ולפרש הדברים שלא יסתרו זה לזה, אבל בנדון דידן שדברי מביא הגט סותרים דברי השטר שהביא, נהי שהוא נאמן על שליחותו היכא שאין עדים מכחישים אותו, היכא שהעדים מכחישים אותו מי מהימן. אחר כן אמר שאם השליח הזה יקיים גם דברי השטר כשיאמר שעשו המעשה הכתוב בשטר שבידו וגם אמר לו הבעל אחר המעשה ההוא 'תהיה שליח להולכה להוליך גט זה לאשתי' יש לנו לומר שליפוי כח האשה נתכוונו שתתגרש ממה נפשך, שאם לא יועיל המעשה ההוא, יועיל השליחות להולכה, כמו באותו מעשה של רבי יונה. אז קרא לשליח ושאל לו מזה, ואמר לו שלא היו דברים מעולם, רק מסר לו הבעל הגט שיהיה שליח להולכה. ואז הרב הנזכר פסל שליחותו מטעם שהעדים מכחישים אותו, גם פסל הגט עצמו מכיון שהיו עמי הארצות שלא ידעו אם יכול הבעל למנות שליח לקבלה אם לאו, וכל כה"ג אין לסמוך על גיטיהם ויש לחוש לכמה מיני פיסולים שנעשו בו כדכתב הר"ן (שו"ת ריב"ש סוף סי' שצ) והריב"ש (שם סי' שפח) שפסלו גט מפני שראו לשון המעשה בית דין שהיה לשון הדיוטות, כל שכן בכה"ג שטעו בהדיא בדין השליחות ואין זה צריך לפנים. עד כאן</w:t>
      </w:r>
      <w:r>
        <w:rPr>
          <w:rStyle w:val="a7"/>
          <w:rFonts w:cs="Arial"/>
          <w:rtl/>
        </w:rPr>
        <w:footnoteReference w:id="1969"/>
      </w:r>
      <w:r>
        <w:rPr>
          <w:rFonts w:cs="Arial"/>
          <w:rtl/>
        </w:rPr>
        <w:t>.</w:t>
      </w:r>
      <w:r>
        <w:rPr>
          <w:rtl/>
        </w:rPr>
        <w:t xml:space="preserve"> </w:t>
      </w:r>
      <w:r>
        <w:rPr>
          <w:color w:val="00B0F0"/>
          <w:rtl/>
        </w:rPr>
        <w:t>(וכ"פ הרמ"א)</w:t>
      </w:r>
    </w:p>
    <w:p w14:paraId="7A9519C2"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50A29ED" w14:textId="30512234" w:rsidR="00FA2119" w:rsidRDefault="00FA2119" w:rsidP="00FA2119">
      <w:pPr>
        <w:rPr>
          <w:rFonts w:cs="Arial"/>
          <w:rtl/>
        </w:rPr>
      </w:pPr>
      <w:r>
        <w:rPr>
          <w:rFonts w:cs="Arial"/>
          <w:rtl/>
        </w:rPr>
        <w:t xml:space="preserve">בנוסח הרשאת שליח הולכה צריך להוסיף על הנוסח שכתוב בטור אבן העזר: בפנינו עדים חתומי מטה מסר פלוני בן פלוני גט כריתות ביד פלוני בן פלוני להוליכו לאשתו פלונית בת פלוני וליתן אותו בידה וכן אמר בפנינו פלוני בן פלוני הבעל לשלוחו פלוני בן פלוני הוליך גט זה לאשתי פלונית בכל מקום שתמצאנה ותן אותו בידה או ביד שלוחה או ביד שליח שלוחה ותהא ידך כידי ופיך כפי </w:t>
      </w:r>
      <w:r>
        <w:rPr>
          <w:rFonts w:cs="Arial"/>
          <w:sz w:val="18"/>
          <w:szCs w:val="18"/>
          <w:rtl/>
        </w:rPr>
        <w:t>[הגה] ודיבורך כדיבורי (הגמ"ר דגיטין). הגה: ואם יש תנאי בגט, מזכירו כאן וכותבין: על תנאי כך וכך, וכן חוזר ומזכירו בסוף אחר שכתב ומותרת לכל אדם (שם)</w:t>
      </w:r>
      <w:r>
        <w:rPr>
          <w:rFonts w:cs="Arial"/>
          <w:rtl/>
        </w:rPr>
        <w:t>, ועשייתך כעשייתי ונותן אני לך רשות לעשות שליח ושליח שליח עד מאה שלוחים אפילו בלא אונס ותיכף שיגיע גט זה ליד אשתי הנזכרת או ליד שלוחה או ליד שליח שלוחה מידך או מיד שליח או מיד שליח שלוחך תהא מגורשת ממנו ומותרת לכל אדם ונותן אני לך רשות למנות שליח ושליח שליח עד מאה אפילו בלא אונס עד שיגיע גט לידה ותיכף שיגיע גט זה ליד אשתי הנזכרת או ליד שלוחה או ליד שליח שלוחה</w:t>
      </w:r>
      <w:r>
        <w:rPr>
          <w:rStyle w:val="a7"/>
          <w:rFonts w:cs="Arial"/>
          <w:rtl/>
        </w:rPr>
        <w:footnoteReference w:id="1970"/>
      </w:r>
      <w:r>
        <w:rPr>
          <w:rFonts w:cs="Arial"/>
          <w:rtl/>
        </w:rPr>
        <w:t xml:space="preserve"> מידך או מיד שלוחך או מיד שליח שלוחך תהא מגורשת ממני ומותרת לכל אדם. </w:t>
      </w:r>
      <w:r>
        <w:rPr>
          <w:rFonts w:cs="Arial"/>
          <w:sz w:val="18"/>
          <w:szCs w:val="18"/>
          <w:rtl/>
        </w:rPr>
        <w:t>הגה: וכותבין ג"כ בהרשאה שם העיר עם הנהרות שלה, כמו בגט (בסדר גיטין). וכן כותבין כל כינוי האיש והאשה, כמו בגט (מהרא"י סי</w:t>
      </w:r>
      <w:r w:rsidR="007C55B8">
        <w:rPr>
          <w:rFonts w:cs="Arial" w:hint="cs"/>
          <w:sz w:val="18"/>
          <w:szCs w:val="18"/>
          <w:rtl/>
        </w:rPr>
        <w:t>'</w:t>
      </w:r>
      <w:r>
        <w:rPr>
          <w:rFonts w:cs="Arial"/>
          <w:sz w:val="18"/>
          <w:szCs w:val="18"/>
          <w:rtl/>
        </w:rPr>
        <w:t xml:space="preserve"> טז</w:t>
      </w:r>
      <w:r w:rsidR="007C55B8">
        <w:rPr>
          <w:rFonts w:cs="Arial" w:hint="cs"/>
          <w:sz w:val="18"/>
          <w:szCs w:val="18"/>
          <w:rtl/>
        </w:rPr>
        <w:t>-</w:t>
      </w:r>
      <w:r>
        <w:rPr>
          <w:rFonts w:cs="Arial"/>
          <w:sz w:val="18"/>
          <w:szCs w:val="18"/>
          <w:rtl/>
        </w:rPr>
        <w:t>יז). ויש אומרים דכותבים אף כינוי השליח (בסדר בשם מהר"ר ז"ק). ויש אומרים שאין להאריך בהרשאה בדברים שאינם צריכין (פסקי מהרא"י סי</w:t>
      </w:r>
      <w:r w:rsidR="007C55B8">
        <w:rPr>
          <w:rFonts w:cs="Arial" w:hint="cs"/>
          <w:sz w:val="18"/>
          <w:szCs w:val="18"/>
          <w:rtl/>
        </w:rPr>
        <w:t>'</w:t>
      </w:r>
      <w:r>
        <w:rPr>
          <w:rFonts w:cs="Arial"/>
          <w:sz w:val="18"/>
          <w:szCs w:val="18"/>
          <w:rtl/>
        </w:rPr>
        <w:t xml:space="preserve"> טו). ויש אומרים שאין לחוש להאריך בדבר שעיקר השליחות תלוי בו, מאחר שכל אחד יוכל לכתוב כפי צחות לשונו ואינו תיקון חכמים (ב"י). ועיין לקמן בסדר הגט סעיף כ"ו כיצד כותבין בהרשאת מומר. שליח הולכה שמביא הרשאה וכתב בה שהוא שליח קבלה, אם השליח אינו מכחיש ההרשאה רק שאומר שנעשה שליח הולכה וקבלה, אז השליחות כשר ונעשה שליח הולכה ונותן הגט לאשה. אבל אם השליח אומר שלא נעשה שליח קבלה מעולם, הרי ההרשאה מכחשת אותו ונתבטל כל השליחות, גם הגט עצמו פסול מאחר שמוכח שמסדרי הגט היו עמי הארץ ולא ידעו שאין הבעל עושה שליח קבלה, יש לחוש לכמה מיני פסולין (ב"י מצא כתוב בשם ר"א מזרחי), וכן כיוצא בזה שניכר שאותן שסדרו הגט היו הדיוטות (ריב"ש).</w:t>
      </w:r>
    </w:p>
    <w:p w14:paraId="31F74C14" w14:textId="77777777" w:rsidR="00FA2119" w:rsidRDefault="00FA2119" w:rsidP="00FA2119">
      <w:pPr>
        <w:rPr>
          <w:rFonts w:cs="Arial"/>
          <w:rtl/>
        </w:rPr>
      </w:pPr>
      <w:r>
        <w:rPr>
          <w:rFonts w:cs="Arial"/>
          <w:u w:val="single"/>
          <w:rtl/>
        </w:rPr>
        <w:t>שטר שליחות שחסר בו תנאי שעשה הבעל:</w:t>
      </w:r>
      <w:r>
        <w:rPr>
          <w:rFonts w:cs="Arial"/>
          <w:rtl/>
        </w:rPr>
        <w:t xml:space="preserve"> </w:t>
      </w:r>
      <w:r>
        <w:rPr>
          <w:rFonts w:cs="Arial"/>
          <w:sz w:val="16"/>
          <w:szCs w:val="16"/>
          <w:rtl/>
        </w:rPr>
        <w:t>(פת"ש סקכ"ו)</w:t>
      </w:r>
      <w:r>
        <w:rPr>
          <w:rFonts w:cs="Arial"/>
          <w:rtl/>
        </w:rPr>
        <w:t xml:space="preserve"> </w:t>
      </w:r>
    </w:p>
    <w:p w14:paraId="772E7314" w14:textId="6BA9DDBB" w:rsidR="00FA2119" w:rsidRDefault="00FA2119" w:rsidP="006A458D">
      <w:pPr>
        <w:pStyle w:val="ab"/>
        <w:numPr>
          <w:ilvl w:val="0"/>
          <w:numId w:val="106"/>
        </w:numPr>
        <w:rPr>
          <w:rtl/>
        </w:rPr>
      </w:pPr>
      <w:r>
        <w:rPr>
          <w:rFonts w:cs="Arial"/>
          <w:rtl/>
        </w:rPr>
        <w:t>רדב"ז</w:t>
      </w:r>
      <w:r>
        <w:rPr>
          <w:rFonts w:cs="Arial"/>
          <w:sz w:val="16"/>
          <w:szCs w:val="16"/>
          <w:rtl/>
        </w:rPr>
        <w:t xml:space="preserve"> (ח"א סי' ש)</w:t>
      </w:r>
      <w:r w:rsidR="00A82951">
        <w:rPr>
          <w:rFonts w:cs="Arial"/>
          <w:rtl/>
        </w:rPr>
        <w:t>-</w:t>
      </w:r>
      <w:r>
        <w:rPr>
          <w:rFonts w:cs="Arial"/>
          <w:rtl/>
        </w:rPr>
        <w:t xml:space="preserve"> גט שנמסר לשליח הולכה</w:t>
      </w:r>
      <w:r w:rsidR="007C55B8">
        <w:rPr>
          <w:rFonts w:cs="Arial" w:hint="cs"/>
          <w:rtl/>
        </w:rPr>
        <w:t>,</w:t>
      </w:r>
      <w:r>
        <w:rPr>
          <w:rFonts w:cs="Arial"/>
          <w:rtl/>
        </w:rPr>
        <w:t xml:space="preserve"> ונכתב שטר השליחות כהוגן אבל התנאי שתמתין ג' שנים לא נזכר בשטר השליחות כלל</w:t>
      </w:r>
      <w:r w:rsidR="007C55B8">
        <w:rPr>
          <w:rFonts w:cs="Arial" w:hint="cs"/>
          <w:rtl/>
        </w:rPr>
        <w:t>,</w:t>
      </w:r>
      <w:r>
        <w:rPr>
          <w:rFonts w:cs="Arial"/>
          <w:rtl/>
        </w:rPr>
        <w:t xml:space="preserve"> אלא על פה</w:t>
      </w:r>
      <w:r w:rsidR="007C55B8">
        <w:rPr>
          <w:rFonts w:cs="Arial" w:hint="cs"/>
          <w:rtl/>
        </w:rPr>
        <w:t>,</w:t>
      </w:r>
      <w:r>
        <w:rPr>
          <w:rFonts w:cs="Arial"/>
          <w:rtl/>
        </w:rPr>
        <w:t xml:space="preserve"> והשליח הוא אחי המתגרשת ויש לחוש שמא יתננו לה בלא תנאי ותנשא בו ונמצא בניה ממזרים מה תקנה יעשו לזה. </w:t>
      </w:r>
      <w:r w:rsidR="007C55B8">
        <w:rPr>
          <w:rFonts w:cs="Arial" w:hint="cs"/>
          <w:rtl/>
        </w:rPr>
        <w:t xml:space="preserve">   </w:t>
      </w:r>
      <w:r>
        <w:rPr>
          <w:rFonts w:cs="Arial"/>
          <w:rtl/>
        </w:rPr>
        <w:t xml:space="preserve"> </w:t>
      </w:r>
      <w:r w:rsidR="007C55B8">
        <w:rPr>
          <w:rFonts w:cs="Arial" w:hint="cs"/>
          <w:rtl/>
        </w:rPr>
        <w:t xml:space="preserve">תשובה: </w:t>
      </w:r>
      <w:r>
        <w:rPr>
          <w:rFonts w:cs="Arial"/>
          <w:rtl/>
        </w:rPr>
        <w:t>ודאי טעות היה</w:t>
      </w:r>
      <w:r w:rsidR="007C55B8">
        <w:rPr>
          <w:rFonts w:cs="Arial" w:hint="cs"/>
          <w:rtl/>
        </w:rPr>
        <w:t>,</w:t>
      </w:r>
      <w:r>
        <w:rPr>
          <w:rFonts w:cs="Arial"/>
          <w:rtl/>
        </w:rPr>
        <w:t xml:space="preserve"> כי היה צריך לכתוב התנאי בשטר השליחות</w:t>
      </w:r>
      <w:r w:rsidR="007C55B8">
        <w:rPr>
          <w:rFonts w:cs="Arial" w:hint="cs"/>
          <w:rtl/>
        </w:rPr>
        <w:t>,</w:t>
      </w:r>
      <w:r>
        <w:rPr>
          <w:rFonts w:cs="Arial"/>
          <w:rtl/>
        </w:rPr>
        <w:t xml:space="preserve"> אבל כיון שלא נכתב לית לן בה ויש תקנה שיאמר השליח התנאי עתה בפנינו</w:t>
      </w:r>
      <w:r w:rsidR="00185DE3">
        <w:rPr>
          <w:rFonts w:cs="Arial" w:hint="cs"/>
          <w:rtl/>
        </w:rPr>
        <w:t>,</w:t>
      </w:r>
      <w:r>
        <w:rPr>
          <w:rFonts w:cs="Arial"/>
          <w:rtl/>
        </w:rPr>
        <w:t xml:space="preserve"> ויכתבו מעשה ב"ד אחורי שטר השליחות בעצמו איך השליחות הנכתב מעבר הלז הודה השליח הנזכר שהיה על תנאי כך וכך אע"פ שלא נכתב בשטר השליחות. והשתא ליכא למיחש למידי</w:t>
      </w:r>
      <w:r w:rsidR="00185DE3">
        <w:rPr>
          <w:rFonts w:cs="Arial" w:hint="cs"/>
          <w:rtl/>
        </w:rPr>
        <w:t>,</w:t>
      </w:r>
      <w:r>
        <w:rPr>
          <w:rFonts w:cs="Arial"/>
          <w:rtl/>
        </w:rPr>
        <w:t xml:space="preserve"> כי הב"ד אשר ינתן הגט בפניהם בודאי יראו מה שכתוב באחורי השטר</w:t>
      </w:r>
      <w:r w:rsidR="00185DE3">
        <w:rPr>
          <w:rFonts w:cs="Arial" w:hint="cs"/>
          <w:rtl/>
        </w:rPr>
        <w:t>.</w:t>
      </w:r>
      <w:r>
        <w:rPr>
          <w:rFonts w:cs="Arial"/>
          <w:rtl/>
        </w:rPr>
        <w:t xml:space="preserve"> ולשמא יגוז ליכא למיחש</w:t>
      </w:r>
      <w:r w:rsidR="00185DE3">
        <w:rPr>
          <w:rFonts w:cs="Arial" w:hint="cs"/>
          <w:rtl/>
        </w:rPr>
        <w:t>,</w:t>
      </w:r>
      <w:r>
        <w:rPr>
          <w:rFonts w:cs="Arial"/>
          <w:rtl/>
        </w:rPr>
        <w:t xml:space="preserve"> שיגוז גם שטר השליחות</w:t>
      </w:r>
      <w:r w:rsidR="00185DE3">
        <w:rPr>
          <w:rFonts w:cs="Arial" w:hint="cs"/>
          <w:rtl/>
        </w:rPr>
        <w:t>.</w:t>
      </w:r>
      <w:r>
        <w:rPr>
          <w:rFonts w:cs="Arial"/>
          <w:rtl/>
        </w:rPr>
        <w:t xml:space="preserve"> ולשמא ימחוק ליכא למיחש</w:t>
      </w:r>
      <w:r w:rsidR="00185DE3">
        <w:rPr>
          <w:rFonts w:cs="Arial" w:hint="cs"/>
          <w:rtl/>
        </w:rPr>
        <w:t>,</w:t>
      </w:r>
      <w:r>
        <w:rPr>
          <w:rFonts w:cs="Arial"/>
          <w:rtl/>
        </w:rPr>
        <w:t xml:space="preserve"> דמרתת פן יפסלו עי"ז את שטר השליחות</w:t>
      </w:r>
      <w:r w:rsidR="00185DE3">
        <w:rPr>
          <w:rFonts w:cs="Arial" w:hint="cs"/>
          <w:rtl/>
        </w:rPr>
        <w:t>.</w:t>
      </w:r>
      <w:r>
        <w:rPr>
          <w:rFonts w:cs="Arial"/>
          <w:rtl/>
        </w:rPr>
        <w:t xml:space="preserve"> ולשמא יעתיק שטר השליחות ולא יעתיק מה </w:t>
      </w:r>
      <w:r>
        <w:rPr>
          <w:rFonts w:cs="Arial"/>
          <w:rtl/>
        </w:rPr>
        <w:lastRenderedPageBreak/>
        <w:t>שאחורי הדף ליכא למיחש</w:t>
      </w:r>
      <w:r w:rsidR="00185DE3">
        <w:rPr>
          <w:rFonts w:cs="Arial" w:hint="cs"/>
          <w:rtl/>
        </w:rPr>
        <w:t>,</w:t>
      </w:r>
      <w:r>
        <w:rPr>
          <w:rFonts w:cs="Arial"/>
          <w:rtl/>
        </w:rPr>
        <w:t xml:space="preserve"> שהעדים אשר יעתיקו השטר לא יתרצו להעתיק אלא הכל או לא יעתיקו כלל ולרשיעי לא חיישי'</w:t>
      </w:r>
      <w:r w:rsidR="00185DE3">
        <w:rPr>
          <w:rFonts w:cs="Arial" w:hint="cs"/>
          <w:rtl/>
        </w:rPr>
        <w:t>.</w:t>
      </w:r>
      <w:r>
        <w:rPr>
          <w:rFonts w:cs="Arial"/>
          <w:rtl/>
        </w:rPr>
        <w:t xml:space="preserve"> הלכך אם יכתבו מעשה ב"ד אחורי השטר אין כאן בית מיחוש כלל.</w:t>
      </w:r>
    </w:p>
    <w:p w14:paraId="4C01C1F9" w14:textId="77777777" w:rsidR="00FA2119" w:rsidRDefault="00FA2119" w:rsidP="00FA2119">
      <w:r>
        <w:rPr>
          <w:rFonts w:cs="Arial"/>
          <w:u w:val="single"/>
          <w:rtl/>
        </w:rPr>
        <w:t>שטר שליחות שכתוב בו שהעדים החתומים על הגט הם פלוני ופלוני, ובגט חתומים עדים אחרים:</w:t>
      </w:r>
      <w:r>
        <w:rPr>
          <w:rFonts w:cs="Arial"/>
          <w:rtl/>
        </w:rPr>
        <w:t xml:space="preserve"> </w:t>
      </w:r>
      <w:r>
        <w:rPr>
          <w:rFonts w:cs="Arial"/>
          <w:sz w:val="16"/>
          <w:szCs w:val="16"/>
          <w:rtl/>
        </w:rPr>
        <w:t>(פת"ש סקכ"ז)</w:t>
      </w:r>
    </w:p>
    <w:p w14:paraId="7A7B4319" w14:textId="7478A2CC" w:rsidR="00FA2119" w:rsidRDefault="00FA2119" w:rsidP="006A458D">
      <w:pPr>
        <w:pStyle w:val="ab"/>
        <w:numPr>
          <w:ilvl w:val="0"/>
          <w:numId w:val="106"/>
        </w:numPr>
      </w:pPr>
      <w:r>
        <w:rPr>
          <w:rFonts w:cs="Arial"/>
          <w:rtl/>
        </w:rPr>
        <w:t>בגדי כהונה</w:t>
      </w:r>
      <w:r>
        <w:rPr>
          <w:rFonts w:cs="Arial"/>
          <w:sz w:val="16"/>
          <w:szCs w:val="16"/>
          <w:rtl/>
        </w:rPr>
        <w:t xml:space="preserve"> (סי' כו)</w:t>
      </w:r>
      <w:r w:rsidR="00A82951">
        <w:rPr>
          <w:rFonts w:cs="Arial"/>
          <w:rtl/>
        </w:rPr>
        <w:t>-</w:t>
      </w:r>
      <w:r>
        <w:rPr>
          <w:rFonts w:cs="Arial"/>
          <w:rtl/>
        </w:rPr>
        <w:t xml:space="preserve"> אודות שליח הולכה שהביא גט עם הרשאה וכתוב בהרשאה ועדיו החתומים בו עדים אחרים, לא אותן החתומים על הגט, רק שמות עדי הרשאה. וזאת ידוע בבירור שמסדרי הגט הם חתומים בקיום הרשאה... אין אני מכניס א"ע להתיר בזה, ואף שמצאתי בתשובת ראלב"ח בספר מים עמוקים </w:t>
      </w:r>
      <w:r w:rsidR="00185DE3">
        <w:rPr>
          <w:rFonts w:cs="Arial" w:hint="cs"/>
          <w:rtl/>
        </w:rPr>
        <w:t>(</w:t>
      </w:r>
      <w:r>
        <w:rPr>
          <w:rFonts w:cs="Arial"/>
          <w:rtl/>
        </w:rPr>
        <w:t>סי' לא</w:t>
      </w:r>
      <w:r w:rsidR="00185DE3">
        <w:rPr>
          <w:rFonts w:cs="Arial" w:hint="cs"/>
          <w:rtl/>
        </w:rPr>
        <w:t>)</w:t>
      </w:r>
      <w:r>
        <w:rPr>
          <w:rFonts w:cs="Arial"/>
          <w:rtl/>
        </w:rPr>
        <w:t xml:space="preserve"> שהביא בשם יש מי שכתב להכשיר בכה"ג שאפשר לומר דהרשאה אינה סותרת לשליח והשליח הזה נעשה שליח גם על גט אחר שהיו עדיו כמ"ש בשטר הרשאה הזה כו', י"ל דמשם אין ראיה. חדא, דנראה דהיש מי שכתב זה הוא מהר"ם פדוא, ושם משמע דהשליח הנ"ל אשר היה בידו הרשאה המכחשת לא היה כאן שכבר עשה השליח הראשון שליח שני, אבל היכא דהשליח בפנינו ואמר שלא נעשה שליח על גט אחר רק על זה שבידו וזה הרשאתו בודאי הוא מוכחש מעידי הרשאה ובטל השליחות וכדאי' בת' הר"ם שהביא ב"י, שמתחילה רצה להכשירו ואח"כ קרא להשליח ושאל לו ואמר להד"מ ופסל ליה. ועוד, דהאי הכשר שכ' הראלב"ח ומהרמ"פ הנ"ל שייך באם נכתב בהרשאה עדים אחרים לא כשמות עידי הגט וגם לא כשמות עדי הרשאה, אבל אם נכתב שמות עדי הרשאה יותר נראה דהב"ד טעו בפירוש ועדיו החתומים בו שהיו סבורים דקאי על הרשאה וא"כ בטל השליחות והגט דמוכח שהב"ד היו עמי הארץ. אם לא שנאמר דהב"ד לא הרגישו בטעות משום שלא קראו את הרשאה כדאי' בכתובות דף ק"ט הדיינים חותמין אף על פי שלא קראוהו. ואי נימא כך מ"מ השליחות עכ"פ בטל (כפי הנראה צ"ל ההרשא' עכ"פ בטילה. וע"ל סקט"ו) וצריך הרשאה אחרת אך אין דעתי מסכמת לסמוך ע"ז להתיר השליחות והגט כי מרש"י (ב"ב נב. ד"ה ראיה) מוכח דמ"מ אורחא דמלתא למיקרי ע"ש ואנכי מיראי הוראה בענין כזה. </w:t>
      </w:r>
    </w:p>
    <w:p w14:paraId="65CA0786" w14:textId="57E642FB" w:rsidR="00FA2119" w:rsidRDefault="00FA2119" w:rsidP="006A458D">
      <w:pPr>
        <w:pStyle w:val="ab"/>
        <w:numPr>
          <w:ilvl w:val="0"/>
          <w:numId w:val="106"/>
        </w:numPr>
      </w:pPr>
      <w:r>
        <w:rPr>
          <w:rFonts w:cs="Arial"/>
          <w:rtl/>
        </w:rPr>
        <w:t xml:space="preserve">צמח צדק </w:t>
      </w:r>
      <w:r>
        <w:rPr>
          <w:rFonts w:cs="Arial"/>
          <w:sz w:val="16"/>
          <w:szCs w:val="16"/>
          <w:rtl/>
        </w:rPr>
        <w:t>(סי' קי)</w:t>
      </w:r>
      <w:r w:rsidR="00A82951">
        <w:rPr>
          <w:rFonts w:cs="Arial"/>
          <w:rtl/>
        </w:rPr>
        <w:t>-</w:t>
      </w:r>
      <w:r>
        <w:rPr>
          <w:rFonts w:cs="Arial"/>
          <w:rtl/>
        </w:rPr>
        <w:t xml:space="preserve"> </w:t>
      </w:r>
      <w:r>
        <w:rPr>
          <w:rStyle w:val="a7"/>
          <w:rFonts w:cs="Arial"/>
          <w:rtl/>
        </w:rPr>
        <w:footnoteReference w:id="1971"/>
      </w:r>
      <w:r>
        <w:rPr>
          <w:rFonts w:cs="Arial"/>
          <w:rtl/>
        </w:rPr>
        <w:t>אין לפסול הגט בשביל כן ומטעם הנ"ל דתלינן בטעות הסופר</w:t>
      </w:r>
      <w:r w:rsidR="00185DE3">
        <w:rPr>
          <w:rFonts w:cs="Arial" w:hint="cs"/>
          <w:rtl/>
        </w:rPr>
        <w:t>.</w:t>
      </w:r>
      <w:r>
        <w:rPr>
          <w:rFonts w:cs="Arial"/>
          <w:rtl/>
        </w:rPr>
        <w:t xml:space="preserve"> והא דלא הרגישו הב"ד בהטעות הוא מחמת שלא קראו את ההרשא' כדאי' בכתובות </w:t>
      </w:r>
      <w:r w:rsidR="00185DE3">
        <w:rPr>
          <w:rFonts w:cs="Arial" w:hint="cs"/>
          <w:rtl/>
        </w:rPr>
        <w:t>(</w:t>
      </w:r>
      <w:r>
        <w:rPr>
          <w:rFonts w:cs="Arial"/>
          <w:rtl/>
        </w:rPr>
        <w:t>קט</w:t>
      </w:r>
      <w:r w:rsidR="00185DE3">
        <w:rPr>
          <w:rFonts w:cs="Arial" w:hint="cs"/>
          <w:rtl/>
        </w:rPr>
        <w:t>.)</w:t>
      </w:r>
      <w:r>
        <w:rPr>
          <w:rFonts w:cs="Arial"/>
          <w:rtl/>
        </w:rPr>
        <w:t xml:space="preserve"> כו'. ועוד דאפי' את"ל דמסתמא היו קוראים את ההרשא' וטעו גם המה, מ"מ מאן לימא לן דאותו ב"ד היו המסדרים את הגט דהא לא צריכין ב"ד לסידור הגט מן הבעל לשליח הולכה, ואפשר דהרב שהי' מסדר הגט הוא בקי ויודע בטיב גיטין אלא שאותן ג' שקיימו חתימות עידי הרשא' לא היו בקיאין</w:t>
      </w:r>
      <w:r>
        <w:rPr>
          <w:rStyle w:val="a7"/>
          <w:rFonts w:cs="Arial"/>
          <w:rtl/>
        </w:rPr>
        <w:footnoteReference w:id="1972"/>
      </w:r>
      <w:r>
        <w:rPr>
          <w:rFonts w:cs="Arial"/>
          <w:rtl/>
        </w:rPr>
        <w:t>...</w:t>
      </w:r>
    </w:p>
    <w:p w14:paraId="128F79D2" w14:textId="77777777" w:rsidR="00FA2119" w:rsidRDefault="00FA2119" w:rsidP="00FA2119">
      <w:pPr>
        <w:rPr>
          <w:u w:val="single"/>
        </w:rPr>
      </w:pPr>
      <w:r>
        <w:rPr>
          <w:u w:val="single"/>
          <w:rtl/>
        </w:rPr>
        <w:t>גט שנמצאו בו הרבה רעותות:</w:t>
      </w:r>
      <w:r>
        <w:rPr>
          <w:rFonts w:cs="Arial"/>
          <w:sz w:val="16"/>
          <w:szCs w:val="16"/>
          <w:rtl/>
        </w:rPr>
        <w:t xml:space="preserve"> (פת"ש סקכ"ח)</w:t>
      </w:r>
    </w:p>
    <w:p w14:paraId="25413479" w14:textId="44CCE394" w:rsidR="00FA2119" w:rsidRDefault="00FA2119" w:rsidP="006A458D">
      <w:pPr>
        <w:pStyle w:val="ab"/>
        <w:numPr>
          <w:ilvl w:val="0"/>
          <w:numId w:val="106"/>
        </w:numPr>
      </w:pPr>
      <w:r>
        <w:rPr>
          <w:rFonts w:cs="Arial"/>
          <w:rtl/>
        </w:rPr>
        <w:t>פת"ש</w:t>
      </w:r>
      <w:r>
        <w:rPr>
          <w:rFonts w:cs="Arial"/>
          <w:sz w:val="16"/>
          <w:szCs w:val="16"/>
          <w:rtl/>
        </w:rPr>
        <w:t xml:space="preserve"> (סקכ"ח)</w:t>
      </w:r>
      <w:r w:rsidR="00A82951">
        <w:rPr>
          <w:rFonts w:cs="Arial"/>
          <w:rtl/>
        </w:rPr>
        <w:t>-</w:t>
      </w:r>
      <w:r>
        <w:rPr>
          <w:rFonts w:cs="Arial"/>
          <w:rtl/>
        </w:rPr>
        <w:t xml:space="preserve"> עיין בתשו' שיבת ציון (סי' צא) בדבר הגט שנשלח לעיר אחת ונמצא בו ג' ריעותות</w:t>
      </w:r>
      <w:r w:rsidR="00185DE3">
        <w:rPr>
          <w:rFonts w:cs="Arial" w:hint="cs"/>
          <w:rtl/>
        </w:rPr>
        <w:t>.</w:t>
      </w:r>
      <w:r>
        <w:rPr>
          <w:rFonts w:cs="Arial"/>
          <w:rtl/>
        </w:rPr>
        <w:t xml:space="preserve"> והאריך שם דמצד הריעותות יש להקל בדיעבד</w:t>
      </w:r>
      <w:r w:rsidR="00185DE3">
        <w:rPr>
          <w:rFonts w:cs="Arial" w:hint="cs"/>
          <w:rtl/>
        </w:rPr>
        <w:t>,</w:t>
      </w:r>
      <w:r>
        <w:rPr>
          <w:rFonts w:cs="Arial"/>
          <w:rtl/>
        </w:rPr>
        <w:t xml:space="preserve"> אך מאחר שנמצא ג' ריעותות יש לחוש פן לא ידע זה המסדר בטיב גיטין</w:t>
      </w:r>
      <w:r w:rsidR="00185DE3">
        <w:rPr>
          <w:rFonts w:cs="Arial" w:hint="cs"/>
          <w:rtl/>
        </w:rPr>
        <w:t>.</w:t>
      </w:r>
      <w:r>
        <w:rPr>
          <w:rFonts w:cs="Arial"/>
          <w:rtl/>
        </w:rPr>
        <w:t xml:space="preserve"> אכן אם מכירין את הרב המסדר והוא מוחזק לן שבקי בדיני גיטין והריעותות הנ"ל נעשו ע"פ מקרה אז יש להקל ע"ש. וע' בתשו' אא"ז פנ"מ (ח"ג סי' מז) במעשה כיוצא בזה ורצה ג"כ לפסול הגט מצד שלא הרגישו מסדרי הגט בהריעותות ויש לחוש שהמה עמי הארץ כנזכר בסי' קמ"א ס"ל כו'. ושוב כתב דנראה ברור דהתם מיירי שטעו בדבר שמפורסם לפסול, משא"כ כאן י"ל שלא דקדקו ביו"ד יתירה הנכתב בצביתי וכן בווי"ן ארוכין כו' ע"ש ועמ"ש לקמן סי' קמ"ב ס"ט ס"ק י"ז.</w:t>
      </w:r>
    </w:p>
    <w:p w14:paraId="5186CEDD" w14:textId="77777777" w:rsidR="00FA2119" w:rsidRDefault="00FA2119" w:rsidP="00FA2119"/>
    <w:p w14:paraId="3BBAC402" w14:textId="77777777" w:rsidR="00FA2119" w:rsidRDefault="00FA2119" w:rsidP="00FA2119">
      <w:pPr>
        <w:pStyle w:val="2"/>
        <w:rPr>
          <w:rtl/>
        </w:rPr>
      </w:pPr>
      <w:r>
        <w:rPr>
          <w:rtl/>
        </w:rPr>
        <w:t>סעיף לא: מי כשר להיות שליח.</w:t>
      </w:r>
    </w:p>
    <w:p w14:paraId="06FE64C2" w14:textId="48EF0A69" w:rsidR="00FA2119" w:rsidRDefault="00FA2119" w:rsidP="00FA2119">
      <w:pPr>
        <w:rPr>
          <w:rtl/>
        </w:rPr>
      </w:pPr>
      <w:r>
        <w:rPr>
          <w:rFonts w:cs="Arial"/>
          <w:b/>
          <w:bCs/>
          <w:rtl/>
        </w:rPr>
        <w:t xml:space="preserve">גיטין </w:t>
      </w:r>
      <w:r>
        <w:rPr>
          <w:rFonts w:cs="Arial"/>
          <w:b/>
          <w:bCs/>
          <w:sz w:val="16"/>
          <w:szCs w:val="16"/>
          <w:rtl/>
        </w:rPr>
        <w:t>(ר"פ התקבל)</w:t>
      </w:r>
      <w:r>
        <w:rPr>
          <w:rFonts w:cs="Arial"/>
          <w:b/>
          <w:bCs/>
          <w:rtl/>
        </w:rPr>
        <w:t xml:space="preserve"> סב ע"ב:</w:t>
      </w:r>
      <w:r>
        <w:rPr>
          <w:rFonts w:cs="Arial"/>
          <w:rtl/>
        </w:rPr>
        <w:t xml:space="preserve"> פשיטא, איש הוי שליח להולכה </w:t>
      </w:r>
      <w:r w:rsidR="00A82951">
        <w:rPr>
          <w:rFonts w:cs="Arial"/>
          <w:rtl/>
        </w:rPr>
        <w:t>-</w:t>
      </w:r>
      <w:r>
        <w:rPr>
          <w:rFonts w:cs="Arial"/>
          <w:rtl/>
        </w:rPr>
        <w:t xml:space="preserve"> שכן בעל מוליך גט לאשתו, ואשה הויא שליח לקבלה </w:t>
      </w:r>
      <w:r w:rsidR="00A82951">
        <w:rPr>
          <w:rFonts w:cs="Arial"/>
          <w:rtl/>
        </w:rPr>
        <w:t>-</w:t>
      </w:r>
      <w:r>
        <w:rPr>
          <w:rFonts w:cs="Arial"/>
          <w:rtl/>
        </w:rPr>
        <w:t xml:space="preserve"> שכן אשה מקבלת גיטה מיד בעלה, איש לקבלה והאשה להולכה, מאי?... תא שמע: לפיכך, אם אמר לו הבעל אי איפשי שתקבל לה אלא הולך ותן לה, אם רצה לחזור </w:t>
      </w:r>
      <w:r w:rsidR="00A82951">
        <w:rPr>
          <w:rFonts w:cs="Arial"/>
          <w:rtl/>
        </w:rPr>
        <w:t>-</w:t>
      </w:r>
      <w:r>
        <w:rPr>
          <w:rFonts w:cs="Arial"/>
          <w:rtl/>
        </w:rPr>
        <w:t xml:space="preserve"> יחזור; והא הכא דחד שליח הוא, וש"מ: כשר לקבלה כשר להולכה. פשוט מינה: איש הוי שליח לקבלה </w:t>
      </w:r>
      <w:r w:rsidR="00A82951">
        <w:rPr>
          <w:rFonts w:cs="Arial"/>
          <w:rtl/>
        </w:rPr>
        <w:t>-</w:t>
      </w:r>
      <w:r>
        <w:rPr>
          <w:rFonts w:cs="Arial"/>
          <w:rtl/>
        </w:rPr>
        <w:t xml:space="preserve"> שכן אב מקבל גט לבתו קטנה, אשה להולכה תיבעי לך, מאי? </w:t>
      </w:r>
      <w:r>
        <w:rPr>
          <w:rFonts w:cs="Arial"/>
          <w:u w:val="single"/>
          <w:rtl/>
        </w:rPr>
        <w:t>אמר רב מרי</w:t>
      </w:r>
      <w:r>
        <w:rPr>
          <w:rFonts w:cs="Arial"/>
          <w:rtl/>
        </w:rPr>
        <w:t xml:space="preserve">: ת"ש: אף הנשים שאין נאמנות לומר מת בעלה </w:t>
      </w:r>
      <w:r w:rsidR="00A82951">
        <w:rPr>
          <w:rFonts w:cs="Arial"/>
          <w:rtl/>
        </w:rPr>
        <w:t>-</w:t>
      </w:r>
      <w:r>
        <w:rPr>
          <w:rFonts w:cs="Arial"/>
          <w:rtl/>
        </w:rPr>
        <w:t xml:space="preserve"> נאמנות להביא את גיטה, והתם הולכה היא. </w:t>
      </w:r>
      <w:r>
        <w:rPr>
          <w:rFonts w:cs="Arial"/>
          <w:u w:val="single"/>
          <w:rtl/>
        </w:rPr>
        <w:t>אמר רב אשי</w:t>
      </w:r>
      <w:r>
        <w:rPr>
          <w:rFonts w:cs="Arial"/>
          <w:rtl/>
        </w:rPr>
        <w:t>: מסיפא נמי שמע מינה, דקתני סיפא: האשה עצמה מביאה את גיטה, ובלבד שהיא צריכה לומר בפני נכתב ובפני נחתם, ואוקימנא בהולכה, ש"מ.</w:t>
      </w:r>
    </w:p>
    <w:p w14:paraId="686C2CC2" w14:textId="663C764C" w:rsidR="00FA2119" w:rsidRDefault="00FA2119" w:rsidP="00FA2119">
      <w:pPr>
        <w:rPr>
          <w:rtl/>
        </w:rPr>
      </w:pPr>
      <w:r>
        <w:rPr>
          <w:rFonts w:cs="Arial"/>
          <w:b/>
          <w:bCs/>
          <w:rtl/>
        </w:rPr>
        <w:lastRenderedPageBreak/>
        <w:t xml:space="preserve">גיטין </w:t>
      </w:r>
      <w:r>
        <w:rPr>
          <w:rFonts w:cs="Arial"/>
          <w:b/>
          <w:bCs/>
          <w:sz w:val="16"/>
          <w:szCs w:val="16"/>
          <w:rtl/>
        </w:rPr>
        <w:t>(ספ"ב)</w:t>
      </w:r>
      <w:r>
        <w:rPr>
          <w:rFonts w:cs="Arial"/>
          <w:b/>
          <w:bCs/>
          <w:rtl/>
        </w:rPr>
        <w:t xml:space="preserve"> כג ע"א:</w:t>
      </w:r>
      <w:r>
        <w:rPr>
          <w:rFonts w:cs="Arial"/>
          <w:rtl/>
        </w:rPr>
        <w:t xml:space="preserve"> </w:t>
      </w:r>
      <w:r>
        <w:rPr>
          <w:rFonts w:cs="Arial"/>
          <w:u w:val="double"/>
          <w:rtl/>
        </w:rPr>
        <w:t>מתני'</w:t>
      </w:r>
      <w:r>
        <w:rPr>
          <w:rFonts w:cs="Arial"/>
          <w:rtl/>
        </w:rPr>
        <w:t xml:space="preserve">: הכל כשרין להביא את הגט, חוץ מחרש, שוטה, וקטן, וסומא, ועובד כוכבים...  </w:t>
      </w:r>
      <w:r>
        <w:rPr>
          <w:rtl/>
        </w:rPr>
        <w:t xml:space="preserve">     </w:t>
      </w:r>
      <w:r>
        <w:rPr>
          <w:u w:val="double"/>
          <w:rtl/>
        </w:rPr>
        <w:t>גמ'</w:t>
      </w:r>
      <w:r>
        <w:rPr>
          <w:rtl/>
        </w:rPr>
        <w:t xml:space="preserve">: </w:t>
      </w:r>
      <w:r>
        <w:rPr>
          <w:rFonts w:cs="Arial"/>
          <w:u w:val="single"/>
          <w:rtl/>
        </w:rPr>
        <w:t>בעו מיניה מרבי אמי</w:t>
      </w:r>
      <w:r>
        <w:rPr>
          <w:rFonts w:cs="Arial"/>
          <w:rtl/>
        </w:rPr>
        <w:t>: עבד, מהו שְיֵעשה שליח לקבל גט אשה מיד בעלה</w:t>
      </w:r>
      <w:r>
        <w:rPr>
          <w:rStyle w:val="a7"/>
          <w:rFonts w:cs="Arial"/>
          <w:rtl/>
        </w:rPr>
        <w:footnoteReference w:id="1973"/>
      </w:r>
      <w:r>
        <w:rPr>
          <w:rFonts w:cs="Arial"/>
          <w:rtl/>
        </w:rPr>
        <w:t xml:space="preserve">? </w:t>
      </w:r>
      <w:r>
        <w:rPr>
          <w:rFonts w:cs="Arial"/>
          <w:u w:val="single"/>
          <w:rtl/>
        </w:rPr>
        <w:t>אמר להו</w:t>
      </w:r>
      <w:r>
        <w:rPr>
          <w:rFonts w:cs="Arial"/>
          <w:rtl/>
        </w:rPr>
        <w:t>: מדקא פסיל ליה לעובד כוכבים</w:t>
      </w:r>
      <w:r>
        <w:rPr>
          <w:rStyle w:val="a7"/>
          <w:rFonts w:cs="Arial"/>
          <w:rtl/>
        </w:rPr>
        <w:footnoteReference w:id="1974"/>
      </w:r>
      <w:r>
        <w:rPr>
          <w:rFonts w:cs="Arial"/>
          <w:rtl/>
        </w:rPr>
        <w:t>,</w:t>
      </w:r>
      <w:r>
        <w:rPr>
          <w:rtl/>
        </w:rPr>
        <w:t xml:space="preserve"> </w:t>
      </w:r>
      <w:r>
        <w:rPr>
          <w:rFonts w:cs="Arial"/>
          <w:rtl/>
        </w:rPr>
        <w:t>מכלל דעבד כשר</w:t>
      </w:r>
      <w:r>
        <w:rPr>
          <w:rStyle w:val="a7"/>
          <w:rFonts w:cs="Arial"/>
          <w:rtl/>
        </w:rPr>
        <w:footnoteReference w:id="1975"/>
      </w:r>
      <w:r>
        <w:rPr>
          <w:rFonts w:cs="Arial"/>
          <w:rtl/>
        </w:rPr>
        <w:t xml:space="preserve">. </w:t>
      </w:r>
      <w:r>
        <w:rPr>
          <w:rFonts w:cs="Arial"/>
          <w:u w:val="single"/>
          <w:rtl/>
        </w:rPr>
        <w:t>אמר רב אסי אמר רבי יוחנן</w:t>
      </w:r>
      <w:r>
        <w:rPr>
          <w:rFonts w:cs="Arial"/>
          <w:rtl/>
        </w:rPr>
        <w:t xml:space="preserve">: אין העבד נעשה שליח לקבל גט לאשה מיד בעלה, לפי שאינו בתורת גיטין וקדושין... </w:t>
      </w:r>
      <w:r>
        <w:rPr>
          <w:rFonts w:cs="Arial"/>
          <w:u w:val="single"/>
          <w:rtl/>
        </w:rPr>
        <w:t>אמר ר' חייא בר אבא א"ר יוחנן</w:t>
      </w:r>
      <w:r>
        <w:rPr>
          <w:rFonts w:cs="Arial"/>
          <w:rtl/>
        </w:rPr>
        <w:t>: אין העבד נעשה שליח לקבל גט אשה מיד בעלה, לפי שאינו בתורת גיטין וקידושין...</w:t>
      </w:r>
      <w:r>
        <w:rPr>
          <w:rFonts w:cs="Arial"/>
          <w:sz w:val="16"/>
          <w:szCs w:val="16"/>
          <w:rtl/>
        </w:rPr>
        <w:t xml:space="preserve"> (ודעת רש"י (שם ד"ה מכלל) דדין הולכה והובאה כדין קבלה שאין חילוק טעם ביניהם, וא"כ כי היכי דלרבי יוחנן מיפסיל לקבלה, מיפסיל נמי להולכה והובאה. וכן דעת התוספות (ד"ה אין) והרא"ש (סוס"י כה), וכתב הרשב"א (כג. ד"ה הא) שכן דעת הרי"ף. וכן דעת הרמב"ם בפ"ו (ה"ו). וכתב הר"ן (יב. ד"ה א"ר אסי) דהכי מוכח בירושלמי (פ"ב ה"ו). וכתבו הרשב"א והר"ן שהר"י ן' מיגא"ש חולק ואומר שלא פסלו עבד אלא לקבלה אבל להובאה כשר כדמוכח דיוקא דמתניתין. ומכל מקום כתב הרשב"א דלענין פסק הלכה כרש"י והרי"ף עבדינן, ולחומרא. משמע דספוקי מספקא ליה, וא"כ אם עבר והביא והיא אשת כהן נפסלה מן הכהונה מספיקא, וכן אם פשטה וקיבלה קידושין חוששין לקידושיו. ואם הביא הגט אחד מאלו, אע"פ שנתקיים הגט בחותמיו </w:t>
      </w:r>
      <w:r w:rsidR="00A82951">
        <w:rPr>
          <w:rFonts w:cs="Arial"/>
          <w:sz w:val="16"/>
          <w:szCs w:val="16"/>
          <w:rtl/>
        </w:rPr>
        <w:t>-</w:t>
      </w:r>
      <w:r>
        <w:rPr>
          <w:rFonts w:cs="Arial"/>
          <w:sz w:val="16"/>
          <w:szCs w:val="16"/>
          <w:rtl/>
        </w:rPr>
        <w:t xml:space="preserve"> אינו כלום, דהא פיסולייהו משום דלאו בני שליחות נינהו, ב"י)</w:t>
      </w:r>
    </w:p>
    <w:p w14:paraId="18FDF6DB" w14:textId="77777777" w:rsidR="00FA2119" w:rsidRDefault="00FA2119" w:rsidP="00FA2119">
      <w:pPr>
        <w:rPr>
          <w:u w:val="single"/>
          <w:rtl/>
        </w:rPr>
      </w:pPr>
      <w:r>
        <w:rPr>
          <w:u w:val="single"/>
          <w:rtl/>
        </w:rPr>
        <w:t>מי כשר להיות שליח:</w:t>
      </w:r>
    </w:p>
    <w:p w14:paraId="61F3E402" w14:textId="43DC962A" w:rsidR="00FA2119" w:rsidRDefault="00FA2119" w:rsidP="006A458D">
      <w:pPr>
        <w:pStyle w:val="ab"/>
        <w:numPr>
          <w:ilvl w:val="0"/>
          <w:numId w:val="102"/>
        </w:numPr>
        <w:rPr>
          <w:rtl/>
        </w:rPr>
      </w:pPr>
      <w:r>
        <w:rPr>
          <w:rFonts w:cs="Arial"/>
          <w:rtl/>
        </w:rPr>
        <w:t xml:space="preserve">רא"ש </w:t>
      </w:r>
      <w:r>
        <w:rPr>
          <w:rFonts w:cs="Arial"/>
          <w:sz w:val="16"/>
          <w:szCs w:val="16"/>
          <w:rtl/>
        </w:rPr>
        <w:t>(סוס"י כה)</w:t>
      </w:r>
      <w:r>
        <w:rPr>
          <w:rFonts w:cs="Arial"/>
          <w:rtl/>
        </w:rPr>
        <w:t xml:space="preserve"> וטור</w:t>
      </w:r>
      <w:r w:rsidR="00A82951">
        <w:rPr>
          <w:rFonts w:cs="Arial"/>
          <w:rtl/>
        </w:rPr>
        <w:t>-</w:t>
      </w:r>
      <w:r>
        <w:rPr>
          <w:rFonts w:cs="Arial"/>
          <w:rtl/>
        </w:rPr>
        <w:t xml:space="preserve"> הכל כשרים לשליחות הגט, בין לקבלה בין להולכה, אחד האיש וא</w:t>
      </w:r>
      <w:r w:rsidR="00DA3BD2">
        <w:rPr>
          <w:rFonts w:cs="Arial" w:hint="cs"/>
          <w:rtl/>
        </w:rPr>
        <w:t>חד</w:t>
      </w:r>
      <w:r>
        <w:rPr>
          <w:rFonts w:cs="Arial"/>
          <w:rtl/>
        </w:rPr>
        <w:t xml:space="preserve"> האשה, חוץ מחש"ו</w:t>
      </w:r>
      <w:r>
        <w:rPr>
          <w:rStyle w:val="a7"/>
          <w:rFonts w:cs="Arial"/>
          <w:rtl/>
        </w:rPr>
        <w:footnoteReference w:id="1976"/>
      </w:r>
      <w:r>
        <w:rPr>
          <w:rFonts w:cs="Arial"/>
          <w:rtl/>
        </w:rPr>
        <w:t xml:space="preserve"> עבד ועכו"ם שהם פסולים לכל ענייני שליחות בין לקבלה בין להולכה</w:t>
      </w:r>
      <w:r>
        <w:rPr>
          <w:rFonts w:cs="Arial"/>
          <w:sz w:val="16"/>
          <w:szCs w:val="16"/>
          <w:rtl/>
        </w:rPr>
        <w:t xml:space="preserve"> (ל' הטור)</w:t>
      </w:r>
      <w:r>
        <w:rPr>
          <w:rFonts w:cs="Arial"/>
          <w:rtl/>
        </w:rPr>
        <w:t xml:space="preserve">. </w:t>
      </w:r>
      <w:r>
        <w:rPr>
          <w:rFonts w:cs="Arial"/>
          <w:color w:val="E36C0A" w:themeColor="accent6" w:themeShade="BF"/>
          <w:rtl/>
        </w:rPr>
        <w:t>(וכ"ס בשו"ע)</w:t>
      </w:r>
    </w:p>
    <w:p w14:paraId="647F0042" w14:textId="6E64303B" w:rsidR="00FA2119" w:rsidRDefault="00FA2119" w:rsidP="006A458D">
      <w:pPr>
        <w:pStyle w:val="ab"/>
        <w:numPr>
          <w:ilvl w:val="0"/>
          <w:numId w:val="102"/>
        </w:numPr>
      </w:pPr>
      <w:r>
        <w:rPr>
          <w:rFonts w:cs="Arial"/>
          <w:rtl/>
        </w:rPr>
        <w:t>ר"י מיגאש</w:t>
      </w:r>
      <w:r>
        <w:rPr>
          <w:rFonts w:cs="Arial"/>
          <w:sz w:val="16"/>
          <w:szCs w:val="16"/>
          <w:rtl/>
        </w:rPr>
        <w:t xml:space="preserve"> (כ"כ הטור בשמו)</w:t>
      </w:r>
      <w:r w:rsidR="00A82951">
        <w:rPr>
          <w:rFonts w:cs="Arial"/>
          <w:rtl/>
        </w:rPr>
        <w:t>-</w:t>
      </w:r>
      <w:r>
        <w:rPr>
          <w:rFonts w:cs="Arial"/>
          <w:rtl/>
        </w:rPr>
        <w:t xml:space="preserve"> עבד אינו פסול אלא לקבלה</w:t>
      </w:r>
      <w:r w:rsidR="00FE2C6C">
        <w:rPr>
          <w:rFonts w:cs="Arial" w:hint="cs"/>
          <w:rtl/>
        </w:rPr>
        <w:t>,</w:t>
      </w:r>
      <w:r>
        <w:rPr>
          <w:rFonts w:cs="Arial"/>
          <w:rtl/>
        </w:rPr>
        <w:t xml:space="preserve"> אבל להולכה שרי.</w:t>
      </w:r>
    </w:p>
    <w:p w14:paraId="7739D484"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09AC56B" w14:textId="77DA6EFB" w:rsidR="00FA2119" w:rsidRDefault="00FA2119" w:rsidP="00FA2119">
      <w:pPr>
        <w:rPr>
          <w:rtl/>
        </w:rPr>
      </w:pPr>
      <w:r>
        <w:rPr>
          <w:rFonts w:cs="Arial"/>
          <w:rtl/>
        </w:rPr>
        <w:t>הכל כשרים לשליחות הגט, בין לקבלה בין להולכה, אחד האיש ואחד האשה, חוץ מחרש, שוטה וקטן</w:t>
      </w:r>
      <w:r>
        <w:rPr>
          <w:rStyle w:val="a7"/>
          <w:rFonts w:cs="Arial"/>
          <w:rtl/>
        </w:rPr>
        <w:footnoteReference w:id="1977"/>
      </w:r>
      <w:r>
        <w:rPr>
          <w:rFonts w:cs="Arial"/>
          <w:rtl/>
        </w:rPr>
        <w:t>, עבד ו</w:t>
      </w:r>
      <w:r w:rsidR="00185DE3">
        <w:rPr>
          <w:rFonts w:cs="Arial" w:hint="cs"/>
          <w:rtl/>
        </w:rPr>
        <w:t>גוי</w:t>
      </w:r>
      <w:r>
        <w:rPr>
          <w:rFonts w:cs="Arial"/>
          <w:rtl/>
        </w:rPr>
        <w:t xml:space="preserve">. ויש מי שאומר שאם העבד הוא שליח הולכה, הוי ספק. </w:t>
      </w:r>
    </w:p>
    <w:p w14:paraId="4C9437EB" w14:textId="77777777" w:rsidR="00FA2119" w:rsidRDefault="00FA2119" w:rsidP="00FA2119">
      <w:pPr>
        <w:rPr>
          <w:rtl/>
        </w:rPr>
      </w:pPr>
    </w:p>
    <w:p w14:paraId="6D3205FD" w14:textId="77777777" w:rsidR="00FA2119" w:rsidRDefault="00FA2119" w:rsidP="00FA2119">
      <w:pPr>
        <w:pStyle w:val="2"/>
        <w:rPr>
          <w:rtl/>
        </w:rPr>
      </w:pPr>
      <w:r>
        <w:rPr>
          <w:rtl/>
        </w:rPr>
        <w:t>סעיף לב: שליח שתחילתו בפסלות וסופו בכשרות</w:t>
      </w:r>
      <w:r>
        <w:rPr>
          <w:sz w:val="18"/>
          <w:szCs w:val="18"/>
          <w:rtl/>
        </w:rPr>
        <w:t xml:space="preserve"> (כגון גוי ונתגייר)</w:t>
      </w:r>
      <w:r>
        <w:rPr>
          <w:rtl/>
        </w:rPr>
        <w:t>.</w:t>
      </w:r>
    </w:p>
    <w:p w14:paraId="331CBB7D" w14:textId="33C44D47" w:rsidR="00FA2119" w:rsidRDefault="00FA2119" w:rsidP="00FA2119">
      <w:pPr>
        <w:rPr>
          <w:rtl/>
        </w:rPr>
      </w:pPr>
      <w:r>
        <w:rPr>
          <w:rFonts w:cs="Arial"/>
          <w:b/>
          <w:bCs/>
          <w:rtl/>
        </w:rPr>
        <w:t xml:space="preserve">גיטין </w:t>
      </w:r>
      <w:r>
        <w:rPr>
          <w:rFonts w:cs="Arial"/>
          <w:b/>
          <w:bCs/>
          <w:sz w:val="16"/>
          <w:szCs w:val="16"/>
          <w:rtl/>
        </w:rPr>
        <w:t>(ספ"ב)</w:t>
      </w:r>
      <w:r>
        <w:rPr>
          <w:rFonts w:cs="Arial"/>
          <w:b/>
          <w:bCs/>
          <w:rtl/>
        </w:rPr>
        <w:t xml:space="preserve"> כג ע"א:</w:t>
      </w:r>
      <w:r>
        <w:rPr>
          <w:rFonts w:cs="Arial"/>
          <w:rtl/>
        </w:rPr>
        <w:t xml:space="preserve"> </w:t>
      </w:r>
      <w:r>
        <w:rPr>
          <w:rFonts w:cs="Arial"/>
          <w:u w:val="double"/>
          <w:rtl/>
        </w:rPr>
        <w:t>מתני'</w:t>
      </w:r>
      <w:r>
        <w:rPr>
          <w:rFonts w:cs="Arial"/>
          <w:rtl/>
        </w:rPr>
        <w:t xml:space="preserve">: הכל כשרין להביא את הגט, חוץ מחרש, שוטה, וקטן, וסומא, ועובד כוכבים. קיבל הקטן והגדיל, חרש ונתפקח, סומא ונתפתח, שוטה ונשתפה, עובד כוכבים ונתגייר </w:t>
      </w:r>
      <w:r w:rsidR="00A82951">
        <w:rPr>
          <w:rFonts w:cs="Arial"/>
          <w:rtl/>
        </w:rPr>
        <w:t>-</w:t>
      </w:r>
      <w:r>
        <w:rPr>
          <w:rFonts w:cs="Arial"/>
          <w:rtl/>
        </w:rPr>
        <w:t xml:space="preserve"> פסול; אבל פקח ונתחרש וחזר ונתפקח, פתוח ונסתמא וחזר ונתפתח, שפוי ונשתטה וחזר ונשתפה </w:t>
      </w:r>
      <w:r w:rsidR="00A82951">
        <w:rPr>
          <w:rFonts w:cs="Arial"/>
          <w:rtl/>
        </w:rPr>
        <w:t>-</w:t>
      </w:r>
      <w:r>
        <w:rPr>
          <w:rFonts w:cs="Arial"/>
          <w:rtl/>
        </w:rPr>
        <w:t xml:space="preserve"> כשר. זה הכלל: כל שתחילתו וסופו בדעת </w:t>
      </w:r>
      <w:r w:rsidR="00A82951">
        <w:rPr>
          <w:rFonts w:cs="Arial"/>
          <w:rtl/>
        </w:rPr>
        <w:t>-</w:t>
      </w:r>
      <w:r>
        <w:rPr>
          <w:rFonts w:cs="Arial"/>
          <w:rtl/>
        </w:rPr>
        <w:t xml:space="preserve"> כשר. </w:t>
      </w:r>
    </w:p>
    <w:p w14:paraId="7051788F" w14:textId="77777777" w:rsidR="00FA2119" w:rsidRDefault="00FA2119" w:rsidP="00FA2119">
      <w:pPr>
        <w:rPr>
          <w:u w:val="single"/>
          <w:rtl/>
        </w:rPr>
      </w:pPr>
      <w:r>
        <w:rPr>
          <w:u w:val="single"/>
          <w:rtl/>
        </w:rPr>
        <w:t>שליח שתחילתו בפסלות וסופו בכשרות:</w:t>
      </w:r>
    </w:p>
    <w:p w14:paraId="008AF11A" w14:textId="20203002"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היה השליח קטן כשנתן לו והגדיל והביאו, או חרש ונתפקח, שוטה ונשתפה, עבד ונשתחרר, עכו"ם ונתגייר </w:t>
      </w:r>
      <w:r w:rsidR="00A82951">
        <w:rPr>
          <w:rFonts w:cs="Arial"/>
          <w:rtl/>
        </w:rPr>
        <w:t>-</w:t>
      </w:r>
      <w:r>
        <w:rPr>
          <w:rFonts w:cs="Arial"/>
          <w:rtl/>
        </w:rPr>
        <w:t xml:space="preserve"> פסול. אבל אם ניתן לו הגט כשהוא פקח ונתחרש וחזר ונתפקח, שפוי ונשתטה וחזר ונשתפה </w:t>
      </w:r>
      <w:r w:rsidR="00A82951">
        <w:rPr>
          <w:rFonts w:cs="Arial"/>
          <w:rtl/>
        </w:rPr>
        <w:t>-</w:t>
      </w:r>
      <w:r>
        <w:rPr>
          <w:rFonts w:cs="Arial"/>
          <w:rtl/>
        </w:rPr>
        <w:t xml:space="preserve"> כשר, כיון שתחילתו וסופו בכשרות. </w:t>
      </w:r>
      <w:r w:rsidR="00EC090B">
        <w:rPr>
          <w:rFonts w:cs="Arial"/>
          <w:color w:val="E36C0A" w:themeColor="accent6" w:themeShade="BF"/>
          <w:rtl/>
        </w:rPr>
        <w:t>(וכ"</w:t>
      </w:r>
      <w:r w:rsidR="00EC090B">
        <w:rPr>
          <w:rFonts w:cs="Arial" w:hint="cs"/>
          <w:color w:val="E36C0A" w:themeColor="accent6" w:themeShade="BF"/>
          <w:rtl/>
        </w:rPr>
        <w:t>פ</w:t>
      </w:r>
      <w:r w:rsidR="00EC090B">
        <w:rPr>
          <w:rFonts w:cs="Arial"/>
          <w:color w:val="E36C0A" w:themeColor="accent6" w:themeShade="BF"/>
          <w:rtl/>
        </w:rPr>
        <w:t xml:space="preserve"> בשו"ע)</w:t>
      </w:r>
    </w:p>
    <w:p w14:paraId="6D501C54"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355BB0F6" w14:textId="77777777" w:rsidR="00FA2119" w:rsidRDefault="00FA2119" w:rsidP="00FA2119">
      <w:pPr>
        <w:rPr>
          <w:rtl/>
        </w:rPr>
      </w:pPr>
      <w:r>
        <w:rPr>
          <w:rFonts w:cs="Arial"/>
          <w:rtl/>
        </w:rPr>
        <w:t xml:space="preserve">היה השליח קטן כשנתנו לו הגט, והגדיל והביאו, או חרש ונתפקח, שוטה ונשתפה, עבד ונשתחרר, עובד כוכבים ונתגייר, פסול. אבל אם נתן לו הגט כשהוא פקח, ונתחרש וחזר ונתפקח, שפוי ונשתטה וחזר ונשתפה, כשר, כיון שתחלתו וסופו בכשרות. </w:t>
      </w:r>
    </w:p>
    <w:p w14:paraId="19A0A8B5" w14:textId="77777777" w:rsidR="00FA2119" w:rsidRDefault="00FA2119" w:rsidP="00FA2119">
      <w:pPr>
        <w:rPr>
          <w:rtl/>
        </w:rPr>
      </w:pPr>
    </w:p>
    <w:p w14:paraId="4374EB57" w14:textId="77777777" w:rsidR="00FA2119" w:rsidRDefault="00FA2119" w:rsidP="00FA2119">
      <w:pPr>
        <w:pStyle w:val="2"/>
        <w:rPr>
          <w:rtl/>
        </w:rPr>
      </w:pPr>
      <w:r>
        <w:rPr>
          <w:rtl/>
        </w:rPr>
        <w:t>סעיף לג: שליח פסול בעבירה.</w:t>
      </w:r>
    </w:p>
    <w:p w14:paraId="77753C4C" w14:textId="0DDE838A" w:rsidR="00FA2119" w:rsidRDefault="00FA2119" w:rsidP="00FA2119">
      <w:pPr>
        <w:rPr>
          <w:u w:val="single"/>
          <w:rtl/>
        </w:rPr>
      </w:pPr>
      <w:r>
        <w:rPr>
          <w:u w:val="single"/>
          <w:rtl/>
        </w:rPr>
        <w:t>שליח פסול בעבירה:</w:t>
      </w:r>
    </w:p>
    <w:p w14:paraId="67972BB0" w14:textId="7B13FEB1" w:rsidR="00FA2119" w:rsidRDefault="00FA2119" w:rsidP="006A458D">
      <w:pPr>
        <w:pStyle w:val="ab"/>
        <w:numPr>
          <w:ilvl w:val="0"/>
          <w:numId w:val="102"/>
        </w:numPr>
        <w:rPr>
          <w:rtl/>
        </w:rPr>
      </w:pPr>
      <w:r>
        <w:rPr>
          <w:rFonts w:cs="Arial"/>
          <w:rtl/>
        </w:rPr>
        <w:lastRenderedPageBreak/>
        <w:t xml:space="preserve">רמב"ם </w:t>
      </w:r>
      <w:r>
        <w:rPr>
          <w:rFonts w:cs="Arial"/>
          <w:sz w:val="16"/>
          <w:szCs w:val="16"/>
          <w:rtl/>
        </w:rPr>
        <w:t>(פ"ו ה"ז)</w:t>
      </w:r>
      <w:r>
        <w:rPr>
          <w:rFonts w:cs="Arial"/>
          <w:rtl/>
        </w:rPr>
        <w:t xml:space="preserve"> רמ"ה</w:t>
      </w:r>
      <w:r>
        <w:rPr>
          <w:rFonts w:cs="Arial"/>
          <w:sz w:val="16"/>
          <w:szCs w:val="16"/>
          <w:rtl/>
        </w:rPr>
        <w:t xml:space="preserve"> (כ"כ הטור והב"י בשמו)</w:t>
      </w:r>
      <w:r>
        <w:rPr>
          <w:rFonts w:cs="Arial"/>
          <w:rtl/>
        </w:rPr>
        <w:t xml:space="preserve"> ורא"ש</w:t>
      </w:r>
      <w:r>
        <w:rPr>
          <w:rStyle w:val="a7"/>
          <w:rFonts w:cs="Arial"/>
          <w:rtl/>
        </w:rPr>
        <w:footnoteReference w:id="1978"/>
      </w:r>
      <w:r>
        <w:rPr>
          <w:rFonts w:cs="Arial"/>
          <w:rtl/>
        </w:rPr>
        <w:t xml:space="preserve"> </w:t>
      </w:r>
      <w:r>
        <w:rPr>
          <w:rFonts w:cs="Arial"/>
          <w:sz w:val="16"/>
          <w:szCs w:val="16"/>
          <w:rtl/>
        </w:rPr>
        <w:t>(פ"ב דגיטין סי' כו)</w:t>
      </w:r>
      <w:r w:rsidR="00A82951">
        <w:rPr>
          <w:rFonts w:cs="Arial"/>
          <w:rtl/>
        </w:rPr>
        <w:t>-</w:t>
      </w:r>
      <w:r>
        <w:rPr>
          <w:rFonts w:cs="Arial"/>
          <w:rtl/>
        </w:rPr>
        <w:t xml:space="preserve"> אבל הנשים והקרובים כשרים. ואפילו הפסולין מדברי סופרים בעבירה כשרין לשליחות גט </w:t>
      </w:r>
      <w:r>
        <w:rPr>
          <w:rFonts w:cs="Arial"/>
          <w:sz w:val="16"/>
          <w:szCs w:val="16"/>
          <w:rtl/>
        </w:rPr>
        <w:t>(ל' הרמב"ם)</w:t>
      </w:r>
      <w:r>
        <w:rPr>
          <w:rFonts w:cs="Arial"/>
          <w:rtl/>
        </w:rPr>
        <w:t xml:space="preserve">. </w:t>
      </w:r>
    </w:p>
    <w:p w14:paraId="2D73F759" w14:textId="77777777" w:rsidR="00FA2119" w:rsidRDefault="00FA2119" w:rsidP="00FA2119">
      <w:pPr>
        <w:ind w:left="360"/>
        <w:rPr>
          <w:u w:val="dotted"/>
        </w:rPr>
      </w:pPr>
      <w:r>
        <w:rPr>
          <w:u w:val="dotted"/>
          <w:rtl/>
        </w:rPr>
        <w:t>ומה הדין אם הם פסולים בעבירה מדאורייתא:</w:t>
      </w:r>
    </w:p>
    <w:p w14:paraId="54E4E733" w14:textId="560773E8" w:rsidR="00FA2119" w:rsidRDefault="00FA2119" w:rsidP="006A458D">
      <w:pPr>
        <w:pStyle w:val="ab"/>
        <w:numPr>
          <w:ilvl w:val="0"/>
          <w:numId w:val="102"/>
        </w:numPr>
      </w:pPr>
      <w:r>
        <w:rPr>
          <w:rFonts w:cs="Arial"/>
          <w:rtl/>
        </w:rPr>
        <w:t xml:space="preserve">רמב"ם </w:t>
      </w:r>
      <w:r>
        <w:rPr>
          <w:rFonts w:cs="Arial"/>
          <w:sz w:val="16"/>
          <w:szCs w:val="16"/>
          <w:rtl/>
        </w:rPr>
        <w:t>(פ"ו ה"ז)</w:t>
      </w:r>
      <w:r>
        <w:rPr>
          <w:rFonts w:cs="Arial"/>
          <w:rtl/>
        </w:rPr>
        <w:t xml:space="preserve"> ורמ"ה</w:t>
      </w:r>
      <w:r>
        <w:rPr>
          <w:rFonts w:cs="Arial"/>
          <w:sz w:val="16"/>
          <w:szCs w:val="16"/>
          <w:rtl/>
        </w:rPr>
        <w:t xml:space="preserve"> (כ"כ הטור והב"י בשמו)</w:t>
      </w:r>
      <w:r w:rsidR="00A82951">
        <w:rPr>
          <w:rFonts w:cs="Arial"/>
          <w:rtl/>
        </w:rPr>
        <w:t>-</w:t>
      </w:r>
      <w:r>
        <w:rPr>
          <w:rFonts w:cs="Arial"/>
          <w:rtl/>
        </w:rPr>
        <w:t xml:space="preserve"> אבל הפסולין בעבירה מדברי תורה </w:t>
      </w:r>
      <w:r w:rsidR="00A82951">
        <w:rPr>
          <w:rFonts w:cs="Arial"/>
          <w:rtl/>
        </w:rPr>
        <w:t>-</w:t>
      </w:r>
      <w:r>
        <w:rPr>
          <w:rFonts w:cs="Arial"/>
          <w:rtl/>
        </w:rPr>
        <w:t xml:space="preserve"> פסולין להבאת הגט, ואם הביאו </w:t>
      </w:r>
      <w:r w:rsidR="00A82951">
        <w:rPr>
          <w:rFonts w:cs="Arial"/>
          <w:rtl/>
        </w:rPr>
        <w:t>-</w:t>
      </w:r>
      <w:r>
        <w:rPr>
          <w:rFonts w:cs="Arial"/>
          <w:rtl/>
        </w:rPr>
        <w:t xml:space="preserve"> הרי זה פסול. בד"א, בשנתקיים הגט בחותמיו, אבל אם לא נסמוך בו אלא על דברי פסול בעבירה מן התורה </w:t>
      </w:r>
      <w:r w:rsidR="00A82951">
        <w:rPr>
          <w:rFonts w:cs="Arial"/>
          <w:rtl/>
        </w:rPr>
        <w:t>-</w:t>
      </w:r>
      <w:r>
        <w:rPr>
          <w:rFonts w:cs="Arial"/>
          <w:rtl/>
        </w:rPr>
        <w:t xml:space="preserve"> אינו גט</w:t>
      </w:r>
      <w:r>
        <w:rPr>
          <w:rStyle w:val="a7"/>
          <w:rFonts w:cs="Arial"/>
          <w:rtl/>
        </w:rPr>
        <w:footnoteReference w:id="1979"/>
      </w:r>
      <w:r>
        <w:rPr>
          <w:rFonts w:cs="Arial"/>
          <w:sz w:val="16"/>
          <w:szCs w:val="16"/>
          <w:rtl/>
        </w:rPr>
        <w:t xml:space="preserve"> (ל' הרמב"ם)</w:t>
      </w:r>
      <w:r>
        <w:rPr>
          <w:rFonts w:cs="Arial"/>
          <w:rtl/>
        </w:rPr>
        <w:t xml:space="preserve">. </w:t>
      </w:r>
    </w:p>
    <w:p w14:paraId="6C866F82" w14:textId="7D177301" w:rsidR="00FA2119" w:rsidRDefault="00FA2119" w:rsidP="006A458D">
      <w:pPr>
        <w:pStyle w:val="ab"/>
        <w:numPr>
          <w:ilvl w:val="0"/>
          <w:numId w:val="102"/>
        </w:numPr>
      </w:pPr>
      <w:r>
        <w:rPr>
          <w:rFonts w:cs="Arial"/>
          <w:rtl/>
        </w:rPr>
        <w:t xml:space="preserve">רא"ש </w:t>
      </w:r>
      <w:r>
        <w:rPr>
          <w:rFonts w:cs="Arial"/>
          <w:sz w:val="16"/>
          <w:szCs w:val="16"/>
          <w:rtl/>
        </w:rPr>
        <w:t>(פ"ב דגיטין סי' כו)</w:t>
      </w:r>
      <w:r w:rsidR="00A82951">
        <w:rPr>
          <w:rFonts w:cs="Arial"/>
          <w:rtl/>
        </w:rPr>
        <w:t>-</w:t>
      </w:r>
      <w:r>
        <w:rPr>
          <w:rFonts w:cs="Arial"/>
          <w:rtl/>
        </w:rPr>
        <w:t xml:space="preserve"> ואם היו פסולין מן התורה </w:t>
      </w:r>
      <w:r w:rsidR="00A82951">
        <w:rPr>
          <w:rFonts w:cs="Arial"/>
          <w:rtl/>
        </w:rPr>
        <w:t>-</w:t>
      </w:r>
      <w:r>
        <w:rPr>
          <w:rFonts w:cs="Arial"/>
          <w:rtl/>
        </w:rPr>
        <w:t xml:space="preserve"> פסולין להביא את הגט בחוצה לארץ... ואם היה מקוים אפי' לא עשו תשובה </w:t>
      </w:r>
      <w:r w:rsidR="00EC090B">
        <w:rPr>
          <w:rFonts w:cs="Arial" w:hint="cs"/>
          <w:rtl/>
        </w:rPr>
        <w:t xml:space="preserve">- </w:t>
      </w:r>
      <w:r>
        <w:rPr>
          <w:rFonts w:cs="Arial"/>
          <w:rtl/>
        </w:rPr>
        <w:t>כשר, דבני כריתה נינהו</w:t>
      </w:r>
      <w:r>
        <w:rPr>
          <w:rStyle w:val="a7"/>
          <w:rFonts w:cs="Arial"/>
          <w:rtl/>
        </w:rPr>
        <w:footnoteReference w:id="1980"/>
      </w:r>
      <w:r w:rsidR="00EC090B">
        <w:rPr>
          <w:rFonts w:cs="Arial" w:hint="cs"/>
          <w:rtl/>
        </w:rPr>
        <w:t>,</w:t>
      </w:r>
      <w:r>
        <w:rPr>
          <w:rFonts w:cs="Arial"/>
          <w:rtl/>
        </w:rPr>
        <w:t xml:space="preserve"> ולשיקרא ליכא למיחש, ודלא כמו שכתב הרמב"ם ז"ל (פ"ו מהלכות גירושין)... והראב"ד ז"ל השיג עליו בזה</w:t>
      </w:r>
      <w:r>
        <w:rPr>
          <w:rStyle w:val="a7"/>
          <w:rFonts w:cs="Arial"/>
          <w:rtl/>
        </w:rPr>
        <w:footnoteReference w:id="1981"/>
      </w:r>
      <w:r>
        <w:rPr>
          <w:rtl/>
        </w:rPr>
        <w:t xml:space="preserve">. </w:t>
      </w:r>
      <w:r>
        <w:rPr>
          <w:color w:val="E36C0A" w:themeColor="accent6" w:themeShade="BF"/>
          <w:rtl/>
        </w:rPr>
        <w:t>(וכ"ס בשו"ע)</w:t>
      </w:r>
    </w:p>
    <w:p w14:paraId="7C70C236" w14:textId="77777777" w:rsidR="00FA2119" w:rsidRDefault="00FA2119" w:rsidP="00FA2119">
      <w:pPr>
        <w:rPr>
          <w:sz w:val="16"/>
          <w:szCs w:val="16"/>
          <w:u w:val="single"/>
        </w:rPr>
      </w:pPr>
      <w:r>
        <w:rPr>
          <w:rFonts w:cs="Arial"/>
          <w:u w:val="single"/>
          <w:rtl/>
        </w:rPr>
        <w:t>האם משומד יכול להביא גט:</w:t>
      </w:r>
      <w:r>
        <w:rPr>
          <w:rtl/>
        </w:rPr>
        <w:t xml:space="preserve"> </w:t>
      </w:r>
      <w:r>
        <w:rPr>
          <w:sz w:val="16"/>
          <w:szCs w:val="16"/>
          <w:rtl/>
        </w:rPr>
        <w:t>(דרכ"מ אות כח)</w:t>
      </w:r>
    </w:p>
    <w:p w14:paraId="0CD798B7" w14:textId="67448374" w:rsidR="00FA2119" w:rsidRDefault="00FA2119" w:rsidP="006A458D">
      <w:pPr>
        <w:pStyle w:val="ab"/>
        <w:numPr>
          <w:ilvl w:val="0"/>
          <w:numId w:val="102"/>
        </w:numPr>
      </w:pPr>
      <w:r>
        <w:rPr>
          <w:rFonts w:cs="Arial"/>
          <w:rtl/>
        </w:rPr>
        <w:t xml:space="preserve">שלט"ג </w:t>
      </w:r>
      <w:r>
        <w:rPr>
          <w:rFonts w:cs="Arial"/>
          <w:sz w:val="16"/>
          <w:szCs w:val="16"/>
          <w:rtl/>
        </w:rPr>
        <w:t>(פ"ב דגיטין יב. סוף אות א)</w:t>
      </w:r>
      <w:r w:rsidR="00A82951">
        <w:rPr>
          <w:rFonts w:cs="Arial"/>
          <w:rtl/>
        </w:rPr>
        <w:t>-</w:t>
      </w:r>
      <w:r>
        <w:rPr>
          <w:rFonts w:cs="Arial"/>
          <w:rtl/>
        </w:rPr>
        <w:t xml:space="preserve"> משומד יכול להביא גט שהרי יכול לגרש אשתו, ולא דמי לנכרי שאינו בתורת גיטין וקידושין</w:t>
      </w:r>
      <w:r>
        <w:rPr>
          <w:rStyle w:val="a7"/>
          <w:rFonts w:cs="Arial"/>
          <w:rtl/>
        </w:rPr>
        <w:footnoteReference w:id="1982"/>
      </w:r>
      <w:r>
        <w:rPr>
          <w:rFonts w:cs="Arial"/>
          <w:rtl/>
        </w:rPr>
        <w:t xml:space="preserve">. </w:t>
      </w:r>
    </w:p>
    <w:p w14:paraId="460A6B23" w14:textId="1E0704B9" w:rsidR="00FA2119" w:rsidRDefault="00FA2119" w:rsidP="00FA2119">
      <w:r>
        <w:rPr>
          <w:rFonts w:cs="Arial"/>
          <w:u w:val="single"/>
          <w:rtl/>
        </w:rPr>
        <w:t xml:space="preserve">שליח </w:t>
      </w:r>
      <w:r w:rsidR="00A82951">
        <w:rPr>
          <w:rFonts w:cs="Arial"/>
          <w:u w:val="single"/>
          <w:rtl/>
        </w:rPr>
        <w:t>-</w:t>
      </w:r>
      <w:r>
        <w:rPr>
          <w:rFonts w:cs="Arial"/>
          <w:u w:val="single"/>
          <w:rtl/>
        </w:rPr>
        <w:t xml:space="preserve"> מהו שיהיה קרוב לאיש/אשה/דיינים:</w:t>
      </w:r>
      <w:r>
        <w:rPr>
          <w:rtl/>
        </w:rPr>
        <w:t xml:space="preserve"> </w:t>
      </w:r>
      <w:r>
        <w:rPr>
          <w:sz w:val="16"/>
          <w:szCs w:val="16"/>
          <w:rtl/>
        </w:rPr>
        <w:t>(דרכ"מ אות כח)</w:t>
      </w:r>
    </w:p>
    <w:p w14:paraId="18BD0292" w14:textId="3305B50C" w:rsidR="00FA2119" w:rsidRDefault="00FA2119" w:rsidP="006A458D">
      <w:pPr>
        <w:pStyle w:val="ab"/>
        <w:numPr>
          <w:ilvl w:val="0"/>
          <w:numId w:val="102"/>
        </w:numPr>
      </w:pPr>
      <w:r>
        <w:rPr>
          <w:rFonts w:cs="Arial"/>
          <w:rtl/>
        </w:rPr>
        <w:t xml:space="preserve">סדר גיטין </w:t>
      </w:r>
      <w:r>
        <w:rPr>
          <w:rFonts w:cs="Arial"/>
          <w:sz w:val="16"/>
          <w:szCs w:val="16"/>
          <w:rtl/>
        </w:rPr>
        <w:t>(סי' עג ס"ד)</w:t>
      </w:r>
      <w:r w:rsidR="00A82951">
        <w:rPr>
          <w:rFonts w:cs="Arial"/>
          <w:rtl/>
        </w:rPr>
        <w:t>-</w:t>
      </w:r>
      <w:r>
        <w:rPr>
          <w:rFonts w:cs="Arial"/>
          <w:rtl/>
        </w:rPr>
        <w:t xml:space="preserve"> דבר זה חידשו האחרונים דבמקום שאפשר לכתחלה לא יהא השליח קרוב לא לאשה ולא לאיש,</w:t>
      </w:r>
      <w:r>
        <w:rPr>
          <w:rFonts w:cs="Arial"/>
          <w:sz w:val="16"/>
          <w:szCs w:val="16"/>
          <w:rtl/>
        </w:rPr>
        <w:t xml:space="preserve"> {ובסי' פו ס"ה כתב</w:t>
      </w:r>
      <w:r w:rsidR="00A82951">
        <w:rPr>
          <w:rFonts w:cs="Arial"/>
          <w:sz w:val="16"/>
          <w:szCs w:val="16"/>
          <w:rtl/>
        </w:rPr>
        <w:t>-</w:t>
      </w:r>
      <w:r>
        <w:rPr>
          <w:rFonts w:cs="Arial"/>
          <w:sz w:val="16"/>
          <w:szCs w:val="16"/>
          <w:rtl/>
        </w:rPr>
        <w:t>}</w:t>
      </w:r>
      <w:r>
        <w:rPr>
          <w:rFonts w:cs="Arial"/>
          <w:rtl/>
        </w:rPr>
        <w:t xml:space="preserve"> ויש ליזהר שלא יהא קרוב לדיינים שניתן הגט לפניהם</w:t>
      </w:r>
      <w:r>
        <w:rPr>
          <w:rStyle w:val="a7"/>
          <w:rFonts w:cs="Arial"/>
          <w:rtl/>
        </w:rPr>
        <w:footnoteReference w:id="1983"/>
      </w:r>
      <w:r>
        <w:rPr>
          <w:rFonts w:cs="Arial"/>
          <w:rtl/>
        </w:rPr>
        <w:t xml:space="preserve">. </w:t>
      </w:r>
      <w:r>
        <w:rPr>
          <w:rFonts w:cs="Arial"/>
          <w:color w:val="00B0F0"/>
          <w:rtl/>
        </w:rPr>
        <w:t>(וכ"כ הרמ"א)</w:t>
      </w:r>
    </w:p>
    <w:p w14:paraId="26186140"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0578F4C" w14:textId="6F1C9B93" w:rsidR="00FA2119" w:rsidRDefault="00FA2119" w:rsidP="00FA2119">
      <w:pPr>
        <w:rPr>
          <w:rtl/>
        </w:rPr>
      </w:pPr>
      <w:r>
        <w:rPr>
          <w:rFonts w:cs="Arial"/>
          <w:rtl/>
        </w:rPr>
        <w:t xml:space="preserve">הנשים והקרובים, כשרים לשליחות הגט. </w:t>
      </w:r>
      <w:r>
        <w:rPr>
          <w:rFonts w:cs="Arial"/>
          <w:sz w:val="18"/>
          <w:szCs w:val="18"/>
          <w:rtl/>
        </w:rPr>
        <w:t xml:space="preserve">הגה: ויש מי שכתב דבמקום שאפשר, לכתחלה לא יהא השליח קרוב לאיש ולא לאשה ולא לדיינים שנותנים הגט לפניהם (סדר גיטין). </w:t>
      </w:r>
      <w:r>
        <w:rPr>
          <w:rFonts w:cs="Arial"/>
          <w:rtl/>
        </w:rPr>
        <w:t>ואפילו הפסולים מדברי סופרים בעבירה כשרים לשליחות הגט. אבל הפסולים בעבירה מדברי תורה, פסולים להבאת הגט אלא אם כן נתקיים</w:t>
      </w:r>
      <w:r>
        <w:rPr>
          <w:rStyle w:val="a7"/>
          <w:rFonts w:cs="Arial"/>
          <w:rtl/>
        </w:rPr>
        <w:footnoteReference w:id="1984"/>
      </w:r>
      <w:r>
        <w:rPr>
          <w:rFonts w:cs="Arial"/>
          <w:rtl/>
        </w:rPr>
        <w:t xml:space="preserve"> הגט בחותמיו</w:t>
      </w:r>
      <w:r>
        <w:rPr>
          <w:rStyle w:val="a7"/>
          <w:rFonts w:cs="Arial"/>
          <w:rtl/>
        </w:rPr>
        <w:footnoteReference w:id="1985"/>
      </w:r>
      <w:r>
        <w:rPr>
          <w:rFonts w:cs="Arial"/>
          <w:rtl/>
        </w:rPr>
        <w:t>. ויש פוסלים</w:t>
      </w:r>
      <w:r>
        <w:rPr>
          <w:rStyle w:val="a7"/>
          <w:rFonts w:cs="Arial"/>
          <w:rtl/>
        </w:rPr>
        <w:footnoteReference w:id="1986"/>
      </w:r>
      <w:r>
        <w:rPr>
          <w:rFonts w:cs="Arial"/>
          <w:rtl/>
        </w:rPr>
        <w:t xml:space="preserve"> אף בנתקיים בחותמיו. </w:t>
      </w:r>
      <w:r>
        <w:rPr>
          <w:rFonts w:cs="Arial"/>
          <w:sz w:val="18"/>
          <w:szCs w:val="18"/>
          <w:rtl/>
        </w:rPr>
        <w:t xml:space="preserve">[הגה] ודין מומר, כדין פסולי עדות מדאורייתא (הבנתו בשלט"ג). </w:t>
      </w:r>
    </w:p>
    <w:p w14:paraId="0A210F2F" w14:textId="77777777" w:rsidR="00FA2119" w:rsidRDefault="00FA2119" w:rsidP="00FA2119">
      <w:pPr>
        <w:rPr>
          <w:rFonts w:cs="Arial"/>
          <w:rtl/>
        </w:rPr>
      </w:pPr>
      <w:r>
        <w:rPr>
          <w:rFonts w:cs="Arial"/>
          <w:u w:val="single"/>
          <w:rtl/>
        </w:rPr>
        <w:lastRenderedPageBreak/>
        <w:t>האם נוגע יכול להעיד 'בפני נכתב ובפני נחתם':</w:t>
      </w:r>
      <w:r>
        <w:rPr>
          <w:rFonts w:cs="Arial"/>
          <w:rtl/>
        </w:rPr>
        <w:t xml:space="preserve"> </w:t>
      </w:r>
      <w:r>
        <w:rPr>
          <w:rFonts w:cs="Arial"/>
          <w:sz w:val="16"/>
          <w:szCs w:val="16"/>
          <w:rtl/>
        </w:rPr>
        <w:t>(פת"ש סקכ"ט)</w:t>
      </w:r>
      <w:r>
        <w:rPr>
          <w:rFonts w:cs="Arial"/>
          <w:rtl/>
        </w:rPr>
        <w:t xml:space="preserve"> </w:t>
      </w:r>
    </w:p>
    <w:p w14:paraId="315036DF" w14:textId="6ADF74A4" w:rsidR="00FA2119" w:rsidRDefault="00FA2119" w:rsidP="006A458D">
      <w:pPr>
        <w:pStyle w:val="ab"/>
        <w:numPr>
          <w:ilvl w:val="0"/>
          <w:numId w:val="106"/>
        </w:numPr>
        <w:rPr>
          <w:rtl/>
        </w:rPr>
      </w:pPr>
      <w:bookmarkStart w:id="22" w:name="_Hlk138093834"/>
      <w:r>
        <w:rPr>
          <w:rFonts w:cs="Arial"/>
          <w:rtl/>
        </w:rPr>
        <w:t xml:space="preserve">נו"ב </w:t>
      </w:r>
      <w:r>
        <w:rPr>
          <w:rFonts w:cs="Arial"/>
          <w:sz w:val="16"/>
          <w:szCs w:val="16"/>
          <w:rtl/>
        </w:rPr>
        <w:t>(תניינא סי' קכח)</w:t>
      </w:r>
      <w:r w:rsidR="00A82951">
        <w:rPr>
          <w:rFonts w:cs="Arial"/>
          <w:rtl/>
        </w:rPr>
        <w:t>-</w:t>
      </w:r>
      <w:r>
        <w:rPr>
          <w:rFonts w:cs="Arial"/>
          <w:rtl/>
        </w:rPr>
        <w:t xml:space="preserve"> נוגע כשר להעיד בפ"נ ובפנ"ח, ואף להעיד לאשה שמת בעלה הארכתי בחיבורי נו"ב (סי' כז) להכשיר הנוגע, רק שסיימתי שם שאף שאנו דנין לא נעביד עובדא כיון שמהריב"ל (סי' יח) ומ"ב (סי' צח) מחמירין. ואח"כ בסי' ק"ט הוספתי ראיות להתיר (הובא אצלינו בסי' יז ס"ג סקי"ט). וכ"ז להעיד לאשה שמת בעלה, שזו מה"ת צריכה עדות גמור וחכמים הוא שהקילו בה</w:t>
      </w:r>
      <w:bookmarkEnd w:id="22"/>
      <w:r>
        <w:rPr>
          <w:rFonts w:cs="Arial"/>
          <w:rtl/>
        </w:rPr>
        <w:t xml:space="preserve">, אבל להביא גט לאשה ולומר בפ"נ ובפנ"ח אשר מדאורייתא א"צ עדות כלל כי עדים החתומים על השטר כו' </w:t>
      </w:r>
      <w:r w:rsidR="00A82951">
        <w:rPr>
          <w:rFonts w:cs="Arial"/>
          <w:rtl/>
        </w:rPr>
        <w:t>-</w:t>
      </w:r>
      <w:r>
        <w:rPr>
          <w:rFonts w:cs="Arial"/>
          <w:rtl/>
        </w:rPr>
        <w:t xml:space="preserve"> בזו ודאי נוגע כשר, ודלא ככנה"ג בסי' קמ"א בהגהת הטור אות כ"ז. ואל תשיבני מתוס' גיטין (טו.) בשם הירוש', דשם בדברי עדותו הוא נוגע, אבל נגיעה חוץ לאמירת עדותו אינו מזיק. ובספר פ"י (שם) חילק באופן אחר וגם מדבריו מבואר דלא שייך למפסל משום נוגע. ומ"מ במקום שאפשר בקל לקיים הרשאה יש לקיים, אבל אם אינו בנקל לקיים אין לפסול זה השליח הנוגע כי הוא נגד האמת</w:t>
      </w:r>
      <w:r>
        <w:rPr>
          <w:rStyle w:val="a7"/>
          <w:rFonts w:cs="Arial"/>
          <w:rtl/>
        </w:rPr>
        <w:footnoteReference w:id="1987"/>
      </w:r>
      <w:r>
        <w:rPr>
          <w:rFonts w:cs="Arial"/>
          <w:rtl/>
        </w:rPr>
        <w:t>.</w:t>
      </w:r>
    </w:p>
    <w:p w14:paraId="6D55D6B6" w14:textId="77777777" w:rsidR="00FA2119" w:rsidRDefault="00FA2119" w:rsidP="00FA2119">
      <w:pPr>
        <w:rPr>
          <w:rtl/>
        </w:rPr>
      </w:pPr>
    </w:p>
    <w:p w14:paraId="111AEBD2" w14:textId="77777777" w:rsidR="00FA2119" w:rsidRDefault="00FA2119" w:rsidP="00FA2119">
      <w:pPr>
        <w:pStyle w:val="2"/>
        <w:rPr>
          <w:rtl/>
        </w:rPr>
      </w:pPr>
      <w:r>
        <w:rPr>
          <w:rtl/>
        </w:rPr>
        <w:t>סעיף לד: היה פסול כשנתמנה לשליח וחזר בתשובה לפני נתינת הגט.</w:t>
      </w:r>
    </w:p>
    <w:p w14:paraId="50D599C0" w14:textId="77777777" w:rsidR="00FA2119" w:rsidRDefault="00FA2119" w:rsidP="00FA2119">
      <w:pPr>
        <w:rPr>
          <w:u w:val="single"/>
          <w:rtl/>
        </w:rPr>
      </w:pPr>
      <w:r>
        <w:rPr>
          <w:u w:val="single"/>
          <w:rtl/>
        </w:rPr>
        <w:t>היה פסול מדאורייתא כשנתמנה לשליח וחזר בתשובה לפני נתינת הגט</w:t>
      </w:r>
      <w:r>
        <w:rPr>
          <w:sz w:val="16"/>
          <w:szCs w:val="16"/>
          <w:u w:val="single"/>
          <w:rtl/>
        </w:rPr>
        <w:t xml:space="preserve"> (שאיננו מקוים)</w:t>
      </w:r>
      <w:r>
        <w:rPr>
          <w:u w:val="single"/>
          <w:rtl/>
        </w:rPr>
        <w:t>:</w:t>
      </w:r>
    </w:p>
    <w:p w14:paraId="2D783903" w14:textId="16EC2065" w:rsidR="00FA2119" w:rsidRDefault="00FA2119" w:rsidP="006A458D">
      <w:pPr>
        <w:pStyle w:val="ab"/>
        <w:numPr>
          <w:ilvl w:val="0"/>
          <w:numId w:val="102"/>
        </w:numPr>
        <w:rPr>
          <w:rtl/>
        </w:rPr>
      </w:pPr>
      <w:r>
        <w:rPr>
          <w:rFonts w:cs="Arial"/>
          <w:rtl/>
        </w:rPr>
        <w:t xml:space="preserve">רא"ש </w:t>
      </w:r>
      <w:r>
        <w:rPr>
          <w:rFonts w:cs="Arial"/>
          <w:sz w:val="16"/>
          <w:szCs w:val="16"/>
          <w:rtl/>
        </w:rPr>
        <w:t>(פ"ב דגיטין סי' כו)</w:t>
      </w:r>
      <w:r>
        <w:rPr>
          <w:rFonts w:cs="Arial"/>
          <w:rtl/>
        </w:rPr>
        <w:t xml:space="preserve"> וטור</w:t>
      </w:r>
      <w:r w:rsidR="00A82951">
        <w:rPr>
          <w:rFonts w:cs="Arial"/>
          <w:rtl/>
        </w:rPr>
        <w:t>-</w:t>
      </w:r>
      <w:r>
        <w:rPr>
          <w:rFonts w:cs="Arial"/>
          <w:rtl/>
        </w:rPr>
        <w:t xml:space="preserve"> אם היו פסולין כשנתמנו שלוחים וחזרו בתשובה קודם שמסרו לאשה כתב הרמ"ה ז"ל דכשרין, וכן מסתבר דבני כריתה נינהו ואין פסולין אלא משום דחשדינן להו דמחמת רשעתן קא מסהדי שיקרא, וכיון דעשו תשובה מהימני ולא בעינן תחילתו וסופו בכשרות מידי דהוה אפתוח ונסתמא</w:t>
      </w:r>
      <w:r>
        <w:rPr>
          <w:rFonts w:cs="Arial"/>
          <w:sz w:val="16"/>
          <w:szCs w:val="16"/>
          <w:rtl/>
        </w:rPr>
        <w:t xml:space="preserve"> (ל' הרא"ש)</w:t>
      </w:r>
      <w:r>
        <w:rPr>
          <w:rFonts w:cs="Arial"/>
          <w:rtl/>
        </w:rPr>
        <w:t xml:space="preserve">. </w:t>
      </w:r>
      <w:r>
        <w:rPr>
          <w:color w:val="E36C0A" w:themeColor="accent6" w:themeShade="BF"/>
          <w:rtl/>
        </w:rPr>
        <w:t>(וכ"פ בשו"ע)</w:t>
      </w:r>
    </w:p>
    <w:p w14:paraId="782FEEE5"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61ECB9FB" w14:textId="77777777" w:rsidR="00FA2119" w:rsidRDefault="00FA2119" w:rsidP="00FA2119">
      <w:pPr>
        <w:rPr>
          <w:rtl/>
        </w:rPr>
      </w:pPr>
      <w:r>
        <w:rPr>
          <w:rFonts w:cs="Arial"/>
          <w:rtl/>
        </w:rPr>
        <w:t>היו פסולים כשנתמנו שלוחים, וחזרו בתשובה קודם שנתנוהו לאשה, כשרים</w:t>
      </w:r>
      <w:r>
        <w:rPr>
          <w:rStyle w:val="a7"/>
          <w:rFonts w:cs="Arial"/>
          <w:rtl/>
        </w:rPr>
        <w:footnoteReference w:id="1988"/>
      </w:r>
      <w:r>
        <w:rPr>
          <w:rFonts w:cs="Arial"/>
          <w:rtl/>
        </w:rPr>
        <w:t xml:space="preserve">. </w:t>
      </w:r>
    </w:p>
    <w:p w14:paraId="51A7B683" w14:textId="77777777" w:rsidR="00FA2119" w:rsidRDefault="00FA2119" w:rsidP="00FA2119">
      <w:pPr>
        <w:rPr>
          <w:rtl/>
        </w:rPr>
      </w:pPr>
    </w:p>
    <w:p w14:paraId="2A11A1BF" w14:textId="77777777" w:rsidR="00FA2119" w:rsidRDefault="00FA2119" w:rsidP="00FA2119">
      <w:pPr>
        <w:pStyle w:val="2"/>
        <w:rPr>
          <w:rtl/>
        </w:rPr>
      </w:pPr>
      <w:r>
        <w:rPr>
          <w:rtl/>
        </w:rPr>
        <w:t>סעיף לה: שליחת גט ע"י גוי שיתננו לשליח ישראל שיתננו לאשה.</w:t>
      </w:r>
    </w:p>
    <w:p w14:paraId="0176F448" w14:textId="77777777" w:rsidR="00FA2119" w:rsidRDefault="00FA2119" w:rsidP="00FA2119">
      <w:pPr>
        <w:rPr>
          <w:u w:val="single"/>
          <w:rtl/>
        </w:rPr>
      </w:pPr>
      <w:r>
        <w:rPr>
          <w:u w:val="single"/>
          <w:rtl/>
        </w:rPr>
        <w:t>שליחת גט ע"י גוי שיתננו לשליח ישראל, שיתננו לאשה:</w:t>
      </w:r>
    </w:p>
    <w:p w14:paraId="4B86241B" w14:textId="35891214" w:rsidR="00FA2119" w:rsidRDefault="00FA2119" w:rsidP="006A458D">
      <w:pPr>
        <w:pStyle w:val="ab"/>
        <w:numPr>
          <w:ilvl w:val="0"/>
          <w:numId w:val="102"/>
        </w:numPr>
        <w:rPr>
          <w:rtl/>
        </w:rPr>
      </w:pPr>
      <w:r>
        <w:rPr>
          <w:rFonts w:cs="Arial"/>
          <w:rtl/>
        </w:rPr>
        <w:t xml:space="preserve">בה"ג </w:t>
      </w:r>
      <w:r>
        <w:rPr>
          <w:rFonts w:cs="Arial"/>
          <w:sz w:val="16"/>
          <w:szCs w:val="16"/>
          <w:rtl/>
        </w:rPr>
        <w:t>(הל' גיטין עח ע"ג, כ"כ בשמו הה"מ [פ"ו ה"ו] רשב"א [גיטין כג. ד"ה מתני'] ור"ן [גיטין יא: ד"ה הכל])</w:t>
      </w:r>
      <w:r w:rsidR="00A82951">
        <w:rPr>
          <w:rFonts w:cs="Arial"/>
          <w:rtl/>
        </w:rPr>
        <w:t>-</w:t>
      </w:r>
      <w:r>
        <w:rPr>
          <w:rFonts w:cs="Arial"/>
          <w:rtl/>
        </w:rPr>
        <w:t xml:space="preserve"> בעו רבנן קמי מר רב חנינאי גאון בבלה רבתי דנכרי לא הוי שליח לקבל את הגט ולהוליך את הגט, מהו למיכרכיה לגיטא בחד מנא מימר לגוי אמטי האי מנא לישראל פלניא וניתביה לאיתתיה</w:t>
      </w:r>
      <w:r w:rsidR="003E410B">
        <w:rPr>
          <w:rFonts w:cs="Arial" w:hint="cs"/>
          <w:rtl/>
        </w:rPr>
        <w:t>.</w:t>
      </w:r>
      <w:r>
        <w:rPr>
          <w:rFonts w:cs="Arial"/>
          <w:rtl/>
        </w:rPr>
        <w:t xml:space="preserve"> ואמרו ליה רבנן לא, ונתן בידה או ביד שלוחה ישראל, אבל גוי כלל לא</w:t>
      </w:r>
      <w:r w:rsidR="003E410B">
        <w:rPr>
          <w:rFonts w:cs="Arial" w:hint="cs"/>
          <w:rtl/>
        </w:rPr>
        <w:t>.</w:t>
      </w:r>
      <w:r>
        <w:rPr>
          <w:rFonts w:cs="Arial"/>
          <w:rtl/>
        </w:rPr>
        <w:t xml:space="preserve"> בענן דכי נפיק גיטא מידא דבעל לידא דאיתתא או לידא דשליח לקבלה דשויתיה איתתא </w:t>
      </w:r>
      <w:r>
        <w:rPr>
          <w:rFonts w:cs="Arial"/>
          <w:rtl/>
        </w:rPr>
        <w:lastRenderedPageBreak/>
        <w:t>גופה דקאי במקום איתתא גופה, אבל ביד גוי לא</w:t>
      </w:r>
      <w:r w:rsidR="003E410B">
        <w:rPr>
          <w:rFonts w:cs="Arial" w:hint="cs"/>
          <w:rtl/>
        </w:rPr>
        <w:t>.</w:t>
      </w:r>
      <w:r>
        <w:rPr>
          <w:rFonts w:cs="Arial"/>
          <w:rtl/>
        </w:rPr>
        <w:t xml:space="preserve"> פסק ורבנן דהשתא קאמרין אע</w:t>
      </w:r>
      <w:r w:rsidR="003E410B">
        <w:rPr>
          <w:rFonts w:cs="Arial" w:hint="cs"/>
          <w:rtl/>
        </w:rPr>
        <w:t>"</w:t>
      </w:r>
      <w:r>
        <w:rPr>
          <w:rFonts w:cs="Arial"/>
          <w:rtl/>
        </w:rPr>
        <w:t>ג דאתייה גוי לגיטא או יהביה לישראל</w:t>
      </w:r>
      <w:r w:rsidR="003E410B">
        <w:rPr>
          <w:rFonts w:cs="Arial" w:hint="cs"/>
          <w:rtl/>
        </w:rPr>
        <w:t>,</w:t>
      </w:r>
      <w:r>
        <w:rPr>
          <w:rFonts w:cs="Arial"/>
          <w:rtl/>
        </w:rPr>
        <w:t xml:space="preserve"> וההוא ישראל יהביה בעידי מסירה לאיתתא</w:t>
      </w:r>
      <w:r w:rsidR="003E410B">
        <w:rPr>
          <w:rFonts w:cs="Arial" w:hint="cs"/>
          <w:rtl/>
        </w:rPr>
        <w:t xml:space="preserve"> -</w:t>
      </w:r>
      <w:r>
        <w:rPr>
          <w:rFonts w:cs="Arial"/>
          <w:rtl/>
        </w:rPr>
        <w:t xml:space="preserve"> לכתחילה לא מנסבינן לה</w:t>
      </w:r>
      <w:r w:rsidR="003E410B">
        <w:rPr>
          <w:rFonts w:cs="Arial" w:hint="cs"/>
          <w:rtl/>
        </w:rPr>
        <w:t>,</w:t>
      </w:r>
      <w:r>
        <w:rPr>
          <w:rFonts w:cs="Arial"/>
          <w:rtl/>
        </w:rPr>
        <w:t xml:space="preserve"> משום דנכרי לאו בר ברית הוא</w:t>
      </w:r>
      <w:r w:rsidR="003E410B">
        <w:rPr>
          <w:rFonts w:cs="Arial" w:hint="cs"/>
          <w:rtl/>
        </w:rPr>
        <w:t>.</w:t>
      </w:r>
      <w:r>
        <w:rPr>
          <w:rFonts w:cs="Arial"/>
          <w:rtl/>
        </w:rPr>
        <w:t xml:space="preserve"> ואי אינסיבא </w:t>
      </w:r>
      <w:r w:rsidR="003E410B">
        <w:rPr>
          <w:rFonts w:cs="Arial" w:hint="cs"/>
          <w:rtl/>
        </w:rPr>
        <w:t xml:space="preserve">- </w:t>
      </w:r>
      <w:r>
        <w:rPr>
          <w:rFonts w:cs="Arial"/>
          <w:rtl/>
        </w:rPr>
        <w:t>לא מפקינן לה משום</w:t>
      </w:r>
      <w:r>
        <w:rPr>
          <w:rtl/>
        </w:rPr>
        <w:t xml:space="preserve"> </w:t>
      </w:r>
      <w:r>
        <w:rPr>
          <w:rFonts w:cs="Arial"/>
          <w:rtl/>
        </w:rPr>
        <w:t>דרבי שמעון, דתנן (שם י:) רבי שמעון אומר כולן כשרין, ואמר רבי זירא ירד רבי שמעון לשיטתו של ר' אלעזר דאמר עידי מסירה כרתי, וקיי</w:t>
      </w:r>
      <w:r w:rsidR="003E410B">
        <w:rPr>
          <w:rFonts w:cs="Arial" w:hint="cs"/>
          <w:rtl/>
        </w:rPr>
        <w:t>"</w:t>
      </w:r>
      <w:r>
        <w:rPr>
          <w:rFonts w:cs="Arial"/>
          <w:rtl/>
        </w:rPr>
        <w:t>ל הלכה כרבי אלעזר</w:t>
      </w:r>
      <w:r>
        <w:rPr>
          <w:rStyle w:val="a7"/>
          <w:rFonts w:cs="Arial"/>
          <w:rtl/>
        </w:rPr>
        <w:footnoteReference w:id="1989"/>
      </w:r>
      <w:r>
        <w:rPr>
          <w:rFonts w:cs="Arial"/>
          <w:rtl/>
        </w:rPr>
        <w:t>.</w:t>
      </w:r>
      <w:r>
        <w:rPr>
          <w:rtl/>
        </w:rPr>
        <w:t xml:space="preserve"> </w:t>
      </w:r>
      <w:r>
        <w:rPr>
          <w:color w:val="00B0F0"/>
          <w:rtl/>
        </w:rPr>
        <w:t>(וכ"כ הרמ"א)</w:t>
      </w:r>
    </w:p>
    <w:p w14:paraId="7423F141" w14:textId="1B47F901" w:rsidR="00FA2119" w:rsidRDefault="00FA2119" w:rsidP="006A458D">
      <w:pPr>
        <w:pStyle w:val="ab"/>
        <w:numPr>
          <w:ilvl w:val="0"/>
          <w:numId w:val="102"/>
        </w:numPr>
        <w:rPr>
          <w:rtl/>
        </w:rPr>
      </w:pPr>
      <w:r>
        <w:rPr>
          <w:rFonts w:cs="Arial"/>
          <w:rtl/>
        </w:rPr>
        <w:t xml:space="preserve">רא"ש </w:t>
      </w:r>
      <w:r>
        <w:rPr>
          <w:rFonts w:cs="Arial"/>
          <w:sz w:val="16"/>
          <w:szCs w:val="16"/>
          <w:rtl/>
        </w:rPr>
        <w:t>(פ"ב סי' כז)</w:t>
      </w:r>
      <w:r w:rsidR="00A82951">
        <w:rPr>
          <w:rFonts w:cs="Arial"/>
          <w:rtl/>
        </w:rPr>
        <w:t>-</w:t>
      </w:r>
      <w:r>
        <w:rPr>
          <w:rFonts w:cs="Arial"/>
          <w:rtl/>
        </w:rPr>
        <w:t xml:space="preserve"> ודאי אם עשה הבעל את העכו"ם שליח וא"ל שימנה הוא ישראל במקומו </w:t>
      </w:r>
      <w:r w:rsidR="00A82951">
        <w:rPr>
          <w:rFonts w:cs="Arial"/>
          <w:rtl/>
        </w:rPr>
        <w:t>-</w:t>
      </w:r>
      <w:r>
        <w:rPr>
          <w:rFonts w:cs="Arial"/>
          <w:rtl/>
        </w:rPr>
        <w:t xml:space="preserve"> הוי פסול, דאין שליחות לעכו"ם וגם לא הוי בר כריתות. אלא כיון שלא עשה העכו"ם אלא מעשה קוף בעלמא ומינה הבעל בכתב שליח לישראל שבאותו מקום למה יפסל הגט?. וכן נוהגין באשכנז ובצרפת ע"פ ר"ת לשלוח גט קידושין ע"י עכו"ם וממנה בכתבו ישראל שבאותו מקום שליח</w:t>
      </w:r>
      <w:r>
        <w:rPr>
          <w:rStyle w:val="a7"/>
          <w:rFonts w:cs="Arial"/>
          <w:rtl/>
        </w:rPr>
        <w:footnoteReference w:id="1990"/>
      </w:r>
      <w:r>
        <w:rPr>
          <w:rFonts w:cs="Arial"/>
          <w:sz w:val="16"/>
          <w:szCs w:val="16"/>
          <w:rtl/>
        </w:rPr>
        <w:t xml:space="preserve"> (ל' הטור בשמו)</w:t>
      </w:r>
      <w:r>
        <w:rPr>
          <w:rFonts w:cs="Arial"/>
          <w:rtl/>
        </w:rPr>
        <w:t>.</w:t>
      </w:r>
      <w:r>
        <w:rPr>
          <w:rtl/>
        </w:rPr>
        <w:t xml:space="preserve"> </w:t>
      </w:r>
      <w:r>
        <w:rPr>
          <w:color w:val="E36C0A" w:themeColor="accent6" w:themeShade="BF"/>
          <w:rtl/>
        </w:rPr>
        <w:t>(וכ"פ בשו"ע)</w:t>
      </w:r>
    </w:p>
    <w:p w14:paraId="21EB40ED" w14:textId="77777777" w:rsidR="00FA2119" w:rsidRDefault="00FA2119" w:rsidP="00FA2119">
      <w:pPr>
        <w:ind w:left="360"/>
        <w:rPr>
          <w:u w:val="dotted"/>
        </w:rPr>
      </w:pPr>
      <w:r>
        <w:rPr>
          <w:u w:val="dotted"/>
          <w:rtl/>
        </w:rPr>
        <w:t>ומה הדין אם בית דין קיבלו את הגט ע"י שליח כשר, והם ממנים גוי שיקח את הגט וימסרנו לשליח ישראל:</w:t>
      </w:r>
    </w:p>
    <w:p w14:paraId="592696BE" w14:textId="152D9022" w:rsidR="00FA2119" w:rsidRDefault="005006B3" w:rsidP="006A458D">
      <w:pPr>
        <w:pStyle w:val="ab"/>
        <w:numPr>
          <w:ilvl w:val="0"/>
          <w:numId w:val="102"/>
        </w:numPr>
      </w:pPr>
      <w:r>
        <w:rPr>
          <w:rFonts w:cs="Arial" w:hint="cs"/>
          <w:rtl/>
        </w:rPr>
        <w:t xml:space="preserve">או"ז </w:t>
      </w:r>
      <w:r w:rsidRPr="005006B3">
        <w:rPr>
          <w:rFonts w:cs="Arial"/>
          <w:sz w:val="16"/>
          <w:szCs w:val="16"/>
          <w:rtl/>
        </w:rPr>
        <w:t>(ח"א סי' תשכד</w:t>
      </w:r>
      <w:r>
        <w:rPr>
          <w:rFonts w:cs="Arial" w:hint="cs"/>
          <w:sz w:val="16"/>
          <w:szCs w:val="16"/>
          <w:rtl/>
        </w:rPr>
        <w:t>, והעתיקו דבריו ה</w:t>
      </w:r>
      <w:r w:rsidR="00FA2119" w:rsidRPr="005006B3">
        <w:rPr>
          <w:rFonts w:cs="Arial"/>
          <w:sz w:val="16"/>
          <w:szCs w:val="16"/>
          <w:rtl/>
        </w:rPr>
        <w:t xml:space="preserve">מרדכי </w:t>
      </w:r>
      <w:r>
        <w:rPr>
          <w:rFonts w:cs="Arial" w:hint="cs"/>
          <w:sz w:val="16"/>
          <w:szCs w:val="16"/>
          <w:rtl/>
        </w:rPr>
        <w:t>[</w:t>
      </w:r>
      <w:r w:rsidR="00FA2119">
        <w:rPr>
          <w:rFonts w:cs="Arial"/>
          <w:sz w:val="16"/>
          <w:szCs w:val="16"/>
          <w:rtl/>
        </w:rPr>
        <w:t>סי' שסא</w:t>
      </w:r>
      <w:r>
        <w:rPr>
          <w:rFonts w:cs="Arial" w:hint="cs"/>
          <w:sz w:val="16"/>
          <w:szCs w:val="16"/>
          <w:rtl/>
        </w:rPr>
        <w:t>]</w:t>
      </w:r>
      <w:r w:rsidRPr="005006B3">
        <w:rPr>
          <w:rFonts w:cs="Arial" w:hint="cs"/>
          <w:sz w:val="16"/>
          <w:szCs w:val="16"/>
          <w:rtl/>
        </w:rPr>
        <w:t xml:space="preserve"> </w:t>
      </w:r>
      <w:r>
        <w:rPr>
          <w:rFonts w:cs="Arial" w:hint="cs"/>
          <w:sz w:val="16"/>
          <w:szCs w:val="16"/>
          <w:rtl/>
        </w:rPr>
        <w:t>ההג"א [פ"ב סי' כז]</w:t>
      </w:r>
      <w:r>
        <w:rPr>
          <w:rFonts w:cs="Arial"/>
          <w:sz w:val="16"/>
          <w:szCs w:val="16"/>
          <w:rtl/>
        </w:rPr>
        <w:t xml:space="preserve"> </w:t>
      </w:r>
      <w:r>
        <w:rPr>
          <w:rFonts w:cs="Arial" w:hint="cs"/>
          <w:sz w:val="16"/>
          <w:szCs w:val="16"/>
          <w:rtl/>
        </w:rPr>
        <w:t>וה</w:t>
      </w:r>
      <w:r w:rsidR="00FA2119">
        <w:rPr>
          <w:rFonts w:cs="Arial"/>
          <w:sz w:val="16"/>
          <w:szCs w:val="16"/>
          <w:rtl/>
        </w:rPr>
        <w:t>שלט"ג [פ"ב דגיטין])</w:t>
      </w:r>
      <w:r w:rsidR="00A82951">
        <w:rPr>
          <w:rFonts w:cs="Arial"/>
          <w:rtl/>
        </w:rPr>
        <w:t>-</w:t>
      </w:r>
      <w:r w:rsidR="00FA2119">
        <w:rPr>
          <w:rFonts w:cs="Arial"/>
          <w:rtl/>
        </w:rPr>
        <w:t xml:space="preserve"> ואומר אני שבמקום שב"ד ירצו לעשות שליח שלהם על הגט שבא לידם ע"י שליח שהעיד בפניהם בפנ"כ ובפנ"ח, יכולין ב"ד לשולחו ע"י עובד כוכבים כה"ג ליד שליח כשר, והוא יתננו לה ויאמר שליח ב"ד אני.</w:t>
      </w:r>
    </w:p>
    <w:p w14:paraId="3871DE47"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36908D0" w14:textId="77777777" w:rsidR="00FA2119" w:rsidRDefault="00FA2119" w:rsidP="00FA2119">
      <w:pPr>
        <w:rPr>
          <w:rtl/>
        </w:rPr>
      </w:pPr>
      <w:r>
        <w:rPr>
          <w:rFonts w:cs="Arial"/>
          <w:rtl/>
        </w:rPr>
        <w:t>השולח גט ביד גוי שיתננו לפלוני, ומינה הבעל בכתבו</w:t>
      </w:r>
      <w:r>
        <w:rPr>
          <w:rStyle w:val="a7"/>
          <w:rFonts w:cs="Arial"/>
          <w:rtl/>
        </w:rPr>
        <w:footnoteReference w:id="1991"/>
      </w:r>
      <w:r>
        <w:rPr>
          <w:rFonts w:cs="Arial"/>
          <w:rtl/>
        </w:rPr>
        <w:t xml:space="preserve"> לאותו פלוני שליח להוליך הגט לאשתו, כשר, מפני שהגוי אינו עושה אלא מעשה קוף בעלמא. </w:t>
      </w:r>
      <w:r>
        <w:rPr>
          <w:rFonts w:cs="Arial"/>
          <w:sz w:val="18"/>
          <w:szCs w:val="18"/>
          <w:rtl/>
        </w:rPr>
        <w:t>הגה: מיהו יש חולקין</w:t>
      </w:r>
      <w:r>
        <w:rPr>
          <w:rStyle w:val="a7"/>
          <w:rFonts w:cs="Arial"/>
          <w:sz w:val="18"/>
          <w:szCs w:val="18"/>
          <w:rtl/>
        </w:rPr>
        <w:footnoteReference w:id="1992"/>
      </w:r>
      <w:r>
        <w:rPr>
          <w:rFonts w:cs="Arial"/>
          <w:sz w:val="18"/>
          <w:szCs w:val="18"/>
          <w:rtl/>
        </w:rPr>
        <w:t xml:space="preserve"> וסבירא להו דאין למנות שליח הולכה על ידי כתב, גם לא ראיתי נוהגין כן.</w:t>
      </w:r>
      <w:r>
        <w:rPr>
          <w:rFonts w:cs="Arial"/>
          <w:rtl/>
        </w:rPr>
        <w:t xml:space="preserve"> </w:t>
      </w:r>
    </w:p>
    <w:p w14:paraId="6F83BDD2" w14:textId="77777777" w:rsidR="00FA2119" w:rsidRDefault="00FA2119" w:rsidP="00FA2119">
      <w:pPr>
        <w:rPr>
          <w:rFonts w:cs="Arial"/>
          <w:rtl/>
        </w:rPr>
      </w:pPr>
      <w:r>
        <w:rPr>
          <w:rFonts w:cs="Arial"/>
          <w:u w:val="single"/>
          <w:rtl/>
        </w:rPr>
        <w:t>גט הנשלח למדינה אחרת ולא יכול השליח לעבור הגבול בגלל מלחמה, האם יכול לשלוח לרב ע"י הדואר:</w:t>
      </w:r>
      <w:r>
        <w:rPr>
          <w:rFonts w:cs="Arial"/>
          <w:rtl/>
        </w:rPr>
        <w:t xml:space="preserve"> </w:t>
      </w:r>
      <w:r>
        <w:rPr>
          <w:rFonts w:cs="Arial"/>
          <w:sz w:val="16"/>
          <w:szCs w:val="16"/>
          <w:rtl/>
        </w:rPr>
        <w:t>(פת"ש סקל"ה)</w:t>
      </w:r>
      <w:r>
        <w:rPr>
          <w:rFonts w:cs="Arial"/>
          <w:rtl/>
        </w:rPr>
        <w:t xml:space="preserve"> </w:t>
      </w:r>
    </w:p>
    <w:p w14:paraId="2C160C37" w14:textId="6EDDF887" w:rsidR="00FA2119" w:rsidRDefault="00FA2119" w:rsidP="006A458D">
      <w:pPr>
        <w:pStyle w:val="ab"/>
        <w:numPr>
          <w:ilvl w:val="0"/>
          <w:numId w:val="106"/>
        </w:numPr>
        <w:rPr>
          <w:rFonts w:cs="Arial"/>
          <w:rtl/>
        </w:rPr>
      </w:pPr>
      <w:r>
        <w:rPr>
          <w:rFonts w:cs="Arial"/>
          <w:rtl/>
        </w:rPr>
        <w:t>מאמר מרדכי</w:t>
      </w:r>
      <w:r>
        <w:rPr>
          <w:rFonts w:cs="Arial"/>
          <w:sz w:val="16"/>
          <w:szCs w:val="16"/>
          <w:rtl/>
        </w:rPr>
        <w:t xml:space="preserve"> (סי' פא)</w:t>
      </w:r>
      <w:r w:rsidR="00A82951">
        <w:rPr>
          <w:rFonts w:cs="Arial"/>
          <w:rtl/>
        </w:rPr>
        <w:t>-</w:t>
      </w:r>
      <w:r>
        <w:rPr>
          <w:rFonts w:cs="Arial"/>
          <w:rtl/>
        </w:rPr>
        <w:t xml:space="preserve"> מעשה בגט הנשלח ממדינה למדינה ולא יכול השליח לעבור הגבול מחמת שהיה עת מלחמה</w:t>
      </w:r>
      <w:r w:rsidR="008C4453">
        <w:rPr>
          <w:rFonts w:cs="Arial" w:hint="cs"/>
          <w:rtl/>
        </w:rPr>
        <w:t>,</w:t>
      </w:r>
      <w:r>
        <w:rPr>
          <w:rFonts w:cs="Arial"/>
          <w:rtl/>
        </w:rPr>
        <w:t xml:space="preserve"> אם יכול לשלוח הגט ע"י הבי דואר ליד הרב דמקום האשה ולמנות שם שליח אשר הודיעו שמו ושם אביו... </w:t>
      </w:r>
      <w:r w:rsidR="00A82951">
        <w:rPr>
          <w:rFonts w:cs="Arial"/>
          <w:rtl/>
        </w:rPr>
        <w:t>-</w:t>
      </w:r>
      <w:r>
        <w:rPr>
          <w:rFonts w:cs="Arial"/>
          <w:rtl/>
        </w:rPr>
        <w:t xml:space="preserve"> יש להתיר במקום דחק ועיגון. דאף שהרמ"א הביא דעת החולקין ודעתו להחמיר, הנה מה דבאר הגולה (אות ד) הערה מקורו כי חש לדעת הגאונים שהביאו הרא"ש והרשב"א והר"ן דאין לשלוח גט ע"י א"י למוסרו לישראל כו' על דעתי לא כן הוא, ובמחכ"ת אין לשון הרמ"א מורה ע"ז, שהרי כת</w:t>
      </w:r>
      <w:r w:rsidR="008C4453">
        <w:rPr>
          <w:rFonts w:cs="Arial" w:hint="cs"/>
          <w:rtl/>
        </w:rPr>
        <w:t>ב</w:t>
      </w:r>
      <w:r>
        <w:rPr>
          <w:rFonts w:cs="Arial"/>
          <w:rtl/>
        </w:rPr>
        <w:t xml:space="preserve"> דאין למנות שליח להולכה ע"י כתב</w:t>
      </w:r>
      <w:r w:rsidR="008C4453">
        <w:rPr>
          <w:rFonts w:cs="Arial" w:hint="cs"/>
          <w:rtl/>
        </w:rPr>
        <w:t>,</w:t>
      </w:r>
      <w:r>
        <w:rPr>
          <w:rFonts w:cs="Arial"/>
          <w:rtl/>
        </w:rPr>
        <w:t xml:space="preserve"> ומדוע לא כתב עיקר הפסול משום דיד כותי באמצע שזה הטעם נזכר בשם הגאונים</w:t>
      </w:r>
      <w:r w:rsidR="008C4453">
        <w:rPr>
          <w:rFonts w:cs="Arial" w:hint="cs"/>
          <w:rtl/>
        </w:rPr>
        <w:t>.</w:t>
      </w:r>
      <w:r>
        <w:rPr>
          <w:rFonts w:cs="Arial"/>
          <w:rtl/>
        </w:rPr>
        <w:t xml:space="preserve"> וגם הלא בד"מ לא הביא כלל שיטת הגאונים. ואדרבא באות כ"ד מבואר שדעת הרמ"א להכשיר בזה כדעת הרא"ש ור"ת וסייעתם. רק כוונת הרמ"א שהביא דעת חולקין הוא דעת הסוברים דאף לשליח הולכה בעינן קולו ולא סגי בפקח בכתב כו'. וכן מורה הגהת</w:t>
      </w:r>
      <w:r w:rsidR="00CC656D">
        <w:rPr>
          <w:rFonts w:cs="Arial" w:hint="cs"/>
          <w:rtl/>
        </w:rPr>
        <w:t xml:space="preserve"> </w:t>
      </w:r>
      <w:r>
        <w:rPr>
          <w:rFonts w:cs="Arial"/>
          <w:rtl/>
        </w:rPr>
        <w:t>רמ"א דלעיל סי"ד עמ"ש המחבר בין שליח קבלה בין ש"ה א"צ שישמעו מפיהם כו' כתב הרמ"א ז"ל וע' לקמן סעי' ל"ה. מבואר שרמז</w:t>
      </w:r>
      <w:r>
        <w:rPr>
          <w:rStyle w:val="a7"/>
          <w:rFonts w:cs="Arial"/>
          <w:rtl/>
        </w:rPr>
        <w:footnoteReference w:id="1993"/>
      </w:r>
      <w:r>
        <w:rPr>
          <w:rFonts w:cs="Arial"/>
          <w:rtl/>
        </w:rPr>
        <w:t xml:space="preserve"> להיש חולקין שהביא כאן דס"ל דבעינן קולו אף לענין שליח להולכה כו' ומעתה הדבר ברור דדוקא באם מינוי השליח לא נעשה רק בכתב מחמיר הרמ"א ז"ל אבל אם אומר בפיו לפני הב"ד שממנה אותו פלוני לשליח אף שאין השליח לפנינו ושולח כתב שליחות עם הרשאה מקויימת ליד ב"ד ודאי מועיל לדעת כל הפוסקים דיש כאן קולו כו' זולת מה שיש </w:t>
      </w:r>
      <w:r>
        <w:rPr>
          <w:rFonts w:cs="Arial"/>
          <w:rtl/>
        </w:rPr>
        <w:lastRenderedPageBreak/>
        <w:t>לחוש הואיל ויד כותי באמצע והיא דעת הגאונים אמנם רבו המתירין וכדאים המה לסמוך עליהם עכ"פ בשעת הדחק ועיגון כמו בנ"ד</w:t>
      </w:r>
      <w:r>
        <w:rPr>
          <w:rStyle w:val="a7"/>
          <w:rFonts w:cs="Arial"/>
          <w:rtl/>
        </w:rPr>
        <w:footnoteReference w:id="1994"/>
      </w:r>
      <w:r>
        <w:rPr>
          <w:rFonts w:cs="Arial"/>
          <w:rtl/>
        </w:rPr>
        <w:t xml:space="preserve">. </w:t>
      </w:r>
    </w:p>
    <w:p w14:paraId="64DF553F" w14:textId="77777777" w:rsidR="00FA2119" w:rsidRDefault="00FA2119" w:rsidP="00FA2119">
      <w:pPr>
        <w:rPr>
          <w:rFonts w:cs="Arial"/>
          <w:rtl/>
        </w:rPr>
      </w:pPr>
    </w:p>
    <w:p w14:paraId="66D645B9" w14:textId="77777777" w:rsidR="00FA2119" w:rsidRDefault="00FA2119" w:rsidP="00FA2119">
      <w:pPr>
        <w:pStyle w:val="2"/>
        <w:rPr>
          <w:rtl/>
        </w:rPr>
      </w:pPr>
      <w:r>
        <w:rPr>
          <w:rtl/>
        </w:rPr>
        <w:t>סעיף לו: שליח שאינו מכיר את האשה.</w:t>
      </w:r>
    </w:p>
    <w:p w14:paraId="453DC35E" w14:textId="77777777" w:rsidR="00FA2119" w:rsidRDefault="00FA2119" w:rsidP="00FA2119">
      <w:pPr>
        <w:rPr>
          <w:u w:val="single"/>
          <w:rtl/>
        </w:rPr>
      </w:pPr>
      <w:r>
        <w:rPr>
          <w:u w:val="single"/>
          <w:rtl/>
        </w:rPr>
        <w:t>שליח שאינו מכיר את האשה:</w:t>
      </w:r>
    </w:p>
    <w:p w14:paraId="6D7CBBF8" w14:textId="5E0BBAE6" w:rsidR="00FA2119" w:rsidRDefault="00FA2119" w:rsidP="006A458D">
      <w:pPr>
        <w:pStyle w:val="ab"/>
        <w:numPr>
          <w:ilvl w:val="0"/>
          <w:numId w:val="102"/>
        </w:numPr>
        <w:rPr>
          <w:rtl/>
        </w:rPr>
      </w:pPr>
      <w:r>
        <w:rPr>
          <w:rFonts w:cs="Arial"/>
          <w:rtl/>
        </w:rPr>
        <w:t>תוס' רשב"א סמ"ג הגה"מ מרדכי רא"ש הה"מ טור רי"ו ור"ן</w:t>
      </w:r>
      <w:r>
        <w:rPr>
          <w:rStyle w:val="a7"/>
          <w:rFonts w:cs="Arial"/>
          <w:rtl/>
        </w:rPr>
        <w:footnoteReference w:id="1995"/>
      </w:r>
      <w:r w:rsidR="00A82951">
        <w:rPr>
          <w:rFonts w:cs="Arial"/>
          <w:rtl/>
        </w:rPr>
        <w:t>-</w:t>
      </w:r>
      <w:r>
        <w:rPr>
          <w:rFonts w:cs="Arial"/>
          <w:rtl/>
        </w:rPr>
        <w:t xml:space="preserve"> השולח גט לאשתו ואין השליח מכירה </w:t>
      </w:r>
      <w:r w:rsidR="00A82951">
        <w:rPr>
          <w:rFonts w:cs="Arial"/>
          <w:rtl/>
        </w:rPr>
        <w:t>-</w:t>
      </w:r>
      <w:r>
        <w:rPr>
          <w:rFonts w:cs="Arial"/>
          <w:rtl/>
        </w:rPr>
        <w:t xml:space="preserve"> יתנהו לה ע"פ ב' שיעידו בפניו שהיא זאת אשתו</w:t>
      </w:r>
      <w:r>
        <w:rPr>
          <w:rFonts w:cs="Arial"/>
          <w:sz w:val="16"/>
          <w:szCs w:val="16"/>
          <w:rtl/>
        </w:rPr>
        <w:t xml:space="preserve"> (ל' הטור)</w:t>
      </w:r>
      <w:r>
        <w:rPr>
          <w:rStyle w:val="a7"/>
          <w:rFonts w:cs="Arial"/>
          <w:rtl/>
        </w:rPr>
        <w:footnoteReference w:id="1996"/>
      </w:r>
      <w:r>
        <w:rPr>
          <w:rFonts w:cs="Arial"/>
          <w:rtl/>
        </w:rPr>
        <w:t xml:space="preserve">. </w:t>
      </w:r>
      <w:r>
        <w:rPr>
          <w:color w:val="00B0F0"/>
          <w:rtl/>
        </w:rPr>
        <w:t>(וכ"פ הרמ"א)</w:t>
      </w:r>
    </w:p>
    <w:p w14:paraId="65441C97" w14:textId="148E5A72" w:rsidR="00FA2119" w:rsidRDefault="00FA2119" w:rsidP="00FA2119">
      <w:pPr>
        <w:rPr>
          <w:rtl/>
        </w:rPr>
      </w:pPr>
      <w:r>
        <w:rPr>
          <w:rFonts w:cs="Arial"/>
          <w:b/>
          <w:bCs/>
          <w:rtl/>
        </w:rPr>
        <w:t xml:space="preserve">גיטין </w:t>
      </w:r>
      <w:r>
        <w:rPr>
          <w:rFonts w:cs="Arial"/>
          <w:b/>
          <w:bCs/>
          <w:sz w:val="16"/>
          <w:szCs w:val="16"/>
          <w:rtl/>
        </w:rPr>
        <w:t xml:space="preserve">(פ' כל הגט) </w:t>
      </w:r>
      <w:r>
        <w:rPr>
          <w:rFonts w:cs="Arial"/>
          <w:b/>
          <w:bCs/>
          <w:rtl/>
        </w:rPr>
        <w:t xml:space="preserve">כט ע"ב: </w:t>
      </w:r>
      <w:r>
        <w:rPr>
          <w:rFonts w:cs="Arial"/>
          <w:rtl/>
        </w:rPr>
        <w:t>ההוא גברא דשדר לה גיטא לדביתהו, אמר שליח: לא ידענא לה</w:t>
      </w:r>
      <w:r>
        <w:rPr>
          <w:rStyle w:val="a7"/>
          <w:rFonts w:cs="Arial"/>
          <w:rtl/>
        </w:rPr>
        <w:footnoteReference w:id="1997"/>
      </w:r>
      <w:r>
        <w:rPr>
          <w:rFonts w:cs="Arial"/>
          <w:rtl/>
        </w:rPr>
        <w:t>, אמר ליה: זיל יהביה לאבא בר מניומי, דאיהו ידע לה, וליזיל וליתביה ניהלה. אתא ולא אשכח לאבא בר מניומי, אשכחיה לרבי אבהו ורבי חנינא בר פפא ור' יצחק נפחא ויתיב רב ספרא גבייהו, אמרו ליה: מסור מילך קמי דידן</w:t>
      </w:r>
      <w:r>
        <w:rPr>
          <w:rStyle w:val="a7"/>
          <w:rFonts w:cs="Arial"/>
          <w:rtl/>
        </w:rPr>
        <w:footnoteReference w:id="1998"/>
      </w:r>
      <w:r>
        <w:rPr>
          <w:rFonts w:cs="Arial"/>
          <w:rtl/>
        </w:rPr>
        <w:t xml:space="preserve">, דכי ייתי אבא בר מניומי ניתביניה ליה, וליזיל וליתביניה לה. </w:t>
      </w:r>
      <w:r>
        <w:rPr>
          <w:rFonts w:cs="Arial"/>
          <w:u w:val="single"/>
          <w:rtl/>
        </w:rPr>
        <w:t>אמר להו רב ספרא</w:t>
      </w:r>
      <w:r>
        <w:rPr>
          <w:rFonts w:cs="Arial"/>
          <w:rtl/>
        </w:rPr>
        <w:t>: והא שליח שלא ניתן לגירושין הוא</w:t>
      </w:r>
      <w:r>
        <w:rPr>
          <w:rStyle w:val="a7"/>
          <w:rFonts w:cs="Arial"/>
          <w:rtl/>
        </w:rPr>
        <w:footnoteReference w:id="1999"/>
      </w:r>
      <w:r>
        <w:rPr>
          <w:rFonts w:cs="Arial"/>
          <w:rtl/>
        </w:rPr>
        <w:t xml:space="preserve">! איכסופו. </w:t>
      </w:r>
      <w:r>
        <w:rPr>
          <w:rFonts w:cs="Arial"/>
          <w:u w:val="single"/>
          <w:rtl/>
        </w:rPr>
        <w:t>אמר רבא</w:t>
      </w:r>
      <w:r>
        <w:rPr>
          <w:rFonts w:cs="Arial"/>
          <w:rtl/>
        </w:rPr>
        <w:t xml:space="preserve">: קפחינהו רב ספרא לתלתא רבנן סמוכי. </w:t>
      </w:r>
      <w:r>
        <w:rPr>
          <w:rFonts w:cs="Arial"/>
          <w:u w:val="single"/>
          <w:rtl/>
        </w:rPr>
        <w:t>א"ר אשי</w:t>
      </w:r>
      <w:r>
        <w:rPr>
          <w:rFonts w:cs="Arial"/>
          <w:rtl/>
        </w:rPr>
        <w:t>: במאי קפחינהו</w:t>
      </w:r>
      <w:r>
        <w:rPr>
          <w:rStyle w:val="a7"/>
          <w:rFonts w:cs="Arial"/>
          <w:rtl/>
        </w:rPr>
        <w:footnoteReference w:id="2000"/>
      </w:r>
      <w:r>
        <w:rPr>
          <w:rFonts w:cs="Arial"/>
          <w:rtl/>
        </w:rPr>
        <w:t xml:space="preserve">? מי קאמר ליה אבא בר מניומי ולא את? </w:t>
      </w:r>
      <w:r>
        <w:rPr>
          <w:rFonts w:cs="Arial"/>
          <w:u w:val="dotted"/>
          <w:rtl/>
        </w:rPr>
        <w:t>איכא דאמרי</w:t>
      </w:r>
      <w:r>
        <w:rPr>
          <w:rStyle w:val="a7"/>
          <w:rFonts w:cs="Arial"/>
          <w:rtl/>
        </w:rPr>
        <w:footnoteReference w:id="2001"/>
      </w:r>
      <w:r>
        <w:rPr>
          <w:rFonts w:cs="Arial"/>
          <w:rtl/>
        </w:rPr>
        <w:t xml:space="preserve">: </w:t>
      </w:r>
      <w:r>
        <w:rPr>
          <w:rFonts w:cs="Arial"/>
          <w:u w:val="single"/>
          <w:rtl/>
        </w:rPr>
        <w:t>אמר רבא</w:t>
      </w:r>
      <w:r>
        <w:rPr>
          <w:rFonts w:cs="Arial"/>
          <w:rtl/>
        </w:rPr>
        <w:t xml:space="preserve">: קפחינהו רב ספרא לתלתא רבנן סמוכי בטעותא. </w:t>
      </w:r>
      <w:r>
        <w:rPr>
          <w:rFonts w:cs="Arial"/>
          <w:u w:val="single"/>
          <w:rtl/>
        </w:rPr>
        <w:t>א"ר אשי</w:t>
      </w:r>
      <w:r>
        <w:rPr>
          <w:rFonts w:cs="Arial"/>
          <w:rtl/>
        </w:rPr>
        <w:t>: מאי טעותא? מאי קא אמר ליה? אבא בר מניומי ולא את</w:t>
      </w:r>
      <w:r>
        <w:rPr>
          <w:rStyle w:val="a7"/>
          <w:rFonts w:cs="Arial"/>
          <w:rtl/>
        </w:rPr>
        <w:footnoteReference w:id="2002"/>
      </w:r>
      <w:r>
        <w:rPr>
          <w:rFonts w:cs="Arial"/>
          <w:rtl/>
        </w:rPr>
        <w:t>.</w:t>
      </w:r>
      <w:r>
        <w:rPr>
          <w:rFonts w:cs="Arial"/>
          <w:sz w:val="16"/>
          <w:szCs w:val="16"/>
          <w:rtl/>
        </w:rPr>
        <w:t xml:space="preserve"> (ולפי זה קיי"ל כרב אשי וכלישנא בתרא, וכן דעת הרי"ף (טו.) והרא"ש (סי' ט) שלא כתבו אלא לישנא בתרא, וכן דעת הרמב"ם בפ</w:t>
      </w:r>
      <w:r w:rsidR="00CC656D">
        <w:rPr>
          <w:rFonts w:cs="Arial" w:hint="cs"/>
          <w:sz w:val="16"/>
          <w:szCs w:val="16"/>
          <w:rtl/>
        </w:rPr>
        <w:t>"</w:t>
      </w:r>
      <w:r>
        <w:rPr>
          <w:rFonts w:cs="Arial"/>
          <w:sz w:val="16"/>
          <w:szCs w:val="16"/>
          <w:rtl/>
        </w:rPr>
        <w:t>ט (הל' לט). אבל הרשב"א (ד"ה אמר רבא) והר"ן (טו. ד"ה קפחינהו) בשם ר</w:t>
      </w:r>
      <w:r w:rsidR="00CC656D">
        <w:rPr>
          <w:rFonts w:cs="Arial" w:hint="cs"/>
          <w:sz w:val="16"/>
          <w:szCs w:val="16"/>
          <w:rtl/>
        </w:rPr>
        <w:t>"ח</w:t>
      </w:r>
      <w:r>
        <w:rPr>
          <w:rFonts w:cs="Arial"/>
          <w:sz w:val="16"/>
          <w:szCs w:val="16"/>
          <w:rtl/>
        </w:rPr>
        <w:t xml:space="preserve"> והתוס</w:t>
      </w:r>
      <w:r w:rsidR="00CC656D">
        <w:rPr>
          <w:rFonts w:cs="Arial" w:hint="cs"/>
          <w:sz w:val="16"/>
          <w:szCs w:val="16"/>
          <w:rtl/>
        </w:rPr>
        <w:t>'</w:t>
      </w:r>
      <w:r>
        <w:rPr>
          <w:rFonts w:cs="Arial"/>
          <w:sz w:val="16"/>
          <w:szCs w:val="16"/>
          <w:rtl/>
        </w:rPr>
        <w:t xml:space="preserve"> (ד"ה הכי) בשם ר</w:t>
      </w:r>
      <w:r w:rsidR="00CC656D">
        <w:rPr>
          <w:rFonts w:cs="Arial" w:hint="cs"/>
          <w:sz w:val="16"/>
          <w:szCs w:val="16"/>
          <w:rtl/>
        </w:rPr>
        <w:t>"</w:t>
      </w:r>
      <w:r>
        <w:rPr>
          <w:rFonts w:cs="Arial"/>
          <w:sz w:val="16"/>
          <w:szCs w:val="16"/>
          <w:rtl/>
        </w:rPr>
        <w:t>ת כתבו דבכולהו לישני גרסינן 'מי קאמר ליה', ורב אשי בין ללישנא קמא בין ללישנא בתרא סבירא ליה בטעותא קפחינהו, ושליח שניתן לגירושין הוא, דמי קאמר ליה אבא בר מניומי ולא את. ואיכא דאמרי אמימריה דרבא קאי ולא אדרב אשי ורב אשי כיון דקם ליה בכולהו לישני בחדא שיטתא דשליח שניתן לגירושין הוא קיי</w:t>
      </w:r>
      <w:r w:rsidR="00A60FC4">
        <w:rPr>
          <w:rFonts w:cs="Arial" w:hint="cs"/>
          <w:sz w:val="16"/>
          <w:szCs w:val="16"/>
          <w:rtl/>
        </w:rPr>
        <w:t>"</w:t>
      </w:r>
      <w:r>
        <w:rPr>
          <w:rFonts w:cs="Arial"/>
          <w:sz w:val="16"/>
          <w:szCs w:val="16"/>
          <w:rtl/>
        </w:rPr>
        <w:t>ל דיכול למנות שליח והוא עצמו יכול ליתנו לה. ומכל מקום העלו הרשב"א והר"ן דאנן כחומרי הגירסאות נקטינן</w:t>
      </w:r>
      <w:r w:rsidR="00A60FC4">
        <w:rPr>
          <w:rFonts w:cs="Arial" w:hint="cs"/>
          <w:sz w:val="16"/>
          <w:szCs w:val="16"/>
          <w:rtl/>
        </w:rPr>
        <w:t>,</w:t>
      </w:r>
      <w:r>
        <w:rPr>
          <w:rFonts w:cs="Arial"/>
          <w:sz w:val="16"/>
          <w:szCs w:val="16"/>
          <w:rtl/>
        </w:rPr>
        <w:t xml:space="preserve"> הוא עצמו אינו מגרשה וכל שכן שאינו עושה שליח אחר תחתיו, ומיהו אם גירשה הוא או שלוחו הוה ליה ספק מגורשת, ב"י.</w:t>
      </w:r>
      <w:r>
        <w:rPr>
          <w:rFonts w:cs="Arial"/>
          <w:color w:val="E36C0A" w:themeColor="accent6" w:themeShade="BF"/>
          <w:sz w:val="16"/>
          <w:szCs w:val="16"/>
          <w:rtl/>
        </w:rPr>
        <w:t xml:space="preserve"> (וכ"פ בשו"ע)</w:t>
      </w:r>
      <w:r>
        <w:rPr>
          <w:rFonts w:cs="Arial"/>
          <w:sz w:val="16"/>
          <w:szCs w:val="16"/>
          <w:rtl/>
        </w:rPr>
        <w:t>)</w:t>
      </w:r>
    </w:p>
    <w:p w14:paraId="0109C4AC" w14:textId="77777777" w:rsidR="00FA2119" w:rsidRDefault="00FA2119" w:rsidP="00FA2119">
      <w:pPr>
        <w:rPr>
          <w:u w:val="single"/>
        </w:rPr>
      </w:pPr>
      <w:r>
        <w:rPr>
          <w:u w:val="single"/>
          <w:rtl/>
        </w:rPr>
        <w:t xml:space="preserve">נתן את הגט לשליח, ואמר לו השליח שהוא לא מכירה </w:t>
      </w:r>
      <w:r>
        <w:rPr>
          <w:sz w:val="16"/>
          <w:szCs w:val="16"/>
          <w:u w:val="single"/>
          <w:rtl/>
        </w:rPr>
        <w:t>(וכדו')</w:t>
      </w:r>
      <w:r>
        <w:rPr>
          <w:u w:val="single"/>
          <w:rtl/>
        </w:rPr>
        <w:t>, ואמר לו הבעל 'אז תתן את הגט לפלוני והוא יתן לה':</w:t>
      </w:r>
    </w:p>
    <w:p w14:paraId="6ECA989A" w14:textId="34307B31" w:rsidR="00FA2119" w:rsidRDefault="00FA2119" w:rsidP="006A458D">
      <w:pPr>
        <w:pStyle w:val="ab"/>
        <w:numPr>
          <w:ilvl w:val="0"/>
          <w:numId w:val="102"/>
        </w:numPr>
      </w:pPr>
      <w:r>
        <w:rPr>
          <w:rFonts w:cs="Arial"/>
          <w:rtl/>
        </w:rPr>
        <w:t>טור</w:t>
      </w:r>
      <w:r w:rsidR="00A82951">
        <w:rPr>
          <w:rFonts w:cs="Arial"/>
          <w:rtl/>
        </w:rPr>
        <w:t>-</w:t>
      </w:r>
      <w:r>
        <w:rPr>
          <w:rFonts w:cs="Arial"/>
          <w:rtl/>
        </w:rPr>
        <w:t xml:space="preserve"> אמר לשליח הולך גט לאשתי, ואמר לו איני מכירה או כיוצא בזה שאמר לו אני מתבייש ליתנו לה, ואמר א"כ תנהו לפלוני שהוא מכירה ויתנהו לה </w:t>
      </w:r>
      <w:r w:rsidR="00A82951">
        <w:rPr>
          <w:rFonts w:cs="Arial"/>
          <w:rtl/>
        </w:rPr>
        <w:t>-</w:t>
      </w:r>
      <w:r>
        <w:rPr>
          <w:rFonts w:cs="Arial"/>
          <w:rtl/>
        </w:rPr>
        <w:t xml:space="preserve"> ראשון לא נעשה שליח לגירושין רק להוליך הגט לאותו פלוני, לפיכך אין יכול ליתן הגט לאשתו ולא לעשות שליח אחר להוליך הגט לאותו פלוני, ואותו פלוני הוא שליח לגרש ונותנו לה או משלחו לה ביד אחר אם נאנס או חולה. </w:t>
      </w:r>
      <w:r>
        <w:rPr>
          <w:color w:val="E36C0A" w:themeColor="accent6" w:themeShade="BF"/>
          <w:rtl/>
        </w:rPr>
        <w:t>(וכ"פ בשו"ע)</w:t>
      </w:r>
    </w:p>
    <w:p w14:paraId="6D4D4CE5"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98BE9CC" w14:textId="77777777" w:rsidR="00FA2119" w:rsidRDefault="00FA2119" w:rsidP="00FA2119">
      <w:pPr>
        <w:rPr>
          <w:rtl/>
        </w:rPr>
      </w:pPr>
      <w:r>
        <w:rPr>
          <w:rFonts w:cs="Arial"/>
          <w:rtl/>
        </w:rPr>
        <w:lastRenderedPageBreak/>
        <w:t xml:space="preserve">נתן גט לשליח ואמר ליה: הולך גט זה לאשתי, אמר ליה השליח: איני מכירה, אמא ליה הבעל: תנהו לפלוני שהוא מכירה ויתנהו לה, הראשון לא נעשה שליח לגירושין רק להוליך הגט לאותו פלוני, </w:t>
      </w:r>
      <w:r>
        <w:rPr>
          <w:rFonts w:cs="Arial"/>
          <w:sz w:val="18"/>
          <w:szCs w:val="18"/>
          <w:rtl/>
        </w:rPr>
        <w:t>[הגה] ולא יוכל לשלחו לו ע"י שליח</w:t>
      </w:r>
      <w:r>
        <w:rPr>
          <w:rStyle w:val="a7"/>
          <w:rFonts w:cs="Arial"/>
          <w:sz w:val="18"/>
          <w:szCs w:val="18"/>
          <w:rtl/>
        </w:rPr>
        <w:footnoteReference w:id="2003"/>
      </w:r>
      <w:r>
        <w:rPr>
          <w:rFonts w:cs="Arial"/>
          <w:sz w:val="18"/>
          <w:szCs w:val="18"/>
          <w:rtl/>
        </w:rPr>
        <w:t xml:space="preserve"> (טור)</w:t>
      </w:r>
      <w:r>
        <w:rPr>
          <w:rFonts w:cs="Arial"/>
          <w:rtl/>
        </w:rPr>
        <w:t xml:space="preserve">, ואותו פלוני הוא שליח לגירושין ונותנו לה, או משלחו ביד אחר אם חלה או נאנס. ואם נתן לה הגט, הראשון או שלוחו, הרי זו ספק מגורשת. </w:t>
      </w:r>
      <w:r>
        <w:rPr>
          <w:rFonts w:cs="Arial"/>
          <w:sz w:val="18"/>
          <w:szCs w:val="18"/>
          <w:rtl/>
        </w:rPr>
        <w:t>הגה: השולח גט לאשתו ואין השליח מכירה, יתנהו לה על פי</w:t>
      </w:r>
      <w:r>
        <w:rPr>
          <w:rStyle w:val="a7"/>
          <w:rFonts w:cs="Arial"/>
          <w:sz w:val="18"/>
          <w:szCs w:val="18"/>
          <w:rtl/>
        </w:rPr>
        <w:footnoteReference w:id="2004"/>
      </w:r>
      <w:r>
        <w:rPr>
          <w:rFonts w:cs="Arial"/>
          <w:sz w:val="18"/>
          <w:szCs w:val="18"/>
          <w:rtl/>
        </w:rPr>
        <w:t xml:space="preserve"> שנים</w:t>
      </w:r>
      <w:r>
        <w:rPr>
          <w:rStyle w:val="a7"/>
          <w:rFonts w:cs="Arial"/>
          <w:sz w:val="18"/>
          <w:szCs w:val="18"/>
          <w:rtl/>
        </w:rPr>
        <w:footnoteReference w:id="2005"/>
      </w:r>
      <w:r>
        <w:rPr>
          <w:rFonts w:cs="Arial"/>
          <w:sz w:val="18"/>
          <w:szCs w:val="18"/>
          <w:rtl/>
        </w:rPr>
        <w:t xml:space="preserve"> שזאת אשתו (טור). </w:t>
      </w:r>
    </w:p>
    <w:p w14:paraId="179513A6" w14:textId="77777777" w:rsidR="00FA2119" w:rsidRDefault="00FA2119" w:rsidP="00FA2119">
      <w:pPr>
        <w:rPr>
          <w:rFonts w:cs="Arial"/>
          <w:rtl/>
        </w:rPr>
      </w:pPr>
      <w:r>
        <w:rPr>
          <w:rFonts w:cs="Arial"/>
          <w:u w:val="single"/>
          <w:rtl/>
        </w:rPr>
        <w:t>האם שליח לגירושין יכול לשלוח ע"י אחר שיתן את הגט לפלוני והוא יתן לאשה:</w:t>
      </w:r>
      <w:r>
        <w:rPr>
          <w:rFonts w:cs="Arial"/>
          <w:rtl/>
        </w:rPr>
        <w:t xml:space="preserve"> </w:t>
      </w:r>
      <w:r>
        <w:rPr>
          <w:rFonts w:cs="Arial"/>
          <w:sz w:val="16"/>
          <w:szCs w:val="16"/>
          <w:rtl/>
        </w:rPr>
        <w:t>(פת"ש סקל"ו)</w:t>
      </w:r>
      <w:r>
        <w:rPr>
          <w:rFonts w:cs="Arial"/>
          <w:rtl/>
        </w:rPr>
        <w:t xml:space="preserve"> </w:t>
      </w:r>
    </w:p>
    <w:p w14:paraId="4D1F874B" w14:textId="0CFE1E97" w:rsidR="00FA2119" w:rsidRDefault="00FA2119" w:rsidP="006A458D">
      <w:pPr>
        <w:pStyle w:val="ab"/>
        <w:numPr>
          <w:ilvl w:val="0"/>
          <w:numId w:val="106"/>
        </w:numPr>
        <w:rPr>
          <w:rtl/>
        </w:rPr>
      </w:pPr>
      <w:r>
        <w:rPr>
          <w:rFonts w:cs="Arial"/>
          <w:rtl/>
        </w:rPr>
        <w:t xml:space="preserve">הגהת מל"מ </w:t>
      </w:r>
      <w:r>
        <w:rPr>
          <w:rFonts w:cs="Arial"/>
          <w:sz w:val="16"/>
          <w:szCs w:val="16"/>
          <w:rtl/>
        </w:rPr>
        <w:t>(פ"ט מה"ג דין לט)</w:t>
      </w:r>
      <w:r w:rsidR="00A82951">
        <w:rPr>
          <w:rFonts w:cs="Arial"/>
          <w:rtl/>
        </w:rPr>
        <w:t>-</w:t>
      </w:r>
      <w:r>
        <w:rPr>
          <w:rFonts w:cs="Arial"/>
          <w:rtl/>
        </w:rPr>
        <w:t xml:space="preserve"> נסתפק הרב מהר"א רוזאניס ז"ל אם שליח ראשון שניתן לגירושין מצי משוי שליח בחלה או נאנס לשלוח אחר שיתנהו לפלוני, שיוליכהו אותו פלוני לאשה, מאחר שזה השליח השני שעושה הראשון, שליח שלא ניתן לגירושין הוא, אפשר דלא מצי למשוי אלא שליח כמוהו, שיוכל לעשות שליח אחר, אבל כיון שזה הב' לא מצי משוי שליח אפילו חלה, איכא קפידא דהבעל בכהאי גוונא שמיעט בשליחותו.</w:t>
      </w:r>
    </w:p>
    <w:p w14:paraId="4D9626BB" w14:textId="77777777" w:rsidR="00FA2119" w:rsidRDefault="00FA2119" w:rsidP="00FA2119">
      <w:pPr>
        <w:rPr>
          <w:rtl/>
        </w:rPr>
      </w:pPr>
    </w:p>
    <w:p w14:paraId="1458AFA6" w14:textId="77777777" w:rsidR="00FA2119" w:rsidRDefault="00FA2119" w:rsidP="00FA2119">
      <w:pPr>
        <w:pStyle w:val="2"/>
        <w:rPr>
          <w:rtl/>
        </w:rPr>
      </w:pPr>
      <w:r>
        <w:rPr>
          <w:rtl/>
        </w:rPr>
        <w:t>סעיף לז: העושה שליח שיתן הגט לאחר שלושים יום.</w:t>
      </w:r>
    </w:p>
    <w:p w14:paraId="2957335F" w14:textId="66F8C1B6" w:rsidR="00FA2119" w:rsidRDefault="00FA2119" w:rsidP="00FA2119">
      <w:pPr>
        <w:rPr>
          <w:rtl/>
        </w:rPr>
      </w:pPr>
      <w:r>
        <w:rPr>
          <w:rFonts w:cs="Arial"/>
          <w:b/>
          <w:bCs/>
          <w:rtl/>
        </w:rPr>
        <w:t xml:space="preserve">גיטין </w:t>
      </w:r>
      <w:r>
        <w:rPr>
          <w:rFonts w:cs="Arial"/>
          <w:b/>
          <w:bCs/>
          <w:sz w:val="16"/>
          <w:szCs w:val="16"/>
          <w:rtl/>
        </w:rPr>
        <w:t xml:space="preserve">(פ' כל הגט) </w:t>
      </w:r>
      <w:r>
        <w:rPr>
          <w:rFonts w:cs="Arial"/>
          <w:b/>
          <w:bCs/>
          <w:rtl/>
        </w:rPr>
        <w:t xml:space="preserve">כט ע"ב: </w:t>
      </w:r>
      <w:r>
        <w:rPr>
          <w:rFonts w:cs="Arial"/>
          <w:rtl/>
        </w:rPr>
        <w:t>ההוא גברא</w:t>
      </w:r>
      <w:r>
        <w:rPr>
          <w:rtl/>
        </w:rPr>
        <w:t xml:space="preserve"> </w:t>
      </w:r>
      <w:r>
        <w:rPr>
          <w:rFonts w:cs="Arial"/>
          <w:rtl/>
        </w:rPr>
        <w:t>דשדר לה גיטא לדביתהו, א"ל לשליח: לא תיתביה ניהלה עד תלתין יומין. אתניס בגו תלתין</w:t>
      </w:r>
      <w:r>
        <w:rPr>
          <w:rStyle w:val="a7"/>
          <w:rFonts w:cs="Arial"/>
          <w:rtl/>
        </w:rPr>
        <w:footnoteReference w:id="2006"/>
      </w:r>
      <w:r>
        <w:rPr>
          <w:rFonts w:cs="Arial"/>
          <w:rtl/>
        </w:rPr>
        <w:t xml:space="preserve"> יומין, אתא לקמיה דרבא, </w:t>
      </w:r>
      <w:r>
        <w:rPr>
          <w:rFonts w:cs="Arial"/>
          <w:u w:val="single"/>
          <w:rtl/>
        </w:rPr>
        <w:t>אמר רבא</w:t>
      </w:r>
      <w:r>
        <w:rPr>
          <w:rFonts w:cs="Arial"/>
          <w:rtl/>
        </w:rPr>
        <w:t xml:space="preserve">: חלה טעמא מאי? משום דאנוס, האי נמי אנוס הוא, אמר ליה: מסור מילך קמי דידן, דלבתר תלתין יומין משוינן שליח ויהיב ליה ניהלה. </w:t>
      </w:r>
      <w:r>
        <w:rPr>
          <w:rFonts w:cs="Arial"/>
          <w:u w:val="single"/>
          <w:rtl/>
        </w:rPr>
        <w:t>א"ל רבנן לרבא</w:t>
      </w:r>
      <w:r>
        <w:rPr>
          <w:rFonts w:cs="Arial"/>
          <w:rtl/>
        </w:rPr>
        <w:t>: והא שליח שלא ניתן לגירושין הוא</w:t>
      </w:r>
      <w:r>
        <w:rPr>
          <w:rStyle w:val="a7"/>
          <w:rFonts w:cs="Arial"/>
          <w:rtl/>
        </w:rPr>
        <w:footnoteReference w:id="2007"/>
      </w:r>
      <w:r>
        <w:rPr>
          <w:rFonts w:cs="Arial"/>
          <w:rtl/>
        </w:rPr>
        <w:t xml:space="preserve">! </w:t>
      </w:r>
      <w:r>
        <w:rPr>
          <w:rFonts w:cs="Arial"/>
          <w:u w:val="single"/>
          <w:rtl/>
        </w:rPr>
        <w:t>אמר להו</w:t>
      </w:r>
      <w:r>
        <w:rPr>
          <w:rFonts w:cs="Arial"/>
          <w:rtl/>
        </w:rPr>
        <w:t>: כיון דלבתר תלתין יומין מצי מגרש, כשליח שניתן לגירושין הוא. וליחוש</w:t>
      </w:r>
      <w:r>
        <w:rPr>
          <w:rStyle w:val="a7"/>
          <w:rFonts w:cs="Arial"/>
          <w:rtl/>
        </w:rPr>
        <w:footnoteReference w:id="2008"/>
      </w:r>
      <w:r>
        <w:rPr>
          <w:rFonts w:cs="Arial"/>
          <w:rtl/>
        </w:rPr>
        <w:t xml:space="preserve"> שמא פייס, מי לא תנן: מעכשיו אם לא באתי מכאן ועד יב"ח, ומת בתוך יב"ח </w:t>
      </w:r>
      <w:r w:rsidR="00A82951">
        <w:rPr>
          <w:rFonts w:cs="Arial"/>
          <w:rtl/>
        </w:rPr>
        <w:t>-</w:t>
      </w:r>
      <w:r>
        <w:rPr>
          <w:rFonts w:cs="Arial"/>
          <w:rtl/>
        </w:rPr>
        <w:t xml:space="preserve"> הרי זה גט; והוינן בה וניחוש שמא פייס</w:t>
      </w:r>
      <w:r>
        <w:rPr>
          <w:rStyle w:val="a7"/>
          <w:rFonts w:cs="Arial"/>
          <w:rtl/>
        </w:rPr>
        <w:footnoteReference w:id="2009"/>
      </w:r>
      <w:r>
        <w:rPr>
          <w:rFonts w:cs="Arial"/>
          <w:rtl/>
        </w:rPr>
        <w:t>, ואמר רבה בר רב הונא הכי אמר אבא מרי משמיה דרב: באומר</w:t>
      </w:r>
      <w:r>
        <w:rPr>
          <w:rStyle w:val="a7"/>
          <w:rFonts w:cs="Arial"/>
          <w:rtl/>
        </w:rPr>
        <w:footnoteReference w:id="2010"/>
      </w:r>
      <w:r>
        <w:rPr>
          <w:rFonts w:cs="Arial"/>
          <w:rtl/>
        </w:rPr>
        <w:t xml:space="preserve"> נאמנת עלי לומר שלא באתי! איכסיף. לסוף איגלאי מילתא דארוסה הואי, </w:t>
      </w:r>
      <w:r>
        <w:rPr>
          <w:rFonts w:cs="Arial"/>
          <w:u w:val="single"/>
          <w:rtl/>
        </w:rPr>
        <w:t>אמר רבא</w:t>
      </w:r>
      <w:r>
        <w:rPr>
          <w:rFonts w:cs="Arial"/>
          <w:rtl/>
        </w:rPr>
        <w:t>: אם אמרו בנשואה</w:t>
      </w:r>
      <w:r>
        <w:rPr>
          <w:rStyle w:val="a7"/>
          <w:rFonts w:cs="Arial"/>
          <w:rtl/>
        </w:rPr>
        <w:footnoteReference w:id="2011"/>
      </w:r>
      <w:r>
        <w:rPr>
          <w:rFonts w:cs="Arial"/>
          <w:rtl/>
        </w:rPr>
        <w:t xml:space="preserve">, יאמרו בארוסה? </w:t>
      </w:r>
      <w:r>
        <w:rPr>
          <w:rFonts w:cs="Arial"/>
          <w:sz w:val="16"/>
          <w:szCs w:val="16"/>
          <w:rtl/>
        </w:rPr>
        <w:t>(ופרטי דיני חששת שמא פייס כתבם רבינו בסימן קמ"ד (סוף סה:), ב"י)</w:t>
      </w:r>
    </w:p>
    <w:p w14:paraId="115A829B" w14:textId="3AC3D82A" w:rsidR="00FA2119" w:rsidRDefault="00FA2119" w:rsidP="00FA2119">
      <w:pPr>
        <w:rPr>
          <w:u w:val="single"/>
          <w:rtl/>
        </w:rPr>
      </w:pPr>
      <w:r>
        <w:rPr>
          <w:u w:val="single"/>
          <w:rtl/>
        </w:rPr>
        <w:t xml:space="preserve">העושה שליח שיתן הגט לאחר שלושים יום </w:t>
      </w:r>
      <w:r w:rsidR="00A82951">
        <w:rPr>
          <w:u w:val="single"/>
          <w:rtl/>
        </w:rPr>
        <w:t>-</w:t>
      </w:r>
      <w:r>
        <w:rPr>
          <w:u w:val="single"/>
          <w:rtl/>
        </w:rPr>
        <w:t xml:space="preserve"> האם השליח יכול לעשות שליח אחר:</w:t>
      </w:r>
    </w:p>
    <w:p w14:paraId="58512589" w14:textId="68EF689A"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אבל אם עשה שליח ליתן גט לאשתו לאחר ל' יום ואירעו אונס שאינו יכול ליתנו לה לאחר ל' יום </w:t>
      </w:r>
      <w:r w:rsidR="00A82951">
        <w:rPr>
          <w:rFonts w:cs="Arial"/>
          <w:rtl/>
        </w:rPr>
        <w:t>-</w:t>
      </w:r>
      <w:r>
        <w:rPr>
          <w:rFonts w:cs="Arial"/>
          <w:rtl/>
        </w:rPr>
        <w:t xml:space="preserve"> יכול לעשות שליח בתוך ל' שיתנהו לה לאחר ל' יום אע</w:t>
      </w:r>
      <w:r w:rsidR="00DC23E6">
        <w:rPr>
          <w:rFonts w:cs="Arial" w:hint="cs"/>
          <w:rtl/>
        </w:rPr>
        <w:t>"</w:t>
      </w:r>
      <w:r>
        <w:rPr>
          <w:rFonts w:cs="Arial"/>
          <w:rtl/>
        </w:rPr>
        <w:t xml:space="preserve">פ שאינו עתה שליח לגירושין כיון שלאחר ל' יום יהיה שליח לגירושין, ובלבד שיאמינה שאפי' אם יאמר שבטל הגט תוך הזמן שתהא נאמנת לומר שלא בטלו. שכל מי שנותן גט כה"ג לאחר זמן אינו גט אא"כ יאמינה בכך כדלקמן. </w:t>
      </w:r>
      <w:r>
        <w:rPr>
          <w:color w:val="E36C0A" w:themeColor="accent6" w:themeShade="BF"/>
          <w:rtl/>
        </w:rPr>
        <w:t>(וכ"ס בשו"ע)</w:t>
      </w:r>
    </w:p>
    <w:p w14:paraId="3C19DF92" w14:textId="1385B70A" w:rsidR="00FA2119" w:rsidRDefault="00FA2119" w:rsidP="006A458D">
      <w:pPr>
        <w:pStyle w:val="ab"/>
        <w:numPr>
          <w:ilvl w:val="0"/>
          <w:numId w:val="102"/>
        </w:numPr>
      </w:pPr>
      <w:r>
        <w:rPr>
          <w:rFonts w:cs="Arial"/>
          <w:rtl/>
        </w:rPr>
        <w:lastRenderedPageBreak/>
        <w:t>רמ"ה</w:t>
      </w:r>
      <w:r>
        <w:rPr>
          <w:rFonts w:cs="Arial"/>
          <w:sz w:val="16"/>
          <w:szCs w:val="16"/>
          <w:rtl/>
        </w:rPr>
        <w:t xml:space="preserve"> (כ"כ הטור בשמו)</w:t>
      </w:r>
      <w:r w:rsidR="00A82951">
        <w:rPr>
          <w:rFonts w:cs="Arial"/>
          <w:rtl/>
        </w:rPr>
        <w:t>-</w:t>
      </w:r>
      <w:r>
        <w:rPr>
          <w:rFonts w:cs="Arial"/>
          <w:rtl/>
        </w:rPr>
        <w:t xml:space="preserve"> דוקא שלא יתן מיד הגט ליד שליח הב', אלא ימסור שליחותו לב"ד והם לא יעשו לשני שליח אלא עד לאחר ל' יום, אבל לא יתנו לשליח אע"פ שמתנה עליו שלא יתננו לה עד לאחר ל' יום</w:t>
      </w:r>
      <w:r>
        <w:rPr>
          <w:rStyle w:val="a7"/>
          <w:rFonts w:cs="Arial"/>
          <w:rtl/>
        </w:rPr>
        <w:footnoteReference w:id="2012"/>
      </w:r>
      <w:r>
        <w:rPr>
          <w:rFonts w:cs="Arial"/>
          <w:rtl/>
        </w:rPr>
        <w:t>, שמא לא ידקדק בשליחותו ויתנו לה קודם</w:t>
      </w:r>
      <w:r>
        <w:rPr>
          <w:rStyle w:val="a7"/>
          <w:rFonts w:cs="Arial"/>
          <w:rtl/>
        </w:rPr>
        <w:footnoteReference w:id="2013"/>
      </w:r>
      <w:r>
        <w:rPr>
          <w:rFonts w:cs="Arial"/>
          <w:sz w:val="16"/>
          <w:szCs w:val="16"/>
          <w:rtl/>
        </w:rPr>
        <w:t xml:space="preserve"> (ל' הטור בשמו)</w:t>
      </w:r>
      <w:r>
        <w:rPr>
          <w:rFonts w:cs="Arial"/>
          <w:rtl/>
        </w:rPr>
        <w:t>.</w:t>
      </w:r>
    </w:p>
    <w:p w14:paraId="47A2C5F8"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A91A471" w14:textId="77777777" w:rsidR="00FA2119" w:rsidRDefault="00FA2119" w:rsidP="00FA2119">
      <w:pPr>
        <w:rPr>
          <w:rtl/>
        </w:rPr>
      </w:pPr>
      <w:r>
        <w:rPr>
          <w:rFonts w:cs="Arial"/>
          <w:rtl/>
        </w:rPr>
        <w:t>נתן הגט לשליח ואמר לו: לא תתנהו לה עד שלושים יום, אם חלה או נאנס</w:t>
      </w:r>
      <w:r>
        <w:rPr>
          <w:rStyle w:val="a7"/>
          <w:rFonts w:cs="Arial"/>
          <w:rtl/>
        </w:rPr>
        <w:footnoteReference w:id="2014"/>
      </w:r>
      <w:r>
        <w:rPr>
          <w:rFonts w:cs="Arial"/>
          <w:rtl/>
        </w:rPr>
        <w:t xml:space="preserve"> בתוך שלשים, יכול לעשות שליח שיתנהו לה לאחר שלושים יום, אף על פי שאינו עכשיו שליח לגירושין, הואיל ולאחר שלושים יום יהיה שליח לגירושין</w:t>
      </w:r>
      <w:r>
        <w:rPr>
          <w:rStyle w:val="a7"/>
          <w:rFonts w:cs="Arial"/>
          <w:rtl/>
        </w:rPr>
        <w:footnoteReference w:id="2015"/>
      </w:r>
      <w:r>
        <w:rPr>
          <w:rFonts w:cs="Arial"/>
          <w:rtl/>
        </w:rPr>
        <w:t>, ובלבד שיאמר הבעל: נאמנת עלי שלא פייסתי</w:t>
      </w:r>
      <w:r>
        <w:rPr>
          <w:rStyle w:val="a7"/>
          <w:rFonts w:cs="Arial"/>
          <w:rtl/>
        </w:rPr>
        <w:footnoteReference w:id="2016"/>
      </w:r>
      <w:r>
        <w:rPr>
          <w:rFonts w:cs="Arial"/>
          <w:rtl/>
        </w:rPr>
        <w:t>, אם היא נשואה</w:t>
      </w:r>
      <w:r>
        <w:rPr>
          <w:rStyle w:val="a7"/>
          <w:rFonts w:cs="Arial"/>
          <w:rtl/>
        </w:rPr>
        <w:footnoteReference w:id="2017"/>
      </w:r>
      <w:r>
        <w:rPr>
          <w:rFonts w:cs="Arial"/>
          <w:rtl/>
        </w:rPr>
        <w:t xml:space="preserve">. ויש מי שאומר שלא ימסור מיד לשליח שני, אלא ימסור שליחתו לבית דין, והם לא יעשו לשני שליח עד אחר שלושים יום. </w:t>
      </w:r>
    </w:p>
    <w:p w14:paraId="505E6BBA" w14:textId="77777777" w:rsidR="00FA2119" w:rsidRDefault="00FA2119" w:rsidP="00FA2119">
      <w:pPr>
        <w:rPr>
          <w:rtl/>
        </w:rPr>
      </w:pPr>
    </w:p>
    <w:p w14:paraId="51578EE5" w14:textId="77777777" w:rsidR="00FA2119" w:rsidRDefault="00FA2119" w:rsidP="00FA2119">
      <w:pPr>
        <w:pStyle w:val="2"/>
        <w:rPr>
          <w:rtl/>
        </w:rPr>
      </w:pPr>
      <w:r>
        <w:rPr>
          <w:rtl/>
        </w:rPr>
        <w:t>סעיף לח: בעל שאמר לשליח 'הולך' או 'אתה הולך'.</w:t>
      </w:r>
    </w:p>
    <w:p w14:paraId="2711B63E" w14:textId="3898A77E" w:rsidR="00FA2119" w:rsidRDefault="00FA2119" w:rsidP="00FA2119">
      <w:pPr>
        <w:rPr>
          <w:rtl/>
        </w:rPr>
      </w:pPr>
      <w:r>
        <w:rPr>
          <w:rFonts w:cs="Arial"/>
          <w:b/>
          <w:bCs/>
          <w:rtl/>
        </w:rPr>
        <w:t xml:space="preserve">גיטין </w:t>
      </w:r>
      <w:r>
        <w:rPr>
          <w:rFonts w:cs="Arial"/>
          <w:b/>
          <w:bCs/>
          <w:sz w:val="16"/>
          <w:szCs w:val="16"/>
          <w:rtl/>
        </w:rPr>
        <w:t xml:space="preserve">(פ' כל הגט) </w:t>
      </w:r>
      <w:r>
        <w:rPr>
          <w:rFonts w:cs="Arial"/>
          <w:b/>
          <w:bCs/>
          <w:rtl/>
        </w:rPr>
        <w:t>כט ע"</w:t>
      </w:r>
      <w:r w:rsidR="00620642">
        <w:rPr>
          <w:rFonts w:cs="Arial" w:hint="cs"/>
          <w:b/>
          <w:bCs/>
          <w:rtl/>
        </w:rPr>
        <w:t>א</w:t>
      </w:r>
      <w:r>
        <w:rPr>
          <w:rFonts w:cs="Arial"/>
          <w:b/>
          <w:bCs/>
          <w:rtl/>
        </w:rPr>
        <w:t xml:space="preserve">: </w:t>
      </w:r>
      <w:r>
        <w:rPr>
          <w:rFonts w:cs="Arial"/>
          <w:u w:val="double"/>
          <w:rtl/>
        </w:rPr>
        <w:t>מתני'</w:t>
      </w:r>
      <w:r>
        <w:rPr>
          <w:rFonts w:cs="Arial"/>
          <w:rtl/>
        </w:rPr>
        <w:t xml:space="preserve">: המביא גט בא"י וחלה </w:t>
      </w:r>
      <w:r w:rsidR="00A82951">
        <w:rPr>
          <w:rFonts w:cs="Arial"/>
          <w:rtl/>
        </w:rPr>
        <w:t>-</w:t>
      </w:r>
      <w:r>
        <w:rPr>
          <w:rFonts w:cs="Arial"/>
          <w:rtl/>
        </w:rPr>
        <w:t xml:space="preserve"> הרי זה משלחו ביד אחר... </w:t>
      </w:r>
      <w:r>
        <w:rPr>
          <w:rtl/>
        </w:rPr>
        <w:t xml:space="preserve">      </w:t>
      </w:r>
      <w:r>
        <w:rPr>
          <w:rFonts w:cs="Arial"/>
          <w:u w:val="double"/>
          <w:rtl/>
        </w:rPr>
        <w:t>גמ'</w:t>
      </w:r>
      <w:r>
        <w:rPr>
          <w:rFonts w:cs="Arial"/>
          <w:rtl/>
        </w:rPr>
        <w:t xml:space="preserve">: </w:t>
      </w:r>
      <w:r>
        <w:rPr>
          <w:rFonts w:cs="Arial"/>
          <w:u w:val="single"/>
          <w:rtl/>
        </w:rPr>
        <w:t>אמר רב כהנא</w:t>
      </w:r>
      <w:r>
        <w:rPr>
          <w:rFonts w:cs="Arial"/>
          <w:rtl/>
        </w:rPr>
        <w:t xml:space="preserve">: חלה תנן. פשיטא, חלה קתני! מהו דתימא ה"ה אף על גב דלא חלה, והאי דקתני חלה </w:t>
      </w:r>
      <w:r w:rsidR="00A82951">
        <w:rPr>
          <w:rFonts w:cs="Arial"/>
          <w:rtl/>
        </w:rPr>
        <w:t>-</w:t>
      </w:r>
      <w:r>
        <w:rPr>
          <w:rFonts w:cs="Arial"/>
          <w:rtl/>
        </w:rPr>
        <w:t xml:space="preserve"> אורחא דמילתא קתני, קמ"ל. היכי דמי? אי דא"ל הולך, אף על גב דלא חלה נמי! ואי דא"ל את הולך, אפי' חלה נמי לא! ואי רשב"ג, אפילו חלה נמי לא! דתניא: הולך גט זה לאשתי </w:t>
      </w:r>
      <w:r w:rsidR="00A82951">
        <w:rPr>
          <w:rFonts w:cs="Arial"/>
          <w:rtl/>
        </w:rPr>
        <w:t>-</w:t>
      </w:r>
      <w:r>
        <w:rPr>
          <w:rFonts w:cs="Arial"/>
          <w:rtl/>
        </w:rPr>
        <w:t xml:space="preserve"> ה"ז משלחו ביד אחר, את הולך גט זה לאשתי </w:t>
      </w:r>
      <w:r w:rsidR="00A82951">
        <w:rPr>
          <w:rFonts w:cs="Arial"/>
          <w:rtl/>
        </w:rPr>
        <w:t>-</w:t>
      </w:r>
      <w:r>
        <w:rPr>
          <w:rFonts w:cs="Arial"/>
          <w:rtl/>
        </w:rPr>
        <w:t xml:space="preserve"> הרי זה לא ישלחנו ביד אחר, </w:t>
      </w:r>
      <w:r w:rsidRPr="00A65E3D">
        <w:rPr>
          <w:rFonts w:cs="Arial"/>
          <w:u w:val="single"/>
          <w:rtl/>
        </w:rPr>
        <w:t>רשב"ג אומר</w:t>
      </w:r>
      <w:r>
        <w:rPr>
          <w:rFonts w:cs="Arial"/>
          <w:rtl/>
        </w:rPr>
        <w:t>: בין כך ובין כך אין השליח עושה שליח! איבעית אימא: הולך, והוא דחלה; ואי בעית אימא: את הולך, וחלה שאני; ואי בעית אימא: רשב"ג היא, וחלה שאני.</w:t>
      </w:r>
      <w:r>
        <w:rPr>
          <w:rFonts w:cs="Arial"/>
          <w:sz w:val="16"/>
          <w:szCs w:val="16"/>
          <w:rtl/>
        </w:rPr>
        <w:t xml:space="preserve"> (וכתב הרי"ף (סוף יד.) שיש פוסקים כלישנא מציעאה דאתי כרבנן דברייתא, ויש פוסקים כלישנא בתרא, וכן הדעת נוטה. כלומר משום דמתניתין סתמא קתני ואיירי בין בהולך בין באת הולך. וכן דעת הרא"ש (סי' ו). וכ</w:t>
      </w:r>
      <w:r w:rsidR="00A65E3D">
        <w:rPr>
          <w:rFonts w:cs="Arial" w:hint="cs"/>
          <w:sz w:val="16"/>
          <w:szCs w:val="16"/>
          <w:rtl/>
        </w:rPr>
        <w:t>"פ</w:t>
      </w:r>
      <w:r>
        <w:rPr>
          <w:rFonts w:cs="Arial"/>
          <w:sz w:val="16"/>
          <w:szCs w:val="16"/>
          <w:rtl/>
        </w:rPr>
        <w:t xml:space="preserve"> הרמב"ם בפ"ט (הל"ה). וכתב הה"מ שכן דעת הרמב"ן (כט. ד"ה אב"א, ספר הזכות יד:) והרשב"א (שם ד"ה המביא). ולזה נוטה דעת הר"ן (יד: דיבור ראשון). ורבינו חננאל פוסק כלישנא מציעאה, וכתב הר"ן שכן דעת הראב"ד (בהשגות לרי"ף שבספר הזכות שם)</w:t>
      </w:r>
      <w:r>
        <w:rPr>
          <w:rStyle w:val="a7"/>
          <w:rFonts w:cs="Arial"/>
          <w:sz w:val="16"/>
          <w:szCs w:val="16"/>
          <w:rtl/>
        </w:rPr>
        <w:footnoteReference w:id="2018"/>
      </w:r>
      <w:r>
        <w:rPr>
          <w:rFonts w:cs="Arial"/>
          <w:sz w:val="16"/>
          <w:szCs w:val="16"/>
          <w:rtl/>
        </w:rPr>
        <w:t>, ושכתב דהא דבהולך לא בעינן חלה דוקא בארץ ישראל, אבל בחוצה לארץ אפילו הולך דוקא חלה, דכיון דצריך לעשות שליח בבית דין אפשר דבעל קפיד אא"כ חלה, ב"י)</w:t>
      </w:r>
    </w:p>
    <w:p w14:paraId="6D893433" w14:textId="2833171D" w:rsidR="00FA2119" w:rsidRDefault="00FA2119" w:rsidP="00FA2119">
      <w:pPr>
        <w:rPr>
          <w:u w:val="single"/>
          <w:rtl/>
        </w:rPr>
      </w:pPr>
      <w:r>
        <w:rPr>
          <w:u w:val="single"/>
          <w:rtl/>
        </w:rPr>
        <w:t xml:space="preserve">בעל שאמר לשליח 'הולך' או 'אתה הולך' </w:t>
      </w:r>
      <w:r w:rsidR="00A82951">
        <w:rPr>
          <w:u w:val="single"/>
          <w:rtl/>
        </w:rPr>
        <w:t>-</w:t>
      </w:r>
      <w:r>
        <w:rPr>
          <w:u w:val="single"/>
          <w:rtl/>
        </w:rPr>
        <w:t xml:space="preserve"> האם יכול השליח למנות שליח אחר:</w:t>
      </w:r>
    </w:p>
    <w:p w14:paraId="43A473E6" w14:textId="6772D265" w:rsidR="00FA2119" w:rsidRDefault="00FA2119" w:rsidP="006A458D">
      <w:pPr>
        <w:pStyle w:val="ab"/>
        <w:numPr>
          <w:ilvl w:val="0"/>
          <w:numId w:val="102"/>
        </w:numPr>
        <w:rPr>
          <w:rtl/>
        </w:rPr>
      </w:pPr>
      <w:r>
        <w:rPr>
          <w:rFonts w:cs="Arial"/>
          <w:rtl/>
        </w:rPr>
        <w:t xml:space="preserve">רי"ף </w:t>
      </w:r>
      <w:r>
        <w:rPr>
          <w:rFonts w:cs="Arial"/>
          <w:sz w:val="16"/>
          <w:szCs w:val="16"/>
          <w:rtl/>
        </w:rPr>
        <w:t xml:space="preserve">(יד.) </w:t>
      </w:r>
      <w:r>
        <w:rPr>
          <w:rFonts w:cs="Arial"/>
          <w:rtl/>
        </w:rPr>
        <w:t>רא"ש</w:t>
      </w:r>
      <w:r>
        <w:rPr>
          <w:rFonts w:cs="Arial"/>
          <w:sz w:val="16"/>
          <w:szCs w:val="16"/>
          <w:rtl/>
        </w:rPr>
        <w:t xml:space="preserve"> (סי' ו)</w:t>
      </w:r>
      <w:r>
        <w:rPr>
          <w:rFonts w:cs="Arial"/>
          <w:rtl/>
        </w:rPr>
        <w:t xml:space="preserve"> וטור</w:t>
      </w:r>
      <w:r w:rsidR="00A82951">
        <w:rPr>
          <w:rFonts w:cs="Arial"/>
          <w:rtl/>
        </w:rPr>
        <w:t>-</w:t>
      </w:r>
      <w:r>
        <w:rPr>
          <w:rFonts w:cs="Arial"/>
          <w:rtl/>
        </w:rPr>
        <w:t xml:space="preserve"> השולח גט ע"י שליח ואמר לו 'אל יתנהו לה אחר אלא אתה' ונתנו לאחר ונתנו לה </w:t>
      </w:r>
      <w:r w:rsidR="00A82951">
        <w:rPr>
          <w:rFonts w:cs="Arial"/>
          <w:rtl/>
        </w:rPr>
        <w:t>-</w:t>
      </w:r>
      <w:r>
        <w:rPr>
          <w:rFonts w:cs="Arial"/>
          <w:rtl/>
        </w:rPr>
        <w:t xml:space="preserve"> פשיטא שאינו גט, שהרי פירש שלא יתנהו לה אחר. אלא אפי' אמר ליה הולך לה סתם </w:t>
      </w:r>
      <w:r w:rsidR="00A82951">
        <w:rPr>
          <w:rFonts w:cs="Arial"/>
          <w:rtl/>
        </w:rPr>
        <w:t>-</w:t>
      </w:r>
      <w:r>
        <w:rPr>
          <w:rFonts w:cs="Arial"/>
          <w:rtl/>
        </w:rPr>
        <w:t xml:space="preserve"> לא ישלח לה ביד אחר כל זמן שיכול להוליכו. חלה או נאנס שאינו יכול להוליכו </w:t>
      </w:r>
      <w:r w:rsidR="00A82951">
        <w:rPr>
          <w:rFonts w:cs="Arial"/>
          <w:rtl/>
        </w:rPr>
        <w:t>-</w:t>
      </w:r>
      <w:r>
        <w:rPr>
          <w:rFonts w:cs="Arial"/>
          <w:rtl/>
        </w:rPr>
        <w:t xml:space="preserve"> ישלחנו ביד אחר, ואפי' אמר ליה 'אתה הולך', כיון שלא פירש שלא יוליכנו אחר</w:t>
      </w:r>
      <w:r>
        <w:rPr>
          <w:rFonts w:cs="Arial"/>
          <w:sz w:val="16"/>
          <w:szCs w:val="16"/>
          <w:rtl/>
        </w:rPr>
        <w:t xml:space="preserve"> (ל' הטור)</w:t>
      </w:r>
      <w:r>
        <w:rPr>
          <w:rFonts w:cs="Arial"/>
          <w:rtl/>
        </w:rPr>
        <w:t xml:space="preserve">. </w:t>
      </w:r>
      <w:r>
        <w:rPr>
          <w:color w:val="E36C0A" w:themeColor="accent6" w:themeShade="BF"/>
          <w:rtl/>
        </w:rPr>
        <w:t>(וכ"ס בשו"ע)</w:t>
      </w:r>
      <w:r>
        <w:rPr>
          <w:color w:val="00B0F0"/>
          <w:rtl/>
        </w:rPr>
        <w:t xml:space="preserve"> (וכ"פ הרמ"א)</w:t>
      </w:r>
    </w:p>
    <w:p w14:paraId="16FF23A3" w14:textId="1F67CA87" w:rsidR="00FA2119" w:rsidRDefault="00FA2119" w:rsidP="006A458D">
      <w:pPr>
        <w:pStyle w:val="ab"/>
        <w:numPr>
          <w:ilvl w:val="0"/>
          <w:numId w:val="102"/>
        </w:numPr>
      </w:pPr>
      <w:r>
        <w:rPr>
          <w:rFonts w:cs="Arial"/>
          <w:rtl/>
        </w:rPr>
        <w:t>ר"ח</w:t>
      </w:r>
      <w:r>
        <w:rPr>
          <w:rFonts w:cs="Arial"/>
          <w:sz w:val="16"/>
          <w:szCs w:val="16"/>
          <w:rtl/>
        </w:rPr>
        <w:t xml:space="preserve"> (כ"כ הטור בשמו)</w:t>
      </w:r>
      <w:r w:rsidR="00A82951">
        <w:rPr>
          <w:rFonts w:cs="Arial"/>
          <w:rtl/>
        </w:rPr>
        <w:t>-</w:t>
      </w:r>
      <w:r>
        <w:rPr>
          <w:rFonts w:cs="Arial"/>
          <w:rtl/>
        </w:rPr>
        <w:t xml:space="preserve"> בהולך סתם יכול לשלחו ע"י אחר אע"פ שלא חלה. וב'אתה הולך' </w:t>
      </w:r>
      <w:r w:rsidR="00A82951">
        <w:rPr>
          <w:rFonts w:cs="Arial"/>
          <w:rtl/>
        </w:rPr>
        <w:t>-</w:t>
      </w:r>
      <w:r>
        <w:rPr>
          <w:rFonts w:cs="Arial"/>
          <w:rtl/>
        </w:rPr>
        <w:t xml:space="preserve"> לא ישלחנו אא"כ חלה</w:t>
      </w:r>
      <w:r>
        <w:rPr>
          <w:rFonts w:cs="Arial"/>
          <w:sz w:val="16"/>
          <w:szCs w:val="16"/>
          <w:rtl/>
        </w:rPr>
        <w:t xml:space="preserve"> (ל' הטור בשמו)</w:t>
      </w:r>
      <w:r>
        <w:rPr>
          <w:rFonts w:cs="Arial"/>
          <w:rtl/>
        </w:rPr>
        <w:t>.</w:t>
      </w:r>
    </w:p>
    <w:p w14:paraId="5506D8F7"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2BE50C7" w14:textId="7ACC3E3B" w:rsidR="00FA2119" w:rsidRDefault="00FA2119" w:rsidP="00FA2119">
      <w:pPr>
        <w:rPr>
          <w:rtl/>
        </w:rPr>
      </w:pPr>
      <w:r>
        <w:rPr>
          <w:rFonts w:cs="Arial"/>
          <w:rtl/>
        </w:rPr>
        <w:lastRenderedPageBreak/>
        <w:t>השולח גט לאשתו, ואמר לו: הולך גט זה לאשתי, או שאמר לו: אתה הולך, לא ישלחנו</w:t>
      </w:r>
      <w:r>
        <w:rPr>
          <w:rStyle w:val="a7"/>
          <w:rFonts w:cs="Arial"/>
          <w:rtl/>
        </w:rPr>
        <w:footnoteReference w:id="2019"/>
      </w:r>
      <w:r>
        <w:rPr>
          <w:rFonts w:cs="Arial"/>
          <w:rtl/>
        </w:rPr>
        <w:t xml:space="preserve"> ביד אחר אלא אם כן חלה או נאנס, או שפירש לו שיוכל למנות שליח ושליח שליח עד כמה שלוחים. </w:t>
      </w:r>
      <w:r>
        <w:rPr>
          <w:rFonts w:cs="Arial"/>
          <w:sz w:val="18"/>
          <w:szCs w:val="18"/>
          <w:rtl/>
        </w:rPr>
        <w:t>[הגה] פירש לו שלא ישלחנו ביד אחר, לא יוכל לעשות שליח, אפי' חלה או נאנס (טור).</w:t>
      </w:r>
      <w:r>
        <w:rPr>
          <w:rFonts w:cs="Arial"/>
          <w:rtl/>
        </w:rPr>
        <w:t xml:space="preserve"> ויש מי שחולק ואמר דבהולך סתם יכול לשלחו על ידי אחר, אף על פי שלא חלה. ובאתה הולך, לא ישלחנו על ידי אחר אלא אם כן חלה או שפירש לו שיוכל למנות שליח. </w:t>
      </w:r>
    </w:p>
    <w:p w14:paraId="5A2D9BFD" w14:textId="77777777" w:rsidR="00FA2119" w:rsidRDefault="00FA2119" w:rsidP="00FA2119">
      <w:pPr>
        <w:rPr>
          <w:rtl/>
        </w:rPr>
      </w:pPr>
    </w:p>
    <w:p w14:paraId="22C60D82" w14:textId="77777777" w:rsidR="00FA2119" w:rsidRDefault="00FA2119" w:rsidP="00FA2119">
      <w:pPr>
        <w:pStyle w:val="2"/>
        <w:rPr>
          <w:rtl/>
        </w:rPr>
      </w:pPr>
      <w:r>
        <w:rPr>
          <w:rtl/>
        </w:rPr>
        <w:t>סעיף לט: שליח עושה שליח, וגם השליח השני עושה שליח.</w:t>
      </w:r>
    </w:p>
    <w:p w14:paraId="2301017B" w14:textId="3ABC0BB1" w:rsidR="00FA2119" w:rsidRDefault="00FA2119" w:rsidP="00FA2119">
      <w:pPr>
        <w:rPr>
          <w:rtl/>
        </w:rPr>
      </w:pPr>
      <w:r>
        <w:rPr>
          <w:rFonts w:cs="Arial"/>
          <w:b/>
          <w:bCs/>
          <w:rtl/>
        </w:rPr>
        <w:t xml:space="preserve">גיטין </w:t>
      </w:r>
      <w:r>
        <w:rPr>
          <w:rFonts w:cs="Arial"/>
          <w:b/>
          <w:bCs/>
          <w:sz w:val="16"/>
          <w:szCs w:val="16"/>
          <w:rtl/>
        </w:rPr>
        <w:t xml:space="preserve">(פ' כל הגט) </w:t>
      </w:r>
      <w:r>
        <w:rPr>
          <w:rFonts w:cs="Arial"/>
          <w:b/>
          <w:bCs/>
          <w:rtl/>
        </w:rPr>
        <w:t xml:space="preserve">כט ע"ב: </w:t>
      </w:r>
      <w:r>
        <w:rPr>
          <w:rFonts w:cs="Arial"/>
          <w:u w:val="double"/>
          <w:rtl/>
        </w:rPr>
        <w:t>מתני'</w:t>
      </w:r>
      <w:r>
        <w:rPr>
          <w:rFonts w:cs="Arial"/>
          <w:rtl/>
        </w:rPr>
        <w:t xml:space="preserve">: המביא גט ממדינת הים וחלה </w:t>
      </w:r>
      <w:r w:rsidR="00A82951">
        <w:rPr>
          <w:rFonts w:cs="Arial"/>
          <w:rtl/>
        </w:rPr>
        <w:t>-</w:t>
      </w:r>
      <w:r>
        <w:rPr>
          <w:rFonts w:cs="Arial"/>
          <w:rtl/>
        </w:rPr>
        <w:t xml:space="preserve"> עושה שליח בב"ד ומשלחו, ואומר לפניהם בפני נכתב ובפני נחתם; ואין שליח אחרון צריך שיאמר בפני נכתב ובפני נחתם</w:t>
      </w:r>
      <w:r>
        <w:rPr>
          <w:rStyle w:val="a7"/>
          <w:rFonts w:cs="Arial"/>
          <w:rtl/>
        </w:rPr>
        <w:footnoteReference w:id="2020"/>
      </w:r>
      <w:r>
        <w:rPr>
          <w:rFonts w:cs="Arial"/>
          <w:rtl/>
        </w:rPr>
        <w:t>, אלא אומר שליח ב"ד אני.</w:t>
      </w:r>
      <w:r>
        <w:rPr>
          <w:rtl/>
        </w:rPr>
        <w:t xml:space="preserve">      </w:t>
      </w:r>
      <w:r>
        <w:rPr>
          <w:u w:val="double"/>
          <w:rtl/>
        </w:rPr>
        <w:t>גמ'</w:t>
      </w:r>
      <w:r>
        <w:rPr>
          <w:rtl/>
        </w:rPr>
        <w:t xml:space="preserve">: </w:t>
      </w:r>
      <w:r>
        <w:rPr>
          <w:rFonts w:cs="Arial"/>
          <w:u w:val="single"/>
          <w:rtl/>
        </w:rPr>
        <w:t>אמר רבה</w:t>
      </w:r>
      <w:r>
        <w:rPr>
          <w:rFonts w:cs="Arial"/>
          <w:rtl/>
        </w:rPr>
        <w:t>: שליח בא"י עושה כמה שלוחין.</w:t>
      </w:r>
      <w:r>
        <w:rPr>
          <w:rFonts w:cs="Arial"/>
          <w:sz w:val="16"/>
          <w:szCs w:val="16"/>
          <w:rtl/>
        </w:rPr>
        <w:t xml:space="preserve"> (כלומר ראשון לשני ושני לשלישי וכן לעולם. ופירש רש"י והרי"ף (טו.) ואין צריך בית דין, הואיל ואין הראשון צריך לומר בפני נכתב ובפני נחתם, האחרון נמי אין צריך לומר שליח בית דין אני. וכתב הר"ן (ריש טו.) ומינה נמי דכל שנתקיים בחותמיו כיון שאין צריך לומר בפני נכתב ובפני נחתם </w:t>
      </w:r>
      <w:r w:rsidR="00A82951">
        <w:rPr>
          <w:rFonts w:cs="Arial"/>
          <w:sz w:val="16"/>
          <w:szCs w:val="16"/>
          <w:rtl/>
        </w:rPr>
        <w:t>-</w:t>
      </w:r>
      <w:r>
        <w:rPr>
          <w:rFonts w:cs="Arial"/>
          <w:sz w:val="16"/>
          <w:szCs w:val="16"/>
          <w:rtl/>
        </w:rPr>
        <w:t xml:space="preserve"> אינו צריך בית דין. וכ"כ הרמב"ם בפ"ז (שם). וכתב הה"מ שכן הסכים הרשב"א (כט: ד"ה אמרי). וכ"כ הרא"ש בריש גיטין (סי' ה) גבי הא דתניא (ה:) כיצד יעשה יטלנו ממנה ויחזור ויתננו לה וכו'. וכ"כ רי"ו (ח"ג נכ"ד רז:). וכתב הרא"ש בפרק כל הגט (סי' ח) ובלבד שיעשנו בפני עדים</w:t>
      </w:r>
      <w:r w:rsidR="00DD4908">
        <w:rPr>
          <w:rStyle w:val="a7"/>
          <w:rFonts w:cs="Arial"/>
          <w:sz w:val="16"/>
          <w:szCs w:val="16"/>
          <w:rtl/>
        </w:rPr>
        <w:footnoteReference w:id="2021"/>
      </w:r>
      <w:r>
        <w:rPr>
          <w:rFonts w:cs="Arial"/>
          <w:sz w:val="16"/>
          <w:szCs w:val="16"/>
          <w:rtl/>
        </w:rPr>
        <w:t xml:space="preserve"> דאין דבר שבערוה פחות משנים (גיטין ב:), ב"י)</w:t>
      </w:r>
    </w:p>
    <w:p w14:paraId="78A28992" w14:textId="77777777" w:rsidR="00FA2119" w:rsidRDefault="00FA2119" w:rsidP="00FA2119">
      <w:pPr>
        <w:rPr>
          <w:u w:val="single"/>
          <w:rtl/>
        </w:rPr>
      </w:pPr>
      <w:r>
        <w:rPr>
          <w:u w:val="single"/>
          <w:rtl/>
        </w:rPr>
        <w:t>שליח עושה שליח, וגם השליח השני עושה שליח:</w:t>
      </w:r>
    </w:p>
    <w:p w14:paraId="0E84A798" w14:textId="54D4BA8D"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והשליח שיעשה שליח יכול ג"כ לעשות שליח אחר אם אירע לו אונס, אפי' עד מאה... וא"צ לומר אם פירש שיעשה שליח אחר שעושין כמה שלוחים אפי' עד ק', אפי' שלא בפני ב"ד אם הוא בא"י או הגט מקויים, רק שיעשו זה לזה שליח בפני עדים.</w:t>
      </w:r>
      <w:r>
        <w:rPr>
          <w:color w:val="E36C0A" w:themeColor="accent6" w:themeShade="BF"/>
          <w:rtl/>
        </w:rPr>
        <w:t xml:space="preserve"> (וכ"פ בשו"ע</w:t>
      </w:r>
      <w:r>
        <w:rPr>
          <w:color w:val="E36C0A" w:themeColor="accent6" w:themeShade="BF"/>
          <w:sz w:val="16"/>
          <w:szCs w:val="16"/>
          <w:rtl/>
        </w:rPr>
        <w:t xml:space="preserve"> </w:t>
      </w:r>
      <w:r>
        <w:rPr>
          <w:color w:val="000000" w:themeColor="text1"/>
          <w:sz w:val="16"/>
          <w:szCs w:val="16"/>
          <w:rtl/>
        </w:rPr>
        <w:t>[כאן ובסע' הבא]</w:t>
      </w:r>
      <w:r>
        <w:rPr>
          <w:color w:val="E36C0A" w:themeColor="accent6" w:themeShade="BF"/>
          <w:rtl/>
        </w:rPr>
        <w:t>)</w:t>
      </w:r>
    </w:p>
    <w:p w14:paraId="121E27F2" w14:textId="77777777" w:rsidR="00FA2119" w:rsidRDefault="00FA2119" w:rsidP="00FA2119">
      <w:pPr>
        <w:ind w:left="360"/>
        <w:rPr>
          <w:u w:val="dotted"/>
        </w:rPr>
      </w:pPr>
      <w:r>
        <w:rPr>
          <w:u w:val="dotted"/>
          <w:rtl/>
        </w:rPr>
        <w:t>האם השליח השני יכול לעשות שליח גם בלי שארעו אונס או חולי:</w:t>
      </w:r>
    </w:p>
    <w:p w14:paraId="29EF2B75" w14:textId="6F383989" w:rsidR="00FA2119" w:rsidRDefault="00FA2119" w:rsidP="006A458D">
      <w:pPr>
        <w:pStyle w:val="ab"/>
        <w:numPr>
          <w:ilvl w:val="0"/>
          <w:numId w:val="102"/>
        </w:numPr>
      </w:pPr>
      <w:r>
        <w:rPr>
          <w:rFonts w:cs="Arial"/>
          <w:rtl/>
        </w:rPr>
        <w:t>רמ"ה</w:t>
      </w:r>
      <w:r>
        <w:rPr>
          <w:rFonts w:cs="Arial"/>
          <w:sz w:val="16"/>
          <w:szCs w:val="16"/>
          <w:rtl/>
        </w:rPr>
        <w:t xml:space="preserve"> (כ"כ הטור בשמו)</w:t>
      </w:r>
      <w:r w:rsidR="00A82951">
        <w:rPr>
          <w:rFonts w:cs="Arial"/>
          <w:rtl/>
        </w:rPr>
        <w:t>-</w:t>
      </w:r>
      <w:r>
        <w:rPr>
          <w:rFonts w:cs="Arial"/>
          <w:rtl/>
        </w:rPr>
        <w:t xml:space="preserve"> שליח שני יכול לעשות שליח אפי' בלא אונס דדוקא שליח ראשון דתלה בקפידא דבעל יש חילוק בין חלה ללא חלה, אבל בשליח שני אין חילוק. </w:t>
      </w:r>
    </w:p>
    <w:p w14:paraId="5762F85A" w14:textId="49CF9C95" w:rsidR="00FA2119" w:rsidRDefault="00FA2119" w:rsidP="006A458D">
      <w:pPr>
        <w:pStyle w:val="ab"/>
        <w:numPr>
          <w:ilvl w:val="0"/>
          <w:numId w:val="102"/>
        </w:numPr>
      </w:pPr>
      <w:r>
        <w:rPr>
          <w:rFonts w:cs="Arial"/>
          <w:rtl/>
        </w:rPr>
        <w:t xml:space="preserve">רי"ף </w:t>
      </w:r>
      <w:r>
        <w:rPr>
          <w:rFonts w:cs="Arial"/>
          <w:sz w:val="16"/>
          <w:szCs w:val="16"/>
          <w:rtl/>
        </w:rPr>
        <w:t>(סוף יד:, כ"כ גם הטור בשמו)</w:t>
      </w:r>
      <w:r>
        <w:rPr>
          <w:rFonts w:cs="Arial"/>
          <w:rtl/>
        </w:rPr>
        <w:t xml:space="preserve"> רמב"ם </w:t>
      </w:r>
      <w:r>
        <w:rPr>
          <w:rFonts w:cs="Arial"/>
          <w:sz w:val="16"/>
          <w:szCs w:val="16"/>
          <w:rtl/>
        </w:rPr>
        <w:t xml:space="preserve">(פ"ז הכ"א) </w:t>
      </w:r>
      <w:r>
        <w:rPr>
          <w:rFonts w:cs="Arial"/>
          <w:rtl/>
        </w:rPr>
        <w:t xml:space="preserve">ורא"ש </w:t>
      </w:r>
      <w:r>
        <w:rPr>
          <w:rFonts w:cs="Arial"/>
          <w:sz w:val="16"/>
          <w:szCs w:val="16"/>
          <w:rtl/>
        </w:rPr>
        <w:t>(סי' ח)</w:t>
      </w:r>
      <w:r w:rsidR="00A82951">
        <w:rPr>
          <w:rFonts w:cs="Arial"/>
          <w:rtl/>
        </w:rPr>
        <w:t>-</w:t>
      </w:r>
      <w:r>
        <w:rPr>
          <w:rFonts w:cs="Arial"/>
          <w:rtl/>
        </w:rPr>
        <w:t xml:space="preserve"> דוקא חלה, הא לאו הכי לא, דלא עדיף משליח ראשון שזה בא מכחו</w:t>
      </w:r>
      <w:r>
        <w:rPr>
          <w:rFonts w:cs="Arial"/>
          <w:sz w:val="16"/>
          <w:szCs w:val="16"/>
          <w:rtl/>
        </w:rPr>
        <w:t xml:space="preserve"> (ל' הב"י בשמם)</w:t>
      </w:r>
      <w:r>
        <w:rPr>
          <w:rFonts w:cs="Arial"/>
          <w:rtl/>
        </w:rPr>
        <w:t xml:space="preserve">. </w:t>
      </w:r>
      <w:r>
        <w:rPr>
          <w:color w:val="E36C0A" w:themeColor="accent6" w:themeShade="BF"/>
          <w:rtl/>
        </w:rPr>
        <w:t>(וכ"פ בשו"ע)</w:t>
      </w:r>
    </w:p>
    <w:p w14:paraId="0ADE6E2A" w14:textId="4BE38723" w:rsidR="00FA2119" w:rsidRDefault="00FA2119" w:rsidP="00FA2119">
      <w:pPr>
        <w:rPr>
          <w:u w:val="single"/>
          <w:rtl/>
        </w:rPr>
      </w:pPr>
      <w:r>
        <w:rPr>
          <w:u w:val="single"/>
          <w:rtl/>
        </w:rPr>
        <w:t xml:space="preserve">שליח שעשה שליח </w:t>
      </w:r>
      <w:r w:rsidR="00A82951">
        <w:rPr>
          <w:u w:val="single"/>
          <w:rtl/>
        </w:rPr>
        <w:t>-</w:t>
      </w:r>
      <w:r>
        <w:rPr>
          <w:u w:val="single"/>
          <w:rtl/>
        </w:rPr>
        <w:t xml:space="preserve"> האם השליח השני נאמן לומר שהשליח הראשון הוא שליח לגירושין ושהגט נכתב ונתחם בפניו:</w:t>
      </w:r>
    </w:p>
    <w:p w14:paraId="1234F017" w14:textId="13F62DDA" w:rsidR="00FA2119" w:rsidRDefault="00FA2119" w:rsidP="006A458D">
      <w:pPr>
        <w:pStyle w:val="ab"/>
        <w:numPr>
          <w:ilvl w:val="0"/>
          <w:numId w:val="102"/>
        </w:numPr>
      </w:pPr>
      <w:r>
        <w:rPr>
          <w:rFonts w:cs="Arial"/>
          <w:rtl/>
        </w:rPr>
        <w:t xml:space="preserve">ריב"ש </w:t>
      </w:r>
      <w:r>
        <w:rPr>
          <w:rFonts w:cs="Arial"/>
          <w:sz w:val="16"/>
          <w:szCs w:val="16"/>
          <w:rtl/>
        </w:rPr>
        <w:t>(סי' נג)</w:t>
      </w:r>
      <w:r w:rsidR="00A82951">
        <w:rPr>
          <w:rFonts w:cs="Arial"/>
          <w:rtl/>
        </w:rPr>
        <w:t>-</w:t>
      </w:r>
      <w:r>
        <w:rPr>
          <w:rFonts w:cs="Arial"/>
          <w:rtl/>
        </w:rPr>
        <w:t xml:space="preserve"> תקנה אחת היא</w:t>
      </w:r>
      <w:r w:rsidR="00D02F05">
        <w:rPr>
          <w:rFonts w:cs="Arial" w:hint="cs"/>
          <w:rtl/>
        </w:rPr>
        <w:t>,</w:t>
      </w:r>
      <w:r>
        <w:rPr>
          <w:rFonts w:cs="Arial"/>
          <w:rtl/>
        </w:rPr>
        <w:t xml:space="preserve"> שכמו שהשליח הראשון נאמן לומר בפני נכתב ובפני נחתם ונתקיים הגט על פיו ונאמן לומר שליח לגירושין אני בלא עדים ובלא שטר, כך השליח השני שהגט בידו נאמן לומר נתקיים הגט הזה בפני בית דין על ידי השליח הראשון שאמר בפני נכתב ובפני נחתם ואני שלוחו שמינה אותי בפני בית דין. אמנם אין צריך לומר ולהאריך רק 'שליח בית דין אני', וממילא ידעינן שכך היה. ואין צריך לשטר שליחות</w:t>
      </w:r>
      <w:r>
        <w:rPr>
          <w:rStyle w:val="a7"/>
          <w:rFonts w:cs="Arial"/>
          <w:rtl/>
        </w:rPr>
        <w:footnoteReference w:id="2022"/>
      </w:r>
      <w:r>
        <w:rPr>
          <w:rFonts w:cs="Arial"/>
          <w:rtl/>
        </w:rPr>
        <w:t xml:space="preserve"> ולא לעדים, וכל שכן כשבידו שטר שליחות. ולא בעי קיום אלא מדרבנן. וכך יראה מפשטא דמתניתין (כט:) דתנן אין השליח האחרון צריך שיאמר בפני נכתב ובפני נחתם אלא אומר שליח בית דין אני. וכן נראה מדברי הרמב"ם (פ"ז הכ"א). ואם נתקיים הגט בחותמיו, אע"פ שנתנו שליח לשליח אחר בינם לבין עצמם עד שהגיע גט לידה </w:t>
      </w:r>
      <w:r w:rsidR="00A82951">
        <w:rPr>
          <w:rFonts w:cs="Arial"/>
          <w:rtl/>
        </w:rPr>
        <w:t>-</w:t>
      </w:r>
      <w:r>
        <w:rPr>
          <w:rFonts w:cs="Arial"/>
          <w:rtl/>
        </w:rPr>
        <w:t xml:space="preserve"> הרי זה גט כשר</w:t>
      </w:r>
      <w:r>
        <w:rPr>
          <w:rStyle w:val="a7"/>
          <w:rFonts w:cs="Arial"/>
          <w:rtl/>
        </w:rPr>
        <w:footnoteReference w:id="2023"/>
      </w:r>
      <w:r>
        <w:rPr>
          <w:rFonts w:cs="Arial"/>
          <w:rtl/>
        </w:rPr>
        <w:t xml:space="preserve">.  </w:t>
      </w:r>
    </w:p>
    <w:p w14:paraId="13EB69FD" w14:textId="77777777" w:rsidR="00FA2119" w:rsidRDefault="00FA2119" w:rsidP="00FA2119">
      <w:pPr>
        <w:ind w:left="360"/>
        <w:rPr>
          <w:u w:val="dotted"/>
        </w:rPr>
      </w:pPr>
      <w:r>
        <w:rPr>
          <w:u w:val="dotted"/>
          <w:rtl/>
        </w:rPr>
        <w:lastRenderedPageBreak/>
        <w:t>ומה הדין אם כשאמר הראשון 'בפני נכתב ובפני נחתם' הם לא היו בפני בית דין:</w:t>
      </w:r>
    </w:p>
    <w:p w14:paraId="494DDB43" w14:textId="07F7EECD" w:rsidR="00FA2119" w:rsidRDefault="00FA2119" w:rsidP="006A458D">
      <w:pPr>
        <w:pStyle w:val="ab"/>
        <w:numPr>
          <w:ilvl w:val="0"/>
          <w:numId w:val="102"/>
        </w:numPr>
      </w:pPr>
      <w:r>
        <w:rPr>
          <w:rFonts w:cs="Arial"/>
          <w:rtl/>
        </w:rPr>
        <w:t>ב"י</w:t>
      </w:r>
      <w:r w:rsidR="00A82951">
        <w:rPr>
          <w:rFonts w:cs="Arial"/>
          <w:rtl/>
        </w:rPr>
        <w:t>-</w:t>
      </w:r>
      <w:r>
        <w:rPr>
          <w:rFonts w:cs="Arial"/>
          <w:rtl/>
        </w:rPr>
        <w:t xml:space="preserve"> ומכאן </w:t>
      </w:r>
      <w:r>
        <w:rPr>
          <w:rFonts w:cs="Arial"/>
          <w:sz w:val="16"/>
          <w:szCs w:val="16"/>
          <w:rtl/>
        </w:rPr>
        <w:t xml:space="preserve">{מדברי הריב"ש הנ"ל} </w:t>
      </w:r>
      <w:r>
        <w:rPr>
          <w:rFonts w:cs="Arial"/>
          <w:rtl/>
        </w:rPr>
        <w:t xml:space="preserve">נראה בהדיא שאם שליח ראשון מינה שליח שני, ולא נמצא שליח שני בפני בית דין בשעה שאמר שליח ראשון בפני נכתב ובפני נחתם </w:t>
      </w:r>
      <w:r w:rsidR="00A82951">
        <w:rPr>
          <w:rFonts w:cs="Arial"/>
          <w:rtl/>
        </w:rPr>
        <w:t>-</w:t>
      </w:r>
      <w:r>
        <w:rPr>
          <w:rFonts w:cs="Arial"/>
          <w:rtl/>
        </w:rPr>
        <w:t xml:space="preserve"> צריך לקיים שטר שליחותו אע"פ שהגט יוצא מתחת ידו, אא"כ נתקיים הגט בחותמיו.</w:t>
      </w:r>
    </w:p>
    <w:p w14:paraId="4AE176B3" w14:textId="77777777" w:rsidR="00FA2119" w:rsidRDefault="00FA2119" w:rsidP="00FA2119">
      <w:r>
        <w:rPr>
          <w:rFonts w:cs="Arial"/>
          <w:u w:val="single"/>
          <w:rtl/>
        </w:rPr>
        <w:t>נוסח שטר הרשאה לשליח שעושה שליח:</w:t>
      </w:r>
      <w:r>
        <w:rPr>
          <w:rFonts w:cs="Arial"/>
          <w:rtl/>
        </w:rPr>
        <w:t xml:space="preserve"> </w:t>
      </w:r>
      <w:r>
        <w:rPr>
          <w:rFonts w:cs="Arial"/>
          <w:sz w:val="16"/>
          <w:szCs w:val="16"/>
          <w:rtl/>
        </w:rPr>
        <w:t>(דרכ"מ אות לב)</w:t>
      </w:r>
      <w:r>
        <w:rPr>
          <w:rFonts w:cs="Arial"/>
          <w:rtl/>
        </w:rPr>
        <w:t xml:space="preserve"> </w:t>
      </w:r>
    </w:p>
    <w:p w14:paraId="5CBA225F" w14:textId="3DE003A3" w:rsidR="00576CCE" w:rsidRPr="00576CCE" w:rsidRDefault="00FA2119" w:rsidP="00576CCE">
      <w:pPr>
        <w:pStyle w:val="ab"/>
        <w:numPr>
          <w:ilvl w:val="0"/>
          <w:numId w:val="102"/>
        </w:numPr>
      </w:pPr>
      <w:r>
        <w:rPr>
          <w:rFonts w:cs="Arial"/>
          <w:rtl/>
        </w:rPr>
        <w:t>סדר גיטין</w:t>
      </w:r>
      <w:r>
        <w:rPr>
          <w:rFonts w:cs="Arial"/>
          <w:sz w:val="16"/>
          <w:szCs w:val="16"/>
          <w:rtl/>
        </w:rPr>
        <w:t xml:space="preserve"> (סי' ע</w:t>
      </w:r>
      <w:r w:rsidR="00576CCE">
        <w:rPr>
          <w:rFonts w:cs="Arial" w:hint="cs"/>
          <w:sz w:val="16"/>
          <w:szCs w:val="16"/>
          <w:rtl/>
        </w:rPr>
        <w:t>ח</w:t>
      </w:r>
      <w:r>
        <w:rPr>
          <w:rFonts w:cs="Arial"/>
          <w:sz w:val="16"/>
          <w:szCs w:val="16"/>
          <w:rtl/>
        </w:rPr>
        <w:t>)</w:t>
      </w:r>
      <w:r w:rsidR="00A82951">
        <w:rPr>
          <w:rFonts w:cs="Arial"/>
          <w:rtl/>
        </w:rPr>
        <w:t>-</w:t>
      </w:r>
      <w:r>
        <w:rPr>
          <w:rFonts w:cs="Arial"/>
          <w:rtl/>
        </w:rPr>
        <w:t xml:space="preserve"> </w:t>
      </w:r>
      <w:r w:rsidR="00576CCE" w:rsidRPr="00576CCE">
        <w:rPr>
          <w:rFonts w:cs="Arial"/>
          <w:rtl/>
        </w:rPr>
        <w:t>נוסח ההרשאה משליח ראשון לשליח שני, בכך בשבת בכך לירח פלוני שנת כך כך לבריאת עולם למנין שאנו מנין כאן במתא פלונית דיתבא על נהר פלוני ופלוני ועל מי מעינות במותב תלתא כחדא הוינא ואתא לקדמנא פלוני בן פלוני ובידו גט נכתב ונחתם בכך וכך בשבת בכך וכך לירח פלוני בכך וכך לבריאת עולם וחתומים עליו פלוני בן פלוני עד ופלוני בן פלוני עד וכך אמר בפנינו פלוני בן פלוני הנ"ל גט זה מסר בידי פלוני בן פלוני המכונה פלוני ועשאני שליח להולכה להוליך גט זה לאשתו פלונית בת פלוני המכונה פ' הנזכרת כפי הנזכר בהרשאה חתומה ומקויימת בהנפק בית דין חתומים עליה שהם פלוני בן פלוני ופלוני בן פלוני ופלוני בן פלוני אשר ראינו ביד פלוני בן פלוני נכתב ונחתם במתא פלונית בכך בשבת בכך לירח פלוני בשנת כך לבריאת עולם וחתום עליה פלוני בן פלוני ופלוני בן פלוני ומכח ההרשאה הנזכרת מינה השליח פלוני בן פלוני הנזכר את פלוני בן פלוני להיות שליח במקומו להוליך הגט ששלח הבעל פלוני בן פלוני המכונה פלוני ליד אשתו פלונית בת פלוני המכונה פ' ופלוני בן פלוני השליח מסר הגט אשר שלח הבעל פלוני בן פלוני ביד פלוני בן פלוני לגרש בו אשתו פלונית בת פלוני ליד פלוני בן פלוני ובתוך כדי דיבור אמר בפני נכתב ובפני נחתם ושאלנו אותו אם נכתב לשם פלוני בן פלוני הבעל ולשם אשתו פלונית בת פלוני ואמר הן וכך אמר השליח פלוני בן פלוני לפלוני בן פלוני הנ"ל הולך גט זה לפלונית בת פלוני המכונה פ' ותנהו לה בכל מקום שתמצאנה ותהא ידך כידי ועשייתך כעשייתי ופיך כפי ומיד שתגיע אתה או שלוחך או שליח שלוחך הגט ליד פלונית בת פלוני אשתו של פלוני בן פלוני תהא בו מגורשת ממנו ומותרת לכל אדם ואני נותן לך רשות לעשות שליח ושלוחך שליח עד מאה שלוחים ליתן גט זה ליד פלונית בת פלוני הנ"ל אשת פלוני בן פלוני הנ"ל בכל מקום שתמצאנה אתה או שלוחך או שליח שלוחך ובפנינו קיבל פלוני בן פלוני הנ"ל בחרם חמור שלא לבטל השליח ומה שנעשה בפנינו ושמענו וראינו כתבנו וחתמנו והכל שריר וקיים</w:t>
      </w:r>
      <w:r w:rsidR="00576CCE">
        <w:rPr>
          <w:rFonts w:cs="Arial" w:hint="cs"/>
          <w:rtl/>
        </w:rPr>
        <w:t>.</w:t>
      </w:r>
      <w:r w:rsidR="00576CCE" w:rsidRPr="00576CCE">
        <w:rPr>
          <w:rFonts w:cs="Arial"/>
          <w:rtl/>
        </w:rPr>
        <w:t xml:space="preserve"> </w:t>
      </w:r>
    </w:p>
    <w:p w14:paraId="4693974E" w14:textId="27BEEE93" w:rsidR="00FA2119" w:rsidRDefault="00576CCE" w:rsidP="00576CCE">
      <w:pPr>
        <w:pStyle w:val="ab"/>
        <w:numPr>
          <w:ilvl w:val="0"/>
          <w:numId w:val="102"/>
        </w:numPr>
      </w:pPr>
      <w:r>
        <w:rPr>
          <w:rFonts w:cs="Arial"/>
          <w:rtl/>
        </w:rPr>
        <w:t>סדר גיטין</w:t>
      </w:r>
      <w:r>
        <w:rPr>
          <w:rFonts w:cs="Arial"/>
          <w:sz w:val="16"/>
          <w:szCs w:val="16"/>
          <w:rtl/>
        </w:rPr>
        <w:t xml:space="preserve"> (סי' עט)</w:t>
      </w:r>
      <w:r>
        <w:rPr>
          <w:rFonts w:cs="Arial"/>
          <w:rtl/>
        </w:rPr>
        <w:t>-</w:t>
      </w:r>
      <w:r>
        <w:rPr>
          <w:rFonts w:cs="Arial" w:hint="cs"/>
          <w:rtl/>
        </w:rPr>
        <w:t xml:space="preserve"> </w:t>
      </w:r>
      <w:r w:rsidR="00FA2119">
        <w:rPr>
          <w:rFonts w:cs="Arial"/>
          <w:rtl/>
        </w:rPr>
        <w:t>ההרשאה משליח שני לשליח שלישי: בפנינו הדיינים החתומים מטה כך וכך בשבת כך וכך לירח פלוני שנת כך וכך לבריאת עולם למנין שאנו מנין כאן במתא פלונית דיתבא על נהר פלוני ופלוני ועל מי מעינות בא פלוני בן פלוני ובידו גט ששלח פלוני בן פלוני לגרש בו אשתו פלונית בת פלוני והביא לפנינו הרשאה מתוקנת כתיקון חכמים שנתמנה שליח על פי בית דין ולפני בית דין להוליך גט זה לפלונית בת פלוני אשתו של פלוני בן פלוני המכונה פלוני במקומו של פלוני בן פלוני שעשאו פלוני בן פלוני שליח בעדים להוליך גט זה לאשתו פלונית בת פלוני המכונה פ' ופלוני בן פלוני מינה על פינו ולפנינו לפלוני בן פלוני להיות שליח במקומו ובפנינו מסר הגט ליד פלוני בן פלוני הנ"ל להוליך אותו ליד פלונית בת פלוני אשתו של פלוני בן פלוני המכונה פלוני הנ"ל ובתוך כדי דיבור אמר שליח בית דין אני וכך אמר בפנינו חתומים מטה פלוני בן פלוני לפלוני בן פלוני הנ"ל הולך גט זה לפלונית בת פלוני המכונה פ' אשת פלוני בן פלוני המכונה פלוני ותהא ידך כידי ופיך כפי ועשייתך כעשייתי ואני נותן לך רשות לעשות שליח ושלוחך שליח עד מאה שלוחים ליתן גט זה ליד פלונית בת פלוני אשת פלוני בן פלוני בכל מקום שתמצאנה אתה או שלוחך או שליח שלוחך ומיד שתגיע אתה או שלוחך או שליח שלוחך הגט לידה תהא מגורשת בו ממנו ומותרת לכל אדם והגט שנעשה עליו פלוני בן פלוני שליח בית דין להולכה ככל הכתוב למעלה נכתב ונחתם בפלונית מתא בכך וכך בשבת כך וכך לירח פלוני שנת כך וכך לבריאת עולם ועדיו החתומים בו פלוני בן פלוני ופלוני בן פלוני ובפנינו קיבל פלוני בן פלוני שליח בית דין הנ"ל בחרם חמור ושבועה דאורייתא שלא לבטל השליח ומה שראינו ושמענו כתבנו וחתמנו והכל שריר וקיים. פלוני בן פלוני דיין. פלוני בן פלוני דיין. פלוני בן פלוני דיין</w:t>
      </w:r>
      <w:r w:rsidR="00FA2119">
        <w:rPr>
          <w:rStyle w:val="a7"/>
          <w:rFonts w:cs="Arial"/>
          <w:rtl/>
        </w:rPr>
        <w:footnoteReference w:id="2024"/>
      </w:r>
      <w:r w:rsidR="00FA2119">
        <w:rPr>
          <w:rFonts w:cs="Arial"/>
          <w:rtl/>
        </w:rPr>
        <w:t>.</w:t>
      </w:r>
    </w:p>
    <w:p w14:paraId="272062DB"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07D2508" w14:textId="77777777" w:rsidR="00FA2119" w:rsidRDefault="00FA2119" w:rsidP="00FA2119">
      <w:pPr>
        <w:rPr>
          <w:rtl/>
        </w:rPr>
      </w:pPr>
      <w:r>
        <w:rPr>
          <w:rFonts w:cs="Arial"/>
          <w:rtl/>
        </w:rPr>
        <w:t xml:space="preserve">דין שליח שני כדין שליח ראשון, שאינו יכול למנות שליח אלא אם כן נאנס או שפירש לו. </w:t>
      </w:r>
    </w:p>
    <w:p w14:paraId="7C026398" w14:textId="77777777" w:rsidR="00FA2119" w:rsidRDefault="00FA2119" w:rsidP="00FA2119">
      <w:pPr>
        <w:rPr>
          <w:rtl/>
        </w:rPr>
      </w:pPr>
    </w:p>
    <w:p w14:paraId="02B3A733" w14:textId="77777777" w:rsidR="00FA2119" w:rsidRDefault="00FA2119" w:rsidP="00FA2119">
      <w:pPr>
        <w:pStyle w:val="2"/>
        <w:rPr>
          <w:rtl/>
        </w:rPr>
      </w:pPr>
      <w:r>
        <w:rPr>
          <w:rtl/>
        </w:rPr>
        <w:lastRenderedPageBreak/>
        <w:t>סעיף מ: המשך הנ"ל.</w:t>
      </w:r>
    </w:p>
    <w:p w14:paraId="4121EF13" w14:textId="77777777" w:rsidR="00FA2119" w:rsidRDefault="00FA2119" w:rsidP="00FA2119">
      <w:pPr>
        <w:rPr>
          <w:rtl/>
        </w:rPr>
      </w:pPr>
      <w:r>
        <w:rPr>
          <w:rtl/>
        </w:rPr>
        <w:t>עיין במקורות בסעיף הקודם.</w:t>
      </w:r>
    </w:p>
    <w:p w14:paraId="4DDD7170"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355B5BF" w14:textId="73C1DA0E" w:rsidR="00FA2119" w:rsidRDefault="00FA2119" w:rsidP="00FA2119">
      <w:pPr>
        <w:rPr>
          <w:rtl/>
        </w:rPr>
      </w:pPr>
      <w:r>
        <w:rPr>
          <w:rFonts w:cs="Arial"/>
          <w:rtl/>
        </w:rPr>
        <w:t>כשממנה השליח שליח אחר, אם הוא צריך לומר בפני נכתב ובפני נחתם, צריך למנותו בפני בית דין</w:t>
      </w:r>
      <w:r>
        <w:rPr>
          <w:rStyle w:val="a7"/>
          <w:rFonts w:cs="Arial"/>
          <w:rtl/>
        </w:rPr>
        <w:footnoteReference w:id="2025"/>
      </w:r>
      <w:r>
        <w:rPr>
          <w:rFonts w:cs="Arial"/>
          <w:rtl/>
        </w:rPr>
        <w:t>. ואם אינו צריך לומר בפני נכתב ובפני נחתם, אין צריך למנותו בפני בית דין, אבל צריך למנותו בפני עדים</w:t>
      </w:r>
      <w:r>
        <w:rPr>
          <w:rStyle w:val="a7"/>
          <w:rFonts w:cs="Arial"/>
          <w:rtl/>
        </w:rPr>
        <w:footnoteReference w:id="2026"/>
      </w:r>
      <w:r>
        <w:rPr>
          <w:rFonts w:cs="Arial"/>
          <w:rtl/>
        </w:rPr>
        <w:t xml:space="preserve">. </w:t>
      </w:r>
      <w:r>
        <w:rPr>
          <w:rFonts w:cs="Arial"/>
          <w:sz w:val="18"/>
          <w:szCs w:val="18"/>
          <w:rtl/>
        </w:rPr>
        <w:t>[הגה] ועיין לקמן סימן קמ"ב סעיף ט'.</w:t>
      </w:r>
      <w:r>
        <w:rPr>
          <w:rFonts w:cs="Arial"/>
          <w:rtl/>
        </w:rPr>
        <w:t xml:space="preserve"> </w:t>
      </w:r>
    </w:p>
    <w:p w14:paraId="4A2A34FB" w14:textId="77777777" w:rsidR="00FA2119" w:rsidRDefault="00FA2119" w:rsidP="00FA2119">
      <w:pPr>
        <w:rPr>
          <w:rtl/>
        </w:rPr>
      </w:pPr>
    </w:p>
    <w:p w14:paraId="503F5DCB" w14:textId="77777777" w:rsidR="00FA2119" w:rsidRDefault="00FA2119" w:rsidP="00FA2119">
      <w:pPr>
        <w:pStyle w:val="2"/>
        <w:rPr>
          <w:rtl/>
        </w:rPr>
      </w:pPr>
      <w:r>
        <w:rPr>
          <w:rtl/>
        </w:rPr>
        <w:t>סעיף מא: מת השליח הראשון.</w:t>
      </w:r>
    </w:p>
    <w:p w14:paraId="29FE2211" w14:textId="435B8A58" w:rsidR="00FA2119" w:rsidRDefault="00FA2119" w:rsidP="00FA2119">
      <w:pPr>
        <w:rPr>
          <w:rtl/>
        </w:rPr>
      </w:pPr>
      <w:r>
        <w:rPr>
          <w:rFonts w:cs="Arial"/>
          <w:b/>
          <w:bCs/>
          <w:rtl/>
        </w:rPr>
        <w:t xml:space="preserve">גיטין </w:t>
      </w:r>
      <w:r>
        <w:rPr>
          <w:rFonts w:cs="Arial"/>
          <w:b/>
          <w:bCs/>
          <w:sz w:val="16"/>
          <w:szCs w:val="16"/>
          <w:rtl/>
        </w:rPr>
        <w:t xml:space="preserve">(פ' כל הגט) </w:t>
      </w:r>
      <w:r>
        <w:rPr>
          <w:rFonts w:cs="Arial"/>
          <w:b/>
          <w:bCs/>
          <w:rtl/>
        </w:rPr>
        <w:t xml:space="preserve">כט ע"ב: </w:t>
      </w:r>
      <w:r>
        <w:rPr>
          <w:rFonts w:cs="Arial"/>
          <w:u w:val="single"/>
          <w:rtl/>
        </w:rPr>
        <w:t>אמר רב אשי</w:t>
      </w:r>
      <w:r>
        <w:rPr>
          <w:rFonts w:cs="Arial"/>
          <w:rtl/>
        </w:rPr>
        <w:t xml:space="preserve">: אם מת ראשון </w:t>
      </w:r>
      <w:r w:rsidR="00A82951">
        <w:rPr>
          <w:rFonts w:cs="Arial"/>
          <w:rtl/>
        </w:rPr>
        <w:t>-</w:t>
      </w:r>
      <w:r>
        <w:rPr>
          <w:rFonts w:cs="Arial"/>
          <w:rtl/>
        </w:rPr>
        <w:t xml:space="preserve"> בטלו כולן. </w:t>
      </w:r>
      <w:r>
        <w:rPr>
          <w:rFonts w:cs="Arial"/>
          <w:u w:val="single"/>
          <w:rtl/>
        </w:rPr>
        <w:t>אמר מר בר רב אשי</w:t>
      </w:r>
      <w:r>
        <w:rPr>
          <w:rFonts w:cs="Arial"/>
          <w:rtl/>
        </w:rPr>
        <w:t>: הא דאבא דקטנותא היא</w:t>
      </w:r>
      <w:r>
        <w:rPr>
          <w:rStyle w:val="a7"/>
          <w:rFonts w:cs="Arial"/>
          <w:rtl/>
        </w:rPr>
        <w:footnoteReference w:id="2027"/>
      </w:r>
      <w:r>
        <w:rPr>
          <w:rFonts w:cs="Arial"/>
          <w:rtl/>
        </w:rPr>
        <w:t>, אילו מת בעל מידי מששא אית בהו? כולהו מכח מאן קאתו? מכח דבעל קאתו, איתיה לבעל איתנהו לכולהו, ליתיה לבעל ליתנהו לכולהו.</w:t>
      </w:r>
      <w:r>
        <w:rPr>
          <w:rFonts w:cs="Arial"/>
          <w:sz w:val="16"/>
          <w:szCs w:val="16"/>
          <w:rtl/>
        </w:rPr>
        <w:t xml:space="preserve"> (אבל ראשון לא איכפת לן בין מית ללא מית. וכתבו הרי"ף (טו.) והרא"ש (סי' ח) דהלכה כמר בר רב אשי. וכ"פ הרמב"ם בפ"ז מהל' גירושין (הכ"א), ב"י)</w:t>
      </w:r>
    </w:p>
    <w:p w14:paraId="156DC08B" w14:textId="6B43B70F" w:rsidR="00FA2119" w:rsidRDefault="00FA2119" w:rsidP="00FA2119">
      <w:pPr>
        <w:rPr>
          <w:u w:val="single"/>
          <w:rtl/>
        </w:rPr>
      </w:pPr>
      <w:r>
        <w:rPr>
          <w:u w:val="single"/>
          <w:rtl/>
        </w:rPr>
        <w:t xml:space="preserve">מת השליח הראשון </w:t>
      </w:r>
      <w:r w:rsidR="00A82951">
        <w:rPr>
          <w:u w:val="single"/>
          <w:rtl/>
        </w:rPr>
        <w:t>-</w:t>
      </w:r>
      <w:r>
        <w:rPr>
          <w:u w:val="single"/>
          <w:rtl/>
        </w:rPr>
        <w:t xml:space="preserve"> האם נתבטלה שליחות כולם:</w:t>
      </w:r>
    </w:p>
    <w:p w14:paraId="2E804A39" w14:textId="762FC565"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ואפי' מת השליח הראשון לא נתבטל השליחות כל זמן שהבעל קיים. מת הבעל </w:t>
      </w:r>
      <w:r w:rsidR="00A82951">
        <w:rPr>
          <w:rFonts w:cs="Arial"/>
          <w:rtl/>
        </w:rPr>
        <w:t>-</w:t>
      </w:r>
      <w:r>
        <w:rPr>
          <w:rFonts w:cs="Arial"/>
          <w:rtl/>
        </w:rPr>
        <w:t xml:space="preserve"> בטלו כולם. </w:t>
      </w:r>
      <w:r>
        <w:rPr>
          <w:color w:val="E36C0A" w:themeColor="accent6" w:themeShade="BF"/>
          <w:rtl/>
        </w:rPr>
        <w:t>(וכ"פ בשו"ע)</w:t>
      </w:r>
    </w:p>
    <w:p w14:paraId="0AAC2941"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9B74D1A" w14:textId="77777777" w:rsidR="00FA2119" w:rsidRDefault="00FA2119" w:rsidP="00FA2119">
      <w:pPr>
        <w:rPr>
          <w:rtl/>
        </w:rPr>
      </w:pPr>
      <w:r>
        <w:rPr>
          <w:rFonts w:cs="Arial"/>
          <w:rtl/>
        </w:rPr>
        <w:t xml:space="preserve">שליח שעשה שני, ושני שלישי, אם מת הבעל נתבטלו כלם. אבל אם הבעל קיים, אף על פי שמת השליח הראשון, לא נתבטל שליחות השאר, מאחר שהבעל קיים. </w:t>
      </w:r>
    </w:p>
    <w:p w14:paraId="4E7D7D0D" w14:textId="57B7D34D" w:rsidR="00FA2119" w:rsidRPr="00525FA3" w:rsidRDefault="00FA2119" w:rsidP="00525FA3">
      <w:pPr>
        <w:rPr>
          <w:rFonts w:cs="Arial"/>
          <w:rtl/>
        </w:rPr>
      </w:pPr>
      <w:r>
        <w:rPr>
          <w:rFonts w:cs="Arial"/>
          <w:u w:val="single"/>
          <w:rtl/>
        </w:rPr>
        <w:t>האם שליח יכול לבטל את השליח שמינה:</w:t>
      </w:r>
      <w:r>
        <w:rPr>
          <w:rFonts w:cs="Arial"/>
          <w:rtl/>
        </w:rPr>
        <w:t xml:space="preserve"> </w:t>
      </w:r>
      <w:r>
        <w:rPr>
          <w:rFonts w:cs="Arial"/>
          <w:sz w:val="16"/>
          <w:szCs w:val="16"/>
          <w:rtl/>
        </w:rPr>
        <w:t>(פת"ש סקמ"ב)</w:t>
      </w:r>
    </w:p>
    <w:p w14:paraId="3F3349B8" w14:textId="79FE4D8B" w:rsidR="00FA2119" w:rsidRDefault="00FA2119" w:rsidP="006A458D">
      <w:pPr>
        <w:pStyle w:val="ab"/>
        <w:numPr>
          <w:ilvl w:val="0"/>
          <w:numId w:val="106"/>
        </w:numPr>
      </w:pPr>
      <w:r>
        <w:rPr>
          <w:rFonts w:cs="Arial"/>
          <w:rtl/>
        </w:rPr>
        <w:t>ט"ז</w:t>
      </w:r>
      <w:r>
        <w:rPr>
          <w:rStyle w:val="a7"/>
          <w:rFonts w:cs="Arial"/>
          <w:rtl/>
        </w:rPr>
        <w:footnoteReference w:id="2028"/>
      </w:r>
      <w:r>
        <w:rPr>
          <w:rFonts w:cs="Arial"/>
          <w:sz w:val="16"/>
          <w:szCs w:val="16"/>
          <w:rtl/>
        </w:rPr>
        <w:t xml:space="preserve"> (סע' מב סקכ"ו)</w:t>
      </w:r>
      <w:r>
        <w:rPr>
          <w:rFonts w:cs="Arial"/>
          <w:rtl/>
        </w:rPr>
        <w:t xml:space="preserve"> ותו"ג</w:t>
      </w:r>
      <w:r w:rsidR="00A82951">
        <w:rPr>
          <w:rFonts w:cs="Arial"/>
          <w:rtl/>
        </w:rPr>
        <w:t>-</w:t>
      </w:r>
      <w:r>
        <w:rPr>
          <w:rFonts w:cs="Arial"/>
          <w:sz w:val="16"/>
          <w:szCs w:val="16"/>
          <w:rtl/>
        </w:rPr>
        <w:t xml:space="preserve"> </w:t>
      </w:r>
      <w:r w:rsidR="00525FA3">
        <w:rPr>
          <w:rStyle w:val="a7"/>
          <w:rFonts w:cs="Arial"/>
          <w:rtl/>
        </w:rPr>
        <w:footnoteReference w:id="2029"/>
      </w:r>
      <w:r>
        <w:rPr>
          <w:rFonts w:cs="Arial"/>
          <w:rtl/>
        </w:rPr>
        <w:t>לא ידעתי מקום ספק בזה דהא בסעיף מ"ב מוכח דלא נגמר שליחות הראשון וכיון דהא שעשה השני לשליח דיבור הוא</w:t>
      </w:r>
      <w:r w:rsidR="00525FA3">
        <w:rPr>
          <w:rFonts w:cs="Arial" w:hint="cs"/>
          <w:rtl/>
        </w:rPr>
        <w:t>,</w:t>
      </w:r>
      <w:r>
        <w:rPr>
          <w:rFonts w:cs="Arial"/>
          <w:rtl/>
        </w:rPr>
        <w:t xml:space="preserve"> וכשמבטל אתי דיבור ומבטל דיבור כמו בבעל</w:t>
      </w:r>
      <w:r>
        <w:rPr>
          <w:rFonts w:cs="Arial"/>
          <w:sz w:val="16"/>
          <w:szCs w:val="16"/>
          <w:rtl/>
        </w:rPr>
        <w:t xml:space="preserve"> (ל' התו"ג)</w:t>
      </w:r>
      <w:r>
        <w:rPr>
          <w:rFonts w:cs="Arial"/>
          <w:rtl/>
        </w:rPr>
        <w:t xml:space="preserve">. </w:t>
      </w:r>
    </w:p>
    <w:p w14:paraId="2D9FE432" w14:textId="691412F3" w:rsidR="00FA2119" w:rsidRDefault="00FA2119" w:rsidP="006A458D">
      <w:pPr>
        <w:pStyle w:val="ab"/>
        <w:numPr>
          <w:ilvl w:val="0"/>
          <w:numId w:val="106"/>
        </w:numPr>
      </w:pPr>
      <w:r>
        <w:rPr>
          <w:rFonts w:cs="Arial"/>
          <w:rtl/>
        </w:rPr>
        <w:t xml:space="preserve">יד המלך </w:t>
      </w:r>
      <w:r>
        <w:rPr>
          <w:rFonts w:cs="Arial"/>
          <w:sz w:val="16"/>
          <w:szCs w:val="16"/>
          <w:rtl/>
        </w:rPr>
        <w:t>(פ"ו מה"ג)</w:t>
      </w:r>
      <w:r>
        <w:rPr>
          <w:rFonts w:cs="Arial"/>
          <w:rtl/>
        </w:rPr>
        <w:t xml:space="preserve"> מהרי"מ מבריסק </w:t>
      </w:r>
      <w:r>
        <w:rPr>
          <w:rFonts w:cs="Arial"/>
          <w:sz w:val="16"/>
          <w:szCs w:val="16"/>
          <w:rtl/>
        </w:rPr>
        <w:t xml:space="preserve">(סי' לח) </w:t>
      </w:r>
      <w:r>
        <w:rPr>
          <w:rFonts w:cs="Arial"/>
          <w:rtl/>
        </w:rPr>
        <w:t xml:space="preserve">וגט מקושר </w:t>
      </w:r>
      <w:r>
        <w:rPr>
          <w:rFonts w:cs="Arial"/>
          <w:sz w:val="16"/>
          <w:szCs w:val="16"/>
          <w:rtl/>
        </w:rPr>
        <w:t>(ס"ג שלישי אות כה)</w:t>
      </w:r>
      <w:r w:rsidR="00A82951">
        <w:rPr>
          <w:rFonts w:cs="Arial"/>
          <w:rtl/>
        </w:rPr>
        <w:t>-</w:t>
      </w:r>
      <w:r>
        <w:rPr>
          <w:rFonts w:cs="Arial"/>
          <w:sz w:val="16"/>
          <w:szCs w:val="16"/>
          <w:rtl/>
        </w:rPr>
        <w:t xml:space="preserve"> </w:t>
      </w:r>
      <w:r>
        <w:rPr>
          <w:rFonts w:cs="Arial"/>
          <w:rtl/>
        </w:rPr>
        <w:t>שליח ראשון אין יכול לבטל שליח שני</w:t>
      </w:r>
      <w:r>
        <w:rPr>
          <w:rStyle w:val="a7"/>
          <w:rFonts w:cs="Arial"/>
          <w:rtl/>
        </w:rPr>
        <w:footnoteReference w:id="2030"/>
      </w:r>
      <w:r>
        <w:rPr>
          <w:rFonts w:cs="Arial"/>
          <w:rtl/>
        </w:rPr>
        <w:t>.</w:t>
      </w:r>
    </w:p>
    <w:p w14:paraId="6A022F86" w14:textId="77777777" w:rsidR="00FA2119" w:rsidRDefault="00FA2119" w:rsidP="00FA2119"/>
    <w:p w14:paraId="70E60DF4" w14:textId="77777777" w:rsidR="00FA2119" w:rsidRDefault="00FA2119" w:rsidP="00FA2119">
      <w:pPr>
        <w:pStyle w:val="2"/>
        <w:rPr>
          <w:rtl/>
        </w:rPr>
      </w:pPr>
      <w:r>
        <w:rPr>
          <w:rtl/>
        </w:rPr>
        <w:t>סעיף מב: מת השליח השני.</w:t>
      </w:r>
    </w:p>
    <w:p w14:paraId="44B24785" w14:textId="6F446D62" w:rsidR="00FA2119" w:rsidRDefault="00FA2119" w:rsidP="00FA2119">
      <w:pPr>
        <w:rPr>
          <w:u w:val="single"/>
          <w:rtl/>
        </w:rPr>
      </w:pPr>
      <w:r>
        <w:rPr>
          <w:u w:val="single"/>
          <w:rtl/>
        </w:rPr>
        <w:t xml:space="preserve">מת השליח השני </w:t>
      </w:r>
      <w:r w:rsidR="00A82951">
        <w:rPr>
          <w:u w:val="single"/>
          <w:rtl/>
        </w:rPr>
        <w:t>-</w:t>
      </w:r>
      <w:r>
        <w:rPr>
          <w:u w:val="single"/>
          <w:rtl/>
        </w:rPr>
        <w:t xml:space="preserve"> </w:t>
      </w:r>
      <w:r>
        <w:rPr>
          <w:rFonts w:cs="Arial"/>
          <w:u w:val="single"/>
          <w:rtl/>
        </w:rPr>
        <w:t>האם נתבטלה בכך שליחות של ראשון:</w:t>
      </w:r>
    </w:p>
    <w:p w14:paraId="066E9927" w14:textId="122B60BD"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כתב הרמ"ה שאם מת השליח השני לא נתבטל בכך שליחות של ראשון ויכול ליטלו מיורשיו של שני ויוליכנו לה או ישלחנו ביד אחר, ולא נאמר בזה כבר עשה שליח שליחותו כדאמרינן גבי עדים שחתמו בשטר ונאבד השטר, לפי שלא נגמרה שליחות זה עד שיגיע גט לידה.</w:t>
      </w:r>
      <w:r>
        <w:rPr>
          <w:rtl/>
        </w:rPr>
        <w:t xml:space="preserve"> </w:t>
      </w:r>
      <w:r>
        <w:rPr>
          <w:color w:val="E36C0A" w:themeColor="accent6" w:themeShade="BF"/>
          <w:rtl/>
        </w:rPr>
        <w:t>(וכ"פ בשו"ע)</w:t>
      </w:r>
    </w:p>
    <w:p w14:paraId="5BF62CDB"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E23B689" w14:textId="77777777" w:rsidR="00FA2119" w:rsidRDefault="00FA2119" w:rsidP="00FA2119">
      <w:pPr>
        <w:rPr>
          <w:rtl/>
        </w:rPr>
      </w:pPr>
      <w:r>
        <w:rPr>
          <w:rFonts w:cs="Arial"/>
          <w:rtl/>
        </w:rPr>
        <w:t>אם מת שליח שני, יכול</w:t>
      </w:r>
      <w:r>
        <w:rPr>
          <w:rStyle w:val="a7"/>
          <w:rFonts w:cs="Arial"/>
          <w:rtl/>
        </w:rPr>
        <w:footnoteReference w:id="2031"/>
      </w:r>
      <w:r>
        <w:rPr>
          <w:rFonts w:cs="Arial"/>
          <w:rtl/>
        </w:rPr>
        <w:t xml:space="preserve"> שליח ראשון ליטלו מיורשיו של שני, ויוליכנו או ישלחנו ביד אחר. </w:t>
      </w:r>
    </w:p>
    <w:p w14:paraId="0B1E6B9B" w14:textId="77777777" w:rsidR="00FA2119" w:rsidRDefault="00FA2119" w:rsidP="00FA2119">
      <w:pPr>
        <w:rPr>
          <w:u w:val="single"/>
          <w:rtl/>
        </w:rPr>
      </w:pPr>
      <w:r>
        <w:rPr>
          <w:u w:val="single"/>
          <w:rtl/>
        </w:rPr>
        <w:t>בעל שמינה שליח הולכה, וביטלו, ומינה אדם אחר לשליח, האם אותו שליח יכול למנות את השליח הראשון:</w:t>
      </w:r>
    </w:p>
    <w:p w14:paraId="2912D7E0" w14:textId="1E70EA6B" w:rsidR="00FA2119" w:rsidRDefault="00FA2119" w:rsidP="006A458D">
      <w:pPr>
        <w:pStyle w:val="ab"/>
        <w:numPr>
          <w:ilvl w:val="0"/>
          <w:numId w:val="107"/>
        </w:numPr>
        <w:rPr>
          <w:rtl/>
        </w:rPr>
      </w:pPr>
      <w:r>
        <w:rPr>
          <w:rFonts w:cs="Arial"/>
          <w:rtl/>
        </w:rPr>
        <w:t xml:space="preserve">פת"ש </w:t>
      </w:r>
      <w:r>
        <w:rPr>
          <w:rFonts w:cs="Arial"/>
          <w:sz w:val="16"/>
          <w:szCs w:val="16"/>
          <w:rtl/>
        </w:rPr>
        <w:t>(סקמ"ג)</w:t>
      </w:r>
      <w:r w:rsidR="00A82951">
        <w:rPr>
          <w:rFonts w:cs="Arial"/>
          <w:rtl/>
        </w:rPr>
        <w:t>-</w:t>
      </w:r>
      <w:r>
        <w:rPr>
          <w:rFonts w:cs="Arial"/>
          <w:rtl/>
        </w:rPr>
        <w:t xml:space="preserve"> עיין בתשו' מוצל מאש</w:t>
      </w:r>
      <w:r>
        <w:rPr>
          <w:rFonts w:cs="Arial"/>
          <w:sz w:val="18"/>
          <w:szCs w:val="18"/>
          <w:rtl/>
        </w:rPr>
        <w:t xml:space="preserve"> (סי' כט)</w:t>
      </w:r>
      <w:r>
        <w:rPr>
          <w:rFonts w:cs="Arial"/>
          <w:rtl/>
        </w:rPr>
        <w:t xml:space="preserve"> שכ' יש להסתפק אם הבעל עשה שליח להולכה, ואח"כ ביטלו ועשה שליח אחר, ונתן לו רשות לעשות שליח דשליח עד מאה שלוחים כמנהג, אם אחד מאלו השלוחים יכול לעשות שליח לאותו אשר כבר עשהו הבעל שליח וביטלו</w:t>
      </w:r>
      <w:r w:rsidR="00525FA3">
        <w:rPr>
          <w:rFonts w:cs="Arial" w:hint="cs"/>
          <w:rtl/>
        </w:rPr>
        <w:t>.</w:t>
      </w:r>
      <w:r>
        <w:rPr>
          <w:rFonts w:cs="Arial"/>
          <w:rtl/>
        </w:rPr>
        <w:t xml:space="preserve"> אי נימא דגלי אדעתי' שאין רצונו בזה וכשנתן רשות הוא חוץ מאותו, או דילמא עתה שנתן לו רשות לעשות למי שירצה חזר בו ואינו מקפיד</w:t>
      </w:r>
      <w:r w:rsidR="00525FA3">
        <w:rPr>
          <w:rFonts w:cs="Arial" w:hint="cs"/>
          <w:rtl/>
        </w:rPr>
        <w:t>.</w:t>
      </w:r>
      <w:r>
        <w:rPr>
          <w:rFonts w:cs="Arial"/>
          <w:rtl/>
        </w:rPr>
        <w:t xml:space="preserve"> וכעת לא מצאתי בזה כלום עכ"ד. ועיין בזה במל"מ </w:t>
      </w:r>
      <w:r>
        <w:rPr>
          <w:rFonts w:cs="Arial"/>
          <w:sz w:val="16"/>
          <w:szCs w:val="16"/>
          <w:rtl/>
        </w:rPr>
        <w:t>(פ"ז מה"ג ה"ד)</w:t>
      </w:r>
      <w:r>
        <w:rPr>
          <w:rFonts w:cs="Arial"/>
          <w:rtl/>
        </w:rPr>
        <w:t xml:space="preserve"> שנסתפק ג"כ בזה וכתב דמסברא יראה הצד הראשון.</w:t>
      </w:r>
    </w:p>
    <w:p w14:paraId="52F0798D" w14:textId="77777777" w:rsidR="00FA2119" w:rsidRDefault="00FA2119" w:rsidP="00FA2119">
      <w:pPr>
        <w:rPr>
          <w:rtl/>
        </w:rPr>
      </w:pPr>
    </w:p>
    <w:p w14:paraId="6E73F382" w14:textId="77777777" w:rsidR="00FA2119" w:rsidRDefault="00FA2119" w:rsidP="00FA2119">
      <w:pPr>
        <w:pStyle w:val="2"/>
        <w:rPr>
          <w:rtl/>
        </w:rPr>
      </w:pPr>
      <w:r>
        <w:rPr>
          <w:rtl/>
        </w:rPr>
        <w:t>סעיף מג: שליח קבלה שרוצה למנות שליח אחר.</w:t>
      </w:r>
    </w:p>
    <w:p w14:paraId="7151A188" w14:textId="45ACF055" w:rsidR="00FA2119" w:rsidRDefault="00FA2119" w:rsidP="00FA2119">
      <w:pPr>
        <w:rPr>
          <w:u w:val="single"/>
          <w:rtl/>
        </w:rPr>
      </w:pPr>
      <w:r>
        <w:rPr>
          <w:u w:val="single"/>
          <w:rtl/>
        </w:rPr>
        <w:t xml:space="preserve">אשה מינתה שליח קבלה </w:t>
      </w:r>
      <w:r w:rsidR="00A82951">
        <w:rPr>
          <w:u w:val="single"/>
          <w:rtl/>
        </w:rPr>
        <w:t>-</w:t>
      </w:r>
      <w:r>
        <w:rPr>
          <w:u w:val="single"/>
          <w:rtl/>
        </w:rPr>
        <w:t xml:space="preserve"> האם שליח הקבלה יכול למנות שליח אחר:</w:t>
      </w:r>
    </w:p>
    <w:p w14:paraId="63AEE068" w14:textId="788396A3" w:rsidR="00FA2119" w:rsidRDefault="00FA2119" w:rsidP="006A458D">
      <w:pPr>
        <w:pStyle w:val="ab"/>
        <w:numPr>
          <w:ilvl w:val="0"/>
          <w:numId w:val="102"/>
        </w:numPr>
        <w:rPr>
          <w:rtl/>
        </w:rPr>
      </w:pPr>
      <w:r>
        <w:rPr>
          <w:rFonts w:cs="Arial"/>
          <w:rtl/>
        </w:rPr>
        <w:t>גאון</w:t>
      </w:r>
      <w:r>
        <w:rPr>
          <w:rFonts w:cs="Arial"/>
          <w:sz w:val="16"/>
          <w:szCs w:val="16"/>
          <w:rtl/>
        </w:rPr>
        <w:t xml:space="preserve"> (כ"כ הטור בשמו)</w:t>
      </w:r>
      <w:r>
        <w:rPr>
          <w:rFonts w:cs="Arial"/>
          <w:rtl/>
        </w:rPr>
        <w:t xml:space="preserve"> ורשב"א</w:t>
      </w:r>
      <w:r>
        <w:rPr>
          <w:rStyle w:val="a7"/>
          <w:rFonts w:cs="Arial"/>
          <w:rtl/>
        </w:rPr>
        <w:footnoteReference w:id="2032"/>
      </w:r>
      <w:r>
        <w:rPr>
          <w:rFonts w:cs="Arial"/>
          <w:rtl/>
        </w:rPr>
        <w:t xml:space="preserve"> </w:t>
      </w:r>
      <w:r>
        <w:rPr>
          <w:rFonts w:cs="Arial"/>
          <w:sz w:val="16"/>
          <w:szCs w:val="16"/>
          <w:rtl/>
        </w:rPr>
        <w:t>(ס"פ התקבל סז. ד"ה רבי יוסי)</w:t>
      </w:r>
      <w:r w:rsidR="00A82951">
        <w:rPr>
          <w:rFonts w:cs="Arial"/>
          <w:rtl/>
        </w:rPr>
        <w:t>-</w:t>
      </w:r>
      <w:r>
        <w:rPr>
          <w:rFonts w:cs="Arial"/>
          <w:rtl/>
        </w:rPr>
        <w:t xml:space="preserve"> אשה עשתה שליח לקבלה, וחלה השליח, אותו שליח עושה שליח אחר, או לא עד דאמר לו בפירוש שוי שליח בתר שליח</w:t>
      </w:r>
      <w:r w:rsidR="000F5EEA">
        <w:rPr>
          <w:rFonts w:cs="Arial" w:hint="cs"/>
          <w:rtl/>
        </w:rPr>
        <w:t>?</w:t>
      </w:r>
      <w:r>
        <w:rPr>
          <w:rFonts w:cs="Arial"/>
          <w:rtl/>
        </w:rPr>
        <w:t xml:space="preserve"> והיכא דשויתיה שליח להולכה ולא פירשו, מי מצי שוי שליח בתר שליח, או לא? ואי נמי שויה ב' שלוחים לקבלה ואמרה 'איזה מכם שיגיע אצל הבעל תחלה', וכן 'אם תגיעו ביחד איזה מכם שיתבענו יהא שליח לקבלה', יש מן הדין ליחד אחד מהם או לא? וכן אם עשתה שליח לקבלה, וחששה שמא לא ימצאנו אותו שליח, ועשתה שליח אחר לקבלה, מי אמרינן נתבטל שליח הראשון או לא? והסכימה דעתו עם חכמי הדור נהי שידו כידה לענין קבלה, לענין שוי שליח </w:t>
      </w:r>
      <w:r w:rsidR="00A82951">
        <w:rPr>
          <w:rFonts w:cs="Arial"/>
          <w:rtl/>
        </w:rPr>
        <w:t>-</w:t>
      </w:r>
      <w:r>
        <w:rPr>
          <w:rFonts w:cs="Arial"/>
          <w:rtl/>
        </w:rPr>
        <w:t xml:space="preserve"> לא מצי משוי עד דאמרה ליה בפירוש. ודוקא לקבלה, אבל להולכה מצי משוי, דשליח הולכה מכח בעל קא אתי, וכאילו בעל בעצמו עשאו שליח</w:t>
      </w:r>
      <w:r>
        <w:rPr>
          <w:rFonts w:cs="Arial"/>
          <w:sz w:val="16"/>
          <w:szCs w:val="16"/>
          <w:rtl/>
        </w:rPr>
        <w:t xml:space="preserve"> (ל' הטור בשם הגאון)</w:t>
      </w:r>
      <w:r>
        <w:rPr>
          <w:rFonts w:cs="Arial"/>
          <w:rtl/>
        </w:rPr>
        <w:t xml:space="preserve">. </w:t>
      </w:r>
    </w:p>
    <w:p w14:paraId="46E3D551" w14:textId="22202F64" w:rsidR="00FA2119" w:rsidRDefault="00FA2119" w:rsidP="006A458D">
      <w:pPr>
        <w:pStyle w:val="ab"/>
        <w:numPr>
          <w:ilvl w:val="0"/>
          <w:numId w:val="102"/>
        </w:numPr>
      </w:pPr>
      <w:r>
        <w:rPr>
          <w:rFonts w:cs="Arial"/>
          <w:rtl/>
        </w:rPr>
        <w:lastRenderedPageBreak/>
        <w:t xml:space="preserve">בהעי"ט </w:t>
      </w:r>
      <w:r>
        <w:rPr>
          <w:rFonts w:cs="Arial"/>
          <w:sz w:val="16"/>
          <w:szCs w:val="16"/>
          <w:rtl/>
        </w:rPr>
        <w:t>(אות שי"ן שלישות גט מז:)</w:t>
      </w:r>
      <w:r>
        <w:rPr>
          <w:rFonts w:cs="Arial"/>
          <w:rtl/>
        </w:rPr>
        <w:t xml:space="preserve"> ורשב"ש</w:t>
      </w:r>
      <w:r>
        <w:rPr>
          <w:rStyle w:val="a7"/>
          <w:rFonts w:cs="Arial"/>
          <w:rtl/>
        </w:rPr>
        <w:footnoteReference w:id="2033"/>
      </w:r>
      <w:r>
        <w:rPr>
          <w:rFonts w:cs="Arial"/>
          <w:rtl/>
        </w:rPr>
        <w:t xml:space="preserve"> </w:t>
      </w:r>
      <w:r>
        <w:rPr>
          <w:rFonts w:cs="Arial"/>
          <w:sz w:val="16"/>
          <w:szCs w:val="16"/>
          <w:rtl/>
        </w:rPr>
        <w:t>(סי' רסו)</w:t>
      </w:r>
      <w:r w:rsidR="00A82951">
        <w:rPr>
          <w:rFonts w:cs="Arial"/>
          <w:rtl/>
        </w:rPr>
        <w:t>-</w:t>
      </w:r>
      <w:r>
        <w:rPr>
          <w:rFonts w:cs="Arial"/>
          <w:rtl/>
        </w:rPr>
        <w:t xml:space="preserve"> </w:t>
      </w:r>
      <w:r>
        <w:rPr>
          <w:rFonts w:cs="Arial"/>
          <w:sz w:val="16"/>
          <w:szCs w:val="16"/>
          <w:rtl/>
        </w:rPr>
        <w:t>{כתב על דברי הגאון</w:t>
      </w:r>
      <w:r w:rsidR="00A82951">
        <w:rPr>
          <w:rFonts w:cs="Arial"/>
          <w:sz w:val="16"/>
          <w:szCs w:val="16"/>
          <w:rtl/>
        </w:rPr>
        <w:t>-</w:t>
      </w:r>
      <w:r>
        <w:rPr>
          <w:rFonts w:cs="Arial"/>
          <w:sz w:val="16"/>
          <w:szCs w:val="16"/>
          <w:rtl/>
        </w:rPr>
        <w:t>}</w:t>
      </w:r>
      <w:r>
        <w:rPr>
          <w:rFonts w:cs="Arial"/>
          <w:rtl/>
        </w:rPr>
        <w:t xml:space="preserve"> ומסתברא דבמקום שהבעל עושה שליח, ושליח שליח </w:t>
      </w:r>
      <w:r w:rsidR="00A82951">
        <w:rPr>
          <w:rFonts w:cs="Arial"/>
          <w:rtl/>
        </w:rPr>
        <w:t>-</w:t>
      </w:r>
      <w:r>
        <w:rPr>
          <w:rFonts w:cs="Arial"/>
          <w:rtl/>
        </w:rPr>
        <w:t xml:space="preserve"> גם האשה עושה שליח, ושליח שליח</w:t>
      </w:r>
      <w:r>
        <w:rPr>
          <w:rStyle w:val="a7"/>
          <w:rFonts w:cs="Arial"/>
          <w:rtl/>
        </w:rPr>
        <w:footnoteReference w:id="2034"/>
      </w:r>
      <w:r>
        <w:rPr>
          <w:rFonts w:cs="Arial"/>
          <w:sz w:val="16"/>
          <w:szCs w:val="16"/>
          <w:rtl/>
        </w:rPr>
        <w:t xml:space="preserve"> (ל' בהעי"ט)</w:t>
      </w:r>
      <w:r>
        <w:rPr>
          <w:rStyle w:val="a7"/>
          <w:rFonts w:cs="Arial"/>
          <w:rtl/>
        </w:rPr>
        <w:footnoteReference w:id="2035"/>
      </w:r>
      <w:r>
        <w:rPr>
          <w:rFonts w:cs="Arial"/>
          <w:rtl/>
        </w:rPr>
        <w:t xml:space="preserve">. </w:t>
      </w:r>
    </w:p>
    <w:p w14:paraId="2D7B4E9B" w14:textId="6E577400" w:rsidR="00FA2119" w:rsidRDefault="00FA2119" w:rsidP="006A458D">
      <w:pPr>
        <w:pStyle w:val="ab"/>
        <w:numPr>
          <w:ilvl w:val="0"/>
          <w:numId w:val="102"/>
        </w:numPr>
      </w:pPr>
      <w:r>
        <w:rPr>
          <w:rFonts w:cs="Arial"/>
          <w:rtl/>
        </w:rPr>
        <w:t>רמ"ה</w:t>
      </w:r>
      <w:r>
        <w:rPr>
          <w:rFonts w:cs="Arial"/>
          <w:sz w:val="16"/>
          <w:szCs w:val="16"/>
          <w:rtl/>
        </w:rPr>
        <w:t xml:space="preserve"> (כ"כ הטור בשמו)</w:t>
      </w:r>
      <w:r w:rsidR="00A82951">
        <w:rPr>
          <w:rFonts w:cs="Arial"/>
          <w:rtl/>
        </w:rPr>
        <w:t>-</w:t>
      </w:r>
      <w:r>
        <w:rPr>
          <w:rFonts w:cs="Arial"/>
          <w:rtl/>
        </w:rPr>
        <w:t xml:space="preserve"> שליח קבלה אינו יכול לעשות שליח אפי' חלה ואפי' אמרה לו 'התקבל' סתמא, שלא אמרה 'התקבל אתה'. ולא עוד אלא אפי' נתנה לו רשות לעשות שליח אחר </w:t>
      </w:r>
      <w:r w:rsidR="00A82951">
        <w:rPr>
          <w:rFonts w:cs="Arial"/>
          <w:rtl/>
        </w:rPr>
        <w:t>-</w:t>
      </w:r>
      <w:r>
        <w:rPr>
          <w:rFonts w:cs="Arial"/>
          <w:rtl/>
        </w:rPr>
        <w:t xml:space="preserve"> אינו יכול, דלא מסרה לו אלא מילי, ומילי לא מימסרן לשליח</w:t>
      </w:r>
      <w:r>
        <w:rPr>
          <w:rStyle w:val="a7"/>
          <w:rFonts w:cs="Arial"/>
          <w:rtl/>
        </w:rPr>
        <w:footnoteReference w:id="2036"/>
      </w:r>
      <w:r>
        <w:rPr>
          <w:rFonts w:cs="Arial"/>
          <w:rtl/>
        </w:rPr>
        <w:t xml:space="preserve">. </w:t>
      </w:r>
      <w:r>
        <w:rPr>
          <w:color w:val="E36C0A" w:themeColor="accent6" w:themeShade="BF"/>
          <w:rtl/>
        </w:rPr>
        <w:t>(וכ"ס בשו"ע)</w:t>
      </w:r>
    </w:p>
    <w:p w14:paraId="6E836367" w14:textId="18EE352A" w:rsidR="00FA2119" w:rsidRDefault="00FA2119" w:rsidP="006A458D">
      <w:pPr>
        <w:pStyle w:val="ab"/>
        <w:numPr>
          <w:ilvl w:val="0"/>
          <w:numId w:val="102"/>
        </w:numPr>
      </w:pPr>
      <w:r>
        <w:rPr>
          <w:rFonts w:cs="Arial"/>
          <w:rtl/>
        </w:rPr>
        <w:t xml:space="preserve">רמב"ן </w:t>
      </w:r>
      <w:r>
        <w:rPr>
          <w:rFonts w:cs="Arial"/>
          <w:sz w:val="16"/>
          <w:szCs w:val="16"/>
          <w:rtl/>
        </w:rPr>
        <w:t xml:space="preserve">(סו: ד"ה וא"ר חסדא, כ"כ בשמו הה"מ [פ"ז הכ"ב]) </w:t>
      </w:r>
      <w:r>
        <w:rPr>
          <w:rFonts w:cs="Arial"/>
          <w:rtl/>
        </w:rPr>
        <w:t xml:space="preserve">ור"ן </w:t>
      </w:r>
      <w:r>
        <w:rPr>
          <w:rFonts w:cs="Arial"/>
          <w:sz w:val="16"/>
          <w:szCs w:val="16"/>
          <w:rtl/>
        </w:rPr>
        <w:t>(ס"פ התקבל לג. ד"ה והקשה)</w:t>
      </w:r>
      <w:r w:rsidR="00A82951">
        <w:rPr>
          <w:rFonts w:cs="Arial"/>
          <w:rtl/>
        </w:rPr>
        <w:t>-</w:t>
      </w:r>
      <w:r>
        <w:rPr>
          <w:rFonts w:cs="Arial"/>
          <w:rtl/>
        </w:rPr>
        <w:t xml:space="preserve"> ומיהו מסתברא שאין שליח קבלה עושה שליח, דהוי להו מילי ולא מימסרן לשליח אלא באומרת אמרו ומינתו היא שליח שלא בפניו, דהתם טעמא אחרינא הוא כדפרישית</w:t>
      </w:r>
      <w:r>
        <w:rPr>
          <w:rStyle w:val="a7"/>
          <w:rFonts w:cs="Arial"/>
          <w:rtl/>
        </w:rPr>
        <w:footnoteReference w:id="2037"/>
      </w:r>
      <w:r>
        <w:rPr>
          <w:rFonts w:cs="Arial"/>
          <w:sz w:val="16"/>
          <w:szCs w:val="16"/>
          <w:rtl/>
        </w:rPr>
        <w:t xml:space="preserve"> (ל' הר"ן)</w:t>
      </w:r>
      <w:r>
        <w:rPr>
          <w:rFonts w:cs="Arial"/>
          <w:rtl/>
        </w:rPr>
        <w:t xml:space="preserve">. </w:t>
      </w:r>
    </w:p>
    <w:p w14:paraId="4189511E" w14:textId="77777777" w:rsidR="00FA2119" w:rsidRDefault="00FA2119" w:rsidP="00FA2119">
      <w:pPr>
        <w:rPr>
          <w:u w:val="single"/>
          <w:rtl/>
        </w:rPr>
      </w:pPr>
      <w:r>
        <w:rPr>
          <w:u w:val="single"/>
          <w:rtl/>
        </w:rPr>
        <w:t>אשה ששלחה כמה שלוחים לקבל את גיטה בזה אחר זה:</w:t>
      </w:r>
    </w:p>
    <w:p w14:paraId="4629CC18" w14:textId="59D1D786" w:rsidR="00FA2119" w:rsidRDefault="00FA2119" w:rsidP="006A458D">
      <w:pPr>
        <w:pStyle w:val="ab"/>
        <w:numPr>
          <w:ilvl w:val="0"/>
          <w:numId w:val="102"/>
        </w:numPr>
      </w:pPr>
      <w:r>
        <w:rPr>
          <w:rFonts w:cs="Arial"/>
          <w:rtl/>
        </w:rPr>
        <w:t>רמ"ה</w:t>
      </w:r>
      <w:r>
        <w:rPr>
          <w:rFonts w:cs="Arial"/>
          <w:sz w:val="16"/>
          <w:szCs w:val="16"/>
          <w:rtl/>
        </w:rPr>
        <w:t xml:space="preserve"> (כ"כ הטור בשמו)</w:t>
      </w:r>
      <w:r w:rsidR="00A82951">
        <w:rPr>
          <w:rFonts w:cs="Arial"/>
          <w:rtl/>
        </w:rPr>
        <w:t>-</w:t>
      </w:r>
      <w:r>
        <w:rPr>
          <w:rFonts w:cs="Arial"/>
          <w:rtl/>
        </w:rPr>
        <w:t xml:space="preserve"> ובין אם עשתה ב' שלוחים לקבלה בזה אח"ז, או שעשה הבעל ב' שלוחים להולכה זה אחר זה </w:t>
      </w:r>
      <w:r w:rsidR="00A82951">
        <w:rPr>
          <w:rFonts w:cs="Arial"/>
          <w:rtl/>
        </w:rPr>
        <w:t>-</w:t>
      </w:r>
      <w:r>
        <w:rPr>
          <w:rFonts w:cs="Arial"/>
          <w:rtl/>
        </w:rPr>
        <w:t xml:space="preserve"> בטל שליחות הראשון בעשיית השני, אם לא שגילו דעתם כשעשאו הב' שעדיין חפצים בראשון. </w:t>
      </w:r>
    </w:p>
    <w:p w14:paraId="4C878A83" w14:textId="3A9711D7" w:rsidR="00FA2119" w:rsidRDefault="00DE425A" w:rsidP="006A458D">
      <w:pPr>
        <w:pStyle w:val="ab"/>
        <w:numPr>
          <w:ilvl w:val="0"/>
          <w:numId w:val="102"/>
        </w:numPr>
      </w:pPr>
      <w:r>
        <w:rPr>
          <w:rFonts w:cs="Arial"/>
          <w:rtl/>
        </w:rPr>
        <w:t xml:space="preserve">בהעי"ט </w:t>
      </w:r>
      <w:r>
        <w:rPr>
          <w:rFonts w:cs="Arial"/>
          <w:sz w:val="16"/>
          <w:szCs w:val="16"/>
          <w:rtl/>
        </w:rPr>
        <w:t>(אות שי"ן שלישות גט מז:)</w:t>
      </w:r>
      <w:r>
        <w:rPr>
          <w:rFonts w:cs="Arial" w:hint="cs"/>
          <w:rtl/>
        </w:rPr>
        <w:t xml:space="preserve"> </w:t>
      </w:r>
      <w:r w:rsidR="00FA2119">
        <w:rPr>
          <w:rFonts w:cs="Arial"/>
          <w:rtl/>
        </w:rPr>
        <w:t xml:space="preserve">רשב"א </w:t>
      </w:r>
      <w:r w:rsidR="00FA2119">
        <w:rPr>
          <w:rFonts w:cs="Arial"/>
          <w:sz w:val="16"/>
          <w:szCs w:val="16"/>
          <w:rtl/>
        </w:rPr>
        <w:t>(ח"ד סי' קנג)</w:t>
      </w:r>
      <w:r w:rsidR="00FA2119">
        <w:rPr>
          <w:rFonts w:cs="Arial"/>
          <w:rtl/>
        </w:rPr>
        <w:t xml:space="preserve"> ורא"ש</w:t>
      </w:r>
      <w:r w:rsidR="00FA2119">
        <w:rPr>
          <w:rFonts w:cs="Arial"/>
          <w:sz w:val="16"/>
          <w:szCs w:val="16"/>
          <w:rtl/>
        </w:rPr>
        <w:t xml:space="preserve"> (כלל מה סי' ה)</w:t>
      </w:r>
      <w:r w:rsidR="00A82951">
        <w:rPr>
          <w:rFonts w:cs="Arial"/>
          <w:rtl/>
        </w:rPr>
        <w:t>-</w:t>
      </w:r>
      <w:r w:rsidR="00FA2119">
        <w:rPr>
          <w:rFonts w:cs="Arial"/>
          <w:rtl/>
        </w:rPr>
        <w:t xml:space="preserve"> אשה שמנתה שליח לקבל גיטה מיד בעלה בכל מקום שימצאנו</w:t>
      </w:r>
      <w:r>
        <w:rPr>
          <w:rFonts w:cs="Arial" w:hint="cs"/>
          <w:rtl/>
        </w:rPr>
        <w:t>,</w:t>
      </w:r>
      <w:r w:rsidR="00FA2119">
        <w:rPr>
          <w:rFonts w:cs="Arial"/>
          <w:rtl/>
        </w:rPr>
        <w:t xml:space="preserve"> וכאשר ארכו לה הימים עשתה שליח אחר גם כן לבקשו, ואח"כ בא שליח ראשון והביא הגט, ואין ידוע אם הגיע לידו קודם מנוי הב' אם לאו, ונסתפקת אם מנוי שליחות הב' הוי ביטול שליחות הראשון </w:t>
      </w:r>
      <w:r w:rsidR="00A82951">
        <w:rPr>
          <w:rFonts w:cs="Arial"/>
          <w:rtl/>
        </w:rPr>
        <w:t>-</w:t>
      </w:r>
      <w:r w:rsidR="00FA2119">
        <w:rPr>
          <w:rFonts w:cs="Arial"/>
          <w:rtl/>
        </w:rPr>
        <w:t xml:space="preserve"> דע כי לא נתבטל שליחות הראשון בכך, ושניהם שלוחים, ואיזה מהם שמביא הגט היא מגורשת בו</w:t>
      </w:r>
      <w:r w:rsidR="00FA2119">
        <w:rPr>
          <w:rStyle w:val="a7"/>
          <w:rFonts w:cs="Arial"/>
          <w:rtl/>
        </w:rPr>
        <w:footnoteReference w:id="2038"/>
      </w:r>
      <w:r w:rsidR="00FA2119">
        <w:rPr>
          <w:rFonts w:cs="Arial"/>
          <w:sz w:val="16"/>
          <w:szCs w:val="16"/>
          <w:rtl/>
        </w:rPr>
        <w:t xml:space="preserve"> (ל' הטור בשם הרא"ש)</w:t>
      </w:r>
      <w:r w:rsidR="00FA2119">
        <w:rPr>
          <w:rFonts w:cs="Arial"/>
          <w:rtl/>
        </w:rPr>
        <w:t xml:space="preserve">. </w:t>
      </w:r>
      <w:r w:rsidR="00FA2119">
        <w:rPr>
          <w:color w:val="E36C0A" w:themeColor="accent6" w:themeShade="BF"/>
          <w:rtl/>
        </w:rPr>
        <w:t>(וכ"פ בשו"ע</w:t>
      </w:r>
      <w:r w:rsidR="00FA2119">
        <w:rPr>
          <w:color w:val="E36C0A" w:themeColor="accent6" w:themeShade="BF"/>
          <w:sz w:val="16"/>
          <w:szCs w:val="16"/>
          <w:rtl/>
        </w:rPr>
        <w:t xml:space="preserve"> </w:t>
      </w:r>
      <w:r w:rsidR="00FA2119">
        <w:rPr>
          <w:color w:val="000000" w:themeColor="text1"/>
          <w:sz w:val="16"/>
          <w:szCs w:val="16"/>
          <w:rtl/>
        </w:rPr>
        <w:t>[בסע' הבא]</w:t>
      </w:r>
      <w:r w:rsidR="00FA2119">
        <w:rPr>
          <w:color w:val="E36C0A" w:themeColor="accent6" w:themeShade="BF"/>
          <w:rtl/>
        </w:rPr>
        <w:t>)</w:t>
      </w:r>
    </w:p>
    <w:p w14:paraId="06D99C9C" w14:textId="2410ED69" w:rsidR="00FA2119" w:rsidRDefault="00DE425A" w:rsidP="00FA2119">
      <w:pPr>
        <w:ind w:left="360"/>
        <w:rPr>
          <w:u w:val="dotted"/>
        </w:rPr>
      </w:pPr>
      <w:r>
        <w:rPr>
          <w:rFonts w:hint="cs"/>
          <w:u w:val="dotted"/>
          <w:rtl/>
        </w:rPr>
        <w:t>לבהעי"ט</w:t>
      </w:r>
      <w:r w:rsidR="00FA2119">
        <w:rPr>
          <w:u w:val="dotted"/>
          <w:rtl/>
        </w:rPr>
        <w:t xml:space="preserve"> וסיעתו </w:t>
      </w:r>
      <w:r w:rsidR="00A82951">
        <w:rPr>
          <w:u w:val="dotted"/>
          <w:rtl/>
        </w:rPr>
        <w:t>-</w:t>
      </w:r>
      <w:r w:rsidR="00FA2119">
        <w:rPr>
          <w:u w:val="dotted"/>
          <w:rtl/>
        </w:rPr>
        <w:t xml:space="preserve"> מה הדין אם עשתה את כל השלוחי קבלה בבת אחת:</w:t>
      </w:r>
    </w:p>
    <w:p w14:paraId="4EC22AD1" w14:textId="4816E226" w:rsidR="00DE425A" w:rsidRDefault="00DE425A" w:rsidP="00DE425A">
      <w:pPr>
        <w:pStyle w:val="ab"/>
        <w:numPr>
          <w:ilvl w:val="0"/>
          <w:numId w:val="102"/>
        </w:numPr>
      </w:pPr>
      <w:r>
        <w:rPr>
          <w:rFonts w:cs="Arial"/>
          <w:rtl/>
        </w:rPr>
        <w:t xml:space="preserve">בהעי"ט </w:t>
      </w:r>
      <w:r>
        <w:rPr>
          <w:rFonts w:cs="Arial"/>
          <w:sz w:val="16"/>
          <w:szCs w:val="16"/>
          <w:rtl/>
        </w:rPr>
        <w:t>(אות שי"ן שלישות גט מז:)</w:t>
      </w:r>
      <w:r>
        <w:rPr>
          <w:rFonts w:cs="Arial"/>
          <w:rtl/>
        </w:rPr>
        <w:t>- ואם שלחה ב' שלוחים או שליח אחר שליח, כיון שלא בטלה בפירוש קבלת השליח, כיון שהגיע הגט ליד הראשון</w:t>
      </w:r>
      <w:r>
        <w:rPr>
          <w:rStyle w:val="a7"/>
          <w:rFonts w:cs="Arial"/>
          <w:rtl/>
        </w:rPr>
        <w:footnoteReference w:id="2039"/>
      </w:r>
      <w:r>
        <w:rPr>
          <w:rFonts w:cs="Arial"/>
          <w:rtl/>
        </w:rPr>
        <w:t xml:space="preserve"> - מגורשת.</w:t>
      </w:r>
      <w:r w:rsidRPr="00DE425A">
        <w:rPr>
          <w:color w:val="E36C0A" w:themeColor="accent6" w:themeShade="BF"/>
          <w:rtl/>
        </w:rPr>
        <w:t xml:space="preserve"> </w:t>
      </w:r>
      <w:r>
        <w:rPr>
          <w:color w:val="E36C0A" w:themeColor="accent6" w:themeShade="BF"/>
          <w:rtl/>
        </w:rPr>
        <w:t>(וכ"פ בשו"ע</w:t>
      </w:r>
      <w:r>
        <w:rPr>
          <w:color w:val="E36C0A" w:themeColor="accent6" w:themeShade="BF"/>
          <w:sz w:val="16"/>
          <w:szCs w:val="16"/>
          <w:rtl/>
        </w:rPr>
        <w:t xml:space="preserve"> </w:t>
      </w:r>
      <w:r>
        <w:rPr>
          <w:color w:val="000000" w:themeColor="text1"/>
          <w:sz w:val="16"/>
          <w:szCs w:val="16"/>
          <w:rtl/>
        </w:rPr>
        <w:t>[בסע' הבא]</w:t>
      </w:r>
      <w:r>
        <w:rPr>
          <w:color w:val="E36C0A" w:themeColor="accent6" w:themeShade="BF"/>
          <w:rtl/>
        </w:rPr>
        <w:t>)</w:t>
      </w:r>
    </w:p>
    <w:p w14:paraId="6559B80E" w14:textId="62E6F2E8" w:rsidR="00FA2119" w:rsidRDefault="00FA2119" w:rsidP="006A458D">
      <w:pPr>
        <w:pStyle w:val="ab"/>
        <w:numPr>
          <w:ilvl w:val="0"/>
          <w:numId w:val="102"/>
        </w:numPr>
      </w:pPr>
      <w:r>
        <w:rPr>
          <w:rFonts w:cs="Arial"/>
          <w:rtl/>
        </w:rPr>
        <w:t xml:space="preserve">רשב"א </w:t>
      </w:r>
      <w:r>
        <w:rPr>
          <w:rFonts w:cs="Arial"/>
          <w:sz w:val="16"/>
          <w:szCs w:val="16"/>
          <w:rtl/>
        </w:rPr>
        <w:t>(ח"ד סי' קנג)</w:t>
      </w:r>
      <w:r w:rsidR="00A82951">
        <w:rPr>
          <w:rFonts w:cs="Arial"/>
          <w:rtl/>
        </w:rPr>
        <w:t>-</w:t>
      </w:r>
      <w:r>
        <w:rPr>
          <w:rFonts w:cs="Arial"/>
          <w:rtl/>
        </w:rPr>
        <w:t xml:space="preserve"> אם עשתה שליח, וחזרה ועשתה שליח, ואפילו עשרה זה אחר זה, או שעשתה עשרה בבת אחת, כל שהגיע הגט ליד אחד מהם </w:t>
      </w:r>
      <w:r w:rsidR="00A82951">
        <w:rPr>
          <w:rFonts w:cs="Arial"/>
          <w:rtl/>
        </w:rPr>
        <w:t>-</w:t>
      </w:r>
      <w:r>
        <w:rPr>
          <w:rFonts w:cs="Arial"/>
          <w:rtl/>
        </w:rPr>
        <w:t xml:space="preserve"> מגורשת, דלא שייך בכי הא ברירה. אבל אפשר שאם אמרה 'כל מי מכם שירצה הבעל ליתנו לו יהא שלוחי לקבלה' שנאמר בזה אין ברירה, כענין לאיזו שארצה אגרש בו (גיטין כד:) דאין ברירה.</w:t>
      </w:r>
      <w:r>
        <w:rPr>
          <w:color w:val="E36C0A" w:themeColor="accent6" w:themeShade="BF"/>
          <w:rtl/>
        </w:rPr>
        <w:t xml:space="preserve"> </w:t>
      </w:r>
    </w:p>
    <w:p w14:paraId="3DF6D172"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lastRenderedPageBreak/>
        <w:t>שו"ע:</w:t>
      </w:r>
    </w:p>
    <w:p w14:paraId="40CDCC85" w14:textId="77777777" w:rsidR="00FA2119" w:rsidRDefault="00FA2119" w:rsidP="00FA2119">
      <w:pPr>
        <w:rPr>
          <w:rtl/>
        </w:rPr>
      </w:pPr>
      <w:r>
        <w:rPr>
          <w:rFonts w:cs="Arial"/>
          <w:rtl/>
        </w:rPr>
        <w:t>שליח קבלה אינו יכול למנות שליח, ואפילו נאנס, ואפילו נתנה לו רשות למנות שליח, משום דהוה ליה מילי</w:t>
      </w:r>
      <w:r>
        <w:rPr>
          <w:rStyle w:val="a7"/>
          <w:rFonts w:cs="Arial"/>
          <w:rtl/>
        </w:rPr>
        <w:footnoteReference w:id="2040"/>
      </w:r>
      <w:r>
        <w:rPr>
          <w:rFonts w:cs="Arial"/>
          <w:rtl/>
        </w:rPr>
        <w:t xml:space="preserve">, ומילי לא ממסרן לשליח. ויש מתירין אם נתנה לו רשות למנות שליח. </w:t>
      </w:r>
      <w:r>
        <w:rPr>
          <w:rFonts w:cs="Arial"/>
          <w:sz w:val="18"/>
          <w:szCs w:val="18"/>
          <w:rtl/>
        </w:rPr>
        <w:t>[הגה] ואז יוכל למנות אחר בלא בית דין</w:t>
      </w:r>
      <w:r>
        <w:rPr>
          <w:rStyle w:val="a7"/>
          <w:rFonts w:cs="Arial"/>
          <w:sz w:val="18"/>
          <w:szCs w:val="18"/>
          <w:rtl/>
        </w:rPr>
        <w:footnoteReference w:id="2041"/>
      </w:r>
      <w:r>
        <w:rPr>
          <w:rFonts w:cs="Arial"/>
          <w:sz w:val="18"/>
          <w:szCs w:val="18"/>
          <w:rtl/>
        </w:rPr>
        <w:t>, רק לפני שנים (רשב"ש).</w:t>
      </w:r>
      <w:r>
        <w:rPr>
          <w:rFonts w:cs="Arial"/>
          <w:rtl/>
        </w:rPr>
        <w:t xml:space="preserve"> </w:t>
      </w:r>
    </w:p>
    <w:p w14:paraId="322BD672" w14:textId="77777777" w:rsidR="00FA2119" w:rsidRDefault="00FA2119" w:rsidP="00FA2119">
      <w:pPr>
        <w:rPr>
          <w:rtl/>
        </w:rPr>
      </w:pPr>
    </w:p>
    <w:p w14:paraId="56CE9BDE" w14:textId="77777777" w:rsidR="00FA2119" w:rsidRDefault="00FA2119" w:rsidP="00FA2119">
      <w:pPr>
        <w:pStyle w:val="2"/>
        <w:rPr>
          <w:rtl/>
        </w:rPr>
      </w:pPr>
      <w:r>
        <w:rPr>
          <w:rtl/>
        </w:rPr>
        <w:t>סעיף מד: אשה שעשתה כמה שליחי קבלה.</w:t>
      </w:r>
    </w:p>
    <w:p w14:paraId="4F3E864A" w14:textId="77777777" w:rsidR="00FA2119" w:rsidRDefault="00FA2119" w:rsidP="00FA2119">
      <w:pPr>
        <w:rPr>
          <w:rtl/>
        </w:rPr>
      </w:pPr>
      <w:r>
        <w:rPr>
          <w:rtl/>
        </w:rPr>
        <w:t>עיין במקורות בסעיף הקודם.</w:t>
      </w:r>
    </w:p>
    <w:p w14:paraId="2CB29B47"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AFBB6D4" w14:textId="77777777" w:rsidR="00FA2119" w:rsidRDefault="00FA2119" w:rsidP="00FA2119">
      <w:pPr>
        <w:rPr>
          <w:rFonts w:cs="Arial"/>
          <w:rtl/>
        </w:rPr>
      </w:pPr>
      <w:r>
        <w:rPr>
          <w:rFonts w:cs="Arial"/>
          <w:rtl/>
        </w:rPr>
        <w:t xml:space="preserve">אם עשתה שליח קבלה, וחזרה ועשתה שליח, אפילו עשרה זה אחר זה, או שעשתה עשרה בבת אחת, כל שהגיע הגט ליד אחד מהם, מגורשת. </w:t>
      </w:r>
      <w:r>
        <w:rPr>
          <w:rFonts w:cs="Arial"/>
          <w:sz w:val="18"/>
          <w:szCs w:val="18"/>
          <w:rtl/>
        </w:rPr>
        <w:t>[הגה] ואפילו נתן ביד אחד מהם גט פסול, ולשני גט כשר, מגורשת (מרדכי).</w:t>
      </w:r>
    </w:p>
    <w:p w14:paraId="05A1BA29" w14:textId="77777777" w:rsidR="00FA2119" w:rsidRDefault="00FA2119" w:rsidP="00FA2119">
      <w:pPr>
        <w:rPr>
          <w:rtl/>
        </w:rPr>
      </w:pPr>
      <w:r>
        <w:rPr>
          <w:rFonts w:cs="Arial"/>
          <w:rtl/>
        </w:rPr>
        <w:t xml:space="preserve"> </w:t>
      </w:r>
    </w:p>
    <w:p w14:paraId="286F73E3" w14:textId="77777777" w:rsidR="00FA2119" w:rsidRDefault="00FA2119" w:rsidP="00FA2119">
      <w:pPr>
        <w:pStyle w:val="2"/>
        <w:rPr>
          <w:rtl/>
        </w:rPr>
      </w:pPr>
      <w:r>
        <w:rPr>
          <w:rtl/>
        </w:rPr>
        <w:t>סעיף מה: שליח ששינה ממה שאמר לו משלחו.</w:t>
      </w:r>
    </w:p>
    <w:p w14:paraId="56BD9FC2" w14:textId="1FCC955C" w:rsidR="00FA2119" w:rsidRDefault="00FA2119" w:rsidP="00FA2119">
      <w:pPr>
        <w:rPr>
          <w:rFonts w:cs="Arial"/>
          <w:rtl/>
        </w:rPr>
      </w:pPr>
      <w:r>
        <w:rPr>
          <w:rFonts w:cs="Arial"/>
          <w:b/>
          <w:bCs/>
          <w:rtl/>
        </w:rPr>
        <w:t xml:space="preserve">גיטין </w:t>
      </w:r>
      <w:r>
        <w:rPr>
          <w:rFonts w:cs="Arial"/>
          <w:b/>
          <w:bCs/>
          <w:sz w:val="16"/>
          <w:szCs w:val="16"/>
          <w:rtl/>
        </w:rPr>
        <w:t xml:space="preserve">(פ' התקבל) </w:t>
      </w:r>
      <w:r>
        <w:rPr>
          <w:rFonts w:cs="Arial"/>
          <w:b/>
          <w:bCs/>
          <w:rtl/>
        </w:rPr>
        <w:t>סה ע"א:</w:t>
      </w:r>
      <w:r>
        <w:rPr>
          <w:rFonts w:cs="Arial"/>
          <w:rtl/>
        </w:rPr>
        <w:t xml:space="preserve"> </w:t>
      </w:r>
      <w:r>
        <w:rPr>
          <w:rFonts w:cs="Arial"/>
          <w:u w:val="double"/>
          <w:rtl/>
        </w:rPr>
        <w:t>מתני'</w:t>
      </w:r>
      <w:r>
        <w:rPr>
          <w:rFonts w:cs="Arial"/>
          <w:rtl/>
        </w:rPr>
        <w:t xml:space="preserve">:... האומר תן גט זה לאשתי במקום פלוני, ונתנו לה במקום אחר </w:t>
      </w:r>
      <w:r w:rsidR="00A82951">
        <w:rPr>
          <w:rFonts w:cs="Arial"/>
          <w:rtl/>
        </w:rPr>
        <w:t>-</w:t>
      </w:r>
      <w:r>
        <w:rPr>
          <w:rFonts w:cs="Arial"/>
          <w:rtl/>
        </w:rPr>
        <w:t xml:space="preserve"> פסול. הרי היא במקום פלוני, ונתנו לה במקום אחר </w:t>
      </w:r>
      <w:r w:rsidR="00A82951">
        <w:rPr>
          <w:rFonts w:cs="Arial"/>
          <w:rtl/>
        </w:rPr>
        <w:t>-</w:t>
      </w:r>
      <w:r>
        <w:rPr>
          <w:rFonts w:cs="Arial"/>
          <w:rtl/>
        </w:rPr>
        <w:t xml:space="preserve"> כשר...</w:t>
      </w:r>
    </w:p>
    <w:p w14:paraId="43A6BC94" w14:textId="131E1C85" w:rsidR="00FA2119" w:rsidRDefault="00FA2119" w:rsidP="00FA2119">
      <w:pPr>
        <w:rPr>
          <w:rFonts w:cs="Arial"/>
          <w:rtl/>
        </w:rPr>
      </w:pPr>
      <w:r>
        <w:rPr>
          <w:rFonts w:cs="Arial"/>
          <w:b/>
          <w:bCs/>
          <w:rtl/>
        </w:rPr>
        <w:t xml:space="preserve">גיטין </w:t>
      </w:r>
      <w:r>
        <w:rPr>
          <w:rFonts w:cs="Arial"/>
          <w:b/>
          <w:bCs/>
          <w:sz w:val="16"/>
          <w:szCs w:val="16"/>
          <w:rtl/>
        </w:rPr>
        <w:t xml:space="preserve">(פ' כל הגט) </w:t>
      </w:r>
      <w:r>
        <w:rPr>
          <w:rFonts w:cs="Arial"/>
          <w:b/>
          <w:bCs/>
          <w:rtl/>
        </w:rPr>
        <w:t xml:space="preserve">כט ע"א: </w:t>
      </w:r>
      <w:r>
        <w:rPr>
          <w:rFonts w:cs="Arial"/>
          <w:rtl/>
        </w:rPr>
        <w:t xml:space="preserve">ואם אמר לו טול לי הימנה חפץ פלוני. </w:t>
      </w:r>
      <w:r w:rsidRPr="004D4275">
        <w:rPr>
          <w:rFonts w:cs="Arial"/>
          <w:u w:val="single"/>
          <w:rtl/>
        </w:rPr>
        <w:t>אמר ריש לקיש</w:t>
      </w:r>
      <w:r w:rsidR="004D4275">
        <w:rPr>
          <w:rFonts w:cs="Arial" w:hint="cs"/>
          <w:rtl/>
        </w:rPr>
        <w:t>:</w:t>
      </w:r>
      <w:r>
        <w:rPr>
          <w:rFonts w:cs="Arial"/>
          <w:rtl/>
        </w:rPr>
        <w:t xml:space="preserve"> כאן שנה רבי: אין השואל רשאי להשאיל, ואין השוכר רשאי להשכיר. </w:t>
      </w:r>
      <w:r w:rsidRPr="004D4275">
        <w:rPr>
          <w:rFonts w:cs="Arial"/>
          <w:u w:val="single"/>
          <w:rtl/>
        </w:rPr>
        <w:t>אמר לו רבי יוחנן</w:t>
      </w:r>
      <w:r>
        <w:rPr>
          <w:rFonts w:cs="Arial"/>
          <w:rtl/>
        </w:rPr>
        <w:t xml:space="preserve">: זו אפילו תינוקות של בית רבן יודעים אותה, אלא זימנין דגיטא נמי לא הוי, דנעשה כמי שאמר לו אל תגרשה אלא בבית וגירשה בעלייה אל תגרשה אלא בימין וגירשה בשמאל. </w:t>
      </w:r>
    </w:p>
    <w:p w14:paraId="6E9D5134" w14:textId="77777777" w:rsidR="00FA2119" w:rsidRDefault="00FA2119" w:rsidP="00FA2119">
      <w:pPr>
        <w:rPr>
          <w:u w:val="single"/>
          <w:rtl/>
        </w:rPr>
      </w:pPr>
      <w:r>
        <w:rPr>
          <w:u w:val="single"/>
          <w:rtl/>
        </w:rPr>
        <w:t>שליח ששינה ממה שאמר לו משלחו:</w:t>
      </w:r>
    </w:p>
    <w:p w14:paraId="2441371F" w14:textId="2EC19ADC"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השליח ששינה בשליחותו ממה שאמר לו הוא או היא </w:t>
      </w:r>
      <w:r w:rsidR="00A82951">
        <w:rPr>
          <w:rFonts w:cs="Arial"/>
          <w:rtl/>
        </w:rPr>
        <w:t>-</w:t>
      </w:r>
      <w:r>
        <w:rPr>
          <w:rFonts w:cs="Arial"/>
          <w:rtl/>
        </w:rPr>
        <w:t xml:space="preserve"> אין הגט גט. כיצד, אמר לו 'תנהו לה במקום פלוני', ונתנו לה במקום אחר, 'אל תתנהו לה אלא בעלייה' ונתנו לה בבית או איפכא, 'אל תתנהו לה אלא בימין' ונתן לה בשמאל או איפכא </w:t>
      </w:r>
      <w:r w:rsidR="00A82951">
        <w:rPr>
          <w:rFonts w:cs="Arial"/>
          <w:rtl/>
        </w:rPr>
        <w:t>-</w:t>
      </w:r>
      <w:r>
        <w:rPr>
          <w:rFonts w:cs="Arial"/>
          <w:rtl/>
        </w:rPr>
        <w:t xml:space="preserve"> אינו גט. </w:t>
      </w:r>
      <w:r>
        <w:rPr>
          <w:color w:val="E36C0A" w:themeColor="accent6" w:themeShade="BF"/>
          <w:rtl/>
        </w:rPr>
        <w:t>(וכ"פ בשו"ע)</w:t>
      </w:r>
      <w:r w:rsidR="000D29BA">
        <w:rPr>
          <w:rFonts w:hint="cs"/>
          <w:rtl/>
        </w:rPr>
        <w:t xml:space="preserve"> </w:t>
      </w:r>
    </w:p>
    <w:p w14:paraId="74EC6438"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2BCDAEE2" w14:textId="77777777" w:rsidR="00FA2119" w:rsidRDefault="00FA2119" w:rsidP="00FA2119">
      <w:pPr>
        <w:rPr>
          <w:rtl/>
        </w:rPr>
      </w:pPr>
      <w:r>
        <w:rPr>
          <w:rFonts w:cs="Arial"/>
          <w:rtl/>
        </w:rPr>
        <w:t>השליח ששינה בשליחותו במה שאמר לו הוא או היא, לא עשה כלום. כיצד, אמר לו: תנהו לה במקום פלוני</w:t>
      </w:r>
      <w:r>
        <w:rPr>
          <w:rStyle w:val="a7"/>
          <w:rFonts w:cs="Arial"/>
          <w:rtl/>
        </w:rPr>
        <w:footnoteReference w:id="2042"/>
      </w:r>
      <w:r>
        <w:rPr>
          <w:rFonts w:cs="Arial"/>
          <w:rtl/>
        </w:rPr>
        <w:t>, ונתנו לה במקום אחר</w:t>
      </w:r>
      <w:r>
        <w:rPr>
          <w:rStyle w:val="a7"/>
          <w:rFonts w:cs="Arial"/>
          <w:rtl/>
        </w:rPr>
        <w:footnoteReference w:id="2043"/>
      </w:r>
      <w:r>
        <w:rPr>
          <w:rFonts w:cs="Arial"/>
          <w:rtl/>
        </w:rPr>
        <w:t xml:space="preserve">; אל תתנהו לה אלא בעליה, ונתנו לה בבית או איפכא; או אל תתנהו לה אלא בימין, ונתנו לה בשמאל או איפכא, לא עשה כלום. </w:t>
      </w:r>
    </w:p>
    <w:p w14:paraId="0CBAD55E" w14:textId="77777777" w:rsidR="00FA2119" w:rsidRDefault="00FA2119" w:rsidP="00FA2119">
      <w:pPr>
        <w:rPr>
          <w:rtl/>
        </w:rPr>
      </w:pPr>
    </w:p>
    <w:p w14:paraId="769832A3" w14:textId="77777777" w:rsidR="00FA2119" w:rsidRDefault="00FA2119" w:rsidP="00FA2119">
      <w:pPr>
        <w:pStyle w:val="2"/>
        <w:rPr>
          <w:rtl/>
        </w:rPr>
      </w:pPr>
      <w:r>
        <w:rPr>
          <w:rtl/>
        </w:rPr>
        <w:lastRenderedPageBreak/>
        <w:t>סעיף מו: הבעל אמר לשליח 'אל תגרשנה אלא בימינך', והשליח רוצה למנות שליח.</w:t>
      </w:r>
    </w:p>
    <w:p w14:paraId="47DB9FF5" w14:textId="44F97210" w:rsidR="00FA2119" w:rsidRDefault="00FA2119" w:rsidP="00FA2119">
      <w:pPr>
        <w:rPr>
          <w:u w:val="single"/>
          <w:rtl/>
        </w:rPr>
      </w:pPr>
      <w:r>
        <w:rPr>
          <w:u w:val="single"/>
          <w:rtl/>
        </w:rPr>
        <w:t xml:space="preserve">הבעל אמר לשליח 'אל תגרשנה אלא בימינך' </w:t>
      </w:r>
      <w:r w:rsidR="00A82951">
        <w:rPr>
          <w:u w:val="single"/>
          <w:rtl/>
        </w:rPr>
        <w:t>-</w:t>
      </w:r>
      <w:r>
        <w:rPr>
          <w:u w:val="single"/>
          <w:rtl/>
        </w:rPr>
        <w:t xml:space="preserve"> האם השליח יכול למנות שליח אחר:</w:t>
      </w:r>
    </w:p>
    <w:p w14:paraId="4F9466E0" w14:textId="0538DBA8" w:rsidR="00FA2119" w:rsidRDefault="00FA2119" w:rsidP="006A458D">
      <w:pPr>
        <w:pStyle w:val="ab"/>
        <w:numPr>
          <w:ilvl w:val="0"/>
          <w:numId w:val="102"/>
        </w:numPr>
        <w:rPr>
          <w:rtl/>
        </w:rPr>
      </w:pPr>
      <w:r>
        <w:rPr>
          <w:rFonts w:cs="Arial"/>
          <w:rtl/>
        </w:rPr>
        <w:t>רמ"ה</w:t>
      </w:r>
      <w:r>
        <w:rPr>
          <w:rFonts w:cs="Arial"/>
          <w:sz w:val="16"/>
          <w:szCs w:val="16"/>
          <w:rtl/>
        </w:rPr>
        <w:t xml:space="preserve"> (כ"כ הטור בשמו)</w:t>
      </w:r>
      <w:r w:rsidR="00A82951">
        <w:rPr>
          <w:rFonts w:cs="Arial"/>
          <w:rtl/>
        </w:rPr>
        <w:t>-</w:t>
      </w:r>
      <w:r>
        <w:rPr>
          <w:rFonts w:cs="Arial"/>
          <w:rtl/>
        </w:rPr>
        <w:t xml:space="preserve"> אל תגרשנה אלא בימינך</w:t>
      </w:r>
      <w:r w:rsidR="004D4275">
        <w:rPr>
          <w:rFonts w:cs="Arial" w:hint="cs"/>
          <w:rtl/>
        </w:rPr>
        <w:t>,</w:t>
      </w:r>
      <w:r>
        <w:rPr>
          <w:rFonts w:cs="Arial"/>
          <w:rtl/>
        </w:rPr>
        <w:t xml:space="preserve"> הוה ליה כאילו אמר לו 'את הולך' ואינו יכול לעשות שליח שני אא"כ חלה</w:t>
      </w:r>
      <w:r>
        <w:rPr>
          <w:rStyle w:val="a7"/>
          <w:rFonts w:cs="Arial"/>
          <w:rtl/>
        </w:rPr>
        <w:footnoteReference w:id="2044"/>
      </w:r>
      <w:r>
        <w:rPr>
          <w:rFonts w:cs="Arial"/>
          <w:rtl/>
        </w:rPr>
        <w:t xml:space="preserve">. </w:t>
      </w:r>
    </w:p>
    <w:p w14:paraId="0B3B764C" w14:textId="69244DD7" w:rsidR="00FA2119" w:rsidRDefault="00FA2119" w:rsidP="006A458D">
      <w:pPr>
        <w:pStyle w:val="ab"/>
        <w:numPr>
          <w:ilvl w:val="0"/>
          <w:numId w:val="102"/>
        </w:numPr>
      </w:pPr>
      <w:r>
        <w:rPr>
          <w:rFonts w:cs="Arial"/>
          <w:rtl/>
        </w:rPr>
        <w:t>טור</w:t>
      </w:r>
      <w:r w:rsidR="00A82951">
        <w:rPr>
          <w:rFonts w:cs="Arial"/>
          <w:rtl/>
        </w:rPr>
        <w:t>-</w:t>
      </w:r>
      <w:r>
        <w:rPr>
          <w:rFonts w:cs="Arial"/>
          <w:rtl/>
        </w:rPr>
        <w:t xml:space="preserve"> אפי' חלה נמי אינו יכול לשלחו ביד אחר, דהויא ליה כאילו פירש לא יגרשנה אחר אלא אתה</w:t>
      </w:r>
      <w:r>
        <w:rPr>
          <w:rStyle w:val="a7"/>
          <w:rFonts w:cs="Arial"/>
          <w:rtl/>
        </w:rPr>
        <w:footnoteReference w:id="2045"/>
      </w:r>
      <w:r>
        <w:rPr>
          <w:rFonts w:cs="Arial"/>
          <w:rtl/>
        </w:rPr>
        <w:t xml:space="preserve">. </w:t>
      </w:r>
      <w:r>
        <w:rPr>
          <w:color w:val="E36C0A" w:themeColor="accent6" w:themeShade="BF"/>
          <w:rtl/>
        </w:rPr>
        <w:t>(וכ"פ בשו"ע)</w:t>
      </w:r>
    </w:p>
    <w:p w14:paraId="0335E9B3"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6533252" w14:textId="77777777" w:rsidR="00FA2119" w:rsidRDefault="00FA2119" w:rsidP="00FA2119">
      <w:pPr>
        <w:rPr>
          <w:rtl/>
        </w:rPr>
      </w:pPr>
      <w:r>
        <w:rPr>
          <w:rFonts w:cs="Arial"/>
          <w:rtl/>
        </w:rPr>
        <w:t xml:space="preserve">יש מי שאומר שאם אמר לו: אל תגרשנה אלא בימינך, אינו יכול לשלחו ביד אחר אפילו אם חלה, דהוה ליה כאילו פירש: לא יגרשנה אחר אלא אתה. </w:t>
      </w:r>
    </w:p>
    <w:p w14:paraId="00BE59C6" w14:textId="77777777" w:rsidR="00FA2119" w:rsidRDefault="00FA2119" w:rsidP="00FA2119">
      <w:pPr>
        <w:rPr>
          <w:rtl/>
        </w:rPr>
      </w:pPr>
    </w:p>
    <w:p w14:paraId="2186AD37" w14:textId="77777777" w:rsidR="00FA2119" w:rsidRDefault="00FA2119" w:rsidP="00FA2119">
      <w:pPr>
        <w:pStyle w:val="2"/>
        <w:rPr>
          <w:rtl/>
        </w:rPr>
      </w:pPr>
      <w:r>
        <w:rPr>
          <w:rtl/>
        </w:rPr>
        <w:t>סעיף מז: אמר הבעל לשליח 'תן גט זה לאשתי הרי היא במקום פלוני'.</w:t>
      </w:r>
    </w:p>
    <w:p w14:paraId="46AFD7DF" w14:textId="552D8A8C" w:rsidR="00FA2119" w:rsidRDefault="00FA2119" w:rsidP="00FA2119">
      <w:pPr>
        <w:rPr>
          <w:rFonts w:cs="Arial"/>
          <w:rtl/>
        </w:rPr>
      </w:pPr>
      <w:r>
        <w:rPr>
          <w:rFonts w:cs="Arial"/>
          <w:b/>
          <w:bCs/>
          <w:rtl/>
        </w:rPr>
        <w:t xml:space="preserve">גיטין </w:t>
      </w:r>
      <w:r>
        <w:rPr>
          <w:rFonts w:cs="Arial"/>
          <w:b/>
          <w:bCs/>
          <w:sz w:val="16"/>
          <w:szCs w:val="16"/>
          <w:rtl/>
        </w:rPr>
        <w:t xml:space="preserve">(פ' התקבל) </w:t>
      </w:r>
      <w:r>
        <w:rPr>
          <w:rFonts w:cs="Arial"/>
          <w:b/>
          <w:bCs/>
          <w:rtl/>
        </w:rPr>
        <w:t>סה ע"א:</w:t>
      </w:r>
      <w:r>
        <w:rPr>
          <w:rFonts w:cs="Arial"/>
          <w:rtl/>
        </w:rPr>
        <w:t xml:space="preserve"> </w:t>
      </w:r>
      <w:r>
        <w:rPr>
          <w:rFonts w:cs="Arial"/>
          <w:u w:val="double"/>
          <w:rtl/>
        </w:rPr>
        <w:t>מתני'</w:t>
      </w:r>
      <w:r>
        <w:rPr>
          <w:rFonts w:cs="Arial"/>
          <w:rtl/>
        </w:rPr>
        <w:t xml:space="preserve">:... האומר תן גט זה לאשתי במקום פלוני, ונתנו לה במקום אחר </w:t>
      </w:r>
      <w:r w:rsidR="00A82951">
        <w:rPr>
          <w:rFonts w:cs="Arial"/>
          <w:rtl/>
        </w:rPr>
        <w:t>-</w:t>
      </w:r>
      <w:r>
        <w:rPr>
          <w:rFonts w:cs="Arial"/>
          <w:rtl/>
        </w:rPr>
        <w:t xml:space="preserve"> פסול; הרי היא במקום פלוני, ונתנו לה במקום אחר </w:t>
      </w:r>
      <w:r w:rsidR="00A82951">
        <w:rPr>
          <w:rFonts w:cs="Arial"/>
          <w:rtl/>
        </w:rPr>
        <w:t>-</w:t>
      </w:r>
      <w:r>
        <w:rPr>
          <w:rFonts w:cs="Arial"/>
          <w:rtl/>
        </w:rPr>
        <w:t xml:space="preserve"> כשר. </w:t>
      </w:r>
    </w:p>
    <w:p w14:paraId="62F95087" w14:textId="77777777" w:rsidR="00FA2119" w:rsidRDefault="00FA2119" w:rsidP="00FA2119">
      <w:pPr>
        <w:rPr>
          <w:u w:val="single"/>
          <w:rtl/>
        </w:rPr>
      </w:pPr>
      <w:r>
        <w:rPr>
          <w:u w:val="single"/>
          <w:rtl/>
        </w:rPr>
        <w:t>אמר לשליח '</w:t>
      </w:r>
      <w:r>
        <w:rPr>
          <w:rFonts w:cs="Arial"/>
          <w:u w:val="single"/>
          <w:rtl/>
        </w:rPr>
        <w:t>תן גט זה לאשתי הרי היא במקום פלוני'</w:t>
      </w:r>
      <w:r>
        <w:rPr>
          <w:u w:val="single"/>
          <w:rtl/>
        </w:rPr>
        <w:t>:</w:t>
      </w:r>
    </w:p>
    <w:p w14:paraId="11932A5B" w14:textId="115365C0"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אבל אם אמר לו 'תן גט זה לאשתי והרי היא במקום פלוני', ונתנו לה במקום אחר </w:t>
      </w:r>
      <w:r w:rsidR="00A82951">
        <w:rPr>
          <w:rFonts w:cs="Arial"/>
          <w:rtl/>
        </w:rPr>
        <w:t>-</w:t>
      </w:r>
      <w:r>
        <w:rPr>
          <w:rFonts w:cs="Arial"/>
          <w:rtl/>
        </w:rPr>
        <w:t xml:space="preserve"> הרי זה גט, שאין זה קפידא אלא מראה לו מקומה. </w:t>
      </w:r>
      <w:r>
        <w:rPr>
          <w:color w:val="E36C0A" w:themeColor="accent6" w:themeShade="BF"/>
          <w:rtl/>
        </w:rPr>
        <w:t>(וכ"פ בשו"ע)</w:t>
      </w:r>
    </w:p>
    <w:p w14:paraId="55CC9A55"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25498E57" w14:textId="77777777" w:rsidR="00FA2119" w:rsidRDefault="00FA2119" w:rsidP="00FA2119">
      <w:pPr>
        <w:rPr>
          <w:rtl/>
        </w:rPr>
      </w:pPr>
      <w:r>
        <w:rPr>
          <w:rFonts w:cs="Arial"/>
          <w:rtl/>
        </w:rPr>
        <w:t xml:space="preserve">אמר ליה: תן גט זה לאשתי, הרי היא במקום פלוני, ונתנו לה במקום אחר, הרי זה גט, שאין זה קפידא אלא מראה מקום. </w:t>
      </w:r>
    </w:p>
    <w:p w14:paraId="11E662D2" w14:textId="77777777" w:rsidR="00FA2119" w:rsidRDefault="00FA2119" w:rsidP="00FA2119">
      <w:pPr>
        <w:rPr>
          <w:rtl/>
        </w:rPr>
      </w:pPr>
    </w:p>
    <w:p w14:paraId="4E69C324" w14:textId="77777777" w:rsidR="00FA2119" w:rsidRDefault="00FA2119" w:rsidP="00FA2119">
      <w:pPr>
        <w:pStyle w:val="2"/>
        <w:rPr>
          <w:rtl/>
        </w:rPr>
      </w:pPr>
      <w:r>
        <w:rPr>
          <w:rtl/>
        </w:rPr>
        <w:t xml:space="preserve">סעיף מח: אמר הבעל לשליח 'תנהו לה ביום פלוני' או </w:t>
      </w:r>
      <w:r>
        <w:rPr>
          <w:rFonts w:cs="Arial"/>
          <w:rtl/>
        </w:rPr>
        <w:t>'אל תתנהו לה אלא ביום פלוני</w:t>
      </w:r>
      <w:r>
        <w:rPr>
          <w:rtl/>
        </w:rPr>
        <w:t xml:space="preserve">'. </w:t>
      </w:r>
    </w:p>
    <w:p w14:paraId="4A702667" w14:textId="77777777" w:rsidR="00FA2119" w:rsidRDefault="00FA2119" w:rsidP="00FA2119">
      <w:pPr>
        <w:rPr>
          <w:rtl/>
        </w:rPr>
      </w:pPr>
      <w:r>
        <w:rPr>
          <w:rFonts w:cs="Arial"/>
          <w:b/>
          <w:bCs/>
          <w:rtl/>
        </w:rPr>
        <w:t xml:space="preserve">גיטין </w:t>
      </w:r>
      <w:r>
        <w:rPr>
          <w:rFonts w:cs="Arial"/>
          <w:b/>
          <w:bCs/>
          <w:sz w:val="16"/>
          <w:szCs w:val="16"/>
          <w:rtl/>
        </w:rPr>
        <w:t xml:space="preserve">(פ"ב) </w:t>
      </w:r>
      <w:r>
        <w:rPr>
          <w:rFonts w:cs="Arial"/>
          <w:b/>
          <w:bCs/>
          <w:rtl/>
        </w:rPr>
        <w:t xml:space="preserve">יז ע"ב: </w:t>
      </w:r>
      <w:r>
        <w:rPr>
          <w:rFonts w:cs="Arial"/>
          <w:u w:val="single"/>
          <w:rtl/>
        </w:rPr>
        <w:t>אמר ליה רבינא לרבא</w:t>
      </w:r>
      <w:r>
        <w:rPr>
          <w:rFonts w:cs="Arial"/>
          <w:rtl/>
        </w:rPr>
        <w:t>: כתביה</w:t>
      </w:r>
      <w:r>
        <w:rPr>
          <w:rtl/>
        </w:rPr>
        <w:t xml:space="preserve"> </w:t>
      </w:r>
      <w:r>
        <w:rPr>
          <w:sz w:val="14"/>
          <w:szCs w:val="14"/>
          <w:rtl/>
        </w:rPr>
        <w:t xml:space="preserve">(יח.) </w:t>
      </w:r>
      <w:r>
        <w:rPr>
          <w:rFonts w:cs="Arial"/>
          <w:rtl/>
        </w:rPr>
        <w:t xml:space="preserve">ואותביה בכיסתיה, דאי מפייסה תיפייס, מאי? </w:t>
      </w:r>
      <w:r>
        <w:rPr>
          <w:rFonts w:cs="Arial"/>
          <w:u w:val="single"/>
          <w:rtl/>
        </w:rPr>
        <w:t>אמר ליה</w:t>
      </w:r>
      <w:r>
        <w:rPr>
          <w:rFonts w:cs="Arial"/>
          <w:rtl/>
        </w:rPr>
        <w:t>: לא מקדים אינש פורענותא לנפשיה.</w:t>
      </w:r>
    </w:p>
    <w:p w14:paraId="4B7E0D97" w14:textId="77777777" w:rsidR="00FA2119" w:rsidRDefault="00FA2119" w:rsidP="00FA2119">
      <w:pPr>
        <w:rPr>
          <w:u w:val="single"/>
          <w:rtl/>
        </w:rPr>
      </w:pPr>
      <w:r>
        <w:rPr>
          <w:u w:val="single"/>
          <w:rtl/>
        </w:rPr>
        <w:t xml:space="preserve">אמר הבעל לשליח 'תנהו לה ביום פלוני' או </w:t>
      </w:r>
      <w:r>
        <w:rPr>
          <w:rFonts w:cs="Arial"/>
          <w:u w:val="single"/>
          <w:rtl/>
        </w:rPr>
        <w:t>'אל תתנהו לה אלא ביום פלוני</w:t>
      </w:r>
      <w:r>
        <w:rPr>
          <w:u w:val="single"/>
          <w:rtl/>
        </w:rPr>
        <w:t>':</w:t>
      </w:r>
    </w:p>
    <w:p w14:paraId="3DDC4155" w14:textId="61F388F1" w:rsidR="00FA2119" w:rsidRDefault="00FA2119" w:rsidP="006A458D">
      <w:pPr>
        <w:pStyle w:val="ab"/>
        <w:numPr>
          <w:ilvl w:val="0"/>
          <w:numId w:val="102"/>
        </w:numPr>
        <w:rPr>
          <w:rtl/>
        </w:rPr>
      </w:pPr>
      <w:r>
        <w:rPr>
          <w:rFonts w:cs="Arial"/>
          <w:rtl/>
        </w:rPr>
        <w:t xml:space="preserve">רמב"ם </w:t>
      </w:r>
      <w:r>
        <w:rPr>
          <w:rFonts w:cs="Arial"/>
          <w:sz w:val="16"/>
          <w:szCs w:val="16"/>
          <w:rtl/>
        </w:rPr>
        <w:t>(פ"ט הל"ג)</w:t>
      </w:r>
      <w:r w:rsidR="00A82951">
        <w:rPr>
          <w:rFonts w:cs="Arial"/>
          <w:rtl/>
        </w:rPr>
        <w:t>-</w:t>
      </w:r>
      <w:r>
        <w:rPr>
          <w:rFonts w:cs="Arial"/>
          <w:rtl/>
        </w:rPr>
        <w:t xml:space="preserve"> תנהו לה ביום פלוני ונתנו לה בתוך</w:t>
      </w:r>
      <w:r>
        <w:rPr>
          <w:rStyle w:val="a7"/>
          <w:rFonts w:cs="Arial"/>
          <w:rtl/>
        </w:rPr>
        <w:footnoteReference w:id="2046"/>
      </w:r>
      <w:r>
        <w:rPr>
          <w:rFonts w:cs="Arial"/>
          <w:rtl/>
        </w:rPr>
        <w:t xml:space="preserve"> הזמן </w:t>
      </w:r>
      <w:r w:rsidR="00A82951">
        <w:rPr>
          <w:rFonts w:cs="Arial"/>
          <w:rtl/>
        </w:rPr>
        <w:t>-</w:t>
      </w:r>
      <w:r>
        <w:rPr>
          <w:rFonts w:cs="Arial"/>
          <w:rtl/>
        </w:rPr>
        <w:t xml:space="preserve"> אינו גט. אל תתנהו לה אלא ביום פלוני ונתנו לה מלפניו או מאחריו </w:t>
      </w:r>
      <w:r w:rsidR="00A82951">
        <w:rPr>
          <w:rFonts w:cs="Arial"/>
          <w:rtl/>
        </w:rPr>
        <w:t>-</w:t>
      </w:r>
      <w:r>
        <w:rPr>
          <w:rFonts w:cs="Arial"/>
          <w:rtl/>
        </w:rPr>
        <w:t xml:space="preserve"> אינו גט, שהרי הקפיד על עצמו של יום</w:t>
      </w:r>
      <w:r>
        <w:rPr>
          <w:rStyle w:val="a7"/>
          <w:rFonts w:cs="Arial"/>
          <w:rtl/>
        </w:rPr>
        <w:footnoteReference w:id="2047"/>
      </w:r>
      <w:r>
        <w:rPr>
          <w:rFonts w:cs="Arial"/>
          <w:rtl/>
        </w:rPr>
        <w:t xml:space="preserve">. וכן כל כיוצא בזה. </w:t>
      </w:r>
      <w:r>
        <w:rPr>
          <w:color w:val="E36C0A" w:themeColor="accent6" w:themeShade="BF"/>
          <w:rtl/>
        </w:rPr>
        <w:t>(וכ"פ בשו"ע)</w:t>
      </w:r>
    </w:p>
    <w:p w14:paraId="45C32DCC"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6BC0D5BB" w14:textId="77777777" w:rsidR="00FA2119" w:rsidRDefault="00FA2119" w:rsidP="00FA2119">
      <w:pPr>
        <w:rPr>
          <w:rtl/>
        </w:rPr>
      </w:pPr>
      <w:r>
        <w:rPr>
          <w:rFonts w:cs="Arial"/>
          <w:rtl/>
        </w:rPr>
        <w:t>אמר לו: תנהו לה ביום פלוני, ונתנה לה בתוך הזמן, אינו גט</w:t>
      </w:r>
      <w:r>
        <w:rPr>
          <w:rStyle w:val="a7"/>
          <w:rFonts w:cs="Arial"/>
          <w:rtl/>
        </w:rPr>
        <w:footnoteReference w:id="2048"/>
      </w:r>
      <w:r>
        <w:rPr>
          <w:rFonts w:cs="Arial"/>
          <w:rtl/>
        </w:rPr>
        <w:t xml:space="preserve">. אל תתנהו לה אלא ביום פלוני, נתנו לה בין מלפניו בין מלאחריו, אינו גט. </w:t>
      </w:r>
    </w:p>
    <w:p w14:paraId="5FD452FB" w14:textId="77777777" w:rsidR="00FA2119" w:rsidRDefault="00FA2119" w:rsidP="00FA2119">
      <w:pPr>
        <w:rPr>
          <w:rtl/>
        </w:rPr>
      </w:pPr>
    </w:p>
    <w:p w14:paraId="6F803E53" w14:textId="77777777" w:rsidR="00FA2119" w:rsidRDefault="00FA2119" w:rsidP="00FA2119">
      <w:pPr>
        <w:pStyle w:val="2"/>
        <w:rPr>
          <w:rtl/>
        </w:rPr>
      </w:pPr>
      <w:r>
        <w:rPr>
          <w:rtl/>
        </w:rPr>
        <w:t>סעיף מט: אשה שאמרה לשליח 'קבל/הבא גיטי ממקום פלוני'.</w:t>
      </w:r>
    </w:p>
    <w:p w14:paraId="25E3D982" w14:textId="20769B0D" w:rsidR="00FA2119" w:rsidRDefault="00FA2119" w:rsidP="00FA2119">
      <w:pPr>
        <w:rPr>
          <w:rFonts w:cs="Arial"/>
          <w:rtl/>
        </w:rPr>
      </w:pPr>
      <w:r>
        <w:rPr>
          <w:rFonts w:cs="Arial"/>
          <w:b/>
          <w:bCs/>
          <w:rtl/>
        </w:rPr>
        <w:t xml:space="preserve">גיטין </w:t>
      </w:r>
      <w:r>
        <w:rPr>
          <w:rFonts w:cs="Arial"/>
          <w:b/>
          <w:bCs/>
          <w:sz w:val="16"/>
          <w:szCs w:val="16"/>
          <w:rtl/>
        </w:rPr>
        <w:t xml:space="preserve">(פ' התקבל) </w:t>
      </w:r>
      <w:r>
        <w:rPr>
          <w:rFonts w:cs="Arial"/>
          <w:b/>
          <w:bCs/>
          <w:rtl/>
        </w:rPr>
        <w:t>סה ע"א:</w:t>
      </w:r>
      <w:r>
        <w:rPr>
          <w:rFonts w:cs="Arial"/>
          <w:rtl/>
        </w:rPr>
        <w:t xml:space="preserve"> </w:t>
      </w:r>
      <w:r>
        <w:rPr>
          <w:rFonts w:cs="Arial"/>
          <w:u w:val="double"/>
          <w:rtl/>
        </w:rPr>
        <w:t>מתני'</w:t>
      </w:r>
      <w:r>
        <w:rPr>
          <w:rFonts w:cs="Arial"/>
          <w:rtl/>
        </w:rPr>
        <w:t xml:space="preserve">:... האומר תן גט זה לאשתי במקום פלוני, ונתנו לה במקום אחר </w:t>
      </w:r>
      <w:r w:rsidR="00A82951">
        <w:rPr>
          <w:rFonts w:cs="Arial"/>
          <w:rtl/>
        </w:rPr>
        <w:t>-</w:t>
      </w:r>
      <w:r>
        <w:rPr>
          <w:rFonts w:cs="Arial"/>
          <w:rtl/>
        </w:rPr>
        <w:t xml:space="preserve"> פסול; הרי היא במקום פלוני, ונתנו לה במקום אחר </w:t>
      </w:r>
      <w:r w:rsidR="00A82951">
        <w:rPr>
          <w:rFonts w:cs="Arial"/>
          <w:rtl/>
        </w:rPr>
        <w:t>-</w:t>
      </w:r>
      <w:r>
        <w:rPr>
          <w:rFonts w:cs="Arial"/>
          <w:rtl/>
        </w:rPr>
        <w:t xml:space="preserve"> כשר. האשה שאמרה התקבל לי גיטי במקום פלוני, וקיבלו לה במקום אחר </w:t>
      </w:r>
      <w:r w:rsidR="00A82951">
        <w:rPr>
          <w:rFonts w:cs="Arial"/>
          <w:rtl/>
        </w:rPr>
        <w:t>-</w:t>
      </w:r>
      <w:r>
        <w:rPr>
          <w:rFonts w:cs="Arial"/>
          <w:rtl/>
        </w:rPr>
        <w:t xml:space="preserve"> פסול, </w:t>
      </w:r>
      <w:r>
        <w:rPr>
          <w:rFonts w:cs="Arial"/>
          <w:u w:val="single"/>
          <w:rtl/>
        </w:rPr>
        <w:t>ר' אלעזר</w:t>
      </w:r>
      <w:r>
        <w:rPr>
          <w:rFonts w:cs="Arial"/>
          <w:rtl/>
        </w:rPr>
        <w:t xml:space="preserve"> מכשיר. הבא לי גיטי ממקום פלוני, והביאו לה ממקום אחר </w:t>
      </w:r>
      <w:r w:rsidR="00A82951">
        <w:rPr>
          <w:rFonts w:cs="Arial"/>
          <w:rtl/>
        </w:rPr>
        <w:t>-</w:t>
      </w:r>
      <w:r>
        <w:rPr>
          <w:rFonts w:cs="Arial"/>
          <w:rtl/>
        </w:rPr>
        <w:t xml:space="preserve"> כשר</w:t>
      </w:r>
      <w:r w:rsidR="00807CA1">
        <w:rPr>
          <w:rFonts w:cs="Arial" w:hint="cs"/>
          <w:rtl/>
        </w:rPr>
        <w:t>.</w:t>
      </w:r>
    </w:p>
    <w:p w14:paraId="311C24AC" w14:textId="77777777" w:rsidR="00FA2119" w:rsidRDefault="00FA2119" w:rsidP="00FA2119">
      <w:pPr>
        <w:rPr>
          <w:u w:val="single"/>
          <w:rtl/>
        </w:rPr>
      </w:pPr>
      <w:r>
        <w:rPr>
          <w:u w:val="single"/>
          <w:rtl/>
        </w:rPr>
        <w:t>אשה שאמרה לשליח 'קבל/הבא גיטי ממקום פלוני':</w:t>
      </w:r>
    </w:p>
    <w:p w14:paraId="1FB7A929" w14:textId="24C0C648"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וכן היא שאמרה לשליח 'קבל גיטי במקום פלוני' וקבלו במקום אחר </w:t>
      </w:r>
      <w:r w:rsidR="00A82951">
        <w:rPr>
          <w:rFonts w:cs="Arial"/>
          <w:rtl/>
        </w:rPr>
        <w:t>-</w:t>
      </w:r>
      <w:r>
        <w:rPr>
          <w:rFonts w:cs="Arial"/>
          <w:rtl/>
        </w:rPr>
        <w:t xml:space="preserve"> אינו גט</w:t>
      </w:r>
      <w:r>
        <w:rPr>
          <w:rStyle w:val="a7"/>
          <w:rFonts w:cs="Arial"/>
          <w:rtl/>
        </w:rPr>
        <w:footnoteReference w:id="2049"/>
      </w:r>
      <w:r>
        <w:rPr>
          <w:rFonts w:cs="Arial"/>
          <w:rtl/>
        </w:rPr>
        <w:t>. אבל אם אמרה 'הבא לי גיטי ממקום</w:t>
      </w:r>
      <w:r>
        <w:rPr>
          <w:rStyle w:val="a7"/>
          <w:rFonts w:cs="Arial"/>
          <w:rtl/>
        </w:rPr>
        <w:footnoteReference w:id="2050"/>
      </w:r>
      <w:r>
        <w:rPr>
          <w:rFonts w:cs="Arial"/>
          <w:rtl/>
        </w:rPr>
        <w:t xml:space="preserve"> פלוני' והביאו ממקום אחר </w:t>
      </w:r>
      <w:r w:rsidR="00A82951">
        <w:rPr>
          <w:rFonts w:cs="Arial"/>
          <w:rtl/>
        </w:rPr>
        <w:t>-</w:t>
      </w:r>
      <w:r>
        <w:rPr>
          <w:rFonts w:cs="Arial"/>
          <w:rtl/>
        </w:rPr>
        <w:t xml:space="preserve"> הוי גט. </w:t>
      </w:r>
    </w:p>
    <w:p w14:paraId="63E15918" w14:textId="4BE8F0AB" w:rsidR="00FA2119" w:rsidRDefault="00FA2119" w:rsidP="006A458D">
      <w:pPr>
        <w:pStyle w:val="ab"/>
        <w:numPr>
          <w:ilvl w:val="0"/>
          <w:numId w:val="102"/>
        </w:numPr>
      </w:pPr>
      <w:r>
        <w:rPr>
          <w:rFonts w:cs="Arial"/>
          <w:rtl/>
        </w:rPr>
        <w:t xml:space="preserve">רמב"ם </w:t>
      </w:r>
      <w:r>
        <w:rPr>
          <w:rFonts w:cs="Arial"/>
          <w:sz w:val="16"/>
          <w:szCs w:val="16"/>
          <w:rtl/>
        </w:rPr>
        <w:t>(פ"ט הל"ד)</w:t>
      </w:r>
      <w:r w:rsidR="00A82951">
        <w:rPr>
          <w:rFonts w:cs="Arial"/>
          <w:rtl/>
        </w:rPr>
        <w:t>-</w:t>
      </w:r>
      <w:r>
        <w:rPr>
          <w:rFonts w:cs="Arial"/>
          <w:rtl/>
        </w:rPr>
        <w:t xml:space="preserve"> וכן האשה שאמרה לשלוחה 'התקבל לי גיטי במקום פלוני', וקבלו לה במקום אחר </w:t>
      </w:r>
      <w:r w:rsidR="00A82951">
        <w:rPr>
          <w:rFonts w:cs="Arial"/>
          <w:rtl/>
        </w:rPr>
        <w:t>-</w:t>
      </w:r>
      <w:r>
        <w:rPr>
          <w:rFonts w:cs="Arial"/>
          <w:rtl/>
        </w:rPr>
        <w:t xml:space="preserve"> אינו גט. 'הבא לי גיטי למקום פלוני', והביאו לה למקום אחר </w:t>
      </w:r>
      <w:r w:rsidR="00A82951">
        <w:rPr>
          <w:rFonts w:cs="Arial"/>
          <w:rtl/>
        </w:rPr>
        <w:t>-</w:t>
      </w:r>
      <w:r>
        <w:rPr>
          <w:rFonts w:cs="Arial"/>
          <w:rtl/>
        </w:rPr>
        <w:t xml:space="preserve"> כשר.</w:t>
      </w:r>
      <w:r>
        <w:rPr>
          <w:color w:val="E36C0A" w:themeColor="accent6" w:themeShade="BF"/>
          <w:rtl/>
        </w:rPr>
        <w:t xml:space="preserve"> (וכ"פ בשו"ע)</w:t>
      </w:r>
    </w:p>
    <w:p w14:paraId="5723C755"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2A2EB03" w14:textId="77777777" w:rsidR="00FA2119" w:rsidRDefault="00FA2119" w:rsidP="00FA2119">
      <w:pPr>
        <w:rPr>
          <w:rtl/>
        </w:rPr>
      </w:pPr>
      <w:r>
        <w:rPr>
          <w:rFonts w:cs="Arial"/>
          <w:rtl/>
        </w:rPr>
        <w:t xml:space="preserve">האשה שאמרה לשלוחה: קבל לי גיטי במקום פלוני, וקבלו במקום אחר, אינו גט. אבל אם אמרה: הבא לי גיטי במקום פלוני, והביאו לה במקום אחר, כשר. </w:t>
      </w:r>
    </w:p>
    <w:p w14:paraId="0F1E917C" w14:textId="77777777" w:rsidR="00FA2119" w:rsidRDefault="00FA2119" w:rsidP="00FA2119">
      <w:pPr>
        <w:rPr>
          <w:rtl/>
        </w:rPr>
      </w:pPr>
    </w:p>
    <w:p w14:paraId="22BFE8C9" w14:textId="77777777" w:rsidR="00FA2119" w:rsidRDefault="00FA2119" w:rsidP="00FA2119">
      <w:pPr>
        <w:pStyle w:val="2"/>
        <w:rPr>
          <w:rtl/>
        </w:rPr>
      </w:pPr>
      <w:r>
        <w:rPr>
          <w:rtl/>
        </w:rPr>
        <w:t>סעיף נ: אשה שאמרה לשליח 'התקבל לי גיטי במקום פלוני, ולפעמים תמצאנו במקום אחר'.</w:t>
      </w:r>
    </w:p>
    <w:p w14:paraId="37523D56" w14:textId="3E66F9A0" w:rsidR="00FA2119" w:rsidRDefault="00FA2119" w:rsidP="00FA2119">
      <w:pPr>
        <w:rPr>
          <w:sz w:val="16"/>
          <w:szCs w:val="16"/>
          <w:rtl/>
        </w:rPr>
      </w:pPr>
      <w:r>
        <w:rPr>
          <w:rFonts w:cs="Arial"/>
          <w:b/>
          <w:bCs/>
          <w:rtl/>
        </w:rPr>
        <w:t xml:space="preserve">גיטין </w:t>
      </w:r>
      <w:r>
        <w:rPr>
          <w:rFonts w:cs="Arial"/>
          <w:b/>
          <w:bCs/>
          <w:sz w:val="16"/>
          <w:szCs w:val="16"/>
          <w:rtl/>
        </w:rPr>
        <w:t xml:space="preserve">(פ' התקבל) </w:t>
      </w:r>
      <w:r>
        <w:rPr>
          <w:rFonts w:cs="Arial"/>
          <w:b/>
          <w:bCs/>
          <w:rtl/>
        </w:rPr>
        <w:t>סה ע"א:</w:t>
      </w:r>
      <w:r>
        <w:rPr>
          <w:rFonts w:cs="Arial"/>
          <w:rtl/>
        </w:rPr>
        <w:t xml:space="preserve"> </w:t>
      </w:r>
      <w:r>
        <w:rPr>
          <w:rFonts w:cs="Arial"/>
          <w:u w:val="double"/>
          <w:rtl/>
        </w:rPr>
        <w:t>מתני'</w:t>
      </w:r>
      <w:r>
        <w:rPr>
          <w:rFonts w:cs="Arial"/>
          <w:rtl/>
        </w:rPr>
        <w:t xml:space="preserve">:... האשה שאמרה התקבל לי גיטי במקום פלוני, וקיבלו לה במקום אחר </w:t>
      </w:r>
      <w:r w:rsidR="00A82951">
        <w:rPr>
          <w:rFonts w:cs="Arial"/>
          <w:rtl/>
        </w:rPr>
        <w:t>-</w:t>
      </w:r>
      <w:r>
        <w:rPr>
          <w:rFonts w:cs="Arial"/>
          <w:rtl/>
        </w:rPr>
        <w:t xml:space="preserve"> פסול, </w:t>
      </w:r>
      <w:r>
        <w:rPr>
          <w:rFonts w:cs="Arial"/>
          <w:u w:val="single"/>
          <w:rtl/>
        </w:rPr>
        <w:t>ר' אלעזר</w:t>
      </w:r>
      <w:r>
        <w:rPr>
          <w:rFonts w:cs="Arial"/>
          <w:rtl/>
        </w:rPr>
        <w:t xml:space="preserve"> מכשיר...     </w:t>
      </w:r>
      <w:r>
        <w:rPr>
          <w:rFonts w:cs="Arial"/>
          <w:u w:val="double"/>
          <w:rtl/>
        </w:rPr>
        <w:t>מתני'</w:t>
      </w:r>
      <w:r>
        <w:rPr>
          <w:rFonts w:cs="Arial"/>
          <w:rtl/>
        </w:rPr>
        <w:t xml:space="preserve">: הבא לי גיטי </w:t>
      </w:r>
      <w:r w:rsidR="00A82951">
        <w:rPr>
          <w:rFonts w:cs="Arial"/>
          <w:rtl/>
        </w:rPr>
        <w:t>-</w:t>
      </w:r>
      <w:r>
        <w:rPr>
          <w:rFonts w:cs="Arial"/>
          <w:rtl/>
        </w:rPr>
        <w:t xml:space="preserve"> אוכלת בתרומה עד שיגיע גט לידה, התקבל לי גיטי </w:t>
      </w:r>
      <w:r w:rsidR="00A82951">
        <w:rPr>
          <w:rFonts w:cs="Arial"/>
          <w:rtl/>
        </w:rPr>
        <w:t>-</w:t>
      </w:r>
      <w:r>
        <w:rPr>
          <w:rFonts w:cs="Arial"/>
          <w:rtl/>
        </w:rPr>
        <w:t xml:space="preserve"> אסורה לאכול בתרומה מיד. התקבל לי גיטי במקום פלוני </w:t>
      </w:r>
      <w:r w:rsidR="00A82951">
        <w:rPr>
          <w:rFonts w:cs="Arial"/>
          <w:rtl/>
        </w:rPr>
        <w:t>-</w:t>
      </w:r>
      <w:r>
        <w:rPr>
          <w:rFonts w:cs="Arial"/>
          <w:rtl/>
        </w:rPr>
        <w:t xml:space="preserve"> אוכלת בתרומה עד שיגיע גט לאותו מקום, </w:t>
      </w:r>
      <w:r>
        <w:rPr>
          <w:rFonts w:cs="Arial"/>
          <w:u w:val="single"/>
          <w:rtl/>
        </w:rPr>
        <w:t>ר"א</w:t>
      </w:r>
      <w:r>
        <w:rPr>
          <w:rFonts w:cs="Arial"/>
          <w:rtl/>
        </w:rPr>
        <w:t xml:space="preserve"> אוסר מיד. </w:t>
      </w:r>
      <w:r>
        <w:rPr>
          <w:rtl/>
        </w:rPr>
        <w:t xml:space="preserve">     </w:t>
      </w:r>
      <w:r>
        <w:rPr>
          <w:rFonts w:cs="Arial"/>
          <w:u w:val="double"/>
          <w:rtl/>
        </w:rPr>
        <w:t>גמ'</w:t>
      </w:r>
      <w:r>
        <w:rPr>
          <w:rFonts w:cs="Arial"/>
          <w:rtl/>
        </w:rPr>
        <w:t>: וגיטא מיהא הוי, והאמרת רישא: לא הוי גיטא</w:t>
      </w:r>
      <w:r>
        <w:rPr>
          <w:rStyle w:val="a7"/>
          <w:rFonts w:cs="Arial"/>
          <w:rtl/>
        </w:rPr>
        <w:footnoteReference w:id="2051"/>
      </w:r>
      <w:r>
        <w:rPr>
          <w:rFonts w:cs="Arial"/>
          <w:rtl/>
        </w:rPr>
        <w:t>! לא צריכא, דאמרה ליה התקבל לי גיטא במתא מחסיא וזימנין דמשכחת ליה בבבל</w:t>
      </w:r>
      <w:r>
        <w:rPr>
          <w:rStyle w:val="a7"/>
          <w:rFonts w:cs="Arial"/>
          <w:rtl/>
        </w:rPr>
        <w:footnoteReference w:id="2052"/>
      </w:r>
      <w:r>
        <w:rPr>
          <w:rFonts w:cs="Arial"/>
          <w:rtl/>
        </w:rPr>
        <w:t>, וה"ק ליה: משקל, כל היכא דמשכחת ליה שקליה מיניה,</w:t>
      </w:r>
      <w:r>
        <w:rPr>
          <w:rtl/>
        </w:rPr>
        <w:t xml:space="preserve"> </w:t>
      </w:r>
      <w:r>
        <w:rPr>
          <w:sz w:val="14"/>
          <w:szCs w:val="14"/>
          <w:rtl/>
        </w:rPr>
        <w:t xml:space="preserve">(סה:) </w:t>
      </w:r>
      <w:r>
        <w:rPr>
          <w:rFonts w:cs="Arial"/>
          <w:rtl/>
        </w:rPr>
        <w:t>גיטא, לא הוי עד דמטית למתא מחסיא.</w:t>
      </w:r>
      <w:r>
        <w:rPr>
          <w:rFonts w:cs="Arial"/>
          <w:sz w:val="16"/>
          <w:szCs w:val="16"/>
          <w:rtl/>
        </w:rPr>
        <w:t xml:space="preserve"> (ופירש רש"י דהכי קאמרה לא תהא שלוחי לקבלה להתגרש אני על ידך עד דמטית התם. וכתבו התוספות (סה: ד"ה גיטא) ואם תאמר ואם אינה רוצה שיהא גט עד מתא מחסיא, גם כשיגיע למתא מחסיא לא יהא גט, דהא אינו מקבלו שם מיד הבעל והוי כמו טלי גיטך מעל גבי קרקע (כד.). ואי מיירי כשהבעל עושהו שליח להולכה עד מתא מחסיא ושם הוי שליח לקבלה, והא לא חזרה שליחות אצל הבעל (שם). וי"ל דמיירי דא"ל 'הוי שליח להולכה עד דמטית התם, וכי מטית התם שוי </w:t>
      </w:r>
      <w:r>
        <w:rPr>
          <w:rFonts w:cs="Arial"/>
          <w:sz w:val="14"/>
          <w:szCs w:val="14"/>
          <w:rtl/>
        </w:rPr>
        <w:t xml:space="preserve">{תמנה מישהו אחר שיהיה} </w:t>
      </w:r>
      <w:r>
        <w:rPr>
          <w:rFonts w:cs="Arial"/>
          <w:sz w:val="16"/>
          <w:szCs w:val="16"/>
          <w:rtl/>
        </w:rPr>
        <w:t>שליח להולכה וקבליה'</w:t>
      </w:r>
      <w:r>
        <w:rPr>
          <w:rFonts w:cs="Arial"/>
          <w:sz w:val="14"/>
          <w:szCs w:val="14"/>
          <w:rtl/>
        </w:rPr>
        <w:t xml:space="preserve"> {היינו ותקבל אתה ממנו בעבור האשה}</w:t>
      </w:r>
      <w:r>
        <w:rPr>
          <w:rFonts w:cs="Arial"/>
          <w:sz w:val="16"/>
          <w:szCs w:val="16"/>
          <w:rtl/>
        </w:rPr>
        <w:t>. אי נמי מבבל ועד מתא מחסיא הוי הכל שליח לקבלה, והוי כאומר לאשה הרי זה גיטך ולא תתגרשי בו אלא לאחר שלשים יום</w:t>
      </w:r>
      <w:r w:rsidR="00F37CD2">
        <w:rPr>
          <w:rFonts w:cs="Arial" w:hint="cs"/>
          <w:sz w:val="14"/>
          <w:szCs w:val="14"/>
          <w:rtl/>
        </w:rPr>
        <w:t xml:space="preserve"> [ע"כ]</w:t>
      </w:r>
      <w:r>
        <w:rPr>
          <w:rFonts w:cs="Arial"/>
          <w:sz w:val="16"/>
          <w:szCs w:val="16"/>
          <w:rtl/>
        </w:rPr>
        <w:t xml:space="preserve"> (לקמן ריש סי' קמו). והר"ן (לא: ד"ה עד) כתב התירוץ השני לבד. וכתב עוד שלדעת האומרים שהאשה עושה שליח להולכה ולקבלה אתי שפיר, שמשעה ראשונה נעשה שליח להבאה מחמת האשה, וכי מטי למתא מחסיא הוי שליח קבלה שלה. ורבינו סתם הדברים ולא פירש כדברי תירוץ ראשון, אי משום דסבירא ליה כתירוץ שני שמתיישב יותר, ואי משום דסבירא ליה שהאשה עושה שליח להובאה כמבואר בסימן ק"מ (מד:), ב"י)</w:t>
      </w:r>
    </w:p>
    <w:p w14:paraId="6907EFAB" w14:textId="77777777" w:rsidR="00FA2119" w:rsidRDefault="00FA2119" w:rsidP="00FA2119">
      <w:pPr>
        <w:rPr>
          <w:u w:val="single"/>
          <w:rtl/>
        </w:rPr>
      </w:pPr>
      <w:r>
        <w:rPr>
          <w:u w:val="single"/>
          <w:rtl/>
        </w:rPr>
        <w:t>אשה שאמרה לשליח 'התקבל לי גיטי במקום פלוני, ולפעמים תמצאנו במקום אחר':</w:t>
      </w:r>
    </w:p>
    <w:p w14:paraId="708274BF" w14:textId="67FC0104"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אמרה לו 'התקבל לי גיטי במקום פלוני ופעמים תמצאנו במקום אחר' </w:t>
      </w:r>
      <w:r w:rsidR="00A82951">
        <w:rPr>
          <w:rFonts w:cs="Arial"/>
          <w:rtl/>
        </w:rPr>
        <w:t>-</w:t>
      </w:r>
      <w:r>
        <w:rPr>
          <w:rFonts w:cs="Arial"/>
          <w:rtl/>
        </w:rPr>
        <w:t xml:space="preserve"> בכל מקום שיקבלנו הוי גט, ובלבד לכשיגיע למקום שאמרה היא. </w:t>
      </w:r>
      <w:r>
        <w:rPr>
          <w:color w:val="E36C0A" w:themeColor="accent6" w:themeShade="BF"/>
          <w:rtl/>
        </w:rPr>
        <w:t>(וכ"פ בשו"ע)</w:t>
      </w:r>
    </w:p>
    <w:p w14:paraId="57C5A65E"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548C3C0A" w14:textId="77777777" w:rsidR="00FA2119" w:rsidRDefault="00FA2119" w:rsidP="00FA2119">
      <w:pPr>
        <w:rPr>
          <w:rtl/>
        </w:rPr>
      </w:pPr>
      <w:r>
        <w:rPr>
          <w:rFonts w:cs="Arial"/>
          <w:rtl/>
        </w:rPr>
        <w:t xml:space="preserve">אמרה לו: 'התקבל לי גיטי בבבל ופעמים תמצאנו בדמשק', בכל מקום שיקבלנו הוי גט, ובלבד לכשיגיע לבבל למקום שאמרה היא. </w:t>
      </w:r>
    </w:p>
    <w:p w14:paraId="22E827F2" w14:textId="77777777" w:rsidR="00FA2119" w:rsidRDefault="00FA2119" w:rsidP="00FA2119">
      <w:pPr>
        <w:rPr>
          <w:rtl/>
        </w:rPr>
      </w:pPr>
    </w:p>
    <w:p w14:paraId="3F51405D" w14:textId="77777777" w:rsidR="00FA2119" w:rsidRDefault="00FA2119" w:rsidP="00FA2119">
      <w:pPr>
        <w:pStyle w:val="2"/>
        <w:rPr>
          <w:rtl/>
        </w:rPr>
      </w:pPr>
      <w:r>
        <w:rPr>
          <w:rtl/>
        </w:rPr>
        <w:lastRenderedPageBreak/>
        <w:t>סעיף נא: האומר לשליח 'טול לי הימנה חפץ פלוני', ורוצה השליח למנות שליח.</w:t>
      </w:r>
    </w:p>
    <w:p w14:paraId="2B1EF445" w14:textId="5CB9CC79" w:rsidR="00FA2119" w:rsidRDefault="00FA2119" w:rsidP="00FA2119">
      <w:pPr>
        <w:rPr>
          <w:rFonts w:cs="Arial"/>
          <w:rtl/>
        </w:rPr>
      </w:pPr>
      <w:r>
        <w:rPr>
          <w:rFonts w:cs="Arial"/>
          <w:b/>
          <w:bCs/>
          <w:rtl/>
        </w:rPr>
        <w:t xml:space="preserve">גיטין </w:t>
      </w:r>
      <w:r>
        <w:rPr>
          <w:rFonts w:cs="Arial"/>
          <w:b/>
          <w:bCs/>
          <w:sz w:val="16"/>
          <w:szCs w:val="16"/>
          <w:rtl/>
        </w:rPr>
        <w:t xml:space="preserve">(פ' כל הגט) </w:t>
      </w:r>
      <w:r>
        <w:rPr>
          <w:rFonts w:cs="Arial"/>
          <w:b/>
          <w:bCs/>
          <w:rtl/>
        </w:rPr>
        <w:t xml:space="preserve">כט ע"א: </w:t>
      </w:r>
      <w:r>
        <w:rPr>
          <w:rFonts w:cs="Arial"/>
          <w:u w:val="double"/>
          <w:rtl/>
        </w:rPr>
        <w:t>מתני'</w:t>
      </w:r>
      <w:r>
        <w:rPr>
          <w:rFonts w:cs="Arial"/>
          <w:rtl/>
        </w:rPr>
        <w:t xml:space="preserve">: המביא גט בא"י וחלה </w:t>
      </w:r>
      <w:r w:rsidR="00A82951">
        <w:rPr>
          <w:rFonts w:cs="Arial"/>
          <w:rtl/>
        </w:rPr>
        <w:t>-</w:t>
      </w:r>
      <w:r>
        <w:rPr>
          <w:rFonts w:cs="Arial"/>
          <w:rtl/>
        </w:rPr>
        <w:t xml:space="preserve"> הרי זה משלחו ביד אחר. ואם אמר לו טול לי הימנה חפץ פלוני</w:t>
      </w:r>
      <w:r>
        <w:rPr>
          <w:rStyle w:val="a7"/>
          <w:rFonts w:cs="Arial"/>
          <w:rtl/>
        </w:rPr>
        <w:footnoteReference w:id="2053"/>
      </w:r>
      <w:r>
        <w:rPr>
          <w:rFonts w:cs="Arial"/>
          <w:rtl/>
        </w:rPr>
        <w:t xml:space="preserve"> </w:t>
      </w:r>
      <w:r w:rsidR="00A82951">
        <w:rPr>
          <w:rFonts w:cs="Arial"/>
          <w:rtl/>
        </w:rPr>
        <w:t>-</w:t>
      </w:r>
      <w:r>
        <w:rPr>
          <w:rFonts w:cs="Arial"/>
          <w:rtl/>
        </w:rPr>
        <w:t xml:space="preserve"> לא ישלחנו ביד אחר, שאין רצונו שיהא פקדונו ביד אחר.       </w:t>
      </w:r>
      <w:r>
        <w:rPr>
          <w:rFonts w:cs="Arial"/>
          <w:u w:val="double"/>
          <w:rtl/>
        </w:rPr>
        <w:t>גמ'</w:t>
      </w:r>
      <w:r>
        <w:rPr>
          <w:rFonts w:cs="Arial"/>
          <w:rtl/>
        </w:rPr>
        <w:t xml:space="preserve">: ואם אמר לו טול לי הימנה חפץ פלוני. </w:t>
      </w:r>
      <w:r>
        <w:rPr>
          <w:rFonts w:cs="Arial"/>
          <w:u w:val="single"/>
          <w:rtl/>
        </w:rPr>
        <w:t>אמר ריש לקיש</w:t>
      </w:r>
      <w:r>
        <w:rPr>
          <w:rFonts w:cs="Arial"/>
          <w:rtl/>
        </w:rPr>
        <w:t>: כאן שנה רבי</w:t>
      </w:r>
      <w:r>
        <w:rPr>
          <w:rStyle w:val="a7"/>
          <w:rFonts w:cs="Arial"/>
          <w:rtl/>
        </w:rPr>
        <w:footnoteReference w:id="2054"/>
      </w:r>
      <w:r>
        <w:rPr>
          <w:rFonts w:cs="Arial"/>
          <w:rtl/>
        </w:rPr>
        <w:t>: אין השואל רשאי להשאיל</w:t>
      </w:r>
      <w:r>
        <w:rPr>
          <w:rStyle w:val="a7"/>
          <w:rFonts w:cs="Arial"/>
          <w:rtl/>
        </w:rPr>
        <w:footnoteReference w:id="2055"/>
      </w:r>
      <w:r>
        <w:rPr>
          <w:rFonts w:cs="Arial"/>
          <w:rtl/>
        </w:rPr>
        <w:t xml:space="preserve">, ואין השוכר רשאי להשכיר. </w:t>
      </w:r>
      <w:r>
        <w:rPr>
          <w:rFonts w:cs="Arial"/>
          <w:u w:val="single"/>
          <w:rtl/>
        </w:rPr>
        <w:t>אמר לו רבי יוחנן</w:t>
      </w:r>
      <w:r>
        <w:rPr>
          <w:rFonts w:cs="Arial"/>
          <w:rtl/>
        </w:rPr>
        <w:t>: זו אפילו תינוקות של בית רבן יודעים אותה</w:t>
      </w:r>
      <w:r>
        <w:rPr>
          <w:rStyle w:val="a7"/>
          <w:rFonts w:cs="Arial"/>
          <w:rtl/>
        </w:rPr>
        <w:footnoteReference w:id="2056"/>
      </w:r>
      <w:r>
        <w:rPr>
          <w:rFonts w:cs="Arial"/>
          <w:rtl/>
        </w:rPr>
        <w:t>, אלא</w:t>
      </w:r>
      <w:r>
        <w:rPr>
          <w:rStyle w:val="a7"/>
          <w:rFonts w:cs="Arial"/>
          <w:rtl/>
        </w:rPr>
        <w:footnoteReference w:id="2057"/>
      </w:r>
      <w:r>
        <w:rPr>
          <w:rFonts w:cs="Arial"/>
          <w:rtl/>
        </w:rPr>
        <w:t xml:space="preserve"> זימנין דגיטא נמי לא הוי, דנעשה כמי שאמר לו אל תגרשה אלא בבית וגירשה בעלייה אל תגרשה אלא בימין וגירשה בשמאל. דכולי עלמא, היכא דנפקה לאפיה ויהבה ליה חפץ</w:t>
      </w:r>
      <w:r>
        <w:rPr>
          <w:rStyle w:val="a7"/>
          <w:rFonts w:cs="Arial"/>
          <w:rtl/>
        </w:rPr>
        <w:footnoteReference w:id="2058"/>
      </w:r>
      <w:r>
        <w:rPr>
          <w:rFonts w:cs="Arial"/>
          <w:rtl/>
        </w:rPr>
        <w:t xml:space="preserve"> והדר שקלה מיניה גיטא </w:t>
      </w:r>
      <w:r w:rsidR="00A82951">
        <w:rPr>
          <w:rFonts w:cs="Arial"/>
          <w:rtl/>
        </w:rPr>
        <w:t>-</w:t>
      </w:r>
      <w:r>
        <w:rPr>
          <w:rFonts w:cs="Arial"/>
          <w:rtl/>
        </w:rPr>
        <w:t xml:space="preserve"> כולי עלמא לא פליגי דגיטא גיטא מעליא הוי</w:t>
      </w:r>
      <w:r>
        <w:rPr>
          <w:rStyle w:val="a7"/>
          <w:rFonts w:cs="Arial"/>
          <w:rtl/>
        </w:rPr>
        <w:footnoteReference w:id="2059"/>
      </w:r>
      <w:r>
        <w:rPr>
          <w:rFonts w:cs="Arial"/>
          <w:rtl/>
        </w:rPr>
        <w:t xml:space="preserve">, כי פליגי </w:t>
      </w:r>
      <w:r w:rsidR="00A82951">
        <w:rPr>
          <w:rFonts w:cs="Arial"/>
          <w:rtl/>
        </w:rPr>
        <w:t>-</w:t>
      </w:r>
      <w:r>
        <w:rPr>
          <w:rFonts w:cs="Arial"/>
          <w:rtl/>
        </w:rPr>
        <w:t xml:space="preserve"> היכא דא"ל</w:t>
      </w:r>
      <w:r>
        <w:rPr>
          <w:rtl/>
        </w:rPr>
        <w:t xml:space="preserve"> </w:t>
      </w:r>
      <w:r>
        <w:rPr>
          <w:sz w:val="14"/>
          <w:szCs w:val="14"/>
          <w:rtl/>
        </w:rPr>
        <w:t xml:space="preserve">(כט:) </w:t>
      </w:r>
      <w:r>
        <w:rPr>
          <w:rFonts w:cs="Arial"/>
          <w:rtl/>
        </w:rPr>
        <w:t>שקול מינה חפץ והדר הב לה גיטא, ואזל איהו ויהיב לה גיטא</w:t>
      </w:r>
      <w:r>
        <w:rPr>
          <w:rStyle w:val="a7"/>
          <w:rFonts w:cs="Arial"/>
          <w:rtl/>
        </w:rPr>
        <w:footnoteReference w:id="2060"/>
      </w:r>
      <w:r>
        <w:rPr>
          <w:rFonts w:cs="Arial"/>
          <w:rtl/>
        </w:rPr>
        <w:t xml:space="preserve"> והדר שקל מינה חפץ, </w:t>
      </w:r>
      <w:r>
        <w:rPr>
          <w:rFonts w:cs="Arial"/>
          <w:u w:val="single"/>
          <w:rtl/>
        </w:rPr>
        <w:t>רבי יוחנן</w:t>
      </w:r>
      <w:r>
        <w:rPr>
          <w:rFonts w:cs="Arial"/>
          <w:rtl/>
        </w:rPr>
        <w:t xml:space="preserve"> פוסל בו וכ"ש בשלוחו, </w:t>
      </w:r>
      <w:r>
        <w:rPr>
          <w:rFonts w:cs="Arial"/>
          <w:u w:val="single"/>
          <w:rtl/>
        </w:rPr>
        <w:t>וריש לקיש</w:t>
      </w:r>
      <w:r>
        <w:rPr>
          <w:rFonts w:cs="Arial"/>
          <w:rtl/>
        </w:rPr>
        <w:t xml:space="preserve"> מכשיר בשלוחו וכ"ש בו. </w:t>
      </w:r>
      <w:r>
        <w:rPr>
          <w:rFonts w:cs="Arial"/>
          <w:sz w:val="16"/>
          <w:szCs w:val="16"/>
          <w:rtl/>
        </w:rPr>
        <w:t xml:space="preserve">(וכדפירש </w:t>
      </w:r>
      <w:r>
        <w:rPr>
          <w:rFonts w:cs="Arial"/>
          <w:b/>
          <w:bCs/>
          <w:sz w:val="16"/>
          <w:szCs w:val="16"/>
          <w:rtl/>
        </w:rPr>
        <w:t>רש"י</w:t>
      </w:r>
      <w:r>
        <w:rPr>
          <w:rFonts w:cs="Arial"/>
          <w:sz w:val="16"/>
          <w:szCs w:val="16"/>
          <w:rtl/>
        </w:rPr>
        <w:t xml:space="preserve"> כן פירש </w:t>
      </w:r>
      <w:r>
        <w:rPr>
          <w:rFonts w:cs="Arial"/>
          <w:b/>
          <w:bCs/>
          <w:sz w:val="16"/>
          <w:szCs w:val="16"/>
          <w:rtl/>
        </w:rPr>
        <w:t>הרי"ף</w:t>
      </w:r>
      <w:r>
        <w:rPr>
          <w:rFonts w:cs="Arial"/>
          <w:sz w:val="16"/>
          <w:szCs w:val="16"/>
          <w:rtl/>
        </w:rPr>
        <w:t xml:space="preserve"> (יד:), </w:t>
      </w:r>
      <w:r w:rsidR="000A0F5A">
        <w:rPr>
          <w:rFonts w:cs="Arial"/>
          <w:sz w:val="16"/>
          <w:szCs w:val="16"/>
          <w:rtl/>
        </w:rPr>
        <w:t>וז"ל:</w:t>
      </w:r>
      <w:r>
        <w:rPr>
          <w:rFonts w:cs="Arial"/>
          <w:sz w:val="16"/>
          <w:szCs w:val="16"/>
          <w:rtl/>
        </w:rPr>
        <w:t xml:space="preserve"> דכו"ע היכא דאמר ליה טול לי ממנה חפץ פלוני ותן לה גט זה</w:t>
      </w:r>
      <w:r w:rsidR="006F6D9C">
        <w:rPr>
          <w:rFonts w:cs="Arial" w:hint="cs"/>
          <w:sz w:val="16"/>
          <w:szCs w:val="16"/>
          <w:rtl/>
        </w:rPr>
        <w:t>,</w:t>
      </w:r>
      <w:r>
        <w:rPr>
          <w:rFonts w:cs="Arial"/>
          <w:sz w:val="16"/>
          <w:szCs w:val="16"/>
          <w:rtl/>
        </w:rPr>
        <w:t xml:space="preserve"> ושלח השליח גט ביד אחר והלך אותו האחר ונפקא איתתא לאפיה ויהבא ליה חפץ והדר שקלא מיניה גיטא </w:t>
      </w:r>
      <w:r w:rsidR="00A82951">
        <w:rPr>
          <w:rFonts w:cs="Arial"/>
          <w:sz w:val="16"/>
          <w:szCs w:val="16"/>
          <w:rtl/>
        </w:rPr>
        <w:t>-</w:t>
      </w:r>
      <w:r>
        <w:rPr>
          <w:rFonts w:cs="Arial"/>
          <w:sz w:val="16"/>
          <w:szCs w:val="16"/>
          <w:rtl/>
        </w:rPr>
        <w:t xml:space="preserve"> כו"ע לא פליגי דגיטא מעליא הוא. וכך הם דברי </w:t>
      </w:r>
      <w:r>
        <w:rPr>
          <w:rFonts w:cs="Arial"/>
          <w:b/>
          <w:bCs/>
          <w:sz w:val="16"/>
          <w:szCs w:val="16"/>
          <w:rtl/>
        </w:rPr>
        <w:t>הרמב"ם</w:t>
      </w:r>
      <w:r>
        <w:rPr>
          <w:rFonts w:cs="Arial"/>
          <w:sz w:val="16"/>
          <w:szCs w:val="16"/>
          <w:rtl/>
        </w:rPr>
        <w:t xml:space="preserve"> בפ"ט (הל"ה) דאין חילוק בינו ובין שלוחו דאף שלוחו אם נטל החפץ תחלה ואח"כ נתן לה הגט </w:t>
      </w:r>
      <w:r w:rsidR="00A82951">
        <w:rPr>
          <w:rFonts w:cs="Arial"/>
          <w:sz w:val="16"/>
          <w:szCs w:val="16"/>
          <w:rtl/>
        </w:rPr>
        <w:t>-</w:t>
      </w:r>
      <w:r>
        <w:rPr>
          <w:rFonts w:cs="Arial"/>
          <w:sz w:val="16"/>
          <w:szCs w:val="16"/>
          <w:rtl/>
        </w:rPr>
        <w:t xml:space="preserve"> כשר.</w:t>
      </w:r>
      <w:r>
        <w:rPr>
          <w:rFonts w:cs="Arial"/>
          <w:sz w:val="16"/>
          <w:szCs w:val="16"/>
          <w:rtl/>
        </w:rPr>
        <w:tab/>
      </w:r>
      <w:r>
        <w:rPr>
          <w:rFonts w:cs="Arial"/>
          <w:b/>
          <w:bCs/>
          <w:sz w:val="16"/>
          <w:szCs w:val="16"/>
          <w:rtl/>
        </w:rPr>
        <w:t>והתוספות</w:t>
      </w:r>
      <w:r>
        <w:rPr>
          <w:rFonts w:cs="Arial"/>
          <w:sz w:val="16"/>
          <w:szCs w:val="16"/>
          <w:rtl/>
        </w:rPr>
        <w:t xml:space="preserve"> (כט: ד"ה רבי יוחנן) הקשו על פירוש זה, והעלו שנראה לריב"א דכשאמר 'שקול מינה חפץ והדר הב לה גיטא' שתולה שליחות הגט בחפץ, פוסל רבי יוחנן נמי כשמשלח ביד אחר, אפילו אם לא שינה שליח השני מדעת הבעל ונטל ממנה החפץ קודם נתינת הגט. דכיון שתולה נתינת הגט בחפץ, כל מה שמשנה מדעת הבעל בחפץ </w:t>
      </w:r>
      <w:r w:rsidR="00A82951">
        <w:rPr>
          <w:rFonts w:cs="Arial"/>
          <w:sz w:val="16"/>
          <w:szCs w:val="16"/>
          <w:rtl/>
        </w:rPr>
        <w:t>-</w:t>
      </w:r>
      <w:r>
        <w:rPr>
          <w:rFonts w:cs="Arial"/>
          <w:sz w:val="16"/>
          <w:szCs w:val="16"/>
          <w:rtl/>
        </w:rPr>
        <w:t xml:space="preserve"> נפסל הגט. והכי פירושא, רבי יוחנן פוסל בו בשליח ראשון כששינה, וכל שכן בשלוחו ואפילו בלא שינוי, ולא ישלחנו ביד אחר אפילו לא ישנה, דקפיד הבעל שאין רצונו שיהא פקדונו ביד אחר, פירוש ביד השליח השני. וגם </w:t>
      </w:r>
      <w:r>
        <w:rPr>
          <w:rFonts w:cs="Arial"/>
          <w:b/>
          <w:bCs/>
          <w:sz w:val="16"/>
          <w:szCs w:val="16"/>
          <w:rtl/>
        </w:rPr>
        <w:t>הרא"ש</w:t>
      </w:r>
      <w:r>
        <w:rPr>
          <w:rFonts w:cs="Arial"/>
          <w:sz w:val="16"/>
          <w:szCs w:val="16"/>
          <w:rtl/>
        </w:rPr>
        <w:t xml:space="preserve"> (פ"ג סי' ז) הקשה על פירוש רש"י והעלה כפירוש ריב"א, והרחיב ביאור הדברים יותר, שכתב </w:t>
      </w:r>
      <w:r w:rsidR="000A0F5A">
        <w:rPr>
          <w:rFonts w:cs="Arial"/>
          <w:sz w:val="16"/>
          <w:szCs w:val="16"/>
          <w:rtl/>
        </w:rPr>
        <w:t>וז"ל:</w:t>
      </w:r>
      <w:r>
        <w:rPr>
          <w:rFonts w:cs="Arial"/>
          <w:sz w:val="16"/>
          <w:szCs w:val="16"/>
          <w:rtl/>
        </w:rPr>
        <w:t xml:space="preserve"> ופירש ריצב"א היכא דנפקא לאפיה של שליח ראשון ויהבה ליה חפץ, והדר שקלה גיטא משליח שני, ולכך יצתה לקראת הראשון ונתנה לו החפץ כדי שלא יעכב השני מלתת הגט עד שתתן לו החפץ ואז יבטל הגט </w:t>
      </w:r>
      <w:r w:rsidR="00A82951">
        <w:rPr>
          <w:rFonts w:cs="Arial"/>
          <w:sz w:val="16"/>
          <w:szCs w:val="16"/>
          <w:rtl/>
        </w:rPr>
        <w:t>-</w:t>
      </w:r>
      <w:r>
        <w:rPr>
          <w:rFonts w:cs="Arial"/>
          <w:sz w:val="16"/>
          <w:szCs w:val="16"/>
          <w:rtl/>
        </w:rPr>
        <w:t xml:space="preserve"> דכו"ע לא פליגי דגיטא הוי. כי פליגי, כלומר בין בו ובין בשלוחו, היכא דאמר ליה 'שקול מינה חפץ והדר הב לה גיטא', אם שינו ונתנו הגט תחלה רבי יוחנן פוסל בו וכל שכן בשלוחו, ומתניתין איירי כגון דשקיל מינה חפץ והדר יהיב לה גיטא, בו </w:t>
      </w:r>
      <w:r w:rsidR="00A82951">
        <w:rPr>
          <w:rFonts w:cs="Arial"/>
          <w:sz w:val="16"/>
          <w:szCs w:val="16"/>
          <w:rtl/>
        </w:rPr>
        <w:t>-</w:t>
      </w:r>
      <w:r>
        <w:rPr>
          <w:rFonts w:cs="Arial"/>
          <w:sz w:val="16"/>
          <w:szCs w:val="16"/>
          <w:rtl/>
        </w:rPr>
        <w:t xml:space="preserve"> כשר, ובשלוחו </w:t>
      </w:r>
      <w:r w:rsidR="00A82951">
        <w:rPr>
          <w:rFonts w:cs="Arial"/>
          <w:sz w:val="16"/>
          <w:szCs w:val="16"/>
          <w:rtl/>
        </w:rPr>
        <w:t>-</w:t>
      </w:r>
      <w:r>
        <w:rPr>
          <w:rFonts w:cs="Arial"/>
          <w:sz w:val="16"/>
          <w:szCs w:val="16"/>
          <w:rtl/>
        </w:rPr>
        <w:t xml:space="preserve"> פסול, לפי שאין רצונו שיהא פקדונו ביד אחר, ונמצא שלא נתקיים שליחות החפץ עד שיגיע החפץ ליד השליח הראשון, ובההיא שעתא </w:t>
      </w:r>
      <w:r>
        <w:rPr>
          <w:rFonts w:cs="Arial"/>
          <w:sz w:val="14"/>
          <w:szCs w:val="14"/>
          <w:rtl/>
        </w:rPr>
        <w:t xml:space="preserve">{שיביא השני את החפץ לראשון} </w:t>
      </w:r>
      <w:r>
        <w:rPr>
          <w:rFonts w:cs="Arial"/>
          <w:sz w:val="16"/>
          <w:szCs w:val="16"/>
          <w:rtl/>
        </w:rPr>
        <w:t>כבר הגט בידה ואינו גט כיון שלא היתה מגורשת כשהגיע הגט לידה, ויקחנו מידה ויחזור ויתננו לה אחר שהגיע החפץ ליד השליח הראשון עכ"ל, ב"י)</w:t>
      </w:r>
    </w:p>
    <w:p w14:paraId="5D8DD5A7" w14:textId="77777777" w:rsidR="00FA2119" w:rsidRDefault="00FA2119" w:rsidP="00FA2119">
      <w:pPr>
        <w:rPr>
          <w:rFonts w:cs="Arial"/>
          <w:u w:val="single"/>
          <w:rtl/>
        </w:rPr>
      </w:pPr>
      <w:r>
        <w:rPr>
          <w:u w:val="single"/>
          <w:rtl/>
        </w:rPr>
        <w:t>האומר לשליח 'טול לי ממנה חפץ פלוני ותן לה גט זה', ורוצה השליח למנות שליח</w:t>
      </w:r>
      <w:r>
        <w:rPr>
          <w:rFonts w:cs="Arial"/>
          <w:u w:val="single"/>
          <w:rtl/>
        </w:rPr>
        <w:t>:</w:t>
      </w:r>
    </w:p>
    <w:p w14:paraId="254A58A9" w14:textId="05AB323C" w:rsidR="00FA2119" w:rsidRDefault="00FA2119" w:rsidP="006A458D">
      <w:pPr>
        <w:pStyle w:val="ab"/>
        <w:numPr>
          <w:ilvl w:val="0"/>
          <w:numId w:val="102"/>
        </w:numPr>
        <w:rPr>
          <w:rtl/>
        </w:rPr>
      </w:pPr>
      <w:r>
        <w:rPr>
          <w:rFonts w:cs="Arial"/>
          <w:rtl/>
        </w:rPr>
        <w:t xml:space="preserve">רא"ש </w:t>
      </w:r>
      <w:r>
        <w:rPr>
          <w:rFonts w:cs="Arial"/>
          <w:sz w:val="16"/>
          <w:szCs w:val="16"/>
          <w:rtl/>
        </w:rPr>
        <w:t xml:space="preserve">(פ"ג סי' ז, כ"כ הטור בשמו) </w:t>
      </w:r>
      <w:r>
        <w:rPr>
          <w:rFonts w:cs="Arial"/>
          <w:rtl/>
        </w:rPr>
        <w:t>וטור</w:t>
      </w:r>
      <w:r w:rsidR="00A82951">
        <w:rPr>
          <w:rFonts w:cs="Arial"/>
          <w:rtl/>
        </w:rPr>
        <w:t>-</w:t>
      </w:r>
      <w:r>
        <w:rPr>
          <w:rFonts w:cs="Arial"/>
          <w:rtl/>
        </w:rPr>
        <w:t xml:space="preserve"> אמר הבעל לשליח 'טול ממנה חפץ פלוני', אם לא הקפיד שיטול ממנה החפץ תחילה, אפי' הגיע הגט לידה תחלה ואח"כ נטל החפץ </w:t>
      </w:r>
      <w:r w:rsidR="00A82951">
        <w:rPr>
          <w:rFonts w:cs="Arial"/>
          <w:rtl/>
        </w:rPr>
        <w:t>-</w:t>
      </w:r>
      <w:r>
        <w:rPr>
          <w:rFonts w:cs="Arial"/>
          <w:rtl/>
        </w:rPr>
        <w:t xml:space="preserve"> הוי גט, לפיכך יכול השליח לשלחו ביד אחר. אבל אם הקפיד לומר שיטול החפץ תחלה </w:t>
      </w:r>
      <w:r w:rsidR="00A82951">
        <w:rPr>
          <w:rFonts w:cs="Arial"/>
          <w:rtl/>
        </w:rPr>
        <w:t>-</w:t>
      </w:r>
      <w:r>
        <w:rPr>
          <w:rFonts w:cs="Arial"/>
          <w:rtl/>
        </w:rPr>
        <w:t xml:space="preserve"> אינו גט אא"כ יגיע החפץ לידו תחלה, לפיכך לא ישלחנו ביד אחר, שאפי' אם תתן החפץ ליד השליח הב' תחלה </w:t>
      </w:r>
      <w:r w:rsidR="00A82951">
        <w:rPr>
          <w:rFonts w:cs="Arial"/>
          <w:rtl/>
        </w:rPr>
        <w:t>-</w:t>
      </w:r>
      <w:r>
        <w:rPr>
          <w:rFonts w:cs="Arial"/>
          <w:rtl/>
        </w:rPr>
        <w:t xml:space="preserve"> אינו גט, כיון שלא הגיע ליד השליח הראשון תחלה. ואפי' אם אחר שקבל השני החפץ ונתן לה הגט, בא </w:t>
      </w:r>
      <w:r>
        <w:rPr>
          <w:rFonts w:cs="Arial"/>
          <w:sz w:val="16"/>
          <w:szCs w:val="16"/>
          <w:rtl/>
        </w:rPr>
        <w:t xml:space="preserve">{החפץ} </w:t>
      </w:r>
      <w:r>
        <w:rPr>
          <w:rFonts w:cs="Arial"/>
          <w:rtl/>
        </w:rPr>
        <w:t xml:space="preserve">ליד השליח הראשון </w:t>
      </w:r>
      <w:r w:rsidR="00A82951">
        <w:rPr>
          <w:rFonts w:cs="Arial"/>
          <w:rtl/>
        </w:rPr>
        <w:t>-</w:t>
      </w:r>
      <w:r>
        <w:rPr>
          <w:rFonts w:cs="Arial"/>
          <w:rtl/>
        </w:rPr>
        <w:t xml:space="preserve"> אינו גט, כיון שלא הגיע הגט לידה בתורת גירושין. אלא יקחנו הראשון מידה, ויחזור ויתננו לה בתורת גירושין אחר שהגיע לידו החפץ</w:t>
      </w:r>
      <w:r>
        <w:rPr>
          <w:rFonts w:cs="Arial"/>
          <w:sz w:val="16"/>
          <w:szCs w:val="16"/>
          <w:rtl/>
        </w:rPr>
        <w:t xml:space="preserve"> (ל' הטור)</w:t>
      </w:r>
      <w:r>
        <w:rPr>
          <w:rFonts w:cs="Arial"/>
          <w:rtl/>
        </w:rPr>
        <w:t xml:space="preserve">. </w:t>
      </w:r>
    </w:p>
    <w:p w14:paraId="303821F0" w14:textId="3FD8C53C" w:rsidR="00FA2119" w:rsidRDefault="00FA2119" w:rsidP="006A458D">
      <w:pPr>
        <w:pStyle w:val="ab"/>
        <w:numPr>
          <w:ilvl w:val="0"/>
          <w:numId w:val="102"/>
        </w:numPr>
      </w:pPr>
      <w:r>
        <w:rPr>
          <w:rFonts w:cs="Arial"/>
          <w:rtl/>
        </w:rPr>
        <w:t xml:space="preserve">רמב"ם </w:t>
      </w:r>
      <w:r>
        <w:rPr>
          <w:rFonts w:cs="Arial"/>
          <w:sz w:val="16"/>
          <w:szCs w:val="16"/>
          <w:rtl/>
        </w:rPr>
        <w:t>(פ"ט הל"ה</w:t>
      </w:r>
      <w:r w:rsidR="00A82951">
        <w:rPr>
          <w:rFonts w:cs="Arial"/>
          <w:sz w:val="16"/>
          <w:szCs w:val="16"/>
          <w:rtl/>
        </w:rPr>
        <w:t>-</w:t>
      </w:r>
      <w:r>
        <w:rPr>
          <w:rFonts w:cs="Arial"/>
          <w:sz w:val="16"/>
          <w:szCs w:val="16"/>
          <w:rtl/>
        </w:rPr>
        <w:t>לו)</w:t>
      </w:r>
      <w:r w:rsidR="00A82951">
        <w:rPr>
          <w:rFonts w:cs="Arial"/>
          <w:rtl/>
        </w:rPr>
        <w:t>-</w:t>
      </w:r>
      <w:r>
        <w:rPr>
          <w:rFonts w:cs="Arial"/>
          <w:rtl/>
        </w:rPr>
        <w:t xml:space="preserve"> ואם אמר לו 'טול לי ממנה חפץ פלוני ותן לה גט זה' </w:t>
      </w:r>
      <w:r w:rsidR="00A82951">
        <w:rPr>
          <w:rFonts w:cs="Arial"/>
          <w:rtl/>
        </w:rPr>
        <w:t>-</w:t>
      </w:r>
      <w:r>
        <w:rPr>
          <w:rFonts w:cs="Arial"/>
          <w:rtl/>
        </w:rPr>
        <w:t xml:space="preserve"> הרי זה לא ישלחו ביד אחר. ואם שלחו ביד אחר, ויצאת האשה לקראת השליח ונתנה החפץ בתחלה, ואחר כך נתן לה הגט </w:t>
      </w:r>
      <w:r w:rsidR="00A82951">
        <w:rPr>
          <w:rFonts w:cs="Arial"/>
          <w:rtl/>
        </w:rPr>
        <w:t>-</w:t>
      </w:r>
      <w:r>
        <w:rPr>
          <w:rFonts w:cs="Arial"/>
          <w:rtl/>
        </w:rPr>
        <w:t xml:space="preserve"> הרי זו מגורשת. נתן לה הגט, ואחר כך נתנה החפץ </w:t>
      </w:r>
      <w:r w:rsidR="00A82951">
        <w:rPr>
          <w:rFonts w:cs="Arial"/>
          <w:rtl/>
        </w:rPr>
        <w:t>-</w:t>
      </w:r>
      <w:r>
        <w:rPr>
          <w:rFonts w:cs="Arial"/>
          <w:rtl/>
        </w:rPr>
        <w:t xml:space="preserve"> אפילו מיד השליח הראשון אינו גט</w:t>
      </w:r>
      <w:r>
        <w:rPr>
          <w:rStyle w:val="a7"/>
          <w:rFonts w:cs="Arial"/>
          <w:rtl/>
        </w:rPr>
        <w:footnoteReference w:id="2061"/>
      </w:r>
      <w:r>
        <w:rPr>
          <w:rFonts w:cs="Arial"/>
          <w:rtl/>
        </w:rPr>
        <w:t>, שהרי עבר על דברי הבעל בדבר שסתם בני אדם מקפידין עליו, שהרי הבעל אמר לו טול החפץ ותן לה, והוא נתן ואחר כך נטל</w:t>
      </w:r>
      <w:r>
        <w:rPr>
          <w:rStyle w:val="a7"/>
          <w:rFonts w:cs="Arial"/>
          <w:rtl/>
        </w:rPr>
        <w:footnoteReference w:id="2062"/>
      </w:r>
      <w:r>
        <w:rPr>
          <w:rFonts w:cs="Arial"/>
          <w:rtl/>
        </w:rPr>
        <w:t xml:space="preserve">. </w:t>
      </w:r>
      <w:r>
        <w:rPr>
          <w:color w:val="E36C0A" w:themeColor="accent6" w:themeShade="BF"/>
          <w:rtl/>
        </w:rPr>
        <w:t>(וכ"ס בשו"ע)</w:t>
      </w:r>
    </w:p>
    <w:p w14:paraId="747AC628" w14:textId="77777777" w:rsidR="00FA2119" w:rsidRDefault="00FA2119" w:rsidP="00FA2119">
      <w:pPr>
        <w:ind w:left="360"/>
        <w:rPr>
          <w:u w:val="dotted"/>
        </w:rPr>
      </w:pPr>
      <w:r>
        <w:rPr>
          <w:u w:val="dotted"/>
          <w:rtl/>
        </w:rPr>
        <w:t>ומה הדין אם אמר לו 'תן לה הגט וטול ממנה חפץ פלוני':</w:t>
      </w:r>
    </w:p>
    <w:p w14:paraId="2510E1CC" w14:textId="7A107253" w:rsidR="00FA2119" w:rsidRDefault="00FA2119" w:rsidP="006A458D">
      <w:pPr>
        <w:pStyle w:val="ab"/>
        <w:numPr>
          <w:ilvl w:val="0"/>
          <w:numId w:val="102"/>
        </w:numPr>
        <w:rPr>
          <w:rtl/>
        </w:rPr>
      </w:pPr>
      <w:r>
        <w:rPr>
          <w:rFonts w:cs="Arial"/>
          <w:rtl/>
        </w:rPr>
        <w:lastRenderedPageBreak/>
        <w:t xml:space="preserve">רמב"ם </w:t>
      </w:r>
      <w:r>
        <w:rPr>
          <w:rFonts w:cs="Arial"/>
          <w:sz w:val="16"/>
          <w:szCs w:val="16"/>
          <w:rtl/>
        </w:rPr>
        <w:t>(פ"ט הל"ז)</w:t>
      </w:r>
      <w:r w:rsidR="00A82951">
        <w:rPr>
          <w:rFonts w:cs="Arial"/>
          <w:rtl/>
        </w:rPr>
        <w:t>-</w:t>
      </w:r>
      <w:r>
        <w:rPr>
          <w:rFonts w:cs="Arial"/>
          <w:rtl/>
        </w:rPr>
        <w:t xml:space="preserve"> אמר לו 'תן לה הגט וטול ממנה חפץ פלוני'</w:t>
      </w:r>
      <w:r>
        <w:rPr>
          <w:rStyle w:val="a7"/>
          <w:rFonts w:cs="Arial"/>
          <w:rtl/>
        </w:rPr>
        <w:footnoteReference w:id="2063"/>
      </w:r>
      <w:r>
        <w:rPr>
          <w:rFonts w:cs="Arial"/>
          <w:rtl/>
        </w:rPr>
        <w:t xml:space="preserve"> </w:t>
      </w:r>
      <w:r w:rsidR="00A82951">
        <w:rPr>
          <w:rFonts w:cs="Arial"/>
          <w:rtl/>
        </w:rPr>
        <w:t>-</w:t>
      </w:r>
      <w:r>
        <w:rPr>
          <w:rFonts w:cs="Arial"/>
          <w:rtl/>
        </w:rPr>
        <w:t xml:space="preserve"> הרי זה לא ישלחנו ביד אחר שאין רצונו שיהיה פקדונו ביד אחר, ואם שלחו ביד אחר </w:t>
      </w:r>
      <w:r w:rsidR="00A82951">
        <w:rPr>
          <w:rFonts w:cs="Arial"/>
          <w:rtl/>
        </w:rPr>
        <w:t>-</w:t>
      </w:r>
      <w:r>
        <w:rPr>
          <w:rFonts w:cs="Arial"/>
          <w:rtl/>
        </w:rPr>
        <w:t xml:space="preserve"> הרי זה גט</w:t>
      </w:r>
      <w:r>
        <w:rPr>
          <w:rStyle w:val="a7"/>
          <w:rFonts w:cs="Arial"/>
          <w:rtl/>
        </w:rPr>
        <w:footnoteReference w:id="2064"/>
      </w:r>
      <w:r>
        <w:rPr>
          <w:rFonts w:cs="Arial"/>
          <w:rtl/>
        </w:rPr>
        <w:t xml:space="preserve">, בין שנתנה החפץ תחלה בין שלא נתנה אלא בסוף. </w:t>
      </w:r>
      <w:r>
        <w:rPr>
          <w:color w:val="E36C0A" w:themeColor="accent6" w:themeShade="BF"/>
          <w:rtl/>
        </w:rPr>
        <w:t>(וכ"פ בשו"ע)</w:t>
      </w:r>
    </w:p>
    <w:p w14:paraId="13B30CEE" w14:textId="77777777" w:rsidR="00FA2119" w:rsidRDefault="00FA2119" w:rsidP="00FA2119">
      <w:pPr>
        <w:ind w:left="360"/>
        <w:rPr>
          <w:u w:val="dotted"/>
        </w:rPr>
      </w:pPr>
      <w:r>
        <w:rPr>
          <w:u w:val="dotted"/>
          <w:rtl/>
        </w:rPr>
        <w:t>מה הדין בשאר התנאים שמתנה הבעל עם השליח:</w:t>
      </w:r>
    </w:p>
    <w:p w14:paraId="5703B451" w14:textId="3FEC8AC2" w:rsidR="00FA2119" w:rsidRDefault="00FA2119" w:rsidP="006A458D">
      <w:pPr>
        <w:pStyle w:val="ab"/>
        <w:numPr>
          <w:ilvl w:val="0"/>
          <w:numId w:val="102"/>
        </w:numPr>
      </w:pPr>
      <w:r>
        <w:rPr>
          <w:rFonts w:cs="Arial"/>
          <w:rtl/>
        </w:rPr>
        <w:t>רמ"ה</w:t>
      </w:r>
      <w:r>
        <w:rPr>
          <w:rFonts w:cs="Arial"/>
          <w:sz w:val="16"/>
          <w:szCs w:val="16"/>
          <w:rtl/>
        </w:rPr>
        <w:t xml:space="preserve"> (כ"כ הטור בשמו)</w:t>
      </w:r>
      <w:r w:rsidR="00A82951">
        <w:rPr>
          <w:rFonts w:cs="Arial"/>
          <w:rtl/>
        </w:rPr>
        <w:t>-</w:t>
      </w:r>
      <w:r>
        <w:rPr>
          <w:rFonts w:cs="Arial"/>
          <w:rtl/>
        </w:rPr>
        <w:t xml:space="preserve"> הוא הדין נמי בכל תנאי שהתנה הבעל עם השליח, כגון 'אל תגרשנה אלא בבית' או 'בעלייה' שאינו יכול לשלחו ביד אחר שמא לא ידקדק השני בשליחותו ויתבטל הגט. </w:t>
      </w:r>
      <w:r>
        <w:rPr>
          <w:color w:val="E36C0A" w:themeColor="accent6" w:themeShade="BF"/>
          <w:rtl/>
        </w:rPr>
        <w:t>(וכ"פ בשו"ע</w:t>
      </w:r>
      <w:r>
        <w:rPr>
          <w:color w:val="E36C0A" w:themeColor="accent6" w:themeShade="BF"/>
          <w:sz w:val="16"/>
          <w:szCs w:val="16"/>
          <w:rtl/>
        </w:rPr>
        <w:t xml:space="preserve"> </w:t>
      </w:r>
      <w:r>
        <w:rPr>
          <w:color w:val="000000" w:themeColor="text1"/>
          <w:sz w:val="16"/>
          <w:szCs w:val="16"/>
          <w:rtl/>
        </w:rPr>
        <w:t>[בסע' הבא]</w:t>
      </w:r>
      <w:r>
        <w:rPr>
          <w:color w:val="E36C0A" w:themeColor="accent6" w:themeShade="BF"/>
          <w:rtl/>
        </w:rPr>
        <w:t>)</w:t>
      </w:r>
    </w:p>
    <w:p w14:paraId="4429678F" w14:textId="77777777" w:rsidR="00FA2119" w:rsidRDefault="00FA2119" w:rsidP="00FA2119">
      <w:pPr>
        <w:rPr>
          <w:u w:val="single"/>
        </w:rPr>
      </w:pPr>
      <w:r>
        <w:rPr>
          <w:u w:val="single"/>
          <w:rtl/>
        </w:rPr>
        <w:t xml:space="preserve">בעל ששלח גט לאשתו בתנאי </w:t>
      </w:r>
      <w:r>
        <w:rPr>
          <w:rFonts w:cs="Arial"/>
          <w:u w:val="single"/>
          <w:rtl/>
        </w:rPr>
        <w:t>שתמחול לו כל זכות שיש לה אצלו מחיוב כתובתה</w:t>
      </w:r>
      <w:r>
        <w:rPr>
          <w:u w:val="single"/>
          <w:rtl/>
        </w:rPr>
        <w:t>, ונתן רשות לשליח למנות שליח:</w:t>
      </w:r>
    </w:p>
    <w:p w14:paraId="0376B484" w14:textId="346FCBB2" w:rsidR="00FA2119" w:rsidRDefault="00FA2119" w:rsidP="006A458D">
      <w:pPr>
        <w:pStyle w:val="ab"/>
        <w:numPr>
          <w:ilvl w:val="0"/>
          <w:numId w:val="107"/>
        </w:numPr>
      </w:pPr>
      <w:r>
        <w:rPr>
          <w:rFonts w:cs="Arial"/>
          <w:rtl/>
        </w:rPr>
        <w:t xml:space="preserve">ריב"ש </w:t>
      </w:r>
      <w:r>
        <w:rPr>
          <w:rFonts w:cs="Arial"/>
          <w:sz w:val="16"/>
          <w:szCs w:val="16"/>
          <w:rtl/>
        </w:rPr>
        <w:t>(סי' שטז)</w:t>
      </w:r>
      <w:r w:rsidR="00A82951">
        <w:rPr>
          <w:rFonts w:cs="Arial"/>
          <w:rtl/>
        </w:rPr>
        <w:t>-</w:t>
      </w:r>
      <w:r>
        <w:rPr>
          <w:rFonts w:cs="Arial"/>
          <w:rtl/>
        </w:rPr>
        <w:t xml:space="preserve"> שאלת על שטר שליחות שכתוב בו שהבעל צוה לשלוחו שלא יתן הגט לאשה אלא אחר שתמחול לו כל זכות שיש לה אצלו מחיוב כתובתה. ולפי פירוש הרמ"ה והרא"ש היה אפשר לומר שלא היה יכול שליח הבעל לעשות שליח אחר, עם שלפי פירוש רש"י והרי"ף והרמב"ם אין חשש בדבר. וגם לדברי הרמ"ה והרא"ש יש לחלק, והחילוק נראה לעינים, לפי שבנדון זה הרי ביאר ונתן רשות לשלוחו לעשות שליח ושליח שליח עד כמה. </w:t>
      </w:r>
      <w:r>
        <w:rPr>
          <w:rFonts w:cs="Arial"/>
          <w:rtl/>
        </w:rPr>
        <w:tab/>
        <w:t>תשובה: יש א</w:t>
      </w:r>
      <w:r w:rsidR="00823F99">
        <w:rPr>
          <w:rFonts w:cs="Arial" w:hint="cs"/>
          <w:rtl/>
        </w:rPr>
        <w:t>י</w:t>
      </w:r>
      <w:r>
        <w:rPr>
          <w:rFonts w:cs="Arial"/>
          <w:rtl/>
        </w:rPr>
        <w:t xml:space="preserve">תי פרטי דפריט הרמ"ה במסכת גיטין, ובביאור כתב דכל שהקפיד הבעל ואמר טול ממנה חפץ והדר הב לה גיטא לא ישלחנו ביד אחר שמא ישנה אותו שני, ואם שלח ביד אחר ולא שינה השני הוי גיטא. והיינו דאמרינן בגמרא היכא דנפקא לאפיה וכו' דכולי עלמא לא פליגי דגיטא מעליא הוא. ופירש הוא ז"ל לאפיה דשליח שני, כפירוש רש"י. וכתב עוד וכן הדין באל תגרשנה אלא בימין, דאי שוי שליח ואזל שליח שני ויהב בימין כקפידיה דבעל </w:t>
      </w:r>
      <w:r w:rsidR="00A82951">
        <w:rPr>
          <w:rFonts w:cs="Arial"/>
          <w:rtl/>
        </w:rPr>
        <w:t>-</w:t>
      </w:r>
      <w:r>
        <w:rPr>
          <w:rFonts w:cs="Arial"/>
          <w:rtl/>
        </w:rPr>
        <w:t xml:space="preserve"> הוי גיטא. אמנם בנדון זה אין אנו צריכים לזה, כיון שהבעל נתן רשות לשליח למנות כמה שלוחים, דכיון דאיהו לא קפיד אנן לא קפדינן כמו שכתבת, ואין כאן בית מיחוש. ומטעם זה לא היה צורך לחלה ולא לאונס אחר, ואפילו עד כמה שלוחים, דכולהו מכח בעל קא אתו. וכן אף אם השליח הראשון לא צוה לשני בביאור לבלתי תת הגט עד ישיג מחילת הכתובה כמו שצוהו הבעל </w:t>
      </w:r>
      <w:r w:rsidR="00A82951">
        <w:rPr>
          <w:rFonts w:cs="Arial"/>
          <w:rtl/>
        </w:rPr>
        <w:t>-</w:t>
      </w:r>
      <w:r>
        <w:rPr>
          <w:rFonts w:cs="Arial"/>
          <w:rtl/>
        </w:rPr>
        <w:t xml:space="preserve"> אין בכך כלום, שהרי הוא ממנה אותו מכח שטר שליחותו של בעל המזכיר מחילת הכתובה, והרי הוא כאילו הזכיר לו כן השליח הראשון לשני. ועוד שכיון שהבעל לא הקפיד להתנות בזה, ר"ל שיצוה כן השליח הראשון לשליח השני שימנה תחתיו, אלא נתן לו רשות סתם למנות שליח שני </w:t>
      </w:r>
      <w:r w:rsidR="00A82951">
        <w:rPr>
          <w:rFonts w:cs="Arial"/>
          <w:rtl/>
        </w:rPr>
        <w:t>-</w:t>
      </w:r>
      <w:r>
        <w:rPr>
          <w:rFonts w:cs="Arial"/>
          <w:rtl/>
        </w:rPr>
        <w:t xml:space="preserve"> גיטא מעליא הוא כל שהשליח השני קיים קפידתו דבעל. </w:t>
      </w:r>
    </w:p>
    <w:p w14:paraId="7BF7DE14" w14:textId="77777777" w:rsidR="00FA2119" w:rsidRDefault="00FA2119" w:rsidP="00FA2119">
      <w:pPr>
        <w:ind w:left="360"/>
        <w:rPr>
          <w:u w:val="dotted"/>
        </w:rPr>
      </w:pPr>
      <w:r>
        <w:rPr>
          <w:u w:val="dotted"/>
          <w:rtl/>
        </w:rPr>
        <w:t xml:space="preserve">ומה הדין אם לא אמר לו בפירוש שיש לו רשות למנות שליח, והשליח מינה שליח אחר ולא אמר לו התנאי: </w:t>
      </w:r>
    </w:p>
    <w:p w14:paraId="6F0F92F5" w14:textId="3C66157A" w:rsidR="00FA2119" w:rsidRDefault="00FA2119" w:rsidP="006A458D">
      <w:pPr>
        <w:pStyle w:val="ab"/>
        <w:numPr>
          <w:ilvl w:val="0"/>
          <w:numId w:val="107"/>
        </w:numPr>
      </w:pPr>
      <w:r>
        <w:rPr>
          <w:rFonts w:cs="Arial"/>
          <w:rtl/>
        </w:rPr>
        <w:t xml:space="preserve">ריב"ש </w:t>
      </w:r>
      <w:r>
        <w:rPr>
          <w:rFonts w:cs="Arial"/>
          <w:sz w:val="16"/>
          <w:szCs w:val="16"/>
          <w:rtl/>
        </w:rPr>
        <w:t>(שם)</w:t>
      </w:r>
      <w:r w:rsidR="00A82951">
        <w:rPr>
          <w:rFonts w:cs="Arial"/>
          <w:rtl/>
        </w:rPr>
        <w:t>-</w:t>
      </w:r>
      <w:r>
        <w:rPr>
          <w:rFonts w:cs="Arial"/>
          <w:rtl/>
        </w:rPr>
        <w:t xml:space="preserve"> ונראה שאף במי שלא נתן רשות בפירוש לשליח למנות אחר, כדינא דמתניתין, ואמר ליה שקול מינה חפץ והב גיטא שאין לו למנות שליח לכתחלה שמא לא יזכור לצוות כן השליח הראשון לשני, וכן שמא ישנה השליח השני, מכל מקום אם מינה השליח הראשון שליח ואמר לו הב לה גיטא, ואת דבר החפץ לא הגיד לו, או שהגיד לו והחליף ואמר לו הב גיטא ושקול חפץ </w:t>
      </w:r>
      <w:r w:rsidR="00A82951">
        <w:rPr>
          <w:rFonts w:cs="Arial"/>
          <w:rtl/>
        </w:rPr>
        <w:t>-</w:t>
      </w:r>
      <w:r>
        <w:rPr>
          <w:rFonts w:cs="Arial"/>
          <w:rtl/>
        </w:rPr>
        <w:t xml:space="preserve"> עם כל זה גיטא מעליא הוי כל שהשליח השני נטל החפץ ואח"כ נתן הגט. וזהו לשון הגמרא היכא דנפקא לאפיה ויהבא ליה חפץ. הוה ליה למימר היכא דשקיל מינה חפץ, אלא שהכוונה היא שאפילו אם השליח השני לא ידע כלל מענין החפץ לפי שהשליח הראשון לא הגיד לו דבר ממנו, או שהחליף והקדים בין מוקדם ומאוחר, אלא שהאשה מעצמה נתנה לו החפץ ראשונה מיראתה פן הקפיד הבעל בזה </w:t>
      </w:r>
      <w:r w:rsidR="00A82951">
        <w:rPr>
          <w:rFonts w:cs="Arial"/>
          <w:rtl/>
        </w:rPr>
        <w:t>-</w:t>
      </w:r>
      <w:r>
        <w:rPr>
          <w:rFonts w:cs="Arial"/>
          <w:rtl/>
        </w:rPr>
        <w:t xml:space="preserve"> גיטא מעליא הוא, שהרי נתקיימה קפידתו של בעל מכל מקום. </w:t>
      </w:r>
      <w:r>
        <w:rPr>
          <w:color w:val="00B0F0"/>
          <w:rtl/>
        </w:rPr>
        <w:t>(וכ"פ הרמ"א</w:t>
      </w:r>
      <w:r>
        <w:rPr>
          <w:color w:val="00B0F0"/>
          <w:sz w:val="16"/>
          <w:szCs w:val="16"/>
          <w:rtl/>
        </w:rPr>
        <w:t xml:space="preserve"> </w:t>
      </w:r>
      <w:r>
        <w:rPr>
          <w:color w:val="000000" w:themeColor="text1"/>
          <w:sz w:val="16"/>
          <w:szCs w:val="16"/>
          <w:rtl/>
        </w:rPr>
        <w:t>[בסע' הבא]</w:t>
      </w:r>
      <w:r>
        <w:rPr>
          <w:color w:val="00B0F0"/>
          <w:rtl/>
        </w:rPr>
        <w:t>)</w:t>
      </w:r>
    </w:p>
    <w:p w14:paraId="4385BE36" w14:textId="77777777" w:rsidR="00FA2119" w:rsidRDefault="00FA2119" w:rsidP="00FA2119">
      <w:pPr>
        <w:ind w:left="360"/>
        <w:rPr>
          <w:u w:val="dotted"/>
        </w:rPr>
      </w:pPr>
      <w:r>
        <w:rPr>
          <w:u w:val="dotted"/>
          <w:rtl/>
        </w:rPr>
        <w:t xml:space="preserve">האם מספיק לקרוע את הכתובה כדי לקיים את התנאי שהתנה </w:t>
      </w:r>
      <w:r>
        <w:rPr>
          <w:sz w:val="16"/>
          <w:szCs w:val="16"/>
          <w:u w:val="dotted"/>
          <w:rtl/>
        </w:rPr>
        <w:t>(</w:t>
      </w:r>
      <w:r>
        <w:rPr>
          <w:rFonts w:cs="Arial"/>
          <w:sz w:val="16"/>
          <w:szCs w:val="16"/>
          <w:u w:val="dotted"/>
          <w:rtl/>
        </w:rPr>
        <w:t>שתמחול לו כל זכות שיש לה אצלו מחיוב כתובתה)</w:t>
      </w:r>
      <w:r>
        <w:rPr>
          <w:rFonts w:cs="Arial"/>
          <w:u w:val="dotted"/>
          <w:rtl/>
        </w:rPr>
        <w:t>:</w:t>
      </w:r>
    </w:p>
    <w:p w14:paraId="7CDEE52C" w14:textId="07CE1C50" w:rsidR="00FA2119" w:rsidRDefault="00FA2119" w:rsidP="006A458D">
      <w:pPr>
        <w:pStyle w:val="ab"/>
        <w:numPr>
          <w:ilvl w:val="0"/>
          <w:numId w:val="107"/>
        </w:numPr>
      </w:pPr>
      <w:r>
        <w:rPr>
          <w:rFonts w:cs="Arial"/>
          <w:rtl/>
        </w:rPr>
        <w:t xml:space="preserve">ריב"ש </w:t>
      </w:r>
      <w:r>
        <w:rPr>
          <w:rFonts w:cs="Arial"/>
          <w:sz w:val="16"/>
          <w:szCs w:val="16"/>
          <w:rtl/>
        </w:rPr>
        <w:t>(סי' שיז)</w:t>
      </w:r>
      <w:r w:rsidR="00A82951">
        <w:rPr>
          <w:rFonts w:cs="Arial"/>
          <w:rtl/>
        </w:rPr>
        <w:t>-</w:t>
      </w:r>
      <w:r>
        <w:rPr>
          <w:rFonts w:cs="Arial"/>
          <w:rtl/>
        </w:rPr>
        <w:t xml:space="preserve"> מה ששאלת אם יש בכלל הכתובה מתנה לחוד, ואם תקרע הכתובה אם יקויים רצון הבעל. תשובה הלא ידעת מחלוקת המפרשים במה שאמרו בריש פרק אף על פי (כתובות נד:) תנאי כתובה ככתובה דמי, ובנדון זה נראה שהנדוניא בכלל אפילו לדעת הרמב"ם, אע"פ שדעתו (הל' אישות פי"ח הכ"ח) שאפילו במוחלת כתובתה אין הנדוניא בכלל אלא התוספת, לפי שבנדון זה האריך לומר 'כל זכות שיש לה אצלו מחמת חיוב כתובתה', וכוונת לשון זה כל מה שנתחייב לה בשטר כתובתה אבל מתנתה אינו כלל בענין זה כמו שאין נכסי מלוג בכלל לשון זה ואפילו היה חוב שחייב לה הבעל מנכסי מלוג. זה נראה לי ברור בדין שבין האשה והבעל לענין ממון. אבל לענין הגט להוציא מידי כל ערעור טוב שתמחול האשה קודם קבלת הגט באותו לשון בעצמו הכתוב בשטר השליחות, ושיעשו מזה שטר לראיה ויזכירו כן במעשה בית דין מהתרת </w:t>
      </w:r>
      <w:r>
        <w:rPr>
          <w:rFonts w:cs="Arial"/>
          <w:rtl/>
        </w:rPr>
        <w:lastRenderedPageBreak/>
        <w:t>האשה. וכן אני נוהג לעולם בתנאים כאלו לקיימם ככתבם וכלשונם. ואחר נתינת הגט תוכל האשה לתבוע מתנתה על נכסי בעלה. ומה ששאלת אם יתקיים רצון הבעל בקריעת הכתובה נראה לי דלא נתקיים רצון הבעל משני טעמים, האחד, שאע"פ שתקרע הכתובה קרע בית דין כיון שלא מחלה אותו עדיין תוכל לתובעו בגט כדין מלוה על פה, ואף על פי שבמקום שכותבין כתובה לא תגבה בגט ואין עמה כתובה (לעיל סי' ק קנב:), זהו מפני שיכול לטעון פרעתי, ובכאן אינו יכול לטעון כן אא"כ ירצה לשקר. ועוד שהיא יכולה להשביעו על זה שבועת היסת (רמב"ם הל' אישות פט"ז הכ"ח). והשני שאף אם נאמר שנמחלה הכתובה בקריעה מכל מקום עדיין ישאר לה זכות עליו מחמת חיוב מזונות מכל אותם שנים שעמד במדינת הים אם פסקו לה מזונות ולותה ואכלה שיש לו לפרוע חובה (לעיל סי' ע קו.) ומחמת תנאו שהתנה שתמחול כל זכות שיש לה עליו מחמת חיוב כתובה צריכה למחול הכל שהרי מחמת מה שנתחייב לה בכתובה הוא חיוב זה.</w:t>
      </w:r>
      <w:r>
        <w:rPr>
          <w:rtl/>
        </w:rPr>
        <w:t xml:space="preserve"> </w:t>
      </w:r>
      <w:r>
        <w:rPr>
          <w:color w:val="00B0F0"/>
          <w:rtl/>
        </w:rPr>
        <w:t xml:space="preserve">(וכ"פ הרמ"א </w:t>
      </w:r>
      <w:r>
        <w:rPr>
          <w:color w:val="000000" w:themeColor="text1"/>
          <w:sz w:val="16"/>
          <w:szCs w:val="16"/>
          <w:rtl/>
        </w:rPr>
        <w:t>[בסע' הבא]</w:t>
      </w:r>
      <w:r>
        <w:rPr>
          <w:color w:val="00B0F0"/>
          <w:rtl/>
        </w:rPr>
        <w:t>)</w:t>
      </w:r>
    </w:p>
    <w:p w14:paraId="0E0AB4BC"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BC44B91" w14:textId="0313FA78" w:rsidR="00FA2119" w:rsidRDefault="00FA2119" w:rsidP="00FA2119">
      <w:pPr>
        <w:rPr>
          <w:rtl/>
        </w:rPr>
      </w:pPr>
      <w:r>
        <w:rPr>
          <w:rFonts w:cs="Arial"/>
          <w:rtl/>
        </w:rPr>
        <w:t>אמר הבעל לשליח: טול ממנה חפץ פלוני ותן לה גט זה, הרי זה לא ישלחנו ביד אחר. ואם שלחו ביד אחר, ונתנה האשה לשליח החפץ תחלה, ואחר כך נתן הגט, הרי זו מגורשת. ואם נתן לה הגט תחלה, ואחר כך נתנה החפץ אפילו ביד שליח ראשון</w:t>
      </w:r>
      <w:r w:rsidR="00823F99">
        <w:rPr>
          <w:rFonts w:cs="Arial" w:hint="cs"/>
          <w:rtl/>
        </w:rPr>
        <w:t>,</w:t>
      </w:r>
      <w:r>
        <w:rPr>
          <w:rFonts w:cs="Arial"/>
          <w:rtl/>
        </w:rPr>
        <w:t xml:space="preserve"> אינו גט. אמר לו: תן לה הגט וטול ממנה חפץ פלוני, הרי זה לא ישלחנו ביד אחר, שאין רצונו שיהיה פקדונו ביד אחר. ואם שלחו ביד אחר, הרי זה גט בין שנתנה תחלה בין שלא נתנה אלא בסוף. ויש אומרים שכשאמר לו: טול ממנה חפץ פלוני ותן לה הגט, אם שלחו ביד אחר, אפילו נתנה לו החפץ תחלה ואחר כך נתן לה הגט, מאחר שלא נתנה החפץ ביד שליח ראשון קודם שתקבל הגט משליח שני, אינה מגורשת. כיצד יעשה, יטלנו הראשון מידה, ויחזור ויתננו לה בתורת גירושין אחר שהגיע לידו החפץ. </w:t>
      </w:r>
    </w:p>
    <w:p w14:paraId="4493C727" w14:textId="77777777" w:rsidR="00FA2119" w:rsidRDefault="00FA2119" w:rsidP="00FA2119">
      <w:pPr>
        <w:rPr>
          <w:rtl/>
        </w:rPr>
      </w:pPr>
    </w:p>
    <w:p w14:paraId="744BF5F6" w14:textId="77777777" w:rsidR="00FA2119" w:rsidRDefault="00FA2119" w:rsidP="00FA2119">
      <w:pPr>
        <w:pStyle w:val="2"/>
        <w:rPr>
          <w:rtl/>
        </w:rPr>
      </w:pPr>
      <w:r>
        <w:rPr>
          <w:rtl/>
        </w:rPr>
        <w:t>סעיף נב: המשך הנ"ל.</w:t>
      </w:r>
    </w:p>
    <w:p w14:paraId="2127D38F" w14:textId="77777777" w:rsidR="00FA2119" w:rsidRDefault="00FA2119" w:rsidP="00FA2119">
      <w:pPr>
        <w:rPr>
          <w:rtl/>
        </w:rPr>
      </w:pPr>
      <w:r>
        <w:rPr>
          <w:rtl/>
        </w:rPr>
        <w:t>עיין במקורות בסעיף הקודם.</w:t>
      </w:r>
    </w:p>
    <w:p w14:paraId="0FEBCBBA"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3F34994" w14:textId="77777777" w:rsidR="00FA2119" w:rsidRDefault="00FA2119" w:rsidP="00FA2119">
      <w:pPr>
        <w:rPr>
          <w:rtl/>
        </w:rPr>
      </w:pPr>
      <w:r>
        <w:rPr>
          <w:rFonts w:cs="Arial"/>
          <w:rtl/>
        </w:rPr>
        <w:t xml:space="preserve">כל תנאי שהתנה הבעל עם השליח, כגון אל תגרשנה אלא בבית או בעליה וכיוצא בזה, אם לא הרשהו הבעל למנות שליח אינו יכול לשלחו ביד אחר לכתחלה, שמא לא ידקדק השני בשליחותו ויתבטל הגט. </w:t>
      </w:r>
      <w:r>
        <w:rPr>
          <w:rFonts w:cs="Arial"/>
          <w:sz w:val="18"/>
          <w:szCs w:val="18"/>
          <w:rtl/>
        </w:rPr>
        <w:t>הגה: מיהו אם עשה שליח שני, אפילו לא הגיד לו התנאי או החליף לו, אם נתקיים התנאי הוי גט (ריב"ש סי' שטז). אם התנה שתמחול לו כל זכות שיש לה עליו, אע"ג דלענין דינא יש לדון מהו בכלל 'כל זכות', מכל מקום יש להחמיר לענין גט שתמחול כל זכות שיש לה עליו, ואח"כ תדון עמו מהו בכלל, וכן כל כיוצא בזה (שם סי' שיז).</w:t>
      </w:r>
      <w:r>
        <w:rPr>
          <w:rFonts w:cs="Arial"/>
          <w:rtl/>
        </w:rPr>
        <w:t xml:space="preserve"> </w:t>
      </w:r>
    </w:p>
    <w:p w14:paraId="075A96A6" w14:textId="77777777" w:rsidR="00FA2119" w:rsidRDefault="00FA2119" w:rsidP="00FA2119">
      <w:pPr>
        <w:rPr>
          <w:rtl/>
        </w:rPr>
      </w:pPr>
    </w:p>
    <w:p w14:paraId="395216A7" w14:textId="77777777" w:rsidR="00FA2119" w:rsidRDefault="00FA2119" w:rsidP="00FA2119">
      <w:pPr>
        <w:pStyle w:val="2"/>
        <w:rPr>
          <w:rtl/>
        </w:rPr>
      </w:pPr>
      <w:r>
        <w:rPr>
          <w:rtl/>
        </w:rPr>
        <w:t>סעיף נג: שליח שהביא גט ולא מכירים את חתימות העדים שבו, ויצא על הגט ערער.</w:t>
      </w:r>
    </w:p>
    <w:p w14:paraId="1D3BCEED" w14:textId="23D49A8D" w:rsidR="00FA2119" w:rsidRDefault="00FA2119" w:rsidP="00FA2119">
      <w:pPr>
        <w:rPr>
          <w:rtl/>
        </w:rPr>
      </w:pPr>
      <w:r>
        <w:rPr>
          <w:rFonts w:cs="Arial"/>
          <w:b/>
          <w:bCs/>
          <w:rtl/>
        </w:rPr>
        <w:t xml:space="preserve">גיטין </w:t>
      </w:r>
      <w:r>
        <w:rPr>
          <w:rFonts w:cs="Arial"/>
          <w:b/>
          <w:bCs/>
          <w:sz w:val="16"/>
          <w:szCs w:val="16"/>
          <w:rtl/>
        </w:rPr>
        <w:t>(פ"ק)</w:t>
      </w:r>
      <w:r>
        <w:rPr>
          <w:rFonts w:cs="Arial"/>
          <w:b/>
          <w:bCs/>
          <w:rtl/>
        </w:rPr>
        <w:t xml:space="preserve"> ב ע"א:</w:t>
      </w:r>
      <w:r>
        <w:rPr>
          <w:rFonts w:cs="Arial"/>
          <w:rtl/>
        </w:rPr>
        <w:t xml:space="preserve"> </w:t>
      </w:r>
      <w:r>
        <w:rPr>
          <w:rFonts w:cs="Arial"/>
          <w:u w:val="double"/>
          <w:rtl/>
        </w:rPr>
        <w:t>מתני'</w:t>
      </w:r>
      <w:r>
        <w:rPr>
          <w:rFonts w:cs="Arial"/>
          <w:rtl/>
        </w:rPr>
        <w:t xml:space="preserve">:... המביא גט בארץ ישראל, אינו צריך שיאמר בפני נכתב ובפני נחתם; ואם יש עליו עוררים </w:t>
      </w:r>
      <w:r w:rsidR="00A82951">
        <w:rPr>
          <w:rFonts w:cs="Arial"/>
          <w:rtl/>
        </w:rPr>
        <w:t>-</w:t>
      </w:r>
      <w:r>
        <w:rPr>
          <w:rFonts w:cs="Arial"/>
          <w:rtl/>
        </w:rPr>
        <w:t xml:space="preserve"> יתקיים בחותמיו</w:t>
      </w:r>
      <w:r>
        <w:rPr>
          <w:rStyle w:val="a7"/>
          <w:rFonts w:cs="Arial"/>
          <w:rtl/>
        </w:rPr>
        <w:footnoteReference w:id="2065"/>
      </w:r>
      <w:r>
        <w:rPr>
          <w:rFonts w:cs="Arial"/>
          <w:rtl/>
        </w:rPr>
        <w:t>.</w:t>
      </w:r>
      <w:r>
        <w:rPr>
          <w:rtl/>
        </w:rPr>
        <w:t xml:space="preserve">      </w:t>
      </w:r>
      <w:r>
        <w:rPr>
          <w:u w:val="double"/>
          <w:rtl/>
        </w:rPr>
        <w:t>גמ'</w:t>
      </w:r>
      <w:r>
        <w:rPr>
          <w:sz w:val="14"/>
          <w:szCs w:val="14"/>
          <w:u w:val="double"/>
          <w:rtl/>
        </w:rPr>
        <w:t>(ט.)</w:t>
      </w:r>
      <w:r>
        <w:rPr>
          <w:u w:val="double"/>
          <w:rtl/>
        </w:rPr>
        <w:t>:</w:t>
      </w:r>
      <w:r>
        <w:rPr>
          <w:rtl/>
        </w:rPr>
        <w:t xml:space="preserve"> </w:t>
      </w:r>
      <w:r>
        <w:rPr>
          <w:rFonts w:cs="Arial"/>
          <w:rtl/>
        </w:rPr>
        <w:t xml:space="preserve">אם יש עליו עוררין </w:t>
      </w:r>
      <w:r w:rsidR="00A82951">
        <w:rPr>
          <w:rFonts w:cs="Arial"/>
          <w:rtl/>
        </w:rPr>
        <w:t>-</w:t>
      </w:r>
      <w:r>
        <w:rPr>
          <w:rFonts w:cs="Arial"/>
          <w:rtl/>
        </w:rPr>
        <w:t xml:space="preserve"> יתקיים בחותמיו</w:t>
      </w:r>
      <w:r>
        <w:rPr>
          <w:rStyle w:val="a7"/>
          <w:rFonts w:cs="Arial"/>
          <w:rtl/>
        </w:rPr>
        <w:footnoteReference w:id="2066"/>
      </w:r>
      <w:r>
        <w:rPr>
          <w:rFonts w:cs="Arial"/>
          <w:rtl/>
        </w:rPr>
        <w:t>. ערער כמה? אילימא ערער חד, והאמר ר' יוחנן: דברי הכל אין ערער פחות משנים! אלא ערער תרי, תרי ותרי נינהו, מאי חזית דסמכת אהני? סמוך אהני! אלא ערער דבעל</w:t>
      </w:r>
      <w:r>
        <w:rPr>
          <w:rStyle w:val="a7"/>
          <w:rFonts w:cs="Arial"/>
          <w:rtl/>
        </w:rPr>
        <w:footnoteReference w:id="2067"/>
      </w:r>
      <w:r>
        <w:rPr>
          <w:rFonts w:cs="Arial"/>
          <w:rtl/>
        </w:rPr>
        <w:t>.</w:t>
      </w:r>
      <w:r>
        <w:rPr>
          <w:rFonts w:cs="Arial"/>
          <w:sz w:val="16"/>
          <w:szCs w:val="16"/>
          <w:rtl/>
        </w:rPr>
        <w:t xml:space="preserve"> (וכתבו התוס</w:t>
      </w:r>
      <w:r w:rsidR="005A043D">
        <w:rPr>
          <w:rFonts w:cs="Arial" w:hint="cs"/>
          <w:sz w:val="16"/>
          <w:szCs w:val="16"/>
          <w:rtl/>
        </w:rPr>
        <w:t>'</w:t>
      </w:r>
      <w:r>
        <w:rPr>
          <w:rFonts w:cs="Arial"/>
          <w:sz w:val="16"/>
          <w:szCs w:val="16"/>
          <w:rtl/>
        </w:rPr>
        <w:t xml:space="preserve"> (ד"ה אלא) והוא הדין ערער דלקוחות שבאה לטרוף כתובה מהם כדאיתא בירושלמי (פ"א ה"ג). ומשמע מדברי הרא"ש שאין ערעור דלקוחות האומרים מזוייף הוא מעכבה מלינשא, שכתב שם בפ"ק דגיטין (סי' ח) </w:t>
      </w:r>
      <w:r w:rsidR="000A0F5A">
        <w:rPr>
          <w:rFonts w:cs="Arial"/>
          <w:sz w:val="16"/>
          <w:szCs w:val="16"/>
          <w:rtl/>
        </w:rPr>
        <w:t>וז"ל:</w:t>
      </w:r>
      <w:r>
        <w:rPr>
          <w:rFonts w:cs="Arial"/>
          <w:sz w:val="16"/>
          <w:szCs w:val="16"/>
          <w:rtl/>
        </w:rPr>
        <w:t xml:space="preserve"> והוא הדין ערער דלקוחות אם באת לטרוף כתובה מהם כדאיתא בירושלמי, ומיהו בשביל ערעור דלקוחות לא אסרינן לה להנשא, אבל בערעור דבעל אסורה לינשא עד שיתקיים בחותמיו. אבל בלא ערעור דבעל מותרת לינשא ולא חיישינן לזיופא, לפי שהבעל אינו חשוד לקלקלה בידי שמים, והיא עצמה לא תזייף לקלקל עצמה. אבל להוציא ממון מיתומים ולקוחות חיישינן לזיופא. אבל לענין פרעון כתובה נחתינן לנכסי דכיון דשריא לינשא גביא נמי כתובתה מבני חרי, דמספר כתובתה נלמוד (יבמות קיז.) לכשתנשאי לאחר תטלי מה שכתוב ליכי עכ"ל, ב"י)</w:t>
      </w:r>
    </w:p>
    <w:p w14:paraId="1A7E0DCD" w14:textId="77777777" w:rsidR="00FA2119" w:rsidRDefault="00FA2119" w:rsidP="00FA2119">
      <w:pPr>
        <w:rPr>
          <w:u w:val="single"/>
          <w:rtl/>
        </w:rPr>
      </w:pPr>
      <w:r>
        <w:rPr>
          <w:u w:val="single"/>
          <w:rtl/>
        </w:rPr>
        <w:t>שליח שהביא גט ולא מכירים את חתימות העדים שבו:</w:t>
      </w:r>
    </w:p>
    <w:p w14:paraId="70E431AF" w14:textId="5278D59C" w:rsidR="00FA2119" w:rsidRDefault="00FA2119" w:rsidP="006A458D">
      <w:pPr>
        <w:pStyle w:val="ab"/>
        <w:numPr>
          <w:ilvl w:val="0"/>
          <w:numId w:val="102"/>
        </w:numPr>
        <w:rPr>
          <w:rtl/>
        </w:rPr>
      </w:pPr>
      <w:r>
        <w:rPr>
          <w:rFonts w:cs="Arial"/>
          <w:rtl/>
        </w:rPr>
        <w:lastRenderedPageBreak/>
        <w:t>טור</w:t>
      </w:r>
      <w:r w:rsidR="00A82951">
        <w:rPr>
          <w:rFonts w:cs="Arial"/>
          <w:rtl/>
        </w:rPr>
        <w:t>-</w:t>
      </w:r>
      <w:r>
        <w:rPr>
          <w:rFonts w:cs="Arial"/>
          <w:rtl/>
        </w:rPr>
        <w:t xml:space="preserve"> שליח המביא גט מארץ ישראל נותנו לה ומתגרשת בו וניסת אע"פ שאין מכירין חתימת העדים, וגובה כתובתה מבני חרי אבל לא ממשעבדי</w:t>
      </w:r>
      <w:r>
        <w:rPr>
          <w:rStyle w:val="a7"/>
          <w:rFonts w:cs="Arial"/>
          <w:rtl/>
        </w:rPr>
        <w:footnoteReference w:id="2068"/>
      </w:r>
      <w:r>
        <w:rPr>
          <w:rFonts w:cs="Arial"/>
          <w:rtl/>
        </w:rPr>
        <w:t xml:space="preserve">. </w:t>
      </w:r>
      <w:r>
        <w:rPr>
          <w:color w:val="E36C0A" w:themeColor="accent6" w:themeShade="BF"/>
          <w:rtl/>
        </w:rPr>
        <w:t>(וכ"פ בשו"ע)</w:t>
      </w:r>
    </w:p>
    <w:p w14:paraId="7D52F9F6" w14:textId="31DF031A" w:rsidR="00FA2119" w:rsidRDefault="00FA2119" w:rsidP="006A458D">
      <w:pPr>
        <w:pStyle w:val="ab"/>
        <w:numPr>
          <w:ilvl w:val="0"/>
          <w:numId w:val="102"/>
        </w:numPr>
        <w:rPr>
          <w:rFonts w:cs="Arial"/>
        </w:rPr>
      </w:pPr>
      <w:r>
        <w:rPr>
          <w:rFonts w:cs="Arial"/>
          <w:rtl/>
        </w:rPr>
        <w:t xml:space="preserve">רמב"ם </w:t>
      </w:r>
      <w:r>
        <w:rPr>
          <w:rFonts w:cs="Arial"/>
          <w:sz w:val="16"/>
          <w:szCs w:val="16"/>
          <w:rtl/>
        </w:rPr>
        <w:t>(פ"ז ה"א)</w:t>
      </w:r>
      <w:r w:rsidR="00A82951">
        <w:rPr>
          <w:rFonts w:cs="Arial"/>
          <w:rtl/>
        </w:rPr>
        <w:t>-</w:t>
      </w:r>
      <w:r>
        <w:rPr>
          <w:rFonts w:cs="Arial"/>
          <w:rtl/>
        </w:rPr>
        <w:t xml:space="preserve"> שליח שהביא גט ממקום למקום בארץ ישראל אע</w:t>
      </w:r>
      <w:r w:rsidR="00FF2F81">
        <w:rPr>
          <w:rFonts w:cs="Arial" w:hint="cs"/>
          <w:rtl/>
        </w:rPr>
        <w:t>"</w:t>
      </w:r>
      <w:r>
        <w:rPr>
          <w:rFonts w:cs="Arial"/>
          <w:rtl/>
        </w:rPr>
        <w:t xml:space="preserve">פ שלא ראה כתיבת הגט ולא ידע מי הם עדיו אלא נתן לו הבעל גט ואמר לו תן גט זה לאשתי </w:t>
      </w:r>
      <w:r w:rsidR="00A82951">
        <w:rPr>
          <w:rFonts w:cs="Arial"/>
          <w:rtl/>
        </w:rPr>
        <w:t>-</w:t>
      </w:r>
      <w:r>
        <w:rPr>
          <w:rFonts w:cs="Arial"/>
          <w:rtl/>
        </w:rPr>
        <w:t xml:space="preserve"> הרי זה נותנו לה בפני שנים ואע</w:t>
      </w:r>
      <w:r w:rsidR="00FF2F81">
        <w:rPr>
          <w:rFonts w:cs="Arial" w:hint="cs"/>
          <w:rtl/>
        </w:rPr>
        <w:t>"</w:t>
      </w:r>
      <w:r>
        <w:rPr>
          <w:rFonts w:cs="Arial"/>
          <w:rtl/>
        </w:rPr>
        <w:t xml:space="preserve">פ שאין עדיו ידועין אצלנו ותהיה מגורשת ותנשא בו. </w:t>
      </w:r>
    </w:p>
    <w:p w14:paraId="734C4814" w14:textId="77777777" w:rsidR="00FA2119" w:rsidRDefault="00FA2119" w:rsidP="00FA2119">
      <w:pPr>
        <w:ind w:left="360"/>
        <w:rPr>
          <w:rFonts w:cs="Arial"/>
          <w:u w:val="dotted"/>
        </w:rPr>
      </w:pPr>
      <w:r>
        <w:rPr>
          <w:rFonts w:cs="Arial"/>
          <w:u w:val="dotted"/>
          <w:rtl/>
        </w:rPr>
        <w:t>ומה הדין אם יצא ערער על הגט ע"י עד/עדים:</w:t>
      </w:r>
    </w:p>
    <w:p w14:paraId="50760EE4" w14:textId="199627D7" w:rsidR="00FA2119" w:rsidRDefault="00FA2119" w:rsidP="006A458D">
      <w:pPr>
        <w:pStyle w:val="ab"/>
        <w:numPr>
          <w:ilvl w:val="0"/>
          <w:numId w:val="102"/>
        </w:numPr>
      </w:pPr>
      <w:r>
        <w:rPr>
          <w:rFonts w:cs="Arial"/>
          <w:rtl/>
        </w:rPr>
        <w:t>טור</w:t>
      </w:r>
      <w:r w:rsidR="00A82951">
        <w:rPr>
          <w:rFonts w:cs="Arial"/>
          <w:rtl/>
        </w:rPr>
        <w:t>-</w:t>
      </w:r>
      <w:r>
        <w:rPr>
          <w:rFonts w:cs="Arial"/>
          <w:rtl/>
        </w:rPr>
        <w:t xml:space="preserve"> ואם בא עד אחד וערער לומר שהוא מזוייף </w:t>
      </w:r>
      <w:r w:rsidR="00A82951">
        <w:rPr>
          <w:rFonts w:cs="Arial"/>
          <w:rtl/>
        </w:rPr>
        <w:t>-</w:t>
      </w:r>
      <w:r>
        <w:rPr>
          <w:rFonts w:cs="Arial"/>
          <w:rtl/>
        </w:rPr>
        <w:t xml:space="preserve"> אין שומעין לו. באו שנים וערערו </w:t>
      </w:r>
      <w:r w:rsidR="00A82951">
        <w:rPr>
          <w:rFonts w:cs="Arial"/>
          <w:rtl/>
        </w:rPr>
        <w:t>-</w:t>
      </w:r>
      <w:r>
        <w:rPr>
          <w:rFonts w:cs="Arial"/>
          <w:rtl/>
        </w:rPr>
        <w:t xml:space="preserve"> אפי' נישאת כבר תצא. </w:t>
      </w:r>
      <w:r>
        <w:rPr>
          <w:color w:val="E36C0A" w:themeColor="accent6" w:themeShade="BF"/>
          <w:rtl/>
        </w:rPr>
        <w:t>(וכ"פ בשו"ע)</w:t>
      </w:r>
    </w:p>
    <w:p w14:paraId="5C2622C2" w14:textId="77777777" w:rsidR="00FA2119" w:rsidRDefault="00FA2119" w:rsidP="00FA2119">
      <w:pPr>
        <w:ind w:left="360"/>
        <w:rPr>
          <w:u w:val="dotted"/>
        </w:rPr>
      </w:pPr>
      <w:r>
        <w:rPr>
          <w:u w:val="dotted"/>
          <w:rtl/>
        </w:rPr>
        <w:t>ומה הדין אם הבעל מערער:</w:t>
      </w:r>
    </w:p>
    <w:p w14:paraId="3E1055D4" w14:textId="33017267" w:rsidR="00FA2119" w:rsidRDefault="00FA2119" w:rsidP="006A458D">
      <w:pPr>
        <w:pStyle w:val="ab"/>
        <w:numPr>
          <w:ilvl w:val="0"/>
          <w:numId w:val="102"/>
        </w:numPr>
      </w:pPr>
      <w:r>
        <w:rPr>
          <w:rFonts w:cs="Arial"/>
          <w:rtl/>
        </w:rPr>
        <w:t>טור</w:t>
      </w:r>
      <w:r w:rsidR="00A82951">
        <w:rPr>
          <w:rFonts w:cs="Arial"/>
          <w:rtl/>
        </w:rPr>
        <w:t>-</w:t>
      </w:r>
      <w:r>
        <w:rPr>
          <w:rFonts w:cs="Arial"/>
          <w:rtl/>
        </w:rPr>
        <w:t xml:space="preserve"> בא הבעל וערער</w:t>
      </w:r>
      <w:r w:rsidR="00FF2F81">
        <w:rPr>
          <w:rFonts w:cs="Arial" w:hint="cs"/>
          <w:rtl/>
        </w:rPr>
        <w:t>,</w:t>
      </w:r>
      <w:r>
        <w:rPr>
          <w:rFonts w:cs="Arial"/>
          <w:rtl/>
        </w:rPr>
        <w:t xml:space="preserve"> יתקיים בחותמיו, ואם לא יתקיים </w:t>
      </w:r>
      <w:r w:rsidR="00A82951">
        <w:rPr>
          <w:rFonts w:cs="Arial"/>
          <w:rtl/>
        </w:rPr>
        <w:t>-</w:t>
      </w:r>
      <w:r>
        <w:rPr>
          <w:rFonts w:cs="Arial"/>
          <w:rtl/>
        </w:rPr>
        <w:t xml:space="preserve"> תצא. אבד הגט </w:t>
      </w:r>
      <w:r w:rsidR="00A82951">
        <w:rPr>
          <w:rFonts w:cs="Arial"/>
          <w:rtl/>
        </w:rPr>
        <w:t>-</w:t>
      </w:r>
      <w:r>
        <w:rPr>
          <w:rFonts w:cs="Arial"/>
          <w:rtl/>
        </w:rPr>
        <w:t xml:space="preserve"> הרי זו ספק מגורשת. </w:t>
      </w:r>
    </w:p>
    <w:p w14:paraId="13B96855" w14:textId="5991162B" w:rsidR="00FA2119" w:rsidRDefault="00FA2119" w:rsidP="006A458D">
      <w:pPr>
        <w:pStyle w:val="ab"/>
        <w:numPr>
          <w:ilvl w:val="0"/>
          <w:numId w:val="102"/>
        </w:numPr>
        <w:rPr>
          <w:rFonts w:cs="Arial"/>
        </w:rPr>
      </w:pPr>
      <w:r>
        <w:rPr>
          <w:rFonts w:cs="Arial"/>
          <w:rtl/>
        </w:rPr>
        <w:t xml:space="preserve">רמב"ם </w:t>
      </w:r>
      <w:r>
        <w:rPr>
          <w:rFonts w:cs="Arial"/>
          <w:sz w:val="16"/>
          <w:szCs w:val="16"/>
          <w:rtl/>
        </w:rPr>
        <w:t>(פ"ז ה"ב)</w:t>
      </w:r>
      <w:r w:rsidR="00A82951">
        <w:rPr>
          <w:rFonts w:cs="Arial"/>
          <w:rtl/>
        </w:rPr>
        <w:t>-</w:t>
      </w:r>
      <w:r>
        <w:rPr>
          <w:rFonts w:cs="Arial"/>
          <w:rtl/>
        </w:rPr>
        <w:t xml:space="preserve"> בא הבעל ואמר לא גירשתי מעולם וגט שהובא לה מזוייף הוא </w:t>
      </w:r>
      <w:r w:rsidR="00A82951">
        <w:rPr>
          <w:rFonts w:cs="Arial"/>
          <w:rtl/>
        </w:rPr>
        <w:t>-</w:t>
      </w:r>
      <w:r>
        <w:rPr>
          <w:rFonts w:cs="Arial"/>
          <w:rtl/>
        </w:rPr>
        <w:t xml:space="preserve"> יתקיים בחותמיו. ואם לא נתקיים ולא נודעו עדיו כלל </w:t>
      </w:r>
      <w:r w:rsidR="00A82951">
        <w:rPr>
          <w:rFonts w:cs="Arial"/>
          <w:rtl/>
        </w:rPr>
        <w:t>-</w:t>
      </w:r>
      <w:r>
        <w:rPr>
          <w:rFonts w:cs="Arial"/>
          <w:rtl/>
        </w:rPr>
        <w:t xml:space="preserve"> תצא והולד ממזר, שהרי אינה מגורשת</w:t>
      </w:r>
      <w:r>
        <w:rPr>
          <w:rStyle w:val="a7"/>
          <w:rFonts w:cs="Arial"/>
          <w:rtl/>
        </w:rPr>
        <w:footnoteReference w:id="2069"/>
      </w:r>
      <w:r>
        <w:rPr>
          <w:rFonts w:cs="Arial"/>
          <w:rtl/>
        </w:rPr>
        <w:t xml:space="preserve">. אבד הגט </w:t>
      </w:r>
      <w:r w:rsidR="00A82951">
        <w:rPr>
          <w:rFonts w:cs="Arial"/>
          <w:rtl/>
        </w:rPr>
        <w:t>-</w:t>
      </w:r>
      <w:r>
        <w:rPr>
          <w:rFonts w:cs="Arial"/>
          <w:rtl/>
        </w:rPr>
        <w:t xml:space="preserve"> הרי זו ספק מגורשת.</w:t>
      </w:r>
      <w:r>
        <w:rPr>
          <w:color w:val="E36C0A" w:themeColor="accent6" w:themeShade="BF"/>
          <w:rtl/>
        </w:rPr>
        <w:t xml:space="preserve"> (וכ"פ בשו"ע)</w:t>
      </w:r>
    </w:p>
    <w:p w14:paraId="4AE42ED7"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EE5BD28" w14:textId="77777777" w:rsidR="00FA2119" w:rsidRDefault="00FA2119" w:rsidP="00FA2119">
      <w:pPr>
        <w:rPr>
          <w:rtl/>
        </w:rPr>
      </w:pPr>
      <w:r>
        <w:rPr>
          <w:rFonts w:cs="Arial"/>
          <w:rtl/>
        </w:rPr>
        <w:t>שליח המביא גט במקום שאינו צריך לומר בפני נכתב ובפני נחתם</w:t>
      </w:r>
      <w:r>
        <w:rPr>
          <w:rStyle w:val="a7"/>
          <w:rFonts w:cs="Arial"/>
          <w:rtl/>
        </w:rPr>
        <w:footnoteReference w:id="2070"/>
      </w:r>
      <w:r>
        <w:rPr>
          <w:rFonts w:cs="Arial"/>
          <w:rtl/>
        </w:rPr>
        <w:t>, נותנו לה ומתגרשת בו, ונשאת אף על פי שאין מכירין חתימות העדים, וגובה כתובתה מבני חרי. ואם בא עד אחד וערער לומר שהוא מזוייף, אין שומעין לו. באו שנים וערערו, אפילו נשאת כבר, תצא</w:t>
      </w:r>
      <w:r>
        <w:rPr>
          <w:rStyle w:val="a7"/>
          <w:rFonts w:cs="Arial"/>
          <w:rtl/>
        </w:rPr>
        <w:footnoteReference w:id="2071"/>
      </w:r>
      <w:r>
        <w:rPr>
          <w:rFonts w:cs="Arial"/>
          <w:rtl/>
        </w:rPr>
        <w:t xml:space="preserve">. ואם בא הבעל וערער ואמר: לא גרשתי מעולם, וגט שהובא לה מזוייף הוא, יתקיים בחותמיו. ואם לא נתקיים ולא נודעו עידיו כלל, תצא והולד ממזר, שהרי אינה מגורשת. אבד הגט, הרי זו ספק מגורשת. </w:t>
      </w:r>
    </w:p>
    <w:p w14:paraId="3E967336" w14:textId="77777777" w:rsidR="00FA2119" w:rsidRDefault="00FA2119" w:rsidP="00FA2119">
      <w:pPr>
        <w:rPr>
          <w:rtl/>
        </w:rPr>
      </w:pPr>
    </w:p>
    <w:p w14:paraId="2CCEA3A1" w14:textId="77777777" w:rsidR="00FA2119" w:rsidRDefault="00FA2119" w:rsidP="00FA2119">
      <w:pPr>
        <w:pStyle w:val="2"/>
        <w:rPr>
          <w:rtl/>
        </w:rPr>
      </w:pPr>
      <w:r>
        <w:rPr>
          <w:rtl/>
        </w:rPr>
        <w:t>סעיף נד: שליחת הגט ע"י נשים שהן בחזקת שונאות את האשה.</w:t>
      </w:r>
    </w:p>
    <w:p w14:paraId="0E681622" w14:textId="01971A40" w:rsidR="00FA2119" w:rsidRDefault="00FA2119" w:rsidP="00FA2119">
      <w:pPr>
        <w:rPr>
          <w:rtl/>
        </w:rPr>
      </w:pPr>
      <w:r>
        <w:rPr>
          <w:rFonts w:cs="Arial"/>
          <w:b/>
          <w:bCs/>
          <w:rtl/>
        </w:rPr>
        <w:t>גיטין</w:t>
      </w:r>
      <w:r>
        <w:rPr>
          <w:rFonts w:cs="Arial"/>
          <w:b/>
          <w:bCs/>
          <w:sz w:val="16"/>
          <w:szCs w:val="16"/>
          <w:rtl/>
        </w:rPr>
        <w:t xml:space="preserve"> (פ"ב)</w:t>
      </w:r>
      <w:r>
        <w:rPr>
          <w:rFonts w:cs="Arial"/>
          <w:b/>
          <w:bCs/>
          <w:rtl/>
        </w:rPr>
        <w:t xml:space="preserve"> כג</w:t>
      </w:r>
      <w:r w:rsidR="005F6305">
        <w:rPr>
          <w:rStyle w:val="a7"/>
          <w:rFonts w:cs="Arial"/>
          <w:b/>
          <w:bCs/>
          <w:rtl/>
        </w:rPr>
        <w:footnoteReference w:id="2072"/>
      </w:r>
      <w:r>
        <w:rPr>
          <w:rFonts w:cs="Arial"/>
          <w:b/>
          <w:bCs/>
          <w:rtl/>
        </w:rPr>
        <w:t xml:space="preserve"> ע"ב:</w:t>
      </w:r>
      <w:r>
        <w:rPr>
          <w:rFonts w:cs="Arial"/>
          <w:rtl/>
        </w:rPr>
        <w:t xml:space="preserve"> </w:t>
      </w:r>
      <w:r>
        <w:rPr>
          <w:rFonts w:cs="Arial"/>
          <w:u w:val="double"/>
          <w:rtl/>
        </w:rPr>
        <w:t>מתני'</w:t>
      </w:r>
      <w:r>
        <w:rPr>
          <w:rFonts w:cs="Arial"/>
          <w:rtl/>
        </w:rPr>
        <w:t xml:space="preserve">: אף הנשים שאינן נאמנות לומר מת בעלה, נאמנות להביא את גיטה: חמותה, ובת חמותה, וצרתה, ויבמתה, ובת בעלה. מה בין גט למיתה? שהכתב מוכיח. האשה עצמה מביאה את גיטה, ובלבד שהיא צריכה לומר בפני נכתב ובפני נחתם. </w:t>
      </w:r>
      <w:r>
        <w:rPr>
          <w:rtl/>
        </w:rPr>
        <w:t xml:space="preserve">        </w:t>
      </w:r>
      <w:r>
        <w:rPr>
          <w:rFonts w:cs="Arial"/>
          <w:u w:val="double"/>
          <w:rtl/>
        </w:rPr>
        <w:t>גמ'</w:t>
      </w:r>
      <w:r>
        <w:rPr>
          <w:rFonts w:cs="Arial"/>
          <w:rtl/>
        </w:rPr>
        <w:t xml:space="preserve">: והתניא: כשם שאין נאמנות לומר מת בעלה, כך אין נאמנות להביא גיטה! </w:t>
      </w:r>
      <w:r>
        <w:rPr>
          <w:rFonts w:cs="Arial"/>
          <w:u w:val="single"/>
          <w:rtl/>
        </w:rPr>
        <w:t>אמר רב יוסף</w:t>
      </w:r>
      <w:r>
        <w:rPr>
          <w:rFonts w:cs="Arial"/>
          <w:rtl/>
        </w:rPr>
        <w:t xml:space="preserve">: לא קשיא: כאן בארץ, כאן בחו"ל, בארץ דלאו אדיבורה דידה קא סמכינן </w:t>
      </w:r>
      <w:r w:rsidR="00A82951">
        <w:rPr>
          <w:rFonts w:cs="Arial"/>
          <w:rtl/>
        </w:rPr>
        <w:t>-</w:t>
      </w:r>
      <w:r>
        <w:rPr>
          <w:rFonts w:cs="Arial"/>
          <w:rtl/>
        </w:rPr>
        <w:t xml:space="preserve"> מהימנא, בחו"ל דאדיבורה דידה קא סמכינן </w:t>
      </w:r>
      <w:r w:rsidR="00A82951">
        <w:rPr>
          <w:rFonts w:cs="Arial"/>
          <w:rtl/>
        </w:rPr>
        <w:t>-</w:t>
      </w:r>
      <w:r>
        <w:rPr>
          <w:rFonts w:cs="Arial"/>
          <w:rtl/>
        </w:rPr>
        <w:t xml:space="preserve"> לא מהימנא. </w:t>
      </w:r>
      <w:r>
        <w:rPr>
          <w:rFonts w:cs="Arial"/>
          <w:u w:val="single"/>
          <w:rtl/>
        </w:rPr>
        <w:t>א"ל אביי</w:t>
      </w:r>
      <w:r>
        <w:rPr>
          <w:rFonts w:cs="Arial"/>
          <w:rtl/>
        </w:rPr>
        <w:t xml:space="preserve">: אדרבה, איפכא מסתברא! בארץ דאי אתי בעל מערער משגחינן ביה, דאיכא למימר לקלקולא קא מיכוונה </w:t>
      </w:r>
      <w:r w:rsidR="00A82951">
        <w:rPr>
          <w:rFonts w:cs="Arial"/>
          <w:rtl/>
        </w:rPr>
        <w:t>-</w:t>
      </w:r>
      <w:r>
        <w:rPr>
          <w:rFonts w:cs="Arial"/>
          <w:rtl/>
        </w:rPr>
        <w:t xml:space="preserve"> לא מהימנא, בחוצה לארץ דאי אתי בעל מערער לא משגחינן ביה </w:t>
      </w:r>
      <w:r w:rsidR="00A82951">
        <w:rPr>
          <w:rFonts w:cs="Arial"/>
          <w:rtl/>
        </w:rPr>
        <w:t>-</w:t>
      </w:r>
      <w:r>
        <w:rPr>
          <w:rFonts w:cs="Arial"/>
          <w:rtl/>
        </w:rPr>
        <w:t xml:space="preserve"> מהימנא. תניא כוותיה דאביי, </w:t>
      </w:r>
      <w:r>
        <w:rPr>
          <w:rFonts w:cs="Arial"/>
          <w:u w:val="single"/>
          <w:rtl/>
        </w:rPr>
        <w:t>ר"ש בן אלעזר אומר משום ר"ע</w:t>
      </w:r>
      <w:r>
        <w:rPr>
          <w:rFonts w:cs="Arial"/>
          <w:rtl/>
        </w:rPr>
        <w:t xml:space="preserve">: אשה נאמנת להביא גיטה מק"ו, ומה נשים שאמרו חכמים אין נאמנות לומר מת בעלה </w:t>
      </w:r>
      <w:r w:rsidR="00A82951">
        <w:rPr>
          <w:rFonts w:cs="Arial"/>
          <w:rtl/>
        </w:rPr>
        <w:t>-</w:t>
      </w:r>
      <w:r>
        <w:rPr>
          <w:rFonts w:cs="Arial"/>
          <w:rtl/>
        </w:rPr>
        <w:t xml:space="preserve"> נאמנות להביא גיטה, היא שנאמנת לומר מת בעלה </w:t>
      </w:r>
      <w:r w:rsidR="00A82951">
        <w:rPr>
          <w:rFonts w:cs="Arial"/>
          <w:rtl/>
        </w:rPr>
        <w:t>-</w:t>
      </w:r>
      <w:r>
        <w:rPr>
          <w:rFonts w:cs="Arial"/>
          <w:rtl/>
        </w:rPr>
        <w:t xml:space="preserve"> אינו דין שנאמנת להביא גיטה;</w:t>
      </w:r>
      <w:r>
        <w:rPr>
          <w:rtl/>
        </w:rPr>
        <w:t xml:space="preserve"> </w:t>
      </w:r>
      <w:r>
        <w:rPr>
          <w:rFonts w:cs="Arial"/>
          <w:sz w:val="14"/>
          <w:szCs w:val="14"/>
          <w:rtl/>
        </w:rPr>
        <w:t xml:space="preserve">(כד.) </w:t>
      </w:r>
      <w:r>
        <w:rPr>
          <w:rFonts w:cs="Arial"/>
          <w:rtl/>
        </w:rPr>
        <w:t xml:space="preserve">וממקום שבאת, מה להלן צריכות שיאמרו בפנינו נכתב ובפנינו נחתם, אף היא צריכה שתאמר בפני נכתב </w:t>
      </w:r>
      <w:r>
        <w:rPr>
          <w:rFonts w:cs="Arial"/>
          <w:rtl/>
        </w:rPr>
        <w:lastRenderedPageBreak/>
        <w:t xml:space="preserve">ובפני נחתם. </w:t>
      </w:r>
      <w:r>
        <w:rPr>
          <w:rFonts w:cs="Arial"/>
          <w:u w:val="single"/>
          <w:rtl/>
        </w:rPr>
        <w:t>אמר רב אשי</w:t>
      </w:r>
      <w:r>
        <w:rPr>
          <w:rFonts w:cs="Arial"/>
          <w:rtl/>
        </w:rPr>
        <w:t>: מתניתין נמי דיקא, דקתני: האשה עצמה מביאה גיטה, ובלבד שתהא צריכה לומר כו', ש"מ.</w:t>
      </w:r>
      <w:r>
        <w:rPr>
          <w:rFonts w:cs="Arial"/>
          <w:sz w:val="16"/>
          <w:szCs w:val="16"/>
          <w:rtl/>
        </w:rPr>
        <w:t xml:space="preserve"> (ופסקו הרי"ף (יב.) הרמב"ם (פ"ז ה"ב) והרא"ש (סי' כט) כאביי)</w:t>
      </w:r>
    </w:p>
    <w:p w14:paraId="4A25C422" w14:textId="77777777" w:rsidR="00FA2119" w:rsidRDefault="00FA2119" w:rsidP="00FA2119">
      <w:pPr>
        <w:rPr>
          <w:u w:val="single"/>
          <w:rtl/>
        </w:rPr>
      </w:pPr>
      <w:r>
        <w:rPr>
          <w:u w:val="single"/>
          <w:rtl/>
        </w:rPr>
        <w:t>שליחת הגט ע"י נשים שהן בחזקת שונאות את האשה:</w:t>
      </w:r>
    </w:p>
    <w:p w14:paraId="25E22585" w14:textId="0CE600E2" w:rsidR="00FA2119" w:rsidRDefault="00FA2119" w:rsidP="006A458D">
      <w:pPr>
        <w:pStyle w:val="ab"/>
        <w:numPr>
          <w:ilvl w:val="0"/>
          <w:numId w:val="102"/>
        </w:numPr>
        <w:rPr>
          <w:rFonts w:cs="Arial"/>
          <w:rtl/>
        </w:rPr>
      </w:pPr>
      <w:r>
        <w:rPr>
          <w:rFonts w:cs="Arial"/>
          <w:rtl/>
        </w:rPr>
        <w:t xml:space="preserve">רמב"ם </w:t>
      </w:r>
      <w:r>
        <w:rPr>
          <w:rFonts w:cs="Arial"/>
          <w:sz w:val="16"/>
          <w:szCs w:val="16"/>
          <w:rtl/>
        </w:rPr>
        <w:t>(פ"ז ה"ב</w:t>
      </w:r>
      <w:r w:rsidR="00A82951">
        <w:rPr>
          <w:rFonts w:cs="Arial"/>
          <w:sz w:val="16"/>
          <w:szCs w:val="16"/>
          <w:rtl/>
        </w:rPr>
        <w:t>-</w:t>
      </w:r>
      <w:r>
        <w:rPr>
          <w:rFonts w:cs="Arial"/>
          <w:sz w:val="16"/>
          <w:szCs w:val="16"/>
          <w:rtl/>
        </w:rPr>
        <w:t>ג)</w:t>
      </w:r>
      <w:r>
        <w:rPr>
          <w:rFonts w:cs="Arial"/>
          <w:rtl/>
        </w:rPr>
        <w:t xml:space="preserve"> וטור</w:t>
      </w:r>
      <w:r w:rsidR="00A82951">
        <w:rPr>
          <w:rFonts w:cs="Arial"/>
          <w:rtl/>
        </w:rPr>
        <w:t>-</w:t>
      </w:r>
      <w:r>
        <w:rPr>
          <w:rFonts w:cs="Arial"/>
          <w:rtl/>
        </w:rPr>
        <w:t xml:space="preserve"> לפיכך נשים שחזקתן שהן שונאות זו את זו אינן נאמנות להביא גט בארץ ישראל זו לזו</w:t>
      </w:r>
      <w:r w:rsidR="001A71CE">
        <w:rPr>
          <w:rFonts w:cs="Arial" w:hint="cs"/>
          <w:rtl/>
        </w:rPr>
        <w:t>,</w:t>
      </w:r>
      <w:r>
        <w:rPr>
          <w:rFonts w:cs="Arial"/>
          <w:rtl/>
        </w:rPr>
        <w:t xml:space="preserve"> שמא מזוייף הוא ותתכוין לקלקל אותה כדי שתנשא ותאסר על בעלה</w:t>
      </w:r>
      <w:r>
        <w:rPr>
          <w:rStyle w:val="a7"/>
          <w:rFonts w:cs="Arial"/>
          <w:rtl/>
        </w:rPr>
        <w:footnoteReference w:id="2073"/>
      </w:r>
      <w:r>
        <w:rPr>
          <w:rFonts w:cs="Arial"/>
          <w:rtl/>
        </w:rPr>
        <w:t>. ואלו הן הנשים שחזקתן שונאות זו את זו, חמותה, ובת חמותה, וצרתה אפילו היתה הצרה נשואה לאחר</w:t>
      </w:r>
      <w:r>
        <w:rPr>
          <w:rStyle w:val="a7"/>
          <w:rFonts w:cs="Arial"/>
          <w:rtl/>
        </w:rPr>
        <w:footnoteReference w:id="2074"/>
      </w:r>
      <w:r>
        <w:rPr>
          <w:rFonts w:cs="Arial"/>
          <w:rtl/>
        </w:rPr>
        <w:t>, ויבמתה אפילו היתה אחותה</w:t>
      </w:r>
      <w:r>
        <w:rPr>
          <w:rStyle w:val="a7"/>
          <w:rFonts w:cs="Arial"/>
          <w:rtl/>
        </w:rPr>
        <w:footnoteReference w:id="2075"/>
      </w:r>
      <w:r>
        <w:rPr>
          <w:rFonts w:cs="Arial"/>
          <w:rtl/>
        </w:rPr>
        <w:t>, ובת בעלה</w:t>
      </w:r>
      <w:r w:rsidR="001A71CE">
        <w:rPr>
          <w:rFonts w:cs="Arial" w:hint="cs"/>
          <w:rtl/>
        </w:rPr>
        <w:t>.</w:t>
      </w:r>
      <w:r>
        <w:rPr>
          <w:rFonts w:cs="Arial"/>
          <w:rtl/>
        </w:rPr>
        <w:t xml:space="preserve"> אבל שאר כל הנשים כשרות</w:t>
      </w:r>
      <w:r>
        <w:rPr>
          <w:rFonts w:cs="Arial"/>
          <w:sz w:val="16"/>
          <w:szCs w:val="16"/>
          <w:rtl/>
        </w:rPr>
        <w:t xml:space="preserve"> (ל' הרמב"ם)</w:t>
      </w:r>
      <w:r>
        <w:rPr>
          <w:rFonts w:cs="Arial"/>
          <w:rtl/>
        </w:rPr>
        <w:t xml:space="preserve">. </w:t>
      </w:r>
      <w:r>
        <w:rPr>
          <w:color w:val="E36C0A" w:themeColor="accent6" w:themeShade="BF"/>
          <w:rtl/>
        </w:rPr>
        <w:t>(וכ"פ בשו"ע)</w:t>
      </w:r>
    </w:p>
    <w:p w14:paraId="6FC618A2" w14:textId="77777777" w:rsidR="00FA2119" w:rsidRDefault="00FA2119" w:rsidP="00FA2119">
      <w:pPr>
        <w:ind w:left="360"/>
        <w:rPr>
          <w:u w:val="dotted"/>
        </w:rPr>
      </w:pPr>
      <w:r>
        <w:rPr>
          <w:u w:val="dotted"/>
          <w:rtl/>
        </w:rPr>
        <w:t>ומה הדין אומרת בפני נכתב ובפני נחתם:</w:t>
      </w:r>
    </w:p>
    <w:p w14:paraId="1DABFD55" w14:textId="4436FCEF" w:rsidR="00FA2119" w:rsidRDefault="00FA2119" w:rsidP="006A458D">
      <w:pPr>
        <w:pStyle w:val="ab"/>
        <w:numPr>
          <w:ilvl w:val="0"/>
          <w:numId w:val="102"/>
        </w:numPr>
      </w:pPr>
      <w:r>
        <w:rPr>
          <w:rFonts w:cs="Arial"/>
          <w:rtl/>
        </w:rPr>
        <w:t>רמ"ה</w:t>
      </w:r>
      <w:r>
        <w:rPr>
          <w:rFonts w:cs="Arial"/>
          <w:sz w:val="16"/>
          <w:szCs w:val="16"/>
          <w:rtl/>
        </w:rPr>
        <w:t xml:space="preserve"> (כ"כ הטור בשמו)</w:t>
      </w:r>
      <w:r>
        <w:rPr>
          <w:rFonts w:cs="Arial"/>
          <w:rtl/>
        </w:rPr>
        <w:t xml:space="preserve"> ורמב"ן </w:t>
      </w:r>
      <w:r>
        <w:rPr>
          <w:rFonts w:cs="Arial"/>
          <w:sz w:val="16"/>
          <w:szCs w:val="16"/>
          <w:rtl/>
        </w:rPr>
        <w:t>(כג: ד"ה בארץ, הביאוהו הה"מ [פ"ז ה"ב] והר"ן [יב. ד"ה גמ'])</w:t>
      </w:r>
      <w:r w:rsidR="00A82951">
        <w:rPr>
          <w:rFonts w:cs="Arial"/>
          <w:rtl/>
        </w:rPr>
        <w:t>-</w:t>
      </w:r>
      <w:r>
        <w:rPr>
          <w:rFonts w:cs="Arial"/>
          <w:rtl/>
        </w:rPr>
        <w:t xml:space="preserve"> ואם אומרת בפני נכתב ובפני נחתם אפי' בא"י כשרות להביאו, שאז אין הבעל יכול לערער, ונמצא שאין יכולה לקלקלה </w:t>
      </w:r>
      <w:r>
        <w:rPr>
          <w:rFonts w:cs="Arial"/>
          <w:sz w:val="16"/>
          <w:szCs w:val="16"/>
          <w:rtl/>
        </w:rPr>
        <w:t>(ל' הטור בשם הרמ"ה)</w:t>
      </w:r>
      <w:r>
        <w:rPr>
          <w:rFonts w:cs="Arial"/>
          <w:rtl/>
        </w:rPr>
        <w:t xml:space="preserve">. </w:t>
      </w:r>
    </w:p>
    <w:p w14:paraId="6A2270BB" w14:textId="4326FFBF" w:rsidR="00FA2119" w:rsidRDefault="00FA2119" w:rsidP="006A458D">
      <w:pPr>
        <w:pStyle w:val="ab"/>
        <w:numPr>
          <w:ilvl w:val="0"/>
          <w:numId w:val="102"/>
        </w:numPr>
      </w:pPr>
      <w:r>
        <w:rPr>
          <w:rFonts w:cs="Arial"/>
          <w:rtl/>
        </w:rPr>
        <w:t>רשב"א</w:t>
      </w:r>
      <w:r>
        <w:rPr>
          <w:rFonts w:cs="Arial"/>
          <w:sz w:val="16"/>
          <w:szCs w:val="16"/>
          <w:rtl/>
        </w:rPr>
        <w:t xml:space="preserve"> (כג: ד"ה אמר ליה, הביאוהו הה"מ [שם] והר"ן [שם])</w:t>
      </w:r>
      <w:r w:rsidR="00A82951">
        <w:rPr>
          <w:rFonts w:cs="Arial"/>
          <w:rtl/>
        </w:rPr>
        <w:t>-</w:t>
      </w:r>
      <w:r>
        <w:rPr>
          <w:rFonts w:cs="Arial"/>
          <w:rtl/>
        </w:rPr>
        <w:t xml:space="preserve"> אפילו אמרה</w:t>
      </w:r>
      <w:r w:rsidR="001A71CE">
        <w:rPr>
          <w:rFonts w:cs="Arial" w:hint="cs"/>
          <w:rtl/>
        </w:rPr>
        <w:t>,</w:t>
      </w:r>
      <w:r>
        <w:rPr>
          <w:rFonts w:cs="Arial"/>
          <w:rtl/>
        </w:rPr>
        <w:t xml:space="preserve"> לא מהימנא, דאיהי לאו דינא גמרה דכיון דכולהו כי מייתו בארץ לא קפדינן בין אמר בין לא אמר וכי אתי בעל משגחינן ביה, אף זו סבורה דאע"פ שאמרה בפ"נ ובפ"נ אין בכך כלום, ואי אתי בעל אכתי משגחינן ביה וסבורה לקלקל והילכך בין כך ובין כך לא מהימנא. </w:t>
      </w:r>
      <w:r>
        <w:rPr>
          <w:color w:val="E36C0A" w:themeColor="accent6" w:themeShade="BF"/>
          <w:rtl/>
        </w:rPr>
        <w:t>(וכ"פ בשו"ע)</w:t>
      </w:r>
    </w:p>
    <w:p w14:paraId="464BA161"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E7AF235" w14:textId="77777777" w:rsidR="00FA2119" w:rsidRDefault="00FA2119" w:rsidP="00FA2119">
      <w:pPr>
        <w:rPr>
          <w:rtl/>
        </w:rPr>
      </w:pPr>
      <w:r>
        <w:rPr>
          <w:rFonts w:cs="Arial"/>
          <w:rtl/>
        </w:rPr>
        <w:t xml:space="preserve">חמותה, ובת חמותה, וצרתה אפילו היתה נשואה לאחר, ויבמתה אפילו היא אחותה, ובת בעלה, אינן נאמנות להביא את גיטה במקום שאין צריך לומר: בפני נכתב ובפני נחתם, ושמא מזויף הוא והם מכוונות לקלקלה. ואם הוא במקום שצריך לומר: בפני נכתב ובפני נחתם, ואמרוהו, נאמנות. ואם הוא במקום שאין צריך לומר, ואמרוהו, יש אומרים שנאמנות, ויש אומרים שאינן נאמנות. </w:t>
      </w:r>
    </w:p>
    <w:p w14:paraId="2DAAD1A4" w14:textId="77777777" w:rsidR="00FA2119" w:rsidRDefault="00FA2119" w:rsidP="00FA2119">
      <w:pPr>
        <w:rPr>
          <w:rtl/>
        </w:rPr>
      </w:pPr>
    </w:p>
    <w:p w14:paraId="0D395A1F" w14:textId="27FCA6AF" w:rsidR="00FA2119" w:rsidRDefault="00FA2119" w:rsidP="00FA2119">
      <w:pPr>
        <w:pStyle w:val="2"/>
        <w:rPr>
          <w:rtl/>
        </w:rPr>
      </w:pPr>
      <w:r>
        <w:rPr>
          <w:rtl/>
        </w:rPr>
        <w:t xml:space="preserve">סעיף נה: בעל אומר לפקדון ושליש אומר לגירושין </w:t>
      </w:r>
      <w:r w:rsidR="00A82951">
        <w:rPr>
          <w:rtl/>
        </w:rPr>
        <w:t>-</w:t>
      </w:r>
      <w:r>
        <w:rPr>
          <w:rtl/>
        </w:rPr>
        <w:t xml:space="preserve"> והגט ביד השליח.</w:t>
      </w:r>
    </w:p>
    <w:p w14:paraId="6C430D0F" w14:textId="4A7EAF7C" w:rsidR="00FA2119" w:rsidRDefault="00FA2119" w:rsidP="00FA2119">
      <w:pPr>
        <w:rPr>
          <w:rFonts w:cs="Arial"/>
          <w:rtl/>
        </w:rPr>
      </w:pPr>
      <w:r>
        <w:rPr>
          <w:rFonts w:cs="Arial"/>
          <w:b/>
          <w:bCs/>
          <w:rtl/>
        </w:rPr>
        <w:t xml:space="preserve">גיטין </w:t>
      </w:r>
      <w:r>
        <w:rPr>
          <w:rFonts w:cs="Arial"/>
          <w:b/>
          <w:bCs/>
          <w:sz w:val="16"/>
          <w:szCs w:val="16"/>
          <w:rtl/>
        </w:rPr>
        <w:t xml:space="preserve">(פ' התקבל) </w:t>
      </w:r>
      <w:r>
        <w:rPr>
          <w:rFonts w:cs="Arial"/>
          <w:b/>
          <w:bCs/>
          <w:rtl/>
        </w:rPr>
        <w:t>סד ע"א:</w:t>
      </w:r>
      <w:r>
        <w:rPr>
          <w:rFonts w:cs="Arial"/>
          <w:rtl/>
        </w:rPr>
        <w:t xml:space="preserve"> איתמר: בעל אומר לפקדון</w:t>
      </w:r>
      <w:r>
        <w:rPr>
          <w:rStyle w:val="a7"/>
          <w:rFonts w:cs="Arial"/>
          <w:rtl/>
        </w:rPr>
        <w:footnoteReference w:id="2076"/>
      </w:r>
      <w:r>
        <w:rPr>
          <w:rFonts w:cs="Arial"/>
          <w:rtl/>
        </w:rPr>
        <w:t xml:space="preserve"> ושליש אומר לגירושין</w:t>
      </w:r>
      <w:r>
        <w:rPr>
          <w:rStyle w:val="a7"/>
          <w:rFonts w:cs="Arial"/>
          <w:rtl/>
        </w:rPr>
        <w:footnoteReference w:id="2077"/>
      </w:r>
      <w:r>
        <w:rPr>
          <w:rFonts w:cs="Arial"/>
          <w:rtl/>
        </w:rPr>
        <w:t xml:space="preserve">, מי נאמן? </w:t>
      </w:r>
      <w:r>
        <w:rPr>
          <w:rFonts w:cs="Arial"/>
          <w:u w:val="single"/>
          <w:rtl/>
        </w:rPr>
        <w:t>רב הונא אמר</w:t>
      </w:r>
      <w:r>
        <w:rPr>
          <w:rFonts w:cs="Arial"/>
          <w:rtl/>
        </w:rPr>
        <w:t xml:space="preserve">: בעל נאמן, </w:t>
      </w:r>
      <w:r>
        <w:rPr>
          <w:rFonts w:cs="Arial"/>
          <w:u w:val="single"/>
          <w:rtl/>
        </w:rPr>
        <w:t>ורב חסדא אמר</w:t>
      </w:r>
      <w:r>
        <w:rPr>
          <w:rFonts w:cs="Arial"/>
          <w:rtl/>
        </w:rPr>
        <w:t>: שליש נאמן. רב הונא אמר בעל נאמן, דאם איתא דלגירושין יהביה ניהליה, לדידה הוה יהיב לה ניהלה. ורב חסדא אמר שליש נאמן, דהא הימניה</w:t>
      </w:r>
      <w:r>
        <w:rPr>
          <w:rStyle w:val="a7"/>
          <w:rFonts w:cs="Arial"/>
          <w:rtl/>
        </w:rPr>
        <w:footnoteReference w:id="2078"/>
      </w:r>
      <w:r>
        <w:rPr>
          <w:rFonts w:cs="Arial"/>
          <w:rtl/>
        </w:rPr>
        <w:t>...</w:t>
      </w:r>
      <w:r>
        <w:rPr>
          <w:rtl/>
        </w:rPr>
        <w:t xml:space="preserve"> </w:t>
      </w:r>
      <w:r>
        <w:rPr>
          <w:rFonts w:cs="Arial"/>
          <w:rtl/>
        </w:rPr>
        <w:t xml:space="preserve">תנן: האשה שאמרה התקבל לי גיטי </w:t>
      </w:r>
      <w:r w:rsidR="00A82951">
        <w:rPr>
          <w:rFonts w:cs="Arial"/>
          <w:rtl/>
        </w:rPr>
        <w:t>-</w:t>
      </w:r>
      <w:r>
        <w:rPr>
          <w:rFonts w:cs="Arial"/>
          <w:rtl/>
        </w:rPr>
        <w:t xml:space="preserve"> צריכה שתי כיתי עדים, שנים שיאמרו בפנינו אמרה, ושנים שיאמרו בפנינו קבל וקרע; ואמאי</w:t>
      </w:r>
      <w:r>
        <w:rPr>
          <w:rStyle w:val="a7"/>
          <w:rFonts w:cs="Arial"/>
          <w:rtl/>
        </w:rPr>
        <w:footnoteReference w:id="2079"/>
      </w:r>
      <w:r>
        <w:rPr>
          <w:rFonts w:cs="Arial"/>
          <w:rtl/>
        </w:rPr>
        <w:t xml:space="preserve">? ליהמניה לשליש! מי קא נפיק גיטא מתותי </w:t>
      </w:r>
      <w:r>
        <w:rPr>
          <w:rFonts w:cs="Arial"/>
          <w:rtl/>
        </w:rPr>
        <w:lastRenderedPageBreak/>
        <w:t>ידיה</w:t>
      </w:r>
      <w:r>
        <w:rPr>
          <w:rStyle w:val="a7"/>
          <w:rFonts w:cs="Arial"/>
          <w:rtl/>
        </w:rPr>
        <w:footnoteReference w:id="2080"/>
      </w:r>
      <w:r>
        <w:rPr>
          <w:rFonts w:cs="Arial"/>
          <w:rtl/>
        </w:rPr>
        <w:t xml:space="preserve"> דליהמניה? תינח אמרה, קיבל למה לי</w:t>
      </w:r>
      <w:r>
        <w:rPr>
          <w:rStyle w:val="a7"/>
          <w:rFonts w:cs="Arial"/>
          <w:rtl/>
        </w:rPr>
        <w:footnoteReference w:id="2081"/>
      </w:r>
      <w:r>
        <w:rPr>
          <w:rFonts w:cs="Arial"/>
          <w:rtl/>
        </w:rPr>
        <w:t xml:space="preserve">? </w:t>
      </w:r>
      <w:r w:rsidRPr="00616932">
        <w:rPr>
          <w:rFonts w:cs="Arial"/>
          <w:u w:val="single"/>
          <w:rtl/>
        </w:rPr>
        <w:t>אמר רב</w:t>
      </w:r>
      <w:r w:rsidR="00616932" w:rsidRPr="00616932">
        <w:rPr>
          <w:rFonts w:cs="Arial" w:hint="cs"/>
          <w:u w:val="single"/>
          <w:rtl/>
        </w:rPr>
        <w:t>'</w:t>
      </w:r>
      <w:r>
        <w:rPr>
          <w:rFonts w:cs="Arial"/>
          <w:rtl/>
        </w:rPr>
        <w:t>: הא מני? ר"א היא</w:t>
      </w:r>
      <w:r>
        <w:rPr>
          <w:rStyle w:val="a7"/>
          <w:rFonts w:cs="Arial"/>
          <w:rtl/>
        </w:rPr>
        <w:footnoteReference w:id="2082"/>
      </w:r>
      <w:r>
        <w:rPr>
          <w:rFonts w:cs="Arial"/>
          <w:rtl/>
        </w:rPr>
        <w:t xml:space="preserve">, דאמר: עדי מסירה כרתי. קרע למה לי? </w:t>
      </w:r>
      <w:r w:rsidRPr="00FF04A8">
        <w:rPr>
          <w:rFonts w:cs="Arial"/>
          <w:u w:val="single"/>
          <w:rtl/>
        </w:rPr>
        <w:t>אמר רב יהודה א"ר</w:t>
      </w:r>
      <w:r>
        <w:rPr>
          <w:rFonts w:cs="Arial"/>
          <w:rtl/>
        </w:rPr>
        <w:t>: בשעת הגזירה שנו</w:t>
      </w:r>
      <w:r>
        <w:rPr>
          <w:rStyle w:val="a7"/>
          <w:rFonts w:cs="Arial"/>
          <w:rtl/>
        </w:rPr>
        <w:footnoteReference w:id="2083"/>
      </w:r>
      <w:r>
        <w:rPr>
          <w:rFonts w:cs="Arial"/>
          <w:rtl/>
        </w:rPr>
        <w:t xml:space="preserve">. </w:t>
      </w:r>
      <w:r>
        <w:rPr>
          <w:rFonts w:cs="Arial"/>
          <w:u w:val="single"/>
          <w:rtl/>
        </w:rPr>
        <w:t>אמר רבה</w:t>
      </w:r>
      <w:r>
        <w:rPr>
          <w:rFonts w:cs="Arial"/>
          <w:rtl/>
        </w:rPr>
        <w:t>: ומודה רב הונא, דאי אמרה איהי</w:t>
      </w:r>
      <w:r w:rsidR="00FF04A8">
        <w:rPr>
          <w:rFonts w:cs="Arial" w:hint="cs"/>
          <w:rtl/>
        </w:rPr>
        <w:t>:</w:t>
      </w:r>
      <w:r>
        <w:rPr>
          <w:rFonts w:cs="Arial"/>
          <w:rtl/>
        </w:rPr>
        <w:t xml:space="preserve"> לדידי אמר לי שליש דלגירושין יהביה ניהליה </w:t>
      </w:r>
      <w:r w:rsidR="00A82951">
        <w:rPr>
          <w:rFonts w:cs="Arial"/>
          <w:rtl/>
        </w:rPr>
        <w:t>-</w:t>
      </w:r>
      <w:r>
        <w:rPr>
          <w:rFonts w:cs="Arial"/>
          <w:rtl/>
        </w:rPr>
        <w:t xml:space="preserve"> מהימנא. מי איכא מידי, דשליש גופיה לא מהימן</w:t>
      </w:r>
      <w:r>
        <w:rPr>
          <w:rStyle w:val="a7"/>
          <w:rFonts w:cs="Arial"/>
          <w:rtl/>
        </w:rPr>
        <w:footnoteReference w:id="2084"/>
      </w:r>
      <w:r>
        <w:rPr>
          <w:rFonts w:cs="Arial"/>
          <w:rtl/>
        </w:rPr>
        <w:t xml:space="preserve"> ואיהי מהימנא? אלא, אי אמרה קמאי דידי לגרושין יהביה ניהליה </w:t>
      </w:r>
      <w:r w:rsidR="00A82951">
        <w:rPr>
          <w:rFonts w:cs="Arial"/>
          <w:rtl/>
        </w:rPr>
        <w:t>-</w:t>
      </w:r>
      <w:r>
        <w:rPr>
          <w:rFonts w:cs="Arial"/>
          <w:rtl/>
        </w:rPr>
        <w:t xml:space="preserve"> מהימנא, מיגו דאי בעיא אמרה לדידה יהביה ניהליה בעל. </w:t>
      </w:r>
    </w:p>
    <w:p w14:paraId="6358E252" w14:textId="77777777" w:rsidR="00FA2119" w:rsidRDefault="00FA2119" w:rsidP="00FA2119">
      <w:pPr>
        <w:rPr>
          <w:rFonts w:cs="Arial"/>
          <w:rtl/>
        </w:rPr>
      </w:pPr>
      <w:r>
        <w:rPr>
          <w:rFonts w:cs="Arial"/>
          <w:u w:val="single"/>
          <w:rtl/>
        </w:rPr>
        <w:t>האם השליש שדיברה בו הגמרא הוא שליח קבלה או הולכה, או שהדין כן בשניהם</w:t>
      </w:r>
      <w:r>
        <w:rPr>
          <w:rFonts w:cs="Arial"/>
          <w:sz w:val="16"/>
          <w:szCs w:val="16"/>
          <w:u w:val="single"/>
          <w:rtl/>
        </w:rPr>
        <w:t xml:space="preserve"> (ונפ"מ במה נחלקו רב הונא ורב חסדא)</w:t>
      </w:r>
      <w:r>
        <w:rPr>
          <w:rFonts w:cs="Arial"/>
          <w:u w:val="single"/>
          <w:rtl/>
        </w:rPr>
        <w:t>:</w:t>
      </w:r>
    </w:p>
    <w:p w14:paraId="63EF56F4" w14:textId="61E0F0EA" w:rsidR="00FA2119" w:rsidRDefault="00FA2119" w:rsidP="006A458D">
      <w:pPr>
        <w:pStyle w:val="ab"/>
        <w:numPr>
          <w:ilvl w:val="0"/>
          <w:numId w:val="107"/>
        </w:numPr>
        <w:rPr>
          <w:rFonts w:cs="Arial"/>
          <w:rtl/>
        </w:rPr>
      </w:pPr>
      <w:r>
        <w:rPr>
          <w:rFonts w:cs="Arial"/>
          <w:rtl/>
        </w:rPr>
        <w:t xml:space="preserve">רשב"א </w:t>
      </w:r>
      <w:r>
        <w:rPr>
          <w:rFonts w:cs="Arial"/>
          <w:sz w:val="16"/>
          <w:szCs w:val="16"/>
          <w:rtl/>
        </w:rPr>
        <w:t>(שם, כ"כ הב"י בשמו)</w:t>
      </w:r>
      <w:r w:rsidR="00A82951">
        <w:rPr>
          <w:rFonts w:cs="Arial"/>
          <w:rtl/>
        </w:rPr>
        <w:t>-</w:t>
      </w:r>
      <w:r>
        <w:rPr>
          <w:rFonts w:cs="Arial"/>
          <w:rtl/>
        </w:rPr>
        <w:t xml:space="preserve"> פלוגתא דרב הונא ורב חסדא בין בטוען שליש שהוא שליח קבלה בין בטוען שהוא שליח הולכה היא.</w:t>
      </w:r>
    </w:p>
    <w:p w14:paraId="26429C54" w14:textId="2C20D761" w:rsidR="00FA2119" w:rsidRPr="00FF04A8" w:rsidRDefault="00FA2119" w:rsidP="00FF04A8">
      <w:pPr>
        <w:pStyle w:val="ab"/>
        <w:numPr>
          <w:ilvl w:val="0"/>
          <w:numId w:val="107"/>
        </w:numPr>
        <w:rPr>
          <w:rFonts w:cs="Arial"/>
        </w:rPr>
      </w:pPr>
      <w:r>
        <w:rPr>
          <w:rFonts w:cs="Arial"/>
          <w:rtl/>
        </w:rPr>
        <w:t xml:space="preserve">רש"י </w:t>
      </w:r>
      <w:r>
        <w:rPr>
          <w:rFonts w:cs="Arial"/>
          <w:sz w:val="16"/>
          <w:szCs w:val="16"/>
          <w:rtl/>
        </w:rPr>
        <w:t>(סד. ד"</w:t>
      </w:r>
      <w:r w:rsidR="00532C6E">
        <w:rPr>
          <w:rFonts w:cs="Arial" w:hint="cs"/>
          <w:sz w:val="16"/>
          <w:szCs w:val="16"/>
          <w:rtl/>
        </w:rPr>
        <w:t>ה</w:t>
      </w:r>
      <w:r>
        <w:rPr>
          <w:rFonts w:cs="Arial"/>
          <w:sz w:val="16"/>
          <w:szCs w:val="16"/>
          <w:rtl/>
        </w:rPr>
        <w:t xml:space="preserve"> בעל אומר) </w:t>
      </w:r>
      <w:r>
        <w:rPr>
          <w:rFonts w:cs="Arial"/>
          <w:rtl/>
        </w:rPr>
        <w:t xml:space="preserve">תוס' </w:t>
      </w:r>
      <w:r>
        <w:rPr>
          <w:rFonts w:cs="Arial"/>
          <w:sz w:val="16"/>
          <w:szCs w:val="16"/>
          <w:rtl/>
        </w:rPr>
        <w:t xml:space="preserve">(סג: ד"ה ושליש) </w:t>
      </w:r>
      <w:r>
        <w:rPr>
          <w:rFonts w:cs="Arial"/>
          <w:rtl/>
        </w:rPr>
        <w:t>רא"ש</w:t>
      </w:r>
      <w:r>
        <w:rPr>
          <w:rFonts w:cs="Arial"/>
          <w:sz w:val="16"/>
          <w:szCs w:val="16"/>
          <w:rtl/>
        </w:rPr>
        <w:t xml:space="preserve"> (סי' ח) </w:t>
      </w:r>
      <w:r>
        <w:rPr>
          <w:rFonts w:cs="Arial"/>
          <w:rtl/>
        </w:rPr>
        <w:t xml:space="preserve">רי"ו </w:t>
      </w:r>
      <w:r>
        <w:rPr>
          <w:rFonts w:cs="Arial"/>
          <w:sz w:val="16"/>
          <w:szCs w:val="16"/>
          <w:rtl/>
        </w:rPr>
        <w:t>(ח"ג דנכ"ד רט ע"ג)</w:t>
      </w:r>
      <w:r w:rsidR="00532C6E" w:rsidRPr="00532C6E">
        <w:rPr>
          <w:rFonts w:cs="Arial"/>
          <w:rtl/>
        </w:rPr>
        <w:t xml:space="preserve"> </w:t>
      </w:r>
      <w:r w:rsidR="00532C6E">
        <w:rPr>
          <w:rFonts w:cs="Arial" w:hint="cs"/>
          <w:rtl/>
        </w:rPr>
        <w:t>ו</w:t>
      </w:r>
      <w:r w:rsidR="00532C6E">
        <w:rPr>
          <w:rFonts w:cs="Arial"/>
          <w:rtl/>
        </w:rPr>
        <w:t>ר"ן</w:t>
      </w:r>
      <w:r w:rsidR="00532C6E">
        <w:rPr>
          <w:rStyle w:val="a7"/>
          <w:rFonts w:cs="Arial"/>
          <w:rtl/>
        </w:rPr>
        <w:footnoteReference w:id="2085"/>
      </w:r>
      <w:r w:rsidR="00532C6E">
        <w:rPr>
          <w:rFonts w:cs="Arial"/>
          <w:rtl/>
        </w:rPr>
        <w:t xml:space="preserve"> </w:t>
      </w:r>
      <w:r w:rsidR="00532C6E">
        <w:rPr>
          <w:rFonts w:cs="Arial"/>
          <w:sz w:val="16"/>
          <w:szCs w:val="16"/>
          <w:rtl/>
        </w:rPr>
        <w:t>(כט: ד"ה רב הונא)</w:t>
      </w:r>
      <w:r w:rsidR="00A82951">
        <w:rPr>
          <w:rFonts w:cs="Arial"/>
          <w:rtl/>
        </w:rPr>
        <w:t>-</w:t>
      </w:r>
      <w:r>
        <w:rPr>
          <w:rFonts w:cs="Arial"/>
          <w:rtl/>
        </w:rPr>
        <w:t xml:space="preserve"> מיירי שהשליש טוען שהוא שליח קבלה</w:t>
      </w:r>
      <w:r w:rsidRPr="00FF04A8">
        <w:rPr>
          <w:rFonts w:cs="Arial"/>
          <w:rtl/>
        </w:rPr>
        <w:t xml:space="preserve">. </w:t>
      </w:r>
    </w:p>
    <w:p w14:paraId="64741C5A" w14:textId="19E19452" w:rsidR="00FA2119" w:rsidRDefault="00FA2119" w:rsidP="006A458D">
      <w:pPr>
        <w:pStyle w:val="ab"/>
        <w:numPr>
          <w:ilvl w:val="0"/>
          <w:numId w:val="107"/>
        </w:numPr>
        <w:rPr>
          <w:rFonts w:cs="Arial"/>
        </w:rPr>
      </w:pPr>
      <w:r>
        <w:rPr>
          <w:rFonts w:cs="Arial"/>
          <w:rtl/>
        </w:rPr>
        <w:t xml:space="preserve">רי"ף </w:t>
      </w:r>
      <w:r>
        <w:rPr>
          <w:rFonts w:cs="Arial"/>
          <w:sz w:val="16"/>
          <w:szCs w:val="16"/>
          <w:rtl/>
        </w:rPr>
        <w:t>(בתשו' סי' כח)</w:t>
      </w:r>
      <w:r w:rsidR="00A82951">
        <w:rPr>
          <w:rFonts w:cs="Arial"/>
          <w:rtl/>
        </w:rPr>
        <w:t>-</w:t>
      </w:r>
      <w:r>
        <w:rPr>
          <w:rFonts w:cs="Arial"/>
          <w:rtl/>
        </w:rPr>
        <w:t xml:space="preserve"> שמועתינו בשליח הולכה</w:t>
      </w:r>
      <w:r w:rsidR="00FF04A8">
        <w:rPr>
          <w:rFonts w:cs="Arial" w:hint="cs"/>
          <w:rtl/>
        </w:rPr>
        <w:t>,</w:t>
      </w:r>
      <w:r>
        <w:rPr>
          <w:rFonts w:cs="Arial"/>
          <w:rtl/>
        </w:rPr>
        <w:t xml:space="preserve"> ובשהגט יוצא מתחת יד האשה</w:t>
      </w:r>
      <w:r w:rsidR="00FF04A8">
        <w:rPr>
          <w:rFonts w:cs="Arial" w:hint="cs"/>
          <w:rtl/>
        </w:rPr>
        <w:t>,</w:t>
      </w:r>
      <w:r>
        <w:rPr>
          <w:rFonts w:cs="Arial"/>
          <w:rtl/>
        </w:rPr>
        <w:t xml:space="preserve"> ואפילו הכי לרב הונא בעל נאמן</w:t>
      </w:r>
      <w:r>
        <w:rPr>
          <w:rStyle w:val="a7"/>
          <w:rFonts w:cs="Arial"/>
          <w:rtl/>
        </w:rPr>
        <w:footnoteReference w:id="2086"/>
      </w:r>
      <w:r>
        <w:rPr>
          <w:rFonts w:cs="Arial"/>
          <w:rtl/>
        </w:rPr>
        <w:t xml:space="preserve">.  </w:t>
      </w:r>
    </w:p>
    <w:p w14:paraId="5570A0BB" w14:textId="08BFABB2" w:rsidR="00FA2119" w:rsidRDefault="00FA2119" w:rsidP="00FA2119">
      <w:pPr>
        <w:ind w:left="360"/>
        <w:rPr>
          <w:u w:val="dotted"/>
          <w:rtl/>
        </w:rPr>
      </w:pPr>
      <w:r>
        <w:rPr>
          <w:rFonts w:cs="Arial"/>
          <w:u w:val="dotted"/>
          <w:rtl/>
        </w:rPr>
        <w:t xml:space="preserve">לרב חסדא </w:t>
      </w:r>
      <w:r w:rsidR="00A82951">
        <w:rPr>
          <w:rFonts w:cs="Arial"/>
          <w:u w:val="dotted"/>
          <w:rtl/>
        </w:rPr>
        <w:t>-</w:t>
      </w:r>
      <w:r>
        <w:rPr>
          <w:rFonts w:cs="Arial"/>
          <w:u w:val="dotted"/>
          <w:rtl/>
        </w:rPr>
        <w:t xml:space="preserve"> מה הדין אם הבעל מביא עדים דלפיקדון יהביה ניהליה </w:t>
      </w:r>
      <w:r>
        <w:rPr>
          <w:rFonts w:cs="Arial"/>
          <w:sz w:val="16"/>
          <w:szCs w:val="16"/>
          <w:u w:val="dotted"/>
          <w:rtl/>
        </w:rPr>
        <w:t>(</w:t>
      </w:r>
      <w:r>
        <w:rPr>
          <w:rFonts w:cs="Arial"/>
          <w:b/>
          <w:bCs/>
          <w:sz w:val="16"/>
          <w:szCs w:val="16"/>
          <w:u w:val="dotted"/>
          <w:rtl/>
        </w:rPr>
        <w:t>לאחר</w:t>
      </w:r>
      <w:r>
        <w:rPr>
          <w:rFonts w:cs="Arial"/>
          <w:sz w:val="16"/>
          <w:szCs w:val="16"/>
          <w:u w:val="dotted"/>
          <w:rtl/>
        </w:rPr>
        <w:t xml:space="preserve"> שהשליש אומר לגירושין נתנו לי)</w:t>
      </w:r>
      <w:r>
        <w:rPr>
          <w:rFonts w:cs="Arial"/>
          <w:u w:val="dotted"/>
          <w:rtl/>
        </w:rPr>
        <w:t>:</w:t>
      </w:r>
    </w:p>
    <w:p w14:paraId="5CD2FF52" w14:textId="43FB7514" w:rsidR="00FA2119" w:rsidRDefault="00FA2119" w:rsidP="006A458D">
      <w:pPr>
        <w:pStyle w:val="ab"/>
        <w:numPr>
          <w:ilvl w:val="0"/>
          <w:numId w:val="102"/>
        </w:numPr>
      </w:pPr>
      <w:r>
        <w:rPr>
          <w:rFonts w:cs="Arial"/>
          <w:rtl/>
        </w:rPr>
        <w:t xml:space="preserve">תוס' </w:t>
      </w:r>
      <w:r>
        <w:rPr>
          <w:rFonts w:cs="Arial"/>
          <w:sz w:val="16"/>
          <w:szCs w:val="16"/>
          <w:rtl/>
        </w:rPr>
        <w:t>(כ"כ בשמם רי"ו [ח"ג שם], וכן משמע מדברי הרשב"א [שם ד"ה ורב חסדא])</w:t>
      </w:r>
      <w:r>
        <w:rPr>
          <w:rFonts w:cs="Arial"/>
          <w:rtl/>
        </w:rPr>
        <w:t xml:space="preserve"> ורשב"א </w:t>
      </w:r>
      <w:r>
        <w:rPr>
          <w:rFonts w:cs="Arial"/>
          <w:sz w:val="16"/>
          <w:szCs w:val="16"/>
          <w:rtl/>
        </w:rPr>
        <w:t>(ח"ב סי' שיז וח"ג סי' יב וסי' קצט)</w:t>
      </w:r>
      <w:r w:rsidR="00A82951">
        <w:rPr>
          <w:rFonts w:cs="Arial"/>
          <w:rtl/>
        </w:rPr>
        <w:t>-</w:t>
      </w:r>
      <w:r>
        <w:rPr>
          <w:rFonts w:cs="Arial"/>
          <w:rtl/>
        </w:rPr>
        <w:t xml:space="preserve"> אפילו עדים מעידים דלפקדון יהביה ניהליה </w:t>
      </w:r>
      <w:r w:rsidR="00A82951">
        <w:rPr>
          <w:rFonts w:cs="Arial"/>
          <w:rtl/>
        </w:rPr>
        <w:t>-</w:t>
      </w:r>
      <w:r>
        <w:rPr>
          <w:rFonts w:cs="Arial"/>
          <w:rtl/>
        </w:rPr>
        <w:t xml:space="preserve"> שליש נאמן, דכיון שהיה יכול שליש למסרו לה ותלך ותנשא בו </w:t>
      </w:r>
      <w:r w:rsidR="00A82951">
        <w:rPr>
          <w:rFonts w:cs="Arial"/>
          <w:rtl/>
        </w:rPr>
        <w:t>-</w:t>
      </w:r>
      <w:r>
        <w:rPr>
          <w:rFonts w:cs="Arial"/>
          <w:rtl/>
        </w:rPr>
        <w:t xml:space="preserve"> הוא מאמינו אפילו במקום עדים, וכאילו אמר נאמן עלי באומר לגירושין מסרתיו יותר ממאה עדים ופסל כל העדים לגבי דידיה כל זמן שאמר הוא לגירושין קודם שבאו העדים</w:t>
      </w:r>
      <w:r>
        <w:rPr>
          <w:rStyle w:val="a7"/>
          <w:rFonts w:cs="Arial"/>
          <w:rtl/>
        </w:rPr>
        <w:footnoteReference w:id="2087"/>
      </w:r>
      <w:r>
        <w:rPr>
          <w:rFonts w:cs="Arial"/>
          <w:rtl/>
        </w:rPr>
        <w:t xml:space="preserve"> </w:t>
      </w:r>
      <w:r>
        <w:rPr>
          <w:rFonts w:cs="Arial"/>
          <w:sz w:val="16"/>
          <w:szCs w:val="16"/>
          <w:rtl/>
        </w:rPr>
        <w:t>(ל' הב"י)</w:t>
      </w:r>
      <w:r>
        <w:rPr>
          <w:rFonts w:cs="Arial"/>
          <w:rtl/>
        </w:rPr>
        <w:t xml:space="preserve">. </w:t>
      </w:r>
    </w:p>
    <w:p w14:paraId="2599E161" w14:textId="1C7F1C79" w:rsidR="00FA2119" w:rsidRDefault="00FA2119" w:rsidP="006A458D">
      <w:pPr>
        <w:pStyle w:val="ab"/>
        <w:numPr>
          <w:ilvl w:val="0"/>
          <w:numId w:val="102"/>
        </w:numPr>
      </w:pPr>
      <w:r>
        <w:rPr>
          <w:rFonts w:cs="Arial"/>
          <w:rtl/>
        </w:rPr>
        <w:t>ר"ן</w:t>
      </w:r>
      <w:r>
        <w:rPr>
          <w:rFonts w:cs="Arial"/>
          <w:sz w:val="16"/>
          <w:szCs w:val="16"/>
          <w:rtl/>
        </w:rPr>
        <w:t xml:space="preserve"> (תקפג:, כ"כ בשמו הדרכ"מ [אות לז*])</w:t>
      </w:r>
      <w:r w:rsidR="00A82951">
        <w:rPr>
          <w:rFonts w:cs="Arial"/>
          <w:rtl/>
        </w:rPr>
        <w:t>-</w:t>
      </w:r>
      <w:r>
        <w:rPr>
          <w:rFonts w:cs="Arial"/>
          <w:rtl/>
        </w:rPr>
        <w:t xml:space="preserve"> השליח אינו נאמן אפילו בשגט יוצא מתחת ידו.</w:t>
      </w:r>
    </w:p>
    <w:p w14:paraId="1B6811FE" w14:textId="456AB91A" w:rsidR="00FA2119" w:rsidRDefault="00FA2119" w:rsidP="00FA2119">
      <w:pPr>
        <w:ind w:left="360"/>
        <w:rPr>
          <w:rFonts w:cs="Arial"/>
          <w:u w:val="dotted"/>
        </w:rPr>
      </w:pPr>
      <w:r>
        <w:rPr>
          <w:rFonts w:cs="Arial"/>
          <w:u w:val="dotted"/>
          <w:rtl/>
        </w:rPr>
        <w:t xml:space="preserve">לרב חסדא </w:t>
      </w:r>
      <w:r w:rsidR="00A82951">
        <w:rPr>
          <w:rFonts w:cs="Arial"/>
          <w:u w:val="dotted"/>
          <w:rtl/>
        </w:rPr>
        <w:t>-</w:t>
      </w:r>
      <w:r>
        <w:rPr>
          <w:rFonts w:cs="Arial"/>
          <w:u w:val="dotted"/>
          <w:rtl/>
        </w:rPr>
        <w:t xml:space="preserve"> ממתי האשה מגורשת, מזמן שנתן הבעל הגט לשליח קבלה, או משעה שידענו שהאשה היתה עמו:</w:t>
      </w:r>
    </w:p>
    <w:p w14:paraId="02870941" w14:textId="48289F3F" w:rsidR="00FA2119" w:rsidRDefault="00FA2119" w:rsidP="006A458D">
      <w:pPr>
        <w:pStyle w:val="ab"/>
        <w:numPr>
          <w:ilvl w:val="0"/>
          <w:numId w:val="107"/>
        </w:numPr>
        <w:rPr>
          <w:rFonts w:cs="Arial"/>
          <w:rtl/>
        </w:rPr>
      </w:pPr>
      <w:r>
        <w:rPr>
          <w:rFonts w:cs="Arial"/>
          <w:rtl/>
        </w:rPr>
        <w:t xml:space="preserve">ר"ן </w:t>
      </w:r>
      <w:r>
        <w:rPr>
          <w:rFonts w:cs="Arial"/>
          <w:sz w:val="16"/>
          <w:szCs w:val="16"/>
          <w:rtl/>
        </w:rPr>
        <w:t>(כט:)</w:t>
      </w:r>
      <w:r w:rsidR="00A82951">
        <w:rPr>
          <w:rFonts w:cs="Arial"/>
          <w:rtl/>
        </w:rPr>
        <w:t>-</w:t>
      </w:r>
      <w:r>
        <w:rPr>
          <w:rFonts w:cs="Arial"/>
          <w:rtl/>
        </w:rPr>
        <w:t xml:space="preserve"> יש להסתפק לרב חסדא דאמר שליש נאמן דהא הימניה, אם הוא לומר שתהא מגורשת בקבלתו משעה שידענו שהאשה היתה עמו, מתוך שבידו ליתנו לה, אבל לענין שתתגרש משעה ראשונה ואע"פ שאין האשה עמו ודאי לא, דהא לא הימניה אלא במה שבידו. או שמא אין הבעל מדקדק בשעות, אלא כיון שהוא יודע שבידו ליתנו לה כשימצאנה אף מעכשיו גומר ונותן שאם הוא שליח קבלה שתתגרש מעתה... וכן לדברי רש"י יש לי לומר שכיון שבשעה שבאו לבית דין, קודם שאמר הבעל לפקדון, היה יכול ליתנהו לאשה והאשה היתה מקבלתו מידו </w:t>
      </w:r>
      <w:r w:rsidR="00A82951">
        <w:rPr>
          <w:rFonts w:cs="Arial"/>
          <w:rtl/>
        </w:rPr>
        <w:t>-</w:t>
      </w:r>
      <w:r>
        <w:rPr>
          <w:rFonts w:cs="Arial"/>
          <w:rtl/>
        </w:rPr>
        <w:t xml:space="preserve"> נאמן לומר שליח קבלה הייתי ולקבלה נתתו לי ונאמן בכך להתגרש משעה זו, אבל משעה ראשונה ודאי לא. </w:t>
      </w:r>
    </w:p>
    <w:p w14:paraId="117ABD23" w14:textId="77777777" w:rsidR="00FA2119" w:rsidRDefault="00FA2119" w:rsidP="00FA2119">
      <w:pPr>
        <w:rPr>
          <w:rFonts w:cs="Arial"/>
        </w:rPr>
      </w:pPr>
      <w:r>
        <w:rPr>
          <w:rFonts w:cs="Arial"/>
          <w:u w:val="single"/>
          <w:rtl/>
        </w:rPr>
        <w:t>כיצד נפסק:</w:t>
      </w:r>
      <w:r>
        <w:rPr>
          <w:rFonts w:cs="Arial"/>
          <w:rtl/>
        </w:rPr>
        <w:t xml:space="preserve"> </w:t>
      </w:r>
    </w:p>
    <w:p w14:paraId="2CB695E0" w14:textId="09993252" w:rsidR="00FA2119" w:rsidRDefault="00FA2119" w:rsidP="006A458D">
      <w:pPr>
        <w:pStyle w:val="ab"/>
        <w:numPr>
          <w:ilvl w:val="0"/>
          <w:numId w:val="107"/>
        </w:numPr>
        <w:rPr>
          <w:rtl/>
        </w:rPr>
      </w:pPr>
      <w:r>
        <w:rPr>
          <w:rFonts w:cs="Arial"/>
          <w:rtl/>
        </w:rPr>
        <w:lastRenderedPageBreak/>
        <w:t xml:space="preserve">רי"ף </w:t>
      </w:r>
      <w:r>
        <w:rPr>
          <w:rFonts w:cs="Arial"/>
          <w:sz w:val="16"/>
          <w:szCs w:val="16"/>
          <w:rtl/>
        </w:rPr>
        <w:t>(כט:)</w:t>
      </w:r>
      <w:r>
        <w:rPr>
          <w:rFonts w:cs="Arial"/>
          <w:rtl/>
        </w:rPr>
        <w:t xml:space="preserve"> רמב"ם </w:t>
      </w:r>
      <w:r>
        <w:rPr>
          <w:rFonts w:cs="Arial"/>
          <w:sz w:val="16"/>
          <w:szCs w:val="16"/>
          <w:rtl/>
        </w:rPr>
        <w:t>(פי"ב הי"א)</w:t>
      </w:r>
      <w:r>
        <w:rPr>
          <w:rFonts w:cs="Arial"/>
          <w:rtl/>
        </w:rPr>
        <w:t xml:space="preserve"> ורשב"א </w:t>
      </w:r>
      <w:r>
        <w:rPr>
          <w:rFonts w:cs="Arial"/>
          <w:sz w:val="16"/>
          <w:szCs w:val="16"/>
          <w:rtl/>
        </w:rPr>
        <w:t>(סי' אלף רכח)</w:t>
      </w:r>
      <w:r w:rsidR="00A82951">
        <w:rPr>
          <w:rFonts w:cs="Arial"/>
          <w:rtl/>
        </w:rPr>
        <w:t>-</w:t>
      </w:r>
      <w:r>
        <w:rPr>
          <w:rFonts w:cs="Arial"/>
          <w:rtl/>
        </w:rPr>
        <w:t xml:space="preserve"> כרב חסדא</w:t>
      </w:r>
      <w:r>
        <w:rPr>
          <w:rStyle w:val="a7"/>
          <w:rFonts w:cs="Arial"/>
          <w:rtl/>
        </w:rPr>
        <w:footnoteReference w:id="2088"/>
      </w:r>
      <w:r>
        <w:rPr>
          <w:rFonts w:cs="Arial"/>
          <w:rtl/>
        </w:rPr>
        <w:t xml:space="preserve">. </w:t>
      </w:r>
    </w:p>
    <w:p w14:paraId="73A078A8" w14:textId="1A94C5BF" w:rsidR="00FA2119" w:rsidRDefault="00FA2119" w:rsidP="006A458D">
      <w:pPr>
        <w:pStyle w:val="ab"/>
        <w:numPr>
          <w:ilvl w:val="0"/>
          <w:numId w:val="107"/>
        </w:numPr>
      </w:pPr>
      <w:r>
        <w:rPr>
          <w:rFonts w:cs="Arial"/>
          <w:rtl/>
        </w:rPr>
        <w:t xml:space="preserve">ר"ת </w:t>
      </w:r>
      <w:r>
        <w:rPr>
          <w:rFonts w:cs="Arial"/>
          <w:sz w:val="16"/>
          <w:szCs w:val="16"/>
          <w:rtl/>
        </w:rPr>
        <w:t>(ספר הישר שו"ת סי' יז)</w:t>
      </w:r>
      <w:r>
        <w:rPr>
          <w:rFonts w:cs="Arial"/>
          <w:rtl/>
        </w:rPr>
        <w:t xml:space="preserve"> וטור</w:t>
      </w:r>
      <w:r w:rsidR="00A82951">
        <w:rPr>
          <w:rFonts w:cs="Arial"/>
          <w:rtl/>
        </w:rPr>
        <w:t>-</w:t>
      </w:r>
      <w:r>
        <w:rPr>
          <w:rFonts w:cs="Arial"/>
          <w:rtl/>
        </w:rPr>
        <w:t xml:space="preserve"> כרב הונא. </w:t>
      </w:r>
    </w:p>
    <w:p w14:paraId="6E41AD67" w14:textId="58A72753" w:rsidR="00FA2119" w:rsidRPr="00A164BE" w:rsidRDefault="00FA2119" w:rsidP="00A164BE">
      <w:pPr>
        <w:rPr>
          <w:u w:val="single"/>
        </w:rPr>
      </w:pPr>
      <w:r w:rsidRPr="00A164BE">
        <w:rPr>
          <w:rFonts w:cs="Arial"/>
          <w:u w:val="single"/>
          <w:rtl/>
        </w:rPr>
        <w:t>בעל אומר לפקדון ושליש אומר לגירושין:</w:t>
      </w:r>
    </w:p>
    <w:p w14:paraId="68A649AB" w14:textId="069200EF" w:rsidR="00FA2119" w:rsidRDefault="00FA2119" w:rsidP="006A458D">
      <w:pPr>
        <w:pStyle w:val="ab"/>
        <w:numPr>
          <w:ilvl w:val="0"/>
          <w:numId w:val="102"/>
        </w:numPr>
        <w:rPr>
          <w:rtl/>
        </w:rPr>
      </w:pPr>
      <w:r>
        <w:rPr>
          <w:rFonts w:cs="Arial"/>
          <w:rtl/>
        </w:rPr>
        <w:t xml:space="preserve">רמב"ם </w:t>
      </w:r>
      <w:r>
        <w:rPr>
          <w:rFonts w:cs="Arial"/>
          <w:sz w:val="16"/>
          <w:szCs w:val="16"/>
          <w:rtl/>
        </w:rPr>
        <w:t>(פי"ב הי"א)</w:t>
      </w:r>
      <w:r w:rsidR="00A82951">
        <w:rPr>
          <w:rFonts w:cs="Arial"/>
          <w:rtl/>
        </w:rPr>
        <w:t>-</w:t>
      </w:r>
      <w:r>
        <w:rPr>
          <w:rFonts w:cs="Arial"/>
          <w:rtl/>
        </w:rPr>
        <w:t xml:space="preserve"> שליח קבלה שהוציא גט מתחת ידו, והבעל אומר מזוייף הוא </w:t>
      </w:r>
      <w:r w:rsidR="00A82951">
        <w:rPr>
          <w:rFonts w:cs="Arial"/>
          <w:rtl/>
        </w:rPr>
        <w:t>-</w:t>
      </w:r>
      <w:r>
        <w:rPr>
          <w:rFonts w:cs="Arial"/>
          <w:rtl/>
        </w:rPr>
        <w:t xml:space="preserve"> יתקיים בחותמיו או בעידי מסירה כמו שביארנו </w:t>
      </w:r>
      <w:r>
        <w:rPr>
          <w:rFonts w:cs="Arial"/>
          <w:sz w:val="16"/>
          <w:szCs w:val="16"/>
          <w:rtl/>
        </w:rPr>
        <w:t>{פ"ז ה"ב}</w:t>
      </w:r>
      <w:r>
        <w:rPr>
          <w:rFonts w:cs="Arial"/>
          <w:rtl/>
        </w:rPr>
        <w:t xml:space="preserve">. אמר הבעל פקדון נתתיו לו, והשליח אומר לגירושין נתנו לי </w:t>
      </w:r>
      <w:r w:rsidR="00A82951">
        <w:rPr>
          <w:rFonts w:cs="Arial"/>
          <w:rtl/>
        </w:rPr>
        <w:t>-</w:t>
      </w:r>
      <w:r>
        <w:rPr>
          <w:rFonts w:cs="Arial"/>
          <w:rtl/>
        </w:rPr>
        <w:t xml:space="preserve"> השליח נאמן</w:t>
      </w:r>
      <w:r>
        <w:rPr>
          <w:rStyle w:val="a7"/>
          <w:rFonts w:cs="Arial"/>
          <w:rtl/>
        </w:rPr>
        <w:footnoteReference w:id="2089"/>
      </w:r>
      <w:r>
        <w:rPr>
          <w:rFonts w:cs="Arial"/>
          <w:rtl/>
        </w:rPr>
        <w:t xml:space="preserve">... </w:t>
      </w:r>
      <w:r>
        <w:rPr>
          <w:color w:val="E36C0A" w:themeColor="accent6" w:themeShade="BF"/>
          <w:rtl/>
        </w:rPr>
        <w:t>(וכ"ס בשו"ע)</w:t>
      </w:r>
    </w:p>
    <w:p w14:paraId="4E650BB3" w14:textId="0BB36B1C" w:rsidR="00FA2119" w:rsidRDefault="00FA2119" w:rsidP="006A458D">
      <w:pPr>
        <w:pStyle w:val="ab"/>
        <w:numPr>
          <w:ilvl w:val="0"/>
          <w:numId w:val="102"/>
        </w:numPr>
      </w:pPr>
      <w:r>
        <w:rPr>
          <w:rFonts w:cs="Arial"/>
          <w:rtl/>
        </w:rPr>
        <w:t>רא"ש</w:t>
      </w:r>
      <w:r>
        <w:rPr>
          <w:rFonts w:cs="Arial"/>
          <w:sz w:val="16"/>
          <w:szCs w:val="16"/>
          <w:rtl/>
        </w:rPr>
        <w:t xml:space="preserve"> (כ"כ הטור בשמו) </w:t>
      </w:r>
      <w:r>
        <w:rPr>
          <w:rFonts w:cs="Arial"/>
          <w:rtl/>
        </w:rPr>
        <w:t>וטור</w:t>
      </w:r>
      <w:r w:rsidR="00A82951">
        <w:rPr>
          <w:rFonts w:cs="Arial"/>
          <w:rtl/>
        </w:rPr>
        <w:t>-</w:t>
      </w:r>
      <w:r>
        <w:rPr>
          <w:rFonts w:cs="Arial"/>
          <w:rtl/>
        </w:rPr>
        <w:t xml:space="preserve"> עשתה שליח לקבלה בעדים, והגט יוצא מתחת ידו, והבעל אומר מזוייף הוא </w:t>
      </w:r>
      <w:r w:rsidR="00A82951">
        <w:rPr>
          <w:rFonts w:cs="Arial"/>
          <w:rtl/>
        </w:rPr>
        <w:t>-</w:t>
      </w:r>
      <w:r>
        <w:rPr>
          <w:rFonts w:cs="Arial"/>
          <w:rtl/>
        </w:rPr>
        <w:t xml:space="preserve"> יתקיים בחותמיו, וכיון שנתקיים בחותמיו או בעידי מסירה </w:t>
      </w:r>
      <w:r w:rsidR="00A82951">
        <w:rPr>
          <w:rFonts w:cs="Arial"/>
          <w:rtl/>
        </w:rPr>
        <w:t>-</w:t>
      </w:r>
      <w:r>
        <w:rPr>
          <w:rFonts w:cs="Arial"/>
          <w:rtl/>
        </w:rPr>
        <w:t xml:space="preserve"> כשר. ואם הוא מודה שכתבו, אלא שאומר שלא נתנו לו בתורת גירושין אלא בתורת פקדון, והשליח אומר שקבלו בשבילה שתתגרש בו, אם שלשתן בעיר אחת </w:t>
      </w:r>
      <w:r w:rsidR="00A82951">
        <w:rPr>
          <w:rFonts w:cs="Arial"/>
          <w:rtl/>
        </w:rPr>
        <w:t>-</w:t>
      </w:r>
      <w:r>
        <w:rPr>
          <w:rFonts w:cs="Arial"/>
          <w:rtl/>
        </w:rPr>
        <w:t xml:space="preserve"> הבעל נאמן, דאם איתא דבתורת גירושין יהביה לו, לדידה הוי יהיב לה. ודוקא כשטוען שלפקדון נתנו לו, אבל אם טוען שעשאו שליח להולכה ורצה לחזור בו קודם שיגיע לידה </w:t>
      </w:r>
      <w:r w:rsidR="00A82951">
        <w:rPr>
          <w:rFonts w:cs="Arial"/>
          <w:rtl/>
        </w:rPr>
        <w:t>-</w:t>
      </w:r>
      <w:r>
        <w:rPr>
          <w:rFonts w:cs="Arial"/>
          <w:rtl/>
        </w:rPr>
        <w:t xml:space="preserve"> אינו נאמן</w:t>
      </w:r>
      <w:r>
        <w:rPr>
          <w:rStyle w:val="a7"/>
          <w:rFonts w:cs="Arial"/>
          <w:rtl/>
        </w:rPr>
        <w:footnoteReference w:id="2090"/>
      </w:r>
      <w:r>
        <w:rPr>
          <w:rFonts w:cs="Arial"/>
          <w:rtl/>
        </w:rPr>
        <w:t xml:space="preserve">. ואם אינן בעיר אחת </w:t>
      </w:r>
      <w:r w:rsidR="00A82951">
        <w:rPr>
          <w:rFonts w:cs="Arial"/>
          <w:rtl/>
        </w:rPr>
        <w:t>-</w:t>
      </w:r>
      <w:r>
        <w:rPr>
          <w:rFonts w:cs="Arial"/>
          <w:rtl/>
        </w:rPr>
        <w:t xml:space="preserve"> השליח נאמן</w:t>
      </w:r>
      <w:r w:rsidR="00C74F15">
        <w:rPr>
          <w:rFonts w:cs="Arial" w:hint="cs"/>
          <w:rtl/>
        </w:rPr>
        <w:t>.</w:t>
      </w:r>
      <w:r>
        <w:rPr>
          <w:rFonts w:cs="Arial"/>
          <w:rtl/>
        </w:rPr>
        <w:t xml:space="preserve"> ומיירי שאומר שמסרו לו בפני עדים. ועל כן טוב ליזהר שלא לגרש ע"י שליח כשהבעל והאשה שניהם בעיר</w:t>
      </w:r>
      <w:r>
        <w:rPr>
          <w:rStyle w:val="a7"/>
          <w:rFonts w:cs="Arial"/>
          <w:rtl/>
        </w:rPr>
        <w:footnoteReference w:id="2091"/>
      </w:r>
      <w:r>
        <w:rPr>
          <w:rFonts w:cs="Arial"/>
          <w:rtl/>
        </w:rPr>
        <w:t>, כיון דמצי מיפק מיניה חורבה, שאם יטעון שלא נתנו לו בגירושין שהוא נאמן</w:t>
      </w:r>
      <w:r>
        <w:rPr>
          <w:rFonts w:cs="Arial"/>
          <w:sz w:val="16"/>
          <w:szCs w:val="16"/>
          <w:rtl/>
        </w:rPr>
        <w:t xml:space="preserve"> (ל' הטור)</w:t>
      </w:r>
      <w:r>
        <w:rPr>
          <w:rFonts w:cs="Arial"/>
          <w:rtl/>
        </w:rPr>
        <w:t xml:space="preserve">. </w:t>
      </w:r>
    </w:p>
    <w:p w14:paraId="157E9F0E" w14:textId="417F6851" w:rsidR="00FA2119" w:rsidRDefault="00FA2119" w:rsidP="00FA2119">
      <w:pPr>
        <w:ind w:left="360"/>
        <w:rPr>
          <w:u w:val="dotted"/>
        </w:rPr>
      </w:pPr>
      <w:r>
        <w:rPr>
          <w:u w:val="dotted"/>
          <w:rtl/>
        </w:rPr>
        <w:t xml:space="preserve">לרמב"ם וסיעתו </w:t>
      </w:r>
      <w:r w:rsidR="00A82951">
        <w:rPr>
          <w:u w:val="dotted"/>
          <w:rtl/>
        </w:rPr>
        <w:t>-</w:t>
      </w:r>
      <w:r>
        <w:rPr>
          <w:u w:val="dotted"/>
          <w:rtl/>
        </w:rPr>
        <w:t xml:space="preserve"> מה הדין אין הגט ביד השליש:</w:t>
      </w:r>
    </w:p>
    <w:p w14:paraId="04DA12DF" w14:textId="3E557088" w:rsidR="002E119A" w:rsidRDefault="00FA2119" w:rsidP="002E119A">
      <w:pPr>
        <w:pStyle w:val="ab"/>
        <w:numPr>
          <w:ilvl w:val="0"/>
          <w:numId w:val="102"/>
        </w:numPr>
      </w:pPr>
      <w:r>
        <w:rPr>
          <w:rFonts w:cs="Arial"/>
          <w:rtl/>
        </w:rPr>
        <w:t>טור</w:t>
      </w:r>
      <w:r w:rsidR="00A82951">
        <w:rPr>
          <w:rFonts w:cs="Arial"/>
          <w:rtl/>
        </w:rPr>
        <w:t>-</w:t>
      </w:r>
      <w:r>
        <w:rPr>
          <w:rFonts w:cs="Arial"/>
          <w:rtl/>
        </w:rPr>
        <w:t xml:space="preserve"> הרמב"ם כתב שהשליח נאמן בכל ענין אפילו אין הגט בידו רק שיש עדים שראוהו בידו</w:t>
      </w:r>
      <w:r>
        <w:rPr>
          <w:rStyle w:val="a7"/>
          <w:rFonts w:cs="Arial"/>
          <w:rtl/>
        </w:rPr>
        <w:footnoteReference w:id="2092"/>
      </w:r>
      <w:r>
        <w:rPr>
          <w:rFonts w:cs="Arial"/>
          <w:rtl/>
        </w:rPr>
        <w:t>,</w:t>
      </w:r>
      <w:r>
        <w:rPr>
          <w:rtl/>
        </w:rPr>
        <w:t xml:space="preserve"> </w:t>
      </w:r>
      <w:r>
        <w:rPr>
          <w:rFonts w:cs="Arial"/>
          <w:rtl/>
        </w:rPr>
        <w:t>וא"א ז"ל כתב כסברא ראשונה</w:t>
      </w:r>
      <w:r>
        <w:rPr>
          <w:rStyle w:val="a7"/>
          <w:rFonts w:cs="Arial"/>
          <w:rtl/>
        </w:rPr>
        <w:footnoteReference w:id="2093"/>
      </w:r>
      <w:r>
        <w:rPr>
          <w:rFonts w:cs="Arial"/>
          <w:rtl/>
        </w:rPr>
        <w:t>.</w:t>
      </w:r>
    </w:p>
    <w:p w14:paraId="22C5A8E1" w14:textId="25BA13DD" w:rsidR="00FA2119" w:rsidRPr="002E119A" w:rsidRDefault="002E119A" w:rsidP="002E119A">
      <w:pPr>
        <w:rPr>
          <w:u w:val="single"/>
        </w:rPr>
      </w:pPr>
      <w:r w:rsidRPr="002E119A">
        <w:rPr>
          <w:rFonts w:cs="Arial" w:hint="cs"/>
          <w:u w:val="single"/>
          <w:rtl/>
        </w:rPr>
        <w:t xml:space="preserve">בעל אומר לפקדון </w:t>
      </w:r>
      <w:r>
        <w:rPr>
          <w:rFonts w:cs="Arial" w:hint="cs"/>
          <w:u w:val="single"/>
          <w:rtl/>
        </w:rPr>
        <w:t>ו</w:t>
      </w:r>
      <w:r w:rsidRPr="002E119A">
        <w:rPr>
          <w:rFonts w:cs="Arial" w:hint="cs"/>
          <w:u w:val="single"/>
          <w:rtl/>
        </w:rPr>
        <w:t>אשה אומרת לגירושין:</w:t>
      </w:r>
    </w:p>
    <w:p w14:paraId="1D2A8580" w14:textId="3AE5436F" w:rsidR="002E119A" w:rsidRDefault="002E119A" w:rsidP="002E119A">
      <w:pPr>
        <w:pStyle w:val="ab"/>
        <w:numPr>
          <w:ilvl w:val="0"/>
          <w:numId w:val="102"/>
        </w:numPr>
        <w:rPr>
          <w:rtl/>
        </w:rPr>
      </w:pPr>
      <w:r>
        <w:rPr>
          <w:rFonts w:cs="Arial"/>
          <w:rtl/>
        </w:rPr>
        <w:t xml:space="preserve">רמב"ם </w:t>
      </w:r>
      <w:r>
        <w:rPr>
          <w:rFonts w:cs="Arial"/>
          <w:sz w:val="16"/>
          <w:szCs w:val="16"/>
          <w:rtl/>
        </w:rPr>
        <w:t>(פי"ב הי"א)</w:t>
      </w:r>
      <w:r>
        <w:rPr>
          <w:rFonts w:cs="Arial"/>
          <w:rtl/>
        </w:rPr>
        <w:t xml:space="preserve">- וכן אם היה הגט יוצא מתחת ידי האשה והיא אומרת שליח זה נתנו לי, והשליח אומר כן היה ולגירושין נתנו לי, והבעל אומר לא נתתיו אלא לפקדון - השליח נאמן והרי זו מגורשת. </w:t>
      </w:r>
      <w:r>
        <w:rPr>
          <w:color w:val="E36C0A" w:themeColor="accent6" w:themeShade="BF"/>
          <w:rtl/>
        </w:rPr>
        <w:t>(וכ"פ בשו"ע</w:t>
      </w:r>
      <w:r w:rsidR="00160BA6">
        <w:rPr>
          <w:rFonts w:hint="cs"/>
          <w:color w:val="000000" w:themeColor="text1"/>
          <w:sz w:val="16"/>
          <w:szCs w:val="16"/>
          <w:rtl/>
        </w:rPr>
        <w:t xml:space="preserve"> </w:t>
      </w:r>
      <w:r w:rsidRPr="002E119A">
        <w:rPr>
          <w:rFonts w:hint="cs"/>
          <w:color w:val="000000" w:themeColor="text1"/>
          <w:sz w:val="16"/>
          <w:szCs w:val="16"/>
          <w:rtl/>
        </w:rPr>
        <w:t>[</w:t>
      </w:r>
      <w:r w:rsidR="00160BA6">
        <w:rPr>
          <w:rFonts w:hint="cs"/>
          <w:color w:val="000000" w:themeColor="text1"/>
          <w:sz w:val="16"/>
          <w:szCs w:val="16"/>
          <w:rtl/>
        </w:rPr>
        <w:t>בסע' הבא</w:t>
      </w:r>
      <w:r w:rsidRPr="002E119A">
        <w:rPr>
          <w:rFonts w:hint="cs"/>
          <w:color w:val="000000" w:themeColor="text1"/>
          <w:sz w:val="16"/>
          <w:szCs w:val="16"/>
          <w:rtl/>
        </w:rPr>
        <w:t>]</w:t>
      </w:r>
      <w:r>
        <w:rPr>
          <w:color w:val="E36C0A" w:themeColor="accent6" w:themeShade="BF"/>
          <w:rtl/>
        </w:rPr>
        <w:t>)</w:t>
      </w:r>
    </w:p>
    <w:p w14:paraId="13EC7444" w14:textId="31A3EEF6" w:rsidR="00FA2119" w:rsidRDefault="00FA2119" w:rsidP="006A458D">
      <w:pPr>
        <w:pStyle w:val="ab"/>
        <w:numPr>
          <w:ilvl w:val="0"/>
          <w:numId w:val="102"/>
        </w:numPr>
      </w:pPr>
      <w:r>
        <w:rPr>
          <w:rFonts w:cs="Arial"/>
          <w:rtl/>
        </w:rPr>
        <w:t xml:space="preserve">(רא"ש </w:t>
      </w:r>
      <w:r>
        <w:rPr>
          <w:rFonts w:cs="Arial"/>
          <w:sz w:val="16"/>
          <w:szCs w:val="16"/>
          <w:rtl/>
        </w:rPr>
        <w:t>להב' הטור</w:t>
      </w:r>
      <w:r>
        <w:rPr>
          <w:rFonts w:cs="Arial"/>
          <w:rtl/>
        </w:rPr>
        <w:t>) וטור</w:t>
      </w:r>
      <w:r w:rsidR="00A82951">
        <w:rPr>
          <w:rFonts w:cs="Arial"/>
          <w:rtl/>
        </w:rPr>
        <w:t>-</w:t>
      </w:r>
      <w:r>
        <w:rPr>
          <w:rFonts w:cs="Arial"/>
          <w:rtl/>
        </w:rPr>
        <w:t xml:space="preserve"> ואם היא אומרת בפני קבלו השליח לגירושין </w:t>
      </w:r>
      <w:r w:rsidR="00A82951">
        <w:rPr>
          <w:rFonts w:cs="Arial"/>
          <w:rtl/>
        </w:rPr>
        <w:t>-</w:t>
      </w:r>
      <w:r>
        <w:rPr>
          <w:rFonts w:cs="Arial"/>
          <w:rtl/>
        </w:rPr>
        <w:t xml:space="preserve"> נאמנת... אפילו אם הוא</w:t>
      </w:r>
      <w:r w:rsidR="00160BA6">
        <w:rPr>
          <w:rFonts w:cs="Arial" w:hint="cs"/>
          <w:rtl/>
        </w:rPr>
        <w:t xml:space="preserve"> </w:t>
      </w:r>
      <w:r>
        <w:rPr>
          <w:rFonts w:cs="Arial"/>
          <w:rtl/>
        </w:rPr>
        <w:t>ביד השליח</w:t>
      </w:r>
      <w:r w:rsidR="00160BA6">
        <w:rPr>
          <w:rStyle w:val="a7"/>
          <w:rFonts w:cs="Arial"/>
          <w:rtl/>
        </w:rPr>
        <w:footnoteReference w:id="2094"/>
      </w:r>
      <w:r>
        <w:rPr>
          <w:rFonts w:cs="Arial"/>
          <w:sz w:val="16"/>
          <w:szCs w:val="16"/>
          <w:rtl/>
        </w:rPr>
        <w:t xml:space="preserve"> (ל' הטור)</w:t>
      </w:r>
      <w:r>
        <w:rPr>
          <w:rFonts w:cs="Arial"/>
          <w:rtl/>
        </w:rPr>
        <w:t>.</w:t>
      </w:r>
      <w:r>
        <w:rPr>
          <w:color w:val="E36C0A" w:themeColor="accent6" w:themeShade="BF"/>
          <w:rtl/>
        </w:rPr>
        <w:t xml:space="preserve"> </w:t>
      </w:r>
    </w:p>
    <w:p w14:paraId="1C6D6887" w14:textId="33F717FA" w:rsidR="00FA2119" w:rsidRDefault="00FA2119" w:rsidP="00FA2119">
      <w:r>
        <w:rPr>
          <w:u w:val="single"/>
          <w:rtl/>
        </w:rPr>
        <w:t xml:space="preserve">גירושין ע"י שליח כשהבעל והאשה באותה העיר </w:t>
      </w:r>
      <w:r w:rsidR="00A82951">
        <w:rPr>
          <w:u w:val="single"/>
          <w:rtl/>
        </w:rPr>
        <w:t>-</w:t>
      </w:r>
      <w:r>
        <w:rPr>
          <w:u w:val="single"/>
          <w:rtl/>
        </w:rPr>
        <w:t xml:space="preserve"> בזמן הזה שאנו ניידים:</w:t>
      </w:r>
      <w:r>
        <w:rPr>
          <w:rtl/>
        </w:rPr>
        <w:t xml:space="preserve"> </w:t>
      </w:r>
      <w:r>
        <w:rPr>
          <w:sz w:val="16"/>
          <w:szCs w:val="16"/>
          <w:rtl/>
        </w:rPr>
        <w:t>(דרכ"מ אות לז)</w:t>
      </w:r>
    </w:p>
    <w:p w14:paraId="2C4FD697" w14:textId="57879231" w:rsidR="00FA2119" w:rsidRDefault="00FA2119" w:rsidP="006A458D">
      <w:pPr>
        <w:pStyle w:val="ab"/>
        <w:numPr>
          <w:ilvl w:val="0"/>
          <w:numId w:val="102"/>
        </w:numPr>
      </w:pPr>
      <w:r>
        <w:rPr>
          <w:rFonts w:cs="Arial"/>
          <w:rtl/>
        </w:rPr>
        <w:t>ארחות חיים</w:t>
      </w:r>
      <w:r>
        <w:rPr>
          <w:rFonts w:cs="Arial"/>
          <w:sz w:val="18"/>
          <w:szCs w:val="18"/>
          <w:rtl/>
        </w:rPr>
        <w:t xml:space="preserve"> (ח"ב הלכות גיטין עמ' 160, הביאו הב"י בסי' קמב סע' א</w:t>
      </w:r>
      <w:r>
        <w:rPr>
          <w:rFonts w:cs="Arial"/>
          <w:sz w:val="14"/>
          <w:szCs w:val="14"/>
          <w:rtl/>
        </w:rPr>
        <w:t>(ד)</w:t>
      </w:r>
      <w:r>
        <w:rPr>
          <w:rFonts w:cs="Arial"/>
          <w:sz w:val="18"/>
          <w:szCs w:val="18"/>
          <w:rtl/>
        </w:rPr>
        <w:t>)</w:t>
      </w:r>
      <w:r w:rsidR="00A82951">
        <w:rPr>
          <w:rFonts w:cs="Arial"/>
          <w:rtl/>
        </w:rPr>
        <w:t>-</w:t>
      </w:r>
      <w:r>
        <w:rPr>
          <w:rFonts w:cs="Arial"/>
          <w:rtl/>
        </w:rPr>
        <w:t xml:space="preserve"> צריך לומר בפני נכתב ובפני נחתם אפילו מבית לעלייה כדפירש ר"ת מידי דהוה אבני מחוזא דניידי (ו.), ופירש רבינו תם (שם ד"ה שאני) דאנו כבני מחוזא דניידי ודמינן להו דאין אנו קבועים. והא דפרק התקבל (סד.) פירשו בתוספות (שם ד"ה בעל) כשהבעל </w:t>
      </w:r>
      <w:r>
        <w:rPr>
          <w:rFonts w:cs="Arial"/>
          <w:rtl/>
        </w:rPr>
        <w:lastRenderedPageBreak/>
        <w:t xml:space="preserve">והאשה בעיר שיגרשנה הבעל בעצמו ולא על ידי שליח בין בהולכה בין בקבלה משום דאי עביד על ידי שליח מהימן הבעל לומר בפקדון נתתיו לשליח כדאמר רב הונא בפרק התקבל (שם) דפסק רבינו חננאל כמותו, ואע"ג דלבני מחוזא מכשר ר"ת ע"י שליח אע"ג דשניהם בעיר </w:t>
      </w:r>
      <w:r w:rsidR="00A82951">
        <w:rPr>
          <w:rFonts w:cs="Arial"/>
          <w:rtl/>
        </w:rPr>
        <w:t>-</w:t>
      </w:r>
      <w:r>
        <w:rPr>
          <w:rFonts w:cs="Arial"/>
          <w:rtl/>
        </w:rPr>
        <w:t xml:space="preserve"> משום דניידי כדפירשו התוספות פרק התקבל, מכל מקום אנן לא ניידינן כל כך, ואע"ג דפירש רבינו תם דהאידנא כולהו ניידי </w:t>
      </w:r>
      <w:r w:rsidR="00A82951">
        <w:rPr>
          <w:rFonts w:cs="Arial"/>
          <w:rtl/>
        </w:rPr>
        <w:t>-</w:t>
      </w:r>
      <w:r>
        <w:rPr>
          <w:rFonts w:cs="Arial"/>
          <w:rtl/>
        </w:rPr>
        <w:t xml:space="preserve"> אין לסמוך על זה להקל, דאיהו להחמיר אמרה </w:t>
      </w:r>
      <w:r>
        <w:rPr>
          <w:rFonts w:cs="Arial"/>
          <w:sz w:val="16"/>
          <w:szCs w:val="16"/>
          <w:rtl/>
        </w:rPr>
        <w:t>{להצריכו לומר בפני נכתב ובפני נחתם}</w:t>
      </w:r>
      <w:r>
        <w:rPr>
          <w:rFonts w:cs="Arial"/>
          <w:rtl/>
        </w:rPr>
        <w:t xml:space="preserve">, ויש ליזהר שלא לעשות שום שליח כששניהם בעיר אחת וכן עיקר. </w:t>
      </w:r>
    </w:p>
    <w:p w14:paraId="0DE826A4" w14:textId="77777777" w:rsidR="00FA2119" w:rsidRDefault="00FA2119" w:rsidP="00FA2119">
      <w:pPr>
        <w:ind w:left="360"/>
      </w:pPr>
      <w:r>
        <w:rPr>
          <w:u w:val="dotted"/>
          <w:rtl/>
        </w:rPr>
        <w:t>ומה הדין אם יש לשליח הרשאה מהבעל:</w:t>
      </w:r>
      <w:r>
        <w:rPr>
          <w:rtl/>
        </w:rPr>
        <w:t xml:space="preserve"> </w:t>
      </w:r>
      <w:r>
        <w:rPr>
          <w:sz w:val="16"/>
          <w:szCs w:val="16"/>
          <w:rtl/>
        </w:rPr>
        <w:t>(דרכ"מ אות לז)</w:t>
      </w:r>
    </w:p>
    <w:p w14:paraId="1E1F1581" w14:textId="64245BB3" w:rsidR="00FA2119" w:rsidRDefault="00FA2119" w:rsidP="006A458D">
      <w:pPr>
        <w:pStyle w:val="ab"/>
        <w:numPr>
          <w:ilvl w:val="0"/>
          <w:numId w:val="102"/>
        </w:numPr>
      </w:pPr>
      <w:r>
        <w:rPr>
          <w:rFonts w:cs="Arial"/>
          <w:rtl/>
        </w:rPr>
        <w:t>מהר"ם פאדו"ה</w:t>
      </w:r>
      <w:r>
        <w:rPr>
          <w:rFonts w:cs="Arial"/>
          <w:sz w:val="16"/>
          <w:szCs w:val="16"/>
          <w:rtl/>
        </w:rPr>
        <w:t xml:space="preserve"> (סי' ג)</w:t>
      </w:r>
      <w:r w:rsidR="00A82951">
        <w:rPr>
          <w:rFonts w:cs="Arial"/>
          <w:rtl/>
        </w:rPr>
        <w:t>-</w:t>
      </w:r>
      <w:r>
        <w:rPr>
          <w:rFonts w:cs="Arial"/>
          <w:rtl/>
        </w:rPr>
        <w:t xml:space="preserve"> עכשיו דנוהגים שהשליח יש לו הרשאה מן הבעל </w:t>
      </w:r>
      <w:r w:rsidR="00A82951">
        <w:rPr>
          <w:rFonts w:cs="Arial"/>
          <w:rtl/>
        </w:rPr>
        <w:t>-</w:t>
      </w:r>
      <w:r>
        <w:rPr>
          <w:rFonts w:cs="Arial"/>
          <w:rtl/>
        </w:rPr>
        <w:t xml:space="preserve"> אין קפידא אם הבעל בעיר</w:t>
      </w:r>
      <w:r>
        <w:rPr>
          <w:rStyle w:val="a7"/>
          <w:rFonts w:cs="Arial"/>
          <w:rtl/>
        </w:rPr>
        <w:footnoteReference w:id="2095"/>
      </w:r>
      <w:r>
        <w:rPr>
          <w:rFonts w:cs="Arial"/>
          <w:rtl/>
        </w:rPr>
        <w:t>.</w:t>
      </w:r>
      <w:r>
        <w:rPr>
          <w:color w:val="00B0F0"/>
          <w:rtl/>
        </w:rPr>
        <w:t xml:space="preserve"> (וכ"פ הרמ"א)</w:t>
      </w:r>
    </w:p>
    <w:p w14:paraId="2988CAFC"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7FDFE635" w14:textId="5F0E2AF6" w:rsidR="00FA2119" w:rsidRDefault="00FA2119" w:rsidP="00FA2119">
      <w:pPr>
        <w:rPr>
          <w:rtl/>
        </w:rPr>
      </w:pPr>
      <w:r>
        <w:rPr>
          <w:rFonts w:cs="Arial"/>
          <w:rtl/>
        </w:rPr>
        <w:t xml:space="preserve">עשתה שליח לקבלה בעדים, והגט יוצא מתחת ידו, והבעל אומר: מזוייף הוא, אם נתקיים בחותמיו או בעידי מסירה, הרי זו מגורשת. ואם הוא מודה שכתבו, אלא שאומר שלא נתנו בתורת גירושין אלא בתורת פקדון, והשליח אומר שקבלו בשבילה שתתגרש בו, השליח נאמן אפילו אם שלשתם בעיר אחת. ויש אומרים שאם שלשתם בעיר אחת, הבעל נאמן, דאם איתא דבתורת גירושין יהביה, לדידה הוה יהיב לה. ודוקא כשטוען שלפקדון נתנו לו, אבל אם טוען שעשאו שליח להולכה, ורוצה לחזור בו קודם שיגיע לידה, אינו נאמן. ואם אינם בעיר אחת, השליח נאמן, והוא שבאים בפנינו עדים שעשאתו שליח לקבלה, והשליח אומר שמסרו בפני עדים. </w:t>
      </w:r>
      <w:r>
        <w:rPr>
          <w:rFonts w:cs="Arial"/>
          <w:sz w:val="18"/>
          <w:szCs w:val="18"/>
          <w:rtl/>
        </w:rPr>
        <w:t xml:space="preserve">הגה: ויש אומרים דוקא שהגט יוצא מתחת ידו, אבל אין הגט בידו אינו נאמן, אפילו היה לו עדים שראוהו תחת ידו (טור בשם הרא"ש). </w:t>
      </w:r>
      <w:r>
        <w:rPr>
          <w:rFonts w:cs="Arial"/>
          <w:rtl/>
        </w:rPr>
        <w:t xml:space="preserve">ולסברא זו טוב ליזהר שלא לגרש על ידי שליח כשהבעל והאשה בעיר אחת, משום דמצי מיפק מיניה חורבה, שאם יטעון שלא נתנו לו לגירושין, שהוא נאמן. </w:t>
      </w:r>
      <w:r>
        <w:rPr>
          <w:rFonts w:cs="Arial"/>
          <w:sz w:val="18"/>
          <w:szCs w:val="18"/>
          <w:rtl/>
        </w:rPr>
        <w:t>הגה: ואין חילוק בזה בין שליח הולכה לשליח קבלה (רי"ף). מיהו בזמן שהרשאה בידו</w:t>
      </w:r>
      <w:r>
        <w:rPr>
          <w:rStyle w:val="a7"/>
          <w:rFonts w:cs="Arial"/>
          <w:sz w:val="18"/>
          <w:szCs w:val="18"/>
          <w:rtl/>
        </w:rPr>
        <w:footnoteReference w:id="2096"/>
      </w:r>
      <w:r>
        <w:rPr>
          <w:rFonts w:cs="Arial"/>
          <w:sz w:val="18"/>
          <w:szCs w:val="18"/>
          <w:rtl/>
        </w:rPr>
        <w:t xml:space="preserve"> שנעשה שליח לגרש אין חילוק בין אם הבעל בעיר או לא</w:t>
      </w:r>
      <w:r>
        <w:rPr>
          <w:rStyle w:val="a7"/>
          <w:rFonts w:cs="Arial"/>
          <w:sz w:val="18"/>
          <w:szCs w:val="18"/>
          <w:rtl/>
        </w:rPr>
        <w:footnoteReference w:id="2097"/>
      </w:r>
      <w:r>
        <w:rPr>
          <w:rFonts w:cs="Arial"/>
          <w:sz w:val="18"/>
          <w:szCs w:val="18"/>
          <w:rtl/>
        </w:rPr>
        <w:t xml:space="preserve"> (מהר"ם פ</w:t>
      </w:r>
      <w:r w:rsidR="004C25EB">
        <w:rPr>
          <w:rFonts w:cs="Arial" w:hint="cs"/>
          <w:sz w:val="18"/>
          <w:szCs w:val="18"/>
          <w:rtl/>
        </w:rPr>
        <w:t>א</w:t>
      </w:r>
      <w:r>
        <w:rPr>
          <w:rFonts w:cs="Arial"/>
          <w:sz w:val="18"/>
          <w:szCs w:val="18"/>
          <w:rtl/>
        </w:rPr>
        <w:t xml:space="preserve">דווה). </w:t>
      </w:r>
      <w:r>
        <w:rPr>
          <w:rFonts w:cs="Arial"/>
          <w:rtl/>
        </w:rPr>
        <w:t>ואם האשה אומרת: בפני קבלו שליח לגירושין, נאמנת</w:t>
      </w:r>
      <w:r w:rsidR="003B7249">
        <w:rPr>
          <w:rStyle w:val="a7"/>
          <w:rFonts w:cs="Arial"/>
          <w:rtl/>
        </w:rPr>
        <w:footnoteReference w:id="2098"/>
      </w:r>
      <w:r>
        <w:rPr>
          <w:rFonts w:cs="Arial"/>
          <w:rtl/>
        </w:rPr>
        <w:t xml:space="preserve">. ויש אומרים דוקא כשהגט ביד האשה. </w:t>
      </w:r>
    </w:p>
    <w:p w14:paraId="4B8F7617" w14:textId="77777777" w:rsidR="00FA2119" w:rsidRDefault="00FA2119" w:rsidP="00FA2119">
      <w:pPr>
        <w:rPr>
          <w:rtl/>
        </w:rPr>
      </w:pPr>
    </w:p>
    <w:p w14:paraId="59B22D7D" w14:textId="5332C7A1" w:rsidR="00FA2119" w:rsidRDefault="00FA2119" w:rsidP="00FA2119">
      <w:pPr>
        <w:pStyle w:val="2"/>
        <w:rPr>
          <w:rtl/>
        </w:rPr>
      </w:pPr>
      <w:r>
        <w:rPr>
          <w:rtl/>
        </w:rPr>
        <w:t xml:space="preserve">סעיף נו: בעל אומר לפקדון ושליש אומר לגירושין </w:t>
      </w:r>
      <w:r w:rsidR="00A82951">
        <w:rPr>
          <w:rtl/>
        </w:rPr>
        <w:t>-</w:t>
      </w:r>
      <w:r>
        <w:rPr>
          <w:rtl/>
        </w:rPr>
        <w:t xml:space="preserve"> והגט אבד / ביד האשה.</w:t>
      </w:r>
    </w:p>
    <w:p w14:paraId="6DA373FA" w14:textId="5E8FCF3E" w:rsidR="003B7249" w:rsidRPr="003B7249" w:rsidRDefault="003B7249" w:rsidP="003B7249">
      <w:pPr>
        <w:rPr>
          <w:rtl/>
        </w:rPr>
      </w:pPr>
      <w:r>
        <w:rPr>
          <w:rFonts w:hint="cs"/>
          <w:rtl/>
        </w:rPr>
        <w:t>עיין במקורות בסעיף נה.</w:t>
      </w:r>
    </w:p>
    <w:p w14:paraId="77F2E77F" w14:textId="5647CAEE" w:rsidR="00FA2119" w:rsidRDefault="00FA2119" w:rsidP="00FA2119">
      <w:pPr>
        <w:rPr>
          <w:rFonts w:cs="Arial"/>
          <w:rtl/>
        </w:rPr>
      </w:pPr>
      <w:r>
        <w:rPr>
          <w:rFonts w:cs="Arial"/>
          <w:b/>
          <w:bCs/>
          <w:rtl/>
        </w:rPr>
        <w:t xml:space="preserve">גיטין </w:t>
      </w:r>
      <w:r>
        <w:rPr>
          <w:rFonts w:cs="Arial"/>
          <w:b/>
          <w:bCs/>
          <w:sz w:val="16"/>
          <w:szCs w:val="16"/>
          <w:rtl/>
        </w:rPr>
        <w:t xml:space="preserve">(פ' התקבל) </w:t>
      </w:r>
      <w:r>
        <w:rPr>
          <w:rFonts w:cs="Arial"/>
          <w:b/>
          <w:bCs/>
          <w:rtl/>
        </w:rPr>
        <w:t>סד ע"א:</w:t>
      </w:r>
      <w:r>
        <w:rPr>
          <w:rFonts w:cs="Arial"/>
          <w:rtl/>
        </w:rPr>
        <w:t xml:space="preserve"> בעל אמר לגירושין, ושליש אומר לגירושין, והיא אומרת נתן לי ואבד, </w:t>
      </w:r>
      <w:r>
        <w:rPr>
          <w:rFonts w:cs="Arial"/>
          <w:u w:val="single"/>
          <w:rtl/>
        </w:rPr>
        <w:t>אמר רבי יוחנן</w:t>
      </w:r>
      <w:r>
        <w:rPr>
          <w:rFonts w:cs="Arial"/>
          <w:rtl/>
        </w:rPr>
        <w:t xml:space="preserve">: הוה דבר שבערוה, ואין דבר שבערוה פחות משנים. ואמאי? וליהימניה לשליש! מי קא נפיק גיטא מתותי ידיה דלהימניה? ולהימניה לבעל, דאמר רב חייא בר אבין א"ר יוחנן: בעל שאמר גירשתי את אשתי </w:t>
      </w:r>
      <w:r w:rsidR="00A82951">
        <w:rPr>
          <w:rFonts w:cs="Arial"/>
          <w:rtl/>
        </w:rPr>
        <w:t>-</w:t>
      </w:r>
      <w:r>
        <w:rPr>
          <w:rFonts w:cs="Arial"/>
          <w:rtl/>
        </w:rPr>
        <w:t xml:space="preserve"> נאמן! מי קאמר גירשתי? ולימא: חזקה שליח עושה שליחותו! דאמר רבי יצחק: האומר לשלוחו צא וקדש לי אשה סתם, ומת שלוחו </w:t>
      </w:r>
      <w:r w:rsidR="00A82951">
        <w:rPr>
          <w:rFonts w:cs="Arial"/>
          <w:rtl/>
        </w:rPr>
        <w:t>-</w:t>
      </w:r>
      <w:r>
        <w:rPr>
          <w:rFonts w:cs="Arial"/>
          <w:rtl/>
        </w:rPr>
        <w:t xml:space="preserve"> אסור בכל הנשים שבעולם, חזקה שליח עושה שליחותו!</w:t>
      </w:r>
      <w:r>
        <w:rPr>
          <w:sz w:val="14"/>
          <w:szCs w:val="14"/>
          <w:rtl/>
        </w:rPr>
        <w:t xml:space="preserve"> (סד:) </w:t>
      </w:r>
      <w:r>
        <w:rPr>
          <w:rFonts w:cs="Arial"/>
          <w:rtl/>
        </w:rPr>
        <w:t xml:space="preserve">הני מילי לחומרא, אבל לקולא לא. וליהמנה לדידה מדרב המנונא, דאמר רב המנונא: האשה שאמרה לבעלה גירשתני </w:t>
      </w:r>
      <w:r w:rsidR="00A82951">
        <w:rPr>
          <w:rFonts w:cs="Arial"/>
          <w:rtl/>
        </w:rPr>
        <w:t>-</w:t>
      </w:r>
      <w:r>
        <w:rPr>
          <w:rFonts w:cs="Arial"/>
          <w:rtl/>
        </w:rPr>
        <w:t xml:space="preserve"> נאמנת, חזקה אין האשה מעיזה פניה בפני בעלה! ה"מ היכא דליכא דקא מסייע לה, אבל היכא דמסייע לה </w:t>
      </w:r>
      <w:r w:rsidR="00A82951">
        <w:rPr>
          <w:rFonts w:cs="Arial"/>
          <w:rtl/>
        </w:rPr>
        <w:t>-</w:t>
      </w:r>
      <w:r>
        <w:rPr>
          <w:rFonts w:cs="Arial"/>
          <w:rtl/>
        </w:rPr>
        <w:t xml:space="preserve"> מעיזה ומעיזה. </w:t>
      </w:r>
      <w:r>
        <w:rPr>
          <w:rFonts w:cs="Arial"/>
          <w:sz w:val="16"/>
          <w:szCs w:val="16"/>
          <w:rtl/>
        </w:rPr>
        <w:t xml:space="preserve">(ופירש רש"י דבשליח להולכה עסקינן. ועל כרחך צריך לומר כן, דאי בשליח קבלה, מאי משני 'מי קאמר גירשתי', הא כיון דאמר דמסרו לשליח קבלה הרי הוא אומר גירשתי. ועוד מאי פריך 'ולימא חזקה שליח עושה שליחותו'. ורי"ו שכתב בח"ג (שם רט ע"ד) פירוש ויש עדים ששליש הוא השליח לקבלה </w:t>
      </w:r>
      <w:r w:rsidR="00A82951">
        <w:rPr>
          <w:rFonts w:cs="Arial"/>
          <w:sz w:val="16"/>
          <w:szCs w:val="16"/>
          <w:rtl/>
        </w:rPr>
        <w:t>-</w:t>
      </w:r>
      <w:r>
        <w:rPr>
          <w:rFonts w:cs="Arial"/>
          <w:sz w:val="16"/>
          <w:szCs w:val="16"/>
          <w:rtl/>
        </w:rPr>
        <w:t xml:space="preserve"> לא דק. ואע"פ שְקַבָּלַתָה מיד השליח כראוי הוא בעדי מסירה לדעת התוספות (ד. ד"ה דקיימא) והרא"ש (פ"ט סי' ז) כמבואר בסימן קל"ג, צריך לומר לדעתם שעדי מסירה הלכו למדינת הים או מתו, שאם לא כן יבואו ויעידו, ב"י)</w:t>
      </w:r>
    </w:p>
    <w:p w14:paraId="3CA7E3C1" w14:textId="3D021D31" w:rsidR="00FA2119" w:rsidRDefault="00FA2119" w:rsidP="00FA2119">
      <w:pPr>
        <w:rPr>
          <w:u w:val="single"/>
          <w:rtl/>
        </w:rPr>
      </w:pPr>
      <w:r>
        <w:rPr>
          <w:rFonts w:cs="Arial"/>
          <w:u w:val="single"/>
          <w:rtl/>
        </w:rPr>
        <w:lastRenderedPageBreak/>
        <w:t xml:space="preserve">בעל אומר לפקדון ושליש אומר לגירושין </w:t>
      </w:r>
      <w:r w:rsidR="00A82951">
        <w:rPr>
          <w:rFonts w:cs="Arial"/>
          <w:u w:val="single"/>
          <w:rtl/>
        </w:rPr>
        <w:t>-</w:t>
      </w:r>
      <w:r>
        <w:rPr>
          <w:rFonts w:cs="Arial"/>
          <w:u w:val="single"/>
          <w:rtl/>
        </w:rPr>
        <w:t xml:space="preserve"> והגט אבד:</w:t>
      </w:r>
    </w:p>
    <w:p w14:paraId="1C0FADCC" w14:textId="29F0C90F" w:rsidR="00FA2119" w:rsidRDefault="00D60B01" w:rsidP="00D60B01">
      <w:pPr>
        <w:pStyle w:val="ab"/>
        <w:numPr>
          <w:ilvl w:val="0"/>
          <w:numId w:val="102"/>
        </w:numPr>
      </w:pPr>
      <w:r>
        <w:rPr>
          <w:rFonts w:cs="Arial"/>
          <w:rtl/>
        </w:rPr>
        <w:t>רמב"ם</w:t>
      </w:r>
      <w:r>
        <w:rPr>
          <w:rStyle w:val="a7"/>
          <w:color w:val="000000" w:themeColor="text1"/>
          <w:rtl/>
        </w:rPr>
        <w:footnoteReference w:id="2099"/>
      </w:r>
      <w:r>
        <w:rPr>
          <w:rFonts w:cs="Arial"/>
          <w:sz w:val="16"/>
          <w:szCs w:val="16"/>
          <w:rtl/>
        </w:rPr>
        <w:t xml:space="preserve"> (פי"ב הי"ב)</w:t>
      </w:r>
      <w:r>
        <w:rPr>
          <w:rFonts w:cs="Arial" w:hint="cs"/>
          <w:rtl/>
        </w:rPr>
        <w:t xml:space="preserve"> ו</w:t>
      </w:r>
      <w:r w:rsidR="00FA2119">
        <w:rPr>
          <w:rFonts w:cs="Arial"/>
          <w:rtl/>
        </w:rPr>
        <w:t>טור</w:t>
      </w:r>
      <w:r w:rsidR="00A82951">
        <w:rPr>
          <w:rFonts w:cs="Arial"/>
          <w:rtl/>
        </w:rPr>
        <w:t>-</w:t>
      </w:r>
      <w:r w:rsidR="00FA2119">
        <w:rPr>
          <w:rFonts w:cs="Arial"/>
          <w:rtl/>
        </w:rPr>
        <w:t xml:space="preserve"> נאבד הגט, והיא אומרת שקבלתו מיד השליח כראוי ונתגרשה בקבלתה, אע"פ שהבעל והשליח שניהם מודים שבא ליד השליח כדי שיתנו ליד האשה שתתגרש בו </w:t>
      </w:r>
      <w:r w:rsidR="00A82951">
        <w:rPr>
          <w:rFonts w:cs="Arial"/>
          <w:rtl/>
        </w:rPr>
        <w:t>-</w:t>
      </w:r>
      <w:r w:rsidR="00FA2119">
        <w:rPr>
          <w:rFonts w:cs="Arial"/>
          <w:rtl/>
        </w:rPr>
        <w:t xml:space="preserve"> אינו גט, כיון שאין עדים שראו הגט ביד האשה</w:t>
      </w:r>
      <w:r w:rsidR="00FA2119">
        <w:rPr>
          <w:rStyle w:val="a7"/>
          <w:rFonts w:cs="Arial"/>
          <w:rtl/>
        </w:rPr>
        <w:footnoteReference w:id="2100"/>
      </w:r>
      <w:r w:rsidR="00FA2119">
        <w:rPr>
          <w:rFonts w:cs="Arial"/>
          <w:rtl/>
        </w:rPr>
        <w:t xml:space="preserve">, ואין כאן ב' עדים אלא השליח לבד, ומ"מ כיון שחזקה שליח עושה שליחותו </w:t>
      </w:r>
      <w:r w:rsidR="00A82951">
        <w:rPr>
          <w:rFonts w:cs="Arial"/>
          <w:rtl/>
        </w:rPr>
        <w:t>-</w:t>
      </w:r>
      <w:r w:rsidR="00FA2119">
        <w:rPr>
          <w:rFonts w:cs="Arial"/>
          <w:rtl/>
        </w:rPr>
        <w:t xml:space="preserve"> הויא ספק מגורשת, ואם בעלה כהן אסורה לו, ולעלמא לא משתריא עד דיהיב לה גיטא אחרינא, ואם מת אסורה לכהן, ואם יש לה יבם חולצת ולא מתייבמת</w:t>
      </w:r>
      <w:r w:rsidR="00FA2119">
        <w:rPr>
          <w:rStyle w:val="a7"/>
          <w:rFonts w:cs="Arial"/>
          <w:rtl/>
        </w:rPr>
        <w:footnoteReference w:id="2101"/>
      </w:r>
      <w:r w:rsidR="00FA2119">
        <w:rPr>
          <w:rFonts w:cs="Arial"/>
          <w:rtl/>
        </w:rPr>
        <w:t xml:space="preserve">. וכתב הרמב"ם אפילו אמרה בפני נתנו לשליח לגירושין ונתנו לה, הואיל והשליח והבעל מסייעים אותה </w:t>
      </w:r>
      <w:r w:rsidR="00A82951">
        <w:rPr>
          <w:rFonts w:cs="Arial"/>
          <w:rtl/>
        </w:rPr>
        <w:t>-</w:t>
      </w:r>
      <w:r w:rsidR="00FA2119">
        <w:rPr>
          <w:rFonts w:cs="Arial"/>
          <w:rtl/>
        </w:rPr>
        <w:t xml:space="preserve"> איפשר שתעיז פניה ושמא עדיין לא נתגרשה</w:t>
      </w:r>
      <w:r w:rsidR="00FA2119">
        <w:rPr>
          <w:rStyle w:val="a7"/>
          <w:rFonts w:cs="Arial"/>
          <w:rtl/>
        </w:rPr>
        <w:footnoteReference w:id="2102"/>
      </w:r>
      <w:r>
        <w:rPr>
          <w:rFonts w:cs="Arial" w:hint="cs"/>
          <w:sz w:val="16"/>
          <w:szCs w:val="16"/>
          <w:rtl/>
        </w:rPr>
        <w:t xml:space="preserve"> (ל' הטור)</w:t>
      </w:r>
      <w:r w:rsidR="00FA2119">
        <w:rPr>
          <w:rFonts w:cs="Arial"/>
          <w:rtl/>
        </w:rPr>
        <w:t>.</w:t>
      </w:r>
      <w:r>
        <w:rPr>
          <w:rFonts w:cs="Arial" w:hint="cs"/>
          <w:rtl/>
        </w:rPr>
        <w:t xml:space="preserve"> </w:t>
      </w:r>
      <w:r w:rsidR="00FA2119" w:rsidRPr="00D60B01">
        <w:rPr>
          <w:color w:val="E36C0A" w:themeColor="accent6" w:themeShade="BF"/>
          <w:rtl/>
        </w:rPr>
        <w:t>(וכ"פ בשו"ע)</w:t>
      </w:r>
    </w:p>
    <w:p w14:paraId="208B3404"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7574D2E" w14:textId="77777777" w:rsidR="00FA2119" w:rsidRDefault="00FA2119" w:rsidP="00FA2119">
      <w:pPr>
        <w:rPr>
          <w:rtl/>
        </w:rPr>
      </w:pPr>
      <w:r>
        <w:rPr>
          <w:rFonts w:cs="Arial"/>
          <w:rtl/>
        </w:rPr>
        <w:t>היה הגט יוצא מיד האשה והיא אומרת: שליח זה נתנו לי לגירושין, והשליח אומר: כן נתתיו לה לגירושין, והבעל אומר: לא נתתיו לו אלא לפקדון, השליח נאמן והיא מגורשת</w:t>
      </w:r>
      <w:r>
        <w:rPr>
          <w:rStyle w:val="a7"/>
          <w:rFonts w:cs="Arial"/>
          <w:rtl/>
        </w:rPr>
        <w:footnoteReference w:id="2103"/>
      </w:r>
      <w:r>
        <w:rPr>
          <w:rFonts w:cs="Arial"/>
          <w:rtl/>
        </w:rPr>
        <w:t>. ואם אבד הגט ואין עדים שראו אותו בידה, אף על פי שהבעל אומר: לגירושין נתתיו לשליח</w:t>
      </w:r>
      <w:r>
        <w:rPr>
          <w:rStyle w:val="a7"/>
          <w:rFonts w:cs="Arial"/>
          <w:rtl/>
        </w:rPr>
        <w:footnoteReference w:id="2104"/>
      </w:r>
      <w:r>
        <w:rPr>
          <w:rFonts w:cs="Arial"/>
          <w:rtl/>
        </w:rPr>
        <w:t xml:space="preserve">, והשליח אומר: נתתיו לה, הרי זו ספק מגורשת, שהרי הוחזקה אשת איש, ואין כאן אלא עד אחד ובעל. ואפילו אמרה האשה: בפני נתנתו לו לגירושין ונתנו השליח לי, הואיל והבעל והשליח מסייעים אותה אפשר שתעיז פניה, ושמא לא נתגרשה. </w:t>
      </w:r>
    </w:p>
    <w:p w14:paraId="0B389B61" w14:textId="77777777" w:rsidR="00FA2119" w:rsidRDefault="00FA2119" w:rsidP="00FA2119">
      <w:pPr>
        <w:rPr>
          <w:rtl/>
        </w:rPr>
      </w:pPr>
    </w:p>
    <w:p w14:paraId="15AD9E86" w14:textId="77777777" w:rsidR="00FA2119" w:rsidRDefault="00FA2119" w:rsidP="00FA2119">
      <w:pPr>
        <w:pStyle w:val="2"/>
        <w:rPr>
          <w:rtl/>
        </w:rPr>
      </w:pPr>
      <w:r>
        <w:rPr>
          <w:rtl/>
        </w:rPr>
        <w:t>סעיף נז: גט הגיע לאשה ע"י שליח, ואינה יודעת אם הגט נשלח ע"י שליח קבלתה או בעלה.</w:t>
      </w:r>
    </w:p>
    <w:p w14:paraId="40A73CB1" w14:textId="086BA76B" w:rsidR="00FA2119" w:rsidRDefault="00FA2119" w:rsidP="00FA2119">
      <w:pPr>
        <w:rPr>
          <w:u w:val="single"/>
          <w:rtl/>
        </w:rPr>
      </w:pPr>
      <w:r>
        <w:rPr>
          <w:u w:val="single"/>
          <w:rtl/>
        </w:rPr>
        <w:t xml:space="preserve">גט שהגיע לאשה ע"י שליח </w:t>
      </w:r>
      <w:r w:rsidR="00A82951">
        <w:rPr>
          <w:u w:val="single"/>
          <w:rtl/>
        </w:rPr>
        <w:t>-</w:t>
      </w:r>
      <w:r>
        <w:rPr>
          <w:u w:val="single"/>
          <w:rtl/>
        </w:rPr>
        <w:t xml:space="preserve"> ואינה יודעת אם הגט נשלח ע"י שליח קבלתה, או ע"י בעלה </w:t>
      </w:r>
      <w:r>
        <w:rPr>
          <w:sz w:val="16"/>
          <w:szCs w:val="16"/>
          <w:u w:val="single"/>
          <w:rtl/>
        </w:rPr>
        <w:t>(או ע"י שלוחו)</w:t>
      </w:r>
      <w:r>
        <w:rPr>
          <w:u w:val="single"/>
          <w:rtl/>
        </w:rPr>
        <w:t>:</w:t>
      </w:r>
    </w:p>
    <w:p w14:paraId="6AD02D1D" w14:textId="3E4AD9FF" w:rsidR="00FA2119" w:rsidRDefault="00FA2119" w:rsidP="006A458D">
      <w:pPr>
        <w:pStyle w:val="ab"/>
        <w:numPr>
          <w:ilvl w:val="0"/>
          <w:numId w:val="102"/>
        </w:numPr>
        <w:rPr>
          <w:rtl/>
        </w:rPr>
      </w:pPr>
      <w:r>
        <w:rPr>
          <w:rFonts w:cs="Arial"/>
          <w:rtl/>
        </w:rPr>
        <w:t>רמב"ם</w:t>
      </w:r>
      <w:r>
        <w:rPr>
          <w:rFonts w:cs="Arial"/>
          <w:sz w:val="16"/>
          <w:szCs w:val="16"/>
          <w:rtl/>
        </w:rPr>
        <w:t xml:space="preserve"> (פי"ב הי"ג)</w:t>
      </w:r>
      <w:r>
        <w:rPr>
          <w:rFonts w:cs="Arial"/>
          <w:rtl/>
        </w:rPr>
        <w:t xml:space="preserve"> וטור</w:t>
      </w:r>
      <w:r w:rsidR="00A82951">
        <w:rPr>
          <w:rFonts w:cs="Arial"/>
          <w:rtl/>
        </w:rPr>
        <w:t>-</w:t>
      </w:r>
      <w:r>
        <w:rPr>
          <w:rFonts w:cs="Arial"/>
          <w:rtl/>
        </w:rPr>
        <w:t xml:space="preserve"> שליח קבלה שקיבל גט לאשה, ושלחו לה בפני שני עדים, והגיע הגט לידה ונטלתו והרי הגט יוצא מתחת ידה, והיא אינה יודעת</w:t>
      </w:r>
      <w:r>
        <w:rPr>
          <w:rStyle w:val="a7"/>
          <w:rFonts w:cs="Arial"/>
          <w:rtl/>
        </w:rPr>
        <w:footnoteReference w:id="2105"/>
      </w:r>
      <w:r>
        <w:rPr>
          <w:rFonts w:cs="Arial"/>
          <w:rtl/>
        </w:rPr>
        <w:t xml:space="preserve"> אם בעלה שלחו לה, או שליח קבלה שלה, או שלוחו של בעלה </w:t>
      </w:r>
      <w:r w:rsidR="00A82951">
        <w:rPr>
          <w:rFonts w:cs="Arial"/>
          <w:rtl/>
        </w:rPr>
        <w:t>-</w:t>
      </w:r>
      <w:r>
        <w:rPr>
          <w:rFonts w:cs="Arial"/>
          <w:rtl/>
        </w:rPr>
        <w:t xml:space="preserve"> הרי זו מגורשת כמו שביארנו</w:t>
      </w:r>
      <w:r>
        <w:rPr>
          <w:rStyle w:val="a7"/>
          <w:rFonts w:cs="Arial"/>
          <w:rtl/>
        </w:rPr>
        <w:footnoteReference w:id="2106"/>
      </w:r>
      <w:r>
        <w:rPr>
          <w:rFonts w:cs="Arial"/>
          <w:sz w:val="16"/>
          <w:szCs w:val="16"/>
          <w:rtl/>
        </w:rPr>
        <w:t xml:space="preserve"> (ל' הרמב"ם)</w:t>
      </w:r>
      <w:r>
        <w:rPr>
          <w:rFonts w:cs="Arial"/>
          <w:rtl/>
        </w:rPr>
        <w:t xml:space="preserve">. </w:t>
      </w:r>
      <w:r>
        <w:rPr>
          <w:color w:val="E36C0A" w:themeColor="accent6" w:themeShade="BF"/>
          <w:rtl/>
        </w:rPr>
        <w:t>(וכ"ס בשו"ע)</w:t>
      </w:r>
    </w:p>
    <w:p w14:paraId="4F5F9111" w14:textId="77777777" w:rsidR="00FA2119" w:rsidRDefault="00FA2119" w:rsidP="00FA2119">
      <w:pPr>
        <w:ind w:left="360"/>
        <w:rPr>
          <w:u w:val="dotted"/>
        </w:rPr>
      </w:pPr>
      <w:r>
        <w:rPr>
          <w:u w:val="dotted"/>
          <w:rtl/>
        </w:rPr>
        <w:lastRenderedPageBreak/>
        <w:t>ומה הדין אם הבעל מערער:</w:t>
      </w:r>
    </w:p>
    <w:p w14:paraId="204D29CC" w14:textId="08C18FD2" w:rsidR="00FA2119" w:rsidRDefault="00FA2119" w:rsidP="006A458D">
      <w:pPr>
        <w:pStyle w:val="ab"/>
        <w:numPr>
          <w:ilvl w:val="0"/>
          <w:numId w:val="102"/>
        </w:numPr>
      </w:pPr>
      <w:r>
        <w:rPr>
          <w:rFonts w:cs="Arial"/>
          <w:rtl/>
        </w:rPr>
        <w:t>רמב"ם</w:t>
      </w:r>
      <w:r>
        <w:rPr>
          <w:rFonts w:cs="Arial"/>
          <w:sz w:val="16"/>
          <w:szCs w:val="16"/>
          <w:rtl/>
        </w:rPr>
        <w:t xml:space="preserve"> (פי"ב הי"ד)</w:t>
      </w:r>
      <w:r>
        <w:rPr>
          <w:rFonts w:cs="Arial"/>
          <w:rtl/>
        </w:rPr>
        <w:t xml:space="preserve"> וטור</w:t>
      </w:r>
      <w:r w:rsidR="00A82951">
        <w:rPr>
          <w:rFonts w:cs="Arial"/>
          <w:rtl/>
        </w:rPr>
        <w:t>-</w:t>
      </w:r>
      <w:r>
        <w:rPr>
          <w:rFonts w:cs="Arial"/>
          <w:rtl/>
        </w:rPr>
        <w:t xml:space="preserve"> בא הבעל וערער שלא כתבו או שהוא גט בטל </w:t>
      </w:r>
      <w:r w:rsidR="00A82951">
        <w:rPr>
          <w:rFonts w:cs="Arial"/>
          <w:rtl/>
        </w:rPr>
        <w:t>-</w:t>
      </w:r>
      <w:r>
        <w:rPr>
          <w:rFonts w:cs="Arial"/>
          <w:rtl/>
        </w:rPr>
        <w:t xml:space="preserve"> יתקיים בחותמיו, שהרי עדים מעידים שהגט שנ</w:t>
      </w:r>
      <w:r w:rsidR="0058133B">
        <w:rPr>
          <w:rFonts w:cs="Arial" w:hint="cs"/>
          <w:rtl/>
        </w:rPr>
        <w:t>ַ</w:t>
      </w:r>
      <w:r>
        <w:rPr>
          <w:rFonts w:cs="Arial"/>
          <w:rtl/>
        </w:rPr>
        <w:t>תְנו</w:t>
      </w:r>
      <w:r w:rsidR="0058133B">
        <w:rPr>
          <w:rFonts w:cs="Arial" w:hint="cs"/>
          <w:rtl/>
        </w:rPr>
        <w:t>ּ</w:t>
      </w:r>
      <w:r>
        <w:rPr>
          <w:rFonts w:cs="Arial"/>
          <w:rtl/>
        </w:rPr>
        <w:t xml:space="preserve"> לה יצא מתחת ידי שלוחה שידו כידה, ואע"פ שהיא אינה יודעת הרי העדים ידעו. ואם לא נתקיים </w:t>
      </w:r>
      <w:r w:rsidR="00A82951">
        <w:rPr>
          <w:rFonts w:cs="Arial"/>
          <w:rtl/>
        </w:rPr>
        <w:t>-</w:t>
      </w:r>
      <w:r>
        <w:rPr>
          <w:rFonts w:cs="Arial"/>
          <w:rtl/>
        </w:rPr>
        <w:t xml:space="preserve"> אינה מגורשת</w:t>
      </w:r>
      <w:r>
        <w:rPr>
          <w:rFonts w:cs="Arial"/>
          <w:sz w:val="16"/>
          <w:szCs w:val="16"/>
          <w:rtl/>
        </w:rPr>
        <w:t xml:space="preserve"> (ל' הרמב"ם)</w:t>
      </w:r>
      <w:r>
        <w:rPr>
          <w:rFonts w:cs="Arial"/>
          <w:rtl/>
        </w:rPr>
        <w:t>.</w:t>
      </w:r>
      <w:r>
        <w:rPr>
          <w:color w:val="E36C0A" w:themeColor="accent6" w:themeShade="BF"/>
          <w:rtl/>
        </w:rPr>
        <w:t xml:space="preserve"> (וכ"ס בשו"ע)</w:t>
      </w:r>
    </w:p>
    <w:p w14:paraId="4B492ACF" w14:textId="77777777" w:rsidR="00FA2119" w:rsidRDefault="00FA2119" w:rsidP="00FA2119">
      <w:r>
        <w:rPr>
          <w:u w:val="single"/>
          <w:rtl/>
        </w:rPr>
        <w:t xml:space="preserve">גט שהגיע לאשה ע"י שליח, ומעיד השליח </w:t>
      </w:r>
      <w:r>
        <w:rPr>
          <w:sz w:val="16"/>
          <w:szCs w:val="16"/>
          <w:u w:val="single"/>
          <w:rtl/>
        </w:rPr>
        <w:t>(ועוד עד אחר עמו)</w:t>
      </w:r>
      <w:r>
        <w:rPr>
          <w:u w:val="single"/>
          <w:rtl/>
        </w:rPr>
        <w:t xml:space="preserve"> שראה שהגט נכתב ונחתם וניתן לשליח קבלתה:</w:t>
      </w:r>
    </w:p>
    <w:p w14:paraId="50FC2DC6" w14:textId="00FE8D0D" w:rsidR="00FA2119" w:rsidRDefault="00FA2119" w:rsidP="006A458D">
      <w:pPr>
        <w:pStyle w:val="ab"/>
        <w:numPr>
          <w:ilvl w:val="0"/>
          <w:numId w:val="102"/>
        </w:numPr>
      </w:pPr>
      <w:r>
        <w:rPr>
          <w:rFonts w:cs="Arial"/>
          <w:rtl/>
        </w:rPr>
        <w:t xml:space="preserve">רשב"א </w:t>
      </w:r>
      <w:r>
        <w:rPr>
          <w:rFonts w:cs="Arial"/>
          <w:sz w:val="16"/>
          <w:szCs w:val="16"/>
          <w:rtl/>
        </w:rPr>
        <w:t>(סי' אלף רכח)</w:t>
      </w:r>
      <w:r w:rsidR="00A82951">
        <w:rPr>
          <w:rFonts w:cs="Arial"/>
          <w:rtl/>
        </w:rPr>
        <w:t>-</w:t>
      </w:r>
      <w:r>
        <w:rPr>
          <w:rFonts w:cs="Arial"/>
          <w:rtl/>
        </w:rPr>
        <w:t xml:space="preserve"> שאלתם באשה שעשתה שליח קבלה, והגיע לידה ע"י אחר שהעיד שבפניו נכתב ונחתם לשמה, ובא ליד אותו שליח קבלה, והביא שטר חתום בשני עדים שבא הגט ליד שליח קבלה, ושהשליח קבלה מסרו לזה להגיעו לידה, אבל אין אנו מכירין עדי השטר, אבל הגט נתקיים בפנינו על פי שליח זה ועד אחר שעמו שהעיד על חתימת עדי הגט.</w:t>
      </w:r>
      <w:r>
        <w:rPr>
          <w:rFonts w:cs="Arial"/>
          <w:rtl/>
        </w:rPr>
        <w:tab/>
        <w:t xml:space="preserve">   תשובה: מסתברא שהגט כשר ומותרת לינשא בו, דלשמא לא נתנו הבעל לגירושין לא חיישינן, דכל שמסור ביד זה והוא אומר 'לגירושין ניתן לי' הוא נאמן לכולי עלמא. ולא עוד אלא אפילו בא הבעל וערער ואמר לא מסרתיו אלא לפקדון, זה שהגט בידו נאמן, דקיי"ל כרב חסדא דאמר שליש נאמן. ולשמא לא נכתב ונחתם לשמה לא חיישינן, דאין אדם עשוי לקלקל את אשתו בידי שמים וכדאיתא בירושלמי פ"ק דגיטין (ה"א). וכיון שכן למה נחוש? לקיום לא חיישינן, דהא איכא תרי דמקיימי ליה בחותמיו, לשמה לא חיישינן, לפקדון לא חיישינן. ואילו הביאו שליח קבלה היה נאמן לומר לגירושין נתנו לי כמו שאמרה היא, ואע"פ שלא הביאו השליח קבלה, זה נאמן, דלא גרע משליח הולכה שאילו רצה לומר שליח הולכה אני נאמן להתירה, השתא נמי נאמן לומר 'השליח קבלה נתנו לי להביאו לידה'. ועוד שמעיד ואומר 'בפני נכתב ובפני נחתם ונמסר ליד השליח קבלה' שהוא נאמן משום האי מגו, וכענין שאמרו בריש גיטין (ה.) בעא שמואל מרב הונא שנים שהביאו גט וכו' אמר ליה אין צריכין, מה אילו אמרו בפנינו גירשה מי לא מהימני. והכא נמי אף אנו נאמר כן, אילו רצה זה לומר 'הבעל מסרו לי ובפני נכתב ונחתם' מי לא מהימן? ואע"פ שאינו אומר שהבעל מסרו לו, שליח קבלה כאן כבעל, שהרי זה מעיד שנמסר לידו מיד מי שהיה בידו להחזיקה גרושה. </w:t>
      </w:r>
    </w:p>
    <w:p w14:paraId="7574F851" w14:textId="77777777" w:rsidR="00FA2119" w:rsidRDefault="00FA2119" w:rsidP="00FA2119">
      <w:pPr>
        <w:rPr>
          <w:u w:val="single"/>
        </w:rPr>
      </w:pPr>
      <w:r>
        <w:rPr>
          <w:u w:val="single"/>
          <w:rtl/>
        </w:rPr>
        <w:t>אשה מינתה שליח קבלה, והשליח מינה שליח, והשליח החדש קיבל הגט וקרעו בפני ב"ד, ושלחו לאשה שטר על זה:</w:t>
      </w:r>
    </w:p>
    <w:p w14:paraId="23673124" w14:textId="0E5F6D8C" w:rsidR="00FA2119" w:rsidRDefault="00FA2119" w:rsidP="006A458D">
      <w:pPr>
        <w:pStyle w:val="ab"/>
        <w:numPr>
          <w:ilvl w:val="0"/>
          <w:numId w:val="102"/>
        </w:numPr>
      </w:pPr>
      <w:r>
        <w:rPr>
          <w:rFonts w:cs="Arial"/>
          <w:rtl/>
        </w:rPr>
        <w:t xml:space="preserve">רשב"ש </w:t>
      </w:r>
      <w:r>
        <w:rPr>
          <w:rFonts w:cs="Arial"/>
          <w:sz w:val="16"/>
          <w:szCs w:val="16"/>
          <w:rtl/>
        </w:rPr>
        <w:t>(סי' רסו)</w:t>
      </w:r>
      <w:r w:rsidR="00A82951">
        <w:rPr>
          <w:rFonts w:cs="Arial"/>
          <w:rtl/>
        </w:rPr>
        <w:t>-</w:t>
      </w:r>
      <w:r>
        <w:rPr>
          <w:rFonts w:cs="Arial"/>
          <w:rtl/>
        </w:rPr>
        <w:t xml:space="preserve"> אשה שמינתה שליח לקבל גיטה מיד בעלה בארץ רחוקה, והשליח עשה שליח וקיבל וקרע ושלח שטר עדות ליד האשה וחתימו ביה דייני איך קיבל וקרע, אלא שלא נתקיים השטר לנו בחותמיו </w:t>
      </w:r>
      <w:r w:rsidR="00A82951">
        <w:rPr>
          <w:rFonts w:cs="Arial"/>
          <w:rtl/>
        </w:rPr>
        <w:t>-</w:t>
      </w:r>
      <w:r>
        <w:rPr>
          <w:rFonts w:cs="Arial"/>
          <w:rtl/>
        </w:rPr>
        <w:t xml:space="preserve"> דעתי שאין הקיום מעכב בשטר זה משום דקיום שטרות דרבנן הוא (כתובות כא:), ומחלוקת ראשונים היא אי מעשה בית דין צריך קיום, וכיון שבמחלוקת היא תלויה והירושלמי אומר דמעשה בית דין לא צריך קיום, אע"פ שקצתם דחו ירושלמי זה מפני שהוא חולק על גמרתינו מההיא דעד ודיין אין מצטרפין, כיון שהרי"ף (ב"ב סוף עו.) והרמב"ם (עדות פ"ד ה"ו) מפרשים אותה באופן שלא תקשה על הירושלמי, על פי דרכם למדנו שאין מעשה בית דין צריך קיום, ונוספו עליהם רבוותא אחרים שסוברים כמותם ומחזרים לתרץ הירושלמי וגמרתינו כמו שתמצא בתשובה להרשב"א ובחידושי קצת תלמידיו בפרק ב' דכתובות, אע"פ שמגדולי הראשונים סוברים דמעשה בית דין צריך קיום, כגון ר"ח והרמב"ן (כתובות כא. ד"ה א"ל) והרשב"א תלמידו (שם ד"ה עד) </w:t>
      </w:r>
      <w:r w:rsidR="00A82951">
        <w:rPr>
          <w:rFonts w:cs="Arial"/>
          <w:rtl/>
        </w:rPr>
        <w:t>-</w:t>
      </w:r>
      <w:r>
        <w:rPr>
          <w:rFonts w:cs="Arial"/>
          <w:rtl/>
        </w:rPr>
        <w:t xml:space="preserve"> בשעת הדחק כזו כדאי הם הרי"ף והרמב"ם ז"ל. ובפרק קמא דנדה (ו:) כתבו רוב המפרשים דכל בדרבנן ואיכא פלוגתא דרבוותא אמרינן מעשה בית דין אין צריך קיום, ומקילינן עלה משום עיגונא. ואע"פ שבחשן משפט (סי' מו ס"ט) כתוב שקיום בית דין צריך קיום, ההוא לענין ממונא איתמר דהוה ליה קולא לנתבע. ואע"פ שה"ר פרץ (הו"ד בטור לעיל) כתב שבשליחות שהאשה עושה לקבל גיטה מיד בעלה שצריך לקיים השטר, והפליג להחמיר, אף אנו נודה שלכתחלה ולרווחא דמילתא טוב הוא להתקיים אם אפשר, אבל היכא דלא אפשר </w:t>
      </w:r>
      <w:r w:rsidR="00A82951">
        <w:rPr>
          <w:rFonts w:cs="Arial"/>
          <w:rtl/>
        </w:rPr>
        <w:t>-</w:t>
      </w:r>
      <w:r>
        <w:rPr>
          <w:rFonts w:cs="Arial"/>
          <w:rtl/>
        </w:rPr>
        <w:t xml:space="preserve"> לא מעגנינן אשה משום הכי. ובזה אפשר לקיים מה שכתב אדוני אבי ז"ל (תשבץ ח"ג סי' טז וסי' כב). אלא שלפי זה שכתבתי דוקא במעשה בית דין, ולפי מה שכתב אדוני אבי ז"ל אף בשטר שאין בו מעשה בית דין. ולענין מעשה הייתי מניח סברתי וסומך על סברתו שכבר הורה זקן (שבת נא.).        ומה שהשליח מינה שליח וכתב הגאון שאין השליח יכול לעשות שליח אא"כ ניתן לו רשות, וכן כתבו תלמידי הרשב"א בפ"ב דקידושין, עוד הוסיף הגאון דבשליח קבלה אפילו נתנה לו רשות אינו ממנה שליח, וכ"כ הרמ"ה דשליח קבלה אינו יכול למנות שליח ואפילו נתנה לו רשות דמילי נינהו ומילי לא מימסרן לשליח (גיטין כט.), אבל הרמב"ם כתב בפ"ז מהל' גירושין (ה"ד) דשליח ממנה שליח ולא פירש ולא חילק כלל בין שליח האשה לשליח האיש. והרב העיטור באות שי"ן (שלישות גט מז:) ג"כ חולק על הגאון וכתב דכמו דשליח הבעל ממנה שליח אף שליח האשה ממנה שליח אפילו עד כמה. ואף גדולי האחרונים (טור לעיל סוף נא:) חלקו על טעמו של הרמ"ה וכתבו דלא אמרינן מילי נינהו ומילי לא מימסרן לשליח אלא כגון שאמר לו לחתום בגט שאינו יכול לומר לאחר לחתום אבל למנות השליח שליח אחר לא אמרינן הכי. ולעניות דעתי אני אומר דלא גרעה אשה שאמרה התקבל לי גיטי מאשה שאמרה התקבל לי קידושי מיד פלוני, וכשם שהיא יכולה למנות שליח לקבל קידושיה והשליח שליח מדרשת ושלח ושלחה (דברים כד ג) כדאיתא פ"ב דקידושין (מא.), </w:t>
      </w:r>
      <w:r>
        <w:rPr>
          <w:rFonts w:cs="Arial"/>
          <w:rtl/>
        </w:rPr>
        <w:lastRenderedPageBreak/>
        <w:t xml:space="preserve">הכי נמי יכולה למנות שליח לקבל גיטה והשליח שליח, דכולהו מדרשה דחד קרא נפקי ואיתקש הויה ליציאה כדאיתא התם. ומאחר שהרמב"ם והעיטור והאחרונים מסכימים להתיר </w:t>
      </w:r>
      <w:r w:rsidR="00A82951">
        <w:rPr>
          <w:rFonts w:cs="Arial"/>
          <w:rtl/>
        </w:rPr>
        <w:t>-</w:t>
      </w:r>
      <w:r>
        <w:rPr>
          <w:rFonts w:cs="Arial"/>
          <w:rtl/>
        </w:rPr>
        <w:t xml:space="preserve"> ראוי לסמוך עליהם אפילו לא היתה לנו ראיה, כל שכן שראיה מבוארת היא לסמוך עליה.       ואע"פ שכתוב בשטר שנמסר הגט ביד השליח והוא לא נמסר אלא ביד שליח השליח אין לפסלו בזה כדאיתא בפרק כל הגט (כט:) כולהו מכח בעל קא אתו, הכא נמי אמרינן כולהו מכח אשה קא אתו, שאילו ביטלה האשה שליחות השליח הראשון אין שליחותו של שני כלום.      והא דמצרכינן (שם) בשליח דשליח הבעל שיתמנה בבית דין מהשליח הראשון התם היינו טעמא משום דצריך לומר בפני נכתב ובפני נחתם, אבל בנדון שלפנינו שאינו צריך לומר בפני נכתב ובפני נחתם אין צריך למנותו בבית דין.       ואע"ג דבשליח דבעל תנן (שם.) דאינו ממנה שליח אא"כ חלה בנדון זה אע"ג דלא חלה היה יכול למנות שליח דבשליח דבעל הוא דמצרכינן הכי משום דחיישינן לקפידא דבעל משום דאיכא אינשי דקפדי ואי שמעי מבטלי שליחותייהו, אבל הכא אנן סהדי דניחא לה שיקבלהו כל מי שירצה. ובכל מילי דבעל חיישינן לקפידא משום דאמרינן בעי לצערה וכדאמרינן בפרק מי שאחזו (עד:) גבי מעשה דצידן, אבל באשה כזו שהיא עגונה ומבקשת לימלט כצפור מפח אין לחוש לקפידתה בזה. והרשב"א כתב בפרק התקבל (סז. ד"ה רבי יוסי) דבעניין שליחות האשה היכא דקים לן שהיא רוצה בדבר לא בעינן שמיעת קולה והביא ראיה לדבריו</w:t>
      </w:r>
      <w:r>
        <w:rPr>
          <w:rStyle w:val="a7"/>
          <w:rFonts w:cs="Arial"/>
          <w:rtl/>
        </w:rPr>
        <w:footnoteReference w:id="2107"/>
      </w:r>
      <w:r>
        <w:rPr>
          <w:rFonts w:cs="Arial"/>
          <w:rtl/>
        </w:rPr>
        <w:t xml:space="preserve">.      ואע"פ שכתוב בשטר הלשון בלשון עדים, וחתמו דיינים </w:t>
      </w:r>
      <w:r w:rsidR="00A82951">
        <w:rPr>
          <w:rFonts w:cs="Arial"/>
          <w:rtl/>
        </w:rPr>
        <w:t>-</w:t>
      </w:r>
      <w:r>
        <w:rPr>
          <w:rFonts w:cs="Arial"/>
          <w:rtl/>
        </w:rPr>
        <w:t xml:space="preserve"> לא מיחזי כשיקרא, שהרי בפרק השולח (לג.) גבי בפני כמה מבטלו אמרינן לא שנא כתוב בלשון דיינים וחתמי עדים לא שנא כתוב בלשון עדים וחתמי דיינים. ואדוני אבי ז"ל כתב בתשובה (תשב"ץ ח"א סי' א ד ע"ד) דאף בדיינים שייך לשון עדות מההיא דאמרינן בפ"ב דכתובות (כא.) מאי דמסהיד סהדא לא מסהיד דיינא. עוד ראיתי אחד מהגדולים נסתפק בגט כזה שכתב הבית דין שנמסר ביד שליח האשה שמא העדים עצמם שחתמו בגט צירפו שלישי עמהם וחתמו במעשה בית דין, וחשש לזה שאין עד נעשה דיין (גיטין ה:), ושאל על זה את פי הר"ן ולא זכינו לתשובתו אבל לעניות דעתי נראה דלא שייך בזה עד נעשה דיין, לפי שבמעשה הזה אין צריך בית דין ולא אמרינן הכי אלא בקידוש החודש דבעי בית דין, אבל בנדון זה אין צריך בית דין כלל אלא הודעת עדים שקיבל ונקרע (גיטין סג:), וכל היכא דלא צריכי לבית דין לא חיישינן לעד נעשה דיין. ואח"כ מצאתי לאדוני אבי שהאריך בתשובה (שם) להראות פנים שאפילו במקום שצריך בית דין אין חוששין בנדון כזה לעד נעשה דיין. ועוד אני אומר שאפילו היה בדבר חשש כל עוד שלא יוודע לנו בפירוש שכן עשו </w:t>
      </w:r>
      <w:r w:rsidR="00A82951">
        <w:rPr>
          <w:rFonts w:cs="Arial"/>
          <w:rtl/>
        </w:rPr>
        <w:t>-</w:t>
      </w:r>
      <w:r>
        <w:rPr>
          <w:rFonts w:cs="Arial"/>
          <w:rtl/>
        </w:rPr>
        <w:t xml:space="preserve"> אין בודקין אחריהם, דבי דינא בתר בי דינא לא דייקי (ב"ב קלח:).</w:t>
      </w:r>
    </w:p>
    <w:p w14:paraId="48D4F357" w14:textId="6AA7D775" w:rsidR="00FA2119" w:rsidRDefault="00FA2119" w:rsidP="00FA2119">
      <w:pPr>
        <w:ind w:left="360"/>
        <w:rPr>
          <w:u w:val="dotted"/>
        </w:rPr>
      </w:pPr>
      <w:r>
        <w:rPr>
          <w:u w:val="dotted"/>
          <w:rtl/>
        </w:rPr>
        <w:t xml:space="preserve">עוד בענין גט שנראה משטר בית הדין שהם לא יודעין בטיב גיטין </w:t>
      </w:r>
      <w:r w:rsidR="00A82951">
        <w:rPr>
          <w:u w:val="dotted"/>
          <w:rtl/>
        </w:rPr>
        <w:t>-</w:t>
      </w:r>
      <w:r>
        <w:rPr>
          <w:u w:val="dotted"/>
          <w:rtl/>
        </w:rPr>
        <w:t xml:space="preserve"> האם אפשר לסמוך שעשו גט כדין:</w:t>
      </w:r>
    </w:p>
    <w:p w14:paraId="2C883277" w14:textId="5EF305D2" w:rsidR="00FA2119" w:rsidRDefault="00FA2119" w:rsidP="006A458D">
      <w:pPr>
        <w:pStyle w:val="ab"/>
        <w:numPr>
          <w:ilvl w:val="0"/>
          <w:numId w:val="102"/>
        </w:numPr>
      </w:pPr>
      <w:r>
        <w:rPr>
          <w:rFonts w:cs="Arial"/>
          <w:rtl/>
        </w:rPr>
        <w:t xml:space="preserve">ריב"ש </w:t>
      </w:r>
      <w:r>
        <w:rPr>
          <w:rFonts w:cs="Arial"/>
          <w:sz w:val="16"/>
          <w:szCs w:val="16"/>
          <w:rtl/>
        </w:rPr>
        <w:t>(סי' שפח)</w:t>
      </w:r>
      <w:r w:rsidR="00A82951">
        <w:rPr>
          <w:rFonts w:cs="Arial"/>
          <w:rtl/>
        </w:rPr>
        <w:t>-</w:t>
      </w:r>
      <w:r>
        <w:rPr>
          <w:rFonts w:cs="Arial"/>
          <w:rtl/>
        </w:rPr>
        <w:t xml:space="preserve"> מעשה בית דין הובא לפני, על שליח קבלה שקיבל הגט בפניהם וקרעוהו והתירוה לינשא, ויש בשטר טעיות מדקדוק הלשון, מורה שאין הבית דין יודעין בטיב גיטין וקידושין ונסתפקתי שמא הדיינים היו עדי מסירת הגט כנראה מפשט לשונם ואין עד נעשה דיין ושטר מעשה בית דין זה כאילו אינו ואין למדין ממנו כלל. וכתבתי על זה להר"ן ז"ל והשיב (שם סוס"י שצ) דבכי הא אפילו לדברי המחמירין יכולים להיות דיינים דהא אמרינן בפרק יש נוחלין (ב"ב קיג:) שלשה שנכנסו לבקר את החולה רצו עושים דין ולמאן דאמר (כתובות כא:) דבדיני ממונות בעינן הגדה הכא על כרחין היינו טעמא דכיון שהבעל דין מזכה בפניהם מעשה הבעל דין עצמו חשוב כהגדה ואף כאן כיון שהבעל גירש בפניהם הגדה מיקרי ויכולין הבית דין עצמם לדון עליה. ומה שאמרת שאעפ"כ יש לחוש שמא נמסר בלילה שהוא שעה שאינה ראויה לדין (סנהדרין לב.) ואף אינם נעשים דיינים (בבא בתרא שם קיד.) </w:t>
      </w:r>
      <w:r w:rsidR="00A82951">
        <w:rPr>
          <w:rFonts w:cs="Arial"/>
          <w:rtl/>
        </w:rPr>
        <w:t>-</w:t>
      </w:r>
      <w:r>
        <w:rPr>
          <w:rFonts w:cs="Arial"/>
          <w:rtl/>
        </w:rPr>
        <w:t xml:space="preserve"> לבית דין טועין לא חיישינן (שם קלח:). אבל דעתי שהביאך לחוש מפני שאפשר שהדיינין מוחזקין שאינן יודעין בטיב גיטין וקידושין כראוי וכמו שכתבת שלשונם מוכיח עליהם </w:t>
      </w:r>
      <w:r w:rsidR="00A82951">
        <w:rPr>
          <w:rFonts w:cs="Arial"/>
          <w:rtl/>
        </w:rPr>
        <w:t>-</w:t>
      </w:r>
      <w:r>
        <w:rPr>
          <w:rFonts w:cs="Arial"/>
          <w:rtl/>
        </w:rPr>
        <w:t xml:space="preserve"> ובכגון זה יפה חששת, שלא לראוהו בלילה בלבד יש לחוש אלא לכמה פיסולין שאפשר להזדמן בגט, ואני לא אתיר אשה על פי מעשה בית דין כזה, שהיאך אסמוך על בני אדם שאינם יודעין בטיב גיטין מפני שהם כותבים שנתברר להם שכל ענייני הגירושין נעשו כהוגן וכתיקון חכמים להתיר אשה העומדת בחזקת איסור, ואנחנו היודעים ועדים שאינם כדאי שיהיו העניינים הצריכים בגט מתבררים להם. </w:t>
      </w:r>
    </w:p>
    <w:p w14:paraId="0004BB41" w14:textId="08D08388" w:rsidR="00FA2119" w:rsidRDefault="00FA2119" w:rsidP="00FA2119">
      <w:pPr>
        <w:rPr>
          <w:rtl/>
        </w:rPr>
      </w:pPr>
      <w:r>
        <w:rPr>
          <w:rFonts w:cs="Arial"/>
          <w:u w:val="single"/>
          <w:rtl/>
        </w:rPr>
        <w:t xml:space="preserve">בעל שכתב גט לאשתו ואח"כ נתייחדה עמו </w:t>
      </w:r>
      <w:r w:rsidR="00A82951">
        <w:rPr>
          <w:rFonts w:cs="Arial"/>
          <w:u w:val="single"/>
          <w:rtl/>
        </w:rPr>
        <w:t>-</w:t>
      </w:r>
      <w:r>
        <w:rPr>
          <w:rFonts w:cs="Arial"/>
          <w:u w:val="single"/>
          <w:rtl/>
        </w:rPr>
        <w:t xml:space="preserve"> יתבאר בסימן קמ"ח:</w:t>
      </w:r>
      <w:r>
        <w:rPr>
          <w:rFonts w:cs="Arial"/>
          <w:rtl/>
        </w:rPr>
        <w:t xml:space="preserve"> </w:t>
      </w:r>
    </w:p>
    <w:p w14:paraId="50904CAF" w14:textId="45246921"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בעל שכתב גט לאשתו ואח"כ נתייחדת עמו דקי"ל שלא תתגרש בו שזהו גט ישן כדלקמן ואם נתגרשה בו תינשא לכתחילה היינו דוקא כשהגט ביד הבעל ונתנו מידו לידה אבל אם שלחו לה ע"י שליח ונתייחד עמה אחר שנתנו ליד השליח ונתנו לה השליח לא תינשא בו ואם נישאת לא תצא.</w:t>
      </w:r>
    </w:p>
    <w:p w14:paraId="4ADAA586"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10CE61D" w14:textId="77777777" w:rsidR="00FA2119" w:rsidRDefault="00FA2119" w:rsidP="00FA2119">
      <w:pPr>
        <w:rPr>
          <w:rtl/>
        </w:rPr>
      </w:pPr>
      <w:r>
        <w:rPr>
          <w:rFonts w:cs="Arial"/>
          <w:rtl/>
        </w:rPr>
        <w:lastRenderedPageBreak/>
        <w:t>שליח קבלה שקיבל גט לאשה, ושלחו לה בפני שני עדים, והגיע הגט לידה ונטלתו, והרי הגט יוצא מתחת ידה, והיא אינה יודעת אם בעלה שלחו לה או שליח קבלה שלה או שלוחו של בעל, הרי זו מגורשת. ואם בא הבעל וערער שלא כתבו, או שהוא גט בטל, יתקיים בחותמיו, שהרי עדים מעידים</w:t>
      </w:r>
      <w:r>
        <w:rPr>
          <w:rStyle w:val="a7"/>
          <w:rFonts w:cs="Arial"/>
          <w:rtl/>
        </w:rPr>
        <w:footnoteReference w:id="2108"/>
      </w:r>
      <w:r>
        <w:rPr>
          <w:rFonts w:cs="Arial"/>
          <w:rtl/>
        </w:rPr>
        <w:t xml:space="preserve"> שהגט שנתנו לה יצא מתחת יד שלוחה שידו כידה, ואף על פי שהיא אינה יודעת הרי העדים ידעו. ואם לא נתקיים, אינה מגורשת. ויש אומרים</w:t>
      </w:r>
      <w:r>
        <w:rPr>
          <w:rStyle w:val="a7"/>
          <w:rFonts w:cs="Arial"/>
          <w:rtl/>
        </w:rPr>
        <w:footnoteReference w:id="2109"/>
      </w:r>
      <w:r>
        <w:rPr>
          <w:rFonts w:cs="Arial"/>
          <w:rtl/>
        </w:rPr>
        <w:t xml:space="preserve"> שאם שלשתם בעיר אחת, איכא למיחש שמא יאמר הבעל: לפקדון נתתיו. </w:t>
      </w:r>
      <w:r>
        <w:rPr>
          <w:rFonts w:cs="Arial"/>
          <w:sz w:val="18"/>
          <w:szCs w:val="18"/>
          <w:rtl/>
        </w:rPr>
        <w:t>[הגה] ואפילו אינן בעיר אחת</w:t>
      </w:r>
      <w:r>
        <w:rPr>
          <w:rStyle w:val="a7"/>
          <w:rFonts w:cs="Arial"/>
          <w:sz w:val="18"/>
          <w:szCs w:val="18"/>
          <w:rtl/>
        </w:rPr>
        <w:footnoteReference w:id="2110"/>
      </w:r>
      <w:r>
        <w:rPr>
          <w:rFonts w:cs="Arial"/>
          <w:sz w:val="18"/>
          <w:szCs w:val="18"/>
          <w:rtl/>
        </w:rPr>
        <w:t>, י"א דאין השליח נאמן רק כשהגט בידו (כ"מ מהטור לדעת הרא"ש) דהוי כשליש שיתבאר בח"ה סימן נ"ו.</w:t>
      </w:r>
    </w:p>
    <w:p w14:paraId="26E4B79C" w14:textId="77777777" w:rsidR="00FA2119" w:rsidRDefault="00FA2119" w:rsidP="00FA2119">
      <w:pPr>
        <w:rPr>
          <w:rtl/>
        </w:rPr>
      </w:pPr>
    </w:p>
    <w:p w14:paraId="2F64A3AE" w14:textId="77777777" w:rsidR="00FA2119" w:rsidRDefault="00FA2119" w:rsidP="00FA2119">
      <w:pPr>
        <w:pStyle w:val="2"/>
        <w:rPr>
          <w:rtl/>
        </w:rPr>
      </w:pPr>
      <w:r>
        <w:rPr>
          <w:rtl/>
        </w:rPr>
        <w:t>סעיף נח: חיוב במזונות עד הגעת הגט ע"י השליח.</w:t>
      </w:r>
    </w:p>
    <w:p w14:paraId="42E8130B" w14:textId="15FDB0E8" w:rsidR="00FA2119" w:rsidRDefault="00FA2119" w:rsidP="00FA2119">
      <w:pPr>
        <w:rPr>
          <w:rFonts w:cs="Arial"/>
          <w:rtl/>
        </w:rPr>
      </w:pPr>
      <w:r>
        <w:rPr>
          <w:rFonts w:cs="Arial"/>
          <w:b/>
          <w:bCs/>
          <w:rtl/>
        </w:rPr>
        <w:t xml:space="preserve">גיטין </w:t>
      </w:r>
      <w:r>
        <w:rPr>
          <w:rFonts w:cs="Arial"/>
          <w:b/>
          <w:bCs/>
          <w:sz w:val="16"/>
          <w:szCs w:val="16"/>
          <w:rtl/>
        </w:rPr>
        <w:t>(פ' מי שאחזו)</w:t>
      </w:r>
      <w:r>
        <w:rPr>
          <w:rFonts w:cs="Arial"/>
          <w:b/>
          <w:bCs/>
          <w:rtl/>
        </w:rPr>
        <w:t xml:space="preserve"> עד ע"א</w:t>
      </w:r>
      <w:r>
        <w:rPr>
          <w:rStyle w:val="a7"/>
          <w:rFonts w:cs="Arial"/>
          <w:b/>
          <w:bCs/>
          <w:rtl/>
        </w:rPr>
        <w:footnoteReference w:id="2111"/>
      </w:r>
      <w:r>
        <w:rPr>
          <w:rFonts w:cs="Arial"/>
          <w:b/>
          <w:bCs/>
          <w:rtl/>
        </w:rPr>
        <w:t xml:space="preserve">: </w:t>
      </w:r>
      <w:r>
        <w:rPr>
          <w:rFonts w:cs="Arial"/>
          <w:u w:val="single"/>
          <w:rtl/>
        </w:rPr>
        <w:t>דאמר רבי זירא אמר רבה בר ירמיה אמר שמואל</w:t>
      </w:r>
      <w:r>
        <w:rPr>
          <w:rFonts w:cs="Arial"/>
          <w:rtl/>
        </w:rPr>
        <w:t xml:space="preserve">: כל מקום שאמרו חכמים מגורשת ואינה מגורשת </w:t>
      </w:r>
      <w:r w:rsidR="00A82951">
        <w:rPr>
          <w:rFonts w:cs="Arial"/>
          <w:rtl/>
        </w:rPr>
        <w:t>-</w:t>
      </w:r>
      <w:r>
        <w:rPr>
          <w:rFonts w:cs="Arial"/>
          <w:rtl/>
        </w:rPr>
        <w:t xml:space="preserve"> בעלה חייב במזונותיה.</w:t>
      </w:r>
    </w:p>
    <w:p w14:paraId="5C2F55C0" w14:textId="77777777" w:rsidR="00FA2119" w:rsidRDefault="00FA2119" w:rsidP="00FA2119">
      <w:pPr>
        <w:rPr>
          <w:u w:val="single"/>
          <w:rtl/>
        </w:rPr>
      </w:pPr>
      <w:r>
        <w:rPr>
          <w:u w:val="single"/>
          <w:rtl/>
        </w:rPr>
        <w:t>חיוב במזונות עד הגעת הגט ע"י השליח:</w:t>
      </w:r>
    </w:p>
    <w:p w14:paraId="1EF98EE7" w14:textId="67ECF3A9" w:rsidR="00FA2119" w:rsidRDefault="00FA2119" w:rsidP="006A458D">
      <w:pPr>
        <w:pStyle w:val="ab"/>
        <w:numPr>
          <w:ilvl w:val="0"/>
          <w:numId w:val="102"/>
        </w:numPr>
        <w:rPr>
          <w:rtl/>
        </w:rPr>
      </w:pPr>
      <w:r>
        <w:rPr>
          <w:rFonts w:cs="Arial"/>
          <w:rtl/>
        </w:rPr>
        <w:t xml:space="preserve">רמב"ם </w:t>
      </w:r>
      <w:r>
        <w:rPr>
          <w:rFonts w:cs="Arial"/>
          <w:sz w:val="16"/>
          <w:szCs w:val="16"/>
          <w:rtl/>
        </w:rPr>
        <w:t>(פ"ו ה"ל)</w:t>
      </w:r>
      <w:r>
        <w:rPr>
          <w:rFonts w:cs="Arial"/>
          <w:rtl/>
        </w:rPr>
        <w:t xml:space="preserve"> וטור</w:t>
      </w:r>
      <w:r w:rsidR="00A82951">
        <w:rPr>
          <w:rFonts w:cs="Arial"/>
          <w:rtl/>
        </w:rPr>
        <w:t>-</w:t>
      </w:r>
      <w:r>
        <w:rPr>
          <w:rFonts w:cs="Arial"/>
          <w:rtl/>
        </w:rPr>
        <w:t xml:space="preserve"> כיון שהשולח גט לאשתו ע"י שליח אינו גט עד שיגיע גט לידה </w:t>
      </w:r>
      <w:r w:rsidR="00A82951">
        <w:rPr>
          <w:rFonts w:cs="Arial"/>
          <w:rtl/>
        </w:rPr>
        <w:t>-</w:t>
      </w:r>
      <w:r>
        <w:rPr>
          <w:rFonts w:cs="Arial"/>
          <w:rtl/>
        </w:rPr>
        <w:t xml:space="preserve"> הוא חייב במזונותיה ובכל תנאי כתובה עד שיגיע לידה</w:t>
      </w:r>
      <w:r>
        <w:rPr>
          <w:rStyle w:val="a7"/>
          <w:rFonts w:cs="Arial"/>
          <w:rtl/>
        </w:rPr>
        <w:footnoteReference w:id="2112"/>
      </w:r>
      <w:r>
        <w:rPr>
          <w:rFonts w:cs="Arial"/>
          <w:sz w:val="16"/>
          <w:szCs w:val="16"/>
          <w:rtl/>
        </w:rPr>
        <w:t xml:space="preserve"> (ל' הטור)</w:t>
      </w:r>
      <w:r>
        <w:rPr>
          <w:rFonts w:cs="Arial"/>
          <w:rtl/>
        </w:rPr>
        <w:t>.</w:t>
      </w:r>
      <w:r>
        <w:rPr>
          <w:color w:val="E36C0A" w:themeColor="accent6" w:themeShade="BF"/>
          <w:rtl/>
        </w:rPr>
        <w:t xml:space="preserve"> (וכ"פ בשו"ע)</w:t>
      </w:r>
    </w:p>
    <w:p w14:paraId="66EBF9D3" w14:textId="28FD4614" w:rsidR="00FA2119" w:rsidRDefault="00FA2119" w:rsidP="00FA2119">
      <w:r>
        <w:rPr>
          <w:rFonts w:cs="Arial"/>
          <w:b/>
          <w:bCs/>
          <w:rtl/>
        </w:rPr>
        <w:t xml:space="preserve">גיטין </w:t>
      </w:r>
      <w:r>
        <w:rPr>
          <w:rFonts w:cs="Arial"/>
          <w:b/>
          <w:bCs/>
          <w:sz w:val="16"/>
          <w:szCs w:val="16"/>
          <w:rtl/>
        </w:rPr>
        <w:t>(פ' מי שאחזו)</w:t>
      </w:r>
      <w:r>
        <w:rPr>
          <w:rFonts w:cs="Arial"/>
          <w:b/>
          <w:bCs/>
          <w:rtl/>
        </w:rPr>
        <w:t xml:space="preserve"> עו ע"ב:</w:t>
      </w:r>
      <w:r>
        <w:rPr>
          <w:rFonts w:cs="Arial"/>
          <w:rtl/>
        </w:rPr>
        <w:t xml:space="preserve"> כתבו לאחר י"ב חדש ונתנו לאחר י"ב חדש ומת, אם הגט קודם למיתה </w:t>
      </w:r>
      <w:r w:rsidR="00A82951">
        <w:rPr>
          <w:rFonts w:cs="Arial"/>
          <w:rtl/>
        </w:rPr>
        <w:t>-</w:t>
      </w:r>
      <w:r>
        <w:rPr>
          <w:rFonts w:cs="Arial"/>
          <w:rtl/>
        </w:rPr>
        <w:t xml:space="preserve"> ה"ז גט, ואם מיתה קדמה לגט </w:t>
      </w:r>
      <w:r w:rsidR="00A82951">
        <w:rPr>
          <w:rFonts w:cs="Arial"/>
          <w:rtl/>
        </w:rPr>
        <w:t>-</w:t>
      </w:r>
      <w:r>
        <w:rPr>
          <w:rFonts w:cs="Arial"/>
          <w:rtl/>
        </w:rPr>
        <w:t xml:space="preserve"> אינו גט, ואם אין ידוע </w:t>
      </w:r>
      <w:r w:rsidR="00A82951">
        <w:rPr>
          <w:rFonts w:cs="Arial"/>
          <w:rtl/>
        </w:rPr>
        <w:t>-</w:t>
      </w:r>
      <w:r>
        <w:rPr>
          <w:rFonts w:cs="Arial"/>
          <w:rtl/>
        </w:rPr>
        <w:t xml:space="preserve"> זו היא שאמרו מגורשת ואינה מגורשת.</w:t>
      </w:r>
    </w:p>
    <w:p w14:paraId="05DBFF8E" w14:textId="77777777" w:rsidR="00FA2119" w:rsidRDefault="00FA2119" w:rsidP="00FA2119">
      <w:pPr>
        <w:rPr>
          <w:u w:val="single"/>
          <w:rtl/>
        </w:rPr>
      </w:pPr>
      <w:r>
        <w:rPr>
          <w:u w:val="single"/>
          <w:rtl/>
        </w:rPr>
        <w:t>בעל שמת לפני שהשליח הספיק לתת לאשה את הגט:</w:t>
      </w:r>
    </w:p>
    <w:p w14:paraId="63E78D47" w14:textId="19AEC81B" w:rsidR="00FA2119" w:rsidRDefault="00FA2119" w:rsidP="006A458D">
      <w:pPr>
        <w:pStyle w:val="ab"/>
        <w:numPr>
          <w:ilvl w:val="0"/>
          <w:numId w:val="102"/>
        </w:numPr>
      </w:pPr>
      <w:r>
        <w:rPr>
          <w:rFonts w:cs="Arial"/>
          <w:rtl/>
        </w:rPr>
        <w:t>טור</w:t>
      </w:r>
      <w:r w:rsidR="00A82951">
        <w:rPr>
          <w:rFonts w:cs="Arial"/>
          <w:rtl/>
        </w:rPr>
        <w:t>-</w:t>
      </w:r>
      <w:r>
        <w:rPr>
          <w:rFonts w:cs="Arial"/>
          <w:rtl/>
        </w:rPr>
        <w:t xml:space="preserve"> ואם מת קודם שיגיע לידה </w:t>
      </w:r>
      <w:r w:rsidR="00A82951">
        <w:rPr>
          <w:rFonts w:cs="Arial"/>
          <w:rtl/>
        </w:rPr>
        <w:t>-</w:t>
      </w:r>
      <w:r>
        <w:rPr>
          <w:rFonts w:cs="Arial"/>
          <w:rtl/>
        </w:rPr>
        <w:t xml:space="preserve"> לא יתנהו לה. </w:t>
      </w:r>
      <w:r>
        <w:rPr>
          <w:color w:val="E36C0A" w:themeColor="accent6" w:themeShade="BF"/>
          <w:rtl/>
        </w:rPr>
        <w:t>(וכ"פ בשו"ע)</w:t>
      </w:r>
    </w:p>
    <w:p w14:paraId="4523BA74"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6B4CFEE" w14:textId="77777777" w:rsidR="00FA2119" w:rsidRDefault="00FA2119" w:rsidP="00FA2119">
      <w:pPr>
        <w:rPr>
          <w:rtl/>
        </w:rPr>
      </w:pPr>
      <w:r>
        <w:rPr>
          <w:rFonts w:cs="Arial"/>
          <w:rtl/>
        </w:rPr>
        <w:t>כיון שהשולח גט לאשתו אינו גט עד שיגיע לידה, הוא חייב במזונותיה ובכל תנאי כתובה</w:t>
      </w:r>
      <w:r>
        <w:rPr>
          <w:rStyle w:val="a7"/>
          <w:rFonts w:cs="Arial"/>
          <w:rtl/>
        </w:rPr>
        <w:footnoteReference w:id="2113"/>
      </w:r>
      <w:r>
        <w:rPr>
          <w:rFonts w:cs="Arial"/>
          <w:rtl/>
        </w:rPr>
        <w:t xml:space="preserve"> עד שיגיע לידה או ליד שליח קבלה. ואם מת קודם שיגיע, אין גט לאחר מיתה. </w:t>
      </w:r>
    </w:p>
    <w:p w14:paraId="6199A47E" w14:textId="77777777" w:rsidR="00FA2119" w:rsidRDefault="00FA2119" w:rsidP="00FA2119">
      <w:pPr>
        <w:rPr>
          <w:rtl/>
        </w:rPr>
      </w:pPr>
    </w:p>
    <w:p w14:paraId="5E48571B" w14:textId="77777777" w:rsidR="00FA2119" w:rsidRDefault="00FA2119" w:rsidP="00FA2119">
      <w:pPr>
        <w:pStyle w:val="2"/>
        <w:rPr>
          <w:rtl/>
        </w:rPr>
      </w:pPr>
      <w:r>
        <w:rPr>
          <w:rtl/>
        </w:rPr>
        <w:t>סעיף נט: ביטול הגט.</w:t>
      </w:r>
    </w:p>
    <w:p w14:paraId="18427EC7" w14:textId="30F83954" w:rsidR="00FA2119" w:rsidRDefault="00FA2119" w:rsidP="00FA2119">
      <w:pPr>
        <w:rPr>
          <w:rtl/>
        </w:rPr>
      </w:pPr>
      <w:r>
        <w:rPr>
          <w:rFonts w:cs="Arial"/>
          <w:b/>
          <w:bCs/>
          <w:rtl/>
        </w:rPr>
        <w:t xml:space="preserve">גיטין </w:t>
      </w:r>
      <w:r>
        <w:rPr>
          <w:rFonts w:cs="Arial"/>
          <w:b/>
          <w:bCs/>
          <w:sz w:val="16"/>
          <w:szCs w:val="16"/>
          <w:rtl/>
        </w:rPr>
        <w:t>(</w:t>
      </w:r>
      <w:r w:rsidR="00C646B6">
        <w:rPr>
          <w:rFonts w:cs="Arial" w:hint="cs"/>
          <w:b/>
          <w:bCs/>
          <w:sz w:val="16"/>
          <w:szCs w:val="16"/>
          <w:rtl/>
        </w:rPr>
        <w:t>ר"</w:t>
      </w:r>
      <w:r>
        <w:rPr>
          <w:rFonts w:cs="Arial"/>
          <w:b/>
          <w:bCs/>
          <w:sz w:val="16"/>
          <w:szCs w:val="16"/>
          <w:rtl/>
        </w:rPr>
        <w:t>פ השולח)</w:t>
      </w:r>
      <w:r>
        <w:rPr>
          <w:rFonts w:cs="Arial"/>
          <w:b/>
          <w:bCs/>
          <w:rtl/>
        </w:rPr>
        <w:t xml:space="preserve"> לב ע"א:</w:t>
      </w:r>
      <w:r>
        <w:rPr>
          <w:rFonts w:cs="Arial"/>
          <w:rtl/>
        </w:rPr>
        <w:t xml:space="preserve"> </w:t>
      </w:r>
      <w:r>
        <w:rPr>
          <w:rFonts w:cs="Arial"/>
          <w:u w:val="double"/>
          <w:rtl/>
        </w:rPr>
        <w:t>מתני'</w:t>
      </w:r>
      <w:r>
        <w:rPr>
          <w:rFonts w:cs="Arial"/>
          <w:rtl/>
        </w:rPr>
        <w:t xml:space="preserve">: השולח גט לאשתו, והגיע בשליח או ששלח אחריו שליח, ואמר לו גט שנתתי לך בטל הוא </w:t>
      </w:r>
      <w:r w:rsidR="00A82951">
        <w:rPr>
          <w:rFonts w:cs="Arial"/>
          <w:rtl/>
        </w:rPr>
        <w:t>-</w:t>
      </w:r>
      <w:r>
        <w:rPr>
          <w:rFonts w:cs="Arial"/>
          <w:rtl/>
        </w:rPr>
        <w:t xml:space="preserve"> הרי זה בטל. קידם אצל אשתו או ששלח אצלה שליח, ואמר לה גט ששלחתי לך בטל הוא </w:t>
      </w:r>
      <w:r w:rsidR="00A82951">
        <w:rPr>
          <w:rFonts w:cs="Arial"/>
          <w:rtl/>
        </w:rPr>
        <w:t>-</w:t>
      </w:r>
      <w:r>
        <w:rPr>
          <w:rFonts w:cs="Arial"/>
          <w:rtl/>
        </w:rPr>
        <w:t xml:space="preserve"> הרי זה בטל. אם משהגיע גט לידה, שוב אינו יכול לבטלו. בראשונה היה עושה ב"ד ממקום אחר ומבטלו, התקין רבן גמליאל הזקן שלא יהו עושין כן, מפני תיקון העולם.</w:t>
      </w:r>
    </w:p>
    <w:p w14:paraId="4A065536" w14:textId="77777777" w:rsidR="00FA2119" w:rsidRDefault="00FA2119" w:rsidP="00FA2119">
      <w:pPr>
        <w:rPr>
          <w:rFonts w:cs="Arial"/>
          <w:rtl/>
        </w:rPr>
      </w:pPr>
      <w:r>
        <w:rPr>
          <w:rFonts w:cs="Arial"/>
          <w:b/>
          <w:bCs/>
          <w:rtl/>
        </w:rPr>
        <w:lastRenderedPageBreak/>
        <w:t xml:space="preserve">נדרים </w:t>
      </w:r>
      <w:r>
        <w:rPr>
          <w:rFonts w:cs="Arial"/>
          <w:b/>
          <w:bCs/>
          <w:sz w:val="16"/>
          <w:szCs w:val="16"/>
          <w:rtl/>
        </w:rPr>
        <w:t>(פ' ואלו נדרים)</w:t>
      </w:r>
      <w:r>
        <w:rPr>
          <w:rFonts w:cs="Arial"/>
          <w:b/>
          <w:bCs/>
          <w:rtl/>
        </w:rPr>
        <w:t xml:space="preserve"> פז ע"א:</w:t>
      </w:r>
      <w:r>
        <w:rPr>
          <w:rFonts w:cs="Arial"/>
          <w:rtl/>
        </w:rPr>
        <w:t xml:space="preserve"> והילכתא: תוך כדי דבור כדבור דמי, חוץ ממגדף, ועובד עבודת כוכבים, ומקדש, ומגרש. </w:t>
      </w:r>
      <w:r>
        <w:rPr>
          <w:rFonts w:cs="Arial"/>
          <w:sz w:val="16"/>
          <w:szCs w:val="16"/>
          <w:rtl/>
        </w:rPr>
        <w:t>(וכ"פ הרי"ף (שבועות טו.) הרשב"א (ר"פ השולח לב. ד"ה ירושלמי) והרמב"ם (פ"ו הט"ז))</w:t>
      </w:r>
    </w:p>
    <w:p w14:paraId="6FFFC5F1" w14:textId="77777777" w:rsidR="00FA2119" w:rsidRDefault="00FA2119" w:rsidP="00FA2119">
      <w:pPr>
        <w:rPr>
          <w:u w:val="single"/>
          <w:rtl/>
        </w:rPr>
      </w:pPr>
      <w:r>
        <w:rPr>
          <w:u w:val="single"/>
          <w:rtl/>
        </w:rPr>
        <w:t>בעל שרוצה לבטל את הגט:</w:t>
      </w:r>
    </w:p>
    <w:p w14:paraId="425999C6" w14:textId="4C46ABCF"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ואם בטלו קודם שיגיע לידה </w:t>
      </w:r>
      <w:r w:rsidR="00A82951">
        <w:rPr>
          <w:rFonts w:cs="Arial"/>
          <w:rtl/>
        </w:rPr>
        <w:t>-</w:t>
      </w:r>
      <w:r>
        <w:rPr>
          <w:rFonts w:cs="Arial"/>
          <w:rtl/>
        </w:rPr>
        <w:t xml:space="preserve"> הוי בטל. ואם בא גט לידה אחר שבטלו </w:t>
      </w:r>
      <w:r w:rsidR="00A82951">
        <w:rPr>
          <w:rFonts w:cs="Arial"/>
          <w:rtl/>
        </w:rPr>
        <w:t>-</w:t>
      </w:r>
      <w:r>
        <w:rPr>
          <w:rFonts w:cs="Arial"/>
          <w:rtl/>
        </w:rPr>
        <w:t xml:space="preserve"> אינו גט. ומשבא לידה </w:t>
      </w:r>
      <w:r w:rsidR="00A82951">
        <w:rPr>
          <w:rFonts w:cs="Arial"/>
          <w:rtl/>
        </w:rPr>
        <w:t>-</w:t>
      </w:r>
      <w:r>
        <w:rPr>
          <w:rFonts w:cs="Arial"/>
          <w:rtl/>
        </w:rPr>
        <w:t xml:space="preserve"> אינו יכול לבטלו אפילו חזר בו תוך כדי דיבור.</w:t>
      </w:r>
      <w:r>
        <w:rPr>
          <w:rFonts w:cs="Arial"/>
          <w:color w:val="E36C0A" w:themeColor="accent6" w:themeShade="BF"/>
          <w:rtl/>
        </w:rPr>
        <w:t xml:space="preserve"> </w:t>
      </w:r>
      <w:r>
        <w:rPr>
          <w:color w:val="E36C0A" w:themeColor="accent6" w:themeShade="BF"/>
          <w:rtl/>
        </w:rPr>
        <w:t>(וכ"פ בשו"ע)</w:t>
      </w:r>
    </w:p>
    <w:p w14:paraId="026D1813" w14:textId="77777777" w:rsidR="00FA2119" w:rsidRDefault="00FA2119" w:rsidP="00FA2119">
      <w:pPr>
        <w:rPr>
          <w:rFonts w:cs="Arial"/>
        </w:rPr>
      </w:pPr>
      <w:r>
        <w:rPr>
          <w:rFonts w:cs="Arial"/>
          <w:u w:val="single"/>
          <w:rtl/>
        </w:rPr>
        <w:t>נוסח ביטול שליחות גט:</w:t>
      </w:r>
      <w:r>
        <w:rPr>
          <w:rFonts w:cs="Arial"/>
          <w:rtl/>
        </w:rPr>
        <w:t xml:space="preserve"> </w:t>
      </w:r>
    </w:p>
    <w:p w14:paraId="2E414DE5" w14:textId="1FFF0C63" w:rsidR="00FA2119" w:rsidRDefault="00FA2119" w:rsidP="006A458D">
      <w:pPr>
        <w:pStyle w:val="ab"/>
        <w:numPr>
          <w:ilvl w:val="0"/>
          <w:numId w:val="108"/>
        </w:numPr>
        <w:rPr>
          <w:rtl/>
        </w:rPr>
      </w:pPr>
      <w:r>
        <w:rPr>
          <w:rFonts w:cs="Arial"/>
          <w:rtl/>
        </w:rPr>
        <w:t xml:space="preserve">רי"ו </w:t>
      </w:r>
      <w:r>
        <w:rPr>
          <w:rFonts w:cs="Arial"/>
          <w:sz w:val="16"/>
          <w:szCs w:val="16"/>
          <w:rtl/>
        </w:rPr>
        <w:t>(נכ"ד ח"ג רח ע"ד)</w:t>
      </w:r>
      <w:r w:rsidR="00A82951">
        <w:rPr>
          <w:rFonts w:cs="Arial"/>
          <w:rtl/>
        </w:rPr>
        <w:t>-</w:t>
      </w:r>
      <w:r>
        <w:rPr>
          <w:rFonts w:cs="Arial"/>
          <w:rtl/>
        </w:rPr>
        <w:t xml:space="preserve"> נוסח ביטול הרשאה להרי"ף ז"ל: בפנינו עדים חתומי מטה אמר פלוני בן פלוני שרצה ברצון נפשו בלא שום זכר אונס כלל ושהוא מבטל ביטול גמור מעכשיו ולעולם שליחו' הגט שעשה שליח בעבורו להוליך גט לאשתו לפלוני בן פלוני ביום פלוני כך וכך לחדש פלוני שנה פלונית לפני פלוני ופלוני ואמר כי אותו השליחות הוא מבטל אותו מעכשיו ואמר בטל הוא אי איפשי בו יהא כחרס ולא יהא רשות לשליח הנז' ולא לבאי' מכחו לית' לאשתו הגט הנז' ושהוא מבטל מעל ביטול זה כל מודעות שבעולם גלויו' ונסתרות מראשן ועד סופן ביטול גמור לעולם ואמר כל זה בפנינו עדים ביום פלוני כך וכך ימי' לחדש פלוני וכו'.</w:t>
      </w:r>
    </w:p>
    <w:p w14:paraId="1A561E7E" w14:textId="77777777" w:rsidR="00FA2119" w:rsidRDefault="00FA2119" w:rsidP="00FA2119">
      <w:pPr>
        <w:rPr>
          <w:u w:val="single"/>
        </w:rPr>
      </w:pPr>
      <w:r>
        <w:rPr>
          <w:rFonts w:cs="Arial"/>
          <w:u w:val="single"/>
          <w:rtl/>
        </w:rPr>
        <w:t>אחד ששלח גט לאשתו וביטל השליחות שלא בפניו, ואח"כ נמלך לבטל הביטול ושיהיה שליח לגרש כמו שהיה</w:t>
      </w:r>
      <w:r>
        <w:rPr>
          <w:u w:val="single"/>
          <w:rtl/>
        </w:rPr>
        <w:t>:</w:t>
      </w:r>
    </w:p>
    <w:p w14:paraId="74DC7926" w14:textId="6C6DF0BE" w:rsidR="00FA2119" w:rsidRDefault="00FA2119" w:rsidP="006A458D">
      <w:pPr>
        <w:pStyle w:val="ab"/>
        <w:numPr>
          <w:ilvl w:val="0"/>
          <w:numId w:val="108"/>
        </w:numPr>
      </w:pPr>
      <w:r>
        <w:rPr>
          <w:rFonts w:cs="Arial"/>
          <w:rtl/>
        </w:rPr>
        <w:t xml:space="preserve">רשב"א </w:t>
      </w:r>
      <w:r>
        <w:rPr>
          <w:rFonts w:cs="Arial"/>
          <w:sz w:val="16"/>
          <w:szCs w:val="16"/>
          <w:rtl/>
        </w:rPr>
        <w:t>(ח"ד סי' פד)</w:t>
      </w:r>
      <w:r w:rsidR="00A82951">
        <w:rPr>
          <w:rFonts w:cs="Arial"/>
          <w:rtl/>
        </w:rPr>
        <w:t>-</w:t>
      </w:r>
      <w:r>
        <w:rPr>
          <w:rFonts w:cs="Arial"/>
          <w:rtl/>
        </w:rPr>
        <w:t xml:space="preserve"> אחד ששלח גט לאשתו וביטל השליחות שלא בפניו, ואח"כ נמלך לבטל הביטול ושיהיה שליח לגרש כמו שהיה... אפשר לומר שאם הגיע הגט מיד שליח זה ליד האשה הרי זו מגורשת, שכל מקום שצריך שליח לדעת המשלח אינו צריך ליחד שליח, אלא כל שאמר סתם כל מי שישמע קולי יכתוב ויתן, כל מי שכתב ונתן הרי זו מגורשת (גיטין סו.). וכיון שכן זה שעשאו שליח לחבירו אע"פ שביטל שליחותו של זה, אילו אמר כל הרוצה יטול ויתן לה ועמד אחד ונתנו לה הרי זה גט. א"כ אף זה בשעת נתינתו כבר חזר בו המשלח ונתרצה שיתנו לה. ואם נפשך לומר שאינו גט שצריך שישמעו מפיו, הא לא אמרינן (שם עב.) אלא בכתיבת הגט וחתימתו, וזה קרוב בעיני אלא שראוי להחמיר</w:t>
      </w:r>
      <w:r>
        <w:rPr>
          <w:rStyle w:val="a7"/>
          <w:rFonts w:cs="Arial"/>
          <w:rtl/>
        </w:rPr>
        <w:footnoteReference w:id="2114"/>
      </w:r>
      <w:r>
        <w:rPr>
          <w:rFonts w:cs="Arial"/>
          <w:rtl/>
        </w:rPr>
        <w:t xml:space="preserve">. </w:t>
      </w:r>
    </w:p>
    <w:p w14:paraId="49209B8B" w14:textId="77777777" w:rsidR="00FA2119" w:rsidRDefault="00FA2119" w:rsidP="00FA2119">
      <w:pPr>
        <w:rPr>
          <w:u w:val="single"/>
        </w:rPr>
      </w:pPr>
      <w:r>
        <w:rPr>
          <w:u w:val="single"/>
          <w:rtl/>
        </w:rPr>
        <w:t>המוסר מודעה שכל גט שיתן לשליח קבלה יהיה הגט בטל, ועשה ביטול מודעות על הגט/השליחות:</w:t>
      </w:r>
    </w:p>
    <w:p w14:paraId="02FBFD57" w14:textId="02CD08EE" w:rsidR="00FA2119" w:rsidRDefault="00FA2119" w:rsidP="006A458D">
      <w:pPr>
        <w:pStyle w:val="ab"/>
        <w:numPr>
          <w:ilvl w:val="0"/>
          <w:numId w:val="108"/>
        </w:numPr>
      </w:pPr>
      <w:r>
        <w:rPr>
          <w:rFonts w:cs="Arial"/>
          <w:rtl/>
        </w:rPr>
        <w:t xml:space="preserve">רשב"א </w:t>
      </w:r>
      <w:r>
        <w:rPr>
          <w:rFonts w:cs="Arial"/>
          <w:sz w:val="16"/>
          <w:szCs w:val="16"/>
          <w:rtl/>
        </w:rPr>
        <w:t>(ח"ד סי' מט)</w:t>
      </w:r>
      <w:r w:rsidR="00A82951">
        <w:rPr>
          <w:rFonts w:cs="Arial"/>
          <w:rtl/>
        </w:rPr>
        <w:t>-</w:t>
      </w:r>
      <w:r>
        <w:rPr>
          <w:rFonts w:cs="Arial"/>
          <w:rtl/>
        </w:rPr>
        <w:t xml:space="preserve"> עוד כתבת אם הבעל מסר מודעא בשליח קבלה, ואמר כל גט שאתן ביד שליח קבלה יהא בטל, וכשצוה לכתוב ביטל כל מודעי בסתם וכל הדברים הגורמים לבטל, ואח"כ נתן הגט ליד שליח קבלה, אם יועיל אותו הביטול למסירת מודעא על השליח.     תשובה: אילו מסר זה מודעא על השליחות ואמר כל שאמסור ליד שליח קבלה הריני מבטל אותה שליחות או אותה נתינה בבירור </w:t>
      </w:r>
      <w:r w:rsidR="00A82951">
        <w:rPr>
          <w:rFonts w:cs="Arial"/>
          <w:rtl/>
        </w:rPr>
        <w:t>-</w:t>
      </w:r>
      <w:r>
        <w:rPr>
          <w:rFonts w:cs="Arial"/>
          <w:rtl/>
        </w:rPr>
        <w:t xml:space="preserve"> לא יועיל ביטול מודעא זו, שהרי הוא מסר מודעא על השליחות ולא על הגט, וכשביטל לא ביטל אלא מודעא שמסר לביטולו של גט, לא על השליחות. אבל זה שמסר מודעא לבטל הגט כל שימסרנו ליד שליח, כל שמבטל כל מודעא שמסר לבטל הגט </w:t>
      </w:r>
      <w:r w:rsidR="00A82951">
        <w:rPr>
          <w:rFonts w:cs="Arial"/>
          <w:rtl/>
        </w:rPr>
        <w:t>-</w:t>
      </w:r>
      <w:r>
        <w:rPr>
          <w:rFonts w:cs="Arial"/>
          <w:rtl/>
        </w:rPr>
        <w:t xml:space="preserve"> הכל בטל, שהרי ביטל כל מודעא שמסר בביטולו של גט, וביטול הגט תלה בשליחות.</w:t>
      </w:r>
    </w:p>
    <w:p w14:paraId="149552DE" w14:textId="77777777" w:rsidR="00C4710C" w:rsidRDefault="00C4710C" w:rsidP="00C4710C">
      <w:pPr>
        <w:rPr>
          <w:rFonts w:cs="Arial"/>
          <w:rtl/>
        </w:rPr>
      </w:pPr>
      <w:r>
        <w:rPr>
          <w:rFonts w:cs="Arial"/>
          <w:u w:val="single"/>
          <w:rtl/>
        </w:rPr>
        <w:t>משומד המגרש את אשתו - כיצד יעשו כדי שלא יבטל המשומד את הגט:</w:t>
      </w:r>
    </w:p>
    <w:p w14:paraId="3F98B96F" w14:textId="4F724A57" w:rsidR="00C4710C" w:rsidRDefault="00C4710C" w:rsidP="00C4710C">
      <w:pPr>
        <w:pStyle w:val="ab"/>
        <w:numPr>
          <w:ilvl w:val="0"/>
          <w:numId w:val="102"/>
        </w:numPr>
      </w:pPr>
      <w:r>
        <w:rPr>
          <w:rFonts w:cs="Arial"/>
          <w:rtl/>
        </w:rPr>
        <w:t xml:space="preserve">תרוה"ד </w:t>
      </w:r>
      <w:r>
        <w:rPr>
          <w:rFonts w:cs="Arial"/>
          <w:sz w:val="16"/>
          <w:szCs w:val="16"/>
          <w:rtl/>
        </w:rPr>
        <w:t>(סי' רלז)</w:t>
      </w:r>
      <w:r>
        <w:rPr>
          <w:rFonts w:cs="Arial"/>
          <w:rtl/>
        </w:rPr>
        <w:t xml:space="preserve">- משומד המגרש את אשתו מצאתי כתוב על שם אחד מהגדולים שהיה חושש שמא יבטל הגט, והכי נמי משמע בתשובות קדמוניות. לפיכך תקנה לצאת בה ידי כל החששות הטוב שנוכל והיא שהיה אומר למשומד צריך אתה לתת הגט על שני דרכים, הראשון עיקר והשני לרווחא דמילתא, וככה תעשה, תמסור הגט ליד פלוני שיקבלנו ויזכה בו לאשתך ותתגרש בו מיד בקבלתו של זה, ואולי יש קצת גמגום בדבר אם תועיל קבלה זאת ולכך תחזור ותקח הגט ותמסרנו ליד השליח להולכה. ובדרך זה מתוקנים כמעט כל הספיקות, דממה נפשך אם יש בקבלה די כמו שסוברים הרבה גאונים, תו לא צריכי למידי. ואפילו אם אינו די, מכל מקום המשומד אסח דעתיה מלבטל השליחות כי יאמר שנסמוך על הקבלה לחודה בשעת הדחק. ומיהו למיעבד איפכא, שימסור להולכה בתחלה ואח"כ בקבלה, ודאי לאו שפיר דמי, שאם אין הקבלה כלום גם </w:t>
      </w:r>
      <w:r>
        <w:rPr>
          <w:rFonts w:cs="Arial"/>
          <w:rtl/>
        </w:rPr>
        <w:lastRenderedPageBreak/>
        <w:t>ההולכה לא היתה כלום בדרך זה, שהרי ביטל לפנינו את השליחות במסירתו לקבלה</w:t>
      </w:r>
      <w:r>
        <w:rPr>
          <w:rStyle w:val="a7"/>
          <w:rFonts w:cs="Arial"/>
          <w:rtl/>
        </w:rPr>
        <w:footnoteReference w:id="2115"/>
      </w:r>
      <w:r>
        <w:rPr>
          <w:rFonts w:cs="Arial"/>
          <w:rtl/>
        </w:rPr>
        <w:t xml:space="preserve">. </w:t>
      </w:r>
      <w:r>
        <w:rPr>
          <w:rFonts w:cs="Arial"/>
          <w:color w:val="E36C0A" w:themeColor="accent6" w:themeShade="BF"/>
          <w:rtl/>
        </w:rPr>
        <w:t>(וכ"פ בשו"ע</w:t>
      </w:r>
      <w:r>
        <w:rPr>
          <w:rFonts w:hint="cs"/>
          <w:sz w:val="16"/>
          <w:szCs w:val="16"/>
          <w:rtl/>
        </w:rPr>
        <w:t xml:space="preserve"> [סי' קמ סי"א]</w:t>
      </w:r>
      <w:r>
        <w:rPr>
          <w:rFonts w:cs="Arial"/>
          <w:color w:val="E36C0A" w:themeColor="accent6" w:themeShade="BF"/>
          <w:rtl/>
        </w:rPr>
        <w:t>)</w:t>
      </w:r>
      <w:r>
        <w:rPr>
          <w:rFonts w:hint="cs"/>
          <w:rtl/>
        </w:rPr>
        <w:t xml:space="preserve"> </w:t>
      </w:r>
      <w:r w:rsidRPr="00C4710C">
        <w:rPr>
          <w:rFonts w:hint="cs"/>
          <w:color w:val="00B0F0"/>
          <w:rtl/>
        </w:rPr>
        <w:t>(וכ"פ הרמ"א)</w:t>
      </w:r>
    </w:p>
    <w:p w14:paraId="18329DEB"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8E0F366" w14:textId="14079ACB" w:rsidR="00FA2119" w:rsidRDefault="00FA2119" w:rsidP="00FA2119">
      <w:pPr>
        <w:rPr>
          <w:rtl/>
        </w:rPr>
      </w:pPr>
      <w:r>
        <w:rPr>
          <w:rFonts w:cs="Arial"/>
          <w:rtl/>
        </w:rPr>
        <w:t xml:space="preserve">השולח גט לאשתו, ובטלו קודם שיגיע לידה, הרי זה בטל. ואם הגיע לידה, אינו יכול לבטלו אפילו בתוך כדי דיבור. </w:t>
      </w:r>
      <w:r>
        <w:rPr>
          <w:rFonts w:cs="Arial"/>
          <w:sz w:val="18"/>
          <w:szCs w:val="18"/>
          <w:rtl/>
        </w:rPr>
        <w:t>הגה: יש אומרים דמומר לע"ג אינו יכול לעשות שליח להולך גט לאשתו, דחיישינן שמא יבטלנו (מהר</w:t>
      </w:r>
      <w:r w:rsidR="00716B52">
        <w:rPr>
          <w:rFonts w:cs="Arial" w:hint="cs"/>
          <w:sz w:val="18"/>
          <w:szCs w:val="18"/>
          <w:rtl/>
        </w:rPr>
        <w:t>י"ו</w:t>
      </w:r>
      <w:r>
        <w:rPr>
          <w:rFonts w:cs="Arial"/>
          <w:sz w:val="18"/>
          <w:szCs w:val="18"/>
          <w:rtl/>
        </w:rPr>
        <w:t xml:space="preserve"> סי' תכו). ואף אם מקבל עליו בחרם ובשבועה שלא לבטלו, לא מהני, דחיישינן שמא יעבור על שבועתו. וי"א דהמומר עושה השליח תחלה שליח לקבלה</w:t>
      </w:r>
      <w:r>
        <w:rPr>
          <w:rStyle w:val="a7"/>
          <w:rFonts w:cs="Arial"/>
          <w:sz w:val="18"/>
          <w:szCs w:val="18"/>
          <w:rtl/>
        </w:rPr>
        <w:footnoteReference w:id="2116"/>
      </w:r>
      <w:r>
        <w:rPr>
          <w:rFonts w:cs="Arial"/>
          <w:sz w:val="18"/>
          <w:szCs w:val="18"/>
          <w:rtl/>
        </w:rPr>
        <w:t xml:space="preserve"> ואומר לשליח: זכי בגט זה לאשתי פלונית ובו תהא מגורשת וכו', ונותנו לשליח, ואח"כ חוזר ולוקחו מן השליח ועושה אותו שליח להולכה, ואומר: הולך גט לאשתי וכו' (תרוה"ד סי' רלז, ובפסקיו סי' מב), וכן נוהגין. אבל לא יעשה השליח תחילה שליח להולכה, ואח"כ שליח לקבלה</w:t>
      </w:r>
      <w:r>
        <w:rPr>
          <w:rStyle w:val="a7"/>
          <w:rFonts w:cs="Arial"/>
          <w:sz w:val="18"/>
          <w:szCs w:val="18"/>
          <w:rtl/>
        </w:rPr>
        <w:footnoteReference w:id="2117"/>
      </w:r>
      <w:r>
        <w:rPr>
          <w:rFonts w:cs="Arial"/>
          <w:sz w:val="18"/>
          <w:szCs w:val="18"/>
          <w:rtl/>
        </w:rPr>
        <w:t>. וכבר נתברר כל זה לעיל סימן ק"מ סעיף י"א.</w:t>
      </w:r>
      <w:r>
        <w:rPr>
          <w:rFonts w:cs="Arial"/>
          <w:rtl/>
        </w:rPr>
        <w:t xml:space="preserve"> </w:t>
      </w:r>
      <w:r>
        <w:rPr>
          <w:rtl/>
        </w:rPr>
        <w:t xml:space="preserve"> </w:t>
      </w:r>
    </w:p>
    <w:p w14:paraId="18E67549" w14:textId="77777777" w:rsidR="00FA2119" w:rsidRDefault="00FA2119" w:rsidP="00FA2119">
      <w:pPr>
        <w:rPr>
          <w:rtl/>
        </w:rPr>
      </w:pPr>
    </w:p>
    <w:p w14:paraId="5C2E3434" w14:textId="77777777" w:rsidR="00FA2119" w:rsidRDefault="00FA2119" w:rsidP="00FA2119">
      <w:pPr>
        <w:pStyle w:val="2"/>
        <w:rPr>
          <w:rtl/>
        </w:rPr>
      </w:pPr>
      <w:r>
        <w:rPr>
          <w:rtl/>
        </w:rPr>
        <w:t>סעיף ס: לפני מי מבטל השליחות.</w:t>
      </w:r>
    </w:p>
    <w:p w14:paraId="7395A20D" w14:textId="752B3269" w:rsidR="00FA2119" w:rsidRDefault="00FA2119" w:rsidP="00FA2119">
      <w:pPr>
        <w:rPr>
          <w:rtl/>
        </w:rPr>
      </w:pPr>
      <w:r>
        <w:rPr>
          <w:rFonts w:cs="Arial"/>
          <w:b/>
          <w:bCs/>
          <w:rtl/>
        </w:rPr>
        <w:t xml:space="preserve">גיטין </w:t>
      </w:r>
      <w:r>
        <w:rPr>
          <w:rFonts w:cs="Arial"/>
          <w:b/>
          <w:bCs/>
          <w:sz w:val="16"/>
          <w:szCs w:val="16"/>
          <w:rtl/>
        </w:rPr>
        <w:t>(פ' השולח)</w:t>
      </w:r>
      <w:r>
        <w:rPr>
          <w:rFonts w:cs="Arial"/>
          <w:b/>
          <w:bCs/>
          <w:rtl/>
        </w:rPr>
        <w:t xml:space="preserve"> לב ע"א:</w:t>
      </w:r>
      <w:r>
        <w:rPr>
          <w:rFonts w:cs="Arial"/>
          <w:rtl/>
        </w:rPr>
        <w:t xml:space="preserve"> </w:t>
      </w:r>
      <w:r>
        <w:rPr>
          <w:rFonts w:cs="Arial"/>
          <w:u w:val="double"/>
          <w:rtl/>
        </w:rPr>
        <w:t>מתני'</w:t>
      </w:r>
      <w:r>
        <w:rPr>
          <w:rFonts w:cs="Arial"/>
          <w:rtl/>
        </w:rPr>
        <w:t xml:space="preserve">: השולח גט לאשתו, והגיע בשליח או ששלח אחריו שליח, ואמר לו גט שנתתי לך בטל הוא </w:t>
      </w:r>
      <w:r w:rsidR="00A82951">
        <w:rPr>
          <w:rFonts w:cs="Arial"/>
          <w:rtl/>
        </w:rPr>
        <w:t>-</w:t>
      </w:r>
      <w:r>
        <w:rPr>
          <w:rFonts w:cs="Arial"/>
          <w:rtl/>
        </w:rPr>
        <w:t xml:space="preserve"> הרי זה בטל. קידם אצל אשתו או ששלח אצלה שליח, ואמר לה גט ששלחתי לך בטל הוא </w:t>
      </w:r>
      <w:r w:rsidR="00A82951">
        <w:rPr>
          <w:rFonts w:cs="Arial"/>
          <w:rtl/>
        </w:rPr>
        <w:t>-</w:t>
      </w:r>
      <w:r>
        <w:rPr>
          <w:rFonts w:cs="Arial"/>
          <w:rtl/>
        </w:rPr>
        <w:t xml:space="preserve"> הרי זה בטל. אם משהגיע גט לידה, שוב אינו יכול לבטלו. בראשונה היה עושה ב"ד ממקום אחר ומבטלו, התקין רבן גמליאל הזקן שלא יהו עושין כן, מפני תיקון העולם</w:t>
      </w:r>
      <w:r>
        <w:rPr>
          <w:rStyle w:val="a7"/>
          <w:rFonts w:cs="Arial"/>
          <w:rtl/>
        </w:rPr>
        <w:footnoteReference w:id="2118"/>
      </w:r>
      <w:r>
        <w:rPr>
          <w:rFonts w:cs="Arial"/>
          <w:rtl/>
        </w:rPr>
        <w:t>.</w:t>
      </w:r>
      <w:r>
        <w:rPr>
          <w:rtl/>
        </w:rPr>
        <w:t xml:space="preserve">         </w:t>
      </w:r>
      <w:r>
        <w:rPr>
          <w:u w:val="double"/>
          <w:rtl/>
        </w:rPr>
        <w:t>גמ'</w:t>
      </w:r>
      <w:r>
        <w:rPr>
          <w:sz w:val="14"/>
          <w:szCs w:val="14"/>
          <w:u w:val="double"/>
          <w:rtl/>
        </w:rPr>
        <w:t>(לב:)</w:t>
      </w:r>
      <w:r>
        <w:rPr>
          <w:u w:val="double"/>
          <w:rtl/>
        </w:rPr>
        <w:t>:</w:t>
      </w:r>
      <w:r>
        <w:rPr>
          <w:rtl/>
        </w:rPr>
        <w:t xml:space="preserve"> </w:t>
      </w:r>
      <w:r>
        <w:rPr>
          <w:rFonts w:cs="Arial"/>
          <w:rtl/>
        </w:rPr>
        <w:t xml:space="preserve">בראשונה היה עושה. איתמר: בפני כמה הוא מבטלו? </w:t>
      </w:r>
      <w:r>
        <w:rPr>
          <w:rFonts w:cs="Arial"/>
          <w:u w:val="single"/>
          <w:rtl/>
        </w:rPr>
        <w:t>רב נחמן אמר</w:t>
      </w:r>
      <w:r>
        <w:rPr>
          <w:rFonts w:cs="Arial"/>
          <w:rtl/>
        </w:rPr>
        <w:t>: בפני ב'</w:t>
      </w:r>
      <w:r>
        <w:rPr>
          <w:rStyle w:val="a7"/>
          <w:rFonts w:cs="Arial"/>
          <w:rtl/>
        </w:rPr>
        <w:footnoteReference w:id="2119"/>
      </w:r>
      <w:r>
        <w:rPr>
          <w:rFonts w:cs="Arial"/>
          <w:rtl/>
        </w:rPr>
        <w:t xml:space="preserve">, </w:t>
      </w:r>
      <w:r>
        <w:rPr>
          <w:rFonts w:cs="Arial"/>
          <w:u w:val="single"/>
          <w:rtl/>
        </w:rPr>
        <w:t>רב ששת אמר</w:t>
      </w:r>
      <w:r>
        <w:rPr>
          <w:rFonts w:cs="Arial"/>
          <w:rtl/>
        </w:rPr>
        <w:t>: בפני ג'. רב ששת אמר: בפני ג', ב"ד קתני; ורב נחמן אמר: בפני ב', לבי תרי נמי ב"ד קרי להו. אמר רב נחמן: מנא אמינא לה? דתנן: מוסרני לפניכם</w:t>
      </w:r>
      <w:r>
        <w:rPr>
          <w:rFonts w:cs="Arial"/>
          <w:sz w:val="14"/>
          <w:szCs w:val="14"/>
          <w:rtl/>
        </w:rPr>
        <w:t xml:space="preserve"> (לג.)</w:t>
      </w:r>
      <w:r>
        <w:rPr>
          <w:rFonts w:cs="Arial"/>
          <w:rtl/>
        </w:rPr>
        <w:t xml:space="preserve"> פלוני ופלוני הדיינין שבמקום פלוני. ורב ששת? אטו תנא כי רוכלא ליחשיב וליזיל?... ת"ר: אמר לעשרה כתבו גט לאשתי </w:t>
      </w:r>
      <w:r w:rsidR="00A82951">
        <w:rPr>
          <w:rFonts w:cs="Arial"/>
          <w:rtl/>
        </w:rPr>
        <w:t>-</w:t>
      </w:r>
      <w:r>
        <w:rPr>
          <w:rFonts w:cs="Arial"/>
          <w:rtl/>
        </w:rPr>
        <w:t xml:space="preserve"> יכול לבטל זה שלא בפני זה, </w:t>
      </w:r>
      <w:r>
        <w:rPr>
          <w:rFonts w:cs="Arial"/>
          <w:u w:val="single"/>
          <w:rtl/>
        </w:rPr>
        <w:t>דברי רבי</w:t>
      </w:r>
      <w:r>
        <w:rPr>
          <w:rFonts w:cs="Arial"/>
          <w:rtl/>
        </w:rPr>
        <w:t xml:space="preserve">; </w:t>
      </w:r>
      <w:r>
        <w:rPr>
          <w:rFonts w:cs="Arial"/>
          <w:u w:val="single"/>
          <w:rtl/>
        </w:rPr>
        <w:t>רשב"ג אומר</w:t>
      </w:r>
      <w:r>
        <w:rPr>
          <w:rFonts w:cs="Arial"/>
          <w:rtl/>
        </w:rPr>
        <w:t>: אינו יכול לבטל אלא זה בפני זה. במאי קמיפלגי? בעדות שבטלה מקצתה בטלה כולה קמיפלגי, רבי סבר: עדות שבטלה מקצתה</w:t>
      </w:r>
      <w:r>
        <w:rPr>
          <w:rFonts w:cs="Arial"/>
          <w:sz w:val="14"/>
          <w:szCs w:val="14"/>
          <w:rtl/>
        </w:rPr>
        <w:t xml:space="preserve"> (לג:)</w:t>
      </w:r>
      <w:r>
        <w:rPr>
          <w:rtl/>
        </w:rPr>
        <w:t xml:space="preserve"> </w:t>
      </w:r>
      <w:r>
        <w:rPr>
          <w:rFonts w:cs="Arial"/>
          <w:rtl/>
        </w:rPr>
        <w:t xml:space="preserve">לא בטלה כולה, ואי אזלי הנך כתבי ויהבי ליכתבו וליתבו; רשב"ג סבר: עדות שבטלה מקצתה בטלה כולה, והנך לא ידעי ואזלי וכתבי ויהבי, ושרו אשת איש לעלמא. ואב"א: דכולי עלמא </w:t>
      </w:r>
      <w:r w:rsidR="00A82951">
        <w:rPr>
          <w:rFonts w:cs="Arial"/>
          <w:rtl/>
        </w:rPr>
        <w:t>-</w:t>
      </w:r>
      <w:r>
        <w:rPr>
          <w:rFonts w:cs="Arial"/>
          <w:rtl/>
        </w:rPr>
        <w:t xml:space="preserve"> עדות שבטלה מקצתה לא בטלה כולה, והכא היינו טעמא דרשב"ג, קסבר: מלתא דמתעבדא באפי עשרה צריכא בי עשרה למישלפה... ת"ש: אמר לשנים תנו גט לאשתי </w:t>
      </w:r>
      <w:r w:rsidR="00A82951">
        <w:rPr>
          <w:rFonts w:cs="Arial"/>
          <w:rtl/>
        </w:rPr>
        <w:t>-</w:t>
      </w:r>
      <w:r>
        <w:rPr>
          <w:rFonts w:cs="Arial"/>
          <w:rtl/>
        </w:rPr>
        <w:t xml:space="preserve"> יכול לבטל זה שלא בפני זה, </w:t>
      </w:r>
      <w:r>
        <w:rPr>
          <w:rFonts w:cs="Arial"/>
          <w:u w:val="single"/>
          <w:rtl/>
        </w:rPr>
        <w:t>דברי רבי</w:t>
      </w:r>
      <w:r>
        <w:rPr>
          <w:rFonts w:cs="Arial"/>
          <w:rtl/>
        </w:rPr>
        <w:t xml:space="preserve">, </w:t>
      </w:r>
      <w:r>
        <w:rPr>
          <w:rFonts w:cs="Arial"/>
          <w:u w:val="single"/>
          <w:rtl/>
        </w:rPr>
        <w:t>רשב"ג אומר</w:t>
      </w:r>
      <w:r>
        <w:rPr>
          <w:rFonts w:cs="Arial"/>
          <w:rtl/>
        </w:rPr>
        <w:t>: אינו יכול לבטל אלא זה בפני זה...</w:t>
      </w:r>
      <w:r>
        <w:rPr>
          <w:rtl/>
        </w:rPr>
        <w:t xml:space="preserve"> </w:t>
      </w:r>
      <w:r>
        <w:rPr>
          <w:rFonts w:cs="Arial"/>
          <w:u w:val="single"/>
          <w:rtl/>
        </w:rPr>
        <w:t>אמר רב שמואל בר יהודה</w:t>
      </w:r>
      <w:r>
        <w:rPr>
          <w:rFonts w:cs="Arial"/>
          <w:rtl/>
        </w:rPr>
        <w:t xml:space="preserve">: שמעית מיניה דר' אבא תרתי, חדא כרבי וחדא כרשב"ג... </w:t>
      </w:r>
      <w:r>
        <w:rPr>
          <w:rFonts w:cs="Arial"/>
          <w:u w:val="single"/>
          <w:rtl/>
        </w:rPr>
        <w:t>ורבא אמר רב נחמן</w:t>
      </w:r>
      <w:r>
        <w:rPr>
          <w:rFonts w:cs="Arial"/>
          <w:rtl/>
        </w:rPr>
        <w:t xml:space="preserve">: הלכה כרבי בשתיהן... </w:t>
      </w:r>
      <w:r>
        <w:rPr>
          <w:rFonts w:cs="Arial"/>
          <w:sz w:val="14"/>
          <w:szCs w:val="14"/>
          <w:rtl/>
        </w:rPr>
        <w:t>(לד.)</w:t>
      </w:r>
      <w:r>
        <w:rPr>
          <w:rtl/>
        </w:rPr>
        <w:t xml:space="preserve"> </w:t>
      </w:r>
      <w:r>
        <w:rPr>
          <w:rFonts w:cs="Arial"/>
          <w:rtl/>
        </w:rPr>
        <w:t>והלכתא כנחמן</w:t>
      </w:r>
      <w:r>
        <w:rPr>
          <w:rStyle w:val="a7"/>
          <w:rFonts w:cs="Arial"/>
          <w:rtl/>
        </w:rPr>
        <w:footnoteReference w:id="2120"/>
      </w:r>
      <w:r>
        <w:rPr>
          <w:rFonts w:cs="Arial"/>
          <w:rtl/>
        </w:rPr>
        <w:t>, והלכתא כנחמן</w:t>
      </w:r>
      <w:r>
        <w:rPr>
          <w:rStyle w:val="a7"/>
          <w:rFonts w:cs="Arial"/>
          <w:rtl/>
        </w:rPr>
        <w:footnoteReference w:id="2121"/>
      </w:r>
      <w:r>
        <w:rPr>
          <w:rFonts w:cs="Arial"/>
          <w:rtl/>
        </w:rPr>
        <w:t xml:space="preserve">... </w:t>
      </w:r>
      <w:r>
        <w:rPr>
          <w:rFonts w:cs="Arial"/>
          <w:sz w:val="16"/>
          <w:szCs w:val="16"/>
          <w:rtl/>
        </w:rPr>
        <w:t>(וכתבו הרי"ף (טז:) והרא"ש (סי' ד) דקיי"ל כרב נחמן. וכ"פ הרמב"ם בפ"ו (הט"ז). וכן דעת הרשב"א ז"ל (שם ד"ה רב נחמן), ב"י)</w:t>
      </w:r>
    </w:p>
    <w:p w14:paraId="4E76D3E5" w14:textId="77777777" w:rsidR="00FA2119" w:rsidRDefault="00FA2119" w:rsidP="00FA2119">
      <w:pPr>
        <w:rPr>
          <w:u w:val="single"/>
          <w:rtl/>
        </w:rPr>
      </w:pPr>
      <w:r>
        <w:rPr>
          <w:u w:val="single"/>
          <w:rtl/>
        </w:rPr>
        <w:lastRenderedPageBreak/>
        <w:t>לפני מי מבטל השליחות:</w:t>
      </w:r>
    </w:p>
    <w:p w14:paraId="3FABC5BE" w14:textId="0FBCED11"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ולכתחילה אין לו לבטלו אלא בפני שליח ששלח או בפניה. אבל בדיעבד אפילו בטלו בפני שנים אחרים </w:t>
      </w:r>
      <w:r w:rsidR="00A82951">
        <w:rPr>
          <w:rFonts w:cs="Arial"/>
          <w:rtl/>
        </w:rPr>
        <w:t>-</w:t>
      </w:r>
      <w:r>
        <w:rPr>
          <w:rFonts w:cs="Arial"/>
          <w:rtl/>
        </w:rPr>
        <w:t xml:space="preserve"> הוא בטל. וא"צ לבטל בפני שלשה.</w:t>
      </w:r>
    </w:p>
    <w:p w14:paraId="3BCDE3CA" w14:textId="21628D01" w:rsidR="00FA2119" w:rsidRDefault="00FA2119" w:rsidP="006A458D">
      <w:pPr>
        <w:pStyle w:val="ab"/>
        <w:numPr>
          <w:ilvl w:val="0"/>
          <w:numId w:val="102"/>
        </w:numPr>
      </w:pPr>
      <w:r>
        <w:rPr>
          <w:rFonts w:cs="Arial"/>
          <w:rtl/>
        </w:rPr>
        <w:t xml:space="preserve">רמב"ם </w:t>
      </w:r>
      <w:r>
        <w:rPr>
          <w:rFonts w:cs="Arial"/>
          <w:sz w:val="16"/>
          <w:szCs w:val="16"/>
          <w:rtl/>
        </w:rPr>
        <w:t>(פ"ו הט"ז)</w:t>
      </w:r>
      <w:r w:rsidR="00A82951">
        <w:rPr>
          <w:rFonts w:cs="Arial"/>
          <w:rtl/>
        </w:rPr>
        <w:t>-</w:t>
      </w:r>
      <w:r>
        <w:rPr>
          <w:rFonts w:cs="Arial"/>
          <w:rtl/>
        </w:rPr>
        <w:t xml:space="preserve"> שליח שנטל הגט, וקודם שיגיע ליד האשה חזר הבעל ואמר לו</w:t>
      </w:r>
      <w:r w:rsidR="00A11AB5">
        <w:rPr>
          <w:rFonts w:cs="Arial" w:hint="cs"/>
          <w:rtl/>
        </w:rPr>
        <w:t>:</w:t>
      </w:r>
      <w:r>
        <w:rPr>
          <w:rFonts w:cs="Arial"/>
          <w:rtl/>
        </w:rPr>
        <w:t xml:space="preserve"> גט ששלחתי עמך בטל הוא, או שקדם ואמר לאשה</w:t>
      </w:r>
      <w:r w:rsidR="00A11AB5">
        <w:rPr>
          <w:rFonts w:cs="Arial" w:hint="cs"/>
          <w:rtl/>
        </w:rPr>
        <w:t>:</w:t>
      </w:r>
      <w:r>
        <w:rPr>
          <w:rFonts w:cs="Arial"/>
          <w:rtl/>
        </w:rPr>
        <w:t xml:space="preserve"> גט ששלחתי לך בטל הוא, או ששלח שליח אחר לבטלו, או שאמר לאחרים</w:t>
      </w:r>
      <w:r w:rsidR="00A11AB5">
        <w:rPr>
          <w:rFonts w:cs="Arial" w:hint="cs"/>
          <w:rtl/>
        </w:rPr>
        <w:t>:</w:t>
      </w:r>
      <w:r>
        <w:rPr>
          <w:rFonts w:cs="Arial"/>
          <w:rtl/>
        </w:rPr>
        <w:t xml:space="preserve"> גט ששלחתי לאשתי בטל הוא </w:t>
      </w:r>
      <w:r w:rsidR="00A82951">
        <w:rPr>
          <w:rFonts w:cs="Arial"/>
          <w:rtl/>
        </w:rPr>
        <w:t>-</w:t>
      </w:r>
      <w:r>
        <w:rPr>
          <w:rFonts w:cs="Arial"/>
          <w:rtl/>
        </w:rPr>
        <w:t xml:space="preserve"> הרי זה בטל ואע"פ שהגיע גט לידה. וכל המבטל בפני אחרים </w:t>
      </w:r>
      <w:r w:rsidR="00A82951">
        <w:rPr>
          <w:rFonts w:cs="Arial"/>
          <w:rtl/>
        </w:rPr>
        <w:t>-</w:t>
      </w:r>
      <w:r>
        <w:rPr>
          <w:rFonts w:cs="Arial"/>
          <w:rtl/>
        </w:rPr>
        <w:t xml:space="preserve"> צריך לבטל בפני שנים. ואם אחר שהגיע גט לידה או ליד שליח קבלה </w:t>
      </w:r>
      <w:r w:rsidR="00A82951">
        <w:rPr>
          <w:rFonts w:cs="Arial"/>
          <w:rtl/>
        </w:rPr>
        <w:t>-</w:t>
      </w:r>
      <w:r>
        <w:rPr>
          <w:rFonts w:cs="Arial"/>
          <w:rtl/>
        </w:rPr>
        <w:t xml:space="preserve"> אינו יכול לבטלו. ואע"פ שחזר בתוך כדי דבור ובטלו, הואיל ואחר שהגיע לידה או ליד שליח קבלה או לחצרה בטלו </w:t>
      </w:r>
      <w:r w:rsidR="00A82951">
        <w:rPr>
          <w:rFonts w:cs="Arial"/>
          <w:rtl/>
        </w:rPr>
        <w:t>-</w:t>
      </w:r>
      <w:r>
        <w:rPr>
          <w:rFonts w:cs="Arial"/>
          <w:rtl/>
        </w:rPr>
        <w:t xml:space="preserve"> אינו בטל, והרי זה גט כשר. </w:t>
      </w:r>
    </w:p>
    <w:p w14:paraId="64A88716" w14:textId="2E57E108" w:rsidR="00FA2119" w:rsidRDefault="00FA2119" w:rsidP="00FA2119">
      <w:r>
        <w:rPr>
          <w:rFonts w:cs="Arial"/>
          <w:b/>
          <w:bCs/>
          <w:rtl/>
        </w:rPr>
        <w:t>ירושלמי גיטין פ"ד ה"א:</w:t>
      </w:r>
      <w:r>
        <w:rPr>
          <w:rFonts w:cs="Arial"/>
          <w:rtl/>
        </w:rPr>
        <w:t xml:space="preserve"> עשה שליח להוליך את הגט </w:t>
      </w:r>
      <w:r w:rsidR="00A82951">
        <w:rPr>
          <w:rFonts w:cs="Arial"/>
          <w:rtl/>
        </w:rPr>
        <w:t>-</w:t>
      </w:r>
      <w:r>
        <w:rPr>
          <w:rFonts w:cs="Arial"/>
          <w:rtl/>
        </w:rPr>
        <w:t xml:space="preserve"> צריך ליתנו לה בפני שנים, ואין השליח עולה לו משום שנים. הלך השליח לבטל את הגט </w:t>
      </w:r>
      <w:r w:rsidR="00A82951">
        <w:rPr>
          <w:rFonts w:cs="Arial"/>
          <w:rtl/>
        </w:rPr>
        <w:t>-</w:t>
      </w:r>
      <w:r>
        <w:rPr>
          <w:rFonts w:cs="Arial"/>
          <w:rtl/>
        </w:rPr>
        <w:t xml:space="preserve"> צריך לבטלו בפני שנים, והשליח עולה משם שנים.</w:t>
      </w:r>
    </w:p>
    <w:p w14:paraId="30533481" w14:textId="77777777" w:rsidR="00FA2119" w:rsidRDefault="00FA2119" w:rsidP="00FA2119">
      <w:pPr>
        <w:rPr>
          <w:u w:val="single"/>
        </w:rPr>
      </w:pPr>
      <w:r>
        <w:rPr>
          <w:u w:val="single"/>
          <w:rtl/>
        </w:rPr>
        <w:t>ביטול שליחות בפני אדם אחד</w:t>
      </w:r>
      <w:r>
        <w:rPr>
          <w:sz w:val="16"/>
          <w:szCs w:val="16"/>
          <w:u w:val="single"/>
          <w:rtl/>
        </w:rPr>
        <w:t xml:space="preserve"> (אחר, היינו שאינו השליח ולא האשה)</w:t>
      </w:r>
      <w:r>
        <w:rPr>
          <w:u w:val="single"/>
          <w:rtl/>
        </w:rPr>
        <w:t>:</w:t>
      </w:r>
    </w:p>
    <w:p w14:paraId="031206B8" w14:textId="7DC35A14" w:rsidR="00FA2119" w:rsidRDefault="00FA2119" w:rsidP="006A458D">
      <w:pPr>
        <w:pStyle w:val="ab"/>
        <w:numPr>
          <w:ilvl w:val="0"/>
          <w:numId w:val="108"/>
        </w:numPr>
        <w:rPr>
          <w:rFonts w:cs="Arial"/>
          <w:rtl/>
        </w:rPr>
      </w:pPr>
      <w:r>
        <w:rPr>
          <w:rFonts w:cs="Arial"/>
          <w:rtl/>
        </w:rPr>
        <w:t xml:space="preserve">תוס' </w:t>
      </w:r>
      <w:r>
        <w:rPr>
          <w:rFonts w:cs="Arial"/>
          <w:sz w:val="16"/>
          <w:szCs w:val="16"/>
          <w:rtl/>
        </w:rPr>
        <w:t xml:space="preserve">(לב: ד"ה ורב נחמן) </w:t>
      </w:r>
      <w:r>
        <w:rPr>
          <w:rFonts w:cs="Arial"/>
          <w:rtl/>
        </w:rPr>
        <w:t xml:space="preserve">רמב"ם </w:t>
      </w:r>
      <w:r>
        <w:rPr>
          <w:rFonts w:cs="Arial"/>
          <w:sz w:val="16"/>
          <w:szCs w:val="16"/>
          <w:rtl/>
        </w:rPr>
        <w:t>(פ"ו הט"ז, כן הבין הב"י מדבריו)</w:t>
      </w:r>
      <w:r>
        <w:rPr>
          <w:rFonts w:cs="Arial"/>
          <w:rtl/>
        </w:rPr>
        <w:t xml:space="preserve"> ורשב"א </w:t>
      </w:r>
      <w:r>
        <w:rPr>
          <w:rFonts w:cs="Arial"/>
          <w:sz w:val="16"/>
          <w:szCs w:val="16"/>
          <w:rtl/>
        </w:rPr>
        <w:t>(לג. ד"ה ת"ר)</w:t>
      </w:r>
      <w:r w:rsidR="00A82951">
        <w:rPr>
          <w:rFonts w:cs="Arial"/>
          <w:rtl/>
        </w:rPr>
        <w:t>-</w:t>
      </w:r>
      <w:r>
        <w:rPr>
          <w:rFonts w:cs="Arial"/>
          <w:rtl/>
        </w:rPr>
        <w:t xml:space="preserve"> משמע מהכא </w:t>
      </w:r>
      <w:r>
        <w:rPr>
          <w:rFonts w:cs="Arial"/>
          <w:sz w:val="16"/>
          <w:szCs w:val="16"/>
          <w:rtl/>
        </w:rPr>
        <w:t xml:space="preserve">{מהגמ'} </w:t>
      </w:r>
      <w:r>
        <w:rPr>
          <w:rFonts w:cs="Arial"/>
          <w:rtl/>
        </w:rPr>
        <w:t xml:space="preserve">שאם ביטלו בפני אחד </w:t>
      </w:r>
      <w:r w:rsidR="00A82951">
        <w:rPr>
          <w:rFonts w:cs="Arial"/>
          <w:rtl/>
        </w:rPr>
        <w:t>-</w:t>
      </w:r>
      <w:r>
        <w:rPr>
          <w:rFonts w:cs="Arial"/>
          <w:rtl/>
        </w:rPr>
        <w:t xml:space="preserve"> אינו מבוטל</w:t>
      </w:r>
      <w:r>
        <w:rPr>
          <w:rFonts w:cs="Arial"/>
          <w:sz w:val="16"/>
          <w:szCs w:val="16"/>
          <w:rtl/>
        </w:rPr>
        <w:t xml:space="preserve"> (ל' הב"י)</w:t>
      </w:r>
      <w:r>
        <w:rPr>
          <w:rFonts w:cs="Arial"/>
          <w:rtl/>
        </w:rPr>
        <w:t xml:space="preserve">. </w:t>
      </w:r>
    </w:p>
    <w:p w14:paraId="659869C1" w14:textId="77777777" w:rsidR="00FA2119" w:rsidRDefault="00FA2119" w:rsidP="00FA2119">
      <w:pPr>
        <w:ind w:left="360"/>
        <w:rPr>
          <w:rFonts w:cs="Arial"/>
          <w:u w:val="dotted"/>
        </w:rPr>
      </w:pPr>
      <w:r>
        <w:rPr>
          <w:rFonts w:cs="Arial"/>
          <w:u w:val="dotted"/>
          <w:rtl/>
        </w:rPr>
        <w:t>ומה הדין אם מבטל בפני השליח או האשה:</w:t>
      </w:r>
    </w:p>
    <w:p w14:paraId="231DF1B3" w14:textId="1A15EEA5" w:rsidR="00FA2119" w:rsidRDefault="00FA2119" w:rsidP="006A458D">
      <w:pPr>
        <w:pStyle w:val="ab"/>
        <w:numPr>
          <w:ilvl w:val="0"/>
          <w:numId w:val="108"/>
        </w:numPr>
        <w:rPr>
          <w:rFonts w:cs="Arial"/>
        </w:rPr>
      </w:pPr>
      <w:r>
        <w:rPr>
          <w:rFonts w:cs="Arial"/>
          <w:rtl/>
        </w:rPr>
        <w:t xml:space="preserve">רמב"ם </w:t>
      </w:r>
      <w:r>
        <w:rPr>
          <w:rFonts w:cs="Arial"/>
          <w:sz w:val="16"/>
          <w:szCs w:val="16"/>
          <w:rtl/>
        </w:rPr>
        <w:t>(פ"ו הט"ז, כן הבין הב"י מדבריו)</w:t>
      </w:r>
      <w:r w:rsidR="00A82951">
        <w:rPr>
          <w:rFonts w:cs="Arial"/>
          <w:rtl/>
        </w:rPr>
        <w:t>-</w:t>
      </w:r>
      <w:r>
        <w:rPr>
          <w:rFonts w:cs="Arial"/>
          <w:rtl/>
        </w:rPr>
        <w:t xml:space="preserve"> מיהו הני מילי </w:t>
      </w:r>
      <w:r>
        <w:rPr>
          <w:rFonts w:cs="Arial"/>
          <w:sz w:val="16"/>
          <w:szCs w:val="16"/>
          <w:rtl/>
        </w:rPr>
        <w:t xml:space="preserve">{שאינו מבוטל} </w:t>
      </w:r>
      <w:r>
        <w:rPr>
          <w:rFonts w:cs="Arial"/>
          <w:rtl/>
        </w:rPr>
        <w:t xml:space="preserve">במבטל בפני אחרים, אבל במבטל בפני השליח בין על ידי עצמו בין על ידי שליח, או במבטל בפני האשה </w:t>
      </w:r>
      <w:r w:rsidR="00A82951">
        <w:rPr>
          <w:rFonts w:cs="Arial"/>
          <w:rtl/>
        </w:rPr>
        <w:t>-</w:t>
      </w:r>
      <w:r>
        <w:rPr>
          <w:rFonts w:cs="Arial"/>
          <w:rtl/>
        </w:rPr>
        <w:t xml:space="preserve"> מבוטל הוא אפילו אין שם שום עד</w:t>
      </w:r>
      <w:r>
        <w:rPr>
          <w:rStyle w:val="a7"/>
          <w:rFonts w:cs="Arial"/>
          <w:rtl/>
        </w:rPr>
        <w:footnoteReference w:id="2122"/>
      </w:r>
      <w:r>
        <w:rPr>
          <w:rFonts w:cs="Arial"/>
          <w:sz w:val="16"/>
          <w:szCs w:val="16"/>
          <w:rtl/>
        </w:rPr>
        <w:t xml:space="preserve"> (ל' הב"י)</w:t>
      </w:r>
      <w:r>
        <w:rPr>
          <w:rFonts w:cs="Arial"/>
          <w:rtl/>
        </w:rPr>
        <w:t xml:space="preserve">. </w:t>
      </w:r>
    </w:p>
    <w:p w14:paraId="4ECE2FAD" w14:textId="23F98BFE" w:rsidR="00FA2119" w:rsidRDefault="00FA2119" w:rsidP="006A458D">
      <w:pPr>
        <w:pStyle w:val="ab"/>
        <w:numPr>
          <w:ilvl w:val="0"/>
          <w:numId w:val="108"/>
        </w:numPr>
        <w:rPr>
          <w:rFonts w:cs="Arial"/>
        </w:rPr>
      </w:pPr>
      <w:r>
        <w:rPr>
          <w:rFonts w:cs="Arial"/>
          <w:rtl/>
        </w:rPr>
        <w:t xml:space="preserve">רי"ו </w:t>
      </w:r>
      <w:r>
        <w:rPr>
          <w:rFonts w:cs="Arial"/>
          <w:sz w:val="16"/>
          <w:szCs w:val="16"/>
          <w:rtl/>
        </w:rPr>
        <w:t>(ח"ג נכ"ד רח ע"ד)</w:t>
      </w:r>
      <w:r w:rsidR="00A82951">
        <w:rPr>
          <w:rFonts w:cs="Arial"/>
          <w:rtl/>
        </w:rPr>
        <w:t>-</w:t>
      </w:r>
      <w:r>
        <w:rPr>
          <w:rFonts w:cs="Arial"/>
          <w:rtl/>
        </w:rPr>
        <w:t xml:space="preserve"> אם הלך השליח לבטל שליחות הגט כמו שכתבתי למעלה </w:t>
      </w:r>
      <w:r w:rsidR="00A82951">
        <w:rPr>
          <w:rFonts w:cs="Arial"/>
          <w:rtl/>
        </w:rPr>
        <w:t>-</w:t>
      </w:r>
      <w:r>
        <w:rPr>
          <w:rFonts w:cs="Arial"/>
          <w:rtl/>
        </w:rPr>
        <w:t xml:space="preserve"> צריך לבטל בפני שנים, כי לעולם שליח במקום הבעל, ולפיכך צריך שני' מלבד השליח, כך פשוט בירושלמי בגטין (פ"ד ה"א)</w:t>
      </w:r>
      <w:r>
        <w:rPr>
          <w:rStyle w:val="a7"/>
          <w:rFonts w:cs="Arial"/>
          <w:rtl/>
        </w:rPr>
        <w:footnoteReference w:id="2123"/>
      </w:r>
      <w:r>
        <w:rPr>
          <w:rFonts w:cs="Arial"/>
          <w:rtl/>
        </w:rPr>
        <w:t xml:space="preserve">. </w:t>
      </w:r>
    </w:p>
    <w:p w14:paraId="5707DCE8" w14:textId="77777777" w:rsidR="00FA2119" w:rsidRDefault="00FA2119" w:rsidP="00FA2119">
      <w:pPr>
        <w:rPr>
          <w:rFonts w:cs="Arial"/>
          <w:u w:val="single"/>
        </w:rPr>
      </w:pPr>
      <w:r>
        <w:rPr>
          <w:rFonts w:cs="Arial"/>
          <w:u w:val="single"/>
          <w:rtl/>
        </w:rPr>
        <w:t>אדם עבר על תקנת הקהל לא לקדש אשה אלא בפני י', ותפסוהו כדי שיגרש, ומסר מודעה בפני ב' זה שלא בפני זה:</w:t>
      </w:r>
    </w:p>
    <w:p w14:paraId="63B2A10C" w14:textId="1EFEAF91" w:rsidR="00FA2119" w:rsidRDefault="00FA2119" w:rsidP="006A458D">
      <w:pPr>
        <w:pStyle w:val="ab"/>
        <w:numPr>
          <w:ilvl w:val="0"/>
          <w:numId w:val="108"/>
        </w:numPr>
        <w:rPr>
          <w:rFonts w:cs="Arial"/>
        </w:rPr>
      </w:pPr>
      <w:r>
        <w:rPr>
          <w:rFonts w:cs="Arial"/>
          <w:rtl/>
        </w:rPr>
        <w:t xml:space="preserve">ריב"ש </w:t>
      </w:r>
      <w:r>
        <w:rPr>
          <w:rFonts w:cs="Arial"/>
          <w:sz w:val="16"/>
          <w:szCs w:val="16"/>
          <w:rtl/>
        </w:rPr>
        <w:t>(סי' רלב, ועיין מש"כ גבי דינים אלו בסי' תפב)</w:t>
      </w:r>
      <w:r w:rsidR="00A82951">
        <w:rPr>
          <w:rFonts w:cs="Arial"/>
          <w:rtl/>
        </w:rPr>
        <w:t>-</w:t>
      </w:r>
      <w:r>
        <w:rPr>
          <w:rFonts w:cs="Arial"/>
          <w:rtl/>
        </w:rPr>
        <w:t xml:space="preserve"> מי שקידש במרמה, ותפסוהו על שעבר על הסכמת הקהל שלא לקדש אלא בעשרה, והסכים לגרש, ולא ביטל מודעות, ונמצא שאמר בפני שנים זה שלא בפני זה קודם נתינת הגט תהיה עד שאני מוכרח בתפיסה עד שאגרש ואני מבטלו מעכשיו.       תשובה: מודעא זו מורכבת משני דברים: האחד, מה שאמר שהוא אנוס ומוכרח בתפיסה עד שיגרש, וזו היא מסירת מודעא על הגט דאע"ג דלא ידעינן באנסיה הרי הוא נאמן שנאנס על זה כדאמרינן בפרק חזקת (בבא בתרא מ:). והשני, הוא מה שאמר שהוא מבטל מעכשיו, שאף אם אינו אנוס מכל מקום כיון שביטלו בפירוש אינה מגורשת. אלא שבזה הדרך השני רבו הסברות, כי יש מי שאומר שאינו יכול לבטלו קודם הכתיבה, דאין ביטול בדבר העתיד אלא בטענת אונס, משום דאי מבטל שליחות סופר ועדים הרי כשחזר אח"כ ואמר להם כתובו חזר ועשאן שלוחים וקיי"ל דאתי דיבור ומבטל דיבור, אבל אחר כתיבה יכול לבטל הגט שנכתב, דאע"ג דקיי"ל כרב נחמן דאמר חוזר ומגרש בו היינו בההיא דהתם שהגט ביד שליח, דאמרינן דלא ביטל אלא שליחות השליח. אבל אם הגט בידו וביטלו, דהשתא על כרחין דעתו על הגט עצמו, או אף אם הוא ביד שליח וביטלו בפירוש מתורת גט </w:t>
      </w:r>
      <w:r w:rsidR="00A82951">
        <w:rPr>
          <w:rFonts w:cs="Arial"/>
          <w:rtl/>
        </w:rPr>
        <w:t>-</w:t>
      </w:r>
      <w:r>
        <w:rPr>
          <w:rFonts w:cs="Arial"/>
          <w:rtl/>
        </w:rPr>
        <w:t xml:space="preserve"> אינו מגרש בו לעולם. וגרסינן התם נהי דבטליה, לשליחותא דשליח גיטא גופיה לא בטליה. והרמב"ם (הי"ט) סובר שאף קודם כתיבה יכול לבטל, ואם אמר כל גט שאכתוב מכאן ועד עשרים שנה בטל הוא </w:t>
      </w:r>
      <w:r w:rsidR="00A82951">
        <w:rPr>
          <w:rFonts w:cs="Arial"/>
          <w:rtl/>
        </w:rPr>
        <w:t>-</w:t>
      </w:r>
      <w:r>
        <w:rPr>
          <w:rFonts w:cs="Arial"/>
          <w:rtl/>
        </w:rPr>
        <w:t xml:space="preserve"> הרי זה בטל, וזו היא מסירת מודעא על הגט. נראה שדעת הרב ז"ל שכל דיבור הבא לבטל הדבר העתיד </w:t>
      </w:r>
      <w:r w:rsidR="00A82951">
        <w:rPr>
          <w:rFonts w:cs="Arial"/>
          <w:rtl/>
        </w:rPr>
        <w:t>-</w:t>
      </w:r>
      <w:r>
        <w:rPr>
          <w:rFonts w:cs="Arial"/>
          <w:rtl/>
        </w:rPr>
        <w:t xml:space="preserve"> קרוי מסירת מודעא, ואפילו בלא טענת אונס. והרמב"ן והרשב"א סוברים דאחר כתיבה אינו יכול לבטל הגט עצמו, וגרסינן התם גיטא מי קא בטיל, וכל שכן קודם כתיבה (רמב"ן ב"ב מ: ד"ה הא דאקשינן) שאינו יכול לבטל שלא בטענת אונס, משום דשליחות סופר ועדים אין יכול לבטל קודם כתיבה, דכשחזר ועשאן שלוחין אתי דיבור ומבטל דיבור. ואם נאמר שמבטל הגט עצמו מעכשיו ולאחר שיכתב, והלא אפילו אחר שיכתב אין יכול לבטל לפי סברתם. וכן נמי אין יכול לבטל נתינת הגט העתידה משום דכשנותן אח"כ הרי הנתינה מבטלת הדיבור, אא"כ תלה באונס. אמנם גם הרמב"ן והרשב"א כתבו שיש לחוש בדבר למעשה בביטול הגט עצמו אחר כתיבה מלגרש בו לעולם לכתחלה, וכן כתבו חכמי הצרפתים, וכן חזר והודה הרמב"ן בפרק השולח (שם בסוה"ד) לסברת הרמב"ם דכל המבטל בעתיד מודעא היא עד דמבטל למודעיה. וא"כ בנדון זה שיש שני </w:t>
      </w:r>
      <w:r>
        <w:rPr>
          <w:rFonts w:cs="Arial"/>
          <w:rtl/>
        </w:rPr>
        <w:lastRenderedPageBreak/>
        <w:t xml:space="preserve">דברים, רוצה לומר שני מיני מודעא שאומר שהוא אנוס וכן שאמר קודם כתיבה שהוא מבטלו. אם באנו לדון עליו מכח הביטול לבד היה אפשר לומר שאין כאן ביטול כיון שלא ביטל בפני שנים זה בפני זה מדתנן בפרק השולח (לב.) היה עושה בית דין ומבטלו ואע"ג דקיי"ל כרב נחמן דאמר בפני שנים, מכל מקום כיון דקרי להו בית דין משמע דבעינן זה בפני זה דלא שייך לאכשורי זה שלא בפני זה אלא גבי עדות וכרבי יהושע בן קרחה. אבל אם נדון עליו מכח מה שאמר שהוא אנוס ומוכרח בתפיסה </w:t>
      </w:r>
      <w:r w:rsidR="00A82951">
        <w:rPr>
          <w:rFonts w:cs="Arial"/>
          <w:rtl/>
        </w:rPr>
        <w:t>-</w:t>
      </w:r>
      <w:r>
        <w:rPr>
          <w:rFonts w:cs="Arial"/>
          <w:rtl/>
        </w:rPr>
        <w:t xml:space="preserve"> אין צריך כלל בית דין אלא כל שיש עדות שאמר כן סגי, וא"כ לא בעינן זה בפני זה דהא קיי"ל כרבי יהושע בן קרחה דלא בעינן שיראו שניהם כאחד כדאיתא בפרק זה בורר (סנהדרין ל.), ובפרק השולח (לג:) מדמי גיטין לדיני ממונות לגבי הא דרבי יהושע בן קרחה דמאן, דאית ליה הא דרבי יהושע מכשר בעדי כתיבה לומר לזה בפני עצמו ולזה בפני עצמו שיחתמו בגט, וא"כ המודעא שעשה בטענת אונס </w:t>
      </w:r>
      <w:r w:rsidR="00A82951">
        <w:rPr>
          <w:rFonts w:cs="Arial"/>
          <w:rtl/>
        </w:rPr>
        <w:t>-</w:t>
      </w:r>
      <w:r>
        <w:rPr>
          <w:rFonts w:cs="Arial"/>
          <w:rtl/>
        </w:rPr>
        <w:t xml:space="preserve"> אפילו זה שלא בפני זה מהניא. וכי תימא הרי האונס שתלה בו מודעתו אינו אמת, שהרי הרב אומר שלא צוה לתפסו כי אם על שפרץ הגדר, וכיון דטעמא דמודעא דגיטא אע"ג דלא ידעינן באונסיה משום דמהימנינן ליה, השתא דידעינן דלאו קושטא הוא ליכא להימוניה, יש להשיב שאף אם הדין יהיה שלא להאמינו היכא שאנו יודעים בבירור שאינו אנוס, מכל מקום בנדון זה שאי אפשר לדעת זה אלא מפי הרב מה היתה כוונתו, הנה הבעל נאמן יותר כיון שהאמינוהו חכמים. ועוד שהרי זה היה תפוס לעינינו, ויודע שכשיגרש יתירוהו ממאסרו, א"כ הרי הוא כאילו נאנס לגרש כיון שמסר מודעא קודם לכן מחמת זה האונס, ואע"פ שאין אונס זה מספיק לבדו לבטל הגט מדין גט מעושה (גיטין פח:) היכא שלא מסר מודעא מתחלה כיון שלא נתפס עד שיגרש, מכל מקום כשמסר מודעא מתחלה אף אם נאמר שאין מסירת מודעא מועלת אלא ע"י אונס, אפילו הכי קצת אונס מועיל להחשיב המודעא אע"פ שאינו אונס גמור מצד עצמו. וראיה לדבר מדאמרינן בפרק חזקת (מ:) גבי מתנה טמירתא וכו'. אין צריך לומר שהרבה מהמחברים כתבו דאפילו נמצא האונס שתלה בו מודעתו אינו אמת אפילו הכי המודעא קיימת דגילוי מילתא בעלמא הוא כיון שיכול לבטלו אפילו בלא אונס כדעת הר"ם דכל המבטל לעתיד בגט ומתנה די לו כשיגלה דעתו שאינו חפץ בדבר ההוא, וכ"כ לבעל העיטור (אות מ מודעא מ:) ובספר אבן העזר (לעיל ריש סי' קלד). ואפילו מצד הביטול יש לומר דלא בעינן שנים זה בפני זה, דעד כאן לא אדכרו בית דין במתניתין דהשולח אלא במי שיבטל שליחות השליח שנעשה כבר ומבטלו שלא בפניו, אבל במי שמבטל הגט קודם כתיבה או אחר כתיבה שמבטל מלגרש בו לעתיד הרי זה כמוסר מודעא כמו שכתב הרמב"ם, ולא מצינו במודעא לשון בית דין כי אם לשון עדות דבעינן בפני שנים (ב"ב מ.) דומיא דקנין. וכיון שכן </w:t>
      </w:r>
      <w:r w:rsidR="00A82951">
        <w:rPr>
          <w:rFonts w:cs="Arial"/>
          <w:rtl/>
        </w:rPr>
        <w:t>-</w:t>
      </w:r>
      <w:r>
        <w:rPr>
          <w:rFonts w:cs="Arial"/>
          <w:rtl/>
        </w:rPr>
        <w:t xml:space="preserve"> אפילו זה שלא בפני זה מצטרפים. </w:t>
      </w:r>
      <w:r>
        <w:rPr>
          <w:rFonts w:cs="Arial"/>
          <w:color w:val="00B0F0"/>
          <w:rtl/>
        </w:rPr>
        <w:t>(וכ"כ הרמ"א)</w:t>
      </w:r>
    </w:p>
    <w:p w14:paraId="56D9315C"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54774C1" w14:textId="242AA685" w:rsidR="00FA2119" w:rsidRDefault="00FA2119" w:rsidP="00FA2119">
      <w:pPr>
        <w:rPr>
          <w:rtl/>
        </w:rPr>
      </w:pPr>
      <w:r>
        <w:rPr>
          <w:rFonts w:cs="Arial"/>
          <w:rtl/>
        </w:rPr>
        <w:t>לכתחילה אין לו לבטלו אלא בפני השליח עצמו או בפניה, אבל בדיעבד אפילו בטלו שלא בפניה, מבוטל, והוא שיבטלנו בפני שנים</w:t>
      </w:r>
      <w:r>
        <w:rPr>
          <w:rStyle w:val="a7"/>
          <w:rFonts w:cs="Arial"/>
          <w:rtl/>
        </w:rPr>
        <w:footnoteReference w:id="2124"/>
      </w:r>
      <w:r>
        <w:rPr>
          <w:rFonts w:cs="Arial"/>
          <w:rtl/>
        </w:rPr>
        <w:t xml:space="preserve">. </w:t>
      </w:r>
      <w:r>
        <w:rPr>
          <w:rFonts w:cs="Arial"/>
          <w:sz w:val="18"/>
          <w:szCs w:val="18"/>
          <w:rtl/>
        </w:rPr>
        <w:t>הגה: ואין הבעל נאמן</w:t>
      </w:r>
      <w:r>
        <w:rPr>
          <w:rStyle w:val="a7"/>
          <w:rFonts w:cs="Arial"/>
          <w:sz w:val="18"/>
          <w:szCs w:val="18"/>
          <w:rtl/>
        </w:rPr>
        <w:footnoteReference w:id="2125"/>
      </w:r>
      <w:r>
        <w:rPr>
          <w:rFonts w:cs="Arial"/>
          <w:sz w:val="18"/>
          <w:szCs w:val="18"/>
          <w:rtl/>
        </w:rPr>
        <w:t xml:space="preserve"> לומר שבטלו, אא"כ השליח או האשה מודים</w:t>
      </w:r>
      <w:r>
        <w:rPr>
          <w:rStyle w:val="a7"/>
          <w:rFonts w:cs="Arial"/>
          <w:sz w:val="18"/>
          <w:szCs w:val="18"/>
          <w:rtl/>
        </w:rPr>
        <w:footnoteReference w:id="2126"/>
      </w:r>
      <w:r>
        <w:rPr>
          <w:rFonts w:cs="Arial"/>
          <w:sz w:val="18"/>
          <w:szCs w:val="18"/>
          <w:rtl/>
        </w:rPr>
        <w:t xml:space="preserve"> בדבר או שיש לו עדים שבטלו (ב"י והג"א). יש אומרים דאלו השנים שמבטל לפניהם השליח צריכים להיות ביחד</w:t>
      </w:r>
      <w:r>
        <w:rPr>
          <w:rStyle w:val="a7"/>
          <w:rFonts w:cs="Arial"/>
          <w:sz w:val="18"/>
          <w:szCs w:val="18"/>
          <w:rtl/>
        </w:rPr>
        <w:footnoteReference w:id="2127"/>
      </w:r>
      <w:r>
        <w:rPr>
          <w:rFonts w:cs="Arial"/>
          <w:sz w:val="18"/>
          <w:szCs w:val="18"/>
          <w:rtl/>
        </w:rPr>
        <w:t>, אבל זה שלא בפני זה, לא. אבל אם מבטל הגט עצמו, אפילו לאחר שנכתב, מהני אפילו זה שלא בפני זה (ריב"ש סי' רלב).</w:t>
      </w:r>
      <w:r>
        <w:rPr>
          <w:rFonts w:cs="Arial"/>
          <w:rtl/>
        </w:rPr>
        <w:t xml:space="preserve"> </w:t>
      </w:r>
    </w:p>
    <w:p w14:paraId="01570442" w14:textId="77777777" w:rsidR="00FA2119" w:rsidRDefault="00FA2119" w:rsidP="00FA2119">
      <w:pPr>
        <w:rPr>
          <w:rFonts w:cs="Arial"/>
          <w:sz w:val="16"/>
          <w:szCs w:val="16"/>
          <w:u w:val="single"/>
          <w:rtl/>
        </w:rPr>
      </w:pPr>
      <w:r>
        <w:rPr>
          <w:rFonts w:cs="Arial"/>
          <w:u w:val="single"/>
          <w:rtl/>
        </w:rPr>
        <w:t>אחד שלח גט לאשתו, וביטל הגט בפני ב' קודם שהגיע לידה, ואחר שנמסר לידה נפל הבעל למים שאל"ס:</w:t>
      </w:r>
      <w:r>
        <w:rPr>
          <w:rFonts w:cs="Arial"/>
          <w:sz w:val="16"/>
          <w:szCs w:val="16"/>
          <w:rtl/>
        </w:rPr>
        <w:t xml:space="preserve"> (פת"ש סקנ"ט)</w:t>
      </w:r>
    </w:p>
    <w:p w14:paraId="024AF9EC" w14:textId="059C5299" w:rsidR="00FA2119" w:rsidRDefault="00FA2119" w:rsidP="006A458D">
      <w:pPr>
        <w:pStyle w:val="ab"/>
        <w:numPr>
          <w:ilvl w:val="0"/>
          <w:numId w:val="108"/>
        </w:numPr>
        <w:rPr>
          <w:rFonts w:cs="Arial"/>
          <w:rtl/>
        </w:rPr>
      </w:pPr>
      <w:r>
        <w:rPr>
          <w:rFonts w:cs="Arial"/>
          <w:rtl/>
        </w:rPr>
        <w:t xml:space="preserve">שמן רקח </w:t>
      </w:r>
      <w:r>
        <w:rPr>
          <w:rFonts w:cs="Arial"/>
          <w:sz w:val="16"/>
          <w:szCs w:val="16"/>
          <w:rtl/>
        </w:rPr>
        <w:t>(ח"א סי' ס)</w:t>
      </w:r>
      <w:r w:rsidR="00A82951">
        <w:rPr>
          <w:rFonts w:cs="Arial"/>
          <w:rtl/>
        </w:rPr>
        <w:t>-</w:t>
      </w:r>
      <w:r>
        <w:rPr>
          <w:rFonts w:cs="Arial"/>
          <w:rtl/>
        </w:rPr>
        <w:t xml:space="preserve"> אחד ששלח גט לאשתו ע"י שליח וקודם שהגיע הגט ליד האשה ביטל הבעל את הגט בפני שני עדים ואח"כ אחר שנמסר לידה נפל למים שאין להם סוף מה דינה של האשה... לכאורה לפי הנהוג </w:t>
      </w:r>
      <w:r>
        <w:rPr>
          <w:rFonts w:cs="Arial"/>
          <w:rtl/>
        </w:rPr>
        <w:lastRenderedPageBreak/>
        <w:t>עתה דהשולח גט לאשתו ע"י שליח מקבל עליו בחרם ובשבועת התורה שלא לבטל את הגט ולא את השליח כמבואר בסדר גיטין, א"כ אף אם עבר וביטל לא מהני, דכ"מ דאמרו רבנן לא תעביד אי עביד לא מהני</w:t>
      </w:r>
      <w:r>
        <w:rPr>
          <w:rStyle w:val="a7"/>
          <w:rFonts w:cs="Arial"/>
          <w:rtl/>
        </w:rPr>
        <w:footnoteReference w:id="2128"/>
      </w:r>
      <w:r>
        <w:rPr>
          <w:rFonts w:cs="Arial"/>
          <w:rtl/>
        </w:rPr>
        <w:t xml:space="preserve">. </w:t>
      </w:r>
    </w:p>
    <w:p w14:paraId="11629114" w14:textId="790EA978" w:rsidR="00FA2119" w:rsidRDefault="00FA2119" w:rsidP="00FA2119">
      <w:pPr>
        <w:rPr>
          <w:rFonts w:cs="Arial"/>
          <w:u w:val="single"/>
        </w:rPr>
      </w:pPr>
      <w:r>
        <w:rPr>
          <w:rFonts w:cs="Arial"/>
          <w:u w:val="single"/>
          <w:rtl/>
        </w:rPr>
        <w:t xml:space="preserve">אדם ששלח שליח לבטל הגט </w:t>
      </w:r>
      <w:r w:rsidR="00A82951">
        <w:rPr>
          <w:rFonts w:cs="Arial"/>
          <w:u w:val="single"/>
          <w:rtl/>
        </w:rPr>
        <w:t>-</w:t>
      </w:r>
      <w:r>
        <w:rPr>
          <w:rFonts w:cs="Arial"/>
          <w:u w:val="single"/>
          <w:rtl/>
        </w:rPr>
        <w:t xml:space="preserve"> האם השליח צריך להביא עידי שליחות:</w:t>
      </w:r>
      <w:r>
        <w:rPr>
          <w:rFonts w:cs="Arial"/>
          <w:sz w:val="16"/>
          <w:szCs w:val="16"/>
          <w:rtl/>
        </w:rPr>
        <w:t xml:space="preserve"> (פת"ש ס"ק סא)</w:t>
      </w:r>
    </w:p>
    <w:p w14:paraId="0D64700A" w14:textId="3CD14B48" w:rsidR="00FA2119" w:rsidRDefault="00FA2119" w:rsidP="006A458D">
      <w:pPr>
        <w:pStyle w:val="ab"/>
        <w:numPr>
          <w:ilvl w:val="0"/>
          <w:numId w:val="108"/>
        </w:numPr>
        <w:rPr>
          <w:rFonts w:cs="Arial"/>
        </w:rPr>
      </w:pPr>
      <w:r>
        <w:rPr>
          <w:rFonts w:cs="Arial"/>
          <w:rtl/>
        </w:rPr>
        <w:t xml:space="preserve">תו"ג </w:t>
      </w:r>
      <w:r>
        <w:rPr>
          <w:rFonts w:cs="Arial"/>
          <w:sz w:val="16"/>
          <w:szCs w:val="16"/>
          <w:rtl/>
        </w:rPr>
        <w:t>(הביאו הפת"ש ס"ק סא)</w:t>
      </w:r>
      <w:r w:rsidR="00A82951">
        <w:rPr>
          <w:rFonts w:cs="Arial"/>
          <w:rtl/>
        </w:rPr>
        <w:t>-</w:t>
      </w:r>
      <w:r>
        <w:rPr>
          <w:rFonts w:cs="Arial"/>
          <w:rtl/>
        </w:rPr>
        <w:t xml:space="preserve"> אם שלח שליח לבטל הגט, נראה דא"צ להביא עידי שליחות, דדוקא להוציא מחזקת פנויה או מחזקת א"א חשיב דבר שבערוה ובעי שנים, אבל הכא שעדיין לא נתגרשה והשליח אומר שאין גט זה ראוי לגרש בו שנתבטל, כשאר איסורין דמי שעד א' נאמן. </w:t>
      </w:r>
    </w:p>
    <w:p w14:paraId="612AEA90" w14:textId="77777777" w:rsidR="00FA2119" w:rsidRDefault="00FA2119" w:rsidP="00FA2119">
      <w:pPr>
        <w:rPr>
          <w:rtl/>
        </w:rPr>
      </w:pPr>
    </w:p>
    <w:p w14:paraId="46757DFA" w14:textId="0291FF7B" w:rsidR="00FA2119" w:rsidRDefault="00FA2119" w:rsidP="00FA2119">
      <w:pPr>
        <w:pStyle w:val="2"/>
        <w:rPr>
          <w:rtl/>
        </w:rPr>
      </w:pPr>
      <w:r>
        <w:rPr>
          <w:rtl/>
        </w:rPr>
        <w:t xml:space="preserve">סעיף סא: שלח את הגט ע"י שנים/עשרה </w:t>
      </w:r>
      <w:r w:rsidR="00A82951">
        <w:rPr>
          <w:rtl/>
        </w:rPr>
        <w:t>-</w:t>
      </w:r>
      <w:r>
        <w:rPr>
          <w:rtl/>
        </w:rPr>
        <w:t xml:space="preserve"> כיצד מבטלו.</w:t>
      </w:r>
    </w:p>
    <w:p w14:paraId="246EB1F2" w14:textId="2BF378EB" w:rsidR="00FA2119" w:rsidRDefault="00FA2119" w:rsidP="00FA2119">
      <w:pPr>
        <w:rPr>
          <w:rFonts w:cs="Arial"/>
          <w:rtl/>
        </w:rPr>
      </w:pPr>
      <w:r>
        <w:rPr>
          <w:rFonts w:cs="Arial"/>
          <w:b/>
          <w:bCs/>
          <w:rtl/>
        </w:rPr>
        <w:t xml:space="preserve">גיטין </w:t>
      </w:r>
      <w:r>
        <w:rPr>
          <w:rFonts w:cs="Arial"/>
          <w:b/>
          <w:bCs/>
          <w:sz w:val="16"/>
          <w:szCs w:val="16"/>
          <w:rtl/>
        </w:rPr>
        <w:t>(פ' השולח)</w:t>
      </w:r>
      <w:r>
        <w:rPr>
          <w:rFonts w:cs="Arial"/>
          <w:b/>
          <w:bCs/>
          <w:rtl/>
        </w:rPr>
        <w:t xml:space="preserve"> לב ע"א:</w:t>
      </w:r>
      <w:r>
        <w:rPr>
          <w:rFonts w:cs="Arial"/>
          <w:rtl/>
        </w:rPr>
        <w:t xml:space="preserve"> </w:t>
      </w:r>
      <w:r>
        <w:rPr>
          <w:rFonts w:cs="Arial"/>
          <w:u w:val="double"/>
          <w:rtl/>
        </w:rPr>
        <w:t>מתני'</w:t>
      </w:r>
      <w:r>
        <w:rPr>
          <w:rFonts w:cs="Arial"/>
          <w:rtl/>
        </w:rPr>
        <w:t xml:space="preserve">: השולח גט לאשתו, והגיע בשליח או ששלח אחריו שליח, ואמר לו גט שנתתי לך בטל הוא </w:t>
      </w:r>
      <w:r w:rsidR="00A82951">
        <w:rPr>
          <w:rFonts w:cs="Arial"/>
          <w:rtl/>
        </w:rPr>
        <w:t>-</w:t>
      </w:r>
      <w:r>
        <w:rPr>
          <w:rFonts w:cs="Arial"/>
          <w:rtl/>
        </w:rPr>
        <w:t xml:space="preserve"> הרי זה בטל. קידם אצל אשתו או ששלח אצלה שליח, ואמר לה גט ששלחתי לך בטל הוא </w:t>
      </w:r>
      <w:r w:rsidR="00A82951">
        <w:rPr>
          <w:rFonts w:cs="Arial"/>
          <w:rtl/>
        </w:rPr>
        <w:t>-</w:t>
      </w:r>
      <w:r>
        <w:rPr>
          <w:rFonts w:cs="Arial"/>
          <w:rtl/>
        </w:rPr>
        <w:t xml:space="preserve"> הרי זה בטל. אם משהגיע גט לידה, שוב אינו יכול לבטלו. בראשונה היה עושה ב"ד ממקום אחר ומבטלו, התקין רבן גמליאל הזקן שלא יהו עושין כן, מפני תיקון העולם</w:t>
      </w:r>
      <w:r>
        <w:rPr>
          <w:rStyle w:val="a7"/>
          <w:rFonts w:cs="Arial"/>
          <w:rtl/>
        </w:rPr>
        <w:footnoteReference w:id="2129"/>
      </w:r>
      <w:r>
        <w:rPr>
          <w:rFonts w:cs="Arial"/>
          <w:rtl/>
        </w:rPr>
        <w:t>.</w:t>
      </w:r>
      <w:r>
        <w:rPr>
          <w:rtl/>
        </w:rPr>
        <w:t xml:space="preserve">         </w:t>
      </w:r>
      <w:r>
        <w:rPr>
          <w:u w:val="double"/>
          <w:rtl/>
        </w:rPr>
        <w:t>גמ'</w:t>
      </w:r>
      <w:r>
        <w:rPr>
          <w:sz w:val="14"/>
          <w:szCs w:val="14"/>
          <w:u w:val="double"/>
          <w:rtl/>
        </w:rPr>
        <w:t>(לב:)</w:t>
      </w:r>
      <w:r>
        <w:rPr>
          <w:u w:val="double"/>
          <w:rtl/>
        </w:rPr>
        <w:t>:</w:t>
      </w:r>
      <w:r>
        <w:rPr>
          <w:rtl/>
        </w:rPr>
        <w:t xml:space="preserve"> </w:t>
      </w:r>
      <w:r>
        <w:rPr>
          <w:rFonts w:cs="Arial"/>
          <w:rtl/>
        </w:rPr>
        <w:t>ת"ר: בטלו</w:t>
      </w:r>
      <w:r>
        <w:rPr>
          <w:rStyle w:val="a7"/>
          <w:rFonts w:cs="Arial"/>
          <w:rtl/>
        </w:rPr>
        <w:footnoteReference w:id="2130"/>
      </w:r>
      <w:r>
        <w:rPr>
          <w:rFonts w:cs="Arial"/>
          <w:rtl/>
        </w:rPr>
        <w:t xml:space="preserve"> </w:t>
      </w:r>
      <w:r w:rsidR="00A82951">
        <w:rPr>
          <w:rFonts w:cs="Arial"/>
          <w:rtl/>
        </w:rPr>
        <w:t>-</w:t>
      </w:r>
      <w:r>
        <w:rPr>
          <w:rFonts w:cs="Arial"/>
          <w:rtl/>
        </w:rPr>
        <w:t xml:space="preserve"> מבוטל, </w:t>
      </w:r>
      <w:r>
        <w:rPr>
          <w:rFonts w:cs="Arial"/>
          <w:u w:val="single"/>
          <w:rtl/>
        </w:rPr>
        <w:t>דברי רבי</w:t>
      </w:r>
      <w:r>
        <w:rPr>
          <w:rFonts w:cs="Arial"/>
          <w:rtl/>
        </w:rPr>
        <w:t xml:space="preserve">; </w:t>
      </w:r>
      <w:r>
        <w:rPr>
          <w:rFonts w:cs="Arial"/>
          <w:u w:val="single"/>
          <w:rtl/>
        </w:rPr>
        <w:t>רשב"ג אומר</w:t>
      </w:r>
      <w:r>
        <w:rPr>
          <w:rFonts w:cs="Arial"/>
          <w:rtl/>
        </w:rPr>
        <w:t>: אינו יכול לא לבטלו ולא להוסיף על תנאו, שא"כ, מה כח ב"ד</w:t>
      </w:r>
      <w:r>
        <w:rPr>
          <w:rStyle w:val="a7"/>
          <w:rFonts w:cs="Arial"/>
          <w:rtl/>
        </w:rPr>
        <w:footnoteReference w:id="2131"/>
      </w:r>
      <w:r>
        <w:rPr>
          <w:rFonts w:cs="Arial"/>
          <w:rtl/>
        </w:rPr>
        <w:t xml:space="preserve"> יפה... ת"ר: אמר לעשרה כתבו גט לאשתי</w:t>
      </w:r>
      <w:r>
        <w:rPr>
          <w:rStyle w:val="a7"/>
          <w:rFonts w:cs="Arial"/>
          <w:rtl/>
        </w:rPr>
        <w:footnoteReference w:id="2132"/>
      </w:r>
      <w:r>
        <w:rPr>
          <w:rFonts w:cs="Arial"/>
          <w:rtl/>
        </w:rPr>
        <w:t xml:space="preserve"> </w:t>
      </w:r>
      <w:r w:rsidR="00A82951">
        <w:rPr>
          <w:rFonts w:cs="Arial"/>
          <w:rtl/>
        </w:rPr>
        <w:t>-</w:t>
      </w:r>
      <w:r>
        <w:rPr>
          <w:rFonts w:cs="Arial"/>
          <w:rtl/>
        </w:rPr>
        <w:t xml:space="preserve"> יכול לבטל</w:t>
      </w:r>
      <w:r>
        <w:rPr>
          <w:rStyle w:val="a7"/>
          <w:rFonts w:cs="Arial"/>
          <w:rtl/>
        </w:rPr>
        <w:footnoteReference w:id="2133"/>
      </w:r>
      <w:r>
        <w:rPr>
          <w:rFonts w:cs="Arial"/>
          <w:rtl/>
        </w:rPr>
        <w:t xml:space="preserve"> זה שלא בפני זה, </w:t>
      </w:r>
      <w:r>
        <w:rPr>
          <w:rFonts w:cs="Arial"/>
          <w:u w:val="single"/>
          <w:rtl/>
        </w:rPr>
        <w:t>דברי רבי</w:t>
      </w:r>
      <w:r>
        <w:rPr>
          <w:rFonts w:cs="Arial"/>
          <w:rtl/>
        </w:rPr>
        <w:t xml:space="preserve">; </w:t>
      </w:r>
      <w:r>
        <w:rPr>
          <w:rFonts w:cs="Arial"/>
          <w:u w:val="single"/>
          <w:rtl/>
        </w:rPr>
        <w:t>רשב"ג אומר</w:t>
      </w:r>
      <w:r>
        <w:rPr>
          <w:rFonts w:cs="Arial"/>
          <w:rtl/>
        </w:rPr>
        <w:t>: אינו יכול</w:t>
      </w:r>
      <w:r>
        <w:rPr>
          <w:rStyle w:val="a7"/>
          <w:rFonts w:cs="Arial"/>
          <w:rtl/>
        </w:rPr>
        <w:footnoteReference w:id="2134"/>
      </w:r>
      <w:r>
        <w:rPr>
          <w:rFonts w:cs="Arial"/>
          <w:rtl/>
        </w:rPr>
        <w:t xml:space="preserve"> לבטל אלא זה בפני זה. במאי קמיפלגי? בעדות שבטלה מקצתה בטלה כולה קמיפלגי, רבי סבר: עדות שבטלה מקצתה</w:t>
      </w:r>
      <w:r>
        <w:rPr>
          <w:rFonts w:cs="Arial"/>
          <w:sz w:val="14"/>
          <w:szCs w:val="14"/>
          <w:rtl/>
        </w:rPr>
        <w:t xml:space="preserve"> (לג:)</w:t>
      </w:r>
      <w:r>
        <w:rPr>
          <w:rtl/>
        </w:rPr>
        <w:t xml:space="preserve"> </w:t>
      </w:r>
      <w:r>
        <w:rPr>
          <w:rFonts w:cs="Arial"/>
          <w:rtl/>
        </w:rPr>
        <w:t xml:space="preserve">לא בטלה כולה, ואי אזלי הנך כתבי ויהבי ליכתבו וליתבו; רשב"ג סבר: עדות שבטלה מקצתה בטלה כולה, והנך לא ידעי ואזלי וכתבי ויהבי, ושרו אשת איש לעלמא. ואב"א: דכולי עלמא </w:t>
      </w:r>
      <w:r w:rsidR="00A82951">
        <w:rPr>
          <w:rFonts w:cs="Arial"/>
          <w:rtl/>
        </w:rPr>
        <w:t>-</w:t>
      </w:r>
      <w:r>
        <w:rPr>
          <w:rFonts w:cs="Arial"/>
          <w:rtl/>
        </w:rPr>
        <w:t xml:space="preserve"> עדות שבטלה מקצתה לא בטלה כולה, והכא היינו טעמא דרשב"ג, קסבר: מלתא דמתעבדא באפי עשרה צריכא בי עשרה למישלפה... ת"ש: אמר לשנים תנו גט לאשתי </w:t>
      </w:r>
      <w:r w:rsidR="00A82951">
        <w:rPr>
          <w:rFonts w:cs="Arial"/>
          <w:rtl/>
        </w:rPr>
        <w:t>-</w:t>
      </w:r>
      <w:r>
        <w:rPr>
          <w:rFonts w:cs="Arial"/>
          <w:rtl/>
        </w:rPr>
        <w:t xml:space="preserve"> יכול לבטל זה שלא בפני זה, </w:t>
      </w:r>
      <w:r>
        <w:rPr>
          <w:rFonts w:cs="Arial"/>
          <w:u w:val="single"/>
          <w:rtl/>
        </w:rPr>
        <w:t>דברי רבי</w:t>
      </w:r>
      <w:r>
        <w:rPr>
          <w:rFonts w:cs="Arial"/>
          <w:rtl/>
        </w:rPr>
        <w:t xml:space="preserve">, </w:t>
      </w:r>
      <w:r>
        <w:rPr>
          <w:rFonts w:cs="Arial"/>
          <w:u w:val="single"/>
          <w:rtl/>
        </w:rPr>
        <w:t>רשב"ג אומר</w:t>
      </w:r>
      <w:r>
        <w:rPr>
          <w:rFonts w:cs="Arial"/>
          <w:rtl/>
        </w:rPr>
        <w:t>: אינו יכול לבטל אלא זה בפני זה</w:t>
      </w:r>
      <w:r>
        <w:rPr>
          <w:rStyle w:val="a7"/>
          <w:rFonts w:cs="Arial"/>
          <w:rtl/>
        </w:rPr>
        <w:footnoteReference w:id="2135"/>
      </w:r>
      <w:r>
        <w:rPr>
          <w:rFonts w:cs="Arial"/>
          <w:rtl/>
        </w:rPr>
        <w:t>...</w:t>
      </w:r>
      <w:r>
        <w:rPr>
          <w:rtl/>
        </w:rPr>
        <w:t xml:space="preserve"> </w:t>
      </w:r>
      <w:r>
        <w:rPr>
          <w:rFonts w:cs="Arial"/>
          <w:u w:val="single"/>
          <w:rtl/>
        </w:rPr>
        <w:t>אמר רב אשי</w:t>
      </w:r>
      <w:r>
        <w:rPr>
          <w:rFonts w:cs="Arial"/>
          <w:rtl/>
        </w:rPr>
        <w:t xml:space="preserve">:... הכא במאי עסקינן </w:t>
      </w:r>
      <w:r w:rsidR="00A82951">
        <w:rPr>
          <w:rFonts w:cs="Arial"/>
          <w:rtl/>
        </w:rPr>
        <w:t>-</w:t>
      </w:r>
      <w:r>
        <w:rPr>
          <w:rFonts w:cs="Arial"/>
          <w:rtl/>
        </w:rPr>
        <w:t xml:space="preserve"> בעדי הולכה.</w:t>
      </w:r>
      <w:r>
        <w:rPr>
          <w:rtl/>
        </w:rPr>
        <w:t xml:space="preserve"> </w:t>
      </w:r>
      <w:r>
        <w:rPr>
          <w:rFonts w:cs="Arial"/>
          <w:rtl/>
        </w:rPr>
        <w:t xml:space="preserve">הכי נמי מיסתברא, דקתני סיפא: אמר לזה בפני עצמו ולזה בפני עצמו </w:t>
      </w:r>
      <w:r w:rsidR="00A82951">
        <w:rPr>
          <w:rFonts w:cs="Arial"/>
          <w:rtl/>
        </w:rPr>
        <w:t>-</w:t>
      </w:r>
      <w:r>
        <w:rPr>
          <w:rFonts w:cs="Arial"/>
          <w:rtl/>
        </w:rPr>
        <w:t xml:space="preserve"> יכול לבטל זה שלא בפני זה... </w:t>
      </w:r>
      <w:r>
        <w:rPr>
          <w:rFonts w:cs="Arial"/>
          <w:u w:val="single"/>
          <w:rtl/>
        </w:rPr>
        <w:t>ורבא אמר רב נחמן</w:t>
      </w:r>
      <w:r>
        <w:rPr>
          <w:rFonts w:cs="Arial"/>
          <w:rtl/>
        </w:rPr>
        <w:t xml:space="preserve">: הלכה כרבי בשתיהן... </w:t>
      </w:r>
      <w:r>
        <w:rPr>
          <w:rFonts w:cs="Arial"/>
          <w:sz w:val="14"/>
          <w:szCs w:val="14"/>
          <w:rtl/>
        </w:rPr>
        <w:t>(לד.)</w:t>
      </w:r>
      <w:r>
        <w:rPr>
          <w:rtl/>
        </w:rPr>
        <w:t xml:space="preserve"> </w:t>
      </w:r>
      <w:r>
        <w:rPr>
          <w:rFonts w:cs="Arial"/>
          <w:rtl/>
        </w:rPr>
        <w:t>והלכתא כנחמן</w:t>
      </w:r>
      <w:r>
        <w:rPr>
          <w:rStyle w:val="a7"/>
          <w:rFonts w:cs="Arial"/>
          <w:rtl/>
        </w:rPr>
        <w:footnoteReference w:id="2136"/>
      </w:r>
      <w:r>
        <w:rPr>
          <w:rFonts w:cs="Arial"/>
          <w:rtl/>
        </w:rPr>
        <w:t>, והלכתא כנחמן</w:t>
      </w:r>
      <w:r>
        <w:rPr>
          <w:rStyle w:val="a7"/>
          <w:rFonts w:cs="Arial"/>
          <w:rtl/>
        </w:rPr>
        <w:footnoteReference w:id="2137"/>
      </w:r>
      <w:r>
        <w:rPr>
          <w:rFonts w:cs="Arial"/>
          <w:rtl/>
        </w:rPr>
        <w:t xml:space="preserve">... </w:t>
      </w:r>
    </w:p>
    <w:p w14:paraId="45AD4763" w14:textId="24A8982E" w:rsidR="00FA2119" w:rsidRDefault="00FA2119" w:rsidP="00FA2119">
      <w:pPr>
        <w:rPr>
          <w:u w:val="single"/>
          <w:rtl/>
        </w:rPr>
      </w:pPr>
      <w:r>
        <w:rPr>
          <w:u w:val="single"/>
          <w:rtl/>
        </w:rPr>
        <w:t xml:space="preserve">שלח את הגט ע"י שנים/עשרה </w:t>
      </w:r>
      <w:r w:rsidR="00A82951">
        <w:rPr>
          <w:u w:val="single"/>
          <w:rtl/>
        </w:rPr>
        <w:t>-</w:t>
      </w:r>
      <w:r>
        <w:rPr>
          <w:u w:val="single"/>
          <w:rtl/>
        </w:rPr>
        <w:t xml:space="preserve"> כיצד מבטלו:</w:t>
      </w:r>
    </w:p>
    <w:p w14:paraId="23987CD4" w14:textId="272C479B" w:rsidR="00FA2119" w:rsidRDefault="00FA2119" w:rsidP="006A458D">
      <w:pPr>
        <w:pStyle w:val="ab"/>
        <w:numPr>
          <w:ilvl w:val="0"/>
          <w:numId w:val="102"/>
        </w:numPr>
        <w:rPr>
          <w:rtl/>
        </w:rPr>
      </w:pPr>
      <w:r>
        <w:rPr>
          <w:rFonts w:cs="Arial"/>
          <w:rtl/>
        </w:rPr>
        <w:t xml:space="preserve">רמב"ם </w:t>
      </w:r>
      <w:r>
        <w:rPr>
          <w:rFonts w:cs="Arial"/>
          <w:sz w:val="16"/>
          <w:szCs w:val="16"/>
          <w:rtl/>
        </w:rPr>
        <w:t>(פ"ו הי"ח)</w:t>
      </w:r>
      <w:r w:rsidR="00A82951">
        <w:rPr>
          <w:rFonts w:cs="Arial"/>
          <w:rtl/>
        </w:rPr>
        <w:t>-</w:t>
      </w:r>
      <w:r>
        <w:rPr>
          <w:rFonts w:cs="Arial"/>
          <w:rtl/>
        </w:rPr>
        <w:t xml:space="preserve"> אמר לעשרה כתבו גט ותנו לאשתי </w:t>
      </w:r>
      <w:r w:rsidR="00A82951">
        <w:rPr>
          <w:rFonts w:cs="Arial"/>
          <w:rtl/>
        </w:rPr>
        <w:t>-</w:t>
      </w:r>
      <w:r>
        <w:rPr>
          <w:rFonts w:cs="Arial"/>
          <w:rtl/>
        </w:rPr>
        <w:t xml:space="preserve"> יכול לבטל לזה שלא בפני זה, ואפילו בפני שנים אחרים. שלח הגט ביד שנים </w:t>
      </w:r>
      <w:r w:rsidR="00A82951">
        <w:rPr>
          <w:rFonts w:cs="Arial"/>
          <w:rtl/>
        </w:rPr>
        <w:t>-</w:t>
      </w:r>
      <w:r>
        <w:rPr>
          <w:rFonts w:cs="Arial"/>
          <w:rtl/>
        </w:rPr>
        <w:t xml:space="preserve"> הרי זה יכול לבטל זה שלא בפני זה. ואפילו היו עשרה, משביטלו בפני אחד מהם </w:t>
      </w:r>
      <w:r w:rsidR="00A82951">
        <w:rPr>
          <w:rFonts w:cs="Arial"/>
          <w:rtl/>
        </w:rPr>
        <w:t>-</w:t>
      </w:r>
      <w:r>
        <w:rPr>
          <w:rFonts w:cs="Arial"/>
          <w:rtl/>
        </w:rPr>
        <w:t xml:space="preserve"> בטל הגט. </w:t>
      </w:r>
    </w:p>
    <w:p w14:paraId="2BF99F04" w14:textId="3B2A0E1F" w:rsidR="00FA2119" w:rsidRDefault="00FA2119" w:rsidP="006A458D">
      <w:pPr>
        <w:pStyle w:val="ab"/>
        <w:numPr>
          <w:ilvl w:val="0"/>
          <w:numId w:val="102"/>
        </w:numPr>
      </w:pPr>
      <w:r>
        <w:rPr>
          <w:rFonts w:cs="Arial"/>
          <w:rtl/>
        </w:rPr>
        <w:t>טור</w:t>
      </w:r>
      <w:r w:rsidR="00A82951">
        <w:rPr>
          <w:rFonts w:cs="Arial"/>
          <w:rtl/>
        </w:rPr>
        <w:t>-</w:t>
      </w:r>
      <w:r>
        <w:rPr>
          <w:rFonts w:cs="Arial"/>
          <w:rtl/>
        </w:rPr>
        <w:t xml:space="preserve"> שלחו ע"י עשרה</w:t>
      </w:r>
      <w:r w:rsidR="007D40A3">
        <w:rPr>
          <w:rFonts w:cs="Arial" w:hint="cs"/>
          <w:rtl/>
        </w:rPr>
        <w:t>,</w:t>
      </w:r>
      <w:r>
        <w:rPr>
          <w:rFonts w:cs="Arial"/>
          <w:rtl/>
        </w:rPr>
        <w:t xml:space="preserve"> יכול לכתחילה לבטל זה שלא בפני זה. ואפי' לא בטל כל אחד ואחד בפני ב' מן השוק, אלא שבטלו בפני שליח לבדו </w:t>
      </w:r>
      <w:r w:rsidR="00A82951">
        <w:rPr>
          <w:rFonts w:cs="Arial"/>
          <w:rtl/>
        </w:rPr>
        <w:t>-</w:t>
      </w:r>
      <w:r>
        <w:rPr>
          <w:rFonts w:cs="Arial"/>
          <w:rtl/>
        </w:rPr>
        <w:t xml:space="preserve"> מותר</w:t>
      </w:r>
      <w:r>
        <w:rPr>
          <w:rStyle w:val="a7"/>
          <w:rFonts w:cs="Arial"/>
          <w:rtl/>
        </w:rPr>
        <w:footnoteReference w:id="2138"/>
      </w:r>
      <w:r>
        <w:rPr>
          <w:rFonts w:cs="Arial"/>
          <w:rtl/>
        </w:rPr>
        <w:t xml:space="preserve"> לכתחלה</w:t>
      </w:r>
      <w:r>
        <w:rPr>
          <w:rStyle w:val="a7"/>
          <w:rFonts w:cs="Arial"/>
          <w:rtl/>
        </w:rPr>
        <w:footnoteReference w:id="2139"/>
      </w:r>
      <w:r>
        <w:rPr>
          <w:rFonts w:cs="Arial"/>
          <w:rtl/>
        </w:rPr>
        <w:t xml:space="preserve">. ואותם שביטל, שליחותן בטל, ואינם יכולין ליעשות </w:t>
      </w:r>
      <w:r>
        <w:rPr>
          <w:rFonts w:cs="Arial"/>
          <w:rtl/>
        </w:rPr>
        <w:lastRenderedPageBreak/>
        <w:t>שלוחים אא"כ יתמנו פעם אחרת. ודוקא שלא יבטל שליחות כולן זה שלא בפני זה, דכיון דאפילו אם בטל לכולן שלא בפניהם הוי בטל, נפיק מינה חורבה</w:t>
      </w:r>
      <w:r>
        <w:rPr>
          <w:rStyle w:val="a7"/>
          <w:rFonts w:cs="Arial"/>
          <w:rtl/>
        </w:rPr>
        <w:footnoteReference w:id="2140"/>
      </w:r>
      <w:r>
        <w:rPr>
          <w:rFonts w:cs="Arial"/>
          <w:rtl/>
        </w:rPr>
        <w:t xml:space="preserve">, דזימנין דבטיל לכולהו שלא בפניהם, ולא ידעי ואזלי ויהבי לה גיטא ומנסבא בה. ומיהו אם עבר ובטל כולן </w:t>
      </w:r>
      <w:r w:rsidR="00A82951">
        <w:rPr>
          <w:rFonts w:cs="Arial"/>
          <w:rtl/>
        </w:rPr>
        <w:t>-</w:t>
      </w:r>
      <w:r>
        <w:rPr>
          <w:rFonts w:cs="Arial"/>
          <w:rtl/>
        </w:rPr>
        <w:t xml:space="preserve"> הוי בטל. ול"ש עשאם שלוחים לכתוב וליתן גט, ול"ש עשאם שלוחים להולכה, אם בטל מקצתם </w:t>
      </w:r>
      <w:r w:rsidR="00A82951">
        <w:rPr>
          <w:rFonts w:cs="Arial"/>
          <w:rtl/>
        </w:rPr>
        <w:t>-</w:t>
      </w:r>
      <w:r>
        <w:rPr>
          <w:rFonts w:cs="Arial"/>
          <w:rtl/>
        </w:rPr>
        <w:t xml:space="preserve"> לא נתבטלו כולם</w:t>
      </w:r>
      <w:r>
        <w:rPr>
          <w:rStyle w:val="a7"/>
          <w:rFonts w:cs="Arial"/>
          <w:rtl/>
        </w:rPr>
        <w:footnoteReference w:id="2141"/>
      </w:r>
      <w:r>
        <w:rPr>
          <w:rFonts w:cs="Arial"/>
          <w:rtl/>
        </w:rPr>
        <w:t xml:space="preserve">. ול"ש עדות ול"ש שליחות שנתבטלו מקצתן לא נתבטלו כולם, אלא שכשעשאם שלוחים לכתוב וליתן הגט צריך שישאר שליחות של שנים קיים, דאי אפשר ליתנו לה בפחות משנים. אבל כשעשאם שלוחים להולכה אפי' לא נשאר קיים אלא שליחות של אחד מהם </w:t>
      </w:r>
      <w:r w:rsidR="00A82951">
        <w:rPr>
          <w:rFonts w:cs="Arial"/>
          <w:rtl/>
        </w:rPr>
        <w:t>-</w:t>
      </w:r>
      <w:r>
        <w:rPr>
          <w:rFonts w:cs="Arial"/>
          <w:rtl/>
        </w:rPr>
        <w:t xml:space="preserve"> יכול ליתנו לה אפילו עשאם כולם שלוחים ביחד</w:t>
      </w:r>
      <w:r>
        <w:rPr>
          <w:rStyle w:val="a7"/>
          <w:rFonts w:cs="Arial"/>
          <w:rtl/>
        </w:rPr>
        <w:footnoteReference w:id="2142"/>
      </w:r>
      <w:r>
        <w:rPr>
          <w:rFonts w:cs="Arial"/>
          <w:rtl/>
        </w:rPr>
        <w:t xml:space="preserve">, כ"ש אם עשאם שלוחים בזה אחר זה. </w:t>
      </w:r>
      <w:r>
        <w:rPr>
          <w:color w:val="E36C0A" w:themeColor="accent6" w:themeShade="BF"/>
          <w:rtl/>
        </w:rPr>
        <w:t>(וכ"ס בשו"ע)</w:t>
      </w:r>
    </w:p>
    <w:p w14:paraId="225639AB"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0EF0719" w14:textId="77777777" w:rsidR="00FA2119" w:rsidRDefault="00FA2119" w:rsidP="00FA2119">
      <w:pPr>
        <w:rPr>
          <w:rtl/>
        </w:rPr>
      </w:pPr>
      <w:r>
        <w:rPr>
          <w:rFonts w:cs="Arial"/>
          <w:rtl/>
        </w:rPr>
        <w:t xml:space="preserve">שלחו על ידי שנים או על ידי עשרה, יכול לכתחילה לבטל זה שלא בפני זה, ואותם שביטל, שליחותם בטל, ואינם יכולין לעשות שלוחים אלא אם כן יתמנו פעם אחרת. ובעשרה שעשאום שלוחים לכתוב וליתן גט, בין שעשאם שלוחים להולכה, אם ביטל מקצתם לא נתבטלו כולם. ויש מי שאומר דבשליחות, אם ביטל אחד מהם נתבטלו כולם. </w:t>
      </w:r>
    </w:p>
    <w:p w14:paraId="4CF029D7" w14:textId="77777777" w:rsidR="00FA2119" w:rsidRDefault="00FA2119" w:rsidP="00FA2119">
      <w:pPr>
        <w:rPr>
          <w:rtl/>
        </w:rPr>
      </w:pPr>
    </w:p>
    <w:p w14:paraId="3481FC31" w14:textId="77777777" w:rsidR="00FA2119" w:rsidRDefault="00FA2119" w:rsidP="00FA2119">
      <w:pPr>
        <w:pStyle w:val="2"/>
        <w:rPr>
          <w:rtl/>
        </w:rPr>
      </w:pPr>
      <w:r>
        <w:rPr>
          <w:rtl/>
        </w:rPr>
        <w:t xml:space="preserve">סעיף סב: גילה דעתו שרצונו לבטל הגט. </w:t>
      </w:r>
    </w:p>
    <w:p w14:paraId="79B4AA88" w14:textId="7A6FAFF2" w:rsidR="00FA2119" w:rsidRDefault="00FA2119" w:rsidP="00FA2119">
      <w:pPr>
        <w:rPr>
          <w:rtl/>
        </w:rPr>
      </w:pPr>
      <w:r>
        <w:rPr>
          <w:rFonts w:cs="Arial"/>
          <w:b/>
          <w:bCs/>
          <w:rtl/>
        </w:rPr>
        <w:t xml:space="preserve">גיטין </w:t>
      </w:r>
      <w:r>
        <w:rPr>
          <w:rFonts w:cs="Arial"/>
          <w:b/>
          <w:bCs/>
          <w:sz w:val="16"/>
          <w:szCs w:val="16"/>
          <w:rtl/>
        </w:rPr>
        <w:t>(פ' השולח)</w:t>
      </w:r>
      <w:r>
        <w:rPr>
          <w:rFonts w:cs="Arial"/>
          <w:b/>
          <w:bCs/>
          <w:rtl/>
        </w:rPr>
        <w:t xml:space="preserve"> לב ע"א:</w:t>
      </w:r>
      <w:r>
        <w:rPr>
          <w:rFonts w:cs="Arial"/>
          <w:rtl/>
        </w:rPr>
        <w:t xml:space="preserve"> </w:t>
      </w:r>
      <w:r>
        <w:rPr>
          <w:rFonts w:cs="Arial"/>
          <w:u w:val="double"/>
          <w:rtl/>
        </w:rPr>
        <w:t>מתני'</w:t>
      </w:r>
      <w:r>
        <w:rPr>
          <w:rFonts w:cs="Arial"/>
          <w:rtl/>
        </w:rPr>
        <w:t xml:space="preserve">: השולח גט לאשתו... אם משהגיע גט לידה </w:t>
      </w:r>
      <w:r w:rsidR="00A82951">
        <w:rPr>
          <w:rFonts w:cs="Arial"/>
          <w:rtl/>
        </w:rPr>
        <w:t>-</w:t>
      </w:r>
      <w:r>
        <w:rPr>
          <w:rFonts w:cs="Arial"/>
          <w:rtl/>
        </w:rPr>
        <w:t xml:space="preserve"> שוב אינו יכול לבטלו...</w:t>
      </w:r>
      <w:r>
        <w:rPr>
          <w:rtl/>
        </w:rPr>
        <w:t xml:space="preserve">        </w:t>
      </w:r>
      <w:r>
        <w:rPr>
          <w:u w:val="double"/>
          <w:rtl/>
        </w:rPr>
        <w:t>גמ':</w:t>
      </w:r>
      <w:r>
        <w:rPr>
          <w:rtl/>
        </w:rPr>
        <w:t xml:space="preserve"> </w:t>
      </w:r>
      <w:r>
        <w:rPr>
          <w:rFonts w:cs="Arial"/>
          <w:rtl/>
        </w:rPr>
        <w:t xml:space="preserve">אם משהגיע גט לידה </w:t>
      </w:r>
      <w:r w:rsidR="00A82951">
        <w:rPr>
          <w:rFonts w:cs="Arial"/>
          <w:rtl/>
        </w:rPr>
        <w:t>-</w:t>
      </w:r>
      <w:r>
        <w:rPr>
          <w:rFonts w:cs="Arial"/>
          <w:rtl/>
        </w:rPr>
        <w:t xml:space="preserve"> אינו יכול לבטלו, פשיטא! לא צריכא, דמהדר עליה מעיקרא לבטולי, מהו דתימא, איגלאי מלתא למפרע דבטולי בטליה, קמ"ל. </w:t>
      </w:r>
    </w:p>
    <w:p w14:paraId="22FF0F3B" w14:textId="670D6937" w:rsidR="00FA2119" w:rsidRDefault="00FA2119" w:rsidP="00FA2119">
      <w:pPr>
        <w:rPr>
          <w:rtl/>
        </w:rPr>
      </w:pPr>
      <w:r>
        <w:rPr>
          <w:rFonts w:cs="Arial"/>
          <w:b/>
          <w:bCs/>
          <w:rtl/>
        </w:rPr>
        <w:t xml:space="preserve">גיטין </w:t>
      </w:r>
      <w:r>
        <w:rPr>
          <w:rFonts w:cs="Arial"/>
          <w:b/>
          <w:bCs/>
          <w:sz w:val="16"/>
          <w:szCs w:val="16"/>
          <w:rtl/>
        </w:rPr>
        <w:t>(פ' השולח)</w:t>
      </w:r>
      <w:r>
        <w:rPr>
          <w:rFonts w:cs="Arial"/>
          <w:b/>
          <w:bCs/>
          <w:rtl/>
        </w:rPr>
        <w:t xml:space="preserve"> לד</w:t>
      </w:r>
      <w:r w:rsidR="005C02A9">
        <w:rPr>
          <w:rStyle w:val="a7"/>
          <w:rFonts w:cs="Arial"/>
          <w:rtl/>
        </w:rPr>
        <w:footnoteReference w:id="2143"/>
      </w:r>
      <w:r>
        <w:rPr>
          <w:rFonts w:cs="Arial"/>
          <w:b/>
          <w:bCs/>
          <w:rtl/>
        </w:rPr>
        <w:t xml:space="preserve"> ע"א:</w:t>
      </w:r>
      <w:r>
        <w:rPr>
          <w:rFonts w:cs="Arial"/>
          <w:rtl/>
        </w:rPr>
        <w:t xml:space="preserve"> גידול בר רעילאי שדר לה גיטא לדביתהו, אזל שליחא אשכחה דהוה יתבה ונוולה</w:t>
      </w:r>
      <w:r>
        <w:rPr>
          <w:rStyle w:val="a7"/>
          <w:rFonts w:cs="Arial"/>
          <w:rtl/>
        </w:rPr>
        <w:footnoteReference w:id="2144"/>
      </w:r>
      <w:r>
        <w:rPr>
          <w:rFonts w:cs="Arial"/>
          <w:rtl/>
        </w:rPr>
        <w:t xml:space="preserve">, אמר לה: הא גיטיך, אמרה ליה: זיל השתא מיהא ותא למחר. אזל לגביה וא"ל, פתח ואמר: ברוך הטוב והמטיב. </w:t>
      </w:r>
      <w:r>
        <w:rPr>
          <w:rFonts w:cs="Arial"/>
          <w:u w:val="single"/>
          <w:rtl/>
        </w:rPr>
        <w:t>אביי אמר</w:t>
      </w:r>
      <w:r>
        <w:rPr>
          <w:rFonts w:cs="Arial"/>
          <w:rtl/>
        </w:rPr>
        <w:t>: ברוך הטוב והמטיב, ולא בטל גיטא</w:t>
      </w:r>
      <w:r>
        <w:rPr>
          <w:rStyle w:val="a7"/>
          <w:rFonts w:cs="Arial"/>
          <w:rtl/>
        </w:rPr>
        <w:footnoteReference w:id="2145"/>
      </w:r>
      <w:r w:rsidR="005C02A9">
        <w:rPr>
          <w:rFonts w:cs="Arial" w:hint="cs"/>
          <w:rtl/>
        </w:rPr>
        <w:t>.</w:t>
      </w:r>
      <w:r>
        <w:rPr>
          <w:rFonts w:cs="Arial"/>
          <w:rtl/>
        </w:rPr>
        <w:t xml:space="preserve"> </w:t>
      </w:r>
      <w:r>
        <w:rPr>
          <w:rFonts w:cs="Arial"/>
          <w:u w:val="single"/>
          <w:rtl/>
        </w:rPr>
        <w:t>רבא אמר</w:t>
      </w:r>
      <w:r>
        <w:rPr>
          <w:rFonts w:cs="Arial"/>
          <w:rtl/>
        </w:rPr>
        <w:t>: ברוך הטוב והמטיב, ובטל גיטא. במאי קמיפלגי? בגלוי דעתא בגיטא קמיפלגי, דאביי סבר: גלוי דעתא</w:t>
      </w:r>
      <w:r>
        <w:rPr>
          <w:rStyle w:val="a7"/>
          <w:rFonts w:cs="Arial"/>
          <w:rtl/>
        </w:rPr>
        <w:footnoteReference w:id="2146"/>
      </w:r>
      <w:r>
        <w:rPr>
          <w:rFonts w:cs="Arial"/>
          <w:rtl/>
        </w:rPr>
        <w:t xml:space="preserve"> בגיטא לאו מלתא היא, ורבא סבר: גלוי דעתא בגיטא מילתא היא. אמר רבא: מנא אמינא לה? דרב ששת אשקליה גיטא לההוא גברא בעל כרחיה, ואמר להו לסהדי: הכי אמר לכו רב ששת</w:t>
      </w:r>
      <w:r>
        <w:rPr>
          <w:rStyle w:val="a7"/>
          <w:rFonts w:cs="Arial"/>
          <w:rtl/>
        </w:rPr>
        <w:footnoteReference w:id="2147"/>
      </w:r>
      <w:r>
        <w:rPr>
          <w:rFonts w:cs="Arial"/>
          <w:rtl/>
        </w:rPr>
        <w:t xml:space="preserve"> לבטל גיטא, ואצרכיה רב ששת גיטא אחרינא</w:t>
      </w:r>
      <w:r>
        <w:rPr>
          <w:rStyle w:val="a7"/>
          <w:rFonts w:cs="Arial"/>
          <w:rtl/>
        </w:rPr>
        <w:footnoteReference w:id="2148"/>
      </w:r>
      <w:r>
        <w:rPr>
          <w:rFonts w:cs="Arial"/>
          <w:rtl/>
        </w:rPr>
        <w:t>. ואביי? אטו רב ששת מבטל גיטא דאינשי הוהױ</w:t>
      </w:r>
      <w:r>
        <w:rPr>
          <w:rStyle w:val="a7"/>
          <w:rFonts w:cs="Arial"/>
          <w:rtl/>
        </w:rPr>
        <w:footnoteReference w:id="2149"/>
      </w:r>
      <w:r>
        <w:rPr>
          <w:rFonts w:cs="Arial"/>
          <w:rtl/>
        </w:rPr>
        <w:t>? איהו בטלה</w:t>
      </w:r>
      <w:r>
        <w:rPr>
          <w:rStyle w:val="a7"/>
          <w:rFonts w:cs="Arial"/>
          <w:rtl/>
        </w:rPr>
        <w:footnoteReference w:id="2150"/>
      </w:r>
      <w:r>
        <w:rPr>
          <w:rFonts w:cs="Arial"/>
          <w:rtl/>
        </w:rPr>
        <w:t>, והאי דקאמר להו הכי, משום דפנוי</w:t>
      </w:r>
      <w:r>
        <w:rPr>
          <w:rStyle w:val="a7"/>
          <w:rFonts w:cs="Arial"/>
          <w:rtl/>
        </w:rPr>
        <w:footnoteReference w:id="2151"/>
      </w:r>
      <w:r>
        <w:rPr>
          <w:rFonts w:cs="Arial"/>
          <w:rtl/>
        </w:rPr>
        <w:t xml:space="preserve">. ואמר אביי: מנא אמינא לה? דרב יהודה אשקליה גיטא לחתניה דר' </w:t>
      </w:r>
      <w:r>
        <w:rPr>
          <w:rFonts w:cs="Arial"/>
          <w:rtl/>
        </w:rPr>
        <w:lastRenderedPageBreak/>
        <w:t>ירמיה בִּירָאַה</w:t>
      </w:r>
      <w:r>
        <w:rPr>
          <w:rStyle w:val="a7"/>
          <w:rFonts w:cs="Arial"/>
          <w:rtl/>
        </w:rPr>
        <w:footnoteReference w:id="2152"/>
      </w:r>
      <w:r>
        <w:rPr>
          <w:rFonts w:cs="Arial"/>
          <w:rtl/>
        </w:rPr>
        <w:t>, ובטליה. תנא אשקליה</w:t>
      </w:r>
      <w:r>
        <w:rPr>
          <w:rStyle w:val="a7"/>
          <w:rFonts w:cs="Arial"/>
          <w:rtl/>
        </w:rPr>
        <w:footnoteReference w:id="2153"/>
      </w:r>
      <w:r>
        <w:rPr>
          <w:rFonts w:cs="Arial"/>
          <w:rtl/>
        </w:rPr>
        <w:t>, ובטליה. הדר תנא ואשקליה על כרחיה, ואמר להו לסהדי: אותיבו קָרֵי באודנייכו</w:t>
      </w:r>
      <w:r>
        <w:rPr>
          <w:rStyle w:val="a7"/>
          <w:rFonts w:cs="Arial"/>
          <w:rtl/>
        </w:rPr>
        <w:footnoteReference w:id="2154"/>
      </w:r>
      <w:r>
        <w:rPr>
          <w:rFonts w:cs="Arial"/>
          <w:rtl/>
        </w:rPr>
        <w:t xml:space="preserve"> וכתובו ליה; ואי סלקא דעתך גלוי דעתא בגיטא מילתא היא, הא חזו ליה דקא רהיט בתרייהו. ורבא? האי דקא רהיט בתרייהו, דאמר להו: אשור הבו לה הייא</w:t>
      </w:r>
      <w:r>
        <w:rPr>
          <w:rStyle w:val="a7"/>
          <w:rFonts w:cs="Arial"/>
          <w:rtl/>
        </w:rPr>
        <w:footnoteReference w:id="2155"/>
      </w:r>
      <w:r>
        <w:rPr>
          <w:rFonts w:cs="Arial"/>
          <w:rtl/>
        </w:rPr>
        <w:t xml:space="preserve">, כי היכא דמשלם צערא דההוא גברא. ואמר אביי: מנא אמינא לה? דההוא דאמר להו: אי לא אתינא עד תלתין יומין ליהוי גיטא, אתא ופסקיה מברא, אמר להו: חזו דאתאי, חזו דאתאי, ואמר שמואל: לא שמיה מתיא. ורבא? אטו התם לבטולי גיטא בעי? התם לקיומי תנאיה קא בעי, והא לא איקיים תנאיה. ההוא דאמר להו: אי לא נסיבנא עד תלתין יומין ליהוי גיטא, כי מטו תלתין יומין, אמר להו: הא טרחנא; למאי ניחוש לה? אי משום אונסא </w:t>
      </w:r>
      <w:r w:rsidR="00A82951">
        <w:rPr>
          <w:rFonts w:cs="Arial"/>
          <w:rtl/>
        </w:rPr>
        <w:t>-</w:t>
      </w:r>
      <w:r>
        <w:rPr>
          <w:rFonts w:cs="Arial"/>
          <w:rtl/>
        </w:rPr>
        <w:t xml:space="preserve"> אין אונס בגיטין, אי משום גלויי דעתא בגיטא </w:t>
      </w:r>
      <w:r w:rsidR="00A82951">
        <w:rPr>
          <w:rFonts w:cs="Arial"/>
          <w:rtl/>
        </w:rPr>
        <w:t>-</w:t>
      </w:r>
      <w:r>
        <w:rPr>
          <w:rFonts w:cs="Arial"/>
          <w:rtl/>
        </w:rPr>
        <w:t xml:space="preserve"> פלוגתא דאביי ורבא הוא. ההוא דאמר להו: אי לא נסיבנא לריש ירחא דאדר ליהוי גיטא, כי מטא ריש ירחא דאדר, אמר להו: אנא לריש ירחא דניסן אמרי; למאי ניחוש לה? אי משום אונס </w:t>
      </w:r>
      <w:r w:rsidR="00A82951">
        <w:rPr>
          <w:rFonts w:cs="Arial"/>
          <w:rtl/>
        </w:rPr>
        <w:t>-</w:t>
      </w:r>
      <w:r>
        <w:rPr>
          <w:rFonts w:cs="Arial"/>
          <w:rtl/>
        </w:rPr>
        <w:t xml:space="preserve"> אין אונס בגיטין, אי משום גלויי דעתא </w:t>
      </w:r>
      <w:r w:rsidR="00A82951">
        <w:rPr>
          <w:rFonts w:cs="Arial"/>
          <w:rtl/>
        </w:rPr>
        <w:t>-</w:t>
      </w:r>
      <w:r>
        <w:rPr>
          <w:rFonts w:cs="Arial"/>
          <w:rtl/>
        </w:rPr>
        <w:t xml:space="preserve"> פלוגתא דאביי ורבא.</w:t>
      </w:r>
      <w:r>
        <w:rPr>
          <w:rtl/>
        </w:rPr>
        <w:t xml:space="preserve"> </w:t>
      </w:r>
      <w:r>
        <w:rPr>
          <w:rFonts w:cs="Arial"/>
          <w:rtl/>
        </w:rPr>
        <w:t>והלכתא כנחמן, והלכתא כנחמן,</w:t>
      </w:r>
      <w:r>
        <w:rPr>
          <w:sz w:val="14"/>
          <w:szCs w:val="14"/>
          <w:rtl/>
        </w:rPr>
        <w:t xml:space="preserve"> (לד:)</w:t>
      </w:r>
      <w:r>
        <w:rPr>
          <w:rtl/>
        </w:rPr>
        <w:t xml:space="preserve"> </w:t>
      </w:r>
      <w:r>
        <w:rPr>
          <w:rFonts w:cs="Arial"/>
          <w:rtl/>
        </w:rPr>
        <w:t>והלכתא כנחמני</w:t>
      </w:r>
      <w:r>
        <w:rPr>
          <w:rStyle w:val="a7"/>
          <w:rFonts w:cs="Arial"/>
          <w:rtl/>
        </w:rPr>
        <w:footnoteReference w:id="2156"/>
      </w:r>
      <w:r>
        <w:rPr>
          <w:rFonts w:cs="Arial"/>
          <w:rtl/>
        </w:rPr>
        <w:t xml:space="preserve">. </w:t>
      </w:r>
    </w:p>
    <w:p w14:paraId="2DF80C99" w14:textId="77777777" w:rsidR="00FA2119" w:rsidRDefault="00FA2119" w:rsidP="00FA2119">
      <w:pPr>
        <w:rPr>
          <w:u w:val="single"/>
          <w:rtl/>
        </w:rPr>
      </w:pPr>
      <w:r>
        <w:rPr>
          <w:u w:val="single"/>
          <w:rtl/>
        </w:rPr>
        <w:t>בעל שגילה דעתו שרצונו לבטל הגט:</w:t>
      </w:r>
    </w:p>
    <w:p w14:paraId="20080BF9" w14:textId="48388F33"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בד"א שהוא בטל כשבטלו בפירוש, אבל גילה בדעתו שחפץ בביטולו, כגון שבא אליו השליח ואמר לו לא נתתיו לה עדיין, ואמר לו 'ברוך הטוב והמטיב', דגילה בדעתו שהוא חפץ במה שלא נתנו לה, וכיוצא בזה </w:t>
      </w:r>
      <w:r w:rsidR="00A82951">
        <w:rPr>
          <w:rFonts w:cs="Arial"/>
          <w:rtl/>
        </w:rPr>
        <w:t>-</w:t>
      </w:r>
      <w:r>
        <w:rPr>
          <w:rFonts w:cs="Arial"/>
          <w:rtl/>
        </w:rPr>
        <w:t xml:space="preserve"> אינו בטל. ולא עוד אלא אפילו היה מחזר לרוץ אחר השליח לבטלו, ולא הספיק להגיע אליו עד שנתנו לה </w:t>
      </w:r>
      <w:r w:rsidR="00A82951">
        <w:rPr>
          <w:rFonts w:cs="Arial"/>
          <w:rtl/>
        </w:rPr>
        <w:t>-</w:t>
      </w:r>
      <w:r>
        <w:rPr>
          <w:rFonts w:cs="Arial"/>
          <w:rtl/>
        </w:rPr>
        <w:t xml:space="preserve"> לא הוי בטל. </w:t>
      </w:r>
      <w:r>
        <w:rPr>
          <w:color w:val="E36C0A" w:themeColor="accent6" w:themeShade="BF"/>
          <w:rtl/>
        </w:rPr>
        <w:t>(וכ"פ בשו"ע)</w:t>
      </w:r>
    </w:p>
    <w:p w14:paraId="6FC00062" w14:textId="6FB09C74" w:rsidR="00FA2119" w:rsidRDefault="00FA2119" w:rsidP="00FA2119">
      <w:pPr>
        <w:rPr>
          <w:u w:val="single"/>
        </w:rPr>
      </w:pPr>
      <w:r>
        <w:rPr>
          <w:rFonts w:cs="Arial"/>
          <w:u w:val="single"/>
          <w:rtl/>
        </w:rPr>
        <w:t xml:space="preserve">בעל שכָּתַב כְּתָב אחר השליח שלא ליתן הגט </w:t>
      </w:r>
      <w:r w:rsidR="00A82951">
        <w:rPr>
          <w:rFonts w:cs="Arial"/>
          <w:u w:val="single"/>
          <w:rtl/>
        </w:rPr>
        <w:t>-</w:t>
      </w:r>
      <w:r>
        <w:rPr>
          <w:rFonts w:cs="Arial"/>
          <w:u w:val="single"/>
          <w:rtl/>
        </w:rPr>
        <w:t xml:space="preserve"> האם הוי ביטול:</w:t>
      </w:r>
    </w:p>
    <w:p w14:paraId="33DBA0E5" w14:textId="7FAFB1E8" w:rsidR="00FA2119" w:rsidRDefault="00FA2119" w:rsidP="006A458D">
      <w:pPr>
        <w:pStyle w:val="ab"/>
        <w:numPr>
          <w:ilvl w:val="0"/>
          <w:numId w:val="102"/>
        </w:numPr>
      </w:pPr>
      <w:r>
        <w:rPr>
          <w:rFonts w:cs="Arial"/>
          <w:rtl/>
        </w:rPr>
        <w:t xml:space="preserve">ר"ן </w:t>
      </w:r>
      <w:r>
        <w:rPr>
          <w:rFonts w:cs="Arial"/>
          <w:sz w:val="16"/>
          <w:szCs w:val="16"/>
          <w:rtl/>
        </w:rPr>
        <w:t>(סי' מג)</w:t>
      </w:r>
      <w:r w:rsidR="00A82951">
        <w:rPr>
          <w:rFonts w:cs="Arial"/>
          <w:rtl/>
        </w:rPr>
        <w:t>-</w:t>
      </w:r>
      <w:r>
        <w:rPr>
          <w:rFonts w:cs="Arial"/>
          <w:rtl/>
        </w:rPr>
        <w:t xml:space="preserve"> מעשה בגוני בן נפתלי שהיה פורש מעבר לים, וכדי שלא תתעגן אשתו לבקשת אביו הניח גט לאשתו, ועשה נפתלי אביו שליח להולכה לתת לה גט, ואמר לו בדברי השליחות הא לך וזכה בגט זה לאשתי עכסה בת כלב. וקבל עליו חרם ונשבע על דעת רבים שלא לבטל הגט והשליחות. וגם פסל כל עדים שיעידו שבטלו בפניהם שלא יאמנו בדבר זה. וגם בטל כל מודעי שימסור כנגד הגט והשליחות כאשר יראה מטופס השטרות אשר עשה מזה אשר הן ביד זה. ועל ידי שליחות זה נתן השליח הגט לאשת בנו כתקון חכמים. ואח"כ לסוף ימים בא הבחור מעבר לים ויואל לפסול הגט והשליחות ויקרא ערעור על גט הנתון ושטר השליחות הנעשה והוציא קול על זה עד שהביאוהו ברורי העבירות לפניהם ושאלוהו על הדבר ומדוע היה עושה ככה, והוא סדר טענותיו בפניהם והרבה אמריו... עוד אחת מעט היא אמרתי אעמידכם עליה, והוא שהבעל בכתבו אשר שלח אלי </w:t>
      </w:r>
      <w:r>
        <w:rPr>
          <w:rFonts w:cs="Arial"/>
          <w:sz w:val="16"/>
          <w:szCs w:val="16"/>
          <w:rtl/>
        </w:rPr>
        <w:t xml:space="preserve">{לר"ן} </w:t>
      </w:r>
      <w:r>
        <w:rPr>
          <w:rFonts w:cs="Arial"/>
          <w:rtl/>
        </w:rPr>
        <w:t>אמר ז</w:t>
      </w:r>
      <w:r w:rsidR="009203F3">
        <w:rPr>
          <w:rFonts w:cs="Arial" w:hint="cs"/>
          <w:rtl/>
        </w:rPr>
        <w:t>ה לשונו:</w:t>
      </w:r>
      <w:r>
        <w:rPr>
          <w:rFonts w:cs="Arial"/>
          <w:rtl/>
        </w:rPr>
        <w:t xml:space="preserve"> שהוא שלח כתבו לאביו להזהירו שלא יתן הגט והיה בלשון הכתב שלא תהא לצמיתות, ושזה הכתב ראהו אנקרשקש שלמה וברורי העבירות, ושהיה מחלה את פני אנקרשקש שלמה שלא יתן רשות שינתן הגט. זה לשונו. וכמדומה לפי דברי כתבו שרצה לומר שזה הכתב נראה לנו קודם נתינת הגט, וא"כ הוא יש לחוש בגט זה, דודאי בטול שליחות מתוך הכתב מהני, דאע"ג דאמרינן בפרק מי שאחזו (גיטין עב.) קולו לאפוקי מדרב כהנא אמר רב דאמר (עא.) חרש שיכול לדבר מתוך הכתב כותבין ונותנין גט לאשתו, כבר כתבו בתוספות דלא ממעטינן אלא חרש שיכול לדבר מתוך הכתב משום דסתם חרש לאו בר דעת הוא לפיכך אף על פי שכותב בכתב ידו לא חשבינן ליה בר דעת לסמוך על כתיבתו, אבל פקח ששלח בכתב ידו ממדינת הים לכתוב וליתן גט לאשתו ועדים חתומים על כתב ידו דלאו מזויף הוא כותבין ונותנין ולא בעינן עד שישמעו קולו דהא מכל מקום קולו לאו דוקא דהא איכא הרכנת ראש, וכיון דגט כותבים ע"פ כתבו כ"ש דבטול ע"פ כתבו מהני, ואע"ג דבתוספתא משמע דאפי' בפקח אין כותבין ע"פ כתבו מ"מ יש לחוש ולהחמיר. וכיון שכן, זה הלשון שבא בכתבו שלא תהא לצמיתות לא ידעתי במה היה נקשר, כי קרוב הדבר לפרשו ולומר דה"ק שאם תהא אשתו מגורשת שלא תהא מגורשת לעולם, והוה ליה כהיום אי את אשתי ולמחר את אשתי, דאע"ג דאסיקנא בפרק המגרש (גיטין פד.) כיון דפסקא פסקא, הא אמרינן התם בתר הכי (פה:) אתקין רב בגיטין ומיומא דנן ולעלם ולעלם לאפוקי מדבעא מיניה רבא מרב נחמן, ונחלקו בה המפרשים שהרמב"ם ז"ל (פ"ח ה"ט) כתב שאינה מגורשת כלל, ויש מי שכתב (רשב"א סוף פג:) שחולצת ולא מתייבמת.</w:t>
      </w:r>
      <w:r>
        <w:rPr>
          <w:rtl/>
        </w:rPr>
        <w:t xml:space="preserve"> </w:t>
      </w:r>
      <w:r>
        <w:rPr>
          <w:color w:val="00B0F0"/>
          <w:rtl/>
        </w:rPr>
        <w:t>(וכ"פ הרמ"א</w:t>
      </w:r>
      <w:r>
        <w:rPr>
          <w:color w:val="00B0F0"/>
          <w:sz w:val="16"/>
          <w:szCs w:val="16"/>
          <w:rtl/>
        </w:rPr>
        <w:t xml:space="preserve"> </w:t>
      </w:r>
      <w:r>
        <w:rPr>
          <w:color w:val="000000" w:themeColor="text1"/>
          <w:sz w:val="16"/>
          <w:szCs w:val="16"/>
          <w:rtl/>
        </w:rPr>
        <w:t>[כאן ובסע' סד]</w:t>
      </w:r>
      <w:r>
        <w:rPr>
          <w:color w:val="00B0F0"/>
          <w:rtl/>
        </w:rPr>
        <w:t>)</w:t>
      </w:r>
    </w:p>
    <w:p w14:paraId="0BB83D3F" w14:textId="3A67EAC9" w:rsidR="00FA2119" w:rsidRDefault="00FA2119" w:rsidP="00FA2119">
      <w:pPr>
        <w:rPr>
          <w:u w:val="single"/>
        </w:rPr>
      </w:pPr>
      <w:r>
        <w:rPr>
          <w:u w:val="single"/>
          <w:rtl/>
        </w:rPr>
        <w:t xml:space="preserve">בעל שאמר לשליח 'אם תבוא האשה לעירי אקיימנה ואי לאו </w:t>
      </w:r>
      <w:r w:rsidR="009203F3">
        <w:rPr>
          <w:rFonts w:hint="cs"/>
          <w:u w:val="single"/>
          <w:rtl/>
        </w:rPr>
        <w:t>ת</w:t>
      </w:r>
      <w:r>
        <w:rPr>
          <w:u w:val="single"/>
          <w:rtl/>
        </w:rPr>
        <w:t>גרשנה', והגיעה לעיר</w:t>
      </w:r>
      <w:r w:rsidR="009203F3">
        <w:rPr>
          <w:rFonts w:hint="cs"/>
          <w:u w:val="single"/>
          <w:rtl/>
        </w:rPr>
        <w:t>ו</w:t>
      </w:r>
      <w:r>
        <w:rPr>
          <w:u w:val="single"/>
          <w:rtl/>
        </w:rPr>
        <w:t xml:space="preserve"> אך הבעל נסע, והיא רוצה הגט:</w:t>
      </w:r>
    </w:p>
    <w:p w14:paraId="36125B60" w14:textId="2DD509C5" w:rsidR="00FA2119" w:rsidRDefault="00FA2119" w:rsidP="006A458D">
      <w:pPr>
        <w:pStyle w:val="ab"/>
        <w:numPr>
          <w:ilvl w:val="0"/>
          <w:numId w:val="102"/>
        </w:numPr>
        <w:rPr>
          <w:rFonts w:cs="Arial"/>
          <w:rtl/>
        </w:rPr>
      </w:pPr>
      <w:r>
        <w:rPr>
          <w:rFonts w:cs="Arial"/>
          <w:rtl/>
        </w:rPr>
        <w:lastRenderedPageBreak/>
        <w:t xml:space="preserve">רא"ש </w:t>
      </w:r>
      <w:r>
        <w:rPr>
          <w:rFonts w:cs="Arial"/>
          <w:sz w:val="16"/>
          <w:szCs w:val="16"/>
          <w:rtl/>
        </w:rPr>
        <w:t>(כלל מה סי' ד, הביאו הטור)</w:t>
      </w:r>
      <w:r w:rsidR="00A82951">
        <w:rPr>
          <w:rFonts w:cs="Arial"/>
          <w:rtl/>
        </w:rPr>
        <w:t>-</w:t>
      </w:r>
      <w:r>
        <w:rPr>
          <w:rFonts w:cs="Arial"/>
          <w:rtl/>
        </w:rPr>
        <w:t xml:space="preserve"> וששאלת ראובן שמנה שליח להוליך גט לאשתו ולגרשה בכל מקום שימצאנה, ואמר לשליח אם תאבה האשה ללכת אחריך ולבא לאישביליא אקיימנה לי לאשה ואם לא תאבה פטור אותה בגט. והשליח הביא האשה עמו לאישביליא והוא מקום שנמסר לו השליחות ובבואם שם השליח והאשה כבר החזיק ראובן בדרך לעבור את הים</w:t>
      </w:r>
      <w:r w:rsidR="009203F3">
        <w:rPr>
          <w:rFonts w:cs="Arial" w:hint="cs"/>
          <w:rtl/>
        </w:rPr>
        <w:t>,</w:t>
      </w:r>
      <w:r>
        <w:rPr>
          <w:rFonts w:cs="Arial"/>
          <w:rtl/>
        </w:rPr>
        <w:t xml:space="preserve"> והאשה תובעת שיגרשנה השליח כאשר צוהו, ונסתפקתם אם יכולה להתגרש בגט זה.       תשובה: יראה לי שהגט כשר להתגרש בו, כי הבעל לא בטלו</w:t>
      </w:r>
      <w:r w:rsidR="009203F3">
        <w:rPr>
          <w:rFonts w:cs="Arial" w:hint="cs"/>
          <w:rtl/>
        </w:rPr>
        <w:t>,</w:t>
      </w:r>
      <w:r>
        <w:rPr>
          <w:rFonts w:cs="Arial"/>
          <w:rtl/>
        </w:rPr>
        <w:t xml:space="preserve"> כי בשביל שבאת עם השליח לאישביליא לא נתבטל הגט. כי כך התנה אם תביאנה אלי לאישביליא אקיימנה, והיא לא באת אליו לאישביליא כי פנה משם טרם בואם הרי לא נתבטל הגט כי כך התנה ולא נתבטל שליחות השליח וגם הגט כשר להתגרש בו. ואפי' אם היה ראובן באישביליא בבואם שמה השליח והאשה ולא רצה ראובן להתפייס עם אשתו היה יכול השליח ליתן לה הגט. כי לא הטיל ראובן תנאי במנוי השליחות שיתבטל אם תבא האשה עמו לאישביליא אלא דברים בעלמא אמר אם תבא עמך אקיימנה וגילוי מילתא בגיטא לאו מילתא היא, ואפילו גילוי דעת אין כאן לבטל השליחות והגט כי באותה שעה היה בדעתו להתפייס עמה. וכל שכן בנדון זה שפנה משם טרם בואם שיכול השליח לגרשה. </w:t>
      </w:r>
      <w:r>
        <w:rPr>
          <w:color w:val="00B0F0"/>
          <w:rtl/>
        </w:rPr>
        <w:t>(וכ"פ הרמ"א)</w:t>
      </w:r>
    </w:p>
    <w:p w14:paraId="79484245" w14:textId="49130C95" w:rsidR="00FA2119" w:rsidRDefault="00FA2119" w:rsidP="00FA2119">
      <w:pPr>
        <w:rPr>
          <w:u w:val="single"/>
        </w:rPr>
      </w:pPr>
      <w:r>
        <w:rPr>
          <w:rFonts w:cs="Arial"/>
          <w:u w:val="single"/>
          <w:rtl/>
        </w:rPr>
        <w:t xml:space="preserve">שליח שלאחר שנתן הגט ליד האשה ואמר בפני נכתב ובפני נחתם, ועידי הגט לא היו בעיר </w:t>
      </w:r>
      <w:r w:rsidR="00A82951">
        <w:rPr>
          <w:rFonts w:cs="Arial"/>
          <w:u w:val="single"/>
          <w:rtl/>
        </w:rPr>
        <w:t>-</w:t>
      </w:r>
      <w:r>
        <w:rPr>
          <w:rFonts w:cs="Arial"/>
          <w:u w:val="single"/>
          <w:rtl/>
        </w:rPr>
        <w:t xml:space="preserve"> האם יכול לישאנה:</w:t>
      </w:r>
    </w:p>
    <w:p w14:paraId="64234D72" w14:textId="7CF453F3" w:rsidR="00FA2119" w:rsidRDefault="00FA2119" w:rsidP="006A458D">
      <w:pPr>
        <w:pStyle w:val="ab"/>
        <w:numPr>
          <w:ilvl w:val="0"/>
          <w:numId w:val="102"/>
        </w:numPr>
      </w:pPr>
      <w:r>
        <w:rPr>
          <w:rFonts w:cs="Arial"/>
          <w:rtl/>
        </w:rPr>
        <w:t xml:space="preserve">רא"ש </w:t>
      </w:r>
      <w:r>
        <w:rPr>
          <w:rFonts w:cs="Arial"/>
          <w:sz w:val="16"/>
          <w:szCs w:val="16"/>
          <w:rtl/>
        </w:rPr>
        <w:t>(כלל לב סי' ג, הביאו הטור)</w:t>
      </w:r>
      <w:r w:rsidR="00A82951">
        <w:rPr>
          <w:rFonts w:cs="Arial"/>
          <w:rtl/>
        </w:rPr>
        <w:t>-</w:t>
      </w:r>
      <w:r>
        <w:rPr>
          <w:rFonts w:cs="Arial"/>
          <w:rtl/>
        </w:rPr>
        <w:t xml:space="preserve"> ששאלת מר על ראובן ששלח גט ביד שמעון מפרובינציא לאשביליא, ובאת האשה עם השליח. וקודם שבאת לשם יצא בעלה משם והרחיק נדוד. ונתן לה השליח הגט ואמר בפני נכתב ובפני נחתם, וגם העדים החתומים על הגט לא היו בעיר ואחד מהם הלך כבר לארץ ישראל. ונמלך בך השליח אם יוכל לישאנה, והתרית בו שלא ישאנה </w:t>
      </w:r>
      <w:r w:rsidR="00A82951">
        <w:rPr>
          <w:rFonts w:cs="Arial"/>
          <w:rtl/>
        </w:rPr>
        <w:t>-</w:t>
      </w:r>
      <w:r>
        <w:rPr>
          <w:rFonts w:cs="Arial"/>
          <w:rtl/>
        </w:rPr>
        <w:t xml:space="preserve"> יפה התרית בו, כיון שאמר בפני נכתב ובפני נחתם, כדתנן בפרק שני דיבמות (כה.) המביא גט ממדינת הים ואמר בפני נכתב ובפני נחתם שלא ישא את אשתו. ואע"פ שנכתב ונחתם ונתן הגט בעיר אישביליא מכל מקום כיון שהעדים לא היו מצויין בעיר בשעת נתינת הגט לא היו מסכימים </w:t>
      </w:r>
      <w:r>
        <w:rPr>
          <w:rFonts w:cs="Arial"/>
          <w:sz w:val="16"/>
          <w:szCs w:val="16"/>
          <w:rtl/>
        </w:rPr>
        <w:t>{הב"ד}</w:t>
      </w:r>
      <w:r>
        <w:rPr>
          <w:rFonts w:cs="Arial"/>
          <w:rtl/>
        </w:rPr>
        <w:t xml:space="preserve"> בנתינתו בלא קיום החתימות אם לא שאמר בפני נכתב ובפני נחתם. נמצא שלא נתקיים הגט אלא על ידו, ואדיבוריה סמכינן </w:t>
      </w:r>
      <w:r w:rsidR="00A82951">
        <w:rPr>
          <w:rFonts w:cs="Arial"/>
          <w:rtl/>
        </w:rPr>
        <w:t>-</w:t>
      </w:r>
      <w:r>
        <w:rPr>
          <w:rFonts w:cs="Arial"/>
          <w:rtl/>
        </w:rPr>
        <w:t xml:space="preserve"> ואסורה לו. ואפילו היו העדים בעיר בשעת נתינת הגט, כיון שלא היו במעמד נתינת הגט היה צריך השליח לומר בפני נכתב ובפני נחתם. כדאמרינן בפ"ק דגיטין (ו.)... וכתב ר"ת ז"ל דהאידנא דכל המקומות ניידי לפי שאין לנו נחלות שדות וכרמים וכל אדם טרוד בעסקיו ואפילו נכתב ונתן הגט בעיר אם לא נתקיים בשעת נתינה צריך השליח לומר בפני נכתב ובפני נחתם. הילכך השליח אסור לישאנה והמתירים לא יפה כיוונו, ועוד אני אומר שצריך להוציאה. ואע"ג דמיבעי לן בפרק שני דיבמות (כה:) כנס מהו שיוציא, ומסיק שלא יוציא, הני מילי כנס בדיעבד, אבל אם עבר על התראת ב"ד וכנסה </w:t>
      </w:r>
      <w:r w:rsidR="00A82951">
        <w:rPr>
          <w:rFonts w:cs="Arial"/>
          <w:rtl/>
        </w:rPr>
        <w:t>-</w:t>
      </w:r>
      <w:r>
        <w:rPr>
          <w:rFonts w:cs="Arial"/>
          <w:rtl/>
        </w:rPr>
        <w:t xml:space="preserve"> מפקינן לה מיניה, ועוד מכין אותו מכת מרדות. ואף אם יאמר לא עברתי על התראת בית דין כי אחרים התירוה לי, לאו כל כמיניה. חדא שהדבר ידוע שאין באישביליא ובכל פרובינציא אדם שיוכל לחלוק על הוראתך, אף כי אם היית אתה מיקל והם מחמירים היה לו לשמוע לך, כל שכן שהם מקילים לא היה לו לזלזל בהוראתך וראוי לנזיפה ומוציאין אותה ממנו</w:t>
      </w:r>
      <w:r>
        <w:rPr>
          <w:rStyle w:val="a7"/>
          <w:rFonts w:cs="Arial"/>
          <w:rtl/>
        </w:rPr>
        <w:footnoteReference w:id="2157"/>
      </w:r>
      <w:r>
        <w:rPr>
          <w:rFonts w:cs="Arial"/>
          <w:rtl/>
        </w:rPr>
        <w:t xml:space="preserve">. </w:t>
      </w:r>
    </w:p>
    <w:p w14:paraId="395EFC56" w14:textId="39614AA9" w:rsidR="00FA2119" w:rsidRDefault="00FA2119" w:rsidP="00FA2119">
      <w:pPr>
        <w:rPr>
          <w:u w:val="single"/>
        </w:rPr>
      </w:pPr>
      <w:r>
        <w:rPr>
          <w:u w:val="single"/>
          <w:rtl/>
        </w:rPr>
        <w:t xml:space="preserve">שטר שליחות שהבעל אמר בתחילה לשון שליח הולכה, ואח"כ ל' שליח קבלה </w:t>
      </w:r>
      <w:r w:rsidR="00A82951">
        <w:rPr>
          <w:u w:val="single"/>
          <w:rtl/>
        </w:rPr>
        <w:t>-</w:t>
      </w:r>
      <w:r>
        <w:rPr>
          <w:u w:val="single"/>
          <w:rtl/>
        </w:rPr>
        <w:t xml:space="preserve"> מתי אפשר לומר שהוא טעות סופר:</w:t>
      </w:r>
    </w:p>
    <w:p w14:paraId="0C0334A1" w14:textId="618DBE63" w:rsidR="00FA2119" w:rsidRDefault="00FA2119" w:rsidP="006A458D">
      <w:pPr>
        <w:pStyle w:val="ab"/>
        <w:numPr>
          <w:ilvl w:val="0"/>
          <w:numId w:val="102"/>
        </w:numPr>
        <w:rPr>
          <w:rFonts w:cs="Arial"/>
        </w:rPr>
      </w:pPr>
      <w:r>
        <w:rPr>
          <w:rFonts w:cs="Arial"/>
          <w:rtl/>
        </w:rPr>
        <w:t xml:space="preserve">רא"ש </w:t>
      </w:r>
      <w:r>
        <w:rPr>
          <w:rFonts w:cs="Arial"/>
          <w:sz w:val="16"/>
          <w:szCs w:val="16"/>
          <w:rtl/>
        </w:rPr>
        <w:t>(כלל מה סי' ז וסי' ט, הביאו הטור)</w:t>
      </w:r>
      <w:r w:rsidR="00A82951">
        <w:rPr>
          <w:rFonts w:cs="Arial"/>
          <w:rtl/>
        </w:rPr>
        <w:t>-</w:t>
      </w:r>
      <w:r>
        <w:rPr>
          <w:rFonts w:cs="Arial"/>
          <w:rtl/>
        </w:rPr>
        <w:t xml:space="preserve"> לשון שליחות הגט 'וקנינא מיניה מיונה שהוא נתן ארבע אמות קרקע בחצרו לרבי שלמה ואגבן מינהו שליח להולכה להוליך גט ליד דינה אשתו ומיד כשיגיע הגט לידה תהא מותרת לכל אדם כדין שליחות'. אלא שאח"כ כתוב זה הלשון</w:t>
      </w:r>
      <w:r w:rsidR="00A82951">
        <w:rPr>
          <w:rFonts w:cs="Arial"/>
          <w:rtl/>
        </w:rPr>
        <w:t>-</w:t>
      </w:r>
      <w:r>
        <w:rPr>
          <w:rFonts w:cs="Arial"/>
          <w:rtl/>
        </w:rPr>
        <w:t xml:space="preserve"> 'ויותר על זה ר' יונה זה מינה עוד שליח בזה הגט הנזכר, לסופר הכותבו, בענין שיתננו בַּעֲדוֹ לר' שלמה זה, ואמר ר' יונה תן בַּעֲדִי הגט הנזכר מידך לרבי שלמה הנזכר ותכף שיגיע מידך לידו תהא בו מגורשת ממני ומותרת לכל אדם'. ובפנינו חתומים מטה נתן גט הנזכר כשר ומקויים הסופר הנזכר מידו ליד רבי שלמה הנזכר. מי אמרינן ביטל שליחות הראשון או לא.      תשובה: אף על גב דלכאורה משמע שבטל שליחות ההולכה ועשאו שליח לקבלה שהיה סבור שיש בידו למנות שליח לקבלה יראה לי שאין לתלות בזה שחזר בו משליחות ההולכה אלא ודאי תלינן הענין בטעות הסופר שזה המגרש לא רצה להמתין עד שיכתוב הגט ומינה לר' שלמה שליח ליתנו ומינה עוד לסופר שליח שיתננו בשליחותו לר' שלמה בשביל שמינה שליח על שליח טעה ואמר מיד לכשיגיע הגט ליד השליח תהיה מגורשת ממני וכך היה לו לומר לסופר תנהו לשליח שיתנהו לאשתי ומיד לכשיגיע לידה תהיה מגורשת ממני והשמיט הבעל זה או אמר והסופר השמיטו הלכך לא תלינן שחזר בו ועשאו שליח לקבלה דאדם יודע שאין בידו לעשות שליח לקבלה ואפי' אם תמצא לומר שהיה עם הארץ ולא ידע זה למה יש לנו לתלות בחזרה יש לנו לומר דליפות כחו נתכוון אם הועיל שליחות הקבלה שתתגרש בו מיד ואם לאו ישאר שליחות ההולכה במקומו </w:t>
      </w:r>
      <w:r>
        <w:rPr>
          <w:rFonts w:cs="Arial"/>
          <w:rtl/>
        </w:rPr>
        <w:lastRenderedPageBreak/>
        <w:t>והלשון שכתב ויותר על זה שר' יונה מינה עוד שליח וכו' משמע שלתוספת נתכוון ומימר אמר תתגרש כל היכי דמיגרשא לכן הן אם נתלה הדבר בטעות הן אם נתלה בתוספ' אין כאן ביטול שליחות ההולכה</w:t>
      </w:r>
      <w:r>
        <w:rPr>
          <w:rFonts w:cs="Arial"/>
          <w:sz w:val="16"/>
          <w:szCs w:val="16"/>
          <w:rtl/>
        </w:rPr>
        <w:t xml:space="preserve"> (ל' הטור)</w:t>
      </w:r>
      <w:r>
        <w:rPr>
          <w:rFonts w:cs="Arial"/>
          <w:rtl/>
        </w:rPr>
        <w:t>.</w:t>
      </w:r>
    </w:p>
    <w:p w14:paraId="7206BF9B" w14:textId="77777777" w:rsidR="00FA2119" w:rsidRDefault="00FA2119" w:rsidP="00FA2119">
      <w:pPr>
        <w:rPr>
          <w:rFonts w:cs="Arial"/>
          <w:u w:val="single"/>
        </w:rPr>
      </w:pPr>
      <w:r>
        <w:rPr>
          <w:rFonts w:cs="Arial"/>
          <w:u w:val="single"/>
          <w:rtl/>
        </w:rPr>
        <w:t>גט שנכתב בלשון צוואה:</w:t>
      </w:r>
    </w:p>
    <w:p w14:paraId="07F18337" w14:textId="134B08E7" w:rsidR="00FA2119" w:rsidRDefault="00FA2119" w:rsidP="006A458D">
      <w:pPr>
        <w:pStyle w:val="ab"/>
        <w:numPr>
          <w:ilvl w:val="0"/>
          <w:numId w:val="102"/>
        </w:numPr>
      </w:pPr>
      <w:r>
        <w:rPr>
          <w:rFonts w:cs="Arial"/>
          <w:rtl/>
        </w:rPr>
        <w:t>הר"ש בן הר"ש בר צמח</w:t>
      </w:r>
      <w:r>
        <w:rPr>
          <w:rFonts w:cs="Arial"/>
          <w:sz w:val="16"/>
          <w:szCs w:val="16"/>
          <w:rtl/>
        </w:rPr>
        <w:t xml:space="preserve"> (כן כתב הב"י בשמו, לא מצאתי היכן)</w:t>
      </w:r>
      <w:r w:rsidR="00A82951">
        <w:rPr>
          <w:rFonts w:cs="Arial"/>
          <w:rtl/>
        </w:rPr>
        <w:t>-</w:t>
      </w:r>
      <w:r>
        <w:rPr>
          <w:rFonts w:cs="Arial"/>
          <w:rtl/>
        </w:rPr>
        <w:t xml:space="preserve"> שליחות גט שנכתב בלשון צוואה כשר</w:t>
      </w:r>
      <w:r>
        <w:rPr>
          <w:rtl/>
        </w:rPr>
        <w:t>.</w:t>
      </w:r>
    </w:p>
    <w:p w14:paraId="7C9A132D" w14:textId="0E9B8C00" w:rsidR="00FD1229" w:rsidRPr="00FD1229" w:rsidRDefault="00FD1229" w:rsidP="00FD1229">
      <w:pPr>
        <w:rPr>
          <w:u w:val="single"/>
        </w:rPr>
      </w:pPr>
      <w:r w:rsidRPr="00FD1229">
        <w:rPr>
          <w:rFonts w:hint="cs"/>
          <w:u w:val="single"/>
          <w:rtl/>
        </w:rPr>
        <w:t xml:space="preserve">האומר "יתנו לי פעם שנית </w:t>
      </w:r>
      <w:r>
        <w:rPr>
          <w:rFonts w:hint="cs"/>
          <w:u w:val="single"/>
          <w:rtl/>
        </w:rPr>
        <w:t>ו</w:t>
      </w:r>
      <w:r w:rsidRPr="00FD1229">
        <w:rPr>
          <w:rFonts w:hint="cs"/>
          <w:u w:val="single"/>
          <w:rtl/>
        </w:rPr>
        <w:t>אכתוב לה גט"</w:t>
      </w:r>
      <w:r>
        <w:rPr>
          <w:rFonts w:hint="cs"/>
          <w:u w:val="single"/>
          <w:rtl/>
        </w:rPr>
        <w:t xml:space="preserve"> - האם ביטל בכך את הגט הראשון</w:t>
      </w:r>
      <w:r w:rsidRPr="00FD1229">
        <w:rPr>
          <w:rFonts w:hint="cs"/>
          <w:u w:val="single"/>
          <w:rtl/>
        </w:rPr>
        <w:t>:</w:t>
      </w:r>
      <w:r w:rsidRPr="00FD1229">
        <w:rPr>
          <w:rFonts w:cs="Arial" w:hint="cs"/>
          <w:sz w:val="16"/>
          <w:szCs w:val="16"/>
          <w:rtl/>
        </w:rPr>
        <w:t xml:space="preserve"> </w:t>
      </w:r>
      <w:r>
        <w:rPr>
          <w:rFonts w:cs="Arial" w:hint="cs"/>
          <w:sz w:val="16"/>
          <w:szCs w:val="16"/>
          <w:rtl/>
        </w:rPr>
        <w:t>(</w:t>
      </w:r>
      <w:r w:rsidRPr="00FD1229">
        <w:rPr>
          <w:rFonts w:cs="Arial" w:hint="cs"/>
          <w:sz w:val="16"/>
          <w:szCs w:val="16"/>
          <w:rtl/>
        </w:rPr>
        <w:t>דרכ"מ אות מב</w:t>
      </w:r>
      <w:r>
        <w:rPr>
          <w:rFonts w:cs="Arial" w:hint="cs"/>
          <w:sz w:val="16"/>
          <w:szCs w:val="16"/>
          <w:rtl/>
        </w:rPr>
        <w:t>)</w:t>
      </w:r>
    </w:p>
    <w:p w14:paraId="2635B28D" w14:textId="35D3BBEA" w:rsidR="00FD1229" w:rsidRDefault="00FD1229" w:rsidP="006A458D">
      <w:pPr>
        <w:pStyle w:val="ab"/>
        <w:numPr>
          <w:ilvl w:val="0"/>
          <w:numId w:val="102"/>
        </w:numPr>
      </w:pPr>
      <w:r>
        <w:rPr>
          <w:rFonts w:cs="Arial" w:hint="cs"/>
          <w:rtl/>
        </w:rPr>
        <w:t xml:space="preserve">ראבי"ה </w:t>
      </w:r>
      <w:r w:rsidRPr="00FD1229">
        <w:rPr>
          <w:rFonts w:cs="Arial" w:hint="cs"/>
          <w:sz w:val="16"/>
          <w:szCs w:val="16"/>
          <w:rtl/>
        </w:rPr>
        <w:t>(תשובות סי' תתקכב, העתיקו המרדכי [סי' תיח])</w:t>
      </w:r>
      <w:r>
        <w:rPr>
          <w:rFonts w:cs="Arial" w:hint="cs"/>
          <w:rtl/>
        </w:rPr>
        <w:t xml:space="preserve">- </w:t>
      </w:r>
      <w:r w:rsidRPr="00FD1229">
        <w:rPr>
          <w:rFonts w:cs="Arial"/>
          <w:rtl/>
        </w:rPr>
        <w:t>וזה אינו מבטל בפי</w:t>
      </w:r>
      <w:r>
        <w:rPr>
          <w:rFonts w:cs="Arial" w:hint="cs"/>
          <w:rtl/>
        </w:rPr>
        <w:t>רוש,</w:t>
      </w:r>
      <w:r w:rsidRPr="00FD1229">
        <w:rPr>
          <w:rFonts w:cs="Arial"/>
          <w:rtl/>
        </w:rPr>
        <w:t xml:space="preserve"> אך שמח ואומר </w:t>
      </w:r>
      <w:r>
        <w:rPr>
          <w:rFonts w:cs="Arial" w:hint="cs"/>
          <w:rtl/>
        </w:rPr>
        <w:t>"</w:t>
      </w:r>
      <w:r w:rsidRPr="00FD1229">
        <w:rPr>
          <w:rFonts w:cs="Arial"/>
          <w:rtl/>
        </w:rPr>
        <w:t>אם יתנו לי פעם שנית אכתוב לה גט</w:t>
      </w:r>
      <w:r>
        <w:rPr>
          <w:rFonts w:cs="Arial" w:hint="cs"/>
          <w:rtl/>
        </w:rPr>
        <w:t>"</w:t>
      </w:r>
      <w:r w:rsidRPr="00FD1229">
        <w:rPr>
          <w:rFonts w:cs="Arial"/>
          <w:rtl/>
        </w:rPr>
        <w:t>. וזה דומה לההוא דאמר ברוך הטוב והמטיב, דבגלוי דעתא לאו כלום הוא</w:t>
      </w:r>
      <w:r>
        <w:rPr>
          <w:rFonts w:cs="Arial" w:hint="cs"/>
          <w:rtl/>
        </w:rPr>
        <w:t xml:space="preserve">. </w:t>
      </w:r>
      <w:r>
        <w:rPr>
          <w:color w:val="00B0F0"/>
          <w:rtl/>
        </w:rPr>
        <w:t>(וכ"פ הרמ"א)</w:t>
      </w:r>
    </w:p>
    <w:p w14:paraId="574389A7"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504C01B" w14:textId="041DEAE2" w:rsidR="00FA2119" w:rsidRDefault="00FA2119" w:rsidP="00FA2119">
      <w:pPr>
        <w:rPr>
          <w:rtl/>
        </w:rPr>
      </w:pPr>
      <w:r>
        <w:rPr>
          <w:rFonts w:cs="Arial"/>
          <w:rtl/>
        </w:rPr>
        <w:t>במה דברים אמורים שהוא בטל, כשביטלו בפירוש. אבל אם לא ביטלו בפירוש, אף על פי שגילה דעתו שחפץ בביטולו, כגון שאמר לו השליח: לא נתתיו לה עדיין, ואמר: ברוך הטוב והמטיב, וכיוצא בזה, אינו בטל. ולא עוד אלא אפילו היה מחזר</w:t>
      </w:r>
      <w:r>
        <w:rPr>
          <w:rStyle w:val="a7"/>
          <w:rFonts w:cs="Arial"/>
          <w:rtl/>
        </w:rPr>
        <w:footnoteReference w:id="2158"/>
      </w:r>
      <w:r>
        <w:rPr>
          <w:rFonts w:cs="Arial"/>
          <w:rtl/>
        </w:rPr>
        <w:t xml:space="preserve"> לרוץ אחר השליח לבטלו, ולא הספיק להגיע אליו עד שתגיע לידה, אינו בטל. </w:t>
      </w:r>
      <w:r>
        <w:rPr>
          <w:rFonts w:cs="Arial"/>
          <w:sz w:val="18"/>
          <w:szCs w:val="18"/>
          <w:rtl/>
        </w:rPr>
        <w:t>הגה: וכן אם אומר לשליח: החזר לי גט זה ואני נותן לך גט אחר, אינו אלא גילוי דעת ואינו בטל (</w:t>
      </w:r>
      <w:r w:rsidR="00FD1229">
        <w:rPr>
          <w:rFonts w:cs="Arial" w:hint="cs"/>
          <w:sz w:val="18"/>
          <w:szCs w:val="18"/>
          <w:rtl/>
        </w:rPr>
        <w:t>ראבי"ה ו</w:t>
      </w:r>
      <w:r>
        <w:rPr>
          <w:rFonts w:cs="Arial"/>
          <w:sz w:val="18"/>
          <w:szCs w:val="18"/>
          <w:rtl/>
        </w:rPr>
        <w:t>מרדכי). כָּתַב כְּתָב אחר השליח שלא ליתן הגט, הוי ביטול, דיוכל לבטל על ידי כתבים (ר"ן בתשו'). השולח גט לאשתו ואמר לשליח: אם תרצה האשה לבא אלי אקיימנה, ואם לא פטור אותה בגט, והלך הבעל מן העיר ההיא, ואח"כ באתה האשה עם השליח לאותה העיר, יכול השליח ליתן הגט, דהא לא באתה האשה אל הבעל, כי יצא מן העיר קודם בואה. ואפילו היה הבעל בעיר, אם לא יוכל להתפייס עמה יכול השליח ליתן הגט, דמה שאמר תחלה: אם תבא אלי אקיימנה, אינו אלא דברים בעלמא, ולא הוי אלא גילוי דעת שאינו כלום</w:t>
      </w:r>
      <w:r>
        <w:rPr>
          <w:rStyle w:val="a7"/>
          <w:rFonts w:cs="Arial"/>
          <w:sz w:val="18"/>
          <w:szCs w:val="18"/>
          <w:rtl/>
        </w:rPr>
        <w:footnoteReference w:id="2159"/>
      </w:r>
      <w:r>
        <w:rPr>
          <w:rFonts w:cs="Arial"/>
          <w:sz w:val="18"/>
          <w:szCs w:val="18"/>
          <w:rtl/>
        </w:rPr>
        <w:t xml:space="preserve"> (רא"ש).</w:t>
      </w:r>
      <w:r>
        <w:rPr>
          <w:rFonts w:cs="Arial"/>
          <w:rtl/>
        </w:rPr>
        <w:t xml:space="preserve"> </w:t>
      </w:r>
    </w:p>
    <w:p w14:paraId="324AAFFD" w14:textId="77777777" w:rsidR="00FA2119" w:rsidRDefault="00FA2119" w:rsidP="00FA2119">
      <w:pPr>
        <w:rPr>
          <w:rtl/>
        </w:rPr>
      </w:pPr>
    </w:p>
    <w:p w14:paraId="764E5120" w14:textId="77777777" w:rsidR="00FA2119" w:rsidRDefault="00FA2119" w:rsidP="00FA2119">
      <w:pPr>
        <w:pStyle w:val="2"/>
        <w:rPr>
          <w:rtl/>
        </w:rPr>
      </w:pPr>
      <w:r>
        <w:rPr>
          <w:rtl/>
        </w:rPr>
        <w:t>סעיף סג: אלו לשונות צריך לומר כדי לבטל את הגט.</w:t>
      </w:r>
    </w:p>
    <w:p w14:paraId="358B3F1F" w14:textId="4AD9754D" w:rsidR="00FA2119" w:rsidRDefault="00FA2119" w:rsidP="00FA2119">
      <w:pPr>
        <w:rPr>
          <w:rtl/>
        </w:rPr>
      </w:pPr>
      <w:r>
        <w:rPr>
          <w:rFonts w:cs="Arial"/>
          <w:b/>
          <w:bCs/>
          <w:rtl/>
        </w:rPr>
        <w:t xml:space="preserve">גיטין </w:t>
      </w:r>
      <w:r>
        <w:rPr>
          <w:rFonts w:cs="Arial"/>
          <w:b/>
          <w:bCs/>
          <w:sz w:val="16"/>
          <w:szCs w:val="16"/>
          <w:rtl/>
        </w:rPr>
        <w:t>(פ' השולח)</w:t>
      </w:r>
      <w:r>
        <w:rPr>
          <w:rFonts w:cs="Arial"/>
          <w:b/>
          <w:bCs/>
          <w:rtl/>
        </w:rPr>
        <w:t xml:space="preserve"> לב</w:t>
      </w:r>
      <w:r w:rsidR="00CB6420">
        <w:rPr>
          <w:rStyle w:val="a7"/>
          <w:rFonts w:cs="Arial"/>
          <w:rtl/>
        </w:rPr>
        <w:footnoteReference w:id="2160"/>
      </w:r>
      <w:r>
        <w:rPr>
          <w:rFonts w:cs="Arial"/>
          <w:b/>
          <w:bCs/>
          <w:rtl/>
        </w:rPr>
        <w:t xml:space="preserve"> ע"א:</w:t>
      </w:r>
      <w:r>
        <w:rPr>
          <w:rFonts w:cs="Arial"/>
          <w:rtl/>
        </w:rPr>
        <w:t xml:space="preserve"> ת"ר: בטל הוא</w:t>
      </w:r>
      <w:r>
        <w:rPr>
          <w:rStyle w:val="a7"/>
          <w:rFonts w:cs="Arial"/>
          <w:rtl/>
        </w:rPr>
        <w:footnoteReference w:id="2161"/>
      </w:r>
      <w:r>
        <w:rPr>
          <w:rFonts w:cs="Arial"/>
          <w:rtl/>
        </w:rPr>
        <w:t xml:space="preserve">, אי איפשי בו </w:t>
      </w:r>
      <w:r w:rsidR="00A82951">
        <w:rPr>
          <w:rFonts w:cs="Arial"/>
          <w:rtl/>
        </w:rPr>
        <w:t>-</w:t>
      </w:r>
      <w:r>
        <w:rPr>
          <w:rFonts w:cs="Arial"/>
          <w:rtl/>
        </w:rPr>
        <w:t xml:space="preserve"> דבריו קיימין. פסול הוא</w:t>
      </w:r>
      <w:r>
        <w:rPr>
          <w:rStyle w:val="a7"/>
          <w:rFonts w:cs="Arial"/>
          <w:rtl/>
        </w:rPr>
        <w:footnoteReference w:id="2162"/>
      </w:r>
      <w:r>
        <w:rPr>
          <w:rFonts w:cs="Arial"/>
          <w:rtl/>
        </w:rPr>
        <w:t xml:space="preserve">, אינו גט </w:t>
      </w:r>
      <w:r w:rsidR="00A82951">
        <w:rPr>
          <w:rFonts w:cs="Arial"/>
          <w:rtl/>
        </w:rPr>
        <w:t>-</w:t>
      </w:r>
      <w:r>
        <w:rPr>
          <w:rFonts w:cs="Arial"/>
          <w:rtl/>
        </w:rPr>
        <w:t xml:space="preserve"> לא אמר כלום. למימרא דבטל </w:t>
      </w:r>
      <w:r w:rsidR="00A82951">
        <w:rPr>
          <w:rFonts w:cs="Arial"/>
          <w:rtl/>
        </w:rPr>
        <w:t>-</w:t>
      </w:r>
      <w:r>
        <w:rPr>
          <w:rFonts w:cs="Arial"/>
          <w:rtl/>
        </w:rPr>
        <w:t xml:space="preserve"> לישנא דלבטיל משמע. </w:t>
      </w:r>
      <w:r>
        <w:rPr>
          <w:rFonts w:cs="Arial"/>
          <w:u w:val="single"/>
          <w:rtl/>
        </w:rPr>
        <w:t>והאמר רבה בר איבו אמר רב ששת</w:t>
      </w:r>
      <w:r>
        <w:rPr>
          <w:rFonts w:cs="Arial"/>
          <w:rtl/>
        </w:rPr>
        <w:t xml:space="preserve">, ואמרי לה, </w:t>
      </w:r>
      <w:r>
        <w:rPr>
          <w:rFonts w:cs="Arial"/>
          <w:u w:val="single"/>
          <w:rtl/>
        </w:rPr>
        <w:t>אמר רבה בר אבוה</w:t>
      </w:r>
      <w:r>
        <w:rPr>
          <w:rFonts w:cs="Arial"/>
          <w:rtl/>
        </w:rPr>
        <w:t xml:space="preserve">: מקבל מתנה שאמר לאחר שבאתה מתנה לידו מתנה זו מבוטלת, תיבטל, אי איפשי בה </w:t>
      </w:r>
      <w:r w:rsidR="00A82951">
        <w:rPr>
          <w:rFonts w:cs="Arial"/>
          <w:rtl/>
        </w:rPr>
        <w:t>-</w:t>
      </w:r>
      <w:r>
        <w:rPr>
          <w:rFonts w:cs="Arial"/>
          <w:rtl/>
        </w:rPr>
        <w:t xml:space="preserve"> לא אמר כלום</w:t>
      </w:r>
      <w:r>
        <w:rPr>
          <w:rStyle w:val="a7"/>
          <w:rFonts w:cs="Arial"/>
          <w:rtl/>
        </w:rPr>
        <w:footnoteReference w:id="2163"/>
      </w:r>
      <w:r>
        <w:rPr>
          <w:rFonts w:cs="Arial"/>
          <w:rtl/>
        </w:rPr>
        <w:t>. בטלה היא</w:t>
      </w:r>
      <w:r>
        <w:rPr>
          <w:rStyle w:val="a7"/>
          <w:rFonts w:cs="Arial"/>
          <w:rtl/>
        </w:rPr>
        <w:footnoteReference w:id="2164"/>
      </w:r>
      <w:r>
        <w:rPr>
          <w:rFonts w:cs="Arial"/>
          <w:rtl/>
        </w:rPr>
        <w:t xml:space="preserve">, אינה מתנה </w:t>
      </w:r>
      <w:r w:rsidR="00A82951">
        <w:rPr>
          <w:rFonts w:cs="Arial"/>
          <w:rtl/>
        </w:rPr>
        <w:t>-</w:t>
      </w:r>
      <w:r>
        <w:rPr>
          <w:rFonts w:cs="Arial"/>
          <w:rtl/>
        </w:rPr>
        <w:t xml:space="preserve"> דבריו קיימין. אלמא בטל </w:t>
      </w:r>
      <w:r w:rsidR="00A82951">
        <w:rPr>
          <w:rFonts w:cs="Arial"/>
          <w:rtl/>
        </w:rPr>
        <w:t>-</w:t>
      </w:r>
      <w:r>
        <w:rPr>
          <w:rFonts w:cs="Arial"/>
          <w:rtl/>
        </w:rPr>
        <w:t xml:space="preserve"> מעיקרא משמע! </w:t>
      </w:r>
      <w:r>
        <w:rPr>
          <w:rFonts w:cs="Arial"/>
          <w:u w:val="single"/>
          <w:rtl/>
        </w:rPr>
        <w:t>אמר אביי</w:t>
      </w:r>
      <w:r>
        <w:rPr>
          <w:rFonts w:cs="Arial"/>
          <w:rtl/>
        </w:rPr>
        <w:t xml:space="preserve">: בטל, </w:t>
      </w:r>
      <w:r>
        <w:rPr>
          <w:rFonts w:cs="Arial"/>
          <w:sz w:val="14"/>
          <w:szCs w:val="14"/>
          <w:rtl/>
        </w:rPr>
        <w:t xml:space="preserve">(לב:) </w:t>
      </w:r>
      <w:r>
        <w:rPr>
          <w:rFonts w:cs="Arial"/>
          <w:rtl/>
        </w:rPr>
        <w:t>שתי לשונות משמע</w:t>
      </w:r>
      <w:r>
        <w:rPr>
          <w:rStyle w:val="a7"/>
          <w:rFonts w:cs="Arial"/>
          <w:rtl/>
        </w:rPr>
        <w:footnoteReference w:id="2165"/>
      </w:r>
      <w:r>
        <w:rPr>
          <w:rFonts w:cs="Arial"/>
          <w:rtl/>
        </w:rPr>
        <w:t xml:space="preserve">, משמע דבטל, ומשמע דליבטיל, גבי גט לישנא דמהני ביה קאמר, גבי מתנה לישנא דמהני בה קאמר... </w:t>
      </w:r>
      <w:r>
        <w:rPr>
          <w:rFonts w:cs="Arial"/>
          <w:u w:val="single"/>
          <w:rtl/>
        </w:rPr>
        <w:t>רבינא אשכחיה לרב נחמן בר יצחק</w:t>
      </w:r>
      <w:r>
        <w:rPr>
          <w:rFonts w:cs="Arial"/>
          <w:rtl/>
        </w:rPr>
        <w:t xml:space="preserve"> דתלי וקאי בעיברא דדשא וקא מיבעיא ליה: בטל, מהו</w:t>
      </w:r>
      <w:r>
        <w:rPr>
          <w:rStyle w:val="a7"/>
          <w:rFonts w:cs="Arial"/>
          <w:rtl/>
        </w:rPr>
        <w:footnoteReference w:id="2166"/>
      </w:r>
      <w:r>
        <w:rPr>
          <w:rFonts w:cs="Arial"/>
          <w:rtl/>
        </w:rPr>
        <w:t xml:space="preserve">? תיקו. </w:t>
      </w:r>
      <w:r>
        <w:rPr>
          <w:rFonts w:cs="Arial"/>
          <w:u w:val="single"/>
          <w:rtl/>
        </w:rPr>
        <w:t>אמר רב ששת</w:t>
      </w:r>
      <w:r>
        <w:rPr>
          <w:rFonts w:cs="Arial"/>
          <w:rtl/>
        </w:rPr>
        <w:t xml:space="preserve">, ואמרי לה, </w:t>
      </w:r>
      <w:r>
        <w:rPr>
          <w:rFonts w:cs="Arial"/>
          <w:u w:val="single"/>
          <w:rtl/>
        </w:rPr>
        <w:t>במתניתא תנא</w:t>
      </w:r>
      <w:r>
        <w:rPr>
          <w:rFonts w:cs="Arial"/>
          <w:rtl/>
        </w:rPr>
        <w:t xml:space="preserve">: גט </w:t>
      </w:r>
      <w:r>
        <w:rPr>
          <w:rFonts w:cs="Arial"/>
          <w:rtl/>
        </w:rPr>
        <w:lastRenderedPageBreak/>
        <w:t xml:space="preserve">זה לא יועיל, לא יתיר, לא יעזיב, לא ישלח, ולא יגרש, יהא חרס, יהא כחרס </w:t>
      </w:r>
      <w:r w:rsidR="00A82951">
        <w:rPr>
          <w:rFonts w:cs="Arial"/>
          <w:rtl/>
        </w:rPr>
        <w:t>-</w:t>
      </w:r>
      <w:r>
        <w:rPr>
          <w:rFonts w:cs="Arial"/>
          <w:rtl/>
        </w:rPr>
        <w:t xml:space="preserve"> דבריו קיימין. אינו מועיל</w:t>
      </w:r>
      <w:r>
        <w:rPr>
          <w:rStyle w:val="a7"/>
          <w:rFonts w:cs="Arial"/>
          <w:rtl/>
        </w:rPr>
        <w:footnoteReference w:id="2167"/>
      </w:r>
      <w:r>
        <w:rPr>
          <w:rFonts w:cs="Arial"/>
          <w:rtl/>
        </w:rPr>
        <w:t xml:space="preserve">, אינו מתיר, אינו מעזיב, אינו משלח, אינו מגרש, חרס הוא, כחרס הוא </w:t>
      </w:r>
      <w:r w:rsidR="00A82951">
        <w:rPr>
          <w:rFonts w:cs="Arial"/>
          <w:rtl/>
        </w:rPr>
        <w:t>-</w:t>
      </w:r>
      <w:r>
        <w:rPr>
          <w:rFonts w:cs="Arial"/>
          <w:rtl/>
        </w:rPr>
        <w:t xml:space="preserve"> לא אמר כלום</w:t>
      </w:r>
      <w:r>
        <w:rPr>
          <w:rStyle w:val="a7"/>
          <w:rFonts w:cs="Arial"/>
          <w:rtl/>
        </w:rPr>
        <w:footnoteReference w:id="2168"/>
      </w:r>
      <w:r>
        <w:rPr>
          <w:rFonts w:cs="Arial"/>
          <w:rtl/>
        </w:rPr>
        <w:t>. איבעיא להו: הרי הוא חרס, מהו</w:t>
      </w:r>
      <w:r>
        <w:rPr>
          <w:rStyle w:val="a7"/>
          <w:rFonts w:cs="Arial"/>
          <w:rtl/>
        </w:rPr>
        <w:footnoteReference w:id="2169"/>
      </w:r>
      <w:r>
        <w:rPr>
          <w:rFonts w:cs="Arial"/>
          <w:rtl/>
        </w:rPr>
        <w:t xml:space="preserve">? </w:t>
      </w:r>
      <w:r>
        <w:rPr>
          <w:rFonts w:cs="Arial"/>
          <w:u w:val="single"/>
          <w:rtl/>
        </w:rPr>
        <w:t>א"ל רבינא לרב אחא בריה דרבא</w:t>
      </w:r>
      <w:r>
        <w:rPr>
          <w:rFonts w:cs="Arial"/>
          <w:rtl/>
        </w:rPr>
        <w:t xml:space="preserve">, ואמרי לה, </w:t>
      </w:r>
      <w:r>
        <w:rPr>
          <w:rFonts w:cs="Arial"/>
          <w:u w:val="single"/>
          <w:rtl/>
        </w:rPr>
        <w:t>רב אחא בריה דרבא לרב אשי</w:t>
      </w:r>
      <w:r>
        <w:rPr>
          <w:rFonts w:cs="Arial"/>
          <w:rtl/>
        </w:rPr>
        <w:t>: מאי שנא מהרי הוא הקדש</w:t>
      </w:r>
      <w:r>
        <w:rPr>
          <w:rStyle w:val="a7"/>
          <w:rFonts w:cs="Arial"/>
          <w:rtl/>
        </w:rPr>
        <w:footnoteReference w:id="2170"/>
      </w:r>
      <w:r>
        <w:rPr>
          <w:rFonts w:cs="Arial"/>
          <w:rtl/>
        </w:rPr>
        <w:t xml:space="preserve">, הרי הוא הפקר. </w:t>
      </w:r>
      <w:r>
        <w:rPr>
          <w:rFonts w:cs="Arial"/>
          <w:sz w:val="16"/>
          <w:szCs w:val="16"/>
          <w:rtl/>
        </w:rPr>
        <w:t>(וכלל הדברים הם שלבטל הגט צריך שיאמר לשון שמשמעו להבא, וגם שמשמעו שהוא מבטלו ולא לישתמע שהוא מעצמו פסול או כחרס או אינו מועיל</w:t>
      </w:r>
      <w:r>
        <w:rPr>
          <w:sz w:val="16"/>
          <w:szCs w:val="16"/>
          <w:rtl/>
        </w:rPr>
        <w:t>, ב"י)</w:t>
      </w:r>
    </w:p>
    <w:p w14:paraId="3A0163E6" w14:textId="77777777" w:rsidR="00FA2119" w:rsidRDefault="00FA2119" w:rsidP="00FA2119">
      <w:pPr>
        <w:rPr>
          <w:u w:val="single"/>
          <w:rtl/>
        </w:rPr>
      </w:pPr>
      <w:r>
        <w:rPr>
          <w:u w:val="single"/>
          <w:rtl/>
        </w:rPr>
        <w:t>אלו לשונות צריך לומר כדי לבטל את הגט:</w:t>
      </w:r>
    </w:p>
    <w:p w14:paraId="62624E03" w14:textId="7374DCBE" w:rsidR="00FA2119" w:rsidRDefault="00FA2119" w:rsidP="006A458D">
      <w:pPr>
        <w:pStyle w:val="ab"/>
        <w:numPr>
          <w:ilvl w:val="0"/>
          <w:numId w:val="102"/>
        </w:numPr>
        <w:rPr>
          <w:rtl/>
        </w:rPr>
      </w:pPr>
      <w:r>
        <w:rPr>
          <w:rFonts w:cs="Arial"/>
          <w:rtl/>
        </w:rPr>
        <w:t xml:space="preserve">רמב"ם </w:t>
      </w:r>
      <w:r>
        <w:rPr>
          <w:rFonts w:cs="Arial"/>
          <w:sz w:val="16"/>
          <w:szCs w:val="16"/>
          <w:rtl/>
        </w:rPr>
        <w:t>(פ"ו הכ"ב</w:t>
      </w:r>
      <w:r w:rsidR="00A82951">
        <w:rPr>
          <w:rFonts w:cs="Arial"/>
          <w:sz w:val="16"/>
          <w:szCs w:val="16"/>
          <w:rtl/>
        </w:rPr>
        <w:t>-</w:t>
      </w:r>
      <w:r>
        <w:rPr>
          <w:rFonts w:cs="Arial"/>
          <w:sz w:val="16"/>
          <w:szCs w:val="16"/>
          <w:rtl/>
        </w:rPr>
        <w:t>כג)</w:t>
      </w:r>
      <w:r>
        <w:rPr>
          <w:rFonts w:cs="Arial"/>
          <w:rtl/>
        </w:rPr>
        <w:t xml:space="preserve"> וטור</w:t>
      </w:r>
      <w:r w:rsidR="00A82951">
        <w:rPr>
          <w:rFonts w:cs="Arial"/>
          <w:rtl/>
        </w:rPr>
        <w:t>-</w:t>
      </w:r>
      <w:r>
        <w:rPr>
          <w:rFonts w:cs="Arial"/>
          <w:rtl/>
        </w:rPr>
        <w:t xml:space="preserve"> באיזה לשונות מבטל הגט</w:t>
      </w:r>
      <w:r w:rsidR="007F163A">
        <w:rPr>
          <w:rFonts w:cs="Arial" w:hint="cs"/>
          <w:rtl/>
        </w:rPr>
        <w:t>,</w:t>
      </w:r>
      <w:r>
        <w:rPr>
          <w:rFonts w:cs="Arial"/>
          <w:rtl/>
        </w:rPr>
        <w:t xml:space="preserve"> אמר</w:t>
      </w:r>
      <w:r w:rsidR="007F163A">
        <w:rPr>
          <w:rFonts w:cs="Arial" w:hint="cs"/>
          <w:rtl/>
        </w:rPr>
        <w:t>:</w:t>
      </w:r>
      <w:r>
        <w:rPr>
          <w:rFonts w:cs="Arial"/>
          <w:rtl/>
        </w:rPr>
        <w:t xml:space="preserve"> בטל הוא, אי אפשי בו, גט זה לא יועיל, לא יתיר, לא יעזוב, לא ישלח, לא יגרש, יהא כחרש, יהא חרש, הרי הוא כחרש, אם אמר אחד מאלו וכל הדומה להן </w:t>
      </w:r>
      <w:r w:rsidR="00A82951">
        <w:rPr>
          <w:rFonts w:cs="Arial"/>
          <w:rtl/>
        </w:rPr>
        <w:t>-</w:t>
      </w:r>
      <w:r>
        <w:rPr>
          <w:rFonts w:cs="Arial"/>
          <w:rtl/>
        </w:rPr>
        <w:t xml:space="preserve"> הרי זה בטלו. אבל אם אמר</w:t>
      </w:r>
      <w:r w:rsidR="007F163A">
        <w:rPr>
          <w:rFonts w:cs="Arial" w:hint="cs"/>
          <w:rtl/>
        </w:rPr>
        <w:t>:</w:t>
      </w:r>
      <w:r>
        <w:rPr>
          <w:rFonts w:cs="Arial"/>
          <w:rtl/>
        </w:rPr>
        <w:t xml:space="preserve"> גט זה אינו גט, פסול הוא, אינו מועיל, אינו מתיר, אינו משלח, אינו מגרש, חרש הוא</w:t>
      </w:r>
      <w:r w:rsidR="007F163A">
        <w:rPr>
          <w:rStyle w:val="a7"/>
          <w:rFonts w:cs="Arial"/>
          <w:rtl/>
        </w:rPr>
        <w:footnoteReference w:id="2171"/>
      </w:r>
      <w:r>
        <w:rPr>
          <w:rFonts w:cs="Arial"/>
          <w:rtl/>
        </w:rPr>
        <w:t xml:space="preserve"> </w:t>
      </w:r>
      <w:r w:rsidR="00A82951">
        <w:rPr>
          <w:rFonts w:cs="Arial"/>
          <w:rtl/>
        </w:rPr>
        <w:t>-</w:t>
      </w:r>
      <w:r>
        <w:rPr>
          <w:rFonts w:cs="Arial"/>
          <w:rtl/>
        </w:rPr>
        <w:t xml:space="preserve"> לא אמר כלום, שאין זה לשון מבטל אלא לשון מודיע אמתת הדבר, והרי הודיע לנו דבר שאינו כן, כמי שאומר על דבר האסור שהוא מותר או על הטמא שהוא טהור</w:t>
      </w:r>
      <w:r>
        <w:rPr>
          <w:rFonts w:cs="Arial"/>
          <w:sz w:val="16"/>
          <w:szCs w:val="16"/>
          <w:rtl/>
        </w:rPr>
        <w:t xml:space="preserve"> (ל' הרמב"ם)</w:t>
      </w:r>
      <w:r>
        <w:rPr>
          <w:rFonts w:cs="Arial"/>
          <w:rtl/>
        </w:rPr>
        <w:t>.</w:t>
      </w:r>
      <w:r>
        <w:rPr>
          <w:rtl/>
        </w:rPr>
        <w:t xml:space="preserve"> </w:t>
      </w:r>
      <w:r>
        <w:rPr>
          <w:color w:val="E36C0A" w:themeColor="accent6" w:themeShade="BF"/>
          <w:rtl/>
        </w:rPr>
        <w:t>(וכ"פ בשו"ע)</w:t>
      </w:r>
    </w:p>
    <w:p w14:paraId="7057B2A9" w14:textId="77777777" w:rsidR="00FA2119" w:rsidRDefault="00FA2119" w:rsidP="00FA2119">
      <w:pPr>
        <w:rPr>
          <w:u w:val="single"/>
          <w:rtl/>
        </w:rPr>
      </w:pPr>
      <w:r>
        <w:rPr>
          <w:u w:val="single"/>
          <w:rtl/>
        </w:rPr>
        <w:t xml:space="preserve">אמר 'גט זה בטל' </w:t>
      </w:r>
      <w:r>
        <w:rPr>
          <w:sz w:val="16"/>
          <w:szCs w:val="16"/>
          <w:u w:val="single"/>
          <w:rtl/>
        </w:rPr>
        <w:t>(ולא אמר 'הוא')</w:t>
      </w:r>
      <w:r>
        <w:rPr>
          <w:u w:val="single"/>
          <w:rtl/>
        </w:rPr>
        <w:t>:</w:t>
      </w:r>
    </w:p>
    <w:p w14:paraId="6F6DFAF9" w14:textId="021AE3F1" w:rsidR="00FA2119" w:rsidRDefault="00FA2119" w:rsidP="006A458D">
      <w:pPr>
        <w:pStyle w:val="ab"/>
        <w:numPr>
          <w:ilvl w:val="0"/>
          <w:numId w:val="102"/>
        </w:numPr>
      </w:pPr>
      <w:r>
        <w:rPr>
          <w:rFonts w:cs="Arial"/>
          <w:rtl/>
        </w:rPr>
        <w:t>טור</w:t>
      </w:r>
      <w:r w:rsidR="00A82951">
        <w:rPr>
          <w:rFonts w:cs="Arial"/>
          <w:rtl/>
        </w:rPr>
        <w:t>-</w:t>
      </w:r>
      <w:r>
        <w:rPr>
          <w:rFonts w:cs="Arial"/>
          <w:rtl/>
        </w:rPr>
        <w:t xml:space="preserve"> ואם אמר: 'בטל', ולא אמר 'הוא', מיבעיא אי הוי לשון ביטול, ולא אפשיטא. ואם נתגרשה בו </w:t>
      </w:r>
      <w:r w:rsidR="00A82951">
        <w:rPr>
          <w:rFonts w:cs="Arial"/>
          <w:rtl/>
        </w:rPr>
        <w:t>-</w:t>
      </w:r>
      <w:r>
        <w:rPr>
          <w:rFonts w:cs="Arial"/>
          <w:rtl/>
        </w:rPr>
        <w:t xml:space="preserve"> הוי' ספק מגורשת. והרמב"ם פירש דמיבעיא בביטול שמשמעותו פועל עבר. </w:t>
      </w:r>
    </w:p>
    <w:p w14:paraId="69420CC7" w14:textId="0DE42D7C" w:rsidR="00FA2119" w:rsidRDefault="00FA2119" w:rsidP="006A458D">
      <w:pPr>
        <w:pStyle w:val="ab"/>
        <w:numPr>
          <w:ilvl w:val="0"/>
          <w:numId w:val="102"/>
        </w:numPr>
      </w:pPr>
      <w:r>
        <w:rPr>
          <w:rFonts w:cs="Arial"/>
          <w:rtl/>
        </w:rPr>
        <w:t xml:space="preserve">רמב"ם </w:t>
      </w:r>
      <w:r>
        <w:rPr>
          <w:rFonts w:cs="Arial"/>
          <w:sz w:val="16"/>
          <w:szCs w:val="16"/>
          <w:rtl/>
        </w:rPr>
        <w:t>(פ"ו הכ"ד)</w:t>
      </w:r>
      <w:r w:rsidR="00A82951">
        <w:rPr>
          <w:rFonts w:cs="Arial"/>
          <w:rtl/>
        </w:rPr>
        <w:t>-</w:t>
      </w:r>
      <w:r>
        <w:rPr>
          <w:rFonts w:cs="Arial"/>
          <w:rtl/>
        </w:rPr>
        <w:t xml:space="preserve"> אמר 'גט זה בטל' שמשמעו פֹּעל שעבר</w:t>
      </w:r>
      <w:r>
        <w:rPr>
          <w:rStyle w:val="a7"/>
          <w:rFonts w:cs="Arial"/>
          <w:rtl/>
        </w:rPr>
        <w:footnoteReference w:id="2172"/>
      </w:r>
      <w:r>
        <w:rPr>
          <w:rFonts w:cs="Arial"/>
          <w:rtl/>
        </w:rPr>
        <w:t xml:space="preserve">, כגון חמק עבר </w:t>
      </w:r>
      <w:r w:rsidR="00A82951">
        <w:rPr>
          <w:rFonts w:cs="Arial"/>
          <w:rtl/>
        </w:rPr>
        <w:t>-</w:t>
      </w:r>
      <w:r>
        <w:rPr>
          <w:rFonts w:cs="Arial"/>
          <w:rtl/>
        </w:rPr>
        <w:t xml:space="preserve"> הרי זה ספק. לפיכך אם נתגרשה בגט זה </w:t>
      </w:r>
      <w:r w:rsidR="00A82951">
        <w:rPr>
          <w:rFonts w:cs="Arial"/>
          <w:rtl/>
        </w:rPr>
        <w:t>-</w:t>
      </w:r>
      <w:r>
        <w:rPr>
          <w:rFonts w:cs="Arial"/>
          <w:rtl/>
        </w:rPr>
        <w:t xml:space="preserve"> הרי היא ספק מגורשת. </w:t>
      </w:r>
      <w:r>
        <w:rPr>
          <w:color w:val="E36C0A" w:themeColor="accent6" w:themeShade="BF"/>
          <w:rtl/>
        </w:rPr>
        <w:t>(וכ"פ בשו"ע)</w:t>
      </w:r>
    </w:p>
    <w:p w14:paraId="3811DF96"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20BB4221" w14:textId="16CF38B2" w:rsidR="00FA2119" w:rsidRDefault="00FA2119" w:rsidP="00FA2119">
      <w:pPr>
        <w:rPr>
          <w:rtl/>
        </w:rPr>
      </w:pPr>
      <w:r>
        <w:rPr>
          <w:rFonts w:cs="Arial"/>
          <w:rtl/>
        </w:rPr>
        <w:t>באיזה לשונות מבטל גט, אמר: בטל הוא, אי איפשי בו, גט זה לא יועיל, לא יתיר, לא יעזוב, לא ישלח, לא יגרש, יהא כחרס, הרי הוא כחרס, אם אמר אחד מלשונות אלו וכיוצא בהם, הרי זה בטלו. אבל אם אמר: גט זה אינו גט, פסול הוא, אינו מועיל, אינו מתיר, אינו משלח, אינו מגרש, חרס הוא, לא אמר כלום. אמר: גט זה ב</w:t>
      </w:r>
      <w:r w:rsidR="00307A0F">
        <w:rPr>
          <w:rFonts w:cs="Arial" w:hint="cs"/>
          <w:rtl/>
        </w:rPr>
        <w:t>ָּ</w:t>
      </w:r>
      <w:r>
        <w:rPr>
          <w:rFonts w:cs="Arial"/>
          <w:rtl/>
        </w:rPr>
        <w:t>ט</w:t>
      </w:r>
      <w:r w:rsidR="00307A0F">
        <w:rPr>
          <w:rFonts w:cs="Arial" w:hint="cs"/>
          <w:rtl/>
        </w:rPr>
        <w:t>ֵ</w:t>
      </w:r>
      <w:r>
        <w:rPr>
          <w:rFonts w:cs="Arial"/>
          <w:rtl/>
        </w:rPr>
        <w:t>ל, ולא אמר: הוא, או שאמר: גט זה ב</w:t>
      </w:r>
      <w:r w:rsidR="00307A0F">
        <w:rPr>
          <w:rFonts w:cs="Arial" w:hint="cs"/>
          <w:rtl/>
        </w:rPr>
        <w:t>ָּ</w:t>
      </w:r>
      <w:r>
        <w:rPr>
          <w:rFonts w:cs="Arial"/>
          <w:rtl/>
        </w:rPr>
        <w:t>ט</w:t>
      </w:r>
      <w:r w:rsidR="00307A0F">
        <w:rPr>
          <w:rFonts w:cs="Arial" w:hint="cs"/>
          <w:rtl/>
        </w:rPr>
        <w:t>ַ</w:t>
      </w:r>
      <w:r>
        <w:rPr>
          <w:rFonts w:cs="Arial"/>
          <w:rtl/>
        </w:rPr>
        <w:t xml:space="preserve">ל, שמשמעו פועל עבר, כמו חמק עבר </w:t>
      </w:r>
      <w:r>
        <w:rPr>
          <w:rFonts w:cs="Arial"/>
          <w:sz w:val="16"/>
          <w:szCs w:val="16"/>
          <w:rtl/>
        </w:rPr>
        <w:t>(שיר השירים ה, ו)</w:t>
      </w:r>
      <w:r>
        <w:rPr>
          <w:rFonts w:cs="Arial"/>
          <w:rtl/>
        </w:rPr>
        <w:t xml:space="preserve">, הרי זה ספק. </w:t>
      </w:r>
    </w:p>
    <w:p w14:paraId="4AE4AE26" w14:textId="06F9DDD5" w:rsidR="00FA2119" w:rsidRDefault="00FA2119" w:rsidP="00FA2119">
      <w:pPr>
        <w:rPr>
          <w:rFonts w:cs="Arial"/>
          <w:rtl/>
        </w:rPr>
      </w:pPr>
      <w:r>
        <w:rPr>
          <w:rFonts w:cs="Arial"/>
          <w:u w:val="single"/>
          <w:rtl/>
        </w:rPr>
        <w:t xml:space="preserve">האומר לשון עבר כנ"ל </w:t>
      </w:r>
      <w:r w:rsidR="00A82951">
        <w:rPr>
          <w:rFonts w:cs="Arial"/>
          <w:u w:val="single"/>
          <w:rtl/>
        </w:rPr>
        <w:t>-</w:t>
      </w:r>
      <w:r>
        <w:rPr>
          <w:rFonts w:cs="Arial"/>
          <w:u w:val="single"/>
          <w:rtl/>
        </w:rPr>
        <w:t xml:space="preserve"> האם יש חילוק בין כשאומר כן לפני הנתינה לבין האומר כן בשעת הנתינה:</w:t>
      </w:r>
    </w:p>
    <w:p w14:paraId="41F9D08E" w14:textId="4A07EB86" w:rsidR="00FA2119" w:rsidRDefault="00FA2119" w:rsidP="006A458D">
      <w:pPr>
        <w:pStyle w:val="ab"/>
        <w:numPr>
          <w:ilvl w:val="0"/>
          <w:numId w:val="108"/>
        </w:numPr>
        <w:rPr>
          <w:rtl/>
        </w:rPr>
      </w:pPr>
      <w:r>
        <w:rPr>
          <w:rFonts w:cs="Arial"/>
          <w:rtl/>
        </w:rPr>
        <w:t xml:space="preserve">פת"ש </w:t>
      </w:r>
      <w:r>
        <w:rPr>
          <w:rFonts w:cs="Arial"/>
          <w:sz w:val="16"/>
          <w:szCs w:val="16"/>
          <w:rtl/>
        </w:rPr>
        <w:t>(ס"ק סד)</w:t>
      </w:r>
      <w:r w:rsidR="00A82951">
        <w:rPr>
          <w:rFonts w:cs="Arial"/>
          <w:rtl/>
        </w:rPr>
        <w:t>-</w:t>
      </w:r>
      <w:r>
        <w:rPr>
          <w:rFonts w:cs="Arial"/>
          <w:rtl/>
        </w:rPr>
        <w:t xml:space="preserve"> עיין בתשו' משכנות יעקב </w:t>
      </w:r>
      <w:r>
        <w:rPr>
          <w:rFonts w:cs="Arial"/>
          <w:sz w:val="16"/>
          <w:szCs w:val="16"/>
          <w:rtl/>
        </w:rPr>
        <w:t xml:space="preserve">(סי' לח בתשובה שלישית אות כא) </w:t>
      </w:r>
      <w:r>
        <w:rPr>
          <w:rFonts w:cs="Arial"/>
          <w:rtl/>
        </w:rPr>
        <w:t>שהביא דהגאון מהר"ז מרגליות ז"ל נתן טעם לדבר דכל המבטל גט אין עיקר הביטול חל רק בשעת חלות מעשהו ופעולתו, והיינו שעת הנתינה שאז זמן פעולתו, ולכן כשמבטל קודם נתינה צריך לבטל בלשון עתיד שיהיה חל הביטול בשעת נתינה. אבל אם אמר לשון עבר אינו כלום, דהא אכתי לאו זמן ביטולו הוא. ולכן הוציא מזה דבאומר כן בשעת נתינה אף בל' עבר מהני לבטלו, דהא אומר כן בשעת גמר פעולתו. ודברי הש"ס שאמרו חרס הוא לא אמר כלום מיירי שאומר קודם נתינה. והוא ז"ל האריך להשיג עליו בזה דאין חילוק כלל ע"ש.</w:t>
      </w:r>
    </w:p>
    <w:p w14:paraId="27C2AEE1" w14:textId="77777777" w:rsidR="00FA2119" w:rsidRDefault="00FA2119" w:rsidP="00FA2119">
      <w:pPr>
        <w:rPr>
          <w:rtl/>
        </w:rPr>
      </w:pPr>
    </w:p>
    <w:p w14:paraId="72BBB8AA" w14:textId="77777777" w:rsidR="00FA2119" w:rsidRDefault="00FA2119" w:rsidP="00FA2119">
      <w:pPr>
        <w:pStyle w:val="2"/>
        <w:rPr>
          <w:rtl/>
        </w:rPr>
      </w:pPr>
      <w:r>
        <w:rPr>
          <w:rtl/>
        </w:rPr>
        <w:t>סעיף סד: אמר 'גט זה יהא פסול'.</w:t>
      </w:r>
    </w:p>
    <w:p w14:paraId="26A8442D" w14:textId="77777777" w:rsidR="00FA2119" w:rsidRDefault="00FA2119" w:rsidP="00FA2119">
      <w:pPr>
        <w:rPr>
          <w:u w:val="single"/>
          <w:rtl/>
        </w:rPr>
      </w:pPr>
      <w:r>
        <w:rPr>
          <w:u w:val="single"/>
          <w:rtl/>
        </w:rPr>
        <w:t>אמר 'גט זה יהא פסול':</w:t>
      </w:r>
    </w:p>
    <w:p w14:paraId="204C33EA" w14:textId="3631CE3C" w:rsidR="00FA2119" w:rsidRDefault="00FA2119" w:rsidP="006A458D">
      <w:pPr>
        <w:pStyle w:val="ab"/>
        <w:numPr>
          <w:ilvl w:val="0"/>
          <w:numId w:val="102"/>
        </w:numPr>
      </w:pPr>
      <w:r>
        <w:rPr>
          <w:rFonts w:cs="Arial"/>
          <w:rtl/>
        </w:rPr>
        <w:t>רמ"ה</w:t>
      </w:r>
      <w:r>
        <w:rPr>
          <w:rFonts w:cs="Arial"/>
          <w:sz w:val="16"/>
          <w:szCs w:val="16"/>
          <w:rtl/>
        </w:rPr>
        <w:t xml:space="preserve"> (כ"כ הטור בשמו)</w:t>
      </w:r>
      <w:r w:rsidR="00A82951">
        <w:rPr>
          <w:rFonts w:cs="Arial"/>
          <w:rtl/>
        </w:rPr>
        <w:t>-</w:t>
      </w:r>
      <w:r>
        <w:rPr>
          <w:rFonts w:cs="Arial"/>
          <w:rtl/>
        </w:rPr>
        <w:t xml:space="preserve"> אמר: יהא פסול </w:t>
      </w:r>
      <w:r w:rsidR="00A82951">
        <w:rPr>
          <w:rFonts w:cs="Arial"/>
          <w:rtl/>
        </w:rPr>
        <w:t>-</w:t>
      </w:r>
      <w:r>
        <w:rPr>
          <w:rFonts w:cs="Arial"/>
          <w:rtl/>
        </w:rPr>
        <w:t xml:space="preserve"> הוא בטל, אע"פ שאינו יכול לפסול גוף הגט, כיון שאמר יהא לשון להבא רוצה לומר יהא פסול לגרש בו, מידי דהוה א</w:t>
      </w:r>
      <w:r w:rsidR="00A82951">
        <w:rPr>
          <w:rFonts w:cs="Arial"/>
          <w:rtl/>
        </w:rPr>
        <w:t>-</w:t>
      </w:r>
      <w:r>
        <w:rPr>
          <w:rFonts w:cs="Arial"/>
          <w:rtl/>
        </w:rPr>
        <w:t xml:space="preserve">'יהא חרס', אע"ג דחזינן דלאו חרס הוא אמרינן כיון </w:t>
      </w:r>
      <w:r>
        <w:rPr>
          <w:rFonts w:cs="Arial"/>
          <w:rtl/>
        </w:rPr>
        <w:lastRenderedPageBreak/>
        <w:t>דמודה דלאו חרס הוא אמרינן יהא כחרס לענין גירושין קאמר, ה"נ יהא פסול לגירושין קאמר</w:t>
      </w:r>
      <w:r>
        <w:rPr>
          <w:rStyle w:val="a7"/>
          <w:rFonts w:cs="Arial"/>
          <w:rtl/>
        </w:rPr>
        <w:footnoteReference w:id="2173"/>
      </w:r>
      <w:r>
        <w:rPr>
          <w:rFonts w:cs="Arial"/>
          <w:sz w:val="16"/>
          <w:szCs w:val="16"/>
          <w:rtl/>
        </w:rPr>
        <w:t xml:space="preserve"> (ל' הטור בשמו)</w:t>
      </w:r>
      <w:r>
        <w:rPr>
          <w:rFonts w:cs="Arial"/>
          <w:rtl/>
        </w:rPr>
        <w:t>.</w:t>
      </w:r>
      <w:r>
        <w:rPr>
          <w:rtl/>
        </w:rPr>
        <w:t xml:space="preserve"> </w:t>
      </w:r>
      <w:r>
        <w:rPr>
          <w:color w:val="E36C0A" w:themeColor="accent6" w:themeShade="BF"/>
          <w:rtl/>
        </w:rPr>
        <w:t>(וכ"ס בשו"ע)</w:t>
      </w:r>
    </w:p>
    <w:p w14:paraId="26704903" w14:textId="08655410" w:rsidR="00FA2119" w:rsidRDefault="00FA2119" w:rsidP="006A458D">
      <w:pPr>
        <w:pStyle w:val="ab"/>
        <w:numPr>
          <w:ilvl w:val="0"/>
          <w:numId w:val="102"/>
        </w:numPr>
      </w:pPr>
      <w:r>
        <w:rPr>
          <w:rFonts w:cs="Arial"/>
          <w:rtl/>
        </w:rPr>
        <w:t>טור</w:t>
      </w:r>
      <w:r w:rsidR="00A82951">
        <w:rPr>
          <w:rFonts w:cs="Arial"/>
          <w:rtl/>
        </w:rPr>
        <w:t>-</w:t>
      </w:r>
      <w:r>
        <w:rPr>
          <w:rFonts w:cs="Arial"/>
          <w:rtl/>
        </w:rPr>
        <w:t xml:space="preserve"> אמר 'יהא פסול' או 'הרי הוא פסול' </w:t>
      </w:r>
      <w:r w:rsidR="00A82951">
        <w:rPr>
          <w:rFonts w:cs="Arial"/>
          <w:rtl/>
        </w:rPr>
        <w:t>-</w:t>
      </w:r>
      <w:r>
        <w:rPr>
          <w:rFonts w:cs="Arial"/>
          <w:rtl/>
        </w:rPr>
        <w:t xml:space="preserve"> אינו כלום. </w:t>
      </w:r>
    </w:p>
    <w:p w14:paraId="3CADC9FD"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22AB6D7" w14:textId="77777777" w:rsidR="00FA2119" w:rsidRDefault="00FA2119" w:rsidP="00FA2119">
      <w:pPr>
        <w:rPr>
          <w:rtl/>
        </w:rPr>
      </w:pPr>
      <w:r>
        <w:rPr>
          <w:rFonts w:cs="Arial"/>
          <w:rtl/>
        </w:rPr>
        <w:t xml:space="preserve">יש מי שאומר שאם אמר: יהא פסול, בטלו. </w:t>
      </w:r>
      <w:r>
        <w:rPr>
          <w:rFonts w:cs="Arial"/>
          <w:sz w:val="18"/>
          <w:szCs w:val="18"/>
          <w:rtl/>
        </w:rPr>
        <w:t>[הגה] אמר: לא תצא לצמיתות, הוי בטל, וכאלו אמר: היום אי את אשתי ולמחר את אשתי (ר"ן סי' מג).</w:t>
      </w:r>
      <w:r>
        <w:rPr>
          <w:rFonts w:cs="Arial"/>
          <w:rtl/>
        </w:rPr>
        <w:t xml:space="preserve"> </w:t>
      </w:r>
    </w:p>
    <w:p w14:paraId="6BB53E54" w14:textId="77777777" w:rsidR="00FA2119" w:rsidRDefault="00FA2119" w:rsidP="00FA2119">
      <w:pPr>
        <w:rPr>
          <w:rtl/>
        </w:rPr>
      </w:pPr>
    </w:p>
    <w:p w14:paraId="23250FD5" w14:textId="6DA79FD1" w:rsidR="00FA2119" w:rsidRDefault="00FA2119" w:rsidP="00FA2119">
      <w:pPr>
        <w:pStyle w:val="2"/>
        <w:rPr>
          <w:rtl/>
        </w:rPr>
      </w:pPr>
      <w:r>
        <w:rPr>
          <w:rtl/>
        </w:rPr>
        <w:t xml:space="preserve">סעיף סה: כשאמר אחת מהלשונות שלא מועילות לבטל את הגט </w:t>
      </w:r>
      <w:r w:rsidR="00A82951">
        <w:rPr>
          <w:rtl/>
        </w:rPr>
        <w:t>-</w:t>
      </w:r>
      <w:r>
        <w:rPr>
          <w:rtl/>
        </w:rPr>
        <w:t xml:space="preserve"> מכל מקום נחשב לערעור.</w:t>
      </w:r>
    </w:p>
    <w:p w14:paraId="5FDD26D5" w14:textId="07751C77" w:rsidR="00FA2119" w:rsidRDefault="00FA2119" w:rsidP="00FA2119">
      <w:pPr>
        <w:rPr>
          <w:rtl/>
        </w:rPr>
      </w:pPr>
      <w:r>
        <w:rPr>
          <w:rFonts w:cs="Arial"/>
          <w:b/>
          <w:bCs/>
          <w:rtl/>
        </w:rPr>
        <w:t xml:space="preserve">גיטין </w:t>
      </w:r>
      <w:r>
        <w:rPr>
          <w:rFonts w:cs="Arial"/>
          <w:b/>
          <w:bCs/>
          <w:sz w:val="16"/>
          <w:szCs w:val="16"/>
          <w:rtl/>
        </w:rPr>
        <w:t>(פ' השולח)</w:t>
      </w:r>
      <w:r>
        <w:rPr>
          <w:rFonts w:cs="Arial"/>
          <w:b/>
          <w:bCs/>
          <w:rtl/>
        </w:rPr>
        <w:t xml:space="preserve"> לב ע"ב: </w:t>
      </w:r>
      <w:r>
        <w:rPr>
          <w:rFonts w:cs="Arial"/>
          <w:u w:val="single"/>
          <w:rtl/>
        </w:rPr>
        <w:t>אמר רב ששת</w:t>
      </w:r>
      <w:r>
        <w:rPr>
          <w:rFonts w:cs="Arial"/>
          <w:rtl/>
        </w:rPr>
        <w:t xml:space="preserve">, ואמרי לה, </w:t>
      </w:r>
      <w:r>
        <w:rPr>
          <w:rFonts w:cs="Arial"/>
          <w:u w:val="single"/>
          <w:rtl/>
        </w:rPr>
        <w:t>במתניתא תנא</w:t>
      </w:r>
      <w:r>
        <w:rPr>
          <w:rFonts w:cs="Arial"/>
          <w:rtl/>
        </w:rPr>
        <w:t xml:space="preserve">: גט זה לא יועיל, לא יתיר, לא יעזיב, לא ישלח, ולא יגרש, יהא חרס, יהא כחרס </w:t>
      </w:r>
      <w:r w:rsidR="00A82951">
        <w:rPr>
          <w:rFonts w:cs="Arial"/>
          <w:rtl/>
        </w:rPr>
        <w:t>-</w:t>
      </w:r>
      <w:r>
        <w:rPr>
          <w:rFonts w:cs="Arial"/>
          <w:rtl/>
        </w:rPr>
        <w:t xml:space="preserve"> דבריו קיימין. אינו מועיל</w:t>
      </w:r>
      <w:r>
        <w:rPr>
          <w:rStyle w:val="a7"/>
          <w:rFonts w:cs="Arial"/>
          <w:rtl/>
        </w:rPr>
        <w:footnoteReference w:id="2174"/>
      </w:r>
      <w:r>
        <w:rPr>
          <w:rFonts w:cs="Arial"/>
          <w:rtl/>
        </w:rPr>
        <w:t xml:space="preserve">, אינו מתיר, אינו מעזיב, אינו משלח, אינו מגרש, חרס הוא, כחרס הוא </w:t>
      </w:r>
      <w:r w:rsidR="00A82951">
        <w:rPr>
          <w:rFonts w:cs="Arial"/>
          <w:rtl/>
        </w:rPr>
        <w:t>-</w:t>
      </w:r>
      <w:r>
        <w:rPr>
          <w:rFonts w:cs="Arial"/>
          <w:rtl/>
        </w:rPr>
        <w:t xml:space="preserve"> לא אמר כלום</w:t>
      </w:r>
      <w:r>
        <w:rPr>
          <w:rStyle w:val="a7"/>
          <w:rFonts w:cs="Arial"/>
          <w:rtl/>
        </w:rPr>
        <w:footnoteReference w:id="2175"/>
      </w:r>
      <w:r>
        <w:rPr>
          <w:rFonts w:cs="Arial"/>
          <w:rtl/>
        </w:rPr>
        <w:t>.</w:t>
      </w:r>
    </w:p>
    <w:p w14:paraId="4227AC05" w14:textId="06063F61" w:rsidR="00FA2119" w:rsidRDefault="00FA2119" w:rsidP="00FA2119">
      <w:pPr>
        <w:rPr>
          <w:u w:val="single"/>
          <w:rtl/>
        </w:rPr>
      </w:pPr>
      <w:r>
        <w:rPr>
          <w:u w:val="single"/>
          <w:rtl/>
        </w:rPr>
        <w:t xml:space="preserve">כשאמר אחת מהלשונות שלא מועילות לבטל את הגט </w:t>
      </w:r>
      <w:r w:rsidR="00A82951">
        <w:rPr>
          <w:u w:val="single"/>
          <w:rtl/>
        </w:rPr>
        <w:t>-</w:t>
      </w:r>
      <w:r>
        <w:rPr>
          <w:u w:val="single"/>
          <w:rtl/>
        </w:rPr>
        <w:t xml:space="preserve"> האם מכל מקום נחשב לערעור על הגט</w:t>
      </w:r>
      <w:r>
        <w:rPr>
          <w:sz w:val="16"/>
          <w:szCs w:val="16"/>
          <w:u w:val="single"/>
          <w:rtl/>
        </w:rPr>
        <w:t xml:space="preserve"> (שיצריך לקיים את הגט)</w:t>
      </w:r>
      <w:r>
        <w:rPr>
          <w:u w:val="single"/>
          <w:rtl/>
        </w:rPr>
        <w:t>:</w:t>
      </w:r>
    </w:p>
    <w:p w14:paraId="06FF1236" w14:textId="0D1E92A4" w:rsidR="00FA2119" w:rsidRDefault="00FA2119" w:rsidP="006A458D">
      <w:pPr>
        <w:pStyle w:val="ab"/>
        <w:numPr>
          <w:ilvl w:val="0"/>
          <w:numId w:val="102"/>
        </w:numPr>
        <w:rPr>
          <w:rtl/>
        </w:rPr>
      </w:pPr>
      <w:r>
        <w:rPr>
          <w:rFonts w:cs="Arial"/>
          <w:rtl/>
        </w:rPr>
        <w:t>טור</w:t>
      </w:r>
      <w:r w:rsidR="00A82951">
        <w:rPr>
          <w:rFonts w:cs="Arial"/>
          <w:rtl/>
        </w:rPr>
        <w:t>-</w:t>
      </w:r>
      <w:r>
        <w:rPr>
          <w:rFonts w:cs="Arial"/>
          <w:rtl/>
        </w:rPr>
        <w:t xml:space="preserve"> והא דאמרינן פסול שאינו מועיל פירש"י שאינו מועיל לבטל הגט אבל ערעור הוא לפוסלו וצריך שייתקיים בחותמיו</w:t>
      </w:r>
      <w:r>
        <w:rPr>
          <w:rStyle w:val="a7"/>
          <w:rFonts w:cs="Arial"/>
          <w:rtl/>
        </w:rPr>
        <w:footnoteReference w:id="2176"/>
      </w:r>
      <w:r>
        <w:rPr>
          <w:rFonts w:cs="Arial"/>
          <w:rtl/>
        </w:rPr>
        <w:t xml:space="preserve">. וכן פירש הרמ"ה </w:t>
      </w:r>
      <w:r>
        <w:rPr>
          <w:rFonts w:cs="Arial"/>
          <w:sz w:val="16"/>
          <w:szCs w:val="16"/>
          <w:rtl/>
        </w:rPr>
        <w:t>(שיטות קדמונים לב: ד"ה אינו מועיל)</w:t>
      </w:r>
      <w:r>
        <w:rPr>
          <w:rFonts w:cs="Arial"/>
          <w:rtl/>
        </w:rPr>
        <w:t xml:space="preserve"> בכל הנך דלא הוי לשון ביטול שהוא ערעור לפוסלו וצריך לקיימו בחותמיו. ודאי אם גילה דעתו מעיקרא שרוצה לבטלו ואמר אחד מאלו הלשונות </w:t>
      </w:r>
      <w:r w:rsidR="00A82951">
        <w:rPr>
          <w:rFonts w:cs="Arial"/>
          <w:rtl/>
        </w:rPr>
        <w:t>-</w:t>
      </w:r>
      <w:r>
        <w:rPr>
          <w:rFonts w:cs="Arial"/>
          <w:rtl/>
        </w:rPr>
        <w:t xml:space="preserve"> אינו כלום</w:t>
      </w:r>
      <w:r>
        <w:rPr>
          <w:rStyle w:val="a7"/>
          <w:rFonts w:cs="Arial"/>
          <w:rtl/>
        </w:rPr>
        <w:footnoteReference w:id="2177"/>
      </w:r>
      <w:r>
        <w:rPr>
          <w:rFonts w:cs="Arial"/>
          <w:rtl/>
        </w:rPr>
        <w:t xml:space="preserve">, שאינם לשון ביטול. אבל לא גילה דעתו מעיקרא שרוצה לבטלו ואמר אחד מאלו הלשונות, כיון שנוכל לפרש דבריו שרוצה לערער עליו </w:t>
      </w:r>
      <w:r w:rsidR="00A82951">
        <w:rPr>
          <w:rFonts w:cs="Arial"/>
          <w:rtl/>
        </w:rPr>
        <w:t>-</w:t>
      </w:r>
      <w:r>
        <w:rPr>
          <w:rFonts w:cs="Arial"/>
          <w:rtl/>
        </w:rPr>
        <w:t xml:space="preserve"> אם לא נתקיים בחותמיו הוא נאמן, ואם נתנו השליח אח"כ ליד האשה אינו כלום. אבל נתקיים בחותמיו </w:t>
      </w:r>
      <w:r w:rsidR="00A82951">
        <w:rPr>
          <w:rFonts w:cs="Arial"/>
          <w:rtl/>
        </w:rPr>
        <w:t>-</w:t>
      </w:r>
      <w:r>
        <w:rPr>
          <w:rFonts w:cs="Arial"/>
          <w:rtl/>
        </w:rPr>
        <w:t xml:space="preserve"> כשר.</w:t>
      </w:r>
      <w:r>
        <w:rPr>
          <w:rtl/>
        </w:rPr>
        <w:t xml:space="preserve"> </w:t>
      </w:r>
      <w:r>
        <w:rPr>
          <w:color w:val="E36C0A" w:themeColor="accent6" w:themeShade="BF"/>
          <w:rtl/>
        </w:rPr>
        <w:t>(וכ"פ בשו"ע)</w:t>
      </w:r>
    </w:p>
    <w:p w14:paraId="026A65A8"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6CA8ECF" w14:textId="77777777" w:rsidR="00FA2119" w:rsidRDefault="00FA2119" w:rsidP="00FA2119">
      <w:pPr>
        <w:rPr>
          <w:rtl/>
        </w:rPr>
      </w:pPr>
      <w:r>
        <w:rPr>
          <w:rFonts w:cs="Arial"/>
          <w:rtl/>
        </w:rPr>
        <w:t xml:space="preserve">אם לא גילה דעתו מתחילה שרוצה לבטלו, ואמר אחד מלשונות שאינם מועילים לבטל הגט, מכל מקום ערעור הוא, דפוסלו, וצריך שיתקיים בחותמיו. </w:t>
      </w:r>
    </w:p>
    <w:p w14:paraId="63D57E8E" w14:textId="77777777" w:rsidR="00FA2119" w:rsidRDefault="00FA2119" w:rsidP="00FA2119">
      <w:pPr>
        <w:rPr>
          <w:rtl/>
        </w:rPr>
      </w:pPr>
    </w:p>
    <w:p w14:paraId="1064F8E3" w14:textId="77777777" w:rsidR="00FA2119" w:rsidRDefault="00FA2119" w:rsidP="00FA2119">
      <w:pPr>
        <w:pStyle w:val="2"/>
        <w:rPr>
          <w:rtl/>
        </w:rPr>
      </w:pPr>
      <w:r>
        <w:rPr>
          <w:rtl/>
        </w:rPr>
        <w:t>סעיף סו: לחזור ולגרש בגט שביטלו.</w:t>
      </w:r>
    </w:p>
    <w:p w14:paraId="0CACD424" w14:textId="36F1112D" w:rsidR="00FA2119" w:rsidRDefault="00FA2119" w:rsidP="00FA2119">
      <w:pPr>
        <w:rPr>
          <w:sz w:val="16"/>
          <w:szCs w:val="16"/>
          <w:rtl/>
        </w:rPr>
      </w:pPr>
      <w:r>
        <w:rPr>
          <w:rFonts w:cs="Arial"/>
          <w:b/>
          <w:bCs/>
          <w:rtl/>
        </w:rPr>
        <w:t xml:space="preserve">גיטין </w:t>
      </w:r>
      <w:r>
        <w:rPr>
          <w:rFonts w:cs="Arial"/>
          <w:b/>
          <w:bCs/>
          <w:sz w:val="16"/>
          <w:szCs w:val="16"/>
          <w:rtl/>
        </w:rPr>
        <w:t>(פ' השולח)</w:t>
      </w:r>
      <w:r>
        <w:rPr>
          <w:rFonts w:cs="Arial"/>
          <w:b/>
          <w:bCs/>
          <w:rtl/>
        </w:rPr>
        <w:t xml:space="preserve"> לב</w:t>
      </w:r>
      <w:r w:rsidR="00421A80" w:rsidRPr="002B6FE4">
        <w:rPr>
          <w:rStyle w:val="a7"/>
          <w:rFonts w:cs="Arial"/>
          <w:b/>
          <w:bCs/>
          <w:rtl/>
        </w:rPr>
        <w:footnoteReference w:id="2178"/>
      </w:r>
      <w:r>
        <w:rPr>
          <w:rFonts w:cs="Arial"/>
          <w:b/>
          <w:bCs/>
          <w:rtl/>
        </w:rPr>
        <w:t xml:space="preserve"> ע"א:</w:t>
      </w:r>
      <w:r>
        <w:rPr>
          <w:rFonts w:cs="Arial"/>
          <w:rtl/>
        </w:rPr>
        <w:t xml:space="preserve"> ת"ר: בטל הוא</w:t>
      </w:r>
      <w:r>
        <w:rPr>
          <w:rStyle w:val="a7"/>
          <w:rFonts w:cs="Arial"/>
          <w:rtl/>
        </w:rPr>
        <w:footnoteReference w:id="2179"/>
      </w:r>
      <w:r>
        <w:rPr>
          <w:rFonts w:cs="Arial"/>
          <w:rtl/>
        </w:rPr>
        <w:t xml:space="preserve">, אי איפשי בו </w:t>
      </w:r>
      <w:r w:rsidR="00A82951">
        <w:rPr>
          <w:rFonts w:cs="Arial"/>
          <w:rtl/>
        </w:rPr>
        <w:t>-</w:t>
      </w:r>
      <w:r>
        <w:rPr>
          <w:rFonts w:cs="Arial"/>
          <w:rtl/>
        </w:rPr>
        <w:t xml:space="preserve"> דבריו קיימין... </w:t>
      </w:r>
      <w:r>
        <w:rPr>
          <w:rFonts w:cs="Arial"/>
          <w:sz w:val="14"/>
          <w:szCs w:val="14"/>
          <w:rtl/>
        </w:rPr>
        <w:t>(לב:)</w:t>
      </w:r>
      <w:r>
        <w:rPr>
          <w:rFonts w:cs="Arial"/>
          <w:rtl/>
        </w:rPr>
        <w:t xml:space="preserve"> חוזר ומגרש בו</w:t>
      </w:r>
      <w:r>
        <w:rPr>
          <w:rStyle w:val="a7"/>
          <w:rFonts w:cs="Arial"/>
          <w:rtl/>
        </w:rPr>
        <w:footnoteReference w:id="2180"/>
      </w:r>
      <w:r>
        <w:rPr>
          <w:rFonts w:cs="Arial"/>
          <w:rtl/>
        </w:rPr>
        <w:t>, או אינו חוזר ומגרש</w:t>
      </w:r>
      <w:r>
        <w:rPr>
          <w:rStyle w:val="a7"/>
          <w:rFonts w:cs="Arial"/>
          <w:rtl/>
        </w:rPr>
        <w:footnoteReference w:id="2181"/>
      </w:r>
      <w:r>
        <w:rPr>
          <w:rFonts w:cs="Arial"/>
          <w:rtl/>
        </w:rPr>
        <w:t xml:space="preserve"> בו? </w:t>
      </w:r>
      <w:r>
        <w:rPr>
          <w:rFonts w:cs="Arial"/>
          <w:u w:val="single"/>
          <w:rtl/>
        </w:rPr>
        <w:t>רב נחמן אמר</w:t>
      </w:r>
      <w:r>
        <w:rPr>
          <w:rFonts w:cs="Arial"/>
          <w:rtl/>
        </w:rPr>
        <w:t xml:space="preserve">: חוזר ומגרש בו, </w:t>
      </w:r>
      <w:r>
        <w:rPr>
          <w:rFonts w:cs="Arial"/>
          <w:u w:val="single"/>
          <w:rtl/>
        </w:rPr>
        <w:t>ורב ששת אמר</w:t>
      </w:r>
      <w:r>
        <w:rPr>
          <w:rFonts w:cs="Arial"/>
          <w:rtl/>
        </w:rPr>
        <w:t>: אינו חוזר ומגרש בו. והלכתא כוותיה דרב נחמן. איני? והא קי"ל הלכתא כוותיה דר' יוחנן דאמר חוזרת</w:t>
      </w:r>
      <w:r>
        <w:rPr>
          <w:rStyle w:val="a7"/>
          <w:rFonts w:cs="Arial"/>
          <w:rtl/>
        </w:rPr>
        <w:footnoteReference w:id="2182"/>
      </w:r>
      <w:r>
        <w:rPr>
          <w:rFonts w:cs="Arial"/>
          <w:rtl/>
        </w:rPr>
        <w:t>! הכי השתא, התם דיבור ודיבור הוא</w:t>
      </w:r>
      <w:r>
        <w:rPr>
          <w:rStyle w:val="a7"/>
          <w:rFonts w:cs="Arial"/>
          <w:rtl/>
        </w:rPr>
        <w:footnoteReference w:id="2183"/>
      </w:r>
      <w:r>
        <w:rPr>
          <w:rFonts w:cs="Arial"/>
          <w:rtl/>
        </w:rPr>
        <w:t xml:space="preserve">, אתי דיבור ומבטל דיבור, </w:t>
      </w:r>
      <w:r>
        <w:rPr>
          <w:rFonts w:cs="Arial"/>
          <w:rtl/>
        </w:rPr>
        <w:lastRenderedPageBreak/>
        <w:t>והכא נהי</w:t>
      </w:r>
      <w:r>
        <w:rPr>
          <w:rStyle w:val="a7"/>
          <w:rFonts w:cs="Arial"/>
          <w:rtl/>
        </w:rPr>
        <w:footnoteReference w:id="2184"/>
      </w:r>
      <w:r>
        <w:rPr>
          <w:rFonts w:cs="Arial"/>
          <w:rtl/>
        </w:rPr>
        <w:t xml:space="preserve"> דבטליה לשליחותא דשליח, גיטא גופיה מי קא בטיל?.</w:t>
      </w:r>
      <w:r>
        <w:rPr>
          <w:sz w:val="16"/>
          <w:szCs w:val="16"/>
          <w:rtl/>
        </w:rPr>
        <w:t xml:space="preserve"> (</w:t>
      </w:r>
      <w:r>
        <w:rPr>
          <w:rFonts w:cs="Arial"/>
          <w:sz w:val="16"/>
          <w:szCs w:val="16"/>
          <w:rtl/>
        </w:rPr>
        <w:t>מתוך הלשון משמע דאפי' ביטלו בפירוש אינו מבוטל מדקאמר התם דיבור ודיבור הוא משמע דהכא לאו דיבור ודיבור הוא אלא דיבור ומעשה</w:t>
      </w:r>
      <w:r w:rsidR="00CD3762">
        <w:rPr>
          <w:rFonts w:cs="Arial" w:hint="cs"/>
          <w:sz w:val="16"/>
          <w:szCs w:val="16"/>
          <w:rtl/>
        </w:rPr>
        <w:t>,</w:t>
      </w:r>
      <w:r>
        <w:rPr>
          <w:rFonts w:cs="Arial"/>
          <w:sz w:val="16"/>
          <w:szCs w:val="16"/>
          <w:rtl/>
        </w:rPr>
        <w:t xml:space="preserve"> וגם מדקאמר גט גופיה מי קא בטיל משמע דאין לו כח לבטל</w:t>
      </w:r>
      <w:r w:rsidR="00CD3762">
        <w:rPr>
          <w:rFonts w:cs="Arial" w:hint="cs"/>
          <w:sz w:val="16"/>
          <w:szCs w:val="16"/>
          <w:rtl/>
        </w:rPr>
        <w:t>.</w:t>
      </w:r>
      <w:r>
        <w:rPr>
          <w:rFonts w:cs="Arial"/>
          <w:sz w:val="16"/>
          <w:szCs w:val="16"/>
          <w:rtl/>
        </w:rPr>
        <w:t xml:space="preserve"> אבל בקידושין בריש האומר (דף נט.) אין שם כל זה האריכות וכתוב בכל הספרים 'נהי דבטליה מתורת שליחות מתורת גט לא בטליה'</w:t>
      </w:r>
      <w:r>
        <w:rPr>
          <w:rStyle w:val="a7"/>
          <w:rFonts w:cs="Arial"/>
          <w:sz w:val="16"/>
          <w:szCs w:val="16"/>
          <w:rtl/>
        </w:rPr>
        <w:footnoteReference w:id="2185"/>
      </w:r>
      <w:r>
        <w:rPr>
          <w:rFonts w:cs="Arial"/>
          <w:sz w:val="16"/>
          <w:szCs w:val="16"/>
          <w:rtl/>
        </w:rPr>
        <w:t xml:space="preserve"> משמע דאם ביטלו בפירוש מודה רב נחמן דבטל</w:t>
      </w:r>
      <w:r w:rsidR="00CD3762">
        <w:rPr>
          <w:rFonts w:cs="Arial" w:hint="cs"/>
          <w:sz w:val="16"/>
          <w:szCs w:val="16"/>
          <w:rtl/>
        </w:rPr>
        <w:t>.</w:t>
      </w:r>
      <w:r>
        <w:rPr>
          <w:rFonts w:cs="Arial"/>
          <w:sz w:val="16"/>
          <w:szCs w:val="16"/>
          <w:rtl/>
        </w:rPr>
        <w:t xml:space="preserve"> וכן צריך לומר דגט לא חשיב מעשה כל זמן שלא הגיע ליד האשה דאי לאו הכי תקשי לרב ששת כדפירשנו לעיל (ד"ה רב ששת)</w:t>
      </w:r>
      <w:r>
        <w:rPr>
          <w:sz w:val="16"/>
          <w:szCs w:val="16"/>
          <w:rtl/>
        </w:rPr>
        <w:t>, תוס' (לב: ד"ה התם דיבור))</w:t>
      </w:r>
    </w:p>
    <w:p w14:paraId="5D531AFB" w14:textId="0FA99E2C" w:rsidR="00FA2119" w:rsidRDefault="00FA2119" w:rsidP="00FA2119">
      <w:pPr>
        <w:rPr>
          <w:rtl/>
        </w:rPr>
      </w:pPr>
      <w:r>
        <w:rPr>
          <w:rFonts w:cs="Arial"/>
          <w:b/>
          <w:bCs/>
          <w:rtl/>
        </w:rPr>
        <w:t xml:space="preserve">קידושין </w:t>
      </w:r>
      <w:r>
        <w:rPr>
          <w:rFonts w:cs="Arial"/>
          <w:b/>
          <w:bCs/>
          <w:sz w:val="16"/>
          <w:szCs w:val="16"/>
          <w:rtl/>
        </w:rPr>
        <w:t>(פ' האומר)</w:t>
      </w:r>
      <w:r>
        <w:rPr>
          <w:rFonts w:cs="Arial"/>
          <w:b/>
          <w:bCs/>
          <w:rtl/>
        </w:rPr>
        <w:t xml:space="preserve"> נט ע"ב:</w:t>
      </w:r>
      <w:r>
        <w:rPr>
          <w:rFonts w:cs="Arial"/>
          <w:rtl/>
        </w:rPr>
        <w:t xml:space="preserve"> </w:t>
      </w:r>
      <w:r>
        <w:rPr>
          <w:rFonts w:cs="Arial"/>
          <w:u w:val="single"/>
          <w:rtl/>
        </w:rPr>
        <w:t>רב זביד מתני להא שמעתתא אהא</w:t>
      </w:r>
      <w:r>
        <w:rPr>
          <w:rFonts w:cs="Arial"/>
          <w:rtl/>
        </w:rPr>
        <w:t xml:space="preserve">: וכן היא שנתנה רשות לשלוחה לקדשה, והלכה היא וקדשה את עצמה, אם שלה קדמו </w:t>
      </w:r>
      <w:r w:rsidR="00A82951">
        <w:rPr>
          <w:rFonts w:cs="Arial"/>
          <w:rtl/>
        </w:rPr>
        <w:t>-</w:t>
      </w:r>
      <w:r>
        <w:rPr>
          <w:rFonts w:cs="Arial"/>
          <w:rtl/>
        </w:rPr>
        <w:t xml:space="preserve"> קידושיה קידושין, ואם של שלוחה קדמו </w:t>
      </w:r>
      <w:r w:rsidR="00A82951">
        <w:rPr>
          <w:rFonts w:cs="Arial"/>
          <w:rtl/>
        </w:rPr>
        <w:t>-</w:t>
      </w:r>
      <w:r>
        <w:rPr>
          <w:rFonts w:cs="Arial"/>
          <w:rtl/>
        </w:rPr>
        <w:t xml:space="preserve"> אין קידושיה קידושין. לא קדשה את עצמה, וחזרה בה</w:t>
      </w:r>
      <w:r>
        <w:rPr>
          <w:rStyle w:val="a7"/>
          <w:rFonts w:cs="Arial"/>
          <w:rtl/>
        </w:rPr>
        <w:footnoteReference w:id="2186"/>
      </w:r>
      <w:r>
        <w:rPr>
          <w:rFonts w:cs="Arial"/>
          <w:rtl/>
        </w:rPr>
        <w:t xml:space="preserve">, מהו? </w:t>
      </w:r>
      <w:r>
        <w:rPr>
          <w:rFonts w:cs="Arial"/>
          <w:u w:val="single"/>
          <w:rtl/>
        </w:rPr>
        <w:t>רבי יוחנן אמר</w:t>
      </w:r>
      <w:r>
        <w:rPr>
          <w:rFonts w:cs="Arial"/>
          <w:rtl/>
        </w:rPr>
        <w:t xml:space="preserve">: חוזרת, </w:t>
      </w:r>
      <w:r>
        <w:rPr>
          <w:rFonts w:cs="Arial"/>
          <w:u w:val="single"/>
          <w:rtl/>
        </w:rPr>
        <w:t>ור"ל אמר</w:t>
      </w:r>
      <w:r>
        <w:rPr>
          <w:rFonts w:cs="Arial"/>
          <w:rtl/>
        </w:rPr>
        <w:t xml:space="preserve">: אינה חוזרת. ר' יוחנן אמר חוזרת, אתי דיבור ומבטל דיבור; ר"ל אמר אינה חוזרת, לא אתי דיבור ומבטל דיבור... והילכתא כוותיה דר"י ואפילו בקמייתא, ואף על גב דאיכא למימר: שאני נתינת מעות ליד אשה דכמעשה דמי, אפילו הכי אתי דיבור ומבטל דיבור. קשיא הילכתא אהילכתא! אמרת: הילכתא כרבי יוחנן, וקיימא לן: הילכתא כרב נחמן! דאיבעיא להו: מהו שיחזור ויגרש בו? </w:t>
      </w:r>
      <w:r>
        <w:rPr>
          <w:rFonts w:cs="Arial"/>
          <w:u w:val="single"/>
          <w:rtl/>
        </w:rPr>
        <w:t>רב נחמן אמר</w:t>
      </w:r>
      <w:r>
        <w:rPr>
          <w:rFonts w:cs="Arial"/>
          <w:rtl/>
        </w:rPr>
        <w:t xml:space="preserve">: חוזר ומגרש בו, </w:t>
      </w:r>
      <w:r>
        <w:rPr>
          <w:rFonts w:cs="Arial"/>
          <w:u w:val="single"/>
          <w:rtl/>
        </w:rPr>
        <w:t>רב ששת אמר</w:t>
      </w:r>
      <w:r>
        <w:rPr>
          <w:rFonts w:cs="Arial"/>
          <w:rtl/>
        </w:rPr>
        <w:t>: אינו חוזר ומגרש בו, וקיימא לן: הילכתא כותיה דרב נחמן! נהי דבטליה מתורת שליח, מתורת גט לא בטליה.</w:t>
      </w:r>
      <w:r>
        <w:rPr>
          <w:rtl/>
        </w:rPr>
        <w:t xml:space="preserve"> </w:t>
      </w:r>
      <w:r>
        <w:rPr>
          <w:sz w:val="16"/>
          <w:szCs w:val="16"/>
          <w:rtl/>
        </w:rPr>
        <w:t>(</w:t>
      </w:r>
      <w:r>
        <w:rPr>
          <w:rFonts w:cs="Arial"/>
          <w:sz w:val="16"/>
          <w:szCs w:val="16"/>
          <w:rtl/>
        </w:rPr>
        <w:t xml:space="preserve">פי' דמסתמא אינו מתכוין לבטל אלא השליח. ולפי זה אם אמר בפירוש 'אני מבטל הגט עצמו' </w:t>
      </w:r>
      <w:r w:rsidR="00A82951">
        <w:rPr>
          <w:rFonts w:cs="Arial"/>
          <w:sz w:val="16"/>
          <w:szCs w:val="16"/>
          <w:rtl/>
        </w:rPr>
        <w:t>-</w:t>
      </w:r>
      <w:r>
        <w:rPr>
          <w:rFonts w:cs="Arial"/>
          <w:sz w:val="16"/>
          <w:szCs w:val="16"/>
          <w:rtl/>
        </w:rPr>
        <w:t xml:space="preserve"> שהוא בטול ופסול לגרש בו. ובפרק השולח (גיטין לב:) גריס: 'גיטא גופיה מי קא בטל', משמע שאין הגט מתבטל, וצריך לפרש אתה סבור שהגט יכול ליפסל בביטול, ולא היא, דהרי הוא כמו מעות שאינן מתבטלות, דמאחר דהגט כתוב כהלכתו אינו יכול לבטלו, ואם ירצה יחזור ויגרש בו, תוס' (נט: ד"ה מותרת))</w:t>
      </w:r>
    </w:p>
    <w:p w14:paraId="583EE7F9" w14:textId="77777777" w:rsidR="00FA2119" w:rsidRDefault="00FA2119" w:rsidP="00FA2119">
      <w:pPr>
        <w:rPr>
          <w:u w:val="single"/>
          <w:rtl/>
        </w:rPr>
      </w:pPr>
      <w:r>
        <w:rPr>
          <w:u w:val="single"/>
          <w:rtl/>
        </w:rPr>
        <w:t>האם הבעל יכול לחזור ולגרש בגט שביטלו:</w:t>
      </w:r>
    </w:p>
    <w:p w14:paraId="00561EAB" w14:textId="2609588D" w:rsidR="00FA2119" w:rsidRDefault="00FA2119" w:rsidP="006A458D">
      <w:pPr>
        <w:pStyle w:val="ab"/>
        <w:numPr>
          <w:ilvl w:val="0"/>
          <w:numId w:val="102"/>
        </w:numPr>
        <w:rPr>
          <w:rtl/>
        </w:rPr>
      </w:pPr>
      <w:r>
        <w:rPr>
          <w:rFonts w:cs="Arial"/>
          <w:rtl/>
        </w:rPr>
        <w:t xml:space="preserve">תוס' </w:t>
      </w:r>
      <w:r>
        <w:rPr>
          <w:rFonts w:cs="Arial"/>
          <w:sz w:val="16"/>
          <w:szCs w:val="16"/>
          <w:rtl/>
        </w:rPr>
        <w:t>(גיטין לב: ד"ה התם)</w:t>
      </w:r>
      <w:r>
        <w:rPr>
          <w:rFonts w:cs="Arial"/>
          <w:rtl/>
        </w:rPr>
        <w:t xml:space="preserve"> רמב"ם</w:t>
      </w:r>
      <w:r>
        <w:rPr>
          <w:rFonts w:cs="Arial"/>
          <w:sz w:val="16"/>
          <w:szCs w:val="16"/>
          <w:rtl/>
        </w:rPr>
        <w:t xml:space="preserve"> (פ"ו הכ"א)</w:t>
      </w:r>
      <w:r>
        <w:rPr>
          <w:rFonts w:cs="Arial"/>
          <w:rtl/>
        </w:rPr>
        <w:t xml:space="preserve"> וטור</w:t>
      </w:r>
      <w:r w:rsidR="00A82951">
        <w:rPr>
          <w:rFonts w:cs="Arial"/>
          <w:rtl/>
        </w:rPr>
        <w:t>-</w:t>
      </w:r>
      <w:r>
        <w:rPr>
          <w:rFonts w:cs="Arial"/>
          <w:rtl/>
        </w:rPr>
        <w:t xml:space="preserve"> השולח גט ביד שליח ובטל הגט</w:t>
      </w:r>
      <w:r w:rsidR="007C68C1">
        <w:rPr>
          <w:rFonts w:cs="Arial" w:hint="cs"/>
          <w:rtl/>
        </w:rPr>
        <w:t>,</w:t>
      </w:r>
      <w:r>
        <w:rPr>
          <w:rFonts w:cs="Arial"/>
          <w:rtl/>
        </w:rPr>
        <w:t xml:space="preserve"> הרי זה חוזר ומגרש בו כשירצה, שלא בטלו מתורת גט אלא מתורת שליחות</w:t>
      </w:r>
      <w:r w:rsidR="007C68C1">
        <w:rPr>
          <w:rFonts w:cs="Arial" w:hint="cs"/>
          <w:rtl/>
        </w:rPr>
        <w:t>.</w:t>
      </w:r>
      <w:r>
        <w:rPr>
          <w:rFonts w:cs="Arial"/>
          <w:rtl/>
        </w:rPr>
        <w:t xml:space="preserve"> לפיכך אם היה הגט ביד הבעל ובטלו כגון שאמר גט זה בטל הוא </w:t>
      </w:r>
      <w:r w:rsidR="007C68C1">
        <w:rPr>
          <w:rFonts w:cs="Arial" w:hint="cs"/>
          <w:rtl/>
        </w:rPr>
        <w:t xml:space="preserve">- </w:t>
      </w:r>
      <w:r>
        <w:rPr>
          <w:rFonts w:cs="Arial"/>
          <w:rtl/>
        </w:rPr>
        <w:t>אינו מגרש בו לעולם והרי הוא כחרש הנשבר ואם גירש בו אינה מגורשת</w:t>
      </w:r>
      <w:r w:rsidR="007C68C1">
        <w:rPr>
          <w:rFonts w:cs="Arial" w:hint="cs"/>
          <w:rtl/>
        </w:rPr>
        <w:t>.</w:t>
      </w:r>
      <w:r>
        <w:rPr>
          <w:rFonts w:cs="Arial"/>
          <w:rtl/>
        </w:rPr>
        <w:t xml:space="preserve"> וכן אם פירש בעת שבטלו והוא ביד השליח ואמר גט ששלחתי </w:t>
      </w:r>
      <w:r w:rsidR="007C68C1">
        <w:rPr>
          <w:rFonts w:cs="Arial" w:hint="cs"/>
          <w:rtl/>
        </w:rPr>
        <w:t xml:space="preserve">- </w:t>
      </w:r>
      <w:r>
        <w:rPr>
          <w:rFonts w:cs="Arial"/>
          <w:rtl/>
        </w:rPr>
        <w:t>הרי הוא בטל מלהיות גט אינו מגרש בו לעולם</w:t>
      </w:r>
      <w:r>
        <w:rPr>
          <w:rFonts w:cs="Arial"/>
          <w:sz w:val="16"/>
          <w:szCs w:val="16"/>
          <w:rtl/>
        </w:rPr>
        <w:t xml:space="preserve"> (ל' הרמב"ם)</w:t>
      </w:r>
      <w:r>
        <w:rPr>
          <w:rFonts w:cs="Arial"/>
          <w:rtl/>
        </w:rPr>
        <w:t xml:space="preserve">. </w:t>
      </w:r>
      <w:r>
        <w:rPr>
          <w:color w:val="E36C0A" w:themeColor="accent6" w:themeShade="BF"/>
          <w:rtl/>
        </w:rPr>
        <w:t>(וכ"פ בשו"ע)</w:t>
      </w:r>
    </w:p>
    <w:p w14:paraId="02E3261F" w14:textId="1A696515" w:rsidR="00FA2119" w:rsidRDefault="00FA2119" w:rsidP="006A458D">
      <w:pPr>
        <w:pStyle w:val="ab"/>
        <w:numPr>
          <w:ilvl w:val="0"/>
          <w:numId w:val="102"/>
        </w:numPr>
      </w:pPr>
      <w:r>
        <w:rPr>
          <w:rFonts w:cs="Arial"/>
          <w:rtl/>
        </w:rPr>
        <w:t xml:space="preserve">תוס' </w:t>
      </w:r>
      <w:r>
        <w:rPr>
          <w:rFonts w:cs="Arial"/>
          <w:sz w:val="16"/>
          <w:szCs w:val="16"/>
          <w:rtl/>
        </w:rPr>
        <w:t>(קידושין נט: ד"ה מותרת)</w:t>
      </w:r>
      <w:r>
        <w:rPr>
          <w:rFonts w:cs="Arial"/>
          <w:rtl/>
        </w:rPr>
        <w:t xml:space="preserve"> רמב"ן </w:t>
      </w:r>
      <w:r>
        <w:rPr>
          <w:rFonts w:cs="Arial"/>
          <w:sz w:val="16"/>
          <w:szCs w:val="16"/>
          <w:rtl/>
        </w:rPr>
        <w:t xml:space="preserve">(לב: ד"ה נהי) </w:t>
      </w:r>
      <w:r>
        <w:rPr>
          <w:rFonts w:cs="Arial"/>
          <w:rtl/>
        </w:rPr>
        <w:t xml:space="preserve">רשב"א </w:t>
      </w:r>
      <w:r>
        <w:rPr>
          <w:rFonts w:cs="Arial"/>
          <w:sz w:val="16"/>
          <w:szCs w:val="16"/>
          <w:rtl/>
        </w:rPr>
        <w:t xml:space="preserve">(לב: ד"ה איבעיא) </w:t>
      </w:r>
      <w:r>
        <w:rPr>
          <w:rFonts w:cs="Arial"/>
          <w:rtl/>
        </w:rPr>
        <w:t xml:space="preserve">רא"ש </w:t>
      </w:r>
      <w:r>
        <w:rPr>
          <w:rFonts w:cs="Arial"/>
          <w:sz w:val="16"/>
          <w:szCs w:val="16"/>
          <w:rtl/>
        </w:rPr>
        <w:t xml:space="preserve">(פ' השולח סי' ד) </w:t>
      </w:r>
      <w:r>
        <w:rPr>
          <w:rFonts w:cs="Arial"/>
          <w:rtl/>
        </w:rPr>
        <w:t xml:space="preserve">ור"ן </w:t>
      </w:r>
      <w:r>
        <w:rPr>
          <w:rFonts w:cs="Arial"/>
          <w:sz w:val="16"/>
          <w:szCs w:val="16"/>
          <w:rtl/>
        </w:rPr>
        <w:t>(טז:)</w:t>
      </w:r>
      <w:r w:rsidR="00A82951">
        <w:rPr>
          <w:rFonts w:cs="Arial"/>
          <w:rtl/>
        </w:rPr>
        <w:t>-</w:t>
      </w:r>
      <w:r>
        <w:rPr>
          <w:rFonts w:cs="Arial"/>
          <w:rtl/>
        </w:rPr>
        <w:t xml:space="preserve"> אינו יכול לבטלו</w:t>
      </w:r>
      <w:r>
        <w:rPr>
          <w:rStyle w:val="a7"/>
          <w:rFonts w:cs="Arial"/>
          <w:rtl/>
        </w:rPr>
        <w:footnoteReference w:id="2187"/>
      </w:r>
      <w:r>
        <w:rPr>
          <w:rFonts w:cs="Arial"/>
          <w:rtl/>
        </w:rPr>
        <w:t xml:space="preserve">. </w:t>
      </w:r>
    </w:p>
    <w:p w14:paraId="5F3A15E1" w14:textId="2253C6FA" w:rsidR="00FA2119" w:rsidRDefault="00FA2119" w:rsidP="006A458D">
      <w:pPr>
        <w:pStyle w:val="ab"/>
        <w:numPr>
          <w:ilvl w:val="1"/>
          <w:numId w:val="102"/>
        </w:numPr>
      </w:pPr>
      <w:r>
        <w:rPr>
          <w:rFonts w:cs="Arial"/>
          <w:rtl/>
        </w:rPr>
        <w:t>ב"י</w:t>
      </w:r>
      <w:r w:rsidR="00A82951">
        <w:rPr>
          <w:rFonts w:cs="Arial"/>
          <w:rtl/>
        </w:rPr>
        <w:t>-</w:t>
      </w:r>
      <w:r>
        <w:rPr>
          <w:rFonts w:cs="Arial"/>
          <w:rtl/>
        </w:rPr>
        <w:t xml:space="preserve"> וכיון דפלוגתא דרבוותא היא דלשאר מפרשים חוזר ומגרש בו אלא שחשו לה להחמיר, אם נתגרשה בו </w:t>
      </w:r>
      <w:r w:rsidR="00A82951">
        <w:rPr>
          <w:rFonts w:cs="Arial"/>
          <w:rtl/>
        </w:rPr>
        <w:t>-</w:t>
      </w:r>
      <w:r>
        <w:rPr>
          <w:rFonts w:cs="Arial"/>
          <w:rtl/>
        </w:rPr>
        <w:t xml:space="preserve"> הוי ליה ספק מגורשת.</w:t>
      </w:r>
      <w:r>
        <w:rPr>
          <w:color w:val="E36C0A" w:themeColor="accent6" w:themeShade="BF"/>
          <w:rtl/>
        </w:rPr>
        <w:t xml:space="preserve"> (וכ"פ בשו"ע)</w:t>
      </w:r>
    </w:p>
    <w:p w14:paraId="52663DCE"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75DE306" w14:textId="77777777" w:rsidR="00FA2119" w:rsidRDefault="00FA2119" w:rsidP="00FA2119">
      <w:pPr>
        <w:rPr>
          <w:rFonts w:cs="Arial"/>
          <w:rtl/>
        </w:rPr>
      </w:pPr>
      <w:r>
        <w:rPr>
          <w:rFonts w:cs="Arial"/>
          <w:rtl/>
        </w:rPr>
        <w:t>השולח גט ביד שליח וביטל הגט, הרי זה חוזר ומגרש בו כשירצה, שלא בטלו מתורת גט אלא מתורת שליחות. לפיכך אם היה הגט ביד הבעל ובטלו, כגון שאמר: גט זה בטל הוא, אינו מגרש בו לעולם. וכן אם פירש בעת שבטלו, והוא ביד השליח, ואמר: גט ששלחתי הרי הוא בטל מלהיות גט, אינו מגרש בו. ואם גירש, הרי זו ספק מגורשת.</w:t>
      </w:r>
    </w:p>
    <w:p w14:paraId="27DB3932" w14:textId="77777777" w:rsidR="00FA2119" w:rsidRDefault="00FA2119" w:rsidP="00FA2119">
      <w:pPr>
        <w:rPr>
          <w:rtl/>
        </w:rPr>
      </w:pPr>
      <w:r>
        <w:rPr>
          <w:rFonts w:cs="Arial"/>
          <w:rtl/>
        </w:rPr>
        <w:t xml:space="preserve"> </w:t>
      </w:r>
    </w:p>
    <w:p w14:paraId="202DE8BD" w14:textId="77777777" w:rsidR="00FA2119" w:rsidRDefault="00FA2119" w:rsidP="00FA2119">
      <w:pPr>
        <w:pStyle w:val="2"/>
        <w:rPr>
          <w:rtl/>
        </w:rPr>
      </w:pPr>
      <w:r>
        <w:rPr>
          <w:rtl/>
        </w:rPr>
        <w:t>סעיף סז: מכין את מי ששולח גט ומבטלו בפני אחרים, או שמסר מודעה על הגט.</w:t>
      </w:r>
    </w:p>
    <w:p w14:paraId="1C466FA2" w14:textId="77777777" w:rsidR="00FA2119" w:rsidRDefault="00FA2119" w:rsidP="00FA2119">
      <w:pPr>
        <w:rPr>
          <w:rtl/>
        </w:rPr>
      </w:pPr>
      <w:r>
        <w:rPr>
          <w:rFonts w:cs="Arial"/>
          <w:b/>
          <w:bCs/>
          <w:rtl/>
        </w:rPr>
        <w:t xml:space="preserve">קידושין </w:t>
      </w:r>
      <w:r>
        <w:rPr>
          <w:rFonts w:cs="Arial"/>
          <w:b/>
          <w:bCs/>
          <w:sz w:val="16"/>
          <w:szCs w:val="16"/>
          <w:rtl/>
        </w:rPr>
        <w:t>(פ' האומר)</w:t>
      </w:r>
      <w:r>
        <w:rPr>
          <w:rFonts w:cs="Arial"/>
          <w:b/>
          <w:bCs/>
          <w:rtl/>
        </w:rPr>
        <w:t xml:space="preserve"> יב ע"ב:</w:t>
      </w:r>
      <w:r>
        <w:rPr>
          <w:rtl/>
        </w:rPr>
        <w:t xml:space="preserve"> </w:t>
      </w:r>
      <w:r>
        <w:rPr>
          <w:rFonts w:cs="Arial"/>
          <w:rtl/>
        </w:rPr>
        <w:t>דרב מנגיד על דמקדש בשוקא, ועל דמקדש בביאה, ועל דמקדש בלא שידוכי, ועל דמבטיל גיטא</w:t>
      </w:r>
      <w:r>
        <w:rPr>
          <w:rStyle w:val="a7"/>
          <w:rFonts w:cs="Arial"/>
          <w:rtl/>
        </w:rPr>
        <w:footnoteReference w:id="2188"/>
      </w:r>
      <w:r>
        <w:rPr>
          <w:rFonts w:cs="Arial"/>
          <w:rtl/>
        </w:rPr>
        <w:t>, ועל דמסר מודעא אגיטא...</w:t>
      </w:r>
      <w:r>
        <w:rPr>
          <w:rtl/>
        </w:rPr>
        <w:t xml:space="preserve"> </w:t>
      </w:r>
      <w:r>
        <w:rPr>
          <w:rFonts w:cs="Arial"/>
          <w:u w:val="single"/>
          <w:rtl/>
        </w:rPr>
        <w:t>נהרדעי אמרי</w:t>
      </w:r>
      <w:r>
        <w:rPr>
          <w:rFonts w:cs="Arial"/>
          <w:rtl/>
        </w:rPr>
        <w:t xml:space="preserve">: בכולהו לא מנגיד רב, אלא על דמקדש בביאה בלא שידוכי. </w:t>
      </w:r>
      <w:r>
        <w:rPr>
          <w:rFonts w:cs="Arial"/>
          <w:u w:val="single"/>
          <w:rtl/>
        </w:rPr>
        <w:t>ואיכא דאמרי</w:t>
      </w:r>
      <w:r>
        <w:rPr>
          <w:rFonts w:cs="Arial"/>
          <w:rtl/>
        </w:rPr>
        <w:t>: ואפילו בשידוכי נמי, משום פריצותא.</w:t>
      </w:r>
    </w:p>
    <w:p w14:paraId="55354C94" w14:textId="77777777" w:rsidR="00FA2119" w:rsidRDefault="00FA2119" w:rsidP="00FA2119">
      <w:pPr>
        <w:rPr>
          <w:u w:val="single"/>
          <w:rtl/>
        </w:rPr>
      </w:pPr>
      <w:r>
        <w:rPr>
          <w:u w:val="single"/>
          <w:rtl/>
        </w:rPr>
        <w:t>מכין את מי ששולח גט ומבטלו בפני אחרים, או שמסר מודעה על הגט:</w:t>
      </w:r>
    </w:p>
    <w:p w14:paraId="78C7A27A" w14:textId="44F9095B" w:rsidR="00FA2119" w:rsidRDefault="00FA2119" w:rsidP="006A458D">
      <w:pPr>
        <w:pStyle w:val="ab"/>
        <w:numPr>
          <w:ilvl w:val="0"/>
          <w:numId w:val="102"/>
        </w:numPr>
        <w:rPr>
          <w:rtl/>
        </w:rPr>
      </w:pPr>
      <w:r>
        <w:rPr>
          <w:rFonts w:cs="Arial"/>
          <w:rtl/>
        </w:rPr>
        <w:t xml:space="preserve">רמב"ם </w:t>
      </w:r>
      <w:r>
        <w:rPr>
          <w:rFonts w:cs="Arial"/>
          <w:sz w:val="16"/>
          <w:szCs w:val="16"/>
          <w:rtl/>
        </w:rPr>
        <w:t>(פ"ו הכ"ו)</w:t>
      </w:r>
      <w:r>
        <w:rPr>
          <w:rFonts w:cs="Arial"/>
          <w:rtl/>
        </w:rPr>
        <w:t xml:space="preserve"> וטור</w:t>
      </w:r>
      <w:r w:rsidR="00A82951">
        <w:rPr>
          <w:rFonts w:cs="Arial"/>
          <w:rtl/>
        </w:rPr>
        <w:t>-</w:t>
      </w:r>
      <w:r>
        <w:rPr>
          <w:rFonts w:cs="Arial"/>
          <w:rtl/>
        </w:rPr>
        <w:t xml:space="preserve"> מי ששלח גט לאשתו וחזר ובטלו בפני שנים אחרים, וכן מי שמסר מודעא על הגט </w:t>
      </w:r>
      <w:r w:rsidR="00A82951">
        <w:rPr>
          <w:rFonts w:cs="Arial"/>
          <w:rtl/>
        </w:rPr>
        <w:t>-</w:t>
      </w:r>
      <w:r>
        <w:rPr>
          <w:rFonts w:cs="Arial"/>
          <w:rtl/>
        </w:rPr>
        <w:t xml:space="preserve"> מכין אותו מכת מרדות מפני שגורם להיות ממזרים, שהרי יגיע גט לידה ותנשא בו ואחר זמן יצאו העדים שבטל בפניהם או שמסר מודעא בפניהם קודם שיכתוב הגט ונמצא הולד ממזר</w:t>
      </w:r>
      <w:r>
        <w:rPr>
          <w:rFonts w:cs="Arial"/>
          <w:sz w:val="16"/>
          <w:szCs w:val="16"/>
          <w:rtl/>
        </w:rPr>
        <w:t xml:space="preserve"> (ל' הרמב"ם)</w:t>
      </w:r>
      <w:r>
        <w:rPr>
          <w:rFonts w:cs="Arial"/>
          <w:rtl/>
        </w:rPr>
        <w:t xml:space="preserve">. </w:t>
      </w:r>
      <w:r>
        <w:rPr>
          <w:color w:val="E36C0A" w:themeColor="accent6" w:themeShade="BF"/>
          <w:rtl/>
        </w:rPr>
        <w:t>(וכ"פ בשו"ע)</w:t>
      </w:r>
    </w:p>
    <w:p w14:paraId="1DB124EC" w14:textId="40CE2D4F" w:rsidR="00FA2119" w:rsidRDefault="00FA2119" w:rsidP="006A458D">
      <w:pPr>
        <w:pStyle w:val="ab"/>
        <w:numPr>
          <w:ilvl w:val="0"/>
          <w:numId w:val="102"/>
        </w:numPr>
      </w:pPr>
      <w:r>
        <w:rPr>
          <w:rFonts w:cs="Arial"/>
          <w:rtl/>
        </w:rPr>
        <w:lastRenderedPageBreak/>
        <w:t xml:space="preserve">רא"ש </w:t>
      </w:r>
      <w:r>
        <w:rPr>
          <w:rFonts w:cs="Arial"/>
          <w:sz w:val="16"/>
          <w:szCs w:val="16"/>
          <w:rtl/>
        </w:rPr>
        <w:t>(סי' יח)</w:t>
      </w:r>
      <w:r w:rsidR="00A82951">
        <w:rPr>
          <w:rFonts w:cs="Arial"/>
          <w:rtl/>
        </w:rPr>
        <w:t>-</w:t>
      </w:r>
      <w:r>
        <w:rPr>
          <w:rFonts w:cs="Arial"/>
          <w:rtl/>
        </w:rPr>
        <w:t xml:space="preserve"> האידנא נהוג עלמא כלישנא דנהרדעי דאמרי דלא מנגיד רב אלא אמאן דמקדש בביאה</w:t>
      </w:r>
      <w:r>
        <w:rPr>
          <w:rStyle w:val="a7"/>
          <w:rFonts w:cs="Arial"/>
          <w:rtl/>
        </w:rPr>
        <w:footnoteReference w:id="2189"/>
      </w:r>
      <w:r>
        <w:rPr>
          <w:rFonts w:cs="Arial"/>
          <w:rtl/>
        </w:rPr>
        <w:t>.</w:t>
      </w:r>
    </w:p>
    <w:p w14:paraId="2FE23C4A" w14:textId="77777777" w:rsidR="00FA2119" w:rsidRDefault="00FA2119" w:rsidP="00FA2119">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52FB276" w14:textId="77777777" w:rsidR="00FA2119" w:rsidRDefault="00FA2119" w:rsidP="00FA2119">
      <w:pPr>
        <w:rPr>
          <w:rtl/>
        </w:rPr>
      </w:pPr>
      <w:r>
        <w:rPr>
          <w:rFonts w:cs="Arial"/>
          <w:rtl/>
        </w:rPr>
        <w:t>מי ששלח גט לאשתו, וחזר ובטלו בפני שנים</w:t>
      </w:r>
      <w:r>
        <w:rPr>
          <w:rStyle w:val="a7"/>
          <w:rFonts w:cs="Arial"/>
          <w:rtl/>
        </w:rPr>
        <w:footnoteReference w:id="2190"/>
      </w:r>
      <w:r>
        <w:rPr>
          <w:rFonts w:cs="Arial"/>
          <w:rtl/>
        </w:rPr>
        <w:t xml:space="preserve"> אחרים, וכן מי שמסר מודעא על הגט, מכין אותו מכת מרדות, מפני שגורם להיות ממזרים. </w:t>
      </w:r>
    </w:p>
    <w:p w14:paraId="61DE0898" w14:textId="77777777" w:rsidR="00FA2119" w:rsidRDefault="00FA2119" w:rsidP="00FA2119">
      <w:pPr>
        <w:rPr>
          <w:rtl/>
        </w:rPr>
      </w:pPr>
    </w:p>
    <w:p w14:paraId="1DFCA41C" w14:textId="77777777" w:rsidR="00FA2119" w:rsidRDefault="00FA2119" w:rsidP="00FA2119">
      <w:pPr>
        <w:pStyle w:val="2"/>
        <w:rPr>
          <w:rtl/>
        </w:rPr>
      </w:pPr>
      <w:r>
        <w:rPr>
          <w:rtl/>
        </w:rPr>
        <w:t>סעיף סח: חזקה שהבעל לא ביטל את הגט, וחזקה שהבעל עדיין חי.</w:t>
      </w:r>
    </w:p>
    <w:p w14:paraId="00308770" w14:textId="5F771DA2" w:rsidR="00FA2119" w:rsidRDefault="00FA2119" w:rsidP="00FA2119">
      <w:pPr>
        <w:rPr>
          <w:rFonts w:cs="Arial"/>
          <w:rtl/>
        </w:rPr>
      </w:pPr>
      <w:r>
        <w:rPr>
          <w:rFonts w:cs="Arial"/>
          <w:b/>
          <w:bCs/>
          <w:rtl/>
        </w:rPr>
        <w:t xml:space="preserve">גיטין </w:t>
      </w:r>
      <w:r>
        <w:rPr>
          <w:rFonts w:cs="Arial"/>
          <w:b/>
          <w:bCs/>
          <w:sz w:val="16"/>
          <w:szCs w:val="16"/>
          <w:rtl/>
        </w:rPr>
        <w:t>(פ' כל הגט)</w:t>
      </w:r>
      <w:r>
        <w:rPr>
          <w:rFonts w:cs="Arial"/>
          <w:b/>
          <w:bCs/>
          <w:rtl/>
        </w:rPr>
        <w:t xml:space="preserve"> כח</w:t>
      </w:r>
      <w:r w:rsidR="002B6FE4" w:rsidRPr="002B6FE4">
        <w:rPr>
          <w:rStyle w:val="a7"/>
          <w:rFonts w:cs="Arial"/>
          <w:b/>
          <w:bCs/>
          <w:rtl/>
        </w:rPr>
        <w:footnoteReference w:id="2191"/>
      </w:r>
      <w:r>
        <w:rPr>
          <w:rFonts w:cs="Arial"/>
          <w:b/>
          <w:bCs/>
          <w:rtl/>
        </w:rPr>
        <w:t xml:space="preserve"> ע"א:</w:t>
      </w:r>
      <w:r>
        <w:rPr>
          <w:rFonts w:cs="Arial"/>
          <w:rtl/>
        </w:rPr>
        <w:t xml:space="preserve"> </w:t>
      </w:r>
      <w:r>
        <w:rPr>
          <w:rFonts w:cs="Arial"/>
          <w:u w:val="double"/>
          <w:rtl/>
        </w:rPr>
        <w:t>מתני'</w:t>
      </w:r>
      <w:r>
        <w:rPr>
          <w:rFonts w:cs="Arial"/>
          <w:rtl/>
        </w:rPr>
        <w:t xml:space="preserve">: המביא גט, והניחו זקן או חולה </w:t>
      </w:r>
      <w:r w:rsidR="00A82951">
        <w:rPr>
          <w:rFonts w:cs="Arial"/>
          <w:rtl/>
        </w:rPr>
        <w:t>-</w:t>
      </w:r>
      <w:r>
        <w:rPr>
          <w:rFonts w:cs="Arial"/>
          <w:rtl/>
        </w:rPr>
        <w:t xml:space="preserve"> נותן לה בחזקת שהוא קיים</w:t>
      </w:r>
      <w:r>
        <w:rPr>
          <w:rStyle w:val="a7"/>
          <w:rFonts w:cs="Arial"/>
          <w:rtl/>
        </w:rPr>
        <w:footnoteReference w:id="2192"/>
      </w:r>
      <w:r>
        <w:rPr>
          <w:rFonts w:cs="Arial"/>
          <w:rtl/>
        </w:rPr>
        <w:t xml:space="preserve">...    </w:t>
      </w:r>
      <w:r w:rsidR="00421A80">
        <w:rPr>
          <w:rFonts w:cs="Arial" w:hint="cs"/>
          <w:rtl/>
        </w:rPr>
        <w:t xml:space="preserve"> </w:t>
      </w:r>
      <w:r>
        <w:rPr>
          <w:rFonts w:cs="Arial"/>
          <w:rtl/>
        </w:rPr>
        <w:t xml:space="preserve"> </w:t>
      </w:r>
      <w:r>
        <w:rPr>
          <w:rFonts w:cs="Arial"/>
          <w:u w:val="double"/>
          <w:rtl/>
        </w:rPr>
        <w:t>גמ'</w:t>
      </w:r>
      <w:r>
        <w:rPr>
          <w:rFonts w:cs="Arial"/>
          <w:rtl/>
        </w:rPr>
        <w:t xml:space="preserve">: </w:t>
      </w:r>
      <w:r>
        <w:rPr>
          <w:rFonts w:cs="Arial"/>
          <w:u w:val="single"/>
          <w:rtl/>
        </w:rPr>
        <w:t>אמר רבא</w:t>
      </w:r>
      <w:r>
        <w:rPr>
          <w:rFonts w:cs="Arial"/>
          <w:rtl/>
        </w:rPr>
        <w:t>: לא שנו אלא זקן שלא הגיע לגבורות</w:t>
      </w:r>
      <w:r>
        <w:rPr>
          <w:rStyle w:val="a7"/>
          <w:rFonts w:cs="Arial"/>
          <w:rtl/>
        </w:rPr>
        <w:footnoteReference w:id="2193"/>
      </w:r>
      <w:r>
        <w:rPr>
          <w:rFonts w:cs="Arial"/>
          <w:rtl/>
        </w:rPr>
        <w:t>, וחולה</w:t>
      </w:r>
      <w:r>
        <w:rPr>
          <w:rStyle w:val="a7"/>
          <w:rFonts w:cs="Arial"/>
          <w:rtl/>
        </w:rPr>
        <w:footnoteReference w:id="2194"/>
      </w:r>
      <w:r>
        <w:rPr>
          <w:rFonts w:cs="Arial"/>
          <w:rtl/>
        </w:rPr>
        <w:t xml:space="preserve">, שרוב חולים לחיים, אבל זקן שהגיע לגבורות, וגוסס, שרוב גוססין למיתה </w:t>
      </w:r>
      <w:r w:rsidR="00A82951">
        <w:rPr>
          <w:rFonts w:cs="Arial"/>
          <w:rtl/>
        </w:rPr>
        <w:t>-</w:t>
      </w:r>
      <w:r>
        <w:rPr>
          <w:rFonts w:cs="Arial"/>
          <w:rtl/>
        </w:rPr>
        <w:t xml:space="preserve"> לא. </w:t>
      </w:r>
      <w:r>
        <w:rPr>
          <w:rFonts w:cs="Arial"/>
          <w:u w:val="single"/>
          <w:rtl/>
        </w:rPr>
        <w:t>איתיביה אביי</w:t>
      </w:r>
      <w:r>
        <w:rPr>
          <w:rFonts w:cs="Arial"/>
          <w:rtl/>
        </w:rPr>
        <w:t xml:space="preserve">: המביא גט והניחו זקן, אפי' בן מאה שנה </w:t>
      </w:r>
      <w:r w:rsidR="00A82951">
        <w:rPr>
          <w:rFonts w:cs="Arial"/>
          <w:rtl/>
        </w:rPr>
        <w:t>-</w:t>
      </w:r>
      <w:r>
        <w:rPr>
          <w:rFonts w:cs="Arial"/>
          <w:rtl/>
        </w:rPr>
        <w:t xml:space="preserve"> נותן לה בחזקת שהוא קיים! תיובתא. ואי בעית אימא: כיון דאיפליג</w:t>
      </w:r>
      <w:r>
        <w:rPr>
          <w:rStyle w:val="a7"/>
          <w:rFonts w:cs="Arial"/>
          <w:rtl/>
        </w:rPr>
        <w:footnoteReference w:id="2195"/>
      </w:r>
      <w:r>
        <w:rPr>
          <w:rFonts w:cs="Arial"/>
          <w:rtl/>
        </w:rPr>
        <w:t xml:space="preserve"> </w:t>
      </w:r>
      <w:r w:rsidR="00A82951">
        <w:rPr>
          <w:rFonts w:cs="Arial"/>
          <w:rtl/>
        </w:rPr>
        <w:t>-</w:t>
      </w:r>
      <w:r>
        <w:rPr>
          <w:rFonts w:cs="Arial"/>
          <w:rtl/>
        </w:rPr>
        <w:t xml:space="preserve"> איפליג</w:t>
      </w:r>
      <w:r>
        <w:rPr>
          <w:rStyle w:val="a7"/>
          <w:rFonts w:cs="Arial"/>
          <w:rtl/>
        </w:rPr>
        <w:footnoteReference w:id="2196"/>
      </w:r>
      <w:r>
        <w:rPr>
          <w:rFonts w:cs="Arial"/>
          <w:rtl/>
        </w:rPr>
        <w:t xml:space="preserve">. </w:t>
      </w:r>
      <w:r>
        <w:rPr>
          <w:rFonts w:cs="Arial"/>
          <w:sz w:val="16"/>
          <w:szCs w:val="16"/>
          <w:rtl/>
        </w:rPr>
        <w:t xml:space="preserve">(וכתב הרשב"א (כח. ד"ה אמר רבה) וקיי"ל כאביי וכסתמא דמתניתין ומתניתא, ואע"ג דאמרינן ואי בעית אימא כיון דפלג פלג </w:t>
      </w:r>
      <w:r w:rsidR="00A82951">
        <w:rPr>
          <w:rFonts w:cs="Arial"/>
          <w:sz w:val="16"/>
          <w:szCs w:val="16"/>
          <w:rtl/>
        </w:rPr>
        <w:t>-</w:t>
      </w:r>
      <w:r>
        <w:rPr>
          <w:rFonts w:cs="Arial"/>
          <w:sz w:val="16"/>
          <w:szCs w:val="16"/>
          <w:rtl/>
        </w:rPr>
        <w:t xml:space="preserve"> שינויא הוא ולא סמכינן עליה. וכן נראה מדברי הרי"ף (יד.) והרא"ש (סי' ד) שלא הביאו מדברי רבה אלא לא שנו אלא חולה, אבל גוסס לא, ושיירו להגיע לגבורות. וכתב הרשב"א שכן נראה מהירושלמי (שם ה"ג) וכן דעת הרמב"ם בפ</w:t>
      </w:r>
      <w:r w:rsidR="002B6FE4">
        <w:rPr>
          <w:rFonts w:cs="Arial" w:hint="cs"/>
          <w:sz w:val="16"/>
          <w:szCs w:val="16"/>
          <w:rtl/>
        </w:rPr>
        <w:t>"</w:t>
      </w:r>
      <w:r>
        <w:rPr>
          <w:rFonts w:cs="Arial"/>
          <w:sz w:val="16"/>
          <w:szCs w:val="16"/>
          <w:rtl/>
        </w:rPr>
        <w:t>ו (הכ"ח). והרמ"ה רצה לחוש לכתחלה למימרא דרבה וכשינויא דאיבעית אימא, ומפרש בן שמונים ובן מאה כפשוטו ושלא כדברי רש"י. והגהות בפ"ו (אות ט) כתבו שראבי"ה כתב להחמיר כרבה, ב"י)</w:t>
      </w:r>
    </w:p>
    <w:p w14:paraId="60C88F2E" w14:textId="77777777" w:rsidR="00FA2119" w:rsidRDefault="00FA2119" w:rsidP="00FA2119">
      <w:pPr>
        <w:rPr>
          <w:u w:val="single"/>
          <w:rtl/>
        </w:rPr>
      </w:pPr>
      <w:r>
        <w:rPr>
          <w:u w:val="single"/>
          <w:rtl/>
        </w:rPr>
        <w:t>חזקה שהבעל לא ביטל את הגט:</w:t>
      </w:r>
    </w:p>
    <w:p w14:paraId="0929BA19" w14:textId="050C841A" w:rsidR="00FA2119" w:rsidRDefault="00FA2119" w:rsidP="006A458D">
      <w:pPr>
        <w:pStyle w:val="ab"/>
        <w:numPr>
          <w:ilvl w:val="0"/>
          <w:numId w:val="102"/>
        </w:numPr>
        <w:rPr>
          <w:rtl/>
        </w:rPr>
      </w:pPr>
      <w:r>
        <w:rPr>
          <w:rFonts w:cs="Arial"/>
          <w:rtl/>
        </w:rPr>
        <w:t xml:space="preserve">רמב"ם </w:t>
      </w:r>
      <w:r>
        <w:rPr>
          <w:rFonts w:cs="Arial"/>
          <w:sz w:val="16"/>
          <w:szCs w:val="16"/>
          <w:rtl/>
        </w:rPr>
        <w:t>(פ"ו הכ"ז)</w:t>
      </w:r>
      <w:r>
        <w:rPr>
          <w:rFonts w:cs="Arial"/>
          <w:rtl/>
        </w:rPr>
        <w:t xml:space="preserve"> וטור</w:t>
      </w:r>
      <w:r w:rsidR="00A82951">
        <w:rPr>
          <w:rFonts w:cs="Arial"/>
          <w:rtl/>
        </w:rPr>
        <w:t>-</w:t>
      </w:r>
      <w:r>
        <w:rPr>
          <w:rFonts w:cs="Arial"/>
          <w:rtl/>
        </w:rPr>
        <w:t xml:space="preserve"> שליח שהביא גט ונתנו לאשה, אין אומרין שמא בטלו הבעל, אלא נותנין אותו לה בחזקת שהוא כשר</w:t>
      </w:r>
      <w:r>
        <w:rPr>
          <w:rStyle w:val="a7"/>
          <w:rFonts w:cs="Arial"/>
          <w:rtl/>
        </w:rPr>
        <w:footnoteReference w:id="2197"/>
      </w:r>
      <w:r>
        <w:rPr>
          <w:rFonts w:cs="Arial"/>
          <w:rtl/>
        </w:rPr>
        <w:t xml:space="preserve"> ותנשא בו. ואם נמצא אחר כן שבטלו </w:t>
      </w:r>
      <w:r w:rsidR="00A82951">
        <w:rPr>
          <w:rFonts w:cs="Arial"/>
          <w:rtl/>
        </w:rPr>
        <w:t>-</w:t>
      </w:r>
      <w:r>
        <w:rPr>
          <w:rFonts w:cs="Arial"/>
          <w:rtl/>
        </w:rPr>
        <w:t xml:space="preserve"> תצא והולד ממזר. וכן הכותב גט ונתנו לאשתו, אין אומרין שמא מסר מודעא על גט זה, אלא הרי הוא בחזקת כשרות ותנשא בו</w:t>
      </w:r>
      <w:r>
        <w:rPr>
          <w:rFonts w:cs="Arial"/>
          <w:sz w:val="16"/>
          <w:szCs w:val="16"/>
          <w:rtl/>
        </w:rPr>
        <w:t xml:space="preserve"> (ל' הרמב"ם)</w:t>
      </w:r>
      <w:r>
        <w:rPr>
          <w:rFonts w:cs="Arial"/>
          <w:rtl/>
        </w:rPr>
        <w:t xml:space="preserve">. </w:t>
      </w:r>
      <w:r>
        <w:rPr>
          <w:color w:val="E36C0A" w:themeColor="accent6" w:themeShade="BF"/>
          <w:rtl/>
        </w:rPr>
        <w:t>(וכ"פ בשו"ע)</w:t>
      </w:r>
    </w:p>
    <w:p w14:paraId="20D4FF8A" w14:textId="77777777" w:rsidR="00FA2119" w:rsidRDefault="00FA2119" w:rsidP="00FA2119">
      <w:r>
        <w:rPr>
          <w:u w:val="single"/>
          <w:rtl/>
        </w:rPr>
        <w:t>חזקה שהבעל עדיין חי:</w:t>
      </w:r>
    </w:p>
    <w:p w14:paraId="265C1C4A" w14:textId="18149FA4" w:rsidR="00FA2119" w:rsidRDefault="00FA2119" w:rsidP="006A458D">
      <w:pPr>
        <w:pStyle w:val="ab"/>
        <w:numPr>
          <w:ilvl w:val="0"/>
          <w:numId w:val="102"/>
        </w:numPr>
      </w:pPr>
      <w:r>
        <w:rPr>
          <w:rFonts w:cs="Arial"/>
          <w:rtl/>
        </w:rPr>
        <w:t xml:space="preserve">רמב"ם </w:t>
      </w:r>
      <w:r>
        <w:rPr>
          <w:rFonts w:cs="Arial"/>
          <w:sz w:val="16"/>
          <w:szCs w:val="16"/>
          <w:rtl/>
        </w:rPr>
        <w:t>(פ"ו הכ"ח)</w:t>
      </w:r>
      <w:r>
        <w:rPr>
          <w:rFonts w:cs="Arial"/>
          <w:rtl/>
        </w:rPr>
        <w:t xml:space="preserve"> רא"ש </w:t>
      </w:r>
      <w:r>
        <w:rPr>
          <w:rFonts w:cs="Arial"/>
          <w:sz w:val="16"/>
          <w:szCs w:val="16"/>
          <w:rtl/>
        </w:rPr>
        <w:t>(כ"כ הטור בשמו)</w:t>
      </w:r>
      <w:r>
        <w:rPr>
          <w:rFonts w:cs="Arial"/>
          <w:rtl/>
        </w:rPr>
        <w:t xml:space="preserve"> וטור</w:t>
      </w:r>
      <w:r w:rsidR="00A82951">
        <w:rPr>
          <w:rFonts w:cs="Arial"/>
          <w:rtl/>
        </w:rPr>
        <w:t>-</w:t>
      </w:r>
      <w:r>
        <w:rPr>
          <w:rFonts w:cs="Arial"/>
          <w:rtl/>
        </w:rPr>
        <w:t xml:space="preserve"> וכן המביא גט והניח הבעל חולה</w:t>
      </w:r>
      <w:r>
        <w:rPr>
          <w:rStyle w:val="a7"/>
          <w:rFonts w:cs="Arial"/>
          <w:rtl/>
        </w:rPr>
        <w:footnoteReference w:id="2198"/>
      </w:r>
      <w:r>
        <w:rPr>
          <w:rFonts w:cs="Arial"/>
          <w:rtl/>
        </w:rPr>
        <w:t xml:space="preserve"> או שהיה זקן נותנו לה בחזקת שהוא קיים </w:t>
      </w:r>
      <w:r>
        <w:rPr>
          <w:rFonts w:cs="Arial"/>
          <w:sz w:val="16"/>
          <w:szCs w:val="16"/>
          <w:rtl/>
        </w:rPr>
        <w:t>(ל' הרמב"ם)</w:t>
      </w:r>
      <w:r>
        <w:rPr>
          <w:rFonts w:cs="Arial"/>
          <w:rtl/>
        </w:rPr>
        <w:t xml:space="preserve">. </w:t>
      </w:r>
      <w:r>
        <w:rPr>
          <w:color w:val="E36C0A" w:themeColor="accent6" w:themeShade="BF"/>
          <w:rtl/>
        </w:rPr>
        <w:t>(וכ"ס בשו"ע)</w:t>
      </w:r>
    </w:p>
    <w:p w14:paraId="36B5FD7A" w14:textId="424F08C5" w:rsidR="00FA2119" w:rsidRDefault="00FA2119" w:rsidP="006A458D">
      <w:pPr>
        <w:pStyle w:val="ab"/>
        <w:numPr>
          <w:ilvl w:val="0"/>
          <w:numId w:val="102"/>
        </w:numPr>
      </w:pPr>
      <w:r>
        <w:rPr>
          <w:rFonts w:cs="Arial"/>
          <w:rtl/>
        </w:rPr>
        <w:t xml:space="preserve">רמ"ה </w:t>
      </w:r>
      <w:r>
        <w:rPr>
          <w:rFonts w:cs="Arial"/>
          <w:sz w:val="16"/>
          <w:szCs w:val="16"/>
          <w:rtl/>
        </w:rPr>
        <w:t>(כ"כ הטור בשמו)</w:t>
      </w:r>
      <w:r w:rsidR="00A82951">
        <w:rPr>
          <w:rFonts w:cs="Arial"/>
          <w:rtl/>
        </w:rPr>
        <w:t>-</w:t>
      </w:r>
      <w:r>
        <w:rPr>
          <w:rFonts w:cs="Arial"/>
          <w:rtl/>
        </w:rPr>
        <w:t xml:space="preserve"> דוקא בזקן שהוא פחות מבן שמונים או מבן ק' שנה ולמעלה, אבל מבן פ' עד בן ק' </w:t>
      </w:r>
      <w:r w:rsidR="00A82951">
        <w:rPr>
          <w:rFonts w:cs="Arial"/>
          <w:rtl/>
        </w:rPr>
        <w:t>-</w:t>
      </w:r>
      <w:r>
        <w:rPr>
          <w:rFonts w:cs="Arial"/>
          <w:rtl/>
        </w:rPr>
        <w:t xml:space="preserve"> לא. ואם נתנו לה </w:t>
      </w:r>
      <w:r w:rsidR="00A82951">
        <w:rPr>
          <w:rFonts w:cs="Arial"/>
          <w:rtl/>
        </w:rPr>
        <w:t>-</w:t>
      </w:r>
      <w:r>
        <w:rPr>
          <w:rFonts w:cs="Arial"/>
          <w:rtl/>
        </w:rPr>
        <w:t xml:space="preserve"> תינשא לכתחלה. </w:t>
      </w:r>
    </w:p>
    <w:p w14:paraId="7ECA0CCE" w14:textId="77777777" w:rsidR="00FA2119" w:rsidRDefault="00FA2119" w:rsidP="00FA2119">
      <w:pPr>
        <w:ind w:left="360"/>
        <w:rPr>
          <w:u w:val="dotted"/>
        </w:rPr>
      </w:pPr>
      <w:r>
        <w:rPr>
          <w:u w:val="dotted"/>
          <w:rtl/>
        </w:rPr>
        <w:t>ומה הדין אם השליח הניח את הבעל כשהוא גוסס:</w:t>
      </w:r>
    </w:p>
    <w:p w14:paraId="285A32B9" w14:textId="27977D34" w:rsidR="00FA2119" w:rsidRDefault="00FA2119" w:rsidP="006A458D">
      <w:pPr>
        <w:pStyle w:val="ab"/>
        <w:numPr>
          <w:ilvl w:val="0"/>
          <w:numId w:val="102"/>
        </w:numPr>
      </w:pPr>
      <w:r>
        <w:rPr>
          <w:rFonts w:cs="Arial"/>
          <w:rtl/>
        </w:rPr>
        <w:t xml:space="preserve">רמב"ם </w:t>
      </w:r>
      <w:r>
        <w:rPr>
          <w:rFonts w:cs="Arial"/>
          <w:sz w:val="16"/>
          <w:szCs w:val="16"/>
          <w:rtl/>
        </w:rPr>
        <w:t>(פ"ו הכ"ח)</w:t>
      </w:r>
      <w:r>
        <w:rPr>
          <w:rFonts w:cs="Arial"/>
          <w:rtl/>
        </w:rPr>
        <w:t xml:space="preserve"> וטור</w:t>
      </w:r>
      <w:r w:rsidR="00A82951">
        <w:rPr>
          <w:rFonts w:cs="Arial"/>
          <w:rtl/>
        </w:rPr>
        <w:t>-</w:t>
      </w:r>
      <w:r>
        <w:rPr>
          <w:rFonts w:cs="Arial"/>
          <w:rtl/>
        </w:rPr>
        <w:t xml:space="preserve"> אבל אם הניחו גוסס, רוב גוססין למיתה, ואע"פ שנתנו לה </w:t>
      </w:r>
      <w:r w:rsidR="00A82951">
        <w:rPr>
          <w:rFonts w:cs="Arial"/>
          <w:rtl/>
        </w:rPr>
        <w:t>-</w:t>
      </w:r>
      <w:r>
        <w:rPr>
          <w:rFonts w:cs="Arial"/>
          <w:rtl/>
        </w:rPr>
        <w:t xml:space="preserve"> הרי זה ספק גירושין</w:t>
      </w:r>
      <w:r>
        <w:rPr>
          <w:rStyle w:val="a7"/>
          <w:rFonts w:cs="Arial"/>
          <w:rtl/>
        </w:rPr>
        <w:footnoteReference w:id="2199"/>
      </w:r>
      <w:r>
        <w:rPr>
          <w:rFonts w:cs="Arial"/>
          <w:rtl/>
        </w:rPr>
        <w:t>, שאין גט לאחר מיתה</w:t>
      </w:r>
      <w:r>
        <w:rPr>
          <w:rFonts w:cs="Arial"/>
          <w:sz w:val="16"/>
          <w:szCs w:val="16"/>
          <w:rtl/>
        </w:rPr>
        <w:t xml:space="preserve"> (ל' הרמב"ם)</w:t>
      </w:r>
      <w:r>
        <w:rPr>
          <w:rFonts w:cs="Arial"/>
          <w:rtl/>
        </w:rPr>
        <w:t xml:space="preserve">. </w:t>
      </w:r>
      <w:r>
        <w:rPr>
          <w:color w:val="E36C0A" w:themeColor="accent6" w:themeShade="BF"/>
          <w:rtl/>
        </w:rPr>
        <w:t>(וכ"פ בשו"ע)</w:t>
      </w:r>
    </w:p>
    <w:p w14:paraId="2758AEA9"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0315FDD" w14:textId="77777777" w:rsidR="00FA2119" w:rsidRDefault="00FA2119" w:rsidP="00FA2119">
      <w:pPr>
        <w:rPr>
          <w:rtl/>
        </w:rPr>
      </w:pPr>
      <w:r>
        <w:rPr>
          <w:rFonts w:cs="Arial"/>
          <w:rtl/>
        </w:rPr>
        <w:lastRenderedPageBreak/>
        <w:t>שליח שהביא גט, אין חוששין שמא בטלו הבעל או שמא מסר מודעא, ונתנו לה לאשה בחזקה שהוא חי, אפילו הניחו זקן או חולה</w:t>
      </w:r>
      <w:r>
        <w:rPr>
          <w:rStyle w:val="a7"/>
          <w:rFonts w:cs="Arial"/>
          <w:rtl/>
        </w:rPr>
        <w:footnoteReference w:id="2200"/>
      </w:r>
      <w:r>
        <w:rPr>
          <w:rFonts w:cs="Arial"/>
          <w:rtl/>
        </w:rPr>
        <w:t xml:space="preserve">. </w:t>
      </w:r>
      <w:r>
        <w:rPr>
          <w:rFonts w:cs="Arial"/>
          <w:sz w:val="18"/>
          <w:szCs w:val="18"/>
          <w:rtl/>
        </w:rPr>
        <w:t xml:space="preserve">[הגה] וי"א דוקא חולה בידי שמים, אבל הוכה ונעשה טריפה, דינו כגוסס (שלט"ג). </w:t>
      </w:r>
      <w:r>
        <w:rPr>
          <w:rFonts w:cs="Arial"/>
          <w:rtl/>
        </w:rPr>
        <w:t>אבל אם הניחו גוסס</w:t>
      </w:r>
      <w:r>
        <w:rPr>
          <w:rStyle w:val="a7"/>
          <w:rFonts w:cs="Arial"/>
          <w:rtl/>
        </w:rPr>
        <w:footnoteReference w:id="2201"/>
      </w:r>
      <w:r>
        <w:rPr>
          <w:rFonts w:cs="Arial"/>
          <w:rtl/>
        </w:rPr>
        <w:t>, לא יתננו לה</w:t>
      </w:r>
      <w:r>
        <w:rPr>
          <w:rStyle w:val="a7"/>
          <w:rFonts w:cs="Arial"/>
          <w:rtl/>
        </w:rPr>
        <w:footnoteReference w:id="2202"/>
      </w:r>
      <w:r>
        <w:rPr>
          <w:rFonts w:cs="Arial"/>
          <w:rtl/>
        </w:rPr>
        <w:t xml:space="preserve">, שרוב גוססים למיתה. ואם נתנו לה, הרי זו ספק מגורשת. ויש מי שאומר דהא דאמרינן בזקן, דוקא בפחות מבן שמונים </w:t>
      </w:r>
      <w:r>
        <w:rPr>
          <w:rFonts w:cs="Arial"/>
          <w:sz w:val="18"/>
          <w:szCs w:val="18"/>
          <w:rtl/>
        </w:rPr>
        <w:t xml:space="preserve">[הגה] או יותר ממאה, אבל מבן שמונים (טור בשם הרמ"ה) </w:t>
      </w:r>
      <w:r>
        <w:rPr>
          <w:rFonts w:cs="Arial"/>
          <w:rtl/>
        </w:rPr>
        <w:t xml:space="preserve">עד בן מאה, דינו כגוסס. </w:t>
      </w:r>
    </w:p>
    <w:p w14:paraId="51376C4A" w14:textId="77777777" w:rsidR="00FA2119" w:rsidRDefault="00FA2119" w:rsidP="00FA2119">
      <w:pPr>
        <w:rPr>
          <w:rFonts w:cs="Arial"/>
          <w:rtl/>
        </w:rPr>
      </w:pPr>
      <w:r>
        <w:rPr>
          <w:rFonts w:cs="Arial"/>
          <w:u w:val="single"/>
          <w:rtl/>
        </w:rPr>
        <w:t>אחר שנתן לה הגט נתברר שמת ואין ידוע אם קודם נתינה או אח"כ:</w:t>
      </w:r>
      <w:r>
        <w:rPr>
          <w:rFonts w:cs="Arial"/>
          <w:rtl/>
        </w:rPr>
        <w:t xml:space="preserve"> </w:t>
      </w:r>
    </w:p>
    <w:p w14:paraId="564225E7" w14:textId="483D3E0A" w:rsidR="00FA2119" w:rsidRDefault="00FA2119" w:rsidP="006A458D">
      <w:pPr>
        <w:pStyle w:val="ab"/>
        <w:numPr>
          <w:ilvl w:val="0"/>
          <w:numId w:val="108"/>
        </w:numPr>
        <w:rPr>
          <w:rtl/>
        </w:rPr>
      </w:pPr>
      <w:r>
        <w:rPr>
          <w:rFonts w:cs="Arial"/>
          <w:rtl/>
        </w:rPr>
        <w:t xml:space="preserve">פת"ש </w:t>
      </w:r>
      <w:r>
        <w:rPr>
          <w:rFonts w:cs="Arial"/>
          <w:sz w:val="16"/>
          <w:szCs w:val="16"/>
          <w:rtl/>
        </w:rPr>
        <w:t>(ס"ק סז)</w:t>
      </w:r>
      <w:r w:rsidR="00A82951">
        <w:rPr>
          <w:rFonts w:cs="Arial"/>
          <w:rtl/>
        </w:rPr>
        <w:t>-</w:t>
      </w:r>
      <w:r>
        <w:rPr>
          <w:rFonts w:cs="Arial"/>
          <w:rtl/>
        </w:rPr>
        <w:t xml:space="preserve"> כ' בס' תו"ג ואם אחר שנתן לה הגט נתברר שמת ואין ידוע אם קודם נתינה או אח"כ, יש ללמוד זה מסי' קמ"ד סעיף ה' דאם הוא ספק איזה מהן קודם </w:t>
      </w:r>
      <w:r w:rsidR="00A82951">
        <w:rPr>
          <w:rFonts w:cs="Arial"/>
          <w:rtl/>
        </w:rPr>
        <w:t>-</w:t>
      </w:r>
      <w:r>
        <w:rPr>
          <w:rFonts w:cs="Arial"/>
          <w:rtl/>
        </w:rPr>
        <w:t xml:space="preserve"> ה"ז ספק מגורשת עכ"ל. ועיין בשאילת יעב"ץ ח"א סימן קכ"ח מענין זה. ועיין בתשו' ברית אברהם סי' ס"ט שהוא ז"ל מסתפק בדין זה ומבואר שם דאם כבר ניסת קודם שנשמע שמת פשוט קצת להתיר ואין לחוש כלום שמא מת קודם מסירת הגט והיא ספק יבמה לשוק... וכתב דאפשר גם בלא ניסת מקרי הוראה להיתר כיון דבשעת נתינת הגט היה ניתן כדין בחזקת שהוא קיים ויש כאן חזקה טובה להיתר... ואפשר לחלק ולומר דדוקא בהתירוה דלא תצא מהתירה. או דיש לחלק ולומר באם הידיעה הזאת שמת היה אחר ג' חדשים דהבחנה הותרה ממילא להנשא והוי חזקה להתירא משא"כ תוך ג"ח. ואפשר דעכ"פ הותרה ממילא מיד שתנשא אחר ג"ח וזכתה בעצמה... והביא שם גם כן המשנה דס"פ מי שאחזו (הוא הדין דלקמן סי' קמ"ד ס"ה הנ"ל) ודברי הר"ן שם וכתב דאין ראיה משם די"ל דשם מיירי שעדיין לא התירוה כלום ולא זכתה בעצמה להנשא ע"פ גט זה אך דמיד בשעת נתינת הגט נשמע שמת, דכן משמע לישנא דמתני' שם כתבו ונתנו לה ומת, ומשמע שמיד נשמע שמת... אבל היכא שבשעת נתינת הגט היה כדין י"ל דזכתה בעצמה להנשא בגט זה והוי זמן להיתר וסיים דעדיין צ"ע בזה, וע' בהגה שם. וע' בתשובת חמדת שלמה (סי' עו).</w:t>
      </w:r>
    </w:p>
    <w:p w14:paraId="42B4F2A6" w14:textId="77777777" w:rsidR="00FA2119" w:rsidRDefault="00FA2119" w:rsidP="00FA2119">
      <w:pPr>
        <w:rPr>
          <w:rtl/>
        </w:rPr>
      </w:pPr>
    </w:p>
    <w:p w14:paraId="32CD9B14" w14:textId="77777777" w:rsidR="00FA2119" w:rsidRDefault="00FA2119" w:rsidP="00FA2119">
      <w:pPr>
        <w:pStyle w:val="2"/>
        <w:rPr>
          <w:rtl/>
        </w:rPr>
      </w:pPr>
      <w:r>
        <w:rPr>
          <w:rtl/>
        </w:rPr>
        <w:t>סעיף סט: גט שעדיין ביד השליח, ויש ספק אם הבעל עדיין חי.</w:t>
      </w:r>
    </w:p>
    <w:p w14:paraId="14C320C4" w14:textId="77AB1266" w:rsidR="00FA2119" w:rsidRDefault="00FA2119" w:rsidP="00FA2119">
      <w:pPr>
        <w:rPr>
          <w:rFonts w:cs="Arial"/>
          <w:sz w:val="16"/>
          <w:szCs w:val="16"/>
          <w:rtl/>
        </w:rPr>
      </w:pPr>
      <w:r>
        <w:rPr>
          <w:rFonts w:cs="Arial"/>
          <w:b/>
          <w:bCs/>
          <w:rtl/>
        </w:rPr>
        <w:t xml:space="preserve">גיטין </w:t>
      </w:r>
      <w:r>
        <w:rPr>
          <w:rFonts w:cs="Arial"/>
          <w:b/>
          <w:bCs/>
          <w:sz w:val="16"/>
          <w:szCs w:val="16"/>
          <w:rtl/>
        </w:rPr>
        <w:t>(פ' כל הגט)</w:t>
      </w:r>
      <w:r>
        <w:rPr>
          <w:rFonts w:cs="Arial"/>
          <w:b/>
          <w:bCs/>
          <w:rtl/>
        </w:rPr>
        <w:t xml:space="preserve"> כח ע"ב:</w:t>
      </w:r>
      <w:r>
        <w:rPr>
          <w:rFonts w:cs="Arial"/>
          <w:rtl/>
        </w:rPr>
        <w:t xml:space="preserve"> </w:t>
      </w:r>
      <w:r>
        <w:rPr>
          <w:rFonts w:cs="Arial"/>
          <w:u w:val="double"/>
          <w:rtl/>
        </w:rPr>
        <w:t>מתני'</w:t>
      </w:r>
      <w:r>
        <w:rPr>
          <w:rFonts w:cs="Arial"/>
          <w:rtl/>
        </w:rPr>
        <w:t xml:space="preserve">: </w:t>
      </w:r>
      <w:r>
        <w:rPr>
          <w:rFonts w:cs="Arial"/>
          <w:u w:val="single"/>
          <w:rtl/>
        </w:rPr>
        <w:t>שלשה דברים אמר רבי אלעזר בן פרטא</w:t>
      </w:r>
      <w:r>
        <w:rPr>
          <w:rFonts w:cs="Arial"/>
          <w:rtl/>
        </w:rPr>
        <w:t xml:space="preserve"> לפני חכמים וקיימו את דבריו: על עיר שהקיפה כרקום, ועל הספינה המוטרפת בים, ועל היוצא לידון </w:t>
      </w:r>
      <w:r w:rsidR="00A82951">
        <w:rPr>
          <w:rFonts w:cs="Arial"/>
          <w:rtl/>
        </w:rPr>
        <w:t>-</w:t>
      </w:r>
      <w:r>
        <w:rPr>
          <w:rFonts w:cs="Arial"/>
          <w:rtl/>
        </w:rPr>
        <w:t xml:space="preserve"> שהן בחזקת קיימין. אבל עיר שכבשה כרקום, וספינה שאבדה בים, והיוצא ליהרג </w:t>
      </w:r>
      <w:r w:rsidR="00A82951">
        <w:rPr>
          <w:rFonts w:cs="Arial"/>
          <w:rtl/>
        </w:rPr>
        <w:t>-</w:t>
      </w:r>
      <w:r>
        <w:rPr>
          <w:rFonts w:cs="Arial"/>
          <w:rtl/>
        </w:rPr>
        <w:t xml:space="preserve"> נותנין עליהן חומרי חיים וחומרי מתים.  </w:t>
      </w:r>
    </w:p>
    <w:p w14:paraId="1CCCB228" w14:textId="5132E643" w:rsidR="00FA2119" w:rsidRDefault="00FA2119" w:rsidP="00FA2119">
      <w:pPr>
        <w:rPr>
          <w:rFonts w:cs="Arial"/>
          <w:rtl/>
        </w:rPr>
      </w:pPr>
      <w:r>
        <w:rPr>
          <w:rFonts w:cs="Arial"/>
          <w:b/>
          <w:bCs/>
          <w:rtl/>
        </w:rPr>
        <w:t>ירושלמי גיטין פ"ג ה"ד:</w:t>
      </w:r>
      <w:r>
        <w:rPr>
          <w:rFonts w:cs="Arial"/>
          <w:rtl/>
        </w:rPr>
        <w:t xml:space="preserve"> </w:t>
      </w:r>
      <w:r>
        <w:rPr>
          <w:rFonts w:cs="Arial"/>
          <w:u w:val="double"/>
          <w:rtl/>
        </w:rPr>
        <w:t>מתני'</w:t>
      </w:r>
      <w:r>
        <w:rPr>
          <w:rFonts w:cs="Arial"/>
          <w:rtl/>
        </w:rPr>
        <w:t xml:space="preserve">: </w:t>
      </w:r>
      <w:r>
        <w:rPr>
          <w:rFonts w:cs="Arial"/>
          <w:u w:val="single"/>
          <w:rtl/>
        </w:rPr>
        <w:t>שלשה דברים אמר רבי אלעזר בן פרטא</w:t>
      </w:r>
      <w:r>
        <w:rPr>
          <w:rFonts w:cs="Arial"/>
          <w:rtl/>
        </w:rPr>
        <w:t xml:space="preserve"> לפני חכמים וקיימו את דבריו: על עיר שהקיפוה כרקום, ועל ספינה המוטרפת בים, ועל היוצא לידון </w:t>
      </w:r>
      <w:r w:rsidR="00A82951">
        <w:rPr>
          <w:rFonts w:cs="Arial"/>
          <w:rtl/>
        </w:rPr>
        <w:t>-</w:t>
      </w:r>
      <w:r>
        <w:rPr>
          <w:rFonts w:cs="Arial"/>
          <w:rtl/>
        </w:rPr>
        <w:t xml:space="preserve"> שהן בחזקת קיימין. אבל עיר שכבשה כרקום, וספינה שאבדה בים, והיוצא ליהרג </w:t>
      </w:r>
      <w:r w:rsidR="00A82951">
        <w:rPr>
          <w:rFonts w:cs="Arial"/>
          <w:rtl/>
        </w:rPr>
        <w:t>-</w:t>
      </w:r>
      <w:r>
        <w:rPr>
          <w:rFonts w:cs="Arial"/>
          <w:rtl/>
        </w:rPr>
        <w:t xml:space="preserve"> נותנין עליו חומרי חיים וחומרי מתים,</w:t>
      </w:r>
      <w:r>
        <w:rPr>
          <w:rtl/>
        </w:rPr>
        <w:t xml:space="preserve"> </w:t>
      </w:r>
      <w:r>
        <w:rPr>
          <w:rFonts w:cs="Arial"/>
          <w:rtl/>
        </w:rPr>
        <w:t xml:space="preserve">בת כהן לישראל ובת ישראל לכהן לא תאכל בתרומה.     </w:t>
      </w:r>
      <w:r>
        <w:rPr>
          <w:rFonts w:cs="Arial"/>
          <w:u w:val="double"/>
          <w:rtl/>
        </w:rPr>
        <w:t>גמ'</w:t>
      </w:r>
      <w:r>
        <w:rPr>
          <w:rFonts w:cs="Arial"/>
          <w:rtl/>
        </w:rPr>
        <w:t xml:space="preserve">: איזהו כרקום? </w:t>
      </w:r>
      <w:r>
        <w:rPr>
          <w:rFonts w:cs="Arial"/>
          <w:u w:val="single"/>
          <w:rtl/>
        </w:rPr>
        <w:t>ר' בא בשם ר' חייא בר אשי</w:t>
      </w:r>
      <w:r>
        <w:rPr>
          <w:rFonts w:cs="Arial"/>
          <w:rtl/>
        </w:rPr>
        <w:t>: כגון זוגין ושלשליות וכלבים ואווזין ותרנגולים</w:t>
      </w:r>
      <w:r>
        <w:rPr>
          <w:rStyle w:val="a7"/>
          <w:rFonts w:cs="Arial"/>
          <w:rtl/>
        </w:rPr>
        <w:footnoteReference w:id="2203"/>
      </w:r>
      <w:r>
        <w:rPr>
          <w:rFonts w:cs="Arial"/>
          <w:rtl/>
        </w:rPr>
        <w:t xml:space="preserve"> ואיסטרטיות</w:t>
      </w:r>
      <w:r>
        <w:rPr>
          <w:rStyle w:val="a7"/>
          <w:rFonts w:cs="Arial"/>
          <w:rtl/>
        </w:rPr>
        <w:footnoteReference w:id="2204"/>
      </w:r>
      <w:r>
        <w:rPr>
          <w:rFonts w:cs="Arial"/>
          <w:rtl/>
        </w:rPr>
        <w:t xml:space="preserve"> המקיפין את העיר. </w:t>
      </w:r>
      <w:r>
        <w:rPr>
          <w:rFonts w:cs="Arial"/>
          <w:u w:val="single"/>
          <w:rtl/>
        </w:rPr>
        <w:t>וא"ר בא בשם ר' חייה בר אשי</w:t>
      </w:r>
      <w:r>
        <w:rPr>
          <w:rFonts w:cs="Arial"/>
          <w:rtl/>
        </w:rPr>
        <w:t>: מעשה היה וברח משם סומא אחת</w:t>
      </w:r>
      <w:r>
        <w:rPr>
          <w:rStyle w:val="a7"/>
          <w:rFonts w:cs="Arial"/>
          <w:rtl/>
        </w:rPr>
        <w:footnoteReference w:id="2205"/>
      </w:r>
      <w:r>
        <w:rPr>
          <w:rFonts w:cs="Arial"/>
          <w:rtl/>
        </w:rPr>
        <w:t xml:space="preserve">. היתה שם </w:t>
      </w:r>
      <w:r>
        <w:rPr>
          <w:rFonts w:cs="Arial"/>
          <w:rtl/>
        </w:rPr>
        <w:lastRenderedPageBreak/>
        <w:t>פירצה אחת</w:t>
      </w:r>
      <w:r>
        <w:rPr>
          <w:rStyle w:val="a7"/>
          <w:rFonts w:cs="Arial"/>
          <w:rtl/>
        </w:rPr>
        <w:footnoteReference w:id="2206"/>
      </w:r>
      <w:r>
        <w:rPr>
          <w:rFonts w:cs="Arial"/>
          <w:rtl/>
        </w:rPr>
        <w:t xml:space="preserve"> </w:t>
      </w:r>
      <w:r w:rsidR="00A82951">
        <w:rPr>
          <w:rFonts w:cs="Arial"/>
          <w:rtl/>
        </w:rPr>
        <w:t>-</w:t>
      </w:r>
      <w:r>
        <w:rPr>
          <w:rFonts w:cs="Arial"/>
          <w:rtl/>
        </w:rPr>
        <w:t xml:space="preserve"> מצלת את הכל. היה שם</w:t>
      </w:r>
      <w:r>
        <w:rPr>
          <w:rStyle w:val="a7"/>
          <w:rFonts w:cs="Arial"/>
          <w:rtl/>
        </w:rPr>
        <w:footnoteReference w:id="2207"/>
      </w:r>
      <w:r>
        <w:rPr>
          <w:rFonts w:cs="Arial"/>
          <w:rtl/>
        </w:rPr>
        <w:t xml:space="preserve"> מחבוייה, צריכה. </w:t>
      </w:r>
      <w:r>
        <w:rPr>
          <w:rFonts w:cs="Arial"/>
          <w:u w:val="single"/>
          <w:rtl/>
        </w:rPr>
        <w:t>ר"ז רבא בר זבדי ר"י בר חקולאי בשם ר' יודן נשייא</w:t>
      </w:r>
      <w:r>
        <w:rPr>
          <w:rFonts w:cs="Arial"/>
          <w:rtl/>
        </w:rPr>
        <w:t>: ובלבד כרקום של אותה מלכות</w:t>
      </w:r>
      <w:r>
        <w:rPr>
          <w:rStyle w:val="a7"/>
          <w:rFonts w:cs="Arial"/>
          <w:rtl/>
        </w:rPr>
        <w:footnoteReference w:id="2208"/>
      </w:r>
      <w:r>
        <w:rPr>
          <w:rFonts w:cs="Arial"/>
          <w:rtl/>
        </w:rPr>
        <w:t xml:space="preserve">, אבל כרקום של מלכות אחרת כליסטים הן. ועוד ג' הוסיפו עליהן את שגררתו חיה, ואת ששטפו נהר, ואת שנפלה עליו מפולת </w:t>
      </w:r>
      <w:r w:rsidR="00A82951">
        <w:rPr>
          <w:rFonts w:cs="Arial"/>
          <w:rtl/>
        </w:rPr>
        <w:t>-</w:t>
      </w:r>
      <w:r>
        <w:rPr>
          <w:rFonts w:cs="Arial"/>
          <w:rtl/>
        </w:rPr>
        <w:t xml:space="preserve"> ונותנין עליהם חומרי חיים וחומרי מתים,</w:t>
      </w:r>
      <w:r>
        <w:rPr>
          <w:rtl/>
        </w:rPr>
        <w:t xml:space="preserve"> </w:t>
      </w:r>
      <w:r>
        <w:rPr>
          <w:rFonts w:cs="Arial"/>
          <w:rtl/>
        </w:rPr>
        <w:t xml:space="preserve">בת ישראל לכהן ובת כהן לישראל לא תאכל בתרומה. </w:t>
      </w:r>
      <w:r>
        <w:rPr>
          <w:rFonts w:cs="Arial"/>
          <w:sz w:val="16"/>
          <w:szCs w:val="16"/>
          <w:rtl/>
        </w:rPr>
        <w:t>(ומה שחילק רבינו בין כרקום של אותה מלכות לשל מלכות אחרת הוא מהירושלמי (שם ה"ד), וכתבו הרשב"א</w:t>
      </w:r>
      <w:r>
        <w:rPr>
          <w:rStyle w:val="a7"/>
          <w:rFonts w:cs="Arial"/>
          <w:sz w:val="16"/>
          <w:szCs w:val="16"/>
          <w:rtl/>
        </w:rPr>
        <w:footnoteReference w:id="2209"/>
      </w:r>
      <w:r>
        <w:rPr>
          <w:rFonts w:cs="Arial"/>
          <w:sz w:val="16"/>
          <w:szCs w:val="16"/>
          <w:rtl/>
        </w:rPr>
        <w:t xml:space="preserve"> (ד"ה עיר) והרא"ש (סי' ה) אמתניתין ובלבד כרקום של אותה מלכות, אבל של מלכות אחרת כליסטים הם. ונראה לי דהכי פירושו, דבכרקום של אותה מלכות כל זמן שלא נכבשה </w:t>
      </w:r>
      <w:r w:rsidR="00A82951">
        <w:rPr>
          <w:rFonts w:cs="Arial"/>
          <w:sz w:val="16"/>
          <w:szCs w:val="16"/>
          <w:rtl/>
        </w:rPr>
        <w:t>-</w:t>
      </w:r>
      <w:r>
        <w:rPr>
          <w:rFonts w:cs="Arial"/>
          <w:sz w:val="16"/>
          <w:szCs w:val="16"/>
          <w:rtl/>
        </w:rPr>
        <w:t xml:space="preserve"> יושביה בחזקת קיימים, דאין לחוש שמא עשו תחבולות כדי להשחית העיר ויושביה כגון להפיל עליהם פתאום החומה וכיוצא בעניינים אלו, לפי שהם חסים על העיר שהיא שלהם. אבל כשהכרקום של מלכות אחרת הרי הם כליסטים שאינם באים אלא לבוז בז ולהחריב העיר וחומותיה, דכיון שאינה שלהם אינם חסים על חומותיה, ומשום הכי חיישינן שמא יפילו החומה פתאום על יושבי העיר, לפיכך אע"פ שלא נכבשה נותנין עליהם חומרי מתים. ותמיהני על הרי"ף והרמב"ם שלא הזכירו הירושלמי הזה, </w:t>
      </w:r>
      <w:r>
        <w:rPr>
          <w:rFonts w:cs="Arial"/>
          <w:b/>
          <w:bCs/>
          <w:sz w:val="16"/>
          <w:szCs w:val="16"/>
          <w:rtl/>
        </w:rPr>
        <w:t>ב"י</w:t>
      </w:r>
      <w:r>
        <w:rPr>
          <w:rFonts w:cs="Arial"/>
          <w:sz w:val="16"/>
          <w:szCs w:val="16"/>
          <w:rtl/>
        </w:rPr>
        <w:t xml:space="preserve">. </w:t>
      </w:r>
      <w:r w:rsidR="005A5028">
        <w:rPr>
          <w:rFonts w:cs="Arial" w:hint="cs"/>
          <w:sz w:val="16"/>
          <w:szCs w:val="16"/>
          <w:rtl/>
        </w:rPr>
        <w:t xml:space="preserve">     </w:t>
      </w:r>
      <w:r>
        <w:rPr>
          <w:rFonts w:cs="Arial"/>
          <w:sz w:val="16"/>
          <w:szCs w:val="16"/>
          <w:rtl/>
        </w:rPr>
        <w:t xml:space="preserve">אך </w:t>
      </w:r>
      <w:r>
        <w:rPr>
          <w:rFonts w:cs="Arial"/>
          <w:b/>
          <w:bCs/>
          <w:sz w:val="16"/>
          <w:szCs w:val="16"/>
          <w:rtl/>
        </w:rPr>
        <w:t>שיירי הקרבן</w:t>
      </w:r>
      <w:r>
        <w:rPr>
          <w:rFonts w:cs="Arial"/>
          <w:sz w:val="16"/>
          <w:szCs w:val="16"/>
          <w:rtl/>
        </w:rPr>
        <w:t xml:space="preserve"> (ירושלמי שם) תמה על פירוש הב"י, </w:t>
      </w:r>
      <w:r w:rsidR="000A0F5A">
        <w:rPr>
          <w:rFonts w:cs="Arial"/>
          <w:sz w:val="16"/>
          <w:szCs w:val="16"/>
          <w:rtl/>
        </w:rPr>
        <w:t>וז"ל:</w:t>
      </w:r>
      <w:r>
        <w:rPr>
          <w:rFonts w:cs="Arial"/>
          <w:sz w:val="16"/>
          <w:szCs w:val="16"/>
          <w:rtl/>
        </w:rPr>
        <w:t xml:space="preserve"> ותימא פירושו, הרי מפורש תנן במתני' אבל עיר שכבשוה כרקום נותנין עליה חומרי מתים, והיינו בכרקום של אותה מלכות, ש"מ דאף בחיל של אותה מלכות חיישינן שמא הרגו יושביה, א"כ אף בהקיפוה נמי ניחוש שמא כבר כבשוה. אלא דאמרי דידעינן בודאי שעדין לא כבשוה, א"כ מלכות אחרת נמי נוקמא בכה"ג דידעינן בודאי שעדיין לא הפילו החומה או כיוצא בו, ומאי פסקא דידעינן הא ולא ידעינן הא. גם פירושו דחוק מאי כלסטים דקאמר הש"ס. וביותר אני תמה על תמיהתו, דלענ"ד יפה עשו הרי"ף והרמב"ם שלא הזכירו, דכולא הך שמעתתא לא קאי אמתני' דהכא אלא אמתני' דכתובות פ"ב וכמ"ש בקונט', ואגב גררא דאיזהו כרקום מייתי לי' הכא כדרך הירושלמי. ותדע דאי קאי אמתני' דהכא ה"ל לסדר דברי רבי זעירא קודם דברי רבי בא, וזה ברור. ועל הרשב"א והרא"ש יש לתמוה דמייתי לירושלמי אמתני' דהכא, דלא שייך הכא מידי וכמ"ש. ועוד הא גם בבבלי בכתובות פ"ב איתא להך תירוצא ודחאוהו הרא"ש והרשב"א מהלכה, איך קבעו כאן להלכה וצ"ע. עכ"ל.)</w:t>
      </w:r>
    </w:p>
    <w:p w14:paraId="73DB6FC9" w14:textId="59174D5D" w:rsidR="00FA2119" w:rsidRDefault="00FA2119" w:rsidP="00FA2119">
      <w:pPr>
        <w:rPr>
          <w:u w:val="single"/>
          <w:rtl/>
        </w:rPr>
      </w:pPr>
      <w:r>
        <w:rPr>
          <w:u w:val="single"/>
          <w:rtl/>
        </w:rPr>
        <w:t xml:space="preserve">גט שעדיין ביד השליח, והבעל נמצא </w:t>
      </w:r>
      <w:r>
        <w:rPr>
          <w:b/>
          <w:bCs/>
          <w:u w:val="single"/>
          <w:rtl/>
        </w:rPr>
        <w:t>במקום</w:t>
      </w:r>
      <w:r>
        <w:rPr>
          <w:u w:val="single"/>
          <w:rtl/>
        </w:rPr>
        <w:t xml:space="preserve"> </w:t>
      </w:r>
      <w:r>
        <w:rPr>
          <w:b/>
          <w:bCs/>
          <w:u w:val="single"/>
          <w:rtl/>
        </w:rPr>
        <w:t>סכנה</w:t>
      </w:r>
      <w:r>
        <w:rPr>
          <w:u w:val="single"/>
          <w:rtl/>
        </w:rPr>
        <w:t xml:space="preserve"> </w:t>
      </w:r>
      <w:r w:rsidR="00A82951">
        <w:rPr>
          <w:u w:val="single"/>
          <w:rtl/>
        </w:rPr>
        <w:t>-</w:t>
      </w:r>
      <w:r>
        <w:rPr>
          <w:u w:val="single"/>
          <w:rtl/>
        </w:rPr>
        <w:t xml:space="preserve"> האם השליח יכול ליתנו לאשה:</w:t>
      </w:r>
    </w:p>
    <w:p w14:paraId="445C6842" w14:textId="32879D98" w:rsidR="00FA2119" w:rsidRDefault="00FA2119" w:rsidP="006A458D">
      <w:pPr>
        <w:pStyle w:val="ab"/>
        <w:numPr>
          <w:ilvl w:val="0"/>
          <w:numId w:val="102"/>
        </w:numPr>
        <w:rPr>
          <w:rtl/>
        </w:rPr>
      </w:pPr>
      <w:r>
        <w:rPr>
          <w:rFonts w:cs="Arial"/>
          <w:rtl/>
        </w:rPr>
        <w:t xml:space="preserve">רמב"ם </w:t>
      </w:r>
      <w:r>
        <w:rPr>
          <w:rFonts w:cs="Arial"/>
          <w:sz w:val="16"/>
          <w:szCs w:val="16"/>
          <w:rtl/>
        </w:rPr>
        <w:t>(פ"ו הכ"ח)</w:t>
      </w:r>
      <w:r w:rsidR="00A82951">
        <w:rPr>
          <w:rFonts w:cs="Arial"/>
          <w:rtl/>
        </w:rPr>
        <w:t>-</w:t>
      </w:r>
      <w:r>
        <w:rPr>
          <w:rFonts w:cs="Arial"/>
          <w:rtl/>
        </w:rPr>
        <w:t xml:space="preserve"> וכן עיר שהקיפה החיל והיא במצור, וספינה המטרפת בים, והיוצא לידון </w:t>
      </w:r>
      <w:r w:rsidR="00A82951">
        <w:rPr>
          <w:rFonts w:cs="Arial"/>
          <w:rtl/>
        </w:rPr>
        <w:t>-</w:t>
      </w:r>
      <w:r>
        <w:rPr>
          <w:rFonts w:cs="Arial"/>
          <w:rtl/>
        </w:rPr>
        <w:t xml:space="preserve"> הרי אלו בחזקת חיים. ואם היה גט אחד מהן ביד השליח </w:t>
      </w:r>
      <w:r w:rsidR="00A82951">
        <w:rPr>
          <w:rFonts w:cs="Arial"/>
          <w:rtl/>
        </w:rPr>
        <w:t>-</w:t>
      </w:r>
      <w:r>
        <w:rPr>
          <w:rFonts w:cs="Arial"/>
          <w:rtl/>
        </w:rPr>
        <w:t xml:space="preserve"> נותנו לאשתו ותהיה בחזקת מגורשת. </w:t>
      </w:r>
    </w:p>
    <w:p w14:paraId="281877BB" w14:textId="0EBB239B" w:rsidR="00FA2119" w:rsidRDefault="00FA2119" w:rsidP="006A458D">
      <w:pPr>
        <w:pStyle w:val="ab"/>
        <w:numPr>
          <w:ilvl w:val="0"/>
          <w:numId w:val="102"/>
        </w:numPr>
      </w:pPr>
      <w:r>
        <w:rPr>
          <w:rFonts w:cs="Arial"/>
          <w:rtl/>
        </w:rPr>
        <w:t>טור</w:t>
      </w:r>
      <w:r w:rsidR="00A82951">
        <w:rPr>
          <w:rFonts w:cs="Arial"/>
          <w:rtl/>
        </w:rPr>
        <w:t>-</w:t>
      </w:r>
      <w:r>
        <w:rPr>
          <w:rFonts w:cs="Arial"/>
          <w:rtl/>
        </w:rPr>
        <w:t xml:space="preserve"> וכן עיר שהקיפוה חיל מאותו מלכות והיו במצור, וספינה המטורפת בים, והיוצא לידון בדיני נפשות </w:t>
      </w:r>
      <w:r w:rsidR="00A82951">
        <w:rPr>
          <w:rFonts w:cs="Arial"/>
          <w:rtl/>
        </w:rPr>
        <w:t>-</w:t>
      </w:r>
      <w:r>
        <w:rPr>
          <w:rFonts w:cs="Arial"/>
          <w:rtl/>
        </w:rPr>
        <w:t xml:space="preserve"> הם בחזקת חיים. ואם גט של אחד מאלו ביד השליח </w:t>
      </w:r>
      <w:r w:rsidR="00A82951">
        <w:rPr>
          <w:rFonts w:cs="Arial"/>
          <w:rtl/>
        </w:rPr>
        <w:t>-</w:t>
      </w:r>
      <w:r>
        <w:rPr>
          <w:rFonts w:cs="Arial"/>
          <w:rtl/>
        </w:rPr>
        <w:t xml:space="preserve"> יתנהו לאשתו והיא בחזקת מגורשת.</w:t>
      </w:r>
      <w:r>
        <w:rPr>
          <w:rtl/>
        </w:rPr>
        <w:t xml:space="preserve"> </w:t>
      </w:r>
      <w:r>
        <w:rPr>
          <w:color w:val="E36C0A" w:themeColor="accent6" w:themeShade="BF"/>
          <w:rtl/>
        </w:rPr>
        <w:t>(וכ"פ בשו"ע)</w:t>
      </w:r>
    </w:p>
    <w:p w14:paraId="4DB60CE9" w14:textId="77777777" w:rsidR="00FA2119" w:rsidRDefault="00FA2119" w:rsidP="00FA2119">
      <w:pPr>
        <w:ind w:left="360"/>
        <w:rPr>
          <w:u w:val="dotted"/>
        </w:rPr>
      </w:pPr>
      <w:r>
        <w:rPr>
          <w:u w:val="dotted"/>
          <w:rtl/>
        </w:rPr>
        <w:t xml:space="preserve">ומה הדין אם הבעל כבר נמצא </w:t>
      </w:r>
      <w:r>
        <w:rPr>
          <w:b/>
          <w:bCs/>
          <w:u w:val="dotted"/>
          <w:rtl/>
        </w:rPr>
        <w:t>בכלל סכנה</w:t>
      </w:r>
      <w:r>
        <w:rPr>
          <w:u w:val="dotted"/>
          <w:rtl/>
        </w:rPr>
        <w:t>:</w:t>
      </w:r>
    </w:p>
    <w:p w14:paraId="5C1A2787" w14:textId="53174670" w:rsidR="00FA2119" w:rsidRDefault="00FA2119" w:rsidP="006A458D">
      <w:pPr>
        <w:pStyle w:val="ab"/>
        <w:numPr>
          <w:ilvl w:val="0"/>
          <w:numId w:val="102"/>
        </w:numPr>
      </w:pPr>
      <w:r>
        <w:rPr>
          <w:rFonts w:cs="Arial"/>
          <w:rtl/>
        </w:rPr>
        <w:t xml:space="preserve">רמב"ם </w:t>
      </w:r>
      <w:r>
        <w:rPr>
          <w:rFonts w:cs="Arial"/>
          <w:sz w:val="16"/>
          <w:szCs w:val="16"/>
          <w:rtl/>
        </w:rPr>
        <w:t>(פ"ו הכ"ט)</w:t>
      </w:r>
      <w:r w:rsidR="00A82951">
        <w:rPr>
          <w:rFonts w:cs="Arial"/>
          <w:rtl/>
        </w:rPr>
        <w:t>-</w:t>
      </w:r>
      <w:r>
        <w:rPr>
          <w:rFonts w:cs="Arial"/>
          <w:rtl/>
        </w:rPr>
        <w:t xml:space="preserve"> אבל עיר שכבשה הגייס והובקעה, וספינה שאבדה בים... ומי שגררתו חיה, או שטפו נהר, או נפלה עליו מפולת </w:t>
      </w:r>
      <w:r w:rsidR="00A82951">
        <w:rPr>
          <w:rFonts w:cs="Arial"/>
          <w:rtl/>
        </w:rPr>
        <w:t>-</w:t>
      </w:r>
      <w:r>
        <w:rPr>
          <w:rFonts w:cs="Arial"/>
          <w:rtl/>
        </w:rPr>
        <w:t xml:space="preserve"> נותנין עליהן חומרי חיים וחומרי מתים, ואם היה גט אחד מהן ביד השליח אינו נותנו לאשתו. ואם נתנו לה </w:t>
      </w:r>
      <w:r w:rsidR="00A82951">
        <w:rPr>
          <w:rFonts w:cs="Arial"/>
          <w:rtl/>
        </w:rPr>
        <w:t>-</w:t>
      </w:r>
      <w:r>
        <w:rPr>
          <w:rFonts w:cs="Arial"/>
          <w:rtl/>
        </w:rPr>
        <w:t xml:space="preserve"> הרי זו ספק מגורשת. ואם נודע שמת הבעל קודם שיגיע הגט לידה </w:t>
      </w:r>
      <w:r w:rsidR="00A82951">
        <w:rPr>
          <w:rFonts w:cs="Arial"/>
          <w:rtl/>
        </w:rPr>
        <w:t>-</w:t>
      </w:r>
      <w:r>
        <w:rPr>
          <w:rFonts w:cs="Arial"/>
          <w:rtl/>
        </w:rPr>
        <w:t xml:space="preserve"> אינו גט.</w:t>
      </w:r>
    </w:p>
    <w:p w14:paraId="726B3A8F" w14:textId="770D6F7C" w:rsidR="00FA2119" w:rsidRDefault="00FA2119" w:rsidP="006A458D">
      <w:pPr>
        <w:pStyle w:val="ab"/>
        <w:numPr>
          <w:ilvl w:val="0"/>
          <w:numId w:val="102"/>
        </w:numPr>
      </w:pPr>
      <w:r>
        <w:rPr>
          <w:rFonts w:cs="Arial"/>
          <w:rtl/>
        </w:rPr>
        <w:t>טור</w:t>
      </w:r>
      <w:r w:rsidR="00A82951">
        <w:rPr>
          <w:rFonts w:cs="Arial"/>
          <w:rtl/>
        </w:rPr>
        <w:t>-</w:t>
      </w:r>
      <w:r>
        <w:rPr>
          <w:rFonts w:cs="Arial"/>
          <w:rtl/>
        </w:rPr>
        <w:t xml:space="preserve"> אבל עיר שכבשוה כבר, או עיר שהקיפוה חיל ממלכות אחרת, וספינה שטבעה, ומי שגררתו חיה, או מי ששטפו נהר</w:t>
      </w:r>
      <w:r>
        <w:rPr>
          <w:rStyle w:val="a7"/>
          <w:rFonts w:cs="Arial"/>
          <w:rtl/>
        </w:rPr>
        <w:footnoteReference w:id="2210"/>
      </w:r>
      <w:r>
        <w:rPr>
          <w:rFonts w:cs="Arial"/>
          <w:rtl/>
        </w:rPr>
        <w:t xml:space="preserve">... </w:t>
      </w:r>
      <w:r w:rsidR="00A82951">
        <w:rPr>
          <w:rFonts w:cs="Arial"/>
          <w:rtl/>
        </w:rPr>
        <w:t>-</w:t>
      </w:r>
      <w:r>
        <w:rPr>
          <w:rFonts w:cs="Arial"/>
          <w:rtl/>
        </w:rPr>
        <w:t xml:space="preserve"> הם ספק חיים, ואם גט של אחד מאלו ביד השליח לא יתנהו לאשתו. ואם נתנו </w:t>
      </w:r>
      <w:r w:rsidR="00A82951">
        <w:rPr>
          <w:rFonts w:cs="Arial"/>
          <w:rtl/>
        </w:rPr>
        <w:t>-</w:t>
      </w:r>
      <w:r>
        <w:rPr>
          <w:rFonts w:cs="Arial"/>
          <w:rtl/>
        </w:rPr>
        <w:t xml:space="preserve"> הוי ספק מגורשת. </w:t>
      </w:r>
      <w:r>
        <w:rPr>
          <w:color w:val="E36C0A" w:themeColor="accent6" w:themeShade="BF"/>
          <w:rtl/>
        </w:rPr>
        <w:t>(וכ"פ בשו"ע)</w:t>
      </w:r>
    </w:p>
    <w:p w14:paraId="16B27BF5" w14:textId="3CF90091" w:rsidR="00FA2119" w:rsidRDefault="00FA2119" w:rsidP="00FA2119">
      <w:pPr>
        <w:rPr>
          <w:rFonts w:cs="Arial"/>
        </w:rPr>
      </w:pPr>
      <w:r>
        <w:rPr>
          <w:rFonts w:cs="Arial"/>
          <w:b/>
          <w:bCs/>
          <w:rtl/>
        </w:rPr>
        <w:t xml:space="preserve">גיטין </w:t>
      </w:r>
      <w:r>
        <w:rPr>
          <w:rFonts w:cs="Arial"/>
          <w:b/>
          <w:bCs/>
          <w:sz w:val="16"/>
          <w:szCs w:val="16"/>
          <w:rtl/>
        </w:rPr>
        <w:t>(פ' כל הגט)</w:t>
      </w:r>
      <w:r>
        <w:rPr>
          <w:rFonts w:cs="Arial"/>
          <w:b/>
          <w:bCs/>
          <w:rtl/>
        </w:rPr>
        <w:t xml:space="preserve"> כח ע"ב:</w:t>
      </w:r>
      <w:r>
        <w:rPr>
          <w:rFonts w:cs="Arial"/>
          <w:rtl/>
        </w:rPr>
        <w:t xml:space="preserve"> </w:t>
      </w:r>
      <w:r>
        <w:rPr>
          <w:rFonts w:cs="Arial"/>
          <w:u w:val="single"/>
          <w:rtl/>
        </w:rPr>
        <w:t>אמר רב יוסף</w:t>
      </w:r>
      <w:r>
        <w:rPr>
          <w:rFonts w:cs="Arial"/>
          <w:rtl/>
        </w:rPr>
        <w:t>: לא שנו</w:t>
      </w:r>
      <w:r>
        <w:rPr>
          <w:rStyle w:val="a7"/>
          <w:rFonts w:cs="Arial"/>
          <w:rtl/>
        </w:rPr>
        <w:footnoteReference w:id="2211"/>
      </w:r>
      <w:r>
        <w:rPr>
          <w:rFonts w:cs="Arial"/>
          <w:rtl/>
        </w:rPr>
        <w:t xml:space="preserve"> אלא בב"ד של ישראל</w:t>
      </w:r>
      <w:r>
        <w:rPr>
          <w:rStyle w:val="a7"/>
          <w:rFonts w:cs="Arial"/>
          <w:rtl/>
        </w:rPr>
        <w:footnoteReference w:id="2212"/>
      </w:r>
      <w:r>
        <w:rPr>
          <w:rFonts w:cs="Arial"/>
          <w:rtl/>
        </w:rPr>
        <w:t xml:space="preserve">, אבל בב"ד של עובדי כוכבים, כיון דגמיר ליה דינא לקטלא </w:t>
      </w:r>
      <w:r w:rsidR="00A82951">
        <w:rPr>
          <w:rFonts w:cs="Arial"/>
          <w:rtl/>
        </w:rPr>
        <w:t>-</w:t>
      </w:r>
      <w:r>
        <w:rPr>
          <w:rFonts w:cs="Arial"/>
          <w:rtl/>
        </w:rPr>
        <w:t xml:space="preserve"> מיקטל קטלי ליה. </w:t>
      </w:r>
      <w:r>
        <w:rPr>
          <w:rFonts w:cs="Arial"/>
          <w:u w:val="single"/>
          <w:rtl/>
        </w:rPr>
        <w:t>אמר ליה אביי</w:t>
      </w:r>
      <w:r>
        <w:rPr>
          <w:rFonts w:cs="Arial"/>
          <w:rtl/>
        </w:rPr>
        <w:t xml:space="preserve">: בית דין של עובדי כוכבים נמי, דמקבלי שוחדא! אמר ליה: כי שקלי </w:t>
      </w:r>
      <w:r w:rsidR="00A82951">
        <w:rPr>
          <w:rFonts w:cs="Arial"/>
          <w:rtl/>
        </w:rPr>
        <w:t>-</w:t>
      </w:r>
      <w:r>
        <w:rPr>
          <w:rFonts w:cs="Arial"/>
          <w:rtl/>
        </w:rPr>
        <w:t xml:space="preserve"> מקמי דלחתום פורסי שנמג</w:t>
      </w:r>
      <w:r>
        <w:rPr>
          <w:rStyle w:val="a7"/>
          <w:rFonts w:cs="Arial"/>
          <w:rtl/>
        </w:rPr>
        <w:footnoteReference w:id="2213"/>
      </w:r>
      <w:r>
        <w:rPr>
          <w:rFonts w:cs="Arial"/>
          <w:rtl/>
        </w:rPr>
        <w:t>, לבתר דמיחתם פורסי שנמג לא שקלי...</w:t>
      </w:r>
      <w:r>
        <w:rPr>
          <w:rtl/>
        </w:rPr>
        <w:t xml:space="preserve"> </w:t>
      </w:r>
      <w:r>
        <w:rPr>
          <w:rFonts w:cs="Arial"/>
          <w:rtl/>
        </w:rPr>
        <w:t xml:space="preserve">ת"ש: שמע מב"ד של ישראל שהיו אומרים איש פלוני מת איש פלוני נהרג </w:t>
      </w:r>
      <w:r w:rsidR="00A82951">
        <w:rPr>
          <w:rFonts w:cs="Arial"/>
          <w:rtl/>
        </w:rPr>
        <w:t>-</w:t>
      </w:r>
      <w:r>
        <w:rPr>
          <w:rFonts w:cs="Arial"/>
          <w:rtl/>
        </w:rPr>
        <w:t xml:space="preserve"> ישיאו את אשתו, מקומנטריסין של עובדי כוכבים איש פלוני מת איש פלוני נהרג </w:t>
      </w:r>
      <w:r w:rsidR="00A82951">
        <w:rPr>
          <w:rFonts w:cs="Arial"/>
          <w:rtl/>
        </w:rPr>
        <w:t>-</w:t>
      </w:r>
      <w:r>
        <w:rPr>
          <w:rFonts w:cs="Arial"/>
          <w:rtl/>
        </w:rPr>
        <w:t xml:space="preserve"> אל ישיאו את אשתו; מאי מת, ומאי נהרג? אילימא מת </w:t>
      </w:r>
      <w:r w:rsidR="00A82951">
        <w:rPr>
          <w:rFonts w:cs="Arial"/>
          <w:rtl/>
        </w:rPr>
        <w:t>-</w:t>
      </w:r>
      <w:r>
        <w:rPr>
          <w:rFonts w:cs="Arial"/>
          <w:rtl/>
        </w:rPr>
        <w:t xml:space="preserve"> מת ממש, ונהרג </w:t>
      </w:r>
      <w:r w:rsidR="00A82951">
        <w:rPr>
          <w:rFonts w:cs="Arial"/>
          <w:rtl/>
        </w:rPr>
        <w:t>-</w:t>
      </w:r>
      <w:r>
        <w:rPr>
          <w:rFonts w:cs="Arial"/>
          <w:rtl/>
        </w:rPr>
        <w:t xml:space="preserve"> נהרג ממש, דכוותיה גבי עובדי כוכבים אמאי אל ישיאו את אשתו? הא קיימא לן, דכל מסיח לפי תומו הימוני, מהימני ליה! אלא לאו מת </w:t>
      </w:r>
      <w:r w:rsidR="00A82951">
        <w:rPr>
          <w:rFonts w:cs="Arial"/>
          <w:rtl/>
        </w:rPr>
        <w:t>-</w:t>
      </w:r>
      <w:r>
        <w:rPr>
          <w:rFonts w:cs="Arial"/>
          <w:rtl/>
        </w:rPr>
        <w:t xml:space="preserve"> יוצא למות, נהרג </w:t>
      </w:r>
      <w:r w:rsidR="00A82951">
        <w:rPr>
          <w:rFonts w:cs="Arial"/>
          <w:rtl/>
        </w:rPr>
        <w:t>-</w:t>
      </w:r>
      <w:r>
        <w:rPr>
          <w:rFonts w:cs="Arial"/>
          <w:rtl/>
        </w:rPr>
        <w:t xml:space="preserve"> יוצא ליהרג, וקתני: בב"ד ישראל ישיאו את אשתו! לעולם מת ממש, ונהרג ממש, ודקאמרת: דכוותיה גבי עובדי כוכבים אמאי לא? והא קי"ל דכל מסיח לפי תומו הימוני מהימני! ה"מ במילתא דלא שייכי בה</w:t>
      </w:r>
      <w:r>
        <w:rPr>
          <w:rStyle w:val="a7"/>
          <w:rFonts w:cs="Arial"/>
          <w:rtl/>
        </w:rPr>
        <w:footnoteReference w:id="2214"/>
      </w:r>
      <w:r>
        <w:rPr>
          <w:rFonts w:cs="Arial"/>
          <w:rtl/>
        </w:rPr>
        <w:t>, אבל במילתא דשייכי בה</w:t>
      </w:r>
      <w:r>
        <w:rPr>
          <w:rStyle w:val="a7"/>
          <w:rFonts w:cs="Arial"/>
          <w:rtl/>
        </w:rPr>
        <w:footnoteReference w:id="2215"/>
      </w:r>
      <w:r>
        <w:rPr>
          <w:rFonts w:cs="Arial"/>
          <w:rtl/>
        </w:rPr>
        <w:t xml:space="preserve"> עבדי לאחזוקי שיקרייהו.</w:t>
      </w:r>
      <w:r>
        <w:rPr>
          <w:rtl/>
        </w:rPr>
        <w:t xml:space="preserve"> </w:t>
      </w:r>
      <w:r>
        <w:rPr>
          <w:rFonts w:cs="Arial"/>
          <w:u w:val="dotted"/>
          <w:rtl/>
        </w:rPr>
        <w:t>איכא דאמרי</w:t>
      </w:r>
      <w:r>
        <w:rPr>
          <w:rFonts w:cs="Arial"/>
          <w:rtl/>
        </w:rPr>
        <w:t xml:space="preserve">, </w:t>
      </w:r>
      <w:r>
        <w:rPr>
          <w:rFonts w:cs="Arial"/>
          <w:u w:val="single"/>
          <w:rtl/>
        </w:rPr>
        <w:t>א"ר יוסף</w:t>
      </w:r>
      <w:r>
        <w:rPr>
          <w:rFonts w:cs="Arial"/>
          <w:rtl/>
        </w:rPr>
        <w:t>: ל"ש אלא בב"ד של עובדי כוכבים,</w:t>
      </w:r>
      <w:r>
        <w:rPr>
          <w:rtl/>
        </w:rPr>
        <w:t xml:space="preserve"> </w:t>
      </w:r>
      <w:r>
        <w:rPr>
          <w:rFonts w:cs="Arial"/>
          <w:sz w:val="14"/>
          <w:szCs w:val="14"/>
          <w:rtl/>
        </w:rPr>
        <w:t xml:space="preserve">(כט.) </w:t>
      </w:r>
      <w:r>
        <w:rPr>
          <w:rFonts w:cs="Arial"/>
          <w:rtl/>
        </w:rPr>
        <w:t xml:space="preserve">אבל בב"ד של ישראל, כיון דנפק ליה דינא לקטלא </w:t>
      </w:r>
      <w:r w:rsidR="00A82951">
        <w:rPr>
          <w:rFonts w:cs="Arial"/>
          <w:rtl/>
        </w:rPr>
        <w:t>-</w:t>
      </w:r>
      <w:r>
        <w:rPr>
          <w:rFonts w:cs="Arial"/>
          <w:rtl/>
        </w:rPr>
        <w:t xml:space="preserve"> קטלי ליה. </w:t>
      </w:r>
      <w:r>
        <w:rPr>
          <w:rFonts w:cs="Arial"/>
          <w:u w:val="single"/>
          <w:rtl/>
        </w:rPr>
        <w:t>א"ל אביי</w:t>
      </w:r>
      <w:r>
        <w:rPr>
          <w:rFonts w:cs="Arial"/>
          <w:rtl/>
        </w:rPr>
        <w:t xml:space="preserve">: ב"ד של ישראל נמי אפשר דחזו ליה זכותא! כי חזו ליה זכותא </w:t>
      </w:r>
      <w:r w:rsidR="00A82951">
        <w:rPr>
          <w:rFonts w:cs="Arial"/>
          <w:rtl/>
        </w:rPr>
        <w:t>-</w:t>
      </w:r>
      <w:r>
        <w:rPr>
          <w:rFonts w:cs="Arial"/>
          <w:rtl/>
        </w:rPr>
        <w:t xml:space="preserve"> מקמי דליגמר דינא, בתר גמר דינא תו לא חזו ליה זכותא...  </w:t>
      </w:r>
    </w:p>
    <w:p w14:paraId="584A3128" w14:textId="0B07C134" w:rsidR="00FA2119" w:rsidRDefault="00FA2119" w:rsidP="00FA2119">
      <w:pPr>
        <w:rPr>
          <w:rFonts w:cs="Arial"/>
          <w:rtl/>
        </w:rPr>
      </w:pPr>
      <w:r>
        <w:rPr>
          <w:rFonts w:cs="Arial"/>
          <w:u w:val="single"/>
          <w:rtl/>
        </w:rPr>
        <w:t xml:space="preserve">היוצא ליהרג </w:t>
      </w:r>
      <w:r w:rsidR="00A82951">
        <w:rPr>
          <w:rFonts w:cs="Arial"/>
          <w:u w:val="single"/>
          <w:rtl/>
        </w:rPr>
        <w:t>-</w:t>
      </w:r>
      <w:r>
        <w:rPr>
          <w:rFonts w:cs="Arial"/>
          <w:u w:val="single"/>
          <w:rtl/>
        </w:rPr>
        <w:t xml:space="preserve"> באיזה בית דין מיירי</w:t>
      </w:r>
      <w:r>
        <w:rPr>
          <w:rFonts w:cs="Arial"/>
          <w:sz w:val="16"/>
          <w:szCs w:val="16"/>
          <w:u w:val="single"/>
          <w:rtl/>
        </w:rPr>
        <w:t xml:space="preserve"> (של ישראל או גוים)</w:t>
      </w:r>
      <w:r>
        <w:rPr>
          <w:rFonts w:cs="Arial"/>
          <w:u w:val="single"/>
          <w:rtl/>
        </w:rPr>
        <w:t>:</w:t>
      </w:r>
      <w:r>
        <w:rPr>
          <w:rFonts w:cs="Arial"/>
          <w:rtl/>
        </w:rPr>
        <w:t xml:space="preserve"> </w:t>
      </w:r>
    </w:p>
    <w:p w14:paraId="314CAC7D" w14:textId="5B7891FA" w:rsidR="00FA2119" w:rsidRDefault="00FA2119" w:rsidP="006A458D">
      <w:pPr>
        <w:pStyle w:val="ab"/>
        <w:numPr>
          <w:ilvl w:val="0"/>
          <w:numId w:val="108"/>
        </w:numPr>
        <w:rPr>
          <w:rtl/>
        </w:rPr>
      </w:pPr>
      <w:r>
        <w:rPr>
          <w:rFonts w:cs="Arial"/>
          <w:rtl/>
        </w:rPr>
        <w:lastRenderedPageBreak/>
        <w:t>רי"ף</w:t>
      </w:r>
      <w:r>
        <w:rPr>
          <w:rtl/>
        </w:rPr>
        <w:t xml:space="preserve"> </w:t>
      </w:r>
      <w:r>
        <w:rPr>
          <w:rFonts w:cs="Arial"/>
          <w:sz w:val="16"/>
          <w:szCs w:val="16"/>
          <w:rtl/>
        </w:rPr>
        <w:t xml:space="preserve">(יד., כ"כ הרא"ש בשמו) </w:t>
      </w:r>
      <w:r w:rsidR="00A82951">
        <w:rPr>
          <w:rtl/>
        </w:rPr>
        <w:t>-</w:t>
      </w:r>
      <w:r>
        <w:rPr>
          <w:rtl/>
        </w:rPr>
        <w:t xml:space="preserve"> יצא ליהרג בב"ד של ישראל </w:t>
      </w:r>
      <w:r w:rsidR="00A82951">
        <w:rPr>
          <w:rtl/>
        </w:rPr>
        <w:t>-</w:t>
      </w:r>
      <w:r>
        <w:rPr>
          <w:rtl/>
        </w:rPr>
        <w:t xml:space="preserve"> נותנים עליו חומרי חיים וחומרי מתים, כלישנא קמא, ובלבד שיהא ישראל מעיד שיוצא ליהרג</w:t>
      </w:r>
      <w:r>
        <w:rPr>
          <w:sz w:val="16"/>
          <w:szCs w:val="16"/>
          <w:rtl/>
        </w:rPr>
        <w:t xml:space="preserve"> (ע"פ ל' הרא"ש)</w:t>
      </w:r>
      <w:r>
        <w:rPr>
          <w:rStyle w:val="a7"/>
          <w:rtl/>
        </w:rPr>
        <w:footnoteReference w:id="2216"/>
      </w:r>
      <w:r>
        <w:rPr>
          <w:rtl/>
        </w:rPr>
        <w:t>.</w:t>
      </w:r>
    </w:p>
    <w:p w14:paraId="658212E5" w14:textId="6913D1C4" w:rsidR="00FA2119" w:rsidRDefault="00FA2119" w:rsidP="006A458D">
      <w:pPr>
        <w:pStyle w:val="ab"/>
        <w:numPr>
          <w:ilvl w:val="0"/>
          <w:numId w:val="108"/>
        </w:numPr>
      </w:pPr>
      <w:r>
        <w:rPr>
          <w:rFonts w:cs="Arial"/>
          <w:rtl/>
        </w:rPr>
        <w:t xml:space="preserve">רמב"ם </w:t>
      </w:r>
      <w:r>
        <w:rPr>
          <w:rFonts w:cs="Arial"/>
          <w:sz w:val="16"/>
          <w:szCs w:val="16"/>
          <w:rtl/>
        </w:rPr>
        <w:t>(פ"ו הכ"ט)</w:t>
      </w:r>
      <w:r w:rsidR="00A82951">
        <w:rPr>
          <w:rFonts w:cs="Arial"/>
          <w:rtl/>
        </w:rPr>
        <w:t>-</w:t>
      </w:r>
      <w:r>
        <w:rPr>
          <w:rFonts w:cs="Arial"/>
          <w:rtl/>
        </w:rPr>
        <w:t xml:space="preserve"> היוצא ליהרג מבית דין של גוים... </w:t>
      </w:r>
      <w:r w:rsidR="00A82951">
        <w:rPr>
          <w:rFonts w:cs="Arial"/>
          <w:rtl/>
        </w:rPr>
        <w:t>-</w:t>
      </w:r>
      <w:r>
        <w:rPr>
          <w:rFonts w:cs="Arial"/>
          <w:rtl/>
        </w:rPr>
        <w:t xml:space="preserve"> נותנין עליו חומרי חיים וחומרי מתים</w:t>
      </w:r>
      <w:r>
        <w:rPr>
          <w:rStyle w:val="a7"/>
          <w:rFonts w:cs="Arial"/>
          <w:rtl/>
        </w:rPr>
        <w:footnoteReference w:id="2217"/>
      </w:r>
      <w:r>
        <w:rPr>
          <w:rFonts w:cs="Arial"/>
          <w:rtl/>
        </w:rPr>
        <w:t xml:space="preserve">. </w:t>
      </w:r>
      <w:r>
        <w:rPr>
          <w:color w:val="E36C0A" w:themeColor="accent6" w:themeShade="BF"/>
          <w:rtl/>
        </w:rPr>
        <w:t>(וכ"פ בשו"ע)</w:t>
      </w:r>
    </w:p>
    <w:p w14:paraId="4A1BD314" w14:textId="0F3BB652" w:rsidR="00FA2119" w:rsidRDefault="00FA2119" w:rsidP="006A458D">
      <w:pPr>
        <w:pStyle w:val="ab"/>
        <w:numPr>
          <w:ilvl w:val="0"/>
          <w:numId w:val="108"/>
        </w:numPr>
      </w:pPr>
      <w:r>
        <w:rPr>
          <w:rFonts w:cs="Arial"/>
          <w:rtl/>
        </w:rPr>
        <w:t>טור</w:t>
      </w:r>
      <w:r w:rsidR="00A82951">
        <w:rPr>
          <w:rFonts w:cs="Arial"/>
          <w:rtl/>
        </w:rPr>
        <w:t>-</w:t>
      </w:r>
      <w:r>
        <w:rPr>
          <w:rFonts w:cs="Arial"/>
          <w:rtl/>
        </w:rPr>
        <w:t xml:space="preserve"> והיוצא ליהרג בדיני ישראל אפילו יצא אחר פסק דין, או בדיני עכו"ם קודם שחתמו עליו פסק דין </w:t>
      </w:r>
      <w:r w:rsidR="00A82951">
        <w:rPr>
          <w:rFonts w:cs="Arial"/>
          <w:rtl/>
        </w:rPr>
        <w:t>-</w:t>
      </w:r>
      <w:r>
        <w:rPr>
          <w:rFonts w:cs="Arial"/>
          <w:rtl/>
        </w:rPr>
        <w:t xml:space="preserve"> הם ספק חיים, ואם גט של אחד מאלו ביד השליח לא יתנהו לאשתו. ואם נתנו </w:t>
      </w:r>
      <w:r w:rsidR="00A82951">
        <w:rPr>
          <w:rFonts w:cs="Arial"/>
          <w:rtl/>
        </w:rPr>
        <w:t>-</w:t>
      </w:r>
      <w:r>
        <w:rPr>
          <w:rFonts w:cs="Arial"/>
          <w:rtl/>
        </w:rPr>
        <w:t xml:space="preserve"> הוי ספק מגורשת. אבל היוצא ליהרג בדיני עכו"ם אחר פסק דין </w:t>
      </w:r>
      <w:r w:rsidR="00A82951">
        <w:rPr>
          <w:rFonts w:cs="Arial"/>
          <w:rtl/>
        </w:rPr>
        <w:t>-</w:t>
      </w:r>
      <w:r>
        <w:rPr>
          <w:rFonts w:cs="Arial"/>
          <w:rtl/>
        </w:rPr>
        <w:t xml:space="preserve"> חשוב כמת, ובלבד שעידי ישראל מעידים שיצא ליהרג. </w:t>
      </w:r>
    </w:p>
    <w:p w14:paraId="287D71B8" w14:textId="604C3CD8" w:rsidR="00FA2119" w:rsidRDefault="00FA2119" w:rsidP="006A458D">
      <w:pPr>
        <w:pStyle w:val="ab"/>
        <w:numPr>
          <w:ilvl w:val="0"/>
          <w:numId w:val="108"/>
        </w:numPr>
      </w:pPr>
      <w:r>
        <w:rPr>
          <w:rFonts w:cs="Arial"/>
          <w:rtl/>
        </w:rPr>
        <w:t xml:space="preserve">רמ"ה </w:t>
      </w:r>
      <w:r>
        <w:rPr>
          <w:rFonts w:cs="Arial"/>
          <w:sz w:val="16"/>
          <w:szCs w:val="16"/>
          <w:rtl/>
        </w:rPr>
        <w:t>(כ"כ בשמו הטור והב"י)</w:t>
      </w:r>
      <w:r>
        <w:rPr>
          <w:rFonts w:cs="Arial"/>
          <w:rtl/>
        </w:rPr>
        <w:t xml:space="preserve"> ורשב"א</w:t>
      </w:r>
      <w:r>
        <w:rPr>
          <w:rFonts w:cs="Arial"/>
          <w:sz w:val="16"/>
          <w:szCs w:val="16"/>
          <w:rtl/>
        </w:rPr>
        <w:t xml:space="preserve"> (שם ד"ה איכא)</w:t>
      </w:r>
      <w:r w:rsidR="00A82951">
        <w:rPr>
          <w:rFonts w:cs="Arial"/>
          <w:rtl/>
        </w:rPr>
        <w:t>-</w:t>
      </w:r>
      <w:r>
        <w:rPr>
          <w:rFonts w:cs="Arial"/>
          <w:rtl/>
        </w:rPr>
        <w:t xml:space="preserve"> כיון דלא איפסיקא הלכתא </w:t>
      </w:r>
      <w:r w:rsidR="00A82951">
        <w:rPr>
          <w:rFonts w:cs="Arial"/>
          <w:rtl/>
        </w:rPr>
        <w:t>-</w:t>
      </w:r>
      <w:r>
        <w:rPr>
          <w:rFonts w:cs="Arial"/>
          <w:rtl/>
        </w:rPr>
        <w:t xml:space="preserve"> נקטינן לחומרא, ובין בבית דין של ישראל, ובין בבית דין של אומות העולם </w:t>
      </w:r>
      <w:r w:rsidR="00A82951">
        <w:rPr>
          <w:rFonts w:cs="Arial"/>
          <w:rtl/>
        </w:rPr>
        <w:t>-</w:t>
      </w:r>
      <w:r>
        <w:rPr>
          <w:rFonts w:cs="Arial"/>
          <w:rtl/>
        </w:rPr>
        <w:t xml:space="preserve"> נותנין עליו חומרי חיים וחומרי מתים. ואפילו חתים פורסי שמנג, דהא ללישנא בתרא לא שאני לן בין חתים פורסי שמנג ללא חתים</w:t>
      </w:r>
      <w:r>
        <w:rPr>
          <w:rFonts w:cs="Arial"/>
          <w:sz w:val="16"/>
          <w:szCs w:val="16"/>
          <w:rtl/>
        </w:rPr>
        <w:t xml:space="preserve"> (ל' הב"י בשם הרשב"א)</w:t>
      </w:r>
      <w:r>
        <w:rPr>
          <w:rFonts w:cs="Arial"/>
          <w:rtl/>
        </w:rPr>
        <w:t xml:space="preserve">. </w:t>
      </w:r>
    </w:p>
    <w:p w14:paraId="6F80764F" w14:textId="77777777" w:rsidR="00FA2119" w:rsidRDefault="00FA2119" w:rsidP="00FA2119">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2E47A611" w14:textId="77777777" w:rsidR="00FA2119" w:rsidRDefault="00FA2119" w:rsidP="00FA2119">
      <w:pPr>
        <w:rPr>
          <w:rFonts w:cs="Arial"/>
          <w:rtl/>
        </w:rPr>
      </w:pPr>
      <w:r>
        <w:rPr>
          <w:rFonts w:cs="Arial"/>
          <w:rtl/>
        </w:rPr>
        <w:t>עיר שהקיפוה חיל מאותו מלכות, והיו במצור, וספינה המטורפת בים, והיוצא לידון בדיני נפשות, הרי אלו בחזקת חיים. ואם היה גט אחד מהם ביד שליח, נותנו לאשתו ותהיה בחזקת מגורשת. אבל עיר שכבשוה כבר, או עיר שהקיפוה חיל ממלכות אחרת, וספינה שאבדה</w:t>
      </w:r>
      <w:r>
        <w:rPr>
          <w:rStyle w:val="a7"/>
          <w:rFonts w:cs="Arial"/>
          <w:rtl/>
        </w:rPr>
        <w:footnoteReference w:id="2218"/>
      </w:r>
      <w:r>
        <w:rPr>
          <w:rFonts w:cs="Arial"/>
          <w:rtl/>
        </w:rPr>
        <w:t xml:space="preserve"> בים, והיוצא ליהרג בדיני גוים, ומי שגוררתו חיה או שטפו נהר או נפלה עליו מפולת, נותנים עליה חומרי חיים וחומרי מתים. ואם היה גט אחד מהם ביד השליח אינו נותנו לאשתו, ואם נתנו לה, הרי זו ספק מגורשת. ואם נודע שמת הבעל קודם שיגיע גט לידה, אינו גט.</w:t>
      </w:r>
    </w:p>
    <w:p w14:paraId="0DBAAD46" w14:textId="77777777" w:rsidR="00FA2119" w:rsidRDefault="00FA2119" w:rsidP="00FA2119">
      <w:pPr>
        <w:rPr>
          <w:rFonts w:cs="Arial"/>
          <w:rtl/>
        </w:rPr>
      </w:pPr>
      <w:r>
        <w:rPr>
          <w:rFonts w:cs="Arial"/>
          <w:u w:val="single"/>
          <w:rtl/>
        </w:rPr>
        <w:t>חייל ששלח גט לאשתו בעודו עומד במלחמה, ועברה חצי שנה עד שהגיע השליח לאשה:</w:t>
      </w:r>
      <w:r>
        <w:rPr>
          <w:rFonts w:cs="Arial"/>
          <w:rtl/>
        </w:rPr>
        <w:t xml:space="preserve"> </w:t>
      </w:r>
      <w:r>
        <w:rPr>
          <w:rFonts w:cs="Arial"/>
          <w:sz w:val="16"/>
          <w:szCs w:val="16"/>
          <w:rtl/>
        </w:rPr>
        <w:t>(פת"ש סק"ע)</w:t>
      </w:r>
      <w:r>
        <w:rPr>
          <w:rFonts w:cs="Arial"/>
          <w:rtl/>
        </w:rPr>
        <w:t xml:space="preserve"> </w:t>
      </w:r>
    </w:p>
    <w:p w14:paraId="4D961AC4" w14:textId="17EB8612" w:rsidR="00FA2119" w:rsidRDefault="00FA2119" w:rsidP="006A458D">
      <w:pPr>
        <w:pStyle w:val="ab"/>
        <w:numPr>
          <w:ilvl w:val="0"/>
          <w:numId w:val="109"/>
        </w:numPr>
        <w:rPr>
          <w:rtl/>
        </w:rPr>
      </w:pPr>
      <w:r>
        <w:rPr>
          <w:rFonts w:cs="Arial"/>
          <w:rtl/>
        </w:rPr>
        <w:t xml:space="preserve">ברית אברהם </w:t>
      </w:r>
      <w:r>
        <w:rPr>
          <w:rFonts w:cs="Arial"/>
          <w:sz w:val="16"/>
          <w:szCs w:val="16"/>
          <w:rtl/>
        </w:rPr>
        <w:t>(סי' סד</w:t>
      </w:r>
      <w:r w:rsidR="00A82951">
        <w:rPr>
          <w:rFonts w:cs="Arial"/>
          <w:sz w:val="16"/>
          <w:szCs w:val="16"/>
          <w:rtl/>
        </w:rPr>
        <w:t>-</w:t>
      </w:r>
      <w:r>
        <w:rPr>
          <w:rFonts w:cs="Arial"/>
          <w:sz w:val="16"/>
          <w:szCs w:val="16"/>
          <w:rtl/>
        </w:rPr>
        <w:t>סח)</w:t>
      </w:r>
      <w:r w:rsidR="00A82951">
        <w:rPr>
          <w:rFonts w:cs="Arial"/>
          <w:rtl/>
        </w:rPr>
        <w:t>-</w:t>
      </w:r>
      <w:r>
        <w:rPr>
          <w:rFonts w:cs="Arial"/>
          <w:rtl/>
        </w:rPr>
        <w:t xml:space="preserve"> נשאלתי בעסק גט של בעל מלחמה יהודי ששלח גט מן המלחמה ונשתהא השליח בדרך עד ערך חצי שנה והמשלח נשאר עומד שם בתוך המערכה אצל המלחמה של קיר"ה עם צרפתים</w:t>
      </w:r>
      <w:r w:rsidR="00815EC3">
        <w:rPr>
          <w:rFonts w:cs="Arial" w:hint="cs"/>
          <w:rtl/>
        </w:rPr>
        <w:t>.</w:t>
      </w:r>
      <w:r>
        <w:rPr>
          <w:rFonts w:cs="Arial"/>
          <w:rtl/>
        </w:rPr>
        <w:t xml:space="preserve"> ונסתפקתי אם יש ליתן הגט בחזקת שהוא קיים</w:t>
      </w:r>
      <w:r w:rsidR="00815EC3">
        <w:rPr>
          <w:rFonts w:cs="Arial" w:hint="cs"/>
          <w:rtl/>
        </w:rPr>
        <w:t>,</w:t>
      </w:r>
      <w:r>
        <w:rPr>
          <w:rFonts w:cs="Arial"/>
          <w:rtl/>
        </w:rPr>
        <w:t xml:space="preserve"> או דילמא דנותנין חומרי מתים ושמא בתוך כך נהרג במלחמה ואין גט לאחר מיתה</w:t>
      </w:r>
      <w:r w:rsidR="00815EC3">
        <w:rPr>
          <w:rFonts w:cs="Arial" w:hint="cs"/>
          <w:rtl/>
        </w:rPr>
        <w:t>,</w:t>
      </w:r>
      <w:r>
        <w:rPr>
          <w:rFonts w:cs="Arial"/>
          <w:rtl/>
        </w:rPr>
        <w:t xml:space="preserve"> וממילא תשאר האשה זקוקה ליבם... ונראה דאם היבם כאן במדינה יש להחמיר שלא להתירה אלא רק ע"י גט וחליצה, מתחלה יומסר לה הגט, ואח"ז תחלוץ. אך אם אין היבם במדינה, נראה להתיר ע"פ גט לחוד. ולרווחא דמלתא כשיתנו לה הגט יאמרו לה הב"ד שאם יתברר שהבעל היה מת תצא מבעלה ותידוק שפיר ויש לסמוך ג"כ אחזקה דאשה דייקה כו'. </w:t>
      </w:r>
    </w:p>
    <w:p w14:paraId="128D9DDC" w14:textId="6F95A44B" w:rsidR="00FA2119" w:rsidRDefault="00FA2119" w:rsidP="006A458D">
      <w:pPr>
        <w:pStyle w:val="ab"/>
        <w:numPr>
          <w:ilvl w:val="0"/>
          <w:numId w:val="109"/>
        </w:numPr>
      </w:pPr>
      <w:r>
        <w:rPr>
          <w:rFonts w:cs="Arial"/>
          <w:rtl/>
        </w:rPr>
        <w:t xml:space="preserve">פנים מאירות </w:t>
      </w:r>
      <w:r>
        <w:rPr>
          <w:rFonts w:cs="Arial"/>
          <w:sz w:val="16"/>
          <w:szCs w:val="16"/>
          <w:rtl/>
        </w:rPr>
        <w:t>(ח"ב סי' סח בתשו' מהגאון מהר"ד אופנהיים, ובסי' סט מבעל המחבר, בספק הששי)</w:t>
      </w:r>
      <w:r w:rsidR="00A82951">
        <w:rPr>
          <w:rFonts w:cs="Arial"/>
          <w:rtl/>
        </w:rPr>
        <w:t>-</w:t>
      </w:r>
      <w:r>
        <w:rPr>
          <w:rFonts w:cs="Arial"/>
          <w:rtl/>
        </w:rPr>
        <w:t xml:space="preserve"> פשוט להתיר שגם ביוצא למלחמה נותנין הגט בחזקת שהוא קיים. </w:t>
      </w:r>
    </w:p>
    <w:p w14:paraId="5DEDAD6E" w14:textId="77777777" w:rsidR="00FA2119" w:rsidRDefault="00FA2119" w:rsidP="00FA2119">
      <w:pPr>
        <w:rPr>
          <w:rFonts w:cs="Arial"/>
          <w:rtl/>
        </w:rPr>
      </w:pPr>
      <w:r>
        <w:rPr>
          <w:rFonts w:cs="Arial"/>
          <w:u w:val="single"/>
          <w:rtl/>
        </w:rPr>
        <w:t>אחד שלח גט לאשתו ע"י שליח הולכה, וקודם שהגיע השליח, הבעל נשטף בנהר וכדו', ואין להם בנים:</w:t>
      </w:r>
      <w:r>
        <w:rPr>
          <w:rFonts w:cs="Arial"/>
          <w:sz w:val="16"/>
          <w:szCs w:val="16"/>
          <w:rtl/>
        </w:rPr>
        <w:t xml:space="preserve"> (פת"ש סקע"ב)</w:t>
      </w:r>
      <w:r>
        <w:rPr>
          <w:rFonts w:cs="Arial"/>
          <w:rtl/>
        </w:rPr>
        <w:t xml:space="preserve"> </w:t>
      </w:r>
    </w:p>
    <w:p w14:paraId="02232AC2" w14:textId="792B6257" w:rsidR="00FA2119" w:rsidRDefault="00FA2119" w:rsidP="006A458D">
      <w:pPr>
        <w:pStyle w:val="ab"/>
        <w:numPr>
          <w:ilvl w:val="0"/>
          <w:numId w:val="110"/>
        </w:numPr>
        <w:rPr>
          <w:rFonts w:cs="Arial"/>
          <w:rtl/>
        </w:rPr>
      </w:pPr>
      <w:r>
        <w:rPr>
          <w:rFonts w:cs="Arial"/>
          <w:rtl/>
        </w:rPr>
        <w:t>פת"ש</w:t>
      </w:r>
      <w:r>
        <w:rPr>
          <w:rFonts w:cs="Arial"/>
          <w:sz w:val="16"/>
          <w:szCs w:val="16"/>
          <w:rtl/>
        </w:rPr>
        <w:t xml:space="preserve"> (סקע"ב)</w:t>
      </w:r>
      <w:r w:rsidR="00A82951">
        <w:rPr>
          <w:rFonts w:cs="Arial"/>
          <w:rtl/>
        </w:rPr>
        <w:t>-</w:t>
      </w:r>
      <w:r>
        <w:rPr>
          <w:rFonts w:cs="Arial"/>
          <w:rtl/>
        </w:rPr>
        <w:t xml:space="preserve"> עיין בת' מהרי"ט (ח"א סי' קג) באחד שאין לו בנים ששלח גט לאשתו ממקום רחוק ע"י שליח להולכה וקודם שבא השליח למקום האשה נעשה הבעל מאותם שנותנים עליהם חומרי מתים. והביא שם שיש סוברים בזה להחמיר ואם לא יתברר מיתתו </w:t>
      </w:r>
      <w:r w:rsidR="00A82951">
        <w:rPr>
          <w:rFonts w:cs="Arial"/>
          <w:rtl/>
        </w:rPr>
        <w:t>-</w:t>
      </w:r>
      <w:r>
        <w:rPr>
          <w:rFonts w:cs="Arial"/>
          <w:rtl/>
        </w:rPr>
        <w:t xml:space="preserve"> תשב עד שתלבין ראשה שלא לתת הגט וגם שלא לחלוץ. ונתלו בזה בדברי הרמב"ם (פ"ו מה"ג) שכתב שלא יתננו השליח לאשה. ומסתייעים בזה מדברי תשובת רש"ך שכ' שני טעמים, א'</w:t>
      </w:r>
      <w:r w:rsidR="00A82951">
        <w:rPr>
          <w:rFonts w:cs="Arial"/>
          <w:rtl/>
        </w:rPr>
        <w:t>-</w:t>
      </w:r>
      <w:r>
        <w:rPr>
          <w:rFonts w:cs="Arial"/>
          <w:rtl/>
        </w:rPr>
        <w:t xml:space="preserve"> שלא תטעה האשה ותסבור שהיא מגורשת גמורה ותנשא לשוק. והב'</w:t>
      </w:r>
      <w:r w:rsidR="00A82951">
        <w:rPr>
          <w:rFonts w:cs="Arial"/>
          <w:rtl/>
        </w:rPr>
        <w:t>-</w:t>
      </w:r>
      <w:r>
        <w:rPr>
          <w:rFonts w:cs="Arial"/>
          <w:rtl/>
        </w:rPr>
        <w:t xml:space="preserve"> שלא תתבטל מצות יבום. ואמרו עוד כי מאחר שאנו חוששים שמא תנשא בלא חליצה אע"פ שהיבם הוא עומד כאן לחלוץ יש לחוש שמא לא יתרצה אח"כ כו'. והוא ז"ל האריך לדחות דבריהם בארוכה. והסכים עמו חכם אחד רבי אהרן חסון ז"ל. ושם בסי' ק"ד תשובת מהר"א מונסין ז"ל שמחמיר מאד בדבר זה דבמקום יבום אין לשליח ליתנו בשום צד רק דאם עבר ונתנו חולצת. והוכיח שגם הרדב"ז סי' קל"ב דעתו כן, ע"ש באורך. וקצת ראיותיו לענ"ד צ"ע. ועיין בתשו' נו"ב (תניינא סי' קלד) אודות אשת עוזב דת ששלח לה בעלה גט על ידי שליח והשליח עדיין לא מסר לה זה שלש שנים ובין כך נשמע שנהרג בעלה ובנים אין לו ויש כאן אחיו והורה בזה הגאון מבראד שצריכה גט וחליצה וחכם אחד חלק עליו ונאחז בסבך דברי האוסרים בתשו' מהרי"ט (הנ"ל). והוא ז"ל השיב שיפה הורה הגאון הנ"ל</w:t>
      </w:r>
      <w:r>
        <w:rPr>
          <w:rFonts w:cs="Arial"/>
          <w:sz w:val="16"/>
          <w:szCs w:val="16"/>
          <w:rtl/>
        </w:rPr>
        <w:t xml:space="preserve"> {מהרי"ט}</w:t>
      </w:r>
      <w:r>
        <w:rPr>
          <w:rFonts w:cs="Arial"/>
          <w:rtl/>
        </w:rPr>
        <w:t xml:space="preserve"> והא ודאי שלא נשגיח בדברים הללו לעגן אשה כל ימיה. </w:t>
      </w:r>
      <w:r>
        <w:rPr>
          <w:rFonts w:cs="Arial"/>
          <w:rtl/>
        </w:rPr>
        <w:lastRenderedPageBreak/>
        <w:t>והחשש שמא תנשא קודם החליצה הוא חשש רחוק כו'. ועוד הרי בידינו להשביע' על דעת רבים שלא תנשא עד שתחלוץ. וחשש ביטול מצות יבום לא שייך אצלינו שאין מיבמין. והרמב"ם שכתב ה"ז לא יתננו לה הכוונה שלא יתן לה בסתם בחזקת גירושין גמורים... לכך מותר ליתנו לה...  א"כ ה"נ בנ"ד שהעיד עוזב דת מסל"ת שמת במלחמה אף שלא העיד קברתיו מ"מ רובן למיתה כו'... לכן נראה שלא לעגן אשה זו ותשבע קודם הגט שלא תנשא בלא חליצה... עכ"ד ע"ש.... ועיין בתשו' ברית אברהם (סי' סד) שהאריך ג"כ בדברי מהרי"ט הנ"ל ודחה ג"כ דברי האוסרים הנ"ל ומסיק דע"פ גט וחליצה אין מקום לפקפק כלל ובפרט האידנא דאין מיבמין ע"ש באריכות. גם בספר ישועות יעקב (סי' זה סק"ל) כתב שנשאל על ענין כזה במעשה שאיש אחד הלך עם בעלי מלחמה ושלח גט לאשתו ואח"ז קודם שהגיע ליד האשה באו עדים והעידו שנטבע בנהר דונא. ועמדו שם משך זמן מה ולא נודע מקומו איו אם מותרת ע"י שתחלוץ מיבמה וגם השליח ימסור לה הגט. והאריך הרבה לפלפל בדברי מהרי"ט הנ"ל ומסיים וז"ל סוף דבר דעתי מסכמת לדעת מהרי"ט דמהני גט וחליצה כיון דאין לנו ראי' מוכרחת לאיסור והיא מילתא דרבנן להקל שומעין אמנם חלילה לי לעשות מעשה בזה אך בנדון שלפנינו שיש עוד צדדים להקל כמו שהאריך החכם השואל דעתי מסכמת להקל בזה להלכה ולמעשה אם יסכים עוד אחד מומחה בהוראה עכ"ל ע"ש.</w:t>
      </w:r>
      <w:r>
        <w:rPr>
          <w:rtl/>
        </w:rPr>
        <w:t xml:space="preserve"> </w:t>
      </w:r>
    </w:p>
    <w:p w14:paraId="0F248E5D" w14:textId="3C5E59D5" w:rsidR="00FA2119" w:rsidRDefault="00FA2119" w:rsidP="00FA2119">
      <w:pPr>
        <w:rPr>
          <w:rFonts w:cs="Arial"/>
          <w:rtl/>
        </w:rPr>
        <w:sectPr w:rsidR="00FA2119" w:rsidSect="00A347B3">
          <w:headerReference w:type="default" r:id="rId34"/>
          <w:footnotePr>
            <w:numRestart w:val="eachSect"/>
          </w:footnotePr>
          <w:pgSz w:w="11906" w:h="16838"/>
          <w:pgMar w:top="720" w:right="1134" w:bottom="720" w:left="1134" w:header="0" w:footer="0" w:gutter="0"/>
          <w:cols w:space="720"/>
          <w:bidi/>
          <w:rtlGutter/>
          <w:docGrid w:linePitch="360"/>
        </w:sectPr>
      </w:pPr>
    </w:p>
    <w:p w14:paraId="550C780F" w14:textId="77777777" w:rsidR="00C97BEF" w:rsidRDefault="00C97BEF" w:rsidP="00C97BEF">
      <w:pPr>
        <w:pStyle w:val="1"/>
      </w:pPr>
      <w:r>
        <w:rPr>
          <w:rtl/>
        </w:rPr>
        <w:lastRenderedPageBreak/>
        <w:t xml:space="preserve">סימן קמב: דין המביא גט בחוצה לארץ, ובו י"ח סעיפים. </w:t>
      </w:r>
    </w:p>
    <w:p w14:paraId="5A66C811" w14:textId="77777777" w:rsidR="00C97BEF" w:rsidRDefault="00C97BEF" w:rsidP="00C97BEF">
      <w:pPr>
        <w:pStyle w:val="2"/>
        <w:rPr>
          <w:rtl/>
        </w:rPr>
      </w:pPr>
      <w:r>
        <w:rPr>
          <w:rtl/>
        </w:rPr>
        <w:t>סעיף א: איזה שליח צריך לומר בפני נכתב ובפני נחתם.</w:t>
      </w:r>
    </w:p>
    <w:p w14:paraId="34160E3E" w14:textId="164372F2" w:rsidR="00C97BEF" w:rsidRDefault="00C97BEF" w:rsidP="00C97BEF">
      <w:pPr>
        <w:rPr>
          <w:rFonts w:cs="Arial"/>
          <w:rtl/>
        </w:rPr>
      </w:pPr>
      <w:r>
        <w:rPr>
          <w:rFonts w:cs="Arial"/>
          <w:b/>
          <w:bCs/>
          <w:rtl/>
        </w:rPr>
        <w:t xml:space="preserve">גיטין </w:t>
      </w:r>
      <w:r>
        <w:rPr>
          <w:rFonts w:cs="Arial"/>
          <w:b/>
          <w:bCs/>
          <w:sz w:val="16"/>
          <w:szCs w:val="16"/>
          <w:rtl/>
        </w:rPr>
        <w:t>(רפ"ק)</w:t>
      </w:r>
      <w:r>
        <w:rPr>
          <w:rFonts w:cs="Arial"/>
          <w:b/>
          <w:bCs/>
          <w:rtl/>
        </w:rPr>
        <w:t xml:space="preserve"> ב ע"א: </w:t>
      </w:r>
      <w:r>
        <w:rPr>
          <w:rFonts w:cs="Arial"/>
          <w:u w:val="double"/>
          <w:rtl/>
        </w:rPr>
        <w:t>מתני'</w:t>
      </w:r>
      <w:r>
        <w:rPr>
          <w:rFonts w:cs="Arial"/>
          <w:rtl/>
        </w:rPr>
        <w:t>: המביא גט ממדינת הים</w:t>
      </w:r>
      <w:r>
        <w:rPr>
          <w:rStyle w:val="a7"/>
          <w:rFonts w:cs="Arial"/>
          <w:rtl/>
        </w:rPr>
        <w:footnoteReference w:id="2219"/>
      </w:r>
      <w:r>
        <w:rPr>
          <w:rFonts w:cs="Arial"/>
          <w:rtl/>
        </w:rPr>
        <w:t xml:space="preserve">, צריך שיאמר בפני נכתב ובפני נחתם, </w:t>
      </w:r>
      <w:r>
        <w:rPr>
          <w:rFonts w:cs="Arial"/>
          <w:u w:val="single"/>
          <w:rtl/>
        </w:rPr>
        <w:t>רבן גמליאל אומר</w:t>
      </w:r>
      <w:r>
        <w:rPr>
          <w:rFonts w:cs="Arial"/>
          <w:rtl/>
        </w:rPr>
        <w:t xml:space="preserve">: אף המביא מן הרקם ומן החגר, </w:t>
      </w:r>
      <w:r>
        <w:rPr>
          <w:rFonts w:cs="Arial"/>
          <w:u w:val="single"/>
          <w:rtl/>
        </w:rPr>
        <w:t>ר' אליעזר אומר</w:t>
      </w:r>
      <w:r>
        <w:rPr>
          <w:rFonts w:cs="Arial"/>
          <w:rtl/>
        </w:rPr>
        <w:t xml:space="preserve">: אפילו מכפר לודים ללוד, </w:t>
      </w:r>
      <w:r>
        <w:rPr>
          <w:rFonts w:cs="Arial"/>
          <w:u w:val="single"/>
          <w:rtl/>
        </w:rPr>
        <w:t>וחכ"א</w:t>
      </w:r>
      <w:r>
        <w:rPr>
          <w:rFonts w:cs="Arial"/>
          <w:rtl/>
        </w:rPr>
        <w:t xml:space="preserve">: אינו צריך שיאמר בפני נכתב ובפני נחתם אלא המביא ממדינת הים והמוליך. והמביא ממדינה למדינה במדינת הים, צריך שיאמר בפני נכתב ובפני נחתם, </w:t>
      </w:r>
      <w:r>
        <w:rPr>
          <w:rFonts w:cs="Arial"/>
          <w:u w:val="single"/>
          <w:rtl/>
        </w:rPr>
        <w:t>רשב"ג אומר</w:t>
      </w:r>
      <w:r>
        <w:rPr>
          <w:rFonts w:cs="Arial"/>
          <w:rtl/>
        </w:rPr>
        <w:t xml:space="preserve">: אפילו מהגמוניא להגמוניא. </w:t>
      </w:r>
      <w:r>
        <w:rPr>
          <w:rFonts w:cs="Arial"/>
          <w:u w:val="single"/>
          <w:rtl/>
        </w:rPr>
        <w:t>ר' יהודה אומר</w:t>
      </w:r>
      <w:r>
        <w:rPr>
          <w:rFonts w:cs="Arial"/>
          <w:rtl/>
        </w:rPr>
        <w:t xml:space="preserve">: מרקם למזרח, ורקם </w:t>
      </w:r>
      <w:r w:rsidR="00A82951">
        <w:rPr>
          <w:rFonts w:cs="Arial"/>
          <w:rtl/>
        </w:rPr>
        <w:t>-</w:t>
      </w:r>
      <w:r>
        <w:rPr>
          <w:rFonts w:cs="Arial"/>
          <w:rtl/>
        </w:rPr>
        <w:t xml:space="preserve"> כמזרח, מאשקלון לדרום, ואשקלון </w:t>
      </w:r>
      <w:r w:rsidR="00A82951">
        <w:rPr>
          <w:rFonts w:cs="Arial"/>
          <w:rtl/>
        </w:rPr>
        <w:t>-</w:t>
      </w:r>
      <w:r>
        <w:rPr>
          <w:rFonts w:cs="Arial"/>
          <w:rtl/>
        </w:rPr>
        <w:t xml:space="preserve"> כדרום, מעכו לצפון, ועכו </w:t>
      </w:r>
      <w:r w:rsidR="00A82951">
        <w:rPr>
          <w:rFonts w:cs="Arial"/>
          <w:rtl/>
        </w:rPr>
        <w:t>-</w:t>
      </w:r>
      <w:r>
        <w:rPr>
          <w:rFonts w:cs="Arial"/>
          <w:rtl/>
        </w:rPr>
        <w:t xml:space="preserve"> כצפון; </w:t>
      </w:r>
      <w:r>
        <w:rPr>
          <w:rFonts w:cs="Arial"/>
          <w:u w:val="single"/>
          <w:rtl/>
        </w:rPr>
        <w:t>ר"מ אומר</w:t>
      </w:r>
      <w:r>
        <w:rPr>
          <w:rFonts w:cs="Arial"/>
          <w:rtl/>
        </w:rPr>
        <w:t xml:space="preserve">: עכו </w:t>
      </w:r>
      <w:r w:rsidR="00A82951">
        <w:rPr>
          <w:rFonts w:cs="Arial"/>
          <w:rtl/>
        </w:rPr>
        <w:t>-</w:t>
      </w:r>
      <w:r>
        <w:rPr>
          <w:rFonts w:cs="Arial"/>
          <w:rtl/>
        </w:rPr>
        <w:t xml:space="preserve"> כארץ ישראל לגיטין. המביא גט בארץ ישראל, אינו צריך שיאמר בפני נכתב ובפני נחתם. ואם יש עליו עוררים</w:t>
      </w:r>
      <w:r>
        <w:rPr>
          <w:rStyle w:val="a7"/>
          <w:rFonts w:cs="Arial"/>
          <w:rtl/>
        </w:rPr>
        <w:footnoteReference w:id="2220"/>
      </w:r>
      <w:r>
        <w:rPr>
          <w:rFonts w:cs="Arial"/>
          <w:rtl/>
        </w:rPr>
        <w:t xml:space="preserve"> </w:t>
      </w:r>
      <w:r w:rsidR="00A82951">
        <w:rPr>
          <w:rFonts w:cs="Arial"/>
          <w:rtl/>
        </w:rPr>
        <w:t>-</w:t>
      </w:r>
      <w:r>
        <w:rPr>
          <w:rFonts w:cs="Arial"/>
          <w:rtl/>
        </w:rPr>
        <w:t xml:space="preserve"> יתקיים בחותמיו</w:t>
      </w:r>
      <w:r>
        <w:rPr>
          <w:rStyle w:val="a7"/>
          <w:rFonts w:cs="Arial"/>
          <w:rtl/>
        </w:rPr>
        <w:footnoteReference w:id="2221"/>
      </w:r>
      <w:r>
        <w:rPr>
          <w:rFonts w:cs="Arial"/>
          <w:rtl/>
        </w:rPr>
        <w:t xml:space="preserve">.        </w:t>
      </w:r>
      <w:r>
        <w:rPr>
          <w:rFonts w:cs="Arial"/>
          <w:u w:val="double"/>
          <w:rtl/>
        </w:rPr>
        <w:t>גמ'</w:t>
      </w:r>
      <w:r>
        <w:rPr>
          <w:rFonts w:cs="Arial"/>
          <w:rtl/>
        </w:rPr>
        <w:t xml:space="preserve">: מ"ט? </w:t>
      </w:r>
      <w:r>
        <w:rPr>
          <w:rFonts w:cs="Arial"/>
          <w:u w:val="single"/>
          <w:rtl/>
        </w:rPr>
        <w:t>רבה אמר</w:t>
      </w:r>
      <w:r>
        <w:rPr>
          <w:rFonts w:cs="Arial"/>
          <w:rtl/>
        </w:rPr>
        <w:t>:</w:t>
      </w:r>
      <w:r>
        <w:rPr>
          <w:rFonts w:cs="Arial"/>
          <w:sz w:val="14"/>
          <w:szCs w:val="14"/>
          <w:rtl/>
        </w:rPr>
        <w:t xml:space="preserve"> (ב:) </w:t>
      </w:r>
      <w:r>
        <w:rPr>
          <w:rFonts w:cs="Arial"/>
          <w:rtl/>
        </w:rPr>
        <w:t>לפי שאין בקיאין לשמה</w:t>
      </w:r>
      <w:r>
        <w:rPr>
          <w:rStyle w:val="a7"/>
          <w:rFonts w:cs="Arial"/>
          <w:rtl/>
        </w:rPr>
        <w:footnoteReference w:id="2222"/>
      </w:r>
      <w:r>
        <w:rPr>
          <w:rFonts w:cs="Arial"/>
          <w:rtl/>
        </w:rPr>
        <w:t xml:space="preserve">, </w:t>
      </w:r>
      <w:r>
        <w:rPr>
          <w:rFonts w:cs="Arial"/>
          <w:u w:val="single"/>
          <w:rtl/>
        </w:rPr>
        <w:t>רבא אמר</w:t>
      </w:r>
      <w:r>
        <w:rPr>
          <w:rFonts w:cs="Arial"/>
          <w:rtl/>
        </w:rPr>
        <w:t>: לפי שאין עדים מצויין לקיימו</w:t>
      </w:r>
      <w:r>
        <w:rPr>
          <w:rStyle w:val="a7"/>
          <w:rFonts w:cs="Arial"/>
          <w:rtl/>
        </w:rPr>
        <w:footnoteReference w:id="2223"/>
      </w:r>
      <w:r>
        <w:rPr>
          <w:rFonts w:cs="Arial"/>
          <w:rtl/>
        </w:rPr>
        <w:t>. מאי בינייהו? איכא בינייהו, דאתיוהו בי תרי</w:t>
      </w:r>
      <w:r>
        <w:rPr>
          <w:rStyle w:val="a7"/>
          <w:rFonts w:cs="Arial"/>
          <w:rtl/>
        </w:rPr>
        <w:footnoteReference w:id="2224"/>
      </w:r>
      <w:r>
        <w:rPr>
          <w:rFonts w:cs="Arial"/>
          <w:rtl/>
        </w:rPr>
        <w:t>. אי נמי, ממדינה למדינה בארץ ישראל</w:t>
      </w:r>
      <w:r>
        <w:rPr>
          <w:rStyle w:val="a7"/>
          <w:rFonts w:cs="Arial"/>
          <w:rtl/>
        </w:rPr>
        <w:footnoteReference w:id="2225"/>
      </w:r>
      <w:r>
        <w:rPr>
          <w:rFonts w:cs="Arial"/>
          <w:rtl/>
        </w:rPr>
        <w:t>. אי נמי, באותה מדינה</w:t>
      </w:r>
      <w:r>
        <w:rPr>
          <w:rStyle w:val="a7"/>
          <w:rFonts w:cs="Arial"/>
          <w:rtl/>
        </w:rPr>
        <w:footnoteReference w:id="2226"/>
      </w:r>
      <w:r>
        <w:rPr>
          <w:rFonts w:cs="Arial"/>
          <w:rtl/>
        </w:rPr>
        <w:t xml:space="preserve"> במדינת הים...</w:t>
      </w:r>
      <w:r>
        <w:rPr>
          <w:rFonts w:cs="Arial"/>
          <w:sz w:val="14"/>
          <w:szCs w:val="14"/>
          <w:rtl/>
        </w:rPr>
        <w:t xml:space="preserve"> (ג.) </w:t>
      </w:r>
      <w:r>
        <w:rPr>
          <w:rFonts w:cs="Arial"/>
          <w:rtl/>
        </w:rPr>
        <w:t xml:space="preserve">ולרבא, דאמר לפי שאין עדים מצויין לקיימו, ליבעי תרי, מידי דהוה אקיום שטרות דעלמא! עד א' נאמן באיסורין. אימר דאמרינן עד אחד נאמן באיסורין, כגון חתיכה ספק של חלב ספק של שומן, דלא איתחזק איסורא, אבל הכא איתחזק איסורא דאשת איש הוי דבר שבערוה, ואין דבר שבערוה פחות מב'! בדין הוא דבקיום שטרות נמי לא ליבעי, כדר"ל, דאמר ר"ל: עדים החתומים על השטר </w:t>
      </w:r>
      <w:r w:rsidR="00A82951">
        <w:rPr>
          <w:rFonts w:cs="Arial"/>
          <w:rtl/>
        </w:rPr>
        <w:t>-</w:t>
      </w:r>
      <w:r>
        <w:rPr>
          <w:rFonts w:cs="Arial"/>
          <w:rtl/>
        </w:rPr>
        <w:t xml:space="preserve"> נעשו כמי שנחקרה עדותן בב"ד, ורבנן הוא דאצרוך, והכא משום עיגונא אקילו בה רבנן. האי קולא הוא? חומרא הוא, דאי מצרכת ליה תרי </w:t>
      </w:r>
      <w:r w:rsidR="00A82951">
        <w:rPr>
          <w:rFonts w:cs="Arial"/>
          <w:rtl/>
        </w:rPr>
        <w:t>-</w:t>
      </w:r>
      <w:r>
        <w:rPr>
          <w:rFonts w:cs="Arial"/>
          <w:rtl/>
        </w:rPr>
        <w:t xml:space="preserve"> לא אתי בעל מערער ופסיל ליה, חד </w:t>
      </w:r>
      <w:r w:rsidR="00A82951">
        <w:rPr>
          <w:rFonts w:cs="Arial"/>
          <w:rtl/>
        </w:rPr>
        <w:t>-</w:t>
      </w:r>
      <w:r>
        <w:rPr>
          <w:rFonts w:cs="Arial"/>
          <w:rtl/>
        </w:rPr>
        <w:t xml:space="preserve"> אתי בעל ומערער ופסיל ליה! כיון דאמר מר: בפני כמה נותנו לה? רבי יוחנן ורבי חנינא, חד אמר: בפני שנים, וחד אמר: בפני ג', מעיקרא מידק דייק</w:t>
      </w:r>
      <w:r>
        <w:rPr>
          <w:rStyle w:val="a7"/>
          <w:rFonts w:cs="Arial"/>
          <w:rtl/>
        </w:rPr>
        <w:footnoteReference w:id="2227"/>
      </w:r>
      <w:r>
        <w:rPr>
          <w:rFonts w:cs="Arial"/>
          <w:rtl/>
        </w:rPr>
        <w:t xml:space="preserve"> ולא אתי לאורועי נפשיה. </w:t>
      </w:r>
      <w:r>
        <w:rPr>
          <w:rFonts w:cs="Arial"/>
          <w:sz w:val="16"/>
          <w:szCs w:val="16"/>
          <w:rtl/>
        </w:rPr>
        <w:t>(וכתב הר"ן (א: ד"ה והוי) שהראב"ד (הו"ד בספר הזכות שם) פסק כרבה. אבל הרי"ף (שם) והרא"ש (סי' ב) כתבו דסוגיין כרבא דהיכא דאיכא עדים מצויין לקיימו לא צריך לומר בפני נכתב ובפני נחתם. וכן דעת הרמב"ם בפ"ז (ה"ח), ב"י)</w:t>
      </w:r>
    </w:p>
    <w:p w14:paraId="4D2D20BD" w14:textId="77777777" w:rsidR="00C97BEF" w:rsidRDefault="00C97BEF" w:rsidP="00C97BEF">
      <w:pPr>
        <w:rPr>
          <w:rFonts w:cs="Arial"/>
          <w:u w:val="single"/>
          <w:rtl/>
        </w:rPr>
      </w:pPr>
      <w:r>
        <w:rPr>
          <w:rFonts w:cs="Arial"/>
          <w:u w:val="single"/>
          <w:rtl/>
        </w:rPr>
        <w:t>איזה שליח צריך לומר בפני נכתב ובפני נחתם:</w:t>
      </w:r>
    </w:p>
    <w:p w14:paraId="574DBFAF" w14:textId="15F5BC42"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המביא גט ממדינת הים והבעל עשאו שליח להוליכו</w:t>
      </w:r>
      <w:r>
        <w:rPr>
          <w:rStyle w:val="a7"/>
          <w:rFonts w:cs="Arial"/>
          <w:rtl/>
        </w:rPr>
        <w:footnoteReference w:id="2228"/>
      </w:r>
      <w:r>
        <w:rPr>
          <w:rFonts w:cs="Arial"/>
          <w:rtl/>
        </w:rPr>
        <w:t xml:space="preserve"> לאשתו, צריך שיעמוד על כתיבתו וחתימתו, ויאמר בפני נכתב ובפני נחתם. אבל מארץ ישראל אין צריך. וטעמא, משום דבחוצה לארץ אין עדים מצויין לקיימו, ואם תינשא בו היום או מחר יבא הבעל ויערער ולא תוכל למצוא עדים לקיימו, לכך תקנו שלא תתגרש בו עד שיאמר השליח בפני נכתב ובפני נחתם והאמינוהו, ואז לא נחוש לערערו של הבעל. אבל בא"י, שתוכל לקיימו, תינשא בו אע"פ שלא אמר בפני נכתב ובפני נחתם</w:t>
      </w:r>
      <w:r>
        <w:rPr>
          <w:rStyle w:val="a7"/>
          <w:rFonts w:cs="Arial"/>
          <w:rtl/>
        </w:rPr>
        <w:footnoteReference w:id="2229"/>
      </w:r>
      <w:r>
        <w:rPr>
          <w:rFonts w:cs="Arial"/>
          <w:rtl/>
        </w:rPr>
        <w:t>. ומטעם זה אפי' חמש נשים שאינן נאמנות להביא גט בא"י כדפרישית לעיל</w:t>
      </w:r>
      <w:r>
        <w:rPr>
          <w:rFonts w:cs="Arial"/>
          <w:sz w:val="16"/>
          <w:szCs w:val="16"/>
          <w:rtl/>
        </w:rPr>
        <w:t xml:space="preserve"> (סי' קמא סנ"ד)</w:t>
      </w:r>
      <w:r>
        <w:rPr>
          <w:rFonts w:cs="Arial"/>
          <w:rtl/>
        </w:rPr>
        <w:t xml:space="preserve">, נאמנות להביאו בח"ל ולומר בפני נכתב ובפני נחתם, דליכא למיחש שמא מכוונות לקלקלה כיון שאין הבעל יכול לערער. </w:t>
      </w:r>
    </w:p>
    <w:p w14:paraId="5CBF9249" w14:textId="6AE1FE01" w:rsidR="00C97BEF" w:rsidRDefault="00C97BEF" w:rsidP="006A458D">
      <w:pPr>
        <w:pStyle w:val="ab"/>
        <w:numPr>
          <w:ilvl w:val="0"/>
          <w:numId w:val="112"/>
        </w:numPr>
      </w:pPr>
      <w:r>
        <w:rPr>
          <w:rFonts w:cs="Arial"/>
          <w:rtl/>
        </w:rPr>
        <w:t xml:space="preserve">רמב"ם </w:t>
      </w:r>
      <w:r>
        <w:rPr>
          <w:rFonts w:cs="Arial"/>
          <w:sz w:val="16"/>
          <w:szCs w:val="16"/>
          <w:rtl/>
        </w:rPr>
        <w:t>(פ"ז ה"ה</w:t>
      </w:r>
      <w:r w:rsidR="00A82951">
        <w:rPr>
          <w:rFonts w:cs="Arial"/>
          <w:sz w:val="16"/>
          <w:szCs w:val="16"/>
          <w:rtl/>
        </w:rPr>
        <w:t>-</w:t>
      </w:r>
      <w:r>
        <w:rPr>
          <w:rFonts w:cs="Arial"/>
          <w:sz w:val="16"/>
          <w:szCs w:val="16"/>
          <w:rtl/>
        </w:rPr>
        <w:t>ו)</w:t>
      </w:r>
      <w:r w:rsidR="00A82951">
        <w:rPr>
          <w:rFonts w:cs="Arial"/>
          <w:rtl/>
        </w:rPr>
        <w:t>-</w:t>
      </w:r>
      <w:r>
        <w:rPr>
          <w:rFonts w:cs="Arial"/>
          <w:rtl/>
        </w:rPr>
        <w:t xml:space="preserve"> שליח שהביא גט ממקום למקום בחוצה לארץ</w:t>
      </w:r>
      <w:r w:rsidR="00A72595">
        <w:rPr>
          <w:rFonts w:cs="Arial" w:hint="cs"/>
          <w:rtl/>
        </w:rPr>
        <w:t>,</w:t>
      </w:r>
      <w:r>
        <w:rPr>
          <w:rFonts w:cs="Arial"/>
          <w:rtl/>
        </w:rPr>
        <w:t xml:space="preserve"> או מארץ ישראל לחוצה לארץ</w:t>
      </w:r>
      <w:r w:rsidR="00A72595">
        <w:rPr>
          <w:rFonts w:cs="Arial" w:hint="cs"/>
          <w:rtl/>
        </w:rPr>
        <w:t>,</w:t>
      </w:r>
      <w:r>
        <w:rPr>
          <w:rFonts w:cs="Arial"/>
          <w:rtl/>
        </w:rPr>
        <w:t xml:space="preserve"> או מחוצה לארץ לארץ ישראל</w:t>
      </w:r>
      <w:r w:rsidR="00A72595">
        <w:rPr>
          <w:rFonts w:cs="Arial" w:hint="cs"/>
          <w:rtl/>
        </w:rPr>
        <w:t>,</w:t>
      </w:r>
      <w:r>
        <w:rPr>
          <w:rFonts w:cs="Arial"/>
          <w:rtl/>
        </w:rPr>
        <w:t xml:space="preserve"> אם היה השליח עומד שם בשעת כתיבת הגט וחתימתו הרי זה אומר בפני שנים בפני נכתב ובפני נחתם ואח</w:t>
      </w:r>
      <w:r w:rsidR="00A72595">
        <w:rPr>
          <w:rFonts w:cs="Arial" w:hint="cs"/>
          <w:rtl/>
        </w:rPr>
        <w:t>"</w:t>
      </w:r>
      <w:r>
        <w:rPr>
          <w:rFonts w:cs="Arial"/>
          <w:rtl/>
        </w:rPr>
        <w:t>כ יתן לה בפניהם ותתגרש בו ואע</w:t>
      </w:r>
      <w:r w:rsidR="00A72595">
        <w:rPr>
          <w:rFonts w:cs="Arial" w:hint="cs"/>
          <w:rtl/>
        </w:rPr>
        <w:t>"</w:t>
      </w:r>
      <w:r>
        <w:rPr>
          <w:rFonts w:cs="Arial"/>
          <w:rtl/>
        </w:rPr>
        <w:t xml:space="preserve">פ שאין עדיו ידועין אצלנו, ואפילו היו עדיו כשמות </w:t>
      </w:r>
      <w:r>
        <w:rPr>
          <w:rFonts w:cs="Arial"/>
          <w:rtl/>
        </w:rPr>
        <w:lastRenderedPageBreak/>
        <w:t>הגוים אין חוששין להן.</w:t>
      </w:r>
      <w:r>
        <w:rPr>
          <w:rtl/>
        </w:rPr>
        <w:t xml:space="preserve"> </w:t>
      </w:r>
      <w:r>
        <w:rPr>
          <w:rFonts w:cs="Arial"/>
          <w:rtl/>
        </w:rPr>
        <w:t xml:space="preserve">בא הבעל וערער </w:t>
      </w:r>
      <w:r w:rsidR="00A72595">
        <w:rPr>
          <w:rFonts w:cs="Arial" w:hint="cs"/>
          <w:rtl/>
        </w:rPr>
        <w:t xml:space="preserve">- </w:t>
      </w:r>
      <w:r>
        <w:rPr>
          <w:rFonts w:cs="Arial"/>
          <w:rtl/>
        </w:rPr>
        <w:t>אין משגיחין בו</w:t>
      </w:r>
      <w:r w:rsidR="00A72595">
        <w:rPr>
          <w:rFonts w:cs="Arial" w:hint="cs"/>
          <w:rtl/>
        </w:rPr>
        <w:t>.</w:t>
      </w:r>
      <w:r>
        <w:rPr>
          <w:rFonts w:cs="Arial"/>
          <w:rtl/>
        </w:rPr>
        <w:t xml:space="preserve"> לפיכך אף הנשים ששונאות זו את זו נאמנות להביא גט זה ולומר בפני נכתב ובפני נחתם.</w:t>
      </w:r>
      <w:r>
        <w:rPr>
          <w:rtl/>
        </w:rPr>
        <w:t xml:space="preserve"> </w:t>
      </w:r>
      <w:r>
        <w:rPr>
          <w:color w:val="E36C0A" w:themeColor="accent6" w:themeShade="BF"/>
          <w:rtl/>
        </w:rPr>
        <w:t>(וכ"פ בשו"ע)</w:t>
      </w:r>
    </w:p>
    <w:p w14:paraId="3C5BE212" w14:textId="6331A057" w:rsidR="00C97BEF" w:rsidRDefault="00C97BEF" w:rsidP="00C97BEF">
      <w:pPr>
        <w:rPr>
          <w:rFonts w:cs="Arial"/>
        </w:rPr>
      </w:pPr>
      <w:r>
        <w:rPr>
          <w:rFonts w:cs="Arial"/>
          <w:b/>
          <w:bCs/>
          <w:rtl/>
        </w:rPr>
        <w:t xml:space="preserve">גיטין </w:t>
      </w:r>
      <w:r>
        <w:rPr>
          <w:rFonts w:cs="Arial"/>
          <w:b/>
          <w:bCs/>
          <w:sz w:val="16"/>
          <w:szCs w:val="16"/>
          <w:rtl/>
        </w:rPr>
        <w:t>(פ"ק)</w:t>
      </w:r>
      <w:r>
        <w:rPr>
          <w:rFonts w:cs="Arial"/>
          <w:b/>
          <w:bCs/>
          <w:rtl/>
        </w:rPr>
        <w:t xml:space="preserve"> ו ע"א:</w:t>
      </w:r>
      <w:r>
        <w:rPr>
          <w:rFonts w:cs="Arial"/>
          <w:rtl/>
        </w:rPr>
        <w:t xml:space="preserve"> </w:t>
      </w:r>
      <w:r>
        <w:rPr>
          <w:rFonts w:cs="Arial"/>
          <w:u w:val="single"/>
          <w:rtl/>
        </w:rPr>
        <w:t>רב חנין מישתעי</w:t>
      </w:r>
      <w:r>
        <w:rPr>
          <w:rFonts w:cs="Arial"/>
          <w:rtl/>
        </w:rPr>
        <w:t>: רב כהנא אייתי גיטא, ולא ידענא אי מסורא לנהרדעא אי מנהרדעא לסורא, אתא לקמיה דרב, א"ל: צריכנא למימר בפני נכתב ובפני נחתם או לא צריכנא? אמר ליה: לא צריכת,</w:t>
      </w:r>
      <w:r>
        <w:rPr>
          <w:rtl/>
        </w:rPr>
        <w:t xml:space="preserve"> </w:t>
      </w:r>
      <w:r>
        <w:rPr>
          <w:sz w:val="14"/>
          <w:szCs w:val="14"/>
          <w:rtl/>
        </w:rPr>
        <w:t xml:space="preserve">(ו:) </w:t>
      </w:r>
      <w:r>
        <w:rPr>
          <w:rFonts w:cs="Arial"/>
          <w:rtl/>
        </w:rPr>
        <w:t xml:space="preserve">ואי עבדת אהנית. מאי אי עבדת אהנית? דאי אתי בעל מערער, לא משגחינן ביה. כדתניא: מעשה באדם אחד שהביא גט לפני רבי ישמעאל, אמר לו: צריך אני לומר בפני נכתב ובפני נחתם או איני צריך? אמר לו: בני, מהיכן אתה? אמר לו: רבי, מכפר סיסאי אני, אמר לו: צריך אתה לומר בפני נכתב ובפני נחתם, שלא תיזקק לעדים. לאחר שיצא נכנס לפניו רבי אלעאי, אמר לו: רבי, והלא כפר סיסאי מובלעת בתחום ארץ ישראל, וקרובה לציפורי יותר מעכו! ותנן, רבי מאיר אומר: עכו </w:t>
      </w:r>
      <w:r w:rsidR="00A82951">
        <w:rPr>
          <w:rFonts w:cs="Arial"/>
          <w:rtl/>
        </w:rPr>
        <w:t>-</w:t>
      </w:r>
      <w:r>
        <w:rPr>
          <w:rFonts w:cs="Arial"/>
          <w:rtl/>
        </w:rPr>
        <w:t xml:space="preserve"> כארץ ישראל לגיטין, ואפי' רבנן לא פליגי עליה דר"מ </w:t>
      </w:r>
      <w:r w:rsidR="00A82951">
        <w:rPr>
          <w:rFonts w:cs="Arial"/>
          <w:rtl/>
        </w:rPr>
        <w:t>-</w:t>
      </w:r>
      <w:r>
        <w:rPr>
          <w:rFonts w:cs="Arial"/>
          <w:rtl/>
        </w:rPr>
        <w:t xml:space="preserve"> אלא בעכו דמרחקא, אבל כפר סיסאי דמקרבא </w:t>
      </w:r>
      <w:r w:rsidR="00A82951">
        <w:rPr>
          <w:rFonts w:cs="Arial"/>
          <w:rtl/>
        </w:rPr>
        <w:t>-</w:t>
      </w:r>
      <w:r>
        <w:rPr>
          <w:rFonts w:cs="Arial"/>
          <w:rtl/>
        </w:rPr>
        <w:t xml:space="preserve"> לא! אמר לו: שתוק, בני, שתוק, הואיל ויצא הדבר בהיתר יצא. הא איהו נמי שלא תיזקק לעדים קאמר ליה! לא סיימוה קמיה</w:t>
      </w:r>
      <w:r>
        <w:rPr>
          <w:rStyle w:val="a7"/>
          <w:rFonts w:cs="Arial"/>
          <w:rtl/>
        </w:rPr>
        <w:footnoteReference w:id="2230"/>
      </w:r>
      <w:r>
        <w:rPr>
          <w:rFonts w:cs="Arial"/>
          <w:rtl/>
        </w:rPr>
        <w:t>.</w:t>
      </w:r>
    </w:p>
    <w:p w14:paraId="2BFCA76E" w14:textId="7B28E9DA" w:rsidR="00C97BEF" w:rsidRDefault="00C97BEF" w:rsidP="00C97BEF">
      <w:pPr>
        <w:rPr>
          <w:rFonts w:cs="Arial"/>
          <w:u w:val="single"/>
          <w:rtl/>
        </w:rPr>
      </w:pPr>
      <w:r>
        <w:rPr>
          <w:rFonts w:cs="Arial"/>
          <w:u w:val="single"/>
          <w:rtl/>
        </w:rPr>
        <w:t xml:space="preserve">האומר בפ"נ ובפ"נ </w:t>
      </w:r>
      <w:r>
        <w:rPr>
          <w:rFonts w:cs="Arial"/>
          <w:b/>
          <w:bCs/>
          <w:u w:val="single"/>
          <w:rtl/>
        </w:rPr>
        <w:t>בארץ ישראל</w:t>
      </w:r>
      <w:r>
        <w:rPr>
          <w:rFonts w:cs="Arial"/>
          <w:u w:val="single"/>
          <w:rtl/>
        </w:rPr>
        <w:t xml:space="preserve"> </w:t>
      </w:r>
      <w:r w:rsidR="00A82951">
        <w:rPr>
          <w:rFonts w:cs="Arial"/>
          <w:u w:val="single"/>
          <w:rtl/>
        </w:rPr>
        <w:t>-</w:t>
      </w:r>
      <w:r>
        <w:rPr>
          <w:rFonts w:cs="Arial"/>
          <w:u w:val="single"/>
          <w:rtl/>
        </w:rPr>
        <w:t xml:space="preserve"> האם מועיל בכך לדחות ערעורו של בעל:</w:t>
      </w:r>
    </w:p>
    <w:p w14:paraId="16AFE71A" w14:textId="41ADA02C" w:rsidR="00C97BEF" w:rsidRDefault="00C97BEF" w:rsidP="006A458D">
      <w:pPr>
        <w:pStyle w:val="ab"/>
        <w:numPr>
          <w:ilvl w:val="0"/>
          <w:numId w:val="112"/>
        </w:numPr>
        <w:rPr>
          <w:rtl/>
        </w:rPr>
      </w:pPr>
      <w:r>
        <w:rPr>
          <w:rFonts w:cs="Arial"/>
          <w:rtl/>
        </w:rPr>
        <w:t xml:space="preserve">רמב"ם </w:t>
      </w:r>
      <w:r>
        <w:rPr>
          <w:rFonts w:cs="Arial"/>
          <w:sz w:val="16"/>
          <w:szCs w:val="16"/>
          <w:rtl/>
        </w:rPr>
        <w:t>(פ"ז ה"ז)</w:t>
      </w:r>
      <w:r>
        <w:rPr>
          <w:rFonts w:cs="Arial"/>
          <w:rtl/>
        </w:rPr>
        <w:t xml:space="preserve"> וטור</w:t>
      </w:r>
      <w:r w:rsidR="00A82951">
        <w:rPr>
          <w:rFonts w:cs="Arial"/>
          <w:rtl/>
        </w:rPr>
        <w:t>-</w:t>
      </w:r>
      <w:r>
        <w:rPr>
          <w:rFonts w:cs="Arial"/>
          <w:rtl/>
        </w:rPr>
        <w:t xml:space="preserve"> וכן שליח שהביא גט בארץ ישראל ואמר בפני נכתב ובפני נחתם אע</w:t>
      </w:r>
      <w:r w:rsidR="00A72595">
        <w:rPr>
          <w:rFonts w:cs="Arial" w:hint="cs"/>
          <w:rtl/>
        </w:rPr>
        <w:t>"</w:t>
      </w:r>
      <w:r>
        <w:rPr>
          <w:rFonts w:cs="Arial"/>
          <w:rtl/>
        </w:rPr>
        <w:t>פ שאינו צריך</w:t>
      </w:r>
      <w:r w:rsidR="00A72595">
        <w:rPr>
          <w:rFonts w:cs="Arial" w:hint="cs"/>
          <w:rtl/>
        </w:rPr>
        <w:t>,</w:t>
      </w:r>
      <w:r>
        <w:rPr>
          <w:rFonts w:cs="Arial"/>
          <w:rtl/>
        </w:rPr>
        <w:t xml:space="preserve"> אם יבא הבעל ויערער </w:t>
      </w:r>
      <w:r w:rsidR="00A72595">
        <w:rPr>
          <w:rFonts w:cs="Arial" w:hint="cs"/>
          <w:rtl/>
        </w:rPr>
        <w:t xml:space="preserve">- </w:t>
      </w:r>
      <w:r>
        <w:rPr>
          <w:rFonts w:cs="Arial"/>
          <w:rtl/>
        </w:rPr>
        <w:t>אין משגיחין בו</w:t>
      </w:r>
      <w:r>
        <w:rPr>
          <w:rFonts w:cs="Arial"/>
          <w:sz w:val="16"/>
          <w:szCs w:val="16"/>
          <w:rtl/>
        </w:rPr>
        <w:t xml:space="preserve"> (ל' הרמב"ם)</w:t>
      </w:r>
      <w:r>
        <w:rPr>
          <w:rFonts w:cs="Arial"/>
          <w:rtl/>
        </w:rPr>
        <w:t xml:space="preserve">. </w:t>
      </w:r>
      <w:r w:rsidR="00685F53">
        <w:rPr>
          <w:color w:val="E36C0A" w:themeColor="accent6" w:themeShade="BF"/>
          <w:rtl/>
        </w:rPr>
        <w:t>(וכ"פ בשו"ע)</w:t>
      </w:r>
    </w:p>
    <w:p w14:paraId="75419680" w14:textId="7F7BF590" w:rsidR="00C97BEF" w:rsidRDefault="00C97BEF" w:rsidP="00C97BEF">
      <w:pPr>
        <w:rPr>
          <w:rFonts w:cs="Arial"/>
        </w:rPr>
      </w:pPr>
      <w:r>
        <w:rPr>
          <w:rFonts w:cs="Arial"/>
          <w:b/>
          <w:bCs/>
          <w:rtl/>
        </w:rPr>
        <w:t xml:space="preserve">גיטין </w:t>
      </w:r>
      <w:r>
        <w:rPr>
          <w:rFonts w:cs="Arial"/>
          <w:b/>
          <w:bCs/>
          <w:sz w:val="16"/>
          <w:szCs w:val="16"/>
          <w:rtl/>
        </w:rPr>
        <w:t>(פ"ק)</w:t>
      </w:r>
      <w:r>
        <w:rPr>
          <w:rFonts w:cs="Arial"/>
          <w:b/>
          <w:bCs/>
          <w:rtl/>
        </w:rPr>
        <w:t xml:space="preserve"> ה ע"ב:</w:t>
      </w:r>
      <w:r>
        <w:rPr>
          <w:rFonts w:cs="Arial"/>
          <w:rtl/>
        </w:rPr>
        <w:t xml:space="preserve"> תניא כוותיה דרבי יוחנן: המביא גט ממדינת הים, ונתנו לה ולא אמר לה בפני נכתב ובפני נחתם </w:t>
      </w:r>
      <w:r w:rsidR="00A82951">
        <w:rPr>
          <w:rFonts w:cs="Arial"/>
          <w:rtl/>
        </w:rPr>
        <w:t>-</w:t>
      </w:r>
      <w:r>
        <w:rPr>
          <w:rFonts w:cs="Arial"/>
          <w:rtl/>
        </w:rPr>
        <w:t xml:space="preserve"> יוציא, והולד ממזר, </w:t>
      </w:r>
      <w:r>
        <w:rPr>
          <w:rFonts w:cs="Arial"/>
          <w:u w:val="single"/>
          <w:rtl/>
        </w:rPr>
        <w:t>דברי רבי מאיר</w:t>
      </w:r>
      <w:r>
        <w:rPr>
          <w:rFonts w:cs="Arial"/>
          <w:rtl/>
        </w:rPr>
        <w:t xml:space="preserve">. </w:t>
      </w:r>
      <w:r>
        <w:rPr>
          <w:rFonts w:cs="Arial"/>
          <w:u w:val="single"/>
          <w:rtl/>
        </w:rPr>
        <w:t>וחכ"א</w:t>
      </w:r>
      <w:r>
        <w:rPr>
          <w:rFonts w:cs="Arial"/>
          <w:rtl/>
        </w:rPr>
        <w:t>: אין הולד ממזר. כיצד יעשה</w:t>
      </w:r>
      <w:r>
        <w:rPr>
          <w:rStyle w:val="a7"/>
          <w:rFonts w:cs="Arial"/>
          <w:rtl/>
        </w:rPr>
        <w:footnoteReference w:id="2231"/>
      </w:r>
      <w:r>
        <w:rPr>
          <w:rFonts w:cs="Arial"/>
          <w:rtl/>
        </w:rPr>
        <w:t xml:space="preserve">? יטלנו הימנה, ויחזור ויתננו לה בפני שנים ויאמר בפני נכתב ובפני נחתם. </w:t>
      </w:r>
      <w:r>
        <w:rPr>
          <w:rFonts w:cs="Arial"/>
          <w:sz w:val="16"/>
          <w:szCs w:val="16"/>
          <w:rtl/>
        </w:rPr>
        <w:t xml:space="preserve">(וכתב הרשב"א (ה: ד"ה כיצד יעשה) שבירושלמי (פ"א ה"ב) משמע דהלכה כרבי מאיר, מיהו דעתו מסכמת דהלכה כחכמים. וכן דעת הר"ן (ב. ד"ה ולענין), וכן דעת הרמב"ם בפ"ז (הי"ז). והגה"מ (פ"ז אות ד) כתבו בשם סמ"ג (עשין נ קל.) והתרומה שר"י כתב צריך עיון אם הלכה כרבי מאיר בגזירותיו, ב"י. </w:t>
      </w:r>
      <w:r w:rsidR="00685F53">
        <w:rPr>
          <w:rFonts w:cs="Arial" w:hint="cs"/>
          <w:sz w:val="16"/>
          <w:szCs w:val="16"/>
          <w:rtl/>
        </w:rPr>
        <w:t xml:space="preserve">    </w:t>
      </w:r>
      <w:r>
        <w:rPr>
          <w:rFonts w:cs="Arial"/>
          <w:sz w:val="16"/>
          <w:szCs w:val="16"/>
          <w:rtl/>
        </w:rPr>
        <w:t xml:space="preserve">אבל ר"ח פוסק כר' מאיר דכל המשנה ממטבע שטבעו חכמים בגיטין הולד ממזר, הג"א </w:t>
      </w:r>
      <w:r w:rsidR="00685F53">
        <w:rPr>
          <w:rFonts w:cs="Arial" w:hint="cs"/>
          <w:sz w:val="16"/>
          <w:szCs w:val="16"/>
          <w:rtl/>
        </w:rPr>
        <w:t>(</w:t>
      </w:r>
      <w:r>
        <w:rPr>
          <w:rFonts w:cs="Arial"/>
          <w:sz w:val="16"/>
          <w:szCs w:val="16"/>
          <w:rtl/>
        </w:rPr>
        <w:t>פ"א סי' ה הגהה א</w:t>
      </w:r>
      <w:r w:rsidR="00685F53">
        <w:rPr>
          <w:rFonts w:cs="Arial" w:hint="cs"/>
          <w:sz w:val="16"/>
          <w:szCs w:val="16"/>
          <w:rtl/>
        </w:rPr>
        <w:t>)</w:t>
      </w:r>
      <w:r>
        <w:rPr>
          <w:rFonts w:cs="Arial"/>
          <w:sz w:val="16"/>
          <w:szCs w:val="16"/>
          <w:rtl/>
        </w:rPr>
        <w:t xml:space="preserve"> בשם או"ז) </w:t>
      </w:r>
    </w:p>
    <w:p w14:paraId="7037A655" w14:textId="77777777" w:rsidR="00C97BEF" w:rsidRDefault="00C97BEF" w:rsidP="00C97BEF">
      <w:pPr>
        <w:rPr>
          <w:u w:val="single"/>
          <w:rtl/>
        </w:rPr>
      </w:pPr>
      <w:r>
        <w:rPr>
          <w:u w:val="single"/>
          <w:rtl/>
        </w:rPr>
        <w:t xml:space="preserve">שליח שהביא גט ממדינת הים </w:t>
      </w:r>
      <w:r>
        <w:rPr>
          <w:b/>
          <w:bCs/>
          <w:u w:val="single"/>
          <w:rtl/>
        </w:rPr>
        <w:t>ולא אמר</w:t>
      </w:r>
      <w:r>
        <w:rPr>
          <w:u w:val="single"/>
          <w:rtl/>
        </w:rPr>
        <w:t xml:space="preserve"> בפ"נ ובפ"נ </w:t>
      </w:r>
      <w:r>
        <w:rPr>
          <w:sz w:val="16"/>
          <w:szCs w:val="16"/>
          <w:u w:val="single"/>
          <w:rtl/>
        </w:rPr>
        <w:t>(או שלא ראה את הכתיבה והחתימה)</w:t>
      </w:r>
      <w:r>
        <w:rPr>
          <w:u w:val="single"/>
          <w:rtl/>
        </w:rPr>
        <w:t>:</w:t>
      </w:r>
    </w:p>
    <w:p w14:paraId="21F4F235" w14:textId="603D1EA2" w:rsidR="00C97BEF" w:rsidRDefault="00C97BEF" w:rsidP="006A458D">
      <w:pPr>
        <w:pStyle w:val="ab"/>
        <w:numPr>
          <w:ilvl w:val="0"/>
          <w:numId w:val="112"/>
        </w:numPr>
        <w:rPr>
          <w:rtl/>
        </w:rPr>
      </w:pPr>
      <w:r>
        <w:rPr>
          <w:rFonts w:cs="Arial"/>
          <w:rtl/>
        </w:rPr>
        <w:t xml:space="preserve">תוס' </w:t>
      </w:r>
      <w:r>
        <w:rPr>
          <w:rFonts w:cs="Arial"/>
          <w:sz w:val="16"/>
          <w:szCs w:val="16"/>
          <w:rtl/>
        </w:rPr>
        <w:t>(שם ד"ה כיצד יעשה)</w:t>
      </w:r>
      <w:r>
        <w:rPr>
          <w:rFonts w:cs="Arial"/>
          <w:rtl/>
        </w:rPr>
        <w:t xml:space="preserve"> רא"ש </w:t>
      </w:r>
      <w:r>
        <w:rPr>
          <w:rFonts w:cs="Arial"/>
          <w:sz w:val="16"/>
          <w:szCs w:val="16"/>
          <w:rtl/>
        </w:rPr>
        <w:t xml:space="preserve">(פ"א סי' ה) </w:t>
      </w:r>
      <w:r>
        <w:rPr>
          <w:rFonts w:cs="Arial"/>
          <w:rtl/>
        </w:rPr>
        <w:t>וטור</w:t>
      </w:r>
      <w:r w:rsidR="00A82951">
        <w:rPr>
          <w:rFonts w:cs="Arial"/>
          <w:rtl/>
        </w:rPr>
        <w:t>-</w:t>
      </w:r>
      <w:r>
        <w:rPr>
          <w:rFonts w:cs="Arial"/>
          <w:rtl/>
        </w:rPr>
        <w:t xml:space="preserve"> לא אמר השליח בפני נכתב ובפני נחתם ונתנו לה </w:t>
      </w:r>
      <w:r w:rsidR="00A82951">
        <w:rPr>
          <w:rFonts w:cs="Arial"/>
          <w:rtl/>
        </w:rPr>
        <w:t>-</w:t>
      </w:r>
      <w:r>
        <w:rPr>
          <w:rFonts w:cs="Arial"/>
          <w:rtl/>
        </w:rPr>
        <w:t xml:space="preserve"> לא תינשא בו. ואפילו אם ניסת כבר </w:t>
      </w:r>
      <w:r w:rsidR="00A82951">
        <w:rPr>
          <w:rFonts w:cs="Arial"/>
          <w:rtl/>
        </w:rPr>
        <w:t>-</w:t>
      </w:r>
      <w:r>
        <w:rPr>
          <w:rFonts w:cs="Arial"/>
          <w:rtl/>
        </w:rPr>
        <w:t xml:space="preserve"> תצא אם לא יחזור ויתן כדפרישית. ומיהו אין הולד ממזר</w:t>
      </w:r>
      <w:r>
        <w:rPr>
          <w:rFonts w:cs="Arial"/>
          <w:sz w:val="16"/>
          <w:szCs w:val="16"/>
          <w:rtl/>
        </w:rPr>
        <w:t xml:space="preserve"> (ל' הטור)</w:t>
      </w:r>
      <w:r>
        <w:rPr>
          <w:rFonts w:cs="Arial"/>
          <w:rtl/>
        </w:rPr>
        <w:t xml:space="preserve">. </w:t>
      </w:r>
    </w:p>
    <w:p w14:paraId="4CFCA150" w14:textId="40EFCAC8" w:rsidR="00C97BEF" w:rsidRDefault="00C97BEF" w:rsidP="006A458D">
      <w:pPr>
        <w:pStyle w:val="ab"/>
        <w:numPr>
          <w:ilvl w:val="0"/>
          <w:numId w:val="112"/>
        </w:numPr>
      </w:pPr>
      <w:r>
        <w:rPr>
          <w:rFonts w:cs="Arial"/>
          <w:rtl/>
        </w:rPr>
        <w:t xml:space="preserve">רמב"ם </w:t>
      </w:r>
      <w:r>
        <w:rPr>
          <w:rFonts w:cs="Arial"/>
          <w:sz w:val="16"/>
          <w:szCs w:val="16"/>
          <w:rtl/>
        </w:rPr>
        <w:t>(פ"ז ה"ז</w:t>
      </w:r>
      <w:r w:rsidR="00A82951">
        <w:rPr>
          <w:rFonts w:cs="Arial"/>
          <w:sz w:val="16"/>
          <w:szCs w:val="16"/>
          <w:rtl/>
        </w:rPr>
        <w:t>-</w:t>
      </w:r>
      <w:r>
        <w:rPr>
          <w:rFonts w:cs="Arial"/>
          <w:sz w:val="16"/>
          <w:szCs w:val="16"/>
          <w:rtl/>
        </w:rPr>
        <w:t>ח)</w:t>
      </w:r>
      <w:r w:rsidR="00A82951">
        <w:rPr>
          <w:rFonts w:cs="Arial"/>
          <w:rtl/>
        </w:rPr>
        <w:t>-</w:t>
      </w:r>
      <w:r>
        <w:rPr>
          <w:rFonts w:cs="Arial"/>
          <w:rtl/>
        </w:rPr>
        <w:t xml:space="preserve"> ואם אין השליח עומד בשעת כתיבה וחתימה </w:t>
      </w:r>
      <w:r w:rsidR="00A82951">
        <w:rPr>
          <w:rFonts w:cs="Arial"/>
          <w:rtl/>
        </w:rPr>
        <w:t>-</w:t>
      </w:r>
      <w:r>
        <w:rPr>
          <w:rFonts w:cs="Arial"/>
          <w:rtl/>
        </w:rPr>
        <w:t xml:space="preserve"> לא ינתן לה אלא אם כן נתקיים בחותמיו</w:t>
      </w:r>
      <w:r>
        <w:rPr>
          <w:rStyle w:val="a7"/>
          <w:rFonts w:cs="Arial"/>
          <w:rtl/>
        </w:rPr>
        <w:footnoteReference w:id="2232"/>
      </w:r>
      <w:r>
        <w:rPr>
          <w:rFonts w:cs="Arial"/>
          <w:rtl/>
        </w:rPr>
        <w:t xml:space="preserve">, ויש לשליח להיות מכלל השלשה שיקיימו אותו בחותמיו, ואם לא נתקיים ונתן לה </w:t>
      </w:r>
      <w:r w:rsidR="00A82951">
        <w:rPr>
          <w:rFonts w:cs="Arial"/>
          <w:rtl/>
        </w:rPr>
        <w:t>-</w:t>
      </w:r>
      <w:r>
        <w:rPr>
          <w:rFonts w:cs="Arial"/>
          <w:rtl/>
        </w:rPr>
        <w:t xml:space="preserve"> הרי זה פסול עד שיתקיים... ומפני מה הצריכו לומר בפני נכתב ובפני נחתם בחוצה לארץ, כדי שלא תהיה האשה צריכה לקיימו אם יבוא הבעל ויערער מפני שאין העדים מצויין לקיימו ממקום למקום בחוצה לארץ.</w:t>
      </w:r>
      <w:r>
        <w:rPr>
          <w:color w:val="E36C0A" w:themeColor="accent6" w:themeShade="BF"/>
          <w:rtl/>
        </w:rPr>
        <w:t xml:space="preserve"> (וכ"פ בשו"ע)</w:t>
      </w:r>
    </w:p>
    <w:p w14:paraId="12C54D89" w14:textId="1FE0B5A2" w:rsidR="00C97BEF" w:rsidRDefault="00C97BEF" w:rsidP="006A458D">
      <w:pPr>
        <w:pStyle w:val="ab"/>
        <w:numPr>
          <w:ilvl w:val="0"/>
          <w:numId w:val="112"/>
        </w:numPr>
      </w:pPr>
      <w:r>
        <w:rPr>
          <w:rFonts w:cs="Arial"/>
          <w:rtl/>
        </w:rPr>
        <w:t xml:space="preserve">רמב"ם </w:t>
      </w:r>
      <w:r>
        <w:rPr>
          <w:rFonts w:cs="Arial"/>
          <w:sz w:val="16"/>
          <w:szCs w:val="16"/>
          <w:rtl/>
        </w:rPr>
        <w:t>(פ"ז הי"ז)</w:t>
      </w:r>
      <w:r w:rsidR="00A82951">
        <w:rPr>
          <w:rFonts w:cs="Arial"/>
          <w:rtl/>
        </w:rPr>
        <w:t>-</w:t>
      </w:r>
      <w:r>
        <w:rPr>
          <w:rFonts w:cs="Arial"/>
          <w:rtl/>
        </w:rPr>
        <w:t xml:space="preserve"> שליח שהביא גט בחוצה לארץ ונתנו לה בינו לבינה, או שנתנו לה בפני שנים ולא אמר בפני נכתב ובפני נחתם </w:t>
      </w:r>
      <w:r w:rsidR="00A82951">
        <w:rPr>
          <w:rFonts w:cs="Arial"/>
          <w:rtl/>
        </w:rPr>
        <w:t>-</w:t>
      </w:r>
      <w:r>
        <w:rPr>
          <w:rFonts w:cs="Arial"/>
          <w:rtl/>
        </w:rPr>
        <w:t xml:space="preserve"> אע"פ שנשאת נוטלו ממנה וחוזר ונותנו לה בפני שנים ואומר בפניהם בפני נכתב ובפני נחתם. ואם לא נטלו ממנה </w:t>
      </w:r>
      <w:r w:rsidR="00A82951">
        <w:rPr>
          <w:rFonts w:cs="Arial"/>
          <w:rtl/>
        </w:rPr>
        <w:t>-</w:t>
      </w:r>
      <w:r>
        <w:rPr>
          <w:rFonts w:cs="Arial"/>
          <w:rtl/>
        </w:rPr>
        <w:t xml:space="preserve"> הרי זה פסול</w:t>
      </w:r>
      <w:r>
        <w:rPr>
          <w:rStyle w:val="a7"/>
          <w:rFonts w:cs="Arial"/>
          <w:rtl/>
        </w:rPr>
        <w:footnoteReference w:id="2233"/>
      </w:r>
      <w:r>
        <w:rPr>
          <w:rFonts w:cs="Arial"/>
          <w:rtl/>
        </w:rPr>
        <w:t xml:space="preserve"> עד שיתקיים בחותמיו.</w:t>
      </w:r>
      <w:r>
        <w:rPr>
          <w:rtl/>
        </w:rPr>
        <w:t xml:space="preserve"> </w:t>
      </w:r>
      <w:r>
        <w:rPr>
          <w:color w:val="E36C0A" w:themeColor="accent6" w:themeShade="BF"/>
          <w:rtl/>
        </w:rPr>
        <w:t>(וכ"פ בשו"ע</w:t>
      </w:r>
      <w:r>
        <w:rPr>
          <w:color w:val="E36C0A" w:themeColor="accent6" w:themeShade="BF"/>
          <w:sz w:val="16"/>
          <w:szCs w:val="16"/>
          <w:rtl/>
        </w:rPr>
        <w:t xml:space="preserve"> </w:t>
      </w:r>
      <w:r>
        <w:rPr>
          <w:color w:val="000000" w:themeColor="text1"/>
          <w:sz w:val="16"/>
          <w:szCs w:val="16"/>
          <w:rtl/>
        </w:rPr>
        <w:t>[בסע' ז]</w:t>
      </w:r>
      <w:r>
        <w:rPr>
          <w:color w:val="E36C0A" w:themeColor="accent6" w:themeShade="BF"/>
          <w:rtl/>
        </w:rPr>
        <w:t>)</w:t>
      </w:r>
    </w:p>
    <w:p w14:paraId="363C4195" w14:textId="77777777" w:rsidR="00C97BEF" w:rsidRDefault="00C97BEF" w:rsidP="00C97BEF">
      <w:pPr>
        <w:ind w:left="360"/>
        <w:rPr>
          <w:rFonts w:cs="Arial"/>
          <w:u w:val="dotted"/>
        </w:rPr>
      </w:pPr>
      <w:r>
        <w:rPr>
          <w:rFonts w:cs="Arial"/>
          <w:u w:val="dotted"/>
          <w:rtl/>
        </w:rPr>
        <w:t>ומה הדין אם הגט הנ"ל אבד או שהבעל ערער:</w:t>
      </w:r>
    </w:p>
    <w:p w14:paraId="40ACCF8A" w14:textId="76A6A976" w:rsidR="00C97BEF" w:rsidRDefault="00C97BEF" w:rsidP="006A458D">
      <w:pPr>
        <w:pStyle w:val="ab"/>
        <w:numPr>
          <w:ilvl w:val="0"/>
          <w:numId w:val="112"/>
        </w:numPr>
        <w:rPr>
          <w:rFonts w:cs="Arial"/>
        </w:rPr>
      </w:pPr>
      <w:r>
        <w:rPr>
          <w:rFonts w:cs="Arial"/>
          <w:rtl/>
        </w:rPr>
        <w:t xml:space="preserve">רמב"ם </w:t>
      </w:r>
      <w:r>
        <w:rPr>
          <w:rFonts w:cs="Arial"/>
          <w:sz w:val="16"/>
          <w:szCs w:val="16"/>
          <w:rtl/>
        </w:rPr>
        <w:t>(פ"ז ה"ז)</w:t>
      </w:r>
      <w:r w:rsidR="00A82951">
        <w:rPr>
          <w:rFonts w:cs="Arial"/>
          <w:rtl/>
        </w:rPr>
        <w:t>-</w:t>
      </w:r>
      <w:r>
        <w:rPr>
          <w:rFonts w:cs="Arial"/>
          <w:rtl/>
        </w:rPr>
        <w:t xml:space="preserve"> ואם בא הבעל וערער ולא נתקיים </w:t>
      </w:r>
      <w:r w:rsidR="00A82951">
        <w:rPr>
          <w:rFonts w:cs="Arial"/>
          <w:rtl/>
        </w:rPr>
        <w:t>-</w:t>
      </w:r>
      <w:r>
        <w:rPr>
          <w:rFonts w:cs="Arial"/>
          <w:rtl/>
        </w:rPr>
        <w:t xml:space="preserve"> אינה מגורשת</w:t>
      </w:r>
      <w:r>
        <w:rPr>
          <w:rStyle w:val="a7"/>
          <w:rFonts w:cs="Arial"/>
          <w:rtl/>
        </w:rPr>
        <w:footnoteReference w:id="2234"/>
      </w:r>
      <w:r>
        <w:rPr>
          <w:rFonts w:cs="Arial"/>
          <w:rtl/>
        </w:rPr>
        <w:t xml:space="preserve">. אבד הגט </w:t>
      </w:r>
      <w:r w:rsidR="00A82951">
        <w:rPr>
          <w:rFonts w:cs="Arial"/>
          <w:rtl/>
        </w:rPr>
        <w:t>-</w:t>
      </w:r>
      <w:r>
        <w:rPr>
          <w:rFonts w:cs="Arial"/>
          <w:rtl/>
        </w:rPr>
        <w:t xml:space="preserve"> הרי זו ספק מגורשת.</w:t>
      </w:r>
      <w:r>
        <w:rPr>
          <w:color w:val="E36C0A" w:themeColor="accent6" w:themeShade="BF"/>
          <w:rtl/>
        </w:rPr>
        <w:t xml:space="preserve"> (וכ"פ בשו"ע)</w:t>
      </w:r>
    </w:p>
    <w:p w14:paraId="40A2B5E1" w14:textId="256749E3" w:rsidR="00C97BEF" w:rsidRDefault="00C97BEF" w:rsidP="006A458D">
      <w:pPr>
        <w:pStyle w:val="ab"/>
        <w:numPr>
          <w:ilvl w:val="0"/>
          <w:numId w:val="112"/>
        </w:numPr>
        <w:rPr>
          <w:rFonts w:cs="Arial"/>
          <w:rtl/>
        </w:rPr>
      </w:pPr>
      <w:r>
        <w:rPr>
          <w:rFonts w:cs="Arial"/>
          <w:rtl/>
        </w:rPr>
        <w:lastRenderedPageBreak/>
        <w:t xml:space="preserve">רא"ש </w:t>
      </w:r>
      <w:r>
        <w:rPr>
          <w:rFonts w:cs="Arial"/>
          <w:sz w:val="16"/>
          <w:szCs w:val="16"/>
          <w:rtl/>
        </w:rPr>
        <w:t xml:space="preserve">(פ"א סי' ה) </w:t>
      </w:r>
      <w:r>
        <w:rPr>
          <w:rFonts w:cs="Arial"/>
          <w:rtl/>
        </w:rPr>
        <w:t>וטור</w:t>
      </w:r>
      <w:r w:rsidR="00A82951">
        <w:rPr>
          <w:rFonts w:cs="Arial"/>
          <w:rtl/>
        </w:rPr>
        <w:t>-</w:t>
      </w:r>
      <w:r>
        <w:rPr>
          <w:rFonts w:cs="Arial"/>
          <w:rtl/>
        </w:rPr>
        <w:t xml:space="preserve"> ואם נאבד הגט</w:t>
      </w:r>
      <w:r w:rsidR="00081489">
        <w:rPr>
          <w:rFonts w:cs="Arial" w:hint="cs"/>
          <w:rtl/>
        </w:rPr>
        <w:t>,</w:t>
      </w:r>
      <w:r>
        <w:rPr>
          <w:rFonts w:cs="Arial"/>
          <w:rtl/>
        </w:rPr>
        <w:t xml:space="preserve"> הויא ספק מגורשת. ואם בא הבעל וערער</w:t>
      </w:r>
      <w:r w:rsidR="00081489">
        <w:rPr>
          <w:rFonts w:cs="Arial" w:hint="cs"/>
          <w:rtl/>
        </w:rPr>
        <w:t xml:space="preserve">, </w:t>
      </w:r>
      <w:r>
        <w:rPr>
          <w:rFonts w:cs="Arial"/>
          <w:rtl/>
        </w:rPr>
        <w:t xml:space="preserve">הוי ספק ממזר </w:t>
      </w:r>
      <w:r>
        <w:rPr>
          <w:rFonts w:cs="Arial"/>
          <w:sz w:val="16"/>
          <w:szCs w:val="16"/>
          <w:rtl/>
        </w:rPr>
        <w:t>(ל' הטור)</w:t>
      </w:r>
      <w:r>
        <w:rPr>
          <w:rFonts w:cs="Arial"/>
          <w:rtl/>
        </w:rPr>
        <w:t xml:space="preserve">. </w:t>
      </w:r>
    </w:p>
    <w:p w14:paraId="3D283CEC" w14:textId="77D7BEA4" w:rsidR="00C97BEF" w:rsidRDefault="00C97BEF" w:rsidP="00C97BEF">
      <w:r>
        <w:rPr>
          <w:rFonts w:cs="Arial"/>
          <w:b/>
          <w:bCs/>
          <w:rtl/>
        </w:rPr>
        <w:t>ירושלמי גיטין פ"א ה"א:</w:t>
      </w:r>
      <w:r>
        <w:rPr>
          <w:rFonts w:cs="Arial"/>
          <w:rtl/>
        </w:rPr>
        <w:t xml:space="preserve"> </w:t>
      </w:r>
      <w:r>
        <w:rPr>
          <w:rFonts w:cs="Arial"/>
          <w:u w:val="single"/>
          <w:rtl/>
        </w:rPr>
        <w:t>ר' ירמיה בעי</w:t>
      </w:r>
      <w:r>
        <w:rPr>
          <w:rFonts w:cs="Arial"/>
          <w:rtl/>
        </w:rPr>
        <w:t xml:space="preserve">: כתבו בא"י וחתמו בח"ל, והלך ליתנו לה בח"ל, ולא מצאה בח"ל, ובא ומצאה בא"י </w:t>
      </w:r>
      <w:r w:rsidR="00A82951">
        <w:rPr>
          <w:rFonts w:cs="Arial"/>
          <w:rtl/>
        </w:rPr>
        <w:t>-</w:t>
      </w:r>
      <w:r>
        <w:rPr>
          <w:rFonts w:cs="Arial"/>
          <w:rtl/>
        </w:rPr>
        <w:t xml:space="preserve"> צריך שיאמר לה בפני נכתב ובפני נחתם מפני שכתבו בארץ וחתמו בח"ל. אבל נכתב בא"י ונחתם בא"י, והלך ליתנו לה בח"ל, ולא מצאה ובא ומצאה בא"י </w:t>
      </w:r>
      <w:r w:rsidR="00A82951">
        <w:rPr>
          <w:rFonts w:cs="Arial"/>
          <w:rtl/>
        </w:rPr>
        <w:t>-</w:t>
      </w:r>
      <w:r>
        <w:rPr>
          <w:rFonts w:cs="Arial"/>
          <w:rtl/>
        </w:rPr>
        <w:t xml:space="preserve"> אינו צריך שיאמר בפני נכתב ובפני נחתם.</w:t>
      </w:r>
    </w:p>
    <w:p w14:paraId="4BB60ED0" w14:textId="7FB4F0BF" w:rsidR="00C97BEF" w:rsidRDefault="00C97BEF" w:rsidP="00C97BEF">
      <w:pPr>
        <w:rPr>
          <w:u w:val="single"/>
          <w:rtl/>
        </w:rPr>
      </w:pPr>
      <w:r>
        <w:rPr>
          <w:u w:val="single"/>
          <w:rtl/>
        </w:rPr>
        <w:t xml:space="preserve">נכתב בארץ ישראל ונחתם בחו"ל </w:t>
      </w:r>
      <w:r>
        <w:rPr>
          <w:sz w:val="16"/>
          <w:szCs w:val="16"/>
          <w:u w:val="single"/>
          <w:rtl/>
        </w:rPr>
        <w:t>(או הפוך)</w:t>
      </w:r>
      <w:r>
        <w:rPr>
          <w:u w:val="single"/>
          <w:rtl/>
        </w:rPr>
        <w:t xml:space="preserve"> </w:t>
      </w:r>
      <w:r w:rsidR="00A82951">
        <w:rPr>
          <w:u w:val="single"/>
          <w:rtl/>
        </w:rPr>
        <w:t>-</w:t>
      </w:r>
      <w:r>
        <w:rPr>
          <w:u w:val="single"/>
          <w:rtl/>
        </w:rPr>
        <w:t xml:space="preserve"> האם צריך לומר בפ"נ ובפ"נ:</w:t>
      </w:r>
    </w:p>
    <w:p w14:paraId="22631CAD" w14:textId="0CA6D0F2" w:rsidR="00C97BEF" w:rsidRDefault="00C97BEF" w:rsidP="006A458D">
      <w:pPr>
        <w:pStyle w:val="ab"/>
        <w:numPr>
          <w:ilvl w:val="0"/>
          <w:numId w:val="112"/>
        </w:numPr>
        <w:rPr>
          <w:rtl/>
        </w:rPr>
      </w:pPr>
      <w:r>
        <w:rPr>
          <w:rFonts w:cs="Arial"/>
          <w:rtl/>
        </w:rPr>
        <w:t>רמב"ם</w:t>
      </w:r>
      <w:r>
        <w:rPr>
          <w:rFonts w:cs="Arial"/>
          <w:sz w:val="16"/>
          <w:szCs w:val="16"/>
          <w:rtl/>
        </w:rPr>
        <w:t xml:space="preserve"> (פ"ז הי"א)</w:t>
      </w:r>
      <w:r w:rsidR="00A82951">
        <w:rPr>
          <w:rFonts w:cs="Arial"/>
          <w:rtl/>
        </w:rPr>
        <w:t>-</w:t>
      </w:r>
      <w:r>
        <w:rPr>
          <w:rFonts w:cs="Arial"/>
          <w:rtl/>
        </w:rPr>
        <w:t xml:space="preserve"> גט שכתבו בארץ ישראל וחתמו בחוצה לארץ </w:t>
      </w:r>
      <w:r w:rsidR="00A82951">
        <w:rPr>
          <w:rFonts w:cs="Arial"/>
          <w:rtl/>
        </w:rPr>
        <w:t>-</w:t>
      </w:r>
      <w:r>
        <w:rPr>
          <w:rFonts w:cs="Arial"/>
          <w:rtl/>
        </w:rPr>
        <w:t xml:space="preserve"> צריך שיאמר בפני נכתב ובפני נחתם</w:t>
      </w:r>
      <w:r>
        <w:rPr>
          <w:rStyle w:val="a7"/>
          <w:rFonts w:cs="Arial"/>
          <w:rtl/>
        </w:rPr>
        <w:footnoteReference w:id="2235"/>
      </w:r>
      <w:r>
        <w:rPr>
          <w:rFonts w:cs="Arial"/>
          <w:rtl/>
        </w:rPr>
        <w:t xml:space="preserve">. כתבו בחוצה לארץ וחתמו בארץ ישראל </w:t>
      </w:r>
      <w:r w:rsidR="00A82951">
        <w:rPr>
          <w:rFonts w:cs="Arial"/>
          <w:rtl/>
        </w:rPr>
        <w:t>-</w:t>
      </w:r>
      <w:r>
        <w:rPr>
          <w:rFonts w:cs="Arial"/>
          <w:rtl/>
        </w:rPr>
        <w:t xml:space="preserve"> אינו צריך לומר בפני נכתב ובפני נחתם. </w:t>
      </w:r>
    </w:p>
    <w:p w14:paraId="4F4FEDE4" w14:textId="09913C8D" w:rsidR="00C97BEF" w:rsidRDefault="00C97BEF" w:rsidP="00C97BEF">
      <w:r>
        <w:rPr>
          <w:rFonts w:cs="Arial"/>
          <w:b/>
          <w:bCs/>
          <w:rtl/>
        </w:rPr>
        <w:t xml:space="preserve">גיטין </w:t>
      </w:r>
      <w:r>
        <w:rPr>
          <w:rFonts w:cs="Arial"/>
          <w:b/>
          <w:bCs/>
          <w:sz w:val="16"/>
          <w:szCs w:val="16"/>
          <w:rtl/>
        </w:rPr>
        <w:t>(פ"ק)</w:t>
      </w:r>
      <w:r>
        <w:rPr>
          <w:rFonts w:cs="Arial"/>
          <w:b/>
          <w:bCs/>
          <w:rtl/>
        </w:rPr>
        <w:t xml:space="preserve"> ו ע"א:</w:t>
      </w:r>
      <w:r>
        <w:rPr>
          <w:rFonts w:cs="Arial"/>
          <w:rtl/>
        </w:rPr>
        <w:t xml:space="preserve"> איתמר: בבל </w:t>
      </w:r>
      <w:r w:rsidR="00A82951">
        <w:rPr>
          <w:rFonts w:cs="Arial"/>
          <w:rtl/>
        </w:rPr>
        <w:t>-</w:t>
      </w:r>
      <w:r>
        <w:rPr>
          <w:rFonts w:cs="Arial"/>
          <w:rtl/>
        </w:rPr>
        <w:t xml:space="preserve"> </w:t>
      </w:r>
      <w:r>
        <w:rPr>
          <w:rFonts w:cs="Arial"/>
          <w:u w:val="single"/>
          <w:rtl/>
        </w:rPr>
        <w:t>רב אמר</w:t>
      </w:r>
      <w:r>
        <w:rPr>
          <w:rFonts w:cs="Arial"/>
          <w:rtl/>
        </w:rPr>
        <w:t xml:space="preserve">: כא"י לגיטין, </w:t>
      </w:r>
      <w:r>
        <w:rPr>
          <w:rFonts w:cs="Arial"/>
          <w:u w:val="single"/>
          <w:rtl/>
        </w:rPr>
        <w:t>ושמואל אמר</w:t>
      </w:r>
      <w:r>
        <w:rPr>
          <w:rFonts w:cs="Arial"/>
          <w:rtl/>
        </w:rPr>
        <w:t>: כחו"ל. לימא בהא קא מיפלגי, דמר סבר: לפי שאין בקיאין לשמה, והני גמירי, ומ"ס: לפי שאין עדים מצויין לקיימו, והני נמי לא שכיחי! ותסברא? הא רבה אית ליה דרבא! אלא, דכ"ע בעינן לקיימו, רב סבר: כיון דאיכא מתיבתא</w:t>
      </w:r>
      <w:r>
        <w:rPr>
          <w:rStyle w:val="a7"/>
          <w:rFonts w:cs="Arial"/>
          <w:rtl/>
        </w:rPr>
        <w:footnoteReference w:id="2236"/>
      </w:r>
      <w:r>
        <w:rPr>
          <w:rFonts w:cs="Arial"/>
          <w:rtl/>
        </w:rPr>
        <w:t xml:space="preserve"> מישכח שכיחי, ושמואל סבר: מתיבתא בגירסייהו טרידי</w:t>
      </w:r>
      <w:r>
        <w:rPr>
          <w:rStyle w:val="a7"/>
          <w:rFonts w:cs="Arial"/>
          <w:rtl/>
        </w:rPr>
        <w:footnoteReference w:id="2237"/>
      </w:r>
      <w:r>
        <w:rPr>
          <w:rFonts w:cs="Arial"/>
          <w:rtl/>
        </w:rPr>
        <w:t>. איתמר נמי</w:t>
      </w:r>
      <w:r>
        <w:rPr>
          <w:rStyle w:val="a7"/>
          <w:rFonts w:cs="Arial"/>
          <w:rtl/>
        </w:rPr>
        <w:footnoteReference w:id="2238"/>
      </w:r>
      <w:r>
        <w:rPr>
          <w:rFonts w:cs="Arial"/>
          <w:rtl/>
        </w:rPr>
        <w:t xml:space="preserve">, </w:t>
      </w:r>
      <w:r>
        <w:rPr>
          <w:rFonts w:cs="Arial"/>
          <w:u w:val="single"/>
          <w:rtl/>
        </w:rPr>
        <w:t>אמר ר' אבא אמר רב הונא</w:t>
      </w:r>
      <w:r>
        <w:rPr>
          <w:rFonts w:cs="Arial"/>
          <w:rtl/>
        </w:rPr>
        <w:t>: עשינו עצמינו בבבל כא"י לגיטין, מכי אתא רב לבבל</w:t>
      </w:r>
      <w:r>
        <w:rPr>
          <w:rStyle w:val="a7"/>
          <w:rFonts w:cs="Arial"/>
          <w:rtl/>
        </w:rPr>
        <w:footnoteReference w:id="2239"/>
      </w:r>
      <w:r>
        <w:rPr>
          <w:rFonts w:cs="Arial"/>
          <w:rtl/>
        </w:rPr>
        <w:t xml:space="preserve">... </w:t>
      </w:r>
      <w:r>
        <w:rPr>
          <w:rFonts w:cs="Arial"/>
          <w:u w:val="single"/>
          <w:rtl/>
        </w:rPr>
        <w:t>רב חסדא</w:t>
      </w:r>
      <w:r>
        <w:rPr>
          <w:rFonts w:cs="Arial"/>
          <w:rtl/>
        </w:rPr>
        <w:t xml:space="preserve"> מצריך מאקטיספון לבי ארדשיר, ומבי ארדשיר לאקטיספון לא מצריך. לימא, קסבר: לפי שאין בקיאין לשמה, והני גמירי! ותסברא? והא רבה אית ליה דרבא! אלא, דכ"ע בעינן לקיימו, והני כיון דאזלי לשוקא</w:t>
      </w:r>
      <w:r>
        <w:rPr>
          <w:rStyle w:val="a7"/>
          <w:rFonts w:cs="Arial"/>
          <w:rtl/>
        </w:rPr>
        <w:footnoteReference w:id="2240"/>
      </w:r>
      <w:r>
        <w:rPr>
          <w:rFonts w:cs="Arial"/>
          <w:rtl/>
        </w:rPr>
        <w:t xml:space="preserve"> להתם, הנך ידעי בחתימות ידא דהני, והני בדהנך לא ידעי, מ"ט? בשוקייהו טרידי. </w:t>
      </w:r>
      <w:r>
        <w:rPr>
          <w:rFonts w:cs="Arial"/>
          <w:u w:val="single"/>
          <w:rtl/>
        </w:rPr>
        <w:t>רבה בר אבוה</w:t>
      </w:r>
      <w:r>
        <w:rPr>
          <w:rFonts w:cs="Arial"/>
          <w:rtl/>
        </w:rPr>
        <w:t xml:space="preserve"> מצריך מערסא לערסא</w:t>
      </w:r>
      <w:r>
        <w:rPr>
          <w:rStyle w:val="a7"/>
          <w:rFonts w:cs="Arial"/>
          <w:rtl/>
        </w:rPr>
        <w:footnoteReference w:id="2241"/>
      </w:r>
      <w:r>
        <w:rPr>
          <w:rFonts w:cs="Arial"/>
          <w:rtl/>
        </w:rPr>
        <w:t xml:space="preserve">. </w:t>
      </w:r>
      <w:r>
        <w:rPr>
          <w:rFonts w:cs="Arial"/>
          <w:u w:val="single"/>
          <w:rtl/>
        </w:rPr>
        <w:t>רב ששת</w:t>
      </w:r>
      <w:r>
        <w:rPr>
          <w:rFonts w:cs="Arial"/>
          <w:rtl/>
        </w:rPr>
        <w:t xml:space="preserve"> מצריך משכונה לשכונה</w:t>
      </w:r>
      <w:r>
        <w:rPr>
          <w:rStyle w:val="a7"/>
          <w:rFonts w:cs="Arial"/>
          <w:rtl/>
        </w:rPr>
        <w:footnoteReference w:id="2242"/>
      </w:r>
      <w:r>
        <w:rPr>
          <w:rFonts w:cs="Arial"/>
          <w:rtl/>
        </w:rPr>
        <w:t xml:space="preserve">. </w:t>
      </w:r>
      <w:r>
        <w:rPr>
          <w:rFonts w:cs="Arial"/>
          <w:u w:val="single"/>
          <w:rtl/>
        </w:rPr>
        <w:t>ורבא</w:t>
      </w:r>
      <w:r>
        <w:rPr>
          <w:rFonts w:cs="Arial"/>
          <w:rtl/>
        </w:rPr>
        <w:t xml:space="preserve"> מצריך באותה שכונה. והא רבא הוא דאמר לפי שאין עדים מצויין לקיימו! שאני בני מחוזא, דניידי</w:t>
      </w:r>
      <w:r>
        <w:rPr>
          <w:rStyle w:val="a7"/>
          <w:rFonts w:cs="Arial"/>
          <w:rtl/>
        </w:rPr>
        <w:footnoteReference w:id="2243"/>
      </w:r>
      <w:r>
        <w:rPr>
          <w:rFonts w:cs="Arial"/>
          <w:rtl/>
        </w:rPr>
        <w:t>.</w:t>
      </w:r>
      <w:r>
        <w:rPr>
          <w:rtl/>
        </w:rPr>
        <w:t xml:space="preserve"> </w:t>
      </w:r>
      <w:r>
        <w:rPr>
          <w:sz w:val="16"/>
          <w:szCs w:val="16"/>
          <w:rtl/>
        </w:rPr>
        <w:t>(</w:t>
      </w:r>
      <w:r>
        <w:rPr>
          <w:rFonts w:cs="Arial"/>
          <w:sz w:val="16"/>
          <w:szCs w:val="16"/>
          <w:rtl/>
        </w:rPr>
        <w:t>אלמא הכל לפי מה שהוא ענין, ר"ן (א: ד"ה וסוגיין). ומכאן פוסק ר"ת דהשתא בזמן הזה צריך לומר בכל מקום</w:t>
      </w:r>
      <w:r>
        <w:rPr>
          <w:rStyle w:val="a7"/>
          <w:rFonts w:cs="Arial"/>
          <w:sz w:val="16"/>
          <w:szCs w:val="16"/>
          <w:rtl/>
        </w:rPr>
        <w:footnoteReference w:id="2244"/>
      </w:r>
      <w:r>
        <w:rPr>
          <w:rFonts w:cs="Arial"/>
          <w:sz w:val="16"/>
          <w:szCs w:val="16"/>
          <w:rtl/>
        </w:rPr>
        <w:t xml:space="preserve"> בפני נכתב אע"ג דקיי"ל כרבא דאמר לפי שאין עדים מצויין לקיימו ולא משום לשמה מכל מקום צריך דהשתא בכל מקומות ניידי כבני מחוזא, תוס' (שם ד"ה שאני). והעתיקו דבריו הסמ"ג (עשין נ, הביאו הגה"מ פ"ז אות ב) רשב"א (סוף ו.) מרדכי (סי' שטו) רא"ש (פ"א סי' ו) טור ור"ן (שם))</w:t>
      </w:r>
      <w:r>
        <w:rPr>
          <w:rFonts w:cs="Arial"/>
          <w:rtl/>
        </w:rPr>
        <w:t xml:space="preserve"> </w:t>
      </w:r>
    </w:p>
    <w:p w14:paraId="486623E3" w14:textId="11C35E1B" w:rsidR="00C97BEF" w:rsidRDefault="00C97BEF" w:rsidP="00C97BEF">
      <w:pPr>
        <w:rPr>
          <w:u w:val="single"/>
          <w:rtl/>
        </w:rPr>
      </w:pPr>
      <w:r>
        <w:rPr>
          <w:b/>
          <w:bCs/>
          <w:u w:val="single"/>
          <w:rtl/>
        </w:rPr>
        <w:t>היום</w:t>
      </w:r>
      <w:r>
        <w:rPr>
          <w:u w:val="single"/>
          <w:rtl/>
        </w:rPr>
        <w:t xml:space="preserve"> שאין אנשים מכירים את חתימת בני מקומם </w:t>
      </w:r>
      <w:r w:rsidR="00A82951">
        <w:rPr>
          <w:u w:val="single"/>
          <w:rtl/>
        </w:rPr>
        <w:t>-</w:t>
      </w:r>
      <w:r>
        <w:rPr>
          <w:u w:val="single"/>
          <w:rtl/>
        </w:rPr>
        <w:t xml:space="preserve"> האם צריכים לומר </w:t>
      </w:r>
      <w:r>
        <w:rPr>
          <w:b/>
          <w:bCs/>
          <w:u w:val="single"/>
          <w:rtl/>
        </w:rPr>
        <w:t>בכל מקום</w:t>
      </w:r>
      <w:r>
        <w:rPr>
          <w:u w:val="single"/>
          <w:rtl/>
        </w:rPr>
        <w:t xml:space="preserve"> בפ"נ ובפ"נ:</w:t>
      </w:r>
    </w:p>
    <w:p w14:paraId="117B9010" w14:textId="7E4EACE6" w:rsidR="00C97BEF" w:rsidRDefault="00C97BEF" w:rsidP="006A458D">
      <w:pPr>
        <w:pStyle w:val="ab"/>
        <w:numPr>
          <w:ilvl w:val="0"/>
          <w:numId w:val="112"/>
        </w:numPr>
      </w:pPr>
      <w:r>
        <w:rPr>
          <w:rFonts w:cs="Arial"/>
          <w:rtl/>
        </w:rPr>
        <w:t xml:space="preserve">ר"ת </w:t>
      </w:r>
      <w:r>
        <w:rPr>
          <w:rFonts w:cs="Arial"/>
          <w:sz w:val="16"/>
          <w:szCs w:val="16"/>
          <w:rtl/>
        </w:rPr>
        <w:t>(בתוס' שם)</w:t>
      </w:r>
      <w:r w:rsidR="00A82951">
        <w:rPr>
          <w:rFonts w:cs="Arial"/>
          <w:rtl/>
        </w:rPr>
        <w:t>-</w:t>
      </w:r>
      <w:r>
        <w:rPr>
          <w:rFonts w:cs="Arial"/>
          <w:rtl/>
        </w:rPr>
        <w:t xml:space="preserve"> האידנא בכל המקומות חשיבי ניידי וצ"ל</w:t>
      </w:r>
      <w:r>
        <w:rPr>
          <w:rStyle w:val="a7"/>
          <w:rFonts w:cs="Arial"/>
          <w:rtl/>
        </w:rPr>
        <w:footnoteReference w:id="2245"/>
      </w:r>
      <w:r>
        <w:rPr>
          <w:rFonts w:cs="Arial"/>
          <w:rtl/>
        </w:rPr>
        <w:t xml:space="preserve"> בפני נכתב ובפני נחתם</w:t>
      </w:r>
      <w:r>
        <w:rPr>
          <w:rFonts w:cs="Arial"/>
          <w:sz w:val="16"/>
          <w:szCs w:val="16"/>
          <w:rtl/>
        </w:rPr>
        <w:t xml:space="preserve"> (ל' הטור בשמו)</w:t>
      </w:r>
      <w:r>
        <w:rPr>
          <w:rStyle w:val="a7"/>
          <w:rFonts w:cs="Arial"/>
          <w:rtl/>
        </w:rPr>
        <w:footnoteReference w:id="2246"/>
      </w:r>
      <w:r>
        <w:rPr>
          <w:rFonts w:cs="Arial"/>
          <w:rtl/>
        </w:rPr>
        <w:t xml:space="preserve">. </w:t>
      </w:r>
    </w:p>
    <w:p w14:paraId="4C526C0F" w14:textId="1D1ADC7C" w:rsidR="00C97BEF" w:rsidRDefault="00C97BEF" w:rsidP="006A458D">
      <w:pPr>
        <w:pStyle w:val="ab"/>
        <w:numPr>
          <w:ilvl w:val="0"/>
          <w:numId w:val="112"/>
        </w:numPr>
      </w:pPr>
      <w:r>
        <w:rPr>
          <w:rFonts w:cs="Arial"/>
          <w:rtl/>
        </w:rPr>
        <w:t xml:space="preserve">רי"ף </w:t>
      </w:r>
      <w:r>
        <w:rPr>
          <w:rFonts w:cs="Arial"/>
          <w:sz w:val="16"/>
          <w:szCs w:val="16"/>
          <w:rtl/>
        </w:rPr>
        <w:t>(כ"כ הרדב"ז בשמו</w:t>
      </w:r>
      <w:r>
        <w:rPr>
          <w:rStyle w:val="a7"/>
          <w:rFonts w:cs="Arial"/>
          <w:sz w:val="16"/>
          <w:szCs w:val="16"/>
          <w:rtl/>
        </w:rPr>
        <w:footnoteReference w:id="2247"/>
      </w:r>
      <w:r>
        <w:rPr>
          <w:rFonts w:cs="Arial"/>
          <w:sz w:val="16"/>
          <w:szCs w:val="16"/>
          <w:rtl/>
        </w:rPr>
        <w:t xml:space="preserve"> [ח"א סי' תו]) </w:t>
      </w:r>
      <w:r>
        <w:rPr>
          <w:rFonts w:cs="Arial"/>
          <w:rtl/>
        </w:rPr>
        <w:t xml:space="preserve">ורמב"ם </w:t>
      </w:r>
      <w:r>
        <w:rPr>
          <w:rFonts w:cs="Arial"/>
          <w:sz w:val="16"/>
          <w:szCs w:val="16"/>
          <w:rtl/>
        </w:rPr>
        <w:t>(להב' הה"מ [פ"ז ה"ה])</w:t>
      </w:r>
      <w:r w:rsidR="00A82951">
        <w:rPr>
          <w:rFonts w:cs="Arial"/>
          <w:rtl/>
        </w:rPr>
        <w:t>-</w:t>
      </w:r>
      <w:r>
        <w:rPr>
          <w:rFonts w:cs="Arial"/>
          <w:rtl/>
        </w:rPr>
        <w:t xml:space="preserve"> דוקא ממקום למקום </w:t>
      </w:r>
      <w:r>
        <w:rPr>
          <w:rFonts w:cs="Arial"/>
          <w:sz w:val="16"/>
          <w:szCs w:val="16"/>
          <w:rtl/>
        </w:rPr>
        <w:t>{צ"ל בפ"נ ובפ"נ, אפילו שזה במדינה אחת}</w:t>
      </w:r>
      <w:r>
        <w:rPr>
          <w:rFonts w:cs="Arial"/>
          <w:rtl/>
        </w:rPr>
        <w:t>, אבל באותו מקום לאו כולי עלמא כבני מחוזא, וימצא עדים לקיימו</w:t>
      </w:r>
      <w:r>
        <w:rPr>
          <w:rFonts w:cs="Arial"/>
          <w:sz w:val="16"/>
          <w:szCs w:val="16"/>
          <w:rtl/>
        </w:rPr>
        <w:t xml:space="preserve"> (ל' הה"מ)</w:t>
      </w:r>
      <w:r>
        <w:rPr>
          <w:rFonts w:cs="Arial"/>
          <w:rtl/>
        </w:rPr>
        <w:t>.</w:t>
      </w:r>
    </w:p>
    <w:p w14:paraId="110868C6" w14:textId="6C40AF65" w:rsidR="00C97BEF" w:rsidRDefault="00C97BEF" w:rsidP="00C97BEF">
      <w:pPr>
        <w:ind w:left="360"/>
        <w:rPr>
          <w:u w:val="dotted"/>
        </w:rPr>
      </w:pPr>
      <w:r>
        <w:rPr>
          <w:u w:val="dotted"/>
          <w:rtl/>
        </w:rPr>
        <w:t xml:space="preserve">לסברת ר"ת וסיעתו </w:t>
      </w:r>
      <w:r w:rsidR="00A82951">
        <w:rPr>
          <w:u w:val="dotted"/>
          <w:rtl/>
        </w:rPr>
        <w:t>-</w:t>
      </w:r>
      <w:r>
        <w:rPr>
          <w:u w:val="dotted"/>
          <w:rtl/>
        </w:rPr>
        <w:t xml:space="preserve"> מה הדין האידנא בארץ ישראל:</w:t>
      </w:r>
    </w:p>
    <w:p w14:paraId="0AA827EF" w14:textId="6DB5BA75" w:rsidR="00C97BEF" w:rsidRDefault="00C97BEF" w:rsidP="006A458D">
      <w:pPr>
        <w:pStyle w:val="ab"/>
        <w:numPr>
          <w:ilvl w:val="0"/>
          <w:numId w:val="112"/>
        </w:numPr>
      </w:pPr>
      <w:r>
        <w:rPr>
          <w:rFonts w:cs="Arial"/>
          <w:rtl/>
        </w:rPr>
        <w:t>ב"י</w:t>
      </w:r>
      <w:r>
        <w:rPr>
          <w:rFonts w:cs="Arial"/>
          <w:sz w:val="16"/>
          <w:szCs w:val="16"/>
          <w:rtl/>
        </w:rPr>
        <w:t xml:space="preserve"> (בבדה"ב)</w:t>
      </w:r>
      <w:r w:rsidR="00A82951">
        <w:rPr>
          <w:rFonts w:cs="Arial"/>
          <w:rtl/>
        </w:rPr>
        <w:t>-</w:t>
      </w:r>
      <w:r>
        <w:rPr>
          <w:rFonts w:cs="Arial"/>
          <w:rtl/>
        </w:rPr>
        <w:t xml:space="preserve"> ונראה לי דהאידנא גם בארץ ישראל צריך לומר בפני נכתב ובפני נחתם דכולהו ניידי כבני מחוזא.</w:t>
      </w:r>
      <w:r>
        <w:rPr>
          <w:color w:val="E36C0A" w:themeColor="accent6" w:themeShade="BF"/>
          <w:rtl/>
        </w:rPr>
        <w:t xml:space="preserve"> (וכ"פ בשו"ע)</w:t>
      </w:r>
    </w:p>
    <w:p w14:paraId="7010B18C" w14:textId="77777777" w:rsidR="00C97BEF" w:rsidRDefault="00C97BEF" w:rsidP="00C97BEF">
      <w:pPr>
        <w:rPr>
          <w:u w:val="single"/>
          <w:rtl/>
        </w:rPr>
      </w:pPr>
      <w:r>
        <w:rPr>
          <w:u w:val="single"/>
          <w:rtl/>
        </w:rPr>
        <w:t>האם צריך לומר בפ"נ ובפ"נ מבית לעלייה:</w:t>
      </w:r>
    </w:p>
    <w:p w14:paraId="4B782AC4" w14:textId="0F009FA5" w:rsidR="00C97BEF" w:rsidRDefault="00C97BEF" w:rsidP="006A458D">
      <w:pPr>
        <w:pStyle w:val="ab"/>
        <w:numPr>
          <w:ilvl w:val="0"/>
          <w:numId w:val="112"/>
        </w:numPr>
      </w:pPr>
      <w:r>
        <w:rPr>
          <w:rFonts w:cs="Arial"/>
          <w:rtl/>
        </w:rPr>
        <w:lastRenderedPageBreak/>
        <w:t xml:space="preserve">סמ"ק </w:t>
      </w:r>
      <w:r>
        <w:rPr>
          <w:rFonts w:cs="Arial"/>
          <w:sz w:val="16"/>
          <w:szCs w:val="16"/>
          <w:rtl/>
        </w:rPr>
        <w:t>(סי' קפד)</w:t>
      </w:r>
      <w:r w:rsidR="00A82951">
        <w:rPr>
          <w:rFonts w:cs="Arial"/>
          <w:rtl/>
        </w:rPr>
        <w:t>-</w:t>
      </w:r>
      <w:r>
        <w:rPr>
          <w:rFonts w:cs="Arial"/>
          <w:rtl/>
        </w:rPr>
        <w:t xml:space="preserve"> ואפילו מבית לעליה צריך שיאמר בפני נכתב ובפני נחתם</w:t>
      </w:r>
      <w:r>
        <w:rPr>
          <w:rStyle w:val="a7"/>
          <w:rFonts w:cs="Arial"/>
          <w:rtl/>
        </w:rPr>
        <w:footnoteReference w:id="2248"/>
      </w:r>
      <w:r>
        <w:rPr>
          <w:rFonts w:cs="Arial"/>
          <w:rtl/>
        </w:rPr>
        <w:t xml:space="preserve">. </w:t>
      </w:r>
    </w:p>
    <w:p w14:paraId="5C0D720D"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ADD3631" w14:textId="04C557CD" w:rsidR="00C97BEF" w:rsidRDefault="00C97BEF" w:rsidP="00C97BEF">
      <w:pPr>
        <w:rPr>
          <w:rtl/>
        </w:rPr>
      </w:pPr>
      <w:r>
        <w:rPr>
          <w:rFonts w:cs="Arial"/>
          <w:rtl/>
        </w:rPr>
        <w:t xml:space="preserve">שליח שהביא גט ממקום למקום בחוצה לארץ, או מארץ ישראל לחוצה לארץ, או מחוצה לארץ לארץ ישראל, אם היה השליח עומד בשעת כתיבת הגט וחתימתו, הרי זה אומר בפני שנים: בפני נכתב ובפני נחתם, ואחר כך יתן לה בפניהם ותתגרש בו, ואף על פי שאין עדיו ידועים אצלנו. ואפילו היו שמות עדיו כשמות הגוים, אין חוששין להם. ואם בא הבעל ועמד וערער, אין משגיחין בו. לפיכך אף הנשים שאינן נאמנות לומר: מת בעלה, נאמנות להביא גט זה ולומר: בפני נכתב ובפני נחתם. וכן שליח שהביא גט מארץ ישראל ואמר: בפני נכתב ובפני נחתם, אף על פי שאינו צריך, אם יבא הבעל ויערער, אין משגיחין בו. ואם אין השליח עומד בשעת כתיבה וחתימה, אל ינתן לה אלא אם כן נתקיים בחותמיו. ויש לשליח להיות מכלל השלשה שקיימו אותו. ואם לא נתקיים, ונתן לה, הרי זה פסול, עד שיתקיים. ואם בא הבעל וערער, ולא נתקיים, אינה מגורשת. אבד הגט, הרי זו ספק מגורשת. ומפני מה הצריכו לומר: בפני נכתב ובפני נחתם בחוצה לארץ, כדי שלא תהיה האשה צריכה לקיימו אם יבא הבעל ויערער, מפני שאין עדים מצויים לקיימו ממקום למקום בחוצה לארץ. ונראה לי דהאידנא, אפילו בארץ ישראל צריך לומר: בפני נכתב ובפני נחתם. </w:t>
      </w:r>
      <w:r>
        <w:rPr>
          <w:rFonts w:cs="Arial"/>
          <w:sz w:val="18"/>
          <w:szCs w:val="18"/>
          <w:rtl/>
        </w:rPr>
        <w:t>הגה: ובזמן הזה, המביא גט, אפילו מבית לבית בעיר אחת, צריך לומר: בפני נכתב ובפני נחתם (ר"ת). ועיין לעייל סימן קמ"א סעיף נ"ה דאין ליתנו בזמן שהבעל בעיר. יש אומרים דאם יש לשליח הרשאה וכתב בה מי הם עדי הגט, דזה מקרי נתקיים בחותמיו, ואם כן אין השליח צריך לומר: בפני נכתב ובפני נחתם (רשב"א ומרדכי). ויש חולקים ואומרים דהרשאה לא מקרי קיום (ריב"ש סי' שיח ובסדרים). וכן נוהגין דשליח אומר: בפני נכתב ובפני נחתם, אף כשיש לו הרשאה, ואין לשנות.</w:t>
      </w:r>
      <w:r>
        <w:rPr>
          <w:rFonts w:cs="Arial"/>
          <w:rtl/>
        </w:rPr>
        <w:t xml:space="preserve"> </w:t>
      </w:r>
    </w:p>
    <w:p w14:paraId="6374A4A1" w14:textId="77777777" w:rsidR="00C97BEF" w:rsidRDefault="00C97BEF" w:rsidP="00C97BEF">
      <w:pPr>
        <w:rPr>
          <w:rtl/>
        </w:rPr>
      </w:pPr>
    </w:p>
    <w:p w14:paraId="0CDCA27D" w14:textId="77777777" w:rsidR="00C97BEF" w:rsidRDefault="00C97BEF" w:rsidP="00C97BEF">
      <w:pPr>
        <w:pStyle w:val="2"/>
        <w:rPr>
          <w:rtl/>
        </w:rPr>
      </w:pPr>
      <w:r>
        <w:rPr>
          <w:rtl/>
        </w:rPr>
        <w:t>סעיף ב: בעל שהביא עדים שהגט מזוייף.</w:t>
      </w:r>
    </w:p>
    <w:p w14:paraId="07523B67" w14:textId="61D4E0C9" w:rsidR="00C97BEF" w:rsidRDefault="00C97BEF" w:rsidP="00C97BEF">
      <w:pPr>
        <w:rPr>
          <w:rtl/>
        </w:rPr>
      </w:pPr>
      <w:r>
        <w:rPr>
          <w:rFonts w:cs="Arial"/>
          <w:b/>
          <w:bCs/>
          <w:rtl/>
        </w:rPr>
        <w:t xml:space="preserve">גיטין </w:t>
      </w:r>
      <w:r>
        <w:rPr>
          <w:rFonts w:cs="Arial"/>
          <w:b/>
          <w:bCs/>
          <w:sz w:val="16"/>
          <w:szCs w:val="16"/>
          <w:rtl/>
        </w:rPr>
        <w:t>(פ"ק)</w:t>
      </w:r>
      <w:r>
        <w:rPr>
          <w:rFonts w:cs="Arial"/>
          <w:b/>
          <w:bCs/>
          <w:rtl/>
        </w:rPr>
        <w:t xml:space="preserve"> ג ע"א: </w:t>
      </w:r>
      <w:r>
        <w:rPr>
          <w:rFonts w:cs="Arial"/>
          <w:rtl/>
        </w:rPr>
        <w:t xml:space="preserve">ולרבא, דאמר לפי שאין עדים מצויין לקיימו, ליבעי תרי, מידי דהוה אקיום שטרות דעלמא! עד א' נאמן באיסורין. אימר דאמרינן עד אחד נאמן באיסורין, כגון חתיכה ספק של חלב ספק של שומן, דלא איתחזק איסורא, אבל הכא איתחזק איסורא דאשת איש הוי דבר שבערוה, ואין דבר שבערוה פחות מב'! בדין הוא דבקיום שטרות נמי לא ליבעי, כדר"ל, דאמר ר"ל: עדים החתומים על השטר </w:t>
      </w:r>
      <w:r w:rsidR="00A82951">
        <w:rPr>
          <w:rFonts w:cs="Arial"/>
          <w:rtl/>
        </w:rPr>
        <w:t>-</w:t>
      </w:r>
      <w:r>
        <w:rPr>
          <w:rFonts w:cs="Arial"/>
          <w:rtl/>
        </w:rPr>
        <w:t xml:space="preserve"> נעשו כמי שנחקרה עדותן בב"ד, ורבנן הוא דאצרוך, והכא משום עיגונא אקילו בה רבנן.</w:t>
      </w:r>
    </w:p>
    <w:p w14:paraId="78BD956A" w14:textId="77777777" w:rsidR="00C97BEF" w:rsidRDefault="00C97BEF" w:rsidP="00C97BEF">
      <w:pPr>
        <w:rPr>
          <w:rtl/>
        </w:rPr>
      </w:pPr>
      <w:r>
        <w:rPr>
          <w:rFonts w:cs="Arial"/>
          <w:b/>
          <w:bCs/>
          <w:rtl/>
        </w:rPr>
        <w:t xml:space="preserve">יבמות </w:t>
      </w:r>
      <w:r>
        <w:rPr>
          <w:rFonts w:cs="Arial"/>
          <w:b/>
          <w:bCs/>
          <w:sz w:val="16"/>
          <w:szCs w:val="16"/>
          <w:rtl/>
        </w:rPr>
        <w:t>(פ' האשה רבה)</w:t>
      </w:r>
      <w:r>
        <w:rPr>
          <w:rFonts w:cs="Arial"/>
          <w:b/>
          <w:bCs/>
          <w:rtl/>
        </w:rPr>
        <w:t xml:space="preserve"> פח ע"ב: </w:t>
      </w:r>
      <w:r>
        <w:rPr>
          <w:rFonts w:cs="Arial"/>
          <w:rtl/>
        </w:rPr>
        <w:t>והאמר עולא: כל מקום שהאמינה תורה עד אחד הרי כאן שנים</w:t>
      </w:r>
      <w:r>
        <w:rPr>
          <w:rStyle w:val="a7"/>
          <w:rFonts w:cs="Arial"/>
          <w:rtl/>
        </w:rPr>
        <w:footnoteReference w:id="2249"/>
      </w:r>
      <w:r>
        <w:rPr>
          <w:rFonts w:cs="Arial"/>
          <w:rtl/>
        </w:rPr>
        <w:t>, ואין דבריו של אחד</w:t>
      </w:r>
      <w:r>
        <w:rPr>
          <w:rStyle w:val="a7"/>
          <w:rFonts w:cs="Arial"/>
          <w:rtl/>
        </w:rPr>
        <w:footnoteReference w:id="2250"/>
      </w:r>
      <w:r>
        <w:rPr>
          <w:rFonts w:cs="Arial"/>
          <w:rtl/>
        </w:rPr>
        <w:t xml:space="preserve"> במקום שנים</w:t>
      </w:r>
      <w:r>
        <w:rPr>
          <w:rtl/>
        </w:rPr>
        <w:t>.</w:t>
      </w:r>
    </w:p>
    <w:p w14:paraId="1C19E9CA" w14:textId="76C9E2D0" w:rsidR="00C97BEF" w:rsidRDefault="00C97BEF" w:rsidP="00C97BEF">
      <w:pPr>
        <w:rPr>
          <w:rtl/>
        </w:rPr>
      </w:pPr>
      <w:r>
        <w:rPr>
          <w:rFonts w:cs="Arial"/>
          <w:b/>
          <w:bCs/>
          <w:rtl/>
        </w:rPr>
        <w:t xml:space="preserve">גיטין </w:t>
      </w:r>
      <w:r>
        <w:rPr>
          <w:rFonts w:cs="Arial"/>
          <w:b/>
          <w:bCs/>
          <w:sz w:val="16"/>
          <w:szCs w:val="16"/>
          <w:rtl/>
        </w:rPr>
        <w:t>(פ"ק)</w:t>
      </w:r>
      <w:r>
        <w:rPr>
          <w:rFonts w:cs="Arial"/>
          <w:b/>
          <w:bCs/>
          <w:rtl/>
        </w:rPr>
        <w:t xml:space="preserve"> ט ע"א:</w:t>
      </w:r>
      <w:r>
        <w:rPr>
          <w:rFonts w:cs="Arial"/>
          <w:rtl/>
        </w:rPr>
        <w:t xml:space="preserve"> אם יש עליו עוררין </w:t>
      </w:r>
      <w:r w:rsidR="00A82951">
        <w:rPr>
          <w:rFonts w:cs="Arial"/>
          <w:rtl/>
        </w:rPr>
        <w:t>-</w:t>
      </w:r>
      <w:r>
        <w:rPr>
          <w:rFonts w:cs="Arial"/>
          <w:rtl/>
        </w:rPr>
        <w:t xml:space="preserve"> יתקיים בחותמיו. ערער כמה? אילימא ערער חד, והאמר ר' יוחנן: דברי הכל אין ערער פחות משנים! אלא ערער תרי, תרי ותרי נינהו, מאי חזית דסמכת אהני? סמוך אהני! אלא ערער דבעל.</w:t>
      </w:r>
    </w:p>
    <w:p w14:paraId="292A9B9D" w14:textId="77777777" w:rsidR="00C97BEF" w:rsidRDefault="00C97BEF" w:rsidP="00C97BEF">
      <w:pPr>
        <w:rPr>
          <w:u w:val="single"/>
          <w:rtl/>
        </w:rPr>
      </w:pPr>
      <w:r>
        <w:rPr>
          <w:u w:val="single"/>
          <w:rtl/>
        </w:rPr>
        <w:t>בעל שהביא עדים שהגט מזוייף:</w:t>
      </w:r>
    </w:p>
    <w:p w14:paraId="62A09679" w14:textId="30E3CA4E" w:rsidR="00C97BEF" w:rsidRDefault="00C97BEF" w:rsidP="006A458D">
      <w:pPr>
        <w:pStyle w:val="ab"/>
        <w:numPr>
          <w:ilvl w:val="0"/>
          <w:numId w:val="112"/>
        </w:numPr>
        <w:rPr>
          <w:rtl/>
        </w:rPr>
      </w:pPr>
      <w:r>
        <w:rPr>
          <w:rFonts w:cs="Arial"/>
          <w:rtl/>
        </w:rPr>
        <w:t>רמב"ם</w:t>
      </w:r>
      <w:r>
        <w:rPr>
          <w:rStyle w:val="a7"/>
          <w:rFonts w:cs="Arial"/>
          <w:rtl/>
        </w:rPr>
        <w:footnoteReference w:id="2251"/>
      </w:r>
      <w:r>
        <w:rPr>
          <w:rFonts w:cs="Arial"/>
          <w:rtl/>
        </w:rPr>
        <w:t xml:space="preserve"> </w:t>
      </w:r>
      <w:r>
        <w:rPr>
          <w:rFonts w:cs="Arial"/>
          <w:sz w:val="16"/>
          <w:szCs w:val="16"/>
          <w:rtl/>
        </w:rPr>
        <w:t xml:space="preserve">(פ"ז ה"ט) </w:t>
      </w:r>
      <w:r>
        <w:rPr>
          <w:rFonts w:cs="Arial"/>
          <w:rtl/>
        </w:rPr>
        <w:t>וטור</w:t>
      </w:r>
      <w:r w:rsidR="00A82951">
        <w:rPr>
          <w:rFonts w:cs="Arial"/>
          <w:rtl/>
        </w:rPr>
        <w:t>-</w:t>
      </w:r>
      <w:r>
        <w:rPr>
          <w:rFonts w:cs="Arial"/>
          <w:rtl/>
        </w:rPr>
        <w:t xml:space="preserve"> במה דברים אמורים </w:t>
      </w:r>
      <w:r>
        <w:rPr>
          <w:rFonts w:cs="Arial"/>
          <w:sz w:val="16"/>
          <w:szCs w:val="16"/>
          <w:rtl/>
        </w:rPr>
        <w:t xml:space="preserve">{שהבעל לא נאמן} </w:t>
      </w:r>
      <w:r w:rsidR="00A82951">
        <w:rPr>
          <w:rFonts w:cs="Arial"/>
          <w:rtl/>
        </w:rPr>
        <w:t>-</w:t>
      </w:r>
      <w:r>
        <w:rPr>
          <w:rFonts w:cs="Arial"/>
          <w:rtl/>
        </w:rPr>
        <w:t xml:space="preserve"> כשהערעור בלא ראיה אפילו מביא עד אחד</w:t>
      </w:r>
      <w:r>
        <w:rPr>
          <w:rStyle w:val="a7"/>
          <w:rFonts w:cs="Arial"/>
          <w:rtl/>
        </w:rPr>
        <w:footnoteReference w:id="2252"/>
      </w:r>
      <w:r>
        <w:rPr>
          <w:rFonts w:cs="Arial"/>
          <w:rtl/>
        </w:rPr>
        <w:t xml:space="preserve">. אבל אם מביא ב' עדים שהוא מזוייף </w:t>
      </w:r>
      <w:r w:rsidR="00A82951">
        <w:rPr>
          <w:rFonts w:cs="Arial"/>
          <w:rtl/>
        </w:rPr>
        <w:t>-</w:t>
      </w:r>
      <w:r>
        <w:rPr>
          <w:rFonts w:cs="Arial"/>
          <w:rtl/>
        </w:rPr>
        <w:t xml:space="preserve"> הרי הוא בטל, שלא האמינו לשליח שאומר בפני נכתב ובפ"נ אלא לדחות ערעורו, אבל במקום שמכחישין אותו לא האמינוהו</w:t>
      </w:r>
      <w:r>
        <w:rPr>
          <w:rFonts w:cs="Arial"/>
          <w:sz w:val="16"/>
          <w:szCs w:val="16"/>
          <w:rtl/>
        </w:rPr>
        <w:t xml:space="preserve"> (ל' הטור)</w:t>
      </w:r>
      <w:r>
        <w:rPr>
          <w:rFonts w:cs="Arial"/>
          <w:rtl/>
        </w:rPr>
        <w:t xml:space="preserve">. </w:t>
      </w:r>
      <w:r>
        <w:rPr>
          <w:color w:val="E36C0A" w:themeColor="accent6" w:themeShade="BF"/>
          <w:rtl/>
        </w:rPr>
        <w:t>(וכ"פ בשו"ע)</w:t>
      </w:r>
    </w:p>
    <w:p w14:paraId="45B981E3"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lastRenderedPageBreak/>
        <w:t>שו"ע:</w:t>
      </w:r>
    </w:p>
    <w:p w14:paraId="78B8CAD0" w14:textId="77777777" w:rsidR="00C97BEF" w:rsidRDefault="00C97BEF" w:rsidP="00C97BEF">
      <w:pPr>
        <w:rPr>
          <w:rtl/>
        </w:rPr>
      </w:pPr>
      <w:r>
        <w:rPr>
          <w:rFonts w:cs="Arial"/>
          <w:rtl/>
        </w:rPr>
        <w:t xml:space="preserve">בעל שהביא ראיה ברורה בשני עדים שגט זה שנאמר בו: בפני נכתב ובפני נחתם, מזוייף הוא, הרי זה בטל. </w:t>
      </w:r>
    </w:p>
    <w:p w14:paraId="6449763C" w14:textId="77777777" w:rsidR="00C97BEF" w:rsidRDefault="00C97BEF" w:rsidP="00C97BEF">
      <w:pPr>
        <w:rPr>
          <w:rtl/>
        </w:rPr>
      </w:pPr>
    </w:p>
    <w:p w14:paraId="7149D28E" w14:textId="77777777" w:rsidR="00C97BEF" w:rsidRDefault="00C97BEF" w:rsidP="00C97BEF">
      <w:pPr>
        <w:pStyle w:val="2"/>
        <w:rPr>
          <w:rtl/>
        </w:rPr>
      </w:pPr>
      <w:r>
        <w:rPr>
          <w:rtl/>
        </w:rPr>
        <w:t>סעיף ג: קיום עדי השליחות כשאומר בפ"נ ובפ"נ.</w:t>
      </w:r>
    </w:p>
    <w:p w14:paraId="381F8DF8" w14:textId="77777777" w:rsidR="00C97BEF" w:rsidRDefault="00C97BEF" w:rsidP="00C97BEF">
      <w:pPr>
        <w:rPr>
          <w:u w:val="single"/>
          <w:rtl/>
        </w:rPr>
      </w:pPr>
      <w:r>
        <w:rPr>
          <w:u w:val="single"/>
          <w:rtl/>
        </w:rPr>
        <w:t>קיום עדי השליחות כשאומר בפ"נ ובפ"נ:</w:t>
      </w:r>
    </w:p>
    <w:p w14:paraId="2D962AA7" w14:textId="2B1A0EF8"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וכמו שאין צריך לקיים עידי הגט כשאומר בפ"נ ובפ"נ כך א"צ לקיים עידי השליחות, אלא נאמן לומר שהבעל עשאו שליח בעדים אע"פ שאין מכירין חתימת עידי השליחות או אפילו אין לו שום עדות בשליחות אלא שאמר שהבעל עשאו שליח כראוי </w:t>
      </w:r>
      <w:r w:rsidR="00A82951">
        <w:rPr>
          <w:rFonts w:cs="Arial"/>
          <w:rtl/>
        </w:rPr>
        <w:t>-</w:t>
      </w:r>
      <w:r>
        <w:rPr>
          <w:rFonts w:cs="Arial"/>
          <w:rtl/>
        </w:rPr>
        <w:t xml:space="preserve"> נאמן</w:t>
      </w:r>
      <w:r>
        <w:rPr>
          <w:rStyle w:val="a7"/>
          <w:rFonts w:cs="Arial"/>
          <w:rtl/>
        </w:rPr>
        <w:footnoteReference w:id="2253"/>
      </w:r>
      <w:r>
        <w:rPr>
          <w:rFonts w:cs="Arial"/>
          <w:rtl/>
        </w:rPr>
        <w:t xml:space="preserve">. </w:t>
      </w:r>
      <w:r>
        <w:rPr>
          <w:color w:val="E36C0A" w:themeColor="accent6" w:themeShade="BF"/>
          <w:rtl/>
        </w:rPr>
        <w:t>(וכ"פ בשו"ע)</w:t>
      </w:r>
    </w:p>
    <w:p w14:paraId="74EF0E0C" w14:textId="77777777" w:rsidR="00C97BEF" w:rsidRDefault="00C97BEF" w:rsidP="00C97BEF">
      <w:pPr>
        <w:ind w:left="360"/>
        <w:rPr>
          <w:u w:val="dotted"/>
        </w:rPr>
      </w:pPr>
      <w:r>
        <w:rPr>
          <w:u w:val="dotted"/>
          <w:rtl/>
        </w:rPr>
        <w:t>ומה הדין במקום שלא צריך לומר בפ"נ ובפ"נ:</w:t>
      </w:r>
    </w:p>
    <w:p w14:paraId="11FAEA35" w14:textId="6BF25604" w:rsidR="00C97BEF" w:rsidRDefault="00C97BEF" w:rsidP="006A458D">
      <w:pPr>
        <w:pStyle w:val="ab"/>
        <w:numPr>
          <w:ilvl w:val="0"/>
          <w:numId w:val="112"/>
        </w:numPr>
      </w:pPr>
      <w:r>
        <w:rPr>
          <w:rFonts w:cs="Arial"/>
          <w:rtl/>
        </w:rPr>
        <w:t>רמ"ה</w:t>
      </w:r>
      <w:r>
        <w:rPr>
          <w:rFonts w:cs="Arial"/>
          <w:sz w:val="16"/>
          <w:szCs w:val="16"/>
          <w:rtl/>
        </w:rPr>
        <w:t xml:space="preserve"> (כ"כ הטור בשמו)</w:t>
      </w:r>
      <w:r w:rsidR="00A82951">
        <w:rPr>
          <w:rFonts w:cs="Arial"/>
          <w:rtl/>
        </w:rPr>
        <w:t>-</w:t>
      </w:r>
      <w:r>
        <w:rPr>
          <w:rFonts w:cs="Arial"/>
          <w:rtl/>
        </w:rPr>
        <w:t xml:space="preserve"> אף בא"י שאין צריך לומר בפני נכתב ובפני נחתם נאמן על השליח</w:t>
      </w:r>
      <w:r>
        <w:rPr>
          <w:rStyle w:val="a7"/>
          <w:rFonts w:cs="Arial"/>
          <w:rtl/>
        </w:rPr>
        <w:footnoteReference w:id="2254"/>
      </w:r>
      <w:r>
        <w:rPr>
          <w:rFonts w:cs="Arial"/>
          <w:rtl/>
        </w:rPr>
        <w:t xml:space="preserve"> לומר שהבעל עשאו שליח. </w:t>
      </w:r>
    </w:p>
    <w:p w14:paraId="61F7B2DE"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7695D0A7" w14:textId="77777777" w:rsidR="00C97BEF" w:rsidRDefault="00C97BEF" w:rsidP="00C97BEF">
      <w:pPr>
        <w:rPr>
          <w:rtl/>
        </w:rPr>
      </w:pPr>
      <w:r>
        <w:rPr>
          <w:rFonts w:cs="Arial"/>
          <w:rtl/>
        </w:rPr>
        <w:t xml:space="preserve">כשם שאין צריך לקיים הגט כשאומר: בפני נכתב ובפני נחתם, כך אין צריך לקיים עדי השליחות, אלא נאמן לומר שהבעל עשאו שליח </w:t>
      </w:r>
      <w:r>
        <w:rPr>
          <w:rFonts w:cs="Arial"/>
          <w:sz w:val="18"/>
          <w:szCs w:val="18"/>
          <w:rtl/>
        </w:rPr>
        <w:t>(בעדים)</w:t>
      </w:r>
      <w:r>
        <w:rPr>
          <w:rFonts w:cs="Arial"/>
          <w:rtl/>
        </w:rPr>
        <w:t>, אף על פי שאין מכירים חתימת עדי השליחות, או אפילו אין לו שום עדות בשליחות אלא שאמר שהבעל עשאו שליח כראוי, נאמן</w:t>
      </w:r>
      <w:r>
        <w:rPr>
          <w:rStyle w:val="a7"/>
          <w:rFonts w:cs="Arial"/>
          <w:rtl/>
        </w:rPr>
        <w:footnoteReference w:id="2255"/>
      </w:r>
      <w:r>
        <w:rPr>
          <w:rFonts w:cs="Arial"/>
          <w:rtl/>
        </w:rPr>
        <w:t xml:space="preserve">. </w:t>
      </w:r>
      <w:r>
        <w:rPr>
          <w:rFonts w:cs="Arial"/>
          <w:sz w:val="18"/>
          <w:szCs w:val="18"/>
          <w:rtl/>
        </w:rPr>
        <w:t xml:space="preserve">[הגה] ועיין לעיל סימן קמ"א סעיף י"א וסעיף ל"ד כיצד נוהגין לכתחלה. </w:t>
      </w:r>
    </w:p>
    <w:p w14:paraId="6C7286FC" w14:textId="77777777" w:rsidR="00C97BEF" w:rsidRDefault="00C97BEF" w:rsidP="00C97BEF">
      <w:pPr>
        <w:rPr>
          <w:rtl/>
        </w:rPr>
      </w:pPr>
    </w:p>
    <w:p w14:paraId="00B1562E" w14:textId="77777777" w:rsidR="00C97BEF" w:rsidRDefault="00C97BEF" w:rsidP="00C97BEF">
      <w:pPr>
        <w:pStyle w:val="2"/>
        <w:rPr>
          <w:rtl/>
        </w:rPr>
      </w:pPr>
      <w:r>
        <w:rPr>
          <w:rtl/>
        </w:rPr>
        <w:t>סעיף ד: בפני כמה צריך השליח ליתנו לאשה.</w:t>
      </w:r>
    </w:p>
    <w:p w14:paraId="2E43D417" w14:textId="44C4857D" w:rsidR="00C97BEF" w:rsidRDefault="00C97BEF" w:rsidP="00C97BEF">
      <w:pPr>
        <w:rPr>
          <w:rFonts w:cs="Arial"/>
          <w:rtl/>
        </w:rPr>
      </w:pPr>
      <w:r>
        <w:rPr>
          <w:rFonts w:cs="Arial"/>
          <w:b/>
          <w:bCs/>
          <w:rtl/>
        </w:rPr>
        <w:t xml:space="preserve">גיטין </w:t>
      </w:r>
      <w:r>
        <w:rPr>
          <w:rFonts w:cs="Arial"/>
          <w:b/>
          <w:bCs/>
          <w:sz w:val="16"/>
          <w:szCs w:val="16"/>
          <w:rtl/>
        </w:rPr>
        <w:t>(פ"ק)</w:t>
      </w:r>
      <w:r>
        <w:rPr>
          <w:rFonts w:cs="Arial"/>
          <w:b/>
          <w:bCs/>
          <w:rtl/>
        </w:rPr>
        <w:t xml:space="preserve"> ה ע"ב:</w:t>
      </w:r>
      <w:r>
        <w:rPr>
          <w:rFonts w:cs="Arial"/>
          <w:rtl/>
        </w:rPr>
        <w:t xml:space="preserve"> איתמר: בפני כמה נותנו לה</w:t>
      </w:r>
      <w:r>
        <w:rPr>
          <w:rStyle w:val="a7"/>
          <w:rFonts w:cs="Arial"/>
          <w:rtl/>
        </w:rPr>
        <w:footnoteReference w:id="2256"/>
      </w:r>
      <w:r>
        <w:rPr>
          <w:rFonts w:cs="Arial"/>
          <w:rtl/>
        </w:rPr>
        <w:t xml:space="preserve">? רבי יוחנן ור' חנינא, </w:t>
      </w:r>
      <w:r>
        <w:rPr>
          <w:rFonts w:cs="Arial"/>
          <w:u w:val="single"/>
          <w:rtl/>
        </w:rPr>
        <w:t>חד אמר</w:t>
      </w:r>
      <w:r>
        <w:rPr>
          <w:rFonts w:cs="Arial"/>
          <w:rtl/>
        </w:rPr>
        <w:t xml:space="preserve">: בפני שנים, </w:t>
      </w:r>
      <w:r>
        <w:rPr>
          <w:rFonts w:cs="Arial"/>
          <w:u w:val="single"/>
          <w:rtl/>
        </w:rPr>
        <w:t>וחד אמר</w:t>
      </w:r>
      <w:r>
        <w:rPr>
          <w:rFonts w:cs="Arial"/>
          <w:rtl/>
        </w:rPr>
        <w:t xml:space="preserve">: בפני שלשה. תסתיים, דר' יוחנן הוא דאמר בפני שנים, דרבין בר רב חסדא אייתי גיטא לקמיה דר' יוחנן, ואמר ליה: זיל הב לה באפי תרי ואימא להו בפ"נ ובפני נחתם, תסתיים... הכא בהא קמיפלגי, דמר סבר: כיון דאשה כשירה להביא את הגט, </w:t>
      </w:r>
      <w:r>
        <w:rPr>
          <w:rFonts w:cs="Arial"/>
          <w:rtl/>
        </w:rPr>
        <w:lastRenderedPageBreak/>
        <w:t>זמנין דמייתא ליה איתתא וסמכי עלה</w:t>
      </w:r>
      <w:r>
        <w:rPr>
          <w:rStyle w:val="a7"/>
          <w:rFonts w:cs="Arial"/>
          <w:rtl/>
        </w:rPr>
        <w:footnoteReference w:id="2257"/>
      </w:r>
      <w:r>
        <w:rPr>
          <w:rFonts w:cs="Arial"/>
          <w:rtl/>
        </w:rPr>
        <w:t xml:space="preserve">. ואידך? אשה מידע ידעי ולא סמכי עלה. תניא כוותיה דרבי יוחנן: המביא גט ממדינת הים, ונתנו לה ולא אמר לה בפני נכתב ובפני נחתם </w:t>
      </w:r>
      <w:r w:rsidR="00A82951">
        <w:rPr>
          <w:rFonts w:cs="Arial"/>
          <w:rtl/>
        </w:rPr>
        <w:t>-</w:t>
      </w:r>
      <w:r>
        <w:rPr>
          <w:rFonts w:cs="Arial"/>
          <w:rtl/>
        </w:rPr>
        <w:t xml:space="preserve"> יוציא, והולד ממזר, </w:t>
      </w:r>
      <w:r w:rsidRPr="005D2A06">
        <w:rPr>
          <w:rFonts w:cs="Arial"/>
          <w:u w:val="single"/>
          <w:rtl/>
        </w:rPr>
        <w:t>דברי רבי מאיר</w:t>
      </w:r>
      <w:r>
        <w:rPr>
          <w:rFonts w:cs="Arial"/>
          <w:rtl/>
        </w:rPr>
        <w:t xml:space="preserve">; </w:t>
      </w:r>
      <w:r w:rsidRPr="005D2A06">
        <w:rPr>
          <w:rFonts w:cs="Arial"/>
          <w:u w:val="single"/>
          <w:rtl/>
        </w:rPr>
        <w:t>וחכ"א</w:t>
      </w:r>
      <w:r>
        <w:rPr>
          <w:rFonts w:cs="Arial"/>
          <w:rtl/>
        </w:rPr>
        <w:t>: אין הולד ממזר, כיצד יעשה? יטלנו הימנה, ויחזור ויתננו לה בפני שנים ויאמר בפני נכתב ובפני נחתם.</w:t>
      </w:r>
    </w:p>
    <w:p w14:paraId="7B2C44BA" w14:textId="77777777" w:rsidR="00C97BEF" w:rsidRDefault="00C97BEF" w:rsidP="00C97BEF">
      <w:pPr>
        <w:rPr>
          <w:u w:val="single"/>
          <w:rtl/>
        </w:rPr>
      </w:pPr>
      <w:r>
        <w:rPr>
          <w:u w:val="single"/>
          <w:rtl/>
        </w:rPr>
        <w:t>בפני כמה צריך השליח ליתנו לאשה:</w:t>
      </w:r>
    </w:p>
    <w:p w14:paraId="6C559F1F" w14:textId="77EB373C"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וכשנותנו ליד האשה כשמביאו ממדינת הים, צריך שיתננו לה בפני ג' שיהיו דיינין. אלא שאם הוא ראוי לדון, שאינו לא קרוב</w:t>
      </w:r>
      <w:r>
        <w:rPr>
          <w:rStyle w:val="a7"/>
          <w:rFonts w:cs="Arial"/>
          <w:rtl/>
        </w:rPr>
        <w:footnoteReference w:id="2258"/>
      </w:r>
      <w:r>
        <w:rPr>
          <w:rFonts w:cs="Arial"/>
          <w:rtl/>
        </w:rPr>
        <w:t xml:space="preserve"> ולא אשה, מצטרף עם שנים. ואם לאו, צריך ג' זולתו. </w:t>
      </w:r>
      <w:r>
        <w:rPr>
          <w:color w:val="E36C0A" w:themeColor="accent6" w:themeShade="BF"/>
          <w:rtl/>
        </w:rPr>
        <w:t>(וכ"פ בשו"ע)</w:t>
      </w:r>
    </w:p>
    <w:p w14:paraId="2BC6611F" w14:textId="0C217CAE" w:rsidR="00C97BEF" w:rsidRDefault="00C97BEF" w:rsidP="006A458D">
      <w:pPr>
        <w:pStyle w:val="ab"/>
        <w:numPr>
          <w:ilvl w:val="0"/>
          <w:numId w:val="112"/>
        </w:numPr>
      </w:pPr>
      <w:r>
        <w:rPr>
          <w:rFonts w:cs="Arial"/>
          <w:rtl/>
        </w:rPr>
        <w:t xml:space="preserve">ר"פ </w:t>
      </w:r>
      <w:r>
        <w:rPr>
          <w:rFonts w:cs="Arial"/>
          <w:sz w:val="16"/>
          <w:szCs w:val="16"/>
          <w:rtl/>
        </w:rPr>
        <w:t xml:space="preserve">(בהגה' סמ"ק סי' קפד, וכ"כ הטור בשמו)  </w:t>
      </w:r>
      <w:r>
        <w:rPr>
          <w:rFonts w:cs="Arial"/>
          <w:rtl/>
        </w:rPr>
        <w:t xml:space="preserve">וסדר גיטין </w:t>
      </w:r>
      <w:r>
        <w:rPr>
          <w:rFonts w:cs="Arial"/>
          <w:sz w:val="16"/>
          <w:szCs w:val="16"/>
          <w:rtl/>
        </w:rPr>
        <w:t>(סי' עג, כ"כ הדרכ"מ בשמו [אות ד*])</w:t>
      </w:r>
      <w:r w:rsidR="00A82951">
        <w:rPr>
          <w:rFonts w:cs="Arial"/>
          <w:rtl/>
        </w:rPr>
        <w:t>-</w:t>
      </w:r>
      <w:r>
        <w:rPr>
          <w:rFonts w:cs="Arial"/>
          <w:rtl/>
        </w:rPr>
        <w:t xml:space="preserve"> </w:t>
      </w:r>
      <w:r>
        <w:rPr>
          <w:rStyle w:val="a7"/>
          <w:rFonts w:cs="Arial"/>
          <w:rtl/>
        </w:rPr>
        <w:footnoteReference w:id="2259"/>
      </w:r>
      <w:r>
        <w:rPr>
          <w:rFonts w:cs="Arial"/>
          <w:rtl/>
        </w:rPr>
        <w:t>אע"ג דקיימא לן כמאן דאמר בפני שנים משום דעד נעש' דיין והשליח משלים השלשה מכל מקום טוב שיתנהו בפני שלשה, פן יבא לטעות כשהשליח קרוב לבעל או לאשה</w:t>
      </w:r>
      <w:r>
        <w:rPr>
          <w:rStyle w:val="a7"/>
          <w:rFonts w:cs="Arial"/>
          <w:rtl/>
        </w:rPr>
        <w:footnoteReference w:id="2260"/>
      </w:r>
      <w:r>
        <w:rPr>
          <w:rFonts w:cs="Arial"/>
          <w:rtl/>
        </w:rPr>
        <w:t>, כדאמר תלמודא, וגם לפרסם הדבר</w:t>
      </w:r>
      <w:r>
        <w:rPr>
          <w:rFonts w:cs="Arial"/>
          <w:sz w:val="16"/>
          <w:szCs w:val="16"/>
          <w:rtl/>
        </w:rPr>
        <w:t xml:space="preserve"> (ל' ר"פ)</w:t>
      </w:r>
      <w:r>
        <w:rPr>
          <w:rFonts w:cs="Arial"/>
          <w:rtl/>
        </w:rPr>
        <w:t xml:space="preserve">. </w:t>
      </w:r>
      <w:r>
        <w:rPr>
          <w:color w:val="00B0F0"/>
          <w:rtl/>
        </w:rPr>
        <w:t>(וכ"פ הרמ"א)</w:t>
      </w:r>
    </w:p>
    <w:p w14:paraId="7488BBA6" w14:textId="77777777" w:rsidR="00C97BEF" w:rsidRDefault="00C97BEF" w:rsidP="00C97BEF">
      <w:pPr>
        <w:ind w:left="360"/>
        <w:rPr>
          <w:u w:val="dotted"/>
        </w:rPr>
      </w:pPr>
      <w:r>
        <w:rPr>
          <w:u w:val="dotted"/>
          <w:rtl/>
        </w:rPr>
        <w:t>ומה הדין אם מביאו בארץ ישראל:</w:t>
      </w:r>
    </w:p>
    <w:p w14:paraId="3C93C3E5" w14:textId="7F5FFA1C" w:rsidR="00C97BEF" w:rsidRDefault="00C97BEF" w:rsidP="006A458D">
      <w:pPr>
        <w:pStyle w:val="ab"/>
        <w:numPr>
          <w:ilvl w:val="0"/>
          <w:numId w:val="112"/>
        </w:numPr>
      </w:pPr>
      <w:r>
        <w:rPr>
          <w:rFonts w:cs="Arial"/>
          <w:rtl/>
        </w:rPr>
        <w:t xml:space="preserve">ר"ן </w:t>
      </w:r>
      <w:r>
        <w:rPr>
          <w:rFonts w:cs="Arial"/>
          <w:sz w:val="16"/>
          <w:szCs w:val="16"/>
          <w:rtl/>
        </w:rPr>
        <w:t>(ב. ד"ה ויש אומרים)</w:t>
      </w:r>
      <w:r w:rsidR="00A82951">
        <w:rPr>
          <w:rFonts w:cs="Arial"/>
          <w:rtl/>
        </w:rPr>
        <w:t>-</w:t>
      </w:r>
      <w:r>
        <w:rPr>
          <w:rFonts w:cs="Arial"/>
          <w:rtl/>
        </w:rPr>
        <w:t xml:space="preserve"> אם מביאו בארץ ישראל אינו צריך ליתנו בפני שלשה</w:t>
      </w:r>
      <w:r>
        <w:rPr>
          <w:rStyle w:val="a7"/>
          <w:rFonts w:cs="Arial"/>
          <w:rtl/>
        </w:rPr>
        <w:footnoteReference w:id="2261"/>
      </w:r>
      <w:r>
        <w:rPr>
          <w:rFonts w:cs="Arial"/>
          <w:rtl/>
        </w:rPr>
        <w:t>.</w:t>
      </w:r>
    </w:p>
    <w:p w14:paraId="201F49B6" w14:textId="3CF8D733" w:rsidR="00C97BEF" w:rsidRDefault="00C97BEF" w:rsidP="00C97BEF">
      <w:pPr>
        <w:rPr>
          <w:u w:val="single"/>
        </w:rPr>
      </w:pPr>
      <w:r>
        <w:rPr>
          <w:u w:val="single"/>
          <w:rtl/>
        </w:rPr>
        <w:t xml:space="preserve">דיין שלקח שכר עבור עשיית הגט </w:t>
      </w:r>
      <w:r w:rsidR="00A82951">
        <w:rPr>
          <w:u w:val="single"/>
          <w:rtl/>
        </w:rPr>
        <w:t>-</w:t>
      </w:r>
      <w:r>
        <w:rPr>
          <w:u w:val="single"/>
          <w:rtl/>
        </w:rPr>
        <w:t xml:space="preserve"> האם יכול להיות אחד מן הדיינים שמקיימים את הגט:</w:t>
      </w:r>
      <w:r>
        <w:rPr>
          <w:rFonts w:cs="Arial"/>
          <w:sz w:val="16"/>
          <w:szCs w:val="16"/>
          <w:rtl/>
        </w:rPr>
        <w:t xml:space="preserve"> (דרכ"מ אות ד)</w:t>
      </w:r>
    </w:p>
    <w:p w14:paraId="6B5B9FA2" w14:textId="36D8ACCE" w:rsidR="00C97BEF" w:rsidRDefault="00C97BEF" w:rsidP="006A458D">
      <w:pPr>
        <w:pStyle w:val="ab"/>
        <w:numPr>
          <w:ilvl w:val="0"/>
          <w:numId w:val="112"/>
        </w:numPr>
      </w:pPr>
      <w:r>
        <w:rPr>
          <w:rFonts w:cs="Arial"/>
          <w:rtl/>
        </w:rPr>
        <w:t xml:space="preserve">סדר גיטין </w:t>
      </w:r>
      <w:r>
        <w:rPr>
          <w:rFonts w:cs="Arial"/>
          <w:sz w:val="16"/>
          <w:szCs w:val="16"/>
          <w:rtl/>
        </w:rPr>
        <w:t>(סי' פו הגהה ב והגהה א)</w:t>
      </w:r>
      <w:r w:rsidR="00A82951">
        <w:rPr>
          <w:rFonts w:cs="Arial"/>
          <w:rtl/>
        </w:rPr>
        <w:t>-</w:t>
      </w:r>
      <w:r>
        <w:rPr>
          <w:rFonts w:cs="Arial"/>
          <w:rtl/>
        </w:rPr>
        <w:t xml:space="preserve"> מהרא"י לא רצה להיות אחד מן השלשה דיינים משום שנטל שכר מן הגט, אך הושיב שלשה בחורים והוא שאל כל השאלות. ויש נוהגין ליטול עוד שנים לעדי מסירה. </w:t>
      </w:r>
      <w:r>
        <w:rPr>
          <w:color w:val="00B0F0"/>
          <w:rtl/>
        </w:rPr>
        <w:t>(וכ"כ הרמ"א)</w:t>
      </w:r>
    </w:p>
    <w:p w14:paraId="350805DC" w14:textId="77777777" w:rsidR="00C97BEF" w:rsidRDefault="00C97BEF" w:rsidP="00C97BEF">
      <w:r>
        <w:rPr>
          <w:u w:val="single"/>
          <w:rtl/>
        </w:rPr>
        <w:t>דייני קיום קרובים לעדי הגט/המסירה:</w:t>
      </w:r>
      <w:r>
        <w:rPr>
          <w:rFonts w:cs="Arial"/>
          <w:sz w:val="16"/>
          <w:szCs w:val="16"/>
          <w:rtl/>
        </w:rPr>
        <w:t xml:space="preserve"> (דרכ"מ אות ד)</w:t>
      </w:r>
    </w:p>
    <w:p w14:paraId="0FD59414" w14:textId="5100D334" w:rsidR="00C97BEF" w:rsidRDefault="00C97BEF" w:rsidP="006A458D">
      <w:pPr>
        <w:pStyle w:val="ab"/>
        <w:numPr>
          <w:ilvl w:val="0"/>
          <w:numId w:val="112"/>
        </w:numPr>
      </w:pPr>
      <w:r>
        <w:rPr>
          <w:rFonts w:cs="Arial"/>
          <w:rtl/>
        </w:rPr>
        <w:t xml:space="preserve">דרכ"מ </w:t>
      </w:r>
      <w:r>
        <w:rPr>
          <w:rFonts w:cs="Arial"/>
          <w:sz w:val="16"/>
          <w:szCs w:val="16"/>
          <w:rtl/>
        </w:rPr>
        <w:t>(אות ד)</w:t>
      </w:r>
      <w:r w:rsidR="00A82951">
        <w:rPr>
          <w:rFonts w:cs="Arial"/>
          <w:rtl/>
        </w:rPr>
        <w:t>-</w:t>
      </w:r>
      <w:r>
        <w:rPr>
          <w:rFonts w:cs="Arial"/>
          <w:rtl/>
        </w:rPr>
        <w:t xml:space="preserve"> כתב בסדר גיטין </w:t>
      </w:r>
      <w:r>
        <w:rPr>
          <w:rFonts w:cs="Arial"/>
          <w:sz w:val="16"/>
          <w:szCs w:val="16"/>
          <w:rtl/>
        </w:rPr>
        <w:t xml:space="preserve">(סי' נז סעיף א בסוף ההג"ה) </w:t>
      </w:r>
      <w:r>
        <w:rPr>
          <w:rFonts w:cs="Arial"/>
          <w:rtl/>
        </w:rPr>
        <w:t>שהדיינים לא יהיו קרובים לעדי הגט [ס"א: ולא לעדי מסירה]. וכתב בתיקון ישן ועדי מסירה לא יהיו קרובים לא לדיינים ולא לאיש ולא לאשה</w:t>
      </w:r>
      <w:r>
        <w:rPr>
          <w:rtl/>
        </w:rPr>
        <w:t>.</w:t>
      </w:r>
      <w:r>
        <w:rPr>
          <w:color w:val="00B0F0"/>
          <w:rtl/>
        </w:rPr>
        <w:t xml:space="preserve"> (וכ"כ בהג"ה)</w:t>
      </w:r>
    </w:p>
    <w:p w14:paraId="0F9E7DDD"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E4F3C69" w14:textId="77777777" w:rsidR="00C97BEF" w:rsidRDefault="00C97BEF" w:rsidP="00C97BEF">
      <w:pPr>
        <w:rPr>
          <w:rtl/>
        </w:rPr>
      </w:pPr>
      <w:r>
        <w:rPr>
          <w:rFonts w:cs="Arial"/>
          <w:rtl/>
        </w:rPr>
        <w:t>במה דברים אמורים, שנתנו לה בפני שנים</w:t>
      </w:r>
      <w:r>
        <w:rPr>
          <w:rStyle w:val="a7"/>
          <w:rFonts w:cs="Arial"/>
          <w:rtl/>
        </w:rPr>
        <w:footnoteReference w:id="2262"/>
      </w:r>
      <w:r>
        <w:rPr>
          <w:rFonts w:cs="Arial"/>
          <w:rtl/>
        </w:rPr>
        <w:t xml:space="preserve"> כשאין השליח קרוב או פסול, אבל אם הוא קרוב או פסול, צריך ליתנו לה בפני שלשה זולתו. </w:t>
      </w:r>
      <w:r>
        <w:rPr>
          <w:rFonts w:cs="Arial"/>
          <w:sz w:val="18"/>
          <w:szCs w:val="18"/>
          <w:rtl/>
        </w:rPr>
        <w:t>הגה: וי"א דיש להחמיר, אפילו אין השליח קרוב או פסול, ליתנו לה לפני שלשה, כדי שלא יבא ליתנו לה בפני שנים אף כשהוא קרוב או פסול (ר"פ), וכן נוהגין. ויש מחמירין עוד ליטול שנים אחרים לעדי מסירה, ולא יהיו קרובים לדיינים ולא לאיש ולא לאשה, גם השלשה שיושבים לא יהיו קרובים לעדי הגט, ולא לשליח (סדר גיטין). ועיין לעיל סימן קמ"א סעיף ל"ג. יש מחמירים ואומרים דהרב הנוטל שכר מסדר נתינת הגט לא יהיה אחד משלשה היושבים לדיינים, אלא יושיב ג' אחרים והרב שואל כל השאלות ומסדר הנתינה (סדר גיטין בשם מהרא"י).</w:t>
      </w:r>
      <w:r>
        <w:rPr>
          <w:rFonts w:cs="Arial"/>
          <w:rtl/>
        </w:rPr>
        <w:t xml:space="preserve"> </w:t>
      </w:r>
    </w:p>
    <w:p w14:paraId="50CD59AA" w14:textId="77777777" w:rsidR="00C97BEF" w:rsidRDefault="00C97BEF" w:rsidP="00C97BEF">
      <w:pPr>
        <w:rPr>
          <w:rtl/>
        </w:rPr>
      </w:pPr>
    </w:p>
    <w:p w14:paraId="70F5C092" w14:textId="77777777" w:rsidR="00C97BEF" w:rsidRDefault="00C97BEF" w:rsidP="00C97BEF">
      <w:pPr>
        <w:pStyle w:val="2"/>
        <w:rPr>
          <w:rtl/>
        </w:rPr>
      </w:pPr>
      <w:r>
        <w:rPr>
          <w:rtl/>
        </w:rPr>
        <w:t>סעיף ה: ישיבה/עמידה בשעת נתינת הגט ובשעת אמירת בפ"נ ובפ"נ.</w:t>
      </w:r>
    </w:p>
    <w:p w14:paraId="7E385BA8" w14:textId="77777777" w:rsidR="00983401" w:rsidRPr="00983401" w:rsidRDefault="00983401" w:rsidP="00983401">
      <w:pPr>
        <w:rPr>
          <w:u w:val="single"/>
          <w:rtl/>
        </w:rPr>
      </w:pPr>
      <w:r w:rsidRPr="00983401">
        <w:rPr>
          <w:u w:val="single"/>
          <w:rtl/>
        </w:rPr>
        <w:t>האם הדיינים צריכים לשבת בשעת קבלת עדות השליח, והאם השליח צריך לעמוד:</w:t>
      </w:r>
    </w:p>
    <w:p w14:paraId="53214932" w14:textId="38028B74" w:rsidR="00983401" w:rsidRDefault="00983401" w:rsidP="00983401">
      <w:pPr>
        <w:pStyle w:val="ab"/>
        <w:numPr>
          <w:ilvl w:val="0"/>
          <w:numId w:val="112"/>
        </w:numPr>
      </w:pPr>
      <w:r>
        <w:rPr>
          <w:rFonts w:cs="Arial"/>
          <w:rtl/>
        </w:rPr>
        <w:t xml:space="preserve">ר"פ </w:t>
      </w:r>
      <w:r>
        <w:rPr>
          <w:rFonts w:cs="Arial"/>
          <w:sz w:val="16"/>
          <w:szCs w:val="16"/>
          <w:rtl/>
        </w:rPr>
        <w:t>(שם, כ"כ בשמו הטור והגה"מ [פ"ו הי"ד])</w:t>
      </w:r>
      <w:r>
        <w:rPr>
          <w:rFonts w:cs="Arial"/>
          <w:rtl/>
        </w:rPr>
        <w:t xml:space="preserve">- ואין צריך שישבו השלשה, דאע"ג שהם כעין דייני' לקבל עדות השליח שיאמר בפני נכתב ובפני נחתם, מכל מקום הא קיי"ל בירושלמי הדיינין שקבלו העדות מעומד של הדייני' הוי שפיר קבלת עדות, והכא דקיום שטרות דרבנן אפילו לכתחלה נמי. ותדע שהרי על כרחין השליח שמעיד בפני </w:t>
      </w:r>
      <w:r>
        <w:rPr>
          <w:rFonts w:cs="Arial"/>
          <w:rtl/>
        </w:rPr>
        <w:lastRenderedPageBreak/>
        <w:t>נכת</w:t>
      </w:r>
      <w:r w:rsidR="0058317C">
        <w:rPr>
          <w:rFonts w:cs="Arial" w:hint="cs"/>
          <w:rtl/>
        </w:rPr>
        <w:t>ב</w:t>
      </w:r>
      <w:r>
        <w:rPr>
          <w:rFonts w:cs="Arial"/>
          <w:rtl/>
        </w:rPr>
        <w:t xml:space="preserve"> ובפני נחתם צריך לעמוד בשעת אמירתו כדין עדים, ואפילו הכי מצטרף לשלשה ונעשה דיין</w:t>
      </w:r>
      <w:r w:rsidR="0058317C">
        <w:rPr>
          <w:rFonts w:cs="Arial" w:hint="cs"/>
          <w:rtl/>
        </w:rPr>
        <w:t>.</w:t>
      </w:r>
      <w:r>
        <w:rPr>
          <w:rFonts w:cs="Arial"/>
          <w:rtl/>
        </w:rPr>
        <w:t xml:space="preserve"> אמנם שמעתי כי מורי ה"ר מנחם בן הרב רבי שמואל היה מצריך להושיב השלשה כדין דיינין לקבל עדות השליח שיאמר בפני נכתב ובפני נחתם. ואולי לא היה אומר אלא לכתח', אבל בדיעבד אין לחוש אם עמדו השלש</w:t>
      </w:r>
      <w:r w:rsidR="0058317C">
        <w:rPr>
          <w:rFonts w:cs="Arial" w:hint="cs"/>
          <w:rtl/>
        </w:rPr>
        <w:t>ה</w:t>
      </w:r>
      <w:r>
        <w:rPr>
          <w:rFonts w:cs="Arial"/>
          <w:rtl/>
        </w:rPr>
        <w:t xml:space="preserve"> ולא ישבו בשעת העדת השליח בפני נכתב ובפני נחתם.</w:t>
      </w:r>
      <w:r>
        <w:rPr>
          <w:color w:val="E36C0A" w:themeColor="accent6" w:themeShade="BF"/>
          <w:rtl/>
        </w:rPr>
        <w:t xml:space="preserve"> (וכ"כ בשו"ע)</w:t>
      </w:r>
    </w:p>
    <w:p w14:paraId="0F287B7D" w14:textId="1867A35A" w:rsidR="00983401" w:rsidRDefault="00983401" w:rsidP="00983401">
      <w:pPr>
        <w:rPr>
          <w:rFonts w:cs="Arial"/>
          <w:rtl/>
        </w:rPr>
      </w:pPr>
      <w:r w:rsidRPr="00706941">
        <w:rPr>
          <w:rFonts w:cs="Arial" w:hint="cs"/>
          <w:b/>
          <w:bCs/>
          <w:u w:val="single"/>
          <w:rtl/>
        </w:rPr>
        <w:t>נתינת</w:t>
      </w:r>
      <w:r w:rsidRPr="00764738">
        <w:rPr>
          <w:rFonts w:cs="Arial" w:hint="cs"/>
          <w:u w:val="single"/>
          <w:rtl/>
        </w:rPr>
        <w:t xml:space="preserve"> גט בלילה:</w:t>
      </w:r>
      <w:r>
        <w:rPr>
          <w:rFonts w:cs="Arial" w:hint="cs"/>
          <w:rtl/>
        </w:rPr>
        <w:t xml:space="preserve"> </w:t>
      </w:r>
      <w:r>
        <w:rPr>
          <w:rFonts w:cs="Arial" w:hint="cs"/>
          <w:sz w:val="16"/>
          <w:szCs w:val="16"/>
          <w:rtl/>
        </w:rPr>
        <w:t xml:space="preserve">(דרכ"מ [כאן אות ה, וסי' קכג </w:t>
      </w:r>
      <w:r w:rsidRPr="00764738">
        <w:rPr>
          <w:rFonts w:cs="Arial" w:hint="cs"/>
          <w:sz w:val="16"/>
          <w:szCs w:val="16"/>
          <w:rtl/>
        </w:rPr>
        <w:t xml:space="preserve">אות </w:t>
      </w:r>
      <w:r w:rsidRPr="00764738">
        <w:rPr>
          <w:rFonts w:cs="Arial"/>
          <w:sz w:val="16"/>
          <w:szCs w:val="16"/>
          <w:rtl/>
        </w:rPr>
        <w:t>ג</w:t>
      </w:r>
      <w:r>
        <w:rPr>
          <w:rFonts w:cs="Arial" w:hint="cs"/>
          <w:sz w:val="16"/>
          <w:szCs w:val="16"/>
          <w:rtl/>
        </w:rPr>
        <w:t>] וב"י [סי' קלו])</w:t>
      </w:r>
    </w:p>
    <w:p w14:paraId="1F162E99" w14:textId="77777777" w:rsidR="00983401" w:rsidRPr="00764738" w:rsidRDefault="00983401" w:rsidP="00983401">
      <w:pPr>
        <w:pStyle w:val="ab"/>
        <w:numPr>
          <w:ilvl w:val="0"/>
          <w:numId w:val="40"/>
        </w:numPr>
        <w:rPr>
          <w:rFonts w:cs="Arial"/>
          <w:rtl/>
        </w:rPr>
      </w:pPr>
      <w:r>
        <w:rPr>
          <w:rFonts w:cs="Arial" w:hint="cs"/>
          <w:rtl/>
        </w:rPr>
        <w:t xml:space="preserve">תוס' </w:t>
      </w:r>
      <w:r>
        <w:rPr>
          <w:rFonts w:cs="Arial" w:hint="cs"/>
          <w:sz w:val="16"/>
          <w:szCs w:val="16"/>
          <w:rtl/>
        </w:rPr>
        <w:t>(סנהדרין מד. ד"ה חיישינן שמא)</w:t>
      </w:r>
      <w:r>
        <w:rPr>
          <w:rFonts w:cs="Arial" w:hint="cs"/>
          <w:rtl/>
        </w:rPr>
        <w:t xml:space="preserve"> </w:t>
      </w:r>
      <w:r w:rsidRPr="00764738">
        <w:rPr>
          <w:rFonts w:cs="Arial"/>
          <w:rtl/>
        </w:rPr>
        <w:t xml:space="preserve">מרדכי </w:t>
      </w:r>
      <w:r w:rsidRPr="00764738">
        <w:rPr>
          <w:rFonts w:cs="Arial" w:hint="cs"/>
          <w:sz w:val="16"/>
          <w:szCs w:val="16"/>
          <w:rtl/>
        </w:rPr>
        <w:t>(</w:t>
      </w:r>
      <w:r w:rsidRPr="00764738">
        <w:rPr>
          <w:rFonts w:cs="Arial"/>
          <w:sz w:val="16"/>
          <w:szCs w:val="16"/>
          <w:rtl/>
        </w:rPr>
        <w:t>יבמות סי' פו)</w:t>
      </w:r>
      <w:r>
        <w:rPr>
          <w:rFonts w:cs="Arial" w:hint="cs"/>
          <w:rtl/>
        </w:rPr>
        <w:t xml:space="preserve"> ו</w:t>
      </w:r>
      <w:r w:rsidRPr="00764738">
        <w:rPr>
          <w:rFonts w:cs="Arial"/>
          <w:rtl/>
        </w:rPr>
        <w:t>הגמ</w:t>
      </w:r>
      <w:r>
        <w:rPr>
          <w:rFonts w:cs="Arial" w:hint="cs"/>
          <w:rtl/>
        </w:rPr>
        <w:t>"</w:t>
      </w:r>
      <w:r w:rsidRPr="00764738">
        <w:rPr>
          <w:rFonts w:cs="Arial"/>
          <w:rtl/>
        </w:rPr>
        <w:t>ר</w:t>
      </w:r>
      <w:r>
        <w:rPr>
          <w:rStyle w:val="a7"/>
          <w:rFonts w:cs="Arial"/>
          <w:rtl/>
        </w:rPr>
        <w:footnoteReference w:id="2263"/>
      </w:r>
      <w:r w:rsidRPr="00764738">
        <w:rPr>
          <w:rFonts w:cs="Arial"/>
          <w:rtl/>
        </w:rPr>
        <w:t xml:space="preserve"> </w:t>
      </w:r>
      <w:r w:rsidRPr="00084FB5">
        <w:rPr>
          <w:rFonts w:cs="Arial" w:hint="cs"/>
          <w:sz w:val="16"/>
          <w:szCs w:val="16"/>
          <w:rtl/>
        </w:rPr>
        <w:t>(</w:t>
      </w:r>
      <w:r w:rsidRPr="00084FB5">
        <w:rPr>
          <w:rFonts w:cs="Arial"/>
          <w:sz w:val="16"/>
          <w:szCs w:val="16"/>
          <w:rtl/>
        </w:rPr>
        <w:t>גיטין סוף סי' תסז)</w:t>
      </w:r>
      <w:r>
        <w:rPr>
          <w:rFonts w:cs="Arial" w:hint="cs"/>
          <w:rtl/>
        </w:rPr>
        <w:t>- אשה מתגרשת בלילה</w:t>
      </w:r>
      <w:r>
        <w:rPr>
          <w:rFonts w:cs="Arial" w:hint="cs"/>
          <w:sz w:val="16"/>
          <w:szCs w:val="16"/>
          <w:rtl/>
        </w:rPr>
        <w:t xml:space="preserve"> (ל' התוס')</w:t>
      </w:r>
      <w:r>
        <w:rPr>
          <w:rStyle w:val="a7"/>
          <w:rFonts w:cs="Arial"/>
          <w:rtl/>
        </w:rPr>
        <w:footnoteReference w:id="2264"/>
      </w:r>
      <w:r w:rsidRPr="00764738">
        <w:rPr>
          <w:rFonts w:cs="Arial"/>
          <w:rtl/>
        </w:rPr>
        <w:t>.</w:t>
      </w:r>
    </w:p>
    <w:p w14:paraId="3106624C" w14:textId="77777777" w:rsidR="00983401" w:rsidRDefault="00983401" w:rsidP="00983401">
      <w:pPr>
        <w:pStyle w:val="ab"/>
        <w:numPr>
          <w:ilvl w:val="0"/>
          <w:numId w:val="40"/>
        </w:numPr>
        <w:rPr>
          <w:rFonts w:cs="Arial"/>
        </w:rPr>
      </w:pPr>
      <w:r>
        <w:rPr>
          <w:rFonts w:cs="Arial" w:hint="cs"/>
          <w:rtl/>
        </w:rPr>
        <w:t>או"ז</w:t>
      </w:r>
      <w:r>
        <w:rPr>
          <w:rStyle w:val="a7"/>
          <w:rFonts w:cs="Arial"/>
          <w:rtl/>
        </w:rPr>
        <w:footnoteReference w:id="2265"/>
      </w:r>
      <w:r>
        <w:rPr>
          <w:rFonts w:cs="Arial" w:hint="cs"/>
          <w:sz w:val="16"/>
          <w:szCs w:val="16"/>
          <w:rtl/>
        </w:rPr>
        <w:t xml:space="preserve"> (ח"א סי' תשמה)</w:t>
      </w:r>
      <w:r>
        <w:rPr>
          <w:rFonts w:cs="Arial" w:hint="cs"/>
          <w:rtl/>
        </w:rPr>
        <w:t xml:space="preserve">- </w:t>
      </w:r>
      <w:r w:rsidRPr="003236EA">
        <w:rPr>
          <w:rFonts w:cs="Arial"/>
          <w:rtl/>
        </w:rPr>
        <w:t>נראה בעיני אשה שקבלה גיטא בליליא ל"ש מידו לידה ל"ש מיד שלוחו ל"ש באותה מדינה ל"ש בבא ממדינת הים אחרת</w:t>
      </w:r>
      <w:r>
        <w:rPr>
          <w:rFonts w:cs="Arial" w:hint="cs"/>
          <w:rtl/>
        </w:rPr>
        <w:t xml:space="preserve"> -</w:t>
      </w:r>
      <w:r w:rsidRPr="003236EA">
        <w:rPr>
          <w:rFonts w:cs="Arial"/>
          <w:rtl/>
        </w:rPr>
        <w:t xml:space="preserve"> לאו כלום הוא ואינה מגורשת כלל.</w:t>
      </w:r>
      <w:r>
        <w:rPr>
          <w:rFonts w:cs="Arial" w:hint="cs"/>
          <w:rtl/>
        </w:rPr>
        <w:t>..</w:t>
      </w:r>
      <w:r w:rsidRPr="003236EA">
        <w:rPr>
          <w:rFonts w:cs="Arial"/>
          <w:rtl/>
        </w:rPr>
        <w:t xml:space="preserve"> ודבר זה לא כתבתי לסמוך עלי בשעת מעשה עד שאשמע דעת רבותי מה יאמרו</w:t>
      </w:r>
      <w:r>
        <w:rPr>
          <w:rFonts w:cs="Arial" w:hint="cs"/>
          <w:rtl/>
        </w:rPr>
        <w:t>,</w:t>
      </w:r>
      <w:r w:rsidRPr="003236EA">
        <w:rPr>
          <w:rFonts w:cs="Arial"/>
          <w:rtl/>
        </w:rPr>
        <w:t xml:space="preserve"> אע</w:t>
      </w:r>
      <w:r>
        <w:rPr>
          <w:rFonts w:cs="Arial" w:hint="cs"/>
          <w:rtl/>
        </w:rPr>
        <w:t>"</w:t>
      </w:r>
      <w:r w:rsidRPr="003236EA">
        <w:rPr>
          <w:rFonts w:cs="Arial"/>
          <w:rtl/>
        </w:rPr>
        <w:t>פ שנראה בעיני כמו שהוכחתי מחליצה מדכתיב ביה משפט</w:t>
      </w:r>
      <w:r w:rsidRPr="006E4A64">
        <w:rPr>
          <w:rFonts w:cs="Arial"/>
          <w:rtl/>
        </w:rPr>
        <w:t xml:space="preserve">. </w:t>
      </w:r>
    </w:p>
    <w:p w14:paraId="5CF5D8B9" w14:textId="77777777" w:rsidR="00983401" w:rsidRDefault="00983401" w:rsidP="00983401">
      <w:pPr>
        <w:pStyle w:val="ab"/>
        <w:numPr>
          <w:ilvl w:val="0"/>
          <w:numId w:val="40"/>
        </w:numPr>
        <w:rPr>
          <w:rFonts w:cs="Arial"/>
        </w:rPr>
      </w:pPr>
      <w:r w:rsidRPr="00764738">
        <w:rPr>
          <w:rFonts w:cs="Arial"/>
          <w:rtl/>
        </w:rPr>
        <w:t xml:space="preserve">מהר"י מינץ </w:t>
      </w:r>
      <w:r w:rsidRPr="00084FB5">
        <w:rPr>
          <w:rFonts w:cs="Arial" w:hint="cs"/>
          <w:sz w:val="16"/>
          <w:szCs w:val="16"/>
          <w:rtl/>
        </w:rPr>
        <w:t>(</w:t>
      </w:r>
      <w:r w:rsidRPr="00084FB5">
        <w:rPr>
          <w:rFonts w:cs="Arial"/>
          <w:sz w:val="16"/>
          <w:szCs w:val="16"/>
          <w:rtl/>
        </w:rPr>
        <w:t>סדר הגט סי' נז</w:t>
      </w:r>
      <w:r>
        <w:rPr>
          <w:rFonts w:cs="Arial" w:hint="cs"/>
          <w:sz w:val="16"/>
          <w:szCs w:val="16"/>
          <w:rtl/>
        </w:rPr>
        <w:t>, ובס' ע</w:t>
      </w:r>
      <w:r w:rsidRPr="00084FB5">
        <w:rPr>
          <w:rFonts w:cs="Arial"/>
          <w:sz w:val="16"/>
          <w:szCs w:val="16"/>
          <w:rtl/>
        </w:rPr>
        <w:t>)</w:t>
      </w:r>
      <w:r>
        <w:rPr>
          <w:rFonts w:cs="Arial" w:hint="cs"/>
          <w:rtl/>
        </w:rPr>
        <w:t>-</w:t>
      </w:r>
      <w:r w:rsidRPr="00764738">
        <w:rPr>
          <w:rFonts w:cs="Arial"/>
          <w:rtl/>
        </w:rPr>
        <w:t xml:space="preserve"> אם נתגרשה בלילה הגט פסול.</w:t>
      </w:r>
      <w:r w:rsidRPr="00095F7E">
        <w:rPr>
          <w:rFonts w:cs="Arial" w:hint="cs"/>
          <w:color w:val="00B0F0"/>
          <w:rtl/>
        </w:rPr>
        <w:t xml:space="preserve"> </w:t>
      </w:r>
    </w:p>
    <w:p w14:paraId="5E880640" w14:textId="27BA2FB8" w:rsidR="00983401" w:rsidRPr="00F43A58" w:rsidRDefault="00983401" w:rsidP="00983401">
      <w:pPr>
        <w:pStyle w:val="ab"/>
        <w:numPr>
          <w:ilvl w:val="1"/>
          <w:numId w:val="40"/>
        </w:numPr>
      </w:pPr>
      <w:r>
        <w:rPr>
          <w:rFonts w:cs="Arial"/>
          <w:rtl/>
        </w:rPr>
        <w:t xml:space="preserve">בנימין זאב </w:t>
      </w:r>
      <w:r>
        <w:rPr>
          <w:rFonts w:cs="Arial"/>
          <w:sz w:val="16"/>
          <w:szCs w:val="16"/>
          <w:rtl/>
        </w:rPr>
        <w:t>(סי' קכב)</w:t>
      </w:r>
      <w:r>
        <w:rPr>
          <w:rFonts w:cs="Arial"/>
          <w:rtl/>
        </w:rPr>
        <w:t>- לכתחלה יתנהו לה ביום.</w:t>
      </w:r>
      <w:r w:rsidRPr="009767B9">
        <w:rPr>
          <w:rFonts w:cs="Arial" w:hint="cs"/>
          <w:color w:val="E36C0A" w:themeColor="accent6" w:themeShade="BF"/>
          <w:rtl/>
        </w:rPr>
        <w:t xml:space="preserve"> (וכ"פ השו"ע</w:t>
      </w:r>
      <w:r>
        <w:rPr>
          <w:rFonts w:cs="Arial" w:hint="cs"/>
          <w:color w:val="E36C0A" w:themeColor="accent6" w:themeShade="BF"/>
          <w:sz w:val="16"/>
          <w:szCs w:val="16"/>
          <w:rtl/>
        </w:rPr>
        <w:t xml:space="preserve"> </w:t>
      </w:r>
      <w:r w:rsidRPr="009767B9">
        <w:rPr>
          <w:rFonts w:cs="Arial" w:hint="cs"/>
          <w:color w:val="000000" w:themeColor="text1"/>
          <w:sz w:val="16"/>
          <w:szCs w:val="16"/>
          <w:rtl/>
        </w:rPr>
        <w:t>[</w:t>
      </w:r>
      <w:r>
        <w:rPr>
          <w:rFonts w:cs="Arial" w:hint="cs"/>
          <w:color w:val="000000" w:themeColor="text1"/>
          <w:sz w:val="16"/>
          <w:szCs w:val="16"/>
          <w:rtl/>
        </w:rPr>
        <w:t>סדר הגט ספ"ח</w:t>
      </w:r>
      <w:r w:rsidRPr="009767B9">
        <w:rPr>
          <w:rFonts w:cs="Arial" w:hint="cs"/>
          <w:color w:val="000000" w:themeColor="text1"/>
          <w:sz w:val="16"/>
          <w:szCs w:val="16"/>
          <w:rtl/>
        </w:rPr>
        <w:t>]</w:t>
      </w:r>
      <w:r w:rsidRPr="009767B9">
        <w:rPr>
          <w:rFonts w:cs="Arial" w:hint="cs"/>
          <w:color w:val="E36C0A" w:themeColor="accent6" w:themeShade="BF"/>
          <w:rtl/>
        </w:rPr>
        <w:t>)</w:t>
      </w:r>
      <w:r w:rsidRPr="00646BFD">
        <w:rPr>
          <w:rFonts w:cs="Arial" w:hint="cs"/>
          <w:color w:val="00B0F0"/>
          <w:rtl/>
        </w:rPr>
        <w:t>(וכ"</w:t>
      </w:r>
      <w:r>
        <w:rPr>
          <w:rFonts w:cs="Arial" w:hint="cs"/>
          <w:color w:val="00B0F0"/>
          <w:rtl/>
        </w:rPr>
        <w:t>פ</w:t>
      </w:r>
      <w:r w:rsidRPr="00646BFD">
        <w:rPr>
          <w:rFonts w:cs="Arial" w:hint="cs"/>
          <w:color w:val="00B0F0"/>
          <w:rtl/>
        </w:rPr>
        <w:t xml:space="preserve"> הרמ"א)</w:t>
      </w:r>
    </w:p>
    <w:p w14:paraId="5003A91D"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77BAF5A" w14:textId="3FC68DBA" w:rsidR="00C97BEF" w:rsidRDefault="00C97BEF" w:rsidP="00C97BEF">
      <w:pPr>
        <w:rPr>
          <w:rtl/>
        </w:rPr>
      </w:pPr>
      <w:r>
        <w:rPr>
          <w:rFonts w:cs="Arial"/>
          <w:rtl/>
        </w:rPr>
        <w:t xml:space="preserve">אותם שנתנו לה בפניהם אין צריכין לישב. וכשאומר השליח: בפני נכתב ובפני נחתם, צריך לעמוד. ויש מי שאומר שלכתחלה צריכים לישב אותם שאומר בפניהם: בפני נכתב ובפני נחתם. </w:t>
      </w:r>
      <w:r>
        <w:rPr>
          <w:rFonts w:cs="Arial"/>
          <w:sz w:val="18"/>
          <w:szCs w:val="18"/>
          <w:rtl/>
        </w:rPr>
        <w:t>[הגה] ולכתחלה יתנו לה ביום ולא בלילה (</w:t>
      </w:r>
      <w:r w:rsidR="00983401">
        <w:rPr>
          <w:rFonts w:cs="Arial" w:hint="cs"/>
          <w:sz w:val="18"/>
          <w:szCs w:val="18"/>
          <w:rtl/>
        </w:rPr>
        <w:t>ב"ז</w:t>
      </w:r>
      <w:r>
        <w:rPr>
          <w:rFonts w:cs="Arial"/>
          <w:sz w:val="18"/>
          <w:szCs w:val="18"/>
          <w:rtl/>
        </w:rPr>
        <w:t>).</w:t>
      </w:r>
      <w:r>
        <w:rPr>
          <w:rFonts w:cs="Arial"/>
          <w:rtl/>
        </w:rPr>
        <w:t xml:space="preserve"> </w:t>
      </w:r>
    </w:p>
    <w:p w14:paraId="1F02E62A" w14:textId="77777777" w:rsidR="00C97BEF" w:rsidRDefault="00C97BEF" w:rsidP="00C97BEF">
      <w:pPr>
        <w:rPr>
          <w:rtl/>
        </w:rPr>
      </w:pPr>
    </w:p>
    <w:p w14:paraId="4D44A443" w14:textId="77777777" w:rsidR="00C97BEF" w:rsidRDefault="00C97BEF" w:rsidP="00C97BEF">
      <w:pPr>
        <w:pStyle w:val="2"/>
        <w:rPr>
          <w:rtl/>
        </w:rPr>
      </w:pPr>
      <w:r>
        <w:rPr>
          <w:rtl/>
        </w:rPr>
        <w:t>סעיף ו: מתי צריך השליח לומר בפ"נ ובפ"נ.</w:t>
      </w:r>
    </w:p>
    <w:p w14:paraId="5D5E715C" w14:textId="6681CDE7" w:rsidR="00C97BEF" w:rsidRDefault="00C97BEF" w:rsidP="00C97BEF">
      <w:pPr>
        <w:rPr>
          <w:rtl/>
        </w:rPr>
      </w:pPr>
      <w:r>
        <w:rPr>
          <w:rFonts w:cs="Arial"/>
          <w:b/>
          <w:bCs/>
          <w:rtl/>
        </w:rPr>
        <w:t xml:space="preserve">גיטין </w:t>
      </w:r>
      <w:r>
        <w:rPr>
          <w:rFonts w:cs="Arial"/>
          <w:b/>
          <w:bCs/>
          <w:sz w:val="16"/>
          <w:szCs w:val="16"/>
          <w:rtl/>
        </w:rPr>
        <w:t>(פ"ק)</w:t>
      </w:r>
      <w:r>
        <w:rPr>
          <w:rFonts w:cs="Arial"/>
          <w:b/>
          <w:bCs/>
          <w:rtl/>
        </w:rPr>
        <w:t xml:space="preserve"> ה ע"ב</w:t>
      </w:r>
      <w:r>
        <w:rPr>
          <w:rStyle w:val="a7"/>
          <w:rFonts w:cs="Arial"/>
          <w:b/>
          <w:bCs/>
          <w:rtl/>
        </w:rPr>
        <w:footnoteReference w:id="2266"/>
      </w:r>
      <w:r>
        <w:rPr>
          <w:rFonts w:cs="Arial"/>
          <w:b/>
          <w:bCs/>
          <w:rtl/>
        </w:rPr>
        <w:t>:</w:t>
      </w:r>
      <w:r>
        <w:rPr>
          <w:rFonts w:cs="Arial"/>
          <w:rtl/>
        </w:rPr>
        <w:t xml:space="preserve"> תניא...: המביא גט ממדינת הים, ונתנו לה ולא אמר לה בפני נכתב ובפני נחתם </w:t>
      </w:r>
      <w:r w:rsidR="00A82951">
        <w:rPr>
          <w:rFonts w:cs="Arial"/>
          <w:rtl/>
        </w:rPr>
        <w:t>-</w:t>
      </w:r>
      <w:r>
        <w:rPr>
          <w:rFonts w:cs="Arial"/>
          <w:rtl/>
        </w:rPr>
        <w:t xml:space="preserve"> יוציא, והולד ממזר, </w:t>
      </w:r>
      <w:r>
        <w:rPr>
          <w:rFonts w:cs="Arial"/>
          <w:u w:val="single"/>
          <w:rtl/>
        </w:rPr>
        <w:t>דברי רבי מאיר</w:t>
      </w:r>
      <w:r>
        <w:rPr>
          <w:rFonts w:cs="Arial"/>
          <w:rtl/>
        </w:rPr>
        <w:t xml:space="preserve">. </w:t>
      </w:r>
      <w:r>
        <w:rPr>
          <w:rFonts w:cs="Arial"/>
          <w:u w:val="single"/>
          <w:rtl/>
        </w:rPr>
        <w:t>וחכ"א</w:t>
      </w:r>
      <w:r>
        <w:rPr>
          <w:rFonts w:cs="Arial"/>
          <w:rtl/>
        </w:rPr>
        <w:t xml:space="preserve">: אין הולד ממזר, כיצד יעשה? יטלנו הימנה, ויחזור ויתננו לה בפני שנים ויאמר בפני נכתב ובפני נחתם. </w:t>
      </w:r>
      <w:r>
        <w:rPr>
          <w:rFonts w:cs="Arial"/>
          <w:sz w:val="16"/>
          <w:szCs w:val="16"/>
          <w:rtl/>
        </w:rPr>
        <w:t xml:space="preserve">(מכאן משמע דצריך לומר בשעת נתינה בפני נכתב, מדקאמר יטלנו הימנה. וה"ה לאחר נתינה תוך כדי דיבור דמהני, מדקאמר לעיל (ה.) שנתנו לה כשהיה פיקח ולא הספיק לומר בפני נכתב עד שנתחרש. אבל לאחר כדי דיבור מספקא לר"י אי מהני כל זמן שעסוקים באותו ענין או לאו. וקודם נתינה מספקא לר"י נמי אי מהני..., </w:t>
      </w:r>
      <w:r>
        <w:rPr>
          <w:rFonts w:cs="Arial"/>
          <w:b/>
          <w:bCs/>
          <w:sz w:val="16"/>
          <w:szCs w:val="16"/>
          <w:rtl/>
        </w:rPr>
        <w:t xml:space="preserve">תוס' </w:t>
      </w:r>
      <w:r>
        <w:rPr>
          <w:rFonts w:cs="Arial"/>
          <w:sz w:val="16"/>
          <w:szCs w:val="16"/>
          <w:rtl/>
        </w:rPr>
        <w:t>(ד"ה יטלנו).</w:t>
      </w:r>
      <w:r>
        <w:rPr>
          <w:rFonts w:cs="Arial"/>
          <w:rtl/>
        </w:rPr>
        <w:t xml:space="preserve"> </w:t>
      </w:r>
      <w:r>
        <w:rPr>
          <w:rFonts w:cs="Arial"/>
          <w:sz w:val="16"/>
          <w:szCs w:val="16"/>
          <w:rtl/>
        </w:rPr>
        <w:t>ודברי התוספות כתבום הרא"ש (גיטין פ"א סי' ו, ובתוספות רא"ש ב"מ נה: ד"ה ויחזור) והרשב"א (ה: ד"ה ובתוספות) והר"ן (ב. ד"ה ולענין) והמרדכי (סי' שכב) בריש גיטין, והגה"מ בפ"ז (אות ד) בשם ספר התרומה (סי' קיט) והמצות (עשין נ קל.). וכתב הרמב"ם בפ"ז (הי"ז) דאפילו לאחר שנישאת יטלנו ממנה ויחזור ויתננו לה ויאמר לה בפני נכתב ובפני נחתם. וכתב שאם נתנו לה בינו לבינה דינו שוה לנתנו לה בלא שאמר בפני נכתב ובפני נחתם. ופשוט הוא, דכיון דאין עדים שאמר לה בפני נכתב ובפני נחתם, אע"פ שאמרו, כלא אמרו דמי. וכתב הרא"ש (סי' ו) הילכך טוב ליזהר שיאמרו בשעה שרוצה ליתן הגט לאשה</w:t>
      </w:r>
      <w:r>
        <w:rPr>
          <w:rStyle w:val="a7"/>
          <w:rFonts w:cs="Arial"/>
          <w:sz w:val="16"/>
          <w:szCs w:val="16"/>
          <w:rtl/>
        </w:rPr>
        <w:footnoteReference w:id="2267"/>
      </w:r>
      <w:r>
        <w:rPr>
          <w:rFonts w:cs="Arial"/>
          <w:sz w:val="16"/>
          <w:szCs w:val="16"/>
          <w:rtl/>
        </w:rPr>
        <w:t xml:space="preserve">, </w:t>
      </w:r>
      <w:r>
        <w:rPr>
          <w:rFonts w:cs="Arial"/>
          <w:b/>
          <w:bCs/>
          <w:sz w:val="16"/>
          <w:szCs w:val="16"/>
          <w:rtl/>
        </w:rPr>
        <w:t>ב"י</w:t>
      </w:r>
      <w:r>
        <w:rPr>
          <w:rFonts w:cs="Arial"/>
          <w:sz w:val="16"/>
          <w:szCs w:val="16"/>
          <w:rtl/>
        </w:rPr>
        <w:t>)</w:t>
      </w:r>
    </w:p>
    <w:p w14:paraId="0B2FBA28" w14:textId="77777777" w:rsidR="00C97BEF" w:rsidRDefault="00C97BEF" w:rsidP="00C97BEF">
      <w:pPr>
        <w:rPr>
          <w:u w:val="single"/>
          <w:rtl/>
        </w:rPr>
      </w:pPr>
      <w:r>
        <w:rPr>
          <w:u w:val="single"/>
          <w:rtl/>
        </w:rPr>
        <w:t>מתי צריך השליח לומר בפ"נ ובפ"נ:</w:t>
      </w:r>
    </w:p>
    <w:p w14:paraId="41053AF1" w14:textId="4B8006B3"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ויאמר 'בפני נכתב ובפני נחתם' בשעה שנתנו ליד האשה, או סמוך לו מיד בתוך כדי דיבור. </w:t>
      </w:r>
      <w:r>
        <w:rPr>
          <w:color w:val="E36C0A" w:themeColor="accent6" w:themeShade="BF"/>
          <w:rtl/>
        </w:rPr>
        <w:t>(וכ"פ בשו"ע)</w:t>
      </w:r>
    </w:p>
    <w:p w14:paraId="00B3020D" w14:textId="4BF97780" w:rsidR="00C97BEF" w:rsidRDefault="00C97BEF" w:rsidP="00C97BEF">
      <w:pPr>
        <w:ind w:left="360"/>
        <w:rPr>
          <w:u w:val="dotted"/>
        </w:rPr>
      </w:pPr>
      <w:r>
        <w:rPr>
          <w:u w:val="dotted"/>
          <w:rtl/>
        </w:rPr>
        <w:lastRenderedPageBreak/>
        <w:t>ומה הדין אם לא אמר</w:t>
      </w:r>
      <w:r w:rsidR="001231DA">
        <w:rPr>
          <w:rFonts w:hint="cs"/>
          <w:u w:val="dotted"/>
          <w:rtl/>
        </w:rPr>
        <w:t xml:space="preserve">, או שאמר לאחר </w:t>
      </w:r>
      <w:r>
        <w:rPr>
          <w:u w:val="dotted"/>
          <w:rtl/>
        </w:rPr>
        <w:t>כדי דיבור</w:t>
      </w:r>
      <w:r>
        <w:rPr>
          <w:sz w:val="16"/>
          <w:szCs w:val="16"/>
          <w:u w:val="dotted"/>
          <w:rtl/>
        </w:rPr>
        <w:t xml:space="preserve"> (או שאמר </w:t>
      </w:r>
      <w:r w:rsidR="001231DA">
        <w:rPr>
          <w:rFonts w:hint="cs"/>
          <w:sz w:val="16"/>
          <w:szCs w:val="16"/>
          <w:u w:val="dotted"/>
          <w:rtl/>
        </w:rPr>
        <w:t xml:space="preserve">תכ"ד </w:t>
      </w:r>
      <w:r>
        <w:rPr>
          <w:sz w:val="16"/>
          <w:szCs w:val="16"/>
          <w:u w:val="dotted"/>
          <w:rtl/>
        </w:rPr>
        <w:t>אבל שלא בפני עדים)</w:t>
      </w:r>
      <w:r>
        <w:rPr>
          <w:u w:val="dotted"/>
          <w:rtl/>
        </w:rPr>
        <w:t>:</w:t>
      </w:r>
    </w:p>
    <w:p w14:paraId="6E625FAC" w14:textId="68A7FC8D" w:rsidR="00C97BEF" w:rsidRDefault="00C97BEF" w:rsidP="006A458D">
      <w:pPr>
        <w:pStyle w:val="ab"/>
        <w:numPr>
          <w:ilvl w:val="0"/>
          <w:numId w:val="112"/>
        </w:numPr>
      </w:pPr>
      <w:r>
        <w:rPr>
          <w:rtl/>
        </w:rPr>
        <w:t xml:space="preserve">רמב"ם </w:t>
      </w:r>
      <w:r>
        <w:rPr>
          <w:sz w:val="16"/>
          <w:szCs w:val="16"/>
          <w:rtl/>
        </w:rPr>
        <w:t>(פ"ז הי"ז)</w:t>
      </w:r>
      <w:r w:rsidR="00A82951">
        <w:rPr>
          <w:rFonts w:cs="Arial"/>
          <w:rtl/>
        </w:rPr>
        <w:t>-</w:t>
      </w:r>
      <w:r>
        <w:rPr>
          <w:rFonts w:cs="Arial"/>
          <w:rtl/>
        </w:rPr>
        <w:t xml:space="preserve"> שליח שהביא גט בחוצה לארץ</w:t>
      </w:r>
      <w:r w:rsidR="00A26681">
        <w:rPr>
          <w:rFonts w:cs="Arial" w:hint="cs"/>
          <w:rtl/>
        </w:rPr>
        <w:t>,</w:t>
      </w:r>
      <w:r>
        <w:rPr>
          <w:rFonts w:cs="Arial"/>
          <w:rtl/>
        </w:rPr>
        <w:t xml:space="preserve"> ונתנו לה בינו לבינה או שנתנו לה בפני שנים ולא אמר בפני נכתב ובפני נחתם, אף על פי שנשאת </w:t>
      </w:r>
      <w:r w:rsidR="00A82951">
        <w:rPr>
          <w:rFonts w:cs="Arial"/>
          <w:rtl/>
        </w:rPr>
        <w:t>-</w:t>
      </w:r>
      <w:r>
        <w:rPr>
          <w:rFonts w:cs="Arial"/>
          <w:rtl/>
        </w:rPr>
        <w:t xml:space="preserve"> נוטלו ממנה וחוזר ונותנו לה בפני שנים ואומר בפניהם בפני נכתב ובפני נחתם. ואם לא נטלו ממנה </w:t>
      </w:r>
      <w:r w:rsidR="00A82951">
        <w:rPr>
          <w:rFonts w:cs="Arial"/>
          <w:rtl/>
        </w:rPr>
        <w:t>-</w:t>
      </w:r>
      <w:r>
        <w:rPr>
          <w:rFonts w:cs="Arial"/>
          <w:rtl/>
        </w:rPr>
        <w:t xml:space="preserve"> הרי זה פסול עד שיתקיים בחותמיו</w:t>
      </w:r>
      <w:r>
        <w:rPr>
          <w:rtl/>
        </w:rPr>
        <w:t xml:space="preserve">. </w:t>
      </w:r>
      <w:r>
        <w:rPr>
          <w:color w:val="E36C0A" w:themeColor="accent6" w:themeShade="BF"/>
          <w:rtl/>
        </w:rPr>
        <w:t>(וכ"פ בשו"ע</w:t>
      </w:r>
      <w:r>
        <w:rPr>
          <w:sz w:val="16"/>
          <w:szCs w:val="16"/>
          <w:rtl/>
        </w:rPr>
        <w:t xml:space="preserve"> [בסע' הבא]</w:t>
      </w:r>
      <w:r>
        <w:rPr>
          <w:color w:val="E36C0A" w:themeColor="accent6" w:themeShade="BF"/>
          <w:rtl/>
        </w:rPr>
        <w:t>)</w:t>
      </w:r>
    </w:p>
    <w:p w14:paraId="4EFD371B" w14:textId="44A28EBC" w:rsidR="00C97BEF" w:rsidRDefault="00C97BEF" w:rsidP="006A458D">
      <w:pPr>
        <w:pStyle w:val="ab"/>
        <w:numPr>
          <w:ilvl w:val="0"/>
          <w:numId w:val="112"/>
        </w:numPr>
        <w:rPr>
          <w:rtl/>
        </w:rPr>
      </w:pPr>
      <w:r>
        <w:rPr>
          <w:rFonts w:cs="Arial"/>
          <w:rtl/>
        </w:rPr>
        <w:t xml:space="preserve">רא"ש </w:t>
      </w:r>
      <w:r>
        <w:rPr>
          <w:rFonts w:cs="Arial"/>
          <w:sz w:val="16"/>
          <w:szCs w:val="16"/>
          <w:rtl/>
        </w:rPr>
        <w:t>(פ"א סי ו)</w:t>
      </w:r>
      <w:r>
        <w:rPr>
          <w:rFonts w:cs="Arial"/>
          <w:rtl/>
        </w:rPr>
        <w:t xml:space="preserve"> וטור</w:t>
      </w:r>
      <w:r w:rsidR="00A82951">
        <w:rPr>
          <w:rFonts w:cs="Arial"/>
          <w:rtl/>
        </w:rPr>
        <w:t>-</w:t>
      </w:r>
      <w:r>
        <w:rPr>
          <w:rFonts w:cs="Arial"/>
          <w:rtl/>
        </w:rPr>
        <w:t xml:space="preserve"> ואם איחר יותר לאומרו, לא מהני אא"כ יטלנו הימנה ויחזור ויתננו לה ויאמר בשעה שנותנו לה 'בפני נכתב ובפני נחתם'</w:t>
      </w:r>
      <w:r>
        <w:rPr>
          <w:rFonts w:cs="Arial"/>
          <w:sz w:val="16"/>
          <w:szCs w:val="16"/>
          <w:rtl/>
        </w:rPr>
        <w:t xml:space="preserve"> (ל' הטור)</w:t>
      </w:r>
      <w:r>
        <w:rPr>
          <w:rFonts w:cs="Arial"/>
          <w:rtl/>
        </w:rPr>
        <w:t xml:space="preserve">. </w:t>
      </w:r>
      <w:r>
        <w:rPr>
          <w:color w:val="E36C0A" w:themeColor="accent6" w:themeShade="BF"/>
          <w:rtl/>
        </w:rPr>
        <w:t>(וכ"פ בשו"ע</w:t>
      </w:r>
      <w:r>
        <w:rPr>
          <w:sz w:val="16"/>
          <w:szCs w:val="16"/>
          <w:rtl/>
        </w:rPr>
        <w:t xml:space="preserve"> [בסע' הבא]</w:t>
      </w:r>
      <w:r>
        <w:rPr>
          <w:color w:val="E36C0A" w:themeColor="accent6" w:themeShade="BF"/>
          <w:rtl/>
        </w:rPr>
        <w:t>)</w:t>
      </w:r>
    </w:p>
    <w:p w14:paraId="6337E24B" w14:textId="3CCCD1E8" w:rsidR="00C97BEF" w:rsidRDefault="00C97BEF" w:rsidP="006A458D">
      <w:pPr>
        <w:pStyle w:val="ab"/>
        <w:numPr>
          <w:ilvl w:val="0"/>
          <w:numId w:val="112"/>
        </w:numPr>
      </w:pPr>
      <w:r>
        <w:rPr>
          <w:rFonts w:cs="Arial"/>
          <w:rtl/>
        </w:rPr>
        <w:t>ה"ר יעקב מקינון</w:t>
      </w:r>
      <w:r>
        <w:rPr>
          <w:rFonts w:cs="Arial"/>
          <w:sz w:val="16"/>
          <w:szCs w:val="16"/>
          <w:rtl/>
        </w:rPr>
        <w:t xml:space="preserve"> (כ"כ בשמו המרדכי</w:t>
      </w:r>
      <w:r>
        <w:rPr>
          <w:rStyle w:val="a7"/>
          <w:rFonts w:cs="Arial"/>
          <w:sz w:val="16"/>
          <w:szCs w:val="16"/>
          <w:rtl/>
        </w:rPr>
        <w:footnoteReference w:id="2268"/>
      </w:r>
      <w:r>
        <w:rPr>
          <w:rFonts w:cs="Arial"/>
          <w:sz w:val="16"/>
          <w:szCs w:val="16"/>
          <w:rtl/>
        </w:rPr>
        <w:t xml:space="preserve"> [סע' שכב] והרא"ש</w:t>
      </w:r>
      <w:r>
        <w:rPr>
          <w:rStyle w:val="a7"/>
          <w:rFonts w:cs="Arial"/>
          <w:sz w:val="16"/>
          <w:szCs w:val="16"/>
          <w:rtl/>
        </w:rPr>
        <w:footnoteReference w:id="2269"/>
      </w:r>
      <w:r>
        <w:rPr>
          <w:rFonts w:cs="Arial"/>
          <w:sz w:val="16"/>
          <w:szCs w:val="16"/>
          <w:rtl/>
        </w:rPr>
        <w:t xml:space="preserve"> [שם])</w:t>
      </w:r>
      <w:r>
        <w:rPr>
          <w:rFonts w:cs="Arial"/>
          <w:rtl/>
        </w:rPr>
        <w:t xml:space="preserve"> ורמ"ה </w:t>
      </w:r>
      <w:r>
        <w:rPr>
          <w:rFonts w:cs="Arial"/>
          <w:sz w:val="16"/>
          <w:szCs w:val="16"/>
          <w:rtl/>
        </w:rPr>
        <w:t>(כ"כ הטור בשמו)</w:t>
      </w:r>
      <w:r w:rsidR="00A82951">
        <w:rPr>
          <w:rFonts w:cs="Arial"/>
          <w:rtl/>
        </w:rPr>
        <w:t>-</w:t>
      </w:r>
      <w:r>
        <w:rPr>
          <w:rFonts w:cs="Arial"/>
          <w:rtl/>
        </w:rPr>
        <w:t xml:space="preserve"> אי איתנהו לעידי מסירה קמן, או אפי' ליתנהו כלל ואיכא עדים דידעי בהאי שליח דמסריה להאי גיטא ניהלה בעדים </w:t>
      </w:r>
      <w:r w:rsidR="00A82951">
        <w:rPr>
          <w:rFonts w:cs="Arial"/>
          <w:rtl/>
        </w:rPr>
        <w:t>-</w:t>
      </w:r>
      <w:r>
        <w:rPr>
          <w:rFonts w:cs="Arial"/>
          <w:rtl/>
        </w:rPr>
        <w:t xml:space="preserve"> אין צריך ליטלו ממנה וליתנה לה פעם אחרת, אלא אומר לה בפני עידי מסירה או לפני העדים שיודעים</w:t>
      </w:r>
      <w:r>
        <w:rPr>
          <w:rStyle w:val="a7"/>
          <w:rFonts w:cs="Arial"/>
          <w:rtl/>
        </w:rPr>
        <w:footnoteReference w:id="2270"/>
      </w:r>
      <w:r>
        <w:rPr>
          <w:rFonts w:cs="Arial"/>
          <w:rtl/>
        </w:rPr>
        <w:t xml:space="preserve"> שהוא מסרו לה בעדים 'גט שנתתי לה בפניכם או בפני פלוני ופלוני בפני נכתב ובפני נחתם'. וכי קאמר שצריך ליטול ממנה ולחזור וליתנו לה מיירי שאין כאן עידי מסירה ולא </w:t>
      </w:r>
      <w:r>
        <w:rPr>
          <w:rFonts w:cs="Arial"/>
          <w:sz w:val="16"/>
          <w:szCs w:val="16"/>
          <w:rtl/>
        </w:rPr>
        <w:t xml:space="preserve">{עדים} </w:t>
      </w:r>
      <w:r>
        <w:rPr>
          <w:rFonts w:cs="Arial"/>
          <w:rtl/>
        </w:rPr>
        <w:t>שיודעין שמסרו בפני עדים... וצריך שיאמר בפני נכתב ובפני נחתם בפני האשה</w:t>
      </w:r>
      <w:r>
        <w:rPr>
          <w:rStyle w:val="a7"/>
          <w:rFonts w:cs="Arial"/>
          <w:rtl/>
        </w:rPr>
        <w:footnoteReference w:id="2271"/>
      </w:r>
      <w:r>
        <w:rPr>
          <w:rFonts w:cs="Arial"/>
          <w:rtl/>
        </w:rPr>
        <w:t xml:space="preserve">. ומסתברא דאי אמר להו לסהדי ולא אמר לדילה, וליתיה לשליח לחזור ולומר </w:t>
      </w:r>
      <w:r w:rsidR="00A82951">
        <w:rPr>
          <w:rFonts w:cs="Arial"/>
          <w:rtl/>
        </w:rPr>
        <w:t>-</w:t>
      </w:r>
      <w:r>
        <w:rPr>
          <w:rFonts w:cs="Arial"/>
          <w:rtl/>
        </w:rPr>
        <w:t xml:space="preserve"> לא מצרכי לה מידי אחרינא</w:t>
      </w:r>
      <w:r>
        <w:rPr>
          <w:rFonts w:cs="Arial"/>
          <w:sz w:val="16"/>
          <w:szCs w:val="16"/>
          <w:rtl/>
        </w:rPr>
        <w:t xml:space="preserve"> (ל' הטור בשם הרמ"ה)</w:t>
      </w:r>
      <w:r>
        <w:rPr>
          <w:rFonts w:cs="Arial"/>
          <w:rtl/>
        </w:rPr>
        <w:t xml:space="preserve">. </w:t>
      </w:r>
    </w:p>
    <w:p w14:paraId="71F14F21" w14:textId="77777777" w:rsidR="00C97BEF" w:rsidRDefault="00C97BEF" w:rsidP="00C97BEF">
      <w:pPr>
        <w:ind w:left="360"/>
        <w:rPr>
          <w:u w:val="dotted"/>
        </w:rPr>
      </w:pPr>
      <w:r>
        <w:rPr>
          <w:u w:val="dotted"/>
          <w:rtl/>
        </w:rPr>
        <w:t xml:space="preserve">ומה הדין אם אמר לאחר תוך כדי דיבור אבל היו עסוקים באותו עניין: </w:t>
      </w:r>
    </w:p>
    <w:p w14:paraId="517596CE" w14:textId="6CC14F05" w:rsidR="00C97BEF" w:rsidRDefault="00C97BEF" w:rsidP="006A458D">
      <w:pPr>
        <w:pStyle w:val="ab"/>
        <w:numPr>
          <w:ilvl w:val="0"/>
          <w:numId w:val="112"/>
        </w:numPr>
        <w:rPr>
          <w:rFonts w:cs="Arial"/>
        </w:rPr>
      </w:pPr>
      <w:r>
        <w:rPr>
          <w:rFonts w:cs="Arial"/>
          <w:rtl/>
        </w:rPr>
        <w:t xml:space="preserve">תוס' </w:t>
      </w:r>
      <w:r>
        <w:rPr>
          <w:rFonts w:cs="Arial"/>
          <w:sz w:val="16"/>
          <w:szCs w:val="16"/>
          <w:rtl/>
        </w:rPr>
        <w:t>(גיטין ה: ד"ה יטלנו)</w:t>
      </w:r>
      <w:r>
        <w:rPr>
          <w:rFonts w:cs="Arial"/>
          <w:rtl/>
        </w:rPr>
        <w:t xml:space="preserve"> ורא"ש </w:t>
      </w:r>
      <w:r>
        <w:rPr>
          <w:rFonts w:cs="Arial"/>
          <w:sz w:val="16"/>
          <w:szCs w:val="16"/>
          <w:rtl/>
        </w:rPr>
        <w:t>(פ"א סי ו)</w:t>
      </w:r>
      <w:r w:rsidR="00A82951">
        <w:rPr>
          <w:rFonts w:cs="Arial"/>
          <w:rtl/>
        </w:rPr>
        <w:t>-</w:t>
      </w:r>
      <w:r>
        <w:rPr>
          <w:rFonts w:cs="Arial"/>
          <w:rtl/>
        </w:rPr>
        <w:t xml:space="preserve"> לאחר כדי דיבור מספקא לר"י אי מהני כל זמן שעסוקים באותו ענין או לאו</w:t>
      </w:r>
      <w:r>
        <w:rPr>
          <w:rFonts w:cs="Arial"/>
          <w:sz w:val="16"/>
          <w:szCs w:val="16"/>
          <w:rtl/>
        </w:rPr>
        <w:t xml:space="preserve"> (ל' התוס')</w:t>
      </w:r>
      <w:r>
        <w:rPr>
          <w:rFonts w:cs="Arial"/>
          <w:rtl/>
        </w:rPr>
        <w:t>.</w:t>
      </w:r>
    </w:p>
    <w:p w14:paraId="27273361" w14:textId="511DB4B3" w:rsidR="00C97BEF" w:rsidRDefault="00C97BEF" w:rsidP="006A458D">
      <w:pPr>
        <w:pStyle w:val="ab"/>
        <w:numPr>
          <w:ilvl w:val="0"/>
          <w:numId w:val="112"/>
        </w:numPr>
        <w:rPr>
          <w:rFonts w:cs="Arial"/>
        </w:rPr>
      </w:pPr>
      <w:r>
        <w:rPr>
          <w:rFonts w:cs="Arial"/>
          <w:rtl/>
        </w:rPr>
        <w:t xml:space="preserve">תוס' </w:t>
      </w:r>
      <w:r>
        <w:rPr>
          <w:rFonts w:cs="Arial"/>
          <w:sz w:val="16"/>
          <w:szCs w:val="16"/>
          <w:rtl/>
        </w:rPr>
        <w:t>(ב"מ נה: ד"ה יטלנו)</w:t>
      </w:r>
      <w:r w:rsidR="00A82951">
        <w:rPr>
          <w:rFonts w:cs="Arial"/>
          <w:rtl/>
        </w:rPr>
        <w:t>-</w:t>
      </w:r>
      <w:r>
        <w:rPr>
          <w:rFonts w:cs="Arial"/>
          <w:rtl/>
        </w:rPr>
        <w:t xml:space="preserve"> וא"ת ויאמר בפני נכתב ונחתם בעודנו בידה</w:t>
      </w:r>
      <w:r w:rsidR="00FE34B7">
        <w:rPr>
          <w:rFonts w:cs="Arial" w:hint="cs"/>
          <w:rtl/>
        </w:rPr>
        <w:t>,</w:t>
      </w:r>
      <w:r>
        <w:rPr>
          <w:rFonts w:cs="Arial"/>
          <w:rtl/>
        </w:rPr>
        <w:t xml:space="preserve"> וכי תימא צריך לומר קודם נתינה</w:t>
      </w:r>
      <w:r w:rsidR="00FE34B7">
        <w:rPr>
          <w:rFonts w:cs="Arial" w:hint="cs"/>
          <w:rtl/>
        </w:rPr>
        <w:t>,</w:t>
      </w:r>
      <w:r>
        <w:rPr>
          <w:rFonts w:cs="Arial"/>
          <w:rtl/>
        </w:rPr>
        <w:t xml:space="preserve"> האמר בפ"ק דגיטין </w:t>
      </w:r>
      <w:r>
        <w:rPr>
          <w:rFonts w:cs="Arial"/>
          <w:sz w:val="16"/>
          <w:szCs w:val="16"/>
          <w:rtl/>
        </w:rPr>
        <w:t xml:space="preserve">(ה. ושם) </w:t>
      </w:r>
      <w:r>
        <w:rPr>
          <w:rFonts w:cs="Arial"/>
          <w:rtl/>
        </w:rPr>
        <w:t>כגון שנתנו לה ולא הספיק לומר עד שנתחרש. ויש לומר דצריך לומר אחר נתינה מיד שנתגרשה בעודם עסוקים באותו ענין. (וכ"פ הרדב"ז</w:t>
      </w:r>
      <w:r>
        <w:rPr>
          <w:rStyle w:val="a7"/>
          <w:rFonts w:cs="Arial"/>
          <w:rtl/>
        </w:rPr>
        <w:footnoteReference w:id="2272"/>
      </w:r>
      <w:r>
        <w:rPr>
          <w:rFonts w:cs="Arial"/>
          <w:sz w:val="16"/>
          <w:szCs w:val="16"/>
          <w:rtl/>
        </w:rPr>
        <w:t xml:space="preserve"> [ח"א סי' תקה]</w:t>
      </w:r>
      <w:r>
        <w:rPr>
          <w:rFonts w:cs="Arial"/>
          <w:rtl/>
        </w:rPr>
        <w:t xml:space="preserve">)  </w:t>
      </w:r>
    </w:p>
    <w:p w14:paraId="25EAE236" w14:textId="280DD41C" w:rsidR="00C97BEF" w:rsidRDefault="00C97BEF" w:rsidP="00C97BEF">
      <w:pPr>
        <w:rPr>
          <w:rFonts w:cs="Arial"/>
        </w:rPr>
      </w:pPr>
      <w:r>
        <w:rPr>
          <w:rFonts w:cs="Arial"/>
          <w:b/>
          <w:bCs/>
          <w:rtl/>
        </w:rPr>
        <w:t xml:space="preserve">גיטין </w:t>
      </w:r>
      <w:r>
        <w:rPr>
          <w:rFonts w:cs="Arial"/>
          <w:b/>
          <w:bCs/>
          <w:sz w:val="16"/>
          <w:szCs w:val="16"/>
          <w:rtl/>
        </w:rPr>
        <w:t>(פ"ק)</w:t>
      </w:r>
      <w:r>
        <w:rPr>
          <w:rFonts w:cs="Arial"/>
          <w:b/>
          <w:bCs/>
          <w:rtl/>
        </w:rPr>
        <w:t xml:space="preserve"> ט ע"א:</w:t>
      </w:r>
      <w:r>
        <w:rPr>
          <w:rFonts w:cs="Arial"/>
          <w:rtl/>
        </w:rPr>
        <w:t xml:space="preserve"> </w:t>
      </w:r>
      <w:r>
        <w:rPr>
          <w:rFonts w:cs="Arial"/>
          <w:u w:val="double"/>
          <w:rtl/>
        </w:rPr>
        <w:t>מתני'</w:t>
      </w:r>
      <w:r>
        <w:rPr>
          <w:rFonts w:cs="Arial"/>
          <w:rtl/>
        </w:rPr>
        <w:t xml:space="preserve">: המביא גט ממדינת הים, ואינו יכול לומר בפ"נ ובפ"נ, אם יש עליו עדים </w:t>
      </w:r>
      <w:r w:rsidR="00A82951">
        <w:rPr>
          <w:rFonts w:cs="Arial"/>
          <w:rtl/>
        </w:rPr>
        <w:t>-</w:t>
      </w:r>
      <w:r>
        <w:rPr>
          <w:rFonts w:cs="Arial"/>
          <w:rtl/>
        </w:rPr>
        <w:t xml:space="preserve"> יתקיים בחותמיו...     </w:t>
      </w:r>
      <w:r>
        <w:rPr>
          <w:rFonts w:cs="Arial"/>
          <w:u w:val="double"/>
          <w:rtl/>
        </w:rPr>
        <w:t>גמ'</w:t>
      </w:r>
      <w:r>
        <w:rPr>
          <w:rFonts w:cs="Arial"/>
          <w:rtl/>
        </w:rPr>
        <w:t xml:space="preserve">: מאי אינו יכול לומר? אילימא חרש, חרש בר אתויי גיטא הוא? והתנן: הכל כשרין להביא את הגט, חוץ מחרש </w:t>
      </w:r>
      <w:r>
        <w:rPr>
          <w:rFonts w:cs="Arial"/>
          <w:rtl/>
        </w:rPr>
        <w:lastRenderedPageBreak/>
        <w:t xml:space="preserve">שוטה וקטן! </w:t>
      </w:r>
      <w:r>
        <w:rPr>
          <w:rFonts w:cs="Arial"/>
          <w:u w:val="single"/>
          <w:rtl/>
        </w:rPr>
        <w:t>אמר רב יוסף</w:t>
      </w:r>
      <w:r>
        <w:rPr>
          <w:rFonts w:cs="Arial"/>
          <w:rtl/>
        </w:rPr>
        <w:t xml:space="preserve">: הכא במאי עסקינן </w:t>
      </w:r>
      <w:r w:rsidR="00A82951">
        <w:rPr>
          <w:rFonts w:cs="Arial"/>
          <w:rtl/>
        </w:rPr>
        <w:t>-</w:t>
      </w:r>
      <w:r>
        <w:rPr>
          <w:rFonts w:cs="Arial"/>
          <w:rtl/>
        </w:rPr>
        <w:t xml:space="preserve"> כגון שנתנו לה כשהוא פיקח, ולא הספיק לומר בפני נכתב ובפני נחתם עד שנתחרש.</w:t>
      </w:r>
    </w:p>
    <w:p w14:paraId="3EF50084" w14:textId="77777777" w:rsidR="00C97BEF" w:rsidRDefault="00C97BEF" w:rsidP="00C97BEF">
      <w:pPr>
        <w:rPr>
          <w:u w:val="single"/>
        </w:rPr>
      </w:pPr>
      <w:r>
        <w:rPr>
          <w:u w:val="single"/>
          <w:rtl/>
        </w:rPr>
        <w:t>שליח שנתן את הגט לאשה ולא הספיק לומר בפ"נ ובפ"נ עד שנשתתק:</w:t>
      </w:r>
    </w:p>
    <w:p w14:paraId="5821AC0E" w14:textId="7D4A54FB" w:rsidR="00C97BEF" w:rsidRDefault="00C97BEF" w:rsidP="006A458D">
      <w:pPr>
        <w:pStyle w:val="ab"/>
        <w:numPr>
          <w:ilvl w:val="0"/>
          <w:numId w:val="112"/>
        </w:numPr>
      </w:pPr>
      <w:r>
        <w:rPr>
          <w:rFonts w:cs="Arial"/>
          <w:rtl/>
        </w:rPr>
        <w:t>רמב"ם</w:t>
      </w:r>
      <w:r>
        <w:rPr>
          <w:rFonts w:cs="Arial"/>
          <w:sz w:val="16"/>
          <w:szCs w:val="16"/>
          <w:rtl/>
        </w:rPr>
        <w:t xml:space="preserve"> (פ"ז הי"ח)</w:t>
      </w:r>
      <w:r>
        <w:rPr>
          <w:rFonts w:cs="Arial"/>
          <w:rtl/>
        </w:rPr>
        <w:t xml:space="preserve"> וטור</w:t>
      </w:r>
      <w:r w:rsidR="00A82951">
        <w:rPr>
          <w:rFonts w:cs="Arial"/>
          <w:rtl/>
        </w:rPr>
        <w:t>-</w:t>
      </w:r>
      <w:r>
        <w:rPr>
          <w:rFonts w:cs="Arial"/>
          <w:rtl/>
        </w:rPr>
        <w:t xml:space="preserve"> לפיכך</w:t>
      </w:r>
      <w:r>
        <w:rPr>
          <w:rFonts w:cs="Arial"/>
          <w:sz w:val="16"/>
          <w:szCs w:val="16"/>
          <w:rtl/>
        </w:rPr>
        <w:t xml:space="preserve"> {היינו כיון שצריך לומר לה כנ"ל מיד/תכ"ד}</w:t>
      </w:r>
      <w:r>
        <w:rPr>
          <w:rFonts w:cs="Arial"/>
          <w:rtl/>
        </w:rPr>
        <w:t xml:space="preserve"> נתנו לה ולא הספיק לומר 'בפני נכתב ובפני נחתם' עד שנשתתק </w:t>
      </w:r>
      <w:r w:rsidR="00A82951">
        <w:rPr>
          <w:rFonts w:cs="Arial"/>
          <w:rtl/>
        </w:rPr>
        <w:t>-</w:t>
      </w:r>
      <w:r>
        <w:rPr>
          <w:rFonts w:cs="Arial"/>
          <w:rtl/>
        </w:rPr>
        <w:t xml:space="preserve"> פסול, ולא תינשא בו אא"כ יתקיים בחותמיו</w:t>
      </w:r>
      <w:r>
        <w:rPr>
          <w:rFonts w:cs="Arial"/>
          <w:sz w:val="16"/>
          <w:szCs w:val="16"/>
          <w:rtl/>
        </w:rPr>
        <w:t xml:space="preserve"> (ל' הטור)</w:t>
      </w:r>
      <w:r>
        <w:rPr>
          <w:rFonts w:cs="Arial"/>
          <w:rtl/>
        </w:rPr>
        <w:t xml:space="preserve">. </w:t>
      </w:r>
      <w:r>
        <w:rPr>
          <w:color w:val="E36C0A" w:themeColor="accent6" w:themeShade="BF"/>
          <w:rtl/>
        </w:rPr>
        <w:t>(וכ"פ בשו"ע)</w:t>
      </w:r>
    </w:p>
    <w:p w14:paraId="1ED288B4" w14:textId="77777777" w:rsidR="00C97BEF" w:rsidRDefault="00C97BEF" w:rsidP="00C97BEF">
      <w:pPr>
        <w:ind w:left="360"/>
        <w:rPr>
          <w:u w:val="dotted"/>
        </w:rPr>
      </w:pPr>
      <w:r>
        <w:rPr>
          <w:u w:val="dotted"/>
          <w:rtl/>
        </w:rPr>
        <w:t>האם אילם יכול ליתן את הגט ולכתוב 'בפני נכתב ובפני נחתם':</w:t>
      </w:r>
    </w:p>
    <w:p w14:paraId="0DD31F49" w14:textId="6C9C9428" w:rsidR="00C97BEF" w:rsidRDefault="00C97BEF" w:rsidP="006A458D">
      <w:pPr>
        <w:pStyle w:val="ab"/>
        <w:numPr>
          <w:ilvl w:val="0"/>
          <w:numId w:val="112"/>
        </w:numPr>
      </w:pPr>
      <w:r>
        <w:rPr>
          <w:rFonts w:cs="Arial"/>
          <w:rtl/>
        </w:rPr>
        <w:t xml:space="preserve">ר"ן </w:t>
      </w:r>
      <w:r>
        <w:rPr>
          <w:rFonts w:cs="Arial"/>
          <w:sz w:val="16"/>
          <w:szCs w:val="16"/>
          <w:rtl/>
        </w:rPr>
        <w:t>(ג. ד"ה מאי)</w:t>
      </w:r>
      <w:r w:rsidR="00A82951">
        <w:rPr>
          <w:rFonts w:cs="Arial"/>
          <w:rtl/>
        </w:rPr>
        <w:t>-</w:t>
      </w:r>
      <w:r>
        <w:rPr>
          <w:rFonts w:cs="Arial"/>
          <w:rtl/>
        </w:rPr>
        <w:t xml:space="preserve"> ואם תאמר ולוקמה באלם שהוא כפקח לכל דבריו. י"ל דאלם יכול הוא להגיד מתוך הכתב, שהרי האמינו בעדות אשה להעיד מתוך הכתב כדאיתא בפרק מי שאחזו (עא.), וכ"ש הכא דכתיבת הגט מוכיח כדאיתא בשלהי פרק המביא תניין </w:t>
      </w:r>
      <w:r>
        <w:rPr>
          <w:rtl/>
        </w:rPr>
        <w:t>(כג:)</w:t>
      </w:r>
      <w:r>
        <w:rPr>
          <w:rStyle w:val="a7"/>
          <w:rtl/>
        </w:rPr>
        <w:footnoteReference w:id="2273"/>
      </w:r>
      <w:r>
        <w:rPr>
          <w:rtl/>
        </w:rPr>
        <w:t>.</w:t>
      </w:r>
    </w:p>
    <w:p w14:paraId="7763E857" w14:textId="0BA1BE88" w:rsidR="00C97BEF" w:rsidRDefault="00C97BEF" w:rsidP="006A458D">
      <w:pPr>
        <w:pStyle w:val="ab"/>
        <w:numPr>
          <w:ilvl w:val="0"/>
          <w:numId w:val="112"/>
        </w:numPr>
      </w:pPr>
      <w:r>
        <w:rPr>
          <w:rFonts w:cs="Arial"/>
          <w:rtl/>
        </w:rPr>
        <w:t xml:space="preserve">(תוס' </w:t>
      </w:r>
      <w:r>
        <w:rPr>
          <w:rFonts w:cs="Arial"/>
          <w:sz w:val="16"/>
          <w:szCs w:val="16"/>
          <w:rtl/>
        </w:rPr>
        <w:t xml:space="preserve">[ה. ד"ר] </w:t>
      </w:r>
      <w:r>
        <w:rPr>
          <w:rFonts w:cs="Arial"/>
          <w:rtl/>
        </w:rPr>
        <w:t xml:space="preserve">רמב"ם </w:t>
      </w:r>
      <w:r>
        <w:rPr>
          <w:rFonts w:cs="Arial"/>
          <w:sz w:val="16"/>
          <w:szCs w:val="16"/>
          <w:rtl/>
        </w:rPr>
        <w:t xml:space="preserve">[פ"ז הי"ח] </w:t>
      </w:r>
      <w:r>
        <w:rPr>
          <w:rFonts w:cs="Arial"/>
          <w:rtl/>
        </w:rPr>
        <w:t xml:space="preserve">טור </w:t>
      </w:r>
      <w:r>
        <w:rPr>
          <w:rFonts w:cs="Arial"/>
          <w:sz w:val="16"/>
          <w:szCs w:val="16"/>
          <w:rtl/>
        </w:rPr>
        <w:t>להב' הב"י</w:t>
      </w:r>
      <w:r>
        <w:rPr>
          <w:rFonts w:cs="Arial"/>
          <w:rtl/>
        </w:rPr>
        <w:t>) וריב"ש</w:t>
      </w:r>
      <w:r>
        <w:rPr>
          <w:rFonts w:cs="Arial"/>
          <w:sz w:val="16"/>
          <w:szCs w:val="16"/>
          <w:rtl/>
        </w:rPr>
        <w:t xml:space="preserve"> (סי' רמ, כ"כ בשמו הדרכ"מ [אות ו*])</w:t>
      </w:r>
      <w:r w:rsidR="00A82951">
        <w:rPr>
          <w:rFonts w:cs="Arial"/>
          <w:rtl/>
        </w:rPr>
        <w:t>-</w:t>
      </w:r>
      <w:r>
        <w:rPr>
          <w:rFonts w:cs="Arial"/>
          <w:rtl/>
        </w:rPr>
        <w:t xml:space="preserve"> </w:t>
      </w:r>
      <w:r>
        <w:rPr>
          <w:rtl/>
        </w:rPr>
        <w:t>אילם אינו יכול להעיד בזה ע"י כתב.</w:t>
      </w:r>
      <w:r>
        <w:rPr>
          <w:color w:val="00B0F0"/>
          <w:rtl/>
        </w:rPr>
        <w:t xml:space="preserve"> (וכ"פ הרמ"א</w:t>
      </w:r>
      <w:r>
        <w:rPr>
          <w:sz w:val="16"/>
          <w:szCs w:val="16"/>
          <w:rtl/>
        </w:rPr>
        <w:t xml:space="preserve"> [בסע' הבא]</w:t>
      </w:r>
      <w:r>
        <w:rPr>
          <w:color w:val="00B0F0"/>
          <w:rtl/>
        </w:rPr>
        <w:t>)</w:t>
      </w:r>
    </w:p>
    <w:p w14:paraId="4ED553FB"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903A01E" w14:textId="77777777" w:rsidR="00C97BEF" w:rsidRDefault="00C97BEF" w:rsidP="00C97BEF">
      <w:pPr>
        <w:rPr>
          <w:rtl/>
        </w:rPr>
      </w:pPr>
      <w:r>
        <w:rPr>
          <w:rFonts w:cs="Arial"/>
          <w:rtl/>
        </w:rPr>
        <w:t>אומר 'בפני נכתב ובפני נחתם' בשעה שנותנו ליד האשה, או סמוך לו</w:t>
      </w:r>
      <w:r>
        <w:rPr>
          <w:rStyle w:val="a7"/>
          <w:rFonts w:cs="Arial"/>
          <w:rtl/>
        </w:rPr>
        <w:footnoteReference w:id="2274"/>
      </w:r>
      <w:r>
        <w:rPr>
          <w:rFonts w:cs="Arial"/>
          <w:rtl/>
        </w:rPr>
        <w:t xml:space="preserve"> מיד תוך כדי דיבור. לפיכך נתנו לה ולא הספיק לומר: בפני נכתב ובפני נחתם עד שנשתתק, פסול, עד שיתקיים בחותמיו. </w:t>
      </w:r>
    </w:p>
    <w:p w14:paraId="4B229A3B" w14:textId="77777777" w:rsidR="00C97BEF" w:rsidRDefault="00C97BEF" w:rsidP="00C97BEF">
      <w:pPr>
        <w:rPr>
          <w:rtl/>
        </w:rPr>
      </w:pPr>
    </w:p>
    <w:p w14:paraId="0983A287" w14:textId="77777777" w:rsidR="00C97BEF" w:rsidRDefault="00C97BEF" w:rsidP="00C97BEF">
      <w:pPr>
        <w:pStyle w:val="2"/>
        <w:rPr>
          <w:rtl/>
        </w:rPr>
      </w:pPr>
      <w:r>
        <w:rPr>
          <w:rtl/>
        </w:rPr>
        <w:t>סעיף ז: שליח שלא אמר בשעת נתינה בפנ"כ ובפנ"ח, או שאמר אבל שלא בפני עדים.</w:t>
      </w:r>
    </w:p>
    <w:p w14:paraId="19FEC766" w14:textId="77777777" w:rsidR="00C97BEF" w:rsidRDefault="00C97BEF" w:rsidP="00C97BEF">
      <w:pPr>
        <w:rPr>
          <w:rtl/>
        </w:rPr>
      </w:pPr>
      <w:r>
        <w:rPr>
          <w:rtl/>
        </w:rPr>
        <w:t>עיין במקורות בסעיף הקודם.</w:t>
      </w:r>
    </w:p>
    <w:p w14:paraId="5E3449ED"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704F9F1" w14:textId="67A1F6AA" w:rsidR="00C97BEF" w:rsidRDefault="00C97BEF" w:rsidP="00C97BEF">
      <w:pPr>
        <w:rPr>
          <w:rtl/>
        </w:rPr>
      </w:pPr>
      <w:r>
        <w:rPr>
          <w:rFonts w:cs="Arial"/>
          <w:rtl/>
        </w:rPr>
        <w:t xml:space="preserve">אם איחר מלאומרו יותר מתוך כדי דיבור, או שלא אמרו </w:t>
      </w:r>
      <w:r>
        <w:rPr>
          <w:rFonts w:cs="Arial"/>
          <w:sz w:val="18"/>
          <w:szCs w:val="18"/>
          <w:rtl/>
        </w:rPr>
        <w:t>[הגה] בפני האשה</w:t>
      </w:r>
      <w:r>
        <w:rPr>
          <w:rStyle w:val="a7"/>
          <w:rFonts w:cs="Arial"/>
          <w:sz w:val="18"/>
          <w:szCs w:val="18"/>
          <w:rtl/>
        </w:rPr>
        <w:footnoteReference w:id="2275"/>
      </w:r>
      <w:r>
        <w:rPr>
          <w:rFonts w:cs="Arial"/>
          <w:rtl/>
        </w:rPr>
        <w:t>, או שנתנו לה בינו לבינה, אף על פי שנשאת, נוטלו ממנה</w:t>
      </w:r>
      <w:r>
        <w:rPr>
          <w:rStyle w:val="a7"/>
          <w:rFonts w:cs="Arial"/>
          <w:rtl/>
        </w:rPr>
        <w:footnoteReference w:id="2276"/>
      </w:r>
      <w:r>
        <w:rPr>
          <w:rFonts w:cs="Arial"/>
          <w:rtl/>
        </w:rPr>
        <w:t xml:space="preserve"> וחוזר ונותנו לה בפני שנים, ואומר בפניהם: בפני נכתב ובפני נחתם. ואם לא נטלו ממנה, הרי זה פסול, עד שיתקיים בחותמיו. </w:t>
      </w:r>
      <w:r>
        <w:rPr>
          <w:rFonts w:cs="Arial"/>
          <w:sz w:val="18"/>
          <w:szCs w:val="18"/>
          <w:rtl/>
        </w:rPr>
        <w:t>הגה: ולכן אלם לא יוכל להביא גט, אע"פ שיוכל לכתוב</w:t>
      </w:r>
      <w:r>
        <w:rPr>
          <w:rStyle w:val="a7"/>
          <w:rFonts w:cs="Arial"/>
          <w:sz w:val="18"/>
          <w:szCs w:val="18"/>
          <w:rtl/>
        </w:rPr>
        <w:footnoteReference w:id="2277"/>
      </w:r>
      <w:r>
        <w:rPr>
          <w:rFonts w:cs="Arial"/>
          <w:sz w:val="18"/>
          <w:szCs w:val="18"/>
          <w:rtl/>
        </w:rPr>
        <w:t xml:space="preserve"> בפני נכתב ובפני נחתם, דצריך לומר בפיו </w:t>
      </w:r>
      <w:r>
        <w:rPr>
          <w:rFonts w:cs="Arial"/>
          <w:sz w:val="18"/>
          <w:szCs w:val="18"/>
          <w:rtl/>
        </w:rPr>
        <w:lastRenderedPageBreak/>
        <w:t>(ריב"ש). וי"א דצריך לאמרו בלשון הקודש, דהיינו: בפני נכתב ובפני נחתם (כן משמע מהרא"ש פ"ק מסדר גיטין). ואם עם הארץ הוא, מקרין אותו מלה במלה ומודיעים לו בלע"ז הפירוש (גם זה בסדרים). מיהו בדיעבד אם אמרו בלשון לעז, נראה לי דכשר.</w:t>
      </w:r>
      <w:r>
        <w:rPr>
          <w:rFonts w:cs="Arial"/>
          <w:rtl/>
        </w:rPr>
        <w:t xml:space="preserve"> </w:t>
      </w:r>
    </w:p>
    <w:p w14:paraId="34F55B28" w14:textId="77777777" w:rsidR="00C97BEF" w:rsidRDefault="00C97BEF" w:rsidP="00C97BEF">
      <w:pPr>
        <w:rPr>
          <w:rtl/>
        </w:rPr>
      </w:pPr>
      <w:r>
        <w:rPr>
          <w:rtl/>
        </w:rPr>
        <w:t xml:space="preserve"> </w:t>
      </w:r>
    </w:p>
    <w:p w14:paraId="43B6E7BF" w14:textId="77777777" w:rsidR="00C97BEF" w:rsidRDefault="00C97BEF" w:rsidP="00C97BEF">
      <w:pPr>
        <w:pStyle w:val="2"/>
        <w:rPr>
          <w:rtl/>
        </w:rPr>
      </w:pPr>
      <w:r>
        <w:rPr>
          <w:rtl/>
        </w:rPr>
        <w:t>סעיף ח: שליח שלא אמר בפ"נ ובפ"נ ומת הבעל.</w:t>
      </w:r>
    </w:p>
    <w:p w14:paraId="5AE55889" w14:textId="77777777" w:rsidR="00C97BEF" w:rsidRDefault="00C97BEF" w:rsidP="00C97BEF">
      <w:pPr>
        <w:rPr>
          <w:u w:val="single"/>
          <w:rtl/>
        </w:rPr>
      </w:pPr>
      <w:r>
        <w:rPr>
          <w:u w:val="single"/>
          <w:rtl/>
        </w:rPr>
        <w:t>שליח שלא אמר בפ"נ ובפ"נ ומת הבעל:</w:t>
      </w:r>
    </w:p>
    <w:p w14:paraId="2B826AEB" w14:textId="06F45C95" w:rsidR="00C97BEF" w:rsidRDefault="00C97BEF" w:rsidP="006A458D">
      <w:pPr>
        <w:pStyle w:val="ab"/>
        <w:numPr>
          <w:ilvl w:val="0"/>
          <w:numId w:val="113"/>
        </w:numPr>
        <w:rPr>
          <w:rtl/>
        </w:rPr>
      </w:pPr>
      <w:r>
        <w:rPr>
          <w:rFonts w:cs="Arial"/>
          <w:rtl/>
        </w:rPr>
        <w:t xml:space="preserve">ריב"ש </w:t>
      </w:r>
      <w:r>
        <w:rPr>
          <w:rFonts w:cs="Arial"/>
          <w:sz w:val="16"/>
          <w:szCs w:val="16"/>
          <w:rtl/>
        </w:rPr>
        <w:t>(סי' מג)</w:t>
      </w:r>
      <w:r w:rsidR="00A82951">
        <w:rPr>
          <w:rFonts w:cs="Arial"/>
          <w:rtl/>
        </w:rPr>
        <w:t>-</w:t>
      </w:r>
      <w:r>
        <w:rPr>
          <w:rFonts w:cs="Arial"/>
          <w:rtl/>
        </w:rPr>
        <w:t xml:space="preserve"> שליח שנתן גט לאשה ולא אמר בפני נכתב ובפני נחתם ומת הבעל </w:t>
      </w:r>
      <w:r w:rsidR="00A82951">
        <w:rPr>
          <w:rFonts w:cs="Arial"/>
          <w:rtl/>
        </w:rPr>
        <w:t>-</w:t>
      </w:r>
      <w:r>
        <w:rPr>
          <w:rFonts w:cs="Arial"/>
          <w:rtl/>
        </w:rPr>
        <w:t xml:space="preserve"> אין תקנה בשיטלנו ממנה ויחזור ויתננו לה ויאמר לה בפני נכתב ובפני נחתם, דכיון שמת הבעל בטל השליחות, ומעתה אין השליח נאמן לומר בפני נכתב ובפני נחתם, אלא צריך שיתקיים בחותמיו.</w:t>
      </w:r>
      <w:r>
        <w:rPr>
          <w:rtl/>
        </w:rPr>
        <w:t xml:space="preserve"> </w:t>
      </w:r>
      <w:r>
        <w:rPr>
          <w:color w:val="E36C0A" w:themeColor="accent6" w:themeShade="BF"/>
          <w:rtl/>
        </w:rPr>
        <w:t>(וכ"פ בשו"ע)</w:t>
      </w:r>
    </w:p>
    <w:p w14:paraId="454C8978"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442A11A" w14:textId="77777777" w:rsidR="00C97BEF" w:rsidRDefault="00C97BEF" w:rsidP="00C97BEF">
      <w:pPr>
        <w:rPr>
          <w:rtl/>
        </w:rPr>
      </w:pPr>
      <w:r>
        <w:rPr>
          <w:rFonts w:cs="Arial"/>
          <w:rtl/>
        </w:rPr>
        <w:t>אם לא אמר השליח: בפני נכתב ובפני נחתם, ומת</w:t>
      </w:r>
      <w:r>
        <w:rPr>
          <w:rStyle w:val="a7"/>
          <w:rFonts w:cs="Arial"/>
          <w:rtl/>
        </w:rPr>
        <w:footnoteReference w:id="2278"/>
      </w:r>
      <w:r>
        <w:rPr>
          <w:rFonts w:cs="Arial"/>
          <w:rtl/>
        </w:rPr>
        <w:t xml:space="preserve"> הבעל, אין תקנה ליטלו ממנה לחזור וליתנו לה ולומר: בפני נכתב ובפני נחתם, ואין לו תקנה אלא להתקיים בחותמיו. </w:t>
      </w:r>
    </w:p>
    <w:p w14:paraId="2B2B3A7D" w14:textId="77777777" w:rsidR="00C97BEF" w:rsidRDefault="00C97BEF" w:rsidP="00C97BEF">
      <w:pPr>
        <w:rPr>
          <w:rFonts w:cs="Arial"/>
          <w:sz w:val="16"/>
          <w:szCs w:val="16"/>
          <w:u w:val="single"/>
          <w:rtl/>
        </w:rPr>
      </w:pPr>
      <w:r>
        <w:rPr>
          <w:rFonts w:cs="Arial"/>
          <w:u w:val="single"/>
          <w:rtl/>
        </w:rPr>
        <w:t>שליח שהביא גט ממדה"י ולא אמר בפ"נ ובפ"נ, ואי אפשר לקיים את החתימות, אבל יש שטר הרשאה</w:t>
      </w:r>
      <w:r>
        <w:rPr>
          <w:rFonts w:cs="Arial"/>
          <w:rtl/>
        </w:rPr>
        <w:t xml:space="preserve">: </w:t>
      </w:r>
      <w:r>
        <w:rPr>
          <w:rFonts w:cs="Arial"/>
          <w:sz w:val="16"/>
          <w:szCs w:val="16"/>
          <w:rtl/>
        </w:rPr>
        <w:t>(פת"ש סקי"ב)</w:t>
      </w:r>
    </w:p>
    <w:p w14:paraId="346F914C" w14:textId="690F272D" w:rsidR="00C97BEF" w:rsidRDefault="00C97BEF" w:rsidP="006A458D">
      <w:pPr>
        <w:pStyle w:val="ab"/>
        <w:numPr>
          <w:ilvl w:val="0"/>
          <w:numId w:val="113"/>
        </w:numPr>
        <w:rPr>
          <w:rFonts w:cs="Arial"/>
          <w:rtl/>
        </w:rPr>
      </w:pPr>
      <w:r>
        <w:rPr>
          <w:rFonts w:cs="Arial"/>
          <w:rtl/>
        </w:rPr>
        <w:t xml:space="preserve">רדב"ז </w:t>
      </w:r>
      <w:r>
        <w:rPr>
          <w:rFonts w:cs="Arial"/>
          <w:sz w:val="16"/>
          <w:szCs w:val="16"/>
          <w:rtl/>
        </w:rPr>
        <w:t>(ח"ב סי' תשמב)</w:t>
      </w:r>
      <w:r w:rsidR="00A82951">
        <w:rPr>
          <w:rFonts w:cs="Arial"/>
          <w:rtl/>
        </w:rPr>
        <w:t>-</w:t>
      </w:r>
      <w:r>
        <w:rPr>
          <w:rFonts w:cs="Arial"/>
          <w:rtl/>
        </w:rPr>
        <w:t xml:space="preserve"> שאלת על שליח שהביא גט ממדינת הים ונתנו לה ולא אמר בפני נכתב ובפני נחתם ואיננו כי הלך לו ואי אפשר לחזור וליתנו לה ולא נתקיים הגט בחותמיו מה תקנה יש לו.      תשובה: כבר נהגו בכל ישראל שהמביא גט יש בידו שטר שליחות שעשאו הבעל, ואם זה השליח הביא בידו שטר שליחות </w:t>
      </w:r>
      <w:r w:rsidR="00A82951">
        <w:rPr>
          <w:rFonts w:cs="Arial"/>
          <w:rtl/>
        </w:rPr>
        <w:t>-</w:t>
      </w:r>
      <w:r>
        <w:rPr>
          <w:rFonts w:cs="Arial"/>
          <w:rtl/>
        </w:rPr>
        <w:t xml:space="preserve"> הגט כשר. ואפילו לכתחלה לא היה צריך לומר בפני נכתב ובפני נחתם, אלא כדי שלא לחלוק בכל שליחות גט נהגו שאפי' בידו שטר שליחות מקוים אומר בפני נכתב וכו', אבל לכתחלה אין צריך, שלא תקנו בפני נכתב וכו' אלא שאם יבא הבעל ויערער לא תמצא עדים לקיימו וכיון דאיכא סהדי שעשאו שליח לגרש אותה אפי' שיבא ויערער אין חוששין לו... ובתנאי שיהיה שטר השליחות מקויים או שאפשר לקיימו, אבל אם אי אפשר לקיים לא הגט ולא שטר השליחות </w:t>
      </w:r>
      <w:r w:rsidR="00A82951">
        <w:rPr>
          <w:rFonts w:cs="Arial"/>
          <w:rtl/>
        </w:rPr>
        <w:t>-</w:t>
      </w:r>
      <w:r>
        <w:rPr>
          <w:rFonts w:cs="Arial"/>
          <w:rtl/>
        </w:rPr>
        <w:t xml:space="preserve"> הגט פסול. </w:t>
      </w:r>
    </w:p>
    <w:p w14:paraId="3725D9D1" w14:textId="77777777" w:rsidR="00C97BEF" w:rsidRDefault="00C97BEF" w:rsidP="00C97BEF">
      <w:pPr>
        <w:rPr>
          <w:rtl/>
        </w:rPr>
      </w:pPr>
    </w:p>
    <w:p w14:paraId="4221EC29" w14:textId="77777777" w:rsidR="00C97BEF" w:rsidRDefault="00C97BEF" w:rsidP="00C97BEF">
      <w:pPr>
        <w:pStyle w:val="2"/>
        <w:rPr>
          <w:rtl/>
        </w:rPr>
      </w:pPr>
      <w:r>
        <w:rPr>
          <w:rtl/>
        </w:rPr>
        <w:t>סעיף ט: שליח שעשה שליח, יאמר לו בפנ"כ ובפנ"ח.</w:t>
      </w:r>
    </w:p>
    <w:p w14:paraId="2A6DB471" w14:textId="540686B5" w:rsidR="00C97BEF" w:rsidRDefault="00C97BEF" w:rsidP="00C97BEF">
      <w:pPr>
        <w:rPr>
          <w:rtl/>
        </w:rPr>
      </w:pPr>
      <w:r>
        <w:rPr>
          <w:rFonts w:cs="Arial"/>
          <w:b/>
          <w:bCs/>
          <w:rtl/>
        </w:rPr>
        <w:t xml:space="preserve">גיטין </w:t>
      </w:r>
      <w:r>
        <w:rPr>
          <w:rFonts w:cs="Arial"/>
          <w:b/>
          <w:bCs/>
          <w:sz w:val="16"/>
          <w:szCs w:val="16"/>
          <w:rtl/>
        </w:rPr>
        <w:t>(פ' כל הגט)</w:t>
      </w:r>
      <w:r>
        <w:rPr>
          <w:rFonts w:cs="Arial"/>
          <w:b/>
          <w:bCs/>
          <w:rtl/>
        </w:rPr>
        <w:t xml:space="preserve"> כט ע"ב:</w:t>
      </w:r>
      <w:r>
        <w:rPr>
          <w:rFonts w:cs="Arial"/>
          <w:rtl/>
        </w:rPr>
        <w:t xml:space="preserve"> </w:t>
      </w:r>
      <w:r>
        <w:rPr>
          <w:rFonts w:cs="Arial"/>
          <w:u w:val="double"/>
          <w:rtl/>
        </w:rPr>
        <w:t>מתני'</w:t>
      </w:r>
      <w:r>
        <w:rPr>
          <w:rFonts w:cs="Arial"/>
          <w:rtl/>
        </w:rPr>
        <w:t xml:space="preserve">: המביא גט ממדינת הים וחלה </w:t>
      </w:r>
      <w:r w:rsidR="00A82951">
        <w:rPr>
          <w:rFonts w:cs="Arial"/>
          <w:rtl/>
        </w:rPr>
        <w:t>-</w:t>
      </w:r>
      <w:r>
        <w:rPr>
          <w:rFonts w:cs="Arial"/>
          <w:rtl/>
        </w:rPr>
        <w:t xml:space="preserve"> עושה שליח בב"ד ומשלחו, ואומר לפניהם בפני נכתב ובפני נחתם. ואין שליח אחרון צריך שיאמר בפני נכתב ובפני נחתם, אלא אומר שליח ב"ד אני. </w:t>
      </w:r>
      <w:r>
        <w:rPr>
          <w:rtl/>
        </w:rPr>
        <w:t xml:space="preserve">      </w:t>
      </w:r>
      <w:r>
        <w:rPr>
          <w:rFonts w:cs="Arial"/>
          <w:u w:val="double"/>
          <w:rtl/>
        </w:rPr>
        <w:t>גמ'</w:t>
      </w:r>
      <w:r>
        <w:rPr>
          <w:rFonts w:cs="Arial"/>
          <w:rtl/>
        </w:rPr>
        <w:t xml:space="preserve">: </w:t>
      </w:r>
      <w:r>
        <w:rPr>
          <w:rFonts w:cs="Arial"/>
          <w:u w:val="single"/>
          <w:rtl/>
        </w:rPr>
        <w:t>אמרו ליה רבנן לאבימי בריה דר' אבהו, בעי מיניה מרבי אבהו:</w:t>
      </w:r>
      <w:r>
        <w:rPr>
          <w:rFonts w:cs="Arial"/>
          <w:rtl/>
        </w:rPr>
        <w:t xml:space="preserve"> שליח דשליח משוי שליח או לא? </w:t>
      </w:r>
      <w:r>
        <w:rPr>
          <w:rFonts w:cs="Arial"/>
          <w:u w:val="single"/>
          <w:rtl/>
        </w:rPr>
        <w:t>אמר להו</w:t>
      </w:r>
      <w:r>
        <w:rPr>
          <w:rFonts w:cs="Arial"/>
          <w:rtl/>
        </w:rPr>
        <w:t xml:space="preserve">: הא לא תיבעי לכו, מדקתני אין השליח האחרון, מכלל דמשוי שליח, אלא כי תיבעי לכו </w:t>
      </w:r>
      <w:r w:rsidR="00A82951">
        <w:rPr>
          <w:rFonts w:cs="Arial"/>
          <w:rtl/>
        </w:rPr>
        <w:t>-</w:t>
      </w:r>
      <w:r>
        <w:rPr>
          <w:rFonts w:cs="Arial"/>
          <w:rtl/>
        </w:rPr>
        <w:t xml:space="preserve"> כי משוי שליח בב"ד או אפילו שלא בב"ד? </w:t>
      </w:r>
      <w:r>
        <w:rPr>
          <w:rFonts w:cs="Arial"/>
          <w:u w:val="single"/>
          <w:rtl/>
        </w:rPr>
        <w:t>אמרו ליה</w:t>
      </w:r>
      <w:r>
        <w:rPr>
          <w:rFonts w:cs="Arial"/>
          <w:rtl/>
        </w:rPr>
        <w:t xml:space="preserve">: הא לא מבעיא לן, מדקתני: אלא אומר שליח ב"ד אני... </w:t>
      </w:r>
      <w:r>
        <w:rPr>
          <w:rFonts w:cs="Arial"/>
          <w:u w:val="single"/>
          <w:rtl/>
        </w:rPr>
        <w:t>אמר רבה</w:t>
      </w:r>
      <w:r>
        <w:rPr>
          <w:rFonts w:cs="Arial"/>
          <w:rtl/>
        </w:rPr>
        <w:t>: שליח בא"י עושה כמה שלוחין</w:t>
      </w:r>
      <w:r>
        <w:rPr>
          <w:rStyle w:val="a7"/>
          <w:rFonts w:cs="Arial"/>
          <w:rtl/>
        </w:rPr>
        <w:footnoteReference w:id="2279"/>
      </w:r>
      <w:r>
        <w:rPr>
          <w:rFonts w:cs="Arial"/>
          <w:rtl/>
        </w:rPr>
        <w:t>.</w:t>
      </w:r>
    </w:p>
    <w:p w14:paraId="4DB01AD5" w14:textId="2D94EDE8" w:rsidR="00C97BEF" w:rsidRDefault="00C97BEF" w:rsidP="00C97BEF">
      <w:pPr>
        <w:rPr>
          <w:u w:val="single"/>
          <w:rtl/>
        </w:rPr>
      </w:pPr>
      <w:r>
        <w:rPr>
          <w:u w:val="single"/>
          <w:rtl/>
        </w:rPr>
        <w:t xml:space="preserve">שליח שעשה שליח </w:t>
      </w:r>
      <w:r w:rsidR="00A82951">
        <w:rPr>
          <w:u w:val="single"/>
          <w:rtl/>
        </w:rPr>
        <w:t>-</w:t>
      </w:r>
      <w:r>
        <w:rPr>
          <w:u w:val="single"/>
          <w:rtl/>
        </w:rPr>
        <w:t xml:space="preserve"> כיצד יאמר לו בפנ"כ ובפנ"ח:</w:t>
      </w:r>
    </w:p>
    <w:p w14:paraId="780237AA" w14:textId="4D652AD1"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אם עושה השליח שליח, כגון שחלה או נאנס </w:t>
      </w:r>
      <w:r w:rsidR="00A82951">
        <w:rPr>
          <w:rFonts w:cs="Arial"/>
          <w:rtl/>
        </w:rPr>
        <w:t>-</w:t>
      </w:r>
      <w:r>
        <w:rPr>
          <w:rFonts w:cs="Arial"/>
          <w:rtl/>
        </w:rPr>
        <w:t xml:space="preserve"> יעשנו בפני ב"ד, ואומר 'בפני נכתב ובפני נחתם' בשעה שנותנו לשליח, וכן אחר לאחר עד ק'. וכל אחד יאמר לפני ב"ד 'שליח בית דין אני'. ואין צריך שלשה, אלא שנים, והוא מצטרף עמהם. וכן יאמר האחרון כשנותנו לידה. </w:t>
      </w:r>
      <w:r>
        <w:rPr>
          <w:color w:val="E36C0A" w:themeColor="accent6" w:themeShade="BF"/>
          <w:rtl/>
        </w:rPr>
        <w:t>(וכ"פ בשו"ע)</w:t>
      </w:r>
    </w:p>
    <w:p w14:paraId="081E703E" w14:textId="77777777" w:rsidR="00C97BEF" w:rsidRDefault="00C97BEF" w:rsidP="00C97BEF">
      <w:pPr>
        <w:rPr>
          <w:u w:val="single"/>
        </w:rPr>
      </w:pPr>
      <w:r>
        <w:rPr>
          <w:rFonts w:cs="Arial"/>
          <w:u w:val="single"/>
          <w:rtl/>
        </w:rPr>
        <w:t>שליח מינה שליח, והשני מינה שליח שלישי, ובשטר שליחותו של השלישי לא מוזכר שנתמנה בבית דין:</w:t>
      </w:r>
    </w:p>
    <w:p w14:paraId="12C4BB31" w14:textId="55D0A9CD" w:rsidR="00C97BEF" w:rsidRDefault="00C97BEF" w:rsidP="006A458D">
      <w:pPr>
        <w:pStyle w:val="ab"/>
        <w:numPr>
          <w:ilvl w:val="0"/>
          <w:numId w:val="112"/>
        </w:numPr>
      </w:pPr>
      <w:r>
        <w:rPr>
          <w:rFonts w:cs="Arial"/>
          <w:rtl/>
        </w:rPr>
        <w:t xml:space="preserve">ריב"ש </w:t>
      </w:r>
      <w:r>
        <w:rPr>
          <w:rFonts w:cs="Arial"/>
          <w:sz w:val="16"/>
          <w:szCs w:val="16"/>
          <w:rtl/>
        </w:rPr>
        <w:t>(סי' שיח)</w:t>
      </w:r>
      <w:r w:rsidR="00A82951">
        <w:rPr>
          <w:rFonts w:cs="Arial"/>
          <w:rtl/>
        </w:rPr>
        <w:t>-</w:t>
      </w:r>
      <w:r>
        <w:rPr>
          <w:rFonts w:cs="Arial"/>
          <w:rtl/>
        </w:rPr>
        <w:t xml:space="preserve"> ומה שחששת מפני שהשליח השלישי אין מזכיר בשטר שליחותו שנתמנה בבית דין. איברא בגמרא מבואר דשליח שליח משוי נמי שליח ודוקא בבית דין, אבל לכאורה היה נראה לומר דהיינו דוקא </w:t>
      </w:r>
      <w:r>
        <w:rPr>
          <w:rFonts w:cs="Arial"/>
          <w:rtl/>
        </w:rPr>
        <w:lastRenderedPageBreak/>
        <w:t>בשליח שנתמנה סתם ולא נתן לו הבעל רשות מפורש למנות שליח ושליח שליח, דבכה"ג מיירי מתניתין, ומשום הכי בעינן חלה, ואז צריך למנות שליח בבית דין. אבל כשנתן לו הבעל רשות מפורש לעשות שליח ושליח שליח עד כמה שלוחין, כולם ממנים אפילו שלא בבית דין זולתי הראשון שצריך לומר בפני נכתב ובפני נחתם. אבל אי אפשר לומר כן, שאם כן אף שליח המביא גט בארץ ישראל דלא משוי שליח ולא שליח שליח אלא בחלה הוה לן למימר דליבעי בית דין, ובמתניתין (כט.) לא תנן הכי אלא הרי זה משלחו ביד אחר, דכל שאין צריך לומר בפני נכתב ובפני נחתם כגון בארץ ישראל או בחוצה לארץ גט מקויים אין צריך בית דין במינוי שליח אחר. וכבר פירשו הרמ"ה והרשב"א (כט: ד"ה אמרי) טעם צריכות הבית דין שמא טעה השליח הראשון ולא אמר בפני נכתב ובפני נחתם, וכל שהשליח השני אומר שליח בית דין אני ודאי עשו בית דין הדבר כתקנו. וכן בשליח השלישי כשנתמנה בבית דין, ודאי חקרו שהשני נתמנה גם כן בבית דין והם עשו הדבר כתקנו שאמר בפניהם שליח הבעל בפני נכתב ובפני נחתם, וכן לעולם מבית דין לבית דין. ולזה בנדון זה, כיון שהצרכנו לשליח ראשון לומר בפני נכתב ובפני נחתם צריך שהשליח האחרון יתמנה בבית דין כדי שיאמר שליח בית דין אני ומקבלין ממנו, שהרי שטר שליחותו לא מעלה ולא מוריד דכיון שהגט בידו נאמן הוא על השליחות. ואם לא נתמנה בפני בית דין היה נראה לכאורה שהיה צריך שיחזיר הגט שליח זה לשליח השני שמינה אותו, ויחזור למסרו ולמנותו שליח בפני בית דין כדי שיוכל לומר שליח בית דין אני. אבל נראה שאינו צריך לזה בנדון זה, דכיון שנתמנה בפני שנים כמו שנראה משטר השליחות, הרי השליח עצמו מצטרף עמהם להיות בית דין, דהא קיי"ל (ה:) דשליח נעשה עד ועד נעשה דיין בדרבנן, ויכול זה עתה לומר שליח בית דין אני. וכן נראה מלשון הרמב"ם בפ"ז (ה"ד). ואע"פ שמזכיר בשטר השליחות שהם עדים ואין מזכיר שהיו בית דין, אין חשש בזה, לפי שכבר נראה מתוך לשונם שהיו שלשה עם השליח וכבר הם בית דין בצירופו, אלא שהם חותמים עתה עדים על מה שנעשה בפניהם בהיותם שלשה בצירוף השליח. ואע"פ שנראה מעדותם של אלו שהשליח הראשון הוא שמינה את זה, ולא הם, וזה צריך שיאמר שליח בית דין אני, נראה דלאו דוקא שליח בית דין אני, אלא 'שליח הנעשה בפני בית דין אני'</w:t>
      </w:r>
      <w:r>
        <w:rPr>
          <w:rStyle w:val="a7"/>
          <w:rFonts w:cs="Arial"/>
          <w:rtl/>
        </w:rPr>
        <w:footnoteReference w:id="2280"/>
      </w:r>
      <w:r>
        <w:rPr>
          <w:rFonts w:cs="Arial"/>
          <w:rtl/>
        </w:rPr>
        <w:t>, וכן נראה מלשון הגמרא (כט:) דאמרינן כי משוי שליח בפני בית דין, משמע שאין בית דין ממנין אותו אלא השליח עצמו ממנה אותו בפניהם, ובזה יוכל לומר שליח בית דין אני. וכן נראה מלשון הרמב"ם (פ"ז הכ"א). ועוד אפשר לומר דכיון שכבר נראה משטר השליחות שביד זה שכבר אמר השליח הראשון בפני נכתב ובפני נחתם אין צריך שליח זה שיתמנה בפני בית דין ולא לומר שליח בית דין אני, דהא אין צריך לזה אלא משום חששא אם אמר הראשון בפני נכתב ובפני נחתם כפי מה שכתבו המחברים, וכיון שנודע כבר זה מצד אחר די בזה. ואע"פ שכתבתי למעלה שאפשר שאין הגט מתקיים במה שכתוב בשטר שליחות הבעל שמסר בידו גט כשר ועדיו פלוני ופלוני דעדיין אפשר שזה גט אחר הוא, י"ל דהיינו לענין צריכות לומר בפני נכתב ובפני נחתם שהוא קיום הגט עצמו, אבל לענין מינוי השליח האחרון בבית דין, כיון שאינו אלא משום חששא אם אמר הראשון בפני נכתב ובפני נחתם אם לאו יש להקל משום עיגונא.</w:t>
      </w:r>
      <w:r>
        <w:rPr>
          <w:color w:val="00B0F0"/>
          <w:rtl/>
        </w:rPr>
        <w:t xml:space="preserve"> (וכ"פ הרמ"א)</w:t>
      </w:r>
    </w:p>
    <w:p w14:paraId="204DF0EA"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91FF7A1" w14:textId="0DD93BAE" w:rsidR="00C97BEF" w:rsidRDefault="00C97BEF" w:rsidP="00C97BEF">
      <w:pPr>
        <w:rPr>
          <w:rFonts w:cs="Arial"/>
          <w:rtl/>
        </w:rPr>
      </w:pPr>
      <w:r>
        <w:rPr>
          <w:rFonts w:cs="Arial"/>
          <w:rtl/>
        </w:rPr>
        <w:t>שליח שעושה שליח, יעשנו בפני בית דין</w:t>
      </w:r>
      <w:r>
        <w:rPr>
          <w:rStyle w:val="a7"/>
          <w:rFonts w:cs="Arial"/>
          <w:rtl/>
        </w:rPr>
        <w:footnoteReference w:id="2281"/>
      </w:r>
      <w:r>
        <w:rPr>
          <w:rFonts w:cs="Arial"/>
          <w:rtl/>
        </w:rPr>
        <w:t xml:space="preserve">, דהיינו שנים והוא מצטרף עמהם אם הוא כשר לדין, ואומר: בפני נכתב ובפני נחתם בשעה שנותנו לשליח, וכן אחר לאחר, עד מאה. וכל אחד אומר בפני בית דין </w:t>
      </w:r>
      <w:r>
        <w:rPr>
          <w:rFonts w:cs="Arial"/>
          <w:sz w:val="18"/>
          <w:szCs w:val="18"/>
          <w:rtl/>
        </w:rPr>
        <w:t>[הגה] בשעת נתינה או תוך כדי דיבור (בסדר גיטין)</w:t>
      </w:r>
      <w:r>
        <w:rPr>
          <w:rFonts w:cs="Arial"/>
          <w:rtl/>
        </w:rPr>
        <w:t xml:space="preserve">: שליח בית דין אני. וכן יאמר האחרון כשנותנו לידה. </w:t>
      </w:r>
      <w:r>
        <w:rPr>
          <w:rFonts w:cs="Arial"/>
          <w:sz w:val="18"/>
          <w:szCs w:val="18"/>
          <w:rtl/>
        </w:rPr>
        <w:t xml:space="preserve">הגה: ולאו דוקא האי לישנא, אלא הוא הדין אם אומר: אני השליח נעשיתי לפני בית דין, סגי (מ"כ תקון ישן). ואפילו לא אמר כלום, אם יש לו הרשאה, והוא במקום עיגון, יש להקל (ריב"ש סי' שיח). וכן יאמר כל אחד לחבירו: הנני פלוני בר פלוני ממנה אותך פלוני בר פלוני להיות שליח במקומי ובחריקאי ויהיה ידך כידי כו' לגרש פלונית בת פלוני אשתו של פלוני בר פלוני בכל מקום שתמצאנה והנני נותן לך רשות לעשות שליח ושליח שליח וכו' ומיד שיגיע הגט ליד פלונית בת פלוני אשת פלוני בר פלוני תהא מגורשת כו' (הכל בסדר גיטין), כדרך שנתבאר לקמן בסדר </w:t>
      </w:r>
      <w:r w:rsidR="00B33CC9">
        <w:rPr>
          <w:rFonts w:cs="Arial" w:hint="cs"/>
          <w:sz w:val="18"/>
          <w:szCs w:val="18"/>
          <w:rtl/>
        </w:rPr>
        <w:t>ה</w:t>
      </w:r>
      <w:r>
        <w:rPr>
          <w:rFonts w:cs="Arial"/>
          <w:sz w:val="18"/>
          <w:szCs w:val="18"/>
          <w:rtl/>
        </w:rPr>
        <w:t>גט סעיף ל'. ואין שליח ב"ד צריך הרשאה כמו שליח הראשון, אבל נוהגין בהרשאה כמו בשליח הראשון (ריב"ש סי' נג). וע"ל סימן קמ"א סעיף כ"ד. ואפילו לא היו חתומים על ההרשאה רק שנים, וכתב בלשון עדות ולא בלשון דיינות, נאמן השליח השני לומר שהיו ג' או שהוא היה עמהם, ולא שייך בזה אין עד נעשה דיין (ריב"ש סי' שיח). ולא חיישינן לב"ד טועין, אא"כ אנו מכירין באותן שסדרו הגט שאין בקיאין, שאז אפילו כתוב כהוגן חוששים</w:t>
      </w:r>
      <w:r>
        <w:rPr>
          <w:rStyle w:val="a7"/>
          <w:rFonts w:cs="Arial"/>
          <w:sz w:val="18"/>
          <w:szCs w:val="18"/>
          <w:rtl/>
        </w:rPr>
        <w:footnoteReference w:id="2282"/>
      </w:r>
      <w:r>
        <w:rPr>
          <w:rFonts w:cs="Arial"/>
          <w:sz w:val="18"/>
          <w:szCs w:val="18"/>
          <w:rtl/>
        </w:rPr>
        <w:t xml:space="preserve"> להם (גם זה שם).</w:t>
      </w:r>
      <w:r>
        <w:rPr>
          <w:rFonts w:cs="Arial"/>
          <w:rtl/>
        </w:rPr>
        <w:t xml:space="preserve"> </w:t>
      </w:r>
    </w:p>
    <w:p w14:paraId="0A6BC54A" w14:textId="77777777" w:rsidR="00C97BEF" w:rsidRDefault="00C97BEF" w:rsidP="00C97BEF">
      <w:pPr>
        <w:rPr>
          <w:rtl/>
        </w:rPr>
      </w:pPr>
    </w:p>
    <w:p w14:paraId="637C6DA4" w14:textId="77777777" w:rsidR="00C97BEF" w:rsidRDefault="00C97BEF" w:rsidP="00C97BEF">
      <w:pPr>
        <w:pStyle w:val="2"/>
        <w:rPr>
          <w:rtl/>
        </w:rPr>
      </w:pPr>
      <w:r>
        <w:rPr>
          <w:rtl/>
        </w:rPr>
        <w:lastRenderedPageBreak/>
        <w:t>סעיף י: עשיית שליח שלא בפניו.</w:t>
      </w:r>
    </w:p>
    <w:p w14:paraId="37870A8A" w14:textId="77777777" w:rsidR="00C97BEF" w:rsidRDefault="00C97BEF" w:rsidP="00C97BEF">
      <w:pPr>
        <w:rPr>
          <w:rtl/>
        </w:rPr>
      </w:pPr>
      <w:r>
        <w:rPr>
          <w:rFonts w:cs="Arial"/>
          <w:b/>
          <w:bCs/>
          <w:rtl/>
        </w:rPr>
        <w:t xml:space="preserve">גיטין </w:t>
      </w:r>
      <w:r>
        <w:rPr>
          <w:rFonts w:cs="Arial"/>
          <w:b/>
          <w:bCs/>
          <w:sz w:val="16"/>
          <w:szCs w:val="16"/>
          <w:rtl/>
        </w:rPr>
        <w:t>(פ' כל הגט)</w:t>
      </w:r>
      <w:r>
        <w:rPr>
          <w:rFonts w:cs="Arial"/>
          <w:b/>
          <w:bCs/>
          <w:rtl/>
        </w:rPr>
        <w:t xml:space="preserve"> כט ע"ב:</w:t>
      </w:r>
      <w:r>
        <w:rPr>
          <w:rFonts w:cs="Arial"/>
          <w:rtl/>
        </w:rPr>
        <w:t xml:space="preserve"> </w:t>
      </w:r>
      <w:r>
        <w:rPr>
          <w:rFonts w:cs="Arial"/>
          <w:u w:val="single"/>
          <w:rtl/>
        </w:rPr>
        <w:t>אמר רבא</w:t>
      </w:r>
      <w:r>
        <w:rPr>
          <w:rFonts w:cs="Arial"/>
          <w:rtl/>
        </w:rPr>
        <w:t>: הא ודאי קא מיבעיא לן:</w:t>
      </w:r>
      <w:r>
        <w:rPr>
          <w:sz w:val="14"/>
          <w:szCs w:val="14"/>
          <w:rtl/>
        </w:rPr>
        <w:t xml:space="preserve"> (ל.) </w:t>
      </w:r>
      <w:r>
        <w:rPr>
          <w:rFonts w:cs="Arial"/>
          <w:rtl/>
        </w:rPr>
        <w:t>כי משוו ב"ד שליח, בפניו או שלא בפניו? הדר פשטה: בין בפניו בין שלא בפניו. שלחו מתם: בין בפניו בין שלא בפניו.</w:t>
      </w:r>
      <w:r>
        <w:rPr>
          <w:rFonts w:cs="Arial"/>
          <w:sz w:val="16"/>
          <w:szCs w:val="16"/>
          <w:rtl/>
        </w:rPr>
        <w:t xml:space="preserve"> (ופירש רש"י כי משוו בית דין שליח מי בעי בפניו דשליח קמא או אפילו שלא בפניו כגון זה שהוא אנוס ואינו יכול לעכב כאן וילך לדרכו. וכתב הר"ן (טו. ד"ה אמר רבא) ומינה ודאי שהבעל יכול למנות שליח שלא בפניו</w:t>
      </w:r>
      <w:r>
        <w:rPr>
          <w:rStyle w:val="a7"/>
          <w:rFonts w:cs="Arial"/>
          <w:sz w:val="16"/>
          <w:szCs w:val="16"/>
          <w:rtl/>
        </w:rPr>
        <w:footnoteReference w:id="2283"/>
      </w:r>
      <w:r>
        <w:rPr>
          <w:rFonts w:cs="Arial"/>
          <w:sz w:val="16"/>
          <w:szCs w:val="16"/>
          <w:rtl/>
        </w:rPr>
        <w:t>. והרי"ף (שם) גורס 'כי משוי שליח בבית דין בפניו או שלא בפניו'. והכי פירושו, שליח כי משוי שליח בבית דין, מי בעיא שיהא שליח שני שהוא ממונה באותו מעמד, או אפילו שלא בפניו יכול למנותו. ופשט דאפילו שלא בפניו. וכן פירשה הרמב"ם בפ"ז (הכ"ב). וכתב רי"ו (ח"ג נכ"ד רח ע"ג) שנהגו לעשות כקולי שתי הגירסאות למנות שליח ראשון שליח שני בפני בית דין שלא בפניו, ולעשות בית דין שליח שני שלא בפני שליח ראשון. וכן נראה שהוא דעת רבינו שכתב שני הדינים לקולא. ונ"ל הטעם משום דחדא משתמע מחברתה. וכמו שכתב הר"ן לגירסת רש"י, דמדפשטינן שבית דין יכולין למנות שליח שלא בפניו שמעינן שהבעל יכול למנות שליח שלא בפניו. גם לגירסת רי"ף מדפשטינן דאין שליח הממונה צריך להיות במעמד נשמע דאין שליח ראשון צריך להיות במעמד כשהבית דין ממנים שליח אחר, ב"י)</w:t>
      </w:r>
    </w:p>
    <w:p w14:paraId="52AC216E" w14:textId="77777777" w:rsidR="00C97BEF" w:rsidRDefault="00C97BEF" w:rsidP="00C97BEF">
      <w:pPr>
        <w:rPr>
          <w:u w:val="single"/>
          <w:rtl/>
        </w:rPr>
      </w:pPr>
      <w:r>
        <w:rPr>
          <w:u w:val="single"/>
          <w:rtl/>
        </w:rPr>
        <w:t>עשיית שליח שלא בפניו:</w:t>
      </w:r>
    </w:p>
    <w:p w14:paraId="308B55E0" w14:textId="783232B6"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וכשבא לעשות שליח אחר אין צריך שיהיה בפניו, אלא אומר בפני ב"ד 'הרי פלוני שלוחי' אפילו שלא בפניו. וכן יכול למסור שליחותו לבית דין לעשות שלוחין שהם יעשו אחרים, ויכולים לעשותו שלא בפני השליח הראשון.</w:t>
      </w:r>
      <w:r>
        <w:rPr>
          <w:rtl/>
        </w:rPr>
        <w:t xml:space="preserve"> </w:t>
      </w:r>
      <w:r>
        <w:rPr>
          <w:color w:val="E36C0A" w:themeColor="accent6" w:themeShade="BF"/>
          <w:rtl/>
        </w:rPr>
        <w:t>(וכ"פ בשו"ע)</w:t>
      </w:r>
    </w:p>
    <w:p w14:paraId="6C6A2ED7" w14:textId="2EAE5455" w:rsidR="00C97BEF" w:rsidRDefault="00C97BEF" w:rsidP="00C97BEF">
      <w:pPr>
        <w:rPr>
          <w:u w:val="single"/>
        </w:rPr>
      </w:pPr>
      <w:r>
        <w:rPr>
          <w:u w:val="single"/>
          <w:rtl/>
        </w:rPr>
        <w:t xml:space="preserve">שליח שעשה שליח </w:t>
      </w:r>
      <w:r w:rsidR="00A82951">
        <w:rPr>
          <w:u w:val="single"/>
          <w:rtl/>
        </w:rPr>
        <w:t>-</w:t>
      </w:r>
      <w:r>
        <w:rPr>
          <w:u w:val="single"/>
          <w:rtl/>
        </w:rPr>
        <w:t xml:space="preserve"> האם השליח השני נאמן לומר שהשליח הראשון הוא שליח לגירושין ושהגט נכתב ונתחם בפניו:</w:t>
      </w:r>
    </w:p>
    <w:p w14:paraId="4093DE59" w14:textId="7E061A84" w:rsidR="00C97BEF" w:rsidRDefault="00C97BEF" w:rsidP="006A458D">
      <w:pPr>
        <w:pStyle w:val="ab"/>
        <w:numPr>
          <w:ilvl w:val="0"/>
          <w:numId w:val="102"/>
        </w:numPr>
      </w:pPr>
      <w:r>
        <w:rPr>
          <w:rFonts w:cs="Arial"/>
          <w:rtl/>
        </w:rPr>
        <w:t xml:space="preserve">ריב"ש </w:t>
      </w:r>
      <w:r>
        <w:rPr>
          <w:rFonts w:cs="Arial"/>
          <w:sz w:val="16"/>
          <w:szCs w:val="16"/>
          <w:rtl/>
        </w:rPr>
        <w:t>(סי' נג)</w:t>
      </w:r>
      <w:r w:rsidR="00A82951">
        <w:rPr>
          <w:rFonts w:cs="Arial"/>
          <w:rtl/>
        </w:rPr>
        <w:t>-</w:t>
      </w:r>
      <w:r>
        <w:rPr>
          <w:rFonts w:cs="Arial"/>
          <w:rtl/>
        </w:rPr>
        <w:t xml:space="preserve"> תקנה אחת היא שכמו שהשליח הראשון נאמן לומר בפני נכתב ובפני נחתם ונתקיים הגט על פיו, ונאמן לומר שליח לגירושין אני בלא עדים ובלא שטר, כך השליח השני שהגט בידו נאמן לומר נתקיים הגט הזה בפני בית דין על ידי השליח הראשון שאמר בפני נכתב ובפני נחתם ואני שלוחו שמינה אותי בפני בית דין. אמנם אין צריך לומר ולהאריך רק 'שליח בית דין אני', וממילא ידעינן שכך היה. ואין צריך לשטר שליחות ולא לעדים, וכל שכן כשבידו שטר שליחות. ולא בעי קיום אלא מדרבנן. וכך יראה מפשטא דמתניתין (כט:) דתנן אין השליח האחרון צריך שיאמר בפני נכתב ובפני נחתם אלא אומר שליח בית דין אני. וכן נראה מדברי הרמב"ם (פ"ז הכ"א). ואם נתקיים הגט בחותמיו, אע"פ שנתנו שליח לשליח אחר בינם לבין עצמם עד שהגיע גט לידה </w:t>
      </w:r>
      <w:r w:rsidR="00A82951">
        <w:rPr>
          <w:rFonts w:cs="Arial"/>
          <w:rtl/>
        </w:rPr>
        <w:t>-</w:t>
      </w:r>
      <w:r>
        <w:rPr>
          <w:rFonts w:cs="Arial"/>
          <w:rtl/>
        </w:rPr>
        <w:t xml:space="preserve"> הרי זה גט כשר</w:t>
      </w:r>
      <w:r>
        <w:rPr>
          <w:rStyle w:val="a7"/>
          <w:rFonts w:cs="Arial"/>
          <w:rtl/>
        </w:rPr>
        <w:footnoteReference w:id="2284"/>
      </w:r>
      <w:r>
        <w:rPr>
          <w:rFonts w:cs="Arial"/>
          <w:rtl/>
        </w:rPr>
        <w:t xml:space="preserve">.  </w:t>
      </w:r>
    </w:p>
    <w:p w14:paraId="03C5DA12" w14:textId="77777777" w:rsidR="00C97BEF" w:rsidRDefault="00C97BEF" w:rsidP="00C97BEF">
      <w:pPr>
        <w:ind w:left="360"/>
        <w:rPr>
          <w:u w:val="dotted"/>
        </w:rPr>
      </w:pPr>
      <w:bookmarkStart w:id="23" w:name="_Hlk94524676"/>
      <w:r>
        <w:rPr>
          <w:u w:val="dotted"/>
          <w:rtl/>
        </w:rPr>
        <w:t>ומה הדין אם כשאמר הראשון 'בפני נכתב ובפני נחתם' בפני בית הדין השליח השני לא היה שם:</w:t>
      </w:r>
      <w:bookmarkEnd w:id="23"/>
    </w:p>
    <w:p w14:paraId="584BA0EE" w14:textId="4A431EFB" w:rsidR="00C97BEF" w:rsidRDefault="00C97BEF" w:rsidP="006A458D">
      <w:pPr>
        <w:pStyle w:val="ab"/>
        <w:numPr>
          <w:ilvl w:val="0"/>
          <w:numId w:val="102"/>
        </w:numPr>
      </w:pPr>
      <w:r>
        <w:rPr>
          <w:rFonts w:cs="Arial"/>
          <w:rtl/>
        </w:rPr>
        <w:t>ב"י</w:t>
      </w:r>
      <w:r>
        <w:rPr>
          <w:rFonts w:cs="Arial"/>
          <w:sz w:val="16"/>
          <w:szCs w:val="16"/>
          <w:rtl/>
        </w:rPr>
        <w:t xml:space="preserve"> (סי' קמא סע' לט)</w:t>
      </w:r>
      <w:r w:rsidR="00A82951">
        <w:rPr>
          <w:rFonts w:cs="Arial"/>
          <w:rtl/>
        </w:rPr>
        <w:t>-</w:t>
      </w:r>
      <w:r>
        <w:rPr>
          <w:rFonts w:cs="Arial"/>
          <w:rtl/>
        </w:rPr>
        <w:t xml:space="preserve"> ומכאן </w:t>
      </w:r>
      <w:r>
        <w:rPr>
          <w:rFonts w:cs="Arial"/>
          <w:sz w:val="16"/>
          <w:szCs w:val="16"/>
          <w:rtl/>
        </w:rPr>
        <w:t xml:space="preserve">{מדברי הריב"ש הנ"ל} </w:t>
      </w:r>
      <w:r>
        <w:rPr>
          <w:rFonts w:cs="Arial"/>
          <w:rtl/>
        </w:rPr>
        <w:t xml:space="preserve">נראה בהדיא שאם שליח ראשון מינה שליח שני, ולא נמצא שליח שני בפני בית דין בשעה שאמר שליח ראשון בפני נכתב ובפני נחתם </w:t>
      </w:r>
      <w:r w:rsidR="00A82951">
        <w:rPr>
          <w:rFonts w:cs="Arial"/>
          <w:rtl/>
        </w:rPr>
        <w:t>-</w:t>
      </w:r>
      <w:r>
        <w:rPr>
          <w:rFonts w:cs="Arial"/>
          <w:rtl/>
        </w:rPr>
        <w:t xml:space="preserve"> צריך לקיים שטר שליחותו אע"פ שהגט יוצא מתחת ידו, אא"כ נתקיים הגט בחותמיו.</w:t>
      </w:r>
      <w:r>
        <w:rPr>
          <w:color w:val="00B0F0"/>
          <w:rtl/>
        </w:rPr>
        <w:t xml:space="preserve"> (וכ"כ הרמ"א)</w:t>
      </w:r>
    </w:p>
    <w:p w14:paraId="6869B3BC" w14:textId="7D3107BD" w:rsidR="00C97BEF" w:rsidRDefault="00C97BEF" w:rsidP="00C97BEF">
      <w:pPr>
        <w:rPr>
          <w:u w:val="single"/>
          <w:rtl/>
        </w:rPr>
      </w:pPr>
      <w:r>
        <w:rPr>
          <w:u w:val="single"/>
          <w:rtl/>
        </w:rPr>
        <w:t xml:space="preserve">הבעל נתן גט בידי אדם שיתנו לשלוחו של הבעל שנמצא במקום פלוני </w:t>
      </w:r>
      <w:r w:rsidR="00A82951">
        <w:rPr>
          <w:u w:val="single"/>
          <w:rtl/>
        </w:rPr>
        <w:t>-</w:t>
      </w:r>
      <w:r>
        <w:rPr>
          <w:u w:val="single"/>
          <w:rtl/>
        </w:rPr>
        <w:t xml:space="preserve"> האם מעביר הגט נאמן לומר בפנ"כ ובפנ"ח:</w:t>
      </w:r>
    </w:p>
    <w:p w14:paraId="3A211501" w14:textId="3764D540" w:rsidR="00C97BEF" w:rsidRDefault="00C97BEF" w:rsidP="006A458D">
      <w:pPr>
        <w:pStyle w:val="ab"/>
        <w:numPr>
          <w:ilvl w:val="0"/>
          <w:numId w:val="112"/>
        </w:numPr>
      </w:pPr>
      <w:r>
        <w:rPr>
          <w:rFonts w:cs="Arial"/>
          <w:rtl/>
        </w:rPr>
        <w:t xml:space="preserve">תשב"ץ </w:t>
      </w:r>
      <w:r>
        <w:rPr>
          <w:rFonts w:cs="Arial"/>
          <w:sz w:val="16"/>
          <w:szCs w:val="16"/>
          <w:rtl/>
        </w:rPr>
        <w:t>(ח"א סי' כה)</w:t>
      </w:r>
      <w:r w:rsidR="00A82951">
        <w:rPr>
          <w:rFonts w:cs="Arial"/>
          <w:rtl/>
        </w:rPr>
        <w:t>-</w:t>
      </w:r>
      <w:r>
        <w:rPr>
          <w:rFonts w:cs="Arial"/>
          <w:rtl/>
        </w:rPr>
        <w:t xml:space="preserve"> אשה שנתגרשה בגט ששלח לה בעלה על ידי איש שיתנהו ביד שלוחו, ולא היו שם עדים מצויים לקיימו אלא המביא שאמר בפני נכתב ובפני נחתם </w:t>
      </w:r>
      <w:r w:rsidR="00A82951">
        <w:rPr>
          <w:rFonts w:cs="Arial"/>
          <w:rtl/>
        </w:rPr>
        <w:t>-</w:t>
      </w:r>
      <w:r>
        <w:rPr>
          <w:rFonts w:cs="Arial"/>
          <w:rtl/>
        </w:rPr>
        <w:t xml:space="preserve"> אינו דומה לאשה עצמה המביאה גיטה (גיטין כד.) דכיון דאמר לה שוי שליח שתרצי הרי היא שלוחו של בעל, משא"כ באיש זה שאינו עושה אלא מעשה קוף בעלמא. ובודאי אם היה אומר לו עשה שליח שתרצה היה הנדון דומה. וכיון דשליח זה שליח שלא ניתן לגירושין הוא (שם כט:) </w:t>
      </w:r>
      <w:r w:rsidR="00A82951">
        <w:rPr>
          <w:rFonts w:cs="Arial"/>
          <w:rtl/>
        </w:rPr>
        <w:t>-</w:t>
      </w:r>
      <w:r>
        <w:rPr>
          <w:rFonts w:cs="Arial"/>
          <w:rtl/>
        </w:rPr>
        <w:t xml:space="preserve"> אינו נאמן לומר בפני נכתב ובפני נחתם, דאינו שליח כלל...</w:t>
      </w:r>
    </w:p>
    <w:p w14:paraId="222F9BCF"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77922E0" w14:textId="77777777" w:rsidR="00C97BEF" w:rsidRDefault="00C97BEF" w:rsidP="00C97BEF">
      <w:pPr>
        <w:rPr>
          <w:rFonts w:cs="Arial"/>
          <w:rtl/>
        </w:rPr>
      </w:pPr>
      <w:r>
        <w:rPr>
          <w:rFonts w:cs="Arial"/>
          <w:rtl/>
        </w:rPr>
        <w:t xml:space="preserve">כשבא לעשות שליח אחר, אין צריך שיהיה בפניו, אלא אומר בבית דין: הרי פלוני שלוחי, אפילו שלא בפניו. וכן יכול למסור שליחות לבית דין שהם יעשו שלוחים אחרים, ויכולים לעשות שליח שלא בפני שליח ראשון. </w:t>
      </w:r>
      <w:r>
        <w:rPr>
          <w:rFonts w:cs="Arial"/>
          <w:sz w:val="18"/>
          <w:szCs w:val="18"/>
          <w:rtl/>
        </w:rPr>
        <w:t>הגה: וי"א דלא מהני שיאמר: שליח ב"ד אני, מאחר שלא שמע שהשליח אומר: בפני נכתב ובפני נחתם</w:t>
      </w:r>
      <w:r>
        <w:rPr>
          <w:rStyle w:val="a7"/>
          <w:rFonts w:cs="Arial"/>
          <w:sz w:val="18"/>
          <w:szCs w:val="18"/>
          <w:rtl/>
        </w:rPr>
        <w:footnoteReference w:id="2285"/>
      </w:r>
      <w:r>
        <w:rPr>
          <w:rFonts w:cs="Arial"/>
          <w:sz w:val="18"/>
          <w:szCs w:val="18"/>
          <w:rtl/>
        </w:rPr>
        <w:t>, אלא צריך שיהיה לו הרשאה</w:t>
      </w:r>
      <w:r>
        <w:rPr>
          <w:rStyle w:val="a7"/>
          <w:rFonts w:cs="Arial"/>
          <w:sz w:val="18"/>
          <w:szCs w:val="18"/>
          <w:rtl/>
        </w:rPr>
        <w:footnoteReference w:id="2286"/>
      </w:r>
      <w:r>
        <w:rPr>
          <w:rFonts w:cs="Arial"/>
          <w:sz w:val="18"/>
          <w:szCs w:val="18"/>
          <w:rtl/>
        </w:rPr>
        <w:t xml:space="preserve"> או שיתקיים הגט בחותמיו (ב"י בהב' הריב"ש סי' נג).</w:t>
      </w:r>
    </w:p>
    <w:p w14:paraId="1D3BBA94" w14:textId="77777777" w:rsidR="00C97BEF" w:rsidRDefault="00C97BEF" w:rsidP="00C97BEF">
      <w:pPr>
        <w:rPr>
          <w:rtl/>
        </w:rPr>
      </w:pPr>
      <w:r>
        <w:rPr>
          <w:rFonts w:cs="Arial"/>
          <w:rtl/>
        </w:rPr>
        <w:lastRenderedPageBreak/>
        <w:t xml:space="preserve"> </w:t>
      </w:r>
    </w:p>
    <w:p w14:paraId="17717305" w14:textId="77777777" w:rsidR="00C97BEF" w:rsidRDefault="00C97BEF" w:rsidP="00C97BEF">
      <w:pPr>
        <w:pStyle w:val="2"/>
        <w:rPr>
          <w:rtl/>
        </w:rPr>
      </w:pPr>
      <w:r>
        <w:rPr>
          <w:rtl/>
        </w:rPr>
        <w:t>סעיף יא: שליח סומא.</w:t>
      </w:r>
    </w:p>
    <w:p w14:paraId="76564395" w14:textId="3D1B7840" w:rsidR="00C97BEF" w:rsidRDefault="00C97BEF" w:rsidP="00C97BEF">
      <w:pPr>
        <w:rPr>
          <w:rFonts w:cs="Arial"/>
          <w:rtl/>
        </w:rPr>
      </w:pPr>
      <w:r>
        <w:rPr>
          <w:rFonts w:cs="Arial"/>
          <w:b/>
          <w:bCs/>
          <w:rtl/>
        </w:rPr>
        <w:t xml:space="preserve">גיטין </w:t>
      </w:r>
      <w:r>
        <w:rPr>
          <w:rFonts w:cs="Arial"/>
          <w:b/>
          <w:bCs/>
          <w:sz w:val="16"/>
          <w:szCs w:val="16"/>
          <w:rtl/>
        </w:rPr>
        <w:t>(ספ"ב)</w:t>
      </w:r>
      <w:r>
        <w:rPr>
          <w:rFonts w:cs="Arial"/>
          <w:b/>
          <w:bCs/>
          <w:rtl/>
        </w:rPr>
        <w:t xml:space="preserve"> כג ע"א:</w:t>
      </w:r>
      <w:r>
        <w:rPr>
          <w:rFonts w:cs="Arial"/>
          <w:rtl/>
        </w:rPr>
        <w:t xml:space="preserve"> </w:t>
      </w:r>
      <w:r>
        <w:rPr>
          <w:rFonts w:cs="Arial"/>
          <w:u w:val="double"/>
          <w:rtl/>
        </w:rPr>
        <w:t>מתני'</w:t>
      </w:r>
      <w:r>
        <w:rPr>
          <w:rFonts w:cs="Arial"/>
          <w:rtl/>
        </w:rPr>
        <w:t xml:space="preserve">: הכל כשרין להביא את הגט, חוץ מחרש, שוטה, וקטן, וסומא, ועובד כוכבים. קיבל הקטן והגדיל, חרש ונתפקח, סומא ונתפתח, שוטה ונשתפה, עובד כוכבים ונתגייר </w:t>
      </w:r>
      <w:r w:rsidR="00A82951">
        <w:rPr>
          <w:rFonts w:cs="Arial"/>
          <w:rtl/>
        </w:rPr>
        <w:t>-</w:t>
      </w:r>
      <w:r>
        <w:rPr>
          <w:rFonts w:cs="Arial"/>
          <w:rtl/>
        </w:rPr>
        <w:t xml:space="preserve"> פסול; אבל פקח ונתחרש וחזר ונתפקח, פתוח ונסתמא וחזר ונתפתח, שפוי ונשתטה וחזר ונשתפה </w:t>
      </w:r>
      <w:r w:rsidR="00A82951">
        <w:rPr>
          <w:rFonts w:cs="Arial"/>
          <w:rtl/>
        </w:rPr>
        <w:t>-</w:t>
      </w:r>
      <w:r>
        <w:rPr>
          <w:rFonts w:cs="Arial"/>
          <w:rtl/>
        </w:rPr>
        <w:t xml:space="preserve"> כשר. זה הכלל: כל שתחילתו וסופו בדעת </w:t>
      </w:r>
      <w:r w:rsidR="00A82951">
        <w:rPr>
          <w:rFonts w:cs="Arial"/>
          <w:rtl/>
        </w:rPr>
        <w:t>-</w:t>
      </w:r>
      <w:r>
        <w:rPr>
          <w:rFonts w:cs="Arial"/>
          <w:rtl/>
        </w:rPr>
        <w:t xml:space="preserve"> כשר.      </w:t>
      </w:r>
      <w:r>
        <w:rPr>
          <w:rFonts w:cs="Arial"/>
          <w:u w:val="double"/>
          <w:rtl/>
        </w:rPr>
        <w:t>גמ'</w:t>
      </w:r>
      <w:r>
        <w:rPr>
          <w:rFonts w:cs="Arial"/>
          <w:rtl/>
        </w:rPr>
        <w:t xml:space="preserve">: בשלמא חרש, שוטה וקטן </w:t>
      </w:r>
      <w:r w:rsidR="00A82951">
        <w:rPr>
          <w:rFonts w:cs="Arial"/>
          <w:rtl/>
        </w:rPr>
        <w:t>-</w:t>
      </w:r>
      <w:r>
        <w:rPr>
          <w:rFonts w:cs="Arial"/>
          <w:rtl/>
        </w:rPr>
        <w:t xml:space="preserve"> דלאו בני דיעה נינהו, עובד כוכבים </w:t>
      </w:r>
      <w:r w:rsidR="00A82951">
        <w:rPr>
          <w:rFonts w:cs="Arial"/>
          <w:rtl/>
        </w:rPr>
        <w:t>-</w:t>
      </w:r>
      <w:r>
        <w:rPr>
          <w:rFonts w:cs="Arial"/>
          <w:rtl/>
        </w:rPr>
        <w:t xml:space="preserve"> נמי דלאו בר היתירא הוא, אלא סומא אמאי לא? </w:t>
      </w:r>
      <w:r>
        <w:rPr>
          <w:rFonts w:cs="Arial"/>
          <w:u w:val="single"/>
          <w:rtl/>
        </w:rPr>
        <w:t>אמר רב ששת</w:t>
      </w:r>
      <w:r>
        <w:rPr>
          <w:rFonts w:cs="Arial"/>
          <w:rtl/>
        </w:rPr>
        <w:t>: לפי שאינו יודע ממי נוטלו ולמי נותנו</w:t>
      </w:r>
      <w:r>
        <w:rPr>
          <w:rStyle w:val="a7"/>
          <w:rFonts w:cs="Arial"/>
          <w:rtl/>
        </w:rPr>
        <w:footnoteReference w:id="2287"/>
      </w:r>
      <w:r>
        <w:rPr>
          <w:rFonts w:cs="Arial"/>
          <w:rtl/>
        </w:rPr>
        <w:t xml:space="preserve">. </w:t>
      </w:r>
      <w:r>
        <w:rPr>
          <w:rFonts w:cs="Arial"/>
          <w:u w:val="single"/>
          <w:rtl/>
        </w:rPr>
        <w:t>מתקיף לה רב יוסף</w:t>
      </w:r>
      <w:r>
        <w:rPr>
          <w:rFonts w:cs="Arial"/>
          <w:rtl/>
        </w:rPr>
        <w:t>: היאך סומא מותר באשתו? היאך בני אדם מותרים בנשותיהם בלילה? אלא בטביעות עינא דקלא</w:t>
      </w:r>
      <w:r>
        <w:rPr>
          <w:rStyle w:val="a7"/>
          <w:rFonts w:cs="Arial"/>
          <w:rtl/>
        </w:rPr>
        <w:footnoteReference w:id="2288"/>
      </w:r>
      <w:r>
        <w:rPr>
          <w:rFonts w:cs="Arial"/>
          <w:rtl/>
        </w:rPr>
        <w:t xml:space="preserve">, הכא נמי בטביעות עינא דקלא! </w:t>
      </w:r>
      <w:r>
        <w:rPr>
          <w:rFonts w:cs="Arial"/>
          <w:u w:val="single"/>
          <w:rtl/>
        </w:rPr>
        <w:t>אלא א"ר יוסף</w:t>
      </w:r>
      <w:r>
        <w:rPr>
          <w:rFonts w:cs="Arial"/>
          <w:rtl/>
        </w:rPr>
        <w:t xml:space="preserve">: הכא בחוצה לארץ עסקינן, דבעי למימר בפני נכתב ובפני נחתם, ולא מצי למימר. </w:t>
      </w:r>
      <w:r>
        <w:rPr>
          <w:rFonts w:cs="Arial"/>
          <w:u w:val="single"/>
          <w:rtl/>
        </w:rPr>
        <w:t>א"ל אביי</w:t>
      </w:r>
      <w:r>
        <w:rPr>
          <w:rFonts w:cs="Arial"/>
          <w:rtl/>
        </w:rPr>
        <w:t xml:space="preserve">: אלא מעתה, פתוח ונסתמא דמצי אמר </w:t>
      </w:r>
      <w:r w:rsidR="00A82951">
        <w:rPr>
          <w:rFonts w:cs="Arial"/>
          <w:rtl/>
        </w:rPr>
        <w:t>-</w:t>
      </w:r>
      <w:r>
        <w:rPr>
          <w:rFonts w:cs="Arial"/>
          <w:rtl/>
        </w:rPr>
        <w:t xml:space="preserve"> הכי נמי דכשר, והא קתני: פתוח ונסתמא וחזר ונתפתח </w:t>
      </w:r>
      <w:r w:rsidR="00A82951">
        <w:rPr>
          <w:rFonts w:cs="Arial"/>
          <w:rtl/>
        </w:rPr>
        <w:t>-</w:t>
      </w:r>
      <w:r>
        <w:rPr>
          <w:rFonts w:cs="Arial"/>
          <w:rtl/>
        </w:rPr>
        <w:t xml:space="preserve"> כשר; חזר ונתפתח </w:t>
      </w:r>
      <w:r w:rsidR="00A82951">
        <w:rPr>
          <w:rFonts w:cs="Arial"/>
          <w:rtl/>
        </w:rPr>
        <w:t>-</w:t>
      </w:r>
      <w:r>
        <w:rPr>
          <w:rFonts w:cs="Arial"/>
          <w:rtl/>
        </w:rPr>
        <w:t xml:space="preserve"> אין, לא חזר ונתפתח </w:t>
      </w:r>
      <w:r w:rsidR="00A82951">
        <w:rPr>
          <w:rFonts w:cs="Arial"/>
          <w:rtl/>
        </w:rPr>
        <w:t>-</w:t>
      </w:r>
      <w:r>
        <w:rPr>
          <w:rFonts w:cs="Arial"/>
          <w:rtl/>
        </w:rPr>
        <w:t xml:space="preserve"> לא</w:t>
      </w:r>
      <w:r w:rsidR="00D56FAE">
        <w:rPr>
          <w:rFonts w:cs="Arial" w:hint="cs"/>
          <w:rtl/>
        </w:rPr>
        <w:t>,</w:t>
      </w:r>
      <w:r>
        <w:rPr>
          <w:rFonts w:cs="Arial"/>
          <w:rtl/>
        </w:rPr>
        <w:t xml:space="preserve"> ה"ה דאף על גב דלא חזר ונתפתח, ואיידי דקתני שפוי ונשתטה וחזר ונשתפה, טעמא דחזר ונשתפה, הא לא חזר ונשתפה </w:t>
      </w:r>
      <w:r w:rsidR="00A82951">
        <w:rPr>
          <w:rFonts w:cs="Arial"/>
          <w:rtl/>
        </w:rPr>
        <w:t>-</w:t>
      </w:r>
      <w:r>
        <w:rPr>
          <w:rFonts w:cs="Arial"/>
          <w:rtl/>
        </w:rPr>
        <w:t xml:space="preserve"> לא, תנא נמי פתוח ונסתמא וחזר ונתפתח. </w:t>
      </w:r>
      <w:r>
        <w:rPr>
          <w:rFonts w:cs="Arial"/>
          <w:u w:val="single"/>
          <w:rtl/>
        </w:rPr>
        <w:t>אמר רב אשי</w:t>
      </w:r>
      <w:r>
        <w:rPr>
          <w:rFonts w:cs="Arial"/>
          <w:rtl/>
        </w:rPr>
        <w:t xml:space="preserve">: דיקא נמי, דקתני זה הכלל: כל שתחילתו וסופו בדעת </w:t>
      </w:r>
      <w:r w:rsidR="00A82951">
        <w:rPr>
          <w:rFonts w:cs="Arial"/>
          <w:rtl/>
        </w:rPr>
        <w:t>-</w:t>
      </w:r>
      <w:r>
        <w:rPr>
          <w:rFonts w:cs="Arial"/>
          <w:rtl/>
        </w:rPr>
        <w:t xml:space="preserve"> כשר, ולא קתני כל שתחילתו וסופו בכשרות </w:t>
      </w:r>
      <w:r w:rsidR="00A82951">
        <w:rPr>
          <w:rFonts w:cs="Arial"/>
          <w:rtl/>
        </w:rPr>
        <w:t>-</w:t>
      </w:r>
      <w:r>
        <w:rPr>
          <w:rFonts w:cs="Arial"/>
          <w:rtl/>
        </w:rPr>
        <w:t xml:space="preserve"> כשר, ש"מ. </w:t>
      </w:r>
      <w:r>
        <w:rPr>
          <w:rFonts w:cs="Arial"/>
          <w:sz w:val="16"/>
          <w:szCs w:val="16"/>
          <w:rtl/>
        </w:rPr>
        <w:t>(וכן פסקו הרי"ף (סוף יא:) והרא"ש (סוף סי' כה) דפתוח ונסתמא כיון דמצי אמר בפני נכתב ובפני נחתם כשר להביא גט, וכן כתב הרמב"ם בפ"ז (הי"ט), ב"י)</w:t>
      </w:r>
    </w:p>
    <w:p w14:paraId="666B90E1" w14:textId="77777777" w:rsidR="00C97BEF" w:rsidRDefault="00C97BEF" w:rsidP="00C97BEF">
      <w:pPr>
        <w:rPr>
          <w:u w:val="single"/>
          <w:rtl/>
        </w:rPr>
      </w:pPr>
      <w:r>
        <w:rPr>
          <w:u w:val="single"/>
          <w:rtl/>
        </w:rPr>
        <w:t>שליח סומא:</w:t>
      </w:r>
    </w:p>
    <w:p w14:paraId="47A1FB5A" w14:textId="15333F55"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סומא פסול</w:t>
      </w:r>
      <w:r>
        <w:rPr>
          <w:rStyle w:val="a7"/>
          <w:rFonts w:cs="Arial"/>
          <w:rtl/>
        </w:rPr>
        <w:footnoteReference w:id="2289"/>
      </w:r>
      <w:r>
        <w:rPr>
          <w:rFonts w:cs="Arial"/>
          <w:rtl/>
        </w:rPr>
        <w:t xml:space="preserve"> להביא הגט בחוצה לארץ, שאינו יכול לומר בפני נכתב ובפני נחתם. לפיכך כשר בארץ ישראל. וכן בחוצה לארץ אם היה פקח כשנותנו לו ונסתמא כשר, דלא בעינן תחילתו וסופו בכשרות, והוא שיכיר האשה בטביעת קול, אבל אם אין מכירה בטביעת קול </w:t>
      </w:r>
      <w:r w:rsidR="00A82951">
        <w:rPr>
          <w:rFonts w:cs="Arial"/>
          <w:rtl/>
        </w:rPr>
        <w:t>-</w:t>
      </w:r>
      <w:r>
        <w:rPr>
          <w:rFonts w:cs="Arial"/>
          <w:rtl/>
        </w:rPr>
        <w:t xml:space="preserve"> לא, ולא מהני מה שאחרים אומרים לו שהיא זאת אע"ג דמהני בפקח</w:t>
      </w:r>
      <w:r>
        <w:rPr>
          <w:rStyle w:val="a7"/>
          <w:rFonts w:cs="Arial"/>
          <w:rtl/>
        </w:rPr>
        <w:footnoteReference w:id="2290"/>
      </w:r>
      <w:r>
        <w:rPr>
          <w:rFonts w:cs="Arial"/>
          <w:rtl/>
        </w:rPr>
        <w:t>.</w:t>
      </w:r>
      <w:r>
        <w:rPr>
          <w:rtl/>
        </w:rPr>
        <w:t xml:space="preserve"> </w:t>
      </w:r>
      <w:r>
        <w:rPr>
          <w:color w:val="E36C0A" w:themeColor="accent6" w:themeShade="BF"/>
          <w:rtl/>
        </w:rPr>
        <w:t>(וכ"פ בשו"ע)</w:t>
      </w:r>
    </w:p>
    <w:p w14:paraId="2C348FF3"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7833876" w14:textId="77777777" w:rsidR="00C97BEF" w:rsidRDefault="00C97BEF" w:rsidP="00C97BEF">
      <w:pPr>
        <w:rPr>
          <w:rFonts w:cs="Arial"/>
          <w:rtl/>
        </w:rPr>
      </w:pPr>
      <w:r>
        <w:rPr>
          <w:rFonts w:cs="Arial"/>
          <w:rtl/>
        </w:rPr>
        <w:t>הסומא בשתי עיניו, אינו יכול להביא גט של חוצה לארץ, מפני שאינו יכול לומר: בפני נכתב ובפני נחתם</w:t>
      </w:r>
      <w:r>
        <w:rPr>
          <w:rStyle w:val="a7"/>
          <w:rFonts w:cs="Arial"/>
          <w:rtl/>
        </w:rPr>
        <w:footnoteReference w:id="2291"/>
      </w:r>
      <w:r>
        <w:rPr>
          <w:rFonts w:cs="Arial"/>
          <w:rtl/>
        </w:rPr>
        <w:t>. לפיכך אם נכתב ונחתם בפניו כשהוא פתוח, ונסתמא, הרי זה אומר: בפני נכתב ובפני נחתם</w:t>
      </w:r>
      <w:r>
        <w:rPr>
          <w:rStyle w:val="a7"/>
          <w:rFonts w:cs="Arial"/>
          <w:rtl/>
        </w:rPr>
        <w:footnoteReference w:id="2292"/>
      </w:r>
      <w:r>
        <w:rPr>
          <w:rFonts w:cs="Arial"/>
          <w:rtl/>
        </w:rPr>
        <w:t xml:space="preserve">, ונותנו לה, והוא שמכיר האשה </w:t>
      </w:r>
      <w:r>
        <w:rPr>
          <w:rFonts w:cs="Arial"/>
          <w:rtl/>
        </w:rPr>
        <w:lastRenderedPageBreak/>
        <w:t>בטביעות קול. ואם אינו מכירה בטביעות קול</w:t>
      </w:r>
      <w:r>
        <w:rPr>
          <w:rStyle w:val="a7"/>
          <w:rFonts w:cs="Arial"/>
          <w:rtl/>
        </w:rPr>
        <w:footnoteReference w:id="2293"/>
      </w:r>
      <w:r>
        <w:rPr>
          <w:rFonts w:cs="Arial"/>
          <w:rtl/>
        </w:rPr>
        <w:t>, לא מהני מה שאחרים</w:t>
      </w:r>
      <w:r>
        <w:rPr>
          <w:rStyle w:val="a7"/>
          <w:rFonts w:cs="Arial"/>
          <w:rtl/>
        </w:rPr>
        <w:footnoteReference w:id="2294"/>
      </w:r>
      <w:r>
        <w:rPr>
          <w:rFonts w:cs="Arial"/>
          <w:rtl/>
        </w:rPr>
        <w:t xml:space="preserve"> אומרים לו שהיא זאת, אף על גב דמהני בפקח. </w:t>
      </w:r>
      <w:r>
        <w:rPr>
          <w:rFonts w:cs="Arial"/>
          <w:sz w:val="18"/>
          <w:szCs w:val="18"/>
          <w:rtl/>
        </w:rPr>
        <w:t>[הגה] ובעינן גבי פקח שני עדים כשרים שאינן קרובים ולא פסולים</w:t>
      </w:r>
      <w:r>
        <w:rPr>
          <w:rStyle w:val="a7"/>
          <w:rFonts w:cs="Arial"/>
          <w:sz w:val="18"/>
          <w:szCs w:val="18"/>
          <w:rtl/>
        </w:rPr>
        <w:footnoteReference w:id="2295"/>
      </w:r>
      <w:r>
        <w:rPr>
          <w:rFonts w:cs="Arial"/>
          <w:sz w:val="18"/>
          <w:szCs w:val="18"/>
          <w:rtl/>
        </w:rPr>
        <w:t xml:space="preserve"> (תרוה"ד סי' רלח).</w:t>
      </w:r>
      <w:r>
        <w:rPr>
          <w:rFonts w:cs="Arial"/>
          <w:rtl/>
        </w:rPr>
        <w:t xml:space="preserve"> </w:t>
      </w:r>
    </w:p>
    <w:p w14:paraId="001A093F" w14:textId="77777777" w:rsidR="00C97BEF" w:rsidRDefault="00C97BEF" w:rsidP="00C97BEF">
      <w:pPr>
        <w:rPr>
          <w:rFonts w:cs="Arial"/>
          <w:rtl/>
        </w:rPr>
      </w:pPr>
      <w:r>
        <w:rPr>
          <w:rFonts w:cs="Arial"/>
          <w:u w:val="single"/>
          <w:rtl/>
        </w:rPr>
        <w:t>האם אפשר לשלוח גט בחו"ל ע"י שני סומים:</w:t>
      </w:r>
      <w:r>
        <w:rPr>
          <w:rFonts w:cs="Arial"/>
          <w:rtl/>
        </w:rPr>
        <w:t xml:space="preserve"> </w:t>
      </w:r>
      <w:r>
        <w:rPr>
          <w:rFonts w:cs="Arial"/>
          <w:sz w:val="16"/>
          <w:szCs w:val="16"/>
          <w:rtl/>
        </w:rPr>
        <w:t>(פת"ש סקי"ט)</w:t>
      </w:r>
      <w:r>
        <w:rPr>
          <w:rFonts w:cs="Arial"/>
          <w:rtl/>
        </w:rPr>
        <w:t xml:space="preserve"> </w:t>
      </w:r>
    </w:p>
    <w:p w14:paraId="01E16B77" w14:textId="36C5CF93" w:rsidR="00C97BEF" w:rsidRDefault="00C97BEF" w:rsidP="006A458D">
      <w:pPr>
        <w:pStyle w:val="ab"/>
        <w:numPr>
          <w:ilvl w:val="0"/>
          <w:numId w:val="112"/>
        </w:numPr>
        <w:rPr>
          <w:rtl/>
        </w:rPr>
      </w:pPr>
      <w:r>
        <w:rPr>
          <w:rFonts w:cs="Arial"/>
          <w:rtl/>
        </w:rPr>
        <w:t xml:space="preserve">פת"ש </w:t>
      </w:r>
      <w:r>
        <w:rPr>
          <w:rFonts w:cs="Arial"/>
          <w:sz w:val="16"/>
          <w:szCs w:val="16"/>
          <w:rtl/>
        </w:rPr>
        <w:t>(סקי"ט)</w:t>
      </w:r>
      <w:r w:rsidR="00A82951">
        <w:rPr>
          <w:rFonts w:cs="Arial"/>
          <w:rtl/>
        </w:rPr>
        <w:t>-</w:t>
      </w:r>
      <w:r>
        <w:rPr>
          <w:rFonts w:cs="Arial"/>
          <w:rtl/>
        </w:rPr>
        <w:t xml:space="preserve"> עבה"ט שכ' בשם מהרח"ש דאם הם שנים שלוחים אפילו ב' סומים להעיד כשרים. ואיני מבין זה דהא לקמן סי"א מבואר: עשה הבעל שנים שלוחים כו' והוא שהיו כשרים להעיד כו'. וא"כ הכא דהם סומים והם פסולים להעיד כמבואר בחו"מ סי' ל"ה סי"ב מה מהני מה שהם שנים. והא דפתוח ונסתמא מהני מה שאומר בפ"נ ובפ"נ מבואר בב"ש סקי"ז משום דלעדות זה אפילו אשה וקרוב כשרים, משא"כ בסומא מעיקרא שא"י לומר, ורק בעינן להכשירם מצד שהם שנים, דשנים שהביאו גט א"צ לומר בפ"נ בעינן עדות גמורה, וצ"ע. שוב מצאתי בס' גט מקושר (ס"ג שני אות ו) שכ' בפשיטות דאפילו שני סומים פסולים להביא הגט, דאף דשני' שהביאו גט א"צ לומר בפ"נ היינו משום שהם עדים וכאילו אמרו בפנינו גירשה, אבל סומים דפסולים להעיד לא מהני. וכן אם היו פתוחים ונסתמו מ"מ צריכי' לומר בפ"נ, כיון דאין לו דין עדות דבעינן תחילתו וסופו בכשרות, וכן בהך דינא דסי' קמ"א סל"ד כו' (הבאתיו שם ס"ק ל"ג) וזה ברור עכ"ד.</w:t>
      </w:r>
    </w:p>
    <w:p w14:paraId="3FE462D6" w14:textId="77777777" w:rsidR="00C97BEF" w:rsidRDefault="00C97BEF" w:rsidP="00C97BEF">
      <w:pPr>
        <w:rPr>
          <w:rFonts w:cs="Arial"/>
          <w:rtl/>
        </w:rPr>
      </w:pPr>
      <w:r>
        <w:rPr>
          <w:rFonts w:cs="Arial"/>
          <w:u w:val="single"/>
          <w:rtl/>
        </w:rPr>
        <w:t>האם אדם שהיה פתוח ונסתמא יכול לעשות אדם אחר שליח לתת את הגט:</w:t>
      </w:r>
      <w:r>
        <w:rPr>
          <w:rFonts w:cs="Arial"/>
          <w:rtl/>
        </w:rPr>
        <w:t xml:space="preserve"> </w:t>
      </w:r>
      <w:r>
        <w:rPr>
          <w:rFonts w:cs="Arial"/>
          <w:sz w:val="16"/>
          <w:szCs w:val="16"/>
          <w:rtl/>
        </w:rPr>
        <w:t>(פת"ש סקכ"ב)</w:t>
      </w:r>
      <w:r>
        <w:rPr>
          <w:rFonts w:cs="Arial"/>
          <w:rtl/>
        </w:rPr>
        <w:t xml:space="preserve"> </w:t>
      </w:r>
    </w:p>
    <w:p w14:paraId="37B09335" w14:textId="1FA96771" w:rsidR="00C97BEF" w:rsidRDefault="00C97BEF" w:rsidP="006A458D">
      <w:pPr>
        <w:pStyle w:val="ab"/>
        <w:numPr>
          <w:ilvl w:val="0"/>
          <w:numId w:val="112"/>
        </w:numPr>
        <w:rPr>
          <w:rtl/>
        </w:rPr>
      </w:pPr>
      <w:r>
        <w:rPr>
          <w:rFonts w:cs="Arial"/>
          <w:rtl/>
        </w:rPr>
        <w:t>תו"ג</w:t>
      </w:r>
      <w:r>
        <w:rPr>
          <w:rFonts w:cs="Arial"/>
          <w:sz w:val="16"/>
          <w:szCs w:val="16"/>
          <w:rtl/>
        </w:rPr>
        <w:t xml:space="preserve"> (שם)</w:t>
      </w:r>
      <w:r w:rsidR="00A82951">
        <w:rPr>
          <w:rFonts w:cs="Arial"/>
          <w:rtl/>
        </w:rPr>
        <w:t>-</w:t>
      </w:r>
      <w:r>
        <w:rPr>
          <w:rFonts w:cs="Arial"/>
          <w:rtl/>
        </w:rPr>
        <w:t xml:space="preserve"> נראה דא"י לעשות שליח אחר המֵכִּירה, כיון דהוא אינו יכול לגרשה הוי כשליח שלא ניתן לגירושין. ועוד נראה דאפי' בפני ב"ד אינו יכול ליתן דיש לחוש שלא יטעוהו בני אדם ויאמרו שהם ב"ד אף שאינם ב"ד מחמת שהוא סומא.</w:t>
      </w:r>
    </w:p>
    <w:p w14:paraId="0C0C2C41" w14:textId="77777777" w:rsidR="00C97BEF" w:rsidRDefault="00C97BEF" w:rsidP="00C97BEF">
      <w:pPr>
        <w:rPr>
          <w:rtl/>
        </w:rPr>
      </w:pPr>
    </w:p>
    <w:p w14:paraId="4A0A5E7A" w14:textId="77777777" w:rsidR="00C97BEF" w:rsidRDefault="00C97BEF" w:rsidP="00C97BEF">
      <w:pPr>
        <w:pStyle w:val="2"/>
        <w:rPr>
          <w:rtl/>
        </w:rPr>
      </w:pPr>
      <w:r>
        <w:rPr>
          <w:rtl/>
        </w:rPr>
        <w:t>סעיף יב: סומא שקיבל שליחות גט בפני עדים.</w:t>
      </w:r>
    </w:p>
    <w:p w14:paraId="0AD75640" w14:textId="77777777" w:rsidR="00C97BEF" w:rsidRDefault="00C97BEF" w:rsidP="00C97BEF">
      <w:pPr>
        <w:rPr>
          <w:u w:val="single"/>
          <w:rtl/>
        </w:rPr>
      </w:pPr>
      <w:r>
        <w:rPr>
          <w:u w:val="single"/>
          <w:rtl/>
        </w:rPr>
        <w:t>סומא שקיבל שליחות גט בפני עדים:</w:t>
      </w:r>
    </w:p>
    <w:p w14:paraId="02148642" w14:textId="48F024CC" w:rsidR="00C97BEF" w:rsidRDefault="00C97BEF" w:rsidP="006A458D">
      <w:pPr>
        <w:pStyle w:val="ab"/>
        <w:numPr>
          <w:ilvl w:val="0"/>
          <w:numId w:val="112"/>
        </w:numPr>
        <w:rPr>
          <w:rtl/>
        </w:rPr>
      </w:pPr>
      <w:r>
        <w:rPr>
          <w:rFonts w:cs="Arial"/>
          <w:rtl/>
        </w:rPr>
        <w:t>רמ"ה</w:t>
      </w:r>
      <w:r>
        <w:rPr>
          <w:rFonts w:cs="Arial"/>
          <w:sz w:val="16"/>
          <w:szCs w:val="16"/>
          <w:rtl/>
        </w:rPr>
        <w:t xml:space="preserve"> (כ"כ הטור בשמו)</w:t>
      </w:r>
      <w:r w:rsidR="00A82951">
        <w:rPr>
          <w:rFonts w:cs="Arial"/>
          <w:rtl/>
        </w:rPr>
        <w:t>-</w:t>
      </w:r>
      <w:r>
        <w:rPr>
          <w:rFonts w:cs="Arial"/>
          <w:rtl/>
        </w:rPr>
        <w:t xml:space="preserve"> אם יש עדים שהבעל מסר לו זה הגט לגירושין </w:t>
      </w:r>
      <w:r w:rsidR="00A82951">
        <w:rPr>
          <w:rFonts w:cs="Arial"/>
          <w:rtl/>
        </w:rPr>
        <w:t>-</w:t>
      </w:r>
      <w:r>
        <w:rPr>
          <w:rFonts w:cs="Arial"/>
          <w:rtl/>
        </w:rPr>
        <w:t xml:space="preserve"> כשר, שהרי בר שליחות הוא ואינו פסול אלא משום שאינו יכול לומר בפני נכתב ובפני נחתם, וכיון שיש עדים אין צ"ל בפ"נ ובפ"נ ויהיב לה באפי הנהו סהדי גופייהו וכשר, דלא בעינן לקיימו אלא עידי מסירה גרידתא בעינן. והא דבעי באפי הנהו סהדי גופייהו דלא ליהוי סהדותייהו חצי דבר. ואם נתקיים בחותמיו אפילו הוא סומא מתחילה ועד סוף ולא מסריה ניהליה בסהדי </w:t>
      </w:r>
      <w:r w:rsidR="00A82951">
        <w:rPr>
          <w:rFonts w:cs="Arial"/>
          <w:rtl/>
        </w:rPr>
        <w:t>-</w:t>
      </w:r>
      <w:r>
        <w:rPr>
          <w:rFonts w:cs="Arial"/>
          <w:rtl/>
        </w:rPr>
        <w:t xml:space="preserve"> כשר אפילו במדינת הים</w:t>
      </w:r>
      <w:r>
        <w:rPr>
          <w:rFonts w:cs="Arial"/>
          <w:sz w:val="16"/>
          <w:szCs w:val="16"/>
          <w:rtl/>
        </w:rPr>
        <w:t xml:space="preserve"> (ל' הטור בשמו)</w:t>
      </w:r>
      <w:r>
        <w:rPr>
          <w:rFonts w:cs="Arial"/>
          <w:rtl/>
        </w:rPr>
        <w:t xml:space="preserve">. </w:t>
      </w:r>
      <w:r>
        <w:rPr>
          <w:color w:val="E36C0A" w:themeColor="accent6" w:themeShade="BF"/>
          <w:rtl/>
        </w:rPr>
        <w:t>(וכ"פ בשו"ע)</w:t>
      </w:r>
    </w:p>
    <w:p w14:paraId="686F3D82"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E979287" w14:textId="77777777" w:rsidR="00C97BEF" w:rsidRDefault="00C97BEF" w:rsidP="00C97BEF">
      <w:pPr>
        <w:rPr>
          <w:rtl/>
        </w:rPr>
      </w:pPr>
      <w:r>
        <w:rPr>
          <w:rFonts w:cs="Arial"/>
          <w:rtl/>
        </w:rPr>
        <w:lastRenderedPageBreak/>
        <w:t>אם יש עדים שהבעל מסר לסומא זה גט זה לגרושין, כשר, שהרי כיון שיש עדים אינו צריך לומר: בפני נכתב ובפני נחתם</w:t>
      </w:r>
      <w:r>
        <w:rPr>
          <w:rStyle w:val="a7"/>
          <w:rFonts w:cs="Arial"/>
          <w:rtl/>
        </w:rPr>
        <w:footnoteReference w:id="2296"/>
      </w:r>
      <w:r>
        <w:rPr>
          <w:rFonts w:cs="Arial"/>
          <w:rtl/>
        </w:rPr>
        <w:t>, ויהיב לה באפי הנהו סהדי גופייהו</w:t>
      </w:r>
      <w:r>
        <w:rPr>
          <w:rStyle w:val="a7"/>
          <w:rFonts w:cs="Arial"/>
          <w:rtl/>
        </w:rPr>
        <w:footnoteReference w:id="2297"/>
      </w:r>
      <w:r>
        <w:rPr>
          <w:rFonts w:cs="Arial"/>
          <w:rtl/>
        </w:rPr>
        <w:t>. ואם נתקיים בחותמיו, כשר בכל גוונא</w:t>
      </w:r>
      <w:r>
        <w:rPr>
          <w:rStyle w:val="a7"/>
          <w:rFonts w:cs="Arial"/>
          <w:rtl/>
        </w:rPr>
        <w:footnoteReference w:id="2298"/>
      </w:r>
      <w:r>
        <w:rPr>
          <w:rFonts w:cs="Arial"/>
          <w:rtl/>
        </w:rPr>
        <w:t xml:space="preserve">. </w:t>
      </w:r>
    </w:p>
    <w:p w14:paraId="67DCF78B" w14:textId="77777777" w:rsidR="00C97BEF" w:rsidRDefault="00C97BEF" w:rsidP="00C97BEF">
      <w:pPr>
        <w:rPr>
          <w:rtl/>
        </w:rPr>
      </w:pPr>
    </w:p>
    <w:p w14:paraId="231179AC" w14:textId="77777777" w:rsidR="00C97BEF" w:rsidRDefault="00C97BEF" w:rsidP="00C97BEF">
      <w:pPr>
        <w:pStyle w:val="2"/>
        <w:rPr>
          <w:rtl/>
        </w:rPr>
      </w:pPr>
      <w:r>
        <w:rPr>
          <w:rtl/>
        </w:rPr>
        <w:t>סעיף יג: אשה שמביאה את גיטה.</w:t>
      </w:r>
    </w:p>
    <w:p w14:paraId="70757DB8" w14:textId="58974C53" w:rsidR="00C97BEF" w:rsidRDefault="00C97BEF" w:rsidP="00C97BEF">
      <w:pPr>
        <w:rPr>
          <w:rtl/>
        </w:rPr>
      </w:pPr>
      <w:r>
        <w:rPr>
          <w:rFonts w:cs="Arial"/>
          <w:b/>
          <w:bCs/>
          <w:rtl/>
        </w:rPr>
        <w:t xml:space="preserve">גיטין </w:t>
      </w:r>
      <w:r>
        <w:rPr>
          <w:rFonts w:cs="Arial"/>
          <w:b/>
          <w:bCs/>
          <w:sz w:val="16"/>
          <w:szCs w:val="16"/>
          <w:rtl/>
        </w:rPr>
        <w:t>(ספ"ב)</w:t>
      </w:r>
      <w:r>
        <w:rPr>
          <w:rFonts w:cs="Arial"/>
          <w:b/>
          <w:bCs/>
          <w:rtl/>
        </w:rPr>
        <w:t xml:space="preserve"> כג ע"ב:</w:t>
      </w:r>
      <w:r>
        <w:rPr>
          <w:rFonts w:cs="Arial"/>
          <w:rtl/>
        </w:rPr>
        <w:t xml:space="preserve"> </w:t>
      </w:r>
      <w:r>
        <w:rPr>
          <w:rFonts w:cs="Arial"/>
          <w:u w:val="double"/>
          <w:rtl/>
        </w:rPr>
        <w:t>מתני'</w:t>
      </w:r>
      <w:r>
        <w:rPr>
          <w:rFonts w:cs="Arial"/>
          <w:rtl/>
        </w:rPr>
        <w:t>:</w:t>
      </w:r>
      <w:r>
        <w:rPr>
          <w:rtl/>
        </w:rPr>
        <w:t xml:space="preserve"> </w:t>
      </w:r>
      <w:r>
        <w:rPr>
          <w:rFonts w:cs="Arial"/>
          <w:rtl/>
        </w:rPr>
        <w:t>האשה עצמה מביאה את גיטה, ובלבד שהיא צריכה לומר בפני נכתב ובפני נחתם.</w:t>
      </w:r>
      <w:r>
        <w:rPr>
          <w:rtl/>
        </w:rPr>
        <w:t xml:space="preserve">     </w:t>
      </w:r>
      <w:r>
        <w:rPr>
          <w:u w:val="double"/>
          <w:rtl/>
        </w:rPr>
        <w:t>גמ'</w:t>
      </w:r>
      <w:r>
        <w:rPr>
          <w:sz w:val="14"/>
          <w:szCs w:val="14"/>
          <w:u w:val="double"/>
          <w:rtl/>
        </w:rPr>
        <w:t>(כד.)</w:t>
      </w:r>
      <w:r>
        <w:rPr>
          <w:u w:val="double"/>
          <w:rtl/>
        </w:rPr>
        <w:t>:</w:t>
      </w:r>
      <w:r>
        <w:rPr>
          <w:rtl/>
        </w:rPr>
        <w:t xml:space="preserve"> </w:t>
      </w:r>
      <w:r>
        <w:rPr>
          <w:rFonts w:cs="Arial"/>
          <w:rtl/>
        </w:rPr>
        <w:t xml:space="preserve">האשה עצמה מביאה וכו'. אשה מכי מטי גיטה לידה איגרשה לה! </w:t>
      </w:r>
      <w:r>
        <w:rPr>
          <w:rFonts w:cs="Arial"/>
          <w:u w:val="single"/>
          <w:rtl/>
        </w:rPr>
        <w:t>אמר רב הונא</w:t>
      </w:r>
      <w:r>
        <w:rPr>
          <w:rFonts w:cs="Arial"/>
          <w:rtl/>
        </w:rPr>
        <w:t xml:space="preserve">: באומר לא תתגרשי בו אלא בפני ב"ד פלוני. סוף סוף כי מטיא התם איגרשה בה!... אלא, דאמר לה: הוי שליח להולכה עד דמטית התם, וכי מטית התם הוי שליח לקבלה וקבלי את גיטך. והא לא חזרה שליחות אצל הבעל! דאמר לה: הוי שליח להולכה עד דמטית התם, וכי מטית התם שוי שליח לקבלה. הניחא למ"ד: אשה עושה שליח לקבל גיטה מיד שליח בעלה, אלא למ"ד: אין האשה עושה שליח לקבל גיטה מיד שליח בעלה, מאי איכא למימר? טעמא מאי </w:t>
      </w:r>
      <w:r w:rsidR="00A82951">
        <w:rPr>
          <w:rFonts w:cs="Arial"/>
          <w:rtl/>
        </w:rPr>
        <w:t>-</w:t>
      </w:r>
      <w:r>
        <w:rPr>
          <w:rFonts w:cs="Arial"/>
          <w:rtl/>
        </w:rPr>
        <w:t xml:space="preserve"> משום דאיכא בזיון דבעל, והכא בעל לא קפיד. הניחא למ"ד: משום בזיון דבעל, אלא למ"ד: משום חצרה הבאה לאחר מיכן, מאי איכא למימר? דאמר לה: הוי שליח להולכה עד דמטית התם, וכי מטית התם שוי שליח להולכה וקבלי את גיטך מיניה. ואיבעית אימא, דאמר לה: הוי שליח להולכה עד דמטית התם, וכי מטית התם אימר קמי בי דינא בפני נכתב ובפני נחתם, ומשוי בי דינא שליח וליתבוה ניהליך.</w:t>
      </w:r>
      <w:r>
        <w:rPr>
          <w:rtl/>
        </w:rPr>
        <w:t xml:space="preserve"> </w:t>
      </w:r>
      <w:r>
        <w:rPr>
          <w:sz w:val="16"/>
          <w:szCs w:val="16"/>
          <w:rtl/>
        </w:rPr>
        <w:t>(</w:t>
      </w:r>
      <w:r>
        <w:rPr>
          <w:rFonts w:cs="Arial"/>
          <w:sz w:val="16"/>
          <w:szCs w:val="16"/>
          <w:rtl/>
        </w:rPr>
        <w:t>ואע"פ שגמגמו התוספות (ד"ה אימר) וכתבו דשמא ללישנא קמא אינה אומרת בפני נכתב ובפני נחתם אלא בשעה שתקבלנו, אע"ג דבפרק כל הגט (כט: במתניתין) ובכל דוכתא משמע שצריך לומר בשעה שהגט יוצא מיד השליח, שמא הכא שיכול לומר בשעת גירושין עדיף טפי, כבר האריך בזה הרשב"א (כד. ד"ה ואי בעית אימא) והעלה שצריך לומר דלישנא קמא אלישנא בתרא סמיך, והאי 'אימא קמי בי דינא' אכולהו לישני קאי, אלא דנטר עד מסקנא דכולהו. ולעולם אף ללישנא קמא צריכה שתאמר 'בפני נכתב ובפני נחתם' בשעה שיוצא מתחת ידה. ואין הפרש בין שתי הלשונות אלא דללישנא קמא אומר לה שהיא עצמה תעשה שליח, וללישנא בתרא אמר לה שלא תעשה שליח אלא נותנתו לבית דין ובית דין עושין לו שליח עכ"ל. וכן נראה שהיא דעת הרא"ש (סוף סי' כט), שכתב לשון הגמרא סתם ולא כתב דברי התוספות, משמע דסבירא ליה דשליח זה שוה לשאר שלוחים דעלמא, וכולם בשעה שהגט יוצא מידו צריך לומר בפני נכתב ובפני נחתם. ולכן רבינו לא כתב דברי התוספות, ב"י)</w:t>
      </w:r>
    </w:p>
    <w:p w14:paraId="6664EB8F" w14:textId="2DE1941C" w:rsidR="00C97BEF" w:rsidRDefault="00C97BEF" w:rsidP="00C97BEF">
      <w:pPr>
        <w:rPr>
          <w:u w:val="single"/>
          <w:rtl/>
        </w:rPr>
      </w:pPr>
      <w:r>
        <w:rPr>
          <w:u w:val="single"/>
          <w:rtl/>
        </w:rPr>
        <w:t>אשה מביאה את גיטה:</w:t>
      </w:r>
    </w:p>
    <w:p w14:paraId="48ADC68F" w14:textId="2D1BB08C"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האשה עצמה מביאה גיטה ואומרת בפני נכתב ובפני נחתם. כגון דאמר לה: 'הוי שליח להולכה עד דמטית התם, וכי מטית להתם שוי שליח להולכה וקבלי את גיטיך מיניה'. דהשתא הוי כמו שליח שעושה שליח שצ"ל בפני נכתב ובפני נחתם בשעה שיצא הגט מידו. אי נמי דאמר לה 'הוי שליח עד דמטית בבי דינא פלונית, וכי מטית להתם אימא בבי דינא בפני נכתב ובפני נחתם ולשוי אינהו שליח ליתנו לך'. שאם לא התנה עליה כך אינה צריכה לומר דבר, כיון שגיטה יוצא מתחת ידה ועדים חתומים עליו. </w:t>
      </w:r>
      <w:r>
        <w:rPr>
          <w:color w:val="E36C0A" w:themeColor="accent6" w:themeShade="BF"/>
          <w:rtl/>
        </w:rPr>
        <w:t>(וכ"פ בשו"ע)</w:t>
      </w:r>
    </w:p>
    <w:p w14:paraId="4DA72E38" w14:textId="41FBB590" w:rsidR="00C97BEF" w:rsidRDefault="00EC3C0E" w:rsidP="00C97BEF">
      <w:pPr>
        <w:ind w:left="360"/>
        <w:rPr>
          <w:u w:val="dotted"/>
        </w:rPr>
      </w:pPr>
      <w:r>
        <w:rPr>
          <w:rFonts w:hint="cs"/>
          <w:u w:val="dotted"/>
          <w:rtl/>
        </w:rPr>
        <w:t>ו</w:t>
      </w:r>
      <w:r w:rsidR="00C97BEF">
        <w:rPr>
          <w:u w:val="dotted"/>
          <w:rtl/>
        </w:rPr>
        <w:t>מה הדין אם הבעל כתב תנאי בגט:</w:t>
      </w:r>
    </w:p>
    <w:p w14:paraId="21A5051E" w14:textId="1987EE45"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ואפי' אמר לה אל תתגרשי בו אלא בב"ד פלוני תנאה הוי כאילו אומר לה אל תתגרשי בו אלא עד ל' יום, וכשיגיע ל' יום או לכשתבא לב"ד פלוני והגט ברשותה </w:t>
      </w:r>
      <w:r w:rsidR="00A82951">
        <w:rPr>
          <w:rFonts w:cs="Arial"/>
          <w:rtl/>
        </w:rPr>
        <w:t>-</w:t>
      </w:r>
      <w:r>
        <w:rPr>
          <w:rFonts w:cs="Arial"/>
          <w:rtl/>
        </w:rPr>
        <w:t xml:space="preserve"> מתגרשת בקבלה ראשונה</w:t>
      </w:r>
      <w:r>
        <w:rPr>
          <w:rStyle w:val="a7"/>
          <w:rFonts w:cs="Arial"/>
          <w:rtl/>
        </w:rPr>
        <w:footnoteReference w:id="2299"/>
      </w:r>
      <w:r>
        <w:rPr>
          <w:rFonts w:cs="Arial"/>
          <w:rtl/>
        </w:rPr>
        <w:t>, ואינה צריכה לומר בפני נכתב ובפני נחתם.</w:t>
      </w:r>
      <w:r>
        <w:rPr>
          <w:color w:val="E36C0A" w:themeColor="accent6" w:themeShade="BF"/>
          <w:rtl/>
        </w:rPr>
        <w:t xml:space="preserve"> (וכ"פ בשו"ע)</w:t>
      </w:r>
    </w:p>
    <w:p w14:paraId="52C22385" w14:textId="77777777" w:rsidR="00C97BEF" w:rsidRDefault="00C97BEF" w:rsidP="00C97BEF">
      <w:pPr>
        <w:ind w:left="360"/>
        <w:rPr>
          <w:u w:val="dotted"/>
        </w:rPr>
      </w:pPr>
      <w:r>
        <w:rPr>
          <w:u w:val="dotted"/>
          <w:rtl/>
        </w:rPr>
        <w:t>האם גט זה שהאשה מוציאה תחת ידה צריך קיום:</w:t>
      </w:r>
    </w:p>
    <w:p w14:paraId="7CD97410" w14:textId="7D64E828" w:rsidR="00C97BEF" w:rsidRDefault="00C97BEF" w:rsidP="006A458D">
      <w:pPr>
        <w:pStyle w:val="ab"/>
        <w:numPr>
          <w:ilvl w:val="0"/>
          <w:numId w:val="112"/>
        </w:numPr>
      </w:pPr>
      <w:r>
        <w:rPr>
          <w:rFonts w:cs="Arial"/>
          <w:rtl/>
        </w:rPr>
        <w:lastRenderedPageBreak/>
        <w:t>רמב"ם</w:t>
      </w:r>
      <w:r>
        <w:rPr>
          <w:rStyle w:val="a7"/>
          <w:rFonts w:cs="Arial"/>
          <w:rtl/>
        </w:rPr>
        <w:footnoteReference w:id="2300"/>
      </w:r>
      <w:r>
        <w:rPr>
          <w:rFonts w:cs="Arial"/>
          <w:rtl/>
        </w:rPr>
        <w:t xml:space="preserve"> </w:t>
      </w:r>
      <w:r>
        <w:rPr>
          <w:rFonts w:cs="Arial"/>
          <w:sz w:val="16"/>
          <w:szCs w:val="16"/>
          <w:rtl/>
        </w:rPr>
        <w:t>(פ"ז הכ"ד)</w:t>
      </w:r>
      <w:r>
        <w:rPr>
          <w:rFonts w:cs="Arial"/>
          <w:rtl/>
        </w:rPr>
        <w:t xml:space="preserve"> וטור</w:t>
      </w:r>
      <w:r w:rsidR="00A82951">
        <w:rPr>
          <w:rFonts w:cs="Arial"/>
          <w:rtl/>
        </w:rPr>
        <w:t>-</w:t>
      </w:r>
      <w:r>
        <w:rPr>
          <w:rFonts w:cs="Arial"/>
          <w:rtl/>
        </w:rPr>
        <w:t xml:space="preserve"> ומתירין אותה לינשא אע"פ שאין מכירין חתימת העדים</w:t>
      </w:r>
      <w:r>
        <w:rPr>
          <w:rStyle w:val="a7"/>
          <w:rFonts w:cs="Arial"/>
          <w:rtl/>
        </w:rPr>
        <w:footnoteReference w:id="2301"/>
      </w:r>
      <w:r>
        <w:rPr>
          <w:rFonts w:cs="Arial"/>
          <w:rtl/>
        </w:rPr>
        <w:t xml:space="preserve">, שעדים החתומים על הגט נעשה כמי שנחקרה עדותן בב"ד כל זמן שאין מערער. וכן כתב הרמ"ה שהאשה המביאה גיטה ואומרת שבעלה נתנו לה במקום פלוני להתגרש בו מיד </w:t>
      </w:r>
      <w:r w:rsidR="00A82951">
        <w:rPr>
          <w:rFonts w:cs="Arial"/>
          <w:rtl/>
        </w:rPr>
        <w:t>-</w:t>
      </w:r>
      <w:r>
        <w:rPr>
          <w:rFonts w:cs="Arial"/>
          <w:rtl/>
        </w:rPr>
        <w:t xml:space="preserve"> נאמנת ואינה צריכה לומר בפני נכתב ובפני נחתם, ואע"פ שאין מכירין החתימות</w:t>
      </w:r>
      <w:r>
        <w:rPr>
          <w:rFonts w:cs="Arial"/>
          <w:sz w:val="16"/>
          <w:szCs w:val="16"/>
          <w:rtl/>
        </w:rPr>
        <w:t xml:space="preserve"> (ל' הטור)</w:t>
      </w:r>
      <w:r>
        <w:rPr>
          <w:rFonts w:cs="Arial"/>
          <w:rtl/>
        </w:rPr>
        <w:t xml:space="preserve">. </w:t>
      </w:r>
      <w:r>
        <w:rPr>
          <w:color w:val="E36C0A" w:themeColor="accent6" w:themeShade="BF"/>
          <w:rtl/>
        </w:rPr>
        <w:t>(וכ"ס בשו"ע</w:t>
      </w:r>
      <w:r>
        <w:rPr>
          <w:color w:val="E36C0A" w:themeColor="accent6" w:themeShade="BF"/>
          <w:sz w:val="16"/>
          <w:szCs w:val="16"/>
          <w:rtl/>
        </w:rPr>
        <w:t xml:space="preserve"> </w:t>
      </w:r>
      <w:r>
        <w:rPr>
          <w:color w:val="000000" w:themeColor="text1"/>
          <w:sz w:val="16"/>
          <w:szCs w:val="16"/>
          <w:rtl/>
        </w:rPr>
        <w:t>[בסע' הזה]</w:t>
      </w:r>
      <w:r>
        <w:rPr>
          <w:color w:val="E36C0A" w:themeColor="accent6" w:themeShade="BF"/>
          <w:rtl/>
        </w:rPr>
        <w:t>)</w:t>
      </w:r>
    </w:p>
    <w:p w14:paraId="3D468658" w14:textId="00A25DEF" w:rsidR="00C97BEF" w:rsidRDefault="00C97BEF" w:rsidP="006A458D">
      <w:pPr>
        <w:pStyle w:val="ab"/>
        <w:numPr>
          <w:ilvl w:val="0"/>
          <w:numId w:val="112"/>
        </w:numPr>
      </w:pPr>
      <w:r>
        <w:rPr>
          <w:rFonts w:cs="Arial"/>
          <w:rtl/>
        </w:rPr>
        <w:t xml:space="preserve">ראב"ד </w:t>
      </w:r>
      <w:r>
        <w:rPr>
          <w:rFonts w:cs="Arial"/>
          <w:sz w:val="16"/>
          <w:szCs w:val="16"/>
          <w:rtl/>
        </w:rPr>
        <w:t xml:space="preserve">(פי"ב ה"ב בהשגות) </w:t>
      </w:r>
      <w:r>
        <w:rPr>
          <w:rFonts w:cs="Arial"/>
          <w:rtl/>
        </w:rPr>
        <w:t>וריב"ש</w:t>
      </w:r>
      <w:r>
        <w:rPr>
          <w:rStyle w:val="a7"/>
          <w:rFonts w:cs="Arial"/>
          <w:rtl/>
        </w:rPr>
        <w:footnoteReference w:id="2302"/>
      </w:r>
      <w:r>
        <w:rPr>
          <w:rFonts w:cs="Arial"/>
          <w:rtl/>
        </w:rPr>
        <w:t xml:space="preserve"> </w:t>
      </w:r>
      <w:r>
        <w:rPr>
          <w:rFonts w:cs="Arial"/>
          <w:sz w:val="16"/>
          <w:szCs w:val="16"/>
          <w:rtl/>
        </w:rPr>
        <w:t>(סי' שפה)</w:t>
      </w:r>
      <w:r w:rsidR="00A82951">
        <w:rPr>
          <w:rFonts w:cs="Arial"/>
          <w:rtl/>
        </w:rPr>
        <w:t>-</w:t>
      </w:r>
      <w:r>
        <w:rPr>
          <w:rFonts w:cs="Arial"/>
          <w:rtl/>
        </w:rPr>
        <w:t xml:space="preserve"> יתקיים בחותמיו אע</w:t>
      </w:r>
      <w:r w:rsidR="0095726F">
        <w:rPr>
          <w:rFonts w:cs="Arial" w:hint="cs"/>
          <w:rtl/>
        </w:rPr>
        <w:t>"</w:t>
      </w:r>
      <w:r>
        <w:rPr>
          <w:rFonts w:cs="Arial"/>
          <w:rtl/>
        </w:rPr>
        <w:t>פ שלא יצא עליו ערער</w:t>
      </w:r>
      <w:r>
        <w:rPr>
          <w:rFonts w:cs="Arial"/>
          <w:sz w:val="16"/>
          <w:szCs w:val="16"/>
          <w:rtl/>
        </w:rPr>
        <w:t xml:space="preserve"> (ל' הראב"ד)</w:t>
      </w:r>
      <w:r>
        <w:rPr>
          <w:rFonts w:cs="Arial"/>
          <w:rtl/>
        </w:rPr>
        <w:t>. ומעולם לא שמענו מי שנהג קולא כזו למעשה להתיר אשה שהיא בחזקת אשת איש בגט שבידה בלא קיום</w:t>
      </w:r>
      <w:r>
        <w:rPr>
          <w:rFonts w:cs="Arial"/>
          <w:sz w:val="16"/>
          <w:szCs w:val="16"/>
          <w:rtl/>
        </w:rPr>
        <w:t xml:space="preserve"> (ל' הריב"ש)</w:t>
      </w:r>
      <w:r>
        <w:rPr>
          <w:rFonts w:cs="Arial"/>
          <w:rtl/>
        </w:rPr>
        <w:t>.</w:t>
      </w:r>
    </w:p>
    <w:p w14:paraId="559CB39C" w14:textId="77777777" w:rsidR="00C97BEF" w:rsidRDefault="00C97BEF" w:rsidP="00C97BEF">
      <w:pPr>
        <w:rPr>
          <w:rFonts w:cs="Arial"/>
          <w:sz w:val="16"/>
          <w:szCs w:val="16"/>
        </w:rPr>
      </w:pPr>
      <w:r>
        <w:rPr>
          <w:rFonts w:cs="Arial"/>
          <w:u w:val="single"/>
          <w:rtl/>
        </w:rPr>
        <w:t>שליח אמר בפני נכתב ובפני נחתם אלא שנתייחדה עם הבעל בין כתיבה לחתימה</w:t>
      </w:r>
      <w:r>
        <w:rPr>
          <w:rFonts w:cs="Arial"/>
          <w:rtl/>
        </w:rPr>
        <w:t>:</w:t>
      </w:r>
      <w:r>
        <w:rPr>
          <w:rFonts w:cs="Arial"/>
          <w:sz w:val="16"/>
          <w:szCs w:val="16"/>
          <w:rtl/>
        </w:rPr>
        <w:t xml:space="preserve"> (דרכ"מ אות י**)</w:t>
      </w:r>
    </w:p>
    <w:p w14:paraId="77A3591C" w14:textId="0FB3C1C1" w:rsidR="00C97BEF" w:rsidRDefault="00C97BEF" w:rsidP="006A458D">
      <w:pPr>
        <w:pStyle w:val="ab"/>
        <w:numPr>
          <w:ilvl w:val="0"/>
          <w:numId w:val="114"/>
        </w:numPr>
        <w:rPr>
          <w:rtl/>
        </w:rPr>
      </w:pPr>
      <w:r>
        <w:rPr>
          <w:rFonts w:cs="Arial"/>
          <w:rtl/>
        </w:rPr>
        <w:t xml:space="preserve">הג"א </w:t>
      </w:r>
      <w:r>
        <w:rPr>
          <w:rFonts w:cs="Arial"/>
          <w:sz w:val="16"/>
          <w:szCs w:val="16"/>
          <w:rtl/>
        </w:rPr>
        <w:t>(גיטין פ"ב סי' א)</w:t>
      </w:r>
      <w:r w:rsidR="00A82951">
        <w:rPr>
          <w:rFonts w:cs="Arial"/>
          <w:rtl/>
        </w:rPr>
        <w:t>-</w:t>
      </w:r>
      <w:r>
        <w:rPr>
          <w:rFonts w:cs="Arial"/>
          <w:rtl/>
        </w:rPr>
        <w:t xml:space="preserve"> אמר בפ"נ ובפ"נ אלא שנתייחדה ברשות הבעלים בין כתיבה לחתימה </w:t>
      </w:r>
      <w:r w:rsidR="00A82951">
        <w:rPr>
          <w:rFonts w:cs="Arial"/>
          <w:rtl/>
        </w:rPr>
        <w:t>-</w:t>
      </w:r>
      <w:r>
        <w:rPr>
          <w:rFonts w:cs="Arial"/>
          <w:rtl/>
        </w:rPr>
        <w:t xml:space="preserve"> כשר. וצ"ע לשון הירושלמי דמשמע דפליגי. מא"ז</w:t>
      </w:r>
      <w:r>
        <w:rPr>
          <w:rtl/>
        </w:rPr>
        <w:t>.</w:t>
      </w:r>
    </w:p>
    <w:p w14:paraId="509E8786" w14:textId="77777777" w:rsidR="00C97BEF" w:rsidRDefault="00C97BEF" w:rsidP="00C97BEF">
      <w:r>
        <w:rPr>
          <w:rFonts w:cs="Arial"/>
          <w:u w:val="single"/>
          <w:rtl/>
        </w:rPr>
        <w:t>קרוב שהביא גט ואמר בפנ"כ ובפנ"ח וכתובים בגט מתנת נכסים</w:t>
      </w:r>
      <w:r>
        <w:rPr>
          <w:rFonts w:cs="Arial"/>
          <w:rtl/>
        </w:rPr>
        <w:t>:</w:t>
      </w:r>
      <w:r>
        <w:rPr>
          <w:rFonts w:cs="Arial"/>
          <w:sz w:val="16"/>
          <w:szCs w:val="16"/>
          <w:rtl/>
        </w:rPr>
        <w:t xml:space="preserve"> (דרכ"מ אות י**)</w:t>
      </w:r>
    </w:p>
    <w:p w14:paraId="6CC1FF5C" w14:textId="326FBC84" w:rsidR="00C97BEF" w:rsidRDefault="00C97BEF" w:rsidP="006A458D">
      <w:pPr>
        <w:pStyle w:val="ab"/>
        <w:numPr>
          <w:ilvl w:val="0"/>
          <w:numId w:val="114"/>
        </w:numPr>
      </w:pPr>
      <w:r>
        <w:rPr>
          <w:rFonts w:cs="Arial"/>
          <w:rtl/>
        </w:rPr>
        <w:t xml:space="preserve">ר"ן </w:t>
      </w:r>
      <w:r>
        <w:rPr>
          <w:rFonts w:cs="Arial"/>
          <w:sz w:val="16"/>
          <w:szCs w:val="16"/>
          <w:rtl/>
        </w:rPr>
        <w:t>(גיטין ב: ד"ה וסלקא)</w:t>
      </w:r>
      <w:r w:rsidR="00A82951">
        <w:rPr>
          <w:rFonts w:cs="Arial"/>
          <w:rtl/>
        </w:rPr>
        <w:t>-</w:t>
      </w:r>
      <w:r>
        <w:rPr>
          <w:rFonts w:cs="Arial"/>
          <w:rtl/>
        </w:rPr>
        <w:t xml:space="preserve"> קרוב המביא גט נאמן אם אומר בפני נכתב ובפני נחתם, אע"ג דכתובים בגט מתנת נכסים ואינו נאמן עליהם, מכל מקום לענין הגט נאמן</w:t>
      </w:r>
      <w:r>
        <w:rPr>
          <w:rtl/>
        </w:rPr>
        <w:t>.</w:t>
      </w:r>
    </w:p>
    <w:p w14:paraId="696E6AE6"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C07EAC5" w14:textId="77777777" w:rsidR="00C97BEF" w:rsidRDefault="00C97BEF" w:rsidP="00C97BEF">
      <w:pPr>
        <w:rPr>
          <w:rtl/>
        </w:rPr>
      </w:pPr>
      <w:r>
        <w:rPr>
          <w:rFonts w:cs="Arial"/>
          <w:rtl/>
        </w:rPr>
        <w:t>האיש שנתן גט לאשתו, ונכתב ונחתם בפניה, ואמר לה: הרי את שלוחה להולכה</w:t>
      </w:r>
      <w:r>
        <w:rPr>
          <w:rStyle w:val="a7"/>
          <w:rFonts w:cs="Arial"/>
          <w:rtl/>
        </w:rPr>
        <w:footnoteReference w:id="2303"/>
      </w:r>
      <w:r>
        <w:rPr>
          <w:rFonts w:cs="Arial"/>
          <w:rtl/>
        </w:rPr>
        <w:t xml:space="preserve"> עד בית דין פלוני והם יעמידו שליח ויתנו ליך גט זה ותתגרשי בו, הרי זו נאמנת לומר בפניהם: בפני נכתב ובפני נחתם </w:t>
      </w:r>
      <w:r>
        <w:rPr>
          <w:rFonts w:cs="Arial"/>
          <w:sz w:val="18"/>
          <w:szCs w:val="18"/>
          <w:rtl/>
        </w:rPr>
        <w:t>[הגה] וצריכה לאמרו</w:t>
      </w:r>
      <w:r>
        <w:rPr>
          <w:rStyle w:val="a7"/>
          <w:rFonts w:cs="Arial"/>
          <w:sz w:val="18"/>
          <w:szCs w:val="18"/>
          <w:rtl/>
        </w:rPr>
        <w:footnoteReference w:id="2304"/>
      </w:r>
      <w:r>
        <w:rPr>
          <w:rFonts w:cs="Arial"/>
          <w:sz w:val="18"/>
          <w:szCs w:val="18"/>
          <w:rtl/>
        </w:rPr>
        <w:t xml:space="preserve"> בשעה שהגט יוצא מתחת ידה (טור ורא"ש)</w:t>
      </w:r>
      <w:r>
        <w:rPr>
          <w:rFonts w:cs="Arial"/>
          <w:rtl/>
        </w:rPr>
        <w:t xml:space="preserve">, והם נוטלים אותו ונותנים לשליח ליתנו לה כמאמר הבעל, ואם לא התנה עליה הבעל תנאי זה, והרי הגט יוצא מתחת ידה, אינה צריכה לומר כלום, והרי היא בחזקת מגורשת, ואף על פי שלא נתקיימה חתימת ידי העדים, שעדים שחתומים על הגט, כמי שנחקרה עדותן בבית דין דמי, כל זמן שאין מערער. ואפילו אמר לה: אל תתגרשי בו אלא בבית דין פלוני, תנאה בעלמא היא וכשתבא לאותו בית דין והגט ברשותה, מתגרשת בקבלה ראשונה, ואינה צריכה לומר בפני נכתב ובפני נחתם. </w:t>
      </w:r>
    </w:p>
    <w:p w14:paraId="66C67303" w14:textId="77777777" w:rsidR="00C97BEF" w:rsidRDefault="00C97BEF" w:rsidP="00C97BEF">
      <w:pPr>
        <w:rPr>
          <w:rtl/>
        </w:rPr>
      </w:pPr>
    </w:p>
    <w:p w14:paraId="6637260F" w14:textId="77777777" w:rsidR="00C97BEF" w:rsidRDefault="00C97BEF" w:rsidP="00C97BEF">
      <w:pPr>
        <w:pStyle w:val="2"/>
        <w:rPr>
          <w:rtl/>
        </w:rPr>
      </w:pPr>
      <w:r>
        <w:rPr>
          <w:rtl/>
        </w:rPr>
        <w:lastRenderedPageBreak/>
        <w:t>סעיף יד: המשך הנ"ל.</w:t>
      </w:r>
    </w:p>
    <w:p w14:paraId="6CBC03D5" w14:textId="77777777" w:rsidR="00C97BEF" w:rsidRDefault="00C97BEF" w:rsidP="00C97BEF">
      <w:pPr>
        <w:rPr>
          <w:rtl/>
        </w:rPr>
      </w:pPr>
      <w:r>
        <w:rPr>
          <w:rtl/>
        </w:rPr>
        <w:t>עיין במקורות בסעיף הקודם.</w:t>
      </w:r>
    </w:p>
    <w:p w14:paraId="03EC0249" w14:textId="77777777" w:rsidR="00C97BEF" w:rsidRDefault="00C97BEF" w:rsidP="00C97BEF">
      <w:pPr>
        <w:rPr>
          <w:u w:val="single"/>
          <w:rtl/>
        </w:rPr>
      </w:pPr>
      <w:r>
        <w:rPr>
          <w:u w:val="single"/>
          <w:rtl/>
        </w:rPr>
        <w:t>בעל שמוליך גט לאשתו שנמצאת בעיר אחרת:</w:t>
      </w:r>
    </w:p>
    <w:p w14:paraId="10206065" w14:textId="27F127C0" w:rsidR="00C97BEF" w:rsidRDefault="00C97BEF" w:rsidP="006A458D">
      <w:pPr>
        <w:pStyle w:val="ab"/>
        <w:numPr>
          <w:ilvl w:val="0"/>
          <w:numId w:val="105"/>
        </w:numPr>
        <w:rPr>
          <w:rtl/>
        </w:rPr>
      </w:pPr>
      <w:r>
        <w:rPr>
          <w:rFonts w:cs="Arial"/>
          <w:rtl/>
        </w:rPr>
        <w:t xml:space="preserve">ארחות חיים </w:t>
      </w:r>
      <w:r>
        <w:rPr>
          <w:rFonts w:cs="Arial"/>
          <w:sz w:val="16"/>
          <w:szCs w:val="16"/>
          <w:rtl/>
        </w:rPr>
        <w:t>(הל' גיטין סי' ד)</w:t>
      </w:r>
      <w:r w:rsidR="00A82951">
        <w:rPr>
          <w:rFonts w:cs="Arial"/>
          <w:rtl/>
        </w:rPr>
        <w:t>-</w:t>
      </w:r>
      <w:r>
        <w:rPr>
          <w:rFonts w:cs="Arial"/>
          <w:rtl/>
        </w:rPr>
        <w:t xml:space="preserve"> זהו לשון שליחות שטר הולכה כשהבעל עצמו מוליך גט לאשתו בעיר אחרת: 'הנה פלוני בן פלוני מוליך גט לאשתו פלונית בת פלוני ונכתב ונחתם כהלכתו לדעתנו'. ואין כותבין בו מקום כלל לפי שלא היתה האשה במקום כתיבת הגט. והוא נכתב ונחתם כהלכתו בפני הבעל, כדי שיוכל לומר בפני נכתב ובפני נחתם, כיון שהבעל עצמו מביאו כדאמרינן בפ"ק דגיטין (ה.) הבעל עצמו וכו' כי בעוונותינו אין אנו בני תורה כמו הראשונים. וזה הלשון שיאמר הבעל בשעת הנתינה קודם שיתן הגט לאשתו: 'התקבלי גיטך זה ממני והרי את מגורשת ממני ומותרת לכל אדם וגט זה בפני נכתב ובפני נחתם'. ויתנהו לה בפני שלשה, ויבטל כל המודעות, ויקראוהו קודם נתינה ואחר נתינה, ויקבל חרם שלא יוציא לעז על הגט ועל החתימות, וכל החתימות שבגט ידועות לנו</w:t>
      </w:r>
      <w:r>
        <w:rPr>
          <w:rStyle w:val="a7"/>
          <w:rFonts w:cs="Arial"/>
          <w:rtl/>
        </w:rPr>
        <w:footnoteReference w:id="2305"/>
      </w:r>
      <w:r>
        <w:rPr>
          <w:rFonts w:cs="Arial"/>
          <w:rtl/>
        </w:rPr>
        <w:t>.</w:t>
      </w:r>
      <w:r>
        <w:rPr>
          <w:rtl/>
        </w:rPr>
        <w:t xml:space="preserve"> </w:t>
      </w:r>
      <w:bookmarkStart w:id="24" w:name="_Hlk94565811"/>
      <w:r>
        <w:rPr>
          <w:color w:val="00B0F0"/>
          <w:rtl/>
        </w:rPr>
        <w:t>(וכ"פ הרמ"א)</w:t>
      </w:r>
      <w:bookmarkEnd w:id="24"/>
    </w:p>
    <w:p w14:paraId="451ECD2C"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9B1D997" w14:textId="77777777" w:rsidR="00C97BEF" w:rsidRDefault="00C97BEF" w:rsidP="00C97BEF">
      <w:pPr>
        <w:rPr>
          <w:rtl/>
        </w:rPr>
      </w:pPr>
      <w:r>
        <w:rPr>
          <w:rFonts w:cs="Arial"/>
          <w:rtl/>
        </w:rPr>
        <w:t>ויש חולקים</w:t>
      </w:r>
      <w:r>
        <w:rPr>
          <w:rStyle w:val="a7"/>
          <w:rFonts w:cs="Arial"/>
          <w:rtl/>
        </w:rPr>
        <w:footnoteReference w:id="2306"/>
      </w:r>
      <w:r>
        <w:rPr>
          <w:rFonts w:cs="Arial"/>
          <w:rtl/>
        </w:rPr>
        <w:t xml:space="preserve"> ואומרים שאין להתירה לינשא על ידי גט שיוצא מתחת ידה, אם לא נתקיים בחותמיו, אף על פי שאין עליו עוררין, שמעולם לא שמעו מי שנהג קולא כזו. </w:t>
      </w:r>
      <w:r>
        <w:rPr>
          <w:rFonts w:cs="Arial"/>
          <w:sz w:val="18"/>
          <w:szCs w:val="18"/>
          <w:rtl/>
        </w:rPr>
        <w:t>הגה: בעל שמביא גט לאשתו</w:t>
      </w:r>
      <w:r>
        <w:rPr>
          <w:rStyle w:val="a7"/>
          <w:rFonts w:cs="Arial"/>
          <w:sz w:val="18"/>
          <w:szCs w:val="18"/>
          <w:rtl/>
        </w:rPr>
        <w:footnoteReference w:id="2307"/>
      </w:r>
      <w:r>
        <w:rPr>
          <w:rFonts w:cs="Arial"/>
          <w:sz w:val="18"/>
          <w:szCs w:val="18"/>
          <w:rtl/>
        </w:rPr>
        <w:t>, והוא בעצמו הוליכו ממקום שכתבו אותו עד מקום הנתינה, צריך למסרו לה כשליח, וצריך לומר: בפני נכתב ובפני נחתם</w:t>
      </w:r>
      <w:r>
        <w:rPr>
          <w:rStyle w:val="a7"/>
          <w:rFonts w:cs="Arial"/>
          <w:sz w:val="18"/>
          <w:szCs w:val="18"/>
          <w:rtl/>
        </w:rPr>
        <w:footnoteReference w:id="2308"/>
      </w:r>
      <w:r>
        <w:rPr>
          <w:rFonts w:cs="Arial"/>
          <w:sz w:val="18"/>
          <w:szCs w:val="18"/>
          <w:rtl/>
        </w:rPr>
        <w:t>, כמו השליח, כדי שלא לבא לטעות גם בשליח אחר, מאחר שעכשיו אינן בני תורה (א"ח).</w:t>
      </w:r>
      <w:r>
        <w:rPr>
          <w:rFonts w:cs="Arial"/>
          <w:rtl/>
        </w:rPr>
        <w:t xml:space="preserve"> </w:t>
      </w:r>
    </w:p>
    <w:p w14:paraId="46F55012" w14:textId="77777777" w:rsidR="00C97BEF" w:rsidRDefault="00C97BEF" w:rsidP="00C97BEF">
      <w:pPr>
        <w:rPr>
          <w:rtl/>
        </w:rPr>
      </w:pPr>
    </w:p>
    <w:p w14:paraId="4C0D90B0" w14:textId="77777777" w:rsidR="00C97BEF" w:rsidRDefault="00C97BEF" w:rsidP="00C97BEF">
      <w:pPr>
        <w:pStyle w:val="2"/>
        <w:rPr>
          <w:rtl/>
        </w:rPr>
      </w:pPr>
      <w:r>
        <w:rPr>
          <w:rtl/>
        </w:rPr>
        <w:t>סעיף טו: מה צריך השליח לראות כדי שיוכל לומר בפנ"כ ובפנ"ח.</w:t>
      </w:r>
    </w:p>
    <w:p w14:paraId="3F749B16" w14:textId="1EBBD071" w:rsidR="00C97BEF" w:rsidRDefault="00C97BEF" w:rsidP="00C97BEF">
      <w:pPr>
        <w:rPr>
          <w:rFonts w:cs="Arial"/>
          <w:rtl/>
        </w:rPr>
      </w:pPr>
      <w:r>
        <w:rPr>
          <w:rFonts w:cs="Arial"/>
          <w:b/>
          <w:bCs/>
          <w:rtl/>
        </w:rPr>
        <w:t xml:space="preserve">גיטין </w:t>
      </w:r>
      <w:r>
        <w:rPr>
          <w:rFonts w:cs="Arial"/>
          <w:b/>
          <w:bCs/>
          <w:sz w:val="16"/>
          <w:szCs w:val="16"/>
          <w:rtl/>
        </w:rPr>
        <w:t>(פ"ק)</w:t>
      </w:r>
      <w:r>
        <w:rPr>
          <w:rFonts w:cs="Arial"/>
          <w:b/>
          <w:bCs/>
          <w:rtl/>
        </w:rPr>
        <w:t xml:space="preserve"> ה ע"ב:</w:t>
      </w:r>
      <w:r>
        <w:rPr>
          <w:rFonts w:cs="Arial"/>
          <w:rtl/>
        </w:rPr>
        <w:t xml:space="preserve"> בר הדיא בעי לאתויי גיטא, אתא לקמיה דרבי אחי דהוה ממונה אגיטי, </w:t>
      </w:r>
      <w:r>
        <w:rPr>
          <w:rFonts w:cs="Arial"/>
          <w:u w:val="single"/>
          <w:rtl/>
        </w:rPr>
        <w:t>א"ל</w:t>
      </w:r>
      <w:r>
        <w:rPr>
          <w:rFonts w:cs="Arial"/>
          <w:rtl/>
        </w:rPr>
        <w:t xml:space="preserve">: צריך אתה לעמוד על כל אות ואות. אתא לקמיה דרבי אמי ור' אסי, </w:t>
      </w:r>
      <w:r>
        <w:rPr>
          <w:rFonts w:cs="Arial"/>
          <w:u w:val="single"/>
          <w:rtl/>
        </w:rPr>
        <w:t>אמרי ליה</w:t>
      </w:r>
      <w:r>
        <w:rPr>
          <w:rFonts w:cs="Arial"/>
          <w:rtl/>
        </w:rPr>
        <w:t>: לא צריכת</w:t>
      </w:r>
      <w:r>
        <w:rPr>
          <w:rStyle w:val="a7"/>
          <w:rFonts w:cs="Arial"/>
          <w:rtl/>
        </w:rPr>
        <w:footnoteReference w:id="2309"/>
      </w:r>
      <w:r>
        <w:rPr>
          <w:rFonts w:cs="Arial"/>
          <w:rtl/>
        </w:rPr>
        <w:t xml:space="preserve">, וכי תימא אעביד לחומרא, נמצא אתה מוציא לעז על גיטין הראשונים. רבה בר בר חנה אייתי גיטא, פלגא איכתב קמיה ופלגא לא איכתב קמיה, אתא לקמיה דרבי אלעזר, </w:t>
      </w:r>
      <w:r>
        <w:rPr>
          <w:rFonts w:cs="Arial"/>
          <w:u w:val="single"/>
          <w:rtl/>
        </w:rPr>
        <w:t>אמר ליה</w:t>
      </w:r>
      <w:r>
        <w:rPr>
          <w:rFonts w:cs="Arial"/>
          <w:rtl/>
        </w:rPr>
        <w:t xml:space="preserve">: אפילו לא כתב בו אלא שיטה אחת לשמה, שוב אינו צריך. </w:t>
      </w:r>
      <w:r>
        <w:rPr>
          <w:rFonts w:cs="Arial"/>
          <w:u w:val="single"/>
          <w:rtl/>
        </w:rPr>
        <w:t>רב אשי אמר</w:t>
      </w:r>
      <w:r>
        <w:rPr>
          <w:rFonts w:cs="Arial"/>
          <w:rtl/>
        </w:rPr>
        <w:t>:</w:t>
      </w:r>
      <w:r>
        <w:rPr>
          <w:rFonts w:cs="Arial"/>
          <w:sz w:val="14"/>
          <w:szCs w:val="14"/>
          <w:rtl/>
        </w:rPr>
        <w:t xml:space="preserve"> (ו.) </w:t>
      </w:r>
      <w:r>
        <w:rPr>
          <w:rFonts w:cs="Arial"/>
          <w:rtl/>
        </w:rPr>
        <w:t>אפי' קן קולמוסא וקן מגילתא</w:t>
      </w:r>
      <w:r>
        <w:rPr>
          <w:rStyle w:val="a7"/>
          <w:rFonts w:cs="Arial"/>
          <w:rtl/>
        </w:rPr>
        <w:footnoteReference w:id="2310"/>
      </w:r>
      <w:r>
        <w:rPr>
          <w:rFonts w:cs="Arial"/>
          <w:rtl/>
        </w:rPr>
        <w:t xml:space="preserve">. תניא כוותיה דרב אשי: המביא גט ממדינת הים, אפי' הוא בבית וסופר בעלייה, הוא בעלייה וסופר בבית, </w:t>
      </w:r>
      <w:r>
        <w:rPr>
          <w:rFonts w:cs="Arial"/>
          <w:rtl/>
        </w:rPr>
        <w:lastRenderedPageBreak/>
        <w:t xml:space="preserve">אפי' נכנס ויוצא כל היום כולו </w:t>
      </w:r>
      <w:r w:rsidR="00A82951">
        <w:rPr>
          <w:rFonts w:cs="Arial"/>
          <w:rtl/>
        </w:rPr>
        <w:t>-</w:t>
      </w:r>
      <w:r>
        <w:rPr>
          <w:rFonts w:cs="Arial"/>
          <w:rtl/>
        </w:rPr>
        <w:t xml:space="preserve"> כשר; הוא בבית וסופר בעלייה הא לא קא חזי ליה! אלא לאו כגון דשמע קן קולמוסא וקן מגילתא. </w:t>
      </w:r>
      <w:r>
        <w:rPr>
          <w:rFonts w:cs="Arial"/>
          <w:u w:val="single"/>
          <w:rtl/>
        </w:rPr>
        <w:t>אמר מר</w:t>
      </w:r>
      <w:r>
        <w:rPr>
          <w:rFonts w:cs="Arial"/>
          <w:rtl/>
        </w:rPr>
        <w:t xml:space="preserve">: אפי' נכנס ויוצא כל היום כולו </w:t>
      </w:r>
      <w:r w:rsidR="00A82951">
        <w:rPr>
          <w:rFonts w:cs="Arial"/>
          <w:rtl/>
        </w:rPr>
        <w:t>-</w:t>
      </w:r>
      <w:r>
        <w:rPr>
          <w:rFonts w:cs="Arial"/>
          <w:rtl/>
        </w:rPr>
        <w:t xml:space="preserve"> כשר. מאן? אילימא שליח, השתא הוא בבית וסופר בעלייה דלא חזי ליה </w:t>
      </w:r>
      <w:r w:rsidR="00A82951">
        <w:rPr>
          <w:rFonts w:cs="Arial"/>
          <w:rtl/>
        </w:rPr>
        <w:t>-</w:t>
      </w:r>
      <w:r>
        <w:rPr>
          <w:rFonts w:cs="Arial"/>
          <w:rtl/>
        </w:rPr>
        <w:t xml:space="preserve"> אמרת כשר, נכנס ויוצא מיבעיא? אלא סופר. פשיטא, משום דנכנס ויוצא נפסליניה? לא צריכא, דנפק לשוקא ואתא, מהו דתימא איניש אחרינא אשכחיה ואמר ליה, קמ"ל.</w:t>
      </w:r>
    </w:p>
    <w:p w14:paraId="776E6B16" w14:textId="59BFC59D" w:rsidR="00C97BEF" w:rsidRDefault="00C97BEF" w:rsidP="00C97BEF">
      <w:pPr>
        <w:rPr>
          <w:rtl/>
        </w:rPr>
      </w:pPr>
      <w:r>
        <w:rPr>
          <w:rFonts w:cs="Arial"/>
          <w:b/>
          <w:bCs/>
          <w:rtl/>
        </w:rPr>
        <w:t xml:space="preserve">גיטין </w:t>
      </w:r>
      <w:r>
        <w:rPr>
          <w:rFonts w:cs="Arial"/>
          <w:b/>
          <w:bCs/>
          <w:sz w:val="16"/>
          <w:szCs w:val="16"/>
          <w:rtl/>
        </w:rPr>
        <w:t>(רפ"ב)</w:t>
      </w:r>
      <w:r>
        <w:rPr>
          <w:rFonts w:cs="Arial"/>
          <w:b/>
          <w:bCs/>
          <w:rtl/>
        </w:rPr>
        <w:t xml:space="preserve"> טו ע"א:</w:t>
      </w:r>
      <w:r>
        <w:rPr>
          <w:rFonts w:cs="Arial"/>
          <w:rtl/>
        </w:rPr>
        <w:t xml:space="preserve"> </w:t>
      </w:r>
      <w:r>
        <w:rPr>
          <w:rFonts w:cs="Arial"/>
          <w:u w:val="double"/>
          <w:rtl/>
        </w:rPr>
        <w:t>מתני'</w:t>
      </w:r>
      <w:r>
        <w:rPr>
          <w:rFonts w:cs="Arial"/>
          <w:rtl/>
        </w:rPr>
        <w:t xml:space="preserve">: המביא גט ממדינת הים, ואמר: בפני נכתב אבל לא בפני נחתם, בפני נחתם אבל לא בפני נכתב, בפני נכתב כולו ובפני נחתם חציו, בפני נכתב חציו ובפני נחתם כולו </w:t>
      </w:r>
      <w:r w:rsidR="00A82951">
        <w:rPr>
          <w:rFonts w:cs="Arial"/>
          <w:rtl/>
        </w:rPr>
        <w:t>-</w:t>
      </w:r>
      <w:r>
        <w:rPr>
          <w:rFonts w:cs="Arial"/>
          <w:rtl/>
        </w:rPr>
        <w:t xml:space="preserve"> פסול.</w:t>
      </w:r>
      <w:r>
        <w:rPr>
          <w:rtl/>
        </w:rPr>
        <w:t xml:space="preserve">..      </w:t>
      </w:r>
      <w:r>
        <w:rPr>
          <w:u w:val="double"/>
          <w:rtl/>
        </w:rPr>
        <w:t>גמ'</w:t>
      </w:r>
      <w:r>
        <w:rPr>
          <w:rtl/>
        </w:rPr>
        <w:t xml:space="preserve">: </w:t>
      </w:r>
      <w:r>
        <w:rPr>
          <w:rFonts w:cs="Arial"/>
          <w:rtl/>
        </w:rPr>
        <w:t xml:space="preserve">בפני נכתב חציו ובפני נחתם כולו </w:t>
      </w:r>
      <w:r w:rsidR="00A82951">
        <w:rPr>
          <w:rFonts w:cs="Arial"/>
          <w:rtl/>
        </w:rPr>
        <w:t>-</w:t>
      </w:r>
      <w:r>
        <w:rPr>
          <w:rFonts w:cs="Arial"/>
          <w:rtl/>
        </w:rPr>
        <w:t xml:space="preserve"> פסול. הי חציו? אלימא חציו ראשון, והאמר רבי אלעזר: אפילו לא כתב בו אלא שיטה אחת</w:t>
      </w:r>
      <w:r>
        <w:rPr>
          <w:rStyle w:val="a7"/>
          <w:rFonts w:cs="Arial"/>
          <w:rtl/>
        </w:rPr>
        <w:footnoteReference w:id="2311"/>
      </w:r>
      <w:r>
        <w:rPr>
          <w:rFonts w:cs="Arial"/>
          <w:rtl/>
        </w:rPr>
        <w:t xml:space="preserve"> לשמה</w:t>
      </w:r>
      <w:r>
        <w:rPr>
          <w:rStyle w:val="a7"/>
          <w:rFonts w:cs="Arial"/>
          <w:rtl/>
        </w:rPr>
        <w:footnoteReference w:id="2312"/>
      </w:r>
      <w:r>
        <w:rPr>
          <w:rFonts w:cs="Arial"/>
          <w:rtl/>
        </w:rPr>
        <w:t xml:space="preserve">, שוב אינו צריך! </w:t>
      </w:r>
      <w:r>
        <w:rPr>
          <w:rFonts w:cs="Arial"/>
          <w:u w:val="single"/>
          <w:rtl/>
        </w:rPr>
        <w:t>אלא אמר רב אשי</w:t>
      </w:r>
      <w:r>
        <w:rPr>
          <w:rFonts w:cs="Arial"/>
          <w:rtl/>
        </w:rPr>
        <w:t>: חציו אחרון.</w:t>
      </w:r>
      <w:r>
        <w:rPr>
          <w:rFonts w:cs="Arial"/>
          <w:sz w:val="16"/>
          <w:szCs w:val="16"/>
          <w:rtl/>
        </w:rPr>
        <w:t xml:space="preserve"> (וכתב הרשב"א (ד"ה אלא. הראשון) ואפילו לרב אשי דאמר דאפילו בקן מגילתא וקן קולמוסא סגי מכל מקום בעינן קן קולמוסא וקן מגילתא בחציו ראשון דהוא עיקרו של גט שבו שם האיש והאשה והזמן, וכן כתב ר"ח </w:t>
      </w:r>
      <w:r w:rsidRPr="006E30BF">
        <w:rPr>
          <w:rFonts w:cs="Arial"/>
          <w:sz w:val="14"/>
          <w:szCs w:val="14"/>
          <w:rtl/>
        </w:rPr>
        <w:t>[עכ"ד]</w:t>
      </w:r>
      <w:r>
        <w:rPr>
          <w:rFonts w:cs="Arial"/>
          <w:sz w:val="16"/>
          <w:szCs w:val="16"/>
          <w:rtl/>
        </w:rPr>
        <w:t>. וכן דעת הרמב"ם והה"מ בפ"ז (הי"ב). ומשמע שאין צריך לעמוד על כתיבת כל השיטה אלא כיון שעמד על קצתה די בכך. ורבינו מאחר שכתב 'רק שיתחיל הסופר' לא חש לבאר יותר, דהא בהדיא משמע דבכתיבת ההתחלה הוא צריך לעמוד עליו</w:t>
      </w:r>
      <w:r>
        <w:rPr>
          <w:rStyle w:val="a7"/>
          <w:rFonts w:cs="Arial"/>
          <w:sz w:val="16"/>
          <w:szCs w:val="16"/>
          <w:rtl/>
        </w:rPr>
        <w:footnoteReference w:id="2313"/>
      </w:r>
      <w:r>
        <w:rPr>
          <w:rFonts w:cs="Arial"/>
          <w:sz w:val="16"/>
          <w:szCs w:val="16"/>
          <w:rtl/>
        </w:rPr>
        <w:t>, ב"י)</w:t>
      </w:r>
    </w:p>
    <w:p w14:paraId="620F31DD" w14:textId="77777777" w:rsidR="00C97BEF" w:rsidRDefault="00C97BEF" w:rsidP="00C97BEF">
      <w:pPr>
        <w:rPr>
          <w:u w:val="single"/>
          <w:rtl/>
        </w:rPr>
      </w:pPr>
      <w:r>
        <w:rPr>
          <w:u w:val="single"/>
          <w:rtl/>
        </w:rPr>
        <w:t>מה צריך השליח לראות כדי שיוכל לומר 'בפני נכתב':</w:t>
      </w:r>
    </w:p>
    <w:p w14:paraId="7BF8C353" w14:textId="6C8FA763"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אין צריך שיעמוד השליח על כל כתיבתו, רק שיתחיל הסופר לכתוב בפניו. או אפי' לא ראה מהכתיבה כלל, אלא כשתיקן הקלף והקולמוס לכותבו אמר לכתוב בו הגט לשמו ולשמה </w:t>
      </w:r>
      <w:r w:rsidR="00A82951">
        <w:rPr>
          <w:rFonts w:cs="Arial"/>
          <w:rtl/>
        </w:rPr>
        <w:t>-</w:t>
      </w:r>
      <w:r>
        <w:rPr>
          <w:rFonts w:cs="Arial"/>
          <w:rtl/>
        </w:rPr>
        <w:t xml:space="preserve"> סגי. ואין צריך שיראה אח"כ ויכירנו אם הוא אותו שתיקן, כי מסתמא כיון שאמר לכתוב את הגט בשעה שתיקן הקלף כן עשה. ומיהו אם שמע שאומר לכתוב את הגט לשמה ולא ראה תיקון הקלף והקולמוס </w:t>
      </w:r>
      <w:r w:rsidR="00A82951">
        <w:rPr>
          <w:rFonts w:cs="Arial"/>
          <w:rtl/>
        </w:rPr>
        <w:t>-</w:t>
      </w:r>
      <w:r>
        <w:rPr>
          <w:rFonts w:cs="Arial"/>
          <w:rtl/>
        </w:rPr>
        <w:t xml:space="preserve"> לא מהניא, דשמא לא כתבוהו מיד וכתבוהו לאחר זמן לשם אחר ששמו כשמו. ורש"י פירש לא ראה שום דבר אלא שמע העברת הקולמוס על קלף, שקולו נשמע בשעת הכתיבה סגי... וכן אם היה בבית כשהתחיל הסופר הגט ויצא הסופר לחוץ והשלימו </w:t>
      </w:r>
      <w:r w:rsidR="00A82951">
        <w:rPr>
          <w:rFonts w:cs="Arial"/>
          <w:rtl/>
        </w:rPr>
        <w:t>-</w:t>
      </w:r>
      <w:r>
        <w:rPr>
          <w:rFonts w:cs="Arial"/>
          <w:rtl/>
        </w:rPr>
        <w:t xml:space="preserve"> כשר, ולא חיישינן שמא מצאו אדם אחר ואמר ליה לכותבו לשמו. </w:t>
      </w:r>
    </w:p>
    <w:p w14:paraId="116A3167" w14:textId="79F50132" w:rsidR="00C97BEF" w:rsidRDefault="00C97BEF" w:rsidP="006A458D">
      <w:pPr>
        <w:pStyle w:val="ab"/>
        <w:numPr>
          <w:ilvl w:val="0"/>
          <w:numId w:val="112"/>
        </w:numPr>
      </w:pPr>
      <w:r>
        <w:rPr>
          <w:rFonts w:cs="Arial"/>
          <w:rtl/>
        </w:rPr>
        <w:t xml:space="preserve">רמב"ם </w:t>
      </w:r>
      <w:r>
        <w:rPr>
          <w:rFonts w:cs="Arial"/>
          <w:sz w:val="16"/>
          <w:szCs w:val="16"/>
          <w:rtl/>
        </w:rPr>
        <w:t>(פ"ז הי"ב)</w:t>
      </w:r>
      <w:r w:rsidR="00A82951">
        <w:rPr>
          <w:rFonts w:cs="Arial"/>
          <w:rtl/>
        </w:rPr>
        <w:t>-</w:t>
      </w:r>
      <w:r>
        <w:rPr>
          <w:rFonts w:cs="Arial"/>
          <w:rtl/>
        </w:rPr>
        <w:t xml:space="preserve"> נכתב מקצת הגט בפניו ונחתם כולו בפניו, אם מקצתו הראשון הוא הרי זה אומר בפני נכתב ובפני נחתם אפילו לא נכתב בו אלא שיטה אחת בפניו. ואפילו שמע קול הקולמוס כותב וחתמו העדים בפניו הרי זה אומר בפני נכתב ובפני נחתם. וכן אם יצא הסופר לשוק וחזר והשלים את הגט אינו חושש שמא אחר מצאו ואמר לו ולשם איש אחר כתבו, אלא אומר בפני נכתב ובפני נחתם.</w:t>
      </w:r>
      <w:r>
        <w:rPr>
          <w:rtl/>
        </w:rPr>
        <w:t xml:space="preserve"> </w:t>
      </w:r>
      <w:r>
        <w:rPr>
          <w:color w:val="E36C0A" w:themeColor="accent6" w:themeShade="BF"/>
          <w:rtl/>
        </w:rPr>
        <w:t>(וכ"פ בשו"ע)</w:t>
      </w:r>
    </w:p>
    <w:p w14:paraId="31F605C6" w14:textId="77777777" w:rsidR="00C97BEF" w:rsidRDefault="00C97BEF" w:rsidP="00C97BEF">
      <w:pPr>
        <w:ind w:left="360"/>
        <w:rPr>
          <w:u w:val="dotted"/>
          <w:rtl/>
        </w:rPr>
      </w:pPr>
      <w:r>
        <w:rPr>
          <w:u w:val="dotted"/>
          <w:rtl/>
        </w:rPr>
        <w:t>ומה צריך לראות כדי שיוכל לומר 'בפני נחתם':</w:t>
      </w:r>
    </w:p>
    <w:p w14:paraId="4648501A" w14:textId="5CDD282B"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וכל זה דוקא בכתיבת הגט, אבל בחתימתו כל מקום שצריך לומר בפני נכתב ובפני נחתם צריך שיראה כל החתימות מתחילה ועד סוף.</w:t>
      </w:r>
      <w:r>
        <w:rPr>
          <w:color w:val="E36C0A" w:themeColor="accent6" w:themeShade="BF"/>
          <w:rtl/>
        </w:rPr>
        <w:t xml:space="preserve"> (וכ"פ בשו"ע)</w:t>
      </w:r>
    </w:p>
    <w:p w14:paraId="5F35C0BF" w14:textId="77777777" w:rsidR="00C97BEF" w:rsidRDefault="00C97BEF" w:rsidP="00C97BEF">
      <w:pPr>
        <w:ind w:left="360"/>
        <w:rPr>
          <w:u w:val="dotted"/>
        </w:rPr>
      </w:pPr>
      <w:r>
        <w:rPr>
          <w:u w:val="dotted"/>
          <w:rtl/>
        </w:rPr>
        <w:t xml:space="preserve">ומה הדין אם אדם רוצה להחמיר ולהצריך ראיית כתיבת כל תיבות הגט כדי שיוכל לומר כנ"ל: </w:t>
      </w:r>
    </w:p>
    <w:p w14:paraId="2C304E48" w14:textId="2CE3FF36"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ואם בא להחמיר ולכוין על כתיבת כולן </w:t>
      </w:r>
      <w:r w:rsidR="00A82951">
        <w:rPr>
          <w:rFonts w:cs="Arial"/>
          <w:rtl/>
        </w:rPr>
        <w:t>-</w:t>
      </w:r>
      <w:r>
        <w:rPr>
          <w:rFonts w:cs="Arial"/>
          <w:rtl/>
        </w:rPr>
        <w:t xml:space="preserve"> אין שומעין לו, שלא להוציא לעז על כתיבת גיטין הראשונים.</w:t>
      </w:r>
      <w:r>
        <w:rPr>
          <w:color w:val="E36C0A" w:themeColor="accent6" w:themeShade="BF"/>
          <w:rtl/>
        </w:rPr>
        <w:t xml:space="preserve"> (וכ"פ בשו"ע)</w:t>
      </w:r>
    </w:p>
    <w:p w14:paraId="5437F367"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18188B2" w14:textId="77777777" w:rsidR="00C97BEF" w:rsidRDefault="00C97BEF" w:rsidP="00C97BEF">
      <w:pPr>
        <w:rPr>
          <w:rtl/>
        </w:rPr>
      </w:pPr>
      <w:r>
        <w:rPr>
          <w:rFonts w:cs="Arial"/>
          <w:rtl/>
        </w:rPr>
        <w:lastRenderedPageBreak/>
        <w:t>נכתב מקצת הגט בפניו, ונחתם כולו בפניו, אם מקצתו הראשון הוא, הרי זה אומר: בפני נכתב ובפני נחתם, אפילו לא נכתב בו אלא שיטה אחת בפניו</w:t>
      </w:r>
      <w:r>
        <w:rPr>
          <w:rStyle w:val="a7"/>
          <w:rFonts w:cs="Arial"/>
          <w:rtl/>
        </w:rPr>
        <w:footnoteReference w:id="2314"/>
      </w:r>
      <w:r>
        <w:rPr>
          <w:rFonts w:cs="Arial"/>
          <w:rtl/>
        </w:rPr>
        <w:t>. ואפילו שמע קול קולמוס כותב, וחתמו העדים בפניו</w:t>
      </w:r>
      <w:r>
        <w:rPr>
          <w:rStyle w:val="a7"/>
          <w:rFonts w:cs="Arial"/>
          <w:rtl/>
        </w:rPr>
        <w:footnoteReference w:id="2315"/>
      </w:r>
      <w:r>
        <w:rPr>
          <w:rFonts w:cs="Arial"/>
          <w:rtl/>
        </w:rPr>
        <w:t xml:space="preserve">, הרי זה אומר: בפני נכתב ובפני נחתם. וכן אם יצא הסופר לשוק, וחזר והשלים הגט, אינו חושש שמא אחר מצאו ואמר לו ולשם אשה אחרת כתבו. ואם בא להחמיר ולעמוד על כתיבת כולו אין שומעין לו, שלא להוציא לעז על גיטין הראשונים. וכל זה בכתיבתו, אבל בחתימתו צריך לעמוד עליהם מתחילה ועד סוף. </w:t>
      </w:r>
    </w:p>
    <w:p w14:paraId="6165B2B5" w14:textId="77777777" w:rsidR="00C97BEF" w:rsidRDefault="00C97BEF" w:rsidP="00C97BEF">
      <w:pPr>
        <w:rPr>
          <w:rtl/>
        </w:rPr>
      </w:pPr>
    </w:p>
    <w:p w14:paraId="1585C3BE" w14:textId="77777777" w:rsidR="00C97BEF" w:rsidRDefault="00C97BEF" w:rsidP="00C97BEF">
      <w:pPr>
        <w:pStyle w:val="2"/>
        <w:rPr>
          <w:rtl/>
        </w:rPr>
      </w:pPr>
      <w:r>
        <w:rPr>
          <w:rtl/>
        </w:rPr>
        <w:t>סעיף טז: ראה רק את הכתיבה/חתימה, או שראה בנוסף גם חצי כתיבה/חתימה.</w:t>
      </w:r>
    </w:p>
    <w:p w14:paraId="47B303E0" w14:textId="0D2A9EE4" w:rsidR="00C97BEF" w:rsidRDefault="00C97BEF" w:rsidP="00C97BEF">
      <w:pPr>
        <w:rPr>
          <w:rtl/>
        </w:rPr>
      </w:pPr>
      <w:r>
        <w:rPr>
          <w:rFonts w:cs="Arial"/>
          <w:b/>
          <w:bCs/>
          <w:rtl/>
        </w:rPr>
        <w:t xml:space="preserve">גיטין </w:t>
      </w:r>
      <w:r>
        <w:rPr>
          <w:rFonts w:cs="Arial"/>
          <w:b/>
          <w:bCs/>
          <w:sz w:val="16"/>
          <w:szCs w:val="16"/>
          <w:rtl/>
        </w:rPr>
        <w:t>(רפ"ב)</w:t>
      </w:r>
      <w:r>
        <w:rPr>
          <w:rFonts w:cs="Arial"/>
          <w:b/>
          <w:bCs/>
          <w:rtl/>
        </w:rPr>
        <w:t xml:space="preserve"> טו ע"א:</w:t>
      </w:r>
      <w:r>
        <w:rPr>
          <w:rFonts w:cs="Arial"/>
          <w:rtl/>
        </w:rPr>
        <w:t xml:space="preserve"> </w:t>
      </w:r>
      <w:r>
        <w:rPr>
          <w:rFonts w:cs="Arial"/>
          <w:u w:val="double"/>
          <w:rtl/>
        </w:rPr>
        <w:t>מתני'</w:t>
      </w:r>
      <w:r>
        <w:rPr>
          <w:rFonts w:cs="Arial"/>
          <w:rtl/>
        </w:rPr>
        <w:t xml:space="preserve">: המביא גט ממדינת הים, ואמר: בפני נכתב אבל לא בפני נחתם, בפני נחתם אבל לא בפני נכתב, בפני נכתב כולו ובפני נחתם חציו, בפני נכתב חציו ובפני נחתם כולו </w:t>
      </w:r>
      <w:r w:rsidR="00A82951">
        <w:rPr>
          <w:rFonts w:cs="Arial"/>
          <w:rtl/>
        </w:rPr>
        <w:t>-</w:t>
      </w:r>
      <w:r>
        <w:rPr>
          <w:rFonts w:cs="Arial"/>
          <w:rtl/>
        </w:rPr>
        <w:t xml:space="preserve"> פסול...</w:t>
      </w:r>
      <w:r>
        <w:rPr>
          <w:rtl/>
        </w:rPr>
        <w:t xml:space="preserve">     </w:t>
      </w:r>
      <w:r>
        <w:rPr>
          <w:u w:val="double"/>
          <w:rtl/>
        </w:rPr>
        <w:t>גמ'</w:t>
      </w:r>
      <w:r>
        <w:rPr>
          <w:rtl/>
        </w:rPr>
        <w:t xml:space="preserve">: </w:t>
      </w:r>
      <w:r>
        <w:rPr>
          <w:rFonts w:cs="Arial"/>
          <w:rtl/>
        </w:rPr>
        <w:t xml:space="preserve">בפני נכתב כולו ובפני נחתם חציו </w:t>
      </w:r>
      <w:r w:rsidR="00A82951">
        <w:rPr>
          <w:rFonts w:cs="Arial"/>
          <w:rtl/>
        </w:rPr>
        <w:t>-</w:t>
      </w:r>
      <w:r>
        <w:rPr>
          <w:rFonts w:cs="Arial"/>
          <w:rtl/>
        </w:rPr>
        <w:t xml:space="preserve"> פסול. </w:t>
      </w:r>
      <w:r>
        <w:rPr>
          <w:rFonts w:cs="Arial"/>
          <w:u w:val="single"/>
          <w:rtl/>
        </w:rPr>
        <w:t>אמר רב חסדא</w:t>
      </w:r>
      <w:r>
        <w:rPr>
          <w:rFonts w:cs="Arial"/>
          <w:rtl/>
        </w:rPr>
        <w:t xml:space="preserve">: ואפילו שנים מעידים על חתימת יד שני </w:t>
      </w:r>
      <w:r w:rsidR="00A82951">
        <w:rPr>
          <w:rFonts w:cs="Arial"/>
          <w:rtl/>
        </w:rPr>
        <w:t>-</w:t>
      </w:r>
      <w:r>
        <w:rPr>
          <w:rFonts w:cs="Arial"/>
          <w:rtl/>
        </w:rPr>
        <w:t xml:space="preserve"> פסול</w:t>
      </w:r>
      <w:r>
        <w:rPr>
          <w:rStyle w:val="a7"/>
          <w:rFonts w:cs="Arial"/>
          <w:rtl/>
        </w:rPr>
        <w:footnoteReference w:id="2316"/>
      </w:r>
      <w:r>
        <w:rPr>
          <w:rFonts w:cs="Arial"/>
          <w:rtl/>
        </w:rPr>
        <w:t>; מאי טעמא? או כולו בקיום הגט</w:t>
      </w:r>
      <w:r>
        <w:rPr>
          <w:rStyle w:val="a7"/>
          <w:rFonts w:cs="Arial"/>
          <w:rtl/>
        </w:rPr>
        <w:footnoteReference w:id="2317"/>
      </w:r>
      <w:r>
        <w:rPr>
          <w:rFonts w:cs="Arial"/>
          <w:rtl/>
        </w:rPr>
        <w:t>, או כולו בתקנת חכמים</w:t>
      </w:r>
      <w:r>
        <w:rPr>
          <w:rStyle w:val="a7"/>
          <w:rFonts w:cs="Arial"/>
          <w:rtl/>
        </w:rPr>
        <w:footnoteReference w:id="2318"/>
      </w:r>
      <w:r>
        <w:rPr>
          <w:rFonts w:cs="Arial"/>
          <w:rtl/>
        </w:rPr>
        <w:t xml:space="preserve">. </w:t>
      </w:r>
      <w:r>
        <w:rPr>
          <w:rFonts w:cs="Arial"/>
          <w:u w:val="single"/>
          <w:rtl/>
        </w:rPr>
        <w:t>מתקיף לה רבא</w:t>
      </w:r>
      <w:r>
        <w:rPr>
          <w:rFonts w:cs="Arial"/>
          <w:rtl/>
        </w:rPr>
        <w:t>: מי איכא מידי, דאילו אמר חד כשר</w:t>
      </w:r>
      <w:r>
        <w:rPr>
          <w:rStyle w:val="a7"/>
          <w:rFonts w:cs="Arial"/>
          <w:rtl/>
        </w:rPr>
        <w:footnoteReference w:id="2319"/>
      </w:r>
      <w:r>
        <w:rPr>
          <w:rFonts w:cs="Arial"/>
          <w:rtl/>
        </w:rPr>
        <w:t xml:space="preserve">, השתא דאיכא תרי פסול? </w:t>
      </w:r>
      <w:r>
        <w:rPr>
          <w:rFonts w:cs="Arial"/>
          <w:u w:val="single"/>
          <w:rtl/>
        </w:rPr>
        <w:t>אלא אמר רבא</w:t>
      </w:r>
      <w:r>
        <w:rPr>
          <w:rFonts w:cs="Arial"/>
          <w:rtl/>
        </w:rPr>
        <w:t>: אפי'</w:t>
      </w:r>
      <w:r>
        <w:rPr>
          <w:sz w:val="14"/>
          <w:szCs w:val="14"/>
          <w:rtl/>
        </w:rPr>
        <w:t xml:space="preserve"> (טו:) </w:t>
      </w:r>
      <w:r>
        <w:rPr>
          <w:rFonts w:cs="Arial"/>
          <w:rtl/>
        </w:rPr>
        <w:t>הוא ואחר</w:t>
      </w:r>
      <w:r>
        <w:rPr>
          <w:rStyle w:val="a7"/>
          <w:rFonts w:cs="Arial"/>
          <w:rtl/>
        </w:rPr>
        <w:footnoteReference w:id="2320"/>
      </w:r>
      <w:r>
        <w:rPr>
          <w:rFonts w:cs="Arial"/>
          <w:rtl/>
        </w:rPr>
        <w:t xml:space="preserve"> מעידין על חתימת יד שני </w:t>
      </w:r>
      <w:r w:rsidR="00A82951">
        <w:rPr>
          <w:rFonts w:cs="Arial"/>
          <w:rtl/>
        </w:rPr>
        <w:t>-</w:t>
      </w:r>
      <w:r>
        <w:rPr>
          <w:rFonts w:cs="Arial"/>
          <w:rtl/>
        </w:rPr>
        <w:t xml:space="preserve"> פסול; מאי טעמא? אתו לאיחלופי בקיום שטרות דעלמא</w:t>
      </w:r>
      <w:r>
        <w:rPr>
          <w:rStyle w:val="a7"/>
          <w:rFonts w:cs="Arial"/>
          <w:rtl/>
        </w:rPr>
        <w:footnoteReference w:id="2321"/>
      </w:r>
      <w:r>
        <w:rPr>
          <w:rFonts w:cs="Arial"/>
          <w:rtl/>
        </w:rPr>
        <w:t>, וקא נפיק נכי ריבעא דממונא</w:t>
      </w:r>
      <w:r>
        <w:rPr>
          <w:rStyle w:val="a7"/>
          <w:rFonts w:cs="Arial"/>
          <w:rtl/>
        </w:rPr>
        <w:footnoteReference w:id="2322"/>
      </w:r>
      <w:r>
        <w:rPr>
          <w:rFonts w:cs="Arial"/>
          <w:rtl/>
        </w:rPr>
        <w:t xml:space="preserve"> אפומא דחד סהדא. </w:t>
      </w:r>
      <w:r>
        <w:rPr>
          <w:rFonts w:cs="Arial"/>
          <w:u w:val="single"/>
          <w:rtl/>
        </w:rPr>
        <w:t>מתקיף לה רב אשי</w:t>
      </w:r>
      <w:r>
        <w:rPr>
          <w:rFonts w:cs="Arial"/>
          <w:rtl/>
        </w:rPr>
        <w:t>: מי איכא מידי דאילו מסיק ליה איהו לכוליה דיבורא כשר</w:t>
      </w:r>
      <w:r>
        <w:rPr>
          <w:rStyle w:val="a7"/>
          <w:rFonts w:cs="Arial"/>
          <w:rtl/>
        </w:rPr>
        <w:footnoteReference w:id="2323"/>
      </w:r>
      <w:r>
        <w:rPr>
          <w:rFonts w:cs="Arial"/>
          <w:rtl/>
        </w:rPr>
        <w:t xml:space="preserve">, השתא דאיכא חד בהדיה פסול? </w:t>
      </w:r>
      <w:r>
        <w:rPr>
          <w:rFonts w:cs="Arial"/>
          <w:u w:val="single"/>
          <w:rtl/>
        </w:rPr>
        <w:t>אלא אמר רב אשי</w:t>
      </w:r>
      <w:r>
        <w:rPr>
          <w:rFonts w:cs="Arial"/>
          <w:rtl/>
        </w:rPr>
        <w:t>: אפילו אומר אני הוא עד שני</w:t>
      </w:r>
      <w:r>
        <w:rPr>
          <w:rStyle w:val="a7"/>
          <w:rFonts w:cs="Arial"/>
          <w:rtl/>
        </w:rPr>
        <w:footnoteReference w:id="2324"/>
      </w:r>
      <w:r>
        <w:rPr>
          <w:rFonts w:cs="Arial"/>
          <w:rtl/>
        </w:rPr>
        <w:t xml:space="preserve"> </w:t>
      </w:r>
      <w:r w:rsidR="00A82951">
        <w:rPr>
          <w:rFonts w:cs="Arial"/>
          <w:rtl/>
        </w:rPr>
        <w:t>-</w:t>
      </w:r>
      <w:r>
        <w:rPr>
          <w:rFonts w:cs="Arial"/>
          <w:rtl/>
        </w:rPr>
        <w:t xml:space="preserve"> פסול; מאי טעמא? או כולו בקיום הגט, או כולו בתקנת חכמים.</w:t>
      </w:r>
    </w:p>
    <w:p w14:paraId="39A87687" w14:textId="77777777" w:rsidR="00C97BEF" w:rsidRDefault="00C97BEF" w:rsidP="00C97BEF">
      <w:pPr>
        <w:rPr>
          <w:rtl/>
        </w:rPr>
      </w:pPr>
      <w:r>
        <w:rPr>
          <w:u w:val="single"/>
          <w:rtl/>
        </w:rPr>
        <w:t>שליח שראה רק את הכתיבה/חתימה, או שראה חצי כתיבה וחתימה שלמה, או חצי חתימה וכתיבה שלמה:</w:t>
      </w:r>
      <w:r>
        <w:rPr>
          <w:rtl/>
        </w:rPr>
        <w:t xml:space="preserve"> </w:t>
      </w:r>
    </w:p>
    <w:p w14:paraId="0ED7DDD5" w14:textId="178C64D1"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אמר בפני נכתב ולא אמר בפני נחתם, או אמר בפני נחתם ולא אמר בפני נכתב, או שאמר בפני נכתב חציו האחרון ונחתם כולו בפני, או שאמר בפני נכתב כולו ונחתם חציו </w:t>
      </w:r>
      <w:r w:rsidR="00A82951">
        <w:rPr>
          <w:rFonts w:cs="Arial"/>
          <w:rtl/>
        </w:rPr>
        <w:t>-</w:t>
      </w:r>
      <w:r>
        <w:rPr>
          <w:rFonts w:cs="Arial"/>
          <w:rtl/>
        </w:rPr>
        <w:t xml:space="preserve"> אינו כלום אפי' הוא בעצמו העד השני. אבל אם הוא ואחד עמו מעידים על חתימת העד השני שלא חתם בפניו </w:t>
      </w:r>
      <w:r w:rsidR="00A82951">
        <w:rPr>
          <w:rFonts w:cs="Arial"/>
          <w:rtl/>
        </w:rPr>
        <w:t>-</w:t>
      </w:r>
      <w:r>
        <w:rPr>
          <w:rFonts w:cs="Arial"/>
          <w:rtl/>
        </w:rPr>
        <w:t xml:space="preserve"> שפיר דמי, ואין צריך לומר אם שנים אחרים מעידים עליו. </w:t>
      </w:r>
      <w:r>
        <w:rPr>
          <w:color w:val="E36C0A" w:themeColor="accent6" w:themeShade="BF"/>
          <w:rtl/>
        </w:rPr>
        <w:t>(וכ"פ בשו"ע)</w:t>
      </w:r>
    </w:p>
    <w:p w14:paraId="0A65DE1E"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lastRenderedPageBreak/>
        <w:t>שו"ע:</w:t>
      </w:r>
    </w:p>
    <w:p w14:paraId="0106DF0C" w14:textId="77777777" w:rsidR="00C97BEF" w:rsidRDefault="00C97BEF" w:rsidP="00C97BEF">
      <w:pPr>
        <w:rPr>
          <w:rtl/>
        </w:rPr>
      </w:pPr>
      <w:r>
        <w:rPr>
          <w:rFonts w:cs="Arial"/>
          <w:rtl/>
        </w:rPr>
        <w:t>אמר: בפני נכתב, ולא אמר: בפני נחתם, או אמר: בפני נחתם, ולא אמר: בפני נכתב, או שאמר: בפני נכתב חציו האחרון ונחתם כולו, או שאמר: בפני נכתב כלו ונחתם עד אחד</w:t>
      </w:r>
      <w:r>
        <w:rPr>
          <w:rStyle w:val="a7"/>
          <w:rFonts w:cs="Arial"/>
          <w:rtl/>
        </w:rPr>
        <w:footnoteReference w:id="2325"/>
      </w:r>
      <w:r>
        <w:rPr>
          <w:rFonts w:cs="Arial"/>
          <w:rtl/>
        </w:rPr>
        <w:t xml:space="preserve"> אבל לא העד השני, אינו כלום. אפילו אם הוא אחד מעדי הגט, ואמר: העד האחד חתם בפני, וזאת היא חתימתי, יתקיים בחותמיו. ואם העיד הוא ואחר</w:t>
      </w:r>
      <w:r>
        <w:rPr>
          <w:rStyle w:val="a7"/>
          <w:rFonts w:cs="Arial"/>
          <w:rtl/>
        </w:rPr>
        <w:footnoteReference w:id="2326"/>
      </w:r>
      <w:r>
        <w:rPr>
          <w:rFonts w:cs="Arial"/>
          <w:rtl/>
        </w:rPr>
        <w:t xml:space="preserve"> עמו על חתימת העד השני שלא חתם בפניו, שפיר דמי. ואין צריך לומר אם העידו שנים אחרים על חתימת אותו העד שלא חתם בפניו. </w:t>
      </w:r>
    </w:p>
    <w:p w14:paraId="7FA78109" w14:textId="77777777" w:rsidR="00C97BEF" w:rsidRDefault="00C97BEF" w:rsidP="00C97BEF">
      <w:pPr>
        <w:rPr>
          <w:rFonts w:cs="Arial"/>
          <w:rtl/>
        </w:rPr>
      </w:pPr>
      <w:r>
        <w:rPr>
          <w:rFonts w:cs="Arial"/>
          <w:u w:val="single"/>
          <w:rtl/>
        </w:rPr>
        <w:t>האם עד החתום על הגט יכול להיות שליח הולכה ולומר בפנ"כ ובפנ"ח:</w:t>
      </w:r>
      <w:r>
        <w:rPr>
          <w:rFonts w:cs="Arial"/>
          <w:rtl/>
        </w:rPr>
        <w:t xml:space="preserve"> </w:t>
      </w:r>
      <w:r>
        <w:rPr>
          <w:rFonts w:cs="Arial"/>
          <w:sz w:val="16"/>
          <w:szCs w:val="16"/>
          <w:rtl/>
        </w:rPr>
        <w:t>(פת"ש סק"ל)</w:t>
      </w:r>
      <w:r>
        <w:rPr>
          <w:rFonts w:cs="Arial"/>
          <w:rtl/>
        </w:rPr>
        <w:t xml:space="preserve"> </w:t>
      </w:r>
    </w:p>
    <w:p w14:paraId="580E2085" w14:textId="416AFBA7" w:rsidR="00C97BEF" w:rsidRDefault="00C97BEF" w:rsidP="006A458D">
      <w:pPr>
        <w:pStyle w:val="ab"/>
        <w:numPr>
          <w:ilvl w:val="0"/>
          <w:numId w:val="112"/>
        </w:numPr>
        <w:rPr>
          <w:rtl/>
        </w:rPr>
      </w:pPr>
      <w:r>
        <w:rPr>
          <w:rFonts w:cs="Arial"/>
          <w:rtl/>
        </w:rPr>
        <w:t xml:space="preserve">רדב"ז </w:t>
      </w:r>
      <w:r>
        <w:rPr>
          <w:rFonts w:cs="Arial"/>
          <w:sz w:val="16"/>
          <w:szCs w:val="16"/>
          <w:rtl/>
        </w:rPr>
        <w:t>(ח"א סי' שנט, ובס"ס תו)</w:t>
      </w:r>
      <w:r w:rsidR="00A82951">
        <w:rPr>
          <w:rFonts w:cs="Arial"/>
          <w:rtl/>
        </w:rPr>
        <w:t>-</w:t>
      </w:r>
      <w:r>
        <w:rPr>
          <w:rFonts w:cs="Arial"/>
          <w:rtl/>
        </w:rPr>
        <w:t xml:space="preserve"> על ענין העד החתום על הגט אם ראוי להיות שליח הולכה בחו"ל ולומר בפ"נ ובפנ"ח דעתי הוא שמותר להיות שליח אפי' לכתחלה, כי דינו של רב אשי הוא כהלכתא בלא טעמא כו' וא"כ הבו דלא לוסיף עלה, דוקא היכא דאמר ואני הוא העד השני דשייך טעמא דרב אשי מיהת, אבל כשאמר בפ"נ ובפנ"ח הוי כולו שפיר כתקנתא דרבנן. וכ"ת מפני שאמר בפני נחתם ומחזי דאחר חתמו ולא הוא, מאי איכפת לן בהא, סוף סוף קושטא הוא שנחתם בפניו. וכן מעשים בכל יום במצרים שהסופר כותב גט ומוליכו לאשה ואומר בפני נכתב ובפנ"ח אע"פ שהוא בעצמו כתבו, ה"נ אין לחוש אע"פ שהוא חתמו שיאמר בפני נחתם... מכל הני לישני משמע שמפני דבורו שאומר 'אני הוא העד השני' נפסל הגט, לא מפני שהוא חתום על הגט. הלכך יאמר השליח בפ"נ ובפני נחתם וכשר לכתחלה, דכולו הוי כתקנתא דרבנן שפיר. </w:t>
      </w:r>
    </w:p>
    <w:p w14:paraId="31026310" w14:textId="322F07C1" w:rsidR="00C97BEF" w:rsidRDefault="00C97BEF" w:rsidP="006A458D">
      <w:pPr>
        <w:pStyle w:val="ab"/>
        <w:numPr>
          <w:ilvl w:val="0"/>
          <w:numId w:val="112"/>
        </w:numPr>
      </w:pPr>
      <w:r>
        <w:rPr>
          <w:rFonts w:cs="Arial"/>
          <w:rtl/>
        </w:rPr>
        <w:t xml:space="preserve">פנים מאירות </w:t>
      </w:r>
      <w:r>
        <w:rPr>
          <w:rFonts w:cs="Arial"/>
          <w:sz w:val="16"/>
          <w:szCs w:val="16"/>
          <w:rtl/>
        </w:rPr>
        <w:t>(ח"ב סי' סח)</w:t>
      </w:r>
      <w:r w:rsidR="00A82951">
        <w:rPr>
          <w:rFonts w:cs="Arial"/>
          <w:rtl/>
        </w:rPr>
        <w:t>-</w:t>
      </w:r>
      <w:r>
        <w:rPr>
          <w:rFonts w:cs="Arial"/>
          <w:rtl/>
        </w:rPr>
        <w:t xml:space="preserve"> בסדר הגט דמהר"י מרגליות כתב בשם א"ז דאין לעשות העד שליח</w:t>
      </w:r>
      <w:r>
        <w:rPr>
          <w:rStyle w:val="a7"/>
          <w:rFonts w:cs="Arial"/>
          <w:rtl/>
        </w:rPr>
        <w:footnoteReference w:id="2327"/>
      </w:r>
      <w:r>
        <w:rPr>
          <w:rFonts w:cs="Arial"/>
          <w:rtl/>
        </w:rPr>
        <w:t xml:space="preserve">. </w:t>
      </w:r>
    </w:p>
    <w:p w14:paraId="439F20FF" w14:textId="77777777" w:rsidR="00C97BEF" w:rsidRDefault="00C97BEF" w:rsidP="00C97BEF">
      <w:pPr>
        <w:rPr>
          <w:rtl/>
        </w:rPr>
      </w:pPr>
    </w:p>
    <w:p w14:paraId="4AC1BBB7" w14:textId="77777777" w:rsidR="00C97BEF" w:rsidRDefault="00C97BEF" w:rsidP="00C97BEF">
      <w:pPr>
        <w:pStyle w:val="2"/>
        <w:rPr>
          <w:rtl/>
        </w:rPr>
      </w:pPr>
      <w:r>
        <w:rPr>
          <w:rtl/>
        </w:rPr>
        <w:t>סעיף יז: שלשה עדים חתומים על הגט, והשליח ראה רק חתימת שנים מהם.</w:t>
      </w:r>
    </w:p>
    <w:p w14:paraId="054B3699" w14:textId="05C1A629" w:rsidR="00C97BEF" w:rsidRDefault="00C97BEF" w:rsidP="00C97BEF">
      <w:pPr>
        <w:rPr>
          <w:u w:val="single"/>
          <w:rtl/>
        </w:rPr>
      </w:pPr>
      <w:r>
        <w:rPr>
          <w:u w:val="single"/>
          <w:rtl/>
        </w:rPr>
        <w:t xml:space="preserve">שלשה עדים חתומים על הגט </w:t>
      </w:r>
      <w:r w:rsidR="00A82951">
        <w:rPr>
          <w:u w:val="single"/>
          <w:rtl/>
        </w:rPr>
        <w:t>-</w:t>
      </w:r>
      <w:r>
        <w:rPr>
          <w:u w:val="single"/>
          <w:rtl/>
        </w:rPr>
        <w:t xml:space="preserve"> והשליח ראה רק חתימת שנים מהם:</w:t>
      </w:r>
    </w:p>
    <w:p w14:paraId="317A3A43" w14:textId="051967D9" w:rsidR="00C97BEF" w:rsidRDefault="00C97BEF" w:rsidP="006A458D">
      <w:pPr>
        <w:pStyle w:val="ab"/>
        <w:numPr>
          <w:ilvl w:val="0"/>
          <w:numId w:val="112"/>
        </w:numPr>
        <w:rPr>
          <w:rtl/>
        </w:rPr>
      </w:pPr>
      <w:r>
        <w:rPr>
          <w:rFonts w:cs="Arial"/>
          <w:rtl/>
        </w:rPr>
        <w:t xml:space="preserve">רא"ש </w:t>
      </w:r>
      <w:r>
        <w:rPr>
          <w:rFonts w:cs="Arial"/>
          <w:sz w:val="16"/>
          <w:szCs w:val="16"/>
          <w:rtl/>
        </w:rPr>
        <w:t>(כלל מו סי' ג)</w:t>
      </w:r>
      <w:r>
        <w:rPr>
          <w:rFonts w:cs="Arial"/>
          <w:rtl/>
        </w:rPr>
        <w:t xml:space="preserve"> וטור</w:t>
      </w:r>
      <w:r w:rsidR="00A82951">
        <w:rPr>
          <w:rFonts w:cs="Arial"/>
          <w:rtl/>
        </w:rPr>
        <w:t>-</w:t>
      </w:r>
      <w:r>
        <w:rPr>
          <w:rFonts w:cs="Arial"/>
          <w:rtl/>
        </w:rPr>
        <w:t xml:space="preserve"> אם היו ג' חתומים בו וחתמו שנים בפניו ואחד שלא בפניו... </w:t>
      </w:r>
      <w:r w:rsidR="00A82951">
        <w:rPr>
          <w:rFonts w:cs="Arial"/>
          <w:rtl/>
        </w:rPr>
        <w:t>-</w:t>
      </w:r>
      <w:r>
        <w:rPr>
          <w:rFonts w:cs="Arial"/>
          <w:rtl/>
        </w:rPr>
        <w:t xml:space="preserve"> הוא כשר</w:t>
      </w:r>
      <w:r>
        <w:rPr>
          <w:rFonts w:cs="Arial"/>
          <w:sz w:val="16"/>
          <w:szCs w:val="16"/>
          <w:rtl/>
        </w:rPr>
        <w:t xml:space="preserve"> (ל' הטור)</w:t>
      </w:r>
      <w:r>
        <w:rPr>
          <w:rFonts w:cs="Arial"/>
          <w:rtl/>
        </w:rPr>
        <w:t xml:space="preserve">. </w:t>
      </w:r>
      <w:r>
        <w:rPr>
          <w:color w:val="E36C0A" w:themeColor="accent6" w:themeShade="BF"/>
          <w:rtl/>
        </w:rPr>
        <w:t>(וכ"פ בשו"ע)</w:t>
      </w:r>
      <w:r>
        <w:rPr>
          <w:rFonts w:cs="Arial"/>
          <w:rtl/>
        </w:rPr>
        <w:t xml:space="preserve"> </w:t>
      </w:r>
    </w:p>
    <w:p w14:paraId="3919FC66"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4F4A9A6" w14:textId="77777777" w:rsidR="00C97BEF" w:rsidRDefault="00C97BEF" w:rsidP="00C97BEF">
      <w:pPr>
        <w:rPr>
          <w:rtl/>
        </w:rPr>
      </w:pPr>
      <w:r>
        <w:rPr>
          <w:rFonts w:cs="Arial"/>
          <w:rtl/>
        </w:rPr>
        <w:t xml:space="preserve">היו שלשה עדים חתומים בו, והשנים חתמו בפניו, אף על פי שהאחד חתם שלא בפניו אין בכך כלום. </w:t>
      </w:r>
    </w:p>
    <w:p w14:paraId="291D21EB" w14:textId="77777777" w:rsidR="00C97BEF" w:rsidRDefault="00C97BEF" w:rsidP="00C97BEF">
      <w:pPr>
        <w:rPr>
          <w:rtl/>
        </w:rPr>
      </w:pPr>
    </w:p>
    <w:p w14:paraId="5DAAFB54" w14:textId="77777777" w:rsidR="00C97BEF" w:rsidRDefault="00C97BEF" w:rsidP="00C97BEF">
      <w:pPr>
        <w:pStyle w:val="2"/>
        <w:rPr>
          <w:rtl/>
        </w:rPr>
      </w:pPr>
      <w:r>
        <w:rPr>
          <w:rtl/>
        </w:rPr>
        <w:t>סעיף יח: בעל שעשה שנים שלוחים להוליך גט לאשתו.</w:t>
      </w:r>
    </w:p>
    <w:p w14:paraId="03789FE2" w14:textId="06914B45" w:rsidR="00C97BEF" w:rsidRDefault="00C97BEF" w:rsidP="00C97BEF">
      <w:pPr>
        <w:rPr>
          <w:rFonts w:cs="Arial"/>
          <w:rtl/>
        </w:rPr>
      </w:pPr>
      <w:r>
        <w:rPr>
          <w:rFonts w:cs="Arial"/>
          <w:b/>
          <w:bCs/>
          <w:rtl/>
        </w:rPr>
        <w:t xml:space="preserve">גיטין </w:t>
      </w:r>
      <w:r>
        <w:rPr>
          <w:rFonts w:cs="Arial"/>
          <w:b/>
          <w:bCs/>
          <w:sz w:val="16"/>
          <w:szCs w:val="16"/>
          <w:rtl/>
        </w:rPr>
        <w:t>(רפ"ב)</w:t>
      </w:r>
      <w:r>
        <w:rPr>
          <w:rFonts w:cs="Arial"/>
          <w:b/>
          <w:bCs/>
          <w:rtl/>
        </w:rPr>
        <w:t xml:space="preserve"> טו ע"א:</w:t>
      </w:r>
      <w:r>
        <w:rPr>
          <w:rFonts w:cs="Arial"/>
          <w:rtl/>
        </w:rPr>
        <w:t xml:space="preserve"> </w:t>
      </w:r>
      <w:r>
        <w:rPr>
          <w:rFonts w:cs="Arial"/>
          <w:u w:val="double"/>
          <w:rtl/>
        </w:rPr>
        <w:t>מתני'</w:t>
      </w:r>
      <w:r>
        <w:rPr>
          <w:rFonts w:cs="Arial"/>
          <w:rtl/>
        </w:rPr>
        <w:t>:...</w:t>
      </w:r>
      <w:r>
        <w:rPr>
          <w:rtl/>
        </w:rPr>
        <w:t xml:space="preserve"> </w:t>
      </w:r>
      <w:r>
        <w:rPr>
          <w:rFonts w:cs="Arial"/>
          <w:rtl/>
        </w:rPr>
        <w:t xml:space="preserve">אחד אומר בפני נכתב, ואחד אומר בפני נחתם </w:t>
      </w:r>
      <w:r w:rsidR="00A82951">
        <w:rPr>
          <w:rFonts w:cs="Arial"/>
          <w:rtl/>
        </w:rPr>
        <w:t>-</w:t>
      </w:r>
      <w:r>
        <w:rPr>
          <w:rFonts w:cs="Arial"/>
          <w:rtl/>
        </w:rPr>
        <w:t xml:space="preserve"> פסול. שנים אומרים בפנינו נכתב, ואחד אומר בפני נחתם </w:t>
      </w:r>
      <w:r w:rsidR="00A82951">
        <w:rPr>
          <w:rFonts w:cs="Arial"/>
          <w:rtl/>
        </w:rPr>
        <w:t>-</w:t>
      </w:r>
      <w:r>
        <w:rPr>
          <w:rFonts w:cs="Arial"/>
          <w:rtl/>
        </w:rPr>
        <w:t xml:space="preserve"> פסול, ור' יהודה מכשיר. אחד אומר בפני נכתב, ושנים אומרים בפנינו נחתם </w:t>
      </w:r>
      <w:r w:rsidR="00A82951">
        <w:rPr>
          <w:rFonts w:cs="Arial"/>
          <w:rtl/>
        </w:rPr>
        <w:t>-</w:t>
      </w:r>
      <w:r>
        <w:rPr>
          <w:rFonts w:cs="Arial"/>
          <w:rtl/>
        </w:rPr>
        <w:t xml:space="preserve"> כשר.</w:t>
      </w:r>
      <w:r>
        <w:rPr>
          <w:rtl/>
        </w:rPr>
        <w:t xml:space="preserve">     </w:t>
      </w:r>
      <w:r>
        <w:rPr>
          <w:u w:val="double"/>
          <w:rtl/>
        </w:rPr>
        <w:t>גמ'</w:t>
      </w:r>
      <w:r>
        <w:rPr>
          <w:sz w:val="14"/>
          <w:szCs w:val="14"/>
          <w:u w:val="double"/>
          <w:rtl/>
        </w:rPr>
        <w:t>(טז.)</w:t>
      </w:r>
      <w:r>
        <w:rPr>
          <w:u w:val="double"/>
          <w:rtl/>
        </w:rPr>
        <w:t>:</w:t>
      </w:r>
      <w:r>
        <w:rPr>
          <w:rtl/>
        </w:rPr>
        <w:t xml:space="preserve"> </w:t>
      </w:r>
      <w:r>
        <w:rPr>
          <w:rFonts w:cs="Arial"/>
          <w:rtl/>
        </w:rPr>
        <w:t xml:space="preserve">אחד אומר בפני נכתב, ואחד אומר כו'. </w:t>
      </w:r>
      <w:r>
        <w:rPr>
          <w:rFonts w:cs="Arial"/>
          <w:u w:val="single"/>
          <w:rtl/>
        </w:rPr>
        <w:t>אמר רב שמואל בר יהודה אמר רבי יוחנן</w:t>
      </w:r>
      <w:r>
        <w:rPr>
          <w:rFonts w:cs="Arial"/>
          <w:rtl/>
        </w:rPr>
        <w:t>: לא שנו אלא שאין הגט יוצא מתחת ידי שניהם</w:t>
      </w:r>
      <w:r>
        <w:rPr>
          <w:rStyle w:val="a7"/>
          <w:rFonts w:cs="Arial"/>
          <w:rtl/>
        </w:rPr>
        <w:footnoteReference w:id="2328"/>
      </w:r>
      <w:r>
        <w:rPr>
          <w:rFonts w:cs="Arial"/>
          <w:rtl/>
        </w:rPr>
        <w:t>, אבל גט יוצא</w:t>
      </w:r>
      <w:r>
        <w:rPr>
          <w:rStyle w:val="a7"/>
          <w:rFonts w:cs="Arial"/>
          <w:rtl/>
        </w:rPr>
        <w:footnoteReference w:id="2329"/>
      </w:r>
      <w:r>
        <w:rPr>
          <w:rFonts w:cs="Arial"/>
          <w:rtl/>
        </w:rPr>
        <w:t xml:space="preserve"> מתחת ידי שניהם</w:t>
      </w:r>
      <w:r>
        <w:rPr>
          <w:rStyle w:val="a7"/>
          <w:rFonts w:cs="Arial"/>
          <w:rtl/>
        </w:rPr>
        <w:footnoteReference w:id="2330"/>
      </w:r>
      <w:r>
        <w:rPr>
          <w:rFonts w:cs="Arial"/>
          <w:rtl/>
        </w:rPr>
        <w:t xml:space="preserve"> </w:t>
      </w:r>
      <w:r w:rsidR="00A82951">
        <w:rPr>
          <w:rFonts w:cs="Arial"/>
          <w:rtl/>
        </w:rPr>
        <w:t>-</w:t>
      </w:r>
      <w:r>
        <w:rPr>
          <w:rFonts w:cs="Arial"/>
          <w:rtl/>
        </w:rPr>
        <w:t xml:space="preserve"> כשר. אלמא קסבר: שנים שהביאו גט ממדינת הים, אין </w:t>
      </w:r>
      <w:r>
        <w:rPr>
          <w:rFonts w:cs="Arial"/>
          <w:rtl/>
        </w:rPr>
        <w:lastRenderedPageBreak/>
        <w:t xml:space="preserve">צריכין שיאמרו בפנינו נכתב ובפנינו נחתם. </w:t>
      </w:r>
      <w:r>
        <w:rPr>
          <w:rFonts w:cs="Arial"/>
          <w:sz w:val="16"/>
          <w:szCs w:val="16"/>
          <w:rtl/>
        </w:rPr>
        <w:t>(ואע"ג דאיכא לישנא אחרינא בגמרא כלשון זה פסקו הרי"ף (סוף ז.) והרא"ש (סי' ב), וגם הרמב"ם בפ"ז (הי"ד), ב"י)</w:t>
      </w:r>
      <w:r>
        <w:rPr>
          <w:rFonts w:cs="Arial"/>
          <w:rtl/>
        </w:rPr>
        <w:t xml:space="preserve"> </w:t>
      </w:r>
    </w:p>
    <w:p w14:paraId="459A56D3" w14:textId="77777777" w:rsidR="00C97BEF" w:rsidRDefault="00C97BEF" w:rsidP="00C97BEF">
      <w:pPr>
        <w:rPr>
          <w:u w:val="single"/>
          <w:rtl/>
        </w:rPr>
      </w:pPr>
      <w:r>
        <w:rPr>
          <w:rFonts w:cs="Arial"/>
          <w:u w:val="single"/>
          <w:rtl/>
        </w:rPr>
        <w:t>בעל שעשה שנים שלוחים להוליך גט לאשתו</w:t>
      </w:r>
      <w:r>
        <w:rPr>
          <w:u w:val="single"/>
          <w:rtl/>
        </w:rPr>
        <w:t>:</w:t>
      </w:r>
    </w:p>
    <w:p w14:paraId="57AB9478" w14:textId="77777777" w:rsidR="00DF32D4" w:rsidRDefault="00DF32D4" w:rsidP="00DF32D4">
      <w:pPr>
        <w:pStyle w:val="ab"/>
        <w:numPr>
          <w:ilvl w:val="0"/>
          <w:numId w:val="112"/>
        </w:numPr>
      </w:pPr>
      <w:r>
        <w:rPr>
          <w:rFonts w:cs="Arial"/>
          <w:rtl/>
        </w:rPr>
        <w:t xml:space="preserve">רמב"ם </w:t>
      </w:r>
      <w:r>
        <w:rPr>
          <w:rFonts w:cs="Arial"/>
          <w:sz w:val="16"/>
          <w:szCs w:val="16"/>
          <w:rtl/>
        </w:rPr>
        <w:t>(פ"ז הי"ד)</w:t>
      </w:r>
      <w:r w:rsidRPr="00577257">
        <w:rPr>
          <w:rFonts w:cs="Arial"/>
          <w:rtl/>
        </w:rPr>
        <w:t xml:space="preserve"> </w:t>
      </w:r>
      <w:r>
        <w:rPr>
          <w:rFonts w:cs="Arial" w:hint="cs"/>
          <w:rtl/>
        </w:rPr>
        <w:t>ו</w:t>
      </w:r>
      <w:r>
        <w:rPr>
          <w:rFonts w:cs="Arial"/>
          <w:rtl/>
        </w:rPr>
        <w:t>רא"ש</w:t>
      </w:r>
      <w:r>
        <w:rPr>
          <w:rFonts w:cs="Arial"/>
          <w:sz w:val="16"/>
          <w:szCs w:val="16"/>
          <w:rtl/>
        </w:rPr>
        <w:t xml:space="preserve"> (סי' ב)</w:t>
      </w:r>
      <w:r>
        <w:rPr>
          <w:rFonts w:cs="Arial"/>
          <w:rtl/>
        </w:rPr>
        <w:t>- שנים שהביאו גט בחוצה לארץ אע"פ שלא נכתב ונחתם בפניהם הואיל ונתנו להם הבעל ליתנו לאשתו - הרי אלו נותנין לה ותהיה מגורשת, שהרי אין הבעל יכול לערער בגט זה אע"פ שאינו מקוים שהרי שלוחיו הם עדיו, שאילו אמרו השנים בפנינו נתגרשה הרי זו מגורשת אע"פ שאין שם גט</w:t>
      </w:r>
      <w:r>
        <w:rPr>
          <w:rFonts w:cs="Arial" w:hint="cs"/>
          <w:sz w:val="16"/>
          <w:szCs w:val="16"/>
          <w:rtl/>
        </w:rPr>
        <w:t xml:space="preserve"> (ל' הרמב"ם)</w:t>
      </w:r>
      <w:r>
        <w:rPr>
          <w:rFonts w:cs="Arial"/>
          <w:rtl/>
        </w:rPr>
        <w:t>.</w:t>
      </w:r>
      <w:r>
        <w:rPr>
          <w:color w:val="E36C0A" w:themeColor="accent6" w:themeShade="BF"/>
          <w:rtl/>
        </w:rPr>
        <w:t xml:space="preserve"> (וכ"פ בשו"ע)</w:t>
      </w:r>
    </w:p>
    <w:p w14:paraId="76E3AE61" w14:textId="007EFE06" w:rsidR="006410AE" w:rsidRPr="006410AE" w:rsidRDefault="006410AE" w:rsidP="006A458D">
      <w:pPr>
        <w:pStyle w:val="ab"/>
        <w:numPr>
          <w:ilvl w:val="0"/>
          <w:numId w:val="112"/>
        </w:numPr>
      </w:pPr>
      <w:r>
        <w:rPr>
          <w:rFonts w:cs="Arial"/>
          <w:rtl/>
        </w:rPr>
        <w:t>טור</w:t>
      </w:r>
      <w:r w:rsidR="00A91D80" w:rsidRPr="00A91D80">
        <w:rPr>
          <w:rFonts w:cs="Arial"/>
          <w:rtl/>
        </w:rPr>
        <w:t xml:space="preserve"> </w:t>
      </w:r>
      <w:r w:rsidR="00A91D80">
        <w:rPr>
          <w:rFonts w:cs="Arial"/>
          <w:rtl/>
        </w:rPr>
        <w:t xml:space="preserve">ור"ן </w:t>
      </w:r>
      <w:r w:rsidR="00A91D80">
        <w:rPr>
          <w:rFonts w:cs="Arial"/>
          <w:sz w:val="16"/>
          <w:szCs w:val="16"/>
          <w:rtl/>
        </w:rPr>
        <w:t>(ז. ד"ה אבל)</w:t>
      </w:r>
      <w:r>
        <w:rPr>
          <w:rFonts w:cs="Arial" w:hint="cs"/>
          <w:rtl/>
        </w:rPr>
        <w:t>-</w:t>
      </w:r>
      <w:r w:rsidRPr="006410AE">
        <w:rPr>
          <w:rFonts w:cs="Arial"/>
          <w:rtl/>
        </w:rPr>
        <w:t xml:space="preserve"> </w:t>
      </w:r>
      <w:r>
        <w:rPr>
          <w:rFonts w:cs="Arial"/>
          <w:rtl/>
        </w:rPr>
        <w:t>ואם שנים שלוחים להביאו - א"צ לומר בפני נכתב ובפני נחתם, אלא ינתן לה אע"פ שאינו מקויים בחותמיו ותינשא בו.</w:t>
      </w:r>
      <w:r w:rsidR="0001618E" w:rsidRPr="0001618E">
        <w:rPr>
          <w:rFonts w:cs="Arial"/>
          <w:rtl/>
        </w:rPr>
        <w:t xml:space="preserve"> </w:t>
      </w:r>
      <w:r w:rsidR="0001618E">
        <w:rPr>
          <w:rFonts w:cs="Arial"/>
          <w:rtl/>
        </w:rPr>
        <w:t>ומ"מ כשיבא הבעל יכול לערער ולומר מזוייף הוא, וצריך שיתקיים בחותמיו</w:t>
      </w:r>
      <w:r w:rsidR="0001618E">
        <w:rPr>
          <w:rStyle w:val="a7"/>
          <w:rFonts w:cs="Arial"/>
          <w:rtl/>
        </w:rPr>
        <w:footnoteReference w:id="2331"/>
      </w:r>
      <w:r>
        <w:rPr>
          <w:rFonts w:cs="Arial"/>
          <w:rtl/>
        </w:rPr>
        <w:t>. ואין צריך שיהיו שניהם אדוקין בגט</w:t>
      </w:r>
      <w:r w:rsidR="00A91D80">
        <w:rPr>
          <w:rStyle w:val="a7"/>
          <w:rFonts w:cs="Arial"/>
          <w:rtl/>
        </w:rPr>
        <w:footnoteReference w:id="2332"/>
      </w:r>
      <w:r>
        <w:rPr>
          <w:rFonts w:cs="Arial"/>
          <w:rtl/>
        </w:rPr>
        <w:t>, אלא אפי' הוא ביד האחד, ואמר שהבעל עשה שניהם שלוחים להוליך גט זה לאשתו, והאחד נתנו במעמד חבירו</w:t>
      </w:r>
      <w:r w:rsidR="00A91D80">
        <w:rPr>
          <w:rFonts w:cs="Arial" w:hint="cs"/>
          <w:sz w:val="16"/>
          <w:szCs w:val="16"/>
          <w:rtl/>
        </w:rPr>
        <w:t xml:space="preserve"> (ל' הטור)</w:t>
      </w:r>
      <w:r>
        <w:rPr>
          <w:rFonts w:cs="Arial"/>
          <w:rtl/>
        </w:rPr>
        <w:t>.</w:t>
      </w:r>
      <w:r w:rsidR="00A91D80" w:rsidRPr="00A91D80">
        <w:rPr>
          <w:rFonts w:cs="Arial"/>
          <w:color w:val="00B0F0"/>
          <w:rtl/>
        </w:rPr>
        <w:t xml:space="preserve"> </w:t>
      </w:r>
      <w:r w:rsidR="00A91D80">
        <w:rPr>
          <w:rFonts w:cs="Arial"/>
          <w:color w:val="00B0F0"/>
          <w:rtl/>
        </w:rPr>
        <w:t>(וכ"כ הרמ"א)</w:t>
      </w:r>
    </w:p>
    <w:p w14:paraId="4D31E893" w14:textId="77777777" w:rsidR="00C97BEF" w:rsidRDefault="00C97BEF" w:rsidP="00C97BEF">
      <w:pPr>
        <w:ind w:left="360"/>
        <w:rPr>
          <w:u w:val="dotted"/>
        </w:rPr>
      </w:pPr>
      <w:r>
        <w:rPr>
          <w:u w:val="dotted"/>
          <w:rtl/>
        </w:rPr>
        <w:t>ומה הדין אם השליחים קרובים לאשה/לבעל/זה לזה:</w:t>
      </w:r>
    </w:p>
    <w:p w14:paraId="0EB42499" w14:textId="3663A565" w:rsidR="00C97BEF" w:rsidRDefault="00C97BEF" w:rsidP="006A458D">
      <w:pPr>
        <w:pStyle w:val="ab"/>
        <w:numPr>
          <w:ilvl w:val="0"/>
          <w:numId w:val="112"/>
        </w:numPr>
      </w:pPr>
      <w:r>
        <w:rPr>
          <w:rFonts w:cs="Arial"/>
          <w:rtl/>
        </w:rPr>
        <w:t xml:space="preserve">רי"ו </w:t>
      </w:r>
      <w:r>
        <w:rPr>
          <w:rFonts w:cs="Arial"/>
          <w:sz w:val="16"/>
          <w:szCs w:val="16"/>
          <w:rtl/>
        </w:rPr>
        <w:t>(ח"ג נכ"ד רז ע"ג)</w:t>
      </w:r>
      <w:r w:rsidR="00A82951">
        <w:rPr>
          <w:rFonts w:cs="Arial"/>
          <w:rtl/>
        </w:rPr>
        <w:t>-</w:t>
      </w:r>
      <w:r>
        <w:rPr>
          <w:rFonts w:cs="Arial"/>
          <w:rtl/>
        </w:rPr>
        <w:t xml:space="preserve"> הא דשנים שהביאו גט ממדינת הים אינם צריכין לומר בפני נכתב ובפני נחתם דוקא כשהם רחוקים</w:t>
      </w:r>
      <w:r w:rsidR="00917B30">
        <w:rPr>
          <w:rFonts w:cs="Arial" w:hint="cs"/>
          <w:rtl/>
        </w:rPr>
        <w:t>,</w:t>
      </w:r>
      <w:r>
        <w:rPr>
          <w:rFonts w:cs="Arial"/>
          <w:rtl/>
        </w:rPr>
        <w:t xml:space="preserve"> אבל אם הם קרובים זה לזה או לבעל או לאשה </w:t>
      </w:r>
      <w:r w:rsidR="00917B30">
        <w:rPr>
          <w:rFonts w:cs="Arial" w:hint="cs"/>
          <w:rtl/>
        </w:rPr>
        <w:t xml:space="preserve">- </w:t>
      </w:r>
      <w:r>
        <w:rPr>
          <w:rFonts w:cs="Arial"/>
          <w:rtl/>
        </w:rPr>
        <w:t>צריכין לומר בפני נכתב ובפני נחתם, דמאי טעמא אמרינן שאינם צריכין לומר בפני נכתב ובפני נחתם משום שאם יאמרו בפנינו גירשה מי לא מהימני, וכיון שהם קרובים ליכא האי טעמא.</w:t>
      </w:r>
      <w:r>
        <w:rPr>
          <w:color w:val="E36C0A" w:themeColor="accent6" w:themeShade="BF"/>
          <w:rtl/>
        </w:rPr>
        <w:t xml:space="preserve"> (וכ"פ בשו"ע)</w:t>
      </w:r>
    </w:p>
    <w:p w14:paraId="2FECC937" w14:textId="77777777" w:rsidR="00C97BEF" w:rsidRDefault="00C97BEF" w:rsidP="00C97BEF">
      <w:pPr>
        <w:rPr>
          <w:u w:val="single"/>
          <w:rtl/>
        </w:rPr>
      </w:pPr>
      <w:r>
        <w:rPr>
          <w:u w:val="single"/>
          <w:rtl/>
        </w:rPr>
        <w:t xml:space="preserve">בעל שעשה רק שליח אחד, אבל השני </w:t>
      </w:r>
      <w:r>
        <w:rPr>
          <w:sz w:val="16"/>
          <w:szCs w:val="16"/>
          <w:u w:val="single"/>
          <w:rtl/>
        </w:rPr>
        <w:t>(שבא עם השליח)</w:t>
      </w:r>
      <w:r>
        <w:rPr>
          <w:u w:val="single"/>
          <w:rtl/>
        </w:rPr>
        <w:t xml:space="preserve"> מעיד על שליחותו של הראשון:</w:t>
      </w:r>
    </w:p>
    <w:p w14:paraId="29F00F56" w14:textId="4585B248" w:rsidR="00C97BEF" w:rsidRDefault="00C97BEF" w:rsidP="006A458D">
      <w:pPr>
        <w:pStyle w:val="ab"/>
        <w:numPr>
          <w:ilvl w:val="0"/>
          <w:numId w:val="112"/>
        </w:numPr>
      </w:pPr>
      <w:r>
        <w:rPr>
          <w:rFonts w:cs="Arial"/>
          <w:rtl/>
        </w:rPr>
        <w:t>תוס'</w:t>
      </w:r>
      <w:r>
        <w:rPr>
          <w:rStyle w:val="a7"/>
          <w:rFonts w:cs="Arial"/>
          <w:rtl/>
        </w:rPr>
        <w:footnoteReference w:id="2333"/>
      </w:r>
      <w:r>
        <w:rPr>
          <w:rFonts w:cs="Arial"/>
          <w:rtl/>
        </w:rPr>
        <w:t xml:space="preserve"> </w:t>
      </w:r>
      <w:r>
        <w:rPr>
          <w:rFonts w:cs="Arial"/>
          <w:sz w:val="16"/>
          <w:szCs w:val="16"/>
          <w:rtl/>
        </w:rPr>
        <w:t>(שם)</w:t>
      </w:r>
      <w:r>
        <w:rPr>
          <w:rtl/>
        </w:rPr>
        <w:t xml:space="preserve"> </w:t>
      </w:r>
      <w:r>
        <w:rPr>
          <w:rFonts w:cs="Arial"/>
          <w:rtl/>
        </w:rPr>
        <w:t xml:space="preserve">רמ"ה </w:t>
      </w:r>
      <w:r>
        <w:rPr>
          <w:rFonts w:cs="Arial"/>
          <w:sz w:val="16"/>
          <w:szCs w:val="16"/>
          <w:rtl/>
        </w:rPr>
        <w:t xml:space="preserve">(כ"כ הטור בשמו) </w:t>
      </w:r>
      <w:r>
        <w:rPr>
          <w:rFonts w:cs="Arial"/>
          <w:rtl/>
        </w:rPr>
        <w:t xml:space="preserve">רשב"א </w:t>
      </w:r>
      <w:r>
        <w:rPr>
          <w:rFonts w:cs="Arial"/>
          <w:sz w:val="16"/>
          <w:szCs w:val="16"/>
          <w:rtl/>
        </w:rPr>
        <w:t>(שם)</w:t>
      </w:r>
      <w:r>
        <w:rPr>
          <w:rFonts w:cs="Arial"/>
          <w:rtl/>
        </w:rPr>
        <w:t xml:space="preserve"> רא"ש</w:t>
      </w:r>
      <w:r>
        <w:rPr>
          <w:rFonts w:cs="Arial"/>
          <w:sz w:val="16"/>
          <w:szCs w:val="16"/>
          <w:rtl/>
        </w:rPr>
        <w:t xml:space="preserve"> (שם)</w:t>
      </w:r>
      <w:r>
        <w:rPr>
          <w:rFonts w:cs="Arial"/>
          <w:rtl/>
        </w:rPr>
        <w:t xml:space="preserve"> טור ור"ן </w:t>
      </w:r>
      <w:r>
        <w:rPr>
          <w:rFonts w:cs="Arial"/>
          <w:sz w:val="16"/>
          <w:szCs w:val="16"/>
          <w:rtl/>
        </w:rPr>
        <w:t>(שם)</w:t>
      </w:r>
      <w:r w:rsidR="00A82951">
        <w:rPr>
          <w:rFonts w:cs="Arial"/>
          <w:rtl/>
        </w:rPr>
        <w:t>-</w:t>
      </w:r>
      <w:r>
        <w:rPr>
          <w:rFonts w:cs="Arial"/>
          <w:rtl/>
        </w:rPr>
        <w:t xml:space="preserve"> ואפי' לא עשה שליח אלא א', והשני מעיד על שליחותו </w:t>
      </w:r>
      <w:r w:rsidR="00A82951">
        <w:rPr>
          <w:rFonts w:cs="Arial"/>
          <w:rtl/>
        </w:rPr>
        <w:t>-</w:t>
      </w:r>
      <w:r>
        <w:rPr>
          <w:rFonts w:cs="Arial"/>
          <w:rtl/>
        </w:rPr>
        <w:t xml:space="preserve"> אין צריך לומר</w:t>
      </w:r>
      <w:r>
        <w:rPr>
          <w:rStyle w:val="a7"/>
          <w:rFonts w:cs="Arial"/>
          <w:rtl/>
        </w:rPr>
        <w:footnoteReference w:id="2334"/>
      </w:r>
      <w:r>
        <w:rPr>
          <w:rFonts w:cs="Arial"/>
          <w:sz w:val="18"/>
          <w:szCs w:val="18"/>
          <w:rtl/>
        </w:rPr>
        <w:t xml:space="preserve"> </w:t>
      </w:r>
      <w:r>
        <w:rPr>
          <w:rFonts w:cs="Arial"/>
          <w:sz w:val="16"/>
          <w:szCs w:val="16"/>
          <w:rtl/>
        </w:rPr>
        <w:t>(ל' הטור)</w:t>
      </w:r>
      <w:r>
        <w:rPr>
          <w:rFonts w:cs="Arial"/>
          <w:rtl/>
        </w:rPr>
        <w:t xml:space="preserve">. </w:t>
      </w:r>
      <w:r w:rsidR="00684A33">
        <w:rPr>
          <w:color w:val="E36C0A" w:themeColor="accent6" w:themeShade="BF"/>
          <w:rtl/>
        </w:rPr>
        <w:t>(וכ"</w:t>
      </w:r>
      <w:r w:rsidR="00684A33">
        <w:rPr>
          <w:rFonts w:hint="cs"/>
          <w:color w:val="E36C0A" w:themeColor="accent6" w:themeShade="BF"/>
          <w:rtl/>
        </w:rPr>
        <w:t>כ</w:t>
      </w:r>
      <w:r w:rsidR="00684A33">
        <w:rPr>
          <w:color w:val="E36C0A" w:themeColor="accent6" w:themeShade="BF"/>
          <w:rtl/>
        </w:rPr>
        <w:t xml:space="preserve"> בשו"ע)</w:t>
      </w:r>
    </w:p>
    <w:p w14:paraId="79890D3D" w14:textId="3E2943D4" w:rsidR="00C97BEF" w:rsidRDefault="00C97BEF" w:rsidP="006A458D">
      <w:pPr>
        <w:pStyle w:val="ab"/>
        <w:numPr>
          <w:ilvl w:val="0"/>
          <w:numId w:val="112"/>
        </w:numPr>
        <w:rPr>
          <w:rFonts w:cs="Arial"/>
        </w:rPr>
      </w:pPr>
      <w:r>
        <w:rPr>
          <w:rFonts w:cs="Arial"/>
          <w:rtl/>
        </w:rPr>
        <w:t xml:space="preserve">רמב"ם </w:t>
      </w:r>
      <w:r>
        <w:rPr>
          <w:rFonts w:cs="Arial"/>
          <w:sz w:val="16"/>
          <w:szCs w:val="16"/>
          <w:rtl/>
        </w:rPr>
        <w:t>(פ"ז הי"ד</w:t>
      </w:r>
      <w:r w:rsidR="00A82951">
        <w:rPr>
          <w:rFonts w:cs="Arial"/>
          <w:sz w:val="16"/>
          <w:szCs w:val="16"/>
          <w:rtl/>
        </w:rPr>
        <w:t>-</w:t>
      </w:r>
      <w:r>
        <w:rPr>
          <w:rFonts w:cs="Arial"/>
          <w:sz w:val="16"/>
          <w:szCs w:val="16"/>
          <w:rtl/>
        </w:rPr>
        <w:t>טו)</w:t>
      </w:r>
      <w:r w:rsidR="00A82951">
        <w:rPr>
          <w:rFonts w:cs="Arial"/>
          <w:rtl/>
        </w:rPr>
        <w:t>-</w:t>
      </w:r>
      <w:r>
        <w:rPr>
          <w:rFonts w:cs="Arial"/>
          <w:rtl/>
        </w:rPr>
        <w:t xml:space="preserve"> שנים שהביאו גט בחוצה לארץ אע"פ שלא נכתב ונחתם בפניהם הואיל ונתנו להם הבעל ליתנו לאשתו </w:t>
      </w:r>
      <w:r w:rsidR="00A82951">
        <w:rPr>
          <w:rFonts w:cs="Arial"/>
          <w:rtl/>
        </w:rPr>
        <w:t>-</w:t>
      </w:r>
      <w:r>
        <w:rPr>
          <w:rFonts w:cs="Arial"/>
          <w:rtl/>
        </w:rPr>
        <w:t xml:space="preserve"> הרי אלו נותנין לה ותהיה מגורשת... במה דברים אמורים בזמן שהגט יוצא מתחת ידי שניהם, אבל אם אין הגט יוצא מתחת ידי שניהם </w:t>
      </w:r>
      <w:r w:rsidR="00A82951">
        <w:rPr>
          <w:rFonts w:cs="Arial"/>
          <w:rtl/>
        </w:rPr>
        <w:t>-</w:t>
      </w:r>
      <w:r>
        <w:rPr>
          <w:rFonts w:cs="Arial"/>
          <w:rtl/>
        </w:rPr>
        <w:t xml:space="preserve"> צריכין לומר בפנינו נכתב ובפנינו נחתם, לפיכך אם אמר אחד בפני נכתב והאחד אומר בפני נחתם אפילו שנים אומרים בפנינו נכתב ואחד אומר בפני נחתם, הואיל ואינו יוצא מתחת ידי שניהם לא ינתן לה עד שיתקיים בחותמיו. </w:t>
      </w:r>
    </w:p>
    <w:p w14:paraId="19CDC371" w14:textId="77777777" w:rsidR="00C97BEF" w:rsidRDefault="00C97BEF" w:rsidP="00C97BEF">
      <w:pPr>
        <w:ind w:left="360"/>
        <w:rPr>
          <w:u w:val="dotted"/>
          <w:rtl/>
        </w:rPr>
      </w:pPr>
      <w:r>
        <w:rPr>
          <w:u w:val="dotted"/>
          <w:rtl/>
        </w:rPr>
        <w:t>האם במקרה הנ"ל צריך השליח למסור את הגט בפני עדי השליחות:</w:t>
      </w:r>
    </w:p>
    <w:p w14:paraId="05CF7748" w14:textId="3B696B61" w:rsidR="00C97BEF" w:rsidRDefault="00C97BEF" w:rsidP="006A458D">
      <w:pPr>
        <w:pStyle w:val="ab"/>
        <w:numPr>
          <w:ilvl w:val="0"/>
          <w:numId w:val="112"/>
        </w:numPr>
      </w:pPr>
      <w:r>
        <w:rPr>
          <w:rFonts w:cs="Arial"/>
          <w:rtl/>
        </w:rPr>
        <w:t>רמ"ה</w:t>
      </w:r>
      <w:r>
        <w:rPr>
          <w:rFonts w:cs="Arial"/>
          <w:sz w:val="16"/>
          <w:szCs w:val="16"/>
          <w:rtl/>
        </w:rPr>
        <w:t xml:space="preserve"> (כ"כ הטור בשמו)</w:t>
      </w:r>
      <w:r w:rsidR="00A82951">
        <w:rPr>
          <w:rFonts w:cs="Arial"/>
          <w:rtl/>
        </w:rPr>
        <w:t>-</w:t>
      </w:r>
      <w:r>
        <w:rPr>
          <w:rFonts w:cs="Arial"/>
          <w:rtl/>
        </w:rPr>
        <w:t xml:space="preserve"> היכא ששניהם שלוחים לא סגי דלא מסרי לה תרוייהו ומקיימת כולה מילתא בבת א'. אבל חד דמייתי, אע"ג דאיכא תרי דמסהדי אשליחותיה, א"נ חד דמצטרף בהדיה </w:t>
      </w:r>
      <w:r w:rsidR="00A82951">
        <w:rPr>
          <w:rFonts w:cs="Arial"/>
          <w:rtl/>
        </w:rPr>
        <w:t>-</w:t>
      </w:r>
      <w:r>
        <w:rPr>
          <w:rFonts w:cs="Arial"/>
          <w:rtl/>
        </w:rPr>
        <w:t xml:space="preserve"> לא איפסיקא מילתא לאכשורי ביה סתמא, דהא ודאי צריך ליתנו לידה בפני עידי מסירה, ואי לא מסר לה באפי עידי שליחות גופייהו אע"ג דמסר לה באפי סהדי אחריני </w:t>
      </w:r>
      <w:r w:rsidR="00A82951">
        <w:rPr>
          <w:rFonts w:cs="Arial"/>
          <w:rtl/>
        </w:rPr>
        <w:t>-</w:t>
      </w:r>
      <w:r>
        <w:rPr>
          <w:rFonts w:cs="Arial"/>
          <w:rtl/>
        </w:rPr>
        <w:t xml:space="preserve"> לא מתכשר, דהוה ליה שליחות דכל כת וכת חצי דבר, ובהא אפילו רבנן מודו דלא מצטרפו </w:t>
      </w:r>
      <w:r>
        <w:rPr>
          <w:rFonts w:cs="Arial"/>
          <w:sz w:val="16"/>
          <w:szCs w:val="16"/>
          <w:rtl/>
        </w:rPr>
        <w:t>(ל' הטור בשמו)</w:t>
      </w:r>
      <w:r>
        <w:rPr>
          <w:rStyle w:val="a7"/>
          <w:rFonts w:cs="Arial"/>
          <w:rtl/>
        </w:rPr>
        <w:footnoteReference w:id="2335"/>
      </w:r>
      <w:r>
        <w:rPr>
          <w:rFonts w:cs="Arial"/>
          <w:rtl/>
        </w:rPr>
        <w:t xml:space="preserve">. </w:t>
      </w:r>
      <w:r w:rsidR="00684A33">
        <w:rPr>
          <w:color w:val="E36C0A" w:themeColor="accent6" w:themeShade="BF"/>
          <w:rtl/>
        </w:rPr>
        <w:t>(וכ"</w:t>
      </w:r>
      <w:r w:rsidR="00684A33">
        <w:rPr>
          <w:rFonts w:hint="cs"/>
          <w:color w:val="E36C0A" w:themeColor="accent6" w:themeShade="BF"/>
          <w:rtl/>
        </w:rPr>
        <w:t>כ</w:t>
      </w:r>
      <w:r w:rsidR="00684A33">
        <w:rPr>
          <w:color w:val="E36C0A" w:themeColor="accent6" w:themeShade="BF"/>
          <w:rtl/>
        </w:rPr>
        <w:t xml:space="preserve"> בשו"ע)</w:t>
      </w:r>
    </w:p>
    <w:p w14:paraId="031FC599"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lastRenderedPageBreak/>
        <w:t>שו"ע:</w:t>
      </w:r>
    </w:p>
    <w:p w14:paraId="74EC3A26" w14:textId="189B3427" w:rsidR="00C97BEF" w:rsidRDefault="00C97BEF" w:rsidP="00C97BEF">
      <w:pPr>
        <w:rPr>
          <w:rtl/>
        </w:rPr>
      </w:pPr>
      <w:r>
        <w:rPr>
          <w:rFonts w:cs="Arial"/>
          <w:rtl/>
        </w:rPr>
        <w:t xml:space="preserve">עשה הבעל שנים שלוחים להוליך גט לאשתו, אף על פי שלא נכתב ונחתם בפניהם, נותנים אותו לה ותהיה מגורשת, והוא שהיו כשרים להעיד, שהרי אין הבעל יכול לערער בגט זה אף על פי שאינו מקוים שהרי שלוחיו הם עדיו. </w:t>
      </w:r>
      <w:r w:rsidRPr="00CD3FB2">
        <w:rPr>
          <w:rFonts w:cs="Arial"/>
          <w:sz w:val="18"/>
          <w:szCs w:val="18"/>
          <w:rtl/>
        </w:rPr>
        <w:t>[הגה] וי"א דאם בא הבעל וערער</w:t>
      </w:r>
      <w:r w:rsidRPr="00CD3FB2">
        <w:rPr>
          <w:rStyle w:val="a7"/>
          <w:rFonts w:cs="Arial"/>
          <w:sz w:val="18"/>
          <w:szCs w:val="18"/>
          <w:rtl/>
        </w:rPr>
        <w:footnoteReference w:id="2336"/>
      </w:r>
      <w:r w:rsidRPr="00CD3FB2">
        <w:rPr>
          <w:rFonts w:cs="Arial"/>
          <w:sz w:val="18"/>
          <w:szCs w:val="18"/>
          <w:rtl/>
        </w:rPr>
        <w:t>, צריך להתקיים בחותמיו (טור, וכ</w:t>
      </w:r>
      <w:r w:rsidR="00CD3FB2">
        <w:rPr>
          <w:rFonts w:cs="Arial" w:hint="cs"/>
          <w:sz w:val="18"/>
          <w:szCs w:val="18"/>
          <w:rtl/>
        </w:rPr>
        <w:t>"מ</w:t>
      </w:r>
      <w:r w:rsidRPr="00CD3FB2">
        <w:rPr>
          <w:rFonts w:cs="Arial"/>
          <w:sz w:val="18"/>
          <w:szCs w:val="18"/>
          <w:rtl/>
        </w:rPr>
        <w:t xml:space="preserve"> מהר"ן).</w:t>
      </w:r>
      <w:r>
        <w:rPr>
          <w:rFonts w:cs="Arial"/>
          <w:sz w:val="16"/>
          <w:szCs w:val="16"/>
          <w:rtl/>
        </w:rPr>
        <w:t xml:space="preserve"> </w:t>
      </w:r>
      <w:r>
        <w:rPr>
          <w:rFonts w:cs="Arial"/>
          <w:rtl/>
        </w:rPr>
        <w:t xml:space="preserve">ויש אומרים שאפילו לא עשה שליח אלא אחד, והשני מעיד שבפניו נתן הבעל לזה הגט להוליך לאשתו, אין צריך לומר: בפני נכתב ובפני נחתם. ויש מי שמצריך בזה שימסרנו בפני עדי שליחות עצמם. </w:t>
      </w:r>
    </w:p>
    <w:p w14:paraId="257FAD28" w14:textId="77777777" w:rsidR="00C97BEF" w:rsidRDefault="00C97BEF" w:rsidP="00C97BEF">
      <w:pPr>
        <w:rPr>
          <w:rtl/>
        </w:rPr>
      </w:pPr>
    </w:p>
    <w:p w14:paraId="2E22B0EC" w14:textId="4F06BB7D" w:rsidR="00C97BEF" w:rsidRDefault="00C97BEF" w:rsidP="00C97BEF">
      <w:pPr>
        <w:pStyle w:val="2"/>
        <w:rPr>
          <w:rtl/>
        </w:rPr>
      </w:pPr>
      <w:r>
        <w:rPr>
          <w:rtl/>
        </w:rPr>
        <w:t xml:space="preserve">סעיף יט: שנים מביאים גט </w:t>
      </w:r>
      <w:r w:rsidR="00A82951">
        <w:rPr>
          <w:rtl/>
        </w:rPr>
        <w:t>-</w:t>
      </w:r>
      <w:r>
        <w:rPr>
          <w:rtl/>
        </w:rPr>
        <w:t xml:space="preserve"> אחד אומר בפני נכתב, ואחד אומר בפני נחתם.</w:t>
      </w:r>
    </w:p>
    <w:p w14:paraId="03EA1BF7" w14:textId="19DC1B0A" w:rsidR="00C97BEF" w:rsidRDefault="00C97BEF" w:rsidP="00C97BEF">
      <w:pPr>
        <w:rPr>
          <w:rFonts w:cs="Arial"/>
          <w:rtl/>
        </w:rPr>
      </w:pPr>
      <w:r>
        <w:rPr>
          <w:rFonts w:cs="Arial"/>
          <w:b/>
          <w:bCs/>
          <w:rtl/>
        </w:rPr>
        <w:t xml:space="preserve">גיטין </w:t>
      </w:r>
      <w:r>
        <w:rPr>
          <w:rFonts w:cs="Arial"/>
          <w:b/>
          <w:bCs/>
          <w:sz w:val="16"/>
          <w:szCs w:val="16"/>
          <w:rtl/>
        </w:rPr>
        <w:t>(רפ"ב)</w:t>
      </w:r>
      <w:r>
        <w:rPr>
          <w:rFonts w:cs="Arial"/>
          <w:b/>
          <w:bCs/>
          <w:rtl/>
        </w:rPr>
        <w:t xml:space="preserve"> טו ע"א:</w:t>
      </w:r>
      <w:r>
        <w:rPr>
          <w:rFonts w:cs="Arial"/>
          <w:rtl/>
        </w:rPr>
        <w:t xml:space="preserve"> </w:t>
      </w:r>
      <w:r>
        <w:rPr>
          <w:rFonts w:cs="Arial"/>
          <w:u w:val="double"/>
          <w:rtl/>
        </w:rPr>
        <w:t>מתני'</w:t>
      </w:r>
      <w:r>
        <w:rPr>
          <w:rFonts w:cs="Arial"/>
          <w:rtl/>
        </w:rPr>
        <w:t>:...</w:t>
      </w:r>
      <w:r>
        <w:rPr>
          <w:rtl/>
        </w:rPr>
        <w:t xml:space="preserve"> </w:t>
      </w:r>
      <w:r>
        <w:rPr>
          <w:rFonts w:cs="Arial"/>
          <w:rtl/>
        </w:rPr>
        <w:t xml:space="preserve">אחד אומר בפני נכתב, ואחד אומר בפני נחתם </w:t>
      </w:r>
      <w:r w:rsidR="00A82951">
        <w:rPr>
          <w:rFonts w:cs="Arial"/>
          <w:rtl/>
        </w:rPr>
        <w:t>-</w:t>
      </w:r>
      <w:r>
        <w:rPr>
          <w:rFonts w:cs="Arial"/>
          <w:rtl/>
        </w:rPr>
        <w:t xml:space="preserve"> פסול</w:t>
      </w:r>
      <w:r>
        <w:rPr>
          <w:rStyle w:val="a7"/>
          <w:rFonts w:cs="Arial"/>
          <w:rtl/>
        </w:rPr>
        <w:footnoteReference w:id="2337"/>
      </w:r>
      <w:r>
        <w:rPr>
          <w:rFonts w:cs="Arial"/>
          <w:rtl/>
        </w:rPr>
        <w:t>. שנים אומרים בפנינו נכתב, ואחד</w:t>
      </w:r>
      <w:r>
        <w:rPr>
          <w:rStyle w:val="a7"/>
          <w:rFonts w:cs="Arial"/>
          <w:rtl/>
        </w:rPr>
        <w:footnoteReference w:id="2338"/>
      </w:r>
      <w:r>
        <w:rPr>
          <w:rFonts w:cs="Arial"/>
          <w:rtl/>
        </w:rPr>
        <w:t xml:space="preserve"> אומר בפני נחתם </w:t>
      </w:r>
      <w:r w:rsidR="00A82951">
        <w:rPr>
          <w:rFonts w:cs="Arial"/>
          <w:rtl/>
        </w:rPr>
        <w:t>-</w:t>
      </w:r>
      <w:r>
        <w:rPr>
          <w:rFonts w:cs="Arial"/>
          <w:rtl/>
        </w:rPr>
        <w:t xml:space="preserve"> פסול, </w:t>
      </w:r>
      <w:r>
        <w:rPr>
          <w:rFonts w:cs="Arial"/>
          <w:u w:val="single"/>
          <w:rtl/>
        </w:rPr>
        <w:t>ור' יהודה</w:t>
      </w:r>
      <w:r>
        <w:rPr>
          <w:rFonts w:cs="Arial"/>
          <w:rtl/>
        </w:rPr>
        <w:t xml:space="preserve"> מכשיר</w:t>
      </w:r>
      <w:r>
        <w:rPr>
          <w:rStyle w:val="a7"/>
          <w:rFonts w:cs="Arial"/>
          <w:rtl/>
        </w:rPr>
        <w:footnoteReference w:id="2339"/>
      </w:r>
      <w:r>
        <w:rPr>
          <w:rFonts w:cs="Arial"/>
          <w:rtl/>
        </w:rPr>
        <w:t xml:space="preserve">. אחד אומר בפני נכתב, ושנים אומרים בפנינו נחתם </w:t>
      </w:r>
      <w:r w:rsidR="00A82951">
        <w:rPr>
          <w:rFonts w:cs="Arial"/>
          <w:rtl/>
        </w:rPr>
        <w:t>-</w:t>
      </w:r>
      <w:r>
        <w:rPr>
          <w:rFonts w:cs="Arial"/>
          <w:rtl/>
        </w:rPr>
        <w:t xml:space="preserve"> כשר.</w:t>
      </w:r>
      <w:r>
        <w:rPr>
          <w:rtl/>
        </w:rPr>
        <w:t xml:space="preserve">     </w:t>
      </w:r>
      <w:r>
        <w:rPr>
          <w:u w:val="double"/>
          <w:rtl/>
        </w:rPr>
        <w:t>גמ'</w:t>
      </w:r>
      <w:r>
        <w:rPr>
          <w:sz w:val="14"/>
          <w:szCs w:val="14"/>
          <w:u w:val="double"/>
          <w:rtl/>
        </w:rPr>
        <w:t>(יז.)</w:t>
      </w:r>
      <w:r>
        <w:rPr>
          <w:u w:val="double"/>
          <w:rtl/>
        </w:rPr>
        <w:t>:</w:t>
      </w:r>
      <w:r>
        <w:rPr>
          <w:rtl/>
        </w:rPr>
        <w:t xml:space="preserve"> </w:t>
      </w:r>
      <w:r>
        <w:rPr>
          <w:rFonts w:cs="Arial"/>
          <w:rtl/>
        </w:rPr>
        <w:t xml:space="preserve">אחד אומר בפני נכתב, ושנים אומרים בפנינו נחתם </w:t>
      </w:r>
      <w:r w:rsidR="00A82951">
        <w:rPr>
          <w:rFonts w:cs="Arial"/>
          <w:rtl/>
        </w:rPr>
        <w:t>-</w:t>
      </w:r>
      <w:r>
        <w:rPr>
          <w:rFonts w:cs="Arial"/>
          <w:rtl/>
        </w:rPr>
        <w:t xml:space="preserve"> כשר. </w:t>
      </w:r>
      <w:r>
        <w:rPr>
          <w:rFonts w:cs="Arial"/>
          <w:u w:val="single"/>
          <w:rtl/>
        </w:rPr>
        <w:t>אמר רבי אמי אמר רבי יוחנן</w:t>
      </w:r>
      <w:r>
        <w:rPr>
          <w:rFonts w:cs="Arial"/>
          <w:rtl/>
        </w:rPr>
        <w:t>: לא שנו אלא שהגט יוצא מתחת יד עד כתיבה</w:t>
      </w:r>
      <w:r>
        <w:rPr>
          <w:rStyle w:val="a7"/>
          <w:rFonts w:cs="Arial"/>
          <w:rtl/>
        </w:rPr>
        <w:footnoteReference w:id="2340"/>
      </w:r>
      <w:r>
        <w:rPr>
          <w:rFonts w:cs="Arial"/>
          <w:rtl/>
        </w:rPr>
        <w:t xml:space="preserve">, דנעשו כשנים על זה וכשנים על זה, אבל מתחת ידי עדי חתימה </w:t>
      </w:r>
      <w:r w:rsidR="00A82951">
        <w:rPr>
          <w:rFonts w:cs="Arial"/>
          <w:rtl/>
        </w:rPr>
        <w:t>-</w:t>
      </w:r>
      <w:r>
        <w:rPr>
          <w:rFonts w:cs="Arial"/>
          <w:rtl/>
        </w:rPr>
        <w:t xml:space="preserve"> פסול</w:t>
      </w:r>
      <w:r>
        <w:rPr>
          <w:rStyle w:val="a7"/>
          <w:rFonts w:cs="Arial"/>
          <w:rtl/>
        </w:rPr>
        <w:footnoteReference w:id="2341"/>
      </w:r>
      <w:r>
        <w:rPr>
          <w:rFonts w:cs="Arial"/>
          <w:rtl/>
        </w:rPr>
        <w:t>. אלמא קסבר: שנים שהביאו גט ממדינת הים, צריכין שיאמרו בפנינו נכתב ובפנינו נחתם</w:t>
      </w:r>
      <w:r w:rsidR="00B12CEA">
        <w:rPr>
          <w:rFonts w:cs="Arial" w:hint="cs"/>
          <w:rtl/>
        </w:rPr>
        <w:t>.</w:t>
      </w:r>
      <w:r>
        <w:rPr>
          <w:rFonts w:cs="Arial"/>
          <w:rtl/>
        </w:rPr>
        <w:t xml:space="preserve"> </w:t>
      </w:r>
      <w:r>
        <w:rPr>
          <w:rFonts w:cs="Arial"/>
          <w:u w:val="single"/>
          <w:rtl/>
        </w:rPr>
        <w:t>אמר ליה רבי אסי</w:t>
      </w:r>
      <w:r>
        <w:rPr>
          <w:rFonts w:cs="Arial"/>
          <w:rtl/>
        </w:rPr>
        <w:t xml:space="preserve">: אלא מעתה, רישא דקתני: שנים אומרים בפנינו נכתב, ואחד אומר בפני נחתם </w:t>
      </w:r>
      <w:r w:rsidR="00A82951">
        <w:rPr>
          <w:rFonts w:cs="Arial"/>
          <w:rtl/>
        </w:rPr>
        <w:t>-</w:t>
      </w:r>
      <w:r>
        <w:rPr>
          <w:rFonts w:cs="Arial"/>
          <w:rtl/>
        </w:rPr>
        <w:t xml:space="preserve"> פסול, ור' יהודה מכשיר; ואפילו גט יוצא מתחת ידי שניהם פסלי רבנן? </w:t>
      </w:r>
      <w:r>
        <w:rPr>
          <w:rFonts w:cs="Arial"/>
          <w:u w:val="single"/>
          <w:rtl/>
        </w:rPr>
        <w:t>אמר ליה</w:t>
      </w:r>
      <w:r>
        <w:rPr>
          <w:rFonts w:cs="Arial"/>
          <w:rtl/>
        </w:rPr>
        <w:t xml:space="preserve">: אין. זימנין אשכחיה דיתיב וקאמר, דאפילו גט יוצא מתחת ידי עדי חתימה </w:t>
      </w:r>
      <w:r w:rsidR="00A82951">
        <w:rPr>
          <w:rFonts w:cs="Arial"/>
          <w:rtl/>
        </w:rPr>
        <w:t>-</w:t>
      </w:r>
      <w:r>
        <w:rPr>
          <w:rFonts w:cs="Arial"/>
          <w:rtl/>
        </w:rPr>
        <w:t xml:space="preserve"> כשר. אלמא קסבר: שנים שהביאו גט ממ"ה, אין צריכין שיאמרו בפנינו נכתב ובפנינו נחתם. </w:t>
      </w:r>
      <w:r>
        <w:rPr>
          <w:rFonts w:cs="Arial"/>
          <w:u w:val="single"/>
          <w:rtl/>
        </w:rPr>
        <w:t>אמר ליה רבי אסי</w:t>
      </w:r>
      <w:r>
        <w:rPr>
          <w:rFonts w:cs="Arial"/>
          <w:rtl/>
        </w:rPr>
        <w:t xml:space="preserve">: אלא מעתה, רישא דקתני: שנים אומרים בפנינו נכתב, ואחד אומר בפני נחתם </w:t>
      </w:r>
      <w:r w:rsidR="00A82951">
        <w:rPr>
          <w:rFonts w:cs="Arial"/>
          <w:rtl/>
        </w:rPr>
        <w:t>-</w:t>
      </w:r>
      <w:r>
        <w:rPr>
          <w:rFonts w:cs="Arial"/>
          <w:rtl/>
        </w:rPr>
        <w:t xml:space="preserve"> פסול, ורבי יהודה מכשיר; טעמא דאין הגט יוצא מתחת ידי שניהם, הא גט יוצא מתחת ידי שניהם </w:t>
      </w:r>
      <w:r w:rsidR="00A82951">
        <w:rPr>
          <w:rFonts w:cs="Arial"/>
          <w:rtl/>
        </w:rPr>
        <w:t>-</w:t>
      </w:r>
      <w:r>
        <w:rPr>
          <w:rFonts w:cs="Arial"/>
          <w:rtl/>
        </w:rPr>
        <w:t xml:space="preserve"> מכשרי רבנן? </w:t>
      </w:r>
      <w:r>
        <w:rPr>
          <w:rFonts w:cs="Arial"/>
          <w:u w:val="single"/>
          <w:rtl/>
        </w:rPr>
        <w:t>אמר ליה</w:t>
      </w:r>
      <w:r>
        <w:rPr>
          <w:rFonts w:cs="Arial"/>
          <w:rtl/>
        </w:rPr>
        <w:t xml:space="preserve">: אין. והא זמנין לא אמרת לן הכי! </w:t>
      </w:r>
      <w:r>
        <w:rPr>
          <w:rFonts w:cs="Arial"/>
          <w:u w:val="single"/>
          <w:rtl/>
        </w:rPr>
        <w:t>אמר ליה</w:t>
      </w:r>
      <w:r>
        <w:rPr>
          <w:rFonts w:cs="Arial"/>
          <w:rtl/>
        </w:rPr>
        <w:t>: יתד היא</w:t>
      </w:r>
      <w:r>
        <w:rPr>
          <w:rStyle w:val="a7"/>
          <w:rFonts w:cs="Arial"/>
          <w:rtl/>
        </w:rPr>
        <w:footnoteReference w:id="2342"/>
      </w:r>
      <w:r>
        <w:rPr>
          <w:rFonts w:cs="Arial"/>
          <w:rtl/>
        </w:rPr>
        <w:t xml:space="preserve"> שלא תמוט. </w:t>
      </w:r>
      <w:r>
        <w:rPr>
          <w:rFonts w:cs="Arial"/>
          <w:sz w:val="16"/>
          <w:szCs w:val="16"/>
          <w:rtl/>
        </w:rPr>
        <w:t>(ואע"ג דאיכא לישנא אחרינא לשון זה עיקר כדמשמע בגמרא</w:t>
      </w:r>
      <w:r w:rsidR="001E2081">
        <w:rPr>
          <w:rFonts w:cs="Arial" w:hint="cs"/>
          <w:sz w:val="16"/>
          <w:szCs w:val="16"/>
          <w:rtl/>
        </w:rPr>
        <w:t>,</w:t>
      </w:r>
      <w:r>
        <w:rPr>
          <w:rFonts w:cs="Arial"/>
          <w:sz w:val="16"/>
          <w:szCs w:val="16"/>
          <w:rtl/>
        </w:rPr>
        <w:t xml:space="preserve"> וגם רבה בר בר חנה הכי סבירא ליה כדאיתא בגמרא (טז:). ויוצא מתחת ידי שניהם היינו ששניהם שלוחים וכמו שנתבאר בסמוך (ד"ה ואם שנים), ב"י)</w:t>
      </w:r>
    </w:p>
    <w:p w14:paraId="473F781F" w14:textId="2D1F92C8" w:rsidR="00C97BEF" w:rsidRDefault="00C97BEF" w:rsidP="00C97BEF">
      <w:pPr>
        <w:rPr>
          <w:u w:val="single"/>
          <w:rtl/>
        </w:rPr>
      </w:pPr>
      <w:r>
        <w:rPr>
          <w:u w:val="single"/>
          <w:rtl/>
        </w:rPr>
        <w:t xml:space="preserve">שנים מביאים גט </w:t>
      </w:r>
      <w:r w:rsidR="00A82951">
        <w:rPr>
          <w:u w:val="single"/>
          <w:rtl/>
        </w:rPr>
        <w:t>-</w:t>
      </w:r>
      <w:r>
        <w:rPr>
          <w:u w:val="single"/>
          <w:rtl/>
        </w:rPr>
        <w:t xml:space="preserve"> אחד אומר בפני נכתב, ואחד אומר בפני נחתם:</w:t>
      </w:r>
    </w:p>
    <w:p w14:paraId="68F0093D" w14:textId="593D160B"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לפיכך שנים שמביאים גט, ואחד אמר בפני נכתב, וא</w:t>
      </w:r>
      <w:r w:rsidR="001E2081">
        <w:rPr>
          <w:rFonts w:cs="Arial" w:hint="cs"/>
          <w:rtl/>
        </w:rPr>
        <w:t>חד</w:t>
      </w:r>
      <w:r>
        <w:rPr>
          <w:rFonts w:cs="Arial"/>
          <w:rtl/>
        </w:rPr>
        <w:t xml:space="preserve"> אמר בפני נחתם, אם אין שניהם שלוחים </w:t>
      </w:r>
      <w:r w:rsidR="00A82951">
        <w:rPr>
          <w:rFonts w:cs="Arial"/>
          <w:rtl/>
        </w:rPr>
        <w:t>-</w:t>
      </w:r>
      <w:r>
        <w:rPr>
          <w:rFonts w:cs="Arial"/>
          <w:rtl/>
        </w:rPr>
        <w:t xml:space="preserve"> לא ינתן, דכל זמן שלא אמר אחד בפני נכתב ובפני נחתם לא אמר כלום ואמירתו כמאן דליתיה דמי. ואם שניהם שלוחים </w:t>
      </w:r>
      <w:r w:rsidR="00A82951">
        <w:rPr>
          <w:rFonts w:cs="Arial"/>
          <w:rtl/>
        </w:rPr>
        <w:t>-</w:t>
      </w:r>
      <w:r>
        <w:rPr>
          <w:rFonts w:cs="Arial"/>
          <w:rtl/>
        </w:rPr>
        <w:t xml:space="preserve"> ה"ז ינתן, דדל אמירתן כמאן דליתיה הרי יש כאן ב' שלוחים. </w:t>
      </w:r>
      <w:r>
        <w:rPr>
          <w:color w:val="E36C0A" w:themeColor="accent6" w:themeShade="BF"/>
          <w:rtl/>
        </w:rPr>
        <w:t>(וכ"פ בשו"ע)</w:t>
      </w:r>
    </w:p>
    <w:p w14:paraId="5B9F4A0B" w14:textId="7A7FDE94" w:rsidR="00C97BEF" w:rsidRDefault="00C97BEF" w:rsidP="00C97BEF">
      <w:pPr>
        <w:rPr>
          <w:u w:val="single"/>
        </w:rPr>
      </w:pPr>
      <w:r>
        <w:rPr>
          <w:u w:val="single"/>
          <w:rtl/>
        </w:rPr>
        <w:t xml:space="preserve">שלשה מביאים גט </w:t>
      </w:r>
      <w:r w:rsidR="00A82951">
        <w:rPr>
          <w:u w:val="single"/>
          <w:rtl/>
        </w:rPr>
        <w:t>-</w:t>
      </w:r>
      <w:r>
        <w:rPr>
          <w:u w:val="single"/>
          <w:rtl/>
        </w:rPr>
        <w:t xml:space="preserve"> שנים אומרים בפנינו נכתב, והשלישי אומר בפני נחתם:</w:t>
      </w:r>
    </w:p>
    <w:p w14:paraId="08E85C85" w14:textId="57C39430"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וכן אם שנים אומרים בפנינו נכתב, וא</w:t>
      </w:r>
      <w:r w:rsidR="00490B53">
        <w:rPr>
          <w:rFonts w:cs="Arial" w:hint="cs"/>
          <w:rtl/>
        </w:rPr>
        <w:t>'</w:t>
      </w:r>
      <w:r>
        <w:rPr>
          <w:rFonts w:cs="Arial"/>
          <w:rtl/>
        </w:rPr>
        <w:t xml:space="preserve"> שלישי אומר בפני נחתם, אם אין שליח אלא א' </w:t>
      </w:r>
      <w:r w:rsidR="00A82951">
        <w:rPr>
          <w:rFonts w:cs="Arial"/>
          <w:rtl/>
        </w:rPr>
        <w:t>-</w:t>
      </w:r>
      <w:r>
        <w:rPr>
          <w:rFonts w:cs="Arial"/>
          <w:rtl/>
        </w:rPr>
        <w:t xml:space="preserve"> לא ינתן. ואם ב' מהם שלוחים </w:t>
      </w:r>
      <w:r w:rsidR="00A82951">
        <w:rPr>
          <w:rFonts w:cs="Arial"/>
          <w:rtl/>
        </w:rPr>
        <w:t>-</w:t>
      </w:r>
      <w:r>
        <w:rPr>
          <w:rFonts w:cs="Arial"/>
          <w:rtl/>
        </w:rPr>
        <w:t xml:space="preserve"> ינתן. </w:t>
      </w:r>
      <w:r>
        <w:rPr>
          <w:color w:val="E36C0A" w:themeColor="accent6" w:themeShade="BF"/>
          <w:rtl/>
        </w:rPr>
        <w:t>(וכ"פ בשו"ע)</w:t>
      </w:r>
    </w:p>
    <w:p w14:paraId="55320998" w14:textId="67CA3937" w:rsidR="00C97BEF" w:rsidRDefault="00C97BEF" w:rsidP="00C97BEF">
      <w:pPr>
        <w:rPr>
          <w:u w:val="single"/>
        </w:rPr>
      </w:pPr>
      <w:r>
        <w:rPr>
          <w:u w:val="single"/>
          <w:rtl/>
        </w:rPr>
        <w:t xml:space="preserve">שלשה מביאים גט </w:t>
      </w:r>
      <w:r w:rsidR="00A82951">
        <w:rPr>
          <w:u w:val="single"/>
          <w:rtl/>
        </w:rPr>
        <w:t>-</w:t>
      </w:r>
      <w:r>
        <w:rPr>
          <w:u w:val="single"/>
          <w:rtl/>
        </w:rPr>
        <w:t xml:space="preserve"> אחד אומר בפני נכתב, ושנים אומרים בפנינו נחתם:</w:t>
      </w:r>
    </w:p>
    <w:p w14:paraId="7BA6FDA8" w14:textId="09251A2E"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אחד אומר בפני נכתב, ושנים אומרים בפנינו נחתם, אם האומר בפני נכתב הוא שליח אפי' אם הוא לבדו </w:t>
      </w:r>
      <w:r w:rsidR="00A82951">
        <w:rPr>
          <w:rFonts w:cs="Arial"/>
          <w:rtl/>
        </w:rPr>
        <w:t>-</w:t>
      </w:r>
      <w:r>
        <w:rPr>
          <w:rFonts w:cs="Arial"/>
          <w:rtl/>
        </w:rPr>
        <w:t xml:space="preserve"> ה"ז ינתן, דכיון דשנים מעידים על החתימה הרי מתקיים בחותמיו. [אבל אם אחד מהאומרים בפנינו נחתם הוא לבדו שליח </w:t>
      </w:r>
      <w:r w:rsidR="00A82951">
        <w:rPr>
          <w:rFonts w:cs="Arial"/>
          <w:rtl/>
        </w:rPr>
        <w:t>-</w:t>
      </w:r>
      <w:r>
        <w:rPr>
          <w:rFonts w:cs="Arial"/>
          <w:rtl/>
        </w:rPr>
        <w:t xml:space="preserve"> לא ינתן עד שיהא אחר עמו</w:t>
      </w:r>
      <w:r>
        <w:rPr>
          <w:rStyle w:val="a7"/>
          <w:rFonts w:cs="Arial"/>
          <w:rtl/>
        </w:rPr>
        <w:footnoteReference w:id="2343"/>
      </w:r>
      <w:r>
        <w:rPr>
          <w:rFonts w:cs="Arial"/>
          <w:rtl/>
        </w:rPr>
        <w:t>].</w:t>
      </w:r>
    </w:p>
    <w:p w14:paraId="505E1662" w14:textId="65CD726E" w:rsidR="00C97BEF" w:rsidRDefault="00C97BEF" w:rsidP="00C97BEF">
      <w:pPr>
        <w:rPr>
          <w:u w:val="single"/>
        </w:rPr>
      </w:pPr>
      <w:r>
        <w:rPr>
          <w:u w:val="single"/>
          <w:rtl/>
        </w:rPr>
        <w:lastRenderedPageBreak/>
        <w:t xml:space="preserve">שני עדים, עד אחד נתקיים ע"י עדים, </w:t>
      </w:r>
      <w:r>
        <w:rPr>
          <w:rFonts w:cs="Arial"/>
          <w:u w:val="single"/>
          <w:rtl/>
        </w:rPr>
        <w:t>והשני לא נתקיים אלא בעד אחד על פה</w:t>
      </w:r>
      <w:r>
        <w:rPr>
          <w:u w:val="single"/>
          <w:rtl/>
        </w:rPr>
        <w:t xml:space="preserve"> </w:t>
      </w:r>
      <w:r w:rsidR="00A82951">
        <w:rPr>
          <w:u w:val="single"/>
          <w:rtl/>
        </w:rPr>
        <w:t>-</w:t>
      </w:r>
      <w:r>
        <w:rPr>
          <w:u w:val="single"/>
          <w:rtl/>
        </w:rPr>
        <w:t xml:space="preserve"> האם אפשר לצרפו:</w:t>
      </w:r>
    </w:p>
    <w:p w14:paraId="448D8D49" w14:textId="74905E72" w:rsidR="00C97BEF" w:rsidRDefault="00C97BEF" w:rsidP="006A458D">
      <w:pPr>
        <w:pStyle w:val="ab"/>
        <w:numPr>
          <w:ilvl w:val="0"/>
          <w:numId w:val="112"/>
        </w:numPr>
        <w:rPr>
          <w:rFonts w:cs="Arial"/>
        </w:rPr>
      </w:pPr>
      <w:r>
        <w:rPr>
          <w:rFonts w:cs="Arial"/>
          <w:rtl/>
        </w:rPr>
        <w:t xml:space="preserve">רשב"א </w:t>
      </w:r>
      <w:r>
        <w:rPr>
          <w:rFonts w:cs="Arial"/>
          <w:sz w:val="16"/>
          <w:szCs w:val="16"/>
          <w:rtl/>
        </w:rPr>
        <w:t>(שו"ת ח"א סי' תרסג, וח"ד סי' רלא)</w:t>
      </w:r>
      <w:r w:rsidR="00A82951">
        <w:rPr>
          <w:rFonts w:cs="Arial"/>
          <w:rtl/>
        </w:rPr>
        <w:t>-</w:t>
      </w:r>
      <w:r>
        <w:rPr>
          <w:rFonts w:cs="Arial"/>
          <w:rtl/>
        </w:rPr>
        <w:t xml:space="preserve"> כתבת, כיון דקיי"ל </w:t>
      </w:r>
      <w:r>
        <w:rPr>
          <w:rFonts w:cs="Arial"/>
          <w:sz w:val="16"/>
          <w:szCs w:val="16"/>
          <w:rtl/>
        </w:rPr>
        <w:t xml:space="preserve">(גיטין י:) </w:t>
      </w:r>
      <w:r>
        <w:rPr>
          <w:rFonts w:cs="Arial"/>
          <w:rtl/>
        </w:rPr>
        <w:t xml:space="preserve">דעדי הגט אין חותמין זה שלא בפני זה, אם נתקיים עד אחד מהם בשני עדים, והשני לא נתקיים אלא בעד אחד על פה, הנאמר שנצרף חתימת העד שנתקיים לעד שמעיד על פה, שהרי הוא כאילו מעיד עליו, שהרי נודע שאם לא חתם בפניו שלא היה הוא חותם, וכענין שאמרו (שם) בכותי דאי לאו כותי כשר הוא לא הוה מחתים ליה קמיה.   </w:t>
      </w:r>
      <w:r w:rsidR="00A6549E">
        <w:rPr>
          <w:rFonts w:cs="Arial" w:hint="cs"/>
          <w:rtl/>
        </w:rPr>
        <w:t xml:space="preserve">  </w:t>
      </w:r>
      <w:r>
        <w:rPr>
          <w:rFonts w:cs="Arial"/>
          <w:rtl/>
        </w:rPr>
        <w:t xml:space="preserve"> תשובה: אין הנדון דומה לראיה, דהתם אינו אלא לדעת שהוא כשר ומדקדק ובקי במה שכתוב ושהחזיקו בו הכותים ואליבא דרבי אליעזר (שם.), ומשום הכי מכשרין ליה אפילו בעד אחד ישראל שהחתימו לפניו. אבל בקיום חתימה לא מתכשר אלא בקיום על פה שמעידין בפירוש על חתימתו או בשנתקיימה חתימתו מתוך כתיבת שטרות אחרים.</w:t>
      </w:r>
    </w:p>
    <w:p w14:paraId="057201A4" w14:textId="7D539A51" w:rsidR="00C97BEF" w:rsidRDefault="00C97BEF" w:rsidP="00C97BEF">
      <w:pPr>
        <w:rPr>
          <w:rFonts w:cs="Arial"/>
          <w:u w:val="single"/>
        </w:rPr>
      </w:pPr>
      <w:r>
        <w:rPr>
          <w:rFonts w:cs="Arial"/>
          <w:u w:val="single"/>
          <w:rtl/>
        </w:rPr>
        <w:t xml:space="preserve">גט הובא ע"י שלוחים ולא כתוב בשטרי השליחות שנעשו שלוחים בב"ד </w:t>
      </w:r>
      <w:r w:rsidR="00A82951">
        <w:rPr>
          <w:rFonts w:cs="Arial"/>
          <w:u w:val="single"/>
          <w:rtl/>
        </w:rPr>
        <w:t>-</w:t>
      </w:r>
      <w:r>
        <w:rPr>
          <w:rFonts w:cs="Arial"/>
          <w:u w:val="single"/>
          <w:rtl/>
        </w:rPr>
        <w:t xml:space="preserve"> האם צ"ל בפ"נ ובפ"נ: </w:t>
      </w:r>
    </w:p>
    <w:p w14:paraId="01B59513" w14:textId="65465B68" w:rsidR="00C97BEF" w:rsidRDefault="00C97BEF" w:rsidP="006A458D">
      <w:pPr>
        <w:pStyle w:val="ab"/>
        <w:numPr>
          <w:ilvl w:val="0"/>
          <w:numId w:val="112"/>
        </w:numPr>
        <w:rPr>
          <w:rtl/>
        </w:rPr>
      </w:pPr>
      <w:r>
        <w:rPr>
          <w:rFonts w:cs="Arial"/>
          <w:rtl/>
        </w:rPr>
        <w:t>ריב"ש</w:t>
      </w:r>
      <w:r>
        <w:rPr>
          <w:rFonts w:cs="Arial"/>
          <w:sz w:val="16"/>
          <w:szCs w:val="16"/>
          <w:rtl/>
        </w:rPr>
        <w:t xml:space="preserve"> (סי' שיח)</w:t>
      </w:r>
      <w:r w:rsidR="00A82951">
        <w:rPr>
          <w:rFonts w:cs="Arial"/>
          <w:rtl/>
        </w:rPr>
        <w:t>-</w:t>
      </w:r>
      <w:r>
        <w:rPr>
          <w:rFonts w:cs="Arial"/>
          <w:rtl/>
        </w:rPr>
        <w:t xml:space="preserve"> מה שאתה חושב דכל שיש עדים בשליחות הוה ליה כאתיוה בי תרי </w:t>
      </w:r>
      <w:r w:rsidR="00A82951">
        <w:rPr>
          <w:rFonts w:cs="Arial"/>
          <w:rtl/>
        </w:rPr>
        <w:t>-</w:t>
      </w:r>
      <w:r>
        <w:rPr>
          <w:rFonts w:cs="Arial"/>
          <w:rtl/>
        </w:rPr>
        <w:t xml:space="preserve"> אינו מוסכם מן הכל, שהרי מבואר בפ"ב דגיטין (טז.) דמסקנא ששנים שהביאו גט ממדינת הים שאין צריכין לומר בפנינו נכתב ובפנינו נחתם זהו כשהגט יוצא מתחת ידי שניהם, וכן פסקו הרי"ף (ז.) והרמב"ם (פ"ז הט"ו). ורש"י (ד"ה מתחת ידי שניהם) פירש ששניהם אדוקים בו ושניהם שלוחים בהבאתו. ואע"פ ששניהם אדוקים בו ודאי לאו דוקא אלא ששניהם אומרים שהבעל עשאם שלוחים ונתנו האחד במעמד שניהם, אבל מכל מקום צריך לפי פירושו ששניהם יהיו שלוחים. ויש קצת הוכחה לדבריו וכו'. ואפשר שטעמו שכל שהם עצמם שלוחי הגט מסתמא חתמו העדים בפניהם או ידעו בחתימתן, אבל עדי השליחות אין להחזיק הגט בעדים מצויים לקיימו מחמתם. ואף אם נאמר לדעתו שאם באו עדי השליחות או אחד מהם עם השליח מהני דחשבינן ליה מצויים לקיימו, דמסתמא גם עדי השליחות מכירים חתימתם של עדי הגט, וכן לרבה נמי הוי מילתא דלא שכיחא חד דמייתי גיטא ויבואו עמו עדי שליחותו או אחד מהם, מכל מקום בנדון זה שעדי השליחות נשארו במקום הבעל אין כאן במקום האשה מצויים לקיימו. וגם למה שכתבו הרשב"א והתוספות (עיין לעיל נט: בבית יוסף דיבור ראשון) דאפילו באחד שליח ואחד שמצטרף עם השליח להעיד על השליחות מהני לרבא דקיי"ל כוותיה ואינו צריך לומר בפני נכתב ובפני נחתם דהוי כאתיוה בי תרי דכיון שיש שני עדים שהוא שליח גט זה לגרשה שוב אין הבעל יכול לערער ולומר מזוייף הוא, מכל מקום אפשר דהיינו דוקא כשהעד המצטרף עם השליח הוא בכאן עתה עם השליח ומכיר הגט בטביעות עינא או בסימן מובהק ומעיד שעל גט זה נעשה שליח, ואז הוי כאילו נתקיים גט זה בחותמיו, כיון שמיד הבעל בא לו. וכן נזכר תמיד בלשונם 'גט זה'. אבל בנדון זה אע"פ שיש שטר שליחות ביד השליח שהבעל מינה אותו שליח ומסר בידו גט כשר ועדיו פלוני ופלוני, מכל מקום אין זה קיום על זה הגט שלפנינו ואף אם עדיו הם אותם הנזכרים בשליחות, שהרי אפשר שאותו גט נאבד או נשרף וזה מזוייף הוא. ואע"פ שאין חוששין לזה, מכל מקום אין גט זה מקויים לא בקיום הגט ולא בתקנת חכמים. והרמ"ה שהוא מבעלי סברא זו דכל שיש עדים על השליחות הוי כאתיוה בי תרי, אמנם הוסיף להחמיר והצריך שיהו עדי השליחות עצמם עדי מסירת הגט מיד השליח ליד האשה, ואז הוי כאילו אמרו בפנינו גירשה כיון שהם מעידין על מסירת הגט מיד הבעל ליד השליח ומיד השליח ליד האשה, אבל אם עדי מסירת הגט ליד האשה אינם עדי השליחות לא מהני סהדותייהו וצריך שיאמר השליח בפני נכתב ובפני נחתם משום דכל כת וכת מעידה על חצי דבר, ולא דמי לשליחות קבלה דלא בעינן שיהו עדי השליחות הם עדי מסירת הגט כדתנן בפרק התקבל (סג:) ולא חשבינן ליה חצי דבר דהתם כיון שהיא עשתה יד השליח כידה וכו'. ואחרי ראותי את כל אלה הצרכתי לומר בפני נכתב ובפני נחתם. ועוד אחרת היתה ולא רציתי לסמוך עליה והוא שהיה אפשר לקיים הגט בחותמיו מתוך שטר השליחות שהיה מקויים ועדיו היו העדים עצמם החתומים על הגט, אלא שחששתי לסברת הרמ"ה בפרק ב' דכתובות (כ.) דאפילו הוחזק בבית דין, דוקא בשקרא עליו ערער דאז דקדקו בקיומו, אבל לא קרא עליו ערער לא, וכן נראה דעת הרמב"ם (פ"ו מעדות ה"ג) וכל שכן ששניהם יוצאין מתחת ידי השליח.</w:t>
      </w:r>
    </w:p>
    <w:p w14:paraId="2E2498A0" w14:textId="77777777" w:rsidR="00C97BEF" w:rsidRDefault="00C97BEF" w:rsidP="00C97BEF">
      <w:pPr>
        <w:rPr>
          <w:u w:val="single"/>
          <w:rtl/>
        </w:rPr>
      </w:pPr>
      <w:r>
        <w:rPr>
          <w:rFonts w:cs="Arial"/>
          <w:u w:val="single"/>
          <w:rtl/>
        </w:rPr>
        <w:t>שליח שהביא גט מקויים בחותמיו, ואין מכירין חתימות דייני הקיום:</w:t>
      </w:r>
    </w:p>
    <w:p w14:paraId="4CFFF7BC" w14:textId="3712194C" w:rsidR="00C97BEF" w:rsidRDefault="00C97BEF" w:rsidP="006A458D">
      <w:pPr>
        <w:pStyle w:val="ab"/>
        <w:numPr>
          <w:ilvl w:val="0"/>
          <w:numId w:val="112"/>
        </w:numPr>
        <w:rPr>
          <w:rtl/>
        </w:rPr>
      </w:pPr>
      <w:r>
        <w:rPr>
          <w:rFonts w:cs="Arial"/>
          <w:rtl/>
        </w:rPr>
        <w:t xml:space="preserve">תשב"ץ </w:t>
      </w:r>
      <w:r>
        <w:rPr>
          <w:rFonts w:cs="Arial"/>
          <w:sz w:val="16"/>
          <w:szCs w:val="16"/>
          <w:rtl/>
        </w:rPr>
        <w:t>(ח"ג סי' טז)</w:t>
      </w:r>
      <w:r w:rsidR="00A82951">
        <w:rPr>
          <w:rFonts w:cs="Arial"/>
          <w:rtl/>
        </w:rPr>
        <w:t>-</w:t>
      </w:r>
      <w:r>
        <w:rPr>
          <w:rFonts w:cs="Arial"/>
          <w:rtl/>
        </w:rPr>
        <w:t xml:space="preserve"> על גט שליחות שנמסר ונקרע קרע בית דין, ואח"כ ערערו שלא נתקיים בחותמיו והשליח לא נכתב ונחתם בפניו, ולא נמצא אלא עד אחד מכיר חתימת שני הדיינים, ועד אחד מכיר חתימת העדים. נראה משני התלמודים </w:t>
      </w:r>
      <w:r>
        <w:rPr>
          <w:rFonts w:cs="Arial"/>
          <w:sz w:val="16"/>
          <w:szCs w:val="16"/>
          <w:rtl/>
        </w:rPr>
        <w:t>(בבלי כתובות כא. עד ודיין מצטרפין, וירושלמי ר"ה פ"ג סוף ה"א, גיטין פ"ט ה"ז, סנהדרין סוף פ"ג)</w:t>
      </w:r>
      <w:r>
        <w:rPr>
          <w:rFonts w:cs="Arial"/>
          <w:rtl/>
        </w:rPr>
        <w:t xml:space="preserve"> שקיום בית דין צריך קיום, ואילו העידו שנים על חתימת שני הדיינים היה מספיק. אבל כיון שאין מעיד על הקיום אלא עד אחד, אינו מועיל. ומה שאפשר לומר בהיתר אשה זו, דכיון דקיי"ל </w:t>
      </w:r>
      <w:r>
        <w:rPr>
          <w:rFonts w:cs="Arial"/>
          <w:sz w:val="16"/>
          <w:szCs w:val="16"/>
          <w:rtl/>
        </w:rPr>
        <w:t xml:space="preserve">(טור ריש הסימן וב"י שם ד"ה המביא) </w:t>
      </w:r>
      <w:r>
        <w:rPr>
          <w:rFonts w:cs="Arial"/>
          <w:rtl/>
        </w:rPr>
        <w:t xml:space="preserve">דלא חיישינן </w:t>
      </w:r>
      <w:r>
        <w:rPr>
          <w:rFonts w:cs="Arial"/>
          <w:rtl/>
        </w:rPr>
        <w:lastRenderedPageBreak/>
        <w:t xml:space="preserve">לשמה ולא הצריכו לומר בפני נכתב ובפני נחתם אלא לפי שאין עדים מצויים לקיימו ואם עדים מצויים לקיימו מתירין אותה, מעתה גט זה שבא מקויים </w:t>
      </w:r>
      <w:r w:rsidR="00A82951">
        <w:rPr>
          <w:rFonts w:cs="Arial"/>
          <w:rtl/>
        </w:rPr>
        <w:t>-</w:t>
      </w:r>
      <w:r>
        <w:rPr>
          <w:rFonts w:cs="Arial"/>
          <w:rtl/>
        </w:rPr>
        <w:t xml:space="preserve"> כשר הוא אע"פ שקיום בית דין צריך קיום. וראיה ממה שאמרו שאם נשתתקו בית דין של קיום ורמזו שהגט מקויים כשר. וא"כ עכשיו שהם חתומים בו ומן התורה כשר דנעשה כמי שנחקרה עדותן בבית דין ורבנן הוא דאצרוך קיום ומשום עיגונא נקל להתירה ועדיף טפי גט מקויים שלא נתקיים הקיום מעד אחד אומר בפני נכתב ובפני נחתם... ועוד שאחי אשת הרב שלח גט לאשתו והיה מקויים כי השליח שנכתב בפניו נאנס ולא יכול לבוא, ושכרו שליח אחר ונמסר בידה בלי קיום אחר. ומה שדיבר בזה הריב"ש הוא שאין דרך לקיים גט אשה אלא לאחר מסירה שאם נפל הגט הזה מיד שליח קודם מסירה ובא ליד האשה היינו מתירין אותה, ולא דיבר בזה בענין אחר, והתירה לינשא, והוא גם נשאה אח"כ ונשאר לו ממנה בת נשואה.</w:t>
      </w:r>
      <w:r>
        <w:rPr>
          <w:rtl/>
        </w:rPr>
        <w:t xml:space="preserve"> </w:t>
      </w:r>
      <w:r>
        <w:rPr>
          <w:color w:val="00B0F0"/>
          <w:rtl/>
        </w:rPr>
        <w:t>(וכ"כ הרמ"א)</w:t>
      </w:r>
    </w:p>
    <w:p w14:paraId="12CFCE54" w14:textId="4ADBCC03" w:rsidR="00C97BEF" w:rsidRDefault="00C97BEF" w:rsidP="00C97BEF">
      <w:r>
        <w:rPr>
          <w:rFonts w:cs="Arial"/>
          <w:u w:val="single"/>
          <w:rtl/>
        </w:rPr>
        <w:t xml:space="preserve">במקום שיש צורך בתיקון כלשהוא לכתחילה </w:t>
      </w:r>
      <w:r w:rsidR="00A82951">
        <w:rPr>
          <w:rFonts w:cs="Arial"/>
          <w:u w:val="single"/>
          <w:rtl/>
        </w:rPr>
        <w:t>-</w:t>
      </w:r>
      <w:r>
        <w:rPr>
          <w:rFonts w:cs="Arial"/>
          <w:u w:val="single"/>
          <w:rtl/>
        </w:rPr>
        <w:t xml:space="preserve"> האם ניתן להקל ולהחשיב כדיעבד בגלל ריחוק הדרך:</w:t>
      </w:r>
      <w:r>
        <w:rPr>
          <w:rFonts w:cs="Arial"/>
          <w:rtl/>
        </w:rPr>
        <w:t xml:space="preserve"> </w:t>
      </w:r>
      <w:r>
        <w:rPr>
          <w:rFonts w:cs="Arial"/>
          <w:sz w:val="16"/>
          <w:szCs w:val="16"/>
          <w:rtl/>
        </w:rPr>
        <w:t>(דרכ"מ אות יא)</w:t>
      </w:r>
      <w:r>
        <w:rPr>
          <w:rFonts w:cs="Arial"/>
          <w:rtl/>
        </w:rPr>
        <w:t xml:space="preserve"> </w:t>
      </w:r>
    </w:p>
    <w:p w14:paraId="492B16A0" w14:textId="51AB0F37" w:rsidR="00C97BEF" w:rsidRDefault="00C97BEF" w:rsidP="006A458D">
      <w:pPr>
        <w:pStyle w:val="ab"/>
        <w:numPr>
          <w:ilvl w:val="0"/>
          <w:numId w:val="112"/>
        </w:numPr>
      </w:pPr>
      <w:r>
        <w:rPr>
          <w:rFonts w:cs="Arial"/>
          <w:rtl/>
        </w:rPr>
        <w:t xml:space="preserve">דרכ"מ </w:t>
      </w:r>
      <w:r>
        <w:rPr>
          <w:rFonts w:cs="Arial"/>
          <w:sz w:val="16"/>
          <w:szCs w:val="16"/>
          <w:rtl/>
        </w:rPr>
        <w:t>(אות יא)</w:t>
      </w:r>
      <w:r w:rsidR="00A82951">
        <w:rPr>
          <w:rFonts w:cs="Arial"/>
          <w:rtl/>
        </w:rPr>
        <w:t>-</w:t>
      </w:r>
      <w:r>
        <w:rPr>
          <w:rFonts w:cs="Arial"/>
          <w:rtl/>
        </w:rPr>
        <w:t xml:space="preserve"> מצאתי כתוב בתיקון ישן דריחוק הדרך מיקרי דיעבד, וכל מקום דדיעבד כשר </w:t>
      </w:r>
      <w:r w:rsidR="00A82951">
        <w:rPr>
          <w:rFonts w:cs="Arial"/>
          <w:rtl/>
        </w:rPr>
        <w:t>-</w:t>
      </w:r>
      <w:r>
        <w:rPr>
          <w:rFonts w:cs="Arial"/>
          <w:rtl/>
        </w:rPr>
        <w:t xml:space="preserve"> ריחוק הדרך נמי כשר.</w:t>
      </w:r>
    </w:p>
    <w:p w14:paraId="150FD51D"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B6F7CF9" w14:textId="4BC2869F" w:rsidR="00C97BEF" w:rsidRDefault="00C97BEF" w:rsidP="00C97BEF">
      <w:pPr>
        <w:rPr>
          <w:rFonts w:cs="Arial"/>
          <w:rtl/>
        </w:rPr>
      </w:pPr>
      <w:r>
        <w:rPr>
          <w:rFonts w:cs="Arial"/>
          <w:rtl/>
        </w:rPr>
        <w:t>שנים שמביאים גט ואחד אומר: בפני נכתב, ואחד אומר: בפני נחתם, אם אין שליח אלא אחד מהם</w:t>
      </w:r>
      <w:r>
        <w:rPr>
          <w:rStyle w:val="a7"/>
          <w:rFonts w:cs="Arial"/>
          <w:rtl/>
        </w:rPr>
        <w:footnoteReference w:id="2344"/>
      </w:r>
      <w:r>
        <w:rPr>
          <w:rFonts w:cs="Arial"/>
          <w:rtl/>
        </w:rPr>
        <w:t xml:space="preserve">, לא ינתן לה עד שיתקיים בחותמיו. וכן אם שנים אומרים: בפנינו נכתב, ואחד שלישי אומר: בפני נחתם, אם אין שליח אלא אחד, לא ינתן לה עד שיתקיים בחותמיו. אמר אחד: בפני נכתב, ושנים אומרים: בפנינו נחתם, אף על פי שאינו יוצא מתחת ידם, כשר, שהרי נתקיים בחותמיו. </w:t>
      </w:r>
      <w:r>
        <w:rPr>
          <w:rFonts w:cs="Arial"/>
          <w:sz w:val="18"/>
          <w:szCs w:val="18"/>
          <w:rtl/>
        </w:rPr>
        <w:t>הגה: יש אומרים דאם הביא השליח הגט מקויים בחותמיו, אע"פ שאין מכירין חתימות דייני הקיום, מכל מקום במקום דחק ועיגון יש להקל ולסמוך עליו אע"פ שלא אמר השליח: בפני נכתב ובפני נחתם, הואיל ואי אפשר להחזיר ולומר, יש לסמוך על החתימות, דמן התורה עדים החתומים על השטר כמי שנחקרה עדותן בבית דין דמי (תשב"ץ).</w:t>
      </w:r>
    </w:p>
    <w:p w14:paraId="1F1A2238" w14:textId="77777777" w:rsidR="00C97BEF" w:rsidRDefault="00C97BEF" w:rsidP="00C97BEF">
      <w:pPr>
        <w:bidi w:val="0"/>
        <w:spacing w:after="0"/>
        <w:rPr>
          <w:rtl/>
        </w:rPr>
        <w:sectPr w:rsidR="00C97BEF">
          <w:headerReference w:type="default" r:id="rId35"/>
          <w:footnotePr>
            <w:numRestart w:val="eachSect"/>
          </w:footnotePr>
          <w:pgSz w:w="11906" w:h="16838"/>
          <w:pgMar w:top="720" w:right="1134" w:bottom="720" w:left="1134" w:header="0" w:footer="0" w:gutter="0"/>
          <w:cols w:space="720"/>
          <w:bidi/>
          <w:rtlGutter/>
        </w:sectPr>
      </w:pPr>
    </w:p>
    <w:p w14:paraId="489F75F1" w14:textId="77777777" w:rsidR="00C97BEF" w:rsidRDefault="00C97BEF" w:rsidP="00C97BEF">
      <w:pPr>
        <w:pStyle w:val="1"/>
        <w:rPr>
          <w:rtl/>
        </w:rPr>
      </w:pPr>
      <w:r>
        <w:rPr>
          <w:rtl/>
        </w:rPr>
        <w:lastRenderedPageBreak/>
        <w:t xml:space="preserve">סימן קמג: </w:t>
      </w:r>
      <w:r>
        <w:rPr>
          <w:rFonts w:cs="Arial"/>
          <w:rtl/>
        </w:rPr>
        <w:t xml:space="preserve">דין המגרש על תנאי, ובו כ"ג סעיפים. </w:t>
      </w:r>
    </w:p>
    <w:p w14:paraId="287C6FDA" w14:textId="77777777" w:rsidR="00C97BEF" w:rsidRDefault="00C97BEF" w:rsidP="00C97BEF">
      <w:pPr>
        <w:pStyle w:val="2"/>
        <w:rPr>
          <w:rtl/>
        </w:rPr>
      </w:pPr>
      <w:r>
        <w:rPr>
          <w:rtl/>
        </w:rPr>
        <w:t>סעיף א: המגרש על תנאי.</w:t>
      </w:r>
    </w:p>
    <w:p w14:paraId="48DBB4BE" w14:textId="2F6D5745" w:rsidR="00C97BEF" w:rsidRDefault="00C97BEF" w:rsidP="00C97BEF">
      <w:pPr>
        <w:rPr>
          <w:rtl/>
        </w:rPr>
      </w:pPr>
      <w:r>
        <w:rPr>
          <w:rFonts w:cs="Arial"/>
          <w:b/>
          <w:bCs/>
          <w:rtl/>
        </w:rPr>
        <w:t xml:space="preserve">קידושין </w:t>
      </w:r>
      <w:r>
        <w:rPr>
          <w:rFonts w:cs="Arial"/>
          <w:b/>
          <w:bCs/>
          <w:sz w:val="16"/>
          <w:szCs w:val="16"/>
          <w:rtl/>
        </w:rPr>
        <w:t>(פ' האומר)</w:t>
      </w:r>
      <w:r>
        <w:rPr>
          <w:rFonts w:cs="Arial"/>
          <w:b/>
          <w:bCs/>
          <w:rtl/>
        </w:rPr>
        <w:t xml:space="preserve"> סא ע"א: </w:t>
      </w:r>
      <w:r>
        <w:rPr>
          <w:rFonts w:cs="Arial"/>
          <w:u w:val="double"/>
          <w:rtl/>
        </w:rPr>
        <w:t>מתני'</w:t>
      </w:r>
      <w:r>
        <w:rPr>
          <w:rFonts w:cs="Arial"/>
          <w:rtl/>
        </w:rPr>
        <w:t xml:space="preserve">: </w:t>
      </w:r>
      <w:r>
        <w:rPr>
          <w:rFonts w:cs="Arial"/>
          <w:u w:val="single"/>
          <w:rtl/>
        </w:rPr>
        <w:t>ר' מאיר אומר</w:t>
      </w:r>
      <w:r>
        <w:rPr>
          <w:rFonts w:cs="Arial"/>
          <w:rtl/>
        </w:rPr>
        <w:t xml:space="preserve">: כל תנאי שאינו כתנאי בני גד ובני ראובן </w:t>
      </w:r>
      <w:r w:rsidR="00A82951">
        <w:rPr>
          <w:rFonts w:cs="Arial"/>
          <w:rtl/>
        </w:rPr>
        <w:t>-</w:t>
      </w:r>
      <w:r>
        <w:rPr>
          <w:rFonts w:cs="Arial"/>
          <w:rtl/>
        </w:rPr>
        <w:t xml:space="preserve"> אינו תנאי, שנאמר: ויאמר... אליהם אם יעברו בני גד ובני ראובן, וכתיב: ואם לא יעברו חלוצים. </w:t>
      </w:r>
      <w:r>
        <w:rPr>
          <w:rFonts w:cs="Arial"/>
          <w:u w:val="single"/>
          <w:rtl/>
        </w:rPr>
        <w:t>רבי חנינא בן גמליאל אומר</w:t>
      </w:r>
      <w:r>
        <w:rPr>
          <w:rFonts w:cs="Arial"/>
          <w:rtl/>
        </w:rPr>
        <w:t>: צריך הדבר לאומרו, שאלמלא כן, יש במשמע שאפי' בארץ כנען לא ינחלו.</w:t>
      </w:r>
    </w:p>
    <w:p w14:paraId="2FB1BFDB" w14:textId="41AB2225" w:rsidR="00C97BEF" w:rsidRDefault="00C97BEF" w:rsidP="00C97BEF">
      <w:pPr>
        <w:rPr>
          <w:rtl/>
        </w:rPr>
      </w:pPr>
      <w:r>
        <w:rPr>
          <w:rFonts w:cs="Arial"/>
          <w:b/>
          <w:bCs/>
          <w:rtl/>
        </w:rPr>
        <w:t xml:space="preserve">גיטין </w:t>
      </w:r>
      <w:r>
        <w:rPr>
          <w:rFonts w:cs="Arial"/>
          <w:b/>
          <w:bCs/>
          <w:sz w:val="16"/>
          <w:szCs w:val="16"/>
          <w:rtl/>
        </w:rPr>
        <w:t>(פ' הזורק)</w:t>
      </w:r>
      <w:r>
        <w:rPr>
          <w:rFonts w:cs="Arial"/>
          <w:b/>
          <w:bCs/>
          <w:rtl/>
        </w:rPr>
        <w:t xml:space="preserve"> פא ע"א: </w:t>
      </w:r>
      <w:r>
        <w:rPr>
          <w:rFonts w:cs="Arial"/>
          <w:u w:val="double"/>
          <w:rtl/>
        </w:rPr>
        <w:t>מתני'</w:t>
      </w:r>
      <w:r>
        <w:rPr>
          <w:rFonts w:cs="Arial"/>
          <w:rtl/>
        </w:rPr>
        <w:t xml:space="preserve">: כתב לגרש את אשתו ונמלך, </w:t>
      </w:r>
      <w:r>
        <w:rPr>
          <w:rFonts w:cs="Arial"/>
          <w:u w:val="single"/>
          <w:rtl/>
        </w:rPr>
        <w:t>ב"ש אומרים</w:t>
      </w:r>
      <w:r>
        <w:rPr>
          <w:rFonts w:cs="Arial"/>
          <w:rtl/>
        </w:rPr>
        <w:t xml:space="preserve">: פסלה מן הכהונה. </w:t>
      </w:r>
      <w:r>
        <w:rPr>
          <w:rFonts w:cs="Arial"/>
          <w:u w:val="single"/>
          <w:rtl/>
        </w:rPr>
        <w:t>וב"ה אומרים</w:t>
      </w:r>
      <w:r>
        <w:rPr>
          <w:rFonts w:cs="Arial"/>
          <w:rtl/>
        </w:rPr>
        <w:t xml:space="preserve">: אף על פי שנתנו לה על תנאי ולא נעשה התנאי </w:t>
      </w:r>
      <w:r w:rsidR="00A82951">
        <w:rPr>
          <w:rFonts w:cs="Arial"/>
          <w:rtl/>
        </w:rPr>
        <w:t>-</w:t>
      </w:r>
      <w:r>
        <w:rPr>
          <w:rFonts w:cs="Arial"/>
          <w:rtl/>
        </w:rPr>
        <w:t xml:space="preserve"> לא פסלה מן הכהונה.</w:t>
      </w:r>
    </w:p>
    <w:p w14:paraId="5119FE70" w14:textId="77777777" w:rsidR="00C97BEF" w:rsidRDefault="00C97BEF" w:rsidP="00C97BEF">
      <w:pPr>
        <w:rPr>
          <w:u w:val="single"/>
          <w:rtl/>
        </w:rPr>
      </w:pPr>
      <w:r>
        <w:rPr>
          <w:u w:val="single"/>
          <w:rtl/>
        </w:rPr>
        <w:t>המגרש על תנאי:</w:t>
      </w:r>
    </w:p>
    <w:p w14:paraId="6D42EC45" w14:textId="3FEE03D6" w:rsidR="00C97BEF" w:rsidRDefault="00C97BEF" w:rsidP="006A458D">
      <w:pPr>
        <w:pStyle w:val="ab"/>
        <w:numPr>
          <w:ilvl w:val="0"/>
          <w:numId w:val="112"/>
        </w:numPr>
        <w:rPr>
          <w:rtl/>
        </w:rPr>
      </w:pPr>
      <w:r>
        <w:rPr>
          <w:rFonts w:cs="Arial"/>
          <w:rtl/>
        </w:rPr>
        <w:t>רמב"ם</w:t>
      </w:r>
      <w:r>
        <w:rPr>
          <w:rFonts w:cs="Arial"/>
          <w:sz w:val="16"/>
          <w:szCs w:val="16"/>
          <w:rtl/>
        </w:rPr>
        <w:t xml:space="preserve"> (פ"ו מאישות</w:t>
      </w:r>
      <w:r>
        <w:rPr>
          <w:rStyle w:val="a7"/>
          <w:rFonts w:cs="Arial"/>
          <w:rtl/>
        </w:rPr>
        <w:footnoteReference w:id="2345"/>
      </w:r>
      <w:r>
        <w:rPr>
          <w:rFonts w:cs="Arial"/>
          <w:sz w:val="16"/>
          <w:szCs w:val="16"/>
          <w:rtl/>
        </w:rPr>
        <w:t xml:space="preserve"> ה"א</w:t>
      </w:r>
      <w:r w:rsidR="00A82951">
        <w:rPr>
          <w:rFonts w:cs="Arial"/>
          <w:sz w:val="16"/>
          <w:szCs w:val="16"/>
          <w:rtl/>
        </w:rPr>
        <w:t>-</w:t>
      </w:r>
      <w:r>
        <w:rPr>
          <w:rFonts w:cs="Arial"/>
          <w:sz w:val="16"/>
          <w:szCs w:val="16"/>
          <w:rtl/>
        </w:rPr>
        <w:t>ב, ופ"ח מגירושין ה"א)</w:t>
      </w:r>
      <w:r>
        <w:rPr>
          <w:rtl/>
        </w:rPr>
        <w:t xml:space="preserve"> </w:t>
      </w:r>
      <w:r>
        <w:rPr>
          <w:rFonts w:cs="Arial"/>
          <w:rtl/>
        </w:rPr>
        <w:t xml:space="preserve">רא"ש </w:t>
      </w:r>
      <w:r>
        <w:rPr>
          <w:rFonts w:cs="Arial"/>
          <w:sz w:val="16"/>
          <w:szCs w:val="16"/>
          <w:rtl/>
        </w:rPr>
        <w:t>(פ' מי שאחזו סי' ט, ובתשו' כלל מו סי' ג, א)</w:t>
      </w:r>
      <w:r>
        <w:rPr>
          <w:rFonts w:cs="Arial"/>
          <w:rtl/>
        </w:rPr>
        <w:t xml:space="preserve"> </w:t>
      </w:r>
      <w:r>
        <w:rPr>
          <w:rtl/>
        </w:rPr>
        <w:t>וטור</w:t>
      </w:r>
      <w:r w:rsidR="00A82951">
        <w:rPr>
          <w:rtl/>
        </w:rPr>
        <w:t>-</w:t>
      </w:r>
      <w:r>
        <w:rPr>
          <w:rtl/>
        </w:rPr>
        <w:t xml:space="preserve"> </w:t>
      </w:r>
      <w:r>
        <w:rPr>
          <w:rFonts w:cs="Arial"/>
          <w:rtl/>
        </w:rPr>
        <w:t xml:space="preserve">המגרש על תנאי ה"ז כשאר כל מעשה שנעשה על תנאי, שאין המעשה מתקיים אא"כ יתקיים התנאי. ואם לא יתקיים התנאי </w:t>
      </w:r>
      <w:r w:rsidR="00A82951">
        <w:rPr>
          <w:rFonts w:cs="Arial"/>
          <w:rtl/>
        </w:rPr>
        <w:t>-</w:t>
      </w:r>
      <w:r>
        <w:rPr>
          <w:rFonts w:cs="Arial"/>
          <w:rtl/>
        </w:rPr>
        <w:t xml:space="preserve"> אין כאן גט כלל, ואפי' אם הוא כהן</w:t>
      </w:r>
      <w:r>
        <w:rPr>
          <w:rStyle w:val="a7"/>
          <w:rFonts w:cs="Arial"/>
          <w:rtl/>
        </w:rPr>
        <w:footnoteReference w:id="2346"/>
      </w:r>
      <w:r>
        <w:rPr>
          <w:rFonts w:cs="Arial"/>
          <w:rtl/>
        </w:rPr>
        <w:t xml:space="preserve"> מותרת לו, ובלבד שיהא כהלכתו, שיהא כפול, ותנאי קודם למעשה, והן קודם ללאו, ותנאי בדבר אחד ומעשה בדבר אחר, ושיוכל להתקיים המעשה על ידי שליח, ושיהיה בדבר שתוכל לעשותו, כדפירשתי בהלכות קידושין. אבל אם לא נעשה כהלכתו </w:t>
      </w:r>
      <w:r w:rsidR="00A82951">
        <w:rPr>
          <w:rFonts w:cs="Arial"/>
          <w:rtl/>
        </w:rPr>
        <w:t>-</w:t>
      </w:r>
      <w:r>
        <w:rPr>
          <w:rFonts w:cs="Arial"/>
          <w:rtl/>
        </w:rPr>
        <w:t xml:space="preserve"> התנאי בטל והגירושין קיימין</w:t>
      </w:r>
      <w:r>
        <w:rPr>
          <w:rFonts w:cs="Arial"/>
          <w:sz w:val="16"/>
          <w:szCs w:val="16"/>
          <w:rtl/>
        </w:rPr>
        <w:t xml:space="preserve"> (ל' הטור)</w:t>
      </w:r>
      <w:r>
        <w:rPr>
          <w:rFonts w:cs="Arial"/>
          <w:rtl/>
        </w:rPr>
        <w:t xml:space="preserve">. </w:t>
      </w:r>
      <w:r>
        <w:rPr>
          <w:color w:val="E36C0A" w:themeColor="accent6" w:themeShade="BF"/>
          <w:rtl/>
        </w:rPr>
        <w:t>(וכ"פ בשו"ע)</w:t>
      </w:r>
    </w:p>
    <w:p w14:paraId="3B6F0E40" w14:textId="60A79AF1" w:rsidR="00C97BEF" w:rsidRDefault="00C97BEF" w:rsidP="006A458D">
      <w:pPr>
        <w:pStyle w:val="ab"/>
        <w:numPr>
          <w:ilvl w:val="0"/>
          <w:numId w:val="112"/>
        </w:numPr>
      </w:pPr>
      <w:r>
        <w:rPr>
          <w:rFonts w:cs="Arial"/>
          <w:rtl/>
        </w:rPr>
        <w:t xml:space="preserve">הה"מ </w:t>
      </w:r>
      <w:r>
        <w:rPr>
          <w:rFonts w:cs="Arial"/>
          <w:sz w:val="16"/>
          <w:szCs w:val="16"/>
          <w:rtl/>
        </w:rPr>
        <w:t>(פ"ו מאישות הי"ד)</w:t>
      </w:r>
      <w:r w:rsidR="00A82951">
        <w:rPr>
          <w:rFonts w:cs="Arial"/>
          <w:rtl/>
        </w:rPr>
        <w:t>-</w:t>
      </w:r>
      <w:r>
        <w:rPr>
          <w:rFonts w:cs="Arial"/>
          <w:rtl/>
        </w:rPr>
        <w:t xml:space="preserve"> דעת הרי"ף</w:t>
      </w:r>
      <w:r>
        <w:rPr>
          <w:rStyle w:val="a7"/>
          <w:rFonts w:cs="Arial"/>
          <w:rtl/>
        </w:rPr>
        <w:footnoteReference w:id="2347"/>
      </w:r>
      <w:r>
        <w:rPr>
          <w:rFonts w:cs="Arial"/>
          <w:rtl/>
        </w:rPr>
        <w:t xml:space="preserve"> וקצת מן האחרונים דמדינא לא בעינן תנאי כפול, אלא דלהחמיר חיישינן ליה בגיטין וקידושין, והיכא דלא כפל התנאי ולא נתקיים </w:t>
      </w:r>
      <w:r w:rsidR="00A82951">
        <w:rPr>
          <w:rFonts w:cs="Arial"/>
          <w:rtl/>
        </w:rPr>
        <w:t>-</w:t>
      </w:r>
      <w:r>
        <w:rPr>
          <w:rFonts w:cs="Arial"/>
          <w:rtl/>
        </w:rPr>
        <w:t xml:space="preserve"> חוששין לה ואין מחזיקין אותה לא במגורשת ולא באינה מגורשת, ולא במקודשת ולא באינה מקודשת, והולכין בה להחמיר מדברי חכמים, וכן נראה שהוא דעת הרמב"ן (גיטין עה:) והרשב"א (שם ד"ה הא דאתקין)</w:t>
      </w:r>
      <w:r>
        <w:rPr>
          <w:rStyle w:val="a7"/>
          <w:rFonts w:cs="Arial"/>
          <w:rtl/>
        </w:rPr>
        <w:footnoteReference w:id="2348"/>
      </w:r>
      <w:r>
        <w:rPr>
          <w:rFonts w:cs="Arial"/>
          <w:rtl/>
        </w:rPr>
        <w:t>.</w:t>
      </w:r>
    </w:p>
    <w:p w14:paraId="2E827868" w14:textId="77777777" w:rsidR="00C97BEF" w:rsidRDefault="00C97BEF" w:rsidP="00C97BEF">
      <w:pPr>
        <w:ind w:left="360"/>
        <w:rPr>
          <w:u w:val="dotted"/>
        </w:rPr>
      </w:pPr>
      <w:r>
        <w:rPr>
          <w:u w:val="dotted"/>
          <w:rtl/>
        </w:rPr>
        <w:t>ומה הדין באומר מעכשיו/על מנת:</w:t>
      </w:r>
    </w:p>
    <w:p w14:paraId="5E51E860" w14:textId="53A9444D" w:rsidR="00C97BEF" w:rsidRDefault="00C97BEF" w:rsidP="006A458D">
      <w:pPr>
        <w:pStyle w:val="ab"/>
        <w:numPr>
          <w:ilvl w:val="0"/>
          <w:numId w:val="112"/>
        </w:numPr>
      </w:pPr>
      <w:r>
        <w:rPr>
          <w:rFonts w:cs="Arial"/>
          <w:rtl/>
        </w:rPr>
        <w:t xml:space="preserve">רי"ף </w:t>
      </w:r>
      <w:r>
        <w:rPr>
          <w:rFonts w:cs="Arial"/>
          <w:sz w:val="16"/>
          <w:szCs w:val="16"/>
          <w:rtl/>
        </w:rPr>
        <w:t>(גיטין לז:)</w:t>
      </w:r>
      <w:r>
        <w:rPr>
          <w:rFonts w:cs="Arial"/>
          <w:rtl/>
        </w:rPr>
        <w:t xml:space="preserve"> ורמב"ם </w:t>
      </w:r>
      <w:r>
        <w:rPr>
          <w:rFonts w:cs="Arial"/>
          <w:sz w:val="16"/>
          <w:szCs w:val="16"/>
          <w:rtl/>
        </w:rPr>
        <w:t>(פ"ו מאישות הי"ז)</w:t>
      </w:r>
      <w:r>
        <w:rPr>
          <w:rStyle w:val="a7"/>
          <w:rFonts w:cs="Arial"/>
          <w:rtl/>
        </w:rPr>
        <w:footnoteReference w:id="2349"/>
      </w:r>
      <w:r w:rsidR="00A82951">
        <w:rPr>
          <w:rFonts w:cs="Arial"/>
          <w:rtl/>
        </w:rPr>
        <w:t>-</w:t>
      </w:r>
      <w:r>
        <w:rPr>
          <w:rFonts w:cs="Arial"/>
          <w:rtl/>
        </w:rPr>
        <w:t xml:space="preserve"> כל האומר מעכשיו אינו צריך לכפול תנאו ולא להקדים התנאי למעשה</w:t>
      </w:r>
      <w:r w:rsidR="00F84472">
        <w:rPr>
          <w:rFonts w:cs="Arial" w:hint="cs"/>
          <w:rtl/>
        </w:rPr>
        <w:t>,</w:t>
      </w:r>
      <w:r>
        <w:rPr>
          <w:rFonts w:cs="Arial"/>
          <w:rtl/>
        </w:rPr>
        <w:t xml:space="preserve"> אלא אע</w:t>
      </w:r>
      <w:r w:rsidR="00F84472">
        <w:rPr>
          <w:rFonts w:cs="Arial" w:hint="cs"/>
          <w:rtl/>
        </w:rPr>
        <w:t>"</w:t>
      </w:r>
      <w:r>
        <w:rPr>
          <w:rFonts w:cs="Arial"/>
          <w:rtl/>
        </w:rPr>
        <w:t>פ שהקדים המעשה תנאו קיים</w:t>
      </w:r>
      <w:r w:rsidR="00F84472">
        <w:rPr>
          <w:rFonts w:cs="Arial" w:hint="cs"/>
          <w:rtl/>
        </w:rPr>
        <w:t>.</w:t>
      </w:r>
      <w:r>
        <w:rPr>
          <w:rFonts w:cs="Arial"/>
          <w:rtl/>
        </w:rPr>
        <w:t xml:space="preserve"> אבל צריך להתנות בדבר שאפשר לקיימו</w:t>
      </w:r>
      <w:r w:rsidR="00F84472">
        <w:rPr>
          <w:rFonts w:cs="Arial" w:hint="cs"/>
          <w:rtl/>
        </w:rPr>
        <w:t>.</w:t>
      </w:r>
      <w:r>
        <w:rPr>
          <w:rFonts w:cs="Arial"/>
          <w:rtl/>
        </w:rPr>
        <w:t xml:space="preserve"> ואם התנה בדבר שאי אפשר לקיימו</w:t>
      </w:r>
      <w:r w:rsidR="005015B1">
        <w:rPr>
          <w:rFonts w:cs="Arial" w:hint="cs"/>
          <w:rtl/>
        </w:rPr>
        <w:t>,</w:t>
      </w:r>
      <w:r>
        <w:rPr>
          <w:rFonts w:cs="Arial"/>
          <w:rtl/>
        </w:rPr>
        <w:t xml:space="preserve"> הרי זה כמפליג בדברים ואין שם תנאי</w:t>
      </w:r>
      <w:r w:rsidR="00F84472">
        <w:rPr>
          <w:rFonts w:cs="Arial" w:hint="cs"/>
          <w:rtl/>
        </w:rPr>
        <w:t>.</w:t>
      </w:r>
      <w:r>
        <w:rPr>
          <w:rFonts w:cs="Arial"/>
          <w:rtl/>
        </w:rPr>
        <w:t xml:space="preserve"> וכל האומר על מנת כאומר מעכשיו</w:t>
      </w:r>
      <w:r w:rsidR="00F84472">
        <w:rPr>
          <w:rFonts w:cs="Arial" w:hint="cs"/>
          <w:rtl/>
        </w:rPr>
        <w:t>,</w:t>
      </w:r>
      <w:r>
        <w:rPr>
          <w:rFonts w:cs="Arial"/>
          <w:rtl/>
        </w:rPr>
        <w:t xml:space="preserve"> ואינו צריך לכפול התנאי ולא להקדימו למעשה</w:t>
      </w:r>
      <w:r>
        <w:rPr>
          <w:rFonts w:cs="Arial"/>
          <w:sz w:val="16"/>
          <w:szCs w:val="16"/>
          <w:rtl/>
        </w:rPr>
        <w:t xml:space="preserve"> (ל' הרמב"ם)</w:t>
      </w:r>
      <w:r>
        <w:rPr>
          <w:rFonts w:cs="Arial"/>
          <w:rtl/>
        </w:rPr>
        <w:t>.</w:t>
      </w:r>
    </w:p>
    <w:p w14:paraId="074C865E" w14:textId="7F4C2D05" w:rsidR="00C97BEF" w:rsidRDefault="00C97BEF" w:rsidP="006A458D">
      <w:pPr>
        <w:pStyle w:val="ab"/>
        <w:numPr>
          <w:ilvl w:val="0"/>
          <w:numId w:val="112"/>
        </w:numPr>
      </w:pPr>
      <w:r>
        <w:rPr>
          <w:rFonts w:cs="Arial"/>
          <w:rtl/>
        </w:rPr>
        <w:t xml:space="preserve">ר"ח </w:t>
      </w:r>
      <w:r>
        <w:rPr>
          <w:rFonts w:cs="Arial"/>
          <w:sz w:val="16"/>
          <w:szCs w:val="16"/>
          <w:rtl/>
        </w:rPr>
        <w:t>(כ"כ הרא"ש בשמו)</w:t>
      </w:r>
      <w:r>
        <w:rPr>
          <w:rFonts w:cs="Arial"/>
          <w:rtl/>
        </w:rPr>
        <w:t xml:space="preserve"> תוס' </w:t>
      </w:r>
      <w:r>
        <w:rPr>
          <w:rFonts w:cs="Arial"/>
          <w:sz w:val="16"/>
          <w:szCs w:val="16"/>
          <w:rtl/>
        </w:rPr>
        <w:t>(גיטין עה. ד"ה לאפוקי)</w:t>
      </w:r>
      <w:r>
        <w:rPr>
          <w:rFonts w:cs="Arial"/>
          <w:rtl/>
        </w:rPr>
        <w:t xml:space="preserve"> ורא"ש </w:t>
      </w:r>
      <w:r>
        <w:rPr>
          <w:rFonts w:cs="Arial"/>
          <w:sz w:val="16"/>
          <w:szCs w:val="16"/>
          <w:rtl/>
        </w:rPr>
        <w:t>(פ' מי שאחזו סי' ט, ובתשו' כלל מו סי' ג, א)</w:t>
      </w:r>
      <w:r w:rsidR="00A82951">
        <w:rPr>
          <w:rFonts w:cs="Arial"/>
          <w:rtl/>
        </w:rPr>
        <w:t>-</w:t>
      </w:r>
      <w:r>
        <w:rPr>
          <w:rFonts w:cs="Arial"/>
          <w:rtl/>
        </w:rPr>
        <w:t xml:space="preserve"> גם במעכשיו בעינן כל תנאי התנאי</w:t>
      </w:r>
      <w:r>
        <w:rPr>
          <w:rStyle w:val="a7"/>
          <w:rFonts w:cs="Arial"/>
          <w:rtl/>
        </w:rPr>
        <w:footnoteReference w:id="2350"/>
      </w:r>
      <w:r>
        <w:rPr>
          <w:rFonts w:cs="Arial"/>
          <w:rtl/>
        </w:rPr>
        <w:t>.</w:t>
      </w:r>
    </w:p>
    <w:p w14:paraId="1DCB6F4F" w14:textId="77777777" w:rsidR="00C97BEF" w:rsidRDefault="00C97BEF" w:rsidP="00C97BEF">
      <w:pPr>
        <w:rPr>
          <w:rFonts w:cs="Arial"/>
          <w:rtl/>
        </w:rPr>
      </w:pPr>
      <w:r>
        <w:rPr>
          <w:rFonts w:cs="Arial"/>
          <w:u w:val="single"/>
          <w:rtl/>
        </w:rPr>
        <w:lastRenderedPageBreak/>
        <w:t>המתנה בתחלת המעשה ובשעת גמר המעשה לא הזכיר התנאי:</w:t>
      </w:r>
      <w:r>
        <w:rPr>
          <w:rFonts w:cs="Arial"/>
          <w:rtl/>
        </w:rPr>
        <w:t xml:space="preserve"> </w:t>
      </w:r>
      <w:r>
        <w:rPr>
          <w:rFonts w:cs="Arial"/>
          <w:sz w:val="16"/>
          <w:szCs w:val="16"/>
          <w:rtl/>
        </w:rPr>
        <w:t xml:space="preserve">(דרכ"מ אות ב) </w:t>
      </w:r>
    </w:p>
    <w:p w14:paraId="2079F527" w14:textId="6B536D6D" w:rsidR="00C97BEF" w:rsidRDefault="00C97BEF" w:rsidP="006A458D">
      <w:pPr>
        <w:pStyle w:val="ab"/>
        <w:numPr>
          <w:ilvl w:val="0"/>
          <w:numId w:val="115"/>
        </w:numPr>
        <w:rPr>
          <w:rtl/>
        </w:rPr>
      </w:pPr>
      <w:r>
        <w:rPr>
          <w:rFonts w:cs="Arial"/>
          <w:rtl/>
        </w:rPr>
        <w:t xml:space="preserve">רא"ש </w:t>
      </w:r>
      <w:r>
        <w:rPr>
          <w:rFonts w:cs="Arial"/>
          <w:sz w:val="16"/>
          <w:szCs w:val="16"/>
          <w:rtl/>
        </w:rPr>
        <w:t>(כלל לה סי' ט)</w:t>
      </w:r>
      <w:r w:rsidR="00A82951">
        <w:rPr>
          <w:rFonts w:cs="Arial"/>
          <w:rtl/>
        </w:rPr>
        <w:t>-</w:t>
      </w:r>
      <w:r>
        <w:rPr>
          <w:rFonts w:cs="Arial"/>
          <w:rtl/>
        </w:rPr>
        <w:t xml:space="preserve"> כל המתנה בתחלת המעשה ובשעת גמר המעשה לא הזכיר התנאי, כגון שאמר הריני מגרש אשתי על תנאי זה וכפל לתנאו ואחר כך נתנו לה סתם </w:t>
      </w:r>
      <w:r w:rsidR="00A82951">
        <w:rPr>
          <w:rFonts w:cs="Arial"/>
          <w:rtl/>
        </w:rPr>
        <w:t>-</w:t>
      </w:r>
      <w:r>
        <w:rPr>
          <w:rFonts w:cs="Arial"/>
          <w:rtl/>
        </w:rPr>
        <w:t xml:space="preserve"> לא אמרינן דמחל לתנאו, אלא אמרינן דעל דעתו הראשונה הוא עושה.</w:t>
      </w:r>
    </w:p>
    <w:p w14:paraId="01BEAFA4" w14:textId="77777777" w:rsidR="00C97BEF" w:rsidRDefault="00C97BEF" w:rsidP="00C97BEF">
      <w:pPr>
        <w:rPr>
          <w:rFonts w:cs="Arial"/>
          <w:rtl/>
        </w:rPr>
      </w:pPr>
      <w:r>
        <w:rPr>
          <w:rFonts w:cs="Arial"/>
          <w:u w:val="single"/>
          <w:rtl/>
        </w:rPr>
        <w:t>אמר ב' פעמים בשעת נתינה 'הרי את מותרת לכל אדם', ואחרי תכ"ד אמר 'חוץ מפלוני':</w:t>
      </w:r>
      <w:r>
        <w:rPr>
          <w:rFonts w:cs="Arial"/>
          <w:rtl/>
        </w:rPr>
        <w:t xml:space="preserve"> </w:t>
      </w:r>
      <w:r>
        <w:rPr>
          <w:rFonts w:cs="Arial"/>
          <w:sz w:val="16"/>
          <w:szCs w:val="16"/>
          <w:rtl/>
        </w:rPr>
        <w:t>(דרכ"מ אות ב*)</w:t>
      </w:r>
    </w:p>
    <w:p w14:paraId="0B64CB39" w14:textId="0C32AEA0" w:rsidR="00C97BEF" w:rsidRDefault="00C97BEF" w:rsidP="006A458D">
      <w:pPr>
        <w:pStyle w:val="ab"/>
        <w:numPr>
          <w:ilvl w:val="0"/>
          <w:numId w:val="115"/>
        </w:numPr>
        <w:rPr>
          <w:rtl/>
        </w:rPr>
      </w:pPr>
      <w:r>
        <w:rPr>
          <w:rFonts w:cs="Arial"/>
          <w:rtl/>
        </w:rPr>
        <w:t xml:space="preserve">רא"ש </w:t>
      </w:r>
      <w:r>
        <w:rPr>
          <w:rFonts w:cs="Arial"/>
          <w:sz w:val="16"/>
          <w:szCs w:val="16"/>
          <w:rtl/>
        </w:rPr>
        <w:t>(כלל מג סי' ט)</w:t>
      </w:r>
      <w:r w:rsidR="00A82951">
        <w:rPr>
          <w:rFonts w:cs="Arial"/>
          <w:rtl/>
        </w:rPr>
        <w:t>-</w:t>
      </w:r>
      <w:r>
        <w:rPr>
          <w:rFonts w:cs="Arial"/>
          <w:rtl/>
        </w:rPr>
        <w:t xml:space="preserve"> אחד שאמר ב' פעמים בשעת נתינה הרי את מותרת לכל אדם, ואחר כך אמר חוץ מפלוני </w:t>
      </w:r>
      <w:r w:rsidR="00A82951">
        <w:rPr>
          <w:rFonts w:cs="Arial"/>
          <w:rtl/>
        </w:rPr>
        <w:t>-</w:t>
      </w:r>
      <w:r>
        <w:rPr>
          <w:rFonts w:cs="Arial"/>
          <w:rtl/>
        </w:rPr>
        <w:t xml:space="preserve"> הוה גט, דלא התנה תוך כדי דיבור של הרי את דקאמר בראשונה.</w:t>
      </w:r>
    </w:p>
    <w:p w14:paraId="34D4F65E"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8FC4882" w14:textId="77777777" w:rsidR="00C97BEF" w:rsidRDefault="00C97BEF" w:rsidP="00C97BEF">
      <w:pPr>
        <w:rPr>
          <w:rtl/>
        </w:rPr>
      </w:pPr>
      <w:r>
        <w:rPr>
          <w:rFonts w:cs="Arial"/>
          <w:rtl/>
        </w:rPr>
        <w:t>המגרש על תנאי, אם נתקיים התנאי הרי זו מגורשת</w:t>
      </w:r>
      <w:r>
        <w:rPr>
          <w:rStyle w:val="a7"/>
          <w:rFonts w:cs="Arial"/>
          <w:rtl/>
        </w:rPr>
        <w:footnoteReference w:id="2351"/>
      </w:r>
      <w:r>
        <w:rPr>
          <w:rFonts w:cs="Arial"/>
          <w:rtl/>
        </w:rPr>
        <w:t xml:space="preserve">. ואם לא נתקיים התנאי, אינה מגורשת, ואפילו הוא כהן, מותרת לו. וכבר נתבארו משפטי התנאים בסימן ל"ח. </w:t>
      </w:r>
    </w:p>
    <w:p w14:paraId="3176820D" w14:textId="77777777" w:rsidR="00C97BEF" w:rsidRDefault="00C97BEF" w:rsidP="00C97BEF">
      <w:pPr>
        <w:rPr>
          <w:u w:val="single"/>
          <w:rtl/>
        </w:rPr>
      </w:pPr>
      <w:r>
        <w:rPr>
          <w:u w:val="single"/>
          <w:rtl/>
        </w:rPr>
        <w:t>גילוי דעת בגיטין:</w:t>
      </w:r>
    </w:p>
    <w:p w14:paraId="2A67EE36" w14:textId="190AE4EA" w:rsidR="00C97BEF" w:rsidRDefault="00C97BEF" w:rsidP="006A458D">
      <w:pPr>
        <w:pStyle w:val="ab"/>
        <w:numPr>
          <w:ilvl w:val="0"/>
          <w:numId w:val="115"/>
        </w:numPr>
        <w:rPr>
          <w:rtl/>
        </w:rPr>
      </w:pPr>
      <w:r>
        <w:rPr>
          <w:rFonts w:cs="Arial"/>
          <w:rtl/>
        </w:rPr>
        <w:t xml:space="preserve">באה"ט </w:t>
      </w:r>
      <w:r>
        <w:rPr>
          <w:rFonts w:cs="Arial"/>
          <w:sz w:val="16"/>
          <w:szCs w:val="16"/>
          <w:rtl/>
        </w:rPr>
        <w:t xml:space="preserve"> (סק"א)</w:t>
      </w:r>
      <w:r w:rsidR="00A82951">
        <w:rPr>
          <w:rFonts w:cs="Arial"/>
          <w:rtl/>
        </w:rPr>
        <w:t>-</w:t>
      </w:r>
      <w:r>
        <w:rPr>
          <w:rFonts w:cs="Arial"/>
          <w:rtl/>
        </w:rPr>
        <w:t xml:space="preserve"> איש ואשה שהסכימו לגרש</w:t>
      </w:r>
      <w:r w:rsidR="00D67ACF">
        <w:rPr>
          <w:rFonts w:cs="Arial" w:hint="cs"/>
          <w:rtl/>
        </w:rPr>
        <w:t>,</w:t>
      </w:r>
      <w:r>
        <w:rPr>
          <w:rFonts w:cs="Arial"/>
          <w:rtl/>
        </w:rPr>
        <w:t xml:space="preserve"> אלא שהאשה היתה רוצה להתגרש לחלוטין והאיש היה רוצה לגרש בתנאי</w:t>
      </w:r>
      <w:r w:rsidR="00D67ACF">
        <w:rPr>
          <w:rFonts w:cs="Arial" w:hint="cs"/>
          <w:rtl/>
        </w:rPr>
        <w:t>,</w:t>
      </w:r>
      <w:r>
        <w:rPr>
          <w:rFonts w:cs="Arial"/>
          <w:rtl/>
        </w:rPr>
        <w:t xml:space="preserve"> ועמד הדבר ימים רבים. ושוב גירש ובשעת גירושין שכח התנאי. אם האיש תבע האשה לגרשה הגט </w:t>
      </w:r>
      <w:r w:rsidR="00A82951">
        <w:rPr>
          <w:rFonts w:cs="Arial"/>
          <w:rtl/>
        </w:rPr>
        <w:t>-</w:t>
      </w:r>
      <w:r>
        <w:rPr>
          <w:rFonts w:cs="Arial"/>
          <w:rtl/>
        </w:rPr>
        <w:t xml:space="preserve"> הוא גט מוחלט בלי תנאי. ואם האשה תבעה להתגרש </w:t>
      </w:r>
      <w:r w:rsidR="00A82951">
        <w:rPr>
          <w:rFonts w:cs="Arial"/>
          <w:rtl/>
        </w:rPr>
        <w:t>-</w:t>
      </w:r>
      <w:r>
        <w:rPr>
          <w:rFonts w:cs="Arial"/>
          <w:rtl/>
        </w:rPr>
        <w:t xml:space="preserve"> הגט הוא על תנאי שהיה רוצה האיש. מהרי"ט (ח"ב סקל"ח) וכנה"ג (קע"ב ע"א)</w:t>
      </w:r>
      <w:r>
        <w:rPr>
          <w:rStyle w:val="a7"/>
          <w:rtl/>
        </w:rPr>
        <w:footnoteReference w:id="2352"/>
      </w:r>
      <w:r>
        <w:rPr>
          <w:rtl/>
        </w:rPr>
        <w:t>.</w:t>
      </w:r>
    </w:p>
    <w:p w14:paraId="702A5E03" w14:textId="77777777" w:rsidR="00C97BEF" w:rsidRDefault="00C97BEF" w:rsidP="00C97BEF"/>
    <w:p w14:paraId="24659579" w14:textId="77777777" w:rsidR="00C97BEF" w:rsidRDefault="00C97BEF" w:rsidP="00C97BEF">
      <w:pPr>
        <w:pStyle w:val="2"/>
        <w:rPr>
          <w:rtl/>
        </w:rPr>
      </w:pPr>
      <w:r>
        <w:rPr>
          <w:rtl/>
        </w:rPr>
        <w:t xml:space="preserve">סעיף ב: דין האשה עד קיום התנאי, ולאחר קיומו </w:t>
      </w:r>
      <w:r>
        <w:rPr>
          <w:sz w:val="18"/>
          <w:szCs w:val="18"/>
          <w:rtl/>
        </w:rPr>
        <w:t>(או אי קיומו)</w:t>
      </w:r>
      <w:r>
        <w:rPr>
          <w:rtl/>
        </w:rPr>
        <w:t>.</w:t>
      </w:r>
    </w:p>
    <w:p w14:paraId="68240A83" w14:textId="2DF50B59" w:rsidR="00C97BEF" w:rsidRDefault="00C97BEF" w:rsidP="00C97BEF">
      <w:pPr>
        <w:rPr>
          <w:rFonts w:cs="Arial"/>
          <w:rtl/>
        </w:rPr>
      </w:pPr>
      <w:r>
        <w:rPr>
          <w:rFonts w:cs="Arial"/>
          <w:b/>
          <w:bCs/>
          <w:rtl/>
        </w:rPr>
        <w:t xml:space="preserve">גיטין </w:t>
      </w:r>
      <w:r>
        <w:rPr>
          <w:rFonts w:cs="Arial"/>
          <w:b/>
          <w:bCs/>
          <w:sz w:val="16"/>
          <w:szCs w:val="16"/>
          <w:rtl/>
        </w:rPr>
        <w:t>(פ' מי שאחזו)</w:t>
      </w:r>
      <w:r>
        <w:rPr>
          <w:rFonts w:cs="Arial"/>
          <w:b/>
          <w:bCs/>
          <w:rtl/>
        </w:rPr>
        <w:t xml:space="preserve"> עד ע"א: </w:t>
      </w:r>
      <w:r>
        <w:rPr>
          <w:rFonts w:cs="Arial"/>
          <w:u w:val="double"/>
          <w:rtl/>
        </w:rPr>
        <w:t>מתני'</w:t>
      </w:r>
      <w:r>
        <w:rPr>
          <w:rFonts w:cs="Arial"/>
          <w:rtl/>
        </w:rPr>
        <w:t xml:space="preserve">: הרי זה גיטך ע"מ שתתני לי מאתים זוז </w:t>
      </w:r>
      <w:r w:rsidR="00A82951">
        <w:rPr>
          <w:rFonts w:cs="Arial"/>
          <w:rtl/>
        </w:rPr>
        <w:t>-</w:t>
      </w:r>
      <w:r>
        <w:rPr>
          <w:rFonts w:cs="Arial"/>
          <w:rtl/>
        </w:rPr>
        <w:t xml:space="preserve"> הרי זו מגורשת ותתן...        </w:t>
      </w:r>
      <w:r>
        <w:rPr>
          <w:rFonts w:cs="Arial"/>
          <w:u w:val="double"/>
          <w:rtl/>
        </w:rPr>
        <w:t>גמ'</w:t>
      </w:r>
      <w:r>
        <w:rPr>
          <w:rFonts w:cs="Arial"/>
          <w:rtl/>
        </w:rPr>
        <w:t xml:space="preserve">: מאי ותתן? </w:t>
      </w:r>
      <w:r>
        <w:rPr>
          <w:rFonts w:cs="Arial"/>
          <w:u w:val="single"/>
          <w:rtl/>
        </w:rPr>
        <w:t>רב הונא אמר</w:t>
      </w:r>
      <w:r>
        <w:rPr>
          <w:rFonts w:cs="Arial"/>
          <w:rtl/>
        </w:rPr>
        <w:t xml:space="preserve">: והיא תתן. </w:t>
      </w:r>
      <w:r>
        <w:rPr>
          <w:rFonts w:cs="Arial"/>
          <w:u w:val="single"/>
          <w:rtl/>
        </w:rPr>
        <w:t>רב יהודה אמר</w:t>
      </w:r>
      <w:r>
        <w:rPr>
          <w:rFonts w:cs="Arial"/>
          <w:rtl/>
        </w:rPr>
        <w:t>: לכשתתן. מאי בינייהו? איכא בינייהו, שנתקרע הגט</w:t>
      </w:r>
      <w:r>
        <w:rPr>
          <w:rStyle w:val="a7"/>
          <w:rFonts w:cs="Arial"/>
          <w:rtl/>
        </w:rPr>
        <w:footnoteReference w:id="2353"/>
      </w:r>
      <w:r>
        <w:rPr>
          <w:rFonts w:cs="Arial"/>
          <w:rtl/>
        </w:rPr>
        <w:t xml:space="preserve"> או שאבד, רב הונא אמר והיא תתן</w:t>
      </w:r>
      <w:r>
        <w:rPr>
          <w:rStyle w:val="a7"/>
          <w:rFonts w:cs="Arial"/>
          <w:rtl/>
        </w:rPr>
        <w:footnoteReference w:id="2354"/>
      </w:r>
      <w:r>
        <w:rPr>
          <w:rFonts w:cs="Arial"/>
          <w:rtl/>
        </w:rPr>
        <w:t xml:space="preserve"> </w:t>
      </w:r>
      <w:r w:rsidR="00A82951">
        <w:rPr>
          <w:rFonts w:cs="Arial"/>
          <w:rtl/>
        </w:rPr>
        <w:t>-</w:t>
      </w:r>
      <w:r>
        <w:rPr>
          <w:rFonts w:cs="Arial"/>
          <w:rtl/>
        </w:rPr>
        <w:t xml:space="preserve"> אינה צריכה הימנו גט שני, רב יהודה אמר לכשתתן </w:t>
      </w:r>
      <w:r w:rsidR="00A82951">
        <w:rPr>
          <w:rFonts w:cs="Arial"/>
          <w:rtl/>
        </w:rPr>
        <w:t>-</w:t>
      </w:r>
      <w:r>
        <w:rPr>
          <w:rFonts w:cs="Arial"/>
          <w:rtl/>
        </w:rPr>
        <w:t xml:space="preserve"> צריכה הימנו גט שני... מיתיבי: ה"ז גיטך על מנת שתתני לי מאתים זוז, אף על פי שנקרע הגט או שנאבד </w:t>
      </w:r>
      <w:r w:rsidR="00A82951">
        <w:rPr>
          <w:rFonts w:cs="Arial"/>
          <w:rtl/>
        </w:rPr>
        <w:t>-</w:t>
      </w:r>
      <w:r>
        <w:rPr>
          <w:rFonts w:cs="Arial"/>
          <w:rtl/>
        </w:rPr>
        <w:t xml:space="preserve"> מגורשת, ולאחר לא תנשא עד שתתן.</w:t>
      </w:r>
      <w:r>
        <w:rPr>
          <w:rtl/>
        </w:rPr>
        <w:t xml:space="preserve"> </w:t>
      </w:r>
      <w:r>
        <w:rPr>
          <w:rFonts w:cs="Arial"/>
          <w:rtl/>
        </w:rPr>
        <w:t xml:space="preserve">ועוד תניא: ה"ז גיטך על מנת שתתני לי מאתים זוז ומת, נתנה </w:t>
      </w:r>
      <w:r w:rsidR="00A82951">
        <w:rPr>
          <w:rFonts w:cs="Arial"/>
          <w:rtl/>
        </w:rPr>
        <w:t>-</w:t>
      </w:r>
      <w:r>
        <w:rPr>
          <w:rFonts w:cs="Arial"/>
          <w:rtl/>
        </w:rPr>
        <w:t xml:space="preserve"> אינה זקוקה ליבם, לא נתנה </w:t>
      </w:r>
      <w:r w:rsidR="00A82951">
        <w:rPr>
          <w:rFonts w:cs="Arial"/>
          <w:rtl/>
        </w:rPr>
        <w:t>-</w:t>
      </w:r>
      <w:r>
        <w:rPr>
          <w:rFonts w:cs="Arial"/>
          <w:rtl/>
        </w:rPr>
        <w:t xml:space="preserve"> זקוקה ליבם, רבן שמעון בן גמליאל אומר: נותנת לאביו או לאחיו או לאחד מן הקרובים; עד כאן לא פליגי </w:t>
      </w:r>
      <w:r w:rsidR="00A82951">
        <w:rPr>
          <w:rFonts w:cs="Arial"/>
          <w:rtl/>
        </w:rPr>
        <w:t>-</w:t>
      </w:r>
      <w:r>
        <w:rPr>
          <w:rFonts w:cs="Arial"/>
          <w:rtl/>
        </w:rPr>
        <w:t xml:space="preserve"> אלא דמר סבר: לי </w:t>
      </w:r>
      <w:r w:rsidR="00A82951">
        <w:rPr>
          <w:rFonts w:cs="Arial"/>
          <w:rtl/>
        </w:rPr>
        <w:t>-</w:t>
      </w:r>
      <w:r>
        <w:rPr>
          <w:rFonts w:cs="Arial"/>
          <w:rtl/>
        </w:rPr>
        <w:t xml:space="preserve"> ולא ליורשי, ומר סבר: לי </w:t>
      </w:r>
      <w:r w:rsidR="00A82951">
        <w:rPr>
          <w:rFonts w:cs="Arial"/>
          <w:rtl/>
        </w:rPr>
        <w:t>-</w:t>
      </w:r>
      <w:r>
        <w:rPr>
          <w:rFonts w:cs="Arial"/>
          <w:rtl/>
        </w:rPr>
        <w:t xml:space="preserve"> ואפילו ליורשי, וכ"ע מיהא תנאה הוי, תיובתא דרב יהודה! אמר לך רב יהודה: הא מני? רבי היא, דאמר רב הונא אמר רבי: כל האומר על מנת כאומר מעכשיו דמי, ופליגי רבנן עליה, ואנא דאמרי כרבנן. </w:t>
      </w:r>
      <w:r>
        <w:rPr>
          <w:rFonts w:cs="Arial"/>
          <w:u w:val="single"/>
          <w:rtl/>
        </w:rPr>
        <w:t>וא"ר זירא</w:t>
      </w:r>
      <w:r>
        <w:rPr>
          <w:rFonts w:cs="Arial"/>
          <w:rtl/>
        </w:rPr>
        <w:t xml:space="preserve">: כי הוינן בבבל, אמרינן, הא דאמר רב הונא אמר רבי: כל האומר על מנת כאומר מעכשיו דמי </w:t>
      </w:r>
      <w:r w:rsidR="00A82951">
        <w:rPr>
          <w:rFonts w:cs="Arial"/>
          <w:rtl/>
        </w:rPr>
        <w:t>-</w:t>
      </w:r>
      <w:r>
        <w:rPr>
          <w:rFonts w:cs="Arial"/>
          <w:rtl/>
        </w:rPr>
        <w:t xml:space="preserve"> פליגי רבנן עליה, כי סליקי, אשכחתיה לרבי אסי דיתיב וקאמר משמיה דרבי יוחנן: הכל מודים באומר על מנת כאומר מעכשיו דמי. </w:t>
      </w:r>
      <w:r>
        <w:rPr>
          <w:rFonts w:cs="Arial"/>
          <w:sz w:val="16"/>
          <w:szCs w:val="16"/>
          <w:rtl/>
        </w:rPr>
        <w:t>(מתבאר שם בסוגיא דלא אמר רב הונא אלא באומר על מנת דהוי כאומר מעכשיו. וכתבו הרי"ף (לה:) והרא"ש (סי' ה) דהלכה כרב הונא, וכן פסק הרמב"ם בפ"ח מהלכות גירושין (הלכה א), ב"י)</w:t>
      </w:r>
    </w:p>
    <w:p w14:paraId="49B42F56" w14:textId="327E4271" w:rsidR="00C97BEF" w:rsidRDefault="00C97BEF" w:rsidP="00C97BEF">
      <w:pPr>
        <w:rPr>
          <w:u w:val="single"/>
          <w:rtl/>
        </w:rPr>
      </w:pPr>
      <w:r>
        <w:rPr>
          <w:u w:val="single"/>
          <w:rtl/>
        </w:rPr>
        <w:t xml:space="preserve">נתן לאשה גט על תנאי </w:t>
      </w:r>
      <w:r w:rsidR="00A82951">
        <w:rPr>
          <w:u w:val="single"/>
          <w:rtl/>
        </w:rPr>
        <w:t>-</w:t>
      </w:r>
      <w:r>
        <w:rPr>
          <w:u w:val="single"/>
          <w:rtl/>
        </w:rPr>
        <w:t xml:space="preserve"> ואמר 'מעכשיו' או 'על מנת':</w:t>
      </w:r>
    </w:p>
    <w:p w14:paraId="3CC8BA1C" w14:textId="3163C94A" w:rsidR="00C97BEF" w:rsidRDefault="00C97BEF" w:rsidP="006A458D">
      <w:pPr>
        <w:pStyle w:val="ab"/>
        <w:numPr>
          <w:ilvl w:val="0"/>
          <w:numId w:val="112"/>
        </w:numPr>
      </w:pPr>
      <w:r>
        <w:rPr>
          <w:rFonts w:cs="Arial"/>
          <w:rtl/>
        </w:rPr>
        <w:t xml:space="preserve">רמב"ם </w:t>
      </w:r>
      <w:r>
        <w:rPr>
          <w:rFonts w:cs="Arial"/>
          <w:sz w:val="16"/>
          <w:szCs w:val="16"/>
          <w:rtl/>
        </w:rPr>
        <w:t>(פ"ח ה"א)</w:t>
      </w:r>
      <w:r w:rsidR="00EA1BA5">
        <w:rPr>
          <w:rFonts w:cs="Arial" w:hint="cs"/>
          <w:rtl/>
        </w:rPr>
        <w:t xml:space="preserve"> </w:t>
      </w:r>
      <w:r w:rsidR="00EA1BA5">
        <w:rPr>
          <w:rFonts w:hint="cs"/>
          <w:rtl/>
        </w:rPr>
        <w:t>ו</w:t>
      </w:r>
      <w:r w:rsidR="00EA1BA5">
        <w:rPr>
          <w:rtl/>
        </w:rPr>
        <w:t>טור</w:t>
      </w:r>
      <w:r w:rsidR="00EA1BA5">
        <w:rPr>
          <w:rStyle w:val="a7"/>
          <w:rFonts w:cs="Arial"/>
          <w:rtl/>
        </w:rPr>
        <w:footnoteReference w:id="2355"/>
      </w:r>
      <w:r w:rsidR="00A82951">
        <w:rPr>
          <w:rFonts w:cs="Arial"/>
          <w:rtl/>
        </w:rPr>
        <w:t>-</w:t>
      </w:r>
      <w:r>
        <w:rPr>
          <w:rFonts w:cs="Arial"/>
          <w:rtl/>
        </w:rPr>
        <w:t xml:space="preserve"> אם אמר לה 'הרי את מגורשת מעכשיו או מהיום על תנאי כך וכך', או שאמר לה 'הרי את מגורשת על מנת כך וכך' </w:t>
      </w:r>
      <w:r w:rsidR="00A82951">
        <w:rPr>
          <w:rFonts w:cs="Arial"/>
          <w:rtl/>
        </w:rPr>
        <w:t>-</w:t>
      </w:r>
      <w:r>
        <w:rPr>
          <w:rFonts w:cs="Arial"/>
          <w:rtl/>
        </w:rPr>
        <w:t xml:space="preserve"> כשיתקיים התנאי תהיה מגורשת משעת נתינת הגט לידה... ואם אבד או </w:t>
      </w:r>
      <w:r>
        <w:rPr>
          <w:rFonts w:cs="Arial"/>
          <w:rtl/>
        </w:rPr>
        <w:lastRenderedPageBreak/>
        <w:t xml:space="preserve">נשרף, אפילו מת הבעל קודם שיתקיים התנאי </w:t>
      </w:r>
      <w:r w:rsidR="00A82951">
        <w:rPr>
          <w:rFonts w:cs="Arial"/>
          <w:rtl/>
        </w:rPr>
        <w:t>-</w:t>
      </w:r>
      <w:r>
        <w:rPr>
          <w:rFonts w:cs="Arial"/>
          <w:rtl/>
        </w:rPr>
        <w:t xml:space="preserve"> הרי זו מקיימת התנאי אחר מותו וכבר נתגרשה משעת נתינת הגט לידה</w:t>
      </w:r>
      <w:r w:rsidR="001A0237">
        <w:rPr>
          <w:rStyle w:val="a7"/>
          <w:rFonts w:cs="Arial"/>
          <w:rtl/>
        </w:rPr>
        <w:footnoteReference w:id="2356"/>
      </w:r>
      <w:r w:rsidR="00EA1BA5">
        <w:rPr>
          <w:rFonts w:cs="Arial" w:hint="cs"/>
          <w:sz w:val="16"/>
          <w:szCs w:val="16"/>
          <w:rtl/>
        </w:rPr>
        <w:t xml:space="preserve"> (ל' הרמב"ם)</w:t>
      </w:r>
      <w:r>
        <w:rPr>
          <w:rFonts w:cs="Arial"/>
          <w:rtl/>
        </w:rPr>
        <w:t xml:space="preserve">. </w:t>
      </w:r>
      <w:r>
        <w:rPr>
          <w:color w:val="E36C0A" w:themeColor="accent6" w:themeShade="BF"/>
          <w:rtl/>
        </w:rPr>
        <w:t>(וכ"פ בשו"ע)</w:t>
      </w:r>
    </w:p>
    <w:p w14:paraId="7B989F35" w14:textId="77777777" w:rsidR="00C97BEF" w:rsidRDefault="00C97BEF" w:rsidP="00C97BEF">
      <w:pPr>
        <w:ind w:left="360"/>
        <w:rPr>
          <w:u w:val="dotted"/>
        </w:rPr>
      </w:pPr>
      <w:r>
        <w:rPr>
          <w:u w:val="dotted"/>
          <w:rtl/>
        </w:rPr>
        <w:t>האם חוששים שהאשה לא תקיים את התנאי</w:t>
      </w:r>
      <w:r>
        <w:rPr>
          <w:sz w:val="16"/>
          <w:szCs w:val="16"/>
          <w:u w:val="dotted"/>
          <w:rtl/>
        </w:rPr>
        <w:t xml:space="preserve"> (ונפק"מ אם יכולה להנשא לפני שמקיימת את התנאי)</w:t>
      </w:r>
      <w:r>
        <w:rPr>
          <w:u w:val="dotted"/>
          <w:rtl/>
        </w:rPr>
        <w:t>:</w:t>
      </w:r>
    </w:p>
    <w:p w14:paraId="2920A8B2" w14:textId="68BD33F3" w:rsidR="00C97BEF" w:rsidRDefault="00C97BEF" w:rsidP="006A458D">
      <w:pPr>
        <w:pStyle w:val="ab"/>
        <w:numPr>
          <w:ilvl w:val="0"/>
          <w:numId w:val="112"/>
        </w:numPr>
      </w:pPr>
      <w:r>
        <w:rPr>
          <w:rFonts w:cs="Arial"/>
          <w:rtl/>
        </w:rPr>
        <w:t xml:space="preserve">רמב"ם </w:t>
      </w:r>
      <w:r>
        <w:rPr>
          <w:rFonts w:cs="Arial"/>
          <w:sz w:val="16"/>
          <w:szCs w:val="16"/>
          <w:rtl/>
        </w:rPr>
        <w:t>(שם)</w:t>
      </w:r>
      <w:r w:rsidR="00A82951">
        <w:rPr>
          <w:rFonts w:cs="Arial"/>
          <w:rtl/>
        </w:rPr>
        <w:t>-</w:t>
      </w:r>
      <w:r>
        <w:rPr>
          <w:rFonts w:cs="Arial"/>
          <w:rtl/>
        </w:rPr>
        <w:t xml:space="preserve"> ויש לה להנשא לכתחלה</w:t>
      </w:r>
      <w:r>
        <w:rPr>
          <w:rStyle w:val="a7"/>
          <w:rFonts w:cs="Arial"/>
          <w:rtl/>
        </w:rPr>
        <w:footnoteReference w:id="2357"/>
      </w:r>
      <w:r>
        <w:rPr>
          <w:rFonts w:cs="Arial"/>
          <w:rtl/>
        </w:rPr>
        <w:t xml:space="preserve"> אע"פ שעדיין לא נתקיים התנאי, ואין חוששין שמא לא יתקיים, הואיל והיה התנאי במעכשיו או בעל מנת.</w:t>
      </w:r>
      <w:r w:rsidR="001A0237">
        <w:rPr>
          <w:rFonts w:hint="cs"/>
          <w:rtl/>
        </w:rPr>
        <w:t xml:space="preserve"> </w:t>
      </w:r>
    </w:p>
    <w:p w14:paraId="64F472A1" w14:textId="634FF490"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אמר לה ה"ז גיטך ע"מ שתתני לי ר' זוז לאחר ל' יום </w:t>
      </w:r>
      <w:r w:rsidR="00A82951">
        <w:rPr>
          <w:rFonts w:cs="Arial"/>
          <w:rtl/>
        </w:rPr>
        <w:t>-</w:t>
      </w:r>
      <w:r>
        <w:rPr>
          <w:rFonts w:cs="Arial"/>
          <w:rtl/>
        </w:rPr>
        <w:t xml:space="preserve"> חל הגט מיד, ולכשתתן לו תהיה מגורשת למפרע אפילו אם נשרף הגט. ומ"מ לאחר לא תינשא עד שתתן. ואם נישאת כתב הרמ"ה שיוציא</w:t>
      </w:r>
      <w:r>
        <w:rPr>
          <w:rStyle w:val="a7"/>
          <w:rFonts w:cs="Arial"/>
          <w:rtl/>
        </w:rPr>
        <w:footnoteReference w:id="2358"/>
      </w:r>
      <w:r>
        <w:rPr>
          <w:rFonts w:cs="Arial"/>
          <w:rtl/>
        </w:rPr>
        <w:t xml:space="preserve"> עד שיתקיים התנאי. ואם קיימה התנאי </w:t>
      </w:r>
      <w:r w:rsidR="00A82951">
        <w:rPr>
          <w:rFonts w:cs="Arial"/>
          <w:rtl/>
        </w:rPr>
        <w:t>-</w:t>
      </w:r>
      <w:r>
        <w:rPr>
          <w:rFonts w:cs="Arial"/>
          <w:rtl/>
        </w:rPr>
        <w:t xml:space="preserve"> יקיים</w:t>
      </w:r>
      <w:r>
        <w:rPr>
          <w:rtl/>
        </w:rPr>
        <w:t xml:space="preserve">. </w:t>
      </w:r>
    </w:p>
    <w:p w14:paraId="10DE6CA6" w14:textId="008EBCD9" w:rsidR="00C97BEF" w:rsidRDefault="00C97BEF" w:rsidP="006A458D">
      <w:pPr>
        <w:pStyle w:val="ab"/>
        <w:numPr>
          <w:ilvl w:val="0"/>
          <w:numId w:val="112"/>
        </w:numPr>
      </w:pPr>
      <w:r>
        <w:rPr>
          <w:rFonts w:cs="Arial"/>
          <w:rtl/>
        </w:rPr>
        <w:t xml:space="preserve">רמב"ן </w:t>
      </w:r>
      <w:r>
        <w:rPr>
          <w:rFonts w:cs="Arial"/>
          <w:sz w:val="16"/>
          <w:szCs w:val="16"/>
          <w:rtl/>
        </w:rPr>
        <w:t xml:space="preserve">(פג. ד"ה בכולהו) </w:t>
      </w:r>
      <w:r>
        <w:rPr>
          <w:rFonts w:cs="Arial"/>
          <w:rtl/>
        </w:rPr>
        <w:t xml:space="preserve">רשב"א </w:t>
      </w:r>
      <w:r>
        <w:rPr>
          <w:rFonts w:cs="Arial"/>
          <w:sz w:val="16"/>
          <w:szCs w:val="16"/>
          <w:rtl/>
        </w:rPr>
        <w:t>(פג. ד"ה בכולהו)</w:t>
      </w:r>
      <w:r>
        <w:rPr>
          <w:rFonts w:cs="Arial"/>
          <w:rtl/>
        </w:rPr>
        <w:t xml:space="preserve"> ר"ן </w:t>
      </w:r>
      <w:r>
        <w:rPr>
          <w:rFonts w:cs="Arial"/>
          <w:sz w:val="16"/>
          <w:szCs w:val="16"/>
          <w:rtl/>
        </w:rPr>
        <w:t>(פ' מי שאחזו לה: ד"ה גמ')</w:t>
      </w:r>
      <w:r>
        <w:rPr>
          <w:rFonts w:cs="Arial"/>
          <w:rtl/>
        </w:rPr>
        <w:t xml:space="preserve"> ותשב"ץ </w:t>
      </w:r>
      <w:r>
        <w:rPr>
          <w:rFonts w:cs="Arial"/>
          <w:sz w:val="16"/>
          <w:szCs w:val="16"/>
          <w:rtl/>
        </w:rPr>
        <w:t>(ח"א סי' קיו)</w:t>
      </w:r>
      <w:r w:rsidR="00A82951">
        <w:rPr>
          <w:rFonts w:cs="Arial"/>
          <w:rtl/>
        </w:rPr>
        <w:t>-</w:t>
      </w:r>
      <w:r>
        <w:rPr>
          <w:rFonts w:cs="Arial"/>
          <w:rtl/>
        </w:rPr>
        <w:t xml:space="preserve"> המחוור שבדברים אלו, דבתנאי שבידה והוא בשב ואל תעשה </w:t>
      </w:r>
      <w:r w:rsidR="00A82951">
        <w:rPr>
          <w:rFonts w:cs="Arial"/>
          <w:rtl/>
        </w:rPr>
        <w:t>-</w:t>
      </w:r>
      <w:r>
        <w:rPr>
          <w:rFonts w:cs="Arial"/>
          <w:rtl/>
        </w:rPr>
        <w:t xml:space="preserve"> לא חיישינן שמא תעבור עליו. אבל אם הוא בקום עשה </w:t>
      </w:r>
      <w:r w:rsidR="00A82951">
        <w:rPr>
          <w:rFonts w:cs="Arial"/>
          <w:rtl/>
        </w:rPr>
        <w:t>-</w:t>
      </w:r>
      <w:r>
        <w:rPr>
          <w:rFonts w:cs="Arial"/>
          <w:rtl/>
        </w:rPr>
        <w:t xml:space="preserve"> חוששין שמא לא תקיימנו. וכל תנאי שהוא תלוי באחרים, בין שיש בו קום עשה בין שהוא שב ואל תעשה </w:t>
      </w:r>
      <w:r w:rsidR="00A82951">
        <w:rPr>
          <w:rFonts w:cs="Arial"/>
          <w:rtl/>
        </w:rPr>
        <w:t>-</w:t>
      </w:r>
      <w:r>
        <w:rPr>
          <w:rFonts w:cs="Arial"/>
          <w:rtl/>
        </w:rPr>
        <w:t xml:space="preserve"> חוששין שמא לא יתקיים</w:t>
      </w:r>
      <w:r>
        <w:rPr>
          <w:rStyle w:val="a7"/>
          <w:rFonts w:cs="Arial"/>
          <w:rtl/>
        </w:rPr>
        <w:footnoteReference w:id="2359"/>
      </w:r>
      <w:r>
        <w:rPr>
          <w:rFonts w:cs="Arial"/>
          <w:sz w:val="16"/>
          <w:szCs w:val="16"/>
          <w:rtl/>
        </w:rPr>
        <w:t xml:space="preserve"> (ל' הר"ן)</w:t>
      </w:r>
      <w:r>
        <w:rPr>
          <w:rStyle w:val="a7"/>
          <w:rFonts w:cs="Arial"/>
          <w:rtl/>
        </w:rPr>
        <w:footnoteReference w:id="2360"/>
      </w:r>
      <w:r>
        <w:rPr>
          <w:rFonts w:cs="Arial"/>
          <w:rtl/>
        </w:rPr>
        <w:t xml:space="preserve">. </w:t>
      </w:r>
      <w:r>
        <w:rPr>
          <w:color w:val="E36C0A" w:themeColor="accent6" w:themeShade="BF"/>
          <w:rtl/>
        </w:rPr>
        <w:t>(וכ"פ בשו"ע)</w:t>
      </w:r>
    </w:p>
    <w:p w14:paraId="3FFACDD5" w14:textId="77777777" w:rsidR="00C97BEF" w:rsidRDefault="00C97BEF" w:rsidP="00C97BEF">
      <w:pPr>
        <w:ind w:left="360"/>
        <w:rPr>
          <w:u w:val="dotted"/>
        </w:rPr>
      </w:pPr>
      <w:r>
        <w:rPr>
          <w:u w:val="dotted"/>
          <w:rtl/>
        </w:rPr>
        <w:t>האם יכול הבעל לבטל את הגט או לשנות את התנאי לאחר שהגיע הגט לידה</w:t>
      </w:r>
      <w:r>
        <w:rPr>
          <w:sz w:val="16"/>
          <w:szCs w:val="16"/>
          <w:u w:val="dotted"/>
          <w:rtl/>
        </w:rPr>
        <w:t xml:space="preserve"> (קודם שקיימה את התנאי)</w:t>
      </w:r>
      <w:r>
        <w:rPr>
          <w:u w:val="dotted"/>
          <w:rtl/>
        </w:rPr>
        <w:t>:</w:t>
      </w:r>
    </w:p>
    <w:p w14:paraId="13B740B2" w14:textId="5B4CC5CF" w:rsidR="00C97BEF" w:rsidRDefault="00C97BEF" w:rsidP="006A458D">
      <w:pPr>
        <w:pStyle w:val="ab"/>
        <w:numPr>
          <w:ilvl w:val="0"/>
          <w:numId w:val="112"/>
        </w:numPr>
      </w:pPr>
      <w:r>
        <w:rPr>
          <w:rFonts w:cs="Arial"/>
          <w:rtl/>
        </w:rPr>
        <w:t xml:space="preserve">רי"ף </w:t>
      </w:r>
      <w:r>
        <w:rPr>
          <w:rFonts w:cs="Arial"/>
          <w:sz w:val="16"/>
          <w:szCs w:val="16"/>
          <w:rtl/>
        </w:rPr>
        <w:t>(שו"ת סי' לב, כ"כ בשמו הטור והר"ן [גיטין לח:])</w:t>
      </w:r>
      <w:r>
        <w:rPr>
          <w:rFonts w:cs="Arial"/>
          <w:rtl/>
        </w:rPr>
        <w:t xml:space="preserve"> ורמב"ם </w:t>
      </w:r>
      <w:r>
        <w:rPr>
          <w:rFonts w:cs="Arial"/>
          <w:sz w:val="16"/>
          <w:szCs w:val="16"/>
          <w:rtl/>
        </w:rPr>
        <w:t>(פ"ח ה"א)</w:t>
      </w:r>
      <w:r w:rsidR="00A82951">
        <w:rPr>
          <w:rFonts w:cs="Arial"/>
          <w:rtl/>
        </w:rPr>
        <w:t>-</w:t>
      </w:r>
      <w:r>
        <w:rPr>
          <w:rFonts w:cs="Arial"/>
          <w:rtl/>
        </w:rPr>
        <w:t xml:space="preserve"> אינו יכול לבטל הגט</w:t>
      </w:r>
      <w:r>
        <w:rPr>
          <w:rStyle w:val="a7"/>
          <w:rtl/>
        </w:rPr>
        <w:footnoteReference w:id="2361"/>
      </w:r>
      <w:r>
        <w:rPr>
          <w:rFonts w:cs="Arial"/>
          <w:rtl/>
        </w:rPr>
        <w:t xml:space="preserve"> ולא להוסיף על תנאו משהגיע הגט לידה</w:t>
      </w:r>
      <w:r w:rsidR="00E20F09">
        <w:rPr>
          <w:rFonts w:cs="Arial" w:hint="cs"/>
          <w:sz w:val="16"/>
          <w:szCs w:val="16"/>
          <w:rtl/>
        </w:rPr>
        <w:t xml:space="preserve"> (ל' הרמב"ם)</w:t>
      </w:r>
      <w:r>
        <w:rPr>
          <w:rStyle w:val="a7"/>
          <w:rFonts w:cs="Arial"/>
          <w:rtl/>
        </w:rPr>
        <w:footnoteReference w:id="2362"/>
      </w:r>
      <w:r>
        <w:rPr>
          <w:rFonts w:cs="Arial"/>
          <w:rtl/>
        </w:rPr>
        <w:t>.</w:t>
      </w:r>
      <w:r>
        <w:rPr>
          <w:color w:val="E36C0A" w:themeColor="accent6" w:themeShade="BF"/>
          <w:rtl/>
        </w:rPr>
        <w:t xml:space="preserve"> (וכ"פ בשו"ע)</w:t>
      </w:r>
    </w:p>
    <w:p w14:paraId="783997BF" w14:textId="2ABC8AEF" w:rsidR="00C97BEF" w:rsidRDefault="00C97BEF" w:rsidP="006A458D">
      <w:pPr>
        <w:pStyle w:val="ab"/>
        <w:numPr>
          <w:ilvl w:val="0"/>
          <w:numId w:val="112"/>
        </w:numPr>
      </w:pPr>
      <w:r>
        <w:rPr>
          <w:rFonts w:cs="Arial"/>
          <w:rtl/>
        </w:rPr>
        <w:t>בהעי"ט רא"ש ור"ן</w:t>
      </w:r>
      <w:r>
        <w:rPr>
          <w:rStyle w:val="a7"/>
          <w:rFonts w:cs="Arial"/>
          <w:rtl/>
        </w:rPr>
        <w:footnoteReference w:id="2363"/>
      </w:r>
      <w:r w:rsidR="00A82951">
        <w:rPr>
          <w:rFonts w:cs="Arial"/>
          <w:rtl/>
        </w:rPr>
        <w:t>-</w:t>
      </w:r>
      <w:r>
        <w:rPr>
          <w:rFonts w:cs="Arial"/>
          <w:rtl/>
        </w:rPr>
        <w:t xml:space="preserve"> אחד שנתן גט במעכשיו אם לא יבא תוך שתי שנים </w:t>
      </w:r>
      <w:r w:rsidR="00A82951">
        <w:rPr>
          <w:rFonts w:cs="Arial"/>
          <w:rtl/>
        </w:rPr>
        <w:t>-</w:t>
      </w:r>
      <w:r>
        <w:rPr>
          <w:rFonts w:cs="Arial"/>
          <w:rtl/>
        </w:rPr>
        <w:t xml:space="preserve"> יכול לבטל התנאי</w:t>
      </w:r>
      <w:r>
        <w:rPr>
          <w:rStyle w:val="a7"/>
          <w:rFonts w:cs="Arial"/>
          <w:rtl/>
        </w:rPr>
        <w:footnoteReference w:id="2364"/>
      </w:r>
      <w:r>
        <w:rPr>
          <w:rFonts w:cs="Arial"/>
          <w:rtl/>
        </w:rPr>
        <w:t xml:space="preserve"> ותינשא מיד, כי בביטול התנאי חל הגט למפרע משעה שיבא הגט לידה. והוא הדין בכל תנאי שמתנה בשעה שנותן הגט ומבטלו אח"כ קודם שיתקיים התנאי </w:t>
      </w:r>
      <w:r w:rsidR="00A82951">
        <w:rPr>
          <w:rFonts w:cs="Arial"/>
          <w:rtl/>
        </w:rPr>
        <w:t>-</w:t>
      </w:r>
      <w:r>
        <w:rPr>
          <w:rFonts w:cs="Arial"/>
          <w:rtl/>
        </w:rPr>
        <w:t xml:space="preserve"> הוא בטל אע"פ שהתנאי לטובתה ולא היתה מקבלת הגט אלא בתנאי זה ואינה רוצה בביטולו, אפ"ה יכול לבטלו, דכיון שבא הגט לידה מגורשת דלא בעינן דעתה</w:t>
      </w:r>
      <w:r>
        <w:rPr>
          <w:rStyle w:val="a7"/>
          <w:rFonts w:cs="Arial"/>
          <w:rtl/>
        </w:rPr>
        <w:footnoteReference w:id="2365"/>
      </w:r>
      <w:r>
        <w:rPr>
          <w:rFonts w:cs="Arial"/>
          <w:sz w:val="16"/>
          <w:szCs w:val="16"/>
          <w:rtl/>
        </w:rPr>
        <w:t xml:space="preserve"> (ל' הטור בשם הרא"ש)</w:t>
      </w:r>
      <w:r>
        <w:rPr>
          <w:rFonts w:cs="Arial"/>
          <w:rtl/>
        </w:rPr>
        <w:t>.</w:t>
      </w:r>
      <w:r>
        <w:rPr>
          <w:rtl/>
        </w:rPr>
        <w:t xml:space="preserve"> </w:t>
      </w:r>
      <w:r>
        <w:rPr>
          <w:color w:val="00B0F0"/>
          <w:rtl/>
        </w:rPr>
        <w:t>(וכ"פ הרמ"א)</w:t>
      </w:r>
    </w:p>
    <w:p w14:paraId="547F653C" w14:textId="6AA9EB0C" w:rsidR="00C97BEF" w:rsidRDefault="00C97BEF" w:rsidP="00C97BEF">
      <w:pPr>
        <w:ind w:left="720"/>
        <w:rPr>
          <w:rFonts w:cs="Arial"/>
          <w:u w:val="wave"/>
        </w:rPr>
      </w:pPr>
      <w:r>
        <w:rPr>
          <w:rFonts w:cs="Arial"/>
          <w:u w:val="wave"/>
          <w:rtl/>
        </w:rPr>
        <w:t xml:space="preserve">לרמב"ם וסיעתו </w:t>
      </w:r>
      <w:r w:rsidR="00A82951">
        <w:rPr>
          <w:rFonts w:cs="Arial"/>
          <w:u w:val="wave"/>
          <w:rtl/>
        </w:rPr>
        <w:t>-</w:t>
      </w:r>
      <w:r>
        <w:rPr>
          <w:rFonts w:cs="Arial"/>
          <w:u w:val="wave"/>
          <w:rtl/>
        </w:rPr>
        <w:t xml:space="preserve"> מה הדין אם גם האשה נתרצתה לבטל את התנאי: </w:t>
      </w:r>
    </w:p>
    <w:p w14:paraId="365B8989" w14:textId="491FAC87" w:rsidR="00C97BEF" w:rsidRDefault="00C97BEF" w:rsidP="006A458D">
      <w:pPr>
        <w:pStyle w:val="ab"/>
        <w:numPr>
          <w:ilvl w:val="0"/>
          <w:numId w:val="116"/>
        </w:numPr>
        <w:rPr>
          <w:rFonts w:cs="Arial"/>
          <w:rtl/>
        </w:rPr>
      </w:pPr>
      <w:r>
        <w:rPr>
          <w:rFonts w:cs="Arial"/>
          <w:rtl/>
        </w:rPr>
        <w:t xml:space="preserve">רמב"ם </w:t>
      </w:r>
      <w:r>
        <w:rPr>
          <w:rFonts w:cs="Arial"/>
          <w:sz w:val="16"/>
          <w:szCs w:val="16"/>
          <w:rtl/>
        </w:rPr>
        <w:t>(כ"כ בשמו הרמב"ן [שם] והה"מ [שם])</w:t>
      </w:r>
      <w:r>
        <w:rPr>
          <w:rFonts w:cs="Arial"/>
          <w:rtl/>
        </w:rPr>
        <w:t xml:space="preserve"> ורמב"ן </w:t>
      </w:r>
      <w:r>
        <w:rPr>
          <w:rFonts w:cs="Arial"/>
          <w:sz w:val="16"/>
          <w:szCs w:val="16"/>
          <w:rtl/>
        </w:rPr>
        <w:t>(עו: ד"ה וליחוש, כ"כ הר"ן בשמו [גיטין סוף לח.])</w:t>
      </w:r>
      <w:r w:rsidR="00A82951">
        <w:rPr>
          <w:rFonts w:cs="Arial"/>
          <w:rtl/>
        </w:rPr>
        <w:t>-</w:t>
      </w:r>
      <w:r>
        <w:rPr>
          <w:rFonts w:cs="Arial"/>
          <w:rtl/>
        </w:rPr>
        <w:t xml:space="preserve"> כפי הגירסאות שגורסים שם 'על מנת שאעבור מכנגד פניך שלשים יום', אפילו כתב לה גט במעכשיו על תנאי, אם ביטלוהו שניהם </w:t>
      </w:r>
      <w:r w:rsidR="00A82951">
        <w:rPr>
          <w:rFonts w:cs="Arial"/>
          <w:rtl/>
        </w:rPr>
        <w:t>-</w:t>
      </w:r>
      <w:r>
        <w:rPr>
          <w:rFonts w:cs="Arial"/>
          <w:rtl/>
        </w:rPr>
        <w:t xml:space="preserve"> הגט בטל. ולפיכך האומר לאשה על מנת שתתני לי מאתים זוז, אם רצו שניהם וביטלו התנאי </w:t>
      </w:r>
      <w:r w:rsidR="00A82951">
        <w:rPr>
          <w:rFonts w:cs="Arial"/>
          <w:rtl/>
        </w:rPr>
        <w:t>-</w:t>
      </w:r>
      <w:r>
        <w:rPr>
          <w:rFonts w:cs="Arial"/>
          <w:rtl/>
        </w:rPr>
        <w:t xml:space="preserve"> הגט בטל </w:t>
      </w:r>
      <w:r>
        <w:rPr>
          <w:rFonts w:cs="Arial"/>
          <w:rtl/>
        </w:rPr>
        <w:lastRenderedPageBreak/>
        <w:t xml:space="preserve">ואע"פ שנתנה לו אח"כ. שכל זמן שלא קיימתו לתנאי אפשר לבטלו מדעת שניהם, וכשמתקיים התנאי אח"כ </w:t>
      </w:r>
      <w:r w:rsidR="00A82951">
        <w:rPr>
          <w:rFonts w:cs="Arial"/>
          <w:rtl/>
        </w:rPr>
        <w:t>-</w:t>
      </w:r>
      <w:r>
        <w:rPr>
          <w:rFonts w:cs="Arial"/>
          <w:rtl/>
        </w:rPr>
        <w:t xml:space="preserve"> כאילו לא נתקיים</w:t>
      </w:r>
      <w:r>
        <w:rPr>
          <w:rStyle w:val="a7"/>
          <w:rFonts w:cs="Arial"/>
          <w:rtl/>
        </w:rPr>
        <w:footnoteReference w:id="2366"/>
      </w:r>
      <w:r>
        <w:rPr>
          <w:rFonts w:cs="Arial"/>
          <w:rtl/>
        </w:rPr>
        <w:t xml:space="preserve">. ומיהו דוקא כשהסכימה היא בביטולו, הא לאו הכי </w:t>
      </w:r>
      <w:r w:rsidR="00A82951">
        <w:rPr>
          <w:rFonts w:cs="Arial"/>
          <w:rtl/>
        </w:rPr>
        <w:t>-</w:t>
      </w:r>
      <w:r>
        <w:rPr>
          <w:rFonts w:cs="Arial"/>
          <w:rtl/>
        </w:rPr>
        <w:t xml:space="preserve"> לא. ומיהו דוקא בתנאי שהוא בידם שלא יתקיים, שמתוך שבידם שלא יתקיים יכולים הם לומר שאע"פ שיתקיים יהא כאילו לא נתקיים. אבל בתנאי שהוא מתקיים בעל כרחן</w:t>
      </w:r>
      <w:r>
        <w:rPr>
          <w:rStyle w:val="a7"/>
          <w:rFonts w:cs="Arial"/>
          <w:rtl/>
        </w:rPr>
        <w:footnoteReference w:id="2367"/>
      </w:r>
      <w:r>
        <w:rPr>
          <w:rFonts w:cs="Arial"/>
          <w:rtl/>
        </w:rPr>
        <w:t xml:space="preserve"> </w:t>
      </w:r>
      <w:r w:rsidR="00A82951">
        <w:rPr>
          <w:rFonts w:cs="Arial"/>
          <w:rtl/>
        </w:rPr>
        <w:t>-</w:t>
      </w:r>
      <w:r>
        <w:rPr>
          <w:rFonts w:cs="Arial"/>
          <w:rtl/>
        </w:rPr>
        <w:t xml:space="preserve"> אין בידם לומר שיהא כאילו לא נתקיים</w:t>
      </w:r>
      <w:r>
        <w:rPr>
          <w:rStyle w:val="a7"/>
          <w:rFonts w:cs="Arial"/>
          <w:rtl/>
        </w:rPr>
        <w:footnoteReference w:id="2368"/>
      </w:r>
      <w:r>
        <w:rPr>
          <w:rFonts w:cs="Arial"/>
          <w:sz w:val="16"/>
          <w:szCs w:val="16"/>
          <w:rtl/>
        </w:rPr>
        <w:t xml:space="preserve"> (ל' הר"ן בשם הרמב"ן)</w:t>
      </w:r>
      <w:r>
        <w:rPr>
          <w:rFonts w:cs="Arial"/>
          <w:rtl/>
        </w:rPr>
        <w:t xml:space="preserve">. </w:t>
      </w:r>
    </w:p>
    <w:p w14:paraId="70B82555" w14:textId="7A169BCD" w:rsidR="00C97BEF" w:rsidRDefault="00C97BEF" w:rsidP="00C97BEF">
      <w:pPr>
        <w:rPr>
          <w:u w:val="single"/>
          <w:rtl/>
        </w:rPr>
      </w:pPr>
      <w:r>
        <w:rPr>
          <w:u w:val="single"/>
          <w:rtl/>
        </w:rPr>
        <w:t xml:space="preserve">נתן לאשה גט על תנאי </w:t>
      </w:r>
      <w:r w:rsidR="00A82951">
        <w:rPr>
          <w:u w:val="single"/>
          <w:rtl/>
        </w:rPr>
        <w:t>-</w:t>
      </w:r>
      <w:r>
        <w:rPr>
          <w:u w:val="single"/>
          <w:rtl/>
        </w:rPr>
        <w:t xml:space="preserve"> </w:t>
      </w:r>
      <w:r>
        <w:rPr>
          <w:b/>
          <w:bCs/>
          <w:u w:val="single"/>
          <w:rtl/>
        </w:rPr>
        <w:t>ולא אמר</w:t>
      </w:r>
      <w:r>
        <w:rPr>
          <w:u w:val="single"/>
          <w:rtl/>
        </w:rPr>
        <w:t xml:space="preserve"> 'מעכשיו' או 'על מנת':</w:t>
      </w:r>
    </w:p>
    <w:p w14:paraId="637D228A" w14:textId="71E51F4C" w:rsidR="00C97BEF" w:rsidRDefault="00C97BEF" w:rsidP="006A458D">
      <w:pPr>
        <w:pStyle w:val="ab"/>
        <w:numPr>
          <w:ilvl w:val="0"/>
          <w:numId w:val="112"/>
        </w:numPr>
      </w:pPr>
      <w:r>
        <w:rPr>
          <w:rFonts w:cs="Arial"/>
          <w:rtl/>
        </w:rPr>
        <w:t xml:space="preserve">רמב"ם </w:t>
      </w:r>
      <w:r>
        <w:rPr>
          <w:rFonts w:cs="Arial"/>
          <w:sz w:val="16"/>
          <w:szCs w:val="16"/>
          <w:rtl/>
        </w:rPr>
        <w:t>(פ"ח ה"א)</w:t>
      </w:r>
      <w:r w:rsidR="00A82951">
        <w:rPr>
          <w:rFonts w:cs="Arial"/>
          <w:rtl/>
        </w:rPr>
        <w:t>-</w:t>
      </w:r>
      <w:r>
        <w:rPr>
          <w:rFonts w:cs="Arial"/>
          <w:rtl/>
        </w:rPr>
        <w:t xml:space="preserve"> המגרש על תנאי</w:t>
      </w:r>
      <w:r w:rsidR="006F2399">
        <w:rPr>
          <w:rFonts w:cs="Arial" w:hint="cs"/>
          <w:rtl/>
        </w:rPr>
        <w:t>,</w:t>
      </w:r>
      <w:r>
        <w:rPr>
          <w:rFonts w:cs="Arial"/>
          <w:rtl/>
        </w:rPr>
        <w:t xml:space="preserve"> אם נתקיים התנאי </w:t>
      </w:r>
      <w:r w:rsidR="006F2399">
        <w:rPr>
          <w:rFonts w:cs="Arial" w:hint="cs"/>
          <w:rtl/>
        </w:rPr>
        <w:t xml:space="preserve">- </w:t>
      </w:r>
      <w:r>
        <w:rPr>
          <w:rFonts w:cs="Arial"/>
          <w:rtl/>
        </w:rPr>
        <w:t>הרי זו מגורשת</w:t>
      </w:r>
      <w:r w:rsidR="006F2399">
        <w:rPr>
          <w:rFonts w:cs="Arial" w:hint="cs"/>
          <w:rtl/>
        </w:rPr>
        <w:t>.</w:t>
      </w:r>
      <w:r>
        <w:rPr>
          <w:rFonts w:cs="Arial"/>
          <w:rtl/>
        </w:rPr>
        <w:t xml:space="preserve"> ואם לא נתקיים התנאי </w:t>
      </w:r>
      <w:r w:rsidR="006F2399">
        <w:rPr>
          <w:rFonts w:cs="Arial" w:hint="cs"/>
          <w:rtl/>
        </w:rPr>
        <w:t xml:space="preserve">- </w:t>
      </w:r>
      <w:r>
        <w:rPr>
          <w:rFonts w:cs="Arial"/>
          <w:rtl/>
        </w:rPr>
        <w:t>אינה מגורשת</w:t>
      </w:r>
      <w:r w:rsidR="006F2399">
        <w:rPr>
          <w:rFonts w:cs="Arial" w:hint="cs"/>
          <w:rtl/>
        </w:rPr>
        <w:t>.</w:t>
      </w:r>
      <w:r>
        <w:rPr>
          <w:rFonts w:cs="Arial"/>
          <w:rtl/>
        </w:rPr>
        <w:t xml:space="preserve"> וכבר בארנו בפרק ששי מהלכות אישות משפטי התנאין כולם, ושם נתבאר שהמגרש על תנאי כשיתקיים התנאי תהיה מגורשת בשעה שיתקיים, לא בשעת נתינת הגט לידה. לפיכך יש לבעל לבטל הגט או להוסיף על תנאו או להתנות תנאי אחר כל זמן שלא נתקיים התנאי הראשון אע"פ שהגיע הגט לידה</w:t>
      </w:r>
      <w:r w:rsidR="006F2399">
        <w:rPr>
          <w:rFonts w:cs="Arial" w:hint="cs"/>
          <w:rtl/>
        </w:rPr>
        <w:t>.</w:t>
      </w:r>
      <w:r>
        <w:rPr>
          <w:rFonts w:cs="Arial"/>
          <w:rtl/>
        </w:rPr>
        <w:t xml:space="preserve"> ואם מת הבעל או אבד הגט או נשרף קודם שיתקיים התנאי </w:t>
      </w:r>
      <w:r w:rsidR="00A82951">
        <w:rPr>
          <w:rFonts w:cs="Arial"/>
          <w:rtl/>
        </w:rPr>
        <w:t>-</w:t>
      </w:r>
      <w:r>
        <w:rPr>
          <w:rFonts w:cs="Arial"/>
          <w:rtl/>
        </w:rPr>
        <w:t xml:space="preserve"> אינה מגורשת</w:t>
      </w:r>
      <w:r>
        <w:rPr>
          <w:rStyle w:val="a7"/>
          <w:rFonts w:cs="Arial"/>
          <w:rtl/>
        </w:rPr>
        <w:footnoteReference w:id="2369"/>
      </w:r>
      <w:r>
        <w:rPr>
          <w:rFonts w:cs="Arial"/>
          <w:rtl/>
        </w:rPr>
        <w:t xml:space="preserve">. </w:t>
      </w:r>
    </w:p>
    <w:p w14:paraId="52A3014B" w14:textId="10F94330" w:rsidR="00C97BEF" w:rsidRDefault="00C97BEF" w:rsidP="006A458D">
      <w:pPr>
        <w:pStyle w:val="ab"/>
        <w:numPr>
          <w:ilvl w:val="0"/>
          <w:numId w:val="112"/>
        </w:numPr>
      </w:pPr>
      <w:r>
        <w:rPr>
          <w:rtl/>
        </w:rPr>
        <w:t>טור</w:t>
      </w:r>
      <w:r w:rsidR="00A82951">
        <w:rPr>
          <w:rtl/>
        </w:rPr>
        <w:t>-</w:t>
      </w:r>
      <w:r>
        <w:rPr>
          <w:rtl/>
        </w:rPr>
        <w:t xml:space="preserve"> </w:t>
      </w:r>
      <w:r>
        <w:rPr>
          <w:rFonts w:cs="Arial"/>
          <w:rtl/>
        </w:rPr>
        <w:t xml:space="preserve">אבל לא אמר ע"מ אלא ה"ז גיטך אם תתן לי מאתים זוז לאחר ל' יום </w:t>
      </w:r>
      <w:r w:rsidR="00A82951">
        <w:rPr>
          <w:rFonts w:cs="Arial"/>
          <w:rtl/>
        </w:rPr>
        <w:t>-</w:t>
      </w:r>
      <w:r>
        <w:rPr>
          <w:rFonts w:cs="Arial"/>
          <w:rtl/>
        </w:rPr>
        <w:t xml:space="preserve"> לא חל עד שעת נתינה. ואם נקרע או נאבד קודם נתינה </w:t>
      </w:r>
      <w:r w:rsidR="00A82951">
        <w:rPr>
          <w:rFonts w:cs="Arial"/>
          <w:rtl/>
        </w:rPr>
        <w:t>-</w:t>
      </w:r>
      <w:r>
        <w:rPr>
          <w:rFonts w:cs="Arial"/>
          <w:rtl/>
        </w:rPr>
        <w:t xml:space="preserve"> אינה מגורשת.</w:t>
      </w:r>
      <w:r>
        <w:rPr>
          <w:color w:val="E36C0A" w:themeColor="accent6" w:themeShade="BF"/>
          <w:rtl/>
        </w:rPr>
        <w:t xml:space="preserve"> (וכ"פ בשו"ע)</w:t>
      </w:r>
    </w:p>
    <w:p w14:paraId="52756912" w14:textId="77777777" w:rsidR="00C97BEF" w:rsidRDefault="00C97BEF" w:rsidP="00C97BEF">
      <w:pPr>
        <w:ind w:left="360"/>
        <w:rPr>
          <w:u w:val="dotted"/>
        </w:rPr>
      </w:pPr>
      <w:r>
        <w:rPr>
          <w:u w:val="dotted"/>
          <w:rtl/>
        </w:rPr>
        <w:t>האם יכולה להנשא לפני קיום התנאי, ומה הדין אם נשאת:</w:t>
      </w:r>
    </w:p>
    <w:p w14:paraId="7D4CB4AC" w14:textId="40BB6159" w:rsidR="00C97BEF" w:rsidRDefault="00C97BEF" w:rsidP="006A458D">
      <w:pPr>
        <w:pStyle w:val="ab"/>
        <w:numPr>
          <w:ilvl w:val="0"/>
          <w:numId w:val="112"/>
        </w:numPr>
      </w:pPr>
      <w:r>
        <w:rPr>
          <w:rFonts w:cs="Arial"/>
          <w:rtl/>
        </w:rPr>
        <w:t xml:space="preserve">רמב"ם </w:t>
      </w:r>
      <w:r>
        <w:rPr>
          <w:rFonts w:cs="Arial"/>
          <w:sz w:val="16"/>
          <w:szCs w:val="16"/>
          <w:rtl/>
        </w:rPr>
        <w:t>(פ"ח ה"א)</w:t>
      </w:r>
      <w:r w:rsidR="00A82951">
        <w:rPr>
          <w:rFonts w:cs="Arial"/>
          <w:rtl/>
        </w:rPr>
        <w:t>-</w:t>
      </w:r>
      <w:r>
        <w:rPr>
          <w:rFonts w:cs="Arial"/>
          <w:rtl/>
        </w:rPr>
        <w:t xml:space="preserve"> ולכתחלה לא תנשא עד שיתקיים התנאי. ואם נשאת </w:t>
      </w:r>
      <w:r w:rsidR="00A82951">
        <w:rPr>
          <w:rFonts w:cs="Arial"/>
          <w:rtl/>
        </w:rPr>
        <w:t>-</w:t>
      </w:r>
      <w:r>
        <w:rPr>
          <w:rFonts w:cs="Arial"/>
          <w:rtl/>
        </w:rPr>
        <w:t xml:space="preserve"> לא תצא</w:t>
      </w:r>
      <w:r>
        <w:rPr>
          <w:rStyle w:val="a7"/>
          <w:rFonts w:cs="Arial"/>
          <w:rtl/>
        </w:rPr>
        <w:footnoteReference w:id="2370"/>
      </w:r>
      <w:r>
        <w:rPr>
          <w:rFonts w:cs="Arial"/>
          <w:rtl/>
        </w:rPr>
        <w:t>, אלא אם כן לא נשאר בידה לקיימו שהרי בטל התנאי.</w:t>
      </w:r>
    </w:p>
    <w:p w14:paraId="02BC2239" w14:textId="5CCCA12D" w:rsidR="00C97BEF" w:rsidRDefault="00C97BEF" w:rsidP="006A458D">
      <w:pPr>
        <w:pStyle w:val="ab"/>
        <w:numPr>
          <w:ilvl w:val="0"/>
          <w:numId w:val="112"/>
        </w:numPr>
      </w:pPr>
      <w:r>
        <w:rPr>
          <w:rFonts w:cs="Arial"/>
          <w:rtl/>
        </w:rPr>
        <w:t xml:space="preserve">הה"מ </w:t>
      </w:r>
      <w:r>
        <w:rPr>
          <w:rFonts w:cs="Arial"/>
          <w:sz w:val="16"/>
          <w:szCs w:val="16"/>
          <w:rtl/>
        </w:rPr>
        <w:t xml:space="preserve">(שם ד"ה ולכתחלה) </w:t>
      </w:r>
      <w:r>
        <w:rPr>
          <w:rFonts w:cs="Arial"/>
          <w:rtl/>
        </w:rPr>
        <w:t xml:space="preserve">ר"ן </w:t>
      </w:r>
      <w:r>
        <w:rPr>
          <w:rFonts w:cs="Arial"/>
          <w:sz w:val="16"/>
          <w:szCs w:val="16"/>
          <w:rtl/>
        </w:rPr>
        <w:t xml:space="preserve">(שם ד"ה ודאמרי') </w:t>
      </w:r>
      <w:r>
        <w:rPr>
          <w:rFonts w:cs="Arial"/>
          <w:rtl/>
        </w:rPr>
        <w:t>ותשב"ץ</w:t>
      </w:r>
      <w:r>
        <w:rPr>
          <w:rFonts w:cs="Arial"/>
          <w:sz w:val="16"/>
          <w:szCs w:val="16"/>
          <w:rtl/>
        </w:rPr>
        <w:t xml:space="preserve"> (ח"א סי' קיט)</w:t>
      </w:r>
      <w:r w:rsidR="00A82951">
        <w:rPr>
          <w:rFonts w:cs="Arial"/>
          <w:rtl/>
        </w:rPr>
        <w:t>-</w:t>
      </w:r>
      <w:r>
        <w:rPr>
          <w:rFonts w:cs="Arial"/>
          <w:rtl/>
        </w:rPr>
        <w:t xml:space="preserve"> כי אינסיבא אשת איש הואי ובזנות בא עליה ואם נישאת תצא, דקיי"ל (סוטה כז:) כשם שאסורה לבעל כך אסורה לבועל</w:t>
      </w:r>
      <w:r>
        <w:rPr>
          <w:sz w:val="16"/>
          <w:szCs w:val="16"/>
          <w:rtl/>
        </w:rPr>
        <w:t xml:space="preserve"> (ל' התשב"ץ)</w:t>
      </w:r>
      <w:r>
        <w:rPr>
          <w:rtl/>
        </w:rPr>
        <w:t xml:space="preserve">. </w:t>
      </w:r>
      <w:r>
        <w:rPr>
          <w:color w:val="E36C0A" w:themeColor="accent6" w:themeShade="BF"/>
          <w:rtl/>
        </w:rPr>
        <w:t>(וכ"פ בשו"ע</w:t>
      </w:r>
      <w:r>
        <w:rPr>
          <w:rStyle w:val="a7"/>
        </w:rPr>
        <w:footnoteReference w:id="2371"/>
      </w:r>
      <w:r>
        <w:rPr>
          <w:color w:val="E36C0A" w:themeColor="accent6" w:themeShade="BF"/>
          <w:rtl/>
        </w:rPr>
        <w:t>)</w:t>
      </w:r>
    </w:p>
    <w:p w14:paraId="0679A260" w14:textId="77777777" w:rsidR="00C97BEF" w:rsidRDefault="00C97BEF" w:rsidP="00C97BEF">
      <w:pPr>
        <w:ind w:left="360"/>
        <w:rPr>
          <w:u w:val="dotted"/>
        </w:rPr>
      </w:pPr>
      <w:r>
        <w:rPr>
          <w:u w:val="dotted"/>
          <w:rtl/>
        </w:rPr>
        <w:t>ומה הדין אם לא אמר מעכשיו ומת הבעל קודם שקיימה התנאי:</w:t>
      </w:r>
    </w:p>
    <w:p w14:paraId="0357032A" w14:textId="72F9C0DC" w:rsidR="00C97BEF" w:rsidRDefault="00C97BEF" w:rsidP="006A458D">
      <w:pPr>
        <w:pStyle w:val="ab"/>
        <w:numPr>
          <w:ilvl w:val="0"/>
          <w:numId w:val="116"/>
        </w:numPr>
        <w:rPr>
          <w:rtl/>
        </w:rPr>
      </w:pPr>
      <w:r>
        <w:rPr>
          <w:rFonts w:cs="Arial"/>
          <w:rtl/>
        </w:rPr>
        <w:t>ב"י</w:t>
      </w:r>
      <w:r w:rsidR="00A82951">
        <w:rPr>
          <w:rFonts w:cs="Arial"/>
          <w:rtl/>
        </w:rPr>
        <w:t>-</w:t>
      </w:r>
      <w:r>
        <w:rPr>
          <w:rFonts w:cs="Arial"/>
          <w:rtl/>
        </w:rPr>
        <w:t xml:space="preserve"> בסימן קמ"ד (סה.) כתב </w:t>
      </w:r>
      <w:r>
        <w:rPr>
          <w:rFonts w:cs="Arial"/>
          <w:sz w:val="16"/>
          <w:szCs w:val="16"/>
          <w:rtl/>
        </w:rPr>
        <w:t xml:space="preserve">{הטור} </w:t>
      </w:r>
      <w:r>
        <w:rPr>
          <w:rFonts w:cs="Arial"/>
          <w:rtl/>
        </w:rPr>
        <w:t xml:space="preserve">שאם מת בתוך הזמן, להרמב"ם </w:t>
      </w:r>
      <w:r w:rsidR="00A82951">
        <w:rPr>
          <w:rFonts w:cs="Arial"/>
          <w:rtl/>
        </w:rPr>
        <w:t>-</w:t>
      </w:r>
      <w:r>
        <w:rPr>
          <w:rFonts w:cs="Arial"/>
          <w:rtl/>
        </w:rPr>
        <w:t xml:space="preserve"> אינו גט כלל ומתייבמת. ולהראב"ד </w:t>
      </w:r>
      <w:r w:rsidR="00A82951">
        <w:rPr>
          <w:rFonts w:cs="Arial"/>
          <w:rtl/>
        </w:rPr>
        <w:t>-</w:t>
      </w:r>
      <w:r>
        <w:rPr>
          <w:rFonts w:cs="Arial"/>
          <w:rtl/>
        </w:rPr>
        <w:t xml:space="preserve"> הוי גט ומותרת לשוק. והרמ"ה חילק, על פה שלא נכתב התנאי בגט </w:t>
      </w:r>
      <w:r w:rsidR="00A82951">
        <w:rPr>
          <w:rFonts w:cs="Arial"/>
          <w:rtl/>
        </w:rPr>
        <w:t>-</w:t>
      </w:r>
      <w:r>
        <w:rPr>
          <w:rFonts w:cs="Arial"/>
          <w:rtl/>
        </w:rPr>
        <w:t xml:space="preserve"> אינו גט כלל ומתייבמת, ואם כתב התנאי בגט </w:t>
      </w:r>
      <w:r w:rsidR="00A82951">
        <w:rPr>
          <w:rFonts w:cs="Arial"/>
          <w:rtl/>
        </w:rPr>
        <w:t>-</w:t>
      </w:r>
      <w:r>
        <w:rPr>
          <w:rFonts w:cs="Arial"/>
          <w:rtl/>
        </w:rPr>
        <w:t xml:space="preserve"> הוי ספק וחולצת ולא מתייבמת. וכן דעת התוספות שחולצת עכ"ל. ושם בסימן הנזכר אבאר דעותיהם בסייעתא דשמיא.</w:t>
      </w:r>
    </w:p>
    <w:p w14:paraId="3C2114E7" w14:textId="77777777" w:rsidR="00C97BEF" w:rsidRDefault="00C97BEF" w:rsidP="00C97BEF">
      <w:pPr>
        <w:rPr>
          <w:u w:val="single"/>
        </w:rPr>
      </w:pPr>
      <w:r>
        <w:rPr>
          <w:rFonts w:cs="Arial"/>
          <w:u w:val="single"/>
          <w:rtl/>
        </w:rPr>
        <w:t>גט שנכתב בו 'אם לא מתי מחולי זה לא יהא גט', ולא כפל התנאי, ומת הבעל:</w:t>
      </w:r>
    </w:p>
    <w:p w14:paraId="5C2BA468" w14:textId="6C38A45F" w:rsidR="00C97BEF" w:rsidRDefault="00C97BEF" w:rsidP="006A458D">
      <w:pPr>
        <w:pStyle w:val="ab"/>
        <w:numPr>
          <w:ilvl w:val="0"/>
          <w:numId w:val="116"/>
        </w:numPr>
      </w:pPr>
      <w:r>
        <w:rPr>
          <w:rFonts w:cs="Arial"/>
          <w:rtl/>
        </w:rPr>
        <w:t xml:space="preserve">רשב"א </w:t>
      </w:r>
      <w:r>
        <w:rPr>
          <w:rFonts w:cs="Arial"/>
          <w:sz w:val="16"/>
          <w:szCs w:val="16"/>
          <w:rtl/>
        </w:rPr>
        <w:t>(ח"א סי' אלף רמח)</w:t>
      </w:r>
      <w:r w:rsidR="00A82951">
        <w:rPr>
          <w:rFonts w:cs="Arial"/>
          <w:rtl/>
        </w:rPr>
        <w:t>-</w:t>
      </w:r>
      <w:r>
        <w:rPr>
          <w:rFonts w:cs="Arial"/>
          <w:rtl/>
        </w:rPr>
        <w:t xml:space="preserve"> ומה שנסתפק לך בגט שכתב לאחר כתיבת כל התורף 'אם לא מתי מחולי זה לא יהא גט', כיון שלא הזכיר 'מחולי זה באם מתי' אם יש חשש בדבר. לא ידעתי איזה ספק יש בזה כיון שמת מאותו </w:t>
      </w:r>
      <w:r>
        <w:rPr>
          <w:rFonts w:cs="Arial"/>
          <w:rtl/>
        </w:rPr>
        <w:lastRenderedPageBreak/>
        <w:t>חולי, שאם באת להסתפק כיון שלא אמר 'מחולי זה באם מתי' ולומר שלא נכפל התנאי ב</w:t>
      </w:r>
      <w:r w:rsidR="00A82951">
        <w:rPr>
          <w:rFonts w:cs="Arial"/>
          <w:rtl/>
        </w:rPr>
        <w:t>-</w:t>
      </w:r>
      <w:r>
        <w:rPr>
          <w:rFonts w:cs="Arial"/>
          <w:rtl/>
        </w:rPr>
        <w:t xml:space="preserve">'מחולי זה' </w:t>
      </w:r>
      <w:r w:rsidR="00A82951">
        <w:rPr>
          <w:rFonts w:cs="Arial"/>
          <w:rtl/>
        </w:rPr>
        <w:t>-</w:t>
      </w:r>
      <w:r>
        <w:rPr>
          <w:rFonts w:cs="Arial"/>
          <w:rtl/>
        </w:rPr>
        <w:t xml:space="preserve"> כל שכן שהתנאי בטל מחמת שלא נכפל ואין בדבריו כלום, דאנן קושטא דמילתא לא קיי"ל כרבי מאיר דבעי תנאי כפול (עיין בית יוסף ריש הסימן), ולאפוקי מספיקת בית דין טועים אתקין (גיטין עה: עיין שם בר"ן לו: דיבור ראשון). ולא עוד אלא לרבי מאיר נמי מסתברא דתנאי כפול יש כאן, דכיון דפתח בחולי באם לא מתי, ועוד חזר לבסוף והזכיר אותו תנאי בודאי מה שאמר באמצע אם מתי מוכח מילתא דנגרר הוא אחר לשון התנאי שלפניו ושלאחריו.</w:t>
      </w:r>
    </w:p>
    <w:p w14:paraId="114F0F76" w14:textId="77777777" w:rsidR="00C97BEF" w:rsidRDefault="00C97BEF" w:rsidP="00C97BEF">
      <w:pPr>
        <w:rPr>
          <w:u w:val="single"/>
        </w:rPr>
      </w:pPr>
      <w:r>
        <w:rPr>
          <w:rFonts w:cs="Arial"/>
          <w:u w:val="single"/>
          <w:rtl/>
        </w:rPr>
        <w:t>אמר לעדים 'גט זה אני רוצה ליתן לאשתי זאת על תנאי זה בפניכם', והתנה וכפל תנאו ואח"כ נתנו לה בפניהם סתם</w:t>
      </w:r>
      <w:r>
        <w:rPr>
          <w:u w:val="single"/>
          <w:rtl/>
        </w:rPr>
        <w:t>:</w:t>
      </w:r>
    </w:p>
    <w:p w14:paraId="2110E801" w14:textId="725721C9" w:rsidR="00C97BEF" w:rsidRDefault="00C97BEF" w:rsidP="006A458D">
      <w:pPr>
        <w:pStyle w:val="ab"/>
        <w:numPr>
          <w:ilvl w:val="0"/>
          <w:numId w:val="116"/>
        </w:numPr>
      </w:pPr>
      <w:r>
        <w:rPr>
          <w:rFonts w:cs="Arial"/>
          <w:rtl/>
        </w:rPr>
        <w:t>רא"ש</w:t>
      </w:r>
      <w:r>
        <w:rPr>
          <w:rFonts w:cs="Arial"/>
          <w:sz w:val="16"/>
          <w:szCs w:val="16"/>
          <w:rtl/>
        </w:rPr>
        <w:t xml:space="preserve"> (כלל לה סי' ח</w:t>
      </w:r>
      <w:r w:rsidR="00A82951">
        <w:rPr>
          <w:rFonts w:cs="Arial"/>
          <w:sz w:val="16"/>
          <w:szCs w:val="16"/>
          <w:rtl/>
        </w:rPr>
        <w:t>-</w:t>
      </w:r>
      <w:r>
        <w:rPr>
          <w:rFonts w:cs="Arial"/>
          <w:sz w:val="16"/>
          <w:szCs w:val="16"/>
          <w:rtl/>
        </w:rPr>
        <w:t>ט)</w:t>
      </w:r>
      <w:r w:rsidR="00A82951">
        <w:rPr>
          <w:rFonts w:cs="Arial"/>
          <w:rtl/>
        </w:rPr>
        <w:t>-</w:t>
      </w:r>
      <w:r>
        <w:rPr>
          <w:rFonts w:cs="Arial"/>
          <w:rtl/>
        </w:rPr>
        <w:t xml:space="preserve"> אהא דגרסינן בהמדיר (כתובות עג.) גבי פלוגתא דרב ושמואל בקידשה על תנאי וכנסה סתם, לא תימא טעמיה דרב כיון דכנסה סתם אחולי אחליה לתנאיה, כלומר ותלמד מכאן דכל המתנה בתחלת המעשה ובשעת גמר המעשה לא הזכיר תנאו שמחל התנאי וביטלו, כגון אמר בפני שני עדים גט זה אני רוצה ליתן לאשתי זאת על תנאי זה בפניכם והתנה וכפל תנאו ואח"כ נתנו לה בפניהם סתם ולא הזכיר התנאי שמחל התנאי </w:t>
      </w:r>
      <w:r w:rsidR="00A82951">
        <w:rPr>
          <w:rFonts w:cs="Arial"/>
          <w:rtl/>
        </w:rPr>
        <w:t>-</w:t>
      </w:r>
      <w:r>
        <w:rPr>
          <w:rFonts w:cs="Arial"/>
          <w:rtl/>
        </w:rPr>
        <w:t xml:space="preserve"> ודאי לא אמרינן הכי, דעל דעת ראשונה הוא עושה ואינו מוחל לתנאו. אלא היינו טעמא משום דאין אדם עושה בעילתו בעילת זנות.</w:t>
      </w:r>
    </w:p>
    <w:p w14:paraId="20A12271"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0B305BE" w14:textId="77777777" w:rsidR="00C97BEF" w:rsidRDefault="00C97BEF" w:rsidP="00C97BEF">
      <w:pPr>
        <w:rPr>
          <w:rtl/>
        </w:rPr>
      </w:pPr>
      <w:r>
        <w:rPr>
          <w:rFonts w:cs="Arial"/>
          <w:rtl/>
        </w:rPr>
        <w:t xml:space="preserve">המגרש על התנאי, כשיתקיים התנאי, תהיה מגורשת בשעה שיתקיים, לא בשעת נתינת הגט לידה. לפיכך יש לבעל לבטל הגט, או להוסיף על תנאו, או להתנות תנאי אחר, כל זמן שלא נתקיים התנאי הראשון, אף על פי שהגיע לידה. ואם מת הבעל, או אבד הגט, או נשרף, קודם שיתקיים התנאי, אינה מגורשת. ואם נשאת, תצא. ואם אמר לה: הרי את מגורשת מעכשיו, או מהיום, על תנאי כך וכך, או שאמר לה: הרי את מגורשת על מנת כך וכך </w:t>
      </w:r>
      <w:r>
        <w:rPr>
          <w:rFonts w:cs="Arial"/>
          <w:sz w:val="18"/>
          <w:szCs w:val="18"/>
          <w:rtl/>
        </w:rPr>
        <w:t>[הגה] ועיין לקמן סי' קמ"ד סעיף ד' דיש אומרים דעל מנת לאו כמעכשיו דמי</w:t>
      </w:r>
      <w:r>
        <w:rPr>
          <w:rFonts w:cs="Arial"/>
          <w:rtl/>
        </w:rPr>
        <w:t>, כשיתקיים התנאי, תהיה מגורשת משעת נתינת הגט לידה. לפיכך אינו יכול לבטל הגט ולא להוסיף על תנאו משהגיע גט לידה</w:t>
      </w:r>
      <w:r>
        <w:rPr>
          <w:rStyle w:val="a7"/>
          <w:rFonts w:cs="Arial"/>
          <w:rtl/>
        </w:rPr>
        <w:footnoteReference w:id="2372"/>
      </w:r>
      <w:r>
        <w:rPr>
          <w:rFonts w:cs="Arial"/>
          <w:rtl/>
        </w:rPr>
        <w:t xml:space="preserve">. ואם אבד או נשרף, </w:t>
      </w:r>
      <w:r>
        <w:rPr>
          <w:rFonts w:cs="Arial"/>
          <w:sz w:val="18"/>
          <w:szCs w:val="18"/>
          <w:rtl/>
        </w:rPr>
        <w:t>[הגה] ואפי' מת הבעל,</w:t>
      </w:r>
      <w:r>
        <w:rPr>
          <w:rFonts w:cs="Arial"/>
          <w:rtl/>
        </w:rPr>
        <w:t xml:space="preserve"> קודם שיתקיים התנאי, הרי זו מקיימת התנאי אחר מותו, וכבר נתגרשה משעת נתינת הגט לידה. ולכתחלה לא תנשא קודם קיום התנאי, ואם נשאת, יפרוש ממנה עד שיתקיים התנאי. ומיהו בתנאי שהוא בידה, והוא בשב ואל תעשה, לא חיישינן שמא תעבור עליו, ולפיכך מותרת לינשא מיד, בתנאי דעל מנת או מעכשיו. ויש אומרים דאפילו לא אמר: מעכשיו ולא מהיום ולא על מנת, דינו כאומר: מהיום, משום דזמנו של גט מוכיח עליו, הילכך אזלינן בה לחומרא. </w:t>
      </w:r>
      <w:r>
        <w:rPr>
          <w:rFonts w:cs="Arial"/>
          <w:sz w:val="18"/>
          <w:szCs w:val="18"/>
          <w:rtl/>
        </w:rPr>
        <w:t xml:space="preserve">[הגה] וי"א דאפי' בתנאי דמעכשיו יכול לבטלו (בהעי"ט ורא"ש), ויש להחמיר. </w:t>
      </w:r>
    </w:p>
    <w:p w14:paraId="4EF028CF" w14:textId="77777777" w:rsidR="00C97BEF" w:rsidRDefault="00C97BEF" w:rsidP="00C97BEF">
      <w:pPr>
        <w:rPr>
          <w:rtl/>
        </w:rPr>
      </w:pPr>
    </w:p>
    <w:p w14:paraId="6E5A5E6B" w14:textId="77777777" w:rsidR="00C97BEF" w:rsidRDefault="00C97BEF" w:rsidP="00C97BEF">
      <w:pPr>
        <w:pStyle w:val="2"/>
        <w:rPr>
          <w:rtl/>
        </w:rPr>
      </w:pPr>
      <w:r>
        <w:rPr>
          <w:rtl/>
        </w:rPr>
        <w:t>סעיף ג: אמר 'על מנת שתתני לי מאתים זוז', ומת תוך הזמן.</w:t>
      </w:r>
    </w:p>
    <w:p w14:paraId="1BE52B2E" w14:textId="04400D34" w:rsidR="00C97BEF" w:rsidRDefault="00C97BEF" w:rsidP="00C97BEF">
      <w:pPr>
        <w:rPr>
          <w:rFonts w:cs="Arial"/>
          <w:rtl/>
        </w:rPr>
      </w:pPr>
      <w:r>
        <w:rPr>
          <w:rFonts w:cs="Arial"/>
          <w:b/>
          <w:bCs/>
          <w:rtl/>
        </w:rPr>
        <w:t xml:space="preserve">גיטין </w:t>
      </w:r>
      <w:r>
        <w:rPr>
          <w:rFonts w:cs="Arial"/>
          <w:b/>
          <w:bCs/>
          <w:sz w:val="16"/>
          <w:szCs w:val="16"/>
          <w:rtl/>
        </w:rPr>
        <w:t>(פ' מי שאחזו)</w:t>
      </w:r>
      <w:r>
        <w:rPr>
          <w:rFonts w:cs="Arial"/>
          <w:b/>
          <w:bCs/>
          <w:rtl/>
        </w:rPr>
        <w:t xml:space="preserve"> עד ע"א: </w:t>
      </w:r>
      <w:r>
        <w:rPr>
          <w:rFonts w:cs="Arial"/>
          <w:u w:val="double"/>
          <w:rtl/>
        </w:rPr>
        <w:t>מתני'</w:t>
      </w:r>
      <w:r>
        <w:rPr>
          <w:rFonts w:cs="Arial"/>
          <w:rtl/>
        </w:rPr>
        <w:t xml:space="preserve">: הרי זה גיטך ע"מ שתתני לי מאתים זוז </w:t>
      </w:r>
      <w:r w:rsidR="00A82951">
        <w:rPr>
          <w:rFonts w:cs="Arial"/>
          <w:rtl/>
        </w:rPr>
        <w:t>-</w:t>
      </w:r>
      <w:r>
        <w:rPr>
          <w:rFonts w:cs="Arial"/>
          <w:rtl/>
        </w:rPr>
        <w:t xml:space="preserve"> הרי זו מגורשת ותתן. ע"מ שתתני לי מיכן ועד שלשים יום, אם נתנה לו בתוך שלשים יום </w:t>
      </w:r>
      <w:r w:rsidR="00A82951">
        <w:rPr>
          <w:rFonts w:cs="Arial"/>
          <w:rtl/>
        </w:rPr>
        <w:t>-</w:t>
      </w:r>
      <w:r>
        <w:rPr>
          <w:rFonts w:cs="Arial"/>
          <w:rtl/>
        </w:rPr>
        <w:t xml:space="preserve"> מגורשת, ואם לאו </w:t>
      </w:r>
      <w:r w:rsidR="00A82951">
        <w:rPr>
          <w:rFonts w:cs="Arial"/>
          <w:rtl/>
        </w:rPr>
        <w:t>-</w:t>
      </w:r>
      <w:r>
        <w:rPr>
          <w:rFonts w:cs="Arial"/>
          <w:rtl/>
        </w:rPr>
        <w:t xml:space="preserve"> אינה מגורשת...      </w:t>
      </w:r>
      <w:r>
        <w:rPr>
          <w:rFonts w:cs="Arial"/>
          <w:u w:val="double"/>
          <w:rtl/>
        </w:rPr>
        <w:t>גמ'</w:t>
      </w:r>
      <w:r>
        <w:rPr>
          <w:rFonts w:cs="Arial"/>
          <w:rtl/>
        </w:rPr>
        <w:t>: ועוד תניא: ה"ז גיטך על מנת שתתני לי מאתים זוז ומת, נתנה</w:t>
      </w:r>
      <w:r>
        <w:rPr>
          <w:rStyle w:val="a7"/>
          <w:rFonts w:cs="Arial"/>
          <w:rtl/>
        </w:rPr>
        <w:footnoteReference w:id="2373"/>
      </w:r>
      <w:r>
        <w:rPr>
          <w:rFonts w:cs="Arial"/>
          <w:rtl/>
        </w:rPr>
        <w:t xml:space="preserve"> </w:t>
      </w:r>
      <w:r w:rsidR="00A82951">
        <w:rPr>
          <w:rFonts w:cs="Arial"/>
          <w:rtl/>
        </w:rPr>
        <w:t>-</w:t>
      </w:r>
      <w:r>
        <w:rPr>
          <w:rFonts w:cs="Arial"/>
          <w:rtl/>
        </w:rPr>
        <w:t xml:space="preserve"> אינה זקוקה ליבם, לא נתנה </w:t>
      </w:r>
      <w:r w:rsidR="00A82951">
        <w:rPr>
          <w:rFonts w:cs="Arial"/>
          <w:rtl/>
        </w:rPr>
        <w:t>-</w:t>
      </w:r>
      <w:r>
        <w:rPr>
          <w:rFonts w:cs="Arial"/>
          <w:rtl/>
        </w:rPr>
        <w:t xml:space="preserve"> זקוקה ליבם</w:t>
      </w:r>
      <w:r>
        <w:rPr>
          <w:rStyle w:val="a7"/>
          <w:rFonts w:cs="Arial"/>
          <w:rtl/>
        </w:rPr>
        <w:footnoteReference w:id="2374"/>
      </w:r>
      <w:r>
        <w:rPr>
          <w:rFonts w:cs="Arial"/>
          <w:rtl/>
        </w:rPr>
        <w:t xml:space="preserve">. </w:t>
      </w:r>
      <w:r>
        <w:rPr>
          <w:rFonts w:cs="Arial"/>
          <w:u w:val="single"/>
          <w:rtl/>
        </w:rPr>
        <w:t>רבן שמעון בן גמליאל אומר</w:t>
      </w:r>
      <w:r>
        <w:rPr>
          <w:rFonts w:cs="Arial"/>
          <w:rtl/>
        </w:rPr>
        <w:t xml:space="preserve">: נותנת לאביו או לאחיו או לאחד מן הקרובים. עד כאן לא פליגי </w:t>
      </w:r>
      <w:r w:rsidR="00A82951">
        <w:rPr>
          <w:rFonts w:cs="Arial"/>
          <w:rtl/>
        </w:rPr>
        <w:t>-</w:t>
      </w:r>
      <w:r>
        <w:rPr>
          <w:rFonts w:cs="Arial"/>
          <w:rtl/>
        </w:rPr>
        <w:t xml:space="preserve"> אלא דמר סבר: לי </w:t>
      </w:r>
      <w:r w:rsidR="00A82951">
        <w:rPr>
          <w:rFonts w:cs="Arial"/>
          <w:rtl/>
        </w:rPr>
        <w:t>-</w:t>
      </w:r>
      <w:r>
        <w:rPr>
          <w:rFonts w:cs="Arial"/>
          <w:rtl/>
        </w:rPr>
        <w:t xml:space="preserve"> ולא ליורשי, ומר סבר: לי</w:t>
      </w:r>
      <w:r>
        <w:rPr>
          <w:rStyle w:val="a7"/>
          <w:rFonts w:cs="Arial"/>
          <w:rtl/>
        </w:rPr>
        <w:footnoteReference w:id="2375"/>
      </w:r>
      <w:r>
        <w:rPr>
          <w:rFonts w:cs="Arial"/>
          <w:rtl/>
        </w:rPr>
        <w:t xml:space="preserve"> </w:t>
      </w:r>
      <w:r w:rsidR="00A82951">
        <w:rPr>
          <w:rFonts w:cs="Arial"/>
          <w:rtl/>
        </w:rPr>
        <w:t>-</w:t>
      </w:r>
      <w:r>
        <w:rPr>
          <w:rFonts w:cs="Arial"/>
          <w:rtl/>
        </w:rPr>
        <w:t xml:space="preserve"> ואפילו ליורשי...</w:t>
      </w:r>
    </w:p>
    <w:p w14:paraId="41B64460" w14:textId="77777777" w:rsidR="00C97BEF" w:rsidRDefault="00C97BEF" w:rsidP="00C97BEF">
      <w:pPr>
        <w:rPr>
          <w:rFonts w:cs="Arial"/>
          <w:u w:val="double"/>
          <w:rtl/>
        </w:rPr>
      </w:pPr>
      <w:r>
        <w:rPr>
          <w:rFonts w:cs="Arial"/>
          <w:u w:val="single"/>
          <w:rtl/>
        </w:rPr>
        <w:t>נתן לה גט בתנאי על מנת שתביא לו כסף בתוך ל' יום, ומת קודם שהספיקה לתת:</w:t>
      </w:r>
    </w:p>
    <w:p w14:paraId="0869E75A" w14:textId="10B03F44" w:rsidR="00C97BEF" w:rsidRDefault="00C97BEF" w:rsidP="006A458D">
      <w:pPr>
        <w:pStyle w:val="ab"/>
        <w:numPr>
          <w:ilvl w:val="0"/>
          <w:numId w:val="112"/>
        </w:numPr>
        <w:rPr>
          <w:rtl/>
        </w:rPr>
      </w:pPr>
      <w:r>
        <w:rPr>
          <w:rFonts w:cs="Arial"/>
          <w:rtl/>
        </w:rPr>
        <w:t>רמב"ם</w:t>
      </w:r>
      <w:r>
        <w:rPr>
          <w:rFonts w:cs="Arial"/>
          <w:sz w:val="16"/>
          <w:szCs w:val="16"/>
          <w:rtl/>
        </w:rPr>
        <w:t xml:space="preserve"> (פ"ח הכ"א)</w:t>
      </w:r>
      <w:r w:rsidR="00A82951">
        <w:rPr>
          <w:rFonts w:cs="Arial"/>
          <w:rtl/>
        </w:rPr>
        <w:t>-</w:t>
      </w:r>
      <w:r>
        <w:rPr>
          <w:rFonts w:cs="Arial"/>
          <w:rtl/>
        </w:rPr>
        <w:t xml:space="preserve"> הרי זה גיטיך על מנת שתתני לי מאתים זוז מכאן ועד שלשים יום, נתנה בתוך שלשים יום מדעתו </w:t>
      </w:r>
      <w:r w:rsidR="00A82951">
        <w:rPr>
          <w:rFonts w:cs="Arial"/>
          <w:rtl/>
        </w:rPr>
        <w:t>-</w:t>
      </w:r>
      <w:r>
        <w:rPr>
          <w:rFonts w:cs="Arial"/>
          <w:rtl/>
        </w:rPr>
        <w:t xml:space="preserve"> הרי זו מגורשת... מת בתוך שלשים יום, הואיל ושלמו השלשים יום ולא נתנה </w:t>
      </w:r>
      <w:r w:rsidR="00A82951">
        <w:rPr>
          <w:rFonts w:cs="Arial"/>
          <w:rtl/>
        </w:rPr>
        <w:t>-</w:t>
      </w:r>
      <w:r>
        <w:rPr>
          <w:rFonts w:cs="Arial"/>
          <w:rtl/>
        </w:rPr>
        <w:t xml:space="preserve"> אינה מגורשת. </w:t>
      </w:r>
      <w:r>
        <w:rPr>
          <w:color w:val="E36C0A" w:themeColor="accent6" w:themeShade="BF"/>
          <w:rtl/>
        </w:rPr>
        <w:t>(וכ"פ בשו"ע)</w:t>
      </w:r>
    </w:p>
    <w:p w14:paraId="61DD1E51" w14:textId="77777777" w:rsidR="00C97BEF" w:rsidRDefault="00C97BEF" w:rsidP="00C97BEF">
      <w:pPr>
        <w:ind w:left="360"/>
        <w:rPr>
          <w:rFonts w:cs="Arial"/>
          <w:u w:val="dotted"/>
        </w:rPr>
      </w:pPr>
      <w:r>
        <w:rPr>
          <w:rFonts w:cs="Arial"/>
          <w:u w:val="dotted"/>
          <w:rtl/>
        </w:rPr>
        <w:t>האם יכולה לתת ליורשיו בתוך הזמן שקבע לה:</w:t>
      </w:r>
    </w:p>
    <w:p w14:paraId="7AE0F339" w14:textId="2E9DFA05" w:rsidR="00C97BEF" w:rsidRDefault="00C97BEF" w:rsidP="006A458D">
      <w:pPr>
        <w:pStyle w:val="ab"/>
        <w:numPr>
          <w:ilvl w:val="0"/>
          <w:numId w:val="112"/>
        </w:numPr>
        <w:rPr>
          <w:rtl/>
        </w:rPr>
      </w:pPr>
      <w:r>
        <w:rPr>
          <w:rtl/>
        </w:rPr>
        <w:lastRenderedPageBreak/>
        <w:t>טור</w:t>
      </w:r>
      <w:r w:rsidR="00A82951">
        <w:rPr>
          <w:rtl/>
        </w:rPr>
        <w:t>-</w:t>
      </w:r>
      <w:r>
        <w:rPr>
          <w:rFonts w:cs="Arial"/>
          <w:rtl/>
        </w:rPr>
        <w:t xml:space="preserve"> אם לא נתנה לו בחייו </w:t>
      </w:r>
      <w:r w:rsidR="00A82951">
        <w:rPr>
          <w:rFonts w:cs="Arial"/>
          <w:rtl/>
        </w:rPr>
        <w:t>-</w:t>
      </w:r>
      <w:r>
        <w:rPr>
          <w:rFonts w:cs="Arial"/>
          <w:rtl/>
        </w:rPr>
        <w:t xml:space="preserve"> שוב לא תוכל לקיים התנאי אפי' אם תתן ליורשיו, דע"מ שתתן לי, משמע לי ולא ליורשי. ומכיון שלא תוכל לקיים התנאי </w:t>
      </w:r>
      <w:r w:rsidR="00A82951">
        <w:rPr>
          <w:rFonts w:cs="Arial"/>
          <w:rtl/>
        </w:rPr>
        <w:t>-</w:t>
      </w:r>
      <w:r>
        <w:rPr>
          <w:rFonts w:cs="Arial"/>
          <w:rtl/>
        </w:rPr>
        <w:t xml:space="preserve"> בטל הגירושין וחולצת או מתייבמת. </w:t>
      </w:r>
      <w:r>
        <w:rPr>
          <w:color w:val="E36C0A" w:themeColor="accent6" w:themeShade="BF"/>
          <w:rtl/>
        </w:rPr>
        <w:t>(וכ"פ בשו"ע)</w:t>
      </w:r>
    </w:p>
    <w:p w14:paraId="22DFBDD5" w14:textId="77777777" w:rsidR="00C97BEF" w:rsidRDefault="00C97BEF" w:rsidP="00C97BEF">
      <w:pPr>
        <w:ind w:left="360"/>
      </w:pPr>
      <w:r>
        <w:rPr>
          <w:rFonts w:cs="Arial"/>
          <w:u w:val="dotted"/>
          <w:rtl/>
        </w:rPr>
        <w:t>ומה הדין אם לא קבע לה זמן:</w:t>
      </w:r>
    </w:p>
    <w:p w14:paraId="7C824C0C" w14:textId="31AD88A4"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בטל הגירושין וחולצת או מתייבמת.</w:t>
      </w:r>
    </w:p>
    <w:p w14:paraId="2DAC66FD" w14:textId="411144D8" w:rsidR="00C97BEF" w:rsidRDefault="00C97BEF" w:rsidP="006A458D">
      <w:pPr>
        <w:pStyle w:val="ab"/>
        <w:numPr>
          <w:ilvl w:val="0"/>
          <w:numId w:val="112"/>
        </w:numPr>
      </w:pPr>
      <w:r>
        <w:rPr>
          <w:rFonts w:cs="Arial"/>
          <w:rtl/>
        </w:rPr>
        <w:t>רמב"ם</w:t>
      </w:r>
      <w:r>
        <w:rPr>
          <w:rFonts w:cs="Arial"/>
          <w:sz w:val="16"/>
          <w:szCs w:val="16"/>
          <w:rtl/>
        </w:rPr>
        <w:t xml:space="preserve"> (פ"ח הכ"ב)</w:t>
      </w:r>
      <w:r w:rsidR="00A82951">
        <w:rPr>
          <w:rFonts w:cs="Arial"/>
          <w:rtl/>
        </w:rPr>
        <w:t>-</w:t>
      </w:r>
      <w:r>
        <w:rPr>
          <w:rFonts w:cs="Arial"/>
          <w:rtl/>
        </w:rPr>
        <w:t xml:space="preserve"> אמר לה הרי זה גיטיך על מנת שתתני לי מאתים זוז ולא קבע זמן ומת קודם שתתן </w:t>
      </w:r>
      <w:r w:rsidR="00A82951">
        <w:rPr>
          <w:rFonts w:cs="Arial"/>
          <w:rtl/>
        </w:rPr>
        <w:t>-</w:t>
      </w:r>
      <w:r>
        <w:rPr>
          <w:rFonts w:cs="Arial"/>
          <w:rtl/>
        </w:rPr>
        <w:t xml:space="preserve"> אינה יכולה ליתן ליורשיו שלא התנה עליה אלא שתתן לו, ולא בטל הגט</w:t>
      </w:r>
      <w:r>
        <w:rPr>
          <w:rStyle w:val="a7"/>
          <w:rFonts w:cs="Arial"/>
          <w:rtl/>
        </w:rPr>
        <w:footnoteReference w:id="2376"/>
      </w:r>
      <w:r>
        <w:rPr>
          <w:rFonts w:cs="Arial"/>
          <w:rtl/>
        </w:rPr>
        <w:t xml:space="preserve"> שהרי לא קבע זמן, לפיכך אע</w:t>
      </w:r>
      <w:r w:rsidR="005220D1">
        <w:rPr>
          <w:rFonts w:cs="Arial" w:hint="cs"/>
          <w:rtl/>
        </w:rPr>
        <w:t>"</w:t>
      </w:r>
      <w:r>
        <w:rPr>
          <w:rFonts w:cs="Arial"/>
          <w:rtl/>
        </w:rPr>
        <w:t>פ שאבד הגט או נקרע קודם שימות הרי זו לא תנשא לזר עד שתחלוץ</w:t>
      </w:r>
      <w:r>
        <w:rPr>
          <w:rStyle w:val="a7"/>
          <w:rFonts w:cs="Arial"/>
          <w:rtl/>
        </w:rPr>
        <w:footnoteReference w:id="2377"/>
      </w:r>
      <w:r>
        <w:rPr>
          <w:rFonts w:cs="Arial"/>
          <w:rtl/>
        </w:rPr>
        <w:t xml:space="preserve">. </w:t>
      </w:r>
      <w:r>
        <w:rPr>
          <w:color w:val="E36C0A" w:themeColor="accent6" w:themeShade="BF"/>
          <w:rtl/>
        </w:rPr>
        <w:t>(וכ"פ בשו"ע)</w:t>
      </w:r>
    </w:p>
    <w:p w14:paraId="49F7D0DA"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31405F9" w14:textId="77777777" w:rsidR="00C97BEF" w:rsidRDefault="00C97BEF" w:rsidP="00C97BEF">
      <w:pPr>
        <w:rPr>
          <w:rtl/>
        </w:rPr>
      </w:pPr>
      <w:r>
        <w:rPr>
          <w:rFonts w:cs="Arial"/>
          <w:rtl/>
        </w:rPr>
        <w:t>אמר לה: על מנת שתתני לי מאתים זוז מכאן ועד שלשים יום, ומת בתוך השלשים יום, קודם שנתנם לו, אינה יכולה לקיים התנאי, שאם תתן ליורשיו אינו כלום</w:t>
      </w:r>
      <w:r>
        <w:rPr>
          <w:rStyle w:val="a7"/>
          <w:rFonts w:cs="Arial"/>
          <w:rtl/>
        </w:rPr>
        <w:footnoteReference w:id="2378"/>
      </w:r>
      <w:r>
        <w:rPr>
          <w:rFonts w:cs="Arial"/>
          <w:rtl/>
        </w:rPr>
        <w:t>, וכיון שכן, כיון ששלמו שלשים יום ולא נתנה לו, בטלו הגירושין</w:t>
      </w:r>
      <w:r>
        <w:rPr>
          <w:rStyle w:val="a7"/>
          <w:rFonts w:cs="Arial"/>
          <w:rtl/>
        </w:rPr>
        <w:footnoteReference w:id="2379"/>
      </w:r>
      <w:r>
        <w:rPr>
          <w:rFonts w:cs="Arial"/>
          <w:rtl/>
        </w:rPr>
        <w:t xml:space="preserve"> וחולצת או מתייבמת. ואם אמר לה: על מנת שתתנו לי מאתים זוז, ולא קבע לה זמן, ומת קודם שתתן לו, אף על פי שאבד הגט או נקרע קודם שימות, הרי זו לא תנשא לזר עד שתחלוץ. </w:t>
      </w:r>
    </w:p>
    <w:p w14:paraId="723605EF" w14:textId="77777777" w:rsidR="00C97BEF" w:rsidRDefault="00C97BEF" w:rsidP="00C97BEF">
      <w:pPr>
        <w:rPr>
          <w:rtl/>
        </w:rPr>
      </w:pPr>
    </w:p>
    <w:p w14:paraId="1D8E91EB" w14:textId="77777777" w:rsidR="00C97BEF" w:rsidRDefault="00C97BEF" w:rsidP="00C97BEF">
      <w:pPr>
        <w:pStyle w:val="2"/>
        <w:rPr>
          <w:rtl/>
        </w:rPr>
      </w:pPr>
      <w:r>
        <w:rPr>
          <w:rtl/>
        </w:rPr>
        <w:t>סעיף ד: אמר 'על מנת שתתני לי מאתים זוז עוד ל' יום', ונתנה לו בעל כורחו בתוך ל'.</w:t>
      </w:r>
    </w:p>
    <w:p w14:paraId="0180B406" w14:textId="63C7763C" w:rsidR="00C97BEF" w:rsidRDefault="00C97BEF" w:rsidP="00C97BEF">
      <w:pPr>
        <w:rPr>
          <w:rFonts w:cs="Arial"/>
          <w:rtl/>
        </w:rPr>
      </w:pPr>
      <w:r>
        <w:rPr>
          <w:rFonts w:cs="Arial"/>
          <w:b/>
          <w:bCs/>
          <w:rtl/>
        </w:rPr>
        <w:t xml:space="preserve">גיטין </w:t>
      </w:r>
      <w:r>
        <w:rPr>
          <w:rFonts w:cs="Arial"/>
          <w:b/>
          <w:bCs/>
          <w:sz w:val="16"/>
          <w:szCs w:val="16"/>
          <w:rtl/>
        </w:rPr>
        <w:t>(פ' מי שאחזו)</w:t>
      </w:r>
      <w:r>
        <w:rPr>
          <w:rFonts w:cs="Arial"/>
          <w:b/>
          <w:bCs/>
          <w:rtl/>
        </w:rPr>
        <w:t xml:space="preserve"> עד ע"ב:</w:t>
      </w:r>
      <w:r>
        <w:rPr>
          <w:rFonts w:cs="Arial"/>
          <w:rtl/>
        </w:rPr>
        <w:t xml:space="preserve"> תנן התם</w:t>
      </w:r>
      <w:r>
        <w:rPr>
          <w:rFonts w:cs="Arial"/>
          <w:sz w:val="16"/>
          <w:szCs w:val="16"/>
          <w:rtl/>
        </w:rPr>
        <w:t xml:space="preserve"> </w:t>
      </w:r>
      <w:r>
        <w:rPr>
          <w:rFonts w:cs="Arial"/>
          <w:sz w:val="14"/>
          <w:szCs w:val="14"/>
          <w:rtl/>
        </w:rPr>
        <w:t>(ערכין לא:)</w:t>
      </w:r>
      <w:r>
        <w:rPr>
          <w:rFonts w:cs="Arial"/>
          <w:rtl/>
        </w:rPr>
        <w:t>: בראשונה היה נטמן</w:t>
      </w:r>
      <w:r>
        <w:rPr>
          <w:rStyle w:val="a7"/>
          <w:rFonts w:cs="Arial"/>
          <w:rtl/>
        </w:rPr>
        <w:footnoteReference w:id="2380"/>
      </w:r>
      <w:r>
        <w:rPr>
          <w:rFonts w:cs="Arial"/>
          <w:rtl/>
        </w:rPr>
        <w:t xml:space="preserve"> יום שנים עשר חדש כדי שיהא חלוט לו, התקין הלל הזקן שיהא חולש</w:t>
      </w:r>
      <w:r>
        <w:rPr>
          <w:rStyle w:val="a7"/>
          <w:rFonts w:cs="Arial"/>
          <w:rtl/>
        </w:rPr>
        <w:footnoteReference w:id="2381"/>
      </w:r>
      <w:r>
        <w:rPr>
          <w:rFonts w:cs="Arial"/>
          <w:rtl/>
        </w:rPr>
        <w:t xml:space="preserve"> את מעותיו ללשכה</w:t>
      </w:r>
      <w:r>
        <w:rPr>
          <w:rStyle w:val="a7"/>
          <w:rFonts w:cs="Arial"/>
          <w:rtl/>
        </w:rPr>
        <w:footnoteReference w:id="2382"/>
      </w:r>
      <w:r>
        <w:rPr>
          <w:rFonts w:cs="Arial"/>
          <w:rtl/>
        </w:rPr>
        <w:t>, ויהא שובר את הדלת</w:t>
      </w:r>
      <w:r>
        <w:rPr>
          <w:rStyle w:val="a7"/>
          <w:rFonts w:cs="Arial"/>
          <w:rtl/>
        </w:rPr>
        <w:footnoteReference w:id="2383"/>
      </w:r>
      <w:r>
        <w:rPr>
          <w:rFonts w:cs="Arial"/>
          <w:rtl/>
        </w:rPr>
        <w:t xml:space="preserve"> ונכנס, ואימתי שירצה הלה יבוא ויטול את מעותיו. </w:t>
      </w:r>
      <w:r>
        <w:rPr>
          <w:rFonts w:cs="Arial"/>
          <w:u w:val="single"/>
          <w:rtl/>
        </w:rPr>
        <w:t>ואמר רבא</w:t>
      </w:r>
      <w:r>
        <w:rPr>
          <w:rFonts w:cs="Arial"/>
          <w:rtl/>
        </w:rPr>
        <w:t>: מתקנתו של הלל</w:t>
      </w:r>
      <w:r>
        <w:rPr>
          <w:rStyle w:val="a7"/>
          <w:rFonts w:cs="Arial"/>
          <w:rtl/>
        </w:rPr>
        <w:footnoteReference w:id="2384"/>
      </w:r>
      <w:r>
        <w:rPr>
          <w:rFonts w:cs="Arial"/>
          <w:rtl/>
        </w:rPr>
        <w:t xml:space="preserve"> נשמע, הרי זה גיטך על מנת שתתני לי מאתים זוז, ונתנה לו מדעתו </w:t>
      </w:r>
      <w:r w:rsidR="00A82951">
        <w:rPr>
          <w:rFonts w:cs="Arial"/>
          <w:rtl/>
        </w:rPr>
        <w:t>-</w:t>
      </w:r>
      <w:r>
        <w:rPr>
          <w:rFonts w:cs="Arial"/>
          <w:rtl/>
        </w:rPr>
        <w:t xml:space="preserve"> מגורשת, על כורחו </w:t>
      </w:r>
      <w:r w:rsidR="00A82951">
        <w:rPr>
          <w:rFonts w:cs="Arial"/>
          <w:rtl/>
        </w:rPr>
        <w:t>-</w:t>
      </w:r>
      <w:r>
        <w:rPr>
          <w:rFonts w:cs="Arial"/>
          <w:rtl/>
        </w:rPr>
        <w:t xml:space="preserve"> אינה מגורשת, מדאיצטריך ליה להלל לתקוני נתינה בעל כורחיה דהויא לה נתינה,</w:t>
      </w:r>
      <w:r>
        <w:rPr>
          <w:rFonts w:cs="Arial"/>
          <w:sz w:val="14"/>
          <w:szCs w:val="14"/>
          <w:rtl/>
        </w:rPr>
        <w:t xml:space="preserve"> (עה.) </w:t>
      </w:r>
      <w:r>
        <w:rPr>
          <w:rFonts w:cs="Arial"/>
          <w:rtl/>
        </w:rPr>
        <w:t>מכלל, דבעלמא נתינה בעל כרחיה לא הויא נתינה</w:t>
      </w:r>
      <w:r>
        <w:rPr>
          <w:rStyle w:val="a7"/>
          <w:rFonts w:cs="Arial"/>
          <w:rtl/>
        </w:rPr>
        <w:footnoteReference w:id="2385"/>
      </w:r>
      <w:r>
        <w:rPr>
          <w:rFonts w:cs="Arial"/>
          <w:rtl/>
        </w:rPr>
        <w:t xml:space="preserve">. </w:t>
      </w:r>
      <w:r>
        <w:rPr>
          <w:rFonts w:cs="Arial"/>
          <w:u w:val="single"/>
          <w:rtl/>
        </w:rPr>
        <w:t>מתקיף לה רב פפא, ואיתימא רב שימי בר אשי</w:t>
      </w:r>
      <w:r>
        <w:rPr>
          <w:rFonts w:cs="Arial"/>
          <w:rtl/>
        </w:rPr>
        <w:t xml:space="preserve">: ודלמא כי אצטריך ליה לתקוני </w:t>
      </w:r>
      <w:r w:rsidR="00A82951">
        <w:rPr>
          <w:rFonts w:cs="Arial"/>
          <w:rtl/>
        </w:rPr>
        <w:t>-</w:t>
      </w:r>
      <w:r>
        <w:rPr>
          <w:rFonts w:cs="Arial"/>
          <w:rtl/>
        </w:rPr>
        <w:t xml:space="preserve"> שלא בפניו, אבל בפניו </w:t>
      </w:r>
      <w:r w:rsidR="00A82951">
        <w:rPr>
          <w:rFonts w:cs="Arial"/>
          <w:rtl/>
        </w:rPr>
        <w:t>-</w:t>
      </w:r>
      <w:r>
        <w:rPr>
          <w:rFonts w:cs="Arial"/>
          <w:rtl/>
        </w:rPr>
        <w:t xml:space="preserve"> בין מדעתו בין בעל כרחו הויא נתינה. </w:t>
      </w:r>
      <w:r>
        <w:rPr>
          <w:rFonts w:cs="Arial"/>
          <w:u w:val="dotted"/>
          <w:rtl/>
        </w:rPr>
        <w:t>ואיכא דאמרי</w:t>
      </w:r>
      <w:r>
        <w:rPr>
          <w:rFonts w:cs="Arial"/>
          <w:rtl/>
        </w:rPr>
        <w:t xml:space="preserve">, </w:t>
      </w:r>
      <w:r>
        <w:rPr>
          <w:rFonts w:cs="Arial"/>
          <w:u w:val="single"/>
          <w:rtl/>
        </w:rPr>
        <w:t>אמר רבא</w:t>
      </w:r>
      <w:r>
        <w:rPr>
          <w:rFonts w:cs="Arial"/>
          <w:rtl/>
        </w:rPr>
        <w:t xml:space="preserve">: מתקנתו של הלל, ה"ז גיטך על מנת שתתני לי מאתים זוז, ונתנה לו </w:t>
      </w:r>
      <w:r w:rsidR="00A82951">
        <w:rPr>
          <w:rFonts w:cs="Arial"/>
          <w:rtl/>
        </w:rPr>
        <w:t>-</w:t>
      </w:r>
      <w:r>
        <w:rPr>
          <w:rFonts w:cs="Arial"/>
          <w:rtl/>
        </w:rPr>
        <w:t xml:space="preserve"> בין מדעתו ובין בעל כרחו הויא נתינה, וכי איצטריך ליה להלל לתקוני </w:t>
      </w:r>
      <w:r w:rsidR="00A82951">
        <w:rPr>
          <w:rFonts w:cs="Arial"/>
          <w:rtl/>
        </w:rPr>
        <w:t>-</w:t>
      </w:r>
      <w:r>
        <w:rPr>
          <w:rFonts w:cs="Arial"/>
          <w:rtl/>
        </w:rPr>
        <w:t xml:space="preserve"> שלא בפניו, אבל בפניו </w:t>
      </w:r>
      <w:r w:rsidR="00A82951">
        <w:rPr>
          <w:rFonts w:cs="Arial"/>
          <w:rtl/>
        </w:rPr>
        <w:t>-</w:t>
      </w:r>
      <w:r>
        <w:rPr>
          <w:rFonts w:cs="Arial"/>
          <w:rtl/>
        </w:rPr>
        <w:t xml:space="preserve"> בין מדעתו בין בעל כרחו הויא נתינה. </w:t>
      </w:r>
      <w:r>
        <w:rPr>
          <w:rFonts w:cs="Arial"/>
          <w:u w:val="single"/>
          <w:rtl/>
        </w:rPr>
        <w:t>מתקיף לה רב פפא, ואיתימא רב שימי בר אשי</w:t>
      </w:r>
      <w:r>
        <w:rPr>
          <w:rFonts w:cs="Arial"/>
          <w:rtl/>
        </w:rPr>
        <w:t xml:space="preserve">: ודלמא אפילו בפניו נמי </w:t>
      </w:r>
      <w:r w:rsidR="00A82951">
        <w:rPr>
          <w:rFonts w:cs="Arial"/>
          <w:rtl/>
        </w:rPr>
        <w:t>-</w:t>
      </w:r>
      <w:r>
        <w:rPr>
          <w:rFonts w:cs="Arial"/>
          <w:rtl/>
        </w:rPr>
        <w:t xml:space="preserve"> מדעתו אין, על כרחו לא, והלל מאי דאיצטריך ליה תקין.</w:t>
      </w:r>
    </w:p>
    <w:p w14:paraId="418700E1" w14:textId="29296DB9" w:rsidR="00C97BEF" w:rsidRDefault="00C97BEF" w:rsidP="00C97BEF">
      <w:pPr>
        <w:rPr>
          <w:u w:val="single"/>
          <w:rtl/>
        </w:rPr>
      </w:pPr>
      <w:r>
        <w:rPr>
          <w:rFonts w:cs="Arial"/>
          <w:u w:val="single"/>
          <w:rtl/>
        </w:rPr>
        <w:t xml:space="preserve">אמר לה ה"ז גיטך ע"מ שתתני לי מאתים זוז </w:t>
      </w:r>
      <w:r w:rsidR="00A82951">
        <w:rPr>
          <w:rFonts w:cs="Arial"/>
          <w:u w:val="single"/>
          <w:rtl/>
        </w:rPr>
        <w:t>-</w:t>
      </w:r>
      <w:r>
        <w:rPr>
          <w:rFonts w:cs="Arial"/>
          <w:u w:val="single"/>
          <w:rtl/>
        </w:rPr>
        <w:t xml:space="preserve"> ולא רצה לקבלם, ונתנה לו בעל כרחו</w:t>
      </w:r>
      <w:r>
        <w:rPr>
          <w:u w:val="single"/>
          <w:rtl/>
        </w:rPr>
        <w:t>:</w:t>
      </w:r>
    </w:p>
    <w:p w14:paraId="73398224" w14:textId="36841237" w:rsidR="00C97BEF" w:rsidRDefault="00C97BEF" w:rsidP="006A458D">
      <w:pPr>
        <w:pStyle w:val="ab"/>
        <w:numPr>
          <w:ilvl w:val="0"/>
          <w:numId w:val="112"/>
        </w:numPr>
        <w:rPr>
          <w:rtl/>
        </w:rPr>
      </w:pPr>
      <w:r>
        <w:rPr>
          <w:rFonts w:cs="Arial"/>
          <w:rtl/>
        </w:rPr>
        <w:t xml:space="preserve">רב האי </w:t>
      </w:r>
      <w:r>
        <w:rPr>
          <w:rFonts w:cs="Arial"/>
          <w:sz w:val="16"/>
          <w:szCs w:val="16"/>
          <w:rtl/>
        </w:rPr>
        <w:t>(אוצר הגאונים, תשובות גיטין עד: סי' שצא, וכ"כ בשמו בהעי"ט [מאמר שלישי יד.] רא"ש [סי' ז] ור"ן [לו. ד"ה ולענין])</w:t>
      </w:r>
      <w:r w:rsidR="00A82951">
        <w:rPr>
          <w:rFonts w:cs="Arial"/>
          <w:rtl/>
        </w:rPr>
        <w:t>-</w:t>
      </w:r>
      <w:r>
        <w:rPr>
          <w:rFonts w:cs="Arial"/>
          <w:rtl/>
        </w:rPr>
        <w:t xml:space="preserve"> הוי גט, דהלכה כלישנא בתרא דרבא. </w:t>
      </w:r>
    </w:p>
    <w:p w14:paraId="0042928C" w14:textId="50ABE1EB" w:rsidR="00C97BEF" w:rsidRDefault="00C97BEF" w:rsidP="006A458D">
      <w:pPr>
        <w:pStyle w:val="ab"/>
        <w:numPr>
          <w:ilvl w:val="0"/>
          <w:numId w:val="112"/>
        </w:numPr>
      </w:pPr>
      <w:r>
        <w:rPr>
          <w:rFonts w:cs="Arial"/>
          <w:rtl/>
        </w:rPr>
        <w:t xml:space="preserve">רשב"א </w:t>
      </w:r>
      <w:r>
        <w:rPr>
          <w:rFonts w:cs="Arial"/>
          <w:sz w:val="16"/>
          <w:szCs w:val="16"/>
          <w:rtl/>
        </w:rPr>
        <w:t xml:space="preserve">(עה. ד"ה ולענין פסק) </w:t>
      </w:r>
      <w:r>
        <w:rPr>
          <w:rFonts w:cs="Arial"/>
          <w:rtl/>
        </w:rPr>
        <w:t xml:space="preserve">ורא"ש </w:t>
      </w:r>
      <w:r>
        <w:rPr>
          <w:rFonts w:cs="Arial"/>
          <w:sz w:val="16"/>
          <w:szCs w:val="16"/>
          <w:rtl/>
        </w:rPr>
        <w:t>(סי' ז)</w:t>
      </w:r>
      <w:r w:rsidR="00A82951">
        <w:rPr>
          <w:rFonts w:cs="Arial"/>
          <w:rtl/>
        </w:rPr>
        <w:t>-</w:t>
      </w:r>
      <w:r>
        <w:rPr>
          <w:rFonts w:cs="Arial"/>
          <w:rtl/>
        </w:rPr>
        <w:t xml:space="preserve"> הויא ספק מגורשת. </w:t>
      </w:r>
    </w:p>
    <w:p w14:paraId="14FCB4E4" w14:textId="733A0DA3" w:rsidR="00C97BEF" w:rsidRDefault="00C97BEF" w:rsidP="006A458D">
      <w:pPr>
        <w:pStyle w:val="ab"/>
        <w:numPr>
          <w:ilvl w:val="0"/>
          <w:numId w:val="112"/>
        </w:numPr>
      </w:pPr>
      <w:r>
        <w:rPr>
          <w:rFonts w:cs="Arial"/>
          <w:rtl/>
        </w:rPr>
        <w:lastRenderedPageBreak/>
        <w:t xml:space="preserve">רמב"ם </w:t>
      </w:r>
      <w:r>
        <w:rPr>
          <w:rFonts w:cs="Arial"/>
          <w:sz w:val="16"/>
          <w:szCs w:val="16"/>
          <w:rtl/>
        </w:rPr>
        <w:t>(פ"ח הכ"א)</w:t>
      </w:r>
      <w:r w:rsidR="00A82951">
        <w:rPr>
          <w:rFonts w:cs="Arial"/>
          <w:rtl/>
        </w:rPr>
        <w:t>-</w:t>
      </w:r>
      <w:r>
        <w:rPr>
          <w:rFonts w:cs="Arial"/>
          <w:rtl/>
        </w:rPr>
        <w:t xml:space="preserve"> הרי זה גיטיך על מנת שתתני לי מאתים זוז מכאן ועד שלשים יום... נתנה לו בעל כרחו והוא אינו רוצה לקבל </w:t>
      </w:r>
      <w:r w:rsidR="00A82951">
        <w:rPr>
          <w:rFonts w:cs="Arial"/>
          <w:rtl/>
        </w:rPr>
        <w:t>-</w:t>
      </w:r>
      <w:r>
        <w:rPr>
          <w:rFonts w:cs="Arial"/>
          <w:rtl/>
        </w:rPr>
        <w:t xml:space="preserve"> הרי זה גט פסול עד שתתן מדעתו</w:t>
      </w:r>
      <w:r>
        <w:rPr>
          <w:rStyle w:val="a7"/>
          <w:rFonts w:cs="Arial"/>
          <w:rtl/>
        </w:rPr>
        <w:footnoteReference w:id="2386"/>
      </w:r>
      <w:r>
        <w:rPr>
          <w:rFonts w:cs="Arial"/>
          <w:rtl/>
        </w:rPr>
        <w:t xml:space="preserve">. </w:t>
      </w:r>
      <w:r>
        <w:rPr>
          <w:color w:val="E36C0A" w:themeColor="accent6" w:themeShade="BF"/>
          <w:rtl/>
        </w:rPr>
        <w:t>(וכ"פ בשו"ע)</w:t>
      </w:r>
    </w:p>
    <w:p w14:paraId="3DB452DD" w14:textId="250951BE" w:rsidR="00C97BEF" w:rsidRDefault="00C97BEF" w:rsidP="00C97BEF">
      <w:pPr>
        <w:ind w:left="360"/>
      </w:pPr>
      <w:r>
        <w:rPr>
          <w:u w:val="dotted"/>
          <w:rtl/>
        </w:rPr>
        <w:t xml:space="preserve">לדעת רב </w:t>
      </w:r>
      <w:r>
        <w:rPr>
          <w:sz w:val="16"/>
          <w:szCs w:val="16"/>
          <w:u w:val="dotted"/>
          <w:rtl/>
        </w:rPr>
        <w:t>(דנתינה בעל כורחו הויא נתינה)</w:t>
      </w:r>
      <w:r>
        <w:rPr>
          <w:u w:val="dotted"/>
          <w:rtl/>
        </w:rPr>
        <w:t xml:space="preserve"> </w:t>
      </w:r>
      <w:r w:rsidR="00A82951">
        <w:rPr>
          <w:u w:val="dotted"/>
          <w:rtl/>
        </w:rPr>
        <w:t>-</w:t>
      </w:r>
      <w:r>
        <w:rPr>
          <w:u w:val="dotted"/>
          <w:rtl/>
        </w:rPr>
        <w:t xml:space="preserve"> מה הדין אם זה שנתנו לו לא קיבל: </w:t>
      </w:r>
      <w:r>
        <w:rPr>
          <w:rFonts w:cs="Arial"/>
          <w:rtl/>
        </w:rPr>
        <w:t xml:space="preserve"> </w:t>
      </w:r>
    </w:p>
    <w:p w14:paraId="49DBCDCB" w14:textId="19B47840" w:rsidR="00C97BEF" w:rsidRDefault="00C97BEF" w:rsidP="006A458D">
      <w:pPr>
        <w:pStyle w:val="ab"/>
        <w:numPr>
          <w:ilvl w:val="0"/>
          <w:numId w:val="112"/>
        </w:numPr>
      </w:pPr>
      <w:r>
        <w:rPr>
          <w:rFonts w:cs="Arial"/>
          <w:rtl/>
        </w:rPr>
        <w:t>ב"י</w:t>
      </w:r>
      <w:r w:rsidR="00A82951">
        <w:rPr>
          <w:rFonts w:cs="Arial"/>
          <w:rtl/>
        </w:rPr>
        <w:t>-</w:t>
      </w:r>
      <w:r>
        <w:rPr>
          <w:rFonts w:cs="Arial"/>
          <w:rtl/>
        </w:rPr>
        <w:t xml:space="preserve"> והוי יודע שמורי הרב הגדול ה"ר יעקב בי רב נר"ו כתב בתשובה דלמאן דאמר נתינה בעל כרחו הויא נתינה אפילו שלא קיבלם אין חשש בזה</w:t>
      </w:r>
      <w:r w:rsidR="00207FB8">
        <w:rPr>
          <w:rFonts w:cs="Arial" w:hint="cs"/>
          <w:rtl/>
        </w:rPr>
        <w:t>,</w:t>
      </w:r>
      <w:r>
        <w:rPr>
          <w:rFonts w:cs="Arial"/>
          <w:rtl/>
        </w:rPr>
        <w:t xml:space="preserve"> שאין החיוב אלא על הנותן ליתן</w:t>
      </w:r>
      <w:r>
        <w:rPr>
          <w:rStyle w:val="a7"/>
          <w:rFonts w:cs="Arial"/>
          <w:rtl/>
        </w:rPr>
        <w:footnoteReference w:id="2387"/>
      </w:r>
      <w:r>
        <w:rPr>
          <w:rFonts w:cs="Arial"/>
          <w:rtl/>
        </w:rPr>
        <w:t xml:space="preserve">. </w:t>
      </w:r>
    </w:p>
    <w:p w14:paraId="1072CB2D" w14:textId="2637301A" w:rsidR="00C97BEF" w:rsidRDefault="00C97BEF" w:rsidP="00C97BEF">
      <w:pPr>
        <w:ind w:left="360"/>
        <w:rPr>
          <w:u w:val="dotted"/>
          <w:rtl/>
        </w:rPr>
      </w:pPr>
      <w:r>
        <w:rPr>
          <w:u w:val="dotted"/>
          <w:rtl/>
        </w:rPr>
        <w:t>לדעת רב</w:t>
      </w:r>
      <w:r w:rsidR="007C4ABC">
        <w:rPr>
          <w:rFonts w:hint="cs"/>
          <w:u w:val="dotted"/>
          <w:rtl/>
        </w:rPr>
        <w:t xml:space="preserve"> פשוט</w:t>
      </w:r>
      <w:r w:rsidR="00390803">
        <w:rPr>
          <w:rFonts w:hint="cs"/>
          <w:u w:val="dotted"/>
          <w:rtl/>
        </w:rPr>
        <w:t xml:space="preserve"> דנתינה בע"כ הויא נתינה </w:t>
      </w:r>
      <w:r>
        <w:rPr>
          <w:u w:val="dotted"/>
          <w:rtl/>
        </w:rPr>
        <w:t xml:space="preserve">לגבי הנותן, אבל האם </w:t>
      </w:r>
      <w:r w:rsidR="00390803">
        <w:rPr>
          <w:rFonts w:hint="cs"/>
          <w:u w:val="dotted"/>
          <w:rtl/>
        </w:rPr>
        <w:t>דעתו ד</w:t>
      </w:r>
      <w:r>
        <w:rPr>
          <w:rFonts w:cs="Arial"/>
          <w:u w:val="dotted"/>
          <w:rtl/>
        </w:rPr>
        <w:t xml:space="preserve">הויא נתינה גם לגבי מי שניתן להם: </w:t>
      </w:r>
    </w:p>
    <w:p w14:paraId="1EE93C71" w14:textId="4CC875C3" w:rsidR="00C97BEF" w:rsidRDefault="00C97BEF" w:rsidP="006A458D">
      <w:pPr>
        <w:pStyle w:val="ab"/>
        <w:numPr>
          <w:ilvl w:val="0"/>
          <w:numId w:val="112"/>
        </w:numPr>
      </w:pPr>
      <w:r>
        <w:rPr>
          <w:rFonts w:cs="Arial"/>
          <w:rtl/>
        </w:rPr>
        <w:t xml:space="preserve">רשב"א </w:t>
      </w:r>
      <w:r>
        <w:rPr>
          <w:rFonts w:cs="Arial"/>
          <w:sz w:val="16"/>
          <w:szCs w:val="16"/>
          <w:rtl/>
        </w:rPr>
        <w:t>(שם ד"ה מכלל)</w:t>
      </w:r>
      <w:r w:rsidR="00A82951">
        <w:rPr>
          <w:rFonts w:cs="Arial"/>
          <w:rtl/>
        </w:rPr>
        <w:t>-</w:t>
      </w:r>
      <w:r>
        <w:rPr>
          <w:rFonts w:cs="Arial"/>
          <w:rtl/>
        </w:rPr>
        <w:t xml:space="preserve"> נראה לי דאפילו למאן דאמר נתינה בעל כרחו שמה נתינה היינו דוקא שהנותן נפטר בנתינתו וזכה במה שבידו בקיום תנאו </w:t>
      </w:r>
      <w:r>
        <w:rPr>
          <w:rFonts w:cs="Arial"/>
          <w:sz w:val="16"/>
          <w:szCs w:val="16"/>
          <w:rtl/>
        </w:rPr>
        <w:t>(והיינו טעמא דגט והיינו טעמא דבית בבתי ערי חומה זכתה האשה בגט שבידה וזכה הלה בבית בקיום תנאם, והוא הדין לנשבע ליתן לחבירו נותן לו בעל כרחו ונפטר)</w:t>
      </w:r>
      <w:r>
        <w:rPr>
          <w:rFonts w:cs="Arial"/>
          <w:rtl/>
        </w:rPr>
        <w:t xml:space="preserve">. אבל שתהא נתינה לגבי מי שניתן להם בעל כרחם </w:t>
      </w:r>
      <w:r w:rsidR="00A82951">
        <w:rPr>
          <w:rFonts w:cs="Arial"/>
          <w:rtl/>
        </w:rPr>
        <w:t>-</w:t>
      </w:r>
      <w:r>
        <w:rPr>
          <w:rFonts w:cs="Arial"/>
          <w:rtl/>
        </w:rPr>
        <w:t xml:space="preserve"> לא, שאי אפשר לזכות לאדם בעל כרחו, והיינו טעמא דמתניתין. והוא הדין והוא הטעם לאומרת תן לי מנה ואתקדש אני לך, ונשבע הלה ליתן לה ונתן לה בעל כרחה </w:t>
      </w:r>
      <w:r w:rsidR="00A82951">
        <w:rPr>
          <w:rFonts w:cs="Arial"/>
          <w:rtl/>
        </w:rPr>
        <w:t>-</w:t>
      </w:r>
      <w:r>
        <w:rPr>
          <w:rFonts w:cs="Arial"/>
          <w:rtl/>
        </w:rPr>
        <w:t xml:space="preserve"> יצא הלה ידי שבועה והיא אינה מקודשת.</w:t>
      </w:r>
    </w:p>
    <w:p w14:paraId="74C06C47"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506C699" w14:textId="77777777" w:rsidR="00C97BEF" w:rsidRDefault="00C97BEF" w:rsidP="00C97BEF">
      <w:pPr>
        <w:rPr>
          <w:rtl/>
        </w:rPr>
      </w:pPr>
      <w:r>
        <w:rPr>
          <w:rFonts w:cs="Arial"/>
          <w:rtl/>
        </w:rPr>
        <w:t xml:space="preserve">אמר לה: על מנת שתתני לי מאתים זוז מכאן עד שלשים יום, ונתנה לו בתוך שלשים יום בעל כרחו, והוא אינו רוצה לקבל, הרי זה גט פסול, עד שתתן מדעתו. </w:t>
      </w:r>
    </w:p>
    <w:p w14:paraId="3FFD9726" w14:textId="77777777" w:rsidR="00C97BEF" w:rsidRDefault="00C97BEF" w:rsidP="00C97BEF">
      <w:pPr>
        <w:rPr>
          <w:rtl/>
        </w:rPr>
      </w:pPr>
    </w:p>
    <w:p w14:paraId="7E9C7626" w14:textId="77777777" w:rsidR="00C97BEF" w:rsidRDefault="00C97BEF" w:rsidP="00C97BEF">
      <w:pPr>
        <w:pStyle w:val="2"/>
        <w:rPr>
          <w:rtl/>
        </w:rPr>
      </w:pPr>
      <w:r>
        <w:rPr>
          <w:rtl/>
        </w:rPr>
        <w:t>סעיף ה: המוחל על התנאי בתוך הזמן.</w:t>
      </w:r>
    </w:p>
    <w:p w14:paraId="536D9ED8" w14:textId="55C65F08" w:rsidR="00C97BEF" w:rsidRDefault="00C97BEF" w:rsidP="00C97BEF">
      <w:pPr>
        <w:rPr>
          <w:rtl/>
        </w:rPr>
      </w:pPr>
      <w:r>
        <w:rPr>
          <w:rFonts w:cs="Arial"/>
          <w:b/>
          <w:bCs/>
          <w:rtl/>
        </w:rPr>
        <w:t xml:space="preserve">גיטין </w:t>
      </w:r>
      <w:r>
        <w:rPr>
          <w:rFonts w:cs="Arial"/>
          <w:b/>
          <w:bCs/>
          <w:sz w:val="16"/>
          <w:szCs w:val="16"/>
          <w:rtl/>
        </w:rPr>
        <w:t>(פ' מי שאחזו)</w:t>
      </w:r>
      <w:r>
        <w:rPr>
          <w:rFonts w:cs="Arial"/>
          <w:b/>
          <w:bCs/>
          <w:rtl/>
        </w:rPr>
        <w:t xml:space="preserve"> עד ע"ב:</w:t>
      </w:r>
      <w:r>
        <w:rPr>
          <w:rFonts w:cs="Arial"/>
          <w:rtl/>
        </w:rPr>
        <w:t xml:space="preserve"> </w:t>
      </w:r>
      <w:r>
        <w:rPr>
          <w:rFonts w:cs="Arial"/>
          <w:u w:val="single"/>
          <w:rtl/>
        </w:rPr>
        <w:t>בעא מיניה רבי אסי מרבי יוחנן</w:t>
      </w:r>
      <w:r>
        <w:rPr>
          <w:rFonts w:cs="Arial"/>
          <w:rtl/>
        </w:rPr>
        <w:t xml:space="preserve">: הרי זה גיטך על מנת שתתני לי מאתים זוז, וחזר ואמר לה מחולים לך, מהו? תיבעי לרבנן, תיבעי לרשב"ג; תיבעי לרבנן, עד כאן לא קאמרי רבנן התם </w:t>
      </w:r>
      <w:r w:rsidR="00A82951">
        <w:rPr>
          <w:rFonts w:cs="Arial"/>
          <w:rtl/>
        </w:rPr>
        <w:t>-</w:t>
      </w:r>
      <w:r>
        <w:rPr>
          <w:rFonts w:cs="Arial"/>
          <w:rtl/>
        </w:rPr>
        <w:t xml:space="preserve"> אלא דלא אחלה גבה, אבל הכא הא קאמר לה מחולי' לך, או דלמא אפילו רשב"ג לא קאמר אלא דקא מפייסה ליה בדמי, אבל לגמרי </w:t>
      </w:r>
      <w:r w:rsidR="00A82951">
        <w:rPr>
          <w:rFonts w:cs="Arial"/>
          <w:rtl/>
        </w:rPr>
        <w:t>-</w:t>
      </w:r>
      <w:r>
        <w:rPr>
          <w:rFonts w:cs="Arial"/>
          <w:rtl/>
        </w:rPr>
        <w:t xml:space="preserve"> לא? </w:t>
      </w:r>
      <w:r>
        <w:rPr>
          <w:rFonts w:cs="Arial"/>
          <w:u w:val="single"/>
          <w:rtl/>
        </w:rPr>
        <w:t>אמר ליה</w:t>
      </w:r>
      <w:r>
        <w:rPr>
          <w:rFonts w:cs="Arial"/>
          <w:rtl/>
        </w:rPr>
        <w:t xml:space="preserve">: אינה מגורשת. </w:t>
      </w:r>
      <w:r w:rsidRPr="002C468B">
        <w:rPr>
          <w:rFonts w:cs="Arial"/>
          <w:u w:val="single"/>
          <w:rtl/>
        </w:rPr>
        <w:t>איתיביה</w:t>
      </w:r>
      <w:r>
        <w:rPr>
          <w:rFonts w:cs="Arial"/>
          <w:rtl/>
        </w:rPr>
        <w:t xml:space="preserve">: האומר לחבירו קונם שאתה נהנה לי אם אי אתה נותן לבני כור אחד של חטין ושתי חביות של יין, </w:t>
      </w:r>
      <w:r w:rsidRPr="002C468B">
        <w:rPr>
          <w:rFonts w:cs="Arial"/>
          <w:u w:val="single"/>
          <w:rtl/>
        </w:rPr>
        <w:t>ר"מ אומר</w:t>
      </w:r>
      <w:r>
        <w:rPr>
          <w:rFonts w:cs="Arial"/>
          <w:rtl/>
        </w:rPr>
        <w:t xml:space="preserve">: אסור עד שיתן, </w:t>
      </w:r>
      <w:r>
        <w:rPr>
          <w:rFonts w:cs="Arial"/>
          <w:u w:val="single"/>
          <w:rtl/>
        </w:rPr>
        <w:t>וחכמים אומרים</w:t>
      </w:r>
      <w:r>
        <w:rPr>
          <w:rFonts w:cs="Arial"/>
          <w:rtl/>
        </w:rPr>
        <w:t>: אף זה יכול להתיר את נדרו שלא ע"פ חכם, ואומר הריני כאילו התקבלתי! הכי השתא, התם לצעורה קא מכוין ולא ציערה, הכא משום הרווחה הוא והא לא איצטריך.</w:t>
      </w:r>
    </w:p>
    <w:p w14:paraId="2F7394DE" w14:textId="77777777" w:rsidR="00C97BEF" w:rsidRDefault="00C97BEF" w:rsidP="00C97BEF">
      <w:pPr>
        <w:rPr>
          <w:u w:val="single"/>
          <w:rtl/>
        </w:rPr>
      </w:pPr>
      <w:r>
        <w:rPr>
          <w:u w:val="single"/>
          <w:rtl/>
        </w:rPr>
        <w:t>המוחל על התנאי בתוך הזמן:</w:t>
      </w:r>
    </w:p>
    <w:p w14:paraId="0022DEAC" w14:textId="0015BA39" w:rsidR="00C97BEF" w:rsidRDefault="00C97BEF" w:rsidP="006A458D">
      <w:pPr>
        <w:pStyle w:val="ab"/>
        <w:numPr>
          <w:ilvl w:val="0"/>
          <w:numId w:val="112"/>
        </w:numPr>
      </w:pPr>
      <w:r>
        <w:rPr>
          <w:rFonts w:cs="Arial"/>
          <w:rtl/>
        </w:rPr>
        <w:t xml:space="preserve">רמב"ם </w:t>
      </w:r>
      <w:r>
        <w:rPr>
          <w:rFonts w:cs="Arial"/>
          <w:sz w:val="16"/>
          <w:szCs w:val="16"/>
          <w:rtl/>
        </w:rPr>
        <w:t>(פ"ח הכ"א)</w:t>
      </w:r>
      <w:r>
        <w:rPr>
          <w:rFonts w:cs="Arial"/>
          <w:rtl/>
        </w:rPr>
        <w:t xml:space="preserve"> וטור</w:t>
      </w:r>
      <w:r w:rsidR="00A82951">
        <w:rPr>
          <w:rFonts w:cs="Arial"/>
          <w:rtl/>
        </w:rPr>
        <w:t>-</w:t>
      </w:r>
      <w:r>
        <w:rPr>
          <w:rFonts w:cs="Arial"/>
          <w:rtl/>
        </w:rPr>
        <w:t xml:space="preserve"> הרי זה גיטיך על מנת שתתני לי מאתים זוז מכאן ועד שלשים יום... חזר ואמר לה בתוך השלשים יום הרי הן מחולין לך </w:t>
      </w:r>
      <w:r w:rsidR="00A82951">
        <w:rPr>
          <w:rFonts w:cs="Arial"/>
          <w:rtl/>
        </w:rPr>
        <w:t>-</w:t>
      </w:r>
      <w:r>
        <w:rPr>
          <w:rFonts w:cs="Arial"/>
          <w:rtl/>
        </w:rPr>
        <w:t xml:space="preserve"> אינה מגורשת, שהרי לא נעשה התנאי</w:t>
      </w:r>
      <w:r>
        <w:rPr>
          <w:rFonts w:cs="Arial"/>
          <w:sz w:val="16"/>
          <w:szCs w:val="16"/>
          <w:rtl/>
        </w:rPr>
        <w:t xml:space="preserve"> (ל' הרמב"ם)</w:t>
      </w:r>
      <w:r>
        <w:rPr>
          <w:rFonts w:cs="Arial"/>
          <w:rtl/>
        </w:rPr>
        <w:t xml:space="preserve">. </w:t>
      </w:r>
      <w:r>
        <w:rPr>
          <w:color w:val="E36C0A" w:themeColor="accent6" w:themeShade="BF"/>
          <w:rtl/>
        </w:rPr>
        <w:t>(וכ"פ בשו"ע)</w:t>
      </w:r>
    </w:p>
    <w:p w14:paraId="54C50DAD" w14:textId="7C20D892" w:rsidR="00C97BEF" w:rsidRDefault="00C97BEF" w:rsidP="006A458D">
      <w:pPr>
        <w:pStyle w:val="ab"/>
        <w:numPr>
          <w:ilvl w:val="0"/>
          <w:numId w:val="112"/>
        </w:numPr>
      </w:pPr>
      <w:r>
        <w:rPr>
          <w:rFonts w:cs="Arial"/>
          <w:rtl/>
        </w:rPr>
        <w:t xml:space="preserve">ראב"ד </w:t>
      </w:r>
      <w:r>
        <w:rPr>
          <w:rFonts w:cs="Arial"/>
          <w:sz w:val="16"/>
          <w:szCs w:val="16"/>
          <w:rtl/>
        </w:rPr>
        <w:t>(פ"ח הכ"א בהשגות)</w:t>
      </w:r>
      <w:r w:rsidR="00A82951">
        <w:rPr>
          <w:rFonts w:cs="Arial"/>
          <w:rtl/>
        </w:rPr>
        <w:t>-</w:t>
      </w:r>
      <w:r>
        <w:rPr>
          <w:rFonts w:cs="Arial"/>
          <w:rtl/>
        </w:rPr>
        <w:t xml:space="preserve"> כיון שאמר מחולין לך ומת תו לא אמרי' לצעורי איכוון</w:t>
      </w:r>
      <w:r>
        <w:rPr>
          <w:rtl/>
        </w:rPr>
        <w:t>.</w:t>
      </w:r>
    </w:p>
    <w:p w14:paraId="26AA9199" w14:textId="77777777" w:rsidR="00C97BEF" w:rsidRDefault="00C97BEF" w:rsidP="00C97BEF">
      <w:pPr>
        <w:ind w:left="360"/>
        <w:rPr>
          <w:u w:val="dotted"/>
          <w:rtl/>
        </w:rPr>
      </w:pPr>
      <w:r>
        <w:rPr>
          <w:u w:val="dotted"/>
          <w:rtl/>
        </w:rPr>
        <w:t>ומה הדין אם ביטל התנאי:</w:t>
      </w:r>
    </w:p>
    <w:p w14:paraId="78A06415" w14:textId="721B8E1D" w:rsidR="00C97BEF" w:rsidRDefault="00C97BEF" w:rsidP="006A458D">
      <w:pPr>
        <w:pStyle w:val="ab"/>
        <w:numPr>
          <w:ilvl w:val="0"/>
          <w:numId w:val="112"/>
        </w:numPr>
      </w:pPr>
      <w:r>
        <w:rPr>
          <w:rFonts w:cs="Arial"/>
          <w:rtl/>
        </w:rPr>
        <w:t>רמב"ם</w:t>
      </w:r>
      <w:r>
        <w:rPr>
          <w:rStyle w:val="a7"/>
          <w:rFonts w:cs="Arial"/>
          <w:rtl/>
        </w:rPr>
        <w:footnoteReference w:id="2388"/>
      </w:r>
      <w:r>
        <w:rPr>
          <w:rFonts w:cs="Arial"/>
          <w:rtl/>
        </w:rPr>
        <w:t xml:space="preserve"> </w:t>
      </w:r>
      <w:r>
        <w:rPr>
          <w:rFonts w:cs="Arial"/>
          <w:sz w:val="16"/>
          <w:szCs w:val="16"/>
          <w:rtl/>
        </w:rPr>
        <w:t xml:space="preserve">(פ"ח הכ"ג, כ"כ הה"מ והב"י בשמו) </w:t>
      </w:r>
      <w:r>
        <w:rPr>
          <w:rFonts w:cs="Arial"/>
          <w:rtl/>
        </w:rPr>
        <w:t xml:space="preserve">ורשב"א </w:t>
      </w:r>
      <w:r>
        <w:rPr>
          <w:rFonts w:cs="Arial"/>
          <w:sz w:val="16"/>
          <w:szCs w:val="16"/>
          <w:rtl/>
        </w:rPr>
        <w:t>(שם ד"ה איצטלית)</w:t>
      </w:r>
      <w:r w:rsidR="00A82951">
        <w:rPr>
          <w:rFonts w:cs="Arial"/>
          <w:rtl/>
        </w:rPr>
        <w:t>-</w:t>
      </w:r>
      <w:r>
        <w:rPr>
          <w:rFonts w:cs="Arial"/>
          <w:rtl/>
        </w:rPr>
        <w:t xml:space="preserve"> הכא</w:t>
      </w:r>
      <w:r>
        <w:rPr>
          <w:rFonts w:cs="Arial"/>
          <w:sz w:val="16"/>
          <w:szCs w:val="16"/>
          <w:rtl/>
        </w:rPr>
        <w:t xml:space="preserve"> {בגמ' לעיל}</w:t>
      </w:r>
      <w:r>
        <w:rPr>
          <w:rFonts w:cs="Arial"/>
          <w:rtl/>
        </w:rPr>
        <w:t xml:space="preserve"> בדלא אמר לה אלא מחולים לך לבד היא, אבל אם אמר לה ליהוי גיטך בלא תנאי </w:t>
      </w:r>
      <w:r w:rsidR="00B7211C">
        <w:rPr>
          <w:rFonts w:cs="Arial" w:hint="cs"/>
          <w:rtl/>
        </w:rPr>
        <w:t xml:space="preserve">- </w:t>
      </w:r>
      <w:r>
        <w:rPr>
          <w:rFonts w:cs="Arial"/>
          <w:rtl/>
        </w:rPr>
        <w:t>הרי זה גט ואינו צריך ליטלו ממנה</w:t>
      </w:r>
      <w:r w:rsidR="00B7211C">
        <w:rPr>
          <w:rFonts w:cs="Arial" w:hint="cs"/>
          <w:rtl/>
        </w:rPr>
        <w:t>,</w:t>
      </w:r>
      <w:r>
        <w:rPr>
          <w:rFonts w:cs="Arial"/>
          <w:rtl/>
        </w:rPr>
        <w:t xml:space="preserve"> ובהאי אמירה לחוד סגי</w:t>
      </w:r>
      <w:r>
        <w:rPr>
          <w:rFonts w:cs="Arial"/>
          <w:sz w:val="16"/>
          <w:szCs w:val="16"/>
          <w:rtl/>
        </w:rPr>
        <w:t xml:space="preserve"> (ל' הרשב"א)</w:t>
      </w:r>
      <w:r>
        <w:rPr>
          <w:rFonts w:cs="Arial"/>
          <w:rtl/>
        </w:rPr>
        <w:t xml:space="preserve">. </w:t>
      </w:r>
      <w:r>
        <w:rPr>
          <w:color w:val="E36C0A" w:themeColor="accent6" w:themeShade="BF"/>
          <w:rtl/>
        </w:rPr>
        <w:t>(וכ"כ בשו"ע)</w:t>
      </w:r>
    </w:p>
    <w:p w14:paraId="3C2C811A"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2618582" w14:textId="77777777" w:rsidR="00C97BEF" w:rsidRDefault="00C97BEF" w:rsidP="00C97BEF">
      <w:pPr>
        <w:rPr>
          <w:rtl/>
        </w:rPr>
      </w:pPr>
      <w:r>
        <w:rPr>
          <w:rFonts w:cs="Arial"/>
          <w:rtl/>
        </w:rPr>
        <w:lastRenderedPageBreak/>
        <w:t>אמר לה: על מנת שתתני לי מאתים זוז מכאן ועד שלשים יום, וחזר ואמר לה בתוך השלשים יום; הרי הם מחולים לך, אינה מגורשת</w:t>
      </w:r>
      <w:r>
        <w:rPr>
          <w:rStyle w:val="a7"/>
          <w:rFonts w:cs="Arial"/>
          <w:rtl/>
        </w:rPr>
        <w:footnoteReference w:id="2389"/>
      </w:r>
      <w:r>
        <w:rPr>
          <w:rFonts w:cs="Arial"/>
          <w:rtl/>
        </w:rPr>
        <w:t xml:space="preserve">, שהרי לא נעשה התנאי. ויש אומרים דהני מילי בשלא אמר לה אלא: הרי הם מחולים ליך, לבד, אבל אם אמר לה: להוי גיטא בלא שום תנאי, הרי זו מגורשת ואינו צריך ליטלו ממנה. </w:t>
      </w:r>
    </w:p>
    <w:p w14:paraId="424B9582" w14:textId="6FF7B434" w:rsidR="00C97BEF" w:rsidRDefault="00C97BEF" w:rsidP="00C97BEF">
      <w:pPr>
        <w:rPr>
          <w:rFonts w:cs="Arial"/>
          <w:rtl/>
        </w:rPr>
      </w:pPr>
      <w:r>
        <w:rPr>
          <w:rFonts w:cs="Arial"/>
          <w:u w:val="single"/>
          <w:rtl/>
        </w:rPr>
        <w:t xml:space="preserve">אמר לה 'על מנת שתתני לי מאתים זוז' </w:t>
      </w:r>
      <w:r w:rsidR="00A82951">
        <w:rPr>
          <w:rFonts w:cs="Arial"/>
          <w:u w:val="single"/>
          <w:rtl/>
        </w:rPr>
        <w:t>-</w:t>
      </w:r>
      <w:r>
        <w:rPr>
          <w:rFonts w:cs="Arial"/>
          <w:u w:val="single"/>
          <w:rtl/>
        </w:rPr>
        <w:t xml:space="preserve"> ואחר נתן לו בשבילה:</w:t>
      </w:r>
      <w:r>
        <w:rPr>
          <w:rFonts w:cs="Arial"/>
          <w:rtl/>
        </w:rPr>
        <w:t xml:space="preserve"> </w:t>
      </w:r>
      <w:r>
        <w:rPr>
          <w:rFonts w:cs="Arial"/>
          <w:sz w:val="16"/>
          <w:szCs w:val="16"/>
          <w:rtl/>
        </w:rPr>
        <w:t>(פת"ש סק"ז)</w:t>
      </w:r>
    </w:p>
    <w:p w14:paraId="68B3686D" w14:textId="0C74D72A" w:rsidR="00C97BEF" w:rsidRDefault="00C97BEF" w:rsidP="006A458D">
      <w:pPr>
        <w:pStyle w:val="ab"/>
        <w:numPr>
          <w:ilvl w:val="0"/>
          <w:numId w:val="112"/>
        </w:numPr>
        <w:rPr>
          <w:rtl/>
        </w:rPr>
      </w:pPr>
      <w:r>
        <w:rPr>
          <w:rFonts w:cs="Arial"/>
          <w:rtl/>
        </w:rPr>
        <w:t xml:space="preserve">יד המלך </w:t>
      </w:r>
      <w:r>
        <w:rPr>
          <w:rFonts w:cs="Arial"/>
          <w:sz w:val="16"/>
          <w:szCs w:val="16"/>
          <w:rtl/>
        </w:rPr>
        <w:t>(פ"ח מה"ג הכ"א)</w:t>
      </w:r>
      <w:r w:rsidR="00A82951">
        <w:rPr>
          <w:rFonts w:cs="Arial"/>
          <w:rtl/>
        </w:rPr>
        <w:t>-</w:t>
      </w:r>
      <w:r>
        <w:rPr>
          <w:rFonts w:cs="Arial"/>
          <w:rtl/>
        </w:rPr>
        <w:t xml:space="preserve"> וגדולה מזו יש ספק גדול אצלי וקרוב הדבר בעיני דבתנאי זה של נתינת מאתים זוז אם קיים אחר התנאי עבורה ונתן בשבילה משלו ר' זוז </w:t>
      </w:r>
      <w:r w:rsidR="00A82951">
        <w:rPr>
          <w:rFonts w:cs="Arial"/>
          <w:rtl/>
        </w:rPr>
        <w:t>-</w:t>
      </w:r>
      <w:r>
        <w:rPr>
          <w:rFonts w:cs="Arial"/>
          <w:rtl/>
        </w:rPr>
        <w:t xml:space="preserve"> לא מהני. אף דבקידושין בודאי מהני כה"ג, דהא לא עדיף נתינת מעות התנאי מנתינת גוף כסף קידושין בעצמם דבהילך מנה ותתקדש לפלוני שהיא מקודשת (לעיל סימן כ"ט ס"ה) ואף דהמקדש בעצמו לא נתן מאומה</w:t>
      </w:r>
      <w:r w:rsidR="003217CC">
        <w:rPr>
          <w:rFonts w:cs="Arial" w:hint="cs"/>
          <w:rtl/>
        </w:rPr>
        <w:t>,</w:t>
      </w:r>
      <w:r>
        <w:rPr>
          <w:rFonts w:cs="Arial"/>
          <w:rtl/>
        </w:rPr>
        <w:t xml:space="preserve"> ומכ"ש דמהני בקדושין נתינת אחרים בכסף של קיום התנאי (ע' בח"מ סי' רמ"א ס"ז בהגה ומ"ש בפ"ת שם)</w:t>
      </w:r>
      <w:r w:rsidR="003217CC">
        <w:rPr>
          <w:rFonts w:cs="Arial" w:hint="cs"/>
          <w:rtl/>
        </w:rPr>
        <w:t>,</w:t>
      </w:r>
      <w:r>
        <w:rPr>
          <w:rFonts w:cs="Arial"/>
          <w:rtl/>
        </w:rPr>
        <w:t xml:space="preserve"> אבל בתנאי דגירושין נראה דלא מהני נתינה של אחרים, דכיון דהוא קפיד לצעורה בנתינה זו</w:t>
      </w:r>
      <w:r w:rsidR="003217CC">
        <w:rPr>
          <w:rFonts w:cs="Arial" w:hint="cs"/>
          <w:rtl/>
        </w:rPr>
        <w:t>,</w:t>
      </w:r>
      <w:r>
        <w:rPr>
          <w:rFonts w:cs="Arial"/>
          <w:rtl/>
        </w:rPr>
        <w:t xml:space="preserve"> וכי נתנו אחרים בשבילה אכתי לא נתקיימה מחשבתו בזה דבנתינה זו לא ציער אותה כלל. ולדינא צ"ע.</w:t>
      </w:r>
    </w:p>
    <w:p w14:paraId="45BA1363" w14:textId="77777777" w:rsidR="00C97BEF" w:rsidRDefault="00C97BEF" w:rsidP="00C97BEF"/>
    <w:p w14:paraId="0E868520" w14:textId="77777777" w:rsidR="00C97BEF" w:rsidRDefault="00C97BEF" w:rsidP="00C97BEF">
      <w:pPr>
        <w:pStyle w:val="2"/>
        <w:rPr>
          <w:rtl/>
        </w:rPr>
      </w:pPr>
      <w:r>
        <w:rPr>
          <w:rtl/>
        </w:rPr>
        <w:t>סעיף ו: אמר 'על מנת שתתני לי בגד זה', ואבד, ונתנה לו דמים במקום.</w:t>
      </w:r>
    </w:p>
    <w:p w14:paraId="59ADCD07" w14:textId="19E93516" w:rsidR="00C97BEF" w:rsidRDefault="00C97BEF" w:rsidP="00C97BEF">
      <w:pPr>
        <w:rPr>
          <w:rFonts w:cs="Arial"/>
          <w:rtl/>
        </w:rPr>
      </w:pPr>
      <w:r>
        <w:rPr>
          <w:rFonts w:cs="Arial"/>
          <w:b/>
          <w:bCs/>
          <w:rtl/>
        </w:rPr>
        <w:t xml:space="preserve">גיטין </w:t>
      </w:r>
      <w:r>
        <w:rPr>
          <w:rFonts w:cs="Arial"/>
          <w:b/>
          <w:bCs/>
          <w:sz w:val="16"/>
          <w:szCs w:val="16"/>
          <w:rtl/>
        </w:rPr>
        <w:t>(פ' מי שאחזו)</w:t>
      </w:r>
      <w:r>
        <w:rPr>
          <w:rFonts w:cs="Arial"/>
          <w:b/>
          <w:bCs/>
          <w:rtl/>
        </w:rPr>
        <w:t xml:space="preserve"> עד ע"א:</w:t>
      </w:r>
      <w:r>
        <w:rPr>
          <w:rFonts w:cs="Arial"/>
          <w:rtl/>
        </w:rPr>
        <w:t xml:space="preserve"> </w:t>
      </w:r>
      <w:r>
        <w:rPr>
          <w:rFonts w:cs="Arial"/>
          <w:u w:val="double"/>
          <w:rtl/>
        </w:rPr>
        <w:t>מתני'</w:t>
      </w:r>
      <w:r>
        <w:rPr>
          <w:rFonts w:cs="Arial"/>
          <w:rtl/>
        </w:rPr>
        <w:t xml:space="preserve">:... </w:t>
      </w:r>
      <w:r>
        <w:rPr>
          <w:rFonts w:cs="Arial"/>
          <w:u w:val="single"/>
          <w:rtl/>
        </w:rPr>
        <w:t>אמר רבן שמעון בן גמליאל</w:t>
      </w:r>
      <w:r>
        <w:rPr>
          <w:rFonts w:cs="Arial"/>
          <w:rtl/>
        </w:rPr>
        <w:t xml:space="preserve">: מעשה בצידן, באחד שאמר לאשתו ה"ז גיטך ע"מ שתתני לי איצטליתי ואבדה איצטליתו, ואמרו חכמים: תתן לו את דמיה.        </w:t>
      </w:r>
      <w:r>
        <w:rPr>
          <w:rFonts w:cs="Arial"/>
          <w:u w:val="double"/>
          <w:rtl/>
        </w:rPr>
        <w:t>גמ'</w:t>
      </w:r>
      <w:r w:rsidR="008E5658">
        <w:rPr>
          <w:rFonts w:cs="Arial" w:hint="cs"/>
          <w:sz w:val="14"/>
          <w:szCs w:val="14"/>
          <w:u w:val="double"/>
          <w:rtl/>
        </w:rPr>
        <w:t>(עד:)</w:t>
      </w:r>
      <w:r w:rsidR="008E5658">
        <w:rPr>
          <w:rFonts w:cs="Arial" w:hint="cs"/>
          <w:u w:val="double"/>
          <w:rtl/>
        </w:rPr>
        <w:t>:</w:t>
      </w:r>
      <w:r>
        <w:rPr>
          <w:rFonts w:cs="Arial"/>
          <w:rtl/>
        </w:rPr>
        <w:t xml:space="preserve"> אמר רבן שמעון בן גמליאל: מעשה בצידן כו'. מאי תנא דקתני מעשה? חסורי מיחסרא והכי קתני: אם אמר לה ע"מ שתתני לי איצטליתי ואבדה איצטליתו, איצטליתי דוקא קאמר לה, רבן שמעון בן גמליאל אומר: תתן לו את דמיה; ואמר רבן שמעון בן גמליאל: מעשה נמי בצידן, באחד שאמר לאשתו הרי זה גיטך על מנת שתתני לי אצטליתי ואבדה אצטליתו, ואמרו חכמים: תתן לו את דמיה. </w:t>
      </w:r>
      <w:r>
        <w:rPr>
          <w:rFonts w:cs="Arial"/>
          <w:sz w:val="16"/>
          <w:szCs w:val="16"/>
          <w:rtl/>
        </w:rPr>
        <w:t>(ולא קיי"ל כרבן שמעון בן גמליאל לפי שזה אחד מהמקומות שאין הלכה כמותו כדאמרינן (עה.) כל מקום ששנה רבן שמעון בן גמליאל במשנתינו הלכה כמותו חוץ מערב וצידן וראיה אחרונה, וכן כתבו שם הרי"ף (לו.) והרא"ש (סוף סי' ז), וכן פסק הרמב"ם בספ"ח (הכ"ג), ב"י)</w:t>
      </w:r>
      <w:r>
        <w:rPr>
          <w:rFonts w:cs="Arial"/>
          <w:rtl/>
        </w:rPr>
        <w:t xml:space="preserve"> </w:t>
      </w:r>
    </w:p>
    <w:p w14:paraId="7B9F6C6B" w14:textId="1D8DB88E" w:rsidR="00C97BEF" w:rsidRDefault="00C97BEF" w:rsidP="00C97BEF">
      <w:pPr>
        <w:rPr>
          <w:u w:val="single"/>
          <w:rtl/>
        </w:rPr>
      </w:pPr>
      <w:r>
        <w:rPr>
          <w:u w:val="single"/>
          <w:rtl/>
        </w:rPr>
        <w:t xml:space="preserve">אמר 'על מנת שתתני לי בגד זה', ואבד </w:t>
      </w:r>
      <w:r w:rsidR="00A82951">
        <w:rPr>
          <w:u w:val="single"/>
          <w:rtl/>
        </w:rPr>
        <w:t>-</w:t>
      </w:r>
      <w:r>
        <w:rPr>
          <w:u w:val="single"/>
          <w:rtl/>
        </w:rPr>
        <w:t xml:space="preserve"> האם יכולה לתת לו דמים במקום:</w:t>
      </w:r>
    </w:p>
    <w:p w14:paraId="2E0F2DC6" w14:textId="21894C9C" w:rsidR="00C97BEF" w:rsidRDefault="00C97BEF" w:rsidP="006A458D">
      <w:pPr>
        <w:pStyle w:val="ab"/>
        <w:numPr>
          <w:ilvl w:val="0"/>
          <w:numId w:val="112"/>
        </w:numPr>
        <w:rPr>
          <w:rtl/>
        </w:rPr>
      </w:pPr>
      <w:r>
        <w:rPr>
          <w:rFonts w:cs="Arial"/>
          <w:rtl/>
        </w:rPr>
        <w:t xml:space="preserve">רא"ש </w:t>
      </w:r>
      <w:r>
        <w:rPr>
          <w:rFonts w:cs="Arial"/>
          <w:sz w:val="16"/>
          <w:szCs w:val="16"/>
          <w:rtl/>
        </w:rPr>
        <w:t>(שם)</w:t>
      </w:r>
      <w:r>
        <w:rPr>
          <w:rFonts w:cs="Arial"/>
          <w:rtl/>
        </w:rPr>
        <w:t xml:space="preserve"> וטור</w:t>
      </w:r>
      <w:r w:rsidR="00A82951">
        <w:rPr>
          <w:rFonts w:cs="Arial"/>
          <w:rtl/>
        </w:rPr>
        <w:t>-</w:t>
      </w:r>
      <w:r>
        <w:rPr>
          <w:rFonts w:cs="Arial"/>
          <w:rtl/>
        </w:rPr>
        <w:t xml:space="preserve"> הילכך איצטלית דוקא בעי למיתן ליה, ואי אבדה אע</w:t>
      </w:r>
      <w:r w:rsidR="00B10B1C">
        <w:rPr>
          <w:rFonts w:cs="Arial" w:hint="cs"/>
          <w:rtl/>
        </w:rPr>
        <w:t>"</w:t>
      </w:r>
      <w:r>
        <w:rPr>
          <w:rFonts w:cs="Arial"/>
          <w:rtl/>
        </w:rPr>
        <w:t xml:space="preserve">ג דיהבה ליה דמי דידה </w:t>
      </w:r>
      <w:r w:rsidR="00A82951">
        <w:rPr>
          <w:rFonts w:cs="Arial"/>
          <w:rtl/>
        </w:rPr>
        <w:t>-</w:t>
      </w:r>
      <w:r>
        <w:rPr>
          <w:rFonts w:cs="Arial"/>
          <w:rtl/>
        </w:rPr>
        <w:t xml:space="preserve"> לא הוי גיטא </w:t>
      </w:r>
      <w:r>
        <w:rPr>
          <w:sz w:val="16"/>
          <w:szCs w:val="16"/>
          <w:rtl/>
        </w:rPr>
        <w:t>(ל' הרא"ש)</w:t>
      </w:r>
      <w:r>
        <w:rPr>
          <w:rFonts w:cs="Arial"/>
          <w:rtl/>
        </w:rPr>
        <w:t xml:space="preserve">. </w:t>
      </w:r>
    </w:p>
    <w:p w14:paraId="175BC3CC" w14:textId="76EA3309" w:rsidR="00C97BEF" w:rsidRDefault="00C97BEF" w:rsidP="006A458D">
      <w:pPr>
        <w:pStyle w:val="ab"/>
        <w:numPr>
          <w:ilvl w:val="0"/>
          <w:numId w:val="112"/>
        </w:numPr>
        <w:rPr>
          <w:rtl/>
        </w:rPr>
      </w:pPr>
      <w:r>
        <w:rPr>
          <w:rFonts w:cs="Arial"/>
          <w:rtl/>
        </w:rPr>
        <w:t xml:space="preserve">רמב"ם </w:t>
      </w:r>
      <w:r>
        <w:rPr>
          <w:rFonts w:cs="Arial"/>
          <w:sz w:val="16"/>
          <w:szCs w:val="16"/>
          <w:rtl/>
        </w:rPr>
        <w:t>(פ"ח הכ"ג)</w:t>
      </w:r>
      <w:r w:rsidR="00A82951">
        <w:rPr>
          <w:rFonts w:cs="Arial"/>
          <w:rtl/>
        </w:rPr>
        <w:t>-</w:t>
      </w:r>
      <w:r>
        <w:rPr>
          <w:rFonts w:cs="Arial"/>
          <w:rtl/>
        </w:rPr>
        <w:t xml:space="preserve"> הרי זה גיטיך על מנת שתתני לי כלי פלוני או בגד פלוני, ואבד אותו כלי או אותו בגד או נגנב, אע</w:t>
      </w:r>
      <w:r w:rsidR="00B10B1C">
        <w:rPr>
          <w:rFonts w:cs="Arial" w:hint="cs"/>
          <w:rtl/>
        </w:rPr>
        <w:t>"</w:t>
      </w:r>
      <w:r>
        <w:rPr>
          <w:rFonts w:cs="Arial"/>
          <w:rtl/>
        </w:rPr>
        <w:t xml:space="preserve">פ שנתנה לו אלף בדמיו </w:t>
      </w:r>
      <w:r w:rsidR="00A82951">
        <w:rPr>
          <w:rFonts w:cs="Arial"/>
          <w:rtl/>
        </w:rPr>
        <w:t>-</w:t>
      </w:r>
      <w:r>
        <w:rPr>
          <w:rFonts w:cs="Arial"/>
          <w:rtl/>
        </w:rPr>
        <w:t xml:space="preserve"> אינו גט עד שתתן אותו כלי או אותו בגד עצמו</w:t>
      </w:r>
      <w:r w:rsidR="001F0A6C">
        <w:rPr>
          <w:rFonts w:cs="Arial" w:hint="cs"/>
          <w:rtl/>
        </w:rPr>
        <w:t>,</w:t>
      </w:r>
      <w:r>
        <w:rPr>
          <w:rFonts w:cs="Arial"/>
          <w:rtl/>
        </w:rPr>
        <w:t xml:space="preserve"> או עד שיבטל התנאי.</w:t>
      </w:r>
      <w:r>
        <w:rPr>
          <w:color w:val="E36C0A" w:themeColor="accent6" w:themeShade="BF"/>
          <w:rtl/>
        </w:rPr>
        <w:t xml:space="preserve"> (וכ"פ בשו"ע)</w:t>
      </w:r>
    </w:p>
    <w:p w14:paraId="36732BCC" w14:textId="77777777" w:rsidR="00C97BEF" w:rsidRDefault="00C97BEF" w:rsidP="00C97BEF">
      <w:pPr>
        <w:ind w:left="360"/>
        <w:rPr>
          <w:u w:val="dotted"/>
        </w:rPr>
      </w:pPr>
      <w:r>
        <w:rPr>
          <w:u w:val="dotted"/>
          <w:rtl/>
        </w:rPr>
        <w:t>ומה הדין אם הבעל מתרצה בקבלת הדמים:</w:t>
      </w:r>
    </w:p>
    <w:p w14:paraId="7B63FDE8" w14:textId="384B8D21" w:rsidR="00C97BEF" w:rsidRDefault="00C97BEF" w:rsidP="006A458D">
      <w:pPr>
        <w:pStyle w:val="ab"/>
        <w:numPr>
          <w:ilvl w:val="0"/>
          <w:numId w:val="112"/>
        </w:numPr>
      </w:pPr>
      <w:r>
        <w:rPr>
          <w:rFonts w:cs="Arial"/>
          <w:rtl/>
        </w:rPr>
        <w:t xml:space="preserve">רא"ש </w:t>
      </w:r>
      <w:r>
        <w:rPr>
          <w:rFonts w:cs="Arial"/>
          <w:sz w:val="16"/>
          <w:szCs w:val="16"/>
          <w:rtl/>
        </w:rPr>
        <w:t>(שם)</w:t>
      </w:r>
      <w:r>
        <w:rPr>
          <w:rFonts w:cs="Arial"/>
          <w:rtl/>
        </w:rPr>
        <w:t xml:space="preserve"> וטור</w:t>
      </w:r>
      <w:r w:rsidR="00A82951">
        <w:rPr>
          <w:rFonts w:cs="Arial"/>
          <w:rtl/>
        </w:rPr>
        <w:t>-</w:t>
      </w:r>
      <w:r>
        <w:rPr>
          <w:rFonts w:cs="Arial"/>
          <w:rtl/>
        </w:rPr>
        <w:t xml:space="preserve"> ויראה דמדעתו הוי גט. ואע"ג דמחולים לך לא הוי גיטא, שאני התם דלא ציערה, אבל הכא דיהבה דמי וציערה, על גוף הטלית יכול למחול</w:t>
      </w:r>
      <w:r>
        <w:rPr>
          <w:rStyle w:val="a7"/>
          <w:rFonts w:cs="Arial"/>
          <w:rtl/>
        </w:rPr>
        <w:footnoteReference w:id="2390"/>
      </w:r>
      <w:r>
        <w:rPr>
          <w:sz w:val="16"/>
          <w:szCs w:val="16"/>
          <w:rtl/>
        </w:rPr>
        <w:t xml:space="preserve"> (ל' הרא"ש)</w:t>
      </w:r>
      <w:r>
        <w:rPr>
          <w:rFonts w:cs="Arial"/>
          <w:rtl/>
        </w:rPr>
        <w:t>.</w:t>
      </w:r>
    </w:p>
    <w:p w14:paraId="4610B474"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9E793B2" w14:textId="77777777" w:rsidR="00C97BEF" w:rsidRDefault="00C97BEF" w:rsidP="00C97BEF">
      <w:pPr>
        <w:rPr>
          <w:rtl/>
        </w:rPr>
      </w:pPr>
      <w:r>
        <w:rPr>
          <w:rFonts w:cs="Arial"/>
          <w:rtl/>
        </w:rPr>
        <w:t xml:space="preserve">אמר לה: על מנת שתתני לי כלי פלוני או בגד פלוני, ואבד אותו כלי או אותו בגד, או נגנב, אף על פי שנתנה לו אלף זוז בדמיו, אינו גט עד שתתן אותו כלי או אותו בגד עצמו, או שיאמר לה: ליהוי גיטא בלא שום תנאי. ויש מי שאומר שאם הוא מתרצה בקבלת הדמים, הוי גט. </w:t>
      </w:r>
    </w:p>
    <w:p w14:paraId="1419C711" w14:textId="77777777" w:rsidR="00C97BEF" w:rsidRDefault="00C97BEF" w:rsidP="00C97BEF">
      <w:pPr>
        <w:rPr>
          <w:rtl/>
        </w:rPr>
      </w:pPr>
    </w:p>
    <w:p w14:paraId="3BF6A1E1" w14:textId="77777777" w:rsidR="00C97BEF" w:rsidRDefault="00C97BEF" w:rsidP="00C97BEF">
      <w:pPr>
        <w:pStyle w:val="2"/>
        <w:rPr>
          <w:rtl/>
        </w:rPr>
      </w:pPr>
      <w:r>
        <w:rPr>
          <w:rtl/>
        </w:rPr>
        <w:lastRenderedPageBreak/>
        <w:t>סעיף ז: על מנת שתתני לי מאתים זוז בתוך שלשים יום.</w:t>
      </w:r>
    </w:p>
    <w:p w14:paraId="7FAD123F" w14:textId="2D934CC6" w:rsidR="00C97BEF" w:rsidRDefault="00C97BEF" w:rsidP="00C97BEF">
      <w:pPr>
        <w:rPr>
          <w:rtl/>
        </w:rPr>
      </w:pPr>
      <w:r>
        <w:rPr>
          <w:rFonts w:cs="Arial"/>
          <w:b/>
          <w:bCs/>
          <w:rtl/>
        </w:rPr>
        <w:t xml:space="preserve">גיטין </w:t>
      </w:r>
      <w:r>
        <w:rPr>
          <w:rFonts w:cs="Arial"/>
          <w:b/>
          <w:bCs/>
          <w:sz w:val="16"/>
          <w:szCs w:val="16"/>
          <w:rtl/>
        </w:rPr>
        <w:t>(פ' מי שאחזו)</w:t>
      </w:r>
      <w:r>
        <w:rPr>
          <w:rFonts w:cs="Arial"/>
          <w:b/>
          <w:bCs/>
          <w:rtl/>
        </w:rPr>
        <w:t xml:space="preserve"> עד ע"א:</w:t>
      </w:r>
      <w:r>
        <w:rPr>
          <w:rFonts w:cs="Arial"/>
          <w:rtl/>
        </w:rPr>
        <w:t xml:space="preserve"> </w:t>
      </w:r>
      <w:r>
        <w:rPr>
          <w:rFonts w:cs="Arial"/>
          <w:u w:val="double"/>
          <w:rtl/>
        </w:rPr>
        <w:t>מתני'</w:t>
      </w:r>
      <w:r>
        <w:rPr>
          <w:rFonts w:cs="Arial"/>
          <w:rtl/>
        </w:rPr>
        <w:t>:...</w:t>
      </w:r>
      <w:r>
        <w:rPr>
          <w:rtl/>
        </w:rPr>
        <w:t xml:space="preserve"> </w:t>
      </w:r>
      <w:r>
        <w:rPr>
          <w:rFonts w:cs="Arial"/>
          <w:rtl/>
        </w:rPr>
        <w:t xml:space="preserve">ע"מ שתתני לי מיכן ועד שלשים יום, אם נתנה לו בתוך שלשים יום </w:t>
      </w:r>
      <w:r w:rsidR="00A82951">
        <w:rPr>
          <w:rFonts w:cs="Arial"/>
          <w:rtl/>
        </w:rPr>
        <w:t>-</w:t>
      </w:r>
      <w:r>
        <w:rPr>
          <w:rFonts w:cs="Arial"/>
          <w:rtl/>
        </w:rPr>
        <w:t xml:space="preserve"> מגורשת, ואם לאו </w:t>
      </w:r>
      <w:r w:rsidR="00A82951">
        <w:rPr>
          <w:rFonts w:cs="Arial"/>
          <w:rtl/>
        </w:rPr>
        <w:t>-</w:t>
      </w:r>
      <w:r>
        <w:rPr>
          <w:rFonts w:cs="Arial"/>
          <w:rtl/>
        </w:rPr>
        <w:t xml:space="preserve"> אינה מגורשת.</w:t>
      </w:r>
      <w:r>
        <w:rPr>
          <w:rtl/>
        </w:rPr>
        <w:t>..</w:t>
      </w:r>
    </w:p>
    <w:p w14:paraId="2DA1EF1A" w14:textId="77777777" w:rsidR="00C97BEF" w:rsidRDefault="00C97BEF" w:rsidP="00C97BEF">
      <w:pPr>
        <w:rPr>
          <w:u w:val="single"/>
          <w:rtl/>
        </w:rPr>
      </w:pPr>
      <w:r>
        <w:rPr>
          <w:rFonts w:cs="Arial"/>
          <w:u w:val="single"/>
          <w:rtl/>
        </w:rPr>
        <w:t>אמר לה 'על מנת שתתני לי מאתים זוז בתוך שלשים יום</w:t>
      </w:r>
      <w:r>
        <w:rPr>
          <w:u w:val="single"/>
          <w:rtl/>
        </w:rPr>
        <w:t>':</w:t>
      </w:r>
    </w:p>
    <w:p w14:paraId="385E87CC" w14:textId="4B4301DF"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על מנת שתתני לי מאתים זוז בתוך שלשים יום, נתנה לו בתוך שלשים יום </w:t>
      </w:r>
      <w:r w:rsidR="00A82951">
        <w:rPr>
          <w:rFonts w:cs="Arial"/>
          <w:rtl/>
        </w:rPr>
        <w:t>-</w:t>
      </w:r>
      <w:r>
        <w:rPr>
          <w:rFonts w:cs="Arial"/>
          <w:rtl/>
        </w:rPr>
        <w:t xml:space="preserve"> מגורשת. לא נתנה לו תוך ל' יום </w:t>
      </w:r>
      <w:r w:rsidR="00A82951">
        <w:rPr>
          <w:rFonts w:cs="Arial"/>
          <w:rtl/>
        </w:rPr>
        <w:t>-</w:t>
      </w:r>
      <w:r>
        <w:rPr>
          <w:rFonts w:cs="Arial"/>
          <w:rtl/>
        </w:rPr>
        <w:t xml:space="preserve"> אינה מגורשת. </w:t>
      </w:r>
      <w:r>
        <w:rPr>
          <w:color w:val="E36C0A" w:themeColor="accent6" w:themeShade="BF"/>
          <w:rtl/>
        </w:rPr>
        <w:t>(וכ"פ בשו"ע)</w:t>
      </w:r>
    </w:p>
    <w:p w14:paraId="1D8C5E4D" w14:textId="77777777" w:rsidR="00C97BEF" w:rsidRDefault="00C97BEF" w:rsidP="00C97BEF">
      <w:pPr>
        <w:ind w:left="360"/>
        <w:rPr>
          <w:u w:val="dotted"/>
        </w:rPr>
      </w:pPr>
      <w:r>
        <w:rPr>
          <w:u w:val="dotted"/>
          <w:rtl/>
        </w:rPr>
        <w:t xml:space="preserve">ומה הדין אם נתנה לו בסוף היום השלשים או בליל היום שאחריו: </w:t>
      </w:r>
    </w:p>
    <w:p w14:paraId="2D0A6480" w14:textId="31C2E738" w:rsidR="00C97BEF" w:rsidRDefault="00C97BEF" w:rsidP="006A458D">
      <w:pPr>
        <w:pStyle w:val="ab"/>
        <w:numPr>
          <w:ilvl w:val="0"/>
          <w:numId w:val="112"/>
        </w:numPr>
      </w:pPr>
      <w:r>
        <w:rPr>
          <w:rFonts w:cs="Arial"/>
          <w:rtl/>
        </w:rPr>
        <w:t xml:space="preserve">ר"ם הכהן </w:t>
      </w:r>
      <w:r>
        <w:rPr>
          <w:rFonts w:cs="Arial"/>
          <w:sz w:val="16"/>
          <w:szCs w:val="16"/>
          <w:rtl/>
        </w:rPr>
        <w:t>(כנראה הכוונה לרמ"ך, כ"כ הטור בשמו)</w:t>
      </w:r>
      <w:r w:rsidR="00A82951">
        <w:rPr>
          <w:rFonts w:cs="Arial"/>
          <w:rtl/>
        </w:rPr>
        <w:t>-</w:t>
      </w:r>
      <w:r>
        <w:rPr>
          <w:rFonts w:cs="Arial"/>
          <w:rtl/>
        </w:rPr>
        <w:t xml:space="preserve"> אפילו לא נתנה לו עד ל' יום בסופו </w:t>
      </w:r>
      <w:r w:rsidR="00A82951">
        <w:rPr>
          <w:rFonts w:cs="Arial"/>
          <w:rtl/>
        </w:rPr>
        <w:t>-</w:t>
      </w:r>
      <w:r>
        <w:rPr>
          <w:rFonts w:cs="Arial"/>
          <w:rtl/>
        </w:rPr>
        <w:t xml:space="preserve"> מגורשת, דעד ל' יום שיהיו שלימים קאמר. ואם אמר לה בתחילת יום ראשון לחדש ונתנה לו המעות בסוף ליל ראשון לחדש שני </w:t>
      </w:r>
      <w:r w:rsidR="00A82951">
        <w:rPr>
          <w:rFonts w:cs="Arial"/>
          <w:rtl/>
        </w:rPr>
        <w:t>-</w:t>
      </w:r>
      <w:r>
        <w:rPr>
          <w:rFonts w:cs="Arial"/>
          <w:rtl/>
        </w:rPr>
        <w:t xml:space="preserve"> הויא ספק מגורשת, דמספקא לן אי בעינן ל' יום מעת לעת, או ל' יום כדאמרי אינשי דלא קפדי בהדי ליליא דעבר לה מיומא קמא. וצריכה גט שני. ואם מת קודם שיתן לה גט שני </w:t>
      </w:r>
      <w:r w:rsidR="00A82951">
        <w:rPr>
          <w:rFonts w:cs="Arial"/>
          <w:rtl/>
        </w:rPr>
        <w:t>-</w:t>
      </w:r>
      <w:r>
        <w:rPr>
          <w:rFonts w:cs="Arial"/>
          <w:rtl/>
        </w:rPr>
        <w:t xml:space="preserve"> חולצת ולא מתייבמת</w:t>
      </w:r>
      <w:r>
        <w:rPr>
          <w:rFonts w:cs="Arial"/>
          <w:sz w:val="16"/>
          <w:szCs w:val="16"/>
          <w:rtl/>
        </w:rPr>
        <w:t xml:space="preserve"> (ל' הטור בשמו)</w:t>
      </w:r>
      <w:r>
        <w:rPr>
          <w:rFonts w:cs="Arial"/>
          <w:rtl/>
        </w:rPr>
        <w:t xml:space="preserve">. </w:t>
      </w:r>
      <w:r>
        <w:rPr>
          <w:color w:val="E36C0A" w:themeColor="accent6" w:themeShade="BF"/>
          <w:rtl/>
        </w:rPr>
        <w:t>(וכ"פ בשו"ע)</w:t>
      </w:r>
      <w:r>
        <w:rPr>
          <w:rtl/>
        </w:rPr>
        <w:t xml:space="preserve"> </w:t>
      </w:r>
    </w:p>
    <w:p w14:paraId="02BE42A5"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580F53A3" w14:textId="77777777" w:rsidR="00C97BEF" w:rsidRDefault="00C97BEF" w:rsidP="00C97BEF">
      <w:pPr>
        <w:rPr>
          <w:rtl/>
        </w:rPr>
      </w:pPr>
      <w:r>
        <w:rPr>
          <w:rFonts w:cs="Arial"/>
          <w:rtl/>
        </w:rPr>
        <w:t xml:space="preserve">אמר לה: על מנת שתתני לי מאתים זוז מכאן עד שלשים יום, אפילו לא נתנה לו עד יום שלשים בסופו, מגורשת. ואם אמר לה בתחילה יום ראשון לחודש, ונתנה לו בסוף ליל ראשון לחודש השני, הרי זו ספק מגורשת. </w:t>
      </w:r>
    </w:p>
    <w:p w14:paraId="5F0867B0" w14:textId="77777777" w:rsidR="00C97BEF" w:rsidRDefault="00C97BEF" w:rsidP="00C97BEF">
      <w:pPr>
        <w:rPr>
          <w:rtl/>
        </w:rPr>
      </w:pPr>
    </w:p>
    <w:p w14:paraId="607EA2C0" w14:textId="77777777" w:rsidR="00C97BEF" w:rsidRDefault="00C97BEF" w:rsidP="00C97BEF">
      <w:pPr>
        <w:pStyle w:val="2"/>
        <w:rPr>
          <w:rtl/>
        </w:rPr>
      </w:pPr>
      <w:r>
        <w:rPr>
          <w:rtl/>
        </w:rPr>
        <w:t>סעיף ח: התנה עמה שתעשה דבר מסויים ולא פירש כמה זמן.</w:t>
      </w:r>
    </w:p>
    <w:p w14:paraId="75369B74" w14:textId="6FEAAC4C" w:rsidR="00C97BEF" w:rsidRDefault="00C97BEF" w:rsidP="00C97BEF">
      <w:pPr>
        <w:rPr>
          <w:rFonts w:cs="Arial"/>
          <w:rtl/>
        </w:rPr>
      </w:pPr>
      <w:r>
        <w:rPr>
          <w:rFonts w:cs="Arial"/>
          <w:b/>
          <w:bCs/>
          <w:rtl/>
        </w:rPr>
        <w:t xml:space="preserve">גיטין </w:t>
      </w:r>
      <w:r>
        <w:rPr>
          <w:rFonts w:cs="Arial"/>
          <w:b/>
          <w:bCs/>
          <w:sz w:val="16"/>
          <w:szCs w:val="16"/>
          <w:rtl/>
        </w:rPr>
        <w:t>(פ' מי שאחזו)</w:t>
      </w:r>
      <w:r>
        <w:rPr>
          <w:rFonts w:cs="Arial"/>
          <w:b/>
          <w:bCs/>
          <w:rtl/>
        </w:rPr>
        <w:t xml:space="preserve"> עה ע"ב:</w:t>
      </w:r>
      <w:r>
        <w:rPr>
          <w:rFonts w:cs="Arial"/>
          <w:rtl/>
        </w:rPr>
        <w:t xml:space="preserve"> </w:t>
      </w:r>
      <w:r>
        <w:rPr>
          <w:rFonts w:cs="Arial"/>
          <w:u w:val="double"/>
          <w:rtl/>
        </w:rPr>
        <w:t>מתני'</w:t>
      </w:r>
      <w:r>
        <w:rPr>
          <w:rFonts w:cs="Arial"/>
          <w:rtl/>
        </w:rPr>
        <w:t>: הרי זה גיטיך ע"מ שתשמשי את אבא, על מנת שתניקי את בני, כמה היא מניקתו? שתי שנים</w:t>
      </w:r>
      <w:r>
        <w:rPr>
          <w:rStyle w:val="a7"/>
          <w:rFonts w:cs="Arial"/>
          <w:rtl/>
        </w:rPr>
        <w:footnoteReference w:id="2391"/>
      </w:r>
      <w:r>
        <w:rPr>
          <w:rFonts w:cs="Arial"/>
          <w:rtl/>
        </w:rPr>
        <w:t xml:space="preserve">. </w:t>
      </w:r>
      <w:r>
        <w:rPr>
          <w:rFonts w:cs="Arial"/>
          <w:u w:val="single"/>
          <w:rtl/>
        </w:rPr>
        <w:t>רבי יהודה אומר</w:t>
      </w:r>
      <w:r>
        <w:rPr>
          <w:rFonts w:cs="Arial"/>
          <w:rtl/>
        </w:rPr>
        <w:t>: שמנה עשר חדש</w:t>
      </w:r>
      <w:r>
        <w:rPr>
          <w:rStyle w:val="a7"/>
          <w:rFonts w:cs="Arial"/>
          <w:rtl/>
        </w:rPr>
        <w:footnoteReference w:id="2392"/>
      </w:r>
      <w:r>
        <w:rPr>
          <w:rFonts w:cs="Arial"/>
          <w:rtl/>
        </w:rPr>
        <w:t>. מת הבן</w:t>
      </w:r>
      <w:r>
        <w:rPr>
          <w:rStyle w:val="a7"/>
          <w:rFonts w:cs="Arial"/>
          <w:rtl/>
        </w:rPr>
        <w:footnoteReference w:id="2393"/>
      </w:r>
      <w:r>
        <w:rPr>
          <w:rFonts w:cs="Arial"/>
          <w:rtl/>
        </w:rPr>
        <w:t xml:space="preserve"> או שמת האב </w:t>
      </w:r>
      <w:r w:rsidR="00A82951">
        <w:rPr>
          <w:rFonts w:cs="Arial"/>
          <w:rtl/>
        </w:rPr>
        <w:t>-</w:t>
      </w:r>
      <w:r>
        <w:rPr>
          <w:rFonts w:cs="Arial"/>
          <w:rtl/>
        </w:rPr>
        <w:t xml:space="preserve"> הרי זה גט</w:t>
      </w:r>
      <w:r>
        <w:rPr>
          <w:rStyle w:val="a7"/>
          <w:rFonts w:cs="Arial"/>
          <w:rtl/>
        </w:rPr>
        <w:footnoteReference w:id="2394"/>
      </w:r>
      <w:r>
        <w:rPr>
          <w:rFonts w:cs="Arial"/>
          <w:rtl/>
        </w:rPr>
        <w:t>. הרי זה גיטיך ע"מ שתשמשי את אבא שתי שנים, ע"מ שתניקי את בני שתי שנים, מת הבן, או שאמר האב אי אפשי שתשמשני, שלא בהקפדה</w:t>
      </w:r>
      <w:r>
        <w:rPr>
          <w:rStyle w:val="a7"/>
          <w:rFonts w:cs="Arial"/>
          <w:rtl/>
        </w:rPr>
        <w:footnoteReference w:id="2395"/>
      </w:r>
      <w:r>
        <w:rPr>
          <w:rFonts w:cs="Arial"/>
          <w:rtl/>
        </w:rPr>
        <w:t xml:space="preserve"> </w:t>
      </w:r>
      <w:r w:rsidR="00A82951">
        <w:rPr>
          <w:rFonts w:cs="Arial"/>
          <w:rtl/>
        </w:rPr>
        <w:t>-</w:t>
      </w:r>
      <w:r>
        <w:rPr>
          <w:rFonts w:cs="Arial"/>
          <w:rtl/>
        </w:rPr>
        <w:t xml:space="preserve"> אינו גט, </w:t>
      </w:r>
      <w:r>
        <w:rPr>
          <w:rFonts w:cs="Arial"/>
          <w:u w:val="single"/>
          <w:rtl/>
        </w:rPr>
        <w:t>רבן שמעון בן גמליאל אומר</w:t>
      </w:r>
      <w:r>
        <w:rPr>
          <w:rFonts w:cs="Arial"/>
          <w:rtl/>
        </w:rPr>
        <w:t xml:space="preserve">: כזה גט. כלל אמר רבן שמעון בן גמליאל: כל עכבה שאינה הימנה </w:t>
      </w:r>
      <w:r w:rsidR="00A82951">
        <w:rPr>
          <w:rFonts w:cs="Arial"/>
          <w:rtl/>
        </w:rPr>
        <w:t>-</w:t>
      </w:r>
      <w:r>
        <w:rPr>
          <w:rFonts w:cs="Arial"/>
          <w:rtl/>
        </w:rPr>
        <w:t xml:space="preserve"> הרי זה גט.      </w:t>
      </w:r>
      <w:r>
        <w:rPr>
          <w:rFonts w:cs="Arial"/>
          <w:u w:val="double"/>
          <w:rtl/>
        </w:rPr>
        <w:t>גמ'</w:t>
      </w:r>
      <w:r>
        <w:rPr>
          <w:rFonts w:cs="Arial"/>
          <w:rtl/>
        </w:rPr>
        <w:t xml:space="preserve">: ומי בעינן כולי האי? ורמינהי: שמשתו יום אחד, הניקתו יום אחד </w:t>
      </w:r>
      <w:r w:rsidR="00A82951">
        <w:rPr>
          <w:rFonts w:cs="Arial"/>
          <w:rtl/>
        </w:rPr>
        <w:t>-</w:t>
      </w:r>
      <w:r>
        <w:rPr>
          <w:rFonts w:cs="Arial"/>
          <w:rtl/>
        </w:rPr>
        <w:t xml:space="preserve"> ה"ז גט! </w:t>
      </w:r>
      <w:r>
        <w:rPr>
          <w:rFonts w:cs="Arial"/>
          <w:u w:val="single"/>
          <w:rtl/>
        </w:rPr>
        <w:t>אמר רב חסדא</w:t>
      </w:r>
      <w:r>
        <w:rPr>
          <w:rFonts w:cs="Arial"/>
          <w:rtl/>
        </w:rPr>
        <w:t>: לא קשיא, הא רבנן, והא רבן שמעון בן גמליאל, מתניתין רשב"ג</w:t>
      </w:r>
      <w:r>
        <w:rPr>
          <w:rStyle w:val="a7"/>
          <w:rFonts w:cs="Arial"/>
          <w:rtl/>
        </w:rPr>
        <w:footnoteReference w:id="2396"/>
      </w:r>
      <w:r>
        <w:rPr>
          <w:rFonts w:cs="Arial"/>
          <w:rtl/>
        </w:rPr>
        <w:t>, וברייתא רבנן</w:t>
      </w:r>
      <w:r>
        <w:rPr>
          <w:rStyle w:val="a7"/>
          <w:rFonts w:cs="Arial"/>
          <w:rtl/>
        </w:rPr>
        <w:footnoteReference w:id="2397"/>
      </w:r>
      <w:r>
        <w:rPr>
          <w:rFonts w:cs="Arial"/>
          <w:rtl/>
        </w:rPr>
        <w:t>. הא מדסיפא רבן שמעון בן גמליאל הוי, מכלל דרישא לאו רשב"ג! אלא, ברייתא רשב"ג היא דמיקל בתנאי</w:t>
      </w:r>
      <w:r>
        <w:rPr>
          <w:rStyle w:val="a7"/>
          <w:rFonts w:cs="Arial"/>
          <w:rtl/>
        </w:rPr>
        <w:footnoteReference w:id="2398"/>
      </w:r>
      <w:r>
        <w:rPr>
          <w:rFonts w:cs="Arial"/>
          <w:rtl/>
        </w:rPr>
        <w:t xml:space="preserve">, מתני' רבנן. </w:t>
      </w:r>
      <w:r>
        <w:rPr>
          <w:rFonts w:cs="Arial"/>
          <w:u w:val="single"/>
          <w:rtl/>
        </w:rPr>
        <w:t>רבא אמר</w:t>
      </w:r>
      <w:r>
        <w:rPr>
          <w:rFonts w:cs="Arial"/>
          <w:rtl/>
        </w:rPr>
        <w:t>: לא קשיא, כאן בסתם</w:t>
      </w:r>
      <w:r>
        <w:rPr>
          <w:rStyle w:val="a7"/>
          <w:rFonts w:cs="Arial"/>
          <w:rtl/>
        </w:rPr>
        <w:footnoteReference w:id="2399"/>
      </w:r>
      <w:r>
        <w:rPr>
          <w:rFonts w:cs="Arial"/>
          <w:rtl/>
        </w:rPr>
        <w:t xml:space="preserve">, כאן במפרש. </w:t>
      </w:r>
      <w:r>
        <w:rPr>
          <w:rFonts w:cs="Arial"/>
          <w:u w:val="single"/>
          <w:rtl/>
        </w:rPr>
        <w:t>רב אשי אמר</w:t>
      </w:r>
      <w:r>
        <w:rPr>
          <w:rStyle w:val="a7"/>
          <w:rFonts w:cs="Arial"/>
          <w:rtl/>
        </w:rPr>
        <w:footnoteReference w:id="2400"/>
      </w:r>
      <w:r>
        <w:rPr>
          <w:rFonts w:cs="Arial"/>
          <w:rtl/>
        </w:rPr>
        <w:t xml:space="preserve">: כל סתם נמי כמפרש יום אחד דמי. תנן: כמה היא מניקתו? שתי שנים, רבי יהודה אומר: שמנה עשר חדש; בשלמא לרבא ניחא, אלא לרב אשי, למה לי שתי שנים? למה לי שמנה עשר חדש? ביום אחד סגי! הכי קאמר: יום אחד משתי שנים, לאפוקי לאחר שתי שנים דלא. יום אחד משמנה עשר חדש, לאפוקי לאחר שמנה עשר חדש דלא. מיתיבי: הרי זה גיטיך על מנת שתשמשי את אבא שתי שנים, על מנת שתניקי את בני </w:t>
      </w:r>
      <w:r>
        <w:rPr>
          <w:rFonts w:cs="Arial"/>
          <w:rtl/>
        </w:rPr>
        <w:lastRenderedPageBreak/>
        <w:t xml:space="preserve">שתי שנים, מת הבן, או שאמר האב אי אפשי שתשמשני, שלא בהקפדה </w:t>
      </w:r>
      <w:r w:rsidR="00A82951">
        <w:rPr>
          <w:rFonts w:cs="Arial"/>
          <w:rtl/>
        </w:rPr>
        <w:t>-</w:t>
      </w:r>
      <w:r>
        <w:rPr>
          <w:rFonts w:cs="Arial"/>
          <w:rtl/>
        </w:rPr>
        <w:t xml:space="preserve"> אינו גט;</w:t>
      </w:r>
      <w:r>
        <w:rPr>
          <w:sz w:val="14"/>
          <w:szCs w:val="14"/>
          <w:rtl/>
        </w:rPr>
        <w:t xml:space="preserve"> (עו.) </w:t>
      </w:r>
      <w:r>
        <w:rPr>
          <w:rFonts w:cs="Arial"/>
          <w:rtl/>
        </w:rPr>
        <w:t>בשלמא לרבא</w:t>
      </w:r>
      <w:r>
        <w:rPr>
          <w:rStyle w:val="a7"/>
          <w:rFonts w:cs="Arial"/>
          <w:rtl/>
        </w:rPr>
        <w:footnoteReference w:id="2401"/>
      </w:r>
      <w:r>
        <w:rPr>
          <w:rFonts w:cs="Arial"/>
          <w:rtl/>
        </w:rPr>
        <w:t>, רישא</w:t>
      </w:r>
      <w:r>
        <w:rPr>
          <w:rStyle w:val="a7"/>
          <w:rFonts w:cs="Arial"/>
          <w:rtl/>
        </w:rPr>
        <w:footnoteReference w:id="2402"/>
      </w:r>
      <w:r>
        <w:rPr>
          <w:rFonts w:cs="Arial"/>
          <w:rtl/>
        </w:rPr>
        <w:t xml:space="preserve"> בדלא פריש</w:t>
      </w:r>
      <w:r>
        <w:rPr>
          <w:rStyle w:val="a7"/>
          <w:rFonts w:cs="Arial"/>
          <w:rtl/>
        </w:rPr>
        <w:footnoteReference w:id="2403"/>
      </w:r>
      <w:r>
        <w:rPr>
          <w:rFonts w:cs="Arial"/>
          <w:rtl/>
        </w:rPr>
        <w:t>, סיפא דפריש</w:t>
      </w:r>
      <w:r>
        <w:rPr>
          <w:rStyle w:val="a7"/>
          <w:rFonts w:cs="Arial"/>
          <w:rtl/>
        </w:rPr>
        <w:footnoteReference w:id="2404"/>
      </w:r>
      <w:r>
        <w:rPr>
          <w:rFonts w:cs="Arial"/>
          <w:rtl/>
        </w:rPr>
        <w:t>, אלא לרב אשי</w:t>
      </w:r>
      <w:r>
        <w:rPr>
          <w:rStyle w:val="a7"/>
          <w:rFonts w:cs="Arial"/>
          <w:rtl/>
        </w:rPr>
        <w:footnoteReference w:id="2405"/>
      </w:r>
      <w:r>
        <w:rPr>
          <w:rFonts w:cs="Arial"/>
          <w:rtl/>
        </w:rPr>
        <w:t>, מאי שנא רישא ומאי שנא סיפא? קשיא.</w:t>
      </w:r>
    </w:p>
    <w:p w14:paraId="4AF6AD12" w14:textId="77777777" w:rsidR="00C97BEF" w:rsidRDefault="00C97BEF" w:rsidP="00C97BEF">
      <w:pPr>
        <w:rPr>
          <w:rFonts w:cs="Arial"/>
          <w:rtl/>
        </w:rPr>
      </w:pPr>
      <w:r>
        <w:rPr>
          <w:rFonts w:cs="Arial"/>
          <w:u w:val="single"/>
          <w:rtl/>
        </w:rPr>
        <w:t>כיצד נפסק:</w:t>
      </w:r>
      <w:r>
        <w:rPr>
          <w:rFonts w:cs="Arial"/>
          <w:rtl/>
        </w:rPr>
        <w:t xml:space="preserve"> </w:t>
      </w:r>
    </w:p>
    <w:p w14:paraId="745A7629" w14:textId="04D1CD81" w:rsidR="00C97BEF" w:rsidRDefault="00C97BEF" w:rsidP="006A458D">
      <w:pPr>
        <w:pStyle w:val="ab"/>
        <w:numPr>
          <w:ilvl w:val="0"/>
          <w:numId w:val="112"/>
        </w:numPr>
        <w:rPr>
          <w:rFonts w:cs="Arial"/>
          <w:rtl/>
        </w:rPr>
      </w:pPr>
      <w:r>
        <w:rPr>
          <w:rFonts w:cs="Arial"/>
          <w:rtl/>
        </w:rPr>
        <w:t xml:space="preserve">רי"ף </w:t>
      </w:r>
      <w:r>
        <w:rPr>
          <w:rFonts w:cs="Arial"/>
          <w:sz w:val="16"/>
          <w:szCs w:val="16"/>
          <w:rtl/>
        </w:rPr>
        <w:t>(לז.)</w:t>
      </w:r>
      <w:r>
        <w:rPr>
          <w:rFonts w:cs="Arial"/>
          <w:rtl/>
        </w:rPr>
        <w:t xml:space="preserve"> ורמב"ם </w:t>
      </w:r>
      <w:r>
        <w:rPr>
          <w:rFonts w:cs="Arial"/>
          <w:sz w:val="16"/>
          <w:szCs w:val="16"/>
          <w:rtl/>
        </w:rPr>
        <w:t>(פ"ח הי"ט)</w:t>
      </w:r>
      <w:r w:rsidR="00A82951">
        <w:rPr>
          <w:rFonts w:cs="Arial"/>
          <w:rtl/>
        </w:rPr>
        <w:t>-</w:t>
      </w:r>
      <w:r>
        <w:rPr>
          <w:rFonts w:cs="Arial"/>
          <w:rtl/>
        </w:rPr>
        <w:t xml:space="preserve"> הלכתא כרב אשי אע"ג דאסיקנא בקשיא כיון דלא אסיקנא בתיובתא. </w:t>
      </w:r>
    </w:p>
    <w:p w14:paraId="4D73EEF1" w14:textId="57BA8FDF" w:rsidR="00C97BEF" w:rsidRDefault="00C97BEF" w:rsidP="006A458D">
      <w:pPr>
        <w:pStyle w:val="ab"/>
        <w:numPr>
          <w:ilvl w:val="0"/>
          <w:numId w:val="112"/>
        </w:numPr>
        <w:rPr>
          <w:rFonts w:cs="Arial"/>
        </w:rPr>
      </w:pPr>
      <w:r>
        <w:rPr>
          <w:rFonts w:cs="Arial"/>
          <w:rtl/>
        </w:rPr>
        <w:t xml:space="preserve">רא"ש </w:t>
      </w:r>
      <w:r>
        <w:rPr>
          <w:rFonts w:cs="Arial"/>
          <w:sz w:val="16"/>
          <w:szCs w:val="16"/>
          <w:rtl/>
        </w:rPr>
        <w:t>(שם)</w:t>
      </w:r>
      <w:r w:rsidR="00A82951">
        <w:rPr>
          <w:rFonts w:cs="Arial"/>
          <w:rtl/>
        </w:rPr>
        <w:t>-</w:t>
      </w:r>
      <w:r>
        <w:rPr>
          <w:rFonts w:cs="Arial"/>
          <w:rtl/>
        </w:rPr>
        <w:t xml:space="preserve"> ראוי לפסוק כרבא לחומרא</w:t>
      </w:r>
      <w:r>
        <w:rPr>
          <w:rStyle w:val="a7"/>
          <w:rFonts w:cs="Arial"/>
          <w:rtl/>
        </w:rPr>
        <w:footnoteReference w:id="2406"/>
      </w:r>
      <w:r>
        <w:rPr>
          <w:rFonts w:cs="Arial"/>
          <w:rtl/>
        </w:rPr>
        <w:t xml:space="preserve">. </w:t>
      </w:r>
    </w:p>
    <w:p w14:paraId="73A26AB1" w14:textId="272CF75A" w:rsidR="00C97BEF" w:rsidRDefault="00C97BEF" w:rsidP="00C97BEF">
      <w:pPr>
        <w:rPr>
          <w:u w:val="single"/>
          <w:rtl/>
        </w:rPr>
      </w:pPr>
      <w:r>
        <w:rPr>
          <w:rFonts w:cs="Arial"/>
          <w:u w:val="single"/>
          <w:rtl/>
        </w:rPr>
        <w:t xml:space="preserve">למעשה </w:t>
      </w:r>
      <w:r w:rsidR="00A82951">
        <w:rPr>
          <w:rFonts w:cs="Arial"/>
          <w:u w:val="single"/>
          <w:rtl/>
        </w:rPr>
        <w:t>-</w:t>
      </w:r>
      <w:r>
        <w:rPr>
          <w:rFonts w:cs="Arial"/>
          <w:u w:val="single"/>
          <w:rtl/>
        </w:rPr>
        <w:t xml:space="preserve"> התנה עמה שתעשה דבר מסויים ולא פירש כמה זמן</w:t>
      </w:r>
      <w:r>
        <w:rPr>
          <w:u w:val="single"/>
          <w:rtl/>
        </w:rPr>
        <w:t>:</w:t>
      </w:r>
    </w:p>
    <w:p w14:paraId="38E3EBA8" w14:textId="0E54D283" w:rsidR="00C97BEF" w:rsidRDefault="00C97BEF" w:rsidP="006A458D">
      <w:pPr>
        <w:pStyle w:val="ab"/>
        <w:numPr>
          <w:ilvl w:val="0"/>
          <w:numId w:val="112"/>
        </w:numPr>
        <w:rPr>
          <w:rtl/>
        </w:rPr>
      </w:pPr>
      <w:r>
        <w:rPr>
          <w:rFonts w:cs="Arial"/>
          <w:rtl/>
        </w:rPr>
        <w:t xml:space="preserve">רמ"ה </w:t>
      </w:r>
      <w:r>
        <w:rPr>
          <w:rFonts w:cs="Arial"/>
          <w:sz w:val="16"/>
          <w:szCs w:val="16"/>
          <w:rtl/>
        </w:rPr>
        <w:t>(כ"כ הטור בשמו)</w:t>
      </w:r>
      <w:r>
        <w:rPr>
          <w:rFonts w:cs="Arial"/>
          <w:rtl/>
        </w:rPr>
        <w:t xml:space="preserve"> רא"ש </w:t>
      </w:r>
      <w:r>
        <w:rPr>
          <w:rFonts w:cs="Arial"/>
          <w:sz w:val="16"/>
          <w:szCs w:val="16"/>
          <w:rtl/>
        </w:rPr>
        <w:t>(כ"כ הטור בשמו)</w:t>
      </w:r>
      <w:r>
        <w:rPr>
          <w:rFonts w:cs="Arial"/>
          <w:rtl/>
        </w:rPr>
        <w:t xml:space="preserve"> וטור</w:t>
      </w:r>
      <w:r w:rsidR="00A82951">
        <w:rPr>
          <w:rFonts w:cs="Arial"/>
          <w:rtl/>
        </w:rPr>
        <w:t>-</w:t>
      </w:r>
      <w:r>
        <w:rPr>
          <w:rFonts w:cs="Arial"/>
          <w:rtl/>
        </w:rPr>
        <w:t xml:space="preserve"> התנה עמה שתעשה דברים ולא פירש כמה. כגון ע"מ שתעשה לי מלאכה, או שתשמשי את אבא, או תניקי את בני... </w:t>
      </w:r>
      <w:r w:rsidR="00A82951">
        <w:rPr>
          <w:rFonts w:cs="Arial"/>
          <w:rtl/>
        </w:rPr>
        <w:t>-</w:t>
      </w:r>
      <w:r>
        <w:rPr>
          <w:rFonts w:cs="Arial"/>
          <w:rtl/>
        </w:rPr>
        <w:t xml:space="preserve"> צריכה לשמש את אביו כל ימי חייו ולהניק את בנו עד שישלמו כ"ד חדשים ללידתו</w:t>
      </w:r>
      <w:r>
        <w:rPr>
          <w:rtl/>
        </w:rPr>
        <w:t>.</w:t>
      </w:r>
      <w:r>
        <w:rPr>
          <w:rFonts w:cs="Arial"/>
          <w:rtl/>
        </w:rPr>
        <w:t>.. ותוך הזמן</w:t>
      </w:r>
      <w:r>
        <w:rPr>
          <w:rStyle w:val="a7"/>
          <w:rFonts w:cs="Arial"/>
          <w:rtl/>
        </w:rPr>
        <w:footnoteReference w:id="2407"/>
      </w:r>
      <w:r>
        <w:rPr>
          <w:rFonts w:cs="Arial"/>
          <w:rtl/>
        </w:rPr>
        <w:t xml:space="preserve"> אינה רשאה לינשא שמא לא תקיים התנאי... מת האב או הבן אחר שהתחילה להניק או לשמש אפי' יום אחד </w:t>
      </w:r>
      <w:r w:rsidR="00A82951">
        <w:rPr>
          <w:rFonts w:cs="Arial"/>
          <w:rtl/>
        </w:rPr>
        <w:t>-</w:t>
      </w:r>
      <w:r>
        <w:rPr>
          <w:rFonts w:cs="Arial"/>
          <w:rtl/>
        </w:rPr>
        <w:t xml:space="preserve"> הוי גט. אבל מתו קודם שהתחילה כלל </w:t>
      </w:r>
      <w:r w:rsidR="00A82951">
        <w:rPr>
          <w:rFonts w:cs="Arial"/>
          <w:rtl/>
        </w:rPr>
        <w:t>-</w:t>
      </w:r>
      <w:r>
        <w:rPr>
          <w:rFonts w:cs="Arial"/>
          <w:rtl/>
        </w:rPr>
        <w:t xml:space="preserve"> אינו גט</w:t>
      </w:r>
      <w:r>
        <w:rPr>
          <w:rFonts w:cs="Arial"/>
          <w:sz w:val="16"/>
          <w:szCs w:val="16"/>
          <w:rtl/>
        </w:rPr>
        <w:t xml:space="preserve"> (ל' הטור)</w:t>
      </w:r>
      <w:r>
        <w:rPr>
          <w:rtl/>
        </w:rPr>
        <w:t>.</w:t>
      </w:r>
      <w:r>
        <w:rPr>
          <w:color w:val="00B0F0"/>
          <w:rtl/>
        </w:rPr>
        <w:t xml:space="preserve"> (וכ"פ הרמ"א)</w:t>
      </w:r>
    </w:p>
    <w:p w14:paraId="1AD4607A" w14:textId="5ADA151B" w:rsidR="00C97BEF" w:rsidRDefault="00C97BEF" w:rsidP="006A458D">
      <w:pPr>
        <w:pStyle w:val="ab"/>
        <w:numPr>
          <w:ilvl w:val="0"/>
          <w:numId w:val="112"/>
        </w:numPr>
      </w:pPr>
      <w:r>
        <w:rPr>
          <w:rFonts w:cs="Arial"/>
          <w:rtl/>
        </w:rPr>
        <w:t xml:space="preserve">רי"ף </w:t>
      </w:r>
      <w:r>
        <w:rPr>
          <w:rFonts w:cs="Arial"/>
          <w:sz w:val="16"/>
          <w:szCs w:val="16"/>
          <w:rtl/>
        </w:rPr>
        <w:t xml:space="preserve">(לז., וכ"כ הטור בשמו) </w:t>
      </w:r>
      <w:r>
        <w:rPr>
          <w:rFonts w:cs="Arial"/>
          <w:rtl/>
        </w:rPr>
        <w:t>ורמב"ם</w:t>
      </w:r>
      <w:r>
        <w:rPr>
          <w:rFonts w:cs="Arial"/>
          <w:sz w:val="16"/>
          <w:szCs w:val="16"/>
          <w:rtl/>
        </w:rPr>
        <w:t xml:space="preserve"> (פ"ח הי"ט)</w:t>
      </w:r>
      <w:r w:rsidR="00A82951">
        <w:rPr>
          <w:rFonts w:cs="Arial"/>
          <w:rtl/>
        </w:rPr>
        <w:t>-</w:t>
      </w:r>
      <w:r>
        <w:rPr>
          <w:rFonts w:cs="Arial"/>
          <w:rtl/>
        </w:rPr>
        <w:t xml:space="preserve"> התנה עליה שתעשה דבר זה סתם </w:t>
      </w:r>
      <w:r w:rsidR="00A82951">
        <w:rPr>
          <w:rFonts w:cs="Arial"/>
          <w:rtl/>
        </w:rPr>
        <w:t>-</w:t>
      </w:r>
      <w:r>
        <w:rPr>
          <w:rFonts w:cs="Arial"/>
          <w:rtl/>
        </w:rPr>
        <w:t xml:space="preserve"> הרי זה כמפרש יום אחד, הואיל ולא פירש כמה זמן תעשה. כיצד, אמר לה הרי זה גיטיך על מנת שתעשי עמי מלאכה, על מנת שתשמשי את אבא, על מנת שתניקי את בני, אם עשת עמו מלאכה יום אחד או שמשה את אביו יום אחד או שהניקה בנו יום אחד בתוך הזמן שהבן יונק בו והוא בתוך ארבעה ועשרים חדש </w:t>
      </w:r>
      <w:r w:rsidR="00A82951">
        <w:rPr>
          <w:rFonts w:cs="Arial"/>
          <w:rtl/>
        </w:rPr>
        <w:t>-</w:t>
      </w:r>
      <w:r>
        <w:rPr>
          <w:rFonts w:cs="Arial"/>
          <w:rtl/>
        </w:rPr>
        <w:t xml:space="preserve"> הרי זה גט. מת הבן או האב קודם שתניק או תשמש </w:t>
      </w:r>
      <w:r w:rsidR="00A82951">
        <w:rPr>
          <w:rFonts w:cs="Arial"/>
          <w:rtl/>
        </w:rPr>
        <w:t>-</w:t>
      </w:r>
      <w:r>
        <w:rPr>
          <w:rFonts w:cs="Arial"/>
          <w:rtl/>
        </w:rPr>
        <w:t xml:space="preserve"> אינו גט</w:t>
      </w:r>
      <w:r>
        <w:rPr>
          <w:rFonts w:cs="Arial"/>
          <w:sz w:val="16"/>
          <w:szCs w:val="16"/>
          <w:rtl/>
        </w:rPr>
        <w:t xml:space="preserve"> (ל' הרמב"ם)</w:t>
      </w:r>
      <w:r>
        <w:rPr>
          <w:rFonts w:cs="Arial"/>
          <w:rtl/>
        </w:rPr>
        <w:t>.</w:t>
      </w:r>
      <w:r>
        <w:rPr>
          <w:rtl/>
        </w:rPr>
        <w:t xml:space="preserve"> </w:t>
      </w:r>
      <w:r>
        <w:rPr>
          <w:color w:val="E36C0A" w:themeColor="accent6" w:themeShade="BF"/>
          <w:rtl/>
        </w:rPr>
        <w:t>(וכ"פ בשו"ע)</w:t>
      </w:r>
    </w:p>
    <w:p w14:paraId="6085F6FE" w14:textId="1F4838AB" w:rsidR="00C97BEF" w:rsidRDefault="00C97BEF" w:rsidP="00C97BEF">
      <w:pPr>
        <w:ind w:left="360"/>
        <w:rPr>
          <w:u w:val="dotted"/>
        </w:rPr>
      </w:pPr>
      <w:r>
        <w:rPr>
          <w:u w:val="dotted"/>
          <w:rtl/>
        </w:rPr>
        <w:t xml:space="preserve">במקרה שצריכה להניק/לשמש יום אחד </w:t>
      </w:r>
      <w:r w:rsidR="00A82951">
        <w:rPr>
          <w:u w:val="dotted"/>
          <w:rtl/>
        </w:rPr>
        <w:t>-</w:t>
      </w:r>
      <w:r>
        <w:rPr>
          <w:u w:val="dotted"/>
          <w:rtl/>
        </w:rPr>
        <w:t xml:space="preserve"> האם צריך דוקא יום אחד או אפילו בפחות מכן שפיר דמי: </w:t>
      </w:r>
    </w:p>
    <w:p w14:paraId="0E6163D7" w14:textId="749D98FD" w:rsidR="00C97BEF" w:rsidRDefault="00C97BEF" w:rsidP="006A458D">
      <w:pPr>
        <w:pStyle w:val="ab"/>
        <w:numPr>
          <w:ilvl w:val="0"/>
          <w:numId w:val="112"/>
        </w:numPr>
      </w:pPr>
      <w:r>
        <w:rPr>
          <w:rFonts w:cs="Arial"/>
          <w:rtl/>
        </w:rPr>
        <w:t xml:space="preserve">ר"ן </w:t>
      </w:r>
      <w:r>
        <w:rPr>
          <w:rFonts w:cs="Arial"/>
          <w:sz w:val="16"/>
          <w:szCs w:val="16"/>
          <w:rtl/>
        </w:rPr>
        <w:t>(לז: דיבור ראשון)</w:t>
      </w:r>
      <w:r w:rsidR="00A82951">
        <w:rPr>
          <w:rFonts w:cs="Arial"/>
          <w:rtl/>
        </w:rPr>
        <w:t>-</w:t>
      </w:r>
      <w:r>
        <w:rPr>
          <w:rFonts w:cs="Arial"/>
          <w:rtl/>
        </w:rPr>
        <w:t xml:space="preserve"> ומ"מ לדברי כולם נראה דיום אחד לאו דוקא, אלא אפילו שעה אחת</w:t>
      </w:r>
      <w:r>
        <w:rPr>
          <w:rStyle w:val="a7"/>
          <w:rFonts w:cs="Arial"/>
          <w:rtl/>
        </w:rPr>
        <w:footnoteReference w:id="2408"/>
      </w:r>
      <w:r>
        <w:rPr>
          <w:rFonts w:cs="Arial"/>
          <w:rtl/>
        </w:rPr>
        <w:t xml:space="preserve">. </w:t>
      </w:r>
    </w:p>
    <w:p w14:paraId="493FE25B" w14:textId="7FFFC43C" w:rsidR="00C97BEF" w:rsidRDefault="00C97BEF" w:rsidP="006A458D">
      <w:pPr>
        <w:pStyle w:val="ab"/>
        <w:numPr>
          <w:ilvl w:val="0"/>
          <w:numId w:val="112"/>
        </w:numPr>
      </w:pPr>
      <w:r>
        <w:rPr>
          <w:rFonts w:cs="Arial"/>
          <w:rtl/>
        </w:rPr>
        <w:lastRenderedPageBreak/>
        <w:t xml:space="preserve">רמ"ה </w:t>
      </w:r>
      <w:r>
        <w:rPr>
          <w:rFonts w:cs="Arial"/>
          <w:sz w:val="16"/>
          <w:szCs w:val="16"/>
          <w:rtl/>
        </w:rPr>
        <w:t>(כ"כ הטור בשמו)</w:t>
      </w:r>
      <w:r w:rsidR="00A82951">
        <w:rPr>
          <w:rFonts w:cs="Arial"/>
          <w:rtl/>
        </w:rPr>
        <w:t>-</w:t>
      </w:r>
      <w:r>
        <w:rPr>
          <w:rFonts w:cs="Arial"/>
          <w:rtl/>
        </w:rPr>
        <w:t xml:space="preserve"> אמר לה ע"מ שתשמשי את אבא ושתניקי את בני יום אחד, אם שמשתו והניקתו יום אחד בליל שבת ויומו </w:t>
      </w:r>
      <w:r w:rsidR="00A82951">
        <w:rPr>
          <w:rFonts w:cs="Arial"/>
          <w:rtl/>
        </w:rPr>
        <w:t>-</w:t>
      </w:r>
      <w:r>
        <w:rPr>
          <w:rFonts w:cs="Arial"/>
          <w:rtl/>
        </w:rPr>
        <w:t xml:space="preserve"> ה"ז גט. ואם לאו, אע"פ ששמשתו והניקתו מעת לעת ומת הבן או האב </w:t>
      </w:r>
      <w:r w:rsidR="00A82951">
        <w:rPr>
          <w:rFonts w:cs="Arial"/>
          <w:rtl/>
        </w:rPr>
        <w:t>-</w:t>
      </w:r>
      <w:r>
        <w:rPr>
          <w:rFonts w:cs="Arial"/>
          <w:rtl/>
        </w:rPr>
        <w:t xml:space="preserve"> אינו גט. והוא שיהיה יום אחד בתוך ב' השנים של הנקת הולד. </w:t>
      </w:r>
      <w:r>
        <w:rPr>
          <w:color w:val="E36C0A" w:themeColor="accent6" w:themeShade="BF"/>
          <w:rtl/>
        </w:rPr>
        <w:t>(וכ"ס בשו"ע</w:t>
      </w:r>
      <w:r>
        <w:rPr>
          <w:rStyle w:val="a7"/>
          <w:color w:val="000000" w:themeColor="text1"/>
          <w:rtl/>
        </w:rPr>
        <w:footnoteReference w:id="2409"/>
      </w:r>
      <w:r>
        <w:rPr>
          <w:color w:val="E36C0A" w:themeColor="accent6" w:themeShade="BF"/>
          <w:sz w:val="16"/>
          <w:szCs w:val="16"/>
          <w:rtl/>
        </w:rPr>
        <w:t xml:space="preserve"> </w:t>
      </w:r>
      <w:r>
        <w:rPr>
          <w:sz w:val="16"/>
          <w:szCs w:val="16"/>
          <w:rtl/>
        </w:rPr>
        <w:t>[בסע' ט]</w:t>
      </w:r>
      <w:r>
        <w:rPr>
          <w:color w:val="E36C0A" w:themeColor="accent6" w:themeShade="BF"/>
          <w:rtl/>
        </w:rPr>
        <w:t>)</w:t>
      </w:r>
    </w:p>
    <w:p w14:paraId="32DBA031" w14:textId="77777777" w:rsidR="00C97BEF" w:rsidRDefault="00C97BEF" w:rsidP="00C97BEF">
      <w:pPr>
        <w:rPr>
          <w:u w:val="single"/>
        </w:rPr>
      </w:pPr>
      <w:r>
        <w:rPr>
          <w:u w:val="single"/>
          <w:rtl/>
        </w:rPr>
        <w:t xml:space="preserve">התנה עמה להניק את בנו, כשלבנו כבר מלאו ב' שנים: </w:t>
      </w:r>
    </w:p>
    <w:p w14:paraId="2E9D3731" w14:textId="472E85B5" w:rsidR="00C97BEF" w:rsidRDefault="00C97BEF" w:rsidP="006A458D">
      <w:pPr>
        <w:pStyle w:val="ab"/>
        <w:numPr>
          <w:ilvl w:val="0"/>
          <w:numId w:val="112"/>
        </w:numPr>
      </w:pPr>
      <w:r>
        <w:rPr>
          <w:rFonts w:cs="Arial"/>
          <w:rtl/>
        </w:rPr>
        <w:t xml:space="preserve">רמ"ה </w:t>
      </w:r>
      <w:r>
        <w:rPr>
          <w:rFonts w:cs="Arial"/>
          <w:sz w:val="16"/>
          <w:szCs w:val="16"/>
          <w:rtl/>
        </w:rPr>
        <w:t>(כ"כ הטור בשמו)</w:t>
      </w:r>
      <w:r w:rsidR="00A82951">
        <w:rPr>
          <w:rFonts w:cs="Arial"/>
          <w:rtl/>
        </w:rPr>
        <w:t>-</w:t>
      </w:r>
      <w:r>
        <w:rPr>
          <w:rFonts w:cs="Arial"/>
          <w:rtl/>
        </w:rPr>
        <w:t xml:space="preserve"> וה"מ דלא בעי ב' שנים שלימים אלא עד שיהא לולד ב' שנים היכא דאתני מקמי דשלמו ליה ב' שנים, אבל לאחר ששלמו ב' שנים ע"כ לאו לשיעורא זוטא דהיינו ב' שנים איכוין אלא לכל זמן שהתינוק ראוי לינק כרבי יהושע דאמר אפי' ג' וד' שנים</w:t>
      </w:r>
      <w:r>
        <w:rPr>
          <w:rtl/>
        </w:rPr>
        <w:t>.</w:t>
      </w:r>
    </w:p>
    <w:p w14:paraId="605B1FE6" w14:textId="5E3C9C0E" w:rsidR="00C97BEF" w:rsidRDefault="00C97BEF" w:rsidP="006A458D">
      <w:pPr>
        <w:pStyle w:val="ab"/>
        <w:numPr>
          <w:ilvl w:val="0"/>
          <w:numId w:val="112"/>
        </w:numPr>
      </w:pPr>
      <w:r>
        <w:rPr>
          <w:rFonts w:cs="Arial"/>
          <w:rtl/>
        </w:rPr>
        <w:t xml:space="preserve">רא"ש </w:t>
      </w:r>
      <w:r>
        <w:rPr>
          <w:rFonts w:cs="Arial"/>
          <w:sz w:val="16"/>
          <w:szCs w:val="16"/>
          <w:rtl/>
        </w:rPr>
        <w:t>(כ"כ הטור בשמו)</w:t>
      </w:r>
      <w:r w:rsidR="00A82951">
        <w:rPr>
          <w:rFonts w:cs="Arial"/>
          <w:rtl/>
        </w:rPr>
        <w:t>-</w:t>
      </w:r>
      <w:r>
        <w:rPr>
          <w:rFonts w:cs="Arial"/>
          <w:rtl/>
        </w:rPr>
        <w:t xml:space="preserve"> אפי' לא הניקתו אלא שעה אחת קיימה תנאה כיון ששלמו ב' השנים. </w:t>
      </w:r>
    </w:p>
    <w:p w14:paraId="22E3B73D" w14:textId="77777777" w:rsidR="00C97BEF" w:rsidRDefault="00C97BEF" w:rsidP="00C97BEF">
      <w:pPr>
        <w:ind w:left="360"/>
        <w:rPr>
          <w:u w:val="dotted"/>
        </w:rPr>
      </w:pPr>
      <w:r>
        <w:rPr>
          <w:u w:val="dotted"/>
          <w:rtl/>
        </w:rPr>
        <w:t>ומה הדין אם אמר לה להניק ששה חודשים:</w:t>
      </w:r>
    </w:p>
    <w:p w14:paraId="14F95C3B" w14:textId="2C2A1F91"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ונראה לי שאם אמר לה על מנת שתניק לבני ו' חדשים, רואים, אם נשאר לזמן הנקת העובר, דהיינו עד שתהיה לו ב' שנים יותר מו' חדשים, אז ודאי לאו לצעורה מיכוין אלא להקל מעליה שלא תניק עד שישלימו כ"ד חדשים, ואם כן אם מת הבן תוך ו' חדשים אחר שהניקה מעט </w:t>
      </w:r>
      <w:r w:rsidR="00A82951">
        <w:rPr>
          <w:rFonts w:cs="Arial"/>
          <w:rtl/>
        </w:rPr>
        <w:t>-</w:t>
      </w:r>
      <w:r>
        <w:rPr>
          <w:rFonts w:cs="Arial"/>
          <w:rtl/>
        </w:rPr>
        <w:t xml:space="preserve"> הוי גט. אבל אם לא נשארו ו' חדשים להנקת העובר, אז ודאי כיון שפירש ו' חדשים לצעורה קא מכוין, ואם מת תוך ו' חדשים </w:t>
      </w:r>
      <w:r w:rsidR="00A82951">
        <w:rPr>
          <w:rFonts w:cs="Arial"/>
          <w:rtl/>
        </w:rPr>
        <w:t>-</w:t>
      </w:r>
      <w:r>
        <w:rPr>
          <w:rFonts w:cs="Arial"/>
          <w:rtl/>
        </w:rPr>
        <w:t xml:space="preserve"> אינו גט</w:t>
      </w:r>
      <w:r>
        <w:rPr>
          <w:rStyle w:val="a7"/>
          <w:rFonts w:cs="Arial"/>
          <w:rtl/>
        </w:rPr>
        <w:footnoteReference w:id="2410"/>
      </w:r>
      <w:r>
        <w:rPr>
          <w:rFonts w:cs="Arial"/>
          <w:rtl/>
        </w:rPr>
        <w:t xml:space="preserve">. </w:t>
      </w:r>
    </w:p>
    <w:p w14:paraId="3D53F855" w14:textId="451397BE" w:rsidR="00C97BEF" w:rsidRDefault="00C97BEF" w:rsidP="00C97BEF">
      <w:pPr>
        <w:rPr>
          <w:rFonts w:cs="Arial"/>
        </w:rPr>
      </w:pPr>
      <w:r>
        <w:rPr>
          <w:rFonts w:cs="Arial"/>
          <w:b/>
          <w:bCs/>
          <w:rtl/>
        </w:rPr>
        <w:t xml:space="preserve">גיטין </w:t>
      </w:r>
      <w:r>
        <w:rPr>
          <w:rFonts w:cs="Arial"/>
          <w:b/>
          <w:bCs/>
          <w:sz w:val="16"/>
          <w:szCs w:val="16"/>
          <w:rtl/>
        </w:rPr>
        <w:t>(פ' מי שאחזו)</w:t>
      </w:r>
      <w:r>
        <w:rPr>
          <w:rFonts w:cs="Arial"/>
          <w:b/>
          <w:bCs/>
          <w:rtl/>
        </w:rPr>
        <w:t xml:space="preserve"> עה ע"ב:</w:t>
      </w:r>
      <w:r>
        <w:rPr>
          <w:rFonts w:cs="Arial"/>
          <w:rtl/>
        </w:rPr>
        <w:t xml:space="preserve"> </w:t>
      </w:r>
      <w:r>
        <w:rPr>
          <w:rFonts w:cs="Arial"/>
          <w:u w:val="double"/>
          <w:rtl/>
        </w:rPr>
        <w:t>מתני'</w:t>
      </w:r>
      <w:r>
        <w:rPr>
          <w:rFonts w:cs="Arial"/>
          <w:rtl/>
        </w:rPr>
        <w:t>:... הרי זה גיטיך ע"מ שתשמשי את אבא שתי שנים, ע"מ שתניקי את בני שתי שנים, מת הבן, או שאמר האב אי אפשי שתשמשני, שלא בהקפדה</w:t>
      </w:r>
      <w:r>
        <w:rPr>
          <w:rStyle w:val="a7"/>
          <w:rFonts w:cs="Arial"/>
          <w:rtl/>
        </w:rPr>
        <w:footnoteReference w:id="2411"/>
      </w:r>
      <w:r>
        <w:rPr>
          <w:rFonts w:cs="Arial"/>
          <w:rtl/>
        </w:rPr>
        <w:t xml:space="preserve"> </w:t>
      </w:r>
      <w:r w:rsidR="00A82951">
        <w:rPr>
          <w:rFonts w:cs="Arial"/>
          <w:rtl/>
        </w:rPr>
        <w:t>-</w:t>
      </w:r>
      <w:r>
        <w:rPr>
          <w:rFonts w:cs="Arial"/>
          <w:rtl/>
        </w:rPr>
        <w:t xml:space="preserve"> אינו גט, </w:t>
      </w:r>
      <w:r>
        <w:rPr>
          <w:rFonts w:cs="Arial"/>
          <w:u w:val="single"/>
          <w:rtl/>
        </w:rPr>
        <w:t>רבן שמעון בן גמליאל אומר</w:t>
      </w:r>
      <w:r>
        <w:rPr>
          <w:rFonts w:cs="Arial"/>
          <w:rtl/>
        </w:rPr>
        <w:t xml:space="preserve">: כזה גט. כלל אמר רבן שמעון בן גמליאל: כל עכבה שאינה הימנה </w:t>
      </w:r>
      <w:r w:rsidR="00A82951">
        <w:rPr>
          <w:rFonts w:cs="Arial"/>
          <w:rtl/>
        </w:rPr>
        <w:t>-</w:t>
      </w:r>
      <w:r>
        <w:rPr>
          <w:rFonts w:cs="Arial"/>
          <w:rtl/>
        </w:rPr>
        <w:t xml:space="preserve"> הרי זה גט. </w:t>
      </w:r>
    </w:p>
    <w:p w14:paraId="596AB7DC" w14:textId="5250F409" w:rsidR="00C97BEF" w:rsidRDefault="00C97BEF" w:rsidP="00C97BEF">
      <w:pPr>
        <w:rPr>
          <w:rtl/>
        </w:rPr>
      </w:pPr>
      <w:r>
        <w:rPr>
          <w:u w:val="single"/>
          <w:rtl/>
        </w:rPr>
        <w:t xml:space="preserve">אמר לה 'על מנת שתניקי את בני </w:t>
      </w:r>
      <w:r>
        <w:rPr>
          <w:sz w:val="16"/>
          <w:szCs w:val="16"/>
          <w:u w:val="single"/>
          <w:rtl/>
        </w:rPr>
        <w:t>(או</w:t>
      </w:r>
      <w:r w:rsidR="00A82951">
        <w:rPr>
          <w:sz w:val="16"/>
          <w:szCs w:val="16"/>
          <w:u w:val="single"/>
          <w:rtl/>
        </w:rPr>
        <w:t>-</w:t>
      </w:r>
      <w:r>
        <w:rPr>
          <w:sz w:val="16"/>
          <w:szCs w:val="16"/>
          <w:u w:val="single"/>
          <w:rtl/>
        </w:rPr>
        <w:t xml:space="preserve"> 'תשמשי את אבא')</w:t>
      </w:r>
      <w:r>
        <w:rPr>
          <w:u w:val="single"/>
          <w:rtl/>
        </w:rPr>
        <w:t xml:space="preserve"> שתי שנים' </w:t>
      </w:r>
      <w:r w:rsidR="00A82951">
        <w:rPr>
          <w:u w:val="single"/>
          <w:rtl/>
        </w:rPr>
        <w:t>-</w:t>
      </w:r>
      <w:r>
        <w:rPr>
          <w:u w:val="single"/>
          <w:rtl/>
        </w:rPr>
        <w:t xml:space="preserve"> ומת בתוך הזמן, או שאינו רוצה לקבל ממנה:</w:t>
      </w:r>
    </w:p>
    <w:p w14:paraId="6E1C4ABC" w14:textId="72AA1346" w:rsidR="00C97BEF" w:rsidRDefault="00C97BEF" w:rsidP="006A458D">
      <w:pPr>
        <w:pStyle w:val="ab"/>
        <w:numPr>
          <w:ilvl w:val="0"/>
          <w:numId w:val="112"/>
        </w:numPr>
      </w:pPr>
      <w:r>
        <w:rPr>
          <w:rFonts w:cs="Arial"/>
          <w:rtl/>
        </w:rPr>
        <w:t xml:space="preserve">רי"ף </w:t>
      </w:r>
      <w:r>
        <w:rPr>
          <w:rFonts w:cs="Arial"/>
          <w:sz w:val="16"/>
          <w:szCs w:val="16"/>
          <w:rtl/>
        </w:rPr>
        <w:t xml:space="preserve">(לז., וכ"כ הטור בשמו) </w:t>
      </w:r>
      <w:r>
        <w:rPr>
          <w:rFonts w:cs="Arial"/>
          <w:rtl/>
        </w:rPr>
        <w:t>ורמב"ם</w:t>
      </w:r>
      <w:r>
        <w:rPr>
          <w:rFonts w:cs="Arial"/>
          <w:sz w:val="16"/>
          <w:szCs w:val="16"/>
          <w:rtl/>
        </w:rPr>
        <w:t xml:space="preserve"> (פ"ח ה"כ)</w:t>
      </w:r>
      <w:r w:rsidR="00A82951">
        <w:rPr>
          <w:rFonts w:cs="Arial"/>
          <w:rtl/>
        </w:rPr>
        <w:t>-</w:t>
      </w:r>
      <w:r>
        <w:rPr>
          <w:rFonts w:cs="Arial"/>
          <w:rtl/>
        </w:rPr>
        <w:t xml:space="preserve"> אמר לה על מנת שתניקי את בני או תשמשי את אבא שתי שנים, הרי זו משלמת הזמן שפירש. מת הבן או האב בתוך הזמן או שאמר האב אין רצוני שתשמשני </w:t>
      </w:r>
      <w:r w:rsidR="00A82951">
        <w:rPr>
          <w:rFonts w:cs="Arial"/>
          <w:rtl/>
        </w:rPr>
        <w:t>-</w:t>
      </w:r>
      <w:r>
        <w:rPr>
          <w:rFonts w:cs="Arial"/>
          <w:rtl/>
        </w:rPr>
        <w:t xml:space="preserve"> אינו גט, שהרי לא נתקיים התנאי. וכן כל כיוצא בזה</w:t>
      </w:r>
      <w:r>
        <w:rPr>
          <w:rFonts w:cs="Arial"/>
          <w:sz w:val="16"/>
          <w:szCs w:val="16"/>
          <w:rtl/>
        </w:rPr>
        <w:t xml:space="preserve"> (ל' הרמב"ם)</w:t>
      </w:r>
      <w:r>
        <w:rPr>
          <w:rFonts w:cs="Arial"/>
          <w:rtl/>
        </w:rPr>
        <w:t xml:space="preserve">. </w:t>
      </w:r>
      <w:r>
        <w:rPr>
          <w:color w:val="E36C0A" w:themeColor="accent6" w:themeShade="BF"/>
          <w:rtl/>
        </w:rPr>
        <w:t>(וכ"פ בשו"ע)</w:t>
      </w:r>
    </w:p>
    <w:p w14:paraId="4E6C0A01" w14:textId="4BA9FBFD" w:rsidR="00C97BEF" w:rsidRDefault="00C97BEF" w:rsidP="006A458D">
      <w:pPr>
        <w:pStyle w:val="ab"/>
        <w:numPr>
          <w:ilvl w:val="0"/>
          <w:numId w:val="112"/>
        </w:numPr>
      </w:pPr>
      <w:r>
        <w:rPr>
          <w:rFonts w:cs="Arial"/>
          <w:rtl/>
        </w:rPr>
        <w:t xml:space="preserve">ר"י </w:t>
      </w:r>
      <w:r>
        <w:rPr>
          <w:rFonts w:cs="Arial"/>
          <w:sz w:val="16"/>
          <w:szCs w:val="16"/>
          <w:rtl/>
        </w:rPr>
        <w:t xml:space="preserve">(כ"כ בשמו הרא"ש [סי' י] והטור) </w:t>
      </w:r>
      <w:r>
        <w:rPr>
          <w:rFonts w:cs="Arial"/>
          <w:rtl/>
        </w:rPr>
        <w:t xml:space="preserve">ור"ת </w:t>
      </w:r>
      <w:r>
        <w:rPr>
          <w:rFonts w:cs="Arial"/>
          <w:sz w:val="16"/>
          <w:szCs w:val="16"/>
          <w:rtl/>
        </w:rPr>
        <w:t>(כ"כ בשמו הרא"ש [סי' י])</w:t>
      </w:r>
      <w:r w:rsidR="00A82951">
        <w:rPr>
          <w:rFonts w:cs="Arial"/>
          <w:rtl/>
        </w:rPr>
        <w:t>-</w:t>
      </w:r>
      <w:r>
        <w:rPr>
          <w:rFonts w:cs="Arial"/>
          <w:rtl/>
        </w:rPr>
        <w:t xml:space="preserve"> פירש ע"מ שתשמשי או תניק ב' שנים, מת בתוך הזמן שאין העכבה מצידה, או שאמר האב איני חפץ בשימושך לא מפני שהכעיסתו אלא שהעכבה תלויה בו... </w:t>
      </w:r>
      <w:r w:rsidR="00A82951">
        <w:rPr>
          <w:rFonts w:cs="Arial"/>
          <w:rtl/>
        </w:rPr>
        <w:t>-</w:t>
      </w:r>
      <w:r>
        <w:rPr>
          <w:rFonts w:cs="Arial"/>
          <w:rtl/>
        </w:rPr>
        <w:t xml:space="preserve"> הוא גט כיון שהעכבה אינה מצידה</w:t>
      </w:r>
      <w:r>
        <w:rPr>
          <w:rFonts w:cs="Arial"/>
          <w:sz w:val="16"/>
          <w:szCs w:val="16"/>
          <w:rtl/>
        </w:rPr>
        <w:t xml:space="preserve"> (ל' הטור</w:t>
      </w:r>
      <w:r w:rsidR="00C1431E">
        <w:rPr>
          <w:rFonts w:cs="Arial" w:hint="cs"/>
          <w:sz w:val="16"/>
          <w:szCs w:val="16"/>
          <w:rtl/>
        </w:rPr>
        <w:t xml:space="preserve"> בשם ר"י</w:t>
      </w:r>
      <w:r>
        <w:rPr>
          <w:rFonts w:cs="Arial"/>
          <w:sz w:val="16"/>
          <w:szCs w:val="16"/>
          <w:rtl/>
        </w:rPr>
        <w:t>)</w:t>
      </w:r>
      <w:r>
        <w:rPr>
          <w:rFonts w:cs="Arial"/>
          <w:rtl/>
        </w:rPr>
        <w:t xml:space="preserve">. </w:t>
      </w:r>
      <w:r>
        <w:rPr>
          <w:color w:val="00B0F0"/>
          <w:rtl/>
        </w:rPr>
        <w:t>(וכ"פ הרמ"א)</w:t>
      </w:r>
    </w:p>
    <w:p w14:paraId="21C89E02" w14:textId="7F61DD9A" w:rsidR="00C97BEF" w:rsidRDefault="00C97BEF" w:rsidP="00C97BEF">
      <w:pPr>
        <w:ind w:left="360"/>
        <w:rPr>
          <w:u w:val="dotted"/>
        </w:rPr>
      </w:pPr>
      <w:r>
        <w:rPr>
          <w:u w:val="dotted"/>
          <w:rtl/>
        </w:rPr>
        <w:t xml:space="preserve">ומה הדין אם אמר לה בסתם </w:t>
      </w:r>
      <w:r w:rsidR="00A82951">
        <w:rPr>
          <w:u w:val="dotted"/>
          <w:rtl/>
        </w:rPr>
        <w:t>-</w:t>
      </w:r>
      <w:r>
        <w:rPr>
          <w:u w:val="dotted"/>
          <w:rtl/>
        </w:rPr>
        <w:t xml:space="preserve"> ומת או אינו רוצה לקבל ממנה:</w:t>
      </w:r>
    </w:p>
    <w:p w14:paraId="28627DCE" w14:textId="4F7D9AFA" w:rsidR="00C97BEF" w:rsidRDefault="00C97BEF" w:rsidP="006A458D">
      <w:pPr>
        <w:pStyle w:val="ab"/>
        <w:numPr>
          <w:ilvl w:val="0"/>
          <w:numId w:val="112"/>
        </w:numPr>
      </w:pPr>
      <w:r>
        <w:rPr>
          <w:rFonts w:cs="Arial"/>
          <w:rtl/>
        </w:rPr>
        <w:t xml:space="preserve">רשב"א </w:t>
      </w:r>
      <w:r>
        <w:rPr>
          <w:rFonts w:cs="Arial"/>
          <w:sz w:val="16"/>
          <w:szCs w:val="16"/>
          <w:rtl/>
        </w:rPr>
        <w:t>(עה: ד"ה מתניתין)</w:t>
      </w:r>
      <w:r w:rsidR="00A82951">
        <w:rPr>
          <w:rFonts w:cs="Arial"/>
          <w:rtl/>
        </w:rPr>
        <w:t>-</w:t>
      </w:r>
      <w:r>
        <w:rPr>
          <w:rFonts w:cs="Arial"/>
          <w:rtl/>
        </w:rPr>
        <w:t xml:space="preserve"> משמע לי דעד כאן לא אמרו רבנן דאינו גט אלא כשאומר על מנת שתשמשי את אבא שתי שנים, וכדקתני סיפא, הא באומר על מנת שתשמשי את אבא סתם ולא קבע לה זמן דומיא דרישא, אם אמר אי איפשי שתשמשני שלא בהקפדה </w:t>
      </w:r>
      <w:r w:rsidR="00A82951">
        <w:rPr>
          <w:rFonts w:cs="Arial"/>
          <w:rtl/>
        </w:rPr>
        <w:t>-</w:t>
      </w:r>
      <w:r>
        <w:rPr>
          <w:rFonts w:cs="Arial"/>
          <w:rtl/>
        </w:rPr>
        <w:t xml:space="preserve"> מגורשת, דמשום הרווחה הוא והא לא איצטריך מדלא התנה עליה זמן ידוע. ויש לבעל דין לחלוק, ובתוספתא (פ"ה סוף ה"ז) שנויה במחלוקת, וצריך עיון.</w:t>
      </w:r>
    </w:p>
    <w:p w14:paraId="658121D3"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25FB7B43" w14:textId="77777777" w:rsidR="00C97BEF" w:rsidRDefault="00C97BEF" w:rsidP="00C97BEF">
      <w:pPr>
        <w:rPr>
          <w:rtl/>
        </w:rPr>
      </w:pPr>
      <w:r>
        <w:rPr>
          <w:rFonts w:cs="Arial"/>
          <w:rtl/>
        </w:rPr>
        <w:t xml:space="preserve">התנה עליה שתעשה דבר זה, סתם, הרי זה כמפרש יום אחד, הואיל ולא פירש כמה זמן תעשה. כיצד, אמר לה: הרי זה גיטיך על מנת שתעשי עמי מלאכה על מנת שתשמשי את אבא על מנת שתניקי את בני, אם עשתה עמו מלאכה או אם שמשה את אביו יום אחד, או שהניקה בנו יום אחד, בתוך הזמן שהבן יונק בו והוא בתוך כ"ד חודש, הרי זה גט. </w:t>
      </w:r>
      <w:r>
        <w:rPr>
          <w:rFonts w:cs="Arial"/>
          <w:sz w:val="18"/>
          <w:szCs w:val="18"/>
          <w:rtl/>
        </w:rPr>
        <w:t xml:space="preserve">הגה: וי"א דצריך לשמש האב כל ימי חייו, וצריכה להניק התינוק עד סוף כ"ד חדש. ואם מתו לאחר שהתחילה לקיים התנאי רק יום אחד, הוי גט </w:t>
      </w:r>
      <w:r>
        <w:rPr>
          <w:rFonts w:cs="Arial"/>
          <w:sz w:val="18"/>
          <w:szCs w:val="18"/>
          <w:rtl/>
        </w:rPr>
        <w:lastRenderedPageBreak/>
        <w:t>(רא"ש וטור).</w:t>
      </w:r>
      <w:r>
        <w:rPr>
          <w:rFonts w:cs="Arial"/>
          <w:rtl/>
        </w:rPr>
        <w:t xml:space="preserve"> מת הבן או מת אביו, קודם</w:t>
      </w:r>
      <w:r>
        <w:rPr>
          <w:rStyle w:val="a7"/>
          <w:rFonts w:cs="Arial"/>
          <w:rtl/>
        </w:rPr>
        <w:footnoteReference w:id="2412"/>
      </w:r>
      <w:r>
        <w:rPr>
          <w:rFonts w:cs="Arial"/>
          <w:rtl/>
        </w:rPr>
        <w:t xml:space="preserve"> שתניק או שתשמש, אינו גט</w:t>
      </w:r>
      <w:r>
        <w:rPr>
          <w:rStyle w:val="a7"/>
          <w:rFonts w:cs="Arial"/>
          <w:rtl/>
        </w:rPr>
        <w:footnoteReference w:id="2413"/>
      </w:r>
      <w:r>
        <w:rPr>
          <w:rFonts w:cs="Arial"/>
          <w:rtl/>
        </w:rPr>
        <w:t xml:space="preserve">. אמר לה: על מנת שתניקי את בני או שתשמשי את אבי שתי שנים, הרי זו משלמת הזמן שפירש. מת הבן או האב בתוך הזמן שפירש, או שאמר האב: אין רצוני שתשמשני, אינו גט, שהרי לא נתקיים התנאי, וכן כל כיוצא בזה. </w:t>
      </w:r>
      <w:r>
        <w:rPr>
          <w:rFonts w:cs="Arial"/>
          <w:sz w:val="18"/>
          <w:szCs w:val="18"/>
          <w:rtl/>
        </w:rPr>
        <w:t>[הגה] וי"א דכל שאין העיכוב ממנה, הוי גט (ר"י ור"ת), ונראה לי דאזלינן בכל זה לחומרא.</w:t>
      </w:r>
      <w:r>
        <w:rPr>
          <w:rFonts w:cs="Arial"/>
          <w:rtl/>
        </w:rPr>
        <w:t xml:space="preserve"> </w:t>
      </w:r>
    </w:p>
    <w:p w14:paraId="3BB48A7D" w14:textId="77777777" w:rsidR="00C97BEF" w:rsidRDefault="00C97BEF" w:rsidP="00C97BEF">
      <w:pPr>
        <w:rPr>
          <w:rtl/>
        </w:rPr>
      </w:pPr>
    </w:p>
    <w:p w14:paraId="1831AC63" w14:textId="7B55D368" w:rsidR="00C97BEF" w:rsidRDefault="00C97BEF" w:rsidP="00C97BEF">
      <w:pPr>
        <w:pStyle w:val="2"/>
        <w:rPr>
          <w:rtl/>
        </w:rPr>
      </w:pPr>
      <w:r>
        <w:rPr>
          <w:rtl/>
        </w:rPr>
        <w:t xml:space="preserve">סעיף ט: אמר לה 'תעשי כך יום אחד' </w:t>
      </w:r>
      <w:r w:rsidR="00A82951">
        <w:rPr>
          <w:rtl/>
        </w:rPr>
        <w:t>-</w:t>
      </w:r>
      <w:r>
        <w:rPr>
          <w:rtl/>
        </w:rPr>
        <w:t xml:space="preserve"> האם אמרינן מקצתו ככולו.</w:t>
      </w:r>
    </w:p>
    <w:p w14:paraId="44AF16AD" w14:textId="77777777" w:rsidR="00C97BEF" w:rsidRDefault="00C97BEF" w:rsidP="00C97BEF">
      <w:pPr>
        <w:rPr>
          <w:rtl/>
        </w:rPr>
      </w:pPr>
      <w:r>
        <w:rPr>
          <w:rtl/>
        </w:rPr>
        <w:t>עיין במקורות בסעיף הקודם.</w:t>
      </w:r>
    </w:p>
    <w:p w14:paraId="0C05B3FB"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1D66273" w14:textId="77777777" w:rsidR="00C97BEF" w:rsidRDefault="00C97BEF" w:rsidP="00C97BEF">
      <w:pPr>
        <w:rPr>
          <w:rtl/>
        </w:rPr>
      </w:pPr>
      <w:r>
        <w:rPr>
          <w:rFonts w:cs="Arial"/>
          <w:rtl/>
        </w:rPr>
        <w:t xml:space="preserve">יש אומרים דכי אמרינן דהניקה או שמשה יום אחד הוי גט, לאו דוקא יום אחד, דאפילו בשעה אחת סגי. ויש מי שאומר דיום אחד דוקא, כליל שבת ויומו. </w:t>
      </w:r>
    </w:p>
    <w:p w14:paraId="288BAD72" w14:textId="77777777" w:rsidR="00C97BEF" w:rsidRDefault="00C97BEF" w:rsidP="00C97BEF">
      <w:pPr>
        <w:rPr>
          <w:rtl/>
        </w:rPr>
      </w:pPr>
    </w:p>
    <w:p w14:paraId="1189B5D3" w14:textId="77777777" w:rsidR="00C97BEF" w:rsidRDefault="00C97BEF" w:rsidP="00C97BEF">
      <w:pPr>
        <w:pStyle w:val="2"/>
        <w:rPr>
          <w:rtl/>
        </w:rPr>
      </w:pPr>
      <w:r>
        <w:rPr>
          <w:rtl/>
        </w:rPr>
        <w:t>סעיף י: תנאי אחר תנאי.</w:t>
      </w:r>
    </w:p>
    <w:p w14:paraId="6B111719" w14:textId="668B22B5" w:rsidR="00C97BEF" w:rsidRDefault="00C97BEF" w:rsidP="00C97BEF">
      <w:pPr>
        <w:rPr>
          <w:rtl/>
        </w:rPr>
      </w:pPr>
      <w:r>
        <w:rPr>
          <w:rFonts w:cs="Arial"/>
          <w:b/>
          <w:bCs/>
          <w:rtl/>
        </w:rPr>
        <w:t xml:space="preserve">גיטין </w:t>
      </w:r>
      <w:r>
        <w:rPr>
          <w:rFonts w:cs="Arial"/>
          <w:b/>
          <w:bCs/>
          <w:sz w:val="16"/>
          <w:szCs w:val="16"/>
          <w:rtl/>
        </w:rPr>
        <w:t>(פ' מי שאחזו)</w:t>
      </w:r>
      <w:r>
        <w:rPr>
          <w:rFonts w:cs="Arial"/>
          <w:b/>
          <w:bCs/>
          <w:rtl/>
        </w:rPr>
        <w:t xml:space="preserve"> עו ע"א:</w:t>
      </w:r>
      <w:r>
        <w:rPr>
          <w:rFonts w:cs="Arial"/>
          <w:rtl/>
        </w:rPr>
        <w:t xml:space="preserve"> תנו רבנן: אמר לה בפני שנים הרי זה גיטך על מנת שתשמשי את אבא ב' שנים</w:t>
      </w:r>
      <w:r>
        <w:rPr>
          <w:rStyle w:val="a7"/>
          <w:rFonts w:cs="Arial"/>
          <w:rtl/>
        </w:rPr>
        <w:footnoteReference w:id="2414"/>
      </w:r>
      <w:r>
        <w:rPr>
          <w:rFonts w:cs="Arial"/>
          <w:rtl/>
        </w:rPr>
        <w:t>, וחזר ואמר לה בפני שנים הרי זה גיטך על מנת שתתני לי מאתים זוז</w:t>
      </w:r>
      <w:r>
        <w:rPr>
          <w:rStyle w:val="a7"/>
          <w:rFonts w:cs="Arial"/>
          <w:rtl/>
        </w:rPr>
        <w:footnoteReference w:id="2415"/>
      </w:r>
      <w:r>
        <w:rPr>
          <w:rFonts w:cs="Arial"/>
          <w:rtl/>
        </w:rPr>
        <w:t xml:space="preserve"> </w:t>
      </w:r>
      <w:r w:rsidR="00A82951">
        <w:rPr>
          <w:rFonts w:cs="Arial"/>
          <w:rtl/>
        </w:rPr>
        <w:t>-</w:t>
      </w:r>
      <w:r>
        <w:rPr>
          <w:rFonts w:cs="Arial"/>
          <w:rtl/>
        </w:rPr>
        <w:t xml:space="preserve"> לא ביטל דברי האחרון את הראשון</w:t>
      </w:r>
      <w:r>
        <w:rPr>
          <w:rStyle w:val="a7"/>
          <w:rFonts w:cs="Arial"/>
          <w:rtl/>
        </w:rPr>
        <w:footnoteReference w:id="2416"/>
      </w:r>
      <w:r>
        <w:rPr>
          <w:rFonts w:cs="Arial"/>
          <w:rtl/>
        </w:rPr>
        <w:t xml:space="preserve">, רצתה </w:t>
      </w:r>
      <w:r w:rsidR="00A82951">
        <w:rPr>
          <w:rFonts w:cs="Arial"/>
          <w:rtl/>
        </w:rPr>
        <w:t>-</w:t>
      </w:r>
      <w:r>
        <w:rPr>
          <w:rFonts w:cs="Arial"/>
          <w:rtl/>
        </w:rPr>
        <w:t xml:space="preserve"> משמשתו, רצתה </w:t>
      </w:r>
      <w:r w:rsidR="00A82951">
        <w:rPr>
          <w:rFonts w:cs="Arial"/>
          <w:rtl/>
        </w:rPr>
        <w:t>-</w:t>
      </w:r>
      <w:r>
        <w:rPr>
          <w:rFonts w:cs="Arial"/>
          <w:rtl/>
        </w:rPr>
        <w:t xml:space="preserve"> נותנת לו מאתים זוז. אבל אמר לה בפני שנים הרי זה גיטך ע"מ שתתני לי מאתים זוז, וחזר ואמר לה בפני שנים הרי זה גיטך על מנת שתתני לי ג' מאות זוז</w:t>
      </w:r>
      <w:r>
        <w:rPr>
          <w:rStyle w:val="a7"/>
          <w:rFonts w:cs="Arial"/>
          <w:rtl/>
        </w:rPr>
        <w:footnoteReference w:id="2417"/>
      </w:r>
      <w:r>
        <w:rPr>
          <w:rFonts w:cs="Arial"/>
          <w:rtl/>
        </w:rPr>
        <w:t xml:space="preserve"> </w:t>
      </w:r>
      <w:r w:rsidR="00A82951">
        <w:rPr>
          <w:rFonts w:cs="Arial"/>
          <w:rtl/>
        </w:rPr>
        <w:t>-</w:t>
      </w:r>
      <w:r>
        <w:rPr>
          <w:rFonts w:cs="Arial"/>
          <w:rtl/>
        </w:rPr>
        <w:t xml:space="preserve"> ביטל דברי האחרון את הראשון</w:t>
      </w:r>
      <w:r w:rsidR="005E12DB">
        <w:rPr>
          <w:rFonts w:cs="Arial" w:hint="cs"/>
          <w:rtl/>
        </w:rPr>
        <w:t>.</w:t>
      </w:r>
      <w:r>
        <w:rPr>
          <w:rFonts w:cs="Arial"/>
          <w:rtl/>
        </w:rPr>
        <w:t xml:space="preserve"> ואין אחד מן הראשונים ואחד מן האחרונים מצטרפין</w:t>
      </w:r>
      <w:r>
        <w:rPr>
          <w:rStyle w:val="a7"/>
          <w:rFonts w:cs="Arial"/>
          <w:rtl/>
        </w:rPr>
        <w:footnoteReference w:id="2418"/>
      </w:r>
      <w:r>
        <w:rPr>
          <w:rFonts w:cs="Arial"/>
          <w:rtl/>
        </w:rPr>
        <w:t>. אהייא? אילימא אסיפא</w:t>
      </w:r>
      <w:r>
        <w:rPr>
          <w:rStyle w:val="a7"/>
          <w:rFonts w:cs="Arial"/>
          <w:rtl/>
        </w:rPr>
        <w:footnoteReference w:id="2419"/>
      </w:r>
      <w:r>
        <w:rPr>
          <w:rFonts w:cs="Arial"/>
          <w:rtl/>
        </w:rPr>
        <w:t>, הרי בטל! אלא ארישא</w:t>
      </w:r>
      <w:r>
        <w:rPr>
          <w:rStyle w:val="a7"/>
          <w:rFonts w:cs="Arial"/>
          <w:rtl/>
        </w:rPr>
        <w:footnoteReference w:id="2420"/>
      </w:r>
      <w:r>
        <w:rPr>
          <w:rFonts w:cs="Arial"/>
          <w:rtl/>
        </w:rPr>
        <w:t>, פשיטא! מהו דתימא</w:t>
      </w:r>
      <w:r>
        <w:rPr>
          <w:rStyle w:val="a7"/>
          <w:rFonts w:cs="Arial"/>
          <w:rtl/>
        </w:rPr>
        <w:footnoteReference w:id="2421"/>
      </w:r>
      <w:r>
        <w:rPr>
          <w:rFonts w:cs="Arial"/>
          <w:rtl/>
        </w:rPr>
        <w:t xml:space="preserve"> כל לקיומא תנאי מצטרפין, קמ"ל.</w:t>
      </w:r>
      <w:r>
        <w:rPr>
          <w:rFonts w:cs="Arial"/>
          <w:sz w:val="16"/>
          <w:szCs w:val="16"/>
          <w:rtl/>
        </w:rPr>
        <w:t xml:space="preserve"> (כך פירש רש"י. אך הרמב"ן (עו.) פי' נתן לה בתחלה על תנאי, וחזר אח"כ ואמר לה בפני שנים אחרים אותו הגט שבידך הרי את מגורשת בו על תנאי אחר </w:t>
      </w:r>
      <w:r w:rsidR="00A82951">
        <w:rPr>
          <w:rFonts w:cs="Arial"/>
          <w:sz w:val="16"/>
          <w:szCs w:val="16"/>
          <w:rtl/>
        </w:rPr>
        <w:t>-</w:t>
      </w:r>
      <w:r>
        <w:rPr>
          <w:rFonts w:cs="Arial"/>
          <w:sz w:val="16"/>
          <w:szCs w:val="16"/>
          <w:rtl/>
        </w:rPr>
        <w:t xml:space="preserve"> לא בטלו דבריו האחרונים את הראשונים וכו' שלא בא להוסיף, מדלא אמר שתתני מאתים זוז מוסף על תנאי הראשון. ולעקור נמי לא בא, מדלא ביטל תנאו הראשון בפני אלו האחרונים. הלכך ברצונה הדבר תלוי, שהרי נתרצו שניהם שיהא גט מנתינה ראשונה על תנאי ראשון או מנטילה שניה על תנאי שני, שכיון שאינה מקיימת התנאי הראשון נמצא הגט לבעל ומתגרשת בתנאי שני מאמירה שניה... וסיפא דקתני בטלו דבריו האחרונים את הראשונים ה"נ הוא, דכיון דאמר לה הרי הוא גיטך ע"מ ליתן לי ג' מאות זוז וקבלה עליה הרי בטלו שניהם תנאן הראשון ולעולם אינו מתקיים אחר בטולו ואע"פ שנותנת לו מאתים לא קיימה התנאי שהרי בטלוהו, הילכך מתגרשת מנתינה זו על תנאי זה השני, ואי ס"ל להאי תנא דאומר ע"מ לאו כאומר מעכשיו דמי אתיא מילתא כפשטה דאיהו מתני ומבטל אכנפשיה. עכ"ל הרמב"ן)</w:t>
      </w:r>
    </w:p>
    <w:p w14:paraId="09B003CF" w14:textId="1950ACF4" w:rsidR="00C97BEF" w:rsidRDefault="00C97BEF" w:rsidP="00C97BEF">
      <w:pPr>
        <w:rPr>
          <w:rtl/>
        </w:rPr>
      </w:pPr>
      <w:r>
        <w:rPr>
          <w:rFonts w:cs="Arial"/>
          <w:b/>
          <w:bCs/>
          <w:rtl/>
        </w:rPr>
        <w:t>תוספתא גיטין פ"ד ה"ט</w:t>
      </w:r>
      <w:r w:rsidR="00A82951">
        <w:rPr>
          <w:rFonts w:cs="Arial"/>
          <w:b/>
          <w:bCs/>
          <w:rtl/>
        </w:rPr>
        <w:t>-</w:t>
      </w:r>
      <w:r>
        <w:rPr>
          <w:rFonts w:cs="Arial"/>
          <w:b/>
          <w:bCs/>
          <w:rtl/>
        </w:rPr>
        <w:t>י:</w:t>
      </w:r>
      <w:r>
        <w:rPr>
          <w:rFonts w:cs="Arial"/>
          <w:rtl/>
        </w:rPr>
        <w:t xml:space="preserve"> אמר לשנים</w:t>
      </w:r>
      <w:r w:rsidR="00E7486F">
        <w:rPr>
          <w:rFonts w:cs="Arial" w:hint="cs"/>
          <w:rtl/>
        </w:rPr>
        <w:t>:</w:t>
      </w:r>
      <w:r>
        <w:rPr>
          <w:rFonts w:cs="Arial"/>
          <w:rtl/>
        </w:rPr>
        <w:t xml:space="preserve"> תנו גט לאשתי על מנת שתמתין לי שתי שנים, וחזר ואמר לשנים</w:t>
      </w:r>
      <w:r w:rsidR="00E7486F">
        <w:rPr>
          <w:rFonts w:cs="Arial" w:hint="cs"/>
          <w:rtl/>
        </w:rPr>
        <w:t>:</w:t>
      </w:r>
      <w:r>
        <w:rPr>
          <w:rFonts w:cs="Arial"/>
          <w:rtl/>
        </w:rPr>
        <w:t xml:space="preserve"> תנו גט לאשתי על מנת שתתן לי מאתים זוז </w:t>
      </w:r>
      <w:r w:rsidR="00A82951">
        <w:rPr>
          <w:rFonts w:cs="Arial"/>
          <w:rtl/>
        </w:rPr>
        <w:t>-</w:t>
      </w:r>
      <w:r>
        <w:rPr>
          <w:rFonts w:cs="Arial"/>
          <w:rtl/>
        </w:rPr>
        <w:t xml:space="preserve"> לא בטלו דבריו האחרנים את הראשונים, אלא הרשות בידה, רצת תמתין רצת תתן. אמר לשנים</w:t>
      </w:r>
      <w:r w:rsidR="00E7486F">
        <w:rPr>
          <w:rFonts w:cs="Arial" w:hint="cs"/>
          <w:rtl/>
        </w:rPr>
        <w:t>:</w:t>
      </w:r>
      <w:r>
        <w:rPr>
          <w:rFonts w:cs="Arial"/>
          <w:rtl/>
        </w:rPr>
        <w:t xml:space="preserve"> תנו גט לאשתי על מנת שתמתין לי שתי שנים, וחזר ואמר לשנים תנו גט לאשתי על מנת שתמתין </w:t>
      </w:r>
      <w:r>
        <w:rPr>
          <w:rFonts w:cs="Arial"/>
          <w:rtl/>
        </w:rPr>
        <w:lastRenderedPageBreak/>
        <w:t xml:space="preserve">לי שלש שנים </w:t>
      </w:r>
      <w:r w:rsidR="00A82951">
        <w:rPr>
          <w:rFonts w:cs="Arial"/>
          <w:rtl/>
        </w:rPr>
        <w:t>-</w:t>
      </w:r>
      <w:r>
        <w:rPr>
          <w:rFonts w:cs="Arial"/>
          <w:rtl/>
        </w:rPr>
        <w:t xml:space="preserve"> בטלו דבריו האחרונים את הראשונים</w:t>
      </w:r>
      <w:r w:rsidR="00E7486F">
        <w:rPr>
          <w:rFonts w:cs="Arial" w:hint="cs"/>
          <w:rtl/>
        </w:rPr>
        <w:t>.</w:t>
      </w:r>
      <w:r>
        <w:rPr>
          <w:rFonts w:cs="Arial"/>
          <w:rtl/>
        </w:rPr>
        <w:t xml:space="preserve"> ואין אחד מן הראשונים ואחד מן האחרונים מצטרפין לתת לה גיטה</w:t>
      </w:r>
      <w:r>
        <w:rPr>
          <w:rtl/>
        </w:rPr>
        <w:t xml:space="preserve">. </w:t>
      </w:r>
      <w:r>
        <w:rPr>
          <w:sz w:val="16"/>
          <w:szCs w:val="16"/>
          <w:rtl/>
        </w:rPr>
        <w:t>(ועיין לקמן (בהערה על דברי רש"י) שהרמב"ן כתב שמתוספתא זו נראה כפירוש רש"י, ועיי"ש שפירש את דברי רש"י)</w:t>
      </w:r>
    </w:p>
    <w:p w14:paraId="408EDB10" w14:textId="7500BDCE" w:rsidR="00C97BEF" w:rsidRDefault="00C97BEF" w:rsidP="00C97BEF">
      <w:pPr>
        <w:rPr>
          <w:rFonts w:cs="Arial"/>
          <w:rtl/>
        </w:rPr>
      </w:pPr>
      <w:r>
        <w:rPr>
          <w:rFonts w:cs="Arial"/>
          <w:u w:val="single"/>
          <w:rtl/>
        </w:rPr>
        <w:t xml:space="preserve">'אמר לה בפני שנים הרי זה גיטך...' </w:t>
      </w:r>
      <w:r w:rsidR="00A82951">
        <w:rPr>
          <w:rFonts w:cs="Arial"/>
          <w:u w:val="single"/>
          <w:rtl/>
        </w:rPr>
        <w:t>-</w:t>
      </w:r>
      <w:r>
        <w:rPr>
          <w:rFonts w:cs="Arial"/>
          <w:u w:val="single"/>
          <w:rtl/>
        </w:rPr>
        <w:t xml:space="preserve"> מתי מדובר שנתן לה את הגט:</w:t>
      </w:r>
      <w:r>
        <w:rPr>
          <w:rFonts w:cs="Arial"/>
          <w:rtl/>
        </w:rPr>
        <w:t xml:space="preserve"> </w:t>
      </w:r>
    </w:p>
    <w:p w14:paraId="4376DDDD" w14:textId="79086F8F" w:rsidR="00C97BEF" w:rsidRDefault="00C97BEF" w:rsidP="006A458D">
      <w:pPr>
        <w:pStyle w:val="ab"/>
        <w:numPr>
          <w:ilvl w:val="0"/>
          <w:numId w:val="112"/>
        </w:numPr>
        <w:rPr>
          <w:rFonts w:cs="Arial"/>
          <w:rtl/>
        </w:rPr>
      </w:pPr>
      <w:r>
        <w:rPr>
          <w:rFonts w:cs="Arial"/>
          <w:rtl/>
        </w:rPr>
        <w:t>רש"י</w:t>
      </w:r>
      <w:r>
        <w:rPr>
          <w:rStyle w:val="a7"/>
          <w:rFonts w:cs="Arial"/>
          <w:rtl/>
        </w:rPr>
        <w:footnoteReference w:id="2422"/>
      </w:r>
      <w:r>
        <w:rPr>
          <w:rFonts w:cs="Arial"/>
          <w:rtl/>
        </w:rPr>
        <w:t xml:space="preserve"> </w:t>
      </w:r>
      <w:r>
        <w:rPr>
          <w:rFonts w:cs="Arial"/>
          <w:sz w:val="16"/>
          <w:szCs w:val="16"/>
          <w:rtl/>
        </w:rPr>
        <w:t>(כן פירש הרמב"ן את דבריו, והביאו הר"ן)</w:t>
      </w:r>
      <w:r>
        <w:rPr>
          <w:rFonts w:cs="Arial"/>
          <w:rtl/>
        </w:rPr>
        <w:t xml:space="preserve"> טור</w:t>
      </w:r>
      <w:r>
        <w:rPr>
          <w:rStyle w:val="a7"/>
          <w:rFonts w:cs="Arial"/>
          <w:rtl/>
        </w:rPr>
        <w:footnoteReference w:id="2423"/>
      </w:r>
      <w:r>
        <w:rPr>
          <w:rFonts w:cs="Arial"/>
          <w:rtl/>
        </w:rPr>
        <w:t xml:space="preserve"> ור"ן</w:t>
      </w:r>
      <w:r>
        <w:rPr>
          <w:rFonts w:cs="Arial"/>
          <w:sz w:val="16"/>
          <w:szCs w:val="16"/>
          <w:rtl/>
        </w:rPr>
        <w:t xml:space="preserve"> (לז: ד"ה ת"ר אמר לה)</w:t>
      </w:r>
      <w:r w:rsidR="00A82951">
        <w:rPr>
          <w:rFonts w:cs="Arial"/>
          <w:rtl/>
        </w:rPr>
        <w:t>-</w:t>
      </w:r>
      <w:r>
        <w:rPr>
          <w:rFonts w:cs="Arial"/>
          <w:rtl/>
        </w:rPr>
        <w:t xml:space="preserve"> אמר בפני שנים הראשונים ע"מ כן אתן לה ולא מסר לה, וכן בפני האחרונים ולא מסר לה, וכשמסר לה לאחר כן מסרו לה בפני כולם סתם, ועל תנאים הראשונים מסר</w:t>
      </w:r>
      <w:r>
        <w:rPr>
          <w:rFonts w:cs="Arial"/>
          <w:sz w:val="16"/>
          <w:szCs w:val="16"/>
          <w:rtl/>
        </w:rPr>
        <w:t xml:space="preserve"> (ל' הרמב"ן בשם רש"י)</w:t>
      </w:r>
      <w:r>
        <w:rPr>
          <w:rFonts w:cs="Arial"/>
          <w:rtl/>
        </w:rPr>
        <w:t xml:space="preserve">. </w:t>
      </w:r>
      <w:r>
        <w:rPr>
          <w:color w:val="00B0F0"/>
          <w:rtl/>
        </w:rPr>
        <w:t>(וכ"כ הרמ"א)</w:t>
      </w:r>
    </w:p>
    <w:p w14:paraId="422A3416" w14:textId="11563A12" w:rsidR="00C97BEF" w:rsidRDefault="00C97BEF" w:rsidP="006A458D">
      <w:pPr>
        <w:pStyle w:val="ab"/>
        <w:numPr>
          <w:ilvl w:val="0"/>
          <w:numId w:val="112"/>
        </w:numPr>
        <w:rPr>
          <w:rFonts w:cs="Arial"/>
        </w:rPr>
      </w:pPr>
      <w:r>
        <w:rPr>
          <w:rFonts w:cs="Arial"/>
          <w:rtl/>
        </w:rPr>
        <w:t>רמב"ן</w:t>
      </w:r>
      <w:r>
        <w:rPr>
          <w:rFonts w:cs="Arial"/>
          <w:sz w:val="16"/>
          <w:szCs w:val="16"/>
          <w:rtl/>
        </w:rPr>
        <w:t xml:space="preserve"> (עו., והביאו הר"ן [שם] בשם </w:t>
      </w:r>
      <w:r w:rsidR="00E7486F">
        <w:rPr>
          <w:rFonts w:cs="Arial" w:hint="cs"/>
          <w:sz w:val="16"/>
          <w:szCs w:val="16"/>
          <w:rtl/>
        </w:rPr>
        <w:t>"</w:t>
      </w:r>
      <w:r>
        <w:rPr>
          <w:rFonts w:cs="Arial"/>
          <w:sz w:val="16"/>
          <w:szCs w:val="16"/>
          <w:rtl/>
        </w:rPr>
        <w:t>אחרים פירשו</w:t>
      </w:r>
      <w:r w:rsidR="00E7486F">
        <w:rPr>
          <w:rFonts w:cs="Arial" w:hint="cs"/>
          <w:sz w:val="16"/>
          <w:szCs w:val="16"/>
          <w:rtl/>
        </w:rPr>
        <w:t>"</w:t>
      </w:r>
      <w:r>
        <w:rPr>
          <w:rFonts w:cs="Arial"/>
          <w:sz w:val="16"/>
          <w:szCs w:val="16"/>
          <w:rtl/>
        </w:rPr>
        <w:t>)</w:t>
      </w:r>
      <w:r w:rsidR="00A82951">
        <w:rPr>
          <w:rFonts w:cs="Arial"/>
          <w:rtl/>
        </w:rPr>
        <w:t>-</w:t>
      </w:r>
      <w:r>
        <w:rPr>
          <w:rFonts w:cs="Arial"/>
          <w:rtl/>
        </w:rPr>
        <w:t xml:space="preserve"> הכא בשנתן לה גיטה ואמר לה על מנת שתשמשי את אבא שתי שנים, ואח"כ אמר על מנת שתתני לי מאתים זוז, וכה"ג לא ביטל אלא רצתה משמשתו רצתה נותנת לו מאתים זוז, שכיון שלא קיימה תנאי ראשון נמצא הגט לבעל ומתגרשת בתנאי שני מאמירה שנייה. וסיפא דקתני ביטלו דבריו האחרונים את הראשונים הכי נמי הוא, דכיון דאמר הרי זה גיטך על מנת שתתני לי שלש מאות זוז וקיבלה עליה הרי ביטלו שניהם תנאי ראשון. וכיון שהסכימו שניהם לבטלו אפילו נתקיים אינו כלום ומתגרשת מנתינה זו על תנאי זה השני</w:t>
      </w:r>
      <w:r>
        <w:rPr>
          <w:rStyle w:val="a7"/>
          <w:rFonts w:cs="Arial"/>
          <w:rtl/>
        </w:rPr>
        <w:footnoteReference w:id="2424"/>
      </w:r>
      <w:r>
        <w:rPr>
          <w:rFonts w:cs="Arial"/>
          <w:sz w:val="16"/>
          <w:szCs w:val="16"/>
          <w:rtl/>
        </w:rPr>
        <w:t xml:space="preserve"> (ל' הר"ן בשמו)</w:t>
      </w:r>
      <w:r>
        <w:rPr>
          <w:rFonts w:cs="Arial"/>
          <w:rtl/>
        </w:rPr>
        <w:t xml:space="preserve">. </w:t>
      </w:r>
    </w:p>
    <w:p w14:paraId="681D10CC" w14:textId="6334F4A8" w:rsidR="00C97BEF" w:rsidRDefault="00C97BEF" w:rsidP="006A458D">
      <w:pPr>
        <w:pStyle w:val="ab"/>
        <w:numPr>
          <w:ilvl w:val="0"/>
          <w:numId w:val="112"/>
        </w:numPr>
        <w:rPr>
          <w:rtl/>
        </w:rPr>
      </w:pPr>
      <w:r>
        <w:rPr>
          <w:rFonts w:cs="Arial"/>
          <w:rtl/>
        </w:rPr>
        <w:t xml:space="preserve">רמב"ם </w:t>
      </w:r>
      <w:r>
        <w:rPr>
          <w:rFonts w:cs="Arial"/>
          <w:sz w:val="16"/>
          <w:szCs w:val="16"/>
          <w:rtl/>
        </w:rPr>
        <w:t>(פ"ח הי"ח)</w:t>
      </w:r>
      <w:r w:rsidR="00A82951">
        <w:rPr>
          <w:rFonts w:cs="Arial"/>
          <w:rtl/>
        </w:rPr>
        <w:t>-</w:t>
      </w:r>
      <w:r>
        <w:rPr>
          <w:rFonts w:cs="Arial"/>
          <w:rtl/>
        </w:rPr>
        <w:t xml:space="preserve"> הנותן</w:t>
      </w:r>
      <w:r>
        <w:rPr>
          <w:rStyle w:val="a7"/>
          <w:rFonts w:cs="Arial"/>
          <w:rtl/>
        </w:rPr>
        <w:footnoteReference w:id="2425"/>
      </w:r>
      <w:r>
        <w:rPr>
          <w:rFonts w:cs="Arial"/>
          <w:rtl/>
        </w:rPr>
        <w:t xml:space="preserve"> גט לאשתו על תנאי שתתן לו מאתים זוז, וחזר והתנה עליה תנאי אחר בפני עדים שתשמש את אביו שתי שנים </w:t>
      </w:r>
      <w:r w:rsidR="00A82951">
        <w:rPr>
          <w:rFonts w:cs="Arial"/>
          <w:rtl/>
        </w:rPr>
        <w:t>-</w:t>
      </w:r>
      <w:r>
        <w:rPr>
          <w:rFonts w:cs="Arial"/>
          <w:rtl/>
        </w:rPr>
        <w:t xml:space="preserve"> לא ביטלו דבריו האחרונים את הראשונים, אלא הרי זה כאומר לה עשי אחד משני התנאים, רצת משמשת רצת נותנת, ואין אחד מן הראשונים ואחד מן האחרונים מצטרפין. אבל אם התנה עליה שתתן לו מאתים זוז, וחזר והתנה בפני שנים שתתן לו שלש מאות זוז </w:t>
      </w:r>
      <w:r w:rsidR="00A82951">
        <w:rPr>
          <w:rFonts w:cs="Arial"/>
          <w:rtl/>
        </w:rPr>
        <w:t>-</w:t>
      </w:r>
      <w:r>
        <w:rPr>
          <w:rFonts w:cs="Arial"/>
          <w:rtl/>
        </w:rPr>
        <w:t xml:space="preserve"> כבר בטל תנאי של מאתים וצריכה ליתן שלש מאות. וכן כל כיוצא בזה. </w:t>
      </w:r>
      <w:r>
        <w:rPr>
          <w:color w:val="E36C0A" w:themeColor="accent6" w:themeShade="BF"/>
          <w:rtl/>
        </w:rPr>
        <w:t>(וכ"פ בשו"ע)</w:t>
      </w:r>
    </w:p>
    <w:p w14:paraId="3E1A5606" w14:textId="77777777" w:rsidR="00C97BEF" w:rsidRDefault="00C97BEF" w:rsidP="00C97BEF">
      <w:pPr>
        <w:ind w:left="360"/>
      </w:pPr>
      <w:r>
        <w:rPr>
          <w:u w:val="dotted"/>
          <w:rtl/>
        </w:rPr>
        <w:t>ומה הדין אם אמר תנאי לנתינת הגט, אבל בשעת נתינת הגט אמר תנאי אחר:</w:t>
      </w:r>
      <w:r>
        <w:rPr>
          <w:rtl/>
        </w:rPr>
        <w:t xml:space="preserve"> </w:t>
      </w:r>
    </w:p>
    <w:p w14:paraId="1362FDF2" w14:textId="330FB6FA" w:rsidR="00C97BEF" w:rsidRDefault="00C97BEF" w:rsidP="006A458D">
      <w:pPr>
        <w:pStyle w:val="ab"/>
        <w:numPr>
          <w:ilvl w:val="0"/>
          <w:numId w:val="112"/>
        </w:numPr>
      </w:pPr>
      <w:r>
        <w:rPr>
          <w:rFonts w:cs="Arial"/>
          <w:rtl/>
        </w:rPr>
        <w:t xml:space="preserve">רמב"ן </w:t>
      </w:r>
      <w:r>
        <w:rPr>
          <w:rFonts w:cs="Arial"/>
          <w:sz w:val="16"/>
          <w:szCs w:val="16"/>
          <w:rtl/>
        </w:rPr>
        <w:t>(שם, וכ"כ הה"מ [שם] בשמו)</w:t>
      </w:r>
      <w:r>
        <w:rPr>
          <w:rFonts w:cs="Arial"/>
          <w:rtl/>
        </w:rPr>
        <w:t xml:space="preserve"> ור"ן</w:t>
      </w:r>
      <w:r>
        <w:rPr>
          <w:rFonts w:cs="Arial"/>
          <w:sz w:val="16"/>
          <w:szCs w:val="16"/>
          <w:rtl/>
        </w:rPr>
        <w:t xml:space="preserve"> (שם)</w:t>
      </w:r>
      <w:r w:rsidR="00A82951">
        <w:rPr>
          <w:rFonts w:cs="Arial"/>
          <w:rtl/>
        </w:rPr>
        <w:t>-</w:t>
      </w:r>
      <w:r>
        <w:rPr>
          <w:rFonts w:cs="Arial"/>
          <w:rtl/>
        </w:rPr>
        <w:t xml:space="preserve"> אם אמר כשאתן גט לאשתי ע"מ כן אתננו לה, ובשעת מעשה נתן על תנאי אחר </w:t>
      </w:r>
      <w:r w:rsidR="00A82951">
        <w:rPr>
          <w:rFonts w:cs="Arial"/>
          <w:rtl/>
        </w:rPr>
        <w:t>-</w:t>
      </w:r>
      <w:r>
        <w:rPr>
          <w:rFonts w:cs="Arial"/>
          <w:rtl/>
        </w:rPr>
        <w:t xml:space="preserve"> דבריו הראשונים אינם כלום, שהרי לא התנה עמה. ואפי' אמר לה מתחלה בפני שנים ע"מ כן אתן ליך גט, ובשעת מעשה התנה תנאי אחר </w:t>
      </w:r>
      <w:r w:rsidR="00A82951">
        <w:rPr>
          <w:rFonts w:cs="Arial"/>
          <w:rtl/>
        </w:rPr>
        <w:t>-</w:t>
      </w:r>
      <w:r>
        <w:rPr>
          <w:rFonts w:cs="Arial"/>
          <w:rtl/>
        </w:rPr>
        <w:t xml:space="preserve"> בטלו דבריו הראשונים</w:t>
      </w:r>
      <w:r>
        <w:rPr>
          <w:rFonts w:cs="Arial"/>
          <w:sz w:val="16"/>
          <w:szCs w:val="16"/>
          <w:rtl/>
        </w:rPr>
        <w:t xml:space="preserve"> (ל' הרמב"ן)</w:t>
      </w:r>
      <w:r>
        <w:rPr>
          <w:rFonts w:cs="Arial"/>
          <w:rtl/>
        </w:rPr>
        <w:t>.</w:t>
      </w:r>
      <w:r>
        <w:rPr>
          <w:rtl/>
        </w:rPr>
        <w:t xml:space="preserve"> </w:t>
      </w:r>
      <w:r>
        <w:rPr>
          <w:color w:val="00B0F0"/>
          <w:rtl/>
        </w:rPr>
        <w:t>(וכ"כ הרמ"א)</w:t>
      </w:r>
    </w:p>
    <w:p w14:paraId="57B4F79E" w14:textId="77777777" w:rsidR="00C97BEF" w:rsidRDefault="00C97BEF" w:rsidP="00C97BEF">
      <w:pPr>
        <w:ind w:left="360"/>
        <w:rPr>
          <w:u w:val="dotted"/>
        </w:rPr>
      </w:pPr>
      <w:r>
        <w:rPr>
          <w:u w:val="dotted"/>
          <w:rtl/>
        </w:rPr>
        <w:t>ומה הדין אם התנה בתחילה על שלש מאות זוז, ואח"כ התנה על מאתים זוז:</w:t>
      </w:r>
    </w:p>
    <w:p w14:paraId="548C45E8" w14:textId="70292DBE" w:rsidR="00C97BEF" w:rsidRDefault="00C97BEF" w:rsidP="006A458D">
      <w:pPr>
        <w:pStyle w:val="ab"/>
        <w:numPr>
          <w:ilvl w:val="0"/>
          <w:numId w:val="112"/>
        </w:numPr>
      </w:pPr>
      <w:r>
        <w:rPr>
          <w:rFonts w:cs="Arial"/>
          <w:rtl/>
        </w:rPr>
        <w:t xml:space="preserve">רמ"ה </w:t>
      </w:r>
      <w:r>
        <w:rPr>
          <w:rFonts w:cs="Arial"/>
          <w:sz w:val="16"/>
          <w:szCs w:val="16"/>
          <w:rtl/>
        </w:rPr>
        <w:t>(שיטות קדמונים גיטין עו. ד"ה רצתה משמשתו, כ"כ הטור בשמו)</w:t>
      </w:r>
      <w:r w:rsidR="00A82951">
        <w:rPr>
          <w:rFonts w:cs="Arial"/>
          <w:rtl/>
        </w:rPr>
        <w:t>-</w:t>
      </w:r>
      <w:r>
        <w:rPr>
          <w:rFonts w:cs="Arial"/>
          <w:rtl/>
        </w:rPr>
        <w:t xml:space="preserve"> ה"ה איפכא שאמר תחילה ג' מאות זוז ואח"כ אמר מאתים</w:t>
      </w:r>
      <w:r>
        <w:rPr>
          <w:rStyle w:val="a7"/>
          <w:rFonts w:cs="Arial"/>
          <w:rtl/>
        </w:rPr>
        <w:footnoteReference w:id="2426"/>
      </w:r>
      <w:r>
        <w:rPr>
          <w:rFonts w:cs="Arial"/>
          <w:rtl/>
        </w:rPr>
        <w:t>.</w:t>
      </w:r>
    </w:p>
    <w:p w14:paraId="2462C97F"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CD8DC68" w14:textId="77777777" w:rsidR="00C97BEF" w:rsidRDefault="00C97BEF" w:rsidP="00C97BEF">
      <w:pPr>
        <w:rPr>
          <w:rFonts w:cs="Arial"/>
          <w:rtl/>
        </w:rPr>
      </w:pPr>
      <w:r>
        <w:rPr>
          <w:rFonts w:cs="Arial"/>
          <w:rtl/>
        </w:rPr>
        <w:lastRenderedPageBreak/>
        <w:t xml:space="preserve">הנותן גט לאשתו על תנאי שתתן לו מאתים זוז, וחזר והתנה עליה תנאי אחר בפני עדים שתשמש אביו שתי שנים, לא ביטלו דבריו האחרונים את הראשונים, אלא הרי זה כאומר לה: עשי אחד משני תנאים, רצה משמשת, רצה נותנת. ואין אחד מהראשונים ואחד מהאחרונים מצטרפים. אבל אם התנה עליה שתתן לו מאתים זוז, וחזר והתנה בפני שנים שתתן לו שלש מאות זוז, כבר ביטל התנאי של מאתים זוז, וצריכה ליתן שלש מאות זוז. וכן כל כיוצא בזה. </w:t>
      </w:r>
      <w:r>
        <w:rPr>
          <w:rFonts w:cs="Arial"/>
          <w:sz w:val="18"/>
          <w:szCs w:val="18"/>
          <w:rtl/>
        </w:rPr>
        <w:t>הגה: וי"א דכל זה דווקא בשלא מסר לה גט לא בתנאי ראשון ולא בתנאי שני, אלא אחר שני התנאים מסר לה הגט בפני עדים הראשונים והאחרונים. אבל מסר לה הגט בשעת תנאי הראשון או השני, אותו תנאי דוקא (ר"ן).</w:t>
      </w:r>
    </w:p>
    <w:p w14:paraId="268C88BB" w14:textId="77777777" w:rsidR="00C97BEF" w:rsidRDefault="00C97BEF" w:rsidP="00C97BEF">
      <w:pPr>
        <w:rPr>
          <w:rtl/>
        </w:rPr>
      </w:pPr>
      <w:r>
        <w:rPr>
          <w:rFonts w:cs="Arial"/>
          <w:rtl/>
        </w:rPr>
        <w:t xml:space="preserve"> </w:t>
      </w:r>
    </w:p>
    <w:p w14:paraId="786626A7" w14:textId="77777777" w:rsidR="00C97BEF" w:rsidRDefault="00C97BEF" w:rsidP="00C97BEF">
      <w:pPr>
        <w:pStyle w:val="2"/>
        <w:rPr>
          <w:rtl/>
        </w:rPr>
      </w:pPr>
      <w:r>
        <w:rPr>
          <w:rtl/>
        </w:rPr>
        <w:t>סעיף יא: על מנת שתחזירי לי הנייר/שהנייר שלי.</w:t>
      </w:r>
    </w:p>
    <w:p w14:paraId="01E5C1C5" w14:textId="2B8865D4" w:rsidR="00C97BEF" w:rsidRDefault="00C97BEF" w:rsidP="00C97BEF">
      <w:pPr>
        <w:rPr>
          <w:rtl/>
        </w:rPr>
      </w:pPr>
      <w:r>
        <w:rPr>
          <w:rFonts w:cs="Arial"/>
          <w:b/>
          <w:bCs/>
          <w:rtl/>
        </w:rPr>
        <w:t xml:space="preserve">גיטין </w:t>
      </w:r>
      <w:r>
        <w:rPr>
          <w:rFonts w:cs="Arial"/>
          <w:b/>
          <w:bCs/>
          <w:sz w:val="16"/>
          <w:szCs w:val="16"/>
          <w:rtl/>
        </w:rPr>
        <w:t>(פ' בכל כותבין)</w:t>
      </w:r>
      <w:r>
        <w:rPr>
          <w:rFonts w:cs="Arial"/>
          <w:b/>
          <w:bCs/>
          <w:rtl/>
        </w:rPr>
        <w:t xml:space="preserve"> כ ע"ב:</w:t>
      </w:r>
      <w:r>
        <w:rPr>
          <w:rFonts w:cs="Arial"/>
          <w:rtl/>
        </w:rPr>
        <w:t xml:space="preserve"> ת"ר: הרי זה גיטך והנייר שלי </w:t>
      </w:r>
      <w:r w:rsidR="00A82951">
        <w:rPr>
          <w:rFonts w:cs="Arial"/>
          <w:rtl/>
        </w:rPr>
        <w:t>-</w:t>
      </w:r>
      <w:r>
        <w:rPr>
          <w:rFonts w:cs="Arial"/>
          <w:rtl/>
        </w:rPr>
        <w:t xml:space="preserve"> אינה מגורשת</w:t>
      </w:r>
      <w:r>
        <w:rPr>
          <w:rStyle w:val="a7"/>
          <w:rFonts w:cs="Arial"/>
          <w:rtl/>
        </w:rPr>
        <w:footnoteReference w:id="2427"/>
      </w:r>
      <w:r>
        <w:rPr>
          <w:rFonts w:cs="Arial"/>
          <w:rtl/>
        </w:rPr>
        <w:t xml:space="preserve">, על מנת שתחזירי לי את הנייר </w:t>
      </w:r>
      <w:r w:rsidR="00A82951">
        <w:rPr>
          <w:rFonts w:cs="Arial"/>
          <w:rtl/>
        </w:rPr>
        <w:t>-</w:t>
      </w:r>
      <w:r>
        <w:rPr>
          <w:rFonts w:cs="Arial"/>
          <w:rtl/>
        </w:rPr>
        <w:t xml:space="preserve"> הרי זו מגורשת</w:t>
      </w:r>
      <w:r>
        <w:rPr>
          <w:rStyle w:val="a7"/>
          <w:rFonts w:cs="Arial"/>
          <w:rtl/>
        </w:rPr>
        <w:footnoteReference w:id="2428"/>
      </w:r>
      <w:r>
        <w:rPr>
          <w:rFonts w:cs="Arial"/>
          <w:rtl/>
        </w:rPr>
        <w:t xml:space="preserve">. </w:t>
      </w:r>
      <w:r>
        <w:rPr>
          <w:rFonts w:cs="Arial"/>
          <w:u w:val="single"/>
          <w:rtl/>
        </w:rPr>
        <w:t>בעי רב פפא</w:t>
      </w:r>
      <w:r>
        <w:rPr>
          <w:rFonts w:cs="Arial"/>
          <w:rtl/>
        </w:rPr>
        <w:t>: בין שיטה לשיטה</w:t>
      </w:r>
      <w:r>
        <w:rPr>
          <w:rStyle w:val="a7"/>
          <w:rFonts w:cs="Arial"/>
          <w:rtl/>
        </w:rPr>
        <w:footnoteReference w:id="2429"/>
      </w:r>
      <w:r>
        <w:rPr>
          <w:rFonts w:cs="Arial"/>
          <w:rtl/>
        </w:rPr>
        <w:t xml:space="preserve"> ובין תיבה לתיבה, מאי? תיקו. ותיפוק ליה, דספר אחד אמר רחמנא </w:t>
      </w:r>
      <w:r w:rsidR="00A82951">
        <w:rPr>
          <w:rFonts w:cs="Arial"/>
          <w:rtl/>
        </w:rPr>
        <w:t>-</w:t>
      </w:r>
      <w:r>
        <w:rPr>
          <w:rFonts w:cs="Arial"/>
          <w:rtl/>
        </w:rPr>
        <w:t xml:space="preserve"> ולא שנים ושלשה ספרים</w:t>
      </w:r>
      <w:r>
        <w:rPr>
          <w:rStyle w:val="a7"/>
          <w:rFonts w:cs="Arial"/>
          <w:rtl/>
        </w:rPr>
        <w:footnoteReference w:id="2430"/>
      </w:r>
      <w:r>
        <w:rPr>
          <w:rFonts w:cs="Arial"/>
          <w:rtl/>
        </w:rPr>
        <w:t>! לא צריכא דמעורה</w:t>
      </w:r>
      <w:r>
        <w:rPr>
          <w:rStyle w:val="a7"/>
          <w:rFonts w:cs="Arial"/>
          <w:rtl/>
        </w:rPr>
        <w:footnoteReference w:id="2431"/>
      </w:r>
      <w:r>
        <w:rPr>
          <w:rFonts w:cs="Arial"/>
          <w:rtl/>
        </w:rPr>
        <w:t>.</w:t>
      </w:r>
    </w:p>
    <w:p w14:paraId="664741A9" w14:textId="77777777" w:rsidR="00C97BEF" w:rsidRDefault="00C97BEF" w:rsidP="00C97BEF">
      <w:pPr>
        <w:rPr>
          <w:u w:val="single"/>
          <w:rtl/>
        </w:rPr>
      </w:pPr>
      <w:r>
        <w:rPr>
          <w:u w:val="single"/>
          <w:rtl/>
        </w:rPr>
        <w:t>אמר לה 'על מנת שתחזירי לי הנייר', או שאמר 'על מנת שהנייר שלי':</w:t>
      </w:r>
    </w:p>
    <w:p w14:paraId="56AED8D9" w14:textId="475C5666"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ה"ז גיטך ע"מ שתחזיר לי הנייר </w:t>
      </w:r>
      <w:r w:rsidR="00A82951">
        <w:rPr>
          <w:rFonts w:cs="Arial"/>
          <w:rtl/>
        </w:rPr>
        <w:t>-</w:t>
      </w:r>
      <w:r>
        <w:rPr>
          <w:rFonts w:cs="Arial"/>
          <w:rtl/>
        </w:rPr>
        <w:t xml:space="preserve"> מגורשת ותקיים תנאה. ה"ז גיטך והנייר שלי </w:t>
      </w:r>
      <w:r w:rsidR="00A82951">
        <w:rPr>
          <w:rFonts w:cs="Arial"/>
          <w:rtl/>
        </w:rPr>
        <w:t>-</w:t>
      </w:r>
      <w:r>
        <w:rPr>
          <w:rFonts w:cs="Arial"/>
          <w:rtl/>
        </w:rPr>
        <w:t xml:space="preserve"> אינה מגורשת</w:t>
      </w:r>
      <w:r>
        <w:rPr>
          <w:rStyle w:val="a7"/>
          <w:rFonts w:cs="Arial"/>
          <w:rtl/>
        </w:rPr>
        <w:footnoteReference w:id="2432"/>
      </w:r>
      <w:r>
        <w:rPr>
          <w:rFonts w:cs="Arial"/>
          <w:rtl/>
        </w:rPr>
        <w:t>, לא שנא אמר על הנייר של עיקר הגט, לא שנא על הנייר שבין השיטות,</w:t>
      </w:r>
      <w:r w:rsidR="00985F02">
        <w:rPr>
          <w:rFonts w:cs="Arial" w:hint="cs"/>
          <w:rtl/>
        </w:rPr>
        <w:t xml:space="preserve"> </w:t>
      </w:r>
      <w:r>
        <w:rPr>
          <w:rFonts w:cs="Arial"/>
          <w:rtl/>
        </w:rPr>
        <w:t xml:space="preserve">ל"ש אם אותיות הגט מעורות ודבוקות זו בזו, לא שנא אם אינן דבוקות זו בזו. </w:t>
      </w:r>
    </w:p>
    <w:p w14:paraId="0CC1CF42"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238C2F7" w14:textId="77777777" w:rsidR="00C97BEF" w:rsidRDefault="00C97BEF" w:rsidP="00C97BEF">
      <w:pPr>
        <w:rPr>
          <w:rtl/>
        </w:rPr>
      </w:pPr>
      <w:r>
        <w:rPr>
          <w:rFonts w:cs="Arial"/>
          <w:rtl/>
        </w:rPr>
        <w:t xml:space="preserve">הרי זה גיטך והנייר שלי, אינה מגורשת, שאין זה כריתות. על מנת שתתני לי את הניר, הרי זו מגורשת, ותתן. </w:t>
      </w:r>
    </w:p>
    <w:p w14:paraId="569C22BE" w14:textId="77777777" w:rsidR="00C97BEF" w:rsidRDefault="00C97BEF" w:rsidP="00C97BEF">
      <w:pPr>
        <w:rPr>
          <w:rtl/>
        </w:rPr>
      </w:pPr>
    </w:p>
    <w:p w14:paraId="3EEDC8E3" w14:textId="77777777" w:rsidR="00C97BEF" w:rsidRDefault="00C97BEF" w:rsidP="00C97BEF">
      <w:pPr>
        <w:pStyle w:val="2"/>
        <w:rPr>
          <w:rtl/>
        </w:rPr>
      </w:pPr>
      <w:r>
        <w:rPr>
          <w:rtl/>
        </w:rPr>
        <w:t>סעיף יב: התנה על דבר שאי אפשר לקיימו.</w:t>
      </w:r>
    </w:p>
    <w:p w14:paraId="43409298" w14:textId="4C5F1A4B" w:rsidR="00C97BEF" w:rsidRDefault="00C97BEF" w:rsidP="00C97BEF">
      <w:pPr>
        <w:rPr>
          <w:rtl/>
        </w:rPr>
      </w:pPr>
      <w:r>
        <w:rPr>
          <w:rFonts w:cs="Arial"/>
          <w:b/>
          <w:bCs/>
          <w:rtl/>
        </w:rPr>
        <w:t xml:space="preserve">גיטין </w:t>
      </w:r>
      <w:r>
        <w:rPr>
          <w:rFonts w:cs="Arial"/>
          <w:b/>
          <w:bCs/>
          <w:sz w:val="16"/>
          <w:szCs w:val="16"/>
          <w:rtl/>
        </w:rPr>
        <w:t>(פ' המגרש)</w:t>
      </w:r>
      <w:r>
        <w:rPr>
          <w:rFonts w:cs="Arial"/>
          <w:b/>
          <w:bCs/>
          <w:rtl/>
        </w:rPr>
        <w:t xml:space="preserve"> פד ע"א: </w:t>
      </w:r>
      <w:r>
        <w:rPr>
          <w:rFonts w:cs="Arial"/>
          <w:rtl/>
        </w:rPr>
        <w:t xml:space="preserve">ת"ר: ה"ז גיטך ע"מ שתעלי לרקיע, ע"מ שתרדי לתהום, ע"מ שתבלעי קנה של ד' אמות, ע"מ שתביאי לי קנה בן ק' אמה, ע"מ שתעברי את הים הגדול ברגליך </w:t>
      </w:r>
      <w:r w:rsidR="00A82951">
        <w:rPr>
          <w:rFonts w:cs="Arial"/>
          <w:rtl/>
        </w:rPr>
        <w:t>-</w:t>
      </w:r>
      <w:r>
        <w:rPr>
          <w:rFonts w:cs="Arial"/>
          <w:rtl/>
        </w:rPr>
        <w:t xml:space="preserve"> אינו גט. </w:t>
      </w:r>
      <w:r>
        <w:rPr>
          <w:rFonts w:cs="Arial"/>
          <w:u w:val="single"/>
          <w:rtl/>
        </w:rPr>
        <w:t>רבי יהודה בן תימא אומר</w:t>
      </w:r>
      <w:r>
        <w:rPr>
          <w:rFonts w:cs="Arial"/>
          <w:rtl/>
        </w:rPr>
        <w:t xml:space="preserve">: כזה גט, כלל אמר ר' יהודה בן תימא: כל תנאי שאי אפשר לו לקיימו בסופו והתנה עליו מתחילתו, אינו אלא כמפליגה בדברים וכשר. </w:t>
      </w:r>
      <w:r>
        <w:rPr>
          <w:rFonts w:cs="Arial"/>
          <w:u w:val="single"/>
          <w:rtl/>
        </w:rPr>
        <w:t>אמר רב נחמן אמר רב</w:t>
      </w:r>
      <w:r>
        <w:rPr>
          <w:rFonts w:cs="Arial"/>
          <w:rtl/>
        </w:rPr>
        <w:t xml:space="preserve">: הלכה כר' יהודה בן תימא. </w:t>
      </w:r>
      <w:r>
        <w:rPr>
          <w:rFonts w:cs="Arial"/>
          <w:u w:val="single"/>
          <w:rtl/>
        </w:rPr>
        <w:t>א"ר נחמן בר יצחק</w:t>
      </w:r>
      <w:r>
        <w:rPr>
          <w:rFonts w:cs="Arial"/>
          <w:rtl/>
        </w:rPr>
        <w:t xml:space="preserve">: מתני' נמי דיקא, דקתני: כל שאפשר לו לקיימו בסופו והתנה עליו בתחילתו </w:t>
      </w:r>
      <w:r w:rsidR="00A82951">
        <w:rPr>
          <w:rFonts w:cs="Arial"/>
          <w:rtl/>
        </w:rPr>
        <w:t>-</w:t>
      </w:r>
      <w:r>
        <w:rPr>
          <w:rFonts w:cs="Arial"/>
          <w:rtl/>
        </w:rPr>
        <w:t xml:space="preserve"> תנאו קיים, הא אי אפשר </w:t>
      </w:r>
      <w:r w:rsidR="00A82951">
        <w:rPr>
          <w:rFonts w:cs="Arial"/>
          <w:rtl/>
        </w:rPr>
        <w:t>-</w:t>
      </w:r>
      <w:r>
        <w:rPr>
          <w:rFonts w:cs="Arial"/>
          <w:rtl/>
        </w:rPr>
        <w:t xml:space="preserve"> תנאו בטל, ש"מ. איבעיא להו: הרי זה גיטיך ע"מ שתאכלי בשר חזיר, מהו? </w:t>
      </w:r>
      <w:r>
        <w:rPr>
          <w:rFonts w:cs="Arial"/>
          <w:u w:val="single"/>
          <w:rtl/>
        </w:rPr>
        <w:t>אמר אביי</w:t>
      </w:r>
      <w:r>
        <w:rPr>
          <w:rFonts w:cs="Arial"/>
          <w:rtl/>
        </w:rPr>
        <w:t xml:space="preserve">: היא היא; </w:t>
      </w:r>
      <w:r>
        <w:rPr>
          <w:rFonts w:cs="Arial"/>
          <w:u w:val="single"/>
          <w:rtl/>
        </w:rPr>
        <w:t>רבא אמר</w:t>
      </w:r>
      <w:r>
        <w:rPr>
          <w:rFonts w:cs="Arial"/>
          <w:rtl/>
        </w:rPr>
        <w:t>: אפשר דאכלה ולקיא</w:t>
      </w:r>
      <w:r>
        <w:rPr>
          <w:rStyle w:val="a7"/>
          <w:rFonts w:cs="Arial"/>
          <w:rtl/>
        </w:rPr>
        <w:footnoteReference w:id="2433"/>
      </w:r>
      <w:r>
        <w:rPr>
          <w:rFonts w:cs="Arial"/>
          <w:rtl/>
        </w:rPr>
        <w:t xml:space="preserve">. לאביי, כלל </w:t>
      </w:r>
      <w:r w:rsidR="00A82951">
        <w:rPr>
          <w:rFonts w:cs="Arial"/>
          <w:rtl/>
        </w:rPr>
        <w:t>-</w:t>
      </w:r>
      <w:r>
        <w:rPr>
          <w:rFonts w:cs="Arial"/>
          <w:rtl/>
        </w:rPr>
        <w:t xml:space="preserve"> לאתויי בשר חזיר; לרבא, כזה </w:t>
      </w:r>
      <w:r w:rsidR="00A82951">
        <w:rPr>
          <w:rFonts w:cs="Arial"/>
          <w:rtl/>
        </w:rPr>
        <w:t>-</w:t>
      </w:r>
      <w:r>
        <w:rPr>
          <w:rFonts w:cs="Arial"/>
          <w:rtl/>
        </w:rPr>
        <w:t xml:space="preserve"> למעוטי בשר חזיר. מיתיבי: הרי זה גיטך ע"מ שתבעלי לפלוני, נתקיים התנאי </w:t>
      </w:r>
      <w:r w:rsidR="00A82951">
        <w:rPr>
          <w:rFonts w:cs="Arial"/>
          <w:rtl/>
        </w:rPr>
        <w:t>-</w:t>
      </w:r>
      <w:r>
        <w:rPr>
          <w:rFonts w:cs="Arial"/>
          <w:rtl/>
        </w:rPr>
        <w:t xml:space="preserve"> הרי זה גט, ואם לאו </w:t>
      </w:r>
      <w:r w:rsidR="00A82951">
        <w:rPr>
          <w:rFonts w:cs="Arial"/>
          <w:rtl/>
        </w:rPr>
        <w:t>-</w:t>
      </w:r>
      <w:r>
        <w:rPr>
          <w:rFonts w:cs="Arial"/>
          <w:rtl/>
        </w:rPr>
        <w:t xml:space="preserve"> אינו גט, על מנת שלא תבעלי לאבא ולאביך </w:t>
      </w:r>
      <w:r w:rsidR="00A82951">
        <w:rPr>
          <w:rFonts w:cs="Arial"/>
          <w:rtl/>
        </w:rPr>
        <w:t>-</w:t>
      </w:r>
      <w:r>
        <w:rPr>
          <w:rFonts w:cs="Arial"/>
          <w:rtl/>
        </w:rPr>
        <w:t xml:space="preserve"> אין חוששין שמא נבעלה להן; ואילו על מנת שתבעלי לאבא ולאביך לא קתני, לאביי ניחא, לרבא קשיא! אמר לך רבא: בשלמא בשר חזיר </w:t>
      </w:r>
      <w:r w:rsidR="00A82951">
        <w:rPr>
          <w:rFonts w:cs="Arial"/>
          <w:rtl/>
        </w:rPr>
        <w:t>-</w:t>
      </w:r>
      <w:r>
        <w:rPr>
          <w:rFonts w:cs="Arial"/>
          <w:rtl/>
        </w:rPr>
        <w:t xml:space="preserve"> אפשר דאכלה ולקיא, פלוני </w:t>
      </w:r>
      <w:r w:rsidR="00A82951">
        <w:rPr>
          <w:rFonts w:cs="Arial"/>
          <w:rtl/>
        </w:rPr>
        <w:t>-</w:t>
      </w:r>
      <w:r>
        <w:rPr>
          <w:rFonts w:cs="Arial"/>
          <w:rtl/>
        </w:rPr>
        <w:t xml:space="preserve"> נמי אפשר דמשחדא ביה בממונא, אלא אבא ואביך בדידה קיימא? נהי דאיהי עבדא איסורא, אבא ואביך מי עבדי איסורא. לרבא, כלל </w:t>
      </w:r>
      <w:r w:rsidR="00A82951">
        <w:rPr>
          <w:rFonts w:cs="Arial"/>
          <w:rtl/>
        </w:rPr>
        <w:t>-</w:t>
      </w:r>
      <w:r>
        <w:rPr>
          <w:rFonts w:cs="Arial"/>
          <w:rtl/>
        </w:rPr>
        <w:t xml:space="preserve"> לאתויי אבא ואביך, כזה </w:t>
      </w:r>
      <w:r w:rsidR="00A82951">
        <w:rPr>
          <w:rFonts w:cs="Arial"/>
          <w:rtl/>
        </w:rPr>
        <w:t>-</w:t>
      </w:r>
      <w:r>
        <w:rPr>
          <w:rFonts w:cs="Arial"/>
          <w:rtl/>
        </w:rPr>
        <w:t xml:space="preserve"> למעוטי בשר חזיר;</w:t>
      </w:r>
      <w:r>
        <w:rPr>
          <w:rtl/>
        </w:rPr>
        <w:t xml:space="preserve"> </w:t>
      </w:r>
      <w:r>
        <w:rPr>
          <w:rFonts w:cs="Arial"/>
          <w:sz w:val="14"/>
          <w:szCs w:val="14"/>
          <w:rtl/>
        </w:rPr>
        <w:t xml:space="preserve">(פד:) </w:t>
      </w:r>
      <w:r>
        <w:rPr>
          <w:rFonts w:cs="Arial"/>
          <w:rtl/>
        </w:rPr>
        <w:t xml:space="preserve">לאביי כלל </w:t>
      </w:r>
      <w:r w:rsidR="00A82951">
        <w:rPr>
          <w:rFonts w:cs="Arial"/>
          <w:rtl/>
        </w:rPr>
        <w:t>-</w:t>
      </w:r>
      <w:r>
        <w:rPr>
          <w:rFonts w:cs="Arial"/>
          <w:rtl/>
        </w:rPr>
        <w:t xml:space="preserve"> לאתויי בשר חזיר, כזה </w:t>
      </w:r>
      <w:r w:rsidR="00A82951">
        <w:rPr>
          <w:rFonts w:cs="Arial"/>
          <w:rtl/>
        </w:rPr>
        <w:t>-</w:t>
      </w:r>
      <w:r>
        <w:rPr>
          <w:rFonts w:cs="Arial"/>
          <w:rtl/>
        </w:rPr>
        <w:t xml:space="preserve"> למעוטי פלוני. מיתיבי: הרי זה גיטך ע"מ שתאכלי בשר חזיר, ואם היתה זרה על מנת שתאכלי בתרומה, ואם היתה נזירה ע"מ שתשתי יין, נתקיים התנאי </w:t>
      </w:r>
      <w:r w:rsidR="00A82951">
        <w:rPr>
          <w:rFonts w:cs="Arial"/>
          <w:rtl/>
        </w:rPr>
        <w:t>-</w:t>
      </w:r>
      <w:r>
        <w:rPr>
          <w:rFonts w:cs="Arial"/>
          <w:rtl/>
        </w:rPr>
        <w:t xml:space="preserve"> הרי זה גט, ואם לאו </w:t>
      </w:r>
      <w:r w:rsidR="00A82951">
        <w:rPr>
          <w:rFonts w:cs="Arial"/>
          <w:rtl/>
        </w:rPr>
        <w:t>-</w:t>
      </w:r>
      <w:r>
        <w:rPr>
          <w:rFonts w:cs="Arial"/>
          <w:rtl/>
        </w:rPr>
        <w:t xml:space="preserve"> אינו גט; לרבא ניחא, לאביי קשיא! אמר לך אביי: מי סברת ד"ה היא? הא מני? רבנן היא. ותיפוק ליה דמתנה על מה שכתוב בתורה הוא, וכל המתנה על מה שכתוב בתורה </w:t>
      </w:r>
      <w:r w:rsidR="00A82951">
        <w:rPr>
          <w:rFonts w:cs="Arial"/>
          <w:rtl/>
        </w:rPr>
        <w:t>-</w:t>
      </w:r>
      <w:r>
        <w:rPr>
          <w:rFonts w:cs="Arial"/>
          <w:rtl/>
        </w:rPr>
        <w:t xml:space="preserve"> תנאו בטל! </w:t>
      </w:r>
      <w:r>
        <w:rPr>
          <w:rFonts w:cs="Arial"/>
          <w:u w:val="single"/>
          <w:rtl/>
        </w:rPr>
        <w:t>אמר רב אדא בריה דרב איקא</w:t>
      </w:r>
      <w:r>
        <w:rPr>
          <w:rFonts w:cs="Arial"/>
          <w:rtl/>
        </w:rPr>
        <w:t xml:space="preserve">: כי אמרינן מתנה על מה שכתוב בתורה תנאו בטל, כגון שארה כסותה ועונתה, דהוא קא עקר, אבל הכא איהי קא עקרה. </w:t>
      </w:r>
      <w:r w:rsidRPr="007D2D1F">
        <w:rPr>
          <w:rFonts w:cs="Arial"/>
          <w:u w:val="single"/>
          <w:rtl/>
        </w:rPr>
        <w:t>מתקיף לה רבינא</w:t>
      </w:r>
      <w:r>
        <w:rPr>
          <w:rFonts w:cs="Arial"/>
          <w:rtl/>
        </w:rPr>
        <w:t xml:space="preserve">: כלום קא עקרה איהי אלא לקיומי לתנאי דידיה, אישתכח דאיהו קא עקר! </w:t>
      </w:r>
      <w:r>
        <w:rPr>
          <w:rFonts w:cs="Arial"/>
          <w:u w:val="single"/>
          <w:rtl/>
        </w:rPr>
        <w:t xml:space="preserve">אלא </w:t>
      </w:r>
      <w:r>
        <w:rPr>
          <w:rFonts w:cs="Arial"/>
          <w:u w:val="single"/>
          <w:rtl/>
        </w:rPr>
        <w:lastRenderedPageBreak/>
        <w:t>אמר רבינא</w:t>
      </w:r>
      <w:r>
        <w:rPr>
          <w:rFonts w:cs="Arial"/>
          <w:rtl/>
        </w:rPr>
        <w:t>: כי אמרינן מתנה על מה שכתוב בתורה תנאו בטל, כגון שארה כסותה ועונתה, דודאי קא עקר, אבל הכא מי קאמר לה? לא סגיא דלא אכלה? לא תיכול ולא תיגרש.</w:t>
      </w:r>
    </w:p>
    <w:p w14:paraId="1F449ACD" w14:textId="1AEE8BF4" w:rsidR="00C97BEF" w:rsidRDefault="00C97BEF" w:rsidP="00C97BEF">
      <w:pPr>
        <w:rPr>
          <w:rtl/>
        </w:rPr>
      </w:pPr>
      <w:r>
        <w:rPr>
          <w:rFonts w:cs="Arial"/>
          <w:b/>
          <w:bCs/>
          <w:rtl/>
        </w:rPr>
        <w:t xml:space="preserve">בבא מציעא </w:t>
      </w:r>
      <w:r>
        <w:rPr>
          <w:rFonts w:cs="Arial"/>
          <w:b/>
          <w:bCs/>
          <w:sz w:val="16"/>
          <w:szCs w:val="16"/>
          <w:rtl/>
        </w:rPr>
        <w:t>(ס"פ הפועלים)</w:t>
      </w:r>
      <w:r>
        <w:rPr>
          <w:rFonts w:cs="Arial"/>
          <w:b/>
          <w:bCs/>
          <w:rtl/>
        </w:rPr>
        <w:t xml:space="preserve"> צד ע"א:</w:t>
      </w:r>
      <w:r>
        <w:rPr>
          <w:rFonts w:cs="Arial"/>
          <w:rtl/>
        </w:rPr>
        <w:t xml:space="preserve"> </w:t>
      </w:r>
      <w:r>
        <w:rPr>
          <w:rFonts w:cs="Arial"/>
          <w:u w:val="double"/>
          <w:rtl/>
        </w:rPr>
        <w:t>מתני'</w:t>
      </w:r>
      <w:r>
        <w:rPr>
          <w:rFonts w:cs="Arial"/>
          <w:rtl/>
        </w:rPr>
        <w:t xml:space="preserve">:... כל המתנה על מה שכתוב בתורה </w:t>
      </w:r>
      <w:r w:rsidR="00A82951">
        <w:rPr>
          <w:rFonts w:cs="Arial"/>
          <w:rtl/>
        </w:rPr>
        <w:t>-</w:t>
      </w:r>
      <w:r>
        <w:rPr>
          <w:rFonts w:cs="Arial"/>
          <w:rtl/>
        </w:rPr>
        <w:t xml:space="preserve"> תנאו בטל, וכל תנאי שיש מעשה בתחילתו </w:t>
      </w:r>
      <w:r w:rsidR="00A82951">
        <w:rPr>
          <w:rFonts w:cs="Arial"/>
          <w:rtl/>
        </w:rPr>
        <w:t>-</w:t>
      </w:r>
      <w:r>
        <w:rPr>
          <w:rFonts w:cs="Arial"/>
          <w:rtl/>
        </w:rPr>
        <w:t xml:space="preserve"> תנאו בטל, וכל שאפשר לו לקיימו בסופו והתנה עמו מתחילתו </w:t>
      </w:r>
      <w:r w:rsidR="00A82951">
        <w:rPr>
          <w:rFonts w:cs="Arial"/>
          <w:rtl/>
        </w:rPr>
        <w:t>-</w:t>
      </w:r>
      <w:r>
        <w:rPr>
          <w:rFonts w:cs="Arial"/>
          <w:rtl/>
        </w:rPr>
        <w:t xml:space="preserve"> תנאו קיים.</w:t>
      </w:r>
    </w:p>
    <w:p w14:paraId="25F36C30" w14:textId="77777777" w:rsidR="00C97BEF" w:rsidRDefault="00C97BEF" w:rsidP="00C97BEF">
      <w:pPr>
        <w:rPr>
          <w:u w:val="single"/>
          <w:rtl/>
        </w:rPr>
      </w:pPr>
      <w:r>
        <w:rPr>
          <w:u w:val="single"/>
          <w:rtl/>
        </w:rPr>
        <w:t>התנה על דבר שאי אפשר לקיימו:</w:t>
      </w:r>
    </w:p>
    <w:p w14:paraId="068A2C62" w14:textId="65B11206"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התנה על דבר שאי איפשר לקיימו, כגון ע"מ שתעלי לרקיע, או שתרדי לתהום, או שתבלעי קנה של ד' אמות </w:t>
      </w:r>
      <w:r w:rsidR="00A82951">
        <w:rPr>
          <w:rFonts w:cs="Arial"/>
          <w:rtl/>
        </w:rPr>
        <w:t>-</w:t>
      </w:r>
      <w:r>
        <w:rPr>
          <w:rFonts w:cs="Arial"/>
          <w:rtl/>
        </w:rPr>
        <w:t xml:space="preserve"> אינו תנאי והגט גט אע</w:t>
      </w:r>
      <w:r w:rsidR="00306659">
        <w:rPr>
          <w:rFonts w:cs="Arial" w:hint="cs"/>
          <w:rtl/>
        </w:rPr>
        <w:t>"</w:t>
      </w:r>
      <w:r>
        <w:rPr>
          <w:rFonts w:cs="Arial"/>
          <w:rtl/>
        </w:rPr>
        <w:t>פ שלא תוכל לקיימו, שלא כיון אלא להפליגה בדברים. בד"א</w:t>
      </w:r>
      <w:r w:rsidR="00306659">
        <w:rPr>
          <w:rFonts w:cs="Arial" w:hint="cs"/>
          <w:rtl/>
        </w:rPr>
        <w:t>,</w:t>
      </w:r>
      <w:r>
        <w:rPr>
          <w:rFonts w:cs="Arial"/>
          <w:rtl/>
        </w:rPr>
        <w:t xml:space="preserve"> בדברים שאי איפשר לה לקיים כלל, אבל דבר שאיפשר לה לקיימו אפי' באיסור, כגון ע"מ שתאכלי בשר חזיר </w:t>
      </w:r>
      <w:r w:rsidR="00A82951">
        <w:rPr>
          <w:rFonts w:cs="Arial"/>
          <w:rtl/>
        </w:rPr>
        <w:t>-</w:t>
      </w:r>
      <w:r>
        <w:rPr>
          <w:rFonts w:cs="Arial"/>
          <w:rtl/>
        </w:rPr>
        <w:t xml:space="preserve"> הוי תנאה, שאפשר לה שתאכלנו ותלקה, ואין זה מתנה על מה שכתוב בתורה, שאינו מתנה שתאכלנו עכ"פ, שאם לא תאכלנו לא תתגרש. בד"א כשהאיסור תלוי בה לעבור עליו, אבל אם תלוי באחרים, שאמר לה ע"מ שתבעלי לאבא </w:t>
      </w:r>
      <w:r w:rsidR="00A82951">
        <w:rPr>
          <w:rFonts w:cs="Arial"/>
          <w:rtl/>
        </w:rPr>
        <w:t>-</w:t>
      </w:r>
      <w:r>
        <w:rPr>
          <w:rFonts w:cs="Arial"/>
          <w:rtl/>
        </w:rPr>
        <w:t xml:space="preserve"> לא הוי תנאי, שאביו לא ישמע לה לעשות איסור.</w:t>
      </w:r>
      <w:r>
        <w:rPr>
          <w:rFonts w:cs="Arial"/>
          <w:color w:val="E36C0A" w:themeColor="accent6" w:themeShade="BF"/>
          <w:rtl/>
        </w:rPr>
        <w:t xml:space="preserve"> </w:t>
      </w:r>
      <w:r>
        <w:rPr>
          <w:color w:val="E36C0A" w:themeColor="accent6" w:themeShade="BF"/>
          <w:rtl/>
        </w:rPr>
        <w:t>(וכ"פ בשו"ע)</w:t>
      </w:r>
    </w:p>
    <w:p w14:paraId="7DD54EE4"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7B406FDE" w14:textId="5C8469DE" w:rsidR="00C97BEF" w:rsidRDefault="00C97BEF" w:rsidP="00C97BEF">
      <w:pPr>
        <w:rPr>
          <w:rtl/>
        </w:rPr>
      </w:pPr>
      <w:r>
        <w:rPr>
          <w:rFonts w:cs="Arial"/>
          <w:rtl/>
        </w:rPr>
        <w:t xml:space="preserve">התנה על דבר שאי אפשר לקיימו, כגון: על מנת שתעלי לרקיע, או שתרדי לתהום, או שתבלעי קנה של ארבע אמות, אינו תנאי, והגט גט. אבל אם התנה בדבר שאפשר לקיימו, אפילו באיסור, כגון על מנת שתאכלי בשר חזיר, הוי תנאי שאפשר שתאכלנו ותלקה. ואין זה מתנה על מה שכתוב בתורה שאינו מתנה שתאכלנו על כל פנים, שאם לא תאכלנו לא תתגרש. במה דברים אמורים כשהאיסור תלוי בה לעבור עליו. אבל אם תלוי באחרים, שאמר לה: על מנת שתבעלי לאבא, לא הוי תנאי, שאביו לא ישמע לה לעשות איסור. </w:t>
      </w:r>
    </w:p>
    <w:p w14:paraId="72109F57" w14:textId="77777777" w:rsidR="00C97BEF" w:rsidRDefault="00C97BEF" w:rsidP="00C97BEF">
      <w:pPr>
        <w:rPr>
          <w:rtl/>
        </w:rPr>
      </w:pPr>
    </w:p>
    <w:p w14:paraId="02BDCB03" w14:textId="77777777" w:rsidR="00C97BEF" w:rsidRDefault="00C97BEF" w:rsidP="00C97BEF">
      <w:pPr>
        <w:pStyle w:val="2"/>
        <w:rPr>
          <w:rtl/>
        </w:rPr>
      </w:pPr>
      <w:r>
        <w:rPr>
          <w:rtl/>
        </w:rPr>
        <w:t>סעיף יג: על מנת שלא תבעלי לאבא.</w:t>
      </w:r>
    </w:p>
    <w:p w14:paraId="4621F60D" w14:textId="7748C632" w:rsidR="00C97BEF" w:rsidRDefault="00C97BEF" w:rsidP="00C97BEF">
      <w:pPr>
        <w:rPr>
          <w:sz w:val="16"/>
          <w:szCs w:val="16"/>
          <w:rtl/>
        </w:rPr>
      </w:pPr>
      <w:r>
        <w:rPr>
          <w:rFonts w:cs="Arial"/>
          <w:b/>
          <w:bCs/>
          <w:rtl/>
        </w:rPr>
        <w:t xml:space="preserve">גיטין </w:t>
      </w:r>
      <w:r>
        <w:rPr>
          <w:rFonts w:cs="Arial"/>
          <w:b/>
          <w:bCs/>
          <w:sz w:val="16"/>
          <w:szCs w:val="16"/>
          <w:rtl/>
        </w:rPr>
        <w:t>(פ' המגרש)</w:t>
      </w:r>
      <w:r>
        <w:rPr>
          <w:rFonts w:cs="Arial"/>
          <w:b/>
          <w:bCs/>
          <w:rtl/>
        </w:rPr>
        <w:t xml:space="preserve"> פד ע"א: </w:t>
      </w:r>
      <w:r>
        <w:rPr>
          <w:rFonts w:cs="Arial"/>
          <w:rtl/>
        </w:rPr>
        <w:t>מיתיבי: הרי זה גיטך ע"מ שתבעלי</w:t>
      </w:r>
      <w:r>
        <w:rPr>
          <w:rStyle w:val="a7"/>
          <w:rFonts w:cs="Arial"/>
          <w:rtl/>
        </w:rPr>
        <w:footnoteReference w:id="2434"/>
      </w:r>
      <w:r>
        <w:rPr>
          <w:rFonts w:cs="Arial"/>
          <w:rtl/>
        </w:rPr>
        <w:t xml:space="preserve"> לפלוני, נתקיים התנאי </w:t>
      </w:r>
      <w:r w:rsidR="00A82951">
        <w:rPr>
          <w:rFonts w:cs="Arial"/>
          <w:rtl/>
        </w:rPr>
        <w:t>-</w:t>
      </w:r>
      <w:r>
        <w:rPr>
          <w:rFonts w:cs="Arial"/>
          <w:rtl/>
        </w:rPr>
        <w:t xml:space="preserve"> הרי זה גט, ואם לאו </w:t>
      </w:r>
      <w:r w:rsidR="00A82951">
        <w:rPr>
          <w:rFonts w:cs="Arial"/>
          <w:rtl/>
        </w:rPr>
        <w:t>-</w:t>
      </w:r>
      <w:r>
        <w:rPr>
          <w:rFonts w:cs="Arial"/>
          <w:rtl/>
        </w:rPr>
        <w:t xml:space="preserve"> אינו גט. על מנת שלא תבעלי לאבא ולאביך </w:t>
      </w:r>
      <w:r w:rsidR="00A82951">
        <w:rPr>
          <w:rFonts w:cs="Arial"/>
          <w:rtl/>
        </w:rPr>
        <w:t>-</w:t>
      </w:r>
      <w:r>
        <w:rPr>
          <w:rFonts w:cs="Arial"/>
          <w:rtl/>
        </w:rPr>
        <w:t xml:space="preserve"> אין חוששין שמא נבעלה להן. </w:t>
      </w:r>
      <w:r>
        <w:rPr>
          <w:sz w:val="16"/>
          <w:szCs w:val="16"/>
          <w:rtl/>
        </w:rPr>
        <w:t>(ועי' בתוס' (פג. ד"ה ועמדה) שהביאו תוספתא שחולקת על ברייתא זו, וחילקו שם כדי ליישב המחלוקת. ובתוספתא שלנו (גיטין פ"ד ה"י) אין הגירסא כפי שהייתה לתוס', וממילא אינה סותרת את הברייתא כאן)</w:t>
      </w:r>
    </w:p>
    <w:p w14:paraId="1FE920E7" w14:textId="77777777" w:rsidR="00C97BEF" w:rsidRDefault="00C97BEF" w:rsidP="00C97BEF">
      <w:pPr>
        <w:rPr>
          <w:u w:val="single"/>
          <w:rtl/>
        </w:rPr>
      </w:pPr>
      <w:r>
        <w:rPr>
          <w:u w:val="single"/>
          <w:rtl/>
        </w:rPr>
        <w:t>כיצד יש לפרש את סוף דברי הברייתא 'אין חוששין שמא נבעלה להן':</w:t>
      </w:r>
    </w:p>
    <w:p w14:paraId="4D9FEFAB" w14:textId="375E4674" w:rsidR="00C97BEF" w:rsidRDefault="00C97BEF" w:rsidP="006A458D">
      <w:pPr>
        <w:pStyle w:val="ab"/>
        <w:numPr>
          <w:ilvl w:val="0"/>
          <w:numId w:val="112"/>
        </w:numPr>
        <w:rPr>
          <w:rtl/>
        </w:rPr>
      </w:pPr>
      <w:r>
        <w:rPr>
          <w:rFonts w:cs="Arial"/>
          <w:rtl/>
        </w:rPr>
        <w:t xml:space="preserve">רש"י </w:t>
      </w:r>
      <w:r>
        <w:rPr>
          <w:rFonts w:cs="Arial"/>
          <w:sz w:val="16"/>
          <w:szCs w:val="16"/>
          <w:rtl/>
        </w:rPr>
        <w:t>(פד. ד"ה אין חוששין)</w:t>
      </w:r>
      <w:r>
        <w:rPr>
          <w:rFonts w:cs="Arial"/>
          <w:rtl/>
        </w:rPr>
        <w:t xml:space="preserve"> וטור</w:t>
      </w:r>
      <w:r w:rsidR="00A82951">
        <w:rPr>
          <w:rFonts w:cs="Arial"/>
          <w:rtl/>
        </w:rPr>
        <w:t>-</w:t>
      </w:r>
      <w:r>
        <w:rPr>
          <w:rFonts w:cs="Arial"/>
          <w:rtl/>
        </w:rPr>
        <w:t xml:space="preserve"> כלומר מותרת לינשא מיד ואין חוששין שמא תבעל להן ויבטל הגט</w:t>
      </w:r>
      <w:r>
        <w:rPr>
          <w:rStyle w:val="a7"/>
          <w:rFonts w:cs="Arial"/>
          <w:rtl/>
        </w:rPr>
        <w:footnoteReference w:id="2435"/>
      </w:r>
      <w:r>
        <w:rPr>
          <w:rFonts w:cs="Arial"/>
          <w:rtl/>
        </w:rPr>
        <w:t xml:space="preserve">. אבל אמר לה ע"מ שלא תבעלי לפלוני </w:t>
      </w:r>
      <w:r w:rsidR="00A82951">
        <w:rPr>
          <w:rFonts w:cs="Arial"/>
          <w:rtl/>
        </w:rPr>
        <w:t>-</w:t>
      </w:r>
      <w:r>
        <w:rPr>
          <w:rFonts w:cs="Arial"/>
          <w:rtl/>
        </w:rPr>
        <w:t xml:space="preserve"> אינו גט, שמא תבעל לו, דומיא דע"מ שלא תלכי לבית אביך לעולם</w:t>
      </w:r>
      <w:r>
        <w:rPr>
          <w:rFonts w:cs="Arial"/>
          <w:sz w:val="16"/>
          <w:szCs w:val="16"/>
          <w:rtl/>
        </w:rPr>
        <w:t xml:space="preserve"> (ל' רש"י)</w:t>
      </w:r>
      <w:r>
        <w:rPr>
          <w:rFonts w:cs="Arial"/>
          <w:rtl/>
        </w:rPr>
        <w:t>.</w:t>
      </w:r>
    </w:p>
    <w:p w14:paraId="0BBA6457" w14:textId="28B27F34" w:rsidR="00C97BEF" w:rsidRDefault="00C97BEF" w:rsidP="006A458D">
      <w:pPr>
        <w:pStyle w:val="ab"/>
        <w:numPr>
          <w:ilvl w:val="0"/>
          <w:numId w:val="112"/>
        </w:numPr>
        <w:rPr>
          <w:rtl/>
        </w:rPr>
      </w:pPr>
      <w:r>
        <w:rPr>
          <w:rFonts w:cs="Arial"/>
          <w:rtl/>
        </w:rPr>
        <w:t xml:space="preserve">רמב"ן </w:t>
      </w:r>
      <w:r>
        <w:rPr>
          <w:rFonts w:cs="Arial"/>
          <w:sz w:val="16"/>
          <w:szCs w:val="16"/>
          <w:rtl/>
        </w:rPr>
        <w:t>(בחידושים שם ד"ה ע"מ שלא, וכ"כ בשמו רשב"א [שם] ור"ן [מד. ד"ה ת"ר])</w:t>
      </w:r>
      <w:r w:rsidR="00A82951">
        <w:rPr>
          <w:rFonts w:cs="Arial"/>
          <w:rtl/>
        </w:rPr>
        <w:t>-</w:t>
      </w:r>
      <w:r>
        <w:rPr>
          <w:rFonts w:cs="Arial"/>
          <w:rtl/>
        </w:rPr>
        <w:t xml:space="preserve"> רישא קתני 'נתקיים התנאי' בפני עדים מגורשת, ואם לאו אינה מגורשת</w:t>
      </w:r>
      <w:r>
        <w:rPr>
          <w:rStyle w:val="a7"/>
          <w:rFonts w:cs="Arial"/>
          <w:rtl/>
        </w:rPr>
        <w:footnoteReference w:id="2436"/>
      </w:r>
      <w:r>
        <w:rPr>
          <w:rFonts w:cs="Arial"/>
          <w:rtl/>
        </w:rPr>
        <w:t xml:space="preserve">, שכל תנאי שהוא בקום עשה עליה להביא ראיה שקיימתו. וסיפא קתני 'אין חוששין שמא נבעלה להם', שאע"פ שהבעל מכחישה ואמר לה בבריא שעברה </w:t>
      </w:r>
      <w:r w:rsidR="00A82951">
        <w:rPr>
          <w:rFonts w:cs="Arial"/>
          <w:rtl/>
        </w:rPr>
        <w:t>-</w:t>
      </w:r>
      <w:r>
        <w:rPr>
          <w:rFonts w:cs="Arial"/>
          <w:rtl/>
        </w:rPr>
        <w:t xml:space="preserve"> נאמנת היא לומר לא עברתי</w:t>
      </w:r>
      <w:r>
        <w:rPr>
          <w:rStyle w:val="a7"/>
          <w:rFonts w:cs="Arial"/>
          <w:rtl/>
        </w:rPr>
        <w:footnoteReference w:id="2437"/>
      </w:r>
      <w:r>
        <w:rPr>
          <w:rFonts w:cs="Arial"/>
          <w:rtl/>
        </w:rPr>
        <w:t>, שכל תנאי שבידה והוא בשב ואל תעשה עליו להביא ראיה שביטלתו</w:t>
      </w:r>
      <w:r>
        <w:rPr>
          <w:rFonts w:cs="Arial"/>
          <w:sz w:val="16"/>
          <w:szCs w:val="16"/>
          <w:rtl/>
        </w:rPr>
        <w:t xml:space="preserve"> (ל' הר"ן בשמו)</w:t>
      </w:r>
      <w:r>
        <w:rPr>
          <w:rFonts w:cs="Arial"/>
          <w:rtl/>
        </w:rPr>
        <w:t>.</w:t>
      </w:r>
      <w:r w:rsidR="00581F77">
        <w:rPr>
          <w:rFonts w:cs="Arial" w:hint="cs"/>
          <w:rtl/>
        </w:rPr>
        <w:t xml:space="preserve"> </w:t>
      </w:r>
      <w:r w:rsidR="00581F77">
        <w:rPr>
          <w:color w:val="E36C0A" w:themeColor="accent6" w:themeShade="BF"/>
          <w:rtl/>
        </w:rPr>
        <w:t>(וכ"פ בשו"ע)</w:t>
      </w:r>
      <w:r w:rsidR="00581F77">
        <w:rPr>
          <w:rFonts w:hint="cs"/>
          <w:color w:val="E36C0A" w:themeColor="accent6" w:themeShade="BF"/>
          <w:rtl/>
        </w:rPr>
        <w:t xml:space="preserve"> </w:t>
      </w:r>
      <w:r>
        <w:rPr>
          <w:rFonts w:cs="Arial"/>
          <w:rtl/>
        </w:rPr>
        <w:t xml:space="preserve"> </w:t>
      </w:r>
    </w:p>
    <w:p w14:paraId="08A822B1" w14:textId="77777777" w:rsidR="00C97BEF" w:rsidRDefault="00C97BEF" w:rsidP="00C97BEF">
      <w:pPr>
        <w:rPr>
          <w:u w:val="single"/>
        </w:rPr>
      </w:pPr>
      <w:r>
        <w:rPr>
          <w:u w:val="single"/>
          <w:rtl/>
        </w:rPr>
        <w:t>אמר לה 'על מנת שלא תבעלי לאבא':</w:t>
      </w:r>
    </w:p>
    <w:p w14:paraId="3547A5E9" w14:textId="5DBAC760"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אמר לה ע"מ שלא תבעלי לאבא, ונבעלה </w:t>
      </w:r>
      <w:r w:rsidR="00A82951">
        <w:rPr>
          <w:rFonts w:cs="Arial"/>
          <w:rtl/>
        </w:rPr>
        <w:t>-</w:t>
      </w:r>
      <w:r>
        <w:rPr>
          <w:rFonts w:cs="Arial"/>
          <w:rtl/>
        </w:rPr>
        <w:t xml:space="preserve"> לא הוי גט. אבל כ"ז שלא נבעלה לו </w:t>
      </w:r>
      <w:r w:rsidR="00A82951">
        <w:rPr>
          <w:rFonts w:cs="Arial"/>
          <w:rtl/>
        </w:rPr>
        <w:t>-</w:t>
      </w:r>
      <w:r>
        <w:rPr>
          <w:rFonts w:cs="Arial"/>
          <w:rtl/>
        </w:rPr>
        <w:t xml:space="preserve"> מותרת לינשא ולא חיישינן שמא תבעל. </w:t>
      </w:r>
      <w:r>
        <w:rPr>
          <w:color w:val="E36C0A" w:themeColor="accent6" w:themeShade="BF"/>
          <w:rtl/>
        </w:rPr>
        <w:t>(וכ"פ בשו"ע)</w:t>
      </w:r>
      <w:r w:rsidR="0021331F">
        <w:rPr>
          <w:rFonts w:hint="cs"/>
          <w:color w:val="E36C0A" w:themeColor="accent6" w:themeShade="BF"/>
          <w:rtl/>
        </w:rPr>
        <w:t xml:space="preserve"> </w:t>
      </w:r>
      <w:r>
        <w:rPr>
          <w:color w:val="00B0F0"/>
          <w:rtl/>
        </w:rPr>
        <w:t>(וכ"פ הרמ"א)</w:t>
      </w:r>
    </w:p>
    <w:p w14:paraId="18B4ABAC"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662A98A9" w14:textId="77777777" w:rsidR="00C97BEF" w:rsidRDefault="00C97BEF" w:rsidP="00C97BEF">
      <w:pPr>
        <w:rPr>
          <w:rtl/>
        </w:rPr>
      </w:pPr>
      <w:r>
        <w:rPr>
          <w:rFonts w:cs="Arial"/>
          <w:rtl/>
        </w:rPr>
        <w:t>אמר לה: על מנת שלא תבעלי לאבא, ונבעלה לו, אינו גט. אבל כל זמן שאין עדים שנבעלה לו, אין חוששין שמא נבעלה לו</w:t>
      </w:r>
      <w:r>
        <w:rPr>
          <w:rStyle w:val="a7"/>
          <w:rFonts w:cs="Arial"/>
          <w:rtl/>
        </w:rPr>
        <w:footnoteReference w:id="2438"/>
      </w:r>
      <w:r>
        <w:rPr>
          <w:rFonts w:cs="Arial"/>
          <w:rtl/>
        </w:rPr>
        <w:t xml:space="preserve">. </w:t>
      </w:r>
      <w:r>
        <w:rPr>
          <w:rFonts w:cs="Arial"/>
          <w:sz w:val="18"/>
          <w:szCs w:val="18"/>
          <w:rtl/>
        </w:rPr>
        <w:t>[הגה] ומותרת להנשא, ואין חוששין שמא תבעל לו (טור).</w:t>
      </w:r>
      <w:r>
        <w:rPr>
          <w:rFonts w:cs="Arial"/>
          <w:rtl/>
        </w:rPr>
        <w:t xml:space="preserve"> </w:t>
      </w:r>
    </w:p>
    <w:p w14:paraId="0B2F678F" w14:textId="77777777" w:rsidR="00C97BEF" w:rsidRDefault="00C97BEF" w:rsidP="00C97BEF">
      <w:pPr>
        <w:rPr>
          <w:rtl/>
        </w:rPr>
      </w:pPr>
    </w:p>
    <w:p w14:paraId="34A49C76" w14:textId="77777777" w:rsidR="00C97BEF" w:rsidRDefault="00C97BEF" w:rsidP="00C97BEF">
      <w:pPr>
        <w:pStyle w:val="2"/>
        <w:rPr>
          <w:rtl/>
        </w:rPr>
      </w:pPr>
      <w:r>
        <w:rPr>
          <w:rtl/>
        </w:rPr>
        <w:t>סעיף יד: על מנת שלא תינשא לאבא.</w:t>
      </w:r>
    </w:p>
    <w:p w14:paraId="2A132798" w14:textId="335F142F" w:rsidR="00C97BEF" w:rsidRDefault="00C97BEF" w:rsidP="00C97BEF">
      <w:pPr>
        <w:rPr>
          <w:rtl/>
        </w:rPr>
      </w:pPr>
      <w:r>
        <w:rPr>
          <w:rFonts w:cs="Arial"/>
          <w:b/>
          <w:bCs/>
          <w:rtl/>
        </w:rPr>
        <w:t xml:space="preserve">תוספתא גיטין </w:t>
      </w:r>
      <w:r>
        <w:rPr>
          <w:rFonts w:cs="Arial"/>
          <w:b/>
          <w:bCs/>
          <w:sz w:val="16"/>
          <w:szCs w:val="16"/>
          <w:rtl/>
        </w:rPr>
        <w:t xml:space="preserve">(לגי' התוס' </w:t>
      </w:r>
      <w:r>
        <w:rPr>
          <w:rFonts w:cs="Arial"/>
          <w:b/>
          <w:bCs/>
          <w:sz w:val="14"/>
          <w:szCs w:val="14"/>
          <w:rtl/>
        </w:rPr>
        <w:t>[פג. ד"ה ועמדה]</w:t>
      </w:r>
      <w:r>
        <w:rPr>
          <w:rFonts w:cs="Arial"/>
          <w:b/>
          <w:bCs/>
          <w:sz w:val="16"/>
          <w:szCs w:val="16"/>
          <w:rtl/>
        </w:rPr>
        <w:t>)</w:t>
      </w:r>
      <w:r>
        <w:rPr>
          <w:rFonts w:cs="Arial"/>
          <w:b/>
          <w:bCs/>
          <w:rtl/>
        </w:rPr>
        <w:t>:</w:t>
      </w:r>
      <w:r>
        <w:rPr>
          <w:rFonts w:cs="Arial"/>
          <w:rtl/>
        </w:rPr>
        <w:t xml:space="preserve"> על מנת שלא תינשאי לאבא ולאביך </w:t>
      </w:r>
      <w:r w:rsidR="00A82951">
        <w:rPr>
          <w:rFonts w:cs="Arial"/>
          <w:rtl/>
        </w:rPr>
        <w:t>-</w:t>
      </w:r>
      <w:r>
        <w:rPr>
          <w:rFonts w:cs="Arial"/>
          <w:rtl/>
        </w:rPr>
        <w:t xml:space="preserve"> ה"ז גט</w:t>
      </w:r>
      <w:r>
        <w:rPr>
          <w:rtl/>
        </w:rPr>
        <w:t>.</w:t>
      </w:r>
    </w:p>
    <w:p w14:paraId="3BE2CC0F" w14:textId="77777777" w:rsidR="00C97BEF" w:rsidRDefault="00C97BEF" w:rsidP="00C97BEF">
      <w:pPr>
        <w:rPr>
          <w:u w:val="single"/>
          <w:rtl/>
        </w:rPr>
      </w:pPr>
      <w:r>
        <w:rPr>
          <w:u w:val="single"/>
          <w:rtl/>
        </w:rPr>
        <w:t>אמר לה 'על מנת שלא תינשא לאבא':</w:t>
      </w:r>
    </w:p>
    <w:p w14:paraId="06BB2D20" w14:textId="2559C71F"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אמר לה ע"מ שלא תינשא לאבא, וניסת לו </w:t>
      </w:r>
      <w:r w:rsidR="00A82951">
        <w:rPr>
          <w:rFonts w:cs="Arial"/>
          <w:rtl/>
        </w:rPr>
        <w:t>-</w:t>
      </w:r>
      <w:r>
        <w:rPr>
          <w:rFonts w:cs="Arial"/>
          <w:rtl/>
        </w:rPr>
        <w:t xml:space="preserve"> הוי גט, שאין לו בה נישואין. </w:t>
      </w:r>
      <w:r>
        <w:rPr>
          <w:color w:val="E36C0A" w:themeColor="accent6" w:themeShade="BF"/>
          <w:rtl/>
        </w:rPr>
        <w:t>(וכ"פ בשו"ע)</w:t>
      </w:r>
    </w:p>
    <w:p w14:paraId="55BED7A6"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563EFE5" w14:textId="77777777" w:rsidR="00C97BEF" w:rsidRDefault="00C97BEF" w:rsidP="00C97BEF">
      <w:pPr>
        <w:rPr>
          <w:rtl/>
        </w:rPr>
      </w:pPr>
      <w:r>
        <w:rPr>
          <w:rFonts w:cs="Arial"/>
          <w:rtl/>
        </w:rPr>
        <w:t xml:space="preserve">אמר לה: על מנת שלא תנשא לאבא, ונשאת לו, הוי גט, שאין לו בה נשואין. </w:t>
      </w:r>
    </w:p>
    <w:p w14:paraId="35F6EFF2" w14:textId="77777777" w:rsidR="00C97BEF" w:rsidRDefault="00C97BEF" w:rsidP="00C97BEF">
      <w:pPr>
        <w:rPr>
          <w:rtl/>
        </w:rPr>
      </w:pPr>
    </w:p>
    <w:p w14:paraId="5D5FE2E4" w14:textId="77777777" w:rsidR="00C97BEF" w:rsidRDefault="00C97BEF" w:rsidP="00C97BEF">
      <w:pPr>
        <w:pStyle w:val="2"/>
        <w:rPr>
          <w:rtl/>
        </w:rPr>
      </w:pPr>
      <w:r>
        <w:rPr>
          <w:rtl/>
        </w:rPr>
        <w:t>סעיף טו: על מנת שתנשאי לפלוני.</w:t>
      </w:r>
    </w:p>
    <w:p w14:paraId="429025B6" w14:textId="187DDB2F" w:rsidR="00C97BEF" w:rsidRDefault="00C97BEF" w:rsidP="00C97BEF">
      <w:pPr>
        <w:rPr>
          <w:rtl/>
        </w:rPr>
      </w:pPr>
      <w:r>
        <w:rPr>
          <w:rFonts w:cs="Arial"/>
          <w:b/>
          <w:bCs/>
          <w:rtl/>
        </w:rPr>
        <w:t xml:space="preserve">גיטין </w:t>
      </w:r>
      <w:r>
        <w:rPr>
          <w:rFonts w:cs="Arial"/>
          <w:b/>
          <w:bCs/>
          <w:sz w:val="16"/>
          <w:szCs w:val="16"/>
          <w:rtl/>
        </w:rPr>
        <w:t>(פ' המגרש)</w:t>
      </w:r>
      <w:r>
        <w:rPr>
          <w:rFonts w:cs="Arial"/>
          <w:b/>
          <w:bCs/>
          <w:rtl/>
        </w:rPr>
        <w:t xml:space="preserve"> פד ע"א: </w:t>
      </w:r>
      <w:r>
        <w:rPr>
          <w:rFonts w:cs="Arial"/>
          <w:rtl/>
        </w:rPr>
        <w:t xml:space="preserve">ת"ר: הרי זה גיטך ע"מ שתנשאי לפלוני </w:t>
      </w:r>
      <w:r w:rsidR="00A82951">
        <w:rPr>
          <w:rFonts w:cs="Arial"/>
          <w:rtl/>
        </w:rPr>
        <w:t>-</w:t>
      </w:r>
      <w:r>
        <w:rPr>
          <w:rFonts w:cs="Arial"/>
          <w:rtl/>
        </w:rPr>
        <w:t xml:space="preserve"> הרי זו לא תנשא, ואם נשאת </w:t>
      </w:r>
      <w:r w:rsidR="00A82951">
        <w:rPr>
          <w:rFonts w:cs="Arial"/>
          <w:rtl/>
        </w:rPr>
        <w:t>-</w:t>
      </w:r>
      <w:r>
        <w:rPr>
          <w:rFonts w:cs="Arial"/>
          <w:rtl/>
        </w:rPr>
        <w:t xml:space="preserve"> לא תצא. מאי קאמר? </w:t>
      </w:r>
      <w:r>
        <w:rPr>
          <w:rFonts w:cs="Arial"/>
          <w:u w:val="single"/>
          <w:rtl/>
        </w:rPr>
        <w:t>אמר רב נחמן</w:t>
      </w:r>
      <w:r>
        <w:rPr>
          <w:rFonts w:cs="Arial"/>
          <w:rtl/>
        </w:rPr>
        <w:t xml:space="preserve">: ה"ק: הרי זו לא תנשא לו, שמא יאמרו נשיהן נותנין במתנה. ואם נשאת לאחר </w:t>
      </w:r>
      <w:r w:rsidR="00A82951">
        <w:rPr>
          <w:rFonts w:cs="Arial"/>
          <w:rtl/>
        </w:rPr>
        <w:t>-</w:t>
      </w:r>
      <w:r>
        <w:rPr>
          <w:rFonts w:cs="Arial"/>
          <w:rtl/>
        </w:rPr>
        <w:t xml:space="preserve"> לא תצא. ומשום גזרה לא מפקינן מיניה ושרינן אשת איש לעלמא? </w:t>
      </w:r>
      <w:r>
        <w:rPr>
          <w:rFonts w:cs="Arial"/>
          <w:u w:val="single"/>
          <w:rtl/>
        </w:rPr>
        <w:t>אלא אמר רב נחמן</w:t>
      </w:r>
      <w:r>
        <w:rPr>
          <w:rFonts w:cs="Arial"/>
          <w:rtl/>
        </w:rPr>
        <w:t xml:space="preserve">: הכי קאמר: הרי זו לא תנשא לו, שמא יאמרו נשיהם נותנין במתנה, ואם נשאת לו </w:t>
      </w:r>
      <w:r w:rsidR="00A82951">
        <w:rPr>
          <w:rFonts w:cs="Arial"/>
          <w:rtl/>
        </w:rPr>
        <w:t>-</w:t>
      </w:r>
      <w:r>
        <w:rPr>
          <w:rFonts w:cs="Arial"/>
          <w:rtl/>
        </w:rPr>
        <w:t xml:space="preserve"> לא תצא, דמשום גזרה לא מפקינן. </w:t>
      </w:r>
      <w:r>
        <w:rPr>
          <w:rFonts w:cs="Arial"/>
          <w:u w:val="single"/>
          <w:rtl/>
        </w:rPr>
        <w:t>א"ל רבא</w:t>
      </w:r>
      <w:r>
        <w:rPr>
          <w:rFonts w:cs="Arial"/>
          <w:rtl/>
        </w:rPr>
        <w:t>: לו הוא דלא תנשא, הא לאחר תנשא? והא בעי קיומי לתנאה!</w:t>
      </w:r>
      <w:r>
        <w:rPr>
          <w:rtl/>
        </w:rPr>
        <w:t xml:space="preserve"> </w:t>
      </w:r>
      <w:r>
        <w:rPr>
          <w:rFonts w:cs="Arial"/>
          <w:rtl/>
        </w:rPr>
        <w:t xml:space="preserve">וכי תימא, אפשר דמינסבא היום ומיגרשה למחר ומקיימא לתנאה, ולהך דפליגת עליה דרב יהודה קמדמית ליה, דאתמר: קונם עיני בשינה היום אם אישן למחר, אמר רב יהודה: אל יישן היום שמא יישן למחר, ורב נחמן אמר: יישן היום ואין חוששין שמא יישן למחר, הכי השתא, התם בדידיה קיימא, דאי בעי מבריז נפשיה בסילואתא ולא נאים, הכא בדידה קיימא לאיגרושי? </w:t>
      </w:r>
      <w:r>
        <w:rPr>
          <w:rFonts w:cs="Arial"/>
          <w:u w:val="single"/>
          <w:rtl/>
        </w:rPr>
        <w:t>אלא אמר רבא</w:t>
      </w:r>
      <w:r>
        <w:rPr>
          <w:rFonts w:cs="Arial"/>
          <w:rtl/>
        </w:rPr>
        <w:t xml:space="preserve">: הרי זו לא תנשא לא לו ולא לאחר, לו לא תנשא </w:t>
      </w:r>
      <w:r w:rsidR="00A82951">
        <w:rPr>
          <w:rFonts w:cs="Arial"/>
          <w:rtl/>
        </w:rPr>
        <w:t>-</w:t>
      </w:r>
      <w:r>
        <w:rPr>
          <w:rFonts w:cs="Arial"/>
          <w:rtl/>
        </w:rPr>
        <w:t xml:space="preserve"> שמא יאמרו נשותיהם נותנין במתנה, לאחר לא תנשא </w:t>
      </w:r>
      <w:r w:rsidR="00A82951">
        <w:rPr>
          <w:rFonts w:cs="Arial"/>
          <w:rtl/>
        </w:rPr>
        <w:t>-</w:t>
      </w:r>
      <w:r>
        <w:rPr>
          <w:rFonts w:cs="Arial"/>
          <w:rtl/>
        </w:rPr>
        <w:t xml:space="preserve"> דבעיא קיומיה לתנאה. ואם נשאת לו </w:t>
      </w:r>
      <w:r w:rsidR="00A82951">
        <w:rPr>
          <w:rFonts w:cs="Arial"/>
          <w:rtl/>
        </w:rPr>
        <w:t>-</w:t>
      </w:r>
      <w:r>
        <w:rPr>
          <w:rFonts w:cs="Arial"/>
          <w:rtl/>
        </w:rPr>
        <w:t xml:space="preserve"> לא תצא, דמשום גזרה לא מפקינן, לאחר </w:t>
      </w:r>
      <w:r w:rsidR="00A82951">
        <w:rPr>
          <w:rFonts w:cs="Arial"/>
          <w:rtl/>
        </w:rPr>
        <w:t>-</w:t>
      </w:r>
      <w:r>
        <w:rPr>
          <w:rFonts w:cs="Arial"/>
          <w:rtl/>
        </w:rPr>
        <w:t xml:space="preserve"> תצא, דבעיא לקיומיה לתנאה. תניא כוותיה דרבא: הרי זו לא תנשא לא לו ולא לאחר, ואם נשאת לו </w:t>
      </w:r>
      <w:r w:rsidR="00A82951">
        <w:rPr>
          <w:rFonts w:cs="Arial"/>
          <w:rtl/>
        </w:rPr>
        <w:t>-</w:t>
      </w:r>
      <w:r>
        <w:rPr>
          <w:rFonts w:cs="Arial"/>
          <w:rtl/>
        </w:rPr>
        <w:t xml:space="preserve"> לא תצא, לאחר </w:t>
      </w:r>
      <w:r w:rsidR="00A82951">
        <w:rPr>
          <w:rFonts w:cs="Arial"/>
          <w:rtl/>
        </w:rPr>
        <w:t>-</w:t>
      </w:r>
      <w:r>
        <w:rPr>
          <w:rFonts w:cs="Arial"/>
          <w:rtl/>
        </w:rPr>
        <w:t xml:space="preserve"> תצא.</w:t>
      </w:r>
    </w:p>
    <w:p w14:paraId="2F038BA3" w14:textId="77777777" w:rsidR="00C97BEF" w:rsidRDefault="00C97BEF" w:rsidP="00C97BEF">
      <w:pPr>
        <w:rPr>
          <w:u w:val="single"/>
          <w:rtl/>
        </w:rPr>
      </w:pPr>
      <w:r>
        <w:rPr>
          <w:u w:val="single"/>
          <w:rtl/>
        </w:rPr>
        <w:t>אמר לה 'על מנת שתנשאי לפלוני':</w:t>
      </w:r>
    </w:p>
    <w:p w14:paraId="3610C1DC" w14:textId="1FDAEF89" w:rsidR="00C97BEF" w:rsidRDefault="00C97BEF" w:rsidP="006A458D">
      <w:pPr>
        <w:pStyle w:val="ab"/>
        <w:numPr>
          <w:ilvl w:val="0"/>
          <w:numId w:val="112"/>
        </w:numPr>
        <w:rPr>
          <w:rtl/>
        </w:rPr>
      </w:pPr>
      <w:r>
        <w:rPr>
          <w:rFonts w:cs="Arial"/>
          <w:rtl/>
        </w:rPr>
        <w:t>רמב"ם</w:t>
      </w:r>
      <w:r>
        <w:rPr>
          <w:rFonts w:cs="Arial"/>
          <w:sz w:val="16"/>
          <w:szCs w:val="16"/>
          <w:rtl/>
        </w:rPr>
        <w:t xml:space="preserve"> (פ"ח הי"ג)</w:t>
      </w:r>
      <w:r>
        <w:rPr>
          <w:rFonts w:cs="Arial"/>
          <w:rtl/>
        </w:rPr>
        <w:t xml:space="preserve"> וטור</w:t>
      </w:r>
      <w:r w:rsidR="00A82951">
        <w:rPr>
          <w:rFonts w:cs="Arial"/>
          <w:rtl/>
        </w:rPr>
        <w:t>-</w:t>
      </w:r>
      <w:r>
        <w:rPr>
          <w:rFonts w:cs="Arial"/>
          <w:rtl/>
        </w:rPr>
        <w:t xml:space="preserve"> הרי זה גיטיך על מנת שתנשאי לפלוני, אם נשאת לו </w:t>
      </w:r>
      <w:r w:rsidR="00A82951">
        <w:rPr>
          <w:rFonts w:cs="Arial"/>
          <w:rtl/>
        </w:rPr>
        <w:t>-</w:t>
      </w:r>
      <w:r>
        <w:rPr>
          <w:rFonts w:cs="Arial"/>
          <w:rtl/>
        </w:rPr>
        <w:t xml:space="preserve"> הרי זה גט כשאר כל התנאים, אבל אמרו חכמים לא תנשא לא לאותו פלוני ולא לאחר. לאותו פלוני לא תנשא, שמא יאמרו נשיהן נותנין זה לזה במתנה. ולאחר לא תנשא, שאינו גט אלא בקיום התנאי. עברה ונשאת לאותו פלוני </w:t>
      </w:r>
      <w:r w:rsidR="00A82951">
        <w:rPr>
          <w:rFonts w:cs="Arial"/>
          <w:rtl/>
        </w:rPr>
        <w:t>-</w:t>
      </w:r>
      <w:r>
        <w:rPr>
          <w:rFonts w:cs="Arial"/>
          <w:rtl/>
        </w:rPr>
        <w:t xml:space="preserve"> לא תצא</w:t>
      </w:r>
      <w:r>
        <w:rPr>
          <w:sz w:val="16"/>
          <w:szCs w:val="16"/>
          <w:rtl/>
        </w:rPr>
        <w:t xml:space="preserve"> (ל' הרמב"ם)</w:t>
      </w:r>
      <w:r>
        <w:rPr>
          <w:rtl/>
        </w:rPr>
        <w:t xml:space="preserve">. </w:t>
      </w:r>
      <w:r>
        <w:rPr>
          <w:color w:val="E36C0A" w:themeColor="accent6" w:themeShade="BF"/>
          <w:rtl/>
        </w:rPr>
        <w:t>(וכ"פ בשו"ע)</w:t>
      </w:r>
    </w:p>
    <w:p w14:paraId="3BE9E000" w14:textId="77777777" w:rsidR="00C97BEF" w:rsidRDefault="00C97BEF" w:rsidP="00C97BEF">
      <w:pPr>
        <w:ind w:left="360"/>
        <w:rPr>
          <w:u w:val="dotted"/>
        </w:rPr>
      </w:pPr>
      <w:r>
        <w:rPr>
          <w:u w:val="dotted"/>
          <w:rtl/>
        </w:rPr>
        <w:t xml:space="preserve">ומה הדין אם עברה ונשאת לאחר: </w:t>
      </w:r>
    </w:p>
    <w:p w14:paraId="164339FE" w14:textId="2243971F"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ניסת לאחר קודם שניסת לאותו פלוני </w:t>
      </w:r>
      <w:r w:rsidR="00A82951">
        <w:rPr>
          <w:rFonts w:cs="Arial"/>
          <w:rtl/>
        </w:rPr>
        <w:t>-</w:t>
      </w:r>
      <w:r>
        <w:rPr>
          <w:rFonts w:cs="Arial"/>
          <w:rtl/>
        </w:rPr>
        <w:t xml:space="preserve"> תצא, ואם תקיים התנאי שתינשא לאותו פלוני </w:t>
      </w:r>
      <w:r w:rsidR="00A82951">
        <w:rPr>
          <w:rFonts w:cs="Arial"/>
          <w:rtl/>
        </w:rPr>
        <w:t>-</w:t>
      </w:r>
      <w:r>
        <w:rPr>
          <w:rFonts w:cs="Arial"/>
          <w:rtl/>
        </w:rPr>
        <w:t xml:space="preserve"> הוי גט למפרע, ואם לא תקיים התנאי </w:t>
      </w:r>
      <w:r w:rsidR="00A82951">
        <w:rPr>
          <w:rFonts w:cs="Arial"/>
          <w:rtl/>
        </w:rPr>
        <w:t>-</w:t>
      </w:r>
      <w:r>
        <w:rPr>
          <w:rFonts w:cs="Arial"/>
          <w:rtl/>
        </w:rPr>
        <w:t xml:space="preserve"> הוי בניה ממזרים.</w:t>
      </w:r>
    </w:p>
    <w:p w14:paraId="2C147E85" w14:textId="4EE4226C" w:rsidR="00C97BEF" w:rsidRDefault="00C97BEF" w:rsidP="006A458D">
      <w:pPr>
        <w:pStyle w:val="ab"/>
        <w:numPr>
          <w:ilvl w:val="0"/>
          <w:numId w:val="112"/>
        </w:numPr>
      </w:pPr>
      <w:r>
        <w:rPr>
          <w:rFonts w:cs="Arial"/>
          <w:rtl/>
        </w:rPr>
        <w:t>רמב"ם</w:t>
      </w:r>
      <w:r>
        <w:rPr>
          <w:rFonts w:cs="Arial"/>
          <w:sz w:val="16"/>
          <w:szCs w:val="16"/>
          <w:rtl/>
        </w:rPr>
        <w:t xml:space="preserve"> (פ"ח הי"ג)</w:t>
      </w:r>
      <w:r w:rsidR="00A82951">
        <w:rPr>
          <w:rFonts w:cs="Arial"/>
          <w:rtl/>
        </w:rPr>
        <w:t>-</w:t>
      </w:r>
      <w:r>
        <w:rPr>
          <w:rFonts w:cs="Arial"/>
          <w:rtl/>
        </w:rPr>
        <w:t xml:space="preserve"> נישאת לאחר קודם שתנשא לו </w:t>
      </w:r>
      <w:r>
        <w:rPr>
          <w:rFonts w:cs="Arial"/>
          <w:sz w:val="16"/>
          <w:szCs w:val="16"/>
          <w:rtl/>
        </w:rPr>
        <w:t xml:space="preserve">{לפלוני} </w:t>
      </w:r>
      <w:r w:rsidR="00A82951">
        <w:rPr>
          <w:rFonts w:cs="Arial"/>
          <w:rtl/>
        </w:rPr>
        <w:t>-</w:t>
      </w:r>
      <w:r>
        <w:rPr>
          <w:rFonts w:cs="Arial"/>
          <w:rtl/>
        </w:rPr>
        <w:t xml:space="preserve"> בטל הגט ותצא והולד ממזר וצריכה גט משני</w:t>
      </w:r>
      <w:r>
        <w:rPr>
          <w:rStyle w:val="a7"/>
          <w:rFonts w:cs="Arial"/>
          <w:rtl/>
        </w:rPr>
        <w:footnoteReference w:id="2439"/>
      </w:r>
      <w:r>
        <w:rPr>
          <w:rFonts w:cs="Arial"/>
          <w:rtl/>
        </w:rPr>
        <w:t xml:space="preserve">. </w:t>
      </w:r>
      <w:r>
        <w:rPr>
          <w:color w:val="E36C0A" w:themeColor="accent6" w:themeShade="BF"/>
          <w:rtl/>
        </w:rPr>
        <w:t>(וכ"פ בשו"ע)</w:t>
      </w:r>
    </w:p>
    <w:p w14:paraId="29468577" w14:textId="6C7C8717" w:rsidR="00C97BEF" w:rsidRDefault="00C97BEF" w:rsidP="006A458D">
      <w:pPr>
        <w:pStyle w:val="ab"/>
        <w:numPr>
          <w:ilvl w:val="0"/>
          <w:numId w:val="112"/>
        </w:numPr>
      </w:pPr>
      <w:r>
        <w:rPr>
          <w:rFonts w:cs="Arial"/>
          <w:rtl/>
        </w:rPr>
        <w:t xml:space="preserve">ר"ן </w:t>
      </w:r>
      <w:r>
        <w:rPr>
          <w:rFonts w:cs="Arial"/>
          <w:sz w:val="16"/>
          <w:szCs w:val="16"/>
          <w:rtl/>
        </w:rPr>
        <w:t>(מד. ד"ה ת"ר)</w:t>
      </w:r>
      <w:r w:rsidR="00A82951">
        <w:rPr>
          <w:rFonts w:cs="Arial"/>
          <w:rtl/>
        </w:rPr>
        <w:t>-</w:t>
      </w:r>
      <w:r>
        <w:rPr>
          <w:rFonts w:cs="Arial"/>
          <w:rtl/>
        </w:rPr>
        <w:t xml:space="preserve"> נשאת לאחר תצא משום דבעיא לקיומי תנאה</w:t>
      </w:r>
      <w:r w:rsidR="009627E6">
        <w:rPr>
          <w:rFonts w:cs="Arial" w:hint="cs"/>
          <w:rtl/>
        </w:rPr>
        <w:t>,</w:t>
      </w:r>
      <w:r>
        <w:rPr>
          <w:rFonts w:cs="Arial"/>
          <w:rtl/>
        </w:rPr>
        <w:t xml:space="preserve"> ומ"מ צריכה גט גמור מדאורייתא מאחר זה, דשמא תקיים תנאה ותנשא לאותו פלוני שהתנה עמה שתנשא לו, ונמצא הגט קיים ובניה מאותו אחר כשרים. </w:t>
      </w:r>
    </w:p>
    <w:p w14:paraId="117AF535" w14:textId="77777777" w:rsidR="00C97BEF" w:rsidRDefault="00C97BEF" w:rsidP="00C97BEF">
      <w:pPr>
        <w:ind w:left="360"/>
        <w:rPr>
          <w:u w:val="dotted"/>
        </w:rPr>
      </w:pPr>
      <w:r>
        <w:rPr>
          <w:u w:val="dotted"/>
          <w:rtl/>
        </w:rPr>
        <w:lastRenderedPageBreak/>
        <w:t>האם יכולה להנשא לאחר אחרי מיתת הבעל:</w:t>
      </w:r>
    </w:p>
    <w:p w14:paraId="351DB6F7" w14:textId="5EB3E28E" w:rsidR="00C97BEF" w:rsidRDefault="00C97BEF" w:rsidP="006A458D">
      <w:pPr>
        <w:pStyle w:val="ab"/>
        <w:numPr>
          <w:ilvl w:val="0"/>
          <w:numId w:val="112"/>
        </w:numPr>
        <w:rPr>
          <w:rtl/>
        </w:rPr>
      </w:pPr>
      <w:r>
        <w:rPr>
          <w:rFonts w:cs="Arial"/>
          <w:rtl/>
        </w:rPr>
        <w:t xml:space="preserve">רמ"ה </w:t>
      </w:r>
      <w:r>
        <w:rPr>
          <w:rFonts w:cs="Arial"/>
          <w:sz w:val="16"/>
          <w:szCs w:val="16"/>
          <w:rtl/>
        </w:rPr>
        <w:t>(שיטות קדמונים שם ד"ה אלא אמר רבא, כ"כ הטור בשמו)</w:t>
      </w:r>
      <w:r w:rsidR="00A82951">
        <w:rPr>
          <w:rFonts w:cs="Arial"/>
          <w:rtl/>
        </w:rPr>
        <w:t>-</w:t>
      </w:r>
      <w:r>
        <w:rPr>
          <w:rFonts w:cs="Arial"/>
          <w:rtl/>
        </w:rPr>
        <w:t xml:space="preserve"> תצא ולא יחזיר עולמית, ואפי' לאחר מיתת הבעל, אפילו נתן לה הבעל גט שני לאחר נישואי שני, דאי לא יתקיים תנאה דגט ראשון לא מצי לאהדורה דכי אינסבה ליה מעיקרא באיסור אשת איש אינסבא ליה ואיתסר עליה איסור עולם</w:t>
      </w:r>
      <w:r w:rsidR="00356D67">
        <w:rPr>
          <w:rFonts w:cs="Arial" w:hint="cs"/>
          <w:rtl/>
        </w:rPr>
        <w:t>,</w:t>
      </w:r>
      <w:r>
        <w:rPr>
          <w:rFonts w:cs="Arial"/>
          <w:rtl/>
        </w:rPr>
        <w:t xml:space="preserve"> כמו סוטה שאסורה לבועלה אפילו לאחר מיתת הבעל, ה"נ כיון דלא איקיים תנאה דגט ראשון לא מצי לאהדורה. אפי' לאחר מיתת הבעל נמי לענין חשש דאיסורא כחיי הבעל דמי, דכי היכי דבחיי הבעל תצא משום דחיישינן דילמא לא תקיים תנאה, לאחר מיתת הבעל נמי תצא חיישינן דילמא לא תקיים תנאה ופגע באיסור סוטה אבועל. ואי אקיים תנאה נמי אסורה אשני לאהדורה, דהא לא משכחת דמקיימת תנאה בחיי שני אא"כ גירשה וניסת לבעל התנאי. ותו לא מצי שני לאהדורה דהוה ליה מחזיר גרושתו מן הנישואין. וה"מ שניסת לשני, אבל נתקדשה </w:t>
      </w:r>
      <w:r w:rsidR="00A82951">
        <w:rPr>
          <w:rFonts w:cs="Arial"/>
          <w:rtl/>
        </w:rPr>
        <w:t>-</w:t>
      </w:r>
      <w:r>
        <w:rPr>
          <w:rFonts w:cs="Arial"/>
          <w:rtl/>
        </w:rPr>
        <w:t xml:space="preserve"> תצא ולא יחזיר אלא לאחר מיתת הבעל או שיתן לה הבעל גט שני בלא תנאי. אבל בתר דמקיים התנאי בגט ראשון, לא מצי לאהדורה, דהוה ליה מחזיר גרושתו מן האירוסין</w:t>
      </w:r>
      <w:r>
        <w:rPr>
          <w:rFonts w:cs="Arial"/>
          <w:sz w:val="16"/>
          <w:szCs w:val="16"/>
          <w:rtl/>
        </w:rPr>
        <w:t xml:space="preserve"> (ל' הטור בשמו)</w:t>
      </w:r>
      <w:r>
        <w:rPr>
          <w:rFonts w:cs="Arial"/>
          <w:rtl/>
        </w:rPr>
        <w:t>.</w:t>
      </w:r>
      <w:r>
        <w:rPr>
          <w:color w:val="E36C0A" w:themeColor="accent6" w:themeShade="BF"/>
          <w:rtl/>
        </w:rPr>
        <w:t xml:space="preserve"> (וכ"פ בשו"ע)</w:t>
      </w:r>
      <w:r>
        <w:rPr>
          <w:rFonts w:cs="Arial"/>
          <w:rtl/>
        </w:rPr>
        <w:t xml:space="preserve"> </w:t>
      </w:r>
      <w:r>
        <w:rPr>
          <w:color w:val="00B0F0"/>
          <w:rtl/>
        </w:rPr>
        <w:t>(וכ"פ הרמ"א)</w:t>
      </w:r>
    </w:p>
    <w:p w14:paraId="5000EADC" w14:textId="77777777" w:rsidR="00C97BEF" w:rsidRDefault="00C97BEF" w:rsidP="00C97BEF">
      <w:pPr>
        <w:rPr>
          <w:u w:val="single"/>
        </w:rPr>
      </w:pPr>
      <w:r>
        <w:rPr>
          <w:u w:val="single"/>
          <w:rtl/>
        </w:rPr>
        <w:t>מי שניכר ממעשיו שרוצה לגרום לחברו לגרש אשתו כדי שהוא יוכל לישא אותה:</w:t>
      </w:r>
      <w:r>
        <w:rPr>
          <w:rFonts w:cs="Arial"/>
          <w:sz w:val="16"/>
          <w:szCs w:val="16"/>
          <w:rtl/>
        </w:rPr>
        <w:t xml:space="preserve"> (דרכ"מ אות ג)</w:t>
      </w:r>
    </w:p>
    <w:p w14:paraId="4E3EDE8D" w14:textId="11B6AC64" w:rsidR="00C97BEF" w:rsidRDefault="00C97BEF" w:rsidP="006A458D">
      <w:pPr>
        <w:pStyle w:val="ab"/>
        <w:numPr>
          <w:ilvl w:val="0"/>
          <w:numId w:val="112"/>
        </w:numPr>
      </w:pPr>
      <w:r>
        <w:rPr>
          <w:rFonts w:cs="Arial"/>
          <w:rtl/>
        </w:rPr>
        <w:t xml:space="preserve">הגמ"ר </w:t>
      </w:r>
      <w:r>
        <w:rPr>
          <w:rFonts w:cs="Arial"/>
          <w:sz w:val="16"/>
          <w:szCs w:val="16"/>
          <w:rtl/>
        </w:rPr>
        <w:t>(קידושין סי' תקמז)</w:t>
      </w:r>
      <w:r w:rsidR="00A82951">
        <w:rPr>
          <w:rFonts w:cs="Arial"/>
          <w:rtl/>
        </w:rPr>
        <w:t>-</w:t>
      </w:r>
      <w:r>
        <w:rPr>
          <w:rFonts w:cs="Arial"/>
          <w:rtl/>
        </w:rPr>
        <w:t xml:space="preserve"> נשאלתי על עסק ראובן שנתן ממון לשמעון שיתן גט לאשתו</w:t>
      </w:r>
      <w:r w:rsidR="000174EA">
        <w:rPr>
          <w:rFonts w:cs="Arial" w:hint="cs"/>
          <w:rtl/>
        </w:rPr>
        <w:t>,</w:t>
      </w:r>
      <w:r>
        <w:rPr>
          <w:rFonts w:cs="Arial"/>
          <w:rtl/>
        </w:rPr>
        <w:t xml:space="preserve"> וגם מעלה לה מזונות והכל כדי שיקחנה. נראה לי דצלל במים אדירים והעלה בידו חרס ולא תעשה מחשבתו ולא תנשא לו כלל מפני שנראה כמוסרין נשותיהן זה לזה, דהכי אמרי' פרק המגרש ה"ז גיטך ע"מ שתנשאי לפלוני </w:t>
      </w:r>
      <w:r w:rsidR="00A82951">
        <w:rPr>
          <w:rFonts w:cs="Arial"/>
          <w:rtl/>
        </w:rPr>
        <w:t>-</w:t>
      </w:r>
      <w:r>
        <w:rPr>
          <w:rFonts w:cs="Arial"/>
          <w:rtl/>
        </w:rPr>
        <w:t xml:space="preserve"> הרי זו לא תנשא לא לו ולא לאחר. ואמרינן לא לו </w:t>
      </w:r>
      <w:r w:rsidR="00A82951">
        <w:rPr>
          <w:rFonts w:cs="Arial"/>
          <w:rtl/>
        </w:rPr>
        <w:t>-</w:t>
      </w:r>
      <w:r>
        <w:rPr>
          <w:rFonts w:cs="Arial"/>
          <w:rtl/>
        </w:rPr>
        <w:t xml:space="preserve"> שמא יאמרו נשותיהן נותנים במתנה, ולא לאחר </w:t>
      </w:r>
      <w:r w:rsidR="00A82951">
        <w:rPr>
          <w:rFonts w:cs="Arial"/>
          <w:rtl/>
        </w:rPr>
        <w:t>-</w:t>
      </w:r>
      <w:r>
        <w:rPr>
          <w:rFonts w:cs="Arial"/>
          <w:rtl/>
        </w:rPr>
        <w:t xml:space="preserve"> דבעי לקיומי לתנאיה. וכ"ש בנדון זה שמעלה לה מזונות ונתן ממון לבעלה כדי שיגרשנה שאסורה היא לו</w:t>
      </w:r>
      <w:r>
        <w:rPr>
          <w:rtl/>
        </w:rPr>
        <w:t>.</w:t>
      </w:r>
      <w:r>
        <w:rPr>
          <w:rFonts w:cs="Arial"/>
          <w:rtl/>
        </w:rPr>
        <w:t xml:space="preserve"> </w:t>
      </w:r>
      <w:r>
        <w:rPr>
          <w:color w:val="00B0F0"/>
          <w:rtl/>
        </w:rPr>
        <w:t>(וכ"פ הרמ"א)</w:t>
      </w:r>
    </w:p>
    <w:p w14:paraId="5CEC9EE3"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7C98583B" w14:textId="77777777" w:rsidR="00C97BEF" w:rsidRDefault="00C97BEF" w:rsidP="00C97BEF">
      <w:pPr>
        <w:rPr>
          <w:rtl/>
        </w:rPr>
      </w:pPr>
      <w:r>
        <w:rPr>
          <w:rFonts w:cs="Arial"/>
          <w:rtl/>
        </w:rPr>
        <w:t>אמר לה: על מנת שתנשאי לפלוני, אם נשאת לו, הרי זו מגורשת. אבל אמרו חכמים: לא תנשא לו, שלא יאמרו נשותיהם נותנים במתנה זה לזה</w:t>
      </w:r>
      <w:r>
        <w:rPr>
          <w:rStyle w:val="a7"/>
          <w:rFonts w:cs="Arial"/>
          <w:rtl/>
        </w:rPr>
        <w:footnoteReference w:id="2440"/>
      </w:r>
      <w:r>
        <w:rPr>
          <w:rFonts w:cs="Arial"/>
          <w:rtl/>
        </w:rPr>
        <w:t xml:space="preserve">. </w:t>
      </w:r>
      <w:r>
        <w:rPr>
          <w:rFonts w:cs="Arial"/>
          <w:sz w:val="18"/>
          <w:szCs w:val="18"/>
          <w:rtl/>
        </w:rPr>
        <w:t>הגה: ואפילו לא התנה עמה בפירוש שתנשא לפלוני, אלא שניכר שגירשה משום זה, כגון שאותו פלוני נתן לה ממון כדי לגרשה, והוא מעלה לה מזונות כדי שיקחנה, וכל כיוצא בזה (הגמ"ר).</w:t>
      </w:r>
      <w:r>
        <w:rPr>
          <w:rFonts w:cs="Arial"/>
          <w:rtl/>
        </w:rPr>
        <w:t xml:space="preserve"> ואם נשאת, לא תצא. ואם נשאת לו תחלה, וגירשה, מותרת לכל, שהרי נתקיים התנאי. נשאת לאחר קודם שתנשא לאותו פלוני, תצא ממנו, ולא יחזיר עולמית, וצריכה ממנו גט, והולד ממנו ממזר. </w:t>
      </w:r>
      <w:r>
        <w:rPr>
          <w:rFonts w:cs="Arial"/>
          <w:sz w:val="18"/>
          <w:szCs w:val="18"/>
          <w:rtl/>
        </w:rPr>
        <w:t>הגה: נשאת אח"כ לאותו פלוני שהתנה עמה הבעל, הוי גט למפרע ואין הבנים ממזרים (טור). אבל לא יחזירה עולמית משום דהוי כמחזיר גרושתו (רמ"ה). נתקדשה לאחר</w:t>
      </w:r>
      <w:r>
        <w:rPr>
          <w:rStyle w:val="a7"/>
          <w:rFonts w:cs="Arial"/>
          <w:sz w:val="18"/>
          <w:szCs w:val="18"/>
          <w:rtl/>
        </w:rPr>
        <w:footnoteReference w:id="2441"/>
      </w:r>
      <w:r>
        <w:rPr>
          <w:rFonts w:cs="Arial"/>
          <w:sz w:val="18"/>
          <w:szCs w:val="18"/>
          <w:rtl/>
        </w:rPr>
        <w:t>, תצא ולא תחזור לו אלא אחר מיתת הבעל, או שיתן לה גט אחר בלא תנאי (שם).</w:t>
      </w:r>
      <w:r>
        <w:rPr>
          <w:rFonts w:cs="Arial"/>
          <w:rtl/>
        </w:rPr>
        <w:t xml:space="preserve"> </w:t>
      </w:r>
    </w:p>
    <w:p w14:paraId="7B7DD39B" w14:textId="5220BEAE" w:rsidR="00C97BEF" w:rsidRDefault="00C97BEF" w:rsidP="00C97BEF">
      <w:pPr>
        <w:rPr>
          <w:rFonts w:cs="Arial"/>
          <w:rtl/>
        </w:rPr>
      </w:pPr>
      <w:r>
        <w:rPr>
          <w:rFonts w:cs="Arial"/>
          <w:u w:val="single"/>
          <w:rtl/>
        </w:rPr>
        <w:t xml:space="preserve">אלמן שרוצה לתת כסף לאיש </w:t>
      </w:r>
      <w:r w:rsidR="005122BB">
        <w:rPr>
          <w:rFonts w:cs="Arial" w:hint="cs"/>
          <w:u w:val="single"/>
          <w:rtl/>
        </w:rPr>
        <w:t>כדי שיוכל</w:t>
      </w:r>
      <w:r>
        <w:rPr>
          <w:rFonts w:cs="Arial"/>
          <w:u w:val="single"/>
          <w:rtl/>
        </w:rPr>
        <w:t xml:space="preserve"> לגרש את אשתו</w:t>
      </w:r>
      <w:r w:rsidR="00BD145E">
        <w:rPr>
          <w:rFonts w:cs="Arial" w:hint="cs"/>
          <w:u w:val="single"/>
          <w:rtl/>
        </w:rPr>
        <w:t xml:space="preserve"> </w:t>
      </w:r>
      <w:r w:rsidR="005122BB" w:rsidRPr="005122BB">
        <w:rPr>
          <w:rFonts w:cs="Arial" w:hint="cs"/>
          <w:sz w:val="16"/>
          <w:szCs w:val="16"/>
          <w:u w:val="single"/>
          <w:rtl/>
        </w:rPr>
        <w:t>(</w:t>
      </w:r>
      <w:r w:rsidR="00BD145E" w:rsidRPr="005122BB">
        <w:rPr>
          <w:rFonts w:cs="Arial" w:hint="cs"/>
          <w:sz w:val="16"/>
          <w:szCs w:val="16"/>
          <w:u w:val="single"/>
          <w:rtl/>
        </w:rPr>
        <w:t xml:space="preserve">ע"מ </w:t>
      </w:r>
      <w:r w:rsidR="005122BB">
        <w:rPr>
          <w:rFonts w:cs="Arial" w:hint="cs"/>
          <w:sz w:val="16"/>
          <w:szCs w:val="16"/>
          <w:u w:val="single"/>
          <w:rtl/>
        </w:rPr>
        <w:t>שהוא ישא</w:t>
      </w:r>
      <w:r w:rsidR="005122BB" w:rsidRPr="005122BB">
        <w:rPr>
          <w:rFonts w:cs="Arial" w:hint="cs"/>
          <w:sz w:val="16"/>
          <w:szCs w:val="16"/>
          <w:u w:val="single"/>
          <w:rtl/>
        </w:rPr>
        <w:t xml:space="preserve"> אותה</w:t>
      </w:r>
      <w:r w:rsidR="005122BB">
        <w:rPr>
          <w:rFonts w:cs="Arial" w:hint="cs"/>
          <w:sz w:val="16"/>
          <w:szCs w:val="16"/>
          <w:u w:val="single"/>
          <w:rtl/>
        </w:rPr>
        <w:t>)</w:t>
      </w:r>
      <w:r w:rsidR="005122BB">
        <w:rPr>
          <w:rFonts w:cs="Arial" w:hint="cs"/>
          <w:u w:val="single"/>
          <w:rtl/>
        </w:rPr>
        <w:t>,</w:t>
      </w:r>
      <w:r>
        <w:rPr>
          <w:rFonts w:cs="Arial"/>
          <w:u w:val="single"/>
          <w:rtl/>
        </w:rPr>
        <w:t xml:space="preserve"> והזוג רוצה להתגרש ממילא:</w:t>
      </w:r>
      <w:r>
        <w:rPr>
          <w:rFonts w:cs="Arial"/>
          <w:rtl/>
        </w:rPr>
        <w:t xml:space="preserve"> </w:t>
      </w:r>
      <w:r>
        <w:rPr>
          <w:rFonts w:cs="Arial"/>
          <w:sz w:val="16"/>
          <w:szCs w:val="16"/>
          <w:rtl/>
        </w:rPr>
        <w:t xml:space="preserve">(פת"ש סק"י) </w:t>
      </w:r>
    </w:p>
    <w:p w14:paraId="252BCB09" w14:textId="79DF9E55" w:rsidR="00C97BEF" w:rsidRDefault="00C97BEF" w:rsidP="006A458D">
      <w:pPr>
        <w:pStyle w:val="ab"/>
        <w:numPr>
          <w:ilvl w:val="0"/>
          <w:numId w:val="117"/>
        </w:numPr>
        <w:rPr>
          <w:rFonts w:cs="Arial"/>
          <w:rtl/>
        </w:rPr>
      </w:pPr>
      <w:r>
        <w:rPr>
          <w:rFonts w:cs="Arial"/>
          <w:rtl/>
        </w:rPr>
        <w:t xml:space="preserve">חוות יאיר </w:t>
      </w:r>
      <w:r>
        <w:rPr>
          <w:rFonts w:cs="Arial"/>
          <w:sz w:val="16"/>
          <w:szCs w:val="16"/>
          <w:rtl/>
        </w:rPr>
        <w:t>(סי' קצו)</w:t>
      </w:r>
      <w:r w:rsidR="00A82951">
        <w:rPr>
          <w:rFonts w:cs="Arial"/>
          <w:rtl/>
        </w:rPr>
        <w:t>-</w:t>
      </w:r>
      <w:r>
        <w:rPr>
          <w:rFonts w:cs="Arial"/>
          <w:rtl/>
        </w:rPr>
        <w:t xml:space="preserve"> שאלני פב"פ אלמן אחד זה כמה שנים שהיה בקהלה שלו איש ואשתו עניים מרודים וע"י טורח ועמל רב הי' בכחו להספיק לאשתו לחם צר מים לחץ, וע"י זה רבתה המחלוקת והפירוד ביניהם כמה שנים עד כי יש לחוש לקלקולה על פת לחם כי אינה בעלת מלאכה כלל. והוא מבקש ליתן גט, וגם היא מרוצת רק שתבקש ממנו רק חמשים זהו' שתלביש עצמה אח"כ, אולי תהיה לאיש אח"כ ולא תמות ברעב כי מי ישאנה ערום ויחף. ואין באיש למלאות רצונה בזה. ושאלני האלמן שמטופל בבנים ורצונו ליקח אותה אחר שילוחיה בגט מבעלה אם ישלח אל האשה באם תרצה להתקשר לישאנו גם הוא רוצה להתקשר שישאנה באשר היא וילבישנה לכן תתגרש מאישה בלי בצע כסף. ונתן טעם לדבריו כי ודאי אלו לא רצה האיש לתת גט לאשתו אא"כ תתן לו מכיסה סך מה ואין לה ובא אחד ודיבר אל האשה אם תתקשר עמו שתנשא לו יתן הוא לבעלה סך שמבקש הבעל או יתנוהו לה שתתן לו היה קצת מכוער הדבר ויש לו דמיון מה למעשה שבסוף אגדת החרבן, אף דודאי אינו ענין לו מ"מ יש לזות שפתים לשומע, משא"כ זה דלא עביד מידי רק שידבר עם האשה שתקבל הגט חנם ולא תחוש שתהיה אח"כ לבזיון וחרפה ואין מי שיאסוף חרפתה והוא גט מצוה לכל היודע עסקיהם. ומ"מ השבתי לו באף ובחמה ובקצף גדול שאל יוסיף לראות פני בבקשת עצה נגד מנהג עולם כי לא נכון לדבר עם אשת איש מענין נישואיה אחר גירושיה</w:t>
      </w:r>
      <w:r>
        <w:rPr>
          <w:rStyle w:val="a7"/>
          <w:rFonts w:cs="Arial"/>
          <w:rtl/>
        </w:rPr>
        <w:footnoteReference w:id="2442"/>
      </w:r>
      <w:r>
        <w:rPr>
          <w:rFonts w:cs="Arial"/>
          <w:rtl/>
        </w:rPr>
        <w:t>.</w:t>
      </w:r>
    </w:p>
    <w:p w14:paraId="1C18D723" w14:textId="77777777" w:rsidR="00C97BEF" w:rsidRDefault="00C97BEF" w:rsidP="00C97BEF">
      <w:pPr>
        <w:rPr>
          <w:rtl/>
        </w:rPr>
      </w:pPr>
    </w:p>
    <w:p w14:paraId="00021C68" w14:textId="77777777" w:rsidR="00C97BEF" w:rsidRDefault="00C97BEF" w:rsidP="00C97BEF">
      <w:pPr>
        <w:pStyle w:val="2"/>
        <w:rPr>
          <w:rtl/>
        </w:rPr>
      </w:pPr>
      <w:r>
        <w:rPr>
          <w:rtl/>
        </w:rPr>
        <w:lastRenderedPageBreak/>
        <w:t>סעיף טז: על מנת שלא תנשאי לפלוני.</w:t>
      </w:r>
    </w:p>
    <w:p w14:paraId="6C086838" w14:textId="67A6396F" w:rsidR="00C97BEF" w:rsidRDefault="00C97BEF" w:rsidP="00C97BEF">
      <w:pPr>
        <w:rPr>
          <w:rFonts w:cs="Arial"/>
          <w:rtl/>
        </w:rPr>
      </w:pPr>
      <w:r>
        <w:rPr>
          <w:rFonts w:cs="Arial"/>
          <w:b/>
          <w:bCs/>
          <w:rtl/>
        </w:rPr>
        <w:t xml:space="preserve">גיטין </w:t>
      </w:r>
      <w:r>
        <w:rPr>
          <w:rFonts w:cs="Arial"/>
          <w:b/>
          <w:bCs/>
          <w:sz w:val="16"/>
          <w:szCs w:val="16"/>
          <w:rtl/>
        </w:rPr>
        <w:t>(ר"פ המגרש)</w:t>
      </w:r>
      <w:r>
        <w:rPr>
          <w:rFonts w:cs="Arial"/>
          <w:b/>
          <w:bCs/>
          <w:rtl/>
        </w:rPr>
        <w:t xml:space="preserve"> פב ע"א: </w:t>
      </w:r>
      <w:r>
        <w:rPr>
          <w:rFonts w:cs="Arial"/>
          <w:u w:val="double"/>
          <w:rtl/>
        </w:rPr>
        <w:t>מתני'</w:t>
      </w:r>
      <w:r>
        <w:rPr>
          <w:rFonts w:cs="Arial"/>
          <w:rtl/>
        </w:rPr>
        <w:t xml:space="preserve">: המגרש את אשתו, ואמר לה הרי את מותרת לכל אדם אלא לפלוני </w:t>
      </w:r>
      <w:r w:rsidR="00A82951">
        <w:rPr>
          <w:rFonts w:cs="Arial"/>
          <w:rtl/>
        </w:rPr>
        <w:t>-</w:t>
      </w:r>
      <w:r>
        <w:rPr>
          <w:rFonts w:cs="Arial"/>
          <w:rtl/>
        </w:rPr>
        <w:t xml:space="preserve"> </w:t>
      </w:r>
      <w:r>
        <w:rPr>
          <w:rFonts w:cs="Arial"/>
          <w:u w:val="single"/>
          <w:rtl/>
        </w:rPr>
        <w:t>ר' אליעזר</w:t>
      </w:r>
      <w:r>
        <w:rPr>
          <w:rFonts w:cs="Arial"/>
          <w:rtl/>
        </w:rPr>
        <w:t xml:space="preserve"> מתיר</w:t>
      </w:r>
      <w:r>
        <w:rPr>
          <w:rStyle w:val="a7"/>
          <w:rFonts w:cs="Arial"/>
          <w:rtl/>
        </w:rPr>
        <w:footnoteReference w:id="2443"/>
      </w:r>
      <w:r>
        <w:rPr>
          <w:rFonts w:cs="Arial"/>
          <w:rtl/>
        </w:rPr>
        <w:t xml:space="preserve">, </w:t>
      </w:r>
      <w:r>
        <w:rPr>
          <w:rFonts w:cs="Arial"/>
          <w:u w:val="single"/>
          <w:rtl/>
        </w:rPr>
        <w:t>וחכמים</w:t>
      </w:r>
      <w:r>
        <w:rPr>
          <w:rFonts w:cs="Arial"/>
          <w:rtl/>
        </w:rPr>
        <w:t xml:space="preserve"> אוסרים. כיצד יעשה? יטלנו הימנה, ויחזור ויתננו לה ויאמר לה הרי את מותרת לכל אדם. כתבו בתוכו, אף על פי שחזר ומחקו </w:t>
      </w:r>
      <w:r w:rsidR="00A82951">
        <w:rPr>
          <w:rFonts w:cs="Arial"/>
          <w:rtl/>
        </w:rPr>
        <w:t>-</w:t>
      </w:r>
      <w:r>
        <w:rPr>
          <w:rFonts w:cs="Arial"/>
          <w:rtl/>
        </w:rPr>
        <w:t xml:space="preserve"> פסול.       </w:t>
      </w:r>
      <w:r>
        <w:rPr>
          <w:rFonts w:cs="Arial"/>
          <w:u w:val="double"/>
          <w:rtl/>
        </w:rPr>
        <w:t>גמ'</w:t>
      </w:r>
      <w:r>
        <w:rPr>
          <w:rFonts w:cs="Arial"/>
          <w:rtl/>
        </w:rPr>
        <w:t>: איבעיא להו: האי אלא, חוץ הוא או על מנת הוא</w:t>
      </w:r>
      <w:r>
        <w:rPr>
          <w:rStyle w:val="a7"/>
          <w:rFonts w:cs="Arial"/>
          <w:rtl/>
        </w:rPr>
        <w:footnoteReference w:id="2444"/>
      </w:r>
      <w:r>
        <w:rPr>
          <w:rFonts w:cs="Arial"/>
          <w:rtl/>
        </w:rPr>
        <w:t>? חוץ הוא, ובחוץ הוא דפליגי רבנן עליה דר' אליעזר, דהא שייר לה בגט, אבל בעל מנת מודו ליה</w:t>
      </w:r>
      <w:r>
        <w:rPr>
          <w:rStyle w:val="a7"/>
          <w:rFonts w:cs="Arial"/>
          <w:rtl/>
        </w:rPr>
        <w:footnoteReference w:id="2445"/>
      </w:r>
      <w:r>
        <w:rPr>
          <w:rFonts w:cs="Arial"/>
          <w:rtl/>
        </w:rPr>
        <w:t xml:space="preserve">, מידי דהוה אכל תנאי דעלמא, או דלמא על מנת הוא, ובע"מ הוא דפליג ר' אליעזר אדרבנן, אבל בחוץ מודה, דהא שייר לה בגט? </w:t>
      </w:r>
      <w:r>
        <w:rPr>
          <w:rFonts w:cs="Arial"/>
          <w:u w:val="single"/>
          <w:rtl/>
        </w:rPr>
        <w:t>אמר רבינא</w:t>
      </w:r>
      <w:r>
        <w:rPr>
          <w:rFonts w:cs="Arial"/>
          <w:rtl/>
        </w:rPr>
        <w:t xml:space="preserve">: ת"ש </w:t>
      </w:r>
      <w:r>
        <w:rPr>
          <w:rFonts w:cs="Arial"/>
          <w:sz w:val="16"/>
          <w:szCs w:val="16"/>
          <w:rtl/>
        </w:rPr>
        <w:t>(נגעים פי"ב מ"א)</w:t>
      </w:r>
      <w:r>
        <w:rPr>
          <w:rFonts w:cs="Arial"/>
          <w:rtl/>
        </w:rPr>
        <w:t xml:space="preserve">: כל הבתים מטמאין בנגעים אלא של עובדי כוכבים. אי אמרת בשלמא חוץ הוא </w:t>
      </w:r>
      <w:r w:rsidR="00A82951">
        <w:rPr>
          <w:rFonts w:cs="Arial"/>
          <w:rtl/>
        </w:rPr>
        <w:t>-</w:t>
      </w:r>
      <w:r>
        <w:rPr>
          <w:rFonts w:cs="Arial"/>
          <w:rtl/>
        </w:rPr>
        <w:t xml:space="preserve"> שפיר, אלא אי אמרת על מנת הוא, על מנת דלא מיטמו בתי עובדי כוכבים הוא דמיטמו בתי ישראל, הא מיטמו בתי עובדי כוכבים לא מטמאי בתי ישראל? ועוד, בתי עובדי כוכבים מי מטמאי? והתניא: ונתתי נגע צרעת בבית ארץ אחוזתכם </w:t>
      </w:r>
      <w:r w:rsidR="00A82951">
        <w:rPr>
          <w:rFonts w:cs="Arial"/>
          <w:rtl/>
        </w:rPr>
        <w:t>-</w:t>
      </w:r>
      <w:r>
        <w:rPr>
          <w:rFonts w:cs="Arial"/>
          <w:rtl/>
        </w:rPr>
        <w:t xml:space="preserve"> ארץ אחוזתכם מטמאה בנגעים, ואין בתי עובדי כוכבים מטמאין בנגעים! אלא שמע מינה חוץ הוא, ש"מ.</w:t>
      </w:r>
    </w:p>
    <w:p w14:paraId="19930D28" w14:textId="77777777" w:rsidR="00C97BEF" w:rsidRDefault="00C97BEF" w:rsidP="00C97BEF">
      <w:pPr>
        <w:rPr>
          <w:rFonts w:cs="Arial"/>
          <w:u w:val="single"/>
          <w:rtl/>
        </w:rPr>
      </w:pPr>
      <w:r>
        <w:rPr>
          <w:rFonts w:cs="Arial"/>
          <w:u w:val="single"/>
          <w:rtl/>
        </w:rPr>
        <w:t xml:space="preserve">במה נחלקו ר' אליעזר וחכמים: </w:t>
      </w:r>
    </w:p>
    <w:p w14:paraId="396C6CA8" w14:textId="68EDF000" w:rsidR="00C97BEF" w:rsidRDefault="00C97BEF" w:rsidP="006A458D">
      <w:pPr>
        <w:pStyle w:val="ab"/>
        <w:numPr>
          <w:ilvl w:val="0"/>
          <w:numId w:val="112"/>
        </w:numPr>
        <w:rPr>
          <w:rFonts w:cs="Arial"/>
          <w:rtl/>
        </w:rPr>
      </w:pPr>
      <w:r>
        <w:rPr>
          <w:rFonts w:cs="Arial"/>
          <w:rtl/>
        </w:rPr>
        <w:t xml:space="preserve">רי"ף </w:t>
      </w:r>
      <w:r>
        <w:rPr>
          <w:rFonts w:cs="Arial"/>
          <w:sz w:val="16"/>
          <w:szCs w:val="16"/>
          <w:rtl/>
        </w:rPr>
        <w:t xml:space="preserve">(מג:) </w:t>
      </w:r>
      <w:r>
        <w:rPr>
          <w:rFonts w:cs="Arial"/>
          <w:rtl/>
        </w:rPr>
        <w:t xml:space="preserve">תוס' </w:t>
      </w:r>
      <w:r>
        <w:rPr>
          <w:rFonts w:cs="Arial"/>
          <w:sz w:val="16"/>
          <w:szCs w:val="16"/>
          <w:rtl/>
        </w:rPr>
        <w:t>(פב. ד"ה המגרש</w:t>
      </w:r>
      <w:r w:rsidR="00F21FFB">
        <w:rPr>
          <w:rFonts w:cs="Arial" w:hint="cs"/>
          <w:sz w:val="16"/>
          <w:szCs w:val="16"/>
          <w:rtl/>
        </w:rPr>
        <w:t>,</w:t>
      </w:r>
      <w:r>
        <w:rPr>
          <w:rFonts w:cs="Arial"/>
          <w:sz w:val="16"/>
          <w:szCs w:val="16"/>
          <w:rtl/>
        </w:rPr>
        <w:t xml:space="preserve"> </w:t>
      </w:r>
      <w:r w:rsidR="00F21FFB">
        <w:rPr>
          <w:rFonts w:cs="Arial" w:hint="cs"/>
          <w:sz w:val="16"/>
          <w:szCs w:val="16"/>
          <w:rtl/>
        </w:rPr>
        <w:t>פב</w:t>
      </w:r>
      <w:r>
        <w:rPr>
          <w:rFonts w:cs="Arial"/>
          <w:sz w:val="16"/>
          <w:szCs w:val="16"/>
          <w:rtl/>
        </w:rPr>
        <w:t xml:space="preserve">: ד"ה אפילו) </w:t>
      </w:r>
      <w:r>
        <w:rPr>
          <w:rFonts w:cs="Arial"/>
          <w:rtl/>
        </w:rPr>
        <w:t xml:space="preserve">רשב"א </w:t>
      </w:r>
      <w:r>
        <w:rPr>
          <w:rFonts w:cs="Arial"/>
          <w:sz w:val="16"/>
          <w:szCs w:val="16"/>
          <w:rtl/>
        </w:rPr>
        <w:t>(פב. ד"ה אלא, ובמיוחסות</w:t>
      </w:r>
      <w:r>
        <w:rPr>
          <w:rStyle w:val="a7"/>
          <w:rFonts w:cs="Arial"/>
          <w:sz w:val="16"/>
          <w:szCs w:val="16"/>
          <w:rtl/>
        </w:rPr>
        <w:footnoteReference w:id="2446"/>
      </w:r>
      <w:r>
        <w:rPr>
          <w:rFonts w:cs="Arial"/>
          <w:sz w:val="16"/>
          <w:szCs w:val="16"/>
          <w:rtl/>
        </w:rPr>
        <w:t xml:space="preserve"> סי' קכט) </w:t>
      </w:r>
      <w:r>
        <w:rPr>
          <w:rFonts w:cs="Arial"/>
          <w:rtl/>
        </w:rPr>
        <w:t xml:space="preserve">ורא"ש </w:t>
      </w:r>
      <w:r>
        <w:rPr>
          <w:rFonts w:cs="Arial"/>
          <w:sz w:val="16"/>
          <w:szCs w:val="16"/>
          <w:rtl/>
        </w:rPr>
        <w:t>(</w:t>
      </w:r>
      <w:r w:rsidR="00002121">
        <w:rPr>
          <w:rFonts w:cs="Arial" w:hint="cs"/>
          <w:sz w:val="16"/>
          <w:szCs w:val="16"/>
          <w:rtl/>
        </w:rPr>
        <w:t xml:space="preserve">פ"ט </w:t>
      </w:r>
      <w:r>
        <w:rPr>
          <w:rFonts w:cs="Arial"/>
          <w:sz w:val="16"/>
          <w:szCs w:val="16"/>
          <w:rtl/>
        </w:rPr>
        <w:t>סי' א)</w:t>
      </w:r>
      <w:r w:rsidR="00A82951">
        <w:rPr>
          <w:rFonts w:cs="Arial"/>
          <w:rtl/>
        </w:rPr>
        <w:t>-</w:t>
      </w:r>
      <w:r>
        <w:rPr>
          <w:rFonts w:cs="Arial"/>
          <w:rtl/>
        </w:rPr>
        <w:t xml:space="preserve"> פש</w:t>
      </w:r>
      <w:r w:rsidR="002408B6">
        <w:rPr>
          <w:rFonts w:cs="Arial" w:hint="cs"/>
          <w:rtl/>
        </w:rPr>
        <w:t>י</w:t>
      </w:r>
      <w:r>
        <w:rPr>
          <w:rFonts w:cs="Arial"/>
          <w:rtl/>
        </w:rPr>
        <w:t>ט רבינא דחוץ הוא, אבל בעל מנת מודו ליה</w:t>
      </w:r>
      <w:r w:rsidR="00002121">
        <w:rPr>
          <w:rFonts w:cs="Arial" w:hint="cs"/>
          <w:sz w:val="16"/>
          <w:szCs w:val="16"/>
          <w:rtl/>
        </w:rPr>
        <w:t xml:space="preserve"> (ל'  הרא"ש)</w:t>
      </w:r>
      <w:r>
        <w:rPr>
          <w:rStyle w:val="a7"/>
          <w:rFonts w:cs="Arial"/>
          <w:rtl/>
        </w:rPr>
        <w:footnoteReference w:id="2447"/>
      </w:r>
      <w:r>
        <w:rPr>
          <w:rFonts w:cs="Arial"/>
          <w:rtl/>
        </w:rPr>
        <w:t>.</w:t>
      </w:r>
    </w:p>
    <w:p w14:paraId="0F913A8E" w14:textId="03706968" w:rsidR="00C97BEF" w:rsidRDefault="00C97BEF" w:rsidP="006A458D">
      <w:pPr>
        <w:pStyle w:val="ab"/>
        <w:numPr>
          <w:ilvl w:val="0"/>
          <w:numId w:val="112"/>
        </w:numPr>
        <w:rPr>
          <w:rFonts w:cs="Arial"/>
        </w:rPr>
      </w:pPr>
      <w:r>
        <w:rPr>
          <w:rFonts w:cs="Arial"/>
          <w:rtl/>
        </w:rPr>
        <w:t xml:space="preserve">רמב"ם </w:t>
      </w:r>
      <w:r>
        <w:rPr>
          <w:rFonts w:cs="Arial"/>
          <w:sz w:val="16"/>
          <w:szCs w:val="16"/>
          <w:rtl/>
        </w:rPr>
        <w:t>(פ"ח הי"ב)</w:t>
      </w:r>
      <w:r w:rsidR="00A82951">
        <w:rPr>
          <w:rFonts w:cs="Arial"/>
          <w:rtl/>
        </w:rPr>
        <w:t>-</w:t>
      </w:r>
      <w:r>
        <w:rPr>
          <w:rFonts w:cs="Arial"/>
          <w:rtl/>
        </w:rPr>
        <w:t xml:space="preserve"> בחוץ הוא דפליגי, אבל בעל מנת מודו חכמים לר' אליעזר דהוי גט ומ</w:t>
      </w:r>
      <w:r w:rsidR="00824457">
        <w:rPr>
          <w:rFonts w:cs="Arial" w:hint="cs"/>
          <w:rtl/>
        </w:rPr>
        <w:t>ו</w:t>
      </w:r>
      <w:r>
        <w:rPr>
          <w:rFonts w:cs="Arial"/>
          <w:rtl/>
        </w:rPr>
        <w:t xml:space="preserve">תרת להנשא, ובלבד שאמר לה על מנת שלא תנשאי לפלוני עד חמשים שנה. אבל אם אמר סתם על מנת שלא תנשאי לפלוני </w:t>
      </w:r>
      <w:r w:rsidR="00A82951">
        <w:rPr>
          <w:rFonts w:cs="Arial"/>
          <w:rtl/>
        </w:rPr>
        <w:t>-</w:t>
      </w:r>
      <w:r>
        <w:rPr>
          <w:rFonts w:cs="Arial"/>
          <w:rtl/>
        </w:rPr>
        <w:t xml:space="preserve"> אינו גט, כיון שכל ימיה אגידא ביה</w:t>
      </w:r>
      <w:r>
        <w:rPr>
          <w:rStyle w:val="a7"/>
          <w:rFonts w:cs="Arial"/>
          <w:rtl/>
        </w:rPr>
        <w:footnoteReference w:id="2448"/>
      </w:r>
      <w:r>
        <w:rPr>
          <w:rFonts w:cs="Arial"/>
          <w:sz w:val="16"/>
          <w:szCs w:val="16"/>
          <w:rtl/>
        </w:rPr>
        <w:t xml:space="preserve"> (ל' הב"י)</w:t>
      </w:r>
      <w:r>
        <w:rPr>
          <w:rFonts w:cs="Arial"/>
          <w:rtl/>
        </w:rPr>
        <w:t>.</w:t>
      </w:r>
      <w:r>
        <w:rPr>
          <w:rFonts w:cs="Arial"/>
          <w:color w:val="E36C0A" w:themeColor="accent6" w:themeShade="BF"/>
          <w:rtl/>
        </w:rPr>
        <w:t xml:space="preserve"> (וכ"פ בשו"ע</w:t>
      </w:r>
      <w:r>
        <w:rPr>
          <w:rFonts w:cs="Arial"/>
          <w:color w:val="E36C0A" w:themeColor="accent6" w:themeShade="BF"/>
          <w:sz w:val="16"/>
          <w:szCs w:val="16"/>
          <w:rtl/>
        </w:rPr>
        <w:t xml:space="preserve"> </w:t>
      </w:r>
      <w:r>
        <w:rPr>
          <w:rFonts w:cs="Arial"/>
          <w:color w:val="000000" w:themeColor="text1"/>
          <w:sz w:val="16"/>
          <w:szCs w:val="16"/>
          <w:rtl/>
        </w:rPr>
        <w:t>[וע"ע בסע' כב]</w:t>
      </w:r>
      <w:r>
        <w:rPr>
          <w:rFonts w:cs="Arial"/>
          <w:color w:val="E36C0A" w:themeColor="accent6" w:themeShade="BF"/>
          <w:rtl/>
        </w:rPr>
        <w:t>)</w:t>
      </w:r>
    </w:p>
    <w:p w14:paraId="5180250A" w14:textId="77777777" w:rsidR="00C97BEF" w:rsidRDefault="00C97BEF" w:rsidP="00C97BEF">
      <w:pPr>
        <w:rPr>
          <w:u w:val="single"/>
          <w:rtl/>
        </w:rPr>
      </w:pPr>
      <w:r>
        <w:rPr>
          <w:rFonts w:cs="Arial"/>
          <w:u w:val="single"/>
          <w:rtl/>
        </w:rPr>
        <w:t>אמר לה 'הרי זה גיטיך על מנת שלא תנשאי לפלוני</w:t>
      </w:r>
      <w:r>
        <w:rPr>
          <w:u w:val="single"/>
          <w:rtl/>
        </w:rPr>
        <w:t>':</w:t>
      </w:r>
    </w:p>
    <w:p w14:paraId="3C19C71A" w14:textId="68957014"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אמר לה ע"מ שלא תנשאי לפלוני </w:t>
      </w:r>
      <w:r w:rsidR="00A82951">
        <w:rPr>
          <w:rFonts w:cs="Arial"/>
          <w:rtl/>
        </w:rPr>
        <w:t>-</w:t>
      </w:r>
      <w:r>
        <w:rPr>
          <w:rFonts w:cs="Arial"/>
          <w:rtl/>
        </w:rPr>
        <w:t xml:space="preserve"> ה"ז גט ומותרת לינשא מיד</w:t>
      </w:r>
      <w:r>
        <w:rPr>
          <w:rStyle w:val="a7"/>
          <w:rFonts w:cs="Arial"/>
          <w:rtl/>
        </w:rPr>
        <w:footnoteReference w:id="2449"/>
      </w:r>
      <w:r>
        <w:rPr>
          <w:rFonts w:cs="Arial"/>
          <w:rtl/>
        </w:rPr>
        <w:t xml:space="preserve"> כיון שבידה לקיימו, שאי איפשר לינשא לו אלא מדעתה. </w:t>
      </w:r>
    </w:p>
    <w:p w14:paraId="43F7FB73" w14:textId="6D6C4550" w:rsidR="00C97BEF" w:rsidRDefault="00C97BEF" w:rsidP="006A458D">
      <w:pPr>
        <w:pStyle w:val="ab"/>
        <w:numPr>
          <w:ilvl w:val="0"/>
          <w:numId w:val="112"/>
        </w:numPr>
        <w:rPr>
          <w:rFonts w:cs="Arial"/>
        </w:rPr>
      </w:pPr>
      <w:r>
        <w:rPr>
          <w:rFonts w:cs="Arial"/>
          <w:rtl/>
        </w:rPr>
        <w:t xml:space="preserve">רמב"ם </w:t>
      </w:r>
      <w:r>
        <w:rPr>
          <w:rFonts w:cs="Arial"/>
          <w:sz w:val="16"/>
          <w:szCs w:val="16"/>
          <w:rtl/>
        </w:rPr>
        <w:t>(פ"ח הי"ב)</w:t>
      </w:r>
      <w:r w:rsidR="00A82951">
        <w:rPr>
          <w:rFonts w:cs="Arial"/>
          <w:rtl/>
        </w:rPr>
        <w:t>-</w:t>
      </w:r>
      <w:r>
        <w:rPr>
          <w:rFonts w:cs="Arial"/>
          <w:rtl/>
        </w:rPr>
        <w:t xml:space="preserve"> הרי זה גיטיך על מנת שלא תנשאי לפלוני </w:t>
      </w:r>
      <w:r w:rsidR="00A82951">
        <w:rPr>
          <w:rFonts w:cs="Arial"/>
          <w:rtl/>
        </w:rPr>
        <w:t>-</w:t>
      </w:r>
      <w:r>
        <w:rPr>
          <w:rFonts w:cs="Arial"/>
          <w:rtl/>
        </w:rPr>
        <w:t xml:space="preserve"> אינו גט, הא למה זה דומה לאומר לה על מנת שלא תשתי יין זה לעולם או שלא תלכי לבית אביך לעולם או כל ימי חייכי. אבל אם אמר לה על מנת שלא תנשאי לפלוני עד חמשים שנה</w:t>
      </w:r>
      <w:r>
        <w:rPr>
          <w:rStyle w:val="a7"/>
          <w:rFonts w:cs="Arial"/>
          <w:rtl/>
        </w:rPr>
        <w:footnoteReference w:id="2450"/>
      </w:r>
      <w:r>
        <w:rPr>
          <w:rFonts w:cs="Arial"/>
          <w:rtl/>
        </w:rPr>
        <w:t xml:space="preserve"> </w:t>
      </w:r>
      <w:r w:rsidR="00A82951">
        <w:rPr>
          <w:rFonts w:cs="Arial"/>
          <w:rtl/>
        </w:rPr>
        <w:t>-</w:t>
      </w:r>
      <w:r>
        <w:rPr>
          <w:rFonts w:cs="Arial"/>
          <w:rtl/>
        </w:rPr>
        <w:t xml:space="preserve"> הרי זה גט ולא תנשא לו כל זמן שהתנה, ואם נשאת בטל הגט למפרע. זינת עמו </w:t>
      </w:r>
      <w:r w:rsidR="00A82951">
        <w:rPr>
          <w:rFonts w:cs="Arial"/>
          <w:rtl/>
        </w:rPr>
        <w:t>-</w:t>
      </w:r>
      <w:r>
        <w:rPr>
          <w:rFonts w:cs="Arial"/>
          <w:rtl/>
        </w:rPr>
        <w:t xml:space="preserve"> הולד ממנו כשר והגט כשר, שלא התנה עמה אלא על הנשואין.</w:t>
      </w:r>
      <w:r>
        <w:rPr>
          <w:rFonts w:cs="Arial"/>
          <w:color w:val="E36C0A" w:themeColor="accent6" w:themeShade="BF"/>
          <w:rtl/>
        </w:rPr>
        <w:t xml:space="preserve"> (וכ"פ בשו"ע </w:t>
      </w:r>
      <w:r>
        <w:rPr>
          <w:rFonts w:cs="Arial"/>
          <w:color w:val="000000" w:themeColor="text1"/>
          <w:sz w:val="16"/>
          <w:szCs w:val="16"/>
          <w:rtl/>
        </w:rPr>
        <w:t>[וע"ע בסע' כב]</w:t>
      </w:r>
      <w:r>
        <w:rPr>
          <w:rFonts w:cs="Arial"/>
          <w:color w:val="E36C0A" w:themeColor="accent6" w:themeShade="BF"/>
          <w:rtl/>
        </w:rPr>
        <w:t>)</w:t>
      </w:r>
    </w:p>
    <w:p w14:paraId="1B763DCD" w14:textId="77777777" w:rsidR="00C97BEF" w:rsidRDefault="00C97BEF" w:rsidP="00C97BEF">
      <w:pPr>
        <w:ind w:left="360"/>
        <w:rPr>
          <w:rFonts w:cs="Arial"/>
          <w:u w:val="dotted"/>
        </w:rPr>
      </w:pPr>
      <w:r>
        <w:rPr>
          <w:rFonts w:cs="Arial"/>
          <w:u w:val="dotted"/>
          <w:rtl/>
        </w:rPr>
        <w:t>האם יש תקנה שתאפשר לה להתחתן עם אותו פלוני:</w:t>
      </w:r>
    </w:p>
    <w:p w14:paraId="222D9ED7" w14:textId="2425340F" w:rsidR="00C97BEF" w:rsidRDefault="00C97BEF" w:rsidP="006A458D">
      <w:pPr>
        <w:pStyle w:val="ab"/>
        <w:numPr>
          <w:ilvl w:val="0"/>
          <w:numId w:val="112"/>
        </w:numPr>
        <w:rPr>
          <w:rFonts w:cs="Arial"/>
        </w:rPr>
      </w:pPr>
      <w:r>
        <w:rPr>
          <w:rFonts w:cs="Arial"/>
          <w:rtl/>
        </w:rPr>
        <w:t xml:space="preserve">רא"ש </w:t>
      </w:r>
      <w:r>
        <w:rPr>
          <w:rFonts w:cs="Arial"/>
          <w:sz w:val="16"/>
          <w:szCs w:val="16"/>
          <w:rtl/>
        </w:rPr>
        <w:t>(כלל מה סי' כו)</w:t>
      </w:r>
      <w:r>
        <w:rPr>
          <w:rFonts w:cs="Arial"/>
          <w:rtl/>
        </w:rPr>
        <w:t xml:space="preserve"> וטור</w:t>
      </w:r>
      <w:r w:rsidR="00A82951">
        <w:rPr>
          <w:rFonts w:cs="Arial"/>
          <w:rtl/>
        </w:rPr>
        <w:t>-</w:t>
      </w:r>
      <w:r>
        <w:rPr>
          <w:rFonts w:cs="Arial"/>
          <w:rtl/>
        </w:rPr>
        <w:t xml:space="preserve"> ואין תקנה להתירה לו אא"כ יקדשנה המגרש ויחזור ויגרשנה סתם. אבל אין תקנה להתירה במה שיטלנו מידה ויחזור ויתננו לה סתם, כי כבר אינה ברשותו, שגט גמור נתן לה אלא שהטיל בו תנאי. ואם נישאת לאחר וגירשה האחר אפי' סתם </w:t>
      </w:r>
      <w:r w:rsidR="00A82951">
        <w:rPr>
          <w:rFonts w:cs="Arial"/>
          <w:rtl/>
        </w:rPr>
        <w:t>-</w:t>
      </w:r>
      <w:r>
        <w:rPr>
          <w:rFonts w:cs="Arial"/>
          <w:rtl/>
        </w:rPr>
        <w:t xml:space="preserve"> לא הותרה עדיין לאותו פלוני. ואם נישאת לו </w:t>
      </w:r>
      <w:r w:rsidR="00A82951">
        <w:rPr>
          <w:rFonts w:cs="Arial"/>
          <w:rtl/>
        </w:rPr>
        <w:t>-</w:t>
      </w:r>
      <w:r>
        <w:rPr>
          <w:rFonts w:cs="Arial"/>
          <w:rtl/>
        </w:rPr>
        <w:t xml:space="preserve"> בטל הגט ובניה ממזרים מן הראשון</w:t>
      </w:r>
      <w:r>
        <w:rPr>
          <w:rFonts w:cs="Arial"/>
          <w:sz w:val="16"/>
          <w:szCs w:val="16"/>
          <w:rtl/>
        </w:rPr>
        <w:t xml:space="preserve"> (ל' הטור)</w:t>
      </w:r>
      <w:r>
        <w:rPr>
          <w:rStyle w:val="a7"/>
          <w:rFonts w:cs="Arial"/>
          <w:rtl/>
        </w:rPr>
        <w:footnoteReference w:id="2451"/>
      </w:r>
      <w:r>
        <w:rPr>
          <w:rFonts w:cs="Arial"/>
          <w:rtl/>
        </w:rPr>
        <w:t xml:space="preserve">. </w:t>
      </w:r>
      <w:r>
        <w:rPr>
          <w:rFonts w:cs="Arial"/>
          <w:color w:val="E36C0A" w:themeColor="accent6" w:themeShade="BF"/>
          <w:rtl/>
        </w:rPr>
        <w:t>(וכ"פ בשו"ע)</w:t>
      </w:r>
    </w:p>
    <w:p w14:paraId="4B336EE1" w14:textId="29349276" w:rsidR="00C97BEF" w:rsidRDefault="00C97BEF" w:rsidP="00C97BEF">
      <w:pPr>
        <w:rPr>
          <w:rFonts w:cs="Arial"/>
          <w:u w:val="single"/>
        </w:rPr>
      </w:pPr>
      <w:r>
        <w:rPr>
          <w:rFonts w:cs="Arial"/>
          <w:u w:val="single"/>
          <w:rtl/>
        </w:rPr>
        <w:lastRenderedPageBreak/>
        <w:t xml:space="preserve">ראובן גרש את אשתו ע"מ שלא תינשא לשמעון, ונשאה ללוי, ומתו לוי וראובן </w:t>
      </w:r>
      <w:r w:rsidR="00A82951">
        <w:rPr>
          <w:rFonts w:cs="Arial"/>
          <w:u w:val="single"/>
          <w:rtl/>
        </w:rPr>
        <w:t>-</w:t>
      </w:r>
      <w:r>
        <w:rPr>
          <w:rFonts w:cs="Arial"/>
          <w:u w:val="single"/>
          <w:rtl/>
        </w:rPr>
        <w:t xml:space="preserve"> מה הדין אם נשאה עכשיו לשמעון:</w:t>
      </w:r>
    </w:p>
    <w:p w14:paraId="0F31803D" w14:textId="66E05CF5" w:rsidR="00C97BEF" w:rsidRDefault="00C97BEF" w:rsidP="006A458D">
      <w:pPr>
        <w:pStyle w:val="ab"/>
        <w:numPr>
          <w:ilvl w:val="0"/>
          <w:numId w:val="112"/>
        </w:numPr>
        <w:rPr>
          <w:rFonts w:cs="Arial"/>
        </w:rPr>
      </w:pPr>
      <w:r>
        <w:rPr>
          <w:rFonts w:cs="Arial"/>
          <w:rtl/>
        </w:rPr>
        <w:t xml:space="preserve">תשב"ץ </w:t>
      </w:r>
      <w:r>
        <w:rPr>
          <w:rFonts w:cs="Arial"/>
          <w:sz w:val="16"/>
          <w:szCs w:val="16"/>
          <w:rtl/>
        </w:rPr>
        <w:t>(ח"א סי' יא)</w:t>
      </w:r>
      <w:r w:rsidR="00A82951">
        <w:rPr>
          <w:rFonts w:cs="Arial"/>
          <w:rtl/>
        </w:rPr>
        <w:t>-</w:t>
      </w:r>
      <w:r>
        <w:rPr>
          <w:rFonts w:cs="Arial"/>
          <w:rtl/>
        </w:rPr>
        <w:t xml:space="preserve"> מי שגירש אשתו, ואסרה על שמעון, ונישאת ללוי, והיו לה בנים ממנו, ונתאלמנה. ומת המגרש, ונישאת אחר כך לשמעון שנאסרה עליו. לדעת התוספות </w:t>
      </w:r>
      <w:r w:rsidR="00A82951">
        <w:rPr>
          <w:rFonts w:cs="Arial"/>
          <w:rtl/>
        </w:rPr>
        <w:t>-</w:t>
      </w:r>
      <w:r>
        <w:rPr>
          <w:rFonts w:cs="Arial"/>
          <w:rtl/>
        </w:rPr>
        <w:t xml:space="preserve"> הגט בטל ובניה ממזרים. אבל בה"ג כתב (הלכות גיטין עז:) גבי על מנת שלא תשתי יין כל ימי חיי פלוני (גיטין פג:) ופליגי רבנן ואמרי כיון דבחייו לא עברה עילויה תנאיה ולאחר מיתה הוא דעברה, כיון דמית ליה </w:t>
      </w:r>
      <w:r w:rsidR="00A82951">
        <w:rPr>
          <w:rFonts w:cs="Arial"/>
          <w:rtl/>
        </w:rPr>
        <w:t>-</w:t>
      </w:r>
      <w:r>
        <w:rPr>
          <w:rFonts w:cs="Arial"/>
          <w:rtl/>
        </w:rPr>
        <w:t xml:space="preserve"> בטיל ליה תנאיה ולא בטיל ליה גט למפרע</w:t>
      </w:r>
      <w:r>
        <w:rPr>
          <w:rStyle w:val="a7"/>
          <w:rFonts w:cs="Arial"/>
          <w:rtl/>
        </w:rPr>
        <w:footnoteReference w:id="2452"/>
      </w:r>
      <w:r>
        <w:rPr>
          <w:rFonts w:cs="Arial"/>
          <w:rtl/>
        </w:rPr>
        <w:t xml:space="preserve">. עד כאן. </w:t>
      </w:r>
    </w:p>
    <w:p w14:paraId="7911571C" w14:textId="77777777" w:rsidR="00C97BEF" w:rsidRDefault="00C97BEF" w:rsidP="00C97BEF">
      <w:pPr>
        <w:ind w:left="360"/>
        <w:rPr>
          <w:rFonts w:cs="Arial"/>
          <w:u w:val="dotted"/>
        </w:rPr>
      </w:pPr>
      <w:r>
        <w:rPr>
          <w:rFonts w:cs="Arial"/>
          <w:u w:val="dotted"/>
          <w:rtl/>
        </w:rPr>
        <w:t>ומה הדין אם לא נשאת לשום אדם עד שמת המגרש:</w:t>
      </w:r>
    </w:p>
    <w:p w14:paraId="2947BACB" w14:textId="063B45FF" w:rsidR="00C97BEF" w:rsidRDefault="00B04E6A" w:rsidP="006A458D">
      <w:pPr>
        <w:pStyle w:val="ab"/>
        <w:numPr>
          <w:ilvl w:val="0"/>
          <w:numId w:val="112"/>
        </w:numPr>
        <w:rPr>
          <w:rFonts w:cs="Arial"/>
        </w:rPr>
      </w:pPr>
      <w:r>
        <w:rPr>
          <w:rFonts w:cs="Arial" w:hint="cs"/>
          <w:rtl/>
        </w:rPr>
        <w:t xml:space="preserve">ב"י- </w:t>
      </w:r>
      <w:r w:rsidR="00C97BEF">
        <w:rPr>
          <w:rFonts w:cs="Arial"/>
          <w:rtl/>
        </w:rPr>
        <w:t xml:space="preserve">ואם לא נישאת לשום אדם עד שמת המגרש </w:t>
      </w:r>
      <w:r w:rsidR="00A82951">
        <w:rPr>
          <w:rFonts w:cs="Arial"/>
          <w:rtl/>
        </w:rPr>
        <w:t>-</w:t>
      </w:r>
      <w:r w:rsidR="00C97BEF">
        <w:rPr>
          <w:rFonts w:cs="Arial"/>
          <w:rtl/>
        </w:rPr>
        <w:t xml:space="preserve"> פשיטא דמותרת לשמעון. אבל יש דקדוק בזה, שאם נתאלמנה משמעון שנאסרה עליו, אם מותרת לכהונה כיון שנתבטל הגט, או אסורה</w:t>
      </w:r>
      <w:r w:rsidR="00407360">
        <w:rPr>
          <w:rFonts w:cs="Arial" w:hint="cs"/>
          <w:rtl/>
        </w:rPr>
        <w:t>,</w:t>
      </w:r>
      <w:r w:rsidR="00C97BEF">
        <w:rPr>
          <w:rFonts w:cs="Arial"/>
          <w:rtl/>
        </w:rPr>
        <w:t xml:space="preserve"> דתנאי נתבטל גט לא נתבטל. והכי משמע. </w:t>
      </w:r>
      <w:r w:rsidR="00C97BEF">
        <w:rPr>
          <w:rFonts w:cs="Arial"/>
          <w:color w:val="00B0F0"/>
          <w:rtl/>
        </w:rPr>
        <w:t>(וכ"פ הרמ"א)</w:t>
      </w:r>
    </w:p>
    <w:p w14:paraId="3FD5CDB2" w14:textId="137D7294" w:rsidR="00C97BEF" w:rsidRDefault="00C97BEF" w:rsidP="00C97BEF">
      <w:pPr>
        <w:rPr>
          <w:rFonts w:cs="Arial"/>
          <w:sz w:val="16"/>
          <w:szCs w:val="16"/>
          <w:u w:val="single"/>
          <w:rtl/>
        </w:rPr>
      </w:pPr>
      <w:r>
        <w:rPr>
          <w:rFonts w:cs="Arial"/>
          <w:u w:val="single"/>
          <w:rtl/>
        </w:rPr>
        <w:t xml:space="preserve">מי שכופין אותו לגרש </w:t>
      </w:r>
      <w:r w:rsidR="00A82951">
        <w:rPr>
          <w:rFonts w:cs="Arial"/>
          <w:u w:val="single"/>
          <w:rtl/>
        </w:rPr>
        <w:t>-</w:t>
      </w:r>
      <w:r>
        <w:rPr>
          <w:rFonts w:cs="Arial"/>
          <w:u w:val="single"/>
          <w:rtl/>
        </w:rPr>
        <w:t xml:space="preserve"> האם יכול להתנות 'על מנת שלא תנשאי לפלוני':</w:t>
      </w:r>
      <w:r>
        <w:rPr>
          <w:rFonts w:cs="Arial"/>
          <w:sz w:val="16"/>
          <w:szCs w:val="16"/>
          <w:rtl/>
        </w:rPr>
        <w:t xml:space="preserve"> (ב"י בבדה"ב)</w:t>
      </w:r>
    </w:p>
    <w:p w14:paraId="0840F83D" w14:textId="065E8560" w:rsidR="00C97BEF" w:rsidRDefault="00C97BEF" w:rsidP="006A458D">
      <w:pPr>
        <w:pStyle w:val="ab"/>
        <w:numPr>
          <w:ilvl w:val="0"/>
          <w:numId w:val="112"/>
        </w:numPr>
        <w:rPr>
          <w:rtl/>
        </w:rPr>
      </w:pPr>
      <w:r>
        <w:rPr>
          <w:rFonts w:cs="Arial"/>
          <w:rtl/>
        </w:rPr>
        <w:t xml:space="preserve">רשב"א </w:t>
      </w:r>
      <w:r>
        <w:rPr>
          <w:rFonts w:cs="Arial"/>
          <w:sz w:val="16"/>
          <w:szCs w:val="16"/>
          <w:rtl/>
        </w:rPr>
        <w:t>(ח"ד סי' רנו)</w:t>
      </w:r>
      <w:r w:rsidR="00A82951">
        <w:rPr>
          <w:rFonts w:cs="Arial"/>
          <w:rtl/>
        </w:rPr>
        <w:t>-</w:t>
      </w:r>
      <w:r>
        <w:rPr>
          <w:rFonts w:cs="Arial"/>
          <w:rtl/>
        </w:rPr>
        <w:t xml:space="preserve"> כל מי שכופין אותו לגרש מן הדין </w:t>
      </w:r>
      <w:r w:rsidR="00A82951">
        <w:rPr>
          <w:rFonts w:cs="Arial"/>
          <w:rtl/>
        </w:rPr>
        <w:t>-</w:t>
      </w:r>
      <w:r>
        <w:rPr>
          <w:rFonts w:cs="Arial"/>
          <w:rtl/>
        </w:rPr>
        <w:t xml:space="preserve"> אינו רשאי להתנות על מנת שלא תנשאי לפלוני.</w:t>
      </w:r>
    </w:p>
    <w:p w14:paraId="3F7FF615"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B1046C4" w14:textId="77777777" w:rsidR="00C97BEF" w:rsidRDefault="00C97BEF" w:rsidP="00C97BEF">
      <w:pPr>
        <w:rPr>
          <w:rtl/>
        </w:rPr>
      </w:pPr>
      <w:r>
        <w:rPr>
          <w:rFonts w:cs="Arial"/>
          <w:rtl/>
        </w:rPr>
        <w:t>אמר לה: על מנת שלא תנשאי לפלוני עד זמן פלוני, הרי זה גט. ויש מי שאומר שלא תנשא עד שימות אותו פלוני. ויש מי שאומר שמותרת לינשא מיד, כיון שבידה לקיימו, שאי אפשר לינשא לו אלא מדעתה. ואין תקנה</w:t>
      </w:r>
      <w:r>
        <w:rPr>
          <w:rStyle w:val="a7"/>
          <w:rFonts w:cs="Arial"/>
          <w:rtl/>
        </w:rPr>
        <w:footnoteReference w:id="2453"/>
      </w:r>
      <w:r>
        <w:rPr>
          <w:rFonts w:cs="Arial"/>
          <w:rtl/>
        </w:rPr>
        <w:t xml:space="preserve"> להתירה </w:t>
      </w:r>
      <w:r>
        <w:rPr>
          <w:rFonts w:cs="Arial"/>
          <w:sz w:val="18"/>
          <w:szCs w:val="18"/>
          <w:rtl/>
        </w:rPr>
        <w:t>[הגה] לאותו פלוני,</w:t>
      </w:r>
      <w:r>
        <w:rPr>
          <w:rFonts w:cs="Arial"/>
          <w:rtl/>
        </w:rPr>
        <w:t xml:space="preserve"> אלא אם כן יקדשנה המגרש ויחזור</w:t>
      </w:r>
      <w:r>
        <w:rPr>
          <w:rStyle w:val="a7"/>
          <w:rFonts w:cs="Arial"/>
          <w:rtl/>
        </w:rPr>
        <w:footnoteReference w:id="2454"/>
      </w:r>
      <w:r>
        <w:rPr>
          <w:rFonts w:cs="Arial"/>
          <w:rtl/>
        </w:rPr>
        <w:t xml:space="preserve"> ויגרשנה סתם. </w:t>
      </w:r>
      <w:r>
        <w:rPr>
          <w:rFonts w:cs="Arial"/>
          <w:sz w:val="18"/>
          <w:szCs w:val="18"/>
          <w:rtl/>
        </w:rPr>
        <w:t>[הגה] או שמת הבעל קודם שנשאת לשום אדם (תשב"ץ)</w:t>
      </w:r>
      <w:r>
        <w:rPr>
          <w:rFonts w:cs="Arial"/>
          <w:rtl/>
        </w:rPr>
        <w:t xml:space="preserve">. ואם נשאת לאחר, וגירשה אותו האחר סתם, עדיין לא הותרה לאותו פלוני. ואם נשאת לו, נתבטל הגט, ובניה אף מהשני ממזרים. </w:t>
      </w:r>
    </w:p>
    <w:p w14:paraId="2A779D74" w14:textId="1E0F6CD8" w:rsidR="00C97BEF" w:rsidRDefault="00C97BEF" w:rsidP="00C97BEF">
      <w:pPr>
        <w:rPr>
          <w:rFonts w:cs="Arial"/>
          <w:rtl/>
        </w:rPr>
      </w:pPr>
      <w:r>
        <w:rPr>
          <w:rFonts w:cs="Arial"/>
          <w:u w:val="single"/>
          <w:rtl/>
        </w:rPr>
        <w:t xml:space="preserve">מי שנתן גט לאשתו ואמר שלא תנשא לגבר במשך ג' שנים </w:t>
      </w:r>
      <w:r w:rsidR="00A82951">
        <w:rPr>
          <w:rFonts w:cs="Arial"/>
          <w:u w:val="single"/>
          <w:rtl/>
        </w:rPr>
        <w:t>-</w:t>
      </w:r>
      <w:r>
        <w:rPr>
          <w:rFonts w:cs="Arial"/>
          <w:u w:val="single"/>
          <w:rtl/>
        </w:rPr>
        <w:t xml:space="preserve"> ולא אמר בלשון תנאי:</w:t>
      </w:r>
    </w:p>
    <w:p w14:paraId="49E03339" w14:textId="3201602B" w:rsidR="00C97BEF" w:rsidRDefault="00C97BEF" w:rsidP="006A458D">
      <w:pPr>
        <w:pStyle w:val="ab"/>
        <w:numPr>
          <w:ilvl w:val="0"/>
          <w:numId w:val="112"/>
        </w:numPr>
        <w:rPr>
          <w:rFonts w:cs="Arial"/>
          <w:rtl/>
        </w:rPr>
      </w:pPr>
      <w:r>
        <w:rPr>
          <w:rFonts w:cs="Arial"/>
          <w:rtl/>
        </w:rPr>
        <w:t>פת"ש</w:t>
      </w:r>
      <w:r>
        <w:rPr>
          <w:rFonts w:cs="Arial"/>
          <w:sz w:val="16"/>
          <w:szCs w:val="16"/>
          <w:rtl/>
        </w:rPr>
        <w:t xml:space="preserve"> (סקי"א)</w:t>
      </w:r>
      <w:r w:rsidR="00A82951">
        <w:rPr>
          <w:rFonts w:cs="Arial"/>
          <w:rtl/>
        </w:rPr>
        <w:t>-</w:t>
      </w:r>
      <w:r>
        <w:rPr>
          <w:rFonts w:cs="Arial"/>
          <w:rtl/>
        </w:rPr>
        <w:t xml:space="preserve"> עיין בתשו' גליא מסכת (סי' א) תשובה ארוכה בזה במעשה שאירע בא' שגירש אשתו ובשעת נתינה אמר שלא תנשא לגבר משך ג' שנים. והאריך מאד בזה ובדברי הגר"א ז"ל הנ"ל</w:t>
      </w:r>
      <w:r w:rsidR="00162E81">
        <w:rPr>
          <w:rFonts w:cs="Arial" w:hint="cs"/>
          <w:rtl/>
        </w:rPr>
        <w:t>.</w:t>
      </w:r>
      <w:r>
        <w:rPr>
          <w:rFonts w:cs="Arial"/>
          <w:rtl/>
        </w:rPr>
        <w:t xml:space="preserve"> ובסוף דבריו כתב</w:t>
      </w:r>
      <w:r w:rsidR="00162E81">
        <w:rPr>
          <w:rFonts w:cs="Arial" w:hint="cs"/>
          <w:rtl/>
        </w:rPr>
        <w:t>:</w:t>
      </w:r>
      <w:r>
        <w:rPr>
          <w:rFonts w:cs="Arial"/>
          <w:rtl/>
        </w:rPr>
        <w:t xml:space="preserve"> אמנם כל זה אם היה הבעל מפרש ואומר הרי זה גיטך ע"מ שלא תנשאי עד זמן פ</w:t>
      </w:r>
      <w:r w:rsidR="00162E81">
        <w:rPr>
          <w:rFonts w:cs="Arial" w:hint="cs"/>
          <w:rtl/>
        </w:rPr>
        <w:t>לוני,</w:t>
      </w:r>
      <w:r>
        <w:rPr>
          <w:rFonts w:cs="Arial"/>
          <w:rtl/>
        </w:rPr>
        <w:t xml:space="preserve"> אך בעובדא דנא כפי המבואר בשאלה שהמגרש אמר לא תנשא עד ג' שנים</w:t>
      </w:r>
      <w:r w:rsidR="00162E81">
        <w:rPr>
          <w:rFonts w:cs="Arial" w:hint="cs"/>
          <w:rtl/>
        </w:rPr>
        <w:t>,</w:t>
      </w:r>
      <w:r>
        <w:rPr>
          <w:rFonts w:cs="Arial"/>
          <w:rtl/>
        </w:rPr>
        <w:t xml:space="preserve"> וכפי הנראה אמר מקודם כל המבואר בסדר גיטין אות רל"א</w:t>
      </w:r>
      <w:r w:rsidR="00162E81">
        <w:rPr>
          <w:rFonts w:cs="Arial" w:hint="cs"/>
          <w:rtl/>
        </w:rPr>
        <w:t>,</w:t>
      </w:r>
      <w:r>
        <w:rPr>
          <w:rFonts w:cs="Arial"/>
          <w:rtl/>
        </w:rPr>
        <w:t xml:space="preserve"> וא"כ בין שאמר כך בלה"ק או בל' אשכנז אין כאן בית מיחוש דאין כאן לא ענין חוץ ולא ענין תנאי ועל מנת כו' ע"ש. גם בתשו' הגאון מהרי"מ ז"ל מבריסק (סי' מו) האריך בזה בעובדא באחד שאמר בעת נתינת הגט והרי את מותרת לכל אדם ולא תנשא עד ארבעה שנים</w:t>
      </w:r>
      <w:r w:rsidR="00162E81">
        <w:rPr>
          <w:rFonts w:cs="Arial" w:hint="cs"/>
          <w:rtl/>
        </w:rPr>
        <w:t>.</w:t>
      </w:r>
      <w:r>
        <w:rPr>
          <w:rFonts w:cs="Arial"/>
          <w:rtl/>
        </w:rPr>
        <w:t xml:space="preserve"> ואין העדים זוכרים אם אמר ולא תנשא בלשון תנאי באופן שלא תנשא או ולא תנשא</w:t>
      </w:r>
      <w:r w:rsidR="00953892">
        <w:rPr>
          <w:rFonts w:cs="Arial" w:hint="cs"/>
          <w:rtl/>
        </w:rPr>
        <w:t>.</w:t>
      </w:r>
      <w:r>
        <w:rPr>
          <w:rFonts w:cs="Arial"/>
          <w:rtl/>
        </w:rPr>
        <w:t xml:space="preserve"> ונודע אח"כ שעשה זה בעצת חבריו שהסיתו אותו לצערה והמגרש הוא כהן</w:t>
      </w:r>
      <w:r w:rsidR="00953892">
        <w:rPr>
          <w:rFonts w:cs="Arial" w:hint="cs"/>
          <w:rtl/>
        </w:rPr>
        <w:t>.</w:t>
      </w:r>
      <w:r>
        <w:rPr>
          <w:rFonts w:cs="Arial"/>
          <w:rtl/>
        </w:rPr>
        <w:t xml:space="preserve"> ואח"כ בערך ב' שנים סידרו לו גט אחר בלי תנאי</w:t>
      </w:r>
      <w:r w:rsidR="00953892">
        <w:rPr>
          <w:rFonts w:cs="Arial" w:hint="cs"/>
          <w:rtl/>
        </w:rPr>
        <w:t>.</w:t>
      </w:r>
      <w:r>
        <w:rPr>
          <w:rFonts w:cs="Arial"/>
          <w:rtl/>
        </w:rPr>
        <w:t xml:space="preserve"> והאריך שם דבנדון זה איכא התירא אפילו לדעת תשובת הרא"ש ומסיק שם להקל ע"ש. גם בת' עמודי אור שנדפס מחדש (סי' צ) תשו' ארוכה בזה באחד שאמר בשעת נתינת הגט והרי את מותרת לכל אדם מכאן ועד עשר שנים ומסיק שם ג"כ להתיר אחר שנתן גט שני בלא תנאי באם יסכימו עמו ע"ש.</w:t>
      </w:r>
    </w:p>
    <w:p w14:paraId="3919E182" w14:textId="3C4CEA52" w:rsidR="00C97BEF" w:rsidRDefault="00C97BEF" w:rsidP="00C97BEF">
      <w:pPr>
        <w:rPr>
          <w:rFonts w:cs="Arial"/>
          <w:u w:val="single"/>
        </w:rPr>
      </w:pPr>
      <w:r>
        <w:rPr>
          <w:rFonts w:cs="Arial"/>
          <w:u w:val="single"/>
          <w:rtl/>
        </w:rPr>
        <w:t xml:space="preserve">התנה עמה שלא תנשא לפלוני </w:t>
      </w:r>
      <w:r w:rsidR="00A82951">
        <w:rPr>
          <w:rFonts w:cs="Arial"/>
          <w:u w:val="single"/>
          <w:rtl/>
        </w:rPr>
        <w:t>-</w:t>
      </w:r>
      <w:r>
        <w:rPr>
          <w:rFonts w:cs="Arial"/>
          <w:u w:val="single"/>
          <w:rtl/>
        </w:rPr>
        <w:t xml:space="preserve"> האם קידושין בכלל זה:</w:t>
      </w:r>
    </w:p>
    <w:p w14:paraId="30ECFCDD" w14:textId="30E982F1" w:rsidR="00C97BEF" w:rsidRDefault="00C97BEF" w:rsidP="006A458D">
      <w:pPr>
        <w:pStyle w:val="ab"/>
        <w:numPr>
          <w:ilvl w:val="0"/>
          <w:numId w:val="112"/>
        </w:numPr>
        <w:rPr>
          <w:rFonts w:cs="Arial"/>
        </w:rPr>
      </w:pPr>
      <w:r>
        <w:rPr>
          <w:rFonts w:cs="Arial"/>
          <w:rtl/>
        </w:rPr>
        <w:t xml:space="preserve">פת"ש </w:t>
      </w:r>
      <w:r>
        <w:rPr>
          <w:rFonts w:cs="Arial"/>
          <w:sz w:val="16"/>
          <w:szCs w:val="16"/>
          <w:rtl/>
        </w:rPr>
        <w:t>(סקי"ד)</w:t>
      </w:r>
      <w:r w:rsidR="00A82951">
        <w:rPr>
          <w:rFonts w:cs="Arial"/>
          <w:rtl/>
        </w:rPr>
        <w:t>-</w:t>
      </w:r>
      <w:r>
        <w:rPr>
          <w:rFonts w:cs="Arial"/>
          <w:rtl/>
        </w:rPr>
        <w:t xml:space="preserve"> עיין בתשובת ב"י בדיני גיטין (סי' יג) בענין אם לא נשאת לו רק נתקדשה לחוד וכתב דלכאורה נראה דאע"פ שנתקדשה לו לא עברה על תנאו כל זמן שלא נכנסה עמו לחופה שעל זה מורה לשון נשואין אך להיותי מיראי הוראה לא מלאני לבי להתיר. יעו"ש. וע' בשעה"מ (פ"ח מה"ג הי"ב) שכתב עליו דהרב המבי"ט </w:t>
      </w:r>
      <w:r>
        <w:rPr>
          <w:rFonts w:cs="Arial"/>
          <w:rtl/>
        </w:rPr>
        <w:lastRenderedPageBreak/>
        <w:t>כתב בפשיטות (ח"א סי' שלד) דאינו נקרא נשואין עד שנכנסה לחופה (עבה"ט סק"ח), ושכן כ' הרשב"ץ בת', ואנכי הרואה שיש לדקדק מדברי התוס' הפך דבריהם כו' ע"ש. ועב"ש לעיל סימן נ"ג סק"ד ובספר בית מאיר שם ובסי' ס"א. ומ"ש בפ"ת שם בסי' ס"א סק"ח מענין זה.</w:t>
      </w:r>
    </w:p>
    <w:p w14:paraId="0EAD6C73" w14:textId="77777777" w:rsidR="00C97BEF" w:rsidRDefault="00C97BEF" w:rsidP="00C97BEF">
      <w:pPr>
        <w:rPr>
          <w:rtl/>
        </w:rPr>
      </w:pPr>
    </w:p>
    <w:p w14:paraId="2E263A2A" w14:textId="626B2804" w:rsidR="00C97BEF" w:rsidRDefault="00C97BEF" w:rsidP="00C97BEF">
      <w:pPr>
        <w:pStyle w:val="2"/>
        <w:rPr>
          <w:rtl/>
        </w:rPr>
      </w:pPr>
      <w:r>
        <w:rPr>
          <w:rtl/>
        </w:rPr>
        <w:t xml:space="preserve">סעיף יז: 'על מנת שלא תנשאי' </w:t>
      </w:r>
      <w:r w:rsidR="00A82951">
        <w:rPr>
          <w:rtl/>
        </w:rPr>
        <w:t>-</w:t>
      </w:r>
      <w:r>
        <w:rPr>
          <w:rtl/>
        </w:rPr>
        <w:t xml:space="preserve"> וזינתה. </w:t>
      </w:r>
    </w:p>
    <w:p w14:paraId="0B92348E" w14:textId="5CEE1199" w:rsidR="00C97BEF" w:rsidRDefault="00C97BEF" w:rsidP="00C97BEF">
      <w:pPr>
        <w:rPr>
          <w:rtl/>
        </w:rPr>
      </w:pPr>
      <w:r>
        <w:rPr>
          <w:rFonts w:cs="Arial"/>
          <w:b/>
          <w:bCs/>
          <w:rtl/>
        </w:rPr>
        <w:t xml:space="preserve">גיטין </w:t>
      </w:r>
      <w:r>
        <w:rPr>
          <w:rFonts w:cs="Arial"/>
          <w:b/>
          <w:bCs/>
          <w:sz w:val="16"/>
          <w:szCs w:val="16"/>
          <w:rtl/>
        </w:rPr>
        <w:t>(פ' המגרש)</w:t>
      </w:r>
      <w:r>
        <w:rPr>
          <w:rFonts w:cs="Arial"/>
          <w:b/>
          <w:bCs/>
          <w:rtl/>
        </w:rPr>
        <w:t xml:space="preserve"> פג ע"א:</w:t>
      </w:r>
      <w:r>
        <w:rPr>
          <w:rFonts w:cs="Arial"/>
          <w:rtl/>
        </w:rPr>
        <w:t xml:space="preserve"> אילימא בעל מנת, הרי הותרה אצלו בזנות</w:t>
      </w:r>
      <w:r>
        <w:rPr>
          <w:rStyle w:val="a7"/>
          <w:rFonts w:cs="Arial"/>
          <w:rtl/>
        </w:rPr>
        <w:footnoteReference w:id="2455"/>
      </w:r>
      <w:r>
        <w:rPr>
          <w:rFonts w:cs="Arial"/>
          <w:rtl/>
        </w:rPr>
        <w:t>.</w:t>
      </w:r>
    </w:p>
    <w:p w14:paraId="02F6D028" w14:textId="2C3255D4" w:rsidR="00C97BEF" w:rsidRDefault="00C97BEF" w:rsidP="00C97BEF">
      <w:pPr>
        <w:rPr>
          <w:u w:val="single"/>
          <w:rtl/>
        </w:rPr>
      </w:pPr>
      <w:r>
        <w:rPr>
          <w:u w:val="single"/>
          <w:rtl/>
        </w:rPr>
        <w:t xml:space="preserve">'על מנת שלא תנשאי' </w:t>
      </w:r>
      <w:r w:rsidR="00A82951">
        <w:rPr>
          <w:u w:val="single"/>
          <w:rtl/>
        </w:rPr>
        <w:t>-</w:t>
      </w:r>
      <w:r>
        <w:rPr>
          <w:u w:val="single"/>
          <w:rtl/>
        </w:rPr>
        <w:t xml:space="preserve"> וזינתה:</w:t>
      </w:r>
    </w:p>
    <w:p w14:paraId="519C3438" w14:textId="006B8316"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זנתה עמו</w:t>
      </w:r>
      <w:r w:rsidR="005029BF">
        <w:rPr>
          <w:rFonts w:cs="Arial" w:hint="cs"/>
          <w:rtl/>
        </w:rPr>
        <w:t>,</w:t>
      </w:r>
      <w:r>
        <w:rPr>
          <w:rFonts w:cs="Arial"/>
          <w:rtl/>
        </w:rPr>
        <w:t xml:space="preserve"> הולד כשר והגט כשר, שלא התנה אלא על נישואין. </w:t>
      </w:r>
      <w:r>
        <w:rPr>
          <w:rFonts w:cs="Arial"/>
          <w:color w:val="E36C0A" w:themeColor="accent6" w:themeShade="BF"/>
          <w:rtl/>
        </w:rPr>
        <w:t>(וכ"פ בשו"ע)</w:t>
      </w:r>
    </w:p>
    <w:p w14:paraId="708C3032"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D21D591" w14:textId="77777777" w:rsidR="00C97BEF" w:rsidRDefault="00C97BEF" w:rsidP="00C97BEF">
      <w:pPr>
        <w:rPr>
          <w:rtl/>
        </w:rPr>
      </w:pPr>
      <w:r>
        <w:rPr>
          <w:rFonts w:cs="Arial"/>
          <w:rtl/>
        </w:rPr>
        <w:t xml:space="preserve">זינתה עם אותו פלוני, הולד כשר והגט כשר; שלא התנה אלא על נשואין. </w:t>
      </w:r>
    </w:p>
    <w:p w14:paraId="260AE8A1" w14:textId="77777777" w:rsidR="00C97BEF" w:rsidRDefault="00C97BEF" w:rsidP="00C97BEF">
      <w:pPr>
        <w:rPr>
          <w:rtl/>
        </w:rPr>
      </w:pPr>
    </w:p>
    <w:p w14:paraId="0B8B30DF" w14:textId="77777777" w:rsidR="00C97BEF" w:rsidRDefault="00C97BEF" w:rsidP="00C97BEF">
      <w:pPr>
        <w:pStyle w:val="2"/>
        <w:rPr>
          <w:rtl/>
        </w:rPr>
      </w:pPr>
      <w:r>
        <w:rPr>
          <w:rtl/>
        </w:rPr>
        <w:t>סעיף יח: על מנת שתבעלי לפלוני.</w:t>
      </w:r>
    </w:p>
    <w:p w14:paraId="75DEA051" w14:textId="284D0AE1" w:rsidR="00C97BEF" w:rsidRDefault="00C97BEF" w:rsidP="00C97BEF">
      <w:pPr>
        <w:rPr>
          <w:rFonts w:cs="Arial"/>
          <w:rtl/>
        </w:rPr>
      </w:pPr>
      <w:r>
        <w:rPr>
          <w:rFonts w:cs="Arial"/>
          <w:b/>
          <w:bCs/>
          <w:rtl/>
        </w:rPr>
        <w:t xml:space="preserve">ירושלמי גיטין פ"ט ה"א: </w:t>
      </w:r>
      <w:r>
        <w:rPr>
          <w:rFonts w:cs="Arial"/>
          <w:u w:val="single"/>
          <w:rtl/>
        </w:rPr>
        <w:t>אמר רבי שמי</w:t>
      </w:r>
      <w:r>
        <w:rPr>
          <w:rFonts w:cs="Arial"/>
          <w:rtl/>
        </w:rPr>
        <w:t xml:space="preserve">: מצינו אשה בתחלה אין חייבין עליה משום ערוה, ובסוף חייבין עליה משום ערוה. </w:t>
      </w:r>
      <w:r>
        <w:rPr>
          <w:rFonts w:cs="Arial"/>
          <w:u w:val="single"/>
          <w:rtl/>
        </w:rPr>
        <w:t>אמר ליה רבי מנא</w:t>
      </w:r>
      <w:r>
        <w:rPr>
          <w:rFonts w:cs="Arial"/>
          <w:rtl/>
        </w:rPr>
        <w:t xml:space="preserve">: למה זה דומה לאחד שאמר לאשתו הרי זה גיטיך על מנת שתיבעלי לאיש פלוני, בתחילה הוא אסור לבעול, עבר ובעל </w:t>
      </w:r>
      <w:r w:rsidR="00A82951">
        <w:rPr>
          <w:rFonts w:cs="Arial"/>
          <w:rtl/>
        </w:rPr>
        <w:t>-</w:t>
      </w:r>
      <w:r>
        <w:rPr>
          <w:rFonts w:cs="Arial"/>
          <w:rtl/>
        </w:rPr>
        <w:t xml:space="preserve"> הותר הגט למפרע.</w:t>
      </w:r>
    </w:p>
    <w:p w14:paraId="78B9444D" w14:textId="07D9F7EA" w:rsidR="00C97BEF" w:rsidRDefault="00C97BEF" w:rsidP="00C97BEF">
      <w:pPr>
        <w:rPr>
          <w:rFonts w:cs="Arial"/>
          <w:rtl/>
        </w:rPr>
      </w:pPr>
      <w:r>
        <w:rPr>
          <w:rFonts w:cs="Arial"/>
          <w:b/>
          <w:bCs/>
          <w:rtl/>
        </w:rPr>
        <w:t xml:space="preserve">גיטין </w:t>
      </w:r>
      <w:r>
        <w:rPr>
          <w:rFonts w:cs="Arial"/>
          <w:b/>
          <w:bCs/>
          <w:sz w:val="16"/>
          <w:szCs w:val="16"/>
          <w:rtl/>
        </w:rPr>
        <w:t>(פ' המגרש)</w:t>
      </w:r>
      <w:r>
        <w:rPr>
          <w:rFonts w:cs="Arial"/>
          <w:b/>
          <w:bCs/>
          <w:rtl/>
        </w:rPr>
        <w:t xml:space="preserve"> פד ע"א:</w:t>
      </w:r>
      <w:r>
        <w:rPr>
          <w:rFonts w:cs="Arial"/>
          <w:rtl/>
        </w:rPr>
        <w:t xml:space="preserve"> מיתיבי: הרי זה גיטך ע"מ שתבעלי</w:t>
      </w:r>
      <w:r>
        <w:rPr>
          <w:rStyle w:val="a7"/>
          <w:rFonts w:cs="Arial"/>
          <w:rtl/>
        </w:rPr>
        <w:footnoteReference w:id="2456"/>
      </w:r>
      <w:r>
        <w:rPr>
          <w:rFonts w:cs="Arial"/>
          <w:rtl/>
        </w:rPr>
        <w:t xml:space="preserve"> לפלוני, נתקיים התנאי </w:t>
      </w:r>
      <w:r w:rsidR="00A82951">
        <w:rPr>
          <w:rFonts w:cs="Arial"/>
          <w:rtl/>
        </w:rPr>
        <w:t>-</w:t>
      </w:r>
      <w:r>
        <w:rPr>
          <w:rFonts w:cs="Arial"/>
          <w:rtl/>
        </w:rPr>
        <w:t xml:space="preserve"> הרי זה גט, ואם לאו </w:t>
      </w:r>
      <w:r w:rsidR="00A82951">
        <w:rPr>
          <w:rFonts w:cs="Arial"/>
          <w:rtl/>
        </w:rPr>
        <w:t>-</w:t>
      </w:r>
      <w:r>
        <w:rPr>
          <w:rFonts w:cs="Arial"/>
          <w:rtl/>
        </w:rPr>
        <w:t xml:space="preserve"> אינו גט. </w:t>
      </w:r>
      <w:r>
        <w:rPr>
          <w:rFonts w:cs="Arial"/>
          <w:sz w:val="16"/>
          <w:szCs w:val="16"/>
          <w:rtl/>
        </w:rPr>
        <w:t>(מיהו איפשר דלכתחלה לא תבעל לו, דהא אינה מגורשת עד שתבעל לו נמצאת תחלת ביאה באיסור, דעודה אשת איש, והכי איתא בירושלמי... והא דאמרי' לעיל ע"מ שתנשאי לפלוני הרי זו לא תנשא לו, ופרישנא טעמא כדי שלא יאמרו נשותיהן נותנין במתנה הא לאו הכי מותרת לינשא לו, היינו משום דהתם ע"מ שתנשאי לו קאמר וכיון שנכנסה לחופה נתקיים התנאי</w:t>
      </w:r>
      <w:r w:rsidR="00EF3A4F">
        <w:rPr>
          <w:rFonts w:cs="Arial" w:hint="cs"/>
          <w:sz w:val="16"/>
          <w:szCs w:val="16"/>
          <w:rtl/>
        </w:rPr>
        <w:t>,</w:t>
      </w:r>
      <w:r>
        <w:rPr>
          <w:rFonts w:cs="Arial"/>
          <w:sz w:val="16"/>
          <w:szCs w:val="16"/>
          <w:rtl/>
        </w:rPr>
        <w:t xml:space="preserve"> דחופה עושה נישואין ובחופה ליכא איסורא</w:t>
      </w:r>
      <w:r w:rsidR="00EF3A4F">
        <w:rPr>
          <w:rFonts w:cs="Arial" w:hint="cs"/>
          <w:sz w:val="16"/>
          <w:szCs w:val="16"/>
          <w:rtl/>
        </w:rPr>
        <w:t>,</w:t>
      </w:r>
      <w:r>
        <w:rPr>
          <w:rFonts w:cs="Arial"/>
          <w:sz w:val="16"/>
          <w:szCs w:val="16"/>
          <w:rtl/>
        </w:rPr>
        <w:t xml:space="preserve"> והילכך טעמא דשלא יאמרו נשותיהן נותנים במתנה, הא לאו הכי מותרת לינשא לו. ומיהו איכא למידק דהא כל האומר ע"מ כאומר מעכשיו דמי (עד.) ואם נקרע הגט או נאבד מקיימת תנאה ומגורשת, א"כ כשבועל </w:t>
      </w:r>
      <w:r w:rsidR="00A82951">
        <w:rPr>
          <w:rFonts w:cs="Arial"/>
          <w:sz w:val="16"/>
          <w:szCs w:val="16"/>
          <w:rtl/>
        </w:rPr>
        <w:t>-</w:t>
      </w:r>
      <w:r>
        <w:rPr>
          <w:rFonts w:cs="Arial"/>
          <w:sz w:val="16"/>
          <w:szCs w:val="16"/>
          <w:rtl/>
        </w:rPr>
        <w:t xml:space="preserve"> פנויה הוא בועל, דכל שמקיימת תנאה הרי זו מגורשת למפרע. ושמא הא דירושלמי כמאן דאמר האומר ע"מ לאו כאומר מעכשיו, וה"ל כמאן דאמר ה"ז גיטיך לכשתבעלי לפלוני דאסור לבעול ואם עבר ובעל הותר הגט. אלא דקשיא דהותר הגט למפרע קאמר. ואי איפשר לומר דלכתחלה הוא אסור לבעול משום פנויה קאמר, דעל הא דר' אליעזר גרסינן לה התם, והכי גרסינן: אמר ר' שמיי מצינו אשה בתחלה אין חייבין עליה משום ערוה ובסוף חייבין עליה משום ערוה א"ל ר' מנא למה לא למה זה דומה לאחד שאמר לאשתו הרי זה גיטיך על מנת שתתבעלי מפלוני בתחלה הוא אסור לבעול עבר ובעל הותר הגט למפרע. אלמא משום ערוה קאמר. וצ"ע. ועוד דקשיא לי דא"כ מאי שנא ע"מ שתבעלי לפלוני מעל מנת שתבעלי לאבא ולאביך, דכאן וכאן לכתחלה איסור ערות אשת איש איכא. ומיהו בזו איפשר לקיומי תנאה באחר בלא איסור וכגון שתבעל לו דרך נישואין. והלכך בין שתבעל דרך נשואין, בין שלא בנשואין </w:t>
      </w:r>
      <w:r w:rsidR="00A82951">
        <w:rPr>
          <w:rFonts w:cs="Arial"/>
          <w:sz w:val="16"/>
          <w:szCs w:val="16"/>
          <w:rtl/>
        </w:rPr>
        <w:t>-</w:t>
      </w:r>
      <w:r>
        <w:rPr>
          <w:rFonts w:cs="Arial"/>
          <w:sz w:val="16"/>
          <w:szCs w:val="16"/>
          <w:rtl/>
        </w:rPr>
        <w:t xml:space="preserve"> נתקיים התנאי והרי זו מגורשת, </w:t>
      </w:r>
      <w:r>
        <w:rPr>
          <w:rFonts w:cs="Arial"/>
          <w:b/>
          <w:bCs/>
          <w:sz w:val="16"/>
          <w:szCs w:val="16"/>
          <w:rtl/>
        </w:rPr>
        <w:t>רשב"א</w:t>
      </w:r>
      <w:r>
        <w:rPr>
          <w:rFonts w:cs="Arial"/>
          <w:sz w:val="16"/>
          <w:szCs w:val="16"/>
          <w:rtl/>
        </w:rPr>
        <w:t xml:space="preserve"> (פד. ד"ה על מנת))</w:t>
      </w:r>
    </w:p>
    <w:p w14:paraId="767E27FE" w14:textId="77777777" w:rsidR="00C97BEF" w:rsidRDefault="00C97BEF" w:rsidP="00C97BEF">
      <w:pPr>
        <w:rPr>
          <w:u w:val="single"/>
          <w:rtl/>
        </w:rPr>
      </w:pPr>
      <w:r>
        <w:rPr>
          <w:rFonts w:cs="Arial"/>
          <w:u w:val="single"/>
          <w:rtl/>
        </w:rPr>
        <w:t>אמר לה 'על מנת שתבעלי לפלוני</w:t>
      </w:r>
      <w:r>
        <w:rPr>
          <w:u w:val="single"/>
          <w:rtl/>
        </w:rPr>
        <w:t>':</w:t>
      </w:r>
    </w:p>
    <w:p w14:paraId="60D13C60" w14:textId="01670591"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על מנת שתבעלי לפלוני, נתקיים התנאי שנבעלה לו בין בזנות בין בנישואין</w:t>
      </w:r>
      <w:r>
        <w:rPr>
          <w:rStyle w:val="a7"/>
          <w:rFonts w:cs="Arial"/>
          <w:rtl/>
        </w:rPr>
        <w:footnoteReference w:id="2457"/>
      </w:r>
      <w:r>
        <w:rPr>
          <w:rFonts w:cs="Arial"/>
          <w:rtl/>
        </w:rPr>
        <w:t xml:space="preserve"> </w:t>
      </w:r>
      <w:r w:rsidR="00A82951">
        <w:rPr>
          <w:rFonts w:cs="Arial"/>
          <w:rtl/>
        </w:rPr>
        <w:t>-</w:t>
      </w:r>
      <w:r>
        <w:rPr>
          <w:rFonts w:cs="Arial"/>
          <w:rtl/>
        </w:rPr>
        <w:t xml:space="preserve"> ה"ז גט. ובירושלמי קאמר לכתחילה לא תבעל לו, דהא אינה מגורשת עד שתבעל לו נמצא תחילת ביאה באיסור שעודה א"א. והרשב"א כתב כיון דקי"ל האומר ע"מ כאומר מעכשיו דמי, אם כן כשבועל </w:t>
      </w:r>
      <w:r w:rsidR="00A82951">
        <w:rPr>
          <w:rFonts w:cs="Arial"/>
          <w:rtl/>
        </w:rPr>
        <w:t>-</w:t>
      </w:r>
      <w:r>
        <w:rPr>
          <w:rFonts w:cs="Arial"/>
          <w:rtl/>
        </w:rPr>
        <w:t xml:space="preserve"> פנויה היא, דלכשיתקיים הגט פנויה היא למפרע</w:t>
      </w:r>
      <w:r>
        <w:rPr>
          <w:rStyle w:val="a7"/>
          <w:rFonts w:cs="Arial"/>
          <w:rtl/>
        </w:rPr>
        <w:footnoteReference w:id="2458"/>
      </w:r>
      <w:r>
        <w:rPr>
          <w:rFonts w:cs="Arial"/>
          <w:rtl/>
        </w:rPr>
        <w:t xml:space="preserve">. </w:t>
      </w:r>
    </w:p>
    <w:p w14:paraId="56060784"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05B2839" w14:textId="77777777" w:rsidR="00C97BEF" w:rsidRDefault="00C97BEF" w:rsidP="00C97BEF">
      <w:pPr>
        <w:rPr>
          <w:rtl/>
        </w:rPr>
      </w:pPr>
      <w:r>
        <w:rPr>
          <w:rFonts w:cs="Arial"/>
          <w:rtl/>
        </w:rPr>
        <w:t>אמר לה: על מנת שתבעלי לפלוני, נתקיים התנאי שנבעלה לו, בין בזנות בין בנשואין, הרי זה גט. ולכתחלה לא תבעל לו, דהא אינה מגורשת עד שתבעל לו</w:t>
      </w:r>
      <w:r>
        <w:rPr>
          <w:rStyle w:val="a7"/>
          <w:rFonts w:cs="Arial"/>
          <w:rtl/>
        </w:rPr>
        <w:footnoteReference w:id="2459"/>
      </w:r>
      <w:r>
        <w:rPr>
          <w:rFonts w:cs="Arial"/>
          <w:rtl/>
        </w:rPr>
        <w:t xml:space="preserve">, נמצאת תחלת ביאה באיסור. </w:t>
      </w:r>
    </w:p>
    <w:p w14:paraId="0422E150" w14:textId="77777777" w:rsidR="00C97BEF" w:rsidRDefault="00C97BEF" w:rsidP="00C97BEF">
      <w:pPr>
        <w:rPr>
          <w:rtl/>
        </w:rPr>
      </w:pPr>
    </w:p>
    <w:p w14:paraId="492A5BEE" w14:textId="77777777" w:rsidR="00C97BEF" w:rsidRDefault="00C97BEF" w:rsidP="00C97BEF">
      <w:pPr>
        <w:pStyle w:val="2"/>
        <w:rPr>
          <w:rtl/>
        </w:rPr>
      </w:pPr>
      <w:r>
        <w:rPr>
          <w:rtl/>
        </w:rPr>
        <w:t>סעיף יט: על מנת שלא תבעלי לפלוני.</w:t>
      </w:r>
    </w:p>
    <w:p w14:paraId="79159731" w14:textId="77172250" w:rsidR="00C97BEF" w:rsidRDefault="00C97BEF" w:rsidP="00C97BEF">
      <w:pPr>
        <w:rPr>
          <w:sz w:val="16"/>
          <w:szCs w:val="16"/>
          <w:rtl/>
        </w:rPr>
      </w:pPr>
      <w:r>
        <w:rPr>
          <w:rFonts w:cs="Arial"/>
          <w:b/>
          <w:bCs/>
          <w:rtl/>
        </w:rPr>
        <w:t xml:space="preserve">גיטין </w:t>
      </w:r>
      <w:r>
        <w:rPr>
          <w:rFonts w:cs="Arial"/>
          <w:b/>
          <w:bCs/>
          <w:sz w:val="16"/>
          <w:szCs w:val="16"/>
          <w:rtl/>
        </w:rPr>
        <w:t>(פ' המגרש)</w:t>
      </w:r>
      <w:r>
        <w:rPr>
          <w:rFonts w:cs="Arial"/>
          <w:b/>
          <w:bCs/>
          <w:rtl/>
        </w:rPr>
        <w:t xml:space="preserve"> פד ע"א: </w:t>
      </w:r>
      <w:r>
        <w:rPr>
          <w:rFonts w:cs="Arial"/>
          <w:rtl/>
        </w:rPr>
        <w:t>מיתיבי: הרי זה גיטך ע"מ שתבעלי</w:t>
      </w:r>
      <w:r>
        <w:rPr>
          <w:rStyle w:val="a7"/>
          <w:rFonts w:cs="Arial"/>
          <w:rtl/>
        </w:rPr>
        <w:footnoteReference w:id="2460"/>
      </w:r>
      <w:r>
        <w:rPr>
          <w:rFonts w:cs="Arial"/>
          <w:rtl/>
        </w:rPr>
        <w:t xml:space="preserve"> לפלוני, נתקיים התנאי </w:t>
      </w:r>
      <w:r w:rsidR="00A82951">
        <w:rPr>
          <w:rFonts w:cs="Arial"/>
          <w:rtl/>
        </w:rPr>
        <w:t>-</w:t>
      </w:r>
      <w:r>
        <w:rPr>
          <w:rFonts w:cs="Arial"/>
          <w:rtl/>
        </w:rPr>
        <w:t xml:space="preserve"> הרי זה גט, ואם לאו </w:t>
      </w:r>
      <w:r w:rsidR="00A82951">
        <w:rPr>
          <w:rFonts w:cs="Arial"/>
          <w:rtl/>
        </w:rPr>
        <w:t>-</w:t>
      </w:r>
      <w:r>
        <w:rPr>
          <w:rFonts w:cs="Arial"/>
          <w:rtl/>
        </w:rPr>
        <w:t xml:space="preserve"> אינו גט. על מנת שלא תבעלי לאבא ולאביך </w:t>
      </w:r>
      <w:r w:rsidR="00A82951">
        <w:rPr>
          <w:rFonts w:cs="Arial"/>
          <w:rtl/>
        </w:rPr>
        <w:t>-</w:t>
      </w:r>
      <w:r>
        <w:rPr>
          <w:rFonts w:cs="Arial"/>
          <w:rtl/>
        </w:rPr>
        <w:t xml:space="preserve"> אין חוששין שמא נבעלה להן.</w:t>
      </w:r>
      <w:r>
        <w:rPr>
          <w:sz w:val="16"/>
          <w:szCs w:val="16"/>
          <w:rtl/>
        </w:rPr>
        <w:t xml:space="preserve"> (</w:t>
      </w:r>
      <w:r>
        <w:rPr>
          <w:rFonts w:cs="Arial"/>
          <w:sz w:val="16"/>
          <w:szCs w:val="16"/>
          <w:rtl/>
        </w:rPr>
        <w:t>כלומר מותרת לינשא מיד ואין חוששין שמא תבעל להן ויבטל הגט</w:t>
      </w:r>
      <w:r>
        <w:rPr>
          <w:rStyle w:val="a7"/>
          <w:rFonts w:cs="Arial"/>
          <w:sz w:val="16"/>
          <w:szCs w:val="16"/>
          <w:rtl/>
        </w:rPr>
        <w:footnoteReference w:id="2461"/>
      </w:r>
      <w:r>
        <w:rPr>
          <w:rFonts w:cs="Arial"/>
          <w:sz w:val="16"/>
          <w:szCs w:val="16"/>
          <w:rtl/>
        </w:rPr>
        <w:t xml:space="preserve">. אבל אמר לה ע"מ שלא תבעלי לפלוני </w:t>
      </w:r>
      <w:r w:rsidR="00A82951">
        <w:rPr>
          <w:rFonts w:cs="Arial"/>
          <w:sz w:val="16"/>
          <w:szCs w:val="16"/>
          <w:rtl/>
        </w:rPr>
        <w:t>-</w:t>
      </w:r>
      <w:r>
        <w:rPr>
          <w:rFonts w:cs="Arial"/>
          <w:sz w:val="16"/>
          <w:szCs w:val="16"/>
          <w:rtl/>
        </w:rPr>
        <w:t xml:space="preserve"> אינו גט, שמא תבעל לו, דומיא דע"מ שלא תלכי לבית אביך לעולם,</w:t>
      </w:r>
      <w:r>
        <w:rPr>
          <w:rFonts w:cs="Arial"/>
          <w:rtl/>
        </w:rPr>
        <w:t xml:space="preserve"> </w:t>
      </w:r>
      <w:r>
        <w:rPr>
          <w:rFonts w:cs="Arial"/>
          <w:b/>
          <w:bCs/>
          <w:sz w:val="16"/>
          <w:szCs w:val="16"/>
          <w:rtl/>
        </w:rPr>
        <w:t>רש"י</w:t>
      </w:r>
      <w:r>
        <w:rPr>
          <w:rFonts w:cs="Arial"/>
          <w:sz w:val="16"/>
          <w:szCs w:val="16"/>
          <w:rtl/>
        </w:rPr>
        <w:t xml:space="preserve"> (ד"ה אין חוששין). וכתב הרא"ש שם בריש המגרש (ריש סי' ב) דהכי תניא בהדיא בתוספתא על מנת שלא תבעלי לפלוני חוששין שמא תבעל לו. וכן כתבו גם זה שם (פב:) התוספות (ד"ה שרבי) גבי הא דתניא שרבי אליעזר מתיר לכל אדם חוץ מאותו האיש, ופירשו הטעם דחיישינן שמא תבעל לו באונס. וכתבו עוד דהא דאמרינן במי שאחזו (עד.) גבי הרי זה גיטך על מנת שתתני לי מאתים זוז ולאחר לא תנשא עד שתתן, הוי טעמא משום דחיישינן שמא תפסיד את אשר לה ולא תוכל לקיים תנאה. וכתב רבינו ירוחם (ח"א נכ"ד רא ע"ג, רב ע"ג) ואם נישאת לא תצא ואסורה ליבעל עד שתקיים התנאי</w:t>
      </w:r>
      <w:r>
        <w:rPr>
          <w:rStyle w:val="a7"/>
          <w:sz w:val="16"/>
          <w:szCs w:val="16"/>
          <w:rtl/>
        </w:rPr>
        <w:footnoteReference w:id="2462"/>
      </w:r>
      <w:r>
        <w:rPr>
          <w:rFonts w:cs="Arial"/>
          <w:sz w:val="16"/>
          <w:szCs w:val="16"/>
          <w:rtl/>
        </w:rPr>
        <w:t xml:space="preserve">, </w:t>
      </w:r>
      <w:r>
        <w:rPr>
          <w:rFonts w:cs="Arial"/>
          <w:b/>
          <w:bCs/>
          <w:sz w:val="16"/>
          <w:szCs w:val="16"/>
          <w:rtl/>
        </w:rPr>
        <w:t>ב"י</w:t>
      </w:r>
      <w:r>
        <w:rPr>
          <w:rFonts w:cs="Arial"/>
          <w:sz w:val="16"/>
          <w:szCs w:val="16"/>
          <w:rtl/>
        </w:rPr>
        <w:t>).</w:t>
      </w:r>
    </w:p>
    <w:p w14:paraId="4C563BEB" w14:textId="77777777" w:rsidR="00C97BEF" w:rsidRDefault="00C97BEF" w:rsidP="00C97BEF">
      <w:pPr>
        <w:rPr>
          <w:u w:val="single"/>
          <w:rtl/>
        </w:rPr>
      </w:pPr>
      <w:r>
        <w:rPr>
          <w:u w:val="single"/>
          <w:rtl/>
        </w:rPr>
        <w:t>אמר לה 'על מנת שלא תבעלי לפלוני':</w:t>
      </w:r>
    </w:p>
    <w:p w14:paraId="23458FCC" w14:textId="161B6B4D"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על מנת שלא תבעלי לפלוני </w:t>
      </w:r>
      <w:r w:rsidR="00A82951">
        <w:rPr>
          <w:rFonts w:cs="Arial"/>
          <w:rtl/>
        </w:rPr>
        <w:t>-</w:t>
      </w:r>
      <w:r>
        <w:rPr>
          <w:rFonts w:cs="Arial"/>
          <w:rtl/>
        </w:rPr>
        <w:t xml:space="preserve"> הויא גט ולא תינשא עד שימות אותו פלוני, דחיישינן שמא תבעל לו באונס</w:t>
      </w:r>
      <w:r w:rsidR="00A95080">
        <w:rPr>
          <w:rStyle w:val="a7"/>
          <w:rFonts w:cs="Arial"/>
          <w:rtl/>
        </w:rPr>
        <w:footnoteReference w:id="2463"/>
      </w:r>
      <w:r>
        <w:rPr>
          <w:rFonts w:cs="Arial"/>
          <w:rtl/>
        </w:rPr>
        <w:t xml:space="preserve">. </w:t>
      </w:r>
      <w:r w:rsidR="00A95080">
        <w:rPr>
          <w:rFonts w:cs="Arial"/>
          <w:color w:val="E36C0A" w:themeColor="accent6" w:themeShade="BF"/>
          <w:rtl/>
        </w:rPr>
        <w:t>(וכ"פ בשו"ע)</w:t>
      </w:r>
      <w:r>
        <w:rPr>
          <w:rFonts w:cs="Arial"/>
          <w:rtl/>
        </w:rPr>
        <w:t xml:space="preserve"> </w:t>
      </w:r>
    </w:p>
    <w:p w14:paraId="3EAA4E64"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68E1E88" w14:textId="77777777" w:rsidR="00C97BEF" w:rsidRDefault="00C97BEF" w:rsidP="00C97BEF">
      <w:pPr>
        <w:rPr>
          <w:rtl/>
        </w:rPr>
      </w:pPr>
      <w:r>
        <w:rPr>
          <w:rFonts w:cs="Arial"/>
          <w:rtl/>
        </w:rPr>
        <w:t>על מנת שלא תבעלי לפלוני, הוי גט, ולא תנשא עד שימות אותו פלוני, דחיישינן שמא תבעל לו באונס</w:t>
      </w:r>
      <w:r>
        <w:rPr>
          <w:rStyle w:val="a7"/>
          <w:rFonts w:cs="Arial"/>
          <w:rtl/>
        </w:rPr>
        <w:footnoteReference w:id="2464"/>
      </w:r>
      <w:r>
        <w:rPr>
          <w:rFonts w:cs="Arial"/>
          <w:rtl/>
        </w:rPr>
        <w:t xml:space="preserve">. </w:t>
      </w:r>
    </w:p>
    <w:p w14:paraId="353616D5" w14:textId="77777777" w:rsidR="00C97BEF" w:rsidRDefault="00C97BEF" w:rsidP="00C97BEF">
      <w:pPr>
        <w:rPr>
          <w:rtl/>
        </w:rPr>
      </w:pPr>
    </w:p>
    <w:p w14:paraId="7716B188" w14:textId="77777777" w:rsidR="00C97BEF" w:rsidRDefault="00C97BEF" w:rsidP="00C97BEF">
      <w:pPr>
        <w:pStyle w:val="2"/>
        <w:rPr>
          <w:rtl/>
        </w:rPr>
      </w:pPr>
      <w:r>
        <w:rPr>
          <w:rtl/>
        </w:rPr>
        <w:t>סעיף כ: התנה תנאי שצריכה לעמוד בו כל ימיה.</w:t>
      </w:r>
    </w:p>
    <w:p w14:paraId="3CA5AB89" w14:textId="43ABFC33" w:rsidR="00C97BEF" w:rsidRDefault="00C97BEF" w:rsidP="00C97BEF">
      <w:pPr>
        <w:rPr>
          <w:rFonts w:cs="Arial"/>
          <w:rtl/>
        </w:rPr>
      </w:pPr>
      <w:r>
        <w:rPr>
          <w:rFonts w:cs="Arial"/>
          <w:b/>
          <w:bCs/>
          <w:rtl/>
        </w:rPr>
        <w:t xml:space="preserve">גיטין </w:t>
      </w:r>
      <w:r>
        <w:rPr>
          <w:rFonts w:cs="Arial"/>
          <w:b/>
          <w:bCs/>
          <w:sz w:val="16"/>
          <w:szCs w:val="16"/>
          <w:rtl/>
        </w:rPr>
        <w:t>(פ' המגרש)</w:t>
      </w:r>
      <w:r>
        <w:rPr>
          <w:rFonts w:cs="Arial"/>
          <w:b/>
          <w:bCs/>
          <w:rtl/>
        </w:rPr>
        <w:t xml:space="preserve"> פג ע"ב: </w:t>
      </w:r>
      <w:r>
        <w:rPr>
          <w:rFonts w:cs="Arial"/>
          <w:rtl/>
        </w:rPr>
        <w:t xml:space="preserve">לכדתניא: ה"ז גיטך ע"מ שלא תשתי יין, ע"מ שלא תלכי לבית אביך לעולם </w:t>
      </w:r>
      <w:r w:rsidR="00A82951">
        <w:rPr>
          <w:rFonts w:cs="Arial"/>
          <w:rtl/>
        </w:rPr>
        <w:t>-</w:t>
      </w:r>
      <w:r>
        <w:rPr>
          <w:rFonts w:cs="Arial"/>
          <w:rtl/>
        </w:rPr>
        <w:t xml:space="preserve"> אין זה כריתות</w:t>
      </w:r>
      <w:r>
        <w:rPr>
          <w:rStyle w:val="a7"/>
          <w:rFonts w:cs="Arial"/>
          <w:rtl/>
        </w:rPr>
        <w:footnoteReference w:id="2465"/>
      </w:r>
      <w:r>
        <w:rPr>
          <w:rFonts w:cs="Arial"/>
          <w:rtl/>
        </w:rPr>
        <w:t xml:space="preserve">, שלשים יום </w:t>
      </w:r>
      <w:r w:rsidR="00A82951">
        <w:rPr>
          <w:rFonts w:cs="Arial"/>
          <w:rtl/>
        </w:rPr>
        <w:t>-</w:t>
      </w:r>
      <w:r>
        <w:rPr>
          <w:rFonts w:cs="Arial"/>
          <w:rtl/>
        </w:rPr>
        <w:t xml:space="preserve"> ה"ז כריתות</w:t>
      </w:r>
      <w:r>
        <w:rPr>
          <w:rStyle w:val="a7"/>
          <w:rFonts w:cs="Arial"/>
          <w:rtl/>
        </w:rPr>
        <w:footnoteReference w:id="2466"/>
      </w:r>
      <w:r>
        <w:rPr>
          <w:rFonts w:cs="Arial"/>
          <w:rtl/>
        </w:rPr>
        <w:t xml:space="preserve">... </w:t>
      </w:r>
      <w:r>
        <w:rPr>
          <w:rFonts w:cs="Arial"/>
          <w:u w:val="single"/>
          <w:rtl/>
        </w:rPr>
        <w:t>אמר רבא</w:t>
      </w:r>
      <w:r>
        <w:rPr>
          <w:rFonts w:cs="Arial"/>
          <w:rtl/>
        </w:rPr>
        <w:t xml:space="preserve">: ה"ז גיטך ע"מ שלא תשתי יין... כל ימי חייכי </w:t>
      </w:r>
      <w:r w:rsidR="00A82951">
        <w:rPr>
          <w:rFonts w:cs="Arial"/>
          <w:rtl/>
        </w:rPr>
        <w:t>-</w:t>
      </w:r>
      <w:r>
        <w:rPr>
          <w:rFonts w:cs="Arial"/>
          <w:rtl/>
        </w:rPr>
        <w:t xml:space="preserve"> אין זה כריתות, כל ימי חיי או חיי פלוני </w:t>
      </w:r>
      <w:r w:rsidR="00A82951">
        <w:rPr>
          <w:rFonts w:cs="Arial"/>
          <w:rtl/>
        </w:rPr>
        <w:t>-</w:t>
      </w:r>
      <w:r>
        <w:rPr>
          <w:rFonts w:cs="Arial"/>
          <w:rtl/>
        </w:rPr>
        <w:t xml:space="preserve"> ה"ז כריתות.</w:t>
      </w:r>
      <w:r w:rsidR="00E40BD7">
        <w:rPr>
          <w:rFonts w:cs="Arial" w:hint="cs"/>
          <w:rtl/>
        </w:rPr>
        <w:t xml:space="preserve"> </w:t>
      </w:r>
    </w:p>
    <w:p w14:paraId="3AB28DCC" w14:textId="77777777" w:rsidR="00C97BEF" w:rsidRDefault="00C97BEF" w:rsidP="00C97BEF">
      <w:pPr>
        <w:rPr>
          <w:u w:val="single"/>
          <w:rtl/>
        </w:rPr>
      </w:pPr>
      <w:r>
        <w:rPr>
          <w:u w:val="single"/>
          <w:rtl/>
        </w:rPr>
        <w:t>התנה תנאי שצריכה לעמוד בו כל ימיה:</w:t>
      </w:r>
    </w:p>
    <w:p w14:paraId="6EF69B94" w14:textId="6B65A2A3" w:rsidR="00C97BEF" w:rsidRDefault="00C97BEF" w:rsidP="006A458D">
      <w:pPr>
        <w:pStyle w:val="ab"/>
        <w:numPr>
          <w:ilvl w:val="0"/>
          <w:numId w:val="112"/>
        </w:numPr>
        <w:rPr>
          <w:rtl/>
        </w:rPr>
      </w:pPr>
      <w:r>
        <w:rPr>
          <w:rFonts w:cs="Arial"/>
          <w:rtl/>
        </w:rPr>
        <w:t xml:space="preserve">רמב"ם </w:t>
      </w:r>
      <w:r>
        <w:rPr>
          <w:rFonts w:cs="Arial"/>
          <w:sz w:val="16"/>
          <w:szCs w:val="16"/>
          <w:rtl/>
        </w:rPr>
        <w:t>(פ"ח הי"ב)</w:t>
      </w:r>
      <w:r>
        <w:rPr>
          <w:rFonts w:cs="Arial"/>
          <w:rtl/>
        </w:rPr>
        <w:t xml:space="preserve"> וטור</w:t>
      </w:r>
      <w:r w:rsidR="00A82951">
        <w:rPr>
          <w:rFonts w:cs="Arial"/>
          <w:rtl/>
        </w:rPr>
        <w:t>-</w:t>
      </w:r>
      <w:r>
        <w:rPr>
          <w:rFonts w:cs="Arial"/>
          <w:rtl/>
        </w:rPr>
        <w:t xml:space="preserve"> וצריך שלא יתנה עליה תנאי שעומדת בה כל ימיה, כגון ע"מ שלא תאכל בשר ולא תלכי לבית אביך כל ימי חייך, שאם התנה כך </w:t>
      </w:r>
      <w:r w:rsidR="00A82951">
        <w:rPr>
          <w:rFonts w:cs="Arial"/>
          <w:rtl/>
        </w:rPr>
        <w:t>-</w:t>
      </w:r>
      <w:r>
        <w:rPr>
          <w:rFonts w:cs="Arial"/>
          <w:rtl/>
        </w:rPr>
        <w:t xml:space="preserve"> אין זה כריתות</w:t>
      </w:r>
      <w:r>
        <w:rPr>
          <w:rFonts w:cs="Arial"/>
          <w:sz w:val="16"/>
          <w:szCs w:val="16"/>
          <w:rtl/>
        </w:rPr>
        <w:t xml:space="preserve"> (ל' הטור)</w:t>
      </w:r>
      <w:r>
        <w:rPr>
          <w:rFonts w:cs="Arial"/>
          <w:rtl/>
        </w:rPr>
        <w:t xml:space="preserve">. </w:t>
      </w:r>
      <w:r w:rsidR="008036E1">
        <w:rPr>
          <w:rFonts w:cs="Arial"/>
          <w:color w:val="E36C0A" w:themeColor="accent6" w:themeShade="BF"/>
          <w:rtl/>
        </w:rPr>
        <w:t>(וכ"פ בשו"ע)</w:t>
      </w:r>
    </w:p>
    <w:p w14:paraId="05BB801E" w14:textId="77777777" w:rsidR="00C97BEF" w:rsidRDefault="00C97BEF" w:rsidP="00C97BEF">
      <w:pPr>
        <w:ind w:left="360"/>
        <w:rPr>
          <w:u w:val="dotted"/>
        </w:rPr>
      </w:pPr>
      <w:r>
        <w:rPr>
          <w:u w:val="dotted"/>
          <w:rtl/>
        </w:rPr>
        <w:t>ומה הדין אם קצב לתנאי זמן:</w:t>
      </w:r>
    </w:p>
    <w:p w14:paraId="052EC26A" w14:textId="374B529A"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אבל ע"מ שלא תאכלי בשר עד זמן קצוב </w:t>
      </w:r>
      <w:r w:rsidR="00A82951">
        <w:rPr>
          <w:rFonts w:cs="Arial"/>
          <w:rtl/>
        </w:rPr>
        <w:t>-</w:t>
      </w:r>
      <w:r>
        <w:rPr>
          <w:rFonts w:cs="Arial"/>
          <w:rtl/>
        </w:rPr>
        <w:t xml:space="preserve"> הוי גט, ותינשא מיד</w:t>
      </w:r>
      <w:r>
        <w:rPr>
          <w:rStyle w:val="a7"/>
          <w:rFonts w:cs="Arial"/>
          <w:rtl/>
        </w:rPr>
        <w:footnoteReference w:id="2467"/>
      </w:r>
      <w:r>
        <w:rPr>
          <w:rFonts w:cs="Arial"/>
          <w:rtl/>
        </w:rPr>
        <w:t>, שהרי בידה לקיימו שלא תאכל בשר ולא תכנס לבית אביה כל אותו הזמן, ואפי' אם הרחיק הזמן יותר מכדי חיי האדם, כיון שהוא דבר פסוק</w:t>
      </w:r>
      <w:r>
        <w:rPr>
          <w:rStyle w:val="a7"/>
          <w:rFonts w:cs="Arial"/>
          <w:rtl/>
        </w:rPr>
        <w:footnoteReference w:id="2468"/>
      </w:r>
      <w:r>
        <w:rPr>
          <w:rFonts w:cs="Arial"/>
          <w:rtl/>
        </w:rPr>
        <w:t>.</w:t>
      </w:r>
    </w:p>
    <w:p w14:paraId="6DE502DE" w14:textId="2CA958C0" w:rsidR="00C97BEF" w:rsidRDefault="00C97BEF" w:rsidP="006A458D">
      <w:pPr>
        <w:pStyle w:val="ab"/>
        <w:numPr>
          <w:ilvl w:val="0"/>
          <w:numId w:val="112"/>
        </w:numPr>
      </w:pPr>
      <w:r>
        <w:rPr>
          <w:rFonts w:cs="Arial"/>
          <w:rtl/>
        </w:rPr>
        <w:t>רמב"ם</w:t>
      </w:r>
      <w:r>
        <w:rPr>
          <w:rStyle w:val="a7"/>
          <w:rFonts w:cs="Arial"/>
          <w:rtl/>
        </w:rPr>
        <w:footnoteReference w:id="2469"/>
      </w:r>
      <w:r>
        <w:rPr>
          <w:rFonts w:cs="Arial"/>
          <w:rtl/>
        </w:rPr>
        <w:t xml:space="preserve"> </w:t>
      </w:r>
      <w:r>
        <w:rPr>
          <w:rFonts w:cs="Arial"/>
          <w:sz w:val="16"/>
          <w:szCs w:val="16"/>
          <w:rtl/>
        </w:rPr>
        <w:t>(פ"ח הי"ב)</w:t>
      </w:r>
      <w:r>
        <w:rPr>
          <w:rFonts w:cs="Arial"/>
          <w:rtl/>
        </w:rPr>
        <w:t xml:space="preserve"> </w:t>
      </w:r>
      <w:r>
        <w:rPr>
          <w:rtl/>
        </w:rPr>
        <w:t xml:space="preserve">ורשב"א </w:t>
      </w:r>
      <w:r>
        <w:rPr>
          <w:sz w:val="16"/>
          <w:szCs w:val="16"/>
          <w:rtl/>
        </w:rPr>
        <w:t>(פג: ד"ה כל ימי,</w:t>
      </w:r>
      <w:r>
        <w:rPr>
          <w:rFonts w:cs="Arial"/>
          <w:sz w:val="16"/>
          <w:szCs w:val="16"/>
          <w:rtl/>
        </w:rPr>
        <w:t xml:space="preserve"> וכתבוהו הר"ן [מג: ד"ה אמר רבא] והה"מ [פ"ח ה"י]</w:t>
      </w:r>
      <w:r>
        <w:rPr>
          <w:sz w:val="16"/>
          <w:szCs w:val="16"/>
          <w:rtl/>
        </w:rPr>
        <w:t>)</w:t>
      </w:r>
      <w:r w:rsidR="00A82951">
        <w:rPr>
          <w:rtl/>
        </w:rPr>
        <w:t>-</w:t>
      </w:r>
      <w:r>
        <w:rPr>
          <w:rtl/>
        </w:rPr>
        <w:t xml:space="preserve"> </w:t>
      </w:r>
      <w:r>
        <w:rPr>
          <w:rFonts w:cs="Arial"/>
          <w:rtl/>
        </w:rPr>
        <w:t xml:space="preserve">כל ימי חיי פלוני הרי זה כריתות </w:t>
      </w:r>
      <w:r w:rsidR="00A82951">
        <w:rPr>
          <w:rFonts w:cs="Arial"/>
          <w:rtl/>
        </w:rPr>
        <w:t>-</w:t>
      </w:r>
      <w:r>
        <w:rPr>
          <w:rFonts w:cs="Arial"/>
          <w:rtl/>
        </w:rPr>
        <w:t xml:space="preserve"> ואע"פ שהוא ילד והיא זקנה. ואפילו היא זקנה ואמר לה על מנת שלא תשתי יין מכאן ועד </w:t>
      </w:r>
      <w:r>
        <w:rPr>
          <w:rFonts w:cs="Arial"/>
          <w:rtl/>
        </w:rPr>
        <w:lastRenderedPageBreak/>
        <w:t>חמשים</w:t>
      </w:r>
      <w:r>
        <w:rPr>
          <w:rStyle w:val="a7"/>
          <w:rFonts w:cs="Arial"/>
          <w:rtl/>
        </w:rPr>
        <w:footnoteReference w:id="2470"/>
      </w:r>
      <w:r>
        <w:rPr>
          <w:rFonts w:cs="Arial"/>
          <w:rtl/>
        </w:rPr>
        <w:t xml:space="preserve"> שנה </w:t>
      </w:r>
      <w:r w:rsidR="00A82951">
        <w:rPr>
          <w:rFonts w:cs="Arial"/>
          <w:rtl/>
        </w:rPr>
        <w:t>-</w:t>
      </w:r>
      <w:r>
        <w:rPr>
          <w:rFonts w:cs="Arial"/>
          <w:rtl/>
        </w:rPr>
        <w:t xml:space="preserve"> ה"ז כריתות, דכיון שאיפשר שתחיה היא יותר מכאן כריתות קרינן ביה</w:t>
      </w:r>
      <w:r>
        <w:rPr>
          <w:rFonts w:cs="Arial"/>
          <w:sz w:val="16"/>
          <w:szCs w:val="16"/>
          <w:rtl/>
        </w:rPr>
        <w:t xml:space="preserve"> (ל' הרשב"א)</w:t>
      </w:r>
      <w:r>
        <w:rPr>
          <w:rFonts w:cs="Arial"/>
          <w:rtl/>
        </w:rPr>
        <w:t xml:space="preserve">. </w:t>
      </w:r>
      <w:r>
        <w:rPr>
          <w:rFonts w:cs="Arial"/>
          <w:color w:val="E36C0A" w:themeColor="accent6" w:themeShade="BF"/>
          <w:rtl/>
        </w:rPr>
        <w:t>(וכ"ס בשו"ע)</w:t>
      </w:r>
    </w:p>
    <w:p w14:paraId="05ABFEDB"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25CC2F1" w14:textId="77777777" w:rsidR="00C97BEF" w:rsidRDefault="00C97BEF" w:rsidP="00C97BEF">
      <w:pPr>
        <w:rPr>
          <w:rFonts w:cs="Arial"/>
          <w:rtl/>
        </w:rPr>
      </w:pPr>
      <w:r>
        <w:rPr>
          <w:rFonts w:cs="Arial"/>
          <w:rtl/>
        </w:rPr>
        <w:t>צריך שלא יתנה עליה תנאי שעומדת בו כל ימיה, כגון על מנת שלא תאכלי בשר או שלא תשתי יין לעולם</w:t>
      </w:r>
      <w:r>
        <w:rPr>
          <w:rStyle w:val="a7"/>
          <w:rFonts w:cs="Arial"/>
          <w:rtl/>
        </w:rPr>
        <w:footnoteReference w:id="2471"/>
      </w:r>
      <w:r>
        <w:rPr>
          <w:rFonts w:cs="Arial"/>
          <w:rtl/>
        </w:rPr>
        <w:t>, או כל ימי חייכי, שאם התנה כך אין זה כריתות. אבל אם אמר לה: כל ימי חיי, או כל ימי חיי פלוני</w:t>
      </w:r>
      <w:r>
        <w:rPr>
          <w:rStyle w:val="a7"/>
          <w:rFonts w:cs="Arial"/>
          <w:rtl/>
        </w:rPr>
        <w:footnoteReference w:id="2472"/>
      </w:r>
      <w:r>
        <w:rPr>
          <w:rFonts w:cs="Arial"/>
          <w:rtl/>
        </w:rPr>
        <w:t xml:space="preserve">, או עד חמישים שנה, הרי זה גט. ויש מי שכתב שאפילו הרחיב הזמן יותר מכדי חיי האדם, כיון שהוא דבר פסוק, הרי זה גט. </w:t>
      </w:r>
    </w:p>
    <w:p w14:paraId="2BAF77E9" w14:textId="77777777" w:rsidR="00C97BEF" w:rsidRDefault="00C97BEF" w:rsidP="00C97BEF">
      <w:pPr>
        <w:rPr>
          <w:rFonts w:cs="Arial"/>
          <w:u w:val="single"/>
          <w:rtl/>
        </w:rPr>
      </w:pPr>
      <w:r>
        <w:rPr>
          <w:rFonts w:cs="Arial"/>
          <w:u w:val="single"/>
          <w:rtl/>
        </w:rPr>
        <w:t>התנה עליה תנאי לכל ימיה לטובתה:</w:t>
      </w:r>
      <w:r>
        <w:rPr>
          <w:rFonts w:cs="Arial"/>
          <w:sz w:val="16"/>
          <w:szCs w:val="16"/>
          <w:rtl/>
        </w:rPr>
        <w:t xml:space="preserve"> (פת"ש סקי"ז)</w:t>
      </w:r>
    </w:p>
    <w:p w14:paraId="0597EFC1" w14:textId="4E321635" w:rsidR="00C97BEF" w:rsidRDefault="00C97BEF" w:rsidP="006A458D">
      <w:pPr>
        <w:pStyle w:val="ab"/>
        <w:numPr>
          <w:ilvl w:val="0"/>
          <w:numId w:val="118"/>
        </w:numPr>
        <w:rPr>
          <w:rtl/>
        </w:rPr>
      </w:pPr>
      <w:r>
        <w:rPr>
          <w:rFonts w:cs="Arial"/>
          <w:rtl/>
        </w:rPr>
        <w:t xml:space="preserve">מל"מ </w:t>
      </w:r>
      <w:r>
        <w:rPr>
          <w:rFonts w:cs="Arial"/>
          <w:sz w:val="16"/>
          <w:szCs w:val="16"/>
          <w:rtl/>
        </w:rPr>
        <w:t>(פ"ח מה"ג ה"י)</w:t>
      </w:r>
      <w:r w:rsidR="00A82951">
        <w:rPr>
          <w:rFonts w:cs="Arial"/>
          <w:rtl/>
        </w:rPr>
        <w:t>-</w:t>
      </w:r>
      <w:r>
        <w:rPr>
          <w:rFonts w:cs="Arial"/>
          <w:rtl/>
        </w:rPr>
        <w:t xml:space="preserve"> נראה דה"ה במתנה בקיום מעש</w:t>
      </w:r>
      <w:r w:rsidR="00C4673A">
        <w:rPr>
          <w:rFonts w:cs="Arial" w:hint="cs"/>
          <w:rtl/>
        </w:rPr>
        <w:t>ה,</w:t>
      </w:r>
      <w:r>
        <w:rPr>
          <w:rFonts w:cs="Arial"/>
          <w:rtl/>
        </w:rPr>
        <w:t xml:space="preserve"> כגון האומר ה"ז גיטך ע"מ שתדורי בבית זה לעולם דאינו גט</w:t>
      </w:r>
      <w:r w:rsidR="00C4673A">
        <w:rPr>
          <w:rFonts w:cs="Arial" w:hint="cs"/>
          <w:rtl/>
        </w:rPr>
        <w:t>,</w:t>
      </w:r>
      <w:r>
        <w:rPr>
          <w:rFonts w:cs="Arial"/>
          <w:rtl/>
        </w:rPr>
        <w:t xml:space="preserve"> משום דכל ימיה אגידא ביה</w:t>
      </w:r>
      <w:r>
        <w:rPr>
          <w:rStyle w:val="a7"/>
          <w:rFonts w:cs="Arial"/>
          <w:rtl/>
        </w:rPr>
        <w:footnoteReference w:id="2473"/>
      </w:r>
      <w:r>
        <w:rPr>
          <w:rFonts w:cs="Arial"/>
          <w:rtl/>
        </w:rPr>
        <w:t>.</w:t>
      </w:r>
    </w:p>
    <w:p w14:paraId="30D564E1" w14:textId="77777777" w:rsidR="00C97BEF" w:rsidRDefault="00C97BEF" w:rsidP="00C97BEF">
      <w:pPr>
        <w:rPr>
          <w:rFonts w:cs="Arial"/>
          <w:rtl/>
        </w:rPr>
      </w:pPr>
      <w:r>
        <w:rPr>
          <w:rFonts w:cs="Arial"/>
          <w:u w:val="single"/>
          <w:rtl/>
        </w:rPr>
        <w:t>נתן גט על שני תנאים, אחד תנאי קצוב שבידה לקיים, ואחד תנאי לכל ימיה:</w:t>
      </w:r>
      <w:r>
        <w:rPr>
          <w:rFonts w:cs="Arial"/>
          <w:rtl/>
        </w:rPr>
        <w:t xml:space="preserve"> </w:t>
      </w:r>
      <w:r>
        <w:rPr>
          <w:rFonts w:cs="Arial"/>
          <w:sz w:val="16"/>
          <w:szCs w:val="16"/>
          <w:rtl/>
        </w:rPr>
        <w:t>(פת"ש סקי"ז)</w:t>
      </w:r>
    </w:p>
    <w:p w14:paraId="058BD433" w14:textId="6F79B8EC" w:rsidR="00C97BEF" w:rsidRDefault="00C97BEF" w:rsidP="006A458D">
      <w:pPr>
        <w:pStyle w:val="ab"/>
        <w:numPr>
          <w:ilvl w:val="0"/>
          <w:numId w:val="119"/>
        </w:numPr>
        <w:rPr>
          <w:rtl/>
        </w:rPr>
      </w:pPr>
      <w:r>
        <w:rPr>
          <w:rFonts w:cs="Arial"/>
          <w:rtl/>
        </w:rPr>
        <w:t xml:space="preserve">מל"מ </w:t>
      </w:r>
      <w:r>
        <w:rPr>
          <w:rFonts w:cs="Arial"/>
          <w:sz w:val="16"/>
          <w:szCs w:val="16"/>
          <w:rtl/>
        </w:rPr>
        <w:t>(פ"ח מה"ג ה"י)</w:t>
      </w:r>
      <w:r w:rsidR="00A82951">
        <w:rPr>
          <w:rFonts w:cs="Arial"/>
          <w:rtl/>
        </w:rPr>
        <w:t>-</w:t>
      </w:r>
      <w:r>
        <w:rPr>
          <w:rFonts w:cs="Arial"/>
          <w:rtl/>
        </w:rPr>
        <w:t xml:space="preserve"> נסתפקתי בנותן גט על תנאי אלא שהתנה שני תנאים שבהתקיים אחד מהם יהי' גט</w:t>
      </w:r>
      <w:r w:rsidR="00EC47D3">
        <w:rPr>
          <w:rFonts w:cs="Arial" w:hint="cs"/>
          <w:rtl/>
        </w:rPr>
        <w:t>.</w:t>
      </w:r>
      <w:r>
        <w:rPr>
          <w:rFonts w:cs="Arial"/>
          <w:rtl/>
        </w:rPr>
        <w:t xml:space="preserve"> כגון האומר ה"ז גיטך על מנת שתתני לי מאתים זוז</w:t>
      </w:r>
      <w:r w:rsidR="00EC47D3">
        <w:rPr>
          <w:rFonts w:cs="Arial" w:hint="cs"/>
          <w:rtl/>
        </w:rPr>
        <w:t>,</w:t>
      </w:r>
      <w:r>
        <w:rPr>
          <w:rFonts w:cs="Arial"/>
          <w:rtl/>
        </w:rPr>
        <w:t xml:space="preserve"> או ע"מ שלא תשתי יין לעולם</w:t>
      </w:r>
      <w:r w:rsidR="00EC47D3">
        <w:rPr>
          <w:rFonts w:cs="Arial" w:hint="cs"/>
          <w:rtl/>
        </w:rPr>
        <w:t>.</w:t>
      </w:r>
      <w:r>
        <w:rPr>
          <w:rFonts w:cs="Arial"/>
          <w:rtl/>
        </w:rPr>
        <w:t xml:space="preserve"> וכוונתו הוא שאם תתן המאתיים זוז יהי' גט</w:t>
      </w:r>
      <w:r w:rsidR="00EC47D3">
        <w:rPr>
          <w:rFonts w:cs="Arial" w:hint="cs"/>
          <w:rtl/>
        </w:rPr>
        <w:t>,</w:t>
      </w:r>
      <w:r>
        <w:rPr>
          <w:rFonts w:cs="Arial"/>
          <w:rtl/>
        </w:rPr>
        <w:t xml:space="preserve"> ויכולה לשתות יין</w:t>
      </w:r>
      <w:r w:rsidR="00EC47D3">
        <w:rPr>
          <w:rFonts w:cs="Arial" w:hint="cs"/>
          <w:rtl/>
        </w:rPr>
        <w:t>.</w:t>
      </w:r>
      <w:r>
        <w:rPr>
          <w:rFonts w:cs="Arial"/>
          <w:rtl/>
        </w:rPr>
        <w:t xml:space="preserve"> וכן אם לא תשתה יין יהי' גט</w:t>
      </w:r>
      <w:r w:rsidR="00EC47D3">
        <w:rPr>
          <w:rFonts w:cs="Arial" w:hint="cs"/>
          <w:rtl/>
        </w:rPr>
        <w:t>,</w:t>
      </w:r>
      <w:r>
        <w:rPr>
          <w:rFonts w:cs="Arial"/>
          <w:rtl/>
        </w:rPr>
        <w:t xml:space="preserve"> אף שלא תתן לו מאתיים זוז. </w:t>
      </w:r>
    </w:p>
    <w:p w14:paraId="60584E70" w14:textId="0B5025A0" w:rsidR="00C97BEF" w:rsidRDefault="00C97BEF" w:rsidP="006A458D">
      <w:pPr>
        <w:pStyle w:val="ab"/>
        <w:numPr>
          <w:ilvl w:val="0"/>
          <w:numId w:val="119"/>
        </w:numPr>
      </w:pPr>
      <w:r>
        <w:rPr>
          <w:rFonts w:cs="Arial"/>
          <w:rtl/>
        </w:rPr>
        <w:t xml:space="preserve">יד המלך </w:t>
      </w:r>
      <w:r>
        <w:rPr>
          <w:rFonts w:cs="Arial"/>
          <w:sz w:val="16"/>
          <w:szCs w:val="16"/>
          <w:rtl/>
        </w:rPr>
        <w:t>(שם)</w:t>
      </w:r>
      <w:r w:rsidR="00A82951">
        <w:rPr>
          <w:rFonts w:cs="Arial"/>
          <w:rtl/>
        </w:rPr>
        <w:t>-</w:t>
      </w:r>
      <w:r>
        <w:rPr>
          <w:rFonts w:cs="Arial"/>
          <w:rtl/>
        </w:rPr>
        <w:t xml:space="preserve"> </w:t>
      </w:r>
      <w:r>
        <w:rPr>
          <w:rFonts w:cs="Arial"/>
          <w:sz w:val="16"/>
          <w:szCs w:val="16"/>
          <w:rtl/>
        </w:rPr>
        <w:t>{כתב על דברי המל"מ</w:t>
      </w:r>
      <w:r w:rsidR="00A82951">
        <w:rPr>
          <w:rFonts w:cs="Arial"/>
          <w:sz w:val="16"/>
          <w:szCs w:val="16"/>
          <w:rtl/>
        </w:rPr>
        <w:t>-</w:t>
      </w:r>
      <w:r>
        <w:rPr>
          <w:rFonts w:cs="Arial"/>
          <w:sz w:val="16"/>
          <w:szCs w:val="16"/>
          <w:rtl/>
        </w:rPr>
        <w:t xml:space="preserve">} </w:t>
      </w:r>
      <w:r>
        <w:rPr>
          <w:rFonts w:cs="Arial"/>
          <w:rtl/>
        </w:rPr>
        <w:t>לא ידעתי מקום הספק כלל, ומהיכי תיתי לא תהי' מגורשת בזה דמאי איכפת לן מה שהוסיף והתנה גם שלא תשתה יין לעולם, הא עכ"פ אם תתן לו הר' זוז תהי' מותרת ביין ולא תהי' אגידא בי' עוד</w:t>
      </w:r>
      <w:r>
        <w:rPr>
          <w:rStyle w:val="a7"/>
          <w:rFonts w:cs="Arial"/>
          <w:rtl/>
        </w:rPr>
        <w:footnoteReference w:id="2474"/>
      </w:r>
      <w:r>
        <w:rPr>
          <w:rFonts w:cs="Arial"/>
          <w:rtl/>
        </w:rPr>
        <w:t>.</w:t>
      </w:r>
    </w:p>
    <w:p w14:paraId="36C61B72" w14:textId="77777777" w:rsidR="00C97BEF" w:rsidRDefault="00C97BEF" w:rsidP="00C97BEF">
      <w:pPr>
        <w:rPr>
          <w:rtl/>
        </w:rPr>
      </w:pPr>
    </w:p>
    <w:p w14:paraId="6917A872" w14:textId="77777777" w:rsidR="00C97BEF" w:rsidRDefault="00C97BEF" w:rsidP="00C97BEF">
      <w:pPr>
        <w:pStyle w:val="2"/>
        <w:rPr>
          <w:rtl/>
        </w:rPr>
      </w:pPr>
      <w:r>
        <w:rPr>
          <w:rtl/>
        </w:rPr>
        <w:t>סעיף כא: תנאי שאין ספק שהאשה לא תצליח לעמוד בו.</w:t>
      </w:r>
    </w:p>
    <w:p w14:paraId="4BA61AEB" w14:textId="77777777" w:rsidR="00C97BEF" w:rsidRDefault="00C97BEF" w:rsidP="00C97BEF">
      <w:pPr>
        <w:rPr>
          <w:u w:val="single"/>
          <w:rtl/>
        </w:rPr>
      </w:pPr>
      <w:r>
        <w:rPr>
          <w:u w:val="single"/>
          <w:rtl/>
        </w:rPr>
        <w:t>תנאי שאין ספק שהאשה לא תצליח לעמוד בו:</w:t>
      </w:r>
    </w:p>
    <w:p w14:paraId="3E638CBA" w14:textId="6D97B8A5" w:rsidR="00C97BEF" w:rsidRDefault="00C97BEF" w:rsidP="006A458D">
      <w:pPr>
        <w:pStyle w:val="ab"/>
        <w:numPr>
          <w:ilvl w:val="0"/>
          <w:numId w:val="120"/>
        </w:numPr>
        <w:rPr>
          <w:rtl/>
        </w:rPr>
      </w:pPr>
      <w:r>
        <w:rPr>
          <w:rFonts w:cs="Arial"/>
          <w:rtl/>
        </w:rPr>
        <w:t>חזה התנופה</w:t>
      </w:r>
      <w:r w:rsidR="00895399">
        <w:rPr>
          <w:rStyle w:val="a7"/>
          <w:rFonts w:cs="Arial"/>
          <w:rtl/>
        </w:rPr>
        <w:footnoteReference w:id="2475"/>
      </w:r>
      <w:r>
        <w:rPr>
          <w:rFonts w:cs="Arial"/>
          <w:sz w:val="16"/>
          <w:szCs w:val="16"/>
          <w:rtl/>
        </w:rPr>
        <w:t xml:space="preserve"> (סי' ד, הב"י מצא את דבריו בספר המצוות)</w:t>
      </w:r>
      <w:r w:rsidR="00A82951">
        <w:rPr>
          <w:rFonts w:cs="Arial"/>
          <w:rtl/>
        </w:rPr>
        <w:t>-</w:t>
      </w:r>
      <w:r>
        <w:rPr>
          <w:rFonts w:cs="Arial"/>
          <w:rtl/>
        </w:rPr>
        <w:t xml:space="preserve"> אע"פ שהנותן גט לאשתו בתנאי שלא תלכי לבית אביך</w:t>
      </w:r>
      <w:r w:rsidR="00895399">
        <w:rPr>
          <w:rFonts w:cs="Arial" w:hint="cs"/>
          <w:rtl/>
        </w:rPr>
        <w:t xml:space="preserve"> </w:t>
      </w:r>
      <w:r>
        <w:rPr>
          <w:rFonts w:cs="Arial"/>
          <w:rtl/>
        </w:rPr>
        <w:t xml:space="preserve">הגט כשר והתנאי קיים, אפ"ה אין לשום אדם להשתדל בגט שינתן בתנאי כזה, כי אין ספק שלא יתקיים תנאי זה, שאי אפשר לה שתעמוד על נפשה מלכת לבית אביה, ונמצא גט בטל ובניה ממזרים. ואם המגרש הזה הוא מאלו שכופין לגרש ולא רצה לגרש רק בתנאי זה </w:t>
      </w:r>
      <w:r w:rsidR="00A82951">
        <w:rPr>
          <w:rFonts w:cs="Arial"/>
          <w:rtl/>
        </w:rPr>
        <w:t>-</w:t>
      </w:r>
      <w:r>
        <w:rPr>
          <w:rFonts w:cs="Arial"/>
          <w:rtl/>
        </w:rPr>
        <w:t xml:space="preserve"> אין שומעין לו וכופין אותו לגרש בלא תנאי זה. סברא. </w:t>
      </w:r>
    </w:p>
    <w:p w14:paraId="0C1A8FDE"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20DF862" w14:textId="77777777" w:rsidR="00C97BEF" w:rsidRDefault="00C97BEF" w:rsidP="00C97BEF">
      <w:pPr>
        <w:rPr>
          <w:rtl/>
        </w:rPr>
      </w:pPr>
      <w:r>
        <w:rPr>
          <w:rFonts w:cs="Arial"/>
          <w:rtl/>
        </w:rPr>
        <w:t>אמר לה: על מנת שלא תלכי לבית אביך עד זמן פלוני</w:t>
      </w:r>
      <w:r>
        <w:rPr>
          <w:rStyle w:val="a7"/>
          <w:rFonts w:cs="Arial"/>
          <w:rtl/>
        </w:rPr>
        <w:footnoteReference w:id="2476"/>
      </w:r>
      <w:r>
        <w:rPr>
          <w:rFonts w:cs="Arial"/>
          <w:rtl/>
        </w:rPr>
        <w:t xml:space="preserve">, אף על פי שהגט כשר והתנאי קיים, אין לשום אדם להשתדל בגט שינתן בתנאי זה, כי אי אפשר לעמוד על נפשה מלכת לבית אביה, ונמצא גט בטל ובניה ממזרים. ואם המגרש הוא מאותם שכופין להוציא, ולא רצה לגרש אלא בתנאי זה, כופין אותו לגרש בלא תנאי זה. </w:t>
      </w:r>
    </w:p>
    <w:p w14:paraId="1CFEC569" w14:textId="77777777" w:rsidR="00C97BEF" w:rsidRDefault="00C97BEF" w:rsidP="00C97BEF">
      <w:pPr>
        <w:rPr>
          <w:rtl/>
        </w:rPr>
      </w:pPr>
    </w:p>
    <w:p w14:paraId="74E7FFB8" w14:textId="77777777" w:rsidR="00C97BEF" w:rsidRDefault="00C97BEF" w:rsidP="00C97BEF">
      <w:pPr>
        <w:pStyle w:val="2"/>
        <w:rPr>
          <w:rtl/>
        </w:rPr>
      </w:pPr>
      <w:r>
        <w:rPr>
          <w:rtl/>
        </w:rPr>
        <w:t>סעיף כב: על מנת שלא תנשאי לפלוני.</w:t>
      </w:r>
    </w:p>
    <w:p w14:paraId="034A26FD" w14:textId="77777777" w:rsidR="00C97BEF" w:rsidRDefault="00C97BEF" w:rsidP="00C97BEF">
      <w:pPr>
        <w:rPr>
          <w:u w:val="single"/>
          <w:rtl/>
        </w:rPr>
      </w:pPr>
      <w:r>
        <w:rPr>
          <w:rFonts w:cs="Arial"/>
          <w:u w:val="single"/>
          <w:rtl/>
        </w:rPr>
        <w:t>על מנת שלא תנשאי לפלוני</w:t>
      </w:r>
      <w:r>
        <w:rPr>
          <w:u w:val="single"/>
          <w:rtl/>
        </w:rPr>
        <w:t>:</w:t>
      </w:r>
    </w:p>
    <w:p w14:paraId="4EC6762D" w14:textId="3332D8DB" w:rsidR="00C97BEF" w:rsidRDefault="00C97BEF" w:rsidP="006A458D">
      <w:pPr>
        <w:pStyle w:val="ab"/>
        <w:numPr>
          <w:ilvl w:val="0"/>
          <w:numId w:val="112"/>
        </w:numPr>
        <w:rPr>
          <w:rFonts w:cs="Arial"/>
          <w:rtl/>
        </w:rPr>
      </w:pPr>
      <w:r>
        <w:rPr>
          <w:rFonts w:cs="Arial"/>
          <w:rtl/>
        </w:rPr>
        <w:t xml:space="preserve">רמב"ם </w:t>
      </w:r>
      <w:r>
        <w:rPr>
          <w:rFonts w:cs="Arial"/>
          <w:sz w:val="16"/>
          <w:szCs w:val="16"/>
          <w:rtl/>
        </w:rPr>
        <w:t>(פ"ח הי"ב)</w:t>
      </w:r>
      <w:r w:rsidR="00A82951">
        <w:rPr>
          <w:rFonts w:cs="Arial"/>
          <w:rtl/>
        </w:rPr>
        <w:t>-</w:t>
      </w:r>
      <w:r>
        <w:rPr>
          <w:rFonts w:cs="Arial"/>
          <w:rtl/>
        </w:rPr>
        <w:t xml:space="preserve"> הרי זה גיטיך על מנת שלא תנשאי לפלוני </w:t>
      </w:r>
      <w:r w:rsidR="00A82951">
        <w:rPr>
          <w:rFonts w:cs="Arial"/>
          <w:rtl/>
        </w:rPr>
        <w:t>-</w:t>
      </w:r>
      <w:r>
        <w:rPr>
          <w:rFonts w:cs="Arial"/>
          <w:rtl/>
        </w:rPr>
        <w:t xml:space="preserve"> אינו גט, הא למה זה דומה לאומר לה על מנת שלא תשתי יין זה לעולם או שלא תלכי לבית אביך לעולם או כל ימי חייכי. אבל אם אמר לה על מנת שלא תנשאי לפלוני עד חמשים שנה </w:t>
      </w:r>
      <w:r w:rsidR="00A82951">
        <w:rPr>
          <w:rFonts w:cs="Arial"/>
          <w:rtl/>
        </w:rPr>
        <w:t>-</w:t>
      </w:r>
      <w:r>
        <w:rPr>
          <w:rFonts w:cs="Arial"/>
          <w:rtl/>
        </w:rPr>
        <w:t xml:space="preserve"> הרי זה גט. </w:t>
      </w:r>
      <w:r>
        <w:rPr>
          <w:rFonts w:cs="Arial"/>
          <w:color w:val="E36C0A" w:themeColor="accent6" w:themeShade="BF"/>
          <w:rtl/>
        </w:rPr>
        <w:t>(וכ"פ בשו"ע)</w:t>
      </w:r>
    </w:p>
    <w:p w14:paraId="2EB07404" w14:textId="52C7C509"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ולא נהירא </w:t>
      </w:r>
      <w:r>
        <w:rPr>
          <w:rFonts w:cs="Arial"/>
          <w:sz w:val="16"/>
          <w:szCs w:val="16"/>
          <w:rtl/>
        </w:rPr>
        <w:t xml:space="preserve">{דברי הרמב"ם} </w:t>
      </w:r>
      <w:r>
        <w:rPr>
          <w:rFonts w:cs="Arial"/>
          <w:rtl/>
        </w:rPr>
        <w:t xml:space="preserve">דכיון שאיפשר שימות אותו פלוני בחייה ויתבטל התנאי </w:t>
      </w:r>
      <w:r w:rsidR="00A82951">
        <w:rPr>
          <w:rFonts w:cs="Arial"/>
          <w:rtl/>
        </w:rPr>
        <w:t>-</w:t>
      </w:r>
      <w:r>
        <w:rPr>
          <w:rFonts w:cs="Arial"/>
          <w:rtl/>
        </w:rPr>
        <w:t xml:space="preserve"> הוי שפיר כריתות, ולא דמי לשלא תלכי לבית אביך שאפי' לאחר מיתתו אסורה ליכנס בו שנקרא על שם אביה</w:t>
      </w:r>
      <w:r>
        <w:rPr>
          <w:rStyle w:val="a7"/>
          <w:rFonts w:cs="Arial"/>
          <w:rtl/>
        </w:rPr>
        <w:footnoteReference w:id="2477"/>
      </w:r>
      <w:r>
        <w:rPr>
          <w:rFonts w:cs="Arial"/>
          <w:rtl/>
        </w:rPr>
        <w:t xml:space="preserve">. </w:t>
      </w:r>
      <w:r>
        <w:rPr>
          <w:rFonts w:cs="Arial"/>
          <w:color w:val="E36C0A" w:themeColor="accent6" w:themeShade="BF"/>
          <w:rtl/>
        </w:rPr>
        <w:t>(וכ"פ בשו"ע)</w:t>
      </w:r>
    </w:p>
    <w:p w14:paraId="425F9BDD"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8EB4207" w14:textId="77777777" w:rsidR="00C97BEF" w:rsidRDefault="00C97BEF" w:rsidP="00C97BEF">
      <w:pPr>
        <w:rPr>
          <w:rtl/>
        </w:rPr>
      </w:pPr>
      <w:r>
        <w:rPr>
          <w:rFonts w:cs="Arial"/>
          <w:rtl/>
        </w:rPr>
        <w:t xml:space="preserve">אמר לה: על מנת שלא תנשאי לפלוני, ולא קבע זמן, אינו גט, שאין זה כריתות. דומה לאומר: על מנת שלא תשתי יין לעולם, או כל ימי חייכי. ויש אומרים שכיון שאין התנאי נמשך אלא כל ימי חייו, הוי ליה כאומר: על מנת שלא תשתי יין כל ימי חיי פלוני, שהיא מגורשת. ונקטינן כדברי שניהם להחמיר. </w:t>
      </w:r>
    </w:p>
    <w:p w14:paraId="2450F118" w14:textId="77777777" w:rsidR="00C97BEF" w:rsidRDefault="00C97BEF" w:rsidP="00C97BEF">
      <w:pPr>
        <w:rPr>
          <w:rtl/>
        </w:rPr>
      </w:pPr>
    </w:p>
    <w:p w14:paraId="503DE46F" w14:textId="77777777" w:rsidR="00C97BEF" w:rsidRDefault="00C97BEF" w:rsidP="00C97BEF">
      <w:pPr>
        <w:pStyle w:val="2"/>
        <w:rPr>
          <w:rtl/>
        </w:rPr>
      </w:pPr>
      <w:r>
        <w:rPr>
          <w:rtl/>
        </w:rPr>
        <w:t xml:space="preserve">סעיף כג: </w:t>
      </w:r>
      <w:r>
        <w:rPr>
          <w:rFonts w:cs="Arial"/>
          <w:rtl/>
        </w:rPr>
        <w:t>על מנת שלא תשתי יין זה לעולם</w:t>
      </w:r>
      <w:r>
        <w:rPr>
          <w:rtl/>
        </w:rPr>
        <w:t xml:space="preserve">, ונשפך היין </w:t>
      </w:r>
      <w:r>
        <w:rPr>
          <w:sz w:val="18"/>
          <w:szCs w:val="18"/>
          <w:rtl/>
        </w:rPr>
        <w:t>(וכדומה)</w:t>
      </w:r>
      <w:r>
        <w:rPr>
          <w:rtl/>
        </w:rPr>
        <w:t>.</w:t>
      </w:r>
    </w:p>
    <w:p w14:paraId="7171516F" w14:textId="7FDFC5CF" w:rsidR="00C97BEF" w:rsidRDefault="00C97BEF" w:rsidP="00C97BEF">
      <w:pPr>
        <w:rPr>
          <w:u w:val="single"/>
          <w:rtl/>
        </w:rPr>
      </w:pPr>
      <w:r>
        <w:rPr>
          <w:rFonts w:cs="Arial"/>
          <w:u w:val="single"/>
          <w:rtl/>
        </w:rPr>
        <w:t>אמר לה 'על מנת שלא תשתי יין זה לעולם'</w:t>
      </w:r>
      <w:r>
        <w:rPr>
          <w:u w:val="single"/>
          <w:rtl/>
        </w:rPr>
        <w:t xml:space="preserve"> </w:t>
      </w:r>
      <w:r w:rsidR="00A82951">
        <w:rPr>
          <w:u w:val="single"/>
          <w:rtl/>
        </w:rPr>
        <w:t>-</w:t>
      </w:r>
      <w:r>
        <w:rPr>
          <w:u w:val="single"/>
          <w:rtl/>
        </w:rPr>
        <w:t xml:space="preserve"> ונשפך היין:</w:t>
      </w:r>
    </w:p>
    <w:p w14:paraId="234E0ABC" w14:textId="74C1AB3F"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וכתב עוד הרמב"ם </w:t>
      </w:r>
      <w:r>
        <w:rPr>
          <w:rFonts w:cs="Arial"/>
          <w:sz w:val="16"/>
          <w:szCs w:val="16"/>
          <w:rtl/>
        </w:rPr>
        <w:t>(פ"ח הי"א)</w:t>
      </w:r>
      <w:r>
        <w:rPr>
          <w:rStyle w:val="a7"/>
          <w:rFonts w:cs="Arial"/>
          <w:rtl/>
        </w:rPr>
        <w:footnoteReference w:id="2478"/>
      </w:r>
      <w:r>
        <w:rPr>
          <w:rFonts w:cs="Arial"/>
          <w:rtl/>
        </w:rPr>
        <w:t xml:space="preserve"> ע"מ שלא תשתי יין זה לעולם, ונשפך היין </w:t>
      </w:r>
      <w:r w:rsidR="00A82951">
        <w:rPr>
          <w:rFonts w:cs="Arial"/>
          <w:rtl/>
        </w:rPr>
        <w:t>-</w:t>
      </w:r>
      <w:r>
        <w:rPr>
          <w:rFonts w:cs="Arial"/>
          <w:rtl/>
        </w:rPr>
        <w:t xml:space="preserve"> אין זה כריתות, משום שלא הותרה במה שנאסרה. ובתוספתא</w:t>
      </w:r>
      <w:r>
        <w:rPr>
          <w:rStyle w:val="a7"/>
          <w:rFonts w:cs="Arial"/>
          <w:rtl/>
        </w:rPr>
        <w:footnoteReference w:id="2479"/>
      </w:r>
      <w:r>
        <w:rPr>
          <w:rFonts w:cs="Arial"/>
          <w:rtl/>
        </w:rPr>
        <w:t xml:space="preserve"> איתא בהדיא בהיפך זה, דקתני ע"מ שלא תעלה באילן זה לעולם ונקצץ האילן </w:t>
      </w:r>
      <w:r w:rsidR="00A82951">
        <w:rPr>
          <w:rFonts w:cs="Arial"/>
          <w:rtl/>
        </w:rPr>
        <w:t>-</w:t>
      </w:r>
      <w:r>
        <w:rPr>
          <w:rFonts w:cs="Arial"/>
          <w:rtl/>
        </w:rPr>
        <w:t xml:space="preserve"> ה"ז גט. </w:t>
      </w:r>
    </w:p>
    <w:p w14:paraId="03FE8812"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6B6CFBD" w14:textId="77777777" w:rsidR="00C97BEF" w:rsidRDefault="00C97BEF" w:rsidP="00C97BEF">
      <w:pPr>
        <w:rPr>
          <w:rtl/>
        </w:rPr>
      </w:pPr>
      <w:r>
        <w:rPr>
          <w:rFonts w:cs="Arial"/>
          <w:rtl/>
        </w:rPr>
        <w:lastRenderedPageBreak/>
        <w:t>אמר לה: על מנת שלא תשתי יין זה לעולם, או שלא תעלי באילן זה או בכותל זה לעולם, ונשפך היין ונקצץ האילן ונפל הכותל, אין זה כריתות, מאחר שלא הותרה לעולם במה שנאסרה. ויש אומרים שכיון שאין התנאי נמשך אלא כל זמן שהיין קיים או האילן או הכותל קיימים, הרי זו כריתות. ונקטינן כדברי שניהם להחמיר.</w:t>
      </w:r>
    </w:p>
    <w:p w14:paraId="3E4C5E27" w14:textId="77777777" w:rsidR="00C97BEF" w:rsidRDefault="00C97BEF" w:rsidP="00C97BEF">
      <w:pPr>
        <w:bidi w:val="0"/>
        <w:spacing w:after="0"/>
        <w:rPr>
          <w:rtl/>
        </w:rPr>
        <w:sectPr w:rsidR="00C97BEF">
          <w:headerReference w:type="default" r:id="rId36"/>
          <w:footnotePr>
            <w:numRestart w:val="eachSect"/>
          </w:footnotePr>
          <w:pgSz w:w="11906" w:h="16838"/>
          <w:pgMar w:top="720" w:right="1134" w:bottom="720" w:left="1134" w:header="0" w:footer="0" w:gutter="0"/>
          <w:cols w:space="720"/>
          <w:bidi/>
          <w:rtlGutter/>
        </w:sectPr>
      </w:pPr>
    </w:p>
    <w:p w14:paraId="12C4C581" w14:textId="77777777" w:rsidR="00C97BEF" w:rsidRDefault="00C97BEF" w:rsidP="00C97BEF">
      <w:pPr>
        <w:pStyle w:val="1"/>
        <w:rPr>
          <w:rtl/>
        </w:rPr>
      </w:pPr>
      <w:r>
        <w:rPr>
          <w:rtl/>
        </w:rPr>
        <w:lastRenderedPageBreak/>
        <w:t xml:space="preserve">סימן קמד: </w:t>
      </w:r>
      <w:r>
        <w:rPr>
          <w:rFonts w:cs="Arial"/>
          <w:rtl/>
        </w:rPr>
        <w:t xml:space="preserve">דין תנאי, ואם יש טענות אונס בגט, ובו ז' סעיפים. </w:t>
      </w:r>
    </w:p>
    <w:p w14:paraId="21D99658" w14:textId="77777777" w:rsidR="00C97BEF" w:rsidRDefault="00C97BEF" w:rsidP="00C97BEF">
      <w:pPr>
        <w:pStyle w:val="2"/>
        <w:rPr>
          <w:rtl/>
        </w:rPr>
      </w:pPr>
      <w:r>
        <w:rPr>
          <w:rtl/>
        </w:rPr>
        <w:t>סעיף א: התנה תנאי ונאנס ולא קיימו.</w:t>
      </w:r>
    </w:p>
    <w:p w14:paraId="33697574" w14:textId="7F2F836F" w:rsidR="00C97BEF" w:rsidRDefault="00C97BEF" w:rsidP="00C97BEF">
      <w:pPr>
        <w:rPr>
          <w:rtl/>
        </w:rPr>
      </w:pPr>
      <w:r>
        <w:rPr>
          <w:rFonts w:cs="Arial"/>
          <w:b/>
          <w:bCs/>
          <w:rtl/>
        </w:rPr>
        <w:t xml:space="preserve">גיטין </w:t>
      </w:r>
      <w:r>
        <w:rPr>
          <w:rFonts w:cs="Arial"/>
          <w:b/>
          <w:bCs/>
          <w:sz w:val="16"/>
          <w:szCs w:val="16"/>
          <w:rtl/>
        </w:rPr>
        <w:t>(פ' מי שאחזו)</w:t>
      </w:r>
      <w:r>
        <w:rPr>
          <w:rFonts w:cs="Arial"/>
          <w:b/>
          <w:bCs/>
          <w:rtl/>
        </w:rPr>
        <w:t xml:space="preserve"> עו ע"ב: </w:t>
      </w:r>
      <w:r>
        <w:rPr>
          <w:rFonts w:cs="Arial"/>
          <w:u w:val="double"/>
          <w:rtl/>
        </w:rPr>
        <w:t>מתני'</w:t>
      </w:r>
      <w:r>
        <w:rPr>
          <w:rFonts w:cs="Arial"/>
          <w:rtl/>
        </w:rPr>
        <w:t xml:space="preserve">:... ה"ז גיטך מעכשיו אם לא באתי מכאן ועד י"ב חדש, ומת בתוך י"ב חדש </w:t>
      </w:r>
      <w:r w:rsidR="00A82951">
        <w:rPr>
          <w:rFonts w:cs="Arial"/>
          <w:rtl/>
        </w:rPr>
        <w:t>-</w:t>
      </w:r>
      <w:r>
        <w:rPr>
          <w:rFonts w:cs="Arial"/>
          <w:rtl/>
        </w:rPr>
        <w:t xml:space="preserve"> ה"ז גט...</w:t>
      </w:r>
    </w:p>
    <w:p w14:paraId="6FCBA18E" w14:textId="77777777" w:rsidR="00C97BEF" w:rsidRDefault="00C97BEF" w:rsidP="00C97BEF">
      <w:pPr>
        <w:rPr>
          <w:u w:val="single"/>
          <w:rtl/>
        </w:rPr>
      </w:pPr>
      <w:r>
        <w:rPr>
          <w:u w:val="single"/>
          <w:rtl/>
        </w:rPr>
        <w:t xml:space="preserve">נתן לה גט על תנאי שהוא חיצוני לה: </w:t>
      </w:r>
    </w:p>
    <w:p w14:paraId="7201AA30" w14:textId="6B0DE01F" w:rsidR="00C97BEF" w:rsidRDefault="00C97BEF" w:rsidP="006A458D">
      <w:pPr>
        <w:pStyle w:val="ab"/>
        <w:numPr>
          <w:ilvl w:val="0"/>
          <w:numId w:val="112"/>
        </w:numPr>
        <w:rPr>
          <w:rtl/>
        </w:rPr>
      </w:pPr>
      <w:r>
        <w:rPr>
          <w:rtl/>
        </w:rPr>
        <w:t>טור</w:t>
      </w:r>
      <w:r w:rsidR="00A82951">
        <w:rPr>
          <w:rtl/>
        </w:rPr>
        <w:t>-</w:t>
      </w:r>
      <w:r>
        <w:rPr>
          <w:rtl/>
        </w:rPr>
        <w:t xml:space="preserve"> </w:t>
      </w:r>
      <w:r>
        <w:rPr>
          <w:rFonts w:cs="Arial"/>
          <w:rtl/>
        </w:rPr>
        <w:t xml:space="preserve">כשם שקיום הגט תלוי בתנאי שתולה באשה כמו שביארתי, כן הדין בתנאי שמתנה עליו שאם יתקיים התנאי יתקיים הגט, ואם לאו לא יתקיים. כיצד, אמר לה ה"ז גיטך מעכשיו אם לא אבא בתוך ל' יום, או שאומר על מנת שלא אבא בתוך שלשים יום, אם בא בתוך ל' יום </w:t>
      </w:r>
      <w:r w:rsidR="00A82951">
        <w:rPr>
          <w:rFonts w:cs="Arial"/>
          <w:rtl/>
        </w:rPr>
        <w:t>-</w:t>
      </w:r>
      <w:r>
        <w:rPr>
          <w:rFonts w:cs="Arial"/>
          <w:rtl/>
        </w:rPr>
        <w:t xml:space="preserve"> נתבטל הגט. לא בא </w:t>
      </w:r>
      <w:r w:rsidR="00A82951">
        <w:rPr>
          <w:rFonts w:cs="Arial"/>
          <w:rtl/>
        </w:rPr>
        <w:t>-</w:t>
      </w:r>
      <w:r>
        <w:rPr>
          <w:rFonts w:cs="Arial"/>
          <w:rtl/>
        </w:rPr>
        <w:t xml:space="preserve"> נתקיים הגט למפרע. </w:t>
      </w:r>
      <w:r>
        <w:rPr>
          <w:color w:val="E36C0A" w:themeColor="accent6" w:themeShade="BF"/>
          <w:rtl/>
        </w:rPr>
        <w:t>(וכ"פ בשו"ע)</w:t>
      </w:r>
    </w:p>
    <w:p w14:paraId="44EAD8F7" w14:textId="33FD2A8F" w:rsidR="00C97BEF" w:rsidRDefault="00C97BEF" w:rsidP="00C97BEF">
      <w:pPr>
        <w:rPr>
          <w:rFonts w:cs="Arial"/>
        </w:rPr>
      </w:pPr>
      <w:r>
        <w:rPr>
          <w:rFonts w:cs="Arial"/>
          <w:b/>
          <w:bCs/>
          <w:rtl/>
        </w:rPr>
        <w:t xml:space="preserve">גיטין </w:t>
      </w:r>
      <w:r>
        <w:rPr>
          <w:rFonts w:cs="Arial"/>
          <w:b/>
          <w:bCs/>
          <w:sz w:val="16"/>
          <w:szCs w:val="16"/>
          <w:rtl/>
        </w:rPr>
        <w:t>(פ' מי שאחזו)</w:t>
      </w:r>
      <w:r>
        <w:rPr>
          <w:rFonts w:cs="Arial"/>
          <w:b/>
          <w:bCs/>
          <w:rtl/>
        </w:rPr>
        <w:t xml:space="preserve"> עג ע"א:</w:t>
      </w:r>
      <w:r>
        <w:rPr>
          <w:rFonts w:cs="Arial"/>
          <w:rtl/>
        </w:rPr>
        <w:t xml:space="preserve"> ת"ר: זה גיטיך מהיום אם מתי מחולי זה, ונפל הבית עליו או הכישו נחש </w:t>
      </w:r>
      <w:r w:rsidR="00A82951">
        <w:rPr>
          <w:rFonts w:cs="Arial"/>
          <w:rtl/>
        </w:rPr>
        <w:t>-</w:t>
      </w:r>
      <w:r>
        <w:rPr>
          <w:rFonts w:cs="Arial"/>
          <w:rtl/>
        </w:rPr>
        <w:t xml:space="preserve"> אינו גט. אם לא אעמוד מחולי זה, ונפל עליו בית או הכישו נחש </w:t>
      </w:r>
      <w:r w:rsidR="00A82951">
        <w:rPr>
          <w:rFonts w:cs="Arial"/>
          <w:rtl/>
        </w:rPr>
        <w:t>-</w:t>
      </w:r>
      <w:r>
        <w:rPr>
          <w:rFonts w:cs="Arial"/>
          <w:rtl/>
        </w:rPr>
        <w:t xml:space="preserve"> ה"ז גט. מאי שנא רישא ומאי שנא סיפא? שלחו מתם: אכלו ארי, אין לנו.</w:t>
      </w:r>
    </w:p>
    <w:p w14:paraId="00925A5E" w14:textId="19331AFB" w:rsidR="00C97BEF" w:rsidRDefault="00C97BEF" w:rsidP="00C97BEF">
      <w:pPr>
        <w:rPr>
          <w:rtl/>
        </w:rPr>
      </w:pPr>
      <w:r>
        <w:rPr>
          <w:rFonts w:cs="Arial"/>
          <w:b/>
          <w:bCs/>
          <w:rtl/>
        </w:rPr>
        <w:t xml:space="preserve">כתובות </w:t>
      </w:r>
      <w:r>
        <w:rPr>
          <w:rFonts w:cs="Arial"/>
          <w:b/>
          <w:bCs/>
          <w:sz w:val="16"/>
          <w:szCs w:val="16"/>
          <w:rtl/>
        </w:rPr>
        <w:t>(רפ"ק)</w:t>
      </w:r>
      <w:r>
        <w:rPr>
          <w:rFonts w:cs="Arial"/>
          <w:b/>
          <w:bCs/>
          <w:rtl/>
        </w:rPr>
        <w:t xml:space="preserve"> ב ע"א: </w:t>
      </w:r>
      <w:r>
        <w:rPr>
          <w:rFonts w:cs="Arial"/>
          <w:rtl/>
        </w:rPr>
        <w:t xml:space="preserve">שקדו חכמים על תקנת בנות ישראל שיהא טורח בסעודה שלשה ימים, אחד בשבת ושני בשבת ושלישי בשבת, וברביעי כונסה. ועכשיו ששנינו שקדו, אותה ששנינו הגיע זמן ולא נישאו </w:t>
      </w:r>
      <w:r w:rsidR="00A82951">
        <w:rPr>
          <w:rFonts w:cs="Arial"/>
          <w:rtl/>
        </w:rPr>
        <w:t>-</w:t>
      </w:r>
      <w:r>
        <w:rPr>
          <w:rFonts w:cs="Arial"/>
          <w:rtl/>
        </w:rPr>
        <w:t xml:space="preserve"> אוכלות משלו ואוכלות בתרומה, הגיע זמן באחד בשבת, מתוך שאינו יכול לכנוס </w:t>
      </w:r>
      <w:r w:rsidR="00A82951">
        <w:rPr>
          <w:rFonts w:cs="Arial"/>
          <w:rtl/>
        </w:rPr>
        <w:t>-</w:t>
      </w:r>
      <w:r>
        <w:rPr>
          <w:rFonts w:cs="Arial"/>
          <w:rtl/>
        </w:rPr>
        <w:t xml:space="preserve"> אינו מעלה לה מזונות; לפיכך, חלה הוא, או שחלתה היא, או שפירסה נדה </w:t>
      </w:r>
      <w:r w:rsidR="00A82951">
        <w:rPr>
          <w:rFonts w:cs="Arial"/>
          <w:rtl/>
        </w:rPr>
        <w:t>-</w:t>
      </w:r>
      <w:r>
        <w:rPr>
          <w:rFonts w:cs="Arial"/>
          <w:rtl/>
        </w:rPr>
        <w:t xml:space="preserve"> אינו מעלה לה מזונות.</w:t>
      </w:r>
      <w:r>
        <w:rPr>
          <w:rtl/>
        </w:rPr>
        <w:t xml:space="preserve">.. </w:t>
      </w:r>
      <w:r>
        <w:rPr>
          <w:rFonts w:cs="Arial"/>
          <w:sz w:val="14"/>
          <w:szCs w:val="14"/>
          <w:rtl/>
        </w:rPr>
        <w:t xml:space="preserve">(ב:) </w:t>
      </w:r>
      <w:r>
        <w:rPr>
          <w:rFonts w:cs="Arial"/>
          <w:u w:val="single"/>
          <w:rtl/>
        </w:rPr>
        <w:t>אמר רבא</w:t>
      </w:r>
      <w:r>
        <w:rPr>
          <w:rFonts w:cs="Arial"/>
          <w:rtl/>
        </w:rPr>
        <w:t>: ולענין גיטין אינו כן. אלמא קסבר רבא: אין אונס בגיטין</w:t>
      </w:r>
      <w:r>
        <w:rPr>
          <w:rStyle w:val="a7"/>
          <w:rFonts w:cs="Arial"/>
          <w:rtl/>
        </w:rPr>
        <w:footnoteReference w:id="2480"/>
      </w:r>
      <w:r>
        <w:rPr>
          <w:rFonts w:cs="Arial"/>
          <w:rtl/>
        </w:rPr>
        <w:t>. מנא ליה לרבא הא?... אלא רבא סברא דנפשיה קאמר: משום צנועות ומשום פרוצות; משום צנועות, דאי אמרת לא להוי גט</w:t>
      </w:r>
      <w:r>
        <w:rPr>
          <w:rFonts w:cs="Arial"/>
          <w:sz w:val="14"/>
          <w:szCs w:val="14"/>
          <w:rtl/>
        </w:rPr>
        <w:t xml:space="preserve"> (ג.)</w:t>
      </w:r>
      <w:r>
        <w:rPr>
          <w:rFonts w:cs="Arial"/>
          <w:rtl/>
        </w:rPr>
        <w:t>,</w:t>
      </w:r>
      <w:r>
        <w:rPr>
          <w:rtl/>
        </w:rPr>
        <w:t xml:space="preserve"> </w:t>
      </w:r>
      <w:r>
        <w:rPr>
          <w:rFonts w:cs="Arial"/>
          <w:rtl/>
        </w:rPr>
        <w:t xml:space="preserve">זימנין דלא אניס וסברה דאניס, ומיעגנא ויתבה; ומשום פרוצות, דאי אמרת לא ליהוי גיטא, זימנין דאניס ואמרה לא אניס, ואזלא ומינסבא, ונמצא גט בטל ובניה ממזרים. ומי איכא מידי, דמדאורייתא לא להוי גט, ומשום צנועות ומשום פרוצות שרינן אשת איש לעלמא? אין, כל דמקדש אדעתא דרבנן מקדש, ואפקעינהו רבנן לקידושי מיניה. אמר ליה רבינא לרב אשי: תינח קדיש בכספא, קדיש בביאה מאי איכא למימר? שויוה רבנן לבעילתו בעילת זנות. </w:t>
      </w:r>
      <w:r>
        <w:rPr>
          <w:rFonts w:cs="Arial"/>
          <w:u w:val="dotted"/>
          <w:rtl/>
        </w:rPr>
        <w:t>איכא דאמרי</w:t>
      </w:r>
      <w:r>
        <w:rPr>
          <w:rFonts w:cs="Arial"/>
          <w:rtl/>
        </w:rPr>
        <w:t xml:space="preserve">, </w:t>
      </w:r>
      <w:r>
        <w:rPr>
          <w:rFonts w:cs="Arial"/>
          <w:u w:val="single"/>
          <w:rtl/>
        </w:rPr>
        <w:t>אמר רבא</w:t>
      </w:r>
      <w:r>
        <w:rPr>
          <w:rFonts w:cs="Arial"/>
          <w:rtl/>
        </w:rPr>
        <w:t>: וכן לענין גיטין. אלמא קסבר רבא: יש אונס בגיטין... ת"ש: מההוא דאמר להו אי לא אתינא מכאן ועד שלשים יום ליהוי גיטא, אתא בסוף תלתין יומין ופסקיה מברא, ואמר להו חזו דאתאי חזו דאתאי, ואמר שמואל: לא שמיה מתיא! אונסא דשכיח שאני, דכיון דאיבעי ליה לאתנויי ולא אתני, איהו הוא דאפסיד אנפשיה.</w:t>
      </w:r>
      <w:r>
        <w:rPr>
          <w:rFonts w:cs="Arial"/>
          <w:sz w:val="16"/>
          <w:szCs w:val="16"/>
          <w:rtl/>
        </w:rPr>
        <w:t xml:space="preserve"> (וכתבו התוספות (ג. ד"ה איכא דאמרי) והרא"ש (סי' ב) דשלשה ענייני אונס הם: אונס דלא שכיח כלל כגון נשכו נחש או אכלו ארי </w:t>
      </w:r>
      <w:r w:rsidR="00A82951">
        <w:rPr>
          <w:rFonts w:cs="Arial"/>
          <w:sz w:val="16"/>
          <w:szCs w:val="16"/>
          <w:rtl/>
        </w:rPr>
        <w:t>-</w:t>
      </w:r>
      <w:r>
        <w:rPr>
          <w:rFonts w:cs="Arial"/>
          <w:sz w:val="16"/>
          <w:szCs w:val="16"/>
          <w:rtl/>
        </w:rPr>
        <w:t xml:space="preserve"> אפילו ללישנא קמא יש אונס ולא הוי גט. ואונס דשכיח כגון שהפסיקו נהר </w:t>
      </w:r>
      <w:r w:rsidR="00A82951">
        <w:rPr>
          <w:rFonts w:cs="Arial"/>
          <w:sz w:val="16"/>
          <w:szCs w:val="16"/>
          <w:rtl/>
        </w:rPr>
        <w:t>-</w:t>
      </w:r>
      <w:r>
        <w:rPr>
          <w:rFonts w:cs="Arial"/>
          <w:sz w:val="16"/>
          <w:szCs w:val="16"/>
          <w:rtl/>
        </w:rPr>
        <w:t xml:space="preserve"> אפילו לאיכא דאמרי אין אונס, דאיבעי ליה לאתנויי. ובאונס דשכיח ולא שכיח, כגון שחלה </w:t>
      </w:r>
      <w:r w:rsidR="00A82951">
        <w:rPr>
          <w:rFonts w:cs="Arial"/>
          <w:sz w:val="16"/>
          <w:szCs w:val="16"/>
          <w:rtl/>
        </w:rPr>
        <w:t>-</w:t>
      </w:r>
      <w:r>
        <w:rPr>
          <w:rFonts w:cs="Arial"/>
          <w:sz w:val="16"/>
          <w:szCs w:val="16"/>
          <w:rtl/>
        </w:rPr>
        <w:t xml:space="preserve"> בהא פליגי הני תרי לישני, והלכתא כלישנא קמא... וכתב הרב המגיד (פ"ט ה"ח) השלשה חילוקים שכתבו התוספות. וגם הר"ן כתבם בפרק כל הגט (שם ד"ה ושמעי'), ב"י)</w:t>
      </w:r>
    </w:p>
    <w:p w14:paraId="09A18B70" w14:textId="77777777" w:rsidR="00C97BEF" w:rsidRDefault="00C97BEF" w:rsidP="00C97BEF">
      <w:pPr>
        <w:rPr>
          <w:u w:val="single"/>
          <w:rtl/>
        </w:rPr>
      </w:pPr>
      <w:r>
        <w:rPr>
          <w:u w:val="single"/>
          <w:rtl/>
        </w:rPr>
        <w:t>כיצד נפסק, כלישנא קמא דרבא או כלישנא קמא:</w:t>
      </w:r>
    </w:p>
    <w:p w14:paraId="156EFF83" w14:textId="40866925" w:rsidR="00C97BEF" w:rsidRDefault="00C97BEF" w:rsidP="006A458D">
      <w:pPr>
        <w:pStyle w:val="ab"/>
        <w:numPr>
          <w:ilvl w:val="0"/>
          <w:numId w:val="112"/>
        </w:numPr>
        <w:rPr>
          <w:rFonts w:cs="Arial"/>
        </w:rPr>
      </w:pPr>
      <w:r>
        <w:rPr>
          <w:rFonts w:cs="Arial"/>
          <w:rtl/>
        </w:rPr>
        <w:t xml:space="preserve">ר"ח </w:t>
      </w:r>
      <w:r>
        <w:rPr>
          <w:rFonts w:cs="Arial"/>
          <w:sz w:val="16"/>
          <w:szCs w:val="16"/>
          <w:rtl/>
        </w:rPr>
        <w:t>(כ"כ התוס' [שם] בשמו)</w:t>
      </w:r>
      <w:r>
        <w:rPr>
          <w:rFonts w:cs="Arial"/>
          <w:rtl/>
        </w:rPr>
        <w:t xml:space="preserve"> רי"ף </w:t>
      </w:r>
      <w:r>
        <w:rPr>
          <w:rFonts w:cs="Arial"/>
          <w:sz w:val="16"/>
          <w:szCs w:val="16"/>
          <w:rtl/>
        </w:rPr>
        <w:t>(גיטין טו:)</w:t>
      </w:r>
      <w:r>
        <w:rPr>
          <w:rFonts w:cs="Arial"/>
          <w:rtl/>
        </w:rPr>
        <w:t xml:space="preserve"> תוס' </w:t>
      </w:r>
      <w:r>
        <w:rPr>
          <w:rFonts w:cs="Arial"/>
          <w:sz w:val="16"/>
          <w:szCs w:val="16"/>
          <w:rtl/>
        </w:rPr>
        <w:t>(</w:t>
      </w:r>
      <w:r w:rsidR="00713B3D">
        <w:rPr>
          <w:rFonts w:cs="Arial" w:hint="cs"/>
          <w:sz w:val="16"/>
          <w:szCs w:val="16"/>
          <w:rtl/>
        </w:rPr>
        <w:t xml:space="preserve">כתובות </w:t>
      </w:r>
      <w:r>
        <w:rPr>
          <w:rFonts w:cs="Arial"/>
          <w:sz w:val="16"/>
          <w:szCs w:val="16"/>
          <w:rtl/>
        </w:rPr>
        <w:t>ג. ד"ה איכא</w:t>
      </w:r>
      <w:r w:rsidR="00713B3D">
        <w:rPr>
          <w:rFonts w:cs="Arial" w:hint="cs"/>
          <w:sz w:val="16"/>
          <w:szCs w:val="16"/>
          <w:rtl/>
        </w:rPr>
        <w:t>, גיטין עג.</w:t>
      </w:r>
      <w:r w:rsidR="001F39DA">
        <w:rPr>
          <w:rFonts w:cs="Arial" w:hint="cs"/>
          <w:sz w:val="16"/>
          <w:szCs w:val="16"/>
          <w:rtl/>
        </w:rPr>
        <w:t xml:space="preserve"> ד"ה איתיביה</w:t>
      </w:r>
      <w:r>
        <w:rPr>
          <w:rFonts w:cs="Arial"/>
          <w:sz w:val="16"/>
          <w:szCs w:val="16"/>
          <w:rtl/>
        </w:rPr>
        <w:t xml:space="preserve">) </w:t>
      </w:r>
      <w:r>
        <w:rPr>
          <w:rFonts w:cs="Arial"/>
          <w:rtl/>
        </w:rPr>
        <w:t xml:space="preserve">רמב"ם </w:t>
      </w:r>
      <w:r>
        <w:rPr>
          <w:rFonts w:cs="Arial"/>
          <w:sz w:val="16"/>
          <w:szCs w:val="16"/>
          <w:rtl/>
        </w:rPr>
        <w:t>(פ"ט ה"ח)</w:t>
      </w:r>
      <w:r>
        <w:rPr>
          <w:rFonts w:cs="Arial"/>
          <w:rtl/>
        </w:rPr>
        <w:t xml:space="preserve"> ורא"ש </w:t>
      </w:r>
      <w:r>
        <w:rPr>
          <w:rFonts w:cs="Arial"/>
          <w:sz w:val="16"/>
          <w:szCs w:val="16"/>
          <w:rtl/>
        </w:rPr>
        <w:t>(סי' ב)</w:t>
      </w:r>
      <w:r w:rsidR="00A82951">
        <w:rPr>
          <w:rFonts w:cs="Arial"/>
          <w:rtl/>
        </w:rPr>
        <w:t>-</w:t>
      </w:r>
      <w:r>
        <w:rPr>
          <w:rFonts w:cs="Arial"/>
          <w:rtl/>
        </w:rPr>
        <w:t xml:space="preserve"> אין אונס בגיטין, כלישנא קמא. </w:t>
      </w:r>
    </w:p>
    <w:p w14:paraId="5E4D0FEE" w14:textId="1A9711CF" w:rsidR="00C97BEF" w:rsidRDefault="00C97BEF" w:rsidP="006A458D">
      <w:pPr>
        <w:pStyle w:val="ab"/>
        <w:numPr>
          <w:ilvl w:val="0"/>
          <w:numId w:val="112"/>
        </w:numPr>
        <w:rPr>
          <w:rFonts w:cs="Arial"/>
          <w:rtl/>
        </w:rPr>
      </w:pPr>
      <w:r>
        <w:rPr>
          <w:rFonts w:cs="Arial"/>
          <w:rtl/>
        </w:rPr>
        <w:t>ריב"ן</w:t>
      </w:r>
      <w:r>
        <w:rPr>
          <w:rStyle w:val="a7"/>
          <w:rFonts w:cs="Arial"/>
          <w:rtl/>
        </w:rPr>
        <w:footnoteReference w:id="2481"/>
      </w:r>
      <w:r>
        <w:rPr>
          <w:rFonts w:cs="Arial"/>
          <w:rtl/>
        </w:rPr>
        <w:t xml:space="preserve"> </w:t>
      </w:r>
      <w:r>
        <w:rPr>
          <w:rFonts w:cs="Arial"/>
          <w:sz w:val="16"/>
          <w:szCs w:val="16"/>
          <w:rtl/>
        </w:rPr>
        <w:t>(כ"כ המרדכי [סי' שס] בשמו)</w:t>
      </w:r>
      <w:r w:rsidR="00A82951">
        <w:rPr>
          <w:rFonts w:cs="Arial"/>
          <w:rtl/>
        </w:rPr>
        <w:t>-</w:t>
      </w:r>
      <w:r>
        <w:rPr>
          <w:rFonts w:cs="Arial"/>
          <w:rtl/>
        </w:rPr>
        <w:t xml:space="preserve"> אפילו בידי שמים אין אונס בגיטין. </w:t>
      </w:r>
    </w:p>
    <w:p w14:paraId="4D68FCA8" w14:textId="0E8A8F23" w:rsidR="00C97BEF" w:rsidRDefault="00C97BEF" w:rsidP="006A458D">
      <w:pPr>
        <w:pStyle w:val="ab"/>
        <w:numPr>
          <w:ilvl w:val="0"/>
          <w:numId w:val="112"/>
        </w:numPr>
        <w:rPr>
          <w:rFonts w:cs="Arial"/>
        </w:rPr>
      </w:pPr>
      <w:r>
        <w:rPr>
          <w:rFonts w:cs="Arial"/>
          <w:rtl/>
        </w:rPr>
        <w:t xml:space="preserve">ספר המקצועות </w:t>
      </w:r>
      <w:r>
        <w:rPr>
          <w:rFonts w:cs="Arial"/>
          <w:sz w:val="16"/>
          <w:szCs w:val="16"/>
          <w:rtl/>
        </w:rPr>
        <w:t>(כ"כ בשמו הגה"מ [פ"ט אות א] ומרדכי [שם])</w:t>
      </w:r>
      <w:r w:rsidR="00A82951">
        <w:rPr>
          <w:rFonts w:cs="Arial"/>
          <w:rtl/>
        </w:rPr>
        <w:t>-</w:t>
      </w:r>
      <w:r>
        <w:rPr>
          <w:rFonts w:cs="Arial"/>
          <w:rtl/>
        </w:rPr>
        <w:t xml:space="preserve"> אונס בידי אדם לא הוי אונס בידי שמים הוי אונס, וכ"פ בשתי ישיבות</w:t>
      </w:r>
      <w:r>
        <w:rPr>
          <w:rStyle w:val="a7"/>
          <w:rFonts w:cs="Arial"/>
          <w:rtl/>
        </w:rPr>
        <w:footnoteReference w:id="2482"/>
      </w:r>
      <w:r>
        <w:rPr>
          <w:rFonts w:cs="Arial"/>
          <w:rtl/>
        </w:rPr>
        <w:t>.</w:t>
      </w:r>
    </w:p>
    <w:p w14:paraId="4FB19D6F" w14:textId="7FF6D095" w:rsidR="00C97BEF" w:rsidRDefault="00C97BEF" w:rsidP="006A458D">
      <w:pPr>
        <w:pStyle w:val="ab"/>
        <w:numPr>
          <w:ilvl w:val="0"/>
          <w:numId w:val="112"/>
        </w:numPr>
        <w:rPr>
          <w:rFonts w:cs="Arial"/>
        </w:rPr>
      </w:pPr>
      <w:r>
        <w:rPr>
          <w:rFonts w:cs="Arial"/>
          <w:rtl/>
        </w:rPr>
        <w:t xml:space="preserve">תשובת הגאון </w:t>
      </w:r>
      <w:r>
        <w:rPr>
          <w:rFonts w:cs="Arial"/>
          <w:sz w:val="16"/>
          <w:szCs w:val="16"/>
          <w:rtl/>
        </w:rPr>
        <w:t>(כ"כ המרדכי [סי' שס] בשמו)</w:t>
      </w:r>
      <w:r w:rsidR="00A82951">
        <w:rPr>
          <w:rFonts w:cs="Arial"/>
          <w:rtl/>
        </w:rPr>
        <w:t>-</w:t>
      </w:r>
      <w:r>
        <w:rPr>
          <w:rFonts w:cs="Arial"/>
          <w:rtl/>
        </w:rPr>
        <w:t xml:space="preserve"> יש אונס כלישנא בתרא דפ"ק דכתובות, ואם מת חולצת ולא מתיבמת.</w:t>
      </w:r>
    </w:p>
    <w:p w14:paraId="6BF19472" w14:textId="17D14AD5" w:rsidR="00C97BEF" w:rsidRDefault="00C97BEF" w:rsidP="00C97BEF">
      <w:pPr>
        <w:rPr>
          <w:u w:val="single"/>
          <w:rtl/>
        </w:rPr>
      </w:pPr>
      <w:r>
        <w:rPr>
          <w:u w:val="single"/>
          <w:rtl/>
        </w:rPr>
        <w:lastRenderedPageBreak/>
        <w:t xml:space="preserve">למעשה </w:t>
      </w:r>
      <w:r w:rsidR="00A82951">
        <w:rPr>
          <w:u w:val="single"/>
          <w:rtl/>
        </w:rPr>
        <w:t>-</w:t>
      </w:r>
      <w:r>
        <w:rPr>
          <w:u w:val="single"/>
          <w:rtl/>
        </w:rPr>
        <w:t xml:space="preserve"> התנה תנאי בגט, ונאנס ולא קיימו:</w:t>
      </w:r>
    </w:p>
    <w:p w14:paraId="2DD8D38C" w14:textId="004BC465"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אע"פ שנאנס ולא יכול לבא, כגון שחלה או שעכבו נהר </w:t>
      </w:r>
      <w:r w:rsidR="00A82951">
        <w:rPr>
          <w:rFonts w:cs="Arial"/>
          <w:rtl/>
        </w:rPr>
        <w:t>-</w:t>
      </w:r>
      <w:r>
        <w:rPr>
          <w:rFonts w:cs="Arial"/>
          <w:rtl/>
        </w:rPr>
        <w:t xml:space="preserve"> אין שומעין לטענת אונס שלו אפילו עומד וצווח ראו שאני אנוס, כיון שלא התנה חוץ מאם יקראנו אונס... בד"א באונס של חולי או שלא היה יכול לעבור הנהר דשכיח קצת, אבל אונס דלא שכיח כלל כגון אכלו ארי או הכישו נחש</w:t>
      </w:r>
      <w:r>
        <w:rPr>
          <w:rStyle w:val="a7"/>
          <w:rFonts w:cs="Arial"/>
          <w:rtl/>
        </w:rPr>
        <w:footnoteReference w:id="2483"/>
      </w:r>
      <w:r>
        <w:rPr>
          <w:rFonts w:cs="Arial"/>
          <w:rtl/>
        </w:rPr>
        <w:t xml:space="preserve">, כיון דלא שכיח כלל </w:t>
      </w:r>
      <w:r w:rsidR="00A82951">
        <w:rPr>
          <w:rFonts w:cs="Arial"/>
          <w:rtl/>
        </w:rPr>
        <w:t>-</w:t>
      </w:r>
      <w:r>
        <w:rPr>
          <w:rFonts w:cs="Arial"/>
          <w:rtl/>
        </w:rPr>
        <w:t xml:space="preserve"> לא אסיק אדעתיה להתנות עליו ומבטל הגט והיא זקוקה ליבם. </w:t>
      </w:r>
      <w:r>
        <w:rPr>
          <w:color w:val="E36C0A" w:themeColor="accent6" w:themeShade="BF"/>
          <w:rtl/>
        </w:rPr>
        <w:t>(וכ"פ בשו"ע)</w:t>
      </w:r>
    </w:p>
    <w:p w14:paraId="72387EB1" w14:textId="1303E0B5" w:rsidR="00C97BEF" w:rsidRDefault="00C97BEF" w:rsidP="00C97BEF">
      <w:pPr>
        <w:rPr>
          <w:rFonts w:cs="Arial"/>
        </w:rPr>
      </w:pPr>
      <w:r>
        <w:rPr>
          <w:rFonts w:cs="Arial"/>
          <w:b/>
          <w:bCs/>
          <w:rtl/>
        </w:rPr>
        <w:t xml:space="preserve">גיטין </w:t>
      </w:r>
      <w:r>
        <w:rPr>
          <w:rFonts w:cs="Arial"/>
          <w:b/>
          <w:bCs/>
          <w:sz w:val="16"/>
          <w:szCs w:val="16"/>
          <w:rtl/>
        </w:rPr>
        <w:t>(פ' כל הגט)</w:t>
      </w:r>
      <w:r>
        <w:rPr>
          <w:rFonts w:cs="Arial"/>
          <w:b/>
          <w:bCs/>
          <w:rtl/>
        </w:rPr>
        <w:t xml:space="preserve"> ל ע"א:</w:t>
      </w:r>
      <w:r>
        <w:rPr>
          <w:rFonts w:cs="Arial"/>
          <w:rtl/>
        </w:rPr>
        <w:t xml:space="preserve"> ההוא דאמר להו; אי לא פייסנא לה עד תלתין יומין ליהוי גיטא, אזל פייסה ולא איפייסא. </w:t>
      </w:r>
      <w:r>
        <w:rPr>
          <w:rFonts w:cs="Arial"/>
          <w:u w:val="single"/>
          <w:rtl/>
        </w:rPr>
        <w:t>אמר רב יוסף</w:t>
      </w:r>
      <w:r>
        <w:rPr>
          <w:rFonts w:cs="Arial"/>
          <w:rtl/>
        </w:rPr>
        <w:t xml:space="preserve">: מי יהיב לה תרקבא דדינרי ולא איפייסא? </w:t>
      </w:r>
      <w:r>
        <w:rPr>
          <w:rFonts w:cs="Arial"/>
          <w:u w:val="dotted"/>
          <w:rtl/>
        </w:rPr>
        <w:t>איכא דאמרי</w:t>
      </w:r>
      <w:r>
        <w:rPr>
          <w:rFonts w:cs="Arial"/>
          <w:rtl/>
        </w:rPr>
        <w:t xml:space="preserve">, </w:t>
      </w:r>
      <w:r>
        <w:rPr>
          <w:rFonts w:cs="Arial"/>
          <w:u w:val="single"/>
          <w:rtl/>
        </w:rPr>
        <w:t>אמר רב יוסף</w:t>
      </w:r>
      <w:r>
        <w:rPr>
          <w:rFonts w:cs="Arial"/>
          <w:rtl/>
        </w:rPr>
        <w:t>: מידי תרקבא דדינרי בעי למיתב לה? הא פייסה ולא איפייסא. הא כמאן דאמר: יש אונס בגיטין, הא</w:t>
      </w:r>
      <w:r>
        <w:rPr>
          <w:rStyle w:val="a7"/>
          <w:rFonts w:cs="Arial"/>
          <w:rtl/>
        </w:rPr>
        <w:footnoteReference w:id="2484"/>
      </w:r>
      <w:r>
        <w:rPr>
          <w:rFonts w:cs="Arial"/>
          <w:rtl/>
        </w:rPr>
        <w:t xml:space="preserve"> כמאן דאמר: אין אונס בגיטין. </w:t>
      </w:r>
      <w:r>
        <w:rPr>
          <w:rFonts w:cs="Arial"/>
          <w:sz w:val="16"/>
          <w:szCs w:val="16"/>
          <w:rtl/>
        </w:rPr>
        <w:t>(וכתבו התוס' (ד"ה מי יהיב לה) דללישנא קמא דרב יוסף אע"ג דלית ליה אין טענת אונס בגיטין והוי גט. וא"ת וכי יהב לה נמי תרקבא דדינרי אמאי לא הוי גיטא, הא לא איפייסא! ואור"י ד</w:t>
      </w:r>
      <w:r w:rsidR="00A82951">
        <w:rPr>
          <w:rFonts w:cs="Arial"/>
          <w:sz w:val="16"/>
          <w:szCs w:val="16"/>
          <w:rtl/>
        </w:rPr>
        <w:t>-</w:t>
      </w:r>
      <w:r>
        <w:rPr>
          <w:rFonts w:cs="Arial"/>
          <w:sz w:val="16"/>
          <w:szCs w:val="16"/>
          <w:rtl/>
        </w:rPr>
        <w:t xml:space="preserve">'אי לא פייסנא לה' משמע אם לא אטרח לפייסה בדבר גדול, ואי יהב לה </w:t>
      </w:r>
      <w:r w:rsidR="00A82951">
        <w:rPr>
          <w:rFonts w:cs="Arial"/>
          <w:sz w:val="16"/>
          <w:szCs w:val="16"/>
          <w:rtl/>
        </w:rPr>
        <w:t>-</w:t>
      </w:r>
      <w:r>
        <w:rPr>
          <w:rFonts w:cs="Arial"/>
          <w:sz w:val="16"/>
          <w:szCs w:val="16"/>
          <w:rtl/>
        </w:rPr>
        <w:t xml:space="preserve"> הרי טרח לפייסה וקיים תנאו אע"פ שלא נתפייסה)</w:t>
      </w:r>
    </w:p>
    <w:p w14:paraId="7C614E86" w14:textId="46FE47E5" w:rsidR="00C97BEF" w:rsidRDefault="00C97BEF" w:rsidP="00C97BEF">
      <w:pPr>
        <w:rPr>
          <w:rFonts w:cs="Arial"/>
          <w:u w:val="single"/>
          <w:rtl/>
        </w:rPr>
      </w:pPr>
      <w:r>
        <w:rPr>
          <w:rFonts w:cs="Arial"/>
          <w:u w:val="single"/>
          <w:rtl/>
        </w:rPr>
        <w:t xml:space="preserve">אמר לה 'על מנת שאם לא אפייסך שתתרצי בתוך שלשים יום יהא גט' </w:t>
      </w:r>
      <w:r w:rsidR="00A82951">
        <w:rPr>
          <w:rFonts w:cs="Arial"/>
          <w:u w:val="single"/>
          <w:rtl/>
        </w:rPr>
        <w:t>-</w:t>
      </w:r>
      <w:r>
        <w:rPr>
          <w:rFonts w:cs="Arial"/>
          <w:u w:val="single"/>
          <w:rtl/>
        </w:rPr>
        <w:t xml:space="preserve"> ופייסה ולא נתרצית:</w:t>
      </w:r>
    </w:p>
    <w:p w14:paraId="3C20E100" w14:textId="302CFF94" w:rsidR="005160BD" w:rsidRPr="005160BD" w:rsidRDefault="00C97BEF" w:rsidP="005160BD">
      <w:pPr>
        <w:pStyle w:val="ab"/>
        <w:numPr>
          <w:ilvl w:val="0"/>
          <w:numId w:val="112"/>
        </w:numPr>
        <w:rPr>
          <w:rFonts w:cs="Arial"/>
          <w:rtl/>
        </w:rPr>
      </w:pPr>
      <w:r>
        <w:rPr>
          <w:rFonts w:cs="Arial"/>
          <w:rtl/>
        </w:rPr>
        <w:t>טור</w:t>
      </w:r>
      <w:r w:rsidR="00A82951">
        <w:rPr>
          <w:rFonts w:cs="Arial"/>
          <w:rtl/>
        </w:rPr>
        <w:t>-</w:t>
      </w:r>
      <w:r>
        <w:rPr>
          <w:rFonts w:cs="Arial"/>
          <w:rtl/>
        </w:rPr>
        <w:t xml:space="preserve"> וכן אמר הרי זה גיטך על מנת שאם לא אפייסך שתתרצי בתוך שלשים יום יהא גט, ופייסה ולא נתרצית </w:t>
      </w:r>
      <w:r w:rsidR="00A82951">
        <w:rPr>
          <w:rFonts w:cs="Arial"/>
          <w:rtl/>
        </w:rPr>
        <w:t>-</w:t>
      </w:r>
      <w:r>
        <w:rPr>
          <w:rFonts w:cs="Arial"/>
          <w:rtl/>
        </w:rPr>
        <w:t xml:space="preserve"> הוי גט אע"פ שהוא אנוס, שהרי פייסה בהרבה פיוסים ולא נתרצית</w:t>
      </w:r>
      <w:r w:rsidR="00163B17">
        <w:rPr>
          <w:rFonts w:cs="Arial" w:hint="cs"/>
          <w:rtl/>
        </w:rPr>
        <w:t>,</w:t>
      </w:r>
      <w:r>
        <w:rPr>
          <w:rFonts w:cs="Arial"/>
          <w:rtl/>
        </w:rPr>
        <w:t xml:space="preserve"> ואפשר שתתרצה אם היה לו ממון הרבה</w:t>
      </w:r>
      <w:r w:rsidR="00163B17">
        <w:rPr>
          <w:rFonts w:cs="Arial" w:hint="cs"/>
          <w:rtl/>
        </w:rPr>
        <w:t>,</w:t>
      </w:r>
      <w:r>
        <w:rPr>
          <w:rFonts w:cs="Arial"/>
          <w:rtl/>
        </w:rPr>
        <w:t xml:space="preserve"> והוא אנוס שאין לו, אפי' הכי אין אונס בגיטין</w:t>
      </w:r>
      <w:r w:rsidR="005160BD" w:rsidRPr="005160BD">
        <w:rPr>
          <w:rFonts w:cs="Arial" w:hint="cs"/>
          <w:rtl/>
        </w:rPr>
        <w:t>.</w:t>
      </w:r>
    </w:p>
    <w:p w14:paraId="0E66C607"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7C7AB40" w14:textId="0BB5579A" w:rsidR="00C97BEF" w:rsidRDefault="00C97BEF" w:rsidP="00C97BEF">
      <w:pPr>
        <w:rPr>
          <w:rtl/>
        </w:rPr>
      </w:pPr>
      <w:r>
        <w:rPr>
          <w:rFonts w:cs="Arial"/>
          <w:rtl/>
        </w:rPr>
        <w:t xml:space="preserve">אמר לה: הרי זה גיטיך אם לא אבא בתוך שלשים יום, או שאמר: על מנת שלא אבא בתוך ל' יום, והיה בא בדרך בתוך </w:t>
      </w:r>
      <w:r w:rsidR="001C251B">
        <w:rPr>
          <w:rFonts w:cs="Arial"/>
          <w:rtl/>
        </w:rPr>
        <w:t xml:space="preserve">שלשים </w:t>
      </w:r>
      <w:r>
        <w:rPr>
          <w:rFonts w:cs="Arial"/>
          <w:rtl/>
        </w:rPr>
        <w:t>יום, וחלה או עכבו נהר ולא בא עד אחר ל' יום, הרי זה גט, אפי</w:t>
      </w:r>
      <w:r w:rsidR="00CF7EC2">
        <w:rPr>
          <w:rFonts w:cs="Arial" w:hint="cs"/>
          <w:rtl/>
        </w:rPr>
        <w:t>לו</w:t>
      </w:r>
      <w:r>
        <w:rPr>
          <w:rFonts w:cs="Arial"/>
          <w:rtl/>
        </w:rPr>
        <w:t xml:space="preserve"> עומד וצווח: הריני אנוס, שאין אונס בגיטין</w:t>
      </w:r>
      <w:r>
        <w:rPr>
          <w:rStyle w:val="a7"/>
          <w:rFonts w:cs="Arial"/>
          <w:rtl/>
        </w:rPr>
        <w:footnoteReference w:id="2485"/>
      </w:r>
      <w:r>
        <w:rPr>
          <w:rFonts w:cs="Arial"/>
          <w:rtl/>
        </w:rPr>
        <w:t>. ואף על פי שגילה דעתו שאין רצונו לגרש, כיון שלא התנה חוץ מאם יקראני אונס. אבל אונס דלא שכיח כלל</w:t>
      </w:r>
      <w:r>
        <w:rPr>
          <w:rStyle w:val="a7"/>
          <w:rFonts w:cs="Arial"/>
          <w:rtl/>
        </w:rPr>
        <w:footnoteReference w:id="2486"/>
      </w:r>
      <w:r>
        <w:rPr>
          <w:rFonts w:cs="Arial"/>
          <w:rtl/>
        </w:rPr>
        <w:t xml:space="preserve">, כגון אכלו ארי או הכישו נחש או נפל הבית עליו, לא אסיק אדעתיה להתנות עליו, ומבטל הגט והיא זקוקה ליבם. </w:t>
      </w:r>
      <w:r>
        <w:rPr>
          <w:rFonts w:cs="Arial"/>
          <w:sz w:val="18"/>
          <w:szCs w:val="18"/>
          <w:rtl/>
        </w:rPr>
        <w:t>[הגה] ושביה, הוי אונס דשכיח</w:t>
      </w:r>
      <w:r>
        <w:rPr>
          <w:rStyle w:val="a7"/>
          <w:rFonts w:cs="Arial"/>
          <w:sz w:val="18"/>
          <w:szCs w:val="18"/>
          <w:rtl/>
        </w:rPr>
        <w:footnoteReference w:id="2487"/>
      </w:r>
      <w:r>
        <w:rPr>
          <w:rFonts w:cs="Arial"/>
          <w:sz w:val="18"/>
          <w:szCs w:val="18"/>
          <w:rtl/>
        </w:rPr>
        <w:t xml:space="preserve"> ואינו מבטל הגט מדלא התנה (מרדכי סי' תכד).</w:t>
      </w:r>
      <w:r>
        <w:rPr>
          <w:rFonts w:cs="Arial"/>
          <w:rtl/>
        </w:rPr>
        <w:t xml:space="preserve"> </w:t>
      </w:r>
    </w:p>
    <w:p w14:paraId="62016C46" w14:textId="77777777" w:rsidR="00C97BEF" w:rsidRDefault="00C97BEF" w:rsidP="00C97BEF">
      <w:pPr>
        <w:rPr>
          <w:rFonts w:cs="Arial"/>
          <w:rtl/>
        </w:rPr>
      </w:pPr>
      <w:r>
        <w:rPr>
          <w:rFonts w:cs="Arial"/>
          <w:u w:val="single"/>
          <w:rtl/>
        </w:rPr>
        <w:t>מי שגירש את אשתו מעכשיו אם לא אעבור מכנגד פניך עד זמן פלוני, והאשה והחביאה עצמה, ועבר הזמן:</w:t>
      </w:r>
      <w:r>
        <w:rPr>
          <w:rFonts w:cs="Arial"/>
          <w:sz w:val="16"/>
          <w:szCs w:val="16"/>
          <w:rtl/>
        </w:rPr>
        <w:t xml:space="preserve"> (פת"ש סק"ב)</w:t>
      </w:r>
    </w:p>
    <w:p w14:paraId="6BA391D8" w14:textId="2B53641A" w:rsidR="00C97BEF" w:rsidRDefault="00C97BEF" w:rsidP="006A458D">
      <w:pPr>
        <w:pStyle w:val="ab"/>
        <w:numPr>
          <w:ilvl w:val="0"/>
          <w:numId w:val="112"/>
        </w:numPr>
        <w:rPr>
          <w:rtl/>
        </w:rPr>
      </w:pPr>
      <w:r>
        <w:rPr>
          <w:rFonts w:cs="Arial"/>
          <w:rtl/>
        </w:rPr>
        <w:t xml:space="preserve">רדב"ז </w:t>
      </w:r>
      <w:r>
        <w:rPr>
          <w:rFonts w:cs="Arial"/>
          <w:sz w:val="16"/>
          <w:szCs w:val="16"/>
          <w:rtl/>
        </w:rPr>
        <w:t>(ח"ה סי' ב' אלפים ריט</w:t>
      </w:r>
      <w:r w:rsidR="00A82951">
        <w:rPr>
          <w:rFonts w:cs="Arial"/>
          <w:sz w:val="16"/>
          <w:szCs w:val="16"/>
          <w:rtl/>
        </w:rPr>
        <w:t>-</w:t>
      </w:r>
      <w:r>
        <w:rPr>
          <w:rFonts w:cs="Arial"/>
          <w:sz w:val="16"/>
          <w:szCs w:val="16"/>
          <w:rtl/>
        </w:rPr>
        <w:t>רכ)</w:t>
      </w:r>
      <w:r w:rsidR="00A82951">
        <w:rPr>
          <w:rFonts w:cs="Arial"/>
          <w:rtl/>
        </w:rPr>
        <w:t>-</w:t>
      </w:r>
      <w:r>
        <w:rPr>
          <w:rFonts w:cs="Arial"/>
          <w:rtl/>
        </w:rPr>
        <w:t xml:space="preserve"> מי שגירש את אשתו מעכשיו אם לא אעבור מכנגד פניך עד זמן פלוני והאמינה עליו כמאה עדים שלא בא ולא פייס והלכה האשה והחביאה עצמה וכשהגיע הזמן בא הבעל ובקשה ולא מצאה ואחר הזמן באת האשה ותובעת כתובתה והוא צווח ואמר אנוס אני.     תשובה: אשה זו מגורשת גמורה היא ונוטלת כתובתה ונעשה כמי שצווח על ביתו שנפל או על ספינתו שטבע בים חדא דקיי"ל אין אונס בגיטין ואפי' אונס דשכיח ולא שכיח וכ"ש הא דשכיח דכיון שיכולה להתחבא דבר מצוי הוא שלא היתה חפצה בו והוה לי' לאתנויי וכיון דלא התנה גמר וגירש ולא הוציאו מזה הכלל אלא אכלו ארי וכיוצא בו דלא שכיחי ותו כיון שהאמינה עליו שלא נתפייסה מה לי אם עומדת לפנינו ואינה רוצה להתפייס ומה לי אם החביאה עצמה כדי שלא ירבה עליה רעים הרי לא נתפייסה ואינה רוצה להתפייס וגדולה מזו אני אומר אפי' עומדת לפנינו ועדים מעידים שבא ופייס היא נאמנת לומר שלא בא או שבא ולא פייס שהרי האמינה כמאה עדים. וכ"כ הריב"ש </w:t>
      </w:r>
      <w:r>
        <w:rPr>
          <w:rFonts w:cs="Arial"/>
          <w:sz w:val="16"/>
          <w:szCs w:val="16"/>
          <w:rtl/>
        </w:rPr>
        <w:t>(סי' שנח)</w:t>
      </w:r>
      <w:r>
        <w:rPr>
          <w:rFonts w:cs="Arial"/>
          <w:rtl/>
        </w:rPr>
        <w:t>... ולענין כתובה הרי כתב לה כשתנשאי לאחר... ואתה השואל אל תשת לבך לדברי המתהללים כו' ואם יד החולקים תקיפה על עצמם תשלח את האשה לצפת ושם תנשא או תבא ירושלים ואני אשיאנה בהסכמת שאר החכמים ולא יהי' לבי נוקפי כלל כי הלכה זו ברורה אצלי מאד.</w:t>
      </w:r>
    </w:p>
    <w:p w14:paraId="7D1EF231" w14:textId="77777777" w:rsidR="00C97BEF" w:rsidRDefault="00C97BEF" w:rsidP="00C97BEF"/>
    <w:p w14:paraId="273E4334" w14:textId="77777777" w:rsidR="00C97BEF" w:rsidRDefault="00C97BEF" w:rsidP="00C97BEF">
      <w:pPr>
        <w:pStyle w:val="2"/>
        <w:rPr>
          <w:rtl/>
        </w:rPr>
      </w:pPr>
      <w:r>
        <w:rPr>
          <w:rtl/>
        </w:rPr>
        <w:lastRenderedPageBreak/>
        <w:t>סעיף ב: הרי זה גיטך אם לא באתי מכאן עד י"ב חדש.</w:t>
      </w:r>
    </w:p>
    <w:p w14:paraId="1AA4F00B" w14:textId="1D0E521E" w:rsidR="00C97BEF" w:rsidRDefault="00C97BEF" w:rsidP="00C97BEF">
      <w:pPr>
        <w:rPr>
          <w:rFonts w:cs="Arial"/>
          <w:rtl/>
        </w:rPr>
      </w:pPr>
      <w:r>
        <w:rPr>
          <w:rFonts w:cs="Arial"/>
          <w:b/>
          <w:bCs/>
          <w:rtl/>
        </w:rPr>
        <w:t xml:space="preserve">גיטין </w:t>
      </w:r>
      <w:r>
        <w:rPr>
          <w:rFonts w:cs="Arial"/>
          <w:b/>
          <w:bCs/>
          <w:sz w:val="16"/>
          <w:szCs w:val="16"/>
          <w:rtl/>
        </w:rPr>
        <w:t>(פ' מי שאחזו)</w:t>
      </w:r>
      <w:r>
        <w:rPr>
          <w:rFonts w:cs="Arial"/>
          <w:b/>
          <w:bCs/>
          <w:rtl/>
        </w:rPr>
        <w:t xml:space="preserve"> עו ע"ב:</w:t>
      </w:r>
      <w:r>
        <w:rPr>
          <w:rFonts w:cs="Arial"/>
          <w:rtl/>
        </w:rPr>
        <w:t xml:space="preserve"> </w:t>
      </w:r>
      <w:r>
        <w:rPr>
          <w:rFonts w:cs="Arial"/>
          <w:u w:val="double"/>
          <w:rtl/>
        </w:rPr>
        <w:t>מתני'</w:t>
      </w:r>
      <w:r>
        <w:rPr>
          <w:rFonts w:cs="Arial"/>
          <w:rtl/>
        </w:rPr>
        <w:t xml:space="preserve">: ה"ז גיטך אם לא באתי מכאן ועד י"ב חדש, ומת בתוך י"ב חדש </w:t>
      </w:r>
      <w:r w:rsidR="00A82951">
        <w:rPr>
          <w:rFonts w:cs="Arial"/>
          <w:rtl/>
        </w:rPr>
        <w:t>-</w:t>
      </w:r>
      <w:r>
        <w:rPr>
          <w:rFonts w:cs="Arial"/>
          <w:rtl/>
        </w:rPr>
        <w:t xml:space="preserve"> אינו גט</w:t>
      </w:r>
      <w:r>
        <w:rPr>
          <w:rStyle w:val="a7"/>
          <w:rFonts w:cs="Arial"/>
          <w:rtl/>
        </w:rPr>
        <w:footnoteReference w:id="2488"/>
      </w:r>
      <w:r>
        <w:rPr>
          <w:rFonts w:cs="Arial"/>
          <w:rtl/>
        </w:rPr>
        <w:t>...</w:t>
      </w:r>
      <w:r>
        <w:rPr>
          <w:rtl/>
        </w:rPr>
        <w:t xml:space="preserve"> </w:t>
      </w:r>
      <w:r>
        <w:rPr>
          <w:rFonts w:cs="Arial"/>
          <w:rtl/>
        </w:rPr>
        <w:t xml:space="preserve">     </w:t>
      </w:r>
      <w:r>
        <w:rPr>
          <w:rFonts w:cs="Arial"/>
          <w:u w:val="double"/>
          <w:rtl/>
        </w:rPr>
        <w:t>גמ'</w:t>
      </w:r>
      <w:r>
        <w:rPr>
          <w:rFonts w:cs="Arial"/>
          <w:rtl/>
        </w:rPr>
        <w:t>: תנא: רבותינו התירוה לינשא</w:t>
      </w:r>
      <w:r>
        <w:rPr>
          <w:rStyle w:val="a7"/>
          <w:rFonts w:cs="Arial"/>
          <w:rtl/>
        </w:rPr>
        <w:footnoteReference w:id="2489"/>
      </w:r>
      <w:r>
        <w:rPr>
          <w:rFonts w:cs="Arial"/>
          <w:rtl/>
        </w:rPr>
        <w:t xml:space="preserve">. מאן רבותינו? </w:t>
      </w:r>
      <w:r>
        <w:rPr>
          <w:rFonts w:cs="Arial"/>
          <w:u w:val="single"/>
          <w:rtl/>
        </w:rPr>
        <w:t>אמר רב יהודה אמר שמואל</w:t>
      </w:r>
      <w:r>
        <w:rPr>
          <w:rFonts w:cs="Arial"/>
          <w:rtl/>
        </w:rPr>
        <w:t>: בי דינא דשרו מישחא</w:t>
      </w:r>
      <w:r>
        <w:rPr>
          <w:rStyle w:val="a7"/>
          <w:rFonts w:cs="Arial"/>
          <w:rtl/>
        </w:rPr>
        <w:footnoteReference w:id="2490"/>
      </w:r>
      <w:r>
        <w:rPr>
          <w:rFonts w:cs="Arial"/>
          <w:rtl/>
        </w:rPr>
        <w:t>, סברי לה כרבי יוסי</w:t>
      </w:r>
      <w:r>
        <w:rPr>
          <w:rStyle w:val="a7"/>
          <w:rFonts w:cs="Arial"/>
          <w:rtl/>
        </w:rPr>
        <w:footnoteReference w:id="2491"/>
      </w:r>
      <w:r>
        <w:rPr>
          <w:rFonts w:cs="Arial"/>
          <w:rtl/>
        </w:rPr>
        <w:t xml:space="preserve"> דאמר זמנו של שטר מוכיח עליו. </w:t>
      </w:r>
      <w:r>
        <w:rPr>
          <w:rFonts w:cs="Arial"/>
          <w:u w:val="single"/>
          <w:rtl/>
        </w:rPr>
        <w:t>א"ר אבא בריה דרבי חייא בר אבא א"ר יוחנן</w:t>
      </w:r>
      <w:r>
        <w:rPr>
          <w:rFonts w:cs="Arial"/>
          <w:rtl/>
        </w:rPr>
        <w:t>: ר' יהודה נשיאה בנו של ר"ג בר רבי הורה, ולא הודו לו כל סיעתו, ואמרי לה: כל שעתו</w:t>
      </w:r>
      <w:r>
        <w:rPr>
          <w:rStyle w:val="a7"/>
          <w:rFonts w:cs="Arial"/>
          <w:rtl/>
        </w:rPr>
        <w:footnoteReference w:id="2492"/>
      </w:r>
      <w:r>
        <w:rPr>
          <w:rFonts w:cs="Arial"/>
          <w:rtl/>
        </w:rPr>
        <w:t>.</w:t>
      </w:r>
    </w:p>
    <w:p w14:paraId="44999AC8" w14:textId="77777777" w:rsidR="00C97BEF" w:rsidRDefault="00C97BEF" w:rsidP="00C97BEF">
      <w:pPr>
        <w:rPr>
          <w:rFonts w:cs="Arial"/>
          <w:rtl/>
        </w:rPr>
      </w:pPr>
      <w:r>
        <w:rPr>
          <w:rFonts w:cs="Arial"/>
          <w:u w:val="single"/>
          <w:rtl/>
        </w:rPr>
        <w:t>האם הלכה כרבי יוסי:</w:t>
      </w:r>
    </w:p>
    <w:p w14:paraId="53D3BAC1" w14:textId="10DC060A" w:rsidR="00C97BEF" w:rsidRDefault="00C97BEF" w:rsidP="006A458D">
      <w:pPr>
        <w:pStyle w:val="ab"/>
        <w:numPr>
          <w:ilvl w:val="0"/>
          <w:numId w:val="121"/>
        </w:numPr>
        <w:rPr>
          <w:rFonts w:cs="Arial"/>
          <w:rtl/>
        </w:rPr>
      </w:pPr>
      <w:r>
        <w:rPr>
          <w:rFonts w:cs="Arial"/>
          <w:rtl/>
        </w:rPr>
        <w:t xml:space="preserve">רמב"ם </w:t>
      </w:r>
      <w:r>
        <w:rPr>
          <w:rFonts w:cs="Arial"/>
          <w:sz w:val="16"/>
          <w:szCs w:val="16"/>
          <w:rtl/>
        </w:rPr>
        <w:t>(פ"ח ה"א)</w:t>
      </w:r>
      <w:r w:rsidR="00A82951">
        <w:rPr>
          <w:rFonts w:cs="Arial"/>
          <w:rtl/>
        </w:rPr>
        <w:t>-</w:t>
      </w:r>
      <w:r>
        <w:rPr>
          <w:rFonts w:cs="Arial"/>
          <w:rtl/>
        </w:rPr>
        <w:t xml:space="preserve"> לא קיי"ל בגיטין כרבי יוסי, ולפיכך המגרש על תנאי כשיתקיים התנאי תהיה מגורשת בשעה שיתקיים לא בשעת נתינת הגט לידה, ואם מת הבעל או אבד הגט או נשרף קודם שיתקיים התנאי אינה מגורשת</w:t>
      </w:r>
      <w:r>
        <w:rPr>
          <w:rFonts w:cs="Arial"/>
          <w:sz w:val="16"/>
          <w:szCs w:val="16"/>
          <w:rtl/>
        </w:rPr>
        <w:t xml:space="preserve"> (ל' הב"י בשמו)</w:t>
      </w:r>
      <w:r>
        <w:rPr>
          <w:rFonts w:cs="Arial"/>
          <w:rtl/>
        </w:rPr>
        <w:t xml:space="preserve">. </w:t>
      </w:r>
    </w:p>
    <w:p w14:paraId="7CB05E9E" w14:textId="31C9630B" w:rsidR="00C97BEF" w:rsidRDefault="00C97BEF" w:rsidP="006A458D">
      <w:pPr>
        <w:pStyle w:val="ab"/>
        <w:numPr>
          <w:ilvl w:val="0"/>
          <w:numId w:val="121"/>
        </w:numPr>
        <w:rPr>
          <w:rFonts w:cs="Arial"/>
          <w:rtl/>
        </w:rPr>
      </w:pPr>
      <w:r>
        <w:rPr>
          <w:rFonts w:cs="Arial"/>
          <w:rtl/>
        </w:rPr>
        <w:t xml:space="preserve">ראב"ד </w:t>
      </w:r>
      <w:r>
        <w:rPr>
          <w:rFonts w:cs="Arial"/>
          <w:sz w:val="16"/>
          <w:szCs w:val="16"/>
          <w:rtl/>
        </w:rPr>
        <w:t>(כ"כ בשמו הרשב"א [עז. ד"ה לא נחלקו] והטור)</w:t>
      </w:r>
      <w:r w:rsidR="00A82951">
        <w:rPr>
          <w:rFonts w:cs="Arial"/>
          <w:rtl/>
        </w:rPr>
        <w:t>-</w:t>
      </w:r>
      <w:r>
        <w:rPr>
          <w:rFonts w:cs="Arial"/>
          <w:rtl/>
        </w:rPr>
        <w:t xml:space="preserve"> הלכה כרבי יוסי דאמר זמנו של שטר מוכיח עליו. </w:t>
      </w:r>
    </w:p>
    <w:p w14:paraId="152AD1CE" w14:textId="376FADB3" w:rsidR="00C97BEF" w:rsidRDefault="00C97BEF" w:rsidP="006A458D">
      <w:pPr>
        <w:pStyle w:val="ab"/>
        <w:numPr>
          <w:ilvl w:val="0"/>
          <w:numId w:val="121"/>
        </w:numPr>
        <w:rPr>
          <w:rtl/>
        </w:rPr>
      </w:pPr>
      <w:r>
        <w:rPr>
          <w:rFonts w:cs="Arial"/>
          <w:rtl/>
        </w:rPr>
        <w:t xml:space="preserve">רי"ף </w:t>
      </w:r>
      <w:r>
        <w:rPr>
          <w:rFonts w:cs="Arial"/>
          <w:sz w:val="16"/>
          <w:szCs w:val="16"/>
          <w:rtl/>
        </w:rPr>
        <w:t>(ב"ב סב:)</w:t>
      </w:r>
      <w:r w:rsidR="00A82951">
        <w:rPr>
          <w:rFonts w:cs="Arial"/>
          <w:rtl/>
        </w:rPr>
        <w:t>-</w:t>
      </w:r>
      <w:r>
        <w:rPr>
          <w:rFonts w:cs="Arial"/>
          <w:rtl/>
        </w:rPr>
        <w:t xml:space="preserve"> </w:t>
      </w:r>
      <w:r>
        <w:rPr>
          <w:rStyle w:val="a7"/>
          <w:rFonts w:cs="Arial"/>
          <w:rtl/>
        </w:rPr>
        <w:footnoteReference w:id="2493"/>
      </w:r>
      <w:r>
        <w:rPr>
          <w:rFonts w:cs="Arial"/>
          <w:rtl/>
        </w:rPr>
        <w:t xml:space="preserve">ופסק רב הלכה כר' יוסי דאמר זמנו של שטר מוכיח עליו. ואשכחן בגטין בפרק המגרש </w:t>
      </w:r>
      <w:r>
        <w:rPr>
          <w:rFonts w:cs="Arial"/>
          <w:sz w:val="16"/>
          <w:szCs w:val="16"/>
          <w:rtl/>
        </w:rPr>
        <w:t xml:space="preserve">(גיטין פה:) </w:t>
      </w:r>
      <w:r>
        <w:rPr>
          <w:rFonts w:cs="Arial"/>
          <w:rtl/>
        </w:rPr>
        <w:t>דאתקין רב בגיטי מן יומא דנן לאפוקי מדרבי יוסי דאמר זמנו של שטר מוכיח עליו. וקשיא לן דרב אדרב, דהכא קא פסק הילכתא כרבי יוסי, והתם אתקין מן יומא דנן לאפוקי מדרבי יוסי. וחזינן למקצת רבואתא דשני לא דאמי מתנה לגט, דהכא ממונא והכא איסורא. וטעמא דמיסתבר הוא, כי היכי דלא תיקשי דרב אדרב</w:t>
      </w:r>
      <w:r>
        <w:rPr>
          <w:rStyle w:val="a7"/>
          <w:rFonts w:cs="Arial"/>
          <w:rtl/>
        </w:rPr>
        <w:footnoteReference w:id="2494"/>
      </w:r>
      <w:r>
        <w:rPr>
          <w:rFonts w:cs="Arial"/>
          <w:rtl/>
        </w:rPr>
        <w:t xml:space="preserve">. ורב נחשון גאון פליג ואמר הכין נהיגי במתיבתא כרבי יהודה </w:t>
      </w:r>
      <w:r>
        <w:rPr>
          <w:rFonts w:cs="Arial"/>
          <w:sz w:val="16"/>
          <w:szCs w:val="16"/>
          <w:rtl/>
        </w:rPr>
        <w:t xml:space="preserve">{דלא כרבי יוסי} </w:t>
      </w:r>
      <w:r>
        <w:rPr>
          <w:rFonts w:cs="Arial"/>
          <w:rtl/>
        </w:rPr>
        <w:t>ואפילו בממון כתקנת רב בגטין.</w:t>
      </w:r>
    </w:p>
    <w:p w14:paraId="26BF8FCC" w14:textId="5F50DAEC" w:rsidR="00C97BEF" w:rsidRDefault="00C97BEF" w:rsidP="00C97BEF">
      <w:pPr>
        <w:rPr>
          <w:u w:val="single"/>
          <w:rtl/>
        </w:rPr>
      </w:pPr>
      <w:r>
        <w:rPr>
          <w:rFonts w:cs="Arial"/>
          <w:u w:val="single"/>
          <w:rtl/>
        </w:rPr>
        <w:t xml:space="preserve">למעשה </w:t>
      </w:r>
      <w:r w:rsidR="00A82951">
        <w:rPr>
          <w:rFonts w:cs="Arial"/>
          <w:u w:val="single"/>
          <w:rtl/>
        </w:rPr>
        <w:t>-</w:t>
      </w:r>
      <w:r>
        <w:rPr>
          <w:rFonts w:cs="Arial"/>
          <w:u w:val="single"/>
          <w:rtl/>
        </w:rPr>
        <w:t xml:space="preserve"> אמר לה 'הרי זה גיטך אם לא באתי מכאן עד י"ב חדש' </w:t>
      </w:r>
      <w:r w:rsidR="00A82951">
        <w:rPr>
          <w:rFonts w:cs="Arial"/>
          <w:u w:val="single"/>
          <w:rtl/>
        </w:rPr>
        <w:t>-</w:t>
      </w:r>
      <w:r>
        <w:rPr>
          <w:rFonts w:cs="Arial"/>
          <w:u w:val="single"/>
          <w:rtl/>
        </w:rPr>
        <w:t xml:space="preserve"> ומת בתוך י"ב חדש</w:t>
      </w:r>
      <w:r>
        <w:rPr>
          <w:u w:val="single"/>
          <w:rtl/>
        </w:rPr>
        <w:t>:</w:t>
      </w:r>
    </w:p>
    <w:p w14:paraId="1DFC5549" w14:textId="12CD8A02" w:rsidR="00C97BEF" w:rsidRDefault="00C97BEF" w:rsidP="006A458D">
      <w:pPr>
        <w:pStyle w:val="ab"/>
        <w:numPr>
          <w:ilvl w:val="0"/>
          <w:numId w:val="112"/>
        </w:numPr>
        <w:rPr>
          <w:rtl/>
        </w:rPr>
      </w:pPr>
      <w:r>
        <w:rPr>
          <w:rtl/>
        </w:rPr>
        <w:t>רמב"ם</w:t>
      </w:r>
      <w:r>
        <w:rPr>
          <w:sz w:val="16"/>
          <w:szCs w:val="16"/>
          <w:rtl/>
        </w:rPr>
        <w:t xml:space="preserve"> (כ"כ הטור בשמו)</w:t>
      </w:r>
      <w:r w:rsidR="00A82951">
        <w:rPr>
          <w:rtl/>
        </w:rPr>
        <w:t>-</w:t>
      </w:r>
      <w:r>
        <w:rPr>
          <w:rFonts w:cs="Arial"/>
          <w:rtl/>
        </w:rPr>
        <w:t xml:space="preserve"> אם לא אמר מעכשיו, אלא אם באתי בתוך ל' יום יהא גט ואם לא באתי בתוך ל' יום לא יהא גט... </w:t>
      </w:r>
      <w:r w:rsidR="00A82951">
        <w:rPr>
          <w:rFonts w:cs="Arial"/>
          <w:rtl/>
        </w:rPr>
        <w:t>-</w:t>
      </w:r>
      <w:r>
        <w:rPr>
          <w:rFonts w:cs="Arial"/>
          <w:rtl/>
        </w:rPr>
        <w:t xml:space="preserve"> לא חל הגט עד תשלום שלשים יום בשלא בא. לפיכך אם מת בתוך הזמן </w:t>
      </w:r>
      <w:r w:rsidR="00A82951">
        <w:rPr>
          <w:rFonts w:cs="Arial"/>
          <w:rtl/>
        </w:rPr>
        <w:t>-</w:t>
      </w:r>
      <w:r>
        <w:rPr>
          <w:rFonts w:cs="Arial"/>
          <w:rtl/>
        </w:rPr>
        <w:t xml:space="preserve"> אינו גט כלל ומתייבמת</w:t>
      </w:r>
      <w:r>
        <w:rPr>
          <w:rFonts w:cs="Arial"/>
          <w:sz w:val="16"/>
          <w:szCs w:val="16"/>
          <w:rtl/>
        </w:rPr>
        <w:t xml:space="preserve"> (ל' הטור בשמו)</w:t>
      </w:r>
      <w:r>
        <w:rPr>
          <w:rFonts w:cs="Arial"/>
          <w:rtl/>
        </w:rPr>
        <w:t xml:space="preserve">. </w:t>
      </w:r>
    </w:p>
    <w:p w14:paraId="746092A1" w14:textId="55309524" w:rsidR="00C97BEF" w:rsidRDefault="00C97BEF" w:rsidP="006A458D">
      <w:pPr>
        <w:pStyle w:val="ab"/>
        <w:numPr>
          <w:ilvl w:val="0"/>
          <w:numId w:val="112"/>
        </w:numPr>
      </w:pPr>
      <w:r>
        <w:rPr>
          <w:rFonts w:cs="Arial"/>
          <w:rtl/>
        </w:rPr>
        <w:t>ראב"ד</w:t>
      </w:r>
      <w:r>
        <w:rPr>
          <w:rFonts w:cs="Arial"/>
          <w:sz w:val="16"/>
          <w:szCs w:val="16"/>
          <w:rtl/>
        </w:rPr>
        <w:t xml:space="preserve"> (כ"כ הטור בשמו)</w:t>
      </w:r>
      <w:r w:rsidR="00A82951">
        <w:rPr>
          <w:rFonts w:cs="Arial"/>
          <w:rtl/>
        </w:rPr>
        <w:t>-</w:t>
      </w:r>
      <w:r>
        <w:rPr>
          <w:rFonts w:cs="Arial"/>
          <w:rtl/>
        </w:rPr>
        <w:t xml:space="preserve"> הוי גט ומותרת לשוק. </w:t>
      </w:r>
    </w:p>
    <w:p w14:paraId="37E624C6" w14:textId="3ED7B8CF" w:rsidR="00C97BEF" w:rsidRDefault="00C97BEF" w:rsidP="006A458D">
      <w:pPr>
        <w:pStyle w:val="ab"/>
        <w:numPr>
          <w:ilvl w:val="0"/>
          <w:numId w:val="112"/>
        </w:numPr>
      </w:pPr>
      <w:r>
        <w:rPr>
          <w:rFonts w:cs="Arial"/>
          <w:rtl/>
        </w:rPr>
        <w:t xml:space="preserve">רמ"ה </w:t>
      </w:r>
      <w:r>
        <w:rPr>
          <w:rFonts w:cs="Arial"/>
          <w:sz w:val="16"/>
          <w:szCs w:val="16"/>
          <w:rtl/>
        </w:rPr>
        <w:t>(כ"כ הטור בשמו)</w:t>
      </w:r>
      <w:r w:rsidR="00A82951">
        <w:rPr>
          <w:rFonts w:cs="Arial"/>
          <w:rtl/>
        </w:rPr>
        <w:t>-</w:t>
      </w:r>
      <w:r>
        <w:rPr>
          <w:rFonts w:cs="Arial"/>
          <w:rtl/>
        </w:rPr>
        <w:t xml:space="preserve"> על פה שלא כתב התנאי בגט </w:t>
      </w:r>
      <w:r w:rsidR="00A82951">
        <w:rPr>
          <w:rFonts w:cs="Arial"/>
          <w:rtl/>
        </w:rPr>
        <w:t>-</w:t>
      </w:r>
      <w:r>
        <w:rPr>
          <w:rFonts w:cs="Arial"/>
          <w:rtl/>
        </w:rPr>
        <w:t xml:space="preserve"> אינו גט כלל ומתייבמת. ואם כתב התנאי בגט </w:t>
      </w:r>
      <w:r w:rsidR="00A82951">
        <w:rPr>
          <w:rFonts w:cs="Arial"/>
          <w:rtl/>
        </w:rPr>
        <w:t>-</w:t>
      </w:r>
      <w:r>
        <w:rPr>
          <w:rFonts w:cs="Arial"/>
          <w:rtl/>
        </w:rPr>
        <w:t xml:space="preserve"> הוי ספק חולצת ולא מתייבמת. </w:t>
      </w:r>
    </w:p>
    <w:p w14:paraId="131D8431" w14:textId="5CE5C81C" w:rsidR="00C97BEF" w:rsidRDefault="00C97BEF" w:rsidP="006A458D">
      <w:pPr>
        <w:pStyle w:val="ab"/>
        <w:numPr>
          <w:ilvl w:val="0"/>
          <w:numId w:val="112"/>
        </w:numPr>
      </w:pPr>
      <w:r>
        <w:rPr>
          <w:rFonts w:cs="Arial"/>
          <w:rtl/>
        </w:rPr>
        <w:t xml:space="preserve">רי"ף </w:t>
      </w:r>
      <w:r>
        <w:rPr>
          <w:rFonts w:cs="Arial"/>
          <w:sz w:val="16"/>
          <w:szCs w:val="16"/>
          <w:rtl/>
        </w:rPr>
        <w:t>(שם, להב' הרשב"א והר"ן)</w:t>
      </w:r>
      <w:r>
        <w:rPr>
          <w:rFonts w:cs="Arial"/>
          <w:rtl/>
        </w:rPr>
        <w:t xml:space="preserve"> תוס'</w:t>
      </w:r>
      <w:r>
        <w:rPr>
          <w:rStyle w:val="a7"/>
          <w:rFonts w:cs="Arial"/>
          <w:rtl/>
        </w:rPr>
        <w:footnoteReference w:id="2495"/>
      </w:r>
      <w:r>
        <w:rPr>
          <w:rFonts w:cs="Arial"/>
          <w:rtl/>
        </w:rPr>
        <w:t xml:space="preserve"> </w:t>
      </w:r>
      <w:r>
        <w:rPr>
          <w:rFonts w:cs="Arial"/>
          <w:sz w:val="16"/>
          <w:szCs w:val="16"/>
          <w:rtl/>
        </w:rPr>
        <w:t>(כ"כ הטור בשמם)</w:t>
      </w:r>
      <w:r>
        <w:rPr>
          <w:rFonts w:cs="Arial"/>
          <w:rtl/>
        </w:rPr>
        <w:t xml:space="preserve"> י"א </w:t>
      </w:r>
      <w:r>
        <w:rPr>
          <w:rFonts w:cs="Arial"/>
          <w:sz w:val="16"/>
          <w:szCs w:val="16"/>
          <w:rtl/>
        </w:rPr>
        <w:t>(כ"כ הטור בשמם)</w:t>
      </w:r>
      <w:r>
        <w:rPr>
          <w:rFonts w:cs="Arial"/>
          <w:rtl/>
        </w:rPr>
        <w:t xml:space="preserve"> ור"ן</w:t>
      </w:r>
      <w:r>
        <w:rPr>
          <w:rFonts w:cs="Arial"/>
          <w:sz w:val="16"/>
          <w:szCs w:val="16"/>
          <w:rtl/>
        </w:rPr>
        <w:t xml:space="preserve"> (ס"פ מי שאחזו)</w:t>
      </w:r>
      <w:r w:rsidR="00A82951">
        <w:rPr>
          <w:rFonts w:cs="Arial"/>
          <w:rtl/>
        </w:rPr>
        <w:t>-</w:t>
      </w:r>
      <w:r>
        <w:rPr>
          <w:rFonts w:cs="Arial"/>
          <w:rtl/>
        </w:rPr>
        <w:t xml:space="preserve"> לעולם הוי ספק מגורשת וחולצת ולא מתייבמת</w:t>
      </w:r>
      <w:r>
        <w:rPr>
          <w:rFonts w:cs="Arial"/>
          <w:sz w:val="16"/>
          <w:szCs w:val="16"/>
          <w:rtl/>
        </w:rPr>
        <w:t xml:space="preserve"> (ל' הטור בשם י"א)</w:t>
      </w:r>
      <w:r>
        <w:rPr>
          <w:rFonts w:cs="Arial"/>
          <w:rtl/>
        </w:rPr>
        <w:t xml:space="preserve">. </w:t>
      </w:r>
      <w:r>
        <w:rPr>
          <w:color w:val="E36C0A" w:themeColor="accent6" w:themeShade="BF"/>
          <w:rtl/>
        </w:rPr>
        <w:t>(וכ"פ בשו"ע)</w:t>
      </w:r>
    </w:p>
    <w:p w14:paraId="6E65117B"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365C990A" w14:textId="77777777" w:rsidR="00C97BEF" w:rsidRDefault="00C97BEF" w:rsidP="00C97BEF">
      <w:pPr>
        <w:rPr>
          <w:rtl/>
        </w:rPr>
      </w:pPr>
      <w:r>
        <w:rPr>
          <w:rFonts w:cs="Arial"/>
          <w:rtl/>
        </w:rPr>
        <w:t xml:space="preserve">הרי זה גיטך אם לא באתי מכאן עד שנים עשר חדש, ולא אמר: מעכשיו ולא על מנת, ומת בתוך שנים עשר חדש, הרי זה ספק, וחולצת ולא מתייבמת. </w:t>
      </w:r>
    </w:p>
    <w:p w14:paraId="1967EA21" w14:textId="77777777" w:rsidR="00C97BEF" w:rsidRDefault="00C97BEF" w:rsidP="00C97BEF">
      <w:pPr>
        <w:rPr>
          <w:rtl/>
        </w:rPr>
      </w:pPr>
    </w:p>
    <w:p w14:paraId="428DB121" w14:textId="77777777" w:rsidR="00C97BEF" w:rsidRDefault="00C97BEF" w:rsidP="00C97BEF">
      <w:pPr>
        <w:pStyle w:val="2"/>
        <w:rPr>
          <w:rtl/>
        </w:rPr>
      </w:pPr>
      <w:r>
        <w:rPr>
          <w:rtl/>
        </w:rPr>
        <w:lastRenderedPageBreak/>
        <w:t>סעיף ג: הרי זה גיטך מעכשיו אם לא באתי מכאן עד י"ב חדש.</w:t>
      </w:r>
    </w:p>
    <w:p w14:paraId="50D12138" w14:textId="1E4C1D16" w:rsidR="00C97BEF" w:rsidRDefault="00C97BEF" w:rsidP="00C97BEF">
      <w:pPr>
        <w:rPr>
          <w:rtl/>
        </w:rPr>
      </w:pPr>
      <w:r>
        <w:rPr>
          <w:rFonts w:cs="Arial"/>
          <w:b/>
          <w:bCs/>
          <w:rtl/>
        </w:rPr>
        <w:t xml:space="preserve">גיטין </w:t>
      </w:r>
      <w:r>
        <w:rPr>
          <w:rFonts w:cs="Arial"/>
          <w:b/>
          <w:bCs/>
          <w:sz w:val="16"/>
          <w:szCs w:val="16"/>
          <w:rtl/>
        </w:rPr>
        <w:t>(פ' מי שאחזו)</w:t>
      </w:r>
      <w:r>
        <w:rPr>
          <w:rFonts w:cs="Arial"/>
          <w:b/>
          <w:bCs/>
          <w:rtl/>
        </w:rPr>
        <w:t xml:space="preserve"> עו ע"ב:</w:t>
      </w:r>
      <w:r>
        <w:rPr>
          <w:rFonts w:cs="Arial"/>
          <w:rtl/>
        </w:rPr>
        <w:t xml:space="preserve"> </w:t>
      </w:r>
      <w:r>
        <w:rPr>
          <w:rFonts w:cs="Arial"/>
          <w:u w:val="double"/>
          <w:rtl/>
        </w:rPr>
        <w:t>מתני'</w:t>
      </w:r>
      <w:r>
        <w:rPr>
          <w:rFonts w:cs="Arial"/>
          <w:rtl/>
        </w:rPr>
        <w:t xml:space="preserve">: ה"ז גיטך אם לא באתי מכאן ועד י"ב חדש, ומת בתוך י"ב חדש </w:t>
      </w:r>
      <w:r w:rsidR="00A82951">
        <w:rPr>
          <w:rFonts w:cs="Arial"/>
          <w:rtl/>
        </w:rPr>
        <w:t>-</w:t>
      </w:r>
      <w:r>
        <w:rPr>
          <w:rFonts w:cs="Arial"/>
          <w:rtl/>
        </w:rPr>
        <w:t xml:space="preserve"> אינו גט</w:t>
      </w:r>
      <w:r>
        <w:rPr>
          <w:rStyle w:val="a7"/>
          <w:rFonts w:cs="Arial"/>
          <w:rtl/>
        </w:rPr>
        <w:footnoteReference w:id="2496"/>
      </w:r>
      <w:r>
        <w:rPr>
          <w:rFonts w:cs="Arial"/>
          <w:rtl/>
        </w:rPr>
        <w:t>...</w:t>
      </w:r>
      <w:r>
        <w:rPr>
          <w:rtl/>
        </w:rPr>
        <w:t xml:space="preserve"> </w:t>
      </w:r>
      <w:r>
        <w:rPr>
          <w:rFonts w:cs="Arial"/>
          <w:rtl/>
        </w:rPr>
        <w:t xml:space="preserve">     </w:t>
      </w:r>
      <w:r>
        <w:rPr>
          <w:rFonts w:cs="Arial"/>
          <w:u w:val="double"/>
          <w:rtl/>
        </w:rPr>
        <w:t>גמ'</w:t>
      </w:r>
      <w:r>
        <w:rPr>
          <w:rFonts w:cs="Arial"/>
          <w:rtl/>
        </w:rPr>
        <w:t xml:space="preserve">: ותיבעי ליה מתניתין: מעכשיו אם לא באתי מכאן ועד י"ב חדש, ומת בתוך י"ב חדש </w:t>
      </w:r>
      <w:r w:rsidR="00A82951">
        <w:rPr>
          <w:rFonts w:cs="Arial"/>
          <w:rtl/>
        </w:rPr>
        <w:t>-</w:t>
      </w:r>
      <w:r>
        <w:rPr>
          <w:rFonts w:cs="Arial"/>
          <w:rtl/>
        </w:rPr>
        <w:t xml:space="preserve"> הרי זה גט; לאלתר הוי</w:t>
      </w:r>
      <w:r>
        <w:rPr>
          <w:rStyle w:val="a7"/>
          <w:rFonts w:cs="Arial"/>
          <w:rtl/>
        </w:rPr>
        <w:footnoteReference w:id="2497"/>
      </w:r>
      <w:r>
        <w:rPr>
          <w:rFonts w:cs="Arial"/>
          <w:rtl/>
        </w:rPr>
        <w:t xml:space="preserve"> </w:t>
      </w:r>
      <w:r w:rsidR="00A82951">
        <w:rPr>
          <w:rFonts w:cs="Arial"/>
          <w:rtl/>
        </w:rPr>
        <w:t>-</w:t>
      </w:r>
      <w:r>
        <w:rPr>
          <w:rFonts w:cs="Arial"/>
          <w:rtl/>
        </w:rPr>
        <w:t xml:space="preserve"> דהא לא אתי</w:t>
      </w:r>
      <w:r>
        <w:rPr>
          <w:rStyle w:val="a7"/>
          <w:rFonts w:cs="Arial"/>
          <w:rtl/>
        </w:rPr>
        <w:footnoteReference w:id="2498"/>
      </w:r>
      <w:r>
        <w:rPr>
          <w:rFonts w:cs="Arial"/>
          <w:rtl/>
        </w:rPr>
        <w:t xml:space="preserve">, או דלמא לאחר י"ב חדש </w:t>
      </w:r>
      <w:r w:rsidR="00A82951">
        <w:rPr>
          <w:rFonts w:cs="Arial"/>
          <w:rtl/>
        </w:rPr>
        <w:t>-</w:t>
      </w:r>
      <w:r>
        <w:rPr>
          <w:rFonts w:cs="Arial"/>
          <w:rtl/>
        </w:rPr>
        <w:t xml:space="preserve"> דהא איקיים ליה תנאיה.</w:t>
      </w:r>
      <w:r>
        <w:rPr>
          <w:rFonts w:cs="Arial"/>
          <w:sz w:val="16"/>
          <w:szCs w:val="16"/>
          <w:rtl/>
        </w:rPr>
        <w:t xml:space="preserve"> (ולא איפשיטא הילכך נקטינן בה לחומרא. וכן כתבו הרי"ף (לט.) והרא"ש (סי' יג). ומכל מקום כתב הרא"ש שאם נישאת לא מפקינן לה, ב"י. </w:t>
      </w:r>
      <w:r>
        <w:rPr>
          <w:rFonts w:cs="Arial"/>
          <w:color w:val="E36C0A" w:themeColor="accent6" w:themeShade="BF"/>
          <w:sz w:val="16"/>
          <w:szCs w:val="16"/>
          <w:rtl/>
        </w:rPr>
        <w:t>(וכ"פ בשו"ע)</w:t>
      </w:r>
      <w:r>
        <w:rPr>
          <w:rFonts w:cs="Arial"/>
          <w:sz w:val="16"/>
          <w:szCs w:val="16"/>
          <w:rtl/>
        </w:rPr>
        <w:t>)</w:t>
      </w:r>
    </w:p>
    <w:p w14:paraId="01F44035" w14:textId="5240B26F" w:rsidR="00C97BEF" w:rsidRDefault="00C97BEF" w:rsidP="00C97BEF">
      <w:pPr>
        <w:rPr>
          <w:u w:val="single"/>
          <w:rtl/>
        </w:rPr>
      </w:pPr>
      <w:r>
        <w:rPr>
          <w:rFonts w:cs="Arial"/>
          <w:u w:val="single"/>
          <w:rtl/>
        </w:rPr>
        <w:t xml:space="preserve">אמר לה 'הרי זה גיטך </w:t>
      </w:r>
      <w:r>
        <w:rPr>
          <w:rFonts w:cs="Arial"/>
          <w:b/>
          <w:bCs/>
          <w:u w:val="single"/>
          <w:rtl/>
        </w:rPr>
        <w:t>מעכשיו</w:t>
      </w:r>
      <w:r>
        <w:rPr>
          <w:rFonts w:cs="Arial"/>
          <w:u w:val="single"/>
          <w:rtl/>
        </w:rPr>
        <w:t xml:space="preserve"> אם לא באתי מכאן עד י"ב</w:t>
      </w:r>
      <w:r>
        <w:rPr>
          <w:u w:val="single"/>
          <w:rtl/>
        </w:rPr>
        <w:t xml:space="preserve"> חדש' </w:t>
      </w:r>
      <w:r w:rsidR="00A82951">
        <w:rPr>
          <w:u w:val="single"/>
          <w:rtl/>
        </w:rPr>
        <w:t>-</w:t>
      </w:r>
      <w:r>
        <w:rPr>
          <w:u w:val="single"/>
          <w:rtl/>
        </w:rPr>
        <w:t xml:space="preserve"> ומת בתוך י"ב חדש:</w:t>
      </w:r>
    </w:p>
    <w:p w14:paraId="124FE316" w14:textId="79264D40"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ובמעכשיו אם לא אבא תוך י"ב חדש אע"פ דחל למפרע משעת נתינת הגט, אם מת בתוך י"ב חדש </w:t>
      </w:r>
      <w:r w:rsidR="00A82951">
        <w:rPr>
          <w:rFonts w:cs="Arial"/>
          <w:rtl/>
        </w:rPr>
        <w:t>-</w:t>
      </w:r>
      <w:r>
        <w:rPr>
          <w:rFonts w:cs="Arial"/>
          <w:rtl/>
        </w:rPr>
        <w:t xml:space="preserve"> לא תינשא עד סוף י"ב חדש. ואם באה לינשא בתוך י"ב חדש </w:t>
      </w:r>
      <w:r w:rsidR="00A82951">
        <w:rPr>
          <w:rFonts w:cs="Arial"/>
          <w:rtl/>
        </w:rPr>
        <w:t>-</w:t>
      </w:r>
      <w:r>
        <w:rPr>
          <w:rFonts w:cs="Arial"/>
          <w:rtl/>
        </w:rPr>
        <w:t xml:space="preserve"> צריכה חליצה, ולא מדינא אלא משום דגזרינן מת אטו לא מת כיוצא בזה. </w:t>
      </w:r>
      <w:r>
        <w:rPr>
          <w:color w:val="E36C0A" w:themeColor="accent6" w:themeShade="BF"/>
          <w:rtl/>
        </w:rPr>
        <w:t>(וכ"פ בשו"ע)</w:t>
      </w:r>
    </w:p>
    <w:p w14:paraId="1DC76E75"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6E5301C" w14:textId="77777777" w:rsidR="00C97BEF" w:rsidRDefault="00C97BEF" w:rsidP="00C97BEF">
      <w:pPr>
        <w:rPr>
          <w:rtl/>
        </w:rPr>
      </w:pPr>
      <w:r>
        <w:rPr>
          <w:rFonts w:cs="Arial"/>
          <w:rtl/>
        </w:rPr>
        <w:t xml:space="preserve">הרי זה גיטיך מעכשיו אם לא באתי מכאן עד שנים עשר חודש, ומת בתוך שנים עשר חודש, הרי זו מגורשת. אבל אם יש לה יבם, לא תנשא בלא חליצה עד שיעברו שנים עשר חדש. ואם נשאת, לא תצא. </w:t>
      </w:r>
    </w:p>
    <w:p w14:paraId="21735F17" w14:textId="77777777" w:rsidR="00C97BEF" w:rsidRDefault="00C97BEF" w:rsidP="00C97BEF">
      <w:pPr>
        <w:rPr>
          <w:rtl/>
        </w:rPr>
      </w:pPr>
    </w:p>
    <w:p w14:paraId="6213C2AE" w14:textId="77777777" w:rsidR="00C97BEF" w:rsidRDefault="00C97BEF" w:rsidP="00C97BEF">
      <w:pPr>
        <w:pStyle w:val="2"/>
        <w:rPr>
          <w:rtl/>
        </w:rPr>
      </w:pPr>
      <w:r>
        <w:rPr>
          <w:rtl/>
        </w:rPr>
        <w:t>סעיף ד: נתן לה גט בלילה, ע"מ שתזרח/אם תזרח/לכשתזרח השמש, ומת.</w:t>
      </w:r>
    </w:p>
    <w:p w14:paraId="2B20786F" w14:textId="43DCD723" w:rsidR="00C97BEF" w:rsidRDefault="00C97BEF" w:rsidP="00C97BEF">
      <w:pPr>
        <w:rPr>
          <w:rFonts w:cs="Arial"/>
          <w:rtl/>
        </w:rPr>
      </w:pPr>
      <w:r>
        <w:rPr>
          <w:rFonts w:cs="Arial"/>
          <w:b/>
          <w:bCs/>
          <w:rtl/>
        </w:rPr>
        <w:t xml:space="preserve">גיטין </w:t>
      </w:r>
      <w:r>
        <w:rPr>
          <w:rFonts w:cs="Arial"/>
          <w:b/>
          <w:bCs/>
          <w:sz w:val="16"/>
          <w:szCs w:val="16"/>
          <w:rtl/>
        </w:rPr>
        <w:t>(ס"פ מי שאחזו)</w:t>
      </w:r>
      <w:r>
        <w:rPr>
          <w:rFonts w:cs="Arial"/>
          <w:b/>
          <w:bCs/>
          <w:rtl/>
        </w:rPr>
        <w:t xml:space="preserve"> עו ע"ב:</w:t>
      </w:r>
      <w:r>
        <w:rPr>
          <w:rFonts w:cs="Arial"/>
          <w:rtl/>
        </w:rPr>
        <w:t xml:space="preserve"> </w:t>
      </w:r>
      <w:r>
        <w:rPr>
          <w:rFonts w:cs="Arial"/>
          <w:u w:val="single"/>
          <w:rtl/>
        </w:rPr>
        <w:t>אמר אביי</w:t>
      </w:r>
      <w:r>
        <w:rPr>
          <w:rFonts w:cs="Arial"/>
          <w:rtl/>
        </w:rPr>
        <w:t>: הכל מודים</w:t>
      </w:r>
      <w:r>
        <w:rPr>
          <w:rStyle w:val="a7"/>
          <w:rFonts w:cs="Arial"/>
          <w:rtl/>
        </w:rPr>
        <w:footnoteReference w:id="2499"/>
      </w:r>
      <w:r>
        <w:rPr>
          <w:rFonts w:cs="Arial"/>
          <w:rtl/>
        </w:rPr>
        <w:t xml:space="preserve">, היכא דאמר לכשתצא חמה מנרתיקה </w:t>
      </w:r>
      <w:r w:rsidR="00A82951">
        <w:rPr>
          <w:rFonts w:cs="Arial"/>
          <w:rtl/>
        </w:rPr>
        <w:t>-</w:t>
      </w:r>
      <w:r>
        <w:rPr>
          <w:rFonts w:cs="Arial"/>
          <w:rtl/>
        </w:rPr>
        <w:t xml:space="preserve"> </w:t>
      </w:r>
      <w:r>
        <w:rPr>
          <w:rFonts w:cs="Arial"/>
          <w:sz w:val="14"/>
          <w:szCs w:val="14"/>
          <w:rtl/>
        </w:rPr>
        <w:t xml:space="preserve">(עז.) </w:t>
      </w:r>
      <w:r>
        <w:rPr>
          <w:rFonts w:cs="Arial"/>
          <w:rtl/>
        </w:rPr>
        <w:t>לכי נפקא קאמר לה</w:t>
      </w:r>
      <w:r>
        <w:rPr>
          <w:rStyle w:val="a7"/>
          <w:rFonts w:cs="Arial"/>
          <w:rtl/>
        </w:rPr>
        <w:footnoteReference w:id="2500"/>
      </w:r>
      <w:r>
        <w:rPr>
          <w:rFonts w:cs="Arial"/>
          <w:rtl/>
        </w:rPr>
        <w:t xml:space="preserve">, וכי מיית בליליא הוי גט לאחר מיתה, על מנת שתצא חמה מנרתיקה </w:t>
      </w:r>
      <w:r w:rsidR="00A82951">
        <w:rPr>
          <w:rFonts w:cs="Arial"/>
          <w:rtl/>
        </w:rPr>
        <w:t>-</w:t>
      </w:r>
      <w:r>
        <w:rPr>
          <w:rFonts w:cs="Arial"/>
          <w:rtl/>
        </w:rPr>
        <w:t xml:space="preserve"> מעכשיו קאמר לה, דאמר רב הונא אמר רב: כל האומר על מנת כאומר מעכשיו דמי. לא נחלקו אלא באם תצא</w:t>
      </w:r>
      <w:r>
        <w:rPr>
          <w:rStyle w:val="a7"/>
          <w:rFonts w:cs="Arial"/>
          <w:rtl/>
        </w:rPr>
        <w:footnoteReference w:id="2501"/>
      </w:r>
      <w:r>
        <w:rPr>
          <w:rFonts w:cs="Arial"/>
          <w:rtl/>
        </w:rPr>
        <w:t>. מר סבר לה כרבי יוסי, דאמר: זמנו של שטר מוכיח עליו, והוה ליה כמהיום אם מתי, כמעכשיו אם מתי. מר לא סבר כרבי יוסי, והוה ליה כאם מתי גרידא.</w:t>
      </w:r>
    </w:p>
    <w:p w14:paraId="17B91165" w14:textId="77777777" w:rsidR="00C97BEF" w:rsidRDefault="00C97BEF" w:rsidP="00C97BEF">
      <w:pPr>
        <w:rPr>
          <w:u w:val="single"/>
          <w:rtl/>
        </w:rPr>
      </w:pPr>
      <w:r>
        <w:rPr>
          <w:u w:val="single"/>
          <w:rtl/>
        </w:rPr>
        <w:t xml:space="preserve">נתן לה גט בלילה, ואמר לה 'ה"ז גיטך </w:t>
      </w:r>
      <w:r>
        <w:rPr>
          <w:b/>
          <w:bCs/>
          <w:u w:val="single"/>
          <w:rtl/>
        </w:rPr>
        <w:t>על מנת</w:t>
      </w:r>
      <w:r>
        <w:rPr>
          <w:u w:val="single"/>
          <w:rtl/>
        </w:rPr>
        <w:t xml:space="preserve"> שתזרח השמש', ומת בלילה:</w:t>
      </w:r>
    </w:p>
    <w:p w14:paraId="073115E6" w14:textId="37805F4A" w:rsidR="00C97BEF" w:rsidRDefault="00C97BEF" w:rsidP="00997229">
      <w:pPr>
        <w:pStyle w:val="ab"/>
        <w:numPr>
          <w:ilvl w:val="0"/>
          <w:numId w:val="112"/>
        </w:numPr>
      </w:pPr>
      <w:r>
        <w:rPr>
          <w:rFonts w:cs="Arial"/>
          <w:rtl/>
        </w:rPr>
        <w:t>טור</w:t>
      </w:r>
      <w:r w:rsidR="00A82951">
        <w:rPr>
          <w:rFonts w:cs="Arial"/>
          <w:rtl/>
        </w:rPr>
        <w:t>-</w:t>
      </w:r>
      <w:r>
        <w:rPr>
          <w:rFonts w:cs="Arial"/>
          <w:rtl/>
        </w:rPr>
        <w:t xml:space="preserve"> נתן לה גט בלילה ואמר לה ה"ז גיטך ע"מ</w:t>
      </w:r>
      <w:r w:rsidR="00997229">
        <w:rPr>
          <w:rStyle w:val="a7"/>
          <w:rFonts w:cs="Arial"/>
          <w:rtl/>
        </w:rPr>
        <w:footnoteReference w:id="2502"/>
      </w:r>
      <w:r>
        <w:rPr>
          <w:rFonts w:cs="Arial"/>
          <w:rtl/>
        </w:rPr>
        <w:t xml:space="preserve"> שיזרח השמש, ומת בלילה </w:t>
      </w:r>
      <w:r w:rsidR="00A82951">
        <w:rPr>
          <w:rFonts w:cs="Arial"/>
          <w:rtl/>
        </w:rPr>
        <w:t>-</w:t>
      </w:r>
      <w:r>
        <w:rPr>
          <w:rFonts w:cs="Arial"/>
          <w:rtl/>
        </w:rPr>
        <w:t xml:space="preserve"> כשיזרח השמש הוי גט למפרע.</w:t>
      </w:r>
      <w:r>
        <w:rPr>
          <w:color w:val="E36C0A" w:themeColor="accent6" w:themeShade="BF"/>
          <w:rtl/>
        </w:rPr>
        <w:t xml:space="preserve"> (וכ"ס בשו"ע)</w:t>
      </w:r>
    </w:p>
    <w:p w14:paraId="0121D8EC" w14:textId="77777777" w:rsidR="00C97BEF" w:rsidRDefault="00C97BEF" w:rsidP="00C97BEF">
      <w:pPr>
        <w:ind w:left="360"/>
      </w:pPr>
      <w:r>
        <w:rPr>
          <w:rFonts w:cs="Arial"/>
          <w:u w:val="dotted"/>
          <w:rtl/>
        </w:rPr>
        <w:t>ומה הדין אם אמר '</w:t>
      </w:r>
      <w:r>
        <w:rPr>
          <w:rFonts w:cs="Arial"/>
          <w:b/>
          <w:bCs/>
          <w:u w:val="dotted"/>
          <w:rtl/>
        </w:rPr>
        <w:t xml:space="preserve">אם </w:t>
      </w:r>
      <w:r>
        <w:rPr>
          <w:rFonts w:cs="Arial"/>
          <w:u w:val="dotted"/>
          <w:rtl/>
        </w:rPr>
        <w:t>תזרח השמש', ומת בלילה:</w:t>
      </w:r>
      <w:r>
        <w:rPr>
          <w:rFonts w:cs="Arial"/>
          <w:rtl/>
        </w:rPr>
        <w:t xml:space="preserve"> </w:t>
      </w:r>
    </w:p>
    <w:p w14:paraId="0A8B8A56" w14:textId="5B7FAFFB"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לדברי הרמב"ם אינו גט. ולדברי הראב"ד הוי גט גמור. ולדברי הרמ"ה ספק. </w:t>
      </w:r>
    </w:p>
    <w:p w14:paraId="2646CC5A" w14:textId="77777777" w:rsidR="00C97BEF" w:rsidRDefault="00C97BEF" w:rsidP="00C97BEF">
      <w:pPr>
        <w:ind w:left="360"/>
        <w:rPr>
          <w:u w:val="dotted"/>
        </w:rPr>
      </w:pPr>
      <w:r>
        <w:rPr>
          <w:u w:val="dotted"/>
          <w:rtl/>
        </w:rPr>
        <w:t>ומה הדין אם אמר '</w:t>
      </w:r>
      <w:r>
        <w:rPr>
          <w:rFonts w:cs="Arial"/>
          <w:u w:val="dotted"/>
          <w:rtl/>
        </w:rPr>
        <w:t>לכשתזרח השמש', ומת בלילה:</w:t>
      </w:r>
    </w:p>
    <w:p w14:paraId="051A6623" w14:textId="5458E84C"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ואם אמר לכשתזרח השמש ומת בלילה </w:t>
      </w:r>
      <w:r w:rsidR="00A82951">
        <w:rPr>
          <w:rFonts w:cs="Arial"/>
          <w:rtl/>
        </w:rPr>
        <w:t>-</w:t>
      </w:r>
      <w:r>
        <w:rPr>
          <w:rFonts w:cs="Arial"/>
          <w:rtl/>
        </w:rPr>
        <w:t xml:space="preserve"> לכ"ע לא הוי גט. </w:t>
      </w:r>
    </w:p>
    <w:p w14:paraId="60CD08D8" w14:textId="031B86EA" w:rsidR="00C97BEF" w:rsidRDefault="00C97BEF" w:rsidP="006A458D">
      <w:pPr>
        <w:pStyle w:val="ab"/>
        <w:numPr>
          <w:ilvl w:val="0"/>
          <w:numId w:val="112"/>
        </w:numPr>
      </w:pPr>
      <w:r>
        <w:rPr>
          <w:rFonts w:cs="Arial"/>
          <w:rtl/>
        </w:rPr>
        <w:t xml:space="preserve">תוס' </w:t>
      </w:r>
      <w:r>
        <w:rPr>
          <w:rFonts w:cs="Arial"/>
          <w:sz w:val="16"/>
          <w:szCs w:val="16"/>
          <w:rtl/>
        </w:rPr>
        <w:t xml:space="preserve">(עו: ד"ה הכל) </w:t>
      </w:r>
      <w:r>
        <w:rPr>
          <w:rFonts w:cs="Arial"/>
          <w:rtl/>
        </w:rPr>
        <w:t>וב"י</w:t>
      </w:r>
      <w:r w:rsidR="00A82951">
        <w:rPr>
          <w:rFonts w:cs="Arial"/>
          <w:rtl/>
        </w:rPr>
        <w:t>-</w:t>
      </w:r>
      <w:r>
        <w:rPr>
          <w:rFonts w:cs="Arial"/>
          <w:rtl/>
        </w:rPr>
        <w:t xml:space="preserve"> לדברי הפוסקים כרבי יוסי הויא ספק מגורשת</w:t>
      </w:r>
      <w:r>
        <w:rPr>
          <w:rFonts w:cs="Arial"/>
          <w:sz w:val="16"/>
          <w:szCs w:val="16"/>
          <w:rtl/>
        </w:rPr>
        <w:t xml:space="preserve"> (ל' הב"י)</w:t>
      </w:r>
      <w:r>
        <w:rPr>
          <w:rStyle w:val="a7"/>
          <w:rFonts w:cs="Arial"/>
          <w:rtl/>
        </w:rPr>
        <w:footnoteReference w:id="2503"/>
      </w:r>
      <w:r>
        <w:rPr>
          <w:rFonts w:cs="Arial"/>
          <w:rtl/>
        </w:rPr>
        <w:t>.</w:t>
      </w:r>
      <w:r>
        <w:rPr>
          <w:color w:val="E36C0A" w:themeColor="accent6" w:themeShade="BF"/>
          <w:rtl/>
        </w:rPr>
        <w:t xml:space="preserve"> (וכ"פ בשו"ע)</w:t>
      </w:r>
    </w:p>
    <w:p w14:paraId="34D92A89"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A41A6AF" w14:textId="77777777" w:rsidR="00C97BEF" w:rsidRDefault="00C97BEF" w:rsidP="00C97BEF">
      <w:pPr>
        <w:rPr>
          <w:rtl/>
        </w:rPr>
      </w:pPr>
      <w:r>
        <w:rPr>
          <w:rFonts w:cs="Arial"/>
          <w:rtl/>
        </w:rPr>
        <w:lastRenderedPageBreak/>
        <w:t>נתן לה גט בלילה ואמר לה: הרי זה גיטיך על מנת שתצא חמה מנרתקה, ומת בלילה הרי זה גט. אבל אם אמר לה אם תצא מנרתקה או שאמר לכשתצא חמה מנרתקה ומת בלילה, הרי זה ספק</w:t>
      </w:r>
      <w:r>
        <w:rPr>
          <w:rStyle w:val="a7"/>
          <w:rFonts w:cs="Arial"/>
          <w:rtl/>
        </w:rPr>
        <w:footnoteReference w:id="2504"/>
      </w:r>
      <w:r>
        <w:rPr>
          <w:rFonts w:cs="Arial"/>
          <w:rtl/>
        </w:rPr>
        <w:t>. ויש אומרים</w:t>
      </w:r>
      <w:r>
        <w:rPr>
          <w:rStyle w:val="a7"/>
          <w:rFonts w:cs="Arial"/>
          <w:rtl/>
        </w:rPr>
        <w:footnoteReference w:id="2505"/>
      </w:r>
      <w:r>
        <w:rPr>
          <w:rFonts w:cs="Arial"/>
          <w:rtl/>
        </w:rPr>
        <w:t xml:space="preserve"> דאף בעל מנת נקטינן לחומרא, אלא אם כן אמר: מעכשיו, בהדיא. </w:t>
      </w:r>
    </w:p>
    <w:p w14:paraId="13A4440B" w14:textId="77777777" w:rsidR="00C97BEF" w:rsidRDefault="00C97BEF" w:rsidP="00C97BEF">
      <w:pPr>
        <w:rPr>
          <w:rtl/>
        </w:rPr>
      </w:pPr>
    </w:p>
    <w:p w14:paraId="1FD323E1" w14:textId="77777777" w:rsidR="00C97BEF" w:rsidRDefault="00C97BEF" w:rsidP="00C97BEF">
      <w:pPr>
        <w:pStyle w:val="2"/>
        <w:rPr>
          <w:rtl/>
        </w:rPr>
      </w:pPr>
      <w:r>
        <w:rPr>
          <w:rtl/>
        </w:rPr>
        <w:t>סעיף ה: אם לא באתי עד י"ב חדש כתבו גט ותנו לאשתי.</w:t>
      </w:r>
    </w:p>
    <w:p w14:paraId="021425F7" w14:textId="5E706803" w:rsidR="00C97BEF" w:rsidRDefault="00C97BEF" w:rsidP="00C97BEF">
      <w:pPr>
        <w:rPr>
          <w:rtl/>
        </w:rPr>
      </w:pPr>
      <w:r>
        <w:rPr>
          <w:rFonts w:cs="Arial"/>
          <w:b/>
          <w:bCs/>
          <w:rtl/>
        </w:rPr>
        <w:t xml:space="preserve">גיטין </w:t>
      </w:r>
      <w:r>
        <w:rPr>
          <w:rFonts w:cs="Arial"/>
          <w:b/>
          <w:bCs/>
          <w:sz w:val="16"/>
          <w:szCs w:val="16"/>
          <w:rtl/>
        </w:rPr>
        <w:t>(ס"פ מי שאחזו)</w:t>
      </w:r>
      <w:r>
        <w:rPr>
          <w:rFonts w:cs="Arial"/>
          <w:b/>
          <w:bCs/>
          <w:rtl/>
        </w:rPr>
        <w:t xml:space="preserve"> עו ע"ב:</w:t>
      </w:r>
      <w:r>
        <w:rPr>
          <w:rtl/>
        </w:rPr>
        <w:t xml:space="preserve"> </w:t>
      </w:r>
      <w:r>
        <w:rPr>
          <w:rFonts w:cs="Arial"/>
          <w:u w:val="double"/>
          <w:rtl/>
        </w:rPr>
        <w:t>מתני'</w:t>
      </w:r>
      <w:r>
        <w:rPr>
          <w:rFonts w:cs="Arial"/>
          <w:rtl/>
        </w:rPr>
        <w:t xml:space="preserve">:... אם לא באתי מכאן ועד י"ב חדש כתבו ותנו גט לאשתי, כתבו גט בתוך י"ב חדש ונתנו לאחר י"ב חדש </w:t>
      </w:r>
      <w:r w:rsidR="00A82951">
        <w:rPr>
          <w:rFonts w:cs="Arial"/>
          <w:rtl/>
        </w:rPr>
        <w:t>-</w:t>
      </w:r>
      <w:r>
        <w:rPr>
          <w:rFonts w:cs="Arial"/>
          <w:rtl/>
        </w:rPr>
        <w:t xml:space="preserve"> אינו גט. כתבו ותנו גט לאשתי אם לא באתי מכאן עד י"ב חדש, כתבו בתוך י"ב חדש ונתנו לאחר י"ב חדש </w:t>
      </w:r>
      <w:r w:rsidR="00A82951">
        <w:rPr>
          <w:rFonts w:cs="Arial"/>
          <w:rtl/>
        </w:rPr>
        <w:t>-</w:t>
      </w:r>
      <w:r>
        <w:rPr>
          <w:rFonts w:cs="Arial"/>
          <w:rtl/>
        </w:rPr>
        <w:t xml:space="preserve"> אינו גט, </w:t>
      </w:r>
      <w:r>
        <w:rPr>
          <w:rFonts w:cs="Arial"/>
          <w:u w:val="single"/>
          <w:rtl/>
        </w:rPr>
        <w:t>רבי יוסי אומר</w:t>
      </w:r>
      <w:r>
        <w:rPr>
          <w:rFonts w:cs="Arial"/>
          <w:rtl/>
        </w:rPr>
        <w:t xml:space="preserve">: כזה גט. כתבו לאחר י"ב חדש ונתנו לאחר י"ב חדש ומת, אם הגט קודם למיתה </w:t>
      </w:r>
      <w:r w:rsidR="00A82951">
        <w:rPr>
          <w:rFonts w:cs="Arial"/>
          <w:rtl/>
        </w:rPr>
        <w:t>-</w:t>
      </w:r>
      <w:r>
        <w:rPr>
          <w:rFonts w:cs="Arial"/>
          <w:rtl/>
        </w:rPr>
        <w:t xml:space="preserve"> ה"ז גט, ואם מיתה קדמה לגט </w:t>
      </w:r>
      <w:r w:rsidR="00A82951">
        <w:rPr>
          <w:rFonts w:cs="Arial"/>
          <w:rtl/>
        </w:rPr>
        <w:t>-</w:t>
      </w:r>
      <w:r>
        <w:rPr>
          <w:rFonts w:cs="Arial"/>
          <w:rtl/>
        </w:rPr>
        <w:t xml:space="preserve"> אינו גט, ואם אין ידוע </w:t>
      </w:r>
      <w:r w:rsidR="00A82951">
        <w:rPr>
          <w:rFonts w:cs="Arial"/>
          <w:rtl/>
        </w:rPr>
        <w:t>-</w:t>
      </w:r>
      <w:r>
        <w:rPr>
          <w:rFonts w:cs="Arial"/>
          <w:rtl/>
        </w:rPr>
        <w:t xml:space="preserve"> זו היא שאמרו מגורשת ואינה מגורשת.</w:t>
      </w:r>
    </w:p>
    <w:p w14:paraId="5A01232F" w14:textId="77777777" w:rsidR="00C97BEF" w:rsidRDefault="00C97BEF" w:rsidP="00C97BEF">
      <w:pPr>
        <w:rPr>
          <w:u w:val="single"/>
          <w:rtl/>
        </w:rPr>
      </w:pPr>
      <w:r>
        <w:rPr>
          <w:u w:val="single"/>
          <w:rtl/>
        </w:rPr>
        <w:t>אמר '</w:t>
      </w:r>
      <w:r>
        <w:rPr>
          <w:rFonts w:cs="Arial"/>
          <w:u w:val="single"/>
          <w:rtl/>
        </w:rPr>
        <w:t>אם לא באתי עד י"ב חדש כתבו גט ותנו לאשתי':</w:t>
      </w:r>
    </w:p>
    <w:p w14:paraId="78AFB397" w14:textId="7B7F87D0"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אמר לעדים 'אם לא באתי עד י"ב חדש כתבו גט ותנו לאשתי', או שאמר 'כתבו גט ותנו לאשתי אם לא באתי עד י"ב חדש' </w:t>
      </w:r>
      <w:r w:rsidR="00A82951">
        <w:rPr>
          <w:rFonts w:cs="Arial"/>
          <w:rtl/>
        </w:rPr>
        <w:t>-</w:t>
      </w:r>
      <w:r>
        <w:rPr>
          <w:rFonts w:cs="Arial"/>
          <w:rtl/>
        </w:rPr>
        <w:t xml:space="preserve"> אין כותבין תוך י"ב חדש אפי' לא ירצה ליתנו עד אחר י"ב חדש. כתבו בתוך י"ב חדש ונתנו לאחר י"ב חדש </w:t>
      </w:r>
      <w:r w:rsidR="00A82951">
        <w:rPr>
          <w:rFonts w:cs="Arial"/>
          <w:rtl/>
        </w:rPr>
        <w:t>-</w:t>
      </w:r>
      <w:r>
        <w:rPr>
          <w:rFonts w:cs="Arial"/>
          <w:rtl/>
        </w:rPr>
        <w:t xml:space="preserve"> אינו גט. כתבו ונתנו לאחר י"ב חדש ומת, אם מיתה קדמה לגט </w:t>
      </w:r>
      <w:r w:rsidR="00A82951">
        <w:rPr>
          <w:rFonts w:cs="Arial"/>
          <w:rtl/>
        </w:rPr>
        <w:t>-</w:t>
      </w:r>
      <w:r>
        <w:rPr>
          <w:rFonts w:cs="Arial"/>
          <w:rtl/>
        </w:rPr>
        <w:t xml:space="preserve"> לא הוי גט. ואם גט קודם למיתה </w:t>
      </w:r>
      <w:r w:rsidR="00A82951">
        <w:rPr>
          <w:rFonts w:cs="Arial"/>
          <w:rtl/>
        </w:rPr>
        <w:t>-</w:t>
      </w:r>
      <w:r>
        <w:rPr>
          <w:rFonts w:cs="Arial"/>
          <w:rtl/>
        </w:rPr>
        <w:t xml:space="preserve"> הוי גט. ספק איזה קודם </w:t>
      </w:r>
      <w:r w:rsidR="00A82951">
        <w:rPr>
          <w:rFonts w:cs="Arial"/>
          <w:rtl/>
        </w:rPr>
        <w:t>-</w:t>
      </w:r>
      <w:r>
        <w:rPr>
          <w:rFonts w:cs="Arial"/>
          <w:rtl/>
        </w:rPr>
        <w:t xml:space="preserve"> חולצת ולא מתייבמת. </w:t>
      </w:r>
      <w:r>
        <w:rPr>
          <w:color w:val="E36C0A" w:themeColor="accent6" w:themeShade="BF"/>
          <w:rtl/>
        </w:rPr>
        <w:t>(וכ"פ בשו"ע)</w:t>
      </w:r>
    </w:p>
    <w:p w14:paraId="07899FD2" w14:textId="77777777" w:rsidR="00C97BEF" w:rsidRDefault="00C97BEF" w:rsidP="00C97BEF">
      <w:pPr>
        <w:ind w:left="360"/>
        <w:rPr>
          <w:rFonts w:cs="Arial"/>
        </w:rPr>
      </w:pPr>
      <w:r>
        <w:rPr>
          <w:u w:val="dotted"/>
          <w:rtl/>
        </w:rPr>
        <w:t xml:space="preserve">ומה הדין אם לאחר שעבר הזמן </w:t>
      </w:r>
      <w:r>
        <w:rPr>
          <w:sz w:val="16"/>
          <w:szCs w:val="16"/>
          <w:u w:val="dotted"/>
          <w:rtl/>
        </w:rPr>
        <w:t xml:space="preserve">(שנכתב בתנאי) </w:t>
      </w:r>
      <w:r>
        <w:rPr>
          <w:u w:val="dotted"/>
          <w:rtl/>
        </w:rPr>
        <w:t>עדיין לא ניתן הגט לאשה בגלל שלא רצתה לקבלו עד זמן מסויים:</w:t>
      </w:r>
      <w:r>
        <w:rPr>
          <w:rFonts w:cs="Arial"/>
          <w:rtl/>
        </w:rPr>
        <w:t xml:space="preserve"> </w:t>
      </w:r>
    </w:p>
    <w:p w14:paraId="45C4E76C" w14:textId="606C430D" w:rsidR="00C97BEF" w:rsidRDefault="00C97BEF" w:rsidP="006A458D">
      <w:pPr>
        <w:pStyle w:val="ab"/>
        <w:numPr>
          <w:ilvl w:val="0"/>
          <w:numId w:val="112"/>
        </w:numPr>
      </w:pPr>
      <w:r>
        <w:rPr>
          <w:rFonts w:cs="Arial"/>
          <w:rtl/>
        </w:rPr>
        <w:t>ב"י</w:t>
      </w:r>
      <w:r w:rsidR="00A82951">
        <w:rPr>
          <w:rFonts w:cs="Arial"/>
          <w:rtl/>
        </w:rPr>
        <w:t>-</w:t>
      </w:r>
      <w:r>
        <w:rPr>
          <w:rFonts w:cs="Arial"/>
          <w:rtl/>
        </w:rPr>
        <w:t xml:space="preserve"> הנותן גט לשליח ליתנו לאשתו על מנת שאם לא יבוא מאותו יום עד שתי שנים יהא גט. ואם יבוא תוך שתי שנים לא יהא גט. והאשה לא רצתה לקבלו עד שעברו יותר מששה חדשים אחר השתי שנים. עשה מעשה בזה ה"ר יהודה ן' בולאט ז"ל וצוה ליתנו לה והתירה מיד וכתב על זה פסק. וגם על ידינו היה מעשה פה צפת תוב"ב והתרנו בכינופיא.</w:t>
      </w:r>
      <w:r>
        <w:rPr>
          <w:rtl/>
        </w:rPr>
        <w:t xml:space="preserve"> </w:t>
      </w:r>
      <w:r>
        <w:rPr>
          <w:color w:val="00B0F0"/>
          <w:rtl/>
        </w:rPr>
        <w:t>(וכ"פ הרמ"א)</w:t>
      </w:r>
    </w:p>
    <w:p w14:paraId="2DEEF38D" w14:textId="42E8A9F9" w:rsidR="00C97BEF" w:rsidRDefault="00C97BEF" w:rsidP="006A458D">
      <w:pPr>
        <w:pStyle w:val="ab"/>
        <w:numPr>
          <w:ilvl w:val="0"/>
          <w:numId w:val="112"/>
        </w:numPr>
      </w:pPr>
      <w:r>
        <w:rPr>
          <w:rFonts w:cs="Arial"/>
          <w:rtl/>
        </w:rPr>
        <w:t xml:space="preserve">רא"ם </w:t>
      </w:r>
      <w:r>
        <w:rPr>
          <w:rFonts w:cs="Arial"/>
          <w:sz w:val="16"/>
          <w:szCs w:val="16"/>
          <w:rtl/>
        </w:rPr>
        <w:t>(סי' צ, וכן בח"א סי' כג, וסי' לא, ח"ב סי' כט)</w:t>
      </w:r>
      <w:r w:rsidR="00A82951">
        <w:rPr>
          <w:rFonts w:cs="Arial"/>
          <w:rtl/>
        </w:rPr>
        <w:t>-</w:t>
      </w:r>
      <w:r>
        <w:rPr>
          <w:rFonts w:cs="Arial"/>
          <w:rtl/>
        </w:rPr>
        <w:t xml:space="preserve"> אינם נראים דברי מהר"י בן בולאט מתרי טעמי. חדא, משום דאיכא קפידא דבעל שאם היה נותנו לה בתוך הזמן עם התנאי היה נשמע הקול שהוא גט של מצוה, שחשש שמא ימות ותשאר עגונה כל ימיה, ויש לו בזה כבוד מכל העולם. ואלו עכשיו שנתנו לה לאחר הזמן בלי שום תנאי יחשבו העולם שעתה שלחו לה כדי לגרש אותה בגט מוחלט, והוא גנאי גדול שיגרש אשתו בגט מוחלט בלתי שום סבה, דלב"ש אינו מגרש אלא אם מצא בה ערות דבר. וכיון דאיכא בזיון דבעל שהגט מוחלט אין קפידא גדולה מזו. ועוד טעמא אחרינא שכיון שהשליח אי אפשר שיתן אותו בתנאי אלא בסתם, אין לך שינוי דעת הבעל גדול מזה, ונתבטל שליחות השליח, כי הבעל לא עשאו שליח אלא לגט של תנאי לא לגט מוחלט</w:t>
      </w:r>
      <w:r>
        <w:rPr>
          <w:rStyle w:val="a7"/>
          <w:rFonts w:cs="Arial"/>
          <w:rtl/>
        </w:rPr>
        <w:footnoteReference w:id="2506"/>
      </w:r>
      <w:r>
        <w:rPr>
          <w:rFonts w:cs="Arial"/>
          <w:sz w:val="16"/>
          <w:szCs w:val="16"/>
          <w:rtl/>
        </w:rPr>
        <w:t xml:space="preserve"> (ל' הפת"ש בשמו)</w:t>
      </w:r>
      <w:r>
        <w:rPr>
          <w:rFonts w:cs="Arial"/>
          <w:rtl/>
        </w:rPr>
        <w:t xml:space="preserve">. </w:t>
      </w:r>
    </w:p>
    <w:p w14:paraId="43022F7B"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5E4518F" w14:textId="13FD51BE" w:rsidR="00C97BEF" w:rsidRDefault="00C97BEF" w:rsidP="00C97BEF">
      <w:pPr>
        <w:rPr>
          <w:rtl/>
        </w:rPr>
      </w:pPr>
      <w:r>
        <w:rPr>
          <w:rFonts w:cs="Arial"/>
          <w:rtl/>
        </w:rPr>
        <w:t>אמר: אם לא באתי עד שנים עשר חדש כתבו גט ותנו לאשתי, או שאמר: כתבו גט ותנו לאשתי אם לא באתי עד י"ב חדש, אין כותבין תוך י"ב חדש, אפי</w:t>
      </w:r>
      <w:r w:rsidR="0045130A">
        <w:rPr>
          <w:rFonts w:cs="Arial" w:hint="cs"/>
          <w:rtl/>
        </w:rPr>
        <w:t>לו</w:t>
      </w:r>
      <w:r>
        <w:rPr>
          <w:rFonts w:cs="Arial"/>
          <w:rtl/>
        </w:rPr>
        <w:t xml:space="preserve"> אם לא ירצו ליתנו עד אחר י"ב חודש</w:t>
      </w:r>
      <w:r w:rsidR="00142096">
        <w:rPr>
          <w:rFonts w:cs="Arial" w:hint="cs"/>
          <w:rtl/>
        </w:rPr>
        <w:t>.</w:t>
      </w:r>
      <w:r>
        <w:rPr>
          <w:rFonts w:cs="Arial"/>
          <w:rtl/>
        </w:rPr>
        <w:t xml:space="preserve"> ואם כתבוהו בתוך י"ב חודש, אף על פי </w:t>
      </w:r>
      <w:r>
        <w:rPr>
          <w:rFonts w:cs="Arial"/>
          <w:rtl/>
        </w:rPr>
        <w:lastRenderedPageBreak/>
        <w:t>שנתנוהו לה לאחר י"ב חודש, אינו גט</w:t>
      </w:r>
      <w:r>
        <w:rPr>
          <w:rStyle w:val="a7"/>
          <w:rFonts w:cs="Arial"/>
          <w:rtl/>
        </w:rPr>
        <w:footnoteReference w:id="2507"/>
      </w:r>
      <w:r>
        <w:rPr>
          <w:rFonts w:cs="Arial"/>
          <w:rtl/>
        </w:rPr>
        <w:t xml:space="preserve">. כתבו ונתנו לה לאחר י"ב חדש, ומת, אם מיתה קדמה לנתינת הגט, אינו גט. </w:t>
      </w:r>
      <w:r>
        <w:rPr>
          <w:rFonts w:cs="Arial"/>
          <w:sz w:val="18"/>
          <w:szCs w:val="18"/>
          <w:rtl/>
        </w:rPr>
        <w:t>[הגה] ואם גט קודם למיתה, הוי גט (טור).</w:t>
      </w:r>
      <w:r>
        <w:rPr>
          <w:rFonts w:cs="Arial"/>
          <w:rtl/>
        </w:rPr>
        <w:t xml:space="preserve"> ואם הוא ספק איזה מהם קודם, הרי זו ספק מגורשת. </w:t>
      </w:r>
      <w:r>
        <w:rPr>
          <w:rFonts w:cs="Arial"/>
          <w:sz w:val="18"/>
          <w:szCs w:val="18"/>
          <w:rtl/>
        </w:rPr>
        <w:t>הגה: לא נתנו לה מיד אחר י"ב חדש, אלא זמן רב אח"כ, אע</w:t>
      </w:r>
      <w:r w:rsidR="00B30FBD">
        <w:rPr>
          <w:rFonts w:cs="Arial" w:hint="cs"/>
          <w:sz w:val="18"/>
          <w:szCs w:val="18"/>
          <w:rtl/>
        </w:rPr>
        <w:t>"</w:t>
      </w:r>
      <w:r>
        <w:rPr>
          <w:rFonts w:cs="Arial"/>
          <w:sz w:val="18"/>
          <w:szCs w:val="18"/>
          <w:rtl/>
        </w:rPr>
        <w:t>פ שהעיכוב היה מצד האשה שלא רצתה לקבלו מיד, אפילו הכי הוי גט</w:t>
      </w:r>
      <w:r>
        <w:rPr>
          <w:rStyle w:val="a7"/>
          <w:rFonts w:cs="Arial"/>
          <w:sz w:val="18"/>
          <w:szCs w:val="18"/>
          <w:rtl/>
        </w:rPr>
        <w:footnoteReference w:id="2508"/>
      </w:r>
      <w:r>
        <w:rPr>
          <w:rFonts w:cs="Arial"/>
          <w:sz w:val="18"/>
          <w:szCs w:val="18"/>
          <w:rtl/>
        </w:rPr>
        <w:t>, ובלבד שיהיה הבעל חי (ב"י).</w:t>
      </w:r>
    </w:p>
    <w:p w14:paraId="6319A68D" w14:textId="77777777" w:rsidR="00C97BEF" w:rsidRDefault="00C97BEF" w:rsidP="00C97BEF">
      <w:pPr>
        <w:rPr>
          <w:rtl/>
        </w:rPr>
      </w:pPr>
    </w:p>
    <w:p w14:paraId="6A1753A0" w14:textId="77777777" w:rsidR="00C97BEF" w:rsidRDefault="00C97BEF" w:rsidP="00C97BEF">
      <w:pPr>
        <w:pStyle w:val="2"/>
        <w:rPr>
          <w:rtl/>
        </w:rPr>
      </w:pPr>
      <w:r>
        <w:rPr>
          <w:rtl/>
        </w:rPr>
        <w:t>סעיף ו: ה"ז גיטך אם לא באתי לאחר השבוע/שנה/חודש/שבת.</w:t>
      </w:r>
    </w:p>
    <w:p w14:paraId="1BF00A40" w14:textId="7E50E42A" w:rsidR="00C97BEF" w:rsidRDefault="00C97BEF" w:rsidP="00C97BEF">
      <w:pPr>
        <w:rPr>
          <w:rFonts w:cs="Arial"/>
          <w:rtl/>
        </w:rPr>
      </w:pPr>
      <w:r>
        <w:rPr>
          <w:rFonts w:cs="Arial"/>
          <w:b/>
          <w:bCs/>
          <w:rtl/>
        </w:rPr>
        <w:t xml:space="preserve">גיטין </w:t>
      </w:r>
      <w:r>
        <w:rPr>
          <w:rFonts w:cs="Arial"/>
          <w:b/>
          <w:bCs/>
          <w:sz w:val="16"/>
          <w:szCs w:val="16"/>
          <w:rtl/>
        </w:rPr>
        <w:t>(ס"פ מי שאחזו)</w:t>
      </w:r>
      <w:r>
        <w:rPr>
          <w:rFonts w:cs="Arial"/>
          <w:b/>
          <w:bCs/>
          <w:rtl/>
        </w:rPr>
        <w:t xml:space="preserve"> עז ע"א:</w:t>
      </w:r>
      <w:r>
        <w:rPr>
          <w:rtl/>
        </w:rPr>
        <w:t xml:space="preserve"> </w:t>
      </w:r>
      <w:r>
        <w:rPr>
          <w:rFonts w:cs="Arial"/>
          <w:rtl/>
        </w:rPr>
        <w:t xml:space="preserve">ת"ר: לאחר שבוע </w:t>
      </w:r>
      <w:r w:rsidR="00A82951">
        <w:rPr>
          <w:rFonts w:cs="Arial"/>
          <w:rtl/>
        </w:rPr>
        <w:t>-</w:t>
      </w:r>
      <w:r>
        <w:rPr>
          <w:rFonts w:cs="Arial"/>
          <w:rtl/>
        </w:rPr>
        <w:t xml:space="preserve"> שנה</w:t>
      </w:r>
      <w:r>
        <w:rPr>
          <w:rStyle w:val="a7"/>
          <w:rFonts w:cs="Arial"/>
          <w:rtl/>
        </w:rPr>
        <w:footnoteReference w:id="2509"/>
      </w:r>
      <w:r>
        <w:rPr>
          <w:rFonts w:cs="Arial"/>
          <w:rtl/>
        </w:rPr>
        <w:t xml:space="preserve">, לאחר שנה </w:t>
      </w:r>
      <w:r w:rsidR="00A82951">
        <w:rPr>
          <w:rFonts w:cs="Arial"/>
          <w:rtl/>
        </w:rPr>
        <w:t>-</w:t>
      </w:r>
      <w:r>
        <w:rPr>
          <w:rFonts w:cs="Arial"/>
          <w:rtl/>
        </w:rPr>
        <w:t xml:space="preserve"> חדש, לאחר חדש </w:t>
      </w:r>
      <w:r w:rsidR="00A82951">
        <w:rPr>
          <w:rFonts w:cs="Arial"/>
          <w:rtl/>
        </w:rPr>
        <w:t>-</w:t>
      </w:r>
      <w:r>
        <w:rPr>
          <w:rFonts w:cs="Arial"/>
          <w:rtl/>
        </w:rPr>
        <w:t xml:space="preserve"> שבת. לאחר שבת, מאי? </w:t>
      </w:r>
      <w:r>
        <w:rPr>
          <w:rFonts w:cs="Arial"/>
          <w:u w:val="single"/>
          <w:rtl/>
        </w:rPr>
        <w:t>יתיב ר' זירא קמיה דרבי אסי, ואמרי לה רבי אסי קמיה דרבי יוחנן וקאמר</w:t>
      </w:r>
      <w:r>
        <w:rPr>
          <w:rFonts w:cs="Arial"/>
          <w:rtl/>
        </w:rPr>
        <w:t xml:space="preserve">: חד בשבא, ותרי, ותלתא </w:t>
      </w:r>
      <w:r w:rsidR="00A82951">
        <w:rPr>
          <w:rFonts w:cs="Arial"/>
          <w:rtl/>
        </w:rPr>
        <w:t>-</w:t>
      </w:r>
      <w:r>
        <w:rPr>
          <w:rFonts w:cs="Arial"/>
          <w:rtl/>
        </w:rPr>
        <w:t xml:space="preserve"> בתר שבתא, ארבעה, וחמשה ומעלי שבתא </w:t>
      </w:r>
      <w:r w:rsidR="00A82951">
        <w:rPr>
          <w:rFonts w:cs="Arial"/>
          <w:rtl/>
        </w:rPr>
        <w:t>-</w:t>
      </w:r>
      <w:r>
        <w:rPr>
          <w:rFonts w:cs="Arial"/>
          <w:rtl/>
        </w:rPr>
        <w:t xml:space="preserve"> קמי שבתא. תניא, </w:t>
      </w:r>
      <w:r>
        <w:rPr>
          <w:rFonts w:cs="Arial"/>
          <w:u w:val="single"/>
          <w:rtl/>
        </w:rPr>
        <w:t>רבי אומר</w:t>
      </w:r>
      <w:r>
        <w:rPr>
          <w:rFonts w:cs="Arial"/>
          <w:rtl/>
        </w:rPr>
        <w:t xml:space="preserve">: לאחר הרגל </w:t>
      </w:r>
      <w:r w:rsidR="00A82951">
        <w:rPr>
          <w:rFonts w:cs="Arial"/>
          <w:rtl/>
        </w:rPr>
        <w:t>-</w:t>
      </w:r>
      <w:r>
        <w:rPr>
          <w:rFonts w:cs="Arial"/>
          <w:rtl/>
        </w:rPr>
        <w:t xml:space="preserve"> שלשים יום. נפק ר' חייא דרשה משמיה דרבי וקלסוה</w:t>
      </w:r>
      <w:r>
        <w:rPr>
          <w:rStyle w:val="a7"/>
          <w:rFonts w:cs="Arial"/>
          <w:rtl/>
        </w:rPr>
        <w:footnoteReference w:id="2510"/>
      </w:r>
      <w:r>
        <w:rPr>
          <w:rFonts w:cs="Arial"/>
          <w:rtl/>
        </w:rPr>
        <w:t xml:space="preserve">. משמיה דרבים </w:t>
      </w:r>
      <w:r w:rsidR="00A82951">
        <w:rPr>
          <w:rFonts w:cs="Arial"/>
          <w:rtl/>
        </w:rPr>
        <w:t>-</w:t>
      </w:r>
      <w:r>
        <w:rPr>
          <w:rFonts w:cs="Arial"/>
          <w:rtl/>
        </w:rPr>
        <w:t xml:space="preserve"> ולא קלסוה</w:t>
      </w:r>
      <w:r>
        <w:rPr>
          <w:rStyle w:val="a7"/>
          <w:rFonts w:cs="Arial"/>
          <w:rtl/>
        </w:rPr>
        <w:footnoteReference w:id="2511"/>
      </w:r>
      <w:r>
        <w:rPr>
          <w:rFonts w:cs="Arial"/>
          <w:rtl/>
        </w:rPr>
        <w:t>. אלמא לית הילכתא כוותיה.</w:t>
      </w:r>
    </w:p>
    <w:p w14:paraId="62C60D05" w14:textId="77777777" w:rsidR="00C97BEF" w:rsidRDefault="00C97BEF" w:rsidP="00C97BEF">
      <w:pPr>
        <w:rPr>
          <w:rtl/>
        </w:rPr>
      </w:pPr>
      <w:r>
        <w:rPr>
          <w:u w:val="single"/>
          <w:rtl/>
        </w:rPr>
        <w:t>אמר לה הרי זה גיטך לאחר שבוע/שנה/חודש/שבת:</w:t>
      </w:r>
    </w:p>
    <w:p w14:paraId="62EE5580" w14:textId="2E5EF264" w:rsidR="00C97BEF" w:rsidRDefault="00C97BEF" w:rsidP="006A458D">
      <w:pPr>
        <w:pStyle w:val="ab"/>
        <w:numPr>
          <w:ilvl w:val="0"/>
          <w:numId w:val="112"/>
        </w:numPr>
      </w:pPr>
      <w:r>
        <w:rPr>
          <w:rFonts w:cs="Arial"/>
          <w:rtl/>
        </w:rPr>
        <w:t xml:space="preserve">ר"ח </w:t>
      </w:r>
      <w:r>
        <w:rPr>
          <w:rFonts w:cs="Arial"/>
          <w:sz w:val="16"/>
          <w:szCs w:val="16"/>
          <w:rtl/>
        </w:rPr>
        <w:t>(כ"כ הטור בשמו)</w:t>
      </w:r>
      <w:r w:rsidR="00A82951">
        <w:rPr>
          <w:rFonts w:cs="Arial"/>
          <w:rtl/>
        </w:rPr>
        <w:t>-</w:t>
      </w:r>
      <w:r>
        <w:rPr>
          <w:rFonts w:cs="Arial"/>
          <w:rtl/>
        </w:rPr>
        <w:t xml:space="preserve"> אם נתן גט לאשתו ואמר ה"ז גיטך אחר השבוע </w:t>
      </w:r>
      <w:r w:rsidR="00A82951">
        <w:rPr>
          <w:rFonts w:cs="Arial"/>
          <w:rtl/>
        </w:rPr>
        <w:t>-</w:t>
      </w:r>
      <w:r>
        <w:rPr>
          <w:rFonts w:cs="Arial"/>
          <w:rtl/>
        </w:rPr>
        <w:t xml:space="preserve"> אינו גט עד שיעבור שנה ראשונה של שמינית. וחדש ראשון של שנה שנייה</w:t>
      </w:r>
      <w:r>
        <w:rPr>
          <w:rFonts w:cs="Arial"/>
          <w:sz w:val="16"/>
          <w:szCs w:val="16"/>
          <w:rtl/>
        </w:rPr>
        <w:t xml:space="preserve"> {כשאמר ה"ז גיטך אחר השנה}</w:t>
      </w:r>
      <w:r>
        <w:rPr>
          <w:rFonts w:cs="Arial"/>
          <w:rtl/>
        </w:rPr>
        <w:t>. וכן באידך</w:t>
      </w:r>
      <w:r>
        <w:rPr>
          <w:rFonts w:cs="Arial"/>
          <w:sz w:val="16"/>
          <w:szCs w:val="16"/>
          <w:rtl/>
        </w:rPr>
        <w:t xml:space="preserve"> (ל' הטור בשמו)</w:t>
      </w:r>
      <w:r>
        <w:rPr>
          <w:rFonts w:cs="Arial"/>
          <w:rtl/>
        </w:rPr>
        <w:t xml:space="preserve">. </w:t>
      </w:r>
    </w:p>
    <w:p w14:paraId="490E4F86" w14:textId="22916AD1" w:rsidR="009D7B8F" w:rsidRPr="009D7B8F" w:rsidRDefault="00C97BEF" w:rsidP="006A458D">
      <w:pPr>
        <w:pStyle w:val="ab"/>
        <w:numPr>
          <w:ilvl w:val="0"/>
          <w:numId w:val="112"/>
        </w:numPr>
      </w:pPr>
      <w:r>
        <w:rPr>
          <w:rFonts w:cs="Arial"/>
          <w:rtl/>
        </w:rPr>
        <w:t>רא"ש</w:t>
      </w:r>
      <w:r>
        <w:rPr>
          <w:rFonts w:cs="Arial"/>
          <w:sz w:val="16"/>
          <w:szCs w:val="16"/>
          <w:rtl/>
        </w:rPr>
        <w:t xml:space="preserve"> (סי' יד, </w:t>
      </w:r>
      <w:r w:rsidR="009D7B8F">
        <w:rPr>
          <w:rFonts w:cs="Arial" w:hint="cs"/>
          <w:sz w:val="16"/>
          <w:szCs w:val="16"/>
          <w:rtl/>
        </w:rPr>
        <w:t>ו</w:t>
      </w:r>
      <w:r>
        <w:rPr>
          <w:rFonts w:cs="Arial"/>
          <w:sz w:val="16"/>
          <w:szCs w:val="16"/>
          <w:rtl/>
        </w:rPr>
        <w:t>כ"כ הטור בשמו)</w:t>
      </w:r>
      <w:r w:rsidR="00A82951">
        <w:rPr>
          <w:rFonts w:cs="Arial"/>
          <w:rtl/>
        </w:rPr>
        <w:t>-</w:t>
      </w:r>
      <w:r>
        <w:rPr>
          <w:rFonts w:cs="Arial"/>
          <w:rtl/>
        </w:rPr>
        <w:t xml:space="preserve"> </w:t>
      </w:r>
      <w:r w:rsidR="009D7B8F">
        <w:rPr>
          <w:rFonts w:cs="Arial" w:hint="cs"/>
          <w:rtl/>
        </w:rPr>
        <w:t>ה</w:t>
      </w:r>
      <w:r w:rsidR="009D7B8F" w:rsidRPr="009D7B8F">
        <w:rPr>
          <w:rFonts w:cs="Arial"/>
          <w:rtl/>
        </w:rPr>
        <w:t xml:space="preserve">אומר כתבו גט ותנו לאשתי אם לא באתי לאחר השבוע </w:t>
      </w:r>
      <w:r w:rsidR="00CB3D27">
        <w:rPr>
          <w:rFonts w:cs="Arial" w:hint="cs"/>
          <w:rtl/>
        </w:rPr>
        <w:t xml:space="preserve">- </w:t>
      </w:r>
      <w:r w:rsidR="009D7B8F" w:rsidRPr="009D7B8F">
        <w:rPr>
          <w:rFonts w:cs="Arial"/>
          <w:rtl/>
        </w:rPr>
        <w:t>לא יכתבו עד שתעבור השבוע</w:t>
      </w:r>
      <w:r w:rsidR="00CB3D27">
        <w:rPr>
          <w:rFonts w:cs="Arial" w:hint="cs"/>
          <w:rtl/>
        </w:rPr>
        <w:t>,</w:t>
      </w:r>
      <w:r w:rsidR="009D7B8F" w:rsidRPr="009D7B8F">
        <w:rPr>
          <w:rFonts w:cs="Arial"/>
          <w:rtl/>
        </w:rPr>
        <w:t xml:space="preserve"> ושנה שמינית</w:t>
      </w:r>
      <w:r w:rsidR="00CB3D27">
        <w:rPr>
          <w:rFonts w:cs="Arial" w:hint="cs"/>
          <w:rtl/>
        </w:rPr>
        <w:t>,</w:t>
      </w:r>
      <w:r w:rsidR="009D7B8F" w:rsidRPr="009D7B8F">
        <w:rPr>
          <w:rFonts w:cs="Arial"/>
          <w:rtl/>
        </w:rPr>
        <w:t xml:space="preserve"> וכן כולם</w:t>
      </w:r>
      <w:r w:rsidR="00CB3D27">
        <w:rPr>
          <w:rFonts w:cs="Arial" w:hint="cs"/>
          <w:rtl/>
        </w:rPr>
        <w:t>...</w:t>
      </w:r>
      <w:r w:rsidR="009D7B8F" w:rsidRPr="009D7B8F">
        <w:rPr>
          <w:rFonts w:cs="Arial"/>
          <w:rtl/>
        </w:rPr>
        <w:t xml:space="preserve"> אבל לאחר זמן אין קפידא אם מאחרין הכתיבה</w:t>
      </w:r>
      <w:r w:rsidR="00CB3D27">
        <w:rPr>
          <w:rFonts w:cs="Arial" w:hint="cs"/>
          <w:rtl/>
        </w:rPr>
        <w:t>.</w:t>
      </w:r>
      <w:r w:rsidR="009D7B8F" w:rsidRPr="009D7B8F">
        <w:rPr>
          <w:rFonts w:cs="Arial"/>
          <w:rtl/>
        </w:rPr>
        <w:t xml:space="preserve"> </w:t>
      </w:r>
    </w:p>
    <w:p w14:paraId="47C532A0" w14:textId="1E5BE032" w:rsidR="00C97BEF" w:rsidRDefault="00C97BEF" w:rsidP="006A458D">
      <w:pPr>
        <w:pStyle w:val="ab"/>
        <w:numPr>
          <w:ilvl w:val="0"/>
          <w:numId w:val="112"/>
        </w:numPr>
        <w:rPr>
          <w:rFonts w:cs="Arial"/>
        </w:rPr>
      </w:pPr>
      <w:r>
        <w:rPr>
          <w:rFonts w:cs="Arial"/>
          <w:rtl/>
        </w:rPr>
        <w:t>רמב"ם</w:t>
      </w:r>
      <w:r>
        <w:rPr>
          <w:rFonts w:cs="Arial"/>
          <w:sz w:val="16"/>
          <w:szCs w:val="16"/>
          <w:rtl/>
        </w:rPr>
        <w:t xml:space="preserve"> (פ"ט הכ"ג</w:t>
      </w:r>
      <w:r w:rsidR="00A82951">
        <w:rPr>
          <w:rFonts w:cs="Arial"/>
          <w:sz w:val="16"/>
          <w:szCs w:val="16"/>
          <w:rtl/>
        </w:rPr>
        <w:t>-</w:t>
      </w:r>
      <w:r>
        <w:rPr>
          <w:rFonts w:cs="Arial"/>
          <w:sz w:val="16"/>
          <w:szCs w:val="16"/>
          <w:rtl/>
        </w:rPr>
        <w:t>כד)</w:t>
      </w:r>
      <w:r w:rsidR="00A82951">
        <w:rPr>
          <w:rFonts w:cs="Arial"/>
          <w:rtl/>
        </w:rPr>
        <w:t>-</w:t>
      </w:r>
      <w:r>
        <w:rPr>
          <w:rFonts w:cs="Arial"/>
          <w:rtl/>
        </w:rPr>
        <w:t xml:space="preserve"> אמר להן כתבו ותנו גט לאשתי אחר השבוע </w:t>
      </w:r>
      <w:r w:rsidR="00A82951">
        <w:rPr>
          <w:rFonts w:cs="Arial"/>
          <w:rtl/>
        </w:rPr>
        <w:t>-</w:t>
      </w:r>
      <w:r>
        <w:rPr>
          <w:rFonts w:cs="Arial"/>
          <w:rtl/>
        </w:rPr>
        <w:t xml:space="preserve"> אין כותבין אלא עד שנה מאחר השבוע</w:t>
      </w:r>
      <w:r>
        <w:rPr>
          <w:rStyle w:val="a7"/>
          <w:rFonts w:cs="Arial"/>
          <w:rtl/>
        </w:rPr>
        <w:footnoteReference w:id="2512"/>
      </w:r>
      <w:r>
        <w:rPr>
          <w:rFonts w:cs="Arial"/>
          <w:rtl/>
        </w:rPr>
        <w:t xml:space="preserve">. אמר להן לאחר השנה </w:t>
      </w:r>
      <w:r w:rsidR="00A82951">
        <w:rPr>
          <w:rFonts w:cs="Arial"/>
          <w:rtl/>
        </w:rPr>
        <w:t>-</w:t>
      </w:r>
      <w:r>
        <w:rPr>
          <w:rFonts w:cs="Arial"/>
          <w:rtl/>
        </w:rPr>
        <w:t xml:space="preserve"> כותבין עד לאחר חדש משנה שניה. אמר להן לאחר החדש </w:t>
      </w:r>
      <w:r w:rsidR="00A82951">
        <w:rPr>
          <w:rFonts w:cs="Arial"/>
          <w:rtl/>
        </w:rPr>
        <w:t>-</w:t>
      </w:r>
      <w:r>
        <w:rPr>
          <w:rFonts w:cs="Arial"/>
          <w:rtl/>
        </w:rPr>
        <w:t xml:space="preserve"> כותבין עד לאחר השבת מחדש שני. אמר להן לאחר השבת </w:t>
      </w:r>
      <w:r w:rsidR="00A82951">
        <w:rPr>
          <w:rFonts w:cs="Arial"/>
          <w:rtl/>
        </w:rPr>
        <w:t>-</w:t>
      </w:r>
      <w:r>
        <w:rPr>
          <w:rFonts w:cs="Arial"/>
          <w:rtl/>
        </w:rPr>
        <w:t xml:space="preserve"> כותבין מאחר יום השבת עד סוף יום שלישי. אמר להן כתבו ותנו לה קודם השבת </w:t>
      </w:r>
      <w:r w:rsidR="00A82951">
        <w:rPr>
          <w:rFonts w:cs="Arial"/>
          <w:rtl/>
        </w:rPr>
        <w:t>-</w:t>
      </w:r>
      <w:r>
        <w:rPr>
          <w:rFonts w:cs="Arial"/>
          <w:rtl/>
        </w:rPr>
        <w:t xml:space="preserve"> כותבין מיום רביעי ועד סוף יום ששי ונותנין לה. הרי שאיחרו אחר הזמן שאמר ואחר כך כתבו ונתנו לה, כגון שאמר להן לאחר החדש, וכתבו ונתנו לה לאחר שתי שבתות מחדש שני </w:t>
      </w:r>
      <w:r w:rsidR="00A82951">
        <w:rPr>
          <w:rFonts w:cs="Arial"/>
          <w:rtl/>
        </w:rPr>
        <w:t>-</w:t>
      </w:r>
      <w:r>
        <w:rPr>
          <w:rFonts w:cs="Arial"/>
          <w:rtl/>
        </w:rPr>
        <w:t xml:space="preserve"> הרי זה פסול</w:t>
      </w:r>
      <w:r>
        <w:rPr>
          <w:rStyle w:val="a7"/>
          <w:rFonts w:cs="Arial"/>
          <w:rtl/>
        </w:rPr>
        <w:footnoteReference w:id="2513"/>
      </w:r>
      <w:r>
        <w:rPr>
          <w:rFonts w:cs="Arial"/>
          <w:rtl/>
        </w:rPr>
        <w:t xml:space="preserve">. </w:t>
      </w:r>
      <w:r>
        <w:rPr>
          <w:rFonts w:cs="Arial"/>
          <w:color w:val="E36C0A" w:themeColor="accent6" w:themeShade="BF"/>
          <w:rtl/>
        </w:rPr>
        <w:t>(וכ"פ בשו"ע)</w:t>
      </w:r>
    </w:p>
    <w:p w14:paraId="733400A9" w14:textId="77777777" w:rsidR="00C97BEF" w:rsidRDefault="00C97BEF" w:rsidP="00C97BEF">
      <w:pPr>
        <w:rPr>
          <w:u w:val="single"/>
        </w:rPr>
      </w:pPr>
      <w:r>
        <w:rPr>
          <w:u w:val="single"/>
          <w:rtl/>
        </w:rPr>
        <w:t>אמר לה הרי זה גיטך אם לא באתי לאחר השבוע/שנה/חודש/שבת:</w:t>
      </w:r>
    </w:p>
    <w:p w14:paraId="2D0A39C0" w14:textId="6109A83A" w:rsidR="00C97BEF" w:rsidRDefault="00C97BEF" w:rsidP="006A458D">
      <w:pPr>
        <w:pStyle w:val="ab"/>
        <w:numPr>
          <w:ilvl w:val="0"/>
          <w:numId w:val="112"/>
        </w:numPr>
        <w:rPr>
          <w:rtl/>
        </w:rPr>
      </w:pPr>
      <w:r>
        <w:rPr>
          <w:rFonts w:cs="Arial"/>
          <w:rtl/>
        </w:rPr>
        <w:t xml:space="preserve">רש"י </w:t>
      </w:r>
      <w:r>
        <w:rPr>
          <w:rFonts w:cs="Arial"/>
          <w:sz w:val="16"/>
          <w:szCs w:val="16"/>
          <w:rtl/>
        </w:rPr>
        <w:t>(עז. ד"ה לאחר שבוע)</w:t>
      </w:r>
      <w:r>
        <w:rPr>
          <w:rFonts w:cs="Arial"/>
          <w:rtl/>
        </w:rPr>
        <w:t xml:space="preserve"> רא"ש</w:t>
      </w:r>
      <w:r>
        <w:rPr>
          <w:rFonts w:cs="Arial"/>
          <w:sz w:val="16"/>
          <w:szCs w:val="16"/>
          <w:rtl/>
        </w:rPr>
        <w:t xml:space="preserve"> (סי' יד)</w:t>
      </w:r>
      <w:r>
        <w:rPr>
          <w:rFonts w:cs="Arial"/>
          <w:rtl/>
        </w:rPr>
        <w:t xml:space="preserve"> וטור</w:t>
      </w:r>
      <w:r w:rsidR="00A82951">
        <w:rPr>
          <w:rFonts w:cs="Arial"/>
          <w:rtl/>
        </w:rPr>
        <w:t>-</w:t>
      </w:r>
      <w:r>
        <w:rPr>
          <w:rFonts w:cs="Arial"/>
          <w:rtl/>
        </w:rPr>
        <w:t xml:space="preserve"> כתבו גט ותנו לאשתי אם לא באתי לאחר השבוע </w:t>
      </w:r>
      <w:r w:rsidR="00A82951">
        <w:rPr>
          <w:rFonts w:cs="Arial"/>
          <w:rtl/>
        </w:rPr>
        <w:t>-</w:t>
      </w:r>
      <w:r>
        <w:rPr>
          <w:rFonts w:cs="Arial"/>
          <w:rtl/>
        </w:rPr>
        <w:t xml:space="preserve"> לא יכתבו ויתנו עד שיעברו שני השמיטה הזאת שעומדים בה ושנה ראשונה של שמיטה שאח"כ</w:t>
      </w:r>
      <w:r>
        <w:rPr>
          <w:rStyle w:val="a7"/>
          <w:rFonts w:cs="Arial"/>
          <w:rtl/>
        </w:rPr>
        <w:footnoteReference w:id="2514"/>
      </w:r>
      <w:r>
        <w:rPr>
          <w:rFonts w:cs="Arial"/>
          <w:rtl/>
        </w:rPr>
        <w:t xml:space="preserve">. ואם אמר אם לא אבא עד אחר השנה </w:t>
      </w:r>
      <w:r w:rsidR="00A82951">
        <w:rPr>
          <w:rFonts w:cs="Arial"/>
          <w:rtl/>
        </w:rPr>
        <w:t>-</w:t>
      </w:r>
      <w:r>
        <w:rPr>
          <w:rFonts w:cs="Arial"/>
          <w:rtl/>
        </w:rPr>
        <w:t xml:space="preserve"> לא יכתבו ויתנו עד שיעבור חדש משנה שנייה. ואם אמר אם לא אבא עד אחר חדש </w:t>
      </w:r>
      <w:r w:rsidR="00A82951">
        <w:rPr>
          <w:rFonts w:cs="Arial"/>
          <w:rtl/>
        </w:rPr>
        <w:t>-</w:t>
      </w:r>
      <w:r>
        <w:rPr>
          <w:rFonts w:cs="Arial"/>
          <w:rtl/>
        </w:rPr>
        <w:t xml:space="preserve"> לא יכתבו </w:t>
      </w:r>
      <w:r>
        <w:rPr>
          <w:rFonts w:cs="Arial"/>
          <w:rtl/>
        </w:rPr>
        <w:lastRenderedPageBreak/>
        <w:t xml:space="preserve">ויתנו עד שיעברו ז' ימים מחדש השני. ואם אמר אם לא אבא עד אחר השבת </w:t>
      </w:r>
      <w:r w:rsidR="00A82951">
        <w:rPr>
          <w:rFonts w:cs="Arial"/>
          <w:rtl/>
        </w:rPr>
        <w:t>-</w:t>
      </w:r>
      <w:r>
        <w:rPr>
          <w:rFonts w:cs="Arial"/>
          <w:rtl/>
        </w:rPr>
        <w:t xml:space="preserve"> לא יכתבו עד שיעברו א' ב' ג' ימים בשבת שנייה. ואם אמר אם לא אבא עד אחר הרגל</w:t>
      </w:r>
      <w:r>
        <w:rPr>
          <w:rStyle w:val="a7"/>
          <w:rFonts w:cs="Arial"/>
          <w:rtl/>
        </w:rPr>
        <w:footnoteReference w:id="2515"/>
      </w:r>
      <w:r>
        <w:rPr>
          <w:rFonts w:cs="Arial"/>
          <w:rtl/>
        </w:rPr>
        <w:t xml:space="preserve"> </w:t>
      </w:r>
      <w:r w:rsidR="00A82951">
        <w:rPr>
          <w:rFonts w:cs="Arial"/>
          <w:rtl/>
        </w:rPr>
        <w:t>-</w:t>
      </w:r>
      <w:r>
        <w:rPr>
          <w:rFonts w:cs="Arial"/>
          <w:rtl/>
        </w:rPr>
        <w:t xml:space="preserve"> לא יכתבו ויתנו עד שיעבור ט"ו ימים אחר הרגל. ובכולן אין מקדימין ממה שאמר, אבל אם אחרו אין בכך כלום. וכן הדין אם נתן הגט בידה ואמר לה ה"ז גיטך אם לא אבא אחר השבוע, אינו גט עד שיעבור שנה שמינית. וכן אחר השנה, חדש. ואחר החדש, שבת. ואחר שבת, א' ב' ג'</w:t>
      </w:r>
      <w:r>
        <w:rPr>
          <w:rFonts w:cs="Arial"/>
          <w:sz w:val="16"/>
          <w:szCs w:val="16"/>
          <w:rtl/>
        </w:rPr>
        <w:t xml:space="preserve"> (ל' הטור)</w:t>
      </w:r>
      <w:r>
        <w:rPr>
          <w:rFonts w:cs="Arial"/>
          <w:rtl/>
        </w:rPr>
        <w:t xml:space="preserve">. </w:t>
      </w:r>
    </w:p>
    <w:p w14:paraId="7C563305" w14:textId="77777777" w:rsidR="00C97BEF" w:rsidRDefault="00C97BEF" w:rsidP="00C97BEF">
      <w:pPr>
        <w:rPr>
          <w:rFonts w:cs="Arial"/>
          <w:u w:val="single"/>
        </w:rPr>
      </w:pPr>
      <w:r>
        <w:rPr>
          <w:rFonts w:cs="Arial"/>
          <w:u w:val="single"/>
          <w:rtl/>
        </w:rPr>
        <w:t xml:space="preserve">הרי זה גיטך </w:t>
      </w:r>
      <w:r>
        <w:rPr>
          <w:rFonts w:cs="Arial"/>
          <w:b/>
          <w:bCs/>
          <w:u w:val="single"/>
          <w:rtl/>
        </w:rPr>
        <w:t>לפני</w:t>
      </w:r>
      <w:r>
        <w:rPr>
          <w:rFonts w:cs="Arial"/>
          <w:u w:val="single"/>
          <w:rtl/>
        </w:rPr>
        <w:t xml:space="preserve"> שבוע/שנה/חודש:</w:t>
      </w:r>
    </w:p>
    <w:p w14:paraId="11F03078" w14:textId="522697C2" w:rsidR="00C97BEF" w:rsidRDefault="00C97BEF" w:rsidP="006A458D">
      <w:pPr>
        <w:pStyle w:val="ab"/>
        <w:numPr>
          <w:ilvl w:val="0"/>
          <w:numId w:val="112"/>
        </w:numPr>
        <w:rPr>
          <w:rFonts w:cs="Arial"/>
        </w:rPr>
      </w:pPr>
      <w:r>
        <w:rPr>
          <w:rFonts w:cs="Arial"/>
          <w:rtl/>
        </w:rPr>
        <w:t xml:space="preserve">רשב"א </w:t>
      </w:r>
      <w:r>
        <w:rPr>
          <w:rFonts w:cs="Arial"/>
          <w:sz w:val="16"/>
          <w:szCs w:val="16"/>
          <w:rtl/>
        </w:rPr>
        <w:t xml:space="preserve">(עז. ד"ה תניא) </w:t>
      </w:r>
      <w:r>
        <w:rPr>
          <w:rFonts w:cs="Arial"/>
          <w:rtl/>
        </w:rPr>
        <w:t xml:space="preserve">ור"ן </w:t>
      </w:r>
      <w:r>
        <w:rPr>
          <w:rFonts w:cs="Arial"/>
          <w:sz w:val="16"/>
          <w:szCs w:val="16"/>
          <w:rtl/>
        </w:rPr>
        <w:t>(לט: דיבור ראשון)</w:t>
      </w:r>
      <w:r w:rsidR="00A82951">
        <w:rPr>
          <w:rFonts w:cs="Arial"/>
          <w:rtl/>
        </w:rPr>
        <w:t>-</w:t>
      </w:r>
      <w:r>
        <w:rPr>
          <w:rFonts w:cs="Arial"/>
          <w:rtl/>
        </w:rPr>
        <w:t xml:space="preserve"> לפני שבוע ושנה וחדש</w:t>
      </w:r>
      <w:r>
        <w:rPr>
          <w:rStyle w:val="a7"/>
          <w:rFonts w:cs="Arial"/>
          <w:rtl/>
        </w:rPr>
        <w:footnoteReference w:id="2516"/>
      </w:r>
      <w:r>
        <w:rPr>
          <w:rFonts w:cs="Arial"/>
          <w:rtl/>
        </w:rPr>
        <w:t xml:space="preserve"> צ"ע אם כלאחר הוא, דאיפשר לומר דילפינן משבת דכשם דלפני שבת כלאחר שבת אף לפני שבוע ושנה וחדש כלאחר. אבל בירושלמי </w:t>
      </w:r>
      <w:r>
        <w:rPr>
          <w:rFonts w:cs="Arial"/>
          <w:sz w:val="16"/>
          <w:szCs w:val="16"/>
          <w:rtl/>
        </w:rPr>
        <w:t xml:space="preserve">(פ"ז ה"ח) </w:t>
      </w:r>
      <w:r>
        <w:rPr>
          <w:rFonts w:cs="Arial"/>
          <w:rtl/>
        </w:rPr>
        <w:t>מצאתי ר' בון בר חייא בעי קומי ר' זעירא הרי גיטיך ערב הפסח א"ל אפילו כמאן דאמר כל ל' שלאחר החג כלאחר החג הוא מודה כל שלשים שלפני הפסח שאינן כלפני הפסח. אלמא אין למדין לפני מלאחר, וצ"ע</w:t>
      </w:r>
      <w:r>
        <w:rPr>
          <w:rFonts w:cs="Arial"/>
          <w:sz w:val="16"/>
          <w:szCs w:val="16"/>
          <w:rtl/>
        </w:rPr>
        <w:t xml:space="preserve"> (ל' הרשב"א)</w:t>
      </w:r>
      <w:r>
        <w:rPr>
          <w:rFonts w:cs="Arial"/>
          <w:rtl/>
        </w:rPr>
        <w:t xml:space="preserve">. </w:t>
      </w:r>
    </w:p>
    <w:p w14:paraId="46802391" w14:textId="77777777" w:rsidR="00C97BEF" w:rsidRDefault="00C97BEF" w:rsidP="00C97BEF">
      <w:pPr>
        <w:rPr>
          <w:rFonts w:cs="Arial"/>
        </w:rPr>
      </w:pPr>
      <w:r>
        <w:rPr>
          <w:rFonts w:cs="Arial"/>
          <w:u w:val="single"/>
          <w:rtl/>
        </w:rPr>
        <w:t>האומר 'לאחר שנים עשר חודש' או שאמר 'לאחר שלשים יום':</w:t>
      </w:r>
      <w:r>
        <w:rPr>
          <w:rFonts w:cs="Arial"/>
          <w:rtl/>
        </w:rPr>
        <w:t xml:space="preserve"> </w:t>
      </w:r>
      <w:r>
        <w:rPr>
          <w:rFonts w:cs="Arial"/>
          <w:sz w:val="16"/>
          <w:szCs w:val="16"/>
          <w:rtl/>
        </w:rPr>
        <w:t>(דרכ"מ אות ג)</w:t>
      </w:r>
      <w:r>
        <w:rPr>
          <w:rFonts w:cs="Arial"/>
          <w:rtl/>
        </w:rPr>
        <w:t xml:space="preserve"> </w:t>
      </w:r>
    </w:p>
    <w:p w14:paraId="3CE13F74" w14:textId="20F0594D" w:rsidR="00C97BEF" w:rsidRDefault="00C97BEF" w:rsidP="006A458D">
      <w:pPr>
        <w:pStyle w:val="ab"/>
        <w:numPr>
          <w:ilvl w:val="0"/>
          <w:numId w:val="112"/>
        </w:numPr>
        <w:rPr>
          <w:rFonts w:cs="Arial"/>
        </w:rPr>
      </w:pPr>
      <w:r>
        <w:rPr>
          <w:rFonts w:cs="Arial"/>
          <w:rtl/>
        </w:rPr>
        <w:t xml:space="preserve">שלט"ג </w:t>
      </w:r>
      <w:r>
        <w:rPr>
          <w:rFonts w:cs="Arial"/>
          <w:sz w:val="16"/>
          <w:szCs w:val="16"/>
          <w:rtl/>
        </w:rPr>
        <w:t>(לט. לשון ריא"ז)</w:t>
      </w:r>
      <w:r w:rsidR="00A82951">
        <w:rPr>
          <w:rFonts w:cs="Arial"/>
          <w:rtl/>
        </w:rPr>
        <w:t>-</w:t>
      </w:r>
      <w:r>
        <w:rPr>
          <w:rFonts w:cs="Arial"/>
          <w:rtl/>
        </w:rPr>
        <w:t xml:space="preserve"> האומר לאחר שנים עשר חודש </w:t>
      </w:r>
      <w:r w:rsidR="00A82951">
        <w:rPr>
          <w:rFonts w:cs="Arial"/>
          <w:rtl/>
        </w:rPr>
        <w:t>-</w:t>
      </w:r>
      <w:r>
        <w:rPr>
          <w:rFonts w:cs="Arial"/>
          <w:rtl/>
        </w:rPr>
        <w:t xml:space="preserve"> דינו כאומר לאחר שנה. והאומר לאחר שלשים יום </w:t>
      </w:r>
      <w:r w:rsidR="00A82951">
        <w:rPr>
          <w:rFonts w:cs="Arial"/>
          <w:rtl/>
        </w:rPr>
        <w:t>-</w:t>
      </w:r>
      <w:r>
        <w:rPr>
          <w:rFonts w:cs="Arial"/>
          <w:rtl/>
        </w:rPr>
        <w:t xml:space="preserve"> נותנין לו יום אחד אח"כ.</w:t>
      </w:r>
      <w:r>
        <w:rPr>
          <w:rFonts w:cs="Arial"/>
          <w:color w:val="00B0F0"/>
          <w:rtl/>
        </w:rPr>
        <w:t xml:space="preserve"> (וכ"כ הרמ"א)</w:t>
      </w:r>
    </w:p>
    <w:p w14:paraId="284C0D73"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8ACB31F" w14:textId="77777777" w:rsidR="00C97BEF" w:rsidRDefault="00C97BEF" w:rsidP="00C97BEF">
      <w:pPr>
        <w:rPr>
          <w:rtl/>
        </w:rPr>
      </w:pPr>
      <w:r>
        <w:rPr>
          <w:rFonts w:cs="Arial"/>
          <w:rtl/>
        </w:rPr>
        <w:t xml:space="preserve">אמר: כתבו ותנו גט לאשתי אחר השבוע, אין כותבין אלא עד שנה מאחר השבוע. אמר: לאחר שנה, כותבין עד לאחר חדש משנה שנייה. אמר: לאחר החדש, כותבין עד לאחר שבת מחדש שני. אמר: לאחר השבת, כותבין עד סוף יום שלישי. אמר: כתבו ותנו לה קודם השבת, כותבין מיום רביעי עד סוף יום ששי, ונותנים לה. הרי שאחרו אחר הזמן שאמר, ואחר כך כתבו ונתנו לה, הרי זו ספק מגורשת. </w:t>
      </w:r>
      <w:r>
        <w:rPr>
          <w:rFonts w:cs="Arial"/>
          <w:sz w:val="18"/>
          <w:szCs w:val="18"/>
          <w:rtl/>
        </w:rPr>
        <w:t>הגה: י"א דאם אמר: אחר י"ב חדש, כאלו אמר: אחר שנה. אמר: לאחר שלשים יום, כותבין יום אחד אחר שלשים יום (שלט"ג).</w:t>
      </w:r>
      <w:r>
        <w:rPr>
          <w:rFonts w:cs="Arial"/>
          <w:rtl/>
        </w:rPr>
        <w:t xml:space="preserve"> </w:t>
      </w:r>
    </w:p>
    <w:p w14:paraId="64606488" w14:textId="77777777" w:rsidR="00C97BEF" w:rsidRDefault="00C97BEF" w:rsidP="00C97BEF">
      <w:pPr>
        <w:rPr>
          <w:rtl/>
        </w:rPr>
      </w:pPr>
    </w:p>
    <w:p w14:paraId="60FD9F0E" w14:textId="77777777" w:rsidR="00C97BEF" w:rsidRDefault="00C97BEF" w:rsidP="00C97BEF">
      <w:pPr>
        <w:pStyle w:val="2"/>
        <w:rPr>
          <w:rtl/>
        </w:rPr>
      </w:pPr>
      <w:r>
        <w:rPr>
          <w:rtl/>
        </w:rPr>
        <w:t>סעיף ז: הרי זה גיטך כל זמן שאעבור מכנגד פניך שלשים יום.</w:t>
      </w:r>
    </w:p>
    <w:p w14:paraId="2EB5CF45" w14:textId="6582DBB3" w:rsidR="00C97BEF" w:rsidRDefault="00C97BEF" w:rsidP="00C97BEF">
      <w:pPr>
        <w:rPr>
          <w:rtl/>
        </w:rPr>
      </w:pPr>
      <w:r>
        <w:rPr>
          <w:rFonts w:cs="Arial"/>
          <w:b/>
          <w:bCs/>
          <w:rtl/>
        </w:rPr>
        <w:t xml:space="preserve">גיטין </w:t>
      </w:r>
      <w:r>
        <w:rPr>
          <w:rFonts w:cs="Arial"/>
          <w:b/>
          <w:bCs/>
          <w:sz w:val="16"/>
          <w:szCs w:val="16"/>
          <w:rtl/>
        </w:rPr>
        <w:t>(ס"פ מי שאחזו)</w:t>
      </w:r>
      <w:r>
        <w:rPr>
          <w:rFonts w:cs="Arial"/>
          <w:b/>
          <w:bCs/>
          <w:rtl/>
        </w:rPr>
        <w:t xml:space="preserve"> עו ע"ב:</w:t>
      </w:r>
      <w:r>
        <w:rPr>
          <w:rtl/>
        </w:rPr>
        <w:t xml:space="preserve"> </w:t>
      </w:r>
      <w:r>
        <w:rPr>
          <w:rFonts w:cs="Arial"/>
          <w:u w:val="double"/>
          <w:rtl/>
        </w:rPr>
        <w:t>מתני'</w:t>
      </w:r>
      <w:r>
        <w:rPr>
          <w:rFonts w:cs="Arial"/>
          <w:rtl/>
        </w:rPr>
        <w:t xml:space="preserve">:... ה"ז גיטך מעכשיו אם לא באתי מכאן ועד י"ב חדש, ומת בתוך י"ב חדש </w:t>
      </w:r>
      <w:r w:rsidR="00A82951">
        <w:rPr>
          <w:rFonts w:cs="Arial"/>
          <w:rtl/>
        </w:rPr>
        <w:t>-</w:t>
      </w:r>
      <w:r>
        <w:rPr>
          <w:rFonts w:cs="Arial"/>
          <w:rtl/>
        </w:rPr>
        <w:t xml:space="preserve"> ה"ז גט.</w:t>
      </w:r>
    </w:p>
    <w:p w14:paraId="0FDD5A9E" w14:textId="7C6834CC" w:rsidR="00C97BEF" w:rsidRDefault="00C97BEF" w:rsidP="00C97BEF">
      <w:pPr>
        <w:rPr>
          <w:rFonts w:cs="Arial"/>
          <w:rtl/>
        </w:rPr>
      </w:pPr>
      <w:r>
        <w:rPr>
          <w:rFonts w:cs="Arial"/>
          <w:b/>
          <w:bCs/>
          <w:rtl/>
        </w:rPr>
        <w:t xml:space="preserve">גיטין </w:t>
      </w:r>
      <w:r>
        <w:rPr>
          <w:rFonts w:cs="Arial"/>
          <w:b/>
          <w:bCs/>
          <w:sz w:val="16"/>
          <w:szCs w:val="16"/>
          <w:rtl/>
        </w:rPr>
        <w:t>(ס"פ מי שאחזו)</w:t>
      </w:r>
      <w:r>
        <w:rPr>
          <w:rFonts w:cs="Arial"/>
          <w:b/>
          <w:bCs/>
          <w:rtl/>
        </w:rPr>
        <w:t xml:space="preserve"> עו ע"א:</w:t>
      </w:r>
      <w:r>
        <w:rPr>
          <w:rtl/>
        </w:rPr>
        <w:t xml:space="preserve"> </w:t>
      </w:r>
      <w:r>
        <w:rPr>
          <w:rFonts w:cs="Arial"/>
          <w:u w:val="double"/>
          <w:rtl/>
        </w:rPr>
        <w:t>מתני'</w:t>
      </w:r>
      <w:r>
        <w:rPr>
          <w:rFonts w:cs="Arial"/>
          <w:rtl/>
        </w:rPr>
        <w:t>:... הרי זה גיטך כל זמן שאעבור מכנגד פניך</w:t>
      </w:r>
      <w:r>
        <w:rPr>
          <w:rStyle w:val="a7"/>
          <w:rFonts w:cs="Arial"/>
          <w:rtl/>
        </w:rPr>
        <w:footnoteReference w:id="2517"/>
      </w:r>
      <w:r>
        <w:rPr>
          <w:rFonts w:cs="Arial"/>
          <w:rtl/>
        </w:rPr>
        <w:t xml:space="preserve"> שלשים יום, היה הולך ובא הולך ובא, הואיל ולא נתיחד עמה </w:t>
      </w:r>
      <w:r w:rsidR="00A82951">
        <w:rPr>
          <w:rFonts w:cs="Arial"/>
          <w:rtl/>
        </w:rPr>
        <w:t>-</w:t>
      </w:r>
      <w:r>
        <w:rPr>
          <w:rFonts w:cs="Arial"/>
          <w:rtl/>
        </w:rPr>
        <w:t xml:space="preserve"> הרי זה גט.       </w:t>
      </w:r>
      <w:r>
        <w:rPr>
          <w:rFonts w:cs="Arial"/>
          <w:u w:val="double"/>
          <w:rtl/>
        </w:rPr>
        <w:t>גמ'</w:t>
      </w:r>
      <w:r>
        <w:rPr>
          <w:rFonts w:cs="Arial"/>
          <w:sz w:val="14"/>
          <w:szCs w:val="14"/>
          <w:u w:val="double"/>
          <w:rtl/>
        </w:rPr>
        <w:t>(עו:)</w:t>
      </w:r>
      <w:r>
        <w:rPr>
          <w:rFonts w:cs="Arial"/>
          <w:u w:val="double"/>
          <w:rtl/>
        </w:rPr>
        <w:t>:</w:t>
      </w:r>
      <w:r>
        <w:rPr>
          <w:rtl/>
        </w:rPr>
        <w:t xml:space="preserve"> </w:t>
      </w:r>
      <w:r>
        <w:rPr>
          <w:rFonts w:cs="Arial"/>
          <w:rtl/>
        </w:rPr>
        <w:t>ה"ז גיטך כל זמן שאעבור וכו'. והא לא עבר</w:t>
      </w:r>
      <w:r>
        <w:rPr>
          <w:rStyle w:val="a7"/>
          <w:rFonts w:cs="Arial"/>
          <w:rtl/>
        </w:rPr>
        <w:footnoteReference w:id="2518"/>
      </w:r>
      <w:r>
        <w:rPr>
          <w:rFonts w:cs="Arial"/>
          <w:rtl/>
        </w:rPr>
        <w:t xml:space="preserve">! </w:t>
      </w:r>
      <w:r>
        <w:rPr>
          <w:rFonts w:cs="Arial"/>
          <w:u w:val="single"/>
          <w:rtl/>
        </w:rPr>
        <w:t>אמר רב הונא</w:t>
      </w:r>
      <w:r>
        <w:rPr>
          <w:rFonts w:cs="Arial"/>
          <w:rtl/>
        </w:rPr>
        <w:t>: מאי פניך? תשמיש</w:t>
      </w:r>
      <w:r>
        <w:rPr>
          <w:rStyle w:val="a7"/>
          <w:rFonts w:cs="Arial"/>
          <w:rtl/>
        </w:rPr>
        <w:footnoteReference w:id="2519"/>
      </w:r>
      <w:r>
        <w:rPr>
          <w:rFonts w:cs="Arial"/>
          <w:rtl/>
        </w:rPr>
        <w:t xml:space="preserve">, ואמאי קרי ליה פניך? לישנא מעליא נקט. </w:t>
      </w:r>
      <w:r>
        <w:rPr>
          <w:rFonts w:cs="Arial"/>
          <w:u w:val="single"/>
          <w:rtl/>
        </w:rPr>
        <w:t>ורבי יוחנן אמר</w:t>
      </w:r>
      <w:r>
        <w:rPr>
          <w:rFonts w:cs="Arial"/>
          <w:rtl/>
        </w:rPr>
        <w:t>: לעולם פניך ממש, מי קתני הרי זו מגורשת? ה"ז גט קתני</w:t>
      </w:r>
      <w:r>
        <w:rPr>
          <w:rStyle w:val="a7"/>
          <w:rFonts w:cs="Arial"/>
          <w:rtl/>
        </w:rPr>
        <w:footnoteReference w:id="2520"/>
      </w:r>
      <w:r>
        <w:rPr>
          <w:rFonts w:cs="Arial"/>
          <w:rtl/>
        </w:rPr>
        <w:t>, דלא הוי גט ישן</w:t>
      </w:r>
      <w:r>
        <w:rPr>
          <w:rStyle w:val="a7"/>
          <w:rFonts w:cs="Arial"/>
          <w:rtl/>
        </w:rPr>
        <w:footnoteReference w:id="2521"/>
      </w:r>
      <w:r>
        <w:rPr>
          <w:rFonts w:cs="Arial"/>
          <w:rtl/>
        </w:rPr>
        <w:t xml:space="preserve">, ולכי מלו תלתין יומי הוי גיטא. </w:t>
      </w:r>
      <w:r w:rsidRPr="00507BE2">
        <w:rPr>
          <w:rFonts w:cs="Arial"/>
          <w:u w:val="single"/>
          <w:rtl/>
        </w:rPr>
        <w:t>תניא כוותיה דר' יוחנן</w:t>
      </w:r>
      <w:r>
        <w:rPr>
          <w:rFonts w:cs="Arial"/>
          <w:rtl/>
        </w:rPr>
        <w:t xml:space="preserve">: ה"ז גיטך כל זמן שאעבור מנגד פניך שלשים יום, והיה הולך ובא הולך ובא, הואיל ולא נתייחד עמה </w:t>
      </w:r>
      <w:r w:rsidR="00A82951">
        <w:rPr>
          <w:rFonts w:cs="Arial"/>
          <w:rtl/>
        </w:rPr>
        <w:t>-</w:t>
      </w:r>
      <w:r>
        <w:rPr>
          <w:rFonts w:cs="Arial"/>
          <w:rtl/>
        </w:rPr>
        <w:t xml:space="preserve"> ה"ז גט, ולגט ישן אין חוששין </w:t>
      </w:r>
      <w:r>
        <w:rPr>
          <w:rFonts w:cs="Arial"/>
          <w:rtl/>
        </w:rPr>
        <w:lastRenderedPageBreak/>
        <w:t>שהרי לא נתייחד עמה. וליחוש שמא פייס</w:t>
      </w:r>
      <w:r>
        <w:rPr>
          <w:rStyle w:val="a7"/>
          <w:rFonts w:cs="Arial"/>
          <w:rtl/>
        </w:rPr>
        <w:footnoteReference w:id="2522"/>
      </w:r>
      <w:r>
        <w:rPr>
          <w:rFonts w:cs="Arial"/>
          <w:rtl/>
        </w:rPr>
        <w:t xml:space="preserve">! </w:t>
      </w:r>
      <w:r>
        <w:rPr>
          <w:rFonts w:cs="Arial"/>
          <w:u w:val="single"/>
          <w:rtl/>
        </w:rPr>
        <w:t>אמר רבה בר רב הונא</w:t>
      </w:r>
      <w:r>
        <w:rPr>
          <w:rFonts w:cs="Arial"/>
          <w:rtl/>
        </w:rPr>
        <w:t>: הכי אמר אבא מרי משמי' דרב: באומר</w:t>
      </w:r>
      <w:r>
        <w:rPr>
          <w:rStyle w:val="a7"/>
          <w:rFonts w:cs="Arial"/>
          <w:rtl/>
        </w:rPr>
        <w:footnoteReference w:id="2523"/>
      </w:r>
      <w:r>
        <w:rPr>
          <w:rFonts w:cs="Arial"/>
          <w:rtl/>
        </w:rPr>
        <w:t xml:space="preserve"> נאמנת עלי לומר שלא באתי. </w:t>
      </w:r>
      <w:r>
        <w:rPr>
          <w:rFonts w:cs="Arial"/>
          <w:u w:val="dotted"/>
          <w:rtl/>
        </w:rPr>
        <w:t>איכא דמתני לה אמתניתין</w:t>
      </w:r>
      <w:r>
        <w:rPr>
          <w:rFonts w:cs="Arial"/>
          <w:rtl/>
        </w:rPr>
        <w:t xml:space="preserve">: מעכשיו אם לא באתי מכאן ועד י"ב חדש, ומת בתוך י"ב חדש </w:t>
      </w:r>
      <w:r w:rsidR="00A82951">
        <w:rPr>
          <w:rFonts w:cs="Arial"/>
          <w:rtl/>
        </w:rPr>
        <w:t>-</w:t>
      </w:r>
      <w:r>
        <w:rPr>
          <w:rFonts w:cs="Arial"/>
          <w:rtl/>
        </w:rPr>
        <w:t xml:space="preserve"> ה"ז גט; וליחוש שמא פייס! </w:t>
      </w:r>
      <w:r>
        <w:rPr>
          <w:rFonts w:cs="Arial"/>
          <w:u w:val="single"/>
          <w:rtl/>
        </w:rPr>
        <w:t>אמר רבה בר רב הונא</w:t>
      </w:r>
      <w:r>
        <w:rPr>
          <w:rFonts w:cs="Arial"/>
          <w:rtl/>
        </w:rPr>
        <w:t>: הכי אמר אבא מרי משמיה דרב: באומר נאמנת עלי לומר שלא באתי! מאן דמתני לה אמתני', כל שכן אברייתא</w:t>
      </w:r>
      <w:r>
        <w:rPr>
          <w:rStyle w:val="a7"/>
          <w:rFonts w:cs="Arial"/>
          <w:rtl/>
        </w:rPr>
        <w:footnoteReference w:id="2524"/>
      </w:r>
      <w:r>
        <w:rPr>
          <w:rFonts w:cs="Arial"/>
          <w:rtl/>
        </w:rPr>
        <w:t>; מאן דמתני לה אברייתא, אבל אמתני'</w:t>
      </w:r>
      <w:r>
        <w:rPr>
          <w:rStyle w:val="a7"/>
          <w:rFonts w:cs="Arial"/>
          <w:rtl/>
        </w:rPr>
        <w:footnoteReference w:id="2525"/>
      </w:r>
      <w:r>
        <w:rPr>
          <w:rFonts w:cs="Arial"/>
          <w:rtl/>
        </w:rPr>
        <w:t xml:space="preserve"> הא לא אתא. </w:t>
      </w:r>
      <w:r>
        <w:rPr>
          <w:rFonts w:cs="Arial"/>
          <w:sz w:val="16"/>
          <w:szCs w:val="16"/>
          <w:rtl/>
        </w:rPr>
        <w:t>(וכתב הר"ן (לח: ד"ה ואיכא)</w:t>
      </w:r>
      <w:r w:rsidR="0006620D">
        <w:rPr>
          <w:rFonts w:cs="Arial" w:hint="cs"/>
          <w:sz w:val="16"/>
          <w:szCs w:val="16"/>
          <w:rtl/>
        </w:rPr>
        <w:t>:</w:t>
      </w:r>
      <w:r>
        <w:rPr>
          <w:rFonts w:cs="Arial"/>
          <w:sz w:val="16"/>
          <w:szCs w:val="16"/>
          <w:rtl/>
        </w:rPr>
        <w:t xml:space="preserve"> הרי"ף כתב לשונות הללו סתם, ונראה שהוא פוסק כלישנא בתרא ואפילו אמתניתין בעינן נאמנת עלי, והכי נמי מוכח בפרק כל הגט (כט:)</w:t>
      </w:r>
      <w:r>
        <w:rPr>
          <w:rtl/>
        </w:rPr>
        <w:t xml:space="preserve"> </w:t>
      </w:r>
      <w:r>
        <w:rPr>
          <w:rFonts w:cs="Arial"/>
          <w:sz w:val="16"/>
          <w:szCs w:val="16"/>
          <w:rtl/>
        </w:rPr>
        <w:t xml:space="preserve">דפרכינן וליחוש שמא פייסה מי לא תנן מעכשיו אם לא באתי מכאן ועד י"ב חדש וכו' ואמר רבה בר רב הונא באומר נאמנת עלי שלא באתי. אלמא סוגין דעלמא כמאן דמתני לה אמתני'. וכן דעת ר"ח והראב"ד בהשגות. אבל הרמב"ם כתב בפ"ט מהלכות גירושין (הי"א) הרי זה גיטך </w:t>
      </w:r>
      <w:r>
        <w:rPr>
          <w:rStyle w:val="a7"/>
          <w:rFonts w:cs="Arial"/>
          <w:sz w:val="16"/>
          <w:szCs w:val="16"/>
          <w:rtl/>
        </w:rPr>
        <w:footnoteReference w:id="2526"/>
      </w:r>
      <w:r>
        <w:rPr>
          <w:rFonts w:cs="Arial"/>
          <w:sz w:val="16"/>
          <w:szCs w:val="16"/>
          <w:rtl/>
        </w:rPr>
        <w:t xml:space="preserve">[מעכשיו] אם לא באתי מכאן ועד שנים עשר חודש </w:t>
      </w:r>
      <w:r w:rsidR="00A82951">
        <w:rPr>
          <w:rFonts w:cs="Arial"/>
          <w:sz w:val="16"/>
          <w:szCs w:val="16"/>
          <w:rtl/>
        </w:rPr>
        <w:t>-</w:t>
      </w:r>
      <w:r>
        <w:rPr>
          <w:rFonts w:cs="Arial"/>
          <w:sz w:val="16"/>
          <w:szCs w:val="16"/>
          <w:rtl/>
        </w:rPr>
        <w:t xml:space="preserve"> אין חוששין שמא בא בסתר. וטעמו לפי שהוא סובר דחשש דשמא פייס ובא מדרבנן בעלמא הוא, שכך כתב בפרק זה (ה"ט) ומפני חשש זה יהא הגט פסול, וכבר ביאר בפ"י (ה"ב) שכל זמן שהוא מזכיר פסול אין פיסולו אלא מדברי סופרים, ולפיכך הוא פוסק בלשונות הללו להקל</w:t>
      </w:r>
      <w:r>
        <w:rPr>
          <w:rFonts w:cs="Arial"/>
          <w:sz w:val="10"/>
          <w:szCs w:val="10"/>
          <w:rtl/>
        </w:rPr>
        <w:t xml:space="preserve"> </w:t>
      </w:r>
      <w:r>
        <w:rPr>
          <w:rFonts w:cs="Arial"/>
          <w:sz w:val="12"/>
          <w:szCs w:val="12"/>
          <w:rtl/>
        </w:rPr>
        <w:t>{עכ"ד הר"ן}</w:t>
      </w:r>
      <w:r>
        <w:rPr>
          <w:rFonts w:cs="Arial"/>
          <w:sz w:val="16"/>
          <w:szCs w:val="16"/>
          <w:rtl/>
        </w:rPr>
        <w:t>. והרא"ש (סוף סי' יב) כתב ג"כ שדעת ר"ח והרי"ף לפסוק כלישנא בתרא לחומרא ותמה על הרמב"ם ז"ל למה פסק לקולא באיסור תורה. ובמה שכתב הר"ן אין מקום לתמיהתו, ב"י)</w:t>
      </w:r>
    </w:p>
    <w:p w14:paraId="2A1C6FC5" w14:textId="77777777" w:rsidR="005E74C8" w:rsidRDefault="005E74C8" w:rsidP="005E74C8">
      <w:pPr>
        <w:rPr>
          <w:rtl/>
        </w:rPr>
      </w:pPr>
      <w:r>
        <w:rPr>
          <w:rFonts w:cs="Arial"/>
          <w:b/>
          <w:bCs/>
          <w:rtl/>
        </w:rPr>
        <w:t xml:space="preserve">גיטין </w:t>
      </w:r>
      <w:r>
        <w:rPr>
          <w:rFonts w:cs="Arial"/>
          <w:b/>
          <w:bCs/>
          <w:sz w:val="16"/>
          <w:szCs w:val="16"/>
          <w:rtl/>
        </w:rPr>
        <w:t>(פ' כל הגט)</w:t>
      </w:r>
      <w:r>
        <w:rPr>
          <w:rFonts w:cs="Arial"/>
          <w:b/>
          <w:bCs/>
          <w:rtl/>
        </w:rPr>
        <w:t xml:space="preserve"> כט ע"ב:</w:t>
      </w:r>
      <w:r>
        <w:rPr>
          <w:rFonts w:cs="Arial"/>
          <w:rtl/>
        </w:rPr>
        <w:t xml:space="preserve"> ההוא גברא דשדר לה גיטא לדביתהו, </w:t>
      </w:r>
      <w:r w:rsidRPr="002748C8">
        <w:rPr>
          <w:rFonts w:cs="Arial"/>
          <w:u w:val="single"/>
          <w:rtl/>
        </w:rPr>
        <w:t>א"ל לשליח</w:t>
      </w:r>
      <w:r>
        <w:rPr>
          <w:rFonts w:cs="Arial"/>
          <w:rtl/>
        </w:rPr>
        <w:t xml:space="preserve">: לא תיתביה ניהלה עד תלתין יומין. אתניס בגו תלתין יומין, </w:t>
      </w:r>
      <w:r w:rsidRPr="002748C8">
        <w:rPr>
          <w:rFonts w:cs="Arial"/>
          <w:u w:val="single"/>
          <w:rtl/>
        </w:rPr>
        <w:t>אתא לקמיה דרבא, אמר רבא</w:t>
      </w:r>
      <w:r>
        <w:rPr>
          <w:rFonts w:cs="Arial"/>
          <w:rtl/>
        </w:rPr>
        <w:t xml:space="preserve">: חלה טעמא מאי? משום דאנוס, האי נמי אנוס הוא, </w:t>
      </w:r>
      <w:r w:rsidRPr="002748C8">
        <w:rPr>
          <w:rFonts w:cs="Arial"/>
          <w:u w:val="single"/>
          <w:rtl/>
        </w:rPr>
        <w:t>אמר ליה</w:t>
      </w:r>
      <w:r>
        <w:rPr>
          <w:rFonts w:cs="Arial"/>
          <w:rtl/>
        </w:rPr>
        <w:t xml:space="preserve">: מסור מילך קמי דידן, דלבתר תלתין יומין משוינן שליח ויהיב ליה ניהלה. </w:t>
      </w:r>
      <w:r w:rsidRPr="002748C8">
        <w:rPr>
          <w:rFonts w:cs="Arial"/>
          <w:u w:val="single"/>
          <w:rtl/>
        </w:rPr>
        <w:t>א"ל רבנן לרבא</w:t>
      </w:r>
      <w:r>
        <w:rPr>
          <w:rFonts w:cs="Arial"/>
          <w:rtl/>
        </w:rPr>
        <w:t xml:space="preserve">: והא שליח שלא ניתן לגירושין הוא! </w:t>
      </w:r>
      <w:r w:rsidRPr="002748C8">
        <w:rPr>
          <w:rFonts w:cs="Arial"/>
          <w:u w:val="single"/>
          <w:rtl/>
        </w:rPr>
        <w:t>אמר להו</w:t>
      </w:r>
      <w:r>
        <w:rPr>
          <w:rFonts w:cs="Arial"/>
          <w:rtl/>
        </w:rPr>
        <w:t xml:space="preserve">: כיון דלבתר תלתין יומין מצי מגרש, כשליח שניתן לגירושין הוא. וליחוש שמא פייס! מי לא תנן: מעכשיו אם לא באתי מכאן ועד יב"ח, ומת בתוך יב"ח - הרי זה גט; והוינן בה, וניחוש שמא פייס! </w:t>
      </w:r>
      <w:r w:rsidRPr="002748C8">
        <w:rPr>
          <w:rFonts w:cs="Arial"/>
          <w:u w:val="single"/>
          <w:rtl/>
        </w:rPr>
        <w:t>ואמר רבה בר רב הונא הכי אמר אבא מרי משמיה דרב</w:t>
      </w:r>
      <w:r>
        <w:rPr>
          <w:rFonts w:cs="Arial"/>
          <w:rtl/>
        </w:rPr>
        <w:t xml:space="preserve">: באומר נאמנת עלי לומר שלא באתי! איכסיף. לסוף איגלאי מילתא דארוסה הואי, </w:t>
      </w:r>
      <w:r>
        <w:rPr>
          <w:rFonts w:cs="Arial"/>
          <w:u w:val="single"/>
          <w:rtl/>
        </w:rPr>
        <w:t>אמר רבא</w:t>
      </w:r>
      <w:r>
        <w:rPr>
          <w:rFonts w:cs="Arial"/>
          <w:rtl/>
        </w:rPr>
        <w:t>: אם אמרו בנשואה, יאמרו בארוסה?.</w:t>
      </w:r>
    </w:p>
    <w:p w14:paraId="39EA1CFD" w14:textId="77777777" w:rsidR="00C97BEF" w:rsidRDefault="00C97BEF" w:rsidP="00C97BEF">
      <w:pPr>
        <w:rPr>
          <w:u w:val="single"/>
          <w:rtl/>
        </w:rPr>
      </w:pPr>
      <w:r>
        <w:rPr>
          <w:rFonts w:cs="Arial"/>
          <w:u w:val="single"/>
          <w:rtl/>
        </w:rPr>
        <w:t>ה"ז גיטך כל זמן שאעבור מכנגד פניך ל' יום שלא אראך. וכן האומר הרי זה גיטך לאחר י"ב חדש</w:t>
      </w:r>
      <w:r>
        <w:rPr>
          <w:rFonts w:cs="Arial"/>
          <w:sz w:val="16"/>
          <w:szCs w:val="16"/>
          <w:u w:val="single"/>
          <w:rtl/>
        </w:rPr>
        <w:t xml:space="preserve"> (או כל זמן קצוב אחר)</w:t>
      </w:r>
      <w:r>
        <w:rPr>
          <w:u w:val="single"/>
          <w:rtl/>
        </w:rPr>
        <w:t>:</w:t>
      </w:r>
    </w:p>
    <w:p w14:paraId="6566FB96" w14:textId="2F0DB937" w:rsidR="00C97BEF" w:rsidRDefault="00C97BEF" w:rsidP="006A458D">
      <w:pPr>
        <w:pStyle w:val="ab"/>
        <w:numPr>
          <w:ilvl w:val="0"/>
          <w:numId w:val="112"/>
        </w:numPr>
        <w:rPr>
          <w:rtl/>
        </w:rPr>
      </w:pPr>
      <w:r>
        <w:rPr>
          <w:rFonts w:cs="Arial"/>
          <w:rtl/>
        </w:rPr>
        <w:t xml:space="preserve">רא"ש </w:t>
      </w:r>
      <w:r>
        <w:rPr>
          <w:rFonts w:cs="Arial"/>
          <w:sz w:val="16"/>
          <w:szCs w:val="16"/>
          <w:rtl/>
        </w:rPr>
        <w:t xml:space="preserve">(סי' יב) </w:t>
      </w:r>
      <w:r>
        <w:rPr>
          <w:rFonts w:cs="Arial"/>
          <w:rtl/>
        </w:rPr>
        <w:t>וטור</w:t>
      </w:r>
      <w:r w:rsidR="00A82951">
        <w:rPr>
          <w:rFonts w:cs="Arial"/>
          <w:rtl/>
        </w:rPr>
        <w:t>-</w:t>
      </w:r>
      <w:r>
        <w:rPr>
          <w:rFonts w:cs="Arial"/>
          <w:rtl/>
        </w:rPr>
        <w:t xml:space="preserve"> אמר לה ה"ז גיטך כל זמן שאעבור מכנגד פניך ל' יום שלא אראך יהא גט, אע"פ שהיה הולך ובא </w:t>
      </w:r>
      <w:r w:rsidR="00A82951">
        <w:rPr>
          <w:rFonts w:cs="Arial"/>
          <w:rtl/>
        </w:rPr>
        <w:t>-</w:t>
      </w:r>
      <w:r>
        <w:rPr>
          <w:rFonts w:cs="Arial"/>
          <w:rtl/>
        </w:rPr>
        <w:t xml:space="preserve"> ה"ז גט כשר וראוי להתגרש בו לכשיתקיים התנאי, דהיינו שיהא ל' יום שלא ראה אותה, ואע"פ שהיה הולך ובא לא חיישינן שמא נתייחד עמה בנתיים והוי גט ישן. והוא שהאמינה תחילה שאף אם יאמר שנתייחד עמה שתהא נאמנת להכחישו ולומר שלא נתייחד עמה. ולא תינשא עד שיעברו ל' יום רצופים שלא יראנה... בד"א במגרש מן הנישואין, אבל במגרש מן האירוסין </w:t>
      </w:r>
      <w:r w:rsidR="00A82951">
        <w:rPr>
          <w:rFonts w:cs="Arial"/>
          <w:rtl/>
        </w:rPr>
        <w:t>-</w:t>
      </w:r>
      <w:r>
        <w:rPr>
          <w:rFonts w:cs="Arial"/>
          <w:rtl/>
        </w:rPr>
        <w:t xml:space="preserve"> א"צ להאמינה</w:t>
      </w:r>
      <w:r>
        <w:rPr>
          <w:rStyle w:val="a7"/>
          <w:rtl/>
        </w:rPr>
        <w:footnoteReference w:id="2527"/>
      </w:r>
      <w:r>
        <w:rPr>
          <w:rtl/>
        </w:rPr>
        <w:t>...</w:t>
      </w:r>
      <w:r>
        <w:rPr>
          <w:rFonts w:cs="Arial"/>
          <w:rtl/>
        </w:rPr>
        <w:t xml:space="preserve"> וכן כל מי שנותן גט לזמן קצוב שאם לא יבא לאותו זמן שיהא גט </w:t>
      </w:r>
      <w:r w:rsidR="00A82951">
        <w:rPr>
          <w:rFonts w:cs="Arial"/>
          <w:rtl/>
        </w:rPr>
        <w:t>-</w:t>
      </w:r>
      <w:r>
        <w:rPr>
          <w:rFonts w:cs="Arial"/>
          <w:rtl/>
        </w:rPr>
        <w:t xml:space="preserve"> אינו גט אא"כ יאמינה להכחישו ולומר שלא בא אף אם אמר שבא</w:t>
      </w:r>
      <w:r>
        <w:rPr>
          <w:rFonts w:cs="Arial"/>
          <w:sz w:val="16"/>
          <w:szCs w:val="16"/>
          <w:rtl/>
        </w:rPr>
        <w:t xml:space="preserve"> (ל' הטור)</w:t>
      </w:r>
      <w:r>
        <w:rPr>
          <w:rFonts w:cs="Arial"/>
          <w:rtl/>
        </w:rPr>
        <w:t>.</w:t>
      </w:r>
    </w:p>
    <w:p w14:paraId="3ACE95FD" w14:textId="166056A2" w:rsidR="00C97BEF" w:rsidRDefault="00C97BEF" w:rsidP="006A458D">
      <w:pPr>
        <w:pStyle w:val="ab"/>
        <w:numPr>
          <w:ilvl w:val="0"/>
          <w:numId w:val="112"/>
        </w:numPr>
      </w:pPr>
      <w:r>
        <w:rPr>
          <w:rFonts w:cs="Arial"/>
          <w:rtl/>
        </w:rPr>
        <w:t xml:space="preserve">רמב"ם </w:t>
      </w:r>
      <w:r>
        <w:rPr>
          <w:rFonts w:cs="Arial"/>
          <w:sz w:val="16"/>
          <w:szCs w:val="16"/>
          <w:rtl/>
        </w:rPr>
        <w:t>(פ"ט ה"ט</w:t>
      </w:r>
      <w:r w:rsidR="00A82951">
        <w:rPr>
          <w:rFonts w:cs="Arial"/>
          <w:sz w:val="16"/>
          <w:szCs w:val="16"/>
          <w:rtl/>
        </w:rPr>
        <w:t>-</w:t>
      </w:r>
      <w:r>
        <w:rPr>
          <w:rFonts w:cs="Arial"/>
          <w:sz w:val="16"/>
          <w:szCs w:val="16"/>
          <w:rtl/>
        </w:rPr>
        <w:t>י)</w:t>
      </w:r>
      <w:r w:rsidR="00A82951">
        <w:rPr>
          <w:rFonts w:cs="Arial"/>
          <w:rtl/>
        </w:rPr>
        <w:t>-</w:t>
      </w:r>
      <w:r>
        <w:rPr>
          <w:rFonts w:cs="Arial"/>
          <w:rtl/>
        </w:rPr>
        <w:t xml:space="preserve"> התנה עליה שתתגרש כשיעבור מכנגד פניה שלשים יום. והיה הולך ובא הולך ובא ולא נתיחד עמה, כשילך וישהה שלשים יום </w:t>
      </w:r>
      <w:r w:rsidR="009F3405">
        <w:rPr>
          <w:rFonts w:cs="Arial" w:hint="cs"/>
          <w:rtl/>
        </w:rPr>
        <w:t xml:space="preserve">- </w:t>
      </w:r>
      <w:r>
        <w:rPr>
          <w:rFonts w:cs="Arial"/>
          <w:rtl/>
        </w:rPr>
        <w:t>תהיה מגורשת. ואע"פ שהיה הולך ובא בתוך שלשים יום</w:t>
      </w:r>
      <w:r w:rsidR="009F3405">
        <w:rPr>
          <w:rFonts w:cs="Arial" w:hint="cs"/>
          <w:rtl/>
        </w:rPr>
        <w:t>,</w:t>
      </w:r>
      <w:r>
        <w:rPr>
          <w:rFonts w:cs="Arial"/>
          <w:rtl/>
        </w:rPr>
        <w:t xml:space="preserve"> הואיל ולא נתיחד עמה הרי זה גט כשר. בד"א בשהתנה ואמר הרי היא נאמנת עלי לומר שלא פייסתי אותה, אבל אם לא האמינה חוששין שמא פייס אותה כשהיה הולך ובא ומחלה לו וחזר ובטל הגט כשפייסה, ומפני חשש זה יהיה הגט פסול אחר השלשים יום. וכן האומר לאשה הרי זה גיטיך לאחר שנים עשר חדש והיה עמה במדינה </w:t>
      </w:r>
      <w:r w:rsidR="00A82951">
        <w:rPr>
          <w:rFonts w:cs="Arial"/>
          <w:rtl/>
        </w:rPr>
        <w:t>-</w:t>
      </w:r>
      <w:r>
        <w:rPr>
          <w:rFonts w:cs="Arial"/>
          <w:rtl/>
        </w:rPr>
        <w:t xml:space="preserve"> חוששין שמא פייס אותה עד שיאמר נאמנת עלי שלא פייסתי.</w:t>
      </w:r>
      <w:r>
        <w:rPr>
          <w:rtl/>
        </w:rPr>
        <w:t xml:space="preserve"> </w:t>
      </w:r>
      <w:r>
        <w:rPr>
          <w:sz w:val="14"/>
          <w:szCs w:val="14"/>
          <w:rtl/>
        </w:rPr>
        <w:t xml:space="preserve">(ה"י) </w:t>
      </w:r>
      <w:r>
        <w:rPr>
          <w:rFonts w:cs="Arial"/>
          <w:rtl/>
        </w:rPr>
        <w:t xml:space="preserve">וכן כל התנאין שהן תלויין ברצונה ואם רצת ומחלה אותן לבעלה בטל הגט </w:t>
      </w:r>
      <w:r w:rsidR="00A82951">
        <w:rPr>
          <w:rFonts w:cs="Arial"/>
          <w:rtl/>
        </w:rPr>
        <w:t>-</w:t>
      </w:r>
      <w:r>
        <w:rPr>
          <w:rFonts w:cs="Arial"/>
          <w:rtl/>
        </w:rPr>
        <w:t xml:space="preserve"> חוששין לו שמא פייס עד שיאמר נאמנת עלי. בד"א במתגרשת מן הנישואין שלבו גס בה, אבל במתגרשת מן האירוסין </w:t>
      </w:r>
      <w:r w:rsidR="00A82951">
        <w:rPr>
          <w:rFonts w:cs="Arial"/>
          <w:rtl/>
        </w:rPr>
        <w:t>-</w:t>
      </w:r>
      <w:r>
        <w:rPr>
          <w:rFonts w:cs="Arial"/>
          <w:rtl/>
        </w:rPr>
        <w:t xml:space="preserve"> אין חוששין לו שמא פייס</w:t>
      </w:r>
      <w:r>
        <w:rPr>
          <w:rtl/>
        </w:rPr>
        <w:t>.</w:t>
      </w:r>
      <w:r>
        <w:rPr>
          <w:rFonts w:cs="Arial"/>
          <w:color w:val="E36C0A" w:themeColor="accent6" w:themeShade="BF"/>
          <w:rtl/>
        </w:rPr>
        <w:t xml:space="preserve"> (וכ"פ בשו"ע)</w:t>
      </w:r>
    </w:p>
    <w:p w14:paraId="225CE55A" w14:textId="77777777" w:rsidR="00C97BEF" w:rsidRDefault="00C97BEF" w:rsidP="00C97BEF">
      <w:pPr>
        <w:ind w:left="360"/>
        <w:rPr>
          <w:u w:val="dotted"/>
        </w:rPr>
      </w:pPr>
      <w:r>
        <w:rPr>
          <w:u w:val="dotted"/>
          <w:rtl/>
        </w:rPr>
        <w:t xml:space="preserve">ומה הדין אם אמר מעכשיו </w:t>
      </w:r>
      <w:r>
        <w:rPr>
          <w:sz w:val="16"/>
          <w:szCs w:val="16"/>
          <w:u w:val="dotted"/>
          <w:rtl/>
        </w:rPr>
        <w:t>(או על מנת)</w:t>
      </w:r>
      <w:r>
        <w:rPr>
          <w:u w:val="dotted"/>
          <w:rtl/>
        </w:rPr>
        <w:t>:</w:t>
      </w:r>
    </w:p>
    <w:p w14:paraId="60D76A63" w14:textId="79E794F9" w:rsidR="00C97BEF" w:rsidRDefault="00C97BEF" w:rsidP="006A458D">
      <w:pPr>
        <w:pStyle w:val="ab"/>
        <w:numPr>
          <w:ilvl w:val="0"/>
          <w:numId w:val="112"/>
        </w:numPr>
        <w:rPr>
          <w:rtl/>
        </w:rPr>
      </w:pPr>
      <w:r>
        <w:rPr>
          <w:rFonts w:cs="Arial"/>
          <w:rtl/>
        </w:rPr>
        <w:lastRenderedPageBreak/>
        <w:t xml:space="preserve">רמב"ם </w:t>
      </w:r>
      <w:r>
        <w:rPr>
          <w:rFonts w:cs="Arial"/>
          <w:sz w:val="16"/>
          <w:szCs w:val="16"/>
          <w:rtl/>
        </w:rPr>
        <w:t>(פ"ט הי"א)</w:t>
      </w:r>
      <w:r>
        <w:rPr>
          <w:rFonts w:cs="Arial"/>
          <w:rtl/>
        </w:rPr>
        <w:t xml:space="preserve"> ורמ"ה</w:t>
      </w:r>
      <w:r>
        <w:rPr>
          <w:rStyle w:val="a7"/>
          <w:rFonts w:cs="Arial"/>
          <w:rtl/>
        </w:rPr>
        <w:footnoteReference w:id="2528"/>
      </w:r>
      <w:r>
        <w:rPr>
          <w:rFonts w:cs="Arial"/>
          <w:sz w:val="16"/>
          <w:szCs w:val="16"/>
          <w:rtl/>
        </w:rPr>
        <w:t xml:space="preserve"> (כ"כ הטור בשמו)</w:t>
      </w:r>
      <w:r w:rsidR="00A82951">
        <w:rPr>
          <w:rFonts w:cs="Arial"/>
          <w:rtl/>
        </w:rPr>
        <w:t>-</w:t>
      </w:r>
      <w:r>
        <w:rPr>
          <w:rFonts w:cs="Arial"/>
          <w:rtl/>
        </w:rPr>
        <w:t xml:space="preserve"> הרי זה גיטיך מעכשיו אם לא באתי מכאן ועד שנים עשר חדש </w:t>
      </w:r>
      <w:r w:rsidR="00A82951">
        <w:rPr>
          <w:rFonts w:cs="Arial"/>
          <w:rtl/>
        </w:rPr>
        <w:t>-</w:t>
      </w:r>
      <w:r>
        <w:rPr>
          <w:rFonts w:cs="Arial"/>
          <w:rtl/>
        </w:rPr>
        <w:t xml:space="preserve"> אין חוששין שמא בא בסתר, שאין דרך בני אדם לבוא בצנעה, ואם תם הזמן שקבע ולא בא </w:t>
      </w:r>
      <w:r w:rsidR="00A82951">
        <w:rPr>
          <w:rFonts w:cs="Arial"/>
          <w:rtl/>
        </w:rPr>
        <w:t>-</w:t>
      </w:r>
      <w:r>
        <w:rPr>
          <w:rFonts w:cs="Arial"/>
          <w:rtl/>
        </w:rPr>
        <w:t xml:space="preserve"> הרי זו מגורשת</w:t>
      </w:r>
      <w:r>
        <w:rPr>
          <w:rStyle w:val="a7"/>
          <w:rFonts w:cs="Arial"/>
          <w:rtl/>
        </w:rPr>
        <w:footnoteReference w:id="2529"/>
      </w:r>
      <w:r>
        <w:rPr>
          <w:rFonts w:cs="Arial"/>
          <w:sz w:val="16"/>
          <w:szCs w:val="16"/>
          <w:rtl/>
        </w:rPr>
        <w:t xml:space="preserve"> (ל' הרמב"ם)</w:t>
      </w:r>
      <w:r>
        <w:rPr>
          <w:rFonts w:cs="Arial"/>
          <w:rtl/>
        </w:rPr>
        <w:t xml:space="preserve">. </w:t>
      </w:r>
    </w:p>
    <w:p w14:paraId="431936C0" w14:textId="3E9A62C6"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לפי מה שכתבתי בשם א"א הרא"ש ז"ל דאף בתנאי דמעכשיו יכול לבטל </w:t>
      </w:r>
      <w:r w:rsidR="00A82951">
        <w:rPr>
          <w:rFonts w:cs="Arial"/>
          <w:rtl/>
        </w:rPr>
        <w:t>-</w:t>
      </w:r>
      <w:r>
        <w:rPr>
          <w:rFonts w:cs="Arial"/>
          <w:rtl/>
        </w:rPr>
        <w:t xml:space="preserve"> אין חילוק</w:t>
      </w:r>
      <w:r>
        <w:rPr>
          <w:rStyle w:val="a7"/>
          <w:rFonts w:cs="Arial"/>
          <w:rtl/>
        </w:rPr>
        <w:footnoteReference w:id="2530"/>
      </w:r>
      <w:r>
        <w:rPr>
          <w:rFonts w:cs="Arial"/>
          <w:rtl/>
        </w:rPr>
        <w:t xml:space="preserve">. </w:t>
      </w:r>
    </w:p>
    <w:p w14:paraId="395634F9" w14:textId="0FFCA65C" w:rsidR="00C97BEF" w:rsidRDefault="00C97BEF" w:rsidP="00C97BEF">
      <w:pPr>
        <w:ind w:left="360"/>
        <w:rPr>
          <w:rtl/>
        </w:rPr>
      </w:pPr>
      <w:r>
        <w:rPr>
          <w:u w:val="dotted"/>
          <w:rtl/>
        </w:rPr>
        <w:t>מה הדין אם אמר כנ</w:t>
      </w:r>
      <w:r w:rsidR="004839B0">
        <w:rPr>
          <w:rFonts w:hint="cs"/>
          <w:u w:val="dotted"/>
          <w:rtl/>
        </w:rPr>
        <w:t xml:space="preserve">זכר לעיל </w:t>
      </w:r>
      <w:r>
        <w:rPr>
          <w:sz w:val="16"/>
          <w:szCs w:val="16"/>
          <w:u w:val="dotted"/>
          <w:rtl/>
        </w:rPr>
        <w:t>(בתחילת העניין)</w:t>
      </w:r>
      <w:r>
        <w:rPr>
          <w:u w:val="dotted"/>
          <w:rtl/>
        </w:rPr>
        <w:t xml:space="preserve"> והוא לא נמצא עמה במדינה:</w:t>
      </w:r>
    </w:p>
    <w:p w14:paraId="3B3B0A67" w14:textId="06023F33" w:rsidR="00C97BEF" w:rsidRDefault="00C97BEF" w:rsidP="006A458D">
      <w:pPr>
        <w:pStyle w:val="ab"/>
        <w:numPr>
          <w:ilvl w:val="0"/>
          <w:numId w:val="112"/>
        </w:numPr>
      </w:pPr>
      <w:r>
        <w:rPr>
          <w:rFonts w:cs="Arial"/>
          <w:rtl/>
        </w:rPr>
        <w:t xml:space="preserve">רמב"ם </w:t>
      </w:r>
      <w:r>
        <w:rPr>
          <w:rFonts w:cs="Arial"/>
          <w:sz w:val="16"/>
          <w:szCs w:val="16"/>
          <w:rtl/>
        </w:rPr>
        <w:t>(שם סוף ה"ט, כ"כ הטור בשמו)</w:t>
      </w:r>
      <w:r w:rsidR="00A82951">
        <w:rPr>
          <w:rFonts w:cs="Arial"/>
          <w:rtl/>
        </w:rPr>
        <w:t>-</w:t>
      </w:r>
      <w:r>
        <w:rPr>
          <w:rFonts w:cs="Arial"/>
          <w:rtl/>
        </w:rPr>
        <w:t xml:space="preserve"> דוקא כשהוא עמה במדינה ונתן לה גט לאחר זמן חיישינן שמא פייס עד שיאמר נאמנת עלי שלא פייסתי</w:t>
      </w:r>
      <w:r w:rsidR="00BF2397">
        <w:rPr>
          <w:rFonts w:cs="Arial" w:hint="cs"/>
          <w:rtl/>
        </w:rPr>
        <w:t>.</w:t>
      </w:r>
      <w:r>
        <w:rPr>
          <w:rFonts w:cs="Arial"/>
          <w:rtl/>
        </w:rPr>
        <w:t xml:space="preserve"> וכן בכל התנאים שתלויין ברצונה ואם רצתה מחלה אותה לבעלה בטל הגט</w:t>
      </w:r>
      <w:r w:rsidR="00CF35FE">
        <w:rPr>
          <w:rFonts w:cs="Arial" w:hint="cs"/>
          <w:rtl/>
        </w:rPr>
        <w:t>,</w:t>
      </w:r>
      <w:r>
        <w:rPr>
          <w:rFonts w:cs="Arial"/>
          <w:rtl/>
        </w:rPr>
        <w:t xml:space="preserve"> דחוששין שמא פייס עד שיאמר נאמנת עלי. אבל אם אינו במדינה ואמר ה"ז גט אם לא באתי בתוך י"ב חדש </w:t>
      </w:r>
      <w:r w:rsidR="00A82951">
        <w:rPr>
          <w:rFonts w:cs="Arial"/>
          <w:rtl/>
        </w:rPr>
        <w:t>-</w:t>
      </w:r>
      <w:r>
        <w:rPr>
          <w:rFonts w:cs="Arial"/>
          <w:rtl/>
        </w:rPr>
        <w:t xml:space="preserve"> אין חוששין שמא בא בסתם שאין דרך בני אדם לבא בסתם</w:t>
      </w:r>
      <w:r w:rsidR="006521AC">
        <w:rPr>
          <w:rFonts w:cs="Arial" w:hint="cs"/>
          <w:rtl/>
        </w:rPr>
        <w:t>.</w:t>
      </w:r>
      <w:r>
        <w:rPr>
          <w:rFonts w:cs="Arial"/>
          <w:rtl/>
        </w:rPr>
        <w:t xml:space="preserve"> ואם תם הזמן ולא בא </w:t>
      </w:r>
      <w:r w:rsidR="006521AC">
        <w:rPr>
          <w:rFonts w:cs="Arial" w:hint="cs"/>
          <w:rtl/>
        </w:rPr>
        <w:t xml:space="preserve">- </w:t>
      </w:r>
      <w:r>
        <w:rPr>
          <w:rFonts w:cs="Arial"/>
          <w:rtl/>
        </w:rPr>
        <w:t>ה"ז מגורשת</w:t>
      </w:r>
      <w:r>
        <w:rPr>
          <w:rFonts w:cs="Arial"/>
          <w:sz w:val="16"/>
          <w:szCs w:val="16"/>
          <w:rtl/>
        </w:rPr>
        <w:t xml:space="preserve"> (ל' הטור בשמו)</w:t>
      </w:r>
      <w:r>
        <w:rPr>
          <w:rFonts w:cs="Arial"/>
          <w:rtl/>
        </w:rPr>
        <w:t xml:space="preserve">. </w:t>
      </w:r>
    </w:p>
    <w:p w14:paraId="630AD201" w14:textId="72E2B69E" w:rsidR="00C97BEF" w:rsidRDefault="00C97BEF" w:rsidP="006A458D">
      <w:pPr>
        <w:pStyle w:val="ab"/>
        <w:numPr>
          <w:ilvl w:val="0"/>
          <w:numId w:val="112"/>
        </w:numPr>
      </w:pPr>
      <w:r>
        <w:rPr>
          <w:rFonts w:cs="Arial"/>
          <w:rtl/>
        </w:rPr>
        <w:t xml:space="preserve">ראב"ד </w:t>
      </w:r>
      <w:r>
        <w:rPr>
          <w:rFonts w:cs="Arial"/>
          <w:sz w:val="16"/>
          <w:szCs w:val="16"/>
          <w:rtl/>
        </w:rPr>
        <w:t>(כ"כ הטור בשמו)</w:t>
      </w:r>
      <w:r>
        <w:rPr>
          <w:rFonts w:cs="Arial"/>
          <w:rtl/>
        </w:rPr>
        <w:t xml:space="preserve"> ורא"ש</w:t>
      </w:r>
      <w:r>
        <w:rPr>
          <w:rFonts w:cs="Arial"/>
          <w:sz w:val="16"/>
          <w:szCs w:val="16"/>
          <w:rtl/>
        </w:rPr>
        <w:t xml:space="preserve"> (כ"כ הטור בשמו)</w:t>
      </w:r>
      <w:r>
        <w:rPr>
          <w:rStyle w:val="a7"/>
          <w:rFonts w:cs="Arial"/>
          <w:rtl/>
        </w:rPr>
        <w:footnoteReference w:id="2531"/>
      </w:r>
      <w:r w:rsidR="00A82951">
        <w:rPr>
          <w:rFonts w:cs="Arial"/>
          <w:rtl/>
        </w:rPr>
        <w:t>-</w:t>
      </w:r>
      <w:r>
        <w:rPr>
          <w:rFonts w:cs="Arial"/>
          <w:rtl/>
        </w:rPr>
        <w:t xml:space="preserve"> בכל ענין צריך להאמינה</w:t>
      </w:r>
      <w:r>
        <w:rPr>
          <w:rFonts w:cs="Arial"/>
          <w:sz w:val="16"/>
          <w:szCs w:val="16"/>
          <w:rtl/>
        </w:rPr>
        <w:t xml:space="preserve"> (ל' הטור בשם הרא"ש)</w:t>
      </w:r>
      <w:r>
        <w:rPr>
          <w:rFonts w:cs="Arial"/>
          <w:rtl/>
        </w:rPr>
        <w:t>.</w:t>
      </w:r>
    </w:p>
    <w:p w14:paraId="3127603C" w14:textId="169AAB06" w:rsidR="00C97BEF" w:rsidRDefault="00C97BEF" w:rsidP="00C97BEF">
      <w:pPr>
        <w:ind w:left="360"/>
        <w:rPr>
          <w:u w:val="dotted"/>
        </w:rPr>
      </w:pPr>
      <w:r>
        <w:rPr>
          <w:u w:val="dotted"/>
          <w:rtl/>
        </w:rPr>
        <w:t xml:space="preserve">מה הדין אם אמר </w:t>
      </w:r>
      <w:r w:rsidR="00FD645E">
        <w:rPr>
          <w:u w:val="dotted"/>
          <w:rtl/>
        </w:rPr>
        <w:t>כנ</w:t>
      </w:r>
      <w:r w:rsidR="00FD645E">
        <w:rPr>
          <w:rFonts w:hint="cs"/>
          <w:u w:val="dotted"/>
          <w:rtl/>
        </w:rPr>
        <w:t xml:space="preserve">זכר לעיל </w:t>
      </w:r>
      <w:r>
        <w:rPr>
          <w:sz w:val="16"/>
          <w:szCs w:val="16"/>
          <w:u w:val="dotted"/>
          <w:rtl/>
        </w:rPr>
        <w:t>(בתחילת העניין)</w:t>
      </w:r>
      <w:r>
        <w:rPr>
          <w:u w:val="dotted"/>
          <w:rtl/>
        </w:rPr>
        <w:t xml:space="preserve"> והתנה שילא יתבטל הגט אא"כ יעידו עדים שבא:</w:t>
      </w:r>
    </w:p>
    <w:p w14:paraId="4EA3988A" w14:textId="30CFD32A" w:rsidR="00C97BEF" w:rsidRDefault="00C97BEF" w:rsidP="006A458D">
      <w:pPr>
        <w:pStyle w:val="ab"/>
        <w:numPr>
          <w:ilvl w:val="0"/>
          <w:numId w:val="112"/>
        </w:numPr>
      </w:pPr>
      <w:r>
        <w:rPr>
          <w:rFonts w:cs="Arial"/>
          <w:rtl/>
        </w:rPr>
        <w:t xml:space="preserve">רא"ש </w:t>
      </w:r>
      <w:r>
        <w:rPr>
          <w:rFonts w:cs="Arial"/>
          <w:sz w:val="16"/>
          <w:szCs w:val="16"/>
          <w:rtl/>
        </w:rPr>
        <w:t>(כלל מה סי' יב, כ"כ הטור בשמו)</w:t>
      </w:r>
      <w:r w:rsidR="00A82951">
        <w:rPr>
          <w:rFonts w:cs="Arial"/>
          <w:rtl/>
        </w:rPr>
        <w:t>-</w:t>
      </w:r>
      <w:r>
        <w:rPr>
          <w:rFonts w:cs="Arial"/>
          <w:rtl/>
        </w:rPr>
        <w:t xml:space="preserve"> אם כשהתנה תלה ביאתו בעדות</w:t>
      </w:r>
      <w:r w:rsidR="004C5052">
        <w:rPr>
          <w:rFonts w:cs="Arial" w:hint="cs"/>
          <w:rtl/>
        </w:rPr>
        <w:t>,</w:t>
      </w:r>
      <w:r>
        <w:rPr>
          <w:rFonts w:cs="Arial"/>
          <w:rtl/>
        </w:rPr>
        <w:t xml:space="preserve"> שלא יתבטל הגט בבואו אא"כ יעידו עליו עדים שבא, ועבר הזמן ואין מעידים עדים שבא </w:t>
      </w:r>
      <w:r w:rsidR="00A82951">
        <w:rPr>
          <w:rFonts w:cs="Arial"/>
          <w:rtl/>
        </w:rPr>
        <w:t>-</w:t>
      </w:r>
      <w:r>
        <w:rPr>
          <w:rFonts w:cs="Arial"/>
          <w:rtl/>
        </w:rPr>
        <w:t xml:space="preserve"> הרי הוא גט אע</w:t>
      </w:r>
      <w:r w:rsidR="00D62797">
        <w:rPr>
          <w:rFonts w:cs="Arial" w:hint="cs"/>
          <w:rtl/>
        </w:rPr>
        <w:t>"</w:t>
      </w:r>
      <w:r>
        <w:rPr>
          <w:rFonts w:cs="Arial"/>
          <w:rtl/>
        </w:rPr>
        <w:t xml:space="preserve">פ שלא האמינה. </w:t>
      </w:r>
      <w:r>
        <w:rPr>
          <w:rFonts w:cs="Arial"/>
          <w:color w:val="E36C0A" w:themeColor="accent6" w:themeShade="BF"/>
          <w:rtl/>
        </w:rPr>
        <w:t>(וכ"פ בשו"ע)</w:t>
      </w:r>
    </w:p>
    <w:p w14:paraId="751FCF8E" w14:textId="77777777" w:rsidR="00C97BEF" w:rsidRDefault="00C97BEF" w:rsidP="00C97BEF">
      <w:pPr>
        <w:rPr>
          <w:u w:val="single"/>
        </w:rPr>
      </w:pPr>
      <w:r>
        <w:rPr>
          <w:u w:val="single"/>
          <w:rtl/>
        </w:rPr>
        <w:t>מקרים שלא צריך להאמינה:</w:t>
      </w:r>
    </w:p>
    <w:p w14:paraId="606A6A3A" w14:textId="091B5B83" w:rsidR="00C97BEF" w:rsidRDefault="00C97BEF" w:rsidP="006A458D">
      <w:pPr>
        <w:pStyle w:val="ab"/>
        <w:numPr>
          <w:ilvl w:val="0"/>
          <w:numId w:val="112"/>
        </w:numPr>
      </w:pPr>
      <w:r>
        <w:rPr>
          <w:rFonts w:cs="Arial"/>
          <w:rtl/>
        </w:rPr>
        <w:t xml:space="preserve">תשב"ץ </w:t>
      </w:r>
      <w:r>
        <w:rPr>
          <w:rFonts w:cs="Arial"/>
          <w:sz w:val="16"/>
          <w:szCs w:val="16"/>
          <w:rtl/>
        </w:rPr>
        <w:t>(ח"א סי' קיח)</w:t>
      </w:r>
      <w:r w:rsidR="00A82951">
        <w:rPr>
          <w:rFonts w:cs="Arial"/>
          <w:rtl/>
        </w:rPr>
        <w:t>-</w:t>
      </w:r>
      <w:r>
        <w:rPr>
          <w:rFonts w:cs="Arial"/>
          <w:rtl/>
        </w:rPr>
        <w:t xml:space="preserve"> איכא גווני דלא חיישינן בהו לפיוס</w:t>
      </w:r>
      <w:r w:rsidR="00285995">
        <w:rPr>
          <w:rFonts w:cs="Arial" w:hint="cs"/>
          <w:rtl/>
        </w:rPr>
        <w:t>,</w:t>
      </w:r>
      <w:r>
        <w:rPr>
          <w:rFonts w:cs="Arial"/>
          <w:rtl/>
        </w:rPr>
        <w:t xml:space="preserve"> כההיא דפרק ב' דגיטין (יח.) דהמשליש גט לאשתו</w:t>
      </w:r>
      <w:r w:rsidR="002D096E">
        <w:rPr>
          <w:rFonts w:cs="Arial" w:hint="cs"/>
          <w:rtl/>
        </w:rPr>
        <w:t>,</w:t>
      </w:r>
      <w:r>
        <w:rPr>
          <w:rFonts w:cs="Arial"/>
          <w:rtl/>
        </w:rPr>
        <w:t xml:space="preserve"> ולא חיישינן</w:t>
      </w:r>
      <w:r w:rsidR="002D096E">
        <w:rPr>
          <w:rFonts w:cs="Arial" w:hint="cs"/>
          <w:rtl/>
        </w:rPr>
        <w:t>,</w:t>
      </w:r>
      <w:r>
        <w:rPr>
          <w:rFonts w:cs="Arial"/>
          <w:rtl/>
        </w:rPr>
        <w:t xml:space="preserve"> דליכא רגלים לדבר דבעי לפיוסה</w:t>
      </w:r>
      <w:r w:rsidR="002D096E">
        <w:rPr>
          <w:rFonts w:cs="Arial" w:hint="cs"/>
          <w:rtl/>
        </w:rPr>
        <w:t>,</w:t>
      </w:r>
      <w:r>
        <w:rPr>
          <w:rFonts w:cs="Arial"/>
          <w:rtl/>
        </w:rPr>
        <w:t xml:space="preserve"> אלא משום הבחנת זרע קאמר הכי כמו שכתבו המפרשים (תוספות בחי' הרשב"א יח. סד"ה אמר ר' שמעון)</w:t>
      </w:r>
      <w:r w:rsidR="002D096E">
        <w:rPr>
          <w:rFonts w:cs="Arial" w:hint="cs"/>
          <w:rtl/>
        </w:rPr>
        <w:t>.</w:t>
      </w:r>
      <w:r>
        <w:rPr>
          <w:rFonts w:cs="Arial"/>
          <w:rtl/>
        </w:rPr>
        <w:t xml:space="preserve"> ומהא נלמוד למהיום אם מתי (גיטין עב.) שאין לחוש לפיוס</w:t>
      </w:r>
      <w:r w:rsidR="00FF2F73">
        <w:rPr>
          <w:rFonts w:cs="Arial" w:hint="cs"/>
          <w:rtl/>
        </w:rPr>
        <w:t>,</w:t>
      </w:r>
      <w:r>
        <w:rPr>
          <w:rFonts w:cs="Arial"/>
          <w:rtl/>
        </w:rPr>
        <w:t xml:space="preserve"> דמה מועיל ביטול הגט לענין שיחזור עמה</w:t>
      </w:r>
      <w:r w:rsidR="00F163DB">
        <w:rPr>
          <w:rFonts w:cs="Arial" w:hint="cs"/>
          <w:rtl/>
        </w:rPr>
        <w:t>.</w:t>
      </w:r>
      <w:r>
        <w:rPr>
          <w:rFonts w:cs="Arial"/>
          <w:rtl/>
        </w:rPr>
        <w:t xml:space="preserve"> אם ימות</w:t>
      </w:r>
      <w:r w:rsidR="00F163DB">
        <w:rPr>
          <w:rFonts w:cs="Arial" w:hint="cs"/>
          <w:rtl/>
        </w:rPr>
        <w:t>,</w:t>
      </w:r>
      <w:r>
        <w:rPr>
          <w:rFonts w:cs="Arial"/>
          <w:rtl/>
        </w:rPr>
        <w:t xml:space="preserve"> נתפרדה חבילה</w:t>
      </w:r>
      <w:r w:rsidR="00F163DB">
        <w:rPr>
          <w:rFonts w:cs="Arial" w:hint="cs"/>
          <w:rtl/>
        </w:rPr>
        <w:t>.</w:t>
      </w:r>
      <w:r>
        <w:rPr>
          <w:rFonts w:cs="Arial"/>
          <w:rtl/>
        </w:rPr>
        <w:t xml:space="preserve"> ואי קאי</w:t>
      </w:r>
      <w:r w:rsidR="00F163DB">
        <w:rPr>
          <w:rFonts w:cs="Arial" w:hint="cs"/>
          <w:rtl/>
        </w:rPr>
        <w:t>,</w:t>
      </w:r>
      <w:r>
        <w:rPr>
          <w:rFonts w:cs="Arial"/>
          <w:rtl/>
        </w:rPr>
        <w:t xml:space="preserve"> דידיה היא</w:t>
      </w:r>
      <w:r w:rsidR="00F163DB">
        <w:rPr>
          <w:rFonts w:cs="Arial" w:hint="cs"/>
          <w:rtl/>
        </w:rPr>
        <w:t>.</w:t>
      </w:r>
      <w:r>
        <w:rPr>
          <w:rFonts w:cs="Arial"/>
          <w:rtl/>
        </w:rPr>
        <w:t xml:space="preserve"> ואם כן אינו צריך לומר נאמנת עלי שלא פייסתי</w:t>
      </w:r>
      <w:r w:rsidR="00F163DB">
        <w:rPr>
          <w:rFonts w:cs="Arial" w:hint="cs"/>
          <w:rtl/>
        </w:rPr>
        <w:t>,</w:t>
      </w:r>
      <w:r>
        <w:rPr>
          <w:rFonts w:cs="Arial"/>
          <w:rtl/>
        </w:rPr>
        <w:t xml:space="preserve"> אלא שמזהירים אותם שלא יתייחדו (שם עג.) שמא יבוא עליה.</w:t>
      </w:r>
    </w:p>
    <w:p w14:paraId="6D7A25C8" w14:textId="77777777" w:rsidR="00C97BEF" w:rsidRDefault="00C97BEF" w:rsidP="00C97BEF">
      <w:pPr>
        <w:rPr>
          <w:u w:val="single"/>
        </w:rPr>
      </w:pPr>
      <w:r>
        <w:rPr>
          <w:u w:val="single"/>
          <w:rtl/>
        </w:rPr>
        <w:t>הכרחת איש להאמין את האשה שתהא נאמנת לומר 'לא פייסני':</w:t>
      </w:r>
    </w:p>
    <w:p w14:paraId="02086D62" w14:textId="3CC9DE4B" w:rsidR="00C97BEF" w:rsidRDefault="00531B63" w:rsidP="006A458D">
      <w:pPr>
        <w:pStyle w:val="ab"/>
        <w:numPr>
          <w:ilvl w:val="0"/>
          <w:numId w:val="112"/>
        </w:numPr>
      </w:pPr>
      <w:r>
        <w:rPr>
          <w:rFonts w:cs="Arial" w:hint="cs"/>
          <w:rtl/>
        </w:rPr>
        <w:t xml:space="preserve">ר' </w:t>
      </w:r>
      <w:r>
        <w:rPr>
          <w:rFonts w:cs="Arial"/>
          <w:rtl/>
        </w:rPr>
        <w:t xml:space="preserve">יוסף בן זמרון </w:t>
      </w:r>
      <w:r w:rsidR="00C97BEF">
        <w:rPr>
          <w:rFonts w:cs="Arial"/>
          <w:sz w:val="16"/>
          <w:szCs w:val="16"/>
          <w:rtl/>
        </w:rPr>
        <w:t>(</w:t>
      </w:r>
      <w:r w:rsidR="001F0211">
        <w:rPr>
          <w:rFonts w:cs="Arial" w:hint="cs"/>
          <w:sz w:val="16"/>
          <w:szCs w:val="16"/>
          <w:rtl/>
        </w:rPr>
        <w:t xml:space="preserve">בשו"ת הרשב"ש </w:t>
      </w:r>
      <w:r w:rsidR="00C97BEF">
        <w:rPr>
          <w:rFonts w:cs="Arial"/>
          <w:sz w:val="16"/>
          <w:szCs w:val="16"/>
          <w:rtl/>
        </w:rPr>
        <w:t>תשובות מכתב יד סימן יא*)</w:t>
      </w:r>
      <w:r w:rsidR="00A82951">
        <w:rPr>
          <w:rFonts w:cs="Arial"/>
          <w:rtl/>
        </w:rPr>
        <w:t>-</w:t>
      </w:r>
      <w:r w:rsidR="00C97BEF">
        <w:rPr>
          <w:rFonts w:cs="Arial"/>
          <w:rtl/>
        </w:rPr>
        <w:t xml:space="preserve"> וקבל מרבו הרב ר' שלמה בר שמעון בר צמח ז"ל, במי שמקניט אשתו שנותן לה גט לזמן, והוא בא בתוך הזמן, וחוזר והולך ומעגנה, שיש לגדור בדבר זה שמכריחין האיש עד שיצוה לסופר ולב' עדים שכל זמן שיתעכב ל' יום או יותר מזה ולא יבא שהסופר יכתוב גט כשר לאשתו ויחתמו העדים וימסרוהו לה, ושיהיו העדים נאמנים שלא בא בתוך הזמן, וכל מי שיעיד בביטול השליחות של הסופר והעדים עדותו תהיה בטלה מעכשו, ושתהיה היא נאמנת שלא פייסה לבטל השליחות כשנתיחד עמה. ובדרך זה אפילו יבא מאה פעמים ויתיחד עמה וילך כל זמן שלא יתעכב הזמן שקבע היא אשתו, ואם יתעכב יותר יכתבו הגט ויתנוהו לה הסופר והעדים בעצמם. ואם יבטל השליחות בפני הסופר והעדים, יחזרו ויכריחו אותו כבראשונה.</w:t>
      </w:r>
      <w:r w:rsidR="00C97BEF">
        <w:rPr>
          <w:rtl/>
        </w:rPr>
        <w:t xml:space="preserve"> </w:t>
      </w:r>
      <w:r w:rsidR="00C97BEF">
        <w:rPr>
          <w:rFonts w:cs="Arial"/>
          <w:rtl/>
        </w:rPr>
        <w:t>נאם יוסף בן זמרון יצ"ו</w:t>
      </w:r>
      <w:r w:rsidR="00C97BEF">
        <w:rPr>
          <w:rtl/>
        </w:rPr>
        <w:t>.</w:t>
      </w:r>
    </w:p>
    <w:p w14:paraId="185908AB" w14:textId="77777777" w:rsidR="00C97BEF" w:rsidRDefault="00C97BEF" w:rsidP="00C97BEF">
      <w:pPr>
        <w:rPr>
          <w:u w:val="single"/>
        </w:rPr>
      </w:pPr>
      <w:r>
        <w:rPr>
          <w:u w:val="single"/>
          <w:rtl/>
        </w:rPr>
        <w:t>בעל שהפקיד גט אצל שליש שיתנו לאשתו לאחר שיעבור זמן קצוב, ובתוך הזמן שלח לו כתב שיתנו לה מיד:</w:t>
      </w:r>
    </w:p>
    <w:p w14:paraId="2AAE4737" w14:textId="121CE26D" w:rsidR="00C97BEF" w:rsidRDefault="00C97BEF" w:rsidP="006A458D">
      <w:pPr>
        <w:pStyle w:val="ab"/>
        <w:numPr>
          <w:ilvl w:val="0"/>
          <w:numId w:val="112"/>
        </w:numPr>
      </w:pPr>
      <w:r>
        <w:rPr>
          <w:rFonts w:cs="Arial"/>
          <w:rtl/>
        </w:rPr>
        <w:t xml:space="preserve">רשב"א </w:t>
      </w:r>
      <w:r>
        <w:rPr>
          <w:rFonts w:cs="Arial"/>
          <w:sz w:val="16"/>
          <w:szCs w:val="16"/>
          <w:rtl/>
        </w:rPr>
        <w:t>(החדשות סי</w:t>
      </w:r>
      <w:r w:rsidR="001F0211">
        <w:rPr>
          <w:rFonts w:cs="Arial" w:hint="cs"/>
          <w:sz w:val="16"/>
          <w:szCs w:val="16"/>
          <w:rtl/>
        </w:rPr>
        <w:t>'</w:t>
      </w:r>
      <w:r>
        <w:rPr>
          <w:rFonts w:cs="Arial"/>
          <w:sz w:val="16"/>
          <w:szCs w:val="16"/>
          <w:rtl/>
        </w:rPr>
        <w:t xml:space="preserve"> ריח)</w:t>
      </w:r>
      <w:r w:rsidR="00A82951">
        <w:rPr>
          <w:rFonts w:cs="Arial"/>
          <w:rtl/>
        </w:rPr>
        <w:t>-</w:t>
      </w:r>
      <w:r>
        <w:rPr>
          <w:rFonts w:cs="Arial"/>
          <w:rtl/>
        </w:rPr>
        <w:t xml:space="preserve"> שאלת</w:t>
      </w:r>
      <w:r w:rsidR="001F0211">
        <w:rPr>
          <w:rFonts w:cs="Arial" w:hint="cs"/>
          <w:rtl/>
        </w:rPr>
        <w:t>:</w:t>
      </w:r>
      <w:r>
        <w:rPr>
          <w:rFonts w:cs="Arial"/>
          <w:rtl/>
        </w:rPr>
        <w:t xml:space="preserve"> ראובן כתב גט זמן לאשתו, והפקיד הגט ביד שליש ואמר לו אל תתנהו לה עד שנה תמימה. והלך לו ראובן לעיר אחרת, ולאחר שלשה חדשים שלח משם כתב חתום בעדים לשליש שיתן הגט לאשתו מיד שיראה כתב זה, ונתקיים הכתב הזה ונודע בבירור שראובן שלחו. מהו שיתנהו לה, כיון דליכא למיחש לשמא פייס ובטל הגט, שהרי בטל כל מודעא שמסר ושימסור, וכל שכן לשמא פייס ובא עליה.     תשובה: כזה גט ואין כאן חשש. דאע"ג דמסרו ליד שליש ואמר שלא ליתנו עד שנים עשר חודש ואילו לא צוה עכשיו ליתנו לה היינו חוששין לשמא פייס וביטל אא"כ כתב נאמנת עלי שלא באתי או שלא פייסתי כדאמרינן </w:t>
      </w:r>
      <w:r>
        <w:rPr>
          <w:rFonts w:cs="Arial"/>
          <w:rtl/>
        </w:rPr>
        <w:lastRenderedPageBreak/>
        <w:t xml:space="preserve">בפרק כל הגט (כט:)... וכן אמרו בשלהי פרק מי שאחזו (עו:)... אבל כאן ששולח ליתנו לה מיד </w:t>
      </w:r>
      <w:r w:rsidR="00A82951">
        <w:rPr>
          <w:rFonts w:cs="Arial"/>
          <w:rtl/>
        </w:rPr>
        <w:t>-</w:t>
      </w:r>
      <w:r>
        <w:rPr>
          <w:rFonts w:cs="Arial"/>
          <w:rtl/>
        </w:rPr>
        <w:t xml:space="preserve"> אין חוששין שהרי הודה שלא פייס ושלא ביטל, והרי זה כגיטין הבאים ממדינת הים שאין חוששין להם. וכן ההוא דאמר ברוך הטוב והמטיב (גיטין לד.), דלא חיישינן שמא ביטל מפני שהוא מודה שלא ביטל בפירוש אלא שאמר ברוך הטוב והמטיב.</w:t>
      </w:r>
    </w:p>
    <w:p w14:paraId="7AEED135" w14:textId="77777777" w:rsidR="00C97BEF" w:rsidRDefault="00C97BEF" w:rsidP="00C97BEF">
      <w:pPr>
        <w:rPr>
          <w:u w:val="single"/>
        </w:rPr>
      </w:pPr>
      <w:r>
        <w:rPr>
          <w:u w:val="single"/>
          <w:rtl/>
        </w:rPr>
        <w:t>האמינה לומר שלא בא, והיא אכן אומרת שלא בא, אבל עדים אומרים שבא:</w:t>
      </w:r>
    </w:p>
    <w:p w14:paraId="36DCE25A" w14:textId="70817EA7" w:rsidR="00C97BEF" w:rsidRDefault="00C97BEF" w:rsidP="006A458D">
      <w:pPr>
        <w:pStyle w:val="ab"/>
        <w:numPr>
          <w:ilvl w:val="0"/>
          <w:numId w:val="112"/>
        </w:numPr>
      </w:pPr>
      <w:r>
        <w:rPr>
          <w:rFonts w:cs="Arial"/>
          <w:rtl/>
        </w:rPr>
        <w:t xml:space="preserve">ריב"ש </w:t>
      </w:r>
      <w:r>
        <w:rPr>
          <w:rFonts w:cs="Arial"/>
          <w:sz w:val="16"/>
          <w:szCs w:val="16"/>
          <w:rtl/>
        </w:rPr>
        <w:t>(סי' שנח)</w:t>
      </w:r>
      <w:r w:rsidR="00A82951">
        <w:rPr>
          <w:rFonts w:cs="Arial"/>
          <w:rtl/>
        </w:rPr>
        <w:t>-</w:t>
      </w:r>
      <w:r>
        <w:rPr>
          <w:rFonts w:cs="Arial"/>
          <w:rtl/>
        </w:rPr>
        <w:t xml:space="preserve"> שנשאל על הא דאמרינן (עו: עיין שם) תהא במאמינה לומר שלא באתי, אם היא אומרת לא בא, ויש עדים שבא, מה דינה.  </w:t>
      </w:r>
      <w:r w:rsidR="001F0211">
        <w:rPr>
          <w:rFonts w:cs="Arial" w:hint="cs"/>
          <w:rtl/>
        </w:rPr>
        <w:t xml:space="preserve">  </w:t>
      </w:r>
      <w:r>
        <w:rPr>
          <w:rFonts w:cs="Arial"/>
          <w:rtl/>
        </w:rPr>
        <w:t xml:space="preserve">  תשובה: נראה לי דאם לא אמר בפירוש 'תהא נאמנת כבי תרי לומר שלא באתי' </w:t>
      </w:r>
      <w:r w:rsidR="00A82951">
        <w:rPr>
          <w:rFonts w:cs="Arial"/>
          <w:rtl/>
        </w:rPr>
        <w:t>-</w:t>
      </w:r>
      <w:r>
        <w:rPr>
          <w:rFonts w:cs="Arial"/>
          <w:rtl/>
        </w:rPr>
        <w:t xml:space="preserve"> אינה נאמנת כל שיש עדים כנגדה, דהא לא האמינה אלא עליו אבל לא כנגד עדים. אבל אי הימנה בפירוש כנגד עדים </w:t>
      </w:r>
      <w:r w:rsidR="00A82951">
        <w:rPr>
          <w:rFonts w:cs="Arial"/>
          <w:rtl/>
        </w:rPr>
        <w:t>-</w:t>
      </w:r>
      <w:r>
        <w:rPr>
          <w:rFonts w:cs="Arial"/>
          <w:rtl/>
        </w:rPr>
        <w:t xml:space="preserve"> נאמנת היא אפילו באו עדים דהא הימנה והרי הוא כאילו אמר 'יהא גט אפילו אם באתי כל שתאמר היא שלא באתי'...</w:t>
      </w:r>
    </w:p>
    <w:p w14:paraId="52E47986"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216F9ED" w14:textId="2113F138" w:rsidR="00C97BEF" w:rsidRDefault="00C97BEF" w:rsidP="00C97BEF">
      <w:pPr>
        <w:rPr>
          <w:rFonts w:cs="Arial"/>
          <w:rtl/>
        </w:rPr>
      </w:pPr>
      <w:r>
        <w:rPr>
          <w:rFonts w:cs="Arial"/>
          <w:rtl/>
        </w:rPr>
        <w:t>התנה עליה שתתגרש כשיעבור מנגד פניה שלשים יום, והיה הולך ובא הולך ובא, ולא נתייחד עמה, כשילך וישהה שלשים יום תהיה מגורשת, ואף על פי שהיה הולך ובא בתוך ל' יום, הואיל ולא נתייחד עמה הרי זה גט כשר</w:t>
      </w:r>
      <w:r>
        <w:rPr>
          <w:rStyle w:val="a7"/>
          <w:rFonts w:cs="Arial"/>
          <w:rtl/>
        </w:rPr>
        <w:footnoteReference w:id="2532"/>
      </w:r>
      <w:r>
        <w:rPr>
          <w:rFonts w:cs="Arial"/>
          <w:rtl/>
        </w:rPr>
        <w:t>. במה דברים אמורים, כשהתנה ואמר: הרי היא נאמנת עלי שלא פייסתיה. אבל אם לא האמינה, חוששין שמא פייסה כשהיה הולך ובא, ומחלה לו, וחזר וביטל הגט כשפייסה, ומפני חשש זה יהיה הגט פסול. וכן האומר לאשה: הרי זה גיטיך לאחר י"ב חדש, והיה עמה במדינה, חוששין שמא פייסה, עד שיאמר: נאמנת עלי שלא פייסתיה. וכן כל התנאים שהם תלויים ברצונה, ואם רצתה ומחלה אותן לבעלה בטל הגט, חוששין לה שמא פייס, עד שיאמר: נאמנת עלי. במה דברים אומרים, במתגרשת מן הנשואין, שלבו גס בה. אבל במתגרשת מן האירוסין, אין חוששין לה שמא פייס. הרי זה גיטך מעכשיו, אם לא באתי מכאן ועד י"ב חדש, אין חוששין שמא בסתר בא, שאין דרך בני אדם לבא בצינעא. ואם תם הזמן שקבע, ולא בא, הרי זו מגורשת. ויש שאף בזו חוששין שמא בסתר בא, אלא אם כן התנה בתחלה ואמר: נאמנת עלי לומר שלא באתי. וראוי לחוש לדבריהם לכתחלה, וכן המנהג להתנות בתחלה שתהא נאמנת לומר שלא פייס. ואם כשהתנה תלה ביאתו בעדים, שלא יתבטל הגט בבואו אלא אם כן יעידו עליו עדים שבא, ועבר הזמן ואין מעידים שבא, לדברי הכל אין חוששין שמא בא, אף על פי שלא האמינה.</w:t>
      </w:r>
    </w:p>
    <w:p w14:paraId="667EB051" w14:textId="77777777" w:rsidR="00C97BEF" w:rsidRDefault="00C97BEF" w:rsidP="00C97BEF">
      <w:pPr>
        <w:rPr>
          <w:rFonts w:cs="Arial"/>
          <w:rtl/>
        </w:rPr>
      </w:pPr>
    </w:p>
    <w:p w14:paraId="253F0E9C" w14:textId="77777777" w:rsidR="00C97BEF" w:rsidRDefault="00C97BEF" w:rsidP="00C97BEF">
      <w:pPr>
        <w:rPr>
          <w:rtl/>
        </w:rPr>
      </w:pPr>
      <w:r>
        <w:rPr>
          <w:rFonts w:cs="Arial"/>
          <w:rtl/>
        </w:rPr>
        <w:t xml:space="preserve">  </w:t>
      </w:r>
    </w:p>
    <w:p w14:paraId="7F2041D2" w14:textId="77777777" w:rsidR="00C97BEF" w:rsidRDefault="00C97BEF" w:rsidP="00C97BEF">
      <w:pPr>
        <w:bidi w:val="0"/>
        <w:spacing w:after="0"/>
        <w:rPr>
          <w:rtl/>
        </w:rPr>
        <w:sectPr w:rsidR="00C97BEF">
          <w:headerReference w:type="default" r:id="rId37"/>
          <w:footnotePr>
            <w:numRestart w:val="eachSect"/>
          </w:footnotePr>
          <w:pgSz w:w="11906" w:h="16838"/>
          <w:pgMar w:top="720" w:right="1134" w:bottom="720" w:left="1134" w:header="0" w:footer="0" w:gutter="0"/>
          <w:cols w:space="720"/>
          <w:bidi/>
          <w:rtlGutter/>
        </w:sectPr>
      </w:pPr>
    </w:p>
    <w:p w14:paraId="138A1C9D" w14:textId="77777777" w:rsidR="00C97BEF" w:rsidRDefault="00C97BEF" w:rsidP="00C97BEF">
      <w:pPr>
        <w:pStyle w:val="1"/>
        <w:rPr>
          <w:rtl/>
        </w:rPr>
      </w:pPr>
      <w:r>
        <w:rPr>
          <w:rtl/>
        </w:rPr>
        <w:lastRenderedPageBreak/>
        <w:t xml:space="preserve">סימן קמה: </w:t>
      </w:r>
      <w:r>
        <w:rPr>
          <w:rFonts w:cs="Arial"/>
          <w:rtl/>
        </w:rPr>
        <w:t xml:space="preserve">דין שכיב מרע, ואם עמד ומת מחמת מקרה רע, ובו י' סעיפים. </w:t>
      </w:r>
    </w:p>
    <w:p w14:paraId="3478684F" w14:textId="77777777" w:rsidR="00C97BEF" w:rsidRDefault="00C97BEF" w:rsidP="00C97BEF">
      <w:pPr>
        <w:pStyle w:val="2"/>
        <w:rPr>
          <w:rtl/>
        </w:rPr>
      </w:pPr>
      <w:r>
        <w:rPr>
          <w:rtl/>
        </w:rPr>
        <w:t>סעיף א: הרי זה גיטך אם מתי/אם מתי מחולי זה/לאחר מיתה.</w:t>
      </w:r>
    </w:p>
    <w:p w14:paraId="0A467E29" w14:textId="272BEE7C" w:rsidR="00C97BEF" w:rsidRDefault="00C97BEF" w:rsidP="00C97BEF">
      <w:pPr>
        <w:rPr>
          <w:rFonts w:cs="Arial"/>
          <w:rtl/>
        </w:rPr>
      </w:pPr>
      <w:r>
        <w:rPr>
          <w:rFonts w:cs="Arial"/>
          <w:b/>
          <w:bCs/>
          <w:rtl/>
        </w:rPr>
        <w:t xml:space="preserve">גיטין </w:t>
      </w:r>
      <w:r>
        <w:rPr>
          <w:rFonts w:cs="Arial"/>
          <w:b/>
          <w:bCs/>
          <w:sz w:val="16"/>
          <w:szCs w:val="16"/>
          <w:rtl/>
        </w:rPr>
        <w:t>(פ' מי שאחזו)</w:t>
      </w:r>
      <w:r>
        <w:rPr>
          <w:rFonts w:cs="Arial"/>
          <w:b/>
          <w:bCs/>
          <w:rtl/>
        </w:rPr>
        <w:t xml:space="preserve"> עב ע"א:</w:t>
      </w:r>
      <w:r>
        <w:rPr>
          <w:rtl/>
        </w:rPr>
        <w:t xml:space="preserve"> </w:t>
      </w:r>
      <w:r>
        <w:rPr>
          <w:rFonts w:cs="Arial"/>
          <w:u w:val="double"/>
          <w:rtl/>
        </w:rPr>
        <w:t>מתני'</w:t>
      </w:r>
      <w:r>
        <w:rPr>
          <w:rFonts w:cs="Arial"/>
          <w:rtl/>
        </w:rPr>
        <w:t xml:space="preserve">: זה גיטיך אם מתי, זה גיטיך מחולי זה, זה גיטיך לאחר מיתה </w:t>
      </w:r>
      <w:r w:rsidR="00A82951">
        <w:rPr>
          <w:rFonts w:cs="Arial"/>
          <w:rtl/>
        </w:rPr>
        <w:t>-</w:t>
      </w:r>
      <w:r>
        <w:rPr>
          <w:rFonts w:cs="Arial"/>
          <w:rtl/>
        </w:rPr>
        <w:t xml:space="preserve"> לא אמר כלום. מהיום אם מתי, מעכשיו אם מתי </w:t>
      </w:r>
      <w:r w:rsidR="00A82951">
        <w:rPr>
          <w:rFonts w:cs="Arial"/>
          <w:rtl/>
        </w:rPr>
        <w:t>-</w:t>
      </w:r>
      <w:r>
        <w:rPr>
          <w:rFonts w:cs="Arial"/>
          <w:rtl/>
        </w:rPr>
        <w:t xml:space="preserve"> ה"ז גט...      </w:t>
      </w:r>
      <w:r>
        <w:rPr>
          <w:rFonts w:cs="Arial"/>
          <w:u w:val="double"/>
          <w:rtl/>
        </w:rPr>
        <w:t>גמ'</w:t>
      </w:r>
      <w:r>
        <w:rPr>
          <w:rFonts w:cs="Arial"/>
          <w:rtl/>
        </w:rPr>
        <w:t xml:space="preserve">: זה גיטך אם מתי </w:t>
      </w:r>
      <w:r w:rsidR="00A82951">
        <w:rPr>
          <w:rFonts w:cs="Arial"/>
          <w:rtl/>
        </w:rPr>
        <w:t>-</w:t>
      </w:r>
      <w:r>
        <w:rPr>
          <w:rFonts w:cs="Arial"/>
          <w:rtl/>
        </w:rPr>
        <w:t xml:space="preserve"> לא אמר כלום. </w:t>
      </w:r>
      <w:r>
        <w:rPr>
          <w:rFonts w:cs="Arial"/>
          <w:u w:val="single"/>
          <w:rtl/>
        </w:rPr>
        <w:t>אמר רב הונא</w:t>
      </w:r>
      <w:r>
        <w:rPr>
          <w:rFonts w:cs="Arial"/>
          <w:rtl/>
        </w:rPr>
        <w:t xml:space="preserve">: וחולצת. והא לא אמר כלום קתני! לא אמר כלום, דאסירא לעלמא, וליבם נמי אסירא. והא מדסיפא חולצת, מכלל דרישא יבומי נמי מיבמה! מתני' כרבנן, ורב הונא דאמר כר' יוסי, דאמר: זמנו של שטר מוכיח עליו. אי רבי יוסי, חליצה נמי לא תיבעי! וכ"ת, מספקא ליה לרב הונא אי הלכתא כר' יוסי או אין הלכה כר' יוסי, ומי מספקא ליה? והא רבה בר אבוה חלש, עול לגביה רב הונא ורב נחמן; </w:t>
      </w:r>
      <w:r>
        <w:rPr>
          <w:rFonts w:cs="Arial"/>
          <w:u w:val="single"/>
          <w:rtl/>
        </w:rPr>
        <w:t>א"ל רב הונא לר"נ</w:t>
      </w:r>
      <w:r>
        <w:rPr>
          <w:rFonts w:cs="Arial"/>
          <w:rtl/>
        </w:rPr>
        <w:t xml:space="preserve">: בעי מיניה מרבה בר אבוה הלכה כרבי יוסי או אין הלכה. </w:t>
      </w:r>
      <w:r>
        <w:rPr>
          <w:rFonts w:cs="Arial"/>
          <w:u w:val="single"/>
          <w:rtl/>
        </w:rPr>
        <w:t>א"ל</w:t>
      </w:r>
      <w:r>
        <w:rPr>
          <w:rFonts w:cs="Arial"/>
          <w:rtl/>
        </w:rPr>
        <w:t xml:space="preserve">: טעמא דרבי יוסי לא ידענא, הלכה איבעי מיניה? </w:t>
      </w:r>
      <w:r>
        <w:rPr>
          <w:rFonts w:cs="Arial"/>
          <w:u w:val="single"/>
          <w:rtl/>
        </w:rPr>
        <w:t>א"ל</w:t>
      </w:r>
      <w:r>
        <w:rPr>
          <w:rFonts w:cs="Arial"/>
          <w:rtl/>
        </w:rPr>
        <w:t xml:space="preserve">: את בעי מיניה הלכה, וטעמיה דרבי יוסי אנא אמינא לך. בעי מיניה. </w:t>
      </w:r>
      <w:r>
        <w:rPr>
          <w:rFonts w:cs="Arial"/>
          <w:u w:val="single"/>
          <w:rtl/>
        </w:rPr>
        <w:t>א"ל</w:t>
      </w:r>
      <w:r>
        <w:rPr>
          <w:rFonts w:cs="Arial"/>
          <w:rtl/>
        </w:rPr>
        <w:t xml:space="preserve">: הכי אמר רב: הלכה כרבי יוסי. </w:t>
      </w:r>
      <w:r>
        <w:rPr>
          <w:rFonts w:cs="Arial"/>
          <w:u w:val="single"/>
          <w:rtl/>
        </w:rPr>
        <w:t>לבתר דנפק א"ל</w:t>
      </w:r>
      <w:r>
        <w:rPr>
          <w:rFonts w:cs="Arial"/>
          <w:rtl/>
        </w:rPr>
        <w:t>: היינו טעמא דרבי יוסי, דקסבר: זמנו של שטר מוכיח עליו!...</w:t>
      </w:r>
      <w:r>
        <w:rPr>
          <w:rtl/>
        </w:rPr>
        <w:t xml:space="preserve"> </w:t>
      </w:r>
      <w:r>
        <w:rPr>
          <w:rFonts w:cs="Arial"/>
          <w:sz w:val="14"/>
          <w:szCs w:val="14"/>
          <w:rtl/>
        </w:rPr>
        <w:t xml:space="preserve">(עב:) </w:t>
      </w:r>
      <w:r>
        <w:rPr>
          <w:rFonts w:cs="Arial"/>
          <w:rtl/>
        </w:rPr>
        <w:t>אלא מספקא ליה, אי הלכה כר' יוסי בעל פה</w:t>
      </w:r>
      <w:r>
        <w:rPr>
          <w:rStyle w:val="a7"/>
          <w:rFonts w:cs="Arial"/>
          <w:rtl/>
        </w:rPr>
        <w:footnoteReference w:id="2533"/>
      </w:r>
      <w:r>
        <w:rPr>
          <w:rFonts w:cs="Arial"/>
          <w:rtl/>
        </w:rPr>
        <w:t xml:space="preserve"> או אין הלכה...</w:t>
      </w:r>
      <w:r>
        <w:rPr>
          <w:rtl/>
        </w:rPr>
        <w:t xml:space="preserve"> </w:t>
      </w:r>
      <w:r>
        <w:rPr>
          <w:rFonts w:cs="Arial"/>
          <w:rtl/>
        </w:rPr>
        <w:t>ואיכא דמתני לה</w:t>
      </w:r>
      <w:r>
        <w:rPr>
          <w:rStyle w:val="a7"/>
          <w:rFonts w:cs="Arial"/>
          <w:rtl/>
        </w:rPr>
        <w:footnoteReference w:id="2534"/>
      </w:r>
      <w:r>
        <w:rPr>
          <w:rFonts w:cs="Arial"/>
          <w:rtl/>
        </w:rPr>
        <w:t xml:space="preserve"> אסיפא: זה גיטך לאחר מיתה </w:t>
      </w:r>
      <w:r w:rsidR="00A82951">
        <w:rPr>
          <w:rFonts w:cs="Arial"/>
          <w:rtl/>
        </w:rPr>
        <w:t>-</w:t>
      </w:r>
      <w:r>
        <w:rPr>
          <w:rFonts w:cs="Arial"/>
          <w:rtl/>
        </w:rPr>
        <w:t xml:space="preserve"> לא אמר כלום; </w:t>
      </w:r>
      <w:r w:rsidRPr="001E226E">
        <w:rPr>
          <w:rFonts w:cs="Arial"/>
          <w:u w:val="single"/>
          <w:rtl/>
        </w:rPr>
        <w:t>אמר רב הונא</w:t>
      </w:r>
      <w:r>
        <w:rPr>
          <w:rFonts w:cs="Arial"/>
          <w:rtl/>
        </w:rPr>
        <w:t>: ולדברי ר' יוסי</w:t>
      </w:r>
      <w:r>
        <w:rPr>
          <w:rStyle w:val="a7"/>
          <w:rFonts w:cs="Arial"/>
          <w:rtl/>
        </w:rPr>
        <w:footnoteReference w:id="2535"/>
      </w:r>
      <w:r>
        <w:rPr>
          <w:rFonts w:cs="Arial"/>
          <w:rtl/>
        </w:rPr>
        <w:t xml:space="preserve"> חולצת</w:t>
      </w:r>
      <w:r>
        <w:rPr>
          <w:rStyle w:val="a7"/>
          <w:rFonts w:cs="Arial"/>
          <w:rtl/>
        </w:rPr>
        <w:footnoteReference w:id="2536"/>
      </w:r>
      <w:r>
        <w:rPr>
          <w:rFonts w:cs="Arial"/>
          <w:rtl/>
        </w:rPr>
        <w:t xml:space="preserve">. פשיטא, מדסיפא לרבנן חולצת, רישא נמי לר' יוסי חולצת! מהו דתימא, רבי יוסי בהא כרבי ס"ל, דאמר: גיטא מעליא הוי, וחליצה נמי לא תיבעי, קמ"ל, דלא רבי סבר לה כר' יוסי ולא ר' יוסי סבר לה כרבי... </w:t>
      </w:r>
      <w:r>
        <w:rPr>
          <w:rFonts w:cs="Arial"/>
          <w:sz w:val="16"/>
          <w:szCs w:val="16"/>
          <w:rtl/>
        </w:rPr>
        <w:t xml:space="preserve">(ולדברי הפוסקים כרבי יוסי דאמר (שם) זמנו של שטר מוכיח עליו, כשאמר 'הרי זה גיטך אם מתי מחולי זה' או 'לאחר מיתה' </w:t>
      </w:r>
      <w:r w:rsidR="00A82951">
        <w:rPr>
          <w:rFonts w:cs="Arial"/>
          <w:sz w:val="16"/>
          <w:szCs w:val="16"/>
          <w:rtl/>
        </w:rPr>
        <w:t>-</w:t>
      </w:r>
      <w:r>
        <w:rPr>
          <w:rFonts w:cs="Arial"/>
          <w:sz w:val="16"/>
          <w:szCs w:val="16"/>
          <w:rtl/>
        </w:rPr>
        <w:t xml:space="preserve"> הוי כאומר מהיום וחולצת ולא מתייבמת. והיינו לפירוש התוספות בפרק מי שאחזו (עו:) גבי הא דאמר אביי הכל מודים היכא דאמר לה לכשתצא חמה מנרתיקה וכו'. וכן לפירוש רש"י ב</w:t>
      </w:r>
      <w:r w:rsidR="00FE4A01">
        <w:rPr>
          <w:rFonts w:cs="Arial" w:hint="cs"/>
          <w:sz w:val="16"/>
          <w:szCs w:val="16"/>
          <w:rtl/>
        </w:rPr>
        <w:t>פ"</w:t>
      </w:r>
      <w:r>
        <w:rPr>
          <w:rFonts w:cs="Arial"/>
          <w:sz w:val="16"/>
          <w:szCs w:val="16"/>
          <w:rtl/>
        </w:rPr>
        <w:t>ב דע</w:t>
      </w:r>
      <w:r w:rsidR="00FE4A01">
        <w:rPr>
          <w:rFonts w:cs="Arial" w:hint="cs"/>
          <w:sz w:val="16"/>
          <w:szCs w:val="16"/>
          <w:rtl/>
        </w:rPr>
        <w:t>"ז</w:t>
      </w:r>
      <w:r>
        <w:rPr>
          <w:rFonts w:cs="Arial"/>
          <w:sz w:val="16"/>
          <w:szCs w:val="16"/>
          <w:rtl/>
        </w:rPr>
        <w:t xml:space="preserve"> (לז. ד"ה לכי נפקא) על האי מימרא דאביי. אבל לפירוש רש"י בה בס</w:t>
      </w:r>
      <w:r w:rsidR="00FE4A01">
        <w:rPr>
          <w:rFonts w:cs="Arial" w:hint="cs"/>
          <w:sz w:val="16"/>
          <w:szCs w:val="16"/>
          <w:rtl/>
        </w:rPr>
        <w:t>"</w:t>
      </w:r>
      <w:r>
        <w:rPr>
          <w:rFonts w:cs="Arial"/>
          <w:sz w:val="16"/>
          <w:szCs w:val="16"/>
          <w:rtl/>
        </w:rPr>
        <w:t xml:space="preserve">פ מי שאחזו כתב הר"ן (לח: ד"ה הכל) שאפילו נחוש לדברי רבי יוסי הרי זה גיטך לאחר מיתה </w:t>
      </w:r>
      <w:r w:rsidR="00A82951">
        <w:rPr>
          <w:rFonts w:cs="Arial"/>
          <w:sz w:val="16"/>
          <w:szCs w:val="16"/>
          <w:rtl/>
        </w:rPr>
        <w:t>-</w:t>
      </w:r>
      <w:r>
        <w:rPr>
          <w:rFonts w:cs="Arial"/>
          <w:sz w:val="16"/>
          <w:szCs w:val="16"/>
          <w:rtl/>
        </w:rPr>
        <w:t xml:space="preserve"> לא אמר כלום. ובאם מתי ודאי לדעת הפוסקים כרבי יוסי היינו כאומר מהיום אם מתי </w:t>
      </w:r>
      <w:r w:rsidR="00A82951">
        <w:rPr>
          <w:rFonts w:cs="Arial"/>
          <w:sz w:val="16"/>
          <w:szCs w:val="16"/>
          <w:rtl/>
        </w:rPr>
        <w:t>-</w:t>
      </w:r>
      <w:r>
        <w:rPr>
          <w:rFonts w:cs="Arial"/>
          <w:sz w:val="16"/>
          <w:szCs w:val="16"/>
          <w:rtl/>
        </w:rPr>
        <w:t xml:space="preserve"> והוי גט. ומכל מקום לא איתברר לן אם הלכה כרבי יוסי אם לאו, שיש פוסקים כרבי יוסי ויש פוסקים כרבנן וכמ"ש בסימן קמ"ד (סע' ב), והילכך מידי ספיקא לא נפקא </w:t>
      </w:r>
      <w:r w:rsidR="00A82951">
        <w:rPr>
          <w:rFonts w:cs="Arial"/>
          <w:sz w:val="16"/>
          <w:szCs w:val="16"/>
          <w:rtl/>
        </w:rPr>
        <w:t>-</w:t>
      </w:r>
      <w:r>
        <w:rPr>
          <w:rFonts w:cs="Arial"/>
          <w:sz w:val="16"/>
          <w:szCs w:val="16"/>
          <w:rtl/>
        </w:rPr>
        <w:t xml:space="preserve"> וחולצת ולא מתייבמת, ב"י. ובשו"ע כתב דעה זו ביש אומרים)</w:t>
      </w:r>
    </w:p>
    <w:p w14:paraId="4D62AE1B" w14:textId="77777777" w:rsidR="00C97BEF" w:rsidRDefault="00C97BEF" w:rsidP="00C97BEF">
      <w:pPr>
        <w:rPr>
          <w:u w:val="single"/>
          <w:rtl/>
        </w:rPr>
      </w:pPr>
      <w:r>
        <w:rPr>
          <w:u w:val="single"/>
          <w:rtl/>
        </w:rPr>
        <w:t>אמר לה 'הרי זה גיטך, אם מתי/אם מתי מחולי זה/לאחר מיתה':</w:t>
      </w:r>
    </w:p>
    <w:p w14:paraId="5DBE1906" w14:textId="512F24F9" w:rsidR="00C97BEF" w:rsidRDefault="00C97BEF" w:rsidP="006A458D">
      <w:pPr>
        <w:pStyle w:val="ab"/>
        <w:numPr>
          <w:ilvl w:val="0"/>
          <w:numId w:val="112"/>
        </w:numPr>
        <w:rPr>
          <w:rtl/>
        </w:rPr>
      </w:pPr>
      <w:r>
        <w:rPr>
          <w:rtl/>
        </w:rPr>
        <w:t>טור</w:t>
      </w:r>
      <w:r w:rsidR="00A82951">
        <w:rPr>
          <w:rtl/>
        </w:rPr>
        <w:t>-</w:t>
      </w:r>
      <w:r>
        <w:rPr>
          <w:rtl/>
        </w:rPr>
        <w:t xml:space="preserve"> </w:t>
      </w:r>
      <w:r>
        <w:rPr>
          <w:rFonts w:cs="Arial"/>
          <w:rtl/>
        </w:rPr>
        <w:t xml:space="preserve">שכיב מרע שאמר לאשתו 'הרי זה גיטך לאחר מיתה' </w:t>
      </w:r>
      <w:r w:rsidR="00A82951">
        <w:rPr>
          <w:rFonts w:cs="Arial"/>
          <w:rtl/>
        </w:rPr>
        <w:t>-</w:t>
      </w:r>
      <w:r>
        <w:rPr>
          <w:rFonts w:cs="Arial"/>
          <w:rtl/>
        </w:rPr>
        <w:t xml:space="preserve"> אינו כלום שאין גט לאחר מיתה. וכן אם אמר 'הרי זה גיטך מחולי זה', שיש במשמע לכשיפסוק חולי זה וימות. וכן 'אם מתי', לאחר מיתה משמע. </w:t>
      </w:r>
      <w:r>
        <w:rPr>
          <w:rFonts w:cs="Arial"/>
          <w:color w:val="E36C0A" w:themeColor="accent6" w:themeShade="BF"/>
          <w:rtl/>
        </w:rPr>
        <w:t>(וכ"ס בשו"ע)</w:t>
      </w:r>
    </w:p>
    <w:p w14:paraId="60D2E580" w14:textId="77777777" w:rsidR="00C97BEF" w:rsidRDefault="00C97BEF" w:rsidP="00C97BEF">
      <w:pPr>
        <w:ind w:left="360"/>
        <w:rPr>
          <w:u w:val="dotted"/>
        </w:rPr>
      </w:pPr>
      <w:r>
        <w:rPr>
          <w:u w:val="dotted"/>
          <w:rtl/>
        </w:rPr>
        <w:t>ומה הדין אם אמר מעכשיו/מהיום:</w:t>
      </w:r>
    </w:p>
    <w:p w14:paraId="15BB560A" w14:textId="5A8A854C"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אמר 'מהיום אם מתי' או 'מעכשיו אם מתי' </w:t>
      </w:r>
      <w:r w:rsidR="00A82951">
        <w:rPr>
          <w:rFonts w:cs="Arial"/>
          <w:rtl/>
        </w:rPr>
        <w:t>-</w:t>
      </w:r>
      <w:r>
        <w:rPr>
          <w:rFonts w:cs="Arial"/>
          <w:rtl/>
        </w:rPr>
        <w:t xml:space="preserve"> הרי זה גט. </w:t>
      </w:r>
      <w:r>
        <w:rPr>
          <w:rFonts w:cs="Arial"/>
          <w:color w:val="E36C0A" w:themeColor="accent6" w:themeShade="BF"/>
          <w:rtl/>
        </w:rPr>
        <w:t>(וכ"פ בשו"ע</w:t>
      </w:r>
      <w:r>
        <w:rPr>
          <w:rFonts w:cs="Arial"/>
          <w:color w:val="E36C0A" w:themeColor="accent6" w:themeShade="BF"/>
          <w:sz w:val="16"/>
          <w:szCs w:val="16"/>
          <w:rtl/>
        </w:rPr>
        <w:t xml:space="preserve"> </w:t>
      </w:r>
      <w:r>
        <w:rPr>
          <w:rFonts w:cs="Arial"/>
          <w:color w:val="000000" w:themeColor="text1"/>
          <w:sz w:val="16"/>
          <w:szCs w:val="16"/>
          <w:rtl/>
        </w:rPr>
        <w:t>[בסע' הבא]</w:t>
      </w:r>
      <w:r>
        <w:rPr>
          <w:rFonts w:cs="Arial"/>
          <w:color w:val="E36C0A" w:themeColor="accent6" w:themeShade="BF"/>
          <w:rtl/>
        </w:rPr>
        <w:t>)</w:t>
      </w:r>
    </w:p>
    <w:p w14:paraId="4EE07EBF" w14:textId="77777777" w:rsidR="00C97BEF" w:rsidRDefault="00C97BEF" w:rsidP="00C97BEF">
      <w:pPr>
        <w:ind w:left="720"/>
        <w:rPr>
          <w:u w:val="wave"/>
        </w:rPr>
      </w:pPr>
      <w:r>
        <w:rPr>
          <w:u w:val="wave"/>
          <w:rtl/>
        </w:rPr>
        <w:t>ומה הדין אם אמר 'מהיום אם מתי' ומת קודם שעבר אותו היום:</w:t>
      </w:r>
    </w:p>
    <w:p w14:paraId="156B394F" w14:textId="2135ABBA" w:rsidR="00C97BEF" w:rsidRDefault="00C97BEF" w:rsidP="006A458D">
      <w:pPr>
        <w:pStyle w:val="ab"/>
        <w:numPr>
          <w:ilvl w:val="0"/>
          <w:numId w:val="112"/>
        </w:numPr>
      </w:pPr>
      <w:r>
        <w:rPr>
          <w:rFonts w:cs="Arial"/>
          <w:rtl/>
        </w:rPr>
        <w:t xml:space="preserve">תוס' </w:t>
      </w:r>
      <w:r>
        <w:rPr>
          <w:rFonts w:cs="Arial"/>
          <w:sz w:val="16"/>
          <w:szCs w:val="16"/>
          <w:rtl/>
        </w:rPr>
        <w:t>(עב. ד"ה מהיום)</w:t>
      </w:r>
      <w:r w:rsidR="00A82951">
        <w:rPr>
          <w:rFonts w:cs="Arial"/>
          <w:rtl/>
        </w:rPr>
        <w:t>-</w:t>
      </w:r>
      <w:r>
        <w:rPr>
          <w:rFonts w:cs="Arial"/>
          <w:rtl/>
        </w:rPr>
        <w:t xml:space="preserve"> כתב ר"ת מהיום אם מתי אם מת בו ביום לא ידענא מאי אדון בה. ולרבינו אלחנן נראה דמהיום הוי כמו מעכשיו.</w:t>
      </w:r>
      <w:r>
        <w:rPr>
          <w:rtl/>
        </w:rPr>
        <w:t xml:space="preserve"> </w:t>
      </w:r>
      <w:r>
        <w:rPr>
          <w:rFonts w:cs="Arial"/>
          <w:rtl/>
        </w:rPr>
        <w:t>ודעתו שיהא גט לאלתר דמסתמא דלכך נותן גט שירא למות וכי אין לו לירא שמא ימות בו ביום אלא ודאי לאלתר קאמר שיהא גט. ומכל מקום נכון להחמיר</w:t>
      </w:r>
      <w:r>
        <w:rPr>
          <w:rStyle w:val="a7"/>
          <w:rFonts w:cs="Arial"/>
          <w:rtl/>
        </w:rPr>
        <w:footnoteReference w:id="2537"/>
      </w:r>
      <w:r>
        <w:rPr>
          <w:rFonts w:cs="Arial"/>
          <w:rtl/>
        </w:rPr>
        <w:t xml:space="preserve">. </w:t>
      </w:r>
    </w:p>
    <w:p w14:paraId="4D824FF5" w14:textId="495C6CA0" w:rsidR="00C97BEF" w:rsidRDefault="00C97BEF" w:rsidP="006A458D">
      <w:pPr>
        <w:pStyle w:val="ab"/>
        <w:numPr>
          <w:ilvl w:val="0"/>
          <w:numId w:val="112"/>
        </w:numPr>
      </w:pPr>
      <w:r>
        <w:rPr>
          <w:rFonts w:cs="Arial"/>
          <w:rtl/>
        </w:rPr>
        <w:t>רמ"ה</w:t>
      </w:r>
      <w:r>
        <w:rPr>
          <w:rFonts w:cs="Arial"/>
          <w:sz w:val="16"/>
          <w:szCs w:val="16"/>
          <w:rtl/>
        </w:rPr>
        <w:t xml:space="preserve"> (כ"כ הטור בשמו)</w:t>
      </w:r>
      <w:r w:rsidR="00A82951">
        <w:rPr>
          <w:rFonts w:cs="Arial"/>
          <w:rtl/>
        </w:rPr>
        <w:t>-</w:t>
      </w:r>
      <w:r>
        <w:rPr>
          <w:rFonts w:cs="Arial"/>
          <w:rtl/>
        </w:rPr>
        <w:t xml:space="preserve"> מהיום כמעכשיו דמי, ואם מת קודם שיעבור היום </w:t>
      </w:r>
      <w:r w:rsidR="00A82951">
        <w:rPr>
          <w:rFonts w:cs="Arial"/>
          <w:rtl/>
        </w:rPr>
        <w:t>-</w:t>
      </w:r>
      <w:r>
        <w:rPr>
          <w:rFonts w:cs="Arial"/>
          <w:rtl/>
        </w:rPr>
        <w:t xml:space="preserve"> מגורשת. ודוקא שיש עדים שהגיע הגט לידה בחייו, אבל אם אין עדים מתי יבא לידה, אע"פ שכתוב בו זמן וכתוב בו מהיום כיון דלא משתריא אלא בעדי חתימה </w:t>
      </w:r>
      <w:r w:rsidR="00A82951">
        <w:rPr>
          <w:rFonts w:cs="Arial"/>
          <w:rtl/>
        </w:rPr>
        <w:t>-</w:t>
      </w:r>
      <w:r>
        <w:rPr>
          <w:rFonts w:cs="Arial"/>
          <w:rtl/>
        </w:rPr>
        <w:t xml:space="preserve"> לא הוי גירושין, דעדי חתימה אינם עושים אותו גט אלא אחר היום, וכיון שמת קודם לכן </w:t>
      </w:r>
      <w:r w:rsidR="00A82951">
        <w:rPr>
          <w:rFonts w:cs="Arial"/>
          <w:rtl/>
        </w:rPr>
        <w:t>-</w:t>
      </w:r>
      <w:r>
        <w:rPr>
          <w:rFonts w:cs="Arial"/>
          <w:rtl/>
        </w:rPr>
        <w:t xml:space="preserve"> הויא ספק גרושה וחולצת ולא מתייבמת.</w:t>
      </w:r>
    </w:p>
    <w:p w14:paraId="1B42560E" w14:textId="563FFEC6" w:rsidR="00C97BEF" w:rsidRDefault="00C97BEF" w:rsidP="006A458D">
      <w:pPr>
        <w:pStyle w:val="ab"/>
        <w:numPr>
          <w:ilvl w:val="1"/>
          <w:numId w:val="112"/>
        </w:numPr>
        <w:rPr>
          <w:rtl/>
        </w:rPr>
      </w:pPr>
      <w:r>
        <w:rPr>
          <w:rFonts w:cs="Arial"/>
          <w:rtl/>
        </w:rPr>
        <w:t>טור</w:t>
      </w:r>
      <w:r w:rsidR="00A82951">
        <w:rPr>
          <w:rFonts w:cs="Arial"/>
          <w:rtl/>
        </w:rPr>
        <w:t>-</w:t>
      </w:r>
      <w:r>
        <w:rPr>
          <w:rFonts w:cs="Arial"/>
          <w:rtl/>
        </w:rPr>
        <w:t xml:space="preserve"> וטוב לעשות שיאמר 'מעכשיו אם מתי', שאם אמר 'מהיום' שמא אין דעתו אלא מסוף היום ואילך, ואם מת קודם שיעבור היום אין גט לאחר מיתה. </w:t>
      </w:r>
      <w:r>
        <w:rPr>
          <w:rFonts w:cs="Arial"/>
          <w:color w:val="E36C0A" w:themeColor="accent6" w:themeShade="BF"/>
          <w:rtl/>
        </w:rPr>
        <w:t xml:space="preserve">(וכ"פ בשו"ע </w:t>
      </w:r>
      <w:r>
        <w:rPr>
          <w:rFonts w:cs="Arial"/>
          <w:color w:val="000000" w:themeColor="text1"/>
          <w:sz w:val="16"/>
          <w:szCs w:val="16"/>
          <w:rtl/>
        </w:rPr>
        <w:t>[בסע' הבא]</w:t>
      </w:r>
      <w:r>
        <w:rPr>
          <w:rFonts w:cs="Arial"/>
          <w:color w:val="E36C0A" w:themeColor="accent6" w:themeShade="BF"/>
          <w:rtl/>
        </w:rPr>
        <w:t>)</w:t>
      </w:r>
    </w:p>
    <w:p w14:paraId="5AEC07B7"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2BF0CCE6" w14:textId="77777777" w:rsidR="00C97BEF" w:rsidRDefault="00C97BEF" w:rsidP="00C97BEF">
      <w:pPr>
        <w:rPr>
          <w:rtl/>
        </w:rPr>
      </w:pPr>
      <w:r>
        <w:rPr>
          <w:rFonts w:cs="Arial"/>
          <w:rtl/>
        </w:rPr>
        <w:lastRenderedPageBreak/>
        <w:t>הרי זה גיטיך אם מתי, או הרי זה גיטך אם מתי מחולי זה, או הרי זה גיטיך לאחר מיתה, אינו גט. ויש אומרים שהוא ספק</w:t>
      </w:r>
      <w:r>
        <w:rPr>
          <w:rStyle w:val="a7"/>
          <w:rFonts w:cs="Arial"/>
          <w:rtl/>
        </w:rPr>
        <w:footnoteReference w:id="2538"/>
      </w:r>
      <w:r>
        <w:rPr>
          <w:rFonts w:cs="Arial"/>
          <w:rtl/>
        </w:rPr>
        <w:t xml:space="preserve">. </w:t>
      </w:r>
    </w:p>
    <w:p w14:paraId="4FF17017" w14:textId="77777777" w:rsidR="00C97BEF" w:rsidRDefault="00C97BEF" w:rsidP="00C97BEF">
      <w:pPr>
        <w:rPr>
          <w:rtl/>
        </w:rPr>
      </w:pPr>
    </w:p>
    <w:p w14:paraId="7C6608B4" w14:textId="77777777" w:rsidR="00C97BEF" w:rsidRDefault="00C97BEF" w:rsidP="00C97BEF">
      <w:pPr>
        <w:pStyle w:val="2"/>
        <w:rPr>
          <w:rtl/>
        </w:rPr>
      </w:pPr>
      <w:r>
        <w:rPr>
          <w:rtl/>
        </w:rPr>
        <w:t>סעיף ב: מהיום/מעכשיו אם מתי.</w:t>
      </w:r>
    </w:p>
    <w:p w14:paraId="7168E63C" w14:textId="77777777" w:rsidR="00C97BEF" w:rsidRDefault="00C97BEF" w:rsidP="00C97BEF">
      <w:pPr>
        <w:rPr>
          <w:rtl/>
        </w:rPr>
      </w:pPr>
      <w:r>
        <w:rPr>
          <w:rtl/>
        </w:rPr>
        <w:t>עיין במקורות בסעיף הקודם.</w:t>
      </w:r>
    </w:p>
    <w:p w14:paraId="60558DF2"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D336A62" w14:textId="77777777" w:rsidR="00C97BEF" w:rsidRDefault="00C97BEF" w:rsidP="00C97BEF">
      <w:pPr>
        <w:rPr>
          <w:rtl/>
        </w:rPr>
      </w:pPr>
      <w:r>
        <w:rPr>
          <w:rFonts w:cs="Arial"/>
          <w:rtl/>
        </w:rPr>
        <w:t>הרי זה גיטך מהיום אם מתי, או מעכשיו אם מתי, הרי זה גט, וכשימות תהיה מגורשת</w:t>
      </w:r>
      <w:r>
        <w:rPr>
          <w:rStyle w:val="a7"/>
          <w:rFonts w:cs="Arial"/>
          <w:rtl/>
        </w:rPr>
        <w:footnoteReference w:id="2539"/>
      </w:r>
      <w:r>
        <w:rPr>
          <w:rFonts w:cs="Arial"/>
          <w:rtl/>
        </w:rPr>
        <w:t xml:space="preserve">. ויותר טוב שיאמר: מעכשיו, משיאמר: מהיום, שאם אמר: מהיום, ומת בתוך היום, יש להסתפק שמא אין דעתו אלא בסוף היום, ואין גט לאחר מיתה. </w:t>
      </w:r>
    </w:p>
    <w:p w14:paraId="488519E7" w14:textId="77777777" w:rsidR="00C97BEF" w:rsidRDefault="00C97BEF" w:rsidP="00C97BEF">
      <w:pPr>
        <w:rPr>
          <w:rtl/>
        </w:rPr>
      </w:pPr>
    </w:p>
    <w:p w14:paraId="353F86C4" w14:textId="77777777" w:rsidR="00C97BEF" w:rsidRDefault="00C97BEF" w:rsidP="00C97BEF">
      <w:pPr>
        <w:pStyle w:val="2"/>
        <w:rPr>
          <w:rtl/>
        </w:rPr>
      </w:pPr>
      <w:r>
        <w:rPr>
          <w:rtl/>
        </w:rPr>
        <w:t>סעיף ג: מהיום/מעכשיו ולאחר מיתה.</w:t>
      </w:r>
    </w:p>
    <w:p w14:paraId="6121CA7E" w14:textId="456C3037" w:rsidR="00C97BEF" w:rsidRDefault="00C97BEF" w:rsidP="00C97BEF">
      <w:pPr>
        <w:rPr>
          <w:rtl/>
        </w:rPr>
      </w:pPr>
      <w:r>
        <w:rPr>
          <w:rFonts w:cs="Arial"/>
          <w:b/>
          <w:bCs/>
          <w:rtl/>
        </w:rPr>
        <w:t xml:space="preserve">גיטין </w:t>
      </w:r>
      <w:r>
        <w:rPr>
          <w:rFonts w:cs="Arial"/>
          <w:b/>
          <w:bCs/>
          <w:sz w:val="16"/>
          <w:szCs w:val="16"/>
          <w:rtl/>
        </w:rPr>
        <w:t>(פ' מי שאחזו)</w:t>
      </w:r>
      <w:r>
        <w:rPr>
          <w:rFonts w:cs="Arial"/>
          <w:b/>
          <w:bCs/>
          <w:rtl/>
        </w:rPr>
        <w:t xml:space="preserve"> עב ע"א:</w:t>
      </w:r>
      <w:r>
        <w:rPr>
          <w:rtl/>
        </w:rPr>
        <w:t xml:space="preserve"> </w:t>
      </w:r>
      <w:r>
        <w:rPr>
          <w:rFonts w:cs="Arial"/>
          <w:u w:val="double"/>
          <w:rtl/>
        </w:rPr>
        <w:t>מתני'</w:t>
      </w:r>
      <w:r>
        <w:rPr>
          <w:rFonts w:cs="Arial"/>
          <w:rtl/>
        </w:rPr>
        <w:t xml:space="preserve">:... מהיום ולאחר מיתה </w:t>
      </w:r>
      <w:r w:rsidR="00A82951">
        <w:rPr>
          <w:rFonts w:cs="Arial"/>
          <w:rtl/>
        </w:rPr>
        <w:t>-</w:t>
      </w:r>
      <w:r>
        <w:rPr>
          <w:rFonts w:cs="Arial"/>
          <w:rtl/>
        </w:rPr>
        <w:t xml:space="preserve"> גט ואינו גט</w:t>
      </w:r>
      <w:r>
        <w:rPr>
          <w:rStyle w:val="a7"/>
          <w:rFonts w:cs="Arial"/>
          <w:rtl/>
        </w:rPr>
        <w:footnoteReference w:id="2540"/>
      </w:r>
      <w:r>
        <w:rPr>
          <w:rFonts w:cs="Arial"/>
          <w:rtl/>
        </w:rPr>
        <w:t>, ואם מת, חולצת</w:t>
      </w:r>
      <w:r>
        <w:rPr>
          <w:rStyle w:val="a7"/>
          <w:rFonts w:cs="Arial"/>
          <w:rtl/>
        </w:rPr>
        <w:footnoteReference w:id="2541"/>
      </w:r>
      <w:r>
        <w:rPr>
          <w:rFonts w:cs="Arial"/>
          <w:rtl/>
        </w:rPr>
        <w:t xml:space="preserve"> ולא מתייבמת</w:t>
      </w:r>
      <w:r>
        <w:rPr>
          <w:rStyle w:val="a7"/>
          <w:rFonts w:cs="Arial"/>
          <w:rtl/>
        </w:rPr>
        <w:footnoteReference w:id="2542"/>
      </w:r>
      <w:r>
        <w:rPr>
          <w:rFonts w:cs="Arial"/>
          <w:rtl/>
        </w:rPr>
        <w:t xml:space="preserve">... </w:t>
      </w:r>
    </w:p>
    <w:p w14:paraId="686233F0" w14:textId="77777777" w:rsidR="00C97BEF" w:rsidRDefault="00C97BEF" w:rsidP="00C97BEF">
      <w:pPr>
        <w:rPr>
          <w:u w:val="single"/>
          <w:rtl/>
        </w:rPr>
      </w:pPr>
      <w:r>
        <w:rPr>
          <w:u w:val="single"/>
          <w:rtl/>
        </w:rPr>
        <w:t>אמר לה 'הרי זה גיטך מעכשיו ולאחר מיתה':</w:t>
      </w:r>
    </w:p>
    <w:p w14:paraId="1A6F7B2C" w14:textId="2CD893D5" w:rsidR="00C97BEF" w:rsidRDefault="00C97BEF" w:rsidP="006A458D">
      <w:pPr>
        <w:pStyle w:val="ab"/>
        <w:numPr>
          <w:ilvl w:val="0"/>
          <w:numId w:val="112"/>
        </w:numPr>
        <w:rPr>
          <w:rtl/>
        </w:rPr>
      </w:pPr>
      <w:r>
        <w:rPr>
          <w:rtl/>
        </w:rPr>
        <w:t>טור</w:t>
      </w:r>
      <w:r w:rsidR="00A82951">
        <w:rPr>
          <w:rtl/>
        </w:rPr>
        <w:t>-</w:t>
      </w:r>
      <w:r>
        <w:rPr>
          <w:rFonts w:cs="Arial"/>
          <w:rtl/>
        </w:rPr>
        <w:t xml:space="preserve"> אמר מהיום או מעכשיו ולאחר מיתה </w:t>
      </w:r>
      <w:r w:rsidR="00A82951">
        <w:rPr>
          <w:rFonts w:cs="Arial"/>
          <w:rtl/>
        </w:rPr>
        <w:t>-</w:t>
      </w:r>
      <w:r>
        <w:rPr>
          <w:rFonts w:cs="Arial"/>
          <w:rtl/>
        </w:rPr>
        <w:t xml:space="preserve"> הוי ספק שמא חזר בו ממה שאמר מהיום או לא</w:t>
      </w:r>
      <w:r w:rsidR="00EB32B9">
        <w:rPr>
          <w:rFonts w:cs="Arial" w:hint="cs"/>
          <w:rtl/>
        </w:rPr>
        <w:t>,</w:t>
      </w:r>
      <w:r>
        <w:rPr>
          <w:rFonts w:cs="Arial"/>
          <w:rtl/>
        </w:rPr>
        <w:t xml:space="preserve"> וחולצת ולא מתייבמת.</w:t>
      </w:r>
      <w:r>
        <w:rPr>
          <w:rFonts w:cs="Arial"/>
          <w:color w:val="E36C0A" w:themeColor="accent6" w:themeShade="BF"/>
          <w:rtl/>
        </w:rPr>
        <w:t xml:space="preserve"> (וכ"פ בשו"ע)</w:t>
      </w:r>
    </w:p>
    <w:p w14:paraId="41D4F990" w14:textId="3E4B9FA3" w:rsidR="00C97BEF" w:rsidRDefault="00C97BEF" w:rsidP="006A458D">
      <w:pPr>
        <w:pStyle w:val="ab"/>
        <w:numPr>
          <w:ilvl w:val="0"/>
          <w:numId w:val="112"/>
        </w:numPr>
      </w:pPr>
      <w:r>
        <w:rPr>
          <w:rFonts w:cs="Arial"/>
          <w:rtl/>
        </w:rPr>
        <w:t>רמ"ה</w:t>
      </w:r>
      <w:r>
        <w:rPr>
          <w:rFonts w:cs="Arial"/>
          <w:sz w:val="16"/>
          <w:szCs w:val="16"/>
          <w:rtl/>
        </w:rPr>
        <w:t xml:space="preserve"> (כ"כ הטור בשמו)</w:t>
      </w:r>
      <w:r w:rsidR="00A82951">
        <w:rPr>
          <w:rFonts w:cs="Arial"/>
          <w:rtl/>
        </w:rPr>
        <w:t>-</w:t>
      </w:r>
      <w:r>
        <w:rPr>
          <w:rFonts w:cs="Arial"/>
          <w:rtl/>
        </w:rPr>
        <w:t xml:space="preserve"> אין מעכשיו כמו מהיום, דאע"ג דמהיום ולאחר מיתה הוי ספק, מעכשיו ולאחר מיתה </w:t>
      </w:r>
      <w:r w:rsidR="00A82951">
        <w:rPr>
          <w:rFonts w:cs="Arial"/>
          <w:rtl/>
        </w:rPr>
        <w:t>-</w:t>
      </w:r>
      <w:r>
        <w:rPr>
          <w:rFonts w:cs="Arial"/>
          <w:rtl/>
        </w:rPr>
        <w:t xml:space="preserve"> הוי גט. </w:t>
      </w:r>
    </w:p>
    <w:p w14:paraId="2276D418"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3B35AD6" w14:textId="77777777" w:rsidR="00C97BEF" w:rsidRDefault="00C97BEF" w:rsidP="00C97BEF">
      <w:pPr>
        <w:rPr>
          <w:rtl/>
        </w:rPr>
      </w:pPr>
      <w:r>
        <w:rPr>
          <w:rFonts w:cs="Arial"/>
          <w:rtl/>
        </w:rPr>
        <w:t xml:space="preserve">הרי זו גיטיך מעכשיו או מהיום ולאחר מיתה, ומת, הרי זה ספק מגורשת, שמא אחר שאומר: מעכשיו, חזר בו מלשון מעכשיו, וסמכה דעתו על לאחר מיתה. </w:t>
      </w:r>
    </w:p>
    <w:p w14:paraId="52B08D79" w14:textId="77777777" w:rsidR="00C97BEF" w:rsidRDefault="00C97BEF" w:rsidP="00C97BEF">
      <w:pPr>
        <w:rPr>
          <w:rtl/>
        </w:rPr>
      </w:pPr>
    </w:p>
    <w:p w14:paraId="5A302A9B" w14:textId="77777777" w:rsidR="00C97BEF" w:rsidRDefault="00C97BEF" w:rsidP="00C97BEF">
      <w:pPr>
        <w:pStyle w:val="2"/>
        <w:rPr>
          <w:rtl/>
        </w:rPr>
      </w:pPr>
      <w:r>
        <w:rPr>
          <w:rtl/>
        </w:rPr>
        <w:t>סעיף ד: שכ"מ שגירש בסתם, ועמד מחוליו.</w:t>
      </w:r>
    </w:p>
    <w:p w14:paraId="04DF5960" w14:textId="53FFBC6F" w:rsidR="00C97BEF" w:rsidRDefault="00C97BEF" w:rsidP="00C97BEF">
      <w:pPr>
        <w:rPr>
          <w:rtl/>
        </w:rPr>
      </w:pPr>
      <w:r>
        <w:rPr>
          <w:rFonts w:cs="Arial"/>
          <w:b/>
          <w:bCs/>
          <w:rtl/>
        </w:rPr>
        <w:t xml:space="preserve">גיטין </w:t>
      </w:r>
      <w:r>
        <w:rPr>
          <w:rFonts w:cs="Arial"/>
          <w:b/>
          <w:bCs/>
          <w:sz w:val="16"/>
          <w:szCs w:val="16"/>
          <w:rtl/>
        </w:rPr>
        <w:t>(פ' מי שאחזו)</w:t>
      </w:r>
      <w:r>
        <w:rPr>
          <w:rFonts w:cs="Arial"/>
          <w:b/>
          <w:bCs/>
          <w:rtl/>
        </w:rPr>
        <w:t xml:space="preserve"> עב ע"א:</w:t>
      </w:r>
      <w:r>
        <w:rPr>
          <w:rtl/>
        </w:rPr>
        <w:t xml:space="preserve"> </w:t>
      </w:r>
      <w:r>
        <w:rPr>
          <w:rFonts w:cs="Arial"/>
          <w:u w:val="double"/>
          <w:rtl/>
        </w:rPr>
        <w:t>מתני'</w:t>
      </w:r>
      <w:r>
        <w:rPr>
          <w:rFonts w:cs="Arial"/>
          <w:rtl/>
        </w:rPr>
        <w:t xml:space="preserve">: זה גיטיך מהיום אם מתי מחולי זה, ועמד והלך בשוק וחלה ומת, אומדין אותו, אם מחמת חולי הראשון מת </w:t>
      </w:r>
      <w:r w:rsidR="00A82951">
        <w:rPr>
          <w:rFonts w:cs="Arial"/>
          <w:rtl/>
        </w:rPr>
        <w:t>-</w:t>
      </w:r>
      <w:r>
        <w:rPr>
          <w:rFonts w:cs="Arial"/>
          <w:rtl/>
        </w:rPr>
        <w:t xml:space="preserve"> ה"ז גט, ואם לאו </w:t>
      </w:r>
      <w:r w:rsidR="00A82951">
        <w:rPr>
          <w:rFonts w:cs="Arial"/>
          <w:rtl/>
        </w:rPr>
        <w:t>-</w:t>
      </w:r>
      <w:r>
        <w:rPr>
          <w:rFonts w:cs="Arial"/>
          <w:rtl/>
        </w:rPr>
        <w:t xml:space="preserve"> אינו גט...       </w:t>
      </w:r>
      <w:r>
        <w:rPr>
          <w:rFonts w:cs="Arial"/>
          <w:u w:val="double"/>
          <w:rtl/>
        </w:rPr>
        <w:t>גמ'</w:t>
      </w:r>
      <w:r>
        <w:rPr>
          <w:rFonts w:cs="Arial"/>
          <w:sz w:val="14"/>
          <w:szCs w:val="14"/>
          <w:u w:val="double"/>
          <w:rtl/>
        </w:rPr>
        <w:t>(עב:)</w:t>
      </w:r>
      <w:r>
        <w:rPr>
          <w:rFonts w:cs="Arial"/>
          <w:u w:val="double"/>
          <w:rtl/>
        </w:rPr>
        <w:t>:</w:t>
      </w:r>
      <w:r>
        <w:rPr>
          <w:rFonts w:cs="Arial"/>
          <w:rtl/>
        </w:rPr>
        <w:t xml:space="preserve"> זה גיטיך מהיום אם מתי מחולי זה, ועמד והלך בשוק כו'. </w:t>
      </w:r>
      <w:r>
        <w:rPr>
          <w:rFonts w:cs="Arial"/>
          <w:u w:val="single"/>
          <w:rtl/>
        </w:rPr>
        <w:t>אמר רב הונא</w:t>
      </w:r>
      <w:r>
        <w:rPr>
          <w:rFonts w:cs="Arial"/>
          <w:rtl/>
        </w:rPr>
        <w:t>: גיטו</w:t>
      </w:r>
      <w:r>
        <w:rPr>
          <w:rStyle w:val="a7"/>
          <w:rFonts w:cs="Arial"/>
          <w:rtl/>
        </w:rPr>
        <w:footnoteReference w:id="2543"/>
      </w:r>
      <w:r>
        <w:rPr>
          <w:rFonts w:cs="Arial"/>
          <w:rtl/>
        </w:rPr>
        <w:t xml:space="preserve"> כמתנתו</w:t>
      </w:r>
      <w:r>
        <w:rPr>
          <w:rStyle w:val="a7"/>
          <w:rFonts w:cs="Arial"/>
          <w:rtl/>
        </w:rPr>
        <w:footnoteReference w:id="2544"/>
      </w:r>
      <w:r>
        <w:rPr>
          <w:rFonts w:cs="Arial"/>
          <w:rtl/>
        </w:rPr>
        <w:t>, מה מתנתו אם עמד חוזר, אף גיטו אם עמד חוזר</w:t>
      </w:r>
      <w:r>
        <w:rPr>
          <w:rStyle w:val="a7"/>
          <w:rFonts w:cs="Arial"/>
          <w:rtl/>
        </w:rPr>
        <w:footnoteReference w:id="2545"/>
      </w:r>
      <w:r>
        <w:rPr>
          <w:rFonts w:cs="Arial"/>
          <w:rtl/>
        </w:rPr>
        <w:t>...</w:t>
      </w:r>
      <w:r>
        <w:rPr>
          <w:rFonts w:cs="Arial"/>
          <w:sz w:val="14"/>
          <w:szCs w:val="14"/>
          <w:rtl/>
        </w:rPr>
        <w:t xml:space="preserve"> (עג.)</w:t>
      </w:r>
      <w:r>
        <w:rPr>
          <w:rFonts w:cs="Arial"/>
          <w:rtl/>
        </w:rPr>
        <w:t xml:space="preserve"> </w:t>
      </w:r>
      <w:r>
        <w:rPr>
          <w:rFonts w:cs="Arial"/>
          <w:u w:val="single"/>
          <w:rtl/>
        </w:rPr>
        <w:t>רבה ורבא</w:t>
      </w:r>
      <w:r>
        <w:rPr>
          <w:rFonts w:cs="Arial"/>
          <w:rtl/>
        </w:rPr>
        <w:t xml:space="preserve"> לא סבירא להו הא דרב הונא</w:t>
      </w:r>
      <w:r>
        <w:rPr>
          <w:rStyle w:val="a7"/>
          <w:rFonts w:cs="Arial"/>
          <w:rtl/>
        </w:rPr>
        <w:footnoteReference w:id="2546"/>
      </w:r>
      <w:r>
        <w:rPr>
          <w:rFonts w:cs="Arial"/>
          <w:rtl/>
        </w:rPr>
        <w:t>, גזירה שמא יאמרו יש גט לאחר מיתה</w:t>
      </w:r>
      <w:r>
        <w:rPr>
          <w:rStyle w:val="a7"/>
          <w:rFonts w:cs="Arial"/>
          <w:rtl/>
        </w:rPr>
        <w:footnoteReference w:id="2547"/>
      </w:r>
      <w:r>
        <w:rPr>
          <w:rFonts w:cs="Arial"/>
          <w:rtl/>
        </w:rPr>
        <w:t>.</w:t>
      </w:r>
    </w:p>
    <w:p w14:paraId="07745BEB" w14:textId="77777777" w:rsidR="00C97BEF" w:rsidRDefault="00C97BEF" w:rsidP="00C97BEF">
      <w:pPr>
        <w:rPr>
          <w:u w:val="single"/>
          <w:rtl/>
        </w:rPr>
      </w:pPr>
      <w:r>
        <w:rPr>
          <w:rFonts w:cs="Arial"/>
          <w:u w:val="single"/>
          <w:rtl/>
        </w:rPr>
        <w:t>שכיב מרע שגירש בסתם, ועמד מחוליו</w:t>
      </w:r>
      <w:r>
        <w:rPr>
          <w:u w:val="single"/>
          <w:rtl/>
        </w:rPr>
        <w:t>:</w:t>
      </w:r>
    </w:p>
    <w:p w14:paraId="15F70803" w14:textId="3EBE84AE" w:rsidR="00C97BEF" w:rsidRDefault="00C97BEF" w:rsidP="006A458D">
      <w:pPr>
        <w:pStyle w:val="ab"/>
        <w:numPr>
          <w:ilvl w:val="0"/>
          <w:numId w:val="112"/>
        </w:numPr>
        <w:rPr>
          <w:rtl/>
        </w:rPr>
      </w:pPr>
      <w:r>
        <w:rPr>
          <w:rtl/>
        </w:rPr>
        <w:lastRenderedPageBreak/>
        <w:t>טור</w:t>
      </w:r>
      <w:r w:rsidR="00A82951">
        <w:rPr>
          <w:rtl/>
        </w:rPr>
        <w:t>-</w:t>
      </w:r>
      <w:r>
        <w:rPr>
          <w:rFonts w:cs="Arial"/>
          <w:rtl/>
        </w:rPr>
        <w:t xml:space="preserve"> והיכא דאמר מעכשיו דהוי גט </w:t>
      </w:r>
      <w:r w:rsidR="00A82951">
        <w:rPr>
          <w:rFonts w:cs="Arial"/>
          <w:rtl/>
        </w:rPr>
        <w:t>-</w:t>
      </w:r>
      <w:r>
        <w:rPr>
          <w:rFonts w:cs="Arial"/>
          <w:rtl/>
        </w:rPr>
        <w:t xml:space="preserve"> אפי' לא מת בחוליו אלא עמד הוי גט, אע"פ דגבי מתנתו אינו כך אלא מיד כשעמד נתבטלה המתנה, בגט הוי גט אא"כ פירש בפירוש שאם יעמוד שלא יהא גט</w:t>
      </w:r>
      <w:r>
        <w:rPr>
          <w:rStyle w:val="a7"/>
          <w:rFonts w:cs="Arial"/>
          <w:rtl/>
        </w:rPr>
        <w:footnoteReference w:id="2548"/>
      </w:r>
      <w:r>
        <w:rPr>
          <w:rFonts w:cs="Arial"/>
          <w:rtl/>
        </w:rPr>
        <w:t>.</w:t>
      </w:r>
      <w:r>
        <w:rPr>
          <w:rFonts w:cs="Arial"/>
          <w:color w:val="E36C0A" w:themeColor="accent6" w:themeShade="BF"/>
          <w:rtl/>
        </w:rPr>
        <w:t xml:space="preserve"> (וכ"פ בשו"ע)</w:t>
      </w:r>
    </w:p>
    <w:p w14:paraId="40FB1310"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B171A96" w14:textId="77777777" w:rsidR="00C97BEF" w:rsidRDefault="00C97BEF" w:rsidP="00C97BEF">
      <w:pPr>
        <w:rPr>
          <w:rtl/>
        </w:rPr>
      </w:pPr>
      <w:r>
        <w:rPr>
          <w:rFonts w:cs="Arial"/>
          <w:rtl/>
        </w:rPr>
        <w:t>שכיב מרע שגירש סתם בלא תנאי דמהיום אם מתי, אין אומרים סתמו כפירושו, כמו שאנו אומרים במתנה, דגט שאני, ואם עמד אינו חוזר</w:t>
      </w:r>
      <w:r>
        <w:rPr>
          <w:rStyle w:val="a7"/>
          <w:rFonts w:cs="Arial"/>
          <w:rtl/>
        </w:rPr>
        <w:footnoteReference w:id="2549"/>
      </w:r>
      <w:r>
        <w:rPr>
          <w:rFonts w:cs="Arial"/>
          <w:rtl/>
        </w:rPr>
        <w:t xml:space="preserve">. </w:t>
      </w:r>
    </w:p>
    <w:p w14:paraId="4063DB29" w14:textId="77777777" w:rsidR="00C97BEF" w:rsidRDefault="00C97BEF" w:rsidP="00C97BEF">
      <w:pPr>
        <w:rPr>
          <w:rtl/>
        </w:rPr>
      </w:pPr>
    </w:p>
    <w:p w14:paraId="51DB98AC" w14:textId="77777777" w:rsidR="00C97BEF" w:rsidRDefault="00C97BEF" w:rsidP="00C97BEF">
      <w:pPr>
        <w:pStyle w:val="2"/>
        <w:rPr>
          <w:rtl/>
        </w:rPr>
      </w:pPr>
      <w:r>
        <w:rPr>
          <w:rtl/>
        </w:rPr>
        <w:t>סעיף ה: שכ"מ שרוצה לתת גט על תנאי שאם ימות תהא מגורשת, ואם יעמוד תשאר.</w:t>
      </w:r>
    </w:p>
    <w:p w14:paraId="707CE416" w14:textId="3AB4528D" w:rsidR="00C97BEF" w:rsidRDefault="00C97BEF" w:rsidP="00C97BEF">
      <w:pPr>
        <w:rPr>
          <w:rtl/>
        </w:rPr>
      </w:pPr>
      <w:r>
        <w:rPr>
          <w:rFonts w:cs="Arial"/>
          <w:b/>
          <w:bCs/>
          <w:rtl/>
        </w:rPr>
        <w:t xml:space="preserve">גיטין </w:t>
      </w:r>
      <w:r>
        <w:rPr>
          <w:rFonts w:cs="Arial"/>
          <w:b/>
          <w:bCs/>
          <w:sz w:val="16"/>
          <w:szCs w:val="16"/>
          <w:rtl/>
        </w:rPr>
        <w:t>(פ' מי שאחזו)</w:t>
      </w:r>
      <w:r>
        <w:rPr>
          <w:rFonts w:cs="Arial"/>
          <w:b/>
          <w:bCs/>
          <w:rtl/>
        </w:rPr>
        <w:t xml:space="preserve"> עה ע"ב:</w:t>
      </w:r>
      <w:r>
        <w:rPr>
          <w:rtl/>
        </w:rPr>
        <w:t xml:space="preserve"> </w:t>
      </w:r>
      <w:r>
        <w:rPr>
          <w:rFonts w:cs="Arial"/>
          <w:u w:val="single"/>
          <w:rtl/>
        </w:rPr>
        <w:t>אתקין שמואל</w:t>
      </w:r>
      <w:r>
        <w:rPr>
          <w:rFonts w:cs="Arial"/>
          <w:rtl/>
        </w:rPr>
        <w:t xml:space="preserve"> בגיטא דשכיב מרע: אם לא מתי לא יהא גט, ואם מתי יהא גט. ולימא: אם מתי יהא גט, ואם לא מתי לא יהא גט! לא מקדים איניש פורענותא לנפשיה. ולימא: לא יהא גט אם לא מתי! בעינן תנאי קודם למעשה. </w:t>
      </w:r>
      <w:r>
        <w:rPr>
          <w:rFonts w:cs="Arial"/>
          <w:u w:val="single"/>
          <w:rtl/>
        </w:rPr>
        <w:t>מתקיף לה רבא</w:t>
      </w:r>
      <w:r>
        <w:rPr>
          <w:rFonts w:cs="Arial"/>
          <w:rtl/>
        </w:rPr>
        <w:t xml:space="preserve">: מכדי כל תנאי מהיכא גמרינן, מתנאי בני גד ובני ראובן, מה התם הן קודם ללאו, אף כל, לאפוקי הכא דלאו קודם להן! </w:t>
      </w:r>
      <w:r>
        <w:rPr>
          <w:rFonts w:cs="Arial"/>
          <w:u w:val="single"/>
          <w:rtl/>
        </w:rPr>
        <w:t>אלא אמר רבא</w:t>
      </w:r>
      <w:r>
        <w:rPr>
          <w:rFonts w:cs="Arial"/>
          <w:rtl/>
        </w:rPr>
        <w:t xml:space="preserve">: אם לא מתי לא יהא גט, אם מתי יהא גט, אם לא מתי לא יהא גט. </w:t>
      </w:r>
      <w:r>
        <w:rPr>
          <w:rStyle w:val="a7"/>
          <w:rFonts w:cs="Arial"/>
          <w:rtl/>
        </w:rPr>
        <w:footnoteReference w:id="2550"/>
      </w:r>
      <w:r>
        <w:rPr>
          <w:rFonts w:cs="Arial"/>
          <w:rtl/>
        </w:rPr>
        <w:t xml:space="preserve">אם לא מתי לא יהא גט </w:t>
      </w:r>
      <w:r w:rsidR="00A82951">
        <w:rPr>
          <w:rFonts w:cs="Arial"/>
          <w:rtl/>
        </w:rPr>
        <w:t>-</w:t>
      </w:r>
      <w:r>
        <w:rPr>
          <w:rFonts w:cs="Arial"/>
          <w:rtl/>
        </w:rPr>
        <w:t xml:space="preserve"> לא מקדים איניש פורענותא לנפשיה. אם מתי יהא גט אם לא מתי לא יהא גט </w:t>
      </w:r>
      <w:r w:rsidR="00A82951">
        <w:rPr>
          <w:rFonts w:cs="Arial"/>
          <w:rtl/>
        </w:rPr>
        <w:t>-</w:t>
      </w:r>
      <w:r>
        <w:rPr>
          <w:rFonts w:cs="Arial"/>
          <w:rtl/>
        </w:rPr>
        <w:t xml:space="preserve"> בעינן הן קודם ללאו.</w:t>
      </w:r>
    </w:p>
    <w:p w14:paraId="02470586" w14:textId="77777777" w:rsidR="00C97BEF" w:rsidRDefault="00C97BEF" w:rsidP="00C97BEF">
      <w:pPr>
        <w:rPr>
          <w:u w:val="single"/>
          <w:rtl/>
        </w:rPr>
      </w:pPr>
      <w:r>
        <w:rPr>
          <w:u w:val="single"/>
          <w:rtl/>
        </w:rPr>
        <w:t>שכ"מ שרוצה לתת גט על תנאי שאם ימות תהא מגורשת, ואם יעמוד תשאר:</w:t>
      </w:r>
    </w:p>
    <w:p w14:paraId="79AB9DF3" w14:textId="37FB70DB" w:rsidR="00C97BEF" w:rsidRDefault="00C97BEF" w:rsidP="006A458D">
      <w:pPr>
        <w:pStyle w:val="ab"/>
        <w:numPr>
          <w:ilvl w:val="0"/>
          <w:numId w:val="112"/>
        </w:numPr>
        <w:rPr>
          <w:rtl/>
        </w:rPr>
      </w:pPr>
      <w:r>
        <w:rPr>
          <w:rtl/>
        </w:rPr>
        <w:t>טור</w:t>
      </w:r>
      <w:r w:rsidR="00A82951">
        <w:rPr>
          <w:rtl/>
        </w:rPr>
        <w:t>-</w:t>
      </w:r>
      <w:r>
        <w:rPr>
          <w:rFonts w:cs="Arial"/>
          <w:rtl/>
        </w:rPr>
        <w:t xml:space="preserve"> לכך צ"ל בשעת מסירת הגט: 'אם לא מתי</w:t>
      </w:r>
      <w:r>
        <w:rPr>
          <w:rStyle w:val="a7"/>
          <w:rFonts w:cs="Arial"/>
          <w:rtl/>
        </w:rPr>
        <w:footnoteReference w:id="2551"/>
      </w:r>
      <w:r>
        <w:rPr>
          <w:rFonts w:cs="Arial"/>
          <w:rtl/>
        </w:rPr>
        <w:t xml:space="preserve"> לא יהא גט, ואם מתי יהא גט מעכשיו, ואם לא מתי לא יהא גט', ואז הוא בטל כשיעמוד</w:t>
      </w:r>
      <w:r>
        <w:rPr>
          <w:rStyle w:val="a7"/>
          <w:rFonts w:cs="Arial"/>
          <w:rtl/>
        </w:rPr>
        <w:footnoteReference w:id="2552"/>
      </w:r>
      <w:r>
        <w:rPr>
          <w:rFonts w:cs="Arial"/>
          <w:rtl/>
        </w:rPr>
        <w:t>. ואם ירצה שלא יתבטל מיד כשיעמוד אלא עד זמן יאמר: 'אם מתי עד זמן פלוני יהא גט מעכשיו ואם לא מתי עד זמן פלוני לא יהא גט'.</w:t>
      </w:r>
      <w:r w:rsidR="00113A3E" w:rsidRPr="00113A3E">
        <w:rPr>
          <w:rFonts w:cs="Arial"/>
          <w:color w:val="E36C0A" w:themeColor="accent6" w:themeShade="BF"/>
          <w:rtl/>
        </w:rPr>
        <w:t xml:space="preserve"> </w:t>
      </w:r>
      <w:r w:rsidR="00113A3E">
        <w:rPr>
          <w:rFonts w:cs="Arial"/>
          <w:color w:val="E36C0A" w:themeColor="accent6" w:themeShade="BF"/>
          <w:rtl/>
        </w:rPr>
        <w:t>(וכ"פ בשו"ע)</w:t>
      </w:r>
    </w:p>
    <w:p w14:paraId="47D75CEE" w14:textId="44254CC9" w:rsidR="00C97BEF" w:rsidRDefault="00C97BEF" w:rsidP="006A458D">
      <w:pPr>
        <w:pStyle w:val="ab"/>
        <w:numPr>
          <w:ilvl w:val="0"/>
          <w:numId w:val="112"/>
        </w:numPr>
      </w:pPr>
      <w:r>
        <w:rPr>
          <w:rFonts w:cs="Arial"/>
          <w:rtl/>
        </w:rPr>
        <w:t xml:space="preserve">תרומה </w:t>
      </w:r>
      <w:r>
        <w:rPr>
          <w:rFonts w:cs="Arial"/>
          <w:sz w:val="16"/>
          <w:szCs w:val="16"/>
          <w:rtl/>
        </w:rPr>
        <w:t>(סי' קל, העתיק דבריו המרדכי [גיטין סי' תלא], הביאו הדרכ"מ [אות ב])</w:t>
      </w:r>
      <w:r w:rsidR="00A82951">
        <w:rPr>
          <w:rFonts w:cs="Arial"/>
          <w:rtl/>
        </w:rPr>
        <w:t>-</w:t>
      </w:r>
      <w:r>
        <w:rPr>
          <w:rFonts w:cs="Arial"/>
          <w:rtl/>
        </w:rPr>
        <w:t xml:space="preserve"> ואם רוצה שתהא מגורשת בגט ראשון יתן זמן בתנאי ויאמר: 'אם מתי עד זמן פלוני יהא גט מעכשיו ותהא מגורשת ממני ותהא מותרת לכל אדם, ואם לא מתי עד אותו זמן לא יהא גט'. מיהו אומר מורי רבינו</w:t>
      </w:r>
      <w:r>
        <w:rPr>
          <w:rFonts w:cs="Arial"/>
          <w:sz w:val="16"/>
          <w:szCs w:val="16"/>
          <w:rtl/>
        </w:rPr>
        <w:t xml:space="preserve"> {ר"י}</w:t>
      </w:r>
      <w:r>
        <w:rPr>
          <w:rFonts w:cs="Arial"/>
          <w:rtl/>
        </w:rPr>
        <w:t xml:space="preserve"> שאם נתנו סתם על מנת שימות ופירש שיהא תנאי זה כדין תנאי בני גד ובני ראובן יכול יהיה שיועיל בלא כפילות תנאי.</w:t>
      </w:r>
      <w:r w:rsidR="00113A3E">
        <w:rPr>
          <w:rFonts w:hint="cs"/>
          <w:rtl/>
        </w:rPr>
        <w:t xml:space="preserve"> </w:t>
      </w:r>
    </w:p>
    <w:p w14:paraId="2C14E55D" w14:textId="77777777" w:rsidR="00C97BEF" w:rsidRDefault="00C97BEF" w:rsidP="00C97BEF">
      <w:pPr>
        <w:rPr>
          <w:rFonts w:cs="Arial"/>
          <w:u w:val="single"/>
          <w:rtl/>
        </w:rPr>
      </w:pPr>
      <w:r>
        <w:rPr>
          <w:rFonts w:cs="Arial"/>
          <w:u w:val="single"/>
          <w:rtl/>
        </w:rPr>
        <w:t>גט שכ"מ שנסתפקו בו אם התנאי שהתנה הוא תנאי כפול:</w:t>
      </w:r>
    </w:p>
    <w:p w14:paraId="38AFDE87" w14:textId="5A776A2D" w:rsidR="00C97BEF" w:rsidRDefault="00C97BEF" w:rsidP="006A458D">
      <w:pPr>
        <w:pStyle w:val="ab"/>
        <w:numPr>
          <w:ilvl w:val="0"/>
          <w:numId w:val="112"/>
        </w:numPr>
        <w:rPr>
          <w:rFonts w:cs="Arial"/>
          <w:rtl/>
        </w:rPr>
      </w:pPr>
      <w:r>
        <w:rPr>
          <w:rFonts w:cs="Arial"/>
          <w:rtl/>
        </w:rPr>
        <w:t xml:space="preserve">רשב"א </w:t>
      </w:r>
      <w:r>
        <w:rPr>
          <w:rFonts w:cs="Arial"/>
          <w:sz w:val="16"/>
          <w:szCs w:val="16"/>
          <w:rtl/>
        </w:rPr>
        <w:t>(סי' אלף רמח)</w:t>
      </w:r>
      <w:r w:rsidR="00A82951">
        <w:rPr>
          <w:rFonts w:cs="Arial"/>
          <w:rtl/>
        </w:rPr>
        <w:t>-</w:t>
      </w:r>
      <w:r>
        <w:rPr>
          <w:rFonts w:cs="Arial"/>
          <w:rtl/>
        </w:rPr>
        <w:t xml:space="preserve"> מה שנסתפקת בגט שכתוב בו לאחר כתיבת כל התורף 'אם לא מתי מחולי זה לא יהא גט' כיון שלא הזכיר 'מחולי זה אם מתי'. איזה ספק יש בזה כיון שמת מאותו חולי. שאם באת להסתפק כיון שלא אמר 'מחולי זה אם מתי', ולומר שלא נכפל התנאי במחולי זה, כל שכן שהתנאי בטל לדעת רבי מאיר והגט קיים. אלא אם מת מחולי אחר, והיא באה לפטור עצמה מהיבם ואומרת שהתנאי בטל מחמת שלא נכפל </w:t>
      </w:r>
      <w:r w:rsidR="00A82951">
        <w:rPr>
          <w:rFonts w:cs="Arial"/>
          <w:rtl/>
        </w:rPr>
        <w:t>-</w:t>
      </w:r>
      <w:r>
        <w:rPr>
          <w:rFonts w:cs="Arial"/>
          <w:rtl/>
        </w:rPr>
        <w:t xml:space="preserve"> אין בדבריה כלום דאנן בקושטא דמילתא לא קיי"ל כרבי מאיר דבעי תנאי כפול (עיין ב"י ר"ס קמג), ושמואל לאפוקי מספק בית דין טועין אתקין כן. ולא עוד אלא לרבי מאיר נמי מסתברא דתנאי כפול יש כאן כיון שפתח בתנאי דחולי זה באם לא מתי, ועוד חזר לבסוף והזכיר אותו תנאי, בודאי מה שאמר באמצע אם מתי מוכחא מילתא דנגרר הוא אחר התנאי שלפניו ושלאחריו. </w:t>
      </w:r>
    </w:p>
    <w:p w14:paraId="4DF8AE4B" w14:textId="77777777" w:rsidR="00C97BEF" w:rsidRDefault="00C97BEF" w:rsidP="00C97BEF">
      <w:pPr>
        <w:rPr>
          <w:rFonts w:cs="Arial"/>
          <w:u w:val="single"/>
        </w:rPr>
      </w:pPr>
      <w:r>
        <w:rPr>
          <w:rFonts w:cs="Arial"/>
          <w:u w:val="single"/>
          <w:rtl/>
        </w:rPr>
        <w:t xml:space="preserve">האם מה שכתוב בגט 'מן יומא דנן ולעלם' הוי כאומר 'מהיום' </w:t>
      </w:r>
      <w:r>
        <w:rPr>
          <w:rFonts w:cs="Arial"/>
          <w:sz w:val="16"/>
          <w:szCs w:val="16"/>
          <w:u w:val="single"/>
          <w:rtl/>
        </w:rPr>
        <w:t>(לעניין שכיב מרע שהתנה כנ"ל)</w:t>
      </w:r>
      <w:r>
        <w:rPr>
          <w:rFonts w:cs="Arial"/>
          <w:u w:val="single"/>
          <w:rtl/>
        </w:rPr>
        <w:t>:</w:t>
      </w:r>
    </w:p>
    <w:p w14:paraId="58435780" w14:textId="2AF75E80" w:rsidR="00C97BEF" w:rsidRDefault="00C97BEF" w:rsidP="006A458D">
      <w:pPr>
        <w:pStyle w:val="ab"/>
        <w:numPr>
          <w:ilvl w:val="0"/>
          <w:numId w:val="112"/>
        </w:numPr>
        <w:rPr>
          <w:rtl/>
        </w:rPr>
      </w:pPr>
      <w:r>
        <w:rPr>
          <w:rFonts w:cs="Arial"/>
          <w:rtl/>
        </w:rPr>
        <w:t xml:space="preserve">תשב"ץ </w:t>
      </w:r>
      <w:r>
        <w:rPr>
          <w:rFonts w:cs="Arial"/>
          <w:sz w:val="16"/>
          <w:szCs w:val="16"/>
          <w:rtl/>
        </w:rPr>
        <w:t>(ח"א סי' קטו)</w:t>
      </w:r>
      <w:r w:rsidR="00A82951">
        <w:rPr>
          <w:rFonts w:cs="Arial"/>
          <w:rtl/>
        </w:rPr>
        <w:t>-</w:t>
      </w:r>
      <w:r>
        <w:rPr>
          <w:rFonts w:cs="Arial"/>
          <w:rtl/>
        </w:rPr>
        <w:t xml:space="preserve"> אע"פ שכתוב בספר עיטור סופרים (העיטור אות תי"ו תנאי לט ע"ד) דהא דלא אדכר שמואל בגיטא דשכיב מרע 'מהיום', משום דהא כתיב בגיטא 'מן יומא דנן ולעלם' </w:t>
      </w:r>
      <w:r w:rsidR="00A82951">
        <w:rPr>
          <w:rFonts w:cs="Arial"/>
          <w:rtl/>
        </w:rPr>
        <w:t>-</w:t>
      </w:r>
      <w:r>
        <w:rPr>
          <w:rFonts w:cs="Arial"/>
          <w:rtl/>
        </w:rPr>
        <w:t xml:space="preserve"> לא נמצא זה לאחד מן האחרונים... </w:t>
      </w:r>
      <w:r>
        <w:rPr>
          <w:rFonts w:cs="Arial"/>
          <w:sz w:val="16"/>
          <w:szCs w:val="16"/>
          <w:rtl/>
        </w:rPr>
        <w:t>{והאריך לתת טעם למה לא נסמוך על דברי עיטור סופרים בזה, ובסוף דבריו כתב</w:t>
      </w:r>
      <w:r w:rsidR="00A82951">
        <w:rPr>
          <w:rFonts w:cs="Arial"/>
          <w:sz w:val="16"/>
          <w:szCs w:val="16"/>
          <w:rtl/>
        </w:rPr>
        <w:t>-</w:t>
      </w:r>
      <w:r>
        <w:rPr>
          <w:rFonts w:cs="Arial"/>
          <w:sz w:val="16"/>
          <w:szCs w:val="16"/>
          <w:rtl/>
        </w:rPr>
        <w:t>}</w:t>
      </w:r>
      <w:r>
        <w:rPr>
          <w:rFonts w:cs="Arial"/>
          <w:rtl/>
        </w:rPr>
        <w:t xml:space="preserve"> ואם לא אמר מהיום </w:t>
      </w:r>
      <w:r w:rsidR="00A82951">
        <w:rPr>
          <w:rFonts w:cs="Arial"/>
          <w:rtl/>
        </w:rPr>
        <w:t>-</w:t>
      </w:r>
      <w:r>
        <w:rPr>
          <w:rFonts w:cs="Arial"/>
          <w:rtl/>
        </w:rPr>
        <w:t xml:space="preserve"> לא הוי גט בטל, ואם מת חולצת ולא מתייבמת מאחר שכתוב בגט מן יומא דנן.</w:t>
      </w:r>
    </w:p>
    <w:p w14:paraId="2A80A4B0" w14:textId="77777777" w:rsidR="00C97BEF" w:rsidRDefault="00C97BEF" w:rsidP="00C97BEF">
      <w:pPr>
        <w:rPr>
          <w:u w:val="single"/>
        </w:rPr>
      </w:pPr>
      <w:r>
        <w:rPr>
          <w:u w:val="single"/>
          <w:rtl/>
        </w:rPr>
        <w:lastRenderedPageBreak/>
        <w:t>האם הגט צריך להיות קיים בשעת מיתת הבעל:</w:t>
      </w:r>
      <w:r>
        <w:rPr>
          <w:rFonts w:cs="Arial"/>
          <w:sz w:val="16"/>
          <w:szCs w:val="16"/>
          <w:rtl/>
        </w:rPr>
        <w:t xml:space="preserve"> (דרכ"מ אות א)</w:t>
      </w:r>
    </w:p>
    <w:p w14:paraId="243ACFF4" w14:textId="30EE266E" w:rsidR="00C97BEF" w:rsidRDefault="00C97BEF" w:rsidP="006A458D">
      <w:pPr>
        <w:pStyle w:val="ab"/>
        <w:numPr>
          <w:ilvl w:val="0"/>
          <w:numId w:val="112"/>
        </w:numPr>
        <w:rPr>
          <w:rtl/>
        </w:rPr>
      </w:pPr>
      <w:r>
        <w:rPr>
          <w:rFonts w:cs="Arial"/>
          <w:rtl/>
        </w:rPr>
        <w:t xml:space="preserve">דרכ"מ </w:t>
      </w:r>
      <w:r>
        <w:rPr>
          <w:rFonts w:cs="Arial"/>
          <w:sz w:val="16"/>
          <w:szCs w:val="16"/>
          <w:rtl/>
        </w:rPr>
        <w:t>(אות א)</w:t>
      </w:r>
      <w:r w:rsidR="00A82951">
        <w:rPr>
          <w:rFonts w:cs="Arial"/>
          <w:rtl/>
        </w:rPr>
        <w:t>-</w:t>
      </w:r>
      <w:r>
        <w:rPr>
          <w:rFonts w:cs="Arial"/>
          <w:rtl/>
        </w:rPr>
        <w:t xml:space="preserve"> במרדכי (פרק מי שאחזו סימן תכט) כתב בשם תשובת מוהר"ם (מרוטנבורג ד"ב סי' קח עמ' קצט) שמצריך שיהא הגט קיים בשעת מיתת הבעל. ותשובת מוהר"ם איתא בתשובות מיימוני (סוף הלכות אישות סימן ל), ועיין שם שהאריך בדינים אלו וכתב דאם לא היה הגט קיים בשעת מיתה תצא. וכן פסק בסדר גיטין (סי' צו הגהה א). ועיין לעיל סוף סימן קמ"ג (עמ' רפא) דהרבה פוסקים חולקים וסבירא להו דכל שאומר מעכשיו אפילו אם נאבד או נשרף הגט כשר. ועיין שם.</w:t>
      </w:r>
    </w:p>
    <w:p w14:paraId="7F487936"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A5F07F4" w14:textId="4C0552A0" w:rsidR="00C97BEF" w:rsidRDefault="00C97BEF" w:rsidP="00C97BEF">
      <w:pPr>
        <w:rPr>
          <w:rtl/>
        </w:rPr>
      </w:pPr>
      <w:r>
        <w:rPr>
          <w:rFonts w:cs="Arial"/>
          <w:rtl/>
        </w:rPr>
        <w:t>שכיב מרע שרוצה לגרש על תנאי אם ימות, כדי שלא תפול לפני יבם, ואם עמד לא תהיה מגורשת</w:t>
      </w:r>
      <w:r w:rsidR="008251F0">
        <w:rPr>
          <w:rFonts w:cs="Arial" w:hint="cs"/>
          <w:rtl/>
        </w:rPr>
        <w:t>.</w:t>
      </w:r>
      <w:r>
        <w:rPr>
          <w:rFonts w:cs="Arial"/>
          <w:rtl/>
        </w:rPr>
        <w:t xml:space="preserve"> אומר לה כשנותן לה הגט: אם לא מתי לא יהיה גט, ואם מתי יהא גט מעכשיו, ואם לא מתי לא יהיה גט. כדי שיהא התנאי כפול והן קודם ללאו, ולא יפתח פיו תחלה לפורענות. ואז יהיה בטל מיד כשיעמוד אף על פי שלא יאמר: חוזרני בי. ואם ירצה שלא יתבטל מיד כשיעמוד, אלא עד זמן פלוני, יאמר: אם לא מתי עד זמן פלוני לא יהיה גט, ואם מתי עד זמן יהא גט מעכשיו, ואם לא מתי עד זמן פלוני לא יהא גט. </w:t>
      </w:r>
      <w:r>
        <w:rPr>
          <w:rFonts w:cs="Arial"/>
          <w:sz w:val="18"/>
          <w:szCs w:val="18"/>
          <w:rtl/>
        </w:rPr>
        <w:t xml:space="preserve">הגה: ויאמר לשון זה דוקא: אם מתי אם לא מתי וכו', ולא יאמר: אם אמות אם לא אמות, מאחר שהוא לשון חכמים. וע"ל סי' קנ"ד סעיף ק' לא משמע כך. </w:t>
      </w:r>
    </w:p>
    <w:p w14:paraId="4AC0CE84" w14:textId="77777777" w:rsidR="00C97BEF" w:rsidRDefault="00C97BEF" w:rsidP="00C97BEF">
      <w:pPr>
        <w:rPr>
          <w:rFonts w:cs="Arial"/>
          <w:rtl/>
        </w:rPr>
      </w:pPr>
      <w:r>
        <w:rPr>
          <w:rFonts w:cs="Arial"/>
          <w:u w:val="single"/>
          <w:rtl/>
        </w:rPr>
        <w:t>כהן שכ"מ, שעשו לו גט כנ"ל, ובמקום לומר 'אם לא מתי לא יהא גט' אמר 'אם לא מתי אעשה כמו שארצה':</w:t>
      </w:r>
      <w:r>
        <w:rPr>
          <w:rFonts w:cs="Arial"/>
          <w:rtl/>
        </w:rPr>
        <w:t xml:space="preserve"> </w:t>
      </w:r>
      <w:r>
        <w:rPr>
          <w:rFonts w:cs="Arial"/>
          <w:sz w:val="16"/>
          <w:szCs w:val="16"/>
          <w:rtl/>
        </w:rPr>
        <w:t xml:space="preserve">(פת"ש סק"ב) </w:t>
      </w:r>
    </w:p>
    <w:p w14:paraId="61BF849A" w14:textId="674A37D5" w:rsidR="00C97BEF" w:rsidRDefault="00C97BEF" w:rsidP="006A458D">
      <w:pPr>
        <w:pStyle w:val="ab"/>
        <w:numPr>
          <w:ilvl w:val="0"/>
          <w:numId w:val="112"/>
        </w:numPr>
        <w:rPr>
          <w:rtl/>
        </w:rPr>
      </w:pPr>
      <w:r>
        <w:rPr>
          <w:rFonts w:cs="Arial"/>
          <w:rtl/>
        </w:rPr>
        <w:t xml:space="preserve">נו"ב </w:t>
      </w:r>
      <w:r>
        <w:rPr>
          <w:rFonts w:cs="Arial"/>
          <w:sz w:val="16"/>
          <w:szCs w:val="16"/>
          <w:rtl/>
        </w:rPr>
        <w:t>(תניינא סי' קלב)</w:t>
      </w:r>
      <w:r w:rsidR="00A82951">
        <w:rPr>
          <w:rFonts w:cs="Arial"/>
          <w:rtl/>
        </w:rPr>
        <w:t>-</w:t>
      </w:r>
      <w:r>
        <w:rPr>
          <w:rFonts w:cs="Arial"/>
          <w:rtl/>
        </w:rPr>
        <w:t xml:space="preserve"> שאלת בגט שכ"מ כהן, שראוי לעשות כדאתקין שמואל בגיטין (עה:), ואירע שהחולה כשבא לומר 'אם לא מתי לא יהא גט' אמר 'אם לא מתי אעשה כמו שארצה'. אם מהני תנאי זה שיכול השכ"מ כהן להחזירה.    תשובה: נראה שאסור הכהן להחזירה, שאין כאן תנאי כפול. דתנאי כפול היינו שהוא דבר מוחלט לשני צדדים, כמו תנאי ב"ג וב"ר, אם יעברו ונתתם, ואם לא יעברו ונאחזו בתוככם. אבל כאן צד ההן 'אם מתי יהיה גט' הוא מוחלט, אבל צד הלאו 'אם לא מתי' אינו מוחלט, שלא אמר ש'לא יהיה גט' רק 'אעשה כרצוני', ולכן אין התנאי קיים. וגם גוף הלשון 'אעשה כרצוני' מה שייך עשיה בכאן. ולכן פשוט שאסורה לחזור לבעלה הכהן, וצריכה גט מחדש להתירה לשוק.</w:t>
      </w:r>
    </w:p>
    <w:p w14:paraId="0B4F024F" w14:textId="77777777" w:rsidR="00C97BEF" w:rsidRDefault="00C97BEF" w:rsidP="00C97BEF">
      <w:pPr>
        <w:rPr>
          <w:rtl/>
        </w:rPr>
      </w:pPr>
    </w:p>
    <w:p w14:paraId="71183590" w14:textId="77777777" w:rsidR="00C97BEF" w:rsidRDefault="00C97BEF" w:rsidP="00C97BEF">
      <w:pPr>
        <w:pStyle w:val="2"/>
        <w:rPr>
          <w:rtl/>
        </w:rPr>
      </w:pPr>
      <w:r>
        <w:rPr>
          <w:rtl/>
        </w:rPr>
        <w:t>סעיף ו: שכ"מ שעשה תנאי כנ"ל ומת מחמת אונס שלא שכיח.</w:t>
      </w:r>
    </w:p>
    <w:p w14:paraId="48CBBD3D" w14:textId="5D6EF1AB" w:rsidR="00C97BEF" w:rsidRDefault="00C97BEF" w:rsidP="00C97BEF">
      <w:pPr>
        <w:rPr>
          <w:rFonts w:cs="Arial"/>
          <w:rtl/>
        </w:rPr>
      </w:pPr>
      <w:r>
        <w:rPr>
          <w:rFonts w:cs="Arial"/>
          <w:b/>
          <w:bCs/>
          <w:rtl/>
        </w:rPr>
        <w:t xml:space="preserve">תוספתא גיטין פ"ה ה"ב: </w:t>
      </w:r>
      <w:r>
        <w:rPr>
          <w:rFonts w:cs="Arial"/>
          <w:rtl/>
        </w:rPr>
        <w:t xml:space="preserve">זה גיטיך מהיום אם מתי מחולי זה, נפל עליו בית ונשכו נחש </w:t>
      </w:r>
      <w:r w:rsidR="00A82951">
        <w:rPr>
          <w:rFonts w:cs="Arial"/>
          <w:rtl/>
        </w:rPr>
        <w:t>-</w:t>
      </w:r>
      <w:r>
        <w:rPr>
          <w:rFonts w:cs="Arial"/>
          <w:rtl/>
        </w:rPr>
        <w:t xml:space="preserve"> אינו גט, שלא מת מאותו חולי. אם לא עמדתי מחולי זה, נפל עליו בית ונשכו נחש </w:t>
      </w:r>
      <w:r w:rsidR="00A82951">
        <w:rPr>
          <w:rFonts w:cs="Arial"/>
          <w:rtl/>
        </w:rPr>
        <w:t>-</w:t>
      </w:r>
      <w:r>
        <w:rPr>
          <w:rFonts w:cs="Arial"/>
          <w:rtl/>
        </w:rPr>
        <w:t xml:space="preserve"> הרי זה גט, שלא עמד מאותו חולי.</w:t>
      </w:r>
      <w:r w:rsidR="00D84D25">
        <w:rPr>
          <w:rFonts w:cs="Arial" w:hint="cs"/>
          <w:rtl/>
        </w:rPr>
        <w:t xml:space="preserve"> </w:t>
      </w:r>
      <w:r>
        <w:rPr>
          <w:rFonts w:cs="Arial"/>
          <w:rtl/>
        </w:rPr>
        <w:t xml:space="preserve"> </w:t>
      </w:r>
    </w:p>
    <w:p w14:paraId="4B27A49A" w14:textId="4A830A01" w:rsidR="00C97BEF" w:rsidRDefault="00C97BEF" w:rsidP="00C97BEF">
      <w:pPr>
        <w:rPr>
          <w:rFonts w:cs="Arial"/>
          <w:rtl/>
        </w:rPr>
      </w:pPr>
      <w:r>
        <w:rPr>
          <w:rFonts w:cs="Arial"/>
          <w:b/>
          <w:bCs/>
          <w:rtl/>
        </w:rPr>
        <w:t>ירושלמי גיטין פ"ז ה"ד:</w:t>
      </w:r>
      <w:r>
        <w:rPr>
          <w:rFonts w:cs="Arial"/>
          <w:rtl/>
        </w:rPr>
        <w:t xml:space="preserve"> אם מתי מחולי זה, ונפל עליו גל או שנשכו נחש </w:t>
      </w:r>
      <w:r w:rsidR="00A82951">
        <w:rPr>
          <w:rFonts w:cs="Arial"/>
          <w:rtl/>
        </w:rPr>
        <w:t>-</w:t>
      </w:r>
      <w:r>
        <w:rPr>
          <w:rFonts w:cs="Arial"/>
          <w:rtl/>
        </w:rPr>
        <w:t xml:space="preserve"> אינו גט, שלא מת מאותו החולי. אם לא עמדתי מחולי זה, ונפל עליו גל או שנשכו נחש </w:t>
      </w:r>
      <w:r w:rsidR="00A82951">
        <w:rPr>
          <w:rFonts w:cs="Arial"/>
          <w:rtl/>
        </w:rPr>
        <w:t>-</w:t>
      </w:r>
      <w:r>
        <w:rPr>
          <w:rFonts w:cs="Arial"/>
          <w:rtl/>
        </w:rPr>
        <w:t xml:space="preserve"> הרי זה גט, שלא עמד מאותו החולי. </w:t>
      </w:r>
    </w:p>
    <w:p w14:paraId="4AE280CF" w14:textId="69470EB0" w:rsidR="00C97BEF" w:rsidRDefault="00C97BEF" w:rsidP="00C97BEF">
      <w:pPr>
        <w:rPr>
          <w:rFonts w:cs="Arial"/>
          <w:rtl/>
        </w:rPr>
      </w:pPr>
      <w:r>
        <w:rPr>
          <w:rFonts w:cs="Arial"/>
          <w:b/>
          <w:bCs/>
          <w:rtl/>
        </w:rPr>
        <w:t xml:space="preserve">גיטין </w:t>
      </w:r>
      <w:r>
        <w:rPr>
          <w:rFonts w:cs="Arial"/>
          <w:b/>
          <w:bCs/>
          <w:sz w:val="16"/>
          <w:szCs w:val="16"/>
          <w:rtl/>
        </w:rPr>
        <w:t>(פ' מי שאחזו)</w:t>
      </w:r>
      <w:r>
        <w:rPr>
          <w:rFonts w:cs="Arial"/>
          <w:b/>
          <w:bCs/>
          <w:rtl/>
        </w:rPr>
        <w:t xml:space="preserve"> עג ע"א:</w:t>
      </w:r>
      <w:r>
        <w:rPr>
          <w:rFonts w:cs="Arial"/>
          <w:rtl/>
        </w:rPr>
        <w:t xml:space="preserve"> ת"ר: זה גיטיך מהיום אם מתי מחולי זה, ונפל הבית עליו או הכישו נחש </w:t>
      </w:r>
      <w:r w:rsidR="00A82951">
        <w:rPr>
          <w:rFonts w:cs="Arial"/>
          <w:rtl/>
        </w:rPr>
        <w:t>-</w:t>
      </w:r>
      <w:r>
        <w:rPr>
          <w:rFonts w:cs="Arial"/>
          <w:rtl/>
        </w:rPr>
        <w:t xml:space="preserve"> אינו גט</w:t>
      </w:r>
      <w:r>
        <w:rPr>
          <w:rStyle w:val="a7"/>
          <w:rFonts w:cs="Arial"/>
          <w:rtl/>
        </w:rPr>
        <w:footnoteReference w:id="2553"/>
      </w:r>
      <w:r>
        <w:rPr>
          <w:rFonts w:cs="Arial"/>
          <w:rtl/>
        </w:rPr>
        <w:t xml:space="preserve">. אם לא אעמוד מחולי זה, ונפל עליו בית או הכישו נחש </w:t>
      </w:r>
      <w:r w:rsidR="00A82951">
        <w:rPr>
          <w:rFonts w:cs="Arial"/>
          <w:rtl/>
        </w:rPr>
        <w:t>-</w:t>
      </w:r>
      <w:r>
        <w:rPr>
          <w:rFonts w:cs="Arial"/>
          <w:rtl/>
        </w:rPr>
        <w:t xml:space="preserve"> ה"ז גט. מאי שנא רישא ומאי שנא סיפא</w:t>
      </w:r>
      <w:r>
        <w:rPr>
          <w:rStyle w:val="a7"/>
          <w:rFonts w:cs="Arial"/>
          <w:rtl/>
        </w:rPr>
        <w:footnoteReference w:id="2554"/>
      </w:r>
      <w:r>
        <w:rPr>
          <w:rFonts w:cs="Arial"/>
          <w:rtl/>
        </w:rPr>
        <w:t>? שלחו מתם</w:t>
      </w:r>
      <w:r>
        <w:rPr>
          <w:rStyle w:val="a7"/>
          <w:rFonts w:cs="Arial"/>
          <w:rtl/>
        </w:rPr>
        <w:footnoteReference w:id="2555"/>
      </w:r>
      <w:r>
        <w:rPr>
          <w:rFonts w:cs="Arial"/>
          <w:rtl/>
        </w:rPr>
        <w:t>: אכלו ארי, אין לנו...</w:t>
      </w:r>
      <w:r>
        <w:rPr>
          <w:rtl/>
        </w:rPr>
        <w:t xml:space="preserve"> </w:t>
      </w:r>
      <w:r>
        <w:rPr>
          <w:rFonts w:cs="Arial"/>
          <w:u w:val="single"/>
          <w:rtl/>
        </w:rPr>
        <w:t>א"ל רב אחא מדפתי לרבינא</w:t>
      </w:r>
      <w:r>
        <w:rPr>
          <w:rFonts w:cs="Arial"/>
          <w:rtl/>
        </w:rPr>
        <w:t xml:space="preserve">: ומשום דקשיא רישא אסיפא, לא מותבינן תיובתא מינה? </w:t>
      </w:r>
      <w:r>
        <w:rPr>
          <w:rFonts w:cs="Arial"/>
          <w:u w:val="single"/>
          <w:rtl/>
        </w:rPr>
        <w:t>אמר ליה</w:t>
      </w:r>
      <w:r>
        <w:rPr>
          <w:rFonts w:cs="Arial"/>
          <w:rtl/>
        </w:rPr>
        <w:t>: אין, כיון דקשיא רישא אסיפא, לא איתמר בי מדרשא ומשבשתא היא, זיל בתר סברא</w:t>
      </w:r>
      <w:r>
        <w:rPr>
          <w:rStyle w:val="a7"/>
          <w:rFonts w:cs="Arial"/>
          <w:rtl/>
        </w:rPr>
        <w:footnoteReference w:id="2556"/>
      </w:r>
      <w:r>
        <w:rPr>
          <w:rFonts w:cs="Arial"/>
          <w:rtl/>
        </w:rPr>
        <w:t>.</w:t>
      </w:r>
    </w:p>
    <w:p w14:paraId="6E746F5F" w14:textId="77777777" w:rsidR="00C97BEF" w:rsidRDefault="00C97BEF" w:rsidP="00C97BEF">
      <w:pPr>
        <w:rPr>
          <w:rFonts w:cs="Arial"/>
          <w:u w:val="single"/>
          <w:rtl/>
        </w:rPr>
      </w:pPr>
      <w:r>
        <w:rPr>
          <w:rFonts w:cs="Arial"/>
          <w:u w:val="single"/>
          <w:rtl/>
        </w:rPr>
        <w:t>על איזה לשון חוזרים דברי חכמי ארץ ישראל</w:t>
      </w:r>
      <w:r>
        <w:rPr>
          <w:rFonts w:cs="Arial"/>
          <w:sz w:val="16"/>
          <w:szCs w:val="16"/>
          <w:u w:val="single"/>
          <w:rtl/>
        </w:rPr>
        <w:t xml:space="preserve"> (שלחו מתם)</w:t>
      </w:r>
      <w:r>
        <w:rPr>
          <w:rFonts w:cs="Arial"/>
          <w:u w:val="single"/>
          <w:rtl/>
        </w:rPr>
        <w:t>, על לשון ראשון</w:t>
      </w:r>
      <w:r>
        <w:rPr>
          <w:rFonts w:cs="Arial"/>
          <w:sz w:val="16"/>
          <w:szCs w:val="16"/>
          <w:u w:val="single"/>
          <w:rtl/>
        </w:rPr>
        <w:t xml:space="preserve"> (אם מתי מחולי זה)</w:t>
      </w:r>
      <w:r>
        <w:rPr>
          <w:rFonts w:cs="Arial"/>
          <w:u w:val="single"/>
          <w:rtl/>
        </w:rPr>
        <w:t xml:space="preserve"> או על שני </w:t>
      </w:r>
      <w:r>
        <w:rPr>
          <w:rFonts w:cs="Arial"/>
          <w:sz w:val="16"/>
          <w:szCs w:val="16"/>
          <w:u w:val="single"/>
          <w:rtl/>
        </w:rPr>
        <w:t>(אם אעמוד מחולי זה)</w:t>
      </w:r>
      <w:r>
        <w:rPr>
          <w:rFonts w:cs="Arial"/>
          <w:u w:val="single"/>
          <w:rtl/>
        </w:rPr>
        <w:t xml:space="preserve">: </w:t>
      </w:r>
    </w:p>
    <w:p w14:paraId="03E1781E" w14:textId="5DAC782F" w:rsidR="00C97BEF" w:rsidRDefault="00C97BEF" w:rsidP="006A458D">
      <w:pPr>
        <w:pStyle w:val="ab"/>
        <w:numPr>
          <w:ilvl w:val="0"/>
          <w:numId w:val="122"/>
        </w:numPr>
        <w:rPr>
          <w:rFonts w:cs="Arial"/>
          <w:rtl/>
        </w:rPr>
      </w:pPr>
      <w:r>
        <w:rPr>
          <w:rFonts w:cs="Arial"/>
          <w:rtl/>
        </w:rPr>
        <w:t xml:space="preserve">רא"ש </w:t>
      </w:r>
      <w:r>
        <w:rPr>
          <w:rFonts w:cs="Arial"/>
          <w:sz w:val="16"/>
          <w:szCs w:val="16"/>
          <w:rtl/>
        </w:rPr>
        <w:t>(סי' ד)</w:t>
      </w:r>
      <w:r w:rsidR="00A82951">
        <w:rPr>
          <w:rFonts w:cs="Arial"/>
          <w:rtl/>
        </w:rPr>
        <w:t>-</w:t>
      </w:r>
      <w:r>
        <w:rPr>
          <w:rFonts w:cs="Arial"/>
          <w:rtl/>
        </w:rPr>
        <w:t xml:space="preserve"> לפום סוגיא דשמעתין בתרווייהו לא הוי גט. </w:t>
      </w:r>
    </w:p>
    <w:p w14:paraId="7BC9B9E3" w14:textId="33BF27F8" w:rsidR="00C97BEF" w:rsidRDefault="00C97BEF" w:rsidP="006A458D">
      <w:pPr>
        <w:pStyle w:val="ab"/>
        <w:numPr>
          <w:ilvl w:val="0"/>
          <w:numId w:val="122"/>
        </w:numPr>
        <w:rPr>
          <w:rFonts w:cs="Arial"/>
        </w:rPr>
      </w:pPr>
      <w:r>
        <w:rPr>
          <w:rFonts w:cs="Arial"/>
          <w:rtl/>
        </w:rPr>
        <w:lastRenderedPageBreak/>
        <w:t xml:space="preserve">ר"ח </w:t>
      </w:r>
      <w:r>
        <w:rPr>
          <w:rFonts w:cs="Arial"/>
          <w:sz w:val="16"/>
          <w:szCs w:val="16"/>
          <w:rtl/>
        </w:rPr>
        <w:t>(כ"כ הרא"ש בשמו)</w:t>
      </w:r>
      <w:r w:rsidR="00A82951">
        <w:rPr>
          <w:rFonts w:cs="Arial"/>
          <w:rtl/>
        </w:rPr>
        <w:t>-</w:t>
      </w:r>
      <w:r>
        <w:rPr>
          <w:rFonts w:cs="Arial"/>
          <w:rtl/>
        </w:rPr>
        <w:t xml:space="preserve"> </w:t>
      </w:r>
      <w:r>
        <w:rPr>
          <w:rStyle w:val="a7"/>
          <w:rFonts w:cs="Arial"/>
          <w:rtl/>
        </w:rPr>
        <w:footnoteReference w:id="2557"/>
      </w:r>
      <w:r>
        <w:rPr>
          <w:rFonts w:cs="Arial"/>
          <w:rtl/>
        </w:rPr>
        <w:t xml:space="preserve">שלחו מתם אכלו ארי אין לנו </w:t>
      </w:r>
      <w:r w:rsidR="00A82951">
        <w:rPr>
          <w:rFonts w:cs="Arial"/>
          <w:rtl/>
        </w:rPr>
        <w:t>-</w:t>
      </w:r>
      <w:r>
        <w:rPr>
          <w:rFonts w:cs="Arial"/>
          <w:rtl/>
        </w:rPr>
        <w:t xml:space="preserve"> אתנאה דרישא קאי, כיון שאמר אם מתי מחולי זה אע"פ שבא ארי ואכלו לא נתקיים התנאי שהרי לא מת מאותו חולי, והוא הדין שנפל עליו בית או נשכו נחש. אבל אם התנה אם לא יעמוד מחליו ונשכו נחש, הרי נתקיים התנאי. לפיכך זה גט, וזה אינו גט</w:t>
      </w:r>
      <w:r>
        <w:rPr>
          <w:rStyle w:val="a7"/>
          <w:rFonts w:cs="Arial"/>
          <w:rtl/>
        </w:rPr>
        <w:footnoteReference w:id="2558"/>
      </w:r>
      <w:r>
        <w:rPr>
          <w:rFonts w:cs="Arial"/>
          <w:sz w:val="16"/>
          <w:szCs w:val="16"/>
          <w:rtl/>
        </w:rPr>
        <w:t xml:space="preserve"> (ל' הרא"ש בשמו)</w:t>
      </w:r>
      <w:r>
        <w:rPr>
          <w:rFonts w:cs="Arial"/>
          <w:rtl/>
        </w:rPr>
        <w:t xml:space="preserve">. </w:t>
      </w:r>
    </w:p>
    <w:p w14:paraId="04ED3301" w14:textId="212789FE" w:rsidR="00C97BEF" w:rsidRDefault="00C97BEF" w:rsidP="006A458D">
      <w:pPr>
        <w:pStyle w:val="ab"/>
        <w:numPr>
          <w:ilvl w:val="0"/>
          <w:numId w:val="122"/>
        </w:numPr>
        <w:rPr>
          <w:rFonts w:cs="Arial"/>
        </w:rPr>
      </w:pPr>
      <w:r>
        <w:rPr>
          <w:rFonts w:cs="Arial"/>
          <w:rtl/>
        </w:rPr>
        <w:t xml:space="preserve">רמב"ם </w:t>
      </w:r>
      <w:r>
        <w:rPr>
          <w:rFonts w:cs="Arial"/>
          <w:sz w:val="16"/>
          <w:szCs w:val="16"/>
          <w:rtl/>
        </w:rPr>
        <w:t>(פ"ט הי"ז</w:t>
      </w:r>
      <w:r w:rsidR="00A82951">
        <w:rPr>
          <w:rFonts w:cs="Arial"/>
          <w:sz w:val="16"/>
          <w:szCs w:val="16"/>
          <w:rtl/>
        </w:rPr>
        <w:t>-</w:t>
      </w:r>
      <w:r>
        <w:rPr>
          <w:rFonts w:cs="Arial"/>
          <w:sz w:val="16"/>
          <w:szCs w:val="16"/>
          <w:rtl/>
        </w:rPr>
        <w:t>יח, כ"כ הרא"ש בשמו)</w:t>
      </w:r>
      <w:r w:rsidR="00A82951">
        <w:rPr>
          <w:rFonts w:cs="Arial"/>
          <w:rtl/>
        </w:rPr>
        <w:t>-</w:t>
      </w:r>
      <w:r>
        <w:rPr>
          <w:rFonts w:cs="Arial"/>
          <w:rtl/>
        </w:rPr>
        <w:t xml:space="preserve"> ברישא אינו גט, ובסיפא ספק מגורשת משום דפליגי </w:t>
      </w:r>
      <w:r>
        <w:rPr>
          <w:rFonts w:cs="Arial"/>
          <w:sz w:val="16"/>
          <w:szCs w:val="16"/>
          <w:rtl/>
        </w:rPr>
        <w:t>{הירושלמי והבבלי}</w:t>
      </w:r>
      <w:r>
        <w:rPr>
          <w:rFonts w:cs="Arial"/>
          <w:rtl/>
        </w:rPr>
        <w:t xml:space="preserve"> אהדדי, לפיכך צריך גט מספק</w:t>
      </w:r>
      <w:r>
        <w:rPr>
          <w:rStyle w:val="a7"/>
          <w:rFonts w:cs="Arial"/>
          <w:rtl/>
        </w:rPr>
        <w:footnoteReference w:id="2559"/>
      </w:r>
      <w:r>
        <w:rPr>
          <w:rFonts w:cs="Arial"/>
          <w:sz w:val="16"/>
          <w:szCs w:val="16"/>
          <w:rtl/>
        </w:rPr>
        <w:t xml:space="preserve"> (ע"פ ל' הרא"ש בשמו)</w:t>
      </w:r>
      <w:r>
        <w:rPr>
          <w:rFonts w:cs="Arial"/>
          <w:rtl/>
        </w:rPr>
        <w:t>.</w:t>
      </w:r>
    </w:p>
    <w:p w14:paraId="1ACA5275" w14:textId="53C13BC6" w:rsidR="00C97BEF" w:rsidRDefault="00C97BEF" w:rsidP="006A458D">
      <w:pPr>
        <w:pStyle w:val="ab"/>
        <w:numPr>
          <w:ilvl w:val="0"/>
          <w:numId w:val="122"/>
        </w:numPr>
        <w:rPr>
          <w:rFonts w:cs="Arial"/>
          <w:rtl/>
        </w:rPr>
      </w:pPr>
      <w:r>
        <w:rPr>
          <w:rFonts w:cs="Arial"/>
          <w:rtl/>
        </w:rPr>
        <w:t xml:space="preserve">רמב"ן </w:t>
      </w:r>
      <w:r>
        <w:rPr>
          <w:rFonts w:cs="Arial"/>
          <w:sz w:val="16"/>
          <w:szCs w:val="16"/>
          <w:rtl/>
        </w:rPr>
        <w:t>(עג. ד"ה והא, כ"כ הר"ן בשמו [לה. ד"ה גרסי'])</w:t>
      </w:r>
      <w:r>
        <w:rPr>
          <w:rFonts w:cs="Arial"/>
          <w:rtl/>
        </w:rPr>
        <w:t xml:space="preserve"> ורשב"א </w:t>
      </w:r>
      <w:r>
        <w:rPr>
          <w:rFonts w:cs="Arial"/>
          <w:sz w:val="16"/>
          <w:szCs w:val="16"/>
          <w:rtl/>
        </w:rPr>
        <w:t>(שם ד"ה מ"ש רישא, כ"כ הה"מ [פ"ט] בשמו)</w:t>
      </w:r>
      <w:r w:rsidR="00A82951">
        <w:rPr>
          <w:rFonts w:cs="Arial"/>
          <w:rtl/>
        </w:rPr>
        <w:t>-</w:t>
      </w:r>
      <w:r>
        <w:rPr>
          <w:rFonts w:cs="Arial"/>
          <w:rtl/>
        </w:rPr>
        <w:t xml:space="preserve"> כי אמרינן מאי שנא רישא ומאי שנא סיפא, סיפא הוא דקשיא לן, אבל רישא לא קשיא מידי. דאפילו נימא דאונסא דלא שכיח מסיק איניש אדעתיה, הכא שאני, דבהדיא אמר מחולי זה, וכיון שנשכו נחש הרי לא מת מאותו חולי. אבל סיפא הוא דקשיא לן משום דאם לא אעמוד מחולי זה משמע שלא יעמוד מחמת אותו חולי, וכשנשכו נחש הרי לא מֵנַעו</w:t>
      </w:r>
      <w:r>
        <w:rPr>
          <w:rFonts w:cs="Arial"/>
          <w:cs/>
        </w:rPr>
        <w:t>‎</w:t>
      </w:r>
      <w:r>
        <w:rPr>
          <w:rFonts w:cs="Arial"/>
          <w:rtl/>
        </w:rPr>
        <w:t xml:space="preserve">ֹ אותו חולי מלעמוד, ואמאי קתני הרי זה גט. ושלחו מתם דאכלו ארי אין לנו, דמשמעות אם לא יעמוד מחולי זה, מחמת אותו חולי משמע, והרי לא מת מאותו חולי. ולא מיבעיא כי מת באונסא דלא שכיח דלא הוי גיטא, אלא אפילו מת באונסא דשכיחא כיון שלא מת מאותו חולי ממש </w:t>
      </w:r>
      <w:r w:rsidR="00A82951">
        <w:rPr>
          <w:rFonts w:cs="Arial"/>
          <w:rtl/>
        </w:rPr>
        <w:t>-</w:t>
      </w:r>
      <w:r>
        <w:rPr>
          <w:rFonts w:cs="Arial"/>
          <w:rtl/>
        </w:rPr>
        <w:t xml:space="preserve"> אינו גט</w:t>
      </w:r>
      <w:r>
        <w:rPr>
          <w:rFonts w:cs="Arial"/>
          <w:sz w:val="16"/>
          <w:szCs w:val="16"/>
          <w:rtl/>
        </w:rPr>
        <w:t xml:space="preserve"> (ל' הר"ן בשם הרמב"ן)</w:t>
      </w:r>
      <w:r>
        <w:rPr>
          <w:rFonts w:cs="Arial"/>
          <w:rtl/>
        </w:rPr>
        <w:t xml:space="preserve">. </w:t>
      </w:r>
    </w:p>
    <w:p w14:paraId="5ECA029B" w14:textId="3D3BB1BA" w:rsidR="00C97BEF" w:rsidRDefault="00C97BEF" w:rsidP="00C97BEF">
      <w:pPr>
        <w:rPr>
          <w:u w:val="single"/>
        </w:rPr>
      </w:pPr>
      <w:r>
        <w:rPr>
          <w:u w:val="single"/>
          <w:rtl/>
        </w:rPr>
        <w:t xml:space="preserve">למעשה </w:t>
      </w:r>
      <w:r w:rsidR="00A82951">
        <w:rPr>
          <w:u w:val="single"/>
          <w:rtl/>
        </w:rPr>
        <w:t>-</w:t>
      </w:r>
      <w:r>
        <w:rPr>
          <w:u w:val="single"/>
          <w:rtl/>
        </w:rPr>
        <w:t xml:space="preserve"> שכ"מ שעשה תנאי כנ"ל ומת מחמת אונס שלא שכיח:</w:t>
      </w:r>
    </w:p>
    <w:p w14:paraId="06D2E5AE" w14:textId="4BE5205A" w:rsidR="00C97BEF" w:rsidRDefault="00C97BEF" w:rsidP="006A458D">
      <w:pPr>
        <w:pStyle w:val="ab"/>
        <w:numPr>
          <w:ilvl w:val="0"/>
          <w:numId w:val="112"/>
        </w:numPr>
        <w:rPr>
          <w:rtl/>
        </w:rPr>
      </w:pPr>
      <w:r>
        <w:rPr>
          <w:rFonts w:cs="Arial"/>
          <w:rtl/>
        </w:rPr>
        <w:t xml:space="preserve">רא"ש </w:t>
      </w:r>
      <w:r>
        <w:rPr>
          <w:rFonts w:cs="Arial"/>
          <w:sz w:val="16"/>
          <w:szCs w:val="16"/>
          <w:rtl/>
        </w:rPr>
        <w:t xml:space="preserve">(כ"כ הטור בשמו) </w:t>
      </w:r>
      <w:r>
        <w:rPr>
          <w:rFonts w:cs="Arial"/>
          <w:rtl/>
        </w:rPr>
        <w:t>וטור</w:t>
      </w:r>
      <w:r w:rsidR="00A82951">
        <w:rPr>
          <w:rFonts w:cs="Arial"/>
          <w:rtl/>
        </w:rPr>
        <w:t>-</w:t>
      </w:r>
      <w:r>
        <w:rPr>
          <w:rFonts w:cs="Arial"/>
          <w:rtl/>
        </w:rPr>
        <w:t xml:space="preserve"> לא עמד מחליו וגם לא מת מחמת החולי, אלא נשכו נחש או נפל עליו הבית ומת </w:t>
      </w:r>
      <w:r w:rsidR="00A82951">
        <w:rPr>
          <w:rFonts w:cs="Arial"/>
          <w:rtl/>
        </w:rPr>
        <w:t>-</w:t>
      </w:r>
      <w:r>
        <w:rPr>
          <w:rFonts w:cs="Arial"/>
          <w:rtl/>
        </w:rPr>
        <w:t xml:space="preserve"> לא הוי גט, שלא התנה אלא על מיתה כדרכה, אבל אונס כי האי לא שכיח ולא אסיק אדעתיה. ולא הוי גט בין שיאמר 'מהיום אם לא אעמוד מחולי זה' בין אם אמר בסתם 'אם מתי מחולי זה'</w:t>
      </w:r>
      <w:r>
        <w:rPr>
          <w:rFonts w:cs="Arial"/>
          <w:sz w:val="16"/>
          <w:szCs w:val="16"/>
          <w:rtl/>
        </w:rPr>
        <w:t xml:space="preserve"> (ל' הטור)</w:t>
      </w:r>
      <w:r>
        <w:rPr>
          <w:rFonts w:cs="Arial"/>
          <w:rtl/>
        </w:rPr>
        <w:t xml:space="preserve">. </w:t>
      </w:r>
    </w:p>
    <w:p w14:paraId="63C1F0DE" w14:textId="749FB9AA" w:rsidR="00C97BEF" w:rsidRDefault="00C97BEF" w:rsidP="006A458D">
      <w:pPr>
        <w:pStyle w:val="ab"/>
        <w:numPr>
          <w:ilvl w:val="0"/>
          <w:numId w:val="112"/>
        </w:numPr>
      </w:pPr>
      <w:r>
        <w:rPr>
          <w:rFonts w:cs="Arial"/>
          <w:rtl/>
        </w:rPr>
        <w:t xml:space="preserve">ר"ח </w:t>
      </w:r>
      <w:r>
        <w:rPr>
          <w:rFonts w:cs="Arial"/>
          <w:sz w:val="16"/>
          <w:szCs w:val="16"/>
          <w:rtl/>
        </w:rPr>
        <w:t>(כ"כ הטור בשמו)</w:t>
      </w:r>
      <w:r w:rsidR="00A82951">
        <w:rPr>
          <w:rFonts w:cs="Arial"/>
          <w:rtl/>
        </w:rPr>
        <w:t>-</w:t>
      </w:r>
      <w:r>
        <w:rPr>
          <w:rFonts w:cs="Arial"/>
          <w:rtl/>
        </w:rPr>
        <w:t xml:space="preserve"> 'מהיום אם מתי מחולי זה' ונפל עליו הבית או נשכו נחש </w:t>
      </w:r>
      <w:r w:rsidR="00A82951">
        <w:rPr>
          <w:rFonts w:cs="Arial"/>
          <w:rtl/>
        </w:rPr>
        <w:t>-</w:t>
      </w:r>
      <w:r>
        <w:rPr>
          <w:rFonts w:cs="Arial"/>
          <w:rtl/>
        </w:rPr>
        <w:t xml:space="preserve"> אינו גט. 'אם לא אעמוד מחולי זה' ונפל עליו הבית או נשכו נחש </w:t>
      </w:r>
      <w:r w:rsidR="00A82951">
        <w:rPr>
          <w:rFonts w:cs="Arial"/>
          <w:rtl/>
        </w:rPr>
        <w:t>-</w:t>
      </w:r>
      <w:r>
        <w:rPr>
          <w:rFonts w:cs="Arial"/>
          <w:rtl/>
        </w:rPr>
        <w:t xml:space="preserve"> הוי גט. </w:t>
      </w:r>
    </w:p>
    <w:p w14:paraId="22425861" w14:textId="1555B995" w:rsidR="00C97BEF" w:rsidRDefault="00C97BEF" w:rsidP="006A458D">
      <w:pPr>
        <w:pStyle w:val="ab"/>
        <w:numPr>
          <w:ilvl w:val="0"/>
          <w:numId w:val="112"/>
        </w:numPr>
      </w:pPr>
      <w:r>
        <w:rPr>
          <w:rFonts w:cs="Arial"/>
          <w:rtl/>
        </w:rPr>
        <w:t xml:space="preserve">רמב"ם </w:t>
      </w:r>
      <w:r>
        <w:rPr>
          <w:rFonts w:cs="Arial"/>
          <w:sz w:val="16"/>
          <w:szCs w:val="16"/>
          <w:rtl/>
        </w:rPr>
        <w:t>(פ"ט הי"ז</w:t>
      </w:r>
      <w:r w:rsidR="00A82951">
        <w:rPr>
          <w:rFonts w:cs="Arial"/>
          <w:sz w:val="16"/>
          <w:szCs w:val="16"/>
          <w:rtl/>
        </w:rPr>
        <w:t>-</w:t>
      </w:r>
      <w:r>
        <w:rPr>
          <w:rFonts w:cs="Arial"/>
          <w:sz w:val="16"/>
          <w:szCs w:val="16"/>
          <w:rtl/>
        </w:rPr>
        <w:t>יח)</w:t>
      </w:r>
      <w:r w:rsidR="00A82951">
        <w:rPr>
          <w:rFonts w:cs="Arial"/>
          <w:rtl/>
        </w:rPr>
        <w:t>-</w:t>
      </w:r>
      <w:r>
        <w:rPr>
          <w:rFonts w:cs="Arial"/>
          <w:rtl/>
        </w:rPr>
        <w:t xml:space="preserve"> 'הרי זה גיטיך מהיום אם מתי מחלי זה', ונפל עליו בית או נשכו נחש או טרפו ארי וכיוצא בזה ומת </w:t>
      </w:r>
      <w:r w:rsidR="00A82951">
        <w:rPr>
          <w:rFonts w:cs="Arial"/>
          <w:rtl/>
        </w:rPr>
        <w:t>-</w:t>
      </w:r>
      <w:r>
        <w:rPr>
          <w:rFonts w:cs="Arial"/>
          <w:rtl/>
        </w:rPr>
        <w:t xml:space="preserve"> אינו גט. אמר לה 'אם לא יעמוד מחלי זה', ונפל עליו בית או נשכו נחש או טרפו ארי </w:t>
      </w:r>
      <w:r w:rsidR="00A82951">
        <w:rPr>
          <w:rFonts w:cs="Arial"/>
          <w:rtl/>
        </w:rPr>
        <w:t>-</w:t>
      </w:r>
      <w:r>
        <w:rPr>
          <w:rFonts w:cs="Arial"/>
          <w:rtl/>
        </w:rPr>
        <w:t xml:space="preserve"> הרי זו ספק מגורשת.</w:t>
      </w:r>
      <w:r>
        <w:rPr>
          <w:rFonts w:cs="Arial"/>
          <w:color w:val="E36C0A" w:themeColor="accent6" w:themeShade="BF"/>
          <w:rtl/>
        </w:rPr>
        <w:t xml:space="preserve"> (וכ"פ בשו"ע)</w:t>
      </w:r>
      <w:r>
        <w:rPr>
          <w:rFonts w:cs="Arial"/>
          <w:rtl/>
        </w:rPr>
        <w:t xml:space="preserve"> </w:t>
      </w:r>
    </w:p>
    <w:p w14:paraId="66455202"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C680F97" w14:textId="77777777" w:rsidR="00C97BEF" w:rsidRDefault="00C97BEF" w:rsidP="00C97BEF">
      <w:pPr>
        <w:rPr>
          <w:rtl/>
        </w:rPr>
      </w:pPr>
      <w:r>
        <w:rPr>
          <w:rFonts w:cs="Arial"/>
          <w:rtl/>
        </w:rPr>
        <w:t xml:space="preserve">הרי זה גיטיך מהיום אם מתי מחולי זה, ונפל עליו בית או נשכו נחש או טרפו ארי וכיוצא בזה, ומת, אינו גט. אבל אם אמר: אם לא יעמוד מחולי זה, ונפל עליו בית או נשכו נחש או טרפו ארי, הרי זו ספק מגורשת. </w:t>
      </w:r>
    </w:p>
    <w:p w14:paraId="0F2AC6CF" w14:textId="77777777" w:rsidR="00C97BEF" w:rsidRDefault="00C97BEF" w:rsidP="00C97BEF">
      <w:pPr>
        <w:rPr>
          <w:rtl/>
        </w:rPr>
      </w:pPr>
    </w:p>
    <w:p w14:paraId="7719BA74" w14:textId="77777777" w:rsidR="00C97BEF" w:rsidRDefault="00C97BEF" w:rsidP="00C97BEF">
      <w:pPr>
        <w:pStyle w:val="2"/>
        <w:rPr>
          <w:rtl/>
        </w:rPr>
      </w:pPr>
      <w:r>
        <w:rPr>
          <w:rtl/>
        </w:rPr>
        <w:t>סעיף ז: ה"ז גיטך אם מתי מחולי זה, ונתחדש בו חולי שני ומת ממנו.</w:t>
      </w:r>
    </w:p>
    <w:p w14:paraId="3112EA61" w14:textId="040744EB" w:rsidR="00C97BEF" w:rsidRDefault="00C97BEF" w:rsidP="00C97BEF">
      <w:pPr>
        <w:rPr>
          <w:rtl/>
        </w:rPr>
      </w:pPr>
      <w:r>
        <w:rPr>
          <w:rFonts w:cs="Arial"/>
          <w:b/>
          <w:bCs/>
          <w:rtl/>
        </w:rPr>
        <w:t xml:space="preserve">גיטין </w:t>
      </w:r>
      <w:r>
        <w:rPr>
          <w:rFonts w:cs="Arial"/>
          <w:b/>
          <w:bCs/>
          <w:sz w:val="16"/>
          <w:szCs w:val="16"/>
          <w:rtl/>
        </w:rPr>
        <w:t>(פ' מי שאחזו)</w:t>
      </w:r>
      <w:r>
        <w:rPr>
          <w:rFonts w:cs="Arial"/>
          <w:b/>
          <w:bCs/>
          <w:rtl/>
        </w:rPr>
        <w:t xml:space="preserve"> עב ע"א:</w:t>
      </w:r>
      <w:r>
        <w:rPr>
          <w:rtl/>
        </w:rPr>
        <w:t xml:space="preserve"> </w:t>
      </w:r>
      <w:r>
        <w:rPr>
          <w:rFonts w:cs="Arial"/>
          <w:u w:val="double"/>
          <w:rtl/>
        </w:rPr>
        <w:t>מתני'</w:t>
      </w:r>
      <w:r>
        <w:rPr>
          <w:rFonts w:cs="Arial"/>
          <w:rtl/>
        </w:rPr>
        <w:t xml:space="preserve">:... זה גיטיך מהיום אם מתי מחולי זה, ועמד והלך בשוק וחלה ומת, אומדין אותו, אם מחמת חולי הראשון מת </w:t>
      </w:r>
      <w:r w:rsidR="00A82951">
        <w:rPr>
          <w:rFonts w:cs="Arial"/>
          <w:rtl/>
        </w:rPr>
        <w:t>-</w:t>
      </w:r>
      <w:r>
        <w:rPr>
          <w:rFonts w:cs="Arial"/>
          <w:rtl/>
        </w:rPr>
        <w:t xml:space="preserve"> ה"ז גט, ואם לאו </w:t>
      </w:r>
      <w:r w:rsidR="00A82951">
        <w:rPr>
          <w:rFonts w:cs="Arial"/>
          <w:rtl/>
        </w:rPr>
        <w:t>-</w:t>
      </w:r>
      <w:r>
        <w:rPr>
          <w:rFonts w:cs="Arial"/>
          <w:rtl/>
        </w:rPr>
        <w:t xml:space="preserve"> אינו גט...       </w:t>
      </w:r>
      <w:r>
        <w:rPr>
          <w:rFonts w:cs="Arial"/>
          <w:u w:val="double"/>
          <w:rtl/>
        </w:rPr>
        <w:t>גמ'</w:t>
      </w:r>
      <w:r>
        <w:rPr>
          <w:rFonts w:cs="Arial"/>
          <w:sz w:val="14"/>
          <w:szCs w:val="14"/>
          <w:u w:val="double"/>
          <w:rtl/>
        </w:rPr>
        <w:t>(עב:)</w:t>
      </w:r>
      <w:r>
        <w:rPr>
          <w:rFonts w:cs="Arial"/>
          <w:u w:val="double"/>
          <w:rtl/>
        </w:rPr>
        <w:t>:</w:t>
      </w:r>
      <w:r>
        <w:rPr>
          <w:rFonts w:cs="Arial"/>
          <w:rtl/>
        </w:rPr>
        <w:t xml:space="preserve"> זה גיטיך מהיום אם מתי מחולי זה, ועמד והלך בשוק כו'. </w:t>
      </w:r>
      <w:r>
        <w:rPr>
          <w:rFonts w:cs="Arial"/>
          <w:u w:val="single"/>
          <w:rtl/>
        </w:rPr>
        <w:t>אמר רב הונא</w:t>
      </w:r>
      <w:r>
        <w:rPr>
          <w:rFonts w:cs="Arial"/>
          <w:rtl/>
        </w:rPr>
        <w:t>: גיטו</w:t>
      </w:r>
      <w:r>
        <w:rPr>
          <w:rStyle w:val="a7"/>
          <w:rFonts w:cs="Arial"/>
          <w:rtl/>
        </w:rPr>
        <w:footnoteReference w:id="2560"/>
      </w:r>
      <w:r>
        <w:rPr>
          <w:rFonts w:cs="Arial"/>
          <w:rtl/>
        </w:rPr>
        <w:t xml:space="preserve"> כמתנתו</w:t>
      </w:r>
      <w:r>
        <w:rPr>
          <w:rStyle w:val="a7"/>
          <w:rFonts w:cs="Arial"/>
          <w:rtl/>
        </w:rPr>
        <w:footnoteReference w:id="2561"/>
      </w:r>
      <w:r>
        <w:rPr>
          <w:rFonts w:cs="Arial"/>
          <w:rtl/>
        </w:rPr>
        <w:t>, מה מתנתו אם עמד חוזר, אף גיטו אם עמד חוזר</w:t>
      </w:r>
      <w:r>
        <w:rPr>
          <w:rStyle w:val="a7"/>
          <w:rFonts w:cs="Arial"/>
          <w:rtl/>
        </w:rPr>
        <w:footnoteReference w:id="2562"/>
      </w:r>
      <w:r>
        <w:rPr>
          <w:rFonts w:cs="Arial"/>
          <w:rtl/>
        </w:rPr>
        <w:t>.</w:t>
      </w:r>
      <w:r>
        <w:rPr>
          <w:rtl/>
        </w:rPr>
        <w:t xml:space="preserve"> </w:t>
      </w:r>
      <w:r>
        <w:rPr>
          <w:rFonts w:cs="Arial"/>
          <w:rtl/>
        </w:rPr>
        <w:t xml:space="preserve">ומה גיטו אף על גב דלא פריש, כיון דאמר כתובו </w:t>
      </w:r>
      <w:r w:rsidR="00A82951">
        <w:rPr>
          <w:rFonts w:cs="Arial"/>
          <w:rtl/>
        </w:rPr>
        <w:t>-</w:t>
      </w:r>
      <w:r>
        <w:rPr>
          <w:rFonts w:cs="Arial"/>
          <w:rtl/>
        </w:rPr>
        <w:t xml:space="preserve"> אף על גב דלא אמר תנו, אף מתנתו כיון דאמר תנו </w:t>
      </w:r>
      <w:r w:rsidR="00A82951">
        <w:rPr>
          <w:rFonts w:cs="Arial"/>
          <w:rtl/>
        </w:rPr>
        <w:t>-</w:t>
      </w:r>
      <w:r>
        <w:rPr>
          <w:rFonts w:cs="Arial"/>
          <w:rtl/>
        </w:rPr>
        <w:t xml:space="preserve"> אף על גב דלא קנו מיניה. תנן: זה גיטך מהיום אם מתי מחולי זה, ועמד והלך בשוק וחלה ומת, אומדים אותו, אם מחמת חולי הראשון מת </w:t>
      </w:r>
      <w:r w:rsidR="00A82951">
        <w:rPr>
          <w:rFonts w:cs="Arial"/>
          <w:rtl/>
        </w:rPr>
        <w:t>-</w:t>
      </w:r>
      <w:r>
        <w:rPr>
          <w:rFonts w:cs="Arial"/>
          <w:rtl/>
        </w:rPr>
        <w:t xml:space="preserve"> ה"ז גט, אם לאו </w:t>
      </w:r>
      <w:r w:rsidR="00A82951">
        <w:rPr>
          <w:rFonts w:cs="Arial"/>
          <w:rtl/>
        </w:rPr>
        <w:t>-</w:t>
      </w:r>
      <w:r>
        <w:rPr>
          <w:rFonts w:cs="Arial"/>
          <w:rtl/>
        </w:rPr>
        <w:t xml:space="preserve"> אינו גט; ואי אמרינן אם עמד חוזר, למה לי אומדנא? הרי עמד</w:t>
      </w:r>
      <w:r>
        <w:rPr>
          <w:rStyle w:val="a7"/>
          <w:rFonts w:cs="Arial"/>
          <w:rtl/>
        </w:rPr>
        <w:footnoteReference w:id="2563"/>
      </w:r>
      <w:r>
        <w:rPr>
          <w:rFonts w:cs="Arial"/>
          <w:rtl/>
        </w:rPr>
        <w:t xml:space="preserve">! </w:t>
      </w:r>
      <w:r>
        <w:rPr>
          <w:rFonts w:cs="Arial"/>
          <w:u w:val="single"/>
          <w:rtl/>
        </w:rPr>
        <w:t>אמר מר בריה דרב יוסף משמיה דרבא</w:t>
      </w:r>
      <w:r>
        <w:rPr>
          <w:rFonts w:cs="Arial"/>
          <w:rtl/>
        </w:rPr>
        <w:t>: שניתק מחולי לחולי</w:t>
      </w:r>
      <w:r>
        <w:rPr>
          <w:rStyle w:val="a7"/>
          <w:rFonts w:cs="Arial"/>
          <w:rtl/>
        </w:rPr>
        <w:footnoteReference w:id="2564"/>
      </w:r>
      <w:r>
        <w:rPr>
          <w:rFonts w:cs="Arial"/>
          <w:rtl/>
        </w:rPr>
        <w:t>. והא עמד קתני! עמד מחולי זה ונפל לחולי אחר. והא הלך בשוק קתני! הלך על משענתו</w:t>
      </w:r>
      <w:r>
        <w:rPr>
          <w:rStyle w:val="a7"/>
          <w:rFonts w:cs="Arial"/>
          <w:rtl/>
        </w:rPr>
        <w:footnoteReference w:id="2565"/>
      </w:r>
      <w:r>
        <w:rPr>
          <w:rFonts w:cs="Arial"/>
          <w:rtl/>
        </w:rPr>
        <w:t>,</w:t>
      </w:r>
      <w:r>
        <w:rPr>
          <w:rFonts w:cs="Arial"/>
          <w:sz w:val="14"/>
          <w:szCs w:val="14"/>
          <w:rtl/>
        </w:rPr>
        <w:t xml:space="preserve"> (עג.)</w:t>
      </w:r>
      <w:r>
        <w:rPr>
          <w:rFonts w:cs="Arial"/>
          <w:rtl/>
        </w:rPr>
        <w:t xml:space="preserve"> והא </w:t>
      </w:r>
      <w:r>
        <w:rPr>
          <w:rFonts w:cs="Arial"/>
          <w:rtl/>
        </w:rPr>
        <w:lastRenderedPageBreak/>
        <w:t>קמ"ל, דהלך על משענתו הוא דבעינן אומדנא, אידך</w:t>
      </w:r>
      <w:r>
        <w:rPr>
          <w:rStyle w:val="a7"/>
          <w:rFonts w:cs="Arial"/>
          <w:rtl/>
        </w:rPr>
        <w:footnoteReference w:id="2566"/>
      </w:r>
      <w:r>
        <w:rPr>
          <w:rFonts w:cs="Arial"/>
          <w:rtl/>
        </w:rPr>
        <w:t xml:space="preserve">, אומדנא נמי לא בעינן. שמעת מינה: שכיב מרע שניתק מחולי לחולי </w:t>
      </w:r>
      <w:r w:rsidR="00A82951">
        <w:rPr>
          <w:rFonts w:cs="Arial"/>
          <w:rtl/>
        </w:rPr>
        <w:t>-</w:t>
      </w:r>
      <w:r>
        <w:rPr>
          <w:rFonts w:cs="Arial"/>
          <w:rtl/>
        </w:rPr>
        <w:t xml:space="preserve"> מתנתו מתנה</w:t>
      </w:r>
      <w:r>
        <w:rPr>
          <w:rStyle w:val="a7"/>
          <w:rFonts w:cs="Arial"/>
          <w:rtl/>
        </w:rPr>
        <w:footnoteReference w:id="2567"/>
      </w:r>
      <w:r>
        <w:rPr>
          <w:rFonts w:cs="Arial"/>
          <w:rtl/>
        </w:rPr>
        <w:t xml:space="preserve">! אין, דאמר רבי אלעזר משמיה דרב: שכיב מרע שניתק מחולי לחולי </w:t>
      </w:r>
      <w:r w:rsidR="00A82951">
        <w:rPr>
          <w:rFonts w:cs="Arial"/>
          <w:rtl/>
        </w:rPr>
        <w:t>-</w:t>
      </w:r>
      <w:r>
        <w:rPr>
          <w:rFonts w:cs="Arial"/>
          <w:rtl/>
        </w:rPr>
        <w:t xml:space="preserve"> מתנתו מתנה. </w:t>
      </w:r>
      <w:r>
        <w:rPr>
          <w:rFonts w:cs="Arial"/>
          <w:u w:val="single"/>
          <w:rtl/>
        </w:rPr>
        <w:t>רבה ורבא</w:t>
      </w:r>
      <w:r>
        <w:rPr>
          <w:rFonts w:cs="Arial"/>
          <w:rtl/>
        </w:rPr>
        <w:t xml:space="preserve"> לא סבירא להו הא דרב הונא</w:t>
      </w:r>
      <w:r>
        <w:rPr>
          <w:rStyle w:val="a7"/>
          <w:rFonts w:cs="Arial"/>
          <w:rtl/>
        </w:rPr>
        <w:footnoteReference w:id="2568"/>
      </w:r>
      <w:r>
        <w:rPr>
          <w:rFonts w:cs="Arial"/>
          <w:rtl/>
        </w:rPr>
        <w:t>, גזירה שמא יאמרו יש גט לאחר מיתה</w:t>
      </w:r>
      <w:r>
        <w:rPr>
          <w:rStyle w:val="a7"/>
          <w:rFonts w:cs="Arial"/>
          <w:rtl/>
        </w:rPr>
        <w:footnoteReference w:id="2569"/>
      </w:r>
      <w:r>
        <w:rPr>
          <w:rFonts w:cs="Arial"/>
          <w:rtl/>
        </w:rPr>
        <w:t>.</w:t>
      </w:r>
      <w:r>
        <w:rPr>
          <w:rFonts w:cs="Arial"/>
          <w:sz w:val="16"/>
          <w:szCs w:val="16"/>
          <w:rtl/>
        </w:rPr>
        <w:t xml:space="preserve"> (עי' בב"י שהאריך בפירוש דברי הגמרא ופירש"י, וכן בדברי הרשב"א הטור והר"ן)</w:t>
      </w:r>
      <w:r>
        <w:rPr>
          <w:rFonts w:cs="Arial"/>
          <w:rtl/>
        </w:rPr>
        <w:t xml:space="preserve"> </w:t>
      </w:r>
    </w:p>
    <w:p w14:paraId="3DB656FE" w14:textId="77777777" w:rsidR="00C97BEF" w:rsidRDefault="00C97BEF" w:rsidP="00C97BEF">
      <w:pPr>
        <w:rPr>
          <w:rFonts w:cs="Arial"/>
          <w:u w:val="single"/>
          <w:rtl/>
        </w:rPr>
      </w:pPr>
      <w:r>
        <w:rPr>
          <w:rFonts w:cs="Arial"/>
          <w:u w:val="single"/>
          <w:rtl/>
        </w:rPr>
        <w:t>מי שאמר ה"ז גיטך אם מתי מחולי זה, ונתחדש בו חולי שני ומת ממנו:</w:t>
      </w:r>
    </w:p>
    <w:p w14:paraId="17341A41" w14:textId="768BD890" w:rsidR="00C97BEF" w:rsidRDefault="00C97BEF" w:rsidP="00C97BEF">
      <w:pPr>
        <w:ind w:left="360"/>
        <w:rPr>
          <w:rFonts w:cs="Arial"/>
          <w:u w:val="dotted"/>
          <w:rtl/>
        </w:rPr>
      </w:pPr>
      <w:r>
        <w:rPr>
          <w:rFonts w:cs="Arial"/>
          <w:u w:val="dotted"/>
          <w:rtl/>
        </w:rPr>
        <w:t xml:space="preserve">מה הדין </w:t>
      </w:r>
      <w:r w:rsidR="009351DB">
        <w:rPr>
          <w:rFonts w:cs="Arial" w:hint="cs"/>
          <w:u w:val="dotted"/>
          <w:rtl/>
        </w:rPr>
        <w:t>כש</w:t>
      </w:r>
      <w:r>
        <w:rPr>
          <w:rFonts w:cs="Arial"/>
          <w:u w:val="dotted"/>
          <w:rtl/>
        </w:rPr>
        <w:t>עמד והלך בשוק בין החולאים:</w:t>
      </w:r>
    </w:p>
    <w:p w14:paraId="44DFEA22" w14:textId="3D5D0083" w:rsidR="00C97BEF" w:rsidRDefault="00C97BEF" w:rsidP="006A458D">
      <w:pPr>
        <w:pStyle w:val="ab"/>
        <w:numPr>
          <w:ilvl w:val="0"/>
          <w:numId w:val="112"/>
        </w:numPr>
        <w:rPr>
          <w:rFonts w:cs="Arial"/>
        </w:rPr>
      </w:pPr>
      <w:r>
        <w:rPr>
          <w:rFonts w:cs="Arial"/>
          <w:rtl/>
        </w:rPr>
        <w:t xml:space="preserve">רי"ף </w:t>
      </w:r>
      <w:r>
        <w:rPr>
          <w:rFonts w:cs="Arial"/>
          <w:sz w:val="16"/>
          <w:szCs w:val="16"/>
          <w:rtl/>
        </w:rPr>
        <w:t xml:space="preserve">(כ"כ בשמו רי"ו [ח"ד נכ"ד רי:] והב"י) </w:t>
      </w:r>
      <w:r>
        <w:rPr>
          <w:rFonts w:cs="Arial"/>
          <w:rtl/>
        </w:rPr>
        <w:t>רמב"ם</w:t>
      </w:r>
      <w:r>
        <w:rPr>
          <w:rFonts w:cs="Arial"/>
          <w:sz w:val="16"/>
          <w:szCs w:val="16"/>
          <w:rtl/>
        </w:rPr>
        <w:t xml:space="preserve"> (פ"ט הי"ח)</w:t>
      </w:r>
      <w:r>
        <w:rPr>
          <w:rFonts w:cs="Arial"/>
          <w:rtl/>
        </w:rPr>
        <w:t xml:space="preserve"> רשב"א </w:t>
      </w:r>
      <w:r>
        <w:rPr>
          <w:rFonts w:cs="Arial"/>
          <w:sz w:val="16"/>
          <w:szCs w:val="16"/>
          <w:rtl/>
        </w:rPr>
        <w:t>(ח"א סי' תשלא</w:t>
      </w:r>
      <w:r>
        <w:rPr>
          <w:rStyle w:val="a7"/>
          <w:rFonts w:cs="Arial"/>
          <w:sz w:val="16"/>
          <w:szCs w:val="16"/>
          <w:rtl/>
        </w:rPr>
        <w:footnoteReference w:id="2570"/>
      </w:r>
      <w:r>
        <w:rPr>
          <w:rFonts w:cs="Arial"/>
          <w:sz w:val="16"/>
          <w:szCs w:val="16"/>
          <w:rtl/>
        </w:rPr>
        <w:t>)</w:t>
      </w:r>
      <w:r w:rsidR="00A82951">
        <w:rPr>
          <w:rFonts w:cs="Arial"/>
          <w:rtl/>
        </w:rPr>
        <w:t>-</w:t>
      </w:r>
      <w:r>
        <w:rPr>
          <w:rFonts w:cs="Arial"/>
          <w:rtl/>
        </w:rPr>
        <w:t xml:space="preserve"> הרי זה גיטיך מעכשיו אם מתי מחלי זה, ועמד והלך בשוק, וחלה ומת, אומדין אותו</w:t>
      </w:r>
      <w:r>
        <w:rPr>
          <w:rStyle w:val="a7"/>
          <w:rFonts w:cs="Arial"/>
          <w:rtl/>
        </w:rPr>
        <w:footnoteReference w:id="2571"/>
      </w:r>
      <w:r>
        <w:rPr>
          <w:rFonts w:cs="Arial"/>
          <w:rtl/>
        </w:rPr>
        <w:t xml:space="preserve">, אם מחמת חלי הראשון מת </w:t>
      </w:r>
      <w:r w:rsidR="00A82951">
        <w:rPr>
          <w:rFonts w:cs="Arial"/>
          <w:rtl/>
        </w:rPr>
        <w:t>-</w:t>
      </w:r>
      <w:r>
        <w:rPr>
          <w:rFonts w:cs="Arial"/>
          <w:rtl/>
        </w:rPr>
        <w:t xml:space="preserve"> הרי זה גט. ואם לאו </w:t>
      </w:r>
      <w:r w:rsidR="00A82951">
        <w:rPr>
          <w:rFonts w:cs="Arial"/>
          <w:rtl/>
        </w:rPr>
        <w:t>-</w:t>
      </w:r>
      <w:r>
        <w:rPr>
          <w:rFonts w:cs="Arial"/>
          <w:rtl/>
        </w:rPr>
        <w:t xml:space="preserve"> אינו גט</w:t>
      </w:r>
      <w:r>
        <w:rPr>
          <w:rFonts w:cs="Arial"/>
          <w:sz w:val="16"/>
          <w:szCs w:val="16"/>
          <w:rtl/>
        </w:rPr>
        <w:t xml:space="preserve"> (ל' הרמב"ם)</w:t>
      </w:r>
      <w:r>
        <w:rPr>
          <w:rFonts w:cs="Arial"/>
          <w:rtl/>
        </w:rPr>
        <w:t xml:space="preserve">. </w:t>
      </w:r>
      <w:r>
        <w:rPr>
          <w:rFonts w:cs="Arial"/>
          <w:color w:val="E36C0A" w:themeColor="accent6" w:themeShade="BF"/>
          <w:rtl/>
        </w:rPr>
        <w:t>(וכ"פ בשו"ע)</w:t>
      </w:r>
    </w:p>
    <w:p w14:paraId="5D25EEDF" w14:textId="2990C618"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עמד מחוליו והלך בשוק בלא משענת כדרך הבריאים, אע"פ שחזר וחלה ומת מהחולי הראשון </w:t>
      </w:r>
      <w:r w:rsidR="00A82951">
        <w:rPr>
          <w:rFonts w:cs="Arial"/>
          <w:rtl/>
        </w:rPr>
        <w:t>-</w:t>
      </w:r>
      <w:r>
        <w:rPr>
          <w:rFonts w:cs="Arial"/>
          <w:rtl/>
        </w:rPr>
        <w:t xml:space="preserve"> בטל הגט כיון שנתרפא בינתיים.</w:t>
      </w:r>
      <w:r>
        <w:rPr>
          <w:rtl/>
        </w:rPr>
        <w:t>..</w:t>
      </w:r>
      <w:r>
        <w:rPr>
          <w:rFonts w:cs="Arial"/>
          <w:rtl/>
        </w:rPr>
        <w:t xml:space="preserve"> ואם עמד והלך בשוק על משענתו, אם לא ניתק מחולי לחולי אלא שהכביד עליו חליו ומת אפילו היקל בינתיים </w:t>
      </w:r>
      <w:r w:rsidR="00A82951">
        <w:rPr>
          <w:rFonts w:cs="Arial"/>
          <w:rtl/>
        </w:rPr>
        <w:t>-</w:t>
      </w:r>
      <w:r>
        <w:rPr>
          <w:rFonts w:cs="Arial"/>
          <w:rtl/>
        </w:rPr>
        <w:t xml:space="preserve"> א"צ אומד שודאי מחולי הראשון מת. ואם ניתק מחולי לחולי, כיון שעמד והלך בשוק על משענתו, אומדין אותו, אם מחולי הראשון מת </w:t>
      </w:r>
      <w:r w:rsidR="00A82951">
        <w:rPr>
          <w:rFonts w:cs="Arial"/>
          <w:rtl/>
        </w:rPr>
        <w:t>-</w:t>
      </w:r>
      <w:r>
        <w:rPr>
          <w:rFonts w:cs="Arial"/>
          <w:rtl/>
        </w:rPr>
        <w:t xml:space="preserve"> ה"ז גט. ואם לאו </w:t>
      </w:r>
      <w:r w:rsidR="00A82951">
        <w:rPr>
          <w:rFonts w:cs="Arial"/>
          <w:rtl/>
        </w:rPr>
        <w:t>-</w:t>
      </w:r>
      <w:r>
        <w:rPr>
          <w:rFonts w:cs="Arial"/>
          <w:rtl/>
        </w:rPr>
        <w:t xml:space="preserve"> אינו גט.</w:t>
      </w:r>
    </w:p>
    <w:p w14:paraId="1349B6A8" w14:textId="1CBF23B5" w:rsidR="00C97BEF" w:rsidRDefault="00C97BEF" w:rsidP="006A458D">
      <w:pPr>
        <w:pStyle w:val="ab"/>
        <w:numPr>
          <w:ilvl w:val="1"/>
          <w:numId w:val="112"/>
        </w:numPr>
      </w:pPr>
      <w:r>
        <w:rPr>
          <w:rFonts w:cs="Arial"/>
          <w:rtl/>
        </w:rPr>
        <w:t>ב"י</w:t>
      </w:r>
      <w:r w:rsidR="00A82951">
        <w:rPr>
          <w:rFonts w:cs="Arial"/>
          <w:rtl/>
        </w:rPr>
        <w:t>-</w:t>
      </w:r>
      <w:r>
        <w:rPr>
          <w:rFonts w:cs="Arial"/>
          <w:rtl/>
        </w:rPr>
        <w:t xml:space="preserve"> נמצא דלהרי"ף והרמב"ם </w:t>
      </w:r>
      <w:r>
        <w:rPr>
          <w:rFonts w:cs="Arial"/>
          <w:sz w:val="16"/>
          <w:szCs w:val="16"/>
          <w:rtl/>
        </w:rPr>
        <w:t xml:space="preserve">(שם) </w:t>
      </w:r>
      <w:r>
        <w:rPr>
          <w:rFonts w:cs="Arial"/>
          <w:rtl/>
        </w:rPr>
        <w:t xml:space="preserve">והתוספות </w:t>
      </w:r>
      <w:r>
        <w:rPr>
          <w:rFonts w:cs="Arial"/>
          <w:sz w:val="16"/>
          <w:szCs w:val="16"/>
          <w:rtl/>
        </w:rPr>
        <w:t xml:space="preserve">(עב: ד"ה אמר) </w:t>
      </w:r>
      <w:r>
        <w:rPr>
          <w:rFonts w:cs="Arial"/>
          <w:rtl/>
        </w:rPr>
        <w:t xml:space="preserve">והרמב"ן </w:t>
      </w:r>
      <w:r>
        <w:rPr>
          <w:rFonts w:cs="Arial"/>
          <w:sz w:val="16"/>
          <w:szCs w:val="16"/>
          <w:rtl/>
        </w:rPr>
        <w:t xml:space="preserve">(עב: ד"ה גיטו) </w:t>
      </w:r>
      <w:r>
        <w:rPr>
          <w:rFonts w:cs="Arial"/>
          <w:rtl/>
        </w:rPr>
        <w:t>לא מפלגינן בהלך בשוק בין במשענת בין שלא במשענת. ולזה נוטים דברי הרא"ש שהשמיט מה שהשמיט הרי"ף. וגם דברי רש"י על דרך זה פירשם הרמב"ן. ולא יש מי שיחלוק על זה אלא רבינו בפשיטות, והר"ן כמסתפק</w:t>
      </w:r>
      <w:r>
        <w:rPr>
          <w:rtl/>
        </w:rPr>
        <w:t>.</w:t>
      </w:r>
    </w:p>
    <w:p w14:paraId="0DF1161D" w14:textId="5D1DF0A7" w:rsidR="00C97BEF" w:rsidRDefault="00C97BEF" w:rsidP="00C97BEF">
      <w:pPr>
        <w:ind w:left="360"/>
        <w:rPr>
          <w:rFonts w:cs="Arial"/>
        </w:rPr>
      </w:pPr>
      <w:r>
        <w:rPr>
          <w:rFonts w:cs="Arial"/>
          <w:u w:val="dotted"/>
          <w:rtl/>
        </w:rPr>
        <w:t xml:space="preserve">מה הדין </w:t>
      </w:r>
      <w:r w:rsidR="008F5CB5">
        <w:rPr>
          <w:rFonts w:cs="Arial" w:hint="cs"/>
          <w:b/>
          <w:bCs/>
          <w:u w:val="dotted"/>
          <w:rtl/>
        </w:rPr>
        <w:t>כש</w:t>
      </w:r>
      <w:r>
        <w:rPr>
          <w:rFonts w:cs="Arial"/>
          <w:b/>
          <w:bCs/>
          <w:u w:val="dotted"/>
          <w:rtl/>
        </w:rPr>
        <w:t>לא</w:t>
      </w:r>
      <w:r>
        <w:rPr>
          <w:rFonts w:cs="Arial"/>
          <w:u w:val="dotted"/>
          <w:rtl/>
        </w:rPr>
        <w:t xml:space="preserve"> עמד והלך בשוק בין החולאים:</w:t>
      </w:r>
    </w:p>
    <w:p w14:paraId="74EA0A28" w14:textId="527C525D" w:rsidR="00C97BEF" w:rsidRDefault="00C97BEF" w:rsidP="006A458D">
      <w:pPr>
        <w:pStyle w:val="ab"/>
        <w:numPr>
          <w:ilvl w:val="0"/>
          <w:numId w:val="112"/>
        </w:numPr>
        <w:rPr>
          <w:rFonts w:cs="Arial"/>
        </w:rPr>
      </w:pPr>
      <w:r>
        <w:rPr>
          <w:rFonts w:cs="Arial"/>
          <w:rtl/>
        </w:rPr>
        <w:t xml:space="preserve">רי"ף </w:t>
      </w:r>
      <w:r>
        <w:rPr>
          <w:rFonts w:cs="Arial"/>
          <w:sz w:val="16"/>
          <w:szCs w:val="16"/>
          <w:rtl/>
        </w:rPr>
        <w:t xml:space="preserve">(לד:, כ"כ בשמו הב"י) </w:t>
      </w:r>
      <w:r>
        <w:rPr>
          <w:rFonts w:cs="Arial"/>
          <w:rtl/>
        </w:rPr>
        <w:t>ורמב"ם</w:t>
      </w:r>
      <w:r>
        <w:rPr>
          <w:rFonts w:cs="Arial"/>
          <w:sz w:val="16"/>
          <w:szCs w:val="16"/>
          <w:rtl/>
        </w:rPr>
        <w:t xml:space="preserve"> (פ"ט הי"ח)</w:t>
      </w:r>
      <w:r w:rsidR="00A82951">
        <w:rPr>
          <w:rFonts w:cs="Arial"/>
          <w:rtl/>
        </w:rPr>
        <w:t>-</w:t>
      </w:r>
      <w:r>
        <w:rPr>
          <w:rFonts w:cs="Arial"/>
          <w:rtl/>
        </w:rPr>
        <w:t xml:space="preserve"> ואם ניתק מחלי לחלי ולא עמד בשוק </w:t>
      </w:r>
      <w:r w:rsidR="00A82951">
        <w:rPr>
          <w:rFonts w:cs="Arial"/>
          <w:rtl/>
        </w:rPr>
        <w:t>-</w:t>
      </w:r>
      <w:r>
        <w:rPr>
          <w:rFonts w:cs="Arial"/>
          <w:rtl/>
        </w:rPr>
        <w:t xml:space="preserve"> הרי זה גט ואינו צריך אומד</w:t>
      </w:r>
      <w:r>
        <w:rPr>
          <w:rFonts w:cs="Arial"/>
          <w:sz w:val="16"/>
          <w:szCs w:val="16"/>
          <w:rtl/>
        </w:rPr>
        <w:t xml:space="preserve"> (ל' הרמב"ם)</w:t>
      </w:r>
      <w:r>
        <w:rPr>
          <w:rFonts w:cs="Arial"/>
          <w:rtl/>
        </w:rPr>
        <w:t xml:space="preserve">. </w:t>
      </w:r>
      <w:r>
        <w:rPr>
          <w:rFonts w:cs="Arial"/>
          <w:color w:val="E36C0A" w:themeColor="accent6" w:themeShade="BF"/>
          <w:rtl/>
        </w:rPr>
        <w:t>(וכ"פ בשו"ע)</w:t>
      </w:r>
    </w:p>
    <w:p w14:paraId="5194A681" w14:textId="13BDCCC5"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לא הלך בשוק, אפילו ניתק מחולי לחולי והלך בינתיים בביתו בלא משענת </w:t>
      </w:r>
      <w:r w:rsidR="00A82951">
        <w:rPr>
          <w:rFonts w:cs="Arial"/>
          <w:rtl/>
        </w:rPr>
        <w:t>-</w:t>
      </w:r>
      <w:r>
        <w:rPr>
          <w:rFonts w:cs="Arial"/>
          <w:rtl/>
        </w:rPr>
        <w:t xml:space="preserve"> ה"ז גט ואין צריך אומד, שודאי מחולי זה מת. </w:t>
      </w:r>
    </w:p>
    <w:p w14:paraId="4EC47403" w14:textId="60676F81" w:rsidR="00C97BEF" w:rsidRDefault="00C97BEF" w:rsidP="006A458D">
      <w:pPr>
        <w:pStyle w:val="ab"/>
        <w:numPr>
          <w:ilvl w:val="0"/>
          <w:numId w:val="112"/>
        </w:numPr>
        <w:rPr>
          <w:rFonts w:cs="Arial"/>
          <w:rtl/>
        </w:rPr>
      </w:pPr>
      <w:r>
        <w:rPr>
          <w:rFonts w:cs="Arial"/>
          <w:rtl/>
        </w:rPr>
        <w:t>רשב"א</w:t>
      </w:r>
      <w:r>
        <w:rPr>
          <w:rFonts w:cs="Arial"/>
          <w:sz w:val="16"/>
          <w:szCs w:val="16"/>
          <w:rtl/>
        </w:rPr>
        <w:t xml:space="preserve"> (סי' אלף רמב, וכ"כ בחידו' עג. ד"ה הא קמ"ל)</w:t>
      </w:r>
      <w:r w:rsidR="00A82951">
        <w:rPr>
          <w:rFonts w:cs="Arial"/>
          <w:rtl/>
        </w:rPr>
        <w:t>-</w:t>
      </w:r>
      <w:r>
        <w:rPr>
          <w:rFonts w:cs="Arial"/>
          <w:rtl/>
        </w:rPr>
        <w:t xml:space="preserve"> אע"פ שניתק מחולי לחולי ומת מחולי זה שנתחדש, אומדים אותו, אם מחמת החולי הראשון ניתק לחולי זה שהמיתו </w:t>
      </w:r>
      <w:r w:rsidR="00A82951">
        <w:rPr>
          <w:rFonts w:cs="Arial"/>
          <w:rtl/>
        </w:rPr>
        <w:t>-</w:t>
      </w:r>
      <w:r>
        <w:rPr>
          <w:rFonts w:cs="Arial"/>
          <w:rtl/>
        </w:rPr>
        <w:t xml:space="preserve"> הרי זה גט, שבודאי מן החולי הראשון מת שהוא הוא הביאו לחולי זה והמיתו. אבל אם אמדוהו שאין חולי זה שני בא מחמת חולי ראשון והוא המיתו </w:t>
      </w:r>
      <w:r w:rsidR="00A82951">
        <w:rPr>
          <w:rFonts w:cs="Arial"/>
          <w:rtl/>
        </w:rPr>
        <w:t>-</w:t>
      </w:r>
      <w:r>
        <w:rPr>
          <w:rFonts w:cs="Arial"/>
          <w:rtl/>
        </w:rPr>
        <w:t xml:space="preserve"> לא מת מן החולי הראשון ולא בסבתו והוא לא התנה אלא בחולי זה. וזה נודע באמת כי יש חולי מסבב ומפיל לחולי אחר ונודע לבקיאים אם האחרון בסבת הראשון אם לא. ומכל מקום אם החולי הראשון כבד כמו שאמרת ולא סר ולא הקל וראוי להמיתו בלא זה שניתק לו. בזה יראה שאין צריך אומדנא שהרי לא ניתק מן הראשון ולא עמד ממנו ואנן עמד מחולי זה ונפל לחולי אחר אמרינן.</w:t>
      </w:r>
    </w:p>
    <w:p w14:paraId="61A36610" w14:textId="77777777" w:rsidR="00C97BEF" w:rsidRDefault="00C97BEF" w:rsidP="00C97BEF">
      <w:pPr>
        <w:rPr>
          <w:rFonts w:cs="Arial"/>
          <w:u w:val="single"/>
        </w:rPr>
      </w:pPr>
      <w:r>
        <w:rPr>
          <w:rFonts w:cs="Arial"/>
          <w:u w:val="single"/>
          <w:rtl/>
        </w:rPr>
        <w:t>היה חולה, ואמר לאשתו 'אם מתי', ועמד והלך בשוק, וחלה בחולי שני ומת ממנו:</w:t>
      </w:r>
    </w:p>
    <w:p w14:paraId="548F5EE2" w14:textId="348244D1" w:rsidR="00C97BEF" w:rsidRDefault="00C97BEF" w:rsidP="006A458D">
      <w:pPr>
        <w:pStyle w:val="ab"/>
        <w:numPr>
          <w:ilvl w:val="0"/>
          <w:numId w:val="112"/>
        </w:numPr>
        <w:rPr>
          <w:rFonts w:cs="Arial"/>
        </w:rPr>
      </w:pPr>
      <w:r>
        <w:rPr>
          <w:rFonts w:cs="Arial"/>
          <w:rtl/>
        </w:rPr>
        <w:t xml:space="preserve">רי"ו </w:t>
      </w:r>
      <w:r>
        <w:rPr>
          <w:rFonts w:cs="Arial"/>
          <w:sz w:val="16"/>
          <w:szCs w:val="16"/>
          <w:rtl/>
        </w:rPr>
        <w:t>(ח"ד נכ"ד רי:)</w:t>
      </w:r>
      <w:r w:rsidR="00A82951">
        <w:rPr>
          <w:rFonts w:cs="Arial"/>
          <w:rtl/>
        </w:rPr>
        <w:t>-</w:t>
      </w:r>
      <w:r>
        <w:rPr>
          <w:rFonts w:cs="Arial"/>
          <w:rtl/>
        </w:rPr>
        <w:t xml:space="preserve"> אם אמר 'אם מתי', אע"פ שעמד והלך בלא משענת, ואמדו אותו שמת מחמת חולי אחר </w:t>
      </w:r>
      <w:r w:rsidR="00A82951">
        <w:rPr>
          <w:rFonts w:cs="Arial"/>
          <w:rtl/>
        </w:rPr>
        <w:t>-</w:t>
      </w:r>
      <w:r>
        <w:rPr>
          <w:rFonts w:cs="Arial"/>
          <w:rtl/>
        </w:rPr>
        <w:t xml:space="preserve"> הרי זה גט מאחר שלא חזר לבריאותו, ואם חזר לבריאותו נתבטל הגט אע"פ שחלה אחר כך ומת</w:t>
      </w:r>
      <w:r>
        <w:rPr>
          <w:rStyle w:val="a7"/>
          <w:rFonts w:cs="Arial"/>
          <w:rtl/>
        </w:rPr>
        <w:footnoteReference w:id="2572"/>
      </w:r>
      <w:r>
        <w:rPr>
          <w:rFonts w:cs="Arial"/>
          <w:rtl/>
        </w:rPr>
        <w:t xml:space="preserve">. </w:t>
      </w:r>
    </w:p>
    <w:p w14:paraId="1B37F399"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C88F2D9" w14:textId="77777777" w:rsidR="00C97BEF" w:rsidRDefault="00C97BEF" w:rsidP="00C97BEF">
      <w:pPr>
        <w:rPr>
          <w:rtl/>
        </w:rPr>
      </w:pPr>
      <w:r>
        <w:rPr>
          <w:rFonts w:cs="Arial"/>
          <w:rtl/>
        </w:rPr>
        <w:lastRenderedPageBreak/>
        <w:t>הרי זה גיטיך מעכשיו</w:t>
      </w:r>
      <w:r>
        <w:rPr>
          <w:rStyle w:val="a7"/>
          <w:rFonts w:cs="Arial"/>
          <w:rtl/>
        </w:rPr>
        <w:footnoteReference w:id="2573"/>
      </w:r>
      <w:r>
        <w:rPr>
          <w:rFonts w:cs="Arial"/>
          <w:rtl/>
        </w:rPr>
        <w:t xml:space="preserve"> אם מתי מחולי זה, ועמד, והלך בשוק וחלה ומת, אומדין אותו אם מחמת חולי הראשון מת, הרי זה גט, אפילו הלך בלא משענת. ואם לאו, אינו גט. ואם ניתק מחולי לחולי ולא עמד בשוק, הרי זה גט ואינו צריך אומד. </w:t>
      </w:r>
    </w:p>
    <w:p w14:paraId="3CD94680" w14:textId="77777777" w:rsidR="00C97BEF" w:rsidRDefault="00C97BEF" w:rsidP="00C97BEF">
      <w:pPr>
        <w:rPr>
          <w:rtl/>
        </w:rPr>
      </w:pPr>
    </w:p>
    <w:p w14:paraId="767263E7" w14:textId="77777777" w:rsidR="00C97BEF" w:rsidRDefault="00C97BEF" w:rsidP="00C97BEF">
      <w:pPr>
        <w:pStyle w:val="2"/>
        <w:rPr>
          <w:rtl/>
        </w:rPr>
      </w:pPr>
      <w:r>
        <w:rPr>
          <w:rtl/>
        </w:rPr>
        <w:t>סעיף ח: שכ"מ שאמר 'אם מתי' ולא פירש 'מחולי זה'.</w:t>
      </w:r>
    </w:p>
    <w:p w14:paraId="1D6F9918" w14:textId="77777777" w:rsidR="00C97BEF" w:rsidRDefault="00C97BEF" w:rsidP="00C97BEF">
      <w:pPr>
        <w:rPr>
          <w:rFonts w:cs="Arial"/>
          <w:u w:val="single"/>
          <w:rtl/>
        </w:rPr>
      </w:pPr>
      <w:r>
        <w:rPr>
          <w:rFonts w:cs="Arial"/>
          <w:u w:val="single"/>
          <w:rtl/>
        </w:rPr>
        <w:t>שכיב מרע שאמר 'אם מתי' ולא פירש 'מחולי זה':</w:t>
      </w:r>
    </w:p>
    <w:p w14:paraId="5D50F114" w14:textId="2A893A16" w:rsidR="00C97BEF" w:rsidRDefault="00C97BEF" w:rsidP="006A458D">
      <w:pPr>
        <w:pStyle w:val="ab"/>
        <w:numPr>
          <w:ilvl w:val="0"/>
          <w:numId w:val="112"/>
        </w:numPr>
        <w:rPr>
          <w:rtl/>
        </w:rPr>
      </w:pPr>
      <w:r>
        <w:rPr>
          <w:rFonts w:cs="Arial"/>
          <w:rtl/>
        </w:rPr>
        <w:t xml:space="preserve">רשב"א </w:t>
      </w:r>
      <w:r>
        <w:rPr>
          <w:rFonts w:cs="Arial"/>
          <w:sz w:val="16"/>
          <w:szCs w:val="16"/>
          <w:rtl/>
        </w:rPr>
        <w:t>(עב: ד"ה ומהכא, וכ"כ הה"מ בשמו [פ"ט הי"ח])</w:t>
      </w:r>
      <w:r>
        <w:rPr>
          <w:rFonts w:cs="Arial"/>
          <w:rtl/>
        </w:rPr>
        <w:t xml:space="preserve"> ור"ן </w:t>
      </w:r>
      <w:r>
        <w:rPr>
          <w:rFonts w:cs="Arial"/>
          <w:sz w:val="16"/>
          <w:szCs w:val="16"/>
          <w:rtl/>
        </w:rPr>
        <w:t>(לד: סד"ה אמר)</w:t>
      </w:r>
      <w:r w:rsidR="00A82951">
        <w:rPr>
          <w:rFonts w:cs="Arial"/>
          <w:rtl/>
        </w:rPr>
        <w:t>-</w:t>
      </w:r>
      <w:r>
        <w:rPr>
          <w:rFonts w:cs="Arial"/>
          <w:rtl/>
        </w:rPr>
        <w:t xml:space="preserve"> משמע דהאי אם מתי קודם שאתרפא מחולי זה קאמר, ולאו תנאה דלעולם הוא. ומיהו הני מילי בשכיב מרע שאומר כן לפי שדעתו בכך, אבל בריא שהתנה ואמר אם מתי תנאה דלעולם הוא. ואע"פ שסוף התנאי להתקיים שסוף אדם למות, מצינו תנאים כיוצא בהם כדאמרינן לקמן (עז.) על מנת שתצא חמה מנרתיקה</w:t>
      </w:r>
      <w:r>
        <w:rPr>
          <w:rFonts w:cs="Arial"/>
          <w:sz w:val="16"/>
          <w:szCs w:val="16"/>
          <w:rtl/>
        </w:rPr>
        <w:t xml:space="preserve"> (ל' הר"ן)</w:t>
      </w:r>
      <w:r>
        <w:rPr>
          <w:rFonts w:cs="Arial"/>
          <w:rtl/>
        </w:rPr>
        <w:t xml:space="preserve">. </w:t>
      </w:r>
      <w:r>
        <w:rPr>
          <w:rFonts w:cs="Arial"/>
          <w:color w:val="E36C0A" w:themeColor="accent6" w:themeShade="BF"/>
          <w:rtl/>
        </w:rPr>
        <w:t>(וכ"פ בשו"ע)</w:t>
      </w:r>
    </w:p>
    <w:p w14:paraId="053D716C"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134F7F4" w14:textId="77777777" w:rsidR="00C97BEF" w:rsidRDefault="00C97BEF" w:rsidP="00C97BEF">
      <w:pPr>
        <w:rPr>
          <w:rtl/>
        </w:rPr>
      </w:pPr>
      <w:r>
        <w:rPr>
          <w:rFonts w:cs="Arial"/>
          <w:rtl/>
        </w:rPr>
        <w:t xml:space="preserve">שכיב מרע שנתן גט ואמר: מהיום אם מתי, סתם, והבריא, בטל גיטו, ולא אמרינן לעולם קודם שימות קאמר, אלא אם מתי מחולי זה קאמר. אבל אם מתוך בוריו התנה במהיום אם מתי, ודאי כל שמת בחייה קאמר, וכל אימת דמאית הרי זו מגורשת. </w:t>
      </w:r>
    </w:p>
    <w:p w14:paraId="08191C91" w14:textId="77777777" w:rsidR="00C97BEF" w:rsidRDefault="00C97BEF" w:rsidP="00C97BEF">
      <w:pPr>
        <w:rPr>
          <w:rtl/>
        </w:rPr>
      </w:pPr>
    </w:p>
    <w:p w14:paraId="4669A0BF" w14:textId="77777777" w:rsidR="00C97BEF" w:rsidRDefault="00C97BEF" w:rsidP="00C97BEF">
      <w:pPr>
        <w:pStyle w:val="2"/>
        <w:rPr>
          <w:rtl/>
        </w:rPr>
      </w:pPr>
      <w:r>
        <w:rPr>
          <w:rtl/>
        </w:rPr>
        <w:t xml:space="preserve">סעיף ט: כיצד יאמר שכ"מ שרוצה לגרש בתנאי. </w:t>
      </w:r>
    </w:p>
    <w:p w14:paraId="5D489075" w14:textId="77777777" w:rsidR="00C97BEF" w:rsidRDefault="00C97BEF" w:rsidP="00C97BEF">
      <w:pPr>
        <w:rPr>
          <w:u w:val="single"/>
          <w:rtl/>
        </w:rPr>
      </w:pPr>
      <w:r>
        <w:rPr>
          <w:u w:val="single"/>
          <w:rtl/>
        </w:rPr>
        <w:t>כיצד יאמר שכיב מרע שרוצה לגרש בתנאי:</w:t>
      </w:r>
    </w:p>
    <w:p w14:paraId="43DAC6E0" w14:textId="4C2DB0B2" w:rsidR="00C97BEF" w:rsidRDefault="00C97BEF" w:rsidP="006A458D">
      <w:pPr>
        <w:pStyle w:val="ab"/>
        <w:numPr>
          <w:ilvl w:val="0"/>
          <w:numId w:val="112"/>
        </w:numPr>
        <w:rPr>
          <w:rFonts w:cs="Arial"/>
          <w:rtl/>
        </w:rPr>
      </w:pPr>
      <w:r>
        <w:rPr>
          <w:rFonts w:cs="Arial"/>
          <w:rtl/>
        </w:rPr>
        <w:t xml:space="preserve">רשב"א </w:t>
      </w:r>
      <w:r>
        <w:rPr>
          <w:rFonts w:cs="Arial"/>
          <w:sz w:val="16"/>
          <w:szCs w:val="16"/>
          <w:rtl/>
        </w:rPr>
        <w:t>(בתשו', כ"כ הב"י בשמו)</w:t>
      </w:r>
      <w:r w:rsidR="00A82951">
        <w:rPr>
          <w:rFonts w:cs="Arial"/>
          <w:rtl/>
        </w:rPr>
        <w:t>-</w:t>
      </w:r>
      <w:r>
        <w:rPr>
          <w:rFonts w:cs="Arial"/>
          <w:rtl/>
        </w:rPr>
        <w:t xml:space="preserve"> עצה טובה על פי גדולי עולם לחוש לרמאין שיאמר בגט שכיב מרע 'אם מתי מעכשיו ועד יום פלוני והוא בכלל יהא גט'. ולא יאמר 'אם אמות מחולי זה' שיהא התנאי תלוי בחולי, שמא יבוא אדם שאינו מהוגן וישתדל עם הרופא לומר שלא מת מאותו חולי אלא מחולי אחר שנעתק אליו ויוציא לעז על הגט</w:t>
      </w:r>
      <w:r>
        <w:rPr>
          <w:rFonts w:cs="Arial"/>
          <w:sz w:val="16"/>
          <w:szCs w:val="16"/>
          <w:rtl/>
        </w:rPr>
        <w:t xml:space="preserve"> (ל' הב"י בשמו)</w:t>
      </w:r>
      <w:r>
        <w:rPr>
          <w:rFonts w:cs="Arial"/>
          <w:rtl/>
        </w:rPr>
        <w:t xml:space="preserve">. </w:t>
      </w:r>
      <w:r>
        <w:rPr>
          <w:rFonts w:cs="Arial"/>
          <w:color w:val="E36C0A" w:themeColor="accent6" w:themeShade="BF"/>
          <w:rtl/>
        </w:rPr>
        <w:t>(וכ"פ בשו"ע)</w:t>
      </w:r>
    </w:p>
    <w:p w14:paraId="3B0C4835" w14:textId="77777777" w:rsidR="00C97BEF" w:rsidRDefault="00C97BEF" w:rsidP="00C97BEF">
      <w:pPr>
        <w:rPr>
          <w:rFonts w:cs="Arial"/>
          <w:sz w:val="16"/>
          <w:szCs w:val="16"/>
          <w:u w:val="single"/>
        </w:rPr>
      </w:pPr>
      <w:r>
        <w:rPr>
          <w:rFonts w:cs="Arial"/>
          <w:u w:val="single"/>
          <w:rtl/>
        </w:rPr>
        <w:t>בקיאות הרופאים בזמן הזה לקבוע אם מת מחולי ראשון או מזה שנעתק אליו:</w:t>
      </w:r>
      <w:r>
        <w:rPr>
          <w:rFonts w:cs="Arial"/>
          <w:sz w:val="16"/>
          <w:szCs w:val="16"/>
          <w:rtl/>
        </w:rPr>
        <w:t xml:space="preserve"> (דרכ"מ אות ד)</w:t>
      </w:r>
    </w:p>
    <w:p w14:paraId="613AE202" w14:textId="316881F3" w:rsidR="00C97BEF" w:rsidRDefault="00C97BEF" w:rsidP="006A458D">
      <w:pPr>
        <w:pStyle w:val="ab"/>
        <w:numPr>
          <w:ilvl w:val="0"/>
          <w:numId w:val="112"/>
        </w:numPr>
        <w:rPr>
          <w:rFonts w:cs="Arial"/>
        </w:rPr>
      </w:pPr>
      <w:r>
        <w:rPr>
          <w:rFonts w:cs="Arial"/>
          <w:rtl/>
        </w:rPr>
        <w:t xml:space="preserve">תשובות מיימוניות </w:t>
      </w:r>
      <w:r>
        <w:rPr>
          <w:rFonts w:cs="Arial"/>
          <w:sz w:val="16"/>
          <w:szCs w:val="16"/>
          <w:rtl/>
        </w:rPr>
        <w:t>(נשים סי' ל)</w:t>
      </w:r>
      <w:r w:rsidR="00A82951">
        <w:rPr>
          <w:rFonts w:cs="Arial"/>
          <w:rtl/>
        </w:rPr>
        <w:t>-</w:t>
      </w:r>
      <w:r>
        <w:rPr>
          <w:rFonts w:cs="Arial"/>
          <w:rtl/>
        </w:rPr>
        <w:t xml:space="preserve"> ובנדון זה אפילו לא הלך אלא במשענת הא אומדנא בעי שיאמדוהו רופאים בקיאים ויאמרו שמחמת חולי הראשון מת, ומי אמד אותו, ועוד מי בקי בזמן הזה בההיא אומדנא שנסמוך עליו להתיר יבמה לשוק. ואפי' לפר"ת דפי' דרבה ורבא לא סבירא להו הא דרב הונא והילכתא כוותייהו במהיום אם מתי דאם עמד והלך בשוק בלא משענת אין הגט בטל, מיהו אומדנא בעי ע"פ בקיאין שיאמרו מחולי הראשון מת כדקתני מתני' וכבר פרשתי דאאומדנא בזמן הזה לא סמכינן להקל דשמא לא נשמר יפה מכמה דברים שמחזירין את החולה לחליו ולא מחמת חולי הראשון מת.</w:t>
      </w:r>
    </w:p>
    <w:p w14:paraId="2AFD4EE1" w14:textId="77777777" w:rsidR="00C97BEF" w:rsidRDefault="00C97BEF" w:rsidP="00C97BEF">
      <w:pPr>
        <w:rPr>
          <w:rFonts w:cs="Arial"/>
          <w:u w:val="single"/>
        </w:rPr>
      </w:pPr>
      <w:r>
        <w:rPr>
          <w:rFonts w:cs="Arial"/>
          <w:u w:val="single"/>
          <w:rtl/>
        </w:rPr>
        <w:t>מנהג לעשות לשכ"מ גט ללא תנאי כדי שלא יהיה ספק:</w:t>
      </w:r>
      <w:r>
        <w:rPr>
          <w:rFonts w:cs="Arial"/>
          <w:sz w:val="16"/>
          <w:szCs w:val="16"/>
          <w:rtl/>
        </w:rPr>
        <w:t xml:space="preserve"> (דרכ"מ אות ה)</w:t>
      </w:r>
    </w:p>
    <w:p w14:paraId="52C7D3A5" w14:textId="7C6D982C" w:rsidR="00C97BEF" w:rsidRDefault="00C97BEF" w:rsidP="006A458D">
      <w:pPr>
        <w:pStyle w:val="ab"/>
        <w:numPr>
          <w:ilvl w:val="0"/>
          <w:numId w:val="112"/>
        </w:numPr>
        <w:rPr>
          <w:rFonts w:cs="Arial"/>
        </w:rPr>
      </w:pPr>
      <w:r>
        <w:rPr>
          <w:rFonts w:cs="Arial"/>
          <w:rtl/>
        </w:rPr>
        <w:lastRenderedPageBreak/>
        <w:t xml:space="preserve">ר"פ </w:t>
      </w:r>
      <w:r>
        <w:rPr>
          <w:rFonts w:cs="Arial"/>
          <w:sz w:val="16"/>
          <w:szCs w:val="16"/>
          <w:rtl/>
        </w:rPr>
        <w:t>(הגה' הסמ"ק סי' קפד הגהה ט, הובא במרדכי [גיטין סי' תכג, ובסי' תכז] רשב"א</w:t>
      </w:r>
      <w:r>
        <w:rPr>
          <w:rStyle w:val="a7"/>
          <w:rFonts w:cs="Arial"/>
          <w:sz w:val="16"/>
          <w:szCs w:val="16"/>
          <w:rtl/>
        </w:rPr>
        <w:footnoteReference w:id="2574"/>
      </w:r>
      <w:r>
        <w:rPr>
          <w:rFonts w:cs="Arial"/>
          <w:sz w:val="16"/>
          <w:szCs w:val="16"/>
          <w:rtl/>
        </w:rPr>
        <w:t xml:space="preserve"> [ח"ז סי' תלח] ואגודה [גיטין פ"ז סי' קכז])</w:t>
      </w:r>
      <w:r w:rsidR="00A82951">
        <w:rPr>
          <w:rFonts w:cs="Arial"/>
          <w:rtl/>
        </w:rPr>
        <w:t>-</w:t>
      </w:r>
      <w:r>
        <w:rPr>
          <w:rFonts w:cs="Arial"/>
          <w:rtl/>
        </w:rPr>
        <w:t xml:space="preserve"> ומורי רבינו יחיאל היה רגיל להצריך בגט ש"מ לגרש לגמרי בלא שום תנאי כדי לאפוקי נפשיה מכל ספק וגמגום. אך היה מזקיקם לקבל עליהם חרם של תקנת הקהלות לישא אותה מיד כשיעמוד</w:t>
      </w:r>
      <w:r>
        <w:rPr>
          <w:rStyle w:val="a7"/>
          <w:rFonts w:cs="Arial"/>
          <w:rtl/>
        </w:rPr>
        <w:footnoteReference w:id="2575"/>
      </w:r>
      <w:r>
        <w:rPr>
          <w:rFonts w:cs="Arial"/>
          <w:rtl/>
        </w:rPr>
        <w:t>.</w:t>
      </w:r>
    </w:p>
    <w:p w14:paraId="570F4CD6" w14:textId="5BDBA0A2" w:rsidR="00C97BEF" w:rsidRDefault="00C97BEF" w:rsidP="006A458D">
      <w:pPr>
        <w:pStyle w:val="ab"/>
        <w:numPr>
          <w:ilvl w:val="0"/>
          <w:numId w:val="112"/>
        </w:numPr>
        <w:rPr>
          <w:rFonts w:cs="Arial"/>
        </w:rPr>
      </w:pPr>
      <w:r>
        <w:rPr>
          <w:rFonts w:cs="Arial"/>
          <w:rtl/>
        </w:rPr>
        <w:t xml:space="preserve">סדר גיטין </w:t>
      </w:r>
      <w:r>
        <w:rPr>
          <w:rFonts w:cs="Arial"/>
          <w:sz w:val="16"/>
          <w:szCs w:val="16"/>
          <w:rtl/>
        </w:rPr>
        <w:t xml:space="preserve">(סי' צו הגה ג) </w:t>
      </w:r>
      <w:r>
        <w:rPr>
          <w:rFonts w:cs="Arial"/>
          <w:rtl/>
        </w:rPr>
        <w:t>בשם התשב"ץ</w:t>
      </w:r>
      <w:r w:rsidR="00A82951">
        <w:rPr>
          <w:rFonts w:cs="Arial"/>
          <w:rtl/>
        </w:rPr>
        <w:t>-</w:t>
      </w:r>
      <w:r>
        <w:rPr>
          <w:rFonts w:cs="Arial"/>
          <w:rtl/>
        </w:rPr>
        <w:t xml:space="preserve"> ור"י מפריש היה נוהג לתת גט לגמרי בלי שום תנאי... מ"מ מפני הרמאין יש לחוש כי לא יסמוך על זה דיש לחוש מפני טירוף הדעת של החולה אם יגרש סתמא, ואחרי שרוב הפוסקים לא החמירו כדברי רבינו יחיאל מפרי"ש אין לנו אלא דבריהם. </w:t>
      </w:r>
    </w:p>
    <w:p w14:paraId="01039D2A" w14:textId="77777777" w:rsidR="00C97BEF" w:rsidRDefault="00C97BEF" w:rsidP="00C97BEF">
      <w:pPr>
        <w:rPr>
          <w:rFonts w:cs="Arial"/>
          <w:u w:val="single"/>
        </w:rPr>
      </w:pPr>
      <w:r>
        <w:rPr>
          <w:rFonts w:cs="Arial"/>
          <w:u w:val="single"/>
          <w:rtl/>
        </w:rPr>
        <w:t xml:space="preserve">גט שלא מפורש התנאי בשטר, האם עדי הגט יכולים להעיד שנתו לאשה את הגט על תנאי: </w:t>
      </w:r>
    </w:p>
    <w:p w14:paraId="02B10B8F" w14:textId="3E695078" w:rsidR="00C97BEF" w:rsidRDefault="00C97BEF" w:rsidP="006A458D">
      <w:pPr>
        <w:pStyle w:val="ab"/>
        <w:numPr>
          <w:ilvl w:val="0"/>
          <w:numId w:val="112"/>
        </w:numPr>
        <w:rPr>
          <w:rtl/>
        </w:rPr>
      </w:pPr>
      <w:r>
        <w:rPr>
          <w:rFonts w:cs="Arial"/>
          <w:rtl/>
        </w:rPr>
        <w:t xml:space="preserve">רשב"א </w:t>
      </w:r>
      <w:r>
        <w:rPr>
          <w:rFonts w:cs="Arial"/>
          <w:sz w:val="16"/>
          <w:szCs w:val="16"/>
          <w:rtl/>
        </w:rPr>
        <w:t>(ח"א סי' אלף רמו)</w:t>
      </w:r>
      <w:r w:rsidR="00A82951">
        <w:rPr>
          <w:rFonts w:cs="Arial"/>
          <w:rtl/>
        </w:rPr>
        <w:t>-</w:t>
      </w:r>
      <w:r>
        <w:rPr>
          <w:rFonts w:cs="Arial"/>
          <w:rtl/>
        </w:rPr>
        <w:t xml:space="preserve"> מה ששאלת אם אין התנאי כתוב בשטר, ונתרפא, והיא מכחשת ואומרת שנתנו לה בלא תנאי, שעדי הגט בעצמן אינם נאמנין כשכתב ידן יוצא ממקום אחר דאין חוזרין ומגידין (כתובות יח:), ועדים אחרים אינם נאמנין כיון שכתב ידן של עדי הגט יוצא ממקום אחר.     תשובה: אע"פ שכתב ידן של עדים יוצא ממקום אחר, אילו היו באים עדים אחרים שיעידו שהבעל הכתיבו על תנאי </w:t>
      </w:r>
      <w:r w:rsidR="00A82951">
        <w:rPr>
          <w:rFonts w:cs="Arial"/>
          <w:rtl/>
        </w:rPr>
        <w:t>-</w:t>
      </w:r>
      <w:r>
        <w:rPr>
          <w:rFonts w:cs="Arial"/>
          <w:rtl/>
        </w:rPr>
        <w:t xml:space="preserve"> האשה אסורה לעלמא, משום דהוו להו תרי ותרי, כשנים אומרים נתגרשה ושנים אומרים לא נתגרשה הבא עליה באשם תלוי. ואפילו למאן דאמר (יבמות לא.) תרי ותרי ספיקא דאורייתא ומפקי לה מחזקתה, כל שכן למאן דאמר ספיקא דרבנן והבא עליה בחטאת, ואוקי איתתא בחזקתה. ומיהו אם אשת כהן </w:t>
      </w:r>
      <w:r w:rsidR="00A82951">
        <w:rPr>
          <w:rFonts w:cs="Arial"/>
          <w:rtl/>
        </w:rPr>
        <w:t>-</w:t>
      </w:r>
      <w:r>
        <w:rPr>
          <w:rFonts w:cs="Arial"/>
          <w:rtl/>
        </w:rPr>
        <w:t xml:space="preserve"> אסורה. וכן אם קיבלה קידושין מאחר </w:t>
      </w:r>
      <w:r w:rsidR="00A82951">
        <w:rPr>
          <w:rFonts w:cs="Arial"/>
          <w:rtl/>
        </w:rPr>
        <w:t>-</w:t>
      </w:r>
      <w:r>
        <w:rPr>
          <w:rFonts w:cs="Arial"/>
          <w:rtl/>
        </w:rPr>
        <w:t xml:space="preserve"> אסורה לשניהם. ומכל מקום מסתברא שאם נתנו לה בפני עדים בתנאים אלו, ודאי נאמנים שהרי אין עדים אלו מכחישים את עדי הגט, ולא עדי הגט מכחישין את אלו, שאלו החתומים כמעידים שנכתב ונחתם בלא תנאי, ואלו מעידים שבשעה שנתנו לה בפניהם נתנו לה בתנאי. ואין זה דומה לתנאי היו דברינו (כתובות יט:), ולא לשנים החתומים על השטר ובאו שנים אחרים ואמרו פסולי עדות היו אנוסים היו (שם). ואם רצה ליזהר עוד יותר, יתננו לה על ידי השליח בתנאי בפני בית דין</w:t>
      </w:r>
      <w:r>
        <w:rPr>
          <w:rStyle w:val="a7"/>
          <w:rFonts w:cs="Arial"/>
          <w:rtl/>
        </w:rPr>
        <w:footnoteReference w:id="2576"/>
      </w:r>
      <w:r>
        <w:rPr>
          <w:rFonts w:cs="Arial"/>
          <w:rtl/>
        </w:rPr>
        <w:t>.</w:t>
      </w:r>
    </w:p>
    <w:p w14:paraId="5D15225F" w14:textId="7D3E55B8" w:rsidR="00C97BEF" w:rsidRDefault="00C97BEF" w:rsidP="00C97BEF">
      <w:pPr>
        <w:rPr>
          <w:rFonts w:cs="Arial"/>
          <w:sz w:val="16"/>
          <w:szCs w:val="16"/>
          <w:u w:val="single"/>
          <w:rtl/>
        </w:rPr>
      </w:pPr>
      <w:r>
        <w:rPr>
          <w:rFonts w:cs="Arial"/>
          <w:u w:val="single"/>
          <w:rtl/>
        </w:rPr>
        <w:t xml:space="preserve">חולה שנתן לאשתו גט על תנאי אם ימות, ומת </w:t>
      </w:r>
      <w:r w:rsidR="00A82951">
        <w:rPr>
          <w:rFonts w:cs="Arial"/>
          <w:u w:val="single"/>
          <w:rtl/>
        </w:rPr>
        <w:t>-</w:t>
      </w:r>
      <w:r>
        <w:rPr>
          <w:rFonts w:cs="Arial"/>
          <w:u w:val="single"/>
          <w:rtl/>
        </w:rPr>
        <w:t xml:space="preserve"> האם מותר לה להתאבל עליו וכדו':</w:t>
      </w:r>
      <w:r>
        <w:rPr>
          <w:rFonts w:cs="Arial"/>
          <w:sz w:val="16"/>
          <w:szCs w:val="16"/>
          <w:rtl/>
        </w:rPr>
        <w:t xml:space="preserve"> (הועתק מסי' קנד סכ"א) </w:t>
      </w:r>
    </w:p>
    <w:p w14:paraId="0ED48F69" w14:textId="6240E6BB" w:rsidR="00C97BEF" w:rsidRDefault="00C97BEF" w:rsidP="006A458D">
      <w:pPr>
        <w:pStyle w:val="ab"/>
        <w:numPr>
          <w:ilvl w:val="0"/>
          <w:numId w:val="123"/>
        </w:numPr>
        <w:rPr>
          <w:rtl/>
        </w:rPr>
      </w:pPr>
      <w:r>
        <w:rPr>
          <w:rFonts w:cs="Arial"/>
          <w:rtl/>
        </w:rPr>
        <w:t xml:space="preserve">מהר"ם </w:t>
      </w:r>
      <w:r>
        <w:rPr>
          <w:rFonts w:cs="Arial"/>
          <w:sz w:val="16"/>
          <w:szCs w:val="16"/>
          <w:rtl/>
        </w:rPr>
        <w:t>(ד"פ סי' תתנז, הביאו הב"י בשם מצאתי כתוב)</w:t>
      </w:r>
      <w:r w:rsidR="00A82951">
        <w:rPr>
          <w:rFonts w:cs="Arial"/>
          <w:rtl/>
        </w:rPr>
        <w:t>-</w:t>
      </w:r>
      <w:r>
        <w:rPr>
          <w:rFonts w:cs="Arial"/>
          <w:rtl/>
        </w:rPr>
        <w:t xml:space="preserve"> ראובן חלה ונתן גט לאשתו מהיום אם מתי מעכשיו, ונפטר. ולא הניחו לאשתו ליגע אליו, ואפילו לבכותו ולא לצאת אחר מטתו, כי אמרו שאם תעשה אחד מהן תבטל הגט. ונראה שאין ממש בדבריהם, דלא מיבעיא הספד ובכייה דלא מבטלי גיטא, אלא אפילו היתה היא מבטלת הגט </w:t>
      </w:r>
      <w:r w:rsidR="00A82951">
        <w:rPr>
          <w:rFonts w:cs="Arial"/>
          <w:rtl/>
        </w:rPr>
        <w:t>-</w:t>
      </w:r>
      <w:r>
        <w:rPr>
          <w:rFonts w:cs="Arial"/>
          <w:rtl/>
        </w:rPr>
        <w:t xml:space="preserve"> לא בטל, דאין ביטול אלא באיש, שהאשה מתגרשת שלא לדעתה מה שאין כן באיש (יבמות קיב:). וכל שכן דלאחר מיתה ליכא למימנע על זה. ועל זה ועל כיוצא בזה אמרו חכמים (קידושין ו.) כל שאינו יודע בטיב גיטין וקידושין לא יהא לו עסק בהם.</w:t>
      </w:r>
    </w:p>
    <w:p w14:paraId="0B8E61CD" w14:textId="77777777" w:rsidR="00C97BEF" w:rsidRDefault="00C97BEF" w:rsidP="00C97BEF">
      <w:pPr>
        <w:ind w:left="360"/>
        <w:rPr>
          <w:u w:val="dotted"/>
        </w:rPr>
      </w:pPr>
      <w:r>
        <w:rPr>
          <w:u w:val="dotted"/>
          <w:rtl/>
        </w:rPr>
        <w:t>האם האשה צריכה להתאבל עליו:</w:t>
      </w:r>
    </w:p>
    <w:p w14:paraId="704AA0DB" w14:textId="7C23E300" w:rsidR="00C97BEF" w:rsidRDefault="00C97BEF" w:rsidP="006A458D">
      <w:pPr>
        <w:pStyle w:val="ab"/>
        <w:numPr>
          <w:ilvl w:val="0"/>
          <w:numId w:val="123"/>
        </w:numPr>
        <w:rPr>
          <w:rFonts w:cs="Arial"/>
        </w:rPr>
      </w:pPr>
      <w:r>
        <w:rPr>
          <w:rFonts w:cs="Arial"/>
          <w:rtl/>
        </w:rPr>
        <w:t xml:space="preserve">מרדכי </w:t>
      </w:r>
      <w:r>
        <w:rPr>
          <w:rFonts w:cs="Arial"/>
          <w:sz w:val="16"/>
          <w:szCs w:val="16"/>
          <w:rtl/>
        </w:rPr>
        <w:t>(סי' תנד)</w:t>
      </w:r>
      <w:r w:rsidR="00A82951">
        <w:rPr>
          <w:rFonts w:cs="Arial"/>
          <w:rtl/>
        </w:rPr>
        <w:t>-</w:t>
      </w:r>
      <w:r>
        <w:rPr>
          <w:rFonts w:cs="Arial"/>
          <w:rtl/>
        </w:rPr>
        <w:t xml:space="preserve"> שכיב מרע שגירש אין מדקדקין בגיטו ואם מת אינה צריכה להתאבל עליו</w:t>
      </w:r>
      <w:r w:rsidR="00DB4CC2">
        <w:rPr>
          <w:rFonts w:cs="Arial" w:hint="cs"/>
          <w:rtl/>
        </w:rPr>
        <w:t>,</w:t>
      </w:r>
      <w:r>
        <w:rPr>
          <w:rFonts w:cs="Arial"/>
          <w:rtl/>
        </w:rPr>
        <w:t xml:space="preserve"> כן כתב רבינו שמחה. </w:t>
      </w:r>
      <w:r>
        <w:rPr>
          <w:color w:val="00B0F0"/>
          <w:rtl/>
        </w:rPr>
        <w:t>(וכ"פ הרמ"א)</w:t>
      </w:r>
    </w:p>
    <w:p w14:paraId="7A09D1EA"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5C6EEA0" w14:textId="6AA0EE75" w:rsidR="00C97BEF" w:rsidRDefault="00C97BEF" w:rsidP="00C97BEF">
      <w:pPr>
        <w:rPr>
          <w:rtl/>
        </w:rPr>
      </w:pPr>
      <w:r>
        <w:rPr>
          <w:rFonts w:cs="Arial"/>
          <w:rtl/>
        </w:rPr>
        <w:t>עצה טובה על פי גדולי עולם לחוש לרמאין בגט שכיב מרע, שיאמר: אם מתי מעכשיו ועד יום פלוני והוא בכלל יהא גט. ולא יאמר: אם אמות מחולי זה, שיהא התנאי תלוי בחולי, שמא יבא אדם שאינו הגון וישתדל עם הרופא שיאמר שלא מת מאותו חולי אלא מחולי אחר שנעתק אליו</w:t>
      </w:r>
      <w:r>
        <w:rPr>
          <w:rStyle w:val="a7"/>
          <w:rFonts w:cs="Arial"/>
          <w:rtl/>
        </w:rPr>
        <w:footnoteReference w:id="2577"/>
      </w:r>
      <w:r>
        <w:rPr>
          <w:rFonts w:cs="Arial"/>
          <w:rtl/>
        </w:rPr>
        <w:t xml:space="preserve">, ויוציא לעז על הגט. </w:t>
      </w:r>
      <w:r>
        <w:rPr>
          <w:rFonts w:cs="Arial"/>
          <w:sz w:val="18"/>
          <w:szCs w:val="18"/>
          <w:rtl/>
        </w:rPr>
        <w:t xml:space="preserve">הגה: ויש אומרים דאין אנו בקיאין בזמן הזה, ולכן אין לסמוך </w:t>
      </w:r>
      <w:r>
        <w:rPr>
          <w:rFonts w:cs="Arial"/>
          <w:sz w:val="18"/>
          <w:szCs w:val="18"/>
          <w:rtl/>
        </w:rPr>
        <w:lastRenderedPageBreak/>
        <w:t>בזמן הזה מאומדנות הרופאים. ויש אומרים דלכתחלה אין לגרש על ידי תנאי, רק יגרש סתם</w:t>
      </w:r>
      <w:r>
        <w:rPr>
          <w:rStyle w:val="a7"/>
          <w:rFonts w:cs="Arial"/>
          <w:sz w:val="18"/>
          <w:szCs w:val="18"/>
          <w:rtl/>
        </w:rPr>
        <w:footnoteReference w:id="2578"/>
      </w:r>
      <w:r>
        <w:rPr>
          <w:rFonts w:cs="Arial"/>
          <w:sz w:val="18"/>
          <w:szCs w:val="18"/>
          <w:rtl/>
        </w:rPr>
        <w:t>, ולקבל בחרם הקהלות או ליתן משכנות שכשיעמוד יחזרו וישאו זה את זה</w:t>
      </w:r>
      <w:r>
        <w:rPr>
          <w:rStyle w:val="a7"/>
          <w:rFonts w:cs="Arial"/>
          <w:sz w:val="18"/>
          <w:szCs w:val="18"/>
          <w:rtl/>
        </w:rPr>
        <w:footnoteReference w:id="2579"/>
      </w:r>
      <w:r>
        <w:rPr>
          <w:rFonts w:cs="Arial"/>
          <w:sz w:val="18"/>
          <w:szCs w:val="18"/>
          <w:rtl/>
        </w:rPr>
        <w:t xml:space="preserve"> (ר"פ בשם ר"י מפרי"ש). ובכהן המגרש צריך להתנות, שלא תהא אסורה לחזור לו (כדלעיל ר"ס קמג)</w:t>
      </w:r>
      <w:r w:rsidR="00085739">
        <w:rPr>
          <w:rFonts w:cs="Arial" w:hint="cs"/>
          <w:sz w:val="18"/>
          <w:szCs w:val="18"/>
          <w:rtl/>
        </w:rPr>
        <w:t>.</w:t>
      </w:r>
      <w:r>
        <w:rPr>
          <w:rFonts w:cs="Arial"/>
          <w:sz w:val="18"/>
          <w:szCs w:val="18"/>
          <w:rtl/>
        </w:rPr>
        <w:t xml:space="preserve"> או שיש לחוש לטירוף דעת החולה, יש לגרש בתנאי כדרך שנתבאר (סדר גיטין בשם התשב"ץ). אשה שנתגרשה על תנאי, ומת הבעל, אינה צריכה להתאבל עליו (מרדכי). אבל אין איסור בדבר אם רצונה להחמיר על עצמה לבכות עליו ולצאת אחר מטתו</w:t>
      </w:r>
      <w:r>
        <w:rPr>
          <w:rStyle w:val="a7"/>
          <w:rFonts w:cs="Arial"/>
          <w:sz w:val="18"/>
          <w:szCs w:val="18"/>
          <w:rtl/>
        </w:rPr>
        <w:footnoteReference w:id="2580"/>
      </w:r>
      <w:r>
        <w:rPr>
          <w:rFonts w:cs="Arial"/>
          <w:sz w:val="18"/>
          <w:szCs w:val="18"/>
          <w:rtl/>
        </w:rPr>
        <w:t xml:space="preserve"> (ד"ע).</w:t>
      </w:r>
      <w:r>
        <w:rPr>
          <w:rFonts w:cs="Arial"/>
          <w:rtl/>
        </w:rPr>
        <w:t xml:space="preserve"> </w:t>
      </w:r>
    </w:p>
    <w:p w14:paraId="1BBD4A44" w14:textId="77777777" w:rsidR="00C97BEF" w:rsidRDefault="00C97BEF" w:rsidP="00C97BEF">
      <w:pPr>
        <w:rPr>
          <w:rtl/>
        </w:rPr>
      </w:pPr>
    </w:p>
    <w:p w14:paraId="47D6D9E3" w14:textId="77777777" w:rsidR="00C97BEF" w:rsidRDefault="00C97BEF" w:rsidP="00C97BEF">
      <w:pPr>
        <w:pStyle w:val="2"/>
        <w:rPr>
          <w:rtl/>
        </w:rPr>
      </w:pPr>
      <w:r>
        <w:rPr>
          <w:rtl/>
        </w:rPr>
        <w:t>סעיף י: שכ"מ שרוצה לזכות גט לאשתו כדי שלא תיפול לפני יבם.</w:t>
      </w:r>
    </w:p>
    <w:p w14:paraId="1871A25F" w14:textId="77777777" w:rsidR="00C97BEF" w:rsidRDefault="00C97BEF" w:rsidP="00C97BEF">
      <w:pPr>
        <w:rPr>
          <w:rtl/>
        </w:rPr>
      </w:pPr>
      <w:r>
        <w:rPr>
          <w:rFonts w:cs="Arial"/>
          <w:b/>
          <w:bCs/>
          <w:rtl/>
        </w:rPr>
        <w:t xml:space="preserve">יבמות </w:t>
      </w:r>
      <w:r>
        <w:rPr>
          <w:rFonts w:cs="Arial"/>
          <w:b/>
          <w:bCs/>
          <w:sz w:val="16"/>
          <w:szCs w:val="16"/>
          <w:rtl/>
        </w:rPr>
        <w:t xml:space="preserve">(פ' האשה שלום) </w:t>
      </w:r>
      <w:r>
        <w:rPr>
          <w:rFonts w:cs="Arial"/>
          <w:b/>
          <w:bCs/>
          <w:rtl/>
        </w:rPr>
        <w:t xml:space="preserve">קיח ע"ב: </w:t>
      </w:r>
      <w:r>
        <w:rPr>
          <w:rFonts w:cs="Arial"/>
          <w:u w:val="single"/>
          <w:rtl/>
        </w:rPr>
        <w:t>בעא מיניה רבא מרב נחמן</w:t>
      </w:r>
      <w:r>
        <w:rPr>
          <w:rFonts w:cs="Arial"/>
          <w:rtl/>
        </w:rPr>
        <w:t>: המזכה גט לאשתו במקום יבם, מהו? כיון דסניא ליה זכות הוא לה, וזכין לאדם שלא בפניו, או דלמא כיון דזימנין דרחמא ליה חוב הוא לה, ואין חבין לאדם שלא בפניו? אמר ליה, תנינא: וחוששין לדבריה וחולצת ולא מתייבמת.</w:t>
      </w:r>
    </w:p>
    <w:p w14:paraId="5A6EE63C" w14:textId="77777777" w:rsidR="00C97BEF" w:rsidRDefault="00C97BEF" w:rsidP="00C97BEF">
      <w:pPr>
        <w:rPr>
          <w:u w:val="single"/>
          <w:rtl/>
        </w:rPr>
      </w:pPr>
      <w:r>
        <w:rPr>
          <w:u w:val="single"/>
          <w:rtl/>
        </w:rPr>
        <w:t>האם שכיב מרע יכול לזכות גט לאשתו כדי שלא תיפול לפני יבם:</w:t>
      </w:r>
    </w:p>
    <w:p w14:paraId="6B836FD3" w14:textId="17EAC879" w:rsidR="00C97BEF" w:rsidRDefault="00C97BEF" w:rsidP="006A458D">
      <w:pPr>
        <w:pStyle w:val="ab"/>
        <w:numPr>
          <w:ilvl w:val="0"/>
          <w:numId w:val="112"/>
        </w:numPr>
        <w:rPr>
          <w:rtl/>
        </w:rPr>
      </w:pPr>
      <w:r>
        <w:rPr>
          <w:rFonts w:cs="Arial"/>
          <w:rtl/>
        </w:rPr>
        <w:t>טור</w:t>
      </w:r>
      <w:r w:rsidR="00A82951">
        <w:rPr>
          <w:rFonts w:cs="Arial"/>
          <w:rtl/>
        </w:rPr>
        <w:t>-</w:t>
      </w:r>
      <w:r>
        <w:rPr>
          <w:rFonts w:cs="Arial"/>
          <w:rtl/>
        </w:rPr>
        <w:t xml:space="preserve"> שכ"מ שנתן גט ליד אחד, ואמר לו זכה בגט זה לאשתי כדי שלא תפול לפני יבם, ומת קודם שיגיע לידה </w:t>
      </w:r>
      <w:r w:rsidR="00A82951">
        <w:rPr>
          <w:rFonts w:cs="Arial"/>
          <w:rtl/>
        </w:rPr>
        <w:t>-</w:t>
      </w:r>
      <w:r>
        <w:rPr>
          <w:rFonts w:cs="Arial"/>
          <w:rtl/>
        </w:rPr>
        <w:t xml:space="preserve"> הוי ספק מגורשת וחולצת ולא מתייבמת</w:t>
      </w:r>
      <w:r>
        <w:rPr>
          <w:rStyle w:val="a7"/>
          <w:rFonts w:cs="Arial"/>
          <w:rtl/>
        </w:rPr>
        <w:footnoteReference w:id="2581"/>
      </w:r>
      <w:r>
        <w:rPr>
          <w:rFonts w:cs="Arial"/>
          <w:rtl/>
        </w:rPr>
        <w:t xml:space="preserve">. </w:t>
      </w:r>
      <w:r>
        <w:rPr>
          <w:rFonts w:cs="Arial"/>
          <w:color w:val="E36C0A" w:themeColor="accent6" w:themeShade="BF"/>
          <w:rtl/>
        </w:rPr>
        <w:t>(וכ"פ בשו"ע)</w:t>
      </w:r>
    </w:p>
    <w:p w14:paraId="2C65DE4D"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B0DF222" w14:textId="77777777" w:rsidR="00C97BEF" w:rsidRDefault="00C97BEF" w:rsidP="00C97BEF">
      <w:pPr>
        <w:rPr>
          <w:rFonts w:cs="Arial"/>
          <w:rtl/>
        </w:rPr>
      </w:pPr>
      <w:r>
        <w:rPr>
          <w:rFonts w:cs="Arial"/>
          <w:rtl/>
        </w:rPr>
        <w:t>שכיב מרע שנתן גט לאחד ואמר לו: זכי בגט זה לאשתי, כדי שלא תפול לפני יבם, ומת קודם שיגיע לידה</w:t>
      </w:r>
      <w:r>
        <w:rPr>
          <w:rStyle w:val="a7"/>
          <w:rFonts w:cs="Arial"/>
          <w:rtl/>
        </w:rPr>
        <w:footnoteReference w:id="2582"/>
      </w:r>
      <w:r>
        <w:rPr>
          <w:rFonts w:cs="Arial"/>
          <w:rtl/>
        </w:rPr>
        <w:t>, הרי זו ספק מגורשת</w:t>
      </w:r>
      <w:r>
        <w:rPr>
          <w:rStyle w:val="a7"/>
          <w:rFonts w:cs="Arial"/>
          <w:rtl/>
        </w:rPr>
        <w:footnoteReference w:id="2583"/>
      </w:r>
      <w:r>
        <w:rPr>
          <w:rFonts w:cs="Arial"/>
          <w:rtl/>
        </w:rPr>
        <w:t>, וחולצת ולא מתייבמת.</w:t>
      </w:r>
    </w:p>
    <w:p w14:paraId="410EEB1A" w14:textId="77777777" w:rsidR="00C97BEF" w:rsidRDefault="00C97BEF" w:rsidP="00C97BEF">
      <w:pPr>
        <w:bidi w:val="0"/>
        <w:spacing w:after="0"/>
        <w:rPr>
          <w:rFonts w:cs="Arial"/>
          <w:rtl/>
        </w:rPr>
        <w:sectPr w:rsidR="00C97BEF">
          <w:headerReference w:type="default" r:id="rId38"/>
          <w:footnotePr>
            <w:numRestart w:val="eachSect"/>
          </w:footnotePr>
          <w:pgSz w:w="11906" w:h="16838"/>
          <w:pgMar w:top="720" w:right="1134" w:bottom="720" w:left="1134" w:header="0" w:footer="0" w:gutter="0"/>
          <w:cols w:space="720"/>
          <w:bidi/>
          <w:rtlGutter/>
        </w:sectPr>
      </w:pPr>
    </w:p>
    <w:p w14:paraId="745E1BBC" w14:textId="77777777" w:rsidR="00C97BEF" w:rsidRDefault="00C97BEF" w:rsidP="00C97BEF">
      <w:pPr>
        <w:pStyle w:val="1"/>
        <w:rPr>
          <w:rtl/>
        </w:rPr>
      </w:pPr>
      <w:r>
        <w:rPr>
          <w:rtl/>
        </w:rPr>
        <w:lastRenderedPageBreak/>
        <w:t xml:space="preserve">סימן קמו: </w:t>
      </w:r>
      <w:r>
        <w:rPr>
          <w:rFonts w:cs="Arial"/>
          <w:rtl/>
        </w:rPr>
        <w:t xml:space="preserve">דין המגרש לאחר זמן, ומי שנתגרש על תנאי, ובו ה' סעיפים. </w:t>
      </w:r>
    </w:p>
    <w:p w14:paraId="595AEC96" w14:textId="61458346" w:rsidR="00C97BEF" w:rsidRDefault="00C97BEF" w:rsidP="00C97BEF">
      <w:pPr>
        <w:pStyle w:val="2"/>
        <w:rPr>
          <w:rtl/>
        </w:rPr>
      </w:pPr>
      <w:r>
        <w:rPr>
          <w:rtl/>
        </w:rPr>
        <w:t xml:space="preserve">סעיף א: </w:t>
      </w:r>
      <w:r>
        <w:rPr>
          <w:rFonts w:cs="Arial"/>
          <w:rtl/>
        </w:rPr>
        <w:t>ה</w:t>
      </w:r>
      <w:r w:rsidR="009A1292">
        <w:rPr>
          <w:rFonts w:cs="Arial" w:hint="cs"/>
          <w:rtl/>
        </w:rPr>
        <w:t>תולה את הגירושין בזמן.</w:t>
      </w:r>
    </w:p>
    <w:p w14:paraId="103328E9" w14:textId="77777777" w:rsidR="00C97BEF" w:rsidRDefault="00C97BEF" w:rsidP="00C97BEF">
      <w:pPr>
        <w:rPr>
          <w:u w:val="single"/>
          <w:rtl/>
        </w:rPr>
      </w:pPr>
      <w:r>
        <w:rPr>
          <w:rFonts w:cs="Arial"/>
          <w:u w:val="single"/>
          <w:rtl/>
        </w:rPr>
        <w:t>המגרש את אשתו לאחר זמן קבוע</w:t>
      </w:r>
      <w:r>
        <w:rPr>
          <w:u w:val="single"/>
          <w:rtl/>
        </w:rPr>
        <w:t>:</w:t>
      </w:r>
    </w:p>
    <w:p w14:paraId="15B53423" w14:textId="06EBD312" w:rsidR="00C97BEF" w:rsidRDefault="00C97BEF" w:rsidP="006A458D">
      <w:pPr>
        <w:pStyle w:val="ab"/>
        <w:numPr>
          <w:ilvl w:val="0"/>
          <w:numId w:val="112"/>
        </w:numPr>
        <w:rPr>
          <w:rtl/>
        </w:rPr>
      </w:pPr>
      <w:r>
        <w:rPr>
          <w:rFonts w:cs="Arial"/>
          <w:rtl/>
        </w:rPr>
        <w:t xml:space="preserve">רמב"ם </w:t>
      </w:r>
      <w:r>
        <w:rPr>
          <w:rFonts w:cs="Arial"/>
          <w:sz w:val="16"/>
          <w:szCs w:val="16"/>
          <w:rtl/>
        </w:rPr>
        <w:t>(פ"ט ה"א</w:t>
      </w:r>
      <w:r w:rsidR="00A82951">
        <w:rPr>
          <w:rFonts w:cs="Arial"/>
          <w:sz w:val="16"/>
          <w:szCs w:val="16"/>
          <w:rtl/>
        </w:rPr>
        <w:t>-</w:t>
      </w:r>
      <w:r>
        <w:rPr>
          <w:rFonts w:cs="Arial"/>
          <w:sz w:val="16"/>
          <w:szCs w:val="16"/>
          <w:rtl/>
        </w:rPr>
        <w:t>ב, והעתיק הטור את כל מה שמובא בסע' זה בשם הרמב"ם)</w:t>
      </w:r>
      <w:r w:rsidR="00A82951">
        <w:rPr>
          <w:rFonts w:cs="Arial"/>
          <w:rtl/>
        </w:rPr>
        <w:t>-</w:t>
      </w:r>
      <w:r>
        <w:rPr>
          <w:rFonts w:cs="Arial"/>
          <w:rtl/>
        </w:rPr>
        <w:t xml:space="preserve"> המגרש את אשתו לאחר זמן קבוע, הרי זו מגורשת כשיגיע הזמן שקבע. והרי זה דומה לתנאי</w:t>
      </w:r>
      <w:r w:rsidR="007D5697">
        <w:rPr>
          <w:rFonts w:cs="Arial" w:hint="cs"/>
          <w:rtl/>
        </w:rPr>
        <w:t>,</w:t>
      </w:r>
      <w:r>
        <w:rPr>
          <w:rFonts w:cs="Arial"/>
          <w:rtl/>
        </w:rPr>
        <w:t xml:space="preserve"> ואינו תנאי</w:t>
      </w:r>
      <w:r w:rsidR="007D5697">
        <w:rPr>
          <w:rFonts w:cs="Arial" w:hint="cs"/>
          <w:rtl/>
        </w:rPr>
        <w:t>.</w:t>
      </w:r>
      <w:r>
        <w:rPr>
          <w:rFonts w:cs="Arial"/>
          <w:rtl/>
        </w:rPr>
        <w:t xml:space="preserve"> דומה לתנאי</w:t>
      </w:r>
      <w:r w:rsidR="007D5697">
        <w:rPr>
          <w:rFonts w:cs="Arial" w:hint="cs"/>
          <w:rtl/>
        </w:rPr>
        <w:t>,</w:t>
      </w:r>
      <w:r>
        <w:rPr>
          <w:rFonts w:cs="Arial"/>
          <w:rtl/>
        </w:rPr>
        <w:t xml:space="preserve"> שהיא מתגרשת כשיגיע הזמן שקבע</w:t>
      </w:r>
      <w:r w:rsidR="007D5697">
        <w:rPr>
          <w:rFonts w:cs="Arial" w:hint="cs"/>
          <w:rtl/>
        </w:rPr>
        <w:t>.</w:t>
      </w:r>
      <w:r>
        <w:rPr>
          <w:rFonts w:cs="Arial"/>
          <w:rtl/>
        </w:rPr>
        <w:t xml:space="preserve"> ואינו תנאי</w:t>
      </w:r>
      <w:r w:rsidR="007D5697">
        <w:rPr>
          <w:rFonts w:cs="Arial" w:hint="cs"/>
          <w:rtl/>
        </w:rPr>
        <w:t>,</w:t>
      </w:r>
      <w:r>
        <w:rPr>
          <w:rFonts w:cs="Arial"/>
          <w:rtl/>
        </w:rPr>
        <w:t xml:space="preserve"> שהמגרש על תנאי הרי גירש וזה עדיין לא גירש עד שיגיע אותו זמן</w:t>
      </w:r>
      <w:r w:rsidR="007D5697">
        <w:rPr>
          <w:rFonts w:cs="Arial" w:hint="cs"/>
          <w:rtl/>
        </w:rPr>
        <w:t>.</w:t>
      </w:r>
      <w:r>
        <w:rPr>
          <w:rFonts w:cs="Arial"/>
          <w:rtl/>
        </w:rPr>
        <w:t xml:space="preserve"> לפיכך המגרש על תנאי צריך לכפול תנאו</w:t>
      </w:r>
      <w:r w:rsidR="007D5697">
        <w:rPr>
          <w:rFonts w:cs="Arial" w:hint="cs"/>
          <w:rtl/>
        </w:rPr>
        <w:t>,</w:t>
      </w:r>
      <w:r>
        <w:rPr>
          <w:rFonts w:cs="Arial"/>
          <w:rtl/>
        </w:rPr>
        <w:t xml:space="preserve"> וזה אינו צריך לכפול דברו</w:t>
      </w:r>
      <w:r w:rsidR="007D5697">
        <w:rPr>
          <w:rFonts w:cs="Arial" w:hint="cs"/>
          <w:rtl/>
        </w:rPr>
        <w:t>,</w:t>
      </w:r>
      <w:r>
        <w:rPr>
          <w:rFonts w:cs="Arial"/>
          <w:rtl/>
        </w:rPr>
        <w:t xml:space="preserve"> ולא לשאר משפטי התנאין שבארנו. כיצד, האומר לאשתו הרי זה גיטיך ולא תתגרשי בו אלא לאחר שלשים יום </w:t>
      </w:r>
      <w:r w:rsidR="00A82951">
        <w:rPr>
          <w:rFonts w:cs="Arial"/>
          <w:rtl/>
        </w:rPr>
        <w:t>-</w:t>
      </w:r>
      <w:r>
        <w:rPr>
          <w:rFonts w:cs="Arial"/>
          <w:rtl/>
        </w:rPr>
        <w:t xml:space="preserve"> אינה מגורשת בו אלא לאחר שלשים יום. ואם מת הבעל או אבד הגט או נשרף בתוך שלשים יום </w:t>
      </w:r>
      <w:r w:rsidR="00A82951">
        <w:rPr>
          <w:rFonts w:cs="Arial"/>
          <w:rtl/>
        </w:rPr>
        <w:t>-</w:t>
      </w:r>
      <w:r>
        <w:rPr>
          <w:rFonts w:cs="Arial"/>
          <w:rtl/>
        </w:rPr>
        <w:t xml:space="preserve"> אינה מגורשת</w:t>
      </w:r>
      <w:r>
        <w:rPr>
          <w:rStyle w:val="a7"/>
          <w:rFonts w:cs="Arial"/>
          <w:rtl/>
        </w:rPr>
        <w:footnoteReference w:id="2584"/>
      </w:r>
      <w:r>
        <w:rPr>
          <w:rFonts w:cs="Arial"/>
          <w:rtl/>
        </w:rPr>
        <w:t xml:space="preserve">. </w:t>
      </w:r>
      <w:r>
        <w:rPr>
          <w:rFonts w:cs="Arial"/>
          <w:color w:val="E36C0A" w:themeColor="accent6" w:themeShade="BF"/>
          <w:rtl/>
        </w:rPr>
        <w:t>(וכ"פ בשו"ע)</w:t>
      </w:r>
    </w:p>
    <w:p w14:paraId="639DCCBF" w14:textId="77777777" w:rsidR="00C97BEF" w:rsidRDefault="00C97BEF" w:rsidP="00C97BEF">
      <w:pPr>
        <w:ind w:left="360"/>
        <w:rPr>
          <w:u w:val="dotted"/>
        </w:rPr>
      </w:pPr>
      <w:r>
        <w:rPr>
          <w:rFonts w:cs="Arial"/>
          <w:u w:val="dotted"/>
          <w:rtl/>
        </w:rPr>
        <w:t>ומה הדין אם הלכה והניחתו בצדי רשות הרבים ונגנב/אבד משם לאחר ל' יום:</w:t>
      </w:r>
    </w:p>
    <w:p w14:paraId="37C4B7C5" w14:textId="50F4EC7A" w:rsidR="00C97BEF" w:rsidRDefault="00C97BEF" w:rsidP="006A458D">
      <w:pPr>
        <w:pStyle w:val="ab"/>
        <w:numPr>
          <w:ilvl w:val="0"/>
          <w:numId w:val="112"/>
        </w:numPr>
      </w:pPr>
      <w:r>
        <w:rPr>
          <w:rFonts w:cs="Arial"/>
          <w:rtl/>
        </w:rPr>
        <w:t xml:space="preserve">רמב"ם </w:t>
      </w:r>
      <w:r>
        <w:rPr>
          <w:rFonts w:cs="Arial"/>
          <w:sz w:val="16"/>
          <w:szCs w:val="16"/>
          <w:rtl/>
        </w:rPr>
        <w:t>(פ"ט ה"ג)</w:t>
      </w:r>
      <w:r w:rsidR="00A82951">
        <w:rPr>
          <w:rFonts w:cs="Arial"/>
          <w:rtl/>
        </w:rPr>
        <w:t>-</w:t>
      </w:r>
      <w:r>
        <w:rPr>
          <w:rFonts w:cs="Arial"/>
          <w:rtl/>
        </w:rPr>
        <w:t xml:space="preserve"> הלכה והניחתו בצדי רשות הרבים ונגנב או אבד משם לאחר שלשים יום </w:t>
      </w:r>
      <w:r w:rsidR="00A82951">
        <w:rPr>
          <w:rFonts w:cs="Arial"/>
          <w:rtl/>
        </w:rPr>
        <w:t>-</w:t>
      </w:r>
      <w:r>
        <w:rPr>
          <w:rFonts w:cs="Arial"/>
          <w:rtl/>
        </w:rPr>
        <w:t xml:space="preserve"> הרי זו מגורשת, הואיל והיה הגט קיים ביום שהיא מתגרשת בו וייחדה אותו במקום שאינו רשות הרבים, שצדי רשות הרבים אינן כרשות הרבים. </w:t>
      </w:r>
      <w:r>
        <w:rPr>
          <w:rFonts w:cs="Arial"/>
          <w:color w:val="E36C0A" w:themeColor="accent6" w:themeShade="BF"/>
          <w:rtl/>
        </w:rPr>
        <w:t>(וכ"פ בשו"ע</w:t>
      </w:r>
      <w:r>
        <w:rPr>
          <w:rFonts w:cs="Arial"/>
          <w:color w:val="E36C0A" w:themeColor="accent6" w:themeShade="BF"/>
          <w:sz w:val="16"/>
          <w:szCs w:val="16"/>
          <w:rtl/>
        </w:rPr>
        <w:t xml:space="preserve"> </w:t>
      </w:r>
      <w:r>
        <w:rPr>
          <w:rFonts w:cs="Arial"/>
          <w:color w:val="000000" w:themeColor="text1"/>
          <w:sz w:val="16"/>
          <w:szCs w:val="16"/>
          <w:rtl/>
        </w:rPr>
        <w:t>[בסע' ב]</w:t>
      </w:r>
      <w:r>
        <w:rPr>
          <w:rFonts w:cs="Arial"/>
          <w:color w:val="E36C0A" w:themeColor="accent6" w:themeShade="BF"/>
          <w:rtl/>
        </w:rPr>
        <w:t>)</w:t>
      </w:r>
    </w:p>
    <w:p w14:paraId="10CAC820"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E6C3902" w14:textId="77777777" w:rsidR="00C97BEF" w:rsidRDefault="00C97BEF" w:rsidP="00C97BEF">
      <w:pPr>
        <w:rPr>
          <w:rtl/>
        </w:rPr>
      </w:pPr>
      <w:r>
        <w:rPr>
          <w:rFonts w:cs="Arial"/>
          <w:rtl/>
        </w:rPr>
        <w:t>המגרש את אשתו לאחר זמן קבוע, הרי זו מגורשת כשיגיע הזמן שקבע, והרי זה דומה לתנאי, ואינו תנאי. דומה לתנאי, שהיא מתגרשת כשיגיע הזמן שקבע; ואינו תנאי, שהמגרש על תנאי הרי גירש, וזה עדיין לא גירש עד שיגיע אותו זמן. לפיכך המגרש על תנאי צריך לכפול תנאו, וזה אינו צריך לכפול דבריו ולא לשאר משפטי התנאים. כיצד, האומר לאשתו: הרי זה גיטיך ולא תתגרשי</w:t>
      </w:r>
      <w:r>
        <w:rPr>
          <w:rStyle w:val="a7"/>
          <w:rFonts w:cs="Arial"/>
          <w:rtl/>
        </w:rPr>
        <w:footnoteReference w:id="2585"/>
      </w:r>
      <w:r>
        <w:rPr>
          <w:rFonts w:cs="Arial"/>
          <w:rtl/>
        </w:rPr>
        <w:t xml:space="preserve"> בו אלא לאחר שלשים יום, אינה מגורשת אלא לאחר שלשים יום. ואם מת הבעל או אבד הגט או נשרף בתוך שלשים יום, אינה מגורשת.  </w:t>
      </w:r>
    </w:p>
    <w:p w14:paraId="28D3E336" w14:textId="5E867ECB" w:rsidR="00C97BEF" w:rsidRDefault="00C97BEF" w:rsidP="00C97BEF">
      <w:pPr>
        <w:rPr>
          <w:rFonts w:cs="Arial"/>
          <w:u w:val="single"/>
          <w:rtl/>
        </w:rPr>
      </w:pPr>
      <w:r>
        <w:rPr>
          <w:rFonts w:cs="Arial"/>
          <w:u w:val="single"/>
          <w:rtl/>
        </w:rPr>
        <w:t xml:space="preserve">בעל שאמר </w:t>
      </w:r>
      <w:r w:rsidR="00524E59">
        <w:rPr>
          <w:rFonts w:cs="Arial" w:hint="cs"/>
          <w:u w:val="single"/>
          <w:rtl/>
        </w:rPr>
        <w:t>"</w:t>
      </w:r>
      <w:r>
        <w:rPr>
          <w:rFonts w:cs="Arial"/>
          <w:u w:val="single"/>
          <w:rtl/>
        </w:rPr>
        <w:t>הרי את מותרת לכל אדם</w:t>
      </w:r>
      <w:r w:rsidR="00524E59">
        <w:rPr>
          <w:rFonts w:cs="Arial" w:hint="cs"/>
          <w:u w:val="single"/>
          <w:rtl/>
        </w:rPr>
        <w:t>",</w:t>
      </w:r>
      <w:r>
        <w:rPr>
          <w:rFonts w:cs="Arial"/>
          <w:u w:val="single"/>
          <w:rtl/>
        </w:rPr>
        <w:t xml:space="preserve"> ומיד </w:t>
      </w:r>
      <w:r w:rsidR="00524E59">
        <w:rPr>
          <w:rFonts w:cs="Arial" w:hint="cs"/>
          <w:u w:val="single"/>
          <w:rtl/>
        </w:rPr>
        <w:t>הוסיף "</w:t>
      </w:r>
      <w:r>
        <w:rPr>
          <w:rFonts w:cs="Arial"/>
          <w:u w:val="single"/>
          <w:rtl/>
        </w:rPr>
        <w:t>ולא תנשא עד ד' שנים</w:t>
      </w:r>
      <w:r w:rsidR="00524E59">
        <w:rPr>
          <w:rFonts w:cs="Arial" w:hint="cs"/>
          <w:u w:val="single"/>
          <w:rtl/>
        </w:rPr>
        <w:t>"</w:t>
      </w:r>
      <w:r>
        <w:rPr>
          <w:rFonts w:cs="Arial"/>
          <w:u w:val="single"/>
          <w:rtl/>
        </w:rPr>
        <w:t>:</w:t>
      </w:r>
      <w:r>
        <w:rPr>
          <w:rFonts w:cs="Arial"/>
          <w:sz w:val="16"/>
          <w:szCs w:val="16"/>
          <w:rtl/>
        </w:rPr>
        <w:t xml:space="preserve">  (פת"ש סק"א)</w:t>
      </w:r>
    </w:p>
    <w:p w14:paraId="63C04E28" w14:textId="0CC387E1" w:rsidR="00C97BEF" w:rsidRDefault="00C97BEF" w:rsidP="006A458D">
      <w:pPr>
        <w:pStyle w:val="ab"/>
        <w:numPr>
          <w:ilvl w:val="0"/>
          <w:numId w:val="112"/>
        </w:numPr>
        <w:rPr>
          <w:rtl/>
        </w:rPr>
      </w:pPr>
      <w:r>
        <w:rPr>
          <w:rFonts w:cs="Arial"/>
          <w:rtl/>
        </w:rPr>
        <w:t xml:space="preserve">מהרי"מ מבריסק </w:t>
      </w:r>
      <w:r>
        <w:rPr>
          <w:rFonts w:cs="Arial"/>
          <w:sz w:val="16"/>
          <w:szCs w:val="16"/>
          <w:rtl/>
        </w:rPr>
        <w:t>(ס"ס מו)</w:t>
      </w:r>
      <w:r w:rsidR="00A82951">
        <w:rPr>
          <w:rFonts w:cs="Arial"/>
          <w:rtl/>
        </w:rPr>
        <w:t>-</w:t>
      </w:r>
      <w:r>
        <w:rPr>
          <w:rFonts w:cs="Arial"/>
          <w:rtl/>
        </w:rPr>
        <w:t xml:space="preserve"> מעשה באחד שאחר שאמר 'הרי את מותרת לכל אדם' אמר 'ולא תנשא עד ד' שנים'. נראה דזה הוי כמו קביעות זמן וכמ"ש הרמב"ם באמר ולא תתגרשי בו אלא לאחר ל' יום, אלא דבלשון הרמב"ם הוקבע הזמן לגמרי שלא יחול הגט רק לאחר שלשים יום, וכאן שאמר לא תנשא עד ד' שנים הותרה בזנות לגמרי רק לענין נשואין קבע זמן על ד' שנים כו'. ואף לפי נוסח שלנו שאומרים בעת הנתינה ובו תהיה מגורשת ממני מעכשיו מ"מ י"ל דהולכין אחר דבריו האחרונים...</w:t>
      </w:r>
    </w:p>
    <w:p w14:paraId="63832F91" w14:textId="77777777" w:rsidR="00C97BEF" w:rsidRDefault="00C97BEF" w:rsidP="00C97BEF">
      <w:pPr>
        <w:rPr>
          <w:rtl/>
        </w:rPr>
      </w:pPr>
    </w:p>
    <w:p w14:paraId="3AC4C21D" w14:textId="70F52540" w:rsidR="00C97BEF" w:rsidRDefault="00C97BEF" w:rsidP="00C97BEF">
      <w:pPr>
        <w:pStyle w:val="2"/>
        <w:rPr>
          <w:rtl/>
        </w:rPr>
      </w:pPr>
      <w:r>
        <w:rPr>
          <w:rtl/>
        </w:rPr>
        <w:t xml:space="preserve">סעיף ב: </w:t>
      </w:r>
      <w:r w:rsidR="009A1292">
        <w:rPr>
          <w:rFonts w:cs="Arial"/>
          <w:rtl/>
        </w:rPr>
        <w:t>ה</w:t>
      </w:r>
      <w:r w:rsidR="009A1292">
        <w:rPr>
          <w:rFonts w:cs="Arial" w:hint="cs"/>
          <w:rtl/>
        </w:rPr>
        <w:t>תולה את הגירושין ב</w:t>
      </w:r>
      <w:r w:rsidR="009A1292">
        <w:rPr>
          <w:rFonts w:cs="Arial" w:hint="cs"/>
          <w:rtl/>
        </w:rPr>
        <w:t>מעשה</w:t>
      </w:r>
      <w:r w:rsidR="00C761FC">
        <w:rPr>
          <w:rFonts w:hint="cs"/>
          <w:rtl/>
        </w:rPr>
        <w:t xml:space="preserve">. </w:t>
      </w:r>
      <w:r>
        <w:rPr>
          <w:rtl/>
        </w:rPr>
        <w:t>ה</w:t>
      </w:r>
      <w:r w:rsidR="00C761FC">
        <w:rPr>
          <w:rFonts w:hint="cs"/>
          <w:rtl/>
        </w:rPr>
        <w:t>ה</w:t>
      </w:r>
      <w:r>
        <w:rPr>
          <w:rtl/>
        </w:rPr>
        <w:t>בדל בין מגרש ע</w:t>
      </w:r>
      <w:r w:rsidR="009A1292">
        <w:rPr>
          <w:rFonts w:hint="cs"/>
          <w:rtl/>
        </w:rPr>
        <w:t xml:space="preserve">ל תנאי </w:t>
      </w:r>
      <w:r>
        <w:rPr>
          <w:rtl/>
        </w:rPr>
        <w:t>ל</w:t>
      </w:r>
      <w:r w:rsidR="009A1292">
        <w:rPr>
          <w:rFonts w:hint="cs"/>
          <w:rtl/>
        </w:rPr>
        <w:t>תולה בזמן/במעשה.</w:t>
      </w:r>
      <w:r>
        <w:rPr>
          <w:rtl/>
        </w:rPr>
        <w:t xml:space="preserve"> </w:t>
      </w:r>
    </w:p>
    <w:p w14:paraId="2957B6B7" w14:textId="77777777" w:rsidR="00C97BEF" w:rsidRDefault="00C97BEF" w:rsidP="00C97BEF">
      <w:pPr>
        <w:rPr>
          <w:rtl/>
        </w:rPr>
      </w:pPr>
      <w:r>
        <w:rPr>
          <w:rtl/>
        </w:rPr>
        <w:t>עיין במקורות בסעיף הקודם.</w:t>
      </w:r>
    </w:p>
    <w:p w14:paraId="25095EB4" w14:textId="77777777" w:rsidR="00C97BEF" w:rsidRDefault="00C97BEF" w:rsidP="00C97BEF">
      <w:pPr>
        <w:rPr>
          <w:u w:val="single"/>
          <w:rtl/>
        </w:rPr>
      </w:pPr>
      <w:r>
        <w:rPr>
          <w:u w:val="single"/>
          <w:rtl/>
        </w:rPr>
        <w:t>בעל שתלה את הגירושין במעשה שהאשה תעשה:</w:t>
      </w:r>
    </w:p>
    <w:p w14:paraId="7382D928" w14:textId="07FE5234" w:rsidR="00C97BEF" w:rsidRDefault="00C97BEF" w:rsidP="006A458D">
      <w:pPr>
        <w:pStyle w:val="ab"/>
        <w:numPr>
          <w:ilvl w:val="0"/>
          <w:numId w:val="112"/>
        </w:numPr>
      </w:pPr>
      <w:r>
        <w:rPr>
          <w:rFonts w:cs="Arial"/>
          <w:rtl/>
        </w:rPr>
        <w:t xml:space="preserve">רמב"ם </w:t>
      </w:r>
      <w:r>
        <w:rPr>
          <w:rFonts w:cs="Arial"/>
          <w:sz w:val="16"/>
          <w:szCs w:val="16"/>
          <w:rtl/>
        </w:rPr>
        <w:t>(פ"ט ה"ד)</w:t>
      </w:r>
      <w:r w:rsidR="00A82951">
        <w:rPr>
          <w:rFonts w:cs="Arial"/>
          <w:rtl/>
        </w:rPr>
        <w:t>-</w:t>
      </w:r>
      <w:r>
        <w:rPr>
          <w:rFonts w:cs="Arial"/>
          <w:rtl/>
        </w:rPr>
        <w:t xml:space="preserve"> וכן אם תלה הגירושין במעשה, דינו כדין מגרש אחר זמן. כיצד, כגון שאמר לאשה הרי זה גיטיך ולא תתגרשי בו עד שתתני לי מאתים זוז </w:t>
      </w:r>
      <w:r w:rsidR="00A82951">
        <w:rPr>
          <w:rFonts w:cs="Arial"/>
          <w:rtl/>
        </w:rPr>
        <w:t>-</w:t>
      </w:r>
      <w:r>
        <w:rPr>
          <w:rFonts w:cs="Arial"/>
          <w:rtl/>
        </w:rPr>
        <w:t xml:space="preserve"> הרי זו מתגרשת אחר שתתן, ואינו צריך לכפול תנאו ולא לשאר משפטי התנאין שבארנו, שהרי לא גירש על תנאי</w:t>
      </w:r>
      <w:r w:rsidR="001313EB">
        <w:rPr>
          <w:rFonts w:cs="Arial" w:hint="cs"/>
          <w:rtl/>
        </w:rPr>
        <w:t>,</w:t>
      </w:r>
      <w:r>
        <w:rPr>
          <w:rFonts w:cs="Arial"/>
          <w:rtl/>
        </w:rPr>
        <w:t xml:space="preserve"> אלא עדיין לא גירש זה</w:t>
      </w:r>
      <w:r w:rsidR="001313EB">
        <w:rPr>
          <w:rFonts w:cs="Arial" w:hint="cs"/>
          <w:rtl/>
        </w:rPr>
        <w:t>,</w:t>
      </w:r>
      <w:r>
        <w:rPr>
          <w:rFonts w:cs="Arial"/>
          <w:rtl/>
        </w:rPr>
        <w:t xml:space="preserve"> אלא תלה הגירושין בעשיית כך וכך ואחר כך תתגרש. </w:t>
      </w:r>
      <w:r>
        <w:rPr>
          <w:rFonts w:cs="Arial"/>
          <w:color w:val="E36C0A" w:themeColor="accent6" w:themeShade="BF"/>
          <w:rtl/>
        </w:rPr>
        <w:t>(וכ"פ בשו"ע)</w:t>
      </w:r>
    </w:p>
    <w:p w14:paraId="7DD1D574" w14:textId="77777777" w:rsidR="00C97BEF" w:rsidRDefault="00C97BEF" w:rsidP="00C97BEF">
      <w:pPr>
        <w:rPr>
          <w:u w:val="single"/>
          <w:rtl/>
        </w:rPr>
      </w:pPr>
      <w:r>
        <w:rPr>
          <w:u w:val="single"/>
          <w:rtl/>
        </w:rPr>
        <w:t>מה ההבדל בין המגרש על תנאי לבין המגרש לאחר זמן קבוע או מעשה מסויים:</w:t>
      </w:r>
    </w:p>
    <w:p w14:paraId="75F6C224" w14:textId="14B05A14" w:rsidR="00C97BEF" w:rsidRDefault="00C97BEF" w:rsidP="006A458D">
      <w:pPr>
        <w:pStyle w:val="ab"/>
        <w:numPr>
          <w:ilvl w:val="0"/>
          <w:numId w:val="112"/>
        </w:numPr>
      </w:pPr>
      <w:r>
        <w:rPr>
          <w:rFonts w:cs="Arial"/>
          <w:rtl/>
        </w:rPr>
        <w:lastRenderedPageBreak/>
        <w:t xml:space="preserve">רמב"ם </w:t>
      </w:r>
      <w:r>
        <w:rPr>
          <w:rFonts w:cs="Arial"/>
          <w:sz w:val="16"/>
          <w:szCs w:val="16"/>
          <w:rtl/>
        </w:rPr>
        <w:t>(פ"ט ה"ה)</w:t>
      </w:r>
      <w:r w:rsidR="00A82951">
        <w:rPr>
          <w:rFonts w:cs="Arial"/>
          <w:rtl/>
        </w:rPr>
        <w:t>-</w:t>
      </w:r>
      <w:r>
        <w:rPr>
          <w:rFonts w:cs="Arial"/>
          <w:rtl/>
        </w:rPr>
        <w:t xml:space="preserve"> ומה בין המגרש על תנאי לזה שקבע זמן לגירושין או תלאן במעשה, שהמגרש על תנאי יש שם גירושין ואינן גומרין עד שיתקיים התנאי, לפיכך כשיתקיים התנאי נתגרשה אם היה הגט קיים אע"פ שאינו ברשותה, ואינה צריכה לחזור וליטלו או להיותו ברשותה אחר שנתקיים התנאי</w:t>
      </w:r>
      <w:r w:rsidR="00C761FC">
        <w:rPr>
          <w:rFonts w:cs="Arial" w:hint="cs"/>
          <w:rtl/>
        </w:rPr>
        <w:t>,</w:t>
      </w:r>
      <w:r>
        <w:rPr>
          <w:rFonts w:cs="Arial"/>
          <w:rtl/>
        </w:rPr>
        <w:t xml:space="preserve"> שהרי הגיע לידה תחלה בתורת גירושין. ואם נשאת קודם שיתקיים התנאי לא תצא כמו שבארנו. אבל התולה גירושין בזמן או במעשה לא הגיע גט לידה בתורת גירושין אלא בתורת פקדון עד הזמן שקבע או עד שתעשה המעשה, לפיכך כשיגיע הזמן צריכה להיות הגט ברשותה או תחזור ותטלנו או שיהיה במקום שייחדה אותו בו אע"פ שאינו רשותה כמו שבארנו, ואחר כך תתגרש בו. ואם נשאת קודם שיגיע הזמן שקבע או קודם שתעשה המעשה שתלה בו הגירושין </w:t>
      </w:r>
      <w:r w:rsidR="009A1292">
        <w:rPr>
          <w:rFonts w:cs="Arial" w:hint="cs"/>
          <w:rtl/>
        </w:rPr>
        <w:t xml:space="preserve">- </w:t>
      </w:r>
      <w:r>
        <w:rPr>
          <w:rFonts w:cs="Arial"/>
          <w:rtl/>
        </w:rPr>
        <w:t xml:space="preserve">תצא והולד ממזר, שעדיין היא אשת איש גמורה ואין כאן שם גירושין. </w:t>
      </w:r>
      <w:r>
        <w:rPr>
          <w:rFonts w:cs="Arial"/>
          <w:color w:val="E36C0A" w:themeColor="accent6" w:themeShade="BF"/>
          <w:rtl/>
        </w:rPr>
        <w:t>(וכ"פ בשו"ע)</w:t>
      </w:r>
    </w:p>
    <w:p w14:paraId="1682DACA"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51026AA" w14:textId="77777777" w:rsidR="00C97BEF" w:rsidRDefault="00C97BEF" w:rsidP="00C97BEF">
      <w:pPr>
        <w:rPr>
          <w:rtl/>
        </w:rPr>
      </w:pPr>
      <w:r>
        <w:rPr>
          <w:rFonts w:cs="Arial"/>
          <w:rtl/>
        </w:rPr>
        <w:t>הלכה והניחתו בצדי רשות הרבים, ונגנב או אבד לאחר שלשים יום, הרי זו מגורשת, הואיל והיה הגט קיים ביום שמתגרשת בו, וייחדה אותו במקום שאינו רשות הרבים, שצדי רשות הרבים אינם כרשות הרבים. וכן אם תלה הגירושין במעשה, דינו כדין מגרש אחר זמן. כיצד, כגון שאמר לאשה: הרי זה גיטיך ולא תתגרשי בו עד שתתני לי מאתים זוז, הרי זו מתגרשת אחר שתתן, ואינו צריך לכפול התנאי ולא לשאר משפטי התנאים, שהרי לא גירש על תנאי, אלא עדיין לא גירש זה, אלא תלה הגירושין בעשיית כך וכך ואחר כך תתגרש. ומה בין מגרש על תנאי לזה שקבע זמן לגירושין או תלאן במעשה, שהמגרש על תנאי יש שם גירושין, ואינם גומרים עד שיתקיים התנאי. לפיכך כשיתקיים התנאי, נתגרשה, אם היה הגט קיים, אף על פי שאינו ברשותה, ואינה צריכה לחזור וליטלו או להיותו ברשותה אחר שנתקיים התנאי, שהרי הגיע לידה תחלה בתורת גירושין. אבל התולה הגירושין בזמן או במעשה, לא הגיע לידה בתורת גירושין אלא בתורת פקדון עד הזמן שקבע או עד שתעשה המעשה, לפיכך כשהגיע הזמן צריך להיות הגט ברשותה</w:t>
      </w:r>
      <w:r>
        <w:rPr>
          <w:rStyle w:val="a7"/>
          <w:rFonts w:cs="Arial"/>
          <w:rtl/>
        </w:rPr>
        <w:footnoteReference w:id="2586"/>
      </w:r>
      <w:r>
        <w:rPr>
          <w:rFonts w:cs="Arial"/>
          <w:rtl/>
        </w:rPr>
        <w:t xml:space="preserve">, או תחזור ותטלנו, או יהיה במקום שייחדה אותו בו אף על פי שאין רשותה, כמו שביארנו, ואחר כך תתגרש בו. ואם נשאת קודם הזמן שקבע, או קודם שתעשה המעשה שתלה בו הגירושין, תצא והולד ממנו ממזר, שעדיין היא אשת איש גמורה ואין כאן שם גירושין. </w:t>
      </w:r>
    </w:p>
    <w:p w14:paraId="47A812D6" w14:textId="77777777" w:rsidR="00C97BEF" w:rsidRDefault="00C97BEF" w:rsidP="00C97BEF">
      <w:pPr>
        <w:rPr>
          <w:rtl/>
        </w:rPr>
      </w:pPr>
    </w:p>
    <w:p w14:paraId="15E775BC" w14:textId="77777777" w:rsidR="00C97BEF" w:rsidRDefault="00C97BEF" w:rsidP="00C97BEF">
      <w:pPr>
        <w:pStyle w:val="2"/>
        <w:rPr>
          <w:rtl/>
        </w:rPr>
      </w:pPr>
      <w:r>
        <w:rPr>
          <w:rtl/>
        </w:rPr>
        <w:t>סעיף ג: אמר לה 'אם לא תתני לי מאתים זוז אין זה גט'.</w:t>
      </w:r>
    </w:p>
    <w:p w14:paraId="6B9C668A" w14:textId="77777777" w:rsidR="00C97BEF" w:rsidRDefault="00C97BEF" w:rsidP="00C97BEF">
      <w:pPr>
        <w:rPr>
          <w:u w:val="single"/>
          <w:rtl/>
        </w:rPr>
      </w:pPr>
      <w:r>
        <w:rPr>
          <w:rFonts w:cs="Arial"/>
          <w:u w:val="single"/>
          <w:rtl/>
        </w:rPr>
        <w:t>הנותן גט ביד אשתו ואמר לה 'אם לא תתני לי מאתים זוז אין זה גט'</w:t>
      </w:r>
      <w:r>
        <w:rPr>
          <w:u w:val="single"/>
          <w:rtl/>
        </w:rPr>
        <w:t>:</w:t>
      </w:r>
    </w:p>
    <w:p w14:paraId="6A16B3A4" w14:textId="75E9DD10" w:rsidR="00C97BEF" w:rsidRDefault="00C97BEF" w:rsidP="006A458D">
      <w:pPr>
        <w:pStyle w:val="ab"/>
        <w:numPr>
          <w:ilvl w:val="0"/>
          <w:numId w:val="112"/>
        </w:numPr>
      </w:pPr>
      <w:r>
        <w:rPr>
          <w:rFonts w:cs="Arial"/>
          <w:rtl/>
        </w:rPr>
        <w:t xml:space="preserve">רמב"ם </w:t>
      </w:r>
      <w:r>
        <w:rPr>
          <w:rFonts w:cs="Arial"/>
          <w:sz w:val="16"/>
          <w:szCs w:val="16"/>
          <w:rtl/>
        </w:rPr>
        <w:t>(פ"ט ה"ו)</w:t>
      </w:r>
      <w:r w:rsidR="00A82951">
        <w:rPr>
          <w:rFonts w:cs="Arial"/>
          <w:rtl/>
        </w:rPr>
        <w:t>-</w:t>
      </w:r>
      <w:r>
        <w:rPr>
          <w:rFonts w:cs="Arial"/>
          <w:rtl/>
        </w:rPr>
        <w:t xml:space="preserve"> הנותן גט ביד אשתו ואמר לה 'אם לא תתני לי מאתים זוז אין זה גט' או 'אין את מגורשת' </w:t>
      </w:r>
      <w:r w:rsidR="00A82951">
        <w:rPr>
          <w:rFonts w:cs="Arial"/>
          <w:rtl/>
        </w:rPr>
        <w:t>-</w:t>
      </w:r>
      <w:r>
        <w:rPr>
          <w:rFonts w:cs="Arial"/>
          <w:rtl/>
        </w:rPr>
        <w:t xml:space="preserve"> הרי זה לא גירש כלל ואין כאן גט לא על תנאי ולא תלוי במעשה, וכן כל כיוצא בזה. </w:t>
      </w:r>
      <w:r>
        <w:rPr>
          <w:rFonts w:cs="Arial"/>
          <w:color w:val="E36C0A" w:themeColor="accent6" w:themeShade="BF"/>
          <w:rtl/>
        </w:rPr>
        <w:t>(וכ"פ בשו"ע)</w:t>
      </w:r>
    </w:p>
    <w:p w14:paraId="03F68FFF"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4FECEF4" w14:textId="77777777" w:rsidR="00C97BEF" w:rsidRDefault="00C97BEF" w:rsidP="00C97BEF">
      <w:pPr>
        <w:rPr>
          <w:rtl/>
        </w:rPr>
      </w:pPr>
      <w:r>
        <w:rPr>
          <w:rFonts w:cs="Arial"/>
          <w:rtl/>
        </w:rPr>
        <w:t>הנותן גט ביד אשתו ואמר לה: אם לא תתני מאתים זוז אין זה גט, או אין את מגורשת, הרי זה לא גירש כלל, ואין כאן גט</w:t>
      </w:r>
      <w:r>
        <w:rPr>
          <w:rStyle w:val="a7"/>
          <w:rFonts w:cs="Arial"/>
          <w:rtl/>
        </w:rPr>
        <w:footnoteReference w:id="2587"/>
      </w:r>
      <w:r>
        <w:rPr>
          <w:rFonts w:cs="Arial"/>
          <w:rtl/>
        </w:rPr>
        <w:t xml:space="preserve"> לא על תנאי ולא תלוי במעשה, וכן כל כיוצא בזה. ואם אמר לה: הרי את מגורשת, ואם לא תתני לי מאתים זוז לא תהוי מגורשת, הרי זו מגורשת אף על פי שלא נתנה, מפני שלא כפל תנאו. </w:t>
      </w:r>
    </w:p>
    <w:p w14:paraId="5E562BA6" w14:textId="77777777" w:rsidR="00C97BEF" w:rsidRDefault="00C97BEF" w:rsidP="00C97BEF">
      <w:pPr>
        <w:rPr>
          <w:rtl/>
        </w:rPr>
      </w:pPr>
    </w:p>
    <w:p w14:paraId="2AD5644F" w14:textId="77777777" w:rsidR="00C97BEF" w:rsidRDefault="00C97BEF" w:rsidP="00C97BEF">
      <w:pPr>
        <w:pStyle w:val="2"/>
        <w:rPr>
          <w:rFonts w:cs="Arial"/>
          <w:rtl/>
        </w:rPr>
      </w:pPr>
      <w:r>
        <w:rPr>
          <w:rtl/>
        </w:rPr>
        <w:t xml:space="preserve">סעיף ד: </w:t>
      </w:r>
      <w:r>
        <w:rPr>
          <w:rFonts w:cs="Arial"/>
          <w:rtl/>
        </w:rPr>
        <w:t>מי שנתגרשה על תנאי וקדשה אחר</w:t>
      </w:r>
      <w:r>
        <w:rPr>
          <w:rFonts w:cs="Arial"/>
          <w:sz w:val="18"/>
          <w:szCs w:val="18"/>
          <w:rtl/>
        </w:rPr>
        <w:t xml:space="preserve"> (או שנישאה)</w:t>
      </w:r>
      <w:r>
        <w:rPr>
          <w:rFonts w:cs="Arial"/>
          <w:rtl/>
        </w:rPr>
        <w:t xml:space="preserve"> קודם שיתקיים התנאי.</w:t>
      </w:r>
    </w:p>
    <w:p w14:paraId="5775FED8" w14:textId="77777777" w:rsidR="00C97BEF" w:rsidRDefault="00C97BEF" w:rsidP="00C97BEF">
      <w:pPr>
        <w:rPr>
          <w:u w:val="single"/>
          <w:rtl/>
        </w:rPr>
      </w:pPr>
      <w:r>
        <w:rPr>
          <w:rFonts w:cs="Arial"/>
          <w:u w:val="single"/>
          <w:rtl/>
        </w:rPr>
        <w:t>מי שנתגרשה על תנאי וקדשה אחר</w:t>
      </w:r>
      <w:r>
        <w:rPr>
          <w:rFonts w:cs="Arial"/>
          <w:sz w:val="18"/>
          <w:szCs w:val="18"/>
          <w:u w:val="single"/>
          <w:rtl/>
        </w:rPr>
        <w:t xml:space="preserve"> </w:t>
      </w:r>
      <w:r>
        <w:rPr>
          <w:rFonts w:cs="Arial"/>
          <w:sz w:val="16"/>
          <w:szCs w:val="16"/>
          <w:u w:val="single"/>
          <w:rtl/>
        </w:rPr>
        <w:t>(או שנישאה)</w:t>
      </w:r>
      <w:r>
        <w:rPr>
          <w:rFonts w:cs="Arial"/>
          <w:u w:val="single"/>
          <w:rtl/>
        </w:rPr>
        <w:t xml:space="preserve"> קודם שיתקיים התנאי</w:t>
      </w:r>
      <w:r>
        <w:rPr>
          <w:u w:val="single"/>
          <w:rtl/>
        </w:rPr>
        <w:t>:</w:t>
      </w:r>
    </w:p>
    <w:p w14:paraId="64BE7DA2" w14:textId="223F59CF" w:rsidR="00C97BEF" w:rsidRDefault="00C97BEF" w:rsidP="006A458D">
      <w:pPr>
        <w:pStyle w:val="ab"/>
        <w:numPr>
          <w:ilvl w:val="0"/>
          <w:numId w:val="112"/>
        </w:numPr>
        <w:rPr>
          <w:rtl/>
        </w:rPr>
      </w:pPr>
      <w:r>
        <w:rPr>
          <w:rFonts w:cs="Arial"/>
          <w:rtl/>
        </w:rPr>
        <w:t xml:space="preserve">רמב"ם </w:t>
      </w:r>
      <w:r>
        <w:rPr>
          <w:rFonts w:cs="Arial"/>
          <w:sz w:val="16"/>
          <w:szCs w:val="16"/>
          <w:rtl/>
        </w:rPr>
        <w:t>(פ"ח הכ"ד)</w:t>
      </w:r>
      <w:r w:rsidR="00A82951">
        <w:rPr>
          <w:rFonts w:cs="Arial"/>
          <w:rtl/>
        </w:rPr>
        <w:t>-</w:t>
      </w:r>
      <w:r>
        <w:rPr>
          <w:rFonts w:cs="Arial"/>
          <w:rtl/>
        </w:rPr>
        <w:t xml:space="preserve"> מי שנתגרשה על תנאי וקדשה אחר קודם שיתקיים התנאי, אם נתקיים התנאי </w:t>
      </w:r>
      <w:r w:rsidR="00A82951">
        <w:rPr>
          <w:rFonts w:cs="Arial"/>
          <w:rtl/>
        </w:rPr>
        <w:t>-</w:t>
      </w:r>
      <w:r>
        <w:rPr>
          <w:rFonts w:cs="Arial"/>
          <w:rtl/>
        </w:rPr>
        <w:t xml:space="preserve"> הרי זו מקודשת, ואם לא נתקיים התנאי ובטל הגט </w:t>
      </w:r>
      <w:r w:rsidR="00A82951">
        <w:rPr>
          <w:rFonts w:cs="Arial"/>
          <w:rtl/>
        </w:rPr>
        <w:t>-</w:t>
      </w:r>
      <w:r>
        <w:rPr>
          <w:rFonts w:cs="Arial"/>
          <w:rtl/>
        </w:rPr>
        <w:t xml:space="preserve"> אינה צריכה גט משני שהרי אין קידושין תופסין בה. אבל אם נשאת ולא נתקיים התנאי ובטל הגט </w:t>
      </w:r>
      <w:r w:rsidR="00A82951">
        <w:rPr>
          <w:rFonts w:cs="Arial"/>
          <w:rtl/>
        </w:rPr>
        <w:t>-</w:t>
      </w:r>
      <w:r>
        <w:rPr>
          <w:rFonts w:cs="Arial"/>
          <w:rtl/>
        </w:rPr>
        <w:t xml:space="preserve"> צריכה גט משני כמו שבארנו. </w:t>
      </w:r>
      <w:r>
        <w:rPr>
          <w:rFonts w:cs="Arial"/>
          <w:color w:val="E36C0A" w:themeColor="accent6" w:themeShade="BF"/>
          <w:rtl/>
        </w:rPr>
        <w:t>(וכ"פ בשו"ע)</w:t>
      </w:r>
    </w:p>
    <w:p w14:paraId="7AE68F88" w14:textId="073A927B" w:rsidR="00C97BEF" w:rsidRDefault="00C97BEF" w:rsidP="006A458D">
      <w:pPr>
        <w:pStyle w:val="ab"/>
        <w:numPr>
          <w:ilvl w:val="0"/>
          <w:numId w:val="112"/>
        </w:numPr>
      </w:pPr>
      <w:r>
        <w:rPr>
          <w:rFonts w:cs="Arial"/>
          <w:rtl/>
        </w:rPr>
        <w:t xml:space="preserve">ראב"ד </w:t>
      </w:r>
      <w:r>
        <w:rPr>
          <w:rFonts w:cs="Arial"/>
          <w:sz w:val="16"/>
          <w:szCs w:val="16"/>
          <w:rtl/>
        </w:rPr>
        <w:t>(בהשגות שם)</w:t>
      </w:r>
      <w:r w:rsidR="00A82951">
        <w:rPr>
          <w:rFonts w:cs="Arial"/>
          <w:rtl/>
        </w:rPr>
        <w:t>-</w:t>
      </w:r>
      <w:r>
        <w:rPr>
          <w:rFonts w:cs="Arial"/>
          <w:rtl/>
        </w:rPr>
        <w:t xml:space="preserve"> א"א כמדומה לי שהוא מדמה זה הענין לאשה שהלך בעלה למדינת הים ואמרו לה מת בעליך שאם נתקדשה לאחר מותרת לחזור לו ואם נשאת אסורה לחזור לו. ואין הנדון דומה לראיה כלל. דלעולם אסורה לראשון, דמאן מוכח שלא נתקיים התנאי שהרי בידה לקיימו והיא מגורשת גמורה ואסורה </w:t>
      </w:r>
      <w:r>
        <w:rPr>
          <w:rFonts w:cs="Arial"/>
          <w:rtl/>
        </w:rPr>
        <w:lastRenderedPageBreak/>
        <w:t xml:space="preserve">לראשון. הילכך בין כך ובין כך צריכה גט משני, ואסורה לראשון. ועל כן אני אומר כל מקום שתמצא </w:t>
      </w:r>
      <w:r>
        <w:rPr>
          <w:rFonts w:cs="Arial"/>
          <w:sz w:val="16"/>
          <w:szCs w:val="16"/>
          <w:rtl/>
        </w:rPr>
        <w:t>[ש]</w:t>
      </w:r>
      <w:r>
        <w:rPr>
          <w:rFonts w:cs="Arial"/>
          <w:rtl/>
        </w:rPr>
        <w:t>אינו גט מפני התנאי שבידה לקיימו, אם נתקדשה לאחר צריכה גט ואסורה לראשון. אבל אינו גט ליורשה וליטמא לה ולאסרה לזר בלא חליצה ולהתחייב עליה מיתת ב"ד בהתראה</w:t>
      </w:r>
      <w:r>
        <w:rPr>
          <w:rStyle w:val="a7"/>
          <w:rFonts w:cs="Arial"/>
          <w:rtl/>
        </w:rPr>
        <w:footnoteReference w:id="2588"/>
      </w:r>
      <w:r>
        <w:rPr>
          <w:rFonts w:cs="Arial"/>
          <w:rtl/>
        </w:rPr>
        <w:t xml:space="preserve">. </w:t>
      </w:r>
    </w:p>
    <w:p w14:paraId="7A1D52E2"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2019951" w14:textId="77777777" w:rsidR="00C97BEF" w:rsidRDefault="00C97BEF" w:rsidP="00C97BEF">
      <w:pPr>
        <w:rPr>
          <w:rFonts w:cs="Arial"/>
          <w:rtl/>
        </w:rPr>
      </w:pPr>
      <w:r>
        <w:rPr>
          <w:rFonts w:cs="Arial"/>
          <w:rtl/>
        </w:rPr>
        <w:t>מי שנתגרשה על תנאי, וקדשה אחר קודם שיתקיים התנאי</w:t>
      </w:r>
      <w:r>
        <w:rPr>
          <w:rStyle w:val="a7"/>
          <w:rFonts w:cs="Arial"/>
          <w:rtl/>
        </w:rPr>
        <w:footnoteReference w:id="2589"/>
      </w:r>
      <w:r>
        <w:rPr>
          <w:rFonts w:cs="Arial"/>
          <w:rtl/>
        </w:rPr>
        <w:t xml:space="preserve">, אם נתקיים התנאי, הרי זו מקודשת; ואם לא נתקיים התנאי ובטל הגט, אינה צריכה גט משני, שאין קדושין תופסין בה. אבל אם נשאת ולא נתקיים התנאי ובטל הגט, צריכה גט משני. </w:t>
      </w:r>
    </w:p>
    <w:p w14:paraId="2263A3F3" w14:textId="77777777" w:rsidR="00C97BEF" w:rsidRDefault="00C97BEF" w:rsidP="00C97BEF">
      <w:pPr>
        <w:rPr>
          <w:rtl/>
        </w:rPr>
      </w:pPr>
    </w:p>
    <w:p w14:paraId="63956DDA" w14:textId="77777777" w:rsidR="00C97BEF" w:rsidRDefault="00C97BEF" w:rsidP="00C97BEF">
      <w:pPr>
        <w:pStyle w:val="2"/>
        <w:rPr>
          <w:rtl/>
        </w:rPr>
      </w:pPr>
      <w:r>
        <w:rPr>
          <w:rtl/>
        </w:rPr>
        <w:t>סעיף ה: המשך הנ"ל.</w:t>
      </w:r>
    </w:p>
    <w:p w14:paraId="76A43675" w14:textId="77777777" w:rsidR="00C97BEF" w:rsidRDefault="00C97BEF" w:rsidP="00C97BEF">
      <w:pPr>
        <w:rPr>
          <w:rtl/>
        </w:rPr>
      </w:pPr>
      <w:r>
        <w:rPr>
          <w:rtl/>
        </w:rPr>
        <w:t>עיין בהערה בסוף דברי הראב"ד בסעיף הקודם.</w:t>
      </w:r>
    </w:p>
    <w:p w14:paraId="14CA26C9"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A3E9F4C" w14:textId="77777777" w:rsidR="00C97BEF" w:rsidRDefault="00C97BEF" w:rsidP="00C97BEF">
      <w:pPr>
        <w:rPr>
          <w:rtl/>
        </w:rPr>
      </w:pPr>
      <w:r>
        <w:rPr>
          <w:rFonts w:cs="Arial"/>
          <w:rtl/>
        </w:rPr>
        <w:t xml:space="preserve">במה דברים אמורים שאם קדשה אחר ולא נתקיים התנאי שהגט בטל, בתנאי שהוא בלאו, ועשתה מעשה בביטולו, או בתנאי שהוא במעשה תוך זמן קצוב, ועבר הזמן ולא נעשה, או באיזה דרך שהיה התנאי מבוטל בפועל, הגט בטל. אבל בתנאי שבידה לקיימו ובה הדבר תלוי ואם נתקיים התנאי מגורשת, </w:t>
      </w:r>
      <w:r>
        <w:rPr>
          <w:rFonts w:cs="Arial"/>
          <w:sz w:val="18"/>
          <w:szCs w:val="18"/>
          <w:rtl/>
        </w:rPr>
        <w:t>[הגה] חיישינן שמא קיימה</w:t>
      </w:r>
      <w:r>
        <w:rPr>
          <w:rStyle w:val="a7"/>
          <w:rFonts w:cs="Arial"/>
          <w:sz w:val="18"/>
          <w:szCs w:val="18"/>
          <w:rtl/>
        </w:rPr>
        <w:footnoteReference w:id="2590"/>
      </w:r>
      <w:r>
        <w:rPr>
          <w:rFonts w:cs="Arial"/>
          <w:sz w:val="18"/>
          <w:szCs w:val="18"/>
          <w:rtl/>
        </w:rPr>
        <w:t xml:space="preserve"> התנאי (הה"מ)</w:t>
      </w:r>
      <w:r>
        <w:rPr>
          <w:rFonts w:cs="Arial"/>
          <w:rtl/>
        </w:rPr>
        <w:t xml:space="preserve"> וחלו קדושי שני.</w:t>
      </w:r>
    </w:p>
    <w:p w14:paraId="3F71FBE1" w14:textId="77777777" w:rsidR="00C97BEF" w:rsidRDefault="00C97BEF" w:rsidP="00C97BEF">
      <w:pPr>
        <w:bidi w:val="0"/>
        <w:spacing w:after="0"/>
        <w:rPr>
          <w:rtl/>
        </w:rPr>
        <w:sectPr w:rsidR="00C97BEF">
          <w:headerReference w:type="default" r:id="rId39"/>
          <w:footnotePr>
            <w:numRestart w:val="eachSect"/>
          </w:footnotePr>
          <w:pgSz w:w="11906" w:h="16838"/>
          <w:pgMar w:top="720" w:right="1134" w:bottom="720" w:left="1134" w:header="0" w:footer="0" w:gutter="0"/>
          <w:cols w:space="720"/>
          <w:bidi/>
          <w:rtlGutter/>
        </w:sectPr>
      </w:pPr>
    </w:p>
    <w:p w14:paraId="12D8B557" w14:textId="77777777" w:rsidR="00C97BEF" w:rsidRDefault="00C97BEF" w:rsidP="00C97BEF">
      <w:pPr>
        <w:pStyle w:val="1"/>
        <w:rPr>
          <w:rtl/>
        </w:rPr>
      </w:pPr>
      <w:r>
        <w:rPr>
          <w:rtl/>
        </w:rPr>
        <w:lastRenderedPageBreak/>
        <w:t xml:space="preserve">סימן קמז: </w:t>
      </w:r>
      <w:r>
        <w:rPr>
          <w:rFonts w:cs="Arial"/>
          <w:rtl/>
        </w:rPr>
        <w:t xml:space="preserve">אין כותבין תנאי בגט, ואם כתבו מה דינו, ובו ג' סעיפים. </w:t>
      </w:r>
    </w:p>
    <w:p w14:paraId="1EB192D7" w14:textId="77777777" w:rsidR="00C97BEF" w:rsidRDefault="00C97BEF" w:rsidP="00C97BEF">
      <w:pPr>
        <w:pStyle w:val="2"/>
        <w:rPr>
          <w:rtl/>
        </w:rPr>
      </w:pPr>
      <w:r>
        <w:rPr>
          <w:rtl/>
        </w:rPr>
        <w:t>סעיף א: כיצד נותנים גט על תנאי.</w:t>
      </w:r>
    </w:p>
    <w:p w14:paraId="1D5AF97B" w14:textId="1CF0C8BF" w:rsidR="00C97BEF" w:rsidRDefault="00C97BEF" w:rsidP="00C97BEF">
      <w:pPr>
        <w:rPr>
          <w:rFonts w:cs="Arial"/>
          <w:rtl/>
        </w:rPr>
      </w:pPr>
      <w:r>
        <w:rPr>
          <w:rFonts w:cs="Arial"/>
          <w:b/>
          <w:bCs/>
          <w:rtl/>
        </w:rPr>
        <w:t xml:space="preserve">גיטין </w:t>
      </w:r>
      <w:r>
        <w:rPr>
          <w:rFonts w:cs="Arial"/>
          <w:b/>
          <w:bCs/>
          <w:sz w:val="16"/>
          <w:szCs w:val="16"/>
          <w:rtl/>
        </w:rPr>
        <w:t>(ר"פ בתרא)</w:t>
      </w:r>
      <w:r>
        <w:rPr>
          <w:rFonts w:cs="Arial"/>
          <w:b/>
          <w:bCs/>
          <w:rtl/>
        </w:rPr>
        <w:t xml:space="preserve"> פב ע"א:</w:t>
      </w:r>
      <w:r>
        <w:rPr>
          <w:rtl/>
        </w:rPr>
        <w:t xml:space="preserve"> </w:t>
      </w:r>
      <w:r>
        <w:rPr>
          <w:rFonts w:cs="Arial"/>
          <w:u w:val="double"/>
          <w:rtl/>
        </w:rPr>
        <w:t>מתני'</w:t>
      </w:r>
      <w:r>
        <w:rPr>
          <w:rFonts w:cs="Arial"/>
          <w:rtl/>
        </w:rPr>
        <w:t>:</w:t>
      </w:r>
      <w:r>
        <w:rPr>
          <w:rtl/>
        </w:rPr>
        <w:t xml:space="preserve"> </w:t>
      </w:r>
      <w:r>
        <w:rPr>
          <w:rFonts w:cs="Arial"/>
          <w:rtl/>
        </w:rPr>
        <w:t>המגרש את אשתו, ואמר לה</w:t>
      </w:r>
      <w:r>
        <w:rPr>
          <w:rStyle w:val="a7"/>
          <w:rFonts w:cs="Arial"/>
          <w:rtl/>
        </w:rPr>
        <w:footnoteReference w:id="2591"/>
      </w:r>
      <w:r>
        <w:rPr>
          <w:rFonts w:cs="Arial"/>
          <w:rtl/>
        </w:rPr>
        <w:t xml:space="preserve"> הרי את מותרת לכל אדם אלא לפלוני </w:t>
      </w:r>
      <w:r w:rsidR="00A82951">
        <w:rPr>
          <w:rFonts w:cs="Arial"/>
          <w:rtl/>
        </w:rPr>
        <w:t>-</w:t>
      </w:r>
      <w:r>
        <w:rPr>
          <w:rFonts w:cs="Arial"/>
          <w:rtl/>
        </w:rPr>
        <w:t xml:space="preserve"> </w:t>
      </w:r>
      <w:r>
        <w:rPr>
          <w:rFonts w:cs="Arial"/>
          <w:u w:val="single"/>
          <w:rtl/>
        </w:rPr>
        <w:t>ר' אליעזר</w:t>
      </w:r>
      <w:r>
        <w:rPr>
          <w:rFonts w:cs="Arial"/>
          <w:rtl/>
        </w:rPr>
        <w:t xml:space="preserve"> מתיר, </w:t>
      </w:r>
      <w:r>
        <w:rPr>
          <w:rFonts w:cs="Arial"/>
          <w:u w:val="single"/>
          <w:rtl/>
        </w:rPr>
        <w:t>וחכמים</w:t>
      </w:r>
      <w:r>
        <w:rPr>
          <w:rFonts w:cs="Arial"/>
          <w:rtl/>
        </w:rPr>
        <w:t xml:space="preserve"> אוסרים. כיצד יעשה? יטלנו הימנה, ויחזור ויתננו לה ויאמר לה הרי את מותרת לכל אדם. כתבו בתוכו, אף על פי שחזר ומחקו </w:t>
      </w:r>
      <w:r w:rsidR="00A82951">
        <w:rPr>
          <w:rFonts w:cs="Arial"/>
          <w:rtl/>
        </w:rPr>
        <w:t>-</w:t>
      </w:r>
      <w:r>
        <w:rPr>
          <w:rFonts w:cs="Arial"/>
          <w:rtl/>
        </w:rPr>
        <w:t xml:space="preserve"> פסול.        </w:t>
      </w:r>
      <w:r>
        <w:rPr>
          <w:rFonts w:cs="Arial"/>
          <w:u w:val="double"/>
          <w:rtl/>
        </w:rPr>
        <w:t>גמ'</w:t>
      </w:r>
      <w:r>
        <w:rPr>
          <w:rFonts w:cs="Arial"/>
          <w:sz w:val="14"/>
          <w:szCs w:val="14"/>
          <w:u w:val="double"/>
          <w:rtl/>
        </w:rPr>
        <w:t>(פד:)</w:t>
      </w:r>
      <w:r>
        <w:rPr>
          <w:rFonts w:cs="Arial"/>
          <w:u w:val="double"/>
          <w:rtl/>
        </w:rPr>
        <w:t>:</w:t>
      </w:r>
      <w:r>
        <w:rPr>
          <w:rtl/>
        </w:rPr>
        <w:t xml:space="preserve"> </w:t>
      </w:r>
      <w:r>
        <w:rPr>
          <w:rFonts w:cs="Arial"/>
          <w:rtl/>
        </w:rPr>
        <w:t xml:space="preserve">כתבו בתוכו. </w:t>
      </w:r>
      <w:r>
        <w:rPr>
          <w:rFonts w:cs="Arial"/>
          <w:u w:val="single"/>
          <w:rtl/>
        </w:rPr>
        <w:t>אמר רב ספרא</w:t>
      </w:r>
      <w:r>
        <w:rPr>
          <w:rFonts w:cs="Arial"/>
          <w:rtl/>
        </w:rPr>
        <w:t>: כתבו בתוכו תנן</w:t>
      </w:r>
      <w:r>
        <w:rPr>
          <w:rStyle w:val="a7"/>
          <w:rFonts w:cs="Arial"/>
          <w:rtl/>
        </w:rPr>
        <w:footnoteReference w:id="2592"/>
      </w:r>
      <w:r>
        <w:rPr>
          <w:rFonts w:cs="Arial"/>
          <w:rtl/>
        </w:rPr>
        <w:t>. פשיטא, כתבו בתוכו תנן! מהו דתימא ה"מ</w:t>
      </w:r>
      <w:r>
        <w:rPr>
          <w:rStyle w:val="a7"/>
          <w:rFonts w:cs="Arial"/>
          <w:rtl/>
        </w:rPr>
        <w:footnoteReference w:id="2593"/>
      </w:r>
      <w:r>
        <w:rPr>
          <w:rFonts w:cs="Arial"/>
          <w:rtl/>
        </w:rPr>
        <w:t xml:space="preserve"> לאחר התורף, אבל לפני התורף </w:t>
      </w:r>
      <w:r w:rsidR="00A82951">
        <w:rPr>
          <w:rFonts w:cs="Arial"/>
          <w:rtl/>
        </w:rPr>
        <w:t>-</w:t>
      </w:r>
      <w:r>
        <w:rPr>
          <w:rFonts w:cs="Arial"/>
          <w:rtl/>
        </w:rPr>
        <w:t xml:space="preserve"> אפילו על פה</w:t>
      </w:r>
      <w:r>
        <w:rPr>
          <w:rStyle w:val="a7"/>
          <w:rFonts w:cs="Arial"/>
          <w:rtl/>
        </w:rPr>
        <w:footnoteReference w:id="2594"/>
      </w:r>
      <w:r>
        <w:rPr>
          <w:rFonts w:cs="Arial"/>
          <w:rtl/>
        </w:rPr>
        <w:t xml:space="preserve"> נמי פסול, קמ"ל</w:t>
      </w:r>
      <w:r>
        <w:rPr>
          <w:rStyle w:val="a7"/>
          <w:rFonts w:cs="Arial"/>
          <w:rtl/>
        </w:rPr>
        <w:footnoteReference w:id="2595"/>
      </w:r>
      <w:r>
        <w:rPr>
          <w:rFonts w:cs="Arial"/>
          <w:rtl/>
        </w:rPr>
        <w:t xml:space="preserve">. </w:t>
      </w:r>
      <w:r>
        <w:rPr>
          <w:rFonts w:cs="Arial"/>
          <w:u w:val="single"/>
          <w:rtl/>
        </w:rPr>
        <w:t>ורבא אמר</w:t>
      </w:r>
      <w:r>
        <w:rPr>
          <w:rFonts w:cs="Arial"/>
          <w:rtl/>
        </w:rPr>
        <w:t xml:space="preserve">: לא שנו אלא לאחר התורף, אבל לפני התורף </w:t>
      </w:r>
      <w:r w:rsidR="00A82951">
        <w:rPr>
          <w:rFonts w:cs="Arial"/>
          <w:rtl/>
        </w:rPr>
        <w:t>-</w:t>
      </w:r>
      <w:r>
        <w:rPr>
          <w:rFonts w:cs="Arial"/>
          <w:rtl/>
        </w:rPr>
        <w:t xml:space="preserve"> אפילו על פה נמי פסול. ואזדא רבא לטעמיה, דאמר להו רבא להנהו דכתבי גיטי: שתקו שתוקי</w:t>
      </w:r>
      <w:r>
        <w:rPr>
          <w:rStyle w:val="a7"/>
          <w:rFonts w:cs="Arial"/>
          <w:rtl/>
        </w:rPr>
        <w:footnoteReference w:id="2596"/>
      </w:r>
      <w:r>
        <w:rPr>
          <w:rFonts w:cs="Arial"/>
          <w:rtl/>
        </w:rPr>
        <w:t xml:space="preserve"> לבעל עד דכתביתו ליה לתורף דגיטא. ת"ר: כל התנאין פוסלין בגט</w:t>
      </w:r>
      <w:r>
        <w:rPr>
          <w:rStyle w:val="a7"/>
          <w:rFonts w:cs="Arial"/>
          <w:rtl/>
        </w:rPr>
        <w:footnoteReference w:id="2597"/>
      </w:r>
      <w:r>
        <w:rPr>
          <w:rFonts w:cs="Arial"/>
          <w:rtl/>
        </w:rPr>
        <w:t xml:space="preserve">, </w:t>
      </w:r>
      <w:r>
        <w:rPr>
          <w:rFonts w:cs="Arial"/>
          <w:u w:val="single"/>
          <w:rtl/>
        </w:rPr>
        <w:t>דברי רבי</w:t>
      </w:r>
      <w:r>
        <w:rPr>
          <w:rFonts w:cs="Arial"/>
          <w:rtl/>
        </w:rPr>
        <w:t xml:space="preserve">; </w:t>
      </w:r>
      <w:r>
        <w:rPr>
          <w:rFonts w:cs="Arial"/>
          <w:u w:val="single"/>
          <w:rtl/>
        </w:rPr>
        <w:t>וחכמים אומרים</w:t>
      </w:r>
      <w:r>
        <w:rPr>
          <w:rFonts w:cs="Arial"/>
          <w:rtl/>
        </w:rPr>
        <w:t>: כל שפוסל על פה פוסל בכתב, וכל שאינו פוסל על פה אינו פוסל בכתב. חוץ, שפוסל על פה</w:t>
      </w:r>
      <w:r>
        <w:rPr>
          <w:rStyle w:val="a7"/>
          <w:rFonts w:cs="Arial"/>
          <w:rtl/>
        </w:rPr>
        <w:footnoteReference w:id="2598"/>
      </w:r>
      <w:r>
        <w:rPr>
          <w:rFonts w:cs="Arial"/>
          <w:rtl/>
        </w:rPr>
        <w:t xml:space="preserve"> </w:t>
      </w:r>
      <w:r w:rsidR="00A82951">
        <w:rPr>
          <w:rFonts w:cs="Arial"/>
          <w:rtl/>
        </w:rPr>
        <w:t>-</w:t>
      </w:r>
      <w:r>
        <w:rPr>
          <w:rFonts w:cs="Arial"/>
          <w:rtl/>
        </w:rPr>
        <w:t xml:space="preserve"> פוסל בכתב. ע"מ, שאינו פוסל על פה </w:t>
      </w:r>
      <w:r w:rsidR="00A82951">
        <w:rPr>
          <w:rFonts w:cs="Arial"/>
          <w:rtl/>
        </w:rPr>
        <w:t>-</w:t>
      </w:r>
      <w:r>
        <w:rPr>
          <w:rFonts w:cs="Arial"/>
          <w:rtl/>
        </w:rPr>
        <w:t xml:space="preserve"> אינו פוסל בכתב. </w:t>
      </w:r>
      <w:r>
        <w:rPr>
          <w:rFonts w:cs="Arial"/>
          <w:u w:val="single"/>
          <w:rtl/>
        </w:rPr>
        <w:t>אמר רבי זירא</w:t>
      </w:r>
      <w:r>
        <w:rPr>
          <w:rFonts w:cs="Arial"/>
          <w:rtl/>
        </w:rPr>
        <w:t>: מחלוקת</w:t>
      </w:r>
      <w:r>
        <w:rPr>
          <w:rStyle w:val="a7"/>
          <w:rFonts w:cs="Arial"/>
          <w:rtl/>
        </w:rPr>
        <w:footnoteReference w:id="2599"/>
      </w:r>
      <w:r>
        <w:rPr>
          <w:rFonts w:cs="Arial"/>
          <w:rtl/>
        </w:rPr>
        <w:t xml:space="preserve"> </w:t>
      </w:r>
      <w:r w:rsidR="00A82951">
        <w:rPr>
          <w:rFonts w:cs="Arial"/>
          <w:rtl/>
        </w:rPr>
        <w:t>-</w:t>
      </w:r>
      <w:r>
        <w:rPr>
          <w:rFonts w:cs="Arial"/>
          <w:rtl/>
        </w:rPr>
        <w:t xml:space="preserve"> לפני התורף, דרבי סבר: גזרינן ע"מ אטו חוץ, ורבנן סברי: לא גזרינן ע"מ אטו חוץ, אבל לאחר התורף</w:t>
      </w:r>
      <w:r>
        <w:rPr>
          <w:rFonts w:cs="Arial"/>
          <w:sz w:val="14"/>
          <w:szCs w:val="14"/>
          <w:rtl/>
        </w:rPr>
        <w:t xml:space="preserve"> (פה.) </w:t>
      </w:r>
      <w:r w:rsidR="00A82951">
        <w:rPr>
          <w:rFonts w:cs="Arial"/>
          <w:rtl/>
        </w:rPr>
        <w:t>-</w:t>
      </w:r>
      <w:r>
        <w:rPr>
          <w:rtl/>
        </w:rPr>
        <w:t xml:space="preserve"> </w:t>
      </w:r>
      <w:r>
        <w:rPr>
          <w:rFonts w:cs="Arial"/>
          <w:rtl/>
        </w:rPr>
        <w:t>דברי הכל כשר; ומתני' דקתני כתבו ואוקימנא בחוץ</w:t>
      </w:r>
      <w:r>
        <w:rPr>
          <w:rStyle w:val="a7"/>
          <w:rFonts w:cs="Arial"/>
          <w:rtl/>
        </w:rPr>
        <w:footnoteReference w:id="2600"/>
      </w:r>
      <w:r>
        <w:rPr>
          <w:rFonts w:cs="Arial"/>
          <w:rtl/>
        </w:rPr>
        <w:t xml:space="preserve">, אבל ע"מ לא פסיל, איבעית אימא: לפני התורף ורבנן, ואיבע"א: לאחר התורף ודברי הכל. </w:t>
      </w:r>
      <w:r>
        <w:rPr>
          <w:rFonts w:cs="Arial"/>
          <w:u w:val="single"/>
          <w:rtl/>
        </w:rPr>
        <w:t>ורבא אמר</w:t>
      </w:r>
      <w:r>
        <w:rPr>
          <w:rFonts w:cs="Arial"/>
          <w:rtl/>
        </w:rPr>
        <w:t xml:space="preserve">: מחלוקת </w:t>
      </w:r>
      <w:r w:rsidR="00A82951">
        <w:rPr>
          <w:rFonts w:cs="Arial"/>
          <w:rtl/>
        </w:rPr>
        <w:t>-</w:t>
      </w:r>
      <w:r>
        <w:rPr>
          <w:rFonts w:cs="Arial"/>
          <w:rtl/>
        </w:rPr>
        <w:t xml:space="preserve"> לאחר התורף, דרבי סבר: גזרינן אטו לפני התורף, ורבנן סברי: לא גזרינן אטו לפני התורף, אבל לפני התורף </w:t>
      </w:r>
      <w:r w:rsidR="00A82951">
        <w:rPr>
          <w:rFonts w:cs="Arial"/>
          <w:rtl/>
        </w:rPr>
        <w:t>-</w:t>
      </w:r>
      <w:r>
        <w:rPr>
          <w:rFonts w:cs="Arial"/>
          <w:rtl/>
        </w:rPr>
        <w:t xml:space="preserve"> דברי הכל פסול</w:t>
      </w:r>
      <w:r>
        <w:rPr>
          <w:rStyle w:val="a7"/>
          <w:rFonts w:cs="Arial"/>
          <w:rtl/>
        </w:rPr>
        <w:footnoteReference w:id="2601"/>
      </w:r>
      <w:r>
        <w:rPr>
          <w:rFonts w:cs="Arial"/>
          <w:rtl/>
        </w:rPr>
        <w:t xml:space="preserve">; ומתני' דקתני כתבו ואוקימנא בחוץ, אבל על מנת לא פסיל </w:t>
      </w:r>
      <w:r w:rsidR="00A82951">
        <w:rPr>
          <w:rFonts w:cs="Arial"/>
          <w:rtl/>
        </w:rPr>
        <w:t>-</w:t>
      </w:r>
      <w:r>
        <w:rPr>
          <w:rFonts w:cs="Arial"/>
          <w:rtl/>
        </w:rPr>
        <w:t xml:space="preserve"> אחר התורף ורבנן היא.</w:t>
      </w:r>
    </w:p>
    <w:p w14:paraId="4621A013" w14:textId="5FFB2CA8" w:rsidR="00C97BEF" w:rsidRDefault="00C97BEF" w:rsidP="00C97BEF">
      <w:pPr>
        <w:rPr>
          <w:rFonts w:cs="Arial"/>
          <w:u w:val="single"/>
          <w:rtl/>
        </w:rPr>
      </w:pPr>
      <w:r>
        <w:rPr>
          <w:rFonts w:cs="Arial"/>
          <w:u w:val="single"/>
          <w:rtl/>
        </w:rPr>
        <w:t>כיצד נותנים גט על תנאי</w:t>
      </w:r>
      <w:r w:rsidR="00553491">
        <w:rPr>
          <w:rFonts w:cs="Arial" w:hint="cs"/>
          <w:u w:val="single"/>
          <w:rtl/>
        </w:rPr>
        <w:t xml:space="preserve"> שמותר להתנות בו</w:t>
      </w:r>
      <w:r>
        <w:rPr>
          <w:rFonts w:cs="Arial"/>
          <w:sz w:val="16"/>
          <w:szCs w:val="16"/>
          <w:u w:val="single"/>
          <w:rtl/>
        </w:rPr>
        <w:t xml:space="preserve"> (</w:t>
      </w:r>
      <w:r w:rsidR="00553491">
        <w:rPr>
          <w:rFonts w:cs="Arial" w:hint="cs"/>
          <w:sz w:val="16"/>
          <w:szCs w:val="16"/>
          <w:u w:val="single"/>
          <w:rtl/>
        </w:rPr>
        <w:t>היינו שאינו מבטל את הגט</w:t>
      </w:r>
      <w:r>
        <w:rPr>
          <w:rFonts w:cs="Arial"/>
          <w:sz w:val="16"/>
          <w:szCs w:val="16"/>
          <w:u w:val="single"/>
          <w:rtl/>
        </w:rPr>
        <w:t>)</w:t>
      </w:r>
      <w:r>
        <w:rPr>
          <w:rFonts w:cs="Arial"/>
          <w:u w:val="single"/>
          <w:rtl/>
        </w:rPr>
        <w:t>:</w:t>
      </w:r>
    </w:p>
    <w:p w14:paraId="1306E22E" w14:textId="41ED12AE" w:rsidR="00C97BEF" w:rsidRDefault="00C97BEF" w:rsidP="006A458D">
      <w:pPr>
        <w:pStyle w:val="ab"/>
        <w:numPr>
          <w:ilvl w:val="0"/>
          <w:numId w:val="124"/>
        </w:numPr>
        <w:rPr>
          <w:rFonts w:cs="Arial"/>
          <w:rtl/>
        </w:rPr>
      </w:pPr>
      <w:r>
        <w:rPr>
          <w:rFonts w:cs="Arial"/>
          <w:rtl/>
        </w:rPr>
        <w:t xml:space="preserve">רמב"ם </w:t>
      </w:r>
      <w:r>
        <w:rPr>
          <w:rFonts w:cs="Arial"/>
          <w:sz w:val="16"/>
          <w:szCs w:val="16"/>
          <w:rtl/>
        </w:rPr>
        <w:t>(פ"ח ה"ג)</w:t>
      </w:r>
      <w:r>
        <w:rPr>
          <w:rFonts w:cs="Arial"/>
          <w:rtl/>
        </w:rPr>
        <w:t xml:space="preserve"> וטור</w:t>
      </w:r>
      <w:r w:rsidR="00A82951">
        <w:rPr>
          <w:rFonts w:cs="Arial"/>
          <w:rtl/>
        </w:rPr>
        <w:t>-</w:t>
      </w:r>
      <w:r>
        <w:rPr>
          <w:rFonts w:cs="Arial"/>
          <w:rtl/>
        </w:rPr>
        <w:t xml:space="preserve"> כיצד מגרש אדם על תנאי, לא שיאמר </w:t>
      </w:r>
      <w:r w:rsidR="00C24FAA">
        <w:rPr>
          <w:rFonts w:cs="Arial"/>
          <w:rtl/>
        </w:rPr>
        <w:t>כ</w:t>
      </w:r>
      <w:r w:rsidR="00C24FAA">
        <w:rPr>
          <w:rFonts w:cs="Arial" w:hint="cs"/>
          <w:rtl/>
        </w:rPr>
        <w:t>ִּ</w:t>
      </w:r>
      <w:r w:rsidR="00C24FAA">
        <w:rPr>
          <w:rFonts w:cs="Arial"/>
          <w:rtl/>
        </w:rPr>
        <w:t>ת</w:t>
      </w:r>
      <w:r w:rsidR="00C24FAA">
        <w:rPr>
          <w:rFonts w:cs="Arial" w:hint="cs"/>
          <w:rtl/>
        </w:rPr>
        <w:t>ְ</w:t>
      </w:r>
      <w:r w:rsidR="00C24FAA">
        <w:rPr>
          <w:rFonts w:cs="Arial"/>
          <w:rtl/>
        </w:rPr>
        <w:t>בו</w:t>
      </w:r>
      <w:r w:rsidR="00C24FAA">
        <w:rPr>
          <w:rFonts w:cs="Arial" w:hint="cs"/>
          <w:rtl/>
        </w:rPr>
        <w:t>ּ</w:t>
      </w:r>
      <w:r w:rsidR="00C24FAA">
        <w:rPr>
          <w:rFonts w:cs="Arial"/>
          <w:rtl/>
        </w:rPr>
        <w:t xml:space="preserve"> </w:t>
      </w:r>
      <w:r>
        <w:rPr>
          <w:rFonts w:cs="Arial"/>
          <w:rtl/>
        </w:rPr>
        <w:t>גט לאשתי על תנאי, או כ</w:t>
      </w:r>
      <w:r w:rsidR="00C24FAA">
        <w:rPr>
          <w:rFonts w:cs="Arial" w:hint="cs"/>
          <w:rtl/>
        </w:rPr>
        <w:t>ִּ</w:t>
      </w:r>
      <w:r>
        <w:rPr>
          <w:rFonts w:cs="Arial"/>
          <w:rtl/>
        </w:rPr>
        <w:t>ת</w:t>
      </w:r>
      <w:r w:rsidR="00C24FAA">
        <w:rPr>
          <w:rFonts w:cs="Arial" w:hint="cs"/>
          <w:rtl/>
        </w:rPr>
        <w:t>ְ</w:t>
      </w:r>
      <w:r>
        <w:rPr>
          <w:rFonts w:cs="Arial"/>
          <w:rtl/>
        </w:rPr>
        <w:t>בו</w:t>
      </w:r>
      <w:r w:rsidR="00C24FAA">
        <w:rPr>
          <w:rFonts w:cs="Arial" w:hint="cs"/>
          <w:rtl/>
        </w:rPr>
        <w:t>ּ</w:t>
      </w:r>
      <w:r>
        <w:rPr>
          <w:rFonts w:cs="Arial"/>
          <w:rtl/>
        </w:rPr>
        <w:t xml:space="preserve"> ותנו לה על תנאי, ואין צריך לומר שלא יכתוב בתוך הגט על תנאי זה גירש פלוני את פלונית</w:t>
      </w:r>
      <w:r w:rsidR="00C24FAA">
        <w:rPr>
          <w:rFonts w:cs="Arial" w:hint="cs"/>
          <w:rtl/>
        </w:rPr>
        <w:t>.</w:t>
      </w:r>
      <w:r>
        <w:rPr>
          <w:rFonts w:cs="Arial"/>
          <w:rtl/>
        </w:rPr>
        <w:t xml:space="preserve"> אלא כיצד עושה, אומר לסופר לכתוב ולעדים לחתום וכותבין גט כשר בלא שום תנאי בעולם, וא</w:t>
      </w:r>
      <w:r w:rsidR="00C24FAA">
        <w:rPr>
          <w:rFonts w:cs="Arial" w:hint="cs"/>
          <w:rtl/>
        </w:rPr>
        <w:t>ח"</w:t>
      </w:r>
      <w:r>
        <w:rPr>
          <w:rFonts w:cs="Arial"/>
          <w:rtl/>
        </w:rPr>
        <w:t>כ נותן לה הגט ואומר לה הרי זה גיטיך או הרי את מגורשת בזה על מנת כך וכך. או יאמר להם או לשליח תנו לה גט זה על מנת כך וכך</w:t>
      </w:r>
      <w:r>
        <w:rPr>
          <w:rFonts w:cs="Arial"/>
          <w:sz w:val="16"/>
          <w:szCs w:val="16"/>
          <w:rtl/>
        </w:rPr>
        <w:t xml:space="preserve"> (ל' הרמב"ם)</w:t>
      </w:r>
      <w:r>
        <w:rPr>
          <w:rFonts w:cs="Arial"/>
          <w:rtl/>
        </w:rPr>
        <w:t xml:space="preserve">.  </w:t>
      </w:r>
      <w:r>
        <w:rPr>
          <w:rFonts w:cs="Arial"/>
          <w:color w:val="E36C0A" w:themeColor="accent6" w:themeShade="BF"/>
          <w:rtl/>
        </w:rPr>
        <w:t>(וכ"פ בשו"ע)</w:t>
      </w:r>
      <w:r w:rsidR="00C24FAA">
        <w:rPr>
          <w:rFonts w:cs="Arial" w:hint="cs"/>
          <w:rtl/>
        </w:rPr>
        <w:t xml:space="preserve"> </w:t>
      </w:r>
    </w:p>
    <w:p w14:paraId="0A1FBA0F" w14:textId="77777777" w:rsidR="00C97BEF" w:rsidRDefault="00C97BEF" w:rsidP="00C97BEF">
      <w:pPr>
        <w:ind w:left="360"/>
        <w:rPr>
          <w:rFonts w:cs="Arial"/>
          <w:rtl/>
        </w:rPr>
      </w:pPr>
      <w:r>
        <w:rPr>
          <w:u w:val="dotted"/>
          <w:rtl/>
        </w:rPr>
        <w:t xml:space="preserve">ומה הדין אם </w:t>
      </w:r>
      <w:r>
        <w:rPr>
          <w:b/>
          <w:bCs/>
          <w:u w:val="dotted"/>
          <w:rtl/>
        </w:rPr>
        <w:t>אמר</w:t>
      </w:r>
      <w:r>
        <w:rPr>
          <w:u w:val="dotted"/>
          <w:rtl/>
        </w:rPr>
        <w:t xml:space="preserve"> את התנאי לפני שסיים הסופר לכתוב את הגט:</w:t>
      </w:r>
    </w:p>
    <w:p w14:paraId="7E317F87" w14:textId="6FED9AB2"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ואם אמר אותו על פה לפני התורף </w:t>
      </w:r>
      <w:r w:rsidR="00A82951">
        <w:rPr>
          <w:rFonts w:cs="Arial"/>
          <w:rtl/>
        </w:rPr>
        <w:t>-</w:t>
      </w:r>
      <w:r>
        <w:rPr>
          <w:rFonts w:cs="Arial"/>
          <w:rtl/>
        </w:rPr>
        <w:t xml:space="preserve"> פסול, ולאחר התורף </w:t>
      </w:r>
      <w:r w:rsidR="00A82951">
        <w:rPr>
          <w:rFonts w:cs="Arial"/>
          <w:rtl/>
        </w:rPr>
        <w:t>-</w:t>
      </w:r>
      <w:r>
        <w:rPr>
          <w:rFonts w:cs="Arial"/>
          <w:rtl/>
        </w:rPr>
        <w:t xml:space="preserve"> כשר אם חזר ובטלו. </w:t>
      </w:r>
    </w:p>
    <w:p w14:paraId="4BF65315" w14:textId="45261B1D" w:rsidR="00C97BEF" w:rsidRDefault="00C97BEF" w:rsidP="006A458D">
      <w:pPr>
        <w:pStyle w:val="ab"/>
        <w:numPr>
          <w:ilvl w:val="0"/>
          <w:numId w:val="112"/>
        </w:numPr>
        <w:rPr>
          <w:rFonts w:cs="Arial"/>
        </w:rPr>
      </w:pPr>
      <w:r>
        <w:rPr>
          <w:rFonts w:cs="Arial"/>
          <w:rtl/>
        </w:rPr>
        <w:t xml:space="preserve">רמב"ם </w:t>
      </w:r>
      <w:r>
        <w:rPr>
          <w:rFonts w:cs="Arial"/>
          <w:sz w:val="16"/>
          <w:szCs w:val="16"/>
          <w:rtl/>
        </w:rPr>
        <w:t>(פ"ח ה"ד)</w:t>
      </w:r>
      <w:r w:rsidR="00A82951">
        <w:rPr>
          <w:rFonts w:cs="Arial"/>
          <w:rtl/>
        </w:rPr>
        <w:t>-</w:t>
      </w:r>
      <w:r>
        <w:rPr>
          <w:rFonts w:cs="Arial"/>
          <w:rtl/>
        </w:rPr>
        <w:t xml:space="preserve"> </w:t>
      </w:r>
      <w:r w:rsidR="008955A6" w:rsidRPr="008955A6">
        <w:rPr>
          <w:rFonts w:cs="Arial"/>
          <w:rtl/>
        </w:rPr>
        <w:t>אם כתבו קודם התורף אפילו כתב על מנת כך וכך הרי זה ספק גירושין</w:t>
      </w:r>
      <w:r w:rsidR="008955A6">
        <w:rPr>
          <w:rFonts w:cs="Arial" w:hint="cs"/>
          <w:rtl/>
        </w:rPr>
        <w:t>,</w:t>
      </w:r>
      <w:r w:rsidR="008955A6" w:rsidRPr="008955A6">
        <w:rPr>
          <w:rtl/>
        </w:rPr>
        <w:t xml:space="preserve"> </w:t>
      </w:r>
      <w:r w:rsidR="008955A6" w:rsidRPr="008955A6">
        <w:rPr>
          <w:rFonts w:cs="Arial"/>
          <w:rtl/>
        </w:rPr>
        <w:t>הרי נשאר לו זכות בגופו של גט</w:t>
      </w:r>
      <w:r w:rsidR="008955A6">
        <w:rPr>
          <w:rFonts w:cs="Arial" w:hint="cs"/>
          <w:rtl/>
        </w:rPr>
        <w:t>.</w:t>
      </w:r>
      <w:r w:rsidR="008955A6" w:rsidRPr="008955A6">
        <w:rPr>
          <w:rFonts w:cs="Arial"/>
          <w:rtl/>
        </w:rPr>
        <w:t xml:space="preserve"> </w:t>
      </w:r>
      <w:r>
        <w:rPr>
          <w:rFonts w:cs="Arial"/>
          <w:rtl/>
        </w:rPr>
        <w:t xml:space="preserve">וכן אם התנה על פה קודם כתיבת התורף </w:t>
      </w:r>
      <w:r w:rsidR="00A82951">
        <w:rPr>
          <w:rFonts w:cs="Arial"/>
          <w:rtl/>
        </w:rPr>
        <w:t>-</w:t>
      </w:r>
      <w:r>
        <w:rPr>
          <w:rFonts w:cs="Arial"/>
          <w:rtl/>
        </w:rPr>
        <w:t xml:space="preserve"> הרי זה ספק גירושין</w:t>
      </w:r>
      <w:r>
        <w:rPr>
          <w:rStyle w:val="a7"/>
          <w:rFonts w:cs="Arial"/>
          <w:rtl/>
        </w:rPr>
        <w:footnoteReference w:id="2602"/>
      </w:r>
      <w:r>
        <w:rPr>
          <w:rFonts w:cs="Arial"/>
          <w:rtl/>
        </w:rPr>
        <w:t>.</w:t>
      </w:r>
      <w:r>
        <w:rPr>
          <w:rFonts w:cs="Arial"/>
          <w:color w:val="E36C0A" w:themeColor="accent6" w:themeShade="BF"/>
          <w:rtl/>
        </w:rPr>
        <w:t xml:space="preserve"> (וכ"פ בשו"ע </w:t>
      </w:r>
      <w:r>
        <w:rPr>
          <w:rFonts w:cs="Arial"/>
          <w:color w:val="000000" w:themeColor="text1"/>
          <w:sz w:val="16"/>
          <w:szCs w:val="16"/>
          <w:rtl/>
        </w:rPr>
        <w:t>[בסע' ב]</w:t>
      </w:r>
      <w:r>
        <w:rPr>
          <w:rFonts w:cs="Arial"/>
          <w:color w:val="E36C0A" w:themeColor="accent6" w:themeShade="BF"/>
          <w:rtl/>
        </w:rPr>
        <w:t>)</w:t>
      </w:r>
    </w:p>
    <w:p w14:paraId="43DE1BFA" w14:textId="4410D658" w:rsidR="00C97BEF" w:rsidRDefault="00C97BEF" w:rsidP="006A458D">
      <w:pPr>
        <w:pStyle w:val="ab"/>
        <w:numPr>
          <w:ilvl w:val="0"/>
          <w:numId w:val="112"/>
        </w:numPr>
        <w:rPr>
          <w:rFonts w:cs="Arial"/>
        </w:rPr>
      </w:pPr>
      <w:r>
        <w:rPr>
          <w:rFonts w:cs="Arial"/>
          <w:rtl/>
        </w:rPr>
        <w:lastRenderedPageBreak/>
        <w:t>גאונים ר"י בהעי"ט רז"ה ראב"ד רמ"ה רמב"ן רשב"א ור"ן</w:t>
      </w:r>
      <w:r>
        <w:rPr>
          <w:rStyle w:val="a7"/>
          <w:rFonts w:cs="Arial"/>
          <w:rtl/>
        </w:rPr>
        <w:footnoteReference w:id="2603"/>
      </w:r>
      <w:r w:rsidR="00A82951">
        <w:rPr>
          <w:rFonts w:cs="Arial"/>
          <w:rtl/>
        </w:rPr>
        <w:t>-</w:t>
      </w:r>
      <w:r>
        <w:rPr>
          <w:rFonts w:cs="Arial"/>
          <w:rtl/>
        </w:rPr>
        <w:t xml:space="preserve"> בעל מנת אפילו לפני התורף כשר</w:t>
      </w:r>
      <w:r>
        <w:rPr>
          <w:rStyle w:val="a7"/>
          <w:rFonts w:cs="Arial"/>
          <w:rtl/>
        </w:rPr>
        <w:footnoteReference w:id="2604"/>
      </w:r>
      <w:r>
        <w:rPr>
          <w:rFonts w:cs="Arial"/>
          <w:rtl/>
        </w:rPr>
        <w:t xml:space="preserve">. </w:t>
      </w:r>
    </w:p>
    <w:p w14:paraId="3AE42D5F" w14:textId="006D915B" w:rsidR="00C97BEF" w:rsidRDefault="00C97BEF" w:rsidP="006A458D">
      <w:pPr>
        <w:pStyle w:val="ab"/>
        <w:numPr>
          <w:ilvl w:val="1"/>
          <w:numId w:val="112"/>
        </w:numPr>
        <w:rPr>
          <w:rFonts w:cs="Arial"/>
          <w:rtl/>
        </w:rPr>
      </w:pPr>
      <w:r>
        <w:rPr>
          <w:rFonts w:cs="Arial"/>
          <w:rtl/>
        </w:rPr>
        <w:t>ב"י</w:t>
      </w:r>
      <w:r w:rsidR="00A82951">
        <w:rPr>
          <w:rFonts w:cs="Arial"/>
          <w:rtl/>
        </w:rPr>
        <w:t>-</w:t>
      </w:r>
      <w:r>
        <w:rPr>
          <w:rFonts w:cs="Arial"/>
          <w:rtl/>
        </w:rPr>
        <w:t xml:space="preserve"> ולענין גט הנכתב על תנאי בעל פה ראיתי הלכה למעשה שהובא לפני מהר"ר אליה מזרחי ז"ל גט שהיה כתוב סתם כהלכתו אלא שבשטר שליחות היה כתוב 'והגט הנזכר נכתב על תנאי כך וכך...' ופסלו הרב הנ"ל, ואע"פ שהבעל הלך למדינת הים ולא היה אפשר להביא גט אחר ואע"פ שרבו הפוסקים המתירים אמר הרב ז"ל שלא היה רוצה לסמוך עליהם להקל. ונראה לי שהפריז על מדותיו, שמאחר שרבו המתירין כדאי הם לסמוך עליהם בדיעבד מיהא, וכל שכן בשעת הדחק, ואפילו אם היה במידי דאורייתא</w:t>
      </w:r>
      <w:r w:rsidR="00553491">
        <w:rPr>
          <w:rFonts w:cs="Arial" w:hint="cs"/>
          <w:rtl/>
        </w:rPr>
        <w:t>,</w:t>
      </w:r>
      <w:r>
        <w:rPr>
          <w:rFonts w:cs="Arial"/>
          <w:rtl/>
        </w:rPr>
        <w:t xml:space="preserve"> כל שכן בדבר זה שהוא דרבנן לדעת רוב המפרשים. </w:t>
      </w:r>
    </w:p>
    <w:p w14:paraId="5EAD7066" w14:textId="77777777" w:rsidR="00C97BEF" w:rsidRDefault="00C97BEF" w:rsidP="00C97BEF">
      <w:pPr>
        <w:ind w:left="360"/>
        <w:rPr>
          <w:u w:val="dotted"/>
          <w:rtl/>
        </w:rPr>
      </w:pPr>
      <w:r>
        <w:rPr>
          <w:u w:val="dotted"/>
          <w:rtl/>
        </w:rPr>
        <w:t xml:space="preserve">ומה הדין אם </w:t>
      </w:r>
      <w:r>
        <w:rPr>
          <w:b/>
          <w:bCs/>
          <w:u w:val="dotted"/>
          <w:rtl/>
        </w:rPr>
        <w:t>כתב</w:t>
      </w:r>
      <w:r>
        <w:rPr>
          <w:u w:val="dotted"/>
          <w:rtl/>
        </w:rPr>
        <w:t xml:space="preserve"> את התנאי בתוך הגט:</w:t>
      </w:r>
    </w:p>
    <w:p w14:paraId="3EBDDF8F" w14:textId="7F326FB8" w:rsidR="00C97BEF" w:rsidRDefault="00C97BEF" w:rsidP="006A458D">
      <w:pPr>
        <w:pStyle w:val="ab"/>
        <w:numPr>
          <w:ilvl w:val="0"/>
          <w:numId w:val="112"/>
        </w:numPr>
        <w:rPr>
          <w:rtl/>
        </w:rPr>
      </w:pPr>
      <w:r>
        <w:rPr>
          <w:rtl/>
        </w:rPr>
        <w:t xml:space="preserve">רש"י </w:t>
      </w:r>
      <w:r>
        <w:rPr>
          <w:sz w:val="16"/>
          <w:szCs w:val="16"/>
          <w:rtl/>
        </w:rPr>
        <w:t>(כ"כ הטור בשמו)</w:t>
      </w:r>
      <w:r w:rsidR="00A82951">
        <w:rPr>
          <w:rtl/>
        </w:rPr>
        <w:t>-</w:t>
      </w:r>
      <w:r>
        <w:rPr>
          <w:rtl/>
        </w:rPr>
        <w:t xml:space="preserve"> </w:t>
      </w:r>
      <w:r>
        <w:rPr>
          <w:rFonts w:cs="Arial"/>
          <w:rtl/>
        </w:rPr>
        <w:t>כל תנאי שנכתב בגט קודם התורף</w:t>
      </w:r>
      <w:r>
        <w:rPr>
          <w:rStyle w:val="a7"/>
          <w:rFonts w:cs="Arial"/>
          <w:rtl/>
        </w:rPr>
        <w:footnoteReference w:id="2605"/>
      </w:r>
      <w:r>
        <w:rPr>
          <w:rFonts w:cs="Arial"/>
          <w:rtl/>
        </w:rPr>
        <w:t xml:space="preserve"> </w:t>
      </w:r>
      <w:r w:rsidR="00A82951">
        <w:rPr>
          <w:rFonts w:cs="Arial"/>
          <w:rtl/>
        </w:rPr>
        <w:t>-</w:t>
      </w:r>
      <w:r>
        <w:rPr>
          <w:rFonts w:cs="Arial"/>
          <w:rtl/>
        </w:rPr>
        <w:t xml:space="preserve"> פסול אפי' אם נתקיים. ואם נכתב אחר התורף </w:t>
      </w:r>
      <w:r w:rsidR="00A82951">
        <w:rPr>
          <w:rFonts w:cs="Arial"/>
          <w:rtl/>
        </w:rPr>
        <w:t>-</w:t>
      </w:r>
      <w:r>
        <w:rPr>
          <w:rFonts w:cs="Arial"/>
          <w:rtl/>
        </w:rPr>
        <w:t xml:space="preserve"> כשר אם יתקיים. ומוסיף עליה תנאי דחוץ מפלוני, שאפי' אם כתבו אחר התורף </w:t>
      </w:r>
      <w:r w:rsidR="00A82951">
        <w:rPr>
          <w:rFonts w:cs="Arial"/>
          <w:rtl/>
        </w:rPr>
        <w:t>-</w:t>
      </w:r>
      <w:r>
        <w:rPr>
          <w:rFonts w:cs="Arial"/>
          <w:rtl/>
        </w:rPr>
        <w:t xml:space="preserve"> פסול אפי' אם חזר ומחקו</w:t>
      </w:r>
      <w:r>
        <w:rPr>
          <w:rFonts w:cs="Arial"/>
          <w:sz w:val="16"/>
          <w:szCs w:val="16"/>
          <w:rtl/>
        </w:rPr>
        <w:t xml:space="preserve"> (ל' הטור בשמו)</w:t>
      </w:r>
      <w:r>
        <w:rPr>
          <w:rFonts w:cs="Arial"/>
          <w:rtl/>
        </w:rPr>
        <w:t xml:space="preserve">. </w:t>
      </w:r>
    </w:p>
    <w:p w14:paraId="15363703" w14:textId="4807B2C8" w:rsidR="00C97BEF" w:rsidRDefault="00C97BEF" w:rsidP="006A458D">
      <w:pPr>
        <w:pStyle w:val="ab"/>
        <w:numPr>
          <w:ilvl w:val="0"/>
          <w:numId w:val="112"/>
        </w:numPr>
      </w:pPr>
      <w:r>
        <w:rPr>
          <w:rFonts w:cs="Arial"/>
          <w:rtl/>
        </w:rPr>
        <w:t xml:space="preserve">ר"י </w:t>
      </w:r>
      <w:r>
        <w:rPr>
          <w:rFonts w:cs="Arial"/>
          <w:sz w:val="16"/>
          <w:szCs w:val="16"/>
          <w:rtl/>
        </w:rPr>
        <w:t>(פד: ד"ה כל התנאים)</w:t>
      </w:r>
      <w:r w:rsidR="00A82951">
        <w:rPr>
          <w:rFonts w:cs="Arial"/>
          <w:rtl/>
        </w:rPr>
        <w:t>-</w:t>
      </w:r>
      <w:r>
        <w:rPr>
          <w:rFonts w:cs="Arial"/>
          <w:rtl/>
        </w:rPr>
        <w:t xml:space="preserve"> שאר כל תנאי, בר מחוץ מפלוני, אפי' נכתב קודם התורף, אם לא נמחק ונתקיים </w:t>
      </w:r>
      <w:r w:rsidR="00A82951">
        <w:rPr>
          <w:rFonts w:cs="Arial"/>
          <w:rtl/>
        </w:rPr>
        <w:t>-</w:t>
      </w:r>
      <w:r>
        <w:rPr>
          <w:rFonts w:cs="Arial"/>
          <w:rtl/>
        </w:rPr>
        <w:t xml:space="preserve"> כשר. אבל אם נכתב לפני התורף ונמחק </w:t>
      </w:r>
      <w:r w:rsidR="00A82951">
        <w:rPr>
          <w:rFonts w:cs="Arial"/>
          <w:rtl/>
        </w:rPr>
        <w:t>-</w:t>
      </w:r>
      <w:r>
        <w:rPr>
          <w:rFonts w:cs="Arial"/>
          <w:rtl/>
        </w:rPr>
        <w:t xml:space="preserve"> פסול אע"פ שבטלו, וכגון שלא נתקיים, דגזרינן אטו חוץ מפלוני, דבההיא לא מהניא ביה מחיקה כיון שלא נכתב לשם כריתות, והוא פסול אם נכתב בו אפילו אם נמחק. אבל לאחר התורף אין שאר תנאי פסול, אפילו אם נכתב בתוכו, אם נמחק, אפילו אם לא נתקיים, כיון שמבטלו</w:t>
      </w:r>
      <w:r>
        <w:rPr>
          <w:rStyle w:val="a7"/>
          <w:rFonts w:cs="Arial"/>
          <w:rtl/>
        </w:rPr>
        <w:footnoteReference w:id="2606"/>
      </w:r>
      <w:r>
        <w:rPr>
          <w:rFonts w:cs="Arial"/>
          <w:sz w:val="16"/>
          <w:szCs w:val="16"/>
          <w:rtl/>
        </w:rPr>
        <w:t xml:space="preserve"> (ל' הטור בשמו)</w:t>
      </w:r>
      <w:r>
        <w:rPr>
          <w:rFonts w:cs="Arial"/>
          <w:rtl/>
        </w:rPr>
        <w:t>.</w:t>
      </w:r>
    </w:p>
    <w:p w14:paraId="5BE91B32" w14:textId="006C0303" w:rsidR="00C97BEF" w:rsidRDefault="00C97BEF" w:rsidP="006A458D">
      <w:pPr>
        <w:pStyle w:val="ab"/>
        <w:numPr>
          <w:ilvl w:val="0"/>
          <w:numId w:val="112"/>
        </w:numPr>
        <w:rPr>
          <w:rFonts w:cs="Arial"/>
        </w:rPr>
      </w:pPr>
      <w:r>
        <w:rPr>
          <w:rFonts w:cs="Arial"/>
          <w:rtl/>
        </w:rPr>
        <w:t xml:space="preserve">רמב"ם </w:t>
      </w:r>
      <w:r>
        <w:rPr>
          <w:rFonts w:cs="Arial"/>
          <w:sz w:val="16"/>
          <w:szCs w:val="16"/>
          <w:rtl/>
        </w:rPr>
        <w:t>(פ"ח ה"ד)</w:t>
      </w:r>
      <w:r w:rsidR="00A82951">
        <w:rPr>
          <w:rFonts w:cs="Arial"/>
          <w:rtl/>
        </w:rPr>
        <w:t>-</w:t>
      </w:r>
      <w:r>
        <w:rPr>
          <w:rFonts w:cs="Arial"/>
          <w:rtl/>
        </w:rPr>
        <w:t xml:space="preserve"> כתב התנאי בגט אחר שגמר לכתוב תורף הגט </w:t>
      </w:r>
      <w:r w:rsidR="00A82951">
        <w:rPr>
          <w:rFonts w:cs="Arial"/>
          <w:rtl/>
        </w:rPr>
        <w:t>-</w:t>
      </w:r>
      <w:r>
        <w:rPr>
          <w:rFonts w:cs="Arial"/>
          <w:rtl/>
        </w:rPr>
        <w:t xml:space="preserve"> הרי זה כשר, בין שכתבו קודם חתימת העדים בין שכתבו אחר חתימת העדים, אבל אם כתבו קודם התורף, אפילו כתב על מנת כך וכך </w:t>
      </w:r>
      <w:r w:rsidR="00A82951">
        <w:rPr>
          <w:rFonts w:cs="Arial"/>
          <w:rtl/>
        </w:rPr>
        <w:t>-</w:t>
      </w:r>
      <w:r>
        <w:rPr>
          <w:rFonts w:cs="Arial"/>
          <w:rtl/>
        </w:rPr>
        <w:t xml:space="preserve"> הרי זה ספק גירושין, שהרי נשאר לו זכות בגופו של גט. </w:t>
      </w:r>
      <w:r>
        <w:rPr>
          <w:rFonts w:cs="Arial"/>
          <w:color w:val="E36C0A" w:themeColor="accent6" w:themeShade="BF"/>
          <w:rtl/>
        </w:rPr>
        <w:t xml:space="preserve">(וכ"פ בשו"ע </w:t>
      </w:r>
      <w:r>
        <w:rPr>
          <w:rFonts w:cs="Arial"/>
          <w:color w:val="000000" w:themeColor="text1"/>
          <w:sz w:val="16"/>
          <w:szCs w:val="16"/>
          <w:rtl/>
        </w:rPr>
        <w:t>[בסע' ב]</w:t>
      </w:r>
      <w:r>
        <w:rPr>
          <w:rFonts w:cs="Arial"/>
          <w:color w:val="E36C0A" w:themeColor="accent6" w:themeShade="BF"/>
          <w:rtl/>
        </w:rPr>
        <w:t>)</w:t>
      </w:r>
    </w:p>
    <w:p w14:paraId="18C53458" w14:textId="6F92949F" w:rsidR="00C97BEF" w:rsidRDefault="00C97BEF" w:rsidP="006A458D">
      <w:pPr>
        <w:pStyle w:val="ab"/>
        <w:numPr>
          <w:ilvl w:val="0"/>
          <w:numId w:val="112"/>
        </w:numPr>
      </w:pPr>
      <w:r>
        <w:rPr>
          <w:rFonts w:cs="Arial"/>
          <w:rtl/>
        </w:rPr>
        <w:t xml:space="preserve">רי"ף </w:t>
      </w:r>
      <w:r>
        <w:rPr>
          <w:rFonts w:cs="Arial"/>
          <w:sz w:val="16"/>
          <w:szCs w:val="16"/>
          <w:rtl/>
        </w:rPr>
        <w:t>(סי' לב)</w:t>
      </w:r>
      <w:r w:rsidR="00A82951">
        <w:rPr>
          <w:rFonts w:cs="Arial"/>
          <w:rtl/>
        </w:rPr>
        <w:t>-</w:t>
      </w:r>
      <w:r>
        <w:rPr>
          <w:rFonts w:cs="Arial"/>
          <w:rtl/>
        </w:rPr>
        <w:t xml:space="preserve"> הנותן גט ע"ת צריך שימסור הגט לאשה כדי שלא יוכל לבטלו ולא ימסור ליד שלישי ושטר התנאי ביד הבעל או ביד השליש, אבל לכתוב התנאי בתוך הגט או מאחריו </w:t>
      </w:r>
      <w:r w:rsidR="00A82951">
        <w:rPr>
          <w:rFonts w:cs="Arial"/>
          <w:rtl/>
        </w:rPr>
        <w:t>-</w:t>
      </w:r>
      <w:r>
        <w:rPr>
          <w:rFonts w:cs="Arial"/>
          <w:rtl/>
        </w:rPr>
        <w:t xml:space="preserve"> אינו רשאי</w:t>
      </w:r>
      <w:r>
        <w:rPr>
          <w:rStyle w:val="a7"/>
          <w:rFonts w:cs="Arial"/>
          <w:rtl/>
        </w:rPr>
        <w:footnoteReference w:id="2607"/>
      </w:r>
      <w:r>
        <w:rPr>
          <w:rFonts w:cs="Arial"/>
          <w:rtl/>
        </w:rPr>
        <w:t xml:space="preserve"> שאם כתבו בתוכו ה"ל לבעל זכות בגוה ואינו כריתות, ואם בא הבעל בתוך הזמן אפילו ריח הגט אין בו.</w:t>
      </w:r>
    </w:p>
    <w:p w14:paraId="6075CC03" w14:textId="77777777" w:rsidR="00C97BEF" w:rsidRDefault="00C97BEF" w:rsidP="00C97BEF">
      <w:pPr>
        <w:rPr>
          <w:u w:val="single"/>
        </w:rPr>
      </w:pPr>
      <w:r>
        <w:rPr>
          <w:u w:val="single"/>
          <w:rtl/>
        </w:rPr>
        <w:t xml:space="preserve">המגרש על תנאי שאסור להתנות </w:t>
      </w:r>
      <w:r>
        <w:rPr>
          <w:sz w:val="16"/>
          <w:szCs w:val="16"/>
          <w:u w:val="single"/>
          <w:rtl/>
        </w:rPr>
        <w:t>(משום שמבטל את הגט)</w:t>
      </w:r>
      <w:r>
        <w:rPr>
          <w:u w:val="single"/>
          <w:rtl/>
        </w:rPr>
        <w:t>:</w:t>
      </w:r>
    </w:p>
    <w:p w14:paraId="22208A33" w14:textId="00337859" w:rsidR="00C97BEF" w:rsidRDefault="00C97BEF" w:rsidP="006A458D">
      <w:pPr>
        <w:pStyle w:val="ab"/>
        <w:numPr>
          <w:ilvl w:val="0"/>
          <w:numId w:val="112"/>
        </w:numPr>
        <w:rPr>
          <w:rFonts w:cs="Arial"/>
        </w:rPr>
      </w:pPr>
      <w:r>
        <w:rPr>
          <w:rFonts w:cs="Arial"/>
          <w:rtl/>
        </w:rPr>
        <w:t xml:space="preserve">רמב"ם </w:t>
      </w:r>
      <w:r>
        <w:rPr>
          <w:rFonts w:cs="Arial"/>
          <w:sz w:val="16"/>
          <w:szCs w:val="16"/>
          <w:rtl/>
        </w:rPr>
        <w:t>(פ"ח הט"ז)</w:t>
      </w:r>
      <w:r w:rsidR="00A82951">
        <w:rPr>
          <w:rFonts w:cs="Arial"/>
          <w:rtl/>
        </w:rPr>
        <w:t>-</w:t>
      </w:r>
      <w:r>
        <w:rPr>
          <w:rFonts w:cs="Arial"/>
          <w:rtl/>
        </w:rPr>
        <w:t xml:space="preserve"> כל המגרש על תנאי שמבטל הגט, כגון שהתנה עליה שלא תשתה יין כל ימי חייה, או שתהיה מותרת לכל אדם חוץ מפלוני, או שהתנה שאר תנאים קודם כתיבת התורף</w:t>
      </w:r>
      <w:r>
        <w:rPr>
          <w:rStyle w:val="a7"/>
          <w:rFonts w:cs="Arial"/>
          <w:rtl/>
        </w:rPr>
        <w:footnoteReference w:id="2608"/>
      </w:r>
      <w:r>
        <w:rPr>
          <w:rFonts w:cs="Arial"/>
          <w:rtl/>
        </w:rPr>
        <w:t xml:space="preserve">, אם היה התנאי כתוב בגט וחזר ומחקו ונתנו לה </w:t>
      </w:r>
      <w:r w:rsidR="00A82951">
        <w:rPr>
          <w:rFonts w:cs="Arial"/>
          <w:rtl/>
        </w:rPr>
        <w:t>-</w:t>
      </w:r>
      <w:r>
        <w:rPr>
          <w:rFonts w:cs="Arial"/>
          <w:rtl/>
        </w:rPr>
        <w:t xml:space="preserve"> הרי זו ספק מגורשת. ואם היה התנאי על פה</w:t>
      </w:r>
      <w:r>
        <w:rPr>
          <w:rStyle w:val="a7"/>
          <w:rFonts w:cs="Arial"/>
          <w:rtl/>
        </w:rPr>
        <w:footnoteReference w:id="2609"/>
      </w:r>
      <w:r>
        <w:rPr>
          <w:rFonts w:cs="Arial"/>
          <w:rtl/>
        </w:rPr>
        <w:t xml:space="preserve"> </w:t>
      </w:r>
      <w:r w:rsidR="00A82951">
        <w:rPr>
          <w:rFonts w:cs="Arial"/>
          <w:rtl/>
        </w:rPr>
        <w:t>-</w:t>
      </w:r>
      <w:r>
        <w:rPr>
          <w:rFonts w:cs="Arial"/>
          <w:rtl/>
        </w:rPr>
        <w:t xml:space="preserve"> הרי זה נוטל הגט ממנה וחוזר ונותנו לה בתנאי כשר או בלא תנאי כלל. </w:t>
      </w:r>
      <w:r>
        <w:rPr>
          <w:rFonts w:cs="Arial"/>
          <w:color w:val="E36C0A" w:themeColor="accent6" w:themeShade="BF"/>
          <w:rtl/>
        </w:rPr>
        <w:t>(וכ"פ בשו"ע</w:t>
      </w:r>
      <w:r>
        <w:rPr>
          <w:rFonts w:cs="Arial"/>
          <w:color w:val="E36C0A" w:themeColor="accent6" w:themeShade="BF"/>
          <w:sz w:val="16"/>
          <w:szCs w:val="16"/>
          <w:rtl/>
        </w:rPr>
        <w:t xml:space="preserve"> </w:t>
      </w:r>
      <w:r>
        <w:rPr>
          <w:rFonts w:cs="Arial"/>
          <w:color w:val="000000" w:themeColor="text1"/>
          <w:sz w:val="16"/>
          <w:szCs w:val="16"/>
          <w:rtl/>
        </w:rPr>
        <w:t>[בסע' ג]</w:t>
      </w:r>
      <w:r>
        <w:rPr>
          <w:rFonts w:cs="Arial"/>
          <w:color w:val="E36C0A" w:themeColor="accent6" w:themeShade="BF"/>
          <w:rtl/>
        </w:rPr>
        <w:t>)</w:t>
      </w:r>
    </w:p>
    <w:p w14:paraId="55628AB6" w14:textId="77777777" w:rsidR="00C97BEF" w:rsidRDefault="00C97BEF" w:rsidP="00C97BEF">
      <w:pPr>
        <w:rPr>
          <w:rFonts w:cs="Arial"/>
          <w:u w:val="single"/>
        </w:rPr>
      </w:pPr>
      <w:r>
        <w:rPr>
          <w:rFonts w:cs="Arial"/>
          <w:u w:val="single"/>
          <w:rtl/>
        </w:rPr>
        <w:lastRenderedPageBreak/>
        <w:t>גט שהיה כתוב 'מעכשיו אם מתי מחולי זה' קודם התורף, ולא נכפל, וחזר וכתב אחר התורף 'אם לא מתי...':</w:t>
      </w:r>
    </w:p>
    <w:p w14:paraId="40704D32" w14:textId="3001EFE3" w:rsidR="00C97BEF" w:rsidRDefault="00C97BEF" w:rsidP="006A458D">
      <w:pPr>
        <w:pStyle w:val="ab"/>
        <w:numPr>
          <w:ilvl w:val="0"/>
          <w:numId w:val="112"/>
        </w:numPr>
      </w:pPr>
      <w:r>
        <w:rPr>
          <w:rFonts w:cs="Arial"/>
          <w:rtl/>
        </w:rPr>
        <w:t>טור</w:t>
      </w:r>
      <w:r w:rsidR="00A82951">
        <w:rPr>
          <w:rFonts w:cs="Arial"/>
          <w:rtl/>
        </w:rPr>
        <w:t>-</w:t>
      </w:r>
      <w:r>
        <w:rPr>
          <w:rFonts w:cs="Arial"/>
          <w:rtl/>
        </w:rPr>
        <w:t xml:space="preserve"> וכתב א"א הרא"ש ז"ל בתשו' </w:t>
      </w:r>
      <w:r>
        <w:rPr>
          <w:rFonts w:cs="Arial"/>
          <w:sz w:val="16"/>
          <w:szCs w:val="16"/>
          <w:rtl/>
        </w:rPr>
        <w:t xml:space="preserve">(כלל מו סי' א) </w:t>
      </w:r>
      <w:r>
        <w:rPr>
          <w:rFonts w:cs="Arial"/>
          <w:rtl/>
        </w:rPr>
        <w:t xml:space="preserve">פי' זה </w:t>
      </w:r>
      <w:r>
        <w:rPr>
          <w:rFonts w:cs="Arial"/>
          <w:sz w:val="16"/>
          <w:szCs w:val="16"/>
          <w:rtl/>
        </w:rPr>
        <w:t xml:space="preserve">{של ר"י} </w:t>
      </w:r>
      <w:r>
        <w:rPr>
          <w:rFonts w:cs="Arial"/>
          <w:rtl/>
        </w:rPr>
        <w:t>נאה ומקובל אלא שלא מלאני לבי להקל כי ראיתי שהחמיר בו הרמב"ם</w:t>
      </w:r>
      <w:r>
        <w:rPr>
          <w:rFonts w:cs="Arial"/>
          <w:sz w:val="16"/>
          <w:szCs w:val="16"/>
          <w:rtl/>
        </w:rPr>
        <w:t xml:space="preserve"> (פ"ח ה"ג</w:t>
      </w:r>
      <w:r w:rsidR="00A82951">
        <w:rPr>
          <w:rFonts w:cs="Arial"/>
          <w:sz w:val="16"/>
          <w:szCs w:val="16"/>
          <w:rtl/>
        </w:rPr>
        <w:t>-</w:t>
      </w:r>
      <w:r>
        <w:rPr>
          <w:rFonts w:cs="Arial"/>
          <w:sz w:val="16"/>
          <w:szCs w:val="16"/>
          <w:rtl/>
        </w:rPr>
        <w:t>ד, הט"ז)</w:t>
      </w:r>
      <w:r>
        <w:rPr>
          <w:rFonts w:cs="Arial"/>
          <w:rtl/>
        </w:rPr>
        <w:t>... ומ"מ הורה א"א הרא"ש ז"ל הלכה למעשה בגט שהיה כתוב 'מעכשיו אם מתי מחולי זה' קודם התורף, ולא נכפל, וחזר וכתב אחר התורף 'אם לא מתי לא יהא גט ואם מתי יהא גט מעת שאני בעולם' והכשירו משום דלא חשיב תנאי מה שכתוב 'מעכשיו אם מתי מחולי זה', אלא הוה כאומר מעת שאני בעולם מעכשיו ושעה א' קודם למיתתו, דהכי מפרש ליה תלמודא</w:t>
      </w:r>
      <w:r>
        <w:rPr>
          <w:rStyle w:val="a7"/>
          <w:rFonts w:cs="Arial"/>
          <w:rtl/>
        </w:rPr>
        <w:footnoteReference w:id="2610"/>
      </w:r>
      <w:r>
        <w:rPr>
          <w:rFonts w:cs="Arial"/>
          <w:rtl/>
        </w:rPr>
        <w:t xml:space="preserve"> נעשה כאומר מעת שאני בעולם, והוי כאומר לאשתו ה"ז גיטך לאחר ל' יום דלא חשיב תנאה. ואפילו את"ל תנאה הוי, כיון שלא נכפל </w:t>
      </w:r>
      <w:r w:rsidR="00A82951">
        <w:rPr>
          <w:rFonts w:cs="Arial"/>
          <w:rtl/>
        </w:rPr>
        <w:t>-</w:t>
      </w:r>
      <w:r>
        <w:rPr>
          <w:rFonts w:cs="Arial"/>
          <w:rtl/>
        </w:rPr>
        <w:t xml:space="preserve"> לית ליה דינא דתנאה והגט קיים אע"פ שלא נתקיים התנאי. נמצא שאין כאן תנאי קודם התורף, ולכך כפלו התנאי אחר התורף. וכ"ש דאפילו תנאה ליכא אלא קביעות זמן למתי יחול. הילכך הגט כשר</w:t>
      </w:r>
      <w:r>
        <w:rPr>
          <w:rStyle w:val="a7"/>
          <w:rFonts w:cs="Arial"/>
          <w:rtl/>
        </w:rPr>
        <w:footnoteReference w:id="2611"/>
      </w:r>
      <w:r>
        <w:rPr>
          <w:rFonts w:cs="Arial"/>
          <w:rtl/>
        </w:rPr>
        <w:t>.</w:t>
      </w:r>
    </w:p>
    <w:p w14:paraId="2F4E5247" w14:textId="77777777" w:rsidR="00C97BEF" w:rsidRDefault="00C97BEF" w:rsidP="00C97BEF">
      <w:pPr>
        <w:rPr>
          <w:u w:val="single"/>
        </w:rPr>
      </w:pPr>
      <w:r>
        <w:rPr>
          <w:u w:val="single"/>
          <w:rtl/>
        </w:rPr>
        <w:t xml:space="preserve">המגרש על תנאי שאינו יכול להתקיים </w:t>
      </w:r>
      <w:r>
        <w:rPr>
          <w:sz w:val="16"/>
          <w:szCs w:val="16"/>
          <w:u w:val="single"/>
          <w:rtl/>
        </w:rPr>
        <w:t>(מבחינת המציאות/ההלכה)</w:t>
      </w:r>
      <w:r>
        <w:rPr>
          <w:u w:val="single"/>
          <w:rtl/>
        </w:rPr>
        <w:t xml:space="preserve"> וכתבו קודם התורף:</w:t>
      </w:r>
    </w:p>
    <w:p w14:paraId="6AB742D6" w14:textId="016204E1" w:rsidR="00C97BEF" w:rsidRDefault="00C97BEF" w:rsidP="006A458D">
      <w:pPr>
        <w:pStyle w:val="ab"/>
        <w:numPr>
          <w:ilvl w:val="0"/>
          <w:numId w:val="112"/>
        </w:numPr>
      </w:pPr>
      <w:r>
        <w:rPr>
          <w:rFonts w:cs="Arial"/>
          <w:rtl/>
        </w:rPr>
        <w:t xml:space="preserve">רשב"א </w:t>
      </w:r>
      <w:r>
        <w:rPr>
          <w:rFonts w:cs="Arial"/>
          <w:sz w:val="16"/>
          <w:szCs w:val="16"/>
          <w:rtl/>
        </w:rPr>
        <w:t>(פד: ד"ה וחוץ או ע"מ)</w:t>
      </w:r>
      <w:r w:rsidR="00A82951">
        <w:rPr>
          <w:rFonts w:cs="Arial"/>
          <w:rtl/>
        </w:rPr>
        <w:t>-</w:t>
      </w:r>
      <w:r>
        <w:rPr>
          <w:rFonts w:cs="Arial"/>
          <w:rtl/>
        </w:rPr>
        <w:t xml:space="preserve"> וחוץ או על מנת שאמרנו שפוסלים בגט, דוקא כשאומר חוץ מן הכשרים לה או שיש להם קידושין בה, אבל חוץ מאבא ואביך וכל מי שאין עליה קידושין </w:t>
      </w:r>
      <w:r w:rsidR="00A82951">
        <w:rPr>
          <w:rFonts w:cs="Arial"/>
          <w:rtl/>
        </w:rPr>
        <w:t>-</w:t>
      </w:r>
      <w:r>
        <w:rPr>
          <w:rFonts w:cs="Arial"/>
          <w:rtl/>
        </w:rPr>
        <w:t xml:space="preserve"> אינו שיור ואע"פ שלא מחקו, כמו שהם מפורשים במשנתינו (פה.) ובגמרא שעליה. וכן אם התנה עליה בין בכתב בין בעל פה ואפילו לפני התורף בתנאי שאי אפשר לקיימו </w:t>
      </w:r>
      <w:r w:rsidR="00A82951">
        <w:rPr>
          <w:rFonts w:cs="Arial"/>
          <w:rtl/>
        </w:rPr>
        <w:t>-</w:t>
      </w:r>
      <w:r>
        <w:rPr>
          <w:rFonts w:cs="Arial"/>
          <w:rtl/>
        </w:rPr>
        <w:t xml:space="preserve"> אינו פוסל, דתנאי זה כמי שאינו, וכדתניא בתוספתא (דגיטין סוף פ"ה) על מנת שתעלי לרקיע וכו', ואפילו לפני התורף כשר דלאו תנאי הוא כלל וליכא למיגזר אטו חוץ.</w:t>
      </w:r>
    </w:p>
    <w:p w14:paraId="138BEBCE"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9E1EC10" w14:textId="77777777" w:rsidR="00C97BEF" w:rsidRDefault="00C97BEF" w:rsidP="00C97BEF">
      <w:pPr>
        <w:rPr>
          <w:rtl/>
        </w:rPr>
      </w:pPr>
      <w:r>
        <w:rPr>
          <w:rFonts w:cs="Arial"/>
          <w:rtl/>
        </w:rPr>
        <w:t xml:space="preserve">כיצד מגרש אדם על תנאי, לא שיאמר: כתבו גט לאשתי על תנאי זה, או כתבו ותנו לה על תנאי זה, ואין צריך לומר שלא יכתוב בתוך הגט: על תנאי זה גירש פלוני את פלונית, אלא כיצד עושה, אומר לסופר לכתוב, ולעדים לחתום, וכותבים גט כשר בלא שום תנאי בעולם, ואחר כך נותן לה הגט ואומר לה: הרי זה גיטיך או הרי את מגורשת ממני על מנת כך וכך, או יאמר לשליח: תנו לה גט זה על מנת כך וכך. </w:t>
      </w:r>
    </w:p>
    <w:p w14:paraId="6B2A24C9" w14:textId="157E3D29" w:rsidR="00C97BEF" w:rsidRDefault="00C97BEF" w:rsidP="00C97BEF">
      <w:pPr>
        <w:rPr>
          <w:rtl/>
        </w:rPr>
      </w:pPr>
      <w:r>
        <w:rPr>
          <w:u w:val="single"/>
          <w:rtl/>
        </w:rPr>
        <w:t>מי שחייב לצאת לדרך לפני שנכתב הגט ורוצה</w:t>
      </w:r>
      <w:r w:rsidR="0022581D">
        <w:rPr>
          <w:rFonts w:hint="cs"/>
          <w:u w:val="single"/>
          <w:rtl/>
        </w:rPr>
        <w:t xml:space="preserve"> </w:t>
      </w:r>
      <w:r>
        <w:rPr>
          <w:u w:val="single"/>
          <w:rtl/>
        </w:rPr>
        <w:t>לתת את הגט על תנאי:</w:t>
      </w:r>
    </w:p>
    <w:p w14:paraId="4AD22057" w14:textId="0CDAA389" w:rsidR="00C97BEF" w:rsidRDefault="00C97BEF" w:rsidP="006A458D">
      <w:pPr>
        <w:pStyle w:val="ab"/>
        <w:numPr>
          <w:ilvl w:val="0"/>
          <w:numId w:val="112"/>
        </w:numPr>
        <w:rPr>
          <w:rtl/>
        </w:rPr>
      </w:pPr>
      <w:r>
        <w:rPr>
          <w:rFonts w:cs="Arial"/>
          <w:rtl/>
        </w:rPr>
        <w:t xml:space="preserve">רש"ך בשם מהריב"ל </w:t>
      </w:r>
      <w:r>
        <w:rPr>
          <w:rFonts w:cs="Arial"/>
          <w:sz w:val="16"/>
          <w:szCs w:val="16"/>
          <w:rtl/>
        </w:rPr>
        <w:t>(הביאו הב"ש סק"א)</w:t>
      </w:r>
      <w:r w:rsidR="00A82951">
        <w:rPr>
          <w:rFonts w:cs="Arial"/>
          <w:rtl/>
        </w:rPr>
        <w:t>-</w:t>
      </w:r>
      <w:r>
        <w:rPr>
          <w:rFonts w:cs="Arial"/>
          <w:rtl/>
        </w:rPr>
        <w:t xml:space="preserve"> ואם הוא ירט לדרכו ומוכרח לילך קודם כתיבת הגט ורוצה לצוות שיכתבו גט וליתן לשליח על התנאי אז יצוה שיכתבו ויתנו ליד השליח זה ולא יזכיר שום תנאי ואח</w:t>
      </w:r>
      <w:r w:rsidR="0022581D">
        <w:rPr>
          <w:rFonts w:cs="Arial" w:hint="cs"/>
          <w:rtl/>
        </w:rPr>
        <w:t>"</w:t>
      </w:r>
      <w:r>
        <w:rPr>
          <w:rFonts w:cs="Arial"/>
          <w:rtl/>
        </w:rPr>
        <w:t>כ יאמר לשליח זה לפני עדים אחרי</w:t>
      </w:r>
      <w:r w:rsidR="0022581D">
        <w:rPr>
          <w:rFonts w:cs="Arial" w:hint="cs"/>
          <w:rtl/>
        </w:rPr>
        <w:t>ם:</w:t>
      </w:r>
      <w:r>
        <w:rPr>
          <w:rFonts w:cs="Arial"/>
          <w:rtl/>
        </w:rPr>
        <w:t xml:space="preserve"> אותו גט שצוויתי ליתן לידך ואתה תתן לה לאשתי ע"מ כך וכך</w:t>
      </w:r>
      <w:r w:rsidR="0022581D">
        <w:rPr>
          <w:rFonts w:cs="Arial" w:hint="cs"/>
          <w:rtl/>
        </w:rPr>
        <w:t>.</w:t>
      </w:r>
      <w:r>
        <w:rPr>
          <w:rFonts w:cs="Arial"/>
          <w:rtl/>
        </w:rPr>
        <w:t xml:space="preserve"> והסופר והעדי</w:t>
      </w:r>
      <w:r w:rsidR="0022581D">
        <w:rPr>
          <w:rFonts w:cs="Arial" w:hint="cs"/>
          <w:rtl/>
        </w:rPr>
        <w:t>ם</w:t>
      </w:r>
      <w:r>
        <w:rPr>
          <w:rFonts w:cs="Arial"/>
          <w:rtl/>
        </w:rPr>
        <w:t xml:space="preserve"> לא ידעו מזה כלל. </w:t>
      </w:r>
      <w:r>
        <w:rPr>
          <w:rtl/>
        </w:rPr>
        <w:t xml:space="preserve"> </w:t>
      </w:r>
    </w:p>
    <w:p w14:paraId="7A2F840A" w14:textId="77777777" w:rsidR="00C97BEF" w:rsidRDefault="00C97BEF" w:rsidP="00C97BEF">
      <w:pPr>
        <w:rPr>
          <w:rtl/>
        </w:rPr>
      </w:pPr>
    </w:p>
    <w:p w14:paraId="0BE97D0E" w14:textId="77777777" w:rsidR="00C97BEF" w:rsidRDefault="00C97BEF" w:rsidP="00C97BEF">
      <w:pPr>
        <w:pStyle w:val="2"/>
        <w:rPr>
          <w:rtl/>
        </w:rPr>
      </w:pPr>
      <w:r>
        <w:rPr>
          <w:rtl/>
        </w:rPr>
        <w:t>סעיף ב: תנאי שכתוב בגט, או שנאמר על פה קודם כתיבת התורף.</w:t>
      </w:r>
    </w:p>
    <w:p w14:paraId="176F3AA9" w14:textId="77777777" w:rsidR="00C97BEF" w:rsidRDefault="00C97BEF" w:rsidP="00C97BEF">
      <w:pPr>
        <w:rPr>
          <w:rtl/>
        </w:rPr>
      </w:pPr>
      <w:r>
        <w:rPr>
          <w:rtl/>
        </w:rPr>
        <w:t>עיין במקורות בסעיף א.</w:t>
      </w:r>
    </w:p>
    <w:p w14:paraId="212A1E31"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7D50B80" w14:textId="77777777" w:rsidR="00C97BEF" w:rsidRDefault="00C97BEF" w:rsidP="00C97BEF">
      <w:pPr>
        <w:rPr>
          <w:rtl/>
        </w:rPr>
      </w:pPr>
      <w:r>
        <w:rPr>
          <w:rFonts w:cs="Arial"/>
          <w:rtl/>
        </w:rPr>
        <w:lastRenderedPageBreak/>
        <w:t>כתב התנאי בגט אחר שגמר לכתוב תורף</w:t>
      </w:r>
      <w:r>
        <w:rPr>
          <w:rStyle w:val="a7"/>
          <w:rFonts w:cs="Arial"/>
          <w:rtl/>
        </w:rPr>
        <w:footnoteReference w:id="2612"/>
      </w:r>
      <w:r>
        <w:rPr>
          <w:rFonts w:cs="Arial"/>
          <w:rtl/>
        </w:rPr>
        <w:t xml:space="preserve"> הגט, הרי זה כשר, בין שכתבו קודם חתימת העדים בין שכתבו אחר חתימת העדים. אבל אם כתבו קודם תורף הגט, אפילו כתב על מנת כך וכך, הרי זה ספק גירושין, שהרי נשאר לו זכות בגופו של גט. וכן אם התנה על פה קודם כתיבת התורף, הרי זה ספק גירושין. </w:t>
      </w:r>
    </w:p>
    <w:p w14:paraId="73271533" w14:textId="77777777" w:rsidR="00C97BEF" w:rsidRDefault="00C97BEF" w:rsidP="00C97BEF">
      <w:pPr>
        <w:rPr>
          <w:rtl/>
        </w:rPr>
      </w:pPr>
    </w:p>
    <w:p w14:paraId="3D652E5A" w14:textId="77777777" w:rsidR="00C97BEF" w:rsidRDefault="00C97BEF" w:rsidP="00C97BEF">
      <w:pPr>
        <w:pStyle w:val="2"/>
        <w:rPr>
          <w:rtl/>
        </w:rPr>
      </w:pPr>
      <w:r>
        <w:rPr>
          <w:rtl/>
        </w:rPr>
        <w:t>סעיף ג: המגרש על תנאי שמבטל את הגט.</w:t>
      </w:r>
    </w:p>
    <w:p w14:paraId="6DB01107" w14:textId="77777777" w:rsidR="00C97BEF" w:rsidRDefault="00C97BEF" w:rsidP="00C97BEF">
      <w:pPr>
        <w:rPr>
          <w:rtl/>
        </w:rPr>
      </w:pPr>
      <w:r>
        <w:rPr>
          <w:rtl/>
        </w:rPr>
        <w:t>עיין במקורות בסעיף א.</w:t>
      </w:r>
    </w:p>
    <w:p w14:paraId="168A2DAF"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E075B08" w14:textId="77777777" w:rsidR="00C97BEF" w:rsidRDefault="00C97BEF" w:rsidP="00C97BEF">
      <w:pPr>
        <w:rPr>
          <w:rtl/>
        </w:rPr>
      </w:pPr>
      <w:r>
        <w:rPr>
          <w:rFonts w:cs="Arial"/>
          <w:rtl/>
        </w:rPr>
        <w:t>כל מגרש על תנאי שמבטל הגט, כגון שהתנה לה שלא תאכל בשר ולא תשתה יין כל ימי חייה, או שתהיה מותרת לכל אדם חוץ מפלוני, או שהתנה עליה שאר תנאים קודם כתיבת התורף, אם היה התנאי כתוב בגט וחזר ומחקו ונתנו לה, הרי זה ספק מגורשת. ואם היה התנאי על פה, הרי זה נוטל הגט ממנה וחוזר ונותנו לה בלא תנאי כלל, או בתנאי כשר.</w:t>
      </w:r>
    </w:p>
    <w:p w14:paraId="0B3C0E30" w14:textId="77777777" w:rsidR="00C97BEF" w:rsidRDefault="00C97BEF" w:rsidP="00C97BEF">
      <w:pPr>
        <w:bidi w:val="0"/>
        <w:spacing w:after="0"/>
        <w:rPr>
          <w:rtl/>
        </w:rPr>
        <w:sectPr w:rsidR="00C97BEF">
          <w:headerReference w:type="default" r:id="rId40"/>
          <w:footnotePr>
            <w:numRestart w:val="eachSect"/>
          </w:footnotePr>
          <w:pgSz w:w="11906" w:h="16838"/>
          <w:pgMar w:top="720" w:right="1134" w:bottom="720" w:left="1134" w:header="0" w:footer="0" w:gutter="0"/>
          <w:cols w:space="720"/>
          <w:bidi/>
          <w:rtlGutter/>
        </w:sectPr>
      </w:pPr>
    </w:p>
    <w:p w14:paraId="19F8F778" w14:textId="074725E5" w:rsidR="00C97BEF" w:rsidRDefault="00C97BEF" w:rsidP="00C97BEF">
      <w:pPr>
        <w:pStyle w:val="1"/>
        <w:rPr>
          <w:rtl/>
        </w:rPr>
      </w:pPr>
      <w:r>
        <w:rPr>
          <w:rtl/>
        </w:rPr>
        <w:lastRenderedPageBreak/>
        <w:t xml:space="preserve">סימן קמח: </w:t>
      </w:r>
      <w:r>
        <w:rPr>
          <w:rFonts w:cs="Arial"/>
          <w:rtl/>
        </w:rPr>
        <w:t xml:space="preserve">דין המגרש בגט ישן והמגרש בתנאי, ושלא יתיחד עמה, ובו ב' סעיפים. </w:t>
      </w:r>
    </w:p>
    <w:p w14:paraId="7F3A7AA0" w14:textId="3AC088A6" w:rsidR="00C97BEF" w:rsidRDefault="00C97BEF" w:rsidP="00C97BEF">
      <w:pPr>
        <w:pStyle w:val="2"/>
        <w:rPr>
          <w:rtl/>
        </w:rPr>
      </w:pPr>
      <w:r>
        <w:rPr>
          <w:rtl/>
        </w:rPr>
        <w:t xml:space="preserve">סעיף א: גט ישן. </w:t>
      </w:r>
    </w:p>
    <w:p w14:paraId="017F49A2" w14:textId="5797E1F8" w:rsidR="00C97BEF" w:rsidRDefault="00C97BEF" w:rsidP="00C97BEF">
      <w:pPr>
        <w:rPr>
          <w:rFonts w:cs="Arial"/>
          <w:rtl/>
        </w:rPr>
      </w:pPr>
      <w:r>
        <w:rPr>
          <w:rFonts w:cs="Arial"/>
          <w:b/>
          <w:bCs/>
          <w:rtl/>
        </w:rPr>
        <w:t xml:space="preserve">גיטין </w:t>
      </w:r>
      <w:r>
        <w:rPr>
          <w:rFonts w:cs="Arial"/>
          <w:b/>
          <w:bCs/>
          <w:sz w:val="16"/>
          <w:szCs w:val="16"/>
          <w:rtl/>
        </w:rPr>
        <w:t>(פ' הזורק)</w:t>
      </w:r>
      <w:r>
        <w:rPr>
          <w:rFonts w:cs="Arial"/>
          <w:b/>
          <w:bCs/>
          <w:rtl/>
        </w:rPr>
        <w:t xml:space="preserve"> עט ע"ב:</w:t>
      </w:r>
      <w:r>
        <w:rPr>
          <w:rtl/>
        </w:rPr>
        <w:t xml:space="preserve"> </w:t>
      </w:r>
      <w:r>
        <w:rPr>
          <w:rFonts w:cs="Arial"/>
          <w:u w:val="double"/>
          <w:rtl/>
        </w:rPr>
        <w:t>מתני'</w:t>
      </w:r>
      <w:r>
        <w:rPr>
          <w:rFonts w:cs="Arial"/>
          <w:rtl/>
        </w:rPr>
        <w:t xml:space="preserve">: </w:t>
      </w:r>
      <w:r>
        <w:rPr>
          <w:rFonts w:cs="Arial"/>
          <w:u w:val="single"/>
          <w:rtl/>
        </w:rPr>
        <w:t>ב"ש אומרים</w:t>
      </w:r>
      <w:r>
        <w:rPr>
          <w:rFonts w:cs="Arial"/>
          <w:rtl/>
        </w:rPr>
        <w:t xml:space="preserve">: פוטר אדם אשתו בגט ישן, </w:t>
      </w:r>
      <w:r>
        <w:rPr>
          <w:rFonts w:cs="Arial"/>
          <w:u w:val="single"/>
          <w:rtl/>
        </w:rPr>
        <w:t>ובית הלל</w:t>
      </w:r>
      <w:r>
        <w:rPr>
          <w:rFonts w:cs="Arial"/>
          <w:rtl/>
        </w:rPr>
        <w:t xml:space="preserve"> אוסרין. ואיזהו גט ישן? כל שנתייחד עמה מאחר שכתבו לה.          </w:t>
      </w:r>
      <w:r>
        <w:rPr>
          <w:rFonts w:cs="Arial"/>
          <w:u w:val="double"/>
          <w:rtl/>
        </w:rPr>
        <w:t>גמ'</w:t>
      </w:r>
      <w:r>
        <w:rPr>
          <w:rFonts w:cs="Arial"/>
          <w:rtl/>
        </w:rPr>
        <w:t>: במאי קמיפלגי? ב"ש סברי, לא אמרינן גזרה שמא יאמרו גיטה קודם לבנה</w:t>
      </w:r>
      <w:r>
        <w:rPr>
          <w:rStyle w:val="a7"/>
          <w:rFonts w:cs="Arial"/>
          <w:rtl/>
        </w:rPr>
        <w:footnoteReference w:id="2613"/>
      </w:r>
      <w:r>
        <w:rPr>
          <w:rFonts w:cs="Arial"/>
          <w:rtl/>
        </w:rPr>
        <w:t xml:space="preserve">. וב"ה סברי, אמרינן גזרה שמא יאמרו גיטה קודם לבנה. </w:t>
      </w:r>
      <w:r>
        <w:rPr>
          <w:rFonts w:cs="Arial"/>
          <w:u w:val="single"/>
          <w:rtl/>
        </w:rPr>
        <w:t>א"ר אבא אמר שמואל</w:t>
      </w:r>
      <w:r>
        <w:rPr>
          <w:rFonts w:cs="Arial"/>
          <w:rtl/>
        </w:rPr>
        <w:t xml:space="preserve">: אם נישאת </w:t>
      </w:r>
      <w:r w:rsidR="00A82951">
        <w:rPr>
          <w:rFonts w:cs="Arial"/>
          <w:rtl/>
        </w:rPr>
        <w:t>-</w:t>
      </w:r>
      <w:r>
        <w:rPr>
          <w:rFonts w:cs="Arial"/>
          <w:rtl/>
        </w:rPr>
        <w:t xml:space="preserve"> לא תצא. </w:t>
      </w:r>
      <w:r>
        <w:rPr>
          <w:rFonts w:cs="Arial"/>
          <w:u w:val="dotted"/>
          <w:rtl/>
        </w:rPr>
        <w:t>ואיכא דאמרי</w:t>
      </w:r>
      <w:r>
        <w:rPr>
          <w:rFonts w:cs="Arial"/>
          <w:rtl/>
        </w:rPr>
        <w:t xml:space="preserve">, </w:t>
      </w:r>
      <w:r>
        <w:rPr>
          <w:rFonts w:cs="Arial"/>
          <w:u w:val="single"/>
          <w:rtl/>
        </w:rPr>
        <w:t>א"ר אבא אמר שמואל</w:t>
      </w:r>
      <w:r>
        <w:rPr>
          <w:rFonts w:cs="Arial"/>
          <w:rtl/>
        </w:rPr>
        <w:t>: אם נתגרשה</w:t>
      </w:r>
      <w:r>
        <w:rPr>
          <w:rStyle w:val="a7"/>
          <w:rFonts w:cs="Arial"/>
          <w:rtl/>
        </w:rPr>
        <w:footnoteReference w:id="2614"/>
      </w:r>
      <w:r>
        <w:rPr>
          <w:rFonts w:cs="Arial"/>
          <w:rtl/>
        </w:rPr>
        <w:t xml:space="preserve"> </w:t>
      </w:r>
      <w:r w:rsidR="00A82951">
        <w:rPr>
          <w:rFonts w:cs="Arial"/>
          <w:rtl/>
        </w:rPr>
        <w:t>-</w:t>
      </w:r>
      <w:r>
        <w:rPr>
          <w:rFonts w:cs="Arial"/>
          <w:rtl/>
        </w:rPr>
        <w:t xml:space="preserve"> תינשא לכתחלה. </w:t>
      </w:r>
      <w:r>
        <w:rPr>
          <w:rFonts w:cs="Arial"/>
          <w:sz w:val="16"/>
          <w:szCs w:val="16"/>
          <w:rtl/>
        </w:rPr>
        <w:t>(וכתב הרא"ש (סי' ח) והלכתא כלישנא בתרא דאם נתגרשה תנשא לכתחלה. וכן פסק הרמב"ם בפ"ג מהלכות גירושין (ה"ה). ומצאתי לרש"י (שם ד"ה אם נתגרשה) שפירש אם נתגרשה בגט ישן והלך בעלה למדינת הים תנשא לכתחלה. משמע מדבריו דהיכא דאפשר מצריכינן גט אחר, ולא משמע הכי מדברי הרמב"ם, ב"י)</w:t>
      </w:r>
    </w:p>
    <w:p w14:paraId="0B3888EC" w14:textId="77777777" w:rsidR="00C97BEF" w:rsidRDefault="00C97BEF" w:rsidP="00C97BEF">
      <w:pPr>
        <w:rPr>
          <w:u w:val="single"/>
          <w:rtl/>
        </w:rPr>
      </w:pPr>
      <w:r>
        <w:rPr>
          <w:u w:val="single"/>
          <w:rtl/>
        </w:rPr>
        <w:t>גט ישן:</w:t>
      </w:r>
    </w:p>
    <w:p w14:paraId="12E97AA3" w14:textId="2D81D1F3" w:rsidR="00C97BEF" w:rsidRDefault="00C97BEF" w:rsidP="006A458D">
      <w:pPr>
        <w:pStyle w:val="ab"/>
        <w:numPr>
          <w:ilvl w:val="0"/>
          <w:numId w:val="123"/>
        </w:numPr>
        <w:rPr>
          <w:rtl/>
        </w:rPr>
      </w:pPr>
      <w:r>
        <w:rPr>
          <w:rFonts w:cs="Arial"/>
          <w:rtl/>
        </w:rPr>
        <w:t xml:space="preserve">רמב"ם </w:t>
      </w:r>
      <w:r>
        <w:rPr>
          <w:rFonts w:cs="Arial"/>
          <w:sz w:val="16"/>
          <w:szCs w:val="16"/>
          <w:rtl/>
        </w:rPr>
        <w:t>(פ"ג ה"ה)</w:t>
      </w:r>
      <w:r w:rsidR="00A82951">
        <w:rPr>
          <w:rFonts w:cs="Arial"/>
          <w:rtl/>
        </w:rPr>
        <w:t>-</w:t>
      </w:r>
      <w:r>
        <w:rPr>
          <w:rFonts w:cs="Arial"/>
          <w:rtl/>
        </w:rPr>
        <w:t xml:space="preserve"> מי שכתב גט לגרש את אשתו ונמלך ולא גירשה ונתיחד עמה אחר שכתבו לה </w:t>
      </w:r>
      <w:r w:rsidR="00A82951">
        <w:rPr>
          <w:rFonts w:cs="Arial"/>
          <w:rtl/>
        </w:rPr>
        <w:t>-</w:t>
      </w:r>
      <w:r>
        <w:rPr>
          <w:rFonts w:cs="Arial"/>
          <w:rtl/>
        </w:rPr>
        <w:t xml:space="preserve"> לא יגרשנה באותו הגט פעם אחרת כשירצה לגרשה. ואם גירשה באותו הגט הישן </w:t>
      </w:r>
      <w:r w:rsidR="00A82951">
        <w:rPr>
          <w:rFonts w:cs="Arial"/>
          <w:rtl/>
        </w:rPr>
        <w:t>-</w:t>
      </w:r>
      <w:r>
        <w:rPr>
          <w:rFonts w:cs="Arial"/>
          <w:rtl/>
        </w:rPr>
        <w:t xml:space="preserve"> הרי זו מגורשת ותנשא בו לכתחלה, שהרי נכתב לשמה והרי נתן לה עתה בעדים כהלכתו. ולמה לא יגרש בו לכתחלה, גזרה שמא יאמרו גיטה קודם לבנה. </w:t>
      </w:r>
      <w:r>
        <w:rPr>
          <w:color w:val="E36C0A" w:themeColor="accent6" w:themeShade="BF"/>
          <w:rtl/>
        </w:rPr>
        <w:t>(וכ"ס בשו"ע)</w:t>
      </w:r>
    </w:p>
    <w:p w14:paraId="22128756" w14:textId="3BFB3E59" w:rsidR="00C97BEF" w:rsidRDefault="00C97BEF" w:rsidP="006A458D">
      <w:pPr>
        <w:pStyle w:val="ab"/>
        <w:numPr>
          <w:ilvl w:val="0"/>
          <w:numId w:val="123"/>
        </w:numPr>
      </w:pPr>
      <w:r>
        <w:rPr>
          <w:rtl/>
        </w:rPr>
        <w:t>טור</w:t>
      </w:r>
      <w:r w:rsidR="00A82951">
        <w:rPr>
          <w:rtl/>
        </w:rPr>
        <w:t>-</w:t>
      </w:r>
      <w:r>
        <w:rPr>
          <w:rtl/>
        </w:rPr>
        <w:t xml:space="preserve"> </w:t>
      </w:r>
      <w:r>
        <w:rPr>
          <w:rFonts w:cs="Arial"/>
          <w:rtl/>
        </w:rPr>
        <w:t xml:space="preserve">לא יפטור אדם את אשתו בגט ישן. ונקרא גט ישן כל שנתייחד עמה בין כתיבה לנתינה. ואם נתגרשה בו </w:t>
      </w:r>
      <w:r w:rsidR="00A82951">
        <w:rPr>
          <w:rFonts w:cs="Arial"/>
          <w:rtl/>
        </w:rPr>
        <w:t>-</w:t>
      </w:r>
      <w:r>
        <w:rPr>
          <w:rFonts w:cs="Arial"/>
          <w:rtl/>
        </w:rPr>
        <w:t xml:space="preserve"> תינשא לכתחלה, והוא שנתן הגט מידו לידה כדפרישית לעיל</w:t>
      </w:r>
      <w:r>
        <w:rPr>
          <w:rStyle w:val="a7"/>
          <w:rFonts w:cs="Arial"/>
          <w:rtl/>
        </w:rPr>
        <w:footnoteReference w:id="2615"/>
      </w:r>
      <w:r>
        <w:rPr>
          <w:rFonts w:cs="Arial"/>
          <w:rtl/>
        </w:rPr>
        <w:t xml:space="preserve">. </w:t>
      </w:r>
    </w:p>
    <w:p w14:paraId="3BDEAE58"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68D33BB9" w14:textId="77777777" w:rsidR="00C97BEF" w:rsidRDefault="00C97BEF" w:rsidP="00C97BEF">
      <w:pPr>
        <w:rPr>
          <w:rtl/>
        </w:rPr>
      </w:pPr>
      <w:r>
        <w:rPr>
          <w:rFonts w:cs="Arial"/>
          <w:rtl/>
        </w:rPr>
        <w:t>מי שכתב לגרש את אשתו, ונמלך ולא גירשה, ונתייחד עמה אחר שכתבו, לא יגרשנה באותו הגט פעם אחרת כשירצה לגרשה. ואם גירשה</w:t>
      </w:r>
      <w:r>
        <w:rPr>
          <w:rStyle w:val="a7"/>
          <w:rFonts w:cs="Arial"/>
          <w:rtl/>
        </w:rPr>
        <w:footnoteReference w:id="2616"/>
      </w:r>
      <w:r>
        <w:rPr>
          <w:rFonts w:cs="Arial"/>
          <w:rtl/>
        </w:rPr>
        <w:t xml:space="preserve"> באותו הגט הישן, הרי זו מגורשת ותנשא בו לכתחלה, שהרי נכתב לשמה והרי נתן לה עתה בעדים כהלכתו. ולמה לא יגרשנו בו לכתחלה, גזירה שמא יאמרו גיטה קודם לבנה. ויש אומרים דהני מילי כשהגט ביד הבעל ומסרו מידו לידה, אבל אם שלחו לה על ידי שליח, ונתייחד עמה אחר שנתנו ליד השליח, ונתנו לה השליח, לא תנשא בו, ואם נשאת, לא תצא. </w:t>
      </w:r>
    </w:p>
    <w:p w14:paraId="0AA710F6" w14:textId="77777777" w:rsidR="00C97BEF" w:rsidRDefault="00C97BEF" w:rsidP="00C97BEF">
      <w:pPr>
        <w:rPr>
          <w:rtl/>
        </w:rPr>
      </w:pPr>
    </w:p>
    <w:p w14:paraId="46425E4C" w14:textId="77777777" w:rsidR="00C97BEF" w:rsidRDefault="00C97BEF" w:rsidP="00C97BEF">
      <w:pPr>
        <w:pStyle w:val="2"/>
        <w:rPr>
          <w:rtl/>
        </w:rPr>
      </w:pPr>
      <w:r>
        <w:rPr>
          <w:rtl/>
        </w:rPr>
        <w:t>סעיף ב: ייחוד לאחר שגירש על תנאי</w:t>
      </w:r>
      <w:r>
        <w:rPr>
          <w:sz w:val="18"/>
          <w:szCs w:val="18"/>
          <w:rtl/>
        </w:rPr>
        <w:t xml:space="preserve"> (ועדיין לא נתקיים התנאי)</w:t>
      </w:r>
      <w:r>
        <w:rPr>
          <w:rtl/>
        </w:rPr>
        <w:t>.</w:t>
      </w:r>
    </w:p>
    <w:p w14:paraId="7B285489" w14:textId="5D511B6C" w:rsidR="00C97BEF" w:rsidRDefault="00C97BEF" w:rsidP="00C97BEF">
      <w:pPr>
        <w:rPr>
          <w:rFonts w:cs="Arial"/>
          <w:rtl/>
        </w:rPr>
      </w:pPr>
      <w:r>
        <w:rPr>
          <w:rFonts w:cs="Arial"/>
          <w:b/>
          <w:bCs/>
          <w:rtl/>
        </w:rPr>
        <w:t xml:space="preserve">גיטין </w:t>
      </w:r>
      <w:r>
        <w:rPr>
          <w:rFonts w:cs="Arial"/>
          <w:b/>
          <w:bCs/>
          <w:sz w:val="16"/>
          <w:szCs w:val="16"/>
          <w:rtl/>
        </w:rPr>
        <w:t>(פ' מי שאחזו)</w:t>
      </w:r>
      <w:r>
        <w:rPr>
          <w:rFonts w:cs="Arial"/>
          <w:b/>
          <w:bCs/>
          <w:rtl/>
        </w:rPr>
        <w:t xml:space="preserve"> עג ע"א:</w:t>
      </w:r>
      <w:r>
        <w:rPr>
          <w:rtl/>
        </w:rPr>
        <w:t xml:space="preserve"> </w:t>
      </w:r>
      <w:r>
        <w:rPr>
          <w:rFonts w:cs="Arial"/>
          <w:u w:val="double"/>
          <w:rtl/>
        </w:rPr>
        <w:t>מתני'</w:t>
      </w:r>
      <w:r>
        <w:rPr>
          <w:rFonts w:cs="Arial"/>
          <w:rtl/>
        </w:rPr>
        <w:t xml:space="preserve">: </w:t>
      </w:r>
      <w:r>
        <w:rPr>
          <w:rStyle w:val="a7"/>
          <w:rFonts w:cs="Arial"/>
          <w:rtl/>
        </w:rPr>
        <w:footnoteReference w:id="2617"/>
      </w:r>
      <w:r>
        <w:rPr>
          <w:rFonts w:cs="Arial"/>
          <w:rtl/>
        </w:rPr>
        <w:t>לא תתייחד עמו</w:t>
      </w:r>
      <w:r>
        <w:rPr>
          <w:rStyle w:val="a7"/>
          <w:rFonts w:cs="Arial"/>
          <w:rtl/>
        </w:rPr>
        <w:footnoteReference w:id="2618"/>
      </w:r>
      <w:r>
        <w:rPr>
          <w:rFonts w:cs="Arial"/>
          <w:rtl/>
        </w:rPr>
        <w:t xml:space="preserve"> אלא בפני עדים</w:t>
      </w:r>
      <w:r>
        <w:rPr>
          <w:rStyle w:val="a7"/>
          <w:rFonts w:cs="Arial"/>
          <w:rtl/>
        </w:rPr>
        <w:footnoteReference w:id="2619"/>
      </w:r>
      <w:r>
        <w:rPr>
          <w:rFonts w:cs="Arial"/>
          <w:rtl/>
        </w:rPr>
        <w:t xml:space="preserve">, אפי' על פי עבד אפי' ע"פ שפחה, חוץ משפחתה, מפני שלבה גס בה בשפחתה. מה היא באותן הימים? </w:t>
      </w:r>
      <w:r>
        <w:rPr>
          <w:rFonts w:cs="Arial"/>
          <w:u w:val="single"/>
          <w:rtl/>
        </w:rPr>
        <w:t>רבי יהודה אומר</w:t>
      </w:r>
      <w:r>
        <w:rPr>
          <w:rFonts w:cs="Arial"/>
          <w:rtl/>
        </w:rPr>
        <w:t>:</w:t>
      </w:r>
      <w:r w:rsidR="007E03DA">
        <w:rPr>
          <w:rFonts w:cs="Arial" w:hint="cs"/>
          <w:sz w:val="14"/>
          <w:szCs w:val="14"/>
          <w:rtl/>
        </w:rPr>
        <w:t xml:space="preserve"> (עג:)</w:t>
      </w:r>
      <w:r>
        <w:rPr>
          <w:rFonts w:cs="Arial"/>
          <w:rtl/>
        </w:rPr>
        <w:t xml:space="preserve"> כאשת איש</w:t>
      </w:r>
      <w:r>
        <w:rPr>
          <w:rStyle w:val="a7"/>
          <w:rFonts w:cs="Arial"/>
          <w:rtl/>
        </w:rPr>
        <w:footnoteReference w:id="2620"/>
      </w:r>
      <w:r>
        <w:rPr>
          <w:rFonts w:cs="Arial"/>
          <w:rtl/>
        </w:rPr>
        <w:t xml:space="preserve"> לכל דבריה, </w:t>
      </w:r>
      <w:r>
        <w:rPr>
          <w:rFonts w:cs="Arial"/>
          <w:u w:val="single"/>
          <w:rtl/>
        </w:rPr>
        <w:t>רבי יוסי אומר</w:t>
      </w:r>
      <w:r>
        <w:rPr>
          <w:rFonts w:cs="Arial"/>
          <w:rtl/>
        </w:rPr>
        <w:t xml:space="preserve">: מגורשת ואינה מגורשת.         </w:t>
      </w:r>
      <w:r>
        <w:rPr>
          <w:rFonts w:cs="Arial"/>
          <w:u w:val="double"/>
          <w:rtl/>
        </w:rPr>
        <w:t>גמ'</w:t>
      </w:r>
      <w:r>
        <w:rPr>
          <w:rFonts w:cs="Arial"/>
          <w:rtl/>
        </w:rPr>
        <w:t>: מה היא באותן הימים? רבי יהודה אומר: כאשת איש לכל דבריה, ר' יוסי אומר: מגורשת ואינה מגורשת. תנא: ובלבד שימות</w:t>
      </w:r>
      <w:r>
        <w:rPr>
          <w:rStyle w:val="a7"/>
          <w:rFonts w:cs="Arial"/>
          <w:rtl/>
        </w:rPr>
        <w:footnoteReference w:id="2621"/>
      </w:r>
      <w:r>
        <w:rPr>
          <w:rFonts w:cs="Arial"/>
          <w:rtl/>
        </w:rPr>
        <w:t>. ולכי מיית הוי גיטא</w:t>
      </w:r>
      <w:r>
        <w:rPr>
          <w:rStyle w:val="a7"/>
          <w:rFonts w:cs="Arial"/>
          <w:rtl/>
        </w:rPr>
        <w:footnoteReference w:id="2622"/>
      </w:r>
      <w:r>
        <w:rPr>
          <w:rFonts w:cs="Arial"/>
          <w:rtl/>
        </w:rPr>
        <w:t xml:space="preserve">? והא קיימא לן דאין גט לאחר מיתה! </w:t>
      </w:r>
      <w:r>
        <w:rPr>
          <w:rFonts w:cs="Arial"/>
          <w:u w:val="single"/>
          <w:rtl/>
        </w:rPr>
        <w:lastRenderedPageBreak/>
        <w:t>אמר רבה</w:t>
      </w:r>
      <w:r>
        <w:rPr>
          <w:rStyle w:val="a7"/>
          <w:rFonts w:cs="Arial"/>
          <w:rtl/>
        </w:rPr>
        <w:footnoteReference w:id="2623"/>
      </w:r>
      <w:r>
        <w:rPr>
          <w:rFonts w:cs="Arial"/>
          <w:rtl/>
        </w:rPr>
        <w:t>: באומר מעת שאני בעולם. תנו רבנן: ימים שבינתים</w:t>
      </w:r>
      <w:r>
        <w:rPr>
          <w:rStyle w:val="a7"/>
          <w:rFonts w:cs="Arial"/>
          <w:rtl/>
        </w:rPr>
        <w:footnoteReference w:id="2624"/>
      </w:r>
      <w:r>
        <w:rPr>
          <w:rFonts w:cs="Arial"/>
          <w:rtl/>
        </w:rPr>
        <w:t xml:space="preserve"> </w:t>
      </w:r>
      <w:r w:rsidR="00A82951">
        <w:rPr>
          <w:rFonts w:cs="Arial"/>
          <w:rtl/>
        </w:rPr>
        <w:t>-</w:t>
      </w:r>
      <w:r>
        <w:rPr>
          <w:rFonts w:cs="Arial"/>
          <w:rtl/>
        </w:rPr>
        <w:t xml:space="preserve"> בעלה זכאי במציאתה ובמעשה ידיה ובהפרת נדריה, ויורשה</w:t>
      </w:r>
      <w:r>
        <w:rPr>
          <w:sz w:val="14"/>
          <w:szCs w:val="14"/>
          <w:rtl/>
        </w:rPr>
        <w:t xml:space="preserve"> (עד.) </w:t>
      </w:r>
      <w:r>
        <w:rPr>
          <w:rFonts w:cs="Arial"/>
          <w:rtl/>
        </w:rPr>
        <w:t>ומטמא לה</w:t>
      </w:r>
      <w:r>
        <w:rPr>
          <w:rStyle w:val="a7"/>
          <w:rFonts w:cs="Arial"/>
          <w:rtl/>
        </w:rPr>
        <w:footnoteReference w:id="2625"/>
      </w:r>
      <w:r>
        <w:rPr>
          <w:rFonts w:cs="Arial"/>
          <w:rtl/>
        </w:rPr>
        <w:t xml:space="preserve">, כללו של דבר: הרי היא כאשתו לכל דבר </w:t>
      </w:r>
      <w:r w:rsidR="00A82951">
        <w:rPr>
          <w:rFonts w:cs="Arial"/>
          <w:rtl/>
        </w:rPr>
        <w:t>-</w:t>
      </w:r>
      <w:r>
        <w:rPr>
          <w:rFonts w:cs="Arial"/>
          <w:rtl/>
        </w:rPr>
        <w:t xml:space="preserve"> אלא שאינה צריכה הימנו גט שני</w:t>
      </w:r>
      <w:r>
        <w:rPr>
          <w:rStyle w:val="a7"/>
          <w:rFonts w:cs="Arial"/>
          <w:rtl/>
        </w:rPr>
        <w:footnoteReference w:id="2626"/>
      </w:r>
      <w:r>
        <w:rPr>
          <w:rFonts w:cs="Arial"/>
          <w:rtl/>
        </w:rPr>
        <w:t xml:space="preserve">, </w:t>
      </w:r>
      <w:r>
        <w:rPr>
          <w:rFonts w:cs="Arial"/>
          <w:u w:val="single"/>
          <w:rtl/>
        </w:rPr>
        <w:t>דברי ר' יהודה</w:t>
      </w:r>
      <w:r>
        <w:rPr>
          <w:rFonts w:cs="Arial"/>
          <w:rtl/>
        </w:rPr>
        <w:t xml:space="preserve">. </w:t>
      </w:r>
      <w:r>
        <w:rPr>
          <w:rFonts w:cs="Arial"/>
          <w:u w:val="single"/>
          <w:rtl/>
        </w:rPr>
        <w:t>ר"מ אומר</w:t>
      </w:r>
      <w:r>
        <w:rPr>
          <w:rFonts w:cs="Arial"/>
          <w:rtl/>
        </w:rPr>
        <w:t xml:space="preserve">: בעילתה תלויה. </w:t>
      </w:r>
      <w:r>
        <w:rPr>
          <w:rFonts w:cs="Arial"/>
          <w:u w:val="single"/>
          <w:rtl/>
        </w:rPr>
        <w:t>ר' יוסי אומר</w:t>
      </w:r>
      <w:r>
        <w:rPr>
          <w:rFonts w:cs="Arial"/>
          <w:rtl/>
        </w:rPr>
        <w:t xml:space="preserve">: בעילתה ספק. </w:t>
      </w:r>
      <w:r>
        <w:rPr>
          <w:rFonts w:cs="Arial"/>
          <w:u w:val="single"/>
          <w:rtl/>
        </w:rPr>
        <w:t>וחכ"א</w:t>
      </w:r>
      <w:r>
        <w:rPr>
          <w:rFonts w:cs="Arial"/>
          <w:rtl/>
        </w:rPr>
        <w:t>: [מגורשת ואינה מגורשת]</w:t>
      </w:r>
      <w:r>
        <w:rPr>
          <w:rStyle w:val="a7"/>
          <w:rFonts w:cs="Arial"/>
          <w:rtl/>
        </w:rPr>
        <w:footnoteReference w:id="2627"/>
      </w:r>
      <w:r>
        <w:rPr>
          <w:rFonts w:cs="Arial"/>
          <w:rtl/>
        </w:rPr>
        <w:t xml:space="preserve">, ובלבד שימות. מאי איכא בין ר"מ לרבי יוסי? </w:t>
      </w:r>
      <w:r>
        <w:rPr>
          <w:rFonts w:cs="Arial"/>
          <w:u w:val="single"/>
          <w:rtl/>
        </w:rPr>
        <w:t>אמר רבי יוחנן</w:t>
      </w:r>
      <w:r>
        <w:rPr>
          <w:rFonts w:cs="Arial"/>
          <w:rtl/>
        </w:rPr>
        <w:t>: אשם תלוי איכא בינייהו, לר"מ לא מייתי אשם תלוי, ולר' יוסי מייתי אשם תלוי. וחכ"א: מגורשת ואינה מגורשת. חכמים היינו רבי יוסי! איכא בינייהו דרבי זירא</w:t>
      </w:r>
      <w:r>
        <w:rPr>
          <w:rStyle w:val="a7"/>
          <w:rFonts w:cs="Arial"/>
          <w:rtl/>
        </w:rPr>
        <w:footnoteReference w:id="2628"/>
      </w:r>
      <w:r>
        <w:rPr>
          <w:rFonts w:cs="Arial"/>
          <w:rtl/>
        </w:rPr>
        <w:t xml:space="preserve">, דאמר רבי זירא אמר רבה בר ירמיה אמר שמואל: כל מקום שאמרו חכמים מגורשת ואינה מגורשת </w:t>
      </w:r>
      <w:r w:rsidR="00A82951">
        <w:rPr>
          <w:rFonts w:cs="Arial"/>
          <w:rtl/>
        </w:rPr>
        <w:t>-</w:t>
      </w:r>
      <w:r>
        <w:rPr>
          <w:rFonts w:cs="Arial"/>
          <w:rtl/>
        </w:rPr>
        <w:t xml:space="preserve"> בעלה חייב במזונותיה. </w:t>
      </w:r>
    </w:p>
    <w:p w14:paraId="553FFE2F" w14:textId="4C1A2BE0" w:rsidR="00C97BEF" w:rsidRDefault="00C97BEF" w:rsidP="00C97BEF">
      <w:pPr>
        <w:rPr>
          <w:rFonts w:cs="Arial"/>
          <w:rtl/>
        </w:rPr>
      </w:pPr>
      <w:bookmarkStart w:id="26" w:name="_Hlk120194047"/>
      <w:r>
        <w:rPr>
          <w:rFonts w:cs="Arial"/>
          <w:b/>
          <w:bCs/>
          <w:rtl/>
        </w:rPr>
        <w:t xml:space="preserve">גיטין </w:t>
      </w:r>
      <w:r>
        <w:rPr>
          <w:rFonts w:cs="Arial"/>
          <w:b/>
          <w:bCs/>
          <w:sz w:val="16"/>
          <w:szCs w:val="16"/>
          <w:rtl/>
        </w:rPr>
        <w:t>(פ' הזורק)</w:t>
      </w:r>
      <w:r>
        <w:rPr>
          <w:rFonts w:cs="Arial"/>
          <w:b/>
          <w:bCs/>
          <w:rtl/>
        </w:rPr>
        <w:t xml:space="preserve"> פא ע"א:</w:t>
      </w:r>
      <w:r>
        <w:rPr>
          <w:rtl/>
        </w:rPr>
        <w:t xml:space="preserve"> </w:t>
      </w:r>
      <w:r>
        <w:rPr>
          <w:rFonts w:cs="Arial"/>
          <w:u w:val="double"/>
          <w:rtl/>
        </w:rPr>
        <w:t>מתני'</w:t>
      </w:r>
      <w:r>
        <w:rPr>
          <w:rFonts w:cs="Arial"/>
          <w:rtl/>
        </w:rPr>
        <w:t xml:space="preserve">: המגרש את אשתו ולנה עמו בפונדקי, </w:t>
      </w:r>
      <w:r w:rsidRPr="008C7690">
        <w:rPr>
          <w:rFonts w:cs="Arial"/>
          <w:u w:val="single"/>
          <w:rtl/>
        </w:rPr>
        <w:t>ב"</w:t>
      </w:r>
      <w:r>
        <w:rPr>
          <w:rFonts w:cs="Arial"/>
          <w:u w:val="single"/>
          <w:rtl/>
        </w:rPr>
        <w:t>ש אומרים</w:t>
      </w:r>
      <w:r>
        <w:rPr>
          <w:rFonts w:cs="Arial"/>
          <w:rtl/>
        </w:rPr>
        <w:t xml:space="preserve">: אינה צריכה הימנו גט שני, </w:t>
      </w:r>
      <w:r>
        <w:rPr>
          <w:rFonts w:cs="Arial"/>
          <w:u w:val="single"/>
          <w:rtl/>
        </w:rPr>
        <w:t>ובה"א</w:t>
      </w:r>
      <w:r>
        <w:rPr>
          <w:rFonts w:cs="Arial"/>
          <w:rtl/>
        </w:rPr>
        <w:t xml:space="preserve">: צריכה הימנו גט שני. אימתי? בזמן שנתגרשה מן הנשואין. ומודים, בנתגרשה מן האירוסין </w:t>
      </w:r>
      <w:r w:rsidR="00A82951">
        <w:rPr>
          <w:rFonts w:cs="Arial"/>
          <w:rtl/>
        </w:rPr>
        <w:t>-</w:t>
      </w:r>
      <w:r>
        <w:rPr>
          <w:rFonts w:cs="Arial"/>
          <w:rtl/>
        </w:rPr>
        <w:t xml:space="preserve"> שאינה צריכה הימנו גט שני, מפני שאין לבו גס בה. </w:t>
      </w:r>
    </w:p>
    <w:bookmarkEnd w:id="26"/>
    <w:p w14:paraId="13073901" w14:textId="272DE95A" w:rsidR="00C97BEF" w:rsidRDefault="00C97BEF" w:rsidP="00C97BEF">
      <w:pPr>
        <w:rPr>
          <w:rFonts w:cs="Arial"/>
          <w:rtl/>
        </w:rPr>
      </w:pPr>
      <w:r>
        <w:rPr>
          <w:rFonts w:cs="Arial"/>
          <w:b/>
          <w:bCs/>
          <w:rtl/>
        </w:rPr>
        <w:t xml:space="preserve">תוספתא גיטין פ"ה ה"ד: </w:t>
      </w:r>
      <w:r>
        <w:rPr>
          <w:rFonts w:cs="Arial"/>
          <w:rtl/>
        </w:rPr>
        <w:t xml:space="preserve">זה גיטיך מהיום אם מתי מחולי זה, ימים שבנתים זכיי במציאתה במעשה ידיה ובהפר נדריה, </w:t>
      </w:r>
      <w:r>
        <w:rPr>
          <w:rFonts w:cs="Arial"/>
          <w:u w:val="single"/>
          <w:rtl/>
        </w:rPr>
        <w:t>דברי ר' יהודה</w:t>
      </w:r>
      <w:r>
        <w:rPr>
          <w:rFonts w:cs="Arial"/>
          <w:rtl/>
        </w:rPr>
        <w:t xml:space="preserve">. </w:t>
      </w:r>
      <w:r>
        <w:rPr>
          <w:rFonts w:cs="Arial"/>
          <w:u w:val="single"/>
          <w:rtl/>
        </w:rPr>
        <w:t>ר' מאיר אומר</w:t>
      </w:r>
      <w:r>
        <w:rPr>
          <w:rFonts w:cs="Arial"/>
          <w:rtl/>
        </w:rPr>
        <w:t xml:space="preserve">: ספק. </w:t>
      </w:r>
      <w:r>
        <w:rPr>
          <w:rFonts w:cs="Arial"/>
          <w:u w:val="single"/>
          <w:rtl/>
        </w:rPr>
        <w:t>ר' יוסה אומר</w:t>
      </w:r>
      <w:r>
        <w:rPr>
          <w:rFonts w:cs="Arial"/>
          <w:rtl/>
        </w:rPr>
        <w:t xml:space="preserve">: בעילתו תלויה. </w:t>
      </w:r>
      <w:r>
        <w:rPr>
          <w:rFonts w:cs="Arial"/>
          <w:u w:val="single"/>
          <w:rtl/>
        </w:rPr>
        <w:t>וחכמים אומרים</w:t>
      </w:r>
      <w:r>
        <w:rPr>
          <w:rFonts w:cs="Arial"/>
          <w:rtl/>
        </w:rPr>
        <w:t xml:space="preserve">: מגורשת לכל דבר ובלבד שימות. לא תתיחד עמו אפי' על פי בנה קטן, לפי שאינה בושה לשמש כנגדו. ראוה שנתיחדה עמו באפילה, או שישנה עמו במרגלות המטה, אפי' הוא ער והיא ישינה, הוא ישן והיא ערה </w:t>
      </w:r>
      <w:r w:rsidR="00A82951">
        <w:rPr>
          <w:rFonts w:cs="Arial"/>
          <w:rtl/>
        </w:rPr>
        <w:t>-</w:t>
      </w:r>
      <w:r>
        <w:rPr>
          <w:rFonts w:cs="Arial"/>
          <w:rtl/>
        </w:rPr>
        <w:t xml:space="preserve"> אין חוששין שמא נתעסקו בדבר אחר, ואין חוששין משום ביאה, ואין חוששין משום קידושין. </w:t>
      </w:r>
      <w:r>
        <w:rPr>
          <w:rFonts w:cs="Arial"/>
          <w:u w:val="single"/>
          <w:rtl/>
        </w:rPr>
        <w:t>ר' יוסי בר' יהודה אומר</w:t>
      </w:r>
      <w:r>
        <w:rPr>
          <w:rFonts w:cs="Arial"/>
          <w:rtl/>
        </w:rPr>
        <w:t xml:space="preserve">: אף חוששין משום קידושין. ראוה שנים שנתיחדה עמו </w:t>
      </w:r>
      <w:r w:rsidR="00A82951">
        <w:rPr>
          <w:rFonts w:cs="Arial"/>
          <w:rtl/>
        </w:rPr>
        <w:t>-</w:t>
      </w:r>
      <w:r>
        <w:rPr>
          <w:rFonts w:cs="Arial"/>
          <w:rtl/>
        </w:rPr>
        <w:t xml:space="preserve"> צריכה הימנו גט שני. אחד </w:t>
      </w:r>
      <w:r w:rsidR="00A82951">
        <w:rPr>
          <w:rFonts w:cs="Arial"/>
          <w:rtl/>
        </w:rPr>
        <w:t>-</w:t>
      </w:r>
      <w:r>
        <w:rPr>
          <w:rFonts w:cs="Arial"/>
          <w:rtl/>
        </w:rPr>
        <w:t xml:space="preserve"> אין צריכה הימנו גט שני. אחד בשחרית ואחד בין הערבים, זה היה מעשה ובא ושאל ר' לעזר בן תדיי לחכמים ואמרו </w:t>
      </w:r>
      <w:r w:rsidR="00A82951">
        <w:rPr>
          <w:rFonts w:cs="Arial"/>
          <w:rtl/>
        </w:rPr>
        <w:t>-</w:t>
      </w:r>
      <w:r>
        <w:rPr>
          <w:rFonts w:cs="Arial"/>
          <w:rtl/>
        </w:rPr>
        <w:t xml:space="preserve"> אחד הן ואין צריכה הימנו גט שיני.</w:t>
      </w:r>
      <w:r>
        <w:rPr>
          <w:rFonts w:cs="Arial"/>
          <w:sz w:val="16"/>
          <w:szCs w:val="16"/>
          <w:rtl/>
        </w:rPr>
        <w:t xml:space="preserve"> (כתבה הרי"ף בפרק מי שאחזו (ריש לה:) והרמב"ם בפ"י מהל</w:t>
      </w:r>
      <w:r w:rsidR="003F02DA">
        <w:rPr>
          <w:rFonts w:cs="Arial" w:hint="cs"/>
          <w:sz w:val="16"/>
          <w:szCs w:val="16"/>
          <w:rtl/>
        </w:rPr>
        <w:t>'</w:t>
      </w:r>
      <w:r>
        <w:rPr>
          <w:rFonts w:cs="Arial"/>
          <w:sz w:val="16"/>
          <w:szCs w:val="16"/>
          <w:rtl/>
        </w:rPr>
        <w:t xml:space="preserve"> גירושין (הי"ח), ב"י. וכ"פ הטור כמו שיתבאר לקמן)</w:t>
      </w:r>
    </w:p>
    <w:p w14:paraId="17228C5F" w14:textId="40B22BC0" w:rsidR="00C97BEF" w:rsidRDefault="00C97BEF" w:rsidP="00C97BEF">
      <w:pPr>
        <w:rPr>
          <w:u w:val="single"/>
          <w:rtl/>
        </w:rPr>
      </w:pPr>
      <w:r>
        <w:rPr>
          <w:rFonts w:cs="Arial"/>
          <w:u w:val="single"/>
          <w:rtl/>
        </w:rPr>
        <w:t xml:space="preserve">המגרש על תנאי </w:t>
      </w:r>
      <w:r w:rsidR="00A82951">
        <w:rPr>
          <w:rFonts w:cs="Arial"/>
          <w:u w:val="single"/>
          <w:rtl/>
        </w:rPr>
        <w:t>-</w:t>
      </w:r>
      <w:r>
        <w:rPr>
          <w:rFonts w:cs="Arial"/>
          <w:u w:val="single"/>
          <w:rtl/>
        </w:rPr>
        <w:t xml:space="preserve"> מה דינם לגבי ייחוד עד שיתקיים התנאי:</w:t>
      </w:r>
    </w:p>
    <w:p w14:paraId="236FC40C" w14:textId="56EFB479" w:rsidR="00C97BEF" w:rsidRDefault="00C97BEF" w:rsidP="006A458D">
      <w:pPr>
        <w:pStyle w:val="ab"/>
        <w:numPr>
          <w:ilvl w:val="0"/>
          <w:numId w:val="123"/>
        </w:numPr>
      </w:pPr>
      <w:r>
        <w:rPr>
          <w:rFonts w:cs="Arial"/>
          <w:rtl/>
        </w:rPr>
        <w:t xml:space="preserve">רמב"ם </w:t>
      </w:r>
      <w:r>
        <w:rPr>
          <w:rFonts w:cs="Arial"/>
          <w:sz w:val="16"/>
          <w:szCs w:val="16"/>
          <w:rtl/>
        </w:rPr>
        <w:t>(פ"ח ה"ב)</w:t>
      </w:r>
      <w:r w:rsidR="00A82951">
        <w:rPr>
          <w:rFonts w:cs="Arial"/>
          <w:rtl/>
        </w:rPr>
        <w:t>-</w:t>
      </w:r>
      <w:r>
        <w:rPr>
          <w:rFonts w:cs="Arial"/>
          <w:rtl/>
        </w:rPr>
        <w:t xml:space="preserve"> כל המגרש על תנאי, בין שאמר מעכשיו בין שאמר אם יהיה ואם לא יהיה </w:t>
      </w:r>
      <w:r w:rsidR="00A82951">
        <w:rPr>
          <w:rFonts w:cs="Arial"/>
          <w:rtl/>
        </w:rPr>
        <w:t>-</w:t>
      </w:r>
      <w:r>
        <w:rPr>
          <w:rFonts w:cs="Arial"/>
          <w:rtl/>
        </w:rPr>
        <w:t xml:space="preserve"> הרי זה לא יתיחד עם אשתו כל זמן שלא נתקיים התנאי אלא בפני עד, ואפילו עבד ואפילו שפחה, חוץ משפחתה או בנה הקטן מפני שאינה בושה מלשמש בפניהם. והדבר ידוע שאם נתיחד עמה בפני שני עדים כאחד אפילו לאחר שנתקיים התנאי </w:t>
      </w:r>
      <w:r w:rsidR="00A82951">
        <w:rPr>
          <w:rFonts w:cs="Arial"/>
          <w:rtl/>
        </w:rPr>
        <w:t>-</w:t>
      </w:r>
      <w:r>
        <w:rPr>
          <w:rFonts w:cs="Arial"/>
          <w:rtl/>
        </w:rPr>
        <w:t xml:space="preserve"> הרי זו ספק מגורשת, שמא נבעלה ובטל הגט כמו שיתבאר בהלכות אלו. </w:t>
      </w:r>
      <w:r>
        <w:rPr>
          <w:color w:val="E36C0A" w:themeColor="accent6" w:themeShade="BF"/>
          <w:rtl/>
        </w:rPr>
        <w:t>(וכ"פ בשו"ע)</w:t>
      </w:r>
    </w:p>
    <w:p w14:paraId="11C0C84B" w14:textId="42168C77" w:rsidR="00C97BEF" w:rsidRDefault="00C97BEF" w:rsidP="006A458D">
      <w:pPr>
        <w:pStyle w:val="ab"/>
        <w:numPr>
          <w:ilvl w:val="0"/>
          <w:numId w:val="123"/>
        </w:numPr>
      </w:pPr>
      <w:r>
        <w:rPr>
          <w:rFonts w:cs="Arial"/>
          <w:rtl/>
        </w:rPr>
        <w:t>טור</w:t>
      </w:r>
      <w:r w:rsidR="00A82951">
        <w:rPr>
          <w:rFonts w:cs="Arial"/>
          <w:rtl/>
        </w:rPr>
        <w:t>-</w:t>
      </w:r>
      <w:r>
        <w:rPr>
          <w:rFonts w:cs="Arial"/>
          <w:rtl/>
        </w:rPr>
        <w:t xml:space="preserve"> לפיכך שכיב מרע שכתב גט לאשתו מעכשיו אם מתי, לא יתייחד עמה אלא בעדים. דקי"ל</w:t>
      </w:r>
      <w:r>
        <w:rPr>
          <w:rStyle w:val="a7"/>
          <w:rFonts w:cs="Arial"/>
          <w:rtl/>
        </w:rPr>
        <w:footnoteReference w:id="2629"/>
      </w:r>
      <w:r>
        <w:rPr>
          <w:rFonts w:cs="Arial"/>
          <w:rtl/>
        </w:rPr>
        <w:t xml:space="preserve"> כר' יוסי שהימים שבין גט למיתה היא ספק מגורשת, דמספקא לן אם חל הגט מיד או בשעת מיתה, לפיכך היא כאשתו, וחייב במזונותיה, אלא שהבא עליה הוא באשם תלוי כיון שהיא כספק מגורשת. לפיכך לא יתייחד עמה, שאם אין גט חל עד שעת מיתה הרי הוא גט ישן. ואם חל מיד הרי הוא ככל אדם המתייחד עם גרושתו </w:t>
      </w:r>
      <w:r>
        <w:rPr>
          <w:rFonts w:cs="Arial"/>
          <w:rtl/>
        </w:rPr>
        <w:lastRenderedPageBreak/>
        <w:t xml:space="preserve">שצריכה ממנו גט, דשמא בעל לשם קדושין. לפיכך אם נתיחדה עמו צריכה גט שני מספק. ודוקא מן הנשואין שלבו גס בה, אבל מן האירוסין לא. והוא שראו ב' עדים ביחד שנתייחדו, אבל אם ראו הא' בבקר והא' בערב </w:t>
      </w:r>
      <w:r w:rsidR="00A82951">
        <w:rPr>
          <w:rFonts w:cs="Arial"/>
          <w:rtl/>
        </w:rPr>
        <w:t>-</w:t>
      </w:r>
      <w:r>
        <w:rPr>
          <w:rFonts w:cs="Arial"/>
          <w:rtl/>
        </w:rPr>
        <w:t xml:space="preserve"> אין מצטרפין... ויכול להתייחד עמה אפי' ע"פ עד אחד אפי' הוא עבד ושפחה, חוץ משפחתה מפני שלבה גס בה.</w:t>
      </w:r>
    </w:p>
    <w:p w14:paraId="2BD0A71C" w14:textId="77777777" w:rsidR="00C97BEF" w:rsidRDefault="00C97BEF" w:rsidP="00C97BEF">
      <w:pPr>
        <w:ind w:left="360"/>
        <w:rPr>
          <w:u w:val="dotted"/>
        </w:rPr>
      </w:pPr>
      <w:r>
        <w:rPr>
          <w:u w:val="dotted"/>
          <w:rtl/>
        </w:rPr>
        <w:t>ומה הדין אם נתייחדו אבל הם לא ראו את העדים:</w:t>
      </w:r>
    </w:p>
    <w:p w14:paraId="7EA7AA0B" w14:textId="56DF2839" w:rsidR="00C97BEF" w:rsidRDefault="00C97BEF" w:rsidP="006A458D">
      <w:pPr>
        <w:pStyle w:val="ab"/>
        <w:numPr>
          <w:ilvl w:val="0"/>
          <w:numId w:val="123"/>
        </w:numPr>
      </w:pPr>
      <w:r>
        <w:rPr>
          <w:rFonts w:cs="Arial"/>
          <w:rtl/>
        </w:rPr>
        <w:t xml:space="preserve">רשב"א </w:t>
      </w:r>
      <w:r>
        <w:rPr>
          <w:rFonts w:cs="Arial"/>
          <w:sz w:val="16"/>
          <w:szCs w:val="16"/>
          <w:rtl/>
        </w:rPr>
        <w:t>(פא: ד"ה אלא מתני', כ"כ בשמו הה"מ [פ"י הי"ח])</w:t>
      </w:r>
      <w:r>
        <w:rPr>
          <w:rFonts w:cs="Arial"/>
          <w:rtl/>
        </w:rPr>
        <w:t xml:space="preserve"> ור"ן </w:t>
      </w:r>
      <w:r>
        <w:rPr>
          <w:rFonts w:cs="Arial"/>
          <w:sz w:val="16"/>
          <w:szCs w:val="16"/>
          <w:rtl/>
        </w:rPr>
        <w:t>(גיטין לה: ד"ה וכתב)</w:t>
      </w:r>
      <w:r w:rsidR="00A82951">
        <w:rPr>
          <w:rFonts w:cs="Arial"/>
          <w:rtl/>
        </w:rPr>
        <w:t>-</w:t>
      </w:r>
      <w:r>
        <w:rPr>
          <w:rFonts w:cs="Arial"/>
          <w:rtl/>
        </w:rPr>
        <w:t xml:space="preserve"> מסתברא כגון שראה הוא את העדים, אבל אם ראו אותו שנים מן החלון, והם רואים ואינם נראים לו </w:t>
      </w:r>
      <w:r w:rsidR="00A82951">
        <w:rPr>
          <w:rFonts w:cs="Arial"/>
          <w:rtl/>
        </w:rPr>
        <w:t>-</w:t>
      </w:r>
      <w:r>
        <w:rPr>
          <w:rFonts w:cs="Arial"/>
          <w:rtl/>
        </w:rPr>
        <w:t xml:space="preserve"> אינה צריכה ממנו גט שני, לפי שאדם יודע שהמקדש בינו לבין עצמו אינה מקודשת ואע"פ ששניהם מודים, הילכך כשבעל זה לא לשם קידושין בעל אלא לזנות בעלמא</w:t>
      </w:r>
      <w:r>
        <w:rPr>
          <w:rStyle w:val="a7"/>
          <w:rFonts w:cs="Arial"/>
          <w:rtl/>
        </w:rPr>
        <w:footnoteReference w:id="2630"/>
      </w:r>
      <w:r>
        <w:rPr>
          <w:rFonts w:cs="Arial"/>
          <w:sz w:val="16"/>
          <w:szCs w:val="16"/>
          <w:rtl/>
        </w:rPr>
        <w:t xml:space="preserve"> (ל' הה"מ בשם הרשב"א)</w:t>
      </w:r>
      <w:r>
        <w:rPr>
          <w:rFonts w:cs="Arial"/>
          <w:rtl/>
        </w:rPr>
        <w:t xml:space="preserve">. </w:t>
      </w:r>
      <w:r>
        <w:rPr>
          <w:color w:val="E36C0A" w:themeColor="accent6" w:themeShade="BF"/>
          <w:rtl/>
        </w:rPr>
        <w:t>(וכ"פ בשו"ע</w:t>
      </w:r>
      <w:r>
        <w:rPr>
          <w:color w:val="E36C0A" w:themeColor="accent6" w:themeShade="BF"/>
          <w:sz w:val="16"/>
          <w:szCs w:val="16"/>
          <w:rtl/>
        </w:rPr>
        <w:t xml:space="preserve"> </w:t>
      </w:r>
      <w:r>
        <w:rPr>
          <w:color w:val="000000" w:themeColor="text1"/>
          <w:sz w:val="16"/>
          <w:szCs w:val="16"/>
          <w:rtl/>
        </w:rPr>
        <w:t>[סי' קמט ס"ב]</w:t>
      </w:r>
      <w:r>
        <w:rPr>
          <w:color w:val="E36C0A" w:themeColor="accent6" w:themeShade="BF"/>
          <w:rtl/>
        </w:rPr>
        <w:t>)</w:t>
      </w:r>
    </w:p>
    <w:p w14:paraId="01337624" w14:textId="77777777" w:rsidR="00C97BEF" w:rsidRDefault="00C97BEF" w:rsidP="00C97BEF">
      <w:r>
        <w:rPr>
          <w:u w:val="single"/>
          <w:rtl/>
        </w:rPr>
        <w:t>אשה שנשארה עם הבעל לאחר נתינת הגט והוא חולה ואינו שולט באיבריו, ויש אנשים שנכנסים ויוצאים:</w:t>
      </w:r>
      <w:r>
        <w:rPr>
          <w:rtl/>
        </w:rPr>
        <w:t xml:space="preserve"> </w:t>
      </w:r>
    </w:p>
    <w:p w14:paraId="2E47E639" w14:textId="6D9FB69F" w:rsidR="00C97BEF" w:rsidRDefault="00C97BEF" w:rsidP="006A458D">
      <w:pPr>
        <w:pStyle w:val="ab"/>
        <w:numPr>
          <w:ilvl w:val="0"/>
          <w:numId w:val="123"/>
        </w:numPr>
      </w:pPr>
      <w:r>
        <w:rPr>
          <w:rFonts w:cs="Arial"/>
          <w:rtl/>
        </w:rPr>
        <w:t xml:space="preserve">רשב"א </w:t>
      </w:r>
      <w:r>
        <w:rPr>
          <w:rFonts w:cs="Arial"/>
          <w:sz w:val="16"/>
          <w:szCs w:val="16"/>
          <w:rtl/>
        </w:rPr>
        <w:t>(סי' אלף רמג)</w:t>
      </w:r>
      <w:r w:rsidR="00A82951">
        <w:rPr>
          <w:rFonts w:cs="Arial"/>
          <w:rtl/>
        </w:rPr>
        <w:t>-</w:t>
      </w:r>
      <w:r>
        <w:rPr>
          <w:rFonts w:cs="Arial"/>
          <w:rtl/>
        </w:rPr>
        <w:t xml:space="preserve"> עוד שאלת אם אחר נתינת הגט נשארה האשה עם הבעל והוא מסוכן וכמעט שאינו שולט באיבריו וכנטרפה דעתו ורבים נכנסים ויוצאים לפניו לשמשו אלא שלא העמידו שם עדים בינו לבינה במתכוין מה דינו.      תשובה: משום חשש קידושין היה נראה דליכא, משום דלמי שהוא גוסס היה נראה דאין לחוש, וכמו שאמרת דאפילו לבעול אין פנאי. אלא שבירושלמי פרק מי שאחזו (ה"ד) אמרו תני אף המסוכן, אמר רבי יעקב בר אחא מעשה היה כיון שבעל מת. ועוד דאפילו בשכיב מרע דעלמא אין לחוש בכי הא שאין צריכין עדים מזומנים להיות אצלם כל זמן שתכנס היא אצלו, אלא כל שיש עמהם מי שאין לבה גס בהם אין חוששין לה משום קידושין וכמו ששנינו בפרק מי שאחזו. וכל שזה נכנס וזה יוצא </w:t>
      </w:r>
      <w:r w:rsidR="00A82951">
        <w:rPr>
          <w:rFonts w:cs="Arial"/>
          <w:rtl/>
        </w:rPr>
        <w:t>-</w:t>
      </w:r>
      <w:r>
        <w:rPr>
          <w:rFonts w:cs="Arial"/>
          <w:rtl/>
        </w:rPr>
        <w:t xml:space="preserve"> אין לחוש בדבר.</w:t>
      </w:r>
      <w:r>
        <w:rPr>
          <w:rtl/>
        </w:rPr>
        <w:t xml:space="preserve"> </w:t>
      </w:r>
      <w:r>
        <w:rPr>
          <w:color w:val="00B0F0"/>
          <w:rtl/>
        </w:rPr>
        <w:t>(וכ"פ הרמ"א)</w:t>
      </w:r>
    </w:p>
    <w:p w14:paraId="1757D374" w14:textId="101D6870" w:rsidR="00C97BEF" w:rsidRDefault="00C97BEF" w:rsidP="00C97BEF">
      <w:pPr>
        <w:rPr>
          <w:u w:val="single"/>
          <w:rtl/>
        </w:rPr>
      </w:pPr>
      <w:r>
        <w:rPr>
          <w:rFonts w:cs="Arial"/>
          <w:u w:val="single"/>
          <w:rtl/>
        </w:rPr>
        <w:t xml:space="preserve">שכ"מ שאמר בפירוש שלא יחול הגט אלא עד שעת מיתה </w:t>
      </w:r>
      <w:r w:rsidR="00A82951">
        <w:rPr>
          <w:rFonts w:cs="Arial"/>
          <w:u w:val="single"/>
          <w:rtl/>
        </w:rPr>
        <w:t>-</w:t>
      </w:r>
      <w:r>
        <w:rPr>
          <w:rFonts w:cs="Arial"/>
          <w:u w:val="single"/>
          <w:rtl/>
        </w:rPr>
        <w:t xml:space="preserve"> ונתייחד עמה בעדים</w:t>
      </w:r>
      <w:r>
        <w:rPr>
          <w:rFonts w:cs="Arial"/>
          <w:sz w:val="16"/>
          <w:szCs w:val="16"/>
          <w:u w:val="single"/>
          <w:rtl/>
        </w:rPr>
        <w:t xml:space="preserve"> (או שנתן הגט על תנאי ונתייחד קודם שנתקיים)</w:t>
      </w:r>
      <w:r>
        <w:rPr>
          <w:rFonts w:cs="Arial"/>
          <w:u w:val="single"/>
          <w:rtl/>
        </w:rPr>
        <w:t xml:space="preserve">: </w:t>
      </w:r>
    </w:p>
    <w:p w14:paraId="1F57D7B5" w14:textId="4B52CDAD" w:rsidR="00C97BEF" w:rsidRDefault="00C97BEF" w:rsidP="006A458D">
      <w:pPr>
        <w:pStyle w:val="ab"/>
        <w:numPr>
          <w:ilvl w:val="0"/>
          <w:numId w:val="123"/>
        </w:numPr>
      </w:pPr>
      <w:r>
        <w:rPr>
          <w:rFonts w:cs="Arial"/>
          <w:rtl/>
        </w:rPr>
        <w:t>טור</w:t>
      </w:r>
      <w:r w:rsidR="00A82951">
        <w:rPr>
          <w:rFonts w:cs="Arial"/>
          <w:rtl/>
        </w:rPr>
        <w:t>-</w:t>
      </w:r>
      <w:r>
        <w:rPr>
          <w:rFonts w:cs="Arial"/>
          <w:rtl/>
        </w:rPr>
        <w:t xml:space="preserve"> ואם פירש בפירוש שלא יחול הגט אלא עד שעת מיתה ונתייחד עמה בנתיים בעדים</w:t>
      </w:r>
      <w:r>
        <w:rPr>
          <w:rStyle w:val="a7"/>
          <w:rFonts w:cs="Arial"/>
          <w:rtl/>
        </w:rPr>
        <w:footnoteReference w:id="2631"/>
      </w:r>
      <w:r>
        <w:rPr>
          <w:rFonts w:cs="Arial"/>
          <w:rtl/>
        </w:rPr>
        <w:t>, או שנתן לה גט על תנאי</w:t>
      </w:r>
      <w:r>
        <w:rPr>
          <w:rStyle w:val="a7"/>
          <w:rFonts w:cs="Arial"/>
          <w:rtl/>
        </w:rPr>
        <w:footnoteReference w:id="2632"/>
      </w:r>
      <w:r>
        <w:rPr>
          <w:rFonts w:cs="Arial"/>
          <w:rtl/>
        </w:rPr>
        <w:t xml:space="preserve"> ועדיין לא נתקיים </w:t>
      </w:r>
      <w:r w:rsidR="00A82951">
        <w:rPr>
          <w:rFonts w:cs="Arial"/>
          <w:rtl/>
        </w:rPr>
        <w:t>-</w:t>
      </w:r>
      <w:r>
        <w:rPr>
          <w:rFonts w:cs="Arial"/>
          <w:rtl/>
        </w:rPr>
        <w:t xml:space="preserve"> אז ליכא למיחש שמא בעל לשם קידושין, ומ"מ לא תתגרש בו לכתחלה. אבל נתגרשה בו </w:t>
      </w:r>
      <w:r w:rsidR="00A82951">
        <w:rPr>
          <w:rFonts w:cs="Arial"/>
          <w:rtl/>
        </w:rPr>
        <w:t>-</w:t>
      </w:r>
      <w:r>
        <w:rPr>
          <w:rFonts w:cs="Arial"/>
          <w:rtl/>
        </w:rPr>
        <w:t xml:space="preserve"> תינשא אפילו לכתחלה. </w:t>
      </w:r>
    </w:p>
    <w:p w14:paraId="07FAEC53" w14:textId="77777777" w:rsidR="00C97BEF" w:rsidRDefault="00C97BEF" w:rsidP="00C97BEF">
      <w:pPr>
        <w:rPr>
          <w:rtl/>
        </w:rPr>
      </w:pPr>
      <w:r>
        <w:rPr>
          <w:rFonts w:cs="Arial"/>
          <w:u w:val="single"/>
          <w:rtl/>
        </w:rPr>
        <w:t>אמר לסופר לכתוב גט לאשתו, ונתאחר הענין שבוע או שנים, והיו דרים ביחד בעיר:</w:t>
      </w:r>
      <w:r>
        <w:rPr>
          <w:rFonts w:cs="Arial"/>
          <w:rtl/>
        </w:rPr>
        <w:t xml:space="preserve"> </w:t>
      </w:r>
      <w:r>
        <w:rPr>
          <w:rFonts w:cs="Arial"/>
          <w:sz w:val="16"/>
          <w:szCs w:val="16"/>
          <w:rtl/>
        </w:rPr>
        <w:t xml:space="preserve">(דרכ"מ אות א) </w:t>
      </w:r>
    </w:p>
    <w:p w14:paraId="4048D267" w14:textId="5CCAAD9D" w:rsidR="00C97BEF" w:rsidRDefault="00C97BEF" w:rsidP="006A458D">
      <w:pPr>
        <w:pStyle w:val="ab"/>
        <w:numPr>
          <w:ilvl w:val="0"/>
          <w:numId w:val="123"/>
        </w:numPr>
      </w:pPr>
      <w:r>
        <w:rPr>
          <w:rFonts w:cs="Arial"/>
          <w:rtl/>
        </w:rPr>
        <w:t xml:space="preserve">רא"ש </w:t>
      </w:r>
      <w:r>
        <w:rPr>
          <w:rFonts w:cs="Arial"/>
          <w:sz w:val="16"/>
          <w:szCs w:val="16"/>
          <w:rtl/>
        </w:rPr>
        <w:t>(כלל מה סי' יד)</w:t>
      </w:r>
      <w:r w:rsidR="00A82951">
        <w:rPr>
          <w:rFonts w:cs="Arial"/>
          <w:rtl/>
        </w:rPr>
        <w:t>-</w:t>
      </w:r>
      <w:r>
        <w:rPr>
          <w:rFonts w:cs="Arial"/>
          <w:rtl/>
        </w:rPr>
        <w:t xml:space="preserve"> אם אמר לסופר לכתוב גט לאשתו</w:t>
      </w:r>
      <w:r w:rsidR="003F02DA">
        <w:rPr>
          <w:rFonts w:cs="Arial" w:hint="cs"/>
          <w:rtl/>
        </w:rPr>
        <w:t>,</w:t>
      </w:r>
      <w:r>
        <w:rPr>
          <w:rFonts w:cs="Arial"/>
          <w:rtl/>
        </w:rPr>
        <w:t xml:space="preserve"> ונתאחר הענין שבוע או שנים והיו דרים ביחד בעיר </w:t>
      </w:r>
      <w:r w:rsidR="003F02DA">
        <w:rPr>
          <w:rFonts w:cs="Arial" w:hint="cs"/>
          <w:rtl/>
        </w:rPr>
        <w:t xml:space="preserve">- </w:t>
      </w:r>
      <w:r>
        <w:rPr>
          <w:rFonts w:cs="Arial"/>
          <w:rtl/>
        </w:rPr>
        <w:t>לא חיישינן שמא נתייחד עמה כל זמן שלא ראינו שנתייחד עמה, או שביטלו.</w:t>
      </w:r>
    </w:p>
    <w:p w14:paraId="44BC9BFC"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2B8FD8C" w14:textId="77777777" w:rsidR="00C97BEF" w:rsidRDefault="00C97BEF" w:rsidP="00C97BEF">
      <w:pPr>
        <w:rPr>
          <w:rtl/>
        </w:rPr>
      </w:pPr>
      <w:r>
        <w:rPr>
          <w:rFonts w:cs="Arial"/>
          <w:rtl/>
        </w:rPr>
        <w:t xml:space="preserve">כל המגרש על תנאי, בין שאמר: מעכשיו, בין שאמר: אם יהיה ואם לא יהיה, הרי זה לא יתייחד עמה כל זמן שלא נתקיים התנאי אלא בפני עד, אפילו עבד ואפילו שפחה. </w:t>
      </w:r>
      <w:r>
        <w:rPr>
          <w:rFonts w:cs="Arial"/>
          <w:sz w:val="18"/>
          <w:szCs w:val="18"/>
          <w:rtl/>
        </w:rPr>
        <w:t>[הגה] וביוצא ונכנס סגי.</w:t>
      </w:r>
      <w:r>
        <w:rPr>
          <w:rFonts w:cs="Arial"/>
          <w:rtl/>
        </w:rPr>
        <w:t xml:space="preserve"> חוץ משפחתה או בנה הקטן, מפני שאינה בושה לשמש בפניהם. והדבר ידוע שאם נתייחד עמה בפני שני עדים כאחד, וראה הוא והיא אותם, אפילו נתקיים התנאי אחר כך, הרי זו ספק מגורשת, שמא בעלה וביטל הגט, ויתבאר בסימן שאחר זה.</w:t>
      </w:r>
    </w:p>
    <w:p w14:paraId="5DE3A605" w14:textId="77777777" w:rsidR="00C97BEF" w:rsidRDefault="00C97BEF" w:rsidP="00C97BEF">
      <w:pPr>
        <w:bidi w:val="0"/>
        <w:spacing w:after="0"/>
        <w:rPr>
          <w:rtl/>
        </w:rPr>
        <w:sectPr w:rsidR="00C97BEF">
          <w:headerReference w:type="default" r:id="rId41"/>
          <w:footnotePr>
            <w:numRestart w:val="eachSect"/>
          </w:footnotePr>
          <w:pgSz w:w="11906" w:h="16838"/>
          <w:pgMar w:top="720" w:right="1134" w:bottom="720" w:left="1134" w:header="0" w:footer="0" w:gutter="0"/>
          <w:cols w:space="720"/>
          <w:bidi/>
          <w:rtlGutter/>
        </w:sectPr>
      </w:pPr>
    </w:p>
    <w:p w14:paraId="0164F692" w14:textId="77777777" w:rsidR="00C97BEF" w:rsidRDefault="00C97BEF" w:rsidP="00C97BEF">
      <w:pPr>
        <w:pStyle w:val="1"/>
        <w:rPr>
          <w:rtl/>
        </w:rPr>
      </w:pPr>
      <w:r>
        <w:rPr>
          <w:rtl/>
        </w:rPr>
        <w:lastRenderedPageBreak/>
        <w:t xml:space="preserve">סימן קמט: </w:t>
      </w:r>
      <w:r>
        <w:rPr>
          <w:rFonts w:cs="Arial"/>
          <w:rtl/>
        </w:rPr>
        <w:t xml:space="preserve">דין המגרש את אשתו ואחר כך בא עליה או נתייחד עמה, ובו ז' סעיפים. </w:t>
      </w:r>
    </w:p>
    <w:p w14:paraId="1953EFF8" w14:textId="77777777" w:rsidR="00C97BEF" w:rsidRDefault="00C97BEF" w:rsidP="00C97BEF">
      <w:pPr>
        <w:pStyle w:val="2"/>
        <w:rPr>
          <w:rtl/>
        </w:rPr>
      </w:pPr>
      <w:r>
        <w:rPr>
          <w:rtl/>
        </w:rPr>
        <w:t>סעיף א: הבא על גרושתו. אין אדם עושה בעילתו בעילת זנות.</w:t>
      </w:r>
    </w:p>
    <w:p w14:paraId="4429C806" w14:textId="5E89B6E8" w:rsidR="00C97BEF" w:rsidRDefault="00C97BEF" w:rsidP="00C97BEF">
      <w:pPr>
        <w:rPr>
          <w:rFonts w:cs="Arial"/>
          <w:rtl/>
        </w:rPr>
      </w:pPr>
      <w:r>
        <w:rPr>
          <w:rFonts w:cs="Arial"/>
          <w:b/>
          <w:bCs/>
          <w:rtl/>
        </w:rPr>
        <w:t xml:space="preserve">גיטין </w:t>
      </w:r>
      <w:r>
        <w:rPr>
          <w:rFonts w:cs="Arial"/>
          <w:b/>
          <w:bCs/>
          <w:sz w:val="16"/>
          <w:szCs w:val="16"/>
          <w:rtl/>
        </w:rPr>
        <w:t>(פ' הזורק)</w:t>
      </w:r>
      <w:r>
        <w:rPr>
          <w:rFonts w:cs="Arial"/>
          <w:b/>
          <w:bCs/>
          <w:rtl/>
        </w:rPr>
        <w:t xml:space="preserve"> פא ע"א:</w:t>
      </w:r>
      <w:r>
        <w:rPr>
          <w:rtl/>
        </w:rPr>
        <w:t xml:space="preserve"> </w:t>
      </w:r>
      <w:r>
        <w:rPr>
          <w:rFonts w:cs="Arial"/>
          <w:u w:val="double"/>
          <w:rtl/>
        </w:rPr>
        <w:t>מתני'</w:t>
      </w:r>
      <w:r>
        <w:rPr>
          <w:rFonts w:cs="Arial"/>
          <w:rtl/>
        </w:rPr>
        <w:t xml:space="preserve">: המגרש את אשתו ולנה עמו בפונדקי, </w:t>
      </w:r>
      <w:r>
        <w:rPr>
          <w:rFonts w:cs="Arial"/>
          <w:u w:val="single"/>
          <w:rtl/>
        </w:rPr>
        <w:t>ב"ש אומרים</w:t>
      </w:r>
      <w:r>
        <w:rPr>
          <w:rFonts w:cs="Arial"/>
          <w:rtl/>
        </w:rPr>
        <w:t xml:space="preserve">: אינה צריכה הימנו גט שני, </w:t>
      </w:r>
      <w:r>
        <w:rPr>
          <w:rFonts w:cs="Arial"/>
          <w:u w:val="single"/>
          <w:rtl/>
        </w:rPr>
        <w:t>ובה"א</w:t>
      </w:r>
      <w:r>
        <w:rPr>
          <w:rFonts w:cs="Arial"/>
          <w:rtl/>
        </w:rPr>
        <w:t xml:space="preserve">: צריכה הימנו גט שני. אימתי? בזמן שנתגרשה מן הנשואין. ומודים, בנתגרשה מן האירוסין </w:t>
      </w:r>
      <w:r w:rsidR="00A82951">
        <w:rPr>
          <w:rFonts w:cs="Arial"/>
          <w:rtl/>
        </w:rPr>
        <w:t>-</w:t>
      </w:r>
      <w:r>
        <w:rPr>
          <w:rFonts w:cs="Arial"/>
          <w:rtl/>
        </w:rPr>
        <w:t xml:space="preserve"> שאינה צריכה הימנו גט שני, מפני שאין לבו גס בה.       </w:t>
      </w:r>
      <w:r>
        <w:rPr>
          <w:rFonts w:cs="Arial"/>
          <w:u w:val="double"/>
          <w:rtl/>
        </w:rPr>
        <w:t>גמ'</w:t>
      </w:r>
      <w:r>
        <w:rPr>
          <w:rFonts w:cs="Arial"/>
          <w:rtl/>
        </w:rPr>
        <w:t xml:space="preserve">: </w:t>
      </w:r>
      <w:r>
        <w:rPr>
          <w:rFonts w:cs="Arial"/>
          <w:u w:val="single"/>
          <w:rtl/>
        </w:rPr>
        <w:t>אמר רבה בר בר חנה א"ר יוחנן</w:t>
      </w:r>
      <w:r>
        <w:rPr>
          <w:rFonts w:cs="Arial"/>
          <w:rtl/>
        </w:rPr>
        <w:t xml:space="preserve">: מחלוקת </w:t>
      </w:r>
      <w:r w:rsidR="00A82951">
        <w:rPr>
          <w:rFonts w:cs="Arial"/>
          <w:rtl/>
        </w:rPr>
        <w:t>-</w:t>
      </w:r>
      <w:r>
        <w:rPr>
          <w:rFonts w:cs="Arial"/>
          <w:rtl/>
        </w:rPr>
        <w:t xml:space="preserve"> בשראוה שנבעלה,</w:t>
      </w:r>
      <w:r>
        <w:rPr>
          <w:rtl/>
        </w:rPr>
        <w:t xml:space="preserve"> </w:t>
      </w:r>
      <w:r>
        <w:rPr>
          <w:rFonts w:cs="Arial"/>
          <w:sz w:val="14"/>
          <w:szCs w:val="14"/>
          <w:rtl/>
        </w:rPr>
        <w:t xml:space="preserve">(פא:) </w:t>
      </w:r>
      <w:r>
        <w:rPr>
          <w:rFonts w:cs="Arial"/>
          <w:rtl/>
        </w:rPr>
        <w:t>דב"ש סברי: אדם עושה בעילתו בעילת זנות, וב"ה סברי: אין אדם עושה בעילתו בעילת זנות. אבל לא ראוה שנבעלה</w:t>
      </w:r>
      <w:r>
        <w:rPr>
          <w:rStyle w:val="a7"/>
          <w:rFonts w:cs="Arial"/>
          <w:rtl/>
        </w:rPr>
        <w:footnoteReference w:id="2633"/>
      </w:r>
      <w:r>
        <w:rPr>
          <w:rFonts w:cs="Arial"/>
          <w:rtl/>
        </w:rPr>
        <w:t xml:space="preserve"> </w:t>
      </w:r>
      <w:r w:rsidR="00A82951">
        <w:rPr>
          <w:rFonts w:cs="Arial"/>
          <w:rtl/>
        </w:rPr>
        <w:t>-</w:t>
      </w:r>
      <w:r>
        <w:rPr>
          <w:rFonts w:cs="Arial"/>
          <w:rtl/>
        </w:rPr>
        <w:t xml:space="preserve"> דברי הכל אינה צריכה הימנו גט שני. תנן: ומודים, בנתגרשה מן האירוסין </w:t>
      </w:r>
      <w:r w:rsidR="00A82951">
        <w:rPr>
          <w:rFonts w:cs="Arial"/>
          <w:rtl/>
        </w:rPr>
        <w:t>-</w:t>
      </w:r>
      <w:r>
        <w:rPr>
          <w:rFonts w:cs="Arial"/>
          <w:rtl/>
        </w:rPr>
        <w:t xml:space="preserve"> שאינה צריכה הימנו גט שני, שאין לבו גס בה; ואי בשראוה שנבעלה, מה לי מן האירוסין ומה לי מן הנשואין! אלא מתני' בשלא ראוה שנבעלה, ור' יוחנן דאמר כי האי תנא; דתניא, א"ר שמעון בן אלעזר: לא נחלקו ב"ש וב"ה על שלא ראוה שנבעלה </w:t>
      </w:r>
      <w:r w:rsidR="00A82951">
        <w:rPr>
          <w:rFonts w:cs="Arial"/>
          <w:rtl/>
        </w:rPr>
        <w:t>-</w:t>
      </w:r>
      <w:r>
        <w:rPr>
          <w:rFonts w:cs="Arial"/>
          <w:rtl/>
        </w:rPr>
        <w:t xml:space="preserve"> שאינה צריכה הימנו גט שני, על מה נחלקו? על שראוה שנבעלה, שבש"א: אדם עושה בעילתו בעילת זנות, ובה"א: אין אדם עושה בעילתו בעילת זנות. ומתני' דאוקימנא בלא ראוה שנבעלה, במאי פליגי? דאיכא עדי יחוד וליכא עדי ביאה, ב"ש סברי: לא אמרי' הן הן עדי יחוד והן הן עדי ביאה, וב"ה סברי: אמרינן הן הן עדי יחוד והן הן עדי ביאה, ומודים בנתגרשה מן האירוסין </w:t>
      </w:r>
      <w:r w:rsidR="00A82951">
        <w:rPr>
          <w:rFonts w:cs="Arial"/>
          <w:rtl/>
        </w:rPr>
        <w:t>-</w:t>
      </w:r>
      <w:r>
        <w:rPr>
          <w:rFonts w:cs="Arial"/>
          <w:rtl/>
        </w:rPr>
        <w:t xml:space="preserve"> שאינה צריכה הימנו גט שני, דכיון דאין לבו גס בה, לא אמרינן הן הן עדי ביאה. ומי אמר ר' יוחנן הכי</w:t>
      </w:r>
      <w:r>
        <w:rPr>
          <w:rStyle w:val="a7"/>
          <w:rFonts w:cs="Arial"/>
          <w:rtl/>
        </w:rPr>
        <w:footnoteReference w:id="2634"/>
      </w:r>
      <w:r>
        <w:rPr>
          <w:rFonts w:cs="Arial"/>
          <w:rtl/>
        </w:rPr>
        <w:t xml:space="preserve">? והאמר רבי יוחנן: הלכה כסתם משנה, ואוקימנא למתניתין בשלא ראוה שנבעלה! אמוראי נינהו ואליבא דרבי יוחנן. </w:t>
      </w:r>
      <w:r>
        <w:rPr>
          <w:rFonts w:cs="Arial"/>
          <w:sz w:val="16"/>
          <w:szCs w:val="16"/>
          <w:rtl/>
        </w:rPr>
        <w:t xml:space="preserve">(וכתב הר"ן (מב: ד"ה גמ' וב"ה) שיש שפסקו כי האי תנא </w:t>
      </w:r>
      <w:r>
        <w:rPr>
          <w:rFonts w:cs="Arial"/>
          <w:sz w:val="14"/>
          <w:szCs w:val="14"/>
          <w:rtl/>
        </w:rPr>
        <w:t>{היינו כדאמר רבה בב"ח א"ר יוחנן, שבראוה שנבעלה מחלוקת}</w:t>
      </w:r>
      <w:r>
        <w:rPr>
          <w:rFonts w:cs="Arial"/>
          <w:sz w:val="16"/>
          <w:szCs w:val="16"/>
          <w:rtl/>
        </w:rPr>
        <w:t>. אבל הרי"ף והרא"ש (ס</w:t>
      </w:r>
      <w:r w:rsidR="002E216A">
        <w:rPr>
          <w:rFonts w:cs="Arial" w:hint="cs"/>
          <w:sz w:val="16"/>
          <w:szCs w:val="16"/>
          <w:rtl/>
        </w:rPr>
        <w:t>"</w:t>
      </w:r>
      <w:r>
        <w:rPr>
          <w:rFonts w:cs="Arial"/>
          <w:sz w:val="16"/>
          <w:szCs w:val="16"/>
          <w:rtl/>
        </w:rPr>
        <w:t xml:space="preserve">פ הזורק) פסקו כמתניתין דבלא ראוה שנבעלה מחלוקת, אבל בראוה שנבעלה </w:t>
      </w:r>
      <w:r w:rsidR="00A82951">
        <w:rPr>
          <w:rFonts w:cs="Arial"/>
          <w:sz w:val="16"/>
          <w:szCs w:val="16"/>
          <w:rtl/>
        </w:rPr>
        <w:t>-</w:t>
      </w:r>
      <w:r>
        <w:rPr>
          <w:rFonts w:cs="Arial"/>
          <w:sz w:val="16"/>
          <w:szCs w:val="16"/>
          <w:rtl/>
        </w:rPr>
        <w:t xml:space="preserve"> דברי הכל אין אדם עושה בעילתו בעילת זנות, וקיי"ל כבית הלל דאמרי הן הן עדי יחוד הן הן עדי ביאה, כלומר דאנן סהדי דמאחר דגייסי אהדדי ודאי בא עליה. וכן דעת הרמב"ם בפ"י מהלכות גירושין (הי"ח), ב"י)</w:t>
      </w:r>
      <w:r>
        <w:rPr>
          <w:rFonts w:cs="Arial"/>
          <w:rtl/>
        </w:rPr>
        <w:t xml:space="preserve"> </w:t>
      </w:r>
    </w:p>
    <w:p w14:paraId="11EB65BD" w14:textId="77777777" w:rsidR="00C97BEF" w:rsidRDefault="00C97BEF" w:rsidP="00C97BEF">
      <w:pPr>
        <w:rPr>
          <w:u w:val="single"/>
          <w:rtl/>
        </w:rPr>
      </w:pPr>
      <w:r>
        <w:rPr>
          <w:u w:val="single"/>
          <w:rtl/>
        </w:rPr>
        <w:t>הבא על גרושתו בפני עדים:</w:t>
      </w:r>
    </w:p>
    <w:p w14:paraId="0EAAAD79" w14:textId="59005D71" w:rsidR="00C97BEF" w:rsidRDefault="00C97BEF" w:rsidP="006A458D">
      <w:pPr>
        <w:pStyle w:val="ab"/>
        <w:numPr>
          <w:ilvl w:val="0"/>
          <w:numId w:val="123"/>
        </w:numPr>
      </w:pPr>
      <w:r>
        <w:rPr>
          <w:rFonts w:cs="Arial"/>
          <w:rtl/>
        </w:rPr>
        <w:t xml:space="preserve">רמב"ם </w:t>
      </w:r>
      <w:r>
        <w:rPr>
          <w:rFonts w:cs="Arial"/>
          <w:sz w:val="16"/>
          <w:szCs w:val="16"/>
          <w:rtl/>
        </w:rPr>
        <w:t>(פ"י הי"ח)</w:t>
      </w:r>
      <w:r>
        <w:rPr>
          <w:rFonts w:cs="Arial"/>
          <w:rtl/>
        </w:rPr>
        <w:t xml:space="preserve"> וטור</w:t>
      </w:r>
      <w:r>
        <w:rPr>
          <w:rStyle w:val="a7"/>
          <w:rFonts w:cs="Arial"/>
          <w:rtl/>
        </w:rPr>
        <w:footnoteReference w:id="2635"/>
      </w:r>
      <w:r w:rsidR="00A82951">
        <w:rPr>
          <w:rFonts w:cs="Arial"/>
          <w:rtl/>
        </w:rPr>
        <w:t>-</w:t>
      </w:r>
      <w:r>
        <w:rPr>
          <w:rFonts w:cs="Arial"/>
          <w:rtl/>
        </w:rPr>
        <w:t xml:space="preserve"> המגרש את אשתו וחזר ובעלה בפני עדים קודם שתנשא לאחר, בין שגירשה מן הנשואין בין מן האירוסין, הואיל ואשתו היתה </w:t>
      </w:r>
      <w:r w:rsidR="00A82951">
        <w:rPr>
          <w:rFonts w:cs="Arial"/>
          <w:rtl/>
        </w:rPr>
        <w:t>-</w:t>
      </w:r>
      <w:r>
        <w:rPr>
          <w:rFonts w:cs="Arial"/>
          <w:rtl/>
        </w:rPr>
        <w:t xml:space="preserve"> הרי זו בחזקת שהחזירה ולשם קידושין בעל לא לשם זנות, ואפילו ראו אותו שנתן לה מעות, שחזקה היא שאין אדם עושה בעילתו באשתו בעילת זנות והרי בידו לעשותה בעילת מצוה. לפיכך הרי זו בחזקת מקודשת קידושי ודאי וצריכה ממנו גט שני</w:t>
      </w:r>
      <w:r>
        <w:rPr>
          <w:rFonts w:cs="Arial"/>
          <w:sz w:val="16"/>
          <w:szCs w:val="16"/>
          <w:rtl/>
        </w:rPr>
        <w:t xml:space="preserve"> (ל' הרמב"ם)</w:t>
      </w:r>
      <w:r>
        <w:rPr>
          <w:rFonts w:cs="Arial"/>
          <w:rtl/>
        </w:rPr>
        <w:t>.</w:t>
      </w:r>
      <w:r>
        <w:rPr>
          <w:rtl/>
        </w:rPr>
        <w:t xml:space="preserve"> </w:t>
      </w:r>
      <w:r>
        <w:rPr>
          <w:color w:val="E36C0A" w:themeColor="accent6" w:themeShade="BF"/>
          <w:rtl/>
        </w:rPr>
        <w:t>(וכ"פ בשו"ע)</w:t>
      </w:r>
    </w:p>
    <w:p w14:paraId="44CDBC12" w14:textId="77777777" w:rsidR="00C97BEF" w:rsidRDefault="00C97BEF" w:rsidP="00C97BEF">
      <w:pPr>
        <w:ind w:left="360"/>
        <w:rPr>
          <w:u w:val="dotted"/>
        </w:rPr>
      </w:pPr>
      <w:r>
        <w:rPr>
          <w:u w:val="dotted"/>
          <w:rtl/>
        </w:rPr>
        <w:t>ומה הדין אם לא בא עליה בפני עדים אבל ברור שבא עליה:</w:t>
      </w:r>
    </w:p>
    <w:p w14:paraId="23B4D276" w14:textId="68F07184" w:rsidR="00C97BEF" w:rsidRDefault="00C97BEF" w:rsidP="006A458D">
      <w:pPr>
        <w:pStyle w:val="ab"/>
        <w:numPr>
          <w:ilvl w:val="0"/>
          <w:numId w:val="123"/>
        </w:numPr>
      </w:pPr>
      <w:r>
        <w:rPr>
          <w:rFonts w:cs="Arial"/>
          <w:rtl/>
        </w:rPr>
        <w:t xml:space="preserve">ר"ן </w:t>
      </w:r>
      <w:r>
        <w:rPr>
          <w:rFonts w:cs="Arial"/>
          <w:sz w:val="16"/>
          <w:szCs w:val="16"/>
          <w:rtl/>
        </w:rPr>
        <w:t>(פ' כל הגט יג. סוד"ה מתני')</w:t>
      </w:r>
      <w:r w:rsidR="00A82951">
        <w:rPr>
          <w:rFonts w:cs="Arial"/>
          <w:rtl/>
        </w:rPr>
        <w:t>-</w:t>
      </w:r>
      <w:r>
        <w:rPr>
          <w:rFonts w:cs="Arial"/>
          <w:rtl/>
        </w:rPr>
        <w:t xml:space="preserve"> הוא הדין אם לא ראו עדים שבא עליה אלא שבודאי בא עליה כגון שנישאת</w:t>
      </w:r>
      <w:r>
        <w:rPr>
          <w:rStyle w:val="a7"/>
          <w:rFonts w:cs="Arial"/>
          <w:rtl/>
        </w:rPr>
        <w:footnoteReference w:id="2636"/>
      </w:r>
      <w:r>
        <w:rPr>
          <w:rFonts w:cs="Arial"/>
          <w:rtl/>
        </w:rPr>
        <w:t>.</w:t>
      </w:r>
      <w:r>
        <w:rPr>
          <w:rtl/>
        </w:rPr>
        <w:t xml:space="preserve"> </w:t>
      </w:r>
      <w:r>
        <w:rPr>
          <w:color w:val="00B0F0"/>
          <w:rtl/>
        </w:rPr>
        <w:t>(וכ"פ הרמ"א)</w:t>
      </w:r>
    </w:p>
    <w:p w14:paraId="6AFABD20" w14:textId="77777777" w:rsidR="00C97BEF" w:rsidRDefault="00C97BEF" w:rsidP="00C97BEF">
      <w:pPr>
        <w:rPr>
          <w:u w:val="single"/>
        </w:rPr>
      </w:pPr>
      <w:r>
        <w:rPr>
          <w:u w:val="single"/>
          <w:rtl/>
        </w:rPr>
        <w:t>המתייחד עם גרושתו בפני עדים:</w:t>
      </w:r>
    </w:p>
    <w:p w14:paraId="303660AC" w14:textId="2FE50006"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ואם לא ראוה עדים שבא עליה אלא שנתיחד עמה, אם היא מן הנישואין </w:t>
      </w:r>
      <w:r w:rsidR="00A82951">
        <w:rPr>
          <w:rFonts w:cs="Arial"/>
          <w:rtl/>
        </w:rPr>
        <w:t>-</w:t>
      </w:r>
      <w:r>
        <w:rPr>
          <w:rFonts w:cs="Arial"/>
          <w:rtl/>
        </w:rPr>
        <w:t xml:space="preserve"> צריכה ממנו גט שני, שעדי ייחוד הן עידי ביאה ובעל לשם קידושין. ואם היא מן האירוסין </w:t>
      </w:r>
      <w:r w:rsidR="00A82951">
        <w:rPr>
          <w:rFonts w:cs="Arial"/>
          <w:rtl/>
        </w:rPr>
        <w:t>-</w:t>
      </w:r>
      <w:r>
        <w:rPr>
          <w:rFonts w:cs="Arial"/>
          <w:rtl/>
        </w:rPr>
        <w:t xml:space="preserve"> אינה צריכה ממנו גט שני, שאין לבו גס עליה ולא אמרינן שבעל לשם קידושין.</w:t>
      </w:r>
      <w:r>
        <w:rPr>
          <w:color w:val="E36C0A" w:themeColor="accent6" w:themeShade="BF"/>
          <w:rtl/>
        </w:rPr>
        <w:t xml:space="preserve"> (וכ"פ בשו"ע</w:t>
      </w:r>
      <w:r>
        <w:rPr>
          <w:color w:val="E36C0A" w:themeColor="accent6" w:themeShade="BF"/>
          <w:sz w:val="16"/>
          <w:szCs w:val="16"/>
          <w:rtl/>
        </w:rPr>
        <w:t xml:space="preserve"> </w:t>
      </w:r>
      <w:r>
        <w:rPr>
          <w:color w:val="000000" w:themeColor="text1"/>
          <w:sz w:val="16"/>
          <w:szCs w:val="16"/>
          <w:rtl/>
        </w:rPr>
        <w:t>[בסע' ב]</w:t>
      </w:r>
      <w:r>
        <w:rPr>
          <w:color w:val="E36C0A" w:themeColor="accent6" w:themeShade="BF"/>
          <w:rtl/>
        </w:rPr>
        <w:t>)</w:t>
      </w:r>
    </w:p>
    <w:p w14:paraId="31277DA1" w14:textId="77777777" w:rsidR="00C97BEF" w:rsidRDefault="00C97BEF" w:rsidP="00C97BEF">
      <w:pPr>
        <w:ind w:left="360"/>
        <w:rPr>
          <w:u w:val="dotted"/>
        </w:rPr>
      </w:pPr>
      <w:r>
        <w:rPr>
          <w:u w:val="dotted"/>
          <w:rtl/>
        </w:rPr>
        <w:t>ומה הדין אם התייחד עם גרושתו מן האירוסין ורואים דגייסי אהדדי:</w:t>
      </w:r>
    </w:p>
    <w:p w14:paraId="530B467B" w14:textId="7710DFD1" w:rsidR="00C97BEF" w:rsidRDefault="00C97BEF" w:rsidP="006A458D">
      <w:pPr>
        <w:pStyle w:val="ab"/>
        <w:numPr>
          <w:ilvl w:val="0"/>
          <w:numId w:val="123"/>
        </w:numPr>
      </w:pPr>
      <w:r>
        <w:rPr>
          <w:rFonts w:cs="Arial"/>
          <w:rtl/>
        </w:rPr>
        <w:t xml:space="preserve">רשב"א </w:t>
      </w:r>
      <w:r>
        <w:rPr>
          <w:rFonts w:cs="Arial"/>
          <w:sz w:val="16"/>
          <w:szCs w:val="16"/>
          <w:rtl/>
        </w:rPr>
        <w:t>(פא: ד"ה והא, כ"כ בשמו הה"מ [פ"י הי"ח] והר"ן [מב: ד"ה גמ' וב"ה])</w:t>
      </w:r>
      <w:r w:rsidR="00A82951">
        <w:rPr>
          <w:rFonts w:cs="Arial"/>
          <w:rtl/>
        </w:rPr>
        <w:t>-</w:t>
      </w:r>
      <w:r>
        <w:rPr>
          <w:rFonts w:cs="Arial"/>
          <w:rtl/>
        </w:rPr>
        <w:t xml:space="preserve"> והא דאמרי' הכא ומודים ודאי בנתגרשה מן האירוסין שאינה צריכה ממנו גט שני דכיון דאין לבו גס בה לא אמרי' הן הן עדי יחוד הן הן עידי ביאה, איכא למימר דהיכא דגיסי אהדדי </w:t>
      </w:r>
      <w:r w:rsidR="00A82951">
        <w:rPr>
          <w:rFonts w:cs="Arial"/>
          <w:rtl/>
        </w:rPr>
        <w:t>-</w:t>
      </w:r>
      <w:r>
        <w:rPr>
          <w:rFonts w:cs="Arial"/>
          <w:rtl/>
        </w:rPr>
        <w:t xml:space="preserve"> צריכה, כדאמרי' בכתובות (כח.) גבי נתגרשה מן האירוסין נפרעת ע"י עצמה לפי שאין לבו גס בה, ההוא ארוס וארוסתו דאתו לקמיה דרבא אוקי רבא שליחא ביניהו הוה יתיב רב אדא בר מתנה קמיה א"ל למה לי' למר כולי האי והאמר רב נחמן תנא באבל רבתי א"ל הני מילי היכא דלא גיסי הכא חזינא להו דגיסי אהדדי. ודכותה נמי הכא היכא דחזינא להו דגיסי אהדדי </w:t>
      </w:r>
      <w:r w:rsidR="00A82951">
        <w:rPr>
          <w:rFonts w:cs="Arial"/>
          <w:rtl/>
        </w:rPr>
        <w:t>-</w:t>
      </w:r>
      <w:r>
        <w:rPr>
          <w:rFonts w:cs="Arial"/>
          <w:rtl/>
        </w:rPr>
        <w:t xml:space="preserve"> צריכה הימנו גט שני, כנ"ל, וכן נראה מן הירושלמי (פ"ח דגיטין ה"ט). </w:t>
      </w:r>
      <w:bookmarkStart w:id="27" w:name="_Hlk97118501"/>
      <w:r>
        <w:rPr>
          <w:color w:val="E36C0A" w:themeColor="accent6" w:themeShade="BF"/>
          <w:rtl/>
        </w:rPr>
        <w:t>(וכ"פ בשו"ע</w:t>
      </w:r>
      <w:r>
        <w:rPr>
          <w:color w:val="E36C0A" w:themeColor="accent6" w:themeShade="BF"/>
          <w:sz w:val="16"/>
          <w:szCs w:val="16"/>
          <w:rtl/>
        </w:rPr>
        <w:t xml:space="preserve"> </w:t>
      </w:r>
      <w:r>
        <w:rPr>
          <w:color w:val="000000" w:themeColor="text1"/>
          <w:sz w:val="16"/>
          <w:szCs w:val="16"/>
          <w:rtl/>
        </w:rPr>
        <w:t>[בסע' ב]</w:t>
      </w:r>
      <w:r>
        <w:rPr>
          <w:color w:val="E36C0A" w:themeColor="accent6" w:themeShade="BF"/>
          <w:rtl/>
        </w:rPr>
        <w:t>)</w:t>
      </w:r>
    </w:p>
    <w:p w14:paraId="729BB0FA" w14:textId="34AE5EE9" w:rsidR="00C97BEF" w:rsidRDefault="009032F9" w:rsidP="00C97BEF">
      <w:pPr>
        <w:ind w:left="360"/>
        <w:rPr>
          <w:u w:val="dotted"/>
        </w:rPr>
      </w:pPr>
      <w:r>
        <w:rPr>
          <w:rFonts w:hint="cs"/>
          <w:u w:val="dotted"/>
          <w:rtl/>
        </w:rPr>
        <w:lastRenderedPageBreak/>
        <w:t xml:space="preserve">ומה הדין אם </w:t>
      </w:r>
      <w:r w:rsidR="00C97BEF">
        <w:rPr>
          <w:u w:val="dotted"/>
          <w:rtl/>
        </w:rPr>
        <w:t>העדים לא ראו יחד</w:t>
      </w:r>
      <w:r>
        <w:rPr>
          <w:rFonts w:hint="cs"/>
          <w:u w:val="dotted"/>
          <w:rtl/>
        </w:rPr>
        <w:t xml:space="preserve"> את היחוד,</w:t>
      </w:r>
      <w:r w:rsidR="00C97BEF">
        <w:rPr>
          <w:u w:val="dotted"/>
          <w:rtl/>
        </w:rPr>
        <w:t xml:space="preserve"> או שה</w:t>
      </w:r>
      <w:r>
        <w:rPr>
          <w:rFonts w:hint="cs"/>
          <w:u w:val="dotted"/>
          <w:rtl/>
        </w:rPr>
        <w:t xml:space="preserve">איש והאשה </w:t>
      </w:r>
      <w:r w:rsidR="00C97BEF">
        <w:rPr>
          <w:u w:val="dotted"/>
          <w:rtl/>
        </w:rPr>
        <w:t xml:space="preserve">לא </w:t>
      </w:r>
      <w:r>
        <w:rPr>
          <w:rFonts w:hint="cs"/>
          <w:u w:val="dotted"/>
          <w:rtl/>
        </w:rPr>
        <w:t xml:space="preserve">ראו </w:t>
      </w:r>
      <w:r w:rsidR="00C97BEF">
        <w:rPr>
          <w:u w:val="dotted"/>
          <w:rtl/>
        </w:rPr>
        <w:t xml:space="preserve">את העדים:  </w:t>
      </w:r>
    </w:p>
    <w:p w14:paraId="59E14DEC" w14:textId="60B81F0B" w:rsidR="00C97BEF" w:rsidRDefault="00C97BEF" w:rsidP="006A458D">
      <w:pPr>
        <w:pStyle w:val="ab"/>
        <w:numPr>
          <w:ilvl w:val="0"/>
          <w:numId w:val="123"/>
        </w:numPr>
      </w:pPr>
      <w:r>
        <w:rPr>
          <w:rFonts w:cs="Arial"/>
          <w:rtl/>
        </w:rPr>
        <w:t>ב"י</w:t>
      </w:r>
      <w:r w:rsidR="00A82951">
        <w:rPr>
          <w:rFonts w:cs="Arial"/>
          <w:rtl/>
        </w:rPr>
        <w:t>-</w:t>
      </w:r>
      <w:r>
        <w:rPr>
          <w:rFonts w:cs="Arial"/>
          <w:rtl/>
        </w:rPr>
        <w:t xml:space="preserve"> והא ודאי פשיטא דלא חיישינן לעדי יחוד אלא כשראו שניהם כאחד ושהוא והיא רואים אותם, הא לאו הכי לא חיישינן להו ואפילו ראוה שנבעלה וכמו שכתבתי בסימן קמ"ח (סע' ב)</w:t>
      </w:r>
      <w:bookmarkEnd w:id="27"/>
      <w:r>
        <w:rPr>
          <w:rFonts w:cs="Arial"/>
          <w:rtl/>
        </w:rPr>
        <w:t>.</w:t>
      </w:r>
      <w:r>
        <w:rPr>
          <w:color w:val="E36C0A" w:themeColor="accent6" w:themeShade="BF"/>
          <w:rtl/>
        </w:rPr>
        <w:t xml:space="preserve"> (וכ"פ בשו"ע</w:t>
      </w:r>
      <w:r>
        <w:rPr>
          <w:color w:val="E36C0A" w:themeColor="accent6" w:themeShade="BF"/>
          <w:sz w:val="16"/>
          <w:szCs w:val="16"/>
          <w:rtl/>
        </w:rPr>
        <w:t xml:space="preserve"> </w:t>
      </w:r>
      <w:r>
        <w:rPr>
          <w:color w:val="000000" w:themeColor="text1"/>
          <w:sz w:val="16"/>
          <w:szCs w:val="16"/>
          <w:rtl/>
        </w:rPr>
        <w:t>[בסע' ב]</w:t>
      </w:r>
      <w:r>
        <w:rPr>
          <w:color w:val="E36C0A" w:themeColor="accent6" w:themeShade="BF"/>
          <w:rtl/>
        </w:rPr>
        <w:t>)</w:t>
      </w:r>
    </w:p>
    <w:p w14:paraId="285DDD06" w14:textId="3FCB3CF7" w:rsidR="009032F9" w:rsidRPr="009032F9" w:rsidRDefault="009032F9" w:rsidP="009032F9">
      <w:pPr>
        <w:rPr>
          <w:u w:val="single"/>
        </w:rPr>
      </w:pPr>
      <w:r w:rsidRPr="009032F9">
        <w:rPr>
          <w:rFonts w:hint="cs"/>
          <w:u w:val="single"/>
          <w:rtl/>
        </w:rPr>
        <w:t>גרוש וגרושה שגרים בבית אחד</w:t>
      </w:r>
      <w:r>
        <w:rPr>
          <w:rFonts w:hint="cs"/>
          <w:u w:val="single"/>
          <w:rtl/>
        </w:rPr>
        <w:t>, ואנשים יודעים זאת</w:t>
      </w:r>
      <w:r w:rsidRPr="009032F9">
        <w:rPr>
          <w:rFonts w:hint="cs"/>
          <w:u w:val="single"/>
          <w:rtl/>
        </w:rPr>
        <w:t xml:space="preserve"> - האם הוי כעדי יחוד:</w:t>
      </w:r>
    </w:p>
    <w:p w14:paraId="3E34A70F" w14:textId="4A1F2867" w:rsidR="001127F9" w:rsidRDefault="001127F9" w:rsidP="006A458D">
      <w:pPr>
        <w:pStyle w:val="ab"/>
        <w:numPr>
          <w:ilvl w:val="0"/>
          <w:numId w:val="123"/>
        </w:numPr>
      </w:pPr>
      <w:r>
        <w:rPr>
          <w:rFonts w:cs="Arial" w:hint="cs"/>
          <w:rtl/>
        </w:rPr>
        <w:t xml:space="preserve">שו"ת בעלי התוספות </w:t>
      </w:r>
      <w:r>
        <w:rPr>
          <w:rFonts w:cs="Arial" w:hint="cs"/>
          <w:sz w:val="16"/>
          <w:szCs w:val="16"/>
          <w:rtl/>
        </w:rPr>
        <w:t>(סי' קלג)</w:t>
      </w:r>
      <w:r w:rsidR="00A82951">
        <w:rPr>
          <w:rFonts w:cs="Arial" w:hint="cs"/>
          <w:rtl/>
        </w:rPr>
        <w:t>-</w:t>
      </w:r>
      <w:r>
        <w:rPr>
          <w:rFonts w:cs="Arial" w:hint="cs"/>
          <w:rtl/>
        </w:rPr>
        <w:t xml:space="preserve"> </w:t>
      </w:r>
      <w:r w:rsidRPr="001127F9">
        <w:rPr>
          <w:rFonts w:cs="Arial"/>
          <w:rtl/>
        </w:rPr>
        <w:t>מ"מ מיקרי עידי ייחוד מה שהוא דר עמה בבית, דדבר שהסתם כך הוא כדאיתא עדים דמי</w:t>
      </w:r>
      <w:r>
        <w:rPr>
          <w:rStyle w:val="a7"/>
          <w:rFonts w:cs="Arial"/>
          <w:rtl/>
        </w:rPr>
        <w:footnoteReference w:id="2637"/>
      </w:r>
      <w:r w:rsidRPr="001127F9">
        <w:rPr>
          <w:rFonts w:cs="Arial"/>
          <w:rtl/>
        </w:rPr>
        <w:t>.</w:t>
      </w:r>
    </w:p>
    <w:p w14:paraId="33772E2D"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E334D36" w14:textId="1111C9C2" w:rsidR="00C97BEF" w:rsidRDefault="00C97BEF" w:rsidP="00C97BEF">
      <w:pPr>
        <w:rPr>
          <w:rtl/>
        </w:rPr>
      </w:pPr>
      <w:r>
        <w:rPr>
          <w:rFonts w:cs="Arial"/>
          <w:rtl/>
        </w:rPr>
        <w:t xml:space="preserve">המגרש את אשתו, וחזר ובעלה בפני עדים, </w:t>
      </w:r>
      <w:r>
        <w:rPr>
          <w:rFonts w:cs="Arial"/>
          <w:sz w:val="18"/>
          <w:szCs w:val="18"/>
          <w:rtl/>
        </w:rPr>
        <w:t>[הגה] או שגלוי לכל שבא עליה, כגון שנשאה</w:t>
      </w:r>
      <w:r>
        <w:rPr>
          <w:rStyle w:val="a7"/>
          <w:rFonts w:cs="Arial"/>
          <w:sz w:val="18"/>
          <w:szCs w:val="18"/>
          <w:rtl/>
        </w:rPr>
        <w:footnoteReference w:id="2638"/>
      </w:r>
      <w:r>
        <w:rPr>
          <w:rFonts w:cs="Arial"/>
          <w:sz w:val="18"/>
          <w:szCs w:val="18"/>
          <w:rtl/>
        </w:rPr>
        <w:t xml:space="preserve"> (ר"ן),</w:t>
      </w:r>
      <w:r>
        <w:rPr>
          <w:rFonts w:cs="Arial"/>
          <w:rtl/>
        </w:rPr>
        <w:t xml:space="preserve"> קודם שתנשא לאחר, בין שגירשה מן הנשואין בין מן האירוסין, הואיל ואשתו היתה, הרי זו בחזקת שהחזירה ולשם קידושין בעל ולא לשם זנות. ואפילו ראו שנתן לה מעות, שחזקה היא שאין אדם עושה בעילתו בעילת זנות, והרי בידו לעשותה בעילת מצוה. לפיכך הרי זו מקודשת קדושי ודאי</w:t>
      </w:r>
      <w:r>
        <w:rPr>
          <w:rStyle w:val="a7"/>
          <w:rFonts w:cs="Arial"/>
          <w:rtl/>
        </w:rPr>
        <w:footnoteReference w:id="2639"/>
      </w:r>
      <w:r>
        <w:rPr>
          <w:rFonts w:cs="Arial"/>
          <w:rtl/>
        </w:rPr>
        <w:t xml:space="preserve">, וצריכה ממנו גט שני. </w:t>
      </w:r>
    </w:p>
    <w:p w14:paraId="1125FACB" w14:textId="684F5F3C" w:rsidR="00C97BEF" w:rsidRDefault="00C97BEF" w:rsidP="00C97BEF">
      <w:pPr>
        <w:rPr>
          <w:u w:val="single"/>
          <w:rtl/>
        </w:rPr>
      </w:pPr>
      <w:r>
        <w:rPr>
          <w:u w:val="single"/>
          <w:rtl/>
        </w:rPr>
        <w:t xml:space="preserve">מקרים שבהם אומרים </w:t>
      </w:r>
      <w:r w:rsidR="00410020">
        <w:rPr>
          <w:rFonts w:hint="cs"/>
          <w:u w:val="single"/>
          <w:rtl/>
        </w:rPr>
        <w:t>"</w:t>
      </w:r>
      <w:r w:rsidR="00410020">
        <w:rPr>
          <w:u w:val="single"/>
          <w:rtl/>
        </w:rPr>
        <w:t xml:space="preserve">אדם </w:t>
      </w:r>
      <w:r>
        <w:rPr>
          <w:u w:val="single"/>
          <w:rtl/>
        </w:rPr>
        <w:t>עושה בעילתו בעילת זנות</w:t>
      </w:r>
      <w:r w:rsidR="00410020">
        <w:rPr>
          <w:rFonts w:hint="cs"/>
          <w:u w:val="single"/>
          <w:rtl/>
        </w:rPr>
        <w:t>"</w:t>
      </w:r>
      <w:r>
        <w:rPr>
          <w:u w:val="single"/>
          <w:rtl/>
        </w:rPr>
        <w:t>:</w:t>
      </w:r>
      <w:r>
        <w:rPr>
          <w:rFonts w:cs="Arial"/>
          <w:sz w:val="16"/>
          <w:szCs w:val="16"/>
          <w:rtl/>
        </w:rPr>
        <w:t xml:space="preserve"> (באה"ט [סק"א] ופת"ש [סק"א</w:t>
      </w:r>
      <w:r w:rsidR="00A82951">
        <w:rPr>
          <w:rFonts w:cs="Arial"/>
          <w:sz w:val="16"/>
          <w:szCs w:val="16"/>
          <w:rtl/>
        </w:rPr>
        <w:t>-</w:t>
      </w:r>
      <w:r>
        <w:rPr>
          <w:rFonts w:cs="Arial"/>
          <w:sz w:val="16"/>
          <w:szCs w:val="16"/>
          <w:rtl/>
        </w:rPr>
        <w:t>ב])</w:t>
      </w:r>
    </w:p>
    <w:p w14:paraId="7913000E" w14:textId="77777777" w:rsidR="00C97BEF" w:rsidRDefault="00C97BEF" w:rsidP="00C97BEF">
      <w:pPr>
        <w:ind w:left="360"/>
        <w:rPr>
          <w:rFonts w:cs="Arial"/>
          <w:u w:val="dotted"/>
          <w:rtl/>
        </w:rPr>
      </w:pPr>
      <w:r>
        <w:rPr>
          <w:rFonts w:cs="Arial"/>
          <w:u w:val="dotted"/>
          <w:rtl/>
        </w:rPr>
        <w:t>הבא על גרושתו לאחר שנשאת:</w:t>
      </w:r>
    </w:p>
    <w:p w14:paraId="68F60FC5" w14:textId="28A145F0" w:rsidR="00C97BEF" w:rsidRDefault="00C97BEF" w:rsidP="006A458D">
      <w:pPr>
        <w:pStyle w:val="ab"/>
        <w:numPr>
          <w:ilvl w:val="0"/>
          <w:numId w:val="123"/>
        </w:numPr>
        <w:rPr>
          <w:rFonts w:cs="Arial"/>
        </w:rPr>
      </w:pPr>
      <w:r>
        <w:rPr>
          <w:rFonts w:cs="Arial"/>
          <w:rtl/>
        </w:rPr>
        <w:t xml:space="preserve">באה"ט </w:t>
      </w:r>
      <w:r>
        <w:rPr>
          <w:rFonts w:cs="Arial"/>
          <w:sz w:val="16"/>
          <w:szCs w:val="16"/>
          <w:rtl/>
        </w:rPr>
        <w:t>(סק"א)</w:t>
      </w:r>
      <w:r w:rsidR="00A82951">
        <w:rPr>
          <w:rFonts w:cs="Arial"/>
          <w:rtl/>
        </w:rPr>
        <w:t>-</w:t>
      </w:r>
      <w:r>
        <w:rPr>
          <w:rFonts w:cs="Arial"/>
          <w:rtl/>
        </w:rPr>
        <w:t xml:space="preserve"> אם בא על גרושתו אחר שנשאת לאחר, וגירשה או נתאלמנה </w:t>
      </w:r>
      <w:r w:rsidR="00A82951">
        <w:rPr>
          <w:rFonts w:cs="Arial"/>
          <w:rtl/>
        </w:rPr>
        <w:t>-</w:t>
      </w:r>
      <w:r>
        <w:rPr>
          <w:rFonts w:cs="Arial"/>
          <w:rtl/>
        </w:rPr>
        <w:t xml:space="preserve"> אינה צריכה גט דודאי בעילתו בעילת זנות ולא לשם קדושין, שאם יבעול לשם קדושין לוקה. שלט"ג (פרק מ"ש). </w:t>
      </w:r>
    </w:p>
    <w:p w14:paraId="42C7EDFB" w14:textId="77777777" w:rsidR="00C97BEF" w:rsidRDefault="00C97BEF" w:rsidP="00C97BEF">
      <w:pPr>
        <w:ind w:left="360"/>
        <w:rPr>
          <w:rFonts w:cs="Arial"/>
          <w:u w:val="dotted"/>
        </w:rPr>
      </w:pPr>
      <w:r>
        <w:rPr>
          <w:rFonts w:cs="Arial"/>
          <w:u w:val="dotted"/>
          <w:rtl/>
        </w:rPr>
        <w:t>כהן הבא על גרושתו:</w:t>
      </w:r>
    </w:p>
    <w:p w14:paraId="0B0181DD" w14:textId="134E5A7A" w:rsidR="00C97BEF" w:rsidRDefault="00C97BEF" w:rsidP="006A458D">
      <w:pPr>
        <w:pStyle w:val="ab"/>
        <w:numPr>
          <w:ilvl w:val="0"/>
          <w:numId w:val="123"/>
        </w:numPr>
        <w:rPr>
          <w:rFonts w:cs="Arial"/>
        </w:rPr>
      </w:pPr>
      <w:r>
        <w:rPr>
          <w:rFonts w:cs="Arial"/>
          <w:rtl/>
        </w:rPr>
        <w:t xml:space="preserve">באה"ט </w:t>
      </w:r>
      <w:r>
        <w:rPr>
          <w:rFonts w:cs="Arial"/>
          <w:sz w:val="16"/>
          <w:szCs w:val="16"/>
          <w:rtl/>
        </w:rPr>
        <w:t>(סק"א)</w:t>
      </w:r>
      <w:r w:rsidR="00A82951">
        <w:rPr>
          <w:rFonts w:cs="Arial"/>
          <w:rtl/>
        </w:rPr>
        <w:t>-</w:t>
      </w:r>
      <w:r>
        <w:rPr>
          <w:rFonts w:cs="Arial"/>
          <w:rtl/>
        </w:rPr>
        <w:t xml:space="preserve"> מהר"י הלוי (בתשובה סי' יד) כתב שאם המגרש כהן </w:t>
      </w:r>
      <w:r w:rsidR="00A82951">
        <w:rPr>
          <w:rFonts w:cs="Arial"/>
          <w:rtl/>
        </w:rPr>
        <w:t>-</w:t>
      </w:r>
      <w:r>
        <w:rPr>
          <w:rFonts w:cs="Arial"/>
          <w:rtl/>
        </w:rPr>
        <w:t xml:space="preserve"> אינה צריכה גט</w:t>
      </w:r>
      <w:r>
        <w:rPr>
          <w:rStyle w:val="a7"/>
          <w:rFonts w:cs="Arial"/>
          <w:rtl/>
        </w:rPr>
        <w:footnoteReference w:id="2640"/>
      </w:r>
      <w:r>
        <w:rPr>
          <w:rFonts w:cs="Arial"/>
          <w:rtl/>
        </w:rPr>
        <w:t xml:space="preserve">. וכנה"ג כתב ואני מפקפק בזה, דכל שקדושין תופסין בה יש לחוש שמא לשם קידושין בעל, דבין הכי ובין הכי עובר על לאו גרידא יש לחוש שמא לשם קדושין בעל, ונראה שכל שאינו יכול לקיימה לא חיישינן שבעל לשם קדושין ע"ש. </w:t>
      </w:r>
    </w:p>
    <w:p w14:paraId="53DFC04B" w14:textId="77777777" w:rsidR="00C97BEF" w:rsidRDefault="00C97BEF" w:rsidP="00C97BEF">
      <w:pPr>
        <w:ind w:left="360"/>
        <w:rPr>
          <w:rFonts w:cs="Arial"/>
          <w:u w:val="dotted"/>
        </w:rPr>
      </w:pPr>
      <w:r>
        <w:rPr>
          <w:rFonts w:cs="Arial"/>
          <w:u w:val="dotted"/>
          <w:rtl/>
        </w:rPr>
        <w:t>מי שגירש את אשתו בגלל שזינתה תחתיו:</w:t>
      </w:r>
    </w:p>
    <w:p w14:paraId="49E0E240" w14:textId="09C5B54A" w:rsidR="00C97BEF" w:rsidRDefault="00C97BEF" w:rsidP="006A458D">
      <w:pPr>
        <w:pStyle w:val="ab"/>
        <w:numPr>
          <w:ilvl w:val="0"/>
          <w:numId w:val="123"/>
        </w:numPr>
        <w:rPr>
          <w:rFonts w:cs="Arial"/>
        </w:rPr>
      </w:pPr>
      <w:r>
        <w:rPr>
          <w:rFonts w:cs="Arial"/>
          <w:rtl/>
        </w:rPr>
        <w:t xml:space="preserve">באה"ט </w:t>
      </w:r>
      <w:r>
        <w:rPr>
          <w:rFonts w:cs="Arial"/>
          <w:sz w:val="16"/>
          <w:szCs w:val="16"/>
          <w:rtl/>
        </w:rPr>
        <w:t>(סק"א)</w:t>
      </w:r>
      <w:r w:rsidR="00A82951">
        <w:rPr>
          <w:rFonts w:cs="Arial"/>
          <w:rtl/>
        </w:rPr>
        <w:t>-</w:t>
      </w:r>
      <w:r>
        <w:rPr>
          <w:rFonts w:cs="Arial"/>
          <w:rtl/>
        </w:rPr>
        <w:t xml:space="preserve"> כתב בתשובת מהר"ם אלשקאר (סי' פח) שאם גירשה מפני שזינתה תחתיו אפי' ראוה שנבעלה </w:t>
      </w:r>
      <w:r w:rsidR="00A82951">
        <w:rPr>
          <w:rFonts w:cs="Arial"/>
          <w:rtl/>
        </w:rPr>
        <w:t>-</w:t>
      </w:r>
      <w:r>
        <w:rPr>
          <w:rFonts w:cs="Arial"/>
          <w:rtl/>
        </w:rPr>
        <w:t xml:space="preserve"> א"צ גט שני</w:t>
      </w:r>
      <w:r>
        <w:rPr>
          <w:rStyle w:val="a7"/>
          <w:rFonts w:cs="Arial"/>
          <w:rtl/>
        </w:rPr>
        <w:footnoteReference w:id="2641"/>
      </w:r>
      <w:r>
        <w:rPr>
          <w:rFonts w:cs="Arial"/>
          <w:rtl/>
        </w:rPr>
        <w:t xml:space="preserve"> דודאי לשם זנות בעל ולא לשם קדושין דמידע ידע שלא יוכל לקיימה והפוכי מטרתא למה לך. אבל הרדב"ז (ח"א סי' רעז) כתב דאם נתייחדה אינה צריכה גט, ואם ראוה שנבעלה צריכה גט ע"ש. וע"ל סי' קמ"ח סק"ב מש"ש ודו"ק. </w:t>
      </w:r>
    </w:p>
    <w:p w14:paraId="53548565" w14:textId="77777777" w:rsidR="00C97BEF" w:rsidRDefault="00C97BEF" w:rsidP="00C97BEF">
      <w:pPr>
        <w:ind w:left="360"/>
        <w:rPr>
          <w:rFonts w:cs="Arial"/>
          <w:u w:val="dotted"/>
        </w:rPr>
      </w:pPr>
      <w:r>
        <w:rPr>
          <w:rFonts w:cs="Arial"/>
          <w:u w:val="dotted"/>
          <w:rtl/>
        </w:rPr>
        <w:t>מי שיש לו אשה אחרת:</w:t>
      </w:r>
    </w:p>
    <w:p w14:paraId="6C8E4CDB" w14:textId="28B0F8EE" w:rsidR="00C97BEF" w:rsidRDefault="00C97BEF" w:rsidP="006A458D">
      <w:pPr>
        <w:pStyle w:val="ab"/>
        <w:numPr>
          <w:ilvl w:val="0"/>
          <w:numId w:val="123"/>
        </w:numPr>
        <w:rPr>
          <w:rFonts w:cs="Arial"/>
        </w:rPr>
      </w:pPr>
      <w:r>
        <w:rPr>
          <w:rFonts w:cs="Arial"/>
          <w:rtl/>
        </w:rPr>
        <w:t xml:space="preserve">באה"ט </w:t>
      </w:r>
      <w:r>
        <w:rPr>
          <w:rFonts w:cs="Arial"/>
          <w:sz w:val="16"/>
          <w:szCs w:val="16"/>
          <w:rtl/>
        </w:rPr>
        <w:t>(סק"א)</w:t>
      </w:r>
      <w:r w:rsidR="00A82951">
        <w:rPr>
          <w:rFonts w:cs="Arial"/>
          <w:rtl/>
        </w:rPr>
        <w:t>-</w:t>
      </w:r>
      <w:r>
        <w:rPr>
          <w:rFonts w:cs="Arial"/>
          <w:rtl/>
        </w:rPr>
        <w:t xml:space="preserve"> אם היה לו אשה אחרת לא חיישינן דבעל לשם קדושין, דלא עבר על חרם ר"ג. מהרי"ט (ח"ב סי' א). וכנה"ג הביא פוסקים דס"ל דחיישינן אפי' בכה"ג דבעל לשם קדושין ע"ש. </w:t>
      </w:r>
    </w:p>
    <w:p w14:paraId="2A274D3E" w14:textId="77777777" w:rsidR="00C97BEF" w:rsidRDefault="00C97BEF" w:rsidP="00C97BEF">
      <w:pPr>
        <w:ind w:left="360"/>
        <w:rPr>
          <w:rFonts w:cs="Arial"/>
          <w:u w:val="dotted"/>
        </w:rPr>
      </w:pPr>
      <w:r>
        <w:rPr>
          <w:rFonts w:cs="Arial"/>
          <w:u w:val="dotted"/>
          <w:rtl/>
        </w:rPr>
        <w:t>הבא על הנדה:</w:t>
      </w:r>
    </w:p>
    <w:p w14:paraId="40CB1BB7" w14:textId="3F4CB7A0" w:rsidR="00C97BEF" w:rsidRDefault="00C97BEF" w:rsidP="006A458D">
      <w:pPr>
        <w:pStyle w:val="ab"/>
        <w:numPr>
          <w:ilvl w:val="0"/>
          <w:numId w:val="123"/>
        </w:numPr>
        <w:rPr>
          <w:rFonts w:cs="Arial"/>
        </w:rPr>
      </w:pPr>
      <w:r>
        <w:rPr>
          <w:rFonts w:cs="Arial"/>
          <w:rtl/>
        </w:rPr>
        <w:t xml:space="preserve">באה"ט </w:t>
      </w:r>
      <w:r>
        <w:rPr>
          <w:rFonts w:cs="Arial"/>
          <w:sz w:val="16"/>
          <w:szCs w:val="16"/>
          <w:rtl/>
        </w:rPr>
        <w:t>(סק"ב)</w:t>
      </w:r>
      <w:r w:rsidR="00A82951">
        <w:rPr>
          <w:rFonts w:cs="Arial"/>
          <w:rtl/>
        </w:rPr>
        <w:t>-</w:t>
      </w:r>
      <w:r>
        <w:rPr>
          <w:rFonts w:cs="Arial"/>
          <w:rtl/>
        </w:rPr>
        <w:t xml:space="preserve"> המתייחד עם גרושתו והי</w:t>
      </w:r>
      <w:r w:rsidR="00410020">
        <w:rPr>
          <w:rFonts w:cs="Arial" w:hint="cs"/>
          <w:rtl/>
        </w:rPr>
        <w:t>יתה</w:t>
      </w:r>
      <w:r>
        <w:rPr>
          <w:rFonts w:cs="Arial"/>
          <w:rtl/>
        </w:rPr>
        <w:t xml:space="preserve"> בנדתה אינה צריכה גט שני ממנו. הרדב"ז (ח"א סי' רעז)</w:t>
      </w:r>
      <w:r>
        <w:rPr>
          <w:rStyle w:val="a7"/>
          <w:rFonts w:cs="Arial"/>
          <w:rtl/>
        </w:rPr>
        <w:footnoteReference w:id="2642"/>
      </w:r>
      <w:r>
        <w:rPr>
          <w:rFonts w:cs="Arial"/>
          <w:rtl/>
        </w:rPr>
        <w:t xml:space="preserve">. </w:t>
      </w:r>
    </w:p>
    <w:p w14:paraId="4AF30D4D" w14:textId="1CB56184" w:rsidR="00C97BEF" w:rsidRDefault="00C97BEF" w:rsidP="006A458D">
      <w:pPr>
        <w:pStyle w:val="ab"/>
        <w:numPr>
          <w:ilvl w:val="0"/>
          <w:numId w:val="123"/>
        </w:numPr>
        <w:rPr>
          <w:rFonts w:cs="Arial"/>
        </w:rPr>
      </w:pPr>
      <w:r>
        <w:rPr>
          <w:rFonts w:cs="Arial"/>
          <w:rtl/>
        </w:rPr>
        <w:lastRenderedPageBreak/>
        <w:t xml:space="preserve">אבני מלואים </w:t>
      </w:r>
      <w:r>
        <w:rPr>
          <w:rFonts w:cs="Arial"/>
          <w:sz w:val="16"/>
          <w:szCs w:val="16"/>
          <w:rtl/>
        </w:rPr>
        <w:t>(סי' לג סק"א)</w:t>
      </w:r>
      <w:r w:rsidR="00A82951">
        <w:rPr>
          <w:rFonts w:cs="Arial"/>
          <w:rtl/>
        </w:rPr>
        <w:t>-</w:t>
      </w:r>
      <w:r>
        <w:rPr>
          <w:rFonts w:cs="Arial"/>
          <w:rtl/>
        </w:rPr>
        <w:t xml:space="preserve"> מדברי הרשב"א בתשובה (סי' קפא, והובא בב"י סי' יז) מבואר שאינו סובר כדברי הרדב"ז, דשם מבואר דאפילו לא ראינו שנבעלה אמרינן הן הן עידי יחוד כו' ואע"ג דאסורה לו מה"ת דכשם שאסורה לבעל אסורה לבועל אפי' הכי כיון דקידושין תופסין בה אין אדם עובב"ז וגמר לשם קדושין ואפי' לא ראינו אלא היחוד אמרי' הן הן כו', ולא כהרדב"ז. </w:t>
      </w:r>
    </w:p>
    <w:p w14:paraId="69522A4C" w14:textId="77777777" w:rsidR="00C97BEF" w:rsidRDefault="00C97BEF" w:rsidP="00C97BEF">
      <w:pPr>
        <w:ind w:left="360"/>
        <w:rPr>
          <w:rFonts w:cs="Arial"/>
          <w:u w:val="dotted"/>
        </w:rPr>
      </w:pPr>
      <w:r>
        <w:rPr>
          <w:rFonts w:cs="Arial"/>
          <w:u w:val="dotted"/>
          <w:rtl/>
        </w:rPr>
        <w:t>מי שפרוץ בעריות:</w:t>
      </w:r>
    </w:p>
    <w:p w14:paraId="102D91F5" w14:textId="379C587B" w:rsidR="00C97BEF" w:rsidRDefault="00C97BEF" w:rsidP="006A458D">
      <w:pPr>
        <w:pStyle w:val="ab"/>
        <w:numPr>
          <w:ilvl w:val="0"/>
          <w:numId w:val="123"/>
        </w:numPr>
        <w:rPr>
          <w:rFonts w:cs="Arial"/>
        </w:rPr>
      </w:pPr>
      <w:r>
        <w:rPr>
          <w:rFonts w:cs="Arial"/>
          <w:rtl/>
        </w:rPr>
        <w:t xml:space="preserve">פת"ש </w:t>
      </w:r>
      <w:r>
        <w:rPr>
          <w:rFonts w:cs="Arial"/>
          <w:sz w:val="16"/>
          <w:szCs w:val="16"/>
          <w:rtl/>
        </w:rPr>
        <w:t>(סק"ב)</w:t>
      </w:r>
      <w:r w:rsidR="00A82951">
        <w:rPr>
          <w:rFonts w:cs="Arial"/>
          <w:rtl/>
        </w:rPr>
        <w:t>-</w:t>
      </w:r>
      <w:r>
        <w:rPr>
          <w:rFonts w:cs="Arial"/>
          <w:rtl/>
        </w:rPr>
        <w:t xml:space="preserve"> וכ' עוד ברדב"ז (ח"א סי' רעז) וכן הדין במי שהוא פרוץ בעריות ורגיל לבא ביאות אסורות</w:t>
      </w:r>
      <w:r w:rsidR="00410020">
        <w:rPr>
          <w:rFonts w:cs="Arial" w:hint="cs"/>
          <w:rtl/>
        </w:rPr>
        <w:t>,</w:t>
      </w:r>
      <w:r>
        <w:rPr>
          <w:rFonts w:cs="Arial"/>
          <w:rtl/>
        </w:rPr>
        <w:t xml:space="preserve"> דכיון דלא קפיד בהכי לא בעל לשם קדושין אלא לשם זנות בעלמא כשאר ביאותיו (וכן מבואר מדברי הריב"ש שהביא ב"י סימן זה וגם מדברי ת</w:t>
      </w:r>
      <w:r w:rsidR="00410020">
        <w:rPr>
          <w:rFonts w:cs="Arial" w:hint="cs"/>
          <w:rtl/>
        </w:rPr>
        <w:t>רו</w:t>
      </w:r>
      <w:r>
        <w:rPr>
          <w:rFonts w:cs="Arial"/>
          <w:rtl/>
        </w:rPr>
        <w:t>ה</w:t>
      </w:r>
      <w:r w:rsidR="00410020">
        <w:rPr>
          <w:rFonts w:cs="Arial" w:hint="cs"/>
          <w:rtl/>
        </w:rPr>
        <w:t>"ד</w:t>
      </w:r>
      <w:r>
        <w:rPr>
          <w:rFonts w:cs="Arial"/>
          <w:rtl/>
        </w:rPr>
        <w:t xml:space="preserve"> שהובא לעיל סימן ל"ג ס"א בהגה). ומ"מ אם אמר לעדים אני מתייחד כדי לבעול לשם קדושין הוי כמדבר עמה על עיסקי קדושיה ונתן לה סתם דהויא מקודשת</w:t>
      </w:r>
      <w:r w:rsidR="00410020">
        <w:rPr>
          <w:rFonts w:cs="Arial" w:hint="cs"/>
          <w:rtl/>
        </w:rPr>
        <w:t>,</w:t>
      </w:r>
      <w:r>
        <w:rPr>
          <w:rFonts w:cs="Arial"/>
          <w:rtl/>
        </w:rPr>
        <w:t xml:space="preserve"> אף הכא נמי אפי' בעל סתם הוי מקודשת ודאי.</w:t>
      </w:r>
    </w:p>
    <w:p w14:paraId="3F453082" w14:textId="77777777" w:rsidR="00C97BEF" w:rsidRDefault="00C97BEF" w:rsidP="00C97BEF">
      <w:pPr>
        <w:ind w:left="360"/>
        <w:rPr>
          <w:rFonts w:cs="Arial"/>
          <w:u w:val="dotted"/>
        </w:rPr>
      </w:pPr>
      <w:r>
        <w:rPr>
          <w:rFonts w:cs="Arial"/>
          <w:u w:val="dotted"/>
          <w:rtl/>
        </w:rPr>
        <w:t>אם שניהם מודים שלא בא עליה:</w:t>
      </w:r>
    </w:p>
    <w:p w14:paraId="5C62B029" w14:textId="2D1DBCA5" w:rsidR="00C97BEF" w:rsidRDefault="00C97BEF" w:rsidP="006A458D">
      <w:pPr>
        <w:pStyle w:val="ab"/>
        <w:numPr>
          <w:ilvl w:val="0"/>
          <w:numId w:val="123"/>
        </w:numPr>
        <w:rPr>
          <w:rFonts w:cs="Arial"/>
          <w:rtl/>
        </w:rPr>
      </w:pPr>
      <w:r>
        <w:rPr>
          <w:rFonts w:cs="Arial"/>
          <w:rtl/>
        </w:rPr>
        <w:t>שלט"ג</w:t>
      </w:r>
      <w:r>
        <w:rPr>
          <w:rFonts w:cs="Arial"/>
          <w:sz w:val="16"/>
          <w:szCs w:val="16"/>
          <w:rtl/>
        </w:rPr>
        <w:t xml:space="preserve"> (כ"כ הב"ש [סק"ד] בשמו)</w:t>
      </w:r>
      <w:r w:rsidR="00A82951">
        <w:rPr>
          <w:rFonts w:cs="Arial"/>
          <w:rtl/>
        </w:rPr>
        <w:t>-</w:t>
      </w:r>
      <w:r>
        <w:rPr>
          <w:rFonts w:cs="Arial"/>
          <w:rtl/>
        </w:rPr>
        <w:t xml:space="preserve"> דלא חיישינן שמא בא עליה וא"צ גט שני ממנו</w:t>
      </w:r>
      <w:r>
        <w:rPr>
          <w:rStyle w:val="a7"/>
          <w:rFonts w:cs="Arial"/>
          <w:rtl/>
        </w:rPr>
        <w:footnoteReference w:id="2643"/>
      </w:r>
      <w:r>
        <w:rPr>
          <w:rFonts w:cs="Arial"/>
          <w:rtl/>
        </w:rPr>
        <w:t xml:space="preserve">. </w:t>
      </w:r>
    </w:p>
    <w:p w14:paraId="510CF2EE" w14:textId="77777777" w:rsidR="00C97BEF" w:rsidRDefault="00C97BEF" w:rsidP="00C97BEF">
      <w:pPr>
        <w:rPr>
          <w:rFonts w:cs="Arial"/>
        </w:rPr>
      </w:pPr>
    </w:p>
    <w:p w14:paraId="78D06CB9" w14:textId="77777777" w:rsidR="00C97BEF" w:rsidRDefault="00C97BEF" w:rsidP="00C97BEF">
      <w:pPr>
        <w:pStyle w:val="2"/>
        <w:rPr>
          <w:rtl/>
        </w:rPr>
      </w:pPr>
      <w:r>
        <w:rPr>
          <w:rtl/>
        </w:rPr>
        <w:t>סעיף ב: המתייחד עם גרושתו.</w:t>
      </w:r>
    </w:p>
    <w:p w14:paraId="6EE7F45C" w14:textId="77777777" w:rsidR="00C97BEF" w:rsidRDefault="00C97BEF" w:rsidP="00C97BEF">
      <w:pPr>
        <w:rPr>
          <w:rtl/>
        </w:rPr>
      </w:pPr>
      <w:r>
        <w:rPr>
          <w:rtl/>
        </w:rPr>
        <w:t>עיין במקורות בסעיף הקודם.</w:t>
      </w:r>
    </w:p>
    <w:p w14:paraId="539650B3" w14:textId="77777777" w:rsidR="00C97BEF" w:rsidRDefault="00C97BEF" w:rsidP="00C97BEF">
      <w:pPr>
        <w:rPr>
          <w:u w:val="single"/>
          <w:rtl/>
        </w:rPr>
      </w:pPr>
      <w:r>
        <w:rPr>
          <w:u w:val="single"/>
          <w:rtl/>
        </w:rPr>
        <w:t>המתייחד עם משודכת שלו וליבו גס בה:</w:t>
      </w:r>
    </w:p>
    <w:p w14:paraId="48A2D6CB" w14:textId="5CD3CD9A" w:rsidR="00C97BEF" w:rsidRDefault="00C97BEF" w:rsidP="006A458D">
      <w:pPr>
        <w:pStyle w:val="ab"/>
        <w:numPr>
          <w:ilvl w:val="0"/>
          <w:numId w:val="123"/>
        </w:numPr>
        <w:rPr>
          <w:rtl/>
        </w:rPr>
      </w:pPr>
      <w:r>
        <w:rPr>
          <w:rFonts w:cs="Arial"/>
          <w:rtl/>
        </w:rPr>
        <w:t xml:space="preserve">רשב"א </w:t>
      </w:r>
      <w:r>
        <w:rPr>
          <w:rFonts w:cs="Arial"/>
          <w:sz w:val="16"/>
          <w:szCs w:val="16"/>
          <w:rtl/>
        </w:rPr>
        <w:t>(במיוחסות סי' קלה)</w:t>
      </w:r>
      <w:r w:rsidR="00A82951">
        <w:rPr>
          <w:rFonts w:cs="Arial"/>
          <w:rtl/>
        </w:rPr>
        <w:t>-</w:t>
      </w:r>
      <w:r>
        <w:rPr>
          <w:rFonts w:cs="Arial"/>
          <w:rtl/>
        </w:rPr>
        <w:t xml:space="preserve"> משודך שהיה נכנס לבית חמיו להתייחד עם משודכתו ולאכול יחד ונתייחד עמה יומם ולילה ויצא קול בעיר פלונית נישאת לפלוני. מה שאמרת שמתייחדים לילה ויומם</w:t>
      </w:r>
      <w:r w:rsidR="00F671E0">
        <w:rPr>
          <w:rFonts w:cs="Arial" w:hint="cs"/>
          <w:rtl/>
        </w:rPr>
        <w:t>,</w:t>
      </w:r>
      <w:r>
        <w:rPr>
          <w:rFonts w:cs="Arial"/>
          <w:rtl/>
        </w:rPr>
        <w:t xml:space="preserve"> לא ידעתי אם הכוונה לומר שלנה עמו בלילה ביחוד</w:t>
      </w:r>
      <w:r w:rsidR="00F671E0">
        <w:rPr>
          <w:rFonts w:cs="Arial" w:hint="cs"/>
          <w:rtl/>
        </w:rPr>
        <w:t>.</w:t>
      </w:r>
      <w:r>
        <w:rPr>
          <w:rFonts w:cs="Arial"/>
          <w:rtl/>
        </w:rPr>
        <w:t xml:space="preserve"> שאם אין הכוונה לומר אלא שאכלו יחד ולא לנה עמו אין כאן חשש</w:t>
      </w:r>
      <w:r w:rsidR="00F671E0">
        <w:rPr>
          <w:rFonts w:cs="Arial" w:hint="cs"/>
          <w:rtl/>
        </w:rPr>
        <w:t>,</w:t>
      </w:r>
      <w:r>
        <w:rPr>
          <w:rFonts w:cs="Arial"/>
          <w:rtl/>
        </w:rPr>
        <w:t xml:space="preserve"> אבל אם לנה עמו ונתייחדה בלילה ובפני עדים כיון דגייסי אהדדי</w:t>
      </w:r>
      <w:r w:rsidR="00F671E0">
        <w:rPr>
          <w:rFonts w:cs="Arial" w:hint="cs"/>
          <w:rtl/>
        </w:rPr>
        <w:t>,</w:t>
      </w:r>
      <w:r>
        <w:rPr>
          <w:rFonts w:cs="Arial"/>
          <w:rtl/>
        </w:rPr>
        <w:t xml:space="preserve"> ועם כל זה כל שלא ראוה שנבעלה </w:t>
      </w:r>
      <w:r w:rsidR="00F671E0">
        <w:rPr>
          <w:rFonts w:cs="Arial" w:hint="cs"/>
          <w:rtl/>
        </w:rPr>
        <w:t xml:space="preserve">- </w:t>
      </w:r>
      <w:r>
        <w:rPr>
          <w:rFonts w:cs="Arial"/>
          <w:rtl/>
        </w:rPr>
        <w:t>אין חוששין לקידושין</w:t>
      </w:r>
      <w:r w:rsidR="00F671E0">
        <w:rPr>
          <w:rFonts w:cs="Arial" w:hint="cs"/>
          <w:rtl/>
        </w:rPr>
        <w:t>,</w:t>
      </w:r>
      <w:r>
        <w:rPr>
          <w:rFonts w:cs="Arial"/>
          <w:rtl/>
        </w:rPr>
        <w:t xml:space="preserve"> אלא ככל המתייחד עם אשה דעלמא</w:t>
      </w:r>
      <w:r w:rsidR="00F671E0">
        <w:rPr>
          <w:rFonts w:cs="Arial" w:hint="cs"/>
          <w:rtl/>
        </w:rPr>
        <w:t>.</w:t>
      </w:r>
      <w:r>
        <w:rPr>
          <w:rFonts w:cs="Arial"/>
          <w:rtl/>
        </w:rPr>
        <w:t xml:space="preserve"> ואם תמצי לומר שבעל</w:t>
      </w:r>
      <w:r w:rsidR="00F671E0">
        <w:rPr>
          <w:rFonts w:cs="Arial" w:hint="cs"/>
          <w:rtl/>
        </w:rPr>
        <w:t>,</w:t>
      </w:r>
      <w:r>
        <w:rPr>
          <w:rFonts w:cs="Arial"/>
          <w:rtl/>
        </w:rPr>
        <w:t xml:space="preserve"> לא נתכוין אלא לזנות</w:t>
      </w:r>
      <w:r w:rsidR="00F671E0">
        <w:rPr>
          <w:rFonts w:cs="Arial" w:hint="cs"/>
          <w:rtl/>
        </w:rPr>
        <w:t>,</w:t>
      </w:r>
      <w:r>
        <w:rPr>
          <w:rFonts w:cs="Arial"/>
          <w:rtl/>
        </w:rPr>
        <w:t xml:space="preserve"> שלא אמרו אלא באשה שנתגרשה</w:t>
      </w:r>
      <w:r w:rsidR="00F671E0">
        <w:rPr>
          <w:rFonts w:cs="Arial" w:hint="cs"/>
          <w:rtl/>
        </w:rPr>
        <w:t>,</w:t>
      </w:r>
      <w:r>
        <w:rPr>
          <w:rFonts w:cs="Arial"/>
          <w:rtl/>
        </w:rPr>
        <w:t xml:space="preserve"> אי נמי באשה שקידשה בפחות משוה פרוטה או קידשה קידושי טעות (כתובות עג:) שכבר יש ביניהם עסק קידושין</w:t>
      </w:r>
      <w:r w:rsidR="00F671E0">
        <w:rPr>
          <w:rFonts w:cs="Arial" w:hint="cs"/>
          <w:rtl/>
        </w:rPr>
        <w:t>,</w:t>
      </w:r>
      <w:r>
        <w:rPr>
          <w:rFonts w:cs="Arial"/>
          <w:rtl/>
        </w:rPr>
        <w:t xml:space="preserve"> אבל לא באשה בעלמא שאינה אפילו ארוסה</w:t>
      </w:r>
      <w:r w:rsidR="00F671E0">
        <w:rPr>
          <w:rFonts w:cs="Arial" w:hint="cs"/>
          <w:rtl/>
        </w:rPr>
        <w:t>,</w:t>
      </w:r>
      <w:r>
        <w:rPr>
          <w:rFonts w:cs="Arial"/>
          <w:rtl/>
        </w:rPr>
        <w:t xml:space="preserve"> ואפילו ראוה שנבעלה כפי מה שכתב הרמב"ם</w:t>
      </w:r>
      <w:r w:rsidR="00F671E0">
        <w:rPr>
          <w:rFonts w:cs="Arial" w:hint="cs"/>
          <w:rtl/>
        </w:rPr>
        <w:t>.</w:t>
      </w:r>
      <w:r>
        <w:rPr>
          <w:rFonts w:cs="Arial"/>
          <w:rtl/>
        </w:rPr>
        <w:t xml:space="preserve"> ואם מפני הקול שיצא בעיר שהיא נשואה </w:t>
      </w:r>
      <w:r w:rsidR="00F671E0">
        <w:rPr>
          <w:rFonts w:cs="Arial" w:hint="cs"/>
          <w:rtl/>
        </w:rPr>
        <w:t xml:space="preserve">- </w:t>
      </w:r>
      <w:r>
        <w:rPr>
          <w:rFonts w:cs="Arial"/>
          <w:rtl/>
        </w:rPr>
        <w:t>אין כאן חשש נישואין</w:t>
      </w:r>
      <w:r w:rsidR="00F671E0">
        <w:rPr>
          <w:rFonts w:cs="Arial" w:hint="cs"/>
          <w:rtl/>
        </w:rPr>
        <w:t>,</w:t>
      </w:r>
      <w:r>
        <w:rPr>
          <w:rFonts w:cs="Arial"/>
          <w:rtl/>
        </w:rPr>
        <w:t xml:space="preserve"> כי מה שהוציאו קול אינו אלא מחמת אותו שייכות שראו ביניהם בלבד</w:t>
      </w:r>
      <w:r w:rsidR="00F671E0">
        <w:rPr>
          <w:rFonts w:cs="Arial" w:hint="cs"/>
          <w:rtl/>
        </w:rPr>
        <w:t>.</w:t>
      </w:r>
      <w:r>
        <w:rPr>
          <w:rFonts w:cs="Arial"/>
          <w:rtl/>
        </w:rPr>
        <w:t xml:space="preserve"> ועוד שאילו עשו נישואין</w:t>
      </w:r>
      <w:r w:rsidR="00F671E0">
        <w:rPr>
          <w:rFonts w:cs="Arial" w:hint="cs"/>
          <w:rtl/>
        </w:rPr>
        <w:t>,</w:t>
      </w:r>
      <w:r>
        <w:rPr>
          <w:rFonts w:cs="Arial"/>
          <w:rtl/>
        </w:rPr>
        <w:t xml:space="preserve"> אין דרכן של בני אדם לזלזל ולעשות נישואין בענין שלא יקראו בני אדם ביום חתונתם וביום שמחת לבם</w:t>
      </w:r>
      <w:r w:rsidR="00F671E0">
        <w:rPr>
          <w:rFonts w:cs="Arial" w:hint="cs"/>
          <w:rtl/>
        </w:rPr>
        <w:t>.</w:t>
      </w:r>
      <w:r>
        <w:rPr>
          <w:rFonts w:cs="Arial"/>
          <w:rtl/>
        </w:rPr>
        <w:t xml:space="preserve"> ועוד דאמרינן בהמגרש (פט:) יצא קול בעיר מקודשת</w:t>
      </w:r>
      <w:r w:rsidR="00F671E0">
        <w:rPr>
          <w:rFonts w:cs="Arial" w:hint="cs"/>
          <w:rtl/>
        </w:rPr>
        <w:t>,</w:t>
      </w:r>
      <w:r>
        <w:rPr>
          <w:rFonts w:cs="Arial"/>
          <w:rtl/>
        </w:rPr>
        <w:t xml:space="preserve"> אינה מקודשת אלא אם כן הוחזק בבית דין</w:t>
      </w:r>
      <w:r>
        <w:rPr>
          <w:rStyle w:val="a7"/>
          <w:rFonts w:cs="Arial"/>
          <w:rtl/>
        </w:rPr>
        <w:footnoteReference w:id="2644"/>
      </w:r>
      <w:r>
        <w:rPr>
          <w:rFonts w:cs="Arial"/>
          <w:rtl/>
        </w:rPr>
        <w:t>.</w:t>
      </w:r>
    </w:p>
    <w:p w14:paraId="2A16F593"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DD7DB59" w14:textId="5ABC54D8" w:rsidR="00C97BEF" w:rsidRDefault="00C97BEF" w:rsidP="00C97BEF">
      <w:pPr>
        <w:rPr>
          <w:rtl/>
        </w:rPr>
      </w:pPr>
      <w:r>
        <w:rPr>
          <w:rFonts w:cs="Arial"/>
          <w:rtl/>
        </w:rPr>
        <w:t>נתייחד עמה בפני שני עדים, והיו שני עדים כאחד, וראו הוא והיא את העדים</w:t>
      </w:r>
      <w:r>
        <w:rPr>
          <w:rStyle w:val="a7"/>
          <w:rFonts w:cs="Arial"/>
          <w:rtl/>
        </w:rPr>
        <w:footnoteReference w:id="2645"/>
      </w:r>
      <w:r>
        <w:rPr>
          <w:rFonts w:cs="Arial"/>
          <w:rtl/>
        </w:rPr>
        <w:t>, אם היתה מגורשת מן הנשואין, חוששין לה שמא נבעלה, והן הן עדי ייחוד הן הן עדי ביאה, לפיכך היא ספק מקודשת</w:t>
      </w:r>
      <w:r>
        <w:rPr>
          <w:rStyle w:val="a7"/>
          <w:rFonts w:cs="Arial"/>
          <w:rtl/>
        </w:rPr>
        <w:footnoteReference w:id="2646"/>
      </w:r>
      <w:r>
        <w:rPr>
          <w:rFonts w:cs="Arial"/>
          <w:rtl/>
        </w:rPr>
        <w:t xml:space="preserve">, וצריכה גט מספק. ואם היתה </w:t>
      </w:r>
      <w:r>
        <w:rPr>
          <w:rFonts w:cs="Arial"/>
          <w:rtl/>
        </w:rPr>
        <w:lastRenderedPageBreak/>
        <w:t xml:space="preserve">מגורשת מן האירוסין, אין חוששין לה, שהרי אין לבו גס בה. ואי חזינן להו דגייסי אהדדי, חוששין לה. </w:t>
      </w:r>
      <w:r>
        <w:rPr>
          <w:rFonts w:cs="Arial"/>
          <w:sz w:val="18"/>
          <w:szCs w:val="18"/>
          <w:rtl/>
        </w:rPr>
        <w:t>הגה: אבל אם נתייחד עם משודכת שלו, אע"ג דגס בה, לא חיישינן</w:t>
      </w:r>
      <w:r w:rsidR="00F671E0">
        <w:rPr>
          <w:rFonts w:cs="Arial" w:hint="cs"/>
          <w:sz w:val="18"/>
          <w:szCs w:val="18"/>
          <w:rtl/>
        </w:rPr>
        <w:t xml:space="preserve"> </w:t>
      </w:r>
      <w:r w:rsidR="00F671E0">
        <w:rPr>
          <w:rFonts w:cs="Arial"/>
          <w:sz w:val="18"/>
          <w:szCs w:val="18"/>
          <w:rtl/>
        </w:rPr>
        <w:t>(רשב"א)</w:t>
      </w:r>
      <w:r>
        <w:rPr>
          <w:rFonts w:cs="Arial"/>
          <w:sz w:val="18"/>
          <w:szCs w:val="18"/>
          <w:rtl/>
        </w:rPr>
        <w:t>, אא"כ בא עליה</w:t>
      </w:r>
      <w:r>
        <w:rPr>
          <w:rStyle w:val="a7"/>
          <w:rFonts w:cs="Arial"/>
          <w:sz w:val="18"/>
          <w:szCs w:val="18"/>
          <w:rtl/>
        </w:rPr>
        <w:footnoteReference w:id="2647"/>
      </w:r>
      <w:r>
        <w:rPr>
          <w:rFonts w:cs="Arial"/>
          <w:sz w:val="18"/>
          <w:szCs w:val="18"/>
          <w:rtl/>
        </w:rPr>
        <w:t xml:space="preserve"> בפני עדים.</w:t>
      </w:r>
      <w:r>
        <w:rPr>
          <w:rFonts w:cs="Arial"/>
          <w:rtl/>
        </w:rPr>
        <w:t xml:space="preserve"> </w:t>
      </w:r>
    </w:p>
    <w:p w14:paraId="6D06C217" w14:textId="77777777" w:rsidR="00C97BEF" w:rsidRDefault="00C97BEF" w:rsidP="00C97BEF">
      <w:pPr>
        <w:rPr>
          <w:rtl/>
        </w:rPr>
      </w:pPr>
    </w:p>
    <w:p w14:paraId="3750E79D" w14:textId="77777777" w:rsidR="00C97BEF" w:rsidRDefault="00C97BEF" w:rsidP="00C97BEF">
      <w:pPr>
        <w:pStyle w:val="2"/>
        <w:rPr>
          <w:rtl/>
        </w:rPr>
      </w:pPr>
      <w:r>
        <w:rPr>
          <w:rtl/>
        </w:rPr>
        <w:t>סעיף ג: מי שבטל את הגט, ונתייחד עמה, ואח"כ נתברר שהגט הגיעה לידה קודם ביטולו.</w:t>
      </w:r>
    </w:p>
    <w:p w14:paraId="35D2443C" w14:textId="77777777" w:rsidR="00C97BEF" w:rsidRDefault="00C97BEF" w:rsidP="00C97BEF">
      <w:pPr>
        <w:rPr>
          <w:u w:val="single"/>
          <w:rtl/>
        </w:rPr>
      </w:pPr>
      <w:r>
        <w:rPr>
          <w:u w:val="single"/>
          <w:rtl/>
        </w:rPr>
        <w:t>מי שבטל את הגט, ונתייחד עמה, ואח"כ נתברר שהגט הגיעה לידה קודם ביטולו:</w:t>
      </w:r>
    </w:p>
    <w:p w14:paraId="5E906F3D" w14:textId="4D9E4D8B" w:rsidR="00C97BEF" w:rsidRDefault="00C97BEF" w:rsidP="006A458D">
      <w:pPr>
        <w:pStyle w:val="ab"/>
        <w:numPr>
          <w:ilvl w:val="0"/>
          <w:numId w:val="123"/>
        </w:numPr>
        <w:rPr>
          <w:rtl/>
        </w:rPr>
      </w:pPr>
      <w:r>
        <w:rPr>
          <w:rFonts w:cs="Arial"/>
          <w:rtl/>
        </w:rPr>
        <w:t>רא"ש</w:t>
      </w:r>
      <w:r>
        <w:rPr>
          <w:rFonts w:cs="Arial"/>
          <w:sz w:val="16"/>
          <w:szCs w:val="16"/>
          <w:rtl/>
        </w:rPr>
        <w:t xml:space="preserve"> (כלל מה סימן ט, הובא גם בס"ס קמ"א)</w:t>
      </w:r>
      <w:r w:rsidR="00A82951">
        <w:rPr>
          <w:rFonts w:cs="Arial"/>
          <w:rtl/>
        </w:rPr>
        <w:t>-</w:t>
      </w:r>
      <w:r>
        <w:rPr>
          <w:rFonts w:cs="Arial"/>
          <w:rtl/>
        </w:rPr>
        <w:t xml:space="preserve"> על אחד שביטל הגט ונתייחד עמה, ואח"כ נתברר שכבר הגיע לידה קודם ביטולו </w:t>
      </w:r>
      <w:r w:rsidR="00A82951">
        <w:rPr>
          <w:rFonts w:cs="Arial"/>
          <w:rtl/>
        </w:rPr>
        <w:t>-</w:t>
      </w:r>
      <w:r>
        <w:rPr>
          <w:rFonts w:cs="Arial"/>
          <w:rtl/>
        </w:rPr>
        <w:t xml:space="preserve"> אינה צריכה ממנו גט שני, דודאי לא בעל לשם קידושין כי היה סבור שהגט היה בטל ולא בעל אלא אדעתא דקידושין הראשונים</w:t>
      </w:r>
      <w:r>
        <w:rPr>
          <w:rStyle w:val="a7"/>
          <w:rFonts w:cs="Arial"/>
          <w:rtl/>
        </w:rPr>
        <w:footnoteReference w:id="2648"/>
      </w:r>
      <w:r>
        <w:rPr>
          <w:rFonts w:cs="Arial"/>
          <w:rtl/>
        </w:rPr>
        <w:t xml:space="preserve">. </w:t>
      </w:r>
      <w:r>
        <w:rPr>
          <w:color w:val="E36C0A" w:themeColor="accent6" w:themeShade="BF"/>
          <w:rtl/>
        </w:rPr>
        <w:t>(וכ"פ בשו"ע)</w:t>
      </w:r>
    </w:p>
    <w:p w14:paraId="66084EE6"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7C7C24A" w14:textId="77777777" w:rsidR="00C97BEF" w:rsidRDefault="00C97BEF" w:rsidP="00C97BEF">
      <w:pPr>
        <w:rPr>
          <w:rtl/>
        </w:rPr>
      </w:pPr>
      <w:r>
        <w:rPr>
          <w:rFonts w:cs="Arial"/>
          <w:rtl/>
        </w:rPr>
        <w:t xml:space="preserve">מי ששלח גט לאשתו, ואחר כך ביטלו, והלך ונתייחד עמה, ואחר כך נתברר שכבר הגיע הגט לידה קודם ביטולו, אינה צריכה ממנו גט שני, דודאי לא בעל לשם קדושין, כי היה סבור שהגט היה בטל, ולא בעל אלא על דעת קידושין הראשונים. </w:t>
      </w:r>
    </w:p>
    <w:p w14:paraId="757590EF" w14:textId="77777777" w:rsidR="00C97BEF" w:rsidRDefault="00C97BEF" w:rsidP="00C97BEF">
      <w:pPr>
        <w:rPr>
          <w:rtl/>
        </w:rPr>
      </w:pPr>
    </w:p>
    <w:p w14:paraId="3A460AEC" w14:textId="77777777" w:rsidR="00C97BEF" w:rsidRDefault="00C97BEF" w:rsidP="00C97BEF">
      <w:pPr>
        <w:pStyle w:val="2"/>
        <w:rPr>
          <w:rtl/>
        </w:rPr>
      </w:pPr>
      <w:r>
        <w:rPr>
          <w:rtl/>
        </w:rPr>
        <w:t>סעיף ד: מי שגירש את אשתו, ואח"כ נתייחד עמה, וקודם שגרשה בא אחר וקדשה לשם פלגש.</w:t>
      </w:r>
    </w:p>
    <w:p w14:paraId="2C1DE15E" w14:textId="77777777" w:rsidR="00C97BEF" w:rsidRDefault="00C97BEF" w:rsidP="00C97BEF">
      <w:pPr>
        <w:rPr>
          <w:u w:val="single"/>
          <w:rtl/>
        </w:rPr>
      </w:pPr>
      <w:r>
        <w:rPr>
          <w:u w:val="single"/>
          <w:rtl/>
        </w:rPr>
        <w:t>מי שגירש את אשתו, ואח"כ נתייחד עמה, וקודם שגרשה שנית בא אחר וקדשה לשם פלגש:</w:t>
      </w:r>
    </w:p>
    <w:p w14:paraId="115BA0A1" w14:textId="51551B44" w:rsidR="00C97BEF" w:rsidRDefault="00C97BEF" w:rsidP="006A458D">
      <w:pPr>
        <w:pStyle w:val="ab"/>
        <w:numPr>
          <w:ilvl w:val="0"/>
          <w:numId w:val="123"/>
        </w:numPr>
        <w:rPr>
          <w:rtl/>
        </w:rPr>
      </w:pPr>
      <w:r>
        <w:rPr>
          <w:rFonts w:cs="Arial"/>
          <w:rtl/>
        </w:rPr>
        <w:t xml:space="preserve">רא"ש </w:t>
      </w:r>
      <w:r>
        <w:rPr>
          <w:rFonts w:cs="Arial"/>
          <w:sz w:val="16"/>
          <w:szCs w:val="16"/>
          <w:rtl/>
        </w:rPr>
        <w:t>(כלל לה סי' י)</w:t>
      </w:r>
      <w:r w:rsidR="00A82951">
        <w:rPr>
          <w:rFonts w:cs="Arial"/>
          <w:rtl/>
        </w:rPr>
        <w:t>-</w:t>
      </w:r>
      <w:r>
        <w:rPr>
          <w:rFonts w:cs="Arial"/>
          <w:rtl/>
        </w:rPr>
        <w:t xml:space="preserve"> אחד שגירש ונתייחד עמה אח"כ, וקודם שגירשה פעם שנית קדשה אחר לשם פלגש, ושהתה עמו לשם פלגש </w:t>
      </w:r>
      <w:r w:rsidR="00A82951">
        <w:rPr>
          <w:rFonts w:cs="Arial"/>
          <w:rtl/>
        </w:rPr>
        <w:t>-</w:t>
      </w:r>
      <w:r>
        <w:rPr>
          <w:rFonts w:cs="Arial"/>
          <w:rtl/>
        </w:rPr>
        <w:t xml:space="preserve"> אסורה לשניהם וצריכה גט משניהם</w:t>
      </w:r>
      <w:r>
        <w:rPr>
          <w:rStyle w:val="a7"/>
          <w:rFonts w:cs="Arial"/>
          <w:rtl/>
        </w:rPr>
        <w:footnoteReference w:id="2649"/>
      </w:r>
      <w:r>
        <w:rPr>
          <w:rFonts w:cs="Arial"/>
          <w:rtl/>
        </w:rPr>
        <w:t xml:space="preserve">, שודאי השני בא עליה ונאסרה עליו כיון שהיא א"א משום ייחוד של ראשון, וצריכה גט משניהם. ואע"ג דאמרינן הן הן עדי ייחוד הן הן עדי ביאה, לא חשבינן לה א"א ודאי לצאת מן השני בלא גט. </w:t>
      </w:r>
      <w:r>
        <w:rPr>
          <w:color w:val="E36C0A" w:themeColor="accent6" w:themeShade="BF"/>
          <w:rtl/>
        </w:rPr>
        <w:t>(וכ"פ בשו"ע)</w:t>
      </w:r>
    </w:p>
    <w:p w14:paraId="032DECED"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3E6E890" w14:textId="77777777" w:rsidR="00C97BEF" w:rsidRDefault="00C97BEF" w:rsidP="00C97BEF">
      <w:pPr>
        <w:rPr>
          <w:rtl/>
        </w:rPr>
      </w:pPr>
      <w:r>
        <w:rPr>
          <w:rFonts w:cs="Arial"/>
          <w:rtl/>
        </w:rPr>
        <w:t xml:space="preserve">מי שגירש את אשתו, ונתייחד עמה, וקודם שגירשה שנית לקחה אחד לשם פילגש, אסורה לשניהם וצריכה גט משניהם. </w:t>
      </w:r>
    </w:p>
    <w:p w14:paraId="1C749317" w14:textId="77777777" w:rsidR="00C97BEF" w:rsidRDefault="00C97BEF" w:rsidP="00C97BEF">
      <w:pPr>
        <w:rPr>
          <w:rtl/>
        </w:rPr>
      </w:pPr>
    </w:p>
    <w:p w14:paraId="3F3B9B5E" w14:textId="0B41E02B" w:rsidR="00C97BEF" w:rsidRDefault="00C97BEF" w:rsidP="00C97BEF">
      <w:pPr>
        <w:pStyle w:val="2"/>
        <w:rPr>
          <w:rtl/>
        </w:rPr>
      </w:pPr>
      <w:r>
        <w:rPr>
          <w:rtl/>
        </w:rPr>
        <w:t>סעיף ה: מתי אומרים 'חזקה אין אדם עושה בעילתו בעילת זנות':</w:t>
      </w:r>
    </w:p>
    <w:p w14:paraId="7941811F" w14:textId="3901A529" w:rsidR="006A1AA2" w:rsidRPr="006A1AA2" w:rsidRDefault="006A1AA2" w:rsidP="006A1AA2">
      <w:pPr>
        <w:rPr>
          <w:rFonts w:cs="Arial"/>
          <w:rtl/>
        </w:rPr>
      </w:pPr>
      <w:r>
        <w:rPr>
          <w:rFonts w:cs="Arial"/>
          <w:b/>
          <w:bCs/>
          <w:rtl/>
        </w:rPr>
        <w:t xml:space="preserve">גיטין </w:t>
      </w:r>
      <w:r>
        <w:rPr>
          <w:rFonts w:cs="Arial"/>
          <w:b/>
          <w:bCs/>
          <w:sz w:val="16"/>
          <w:szCs w:val="16"/>
          <w:rtl/>
        </w:rPr>
        <w:t>(פ' הזורק)</w:t>
      </w:r>
      <w:r>
        <w:rPr>
          <w:rFonts w:cs="Arial"/>
          <w:b/>
          <w:bCs/>
          <w:rtl/>
        </w:rPr>
        <w:t xml:space="preserve"> פא ע"א:</w:t>
      </w:r>
      <w:r>
        <w:rPr>
          <w:rtl/>
        </w:rPr>
        <w:t xml:space="preserve"> </w:t>
      </w:r>
      <w:r>
        <w:rPr>
          <w:rFonts w:cs="Arial"/>
          <w:u w:val="double"/>
          <w:rtl/>
        </w:rPr>
        <w:t>מתני'</w:t>
      </w:r>
      <w:r>
        <w:rPr>
          <w:rFonts w:cs="Arial"/>
          <w:rtl/>
        </w:rPr>
        <w:t xml:space="preserve">: המגרש את אשתו ולנה עמו בפונדקי, </w:t>
      </w:r>
      <w:r w:rsidRPr="008C7690">
        <w:rPr>
          <w:rFonts w:cs="Arial"/>
          <w:u w:val="single"/>
          <w:rtl/>
        </w:rPr>
        <w:t>ב"</w:t>
      </w:r>
      <w:r>
        <w:rPr>
          <w:rFonts w:cs="Arial"/>
          <w:u w:val="single"/>
          <w:rtl/>
        </w:rPr>
        <w:t>ש אומרים</w:t>
      </w:r>
      <w:r>
        <w:rPr>
          <w:rFonts w:cs="Arial"/>
          <w:rtl/>
        </w:rPr>
        <w:t xml:space="preserve">: אינה צריכה הימנו גט שני, </w:t>
      </w:r>
      <w:r>
        <w:rPr>
          <w:rFonts w:cs="Arial"/>
          <w:u w:val="single"/>
          <w:rtl/>
        </w:rPr>
        <w:t>ובה"א</w:t>
      </w:r>
      <w:r>
        <w:rPr>
          <w:rFonts w:cs="Arial"/>
          <w:rtl/>
        </w:rPr>
        <w:t xml:space="preserve">: צריכה הימנו גט שני. אימתי? בזמן שנתגרשה מן הנשואין. ומודים, בנתגרשה מן האירוסין </w:t>
      </w:r>
      <w:r w:rsidR="00A82951">
        <w:rPr>
          <w:rFonts w:cs="Arial"/>
          <w:rtl/>
        </w:rPr>
        <w:t>-</w:t>
      </w:r>
      <w:r>
        <w:rPr>
          <w:rFonts w:cs="Arial"/>
          <w:rtl/>
        </w:rPr>
        <w:t xml:space="preserve"> שאינה צריכה הימנו גט שני, מפני שאין לבו גס בה. </w:t>
      </w:r>
      <w:r>
        <w:rPr>
          <w:rFonts w:cs="Arial" w:hint="cs"/>
          <w:rtl/>
        </w:rPr>
        <w:t xml:space="preserve">       </w:t>
      </w:r>
      <w:r w:rsidRPr="006A1AA2">
        <w:rPr>
          <w:rFonts w:cs="Arial"/>
          <w:u w:val="double"/>
          <w:rtl/>
        </w:rPr>
        <w:t>גמ'</w:t>
      </w:r>
      <w:r w:rsidRPr="006A1AA2">
        <w:rPr>
          <w:rFonts w:cs="Arial"/>
          <w:sz w:val="14"/>
          <w:szCs w:val="14"/>
          <w:u w:val="double"/>
          <w:rtl/>
        </w:rPr>
        <w:t>(פא:)</w:t>
      </w:r>
      <w:r w:rsidRPr="006A1AA2">
        <w:rPr>
          <w:rFonts w:cs="Arial" w:hint="cs"/>
          <w:u w:val="double"/>
          <w:rtl/>
        </w:rPr>
        <w:t>:</w:t>
      </w:r>
      <w:r>
        <w:rPr>
          <w:rFonts w:cs="Arial" w:hint="cs"/>
          <w:rtl/>
        </w:rPr>
        <w:t xml:space="preserve"> </w:t>
      </w:r>
      <w:r>
        <w:rPr>
          <w:rFonts w:cs="Arial"/>
          <w:rtl/>
        </w:rPr>
        <w:t xml:space="preserve">במאי פליגי? דאיכא עדי יחוד וליכא עדי ביאה, ב"ש סברי: לא אמרי' הן הן עדי יחוד והן הן עדי ביאה, וב"ה סברי: אמרינן הן הן עדי יחוד והן הן עדי ביאה, ומודים בנתגרשה מן האירוסין </w:t>
      </w:r>
      <w:r w:rsidR="00A82951">
        <w:rPr>
          <w:rFonts w:cs="Arial"/>
          <w:rtl/>
        </w:rPr>
        <w:t>-</w:t>
      </w:r>
      <w:r>
        <w:rPr>
          <w:rFonts w:cs="Arial"/>
          <w:rtl/>
        </w:rPr>
        <w:t xml:space="preserve"> שאינה צריכה הימנו גט שני, דכיון דאין לבו גס בה, לא אמרינן הן הן עדי ביאה.</w:t>
      </w:r>
    </w:p>
    <w:p w14:paraId="6CC43FF6" w14:textId="77777777" w:rsidR="00C97BEF" w:rsidRDefault="00C97BEF" w:rsidP="00C97BEF">
      <w:pPr>
        <w:rPr>
          <w:u w:val="single"/>
          <w:rtl/>
        </w:rPr>
      </w:pPr>
      <w:r>
        <w:rPr>
          <w:u w:val="single"/>
          <w:rtl/>
        </w:rPr>
        <w:t>האם אומרים 'חזקה אין אדם עושה בעילתו בעילת זנות' גם במי שבא על פנויה:</w:t>
      </w:r>
    </w:p>
    <w:p w14:paraId="3FD69FE7" w14:textId="07ADCCF2" w:rsidR="00C97BEF" w:rsidRDefault="00C97BEF" w:rsidP="006A458D">
      <w:pPr>
        <w:pStyle w:val="ab"/>
        <w:numPr>
          <w:ilvl w:val="0"/>
          <w:numId w:val="123"/>
        </w:numPr>
        <w:rPr>
          <w:rtl/>
        </w:rPr>
      </w:pPr>
      <w:bookmarkStart w:id="28" w:name="_Hlk120187864"/>
      <w:r>
        <w:rPr>
          <w:rFonts w:cs="Arial"/>
          <w:rtl/>
        </w:rPr>
        <w:lastRenderedPageBreak/>
        <w:t xml:space="preserve">רמב"ם </w:t>
      </w:r>
      <w:r>
        <w:rPr>
          <w:rFonts w:cs="Arial"/>
          <w:sz w:val="16"/>
          <w:szCs w:val="16"/>
          <w:rtl/>
        </w:rPr>
        <w:t>(פ"י מגירושין הי"ט)</w:t>
      </w:r>
      <w:r w:rsidR="00A82951">
        <w:rPr>
          <w:rFonts w:cs="Arial"/>
          <w:rtl/>
        </w:rPr>
        <w:t>-</w:t>
      </w:r>
      <w:r>
        <w:rPr>
          <w:rtl/>
        </w:rPr>
        <w:t xml:space="preserve"> </w:t>
      </w:r>
      <w:r>
        <w:rPr>
          <w:rFonts w:cs="Arial"/>
          <w:rtl/>
        </w:rPr>
        <w:t>הורו מקצת הגאונים שכל אשה שתבעל בפני עדים צריכה גט, חזקה שאין אדם עושה בעילתו בעילת זנות</w:t>
      </w:r>
      <w:r w:rsidR="00C575B3">
        <w:rPr>
          <w:rStyle w:val="a7"/>
          <w:rFonts w:cs="Arial"/>
          <w:rtl/>
        </w:rPr>
        <w:footnoteReference w:id="2650"/>
      </w:r>
      <w:r>
        <w:rPr>
          <w:rFonts w:cs="Arial"/>
          <w:rtl/>
        </w:rPr>
        <w:t>... וכל הדברים האלו רחוקים הם בעיני עד מאד מדרכי ההוראה ואין ראוי לסמוך עליהן, שלא אמרו חכמים חזקה זו אלא באשתו שגירשה בלבד או במקדש על תנאי ובעל סתם שהרי היא אשתו</w:t>
      </w:r>
      <w:r w:rsidR="001127F9">
        <w:rPr>
          <w:rFonts w:cs="Arial" w:hint="cs"/>
          <w:rtl/>
        </w:rPr>
        <w:t>,</w:t>
      </w:r>
      <w:r>
        <w:rPr>
          <w:rFonts w:cs="Arial"/>
          <w:rtl/>
        </w:rPr>
        <w:t xml:space="preserve"> ובאשתו הוא שחזקתו שאינו עושה בעילתו בעילת זנות עד שיפרש שהיא בעילת זנות</w:t>
      </w:r>
      <w:r w:rsidR="005B736B">
        <w:rPr>
          <w:rStyle w:val="a7"/>
          <w:rFonts w:cs="Arial"/>
          <w:rtl/>
        </w:rPr>
        <w:footnoteReference w:id="2651"/>
      </w:r>
      <w:r w:rsidR="001127F9">
        <w:rPr>
          <w:rFonts w:cs="Arial" w:hint="cs"/>
          <w:rtl/>
        </w:rPr>
        <w:t>,</w:t>
      </w:r>
      <w:r>
        <w:rPr>
          <w:rFonts w:cs="Arial"/>
          <w:rtl/>
        </w:rPr>
        <w:t xml:space="preserve"> או שיפרש שעל תנאי הוא בועל, אבל בשאר הנשים הרי כל זונה בחזקת שבעל לשם זנות עד שיפרש שהוא לשם קדושין</w:t>
      </w:r>
      <w:r>
        <w:rPr>
          <w:rStyle w:val="a7"/>
          <w:rFonts w:cs="Arial"/>
          <w:rtl/>
        </w:rPr>
        <w:footnoteReference w:id="2652"/>
      </w:r>
      <w:r>
        <w:rPr>
          <w:rFonts w:cs="Arial"/>
          <w:rtl/>
        </w:rPr>
        <w:t xml:space="preserve">. </w:t>
      </w:r>
      <w:r>
        <w:rPr>
          <w:color w:val="E36C0A" w:themeColor="accent6" w:themeShade="BF"/>
          <w:rtl/>
        </w:rPr>
        <w:t>(וכ"פ בשו"ע)</w:t>
      </w:r>
    </w:p>
    <w:bookmarkEnd w:id="28"/>
    <w:p w14:paraId="3D9CF241" w14:textId="0912DE9A" w:rsidR="006A1AA2" w:rsidRDefault="006A1AA2" w:rsidP="006A1AA2">
      <w:pPr>
        <w:pStyle w:val="ab"/>
        <w:numPr>
          <w:ilvl w:val="0"/>
          <w:numId w:val="123"/>
        </w:numPr>
      </w:pPr>
      <w:r>
        <w:rPr>
          <w:rFonts w:cs="Arial" w:hint="cs"/>
          <w:rtl/>
        </w:rPr>
        <w:t>רבנו ברוך</w:t>
      </w:r>
      <w:r>
        <w:rPr>
          <w:rFonts w:cs="Arial" w:hint="cs"/>
          <w:sz w:val="16"/>
          <w:szCs w:val="16"/>
          <w:rtl/>
        </w:rPr>
        <w:t xml:space="preserve"> (כ"כ בשמו המרדכי [קידושין סי' תקלג] והג"א [קידושין פ"ד סי' ד הגהה א])</w:t>
      </w:r>
      <w:r w:rsidR="00A82951">
        <w:rPr>
          <w:rFonts w:cs="Arial" w:hint="cs"/>
          <w:rtl/>
        </w:rPr>
        <w:t>-</w:t>
      </w:r>
      <w:r>
        <w:rPr>
          <w:rFonts w:cs="Arial" w:hint="cs"/>
          <w:rtl/>
        </w:rPr>
        <w:t xml:space="preserve"> </w:t>
      </w:r>
      <w:r>
        <w:rPr>
          <w:rStyle w:val="a7"/>
          <w:rFonts w:cs="Arial"/>
          <w:rtl/>
        </w:rPr>
        <w:footnoteReference w:id="2653"/>
      </w:r>
      <w:r w:rsidRPr="00872C2E">
        <w:rPr>
          <w:rFonts w:cs="Arial"/>
          <w:rtl/>
        </w:rPr>
        <w:t xml:space="preserve">אדם הבא על הפנויה וראו עדים מבחוץ </w:t>
      </w:r>
      <w:r w:rsidR="00350869">
        <w:rPr>
          <w:rFonts w:cs="Arial" w:hint="cs"/>
          <w:rtl/>
        </w:rPr>
        <w:t xml:space="preserve">- </w:t>
      </w:r>
      <w:r w:rsidRPr="00872C2E">
        <w:rPr>
          <w:rFonts w:cs="Arial"/>
          <w:rtl/>
        </w:rPr>
        <w:t>צריכה הימנו גט</w:t>
      </w:r>
      <w:r w:rsidR="00350869">
        <w:rPr>
          <w:rFonts w:cs="Arial" w:hint="cs"/>
          <w:rtl/>
        </w:rPr>
        <w:t>,</w:t>
      </w:r>
      <w:r w:rsidRPr="00872C2E">
        <w:rPr>
          <w:rFonts w:cs="Arial"/>
          <w:rtl/>
        </w:rPr>
        <w:t xml:space="preserve"> דאמרי' אין אדם עושה בעילתו בעילת זנות</w:t>
      </w:r>
      <w:r w:rsidR="00350869">
        <w:rPr>
          <w:rFonts w:cs="Arial" w:hint="cs"/>
          <w:rtl/>
        </w:rPr>
        <w:t>.</w:t>
      </w:r>
      <w:r w:rsidRPr="00872C2E">
        <w:rPr>
          <w:rFonts w:cs="Arial"/>
          <w:rtl/>
        </w:rPr>
        <w:t xml:space="preserve"> ואם בא עליה אדם אחר בעדים</w:t>
      </w:r>
      <w:r w:rsidR="00350869">
        <w:rPr>
          <w:rFonts w:cs="Arial" w:hint="cs"/>
          <w:rtl/>
        </w:rPr>
        <w:t>,</w:t>
      </w:r>
      <w:r w:rsidRPr="00872C2E">
        <w:rPr>
          <w:rFonts w:cs="Arial"/>
          <w:rtl/>
        </w:rPr>
        <w:t xml:space="preserve"> ובעל</w:t>
      </w:r>
      <w:r w:rsidR="00350869">
        <w:rPr>
          <w:rFonts w:cs="Arial" w:hint="cs"/>
          <w:rtl/>
        </w:rPr>
        <w:t xml:space="preserve"> א</w:t>
      </w:r>
      <w:r w:rsidRPr="00872C2E">
        <w:rPr>
          <w:rFonts w:cs="Arial"/>
          <w:rtl/>
        </w:rPr>
        <w:t>ח</w:t>
      </w:r>
      <w:r w:rsidR="00350869">
        <w:rPr>
          <w:rFonts w:cs="Arial" w:hint="cs"/>
          <w:rtl/>
        </w:rPr>
        <w:t>"</w:t>
      </w:r>
      <w:r w:rsidRPr="00872C2E">
        <w:rPr>
          <w:rFonts w:cs="Arial"/>
          <w:rtl/>
        </w:rPr>
        <w:t xml:space="preserve">כ </w:t>
      </w:r>
      <w:r w:rsidR="00350869">
        <w:rPr>
          <w:rFonts w:cs="Arial" w:hint="cs"/>
          <w:rtl/>
        </w:rPr>
        <w:t xml:space="preserve">- </w:t>
      </w:r>
      <w:r w:rsidRPr="00872C2E">
        <w:rPr>
          <w:rFonts w:cs="Arial"/>
          <w:rtl/>
        </w:rPr>
        <w:t>צריכה גט משני</w:t>
      </w:r>
      <w:r>
        <w:rPr>
          <w:rStyle w:val="a7"/>
          <w:rFonts w:cs="Arial"/>
          <w:rtl/>
        </w:rPr>
        <w:footnoteReference w:id="2654"/>
      </w:r>
      <w:r>
        <w:rPr>
          <w:rFonts w:cs="Arial" w:hint="cs"/>
          <w:sz w:val="16"/>
          <w:szCs w:val="16"/>
          <w:rtl/>
        </w:rPr>
        <w:t xml:space="preserve"> (ל' המרדכי בשם ר"ב)</w:t>
      </w:r>
      <w:r w:rsidR="003D2921">
        <w:rPr>
          <w:rStyle w:val="a7"/>
          <w:rFonts w:cs="Arial"/>
          <w:rtl/>
        </w:rPr>
        <w:footnoteReference w:id="2655"/>
      </w:r>
      <w:r>
        <w:rPr>
          <w:rFonts w:cs="Arial" w:hint="cs"/>
          <w:rtl/>
        </w:rPr>
        <w:t>.</w:t>
      </w:r>
      <w:r w:rsidRPr="00872C2E">
        <w:rPr>
          <w:rFonts w:cs="Arial"/>
          <w:rtl/>
        </w:rPr>
        <w:t xml:space="preserve"> </w:t>
      </w:r>
    </w:p>
    <w:p w14:paraId="27C12B2C"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8A2110D" w14:textId="77777777" w:rsidR="00C97BEF" w:rsidRDefault="00C97BEF" w:rsidP="00C97BEF">
      <w:pPr>
        <w:rPr>
          <w:rtl/>
        </w:rPr>
      </w:pPr>
      <w:r>
        <w:rPr>
          <w:rFonts w:cs="Arial"/>
          <w:rtl/>
        </w:rPr>
        <w:t xml:space="preserve">לא אמרו חזקה זו דאין אדם עושה בעילתו בעילת זנות, אלא באשתו שגירשה או במקדש על תנאי ובעל סתם, שהרי אשתו היא ובאשתו הוא שחזקתו שאינו עושה בעילת זנות עד שיפרש שהיא בעילת זנות או שיפרש שעל תנאי הוא בועל. אבל שאר כל הנשים בחזקה שבעל לשם זנות, עד שיפרש שבעל לשם קידושין. </w:t>
      </w:r>
    </w:p>
    <w:p w14:paraId="3C74DFF0" w14:textId="77777777" w:rsidR="00C97BEF" w:rsidRDefault="00C97BEF" w:rsidP="00C97BEF">
      <w:pPr>
        <w:rPr>
          <w:rtl/>
        </w:rPr>
      </w:pPr>
    </w:p>
    <w:p w14:paraId="6ABFC736" w14:textId="77777777" w:rsidR="00C97BEF" w:rsidRDefault="00C97BEF" w:rsidP="00C97BEF">
      <w:pPr>
        <w:pStyle w:val="2"/>
        <w:rPr>
          <w:rtl/>
        </w:rPr>
      </w:pPr>
      <w:r>
        <w:rPr>
          <w:rtl/>
        </w:rPr>
        <w:t>סעיף ו: מומר שנשא מומרת בחוקי הגוים ובא עליה.</w:t>
      </w:r>
    </w:p>
    <w:p w14:paraId="5A4A5854" w14:textId="77777777" w:rsidR="00C97BEF" w:rsidRDefault="00C97BEF" w:rsidP="00C97BEF">
      <w:pPr>
        <w:rPr>
          <w:u w:val="single"/>
          <w:rtl/>
        </w:rPr>
      </w:pPr>
      <w:r>
        <w:rPr>
          <w:u w:val="single"/>
          <w:rtl/>
        </w:rPr>
        <w:t>מומר שנשא מומרת ע"פ חוקות הגוים ובא עליה:</w:t>
      </w:r>
    </w:p>
    <w:p w14:paraId="712B7610" w14:textId="437B08F6" w:rsidR="00C97BEF" w:rsidRDefault="00C97BEF" w:rsidP="006A458D">
      <w:pPr>
        <w:pStyle w:val="ab"/>
        <w:numPr>
          <w:ilvl w:val="0"/>
          <w:numId w:val="123"/>
        </w:numPr>
        <w:rPr>
          <w:rFonts w:cs="Arial"/>
          <w:rtl/>
        </w:rPr>
      </w:pPr>
      <w:r>
        <w:rPr>
          <w:rFonts w:cs="Arial"/>
          <w:rtl/>
        </w:rPr>
        <w:t xml:space="preserve">ריב"ש </w:t>
      </w:r>
      <w:r>
        <w:rPr>
          <w:rFonts w:cs="Arial"/>
          <w:sz w:val="16"/>
          <w:szCs w:val="16"/>
          <w:rtl/>
        </w:rPr>
        <w:t>(סי' ו)</w:t>
      </w:r>
      <w:r w:rsidR="00A82951">
        <w:rPr>
          <w:rFonts w:cs="Arial"/>
          <w:rtl/>
        </w:rPr>
        <w:t>-</w:t>
      </w:r>
      <w:r>
        <w:rPr>
          <w:rFonts w:cs="Arial"/>
          <w:rtl/>
        </w:rPr>
        <w:t xml:space="preserve"> ואם יאמר אומר אפילו הרמב"ם לא אמרה אלא בפנוי הבא על הפנויה בדרך מקרה</w:t>
      </w:r>
      <w:r w:rsidR="00C575B3">
        <w:rPr>
          <w:rFonts w:cs="Arial" w:hint="cs"/>
          <w:rtl/>
        </w:rPr>
        <w:t>,</w:t>
      </w:r>
      <w:r>
        <w:rPr>
          <w:rFonts w:cs="Arial"/>
          <w:rtl/>
        </w:rPr>
        <w:t xml:space="preserve"> אבל זה שנשאה בחוקי הגוים והתנה עמה להיות אשתו הוי ליה כמדבר עמה על עסקי קידושיה בשעה שנתייחד עמה, והוי ליה כמי שפירש ואמר לעדי יחוד שדעתו לבעול לשם קידושין</w:t>
      </w:r>
      <w:r w:rsidR="00C575B3">
        <w:rPr>
          <w:rFonts w:cs="Arial" w:hint="cs"/>
          <w:rtl/>
        </w:rPr>
        <w:t xml:space="preserve"> -</w:t>
      </w:r>
      <w:r>
        <w:rPr>
          <w:rFonts w:cs="Arial"/>
          <w:rtl/>
        </w:rPr>
        <w:t xml:space="preserve"> יש להשיב ולומר דאדרבה איפכא מסתברא</w:t>
      </w:r>
      <w:r w:rsidR="00C575B3">
        <w:rPr>
          <w:rFonts w:cs="Arial" w:hint="cs"/>
          <w:rtl/>
        </w:rPr>
        <w:t>.</w:t>
      </w:r>
      <w:r>
        <w:rPr>
          <w:rFonts w:cs="Arial"/>
          <w:rtl/>
        </w:rPr>
        <w:t xml:space="preserve"> דאפילו לדעת אותם הגאונים שסוברים דבסתם אמרינן דלשם קידושין בעל</w:t>
      </w:r>
      <w:r w:rsidR="00C575B3">
        <w:rPr>
          <w:rFonts w:cs="Arial" w:hint="cs"/>
          <w:rtl/>
        </w:rPr>
        <w:t>,</w:t>
      </w:r>
      <w:r>
        <w:rPr>
          <w:rFonts w:cs="Arial"/>
          <w:rtl/>
        </w:rPr>
        <w:t xml:space="preserve"> בנדון זה לא בעל לשם קידושין, דכיון שהתחילה בנישואין כחוקות הגוים הרי הוא כאילו פירשו שאין דעתם לשם קידושין כדת משה ויהודית אלא כדרכי הגוים שאינם בתורת גיטין וקידושין, ואם כן אינה כנשואה אלא שהיא אצלו כמו פילגש בלי כתובה וקידושין</w:t>
      </w:r>
      <w:r>
        <w:rPr>
          <w:rStyle w:val="a7"/>
          <w:rFonts w:cs="Arial"/>
          <w:rtl/>
        </w:rPr>
        <w:footnoteReference w:id="2656"/>
      </w:r>
      <w:r>
        <w:rPr>
          <w:rFonts w:cs="Arial"/>
          <w:rtl/>
        </w:rPr>
        <w:t>... והראב"ד (בהשגות פ"י הי"ט) כתב שדברי אותם הגאונים קיימים במוחזקים בכשרות, אבל בחשודים לפריצותא דעריות אין חוששין לקידושין. וכיוצא בזה כתב הרמב"ם בפ"ד מהלכות נחלות (ה"ו) גבי מי שהוליד בן משפחתו ואמר זה בני ומשוחררת היא. ובנדון זה ודאי אין לך פרוצים יותר מאלו ההולכים לפני עבודה זרה להשתחוות שם ומעשיהם מוכיחים בפריצותם. ועוד שזו לא טבלה לנדתה שהרי לא היה לנשים אחר הגזירה מקום טהרה</w:t>
      </w:r>
      <w:r w:rsidR="00C575B3">
        <w:rPr>
          <w:rFonts w:cs="Arial" w:hint="cs"/>
          <w:rtl/>
        </w:rPr>
        <w:t>,</w:t>
      </w:r>
      <w:r>
        <w:rPr>
          <w:rFonts w:cs="Arial"/>
          <w:rtl/>
        </w:rPr>
        <w:t xml:space="preserve"> ואם לאיסור כרת התיר עצמו בביאתו איך יחוש לאיסור קל של פנויה. וכתב ובר מן דין לפי מה שנראה מן השאלה לא היה כאן אפילו עדי יחוד, ולכולי עלמא אין חוששין לקידושין. וגם </w:t>
      </w:r>
      <w:r>
        <w:rPr>
          <w:rFonts w:cs="Arial"/>
          <w:rtl/>
        </w:rPr>
        <w:lastRenderedPageBreak/>
        <w:t>צריך שיראה הוא את העדים. ואע</w:t>
      </w:r>
      <w:r w:rsidR="00C575B3">
        <w:rPr>
          <w:rFonts w:cs="Arial" w:hint="cs"/>
          <w:rtl/>
        </w:rPr>
        <w:t>"</w:t>
      </w:r>
      <w:r>
        <w:rPr>
          <w:rFonts w:cs="Arial"/>
          <w:rtl/>
        </w:rPr>
        <w:t xml:space="preserve">פ שבקטנה שלא מיאנה והגדילה ונישאת לאחר דאמר רב (יבמות קט:) אינה צריכה גט משני, ואמרו בשם הרא"ה דאפילו עדי יחוד אינה צריכה, כיון שאשתו היא ועומדת תחתיו כולי עלמא ידעי שנתייחד עמה ובא עליה </w:t>
      </w:r>
      <w:r w:rsidR="00A82951">
        <w:rPr>
          <w:rFonts w:cs="Arial"/>
          <w:rtl/>
        </w:rPr>
        <w:t>-</w:t>
      </w:r>
      <w:r>
        <w:rPr>
          <w:rFonts w:cs="Arial"/>
          <w:rtl/>
        </w:rPr>
        <w:t xml:space="preserve"> זהו דעת יחיד שכל הראשונים כתבו שצריכה לעדי יחוד. ועוד דליכא למינקט כל חומרי הסברות לעגן את זו</w:t>
      </w:r>
      <w:r>
        <w:rPr>
          <w:rStyle w:val="a7"/>
          <w:rFonts w:cs="Arial"/>
          <w:rtl/>
        </w:rPr>
        <w:footnoteReference w:id="2657"/>
      </w:r>
      <w:r>
        <w:rPr>
          <w:rFonts w:cs="Arial"/>
          <w:rtl/>
        </w:rPr>
        <w:t xml:space="preserve">. </w:t>
      </w:r>
      <w:r>
        <w:rPr>
          <w:color w:val="E36C0A" w:themeColor="accent6" w:themeShade="BF"/>
          <w:rtl/>
        </w:rPr>
        <w:t>(וכ"פ בשו"ע)</w:t>
      </w:r>
    </w:p>
    <w:p w14:paraId="2B5D4511"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42F5D64" w14:textId="77777777" w:rsidR="00C97BEF" w:rsidRDefault="00C97BEF" w:rsidP="00C97BEF">
      <w:pPr>
        <w:rPr>
          <w:rtl/>
        </w:rPr>
      </w:pPr>
      <w:r>
        <w:rPr>
          <w:rFonts w:cs="Arial"/>
          <w:rtl/>
        </w:rPr>
        <w:t>וכן איש ואשה שהמירו לעבודת כוכבים באונס הגזירות, ונשאו זה לזה בחקות עובדי כוכבים, אף על פי שמתייחדים זה עם זה בכל יום לעיני הכל, אין חוששין להם משום קדושין</w:t>
      </w:r>
      <w:r>
        <w:rPr>
          <w:rStyle w:val="a7"/>
          <w:rFonts w:cs="Arial"/>
          <w:rtl/>
        </w:rPr>
        <w:footnoteReference w:id="2658"/>
      </w:r>
      <w:r>
        <w:rPr>
          <w:rFonts w:cs="Arial"/>
          <w:rtl/>
        </w:rPr>
        <w:t xml:space="preserve">. </w:t>
      </w:r>
      <w:r>
        <w:rPr>
          <w:rFonts w:cs="Arial"/>
          <w:sz w:val="18"/>
          <w:szCs w:val="18"/>
          <w:rtl/>
        </w:rPr>
        <w:t>[הגה] ועיין לעיל סימן כ"ו</w:t>
      </w:r>
      <w:r>
        <w:rPr>
          <w:rFonts w:cs="Arial"/>
          <w:rtl/>
        </w:rPr>
        <w:t xml:space="preserve">. </w:t>
      </w:r>
    </w:p>
    <w:p w14:paraId="181E925B" w14:textId="77777777" w:rsidR="00C97BEF" w:rsidRDefault="00C97BEF" w:rsidP="00C97BEF">
      <w:pPr>
        <w:rPr>
          <w:rtl/>
        </w:rPr>
      </w:pPr>
    </w:p>
    <w:p w14:paraId="67E17C68" w14:textId="77777777" w:rsidR="00C97BEF" w:rsidRDefault="00C97BEF" w:rsidP="00C97BEF">
      <w:pPr>
        <w:pStyle w:val="2"/>
        <w:rPr>
          <w:rtl/>
        </w:rPr>
      </w:pPr>
      <w:r>
        <w:rPr>
          <w:rtl/>
        </w:rPr>
        <w:t xml:space="preserve">סעיף ז: </w:t>
      </w:r>
      <w:r>
        <w:rPr>
          <w:rFonts w:cs="Arial"/>
          <w:rtl/>
        </w:rPr>
        <w:t>נתייחד עמה אחר שאמר לכתוב ולחתום וליתן לה גט</w:t>
      </w:r>
      <w:r>
        <w:rPr>
          <w:rtl/>
        </w:rPr>
        <w:t>.</w:t>
      </w:r>
    </w:p>
    <w:p w14:paraId="506E8955" w14:textId="77777777" w:rsidR="00C97BEF" w:rsidRDefault="00C97BEF" w:rsidP="00C97BEF">
      <w:pPr>
        <w:rPr>
          <w:u w:val="single"/>
          <w:rtl/>
        </w:rPr>
      </w:pPr>
      <w:r>
        <w:rPr>
          <w:rFonts w:cs="Arial"/>
          <w:u w:val="single"/>
          <w:rtl/>
        </w:rPr>
        <w:t>נתייחד עמה אחר שאמר לכתוב ולחתום וליתן לה גט</w:t>
      </w:r>
      <w:r>
        <w:rPr>
          <w:u w:val="single"/>
          <w:rtl/>
        </w:rPr>
        <w:t>:</w:t>
      </w:r>
    </w:p>
    <w:p w14:paraId="5E5A426A" w14:textId="31E9DE67" w:rsidR="00E919F4" w:rsidRPr="00E919F4" w:rsidRDefault="00E919F4" w:rsidP="006A458D">
      <w:pPr>
        <w:pStyle w:val="ab"/>
        <w:numPr>
          <w:ilvl w:val="0"/>
          <w:numId w:val="123"/>
        </w:numPr>
      </w:pPr>
      <w:r>
        <w:rPr>
          <w:rFonts w:hint="cs"/>
          <w:rtl/>
        </w:rPr>
        <w:t xml:space="preserve">רמב"ם </w:t>
      </w:r>
      <w:r>
        <w:rPr>
          <w:rFonts w:hint="cs"/>
          <w:sz w:val="16"/>
          <w:szCs w:val="16"/>
          <w:rtl/>
        </w:rPr>
        <w:t>(פ"ט הכ"ה)</w:t>
      </w:r>
      <w:r>
        <w:rPr>
          <w:rFonts w:hint="cs"/>
          <w:rtl/>
        </w:rPr>
        <w:t>-</w:t>
      </w:r>
      <w:r w:rsidRPr="00E919F4">
        <w:rPr>
          <w:rtl/>
        </w:rPr>
        <w:t xml:space="preserve"> </w:t>
      </w:r>
      <w:r w:rsidRPr="00E919F4">
        <w:rPr>
          <w:rFonts w:cs="Arial"/>
          <w:rtl/>
        </w:rPr>
        <w:t>נתייחד עמה אחר שאמר להן לכתוב ולחתום וליתן לה הרי אלו לא יכתבו, וקל וחומר הדברים אם הגט שניתן לה לידה כשנתייחד עמה נפסל הגט שמא בעל קל וחומר לזה שלא נכתב, ואם כתבו ונתנו לה אחר שנתייחד עמה אינו גט</w:t>
      </w:r>
      <w:r>
        <w:rPr>
          <w:rStyle w:val="a7"/>
          <w:rFonts w:cs="Arial"/>
          <w:rtl/>
        </w:rPr>
        <w:footnoteReference w:id="2659"/>
      </w:r>
      <w:r w:rsidRPr="00E919F4">
        <w:rPr>
          <w:rFonts w:cs="Arial"/>
          <w:rtl/>
        </w:rPr>
        <w:t>.</w:t>
      </w:r>
    </w:p>
    <w:p w14:paraId="3B975CC4" w14:textId="513A0CD1" w:rsidR="00C97BEF" w:rsidRDefault="00C97BEF" w:rsidP="006A458D">
      <w:pPr>
        <w:pStyle w:val="ab"/>
        <w:numPr>
          <w:ilvl w:val="0"/>
          <w:numId w:val="123"/>
        </w:numPr>
        <w:rPr>
          <w:rtl/>
        </w:rPr>
      </w:pPr>
      <w:r>
        <w:rPr>
          <w:rFonts w:cs="Arial"/>
          <w:rtl/>
        </w:rPr>
        <w:t xml:space="preserve">ר"ן </w:t>
      </w:r>
      <w:r>
        <w:rPr>
          <w:rFonts w:cs="Arial"/>
          <w:sz w:val="16"/>
          <w:szCs w:val="16"/>
          <w:rtl/>
        </w:rPr>
        <w:t>(גיטין מב: ד"ה גמ' וב"ה)</w:t>
      </w:r>
      <w:r w:rsidR="00A82951">
        <w:rPr>
          <w:rFonts w:cs="Arial"/>
          <w:rtl/>
        </w:rPr>
        <w:t>-</w:t>
      </w:r>
      <w:r>
        <w:rPr>
          <w:rFonts w:cs="Arial"/>
          <w:rtl/>
        </w:rPr>
        <w:t xml:space="preserve"> בודאי לשמא פייס וביטל השליחות הוא דאיכא למיחש להכי, אבל אין מקום לומר שיהא הגט בטל לגמרי, וכן דעת הרמב"ן ז"ל (כו: ד"ה ה"נ).</w:t>
      </w:r>
      <w:r>
        <w:rPr>
          <w:rtl/>
        </w:rPr>
        <w:t xml:space="preserve"> </w:t>
      </w:r>
      <w:r>
        <w:rPr>
          <w:color w:val="E36C0A" w:themeColor="accent6" w:themeShade="BF"/>
          <w:rtl/>
        </w:rPr>
        <w:t>(וכ"פ בשו"ע)</w:t>
      </w:r>
    </w:p>
    <w:p w14:paraId="38CEB1B5"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C8432CF" w14:textId="77777777" w:rsidR="00C97BEF" w:rsidRDefault="00C97BEF" w:rsidP="00C97BEF">
      <w:pPr>
        <w:rPr>
          <w:rtl/>
        </w:rPr>
      </w:pPr>
      <w:r>
        <w:rPr>
          <w:rFonts w:cs="Arial"/>
          <w:rtl/>
        </w:rPr>
        <w:t>נתייחד עם אשתו אחר שאמר לכתוב ולחתום גט וליתנו לה, הרי אלו לא יכתבו. ואם כתבו ונתנו לה אחר שנתייחד עמה, הרי זו ספק מגורשת</w:t>
      </w:r>
      <w:r>
        <w:rPr>
          <w:rStyle w:val="a7"/>
          <w:rFonts w:cs="Arial"/>
          <w:rtl/>
        </w:rPr>
        <w:footnoteReference w:id="2660"/>
      </w:r>
      <w:r>
        <w:rPr>
          <w:rFonts w:cs="Arial"/>
          <w:rtl/>
        </w:rPr>
        <w:t>.</w:t>
      </w:r>
    </w:p>
    <w:p w14:paraId="269E2909" w14:textId="77777777" w:rsidR="00C97BEF" w:rsidRDefault="00C97BEF" w:rsidP="00C97BEF">
      <w:pPr>
        <w:bidi w:val="0"/>
        <w:spacing w:after="0"/>
        <w:rPr>
          <w:rtl/>
        </w:rPr>
        <w:sectPr w:rsidR="00C97BEF">
          <w:headerReference w:type="default" r:id="rId42"/>
          <w:footnotePr>
            <w:numRestart w:val="eachSect"/>
          </w:footnotePr>
          <w:pgSz w:w="11906" w:h="16838"/>
          <w:pgMar w:top="720" w:right="1134" w:bottom="720" w:left="1134" w:header="0" w:footer="0" w:gutter="0"/>
          <w:cols w:space="720"/>
          <w:bidi/>
          <w:rtlGutter/>
        </w:sectPr>
      </w:pPr>
    </w:p>
    <w:p w14:paraId="1C98FF3C" w14:textId="77777777" w:rsidR="00C97BEF" w:rsidRDefault="00C97BEF" w:rsidP="00C97BEF">
      <w:pPr>
        <w:pStyle w:val="1"/>
        <w:rPr>
          <w:rtl/>
        </w:rPr>
      </w:pPr>
      <w:r>
        <w:rPr>
          <w:rtl/>
        </w:rPr>
        <w:lastRenderedPageBreak/>
        <w:t xml:space="preserve">סימן קנ: </w:t>
      </w:r>
      <w:r>
        <w:rPr>
          <w:rFonts w:cs="Arial"/>
          <w:rtl/>
        </w:rPr>
        <w:t xml:space="preserve">דין פיסול גט שאם נשאת בהן, ובו ד' סעיפים. </w:t>
      </w:r>
    </w:p>
    <w:p w14:paraId="348466C8" w14:textId="77777777" w:rsidR="00C97BEF" w:rsidRDefault="00C97BEF" w:rsidP="00C97BEF">
      <w:pPr>
        <w:pStyle w:val="2"/>
        <w:rPr>
          <w:rtl/>
        </w:rPr>
      </w:pPr>
      <w:r>
        <w:rPr>
          <w:rtl/>
        </w:rPr>
        <w:t>סעיף א: מי שגירש בגט בטל/פסול.</w:t>
      </w:r>
    </w:p>
    <w:p w14:paraId="5667D328" w14:textId="77777777" w:rsidR="00C97BEF" w:rsidRDefault="00C97BEF" w:rsidP="00C97BEF">
      <w:pPr>
        <w:rPr>
          <w:u w:val="single"/>
          <w:rtl/>
        </w:rPr>
      </w:pPr>
      <w:r>
        <w:rPr>
          <w:u w:val="single"/>
          <w:rtl/>
        </w:rPr>
        <w:t>מי שגירש בגט בטל:</w:t>
      </w:r>
    </w:p>
    <w:p w14:paraId="681C90D4" w14:textId="212590FC" w:rsidR="00C97BEF" w:rsidRDefault="00C97BEF" w:rsidP="006A458D">
      <w:pPr>
        <w:pStyle w:val="ab"/>
        <w:numPr>
          <w:ilvl w:val="0"/>
          <w:numId w:val="123"/>
        </w:numPr>
        <w:rPr>
          <w:rtl/>
        </w:rPr>
      </w:pPr>
      <w:r>
        <w:rPr>
          <w:rFonts w:cs="Arial"/>
          <w:rtl/>
        </w:rPr>
        <w:t xml:space="preserve">רמב"ם </w:t>
      </w:r>
      <w:r>
        <w:rPr>
          <w:rFonts w:cs="Arial"/>
          <w:sz w:val="16"/>
          <w:szCs w:val="16"/>
          <w:rtl/>
        </w:rPr>
        <w:t>(פ"י ה"א)</w:t>
      </w:r>
      <w:r>
        <w:rPr>
          <w:rFonts w:cs="Arial"/>
          <w:rtl/>
        </w:rPr>
        <w:t xml:space="preserve"> וטור</w:t>
      </w:r>
      <w:r w:rsidR="00A82951">
        <w:rPr>
          <w:rFonts w:cs="Arial"/>
          <w:rtl/>
        </w:rPr>
        <w:t>-</w:t>
      </w:r>
      <w:r>
        <w:rPr>
          <w:rFonts w:cs="Arial"/>
          <w:rtl/>
        </w:rPr>
        <w:t xml:space="preserve"> כל מקום שאמרנו בחיבור זה שהגט בטל, או אינו גט, או אינה מגורשת </w:t>
      </w:r>
      <w:r w:rsidR="00A82951">
        <w:rPr>
          <w:rFonts w:cs="Arial"/>
          <w:rtl/>
        </w:rPr>
        <w:t>-</w:t>
      </w:r>
      <w:r>
        <w:rPr>
          <w:rFonts w:cs="Arial"/>
          <w:rtl/>
        </w:rPr>
        <w:t xml:space="preserve"> הרי זה גט בטל מן התורה, ועדיין היא אשת איש גמורה, ואם נשאת תצא והולד ממזר</w:t>
      </w:r>
      <w:r>
        <w:rPr>
          <w:rStyle w:val="a7"/>
          <w:rFonts w:cs="Arial"/>
          <w:rtl/>
        </w:rPr>
        <w:footnoteReference w:id="2661"/>
      </w:r>
      <w:r>
        <w:rPr>
          <w:rFonts w:cs="Arial"/>
          <w:rtl/>
        </w:rPr>
        <w:t xml:space="preserve">. ואם היה בעלה כהן </w:t>
      </w:r>
      <w:r w:rsidR="00A82951">
        <w:rPr>
          <w:rFonts w:cs="Arial"/>
          <w:rtl/>
        </w:rPr>
        <w:t>-</w:t>
      </w:r>
      <w:r>
        <w:rPr>
          <w:rFonts w:cs="Arial"/>
          <w:rtl/>
        </w:rPr>
        <w:t xml:space="preserve"> לא נאסרה עליו משום גרושה, חוץ מן המגרש את אשתו ואמר לה 'הרי את מגורשת ממני ואין את מותרת לכל אדם', שאע"פ שאין זה גט </w:t>
      </w:r>
      <w:r w:rsidR="00A82951">
        <w:rPr>
          <w:rFonts w:cs="Arial"/>
          <w:rtl/>
        </w:rPr>
        <w:t>-</w:t>
      </w:r>
      <w:r>
        <w:rPr>
          <w:rFonts w:cs="Arial"/>
          <w:rtl/>
        </w:rPr>
        <w:t xml:space="preserve"> הרי זו פסולה לכהונה מדבריהן</w:t>
      </w:r>
      <w:r>
        <w:rPr>
          <w:rStyle w:val="a7"/>
          <w:rFonts w:cs="Arial"/>
          <w:rtl/>
        </w:rPr>
        <w:footnoteReference w:id="2662"/>
      </w:r>
      <w:r>
        <w:rPr>
          <w:rFonts w:cs="Arial"/>
          <w:rtl/>
        </w:rPr>
        <w:t xml:space="preserve">, שנאמר </w:t>
      </w:r>
      <w:r>
        <w:rPr>
          <w:rFonts w:cs="Arial"/>
          <w:sz w:val="16"/>
          <w:szCs w:val="16"/>
          <w:rtl/>
        </w:rPr>
        <w:t>(ויקרא כא)</w:t>
      </w:r>
      <w:r>
        <w:rPr>
          <w:rFonts w:cs="Arial"/>
          <w:rtl/>
        </w:rPr>
        <w:t xml:space="preserve"> ואשה גרושה מאישה, אמרו חכמים אפילו לא נתגרשה אלא מאישה ולא הותרה לכל נאסרה לכהונה, וזהו ריח הגט שפוסל בכהונה מדבריהן</w:t>
      </w:r>
      <w:r>
        <w:rPr>
          <w:rFonts w:cs="Arial"/>
          <w:sz w:val="16"/>
          <w:szCs w:val="16"/>
          <w:rtl/>
        </w:rPr>
        <w:t xml:space="preserve"> (ל' הרמב"ם)</w:t>
      </w:r>
      <w:r>
        <w:rPr>
          <w:rFonts w:cs="Arial"/>
          <w:rtl/>
        </w:rPr>
        <w:t xml:space="preserve">. </w:t>
      </w:r>
      <w:r>
        <w:rPr>
          <w:color w:val="E36C0A" w:themeColor="accent6" w:themeShade="BF"/>
          <w:rtl/>
        </w:rPr>
        <w:t>(וכ"פ בשו"ע</w:t>
      </w:r>
      <w:r>
        <w:rPr>
          <w:color w:val="E36C0A" w:themeColor="accent6" w:themeShade="BF"/>
          <w:sz w:val="16"/>
          <w:szCs w:val="16"/>
          <w:rtl/>
        </w:rPr>
        <w:t xml:space="preserve"> </w:t>
      </w:r>
      <w:r>
        <w:rPr>
          <w:color w:val="000000" w:themeColor="text1"/>
          <w:sz w:val="16"/>
          <w:szCs w:val="16"/>
          <w:rtl/>
        </w:rPr>
        <w:t>[כאן ובסע' ג]</w:t>
      </w:r>
      <w:r>
        <w:rPr>
          <w:color w:val="E36C0A" w:themeColor="accent6" w:themeShade="BF"/>
          <w:rtl/>
        </w:rPr>
        <w:t>)</w:t>
      </w:r>
    </w:p>
    <w:p w14:paraId="2AECF30D" w14:textId="77777777" w:rsidR="00C97BEF" w:rsidRDefault="00C97BEF" w:rsidP="00C97BEF">
      <w:pPr>
        <w:ind w:left="360"/>
        <w:rPr>
          <w:u w:val="dotted"/>
        </w:rPr>
      </w:pPr>
      <w:r>
        <w:rPr>
          <w:u w:val="dotted"/>
          <w:rtl/>
        </w:rPr>
        <w:t>ומה הדין אם נשאת:</w:t>
      </w:r>
    </w:p>
    <w:p w14:paraId="5F3511FD" w14:textId="1E8D3354" w:rsidR="00C97BEF" w:rsidRDefault="00C97BEF" w:rsidP="006A458D">
      <w:pPr>
        <w:pStyle w:val="ab"/>
        <w:numPr>
          <w:ilvl w:val="0"/>
          <w:numId w:val="123"/>
        </w:numPr>
      </w:pPr>
      <w:r>
        <w:rPr>
          <w:rFonts w:cs="Arial"/>
          <w:rtl/>
        </w:rPr>
        <w:t xml:space="preserve">רמב"ם </w:t>
      </w:r>
      <w:r>
        <w:rPr>
          <w:rFonts w:cs="Arial"/>
          <w:sz w:val="16"/>
          <w:szCs w:val="16"/>
          <w:rtl/>
        </w:rPr>
        <w:t>(פ"י ה"ד)</w:t>
      </w:r>
      <w:r>
        <w:rPr>
          <w:rFonts w:cs="Arial"/>
          <w:rtl/>
        </w:rPr>
        <w:t xml:space="preserve"> וטור</w:t>
      </w:r>
      <w:r w:rsidR="00A82951">
        <w:rPr>
          <w:rFonts w:cs="Arial"/>
          <w:rtl/>
        </w:rPr>
        <w:t>-</w:t>
      </w:r>
      <w:r>
        <w:rPr>
          <w:rFonts w:cs="Arial"/>
          <w:rtl/>
        </w:rPr>
        <w:t xml:space="preserve"> כל מי שנשאת בגט בטל הרי זו צריכה גט מבעל שני מדבריהן</w:t>
      </w:r>
      <w:r w:rsidR="00A42BE2">
        <w:rPr>
          <w:rFonts w:cs="Arial" w:hint="cs"/>
          <w:rtl/>
        </w:rPr>
        <w:t>,</w:t>
      </w:r>
      <w:r>
        <w:rPr>
          <w:rFonts w:cs="Arial"/>
          <w:rtl/>
        </w:rPr>
        <w:t xml:space="preserve"> כדי שלא יאמרו אשת איש יוצאה בלא גט</w:t>
      </w:r>
      <w:r w:rsidR="00A42BE2">
        <w:rPr>
          <w:rFonts w:cs="Arial" w:hint="cs"/>
          <w:rtl/>
        </w:rPr>
        <w:t>.</w:t>
      </w:r>
      <w:r>
        <w:rPr>
          <w:rFonts w:cs="Arial"/>
          <w:rtl/>
        </w:rPr>
        <w:t xml:space="preserve"> וצריכה גט מן הראשון להתירה לשאר העם</w:t>
      </w:r>
      <w:r w:rsidR="00A42BE2">
        <w:rPr>
          <w:rFonts w:cs="Arial" w:hint="cs"/>
          <w:rtl/>
        </w:rPr>
        <w:t>.</w:t>
      </w:r>
      <w:r>
        <w:rPr>
          <w:rFonts w:cs="Arial"/>
          <w:rtl/>
        </w:rPr>
        <w:t xml:space="preserve"> ונאסרה על שניהם לעולם אע</w:t>
      </w:r>
      <w:r w:rsidR="00A42BE2">
        <w:rPr>
          <w:rFonts w:cs="Arial" w:hint="cs"/>
          <w:rtl/>
        </w:rPr>
        <w:t>"</w:t>
      </w:r>
      <w:r>
        <w:rPr>
          <w:rFonts w:cs="Arial"/>
          <w:rtl/>
        </w:rPr>
        <w:t>פ שנבעלה בשגגה</w:t>
      </w:r>
      <w:r w:rsidR="00A42BE2">
        <w:rPr>
          <w:rFonts w:cs="Arial" w:hint="cs"/>
          <w:rtl/>
        </w:rPr>
        <w:t>,</w:t>
      </w:r>
      <w:r>
        <w:rPr>
          <w:rFonts w:cs="Arial"/>
          <w:rtl/>
        </w:rPr>
        <w:t xml:space="preserve"> כדי שלא יאמרו החזיר זה גרושתו אחר שנשאת</w:t>
      </w:r>
      <w:r w:rsidR="00A42BE2">
        <w:rPr>
          <w:rFonts w:cs="Arial" w:hint="cs"/>
          <w:rtl/>
        </w:rPr>
        <w:t>.</w:t>
      </w:r>
      <w:r>
        <w:rPr>
          <w:rFonts w:cs="Arial"/>
          <w:rtl/>
        </w:rPr>
        <w:t xml:space="preserve"> ואם עבר אחד משניהן והחזירה</w:t>
      </w:r>
      <w:r w:rsidR="00A42BE2">
        <w:rPr>
          <w:rFonts w:cs="Arial" w:hint="cs"/>
          <w:rtl/>
        </w:rPr>
        <w:t>,</w:t>
      </w:r>
      <w:r>
        <w:rPr>
          <w:rFonts w:cs="Arial"/>
          <w:rtl/>
        </w:rPr>
        <w:t xml:space="preserve"> יוציא</w:t>
      </w:r>
      <w:r>
        <w:rPr>
          <w:rFonts w:cs="Arial"/>
          <w:sz w:val="16"/>
          <w:szCs w:val="16"/>
          <w:rtl/>
        </w:rPr>
        <w:t xml:space="preserve"> (ל' הרמב"ם)</w:t>
      </w:r>
      <w:r>
        <w:rPr>
          <w:rtl/>
        </w:rPr>
        <w:t>.</w:t>
      </w:r>
      <w:r>
        <w:rPr>
          <w:color w:val="E36C0A" w:themeColor="accent6" w:themeShade="BF"/>
          <w:rtl/>
        </w:rPr>
        <w:t xml:space="preserve"> (וכ"פ בשו"ע)</w:t>
      </w:r>
    </w:p>
    <w:p w14:paraId="11FFEFB4" w14:textId="77777777" w:rsidR="00C97BEF" w:rsidRDefault="00C97BEF" w:rsidP="00C97BEF">
      <w:pPr>
        <w:rPr>
          <w:u w:val="single"/>
        </w:rPr>
      </w:pPr>
      <w:r>
        <w:rPr>
          <w:u w:val="single"/>
          <w:rtl/>
        </w:rPr>
        <w:t>מי שגירש בגט פסול:</w:t>
      </w:r>
    </w:p>
    <w:p w14:paraId="229B893C" w14:textId="5B2CCF30" w:rsidR="00C97BEF" w:rsidRDefault="00C97BEF" w:rsidP="006A458D">
      <w:pPr>
        <w:pStyle w:val="ab"/>
        <w:numPr>
          <w:ilvl w:val="0"/>
          <w:numId w:val="123"/>
        </w:numPr>
      </w:pPr>
      <w:r>
        <w:rPr>
          <w:rFonts w:cs="Arial"/>
          <w:rtl/>
        </w:rPr>
        <w:t xml:space="preserve">רמב"ם </w:t>
      </w:r>
      <w:r>
        <w:rPr>
          <w:rFonts w:cs="Arial"/>
          <w:sz w:val="16"/>
          <w:szCs w:val="16"/>
          <w:rtl/>
        </w:rPr>
        <w:t>(פ"י ה"ב)</w:t>
      </w:r>
      <w:r w:rsidR="00A82951">
        <w:rPr>
          <w:rFonts w:cs="Arial"/>
          <w:rtl/>
        </w:rPr>
        <w:t>-</w:t>
      </w:r>
      <w:r>
        <w:rPr>
          <w:rFonts w:cs="Arial"/>
          <w:rtl/>
        </w:rPr>
        <w:t xml:space="preserve"> וכל מקום שאמרנו בחיבור זה שהגט פסול </w:t>
      </w:r>
      <w:r w:rsidR="00A82951">
        <w:rPr>
          <w:rFonts w:cs="Arial"/>
          <w:rtl/>
        </w:rPr>
        <w:t>-</w:t>
      </w:r>
      <w:r>
        <w:rPr>
          <w:rFonts w:cs="Arial"/>
          <w:rtl/>
        </w:rPr>
        <w:t xml:space="preserve"> הרי זה פסול מדברי סופרים בלבד, ונפסלה בו מן הכהונה מדברי תורה, ולכתחלה</w:t>
      </w:r>
      <w:r>
        <w:rPr>
          <w:rStyle w:val="a7"/>
          <w:rFonts w:cs="Arial"/>
          <w:rtl/>
        </w:rPr>
        <w:footnoteReference w:id="2663"/>
      </w:r>
      <w:r>
        <w:rPr>
          <w:rFonts w:cs="Arial"/>
          <w:rtl/>
        </w:rPr>
        <w:t xml:space="preserve"> לא תנשא. ואם נשאת </w:t>
      </w:r>
      <w:r w:rsidR="00A82951">
        <w:rPr>
          <w:rFonts w:cs="Arial"/>
          <w:rtl/>
        </w:rPr>
        <w:t>-</w:t>
      </w:r>
      <w:r>
        <w:rPr>
          <w:rFonts w:cs="Arial"/>
          <w:rtl/>
        </w:rPr>
        <w:t xml:space="preserve"> לא תצא</w:t>
      </w:r>
      <w:r>
        <w:rPr>
          <w:rStyle w:val="a7"/>
          <w:rFonts w:cs="Arial"/>
          <w:rtl/>
        </w:rPr>
        <w:footnoteReference w:id="2664"/>
      </w:r>
      <w:r>
        <w:rPr>
          <w:rFonts w:cs="Arial"/>
          <w:rtl/>
        </w:rPr>
        <w:t xml:space="preserve"> והולד כשר. וכותבין לה גט אחר כשר ונותנין לה והיא תחת בעלה. ואם אי אפשר לכתוב אחר והיה הבעל ותיק וגירש מעצמו </w:t>
      </w:r>
      <w:r w:rsidR="00A82951">
        <w:rPr>
          <w:rFonts w:cs="Arial"/>
          <w:rtl/>
        </w:rPr>
        <w:t>-</w:t>
      </w:r>
      <w:r>
        <w:rPr>
          <w:rFonts w:cs="Arial"/>
          <w:rtl/>
        </w:rPr>
        <w:t xml:space="preserve"> הרי זה משובח אם אין לו בנים, אבל אם יש לו בנים </w:t>
      </w:r>
      <w:r w:rsidR="00A82951">
        <w:rPr>
          <w:rFonts w:cs="Arial"/>
          <w:rtl/>
        </w:rPr>
        <w:t>-</w:t>
      </w:r>
      <w:r>
        <w:rPr>
          <w:rFonts w:cs="Arial"/>
          <w:rtl/>
        </w:rPr>
        <w:t xml:space="preserve"> לא יוציא מפני פסול הגט שמא יוציא לעז על בניו</w:t>
      </w:r>
      <w:r>
        <w:rPr>
          <w:rStyle w:val="a7"/>
          <w:rFonts w:cs="Arial"/>
          <w:rtl/>
        </w:rPr>
        <w:footnoteReference w:id="2665"/>
      </w:r>
      <w:r>
        <w:rPr>
          <w:rFonts w:cs="Arial"/>
          <w:rtl/>
        </w:rPr>
        <w:t xml:space="preserve">. </w:t>
      </w:r>
      <w:r>
        <w:rPr>
          <w:color w:val="E36C0A" w:themeColor="accent6" w:themeShade="BF"/>
          <w:rtl/>
        </w:rPr>
        <w:t>(וכ"פ בשו"ע)</w:t>
      </w:r>
    </w:p>
    <w:p w14:paraId="43EC8928" w14:textId="2F9D2E2A" w:rsidR="00C97BEF" w:rsidRDefault="00C97BEF" w:rsidP="006A458D">
      <w:pPr>
        <w:pStyle w:val="ab"/>
        <w:numPr>
          <w:ilvl w:val="0"/>
          <w:numId w:val="123"/>
        </w:numPr>
      </w:pPr>
      <w:r>
        <w:rPr>
          <w:rFonts w:cs="Arial"/>
          <w:rtl/>
        </w:rPr>
        <w:t>רי"ף</w:t>
      </w:r>
      <w:r>
        <w:rPr>
          <w:rFonts w:cs="Arial"/>
          <w:sz w:val="16"/>
          <w:szCs w:val="16"/>
          <w:rtl/>
        </w:rPr>
        <w:t xml:space="preserve"> (בשו"ת ח"ב סי' קא, כ"כ בשמו רא"ש [ס"ס ו] טור ור"ן [מו:])</w:t>
      </w:r>
      <w:r w:rsidR="00A82951">
        <w:rPr>
          <w:rFonts w:cs="Arial"/>
          <w:rtl/>
        </w:rPr>
        <w:t>-</w:t>
      </w:r>
      <w:r>
        <w:rPr>
          <w:rFonts w:cs="Arial"/>
          <w:rtl/>
        </w:rPr>
        <w:t xml:space="preserve"> אפי' גט פסול דרבנן תצא והולד ספק ממזר, חוץ מכתב ידו ואין עליו עדים, או שיש עליו עדים ואין בו זמן, או כתב ידו ועד אחד ויש בו זמן, שבאלו הג' אם ניסת </w:t>
      </w:r>
      <w:r w:rsidR="00A82951">
        <w:rPr>
          <w:rFonts w:cs="Arial"/>
          <w:rtl/>
        </w:rPr>
        <w:t>-</w:t>
      </w:r>
      <w:r>
        <w:rPr>
          <w:rFonts w:cs="Arial"/>
          <w:rtl/>
        </w:rPr>
        <w:t xml:space="preserve"> לא תצא אפי' אין לה בנים</w:t>
      </w:r>
      <w:r>
        <w:rPr>
          <w:rFonts w:cs="Arial"/>
          <w:sz w:val="16"/>
          <w:szCs w:val="16"/>
          <w:rtl/>
        </w:rPr>
        <w:t xml:space="preserve"> (ל' הטור בשמו)</w:t>
      </w:r>
      <w:r>
        <w:rPr>
          <w:rStyle w:val="a7"/>
          <w:rFonts w:cs="Arial"/>
          <w:rtl/>
        </w:rPr>
        <w:footnoteReference w:id="2666"/>
      </w:r>
      <w:r>
        <w:rPr>
          <w:rFonts w:cs="Arial"/>
          <w:rtl/>
        </w:rPr>
        <w:t>.</w:t>
      </w:r>
    </w:p>
    <w:p w14:paraId="64568C82" w14:textId="4B37E39C" w:rsidR="00C97BEF" w:rsidRDefault="00C97BEF" w:rsidP="00C97BEF">
      <w:pPr>
        <w:ind w:left="360"/>
        <w:rPr>
          <w:u w:val="dotted"/>
        </w:rPr>
      </w:pPr>
      <w:r>
        <w:rPr>
          <w:u w:val="dotted"/>
          <w:rtl/>
        </w:rPr>
        <w:t xml:space="preserve">במקום שאומרים 'אם נשאת לא תצא' </w:t>
      </w:r>
      <w:r w:rsidR="00A82951">
        <w:rPr>
          <w:u w:val="dotted"/>
          <w:rtl/>
        </w:rPr>
        <w:t>-</w:t>
      </w:r>
      <w:r>
        <w:rPr>
          <w:u w:val="dotted"/>
          <w:rtl/>
        </w:rPr>
        <w:t xml:space="preserve"> מה הדין אם לא נבעלה:</w:t>
      </w:r>
    </w:p>
    <w:p w14:paraId="67595448" w14:textId="028DF49B" w:rsidR="00C97BEF" w:rsidRDefault="00C97BEF" w:rsidP="006A458D">
      <w:pPr>
        <w:pStyle w:val="ab"/>
        <w:numPr>
          <w:ilvl w:val="0"/>
          <w:numId w:val="123"/>
        </w:numPr>
      </w:pPr>
      <w:r>
        <w:rPr>
          <w:rFonts w:cs="Arial"/>
          <w:rtl/>
        </w:rPr>
        <w:t xml:space="preserve">תרוה"ד </w:t>
      </w:r>
      <w:r>
        <w:rPr>
          <w:rFonts w:cs="Arial"/>
          <w:sz w:val="16"/>
          <w:szCs w:val="16"/>
          <w:rtl/>
        </w:rPr>
        <w:t>(ח"ב סי' רנ)</w:t>
      </w:r>
      <w:r w:rsidR="00A82951">
        <w:rPr>
          <w:rFonts w:cs="Arial"/>
          <w:rtl/>
        </w:rPr>
        <w:t>-</w:t>
      </w:r>
      <w:r>
        <w:rPr>
          <w:rFonts w:cs="Arial"/>
          <w:rtl/>
        </w:rPr>
        <w:t xml:space="preserve"> מקום שאמרו אם נישאת לא תצא היינו אפילו לא נבעלה.</w:t>
      </w:r>
      <w:r>
        <w:rPr>
          <w:color w:val="E36C0A" w:themeColor="accent6" w:themeShade="BF"/>
          <w:rtl/>
        </w:rPr>
        <w:t xml:space="preserve"> (וכ"פ בשו"ע)</w:t>
      </w:r>
    </w:p>
    <w:p w14:paraId="69032E10"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A0B08D5" w14:textId="576E189D" w:rsidR="00C97BEF" w:rsidRDefault="00C97BEF" w:rsidP="00C97BEF">
      <w:pPr>
        <w:rPr>
          <w:rtl/>
        </w:rPr>
      </w:pPr>
      <w:r>
        <w:rPr>
          <w:rFonts w:cs="Arial"/>
          <w:rtl/>
        </w:rPr>
        <w:t>כל גט שהוא בטל מן התורה, אם נתגרשה בו</w:t>
      </w:r>
      <w:r w:rsidR="006C074E">
        <w:rPr>
          <w:rFonts w:cs="Arial" w:hint="cs"/>
          <w:rtl/>
        </w:rPr>
        <w:t>,</w:t>
      </w:r>
      <w:r>
        <w:rPr>
          <w:rFonts w:cs="Arial"/>
          <w:rtl/>
        </w:rPr>
        <w:t xml:space="preserve"> עדיין היא אשת איש גמורה. ואם נשאת בו, תצא והולד ממזר, וצריכה גט משני מדבריהם, ומהראשון מן התורה להתירה לעלמא. ואסורה לשניהם לעולם. וכל י"ג דרכים שנוהגין באשה שהלך בעלה למדינת הים ונשאת ואחר כך בא בעלה שנתבארו בסימן י"ז, נוהגים בה. </w:t>
      </w:r>
      <w:r>
        <w:rPr>
          <w:rFonts w:cs="Arial"/>
          <w:sz w:val="18"/>
          <w:szCs w:val="18"/>
          <w:rtl/>
        </w:rPr>
        <w:t xml:space="preserve">[הגה] וי"א דבעלה הראשון יורשה </w:t>
      </w:r>
      <w:r>
        <w:rPr>
          <w:rFonts w:cs="Arial"/>
          <w:sz w:val="18"/>
          <w:szCs w:val="18"/>
          <w:rtl/>
        </w:rPr>
        <w:lastRenderedPageBreak/>
        <w:t>(הה"מ פ"י דגירושין).</w:t>
      </w:r>
      <w:r>
        <w:rPr>
          <w:rFonts w:cs="Arial"/>
          <w:rtl/>
        </w:rPr>
        <w:t xml:space="preserve"> אבל אם לא נשאת עדיין, אלא נתקדשה, מותרת לבעלה ואינה צריכה גט משני. וכל גט שאינו פסול אלא מדבריהם להנשא בו, לא תנשא בו לכתחלה, ואם נשאת</w:t>
      </w:r>
      <w:r>
        <w:rPr>
          <w:rStyle w:val="a7"/>
          <w:rFonts w:cs="Arial"/>
          <w:rtl/>
        </w:rPr>
        <w:footnoteReference w:id="2667"/>
      </w:r>
      <w:r>
        <w:rPr>
          <w:rFonts w:cs="Arial"/>
          <w:rtl/>
        </w:rPr>
        <w:t xml:space="preserve">, אפילו לא נבעלה, לא תצא, והולד כשר, וכותבין לה גט אחר, והיא יושבת תחת בעלה. ואם אי אפשר לכתוב לה גט, והיה הבעל ותיק וגירש מעצמו, הרי זה משובח. במה דברים אמורים, שאין לו בנים ממנה. אבל אם יש לו בנים ממנה, לא יוציא, מפני שמוציא לעז על הבנים. </w:t>
      </w:r>
      <w:r>
        <w:rPr>
          <w:rFonts w:cs="Arial"/>
          <w:sz w:val="18"/>
          <w:szCs w:val="18"/>
          <w:rtl/>
        </w:rPr>
        <w:t>[הגה] מיהו נותנין גט אחר כשר, ואין בזה משום הוצאת לעז על הבנים (תרוה"ד). כל דבר שאנו מחמירין בגיטין, והגט בלאו הכי כשר אלא שמחמירין לכתבו לכתחלה, אם לא נכתב, הגט כשר (מהרי"ו סי' כג).</w:t>
      </w:r>
      <w:r>
        <w:rPr>
          <w:rFonts w:cs="Arial"/>
          <w:rtl/>
        </w:rPr>
        <w:t xml:space="preserve"> </w:t>
      </w:r>
    </w:p>
    <w:p w14:paraId="545EB83B" w14:textId="77777777" w:rsidR="00C97BEF" w:rsidRDefault="00C97BEF" w:rsidP="00C97BEF">
      <w:pPr>
        <w:rPr>
          <w:rtl/>
        </w:rPr>
      </w:pPr>
    </w:p>
    <w:p w14:paraId="50CE9C01" w14:textId="77777777" w:rsidR="00C97BEF" w:rsidRDefault="00C97BEF" w:rsidP="00C97BEF">
      <w:pPr>
        <w:pStyle w:val="2"/>
        <w:rPr>
          <w:rtl/>
        </w:rPr>
      </w:pPr>
      <w:r>
        <w:rPr>
          <w:rtl/>
        </w:rPr>
        <w:t>סעיף ב: ספק מגורשת שנשאת.</w:t>
      </w:r>
    </w:p>
    <w:p w14:paraId="2143B3C6" w14:textId="77777777" w:rsidR="00C97BEF" w:rsidRDefault="00C97BEF" w:rsidP="00C97BEF">
      <w:pPr>
        <w:rPr>
          <w:u w:val="single"/>
          <w:rtl/>
        </w:rPr>
      </w:pPr>
      <w:r>
        <w:rPr>
          <w:u w:val="single"/>
          <w:rtl/>
        </w:rPr>
        <w:t>ספק מגורשת שנשאת:</w:t>
      </w:r>
    </w:p>
    <w:p w14:paraId="3D546B80" w14:textId="0A876AE4" w:rsidR="00C97BEF" w:rsidRDefault="00C97BEF" w:rsidP="006A458D">
      <w:pPr>
        <w:pStyle w:val="ab"/>
        <w:numPr>
          <w:ilvl w:val="0"/>
          <w:numId w:val="123"/>
        </w:numPr>
      </w:pPr>
      <w:r>
        <w:rPr>
          <w:rFonts w:cs="Arial"/>
          <w:rtl/>
        </w:rPr>
        <w:t xml:space="preserve">רמב"ם </w:t>
      </w:r>
      <w:r>
        <w:rPr>
          <w:rFonts w:cs="Arial"/>
          <w:sz w:val="16"/>
          <w:szCs w:val="16"/>
          <w:rtl/>
        </w:rPr>
        <w:t>(פ"י ה"ג)</w:t>
      </w:r>
      <w:r>
        <w:rPr>
          <w:rFonts w:cs="Arial"/>
          <w:rtl/>
        </w:rPr>
        <w:t xml:space="preserve"> וטור</w:t>
      </w:r>
      <w:r w:rsidR="00A82951">
        <w:rPr>
          <w:rFonts w:cs="Arial"/>
          <w:rtl/>
        </w:rPr>
        <w:t>-</w:t>
      </w:r>
      <w:r>
        <w:rPr>
          <w:rFonts w:cs="Arial"/>
          <w:rtl/>
        </w:rPr>
        <w:t xml:space="preserve"> וכל מקום שאמרנו בחיבור זה הרי זה ספק גירושין או שהיא ספק מגורשת</w:t>
      </w:r>
      <w:r>
        <w:rPr>
          <w:rStyle w:val="a7"/>
          <w:rFonts w:cs="Arial"/>
          <w:rtl/>
        </w:rPr>
        <w:footnoteReference w:id="2668"/>
      </w:r>
      <w:r>
        <w:rPr>
          <w:rFonts w:cs="Arial"/>
          <w:rtl/>
        </w:rPr>
        <w:t xml:space="preserve"> </w:t>
      </w:r>
      <w:r w:rsidR="00A82951">
        <w:rPr>
          <w:rFonts w:cs="Arial"/>
          <w:rtl/>
        </w:rPr>
        <w:t>-</w:t>
      </w:r>
      <w:r>
        <w:rPr>
          <w:rFonts w:cs="Arial"/>
          <w:rtl/>
        </w:rPr>
        <w:t xml:space="preserve"> לא תנשא. ואם נשאת </w:t>
      </w:r>
      <w:r w:rsidR="00A82951">
        <w:rPr>
          <w:rFonts w:cs="Arial"/>
          <w:rtl/>
        </w:rPr>
        <w:t>-</w:t>
      </w:r>
      <w:r>
        <w:rPr>
          <w:rFonts w:cs="Arial"/>
          <w:rtl/>
        </w:rPr>
        <w:t xml:space="preserve"> תצא והולד ספק ממזר, מפני שהיא ספק ערוה</w:t>
      </w:r>
      <w:r>
        <w:rPr>
          <w:rFonts w:cs="Arial"/>
          <w:sz w:val="16"/>
          <w:szCs w:val="16"/>
          <w:rtl/>
        </w:rPr>
        <w:t xml:space="preserve"> (ל' הרמב"ם)</w:t>
      </w:r>
      <w:r>
        <w:rPr>
          <w:rFonts w:cs="Arial"/>
          <w:rtl/>
        </w:rPr>
        <w:t xml:space="preserve">. </w:t>
      </w:r>
      <w:r>
        <w:rPr>
          <w:color w:val="E36C0A" w:themeColor="accent6" w:themeShade="BF"/>
          <w:rtl/>
        </w:rPr>
        <w:t>(וכ"פ בשו"ע)</w:t>
      </w:r>
    </w:p>
    <w:p w14:paraId="6AACECA8"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6FFDD19" w14:textId="77777777" w:rsidR="00C97BEF" w:rsidRDefault="00C97BEF" w:rsidP="00C97BEF">
      <w:pPr>
        <w:rPr>
          <w:rtl/>
        </w:rPr>
      </w:pPr>
      <w:r>
        <w:rPr>
          <w:rFonts w:cs="Arial"/>
          <w:rtl/>
        </w:rPr>
        <w:t xml:space="preserve">כל שהיא ספק מגורשת, לא תנשא, ואם נשאת, תצא, והולד ספק ממזר. </w:t>
      </w:r>
    </w:p>
    <w:p w14:paraId="20D1C96C" w14:textId="77777777" w:rsidR="00C97BEF" w:rsidRDefault="00C97BEF" w:rsidP="00C97BEF">
      <w:pPr>
        <w:rPr>
          <w:rtl/>
        </w:rPr>
      </w:pPr>
    </w:p>
    <w:p w14:paraId="2B28F6B3" w14:textId="77777777" w:rsidR="00C97BEF" w:rsidRDefault="00C97BEF" w:rsidP="00C97BEF">
      <w:pPr>
        <w:pStyle w:val="2"/>
        <w:rPr>
          <w:rtl/>
        </w:rPr>
      </w:pPr>
      <w:r>
        <w:rPr>
          <w:rtl/>
        </w:rPr>
        <w:t>סעיף ג: כהן שגירש בגט בטל, או שאמר לה '</w:t>
      </w:r>
      <w:r>
        <w:rPr>
          <w:rFonts w:cs="Arial"/>
          <w:rtl/>
        </w:rPr>
        <w:t>הרי את מגורשת ממני ואין את מותרת לכל אדם</w:t>
      </w:r>
      <w:r>
        <w:rPr>
          <w:rtl/>
        </w:rPr>
        <w:t>'.</w:t>
      </w:r>
    </w:p>
    <w:p w14:paraId="5D8CE8EC" w14:textId="77777777" w:rsidR="00C97BEF" w:rsidRDefault="00C97BEF" w:rsidP="00C97BEF">
      <w:pPr>
        <w:rPr>
          <w:rtl/>
        </w:rPr>
      </w:pPr>
      <w:r>
        <w:rPr>
          <w:rtl/>
        </w:rPr>
        <w:t>עיין במקורות בסעיף א.</w:t>
      </w:r>
    </w:p>
    <w:p w14:paraId="01D092E9"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39A09AB5" w14:textId="1AAE9019" w:rsidR="00C97BEF" w:rsidRDefault="00C97BEF" w:rsidP="00C97BEF">
      <w:pPr>
        <w:rPr>
          <w:rtl/>
        </w:rPr>
      </w:pPr>
      <w:r>
        <w:rPr>
          <w:rFonts w:cs="Arial"/>
          <w:rtl/>
        </w:rPr>
        <w:t>כל גט שהוא בטל מן התורה, אם היה בעלה כהן לא נאסרה עליו משום גרושה, חוץ מהמגרש ואמר לה: הרי את מגורשת ממני ואין את מותרת לכל אדם, שא</w:t>
      </w:r>
      <w:r w:rsidR="006C074E">
        <w:rPr>
          <w:rFonts w:cs="Arial" w:hint="cs"/>
          <w:rtl/>
        </w:rPr>
        <w:t>ף על פי</w:t>
      </w:r>
      <w:r>
        <w:rPr>
          <w:rFonts w:cs="Arial"/>
          <w:rtl/>
        </w:rPr>
        <w:t xml:space="preserve"> שאין כאן גט כלל, פסולה לכהונה. </w:t>
      </w:r>
    </w:p>
    <w:p w14:paraId="615BF615" w14:textId="77777777" w:rsidR="00C97BEF" w:rsidRDefault="00C97BEF" w:rsidP="00C97BEF">
      <w:pPr>
        <w:rPr>
          <w:rtl/>
        </w:rPr>
      </w:pPr>
    </w:p>
    <w:p w14:paraId="1FFC7CCA" w14:textId="77777777" w:rsidR="00C97BEF" w:rsidRDefault="00C97BEF" w:rsidP="00C97BEF">
      <w:pPr>
        <w:pStyle w:val="2"/>
        <w:rPr>
          <w:rtl/>
        </w:rPr>
      </w:pPr>
      <w:r>
        <w:rPr>
          <w:rtl/>
        </w:rPr>
        <w:t>סעיף ד: גירש בגט פסול, ורוצה להחזירה.</w:t>
      </w:r>
    </w:p>
    <w:p w14:paraId="344C2035" w14:textId="77777777" w:rsidR="00C97BEF" w:rsidRDefault="00C97BEF" w:rsidP="00C97BEF">
      <w:pPr>
        <w:rPr>
          <w:u w:val="single"/>
          <w:rtl/>
        </w:rPr>
      </w:pPr>
      <w:r>
        <w:rPr>
          <w:u w:val="single"/>
          <w:rtl/>
        </w:rPr>
        <w:t>גירש בגט פסול, ורוצה להחזירה:</w:t>
      </w:r>
    </w:p>
    <w:p w14:paraId="677C6E63" w14:textId="3D841344" w:rsidR="00C97BEF" w:rsidRDefault="00C97BEF" w:rsidP="006A458D">
      <w:pPr>
        <w:pStyle w:val="ab"/>
        <w:numPr>
          <w:ilvl w:val="0"/>
          <w:numId w:val="123"/>
        </w:numPr>
      </w:pPr>
      <w:r>
        <w:rPr>
          <w:rFonts w:cs="Arial"/>
          <w:rtl/>
        </w:rPr>
        <w:t xml:space="preserve">רמב"ם </w:t>
      </w:r>
      <w:r>
        <w:rPr>
          <w:rFonts w:cs="Arial"/>
          <w:sz w:val="16"/>
          <w:szCs w:val="16"/>
          <w:rtl/>
        </w:rPr>
        <w:t>(פ"י ה"א</w:t>
      </w:r>
      <w:r w:rsidR="00A82951">
        <w:rPr>
          <w:rFonts w:cs="Arial"/>
          <w:sz w:val="16"/>
          <w:szCs w:val="16"/>
          <w:rtl/>
        </w:rPr>
        <w:t>-</w:t>
      </w:r>
      <w:r>
        <w:rPr>
          <w:rFonts w:cs="Arial"/>
          <w:sz w:val="16"/>
          <w:szCs w:val="16"/>
          <w:rtl/>
        </w:rPr>
        <w:t>ז)</w:t>
      </w:r>
      <w:r>
        <w:rPr>
          <w:rFonts w:cs="Arial"/>
          <w:rtl/>
        </w:rPr>
        <w:t xml:space="preserve"> וטור</w:t>
      </w:r>
      <w:r w:rsidR="00A82951">
        <w:rPr>
          <w:rFonts w:cs="Arial"/>
          <w:rtl/>
        </w:rPr>
        <w:t>-</w:t>
      </w:r>
      <w:r>
        <w:rPr>
          <w:rFonts w:cs="Arial"/>
          <w:rtl/>
        </w:rPr>
        <w:t xml:space="preserve"> אם גירש את אשתו בגט פסול או שהיתה ספק מגורשת</w:t>
      </w:r>
      <w:r w:rsidR="006C074E">
        <w:rPr>
          <w:rFonts w:cs="Arial" w:hint="cs"/>
          <w:rtl/>
        </w:rPr>
        <w:t>,</w:t>
      </w:r>
      <w:r>
        <w:rPr>
          <w:rFonts w:cs="Arial"/>
          <w:rtl/>
        </w:rPr>
        <w:t xml:space="preserve"> ורצה להחזירה </w:t>
      </w:r>
      <w:r w:rsidR="006C074E">
        <w:rPr>
          <w:rFonts w:cs="Arial" w:hint="cs"/>
          <w:rtl/>
        </w:rPr>
        <w:t xml:space="preserve">- </w:t>
      </w:r>
      <w:r>
        <w:rPr>
          <w:rFonts w:cs="Arial"/>
          <w:rtl/>
        </w:rPr>
        <w:t>הרי זו מותרת לבעלה</w:t>
      </w:r>
      <w:r w:rsidR="008147BF">
        <w:rPr>
          <w:rFonts w:cs="Arial" w:hint="cs"/>
          <w:rtl/>
        </w:rPr>
        <w:t>.</w:t>
      </w:r>
      <w:r>
        <w:rPr>
          <w:rFonts w:cs="Arial"/>
          <w:rtl/>
        </w:rPr>
        <w:t xml:space="preserve"> ואינו צריך לחדש הנישואין</w:t>
      </w:r>
      <w:r>
        <w:rPr>
          <w:rStyle w:val="a7"/>
          <w:rFonts w:cs="Arial"/>
          <w:rtl/>
        </w:rPr>
        <w:footnoteReference w:id="2669"/>
      </w:r>
      <w:r>
        <w:rPr>
          <w:rFonts w:cs="Arial"/>
          <w:rtl/>
        </w:rPr>
        <w:t xml:space="preserve"> ולברך שבע ברכות ולכתוב כתובה עד שתתגרש גירושין גמורין </w:t>
      </w:r>
      <w:r>
        <w:rPr>
          <w:rFonts w:cs="Arial"/>
          <w:sz w:val="16"/>
          <w:szCs w:val="16"/>
          <w:rtl/>
        </w:rPr>
        <w:t>(ל' הרמב"ם)</w:t>
      </w:r>
      <w:r>
        <w:rPr>
          <w:rFonts w:cs="Arial"/>
          <w:rtl/>
        </w:rPr>
        <w:t xml:space="preserve">. </w:t>
      </w:r>
      <w:r>
        <w:rPr>
          <w:color w:val="E36C0A" w:themeColor="accent6" w:themeShade="BF"/>
          <w:rtl/>
        </w:rPr>
        <w:t>(וכ"פ בשו"ע)</w:t>
      </w:r>
    </w:p>
    <w:p w14:paraId="2BA3C3B4"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4978DE8" w14:textId="77777777" w:rsidR="00C97BEF" w:rsidRDefault="00C97BEF" w:rsidP="00C97BEF">
      <w:pPr>
        <w:rPr>
          <w:rtl/>
        </w:rPr>
      </w:pPr>
      <w:r>
        <w:rPr>
          <w:rFonts w:cs="Arial"/>
          <w:rtl/>
        </w:rPr>
        <w:t>מי שגירש את אשתו בגט שיש בו פיסול מדבריהם, או שהיתה ספק מגורשת ורצה להחזירה, צריך לקדשה, אבל אינו צריך</w:t>
      </w:r>
      <w:r>
        <w:rPr>
          <w:rStyle w:val="a7"/>
          <w:rFonts w:cs="Arial"/>
          <w:rtl/>
        </w:rPr>
        <w:footnoteReference w:id="2670"/>
      </w:r>
      <w:r>
        <w:rPr>
          <w:rFonts w:cs="Arial"/>
          <w:rtl/>
        </w:rPr>
        <w:t xml:space="preserve"> לברך שבע ברכות ולא לכתוב לה כתובה אחרת.</w:t>
      </w:r>
    </w:p>
    <w:p w14:paraId="052BDBFF" w14:textId="77777777" w:rsidR="00C97BEF" w:rsidRDefault="00C97BEF" w:rsidP="00C97BEF">
      <w:pPr>
        <w:bidi w:val="0"/>
        <w:spacing w:after="0"/>
        <w:rPr>
          <w:rtl/>
        </w:rPr>
        <w:sectPr w:rsidR="00C97BEF">
          <w:headerReference w:type="default" r:id="rId43"/>
          <w:footnotePr>
            <w:numRestart w:val="eachSect"/>
          </w:footnotePr>
          <w:pgSz w:w="11906" w:h="16838"/>
          <w:pgMar w:top="720" w:right="1134" w:bottom="720" w:left="1134" w:header="0" w:footer="0" w:gutter="0"/>
          <w:cols w:space="720"/>
          <w:bidi/>
          <w:rtlGutter/>
        </w:sectPr>
      </w:pPr>
    </w:p>
    <w:p w14:paraId="7EA36986" w14:textId="77777777" w:rsidR="00C97BEF" w:rsidRDefault="00C97BEF" w:rsidP="00C97BEF">
      <w:pPr>
        <w:pStyle w:val="1"/>
        <w:rPr>
          <w:rtl/>
        </w:rPr>
      </w:pPr>
      <w:r>
        <w:rPr>
          <w:rtl/>
        </w:rPr>
        <w:lastRenderedPageBreak/>
        <w:t xml:space="preserve">סימן קנא: </w:t>
      </w:r>
      <w:r>
        <w:rPr>
          <w:rFonts w:cs="Arial"/>
          <w:rtl/>
        </w:rPr>
        <w:t xml:space="preserve">הסופר שטעה בגט ובשובר, ובו סעיף אחד. </w:t>
      </w:r>
    </w:p>
    <w:p w14:paraId="5E143A1B" w14:textId="77777777" w:rsidR="00C97BEF" w:rsidRDefault="00C97BEF" w:rsidP="00C97BEF">
      <w:pPr>
        <w:pStyle w:val="2"/>
        <w:rPr>
          <w:rtl/>
        </w:rPr>
      </w:pPr>
      <w:r>
        <w:rPr>
          <w:rtl/>
        </w:rPr>
        <w:t>סעיף א</w:t>
      </w:r>
    </w:p>
    <w:p w14:paraId="49060489" w14:textId="2CF68470" w:rsidR="00C97BEF" w:rsidRDefault="00C97BEF" w:rsidP="00C97BEF">
      <w:pPr>
        <w:rPr>
          <w:rFonts w:cs="Arial"/>
          <w:rtl/>
        </w:rPr>
      </w:pPr>
      <w:r>
        <w:rPr>
          <w:rFonts w:cs="Arial"/>
          <w:b/>
          <w:bCs/>
          <w:rtl/>
        </w:rPr>
        <w:t xml:space="preserve">גיטין </w:t>
      </w:r>
      <w:r>
        <w:rPr>
          <w:rFonts w:cs="Arial"/>
          <w:b/>
          <w:bCs/>
          <w:sz w:val="16"/>
          <w:szCs w:val="16"/>
          <w:rtl/>
        </w:rPr>
        <w:t>(פ' הזורק)</w:t>
      </w:r>
      <w:r>
        <w:rPr>
          <w:rFonts w:cs="Arial"/>
          <w:b/>
          <w:bCs/>
          <w:rtl/>
        </w:rPr>
        <w:t xml:space="preserve"> פ ע"א:</w:t>
      </w:r>
      <w:r>
        <w:rPr>
          <w:rtl/>
        </w:rPr>
        <w:t xml:space="preserve"> </w:t>
      </w:r>
      <w:r>
        <w:rPr>
          <w:rFonts w:cs="Arial"/>
          <w:u w:val="double"/>
          <w:rtl/>
        </w:rPr>
        <w:t>מתני'</w:t>
      </w:r>
      <w:r>
        <w:rPr>
          <w:rFonts w:cs="Arial"/>
          <w:rtl/>
        </w:rPr>
        <w:t>:...</w:t>
      </w:r>
      <w:r>
        <w:rPr>
          <w:rtl/>
        </w:rPr>
        <w:t xml:space="preserve"> </w:t>
      </w:r>
      <w:r>
        <w:rPr>
          <w:rFonts w:cs="Arial"/>
          <w:rtl/>
        </w:rPr>
        <w:t xml:space="preserve">כתב סופר גט לאיש ושובר לאשה, וטעה ונתן גט לאשה ושובר לאיש ונתנו זה לזה, ולאחר זמן הרי הגט יוצא מיד האיש ושובר מיד האשה </w:t>
      </w:r>
      <w:r w:rsidR="00A82951">
        <w:rPr>
          <w:rFonts w:cs="Arial"/>
          <w:rtl/>
        </w:rPr>
        <w:t>-</w:t>
      </w:r>
      <w:r>
        <w:rPr>
          <w:rFonts w:cs="Arial"/>
          <w:rtl/>
        </w:rPr>
        <w:t xml:space="preserve"> תצא מזה ומזה, וכל הדרכים האלו בה. </w:t>
      </w:r>
      <w:r>
        <w:rPr>
          <w:rFonts w:cs="Arial"/>
          <w:u w:val="single"/>
          <w:rtl/>
        </w:rPr>
        <w:t>רבי אלעזר אומר</w:t>
      </w:r>
      <w:r>
        <w:rPr>
          <w:rFonts w:cs="Arial"/>
          <w:rtl/>
        </w:rPr>
        <w:t xml:space="preserve">: אם לאלתר יצא </w:t>
      </w:r>
      <w:r w:rsidR="00A82951">
        <w:rPr>
          <w:rFonts w:cs="Arial"/>
          <w:rtl/>
        </w:rPr>
        <w:t>-</w:t>
      </w:r>
      <w:r>
        <w:rPr>
          <w:rFonts w:cs="Arial"/>
          <w:rtl/>
        </w:rPr>
        <w:t xml:space="preserve"> אין זה גט, אם לאחר זמן יצא </w:t>
      </w:r>
      <w:r w:rsidR="00A82951">
        <w:rPr>
          <w:rFonts w:cs="Arial"/>
          <w:rtl/>
        </w:rPr>
        <w:t>-</w:t>
      </w:r>
      <w:r>
        <w:rPr>
          <w:rFonts w:cs="Arial"/>
          <w:rtl/>
        </w:rPr>
        <w:t xml:space="preserve"> הרי זה גט, לא כל הימנו מן הראשון לאבד זכותו של שני.       </w:t>
      </w:r>
      <w:r>
        <w:rPr>
          <w:rFonts w:cs="Arial"/>
          <w:u w:val="double"/>
          <w:rtl/>
        </w:rPr>
        <w:t>גמ'</w:t>
      </w:r>
      <w:r>
        <w:rPr>
          <w:rFonts w:cs="Arial"/>
          <w:sz w:val="14"/>
          <w:szCs w:val="14"/>
          <w:u w:val="double"/>
          <w:rtl/>
        </w:rPr>
        <w:t>(פ:)</w:t>
      </w:r>
      <w:r>
        <w:rPr>
          <w:rFonts w:cs="Arial"/>
          <w:u w:val="double"/>
          <w:rtl/>
        </w:rPr>
        <w:t>:</w:t>
      </w:r>
      <w:r>
        <w:rPr>
          <w:rFonts w:cs="Arial"/>
          <w:rtl/>
        </w:rPr>
        <w:t xml:space="preserve"> כתב הסופר וטעה ונתן גט לאשה ושובר וכו', ר"א אומר: אם לאלתר יצא וכו'. היכי דמי לאלתר, והיכי דמי לאחר זמן? </w:t>
      </w:r>
      <w:r>
        <w:rPr>
          <w:rFonts w:cs="Arial"/>
          <w:u w:val="single"/>
          <w:rtl/>
        </w:rPr>
        <w:t>אמר רב יהודה אמר שמואל</w:t>
      </w:r>
      <w:r>
        <w:rPr>
          <w:rFonts w:cs="Arial"/>
          <w:rtl/>
        </w:rPr>
        <w:t xml:space="preserve">: כל זמן שיושבין ועסוקין באותו ענין </w:t>
      </w:r>
      <w:r w:rsidR="00A82951">
        <w:rPr>
          <w:rFonts w:cs="Arial"/>
          <w:rtl/>
        </w:rPr>
        <w:t>-</w:t>
      </w:r>
      <w:r>
        <w:rPr>
          <w:rFonts w:cs="Arial"/>
          <w:rtl/>
        </w:rPr>
        <w:t xml:space="preserve"> זהו לאלתר, עמדו </w:t>
      </w:r>
      <w:r w:rsidR="00A82951">
        <w:rPr>
          <w:rFonts w:cs="Arial"/>
          <w:rtl/>
        </w:rPr>
        <w:t>-</w:t>
      </w:r>
      <w:r>
        <w:rPr>
          <w:rFonts w:cs="Arial"/>
          <w:rtl/>
        </w:rPr>
        <w:t xml:space="preserve"> זהו לאחר זמן. </w:t>
      </w:r>
      <w:r>
        <w:rPr>
          <w:rFonts w:cs="Arial"/>
          <w:u w:val="single"/>
          <w:rtl/>
        </w:rPr>
        <w:t>ורב אדא בר אהבה אמר</w:t>
      </w:r>
      <w:r>
        <w:rPr>
          <w:rFonts w:cs="Arial"/>
          <w:rtl/>
        </w:rPr>
        <w:t xml:space="preserve">: לא נישאת </w:t>
      </w:r>
      <w:r w:rsidR="00A82951">
        <w:rPr>
          <w:rFonts w:cs="Arial"/>
          <w:rtl/>
        </w:rPr>
        <w:t>-</w:t>
      </w:r>
      <w:r>
        <w:rPr>
          <w:rFonts w:cs="Arial"/>
          <w:rtl/>
        </w:rPr>
        <w:t xml:space="preserve"> זהו לאלתר, נישאת </w:t>
      </w:r>
      <w:r w:rsidR="00A82951">
        <w:rPr>
          <w:rFonts w:cs="Arial"/>
          <w:rtl/>
        </w:rPr>
        <w:t>-</w:t>
      </w:r>
      <w:r>
        <w:rPr>
          <w:rFonts w:cs="Arial"/>
          <w:rtl/>
        </w:rPr>
        <w:t xml:space="preserve"> זהו לאחר זמן. תנן, לא כל הימנו מן הראשון לאבד זכותו של שני. בשלמא לרב אדא בר אהבה </w:t>
      </w:r>
      <w:r w:rsidR="00A82951">
        <w:rPr>
          <w:rFonts w:cs="Arial"/>
          <w:rtl/>
        </w:rPr>
        <w:t>-</w:t>
      </w:r>
      <w:r>
        <w:rPr>
          <w:rFonts w:cs="Arial"/>
          <w:rtl/>
        </w:rPr>
        <w:t xml:space="preserve"> היינו דקתני שני, אלא לשמואל מאי שני?</w:t>
      </w:r>
      <w:r>
        <w:rPr>
          <w:rFonts w:cs="Arial"/>
          <w:sz w:val="14"/>
          <w:szCs w:val="14"/>
          <w:rtl/>
        </w:rPr>
        <w:t xml:space="preserve"> (פא.)</w:t>
      </w:r>
      <w:r>
        <w:rPr>
          <w:rFonts w:cs="Arial"/>
          <w:rtl/>
        </w:rPr>
        <w:t xml:space="preserve"> זכות הראויה לשני. </w:t>
      </w:r>
      <w:r>
        <w:rPr>
          <w:rFonts w:cs="Arial"/>
          <w:sz w:val="16"/>
          <w:szCs w:val="16"/>
          <w:rtl/>
        </w:rPr>
        <w:t>(וכתבו הרי"ף (מב:) והרא"ש (סי' יא) מדקא מפרשינן דברי רבי אלעזר שמע מינה הלכתא כוותיה. ומסתברא כדקא פריש רב אדא בר אהבה דדייקא מתניתין כוותיה. וכן פסק הרמב"ם בפ"י מהלכות גירושין (הי"א), ב"י)</w:t>
      </w:r>
    </w:p>
    <w:p w14:paraId="06E8D6BC" w14:textId="77777777" w:rsidR="00C97BEF" w:rsidRDefault="00C97BEF" w:rsidP="00C97BEF">
      <w:pPr>
        <w:rPr>
          <w:rFonts w:cs="Arial"/>
          <w:u w:val="single"/>
          <w:rtl/>
        </w:rPr>
      </w:pPr>
      <w:r>
        <w:rPr>
          <w:rFonts w:cs="Arial"/>
          <w:u w:val="single"/>
          <w:rtl/>
        </w:rPr>
        <w:t>סופר שטעה ונתן הגט לאשה והשובר לאיש:</w:t>
      </w:r>
    </w:p>
    <w:p w14:paraId="2D82B168" w14:textId="310B7DB9" w:rsidR="00C97BEF" w:rsidRDefault="00C97BEF" w:rsidP="006A458D">
      <w:pPr>
        <w:pStyle w:val="ab"/>
        <w:numPr>
          <w:ilvl w:val="0"/>
          <w:numId w:val="123"/>
        </w:numPr>
        <w:rPr>
          <w:rFonts w:cs="Arial"/>
          <w:rtl/>
        </w:rPr>
      </w:pPr>
      <w:r>
        <w:rPr>
          <w:rFonts w:cs="Arial"/>
          <w:rtl/>
        </w:rPr>
        <w:t>טור</w:t>
      </w:r>
      <w:r w:rsidR="00A82951">
        <w:rPr>
          <w:rFonts w:cs="Arial"/>
          <w:rtl/>
        </w:rPr>
        <w:t>-</w:t>
      </w:r>
      <w:r>
        <w:rPr>
          <w:rFonts w:cs="Arial"/>
          <w:rtl/>
        </w:rPr>
        <w:t xml:space="preserve"> כתב הסופר השובר והגט, וטעה ונתן השובר לאיש והגט לאשה, ונתנום זה לזה, וכמדומה להם שנתגרשה. ולאחר זמן ערער הבעל לומר שלא נתגרשה שלא נתן לה אלא השובר והרי הגט עדיין בידו, אם לא נישאת עדיין </w:t>
      </w:r>
      <w:r w:rsidR="00A82951">
        <w:rPr>
          <w:rFonts w:cs="Arial"/>
          <w:rtl/>
        </w:rPr>
        <w:t>-</w:t>
      </w:r>
      <w:r>
        <w:rPr>
          <w:rFonts w:cs="Arial"/>
          <w:rtl/>
        </w:rPr>
        <w:t xml:space="preserve"> נאמן ויגרשנה ותהא מותרת מעתה. ואם לא גירשה ועמדה ונישאת </w:t>
      </w:r>
      <w:r w:rsidR="00A82951">
        <w:rPr>
          <w:rFonts w:cs="Arial"/>
          <w:rtl/>
        </w:rPr>
        <w:t>-</w:t>
      </w:r>
      <w:r>
        <w:rPr>
          <w:rFonts w:cs="Arial"/>
          <w:rtl/>
        </w:rPr>
        <w:t xml:space="preserve"> תצא מזה ומזה וכל הי"ג דרכים בה. לא ערער הבעל עד אחר שנישאת </w:t>
      </w:r>
      <w:r w:rsidR="00A82951">
        <w:rPr>
          <w:rFonts w:cs="Arial"/>
          <w:rtl/>
        </w:rPr>
        <w:t>-</w:t>
      </w:r>
      <w:r>
        <w:rPr>
          <w:rFonts w:cs="Arial"/>
          <w:rtl/>
        </w:rPr>
        <w:t xml:space="preserve"> אינו נאמן לאוסרה והרי היא בחזקת גרושה, שאנו תולין שנפל ממנה והוא מצאו.</w:t>
      </w:r>
      <w:r>
        <w:rPr>
          <w:color w:val="E36C0A" w:themeColor="accent6" w:themeShade="BF"/>
          <w:rtl/>
        </w:rPr>
        <w:t xml:space="preserve"> (וכ"פ בשו"ע)</w:t>
      </w:r>
      <w:r>
        <w:rPr>
          <w:rFonts w:cs="Arial"/>
          <w:rtl/>
        </w:rPr>
        <w:t xml:space="preserve"> </w:t>
      </w:r>
    </w:p>
    <w:p w14:paraId="09DCA4B9"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0A7FAB0" w14:textId="77777777" w:rsidR="00C97BEF" w:rsidRDefault="00C97BEF" w:rsidP="00C97BEF">
      <w:pPr>
        <w:rPr>
          <w:rtl/>
        </w:rPr>
      </w:pPr>
      <w:r>
        <w:rPr>
          <w:rFonts w:cs="Arial"/>
          <w:rtl/>
        </w:rPr>
        <w:t>כתב הסופר השובר והגט, וטעה ונתן</w:t>
      </w:r>
      <w:r>
        <w:rPr>
          <w:rStyle w:val="a7"/>
          <w:rFonts w:cs="Arial"/>
          <w:rtl/>
        </w:rPr>
        <w:footnoteReference w:id="2671"/>
      </w:r>
      <w:r>
        <w:rPr>
          <w:rFonts w:cs="Arial"/>
          <w:rtl/>
        </w:rPr>
        <w:t xml:space="preserve"> השובר לאיש, והגט לאשה, ונתנו זה לזה וכמדומה להם שנתגרשה, ולאחר זמן ערער הבעל לומר שלא נתגרשה, שלא נתן לה אלא השובר והרי הגט עדיין בידו, אם לא נשאת עדיין</w:t>
      </w:r>
      <w:r>
        <w:rPr>
          <w:rStyle w:val="a7"/>
          <w:rFonts w:cs="Arial"/>
          <w:rtl/>
        </w:rPr>
        <w:footnoteReference w:id="2672"/>
      </w:r>
      <w:r>
        <w:rPr>
          <w:rFonts w:cs="Arial"/>
          <w:rtl/>
        </w:rPr>
        <w:t>, נאמן, ויגרשנה עכשיו ותהא מותרת מעתה. ואם לא גירשה, ועמדה ונשאת, תצא מזה ומזה, וכל הי"ג דרכים בה. ואם לא ערער הבעל עד אחר שנשאת, אינו נאמן לאסרה, והרי היא בחזקת גרושה, שאנו תולין שנפל ממנה והוא מצאו.</w:t>
      </w:r>
    </w:p>
    <w:p w14:paraId="77491597" w14:textId="77777777" w:rsidR="00C97BEF" w:rsidRDefault="00C97BEF" w:rsidP="00C97BEF">
      <w:pPr>
        <w:bidi w:val="0"/>
        <w:spacing w:after="0"/>
        <w:rPr>
          <w:rtl/>
        </w:rPr>
        <w:sectPr w:rsidR="00C97BEF">
          <w:headerReference w:type="default" r:id="rId44"/>
          <w:footnotePr>
            <w:numRestart w:val="eachSect"/>
          </w:footnotePr>
          <w:pgSz w:w="11906" w:h="16838"/>
          <w:pgMar w:top="720" w:right="1134" w:bottom="720" w:left="1134" w:header="0" w:footer="0" w:gutter="0"/>
          <w:cols w:space="720"/>
          <w:bidi/>
          <w:rtlGutter/>
        </w:sectPr>
      </w:pPr>
    </w:p>
    <w:p w14:paraId="49CE322C" w14:textId="77777777" w:rsidR="00C97BEF" w:rsidRDefault="00C97BEF" w:rsidP="00C97BEF">
      <w:pPr>
        <w:pStyle w:val="1"/>
        <w:rPr>
          <w:rtl/>
        </w:rPr>
      </w:pPr>
      <w:r>
        <w:rPr>
          <w:rtl/>
        </w:rPr>
        <w:lastRenderedPageBreak/>
        <w:t>סימן קנב:</w:t>
      </w:r>
      <w:r>
        <w:rPr>
          <w:rFonts w:hint="cs"/>
        </w:rPr>
        <w:t xml:space="preserve"> </w:t>
      </w:r>
      <w:r>
        <w:rPr>
          <w:rFonts w:cs="Arial"/>
          <w:rtl/>
        </w:rPr>
        <w:t xml:space="preserve">דין שני </w:t>
      </w:r>
      <w:bookmarkStart w:id="29" w:name="_Hlk138848250"/>
      <w:r>
        <w:rPr>
          <w:rFonts w:cs="Arial"/>
          <w:rtl/>
        </w:rPr>
        <w:t>עדים אומרים שנתגרשה, והאומרת: אשת איש הייתי ונתגרשתי</w:t>
      </w:r>
      <w:bookmarkEnd w:id="29"/>
      <w:r>
        <w:rPr>
          <w:rFonts w:cs="Arial"/>
          <w:rtl/>
        </w:rPr>
        <w:t xml:space="preserve">, ובו י"ב סעיפים. </w:t>
      </w:r>
    </w:p>
    <w:p w14:paraId="0667A69E" w14:textId="77777777" w:rsidR="00C97BEF" w:rsidRDefault="00C97BEF" w:rsidP="00C97BEF">
      <w:pPr>
        <w:pStyle w:val="2"/>
        <w:rPr>
          <w:rtl/>
        </w:rPr>
      </w:pPr>
      <w:r>
        <w:rPr>
          <w:rtl/>
        </w:rPr>
        <w:t>סעיף א: בעל שאומר 'גירשתי את אשתי'.</w:t>
      </w:r>
    </w:p>
    <w:p w14:paraId="516FACB3" w14:textId="46729175" w:rsidR="00C97BEF" w:rsidRDefault="00C97BEF" w:rsidP="00C97BEF">
      <w:pPr>
        <w:rPr>
          <w:rFonts w:cs="Arial"/>
          <w:rtl/>
        </w:rPr>
      </w:pPr>
      <w:r>
        <w:rPr>
          <w:rFonts w:cs="Arial"/>
          <w:b/>
          <w:bCs/>
          <w:rtl/>
        </w:rPr>
        <w:t xml:space="preserve">בבא בתרא </w:t>
      </w:r>
      <w:r>
        <w:rPr>
          <w:rFonts w:cs="Arial"/>
          <w:b/>
          <w:bCs/>
          <w:sz w:val="16"/>
          <w:szCs w:val="16"/>
          <w:rtl/>
        </w:rPr>
        <w:t>(פ' יש נוחלין)</w:t>
      </w:r>
      <w:r>
        <w:rPr>
          <w:rFonts w:cs="Arial"/>
          <w:b/>
          <w:bCs/>
          <w:rtl/>
        </w:rPr>
        <w:t xml:space="preserve"> קלד ע"א:</w:t>
      </w:r>
      <w:r>
        <w:rPr>
          <w:rFonts w:cs="Arial"/>
          <w:rtl/>
        </w:rPr>
        <w:t xml:space="preserve"> </w:t>
      </w:r>
      <w:r>
        <w:rPr>
          <w:rFonts w:cs="Arial"/>
          <w:u w:val="double"/>
          <w:rtl/>
        </w:rPr>
        <w:t>מתני'</w:t>
      </w:r>
      <w:r>
        <w:rPr>
          <w:rFonts w:cs="Arial"/>
          <w:rtl/>
        </w:rPr>
        <w:t xml:space="preserve">: האומר זה בני </w:t>
      </w:r>
      <w:r w:rsidR="00A82951">
        <w:rPr>
          <w:rFonts w:cs="Arial"/>
          <w:rtl/>
        </w:rPr>
        <w:t>-</w:t>
      </w:r>
      <w:r>
        <w:rPr>
          <w:rFonts w:cs="Arial"/>
          <w:rtl/>
        </w:rPr>
        <w:t xml:space="preserve"> נאמן, זה אחי </w:t>
      </w:r>
      <w:r w:rsidR="00A82951">
        <w:rPr>
          <w:rFonts w:cs="Arial"/>
          <w:rtl/>
        </w:rPr>
        <w:t>-</w:t>
      </w:r>
      <w:r>
        <w:rPr>
          <w:rFonts w:cs="Arial"/>
          <w:rtl/>
        </w:rPr>
        <w:t xml:space="preserve"> אינו נאמן...        </w:t>
      </w:r>
      <w:r>
        <w:rPr>
          <w:rFonts w:cs="Arial"/>
          <w:u w:val="double"/>
          <w:rtl/>
        </w:rPr>
        <w:t>גמ'</w:t>
      </w:r>
      <w:r>
        <w:rPr>
          <w:rFonts w:cs="Arial"/>
          <w:rtl/>
        </w:rPr>
        <w:t xml:space="preserve">: זה בני נאמן למאי הלכתא? </w:t>
      </w:r>
      <w:r>
        <w:rPr>
          <w:rFonts w:cs="Arial"/>
          <w:u w:val="single"/>
          <w:rtl/>
        </w:rPr>
        <w:t>אמר רב יהודה אמר שמואל</w:t>
      </w:r>
      <w:r>
        <w:rPr>
          <w:rFonts w:cs="Arial"/>
          <w:rtl/>
        </w:rPr>
        <w:t>: ליורשו, ולפטור את אשתו מן היבום.</w:t>
      </w:r>
      <w:r>
        <w:rPr>
          <w:rFonts w:cs="Arial"/>
          <w:sz w:val="14"/>
          <w:szCs w:val="14"/>
          <w:rtl/>
        </w:rPr>
        <w:t xml:space="preserve"> (קלד:)</w:t>
      </w:r>
      <w:r>
        <w:rPr>
          <w:rFonts w:cs="Arial"/>
          <w:rtl/>
        </w:rPr>
        <w:t xml:space="preserve"> ליורשו, פשיטא</w:t>
      </w:r>
      <w:r>
        <w:rPr>
          <w:rStyle w:val="a7"/>
          <w:rFonts w:cs="Arial"/>
          <w:rtl/>
        </w:rPr>
        <w:footnoteReference w:id="2673"/>
      </w:r>
      <w:r>
        <w:rPr>
          <w:rFonts w:cs="Arial"/>
          <w:rtl/>
        </w:rPr>
        <w:t>! לפטור את אשתו מן היבום אצטריכא ליה. הא נמי תנינא: מי שאמר בשעת מיתתו יש לי בנים</w:t>
      </w:r>
      <w:r>
        <w:rPr>
          <w:rStyle w:val="a7"/>
          <w:rFonts w:cs="Arial"/>
          <w:rtl/>
        </w:rPr>
        <w:footnoteReference w:id="2674"/>
      </w:r>
      <w:r>
        <w:rPr>
          <w:rFonts w:cs="Arial"/>
          <w:rtl/>
        </w:rPr>
        <w:t xml:space="preserve"> </w:t>
      </w:r>
      <w:r w:rsidR="00A82951">
        <w:rPr>
          <w:rFonts w:cs="Arial"/>
          <w:rtl/>
        </w:rPr>
        <w:t>-</w:t>
      </w:r>
      <w:r>
        <w:rPr>
          <w:rFonts w:cs="Arial"/>
          <w:rtl/>
        </w:rPr>
        <w:t xml:space="preserve"> נאמן, יש לי אחים</w:t>
      </w:r>
      <w:r>
        <w:rPr>
          <w:rStyle w:val="a7"/>
          <w:rFonts w:cs="Arial"/>
          <w:rtl/>
        </w:rPr>
        <w:footnoteReference w:id="2675"/>
      </w:r>
      <w:r>
        <w:rPr>
          <w:rFonts w:cs="Arial"/>
          <w:rtl/>
        </w:rPr>
        <w:t xml:space="preserve"> </w:t>
      </w:r>
      <w:r w:rsidR="00A82951">
        <w:rPr>
          <w:rFonts w:cs="Arial"/>
          <w:rtl/>
        </w:rPr>
        <w:t>-</w:t>
      </w:r>
      <w:r>
        <w:rPr>
          <w:rFonts w:cs="Arial"/>
          <w:rtl/>
        </w:rPr>
        <w:t xml:space="preserve"> אינו נאמן</w:t>
      </w:r>
      <w:r>
        <w:rPr>
          <w:rStyle w:val="a7"/>
          <w:rFonts w:cs="Arial"/>
          <w:rtl/>
        </w:rPr>
        <w:footnoteReference w:id="2676"/>
      </w:r>
      <w:r>
        <w:rPr>
          <w:rFonts w:cs="Arial"/>
          <w:rtl/>
        </w:rPr>
        <w:t>! התם דלא מוחזק לן</w:t>
      </w:r>
      <w:r>
        <w:rPr>
          <w:rStyle w:val="a7"/>
          <w:rFonts w:cs="Arial"/>
          <w:rtl/>
        </w:rPr>
        <w:footnoteReference w:id="2677"/>
      </w:r>
      <w:r>
        <w:rPr>
          <w:rFonts w:cs="Arial"/>
          <w:rtl/>
        </w:rPr>
        <w:t xml:space="preserve"> באח, הכא</w:t>
      </w:r>
      <w:r>
        <w:rPr>
          <w:rStyle w:val="a7"/>
          <w:rFonts w:cs="Arial"/>
          <w:rtl/>
        </w:rPr>
        <w:footnoteReference w:id="2678"/>
      </w:r>
      <w:r>
        <w:rPr>
          <w:rFonts w:cs="Arial"/>
          <w:rtl/>
        </w:rPr>
        <w:t xml:space="preserve"> אף על גב דמוחזק ליה באח... </w:t>
      </w:r>
      <w:r>
        <w:rPr>
          <w:rFonts w:cs="Arial"/>
          <w:u w:val="single"/>
          <w:rtl/>
        </w:rPr>
        <w:t>א"ר יוסף... א"ר יהודה אמר שמואל</w:t>
      </w:r>
      <w:r>
        <w:rPr>
          <w:rFonts w:cs="Arial"/>
          <w:rtl/>
        </w:rPr>
        <w:t xml:space="preserve">: מפני מה אמרו זה בני נאמן? הואיל ובידו לגרשה. אמר רב יוסף, השתא דאמרת: אמרינן הואיל, בעל שאמר גרשתי את אשתי </w:t>
      </w:r>
      <w:r w:rsidR="00A82951">
        <w:rPr>
          <w:rFonts w:cs="Arial"/>
          <w:rtl/>
        </w:rPr>
        <w:t>-</w:t>
      </w:r>
      <w:r>
        <w:rPr>
          <w:rFonts w:cs="Arial"/>
          <w:rtl/>
        </w:rPr>
        <w:t xml:space="preserve"> נאמן, הואיל ובידו לגרשה. </w:t>
      </w:r>
      <w:r>
        <w:rPr>
          <w:rFonts w:cs="Arial"/>
          <w:u w:val="single"/>
          <w:rtl/>
        </w:rPr>
        <w:t>כי אתא רב יצחק בר יוסף אמר רבי יוחנן</w:t>
      </w:r>
      <w:r>
        <w:rPr>
          <w:rFonts w:cs="Arial"/>
          <w:rtl/>
        </w:rPr>
        <w:t xml:space="preserve">: בעל שאמר גרשתי את אשתי </w:t>
      </w:r>
      <w:r w:rsidR="00A82951">
        <w:rPr>
          <w:rFonts w:cs="Arial"/>
          <w:rtl/>
        </w:rPr>
        <w:t>-</w:t>
      </w:r>
      <w:r>
        <w:rPr>
          <w:rFonts w:cs="Arial"/>
          <w:rtl/>
        </w:rPr>
        <w:t xml:space="preserve"> אינו נאמן. מנפח רב ששת בידיה, אזל ליה הואיל דרב יוסף. איני? והא א"ר חייא בר אבין אמר רבי יוחנן: בעל שאמר גרשתי את אשתי </w:t>
      </w:r>
      <w:r w:rsidR="00A82951">
        <w:rPr>
          <w:rFonts w:cs="Arial"/>
          <w:rtl/>
        </w:rPr>
        <w:t>-</w:t>
      </w:r>
      <w:r>
        <w:rPr>
          <w:rFonts w:cs="Arial"/>
          <w:rtl/>
        </w:rPr>
        <w:t xml:space="preserve"> נאמן! לא קשיא: כאן למפרע</w:t>
      </w:r>
      <w:r>
        <w:rPr>
          <w:rStyle w:val="a7"/>
          <w:rFonts w:cs="Arial"/>
          <w:rtl/>
        </w:rPr>
        <w:footnoteReference w:id="2679"/>
      </w:r>
      <w:r>
        <w:rPr>
          <w:rFonts w:cs="Arial"/>
          <w:rtl/>
        </w:rPr>
        <w:t>, כאן להבא</w:t>
      </w:r>
      <w:r>
        <w:rPr>
          <w:rStyle w:val="a7"/>
          <w:rFonts w:cs="Arial"/>
          <w:rtl/>
        </w:rPr>
        <w:footnoteReference w:id="2680"/>
      </w:r>
      <w:r>
        <w:rPr>
          <w:rFonts w:cs="Arial"/>
          <w:rtl/>
        </w:rPr>
        <w:t xml:space="preserve">. איבעיא להו: אמר למפרע, מהו להימוניה להבא? מי פלגינן דבורא, או לא פלגינן דבורא? </w:t>
      </w:r>
      <w:r>
        <w:rPr>
          <w:rFonts w:cs="Arial"/>
          <w:u w:val="single"/>
          <w:rtl/>
        </w:rPr>
        <w:t>רב מארי ורב זביד</w:t>
      </w:r>
      <w:r>
        <w:rPr>
          <w:rFonts w:cs="Arial"/>
          <w:rtl/>
        </w:rPr>
        <w:t xml:space="preserve">, חד אמר: פלגינן, וחד אמר: לא פלגינן. מאי שנא מדרבא? דאמר רבא: איש פלוני בא על אשתי </w:t>
      </w:r>
      <w:r w:rsidR="00A82951">
        <w:rPr>
          <w:rFonts w:cs="Arial"/>
          <w:rtl/>
        </w:rPr>
        <w:t>-</w:t>
      </w:r>
      <w:r>
        <w:rPr>
          <w:rFonts w:cs="Arial"/>
          <w:rtl/>
        </w:rPr>
        <w:t xml:space="preserve"> הוא ואחר מצטרפין להורגו</w:t>
      </w:r>
      <w:r>
        <w:rPr>
          <w:rStyle w:val="a7"/>
          <w:rFonts w:cs="Arial"/>
          <w:rtl/>
        </w:rPr>
        <w:footnoteReference w:id="2681"/>
      </w:r>
      <w:r>
        <w:rPr>
          <w:rFonts w:cs="Arial"/>
          <w:rtl/>
        </w:rPr>
        <w:t>, להורגו ולא להורגה! בתרי גופי</w:t>
      </w:r>
      <w:r>
        <w:rPr>
          <w:rStyle w:val="a7"/>
          <w:rFonts w:cs="Arial"/>
          <w:rtl/>
        </w:rPr>
        <w:footnoteReference w:id="2682"/>
      </w:r>
      <w:r>
        <w:rPr>
          <w:rFonts w:cs="Arial"/>
          <w:rtl/>
        </w:rPr>
        <w:t xml:space="preserve"> פלגינן, בחד גופא</w:t>
      </w:r>
      <w:r>
        <w:rPr>
          <w:rStyle w:val="a7"/>
          <w:rFonts w:cs="Arial"/>
          <w:rtl/>
        </w:rPr>
        <w:footnoteReference w:id="2683"/>
      </w:r>
      <w:r>
        <w:rPr>
          <w:rFonts w:cs="Arial"/>
          <w:rtl/>
        </w:rPr>
        <w:t xml:space="preserve"> לא פלגינן. </w:t>
      </w:r>
      <w:r>
        <w:rPr>
          <w:rFonts w:cs="Arial"/>
          <w:sz w:val="14"/>
          <w:szCs w:val="14"/>
          <w:rtl/>
        </w:rPr>
        <w:t xml:space="preserve">(קלה.) </w:t>
      </w:r>
      <w:r>
        <w:rPr>
          <w:rFonts w:cs="Arial"/>
          <w:rtl/>
        </w:rPr>
        <w:t>ההוא דהוה קא שכיב</w:t>
      </w:r>
      <w:r>
        <w:rPr>
          <w:rStyle w:val="a7"/>
          <w:rFonts w:cs="Arial"/>
          <w:rtl/>
        </w:rPr>
        <w:footnoteReference w:id="2684"/>
      </w:r>
      <w:r>
        <w:rPr>
          <w:rFonts w:cs="Arial"/>
          <w:rtl/>
        </w:rPr>
        <w:t>, אמרו ליה: אתתיה למאן</w:t>
      </w:r>
      <w:r>
        <w:rPr>
          <w:rStyle w:val="a7"/>
          <w:rFonts w:cs="Arial"/>
          <w:rtl/>
        </w:rPr>
        <w:footnoteReference w:id="2685"/>
      </w:r>
      <w:r>
        <w:rPr>
          <w:rFonts w:cs="Arial"/>
          <w:rtl/>
        </w:rPr>
        <w:t>? אמר להו: חזיא לכהנא</w:t>
      </w:r>
      <w:r>
        <w:rPr>
          <w:rStyle w:val="a7"/>
          <w:rFonts w:cs="Arial"/>
          <w:rtl/>
        </w:rPr>
        <w:footnoteReference w:id="2686"/>
      </w:r>
      <w:r>
        <w:rPr>
          <w:rFonts w:cs="Arial"/>
          <w:rtl/>
        </w:rPr>
        <w:t xml:space="preserve"> רבה. </w:t>
      </w:r>
      <w:r>
        <w:rPr>
          <w:rFonts w:cs="Arial"/>
          <w:u w:val="single"/>
          <w:rtl/>
        </w:rPr>
        <w:t>אמר רבא</w:t>
      </w:r>
      <w:r>
        <w:rPr>
          <w:rFonts w:cs="Arial"/>
          <w:rtl/>
        </w:rPr>
        <w:t>: מאי ניחוש לה</w:t>
      </w:r>
      <w:r>
        <w:rPr>
          <w:rStyle w:val="a7"/>
          <w:rFonts w:cs="Arial"/>
          <w:rtl/>
        </w:rPr>
        <w:footnoteReference w:id="2687"/>
      </w:r>
      <w:r>
        <w:rPr>
          <w:rFonts w:cs="Arial"/>
          <w:rtl/>
        </w:rPr>
        <w:t xml:space="preserve">? הא אמר רב חייא בר אבא אמר ר' יוחנן: בעל שאמר גרשתי את אשתי </w:t>
      </w:r>
      <w:r w:rsidR="00A82951">
        <w:rPr>
          <w:rFonts w:cs="Arial"/>
          <w:rtl/>
        </w:rPr>
        <w:t>-</w:t>
      </w:r>
      <w:r>
        <w:rPr>
          <w:rFonts w:cs="Arial"/>
          <w:rtl/>
        </w:rPr>
        <w:t xml:space="preserve"> נאמן</w:t>
      </w:r>
      <w:r>
        <w:rPr>
          <w:rStyle w:val="a7"/>
          <w:rFonts w:cs="Arial"/>
          <w:rtl/>
        </w:rPr>
        <w:footnoteReference w:id="2688"/>
      </w:r>
      <w:r>
        <w:rPr>
          <w:rFonts w:cs="Arial"/>
          <w:rtl/>
        </w:rPr>
        <w:t xml:space="preserve">. </w:t>
      </w:r>
      <w:r>
        <w:rPr>
          <w:rFonts w:cs="Arial"/>
          <w:u w:val="single"/>
          <w:rtl/>
        </w:rPr>
        <w:t>א"ל אביי</w:t>
      </w:r>
      <w:r>
        <w:rPr>
          <w:rFonts w:cs="Arial"/>
          <w:rtl/>
        </w:rPr>
        <w:t xml:space="preserve">: והא כי אתא ר' יצחק בר יוסף אמר ר' יוחנן: בעל שאמר גרשתי את אשתי </w:t>
      </w:r>
      <w:r w:rsidR="00A82951">
        <w:rPr>
          <w:rFonts w:cs="Arial"/>
          <w:rtl/>
        </w:rPr>
        <w:t>-</w:t>
      </w:r>
      <w:r>
        <w:rPr>
          <w:rFonts w:cs="Arial"/>
          <w:rtl/>
        </w:rPr>
        <w:t xml:space="preserve"> אינו נאמן! </w:t>
      </w:r>
      <w:r>
        <w:rPr>
          <w:rFonts w:cs="Arial"/>
          <w:u w:val="single"/>
          <w:rtl/>
        </w:rPr>
        <w:t>א"ל</w:t>
      </w:r>
      <w:r>
        <w:rPr>
          <w:rFonts w:cs="Arial"/>
          <w:rtl/>
        </w:rPr>
        <w:t>: ולאו מי לא שנינהו: כאן למפרע וכאן להבא? ואשנויי ניקום ולסמוך</w:t>
      </w:r>
      <w:r>
        <w:rPr>
          <w:rStyle w:val="a7"/>
          <w:rFonts w:cs="Arial"/>
          <w:rtl/>
        </w:rPr>
        <w:footnoteReference w:id="2689"/>
      </w:r>
      <w:r>
        <w:rPr>
          <w:rFonts w:cs="Arial"/>
          <w:rtl/>
        </w:rPr>
        <w:t xml:space="preserve">? </w:t>
      </w:r>
      <w:r>
        <w:rPr>
          <w:rFonts w:cs="Arial"/>
          <w:u w:val="single"/>
          <w:rtl/>
        </w:rPr>
        <w:t>א"ל רבא לרב נתן בר אמי</w:t>
      </w:r>
      <w:r>
        <w:rPr>
          <w:rFonts w:cs="Arial"/>
          <w:rtl/>
        </w:rPr>
        <w:t>: חוש לה</w:t>
      </w:r>
      <w:r>
        <w:rPr>
          <w:rStyle w:val="a7"/>
          <w:rFonts w:cs="Arial"/>
          <w:rtl/>
        </w:rPr>
        <w:footnoteReference w:id="2690"/>
      </w:r>
      <w:r>
        <w:rPr>
          <w:rFonts w:cs="Arial"/>
          <w:rtl/>
        </w:rPr>
        <w:t xml:space="preserve">. </w:t>
      </w:r>
    </w:p>
    <w:p w14:paraId="44413CCC" w14:textId="05EDA54F" w:rsidR="00C97BEF" w:rsidRDefault="00C97BEF" w:rsidP="00C97BEF">
      <w:pPr>
        <w:rPr>
          <w:u w:val="single"/>
          <w:rtl/>
        </w:rPr>
      </w:pPr>
      <w:r>
        <w:rPr>
          <w:u w:val="single"/>
          <w:rtl/>
        </w:rPr>
        <w:t xml:space="preserve">בעל שאומר 'גירשתי את אשתי' </w:t>
      </w:r>
      <w:r w:rsidR="00A82951">
        <w:rPr>
          <w:u w:val="single"/>
          <w:rtl/>
        </w:rPr>
        <w:t>-</w:t>
      </w:r>
      <w:r>
        <w:rPr>
          <w:u w:val="single"/>
          <w:rtl/>
        </w:rPr>
        <w:t xml:space="preserve"> האם נאמן:</w:t>
      </w:r>
    </w:p>
    <w:p w14:paraId="15C63BEC" w14:textId="30565A33" w:rsidR="00C97BEF" w:rsidRDefault="00C97BEF" w:rsidP="006A458D">
      <w:pPr>
        <w:pStyle w:val="ab"/>
        <w:numPr>
          <w:ilvl w:val="0"/>
          <w:numId w:val="123"/>
        </w:numPr>
        <w:rPr>
          <w:rtl/>
        </w:rPr>
      </w:pPr>
      <w:r>
        <w:rPr>
          <w:rtl/>
        </w:rPr>
        <w:t>טור</w:t>
      </w:r>
      <w:r w:rsidR="00A82951">
        <w:rPr>
          <w:rtl/>
        </w:rPr>
        <w:t>-</w:t>
      </w:r>
      <w:r>
        <w:rPr>
          <w:rtl/>
        </w:rPr>
        <w:t xml:space="preserve"> </w:t>
      </w:r>
      <w:r>
        <w:rPr>
          <w:rFonts w:cs="Arial"/>
          <w:rtl/>
        </w:rPr>
        <w:t xml:space="preserve">הבעל שאומר 'גירשתי את אשתי' </w:t>
      </w:r>
      <w:r w:rsidR="00A82951">
        <w:rPr>
          <w:rFonts w:cs="Arial"/>
          <w:rtl/>
        </w:rPr>
        <w:t>-</w:t>
      </w:r>
      <w:r>
        <w:rPr>
          <w:rFonts w:cs="Arial"/>
          <w:rtl/>
        </w:rPr>
        <w:t xml:space="preserve"> אינו נאמן אפילו מכאן ולהבא, וחוששין לדבריו, שאם מת חולצת ולא מתייבמת. וכתב הרמב"ם</w:t>
      </w:r>
      <w:r>
        <w:rPr>
          <w:rFonts w:cs="Arial"/>
          <w:sz w:val="16"/>
          <w:szCs w:val="16"/>
          <w:rtl/>
        </w:rPr>
        <w:t xml:space="preserve"> (פי"ב ה"ה)</w:t>
      </w:r>
      <w:r>
        <w:rPr>
          <w:rFonts w:cs="Arial"/>
          <w:rtl/>
        </w:rPr>
        <w:t xml:space="preserve"> אפילו הודתה לו שגירשה אינו נאמן, שמא מכוין לקלקלה או גירשה בגט פסול והיא אינה יודעת, או שמא תעיז פניה כיון שהוא מאמינה. לפיכך אומרים לו: אם אמת הדבר הרי אתם קיימים גרשה עתה בפנינו.</w:t>
      </w:r>
      <w:r>
        <w:rPr>
          <w:rFonts w:cs="Arial"/>
          <w:color w:val="E36C0A" w:themeColor="accent6" w:themeShade="BF"/>
          <w:rtl/>
        </w:rPr>
        <w:t xml:space="preserve"> </w:t>
      </w:r>
      <w:r>
        <w:rPr>
          <w:color w:val="E36C0A" w:themeColor="accent6" w:themeShade="BF"/>
          <w:rtl/>
        </w:rPr>
        <w:t>(וכ"פ בשו"ע)</w:t>
      </w:r>
    </w:p>
    <w:p w14:paraId="70F59018"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lastRenderedPageBreak/>
        <w:t>שו"ע:</w:t>
      </w:r>
    </w:p>
    <w:p w14:paraId="17A5CDE0" w14:textId="77777777" w:rsidR="00C97BEF" w:rsidRDefault="00C97BEF" w:rsidP="00C97BEF">
      <w:pPr>
        <w:rPr>
          <w:rtl/>
        </w:rPr>
      </w:pPr>
      <w:r>
        <w:rPr>
          <w:rFonts w:cs="Arial"/>
          <w:rtl/>
        </w:rPr>
        <w:t>הבעל שאמר: גרשתי את אשתי, אינו נאמן, וחוששין לדבריו ותהיה ספק מגורשת</w:t>
      </w:r>
      <w:r>
        <w:rPr>
          <w:rStyle w:val="a7"/>
          <w:rFonts w:cs="Arial"/>
          <w:rtl/>
        </w:rPr>
        <w:footnoteReference w:id="2691"/>
      </w:r>
      <w:r>
        <w:rPr>
          <w:rFonts w:cs="Arial"/>
          <w:rtl/>
        </w:rPr>
        <w:t xml:space="preserve">. ואפילו הודית לו שגירשה, אינם נאמנים. </w:t>
      </w:r>
    </w:p>
    <w:p w14:paraId="4ED7C63E" w14:textId="77777777" w:rsidR="00C97BEF" w:rsidRDefault="00C97BEF" w:rsidP="00C97BEF">
      <w:pPr>
        <w:rPr>
          <w:rtl/>
        </w:rPr>
      </w:pPr>
    </w:p>
    <w:p w14:paraId="46DD1762" w14:textId="77777777" w:rsidR="00C97BEF" w:rsidRDefault="00C97BEF" w:rsidP="00C97BEF">
      <w:pPr>
        <w:pStyle w:val="2"/>
        <w:rPr>
          <w:rtl/>
        </w:rPr>
      </w:pPr>
      <w:r>
        <w:rPr>
          <w:rtl/>
        </w:rPr>
        <w:t xml:space="preserve">סעיף ב:  האומרת לבעלה 'גרשתני'. </w:t>
      </w:r>
    </w:p>
    <w:p w14:paraId="2AD6E2CB" w14:textId="78B09F02" w:rsidR="00C97BEF" w:rsidRDefault="00C97BEF" w:rsidP="00C97BEF">
      <w:pPr>
        <w:rPr>
          <w:rFonts w:cs="Arial"/>
          <w:rtl/>
        </w:rPr>
      </w:pPr>
      <w:r>
        <w:rPr>
          <w:rFonts w:cs="Arial"/>
          <w:b/>
          <w:bCs/>
          <w:rtl/>
        </w:rPr>
        <w:t xml:space="preserve">גיטין </w:t>
      </w:r>
      <w:r>
        <w:rPr>
          <w:rFonts w:cs="Arial"/>
          <w:b/>
          <w:bCs/>
          <w:sz w:val="16"/>
          <w:szCs w:val="16"/>
          <w:rtl/>
        </w:rPr>
        <w:t xml:space="preserve">(פ' בתרא) </w:t>
      </w:r>
      <w:r>
        <w:rPr>
          <w:rFonts w:cs="Arial"/>
          <w:b/>
          <w:bCs/>
          <w:rtl/>
        </w:rPr>
        <w:t xml:space="preserve">פט ע"ב: </w:t>
      </w:r>
      <w:r>
        <w:rPr>
          <w:rFonts w:cs="Arial"/>
          <w:rtl/>
        </w:rPr>
        <w:t xml:space="preserve">דאמר רב המנונא: האשה שאמרה לבעלה גירשתני </w:t>
      </w:r>
      <w:r w:rsidR="00A82951">
        <w:rPr>
          <w:rFonts w:cs="Arial"/>
          <w:rtl/>
        </w:rPr>
        <w:t>-</w:t>
      </w:r>
      <w:r>
        <w:rPr>
          <w:rFonts w:cs="Arial"/>
          <w:rtl/>
        </w:rPr>
        <w:t xml:space="preserve"> נאמנת, חזקה אין אשה מעיזה פניה בפני בעלה. ואידך? כי אתמר דרב המנונא </w:t>
      </w:r>
      <w:r w:rsidR="00A82951">
        <w:rPr>
          <w:rFonts w:cs="Arial"/>
          <w:rtl/>
        </w:rPr>
        <w:t>-</w:t>
      </w:r>
      <w:r>
        <w:rPr>
          <w:rFonts w:cs="Arial"/>
          <w:rtl/>
        </w:rPr>
        <w:t xml:space="preserve"> בפניו, שלא בפניו מעיזה ומעיזה. </w:t>
      </w:r>
    </w:p>
    <w:p w14:paraId="10C75792" w14:textId="1F02D356" w:rsidR="00C97BEF" w:rsidRDefault="00C97BEF" w:rsidP="00C97BEF">
      <w:pPr>
        <w:rPr>
          <w:rFonts w:cs="Arial"/>
          <w:rtl/>
        </w:rPr>
      </w:pPr>
      <w:r>
        <w:rPr>
          <w:rFonts w:cs="Arial"/>
          <w:b/>
          <w:bCs/>
          <w:rtl/>
        </w:rPr>
        <w:t xml:space="preserve">גיטין </w:t>
      </w:r>
      <w:r>
        <w:rPr>
          <w:rFonts w:cs="Arial"/>
          <w:b/>
          <w:bCs/>
          <w:sz w:val="16"/>
          <w:szCs w:val="16"/>
          <w:rtl/>
        </w:rPr>
        <w:t xml:space="preserve">(פ' התקבל) </w:t>
      </w:r>
      <w:r>
        <w:rPr>
          <w:rFonts w:cs="Arial"/>
          <w:b/>
          <w:bCs/>
          <w:rtl/>
        </w:rPr>
        <w:t xml:space="preserve">סד ע"ב: </w:t>
      </w:r>
      <w:r>
        <w:rPr>
          <w:rFonts w:cs="Arial"/>
          <w:rtl/>
        </w:rPr>
        <w:t xml:space="preserve">וליהמנה לדידה מדרב המנונא, דאמר רב המנונא: האשה שאמרה לבעלה גירשתני </w:t>
      </w:r>
      <w:r w:rsidR="00A82951">
        <w:rPr>
          <w:rFonts w:cs="Arial"/>
          <w:rtl/>
        </w:rPr>
        <w:t>-</w:t>
      </w:r>
      <w:r>
        <w:rPr>
          <w:rFonts w:cs="Arial"/>
          <w:rtl/>
        </w:rPr>
        <w:t xml:space="preserve"> נאמנת, חזקה אין האשה מעיזה פניה בפני בעלה! ה"מ היכא דליכא דקא מסייע לה, אבל היכא דמסייע לה </w:t>
      </w:r>
      <w:r w:rsidR="00A82951">
        <w:rPr>
          <w:rFonts w:cs="Arial"/>
          <w:rtl/>
        </w:rPr>
        <w:t>-</w:t>
      </w:r>
      <w:r>
        <w:rPr>
          <w:rFonts w:cs="Arial"/>
          <w:rtl/>
        </w:rPr>
        <w:t xml:space="preserve"> מעיזה ומעיזה. </w:t>
      </w:r>
    </w:p>
    <w:p w14:paraId="4A773D00" w14:textId="7AAB46E7" w:rsidR="00C97BEF" w:rsidRDefault="00C97BEF" w:rsidP="00C97BEF">
      <w:pPr>
        <w:rPr>
          <w:rFonts w:cs="Arial"/>
          <w:rtl/>
        </w:rPr>
      </w:pPr>
      <w:r>
        <w:rPr>
          <w:rFonts w:cs="Arial"/>
          <w:b/>
          <w:bCs/>
          <w:rtl/>
        </w:rPr>
        <w:t xml:space="preserve">כתובות </w:t>
      </w:r>
      <w:r>
        <w:rPr>
          <w:rFonts w:cs="Arial"/>
          <w:b/>
          <w:bCs/>
          <w:sz w:val="16"/>
          <w:szCs w:val="16"/>
          <w:rtl/>
        </w:rPr>
        <w:t xml:space="preserve">(פ"ב) </w:t>
      </w:r>
      <w:r>
        <w:rPr>
          <w:rFonts w:cs="Arial"/>
          <w:b/>
          <w:bCs/>
          <w:rtl/>
        </w:rPr>
        <w:t>כב ע"ב:</w:t>
      </w:r>
      <w:r>
        <w:rPr>
          <w:rFonts w:cs="Arial"/>
          <w:rtl/>
        </w:rPr>
        <w:t xml:space="preserve"> והאמר רב המנונא: האשה שאמרה לבעלה גרשתני </w:t>
      </w:r>
      <w:r w:rsidR="00A82951">
        <w:rPr>
          <w:rFonts w:cs="Arial"/>
          <w:rtl/>
        </w:rPr>
        <w:t>-</w:t>
      </w:r>
      <w:r>
        <w:rPr>
          <w:rFonts w:cs="Arial"/>
          <w:rtl/>
        </w:rPr>
        <w:t xml:space="preserve"> נאמנת, חזקה אין אשה מעיזה פניה בפני בעלה! הני מילי היכא דליכא עדים דקא מסייעי לה, אבל היכא דאיכא עדים דקא מסייעי לה </w:t>
      </w:r>
      <w:r w:rsidR="00A82951">
        <w:rPr>
          <w:rFonts w:cs="Arial"/>
          <w:rtl/>
        </w:rPr>
        <w:t>-</w:t>
      </w:r>
      <w:r>
        <w:rPr>
          <w:rFonts w:cs="Arial"/>
          <w:rtl/>
        </w:rPr>
        <w:t xml:space="preserve"> מעיזה ומעיזה.</w:t>
      </w:r>
    </w:p>
    <w:p w14:paraId="5B6C1558" w14:textId="063F7DF3" w:rsidR="00C97BEF" w:rsidRDefault="00C97BEF" w:rsidP="00C97BEF">
      <w:pPr>
        <w:rPr>
          <w:rFonts w:cs="Arial"/>
          <w:rtl/>
        </w:rPr>
      </w:pPr>
      <w:r>
        <w:rPr>
          <w:rFonts w:cs="Arial"/>
          <w:b/>
          <w:bCs/>
          <w:rtl/>
        </w:rPr>
        <w:t xml:space="preserve">יבמות </w:t>
      </w:r>
      <w:r>
        <w:rPr>
          <w:rFonts w:cs="Arial"/>
          <w:b/>
          <w:bCs/>
          <w:sz w:val="16"/>
          <w:szCs w:val="16"/>
          <w:rtl/>
        </w:rPr>
        <w:t xml:space="preserve">(פ' האשה שלום) </w:t>
      </w:r>
      <w:r>
        <w:rPr>
          <w:rFonts w:cs="Arial"/>
          <w:b/>
          <w:bCs/>
          <w:rtl/>
        </w:rPr>
        <w:t>קטז ע"א:</w:t>
      </w:r>
      <w:r>
        <w:rPr>
          <w:rFonts w:cs="Arial"/>
          <w:rtl/>
        </w:rPr>
        <w:t xml:space="preserve"> קטטה בינו לבינה וכו'. היכי דמי קטטה בינו לבינה?... באומרת לבעלה גירשתני. וליהמנה מדרב המנונא, דאמר רב המנונא: אשה שאמרה לבעלה גירשתני </w:t>
      </w:r>
      <w:r w:rsidR="00A82951">
        <w:rPr>
          <w:rFonts w:cs="Arial"/>
          <w:rtl/>
        </w:rPr>
        <w:t>-</w:t>
      </w:r>
      <w:r>
        <w:rPr>
          <w:rFonts w:cs="Arial"/>
          <w:rtl/>
        </w:rPr>
        <w:t xml:space="preserve"> נאמנת, חזקה אין אשה מעיזה פניה בפני בעלה! באומרת גירשתני בפני פלוני ופלוני, ושאילנא, ואמרו: לא היו דברים מעולם. </w:t>
      </w:r>
      <w:r>
        <w:rPr>
          <w:rFonts w:cs="Arial"/>
          <w:sz w:val="16"/>
          <w:szCs w:val="16"/>
          <w:rtl/>
        </w:rPr>
        <w:t>(וכתבו התוספות (יבמות קטז. ד"ה וליהמנה) והרא"ש (יבמות פט"ו סי' ו) דהלכה כרב המנונא. וכ"כ הר"ן (נדרים שם ד"ה ולענין), ב"י)</w:t>
      </w:r>
      <w:r>
        <w:rPr>
          <w:rFonts w:cs="Arial"/>
          <w:rtl/>
        </w:rPr>
        <w:t xml:space="preserve"> </w:t>
      </w:r>
    </w:p>
    <w:p w14:paraId="5C7BC3D5" w14:textId="4DE6D340" w:rsidR="00C97BEF" w:rsidRDefault="00C97BEF" w:rsidP="00C97BEF">
      <w:pPr>
        <w:rPr>
          <w:u w:val="single"/>
          <w:rtl/>
        </w:rPr>
      </w:pPr>
      <w:bookmarkStart w:id="30" w:name="_Hlk97460491"/>
      <w:r>
        <w:rPr>
          <w:u w:val="single"/>
          <w:rtl/>
        </w:rPr>
        <w:t xml:space="preserve">האומרת לבעלה 'גרשתני' </w:t>
      </w:r>
      <w:r w:rsidR="00A82951">
        <w:rPr>
          <w:u w:val="single"/>
          <w:rtl/>
        </w:rPr>
        <w:t>-</w:t>
      </w:r>
      <w:r>
        <w:rPr>
          <w:u w:val="single"/>
          <w:rtl/>
        </w:rPr>
        <w:t xml:space="preserve"> בפניו:</w:t>
      </w:r>
    </w:p>
    <w:bookmarkEnd w:id="30"/>
    <w:p w14:paraId="1314ADAE" w14:textId="5A64504D" w:rsidR="00C97BEF" w:rsidRDefault="00C97BEF" w:rsidP="006A458D">
      <w:pPr>
        <w:pStyle w:val="ab"/>
        <w:numPr>
          <w:ilvl w:val="0"/>
          <w:numId w:val="123"/>
        </w:numPr>
        <w:rPr>
          <w:rtl/>
        </w:rPr>
      </w:pPr>
      <w:r>
        <w:rPr>
          <w:rtl/>
        </w:rPr>
        <w:t>טור</w:t>
      </w:r>
      <w:r w:rsidR="00A82951">
        <w:rPr>
          <w:rtl/>
        </w:rPr>
        <w:t>-</w:t>
      </w:r>
      <w:r>
        <w:rPr>
          <w:rFonts w:cs="Arial"/>
          <w:rtl/>
        </w:rPr>
        <w:t xml:space="preserve"> ואם היא אומרת לו גרשתני, והוא מכחישה </w:t>
      </w:r>
      <w:r w:rsidR="00A82951">
        <w:rPr>
          <w:rFonts w:cs="Arial"/>
          <w:rtl/>
        </w:rPr>
        <w:t>-</w:t>
      </w:r>
      <w:r>
        <w:rPr>
          <w:rFonts w:cs="Arial"/>
          <w:rtl/>
        </w:rPr>
        <w:t xml:space="preserve"> נאמנת, שאין האשה מעיזה פניה לומר לבעלה גרשתני.</w:t>
      </w:r>
      <w:r w:rsidRPr="00A31C68">
        <w:rPr>
          <w:rFonts w:cs="Arial"/>
          <w:color w:val="E36C0A" w:themeColor="accent6" w:themeShade="BF"/>
          <w:rtl/>
        </w:rPr>
        <w:t xml:space="preserve"> </w:t>
      </w:r>
      <w:r w:rsidR="00A31C68" w:rsidRPr="00A31C68">
        <w:rPr>
          <w:rFonts w:hint="cs"/>
          <w:color w:val="E36C0A" w:themeColor="accent6" w:themeShade="BF"/>
          <w:rtl/>
        </w:rPr>
        <w:t>(וכ"פ בשו"ע</w:t>
      </w:r>
      <w:r w:rsidR="00A31C68">
        <w:rPr>
          <w:rFonts w:hint="cs"/>
          <w:color w:val="E36C0A" w:themeColor="accent6" w:themeShade="BF"/>
          <w:sz w:val="16"/>
          <w:szCs w:val="16"/>
          <w:rtl/>
        </w:rPr>
        <w:t xml:space="preserve"> </w:t>
      </w:r>
      <w:r w:rsidR="00A31C68" w:rsidRPr="00A31C68">
        <w:rPr>
          <w:rFonts w:hint="cs"/>
          <w:color w:val="000000" w:themeColor="text1"/>
          <w:sz w:val="16"/>
          <w:szCs w:val="16"/>
          <w:rtl/>
        </w:rPr>
        <w:t>[</w:t>
      </w:r>
      <w:r w:rsidR="00A31C68">
        <w:rPr>
          <w:rFonts w:hint="cs"/>
          <w:color w:val="000000" w:themeColor="text1"/>
          <w:sz w:val="16"/>
          <w:szCs w:val="16"/>
          <w:rtl/>
        </w:rPr>
        <w:t>סי' יז ס"ב</w:t>
      </w:r>
      <w:r w:rsidR="00A31C68" w:rsidRPr="00A31C68">
        <w:rPr>
          <w:rFonts w:hint="cs"/>
          <w:color w:val="000000" w:themeColor="text1"/>
          <w:sz w:val="16"/>
          <w:szCs w:val="16"/>
          <w:rtl/>
        </w:rPr>
        <w:t>]</w:t>
      </w:r>
      <w:r w:rsidR="00A31C68" w:rsidRPr="00A31C68">
        <w:rPr>
          <w:rFonts w:hint="cs"/>
          <w:color w:val="E36C0A" w:themeColor="accent6" w:themeShade="BF"/>
          <w:rtl/>
        </w:rPr>
        <w:t>)</w:t>
      </w:r>
    </w:p>
    <w:p w14:paraId="1B57A3E3" w14:textId="77777777" w:rsidR="00C97BEF" w:rsidRDefault="00C97BEF" w:rsidP="00C97BEF">
      <w:pPr>
        <w:ind w:left="360"/>
        <w:rPr>
          <w:rFonts w:cs="Arial"/>
          <w:u w:val="dotted"/>
        </w:rPr>
      </w:pPr>
      <w:bookmarkStart w:id="31" w:name="_Hlk109035718"/>
      <w:r>
        <w:rPr>
          <w:rFonts w:cs="Arial"/>
          <w:u w:val="dotted"/>
          <w:rtl/>
        </w:rPr>
        <w:t>האם נאמנת לינשא לכתחילה:</w:t>
      </w:r>
    </w:p>
    <w:p w14:paraId="0C36ED5F" w14:textId="35735FA5" w:rsidR="00C97BEF" w:rsidRDefault="00C97BEF" w:rsidP="006A458D">
      <w:pPr>
        <w:pStyle w:val="ab"/>
        <w:numPr>
          <w:ilvl w:val="0"/>
          <w:numId w:val="123"/>
        </w:numPr>
        <w:rPr>
          <w:rFonts w:cs="Arial"/>
        </w:rPr>
      </w:pPr>
      <w:r>
        <w:rPr>
          <w:rFonts w:cs="Arial"/>
          <w:rtl/>
        </w:rPr>
        <w:t xml:space="preserve">רמב"ם </w:t>
      </w:r>
      <w:r>
        <w:rPr>
          <w:rFonts w:cs="Arial"/>
          <w:sz w:val="16"/>
          <w:szCs w:val="16"/>
          <w:rtl/>
        </w:rPr>
        <w:t xml:space="preserve">(פי"ב ה"ד) </w:t>
      </w:r>
      <w:r>
        <w:rPr>
          <w:rFonts w:cs="Arial"/>
          <w:rtl/>
        </w:rPr>
        <w:t xml:space="preserve">רמב"ן </w:t>
      </w:r>
      <w:r>
        <w:rPr>
          <w:rFonts w:cs="Arial"/>
          <w:sz w:val="16"/>
          <w:szCs w:val="16"/>
          <w:rtl/>
        </w:rPr>
        <w:t xml:space="preserve">(גיטין סד:) </w:t>
      </w:r>
      <w:r>
        <w:rPr>
          <w:rFonts w:cs="Arial"/>
          <w:rtl/>
        </w:rPr>
        <w:t xml:space="preserve">רשב"א </w:t>
      </w:r>
      <w:r>
        <w:rPr>
          <w:rFonts w:cs="Arial"/>
          <w:sz w:val="16"/>
          <w:szCs w:val="16"/>
          <w:rtl/>
        </w:rPr>
        <w:t xml:space="preserve">(גיטין סד) </w:t>
      </w:r>
      <w:r>
        <w:rPr>
          <w:rFonts w:cs="Arial"/>
          <w:rtl/>
        </w:rPr>
        <w:t xml:space="preserve">ור"ן </w:t>
      </w:r>
      <w:r>
        <w:rPr>
          <w:rFonts w:cs="Arial"/>
          <w:sz w:val="16"/>
          <w:szCs w:val="16"/>
          <w:rtl/>
        </w:rPr>
        <w:t xml:space="preserve">(כתובות י. ד"ה מתני', </w:t>
      </w:r>
      <w:r w:rsidR="00B75D23">
        <w:rPr>
          <w:rFonts w:cs="Arial" w:hint="cs"/>
          <w:sz w:val="16"/>
          <w:szCs w:val="16"/>
          <w:rtl/>
        </w:rPr>
        <w:t xml:space="preserve">גיטין </w:t>
      </w:r>
      <w:r>
        <w:rPr>
          <w:rFonts w:cs="Arial"/>
          <w:sz w:val="16"/>
          <w:szCs w:val="16"/>
          <w:rtl/>
        </w:rPr>
        <w:t>ל. ד"ה ולהימניה)</w:t>
      </w:r>
      <w:r w:rsidR="00A82951">
        <w:rPr>
          <w:rFonts w:cs="Arial"/>
          <w:rtl/>
        </w:rPr>
        <w:t>-</w:t>
      </w:r>
      <w:r>
        <w:rPr>
          <w:rFonts w:cs="Arial"/>
          <w:rtl/>
        </w:rPr>
        <w:t xml:space="preserve"> משמע דאפילו לינשא לכתחלה אמר רב המנונא דנאמנת</w:t>
      </w:r>
      <w:r>
        <w:rPr>
          <w:rStyle w:val="a7"/>
          <w:rFonts w:cs="Arial"/>
          <w:rtl/>
        </w:rPr>
        <w:footnoteReference w:id="2692"/>
      </w:r>
      <w:r>
        <w:rPr>
          <w:rFonts w:cs="Arial"/>
          <w:rtl/>
        </w:rPr>
        <w:t>, ושלא כדברי המפרשים דאינה נאמנת להתירה לינשא לכתחלה אלא לענין שאם נישאת לא תצא, וגם שלא כדברי הראב"ד</w:t>
      </w:r>
      <w:r>
        <w:rPr>
          <w:rStyle w:val="a7"/>
          <w:rFonts w:cs="Arial"/>
          <w:rtl/>
        </w:rPr>
        <w:footnoteReference w:id="2693"/>
      </w:r>
      <w:r>
        <w:rPr>
          <w:rFonts w:cs="Arial"/>
          <w:rtl/>
        </w:rPr>
        <w:t xml:space="preserve"> </w:t>
      </w:r>
      <w:r>
        <w:rPr>
          <w:rFonts w:cs="Arial"/>
          <w:sz w:val="16"/>
          <w:szCs w:val="16"/>
          <w:rtl/>
        </w:rPr>
        <w:t xml:space="preserve">(בפ"ד מהל' אישות הי"ג) </w:t>
      </w:r>
      <w:r>
        <w:rPr>
          <w:rFonts w:cs="Arial"/>
          <w:rtl/>
        </w:rPr>
        <w:t>שכתב "אני אומר אינה נאמנת אלא שתופסין בה קידושין אבל לא לינשא ולא ליטול כתובה"</w:t>
      </w:r>
      <w:r>
        <w:rPr>
          <w:rFonts w:cs="Arial"/>
          <w:sz w:val="16"/>
          <w:szCs w:val="16"/>
          <w:rtl/>
        </w:rPr>
        <w:t xml:space="preserve"> (ל' ה</w:t>
      </w:r>
      <w:r w:rsidR="00B75D23">
        <w:rPr>
          <w:rFonts w:cs="Arial" w:hint="cs"/>
          <w:sz w:val="16"/>
          <w:szCs w:val="16"/>
          <w:rtl/>
        </w:rPr>
        <w:t>ב"י בשם הר"ן</w:t>
      </w:r>
      <w:r>
        <w:rPr>
          <w:rFonts w:cs="Arial"/>
          <w:sz w:val="16"/>
          <w:szCs w:val="16"/>
          <w:rtl/>
        </w:rPr>
        <w:t>)</w:t>
      </w:r>
      <w:r>
        <w:rPr>
          <w:rFonts w:cs="Arial"/>
          <w:rtl/>
        </w:rPr>
        <w:t xml:space="preserve">. </w:t>
      </w:r>
    </w:p>
    <w:bookmarkEnd w:id="31"/>
    <w:p w14:paraId="323D07F1" w14:textId="77777777" w:rsidR="00C97BEF" w:rsidRDefault="00C97BEF" w:rsidP="00C97BEF">
      <w:pPr>
        <w:ind w:left="360"/>
        <w:rPr>
          <w:rFonts w:cs="Arial"/>
          <w:u w:val="dotted"/>
        </w:rPr>
      </w:pPr>
      <w:r>
        <w:rPr>
          <w:rFonts w:cs="Arial"/>
          <w:u w:val="dotted"/>
          <w:rtl/>
        </w:rPr>
        <w:t>האם היא נוטלת כתובתה כשלא הזכירה כן בזמן שאמרה 'גירשתני':</w:t>
      </w:r>
    </w:p>
    <w:p w14:paraId="6A666564" w14:textId="2E0FAB6D" w:rsidR="00C97BEF" w:rsidRDefault="00C97BEF" w:rsidP="006A458D">
      <w:pPr>
        <w:pStyle w:val="ab"/>
        <w:numPr>
          <w:ilvl w:val="0"/>
          <w:numId w:val="123"/>
        </w:numPr>
        <w:rPr>
          <w:rtl/>
        </w:rPr>
      </w:pPr>
      <w:r>
        <w:rPr>
          <w:rFonts w:cs="Arial"/>
          <w:rtl/>
        </w:rPr>
        <w:t xml:space="preserve">רמב"ן </w:t>
      </w:r>
      <w:r>
        <w:rPr>
          <w:rFonts w:cs="Arial"/>
          <w:sz w:val="16"/>
          <w:szCs w:val="16"/>
          <w:rtl/>
        </w:rPr>
        <w:t>(כתובות כג. ד"ה ומשמע, כ"כ בשמו הה"מ [פ"ד מאישות])</w:t>
      </w:r>
      <w:r>
        <w:rPr>
          <w:rFonts w:cs="Arial"/>
          <w:rtl/>
        </w:rPr>
        <w:t xml:space="preserve"> ור"ן </w:t>
      </w:r>
      <w:r>
        <w:rPr>
          <w:rFonts w:cs="Arial"/>
          <w:sz w:val="16"/>
          <w:szCs w:val="16"/>
          <w:rtl/>
        </w:rPr>
        <w:t>(כתובות י. סוף ד"ה ואם)</w:t>
      </w:r>
      <w:r w:rsidR="00A82951">
        <w:rPr>
          <w:rFonts w:cs="Arial"/>
          <w:rtl/>
        </w:rPr>
        <w:t>-</w:t>
      </w:r>
      <w:r>
        <w:rPr>
          <w:rFonts w:cs="Arial"/>
          <w:rtl/>
        </w:rPr>
        <w:t xml:space="preserve"> כיון דמהימנינן לה אפילו לינשא לכתחלה הוא הדין דמהימנינן לה ליטול כתובה, שמספר כתובה נלמוד שכך כותב לה לכשתנשאי לאחר תטלי מה שכתוב ליכי, וכדתנן ביבמות התם (קיז.). ומיהו דוקא בעיקר כתובה, אבל בתוספת לא דמדרש כתובה </w:t>
      </w:r>
      <w:r>
        <w:rPr>
          <w:rFonts w:cs="Arial"/>
          <w:rtl/>
        </w:rPr>
        <w:lastRenderedPageBreak/>
        <w:t>ליתיה אלא בעיקר כתובה, והכי מוכח בפ' הכותב</w:t>
      </w:r>
      <w:r>
        <w:rPr>
          <w:rFonts w:cs="Arial"/>
          <w:sz w:val="16"/>
          <w:szCs w:val="16"/>
          <w:rtl/>
        </w:rPr>
        <w:t xml:space="preserve"> (ע"ש בר"ן מט. דיבור ראשון, וברמב"ן פט. ד"ה מגו)  </w:t>
      </w:r>
      <w:r>
        <w:rPr>
          <w:rFonts w:cs="Arial"/>
          <w:rtl/>
        </w:rPr>
        <w:t xml:space="preserve">וכמו שאכתוב שם </w:t>
      </w:r>
      <w:r>
        <w:rPr>
          <w:rFonts w:cs="Arial"/>
          <w:sz w:val="16"/>
          <w:szCs w:val="16"/>
          <w:rtl/>
        </w:rPr>
        <w:t>(ל' הר"ן)</w:t>
      </w:r>
      <w:r>
        <w:rPr>
          <w:rFonts w:cs="Arial"/>
          <w:rtl/>
        </w:rPr>
        <w:t xml:space="preserve">. </w:t>
      </w:r>
    </w:p>
    <w:p w14:paraId="754C9A0C" w14:textId="17471281" w:rsidR="00C97BEF" w:rsidRDefault="00C97BEF" w:rsidP="006A458D">
      <w:pPr>
        <w:pStyle w:val="ab"/>
        <w:numPr>
          <w:ilvl w:val="0"/>
          <w:numId w:val="123"/>
        </w:numPr>
      </w:pPr>
      <w:bookmarkStart w:id="32" w:name="_Hlk109039080"/>
      <w:bookmarkStart w:id="33" w:name="_Hlk109039071"/>
      <w:r>
        <w:rPr>
          <w:rFonts w:cs="Arial"/>
          <w:rtl/>
        </w:rPr>
        <w:t>תוס'</w:t>
      </w:r>
      <w:r>
        <w:rPr>
          <w:rStyle w:val="a7"/>
          <w:rFonts w:cs="Arial"/>
          <w:rtl/>
        </w:rPr>
        <w:footnoteReference w:id="2694"/>
      </w:r>
      <w:r>
        <w:rPr>
          <w:rFonts w:cs="Arial"/>
          <w:rtl/>
        </w:rPr>
        <w:t xml:space="preserve"> </w:t>
      </w:r>
      <w:r>
        <w:rPr>
          <w:rFonts w:cs="Arial"/>
          <w:sz w:val="16"/>
          <w:szCs w:val="16"/>
          <w:rtl/>
        </w:rPr>
        <w:t>(יבמות קטז. ד"ה וליהמנה, הביאו ההגה"מ [פי"ב דגירושין אות א])</w:t>
      </w:r>
      <w:r>
        <w:rPr>
          <w:rFonts w:cs="Arial"/>
          <w:rtl/>
        </w:rPr>
        <w:t xml:space="preserve"> ורא"ש</w:t>
      </w:r>
      <w:r>
        <w:rPr>
          <w:rStyle w:val="a7"/>
          <w:rFonts w:cs="Arial"/>
          <w:rtl/>
        </w:rPr>
        <w:footnoteReference w:id="2695"/>
      </w:r>
      <w:r>
        <w:rPr>
          <w:rFonts w:cs="Arial"/>
          <w:rtl/>
        </w:rPr>
        <w:t xml:space="preserve"> </w:t>
      </w:r>
      <w:r>
        <w:rPr>
          <w:rFonts w:cs="Arial"/>
          <w:sz w:val="16"/>
          <w:szCs w:val="16"/>
          <w:rtl/>
        </w:rPr>
        <w:t>(כלל מג סי' יב)</w:t>
      </w:r>
      <w:r w:rsidR="00A82951">
        <w:rPr>
          <w:rFonts w:cs="Arial"/>
          <w:rtl/>
        </w:rPr>
        <w:t>-</w:t>
      </w:r>
      <w:r>
        <w:rPr>
          <w:rFonts w:cs="Arial"/>
          <w:rtl/>
        </w:rPr>
        <w:t xml:space="preserve"> לא מפקינן ממון מיניה בחזקה זו</w:t>
      </w:r>
      <w:bookmarkEnd w:id="32"/>
      <w:r>
        <w:rPr>
          <w:rStyle w:val="a7"/>
          <w:rFonts w:cs="Arial"/>
          <w:rtl/>
        </w:rPr>
        <w:footnoteReference w:id="2696"/>
      </w:r>
      <w:r>
        <w:rPr>
          <w:rFonts w:cs="Arial"/>
          <w:sz w:val="16"/>
          <w:szCs w:val="16"/>
          <w:rtl/>
        </w:rPr>
        <w:t xml:space="preserve"> (ל' הדרכ"מ [אות א] בשם הרא"ש)</w:t>
      </w:r>
      <w:r>
        <w:rPr>
          <w:rFonts w:cs="Arial"/>
          <w:rtl/>
        </w:rPr>
        <w:t>.</w:t>
      </w:r>
    </w:p>
    <w:bookmarkEnd w:id="33"/>
    <w:p w14:paraId="16BEADB5" w14:textId="77777777" w:rsidR="00C97BEF" w:rsidRDefault="00C97BEF" w:rsidP="00C97BEF">
      <w:pPr>
        <w:ind w:left="360"/>
        <w:rPr>
          <w:u w:val="dotted"/>
        </w:rPr>
      </w:pPr>
      <w:r>
        <w:rPr>
          <w:u w:val="dotted"/>
          <w:rtl/>
        </w:rPr>
        <w:t>ומה הדין אם אמרה כן בפניו אבל הייתה קטטה בניהם, או שתבעה כתובתה בזמן שאמרה 'גירשתני':</w:t>
      </w:r>
    </w:p>
    <w:p w14:paraId="2C1AA93C" w14:textId="4564D2BE" w:rsidR="00C97BEF" w:rsidRDefault="00C97BEF" w:rsidP="006A458D">
      <w:pPr>
        <w:pStyle w:val="ab"/>
        <w:numPr>
          <w:ilvl w:val="0"/>
          <w:numId w:val="123"/>
        </w:numPr>
      </w:pPr>
      <w:r>
        <w:rPr>
          <w:rFonts w:cs="Arial"/>
          <w:rtl/>
        </w:rPr>
        <w:t>רא"ש</w:t>
      </w:r>
      <w:r>
        <w:rPr>
          <w:rStyle w:val="a7"/>
          <w:rFonts w:cs="Arial"/>
          <w:rtl/>
        </w:rPr>
        <w:footnoteReference w:id="2697"/>
      </w:r>
      <w:r>
        <w:rPr>
          <w:rFonts w:cs="Arial"/>
          <w:rtl/>
        </w:rPr>
        <w:t xml:space="preserve"> </w:t>
      </w:r>
      <w:r>
        <w:rPr>
          <w:rFonts w:cs="Arial"/>
          <w:sz w:val="16"/>
          <w:szCs w:val="16"/>
          <w:rtl/>
        </w:rPr>
        <w:t>(יבמות פט"ו סי' ו)</w:t>
      </w:r>
      <w:r>
        <w:rPr>
          <w:rFonts w:cs="Arial"/>
          <w:rtl/>
        </w:rPr>
        <w:t xml:space="preserve"> וטור</w:t>
      </w:r>
      <w:r w:rsidR="00A82951">
        <w:rPr>
          <w:rFonts w:cs="Arial"/>
          <w:rtl/>
        </w:rPr>
        <w:t>-</w:t>
      </w:r>
      <w:r>
        <w:rPr>
          <w:rFonts w:cs="Arial"/>
          <w:rtl/>
        </w:rPr>
        <w:t xml:space="preserve"> אם היה קטטה ביניהם או שתובעת כתובתה דאיכא למימר שאומרת כן כדי לגבות כתובתה </w:t>
      </w:r>
      <w:r w:rsidR="00A82951">
        <w:rPr>
          <w:rFonts w:cs="Arial"/>
          <w:rtl/>
        </w:rPr>
        <w:t>-</w:t>
      </w:r>
      <w:r>
        <w:rPr>
          <w:rFonts w:cs="Arial"/>
          <w:rtl/>
        </w:rPr>
        <w:t xml:space="preserve"> אינה נאמנת</w:t>
      </w:r>
      <w:r>
        <w:rPr>
          <w:rFonts w:cs="Arial"/>
          <w:sz w:val="16"/>
          <w:szCs w:val="16"/>
          <w:rtl/>
        </w:rPr>
        <w:t xml:space="preserve"> (ל' הטור)</w:t>
      </w:r>
      <w:r>
        <w:rPr>
          <w:rFonts w:cs="Arial"/>
          <w:rtl/>
        </w:rPr>
        <w:t xml:space="preserve">. </w:t>
      </w:r>
      <w:r w:rsidR="007A5084" w:rsidRPr="00A31C68">
        <w:rPr>
          <w:rFonts w:hint="cs"/>
          <w:color w:val="E36C0A" w:themeColor="accent6" w:themeShade="BF"/>
          <w:rtl/>
        </w:rPr>
        <w:t>(וכ"</w:t>
      </w:r>
      <w:r w:rsidR="007A5084">
        <w:rPr>
          <w:rFonts w:hint="cs"/>
          <w:color w:val="E36C0A" w:themeColor="accent6" w:themeShade="BF"/>
          <w:rtl/>
        </w:rPr>
        <w:t>כ</w:t>
      </w:r>
      <w:r w:rsidR="007A5084" w:rsidRPr="00A31C68">
        <w:rPr>
          <w:rFonts w:hint="cs"/>
          <w:color w:val="E36C0A" w:themeColor="accent6" w:themeShade="BF"/>
          <w:rtl/>
        </w:rPr>
        <w:t xml:space="preserve"> בשו"ע</w:t>
      </w:r>
      <w:r w:rsidR="007A5084">
        <w:rPr>
          <w:rFonts w:hint="cs"/>
          <w:color w:val="E36C0A" w:themeColor="accent6" w:themeShade="BF"/>
          <w:sz w:val="16"/>
          <w:szCs w:val="16"/>
          <w:rtl/>
        </w:rPr>
        <w:t xml:space="preserve"> </w:t>
      </w:r>
      <w:r w:rsidR="007A5084" w:rsidRPr="00A31C68">
        <w:rPr>
          <w:rFonts w:hint="cs"/>
          <w:color w:val="000000" w:themeColor="text1"/>
          <w:sz w:val="16"/>
          <w:szCs w:val="16"/>
          <w:rtl/>
        </w:rPr>
        <w:t>[</w:t>
      </w:r>
      <w:r w:rsidR="007A5084">
        <w:rPr>
          <w:rFonts w:hint="cs"/>
          <w:color w:val="000000" w:themeColor="text1"/>
          <w:sz w:val="16"/>
          <w:szCs w:val="16"/>
          <w:rtl/>
        </w:rPr>
        <w:t>סי' יז ס"ב</w:t>
      </w:r>
      <w:r w:rsidR="007A5084" w:rsidRPr="00A31C68">
        <w:rPr>
          <w:rFonts w:hint="cs"/>
          <w:color w:val="000000" w:themeColor="text1"/>
          <w:sz w:val="16"/>
          <w:szCs w:val="16"/>
          <w:rtl/>
        </w:rPr>
        <w:t>]</w:t>
      </w:r>
      <w:r w:rsidR="007A5084" w:rsidRPr="00A31C68">
        <w:rPr>
          <w:rFonts w:hint="cs"/>
          <w:color w:val="E36C0A" w:themeColor="accent6" w:themeShade="BF"/>
          <w:rtl/>
        </w:rPr>
        <w:t>)</w:t>
      </w:r>
    </w:p>
    <w:p w14:paraId="15DB2A48" w14:textId="66B6CB51" w:rsidR="00C97BEF" w:rsidRDefault="00C97BEF" w:rsidP="00C97BEF">
      <w:pPr>
        <w:rPr>
          <w:rtl/>
        </w:rPr>
      </w:pPr>
      <w:r>
        <w:rPr>
          <w:rFonts w:cs="Arial"/>
          <w:b/>
          <w:bCs/>
          <w:rtl/>
        </w:rPr>
        <w:t xml:space="preserve">גיטין </w:t>
      </w:r>
      <w:r>
        <w:rPr>
          <w:rFonts w:cs="Arial"/>
          <w:b/>
          <w:bCs/>
          <w:sz w:val="16"/>
          <w:szCs w:val="16"/>
          <w:rtl/>
        </w:rPr>
        <w:t xml:space="preserve">(פ' בתרא) </w:t>
      </w:r>
      <w:r>
        <w:rPr>
          <w:rFonts w:cs="Arial"/>
          <w:b/>
          <w:bCs/>
          <w:rtl/>
        </w:rPr>
        <w:t>פט ע"ב:</w:t>
      </w:r>
      <w:r>
        <w:rPr>
          <w:rFonts w:cs="Arial"/>
          <w:rtl/>
        </w:rPr>
        <w:t xml:space="preserve"> </w:t>
      </w:r>
      <w:r>
        <w:rPr>
          <w:rFonts w:cs="Arial"/>
          <w:u w:val="single"/>
          <w:rtl/>
        </w:rPr>
        <w:t>אמר רב ירמיה בר אבא</w:t>
      </w:r>
      <w:r>
        <w:rPr>
          <w:rFonts w:cs="Arial"/>
          <w:rtl/>
        </w:rPr>
        <w:t xml:space="preserve">: שלחו ליה מבי רב לשמואל: ילמדנו רבינו, יצא עליה קול מראשון, ובא אחר וקדשה קידושי תורה, מהו? </w:t>
      </w:r>
      <w:r>
        <w:rPr>
          <w:rFonts w:cs="Arial"/>
          <w:u w:val="single"/>
          <w:rtl/>
        </w:rPr>
        <w:t>שלח להו</w:t>
      </w:r>
      <w:r>
        <w:rPr>
          <w:rFonts w:cs="Arial"/>
          <w:rtl/>
        </w:rPr>
        <w:t xml:space="preserve">: תצא, והעמידו הדבר על בוריו והודיעוני. מאי והעמידו הדבר על בוריו? אילימא דאי מגליא מילתא דקידושי דקמא לאו קידושי מעליא נינהו מבטלינן קלא, והא נהרדעא אתרי' דשמואל הוא ולא מבטלי קלא! אלא דאי מיגליא מילתא דקידושי קמא קידושי מעליא נינהו, לא צריכה גט משני. ופליגא דרב הונא, </w:t>
      </w:r>
      <w:r>
        <w:rPr>
          <w:rFonts w:cs="Arial"/>
          <w:u w:val="single"/>
          <w:rtl/>
        </w:rPr>
        <w:t>דאמר רב הונא</w:t>
      </w:r>
      <w:r>
        <w:rPr>
          <w:rFonts w:cs="Arial"/>
          <w:rtl/>
        </w:rPr>
        <w:t xml:space="preserve">: אשת איש שפשטה ידה וקיבלה קידושין מאחר </w:t>
      </w:r>
      <w:r w:rsidR="00A82951">
        <w:rPr>
          <w:rFonts w:cs="Arial"/>
          <w:rtl/>
        </w:rPr>
        <w:t>-</w:t>
      </w:r>
      <w:r>
        <w:rPr>
          <w:rFonts w:cs="Arial"/>
          <w:rtl/>
        </w:rPr>
        <w:t xml:space="preserve"> מקודשת</w:t>
      </w:r>
      <w:r>
        <w:rPr>
          <w:rStyle w:val="a7"/>
          <w:rFonts w:cs="Arial"/>
          <w:rtl/>
        </w:rPr>
        <w:footnoteReference w:id="2698"/>
      </w:r>
      <w:r>
        <w:rPr>
          <w:rFonts w:cs="Arial"/>
          <w:rtl/>
        </w:rPr>
        <w:t xml:space="preserve">, מדרב המנונא, דאמר רב המנונא: האשה שאמרה לבעלה גירשתני </w:t>
      </w:r>
      <w:r w:rsidR="00A82951">
        <w:rPr>
          <w:rFonts w:cs="Arial"/>
          <w:rtl/>
        </w:rPr>
        <w:t>-</w:t>
      </w:r>
      <w:r>
        <w:rPr>
          <w:rFonts w:cs="Arial"/>
          <w:rtl/>
        </w:rPr>
        <w:t xml:space="preserve"> נאמנת, חזקה אין אשה מעיזה פניה בפני בעלה. ואידך? כי אתמר דרב המנונא </w:t>
      </w:r>
      <w:r w:rsidR="00A82951">
        <w:rPr>
          <w:rFonts w:cs="Arial"/>
          <w:rtl/>
        </w:rPr>
        <w:t>-</w:t>
      </w:r>
      <w:r>
        <w:rPr>
          <w:rFonts w:cs="Arial"/>
          <w:rtl/>
        </w:rPr>
        <w:t xml:space="preserve"> בפניו</w:t>
      </w:r>
      <w:r>
        <w:rPr>
          <w:rStyle w:val="a7"/>
          <w:rFonts w:cs="Arial"/>
          <w:rtl/>
        </w:rPr>
        <w:footnoteReference w:id="2699"/>
      </w:r>
      <w:r>
        <w:rPr>
          <w:rFonts w:cs="Arial"/>
          <w:rtl/>
        </w:rPr>
        <w:t>, שלא בפניו מעיזה ומעיזה...</w:t>
      </w:r>
      <w:r>
        <w:rPr>
          <w:rFonts w:cs="Arial"/>
          <w:sz w:val="16"/>
          <w:szCs w:val="16"/>
          <w:rtl/>
        </w:rPr>
        <w:t xml:space="preserve"> (ולית הלכתא כרב הונא וכן כתב שם רש"י ז"ל וכן נראין הדברים בודאי, </w:t>
      </w:r>
      <w:r>
        <w:rPr>
          <w:rFonts w:cs="Arial"/>
          <w:b/>
          <w:bCs/>
          <w:sz w:val="16"/>
          <w:szCs w:val="16"/>
          <w:rtl/>
        </w:rPr>
        <w:t>רשב"א</w:t>
      </w:r>
      <w:r>
        <w:rPr>
          <w:rFonts w:cs="Arial"/>
          <w:sz w:val="16"/>
          <w:szCs w:val="16"/>
          <w:rtl/>
        </w:rPr>
        <w:t xml:space="preserve"> (ח"א סי' אלף רנג). וכן פסקו הרי"ף (נ:) והרא"ש (סי' יב) כשמואל. ובסימן י"ז (ל: ד"ה ומ"ש אבל) נתבאר כל זה באורך, </w:t>
      </w:r>
      <w:r>
        <w:rPr>
          <w:rFonts w:cs="Arial"/>
          <w:b/>
          <w:bCs/>
          <w:sz w:val="16"/>
          <w:szCs w:val="16"/>
          <w:rtl/>
        </w:rPr>
        <w:t>ב"י</w:t>
      </w:r>
      <w:r>
        <w:rPr>
          <w:rFonts w:cs="Arial"/>
          <w:sz w:val="16"/>
          <w:szCs w:val="16"/>
          <w:rtl/>
        </w:rPr>
        <w:t>)</w:t>
      </w:r>
    </w:p>
    <w:p w14:paraId="13F1CA93" w14:textId="0C0F79BC" w:rsidR="00C97BEF" w:rsidRDefault="00C97BEF" w:rsidP="00C97BEF">
      <w:pPr>
        <w:rPr>
          <w:u w:val="single"/>
        </w:rPr>
      </w:pPr>
      <w:r>
        <w:rPr>
          <w:u w:val="single"/>
          <w:rtl/>
        </w:rPr>
        <w:t>האומרת לבעלה 'גרשתני' שלא בפניו</w:t>
      </w:r>
      <w:r w:rsidR="007A5084">
        <w:rPr>
          <w:rFonts w:hint="cs"/>
          <w:u w:val="single"/>
          <w:rtl/>
        </w:rPr>
        <w:t>, ואחרי שנתקדשה אמרה גם בפניו</w:t>
      </w:r>
      <w:r>
        <w:rPr>
          <w:u w:val="single"/>
          <w:rtl/>
        </w:rPr>
        <w:t>:</w:t>
      </w:r>
    </w:p>
    <w:p w14:paraId="3DF528A4" w14:textId="3517276C"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אבל שלא בפניו</w:t>
      </w:r>
      <w:r w:rsidR="00A31C68">
        <w:rPr>
          <w:rFonts w:cs="Arial" w:hint="cs"/>
          <w:rtl/>
        </w:rPr>
        <w:t>,</w:t>
      </w:r>
      <w:r>
        <w:rPr>
          <w:rFonts w:cs="Arial"/>
          <w:rtl/>
        </w:rPr>
        <w:t xml:space="preserve"> מעיזה ואינה נאמנת. אפי' אם ניסת או נתקדשה, וכשבא מכחישה, והחזיקה בדבריה ואומרת לו שגירשה </w:t>
      </w:r>
      <w:r w:rsidR="00A82951">
        <w:rPr>
          <w:rFonts w:cs="Arial"/>
          <w:rtl/>
        </w:rPr>
        <w:t>-</w:t>
      </w:r>
      <w:r>
        <w:rPr>
          <w:rFonts w:cs="Arial"/>
          <w:rtl/>
        </w:rPr>
        <w:t xml:space="preserve"> אינה נאמנת, שלהחזיק דבריה אומרת כן. ואינה צריכה גט מהשני ואפי' אם היא בפניו. </w:t>
      </w:r>
      <w:r w:rsidR="007A5084" w:rsidRPr="00A31C68">
        <w:rPr>
          <w:rFonts w:hint="cs"/>
          <w:color w:val="E36C0A" w:themeColor="accent6" w:themeShade="BF"/>
          <w:rtl/>
        </w:rPr>
        <w:t>(וכ"</w:t>
      </w:r>
      <w:r w:rsidR="007A5084">
        <w:rPr>
          <w:rFonts w:hint="cs"/>
          <w:color w:val="E36C0A" w:themeColor="accent6" w:themeShade="BF"/>
          <w:rtl/>
        </w:rPr>
        <w:t>כ</w:t>
      </w:r>
      <w:r w:rsidR="007A5084" w:rsidRPr="00A31C68">
        <w:rPr>
          <w:rFonts w:hint="cs"/>
          <w:color w:val="E36C0A" w:themeColor="accent6" w:themeShade="BF"/>
          <w:rtl/>
        </w:rPr>
        <w:t xml:space="preserve"> בשו"ע</w:t>
      </w:r>
      <w:r w:rsidR="007A5084">
        <w:rPr>
          <w:rFonts w:hint="cs"/>
          <w:color w:val="E36C0A" w:themeColor="accent6" w:themeShade="BF"/>
          <w:sz w:val="16"/>
          <w:szCs w:val="16"/>
          <w:rtl/>
        </w:rPr>
        <w:t xml:space="preserve"> </w:t>
      </w:r>
      <w:r w:rsidR="007A5084" w:rsidRPr="00A31C68">
        <w:rPr>
          <w:rFonts w:hint="cs"/>
          <w:color w:val="000000" w:themeColor="text1"/>
          <w:sz w:val="16"/>
          <w:szCs w:val="16"/>
          <w:rtl/>
        </w:rPr>
        <w:t>[</w:t>
      </w:r>
      <w:r w:rsidR="007A5084">
        <w:rPr>
          <w:rFonts w:hint="cs"/>
          <w:color w:val="000000" w:themeColor="text1"/>
          <w:sz w:val="16"/>
          <w:szCs w:val="16"/>
          <w:rtl/>
        </w:rPr>
        <w:t>סי' יז ס"ב</w:t>
      </w:r>
      <w:r w:rsidR="007A5084" w:rsidRPr="00A31C68">
        <w:rPr>
          <w:rFonts w:hint="cs"/>
          <w:color w:val="000000" w:themeColor="text1"/>
          <w:sz w:val="16"/>
          <w:szCs w:val="16"/>
          <w:rtl/>
        </w:rPr>
        <w:t>]</w:t>
      </w:r>
      <w:r w:rsidR="007A5084" w:rsidRPr="00A31C68">
        <w:rPr>
          <w:rFonts w:hint="cs"/>
          <w:color w:val="E36C0A" w:themeColor="accent6" w:themeShade="BF"/>
          <w:rtl/>
        </w:rPr>
        <w:t>)</w:t>
      </w:r>
    </w:p>
    <w:p w14:paraId="0125011C" w14:textId="59BC02D3" w:rsidR="00C97BEF" w:rsidRDefault="00C97BEF" w:rsidP="00C97BEF">
      <w:r>
        <w:rPr>
          <w:rFonts w:cs="Arial"/>
          <w:b/>
          <w:bCs/>
          <w:rtl/>
        </w:rPr>
        <w:t xml:space="preserve">כתובות </w:t>
      </w:r>
      <w:r>
        <w:rPr>
          <w:rFonts w:cs="Arial"/>
          <w:b/>
          <w:bCs/>
          <w:sz w:val="16"/>
          <w:szCs w:val="16"/>
          <w:rtl/>
        </w:rPr>
        <w:t xml:space="preserve">(פ"ב) </w:t>
      </w:r>
      <w:r>
        <w:rPr>
          <w:rFonts w:cs="Arial"/>
          <w:b/>
          <w:bCs/>
          <w:rtl/>
        </w:rPr>
        <w:t>כב ע"ב:</w:t>
      </w:r>
      <w:r>
        <w:rPr>
          <w:rFonts w:cs="Arial"/>
          <w:rtl/>
        </w:rPr>
        <w:t xml:space="preserve"> </w:t>
      </w:r>
      <w:r>
        <w:rPr>
          <w:rFonts w:cs="Arial"/>
          <w:u w:val="single"/>
          <w:rtl/>
        </w:rPr>
        <w:t>אמר רבי יוחנן</w:t>
      </w:r>
      <w:r>
        <w:rPr>
          <w:rFonts w:cs="Arial"/>
          <w:rtl/>
        </w:rPr>
        <w:t xml:space="preserve">: שנים אומרים מת ושנים אומרים לא מת </w:t>
      </w:r>
      <w:r w:rsidR="00A82951">
        <w:rPr>
          <w:rFonts w:cs="Arial"/>
          <w:rtl/>
        </w:rPr>
        <w:t>-</w:t>
      </w:r>
      <w:r>
        <w:rPr>
          <w:rFonts w:cs="Arial"/>
          <w:rtl/>
        </w:rPr>
        <w:t xml:space="preserve"> הרי זו לא תנשא, ואם נשאת </w:t>
      </w:r>
      <w:r w:rsidR="00A82951">
        <w:rPr>
          <w:rFonts w:cs="Arial"/>
          <w:rtl/>
        </w:rPr>
        <w:t>-</w:t>
      </w:r>
      <w:r>
        <w:rPr>
          <w:rFonts w:cs="Arial"/>
          <w:rtl/>
        </w:rPr>
        <w:t xml:space="preserve"> לא תצא; שנים אומרים נתגרשה ושנים אומרים לא נתגרשה </w:t>
      </w:r>
      <w:r w:rsidR="00A82951">
        <w:rPr>
          <w:rFonts w:cs="Arial"/>
          <w:rtl/>
        </w:rPr>
        <w:t>-</w:t>
      </w:r>
      <w:r>
        <w:rPr>
          <w:rFonts w:cs="Arial"/>
          <w:rtl/>
        </w:rPr>
        <w:t xml:space="preserve"> הרי זו לא תנשא, ואם נשאת </w:t>
      </w:r>
      <w:r w:rsidR="00A82951">
        <w:rPr>
          <w:rFonts w:cs="Arial"/>
          <w:rtl/>
        </w:rPr>
        <w:t>-</w:t>
      </w:r>
      <w:r>
        <w:rPr>
          <w:rFonts w:cs="Arial"/>
          <w:rtl/>
        </w:rPr>
        <w:t xml:space="preserve"> תצא. מאי שנא רישא, ומאי שנא סיפא?... </w:t>
      </w:r>
      <w:r>
        <w:rPr>
          <w:rFonts w:cs="Arial"/>
          <w:u w:val="single"/>
          <w:rtl/>
        </w:rPr>
        <w:t>רבא אמר</w:t>
      </w:r>
      <w:r>
        <w:rPr>
          <w:rFonts w:cs="Arial"/>
          <w:rtl/>
        </w:rPr>
        <w:t xml:space="preserve">: לעולם תרי ותרי נינהו, וראה ר' יוחנן דבריו של ר' מנחם בר יוסי בגרושין, ולא ראה במיתה מ"ט? מיתה </w:t>
      </w:r>
      <w:r w:rsidR="00A82951">
        <w:rPr>
          <w:rFonts w:cs="Arial"/>
          <w:rtl/>
        </w:rPr>
        <w:t>-</w:t>
      </w:r>
      <w:r>
        <w:rPr>
          <w:rFonts w:cs="Arial"/>
          <w:rtl/>
        </w:rPr>
        <w:t xml:space="preserve"> אינה יכולה מכחשתו, גרושין </w:t>
      </w:r>
      <w:r w:rsidR="00A82951">
        <w:rPr>
          <w:rFonts w:cs="Arial"/>
          <w:rtl/>
        </w:rPr>
        <w:t>-</w:t>
      </w:r>
      <w:r>
        <w:rPr>
          <w:rFonts w:cs="Arial"/>
          <w:rtl/>
        </w:rPr>
        <w:t xml:space="preserve"> יכולה מכחשתו. ומי חציפה כולי האי? והאמר רב המנונא: האשה שאמרה לבעלה גרשתני </w:t>
      </w:r>
      <w:r w:rsidR="00A82951">
        <w:rPr>
          <w:rFonts w:cs="Arial"/>
          <w:rtl/>
        </w:rPr>
        <w:t>-</w:t>
      </w:r>
      <w:r>
        <w:rPr>
          <w:rFonts w:cs="Arial"/>
          <w:rtl/>
        </w:rPr>
        <w:t xml:space="preserve"> נאמנת, חזקה אין אשה מעיזה פניה בפני בעלה! הני מילי היכא דליכא עדים דקא מסייעי לה, אבל היכא דאיכא עדים דקא מסייעי לה </w:t>
      </w:r>
      <w:r w:rsidR="00A82951">
        <w:rPr>
          <w:rFonts w:cs="Arial"/>
          <w:rtl/>
        </w:rPr>
        <w:t>-</w:t>
      </w:r>
      <w:r>
        <w:rPr>
          <w:rFonts w:cs="Arial"/>
          <w:rtl/>
        </w:rPr>
        <w:t xml:space="preserve"> מעיזה ומעיזה.</w:t>
      </w:r>
    </w:p>
    <w:p w14:paraId="03A8475F" w14:textId="77777777" w:rsidR="00C97BEF" w:rsidRDefault="00C97BEF" w:rsidP="00C97BEF">
      <w:r>
        <w:rPr>
          <w:u w:val="single"/>
          <w:rtl/>
        </w:rPr>
        <w:t>אשה שבתחילה אמרה 'גירשתני' שלא בפניו, ואח"כ אמרה כן עוד פעם בפניו:</w:t>
      </w:r>
    </w:p>
    <w:p w14:paraId="69C6C3D4" w14:textId="73B2ACDD" w:rsidR="00C97BEF" w:rsidRDefault="00C97BEF" w:rsidP="006A458D">
      <w:pPr>
        <w:pStyle w:val="ab"/>
        <w:numPr>
          <w:ilvl w:val="0"/>
          <w:numId w:val="123"/>
        </w:numPr>
        <w:rPr>
          <w:rFonts w:cs="Arial"/>
        </w:rPr>
      </w:pPr>
      <w:r>
        <w:rPr>
          <w:rFonts w:cs="Arial"/>
          <w:rtl/>
        </w:rPr>
        <w:t xml:space="preserve">רשב"א </w:t>
      </w:r>
      <w:r>
        <w:rPr>
          <w:rFonts w:cs="Arial"/>
          <w:sz w:val="16"/>
          <w:szCs w:val="16"/>
          <w:rtl/>
        </w:rPr>
        <w:t>(סי' אלף רנג)</w:t>
      </w:r>
      <w:r w:rsidR="00A82951">
        <w:rPr>
          <w:rFonts w:cs="Arial"/>
          <w:rtl/>
        </w:rPr>
        <w:t>-</w:t>
      </w:r>
      <w:r>
        <w:rPr>
          <w:rFonts w:cs="Arial"/>
          <w:rtl/>
        </w:rPr>
        <w:t xml:space="preserve"> שאלת</w:t>
      </w:r>
      <w:r w:rsidR="00A31C68">
        <w:rPr>
          <w:rFonts w:cs="Arial" w:hint="cs"/>
          <w:rtl/>
        </w:rPr>
        <w:t>:</w:t>
      </w:r>
      <w:r>
        <w:rPr>
          <w:rFonts w:cs="Arial"/>
          <w:rtl/>
        </w:rPr>
        <w:t xml:space="preserve"> ראובן קדש אשה</w:t>
      </w:r>
      <w:r w:rsidR="00A31C68">
        <w:rPr>
          <w:rFonts w:cs="Arial" w:hint="cs"/>
          <w:rtl/>
        </w:rPr>
        <w:t>,</w:t>
      </w:r>
      <w:r>
        <w:rPr>
          <w:rFonts w:cs="Arial"/>
          <w:rtl/>
        </w:rPr>
        <w:t xml:space="preserve"> ובא אחר וקדשה שלא בפניו</w:t>
      </w:r>
      <w:r w:rsidR="00A31C68">
        <w:rPr>
          <w:rFonts w:cs="Arial" w:hint="cs"/>
          <w:rtl/>
        </w:rPr>
        <w:t>,</w:t>
      </w:r>
      <w:r>
        <w:rPr>
          <w:rFonts w:cs="Arial"/>
          <w:rtl/>
        </w:rPr>
        <w:t xml:space="preserve"> צריכה גט מן השני או לא?...      תשובה: מסתברא לי שאינה צריכה גט משני... ומיהו בנדון שלפנינו דוקא כשאינה אומרת עכשו שגרשה </w:t>
      </w:r>
      <w:r>
        <w:rPr>
          <w:rFonts w:cs="Arial"/>
          <w:rtl/>
        </w:rPr>
        <w:lastRenderedPageBreak/>
        <w:t xml:space="preserve">הבעל, אבל אם אומרת </w:t>
      </w:r>
      <w:r>
        <w:rPr>
          <w:rFonts w:cs="Arial"/>
          <w:sz w:val="16"/>
          <w:szCs w:val="16"/>
          <w:rtl/>
        </w:rPr>
        <w:t>{עכשיו, בפניו}</w:t>
      </w:r>
      <w:r>
        <w:rPr>
          <w:rFonts w:cs="Arial"/>
          <w:rtl/>
        </w:rPr>
        <w:t xml:space="preserve"> שגרשה הבעל אסורה </w:t>
      </w:r>
      <w:r>
        <w:rPr>
          <w:rFonts w:cs="Arial"/>
          <w:sz w:val="16"/>
          <w:szCs w:val="16"/>
          <w:rtl/>
        </w:rPr>
        <w:t>{לראשון}</w:t>
      </w:r>
      <w:r>
        <w:rPr>
          <w:rFonts w:cs="Arial"/>
          <w:rtl/>
        </w:rPr>
        <w:t xml:space="preserve"> מדרב המנונא. ואע"פ שהתחילה לומר שלא בפני הבעל אין אומרי' מתחלתה לא היתה נאמנת והשתא עבידא לאחזוקי שקרא. וכדמוכח בפרק ב' דכתובות (כב:) דגרסינן התם ת"ר שנים אומרים מת ושנים אומרים לא מת... ואקשינן ומי מחצפא כולי האי והאמר רב המנונא האשה שאמרה לבעלה גרשתני נאמנת חזקה אין האשה מעיזה פניה בפני בעלה. כלומר אע"פ שהתחילה להעיז פניה שלא בפני בעלה אינה עשויה להחזיק שקרא השתא בפני בעלה. ופרקינן הני מילי היכא דליכא עדים דקא מסייעי לה אבל היכא דאיכא עדים דקא מסייעי לה מעיזה ומעיזה. אלמא כל היכא דליכא עדים דקא מסייעי לה לא מחצפא לאחזוקי שקרא בפני בעלה</w:t>
      </w:r>
      <w:r>
        <w:rPr>
          <w:rStyle w:val="a7"/>
          <w:rFonts w:cs="Arial"/>
          <w:rtl/>
        </w:rPr>
        <w:footnoteReference w:id="2700"/>
      </w:r>
      <w:r>
        <w:rPr>
          <w:rFonts w:cs="Arial"/>
          <w:rtl/>
        </w:rPr>
        <w:t>.</w:t>
      </w:r>
    </w:p>
    <w:p w14:paraId="095389D2"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4DB03CB" w14:textId="77777777" w:rsidR="00C97BEF" w:rsidRDefault="00C97BEF" w:rsidP="00C97BEF">
      <w:pPr>
        <w:rPr>
          <w:rtl/>
        </w:rPr>
      </w:pPr>
      <w:r>
        <w:rPr>
          <w:rFonts w:cs="Arial"/>
          <w:rtl/>
        </w:rPr>
        <w:t xml:space="preserve">האומרת לבעלה: גרשתני, והוא מכחישה, נתבאר בסימן י"ז. </w:t>
      </w:r>
    </w:p>
    <w:p w14:paraId="412D8007" w14:textId="77777777" w:rsidR="00C97BEF" w:rsidRDefault="00C97BEF" w:rsidP="00C97BEF">
      <w:pPr>
        <w:rPr>
          <w:rtl/>
        </w:rPr>
      </w:pPr>
    </w:p>
    <w:p w14:paraId="09955AFF" w14:textId="77777777" w:rsidR="00C97BEF" w:rsidRDefault="00C97BEF" w:rsidP="00C97BEF">
      <w:pPr>
        <w:pStyle w:val="2"/>
        <w:rPr>
          <w:rtl/>
        </w:rPr>
      </w:pPr>
      <w:r>
        <w:rPr>
          <w:rtl/>
        </w:rPr>
        <w:t>סעיף ג: שנים אומרים 'נתגרשה', ושנים אומרים 'לא נתגרשה'.</w:t>
      </w:r>
    </w:p>
    <w:p w14:paraId="41D0A2EE" w14:textId="0A589AF5" w:rsidR="00C97BEF" w:rsidRDefault="00C97BEF" w:rsidP="00C97BEF">
      <w:pPr>
        <w:rPr>
          <w:rFonts w:cs="Arial"/>
          <w:rtl/>
        </w:rPr>
      </w:pPr>
      <w:bookmarkStart w:id="34" w:name="_Hlk138871308"/>
      <w:r>
        <w:rPr>
          <w:rFonts w:cs="Arial"/>
          <w:b/>
          <w:bCs/>
          <w:rtl/>
        </w:rPr>
        <w:t xml:space="preserve">כתובות </w:t>
      </w:r>
      <w:r>
        <w:rPr>
          <w:rFonts w:cs="Arial"/>
          <w:b/>
          <w:bCs/>
          <w:sz w:val="16"/>
          <w:szCs w:val="16"/>
          <w:rtl/>
        </w:rPr>
        <w:t xml:space="preserve">(פ"ב) </w:t>
      </w:r>
      <w:r>
        <w:rPr>
          <w:rFonts w:cs="Arial"/>
          <w:b/>
          <w:bCs/>
          <w:rtl/>
        </w:rPr>
        <w:t>כב ע"ב:</w:t>
      </w:r>
      <w:r>
        <w:rPr>
          <w:rFonts w:cs="Arial"/>
          <w:rtl/>
        </w:rPr>
        <w:t xml:space="preserve"> ת"ר: שנים אומרים מת ושנים אומרים לא מת, שנים אומרים נתגרשה ושנים אומרים לא נתגרשה </w:t>
      </w:r>
      <w:r w:rsidR="00A82951">
        <w:rPr>
          <w:rFonts w:cs="Arial"/>
          <w:rtl/>
        </w:rPr>
        <w:t>-</w:t>
      </w:r>
      <w:r>
        <w:rPr>
          <w:rFonts w:cs="Arial"/>
          <w:rtl/>
        </w:rPr>
        <w:t xml:space="preserve"> הרי זו לא תנשא, ואם נשאת </w:t>
      </w:r>
      <w:r w:rsidR="00A82951">
        <w:rPr>
          <w:rFonts w:cs="Arial"/>
          <w:rtl/>
        </w:rPr>
        <w:t>-</w:t>
      </w:r>
      <w:r>
        <w:rPr>
          <w:rFonts w:cs="Arial"/>
          <w:rtl/>
        </w:rPr>
        <w:t xml:space="preserve"> לא תצא, </w:t>
      </w:r>
      <w:r>
        <w:rPr>
          <w:rFonts w:cs="Arial"/>
          <w:u w:val="single"/>
          <w:rtl/>
        </w:rPr>
        <w:t>רבי מנחם בר יוסי אומר</w:t>
      </w:r>
      <w:r>
        <w:rPr>
          <w:rFonts w:cs="Arial"/>
          <w:rtl/>
        </w:rPr>
        <w:t>: תצא</w:t>
      </w:r>
      <w:r>
        <w:rPr>
          <w:rStyle w:val="a7"/>
          <w:rFonts w:cs="Arial"/>
          <w:rtl/>
        </w:rPr>
        <w:footnoteReference w:id="2701"/>
      </w:r>
      <w:r>
        <w:rPr>
          <w:rFonts w:cs="Arial"/>
          <w:rtl/>
        </w:rPr>
        <w:t xml:space="preserve">. </w:t>
      </w:r>
      <w:r>
        <w:rPr>
          <w:rFonts w:cs="Arial"/>
          <w:u w:val="single"/>
          <w:rtl/>
        </w:rPr>
        <w:t>אמר רבי מנחם בר יוסי</w:t>
      </w:r>
      <w:r>
        <w:rPr>
          <w:rFonts w:cs="Arial"/>
          <w:rtl/>
        </w:rPr>
        <w:t xml:space="preserve">: אימתי אני אומר תצא? בזמן שבאו עדים ואח"כ נשאת, אבל נשאת ואח"כ באו עדים </w:t>
      </w:r>
      <w:r w:rsidR="00A82951">
        <w:rPr>
          <w:rFonts w:cs="Arial"/>
          <w:rtl/>
        </w:rPr>
        <w:t>-</w:t>
      </w:r>
      <w:r>
        <w:rPr>
          <w:rFonts w:cs="Arial"/>
          <w:rtl/>
        </w:rPr>
        <w:t xml:space="preserve"> לא תצא. מכדי תרי ותרי נינהו, הבא עליה באשם תלוי קאי! </w:t>
      </w:r>
      <w:r>
        <w:rPr>
          <w:rFonts w:cs="Arial"/>
          <w:u w:val="single"/>
          <w:rtl/>
        </w:rPr>
        <w:t>א"ר ששת</w:t>
      </w:r>
      <w:r>
        <w:rPr>
          <w:rFonts w:cs="Arial"/>
          <w:rtl/>
        </w:rPr>
        <w:t xml:space="preserve">: כגון שנשאת לאחד מעדיה. היא גופה באשם תלוי קיימא! באומרת ברי לי. </w:t>
      </w:r>
      <w:r>
        <w:rPr>
          <w:rFonts w:cs="Arial"/>
          <w:u w:val="single"/>
          <w:rtl/>
        </w:rPr>
        <w:t>אמר רבי יוחנן</w:t>
      </w:r>
      <w:r>
        <w:rPr>
          <w:rFonts w:cs="Arial"/>
          <w:rtl/>
        </w:rPr>
        <w:t xml:space="preserve">: שנים אומרים מת ושנים אומרים לא מת </w:t>
      </w:r>
      <w:r w:rsidR="00A82951">
        <w:rPr>
          <w:rFonts w:cs="Arial"/>
          <w:rtl/>
        </w:rPr>
        <w:t>-</w:t>
      </w:r>
      <w:r>
        <w:rPr>
          <w:rFonts w:cs="Arial"/>
          <w:rtl/>
        </w:rPr>
        <w:t xml:space="preserve"> הרי זו לא תנשא, ואם נשאת </w:t>
      </w:r>
      <w:r w:rsidR="00A82951">
        <w:rPr>
          <w:rFonts w:cs="Arial"/>
          <w:rtl/>
        </w:rPr>
        <w:t>-</w:t>
      </w:r>
      <w:r>
        <w:rPr>
          <w:rFonts w:cs="Arial"/>
          <w:rtl/>
        </w:rPr>
        <w:t xml:space="preserve"> לא תצא; שנים אומרים נתגרשה ושנים אומרים לא נתגרשה </w:t>
      </w:r>
      <w:r w:rsidR="00A82951">
        <w:rPr>
          <w:rFonts w:cs="Arial"/>
          <w:rtl/>
        </w:rPr>
        <w:t>-</w:t>
      </w:r>
      <w:r>
        <w:rPr>
          <w:rFonts w:cs="Arial"/>
          <w:rtl/>
        </w:rPr>
        <w:t xml:space="preserve"> הרי זו לא תנשא, ואם נשאת </w:t>
      </w:r>
      <w:r w:rsidR="00A82951">
        <w:rPr>
          <w:rFonts w:cs="Arial"/>
          <w:rtl/>
        </w:rPr>
        <w:t>-</w:t>
      </w:r>
      <w:r>
        <w:rPr>
          <w:rFonts w:cs="Arial"/>
          <w:rtl/>
        </w:rPr>
        <w:t xml:space="preserve"> תצא. מאי שנא רישא, ומאי שנא סיפא?... </w:t>
      </w:r>
      <w:r>
        <w:rPr>
          <w:rFonts w:cs="Arial"/>
          <w:u w:val="single"/>
          <w:rtl/>
        </w:rPr>
        <w:t>רבא אמר</w:t>
      </w:r>
      <w:r>
        <w:rPr>
          <w:rFonts w:cs="Arial"/>
          <w:rtl/>
        </w:rPr>
        <w:t xml:space="preserve">: לעולם תרי ותרי נינהו, וראה ר' יוחנן דבריו של ר' מנחם בר יוסי בגרושין, ולא ראה במיתה מ"ט? מיתה </w:t>
      </w:r>
      <w:r w:rsidR="00A82951">
        <w:rPr>
          <w:rFonts w:cs="Arial"/>
          <w:rtl/>
        </w:rPr>
        <w:t>-</w:t>
      </w:r>
      <w:r>
        <w:rPr>
          <w:rFonts w:cs="Arial"/>
          <w:rtl/>
        </w:rPr>
        <w:t xml:space="preserve"> אינה יכולה מכחשתו, גרושין </w:t>
      </w:r>
      <w:r w:rsidR="00A82951">
        <w:rPr>
          <w:rFonts w:cs="Arial"/>
          <w:rtl/>
        </w:rPr>
        <w:t>-</w:t>
      </w:r>
      <w:r>
        <w:rPr>
          <w:rFonts w:cs="Arial"/>
          <w:rtl/>
        </w:rPr>
        <w:t xml:space="preserve"> יכולה מכחשתו</w:t>
      </w:r>
      <w:r>
        <w:rPr>
          <w:rStyle w:val="a7"/>
          <w:rFonts w:cs="Arial"/>
          <w:rtl/>
        </w:rPr>
        <w:footnoteReference w:id="2702"/>
      </w:r>
      <w:r>
        <w:rPr>
          <w:rFonts w:cs="Arial"/>
          <w:rtl/>
        </w:rPr>
        <w:t xml:space="preserve">. ומי חציפה כולי האי? והאמר רב המנונא: האשה שאמרה לבעלה גרשתני </w:t>
      </w:r>
      <w:r w:rsidR="00A82951">
        <w:rPr>
          <w:rFonts w:cs="Arial"/>
          <w:rtl/>
        </w:rPr>
        <w:t>-</w:t>
      </w:r>
      <w:r>
        <w:rPr>
          <w:rFonts w:cs="Arial"/>
          <w:rtl/>
        </w:rPr>
        <w:t xml:space="preserve"> נאמנת, חזקה אין אשה מעיזה פניה בפני בעלה! הני מילי היכא דליכא עדים דקא מסייעי לה, אבל היכא דאיכא עדים דקא מסייעי לה </w:t>
      </w:r>
      <w:r w:rsidR="00A82951">
        <w:rPr>
          <w:rFonts w:cs="Arial"/>
          <w:rtl/>
        </w:rPr>
        <w:t>-</w:t>
      </w:r>
      <w:r>
        <w:rPr>
          <w:rFonts w:cs="Arial"/>
          <w:rtl/>
        </w:rPr>
        <w:t xml:space="preserve"> מעיזה ומעיזה.</w:t>
      </w:r>
      <w:r>
        <w:rPr>
          <w:rtl/>
        </w:rPr>
        <w:t xml:space="preserve"> </w:t>
      </w:r>
      <w:r>
        <w:rPr>
          <w:rFonts w:cs="Arial"/>
          <w:u w:val="single"/>
          <w:rtl/>
        </w:rPr>
        <w:t>רב אשי אמר</w:t>
      </w:r>
      <w:r>
        <w:rPr>
          <w:rFonts w:cs="Arial"/>
          <w:rtl/>
        </w:rPr>
        <w:t>: כגון דאמרי עדים עכשיו מת עכשיו גירשה, מיתה ליכא לברורה, גירושין איכא לברורה, דאמרינן לה: אם איתא דהכי הוה, אחזי לן גיטיך</w:t>
      </w:r>
      <w:bookmarkEnd w:id="34"/>
      <w:r>
        <w:rPr>
          <w:rStyle w:val="a7"/>
          <w:rFonts w:cs="Arial"/>
          <w:rtl/>
        </w:rPr>
        <w:footnoteReference w:id="2703"/>
      </w:r>
      <w:r>
        <w:rPr>
          <w:rFonts w:cs="Arial"/>
          <w:rtl/>
        </w:rPr>
        <w:t>.</w:t>
      </w:r>
      <w:r>
        <w:rPr>
          <w:rtl/>
        </w:rPr>
        <w:t xml:space="preserve"> </w:t>
      </w:r>
      <w:r>
        <w:rPr>
          <w:sz w:val="16"/>
          <w:szCs w:val="16"/>
          <w:rtl/>
        </w:rPr>
        <w:t>(</w:t>
      </w:r>
      <w:r>
        <w:rPr>
          <w:rFonts w:cs="Arial"/>
          <w:sz w:val="16"/>
          <w:szCs w:val="16"/>
          <w:rtl/>
        </w:rPr>
        <w:t xml:space="preserve">וכתבו הרי"ף (ריש י.) והרא"ש (סי' כה) ושמעינן מהא דרב אשי דהיכא דמסהדי לאחר זמן, היכא דמכחשי אהדדי </w:t>
      </w:r>
      <w:r w:rsidR="00A82951">
        <w:rPr>
          <w:rFonts w:cs="Arial"/>
          <w:sz w:val="16"/>
          <w:szCs w:val="16"/>
          <w:rtl/>
        </w:rPr>
        <w:t>-</w:t>
      </w:r>
      <w:r>
        <w:rPr>
          <w:rFonts w:cs="Arial"/>
          <w:sz w:val="16"/>
          <w:szCs w:val="16"/>
          <w:rtl/>
        </w:rPr>
        <w:t xml:space="preserve"> לא תנשא, ואם נישאת </w:t>
      </w:r>
      <w:r w:rsidR="00A82951">
        <w:rPr>
          <w:rFonts w:cs="Arial"/>
          <w:sz w:val="16"/>
          <w:szCs w:val="16"/>
          <w:rtl/>
        </w:rPr>
        <w:t>-</w:t>
      </w:r>
      <w:r>
        <w:rPr>
          <w:rFonts w:cs="Arial"/>
          <w:sz w:val="16"/>
          <w:szCs w:val="16"/>
          <w:rtl/>
        </w:rPr>
        <w:t xml:space="preserve"> לא תצא, ב"י)</w:t>
      </w:r>
      <w:r>
        <w:rPr>
          <w:rFonts w:cs="Arial"/>
          <w:rtl/>
        </w:rPr>
        <w:t xml:space="preserve"> </w:t>
      </w:r>
    </w:p>
    <w:p w14:paraId="7C076A6F" w14:textId="77777777" w:rsidR="00C97BEF" w:rsidRDefault="00C97BEF" w:rsidP="00C97BEF">
      <w:pPr>
        <w:rPr>
          <w:u w:val="single"/>
          <w:rtl/>
        </w:rPr>
      </w:pPr>
      <w:r>
        <w:rPr>
          <w:u w:val="single"/>
          <w:rtl/>
        </w:rPr>
        <w:t>שנים אומרים 'נתגרשה', ושנים אומרים 'לא נתגרשה':</w:t>
      </w:r>
    </w:p>
    <w:p w14:paraId="438B2CB2" w14:textId="3A0E0C6C" w:rsidR="00C97BEF" w:rsidRDefault="00C97BEF" w:rsidP="006A458D">
      <w:pPr>
        <w:pStyle w:val="ab"/>
        <w:numPr>
          <w:ilvl w:val="0"/>
          <w:numId w:val="123"/>
        </w:numPr>
        <w:rPr>
          <w:rtl/>
        </w:rPr>
      </w:pPr>
      <w:r>
        <w:rPr>
          <w:rtl/>
        </w:rPr>
        <w:t xml:space="preserve">רמב"ם </w:t>
      </w:r>
      <w:r>
        <w:rPr>
          <w:sz w:val="16"/>
          <w:szCs w:val="16"/>
          <w:rtl/>
        </w:rPr>
        <w:t>(פי"ב מגירושין ה"ו</w:t>
      </w:r>
      <w:r w:rsidR="00A82951">
        <w:rPr>
          <w:sz w:val="16"/>
          <w:szCs w:val="16"/>
          <w:rtl/>
        </w:rPr>
        <w:t>-</w:t>
      </w:r>
      <w:r>
        <w:rPr>
          <w:sz w:val="16"/>
          <w:szCs w:val="16"/>
          <w:rtl/>
        </w:rPr>
        <w:t>ז)</w:t>
      </w:r>
      <w:r>
        <w:rPr>
          <w:rtl/>
        </w:rPr>
        <w:t xml:space="preserve"> וטור</w:t>
      </w:r>
      <w:r w:rsidR="00A82951">
        <w:rPr>
          <w:rtl/>
        </w:rPr>
        <w:t>-</w:t>
      </w:r>
      <w:r>
        <w:rPr>
          <w:rFonts w:cs="Arial"/>
          <w:rtl/>
        </w:rPr>
        <w:t xml:space="preserve"> ואם ב' עדים אומרים שנתגרשה ושנים אומרים לא נתגרשה </w:t>
      </w:r>
      <w:r w:rsidR="00A82951">
        <w:rPr>
          <w:rFonts w:cs="Arial"/>
          <w:rtl/>
        </w:rPr>
        <w:t>-</w:t>
      </w:r>
      <w:r>
        <w:rPr>
          <w:rFonts w:cs="Arial"/>
          <w:rtl/>
        </w:rPr>
        <w:t xml:space="preserve"> הרי היא בחזקת אשת איש, ואפילו אם הבעל לפנינו ואומרת לו גרשתני אינה נאמנת, כיון שעדים מסייעין לה חיישינן שמא מעיזה פניה. ואצ"ל זינתה תחלה שאינה נאמנת</w:t>
      </w:r>
      <w:r>
        <w:rPr>
          <w:rStyle w:val="a7"/>
          <w:rFonts w:cs="Arial"/>
          <w:rtl/>
        </w:rPr>
        <w:footnoteReference w:id="2704"/>
      </w:r>
      <w:r>
        <w:rPr>
          <w:rFonts w:cs="Arial"/>
          <w:rtl/>
        </w:rPr>
        <w:t xml:space="preserve">. ומ"מ אם נישאת </w:t>
      </w:r>
      <w:r w:rsidR="00A82951">
        <w:rPr>
          <w:rFonts w:cs="Arial"/>
          <w:rtl/>
        </w:rPr>
        <w:t>-</w:t>
      </w:r>
      <w:r>
        <w:rPr>
          <w:rFonts w:cs="Arial"/>
          <w:rtl/>
        </w:rPr>
        <w:t xml:space="preserve"> לא תצא, אפילו אם נישאת אחר שבאו אותם שאומרים שלא נתגרשה. בד"א כשאומרת שנתגרשה זה כמה ימים דאיכא למימר אבד גיטה, ונישאת לאחד מעידיה, ואומרת ברי לי שגרשני. אבל אם היא אומרת שנתגרשה היום </w:t>
      </w:r>
      <w:r w:rsidR="00A82951">
        <w:rPr>
          <w:rFonts w:cs="Arial"/>
          <w:rtl/>
        </w:rPr>
        <w:t>-</w:t>
      </w:r>
      <w:r>
        <w:rPr>
          <w:rFonts w:cs="Arial"/>
          <w:rtl/>
        </w:rPr>
        <w:t xml:space="preserve"> אפילו אם נישאת תצא, שאומרים לה אם אמת שגרשך היום הראי גיטך, וכן אם נישאת לאחר שאינו מעידיה, או שאינה אומרת ברי לי שגרשני </w:t>
      </w:r>
      <w:r w:rsidR="00A82951">
        <w:rPr>
          <w:rFonts w:cs="Arial"/>
          <w:rtl/>
        </w:rPr>
        <w:t>-</w:t>
      </w:r>
      <w:r>
        <w:rPr>
          <w:rFonts w:cs="Arial"/>
          <w:rtl/>
        </w:rPr>
        <w:t xml:space="preserve"> אפילו אם ניסת תצא, כיון שהיא ספק אשת איש והולד ספק ממזר</w:t>
      </w:r>
      <w:r>
        <w:rPr>
          <w:rFonts w:cs="Arial"/>
          <w:sz w:val="16"/>
          <w:szCs w:val="16"/>
          <w:rtl/>
        </w:rPr>
        <w:t xml:space="preserve"> (ל' הטור)</w:t>
      </w:r>
      <w:r>
        <w:rPr>
          <w:rFonts w:cs="Arial"/>
          <w:rtl/>
        </w:rPr>
        <w:t>.</w:t>
      </w:r>
      <w:r>
        <w:rPr>
          <w:rFonts w:cs="Arial"/>
          <w:color w:val="E36C0A" w:themeColor="accent6" w:themeShade="BF"/>
          <w:rtl/>
        </w:rPr>
        <w:t xml:space="preserve"> </w:t>
      </w:r>
      <w:r>
        <w:rPr>
          <w:color w:val="E36C0A" w:themeColor="accent6" w:themeShade="BF"/>
          <w:rtl/>
        </w:rPr>
        <w:t>(וכ"פ בשו"ע)</w:t>
      </w:r>
    </w:p>
    <w:p w14:paraId="4D3E729E" w14:textId="77777777" w:rsidR="00C97BEF" w:rsidRDefault="00C97BEF" w:rsidP="00C97BEF">
      <w:r>
        <w:rPr>
          <w:u w:val="single"/>
          <w:rtl/>
        </w:rPr>
        <w:t xml:space="preserve">שנים אומרים 'נתגרשה' </w:t>
      </w:r>
      <w:r>
        <w:rPr>
          <w:sz w:val="16"/>
          <w:szCs w:val="16"/>
          <w:u w:val="single"/>
          <w:rtl/>
        </w:rPr>
        <w:t>(וליכא עדים שמכחישים אותם)</w:t>
      </w:r>
      <w:r>
        <w:rPr>
          <w:u w:val="single"/>
          <w:rtl/>
        </w:rPr>
        <w:t>, ואמרו לה 'הראי גיטך', ואמרה שנאבד/נקרע:</w:t>
      </w:r>
    </w:p>
    <w:p w14:paraId="6FBFFBF3" w14:textId="29A1F4EC" w:rsidR="00C97BEF" w:rsidRDefault="00C97BEF" w:rsidP="006A458D">
      <w:pPr>
        <w:pStyle w:val="ab"/>
        <w:numPr>
          <w:ilvl w:val="0"/>
          <w:numId w:val="123"/>
        </w:numPr>
      </w:pPr>
      <w:r>
        <w:rPr>
          <w:rFonts w:cs="Arial"/>
          <w:rtl/>
        </w:rPr>
        <w:t xml:space="preserve">רשב"א </w:t>
      </w:r>
      <w:r>
        <w:rPr>
          <w:rFonts w:cs="Arial"/>
          <w:sz w:val="16"/>
          <w:szCs w:val="16"/>
          <w:rtl/>
        </w:rPr>
        <w:t>(כתובות כב: ד"ה רב אשי, כ"כ בשמו הה"מ [פי"ב מגירושין ה"ו])</w:t>
      </w:r>
      <w:r>
        <w:rPr>
          <w:rFonts w:cs="Arial"/>
          <w:rtl/>
        </w:rPr>
        <w:t xml:space="preserve"> ור"ן </w:t>
      </w:r>
      <w:r>
        <w:rPr>
          <w:rFonts w:cs="Arial"/>
          <w:sz w:val="16"/>
          <w:szCs w:val="16"/>
          <w:rtl/>
        </w:rPr>
        <w:t>(פ"ב דכתובות י.])</w:t>
      </w:r>
      <w:r w:rsidR="00A82951">
        <w:rPr>
          <w:rFonts w:cs="Arial"/>
          <w:rtl/>
        </w:rPr>
        <w:t>-</w:t>
      </w:r>
      <w:r>
        <w:rPr>
          <w:rFonts w:cs="Arial"/>
          <w:rtl/>
        </w:rPr>
        <w:t xml:space="preserve"> דוקא בכה"ג משום דהוו תרי ותרי הוא דאמר דהוי ריעותא כי לא מחויא לגיטא, אבל אי ליכא אלא תרי דאמרי עכשיו גרשה, אע"פ שהיתה בחזקת אשת איש משמע ודאי דנאמנים</w:t>
      </w:r>
      <w:r>
        <w:rPr>
          <w:rFonts w:cs="Arial"/>
          <w:sz w:val="16"/>
          <w:szCs w:val="16"/>
          <w:rtl/>
        </w:rPr>
        <w:t xml:space="preserve"> (ל' הר"ן)</w:t>
      </w:r>
      <w:r>
        <w:rPr>
          <w:rFonts w:cs="Arial"/>
          <w:rtl/>
        </w:rPr>
        <w:t>.</w:t>
      </w:r>
      <w:r>
        <w:rPr>
          <w:rFonts w:cs="Arial"/>
          <w:color w:val="E36C0A" w:themeColor="accent6" w:themeShade="BF"/>
          <w:rtl/>
        </w:rPr>
        <w:t xml:space="preserve"> </w:t>
      </w:r>
      <w:r>
        <w:rPr>
          <w:color w:val="E36C0A" w:themeColor="accent6" w:themeShade="BF"/>
          <w:rtl/>
        </w:rPr>
        <w:t>(וכ"פ בשו"ע)</w:t>
      </w:r>
    </w:p>
    <w:p w14:paraId="33319057"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lastRenderedPageBreak/>
        <w:t>שו"ע:</w:t>
      </w:r>
    </w:p>
    <w:p w14:paraId="0F7B2536" w14:textId="77777777" w:rsidR="00C97BEF" w:rsidRDefault="00C97BEF" w:rsidP="00C97BEF">
      <w:pPr>
        <w:rPr>
          <w:rtl/>
        </w:rPr>
      </w:pPr>
      <w:r>
        <w:rPr>
          <w:rFonts w:cs="Arial"/>
          <w:rtl/>
        </w:rPr>
        <w:t xml:space="preserve">שנים אומרים נתגרשה, ושנים אומרים לא נתגרשה, אפילו הבעל עומד והיא אומרת לו גרשתני, הרי זו בחזקת אשת איש גמורה, מפני שהעדים סומכים אותה ואפשר שתעיז פניה. לפיכך אם נשאת, תצא והולד ממזר. במה דברים אמורים, כשאמרו עכשיו נתגרשה, שהרי אומרים לה אם אמת הדבר הוציאי גיטיך, אבל אם אמרו העדים מכמה ימים נתגרשה, יכולה לומר אבד הגט, והואיל והיא אומרת גרושה אני בודאי, ושנים עדים מעידים לה, אף על פי שהשנים מכחישין אותה, אם נשאת לאחד מעדיה, לא תצא, שהרי היא ובעלה יודעים בודאי שהיא מותרת, וחזקה היא שאין מקלקלים עצמם. אבל נשאת לאחר, הואיל והדבר אצלו ספק, וכן אם אמרה איני יודעת, תצא, והולד ספק ממזר. אבל כל היכא דליכא הכחשה, אלא שנים אומרים נתגרשה עכשיו, ואמרין לה אחזינן גיטיך, ואמרה נאבד או נקרע, לא חיישינן לה. </w:t>
      </w:r>
    </w:p>
    <w:p w14:paraId="024F46A9" w14:textId="77777777" w:rsidR="00C97BEF" w:rsidRDefault="00C97BEF" w:rsidP="00C97BEF">
      <w:pPr>
        <w:rPr>
          <w:rtl/>
        </w:rPr>
      </w:pPr>
    </w:p>
    <w:p w14:paraId="36568428" w14:textId="77777777" w:rsidR="00C97BEF" w:rsidRDefault="00C97BEF" w:rsidP="00C97BEF">
      <w:pPr>
        <w:pStyle w:val="2"/>
        <w:rPr>
          <w:rtl/>
        </w:rPr>
      </w:pPr>
      <w:r>
        <w:rPr>
          <w:rtl/>
        </w:rPr>
        <w:t>סעיף ד: שנים אומרים 'ראינו שנתגרשה', ושנים אומרים 'לא ראינו שנתגרשה'.</w:t>
      </w:r>
    </w:p>
    <w:p w14:paraId="3018C64E" w14:textId="00A10E14" w:rsidR="00C97BEF" w:rsidRDefault="00C97BEF" w:rsidP="00C97BEF">
      <w:pPr>
        <w:rPr>
          <w:rtl/>
        </w:rPr>
      </w:pPr>
      <w:r>
        <w:rPr>
          <w:rFonts w:cs="Arial"/>
          <w:b/>
          <w:bCs/>
          <w:rtl/>
        </w:rPr>
        <w:t xml:space="preserve">כתובות </w:t>
      </w:r>
      <w:r>
        <w:rPr>
          <w:rFonts w:cs="Arial"/>
          <w:b/>
          <w:bCs/>
          <w:sz w:val="16"/>
          <w:szCs w:val="16"/>
          <w:rtl/>
        </w:rPr>
        <w:t xml:space="preserve">(פ"ב) </w:t>
      </w:r>
      <w:r>
        <w:rPr>
          <w:rFonts w:cs="Arial"/>
          <w:b/>
          <w:bCs/>
          <w:rtl/>
        </w:rPr>
        <w:t>כב ע"ב:</w:t>
      </w:r>
      <w:r>
        <w:rPr>
          <w:rFonts w:cs="Arial"/>
          <w:rtl/>
        </w:rPr>
        <w:t xml:space="preserve"> תנו רבנן: שנים אומרים נתקדשה ושנים אומרים לא נתקדשה </w:t>
      </w:r>
      <w:r w:rsidR="00A82951">
        <w:rPr>
          <w:rFonts w:cs="Arial"/>
          <w:rtl/>
        </w:rPr>
        <w:t>-</w:t>
      </w:r>
      <w:r>
        <w:rPr>
          <w:rFonts w:cs="Arial"/>
          <w:rtl/>
        </w:rPr>
        <w:t xml:space="preserve"> הרי זו לא תנשא, ואם נשאת </w:t>
      </w:r>
      <w:r w:rsidR="00A82951">
        <w:rPr>
          <w:rFonts w:cs="Arial"/>
          <w:rtl/>
        </w:rPr>
        <w:t>-</w:t>
      </w:r>
      <w:r>
        <w:rPr>
          <w:rFonts w:cs="Arial"/>
          <w:rtl/>
        </w:rPr>
        <w:t xml:space="preserve"> לא תצא. שנים אומרים נתגרשה ושנים אומרים לא נתגרשה </w:t>
      </w:r>
      <w:r w:rsidR="00A82951">
        <w:rPr>
          <w:rFonts w:cs="Arial"/>
          <w:rtl/>
        </w:rPr>
        <w:t>-</w:t>
      </w:r>
      <w:r>
        <w:rPr>
          <w:rFonts w:cs="Arial"/>
          <w:rtl/>
        </w:rPr>
        <w:t xml:space="preserve"> הרי זו לא תנשא, ואם נשאת </w:t>
      </w:r>
      <w:r w:rsidR="00A82951">
        <w:rPr>
          <w:rFonts w:cs="Arial"/>
          <w:rtl/>
        </w:rPr>
        <w:t>-</w:t>
      </w:r>
      <w:r>
        <w:rPr>
          <w:rFonts w:cs="Arial"/>
          <w:rtl/>
        </w:rPr>
        <w:t xml:space="preserve"> תצא.</w:t>
      </w:r>
      <w:r>
        <w:rPr>
          <w:sz w:val="14"/>
          <w:szCs w:val="14"/>
          <w:rtl/>
        </w:rPr>
        <w:t xml:space="preserve"> (כג.)</w:t>
      </w:r>
      <w:r>
        <w:rPr>
          <w:rtl/>
        </w:rPr>
        <w:t xml:space="preserve"> </w:t>
      </w:r>
      <w:r>
        <w:rPr>
          <w:rFonts w:cs="Arial"/>
          <w:rtl/>
        </w:rPr>
        <w:t xml:space="preserve">מאי שנא רישא, ומאי שנא סיפא?... </w:t>
      </w:r>
      <w:r>
        <w:rPr>
          <w:rFonts w:cs="Arial"/>
          <w:u w:val="single"/>
          <w:rtl/>
        </w:rPr>
        <w:t>רב אשי אמר</w:t>
      </w:r>
      <w:r>
        <w:rPr>
          <w:rFonts w:cs="Arial"/>
          <w:rtl/>
        </w:rPr>
        <w:t xml:space="preserve">: לעולם תרי ותרי, ואיפוך, שנים אומרים ראינוה שנתקדשה ושנים אומרים לא ראינוה שנתקדשה </w:t>
      </w:r>
      <w:r w:rsidR="00A82951">
        <w:rPr>
          <w:rFonts w:cs="Arial"/>
          <w:rtl/>
        </w:rPr>
        <w:t>-</w:t>
      </w:r>
      <w:r>
        <w:rPr>
          <w:rFonts w:cs="Arial"/>
          <w:rtl/>
        </w:rPr>
        <w:t xml:space="preserve"> הרי זו לא תנשא, ואם נשאת </w:t>
      </w:r>
      <w:r w:rsidR="00A82951">
        <w:rPr>
          <w:rFonts w:cs="Arial"/>
          <w:rtl/>
        </w:rPr>
        <w:t>-</w:t>
      </w:r>
      <w:r>
        <w:rPr>
          <w:rFonts w:cs="Arial"/>
          <w:rtl/>
        </w:rPr>
        <w:t xml:space="preserve"> תצא. פשיטא, לא ראינוה אינה ראיה! לא צריכא דדיירי בחצר אחד, מהו דתימא, אם איתא דנתקדשה קלא אית לה למילתא, קא משמע לן, דעבדי אינשי דמקדשי בצנעא.</w:t>
      </w:r>
      <w:r>
        <w:rPr>
          <w:rtl/>
        </w:rPr>
        <w:t xml:space="preserve"> </w:t>
      </w:r>
      <w:r>
        <w:rPr>
          <w:rFonts w:cs="Arial"/>
          <w:rtl/>
        </w:rPr>
        <w:t xml:space="preserve">סיפא, שנים אומרים ראינוה שנתגרשה ושנים אומרים לא ראינוה שנתגרשה </w:t>
      </w:r>
      <w:r w:rsidR="00A82951">
        <w:rPr>
          <w:rFonts w:cs="Arial"/>
          <w:rtl/>
        </w:rPr>
        <w:t>-</w:t>
      </w:r>
      <w:r>
        <w:rPr>
          <w:rFonts w:cs="Arial"/>
          <w:rtl/>
        </w:rPr>
        <w:t xml:space="preserve"> הרי זו לא תנשא, ואם נשאת </w:t>
      </w:r>
      <w:r w:rsidR="00A82951">
        <w:rPr>
          <w:rFonts w:cs="Arial"/>
          <w:rtl/>
        </w:rPr>
        <w:t>-</w:t>
      </w:r>
      <w:r>
        <w:rPr>
          <w:rFonts w:cs="Arial"/>
          <w:rtl/>
        </w:rPr>
        <w:t xml:space="preserve"> לא תצא. מאי קמ"ל? אף על גב דדיירי בחצר אחד, היינו הך! מהו דתימא, גבי קדושין הוא דעבידי אינשי דמקדשי בצנעא, אבל גבי גירושין, אם איתא דאיגרשא קלא אית לה למילתא, קמ"ל, דעבידי אינשי דמקדשי ודמגרשי בצנעא</w:t>
      </w:r>
      <w:r>
        <w:rPr>
          <w:rtl/>
        </w:rPr>
        <w:t>.</w:t>
      </w:r>
    </w:p>
    <w:p w14:paraId="417C6BAA" w14:textId="77777777" w:rsidR="00C97BEF" w:rsidRDefault="00C97BEF" w:rsidP="00C97BEF">
      <w:pPr>
        <w:rPr>
          <w:u w:val="single"/>
          <w:rtl/>
        </w:rPr>
      </w:pPr>
      <w:r>
        <w:rPr>
          <w:u w:val="single"/>
          <w:rtl/>
        </w:rPr>
        <w:t>שנים אומרים 'ראינו שנתגרשה', ושנים אומרים 'לא ראינו שנתגרשה':</w:t>
      </w:r>
    </w:p>
    <w:p w14:paraId="5D3B1D9E" w14:textId="534B99BE"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שנים אומרים 'ראינו שנתגרשה', ושנים אומרים 'לא ראינו שנתגרשה', אפילו אם הב' שאומרים לא ראינו דרין עמה בחצר </w:t>
      </w:r>
      <w:r w:rsidR="00A82951">
        <w:rPr>
          <w:rFonts w:cs="Arial"/>
          <w:rtl/>
        </w:rPr>
        <w:t>-</w:t>
      </w:r>
      <w:r>
        <w:rPr>
          <w:rFonts w:cs="Arial"/>
          <w:rtl/>
        </w:rPr>
        <w:t xml:space="preserve"> הרי זו לא תינשא, ואם ניסת לא תצא והולד כשר, שאיפשר שגירשה בצינעא. </w:t>
      </w:r>
      <w:r>
        <w:rPr>
          <w:color w:val="E36C0A" w:themeColor="accent6" w:themeShade="BF"/>
          <w:rtl/>
        </w:rPr>
        <w:t>(וכ"פ בשו"ע)</w:t>
      </w:r>
    </w:p>
    <w:p w14:paraId="3FEC0D77" w14:textId="77777777" w:rsidR="00C97BEF" w:rsidRDefault="00C97BEF" w:rsidP="00C97BEF">
      <w:pPr>
        <w:ind w:left="360"/>
        <w:rPr>
          <w:u w:val="dotted"/>
        </w:rPr>
      </w:pPr>
      <w:r>
        <w:rPr>
          <w:u w:val="dotted"/>
          <w:rtl/>
        </w:rPr>
        <w:t>ומה הדין אם שתי כיתי העדים היו ביחד במעמד אחד בזמן ההוא:</w:t>
      </w:r>
    </w:p>
    <w:p w14:paraId="5DCD6A9E" w14:textId="2ED92CA8" w:rsidR="00C97BEF" w:rsidRDefault="00C97BEF" w:rsidP="006A458D">
      <w:pPr>
        <w:pStyle w:val="ab"/>
        <w:numPr>
          <w:ilvl w:val="0"/>
          <w:numId w:val="123"/>
        </w:numPr>
      </w:pPr>
      <w:r>
        <w:rPr>
          <w:rFonts w:cs="Arial"/>
          <w:rtl/>
        </w:rPr>
        <w:t xml:space="preserve">בהעי"ט </w:t>
      </w:r>
      <w:r>
        <w:rPr>
          <w:rFonts w:cs="Arial"/>
          <w:sz w:val="16"/>
          <w:szCs w:val="16"/>
          <w:rtl/>
        </w:rPr>
        <w:t>(אות ק קבלת עדות סא., כ"כ בשמו הגמ"ר [סנהדרין סי' תשכה])</w:t>
      </w:r>
      <w:r>
        <w:rPr>
          <w:rFonts w:cs="Arial"/>
          <w:rtl/>
        </w:rPr>
        <w:t xml:space="preserve"> ורשב"א </w:t>
      </w:r>
      <w:r>
        <w:rPr>
          <w:rFonts w:cs="Arial"/>
          <w:sz w:val="16"/>
          <w:szCs w:val="16"/>
          <w:rtl/>
        </w:rPr>
        <w:t>(בתשו', כ"כ בשמו רי"ו</w:t>
      </w:r>
      <w:r>
        <w:rPr>
          <w:rStyle w:val="a7"/>
          <w:rFonts w:cs="Arial"/>
          <w:sz w:val="16"/>
          <w:szCs w:val="16"/>
          <w:rtl/>
        </w:rPr>
        <w:footnoteReference w:id="2705"/>
      </w:r>
      <w:r>
        <w:rPr>
          <w:rFonts w:cs="Arial"/>
          <w:sz w:val="16"/>
          <w:szCs w:val="16"/>
          <w:rtl/>
        </w:rPr>
        <w:t xml:space="preserve"> [תא"ו נכ"ג ח"ג קצה.])</w:t>
      </w:r>
      <w:r w:rsidR="00A82951">
        <w:rPr>
          <w:rFonts w:cs="Arial"/>
          <w:rtl/>
        </w:rPr>
        <w:t>-</w:t>
      </w:r>
      <w:r>
        <w:rPr>
          <w:rFonts w:cs="Arial"/>
          <w:rtl/>
        </w:rPr>
        <w:t xml:space="preserve"> והיכא דאיכא סהדי ואמרו הוינן תמן ודייקינן במילתא שפיר ולא חזינן קדושין וגירושין</w:t>
      </w:r>
      <w:r w:rsidR="000C5CF3">
        <w:rPr>
          <w:rFonts w:cs="Arial" w:hint="cs"/>
          <w:rtl/>
        </w:rPr>
        <w:t xml:space="preserve"> -</w:t>
      </w:r>
      <w:r>
        <w:rPr>
          <w:rFonts w:cs="Arial"/>
          <w:rtl/>
        </w:rPr>
        <w:t xml:space="preserve"> צ"ע אי אמרינן כה"ג לא ראיתי אין ראיה </w:t>
      </w:r>
      <w:r>
        <w:rPr>
          <w:rFonts w:cs="Arial"/>
          <w:sz w:val="16"/>
          <w:szCs w:val="16"/>
          <w:rtl/>
        </w:rPr>
        <w:t>(עדיות פ"ב מ"ב)</w:t>
      </w:r>
      <w:r>
        <w:rPr>
          <w:rFonts w:cs="Arial"/>
          <w:rtl/>
        </w:rPr>
        <w:t xml:space="preserve">. ומסתברא דלא תנן </w:t>
      </w:r>
      <w:r w:rsidR="000C5CF3">
        <w:rPr>
          <w:rFonts w:cs="Arial" w:hint="cs"/>
          <w:rtl/>
        </w:rPr>
        <w:t>"</w:t>
      </w:r>
      <w:r>
        <w:rPr>
          <w:rFonts w:cs="Arial"/>
          <w:rtl/>
        </w:rPr>
        <w:t>לא ראינו אין ראיה</w:t>
      </w:r>
      <w:r w:rsidR="000C5CF3">
        <w:rPr>
          <w:rFonts w:cs="Arial" w:hint="cs"/>
          <w:rtl/>
        </w:rPr>
        <w:t>"</w:t>
      </w:r>
      <w:r>
        <w:rPr>
          <w:rFonts w:cs="Arial"/>
          <w:rtl/>
        </w:rPr>
        <w:t xml:space="preserve"> אלא היכא דאיכא למימר זה ראה וזה לא ראה, כגון דלא דיירי בחצר אחד</w:t>
      </w:r>
      <w:r w:rsidR="000C5CF3">
        <w:rPr>
          <w:rFonts w:cs="Arial" w:hint="cs"/>
          <w:rtl/>
        </w:rPr>
        <w:t>,</w:t>
      </w:r>
      <w:r>
        <w:rPr>
          <w:rFonts w:cs="Arial"/>
          <w:rtl/>
        </w:rPr>
        <w:t xml:space="preserve"> וכה"ג לאו הכחשה היא. אבל היכא דתרוייהו כהדדי נינהו</w:t>
      </w:r>
      <w:r>
        <w:rPr>
          <w:rStyle w:val="a7"/>
          <w:rFonts w:cs="Arial"/>
          <w:rtl/>
        </w:rPr>
        <w:footnoteReference w:id="2706"/>
      </w:r>
      <w:r>
        <w:rPr>
          <w:rFonts w:cs="Arial"/>
          <w:rtl/>
        </w:rPr>
        <w:t xml:space="preserve">, כי אמר האחד לא ראיתי, כאילו הוא אומר לחבירו לא ראית </w:t>
      </w:r>
      <w:r w:rsidR="00A82951">
        <w:rPr>
          <w:rFonts w:cs="Arial"/>
          <w:rtl/>
        </w:rPr>
        <w:t>-</w:t>
      </w:r>
      <w:r>
        <w:rPr>
          <w:rFonts w:cs="Arial"/>
          <w:rtl/>
        </w:rPr>
        <w:t xml:space="preserve"> והוה ליה הכחשה. והכי תנן </w:t>
      </w:r>
      <w:r>
        <w:rPr>
          <w:rFonts w:cs="Arial"/>
          <w:sz w:val="16"/>
          <w:szCs w:val="16"/>
          <w:rtl/>
        </w:rPr>
        <w:t>(פרק עגלה ערופה, סוטה מז:</w:t>
      </w:r>
      <w:r>
        <w:rPr>
          <w:rStyle w:val="a7"/>
          <w:rFonts w:cs="Arial"/>
          <w:sz w:val="16"/>
          <w:szCs w:val="16"/>
          <w:rtl/>
        </w:rPr>
        <w:footnoteReference w:id="2707"/>
      </w:r>
      <w:r>
        <w:rPr>
          <w:rFonts w:cs="Arial"/>
          <w:sz w:val="16"/>
          <w:szCs w:val="16"/>
          <w:rtl/>
        </w:rPr>
        <w:t>)</w:t>
      </w:r>
      <w:r>
        <w:rPr>
          <w:rFonts w:cs="Arial"/>
          <w:rtl/>
        </w:rPr>
        <w:t xml:space="preserve"> עד אחד אומר ראיתי ההורג ועד אחד אומר לא ראיתי</w:t>
      </w:r>
      <w:r>
        <w:rPr>
          <w:rStyle w:val="a7"/>
          <w:rFonts w:cs="Arial"/>
          <w:rtl/>
        </w:rPr>
        <w:footnoteReference w:id="2708"/>
      </w:r>
      <w:r>
        <w:rPr>
          <w:rFonts w:cs="Arial"/>
          <w:rtl/>
        </w:rPr>
        <w:t xml:space="preserve">, ותנן גבי עגלה ערופה דהוה ליה הכחשה. </w:t>
      </w:r>
      <w:r>
        <w:rPr>
          <w:color w:val="E36C0A" w:themeColor="accent6" w:themeShade="BF"/>
          <w:rtl/>
        </w:rPr>
        <w:t>(וכ"פ בשו"ע</w:t>
      </w:r>
      <w:r>
        <w:rPr>
          <w:color w:val="E36C0A" w:themeColor="accent6" w:themeShade="BF"/>
          <w:sz w:val="16"/>
          <w:szCs w:val="16"/>
          <w:rtl/>
        </w:rPr>
        <w:t xml:space="preserve"> </w:t>
      </w:r>
      <w:r>
        <w:rPr>
          <w:color w:val="000000" w:themeColor="text1"/>
          <w:sz w:val="16"/>
          <w:szCs w:val="16"/>
          <w:rtl/>
        </w:rPr>
        <w:t>[חו"מ סי' כט ס"ג]</w:t>
      </w:r>
      <w:r>
        <w:rPr>
          <w:color w:val="E36C0A" w:themeColor="accent6" w:themeShade="BF"/>
          <w:rtl/>
        </w:rPr>
        <w:t>)</w:t>
      </w:r>
      <w:r>
        <w:rPr>
          <w:color w:val="00B0F0"/>
          <w:rtl/>
        </w:rPr>
        <w:t xml:space="preserve"> (וכ"כ הרמ"א)</w:t>
      </w:r>
    </w:p>
    <w:p w14:paraId="2C8007D1"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6B89D4A" w14:textId="77777777" w:rsidR="00C97BEF" w:rsidRDefault="00C97BEF" w:rsidP="00C97BEF">
      <w:pPr>
        <w:rPr>
          <w:rtl/>
        </w:rPr>
      </w:pPr>
      <w:r>
        <w:rPr>
          <w:rFonts w:cs="Arial"/>
          <w:rtl/>
        </w:rPr>
        <w:t xml:space="preserve">אמרו שנים ראינוה שנתגרשה, ושנים אומרים לא ראינוה, אפילו אם היו כלם שרוים בחצר אחת, הרי זו לא תנשא, ואם נשאת, לא תצא, והולד כשר, שבני אדם עשוים לגרש בצינעא. </w:t>
      </w:r>
      <w:r>
        <w:rPr>
          <w:rFonts w:cs="Arial"/>
          <w:sz w:val="18"/>
          <w:szCs w:val="18"/>
          <w:rtl/>
        </w:rPr>
        <w:t>הגה: וי"א דאם אמרו שהיו כולם במעמד א', ושנים אומרים לא ראינו, הוי הכחשה, דכולי האי לא עבדי בצינעא (רי"ו בשם רשב"א).</w:t>
      </w:r>
      <w:r>
        <w:rPr>
          <w:rFonts w:cs="Arial"/>
          <w:rtl/>
        </w:rPr>
        <w:t xml:space="preserve"> </w:t>
      </w:r>
    </w:p>
    <w:p w14:paraId="3376FAD9" w14:textId="77777777" w:rsidR="00C97BEF" w:rsidRDefault="00C97BEF" w:rsidP="00C97BEF">
      <w:pPr>
        <w:rPr>
          <w:rtl/>
        </w:rPr>
      </w:pPr>
    </w:p>
    <w:p w14:paraId="76821DF0" w14:textId="77777777" w:rsidR="00C97BEF" w:rsidRDefault="00C97BEF" w:rsidP="00C97BEF">
      <w:pPr>
        <w:pStyle w:val="2"/>
        <w:rPr>
          <w:rtl/>
        </w:rPr>
      </w:pPr>
      <w:r>
        <w:rPr>
          <w:rtl/>
        </w:rPr>
        <w:lastRenderedPageBreak/>
        <w:t>סעיף ה: אחד אומר 'נתגרשה', ואחד אומר 'לא נתגרשה'.</w:t>
      </w:r>
    </w:p>
    <w:p w14:paraId="78C3687C" w14:textId="3E3186C5" w:rsidR="00C97BEF" w:rsidRDefault="00C97BEF" w:rsidP="00C97BEF">
      <w:pPr>
        <w:rPr>
          <w:rtl/>
        </w:rPr>
      </w:pPr>
      <w:r>
        <w:rPr>
          <w:rFonts w:cs="Arial"/>
          <w:b/>
          <w:bCs/>
          <w:rtl/>
        </w:rPr>
        <w:t xml:space="preserve">כתובות </w:t>
      </w:r>
      <w:r>
        <w:rPr>
          <w:rFonts w:cs="Arial"/>
          <w:b/>
          <w:bCs/>
          <w:sz w:val="16"/>
          <w:szCs w:val="16"/>
          <w:rtl/>
        </w:rPr>
        <w:t xml:space="preserve">(פ"ב) </w:t>
      </w:r>
      <w:r>
        <w:rPr>
          <w:rFonts w:cs="Arial"/>
          <w:b/>
          <w:bCs/>
          <w:rtl/>
        </w:rPr>
        <w:t>כב ע"ב:</w:t>
      </w:r>
      <w:r>
        <w:rPr>
          <w:rFonts w:cs="Arial"/>
          <w:rtl/>
        </w:rPr>
        <w:t xml:space="preserve"> </w:t>
      </w:r>
      <w:bookmarkStart w:id="35" w:name="_Hlk138872332"/>
      <w:r>
        <w:rPr>
          <w:rFonts w:cs="Arial"/>
          <w:rtl/>
        </w:rPr>
        <w:t xml:space="preserve">תנו רבנן: שנים אומרים נתקדשה ושנים אומרים לא נתקדשה </w:t>
      </w:r>
      <w:r w:rsidR="00A82951">
        <w:rPr>
          <w:rFonts w:cs="Arial"/>
          <w:rtl/>
        </w:rPr>
        <w:t>-</w:t>
      </w:r>
      <w:r>
        <w:rPr>
          <w:rFonts w:cs="Arial"/>
          <w:rtl/>
        </w:rPr>
        <w:t xml:space="preserve"> הרי זו לא תנשא, ואם נשאת </w:t>
      </w:r>
      <w:r w:rsidR="00A82951">
        <w:rPr>
          <w:rFonts w:cs="Arial"/>
          <w:rtl/>
        </w:rPr>
        <w:t>-</w:t>
      </w:r>
      <w:r>
        <w:rPr>
          <w:rFonts w:cs="Arial"/>
          <w:rtl/>
        </w:rPr>
        <w:t xml:space="preserve"> לא תצא. שנים אומרים נתגרשה ושנים אומרים לא נתגרשה </w:t>
      </w:r>
      <w:r w:rsidR="00A82951">
        <w:rPr>
          <w:rFonts w:cs="Arial"/>
          <w:rtl/>
        </w:rPr>
        <w:t>-</w:t>
      </w:r>
      <w:r>
        <w:rPr>
          <w:rFonts w:cs="Arial"/>
          <w:rtl/>
        </w:rPr>
        <w:t xml:space="preserve"> הרי זו לא תנשא, ואם נשאת </w:t>
      </w:r>
      <w:r w:rsidR="00A82951">
        <w:rPr>
          <w:rFonts w:cs="Arial"/>
          <w:rtl/>
        </w:rPr>
        <w:t>-</w:t>
      </w:r>
      <w:r>
        <w:rPr>
          <w:rFonts w:cs="Arial"/>
          <w:rtl/>
        </w:rPr>
        <w:t xml:space="preserve"> תצא.</w:t>
      </w:r>
      <w:r>
        <w:rPr>
          <w:sz w:val="14"/>
          <w:szCs w:val="14"/>
          <w:rtl/>
        </w:rPr>
        <w:t xml:space="preserve"> (כג.)</w:t>
      </w:r>
      <w:r>
        <w:rPr>
          <w:rtl/>
        </w:rPr>
        <w:t xml:space="preserve"> </w:t>
      </w:r>
      <w:r>
        <w:rPr>
          <w:rFonts w:cs="Arial"/>
          <w:rtl/>
        </w:rPr>
        <w:t>מאי שנא רישא, ומאי שנא סיפא?</w:t>
      </w:r>
      <w:r>
        <w:rPr>
          <w:rtl/>
        </w:rPr>
        <w:t xml:space="preserve"> </w:t>
      </w:r>
      <w:r>
        <w:rPr>
          <w:rFonts w:cs="Arial"/>
          <w:u w:val="single"/>
          <w:rtl/>
        </w:rPr>
        <w:t>אמר אביי</w:t>
      </w:r>
      <w:r>
        <w:rPr>
          <w:rFonts w:cs="Arial"/>
          <w:rtl/>
        </w:rPr>
        <w:t xml:space="preserve">: תרגמה </w:t>
      </w:r>
      <w:r w:rsidR="00A82951">
        <w:rPr>
          <w:rFonts w:cs="Arial"/>
          <w:rtl/>
        </w:rPr>
        <w:t>-</w:t>
      </w:r>
      <w:r>
        <w:rPr>
          <w:rFonts w:cs="Arial"/>
          <w:rtl/>
        </w:rPr>
        <w:t xml:space="preserve"> בעד אחד, עד אחד אומר נתקדשה ועד אחד אומר לא נתקדשה </w:t>
      </w:r>
      <w:r w:rsidR="00A82951">
        <w:rPr>
          <w:rFonts w:cs="Arial"/>
          <w:rtl/>
        </w:rPr>
        <w:t>-</w:t>
      </w:r>
      <w:r>
        <w:rPr>
          <w:rFonts w:cs="Arial"/>
          <w:rtl/>
        </w:rPr>
        <w:t xml:space="preserve"> תרוייהו בפנויה קמסהדי, והאי דקאמר נתקדשה הוה ליה חד, ואין דבריו של אחד במקום שנים; סיפא, עד אחד אומר נתגרשה ועד אחד אומר לא נתגרשה </w:t>
      </w:r>
      <w:r w:rsidR="00A82951">
        <w:rPr>
          <w:rFonts w:cs="Arial"/>
          <w:rtl/>
        </w:rPr>
        <w:t>-</w:t>
      </w:r>
      <w:r>
        <w:rPr>
          <w:rFonts w:cs="Arial"/>
          <w:rtl/>
        </w:rPr>
        <w:t xml:space="preserve"> תרוייהו באשת איש קמסהדי, והאי דקאמר נתגרשה הוה ליה חד, ואין דבריו של אחד במקום שנים</w:t>
      </w:r>
      <w:r>
        <w:rPr>
          <w:rtl/>
        </w:rPr>
        <w:t xml:space="preserve">. </w:t>
      </w:r>
      <w:r>
        <w:rPr>
          <w:sz w:val="16"/>
          <w:szCs w:val="16"/>
          <w:rtl/>
        </w:rPr>
        <w:t>(</w:t>
      </w:r>
      <w:r>
        <w:rPr>
          <w:rFonts w:cs="Arial"/>
          <w:sz w:val="16"/>
          <w:szCs w:val="16"/>
          <w:rtl/>
        </w:rPr>
        <w:t xml:space="preserve">ומדאמר אביי 'תרווייהו באשת איש קא מסהדי' משמע דלא ידעי שהיא אשת איש אלא על פיהם, ואפילו הכי אם נישאת תצא. וכתבו התוספות 'תרווייהו בפנויה קא מסהדי' </w:t>
      </w:r>
      <w:r w:rsidR="00A82951">
        <w:rPr>
          <w:rFonts w:cs="Arial"/>
          <w:sz w:val="16"/>
          <w:szCs w:val="16"/>
          <w:rtl/>
        </w:rPr>
        <w:t>-</w:t>
      </w:r>
      <w:r>
        <w:rPr>
          <w:rFonts w:cs="Arial"/>
          <w:sz w:val="16"/>
          <w:szCs w:val="16"/>
          <w:rtl/>
        </w:rPr>
        <w:t xml:space="preserve"> לא הוה צריך להא דאפילו ליכא אלא ההוא דאמר נתקדשה לא תצא, דאין דבר שבערוה פחות משנים (גיטין ב:), אבל תימה אמאי לא תנשא לכתחלה, דהוה לן לאוקומה אחזקתה. וי"ל כגון שאנו יודעין שזרק לה קידושין, ומספקא לן אי קרוב לו אי קרוב לה, והני תרי סהדי חד אמר קרוב לו וחד אמר קרוב לה, דכיון דודאי זרק לה הקידושין לית לן למימר אוקמה אחזקתה להתירה לכתחלה. ולמד משם רבינו דסיפא דקתני שנים אומרים נתגרשה וכו' היינו שהם מעידים שזרק לה גיטה, אלא שזה אומר קרוב לו וזה אומר קרוב לה, ומשום הכי תצא דתרווייהו באשת איש קא מסהדי. אבל אם אחד מהם אומר לא נתגרשה כלל </w:t>
      </w:r>
      <w:r w:rsidR="00A82951">
        <w:rPr>
          <w:rFonts w:cs="Arial"/>
          <w:sz w:val="16"/>
          <w:szCs w:val="16"/>
          <w:rtl/>
        </w:rPr>
        <w:t>-</w:t>
      </w:r>
      <w:r>
        <w:rPr>
          <w:rFonts w:cs="Arial"/>
          <w:sz w:val="16"/>
          <w:szCs w:val="16"/>
          <w:rtl/>
        </w:rPr>
        <w:t xml:space="preserve"> תנשא לכתחלה, דמוקמינן לה אחזקתה. [בדק הבית] וכיוצא בזה כתב הרמב"ם בפרק שנים עשר מהלכות גירושין (ה"ט) [עד כאן]. והיכא שהיא מוחזקת לנו באשת איש </w:t>
      </w:r>
      <w:r w:rsidR="00A82951">
        <w:rPr>
          <w:rFonts w:cs="Arial"/>
          <w:sz w:val="16"/>
          <w:szCs w:val="16"/>
          <w:rtl/>
        </w:rPr>
        <w:t>-</w:t>
      </w:r>
      <w:r>
        <w:rPr>
          <w:rFonts w:cs="Arial"/>
          <w:sz w:val="16"/>
          <w:szCs w:val="16"/>
          <w:rtl/>
        </w:rPr>
        <w:t xml:space="preserve"> פשיטא דבכל גוונא תצא, דהא איכא כמה סהדי דמסהדי שהיא אשת איש ואין דבריו של אחד במקומם, ב"י)</w:t>
      </w:r>
      <w:bookmarkEnd w:id="35"/>
    </w:p>
    <w:p w14:paraId="7B8C5740" w14:textId="77777777" w:rsidR="00C97BEF" w:rsidRDefault="00C97BEF" w:rsidP="00C97BEF">
      <w:pPr>
        <w:rPr>
          <w:u w:val="single"/>
          <w:rtl/>
        </w:rPr>
      </w:pPr>
      <w:r>
        <w:rPr>
          <w:u w:val="single"/>
          <w:rtl/>
        </w:rPr>
        <w:t>אחד אומר 'נתגרשה', ואחד אומר 'לא נתגרשה':</w:t>
      </w:r>
    </w:p>
    <w:p w14:paraId="51FC3C58" w14:textId="34FA6608"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אחד אומר נתגרשה, ואחד אומר לא נתגרשה </w:t>
      </w:r>
      <w:r w:rsidR="00A82951">
        <w:rPr>
          <w:rFonts w:cs="Arial"/>
          <w:rtl/>
        </w:rPr>
        <w:t>-</w:t>
      </w:r>
      <w:r>
        <w:rPr>
          <w:rFonts w:cs="Arial"/>
          <w:rtl/>
        </w:rPr>
        <w:t xml:space="preserve"> לא תינשא. ואם נישאת, אם היתה בחזקת אשת איש </w:t>
      </w:r>
      <w:r w:rsidR="00A82951">
        <w:rPr>
          <w:rFonts w:cs="Arial"/>
          <w:rtl/>
        </w:rPr>
        <w:t>-</w:t>
      </w:r>
      <w:r>
        <w:rPr>
          <w:rFonts w:cs="Arial"/>
          <w:rtl/>
        </w:rPr>
        <w:t xml:space="preserve"> תצא בכל ענין. ואם לא היתה בחזקת אשת איש אלא על פיהם, אם יש הכחשה בעדותן, כגון שאחד אומר נתגרשה ואחד אומר מעולם לא היו בה ספק גירושין </w:t>
      </w:r>
      <w:r w:rsidR="00A82951">
        <w:rPr>
          <w:rFonts w:cs="Arial"/>
          <w:rtl/>
        </w:rPr>
        <w:t>-</w:t>
      </w:r>
      <w:r>
        <w:rPr>
          <w:rFonts w:cs="Arial"/>
          <w:rtl/>
        </w:rPr>
        <w:t xml:space="preserve"> תינשא לכתחילה. ואם אין הכחשה בעדותן, כגון שזרק לה גט, אחד אומר קרוב לו ואחד אומר קרוב לה, אם נישאת </w:t>
      </w:r>
      <w:r w:rsidR="00A82951">
        <w:rPr>
          <w:rFonts w:cs="Arial"/>
          <w:rtl/>
        </w:rPr>
        <w:t>-</w:t>
      </w:r>
      <w:r>
        <w:rPr>
          <w:rFonts w:cs="Arial"/>
          <w:rtl/>
        </w:rPr>
        <w:t xml:space="preserve"> תצא. </w:t>
      </w:r>
      <w:r>
        <w:rPr>
          <w:color w:val="E36C0A" w:themeColor="accent6" w:themeShade="BF"/>
          <w:rtl/>
        </w:rPr>
        <w:t>(וכ"פ בשו"ע)</w:t>
      </w:r>
    </w:p>
    <w:p w14:paraId="54A3CCD1" w14:textId="147B287E" w:rsidR="00C97BEF" w:rsidRDefault="00C97BEF" w:rsidP="006A458D">
      <w:pPr>
        <w:pStyle w:val="ab"/>
        <w:numPr>
          <w:ilvl w:val="0"/>
          <w:numId w:val="123"/>
        </w:numPr>
      </w:pPr>
      <w:r>
        <w:rPr>
          <w:rFonts w:cs="Arial"/>
          <w:rtl/>
        </w:rPr>
        <w:t xml:space="preserve">רמב"ם </w:t>
      </w:r>
      <w:r>
        <w:rPr>
          <w:rFonts w:cs="Arial"/>
          <w:sz w:val="16"/>
          <w:szCs w:val="16"/>
          <w:rtl/>
        </w:rPr>
        <w:t>(פי"ב ה"ט)</w:t>
      </w:r>
      <w:r w:rsidR="00A82951">
        <w:rPr>
          <w:rFonts w:cs="Arial"/>
          <w:rtl/>
        </w:rPr>
        <w:t>-</w:t>
      </w:r>
      <w:r>
        <w:rPr>
          <w:rFonts w:cs="Arial"/>
          <w:rtl/>
        </w:rPr>
        <w:t xml:space="preserve"> האשה שלא הוחזקה אשת איש, ובא עד אחד ואמר אשת איש היתה ונתגרשה, ובא עד אחד ואמר לא נתגרשה, הרי שניהן מעידין שהיא אשת איש ואחד מעיד שהיא גרושה, ואין דבריו של אחד מועיל במקום שנים, ולפיכך לא תנשא ואם נשאת תצא.</w:t>
      </w:r>
    </w:p>
    <w:p w14:paraId="2AF54764"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1EC09C86" w14:textId="77777777" w:rsidR="00C97BEF" w:rsidRDefault="00C97BEF" w:rsidP="00C97BEF">
      <w:pPr>
        <w:rPr>
          <w:rtl/>
        </w:rPr>
      </w:pPr>
      <w:r>
        <w:rPr>
          <w:rFonts w:cs="Arial"/>
          <w:rtl/>
        </w:rPr>
        <w:t xml:space="preserve">אחד אומר נתגרשה, ואחד אומר לא נתגרשה, לא תנשא. ואם נשאת, אם היתה בחזקת אשת איש, תצא בכל ענין. ואם לא היתה בחזקת אשת איש, אלא על פיהם, אם יש הכחשה בעדותן, כגון שאחד אומר נתגרשה, ואחד אומר מעולם לא היו בה ספק גירושין, תנשא לכתחלה. ואם שניהם מעידים שהיא אשת איש, אלא שזרק לה גט, אחד אומר: קרוב לו. ואחד אומר: קרוב לה, אפילו אם נשאת, תצא. </w:t>
      </w:r>
    </w:p>
    <w:p w14:paraId="5E41884F" w14:textId="77777777" w:rsidR="00C97BEF" w:rsidRDefault="00C97BEF" w:rsidP="00C97BEF">
      <w:pPr>
        <w:rPr>
          <w:rtl/>
        </w:rPr>
      </w:pPr>
    </w:p>
    <w:p w14:paraId="1317316B" w14:textId="77777777" w:rsidR="00C97BEF" w:rsidRDefault="00C97BEF" w:rsidP="00C97BEF">
      <w:pPr>
        <w:pStyle w:val="2"/>
        <w:rPr>
          <w:rtl/>
        </w:rPr>
      </w:pPr>
      <w:r>
        <w:rPr>
          <w:rtl/>
        </w:rPr>
        <w:t>סעיף ו: האומרת 'אשת איש הייתי ועכשיו גרושה אני'.</w:t>
      </w:r>
    </w:p>
    <w:p w14:paraId="7BCF8CDD" w14:textId="061EA31D" w:rsidR="00C97BEF" w:rsidRDefault="00C97BEF" w:rsidP="00C97BEF">
      <w:pPr>
        <w:rPr>
          <w:rFonts w:cs="Arial"/>
          <w:rtl/>
        </w:rPr>
      </w:pPr>
      <w:bookmarkStart w:id="36" w:name="_Hlk138872787"/>
      <w:r>
        <w:rPr>
          <w:rFonts w:cs="Arial"/>
          <w:b/>
          <w:bCs/>
          <w:rtl/>
        </w:rPr>
        <w:t xml:space="preserve">כתובות </w:t>
      </w:r>
      <w:r>
        <w:rPr>
          <w:rFonts w:cs="Arial"/>
          <w:b/>
          <w:bCs/>
          <w:sz w:val="16"/>
          <w:szCs w:val="16"/>
          <w:rtl/>
        </w:rPr>
        <w:t xml:space="preserve">(פ"ב) </w:t>
      </w:r>
      <w:r>
        <w:rPr>
          <w:rFonts w:cs="Arial"/>
          <w:b/>
          <w:bCs/>
          <w:rtl/>
        </w:rPr>
        <w:t>כב ע"א:</w:t>
      </w:r>
      <w:r>
        <w:rPr>
          <w:rFonts w:cs="Arial"/>
          <w:rtl/>
        </w:rPr>
        <w:t xml:space="preserve"> </w:t>
      </w:r>
      <w:r>
        <w:rPr>
          <w:rFonts w:cs="Arial"/>
          <w:u w:val="double"/>
          <w:rtl/>
        </w:rPr>
        <w:t>מתני'</w:t>
      </w:r>
      <w:r>
        <w:rPr>
          <w:rFonts w:cs="Arial"/>
          <w:rtl/>
        </w:rPr>
        <w:t xml:space="preserve">: האשה שאמרה אשת איש הייתי וגרושה אני </w:t>
      </w:r>
      <w:r w:rsidR="00A82951">
        <w:rPr>
          <w:rFonts w:cs="Arial"/>
          <w:rtl/>
        </w:rPr>
        <w:t>-</w:t>
      </w:r>
      <w:r>
        <w:rPr>
          <w:rFonts w:cs="Arial"/>
          <w:rtl/>
        </w:rPr>
        <w:t xml:space="preserve"> נאמנת, שהפה שאסר הוא הפה שהתיר; ואם יש עדים שהיתה אשת איש, והיא אומרת גרושה אני </w:t>
      </w:r>
      <w:r w:rsidR="00A82951">
        <w:rPr>
          <w:rFonts w:cs="Arial"/>
          <w:rtl/>
        </w:rPr>
        <w:t>-</w:t>
      </w:r>
      <w:r>
        <w:rPr>
          <w:rFonts w:cs="Arial"/>
          <w:rtl/>
        </w:rPr>
        <w:t xml:space="preserve"> אינה נאמנת. אמרה נשביתי וטהורה אני </w:t>
      </w:r>
      <w:r w:rsidR="00A82951">
        <w:rPr>
          <w:rFonts w:cs="Arial"/>
          <w:rtl/>
        </w:rPr>
        <w:t>-</w:t>
      </w:r>
      <w:r>
        <w:rPr>
          <w:rFonts w:cs="Arial"/>
          <w:rtl/>
        </w:rPr>
        <w:t xml:space="preserve"> נאמנת, שהפה שאסר הוא הפה שהתיר; ואם יש עדים שנשבית, והיא אומרת טהורה אני </w:t>
      </w:r>
      <w:r w:rsidR="00A82951">
        <w:rPr>
          <w:rFonts w:cs="Arial"/>
          <w:rtl/>
        </w:rPr>
        <w:t>-</w:t>
      </w:r>
      <w:r>
        <w:rPr>
          <w:rFonts w:cs="Arial"/>
          <w:rtl/>
        </w:rPr>
        <w:t xml:space="preserve"> אינה נאמנת. ואם משנשאת באו עדים </w:t>
      </w:r>
      <w:r w:rsidR="00A82951">
        <w:rPr>
          <w:rFonts w:cs="Arial"/>
          <w:rtl/>
        </w:rPr>
        <w:t>-</w:t>
      </w:r>
      <w:r>
        <w:rPr>
          <w:rFonts w:cs="Arial"/>
          <w:rtl/>
        </w:rPr>
        <w:t xml:space="preserve"> הרי זו לא תצא. </w:t>
      </w:r>
      <w:r>
        <w:rPr>
          <w:rFonts w:cs="Arial"/>
          <w:sz w:val="16"/>
          <w:szCs w:val="16"/>
          <w:rtl/>
        </w:rPr>
        <w:t>(ועיין שם במרדכי (סי' קמז), ב"י)</w:t>
      </w:r>
    </w:p>
    <w:p w14:paraId="645C06EC" w14:textId="77777777" w:rsidR="00C97BEF" w:rsidRDefault="00C97BEF" w:rsidP="00C97BEF">
      <w:pPr>
        <w:rPr>
          <w:u w:val="single"/>
          <w:rtl/>
        </w:rPr>
      </w:pPr>
      <w:r>
        <w:rPr>
          <w:u w:val="single"/>
          <w:rtl/>
        </w:rPr>
        <w:t>האומרת 'אשת איש הייתי ועכשיו גרושה אני':</w:t>
      </w:r>
    </w:p>
    <w:p w14:paraId="398289B1" w14:textId="7CE66000" w:rsidR="00C97BEF" w:rsidRDefault="00C97BEF" w:rsidP="006A458D">
      <w:pPr>
        <w:pStyle w:val="ab"/>
        <w:numPr>
          <w:ilvl w:val="0"/>
          <w:numId w:val="123"/>
        </w:numPr>
        <w:rPr>
          <w:rtl/>
        </w:rPr>
      </w:pPr>
      <w:r>
        <w:rPr>
          <w:rFonts w:cs="Arial"/>
          <w:rtl/>
        </w:rPr>
        <w:t xml:space="preserve">רמב"ם </w:t>
      </w:r>
      <w:r>
        <w:rPr>
          <w:rFonts w:cs="Arial"/>
          <w:sz w:val="16"/>
          <w:szCs w:val="16"/>
          <w:rtl/>
        </w:rPr>
        <w:t>(פי"ב ה"א)</w:t>
      </w:r>
      <w:r>
        <w:rPr>
          <w:rFonts w:cs="Arial"/>
          <w:rtl/>
        </w:rPr>
        <w:t xml:space="preserve"> וטור</w:t>
      </w:r>
      <w:r w:rsidR="00A82951">
        <w:rPr>
          <w:rFonts w:cs="Arial"/>
          <w:rtl/>
        </w:rPr>
        <w:t>-</w:t>
      </w:r>
      <w:r>
        <w:rPr>
          <w:rFonts w:cs="Arial"/>
          <w:rtl/>
        </w:rPr>
        <w:t xml:space="preserve"> לא היתה בחזקת אשת איש, ובאה לפנינו ואומרת 'אשת איש הייתי וגרושה אני' </w:t>
      </w:r>
      <w:r w:rsidR="00A82951">
        <w:rPr>
          <w:rFonts w:cs="Arial"/>
          <w:rtl/>
        </w:rPr>
        <w:t>-</w:t>
      </w:r>
      <w:r>
        <w:rPr>
          <w:rFonts w:cs="Arial"/>
          <w:rtl/>
        </w:rPr>
        <w:t xml:space="preserve"> נאמנת</w:t>
      </w:r>
      <w:r>
        <w:rPr>
          <w:rFonts w:cs="Arial"/>
          <w:sz w:val="16"/>
          <w:szCs w:val="16"/>
          <w:rtl/>
        </w:rPr>
        <w:t xml:space="preserve"> (ל' הטור)</w:t>
      </w:r>
      <w:r>
        <w:rPr>
          <w:rFonts w:cs="Arial"/>
          <w:rtl/>
        </w:rPr>
        <w:t xml:space="preserve">. </w:t>
      </w:r>
      <w:r>
        <w:rPr>
          <w:color w:val="E36C0A" w:themeColor="accent6" w:themeShade="BF"/>
          <w:rtl/>
        </w:rPr>
        <w:t>(וכ"פ בשו"ע)</w:t>
      </w:r>
    </w:p>
    <w:p w14:paraId="5FE90BBD" w14:textId="77777777" w:rsidR="00C97BEF" w:rsidRDefault="00C97BEF" w:rsidP="00C97BEF">
      <w:pPr>
        <w:ind w:left="360"/>
        <w:rPr>
          <w:u w:val="dotted"/>
        </w:rPr>
      </w:pPr>
      <w:r>
        <w:rPr>
          <w:u w:val="dotted"/>
          <w:rtl/>
        </w:rPr>
        <w:t>האם צריכה לומר 'גרושה אני' תוך כדי דיבור, או שנאמנת גם אם תאמר כן אח"כ:</w:t>
      </w:r>
    </w:p>
    <w:p w14:paraId="0A743398" w14:textId="135E6C6F" w:rsidR="00C97BEF" w:rsidRDefault="00C97BEF" w:rsidP="006A458D">
      <w:pPr>
        <w:pStyle w:val="ab"/>
        <w:numPr>
          <w:ilvl w:val="0"/>
          <w:numId w:val="123"/>
        </w:numPr>
      </w:pPr>
      <w:r>
        <w:rPr>
          <w:rFonts w:cs="Arial"/>
          <w:rtl/>
        </w:rPr>
        <w:t xml:space="preserve">הר"ר יונה </w:t>
      </w:r>
      <w:r>
        <w:rPr>
          <w:rFonts w:cs="Arial"/>
          <w:sz w:val="16"/>
          <w:szCs w:val="16"/>
          <w:rtl/>
        </w:rPr>
        <w:t>(שיטה מקובצת שם ד"ה מתני', כ"כ הטור בשמו)</w:t>
      </w:r>
      <w:r w:rsidR="00A82951">
        <w:rPr>
          <w:rFonts w:cs="Arial"/>
          <w:rtl/>
        </w:rPr>
        <w:t>-</w:t>
      </w:r>
      <w:r>
        <w:rPr>
          <w:rFonts w:cs="Arial"/>
          <w:rtl/>
        </w:rPr>
        <w:t xml:space="preserve"> דוקא בתוך כדי דיבור</w:t>
      </w:r>
      <w:r>
        <w:rPr>
          <w:rStyle w:val="a7"/>
          <w:rFonts w:cs="Arial"/>
          <w:rtl/>
        </w:rPr>
        <w:footnoteReference w:id="2709"/>
      </w:r>
      <w:r>
        <w:rPr>
          <w:rFonts w:cs="Arial"/>
          <w:rtl/>
        </w:rPr>
        <w:t xml:space="preserve">, אבל לאחר כדי דיבור לא מהימנא אא"כ נותנת אמתלא לדבריה. </w:t>
      </w:r>
    </w:p>
    <w:p w14:paraId="26EC1135" w14:textId="4CB80982" w:rsidR="00C97BEF" w:rsidRDefault="00C97BEF" w:rsidP="006A458D">
      <w:pPr>
        <w:pStyle w:val="ab"/>
        <w:numPr>
          <w:ilvl w:val="0"/>
          <w:numId w:val="123"/>
        </w:numPr>
      </w:pPr>
      <w:r>
        <w:rPr>
          <w:rFonts w:cs="Arial"/>
          <w:rtl/>
        </w:rPr>
        <w:t>רמ"ה</w:t>
      </w:r>
      <w:r>
        <w:rPr>
          <w:rFonts w:cs="Arial"/>
          <w:sz w:val="16"/>
          <w:szCs w:val="16"/>
          <w:rtl/>
        </w:rPr>
        <w:t xml:space="preserve"> (כ"כ הטור בשמו)</w:t>
      </w:r>
      <w:r>
        <w:rPr>
          <w:rStyle w:val="a7"/>
          <w:rFonts w:cs="Arial"/>
          <w:rtl/>
        </w:rPr>
        <w:footnoteReference w:id="2710"/>
      </w:r>
      <w:r w:rsidR="00A82951">
        <w:rPr>
          <w:rFonts w:cs="Arial"/>
          <w:rtl/>
        </w:rPr>
        <w:t>-</w:t>
      </w:r>
      <w:r>
        <w:rPr>
          <w:rFonts w:cs="Arial"/>
          <w:rtl/>
        </w:rPr>
        <w:t xml:space="preserve"> א"צ תוך כדי דיבור ומ"מ צריך שתאמר כן קודם שיסתלקו מאותו ענין כל זמן שתעסוק בו בתוך כדי דיבור של דיבור אחרון. </w:t>
      </w:r>
    </w:p>
    <w:p w14:paraId="495CE091" w14:textId="4584F007" w:rsidR="00C97BEF" w:rsidRDefault="00C97BEF" w:rsidP="006A458D">
      <w:pPr>
        <w:pStyle w:val="ab"/>
        <w:numPr>
          <w:ilvl w:val="0"/>
          <w:numId w:val="123"/>
        </w:numPr>
      </w:pPr>
      <w:r>
        <w:rPr>
          <w:rFonts w:cs="Arial"/>
          <w:rtl/>
        </w:rPr>
        <w:lastRenderedPageBreak/>
        <w:t xml:space="preserve">ה"ר יחיאל </w:t>
      </w:r>
      <w:r>
        <w:rPr>
          <w:rFonts w:cs="Arial"/>
          <w:sz w:val="16"/>
          <w:szCs w:val="16"/>
          <w:rtl/>
        </w:rPr>
        <w:t>(כ"כ בשמו הה"מ [שם])</w:t>
      </w:r>
      <w:r>
        <w:rPr>
          <w:rFonts w:cs="Arial"/>
          <w:rtl/>
        </w:rPr>
        <w:t xml:space="preserve"> הה"מ</w:t>
      </w:r>
      <w:r>
        <w:rPr>
          <w:rStyle w:val="a7"/>
          <w:rFonts w:cs="Arial"/>
          <w:rtl/>
        </w:rPr>
        <w:footnoteReference w:id="2711"/>
      </w:r>
      <w:r>
        <w:rPr>
          <w:rFonts w:cs="Arial"/>
          <w:sz w:val="16"/>
          <w:szCs w:val="16"/>
          <w:rtl/>
        </w:rPr>
        <w:t xml:space="preserve"> (פי"ב ה"א)</w:t>
      </w:r>
      <w:r>
        <w:rPr>
          <w:rFonts w:cs="Arial"/>
          <w:rtl/>
        </w:rPr>
        <w:t xml:space="preserve"> וטור</w:t>
      </w:r>
      <w:r w:rsidR="00A82951">
        <w:rPr>
          <w:rFonts w:cs="Arial"/>
          <w:rtl/>
        </w:rPr>
        <w:t>-</w:t>
      </w:r>
      <w:r>
        <w:rPr>
          <w:rFonts w:cs="Arial"/>
          <w:rtl/>
        </w:rPr>
        <w:t xml:space="preserve"> נראה לי</w:t>
      </w:r>
      <w:r>
        <w:rPr>
          <w:rStyle w:val="a7"/>
          <w:rFonts w:cs="Arial"/>
          <w:rtl/>
        </w:rPr>
        <w:footnoteReference w:id="2712"/>
      </w:r>
      <w:r>
        <w:rPr>
          <w:rFonts w:cs="Arial"/>
          <w:rtl/>
        </w:rPr>
        <w:t xml:space="preserve"> שאינה צריכה לא לזה ולא לזה כיון שאינה עוקרת דבריה הראשונים אלא מוספת עליה לומר נתגרשה, וכיון שלא ידענו שהיתה אשת איש אלא על פיה </w:t>
      </w:r>
      <w:r w:rsidR="00A82951">
        <w:rPr>
          <w:rFonts w:cs="Arial"/>
          <w:rtl/>
        </w:rPr>
        <w:t>-</w:t>
      </w:r>
      <w:r>
        <w:rPr>
          <w:rFonts w:cs="Arial"/>
          <w:rtl/>
        </w:rPr>
        <w:t xml:space="preserve"> נאמנת</w:t>
      </w:r>
      <w:r>
        <w:rPr>
          <w:rFonts w:cs="Arial"/>
          <w:sz w:val="16"/>
          <w:szCs w:val="16"/>
          <w:rtl/>
        </w:rPr>
        <w:t xml:space="preserve"> (ל' הטור)</w:t>
      </w:r>
      <w:r>
        <w:rPr>
          <w:rFonts w:cs="Arial"/>
          <w:rtl/>
        </w:rPr>
        <w:t xml:space="preserve">. </w:t>
      </w:r>
    </w:p>
    <w:bookmarkEnd w:id="36"/>
    <w:p w14:paraId="0B1FEB01"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2872E0C" w14:textId="77777777" w:rsidR="00C97BEF" w:rsidRDefault="00C97BEF" w:rsidP="00C97BEF">
      <w:pPr>
        <w:rPr>
          <w:rtl/>
        </w:rPr>
      </w:pPr>
      <w:r>
        <w:rPr>
          <w:rFonts w:cs="Arial"/>
          <w:rtl/>
        </w:rPr>
        <w:t>האשה שבאה ואמרה: אשת איש הייתי</w:t>
      </w:r>
      <w:r>
        <w:rPr>
          <w:rStyle w:val="a7"/>
          <w:rFonts w:cs="Arial"/>
          <w:rtl/>
        </w:rPr>
        <w:footnoteReference w:id="2713"/>
      </w:r>
      <w:r>
        <w:rPr>
          <w:rFonts w:cs="Arial"/>
          <w:rtl/>
        </w:rPr>
        <w:t xml:space="preserve"> וגרושה אני, נאמנת, שהפה שאסר הוא הפה שהתיר. ויש אומרים דוקא כשאומרת כך בתוך כדי דיבור, אלא אם כן נתנה אמתלא לדבריה. </w:t>
      </w:r>
    </w:p>
    <w:p w14:paraId="76FE7466" w14:textId="77777777" w:rsidR="00C97BEF" w:rsidRDefault="00C97BEF" w:rsidP="00C97BEF">
      <w:pPr>
        <w:rPr>
          <w:rFonts w:cs="Arial"/>
          <w:rtl/>
        </w:rPr>
      </w:pPr>
      <w:r>
        <w:rPr>
          <w:rFonts w:cs="Arial"/>
          <w:u w:val="single"/>
          <w:rtl/>
        </w:rPr>
        <w:t xml:space="preserve">האם בזמן הזה </w:t>
      </w:r>
      <w:r>
        <w:rPr>
          <w:rFonts w:cs="Arial"/>
          <w:sz w:val="16"/>
          <w:szCs w:val="16"/>
          <w:u w:val="single"/>
          <w:rtl/>
        </w:rPr>
        <w:t>(שבתולות הולכות ללא כיסוי ונשואות הולכות עם כיסוי)</w:t>
      </w:r>
      <w:r>
        <w:rPr>
          <w:rFonts w:cs="Arial"/>
          <w:u w:val="single"/>
          <w:rtl/>
        </w:rPr>
        <w:t xml:space="preserve"> נאמנת אשה לומר 'אשת איש הייתי וגרושה אני':</w:t>
      </w:r>
      <w:r>
        <w:rPr>
          <w:rFonts w:cs="Arial"/>
          <w:rtl/>
        </w:rPr>
        <w:t xml:space="preserve"> </w:t>
      </w:r>
    </w:p>
    <w:p w14:paraId="1AC4586E" w14:textId="1B8A8FDB" w:rsidR="00C97BEF" w:rsidRDefault="00C97BEF" w:rsidP="006A458D">
      <w:pPr>
        <w:pStyle w:val="ab"/>
        <w:numPr>
          <w:ilvl w:val="0"/>
          <w:numId w:val="125"/>
        </w:numPr>
        <w:rPr>
          <w:rtl/>
        </w:rPr>
      </w:pPr>
      <w:r>
        <w:rPr>
          <w:rFonts w:cs="Arial"/>
          <w:rtl/>
        </w:rPr>
        <w:t xml:space="preserve">פת"ש </w:t>
      </w:r>
      <w:r>
        <w:rPr>
          <w:rFonts w:cs="Arial"/>
          <w:sz w:val="16"/>
          <w:szCs w:val="16"/>
          <w:rtl/>
        </w:rPr>
        <w:t>(סק"ו)</w:t>
      </w:r>
      <w:r w:rsidR="00A82951">
        <w:rPr>
          <w:rFonts w:cs="Arial"/>
          <w:rtl/>
        </w:rPr>
        <w:t>-</w:t>
      </w:r>
      <w:r>
        <w:rPr>
          <w:rFonts w:cs="Arial"/>
          <w:rtl/>
        </w:rPr>
        <w:t xml:space="preserve"> בשו"ת בית דוד (סי' כב) כתב דיש לפקפק אם זה נוהג האידנא לפי המנהג במדינתינו שהנשואות ניכרות במלבושיהן</w:t>
      </w:r>
      <w:r w:rsidR="00072ABC">
        <w:rPr>
          <w:rFonts w:cs="Arial" w:hint="cs"/>
          <w:rtl/>
        </w:rPr>
        <w:t>,</w:t>
      </w:r>
      <w:r>
        <w:rPr>
          <w:rFonts w:cs="Arial"/>
          <w:rtl/>
        </w:rPr>
        <w:t xml:space="preserve"> שהבתולות הולכות פרועות ראש והנשואות ראשיהן מכוסות</w:t>
      </w:r>
      <w:r w:rsidR="00072ABC">
        <w:rPr>
          <w:rFonts w:cs="Arial" w:hint="cs"/>
          <w:rtl/>
        </w:rPr>
        <w:t>.</w:t>
      </w:r>
      <w:r>
        <w:rPr>
          <w:rFonts w:cs="Arial"/>
          <w:rtl/>
        </w:rPr>
        <w:t xml:space="preserve"> א"כ יש לדמות להא דאמר רב יהודה הוחזקה נדה בשכונתי' בעלה חייב עלי' משום נדה ואף אמתל' לא מהני והיינו משום שעשתה מעשה ללבוש בגדי נדותה תו לא מהני אמתלא כמ"ש הפוסקים (ביו"ד סי' קפ"ה. וע' בש"ך שם ובתשובת חתם סופר חי"ד סי' ט' ודוק)</w:t>
      </w:r>
      <w:r w:rsidR="00072ABC">
        <w:rPr>
          <w:rFonts w:cs="Arial" w:hint="cs"/>
          <w:rtl/>
        </w:rPr>
        <w:t>.</w:t>
      </w:r>
      <w:r>
        <w:rPr>
          <w:rFonts w:cs="Arial"/>
          <w:rtl/>
        </w:rPr>
        <w:t xml:space="preserve"> וה"נ דכוותי' כיון שהחזיקה עצמה לכסות ראשה כו'</w:t>
      </w:r>
      <w:r w:rsidR="00072ABC">
        <w:rPr>
          <w:rFonts w:cs="Arial" w:hint="cs"/>
          <w:rtl/>
        </w:rPr>
        <w:t>,</w:t>
      </w:r>
      <w:r>
        <w:rPr>
          <w:rFonts w:cs="Arial"/>
          <w:rtl/>
        </w:rPr>
        <w:t xml:space="preserve"> והאריך בזה והנראה מדבריו שמחליט כן לדינא דבזה"ז אין היתר ע"ש. וכבר כתב כן גם בס' שלמי שמחה (על הרא"ש פ"ב דכתובות) שכ'</w:t>
      </w:r>
      <w:r w:rsidR="00072ABC">
        <w:rPr>
          <w:rFonts w:cs="Arial" w:hint="cs"/>
          <w:rtl/>
        </w:rPr>
        <w:t>:</w:t>
      </w:r>
      <w:r>
        <w:rPr>
          <w:rFonts w:cs="Arial"/>
          <w:rtl/>
        </w:rPr>
        <w:t xml:space="preserve"> ונ"ל דעכשיו בזמנינו שהנשואות לבושות צעיף הרי היא בחזקת א"א עד שתבי' ראיה שנתגרשה ע' ביו"ד סי' קפ"ה עכ"ל. וכן מצאתי בס' עיטור בכורים (על התוספת' פ"ב דכתובות) שכ'</w:t>
      </w:r>
      <w:r w:rsidR="00072ABC">
        <w:rPr>
          <w:rFonts w:cs="Arial" w:hint="cs"/>
          <w:rtl/>
        </w:rPr>
        <w:t>:</w:t>
      </w:r>
      <w:r>
        <w:rPr>
          <w:rFonts w:cs="Arial"/>
          <w:rtl/>
        </w:rPr>
        <w:t xml:space="preserve"> ויש להעיר בנשי דידן אשר בתולות הולכות פרועי ראש וא"כ אשה המכוסה בצעיף נתחזק' שהיתה א"א מיד בבוא' כו' עד והרבה צריכין להתיישב למעשה ע"ש. גם בתשו' חמדת שלמה (ר"ס נט) כתב </w:t>
      </w:r>
      <w:r w:rsidR="000A0F5A">
        <w:rPr>
          <w:rFonts w:cs="Arial"/>
          <w:rtl/>
        </w:rPr>
        <w:t>וז"ל:</w:t>
      </w:r>
      <w:r>
        <w:rPr>
          <w:rFonts w:cs="Arial"/>
          <w:rtl/>
        </w:rPr>
        <w:t xml:space="preserve"> ולפום ריהט' למה לא יחשב זה מעשה מה שהולכת בכיסוי הראש כדרך הנשואות</w:t>
      </w:r>
      <w:r w:rsidR="00072ABC">
        <w:rPr>
          <w:rFonts w:cs="Arial" w:hint="cs"/>
          <w:rtl/>
        </w:rPr>
        <w:t>,</w:t>
      </w:r>
      <w:r>
        <w:rPr>
          <w:rFonts w:cs="Arial"/>
          <w:rtl/>
        </w:rPr>
        <w:t xml:space="preserve"> ולדעתי הוא מעשה גדול יותר מלבישת בגדי נדות שי"ל דאתרמי לה בגדים אחרים כמ"ש מהרי"ק משא"כ ההולכת בכיסוי הראש כדרך נשואות אין מי שלא יחזיקה לנשואה כו' עכ"ל. אכן בתשו' חות יאיר (סי' קלח שהבאתי לעיל סי' מז סק"א) מבואר שדעתו דכיסוי הראש לא מיחשב מעשה כולי האי כמו לבישת בגדי נדות. וכ' שם דדוקא לבישת בגדי נדות משום דאין אשה מנוולת עצמה בהם כי מאוסים ומגונים וטמאים הם בעיניה משא"כ לצנוף מצנפת כדרך הנשים לפעמים גם בתולות מכסין ראשן מפני כיעור ראשן בשחין. וכה"ג </w:t>
      </w:r>
      <w:r>
        <w:rPr>
          <w:rFonts w:cs="Arial"/>
          <w:sz w:val="18"/>
          <w:szCs w:val="18"/>
          <w:rtl/>
        </w:rPr>
        <w:t xml:space="preserve">(ר"ל כגון שבאה בשנים ובושה לילך כבתולה עי' בת' בית אפרים סי' א' הבאתיו לעיל סי' א סקי"ד) </w:t>
      </w:r>
      <w:r>
        <w:rPr>
          <w:rFonts w:cs="Arial"/>
          <w:rtl/>
        </w:rPr>
        <w:t>י"ל דמהני אמתלא ע"ש. גם בתשו' זכרון יוסף (סי' ח) הביא דברי החו"י הנ"ל להלכה ע"ש עוד. וע' בנ"צ הארכתי בזה ודעתי נוטה דאף האידנא נאמנת לומר גרושה אני. וכעת ראיתי גם בספר בגדי ישע (סי' מג) תשובה ארוכה בזה. וע' מ"ש לעיל סי' קמב סק"ז.</w:t>
      </w:r>
    </w:p>
    <w:p w14:paraId="798132AC" w14:textId="77777777" w:rsidR="00C97BEF" w:rsidRDefault="00C97BEF" w:rsidP="00C97BEF">
      <w:pPr>
        <w:rPr>
          <w:u w:val="single"/>
        </w:rPr>
      </w:pPr>
      <w:r>
        <w:rPr>
          <w:u w:val="single"/>
          <w:rtl/>
        </w:rPr>
        <w:t>אשה שאמרה בפני רבים 'אשת איש הייתי' ואחר כדי דיבור אמרה 'גרושה אני' ונתנה אמתלא לדבריה:</w:t>
      </w:r>
    </w:p>
    <w:p w14:paraId="6C81F1F5" w14:textId="4FFA0CDE" w:rsidR="00C97BEF" w:rsidRDefault="00C97BEF" w:rsidP="006A458D">
      <w:pPr>
        <w:pStyle w:val="ab"/>
        <w:numPr>
          <w:ilvl w:val="0"/>
          <w:numId w:val="125"/>
        </w:numPr>
      </w:pPr>
      <w:r>
        <w:rPr>
          <w:rFonts w:cs="Arial"/>
          <w:rtl/>
        </w:rPr>
        <w:t xml:space="preserve">פת"ש </w:t>
      </w:r>
      <w:r>
        <w:rPr>
          <w:rFonts w:cs="Arial"/>
          <w:sz w:val="16"/>
          <w:szCs w:val="16"/>
          <w:rtl/>
        </w:rPr>
        <w:t>(סק"ט)</w:t>
      </w:r>
      <w:r w:rsidR="00A82951">
        <w:rPr>
          <w:rFonts w:cs="Arial"/>
          <w:rtl/>
        </w:rPr>
        <w:t>-</w:t>
      </w:r>
      <w:r>
        <w:rPr>
          <w:rFonts w:cs="Arial"/>
          <w:rtl/>
        </w:rPr>
        <w:t xml:space="preserve"> לכאורה לפמ"ש הט"ז ביו"ד </w:t>
      </w:r>
      <w:r w:rsidR="00072ABC">
        <w:rPr>
          <w:rFonts w:cs="Arial" w:hint="cs"/>
          <w:rtl/>
        </w:rPr>
        <w:t>(</w:t>
      </w:r>
      <w:r>
        <w:rPr>
          <w:rFonts w:cs="Arial"/>
          <w:rtl/>
        </w:rPr>
        <w:t>סי</w:t>
      </w:r>
      <w:r w:rsidR="00072ABC">
        <w:rPr>
          <w:rFonts w:cs="Arial" w:hint="cs"/>
          <w:rtl/>
        </w:rPr>
        <w:t>'</w:t>
      </w:r>
      <w:r>
        <w:rPr>
          <w:rFonts w:cs="Arial"/>
          <w:rtl/>
        </w:rPr>
        <w:t xml:space="preserve"> קפה</w:t>
      </w:r>
      <w:r w:rsidR="00072ABC">
        <w:rPr>
          <w:rFonts w:cs="Arial" w:hint="cs"/>
          <w:rtl/>
        </w:rPr>
        <w:t>)</w:t>
      </w:r>
      <w:r>
        <w:rPr>
          <w:rFonts w:cs="Arial"/>
          <w:rtl/>
        </w:rPr>
        <w:t xml:space="preserve"> בשם מהר"ל מפראג דלהכי בהוחזקה נדה לא מהני אמתל</w:t>
      </w:r>
      <w:r w:rsidR="00072ABC">
        <w:rPr>
          <w:rFonts w:cs="Arial" w:hint="cs"/>
          <w:rtl/>
        </w:rPr>
        <w:t>א</w:t>
      </w:r>
      <w:r>
        <w:rPr>
          <w:rFonts w:cs="Arial"/>
          <w:rtl/>
        </w:rPr>
        <w:t xml:space="preserve"> משום דלאו כ"ע ידעי מן האמתל</w:t>
      </w:r>
      <w:r w:rsidR="00072ABC">
        <w:rPr>
          <w:rFonts w:cs="Arial" w:hint="cs"/>
          <w:rtl/>
        </w:rPr>
        <w:t>א,</w:t>
      </w:r>
      <w:r>
        <w:rPr>
          <w:rFonts w:cs="Arial"/>
          <w:rtl/>
        </w:rPr>
        <w:t xml:space="preserve"> וא"כ על מה סמכה עצמה כשהחזיק</w:t>
      </w:r>
      <w:r w:rsidR="00072ABC">
        <w:rPr>
          <w:rFonts w:cs="Arial" w:hint="cs"/>
          <w:rtl/>
        </w:rPr>
        <w:t>ה</w:t>
      </w:r>
      <w:r>
        <w:rPr>
          <w:rFonts w:cs="Arial"/>
          <w:rtl/>
        </w:rPr>
        <w:t xml:space="preserve"> עצמה נגד כ"ע</w:t>
      </w:r>
      <w:r w:rsidR="00072ABC">
        <w:rPr>
          <w:rFonts w:cs="Arial" w:hint="cs"/>
          <w:rtl/>
        </w:rPr>
        <w:t>,</w:t>
      </w:r>
      <w:r>
        <w:rPr>
          <w:rFonts w:cs="Arial"/>
          <w:rtl/>
        </w:rPr>
        <w:t xml:space="preserve"> ודוק</w:t>
      </w:r>
      <w:r w:rsidR="00072ABC">
        <w:rPr>
          <w:rFonts w:cs="Arial" w:hint="cs"/>
          <w:rtl/>
        </w:rPr>
        <w:t>א</w:t>
      </w:r>
      <w:r>
        <w:rPr>
          <w:rFonts w:cs="Arial"/>
          <w:rtl/>
        </w:rPr>
        <w:t xml:space="preserve"> באמרה לבעלה טמאה אני מהני אמתל</w:t>
      </w:r>
      <w:r w:rsidR="00072ABC">
        <w:rPr>
          <w:rFonts w:cs="Arial" w:hint="cs"/>
          <w:rtl/>
        </w:rPr>
        <w:t>א,</w:t>
      </w:r>
      <w:r>
        <w:rPr>
          <w:rFonts w:cs="Arial"/>
          <w:rtl/>
        </w:rPr>
        <w:t xml:space="preserve"> משא"כ באמרה בפני רבים ע"ש. לפ"ז ה"ה הכא באמרה א"א אני ואחר כ"ד אמרה גרושה אני </w:t>
      </w:r>
      <w:r w:rsidR="00A82951">
        <w:rPr>
          <w:rFonts w:cs="Arial"/>
          <w:rtl/>
        </w:rPr>
        <w:t>-</w:t>
      </w:r>
      <w:r>
        <w:rPr>
          <w:rFonts w:cs="Arial"/>
          <w:rtl/>
        </w:rPr>
        <w:t xml:space="preserve"> אינה נאמנת אף באמתלא אא"כ אמרה מתחילה לאחד אבל לא באמרה בפני רבים. ושוב מצאתי כן להדיא בתשו' חות יאיר (סי' קלח) שכ"כ אדין דהכא. אמנם כתב שם דיש לפקפק על סברת מהר"ל מפראג מגמר' דכתובת </w:t>
      </w:r>
      <w:r w:rsidR="00072ABC">
        <w:rPr>
          <w:rFonts w:cs="Arial" w:hint="cs"/>
          <w:rtl/>
        </w:rPr>
        <w:t>(</w:t>
      </w:r>
      <w:r>
        <w:rPr>
          <w:rFonts w:cs="Arial"/>
          <w:rtl/>
        </w:rPr>
        <w:t>כב</w:t>
      </w:r>
      <w:r w:rsidR="00072ABC">
        <w:rPr>
          <w:rFonts w:cs="Arial" w:hint="cs"/>
          <w:rtl/>
        </w:rPr>
        <w:t>.)</w:t>
      </w:r>
      <w:r>
        <w:rPr>
          <w:rFonts w:cs="Arial"/>
          <w:rtl/>
        </w:rPr>
        <w:t xml:space="preserve"> כו' ע"ש. וגם בספרי פת"ש ליו"ד </w:t>
      </w:r>
      <w:r w:rsidR="00072ABC">
        <w:rPr>
          <w:rFonts w:cs="Arial" w:hint="cs"/>
          <w:rtl/>
        </w:rPr>
        <w:t>(</w:t>
      </w:r>
      <w:r>
        <w:rPr>
          <w:rFonts w:cs="Arial"/>
          <w:rtl/>
        </w:rPr>
        <w:t>שם סק"ג</w:t>
      </w:r>
      <w:r w:rsidR="00072ABC">
        <w:rPr>
          <w:rFonts w:cs="Arial" w:hint="cs"/>
          <w:rtl/>
        </w:rPr>
        <w:t>)</w:t>
      </w:r>
      <w:r>
        <w:rPr>
          <w:rFonts w:cs="Arial"/>
          <w:rtl/>
        </w:rPr>
        <w:t xml:space="preserve"> כתבתי בשם תוה"ש וכו"פ שחולקים עליו. בתשו' שמן רקח (ח"א סי' מג) עמד על זה והעלה ג"כ דלא כמהר"ל מפראג בזה.</w:t>
      </w:r>
    </w:p>
    <w:p w14:paraId="502C3F69" w14:textId="77777777" w:rsidR="00C97BEF" w:rsidRDefault="00C97BEF" w:rsidP="00C97BEF"/>
    <w:p w14:paraId="4C897F47" w14:textId="77777777" w:rsidR="00C97BEF" w:rsidRDefault="00C97BEF" w:rsidP="00C97BEF">
      <w:pPr>
        <w:pStyle w:val="2"/>
        <w:rPr>
          <w:rtl/>
        </w:rPr>
      </w:pPr>
      <w:r>
        <w:rPr>
          <w:rtl/>
        </w:rPr>
        <w:lastRenderedPageBreak/>
        <w:t>סעיף ז: כנ"ל ויש עדים שהיתה אשת איש.</w:t>
      </w:r>
    </w:p>
    <w:p w14:paraId="51E4A25B" w14:textId="004FA734" w:rsidR="00C97BEF" w:rsidRDefault="00C97BEF" w:rsidP="00C97BEF">
      <w:pPr>
        <w:rPr>
          <w:rFonts w:cs="Arial"/>
          <w:rtl/>
        </w:rPr>
      </w:pPr>
      <w:bookmarkStart w:id="37" w:name="_Hlk138875042"/>
      <w:r>
        <w:rPr>
          <w:rFonts w:cs="Arial"/>
          <w:b/>
          <w:bCs/>
          <w:rtl/>
        </w:rPr>
        <w:t xml:space="preserve">כתובות </w:t>
      </w:r>
      <w:r>
        <w:rPr>
          <w:rFonts w:cs="Arial"/>
          <w:b/>
          <w:bCs/>
          <w:sz w:val="16"/>
          <w:szCs w:val="16"/>
          <w:rtl/>
        </w:rPr>
        <w:t xml:space="preserve">(פ"ב) </w:t>
      </w:r>
      <w:r>
        <w:rPr>
          <w:rFonts w:cs="Arial"/>
          <w:b/>
          <w:bCs/>
          <w:rtl/>
        </w:rPr>
        <w:t>כב ע"א:</w:t>
      </w:r>
      <w:r>
        <w:rPr>
          <w:rFonts w:cs="Arial"/>
          <w:rtl/>
        </w:rPr>
        <w:t xml:space="preserve"> </w:t>
      </w:r>
      <w:r>
        <w:rPr>
          <w:rFonts w:cs="Arial"/>
          <w:u w:val="double"/>
          <w:rtl/>
        </w:rPr>
        <w:t>מתני'</w:t>
      </w:r>
      <w:r>
        <w:rPr>
          <w:rFonts w:cs="Arial"/>
          <w:rtl/>
        </w:rPr>
        <w:t xml:space="preserve">: האשה שאמרה אשת איש הייתי וגרושה אני </w:t>
      </w:r>
      <w:r w:rsidR="00A82951">
        <w:rPr>
          <w:rFonts w:cs="Arial"/>
          <w:rtl/>
        </w:rPr>
        <w:t>-</w:t>
      </w:r>
      <w:r>
        <w:rPr>
          <w:rFonts w:cs="Arial"/>
          <w:rtl/>
        </w:rPr>
        <w:t xml:space="preserve"> נאמנת, שהפה שאסר הוא הפה שהתיר. ואם יש עדים שהיתה אשת איש, והיא אומרת גרושה אני </w:t>
      </w:r>
      <w:r w:rsidR="00A82951">
        <w:rPr>
          <w:rFonts w:cs="Arial"/>
          <w:rtl/>
        </w:rPr>
        <w:t>-</w:t>
      </w:r>
      <w:r>
        <w:rPr>
          <w:rFonts w:cs="Arial"/>
          <w:rtl/>
        </w:rPr>
        <w:t xml:space="preserve"> אינה נאמנת. אמרה נשביתי וטהורה אני </w:t>
      </w:r>
      <w:r w:rsidR="00A82951">
        <w:rPr>
          <w:rFonts w:cs="Arial"/>
          <w:rtl/>
        </w:rPr>
        <w:t>-</w:t>
      </w:r>
      <w:r>
        <w:rPr>
          <w:rFonts w:cs="Arial"/>
          <w:rtl/>
        </w:rPr>
        <w:t xml:space="preserve"> נאמנת, שהפה שאסר הוא הפה שהתיר. ואם יש עדים שנשבית, והיא אומרת טהורה אני </w:t>
      </w:r>
      <w:r w:rsidR="00A82951">
        <w:rPr>
          <w:rFonts w:cs="Arial"/>
          <w:rtl/>
        </w:rPr>
        <w:t>-</w:t>
      </w:r>
      <w:r>
        <w:rPr>
          <w:rFonts w:cs="Arial"/>
          <w:rtl/>
        </w:rPr>
        <w:t xml:space="preserve"> אינה נאמנת. ואם משנשאת באו עדים </w:t>
      </w:r>
      <w:r w:rsidR="00A82951">
        <w:rPr>
          <w:rFonts w:cs="Arial"/>
          <w:rtl/>
        </w:rPr>
        <w:t>-</w:t>
      </w:r>
      <w:r>
        <w:rPr>
          <w:rFonts w:cs="Arial"/>
          <w:rtl/>
        </w:rPr>
        <w:t xml:space="preserve"> הרי זו לא תצא.      </w:t>
      </w:r>
      <w:r>
        <w:rPr>
          <w:rFonts w:cs="Arial"/>
          <w:u w:val="double"/>
          <w:rtl/>
        </w:rPr>
        <w:t>גמ'</w:t>
      </w:r>
      <w:r>
        <w:rPr>
          <w:rFonts w:cs="Arial"/>
          <w:sz w:val="14"/>
          <w:szCs w:val="14"/>
          <w:u w:val="double"/>
          <w:rtl/>
        </w:rPr>
        <w:t>(כג.)</w:t>
      </w:r>
      <w:r>
        <w:rPr>
          <w:rFonts w:cs="Arial"/>
          <w:u w:val="double"/>
          <w:rtl/>
        </w:rPr>
        <w:t>:</w:t>
      </w:r>
      <w:r>
        <w:rPr>
          <w:rFonts w:cs="Arial"/>
          <w:rtl/>
        </w:rPr>
        <w:t xml:space="preserve"> ואם משנשאת באו עדים </w:t>
      </w:r>
      <w:r w:rsidR="00A82951">
        <w:rPr>
          <w:rFonts w:cs="Arial"/>
          <w:rtl/>
        </w:rPr>
        <w:t>-</w:t>
      </w:r>
      <w:r>
        <w:rPr>
          <w:rFonts w:cs="Arial"/>
          <w:rtl/>
        </w:rPr>
        <w:t xml:space="preserve"> לא תצא כו'. </w:t>
      </w:r>
      <w:r>
        <w:rPr>
          <w:rFonts w:cs="Arial"/>
          <w:u w:val="single"/>
          <w:rtl/>
        </w:rPr>
        <w:t>רבי אושעיא</w:t>
      </w:r>
      <w:r>
        <w:rPr>
          <w:rFonts w:cs="Arial"/>
          <w:rtl/>
        </w:rPr>
        <w:t xml:space="preserve"> מתני לה ארישא, </w:t>
      </w:r>
      <w:r>
        <w:rPr>
          <w:rFonts w:cs="Arial"/>
          <w:u w:val="single"/>
          <w:rtl/>
        </w:rPr>
        <w:t>רבה בר אבין</w:t>
      </w:r>
      <w:r>
        <w:rPr>
          <w:rFonts w:cs="Arial"/>
          <w:rtl/>
        </w:rPr>
        <w:t xml:space="preserve"> מתני לה אסיפא. מאן דמתני לה ארישא, כ"ש אסיפא, דבשבויה הקילו. ומאן דמתני לה אסיפא, אבל ארישא לא. לימא, בדרב המנונא קמיפלגי, דמאן דמתני לה ארישא </w:t>
      </w:r>
      <w:r w:rsidR="00A82951">
        <w:rPr>
          <w:rFonts w:cs="Arial"/>
          <w:rtl/>
        </w:rPr>
        <w:t>-</w:t>
      </w:r>
      <w:r>
        <w:rPr>
          <w:rFonts w:cs="Arial"/>
          <w:rtl/>
        </w:rPr>
        <w:t xml:space="preserve"> אית ליה דרב המנונא, ומאן דמתני לה אסיפא </w:t>
      </w:r>
      <w:r w:rsidR="00A82951">
        <w:rPr>
          <w:rFonts w:cs="Arial"/>
          <w:rtl/>
        </w:rPr>
        <w:t>-</w:t>
      </w:r>
      <w:r>
        <w:rPr>
          <w:rFonts w:cs="Arial"/>
          <w:rtl/>
        </w:rPr>
        <w:t xml:space="preserve"> לית ליה דרב המנונא! לא, דכולי עלמא אית להו דרב המנונא, והכא בהא קמיפלגי, דמר סבר: כי איתמר דרב המנונא </w:t>
      </w:r>
      <w:r w:rsidR="00A82951">
        <w:rPr>
          <w:rFonts w:cs="Arial"/>
          <w:rtl/>
        </w:rPr>
        <w:t>-</w:t>
      </w:r>
      <w:r>
        <w:rPr>
          <w:rFonts w:cs="Arial"/>
          <w:rtl/>
        </w:rPr>
        <w:t xml:space="preserve"> בפניו, אבל שלא בפניו מעיזה, ומר סבר: שלא בפניו נמי אינה מעיזה. </w:t>
      </w:r>
      <w:r>
        <w:rPr>
          <w:rFonts w:cs="Arial"/>
          <w:sz w:val="16"/>
          <w:szCs w:val="16"/>
          <w:rtl/>
        </w:rPr>
        <w:t>(וכתבו הרא"ש (סי' כז) והר"ן (י. ד"ה מתני') שנראה מדברי הרי"ף דסבירא ליה כמאן דאמר דלא קאי אלא אשבויה, אבל בדין אשת איש תצא. וגם הה"מ כתב (פי"ב סוף ה"א) דהכי משמע מדברי הרי"ף והרמב"ם, וכן פסק רבינו חננאל, ולזה הסכימו הרמב"ן (כתובות כג. ד"ה ולענין) והרשב"א (שם ד"ה ולעיקר) ז"ל, ב"י)</w:t>
      </w:r>
      <w:bookmarkEnd w:id="37"/>
      <w:r>
        <w:rPr>
          <w:rFonts w:cs="Arial"/>
          <w:rtl/>
        </w:rPr>
        <w:t xml:space="preserve"> </w:t>
      </w:r>
    </w:p>
    <w:p w14:paraId="4B35558C" w14:textId="572858B8" w:rsidR="00C97BEF" w:rsidRDefault="00C97BEF" w:rsidP="00C97BEF">
      <w:pPr>
        <w:rPr>
          <w:rFonts w:cs="Arial"/>
          <w:rtl/>
        </w:rPr>
      </w:pPr>
      <w:r>
        <w:rPr>
          <w:u w:val="single"/>
          <w:rtl/>
        </w:rPr>
        <w:t xml:space="preserve">האומרת 'אשת איש הייתי ועכשיו גרושה אני' </w:t>
      </w:r>
      <w:r w:rsidR="00A82951">
        <w:rPr>
          <w:u w:val="single"/>
          <w:rtl/>
        </w:rPr>
        <w:t>-</w:t>
      </w:r>
      <w:r>
        <w:rPr>
          <w:u w:val="single"/>
          <w:rtl/>
        </w:rPr>
        <w:t xml:space="preserve"> ויש עדים שהיתה אשת איש:</w:t>
      </w:r>
    </w:p>
    <w:p w14:paraId="581FC98E" w14:textId="3B032E45"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ואם יש עדים שהיתה אשת איש </w:t>
      </w:r>
      <w:r w:rsidR="00A82951">
        <w:rPr>
          <w:rFonts w:cs="Arial"/>
          <w:rtl/>
        </w:rPr>
        <w:t>-</w:t>
      </w:r>
      <w:r>
        <w:rPr>
          <w:rFonts w:cs="Arial"/>
          <w:rtl/>
        </w:rPr>
        <w:t xml:space="preserve"> אינה נאמנת</w:t>
      </w:r>
      <w:r w:rsidR="00A2287F">
        <w:rPr>
          <w:rFonts w:cs="Arial" w:hint="cs"/>
          <w:rtl/>
        </w:rPr>
        <w:t>,</w:t>
      </w:r>
      <w:r>
        <w:rPr>
          <w:rFonts w:cs="Arial"/>
          <w:rtl/>
        </w:rPr>
        <w:t xml:space="preserve"> ואם נישאת תצא, ואפילו אם נשאת קודם שבאו העדים שהעידו שהיא אשת איש. אבל פסולה לכהונה על פיה לעולם</w:t>
      </w:r>
      <w:r>
        <w:rPr>
          <w:rStyle w:val="a7"/>
          <w:rFonts w:cs="Arial"/>
          <w:rtl/>
        </w:rPr>
        <w:footnoteReference w:id="2714"/>
      </w:r>
      <w:r>
        <w:rPr>
          <w:rFonts w:cs="Arial"/>
          <w:rtl/>
        </w:rPr>
        <w:t>. ואם מת חולצת ולא מתייבמת, שחוששין לדבריה.</w:t>
      </w:r>
      <w:r>
        <w:rPr>
          <w:color w:val="E36C0A" w:themeColor="accent6" w:themeShade="BF"/>
          <w:rtl/>
        </w:rPr>
        <w:t xml:space="preserve"> (וכ"פ בשו"ע)</w:t>
      </w:r>
    </w:p>
    <w:p w14:paraId="5684236D" w14:textId="0547498A" w:rsidR="00C97BEF" w:rsidRDefault="00C97BEF" w:rsidP="00C97BEF">
      <w:pPr>
        <w:ind w:left="360"/>
        <w:rPr>
          <w:u w:val="dotted"/>
        </w:rPr>
      </w:pPr>
      <w:r>
        <w:rPr>
          <w:rFonts w:cs="Arial"/>
          <w:u w:val="dotted"/>
          <w:rtl/>
        </w:rPr>
        <w:t xml:space="preserve">כשנשאת לאחר כנ"ל </w:t>
      </w:r>
      <w:r w:rsidR="00A82951">
        <w:rPr>
          <w:rFonts w:cs="Arial"/>
          <w:u w:val="dotted"/>
          <w:rtl/>
        </w:rPr>
        <w:t>-</w:t>
      </w:r>
      <w:r>
        <w:rPr>
          <w:rFonts w:cs="Arial"/>
          <w:u w:val="dotted"/>
          <w:rtl/>
        </w:rPr>
        <w:t xml:space="preserve"> האם מצריכים אותה לקבל גט משני:  </w:t>
      </w:r>
    </w:p>
    <w:p w14:paraId="264FFA72" w14:textId="2745A352" w:rsidR="00C97BEF" w:rsidRDefault="00C97BEF" w:rsidP="006A458D">
      <w:pPr>
        <w:pStyle w:val="ab"/>
        <w:numPr>
          <w:ilvl w:val="0"/>
          <w:numId w:val="123"/>
        </w:numPr>
      </w:pPr>
      <w:r>
        <w:rPr>
          <w:rFonts w:cs="Arial"/>
          <w:rtl/>
        </w:rPr>
        <w:t xml:space="preserve">ר"ן </w:t>
      </w:r>
      <w:r>
        <w:rPr>
          <w:rFonts w:cs="Arial"/>
          <w:sz w:val="16"/>
          <w:szCs w:val="16"/>
          <w:rtl/>
        </w:rPr>
        <w:t>(י. ד"ה מתני')</w:t>
      </w:r>
      <w:r w:rsidR="00A82951">
        <w:rPr>
          <w:rFonts w:cs="Arial"/>
          <w:rtl/>
        </w:rPr>
        <w:t>-</w:t>
      </w:r>
      <w:r>
        <w:rPr>
          <w:rFonts w:cs="Arial"/>
          <w:rtl/>
        </w:rPr>
        <w:t xml:space="preserve"> ומיהו לחומרא איכא למימר דחיישינן למאן דסבירא ליה בשמעתין דהא דרב המנונא אפילו שלא בפניו הוא להצריכה גט משני, וכדאמרינן בסוף גיטין (פט:) דסבירא ליה לרב הונא שלא בפניו נמי אינה מעיזה, ומשום הכי אמר אשת איש שפשטה ידה וקיבלה קידושין מאחר אפילו שלא בפני בעלה מקודשת להצריכה גט. ומאן דאמר הכא לא תצא סבירא ליה נמי דאפילו שלא בפניו אינה מעיזה הילכך חיישינן להו לחומרא. וזה דעת הרמב"ן ז"ל</w:t>
      </w:r>
      <w:r>
        <w:rPr>
          <w:rStyle w:val="a7"/>
          <w:rFonts w:cs="Arial"/>
          <w:rtl/>
        </w:rPr>
        <w:footnoteReference w:id="2715"/>
      </w:r>
      <w:r>
        <w:rPr>
          <w:rFonts w:cs="Arial"/>
          <w:rtl/>
        </w:rPr>
        <w:t xml:space="preserve"> (שם)</w:t>
      </w:r>
      <w:r>
        <w:rPr>
          <w:rtl/>
        </w:rPr>
        <w:t>.</w:t>
      </w:r>
    </w:p>
    <w:p w14:paraId="6547A5D4" w14:textId="4E100094" w:rsidR="00C97BEF" w:rsidRDefault="00C97BEF" w:rsidP="006A458D">
      <w:pPr>
        <w:pStyle w:val="ab"/>
        <w:numPr>
          <w:ilvl w:val="0"/>
          <w:numId w:val="123"/>
        </w:numPr>
        <w:rPr>
          <w:rtl/>
        </w:rPr>
      </w:pPr>
      <w:r>
        <w:rPr>
          <w:rtl/>
        </w:rPr>
        <w:t>טור</w:t>
      </w:r>
      <w:r>
        <w:rPr>
          <w:sz w:val="16"/>
          <w:szCs w:val="16"/>
          <w:rtl/>
        </w:rPr>
        <w:t xml:space="preserve"> (בסע' ב)</w:t>
      </w:r>
      <w:r w:rsidR="00A82951">
        <w:rPr>
          <w:rtl/>
        </w:rPr>
        <w:t>-</w:t>
      </w:r>
      <w:r>
        <w:rPr>
          <w:rtl/>
        </w:rPr>
        <w:t xml:space="preserve"> אבל </w:t>
      </w:r>
      <w:r>
        <w:rPr>
          <w:rFonts w:cs="Arial"/>
          <w:rtl/>
        </w:rPr>
        <w:t xml:space="preserve">שלא בפניו מעיזה ואינה נאמנת אפי' אם ניסת או נתקדשה, וכשבא מכחישה החזיקה בדבריה ואומרת לו שגירשה </w:t>
      </w:r>
      <w:r w:rsidR="00A82951">
        <w:rPr>
          <w:rFonts w:cs="Arial"/>
          <w:rtl/>
        </w:rPr>
        <w:t>-</w:t>
      </w:r>
      <w:r>
        <w:rPr>
          <w:rFonts w:cs="Arial"/>
          <w:rtl/>
        </w:rPr>
        <w:t xml:space="preserve"> אינה נאמנת, שלהחזיק דבריה אומרת כן, ואינה צריכה גט מהשני</w:t>
      </w:r>
      <w:r>
        <w:rPr>
          <w:rStyle w:val="a7"/>
          <w:rFonts w:cs="Arial"/>
          <w:rtl/>
        </w:rPr>
        <w:footnoteReference w:id="2716"/>
      </w:r>
      <w:r>
        <w:rPr>
          <w:rtl/>
        </w:rPr>
        <w:t>.</w:t>
      </w:r>
    </w:p>
    <w:p w14:paraId="08B19B9F"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20ABE1EE" w14:textId="77777777" w:rsidR="00C97BEF" w:rsidRDefault="00C97BEF" w:rsidP="00C97BEF">
      <w:pPr>
        <w:rPr>
          <w:rtl/>
        </w:rPr>
      </w:pPr>
      <w:r>
        <w:rPr>
          <w:rFonts w:cs="Arial"/>
          <w:rtl/>
        </w:rPr>
        <w:t>אם יש עדים</w:t>
      </w:r>
      <w:r>
        <w:rPr>
          <w:rStyle w:val="a7"/>
          <w:rFonts w:cs="Arial"/>
          <w:rtl/>
        </w:rPr>
        <w:footnoteReference w:id="2717"/>
      </w:r>
      <w:r>
        <w:rPr>
          <w:rFonts w:cs="Arial"/>
          <w:rtl/>
        </w:rPr>
        <w:t xml:space="preserve"> שהיתה אשת איש, אינה נאמנת לומר: גרושה אני, ואם נשאת, תצא</w:t>
      </w:r>
      <w:r>
        <w:rPr>
          <w:rStyle w:val="a7"/>
          <w:rFonts w:cs="Arial"/>
          <w:rtl/>
        </w:rPr>
        <w:footnoteReference w:id="2718"/>
      </w:r>
      <w:r>
        <w:rPr>
          <w:rFonts w:cs="Arial"/>
          <w:rtl/>
        </w:rPr>
        <w:t>, ואפילו אם נשאת קודם שבאו העדים שהעידו</w:t>
      </w:r>
      <w:r>
        <w:rPr>
          <w:rStyle w:val="a7"/>
          <w:rFonts w:cs="Arial"/>
          <w:rtl/>
        </w:rPr>
        <w:footnoteReference w:id="2719"/>
      </w:r>
      <w:r>
        <w:rPr>
          <w:rFonts w:cs="Arial"/>
          <w:rtl/>
        </w:rPr>
        <w:t xml:space="preserve"> שהיתה אשת איש. אבל חוששין לדבריה ופסולה לכהונה לעולם. ואם מת, חולצת ולא מתייבמת. </w:t>
      </w:r>
      <w:r>
        <w:rPr>
          <w:rFonts w:cs="Arial"/>
          <w:sz w:val="18"/>
          <w:szCs w:val="18"/>
          <w:rtl/>
        </w:rPr>
        <w:t>הגה: באו עדים ואמרו: שמענו שהיא מגורשת, אין זה עדות להוציא מחזקתה, עד שיעידו שהיא גרושה. אבל אם אין עדים שהיא אשת איש, רק אומרים: שמענו שנתקדשה ונתגרשה, דינו כקול בעלמא (ריב"ש סי' תקד). וכדרך שנתבאר לעיל סי' מ"ו.</w:t>
      </w:r>
      <w:r>
        <w:rPr>
          <w:rFonts w:cs="Arial"/>
          <w:rtl/>
        </w:rPr>
        <w:t xml:space="preserve"> </w:t>
      </w:r>
    </w:p>
    <w:p w14:paraId="7D071FA7" w14:textId="77777777" w:rsidR="00C97BEF" w:rsidRDefault="00C97BEF" w:rsidP="00C97BEF">
      <w:pPr>
        <w:rPr>
          <w:rtl/>
        </w:rPr>
      </w:pPr>
    </w:p>
    <w:p w14:paraId="155652B7" w14:textId="77777777" w:rsidR="00C97BEF" w:rsidRDefault="00C97BEF" w:rsidP="00C97BEF">
      <w:pPr>
        <w:pStyle w:val="2"/>
        <w:rPr>
          <w:rtl/>
        </w:rPr>
      </w:pPr>
      <w:r>
        <w:rPr>
          <w:rtl/>
        </w:rPr>
        <w:t xml:space="preserve">סעיף ח: אין שם גט אבל יש שני עדים שנתגרשה. </w:t>
      </w:r>
    </w:p>
    <w:p w14:paraId="2BAFF280" w14:textId="77777777" w:rsidR="00C97BEF" w:rsidRDefault="00C97BEF" w:rsidP="00C97BEF">
      <w:pPr>
        <w:rPr>
          <w:u w:val="single"/>
          <w:rtl/>
        </w:rPr>
      </w:pPr>
      <w:r>
        <w:rPr>
          <w:u w:val="single"/>
          <w:rtl/>
        </w:rPr>
        <w:t>אין שם גט אבל יש שני עדים שנתגרשה:</w:t>
      </w:r>
    </w:p>
    <w:p w14:paraId="17F6DEEF" w14:textId="16C28235" w:rsidR="00C97BEF" w:rsidRDefault="00C97BEF" w:rsidP="006A458D">
      <w:pPr>
        <w:pStyle w:val="ab"/>
        <w:numPr>
          <w:ilvl w:val="0"/>
          <w:numId w:val="123"/>
        </w:numPr>
        <w:rPr>
          <w:rtl/>
        </w:rPr>
      </w:pPr>
      <w:r>
        <w:rPr>
          <w:rFonts w:cs="Arial"/>
          <w:rtl/>
        </w:rPr>
        <w:t xml:space="preserve">רמב"ם </w:t>
      </w:r>
      <w:r>
        <w:rPr>
          <w:rFonts w:cs="Arial"/>
          <w:sz w:val="16"/>
          <w:szCs w:val="16"/>
          <w:rtl/>
        </w:rPr>
        <w:t xml:space="preserve">(פי"ב ה"ב) </w:t>
      </w:r>
      <w:r>
        <w:rPr>
          <w:rFonts w:cs="Arial"/>
          <w:rtl/>
        </w:rPr>
        <w:t>וטור</w:t>
      </w:r>
      <w:r w:rsidR="00A82951">
        <w:rPr>
          <w:rFonts w:cs="Arial"/>
          <w:rtl/>
        </w:rPr>
        <w:t>-</w:t>
      </w:r>
      <w:r>
        <w:rPr>
          <w:rFonts w:cs="Arial"/>
          <w:rtl/>
        </w:rPr>
        <w:t xml:space="preserve"> היו לה שני עדים שהיא גרושה</w:t>
      </w:r>
      <w:r w:rsidR="008E4952">
        <w:rPr>
          <w:rFonts w:cs="Arial" w:hint="cs"/>
          <w:rtl/>
        </w:rPr>
        <w:t>,</w:t>
      </w:r>
      <w:r>
        <w:rPr>
          <w:rFonts w:cs="Arial"/>
          <w:rtl/>
        </w:rPr>
        <w:t xml:space="preserve"> אע</w:t>
      </w:r>
      <w:r w:rsidR="008E4952">
        <w:rPr>
          <w:rFonts w:cs="Arial" w:hint="cs"/>
          <w:rtl/>
        </w:rPr>
        <w:t>"</w:t>
      </w:r>
      <w:r>
        <w:rPr>
          <w:rFonts w:cs="Arial"/>
          <w:rtl/>
        </w:rPr>
        <w:t>פ שאין שם גט</w:t>
      </w:r>
      <w:r w:rsidR="008E4952">
        <w:rPr>
          <w:rFonts w:cs="Arial" w:hint="cs"/>
          <w:rtl/>
        </w:rPr>
        <w:t xml:space="preserve"> -</w:t>
      </w:r>
      <w:r>
        <w:rPr>
          <w:rFonts w:cs="Arial"/>
          <w:rtl/>
        </w:rPr>
        <w:t xml:space="preserve"> הרי זו תנשא לכתחלה</w:t>
      </w:r>
      <w:r>
        <w:rPr>
          <w:rFonts w:cs="Arial"/>
          <w:sz w:val="16"/>
          <w:szCs w:val="16"/>
          <w:rtl/>
        </w:rPr>
        <w:t xml:space="preserve"> (ל' הרמב"ם)</w:t>
      </w:r>
      <w:r>
        <w:rPr>
          <w:rFonts w:cs="Arial"/>
          <w:rtl/>
        </w:rPr>
        <w:t xml:space="preserve">. </w:t>
      </w:r>
      <w:r>
        <w:rPr>
          <w:color w:val="E36C0A" w:themeColor="accent6" w:themeShade="BF"/>
          <w:rtl/>
        </w:rPr>
        <w:t>(וכ"פ בשו"ע)</w:t>
      </w:r>
    </w:p>
    <w:p w14:paraId="74D346C5"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684EEC80" w14:textId="77777777" w:rsidR="00C97BEF" w:rsidRDefault="00C97BEF" w:rsidP="00C97BEF">
      <w:pPr>
        <w:rPr>
          <w:rtl/>
        </w:rPr>
      </w:pPr>
      <w:r>
        <w:rPr>
          <w:rFonts w:cs="Arial"/>
          <w:rtl/>
        </w:rPr>
        <w:t xml:space="preserve">היו לה שני עדים שהיא גרושה, אף על פי שאין שם גט, הרי זו תנשא לכתחלה. </w:t>
      </w:r>
    </w:p>
    <w:p w14:paraId="36D3CAEF" w14:textId="77777777" w:rsidR="00C97BEF" w:rsidRDefault="00C97BEF" w:rsidP="00C97BEF">
      <w:pPr>
        <w:rPr>
          <w:rtl/>
        </w:rPr>
      </w:pPr>
    </w:p>
    <w:p w14:paraId="761D03E5" w14:textId="77777777" w:rsidR="00C97BEF" w:rsidRDefault="00C97BEF" w:rsidP="00C97BEF">
      <w:pPr>
        <w:pStyle w:val="2"/>
        <w:rPr>
          <w:rtl/>
        </w:rPr>
      </w:pPr>
      <w:r>
        <w:rPr>
          <w:rtl/>
        </w:rPr>
        <w:t>סעיף ט: יש לה גט לא מקויים.</w:t>
      </w:r>
    </w:p>
    <w:p w14:paraId="522B568F" w14:textId="77777777" w:rsidR="00C97BEF" w:rsidRDefault="00C97BEF" w:rsidP="00C97BEF">
      <w:pPr>
        <w:rPr>
          <w:u w:val="single"/>
          <w:rtl/>
        </w:rPr>
      </w:pPr>
      <w:r>
        <w:rPr>
          <w:u w:val="single"/>
          <w:rtl/>
        </w:rPr>
        <w:t>יש לה גט אבל אינו מקויים:</w:t>
      </w:r>
    </w:p>
    <w:p w14:paraId="63A49B37" w14:textId="20ABED9A" w:rsidR="00C97BEF" w:rsidRDefault="00C97BEF" w:rsidP="006A458D">
      <w:pPr>
        <w:pStyle w:val="ab"/>
        <w:numPr>
          <w:ilvl w:val="0"/>
          <w:numId w:val="123"/>
        </w:numPr>
      </w:pPr>
      <w:r>
        <w:rPr>
          <w:rFonts w:cs="Arial"/>
          <w:rtl/>
        </w:rPr>
        <w:t xml:space="preserve">רמב"ם </w:t>
      </w:r>
      <w:r>
        <w:rPr>
          <w:rFonts w:cs="Arial"/>
          <w:sz w:val="16"/>
          <w:szCs w:val="16"/>
          <w:rtl/>
        </w:rPr>
        <w:t xml:space="preserve">(פי"ב ה"ב) </w:t>
      </w:r>
      <w:r>
        <w:rPr>
          <w:rFonts w:cs="Arial"/>
          <w:rtl/>
        </w:rPr>
        <w:t>וטור</w:t>
      </w:r>
      <w:r w:rsidR="00A82951">
        <w:rPr>
          <w:rFonts w:cs="Arial"/>
          <w:rtl/>
        </w:rPr>
        <w:t>-</w:t>
      </w:r>
      <w:r>
        <w:rPr>
          <w:rFonts w:cs="Arial"/>
          <w:rtl/>
        </w:rPr>
        <w:t xml:space="preserve"> הוציאה גט מתחת ידה ואמרה גירשני בעלי בזה </w:t>
      </w:r>
      <w:r w:rsidR="00A82951">
        <w:rPr>
          <w:rFonts w:cs="Arial"/>
          <w:rtl/>
        </w:rPr>
        <w:t>-</w:t>
      </w:r>
      <w:r>
        <w:rPr>
          <w:rFonts w:cs="Arial"/>
          <w:rtl/>
        </w:rPr>
        <w:t xml:space="preserve"> הרי זו נאמנת ותנשא בו אע"פ שאינו מקויים כמו שביארנו</w:t>
      </w:r>
      <w:r>
        <w:rPr>
          <w:rStyle w:val="a7"/>
          <w:rFonts w:cs="Arial"/>
          <w:rtl/>
        </w:rPr>
        <w:footnoteReference w:id="2720"/>
      </w:r>
      <w:r>
        <w:rPr>
          <w:rFonts w:cs="Arial"/>
          <w:rtl/>
        </w:rPr>
        <w:t xml:space="preserve"> </w:t>
      </w:r>
      <w:r>
        <w:rPr>
          <w:rFonts w:cs="Arial"/>
          <w:sz w:val="16"/>
          <w:szCs w:val="16"/>
          <w:rtl/>
        </w:rPr>
        <w:t>(ל' הרמב"ם)</w:t>
      </w:r>
      <w:r>
        <w:rPr>
          <w:rFonts w:cs="Arial"/>
          <w:rtl/>
        </w:rPr>
        <w:t xml:space="preserve">. </w:t>
      </w:r>
      <w:r>
        <w:rPr>
          <w:color w:val="E36C0A" w:themeColor="accent6" w:themeShade="BF"/>
          <w:rtl/>
        </w:rPr>
        <w:t>(וכ"פ בשו"ע)</w:t>
      </w:r>
    </w:p>
    <w:p w14:paraId="3CE38311" w14:textId="0E16AC19" w:rsidR="00C97BEF" w:rsidRDefault="00C97BEF" w:rsidP="006A458D">
      <w:pPr>
        <w:pStyle w:val="ab"/>
        <w:numPr>
          <w:ilvl w:val="0"/>
          <w:numId w:val="123"/>
        </w:numPr>
      </w:pPr>
      <w:r>
        <w:rPr>
          <w:rFonts w:cs="Arial"/>
          <w:rtl/>
        </w:rPr>
        <w:t>ראב"ד</w:t>
      </w:r>
      <w:r>
        <w:rPr>
          <w:rFonts w:cs="Arial"/>
          <w:sz w:val="16"/>
          <w:szCs w:val="16"/>
          <w:rtl/>
        </w:rPr>
        <w:t xml:space="preserve"> (בהשגות שם)</w:t>
      </w:r>
      <w:r>
        <w:rPr>
          <w:rFonts w:cs="Arial"/>
          <w:rtl/>
        </w:rPr>
        <w:t xml:space="preserve"> </w:t>
      </w:r>
      <w:r w:rsidR="00F04404">
        <w:rPr>
          <w:rFonts w:cs="Arial" w:hint="cs"/>
          <w:rtl/>
        </w:rPr>
        <w:t>ו</w:t>
      </w:r>
      <w:r>
        <w:rPr>
          <w:rFonts w:cs="Arial"/>
          <w:rtl/>
        </w:rPr>
        <w:t>רשב"א</w:t>
      </w:r>
      <w:r>
        <w:rPr>
          <w:rFonts w:cs="Arial"/>
          <w:sz w:val="16"/>
          <w:szCs w:val="16"/>
          <w:rtl/>
        </w:rPr>
        <w:t xml:space="preserve"> (גיטין כד. ד"ה אשה)</w:t>
      </w:r>
      <w:r w:rsidR="00A82951">
        <w:rPr>
          <w:rFonts w:cs="Arial"/>
          <w:rtl/>
        </w:rPr>
        <w:t>-</w:t>
      </w:r>
      <w:r>
        <w:rPr>
          <w:rFonts w:cs="Arial"/>
          <w:rtl/>
        </w:rPr>
        <w:t xml:space="preserve"> אומר אני שיתקיים בחותמיו אע"פ שלא יצא עליו ערער</w:t>
      </w:r>
      <w:r>
        <w:rPr>
          <w:sz w:val="16"/>
          <w:szCs w:val="16"/>
          <w:rtl/>
        </w:rPr>
        <w:t xml:space="preserve"> (ל' הראב"ד)</w:t>
      </w:r>
      <w:r>
        <w:rPr>
          <w:rtl/>
        </w:rPr>
        <w:t>.</w:t>
      </w:r>
    </w:p>
    <w:p w14:paraId="7F280734" w14:textId="77777777" w:rsidR="00C97BEF" w:rsidRDefault="00C97BEF" w:rsidP="00C97BEF">
      <w:pPr>
        <w:ind w:left="360"/>
        <w:rPr>
          <w:u w:val="dotted"/>
          <w:rtl/>
        </w:rPr>
      </w:pPr>
      <w:r>
        <w:rPr>
          <w:u w:val="dotted"/>
          <w:rtl/>
        </w:rPr>
        <w:t>ומה הדין אם ערער הבעל ואמר שלא נתן את הגט אלא נפל ממנו:</w:t>
      </w:r>
    </w:p>
    <w:p w14:paraId="3DA9428A" w14:textId="7CB8593C" w:rsidR="00C97BEF" w:rsidRDefault="00C97BEF" w:rsidP="006A458D">
      <w:pPr>
        <w:pStyle w:val="ab"/>
        <w:numPr>
          <w:ilvl w:val="0"/>
          <w:numId w:val="123"/>
        </w:numPr>
      </w:pPr>
      <w:r>
        <w:rPr>
          <w:rFonts w:cs="Arial"/>
          <w:rtl/>
        </w:rPr>
        <w:t xml:space="preserve">רמב"ם </w:t>
      </w:r>
      <w:r>
        <w:rPr>
          <w:rFonts w:cs="Arial"/>
          <w:sz w:val="16"/>
          <w:szCs w:val="16"/>
          <w:rtl/>
        </w:rPr>
        <w:t xml:space="preserve">(פי"ב ה"ג) </w:t>
      </w:r>
      <w:r>
        <w:rPr>
          <w:rFonts w:cs="Arial"/>
          <w:rtl/>
        </w:rPr>
        <w:t>וטור</w:t>
      </w:r>
      <w:r w:rsidR="00A82951">
        <w:rPr>
          <w:rFonts w:cs="Arial"/>
          <w:rtl/>
        </w:rPr>
        <w:t>-</w:t>
      </w:r>
      <w:r>
        <w:rPr>
          <w:rFonts w:cs="Arial"/>
          <w:rtl/>
        </w:rPr>
        <w:t xml:space="preserve"> ואם יבא הבעל ויערער ויאמר לא נתתיו לה אלא ממני נפל </w:t>
      </w:r>
      <w:r w:rsidR="00A82951">
        <w:rPr>
          <w:rFonts w:cs="Arial"/>
          <w:rtl/>
        </w:rPr>
        <w:t>-</w:t>
      </w:r>
      <w:r>
        <w:rPr>
          <w:rFonts w:cs="Arial"/>
          <w:rtl/>
        </w:rPr>
        <w:t xml:space="preserve"> אינו נאמן, כיון שמודה שכתבו והרי הוא יוצא מתחת ידה</w:t>
      </w:r>
      <w:r>
        <w:rPr>
          <w:rFonts w:cs="Arial"/>
          <w:sz w:val="16"/>
          <w:szCs w:val="16"/>
          <w:rtl/>
        </w:rPr>
        <w:t xml:space="preserve"> (ל' הטור)</w:t>
      </w:r>
      <w:r>
        <w:rPr>
          <w:rFonts w:cs="Arial"/>
          <w:rtl/>
        </w:rPr>
        <w:t xml:space="preserve">. </w:t>
      </w:r>
      <w:r>
        <w:rPr>
          <w:color w:val="E36C0A" w:themeColor="accent6" w:themeShade="BF"/>
          <w:rtl/>
        </w:rPr>
        <w:t xml:space="preserve">(וכ"פ בשו"ע </w:t>
      </w:r>
      <w:r>
        <w:rPr>
          <w:color w:val="000000" w:themeColor="text1"/>
          <w:sz w:val="16"/>
          <w:szCs w:val="16"/>
          <w:rtl/>
        </w:rPr>
        <w:t>[בסע' י]</w:t>
      </w:r>
      <w:r>
        <w:rPr>
          <w:color w:val="E36C0A" w:themeColor="accent6" w:themeShade="BF"/>
          <w:rtl/>
        </w:rPr>
        <w:t>)</w:t>
      </w:r>
    </w:p>
    <w:p w14:paraId="216A6A4C" w14:textId="77777777" w:rsidR="00C97BEF" w:rsidRDefault="00C97BEF" w:rsidP="00C97BEF">
      <w:pPr>
        <w:ind w:left="360"/>
      </w:pPr>
      <w:r>
        <w:rPr>
          <w:u w:val="dotted"/>
          <w:rtl/>
        </w:rPr>
        <w:t>ומה הדין אם ערער הבעל ואמר שנתנו על תנאי ולא נתקיים/נתנו בפקדון/מזוייף:</w:t>
      </w:r>
    </w:p>
    <w:p w14:paraId="0A7CA800" w14:textId="13F84040" w:rsidR="00C97BEF" w:rsidRDefault="00C97BEF" w:rsidP="006A458D">
      <w:pPr>
        <w:pStyle w:val="ab"/>
        <w:numPr>
          <w:ilvl w:val="0"/>
          <w:numId w:val="123"/>
        </w:numPr>
      </w:pPr>
      <w:r>
        <w:rPr>
          <w:rFonts w:cs="Arial"/>
          <w:rtl/>
        </w:rPr>
        <w:t xml:space="preserve">רמב"ם </w:t>
      </w:r>
      <w:r>
        <w:rPr>
          <w:rFonts w:cs="Arial"/>
          <w:sz w:val="16"/>
          <w:szCs w:val="16"/>
          <w:rtl/>
        </w:rPr>
        <w:t xml:space="preserve">(פי"ב ה"ג) </w:t>
      </w:r>
      <w:r>
        <w:rPr>
          <w:rFonts w:cs="Arial"/>
          <w:rtl/>
        </w:rPr>
        <w:t>וטור</w:t>
      </w:r>
      <w:r w:rsidR="00A82951">
        <w:rPr>
          <w:rFonts w:cs="Arial"/>
          <w:rtl/>
        </w:rPr>
        <w:t>-</w:t>
      </w:r>
      <w:r>
        <w:rPr>
          <w:rFonts w:cs="Arial"/>
          <w:rtl/>
        </w:rPr>
        <w:t xml:space="preserve"> ערער לומר שנתנו על תנאי ולא נתקיים, או בתורת פקדון, או שהוא מזוייף ולא כתבו מעולם </w:t>
      </w:r>
      <w:r w:rsidR="00A82951">
        <w:rPr>
          <w:rFonts w:cs="Arial"/>
          <w:rtl/>
        </w:rPr>
        <w:t>-</w:t>
      </w:r>
      <w:r>
        <w:rPr>
          <w:rFonts w:cs="Arial"/>
          <w:rtl/>
        </w:rPr>
        <w:t xml:space="preserve"> יתקיים בחותמיו או בעידי מסירה. ואם לא יתקיים </w:t>
      </w:r>
      <w:r w:rsidR="00A82951">
        <w:rPr>
          <w:rFonts w:cs="Arial"/>
          <w:rtl/>
        </w:rPr>
        <w:t>-</w:t>
      </w:r>
      <w:r>
        <w:rPr>
          <w:rFonts w:cs="Arial"/>
          <w:rtl/>
        </w:rPr>
        <w:t xml:space="preserve"> אינה מגורשת להיות מותרת לאחרים, אבל פסולה לכהונה על פיה </w:t>
      </w:r>
      <w:r>
        <w:rPr>
          <w:rFonts w:cs="Arial"/>
          <w:sz w:val="16"/>
          <w:szCs w:val="16"/>
          <w:rtl/>
        </w:rPr>
        <w:t>(ל' הטור)</w:t>
      </w:r>
      <w:r>
        <w:rPr>
          <w:rFonts w:cs="Arial"/>
          <w:rtl/>
        </w:rPr>
        <w:t>.</w:t>
      </w:r>
      <w:r>
        <w:rPr>
          <w:color w:val="E36C0A" w:themeColor="accent6" w:themeShade="BF"/>
          <w:rtl/>
        </w:rPr>
        <w:t xml:space="preserve"> (וכ"פ בשו"ע</w:t>
      </w:r>
      <w:r>
        <w:rPr>
          <w:color w:val="000000" w:themeColor="text1"/>
          <w:sz w:val="16"/>
          <w:szCs w:val="16"/>
          <w:rtl/>
        </w:rPr>
        <w:t xml:space="preserve"> [בסע' י</w:t>
      </w:r>
      <w:r w:rsidR="00A82951">
        <w:rPr>
          <w:color w:val="000000" w:themeColor="text1"/>
          <w:sz w:val="16"/>
          <w:szCs w:val="16"/>
          <w:rtl/>
        </w:rPr>
        <w:t>-</w:t>
      </w:r>
      <w:r>
        <w:rPr>
          <w:color w:val="000000" w:themeColor="text1"/>
          <w:sz w:val="16"/>
          <w:szCs w:val="16"/>
          <w:rtl/>
        </w:rPr>
        <w:t>יא]</w:t>
      </w:r>
      <w:r>
        <w:rPr>
          <w:color w:val="E36C0A" w:themeColor="accent6" w:themeShade="BF"/>
          <w:rtl/>
        </w:rPr>
        <w:t>)</w:t>
      </w:r>
    </w:p>
    <w:p w14:paraId="6B45B8ED" w14:textId="16D4E6D8" w:rsidR="00C97BEF" w:rsidRDefault="00C97BEF" w:rsidP="006A458D">
      <w:pPr>
        <w:pStyle w:val="ab"/>
        <w:numPr>
          <w:ilvl w:val="0"/>
          <w:numId w:val="123"/>
        </w:numPr>
      </w:pPr>
      <w:r>
        <w:rPr>
          <w:rFonts w:cs="Arial"/>
          <w:rtl/>
        </w:rPr>
        <w:t>בהעי"ט</w:t>
      </w:r>
      <w:r>
        <w:rPr>
          <w:rFonts w:cs="Arial"/>
          <w:sz w:val="16"/>
          <w:szCs w:val="16"/>
          <w:rtl/>
        </w:rPr>
        <w:t xml:space="preserve"> (אות שי"ן סוף מד ע"ד, כ"כ הטור בשמו)</w:t>
      </w:r>
      <w:r w:rsidR="00A82951">
        <w:rPr>
          <w:rFonts w:cs="Arial"/>
          <w:rtl/>
        </w:rPr>
        <w:t>-</w:t>
      </w:r>
      <w:r>
        <w:rPr>
          <w:rFonts w:cs="Arial"/>
          <w:rtl/>
        </w:rPr>
        <w:t xml:space="preserve"> אפילו אם יתקיים בחותמיו אם העדים מערערים עליו </w:t>
      </w:r>
      <w:r w:rsidR="00A82951">
        <w:rPr>
          <w:rFonts w:cs="Arial"/>
          <w:rtl/>
        </w:rPr>
        <w:t>-</w:t>
      </w:r>
      <w:r>
        <w:rPr>
          <w:rFonts w:cs="Arial"/>
          <w:rtl/>
        </w:rPr>
        <w:t xml:space="preserve"> פסול הוא עד שיתברר</w:t>
      </w:r>
      <w:r w:rsidR="00F04404">
        <w:rPr>
          <w:rFonts w:cs="Arial" w:hint="cs"/>
          <w:rtl/>
        </w:rPr>
        <w:t>,</w:t>
      </w:r>
      <w:r>
        <w:rPr>
          <w:rFonts w:cs="Arial"/>
          <w:rtl/>
        </w:rPr>
        <w:t xml:space="preserve"> דתרי ותרי נינהו</w:t>
      </w:r>
      <w:r>
        <w:rPr>
          <w:rStyle w:val="a7"/>
          <w:rFonts w:cs="Arial"/>
          <w:rtl/>
        </w:rPr>
        <w:footnoteReference w:id="2721"/>
      </w:r>
      <w:r>
        <w:rPr>
          <w:rFonts w:cs="Arial"/>
          <w:rtl/>
        </w:rPr>
        <w:t xml:space="preserve">. </w:t>
      </w:r>
    </w:p>
    <w:p w14:paraId="6CD44D63"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27A9C162" w14:textId="77777777" w:rsidR="00C97BEF" w:rsidRDefault="00C97BEF" w:rsidP="00C97BEF">
      <w:pPr>
        <w:rPr>
          <w:rtl/>
        </w:rPr>
      </w:pPr>
      <w:r>
        <w:rPr>
          <w:rFonts w:cs="Arial"/>
          <w:rtl/>
        </w:rPr>
        <w:t>הוציאה גט מתחת ידה ואמרה: גרשני בעלי בזה, הרי זו נאמנת, ותנשא בו</w:t>
      </w:r>
      <w:r>
        <w:rPr>
          <w:rStyle w:val="a7"/>
          <w:rFonts w:cs="Arial"/>
          <w:rtl/>
        </w:rPr>
        <w:footnoteReference w:id="2722"/>
      </w:r>
      <w:r>
        <w:rPr>
          <w:rFonts w:cs="Arial"/>
          <w:rtl/>
        </w:rPr>
        <w:t xml:space="preserve"> אף על פי שאינו מקוים, כמו שנתבאר בסימן [קמ"א</w:t>
      </w:r>
      <w:r>
        <w:rPr>
          <w:rStyle w:val="a7"/>
          <w:rFonts w:cs="Arial"/>
          <w:rtl/>
        </w:rPr>
        <w:footnoteReference w:id="2723"/>
      </w:r>
      <w:r>
        <w:rPr>
          <w:rFonts w:cs="Arial"/>
          <w:rtl/>
        </w:rPr>
        <w:t xml:space="preserve"> וקמ"ב</w:t>
      </w:r>
      <w:r>
        <w:rPr>
          <w:rStyle w:val="a7"/>
          <w:rFonts w:cs="Arial"/>
          <w:rtl/>
        </w:rPr>
        <w:footnoteReference w:id="2724"/>
      </w:r>
      <w:r>
        <w:rPr>
          <w:rFonts w:cs="Arial"/>
          <w:rtl/>
        </w:rPr>
        <w:t xml:space="preserve">]. </w:t>
      </w:r>
    </w:p>
    <w:p w14:paraId="366C8E2A" w14:textId="77777777" w:rsidR="00C97BEF" w:rsidRDefault="00C97BEF" w:rsidP="00C97BEF">
      <w:pPr>
        <w:rPr>
          <w:rtl/>
        </w:rPr>
      </w:pPr>
    </w:p>
    <w:p w14:paraId="7D96B89F" w14:textId="77777777" w:rsidR="00C97BEF" w:rsidRDefault="00C97BEF" w:rsidP="00C97BEF">
      <w:pPr>
        <w:pStyle w:val="2"/>
        <w:rPr>
          <w:rtl/>
        </w:rPr>
      </w:pPr>
      <w:r>
        <w:rPr>
          <w:rtl/>
        </w:rPr>
        <w:t>סעיף י: יש לה גט לא מקויים והבעל מערער.</w:t>
      </w:r>
    </w:p>
    <w:p w14:paraId="1A35A406" w14:textId="77777777" w:rsidR="00C97BEF" w:rsidRDefault="00C97BEF" w:rsidP="00C97BEF">
      <w:pPr>
        <w:rPr>
          <w:rtl/>
        </w:rPr>
      </w:pPr>
      <w:r>
        <w:rPr>
          <w:rtl/>
        </w:rPr>
        <w:t>עיין במקורות בסעיף הקודם.</w:t>
      </w:r>
    </w:p>
    <w:p w14:paraId="16E24230"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lastRenderedPageBreak/>
        <w:t>שו"ע:</w:t>
      </w:r>
    </w:p>
    <w:p w14:paraId="0111F446" w14:textId="77777777" w:rsidR="00C97BEF" w:rsidRDefault="00C97BEF" w:rsidP="00C97BEF">
      <w:pPr>
        <w:rPr>
          <w:rFonts w:cs="Arial"/>
          <w:rtl/>
        </w:rPr>
      </w:pPr>
      <w:r>
        <w:rPr>
          <w:rFonts w:cs="Arial"/>
          <w:rtl/>
        </w:rPr>
        <w:t>בא הבעל וערער, אם אמר: ממני נפל ומצאה אותו, אינו נאמן, שהרי הודה שכתבו לה, והרי הוא יוצא מתחת ידה. אבל אם אמר הבעל: על תנאי היה ועדיין לא נתקיים התנאי, או פקדון היה, או מעולם לא כתבתיו מזוייף הוא, יתקיים בחותמיו או בעדי מסירה, כמו שנתבאר בסימן [קמ"א</w:t>
      </w:r>
      <w:r>
        <w:rPr>
          <w:rStyle w:val="a7"/>
          <w:rFonts w:cs="Arial"/>
          <w:rtl/>
        </w:rPr>
        <w:footnoteReference w:id="2725"/>
      </w:r>
      <w:r>
        <w:rPr>
          <w:rFonts w:cs="Arial"/>
          <w:rtl/>
        </w:rPr>
        <w:t xml:space="preserve"> וקמ"ב</w:t>
      </w:r>
      <w:r>
        <w:rPr>
          <w:rStyle w:val="a7"/>
          <w:rFonts w:cs="Arial"/>
          <w:rtl/>
        </w:rPr>
        <w:footnoteReference w:id="2726"/>
      </w:r>
      <w:r>
        <w:rPr>
          <w:rFonts w:cs="Arial"/>
          <w:rtl/>
        </w:rPr>
        <w:t xml:space="preserve">]. </w:t>
      </w:r>
    </w:p>
    <w:p w14:paraId="28D4C3D3" w14:textId="77777777" w:rsidR="00C97BEF" w:rsidRDefault="00C97BEF" w:rsidP="00C97BEF">
      <w:pPr>
        <w:rPr>
          <w:rtl/>
        </w:rPr>
      </w:pPr>
    </w:p>
    <w:p w14:paraId="05693772" w14:textId="77777777" w:rsidR="00C97BEF" w:rsidRDefault="00C97BEF" w:rsidP="00C97BEF">
      <w:pPr>
        <w:pStyle w:val="2"/>
        <w:rPr>
          <w:rtl/>
        </w:rPr>
      </w:pPr>
      <w:r>
        <w:rPr>
          <w:rtl/>
        </w:rPr>
        <w:t>סעיף יא: כנ"ל ולא הצליחה לקיים את הגט.</w:t>
      </w:r>
    </w:p>
    <w:p w14:paraId="3080BB76" w14:textId="77777777" w:rsidR="00C97BEF" w:rsidRDefault="00C97BEF" w:rsidP="00C97BEF">
      <w:pPr>
        <w:rPr>
          <w:rtl/>
        </w:rPr>
      </w:pPr>
      <w:r>
        <w:rPr>
          <w:rtl/>
        </w:rPr>
        <w:t>עיין במקורות בסעיף ט.</w:t>
      </w:r>
    </w:p>
    <w:p w14:paraId="55A4720C" w14:textId="77777777" w:rsidR="00C97BEF" w:rsidRDefault="00C97BEF" w:rsidP="00C97BEF">
      <w:pPr>
        <w:rPr>
          <w:u w:val="single"/>
          <w:rtl/>
        </w:rPr>
      </w:pPr>
      <w:r>
        <w:rPr>
          <w:rFonts w:cs="Arial"/>
          <w:u w:val="single"/>
          <w:rtl/>
        </w:rPr>
        <w:t>גט מקוים במעשה ב"ד</w:t>
      </w:r>
      <w:r>
        <w:rPr>
          <w:u w:val="single"/>
          <w:rtl/>
        </w:rPr>
        <w:t>, ועד א' והסופר אומרים שלא צוה הבעל לחתום, וגם באו עדים שהעידו שאחד מעדי הגט גנב:</w:t>
      </w:r>
    </w:p>
    <w:p w14:paraId="20B82631" w14:textId="4B244AD2" w:rsidR="00C97BEF" w:rsidRDefault="00C97BEF" w:rsidP="006A458D">
      <w:pPr>
        <w:pStyle w:val="ab"/>
        <w:numPr>
          <w:ilvl w:val="0"/>
          <w:numId w:val="123"/>
        </w:numPr>
        <w:rPr>
          <w:rtl/>
        </w:rPr>
      </w:pPr>
      <w:r>
        <w:rPr>
          <w:rFonts w:cs="Arial"/>
          <w:rtl/>
        </w:rPr>
        <w:t xml:space="preserve">רא"ש </w:t>
      </w:r>
      <w:r>
        <w:rPr>
          <w:rFonts w:cs="Arial"/>
          <w:sz w:val="16"/>
          <w:szCs w:val="16"/>
          <w:rtl/>
        </w:rPr>
        <w:t>(כלל מה סי' ג)</w:t>
      </w:r>
      <w:r w:rsidR="00A82951">
        <w:rPr>
          <w:rFonts w:cs="Arial"/>
          <w:rtl/>
        </w:rPr>
        <w:t>-</w:t>
      </w:r>
      <w:r>
        <w:rPr>
          <w:rFonts w:cs="Arial"/>
          <w:rtl/>
        </w:rPr>
        <w:t xml:space="preserve"> ששאלת על גט שהוא מקוים במעשה ב"ד וז"ל במותב תלתא הוינן כדנפקא פלוני קדמנא גט כשר ועדיו כשרים ועדיו פלוני ופלוני ומערערים עתה על הגט לפוסלו שמביאים עדים שמעידים על אחד מעידי הגט שגנב. ויש עדים שעשה תשובה והתשובה שראוהו מתענה ומניח תפילין וגם שבאה שבועה לידו ולא רצה לישבע. ועוד עד אחד מעידי הגט אומר שכשצוה הבעל לכתוב הגט לא צוה לחתום וגם הסופר מעיד כן.       תשובה: אם באו עדים שגנב </w:t>
      </w:r>
      <w:r w:rsidR="00A82951">
        <w:rPr>
          <w:rFonts w:cs="Arial"/>
          <w:rtl/>
        </w:rPr>
        <w:t>-</w:t>
      </w:r>
      <w:r>
        <w:rPr>
          <w:rFonts w:cs="Arial"/>
          <w:rtl/>
        </w:rPr>
        <w:t xml:space="preserve"> הרי זה פסול והגט אינו גט, ואע"פ שלא הכריזו עליו שהוא פסול מקודם שחתם. ומה שאמרו עליו שעשה תשובה שהתענה ולא רצה לישבע כל זה אינו תשובה להכשירו עד שיעשה תשובה בממון שגנב. והדיינין שכתבו שהגט ועדיו כשרים יִשָאַלו למה כתבו שהגט ועדיו כשרים, דאם יאמרו ידענו שגנב וגם ידענו שעשה תשובה והחזיר הממון שגנב </w:t>
      </w:r>
      <w:r w:rsidR="00A82951">
        <w:rPr>
          <w:rFonts w:cs="Arial"/>
          <w:rtl/>
        </w:rPr>
        <w:t>-</w:t>
      </w:r>
      <w:r>
        <w:rPr>
          <w:rFonts w:cs="Arial"/>
          <w:rtl/>
        </w:rPr>
        <w:t xml:space="preserve"> הרי הגט כשר. אבל אם יאמרו לא ידענו שגנב או שמא עשה תשובה </w:t>
      </w:r>
      <w:r w:rsidR="00A82951">
        <w:rPr>
          <w:rFonts w:cs="Arial"/>
          <w:rtl/>
        </w:rPr>
        <w:t>-</w:t>
      </w:r>
      <w:r>
        <w:rPr>
          <w:rFonts w:cs="Arial"/>
          <w:rtl/>
        </w:rPr>
        <w:t xml:space="preserve"> הרי לא העידו על כשרותו והגט פסול. ועוד כיון שהעיד הסופר שלא צוה לחתום, וכן עד אחד אומר כן </w:t>
      </w:r>
      <w:r w:rsidR="00A82951">
        <w:rPr>
          <w:rFonts w:cs="Arial"/>
          <w:rtl/>
        </w:rPr>
        <w:t>-</w:t>
      </w:r>
      <w:r>
        <w:rPr>
          <w:rFonts w:cs="Arial"/>
          <w:rtl/>
        </w:rPr>
        <w:t xml:space="preserve"> הגט פסול. ואפי' אם כתב יד העד יוצא ממקום אחר נאמן לומר לא צוני לחתום</w:t>
      </w:r>
      <w:r>
        <w:rPr>
          <w:rStyle w:val="a7"/>
          <w:rFonts w:cs="Arial"/>
          <w:rtl/>
        </w:rPr>
        <w:footnoteReference w:id="2727"/>
      </w:r>
      <w:r>
        <w:rPr>
          <w:rFonts w:cs="Arial"/>
          <w:rtl/>
        </w:rPr>
        <w:t xml:space="preserve"> ולבטל עדות.</w:t>
      </w:r>
    </w:p>
    <w:p w14:paraId="539DF047"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6D17C2C2" w14:textId="77777777" w:rsidR="00C97BEF" w:rsidRDefault="00C97BEF" w:rsidP="00C97BEF">
      <w:pPr>
        <w:rPr>
          <w:rFonts w:cs="Arial"/>
          <w:rtl/>
        </w:rPr>
      </w:pPr>
      <w:r>
        <w:rPr>
          <w:rFonts w:cs="Arial"/>
          <w:rtl/>
        </w:rPr>
        <w:t xml:space="preserve">ואם לא נתקיים, אינה מגורשת להיות מותרת לאחרים, אבל פסלה עצמה מכהונה. </w:t>
      </w:r>
    </w:p>
    <w:p w14:paraId="43978D0E" w14:textId="77777777" w:rsidR="00C97BEF" w:rsidRDefault="00C97BEF" w:rsidP="00C97BEF">
      <w:pPr>
        <w:rPr>
          <w:rtl/>
        </w:rPr>
      </w:pPr>
    </w:p>
    <w:p w14:paraId="280B203D" w14:textId="77777777" w:rsidR="00C97BEF" w:rsidRDefault="00C97BEF" w:rsidP="00C97BEF">
      <w:pPr>
        <w:pStyle w:val="2"/>
        <w:rPr>
          <w:rtl/>
        </w:rPr>
      </w:pPr>
      <w:r>
        <w:rPr>
          <w:rtl/>
        </w:rPr>
        <w:t>סעיף יב: אשה שיש לה מעשה בית דין, ואין לה גט.</w:t>
      </w:r>
    </w:p>
    <w:p w14:paraId="4DE088F2" w14:textId="77777777" w:rsidR="00C97BEF" w:rsidRDefault="00C97BEF" w:rsidP="00C97BEF">
      <w:pPr>
        <w:rPr>
          <w:u w:val="single"/>
          <w:rtl/>
        </w:rPr>
      </w:pPr>
      <w:r>
        <w:rPr>
          <w:u w:val="single"/>
          <w:rtl/>
        </w:rPr>
        <w:t>אשה שיש לה מעשה בית דין, ואין לה גט:</w:t>
      </w:r>
    </w:p>
    <w:p w14:paraId="39F27C03" w14:textId="62D33C14" w:rsidR="00C97BEF" w:rsidRDefault="00C97BEF" w:rsidP="006A458D">
      <w:pPr>
        <w:pStyle w:val="ab"/>
        <w:numPr>
          <w:ilvl w:val="0"/>
          <w:numId w:val="123"/>
        </w:numPr>
        <w:rPr>
          <w:rtl/>
        </w:rPr>
      </w:pPr>
      <w:r>
        <w:rPr>
          <w:rFonts w:cs="Arial"/>
          <w:rtl/>
        </w:rPr>
        <w:t xml:space="preserve">תשב"ץ </w:t>
      </w:r>
      <w:r>
        <w:rPr>
          <w:rFonts w:cs="Arial"/>
          <w:sz w:val="16"/>
          <w:szCs w:val="16"/>
          <w:rtl/>
        </w:rPr>
        <w:t>(ח"א סי' קעג)</w:t>
      </w:r>
      <w:r w:rsidR="00A82951">
        <w:rPr>
          <w:rFonts w:cs="Arial"/>
          <w:rtl/>
        </w:rPr>
        <w:t>-</w:t>
      </w:r>
      <w:r>
        <w:rPr>
          <w:rFonts w:cs="Arial"/>
          <w:rtl/>
        </w:rPr>
        <w:t xml:space="preserve"> אשה שיש בידה מעשה בית דין</w:t>
      </w:r>
      <w:r w:rsidR="00722F79">
        <w:rPr>
          <w:rFonts w:cs="Arial" w:hint="cs"/>
          <w:rtl/>
        </w:rPr>
        <w:t>,</w:t>
      </w:r>
      <w:r>
        <w:rPr>
          <w:rFonts w:cs="Arial"/>
          <w:rtl/>
        </w:rPr>
        <w:t xml:space="preserve"> אינה יכולה להנשא בו עד שיוכרו חתימת ידי הבית דין</w:t>
      </w:r>
      <w:r>
        <w:rPr>
          <w:rStyle w:val="a7"/>
          <w:rFonts w:cs="Arial"/>
          <w:rtl/>
        </w:rPr>
        <w:footnoteReference w:id="2728"/>
      </w:r>
      <w:r>
        <w:rPr>
          <w:rFonts w:cs="Arial"/>
          <w:rtl/>
        </w:rPr>
        <w:t xml:space="preserve">. </w:t>
      </w:r>
      <w:r>
        <w:rPr>
          <w:color w:val="E36C0A" w:themeColor="accent6" w:themeShade="BF"/>
          <w:rtl/>
        </w:rPr>
        <w:t>(וכ"פ בשו"ע)</w:t>
      </w:r>
    </w:p>
    <w:p w14:paraId="268C5F99"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23C489F" w14:textId="77777777" w:rsidR="00C97BEF" w:rsidRDefault="00C97BEF" w:rsidP="00C97BEF">
      <w:pPr>
        <w:rPr>
          <w:rFonts w:cs="Arial"/>
          <w:rtl/>
        </w:rPr>
      </w:pPr>
      <w:r>
        <w:rPr>
          <w:rFonts w:cs="Arial"/>
          <w:rtl/>
        </w:rPr>
        <w:t>אשה שיש בידה מעשה בית דין, אינה יכולה</w:t>
      </w:r>
      <w:r>
        <w:rPr>
          <w:rStyle w:val="a7"/>
          <w:rFonts w:cs="Arial"/>
          <w:rtl/>
        </w:rPr>
        <w:footnoteReference w:id="2729"/>
      </w:r>
      <w:r>
        <w:rPr>
          <w:rFonts w:cs="Arial"/>
          <w:rtl/>
        </w:rPr>
        <w:t xml:space="preserve"> לינשא בו עד שיוכרו חתימות ידי הבית דין</w:t>
      </w:r>
      <w:r>
        <w:rPr>
          <w:rStyle w:val="a7"/>
          <w:rFonts w:cs="Arial"/>
          <w:rtl/>
        </w:rPr>
        <w:footnoteReference w:id="2730"/>
      </w:r>
      <w:r>
        <w:rPr>
          <w:rFonts w:cs="Arial"/>
          <w:rtl/>
        </w:rPr>
        <w:t>.</w:t>
      </w:r>
    </w:p>
    <w:p w14:paraId="0DBAE603" w14:textId="57D9C6E0" w:rsidR="00C97BEF" w:rsidRDefault="00C97BEF" w:rsidP="00C97BEF">
      <w:pPr>
        <w:rPr>
          <w:rFonts w:cs="Arial"/>
          <w:rtl/>
        </w:rPr>
      </w:pPr>
      <w:r>
        <w:rPr>
          <w:rFonts w:cs="Arial"/>
          <w:u w:val="single"/>
          <w:rtl/>
        </w:rPr>
        <w:t xml:space="preserve">מעשה בית דין שכתוב בו 'פלונית נתגרשה בפנינו בגט כשר' </w:t>
      </w:r>
      <w:r w:rsidR="00A82951">
        <w:rPr>
          <w:rFonts w:cs="Arial"/>
          <w:u w:val="single"/>
          <w:rtl/>
        </w:rPr>
        <w:t>-</w:t>
      </w:r>
      <w:r>
        <w:rPr>
          <w:rFonts w:cs="Arial"/>
          <w:u w:val="single"/>
          <w:rtl/>
        </w:rPr>
        <w:t xml:space="preserve"> והגט שהוציאה פסול:</w:t>
      </w:r>
      <w:r>
        <w:rPr>
          <w:rFonts w:cs="Arial"/>
          <w:rtl/>
        </w:rPr>
        <w:t xml:space="preserve"> </w:t>
      </w:r>
      <w:r>
        <w:rPr>
          <w:rFonts w:cs="Arial"/>
          <w:sz w:val="16"/>
          <w:szCs w:val="16"/>
          <w:rtl/>
        </w:rPr>
        <w:t>(פת"ש סקי"ז)</w:t>
      </w:r>
      <w:r>
        <w:rPr>
          <w:rFonts w:cs="Arial"/>
          <w:rtl/>
        </w:rPr>
        <w:t xml:space="preserve"> </w:t>
      </w:r>
    </w:p>
    <w:p w14:paraId="5616CA72" w14:textId="6D8B2D1F" w:rsidR="00C97BEF" w:rsidRDefault="00C97BEF" w:rsidP="006A458D">
      <w:pPr>
        <w:pStyle w:val="ab"/>
        <w:numPr>
          <w:ilvl w:val="0"/>
          <w:numId w:val="123"/>
        </w:numPr>
        <w:rPr>
          <w:rtl/>
        </w:rPr>
      </w:pPr>
      <w:r>
        <w:rPr>
          <w:rFonts w:cs="Arial"/>
          <w:rtl/>
        </w:rPr>
        <w:t xml:space="preserve">רדב"ז </w:t>
      </w:r>
      <w:r>
        <w:rPr>
          <w:rFonts w:cs="Arial"/>
          <w:sz w:val="16"/>
          <w:szCs w:val="16"/>
          <w:rtl/>
        </w:rPr>
        <w:t>(ח"ב סי' תרב)</w:t>
      </w:r>
      <w:r w:rsidR="00A82951">
        <w:rPr>
          <w:rFonts w:cs="Arial"/>
          <w:rtl/>
        </w:rPr>
        <w:t>-</w:t>
      </w:r>
      <w:r>
        <w:rPr>
          <w:rFonts w:cs="Arial"/>
          <w:rtl/>
        </w:rPr>
        <w:t xml:space="preserve"> אשה שהוציאה מעשה ב"ד פלונית נתגרשה בפנינו בגט כשר והוציאה הגט והוא פסול. הדבר ברור שאין ב"ד או עדים יכולים להכשיר את הפסול ושמא לא דקדקו יפה. ומ"מ צריך לדקדק אם </w:t>
      </w:r>
      <w:r>
        <w:rPr>
          <w:rFonts w:cs="Arial"/>
          <w:rtl/>
        </w:rPr>
        <w:lastRenderedPageBreak/>
        <w:t xml:space="preserve">הפסול הוא עשוי להיות אחר הנתינה כגון דבוק או טשטוש או קרע או מחק וכיוצא תלינן שכשר היה ואח"כ נפסל ולב"ד טועין לא חיישינן. אבל אם הוא פסול שהדבר מתברר שהיו בו מתחילתו </w:t>
      </w:r>
      <w:r w:rsidR="00A82951">
        <w:rPr>
          <w:rFonts w:cs="Arial"/>
          <w:rtl/>
        </w:rPr>
        <w:t>-</w:t>
      </w:r>
      <w:r>
        <w:rPr>
          <w:rFonts w:cs="Arial"/>
          <w:rtl/>
        </w:rPr>
        <w:t xml:space="preserve"> הגט פסול ואפי' אם נשאת תצא. ואם לא היה בידה אלא עדות עדים שנתגרשה בגט כשר (עמ"ש לעיל סי' קמ"ב סק"ז) ונמצא פסול </w:t>
      </w:r>
      <w:r w:rsidR="00A82951">
        <w:rPr>
          <w:rFonts w:cs="Arial"/>
          <w:rtl/>
        </w:rPr>
        <w:t>-</w:t>
      </w:r>
      <w:r>
        <w:rPr>
          <w:rFonts w:cs="Arial"/>
          <w:rtl/>
        </w:rPr>
        <w:t xml:space="preserve"> בכל גוונא פסול דתלינן דלא דקדקו או שלא היו בקיאין. ואם יבאו העדים ויאמרו פסול זה לא היה בגט זה בשעה שנמסר </w:t>
      </w:r>
      <w:r w:rsidR="00A82951">
        <w:rPr>
          <w:rFonts w:cs="Arial"/>
          <w:rtl/>
        </w:rPr>
        <w:t>-</w:t>
      </w:r>
      <w:r>
        <w:rPr>
          <w:rFonts w:cs="Arial"/>
          <w:rtl/>
        </w:rPr>
        <w:t xml:space="preserve"> הרי הוא כשר ותנשא בו לכתחלה.</w:t>
      </w:r>
    </w:p>
    <w:p w14:paraId="43614A96" w14:textId="5BDE6F0E" w:rsidR="00C97BEF" w:rsidRDefault="00C97BEF" w:rsidP="00C97BEF">
      <w:pPr>
        <w:rPr>
          <w:sz w:val="16"/>
          <w:szCs w:val="16"/>
          <w:u w:val="single"/>
        </w:rPr>
      </w:pPr>
      <w:r>
        <w:rPr>
          <w:u w:val="single"/>
          <w:rtl/>
        </w:rPr>
        <w:t xml:space="preserve">בשעת הדחק או במקום עיגון </w:t>
      </w:r>
      <w:r w:rsidR="00A82951">
        <w:rPr>
          <w:u w:val="single"/>
          <w:rtl/>
        </w:rPr>
        <w:t>-</w:t>
      </w:r>
      <w:r>
        <w:rPr>
          <w:u w:val="single"/>
          <w:rtl/>
        </w:rPr>
        <w:t xml:space="preserve"> האם מתירים לאשה שיש לה מעשה ב"ד שלא מכירים את החתימות להנשא:</w:t>
      </w:r>
      <w:r>
        <w:rPr>
          <w:sz w:val="16"/>
          <w:szCs w:val="16"/>
          <w:rtl/>
        </w:rPr>
        <w:t xml:space="preserve"> (סקי"ט)</w:t>
      </w:r>
    </w:p>
    <w:p w14:paraId="067727CD" w14:textId="5FB0E496" w:rsidR="00C97BEF" w:rsidRDefault="00C97BEF" w:rsidP="006A458D">
      <w:pPr>
        <w:pStyle w:val="ab"/>
        <w:numPr>
          <w:ilvl w:val="0"/>
          <w:numId w:val="123"/>
        </w:numPr>
      </w:pPr>
      <w:r>
        <w:rPr>
          <w:rFonts w:cs="Arial"/>
          <w:rtl/>
        </w:rPr>
        <w:t xml:space="preserve">נו"ב </w:t>
      </w:r>
      <w:r>
        <w:rPr>
          <w:rFonts w:cs="Arial"/>
          <w:sz w:val="16"/>
          <w:szCs w:val="16"/>
          <w:rtl/>
        </w:rPr>
        <w:t>(תניינא סי' קלו)</w:t>
      </w:r>
      <w:r w:rsidR="00A82951">
        <w:rPr>
          <w:rFonts w:cs="Arial"/>
          <w:rtl/>
        </w:rPr>
        <w:t>-</w:t>
      </w:r>
      <w:r>
        <w:rPr>
          <w:rFonts w:cs="Arial"/>
          <w:rtl/>
        </w:rPr>
        <w:t xml:space="preserve"> יש לתרץ דלא תקשי מלעיל ס"ס קמ"ב בהג"ה ואמאי שתק רמ"א כאן ולא הגיה שבשעת הדחק ועיגון יש לסמוך ע"ד הרשב"ץ שמעשה ב"ד א"צ קיום, דשאני התם דמיירי שהביא השליח גוף הגט מקויים, אבל כאן אין גט לפנינו רק מעשה ב"ד לחוד. וטעם החילוק בזה הוא מתרי טעמי חדא דשם בס"ס קמ"ב שהביא גוף הגט מקוים א"כ אין כאן שום ריעותא רק מה שאין מכירין כאן החתימות בזה סמכינן על הר"ש בן הרשב"ץ שסמך ע"ד הירוש' דחתימת ב"ד א"צ קיום. אבל כאן שאין הגט בידה רק מעשה ב"ד לחוד ויש כאן ריעותא למה אין הגט בידה לא סמך רמ"א ע"ד הירושל' בזה כי אולי במקום ריעותא גם הירוש' אינו מקיל. ועוד דשם בס"ס קמ"ב שהביא השליח גוף הגט בחתימת עדי הגט וגם קיום מדיינים בזה שייך סברת הרשב"ץ שהביא הב"י שם, כיון שהשליח נאמן לקיים ביחידי חתימת העדים, א"כ ק"ו שחתימת דייני הקיום על חתימת העדים מהני דעדיף טפי גט מקויים שלא נתקיים הגט מעד א' אומר בפ"נ כו'. אבל כאן שלא בא גוף הגט רק המעשה ב"ד לחוד בזה לא שייך סברת הרשב"ץ הנ"ל. והאריך בזה ומסיק כן לדינא דאם אין שום גט לפנינו רק מעשה ב"ד שמבואר בו שנתגרשה כדמו"י בין שהוא ביד האשה עצמה ובין שהוא ביד שליח לקבלה של האשה שהביא שמעשה ב"ד שקיים שליחותו וקיבל הגט ושקרעו כל זה אינו מועיל ולא תנשא עד שתתקיים חתימת הדיינים ואפילו במקום דחק ועיגון אין להתיר כו' וכן הדין במעשה ב"ד של חליצה שאינו מקויים שהרי אין כאן חתימת עדים רק המעשה ב"ד אפי' במקום דחק ועיגון אין מתירין אותה להנשא עד שיתקיימו החתימות ע"ש</w:t>
      </w:r>
      <w:r>
        <w:rPr>
          <w:rStyle w:val="a7"/>
          <w:rFonts w:cs="Arial"/>
          <w:rtl/>
        </w:rPr>
        <w:footnoteReference w:id="2731"/>
      </w:r>
      <w:r>
        <w:rPr>
          <w:rFonts w:cs="Arial"/>
          <w:rtl/>
        </w:rPr>
        <w:t>.</w:t>
      </w:r>
    </w:p>
    <w:p w14:paraId="243E85A4" w14:textId="0DB1DEA1" w:rsidR="00C97BEF" w:rsidRDefault="00C97BEF" w:rsidP="006A458D">
      <w:pPr>
        <w:pStyle w:val="ab"/>
        <w:numPr>
          <w:ilvl w:val="0"/>
          <w:numId w:val="123"/>
        </w:numPr>
      </w:pPr>
      <w:r>
        <w:rPr>
          <w:rFonts w:cs="Arial"/>
          <w:rtl/>
        </w:rPr>
        <w:t xml:space="preserve">בגדי ישע </w:t>
      </w:r>
      <w:r>
        <w:rPr>
          <w:rFonts w:cs="Arial"/>
          <w:sz w:val="16"/>
          <w:szCs w:val="16"/>
          <w:rtl/>
        </w:rPr>
        <w:t>(סי' ל)</w:t>
      </w:r>
      <w:r w:rsidR="00A82951">
        <w:rPr>
          <w:rFonts w:cs="Arial"/>
          <w:rtl/>
        </w:rPr>
        <w:t>-</w:t>
      </w:r>
      <w:r>
        <w:rPr>
          <w:rFonts w:cs="Arial"/>
          <w:rtl/>
        </w:rPr>
        <w:t xml:space="preserve"> יש להתיר במקום עיגון ליתן לה הגט לכתחלה.</w:t>
      </w:r>
    </w:p>
    <w:p w14:paraId="0D99B7D4" w14:textId="77777777" w:rsidR="00C97BEF" w:rsidRDefault="00C97BEF" w:rsidP="00C97BEF">
      <w:pPr>
        <w:ind w:left="360"/>
        <w:rPr>
          <w:u w:val="dotted"/>
        </w:rPr>
      </w:pPr>
      <w:r>
        <w:rPr>
          <w:u w:val="dotted"/>
          <w:rtl/>
        </w:rPr>
        <w:t>ומה הדין אם הגט הגיע ע"י הדואר ולא ע"י האשה:</w:t>
      </w:r>
    </w:p>
    <w:p w14:paraId="5D2DEBEC" w14:textId="4DA6E47D" w:rsidR="00C97BEF" w:rsidRDefault="00C97BEF" w:rsidP="006A458D">
      <w:pPr>
        <w:pStyle w:val="ab"/>
        <w:numPr>
          <w:ilvl w:val="0"/>
          <w:numId w:val="123"/>
        </w:numPr>
      </w:pPr>
      <w:r>
        <w:rPr>
          <w:rFonts w:cs="Arial"/>
          <w:rtl/>
        </w:rPr>
        <w:t xml:space="preserve">בגדי ישע </w:t>
      </w:r>
      <w:r>
        <w:rPr>
          <w:rFonts w:cs="Arial"/>
          <w:sz w:val="16"/>
          <w:szCs w:val="16"/>
          <w:rtl/>
        </w:rPr>
        <w:t>(סי' ל)</w:t>
      </w:r>
      <w:r w:rsidR="00A82951">
        <w:rPr>
          <w:rFonts w:cs="Arial"/>
          <w:rtl/>
        </w:rPr>
        <w:t>-</w:t>
      </w:r>
      <w:r>
        <w:rPr>
          <w:rFonts w:cs="Arial"/>
          <w:rtl/>
        </w:rPr>
        <w:t xml:space="preserve"> אם נשלח מעשה ב"ד ע"י בי דואר גם המחבר ס"ס קנ"ב מודה שמותרת לינשא בלא הכרת חתימת ב"ד, דהרי דקדק הש"ע בלשונו וכתב אשה שיש בידה מעשה ב"ד כו', וכן הוא הלשון במקור הדין בתשב"ץ </w:t>
      </w:r>
      <w:r w:rsidR="00722F79">
        <w:rPr>
          <w:rFonts w:cs="Arial" w:hint="cs"/>
          <w:rtl/>
        </w:rPr>
        <w:t>(</w:t>
      </w:r>
      <w:r>
        <w:rPr>
          <w:rFonts w:cs="Arial"/>
          <w:rtl/>
        </w:rPr>
        <w:t>ח"א סי</w:t>
      </w:r>
      <w:r w:rsidR="00722F79">
        <w:rPr>
          <w:rFonts w:cs="Arial" w:hint="cs"/>
          <w:rtl/>
        </w:rPr>
        <w:t>'</w:t>
      </w:r>
      <w:r>
        <w:rPr>
          <w:rFonts w:cs="Arial"/>
          <w:rtl/>
        </w:rPr>
        <w:t xml:space="preserve"> קעג</w:t>
      </w:r>
      <w:r w:rsidR="00722F79">
        <w:rPr>
          <w:rFonts w:cs="Arial" w:hint="cs"/>
          <w:rtl/>
        </w:rPr>
        <w:t>)</w:t>
      </w:r>
      <w:r>
        <w:rPr>
          <w:rFonts w:cs="Arial"/>
          <w:rtl/>
        </w:rPr>
        <w:t>, והוא מטעם דחיישינן לזיופא דאשה. אבל אם המעשה ב"ד בא ע"י בי דואר ליד ב"ד ולא שלטה בו ידי האשה מעולם דליכא למיחש לזיופא דאשה, ולא לזיופא דשום אדם, ודאי גם התשב"ץ והש"ע מודים דא"צ הכרת חתימת ב"ד</w:t>
      </w:r>
      <w:r>
        <w:rPr>
          <w:rStyle w:val="a7"/>
          <w:rFonts w:cs="Arial"/>
          <w:rtl/>
        </w:rPr>
        <w:footnoteReference w:id="2732"/>
      </w:r>
      <w:r>
        <w:rPr>
          <w:rFonts w:cs="Arial"/>
          <w:rtl/>
        </w:rPr>
        <w:t>.</w:t>
      </w:r>
    </w:p>
    <w:p w14:paraId="45C0A782" w14:textId="77777777" w:rsidR="00C97BEF" w:rsidRDefault="00C97BEF" w:rsidP="00C97BEF">
      <w:pPr>
        <w:bidi w:val="0"/>
        <w:spacing w:after="0"/>
        <w:rPr>
          <w:rtl/>
        </w:rPr>
        <w:sectPr w:rsidR="00C97BEF">
          <w:headerReference w:type="default" r:id="rId45"/>
          <w:footnotePr>
            <w:numRestart w:val="eachSect"/>
          </w:footnotePr>
          <w:pgSz w:w="11906" w:h="16838"/>
          <w:pgMar w:top="720" w:right="1134" w:bottom="720" w:left="1134" w:header="0" w:footer="0" w:gutter="0"/>
          <w:cols w:space="720"/>
          <w:bidi/>
          <w:rtlGutter/>
        </w:sectPr>
      </w:pPr>
    </w:p>
    <w:p w14:paraId="0AE6F9DA" w14:textId="77777777" w:rsidR="00C97BEF" w:rsidRDefault="00C97BEF" w:rsidP="00C97BEF">
      <w:pPr>
        <w:pStyle w:val="1"/>
        <w:rPr>
          <w:rtl/>
        </w:rPr>
      </w:pPr>
      <w:r>
        <w:rPr>
          <w:rtl/>
        </w:rPr>
        <w:lastRenderedPageBreak/>
        <w:t xml:space="preserve">סימן קנג: </w:t>
      </w:r>
      <w:r>
        <w:rPr>
          <w:rFonts w:cs="Arial"/>
          <w:rtl/>
        </w:rPr>
        <w:t xml:space="preserve">דין </w:t>
      </w:r>
      <w:bookmarkStart w:id="38" w:name="_Hlk138875617"/>
      <w:r>
        <w:rPr>
          <w:rFonts w:cs="Arial"/>
          <w:rtl/>
        </w:rPr>
        <w:t xml:space="preserve">המוצא גט בשוק למי יחזיר </w:t>
      </w:r>
      <w:bookmarkEnd w:id="38"/>
      <w:r>
        <w:rPr>
          <w:rFonts w:cs="Arial"/>
          <w:rtl/>
        </w:rPr>
        <w:t xml:space="preserve">אותו, ובו סעיף אחד. </w:t>
      </w:r>
    </w:p>
    <w:p w14:paraId="5A0BC895" w14:textId="77777777" w:rsidR="00C97BEF" w:rsidRDefault="00C97BEF" w:rsidP="00C97BEF">
      <w:pPr>
        <w:pStyle w:val="2"/>
        <w:rPr>
          <w:rtl/>
        </w:rPr>
      </w:pPr>
      <w:r>
        <w:rPr>
          <w:rtl/>
        </w:rPr>
        <w:t>סעיף א</w:t>
      </w:r>
    </w:p>
    <w:p w14:paraId="111AD24D" w14:textId="3DD3184F" w:rsidR="00C97BEF" w:rsidRDefault="00C97BEF" w:rsidP="00C97BEF">
      <w:pPr>
        <w:rPr>
          <w:rFonts w:cs="Arial"/>
          <w:rtl/>
        </w:rPr>
      </w:pPr>
      <w:r>
        <w:rPr>
          <w:rFonts w:cs="Arial"/>
          <w:b/>
          <w:bCs/>
          <w:rtl/>
        </w:rPr>
        <w:t xml:space="preserve">בבא מציעא </w:t>
      </w:r>
      <w:r>
        <w:rPr>
          <w:rFonts w:cs="Arial"/>
          <w:b/>
          <w:bCs/>
          <w:sz w:val="16"/>
          <w:szCs w:val="16"/>
          <w:rtl/>
        </w:rPr>
        <w:t>(פ' אלו מציאות)</w:t>
      </w:r>
      <w:r>
        <w:rPr>
          <w:rFonts w:cs="Arial"/>
          <w:b/>
          <w:bCs/>
          <w:rtl/>
        </w:rPr>
        <w:t xml:space="preserve"> כח ע"א:</w:t>
      </w:r>
      <w:r>
        <w:rPr>
          <w:rFonts w:cs="Arial"/>
          <w:rtl/>
        </w:rPr>
        <w:t xml:space="preserve"> הוא אומר סימני הגט והיא אומרת סימני הגט </w:t>
      </w:r>
      <w:r w:rsidR="00A82951">
        <w:rPr>
          <w:rFonts w:cs="Arial"/>
          <w:rtl/>
        </w:rPr>
        <w:t>-</w:t>
      </w:r>
      <w:r>
        <w:rPr>
          <w:rFonts w:cs="Arial"/>
          <w:rtl/>
        </w:rPr>
        <w:t xml:space="preserve"> ינתן לה</w:t>
      </w:r>
      <w:r>
        <w:rPr>
          <w:rStyle w:val="a7"/>
          <w:rFonts w:cs="Arial"/>
          <w:rtl/>
        </w:rPr>
        <w:footnoteReference w:id="2733"/>
      </w:r>
      <w:r>
        <w:rPr>
          <w:rFonts w:cs="Arial"/>
          <w:rtl/>
        </w:rPr>
        <w:t xml:space="preserve">. במאי? אילימא במדת ארכו ורחבו </w:t>
      </w:r>
      <w:r w:rsidR="00A82951">
        <w:rPr>
          <w:rFonts w:cs="Arial"/>
          <w:rtl/>
        </w:rPr>
        <w:t>-</w:t>
      </w:r>
      <w:r>
        <w:rPr>
          <w:rFonts w:cs="Arial"/>
          <w:rtl/>
        </w:rPr>
        <w:t xml:space="preserve"> דלמא בהדי דנקיט ליה חזיתיה? אלא, נקב יש בו בצד אות פלוני. הוא אומר סימני החוט והיא אומרת סמני החוט </w:t>
      </w:r>
      <w:r w:rsidR="00A82951">
        <w:rPr>
          <w:rFonts w:cs="Arial"/>
          <w:rtl/>
        </w:rPr>
        <w:t>-</w:t>
      </w:r>
      <w:r>
        <w:rPr>
          <w:rFonts w:cs="Arial"/>
          <w:rtl/>
        </w:rPr>
        <w:t xml:space="preserve"> ינתן לה. במאי? אילימא בחיורא ובסומקא </w:t>
      </w:r>
      <w:r w:rsidR="00A82951">
        <w:rPr>
          <w:rFonts w:cs="Arial"/>
          <w:rtl/>
        </w:rPr>
        <w:t>-</w:t>
      </w:r>
      <w:r>
        <w:rPr>
          <w:rFonts w:cs="Arial"/>
          <w:rtl/>
        </w:rPr>
        <w:t xml:space="preserve"> ודלמא בהדי דנקיט ליה חזיתיה? אלא, במדת ארכו. הוא אומר בחפיסה והיא אומרת בחפיסה </w:t>
      </w:r>
      <w:r w:rsidR="00A82951">
        <w:rPr>
          <w:rFonts w:cs="Arial"/>
          <w:rtl/>
        </w:rPr>
        <w:t>-</w:t>
      </w:r>
      <w:r>
        <w:rPr>
          <w:rFonts w:cs="Arial"/>
          <w:rtl/>
        </w:rPr>
        <w:t xml:space="preserve"> ינתן לו, מאי טעמא</w:t>
      </w:r>
      <w:r w:rsidR="008A54E8">
        <w:rPr>
          <w:rFonts w:cs="Arial" w:hint="cs"/>
          <w:rtl/>
        </w:rPr>
        <w:t>?</w:t>
      </w:r>
      <w:r>
        <w:rPr>
          <w:rFonts w:cs="Arial"/>
          <w:rtl/>
        </w:rPr>
        <w:t xml:space="preserve"> מידע ידעה דכל מה דאית ליה </w:t>
      </w:r>
      <w:r w:rsidR="008A54E8">
        <w:rPr>
          <w:rFonts w:cs="Arial" w:hint="cs"/>
          <w:rtl/>
        </w:rPr>
        <w:t xml:space="preserve">- </w:t>
      </w:r>
      <w:r>
        <w:rPr>
          <w:rFonts w:cs="Arial"/>
          <w:rtl/>
        </w:rPr>
        <w:t xml:space="preserve">בחפיסה הוא דמנח ליה. </w:t>
      </w:r>
    </w:p>
    <w:p w14:paraId="4D02831A" w14:textId="688CDA85" w:rsidR="00C97BEF" w:rsidRDefault="00C97BEF" w:rsidP="00C97BEF">
      <w:pPr>
        <w:rPr>
          <w:rFonts w:cs="Arial"/>
          <w:rtl/>
        </w:rPr>
      </w:pPr>
      <w:r>
        <w:rPr>
          <w:rFonts w:cs="Arial"/>
          <w:b/>
          <w:bCs/>
          <w:rtl/>
        </w:rPr>
        <w:t xml:space="preserve">בבא מציעא </w:t>
      </w:r>
      <w:r>
        <w:rPr>
          <w:rFonts w:cs="Arial"/>
          <w:b/>
          <w:bCs/>
          <w:sz w:val="16"/>
          <w:szCs w:val="16"/>
          <w:rtl/>
        </w:rPr>
        <w:t xml:space="preserve">(ספ"ק) </w:t>
      </w:r>
      <w:r>
        <w:rPr>
          <w:rFonts w:cs="Arial"/>
          <w:b/>
          <w:bCs/>
          <w:rtl/>
        </w:rPr>
        <w:t xml:space="preserve">יח ע"ב: </w:t>
      </w:r>
      <w:r w:rsidRPr="00B97196">
        <w:rPr>
          <w:rFonts w:cs="Arial"/>
          <w:u w:val="single"/>
          <w:rtl/>
        </w:rPr>
        <w:t>רבי זירא</w:t>
      </w:r>
      <w:r>
        <w:rPr>
          <w:rFonts w:cs="Arial"/>
          <w:rtl/>
        </w:rPr>
        <w:t xml:space="preserve"> רמי מתניתין אברייתא ומשני: תנן: המביא גט ואבד הימנו, מצאו לאלתר </w:t>
      </w:r>
      <w:r w:rsidR="00A82951">
        <w:rPr>
          <w:rFonts w:cs="Arial"/>
          <w:rtl/>
        </w:rPr>
        <w:t>-</w:t>
      </w:r>
      <w:r>
        <w:rPr>
          <w:rFonts w:cs="Arial"/>
          <w:rtl/>
        </w:rPr>
        <w:t xml:space="preserve"> כשר, ואם לאו </w:t>
      </w:r>
      <w:r w:rsidR="00A82951">
        <w:rPr>
          <w:rFonts w:cs="Arial"/>
          <w:rtl/>
        </w:rPr>
        <w:t>-</w:t>
      </w:r>
      <w:r>
        <w:rPr>
          <w:rFonts w:cs="Arial"/>
          <w:rtl/>
        </w:rPr>
        <w:t xml:space="preserve"> פסול. ורמינהי: מצא גט אשה בשוק, בזמן שהבעל מודה </w:t>
      </w:r>
      <w:r w:rsidR="00A82951">
        <w:rPr>
          <w:rFonts w:cs="Arial"/>
          <w:rtl/>
        </w:rPr>
        <w:t>-</w:t>
      </w:r>
      <w:r>
        <w:rPr>
          <w:rFonts w:cs="Arial"/>
          <w:rtl/>
        </w:rPr>
        <w:t xml:space="preserve"> יחזיר לאשה, אין הבעל מודה </w:t>
      </w:r>
      <w:r w:rsidR="00A82951">
        <w:rPr>
          <w:rFonts w:cs="Arial"/>
          <w:rtl/>
        </w:rPr>
        <w:t>-</w:t>
      </w:r>
      <w:r>
        <w:rPr>
          <w:rFonts w:cs="Arial"/>
          <w:rtl/>
        </w:rPr>
        <w:t xml:space="preserve"> לא יחזיר לא לזה ולא לזה</w:t>
      </w:r>
      <w:r>
        <w:rPr>
          <w:rStyle w:val="a7"/>
          <w:rFonts w:cs="Arial"/>
          <w:rtl/>
        </w:rPr>
        <w:footnoteReference w:id="2734"/>
      </w:r>
      <w:r>
        <w:rPr>
          <w:rFonts w:cs="Arial"/>
          <w:rtl/>
        </w:rPr>
        <w:t xml:space="preserve">. קתני מיהת: בזמן שהבעל מודה </w:t>
      </w:r>
      <w:r w:rsidR="00A82951">
        <w:rPr>
          <w:rFonts w:cs="Arial"/>
          <w:rtl/>
        </w:rPr>
        <w:t>-</w:t>
      </w:r>
      <w:r>
        <w:rPr>
          <w:rFonts w:cs="Arial"/>
          <w:rtl/>
        </w:rPr>
        <w:t xml:space="preserve"> יחזיר לאשה, ואפילו לזמן מרובה! ומשני: כאן </w:t>
      </w:r>
      <w:r w:rsidR="00A82951">
        <w:rPr>
          <w:rFonts w:cs="Arial"/>
          <w:rtl/>
        </w:rPr>
        <w:t>-</w:t>
      </w:r>
      <w:r>
        <w:rPr>
          <w:rFonts w:cs="Arial"/>
          <w:rtl/>
        </w:rPr>
        <w:t xml:space="preserve"> במקום שהשיירות מצויות, וכאן </w:t>
      </w:r>
      <w:r w:rsidR="00A82951">
        <w:rPr>
          <w:rFonts w:cs="Arial"/>
          <w:rtl/>
        </w:rPr>
        <w:t>-</w:t>
      </w:r>
      <w:r>
        <w:rPr>
          <w:rFonts w:cs="Arial"/>
          <w:rtl/>
        </w:rPr>
        <w:t xml:space="preserve"> במקום שאין השיירות מצויות. איכא דאמרי: והוא שהוחזקו</w:t>
      </w:r>
      <w:r>
        <w:rPr>
          <w:rStyle w:val="a7"/>
          <w:rFonts w:cs="Arial"/>
          <w:rtl/>
        </w:rPr>
        <w:footnoteReference w:id="2735"/>
      </w:r>
      <w:r>
        <w:rPr>
          <w:rFonts w:cs="Arial"/>
          <w:rtl/>
        </w:rPr>
        <w:t xml:space="preserve"> דלא נהדר, והיינו דרבה. איכא דאמרי: אף על גב דלא הוחזקו לא נהדר, ופליגא דרבה. </w:t>
      </w:r>
      <w:r>
        <w:rPr>
          <w:rFonts w:cs="Arial"/>
          <w:sz w:val="16"/>
          <w:szCs w:val="16"/>
          <w:rtl/>
        </w:rPr>
        <w:t>(וכבר נתבארו דינים הללו בסימן קל"ב, ב"י)</w:t>
      </w:r>
      <w:r>
        <w:rPr>
          <w:rtl/>
        </w:rPr>
        <w:t xml:space="preserve"> </w:t>
      </w:r>
    </w:p>
    <w:p w14:paraId="746C5FF2" w14:textId="0E90728F" w:rsidR="00C97BEF" w:rsidRDefault="00C97BEF" w:rsidP="00C97BEF">
      <w:pPr>
        <w:rPr>
          <w:u w:val="single"/>
          <w:rtl/>
        </w:rPr>
      </w:pPr>
      <w:r>
        <w:rPr>
          <w:rFonts w:cs="Arial"/>
          <w:u w:val="single"/>
          <w:rtl/>
        </w:rPr>
        <w:t xml:space="preserve">המוצא גט אשה בשוק </w:t>
      </w:r>
      <w:r w:rsidR="00A82951">
        <w:rPr>
          <w:rFonts w:cs="Arial"/>
          <w:u w:val="single"/>
          <w:rtl/>
        </w:rPr>
        <w:t>-</w:t>
      </w:r>
      <w:r>
        <w:rPr>
          <w:rFonts w:cs="Arial"/>
          <w:u w:val="single"/>
          <w:rtl/>
        </w:rPr>
        <w:t xml:space="preserve"> מה הדין במקרים הבאים</w:t>
      </w:r>
      <w:r>
        <w:rPr>
          <w:u w:val="single"/>
          <w:rtl/>
        </w:rPr>
        <w:t>:</w:t>
      </w:r>
    </w:p>
    <w:p w14:paraId="7CA9CF81" w14:textId="77777777" w:rsidR="00C97BEF" w:rsidRDefault="00C97BEF" w:rsidP="00C97BEF">
      <w:pPr>
        <w:ind w:left="360"/>
        <w:rPr>
          <w:u w:val="dotted"/>
          <w:rtl/>
        </w:rPr>
      </w:pPr>
      <w:r>
        <w:rPr>
          <w:u w:val="dotted"/>
          <w:rtl/>
        </w:rPr>
        <w:t xml:space="preserve">הוא והיא נותנים סימן: </w:t>
      </w:r>
    </w:p>
    <w:p w14:paraId="198A8D2A" w14:textId="6565DBEB" w:rsidR="00C97BEF" w:rsidRDefault="00C97BEF" w:rsidP="006A458D">
      <w:pPr>
        <w:pStyle w:val="ab"/>
        <w:numPr>
          <w:ilvl w:val="0"/>
          <w:numId w:val="123"/>
        </w:numPr>
        <w:rPr>
          <w:rFonts w:cs="Arial"/>
          <w:rtl/>
        </w:rPr>
      </w:pPr>
      <w:r>
        <w:rPr>
          <w:rFonts w:cs="Arial"/>
          <w:rtl/>
        </w:rPr>
        <w:t>טור</w:t>
      </w:r>
      <w:r w:rsidR="00A82951">
        <w:rPr>
          <w:rFonts w:cs="Arial"/>
          <w:rtl/>
        </w:rPr>
        <w:t>-</w:t>
      </w:r>
      <w:r>
        <w:rPr>
          <w:rFonts w:cs="Arial"/>
          <w:rtl/>
        </w:rPr>
        <w:t xml:space="preserve"> המוצא גט אשה בשוק, אם האשה נותנת סימן, כגון שאומרת נקב יש ליד אות פלוני, ואומרת שכבר נתגרשה בו וממנה נפל </w:t>
      </w:r>
      <w:r w:rsidR="00A82951">
        <w:rPr>
          <w:rFonts w:cs="Arial"/>
          <w:rtl/>
        </w:rPr>
        <w:t>-</w:t>
      </w:r>
      <w:r>
        <w:rPr>
          <w:rFonts w:cs="Arial"/>
          <w:rtl/>
        </w:rPr>
        <w:t xml:space="preserve"> יחזירהו לה, אפי' אם הבעל מכחישה ואומר שממנו נפל ולא גירשה מעולם אלא שצוה לכתבו ולא נתנו עדיין, אפילו אם גם הוא נותן בו סימן.</w:t>
      </w:r>
      <w:r>
        <w:rPr>
          <w:color w:val="E36C0A" w:themeColor="accent6" w:themeShade="BF"/>
          <w:rtl/>
        </w:rPr>
        <w:t xml:space="preserve"> (וכ"פ בשו"ע)</w:t>
      </w:r>
    </w:p>
    <w:p w14:paraId="73563D20" w14:textId="77777777" w:rsidR="00C97BEF" w:rsidRDefault="00C97BEF" w:rsidP="00C97BEF">
      <w:pPr>
        <w:ind w:left="720"/>
        <w:rPr>
          <w:rFonts w:cs="Arial"/>
          <w:u w:val="wave"/>
        </w:rPr>
      </w:pPr>
      <w:r>
        <w:rPr>
          <w:rFonts w:cs="Arial"/>
          <w:u w:val="wave"/>
          <w:rtl/>
        </w:rPr>
        <w:t xml:space="preserve">האם האשה צריכה לומר סימן מובהק כדי שיחזיר לה, או שמספיק סימן שאינו כ"כ מובהק: </w:t>
      </w:r>
    </w:p>
    <w:p w14:paraId="4E73EFA8" w14:textId="46568CA8" w:rsidR="00C97BEF" w:rsidRDefault="00C97BEF" w:rsidP="006A458D">
      <w:pPr>
        <w:pStyle w:val="ab"/>
        <w:numPr>
          <w:ilvl w:val="0"/>
          <w:numId w:val="123"/>
        </w:numPr>
        <w:rPr>
          <w:rFonts w:cs="Arial"/>
        </w:rPr>
      </w:pPr>
      <w:r>
        <w:rPr>
          <w:rFonts w:cs="Arial"/>
          <w:rtl/>
        </w:rPr>
        <w:t>טור</w:t>
      </w:r>
      <w:r w:rsidR="00A82951">
        <w:rPr>
          <w:rFonts w:cs="Arial"/>
          <w:rtl/>
        </w:rPr>
        <w:t>-</w:t>
      </w:r>
      <w:r>
        <w:rPr>
          <w:rFonts w:cs="Arial"/>
          <w:rtl/>
        </w:rPr>
        <w:t xml:space="preserve"> אפילו</w:t>
      </w:r>
      <w:r>
        <w:rPr>
          <w:rStyle w:val="a7"/>
          <w:rFonts w:cs="Arial"/>
          <w:rtl/>
        </w:rPr>
        <w:footnoteReference w:id="2736"/>
      </w:r>
      <w:r>
        <w:rPr>
          <w:rFonts w:cs="Arial"/>
          <w:rtl/>
        </w:rPr>
        <w:t xml:space="preserve"> אינה אומרת נקב יש בו בצד אות פלוני רק כשאמרה סימן מובהק כגון שאומרת כך וכך אצבעות באורך הגט או ברחבו או שאומרת מדת אורך החוט הקשור בו. אבל אם אמרה הגט היה ארוך או קצר ואינה מכוונת מדתו, או החוט לבן או שחור, או שאמרה שהיה מונח בחפיסה או בדלוסקמא </w:t>
      </w:r>
      <w:r w:rsidR="00A82951">
        <w:rPr>
          <w:rFonts w:cs="Arial"/>
          <w:rtl/>
        </w:rPr>
        <w:t>-</w:t>
      </w:r>
      <w:r>
        <w:rPr>
          <w:rFonts w:cs="Arial"/>
          <w:rtl/>
        </w:rPr>
        <w:t xml:space="preserve"> אינו סימן להחזירו לה על ידו. </w:t>
      </w:r>
      <w:r>
        <w:rPr>
          <w:color w:val="E36C0A" w:themeColor="accent6" w:themeShade="BF"/>
          <w:rtl/>
        </w:rPr>
        <w:t>(וכ"פ בשו"ע)</w:t>
      </w:r>
    </w:p>
    <w:p w14:paraId="50BDE3C3" w14:textId="77777777" w:rsidR="00C97BEF" w:rsidRDefault="00C97BEF" w:rsidP="00C97BEF">
      <w:pPr>
        <w:ind w:left="360"/>
        <w:rPr>
          <w:rFonts w:cs="Arial"/>
          <w:u w:val="dotted"/>
        </w:rPr>
      </w:pPr>
      <w:r>
        <w:rPr>
          <w:rFonts w:cs="Arial"/>
          <w:u w:val="dotted"/>
          <w:rtl/>
        </w:rPr>
        <w:t>אף אחד לא נותן סימן:</w:t>
      </w:r>
    </w:p>
    <w:p w14:paraId="1FD7809D" w14:textId="7F36CBBB" w:rsidR="00C97BEF" w:rsidRDefault="00C97BEF" w:rsidP="006A458D">
      <w:pPr>
        <w:pStyle w:val="ab"/>
        <w:numPr>
          <w:ilvl w:val="0"/>
          <w:numId w:val="123"/>
        </w:numPr>
        <w:rPr>
          <w:rFonts w:cs="Arial"/>
        </w:rPr>
      </w:pPr>
      <w:r>
        <w:rPr>
          <w:rFonts w:cs="Arial"/>
          <w:rtl/>
        </w:rPr>
        <w:t>טור</w:t>
      </w:r>
      <w:r w:rsidR="00A82951">
        <w:rPr>
          <w:rFonts w:cs="Arial"/>
          <w:rtl/>
        </w:rPr>
        <w:t>-</w:t>
      </w:r>
      <w:r>
        <w:rPr>
          <w:rFonts w:cs="Arial"/>
          <w:rtl/>
        </w:rPr>
        <w:t xml:space="preserve"> ואם אינה נותנת בו סימן והבעל מכחישה</w:t>
      </w:r>
      <w:r w:rsidR="00C47290">
        <w:rPr>
          <w:rFonts w:cs="Arial" w:hint="cs"/>
          <w:rtl/>
        </w:rPr>
        <w:t>,</w:t>
      </w:r>
      <w:r>
        <w:rPr>
          <w:rFonts w:cs="Arial"/>
          <w:rtl/>
        </w:rPr>
        <w:t xml:space="preserve"> לא יתנוהו לא לו ולא לה. </w:t>
      </w:r>
      <w:r>
        <w:rPr>
          <w:color w:val="E36C0A" w:themeColor="accent6" w:themeShade="BF"/>
          <w:rtl/>
        </w:rPr>
        <w:t>(וכ"פ בשו"ע)</w:t>
      </w:r>
    </w:p>
    <w:p w14:paraId="296DD988" w14:textId="77777777" w:rsidR="00C97BEF" w:rsidRDefault="00C97BEF" w:rsidP="00C97BEF">
      <w:pPr>
        <w:ind w:left="360"/>
        <w:rPr>
          <w:rFonts w:cs="Arial"/>
          <w:u w:val="dotted"/>
        </w:rPr>
      </w:pPr>
      <w:r>
        <w:rPr>
          <w:rFonts w:cs="Arial"/>
          <w:u w:val="dotted"/>
          <w:rtl/>
        </w:rPr>
        <w:t>הוא מודה שכתבו, ואומר שיתנוהו לה להתגרש:</w:t>
      </w:r>
    </w:p>
    <w:p w14:paraId="763F0FB8" w14:textId="73DD69CA" w:rsidR="00C97BEF" w:rsidRDefault="00C97BEF" w:rsidP="006A458D">
      <w:pPr>
        <w:pStyle w:val="ab"/>
        <w:numPr>
          <w:ilvl w:val="0"/>
          <w:numId w:val="123"/>
        </w:numPr>
        <w:rPr>
          <w:rFonts w:cs="Arial"/>
        </w:rPr>
      </w:pPr>
      <w:r>
        <w:rPr>
          <w:rFonts w:cs="Arial"/>
          <w:rtl/>
        </w:rPr>
        <w:t>טור</w:t>
      </w:r>
      <w:r w:rsidR="00A82951">
        <w:rPr>
          <w:rFonts w:cs="Arial"/>
          <w:rtl/>
        </w:rPr>
        <w:t>-</w:t>
      </w:r>
      <w:r>
        <w:rPr>
          <w:rFonts w:cs="Arial"/>
          <w:rtl/>
        </w:rPr>
        <w:t xml:space="preserve"> ואם הבעל מודה שכתבו ואומר שיתנוהו לה להתגרש, אם נמצא במקום ובשעה שראוי להחזיר דליכא למיחש שמאחר נפל כדפרישית לעיל </w:t>
      </w:r>
      <w:r w:rsidR="00A82951">
        <w:rPr>
          <w:rFonts w:cs="Arial"/>
          <w:rtl/>
        </w:rPr>
        <w:t>-</w:t>
      </w:r>
      <w:r>
        <w:rPr>
          <w:rFonts w:cs="Arial"/>
          <w:rtl/>
        </w:rPr>
        <w:t xml:space="preserve"> יתנוהו לה, ותתגרש בו מעתה. ואם לאו </w:t>
      </w:r>
      <w:r w:rsidR="00A82951">
        <w:rPr>
          <w:rFonts w:cs="Arial"/>
          <w:rtl/>
        </w:rPr>
        <w:t>-</w:t>
      </w:r>
      <w:r>
        <w:rPr>
          <w:rFonts w:cs="Arial"/>
          <w:rtl/>
        </w:rPr>
        <w:t xml:space="preserve"> לא יתנוהו לה. </w:t>
      </w:r>
      <w:r>
        <w:rPr>
          <w:color w:val="E36C0A" w:themeColor="accent6" w:themeShade="BF"/>
          <w:rtl/>
        </w:rPr>
        <w:t>(וכ"פ בשו"ע)</w:t>
      </w:r>
    </w:p>
    <w:p w14:paraId="6C4AF376" w14:textId="77777777" w:rsidR="00C97BEF" w:rsidRDefault="00C97BEF" w:rsidP="00C97BEF">
      <w:pPr>
        <w:ind w:left="360"/>
        <w:rPr>
          <w:rFonts w:cs="Arial"/>
          <w:u w:val="dotted"/>
        </w:rPr>
      </w:pPr>
      <w:r>
        <w:rPr>
          <w:rFonts w:cs="Arial"/>
          <w:u w:val="dotted"/>
          <w:rtl/>
        </w:rPr>
        <w:lastRenderedPageBreak/>
        <w:t>הוא מודה שגירשה בגט זה, והיא רוצה את הגט כדי לגבות בו כתובתה:</w:t>
      </w:r>
    </w:p>
    <w:p w14:paraId="126AEC2F" w14:textId="214914CA" w:rsidR="00C97BEF" w:rsidRDefault="00C97BEF" w:rsidP="006A458D">
      <w:pPr>
        <w:pStyle w:val="ab"/>
        <w:numPr>
          <w:ilvl w:val="0"/>
          <w:numId w:val="123"/>
        </w:numPr>
        <w:rPr>
          <w:rFonts w:cs="Arial"/>
        </w:rPr>
      </w:pPr>
      <w:r>
        <w:rPr>
          <w:rFonts w:cs="Arial"/>
          <w:rtl/>
        </w:rPr>
        <w:t>טור</w:t>
      </w:r>
      <w:r w:rsidR="00A82951">
        <w:rPr>
          <w:rFonts w:cs="Arial"/>
          <w:rtl/>
        </w:rPr>
        <w:t>-</w:t>
      </w:r>
      <w:r>
        <w:rPr>
          <w:rFonts w:cs="Arial"/>
          <w:rtl/>
        </w:rPr>
        <w:t xml:space="preserve"> ואם הוא מודה שנתגרשה בו, והיא שואלת אותו לגבות בו כתובתה כההיא דתנן הוציאה הגט ואין עמו כתובה גובה כתובתה, והוא אומר שכבר פרעה והחזירתו לו וממנו נפל </w:t>
      </w:r>
      <w:r w:rsidR="00A82951">
        <w:rPr>
          <w:rFonts w:cs="Arial"/>
          <w:rtl/>
        </w:rPr>
        <w:t>-</w:t>
      </w:r>
      <w:r>
        <w:rPr>
          <w:rFonts w:cs="Arial"/>
          <w:rtl/>
        </w:rPr>
        <w:t xml:space="preserve"> מחזירו לה.</w:t>
      </w:r>
      <w:r>
        <w:rPr>
          <w:color w:val="E36C0A" w:themeColor="accent6" w:themeShade="BF"/>
          <w:rtl/>
        </w:rPr>
        <w:t xml:space="preserve"> (וכ"פ בשו"ע)</w:t>
      </w:r>
    </w:p>
    <w:p w14:paraId="2AF3735C" w14:textId="5A20A8B4" w:rsidR="00C97BEF" w:rsidRDefault="00C97BEF" w:rsidP="00C97BEF">
      <w:pPr>
        <w:rPr>
          <w:rFonts w:cs="Arial"/>
          <w:rtl/>
        </w:rPr>
      </w:pPr>
      <w:r>
        <w:rPr>
          <w:rFonts w:cs="Arial"/>
          <w:u w:val="single"/>
          <w:rtl/>
        </w:rPr>
        <w:t>מה הדין אם הבעל/ה</w:t>
      </w:r>
      <w:r w:rsidR="00C47290">
        <w:rPr>
          <w:rFonts w:cs="Arial" w:hint="cs"/>
          <w:u w:val="single"/>
          <w:rtl/>
        </w:rPr>
        <w:t>א</w:t>
      </w:r>
      <w:r>
        <w:rPr>
          <w:rFonts w:cs="Arial"/>
          <w:u w:val="single"/>
          <w:rtl/>
        </w:rPr>
        <w:t>שה/השליח מצאו את הגט בשוק:</w:t>
      </w:r>
      <w:r>
        <w:rPr>
          <w:rFonts w:cs="Arial"/>
          <w:rtl/>
        </w:rPr>
        <w:t xml:space="preserve"> </w:t>
      </w:r>
      <w:r>
        <w:rPr>
          <w:rFonts w:cs="Arial"/>
          <w:sz w:val="16"/>
          <w:szCs w:val="16"/>
          <w:rtl/>
        </w:rPr>
        <w:t>(ב"י בבדה"ב)</w:t>
      </w:r>
      <w:r>
        <w:rPr>
          <w:rFonts w:cs="Arial"/>
          <w:rtl/>
        </w:rPr>
        <w:t xml:space="preserve"> </w:t>
      </w:r>
    </w:p>
    <w:p w14:paraId="589D514F" w14:textId="76A0CA49" w:rsidR="00C97BEF" w:rsidRDefault="00C97BEF" w:rsidP="006A458D">
      <w:pPr>
        <w:pStyle w:val="ab"/>
        <w:numPr>
          <w:ilvl w:val="0"/>
          <w:numId w:val="123"/>
        </w:numPr>
        <w:rPr>
          <w:rtl/>
        </w:rPr>
      </w:pPr>
      <w:r>
        <w:rPr>
          <w:rFonts w:cs="Arial"/>
          <w:rtl/>
        </w:rPr>
        <w:t xml:space="preserve">ריטב"א </w:t>
      </w:r>
      <w:r>
        <w:rPr>
          <w:rFonts w:cs="Arial"/>
          <w:sz w:val="16"/>
          <w:szCs w:val="16"/>
          <w:rtl/>
        </w:rPr>
        <w:t>(ספ"ק דמציעא חי' הריטב"א החדשים</w:t>
      </w:r>
      <w:r w:rsidR="00C47290">
        <w:rPr>
          <w:rFonts w:cs="Arial" w:hint="cs"/>
          <w:sz w:val="16"/>
          <w:szCs w:val="16"/>
          <w:rtl/>
        </w:rPr>
        <w:t>,</w:t>
      </w:r>
      <w:r>
        <w:rPr>
          <w:rFonts w:cs="Arial"/>
          <w:sz w:val="16"/>
          <w:szCs w:val="16"/>
          <w:rtl/>
        </w:rPr>
        <w:t xml:space="preserve"> ובשטמ"ק ריש יט.)</w:t>
      </w:r>
      <w:r w:rsidR="00A82951">
        <w:rPr>
          <w:rFonts w:cs="Arial"/>
          <w:rtl/>
        </w:rPr>
        <w:t>-</w:t>
      </w:r>
      <w:r>
        <w:rPr>
          <w:rFonts w:cs="Arial"/>
          <w:rtl/>
        </w:rPr>
        <w:t xml:space="preserve"> אע"ג דבאיסורים כל אחד נאמן על עצמו בטביעות עינא, ובזה כל אדם מותר באשתו בלילה כדאיתא בפרק גיד הנשה (חולין צו.), זהו בדבר שלו וברשותו, אבל במה שבידינו </w:t>
      </w:r>
      <w:r w:rsidR="00A82951">
        <w:rPr>
          <w:rFonts w:cs="Arial"/>
          <w:rtl/>
        </w:rPr>
        <w:t>-</w:t>
      </w:r>
      <w:r>
        <w:rPr>
          <w:rFonts w:cs="Arial"/>
          <w:rtl/>
        </w:rPr>
        <w:t xml:space="preserve"> אין לנו להאמין אלא לצורבא מרבנן דוקא</w:t>
      </w:r>
      <w:r w:rsidR="00C47290">
        <w:rPr>
          <w:rFonts w:cs="Arial" w:hint="cs"/>
          <w:rtl/>
        </w:rPr>
        <w:t>.</w:t>
      </w:r>
      <w:r>
        <w:rPr>
          <w:rFonts w:cs="Arial"/>
          <w:rtl/>
        </w:rPr>
        <w:t xml:space="preserve"> הא אילו הבעל עצמו או האשה או השליח מצאו ומכירו בטביעות עינא ונטלו </w:t>
      </w:r>
      <w:r w:rsidR="00A82951">
        <w:rPr>
          <w:rFonts w:cs="Arial"/>
          <w:rtl/>
        </w:rPr>
        <w:t>-</w:t>
      </w:r>
      <w:r>
        <w:rPr>
          <w:rFonts w:cs="Arial"/>
          <w:rtl/>
        </w:rPr>
        <w:t xml:space="preserve"> הרי זה כשר.</w:t>
      </w:r>
    </w:p>
    <w:p w14:paraId="26452914"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645B4E3" w14:textId="77777777" w:rsidR="00C97BEF" w:rsidRDefault="00C97BEF" w:rsidP="00C97BEF">
      <w:pPr>
        <w:rPr>
          <w:rtl/>
        </w:rPr>
      </w:pPr>
      <w:r>
        <w:rPr>
          <w:rFonts w:cs="Arial"/>
          <w:rtl/>
        </w:rPr>
        <w:t xml:space="preserve">המוצא גט אשה בשוק, אם האשה נותנת סימן, שאומרת: נקב יש בצד אות פלוני, ואומרת שכבר נתגרשה בו וממנה נפל, יחזירוה לה, אפילו אם הבעל מכחישה ואומר שממנו נפל ולא גירשה מעולם אלא שצווה לכתבו ועדיין לא נתנו, אפילו אם גם הוא נותן בו סימן. ואם אינה נותנת בו סימן, והבעל מכחישה, לא יתנוהו לא לו ולא לה. ואם הבעל מודה שכתבו, ואומר שיתנוהו לה להתגרש, במקום ובשעה שראוי להחזיר דליכא למיחש שמאחר נפל על פי מה שנתבאר בסימן קל"ב, יתנוהו לה ותתגרש בו מעתה. ואם לאו, לא יתנוהו לה. ואם הוא מודה שנתגרשה בו, והיא שואלת אותו לגבות בו כתובתה, והוא אומר שכבר פרעה והחזירתו לו וממנו נפל, מחזירו לה. </w:t>
      </w:r>
      <w:r>
        <w:rPr>
          <w:rStyle w:val="a7"/>
          <w:rFonts w:cs="Arial"/>
          <w:rtl/>
        </w:rPr>
        <w:footnoteReference w:id="2737"/>
      </w:r>
      <w:r>
        <w:rPr>
          <w:rFonts w:cs="Arial"/>
          <w:rtl/>
        </w:rPr>
        <w:t xml:space="preserve">אפילו אינה אומרת: נקב יש בצד אות פלונית, רק בשאר סימן </w:t>
      </w:r>
      <w:r>
        <w:rPr>
          <w:rStyle w:val="a7"/>
          <w:rFonts w:cs="Arial"/>
          <w:rtl/>
        </w:rPr>
        <w:footnoteReference w:id="2738"/>
      </w:r>
      <w:r>
        <w:rPr>
          <w:rFonts w:cs="Arial"/>
          <w:rtl/>
        </w:rPr>
        <w:t>[שאינו] מובהק [כל כך], כגון שאומרת: כך וכך אצבעות באורך הגט או ברחבו, או שאומרת מדת החוט הקשור בו. אבל אם אמרה: הגט היה ארוך או קצר, ואינה מכוונת מדתו, או החוט לבן או שחור, או שאמרה שהוא מונח בחפיסה או בדלוסקמא, אינו סימן להחזירה לה על ידו.</w:t>
      </w:r>
    </w:p>
    <w:p w14:paraId="7B395362" w14:textId="77777777" w:rsidR="00C97BEF" w:rsidRDefault="00C97BEF" w:rsidP="00C97BEF">
      <w:pPr>
        <w:bidi w:val="0"/>
        <w:spacing w:after="0"/>
        <w:rPr>
          <w:rtl/>
        </w:rPr>
        <w:sectPr w:rsidR="00C97BEF">
          <w:headerReference w:type="default" r:id="rId46"/>
          <w:footnotePr>
            <w:numRestart w:val="eachSect"/>
          </w:footnotePr>
          <w:pgSz w:w="11906" w:h="16838"/>
          <w:pgMar w:top="720" w:right="1134" w:bottom="720" w:left="1134" w:header="0" w:footer="0" w:gutter="0"/>
          <w:cols w:space="720"/>
          <w:bidi/>
          <w:rtlGutter/>
        </w:sectPr>
      </w:pPr>
    </w:p>
    <w:p w14:paraId="6140DE85" w14:textId="6B593825" w:rsidR="00C97BEF" w:rsidRDefault="00C97BEF" w:rsidP="00C97BEF">
      <w:pPr>
        <w:pStyle w:val="1"/>
        <w:rPr>
          <w:rtl/>
        </w:rPr>
      </w:pPr>
      <w:r>
        <w:rPr>
          <w:rtl/>
        </w:rPr>
        <w:lastRenderedPageBreak/>
        <w:t xml:space="preserve">סימן קנד: </w:t>
      </w:r>
      <w:bookmarkStart w:id="39" w:name="_Hlk138877457"/>
      <w:r>
        <w:rPr>
          <w:rFonts w:cs="Arial"/>
          <w:rtl/>
        </w:rPr>
        <w:t>למי כופין להוציא בגט</w:t>
      </w:r>
      <w:bookmarkEnd w:id="39"/>
      <w:r>
        <w:rPr>
          <w:rFonts w:cs="Arial"/>
          <w:rtl/>
        </w:rPr>
        <w:t xml:space="preserve">, בין איש בין אשה, וסדר כתיבת הגט ונתינתו, ובו כ"ד סעיפים. </w:t>
      </w:r>
    </w:p>
    <w:p w14:paraId="10A58157" w14:textId="77777777" w:rsidR="00C97BEF" w:rsidRDefault="00C97BEF" w:rsidP="00C97BEF">
      <w:pPr>
        <w:pStyle w:val="2"/>
        <w:rPr>
          <w:rtl/>
        </w:rPr>
      </w:pPr>
      <w:r>
        <w:rPr>
          <w:rtl/>
        </w:rPr>
        <w:t>סעיף א: את מי כופין להוציא את אשתו.</w:t>
      </w:r>
    </w:p>
    <w:p w14:paraId="385FA519" w14:textId="40CB16CA" w:rsidR="00C97BEF" w:rsidRDefault="00C97BEF" w:rsidP="00C97BEF">
      <w:pPr>
        <w:rPr>
          <w:rFonts w:cs="Arial"/>
          <w:rtl/>
        </w:rPr>
      </w:pPr>
      <w:r>
        <w:rPr>
          <w:rFonts w:cs="Arial"/>
          <w:b/>
          <w:bCs/>
          <w:rtl/>
        </w:rPr>
        <w:t>כתובות</w:t>
      </w:r>
      <w:r>
        <w:rPr>
          <w:rFonts w:cs="Arial"/>
          <w:b/>
          <w:bCs/>
          <w:sz w:val="16"/>
          <w:szCs w:val="16"/>
          <w:rtl/>
        </w:rPr>
        <w:t xml:space="preserve"> (ס"פ המדיר)</w:t>
      </w:r>
      <w:r>
        <w:rPr>
          <w:rFonts w:cs="Arial"/>
          <w:b/>
          <w:bCs/>
          <w:rtl/>
        </w:rPr>
        <w:t xml:space="preserve"> עז ע"א: </w:t>
      </w:r>
      <w:r>
        <w:rPr>
          <w:rFonts w:cs="Arial"/>
          <w:u w:val="double"/>
          <w:rtl/>
        </w:rPr>
        <w:t>מתני'</w:t>
      </w:r>
      <w:r>
        <w:rPr>
          <w:rFonts w:cs="Arial"/>
          <w:rtl/>
        </w:rPr>
        <w:t>: ואלו שכופין אותו להוציא: מוכה שחין</w:t>
      </w:r>
      <w:r>
        <w:rPr>
          <w:rStyle w:val="a7"/>
          <w:rFonts w:cs="Arial"/>
          <w:rtl/>
        </w:rPr>
        <w:footnoteReference w:id="2739"/>
      </w:r>
      <w:r>
        <w:rPr>
          <w:rFonts w:cs="Arial"/>
          <w:rtl/>
        </w:rPr>
        <w:t>, ובעל פוליפוס, והמקמץ, והמצרף נחושת</w:t>
      </w:r>
      <w:r>
        <w:rPr>
          <w:rStyle w:val="a7"/>
          <w:rFonts w:cs="Arial"/>
          <w:rtl/>
        </w:rPr>
        <w:footnoteReference w:id="2740"/>
      </w:r>
      <w:r>
        <w:rPr>
          <w:rFonts w:cs="Arial"/>
          <w:rtl/>
        </w:rPr>
        <w:t xml:space="preserve">, והבורסי, בין שהיו עד שלא נישאו ובין משנישאו נולדו. </w:t>
      </w:r>
      <w:r>
        <w:rPr>
          <w:rFonts w:cs="Arial"/>
          <w:u w:val="single"/>
          <w:rtl/>
        </w:rPr>
        <w:t>ועל כולן אמר רבי מאיר</w:t>
      </w:r>
      <w:r>
        <w:rPr>
          <w:rFonts w:cs="Arial"/>
          <w:rtl/>
        </w:rPr>
        <w:t>: אף על פי שהתנה עמה, יכולה היא שת</w:t>
      </w:r>
      <w:r w:rsidR="00A55EB4">
        <w:rPr>
          <w:rFonts w:cs="Arial" w:hint="cs"/>
          <w:rtl/>
        </w:rPr>
        <w:t>ש</w:t>
      </w:r>
      <w:r>
        <w:rPr>
          <w:rFonts w:cs="Arial"/>
          <w:rtl/>
        </w:rPr>
        <w:t xml:space="preserve">אמר סבורה הייתי שאני יכולה לקבל, ועכשיו איני יכולה לקבל. </w:t>
      </w:r>
      <w:r>
        <w:rPr>
          <w:rFonts w:cs="Arial"/>
          <w:u w:val="single"/>
          <w:rtl/>
        </w:rPr>
        <w:t>וחכ"א</w:t>
      </w:r>
      <w:r>
        <w:rPr>
          <w:rFonts w:cs="Arial"/>
          <w:rtl/>
        </w:rPr>
        <w:t>: מקבלת היא על כרחה</w:t>
      </w:r>
      <w:r>
        <w:rPr>
          <w:rStyle w:val="a7"/>
          <w:rFonts w:cs="Arial"/>
          <w:rtl/>
        </w:rPr>
        <w:footnoteReference w:id="2741"/>
      </w:r>
      <w:r>
        <w:rPr>
          <w:rFonts w:cs="Arial"/>
          <w:rtl/>
        </w:rPr>
        <w:t>, חוץ ממוכה שחין, מפני שממקתו</w:t>
      </w:r>
      <w:r>
        <w:rPr>
          <w:rStyle w:val="a7"/>
          <w:rFonts w:cs="Arial"/>
          <w:rtl/>
        </w:rPr>
        <w:footnoteReference w:id="2742"/>
      </w:r>
      <w:r>
        <w:rPr>
          <w:rFonts w:cs="Arial"/>
          <w:rtl/>
        </w:rPr>
        <w:t xml:space="preserve">. מעשה בצידון בבורסי אחד שמת, והיה לו אח בורסי, </w:t>
      </w:r>
      <w:r>
        <w:rPr>
          <w:rFonts w:cs="Arial"/>
          <w:u w:val="single"/>
          <w:rtl/>
        </w:rPr>
        <w:t>אמרו חכמים</w:t>
      </w:r>
      <w:r>
        <w:rPr>
          <w:rFonts w:cs="Arial"/>
          <w:rtl/>
        </w:rPr>
        <w:t xml:space="preserve">: יכולה היא שתאמר לאחיך הייתי יכולה לקבל, ולך איני יכולה לקבל.       </w:t>
      </w:r>
      <w:r>
        <w:rPr>
          <w:rFonts w:cs="Arial"/>
          <w:u w:val="double"/>
          <w:rtl/>
        </w:rPr>
        <w:t>גמ'</w:t>
      </w:r>
      <w:r>
        <w:rPr>
          <w:rFonts w:cs="Arial"/>
          <w:rtl/>
        </w:rPr>
        <w:t xml:space="preserve">: מאי בעל פוליפוס? </w:t>
      </w:r>
      <w:r>
        <w:rPr>
          <w:rFonts w:cs="Arial"/>
          <w:u w:val="single"/>
          <w:rtl/>
        </w:rPr>
        <w:t>אמר רב יהודה אמר שמואל</w:t>
      </w:r>
      <w:r>
        <w:rPr>
          <w:rFonts w:cs="Arial"/>
          <w:rtl/>
        </w:rPr>
        <w:t>: ריח החוטם. במתניתא תנא: ריח הפה</w:t>
      </w:r>
      <w:r>
        <w:rPr>
          <w:rStyle w:val="a7"/>
          <w:rFonts w:cs="Arial"/>
          <w:rtl/>
        </w:rPr>
        <w:footnoteReference w:id="2743"/>
      </w:r>
      <w:r>
        <w:rPr>
          <w:rFonts w:cs="Arial"/>
          <w:rtl/>
        </w:rPr>
        <w:t xml:space="preserve">. רב אסי מתני איפכא, ומנח בה סימנא: שמואל לא פסיק פומיה מכוליה פירקין. והמקמץ. מאי מקמץ? </w:t>
      </w:r>
      <w:r>
        <w:rPr>
          <w:rFonts w:cs="Arial"/>
          <w:u w:val="single"/>
          <w:rtl/>
        </w:rPr>
        <w:t>אמר רב יהודה</w:t>
      </w:r>
      <w:r>
        <w:rPr>
          <w:rFonts w:cs="Arial"/>
          <w:rtl/>
        </w:rPr>
        <w:t>: זה המקבץ צואת כלבים</w:t>
      </w:r>
      <w:r>
        <w:rPr>
          <w:rStyle w:val="a7"/>
          <w:rFonts w:cs="Arial"/>
          <w:rtl/>
        </w:rPr>
        <w:footnoteReference w:id="2744"/>
      </w:r>
      <w:r>
        <w:rPr>
          <w:rFonts w:cs="Arial"/>
          <w:rtl/>
        </w:rPr>
        <w:t xml:space="preserve">. מיתיבי: מקמץ </w:t>
      </w:r>
      <w:r w:rsidR="00A82951">
        <w:rPr>
          <w:rFonts w:cs="Arial"/>
          <w:rtl/>
        </w:rPr>
        <w:t>-</w:t>
      </w:r>
      <w:r>
        <w:rPr>
          <w:rFonts w:cs="Arial"/>
          <w:rtl/>
        </w:rPr>
        <w:t xml:space="preserve"> זה בורסי! ולטעמיך, תיקשי לך מתניתין: המקמץ, והמצרף נחושת, והבורסי! בשלמא מתניתין לא קשיא: כאן בבורסי גדול, כאן בבורסי קטן, אלא לרב יהודה קשיא! תנאי היא, דתניא: מקמץ </w:t>
      </w:r>
      <w:r w:rsidR="00A82951">
        <w:rPr>
          <w:rFonts w:cs="Arial"/>
          <w:rtl/>
        </w:rPr>
        <w:t>-</w:t>
      </w:r>
      <w:r>
        <w:rPr>
          <w:rFonts w:cs="Arial"/>
          <w:rtl/>
        </w:rPr>
        <w:t xml:space="preserve"> זה בורסי; ויש אומרים: זה המקמץ צואת כלבים. והמצרף נחושת, והבורסי. מאי מצרף נחושת? </w:t>
      </w:r>
      <w:r>
        <w:rPr>
          <w:rFonts w:cs="Arial"/>
          <w:u w:val="single"/>
          <w:rtl/>
        </w:rPr>
        <w:t>רב אשי אמר</w:t>
      </w:r>
      <w:r>
        <w:rPr>
          <w:rFonts w:cs="Arial"/>
          <w:rtl/>
        </w:rPr>
        <w:t>: חשלי דודי</w:t>
      </w:r>
      <w:r>
        <w:rPr>
          <w:rStyle w:val="a7"/>
          <w:rFonts w:cs="Arial"/>
          <w:rtl/>
        </w:rPr>
        <w:footnoteReference w:id="2745"/>
      </w:r>
      <w:r>
        <w:rPr>
          <w:rFonts w:cs="Arial"/>
          <w:rtl/>
        </w:rPr>
        <w:t xml:space="preserve">. </w:t>
      </w:r>
      <w:r>
        <w:rPr>
          <w:rFonts w:cs="Arial"/>
          <w:u w:val="single"/>
          <w:rtl/>
        </w:rPr>
        <w:t>רבה בר בר חנה אמר</w:t>
      </w:r>
      <w:r>
        <w:rPr>
          <w:rFonts w:cs="Arial"/>
          <w:rtl/>
        </w:rPr>
        <w:t>: זה המחתך נחושת מעיקרו</w:t>
      </w:r>
      <w:r>
        <w:rPr>
          <w:rStyle w:val="a7"/>
          <w:rFonts w:cs="Arial"/>
          <w:rtl/>
        </w:rPr>
        <w:footnoteReference w:id="2746"/>
      </w:r>
      <w:r>
        <w:rPr>
          <w:rFonts w:cs="Arial"/>
          <w:rtl/>
        </w:rPr>
        <w:t xml:space="preserve">. תניא כוותיה דרבה בר בר חנה: איזהו מצרף? זה המחתך נחושת מעיקרו... </w:t>
      </w:r>
      <w:r>
        <w:rPr>
          <w:rFonts w:cs="Arial"/>
          <w:u w:val="single"/>
          <w:rtl/>
        </w:rPr>
        <w:t>אמר רב יהודה אמר רב אסי</w:t>
      </w:r>
      <w:r>
        <w:rPr>
          <w:rFonts w:cs="Arial"/>
          <w:rtl/>
        </w:rPr>
        <w:t xml:space="preserve">: אין מעשין אלא לפסולות; </w:t>
      </w:r>
      <w:r>
        <w:rPr>
          <w:rFonts w:cs="Arial"/>
          <w:u w:val="single"/>
          <w:rtl/>
        </w:rPr>
        <w:t>כי אמריתה קמיה דשמואל, אמר</w:t>
      </w:r>
      <w:r>
        <w:rPr>
          <w:rFonts w:cs="Arial"/>
          <w:rtl/>
        </w:rPr>
        <w:t xml:space="preserve">: כגון אלמנה לכהן גדול, וגרושה וחלוצה לכהן הדיוט, ממזרת ונתינה לישראל, בת ישראל לנתין ולממזר, אבל נשא אשה ושהה עמה עשר שנים ולא ילדה </w:t>
      </w:r>
      <w:r w:rsidR="00A82951">
        <w:rPr>
          <w:rFonts w:cs="Arial"/>
          <w:rtl/>
        </w:rPr>
        <w:t>-</w:t>
      </w:r>
      <w:r>
        <w:rPr>
          <w:rFonts w:cs="Arial"/>
          <w:rtl/>
        </w:rPr>
        <w:t xml:space="preserve"> אין כופין אותו. </w:t>
      </w:r>
      <w:r>
        <w:rPr>
          <w:rFonts w:cs="Arial"/>
          <w:u w:val="single"/>
          <w:rtl/>
        </w:rPr>
        <w:t>ורב תחליפא בר אבימי אמר שמואל</w:t>
      </w:r>
      <w:r>
        <w:rPr>
          <w:rFonts w:cs="Arial"/>
          <w:rtl/>
        </w:rPr>
        <w:t xml:space="preserve">: אפילו נשא אשה ושהה עמה י' שנים ולא ילדה, כופין אותו. תנן, אלו שכופין אותו להוציא: מוכה שחין, ובעל פוליפוס; בשלמא לרב אסי </w:t>
      </w:r>
      <w:r w:rsidR="00A82951">
        <w:rPr>
          <w:rFonts w:cs="Arial"/>
          <w:rtl/>
        </w:rPr>
        <w:t>-</w:t>
      </w:r>
      <w:r>
        <w:rPr>
          <w:rFonts w:cs="Arial"/>
          <w:rtl/>
        </w:rPr>
        <w:t xml:space="preserve"> דרבנן קתני, דאורייתא לא קתני, אלא לרב תחליפא בר אבימי, ליתני: נשא אשה ושהה עמה עשר שנים ולא ילדה </w:t>
      </w:r>
      <w:r w:rsidR="00A82951">
        <w:rPr>
          <w:rFonts w:cs="Arial"/>
          <w:rtl/>
        </w:rPr>
        <w:t>-</w:t>
      </w:r>
      <w:r>
        <w:rPr>
          <w:rFonts w:cs="Arial"/>
          <w:rtl/>
        </w:rPr>
        <w:t xml:space="preserve"> כופין אותו! </w:t>
      </w:r>
      <w:r>
        <w:rPr>
          <w:rFonts w:cs="Arial"/>
          <w:u w:val="single"/>
          <w:rtl/>
        </w:rPr>
        <w:t>אמר רב נחמן</w:t>
      </w:r>
      <w:r>
        <w:rPr>
          <w:rFonts w:cs="Arial"/>
          <w:rtl/>
        </w:rPr>
        <w:t xml:space="preserve">: לא קשיא, הא במילי, הא בשוטי. </w:t>
      </w:r>
      <w:r>
        <w:rPr>
          <w:rFonts w:cs="Arial"/>
          <w:u w:val="single"/>
          <w:rtl/>
        </w:rPr>
        <w:t>מתקיף לה רבי אבא</w:t>
      </w:r>
      <w:r>
        <w:rPr>
          <w:rFonts w:cs="Arial"/>
          <w:rtl/>
        </w:rPr>
        <w:t xml:space="preserve">: בדברים לא יוסר עבד! </w:t>
      </w:r>
      <w:r>
        <w:rPr>
          <w:rFonts w:cs="Arial"/>
          <w:u w:val="single"/>
          <w:rtl/>
        </w:rPr>
        <w:t>אלא אמר רבי אבא</w:t>
      </w:r>
      <w:r>
        <w:rPr>
          <w:rFonts w:cs="Arial"/>
          <w:rtl/>
        </w:rPr>
        <w:t>: הא והא בשוטי</w:t>
      </w:r>
      <w:r>
        <w:rPr>
          <w:rStyle w:val="a7"/>
          <w:rFonts w:cs="Arial"/>
          <w:rtl/>
        </w:rPr>
        <w:footnoteReference w:id="2747"/>
      </w:r>
      <w:r>
        <w:rPr>
          <w:rFonts w:cs="Arial"/>
          <w:rtl/>
        </w:rPr>
        <w:t xml:space="preserve">, </w:t>
      </w:r>
      <w:r>
        <w:rPr>
          <w:rFonts w:cs="Arial"/>
          <w:sz w:val="14"/>
          <w:szCs w:val="14"/>
          <w:rtl/>
        </w:rPr>
        <w:t xml:space="preserve">(עז:) </w:t>
      </w:r>
      <w:r>
        <w:rPr>
          <w:rFonts w:cs="Arial"/>
          <w:rtl/>
        </w:rPr>
        <w:t>התם</w:t>
      </w:r>
      <w:r>
        <w:rPr>
          <w:rStyle w:val="a7"/>
          <w:rFonts w:cs="Arial"/>
          <w:rtl/>
        </w:rPr>
        <w:footnoteReference w:id="2748"/>
      </w:r>
      <w:r>
        <w:rPr>
          <w:rFonts w:cs="Arial"/>
          <w:rtl/>
        </w:rPr>
        <w:t xml:space="preserve"> כי אמרה</w:t>
      </w:r>
      <w:r>
        <w:rPr>
          <w:rStyle w:val="a7"/>
          <w:rFonts w:cs="Arial"/>
          <w:rtl/>
        </w:rPr>
        <w:footnoteReference w:id="2749"/>
      </w:r>
      <w:r>
        <w:rPr>
          <w:rFonts w:cs="Arial"/>
          <w:rtl/>
        </w:rPr>
        <w:t xml:space="preserve"> הוינא בהדיה </w:t>
      </w:r>
      <w:r w:rsidR="00A82951">
        <w:rPr>
          <w:rFonts w:cs="Arial"/>
          <w:rtl/>
        </w:rPr>
        <w:t>-</w:t>
      </w:r>
      <w:r>
        <w:rPr>
          <w:rFonts w:cs="Arial"/>
          <w:rtl/>
        </w:rPr>
        <w:t xml:space="preserve"> שבקינן לה, הכא אף על גב דאמרה הוינא בהדיה </w:t>
      </w:r>
      <w:r w:rsidR="00A82951">
        <w:rPr>
          <w:rFonts w:cs="Arial"/>
          <w:rtl/>
        </w:rPr>
        <w:t>-</w:t>
      </w:r>
      <w:r>
        <w:rPr>
          <w:rFonts w:cs="Arial"/>
          <w:rtl/>
        </w:rPr>
        <w:t xml:space="preserve"> לא שבקינן לה. והרי מוכה שחין, דאף על גב דאמרה הוינא בהדיה </w:t>
      </w:r>
      <w:r w:rsidR="00A82951">
        <w:rPr>
          <w:rFonts w:cs="Arial"/>
          <w:rtl/>
        </w:rPr>
        <w:t>-</w:t>
      </w:r>
      <w:r>
        <w:rPr>
          <w:rFonts w:cs="Arial"/>
          <w:rtl/>
        </w:rPr>
        <w:t xml:space="preserve"> לא שבקינן לה, דתנן: חוץ ממוכה שחין מפני שממקתו, וקתני</w:t>
      </w:r>
      <w:r>
        <w:rPr>
          <w:rStyle w:val="a7"/>
          <w:rFonts w:cs="Arial"/>
          <w:rtl/>
        </w:rPr>
        <w:footnoteReference w:id="2750"/>
      </w:r>
      <w:r>
        <w:rPr>
          <w:rFonts w:cs="Arial"/>
          <w:rtl/>
        </w:rPr>
        <w:t xml:space="preserve">! התם כי אמרה דיירנא בהדיה בסהדי </w:t>
      </w:r>
      <w:r w:rsidR="00A82951">
        <w:rPr>
          <w:rFonts w:cs="Arial"/>
          <w:rtl/>
        </w:rPr>
        <w:t>-</w:t>
      </w:r>
      <w:r>
        <w:rPr>
          <w:rFonts w:cs="Arial"/>
          <w:rtl/>
        </w:rPr>
        <w:t xml:space="preserve"> שבקינן לה, הכא</w:t>
      </w:r>
      <w:r>
        <w:rPr>
          <w:rStyle w:val="a7"/>
          <w:rFonts w:cs="Arial"/>
          <w:rtl/>
        </w:rPr>
        <w:footnoteReference w:id="2751"/>
      </w:r>
      <w:r>
        <w:rPr>
          <w:rFonts w:cs="Arial"/>
          <w:rtl/>
        </w:rPr>
        <w:t xml:space="preserve"> אף על גב דאמרה דיירנא בהדיה בסהדי </w:t>
      </w:r>
      <w:r w:rsidR="00A82951">
        <w:rPr>
          <w:rFonts w:cs="Arial"/>
          <w:rtl/>
        </w:rPr>
        <w:t>-</w:t>
      </w:r>
      <w:r>
        <w:rPr>
          <w:rFonts w:cs="Arial"/>
          <w:rtl/>
        </w:rPr>
        <w:t xml:space="preserve"> לא שבקינן לה. </w:t>
      </w:r>
    </w:p>
    <w:p w14:paraId="484D764A" w14:textId="77777777" w:rsidR="00C97BEF" w:rsidRDefault="00C97BEF" w:rsidP="00C97BEF">
      <w:pPr>
        <w:rPr>
          <w:rFonts w:cs="Arial"/>
          <w:u w:val="single"/>
          <w:rtl/>
        </w:rPr>
      </w:pPr>
      <w:r>
        <w:rPr>
          <w:rFonts w:cs="Arial"/>
          <w:u w:val="single"/>
          <w:rtl/>
        </w:rPr>
        <w:t>את מי כופין להוציא את אשתו:</w:t>
      </w:r>
    </w:p>
    <w:p w14:paraId="5EBFD64A" w14:textId="799EACC7" w:rsidR="00C97BEF" w:rsidRDefault="00C97BEF" w:rsidP="006A458D">
      <w:pPr>
        <w:pStyle w:val="ab"/>
        <w:numPr>
          <w:ilvl w:val="0"/>
          <w:numId w:val="123"/>
        </w:numPr>
        <w:rPr>
          <w:rtl/>
        </w:rPr>
      </w:pPr>
      <w:r>
        <w:rPr>
          <w:rtl/>
        </w:rPr>
        <w:t>טור</w:t>
      </w:r>
      <w:r w:rsidR="00A82951">
        <w:rPr>
          <w:rtl/>
        </w:rPr>
        <w:t>-</w:t>
      </w:r>
      <w:r>
        <w:rPr>
          <w:rtl/>
        </w:rPr>
        <w:t xml:space="preserve"> </w:t>
      </w:r>
      <w:r>
        <w:rPr>
          <w:rFonts w:cs="Arial"/>
          <w:rtl/>
        </w:rPr>
        <w:t xml:space="preserve">אלו שכופין אותן בשוטים להוציא וליתן כתובתה: מוכה שחין, וריח הפה, וריח החוטם, והמקבץ צואת כלבים, והבורסקי, והמחתך נחשת מעיקרו. ואפילו היו בו קודם שנשאה וידעה שהיו בו. בד"א, שניסת לו סתם, אבל אם התנה עמה תחילה </w:t>
      </w:r>
      <w:r w:rsidR="00A82951">
        <w:rPr>
          <w:rFonts w:cs="Arial"/>
          <w:rtl/>
        </w:rPr>
        <w:t>-</w:t>
      </w:r>
      <w:r>
        <w:rPr>
          <w:rFonts w:cs="Arial"/>
          <w:rtl/>
        </w:rPr>
        <w:t xml:space="preserve"> צריכה לעמוד בתנאי, ואינה יכולה לומר 'סבורה הייתי שאני יכולה לקבל'. חוץ ממוכה שחין, שאפילו התנה עמה תחילה </w:t>
      </w:r>
      <w:r w:rsidR="00A82951">
        <w:rPr>
          <w:rFonts w:cs="Arial"/>
          <w:rtl/>
        </w:rPr>
        <w:t>-</w:t>
      </w:r>
      <w:r>
        <w:rPr>
          <w:rFonts w:cs="Arial"/>
          <w:rtl/>
        </w:rPr>
        <w:t xml:space="preserve"> כופין אותו להוציא. </w:t>
      </w:r>
    </w:p>
    <w:p w14:paraId="008CB3D2" w14:textId="6D059D3D" w:rsidR="00C97BEF" w:rsidRDefault="00C97BEF" w:rsidP="006A458D">
      <w:pPr>
        <w:pStyle w:val="ab"/>
        <w:numPr>
          <w:ilvl w:val="0"/>
          <w:numId w:val="123"/>
        </w:numPr>
      </w:pPr>
      <w:r>
        <w:rPr>
          <w:rFonts w:cs="Arial"/>
          <w:rtl/>
        </w:rPr>
        <w:lastRenderedPageBreak/>
        <w:t>רמב"ם</w:t>
      </w:r>
      <w:r>
        <w:rPr>
          <w:rStyle w:val="a7"/>
          <w:rFonts w:cs="Arial"/>
          <w:rtl/>
        </w:rPr>
        <w:footnoteReference w:id="2752"/>
      </w:r>
      <w:r>
        <w:rPr>
          <w:rFonts w:cs="Arial"/>
          <w:rtl/>
        </w:rPr>
        <w:t xml:space="preserve"> </w:t>
      </w:r>
      <w:r>
        <w:rPr>
          <w:rFonts w:cs="Arial"/>
          <w:sz w:val="16"/>
          <w:szCs w:val="16"/>
          <w:rtl/>
        </w:rPr>
        <w:t>(פכ"ה מאישות הי"א)</w:t>
      </w:r>
      <w:r>
        <w:rPr>
          <w:rFonts w:cs="Arial"/>
          <w:rtl/>
        </w:rPr>
        <w:t xml:space="preserve"> ורמ"ה </w:t>
      </w:r>
      <w:r>
        <w:rPr>
          <w:rFonts w:cs="Arial"/>
          <w:sz w:val="16"/>
          <w:szCs w:val="16"/>
          <w:rtl/>
        </w:rPr>
        <w:t>(כ"כ הטור בשמו)</w:t>
      </w:r>
      <w:r w:rsidR="00A82951">
        <w:rPr>
          <w:rFonts w:cs="Arial"/>
          <w:rtl/>
        </w:rPr>
        <w:t>-</w:t>
      </w:r>
      <w:r>
        <w:rPr>
          <w:rFonts w:cs="Arial"/>
          <w:rtl/>
        </w:rPr>
        <w:t xml:space="preserve"> האיש שנולדו בו מומין אחר שנשא... אם נולד</w:t>
      </w:r>
      <w:r>
        <w:rPr>
          <w:rStyle w:val="a7"/>
          <w:rFonts w:cs="Arial"/>
          <w:rtl/>
        </w:rPr>
        <w:footnoteReference w:id="2753"/>
      </w:r>
      <w:r>
        <w:rPr>
          <w:rFonts w:cs="Arial"/>
          <w:rtl/>
        </w:rPr>
        <w:t xml:space="preserve"> לו ריח הפה או ריח החוטם או שחזר ללקט צואת כלבים או לחצוב נחשת מעיקרו או לעבד עורות </w:t>
      </w:r>
      <w:r w:rsidR="00A82951">
        <w:rPr>
          <w:rFonts w:cs="Arial"/>
          <w:rtl/>
        </w:rPr>
        <w:t>-</w:t>
      </w:r>
      <w:r>
        <w:rPr>
          <w:rFonts w:cs="Arial"/>
          <w:rtl/>
        </w:rPr>
        <w:t xml:space="preserve"> כופין אותו להוציא וליתן כתובה, ואם רצת תשב עם בעלה.</w:t>
      </w:r>
      <w:r>
        <w:rPr>
          <w:rtl/>
        </w:rPr>
        <w:t xml:space="preserve"> </w:t>
      </w:r>
      <w:r>
        <w:rPr>
          <w:color w:val="E36C0A" w:themeColor="accent6" w:themeShade="BF"/>
          <w:rtl/>
        </w:rPr>
        <w:t>(וכ"פ בשו"ע)</w:t>
      </w:r>
      <w:r>
        <w:rPr>
          <w:rtl/>
        </w:rPr>
        <w:t xml:space="preserve"> </w:t>
      </w:r>
      <w:r>
        <w:rPr>
          <w:color w:val="00B0F0"/>
          <w:rtl/>
        </w:rPr>
        <w:t>(וכ"פ הרמ"א)</w:t>
      </w:r>
    </w:p>
    <w:p w14:paraId="30DB3816" w14:textId="77777777" w:rsidR="00C97BEF" w:rsidRDefault="00C97BEF" w:rsidP="00C97BEF">
      <w:pPr>
        <w:ind w:left="360"/>
        <w:rPr>
          <w:u w:val="dotted"/>
        </w:rPr>
      </w:pPr>
      <w:r>
        <w:rPr>
          <w:u w:val="dotted"/>
          <w:rtl/>
        </w:rPr>
        <w:t>ומה הדין אם אמרה 'חפצה אני בו':</w:t>
      </w:r>
    </w:p>
    <w:p w14:paraId="650371B1" w14:textId="0764886C" w:rsidR="00C97BEF" w:rsidRDefault="00C97BEF" w:rsidP="006A458D">
      <w:pPr>
        <w:pStyle w:val="ab"/>
        <w:numPr>
          <w:ilvl w:val="0"/>
          <w:numId w:val="123"/>
        </w:numPr>
      </w:pPr>
      <w:r>
        <w:rPr>
          <w:rFonts w:cs="Arial"/>
          <w:rtl/>
        </w:rPr>
        <w:t xml:space="preserve">רמב"ם </w:t>
      </w:r>
      <w:r>
        <w:rPr>
          <w:rFonts w:cs="Arial"/>
          <w:sz w:val="16"/>
          <w:szCs w:val="16"/>
          <w:rtl/>
        </w:rPr>
        <w:t>(פכ"ה מאישות הי"ב)</w:t>
      </w:r>
      <w:r>
        <w:rPr>
          <w:rFonts w:cs="Arial"/>
          <w:rtl/>
        </w:rPr>
        <w:t xml:space="preserve"> </w:t>
      </w:r>
      <w:r>
        <w:rPr>
          <w:rtl/>
        </w:rPr>
        <w:t>וטור</w:t>
      </w:r>
      <w:r w:rsidR="00A82951">
        <w:rPr>
          <w:rtl/>
        </w:rPr>
        <w:t>-</w:t>
      </w:r>
      <w:r>
        <w:rPr>
          <w:rFonts w:cs="Arial"/>
          <w:rtl/>
        </w:rPr>
        <w:t xml:space="preserve"> וכל הני אי אמרה חפצה אני בו </w:t>
      </w:r>
      <w:r w:rsidR="00A82951">
        <w:rPr>
          <w:rFonts w:cs="Arial"/>
          <w:rtl/>
        </w:rPr>
        <w:t>-</w:t>
      </w:r>
      <w:r>
        <w:rPr>
          <w:rFonts w:cs="Arial"/>
          <w:rtl/>
        </w:rPr>
        <w:t xml:space="preserve"> שומעין לה. חוץ ממוכה שחין שאפילו חפצה בו </w:t>
      </w:r>
      <w:r w:rsidR="00A82951">
        <w:rPr>
          <w:rFonts w:cs="Arial"/>
          <w:rtl/>
        </w:rPr>
        <w:t>-</w:t>
      </w:r>
      <w:r>
        <w:rPr>
          <w:rFonts w:cs="Arial"/>
          <w:rtl/>
        </w:rPr>
        <w:t xml:space="preserve"> אין שומעין לה, לפי שתשמיש קשה לו. לפיכך אם אמרה יהיה בעדים עמי שלא יקרב אלי </w:t>
      </w:r>
      <w:r w:rsidR="00A82951">
        <w:rPr>
          <w:rFonts w:cs="Arial"/>
          <w:rtl/>
        </w:rPr>
        <w:t>-</w:t>
      </w:r>
      <w:r>
        <w:rPr>
          <w:rFonts w:cs="Arial"/>
          <w:rtl/>
        </w:rPr>
        <w:t xml:space="preserve"> שומעין לה</w:t>
      </w:r>
      <w:r>
        <w:rPr>
          <w:rFonts w:cs="Arial"/>
          <w:sz w:val="16"/>
          <w:szCs w:val="16"/>
          <w:rtl/>
        </w:rPr>
        <w:t xml:space="preserve"> (ל' הטור)</w:t>
      </w:r>
      <w:r>
        <w:rPr>
          <w:rFonts w:cs="Arial"/>
          <w:rtl/>
        </w:rPr>
        <w:t xml:space="preserve">. </w:t>
      </w:r>
      <w:r>
        <w:rPr>
          <w:color w:val="E36C0A" w:themeColor="accent6" w:themeShade="BF"/>
          <w:rtl/>
        </w:rPr>
        <w:t>(וכ"פ בשו"ע)</w:t>
      </w:r>
    </w:p>
    <w:p w14:paraId="502D8681" w14:textId="3B5567A1" w:rsidR="00C97BEF" w:rsidRDefault="00C97BEF" w:rsidP="00C97BEF">
      <w:pPr>
        <w:rPr>
          <w:u w:val="single"/>
        </w:rPr>
      </w:pPr>
      <w:r>
        <w:rPr>
          <w:u w:val="single"/>
          <w:rtl/>
        </w:rPr>
        <w:t xml:space="preserve">כשכופין אותו להוציא </w:t>
      </w:r>
      <w:r w:rsidR="00A82951">
        <w:rPr>
          <w:u w:val="single"/>
          <w:rtl/>
        </w:rPr>
        <w:t>-</w:t>
      </w:r>
      <w:r>
        <w:rPr>
          <w:u w:val="single"/>
          <w:rtl/>
        </w:rPr>
        <w:t xml:space="preserve"> האם צריך לתת לה כתובה:</w:t>
      </w:r>
    </w:p>
    <w:p w14:paraId="7D8DD3EF" w14:textId="6DC35B75" w:rsidR="00C97BEF" w:rsidRDefault="00C97BEF" w:rsidP="006A458D">
      <w:pPr>
        <w:pStyle w:val="ab"/>
        <w:numPr>
          <w:ilvl w:val="0"/>
          <w:numId w:val="123"/>
        </w:numPr>
      </w:pPr>
      <w:r>
        <w:rPr>
          <w:rFonts w:cs="Arial"/>
          <w:rtl/>
        </w:rPr>
        <w:t xml:space="preserve">מרדכי </w:t>
      </w:r>
      <w:r>
        <w:rPr>
          <w:rFonts w:cs="Arial"/>
          <w:sz w:val="16"/>
          <w:szCs w:val="16"/>
          <w:rtl/>
        </w:rPr>
        <w:t>(כתובות סי' רב, יבמות ס' מח)</w:t>
      </w:r>
      <w:r w:rsidR="00A82951">
        <w:rPr>
          <w:rFonts w:cs="Arial"/>
          <w:rtl/>
        </w:rPr>
        <w:t>-</w:t>
      </w:r>
      <w:r>
        <w:rPr>
          <w:rFonts w:cs="Arial"/>
          <w:rtl/>
        </w:rPr>
        <w:t xml:space="preserve"> נראה לר"י דיוציא ויתן כתובה</w:t>
      </w:r>
      <w:r>
        <w:rPr>
          <w:rStyle w:val="a7"/>
          <w:rFonts w:cs="Arial"/>
          <w:rtl/>
        </w:rPr>
        <w:footnoteReference w:id="2754"/>
      </w:r>
      <w:r>
        <w:rPr>
          <w:rFonts w:cs="Arial"/>
          <w:rtl/>
        </w:rPr>
        <w:t xml:space="preserve"> אע"פ שמגרשה בעל כרחו.</w:t>
      </w:r>
    </w:p>
    <w:p w14:paraId="45086632" w14:textId="526A4389" w:rsidR="00C97BEF" w:rsidRDefault="00C97BEF" w:rsidP="00C97BEF">
      <w:pPr>
        <w:rPr>
          <w:u w:val="single"/>
        </w:rPr>
      </w:pPr>
      <w:r>
        <w:rPr>
          <w:rFonts w:cs="Arial"/>
          <w:u w:val="single"/>
          <w:rtl/>
        </w:rPr>
        <w:t xml:space="preserve">אדם שאמר שאם ישחק בקוביא וכדו' יאסור על עצמו הנאת תשמיש אשתו ונשבע שיגרשנה </w:t>
      </w:r>
      <w:r w:rsidR="00A82951">
        <w:rPr>
          <w:rFonts w:cs="Arial"/>
          <w:u w:val="single"/>
          <w:rtl/>
        </w:rPr>
        <w:t>-</w:t>
      </w:r>
      <w:r>
        <w:rPr>
          <w:rFonts w:cs="Arial"/>
          <w:u w:val="single"/>
          <w:rtl/>
        </w:rPr>
        <w:t xml:space="preserve"> והלך ושיחק:</w:t>
      </w:r>
    </w:p>
    <w:p w14:paraId="6E455511" w14:textId="47DED082" w:rsidR="00C97BEF" w:rsidRDefault="00C97BEF" w:rsidP="006A458D">
      <w:pPr>
        <w:pStyle w:val="ab"/>
        <w:numPr>
          <w:ilvl w:val="0"/>
          <w:numId w:val="123"/>
        </w:numPr>
        <w:rPr>
          <w:rtl/>
        </w:rPr>
      </w:pPr>
      <w:r>
        <w:rPr>
          <w:rFonts w:cs="Arial"/>
          <w:rtl/>
        </w:rPr>
        <w:t xml:space="preserve">זכרון יהודה </w:t>
      </w:r>
      <w:r>
        <w:rPr>
          <w:rFonts w:cs="Arial"/>
          <w:sz w:val="16"/>
          <w:szCs w:val="16"/>
          <w:rtl/>
        </w:rPr>
        <w:t>(סי' עא)</w:t>
      </w:r>
      <w:r w:rsidR="00A82951">
        <w:rPr>
          <w:rFonts w:cs="Arial"/>
          <w:rtl/>
        </w:rPr>
        <w:t>-</w:t>
      </w:r>
      <w:r>
        <w:rPr>
          <w:rFonts w:cs="Arial"/>
          <w:rtl/>
        </w:rPr>
        <w:t xml:space="preserve"> עוד ילמדנו רבינו כך הי' שראובן הי' שוחק בקוביא</w:t>
      </w:r>
      <w:r>
        <w:rPr>
          <w:rStyle w:val="a7"/>
          <w:rtl/>
        </w:rPr>
        <w:footnoteReference w:id="2755"/>
      </w:r>
      <w:r>
        <w:rPr>
          <w:rFonts w:cs="Arial"/>
          <w:rtl/>
        </w:rPr>
        <w:t xml:space="preserve"> ומתקוטט עם אשתו ומכה אותה תמיד עד שברחה לבית אביה ובאו אנשים לעשות שלום ביניהם ועשו עמו תקנה בענין זה שאסר ע"ע הנאת תשמיש מאשתו עליו אם שמא יצחק לשום צחוק בעולם עד זמן ידוע ואיסור זה הוציאו בלשון נדר וכל מיני קיום שבעולם גם נשבע שאם שמא יצחק מכאן ועד הזמן הידוע שיגרש את אשתו פלונית בגט כשר מוסיף על איסורו גם התנה שלא תשוה לו שום התרה בעולם לזאת השבועה גם התנה שלא יוכל לצאת מן העיר או סביב לה ט"ו פרסאות רק במאמר אשתו ואם שמא יעבור קבל ע"ע מה שקבל על השחוק ובעת האיסור והשבועה הודיעוהו שלא היתה אשתו יכולה לחזור אליו עד עבור ימי מספר מפני שהיתה צריכה לתקן ענינה בבית אביה ובתוך אלו הימים נפלה קטטה חדשה ביניהם ואמר ראובן לחמיו ולאנשים אשר היו עמו בעת האיסור והשבועה מאחר שאשתי אינה חוזרת עמי ולא נתקן ענינינו כראוי אני מבקש מכם שתחזירו לי אותו הכתב על השבועה והאיסור ושיהא בטל לגמרי מה עשה חמיו לקח טופס מהאיסור והשבועה כמו שהיה כתוב והחתים עליו עדים כשרים ואח"כ החזיר הגוף לראובן וקרע אותו אחר זה הלך ראובן ושחק או עבר התחום הנזכר...     תשובה: נ"ל כי השבועה אינה תלי' בכתב של השבועה אם יהי' קיים אם לאו אפי' אם לא נכתב מעולם אם יש עדים בשבועה ושלא היה בתנאי קיימת היא ועוד אפילו אם היתה בטלה השבועה בחזרת הכתב אין כח ביד האב לחייב לבתו שלא מדעתה וע"כ השבועה היא קיימת וכיון ששחק והלך חוץ לתחומו הרי הוא מושבע ועומד לגרשה ויש לב"ד לכופו לקיים שבועתו והגט שיתן בכפייה זו הוא גט שכל דבר המוטל על האדם לעשותו כופין אותו לעשותו והמעשה קיים (ב"ב מח. תוד"ה אילימא).</w:t>
      </w:r>
    </w:p>
    <w:p w14:paraId="74DD6343" w14:textId="1250762C" w:rsidR="00C97BEF" w:rsidRDefault="00C97BEF" w:rsidP="00C97BEF">
      <w:pPr>
        <w:rPr>
          <w:u w:val="single"/>
        </w:rPr>
      </w:pPr>
      <w:r>
        <w:rPr>
          <w:u w:val="single"/>
          <w:rtl/>
        </w:rPr>
        <w:t>רועה זונות</w:t>
      </w:r>
      <w:r>
        <w:rPr>
          <w:sz w:val="16"/>
          <w:szCs w:val="16"/>
          <w:u w:val="single"/>
          <w:rtl/>
        </w:rPr>
        <w:t xml:space="preserve"> (אדם פרוץ שבא על פרוצות)</w:t>
      </w:r>
      <w:r>
        <w:rPr>
          <w:u w:val="single"/>
          <w:rtl/>
        </w:rPr>
        <w:t xml:space="preserve"> </w:t>
      </w:r>
      <w:r w:rsidR="00A82951">
        <w:rPr>
          <w:u w:val="single"/>
          <w:rtl/>
        </w:rPr>
        <w:t>-</w:t>
      </w:r>
      <w:r>
        <w:rPr>
          <w:u w:val="single"/>
          <w:rtl/>
        </w:rPr>
        <w:t xml:space="preserve"> האם כופין אותו להוציא:</w:t>
      </w:r>
    </w:p>
    <w:p w14:paraId="6C35E55E" w14:textId="19E8B8E1" w:rsidR="00C97BEF" w:rsidRDefault="00C97BEF" w:rsidP="006A458D">
      <w:pPr>
        <w:pStyle w:val="ab"/>
        <w:numPr>
          <w:ilvl w:val="0"/>
          <w:numId w:val="123"/>
        </w:numPr>
        <w:rPr>
          <w:rFonts w:cs="Arial"/>
          <w:rtl/>
        </w:rPr>
      </w:pPr>
      <w:r>
        <w:rPr>
          <w:rFonts w:cs="Arial"/>
          <w:rtl/>
        </w:rPr>
        <w:t>אגודה</w:t>
      </w:r>
      <w:r>
        <w:rPr>
          <w:rFonts w:cs="Arial"/>
          <w:sz w:val="16"/>
          <w:szCs w:val="16"/>
          <w:rtl/>
        </w:rPr>
        <w:t xml:space="preserve"> (פרק הבא על יבמתו סי' עז, הובא גם בשו"ת מהר"ם [סיני וליקוטים סי' תקעח])</w:t>
      </w:r>
      <w:r w:rsidR="00A82951">
        <w:rPr>
          <w:rFonts w:cs="Arial"/>
          <w:rtl/>
        </w:rPr>
        <w:t>-</w:t>
      </w:r>
      <w:r>
        <w:rPr>
          <w:rFonts w:cs="Arial"/>
          <w:rtl/>
        </w:rPr>
        <w:t xml:space="preserve"> פעם אחת בא מעשה לידי לאה טוענת על ראובן שהיה רועה זונות, והוא כופר. ופסקתי שאם תביא עדים שהוא כן </w:t>
      </w:r>
      <w:r w:rsidR="00A82951">
        <w:rPr>
          <w:rFonts w:cs="Arial"/>
          <w:rtl/>
        </w:rPr>
        <w:t>-</w:t>
      </w:r>
      <w:r>
        <w:rPr>
          <w:rFonts w:cs="Arial"/>
          <w:rtl/>
        </w:rPr>
        <w:t xml:space="preserve"> יוציא ויתן כתובה. אי בעית אימא קרא, ואי בעית אימא סברא, ואי בעית אימא גמרא. קרא דכתיב (בראשית לא נ) אם תקח נשים על בנותי. גמרא דאמרינן הכא (סה סוע"א עיין שם ברי"ף) והוא דאפשר בסיפוקייהו, ובנדון זה יאבד הון (משלי כט ג). סברא דגרע מכל הנהו דפרק המדיר (עז.). ודוקא שיש עדים שראו אותו עם המנאפים אבל אם הביאו לו נכריות בנים עבור זה לא כפינן ליה שראינו כמה נספים בלא משפט בעלילות. ודוקא שיכולה האשה לבקש עדים שיעידו מעצמם אבל לא פסקתי להחרים על ככה דכל ישראל בחזקת כשרות עד שיודע פיסולו (עיין כתובות לו:). גם אמרתי שיעידו עדים זה שלא בפני זה ויחקרו אותם בדרישה וחקירה כמו על דיני נפשות </w:t>
      </w:r>
      <w:r>
        <w:rPr>
          <w:rFonts w:cs="Arial"/>
          <w:rtl/>
        </w:rPr>
        <w:lastRenderedPageBreak/>
        <w:t>(סנהדרין מ.). ואחרי שפסקתי הפסק שלחו קרובי האשה תשובת הר"מ ז"ל והאריך בה מאד וכתב כל הני טעמי שכתבתי. וסוף דבריו היכא דאיכא עדות או כשהודה מעצמו כייפינן ליה להוציא.</w:t>
      </w:r>
    </w:p>
    <w:p w14:paraId="6AAD33DE" w14:textId="77777777" w:rsidR="00C97BEF" w:rsidRDefault="00C97BEF" w:rsidP="00C97BEF">
      <w:r>
        <w:rPr>
          <w:rFonts w:cs="Arial"/>
          <w:b/>
          <w:bCs/>
          <w:rtl/>
        </w:rPr>
        <w:t xml:space="preserve">ירושלמי כתובות פי"א ה"ז: </w:t>
      </w:r>
      <w:r>
        <w:rPr>
          <w:rFonts w:cs="Arial"/>
          <w:u w:val="single"/>
          <w:rtl/>
        </w:rPr>
        <w:t>שמואל אמר</w:t>
      </w:r>
      <w:r>
        <w:rPr>
          <w:rFonts w:cs="Arial"/>
          <w:rtl/>
        </w:rPr>
        <w:t>: אין מעשין אלא כגון אלמנה לכהן גדול גרושה וחלוצה לכהן הדיוט. והא תנינן שניות לא. בגין דא אמר שמואל. והא תנינן המדיר את אשתו מליהנות לו עד שלשים יום יעמיד פרנס יותר מיכן יוציא ויתן כתובה. שמענו שהוא מוציא! שמענו שכופין?.</w:t>
      </w:r>
      <w:r>
        <w:rPr>
          <w:rtl/>
        </w:rPr>
        <w:t xml:space="preserve"> </w:t>
      </w:r>
      <w:r>
        <w:rPr>
          <w:rFonts w:cs="Arial"/>
          <w:sz w:val="16"/>
          <w:szCs w:val="16"/>
          <w:rtl/>
        </w:rPr>
        <w:t>(ש"מ דאין כופין אלא היכא דקתני כופין אבל היכא דאמור רבנן יוציא ולא פירשו כופין אומרים לו חייבוך רבנן להוציא ואם לא הוציא מותר לקרותו עבריינא אבל לכפותו בשוטים לא</w:t>
      </w:r>
      <w:r>
        <w:rPr>
          <w:sz w:val="16"/>
          <w:szCs w:val="16"/>
          <w:rtl/>
        </w:rPr>
        <w:t>, תוס' (סד. ד"ה יוציא). והעתיקו הסמ"ג (עשין מח))</w:t>
      </w:r>
    </w:p>
    <w:p w14:paraId="11ABBB12" w14:textId="21E09648" w:rsidR="00C97BEF" w:rsidRDefault="00C97BEF" w:rsidP="00C97BEF">
      <w:pPr>
        <w:rPr>
          <w:rtl/>
        </w:rPr>
      </w:pPr>
      <w:r>
        <w:rPr>
          <w:rFonts w:cs="Arial"/>
          <w:b/>
          <w:bCs/>
          <w:rtl/>
        </w:rPr>
        <w:t>ירושלמי גיטין פ"ט ה"ט:</w:t>
      </w:r>
      <w:r>
        <w:rPr>
          <w:rFonts w:cs="Arial"/>
          <w:rtl/>
        </w:rPr>
        <w:t xml:space="preserve"> </w:t>
      </w:r>
      <w:r>
        <w:rPr>
          <w:rFonts w:cs="Arial"/>
          <w:u w:val="double"/>
          <w:rtl/>
        </w:rPr>
        <w:t>מתני'</w:t>
      </w:r>
      <w:r>
        <w:rPr>
          <w:rFonts w:cs="Arial"/>
          <w:rtl/>
        </w:rPr>
        <w:t xml:space="preserve">: גט מעושה בישראל </w:t>
      </w:r>
      <w:r w:rsidR="00A82951">
        <w:rPr>
          <w:rFonts w:cs="Arial"/>
          <w:rtl/>
        </w:rPr>
        <w:t>-</w:t>
      </w:r>
      <w:r>
        <w:rPr>
          <w:rFonts w:cs="Arial"/>
          <w:rtl/>
        </w:rPr>
        <w:t xml:space="preserve"> כשר. ובעכו"ם </w:t>
      </w:r>
      <w:r w:rsidR="00A82951">
        <w:rPr>
          <w:rFonts w:cs="Arial"/>
          <w:rtl/>
        </w:rPr>
        <w:t>-</w:t>
      </w:r>
      <w:r>
        <w:rPr>
          <w:rFonts w:cs="Arial"/>
          <w:rtl/>
        </w:rPr>
        <w:t xml:space="preserve"> פסול. והעכו"ם חובטין אותו ואומרים לו עשה מה שישראל אומר לך.       </w:t>
      </w:r>
      <w:r>
        <w:rPr>
          <w:rFonts w:cs="Arial"/>
          <w:u w:val="double"/>
          <w:rtl/>
        </w:rPr>
        <w:t>גמ'</w:t>
      </w:r>
      <w:r>
        <w:rPr>
          <w:rFonts w:cs="Arial"/>
          <w:rtl/>
        </w:rPr>
        <w:t xml:space="preserve">: </w:t>
      </w:r>
      <w:r>
        <w:rPr>
          <w:rFonts w:cs="Arial"/>
          <w:u w:val="single"/>
          <w:rtl/>
        </w:rPr>
        <w:t>שמואל אמר</w:t>
      </w:r>
      <w:r>
        <w:rPr>
          <w:rFonts w:cs="Arial"/>
          <w:rtl/>
        </w:rPr>
        <w:t xml:space="preserve">: פסול ופוסל בכהונה. </w:t>
      </w:r>
      <w:r>
        <w:rPr>
          <w:rFonts w:cs="Arial"/>
          <w:u w:val="single"/>
          <w:rtl/>
        </w:rPr>
        <w:t>שמואל אמר</w:t>
      </w:r>
      <w:r>
        <w:rPr>
          <w:rFonts w:cs="Arial"/>
          <w:rtl/>
        </w:rPr>
        <w:t xml:space="preserve">: אין מעשין אלא לפסולין. </w:t>
      </w:r>
      <w:r>
        <w:rPr>
          <w:rFonts w:cs="Arial"/>
          <w:u w:val="single"/>
          <w:rtl/>
        </w:rPr>
        <w:t>שמואל אמר</w:t>
      </w:r>
      <w:r>
        <w:rPr>
          <w:rFonts w:cs="Arial"/>
          <w:rtl/>
        </w:rPr>
        <w:t xml:space="preserve">: אין מעשין אלא אלמנה לכהן גדול גרושה וחלוצה לכהן הדיוט. והתנינן שניות לא. בגין דא אמר שמואל. והתנינן המדיר את אשתו מליהנות לו עד שלשים יום יעמיד פרנס יותר מיכן יוציא ויתן כתובה. שמענו שהוא מוציא!. שמענו שכופין?. </w:t>
      </w:r>
      <w:r>
        <w:rPr>
          <w:rFonts w:cs="Arial"/>
          <w:u w:val="single"/>
          <w:rtl/>
        </w:rPr>
        <w:t>רב ירמיה בשם רב</w:t>
      </w:r>
      <w:r>
        <w:rPr>
          <w:rFonts w:cs="Arial"/>
          <w:rtl/>
        </w:rPr>
        <w:t xml:space="preserve">: ישראל שעיסו במעשה עכו"ם </w:t>
      </w:r>
      <w:r w:rsidR="00A82951">
        <w:rPr>
          <w:rFonts w:cs="Arial"/>
          <w:rtl/>
        </w:rPr>
        <w:t>-</w:t>
      </w:r>
      <w:r>
        <w:rPr>
          <w:rFonts w:cs="Arial"/>
          <w:rtl/>
        </w:rPr>
        <w:t xml:space="preserve"> פסול, ובאומר איני זן ומפרנס</w:t>
      </w:r>
      <w:r>
        <w:rPr>
          <w:rStyle w:val="a7"/>
          <w:rFonts w:cs="Arial"/>
          <w:rtl/>
        </w:rPr>
        <w:footnoteReference w:id="2756"/>
      </w:r>
      <w:r>
        <w:rPr>
          <w:rFonts w:cs="Arial"/>
          <w:rtl/>
        </w:rPr>
        <w:t xml:space="preserve">. </w:t>
      </w:r>
      <w:r>
        <w:rPr>
          <w:rFonts w:cs="Arial"/>
          <w:u w:val="single"/>
          <w:rtl/>
        </w:rPr>
        <w:t>תני רבי חייה</w:t>
      </w:r>
      <w:r>
        <w:rPr>
          <w:rFonts w:cs="Arial"/>
          <w:rtl/>
        </w:rPr>
        <w:t xml:space="preserve">: ועכו"ם שעיסו במעשה ישראל </w:t>
      </w:r>
      <w:r w:rsidR="00A82951">
        <w:rPr>
          <w:rFonts w:cs="Arial"/>
          <w:rtl/>
        </w:rPr>
        <w:t>-</w:t>
      </w:r>
      <w:r>
        <w:rPr>
          <w:rFonts w:cs="Arial"/>
          <w:rtl/>
        </w:rPr>
        <w:t xml:space="preserve"> כשר. אפילו אמר איני זן ומפרנס</w:t>
      </w:r>
      <w:r>
        <w:rPr>
          <w:rStyle w:val="a7"/>
          <w:rFonts w:cs="Arial"/>
          <w:rtl/>
        </w:rPr>
        <w:footnoteReference w:id="2757"/>
      </w:r>
      <w:r>
        <w:rPr>
          <w:rFonts w:cs="Arial"/>
          <w:rtl/>
        </w:rPr>
        <w:t xml:space="preserve">. </w:t>
      </w:r>
      <w:r>
        <w:rPr>
          <w:rFonts w:cs="Arial"/>
          <w:u w:val="single"/>
          <w:rtl/>
        </w:rPr>
        <w:t>אמר רבי יוסי</w:t>
      </w:r>
      <w:r>
        <w:rPr>
          <w:rFonts w:cs="Arial"/>
          <w:rtl/>
        </w:rPr>
        <w:t xml:space="preserve">: מתניתא אמרה כן, והעכו"ם אומרים לו וחובטין אותו ואומרים לו עשה מה שישראל אומר לך. </w:t>
      </w:r>
      <w:r>
        <w:rPr>
          <w:rFonts w:cs="Arial"/>
          <w:u w:val="single"/>
          <w:rtl/>
        </w:rPr>
        <w:t>רבי חייה בר אשי בשם איסי</w:t>
      </w:r>
      <w:r>
        <w:rPr>
          <w:rFonts w:cs="Arial"/>
          <w:rtl/>
        </w:rPr>
        <w:t xml:space="preserve">: האומר איני זן ומפרנס כופין אותו להוציא. </w:t>
      </w:r>
      <w:r>
        <w:rPr>
          <w:rFonts w:cs="Arial"/>
          <w:u w:val="single"/>
          <w:rtl/>
        </w:rPr>
        <w:t>רבי ירמיה בעא קומי רבי אבהו</w:t>
      </w:r>
      <w:r>
        <w:rPr>
          <w:rFonts w:cs="Arial"/>
          <w:rtl/>
        </w:rPr>
        <w:t xml:space="preserve"> וכופין.</w:t>
      </w:r>
    </w:p>
    <w:p w14:paraId="043458D7" w14:textId="77777777" w:rsidR="00C97BEF" w:rsidRDefault="00C97BEF" w:rsidP="00C97BEF">
      <w:pPr>
        <w:rPr>
          <w:sz w:val="16"/>
          <w:szCs w:val="16"/>
          <w:u w:val="single"/>
        </w:rPr>
      </w:pPr>
      <w:r>
        <w:rPr>
          <w:u w:val="single"/>
          <w:rtl/>
        </w:rPr>
        <w:t>האם אפשר לכפות משומד לתת גט:</w:t>
      </w:r>
      <w:r>
        <w:rPr>
          <w:sz w:val="16"/>
          <w:szCs w:val="16"/>
          <w:rtl/>
        </w:rPr>
        <w:t xml:space="preserve"> (הועתק מסי' קלד ס"ה)</w:t>
      </w:r>
    </w:p>
    <w:p w14:paraId="6740E587" w14:textId="3DE9315A" w:rsidR="00C97BEF" w:rsidRDefault="00C97BEF" w:rsidP="006A458D">
      <w:pPr>
        <w:pStyle w:val="ab"/>
        <w:numPr>
          <w:ilvl w:val="0"/>
          <w:numId w:val="90"/>
        </w:numPr>
      </w:pPr>
      <w:r>
        <w:rPr>
          <w:rFonts w:cs="Arial"/>
          <w:rtl/>
        </w:rPr>
        <w:t xml:space="preserve">מהרי"ק </w:t>
      </w:r>
      <w:r>
        <w:rPr>
          <w:rFonts w:cs="Arial"/>
          <w:sz w:val="16"/>
          <w:szCs w:val="16"/>
          <w:rtl/>
        </w:rPr>
        <w:t>(שורש סג ענף ג)</w:t>
      </w:r>
      <w:r w:rsidR="00A82951">
        <w:rPr>
          <w:rFonts w:cs="Arial"/>
          <w:rtl/>
        </w:rPr>
        <w:t>-</w:t>
      </w:r>
      <w:r>
        <w:rPr>
          <w:rFonts w:cs="Arial"/>
          <w:rtl/>
        </w:rPr>
        <w:t xml:space="preserve"> ואשר דקדקת מלשון רבינו משה </w:t>
      </w:r>
      <w:r>
        <w:rPr>
          <w:rFonts w:cs="Arial"/>
          <w:sz w:val="16"/>
          <w:szCs w:val="16"/>
          <w:rtl/>
        </w:rPr>
        <w:t xml:space="preserve">(רמב"ם הל' גירושין פ"ב ה"כ) </w:t>
      </w:r>
      <w:r>
        <w:rPr>
          <w:rFonts w:cs="Arial"/>
          <w:rtl/>
        </w:rPr>
        <w:t xml:space="preserve">בעניין כפיית המשומדים לגרש, לפי הנראה לעניות דעתי יפה דקדקת, ולכאורה אין תקנה לאשת משומד לפי דבריו. ואולי בכה"ג סבר רבינו משה דאפקעינהו רבנן לקידושי מינה </w:t>
      </w:r>
      <w:r>
        <w:rPr>
          <w:rFonts w:cs="Arial"/>
          <w:sz w:val="16"/>
          <w:szCs w:val="16"/>
          <w:rtl/>
        </w:rPr>
        <w:t xml:space="preserve">(יבמות צ:) </w:t>
      </w:r>
      <w:r>
        <w:rPr>
          <w:rFonts w:cs="Arial"/>
          <w:rtl/>
        </w:rPr>
        <w:t xml:space="preserve">ע"י גט זה שנותן המשומד בכפייה, דמשום עיגונא חשו רבנן טובא. </w:t>
      </w:r>
    </w:p>
    <w:p w14:paraId="3FB25970" w14:textId="1DA62B9A" w:rsidR="00C97BEF" w:rsidRDefault="00C97BEF" w:rsidP="006A458D">
      <w:pPr>
        <w:pStyle w:val="ab"/>
        <w:numPr>
          <w:ilvl w:val="0"/>
          <w:numId w:val="90"/>
        </w:numPr>
      </w:pPr>
      <w:r>
        <w:rPr>
          <w:rFonts w:cs="Arial"/>
          <w:rtl/>
        </w:rPr>
        <w:t xml:space="preserve">מהר"ם </w:t>
      </w:r>
      <w:r>
        <w:rPr>
          <w:rFonts w:cs="Arial"/>
          <w:sz w:val="16"/>
          <w:szCs w:val="16"/>
          <w:rtl/>
        </w:rPr>
        <w:t>(כ"כ בשמו ההגה"מ [אישות פכ"ה אות ד])</w:t>
      </w:r>
      <w:r w:rsidR="00A82951">
        <w:rPr>
          <w:rFonts w:cs="Arial"/>
          <w:rtl/>
        </w:rPr>
        <w:t>-</w:t>
      </w:r>
      <w:r>
        <w:rPr>
          <w:rFonts w:cs="Arial"/>
          <w:rtl/>
        </w:rPr>
        <w:t xml:space="preserve"> עובר על דת או אפילו מומר </w:t>
      </w:r>
      <w:r w:rsidR="00A82951">
        <w:rPr>
          <w:rFonts w:cs="Arial"/>
          <w:rtl/>
        </w:rPr>
        <w:t>-</w:t>
      </w:r>
      <w:r>
        <w:rPr>
          <w:rFonts w:cs="Arial"/>
          <w:rtl/>
        </w:rPr>
        <w:t xml:space="preserve"> אין כופין אותו להוציא</w:t>
      </w:r>
      <w:r>
        <w:rPr>
          <w:rStyle w:val="a7"/>
          <w:rFonts w:cs="Arial"/>
          <w:rtl/>
        </w:rPr>
        <w:footnoteReference w:id="2758"/>
      </w:r>
      <w:r>
        <w:rPr>
          <w:rFonts w:cs="Arial"/>
          <w:rtl/>
        </w:rPr>
        <w:t>. ותדע מדלא מנה רשע שכופין אותו להוציא. וטעמא דטב למיתב טן דו מלמיתב ארמלו. אם לא שעבר על דת שקיבל עליו חרם שהוא כלפי דידה כגון שלא להכותה או שלא להקניטה ועיין בסימן י"ו</w:t>
      </w:r>
      <w:r>
        <w:rPr>
          <w:rStyle w:val="a7"/>
          <w:rFonts w:cs="Arial"/>
          <w:rtl/>
        </w:rPr>
        <w:footnoteReference w:id="2759"/>
      </w:r>
      <w:r>
        <w:rPr>
          <w:rFonts w:cs="Arial"/>
          <w:rtl/>
        </w:rPr>
        <w:t xml:space="preserve">. </w:t>
      </w:r>
    </w:p>
    <w:p w14:paraId="381DFF05" w14:textId="5280BC06" w:rsidR="00C97BEF" w:rsidRDefault="00C97BEF" w:rsidP="006A458D">
      <w:pPr>
        <w:pStyle w:val="ab"/>
        <w:numPr>
          <w:ilvl w:val="0"/>
          <w:numId w:val="90"/>
        </w:numPr>
      </w:pPr>
      <w:r>
        <w:rPr>
          <w:rFonts w:cs="Arial"/>
          <w:rtl/>
        </w:rPr>
        <w:t xml:space="preserve">תרומה </w:t>
      </w:r>
      <w:r>
        <w:rPr>
          <w:rFonts w:cs="Arial"/>
          <w:sz w:val="16"/>
          <w:szCs w:val="16"/>
          <w:rtl/>
        </w:rPr>
        <w:t>(העתיק הסמ"ג [עשין נ] את דבריו, והביאו ההגה"מ [גירושין פ"ב ה"כ אות ד, הביאו הב"י בבדה"ב בסי' קלד ס"ה])</w:t>
      </w:r>
      <w:r w:rsidR="00A82951">
        <w:rPr>
          <w:rFonts w:cs="Arial"/>
          <w:rtl/>
        </w:rPr>
        <w:t>-</w:t>
      </w:r>
      <w:r>
        <w:rPr>
          <w:rFonts w:cs="Arial"/>
          <w:rtl/>
        </w:rPr>
        <w:t xml:space="preserve"> תנן פרק המגרש גט המעושה בישראל כשר ובעכו"ם פסול כיון שהדיינין עכו"ם... ובעכו"ם חובטין אותו ואומרין לו עשה מה שישראל אומר לך... בא להכשיר ולומר אע"פ שהמעשים והחובטים הם עכו"ם אפי' הכי כשר היכא שהדייני' הם ישראלים אומרים שחייב ליתן את הגט. וכן מוכח בירושלמי (גיטין פ"ט ה"ט)... תני רבי חייא עכו"ם שעישו כמעשה ישראל כשר בשאומר איני זן ואיני מפרנס. ומתניתא אמרה כן... אלמא מתניתין להכשיר. וא"כ אותם מומרים מותר להכריחם ע"י עכו"ם עד שירצו ליתן גט כדברי דייני ישראל. וצריכין שיאמרו לבסוף אני רוצה</w:t>
      </w:r>
      <w:r>
        <w:rPr>
          <w:rStyle w:val="a7"/>
          <w:rFonts w:cs="Arial"/>
          <w:rtl/>
        </w:rPr>
        <w:footnoteReference w:id="2760"/>
      </w:r>
      <w:r>
        <w:rPr>
          <w:rFonts w:cs="Arial"/>
          <w:rtl/>
        </w:rPr>
        <w:t>.</w:t>
      </w:r>
      <w:r>
        <w:rPr>
          <w:rtl/>
        </w:rPr>
        <w:t xml:space="preserve"> </w:t>
      </w:r>
    </w:p>
    <w:p w14:paraId="71CD3AC8"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6954EDEF" w14:textId="3E53A8AA" w:rsidR="00C97BEF" w:rsidRDefault="00C97BEF" w:rsidP="00C97BEF">
      <w:pPr>
        <w:rPr>
          <w:rtl/>
        </w:rPr>
      </w:pPr>
      <w:r>
        <w:rPr>
          <w:rFonts w:cs="Arial"/>
          <w:rtl/>
        </w:rPr>
        <w:lastRenderedPageBreak/>
        <w:t>אלו שכופין אותם להוציא וליתן כתובה</w:t>
      </w:r>
      <w:r>
        <w:rPr>
          <w:rStyle w:val="a7"/>
          <w:rFonts w:cs="Arial"/>
          <w:rtl/>
        </w:rPr>
        <w:footnoteReference w:id="2761"/>
      </w:r>
      <w:r>
        <w:rPr>
          <w:rFonts w:cs="Arial"/>
          <w:rtl/>
        </w:rPr>
        <w:t>: מי שנולד לו ריח הפה או ריח החוטם, או שחזר להיות מקבץ צואת כלבים או בורסקי</w:t>
      </w:r>
      <w:r>
        <w:rPr>
          <w:rStyle w:val="a7"/>
          <w:rFonts w:cs="Arial"/>
          <w:rtl/>
        </w:rPr>
        <w:footnoteReference w:id="2762"/>
      </w:r>
      <w:r>
        <w:rPr>
          <w:rFonts w:cs="Arial"/>
          <w:rtl/>
        </w:rPr>
        <w:t>, או להיות מחתך נחשת מעיקרו</w:t>
      </w:r>
      <w:r>
        <w:rPr>
          <w:rStyle w:val="a7"/>
          <w:rFonts w:cs="Arial"/>
          <w:rtl/>
        </w:rPr>
        <w:footnoteReference w:id="2763"/>
      </w:r>
      <w:r>
        <w:rPr>
          <w:rFonts w:cs="Arial"/>
          <w:rtl/>
        </w:rPr>
        <w:t xml:space="preserve">. ואם רצתה תשב עם בעלה. </w:t>
      </w:r>
      <w:r>
        <w:rPr>
          <w:rFonts w:cs="Arial"/>
          <w:sz w:val="18"/>
          <w:szCs w:val="18"/>
          <w:rtl/>
        </w:rPr>
        <w:t>[הגה] ואם ידעה בהן קודם שנשאת, אין כופין להוציא, דסברה וקבלה</w:t>
      </w:r>
      <w:r>
        <w:rPr>
          <w:rStyle w:val="a7"/>
          <w:rFonts w:cs="Arial"/>
          <w:sz w:val="18"/>
          <w:szCs w:val="18"/>
          <w:rtl/>
        </w:rPr>
        <w:footnoteReference w:id="2764"/>
      </w:r>
      <w:r>
        <w:rPr>
          <w:rFonts w:cs="Arial"/>
          <w:sz w:val="18"/>
          <w:szCs w:val="18"/>
          <w:rtl/>
        </w:rPr>
        <w:t xml:space="preserve"> (טור בשם הרמ"ה).</w:t>
      </w:r>
      <w:r>
        <w:rPr>
          <w:rFonts w:cs="Arial"/>
          <w:rtl/>
        </w:rPr>
        <w:t xml:space="preserve"> נעשה האיש מוכה שחין, כופין אותו להוציא וליתן כתובה</w:t>
      </w:r>
      <w:r>
        <w:rPr>
          <w:rStyle w:val="a7"/>
          <w:rFonts w:cs="Arial"/>
          <w:rtl/>
        </w:rPr>
        <w:footnoteReference w:id="2765"/>
      </w:r>
      <w:r>
        <w:rPr>
          <w:rFonts w:cs="Arial"/>
          <w:rtl/>
        </w:rPr>
        <w:t xml:space="preserve">. ואף על פי שהיא רוצה לישב עמו, </w:t>
      </w:r>
      <w:r>
        <w:rPr>
          <w:rFonts w:cs="Arial"/>
          <w:sz w:val="18"/>
          <w:szCs w:val="18"/>
          <w:rtl/>
        </w:rPr>
        <w:t>[הגה] או שהתנה עמו קודם שנשאה,</w:t>
      </w:r>
      <w:r>
        <w:rPr>
          <w:rFonts w:cs="Arial"/>
          <w:rtl/>
        </w:rPr>
        <w:t xml:space="preserve"> אין שומעין לה, אלא מפרישין אותם בעל כרחם, מפני שהיא ממיקתו. ואם אמרה: אשב עמו בעדים, כדי שלא יבא עלי, שומעין לה. </w:t>
      </w:r>
      <w:r>
        <w:rPr>
          <w:rFonts w:cs="Arial"/>
          <w:sz w:val="18"/>
          <w:szCs w:val="18"/>
          <w:rtl/>
        </w:rPr>
        <w:t>הגה: י"א דמשומד כופין אותו ע"י גוים להוציא (תרומה, אורחות חיים [הביאו הב"י בסימן קלד ס"ה]), ובלבד שיבטל המודעות בשעת הגט (מרדכי סי' תנ). ויש חולקין</w:t>
      </w:r>
      <w:r>
        <w:rPr>
          <w:rStyle w:val="a7"/>
          <w:rFonts w:cs="Arial"/>
          <w:sz w:val="18"/>
          <w:szCs w:val="18"/>
          <w:rtl/>
        </w:rPr>
        <w:footnoteReference w:id="2766"/>
      </w:r>
      <w:r>
        <w:rPr>
          <w:rFonts w:cs="Arial"/>
          <w:sz w:val="18"/>
          <w:szCs w:val="18"/>
          <w:rtl/>
        </w:rPr>
        <w:t xml:space="preserve"> ואומרין דאין כופין למשומד או שאר עובר על דת (מהר"ם), אא"כ פושע לה, כגון שמאכילה דבר איסור (מהרי"ו סי' כב), או שעבר על חרם</w:t>
      </w:r>
      <w:r>
        <w:rPr>
          <w:rStyle w:val="a7"/>
          <w:rFonts w:cs="Arial"/>
          <w:sz w:val="18"/>
          <w:szCs w:val="18"/>
          <w:rtl/>
        </w:rPr>
        <w:footnoteReference w:id="2767"/>
      </w:r>
      <w:r>
        <w:rPr>
          <w:rFonts w:cs="Arial"/>
          <w:sz w:val="18"/>
          <w:szCs w:val="18"/>
          <w:rtl/>
        </w:rPr>
        <w:t xml:space="preserve"> ששעבד עצמו נגדה שלא להקניטה ושלא להכותה, או שנודר ואינו מקיים שבניו מתים בעון נדרים (הגה"מ בשם מהר"ם). מי שהוא רועה</w:t>
      </w:r>
      <w:r>
        <w:rPr>
          <w:rStyle w:val="a7"/>
          <w:rFonts w:cs="Arial"/>
          <w:sz w:val="18"/>
          <w:szCs w:val="18"/>
          <w:rtl/>
        </w:rPr>
        <w:footnoteReference w:id="2768"/>
      </w:r>
      <w:r>
        <w:rPr>
          <w:rFonts w:cs="Arial"/>
          <w:sz w:val="18"/>
          <w:szCs w:val="18"/>
          <w:rtl/>
        </w:rPr>
        <w:t xml:space="preserve"> זונות ואשתו קובלת עליו, אם יש עדות בדבר, שראו אותו עם מנאפים או שהודה, יש אומרים שכופין אותו להוציא, אבל משום שמביאין לו ילדים נכריים אין לחוש, דילמא משקרים עליו (אגודה).</w:t>
      </w:r>
      <w:r>
        <w:rPr>
          <w:rFonts w:cs="Arial"/>
          <w:rtl/>
        </w:rPr>
        <w:t xml:space="preserve"> </w:t>
      </w:r>
    </w:p>
    <w:p w14:paraId="7A38DD96" w14:textId="77777777" w:rsidR="00C97BEF" w:rsidRDefault="00C97BEF" w:rsidP="00C97BEF">
      <w:pPr>
        <w:rPr>
          <w:rtl/>
        </w:rPr>
      </w:pPr>
    </w:p>
    <w:p w14:paraId="7299B5AE" w14:textId="77777777" w:rsidR="00C97BEF" w:rsidRDefault="00C97BEF" w:rsidP="00C97BEF">
      <w:pPr>
        <w:pStyle w:val="2"/>
        <w:rPr>
          <w:rtl/>
        </w:rPr>
      </w:pPr>
      <w:r>
        <w:rPr>
          <w:rtl/>
        </w:rPr>
        <w:t>סעיף ב: היו בו אחד מהדברים הנ"ל, ומת, ונזקקה ליבם שיש בו אחד מהדברים הללו.</w:t>
      </w:r>
    </w:p>
    <w:p w14:paraId="0DDBCD86" w14:textId="77777777" w:rsidR="00C97BEF" w:rsidRDefault="00C97BEF" w:rsidP="00C97BEF">
      <w:pPr>
        <w:rPr>
          <w:rtl/>
        </w:rPr>
      </w:pPr>
      <w:r>
        <w:rPr>
          <w:rFonts w:cs="Arial"/>
          <w:b/>
          <w:bCs/>
          <w:rtl/>
        </w:rPr>
        <w:t>כתובות</w:t>
      </w:r>
      <w:r>
        <w:rPr>
          <w:rFonts w:cs="Arial"/>
          <w:b/>
          <w:bCs/>
          <w:sz w:val="16"/>
          <w:szCs w:val="16"/>
          <w:rtl/>
        </w:rPr>
        <w:t xml:space="preserve"> (ס"פ המדיר)</w:t>
      </w:r>
      <w:r>
        <w:rPr>
          <w:rFonts w:cs="Arial"/>
          <w:b/>
          <w:bCs/>
          <w:rtl/>
        </w:rPr>
        <w:t xml:space="preserve"> עז ע"א: </w:t>
      </w:r>
      <w:r>
        <w:rPr>
          <w:rFonts w:cs="Arial"/>
          <w:u w:val="double"/>
          <w:rtl/>
        </w:rPr>
        <w:t>מתני'</w:t>
      </w:r>
      <w:r>
        <w:rPr>
          <w:rFonts w:cs="Arial"/>
          <w:rtl/>
        </w:rPr>
        <w:t xml:space="preserve">: ואלו שכופין אותו להוציא... מעשה בצידון בבורסי אחד שמת, והיה לו אח בורסי, </w:t>
      </w:r>
      <w:r>
        <w:rPr>
          <w:rFonts w:cs="Arial"/>
          <w:u w:val="single"/>
          <w:rtl/>
        </w:rPr>
        <w:t>אמרו חכמים</w:t>
      </w:r>
      <w:r>
        <w:rPr>
          <w:rFonts w:cs="Arial"/>
          <w:rtl/>
        </w:rPr>
        <w:t>: יכולה היא שתאמר לאחיך הייתי יכולה לקבל, ולך איני יכולה לקבל.</w:t>
      </w:r>
    </w:p>
    <w:p w14:paraId="44684427" w14:textId="77777777" w:rsidR="00C97BEF" w:rsidRDefault="00C97BEF" w:rsidP="00C97BEF">
      <w:pPr>
        <w:rPr>
          <w:u w:val="single"/>
          <w:rtl/>
        </w:rPr>
      </w:pPr>
      <w:r>
        <w:rPr>
          <w:u w:val="single"/>
          <w:rtl/>
        </w:rPr>
        <w:t>היו בו אחד מהדברים הנ"ל, ומת, ונזקקה ליבם שיש בו אחד מהדברים הללו:</w:t>
      </w:r>
    </w:p>
    <w:p w14:paraId="6F0B6807" w14:textId="33244DBD" w:rsidR="00C97BEF" w:rsidRDefault="00C97BEF" w:rsidP="006A458D">
      <w:pPr>
        <w:pStyle w:val="ab"/>
        <w:numPr>
          <w:ilvl w:val="0"/>
          <w:numId w:val="123"/>
        </w:numPr>
        <w:rPr>
          <w:rtl/>
        </w:rPr>
      </w:pPr>
      <w:r>
        <w:rPr>
          <w:rtl/>
        </w:rPr>
        <w:t xml:space="preserve">רמב"ם </w:t>
      </w:r>
      <w:r>
        <w:rPr>
          <w:sz w:val="16"/>
          <w:szCs w:val="16"/>
          <w:rtl/>
        </w:rPr>
        <w:t>(פכ"ה מאישות הי"ג)</w:t>
      </w:r>
      <w:r>
        <w:rPr>
          <w:rtl/>
        </w:rPr>
        <w:t xml:space="preserve"> וטור</w:t>
      </w:r>
      <w:r w:rsidR="00A82951">
        <w:rPr>
          <w:rtl/>
        </w:rPr>
        <w:t>-</w:t>
      </w:r>
      <w:r>
        <w:rPr>
          <w:rFonts w:cs="Arial"/>
          <w:rtl/>
        </w:rPr>
        <w:t xml:space="preserve"> ואם היו בו אחד מאלו הדברים ומת ונזקקה לאחיו ליבם וישנו גם באחיו </w:t>
      </w:r>
      <w:r w:rsidR="00A82951">
        <w:rPr>
          <w:rFonts w:cs="Arial"/>
          <w:rtl/>
        </w:rPr>
        <w:t>-</w:t>
      </w:r>
      <w:r>
        <w:rPr>
          <w:rFonts w:cs="Arial"/>
          <w:rtl/>
        </w:rPr>
        <w:t xml:space="preserve"> יכולה לומר 'לאחיך הייתי יכולה לקבל ולך אי איפשי לקבל'</w:t>
      </w:r>
      <w:r>
        <w:rPr>
          <w:rFonts w:cs="Arial"/>
          <w:sz w:val="16"/>
          <w:szCs w:val="16"/>
          <w:rtl/>
        </w:rPr>
        <w:t xml:space="preserve"> (ל' הטור)</w:t>
      </w:r>
      <w:r>
        <w:rPr>
          <w:rFonts w:cs="Arial"/>
          <w:rtl/>
        </w:rPr>
        <w:t xml:space="preserve">. </w:t>
      </w:r>
      <w:r w:rsidR="008D4B24">
        <w:rPr>
          <w:color w:val="E36C0A" w:themeColor="accent6" w:themeShade="BF"/>
          <w:rtl/>
        </w:rPr>
        <w:t>(וכ"פ בשו"ע)</w:t>
      </w:r>
    </w:p>
    <w:p w14:paraId="23A2C8E9"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37024991" w14:textId="77777777" w:rsidR="00C97BEF" w:rsidRDefault="00C97BEF" w:rsidP="00C97BEF">
      <w:pPr>
        <w:rPr>
          <w:rtl/>
        </w:rPr>
      </w:pPr>
      <w:r>
        <w:rPr>
          <w:rFonts w:cs="Arial"/>
          <w:rtl/>
        </w:rPr>
        <w:lastRenderedPageBreak/>
        <w:t xml:space="preserve">מי שהיה בעלה בעל ריח הפה או ריח החוטם, או מלקט צואת כלבים וכיוצא בה, ומת ונפלה לפני אחיו ויש בו אותו מום שהיה בבעלה, יכולה היא לומר: לאחיך הייתי יכולה לקבל ולך איני יכולה לקבל, ויחלוץ ויתן לה כתובה. </w:t>
      </w:r>
    </w:p>
    <w:p w14:paraId="6DCD1EFB" w14:textId="77777777" w:rsidR="00C97BEF" w:rsidRDefault="00C97BEF" w:rsidP="00C97BEF">
      <w:pPr>
        <w:rPr>
          <w:rtl/>
        </w:rPr>
      </w:pPr>
    </w:p>
    <w:p w14:paraId="712A852E" w14:textId="77777777" w:rsidR="00C97BEF" w:rsidRDefault="00C97BEF" w:rsidP="00C97BEF">
      <w:pPr>
        <w:pStyle w:val="2"/>
        <w:rPr>
          <w:rtl/>
        </w:rPr>
      </w:pPr>
      <w:r>
        <w:rPr>
          <w:rtl/>
        </w:rPr>
        <w:t>סעיף ג: האומר איני זן ואיני מפרנס, או שמורד מתשמיש.</w:t>
      </w:r>
    </w:p>
    <w:p w14:paraId="07443B9D" w14:textId="3AFBD490" w:rsidR="00C97BEF" w:rsidRDefault="00C97BEF" w:rsidP="00C97BEF">
      <w:pPr>
        <w:rPr>
          <w:rFonts w:cs="Arial"/>
          <w:rtl/>
        </w:rPr>
      </w:pPr>
      <w:r>
        <w:rPr>
          <w:rFonts w:cs="Arial"/>
          <w:b/>
          <w:bCs/>
          <w:rtl/>
        </w:rPr>
        <w:t>כתובות</w:t>
      </w:r>
      <w:r>
        <w:rPr>
          <w:rFonts w:cs="Arial"/>
          <w:b/>
          <w:bCs/>
          <w:sz w:val="16"/>
          <w:szCs w:val="16"/>
          <w:rtl/>
        </w:rPr>
        <w:t xml:space="preserve"> (ס"פ המדיר)</w:t>
      </w:r>
      <w:r>
        <w:rPr>
          <w:rFonts w:cs="Arial"/>
          <w:b/>
          <w:bCs/>
          <w:rtl/>
        </w:rPr>
        <w:t xml:space="preserve"> עז ע"א: </w:t>
      </w:r>
      <w:r>
        <w:rPr>
          <w:rFonts w:cs="Arial"/>
          <w:u w:val="single"/>
          <w:rtl/>
        </w:rPr>
        <w:t>אמר רב</w:t>
      </w:r>
      <w:r>
        <w:rPr>
          <w:rFonts w:cs="Arial"/>
          <w:rtl/>
        </w:rPr>
        <w:t xml:space="preserve">: האומר איני זן ואיני מפרנס </w:t>
      </w:r>
      <w:r w:rsidR="00A82951">
        <w:rPr>
          <w:rFonts w:cs="Arial"/>
          <w:rtl/>
        </w:rPr>
        <w:t>-</w:t>
      </w:r>
      <w:r>
        <w:rPr>
          <w:rFonts w:cs="Arial"/>
          <w:rtl/>
        </w:rPr>
        <w:t xml:space="preserve"> יוציא ויתן כתובה. </w:t>
      </w:r>
      <w:r>
        <w:rPr>
          <w:rFonts w:cs="Arial"/>
          <w:u w:val="single"/>
          <w:rtl/>
        </w:rPr>
        <w:t>אזל ר' אלעזר אמרה לשמעתא קמיה דשמואל, אמר</w:t>
      </w:r>
      <w:r>
        <w:rPr>
          <w:rFonts w:cs="Arial"/>
          <w:rtl/>
        </w:rPr>
        <w:t>: אכסוה שערי</w:t>
      </w:r>
      <w:r>
        <w:rPr>
          <w:rStyle w:val="a7"/>
          <w:rFonts w:cs="Arial"/>
          <w:rtl/>
        </w:rPr>
        <w:footnoteReference w:id="2769"/>
      </w:r>
      <w:r>
        <w:rPr>
          <w:rFonts w:cs="Arial"/>
          <w:rtl/>
        </w:rPr>
        <w:t xml:space="preserve"> לאלעזר, עד שכופין אותו להוציא </w:t>
      </w:r>
      <w:r w:rsidR="00A82951">
        <w:rPr>
          <w:rFonts w:cs="Arial"/>
          <w:rtl/>
        </w:rPr>
        <w:t>-</w:t>
      </w:r>
      <w:r>
        <w:rPr>
          <w:rFonts w:cs="Arial"/>
          <w:rtl/>
        </w:rPr>
        <w:t xml:space="preserve"> יכפוהו לזון! ורב? אין אדם דר עם נחש בכפיפה. כי סליק רבי זירא, אשכחיה לרבי בנימין בר יפת דיתיב וקאמר לה</w:t>
      </w:r>
      <w:r>
        <w:rPr>
          <w:rStyle w:val="a7"/>
          <w:rFonts w:cs="Arial"/>
          <w:rtl/>
        </w:rPr>
        <w:footnoteReference w:id="2770"/>
      </w:r>
      <w:r>
        <w:rPr>
          <w:rFonts w:cs="Arial"/>
          <w:rtl/>
        </w:rPr>
        <w:t xml:space="preserve"> משמיה דרבי יוחנן, אמר ליה: על דא אכסוה שערין לאלעזר בבבל.</w:t>
      </w:r>
    </w:p>
    <w:p w14:paraId="5FAF99ED" w14:textId="77777777" w:rsidR="00C97BEF" w:rsidRDefault="00C97BEF" w:rsidP="00C97BEF">
      <w:pPr>
        <w:rPr>
          <w:u w:val="single"/>
          <w:rtl/>
        </w:rPr>
      </w:pPr>
      <w:r>
        <w:rPr>
          <w:u w:val="single"/>
          <w:rtl/>
        </w:rPr>
        <w:t>האומר איני זן ואיני מפרנס:</w:t>
      </w:r>
    </w:p>
    <w:p w14:paraId="6EB0F329" w14:textId="14CDB275" w:rsidR="00C97BEF" w:rsidRDefault="00C97BEF" w:rsidP="006A458D">
      <w:pPr>
        <w:pStyle w:val="ab"/>
        <w:numPr>
          <w:ilvl w:val="0"/>
          <w:numId w:val="123"/>
        </w:numPr>
        <w:rPr>
          <w:rtl/>
        </w:rPr>
      </w:pPr>
      <w:r>
        <w:rPr>
          <w:rFonts w:cs="Arial"/>
          <w:rtl/>
        </w:rPr>
        <w:t xml:space="preserve">בה"ג </w:t>
      </w:r>
      <w:r>
        <w:rPr>
          <w:rFonts w:cs="Arial"/>
          <w:sz w:val="16"/>
          <w:szCs w:val="16"/>
          <w:rtl/>
        </w:rPr>
        <w:t xml:space="preserve">(הלכות כתובות סז סוע"ג) </w:t>
      </w:r>
      <w:r>
        <w:rPr>
          <w:rFonts w:cs="Arial"/>
          <w:rtl/>
        </w:rPr>
        <w:t xml:space="preserve">רא"ש </w:t>
      </w:r>
      <w:r>
        <w:rPr>
          <w:rFonts w:cs="Arial"/>
          <w:sz w:val="16"/>
          <w:szCs w:val="16"/>
          <w:rtl/>
        </w:rPr>
        <w:t>(סי' יט)</w:t>
      </w:r>
      <w:r>
        <w:rPr>
          <w:rtl/>
        </w:rPr>
        <w:t xml:space="preserve"> וטור</w:t>
      </w:r>
      <w:r w:rsidR="00A82951">
        <w:rPr>
          <w:rtl/>
        </w:rPr>
        <w:t>-</w:t>
      </w:r>
      <w:r>
        <w:rPr>
          <w:rFonts w:cs="Arial"/>
          <w:rtl/>
        </w:rPr>
        <w:t xml:space="preserve"> האומר איני זן ואיני מפרנס... </w:t>
      </w:r>
      <w:r w:rsidR="00A82951">
        <w:rPr>
          <w:rFonts w:cs="Arial"/>
          <w:rtl/>
        </w:rPr>
        <w:t>-</w:t>
      </w:r>
      <w:r>
        <w:rPr>
          <w:rFonts w:cs="Arial"/>
          <w:rtl/>
        </w:rPr>
        <w:t xml:space="preserve"> כופין אותו ויוציא מיד ויתן כתובה אם תרצה היא</w:t>
      </w:r>
      <w:r>
        <w:rPr>
          <w:rFonts w:cs="Arial"/>
          <w:sz w:val="16"/>
          <w:szCs w:val="16"/>
          <w:rtl/>
        </w:rPr>
        <w:t xml:space="preserve"> (ל' הטור)</w:t>
      </w:r>
      <w:r>
        <w:rPr>
          <w:rFonts w:cs="Arial"/>
          <w:rtl/>
        </w:rPr>
        <w:t xml:space="preserve">. </w:t>
      </w:r>
    </w:p>
    <w:p w14:paraId="156D5279" w14:textId="74A09FE9" w:rsidR="00C97BEF" w:rsidRDefault="00C97BEF" w:rsidP="006A458D">
      <w:pPr>
        <w:pStyle w:val="ab"/>
        <w:numPr>
          <w:ilvl w:val="0"/>
          <w:numId w:val="123"/>
        </w:numPr>
        <w:rPr>
          <w:rFonts w:cs="Arial"/>
        </w:rPr>
      </w:pPr>
      <w:r>
        <w:rPr>
          <w:rFonts w:cs="Arial"/>
          <w:rtl/>
        </w:rPr>
        <w:t xml:space="preserve">ר"ח </w:t>
      </w:r>
      <w:r>
        <w:rPr>
          <w:rFonts w:cs="Arial"/>
          <w:sz w:val="16"/>
          <w:szCs w:val="16"/>
          <w:rtl/>
        </w:rPr>
        <w:t xml:space="preserve">(כ"כ הר"ן בשמו [ד"ה גמ']) </w:t>
      </w:r>
      <w:r>
        <w:rPr>
          <w:rFonts w:cs="Arial"/>
          <w:rtl/>
        </w:rPr>
        <w:t xml:space="preserve">ורי"ף </w:t>
      </w:r>
      <w:r>
        <w:rPr>
          <w:rFonts w:cs="Arial"/>
          <w:sz w:val="16"/>
          <w:szCs w:val="16"/>
          <w:rtl/>
        </w:rPr>
        <w:t>(לו.)</w:t>
      </w:r>
      <w:r w:rsidR="00A82951">
        <w:rPr>
          <w:rFonts w:cs="Arial"/>
          <w:rtl/>
        </w:rPr>
        <w:t>-</w:t>
      </w:r>
      <w:r>
        <w:rPr>
          <w:rFonts w:cs="Arial"/>
          <w:rtl/>
        </w:rPr>
        <w:t xml:space="preserve"> כופין אותו לזון, כשמואל</w:t>
      </w:r>
      <w:r>
        <w:rPr>
          <w:rStyle w:val="a7"/>
          <w:rFonts w:cs="Arial"/>
          <w:rtl/>
        </w:rPr>
        <w:footnoteReference w:id="2771"/>
      </w:r>
      <w:r>
        <w:rPr>
          <w:rFonts w:cs="Arial"/>
          <w:rtl/>
        </w:rPr>
        <w:t xml:space="preserve">. </w:t>
      </w:r>
      <w:r>
        <w:rPr>
          <w:rFonts w:cs="Arial"/>
          <w:color w:val="E36C0A" w:themeColor="accent6" w:themeShade="BF"/>
          <w:rtl/>
        </w:rPr>
        <w:t>(וכ"פ בשו"ע)</w:t>
      </w:r>
    </w:p>
    <w:p w14:paraId="1E01B910" w14:textId="431B32D5" w:rsidR="00C97BEF" w:rsidRDefault="00C97BEF" w:rsidP="00C97BEF">
      <w:pPr>
        <w:ind w:left="360"/>
        <w:rPr>
          <w:rFonts w:cs="Arial"/>
          <w:u w:val="dotted"/>
        </w:rPr>
      </w:pPr>
      <w:r>
        <w:rPr>
          <w:rFonts w:cs="Arial"/>
          <w:u w:val="dotted"/>
          <w:rtl/>
        </w:rPr>
        <w:t xml:space="preserve">לרי"ף וסיעתו </w:t>
      </w:r>
      <w:r w:rsidR="00A82951">
        <w:rPr>
          <w:rFonts w:cs="Arial"/>
          <w:u w:val="dotted"/>
          <w:rtl/>
        </w:rPr>
        <w:t>-</w:t>
      </w:r>
      <w:r>
        <w:rPr>
          <w:rFonts w:cs="Arial"/>
          <w:u w:val="dotted"/>
          <w:rtl/>
        </w:rPr>
        <w:t xml:space="preserve"> מה הדין אם הבית דין לא יכולים לכופו לזון:</w:t>
      </w:r>
    </w:p>
    <w:p w14:paraId="43254AC4" w14:textId="2960C045" w:rsidR="00C97BEF" w:rsidRDefault="00C97BEF" w:rsidP="006A458D">
      <w:pPr>
        <w:pStyle w:val="ab"/>
        <w:numPr>
          <w:ilvl w:val="0"/>
          <w:numId w:val="123"/>
        </w:numPr>
        <w:rPr>
          <w:rFonts w:cs="Arial"/>
          <w:rtl/>
        </w:rPr>
      </w:pPr>
      <w:r>
        <w:rPr>
          <w:rFonts w:cs="Arial"/>
          <w:rtl/>
        </w:rPr>
        <w:t>רמב"ם</w:t>
      </w:r>
      <w:r>
        <w:rPr>
          <w:rStyle w:val="a7"/>
          <w:rFonts w:cs="Arial"/>
          <w:rtl/>
        </w:rPr>
        <w:footnoteReference w:id="2772"/>
      </w:r>
      <w:r>
        <w:rPr>
          <w:rFonts w:cs="Arial"/>
          <w:rtl/>
        </w:rPr>
        <w:t xml:space="preserve"> </w:t>
      </w:r>
      <w:r>
        <w:rPr>
          <w:rFonts w:cs="Arial"/>
          <w:sz w:val="16"/>
          <w:szCs w:val="16"/>
          <w:rtl/>
        </w:rPr>
        <w:t>(פי"ב מאישות הי"א, כ"כ הב"י בשמו)</w:t>
      </w:r>
      <w:r>
        <w:rPr>
          <w:rFonts w:cs="Arial"/>
          <w:rtl/>
        </w:rPr>
        <w:t xml:space="preserve"> ורשב"א </w:t>
      </w:r>
      <w:r>
        <w:rPr>
          <w:rFonts w:cs="Arial"/>
          <w:sz w:val="16"/>
          <w:szCs w:val="16"/>
          <w:rtl/>
        </w:rPr>
        <w:t>(כתובות עז. ד"ה ולענין, וכ"כ הר"ן בשמו)</w:t>
      </w:r>
      <w:r w:rsidR="00A82951">
        <w:rPr>
          <w:rFonts w:cs="Arial"/>
          <w:rtl/>
        </w:rPr>
        <w:t>-</w:t>
      </w:r>
      <w:r>
        <w:rPr>
          <w:rFonts w:cs="Arial"/>
          <w:rtl/>
        </w:rPr>
        <w:t xml:space="preserve"> אפילו לדברי הפוסקים כשמואל אפשר לומר שאם אין בית דין יכולין לכופו לזון, כגון שהוא עני ואינו רוצה להשתכר להרויח ולזון </w:t>
      </w:r>
      <w:r w:rsidR="00A82951">
        <w:rPr>
          <w:rFonts w:cs="Arial"/>
          <w:rtl/>
        </w:rPr>
        <w:t>-</w:t>
      </w:r>
      <w:r>
        <w:rPr>
          <w:rFonts w:cs="Arial"/>
          <w:rtl/>
        </w:rPr>
        <w:t xml:space="preserve"> כופין אותו להוציא, דהא שמואל לא דחי להא דרב אלא מטעמא דעד שכופין אותו להוציא יכפוהו לזון הא אם אינם יכולין לכופו לזון יכפוהו להוציא</w:t>
      </w:r>
      <w:r>
        <w:rPr>
          <w:rFonts w:cs="Arial"/>
          <w:sz w:val="16"/>
          <w:szCs w:val="16"/>
          <w:rtl/>
        </w:rPr>
        <w:t xml:space="preserve"> (ל' הרשב"א)</w:t>
      </w:r>
      <w:r>
        <w:rPr>
          <w:rFonts w:cs="Arial"/>
          <w:rtl/>
        </w:rPr>
        <w:t xml:space="preserve">. </w:t>
      </w:r>
      <w:r>
        <w:rPr>
          <w:rFonts w:cs="Arial"/>
          <w:color w:val="E36C0A" w:themeColor="accent6" w:themeShade="BF"/>
          <w:rtl/>
        </w:rPr>
        <w:t>(וכ"פ בשו"ע)</w:t>
      </w:r>
      <w:r>
        <w:rPr>
          <w:rFonts w:cs="Arial"/>
          <w:rtl/>
        </w:rPr>
        <w:t xml:space="preserve"> </w:t>
      </w:r>
    </w:p>
    <w:p w14:paraId="08B224A3" w14:textId="77777777" w:rsidR="00C97BEF" w:rsidRDefault="00C97BEF" w:rsidP="00C97BEF">
      <w:pPr>
        <w:ind w:left="360"/>
        <w:rPr>
          <w:rFonts w:cs="Arial"/>
          <w:u w:val="dotted"/>
        </w:rPr>
      </w:pPr>
      <w:r>
        <w:rPr>
          <w:rFonts w:cs="Arial"/>
          <w:u w:val="dotted"/>
          <w:rtl/>
        </w:rPr>
        <w:t>האם מוסיפין לה על כתובתה כיון שמורד ואינו רוצה לפרנס:</w:t>
      </w:r>
    </w:p>
    <w:p w14:paraId="3534361D" w14:textId="194B7A57" w:rsidR="00C97BEF" w:rsidRDefault="00C97BEF" w:rsidP="006A458D">
      <w:pPr>
        <w:pStyle w:val="ab"/>
        <w:numPr>
          <w:ilvl w:val="0"/>
          <w:numId w:val="123"/>
        </w:numPr>
        <w:rPr>
          <w:rFonts w:cs="Arial"/>
        </w:rPr>
      </w:pPr>
      <w:r>
        <w:rPr>
          <w:rFonts w:cs="Arial"/>
          <w:rtl/>
        </w:rPr>
        <w:t xml:space="preserve">רא"ש </w:t>
      </w:r>
      <w:r>
        <w:rPr>
          <w:rFonts w:cs="Arial"/>
          <w:sz w:val="16"/>
          <w:szCs w:val="16"/>
          <w:rtl/>
        </w:rPr>
        <w:t>(פ</w:t>
      </w:r>
      <w:r w:rsidR="00877DB3">
        <w:rPr>
          <w:rFonts w:cs="Arial" w:hint="cs"/>
          <w:sz w:val="16"/>
          <w:szCs w:val="16"/>
          <w:rtl/>
        </w:rPr>
        <w:t>"ה</w:t>
      </w:r>
      <w:r>
        <w:rPr>
          <w:rFonts w:cs="Arial"/>
          <w:sz w:val="16"/>
          <w:szCs w:val="16"/>
          <w:rtl/>
        </w:rPr>
        <w:t xml:space="preserve"> סי' לב)</w:t>
      </w:r>
      <w:r w:rsidR="00A82951">
        <w:rPr>
          <w:rFonts w:cs="Arial"/>
          <w:rtl/>
        </w:rPr>
        <w:t>-</w:t>
      </w:r>
      <w:r>
        <w:rPr>
          <w:rFonts w:cs="Arial"/>
          <w:rtl/>
        </w:rPr>
        <w:t xml:space="preserve"> לשמואל נמי הואיל ואינו רוצה לזונה אלא בכפייה נקרא מורד ומוסיפין לה על כתובתה. ואע"ג דאמר רב הונא (כתובות סג:) דמורדת ממלאכה לא הויא מורדת </w:t>
      </w:r>
      <w:r w:rsidR="00A82951">
        <w:rPr>
          <w:rFonts w:cs="Arial"/>
          <w:rtl/>
        </w:rPr>
        <w:t>-</w:t>
      </w:r>
      <w:r>
        <w:rPr>
          <w:rFonts w:cs="Arial"/>
          <w:rtl/>
        </w:rPr>
        <w:t xml:space="preserve"> משום דמציא למימר איני ניזונת ואיני עושה, אבל איש דלא מצי למימר איני זן ואיני מפרנס ואיני מקבל מלאכתך </w:t>
      </w:r>
      <w:r w:rsidR="00A82951">
        <w:rPr>
          <w:rFonts w:cs="Arial"/>
          <w:rtl/>
        </w:rPr>
        <w:t>-</w:t>
      </w:r>
      <w:r>
        <w:rPr>
          <w:rFonts w:cs="Arial"/>
          <w:rtl/>
        </w:rPr>
        <w:t xml:space="preserve"> נקרא מורד אם אינו זן אם אינה מספקת במעשה ידיה מוסיפין לה על כתובתה אע"פ שכופין אותו לזון. ולרב משמע ודאי דפשיטא שמוסיפין לה על כתובתה כיון שאינו זן... </w:t>
      </w:r>
      <w:r>
        <w:rPr>
          <w:rStyle w:val="a7"/>
          <w:rFonts w:cs="Arial"/>
          <w:rtl/>
        </w:rPr>
        <w:footnoteReference w:id="2773"/>
      </w:r>
      <w:r>
        <w:rPr>
          <w:rFonts w:cs="Arial"/>
          <w:rtl/>
        </w:rPr>
        <w:t xml:space="preserve">ולפי המסקנא (כתובות שם.) ניחא דקאמר ולאו לאימלוכי בה בעי, אם היא רוצה כופין לאלתר, ואם היא רוצה ימתינו שמא יחזור בו, ובנתיים מוסיפין על כתובתה. וכן לשמואל אע"פ שכופין אותו לזון </w:t>
      </w:r>
      <w:r w:rsidR="00A82951">
        <w:rPr>
          <w:rFonts w:cs="Arial"/>
          <w:rtl/>
        </w:rPr>
        <w:t>-</w:t>
      </w:r>
      <w:r>
        <w:rPr>
          <w:rFonts w:cs="Arial"/>
          <w:rtl/>
        </w:rPr>
        <w:t xml:space="preserve"> מוסיפין על כתובתה כדפרישית</w:t>
      </w:r>
      <w:r>
        <w:rPr>
          <w:rStyle w:val="a7"/>
          <w:rFonts w:cs="Arial"/>
          <w:rtl/>
        </w:rPr>
        <w:footnoteReference w:id="2774"/>
      </w:r>
      <w:r>
        <w:rPr>
          <w:rFonts w:cs="Arial"/>
          <w:rtl/>
        </w:rPr>
        <w:t xml:space="preserve">. </w:t>
      </w:r>
    </w:p>
    <w:p w14:paraId="2F0CD984" w14:textId="77777777" w:rsidR="00C97BEF" w:rsidRDefault="00C97BEF" w:rsidP="00C97BEF">
      <w:pPr>
        <w:rPr>
          <w:rFonts w:cs="Arial"/>
          <w:u w:val="single"/>
        </w:rPr>
      </w:pPr>
      <w:r>
        <w:rPr>
          <w:rFonts w:cs="Arial"/>
          <w:u w:val="single"/>
          <w:rtl/>
        </w:rPr>
        <w:t>המורד מתשמיש:</w:t>
      </w:r>
    </w:p>
    <w:p w14:paraId="1B0174C6" w14:textId="022B46E7" w:rsidR="00C97BEF" w:rsidRDefault="00C97BEF" w:rsidP="006A458D">
      <w:pPr>
        <w:pStyle w:val="ab"/>
        <w:numPr>
          <w:ilvl w:val="0"/>
          <w:numId w:val="123"/>
        </w:numPr>
        <w:rPr>
          <w:rFonts w:cs="Arial"/>
          <w:rtl/>
        </w:rPr>
      </w:pPr>
      <w:r>
        <w:rPr>
          <w:rFonts w:cs="Arial"/>
          <w:rtl/>
        </w:rPr>
        <w:t xml:space="preserve">תוס' </w:t>
      </w:r>
      <w:r>
        <w:rPr>
          <w:rFonts w:cs="Arial"/>
          <w:sz w:val="16"/>
          <w:szCs w:val="16"/>
          <w:rtl/>
        </w:rPr>
        <w:t>(סג. ד"ה והאמר)</w:t>
      </w:r>
      <w:r>
        <w:rPr>
          <w:rFonts w:cs="Arial"/>
          <w:rtl/>
        </w:rPr>
        <w:t xml:space="preserve"> וטור</w:t>
      </w:r>
      <w:r>
        <w:rPr>
          <w:rStyle w:val="a7"/>
          <w:rFonts w:cs="Arial"/>
          <w:rtl/>
        </w:rPr>
        <w:footnoteReference w:id="2775"/>
      </w:r>
      <w:r w:rsidR="00A82951">
        <w:rPr>
          <w:rFonts w:cs="Arial"/>
          <w:rtl/>
        </w:rPr>
        <w:t>-</w:t>
      </w:r>
      <w:r>
        <w:rPr>
          <w:rFonts w:cs="Arial"/>
          <w:rtl/>
        </w:rPr>
        <w:t xml:space="preserve"> על כרחך מורד מתשמיש נמי כופין להוציא </w:t>
      </w:r>
      <w:r>
        <w:rPr>
          <w:rFonts w:cs="Arial"/>
          <w:sz w:val="16"/>
          <w:szCs w:val="16"/>
          <w:rtl/>
        </w:rPr>
        <w:t>(ל' התוס')</w:t>
      </w:r>
      <w:r>
        <w:rPr>
          <w:rFonts w:cs="Arial"/>
          <w:rtl/>
        </w:rPr>
        <w:t xml:space="preserve">. </w:t>
      </w:r>
      <w:r>
        <w:rPr>
          <w:rFonts w:cs="Arial"/>
          <w:color w:val="E36C0A" w:themeColor="accent6" w:themeShade="BF"/>
          <w:rtl/>
        </w:rPr>
        <w:t>(וכ"פ בשו"ע)</w:t>
      </w:r>
    </w:p>
    <w:p w14:paraId="21E97EE9" w14:textId="77777777" w:rsidR="00C97BEF" w:rsidRDefault="00C97BEF" w:rsidP="00C97BEF">
      <w:pPr>
        <w:rPr>
          <w:rFonts w:cs="Arial"/>
          <w:u w:val="single"/>
        </w:rPr>
      </w:pPr>
      <w:r>
        <w:rPr>
          <w:rFonts w:cs="Arial"/>
          <w:u w:val="single"/>
          <w:rtl/>
        </w:rPr>
        <w:t>הרגיל לכעוס על אשתו ולהוציאה מביתו:</w:t>
      </w:r>
    </w:p>
    <w:p w14:paraId="15B68637" w14:textId="7E68A017" w:rsidR="00C97BEF" w:rsidRDefault="00C97BEF" w:rsidP="006A458D">
      <w:pPr>
        <w:pStyle w:val="ab"/>
        <w:numPr>
          <w:ilvl w:val="0"/>
          <w:numId w:val="123"/>
        </w:numPr>
        <w:rPr>
          <w:rFonts w:cs="Arial"/>
        </w:rPr>
      </w:pPr>
      <w:r>
        <w:rPr>
          <w:rFonts w:cs="Arial"/>
          <w:rtl/>
        </w:rPr>
        <w:t>רשב"א</w:t>
      </w:r>
      <w:r>
        <w:rPr>
          <w:rFonts w:cs="Arial"/>
          <w:sz w:val="16"/>
          <w:szCs w:val="16"/>
          <w:rtl/>
        </w:rPr>
        <w:t xml:space="preserve"> (סי' תרצג)</w:t>
      </w:r>
      <w:r w:rsidR="00A82951">
        <w:rPr>
          <w:rFonts w:cs="Arial"/>
          <w:rtl/>
        </w:rPr>
        <w:t>-</w:t>
      </w:r>
      <w:r>
        <w:rPr>
          <w:rFonts w:cs="Arial"/>
          <w:rtl/>
        </w:rPr>
        <w:t xml:space="preserve"> מי שהורגל לכעוס ולהוציא אשתו תמיד </w:t>
      </w:r>
      <w:r w:rsidR="00A82951">
        <w:rPr>
          <w:rFonts w:cs="Arial"/>
          <w:rtl/>
        </w:rPr>
        <w:t>-</w:t>
      </w:r>
      <w:r>
        <w:rPr>
          <w:rFonts w:cs="Arial"/>
          <w:rtl/>
        </w:rPr>
        <w:t xml:space="preserve"> אפשר שכופין אותו להוציא וליתן כתובה. דעד כאן לא פליג שמואל אלא באומר איני זן ואיני מפרנס, משום דעד שכופין אותו להוציא יכפוהו לזון, הא במי שמורגל לשלחה תמיד שלא לזונה אפשר דאפילו שמואל מודה, דבהא לא תיקום בהדיה בדינא ודיינא ותמות ברעב בנתיים. ועוד דכל שמשלחה מביתו הרי הוא כמורד מתשמיש. ואם רצתה מוסיף לה שלשה דינרים בשבת, ואם רוצה יוציא ויתן כתובה כל שפירש ממנה מתוך הכעס יותר מן הזמנים שנאמרו בפרק אף על פי (סא:) כל אחד ואחד לפי מה שהוא אדם.</w:t>
      </w:r>
      <w:r>
        <w:rPr>
          <w:rFonts w:cs="Arial"/>
          <w:color w:val="00B0F0"/>
          <w:rtl/>
        </w:rPr>
        <w:t xml:space="preserve"> (וכ"פ הרמ"א)</w:t>
      </w:r>
    </w:p>
    <w:p w14:paraId="1647B018" w14:textId="77777777" w:rsidR="00C97BEF" w:rsidRDefault="00C97BEF" w:rsidP="00C97BEF">
      <w:pPr>
        <w:rPr>
          <w:rFonts w:cs="Arial"/>
          <w:rtl/>
        </w:rPr>
      </w:pPr>
      <w:r>
        <w:rPr>
          <w:rFonts w:cs="Arial"/>
          <w:u w:val="single"/>
          <w:rtl/>
        </w:rPr>
        <w:lastRenderedPageBreak/>
        <w:t>המכה את אשתו:</w:t>
      </w:r>
    </w:p>
    <w:p w14:paraId="573B4077" w14:textId="594E7186" w:rsidR="00C97BEF" w:rsidRDefault="00C97BEF" w:rsidP="006A458D">
      <w:pPr>
        <w:pStyle w:val="ab"/>
        <w:numPr>
          <w:ilvl w:val="0"/>
          <w:numId w:val="123"/>
        </w:numPr>
        <w:rPr>
          <w:rtl/>
        </w:rPr>
      </w:pPr>
      <w:r>
        <w:rPr>
          <w:rFonts w:cs="Arial"/>
          <w:rtl/>
        </w:rPr>
        <w:t xml:space="preserve">מהר"ם </w:t>
      </w:r>
      <w:r>
        <w:rPr>
          <w:rFonts w:cs="Arial"/>
          <w:sz w:val="16"/>
          <w:szCs w:val="16"/>
          <w:rtl/>
        </w:rPr>
        <w:t>(ד"פ סי' פא, וכ"כ הב"י שמצא בתשובות רבינו שמחה)</w:t>
      </w:r>
      <w:r w:rsidR="00A82951">
        <w:rPr>
          <w:rFonts w:cs="Arial"/>
          <w:rtl/>
        </w:rPr>
        <w:t>-</w:t>
      </w:r>
      <w:r>
        <w:rPr>
          <w:rFonts w:cs="Arial"/>
          <w:rtl/>
        </w:rPr>
        <w:t xml:space="preserve"> כל בן ברית חייב לכבד את אשתו יותר מגופו (יבמות סוף סב:), עולה עמו ואינו יורדת עמו, בעולת בעל כתיב בעלייתו ולא בירידתו, לחיים נתנה ולא לצער. ומספר כתובה נלמוד אנא אפלח ואוקיר ואיזון. והמכה את אשתו מקובלני שיש יותר להחמיר בו מבמכה את חבירו, דבחבירו אינו חייב בכבודו ובאשתו חייב בכבודה, ודרך הגוים בכך, אבל חלילה וחלילה לשום בן ברית מעשות זאת. והעושה יש להחרימו ולנדותו ולהלקותו ולעונשו בכל מיני רידוי ואף לקוץ ידו אם רגיל בכך כי הא דרב הונא קץ ידא (סנהדרין נח: ורש"י שם ד"ה קץ ידא) אפי' בבבל אע"ג דאין דנין דיני קנסות בבבל מכין ועונשין שלא יקילו ראשם בכך. ואם היא רוצה לצאת </w:t>
      </w:r>
      <w:r w:rsidR="00A82951">
        <w:rPr>
          <w:rFonts w:cs="Arial"/>
          <w:rtl/>
        </w:rPr>
        <w:t>-</w:t>
      </w:r>
      <w:r>
        <w:rPr>
          <w:rFonts w:cs="Arial"/>
          <w:rtl/>
        </w:rPr>
        <w:t xml:space="preserve"> יוציא ויתן כתובה. ובתשו' הגאוני' מצאתי ושכחתי שם הגאון והאשה שקובלת על בעלה אי אפשי לדור עם אמך ואחיותך המחרפי' ומגדפי' אותי </w:t>
      </w:r>
      <w:r w:rsidR="00A82951">
        <w:rPr>
          <w:rFonts w:cs="Arial"/>
          <w:rtl/>
        </w:rPr>
        <w:t>-</w:t>
      </w:r>
      <w:r>
        <w:rPr>
          <w:rFonts w:cs="Arial"/>
          <w:rtl/>
        </w:rPr>
        <w:t xml:space="preserve"> חייב הבעל להוציאה משם לגור בבית אחר, ואם לאו </w:t>
      </w:r>
      <w:r w:rsidR="00A82951">
        <w:rPr>
          <w:rFonts w:cs="Arial"/>
          <w:rtl/>
        </w:rPr>
        <w:t>-</w:t>
      </w:r>
      <w:r>
        <w:rPr>
          <w:rFonts w:cs="Arial"/>
          <w:rtl/>
        </w:rPr>
        <w:t xml:space="preserve"> יוציא ויתן כתובה, דאמר קרא היא היתה אם כל חי לחיים נתנה ולא לצער. גם את זאת חייב להוציא דודתו מן הבית שהיא מקנטרת ומקנטת אותה וגורמת המחלוקת ביניהם ולנהוג בה דרך כבוד ואם לאו ענוש יענש. </w:t>
      </w:r>
    </w:p>
    <w:p w14:paraId="1724F478" w14:textId="2FBF96E1" w:rsidR="00C97BEF" w:rsidRDefault="00C97BEF" w:rsidP="006A458D">
      <w:pPr>
        <w:pStyle w:val="ab"/>
        <w:numPr>
          <w:ilvl w:val="0"/>
          <w:numId w:val="123"/>
        </w:numPr>
      </w:pPr>
      <w:r>
        <w:rPr>
          <w:rFonts w:cs="Arial"/>
          <w:rtl/>
        </w:rPr>
        <w:t xml:space="preserve">רשב"א </w:t>
      </w:r>
      <w:r>
        <w:rPr>
          <w:rFonts w:cs="Arial"/>
          <w:sz w:val="16"/>
          <w:szCs w:val="16"/>
          <w:rtl/>
        </w:rPr>
        <w:t>(במיוחסות סי' קב)</w:t>
      </w:r>
      <w:r w:rsidR="00A82951">
        <w:rPr>
          <w:rFonts w:cs="Arial"/>
          <w:rtl/>
        </w:rPr>
        <w:t>-</w:t>
      </w:r>
      <w:r>
        <w:rPr>
          <w:rFonts w:cs="Arial"/>
          <w:rtl/>
        </w:rPr>
        <w:t xml:space="preserve"> שאלה בעל המכה אשתו בכל יום ומצטערת עד שהצריכה לצאת מביתו. והלכה לבית אביה. והוא טוען שהיא מקללתו בפניו והיא מכחישתו. והיא אומרת שחמותה מחרחרת ריב בינו לבינה ומסבבת הכאותיה. וע"כ אינה רוצה לדור עם חמותה בחצר אחת. הודיעני אם יכולים בית דין לחייבו שבועה. שלא יכה אשתו ושינהג עמה כראוי.     תשובה: אין לבעל להכות ולענות אשתו. דלחיים ניתנה ולא לצער. ואדרבא צריך לכבדה יותר מגופו. ואם טען שהיא מקללתו ב"ד חוקרין ושואלים לשכנים מי הגורם. ואם הוא מכה ומצער שלא כדין והיא בורחת הדין עמה. שאין אדם דר עם נחש בכפיפה. זכר לדבר הגר. אבל אם מקללתו חנם הדין עמו. דהא מקללת בעלה בפניו מן היוצאות שלא בכתובה. ומ"מ אם הדבר מסופק לב"ד מי הוא הגורם או אפילו הגיעו לדבר ברור שהבעל מכה שלא כדין איני רואה שיכולים ב"ד להשביעו שלא לעשות כן. אלא גוערים אותו ומייסרין ומודיעין שאם יכה שלא כדין שיהא חייב להוציא וליתן כתובה. שאפילו על שאר דברים שאין לה כ"כ צער כגון שמדירה שלא תלך לבית אביה או לבית האבל או לבית המשתה או אפילו שלא תשאל נפה וכברה מחברותיה או שלא תשאיל להם הוא מוציא ונותן כתובה. כ"ש במכה ופוצע ומצערה בגופה. וקרוב בעיני הדבר שאם ידוע שהוא מכה אותה שלא כדרך בנות ישראל ההגונות ר"ל שמתמיד להכותה שאין נאמן לטעון שהיא גורמת שהיא מקללתו בפניו. דלאו כל כמיניה לאחזוקה בפרוצה. וכענין שאמרו פרק המדיר (עא:) ע"מ שלא תלך לבית המשתה יוציא ויתן כתובה מפני שנועל דלת בפניה. ואם היה טוען משום דבר אחר רשאי. ואמר עלה בגמ' מאי דבר אחר, אמר רב יהודה אמר שמואל מחמת בני אדם פרוצים המצויין שם. אמר רב אשי לא אמרן אלא דאתחזק. אבל לא אתחזק לאו כל כמיניה לאחזוקי אינשי בפריצי. וגם אם אינה רוצה לדור עם חמותה יכולה היא שתאמר לבעל איני דרה עם אנשים שמצערים אותי ומרגילים קטטה בינה ובין הבעל. או שלא יבואו אמו ואחיותיו בגבולה או שירחיקנה מגבולם. וכן כתב הרמב"ם ז"ל בהלכות אישות.</w:t>
      </w:r>
      <w:r>
        <w:rPr>
          <w:rFonts w:cs="Arial"/>
          <w:color w:val="00B0F0"/>
          <w:rtl/>
        </w:rPr>
        <w:t xml:space="preserve"> </w:t>
      </w:r>
    </w:p>
    <w:p w14:paraId="7FC34DE5" w14:textId="14D91C39" w:rsidR="00C97BEF" w:rsidRDefault="00C97BEF" w:rsidP="006A458D">
      <w:pPr>
        <w:pStyle w:val="ab"/>
        <w:numPr>
          <w:ilvl w:val="0"/>
          <w:numId w:val="123"/>
        </w:numPr>
      </w:pPr>
      <w:r>
        <w:rPr>
          <w:rFonts w:cs="Arial"/>
          <w:rtl/>
        </w:rPr>
        <w:t xml:space="preserve">ה"ר שמחה </w:t>
      </w:r>
      <w:r>
        <w:rPr>
          <w:rFonts w:cs="Arial"/>
          <w:sz w:val="16"/>
          <w:szCs w:val="16"/>
          <w:rtl/>
        </w:rPr>
        <w:t>(הובא בשו"ת מהר"ם [ד"פ סי' תתקכז] ובאו"ז [ח"ג פסקי בבא קמא סי' קסא] ובהג"א [ב"ק פ"ג סי' י])</w:t>
      </w:r>
      <w:r w:rsidR="00A82951">
        <w:rPr>
          <w:rFonts w:cs="Arial"/>
          <w:rtl/>
        </w:rPr>
        <w:t>-</w:t>
      </w:r>
      <w:r>
        <w:rPr>
          <w:rFonts w:cs="Arial"/>
          <w:rtl/>
        </w:rPr>
        <w:t xml:space="preserve"> אחרי כותבי כתבי הראשון קבל לפנינו ר' ירמיה על חתנו שהיה מכה בתו תדיר ומבזה אותה בפריעת ראשה שלא כדת יהודית, דלחיים נתנה ולא לצער, ואפי' קונה אמה עברייה כקונה אדון לעצמו כ"ש אשתו. ועל כל הכאה עובר בפן יוסיף. ועונשו גדול ממכה חבירו כי היא יושבת לבדה ודמעתה מצויה. והמזיק את אשתו בתשמיש המטה קמיבעי' לי' בפ' המניח את הכד (לב.) אבל בכל מיני הזיקות אחרים פשיטא ליה דלא גרע מאחר. ואם דבריו אמיתיים תקנסהו קנס חמור בגופו ובממונו על מה שעבר. אמנם צריך כפרה גדולה ותכבידו עליו כפי הנראה שיכול לעמוד בה שיהא כמותרה ועומד מכאן ולהבא. והטילו שלום ביניהם, מסויים ומקויים. ותבררו ב' או ג' שיהו מוכיחי' ביניהם וכל קבלה שיהא להם זע"ז ישפטו הם. ואם לא יעמד הבעל מקיום השלום שיוסיף להכותה ולבזותה אנו מסכימי' אחריהם להיות מנודה בב"ד עליון ובב"ד התחתון, ויעשוהו ע"י גוים לתת גט, עשה מה שישראל אומר לך, כי כן הסכמתי עם חבירי שיהא גט מעושה בגוים כדין (גיטין פח:). ואפי' לשמואל דאמר בפ' המדיר (עז.) עד שיכפוהו להוציא יכפהו לזון, ה"מ מזונות שיש תקנה בידינו לעשות לדבר דיורדי' לנכסים וזנין אותה, אבל להכותה ולבזותה שענייה זו מסורה בידו ואין בידינו לעשות תקנה לדבר אפי' שמואל מודה, דאין אדם דר עם נחש בכפיפה. ואפי' בההוא גופא דאיני זן ואיני מפרנס </w:t>
      </w:r>
      <w:r w:rsidR="00A82951">
        <w:rPr>
          <w:rFonts w:cs="Arial"/>
          <w:rtl/>
        </w:rPr>
        <w:t>-</w:t>
      </w:r>
      <w:r>
        <w:rPr>
          <w:rFonts w:cs="Arial"/>
          <w:rtl/>
        </w:rPr>
        <w:t xml:space="preserve"> כרב קיי"ל, כיון דר' יוחנן קאי כותי', ומדאכסהו שערי לאלעזר ליכא ראי', דשמואל לטעמי' לפי סברתו קאמר. והכאות קשות לסובלן מההיא דהמדיר את אשתו ליהנות עד ל' יום יעמיד פרנס מכאן ואילך יוציא ויתן כתובה (כתובות ע.) באמתלא מועטת ויוציא ויתן כתובה משום דברים קטנים שאינה מספקת והיא רגילה בבי נשא דאמרה השתא לא מצינו אגלגל בהדך אע"ג דבירושלמי פ' אלמנה ניזונית (ה"ז) ובירושלמי דיש מותרות (ה"ד) דחי לה שמואל דאמר אין מעשי' אלא לפסולות, ואמר שמענו שהוא מוציא שמענו כופי' בתמיה, דמשמע דלא כפינן. גם יש מוציא שהוא בכפייה (יבמות לה:) הכונס יבמתו ונמצאת מעוברת בזמן שהולד של קיימא מוציא. מיהו רב תחליפא אמר שמואל מפרש שיוציא בכפי' נמי ההוא דהמדיר. כ"ש בהכאות דלכ"ע יוציא ע"י כפי' ועישוי. ואפי' קבלה עליה </w:t>
      </w:r>
      <w:r w:rsidR="00A82951">
        <w:rPr>
          <w:rFonts w:cs="Arial"/>
          <w:rtl/>
        </w:rPr>
        <w:t>-</w:t>
      </w:r>
      <w:r>
        <w:rPr>
          <w:rFonts w:cs="Arial"/>
          <w:rtl/>
        </w:rPr>
        <w:t xml:space="preserve"> אין יכולה לקבל, שהן הכאות שאין להן קצבה שהרי אמרו חכמים באגרוף שיש בו כדי להמית. ואם יעלה חפץ </w:t>
      </w:r>
      <w:r>
        <w:rPr>
          <w:rFonts w:cs="Arial"/>
          <w:rtl/>
        </w:rPr>
        <w:lastRenderedPageBreak/>
        <w:t xml:space="preserve">בידכם להשלים </w:t>
      </w:r>
      <w:r w:rsidR="00A82951">
        <w:rPr>
          <w:rFonts w:cs="Arial"/>
          <w:rtl/>
        </w:rPr>
        <w:t>-</w:t>
      </w:r>
      <w:r>
        <w:rPr>
          <w:rFonts w:cs="Arial"/>
          <w:rtl/>
        </w:rPr>
        <w:t xml:space="preserve"> תתירו לו החרם שקבל עליו לגרש עד זמן מרווח. ואם תראו בתוך הזמן שינהג עמה כראוי </w:t>
      </w:r>
      <w:r w:rsidR="00A82951">
        <w:rPr>
          <w:rFonts w:cs="Arial"/>
          <w:rtl/>
        </w:rPr>
        <w:t>-</w:t>
      </w:r>
      <w:r>
        <w:rPr>
          <w:rFonts w:cs="Arial"/>
          <w:rtl/>
        </w:rPr>
        <w:t xml:space="preserve"> תתירו לו לגמרי. ואם נראה בעיניכם שאין עצת השלום מתקיים ביניהם תפייסהו כחכמתכם לגרש מרצונו, ואם לא יאבה יקוב הדין את ההר ותעשוהו, וכתורה תעשו. ומה שבררנו באיני זן ומפרנס דקיי"ל כר' יוחנן וכרב לפי ראות עינינו, כפר"ח לא פסקינן, שמחה ב"ר שמואל.</w:t>
      </w:r>
    </w:p>
    <w:p w14:paraId="02905423" w14:textId="26EE4A0E" w:rsidR="00C97BEF" w:rsidRDefault="00C97BEF" w:rsidP="006A458D">
      <w:pPr>
        <w:pStyle w:val="ab"/>
        <w:numPr>
          <w:ilvl w:val="1"/>
          <w:numId w:val="123"/>
        </w:numPr>
      </w:pPr>
      <w:r>
        <w:rPr>
          <w:rFonts w:cs="Arial"/>
          <w:rtl/>
        </w:rPr>
        <w:t>ב"י</w:t>
      </w:r>
      <w:r w:rsidR="00A82951">
        <w:rPr>
          <w:rFonts w:cs="Arial"/>
          <w:rtl/>
        </w:rPr>
        <w:t>-</w:t>
      </w:r>
      <w:r>
        <w:rPr>
          <w:rFonts w:cs="Arial"/>
          <w:rtl/>
        </w:rPr>
        <w:t xml:space="preserve"> ומכל מקום נראה לי דאין לסמוך על דברי ספר אגודה ורבינו שמחה ואור זרוע לכפות להוציא על דבריהם כיון שלא נזכרו בדברי שום אחד מהפוסקים המפורסמים</w:t>
      </w:r>
      <w:r>
        <w:rPr>
          <w:rStyle w:val="a7"/>
          <w:rtl/>
        </w:rPr>
        <w:footnoteReference w:id="2776"/>
      </w:r>
      <w:r>
        <w:rPr>
          <w:rFonts w:cs="Arial"/>
          <w:rtl/>
        </w:rPr>
        <w:t>.</w:t>
      </w:r>
    </w:p>
    <w:p w14:paraId="75F8859F" w14:textId="30B5D635" w:rsidR="00C97BEF" w:rsidRDefault="00C97BEF" w:rsidP="00C97BEF">
      <w:pPr>
        <w:rPr>
          <w:u w:val="single"/>
        </w:rPr>
      </w:pPr>
      <w:r>
        <w:rPr>
          <w:u w:val="single"/>
          <w:rtl/>
        </w:rPr>
        <w:t xml:space="preserve">מי שהכה את אשתו ומחמת כן יצאה מביתה ולותה כסף ואכלה </w:t>
      </w:r>
      <w:r w:rsidR="00A82951">
        <w:rPr>
          <w:u w:val="single"/>
          <w:rtl/>
        </w:rPr>
        <w:t>-</w:t>
      </w:r>
      <w:r>
        <w:rPr>
          <w:u w:val="single"/>
          <w:rtl/>
        </w:rPr>
        <w:t xml:space="preserve"> האם הבעל צריך לפרוע:</w:t>
      </w:r>
      <w:r>
        <w:rPr>
          <w:rFonts w:cs="Arial"/>
          <w:sz w:val="16"/>
          <w:szCs w:val="16"/>
          <w:rtl/>
        </w:rPr>
        <w:t xml:space="preserve"> (דרכ"מ אות כ)</w:t>
      </w:r>
    </w:p>
    <w:p w14:paraId="5A2B2CD5" w14:textId="7880978B" w:rsidR="00C97BEF" w:rsidRDefault="00C97BEF" w:rsidP="006A458D">
      <w:pPr>
        <w:pStyle w:val="ab"/>
        <w:numPr>
          <w:ilvl w:val="0"/>
          <w:numId w:val="123"/>
        </w:numPr>
        <w:rPr>
          <w:rFonts w:cs="Arial"/>
        </w:rPr>
      </w:pPr>
      <w:r>
        <w:rPr>
          <w:rFonts w:cs="Arial"/>
          <w:rtl/>
        </w:rPr>
        <w:t xml:space="preserve">מהר"ם </w:t>
      </w:r>
      <w:r>
        <w:rPr>
          <w:rFonts w:cs="Arial"/>
          <w:sz w:val="16"/>
          <w:szCs w:val="16"/>
          <w:rtl/>
        </w:rPr>
        <w:t>(ד"ק סי' רצא</w:t>
      </w:r>
      <w:r>
        <w:rPr>
          <w:rStyle w:val="a7"/>
          <w:rFonts w:cs="Arial"/>
          <w:sz w:val="16"/>
          <w:szCs w:val="16"/>
          <w:rtl/>
        </w:rPr>
        <w:footnoteReference w:id="2777"/>
      </w:r>
      <w:r>
        <w:rPr>
          <w:rFonts w:cs="Arial"/>
          <w:sz w:val="16"/>
          <w:szCs w:val="16"/>
          <w:rtl/>
        </w:rPr>
        <w:t>)</w:t>
      </w:r>
      <w:r w:rsidR="00A82951">
        <w:rPr>
          <w:rFonts w:cs="Arial"/>
          <w:rtl/>
        </w:rPr>
        <w:t>-</w:t>
      </w:r>
      <w:r>
        <w:rPr>
          <w:rFonts w:cs="Arial"/>
          <w:rtl/>
        </w:rPr>
        <w:t xml:space="preserve"> אם כן איפוא כמו שכתב מעבר הלז, שהבעל רגיל להכות את אשתו, והיא בקשה ממנו שהיה מבטיחה שלא להכותה עוד, ולא רצה להבטיחה אך רצה להוסיף על חטאתו פשע כאשר כתו' מעבר הלז, והתרו בו להבטיחה שלא להכותה עוד, ולא קיבל, ואמר שוב בבית הכנסת שקבלה עבור מזונותיה עליו או שיבטיחנה שלא להכותה עוד ולא רצה לקבל </w:t>
      </w:r>
      <w:r w:rsidR="00A82951">
        <w:rPr>
          <w:rFonts w:cs="Arial"/>
          <w:rtl/>
        </w:rPr>
        <w:t>-</w:t>
      </w:r>
      <w:r>
        <w:rPr>
          <w:rFonts w:cs="Arial"/>
          <w:rtl/>
        </w:rPr>
        <w:t xml:space="preserve"> דבר פשוט שצריך לשלם כל מה שלוותה ואכלה, אחרי שלא רצה לכנע לבבו אפילו בדבור לומר לא אעשה עוד, מחשבתו נכרת מתוך מעשיו שהיה חפץ להכותה כיון שעבר ושנה ושילש בזדון ונעשה לו כהתר, ואחרי שלא רצה לנהוג עמה דרך כבוד ולא כמשפט הבנות הכבודות.</w:t>
      </w:r>
      <w:r>
        <w:rPr>
          <w:rFonts w:cs="Arial"/>
          <w:color w:val="00B0F0"/>
          <w:rtl/>
        </w:rPr>
        <w:t xml:space="preserve"> (וכ"פ הרמ"א)</w:t>
      </w:r>
    </w:p>
    <w:p w14:paraId="4563D2E7"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219EB47F" w14:textId="315B37C6" w:rsidR="00C97BEF" w:rsidRDefault="00C97BEF" w:rsidP="00C97BEF">
      <w:pPr>
        <w:rPr>
          <w:rFonts w:cs="Arial"/>
          <w:rtl/>
        </w:rPr>
      </w:pPr>
      <w:r>
        <w:rPr>
          <w:rFonts w:cs="Arial"/>
          <w:rtl/>
        </w:rPr>
        <w:t>האומר: איני זן ואיני מפרנס, כופין אותו לזון</w:t>
      </w:r>
      <w:r>
        <w:rPr>
          <w:rStyle w:val="a7"/>
          <w:rFonts w:cs="Arial"/>
          <w:rtl/>
        </w:rPr>
        <w:footnoteReference w:id="2778"/>
      </w:r>
      <w:r>
        <w:rPr>
          <w:rFonts w:cs="Arial"/>
          <w:rtl/>
        </w:rPr>
        <w:t>. ואם אין בית דין יכולים לכופו לזון, כגון שאין לו במה לפרנס ואינו רוצה</w:t>
      </w:r>
      <w:r>
        <w:rPr>
          <w:rStyle w:val="a7"/>
          <w:rFonts w:cs="Arial"/>
          <w:rtl/>
        </w:rPr>
        <w:footnoteReference w:id="2779"/>
      </w:r>
      <w:r>
        <w:rPr>
          <w:rFonts w:cs="Arial"/>
          <w:rtl/>
        </w:rPr>
        <w:t xml:space="preserve"> להשתכר להרויח ולזון, אם תרצה היא, כופין</w:t>
      </w:r>
      <w:r>
        <w:rPr>
          <w:rStyle w:val="a7"/>
          <w:rFonts w:cs="Arial"/>
          <w:rtl/>
        </w:rPr>
        <w:footnoteReference w:id="2780"/>
      </w:r>
      <w:r>
        <w:rPr>
          <w:rFonts w:cs="Arial"/>
          <w:rtl/>
        </w:rPr>
        <w:t xml:space="preserve"> אותו להוציא מיד וליתן כתובה. וכן הדין</w:t>
      </w:r>
      <w:r>
        <w:rPr>
          <w:rStyle w:val="a7"/>
          <w:rFonts w:cs="Arial"/>
          <w:rtl/>
        </w:rPr>
        <w:footnoteReference w:id="2781"/>
      </w:r>
      <w:r>
        <w:rPr>
          <w:rFonts w:cs="Arial"/>
          <w:rtl/>
        </w:rPr>
        <w:t xml:space="preserve"> למי שאינו רוצה לשמש. </w:t>
      </w:r>
      <w:r>
        <w:rPr>
          <w:rFonts w:cs="Arial"/>
          <w:sz w:val="18"/>
          <w:szCs w:val="18"/>
          <w:rtl/>
        </w:rPr>
        <w:t>הגה: וכן איש שרגיל לכעוס ולהוציא אשתו מביתו תמיד, כופין אותו להוציא</w:t>
      </w:r>
      <w:r>
        <w:rPr>
          <w:rStyle w:val="a7"/>
          <w:rFonts w:cs="Arial"/>
          <w:sz w:val="18"/>
          <w:szCs w:val="18"/>
          <w:rtl/>
        </w:rPr>
        <w:footnoteReference w:id="2782"/>
      </w:r>
      <w:r>
        <w:rPr>
          <w:rFonts w:cs="Arial"/>
          <w:sz w:val="18"/>
          <w:szCs w:val="18"/>
          <w:rtl/>
        </w:rPr>
        <w:t xml:space="preserve">, כי על ידי זה אינו זנה לפעמים ופורש ממנה בתשמיש </w:t>
      </w:r>
      <w:r>
        <w:rPr>
          <w:rFonts w:cs="Arial"/>
          <w:sz w:val="18"/>
          <w:szCs w:val="18"/>
          <w:rtl/>
        </w:rPr>
        <w:lastRenderedPageBreak/>
        <w:t>יותר מעונתה והוי כמורד ממזונות ותשמיש (רשב"א סי' תרצג). ועיין לעיל סימן ע' ו</w:t>
      </w:r>
      <w:r w:rsidR="00A82951">
        <w:rPr>
          <w:rFonts w:cs="Arial"/>
          <w:sz w:val="18"/>
          <w:szCs w:val="18"/>
          <w:rtl/>
        </w:rPr>
        <w:t>-</w:t>
      </w:r>
      <w:r>
        <w:rPr>
          <w:rFonts w:cs="Arial"/>
          <w:sz w:val="18"/>
          <w:szCs w:val="18"/>
          <w:rtl/>
        </w:rPr>
        <w:t>ע"ז. איש המכה אשתו, עבירה היא בידו כמכה חבירו. ואם רגיל הוא בכך, יש ביד ב"ד ליסרו ולהחרימו ולהלקותו בכל מיני רידוי וכפייה, ולהשביעו שלא יעשה עוד. ואם אינו ציית לדברי הב"ד יש אומרים שכופין אותו להוציא, ובלבד שמתרין בו תחלה פעם אחת או שתים כי אינו מדרך בני ישראל להכות נשותיהם, ומעשה גוים הוא. וכל זה כשהוא מתחיל, אבל אם מקללתו בחנם או מזלזלת אביו ואמו, והוכיחה בדברים ואינה משגחת עליו, י"א דמותר להכותה (תרוה"ד [סי' ריח] וב"ז [סי' פח]). וי"א דאפילו אשה רעה אסור להכותה (כ"מ מתשו' מהר"ם). והסברא ראשונה היא עיקר. ואם אינו ידוע מי הגורם, אין הבעל נאמן לומר שהיא המתחלת, שכל הנשים בחזקת כשרות, ומושיבים ביניהם אחרים לראות בשל מי הרעה הזאת, ואם היא מקללתו חנם, יוצאת בלא כתובה. ונראה לי דוקא ברגילה בכך, ואחר ההתראה, וכמו שנתבאר לעיל סימן קט"ו. ואם הלכה מביתו ולוותה ואכלה, אם יצאתה מכח שהכה אותה תמיד, חייב לשלם (מהר"ם), וכמו שנתבאר לעיל סימן ע'.</w:t>
      </w:r>
      <w:r>
        <w:rPr>
          <w:rFonts w:cs="Arial"/>
          <w:rtl/>
        </w:rPr>
        <w:t xml:space="preserve"> </w:t>
      </w:r>
    </w:p>
    <w:p w14:paraId="607F380A" w14:textId="77777777" w:rsidR="00C97BEF" w:rsidRDefault="00C97BEF" w:rsidP="00C97BEF">
      <w:pPr>
        <w:rPr>
          <w:rtl/>
        </w:rPr>
      </w:pPr>
    </w:p>
    <w:p w14:paraId="0B95B18D" w14:textId="77777777" w:rsidR="00C97BEF" w:rsidRDefault="00C97BEF" w:rsidP="00C97BEF">
      <w:pPr>
        <w:pStyle w:val="2"/>
        <w:rPr>
          <w:rtl/>
        </w:rPr>
      </w:pPr>
      <w:r>
        <w:rPr>
          <w:rtl/>
        </w:rPr>
        <w:t>סעיף ד: איש שנולדו בו מומים אחרים לאחר שנשא.</w:t>
      </w:r>
    </w:p>
    <w:p w14:paraId="08C92081" w14:textId="16FED12C" w:rsidR="00C97BEF" w:rsidRDefault="00C97BEF" w:rsidP="00C97BEF">
      <w:pPr>
        <w:rPr>
          <w:rFonts w:cs="Arial"/>
          <w:rtl/>
        </w:rPr>
      </w:pPr>
      <w:r>
        <w:rPr>
          <w:rFonts w:cs="Arial"/>
          <w:b/>
          <w:bCs/>
          <w:rtl/>
        </w:rPr>
        <w:t>כתובות</w:t>
      </w:r>
      <w:r>
        <w:rPr>
          <w:rFonts w:cs="Arial"/>
          <w:b/>
          <w:bCs/>
          <w:sz w:val="16"/>
          <w:szCs w:val="16"/>
          <w:rtl/>
        </w:rPr>
        <w:t xml:space="preserve"> (ס"פ המדיר)</w:t>
      </w:r>
      <w:r>
        <w:rPr>
          <w:rFonts w:cs="Arial"/>
          <w:b/>
          <w:bCs/>
          <w:rtl/>
        </w:rPr>
        <w:t xml:space="preserve"> עז ע"א:</w:t>
      </w:r>
      <w:r>
        <w:rPr>
          <w:rFonts w:cs="Arial"/>
          <w:rtl/>
        </w:rPr>
        <w:t xml:space="preserve"> </w:t>
      </w:r>
      <w:r>
        <w:rPr>
          <w:rFonts w:cs="Arial"/>
          <w:u w:val="double"/>
          <w:rtl/>
        </w:rPr>
        <w:t>מתני'</w:t>
      </w:r>
      <w:r>
        <w:rPr>
          <w:rFonts w:cs="Arial"/>
          <w:rtl/>
        </w:rPr>
        <w:t xml:space="preserve">: האיש שנולדו בו מומין </w:t>
      </w:r>
      <w:r w:rsidR="00A82951">
        <w:rPr>
          <w:rFonts w:cs="Arial"/>
          <w:rtl/>
        </w:rPr>
        <w:t>-</w:t>
      </w:r>
      <w:r>
        <w:rPr>
          <w:rFonts w:cs="Arial"/>
          <w:rtl/>
        </w:rPr>
        <w:t xml:space="preserve"> אין כופין אותו להוציא. </w:t>
      </w:r>
      <w:r>
        <w:rPr>
          <w:rFonts w:cs="Arial"/>
          <w:u w:val="single"/>
          <w:rtl/>
        </w:rPr>
        <w:t>אמר רשב"ג</w:t>
      </w:r>
      <w:r>
        <w:rPr>
          <w:rFonts w:cs="Arial"/>
          <w:rtl/>
        </w:rPr>
        <w:t xml:space="preserve">: בד"א </w:t>
      </w:r>
      <w:r w:rsidR="00A82951">
        <w:rPr>
          <w:rFonts w:cs="Arial"/>
          <w:rtl/>
        </w:rPr>
        <w:t>-</w:t>
      </w:r>
      <w:r>
        <w:rPr>
          <w:rFonts w:cs="Arial"/>
          <w:rtl/>
        </w:rPr>
        <w:t xml:space="preserve"> במומין הקטנים, אבל במומין הגדולים </w:t>
      </w:r>
      <w:r w:rsidR="00A82951">
        <w:rPr>
          <w:rFonts w:cs="Arial"/>
          <w:rtl/>
        </w:rPr>
        <w:t>-</w:t>
      </w:r>
      <w:r>
        <w:rPr>
          <w:rFonts w:cs="Arial"/>
          <w:rtl/>
        </w:rPr>
        <w:t xml:space="preserve"> כופין אותו להוציא.       </w:t>
      </w:r>
      <w:r>
        <w:rPr>
          <w:rFonts w:cs="Arial"/>
          <w:u w:val="double"/>
          <w:rtl/>
        </w:rPr>
        <w:t>גמ'</w:t>
      </w:r>
      <w:r>
        <w:rPr>
          <w:rFonts w:cs="Arial"/>
          <w:rtl/>
        </w:rPr>
        <w:t xml:space="preserve">: </w:t>
      </w:r>
      <w:r>
        <w:rPr>
          <w:rFonts w:cs="Arial"/>
          <w:u w:val="single"/>
          <w:rtl/>
        </w:rPr>
        <w:t>רב יהודה תני</w:t>
      </w:r>
      <w:r>
        <w:rPr>
          <w:rFonts w:cs="Arial"/>
          <w:rtl/>
        </w:rPr>
        <w:t>: נולדו</w:t>
      </w:r>
      <w:r>
        <w:rPr>
          <w:rStyle w:val="a7"/>
          <w:rFonts w:cs="Arial"/>
          <w:rtl/>
        </w:rPr>
        <w:footnoteReference w:id="2783"/>
      </w:r>
      <w:r>
        <w:rPr>
          <w:rFonts w:cs="Arial"/>
          <w:rtl/>
        </w:rPr>
        <w:t xml:space="preserve">. </w:t>
      </w:r>
      <w:r>
        <w:rPr>
          <w:rFonts w:cs="Arial"/>
          <w:u w:val="single"/>
          <w:rtl/>
        </w:rPr>
        <w:t>חייא בר רב תני</w:t>
      </w:r>
      <w:r>
        <w:rPr>
          <w:rFonts w:cs="Arial"/>
          <w:rtl/>
        </w:rPr>
        <w:t xml:space="preserve">: היו. מ"ד נולדו, כ"ש היו, דקסברה וקיבלה. מאן דאמר היו, אבל נולדו </w:t>
      </w:r>
      <w:r w:rsidR="00A82951">
        <w:rPr>
          <w:rFonts w:cs="Arial"/>
          <w:rtl/>
        </w:rPr>
        <w:t>-</w:t>
      </w:r>
      <w:r>
        <w:rPr>
          <w:rFonts w:cs="Arial"/>
          <w:rtl/>
        </w:rPr>
        <w:t xml:space="preserve"> לא... ואלו הן מומין גדולים? פירש רשב"ג, כגון ניסמית עינו, נקטעה ידו, ונשברה רגלו. אתמר, </w:t>
      </w:r>
      <w:r>
        <w:rPr>
          <w:rFonts w:cs="Arial"/>
          <w:u w:val="single"/>
          <w:rtl/>
        </w:rPr>
        <w:t>ר' אבא בר יעקב אמר ר' יוחנן</w:t>
      </w:r>
      <w:r>
        <w:rPr>
          <w:rFonts w:cs="Arial"/>
          <w:rtl/>
        </w:rPr>
        <w:t xml:space="preserve">: הלכה כרשב"ג. </w:t>
      </w:r>
      <w:r>
        <w:rPr>
          <w:rFonts w:cs="Arial"/>
          <w:u w:val="single"/>
          <w:rtl/>
        </w:rPr>
        <w:t>רבא אמר רב נחמן</w:t>
      </w:r>
      <w:r>
        <w:rPr>
          <w:rFonts w:cs="Arial"/>
          <w:rtl/>
        </w:rPr>
        <w:t xml:space="preserve">: הלכה כדברי חכמים. </w:t>
      </w:r>
      <w:r>
        <w:rPr>
          <w:rFonts w:cs="Arial"/>
          <w:sz w:val="16"/>
          <w:szCs w:val="16"/>
          <w:rtl/>
        </w:rPr>
        <w:t>(ופסקו הרי"ף (לו.) והרא"ש (סי' יח) כרב יהודה, וכן דעת הרמב"ם בפכ"ה מהלכות אישות (הי"א)... ופסקו הרי"ף והרא"ש (שם) כחכמים, וכן דעת הרמב"ם בפרק הנזכר, ב"י)</w:t>
      </w:r>
      <w:r>
        <w:rPr>
          <w:rFonts w:cs="Arial"/>
          <w:rtl/>
        </w:rPr>
        <w:t xml:space="preserve"> </w:t>
      </w:r>
    </w:p>
    <w:p w14:paraId="26F0A3C5" w14:textId="77777777" w:rsidR="00C97BEF" w:rsidRDefault="00C97BEF" w:rsidP="00C97BEF">
      <w:pPr>
        <w:rPr>
          <w:u w:val="single"/>
          <w:rtl/>
        </w:rPr>
      </w:pPr>
      <w:r>
        <w:rPr>
          <w:u w:val="single"/>
          <w:rtl/>
        </w:rPr>
        <w:t>איש שנולדו בו מומים אחרים לאחר שנשא:</w:t>
      </w:r>
    </w:p>
    <w:p w14:paraId="78C78B2A" w14:textId="21A417B8" w:rsidR="00C97BEF" w:rsidRDefault="00C97BEF" w:rsidP="006A458D">
      <w:pPr>
        <w:pStyle w:val="ab"/>
        <w:numPr>
          <w:ilvl w:val="0"/>
          <w:numId w:val="123"/>
        </w:numPr>
        <w:rPr>
          <w:rtl/>
        </w:rPr>
      </w:pPr>
      <w:r>
        <w:rPr>
          <w:rFonts w:cs="Arial"/>
          <w:rtl/>
        </w:rPr>
        <w:t xml:space="preserve">רמב"ם </w:t>
      </w:r>
      <w:r>
        <w:rPr>
          <w:rFonts w:cs="Arial"/>
          <w:sz w:val="16"/>
          <w:szCs w:val="16"/>
          <w:rtl/>
        </w:rPr>
        <w:t>(פכ"ה מאישות הי"א)</w:t>
      </w:r>
      <w:r>
        <w:rPr>
          <w:rFonts w:cs="Arial"/>
          <w:rtl/>
        </w:rPr>
        <w:t xml:space="preserve"> וטור</w:t>
      </w:r>
      <w:r w:rsidR="00A82951">
        <w:rPr>
          <w:rFonts w:cs="Arial"/>
          <w:rtl/>
        </w:rPr>
        <w:t>-</w:t>
      </w:r>
      <w:r>
        <w:rPr>
          <w:rFonts w:cs="Arial"/>
          <w:rtl/>
        </w:rPr>
        <w:t xml:space="preserve"> האיש שנולדו בו מומין אחר שנשא, אפילו נקטעה ידו או רגלו או נסמית עינו, ולא רצת אשתו לישב עמו </w:t>
      </w:r>
      <w:r w:rsidR="00A82951">
        <w:rPr>
          <w:rFonts w:cs="Arial"/>
          <w:rtl/>
        </w:rPr>
        <w:t>-</w:t>
      </w:r>
      <w:r>
        <w:rPr>
          <w:rFonts w:cs="Arial"/>
          <w:rtl/>
        </w:rPr>
        <w:t xml:space="preserve"> אין כופין אותו להוציא וליתן כתובה. אלא אם רצת </w:t>
      </w:r>
      <w:r w:rsidR="00A82951">
        <w:rPr>
          <w:rFonts w:cs="Arial"/>
          <w:rtl/>
        </w:rPr>
        <w:t>-</w:t>
      </w:r>
      <w:r>
        <w:rPr>
          <w:rFonts w:cs="Arial"/>
          <w:rtl/>
        </w:rPr>
        <w:t xml:space="preserve"> תשב, ואם לא רצת </w:t>
      </w:r>
      <w:r w:rsidR="00A82951">
        <w:rPr>
          <w:rFonts w:cs="Arial"/>
          <w:rtl/>
        </w:rPr>
        <w:t>-</w:t>
      </w:r>
      <w:r>
        <w:rPr>
          <w:rFonts w:cs="Arial"/>
          <w:rtl/>
        </w:rPr>
        <w:t xml:space="preserve"> תצא בלא כתובה כדין כל אשה מורדת</w:t>
      </w:r>
      <w:r>
        <w:rPr>
          <w:rFonts w:cs="Arial"/>
          <w:sz w:val="16"/>
          <w:szCs w:val="16"/>
          <w:rtl/>
        </w:rPr>
        <w:t xml:space="preserve"> (ל' הרמב"ם)</w:t>
      </w:r>
      <w:r>
        <w:rPr>
          <w:rFonts w:cs="Arial"/>
          <w:rtl/>
        </w:rPr>
        <w:t xml:space="preserve">. </w:t>
      </w:r>
      <w:r>
        <w:rPr>
          <w:color w:val="E36C0A" w:themeColor="accent6" w:themeShade="BF"/>
          <w:rtl/>
        </w:rPr>
        <w:t>(וכ"פ בשו"ע)</w:t>
      </w:r>
    </w:p>
    <w:p w14:paraId="1A32B8DB" w14:textId="679601FC" w:rsidR="00C97BEF" w:rsidRDefault="00C97BEF" w:rsidP="00C97BEF">
      <w:pPr>
        <w:ind w:left="360"/>
        <w:rPr>
          <w:u w:val="dotted"/>
        </w:rPr>
      </w:pPr>
      <w:r>
        <w:rPr>
          <w:u w:val="dotted"/>
          <w:rtl/>
        </w:rPr>
        <w:t>ומה הדין אם נסתמא ב</w:t>
      </w:r>
      <w:r w:rsidR="002E62F4">
        <w:rPr>
          <w:rFonts w:hint="cs"/>
          <w:u w:val="dotted"/>
          <w:rtl/>
        </w:rPr>
        <w:t>ש</w:t>
      </w:r>
      <w:r>
        <w:rPr>
          <w:u w:val="dotted"/>
          <w:rtl/>
        </w:rPr>
        <w:t>תי עיניו, או נקטעו שתי רגליו וכדו':</w:t>
      </w:r>
    </w:p>
    <w:p w14:paraId="26EA60EF" w14:textId="2FF19EC8" w:rsidR="00C97BEF" w:rsidRDefault="00C97BEF" w:rsidP="006A458D">
      <w:pPr>
        <w:pStyle w:val="ab"/>
        <w:numPr>
          <w:ilvl w:val="0"/>
          <w:numId w:val="123"/>
        </w:numPr>
      </w:pPr>
      <w:r>
        <w:rPr>
          <w:rFonts w:cs="Arial"/>
          <w:rtl/>
        </w:rPr>
        <w:t xml:space="preserve">רא"ש </w:t>
      </w:r>
      <w:r>
        <w:rPr>
          <w:rFonts w:cs="Arial"/>
          <w:sz w:val="16"/>
          <w:szCs w:val="16"/>
          <w:rtl/>
        </w:rPr>
        <w:t xml:space="preserve">(כתובות פ"ז סי' יח) </w:t>
      </w:r>
      <w:r>
        <w:rPr>
          <w:rFonts w:cs="Arial"/>
          <w:rtl/>
        </w:rPr>
        <w:t>וטור</w:t>
      </w:r>
      <w:r>
        <w:rPr>
          <w:rStyle w:val="a7"/>
          <w:rFonts w:cs="Arial"/>
          <w:rtl/>
        </w:rPr>
        <w:footnoteReference w:id="2784"/>
      </w:r>
      <w:r w:rsidR="00A82951">
        <w:rPr>
          <w:rFonts w:cs="Arial"/>
          <w:rtl/>
        </w:rPr>
        <w:t>-</w:t>
      </w:r>
      <w:r>
        <w:rPr>
          <w:rFonts w:cs="Arial"/>
          <w:rtl/>
        </w:rPr>
        <w:t xml:space="preserve"> ויש אומרים דוקא עינו אחת, אבל שתי עיניו או שתי ידיו או שתי רגליו מודו רבנן. וכן מסתבר שהרי הוא כעבר ובטל מן העולם</w:t>
      </w:r>
      <w:r>
        <w:rPr>
          <w:rFonts w:cs="Arial"/>
          <w:sz w:val="16"/>
          <w:szCs w:val="16"/>
          <w:rtl/>
        </w:rPr>
        <w:t xml:space="preserve"> (ל' הרא"ש)</w:t>
      </w:r>
      <w:r>
        <w:rPr>
          <w:rFonts w:cs="Arial"/>
          <w:rtl/>
        </w:rPr>
        <w:t xml:space="preserve">. </w:t>
      </w:r>
      <w:r>
        <w:rPr>
          <w:rFonts w:cs="Arial"/>
          <w:color w:val="00B0F0"/>
          <w:rtl/>
        </w:rPr>
        <w:t>(וכ"פ הרמ"א)</w:t>
      </w:r>
    </w:p>
    <w:p w14:paraId="08956D38" w14:textId="3DA82CA3" w:rsidR="00C97BEF" w:rsidRDefault="00C97BEF" w:rsidP="006A458D">
      <w:pPr>
        <w:pStyle w:val="ab"/>
        <w:numPr>
          <w:ilvl w:val="0"/>
          <w:numId w:val="123"/>
        </w:numPr>
      </w:pPr>
      <w:r>
        <w:rPr>
          <w:rtl/>
        </w:rPr>
        <w:t xml:space="preserve">רא"ש </w:t>
      </w:r>
      <w:r>
        <w:rPr>
          <w:sz w:val="16"/>
          <w:szCs w:val="16"/>
          <w:rtl/>
        </w:rPr>
        <w:t>(כלל מב סי' ב)</w:t>
      </w:r>
      <w:r w:rsidR="00A82951">
        <w:rPr>
          <w:rtl/>
        </w:rPr>
        <w:t>-</w:t>
      </w:r>
      <w:r>
        <w:rPr>
          <w:rtl/>
        </w:rPr>
        <w:t xml:space="preserve"> </w:t>
      </w:r>
      <w:r>
        <w:rPr>
          <w:rFonts w:cs="Arial"/>
          <w:rtl/>
        </w:rPr>
        <w:t xml:space="preserve">וששאלת מי שנולדו בו מומין שנעשה סומא בשתי עיניו אם כופין אותו להוציא אם לאו, אם יהיה נדון כסומא באחת מעיניו או לא. יראה שאין כופין, דקיי"ל כרב נחמן שפסק הלכה כדברי חכמים דאמרי האיש שנולדו בו מומין אין כופין אותו להוציא, ולא חלקו חכמים באיזו מקום שיהיה לעולם אין כופין. והא דאמר בגמרא ואלו הן המומין הגדולים פירש רשב"ג נסמית עינו נקטעה ידו נשברה רגלו, הא דקאמר נסמית עינו דמשמע עין אחת היינו אליבא דרבן שמעון בן גמליאל דאמר במומין גדולים כופין אותו להוציא. [קמ"ל: אפילו נסמית עין אחת הוי מום גדול וכופין אותו להוציא] וכן נקטעה ידו אחת ונשברה רגלו אחת. אבל לרבנן אפילו נסתמו שני עיניו ונשברו שני רגליו ונקטעו שני ידיו אין כופין אותו להוציא. </w:t>
      </w:r>
      <w:r>
        <w:rPr>
          <w:rStyle w:val="a7"/>
          <w:rFonts w:cs="Arial"/>
          <w:rtl/>
        </w:rPr>
        <w:footnoteReference w:id="2785"/>
      </w:r>
      <w:r>
        <w:rPr>
          <w:rFonts w:cs="Arial"/>
          <w:rtl/>
        </w:rPr>
        <w:t>[ומיהו בפסקים כתב אח"כ בכתובות פ' המדיר (פ"ז סי' יח) שכופין אותו להוציא]</w:t>
      </w:r>
      <w:r>
        <w:rPr>
          <w:rStyle w:val="a7"/>
          <w:rFonts w:cs="Arial"/>
          <w:rtl/>
        </w:rPr>
        <w:footnoteReference w:id="2786"/>
      </w:r>
      <w:r>
        <w:rPr>
          <w:rFonts w:cs="Arial"/>
          <w:rtl/>
        </w:rPr>
        <w:t>.</w:t>
      </w:r>
    </w:p>
    <w:p w14:paraId="678BC041"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775B5F51" w14:textId="77777777" w:rsidR="00C97BEF" w:rsidRDefault="00C97BEF" w:rsidP="00C97BEF">
      <w:pPr>
        <w:rPr>
          <w:rtl/>
        </w:rPr>
      </w:pPr>
      <w:bookmarkStart w:id="40" w:name="_Hlk139187083"/>
      <w:r>
        <w:rPr>
          <w:rFonts w:cs="Arial"/>
          <w:rtl/>
        </w:rPr>
        <w:t xml:space="preserve">האיש שנולדו בו מומין אחר שנשא, אפילו נקטעת ידו או רגלו, או נסמת עיניו, ולא רצתה אשתו ליישב עמו, אין כופין אותו להוציא וליתן כתובה. אלא אם רצתה תשב, ואם לא רצתה, דינה כדין מורדת. </w:t>
      </w:r>
      <w:r>
        <w:rPr>
          <w:rFonts w:cs="Arial"/>
          <w:sz w:val="18"/>
          <w:szCs w:val="18"/>
          <w:rtl/>
        </w:rPr>
        <w:t>הגה: וי"א דכל זה בידו או רגלו או עינו אחת, אבל בב' ידיו וב' עיניו וב' רגליו, כופין אותו להוציא</w:t>
      </w:r>
      <w:r>
        <w:rPr>
          <w:rStyle w:val="a7"/>
          <w:rFonts w:cs="Arial"/>
          <w:sz w:val="18"/>
          <w:szCs w:val="18"/>
          <w:rtl/>
        </w:rPr>
        <w:footnoteReference w:id="2787"/>
      </w:r>
      <w:r>
        <w:rPr>
          <w:rFonts w:cs="Arial"/>
          <w:sz w:val="18"/>
          <w:szCs w:val="18"/>
          <w:rtl/>
        </w:rPr>
        <w:t xml:space="preserve"> (טור ורא"ש בפסקים).</w:t>
      </w:r>
      <w:r>
        <w:rPr>
          <w:rFonts w:cs="Arial"/>
          <w:rtl/>
        </w:rPr>
        <w:t xml:space="preserve"> </w:t>
      </w:r>
    </w:p>
    <w:bookmarkEnd w:id="40"/>
    <w:p w14:paraId="0764A13D" w14:textId="77777777" w:rsidR="00C97BEF" w:rsidRDefault="00C97BEF" w:rsidP="00C97BEF">
      <w:pPr>
        <w:rPr>
          <w:rtl/>
        </w:rPr>
      </w:pPr>
    </w:p>
    <w:p w14:paraId="3A8A498C" w14:textId="77777777" w:rsidR="00C97BEF" w:rsidRDefault="00C97BEF" w:rsidP="00C97BEF">
      <w:pPr>
        <w:pStyle w:val="2"/>
        <w:rPr>
          <w:rtl/>
        </w:rPr>
      </w:pPr>
      <w:r>
        <w:rPr>
          <w:rtl/>
        </w:rPr>
        <w:t>סעיף ה: איש המשתטה מיום ליום.</w:t>
      </w:r>
    </w:p>
    <w:p w14:paraId="66345606" w14:textId="77777777" w:rsidR="00C97BEF" w:rsidRDefault="00C97BEF" w:rsidP="00C97BEF">
      <w:pPr>
        <w:rPr>
          <w:u w:val="single"/>
          <w:rtl/>
        </w:rPr>
      </w:pPr>
      <w:r>
        <w:rPr>
          <w:u w:val="single"/>
          <w:rtl/>
        </w:rPr>
        <w:t>איש המשתטה מיום ליום:</w:t>
      </w:r>
    </w:p>
    <w:p w14:paraId="00D5200A" w14:textId="5B71C09E" w:rsidR="00C97BEF" w:rsidRDefault="00C97BEF" w:rsidP="006A458D">
      <w:pPr>
        <w:pStyle w:val="ab"/>
        <w:numPr>
          <w:ilvl w:val="0"/>
          <w:numId w:val="123"/>
        </w:numPr>
        <w:rPr>
          <w:rtl/>
        </w:rPr>
      </w:pPr>
      <w:r>
        <w:rPr>
          <w:rFonts w:cs="Arial"/>
          <w:rtl/>
        </w:rPr>
        <w:t xml:space="preserve">רא"ש </w:t>
      </w:r>
      <w:r>
        <w:rPr>
          <w:rFonts w:cs="Arial"/>
          <w:sz w:val="16"/>
          <w:szCs w:val="16"/>
          <w:rtl/>
        </w:rPr>
        <w:t>(כלל מג סי' ג)</w:t>
      </w:r>
      <w:r>
        <w:rPr>
          <w:rFonts w:cs="Arial"/>
          <w:rtl/>
        </w:rPr>
        <w:t xml:space="preserve"> וטור</w:t>
      </w:r>
      <w:r w:rsidR="00A82951">
        <w:rPr>
          <w:rFonts w:cs="Arial"/>
          <w:rtl/>
        </w:rPr>
        <w:t>-</w:t>
      </w:r>
      <w:r>
        <w:rPr>
          <w:rFonts w:cs="Arial"/>
          <w:rtl/>
        </w:rPr>
        <w:t xml:space="preserve"> שאלה</w:t>
      </w:r>
      <w:r w:rsidR="0068566A">
        <w:rPr>
          <w:rFonts w:cs="Arial" w:hint="cs"/>
          <w:rtl/>
        </w:rPr>
        <w:t>:</w:t>
      </w:r>
      <w:r>
        <w:rPr>
          <w:rFonts w:cs="Arial"/>
          <w:rtl/>
        </w:rPr>
        <w:t xml:space="preserve"> ומה שהיא טוענת שבעלה מטורף וטפשות מתוספת עליו מידי יום יום ושואלת שיגרשנה טרם יטרף ותהיה עגונה לעולם וגם שמא תלד בנים ולא יוכל לזונה. ואביה היה עני ומחמת דחקו השיאה לו וכסבורה היתה יכולה לקבל ואינה יכולה לקבל כי מטורף הוא לגמרי ויראה פן יהרגנה בכעסו כי כאשר מרגזים אותו מכה והורג וזורק ובועט ונושך. וראובן משיב הכרת בו מקודם לכן וסברת וקבלת, גם אינו מטורף אך אינו בקי בטיב העולם ולא יגרשך אלא אם תחזירי הספרים או כסף ערכם ואז יגרשך. איני רואה מתוך טענותם דברים שיהיה ראוי לכופו עליהם לגרש, כי אין להוסיף על מה שמנו חז"ל בפרק המדיר (עז.) ואלו שכופין אותו להוציא מוכה שחין ובעל פוליפוס והמקמץ והמצרף נחשת ובורסקי. ועוד שנינו התם האיש שנולדו בו מומין אין כופין אותו להוציא. לכן אין לכופו לגרש, אך תפייסנו שיגרש או תקבלנו ותזון מנכסיו</w:t>
      </w:r>
      <w:r>
        <w:rPr>
          <w:rFonts w:cs="Arial"/>
          <w:sz w:val="16"/>
          <w:szCs w:val="16"/>
          <w:rtl/>
        </w:rPr>
        <w:t xml:space="preserve"> (ל' הרא"ש)</w:t>
      </w:r>
      <w:r>
        <w:rPr>
          <w:rFonts w:cs="Arial"/>
          <w:rtl/>
        </w:rPr>
        <w:t>.</w:t>
      </w:r>
      <w:r>
        <w:rPr>
          <w:rtl/>
        </w:rPr>
        <w:t xml:space="preserve"> </w:t>
      </w:r>
      <w:r>
        <w:rPr>
          <w:color w:val="E36C0A" w:themeColor="accent6" w:themeShade="BF"/>
          <w:rtl/>
        </w:rPr>
        <w:t>(וכ"פ בשו"ע)</w:t>
      </w:r>
    </w:p>
    <w:p w14:paraId="0B3ADCC7" w14:textId="77777777" w:rsidR="00C97BEF" w:rsidRDefault="00C97BEF" w:rsidP="00C97BEF">
      <w:pPr>
        <w:rPr>
          <w:u w:val="single"/>
        </w:rPr>
      </w:pPr>
      <w:r>
        <w:rPr>
          <w:u w:val="single"/>
          <w:rtl/>
        </w:rPr>
        <w:t>איש הנכפה:</w:t>
      </w:r>
    </w:p>
    <w:p w14:paraId="6C347A29" w14:textId="2CDAFAD7" w:rsidR="00C97BEF" w:rsidRDefault="00C97BEF" w:rsidP="006A458D">
      <w:pPr>
        <w:pStyle w:val="ab"/>
        <w:numPr>
          <w:ilvl w:val="0"/>
          <w:numId w:val="123"/>
        </w:numPr>
        <w:rPr>
          <w:rFonts w:cs="Arial"/>
        </w:rPr>
      </w:pPr>
      <w:r>
        <w:rPr>
          <w:rFonts w:cs="Arial"/>
          <w:rtl/>
        </w:rPr>
        <w:t xml:space="preserve">מהר"ם </w:t>
      </w:r>
      <w:r>
        <w:rPr>
          <w:rFonts w:cs="Arial"/>
          <w:sz w:val="16"/>
          <w:szCs w:val="16"/>
          <w:rtl/>
        </w:rPr>
        <w:t>(ד"ק סי' קסה*)</w:t>
      </w:r>
      <w:r>
        <w:rPr>
          <w:rFonts w:cs="Arial"/>
          <w:rtl/>
        </w:rPr>
        <w:t xml:space="preserve"> בשם רבינו יואל ומרדכי</w:t>
      </w:r>
      <w:r>
        <w:rPr>
          <w:rStyle w:val="a7"/>
          <w:rFonts w:cs="Arial"/>
          <w:rtl/>
        </w:rPr>
        <w:footnoteReference w:id="2788"/>
      </w:r>
      <w:r>
        <w:rPr>
          <w:rFonts w:cs="Arial"/>
          <w:rtl/>
        </w:rPr>
        <w:t xml:space="preserve"> </w:t>
      </w:r>
      <w:r>
        <w:rPr>
          <w:rFonts w:cs="Arial"/>
          <w:sz w:val="16"/>
          <w:szCs w:val="16"/>
          <w:rtl/>
        </w:rPr>
        <w:t xml:space="preserve">(כתובות סי' רא) </w:t>
      </w:r>
      <w:r>
        <w:rPr>
          <w:rFonts w:cs="Arial"/>
          <w:rtl/>
        </w:rPr>
        <w:t>בשם ראבי"ה</w:t>
      </w:r>
      <w:r>
        <w:rPr>
          <w:rStyle w:val="a7"/>
          <w:rFonts w:cs="Arial"/>
          <w:rtl/>
        </w:rPr>
        <w:footnoteReference w:id="2789"/>
      </w:r>
      <w:r w:rsidR="00A82951">
        <w:rPr>
          <w:rFonts w:cs="Arial"/>
          <w:rtl/>
        </w:rPr>
        <w:t>-</w:t>
      </w:r>
      <w:r>
        <w:rPr>
          <w:rFonts w:cs="Arial"/>
          <w:rtl/>
        </w:rPr>
        <w:t xml:space="preserve"> פסק לנכפה ונכפית כמומין שבסתר דמי, ובדקביע ליה זמן, ותסרב מלהיות עמו בביתו ותבעה ממנו גט וכתובתה. ואמר רבינו יואל אע"ג דאמר רב נחמן (כתובות עז.) ונכפית כמומין שבסתר דמי, וקיימא לן (שם יג.) הילכתא כרב נחמן בדיני, דהא רב נחמן דיינא הוא (שם צד:), היינו דוקא גבי אשה דממאסה אגבריה, אבל איש אימא לא דאיתתא בכל דהו ניחא לה, כדאמר לעיל (שם עה.) טב למיתב טן דו מלמיתב ארמלו. ותו אי אמרינן מומא הוא אמאי לא קתני לה במתניתין (שם עז.) בהדי הנך שכופין להוציא. וליכא למימר תנא ושייר, דהא לא שייר מידי. דאלו לרב תחליפא בר אבודימי דאמר לקמן (שם) נשא אשה ושהה עמה עשר שנים דכופין אותו להוציא, יהיב טעמא שפיר דאמאי לא תני ליה במתניתין, משום דאפילו אי אמרה דיירנא בהדיה בסהדי לא שבקינן לה, מה שאין כן במתניתין. ותו בגמרא לא הוזכר נכפה לא בברייתא ולא בדברי אמורא. וגם פסק אע"ג דלא כייפינן ליה ליתן גט, אפילו הכי לא כייפינן לה להיות דרה עמו, דאף על גב דפסקינן לעיל בפרק אע"פ (שם סג:) אי אמרה מאיס עלי דכייפינן לה, ועבד מר זוטרא עובדא ונפק מיניה רב חנינא מסורא, היינו דוקא היכא דלא אתיא מחמת טענה ברורה, אבל הכא טענה ברורה יש לה דנכפה הוא. ותו כיון דגבי דידה הוי מום לצאת בלא כתובה, לגבי דידיה מיהא תיהוי מום שלא לכפותה להיות עמו ולשמשו. וכן הורה הלכה למעשה. </w:t>
      </w:r>
    </w:p>
    <w:p w14:paraId="343F6142" w14:textId="0EA005C0" w:rsidR="00C97BEF" w:rsidRDefault="00C97BEF" w:rsidP="006A458D">
      <w:pPr>
        <w:pStyle w:val="ab"/>
        <w:numPr>
          <w:ilvl w:val="0"/>
          <w:numId w:val="123"/>
        </w:numPr>
      </w:pPr>
      <w:r>
        <w:rPr>
          <w:rFonts w:cs="Arial"/>
          <w:rtl/>
        </w:rPr>
        <w:t xml:space="preserve">רא"ש </w:t>
      </w:r>
      <w:r>
        <w:rPr>
          <w:rFonts w:cs="Arial"/>
          <w:sz w:val="16"/>
          <w:szCs w:val="16"/>
          <w:rtl/>
        </w:rPr>
        <w:t>(כלל מב סי' א)</w:t>
      </w:r>
      <w:r w:rsidR="00A82951">
        <w:rPr>
          <w:rFonts w:cs="Arial"/>
          <w:rtl/>
        </w:rPr>
        <w:t>-</w:t>
      </w:r>
      <w:r>
        <w:rPr>
          <w:rFonts w:cs="Arial"/>
          <w:rtl/>
        </w:rPr>
        <w:t xml:space="preserve"> דין לא ידעתי אחקרהו צדק צדק ארדפהו ממים רבים אדלהו. יורוני חכמי מיגנצא ואופנהים וורמשא שפטרא. על ראובן שנשא אשה ושהה עמה יותר משנתים ונודע לו שהיא נכפית והוציאה מביתו, והנה תובעת ממנו שאר כסות ועונה והוא משיב שהדבר ידוע שאין הדעת סובלתה להסתופף אצלה גם סכנה יש בדבר וחפץ לגרשה וליתן לה את כל אשר לו ועני הוא ואינו משיג לוטרין היילוייש. ומטיבותיכו נדין לפניכם כתלמיד לפני רבותיו. אמת הוא שחכמי הגמ' אמרו בין שנולדו בו מומין גדולים בין שנולדו מומין קטנים כופין אותו להוציא. ור"ג מאור הגולה ז"ל פי' בתשוב' אחת דנכפה הוי מום גדול. ובאשה אמרו חכמים אם נולדה בה מומין נסתחפה שדהו ואם בא לגרשה צריך שיתן לה כתובתה. ועתה בימי חכמי הגמרא אם אירע מום זה באשה בעלה היה מגרשה ומתחייב לה כתובה ויפרע מה שנמצא בידו והשאר באשר תשיג ידו. ועתה שתיקן הגאון רבינו גרשום ז"ל שאין לגרשה בעל כרחה איך יתכן שיתחייב לה שאר כסות ועונה אם כן יפה כח האשה הרבה מכח האיש. דאלו נולד מום זה באיש אין אנו אומרין יכפוה להיות אצלה אלא כופין אותו להוציא ויתן כתובה ואם נולד באשה יכפוהו להיות אצלה ולפרנסה... הרי כתבתי לכם עניות דעתי, ואתם רבותי הורוני דעתכם תורוני ואעשה ושלומכם ישגא לעד. אשר בן ה"ר יחיאל זצ"ל</w:t>
      </w:r>
      <w:r>
        <w:rPr>
          <w:rStyle w:val="a7"/>
          <w:rFonts w:cs="Arial"/>
          <w:rtl/>
        </w:rPr>
        <w:footnoteReference w:id="2790"/>
      </w:r>
      <w:r>
        <w:rPr>
          <w:rFonts w:cs="Arial"/>
          <w:rtl/>
        </w:rPr>
        <w:t xml:space="preserve">. </w:t>
      </w:r>
    </w:p>
    <w:p w14:paraId="7E82E17D"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lastRenderedPageBreak/>
        <w:t>שו"ע:</w:t>
      </w:r>
    </w:p>
    <w:p w14:paraId="7E11614E" w14:textId="35F74BF5" w:rsidR="00C97BEF" w:rsidRDefault="00C97BEF" w:rsidP="00C97BEF">
      <w:pPr>
        <w:rPr>
          <w:rtl/>
        </w:rPr>
      </w:pPr>
      <w:r>
        <w:rPr>
          <w:rFonts w:cs="Arial"/>
          <w:rtl/>
        </w:rPr>
        <w:t xml:space="preserve">איש המשתטה מידי יום יום, ואומרת אשתו: אבי מחמת דחקו השיאני לו וסבורה הייתי לקבל ואי אפשי כי הוא מטורף ויראה אני פן יהרגני בכעסו, אין כופין אותו לגרש, שאין כופין אלא באותם שאמרו חכמים. </w:t>
      </w:r>
      <w:r>
        <w:rPr>
          <w:rFonts w:cs="Arial"/>
          <w:sz w:val="18"/>
          <w:szCs w:val="18"/>
          <w:rtl/>
        </w:rPr>
        <w:t xml:space="preserve">הגה: מי שהוא נכפה, י"א שאינו מום ואין כופין על זה לגרש, ומ"מ אין כופין אותה שתהיה עמו, הואיל ובאתה מחמת טענה (מרדכי בשם ראבי"ה). וי"א דהוי מום באיש, וכופין לגרש (רא"ש). </w:t>
      </w:r>
    </w:p>
    <w:p w14:paraId="7BCEF8ED" w14:textId="77777777" w:rsidR="00C97BEF" w:rsidRDefault="00C97BEF" w:rsidP="00C97BEF">
      <w:pPr>
        <w:rPr>
          <w:rtl/>
        </w:rPr>
      </w:pPr>
    </w:p>
    <w:p w14:paraId="4E308539" w14:textId="77777777" w:rsidR="00C97BEF" w:rsidRDefault="00C97BEF" w:rsidP="00C97BEF">
      <w:pPr>
        <w:pStyle w:val="2"/>
        <w:rPr>
          <w:rtl/>
        </w:rPr>
      </w:pPr>
      <w:r>
        <w:rPr>
          <w:rtl/>
        </w:rPr>
        <w:t>סעיף ו: אשה שטוענת על בעלה אינו ראוי להוליד, ואיש שטוען על אשתו שאינה ראויה להוליד.</w:t>
      </w:r>
    </w:p>
    <w:p w14:paraId="3673AF8D" w14:textId="3F6A93E1" w:rsidR="00C97BEF" w:rsidRDefault="00C97BEF" w:rsidP="00C97BEF">
      <w:pPr>
        <w:rPr>
          <w:sz w:val="16"/>
          <w:szCs w:val="16"/>
          <w:rtl/>
        </w:rPr>
      </w:pPr>
      <w:bookmarkStart w:id="42" w:name="_Hlk139189151"/>
      <w:r>
        <w:rPr>
          <w:rFonts w:cs="Arial"/>
          <w:b/>
          <w:bCs/>
          <w:rtl/>
        </w:rPr>
        <w:t xml:space="preserve">נדרים </w:t>
      </w:r>
      <w:r>
        <w:rPr>
          <w:rFonts w:cs="Arial"/>
          <w:b/>
          <w:bCs/>
          <w:sz w:val="16"/>
          <w:szCs w:val="16"/>
          <w:rtl/>
        </w:rPr>
        <w:t>(פ' בתרא)</w:t>
      </w:r>
      <w:r>
        <w:rPr>
          <w:rFonts w:cs="Arial"/>
          <w:b/>
          <w:bCs/>
          <w:rtl/>
        </w:rPr>
        <w:t xml:space="preserve"> צ ע"ב: </w:t>
      </w:r>
      <w:r>
        <w:rPr>
          <w:rFonts w:cs="Arial"/>
          <w:u w:val="double"/>
          <w:rtl/>
        </w:rPr>
        <w:t>מתני'</w:t>
      </w:r>
      <w:r>
        <w:rPr>
          <w:rFonts w:cs="Arial"/>
          <w:rtl/>
        </w:rPr>
        <w:t>: בראשונה היו אומרים, שלש נשים יוצאות ונוטלות כתובה: האומרת טמאה אני לך, שמים ביני לבינך</w:t>
      </w:r>
      <w:r>
        <w:rPr>
          <w:rStyle w:val="a7"/>
          <w:rFonts w:cs="Arial"/>
          <w:rtl/>
        </w:rPr>
        <w:footnoteReference w:id="2791"/>
      </w:r>
      <w:r>
        <w:rPr>
          <w:rFonts w:cs="Arial"/>
          <w:rtl/>
        </w:rPr>
        <w:t xml:space="preserve">, ונטולה אני מן היהודים. חזרו לומר, שלא תהא אשה נותנת עיניה באחר ומקלקלת על בעלה, האומרת טמאה אני לך </w:t>
      </w:r>
      <w:r w:rsidR="00A82951">
        <w:rPr>
          <w:rFonts w:cs="Arial"/>
          <w:rtl/>
        </w:rPr>
        <w:t>-</w:t>
      </w:r>
      <w:r>
        <w:rPr>
          <w:rFonts w:cs="Arial"/>
          <w:rtl/>
        </w:rPr>
        <w:t xml:space="preserve"> תביא ראיה לדבריה. השמים ביני לבינך </w:t>
      </w:r>
      <w:r w:rsidR="00A82951">
        <w:rPr>
          <w:rFonts w:cs="Arial"/>
          <w:rtl/>
        </w:rPr>
        <w:t>-</w:t>
      </w:r>
      <w:r>
        <w:rPr>
          <w:rFonts w:cs="Arial"/>
          <w:rtl/>
        </w:rPr>
        <w:t xml:space="preserve"> יעשו דרך בקשה</w:t>
      </w:r>
      <w:r>
        <w:rPr>
          <w:rStyle w:val="a7"/>
          <w:rFonts w:cs="Arial"/>
          <w:rtl/>
        </w:rPr>
        <w:footnoteReference w:id="2792"/>
      </w:r>
      <w:r>
        <w:rPr>
          <w:rFonts w:cs="Arial"/>
          <w:rtl/>
        </w:rPr>
        <w:t xml:space="preserve">. ונטולה אני מן היהודים </w:t>
      </w:r>
      <w:r w:rsidR="00A82951">
        <w:rPr>
          <w:rFonts w:cs="Arial"/>
          <w:rtl/>
        </w:rPr>
        <w:t>-</w:t>
      </w:r>
      <w:r>
        <w:rPr>
          <w:rFonts w:cs="Arial"/>
          <w:rtl/>
        </w:rPr>
        <w:t xml:space="preserve"> יפר לחלקו ותהא משמשתו, ותהא נטולה מן היהודים.</w:t>
      </w:r>
      <w:r>
        <w:rPr>
          <w:rtl/>
        </w:rPr>
        <w:t xml:space="preserve"> </w:t>
      </w:r>
      <w:r>
        <w:rPr>
          <w:rFonts w:cs="Arial"/>
          <w:rtl/>
        </w:rPr>
        <w:t xml:space="preserve">     </w:t>
      </w:r>
      <w:r>
        <w:rPr>
          <w:rFonts w:cs="Arial"/>
          <w:u w:val="double"/>
          <w:rtl/>
        </w:rPr>
        <w:t>גמ'</w:t>
      </w:r>
      <w:r>
        <w:rPr>
          <w:rFonts w:cs="Arial"/>
          <w:sz w:val="14"/>
          <w:szCs w:val="14"/>
          <w:u w:val="double"/>
          <w:rtl/>
        </w:rPr>
        <w:t>(צא.)</w:t>
      </w:r>
      <w:r>
        <w:rPr>
          <w:rFonts w:cs="Arial"/>
          <w:u w:val="double"/>
          <w:rtl/>
        </w:rPr>
        <w:t>:</w:t>
      </w:r>
      <w:r>
        <w:rPr>
          <w:rFonts w:cs="Arial"/>
          <w:rtl/>
        </w:rPr>
        <w:t xml:space="preserve"> איבעיא להו: אמרה לבעלה גרשתני, מהו? </w:t>
      </w:r>
      <w:r>
        <w:rPr>
          <w:rFonts w:cs="Arial"/>
          <w:u w:val="single"/>
          <w:rtl/>
        </w:rPr>
        <w:t>אמר רב המנונא</w:t>
      </w:r>
      <w:r>
        <w:rPr>
          <w:rFonts w:cs="Arial"/>
          <w:rtl/>
        </w:rPr>
        <w:t xml:space="preserve">: ת"ש: האומרת טמאה אני לך, דאפילו למשנה אחרונה דקתני לא מהימנא, התם הוא דמשקרה, דידעה דבעלה לא ידע בה, אבל גבי גרשתני דידע בה </w:t>
      </w:r>
      <w:r w:rsidR="00A82951">
        <w:rPr>
          <w:rFonts w:cs="Arial"/>
          <w:rtl/>
        </w:rPr>
        <w:t>-</w:t>
      </w:r>
      <w:r>
        <w:rPr>
          <w:rFonts w:cs="Arial"/>
          <w:rtl/>
        </w:rPr>
        <w:t xml:space="preserve"> מהימנא, דחזקה אין אשה מעיזה פניה בפני בעלה... השמים ביני לבינך דמשנה אחרונה תהוי תיובתא דרב המנונא, והא הכא דידעה היא</w:t>
      </w:r>
      <w:r>
        <w:rPr>
          <w:rStyle w:val="a7"/>
          <w:rFonts w:cs="Arial"/>
          <w:rtl/>
        </w:rPr>
        <w:footnoteReference w:id="2793"/>
      </w:r>
      <w:r>
        <w:rPr>
          <w:rFonts w:cs="Arial"/>
          <w:rtl/>
        </w:rPr>
        <w:t xml:space="preserve"> ובעלה ידע בה, וקתני דלא מהימנא! קסבר רב המנונא: הכא נמי היא גופה אמרה נהי דבביאה ידע, ביורה כחץ מי ידע, ומשום הכי משקרא.</w:t>
      </w:r>
      <w:r>
        <w:rPr>
          <w:rtl/>
        </w:rPr>
        <w:t xml:space="preserve"> </w:t>
      </w:r>
      <w:r>
        <w:rPr>
          <w:sz w:val="16"/>
          <w:szCs w:val="16"/>
          <w:rtl/>
        </w:rPr>
        <w:t xml:space="preserve">(וכתבו התוס' (ד"ה </w:t>
      </w:r>
      <w:r>
        <w:rPr>
          <w:rFonts w:cs="Arial"/>
          <w:sz w:val="16"/>
          <w:szCs w:val="16"/>
          <w:rtl/>
        </w:rPr>
        <w:t>קסבר רב המנונא נהי דבביאה ידע)</w:t>
      </w:r>
      <w:r w:rsidR="0068566A">
        <w:rPr>
          <w:rFonts w:cs="Arial" w:hint="cs"/>
          <w:sz w:val="16"/>
          <w:szCs w:val="16"/>
          <w:rtl/>
        </w:rPr>
        <w:t>:</w:t>
      </w:r>
      <w:r>
        <w:rPr>
          <w:rFonts w:cs="Arial"/>
          <w:sz w:val="16"/>
          <w:szCs w:val="16"/>
          <w:rtl/>
        </w:rPr>
        <w:t xml:space="preserve"> כלומר נהי דיודע שפולט הזרע ביורה כחץ מי ידע ולכך מעיזה, אבל לומר גרשתני דבעלה ידע אי משקרא מהימנא. פסק ריצב"א דהלכה כרב המנונא דבכמה מקומות בהש"ס מביא דבריו... ויש ללמוד על אשה שטוענת שבעלה אינו יכול להתקשות או שאינו בקי בדרך ארץ </w:t>
      </w:r>
      <w:r w:rsidR="00A82951">
        <w:rPr>
          <w:rFonts w:cs="Arial"/>
          <w:sz w:val="16"/>
          <w:szCs w:val="16"/>
          <w:rtl/>
        </w:rPr>
        <w:t>-</w:t>
      </w:r>
      <w:r>
        <w:rPr>
          <w:rFonts w:cs="Arial"/>
          <w:sz w:val="16"/>
          <w:szCs w:val="16"/>
          <w:rtl/>
        </w:rPr>
        <w:t xml:space="preserve"> דנאמנת, דבדבר שיש לו לבעל לידע אינה מעיזה פניה ויוציא ויתן כתובה. ולא מיבעיא אי באה מחמת הטענה, כגון דאמרה בעינא חוטרא לידא ומרא לקבורה, אלא אפילו בלא טענה נמי יכולה היא לומר אינו מקיים מצות עונה, וגדולה מזאת אמרו האומר אי אפשי אלא הוא בבגדו והיא בבגדה יוציא ויתן כתובה, וכ"ש בזה. ודווקא כשהוא מגרשה ואינה תובעת כתובתה, אבל אם צועקת כשרוצה לגרשה שיתן לה כתובה </w:t>
      </w:r>
      <w:r w:rsidR="00A82951">
        <w:rPr>
          <w:rFonts w:cs="Arial"/>
          <w:sz w:val="16"/>
          <w:szCs w:val="16"/>
          <w:rtl/>
        </w:rPr>
        <w:t>-</w:t>
      </w:r>
      <w:r>
        <w:rPr>
          <w:rFonts w:cs="Arial"/>
          <w:sz w:val="16"/>
          <w:szCs w:val="16"/>
          <w:rtl/>
        </w:rPr>
        <w:t xml:space="preserve"> אינה נאמנת דיש לחוש שמא נתנה עיניה (באחר) בכתובה... ואם טוענת האשה שאין זרעו יורה כחץ </w:t>
      </w:r>
      <w:r w:rsidR="00A82951">
        <w:rPr>
          <w:rFonts w:cs="Arial"/>
          <w:sz w:val="16"/>
          <w:szCs w:val="16"/>
          <w:rtl/>
        </w:rPr>
        <w:t>-</w:t>
      </w:r>
      <w:r>
        <w:rPr>
          <w:rFonts w:cs="Arial"/>
          <w:sz w:val="16"/>
          <w:szCs w:val="16"/>
          <w:rtl/>
        </w:rPr>
        <w:t xml:space="preserve"> אינה נאמנת, כמו למשנה אחרונה. כללא דמילתא כל מילי דיכול בעל לידע ומכחישתו </w:t>
      </w:r>
      <w:r w:rsidR="00A82951">
        <w:rPr>
          <w:rFonts w:cs="Arial"/>
          <w:sz w:val="16"/>
          <w:szCs w:val="16"/>
          <w:rtl/>
        </w:rPr>
        <w:t>-</w:t>
      </w:r>
      <w:r>
        <w:rPr>
          <w:rFonts w:cs="Arial"/>
          <w:sz w:val="16"/>
          <w:szCs w:val="16"/>
          <w:rtl/>
        </w:rPr>
        <w:t xml:space="preserve"> נאמנת. אבל במילי שאין בעל יכול לידע </w:t>
      </w:r>
      <w:r w:rsidR="00A82951">
        <w:rPr>
          <w:rFonts w:cs="Arial"/>
          <w:sz w:val="16"/>
          <w:szCs w:val="16"/>
          <w:rtl/>
        </w:rPr>
        <w:t>-</w:t>
      </w:r>
      <w:r>
        <w:rPr>
          <w:rFonts w:cs="Arial"/>
          <w:sz w:val="16"/>
          <w:szCs w:val="16"/>
          <w:rtl/>
        </w:rPr>
        <w:t xml:space="preserve"> אינה נאמנת. והילכך כשטוענת שאינו יכול להתקשות </w:t>
      </w:r>
      <w:r w:rsidR="00A82951">
        <w:rPr>
          <w:rFonts w:cs="Arial"/>
          <w:sz w:val="16"/>
          <w:szCs w:val="16"/>
          <w:rtl/>
        </w:rPr>
        <w:t>-</w:t>
      </w:r>
      <w:r>
        <w:rPr>
          <w:rFonts w:cs="Arial"/>
          <w:sz w:val="16"/>
          <w:szCs w:val="16"/>
          <w:rtl/>
        </w:rPr>
        <w:t xml:space="preserve"> יוציא ויתן כתובה. ואומר ריצב"א דלא תטול רק מנה מאתים, אבל תוספת אין לה כדאמר פרק אף על פי מן הנשואין גובה את הכל מן האירוסין אינו גובה אלא מנה מאתים שלא כתב אלא ע"מ לכונסה... וכן מי שאינו בריא להתקשות... וגם מה שהכניסה בנדוניא לא תטול רק בצמצום מה שהביאה אלא מה שרגילין לכתוב נדוניא דהנעלת ליה דכותבין יותר ממה שהכניסה לו דגם זה מן התוספת יש לה ולא תטול. כך פסק ריצב"א בתשובות סתם דבריו עכ"ל. וכ"כ התוס' ביבמות (סה. ריש וסוף ד"ה שבינו))</w:t>
      </w:r>
    </w:p>
    <w:bookmarkEnd w:id="42"/>
    <w:p w14:paraId="0F2297E1" w14:textId="77777777" w:rsidR="00C97BEF" w:rsidRDefault="00C97BEF" w:rsidP="00C97BEF">
      <w:pPr>
        <w:rPr>
          <w:rFonts w:cs="Arial"/>
          <w:rtl/>
        </w:rPr>
      </w:pPr>
      <w:r>
        <w:rPr>
          <w:rFonts w:cs="Arial"/>
          <w:b/>
          <w:bCs/>
          <w:rtl/>
        </w:rPr>
        <w:t xml:space="preserve">יבמות </w:t>
      </w:r>
      <w:r>
        <w:rPr>
          <w:rFonts w:cs="Arial"/>
          <w:b/>
          <w:bCs/>
          <w:sz w:val="16"/>
          <w:szCs w:val="16"/>
          <w:rtl/>
        </w:rPr>
        <w:t xml:space="preserve">(ס"פ הבא על יבמתו) </w:t>
      </w:r>
      <w:r>
        <w:rPr>
          <w:rFonts w:cs="Arial"/>
          <w:b/>
          <w:bCs/>
          <w:rtl/>
        </w:rPr>
        <w:t xml:space="preserve">סה ע"ב: </w:t>
      </w:r>
      <w:r>
        <w:rPr>
          <w:rFonts w:cs="Arial"/>
          <w:u w:val="double"/>
          <w:rtl/>
        </w:rPr>
        <w:t>מתני'</w:t>
      </w:r>
      <w:r>
        <w:rPr>
          <w:rFonts w:cs="Arial"/>
          <w:rtl/>
        </w:rPr>
        <w:t xml:space="preserve">: האיש מצווה על פריה ורביה, אבל לא האשה. </w:t>
      </w:r>
      <w:r>
        <w:rPr>
          <w:rFonts w:cs="Arial"/>
          <w:u w:val="single"/>
          <w:rtl/>
        </w:rPr>
        <w:t>רבי יוחנן בן ברוקה אומר</w:t>
      </w:r>
      <w:r>
        <w:rPr>
          <w:rFonts w:cs="Arial"/>
          <w:rtl/>
        </w:rPr>
        <w:t xml:space="preserve">: על שניהם הוא אומר: ויברך אותם אלהים ויאמר להם אלהים פרו ורבו.       </w:t>
      </w:r>
      <w:r>
        <w:rPr>
          <w:rFonts w:cs="Arial"/>
          <w:u w:val="double"/>
          <w:rtl/>
        </w:rPr>
        <w:t>גמ'</w:t>
      </w:r>
      <w:r>
        <w:rPr>
          <w:rFonts w:cs="Arial"/>
          <w:rtl/>
        </w:rPr>
        <w:t xml:space="preserve">: רבי יוחנן בן ברוקה אומר. אתמר: </w:t>
      </w:r>
      <w:r>
        <w:rPr>
          <w:rFonts w:cs="Arial"/>
          <w:u w:val="single"/>
          <w:rtl/>
        </w:rPr>
        <w:t>רבי יוחנן</w:t>
      </w:r>
      <w:r>
        <w:rPr>
          <w:rFonts w:cs="Arial"/>
          <w:rtl/>
        </w:rPr>
        <w:t xml:space="preserve"> </w:t>
      </w:r>
      <w:r>
        <w:rPr>
          <w:rFonts w:cs="Arial"/>
          <w:u w:val="single"/>
          <w:rtl/>
        </w:rPr>
        <w:t>ור' יהושע בן לוי</w:t>
      </w:r>
      <w:r>
        <w:rPr>
          <w:rFonts w:cs="Arial"/>
          <w:rtl/>
        </w:rPr>
        <w:t xml:space="preserve">, </w:t>
      </w:r>
      <w:r>
        <w:rPr>
          <w:rFonts w:cs="Arial"/>
          <w:u w:val="single"/>
          <w:rtl/>
        </w:rPr>
        <w:t>חד אמר</w:t>
      </w:r>
      <w:r>
        <w:rPr>
          <w:rFonts w:cs="Arial"/>
          <w:rtl/>
        </w:rPr>
        <w:t xml:space="preserve">: הלכה כרבי יוחנן בן ברוקה, </w:t>
      </w:r>
      <w:r>
        <w:rPr>
          <w:rFonts w:cs="Arial"/>
          <w:u w:val="single"/>
          <w:rtl/>
        </w:rPr>
        <w:t>וחד אמר</w:t>
      </w:r>
      <w:r>
        <w:rPr>
          <w:rFonts w:cs="Arial"/>
          <w:rtl/>
        </w:rPr>
        <w:t>: אין הלכה כרבי יוחנן בן ברוקה... ת"ש, דאמר ר' אחא בר חנינא אמר ר' אבהו אמר ר' אסי: עובדא הוה</w:t>
      </w:r>
      <w:r>
        <w:rPr>
          <w:rStyle w:val="a7"/>
          <w:rFonts w:cs="Arial"/>
          <w:rtl/>
        </w:rPr>
        <w:footnoteReference w:id="2794"/>
      </w:r>
      <w:r>
        <w:rPr>
          <w:rFonts w:cs="Arial"/>
          <w:rtl/>
        </w:rPr>
        <w:t xml:space="preserve"> קמיה דרבי יוחנן בכנישתא דקיסרי, ואמר: יוציא ויתן כתובה; ואי ס"ד לא מפקדה, כתובה מאי עבידתה? דלמא בבאה מחמת טענה. כי ההיא דאתאי לקמיה דר' אמי</w:t>
      </w:r>
      <w:r>
        <w:rPr>
          <w:rStyle w:val="a7"/>
          <w:rFonts w:cs="Arial"/>
          <w:rtl/>
        </w:rPr>
        <w:footnoteReference w:id="2795"/>
      </w:r>
      <w:r>
        <w:rPr>
          <w:rFonts w:cs="Arial"/>
          <w:rtl/>
        </w:rPr>
        <w:t>, אמרה ליה: הב לי כתובה, אמר לה: זיל, לא מיפקדת</w:t>
      </w:r>
      <w:r>
        <w:rPr>
          <w:rStyle w:val="a7"/>
          <w:rFonts w:cs="Arial"/>
          <w:rtl/>
        </w:rPr>
        <w:footnoteReference w:id="2796"/>
      </w:r>
      <w:r>
        <w:rPr>
          <w:rFonts w:cs="Arial"/>
          <w:rtl/>
        </w:rPr>
        <w:t>, אמרה ליה: מסיבו דילה</w:t>
      </w:r>
      <w:r>
        <w:rPr>
          <w:rStyle w:val="a7"/>
          <w:rFonts w:cs="Arial"/>
          <w:rtl/>
        </w:rPr>
        <w:footnoteReference w:id="2797"/>
      </w:r>
      <w:r>
        <w:rPr>
          <w:rFonts w:cs="Arial"/>
          <w:rtl/>
        </w:rPr>
        <w:t xml:space="preserve"> מאי תיהוי עלה דהך אתתא? אמר: כי הא ודאי כפינן. ההיא דאתאי לקמיה דרב נחמן, אמר לה: לא מיפקדת, אמרה ליה: לא בעיא הך אתתא חוטרא לידה</w:t>
      </w:r>
      <w:r>
        <w:rPr>
          <w:rStyle w:val="a7"/>
          <w:rFonts w:cs="Arial"/>
          <w:rtl/>
        </w:rPr>
        <w:footnoteReference w:id="2798"/>
      </w:r>
      <w:r>
        <w:rPr>
          <w:rFonts w:cs="Arial"/>
          <w:rtl/>
        </w:rPr>
        <w:t xml:space="preserve"> ומרה לקבורה? אמר: כי הא ודאי כפינן. </w:t>
      </w:r>
    </w:p>
    <w:p w14:paraId="3D295C8B" w14:textId="77777777" w:rsidR="00C97BEF" w:rsidRDefault="00C97BEF" w:rsidP="00C97BEF">
      <w:pPr>
        <w:rPr>
          <w:rFonts w:cs="Arial"/>
          <w:u w:val="single"/>
          <w:rtl/>
        </w:rPr>
      </w:pPr>
      <w:r>
        <w:rPr>
          <w:rFonts w:cs="Arial"/>
          <w:u w:val="single"/>
          <w:rtl/>
        </w:rPr>
        <w:t>אשה שאומרת שאין בעלה ראוי להוליד, ולכן דורשת גט:</w:t>
      </w:r>
    </w:p>
    <w:p w14:paraId="76D0171C" w14:textId="5EBF0F31"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מי ששואלת גט בטענה שאינה ראויה לבנות ממנו </w:t>
      </w:r>
      <w:r w:rsidR="00A82951">
        <w:rPr>
          <w:rFonts w:cs="Arial"/>
          <w:rtl/>
        </w:rPr>
        <w:t>-</w:t>
      </w:r>
      <w:r>
        <w:rPr>
          <w:rFonts w:cs="Arial"/>
          <w:rtl/>
        </w:rPr>
        <w:t xml:space="preserve"> אין שומעין לה. </w:t>
      </w:r>
      <w:r>
        <w:rPr>
          <w:color w:val="E36C0A" w:themeColor="accent6" w:themeShade="BF"/>
          <w:rtl/>
        </w:rPr>
        <w:t>(וכ"פ בשו"ע)</w:t>
      </w:r>
    </w:p>
    <w:p w14:paraId="28138C7A" w14:textId="77777777" w:rsidR="00C97BEF" w:rsidRDefault="00C97BEF" w:rsidP="00C97BEF">
      <w:pPr>
        <w:ind w:left="360"/>
        <w:rPr>
          <w:u w:val="dotted"/>
        </w:rPr>
      </w:pPr>
      <w:r>
        <w:rPr>
          <w:u w:val="dotted"/>
          <w:rtl/>
        </w:rPr>
        <w:lastRenderedPageBreak/>
        <w:t>ומה הדין אם היא טוענת שהיא רוצה ילד שיתמוך בה לעת זקנתה:</w:t>
      </w:r>
    </w:p>
    <w:p w14:paraId="1100EF2D" w14:textId="2C08BFBF" w:rsidR="00C97BEF" w:rsidRDefault="00C97BEF" w:rsidP="006A458D">
      <w:pPr>
        <w:pStyle w:val="ab"/>
        <w:numPr>
          <w:ilvl w:val="0"/>
          <w:numId w:val="123"/>
        </w:numPr>
      </w:pPr>
      <w:r>
        <w:rPr>
          <w:rFonts w:cs="Arial"/>
          <w:rtl/>
        </w:rPr>
        <w:t>טור</w:t>
      </w:r>
      <w:r w:rsidR="00A82951">
        <w:rPr>
          <w:rFonts w:cs="Arial"/>
          <w:rtl/>
        </w:rPr>
        <w:t>-</w:t>
      </w:r>
      <w:r>
        <w:rPr>
          <w:rFonts w:cs="Arial"/>
          <w:rtl/>
        </w:rPr>
        <w:t xml:space="preserve"> ואם באה בטענה שחפצה לילד שיהיה לה בן שתשען עליו ואומרת שהוא גורם שאינו יורה כחץ </w:t>
      </w:r>
      <w:r w:rsidR="00A82951">
        <w:rPr>
          <w:rFonts w:cs="Arial"/>
          <w:rtl/>
        </w:rPr>
        <w:t>-</w:t>
      </w:r>
      <w:r>
        <w:rPr>
          <w:rFonts w:cs="Arial"/>
          <w:rtl/>
        </w:rPr>
        <w:t xml:space="preserve"> שומעין לה</w:t>
      </w:r>
      <w:r>
        <w:rPr>
          <w:rStyle w:val="a7"/>
          <w:rFonts w:cs="Arial"/>
          <w:rtl/>
        </w:rPr>
        <w:footnoteReference w:id="2799"/>
      </w:r>
      <w:r>
        <w:rPr>
          <w:rFonts w:cs="Arial"/>
          <w:rtl/>
        </w:rPr>
        <w:t>, אפי' יש לו</w:t>
      </w:r>
      <w:r>
        <w:rPr>
          <w:rStyle w:val="a7"/>
          <w:rFonts w:cs="Arial"/>
          <w:rtl/>
        </w:rPr>
        <w:footnoteReference w:id="2800"/>
      </w:r>
      <w:r>
        <w:rPr>
          <w:rFonts w:cs="Arial"/>
          <w:rtl/>
        </w:rPr>
        <w:t xml:space="preserve"> בנים מאשה אחרת, דשמא אח"כ נתקלקל, וכופין, ויתן מנה ומאתים, אבל לא תוספת</w:t>
      </w:r>
      <w:r>
        <w:rPr>
          <w:rStyle w:val="a7"/>
          <w:rFonts w:cs="Arial"/>
          <w:rtl/>
        </w:rPr>
        <w:footnoteReference w:id="2801"/>
      </w:r>
      <w:r>
        <w:rPr>
          <w:rFonts w:cs="Arial"/>
          <w:rtl/>
        </w:rPr>
        <w:t xml:space="preserve">, ויתן נדוניתה מה שהכניסה. בד"א כשאין לחוש שמא עיניה נתנה באחר, כגון ששהתה עמו י' שנים ולא ילדה, אבל לא שהתה עמו י' שנים </w:t>
      </w:r>
      <w:r w:rsidR="00A82951">
        <w:rPr>
          <w:rFonts w:cs="Arial"/>
          <w:rtl/>
        </w:rPr>
        <w:t>-</w:t>
      </w:r>
      <w:r>
        <w:rPr>
          <w:rFonts w:cs="Arial"/>
          <w:rtl/>
        </w:rPr>
        <w:t xml:space="preserve"> אין כופין אותו</w:t>
      </w:r>
      <w:r>
        <w:rPr>
          <w:rStyle w:val="a7"/>
          <w:rFonts w:cs="Arial"/>
          <w:rtl/>
        </w:rPr>
        <w:footnoteReference w:id="2802"/>
      </w:r>
      <w:r>
        <w:rPr>
          <w:rFonts w:cs="Arial"/>
          <w:rtl/>
        </w:rPr>
        <w:t xml:space="preserve">. ואם ידוע שהוא עקר, והיא באה בטענה </w:t>
      </w:r>
      <w:r w:rsidR="00A82951">
        <w:rPr>
          <w:rFonts w:cs="Arial"/>
          <w:rtl/>
        </w:rPr>
        <w:t>-</w:t>
      </w:r>
      <w:r>
        <w:rPr>
          <w:rFonts w:cs="Arial"/>
          <w:rtl/>
        </w:rPr>
        <w:t xml:space="preserve"> יוציא מיד ויתן כתובה</w:t>
      </w:r>
      <w:r>
        <w:rPr>
          <w:rStyle w:val="a7"/>
          <w:rFonts w:cs="Arial"/>
          <w:rtl/>
        </w:rPr>
        <w:footnoteReference w:id="2803"/>
      </w:r>
      <w:r>
        <w:rPr>
          <w:rFonts w:cs="Arial"/>
          <w:rtl/>
        </w:rPr>
        <w:t xml:space="preserve">. ואפילו שהתה עמו י' שנים, אם תובעת כתובתה שיש לחוש שתובעת גט כדי לגבות כתובתה, או שיש לתלות בשום דבר אחר למה שואלת גט </w:t>
      </w:r>
      <w:r w:rsidR="00A82951">
        <w:rPr>
          <w:rFonts w:cs="Arial"/>
          <w:rtl/>
        </w:rPr>
        <w:t>-</w:t>
      </w:r>
      <w:r>
        <w:rPr>
          <w:rFonts w:cs="Arial"/>
          <w:rtl/>
        </w:rPr>
        <w:t xml:space="preserve"> אין כופין אותו להוציא אלא כשאין לתלות בשום דבר</w:t>
      </w:r>
      <w:r>
        <w:rPr>
          <w:rStyle w:val="a7"/>
          <w:rFonts w:cs="Arial"/>
          <w:rtl/>
        </w:rPr>
        <w:footnoteReference w:id="2804"/>
      </w:r>
      <w:r>
        <w:rPr>
          <w:rFonts w:cs="Arial"/>
          <w:rtl/>
        </w:rPr>
        <w:t xml:space="preserve">. </w:t>
      </w:r>
      <w:r>
        <w:rPr>
          <w:color w:val="E36C0A" w:themeColor="accent6" w:themeShade="BF"/>
          <w:rtl/>
        </w:rPr>
        <w:t>(וכ"פ בשו"ע)</w:t>
      </w:r>
    </w:p>
    <w:p w14:paraId="6BE4566E" w14:textId="2F32B303" w:rsidR="00C97BEF" w:rsidRDefault="00C97BEF" w:rsidP="00C97BEF">
      <w:pPr>
        <w:ind w:left="360"/>
        <w:rPr>
          <w:u w:val="dotted"/>
        </w:rPr>
      </w:pPr>
      <w:r>
        <w:rPr>
          <w:u w:val="dotted"/>
          <w:rtl/>
        </w:rPr>
        <w:t xml:space="preserve">כשכופין אותו להוציא </w:t>
      </w:r>
      <w:r w:rsidR="00A82951">
        <w:rPr>
          <w:u w:val="dotted"/>
          <w:rtl/>
        </w:rPr>
        <w:t>-</w:t>
      </w:r>
      <w:r>
        <w:rPr>
          <w:u w:val="dotted"/>
          <w:rtl/>
        </w:rPr>
        <w:t xml:space="preserve"> כיצד כופין:</w:t>
      </w:r>
    </w:p>
    <w:p w14:paraId="31D4A5EF" w14:textId="266B57DF" w:rsidR="00C97BEF" w:rsidRDefault="00C97BEF" w:rsidP="006A458D">
      <w:pPr>
        <w:pStyle w:val="ab"/>
        <w:numPr>
          <w:ilvl w:val="0"/>
          <w:numId w:val="123"/>
        </w:numPr>
      </w:pPr>
      <w:r>
        <w:rPr>
          <w:rFonts w:cs="Arial"/>
          <w:rtl/>
        </w:rPr>
        <w:t xml:space="preserve">רשב"א </w:t>
      </w:r>
      <w:r>
        <w:rPr>
          <w:rFonts w:cs="Arial"/>
          <w:sz w:val="16"/>
          <w:szCs w:val="16"/>
          <w:rtl/>
        </w:rPr>
        <w:t>(סי' אלף קצב)</w:t>
      </w:r>
      <w:r w:rsidR="00A82951">
        <w:rPr>
          <w:rFonts w:cs="Arial"/>
          <w:rtl/>
        </w:rPr>
        <w:t>-</w:t>
      </w:r>
      <w:r>
        <w:rPr>
          <w:rFonts w:cs="Arial"/>
          <w:rtl/>
        </w:rPr>
        <w:t xml:space="preserve"> משמע בגמרא (כתובות סד.) דאפילו באה מחמת טענה אין כופין אותו בשוטים לגרש, אלא כותבין עליו אגרת מרד ומוסיף לה על כתובתה שלשה דינרים בשבת, ואין כופין אותו אלא בגביית כתובתה, כלומר שכופין אותו ליתן לה כתובתה עכשיו, ואם לא רצה והוא מורד מוסיף והולך. </w:t>
      </w:r>
    </w:p>
    <w:p w14:paraId="45EE91EC" w14:textId="0A8DB6C4" w:rsidR="00C97BEF" w:rsidRDefault="00C97BEF" w:rsidP="00C97BEF">
      <w:pPr>
        <w:rPr>
          <w:rFonts w:cs="Arial"/>
        </w:rPr>
      </w:pPr>
      <w:r>
        <w:rPr>
          <w:rFonts w:cs="Arial"/>
          <w:b/>
          <w:bCs/>
          <w:rtl/>
        </w:rPr>
        <w:t xml:space="preserve">יבמות </w:t>
      </w:r>
      <w:r>
        <w:rPr>
          <w:rFonts w:cs="Arial"/>
          <w:b/>
          <w:bCs/>
          <w:sz w:val="16"/>
          <w:szCs w:val="16"/>
          <w:rtl/>
        </w:rPr>
        <w:t xml:space="preserve">(ס"פ הבא על יבמתו) </w:t>
      </w:r>
      <w:r>
        <w:rPr>
          <w:rFonts w:cs="Arial"/>
          <w:b/>
          <w:bCs/>
          <w:rtl/>
        </w:rPr>
        <w:t>סה ע"א:</w:t>
      </w:r>
      <w:r>
        <w:rPr>
          <w:rFonts w:cs="Arial"/>
          <w:rtl/>
        </w:rPr>
        <w:t xml:space="preserve"> הוא אמר מינה, והיא אמרה מיניה? </w:t>
      </w:r>
      <w:r>
        <w:rPr>
          <w:rFonts w:cs="Arial"/>
          <w:u w:val="single"/>
          <w:rtl/>
        </w:rPr>
        <w:t>אמר רבי אמי</w:t>
      </w:r>
      <w:r>
        <w:rPr>
          <w:rFonts w:cs="Arial"/>
          <w:rtl/>
        </w:rPr>
        <w:t xml:space="preserve">: דברים שבינו לבינה </w:t>
      </w:r>
      <w:r w:rsidR="00A82951">
        <w:rPr>
          <w:rFonts w:cs="Arial"/>
          <w:rtl/>
        </w:rPr>
        <w:t>-</w:t>
      </w:r>
      <w:r>
        <w:rPr>
          <w:rFonts w:cs="Arial"/>
          <w:rtl/>
        </w:rPr>
        <w:t xml:space="preserve"> נאמנת; וטעמא מאי? היא קיימא לה ביורה כחץ, הוא לא קים ליה ביורה כחץ. אמר איהו: איזיל אינסיב איתתא ואיבדוק נפשאי? </w:t>
      </w:r>
      <w:r>
        <w:rPr>
          <w:rFonts w:cs="Arial"/>
          <w:u w:val="single"/>
          <w:rtl/>
        </w:rPr>
        <w:t>אמר רבי אמי</w:t>
      </w:r>
      <w:r>
        <w:rPr>
          <w:rFonts w:cs="Arial"/>
          <w:rtl/>
        </w:rPr>
        <w:t xml:space="preserve">: אף בזו </w:t>
      </w:r>
      <w:r w:rsidR="00A82951">
        <w:rPr>
          <w:rFonts w:cs="Arial"/>
          <w:rtl/>
        </w:rPr>
        <w:t>-</w:t>
      </w:r>
      <w:r>
        <w:rPr>
          <w:rFonts w:cs="Arial"/>
          <w:rtl/>
        </w:rPr>
        <w:t xml:space="preserve"> יוציא ויתן כתובה, שאני אומר: כל הנושא אשה על אשתו </w:t>
      </w:r>
      <w:r w:rsidR="00A82951">
        <w:rPr>
          <w:rFonts w:cs="Arial"/>
          <w:rtl/>
        </w:rPr>
        <w:t>-</w:t>
      </w:r>
      <w:r>
        <w:rPr>
          <w:rFonts w:cs="Arial"/>
          <w:rtl/>
        </w:rPr>
        <w:t xml:space="preserve"> יוציא ויתן כתובה. </w:t>
      </w:r>
      <w:r>
        <w:rPr>
          <w:rFonts w:cs="Arial"/>
          <w:u w:val="single"/>
          <w:rtl/>
        </w:rPr>
        <w:t>רבא אמר</w:t>
      </w:r>
      <w:r>
        <w:rPr>
          <w:rFonts w:cs="Arial"/>
          <w:rtl/>
        </w:rPr>
        <w:t xml:space="preserve">: נושא אדם כמה נשים על אשתו; והוא, דאית ליה למיזיינינהי. </w:t>
      </w:r>
    </w:p>
    <w:p w14:paraId="6C60EB3D" w14:textId="77777777" w:rsidR="00C97BEF" w:rsidRDefault="00C97BEF" w:rsidP="00C97BEF">
      <w:pPr>
        <w:rPr>
          <w:u w:val="single"/>
          <w:rtl/>
        </w:rPr>
      </w:pPr>
      <w:r>
        <w:rPr>
          <w:u w:val="single"/>
          <w:rtl/>
        </w:rPr>
        <w:t>הוא טוען שהיא אינה ראויה להוליד, והיא טוענת שהוא אינו ראוי:</w:t>
      </w:r>
    </w:p>
    <w:p w14:paraId="5D2D8190" w14:textId="01D5E577"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בא להוציא תוך י' שנים בלא כתובה ואומר שהיא גורמת והיא אומרת שהוא גורם שאינו יורה כחץ </w:t>
      </w:r>
      <w:r w:rsidR="00A82951">
        <w:rPr>
          <w:rFonts w:cs="Arial"/>
          <w:rtl/>
        </w:rPr>
        <w:t>-</w:t>
      </w:r>
      <w:r>
        <w:rPr>
          <w:rFonts w:cs="Arial"/>
          <w:rtl/>
        </w:rPr>
        <w:t xml:space="preserve"> נאמנת וצריך ליתן לה כתובה אם ירצה להוציאה</w:t>
      </w:r>
      <w:r>
        <w:rPr>
          <w:rStyle w:val="a7"/>
          <w:rFonts w:cs="Arial"/>
          <w:rtl/>
        </w:rPr>
        <w:footnoteReference w:id="2805"/>
      </w:r>
      <w:r>
        <w:rPr>
          <w:rFonts w:cs="Arial"/>
          <w:rtl/>
        </w:rPr>
        <w:t xml:space="preserve">... ואם מבקשת תוך העשר שיוציאנה בטענה זו </w:t>
      </w:r>
      <w:r w:rsidR="00A82951">
        <w:rPr>
          <w:rFonts w:cs="Arial"/>
          <w:rtl/>
        </w:rPr>
        <w:t>-</w:t>
      </w:r>
      <w:r>
        <w:rPr>
          <w:rFonts w:cs="Arial"/>
          <w:rtl/>
        </w:rPr>
        <w:t xml:space="preserve"> אינה נאמנת, אלא לאחר העשר היא נאמנת, וכגון שבאה בטענה זו כדפרישית לעיל. </w:t>
      </w:r>
      <w:r>
        <w:rPr>
          <w:color w:val="E36C0A" w:themeColor="accent6" w:themeShade="BF"/>
          <w:rtl/>
        </w:rPr>
        <w:t>(וכ"פ בשו"ע)</w:t>
      </w:r>
    </w:p>
    <w:p w14:paraId="35D05BA3" w14:textId="77777777" w:rsidR="00C97BEF" w:rsidRDefault="00C97BEF" w:rsidP="00C97BEF">
      <w:pPr>
        <w:ind w:left="360"/>
        <w:rPr>
          <w:u w:val="dotted"/>
        </w:rPr>
      </w:pPr>
      <w:r>
        <w:rPr>
          <w:u w:val="dotted"/>
          <w:rtl/>
        </w:rPr>
        <w:t>האם יכול הבעל להחרים כדי לברר אם האמת כדבריה:</w:t>
      </w:r>
    </w:p>
    <w:p w14:paraId="15584C64" w14:textId="3129A0AF" w:rsidR="00C97BEF" w:rsidRDefault="00C97BEF" w:rsidP="006A458D">
      <w:pPr>
        <w:pStyle w:val="ab"/>
        <w:numPr>
          <w:ilvl w:val="0"/>
          <w:numId w:val="123"/>
        </w:numPr>
      </w:pPr>
      <w:r>
        <w:rPr>
          <w:rFonts w:cs="Arial"/>
          <w:rtl/>
        </w:rPr>
        <w:t xml:space="preserve">רמב"ם </w:t>
      </w:r>
      <w:r>
        <w:rPr>
          <w:rFonts w:cs="Arial"/>
          <w:sz w:val="16"/>
          <w:szCs w:val="16"/>
          <w:rtl/>
        </w:rPr>
        <w:t xml:space="preserve">(פט"ו שם ה"ט) </w:t>
      </w:r>
      <w:r>
        <w:rPr>
          <w:rFonts w:cs="Arial"/>
          <w:rtl/>
        </w:rPr>
        <w:t>וטור</w:t>
      </w:r>
      <w:r w:rsidR="00A82951">
        <w:rPr>
          <w:rFonts w:cs="Arial"/>
          <w:rtl/>
        </w:rPr>
        <w:t>-</w:t>
      </w:r>
      <w:r>
        <w:rPr>
          <w:rFonts w:cs="Arial"/>
          <w:rtl/>
        </w:rPr>
        <w:t xml:space="preserve"> ויש לו להחרים על מי שטוענת דבר שאינה יודעת בודאי</w:t>
      </w:r>
      <w:r>
        <w:rPr>
          <w:rFonts w:cs="Arial"/>
          <w:sz w:val="16"/>
          <w:szCs w:val="16"/>
          <w:rtl/>
        </w:rPr>
        <w:t xml:space="preserve"> (ל' הטור)</w:t>
      </w:r>
      <w:r>
        <w:rPr>
          <w:rFonts w:cs="Arial"/>
          <w:rtl/>
        </w:rPr>
        <w:t>.</w:t>
      </w:r>
      <w:r>
        <w:rPr>
          <w:color w:val="E36C0A" w:themeColor="accent6" w:themeShade="BF"/>
          <w:rtl/>
        </w:rPr>
        <w:t xml:space="preserve"> (וכ"פ בשו"ע)</w:t>
      </w:r>
    </w:p>
    <w:p w14:paraId="77775970" w14:textId="77777777" w:rsidR="00C97BEF" w:rsidRDefault="00C97BEF" w:rsidP="00C97BEF">
      <w:pPr>
        <w:ind w:left="360"/>
        <w:rPr>
          <w:u w:val="dotted"/>
        </w:rPr>
      </w:pPr>
      <w:r>
        <w:rPr>
          <w:u w:val="dotted"/>
          <w:rtl/>
        </w:rPr>
        <w:t>ומה הדין אם אומר 'אשא אחרת עליה ואבדוק עצמי':</w:t>
      </w:r>
    </w:p>
    <w:p w14:paraId="38AF17F9" w14:textId="5CECF609" w:rsidR="00C97BEF" w:rsidRDefault="00C97BEF" w:rsidP="006A458D">
      <w:pPr>
        <w:pStyle w:val="ab"/>
        <w:numPr>
          <w:ilvl w:val="0"/>
          <w:numId w:val="123"/>
        </w:numPr>
      </w:pPr>
      <w:r>
        <w:rPr>
          <w:rFonts w:cs="Arial"/>
          <w:rtl/>
        </w:rPr>
        <w:t>טור</w:t>
      </w:r>
      <w:r w:rsidR="00A82951">
        <w:rPr>
          <w:rFonts w:cs="Arial"/>
          <w:rtl/>
        </w:rPr>
        <w:t>-</w:t>
      </w:r>
      <w:r>
        <w:rPr>
          <w:rFonts w:cs="Arial"/>
          <w:rtl/>
        </w:rPr>
        <w:t xml:space="preserve"> ואם הוא אומר אשא אשה אחרת ואבדוק עצמי </w:t>
      </w:r>
      <w:r w:rsidR="00A82951">
        <w:rPr>
          <w:rFonts w:cs="Arial"/>
          <w:rtl/>
        </w:rPr>
        <w:t>-</w:t>
      </w:r>
      <w:r>
        <w:rPr>
          <w:rFonts w:cs="Arial"/>
          <w:rtl/>
        </w:rPr>
        <w:t xml:space="preserve"> שומעין לו, דאמר רבא נושא אדם כמה נשים והוא דאיפשר בסיפוקייהו, ואם ילדה האחרת </w:t>
      </w:r>
      <w:r w:rsidR="00A82951">
        <w:rPr>
          <w:rFonts w:cs="Arial"/>
          <w:rtl/>
        </w:rPr>
        <w:t>-</w:t>
      </w:r>
      <w:r>
        <w:rPr>
          <w:rFonts w:cs="Arial"/>
          <w:rtl/>
        </w:rPr>
        <w:t xml:space="preserve"> יוציא הראשונה בלא כתובה. ואם גם האחרת אומרת שאינו יורה כחץ </w:t>
      </w:r>
      <w:r w:rsidR="00A82951">
        <w:rPr>
          <w:rFonts w:cs="Arial"/>
          <w:rtl/>
        </w:rPr>
        <w:t>-</w:t>
      </w:r>
      <w:r>
        <w:rPr>
          <w:rFonts w:cs="Arial"/>
          <w:rtl/>
        </w:rPr>
        <w:t xml:space="preserve"> יוציא מיד ויתן לה כתובה</w:t>
      </w:r>
      <w:r>
        <w:rPr>
          <w:rStyle w:val="a7"/>
          <w:rFonts w:cs="Arial"/>
          <w:rtl/>
        </w:rPr>
        <w:footnoteReference w:id="2806"/>
      </w:r>
      <w:r>
        <w:rPr>
          <w:rFonts w:cs="Arial"/>
          <w:rtl/>
        </w:rPr>
        <w:t xml:space="preserve"> וגם לראשונה. רוצה לבדוק עוד בשלישית, שומעין לו. ואם גם השלישית אומרת שאינו יורה כחץ </w:t>
      </w:r>
      <w:r w:rsidR="00A82951">
        <w:rPr>
          <w:rFonts w:cs="Arial"/>
          <w:rtl/>
        </w:rPr>
        <w:t>-</w:t>
      </w:r>
      <w:r>
        <w:rPr>
          <w:rFonts w:cs="Arial"/>
          <w:rtl/>
        </w:rPr>
        <w:t xml:space="preserve"> הוחזק ויוציא כולן ויתן לה כתובה. </w:t>
      </w:r>
      <w:r>
        <w:rPr>
          <w:color w:val="E36C0A" w:themeColor="accent6" w:themeShade="BF"/>
          <w:rtl/>
        </w:rPr>
        <w:t>(וכ"פ בשו"ע)</w:t>
      </w:r>
    </w:p>
    <w:p w14:paraId="30376FB8" w14:textId="4BC32FB0" w:rsidR="00C97BEF" w:rsidRDefault="00C97BEF" w:rsidP="006A458D">
      <w:pPr>
        <w:pStyle w:val="ab"/>
        <w:numPr>
          <w:ilvl w:val="0"/>
          <w:numId w:val="123"/>
        </w:numPr>
      </w:pPr>
      <w:r>
        <w:rPr>
          <w:rFonts w:cs="Arial"/>
          <w:rtl/>
        </w:rPr>
        <w:t xml:space="preserve">רמ"ה </w:t>
      </w:r>
      <w:r>
        <w:rPr>
          <w:rFonts w:cs="Arial"/>
          <w:sz w:val="16"/>
          <w:szCs w:val="16"/>
          <w:rtl/>
        </w:rPr>
        <w:t>(כ"כ בשמו הטור ורי"ו [נכ"ג ח"ח ריש סא.])</w:t>
      </w:r>
      <w:r w:rsidR="00A82951">
        <w:rPr>
          <w:rFonts w:cs="Arial"/>
          <w:rtl/>
        </w:rPr>
        <w:t>-</w:t>
      </w:r>
      <w:r>
        <w:rPr>
          <w:rFonts w:cs="Arial"/>
          <w:rtl/>
        </w:rPr>
        <w:t xml:space="preserve"> שבקינן ליה למבדק נפשיה באחריתי, ורשאי לשהות עמה י' שנים, אם ילדה </w:t>
      </w:r>
      <w:r w:rsidR="00A82951">
        <w:rPr>
          <w:rFonts w:cs="Arial"/>
          <w:rtl/>
        </w:rPr>
        <w:t>-</w:t>
      </w:r>
      <w:r>
        <w:rPr>
          <w:rFonts w:cs="Arial"/>
          <w:rtl/>
        </w:rPr>
        <w:t xml:space="preserve"> תצא הראשונה בלא כתובה, ואם לאו </w:t>
      </w:r>
      <w:r w:rsidR="00A82951">
        <w:rPr>
          <w:rFonts w:cs="Arial"/>
          <w:rtl/>
        </w:rPr>
        <w:t>-</w:t>
      </w:r>
      <w:r>
        <w:rPr>
          <w:rFonts w:cs="Arial"/>
          <w:rtl/>
        </w:rPr>
        <w:t xml:space="preserve"> יוציא שתיהן ויתן כתובה או ישא שלישית, והוא דאפשר למיקם בסיפוקייהו</w:t>
      </w:r>
      <w:r>
        <w:rPr>
          <w:rStyle w:val="a7"/>
          <w:rFonts w:cs="Arial"/>
          <w:rtl/>
        </w:rPr>
        <w:footnoteReference w:id="2807"/>
      </w:r>
      <w:r>
        <w:rPr>
          <w:rFonts w:cs="Arial"/>
          <w:rtl/>
        </w:rPr>
        <w:t xml:space="preserve">. </w:t>
      </w:r>
    </w:p>
    <w:p w14:paraId="59C5AB87"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0F52310A" w14:textId="77777777" w:rsidR="00C97BEF" w:rsidRDefault="00C97BEF" w:rsidP="00C97BEF">
      <w:pPr>
        <w:rPr>
          <w:rFonts w:cs="Arial"/>
          <w:rtl/>
        </w:rPr>
      </w:pPr>
      <w:r>
        <w:rPr>
          <w:rFonts w:cs="Arial"/>
          <w:rtl/>
        </w:rPr>
        <w:lastRenderedPageBreak/>
        <w:t xml:space="preserve">האשה שתובעת גט בטענה שאינה ראוייה לבנות ממנו, אין שומעין לה. ואם טענה שחפצה לילד כדי שיהיה לה בן שתשען עליו, </w:t>
      </w:r>
      <w:r>
        <w:rPr>
          <w:rFonts w:cs="Arial"/>
          <w:sz w:val="18"/>
          <w:szCs w:val="18"/>
          <w:rtl/>
        </w:rPr>
        <w:t>[הגה] ואין לה כבר שום בן</w:t>
      </w:r>
      <w:r>
        <w:rPr>
          <w:rStyle w:val="a7"/>
          <w:rFonts w:cs="Arial"/>
          <w:sz w:val="18"/>
          <w:szCs w:val="18"/>
          <w:rtl/>
        </w:rPr>
        <w:footnoteReference w:id="2808"/>
      </w:r>
      <w:r>
        <w:rPr>
          <w:rFonts w:cs="Arial"/>
          <w:sz w:val="18"/>
          <w:szCs w:val="18"/>
          <w:rtl/>
        </w:rPr>
        <w:t xml:space="preserve"> (רי"ו),</w:t>
      </w:r>
      <w:r>
        <w:rPr>
          <w:rFonts w:cs="Arial"/>
          <w:rtl/>
        </w:rPr>
        <w:t xml:space="preserve"> ואומרת שהוא גורם שאינו יורה כחץ, אם שהתה עמו עשר שנים ולא נתעברה, ואינה תובעת כתובתה כדי שנחוש שתובעת גט כדי לגבות כתובתה, וגם אין לתלות תביעות הגט בשום דבר אחר, שומעין לה, אפילו יש לו בנים מאשה אחרת, דשמא נתקלקל אחר כך, וכופין אותו להוציא, ויתן מנה מאתים, אבל לא תוספת, ויתן נדוניתה מה שהכניסה לו. ויש לו להחרים</w:t>
      </w:r>
      <w:r>
        <w:rPr>
          <w:rStyle w:val="a7"/>
          <w:rFonts w:cs="Arial"/>
          <w:rtl/>
        </w:rPr>
        <w:footnoteReference w:id="2809"/>
      </w:r>
      <w:r>
        <w:rPr>
          <w:rFonts w:cs="Arial"/>
          <w:rtl/>
        </w:rPr>
        <w:t xml:space="preserve"> סתם על מה שטוענת דבר שאינה יודעת בו בודאי, ואחר כך יתן כתובה. ואם אמר אשא אשה אחרת עליה ואבדוק עצמי, שומעין לו. ואם ילדה השניה, תצא הראשונה בלא כתובה. ואם לאו, יוציא שתיהן ויתן כתובה, או ישא אשה שלישית אם אפשר ליה למיקם בסיפוקייהו. ויש מי שאומר שאם אמרה גם השניה שאינו יורה כחץ, יוציא שתיהן ויתן כתובה</w:t>
      </w:r>
      <w:r>
        <w:rPr>
          <w:rStyle w:val="a7"/>
          <w:rFonts w:cs="Arial"/>
          <w:rtl/>
        </w:rPr>
        <w:footnoteReference w:id="2810"/>
      </w:r>
      <w:r>
        <w:rPr>
          <w:rFonts w:cs="Arial"/>
          <w:rtl/>
        </w:rPr>
        <w:t>. ובכל גוונא, אם ידוע שהוא עקר, והיא באה מחמת טענה, יוציא מיד</w:t>
      </w:r>
      <w:r>
        <w:rPr>
          <w:rStyle w:val="a7"/>
          <w:rFonts w:cs="Arial"/>
          <w:rtl/>
        </w:rPr>
        <w:footnoteReference w:id="2811"/>
      </w:r>
      <w:r>
        <w:rPr>
          <w:rFonts w:cs="Arial"/>
          <w:rtl/>
        </w:rPr>
        <w:t xml:space="preserve">. </w:t>
      </w:r>
      <w:r>
        <w:rPr>
          <w:rFonts w:cs="Arial"/>
          <w:sz w:val="18"/>
          <w:szCs w:val="18"/>
          <w:rtl/>
        </w:rPr>
        <w:t>הגה: והוא הדין אם שהה י' שנים ולא ילדה, ובאה מחמת טענה, שכופין אותו להוציא ליתן כתובה, והתם לא מהני מה שאומר: אבדוק עצמי ואשא אחרת, דמ"מ לא אבדה הראשונה כתובתה, הואיל ולא הוחזקה בג' אנשים. והא דצריכה לטעון שאינו יורה כחץ, היינו שידוע שהיו לו כבר בנים, אז תלינן בדידה אם לא שטוענת שאינו יורה כחץ, או בבעל השלישי שכבר הוחזקה, כך נראה סברת הטור והוא מסקנת התוס' והאשר"י.</w:t>
      </w:r>
      <w:r>
        <w:rPr>
          <w:rFonts w:cs="Arial"/>
          <w:rtl/>
        </w:rPr>
        <w:t xml:space="preserve"> </w:t>
      </w:r>
    </w:p>
    <w:p w14:paraId="5F2FFBB0" w14:textId="77777777" w:rsidR="00C97BEF" w:rsidRDefault="00C97BEF" w:rsidP="00C97BEF">
      <w:pPr>
        <w:rPr>
          <w:rtl/>
        </w:rPr>
      </w:pPr>
    </w:p>
    <w:p w14:paraId="4ED76B79" w14:textId="77777777" w:rsidR="00C97BEF" w:rsidRDefault="00C97BEF" w:rsidP="00C97BEF">
      <w:pPr>
        <w:pStyle w:val="2"/>
        <w:rPr>
          <w:rtl/>
        </w:rPr>
      </w:pPr>
      <w:r>
        <w:rPr>
          <w:rtl/>
        </w:rPr>
        <w:t>סעיף ז: אשה שטוענת שאין לבעלה גבורת אנשים.</w:t>
      </w:r>
    </w:p>
    <w:p w14:paraId="3942E74F" w14:textId="3FACBBB1" w:rsidR="00C97BEF" w:rsidRDefault="00C97BEF" w:rsidP="00C97BEF">
      <w:pPr>
        <w:rPr>
          <w:rtl/>
        </w:rPr>
      </w:pPr>
      <w:r>
        <w:rPr>
          <w:rFonts w:cs="Arial"/>
          <w:b/>
          <w:bCs/>
          <w:rtl/>
        </w:rPr>
        <w:t xml:space="preserve">נדרים </w:t>
      </w:r>
      <w:r>
        <w:rPr>
          <w:rFonts w:cs="Arial"/>
          <w:b/>
          <w:bCs/>
          <w:sz w:val="16"/>
          <w:szCs w:val="16"/>
          <w:rtl/>
        </w:rPr>
        <w:t>(פ' בתרא)</w:t>
      </w:r>
      <w:r>
        <w:rPr>
          <w:rFonts w:cs="Arial"/>
          <w:b/>
          <w:bCs/>
          <w:rtl/>
        </w:rPr>
        <w:t xml:space="preserve"> צ ע"ב: </w:t>
      </w:r>
      <w:r>
        <w:rPr>
          <w:rFonts w:cs="Arial"/>
          <w:u w:val="double"/>
          <w:rtl/>
        </w:rPr>
        <w:t>מתני'</w:t>
      </w:r>
      <w:r>
        <w:rPr>
          <w:rFonts w:cs="Arial"/>
          <w:rtl/>
        </w:rPr>
        <w:t>: בראשונה היו אומרים, שלש נשים יוצאות ונוטלות כתובה: האומרת טמאה אני לך, שמים ביני לבינך</w:t>
      </w:r>
      <w:r>
        <w:rPr>
          <w:rStyle w:val="a7"/>
          <w:rFonts w:cs="Arial"/>
          <w:rtl/>
        </w:rPr>
        <w:footnoteReference w:id="2812"/>
      </w:r>
      <w:r>
        <w:rPr>
          <w:rFonts w:cs="Arial"/>
          <w:rtl/>
        </w:rPr>
        <w:t xml:space="preserve">, ונטולה אני מן היהודים. חזרו לומר, שלא תהא אשה נותנת עיניה באחר ומקלקלת על בעלה, האומרת טמאה אני לך </w:t>
      </w:r>
      <w:r w:rsidR="00A82951">
        <w:rPr>
          <w:rFonts w:cs="Arial"/>
          <w:rtl/>
        </w:rPr>
        <w:t>-</w:t>
      </w:r>
      <w:r>
        <w:rPr>
          <w:rFonts w:cs="Arial"/>
          <w:rtl/>
        </w:rPr>
        <w:t xml:space="preserve"> תביא ראיה לדבריה. השמים ביני לבינך </w:t>
      </w:r>
      <w:r w:rsidR="00A82951">
        <w:rPr>
          <w:rFonts w:cs="Arial"/>
          <w:rtl/>
        </w:rPr>
        <w:t>-</w:t>
      </w:r>
      <w:r>
        <w:rPr>
          <w:rFonts w:cs="Arial"/>
          <w:rtl/>
        </w:rPr>
        <w:t xml:space="preserve"> יעשו דרך בקשה</w:t>
      </w:r>
      <w:r>
        <w:rPr>
          <w:rStyle w:val="a7"/>
          <w:rFonts w:cs="Arial"/>
          <w:rtl/>
        </w:rPr>
        <w:footnoteReference w:id="2813"/>
      </w:r>
      <w:r>
        <w:rPr>
          <w:rFonts w:cs="Arial"/>
          <w:rtl/>
        </w:rPr>
        <w:t xml:space="preserve">. ונטולה אני מן היהודים </w:t>
      </w:r>
      <w:r w:rsidR="00A82951">
        <w:rPr>
          <w:rFonts w:cs="Arial"/>
          <w:rtl/>
        </w:rPr>
        <w:t>-</w:t>
      </w:r>
      <w:r>
        <w:rPr>
          <w:rFonts w:cs="Arial"/>
          <w:rtl/>
        </w:rPr>
        <w:t xml:space="preserve"> יפר לחלקו ותהא משמשתו, ותהא נטולה מן היהודים.</w:t>
      </w:r>
      <w:r>
        <w:rPr>
          <w:rtl/>
        </w:rPr>
        <w:t xml:space="preserve"> </w:t>
      </w:r>
      <w:r>
        <w:rPr>
          <w:rFonts w:cs="Arial"/>
          <w:rtl/>
        </w:rPr>
        <w:t xml:space="preserve">     </w:t>
      </w:r>
      <w:r>
        <w:rPr>
          <w:rFonts w:cs="Arial"/>
          <w:u w:val="double"/>
          <w:rtl/>
        </w:rPr>
        <w:t>גמ'</w:t>
      </w:r>
      <w:r>
        <w:rPr>
          <w:rFonts w:cs="Arial"/>
          <w:sz w:val="14"/>
          <w:szCs w:val="14"/>
          <w:u w:val="double"/>
          <w:rtl/>
        </w:rPr>
        <w:t>(צא.)</w:t>
      </w:r>
      <w:r>
        <w:rPr>
          <w:rFonts w:cs="Arial"/>
          <w:u w:val="double"/>
          <w:rtl/>
        </w:rPr>
        <w:t>:</w:t>
      </w:r>
      <w:r>
        <w:rPr>
          <w:rFonts w:cs="Arial"/>
          <w:rtl/>
        </w:rPr>
        <w:t xml:space="preserve"> איבעיא להו: אמרה לבעלה גרשתני, מהו? </w:t>
      </w:r>
      <w:r>
        <w:rPr>
          <w:rFonts w:cs="Arial"/>
          <w:u w:val="single"/>
          <w:rtl/>
        </w:rPr>
        <w:t>אמר רב המנונא</w:t>
      </w:r>
      <w:r>
        <w:rPr>
          <w:rFonts w:cs="Arial"/>
          <w:rtl/>
        </w:rPr>
        <w:t xml:space="preserve">: ת"ש: האומרת טמאה אני לך, דאפילו למשנה אחרונה דקתני לא מהימנא, התם הוא דמשקרה, דידעה דבעלה לא ידע בה, אבל גבי גרשתני דידע בה </w:t>
      </w:r>
      <w:r w:rsidR="00A82951">
        <w:rPr>
          <w:rFonts w:cs="Arial"/>
          <w:rtl/>
        </w:rPr>
        <w:t>-</w:t>
      </w:r>
      <w:r>
        <w:rPr>
          <w:rFonts w:cs="Arial"/>
          <w:rtl/>
        </w:rPr>
        <w:t xml:space="preserve"> מהימנא, דחזקה אין אשה מעיזה פניה בפני בעלה... השמים ביני לבינך דמשנה אחרונה תהוי תיובתא דרב המנונא, והא הכא דידעה היא</w:t>
      </w:r>
      <w:r>
        <w:rPr>
          <w:rStyle w:val="a7"/>
          <w:rFonts w:cs="Arial"/>
          <w:rtl/>
        </w:rPr>
        <w:footnoteReference w:id="2814"/>
      </w:r>
      <w:r>
        <w:rPr>
          <w:rFonts w:cs="Arial"/>
          <w:rtl/>
        </w:rPr>
        <w:t xml:space="preserve"> ובעלה ידע בה, וקתני דלא מהימנא! קסבר רב המנונא: הכא נמי היא גופה אמרה נהי דבביאה ידע, ביורה כחץ מי ידע, ומשום הכי משקרא.</w:t>
      </w:r>
      <w:r>
        <w:rPr>
          <w:rFonts w:cs="Arial"/>
          <w:sz w:val="16"/>
          <w:szCs w:val="16"/>
          <w:rtl/>
        </w:rPr>
        <w:t xml:space="preserve"> (</w:t>
      </w:r>
      <w:r>
        <w:rPr>
          <w:sz w:val="16"/>
          <w:szCs w:val="16"/>
          <w:rtl/>
        </w:rPr>
        <w:t xml:space="preserve">וכתבו התוס' (ד"ה </w:t>
      </w:r>
      <w:r>
        <w:rPr>
          <w:rFonts w:cs="Arial"/>
          <w:sz w:val="16"/>
          <w:szCs w:val="16"/>
          <w:rtl/>
        </w:rPr>
        <w:t>קסבר רב המנונא נהי דבביאה ידע)</w:t>
      </w:r>
      <w:r w:rsidR="003430E5">
        <w:rPr>
          <w:rFonts w:cs="Arial" w:hint="cs"/>
          <w:sz w:val="16"/>
          <w:szCs w:val="16"/>
          <w:rtl/>
        </w:rPr>
        <w:t>:</w:t>
      </w:r>
      <w:r>
        <w:rPr>
          <w:rFonts w:cs="Arial"/>
          <w:sz w:val="16"/>
          <w:szCs w:val="16"/>
          <w:rtl/>
        </w:rPr>
        <w:t xml:space="preserve"> כלומר נהי דיודע שפולט הזרע ביורה כחץ מי ידע ולכך מעיזה, אבל לומר גרשתני דבעלה ידע אי משקרא מהימנא. פסק ריצב"א דהלכה כרב המנונא דבכמה מקומות בהש"ס מביא דבריו... ויש ללמוד על אשה שטוענת שבעלה אינו יכול להתקשות או שאינו בקי בדרך ארץ </w:t>
      </w:r>
      <w:r w:rsidR="00A82951">
        <w:rPr>
          <w:rFonts w:cs="Arial"/>
          <w:sz w:val="16"/>
          <w:szCs w:val="16"/>
          <w:rtl/>
        </w:rPr>
        <w:t>-</w:t>
      </w:r>
      <w:r>
        <w:rPr>
          <w:rFonts w:cs="Arial"/>
          <w:sz w:val="16"/>
          <w:szCs w:val="16"/>
          <w:rtl/>
        </w:rPr>
        <w:t xml:space="preserve"> דנאמנת, דבדבר שיש לו לבעל לידע אינה מעיזה פניה ויוציא ויתן כתובה. ולא מיבעיא אי באה מחמת הטענה, כגון דאמרה בעינא חוטרא לידא ומרא לקבורה, אלא אפילו בלא טענה נמי יכולה היא לומר אינו מקיים מצות עונה, וגדולה מזאת אמרו האומר אי אפשי אלא הוא בבגדו והיא בבגדה יוציא ויתן כתובה, וכ"ש בזה. ודווקא כשהוא מגרשה ואינה תובעת כתובתה, אבל אם צועקת כשרוצה לגרשה שיתן לה כתובה </w:t>
      </w:r>
      <w:r w:rsidR="00A82951">
        <w:rPr>
          <w:rFonts w:cs="Arial"/>
          <w:sz w:val="16"/>
          <w:szCs w:val="16"/>
          <w:rtl/>
        </w:rPr>
        <w:t>-</w:t>
      </w:r>
      <w:r>
        <w:rPr>
          <w:rFonts w:cs="Arial"/>
          <w:sz w:val="16"/>
          <w:szCs w:val="16"/>
          <w:rtl/>
        </w:rPr>
        <w:t xml:space="preserve"> אינה נאמנת דיש לחוש שמא נתנה עיניה (באחר) בכתובה... ואם טוענת האשה שאין זרעו יורה כחץ </w:t>
      </w:r>
      <w:r w:rsidR="00A82951">
        <w:rPr>
          <w:rFonts w:cs="Arial"/>
          <w:sz w:val="16"/>
          <w:szCs w:val="16"/>
          <w:rtl/>
        </w:rPr>
        <w:t>-</w:t>
      </w:r>
      <w:r>
        <w:rPr>
          <w:rFonts w:cs="Arial"/>
          <w:sz w:val="16"/>
          <w:szCs w:val="16"/>
          <w:rtl/>
        </w:rPr>
        <w:t xml:space="preserve"> אינה נאמנת, כמו למשנה אחרונה. כללא דמילתא כל מילי דיכול בעל לידע ומכחישתו </w:t>
      </w:r>
      <w:r w:rsidR="00A82951">
        <w:rPr>
          <w:rFonts w:cs="Arial"/>
          <w:sz w:val="16"/>
          <w:szCs w:val="16"/>
          <w:rtl/>
        </w:rPr>
        <w:t>-</w:t>
      </w:r>
      <w:r>
        <w:rPr>
          <w:rFonts w:cs="Arial"/>
          <w:sz w:val="16"/>
          <w:szCs w:val="16"/>
          <w:rtl/>
        </w:rPr>
        <w:t xml:space="preserve"> נאמנת. אבל במילי שאין בעל יכול לידע </w:t>
      </w:r>
      <w:r w:rsidR="00A82951">
        <w:rPr>
          <w:rFonts w:cs="Arial"/>
          <w:sz w:val="16"/>
          <w:szCs w:val="16"/>
          <w:rtl/>
        </w:rPr>
        <w:t>-</w:t>
      </w:r>
      <w:r>
        <w:rPr>
          <w:rFonts w:cs="Arial"/>
          <w:sz w:val="16"/>
          <w:szCs w:val="16"/>
          <w:rtl/>
        </w:rPr>
        <w:t xml:space="preserve"> אינה נאמנת. והילכך כשטוענת שאינו יכול להתקשות </w:t>
      </w:r>
      <w:r w:rsidR="00A82951">
        <w:rPr>
          <w:rFonts w:cs="Arial"/>
          <w:sz w:val="16"/>
          <w:szCs w:val="16"/>
          <w:rtl/>
        </w:rPr>
        <w:t>-</w:t>
      </w:r>
      <w:r>
        <w:rPr>
          <w:rFonts w:cs="Arial"/>
          <w:sz w:val="16"/>
          <w:szCs w:val="16"/>
          <w:rtl/>
        </w:rPr>
        <w:t xml:space="preserve"> יוציא ויתן כתובה. ואומר ריצב"א דלא תטול רק מנה מאתים, אבל תוספת אין לה כדאמר פרק אף על פי מן הנשואין גובה את הכל מן האירוסין אינו גובה אלא מנה מאתים שלא כתב אלא ע"מ לכונסה... וכן מי שאינו בריא להתקשות... וגם מה שהכניסה בנדוניא לא תטול רק בצמצום מה שהביאה אלא מה שרגילין לכתוב נדוניא דהנעלת ליה דכותבין יותר ממה שהכניסה לו דגם זה מן התוספת יש לה ולא תטול. כך פסק ריצב"א בתשובות סתם דבריו. עכ"ל. וכ"כ התוס' ביבמות (סה. ריש וסוף ד"ה שבינו). ועיין בדברי הר"ן (צא. ד"ה ולענין) ובתשובת הרשב"א (סי' תרכח), ובדברי הרמב"ם והרב המגיד בפ"י"ד מהלכות אישות (הט"ז), ב"י)</w:t>
      </w:r>
    </w:p>
    <w:p w14:paraId="56B0A02F" w14:textId="77777777" w:rsidR="00C97BEF" w:rsidRDefault="00C97BEF" w:rsidP="00C97BEF">
      <w:pPr>
        <w:rPr>
          <w:rFonts w:cs="Arial"/>
          <w:rtl/>
        </w:rPr>
      </w:pPr>
      <w:r>
        <w:rPr>
          <w:rFonts w:cs="Arial"/>
          <w:b/>
          <w:bCs/>
          <w:rtl/>
        </w:rPr>
        <w:t>ירושלמי נדרים פי"א הי"ב:</w:t>
      </w:r>
      <w:r>
        <w:rPr>
          <w:rFonts w:cs="Arial"/>
          <w:rtl/>
        </w:rPr>
        <w:t xml:space="preserve"> שמים ביני לבינך. כמא דשמיא רחיקין מן ארעא כן תהא האי איתתא רחיקא מן ההוא גברא. יעשו דרך בקשה. </w:t>
      </w:r>
      <w:r>
        <w:rPr>
          <w:rFonts w:cs="Arial"/>
          <w:u w:val="single"/>
          <w:rtl/>
        </w:rPr>
        <w:t>אמר רב הונא</w:t>
      </w:r>
      <w:r>
        <w:rPr>
          <w:rFonts w:cs="Arial"/>
          <w:rtl/>
        </w:rPr>
        <w:t xml:space="preserve">: יעשו סעודה והן מתרגלין לבוא דרך סעודה. </w:t>
      </w:r>
      <w:r>
        <w:rPr>
          <w:rFonts w:cs="Arial"/>
          <w:sz w:val="16"/>
          <w:szCs w:val="16"/>
          <w:rtl/>
        </w:rPr>
        <w:t>(משמע שטוענת שאינו משמש עמה לפי שאינו יכול או לפי שאינו רוצה, ב"י)</w:t>
      </w:r>
      <w:r>
        <w:rPr>
          <w:rFonts w:cs="Arial"/>
          <w:rtl/>
        </w:rPr>
        <w:t xml:space="preserve"> </w:t>
      </w:r>
    </w:p>
    <w:p w14:paraId="50FE06C9" w14:textId="77777777" w:rsidR="00C97BEF" w:rsidRDefault="00C97BEF" w:rsidP="00C97BEF">
      <w:pPr>
        <w:rPr>
          <w:u w:val="single"/>
          <w:rtl/>
        </w:rPr>
      </w:pPr>
      <w:r>
        <w:rPr>
          <w:u w:val="single"/>
          <w:rtl/>
        </w:rPr>
        <w:t>אשה שטוענת שאין לבעלה גבורת אנשים</w:t>
      </w:r>
      <w:r>
        <w:rPr>
          <w:sz w:val="16"/>
          <w:szCs w:val="16"/>
          <w:u w:val="single"/>
          <w:rtl/>
        </w:rPr>
        <w:t xml:space="preserve"> (או שאינו בא עליה</w:t>
      </w:r>
      <w:r>
        <w:rPr>
          <w:rStyle w:val="a7"/>
          <w:sz w:val="16"/>
          <w:szCs w:val="16"/>
          <w:u w:val="single"/>
          <w:rtl/>
        </w:rPr>
        <w:footnoteReference w:id="2815"/>
      </w:r>
      <w:r>
        <w:rPr>
          <w:sz w:val="16"/>
          <w:szCs w:val="16"/>
          <w:u w:val="single"/>
          <w:rtl/>
        </w:rPr>
        <w:t>)</w:t>
      </w:r>
      <w:r>
        <w:rPr>
          <w:u w:val="single"/>
          <w:rtl/>
        </w:rPr>
        <w:t>:</w:t>
      </w:r>
    </w:p>
    <w:p w14:paraId="3C573372" w14:textId="3AB934FE" w:rsidR="00C97BEF" w:rsidRDefault="00C97BEF" w:rsidP="006A458D">
      <w:pPr>
        <w:pStyle w:val="ab"/>
        <w:numPr>
          <w:ilvl w:val="0"/>
          <w:numId w:val="123"/>
        </w:numPr>
        <w:rPr>
          <w:rtl/>
        </w:rPr>
      </w:pPr>
      <w:r>
        <w:rPr>
          <w:rFonts w:cs="Arial"/>
          <w:rtl/>
        </w:rPr>
        <w:lastRenderedPageBreak/>
        <w:t>טור</w:t>
      </w:r>
      <w:r w:rsidR="00A82951">
        <w:rPr>
          <w:rFonts w:cs="Arial"/>
          <w:rtl/>
        </w:rPr>
        <w:t>-</w:t>
      </w:r>
      <w:r>
        <w:rPr>
          <w:rFonts w:cs="Arial"/>
          <w:rtl/>
        </w:rPr>
        <w:t xml:space="preserve"> ואם טוענת שאין לו גבורת אנשים לבא עליה כדרך כל הארץ ושואלת גט, והוא מכחישה </w:t>
      </w:r>
      <w:r w:rsidR="00A82951">
        <w:rPr>
          <w:rFonts w:cs="Arial"/>
          <w:rtl/>
        </w:rPr>
        <w:t>-</w:t>
      </w:r>
      <w:r>
        <w:rPr>
          <w:rFonts w:cs="Arial"/>
          <w:rtl/>
        </w:rPr>
        <w:t xml:space="preserve"> נאמנת היא, וכופין אותו להוציא מיד אפילו בתוך י' שנים, דכיון שטוענת טענה שהבעל יודע אם הוא אמת אם לאו לא היתה מעיזה פניה בפניו אם אינו אמת</w:t>
      </w:r>
      <w:r>
        <w:rPr>
          <w:rStyle w:val="a7"/>
          <w:rFonts w:cs="Arial"/>
          <w:rtl/>
        </w:rPr>
        <w:footnoteReference w:id="2816"/>
      </w:r>
      <w:r>
        <w:rPr>
          <w:rFonts w:cs="Arial"/>
          <w:rtl/>
        </w:rPr>
        <w:t xml:space="preserve">. אבל לא יתן כתובה, כיון שהוא מכחישה. ואם מגרשה מעצמו בלא כפייה </w:t>
      </w:r>
      <w:r w:rsidR="00A82951">
        <w:rPr>
          <w:rFonts w:cs="Arial"/>
          <w:rtl/>
        </w:rPr>
        <w:t>-</w:t>
      </w:r>
      <w:r>
        <w:rPr>
          <w:rFonts w:cs="Arial"/>
          <w:rtl/>
        </w:rPr>
        <w:t xml:space="preserve"> יתן לה כתובה</w:t>
      </w:r>
      <w:r>
        <w:rPr>
          <w:rStyle w:val="a7"/>
          <w:rFonts w:cs="Arial"/>
          <w:rtl/>
        </w:rPr>
        <w:footnoteReference w:id="2817"/>
      </w:r>
      <w:r>
        <w:rPr>
          <w:rFonts w:cs="Arial"/>
          <w:rtl/>
        </w:rPr>
        <w:t>. בד"א כשאין תובעת כתובתה</w:t>
      </w:r>
      <w:r>
        <w:rPr>
          <w:rStyle w:val="a7"/>
          <w:rFonts w:cs="Arial"/>
          <w:rtl/>
        </w:rPr>
        <w:footnoteReference w:id="2818"/>
      </w:r>
      <w:r>
        <w:rPr>
          <w:rFonts w:cs="Arial"/>
          <w:rtl/>
        </w:rPr>
        <w:t xml:space="preserve">, אבל אם תובעת כתובתה </w:t>
      </w:r>
      <w:r w:rsidR="00A82951">
        <w:rPr>
          <w:rFonts w:cs="Arial"/>
          <w:rtl/>
        </w:rPr>
        <w:t>-</w:t>
      </w:r>
      <w:r>
        <w:rPr>
          <w:rFonts w:cs="Arial"/>
          <w:rtl/>
        </w:rPr>
        <w:t xml:space="preserve"> אינה נאמנת, ואף להוציא אין כופין. </w:t>
      </w:r>
      <w:r>
        <w:rPr>
          <w:color w:val="E36C0A" w:themeColor="accent6" w:themeShade="BF"/>
          <w:rtl/>
        </w:rPr>
        <w:t>(וכ"כ בשו"ע)</w:t>
      </w:r>
    </w:p>
    <w:p w14:paraId="785D81DD" w14:textId="2FE30BA5" w:rsidR="00C97BEF" w:rsidRDefault="00C97BEF" w:rsidP="006A458D">
      <w:pPr>
        <w:pStyle w:val="ab"/>
        <w:numPr>
          <w:ilvl w:val="0"/>
          <w:numId w:val="123"/>
        </w:numPr>
      </w:pPr>
      <w:r>
        <w:rPr>
          <w:rFonts w:cs="Arial"/>
          <w:rtl/>
        </w:rPr>
        <w:t xml:space="preserve">רמב"ם </w:t>
      </w:r>
      <w:r>
        <w:rPr>
          <w:rFonts w:cs="Arial"/>
          <w:sz w:val="16"/>
          <w:szCs w:val="16"/>
          <w:rtl/>
        </w:rPr>
        <w:t>(פט"ו מאישות הט"ו)</w:t>
      </w:r>
      <w:r w:rsidR="00A82951">
        <w:rPr>
          <w:rFonts w:cs="Arial"/>
          <w:rtl/>
        </w:rPr>
        <w:t>-</w:t>
      </w:r>
      <w:r>
        <w:rPr>
          <w:rFonts w:cs="Arial"/>
          <w:rtl/>
        </w:rPr>
        <w:t xml:space="preserve"> האשה שבאה לבית דין ואמרה בעלי אינו יכול לשמש כדרך כל הארץ שמוש שמוליד או שאינו יורה כחץ, יעשו הדיינין פשרה, ואומרים לה ראוי ליך שתנהגי עם בעליך עד שתשהי עשר שנים ולא תולידי ואחר כך תתבעי. ומגלגלין עמה בדבר זה. ואין כופין אותה לישב, ולא דנין אותה דין מורדת, אלא מאריכין בדבר זה עד שיעשו פשרה. </w:t>
      </w:r>
    </w:p>
    <w:p w14:paraId="364BF93E" w14:textId="2147F042" w:rsidR="00C97BEF" w:rsidRDefault="00C97BEF" w:rsidP="006A458D">
      <w:pPr>
        <w:pStyle w:val="ab"/>
        <w:numPr>
          <w:ilvl w:val="0"/>
          <w:numId w:val="123"/>
        </w:numPr>
      </w:pPr>
      <w:r>
        <w:rPr>
          <w:rFonts w:cs="Arial"/>
          <w:rtl/>
        </w:rPr>
        <w:t xml:space="preserve">רשב"א </w:t>
      </w:r>
      <w:r>
        <w:rPr>
          <w:rFonts w:cs="Arial"/>
          <w:sz w:val="16"/>
          <w:szCs w:val="16"/>
          <w:rtl/>
        </w:rPr>
        <w:t>(במיוחסות סי' קמא)</w:t>
      </w:r>
      <w:r w:rsidR="00A82951">
        <w:rPr>
          <w:rFonts w:cs="Arial"/>
          <w:rtl/>
        </w:rPr>
        <w:t>-</w:t>
      </w:r>
      <w:r>
        <w:rPr>
          <w:rFonts w:cs="Arial"/>
          <w:rtl/>
        </w:rPr>
        <w:t xml:space="preserve"> האומרת על בעלה שאינו יכול נראה לי דהכל יודעים כלה למה נכנסה לחופה (כתובות ח:) ועל דעת כן נישאת לו, הילכך אפילו טוענת סתם כיון שאינו יכול יוציאני בגט </w:t>
      </w:r>
      <w:r w:rsidR="00A82951">
        <w:rPr>
          <w:rFonts w:cs="Arial"/>
          <w:rtl/>
        </w:rPr>
        <w:t>-</w:t>
      </w:r>
      <w:r>
        <w:rPr>
          <w:rFonts w:cs="Arial"/>
          <w:rtl/>
        </w:rPr>
        <w:t xml:space="preserve"> שומעין לה. וכל שכן בבאה מחמת טענה דאמרה בעינא חוטרא לידא וכו'</w:t>
      </w:r>
      <w:r>
        <w:rPr>
          <w:rStyle w:val="a7"/>
          <w:rFonts w:cs="Arial"/>
          <w:rtl/>
        </w:rPr>
        <w:footnoteReference w:id="2819"/>
      </w:r>
      <w:r>
        <w:rPr>
          <w:rFonts w:cs="Arial"/>
          <w:rtl/>
        </w:rPr>
        <w:t xml:space="preserve">. </w:t>
      </w:r>
    </w:p>
    <w:p w14:paraId="1BA5800A" w14:textId="2481B4B8" w:rsidR="00C97BEF" w:rsidRDefault="00C97BEF" w:rsidP="006A458D">
      <w:pPr>
        <w:pStyle w:val="ab"/>
        <w:numPr>
          <w:ilvl w:val="0"/>
          <w:numId w:val="123"/>
        </w:numPr>
      </w:pPr>
      <w:r>
        <w:rPr>
          <w:rFonts w:cs="Arial"/>
          <w:rtl/>
        </w:rPr>
        <w:t xml:space="preserve">רשב"א </w:t>
      </w:r>
      <w:r>
        <w:rPr>
          <w:rFonts w:cs="Arial"/>
          <w:sz w:val="16"/>
          <w:szCs w:val="16"/>
          <w:rtl/>
        </w:rPr>
        <w:t>(החדשות מכ"י סי' ריד)</w:t>
      </w:r>
      <w:r w:rsidR="00A82951">
        <w:rPr>
          <w:rFonts w:cs="Arial"/>
          <w:rtl/>
        </w:rPr>
        <w:t>-</w:t>
      </w:r>
      <w:r>
        <w:rPr>
          <w:rFonts w:cs="Arial"/>
          <w:rtl/>
        </w:rPr>
        <w:t xml:space="preserve"> בטוענת אינו יכול בעניותינו אין בידינו ראיה מכרחת אם כופין אותו להוציא למשנה אחרונה אם לאו. לפי שמשנה ששנינו בה (נדרים צ:) השמים ביני לבינך פירשו בירושלמי (שם פי"א הי"ב) בטוענת שאינו יכול. וכן נראה מן ההגדה (עיין תוספתא סוטה פ"ה ה"ז) שאמרה שרה לאברהם השמים ביני לבינך, ר"ל שריחקה מחמת הגר. ולפי זה למשנה אחרונה (נדרים שם) אין כופין. אבל למקצת מפרשים ומכללם ר"י השמים ביני לבינך ר"ל שאינו יורה כחץ שאין מכיר בו אלא שמים, ובהא אין כופין. אבל באינו יכול </w:t>
      </w:r>
      <w:r w:rsidR="00A82951">
        <w:rPr>
          <w:rFonts w:cs="Arial"/>
          <w:rtl/>
        </w:rPr>
        <w:t>-</w:t>
      </w:r>
      <w:r>
        <w:rPr>
          <w:rFonts w:cs="Arial"/>
          <w:rtl/>
        </w:rPr>
        <w:t xml:space="preserve"> כופין להוציא, ואפילו באה בלא טענה, שזה מעיקר הזיווג שלא על דעת כן נכנסה, ועוד שהוא עובר על מצות עשה, ואפילו באומר הוא בבגדו והיא בבגדה כופין אותו להוציא (כתובות מח.), כל שכן מי שאינו נזקק לה כלל. ובדברים אלו וכיוצא באלו אין לדיין אלא מה שעיניו רואות (סנהדרין ו:) והוא שיהיה בית דין חשוב וראוי לסמוך על הכרעתו</w:t>
      </w:r>
      <w:r>
        <w:rPr>
          <w:rStyle w:val="a7"/>
          <w:rFonts w:cs="Arial"/>
          <w:rtl/>
        </w:rPr>
        <w:footnoteReference w:id="2820"/>
      </w:r>
      <w:r>
        <w:rPr>
          <w:rFonts w:cs="Arial"/>
          <w:rtl/>
        </w:rPr>
        <w:t xml:space="preserve">. </w:t>
      </w:r>
    </w:p>
    <w:p w14:paraId="372DC22C" w14:textId="13432EDF" w:rsidR="00C97BEF" w:rsidRDefault="00C97BEF" w:rsidP="006A458D">
      <w:pPr>
        <w:pStyle w:val="ab"/>
        <w:numPr>
          <w:ilvl w:val="0"/>
          <w:numId w:val="123"/>
        </w:numPr>
      </w:pPr>
      <w:r>
        <w:rPr>
          <w:rFonts w:cs="Arial"/>
          <w:rtl/>
        </w:rPr>
        <w:t>רשב"א</w:t>
      </w:r>
      <w:r>
        <w:rPr>
          <w:rFonts w:cs="Arial"/>
          <w:sz w:val="16"/>
          <w:szCs w:val="16"/>
          <w:rtl/>
        </w:rPr>
        <w:t xml:space="preserve"> (ח"ד סי' תיד)</w:t>
      </w:r>
      <w:r w:rsidR="00A82951">
        <w:rPr>
          <w:rFonts w:cs="Arial"/>
          <w:rtl/>
        </w:rPr>
        <w:t>-</w:t>
      </w:r>
      <w:r>
        <w:rPr>
          <w:rFonts w:cs="Arial"/>
          <w:rtl/>
        </w:rPr>
        <w:t xml:space="preserve"> הטוענת על בעלה שאינו יכול והיא רוצה להתגרש ממנו מחמת כך, שואלין ממנה בית דין ואומרים לה: תפרשי מה שאמרת שאינו יכול. אם אומרת שהוא משמש אבל אינו יורה כחץ </w:t>
      </w:r>
      <w:r w:rsidR="00A82951">
        <w:rPr>
          <w:rFonts w:cs="Arial"/>
          <w:rtl/>
        </w:rPr>
        <w:t>-</w:t>
      </w:r>
      <w:r>
        <w:rPr>
          <w:rFonts w:cs="Arial"/>
          <w:rtl/>
        </w:rPr>
        <w:t xml:space="preserve"> אינה נאמנת. אבל אם אמרה שאינו יכול כלל </w:t>
      </w:r>
      <w:r w:rsidR="00A82951">
        <w:rPr>
          <w:rFonts w:cs="Arial"/>
          <w:rtl/>
        </w:rPr>
        <w:t>-</w:t>
      </w:r>
      <w:r>
        <w:rPr>
          <w:rFonts w:cs="Arial"/>
          <w:rtl/>
        </w:rPr>
        <w:t xml:space="preserve"> נאמנת. ומכל מקום בית דין באין עליה דרך בקשה ואומרים לה תני דעתך על בעלך שמא מתוך איבה אין אתם נכנסים לחדר, ועושים להם סעודה שמא מתוך כך יתנו דעתם זה על זה. ואם אינה רוצה ואינה שומעת להם אלא שרוצה להתגרש מפני טענה זו, מבקשים מן הבעל לגרש, ואם לא רצה </w:t>
      </w:r>
      <w:r w:rsidR="00A82951">
        <w:rPr>
          <w:rFonts w:cs="Arial"/>
          <w:rtl/>
        </w:rPr>
        <w:t>-</w:t>
      </w:r>
      <w:r>
        <w:rPr>
          <w:rFonts w:cs="Arial"/>
          <w:rtl/>
        </w:rPr>
        <w:t xml:space="preserve"> כופין אותו ליתן כתובה, אבל אין כופין אותו לגרש, אלא יכולים בית דין לאיים עליו בדברים ובלבד שלא ינדוהו ולא יבזוהו ולא יצערו אותו בגופו</w:t>
      </w:r>
      <w:r>
        <w:rPr>
          <w:rStyle w:val="a7"/>
          <w:rFonts w:cs="Arial"/>
          <w:rtl/>
        </w:rPr>
        <w:footnoteReference w:id="2821"/>
      </w:r>
      <w:r>
        <w:rPr>
          <w:rFonts w:cs="Arial"/>
          <w:rtl/>
        </w:rPr>
        <w:t xml:space="preserve">. ויש מגדולי רבני צרפת </w:t>
      </w:r>
      <w:r>
        <w:rPr>
          <w:rFonts w:cs="Arial"/>
          <w:sz w:val="16"/>
          <w:szCs w:val="16"/>
          <w:rtl/>
        </w:rPr>
        <w:t xml:space="preserve">(ריצב"א בתשובות מיימוניות בסוף ספר נשים סי' ו ובתוספות יבמות סה: ד"ה כי הא, נדרים צא. ד"ה קסבר רב המנונא) </w:t>
      </w:r>
      <w:r>
        <w:rPr>
          <w:rFonts w:cs="Arial"/>
          <w:rtl/>
        </w:rPr>
        <w:t xml:space="preserve">שאומרים שזה שאנו אומרים שאם לא רצה לגרש כופין ליתן כתובה </w:t>
      </w:r>
      <w:r w:rsidR="00A82951">
        <w:rPr>
          <w:rFonts w:cs="Arial"/>
          <w:rtl/>
        </w:rPr>
        <w:t>-</w:t>
      </w:r>
      <w:r>
        <w:rPr>
          <w:rFonts w:cs="Arial"/>
          <w:rtl/>
        </w:rPr>
        <w:t xml:space="preserve"> היינו דוקא כשאינה מזכרת פרעון כתובה, אבל אם אמרה אינו יכול לשמש על כן יגרשני ויתן לי כתובתי </w:t>
      </w:r>
      <w:r w:rsidR="00A82951">
        <w:rPr>
          <w:rFonts w:cs="Arial"/>
          <w:rtl/>
        </w:rPr>
        <w:t>-</w:t>
      </w:r>
      <w:r>
        <w:rPr>
          <w:rFonts w:cs="Arial"/>
          <w:rtl/>
        </w:rPr>
        <w:t xml:space="preserve"> אינה נאמנת. ולענין כתובה אמרו שאינו נותן לה תוספת, ואפילו תפסה מוציאין מידה</w:t>
      </w:r>
      <w:r>
        <w:rPr>
          <w:rStyle w:val="a7"/>
          <w:rFonts w:cs="Arial"/>
          <w:rtl/>
        </w:rPr>
        <w:footnoteReference w:id="2822"/>
      </w:r>
      <w:r>
        <w:rPr>
          <w:rFonts w:cs="Arial"/>
          <w:rtl/>
        </w:rPr>
        <w:t xml:space="preserve">. </w:t>
      </w:r>
    </w:p>
    <w:p w14:paraId="717ED0D9" w14:textId="77777777" w:rsidR="00C97BEF" w:rsidRDefault="00C97BEF" w:rsidP="00C97BEF">
      <w:pPr>
        <w:rPr>
          <w:u w:val="single"/>
        </w:rPr>
      </w:pPr>
      <w:r>
        <w:rPr>
          <w:u w:val="single"/>
          <w:rtl/>
        </w:rPr>
        <w:t xml:space="preserve">האם כדי לומר </w:t>
      </w:r>
      <w:r>
        <w:rPr>
          <w:rFonts w:cs="Arial"/>
          <w:u w:val="single"/>
          <w:rtl/>
        </w:rPr>
        <w:t>'אין אשה מעיזה פניה בפני בעלה' בעינן שתאמר כן לבעלה בפני בית הדין:</w:t>
      </w:r>
    </w:p>
    <w:p w14:paraId="291EFDE2" w14:textId="18AD3269" w:rsidR="00C97BEF" w:rsidRDefault="00C97BEF" w:rsidP="006A458D">
      <w:pPr>
        <w:pStyle w:val="ab"/>
        <w:numPr>
          <w:ilvl w:val="0"/>
          <w:numId w:val="123"/>
        </w:numPr>
      </w:pPr>
      <w:r>
        <w:rPr>
          <w:rFonts w:cs="Arial"/>
          <w:rtl/>
        </w:rPr>
        <w:t xml:space="preserve">תשב"ץ </w:t>
      </w:r>
      <w:r>
        <w:rPr>
          <w:rFonts w:cs="Arial"/>
          <w:sz w:val="16"/>
          <w:szCs w:val="16"/>
          <w:rtl/>
        </w:rPr>
        <w:t>(ח"א סי' א)</w:t>
      </w:r>
      <w:r w:rsidR="00A82951">
        <w:rPr>
          <w:rFonts w:cs="Arial"/>
          <w:rtl/>
        </w:rPr>
        <w:t>-</w:t>
      </w:r>
      <w:r>
        <w:rPr>
          <w:rFonts w:cs="Arial"/>
          <w:rtl/>
        </w:rPr>
        <w:t xml:space="preserve"> כל שלא באו איש ואשתו יחד לדין ולא העיזה כן בפניו, אע"פ שאמרה כן שלא בפניו ונתפרסמו הדברים </w:t>
      </w:r>
      <w:r w:rsidR="00A82951">
        <w:rPr>
          <w:rFonts w:cs="Arial"/>
          <w:rtl/>
        </w:rPr>
        <w:t>-</w:t>
      </w:r>
      <w:r>
        <w:rPr>
          <w:rFonts w:cs="Arial"/>
          <w:rtl/>
        </w:rPr>
        <w:t xml:space="preserve"> אינה נאמנת בכך</w:t>
      </w:r>
      <w:r>
        <w:rPr>
          <w:rStyle w:val="a7"/>
          <w:rFonts w:cs="Arial"/>
          <w:rtl/>
        </w:rPr>
        <w:footnoteReference w:id="2823"/>
      </w:r>
      <w:r>
        <w:rPr>
          <w:rFonts w:cs="Arial"/>
          <w:rtl/>
        </w:rPr>
        <w:t xml:space="preserve">, דכל שלא בפניו מעיזה ומעיזה (גיטין פט:). דאפילו בפניו קשה הדבר להאמינה, אלא שהר"י כתב כן בתשובה והסכימו עמו האחרונים ז"ל, אע"פ שהרמב"ן נראה שמפקפק בדבר בחידושי יבמות שלו (קיב. סוד"ה הא), אבל מכל מקום צריכין אנו קודם שנאמין אותה שנשמע שתאמר כן בפני בעלה. אבל שלא בפניו באיזה ענין שיהיה לא, והבו דלא לוסיף עלה. ועוד אפילו העיזה בפניו, אי נמי הודה מעצמו כן, אפילו הכי לא היה הדין נותן לכופו לאלתר אי טעין איזיל ואבדוק נפשאי כשאכנס עמה לסתר </w:t>
      </w:r>
      <w:r>
        <w:rPr>
          <w:rFonts w:cs="Arial"/>
          <w:rtl/>
        </w:rPr>
        <w:lastRenderedPageBreak/>
        <w:t xml:space="preserve">זמן אחר, או אם טען שזה מום עובר על ידי רפואות קרובות להועיל וכמה טענות אחרות. וכיון שכן, אם כפוהו קודם טענותיהם בבית דין ועמדו זה אצל זה </w:t>
      </w:r>
      <w:r w:rsidR="00A82951">
        <w:rPr>
          <w:rFonts w:cs="Arial"/>
          <w:rtl/>
        </w:rPr>
        <w:t>-</w:t>
      </w:r>
      <w:r>
        <w:rPr>
          <w:rFonts w:cs="Arial"/>
          <w:rtl/>
        </w:rPr>
        <w:t xml:space="preserve"> הוי גט מעושה שלא כדין (שם פח:)</w:t>
      </w:r>
      <w:r>
        <w:rPr>
          <w:rStyle w:val="a7"/>
          <w:rFonts w:cs="Arial"/>
          <w:rtl/>
        </w:rPr>
        <w:footnoteReference w:id="2824"/>
      </w:r>
      <w:r>
        <w:rPr>
          <w:rFonts w:cs="Arial"/>
          <w:rtl/>
        </w:rPr>
        <w:t xml:space="preserve">. </w:t>
      </w:r>
    </w:p>
    <w:p w14:paraId="24FE940E" w14:textId="389FBD05" w:rsidR="00C97BEF" w:rsidRDefault="00C97BEF" w:rsidP="00C97BEF">
      <w:pPr>
        <w:rPr>
          <w:u w:val="single"/>
        </w:rPr>
      </w:pPr>
      <w:r>
        <w:rPr>
          <w:u w:val="single"/>
          <w:rtl/>
        </w:rPr>
        <w:t xml:space="preserve">בעל שלא מצליח לבעול את אשתו, אבל אחרות כן </w:t>
      </w:r>
      <w:r w:rsidR="00A82951">
        <w:rPr>
          <w:u w:val="single"/>
          <w:rtl/>
        </w:rPr>
        <w:t>-</w:t>
      </w:r>
      <w:r>
        <w:rPr>
          <w:u w:val="single"/>
          <w:rtl/>
        </w:rPr>
        <w:t xml:space="preserve"> האם גובה כתובתה:</w:t>
      </w:r>
    </w:p>
    <w:p w14:paraId="5582A577" w14:textId="5B8A2FA6" w:rsidR="00C97BEF" w:rsidRDefault="00C97BEF" w:rsidP="006A458D">
      <w:pPr>
        <w:pStyle w:val="ab"/>
        <w:numPr>
          <w:ilvl w:val="0"/>
          <w:numId w:val="123"/>
        </w:numPr>
      </w:pPr>
      <w:r>
        <w:rPr>
          <w:rFonts w:cs="Arial"/>
          <w:rtl/>
        </w:rPr>
        <w:t xml:space="preserve">ארחות חיים </w:t>
      </w:r>
      <w:r>
        <w:rPr>
          <w:rFonts w:cs="Arial"/>
          <w:sz w:val="16"/>
          <w:szCs w:val="16"/>
          <w:rtl/>
        </w:rPr>
        <w:t>(ח"ב הלכות כתובות סוס"י לד)</w:t>
      </w:r>
      <w:r w:rsidR="00A82951">
        <w:rPr>
          <w:rFonts w:cs="Arial"/>
          <w:rtl/>
        </w:rPr>
        <w:t>-</w:t>
      </w:r>
      <w:r>
        <w:rPr>
          <w:rFonts w:cs="Arial"/>
          <w:rtl/>
        </w:rPr>
        <w:t xml:space="preserve"> אשה שלא יכול הבעל לבעול אותה ויצאה ממנו אפילו יכול לבעול אחרות גובה כתובתה שאומרת מסרתי לך עצמי ומה אעשה לך יותר.</w:t>
      </w:r>
      <w:r>
        <w:rPr>
          <w:rtl/>
        </w:rPr>
        <w:t xml:space="preserve"> </w:t>
      </w:r>
      <w:r>
        <w:rPr>
          <w:color w:val="00B0F0"/>
          <w:rtl/>
        </w:rPr>
        <w:t>(וכ"כ הרמ"א)</w:t>
      </w:r>
    </w:p>
    <w:p w14:paraId="1012B1E8" w14:textId="77777777" w:rsidR="00C97BEF" w:rsidRDefault="00C97BEF" w:rsidP="00C97BEF">
      <w:pPr>
        <w:rPr>
          <w:u w:val="single"/>
        </w:rPr>
      </w:pPr>
      <w:r>
        <w:rPr>
          <w:u w:val="single"/>
          <w:rtl/>
        </w:rPr>
        <w:t>אשה שאומרת 'אינו בא עלי בדרך שאבנה ממנו, ואינו יכול לבוא עלי כדרך כל הארץ':</w:t>
      </w:r>
    </w:p>
    <w:p w14:paraId="383FC56F" w14:textId="4C1A55FC" w:rsidR="00C97BEF" w:rsidRDefault="00C97BEF" w:rsidP="006A458D">
      <w:pPr>
        <w:pStyle w:val="ab"/>
        <w:numPr>
          <w:ilvl w:val="0"/>
          <w:numId w:val="123"/>
        </w:numPr>
      </w:pPr>
      <w:r>
        <w:rPr>
          <w:rFonts w:cs="Arial"/>
          <w:rtl/>
        </w:rPr>
        <w:t xml:space="preserve">רא"ש </w:t>
      </w:r>
      <w:r>
        <w:rPr>
          <w:rFonts w:cs="Arial"/>
          <w:sz w:val="16"/>
          <w:szCs w:val="16"/>
          <w:rtl/>
        </w:rPr>
        <w:t>(כלל מג סי' ד, ועיין בכלל לג סי' ב</w:t>
      </w:r>
      <w:r w:rsidR="00A82951">
        <w:rPr>
          <w:rFonts w:cs="Arial"/>
          <w:sz w:val="16"/>
          <w:szCs w:val="16"/>
          <w:rtl/>
        </w:rPr>
        <w:t>-</w:t>
      </w:r>
      <w:r>
        <w:rPr>
          <w:rFonts w:cs="Arial"/>
          <w:sz w:val="16"/>
          <w:szCs w:val="16"/>
          <w:rtl/>
        </w:rPr>
        <w:t>ג)</w:t>
      </w:r>
      <w:r>
        <w:rPr>
          <w:rFonts w:cs="Arial"/>
          <w:rtl/>
        </w:rPr>
        <w:t xml:space="preserve"> וטור</w:t>
      </w:r>
      <w:r w:rsidR="00A82951">
        <w:rPr>
          <w:rFonts w:cs="Arial"/>
          <w:rtl/>
        </w:rPr>
        <w:t>-</w:t>
      </w:r>
      <w:r>
        <w:rPr>
          <w:rFonts w:cs="Arial"/>
          <w:rtl/>
        </w:rPr>
        <w:t xml:space="preserve"> אשה שטוענת שאין הבעל שוכב עמה בשום ענין כדרך שהבעל שוכב עם אשתו כדרך שאבנה ממנה, ואינו יכול לבא עליה כדרך כל הארץ כדי שיהיו לה בנים. וכשנשאה, כדי שיהיו לו בנים נישאת לו, ואינו יכול להוליד בשביל מה שכבר אמרה... אע"פ שנראה כאילו טוענת שתי טענות, שמתחלה טענה בשביל שאינה ראויה להיבנות ממנו, ובטענה זו לא היינו כופין אותו להוציא, ואחר כך אמרה שאינו יכול לבא עליה כדרך כל הארץ, ובטענה זו כופין אותו להוציא, יש לנו לפרש דבריה</w:t>
      </w:r>
      <w:r>
        <w:rPr>
          <w:rStyle w:val="a7"/>
          <w:rFonts w:cs="Arial"/>
          <w:rtl/>
        </w:rPr>
        <w:footnoteReference w:id="2825"/>
      </w:r>
      <w:r>
        <w:rPr>
          <w:rFonts w:cs="Arial"/>
          <w:rtl/>
        </w:rPr>
        <w:t xml:space="preserve"> בענין שלא יסתרו זו את זו, שגם בתחילת דבריה כוונה לומר שלא בא עליה כלל, וכופין אותו להוציא ויתן כתובה מנה ומאתים ונדוניא שהכניסה לו, אבל לא תוספת, דאדעתא למישקל ומיפק לא אוסיף לה</w:t>
      </w:r>
      <w:r>
        <w:rPr>
          <w:rFonts w:cs="Arial"/>
          <w:sz w:val="16"/>
          <w:szCs w:val="16"/>
          <w:rtl/>
        </w:rPr>
        <w:t xml:space="preserve"> (ל' הטור בשמו)</w:t>
      </w:r>
      <w:r>
        <w:rPr>
          <w:rFonts w:cs="Arial"/>
          <w:rtl/>
        </w:rPr>
        <w:t xml:space="preserve">. </w:t>
      </w:r>
    </w:p>
    <w:p w14:paraId="0185F6FD" w14:textId="77777777" w:rsidR="00C97BEF" w:rsidRDefault="00C97BEF" w:rsidP="00C97BEF">
      <w:pPr>
        <w:rPr>
          <w:u w:val="single"/>
        </w:rPr>
      </w:pPr>
      <w:r>
        <w:rPr>
          <w:u w:val="single"/>
          <w:rtl/>
        </w:rPr>
        <w:t>מי שלקח אשה ולא ילדה לו כ' שנים, ולקח אחרת עליה וילדה, ונשבע לדור עמה ולפרנסה, ואין לו כדי סיפוק שתיהן:</w:t>
      </w:r>
    </w:p>
    <w:p w14:paraId="0B60FC37" w14:textId="1FAFC5CE" w:rsidR="00C97BEF" w:rsidRDefault="00C97BEF" w:rsidP="006A458D">
      <w:pPr>
        <w:pStyle w:val="ab"/>
        <w:numPr>
          <w:ilvl w:val="0"/>
          <w:numId w:val="123"/>
        </w:numPr>
      </w:pPr>
      <w:r>
        <w:rPr>
          <w:rFonts w:cs="Arial"/>
          <w:rtl/>
        </w:rPr>
        <w:t xml:space="preserve">רא"ש </w:t>
      </w:r>
      <w:r>
        <w:rPr>
          <w:rFonts w:cs="Arial"/>
          <w:sz w:val="16"/>
          <w:szCs w:val="16"/>
          <w:rtl/>
        </w:rPr>
        <w:t>(כלל ח סי' ז)</w:t>
      </w:r>
      <w:r>
        <w:rPr>
          <w:rFonts w:cs="Arial"/>
          <w:rtl/>
        </w:rPr>
        <w:t xml:space="preserve"> וטור</w:t>
      </w:r>
      <w:r w:rsidR="00A82951">
        <w:rPr>
          <w:rFonts w:cs="Arial"/>
          <w:rtl/>
        </w:rPr>
        <w:t>-</w:t>
      </w:r>
      <w:r>
        <w:rPr>
          <w:rFonts w:cs="Arial"/>
          <w:rtl/>
        </w:rPr>
        <w:t xml:space="preserve"> שאלה, ראובן שהה עם אשתו כ' שנה ולא ילדה. והוא כדי לידע אם העכבה ממנו לקח אשה אחרת בקידושין, ונתעברה ממנו, ושוב הכניסה לחופה, ועיקר דירתו עם הראשונה. וכאשר ילדה השנייה נתן לה שכר היניקה מהולד, ומת הולד, ופסק מלזונה. ותבעתו בדין, והשביעוהו הדיינין להיות עמה ולזונה. וזה לשון השבועה: שישים בית דירה לפלונית, ושידור עמה ביום ובלילה, וכל מה שירויח שיביא לבית שהוא דר עמה, ויוציאנו ביציאתה בצורך אכילה ושתייה ושאר הוצאות הצריכין לה, ושיתן לה מלבושים כפי יכלתו. ועמדה עמו כמו ו' חדשים ולא נתן לראשונה כלום, ואין בידו לפרנס שתיהן, ותובעת הראשונה שאר כסות ועונה. אם היה יכול להיות עם הראשונה מצד הדין יראה שלא נשבע לבטל עונתה, אף כי נשבע שידור עם השנייה ביום ובלילה, מ"מ לא קבל עליו שלא יצא מהבית אלא יצא לקיים עונתה ויחזור. אמנם על המזונות יראה שנשבע לעבור מה שקבל עליו, כי לא היתה ידו משגת לפרנס שתיהן, ויראה שלא תחול השבועה. אמנם לפי תנאי הכתובה שכותבין אם עבר ונשא וכו' שיתן לה גט וכתובה יראה שחלה השבועה ויוציא הראשונה. אמנם אם רוצה לישאל על השבועה, הורני אם יכול לעשות בלא דעת השנייה, כי עשתה לו טובה כי נתחייב לה מעות ממזונותיה ופטרתו בשביל שבועה זו. גם הוא מתחרט על שבועתו ואומר שאיימו עליו ליתנו בבית הסוהר על מה שנתחייב לה, ומתוך הדחק נשבע לה. עד הנה אני נושא ונותן אם היתה הראשונה בת בנים, </w:t>
      </w:r>
      <w:r>
        <w:rPr>
          <w:rFonts w:cs="Arial"/>
          <w:sz w:val="16"/>
          <w:szCs w:val="16"/>
          <w:rtl/>
        </w:rPr>
        <w:t xml:space="preserve">{אבל} </w:t>
      </w:r>
      <w:r>
        <w:rPr>
          <w:rFonts w:cs="Arial"/>
          <w:rtl/>
        </w:rPr>
        <w:t>הואיל ואינו כך בלאו הכי חייב להוציאה מדרך הגמרא, אמנם אין נוהגין כן אבל בנדון זה שכבר נשא אחרת וגם נשבע הורני מה אעשה, אם נאמר לו לגרש הראשונה הואיל ואין לו ספק לשתיהן, ואם יגרשנה מה יתן לה מנה ומאתים או יותר או גם נדוניתה, וצריך לעשות שטר עליו כי אין בידו מאומה ופועל ידיו לא יספיק להוצאתו, א"כ מתי יפרענה.      תשובה: עונתה יכול לקיים אע"פ שנשבע שידור עם השנייה ביום ובלילה יכול ליכנס לבית הראשונה ולשמש עמה, כי לא נשבע שלא יכנס לבית הראשונה אלא שיהיה עיקר דירתו עם השנייה. וגם אם אינו יכול להיות עמה בקבע ביום ובלילה בשביל זה לא יוציא, דלא אשכחן אלא האומר אי איפשי אלא אני בבגדי והיא בבגדה יוציא ויתן כתובה. הלכך בשבועה זו אינו ביטול עונתה, וחלתה השבועה לדבר זה. אבל מה שנשבע שיוציא עם השנייה כל מה שירויח, לענין זה לא חלתה השבועה, כי כבר היה מחוייב לראשונה לפרנסה מכל מה שיזדמן, ומחוייב נמי לפרנס השנייה אע"פ שהראשונה קדמה, הילכך כל מה שיותר על כדי חייו יתן חצי לזו וחצי לזו. ואין היתר לשבועתו כיון שנשבע לה על טובה שעשתה לו במחילת המזון. ואם הראשונה תובעת גט, צריך לגרשה, כיון שאין לו לפרנס שתיהן. ויכתוב שטר עליו ככל הכתוב בשטר כתובתה כתובת נדוניא ותוספת וכאשר תשיג ידו יתן לה.     שאלה על התשובה הראשונה</w:t>
      </w:r>
      <w:r>
        <w:rPr>
          <w:rFonts w:cs="Arial"/>
          <w:sz w:val="16"/>
          <w:szCs w:val="16"/>
          <w:rtl/>
        </w:rPr>
        <w:t xml:space="preserve"> (שם)</w:t>
      </w:r>
      <w:r>
        <w:rPr>
          <w:rFonts w:cs="Arial"/>
          <w:rtl/>
        </w:rPr>
        <w:t xml:space="preserve">: אינה שואלת גט אלא מזונות, ורואה אני שאינה מגרע כחה אף כי אין בת בנים וכי אינה יולדת, ושאלתיך למה לא תחול השבועה על הממון הואיל ויכול לקיים השבועה ולקיים תנאי הראשונה שאם עבר ונשא וכו'. ועוד שאלתיך למה מחוייב לפרנס השנייה הואיל והיה מחוייב לראשונה.    תשובה: אין לגרוע כח הראשונה במה שאין לה בנים כיון שלא הוחזקה בג' אנשים, וכן מוכח בפ' הבע"י דלא גרע כחה בין לענין מזונות בין לענין כתובה אע"פ שיש לו בנים מאשה אחרת כל זמן שלא הוחזקה בג' אנשים. וששאלת למה לא תחול השבועה על הממון וכו' מה קיום התנאי הוא אחר שאין לו לפרוע הכתובה, כי התנאי הוא שיוציאנה בגט ויתן לה כתובה. וששאלת למה חייב לפרנס השנייה הואיל והיה משועבד לראשונה, מה קדימה </w:t>
      </w:r>
      <w:r>
        <w:rPr>
          <w:rFonts w:cs="Arial"/>
          <w:rtl/>
        </w:rPr>
        <w:lastRenderedPageBreak/>
        <w:t xml:space="preserve">שייך במזונות ופרנסה, יכול לשעבד עצמו לכמה נשים, דגופו של אדם יכול לשעבד עצמו לכמה חובות, דלא שייך קדימה אלא בשיעבוד מקרקעי. </w:t>
      </w:r>
    </w:p>
    <w:p w14:paraId="22B87538" w14:textId="173B89FD" w:rsidR="00C97BEF" w:rsidRDefault="00C97BEF" w:rsidP="00C97BEF">
      <w:pPr>
        <w:rPr>
          <w:u w:val="single"/>
        </w:rPr>
      </w:pPr>
      <w:r>
        <w:rPr>
          <w:rFonts w:cs="Arial"/>
          <w:u w:val="single"/>
          <w:rtl/>
        </w:rPr>
        <w:t xml:space="preserve">הטוענת 'מאיס עלי' </w:t>
      </w:r>
      <w:r w:rsidR="00A82951">
        <w:rPr>
          <w:rFonts w:cs="Arial"/>
          <w:u w:val="single"/>
          <w:rtl/>
        </w:rPr>
        <w:t>-</w:t>
      </w:r>
      <w:r>
        <w:rPr>
          <w:rFonts w:cs="Arial"/>
          <w:u w:val="single"/>
          <w:rtl/>
        </w:rPr>
        <w:t xml:space="preserve"> האם כופין אותו להוציאה</w:t>
      </w:r>
      <w:r>
        <w:rPr>
          <w:rStyle w:val="a7"/>
          <w:rFonts w:cs="Arial"/>
          <w:u w:val="single"/>
          <w:rtl/>
        </w:rPr>
        <w:footnoteReference w:id="2826"/>
      </w:r>
      <w:r>
        <w:rPr>
          <w:rFonts w:cs="Arial"/>
          <w:u w:val="single"/>
          <w:rtl/>
        </w:rPr>
        <w:t>:</w:t>
      </w:r>
    </w:p>
    <w:p w14:paraId="19759CE8" w14:textId="2C7BD61F" w:rsidR="00C97BEF" w:rsidRDefault="00C97BEF" w:rsidP="006A458D">
      <w:pPr>
        <w:pStyle w:val="ab"/>
        <w:numPr>
          <w:ilvl w:val="0"/>
          <w:numId w:val="123"/>
        </w:numPr>
        <w:rPr>
          <w:rtl/>
        </w:rPr>
      </w:pPr>
      <w:r>
        <w:rPr>
          <w:rFonts w:cs="Arial"/>
          <w:rtl/>
        </w:rPr>
        <w:t xml:space="preserve">רא"ש </w:t>
      </w:r>
      <w:r>
        <w:rPr>
          <w:rFonts w:cs="Arial"/>
          <w:sz w:val="16"/>
          <w:szCs w:val="16"/>
          <w:rtl/>
        </w:rPr>
        <w:t>(כלל מג סי' ו)</w:t>
      </w:r>
      <w:r w:rsidR="00A82951">
        <w:rPr>
          <w:rFonts w:cs="Arial"/>
          <w:rtl/>
        </w:rPr>
        <w:t>-</w:t>
      </w:r>
      <w:r>
        <w:rPr>
          <w:rFonts w:cs="Arial"/>
          <w:rtl/>
        </w:rPr>
        <w:t xml:space="preserve"> אע"פ שהרמב"ם כתב כי אמרה מאיס עלי כופין אותו להוציא, ר"ת ור"י כתבו שאין כופין אותו להוציא, וראייתם ברורות וחזקות. וכיון דאיכא פלוגתא דרבוותא למה נכניס ראשינו בין ההרים הגדולים ולעשות גט מעושה שלא כדין ולהתיר א"א, וכל המעשה בטענה זו </w:t>
      </w:r>
      <w:r w:rsidR="00A82951">
        <w:rPr>
          <w:rFonts w:cs="Arial"/>
          <w:rtl/>
        </w:rPr>
        <w:t>-</w:t>
      </w:r>
      <w:r>
        <w:rPr>
          <w:rFonts w:cs="Arial"/>
          <w:rtl/>
        </w:rPr>
        <w:t xml:space="preserve"> מרבה ממזרים בישראל. ועל להבא אני אומר, אבל אם לשעבר סמכו על דברי הרמב"ם </w:t>
      </w:r>
      <w:r w:rsidR="00A82951">
        <w:rPr>
          <w:rFonts w:cs="Arial"/>
          <w:rtl/>
        </w:rPr>
        <w:t>-</w:t>
      </w:r>
      <w:r>
        <w:rPr>
          <w:rFonts w:cs="Arial"/>
          <w:rtl/>
        </w:rPr>
        <w:t xml:space="preserve"> מה שעשו עשו. ואם היא ארוסה ואינה רוצה לינשא בטענת מאיס עלי, ואביה פסק ליתן עליה ממון, והארוס שואל מה שפסק, ודאי כיון שבתו אינה רוצה לינשא לו </w:t>
      </w:r>
      <w:r w:rsidR="00A82951">
        <w:rPr>
          <w:rFonts w:cs="Arial"/>
          <w:rtl/>
        </w:rPr>
        <w:t>-</w:t>
      </w:r>
      <w:r>
        <w:rPr>
          <w:rFonts w:cs="Arial"/>
          <w:rtl/>
        </w:rPr>
        <w:t xml:space="preserve"> אינו חייב ליתן, שלא פסק לו אלא ע"מ שתינשא לו, והיא אינה ברשותו לכופה שתינשא לו</w:t>
      </w:r>
      <w:r>
        <w:rPr>
          <w:rFonts w:cs="Arial"/>
          <w:sz w:val="16"/>
          <w:szCs w:val="16"/>
          <w:rtl/>
        </w:rPr>
        <w:t xml:space="preserve"> (ל' הטור בשמו)</w:t>
      </w:r>
      <w:r>
        <w:rPr>
          <w:rFonts w:cs="Arial"/>
          <w:rtl/>
        </w:rPr>
        <w:t xml:space="preserve">. </w:t>
      </w:r>
    </w:p>
    <w:p w14:paraId="50112AE9" w14:textId="723CE364" w:rsidR="00C97BEF" w:rsidRDefault="00C97BEF" w:rsidP="00C97BEF">
      <w:pPr>
        <w:rPr>
          <w:u w:val="single"/>
        </w:rPr>
      </w:pPr>
      <w:r>
        <w:rPr>
          <w:u w:val="single"/>
          <w:rtl/>
        </w:rPr>
        <w:t xml:space="preserve">איש שאינו הגון שקידש במרמה אשה בת טובים </w:t>
      </w:r>
      <w:r w:rsidR="00A82951">
        <w:rPr>
          <w:u w:val="single"/>
          <w:rtl/>
        </w:rPr>
        <w:t>-</w:t>
      </w:r>
      <w:r>
        <w:rPr>
          <w:u w:val="single"/>
          <w:rtl/>
        </w:rPr>
        <w:t xml:space="preserve"> והיא מואסת בו ורוצה גט:</w:t>
      </w:r>
    </w:p>
    <w:p w14:paraId="3DA81ECC" w14:textId="0AD2BEE6" w:rsidR="00C97BEF" w:rsidRDefault="00C97BEF" w:rsidP="006A458D">
      <w:pPr>
        <w:pStyle w:val="ab"/>
        <w:numPr>
          <w:ilvl w:val="0"/>
          <w:numId w:val="123"/>
        </w:numPr>
      </w:pPr>
      <w:r>
        <w:rPr>
          <w:rFonts w:cs="Arial"/>
          <w:rtl/>
        </w:rPr>
        <w:t>רא"ש</w:t>
      </w:r>
      <w:r>
        <w:rPr>
          <w:rFonts w:cs="Arial"/>
          <w:sz w:val="16"/>
          <w:szCs w:val="16"/>
          <w:rtl/>
        </w:rPr>
        <w:t xml:space="preserve"> (כלל לה סי' ב)</w:t>
      </w:r>
      <w:r w:rsidR="00A82951">
        <w:rPr>
          <w:rFonts w:cs="Arial"/>
          <w:rtl/>
        </w:rPr>
        <w:t>-</w:t>
      </w:r>
      <w:r>
        <w:rPr>
          <w:rFonts w:cs="Arial"/>
          <w:rtl/>
        </w:rPr>
        <w:t xml:space="preserve"> אלמנת תלמיד חכם ובת גדולים, שהיה מלמד תינוקות דר בביתה וקידשה, ואין זה כבוד בעלה הראשון. והיא אומרת שמואסת בו. אם יראה לרבותי הקרובים לדבר שהמקדש אינו אדם ראוי והגון לידבק בבת טובים, ובנכל ובתרמית פיתוה, קרוב הדבר לדמותו לעובדא דגרסינן בפרק בית שמאי (יבמות קי.) משום שעשה שלא כהוגן הפקיעו הקידושין, גם זה שעשה שלא כהוגן נהי דקידושין לא נפקיע, מכל מקום יש לסמוך בנדון זה על דברי קצת רבותינו שפסקו בדינא דמורדת דכופין אותו לגרשה. אמנם יש לנסות אם יוכלו לפייסו במנה כסף, ואם לא יאות אני נגרר אחריכם לכופו לגרשה</w:t>
      </w:r>
      <w:r>
        <w:rPr>
          <w:rFonts w:cs="Arial"/>
          <w:sz w:val="16"/>
          <w:szCs w:val="16"/>
          <w:rtl/>
        </w:rPr>
        <w:t xml:space="preserve"> (ל' הב"י בשמו)</w:t>
      </w:r>
      <w:r>
        <w:rPr>
          <w:rFonts w:cs="Arial"/>
          <w:rtl/>
        </w:rPr>
        <w:t>.</w:t>
      </w:r>
    </w:p>
    <w:p w14:paraId="75B25AB6" w14:textId="19842EEC" w:rsidR="00C97BEF" w:rsidRDefault="00C97BEF" w:rsidP="00C97BEF">
      <w:pPr>
        <w:rPr>
          <w:rFonts w:cs="Arial"/>
          <w:rtl/>
        </w:rPr>
      </w:pPr>
      <w:r>
        <w:rPr>
          <w:rFonts w:cs="Arial"/>
          <w:u w:val="single"/>
          <w:rtl/>
        </w:rPr>
        <w:t xml:space="preserve">המקדש קידושין שלא נמסרו לביאה </w:t>
      </w:r>
      <w:r w:rsidR="00A82951">
        <w:rPr>
          <w:rFonts w:cs="Arial"/>
          <w:u w:val="single"/>
          <w:rtl/>
        </w:rPr>
        <w:t>-</w:t>
      </w:r>
      <w:r>
        <w:rPr>
          <w:rFonts w:cs="Arial"/>
          <w:u w:val="single"/>
          <w:rtl/>
        </w:rPr>
        <w:t xml:space="preserve"> והאשה טוענת שרוצה בן לעת זקנתה:</w:t>
      </w:r>
    </w:p>
    <w:p w14:paraId="564EF9D1" w14:textId="18776A58" w:rsidR="00C97BEF" w:rsidRDefault="00C97BEF" w:rsidP="006A458D">
      <w:pPr>
        <w:pStyle w:val="ab"/>
        <w:numPr>
          <w:ilvl w:val="0"/>
          <w:numId w:val="126"/>
        </w:numPr>
        <w:rPr>
          <w:rtl/>
        </w:rPr>
      </w:pPr>
      <w:r>
        <w:rPr>
          <w:rFonts w:cs="Arial"/>
          <w:rtl/>
        </w:rPr>
        <w:t xml:space="preserve">מהרי"ק </w:t>
      </w:r>
      <w:r>
        <w:rPr>
          <w:rFonts w:cs="Arial"/>
          <w:sz w:val="16"/>
          <w:szCs w:val="16"/>
          <w:rtl/>
        </w:rPr>
        <w:t xml:space="preserve">(שורש קלה) </w:t>
      </w:r>
      <w:r>
        <w:rPr>
          <w:rFonts w:cs="Arial"/>
          <w:rtl/>
        </w:rPr>
        <w:t>בשם הרשב"א</w:t>
      </w:r>
      <w:r>
        <w:rPr>
          <w:rFonts w:cs="Arial"/>
          <w:sz w:val="16"/>
          <w:szCs w:val="16"/>
          <w:rtl/>
        </w:rPr>
        <w:t xml:space="preserve"> (סי' אלך רלו)</w:t>
      </w:r>
      <w:r w:rsidR="00A82951">
        <w:rPr>
          <w:rFonts w:cs="Arial"/>
          <w:rtl/>
        </w:rPr>
        <w:t>-</w:t>
      </w:r>
      <w:r>
        <w:rPr>
          <w:rFonts w:cs="Arial"/>
          <w:rtl/>
        </w:rPr>
        <w:t xml:space="preserve"> המקדש קידושין שלא נמסרו לביאה (קידושין נא.) והיא באה מחמת טענת</w:t>
      </w:r>
      <w:r>
        <w:rPr>
          <w:rStyle w:val="a7"/>
          <w:rFonts w:cs="Arial"/>
          <w:rtl/>
        </w:rPr>
        <w:footnoteReference w:id="2827"/>
      </w:r>
      <w:r>
        <w:rPr>
          <w:rFonts w:cs="Arial"/>
          <w:rtl/>
        </w:rPr>
        <w:t xml:space="preserve"> חוטרא לידא ומרא לקבורה (יבמות סה:) </w:t>
      </w:r>
      <w:r w:rsidR="00A82951">
        <w:rPr>
          <w:rFonts w:cs="Arial"/>
          <w:rtl/>
        </w:rPr>
        <w:t>-</w:t>
      </w:r>
      <w:r>
        <w:rPr>
          <w:rFonts w:cs="Arial"/>
          <w:rtl/>
        </w:rPr>
        <w:t xml:space="preserve"> כופין אותו להוציא</w:t>
      </w:r>
      <w:r>
        <w:rPr>
          <w:rStyle w:val="a7"/>
          <w:rFonts w:cs="Arial"/>
          <w:rtl/>
        </w:rPr>
        <w:footnoteReference w:id="2828"/>
      </w:r>
      <w:r>
        <w:rPr>
          <w:rFonts w:cs="Arial"/>
          <w:rtl/>
        </w:rPr>
        <w:t xml:space="preserve">. </w:t>
      </w:r>
      <w:r>
        <w:rPr>
          <w:color w:val="00B0F0"/>
          <w:rtl/>
        </w:rPr>
        <w:t>(וכ"פ הרמ"א)</w:t>
      </w:r>
    </w:p>
    <w:p w14:paraId="2ED2B0F3" w14:textId="0ECC546C" w:rsidR="00C97BEF" w:rsidRDefault="00C97BEF" w:rsidP="00C97BEF">
      <w:pPr>
        <w:rPr>
          <w:sz w:val="16"/>
          <w:szCs w:val="16"/>
          <w:u w:val="single"/>
          <w:rtl/>
        </w:rPr>
      </w:pPr>
      <w:r>
        <w:rPr>
          <w:u w:val="single"/>
          <w:rtl/>
        </w:rPr>
        <w:t xml:space="preserve">בדורות הללו שיש נשים עזות וחצופות </w:t>
      </w:r>
      <w:r w:rsidR="00A82951">
        <w:rPr>
          <w:u w:val="single"/>
          <w:rtl/>
        </w:rPr>
        <w:t>-</w:t>
      </w:r>
      <w:r>
        <w:rPr>
          <w:u w:val="single"/>
          <w:rtl/>
        </w:rPr>
        <w:t xml:space="preserve"> האם אמרינן </w:t>
      </w:r>
      <w:r>
        <w:rPr>
          <w:rFonts w:cs="Arial"/>
          <w:u w:val="single"/>
          <w:rtl/>
        </w:rPr>
        <w:t>'אין אשה מעיזה פניה בפני בעלה'</w:t>
      </w:r>
      <w:r>
        <w:rPr>
          <w:u w:val="single"/>
          <w:rtl/>
        </w:rPr>
        <w:t>:</w:t>
      </w:r>
      <w:r>
        <w:rPr>
          <w:sz w:val="16"/>
          <w:szCs w:val="16"/>
          <w:rtl/>
        </w:rPr>
        <w:t xml:space="preserve"> (דרכ"מ אות ח)</w:t>
      </w:r>
    </w:p>
    <w:p w14:paraId="63DB34F0" w14:textId="437772D7" w:rsidR="00C97BEF" w:rsidRDefault="00C97BEF" w:rsidP="006A458D">
      <w:pPr>
        <w:pStyle w:val="ab"/>
        <w:numPr>
          <w:ilvl w:val="0"/>
          <w:numId w:val="123"/>
        </w:numPr>
        <w:rPr>
          <w:rFonts w:cs="Arial"/>
        </w:rPr>
      </w:pPr>
      <w:r>
        <w:rPr>
          <w:rFonts w:cs="Arial"/>
          <w:rtl/>
        </w:rPr>
        <w:t xml:space="preserve">מהר"ם </w:t>
      </w:r>
      <w:r>
        <w:rPr>
          <w:rFonts w:cs="Arial"/>
          <w:sz w:val="16"/>
          <w:szCs w:val="16"/>
          <w:rtl/>
        </w:rPr>
        <w:t>(ד"ק סי' רעא, הביאוהו המרדכי [קידושין סי' תקמב] ותשובות מיימוניות [ספר נשים סי' ז])</w:t>
      </w:r>
      <w:r w:rsidR="00A82951">
        <w:rPr>
          <w:rFonts w:cs="Arial"/>
          <w:rtl/>
        </w:rPr>
        <w:t>-</w:t>
      </w:r>
      <w:r>
        <w:rPr>
          <w:rFonts w:cs="Arial"/>
          <w:rtl/>
        </w:rPr>
        <w:t xml:space="preserve"> וששאלתם על אשה שטוענת על בעלה ישען על ביתו ואל יעמוד. מן הדין היה להיות נאמנת, אע"ג דבאינו יורה כחץ לא מהימנה לפי משנה אחרונה בפרק בתרא דנדרים (צ:), היינו משום דאפשר לה להעיז פניה בפני בעלה במלתא דלא ידע כהאי משקרא, אבל בישען על ביתו ולא יעמוד דידע בה וכל מלתא דידע לא משקרא, כגון חזקה אין אשה מעיזה לומר גירשתני, הכא נמי מהימנה. אבל בדורות הללו שיש נשים פרוצות אין להאמינה. ועוד יש קצת סברא ואמתלא שמשקרת שהיו לו אשה ובנים כבר מאשה אחרת, אע"ג דשמא שוב נתקלקל, אעפ"כ לא מהימנינן לה בדורות הללו, ויעשו דרך בקשה</w:t>
      </w:r>
      <w:r>
        <w:rPr>
          <w:rStyle w:val="a7"/>
          <w:rFonts w:cs="Arial"/>
          <w:rtl/>
        </w:rPr>
        <w:footnoteReference w:id="2829"/>
      </w:r>
      <w:r>
        <w:rPr>
          <w:rFonts w:cs="Arial"/>
          <w:rtl/>
        </w:rPr>
        <w:t xml:space="preserve">. </w:t>
      </w:r>
      <w:r>
        <w:rPr>
          <w:color w:val="00B0F0"/>
          <w:rtl/>
        </w:rPr>
        <w:t>(וכ"כ הרמ"א)</w:t>
      </w:r>
    </w:p>
    <w:p w14:paraId="6B8AD325" w14:textId="77777777" w:rsidR="00C97BEF" w:rsidRDefault="00C97BEF" w:rsidP="00C97BEF">
      <w:pPr>
        <w:ind w:left="360"/>
        <w:rPr>
          <w:rFonts w:cs="Arial"/>
          <w:u w:val="dotted"/>
        </w:rPr>
      </w:pPr>
      <w:r>
        <w:rPr>
          <w:rFonts w:cs="Arial"/>
          <w:u w:val="dotted"/>
          <w:rtl/>
        </w:rPr>
        <w:t>ומה הדין אם יש אמתלאות לדבריה:</w:t>
      </w:r>
    </w:p>
    <w:p w14:paraId="47D32B3A" w14:textId="6FABDC99" w:rsidR="00C97BEF" w:rsidRDefault="00C97BEF" w:rsidP="006A458D">
      <w:pPr>
        <w:pStyle w:val="ab"/>
        <w:numPr>
          <w:ilvl w:val="0"/>
          <w:numId w:val="123"/>
        </w:numPr>
      </w:pPr>
      <w:r>
        <w:rPr>
          <w:rFonts w:cs="Arial"/>
          <w:rtl/>
        </w:rPr>
        <w:t xml:space="preserve">מהרי"ק </w:t>
      </w:r>
      <w:r>
        <w:rPr>
          <w:rFonts w:cs="Arial"/>
          <w:sz w:val="16"/>
          <w:szCs w:val="16"/>
          <w:rtl/>
        </w:rPr>
        <w:t>(שורש עב)</w:t>
      </w:r>
      <w:r w:rsidR="00A82951">
        <w:rPr>
          <w:rFonts w:cs="Arial"/>
          <w:rtl/>
        </w:rPr>
        <w:t>-</w:t>
      </w:r>
      <w:r>
        <w:rPr>
          <w:rFonts w:cs="Arial"/>
          <w:rtl/>
        </w:rPr>
        <w:t xml:space="preserve"> במקום דידעינן שהיא אומרת אמת, כגון ששהתה עמו זמן רב</w:t>
      </w:r>
      <w:r>
        <w:rPr>
          <w:rStyle w:val="a7"/>
          <w:rFonts w:cs="Arial"/>
          <w:rtl/>
        </w:rPr>
        <w:footnoteReference w:id="2830"/>
      </w:r>
      <w:r>
        <w:rPr>
          <w:rFonts w:cs="Arial"/>
          <w:rtl/>
        </w:rPr>
        <w:t xml:space="preserve"> אע"ג דלא שהתה עמו עשר שנים ויש אמתלאות לדבריה </w:t>
      </w:r>
      <w:r w:rsidR="00A82951">
        <w:rPr>
          <w:rFonts w:cs="Arial"/>
          <w:rtl/>
        </w:rPr>
        <w:t>-</w:t>
      </w:r>
      <w:r>
        <w:rPr>
          <w:rFonts w:cs="Arial"/>
          <w:rtl/>
        </w:rPr>
        <w:t xml:space="preserve"> נאמנת. </w:t>
      </w:r>
      <w:r>
        <w:rPr>
          <w:color w:val="00B0F0"/>
          <w:rtl/>
        </w:rPr>
        <w:t>(וכ"פ הרמ"א)</w:t>
      </w:r>
    </w:p>
    <w:p w14:paraId="0B2E226C" w14:textId="77777777" w:rsidR="00C97BEF" w:rsidRDefault="00C97BEF" w:rsidP="00C97BEF">
      <w:pPr>
        <w:rPr>
          <w:sz w:val="16"/>
          <w:szCs w:val="16"/>
          <w:u w:val="single"/>
        </w:rPr>
      </w:pPr>
      <w:r>
        <w:rPr>
          <w:u w:val="single"/>
          <w:rtl/>
        </w:rPr>
        <w:lastRenderedPageBreak/>
        <w:t>מי שאינו מצליח לבוא על אשתו מחמת שבתוליה קשים:</w:t>
      </w:r>
      <w:r>
        <w:rPr>
          <w:sz w:val="16"/>
          <w:szCs w:val="16"/>
          <w:rtl/>
        </w:rPr>
        <w:t xml:space="preserve"> (דרכ"מ אות יא)</w:t>
      </w:r>
    </w:p>
    <w:p w14:paraId="03EB2E41" w14:textId="1E590027" w:rsidR="00C97BEF" w:rsidRDefault="00C97BEF" w:rsidP="006A458D">
      <w:pPr>
        <w:pStyle w:val="ab"/>
        <w:numPr>
          <w:ilvl w:val="0"/>
          <w:numId w:val="123"/>
        </w:numPr>
      </w:pPr>
      <w:r>
        <w:rPr>
          <w:rFonts w:cs="Arial"/>
          <w:rtl/>
        </w:rPr>
        <w:t xml:space="preserve">ריב"ש </w:t>
      </w:r>
      <w:r>
        <w:rPr>
          <w:rFonts w:cs="Arial"/>
          <w:sz w:val="16"/>
          <w:szCs w:val="16"/>
          <w:rtl/>
        </w:rPr>
        <w:t>(סי' קכז)</w:t>
      </w:r>
      <w:r w:rsidR="00A82951">
        <w:rPr>
          <w:rFonts w:cs="Arial"/>
          <w:rtl/>
        </w:rPr>
        <w:t>-</w:t>
      </w:r>
      <w:r>
        <w:rPr>
          <w:rFonts w:cs="Arial"/>
          <w:rtl/>
        </w:rPr>
        <w:t xml:space="preserve"> ולנדון שלפנינו באשה זו שטוענת על בעלה שאין לו גבורת אנשים ושכבר שהתה עמו בייחוד שמנה חדשים רצופים ואחר זמן זה שני חדשים אחרים ועדיין היא בתולה</w:t>
      </w:r>
      <w:r>
        <w:rPr>
          <w:rtl/>
        </w:rPr>
        <w:t xml:space="preserve"> </w:t>
      </w:r>
      <w:r>
        <w:rPr>
          <w:rFonts w:cs="Arial"/>
          <w:rtl/>
        </w:rPr>
        <w:t xml:space="preserve">כיון שלא טענה כן בב"ד ובפני בעלה </w:t>
      </w:r>
      <w:r w:rsidR="00A82951">
        <w:rPr>
          <w:rFonts w:cs="Arial"/>
          <w:rtl/>
        </w:rPr>
        <w:t>-</w:t>
      </w:r>
      <w:r>
        <w:rPr>
          <w:rFonts w:cs="Arial"/>
          <w:rtl/>
        </w:rPr>
        <w:t xml:space="preserve"> אינה נאמנת ואין כופין הבעל להוציא. לפי שהיא צריכה לבא לפני ב"ד ושתאמר כן בפני בעלה, וב"ד יחקרו את שניהם על טענתם. ובאין לה דרך בקשה ואומרים לה תני דעתך על בעליך שמא מתוך איבה אי אתם נכנסין לחדר או שמא שומטת כר מתחתיו. ועושין להם סעודה שמא מתוך שמחה ומאכל ומשתה יתנו דעתם זה על זה, וכמ"ש בירושלמי יעשה סעודה ויפייס. וכ"ש בתולה שצריך להמתין זמן וזמנים</w:t>
      </w:r>
      <w:r>
        <w:rPr>
          <w:rStyle w:val="a7"/>
          <w:rFonts w:cs="Arial"/>
          <w:rtl/>
        </w:rPr>
        <w:footnoteReference w:id="2831"/>
      </w:r>
      <w:r>
        <w:rPr>
          <w:rFonts w:cs="Arial"/>
          <w:rtl/>
        </w:rPr>
        <w:t>, כי יש בחורי' שאינם יכולי' בבתולה אם מחמת חולשת מזגם וצריכין לרופא יעשה להם תרופות... אם מפני רכות שנותם וכשיגדלו יוסיפו אומץ. אם מפני שיש בתולות שפתחן סגור חותם צר וצריכות לאשה חכמה תפתח אותו באיזמל ואין זה גנאי להם.</w:t>
      </w:r>
      <w:r>
        <w:rPr>
          <w:rtl/>
        </w:rPr>
        <w:t xml:space="preserve"> </w:t>
      </w:r>
      <w:r>
        <w:rPr>
          <w:color w:val="00B0F0"/>
          <w:rtl/>
        </w:rPr>
        <w:t>(וכ"פ הרמ"א)</w:t>
      </w:r>
    </w:p>
    <w:p w14:paraId="705A1CBF"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C0DC0E0" w14:textId="093A87F5" w:rsidR="00C97BEF" w:rsidRDefault="00C97BEF" w:rsidP="00C97BEF">
      <w:pPr>
        <w:rPr>
          <w:rFonts w:cs="Arial"/>
          <w:rtl/>
        </w:rPr>
      </w:pPr>
      <w:r>
        <w:rPr>
          <w:rFonts w:cs="Arial"/>
          <w:rtl/>
        </w:rPr>
        <w:t>אם טוענת: אין לו גבורת אנשים לבא עליה, ושואלת גט, והוא מכחישה, יש אומרים שהיא נאמנת</w:t>
      </w:r>
      <w:r>
        <w:rPr>
          <w:rStyle w:val="a7"/>
          <w:rFonts w:cs="Arial"/>
          <w:rtl/>
        </w:rPr>
        <w:footnoteReference w:id="2832"/>
      </w:r>
      <w:r>
        <w:rPr>
          <w:rFonts w:cs="Arial"/>
          <w:rtl/>
        </w:rPr>
        <w:t xml:space="preserve">, </w:t>
      </w:r>
      <w:r>
        <w:rPr>
          <w:rFonts w:cs="Arial"/>
          <w:sz w:val="18"/>
          <w:szCs w:val="18"/>
          <w:rtl/>
        </w:rPr>
        <w:t>[הגה] ואפי' לא שהתה י' שנים (טור),</w:t>
      </w:r>
      <w:r>
        <w:rPr>
          <w:rFonts w:cs="Arial"/>
          <w:rtl/>
        </w:rPr>
        <w:t xml:space="preserve"> וכופין אותו להוציא מיד, ולא יתן לה כתובה</w:t>
      </w:r>
      <w:r>
        <w:rPr>
          <w:rStyle w:val="a7"/>
          <w:rFonts w:cs="Arial"/>
          <w:rtl/>
        </w:rPr>
        <w:footnoteReference w:id="2833"/>
      </w:r>
      <w:r>
        <w:rPr>
          <w:rFonts w:cs="Arial"/>
          <w:rtl/>
        </w:rPr>
        <w:t>. ואם מגרשה מעצמו בלא כפייה, יתן לה כתובה</w:t>
      </w:r>
      <w:r>
        <w:rPr>
          <w:rStyle w:val="a7"/>
          <w:rFonts w:cs="Arial"/>
          <w:rtl/>
        </w:rPr>
        <w:footnoteReference w:id="2834"/>
      </w:r>
      <w:r>
        <w:rPr>
          <w:rFonts w:cs="Arial"/>
          <w:rtl/>
        </w:rPr>
        <w:t xml:space="preserve">. </w:t>
      </w:r>
      <w:r>
        <w:rPr>
          <w:rFonts w:cs="Arial"/>
          <w:sz w:val="18"/>
          <w:szCs w:val="18"/>
          <w:rtl/>
        </w:rPr>
        <w:t>[הגה] וי"א דאע"פ שיכול לבעול אחרת</w:t>
      </w:r>
      <w:r>
        <w:rPr>
          <w:rStyle w:val="a7"/>
          <w:rFonts w:cs="Arial"/>
          <w:sz w:val="18"/>
          <w:szCs w:val="18"/>
          <w:rtl/>
        </w:rPr>
        <w:footnoteReference w:id="2835"/>
      </w:r>
      <w:r>
        <w:rPr>
          <w:rFonts w:cs="Arial"/>
          <w:sz w:val="18"/>
          <w:szCs w:val="18"/>
          <w:rtl/>
        </w:rPr>
        <w:t>, צריך ליתן לזאת הכתובה הואיל ולא יכול לבא עליה, יכולה לומר: מסרתי עצמי לך, ומה אעשה לך יותר (א"ח).</w:t>
      </w:r>
      <w:r>
        <w:rPr>
          <w:rFonts w:cs="Arial"/>
          <w:rtl/>
        </w:rPr>
        <w:t xml:space="preserve"> במה דברים אמורים, כשאינה תובעת כתובתה. אבל אם תובעת כתובתה, אינה נאמנת, ואף להוציא אין כופין. </w:t>
      </w:r>
      <w:r>
        <w:rPr>
          <w:rFonts w:cs="Arial"/>
          <w:sz w:val="18"/>
          <w:szCs w:val="18"/>
          <w:rtl/>
        </w:rPr>
        <w:t>הגה: וי"א דבזמן הזה שיש נשים חצופות, אינה נאמנת</w:t>
      </w:r>
      <w:r>
        <w:rPr>
          <w:rStyle w:val="a7"/>
          <w:rFonts w:cs="Arial"/>
          <w:sz w:val="18"/>
          <w:szCs w:val="18"/>
          <w:rtl/>
        </w:rPr>
        <w:footnoteReference w:id="2836"/>
      </w:r>
      <w:r>
        <w:rPr>
          <w:rFonts w:cs="Arial"/>
          <w:sz w:val="18"/>
          <w:szCs w:val="18"/>
          <w:rtl/>
        </w:rPr>
        <w:t xml:space="preserve"> (מהר"ם). ומ"מ במקום שיש אמתלאות ואומדנות שאומרת אמת, נאמנת (מהרי"ק). ואם יש לתלות שלא יוכל לבא עליה משום שרחמה צר והיא בתולה, ושלא יוכל לבא עליה מכח רכות שניו וחולשתו, תולים בזה ואין כופין להוציא (ריב"ש). וי"א דאפי' במקום שאין כופין אותו, מכ"מ אין כופין אותה להתפייס עמו</w:t>
      </w:r>
      <w:r>
        <w:rPr>
          <w:rStyle w:val="a7"/>
          <w:rFonts w:cs="Arial"/>
          <w:sz w:val="18"/>
          <w:szCs w:val="18"/>
          <w:rtl/>
        </w:rPr>
        <w:footnoteReference w:id="2837"/>
      </w:r>
      <w:r>
        <w:rPr>
          <w:rFonts w:cs="Arial"/>
          <w:sz w:val="18"/>
          <w:szCs w:val="18"/>
          <w:rtl/>
        </w:rPr>
        <w:t xml:space="preserve">, ואין דנין אותה כדין מורדת, אלא מאריכין הדבר עד </w:t>
      </w:r>
      <w:r>
        <w:rPr>
          <w:rFonts w:cs="Arial"/>
          <w:sz w:val="18"/>
          <w:szCs w:val="18"/>
          <w:rtl/>
        </w:rPr>
        <w:lastRenderedPageBreak/>
        <w:t>שיתפשרו או עד שישהה עשר שנים ולא תלד (טור בשם הרמב"ם). וה"ה אם קידש אשה ואסורה להנשא לו ולאחר, כופין אותו להוציא</w:t>
      </w:r>
      <w:r>
        <w:rPr>
          <w:rStyle w:val="a7"/>
          <w:rFonts w:cs="Arial"/>
          <w:sz w:val="18"/>
          <w:szCs w:val="18"/>
          <w:rtl/>
        </w:rPr>
        <w:footnoteReference w:id="2838"/>
      </w:r>
      <w:r>
        <w:rPr>
          <w:rFonts w:cs="Arial"/>
          <w:sz w:val="18"/>
          <w:szCs w:val="18"/>
          <w:rtl/>
        </w:rPr>
        <w:t xml:space="preserve"> (מהרי"ק בשם הרשב"א). אם טוענת שבעלה אינה שוכב עמה ואינו בא עליה</w:t>
      </w:r>
      <w:r>
        <w:rPr>
          <w:rStyle w:val="a7"/>
          <w:rFonts w:cs="Arial"/>
          <w:sz w:val="18"/>
          <w:szCs w:val="18"/>
          <w:rtl/>
        </w:rPr>
        <w:footnoteReference w:id="2839"/>
      </w:r>
      <w:r>
        <w:rPr>
          <w:rFonts w:cs="Arial"/>
          <w:sz w:val="18"/>
          <w:szCs w:val="18"/>
          <w:rtl/>
        </w:rPr>
        <w:t>, דינה כדין טוענת שאין לו גבורת אנשים (תוס' ורא"ש).</w:t>
      </w:r>
      <w:r>
        <w:rPr>
          <w:rFonts w:cs="Arial"/>
          <w:rtl/>
        </w:rPr>
        <w:t xml:space="preserve"> </w:t>
      </w:r>
    </w:p>
    <w:p w14:paraId="46AD2405" w14:textId="6333DF52" w:rsidR="00C97BEF" w:rsidRDefault="00C97BEF" w:rsidP="00C97BEF">
      <w:pPr>
        <w:rPr>
          <w:rFonts w:cs="Arial"/>
          <w:rtl/>
        </w:rPr>
      </w:pPr>
      <w:r>
        <w:rPr>
          <w:rFonts w:cs="Arial"/>
          <w:u w:val="single"/>
          <w:rtl/>
        </w:rPr>
        <w:t xml:space="preserve">אשה שטוענת על בעלה שאין לו גבורת אנשים </w:t>
      </w:r>
      <w:r w:rsidR="00A82951">
        <w:rPr>
          <w:rFonts w:cs="Arial"/>
          <w:u w:val="single"/>
          <w:rtl/>
        </w:rPr>
        <w:t>-</w:t>
      </w:r>
      <w:r>
        <w:rPr>
          <w:rFonts w:cs="Arial"/>
          <w:u w:val="single"/>
          <w:rtl/>
        </w:rPr>
        <w:t xml:space="preserve"> והבעל מודה:</w:t>
      </w:r>
      <w:r>
        <w:rPr>
          <w:rFonts w:cs="Arial"/>
          <w:rtl/>
        </w:rPr>
        <w:t xml:space="preserve"> </w:t>
      </w:r>
      <w:r>
        <w:rPr>
          <w:rFonts w:cs="Arial"/>
          <w:sz w:val="16"/>
          <w:szCs w:val="16"/>
          <w:rtl/>
        </w:rPr>
        <w:t>(פת"ש סקט"ז)</w:t>
      </w:r>
    </w:p>
    <w:p w14:paraId="7B4BBB10" w14:textId="3AD53112" w:rsidR="00C97BEF" w:rsidRDefault="00C97BEF" w:rsidP="006A458D">
      <w:pPr>
        <w:pStyle w:val="ab"/>
        <w:numPr>
          <w:ilvl w:val="0"/>
          <w:numId w:val="123"/>
        </w:numPr>
        <w:rPr>
          <w:rtl/>
        </w:rPr>
      </w:pPr>
      <w:r>
        <w:rPr>
          <w:rFonts w:cs="Arial"/>
          <w:rtl/>
        </w:rPr>
        <w:t xml:space="preserve">נו"ב </w:t>
      </w:r>
      <w:r>
        <w:rPr>
          <w:rFonts w:cs="Arial"/>
          <w:sz w:val="16"/>
          <w:szCs w:val="16"/>
          <w:rtl/>
        </w:rPr>
        <w:t>(תניינא סי' פט)</w:t>
      </w:r>
      <w:r w:rsidR="00A82951">
        <w:rPr>
          <w:rFonts w:cs="Arial"/>
          <w:rtl/>
        </w:rPr>
        <w:t>-</w:t>
      </w:r>
      <w:r>
        <w:rPr>
          <w:rFonts w:cs="Arial"/>
          <w:rtl/>
        </w:rPr>
        <w:t xml:space="preserve"> על דבר הטענה שבין איש לאשתו שטענה שאין לו גבורת אנשים והוא הודה. הנה זה פשוט כיון שהודה יוציא ויתן כתובה. ואשר פסק הרב השואל שימתינו איזה זמן ובתוך כך יעסוק הבעל ברפואות אולי יש תרופה. יפה פסק וכ"כ כל הגאונים הראשונים שלא למהר הגירושין בזה ולדבר על לב האשה אולי יש תקנה ברפואות. ולא תאמר שזהו רק בנושא בתולה ובימי בחרות אבל בזו שכבר הוליד עמה ואח"כ נתקלקל אין להמתין על רפואות, לא כן הוא, אלא אפילו בזקן יש תרופה כמ"ש הריב"ש בסימן קכ"ז. ואשר פסק שבמשך זמן הזה הוא יהיה בפני עצמו והיא תהיה בפ"ע והבעל יספיק לה כל צרכה בזמן, ההוא מלתא דמסתבר פסק, כי חכמי הרופאים כתבו שהגרם הגדול לדבר זה הוא שנאת הנבעלת ואלו שיש כבר מריבה ביניהם ובהיותם יחד השנאה מתגברת כו'.</w:t>
      </w:r>
    </w:p>
    <w:p w14:paraId="2354608E" w14:textId="77777777" w:rsidR="00C97BEF" w:rsidRDefault="00C97BEF" w:rsidP="00C97BEF">
      <w:pPr>
        <w:rPr>
          <w:rtl/>
        </w:rPr>
      </w:pPr>
    </w:p>
    <w:p w14:paraId="7708F848" w14:textId="77777777" w:rsidR="00C97BEF" w:rsidRDefault="00C97BEF" w:rsidP="00C97BEF">
      <w:pPr>
        <w:pStyle w:val="2"/>
        <w:rPr>
          <w:rtl/>
        </w:rPr>
      </w:pPr>
      <w:r>
        <w:rPr>
          <w:rtl/>
        </w:rPr>
        <w:t>סעיף ח: איש שרוצה ללכת למקום רחוק, ואשתו רוצה גט לפני שיצא.</w:t>
      </w:r>
    </w:p>
    <w:p w14:paraId="2E29D40C" w14:textId="77777777" w:rsidR="00C97BEF" w:rsidRDefault="00C97BEF" w:rsidP="00C97BEF">
      <w:pPr>
        <w:rPr>
          <w:u w:val="single"/>
          <w:rtl/>
        </w:rPr>
      </w:pPr>
      <w:r>
        <w:rPr>
          <w:u w:val="single"/>
          <w:rtl/>
        </w:rPr>
        <w:t>איש שרוצה ללכת למקום רחוק, ואשתו רוצה גט לפני שיצא:</w:t>
      </w:r>
    </w:p>
    <w:p w14:paraId="15B8ADCC" w14:textId="652503E2" w:rsidR="00C97BEF" w:rsidRDefault="00C97BEF" w:rsidP="006A458D">
      <w:pPr>
        <w:pStyle w:val="ab"/>
        <w:numPr>
          <w:ilvl w:val="0"/>
          <w:numId w:val="123"/>
        </w:numPr>
        <w:rPr>
          <w:rtl/>
        </w:rPr>
      </w:pPr>
      <w:r>
        <w:rPr>
          <w:rFonts w:cs="Arial"/>
          <w:rtl/>
        </w:rPr>
        <w:t xml:space="preserve">רא"ש </w:t>
      </w:r>
      <w:r>
        <w:rPr>
          <w:rFonts w:cs="Arial"/>
          <w:sz w:val="16"/>
          <w:szCs w:val="16"/>
          <w:rtl/>
        </w:rPr>
        <w:t>(כלל מג סי' יג)</w:t>
      </w:r>
      <w:r>
        <w:rPr>
          <w:rFonts w:cs="Arial"/>
          <w:rtl/>
        </w:rPr>
        <w:t xml:space="preserve"> וטור</w:t>
      </w:r>
      <w:r w:rsidR="00A82951">
        <w:rPr>
          <w:rFonts w:cs="Arial"/>
          <w:rtl/>
        </w:rPr>
        <w:t>-</w:t>
      </w:r>
      <w:r>
        <w:rPr>
          <w:rFonts w:cs="Arial"/>
          <w:rtl/>
        </w:rPr>
        <w:t xml:space="preserve"> וששאלת אשה שיראה מבעלה שילך לארץ אחרת, ושואלת שיגרשנה או שישבע שלא ילך.   תשובה: אם ידוע שדעתו לילך, ישביעוהו שלא ילך, או יכפוהו שיגרשנה לזמן קודם שילך</w:t>
      </w:r>
      <w:r>
        <w:rPr>
          <w:rStyle w:val="a7"/>
          <w:rFonts w:cs="Arial"/>
          <w:rtl/>
        </w:rPr>
        <w:footnoteReference w:id="2840"/>
      </w:r>
      <w:r>
        <w:rPr>
          <w:sz w:val="16"/>
          <w:szCs w:val="16"/>
          <w:rtl/>
        </w:rPr>
        <w:t xml:space="preserve"> (ל' הטור בשמו)</w:t>
      </w:r>
      <w:r>
        <w:rPr>
          <w:rFonts w:cs="Arial"/>
          <w:rtl/>
        </w:rPr>
        <w:t xml:space="preserve">. </w:t>
      </w:r>
      <w:r>
        <w:rPr>
          <w:color w:val="E36C0A" w:themeColor="accent6" w:themeShade="BF"/>
          <w:rtl/>
        </w:rPr>
        <w:t>(וכ"פ בשו"ע)</w:t>
      </w:r>
    </w:p>
    <w:p w14:paraId="68F031FD"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61BAB0AB" w14:textId="77777777" w:rsidR="00C97BEF" w:rsidRDefault="00C97BEF" w:rsidP="00C97BEF">
      <w:pPr>
        <w:rPr>
          <w:rtl/>
        </w:rPr>
      </w:pPr>
      <w:r>
        <w:rPr>
          <w:rFonts w:cs="Arial"/>
          <w:rtl/>
        </w:rPr>
        <w:t xml:space="preserve">אם ידוע שהאיש רוצה לילך לארץ אחרת, ישביעוהו שלא ילך או יכפוהו שקודם שילך יגרש אותה לזמן. </w:t>
      </w:r>
    </w:p>
    <w:p w14:paraId="52187054" w14:textId="77777777" w:rsidR="00C97BEF" w:rsidRDefault="00C97BEF" w:rsidP="00C97BEF">
      <w:pPr>
        <w:rPr>
          <w:rtl/>
        </w:rPr>
      </w:pPr>
    </w:p>
    <w:p w14:paraId="0E9A290D" w14:textId="77777777" w:rsidR="00C97BEF" w:rsidRDefault="00C97BEF" w:rsidP="00C97BEF">
      <w:pPr>
        <w:pStyle w:val="2"/>
        <w:rPr>
          <w:rtl/>
        </w:rPr>
      </w:pPr>
      <w:r>
        <w:rPr>
          <w:rtl/>
        </w:rPr>
        <w:t>סעיף ט: מי שאינו יכול להשאר לדור במוקם הנישואין מחמת שרודפים אחריו.</w:t>
      </w:r>
    </w:p>
    <w:p w14:paraId="4B2585BA" w14:textId="77777777" w:rsidR="00C97BEF" w:rsidRDefault="00C97BEF" w:rsidP="00C97BEF">
      <w:pPr>
        <w:rPr>
          <w:u w:val="single"/>
          <w:rtl/>
        </w:rPr>
      </w:pPr>
      <w:r>
        <w:rPr>
          <w:u w:val="single"/>
          <w:rtl/>
        </w:rPr>
        <w:t>מי שאינו יכול להשאר לדור במוקם הנישואין מחמת שרודפים אחריו:</w:t>
      </w:r>
    </w:p>
    <w:p w14:paraId="79881EA3" w14:textId="47264336" w:rsidR="00C97BEF" w:rsidRDefault="00C97BEF" w:rsidP="006A458D">
      <w:pPr>
        <w:pStyle w:val="ab"/>
        <w:numPr>
          <w:ilvl w:val="0"/>
          <w:numId w:val="123"/>
        </w:numPr>
        <w:rPr>
          <w:rtl/>
        </w:rPr>
      </w:pPr>
      <w:r>
        <w:rPr>
          <w:rFonts w:cs="Arial"/>
          <w:rtl/>
        </w:rPr>
        <w:t xml:space="preserve">רא"ש </w:t>
      </w:r>
      <w:r>
        <w:rPr>
          <w:rFonts w:cs="Arial"/>
          <w:sz w:val="16"/>
          <w:szCs w:val="16"/>
          <w:rtl/>
        </w:rPr>
        <w:t>(כלל מג סוף סי' א)</w:t>
      </w:r>
      <w:r>
        <w:rPr>
          <w:rFonts w:cs="Arial"/>
          <w:rtl/>
        </w:rPr>
        <w:t xml:space="preserve"> וטור</w:t>
      </w:r>
      <w:r w:rsidR="00A82951">
        <w:rPr>
          <w:rFonts w:cs="Arial"/>
          <w:rtl/>
        </w:rPr>
        <w:t>-</w:t>
      </w:r>
      <w:r>
        <w:rPr>
          <w:rFonts w:cs="Arial"/>
          <w:rtl/>
        </w:rPr>
        <w:t xml:space="preserve"> וששאלת מי שטוענת שיכפוהו לבעלה שיגרשנה מפני שהוא מוכתב למלכות והוא בורח ממקום למקום ואינו רשאי לעמוד במקום אחד מפני סכנת נפשות.    תשובה: דבר זה תלוי בחקירת הדיינין, אם הדבר ידוע שאינו רשאי לעמוד במקום שנישאת מפני סכנת נפשות, אין לך טענה גדולה מזו כיון שאינו רשאי לישאר אצלה והיא אינה חייבת לילך אחריו לארץ אחרת </w:t>
      </w:r>
      <w:r w:rsidR="00A82951">
        <w:rPr>
          <w:rFonts w:cs="Arial"/>
          <w:rtl/>
        </w:rPr>
        <w:t>-</w:t>
      </w:r>
      <w:r>
        <w:rPr>
          <w:rFonts w:cs="Arial"/>
          <w:rtl/>
        </w:rPr>
        <w:t xml:space="preserve"> וכופין אותו לגרשה. ואם רשאי להיות בעיר אע"פ שהוא מוכתב למלכות בעיר אחרת </w:t>
      </w:r>
      <w:r w:rsidR="00A82951">
        <w:rPr>
          <w:rFonts w:cs="Arial"/>
          <w:rtl/>
        </w:rPr>
        <w:t>-</w:t>
      </w:r>
      <w:r>
        <w:rPr>
          <w:rFonts w:cs="Arial"/>
          <w:rtl/>
        </w:rPr>
        <w:t xml:space="preserve"> אין כופין אותו להוציאה</w:t>
      </w:r>
      <w:r>
        <w:rPr>
          <w:rFonts w:cs="Arial"/>
          <w:sz w:val="16"/>
          <w:szCs w:val="16"/>
          <w:rtl/>
        </w:rPr>
        <w:t xml:space="preserve"> (ל' הטור בשמו)</w:t>
      </w:r>
      <w:r>
        <w:rPr>
          <w:rFonts w:cs="Arial"/>
          <w:rtl/>
        </w:rPr>
        <w:t xml:space="preserve">. </w:t>
      </w:r>
      <w:r>
        <w:rPr>
          <w:color w:val="E36C0A" w:themeColor="accent6" w:themeShade="BF"/>
          <w:rtl/>
        </w:rPr>
        <w:t>(וכ"פ בשו"ע)</w:t>
      </w:r>
    </w:p>
    <w:p w14:paraId="760C4CE5"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50EEECCB" w14:textId="77777777" w:rsidR="00C97BEF" w:rsidRDefault="00C97BEF" w:rsidP="00C97BEF">
      <w:pPr>
        <w:rPr>
          <w:rtl/>
        </w:rPr>
      </w:pPr>
      <w:r>
        <w:rPr>
          <w:rFonts w:cs="Arial"/>
          <w:rtl/>
        </w:rPr>
        <w:t xml:space="preserve">אם הדבר ידוע שאינו רשאי לעמוד במקום שנשאת, מפני סכנת נפשות, כופין אותו לגרשה. </w:t>
      </w:r>
      <w:r>
        <w:rPr>
          <w:rFonts w:cs="Arial"/>
          <w:sz w:val="18"/>
          <w:szCs w:val="18"/>
          <w:rtl/>
        </w:rPr>
        <w:t>[הגה] כי היא אינה צריכה ללכת אחריו.</w:t>
      </w:r>
      <w:r>
        <w:rPr>
          <w:rFonts w:cs="Arial"/>
          <w:rtl/>
        </w:rPr>
        <w:t xml:space="preserve"> </w:t>
      </w:r>
    </w:p>
    <w:p w14:paraId="78FF0E78" w14:textId="77777777" w:rsidR="00C97BEF" w:rsidRDefault="00C97BEF" w:rsidP="00C97BEF">
      <w:pPr>
        <w:rPr>
          <w:rtl/>
        </w:rPr>
      </w:pPr>
    </w:p>
    <w:p w14:paraId="6BDB12EB" w14:textId="77777777" w:rsidR="00C97BEF" w:rsidRDefault="00C97BEF" w:rsidP="00C97BEF">
      <w:pPr>
        <w:pStyle w:val="2"/>
        <w:rPr>
          <w:rtl/>
        </w:rPr>
      </w:pPr>
      <w:r>
        <w:rPr>
          <w:rtl/>
        </w:rPr>
        <w:lastRenderedPageBreak/>
        <w:t>סעיף י: נשא אשה ולא ילדה עשר שנים.</w:t>
      </w:r>
    </w:p>
    <w:p w14:paraId="4E71AEFE" w14:textId="2A02DF76" w:rsidR="00C97BEF" w:rsidRDefault="00C97BEF" w:rsidP="00C97BEF">
      <w:pPr>
        <w:rPr>
          <w:rFonts w:cs="Arial"/>
          <w:rtl/>
        </w:rPr>
      </w:pPr>
      <w:r>
        <w:rPr>
          <w:rFonts w:cs="Arial"/>
          <w:b/>
          <w:bCs/>
          <w:rtl/>
        </w:rPr>
        <w:t xml:space="preserve">יבמות </w:t>
      </w:r>
      <w:r>
        <w:rPr>
          <w:rFonts w:cs="Arial"/>
          <w:b/>
          <w:bCs/>
          <w:sz w:val="16"/>
          <w:szCs w:val="16"/>
          <w:rtl/>
        </w:rPr>
        <w:t xml:space="preserve">(פ' הבא על יבמתו) </w:t>
      </w:r>
      <w:r>
        <w:rPr>
          <w:rFonts w:cs="Arial"/>
          <w:b/>
          <w:bCs/>
          <w:rtl/>
        </w:rPr>
        <w:t>סד ע"א:</w:t>
      </w:r>
      <w:r>
        <w:rPr>
          <w:rFonts w:cs="Arial"/>
          <w:rtl/>
        </w:rPr>
        <w:t xml:space="preserve"> </w:t>
      </w:r>
      <w:r>
        <w:rPr>
          <w:rFonts w:cs="Arial"/>
          <w:u w:val="double"/>
          <w:rtl/>
        </w:rPr>
        <w:t>מתני'</w:t>
      </w:r>
      <w:r>
        <w:rPr>
          <w:rFonts w:cs="Arial"/>
          <w:rtl/>
        </w:rPr>
        <w:t xml:space="preserve">: נשא אשה ושהה עמה עשר שנים ולא ילדה </w:t>
      </w:r>
      <w:r w:rsidR="00A82951">
        <w:rPr>
          <w:rFonts w:cs="Arial"/>
          <w:rtl/>
        </w:rPr>
        <w:t>-</w:t>
      </w:r>
      <w:r>
        <w:rPr>
          <w:rFonts w:cs="Arial"/>
          <w:rtl/>
        </w:rPr>
        <w:t xml:space="preserve"> אינו רשאי לבטל. גירשה </w:t>
      </w:r>
      <w:r w:rsidR="00A82951">
        <w:rPr>
          <w:rFonts w:cs="Arial"/>
          <w:rtl/>
        </w:rPr>
        <w:t>-</w:t>
      </w:r>
      <w:r>
        <w:rPr>
          <w:rFonts w:cs="Arial"/>
          <w:rtl/>
        </w:rPr>
        <w:t xml:space="preserve"> מותרת לינשא לאחר, ורשאי השני לשהות עמה י' שנים. ואם הפילה </w:t>
      </w:r>
      <w:r w:rsidR="00A82951">
        <w:rPr>
          <w:rFonts w:cs="Arial"/>
          <w:rtl/>
        </w:rPr>
        <w:t>-</w:t>
      </w:r>
      <w:r>
        <w:rPr>
          <w:rFonts w:cs="Arial"/>
          <w:rtl/>
        </w:rPr>
        <w:t xml:space="preserve"> מונה משעה שהפילה.        </w:t>
      </w:r>
      <w:r>
        <w:rPr>
          <w:rFonts w:cs="Arial"/>
          <w:u w:val="double"/>
          <w:rtl/>
        </w:rPr>
        <w:t>גמ'</w:t>
      </w:r>
      <w:r>
        <w:rPr>
          <w:rFonts w:cs="Arial"/>
          <w:rtl/>
        </w:rPr>
        <w:t xml:space="preserve">: ת"ר: נשא אשה ושהה עמה עשר שנים ולא ילדה </w:t>
      </w:r>
      <w:r w:rsidR="00A82951">
        <w:rPr>
          <w:rFonts w:cs="Arial"/>
          <w:rtl/>
        </w:rPr>
        <w:t>-</w:t>
      </w:r>
      <w:r>
        <w:rPr>
          <w:rFonts w:cs="Arial"/>
          <w:rtl/>
        </w:rPr>
        <w:t xml:space="preserve"> יוציא ויתן כתובה, שמא לא זכה להבנות ממנה. אף על פי שאין ראיה לדבר </w:t>
      </w:r>
      <w:r w:rsidR="00A82951">
        <w:rPr>
          <w:rFonts w:cs="Arial"/>
          <w:rtl/>
        </w:rPr>
        <w:t>-</w:t>
      </w:r>
      <w:r>
        <w:rPr>
          <w:rFonts w:cs="Arial"/>
          <w:rtl/>
        </w:rPr>
        <w:t xml:space="preserve"> זכר לדבר: מקץ עשר שנים לשבת אברם בארץ כנען </w:t>
      </w:r>
      <w:r w:rsidR="00A82951">
        <w:rPr>
          <w:rFonts w:cs="Arial"/>
          <w:rtl/>
        </w:rPr>
        <w:t>-</w:t>
      </w:r>
      <w:r>
        <w:rPr>
          <w:rFonts w:cs="Arial"/>
          <w:rtl/>
        </w:rPr>
        <w:t xml:space="preserve"> ללמדך, שאין ישיבת חו"ל עולה לו מן המנין.</w:t>
      </w:r>
    </w:p>
    <w:p w14:paraId="7A531638" w14:textId="32FB46BB" w:rsidR="00C97BEF" w:rsidRDefault="00C97BEF" w:rsidP="00C97BEF">
      <w:pPr>
        <w:rPr>
          <w:rFonts w:cs="Arial"/>
          <w:rtl/>
        </w:rPr>
      </w:pPr>
      <w:r>
        <w:rPr>
          <w:rFonts w:cs="Arial"/>
          <w:b/>
          <w:bCs/>
          <w:rtl/>
        </w:rPr>
        <w:t xml:space="preserve">כתובות </w:t>
      </w:r>
      <w:r>
        <w:rPr>
          <w:rFonts w:cs="Arial"/>
          <w:b/>
          <w:bCs/>
          <w:sz w:val="16"/>
          <w:szCs w:val="16"/>
          <w:rtl/>
        </w:rPr>
        <w:t xml:space="preserve">(ס"פ המדיר) </w:t>
      </w:r>
      <w:r>
        <w:rPr>
          <w:rFonts w:cs="Arial"/>
          <w:b/>
          <w:bCs/>
          <w:rtl/>
        </w:rPr>
        <w:t>עז ע"</w:t>
      </w:r>
      <w:r w:rsidR="00775475">
        <w:rPr>
          <w:rFonts w:cs="Arial" w:hint="cs"/>
          <w:b/>
          <w:bCs/>
          <w:rtl/>
        </w:rPr>
        <w:t>א</w:t>
      </w:r>
      <w:r>
        <w:rPr>
          <w:rFonts w:cs="Arial"/>
          <w:b/>
          <w:bCs/>
          <w:rtl/>
        </w:rPr>
        <w:t>:</w:t>
      </w:r>
      <w:r>
        <w:rPr>
          <w:rFonts w:cs="Arial"/>
          <w:rtl/>
        </w:rPr>
        <w:t xml:space="preserve"> </w:t>
      </w:r>
      <w:r>
        <w:rPr>
          <w:rFonts w:cs="Arial"/>
          <w:u w:val="single"/>
          <w:rtl/>
        </w:rPr>
        <w:t>אמר רב יהודה אמר רב אסי</w:t>
      </w:r>
      <w:r>
        <w:rPr>
          <w:rFonts w:cs="Arial"/>
          <w:rtl/>
        </w:rPr>
        <w:t xml:space="preserve">: אין מעשין אלא לפסולות; </w:t>
      </w:r>
      <w:r>
        <w:rPr>
          <w:rFonts w:cs="Arial"/>
          <w:u w:val="single"/>
          <w:rtl/>
        </w:rPr>
        <w:t>כי אמריתה קמיה דשמואל, אמר</w:t>
      </w:r>
      <w:r>
        <w:rPr>
          <w:rFonts w:cs="Arial"/>
          <w:rtl/>
        </w:rPr>
        <w:t xml:space="preserve">: כגון אלמנה לכהן גדול, וגרושה וחלוצה לכהן הדיוט, ממזרת ונתינה לישראל, בת ישראל לנתין ולממזר, אבל נשא אשה ושהה עמה עשר שנים ולא ילדה </w:t>
      </w:r>
      <w:r w:rsidR="00A82951">
        <w:rPr>
          <w:rFonts w:cs="Arial"/>
          <w:rtl/>
        </w:rPr>
        <w:t>-</w:t>
      </w:r>
      <w:r>
        <w:rPr>
          <w:rFonts w:cs="Arial"/>
          <w:rtl/>
        </w:rPr>
        <w:t xml:space="preserve"> אין כופין אותו. </w:t>
      </w:r>
      <w:r>
        <w:rPr>
          <w:rFonts w:cs="Arial"/>
          <w:u w:val="single"/>
          <w:rtl/>
        </w:rPr>
        <w:t>ורב תחליפא בר אבימי אמר שמואל</w:t>
      </w:r>
      <w:r>
        <w:rPr>
          <w:rFonts w:cs="Arial"/>
          <w:rtl/>
        </w:rPr>
        <w:t xml:space="preserve">: אפילו נשא אשה ושהה עמה י' שנים ולא ילדה, כופין אותו. תנן, אלו שכופין אותו להוציא: מוכה שחין, ובעל פוליפוס; בשלמא לרב אסי </w:t>
      </w:r>
      <w:r w:rsidR="00A82951">
        <w:rPr>
          <w:rFonts w:cs="Arial"/>
          <w:rtl/>
        </w:rPr>
        <w:t>-</w:t>
      </w:r>
      <w:r>
        <w:rPr>
          <w:rFonts w:cs="Arial"/>
          <w:rtl/>
        </w:rPr>
        <w:t xml:space="preserve"> דרבנן קתני, דאורייתא לא קתני, אלא לרב תחליפא בר אבימי, ליתני: נשא אשה ושהה עמה עשר שנים ולא ילדה </w:t>
      </w:r>
      <w:r w:rsidR="00A82951">
        <w:rPr>
          <w:rFonts w:cs="Arial"/>
          <w:rtl/>
        </w:rPr>
        <w:t>-</w:t>
      </w:r>
      <w:r>
        <w:rPr>
          <w:rFonts w:cs="Arial"/>
          <w:rtl/>
        </w:rPr>
        <w:t xml:space="preserve"> כופין אותו! </w:t>
      </w:r>
      <w:r>
        <w:rPr>
          <w:rFonts w:cs="Arial"/>
          <w:u w:val="single"/>
          <w:rtl/>
        </w:rPr>
        <w:t>אמר רב נחמן</w:t>
      </w:r>
      <w:r>
        <w:rPr>
          <w:rFonts w:cs="Arial"/>
          <w:rtl/>
        </w:rPr>
        <w:t xml:space="preserve">: לא קשיא, הא במילי, הא בשוטי. </w:t>
      </w:r>
      <w:r>
        <w:rPr>
          <w:rFonts w:cs="Arial"/>
          <w:u w:val="single"/>
          <w:rtl/>
        </w:rPr>
        <w:t>מתקיף לה רבי אבא</w:t>
      </w:r>
      <w:r>
        <w:rPr>
          <w:rFonts w:cs="Arial"/>
          <w:rtl/>
        </w:rPr>
        <w:t xml:space="preserve">: בדברים לא יוסר עבד! </w:t>
      </w:r>
      <w:r>
        <w:rPr>
          <w:rFonts w:cs="Arial"/>
          <w:u w:val="single"/>
          <w:rtl/>
        </w:rPr>
        <w:t>אלא אמר רבי אבא</w:t>
      </w:r>
      <w:r>
        <w:rPr>
          <w:rFonts w:cs="Arial"/>
          <w:rtl/>
        </w:rPr>
        <w:t>: הא והא בשוטי</w:t>
      </w:r>
      <w:r>
        <w:rPr>
          <w:rStyle w:val="a7"/>
          <w:rFonts w:cs="Arial"/>
          <w:rtl/>
        </w:rPr>
        <w:footnoteReference w:id="2841"/>
      </w:r>
      <w:r>
        <w:rPr>
          <w:rFonts w:cs="Arial"/>
          <w:rtl/>
        </w:rPr>
        <w:t xml:space="preserve">, </w:t>
      </w:r>
      <w:r>
        <w:rPr>
          <w:rFonts w:cs="Arial"/>
          <w:sz w:val="14"/>
          <w:szCs w:val="14"/>
          <w:rtl/>
        </w:rPr>
        <w:t xml:space="preserve">(עז:) </w:t>
      </w:r>
      <w:r>
        <w:rPr>
          <w:rFonts w:cs="Arial"/>
          <w:rtl/>
        </w:rPr>
        <w:t>התם</w:t>
      </w:r>
      <w:r>
        <w:rPr>
          <w:rStyle w:val="a7"/>
          <w:rFonts w:cs="Arial"/>
          <w:rtl/>
        </w:rPr>
        <w:footnoteReference w:id="2842"/>
      </w:r>
      <w:r>
        <w:rPr>
          <w:rFonts w:cs="Arial"/>
          <w:rtl/>
        </w:rPr>
        <w:t xml:space="preserve"> כי אמרה</w:t>
      </w:r>
      <w:r>
        <w:rPr>
          <w:rStyle w:val="a7"/>
          <w:rFonts w:cs="Arial"/>
          <w:rtl/>
        </w:rPr>
        <w:footnoteReference w:id="2843"/>
      </w:r>
      <w:r>
        <w:rPr>
          <w:rFonts w:cs="Arial"/>
          <w:rtl/>
        </w:rPr>
        <w:t xml:space="preserve"> הוינא בהדיה </w:t>
      </w:r>
      <w:r w:rsidR="00A82951">
        <w:rPr>
          <w:rFonts w:cs="Arial"/>
          <w:rtl/>
        </w:rPr>
        <w:t>-</w:t>
      </w:r>
      <w:r>
        <w:rPr>
          <w:rFonts w:cs="Arial"/>
          <w:rtl/>
        </w:rPr>
        <w:t xml:space="preserve"> שבקינן לה, הכא אף על גב דאמרה הוינא בהדיה </w:t>
      </w:r>
      <w:r w:rsidR="00A82951">
        <w:rPr>
          <w:rFonts w:cs="Arial"/>
          <w:rtl/>
        </w:rPr>
        <w:t>-</w:t>
      </w:r>
      <w:r>
        <w:rPr>
          <w:rFonts w:cs="Arial"/>
          <w:rtl/>
        </w:rPr>
        <w:t xml:space="preserve"> לא שבקינן לה. והרי מוכה שחין, דאף על גב דאמרה הוינא בהדיה </w:t>
      </w:r>
      <w:r w:rsidR="00A82951">
        <w:rPr>
          <w:rFonts w:cs="Arial"/>
          <w:rtl/>
        </w:rPr>
        <w:t>-</w:t>
      </w:r>
      <w:r>
        <w:rPr>
          <w:rFonts w:cs="Arial"/>
          <w:rtl/>
        </w:rPr>
        <w:t xml:space="preserve"> לא שבקינן לה, דתנן: חוץ ממוכה שחין מפני שממקתו, וקתני</w:t>
      </w:r>
      <w:r>
        <w:rPr>
          <w:rStyle w:val="a7"/>
          <w:rFonts w:cs="Arial"/>
          <w:rtl/>
        </w:rPr>
        <w:footnoteReference w:id="2844"/>
      </w:r>
      <w:r>
        <w:rPr>
          <w:rFonts w:cs="Arial"/>
          <w:rtl/>
        </w:rPr>
        <w:t xml:space="preserve">! התם כי אמרה דיירנא בהדיה בסהדי </w:t>
      </w:r>
      <w:r w:rsidR="00A82951">
        <w:rPr>
          <w:rFonts w:cs="Arial"/>
          <w:rtl/>
        </w:rPr>
        <w:t>-</w:t>
      </w:r>
      <w:r>
        <w:rPr>
          <w:rFonts w:cs="Arial"/>
          <w:rtl/>
        </w:rPr>
        <w:t xml:space="preserve"> שבקינן לה, הכא</w:t>
      </w:r>
      <w:r>
        <w:rPr>
          <w:rStyle w:val="a7"/>
          <w:rFonts w:cs="Arial"/>
          <w:rtl/>
        </w:rPr>
        <w:footnoteReference w:id="2845"/>
      </w:r>
      <w:r>
        <w:rPr>
          <w:rFonts w:cs="Arial"/>
          <w:rtl/>
        </w:rPr>
        <w:t xml:space="preserve"> אף על גב דאמרה דיירנא בהדיה בסהדי </w:t>
      </w:r>
      <w:r w:rsidR="00A82951">
        <w:rPr>
          <w:rFonts w:cs="Arial"/>
          <w:rtl/>
        </w:rPr>
        <w:t>-</w:t>
      </w:r>
      <w:r>
        <w:rPr>
          <w:rFonts w:cs="Arial"/>
          <w:rtl/>
        </w:rPr>
        <w:t xml:space="preserve"> לא שבקינן לה.  </w:t>
      </w:r>
    </w:p>
    <w:p w14:paraId="60885B47" w14:textId="77777777" w:rsidR="00C97BEF" w:rsidRDefault="00C97BEF" w:rsidP="00C97BEF">
      <w:pPr>
        <w:rPr>
          <w:u w:val="single"/>
          <w:rtl/>
        </w:rPr>
      </w:pPr>
      <w:r>
        <w:rPr>
          <w:u w:val="single"/>
          <w:rtl/>
        </w:rPr>
        <w:t>נשא אשה ולא ילדה עשר שנים:</w:t>
      </w:r>
    </w:p>
    <w:p w14:paraId="6A229339" w14:textId="6CD53EA2"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נשא אשה ושהה עמה י' שנים ולא ילדה </w:t>
      </w:r>
      <w:r w:rsidR="00A82951">
        <w:rPr>
          <w:rFonts w:cs="Arial"/>
          <w:rtl/>
        </w:rPr>
        <w:t>-</w:t>
      </w:r>
      <w:r>
        <w:rPr>
          <w:rFonts w:cs="Arial"/>
          <w:rtl/>
        </w:rPr>
        <w:t xml:space="preserve"> יוציא ויתן כתובה או ישא אשה אחרת שראויה לילד. ואפי' אמרה דיירנא בהדיה בסהדי שלא אתייחד עמו, או שהוא אומר כן </w:t>
      </w:r>
      <w:r w:rsidR="00A82951">
        <w:rPr>
          <w:rFonts w:cs="Arial"/>
          <w:rtl/>
        </w:rPr>
        <w:t>-</w:t>
      </w:r>
      <w:r>
        <w:rPr>
          <w:rFonts w:cs="Arial"/>
          <w:rtl/>
        </w:rPr>
        <w:t xml:space="preserve"> אין שומעין לה, אלא יוציא ויתן כתובה. הפילה תוך י' שנים</w:t>
      </w:r>
      <w:r w:rsidR="00775475">
        <w:rPr>
          <w:rFonts w:cs="Arial" w:hint="cs"/>
          <w:rtl/>
        </w:rPr>
        <w:t>,</w:t>
      </w:r>
      <w:r>
        <w:rPr>
          <w:rFonts w:cs="Arial"/>
          <w:rtl/>
        </w:rPr>
        <w:t xml:space="preserve"> מונין לה י' שנים משעה שהפילה. </w:t>
      </w:r>
      <w:r>
        <w:rPr>
          <w:color w:val="E36C0A" w:themeColor="accent6" w:themeShade="BF"/>
          <w:rtl/>
        </w:rPr>
        <w:t>(וכ"פ בשו"ע)</w:t>
      </w:r>
    </w:p>
    <w:p w14:paraId="4B76E924" w14:textId="77777777" w:rsidR="00C97BEF" w:rsidRDefault="00C97BEF" w:rsidP="00C97BEF">
      <w:pPr>
        <w:ind w:left="360"/>
        <w:rPr>
          <w:u w:val="dotted"/>
        </w:rPr>
      </w:pPr>
      <w:r>
        <w:rPr>
          <w:u w:val="dotted"/>
          <w:rtl/>
        </w:rPr>
        <w:t>ומה הדין אם ילדה לו רק ילד אחד</w:t>
      </w:r>
      <w:r>
        <w:rPr>
          <w:sz w:val="16"/>
          <w:szCs w:val="16"/>
          <w:u w:val="dotted"/>
          <w:rtl/>
        </w:rPr>
        <w:t xml:space="preserve"> (היינו שלא קיים מצוות פו"ר)</w:t>
      </w:r>
      <w:r>
        <w:rPr>
          <w:u w:val="dotted"/>
          <w:rtl/>
        </w:rPr>
        <w:t xml:space="preserve"> ועמדה מלדת:</w:t>
      </w:r>
    </w:p>
    <w:p w14:paraId="2BDAF873" w14:textId="36308533" w:rsidR="00C97BEF" w:rsidRDefault="00C97BEF" w:rsidP="006A458D">
      <w:pPr>
        <w:pStyle w:val="ab"/>
        <w:numPr>
          <w:ilvl w:val="0"/>
          <w:numId w:val="123"/>
        </w:numPr>
        <w:rPr>
          <w:rFonts w:cs="Arial"/>
        </w:rPr>
      </w:pPr>
      <w:r>
        <w:rPr>
          <w:rFonts w:cs="Arial"/>
          <w:rtl/>
        </w:rPr>
        <w:t xml:space="preserve">ריב"ש </w:t>
      </w:r>
      <w:r>
        <w:rPr>
          <w:rFonts w:cs="Arial"/>
          <w:sz w:val="16"/>
          <w:szCs w:val="16"/>
          <w:rtl/>
        </w:rPr>
        <w:t>(סי' טו)</w:t>
      </w:r>
      <w:r w:rsidR="00A82951">
        <w:rPr>
          <w:rFonts w:cs="Arial"/>
          <w:rtl/>
        </w:rPr>
        <w:t>-</w:t>
      </w:r>
      <w:r>
        <w:rPr>
          <w:rFonts w:cs="Arial"/>
          <w:rtl/>
        </w:rPr>
        <w:t xml:space="preserve"> דעת קצת מפרשים </w:t>
      </w:r>
      <w:r>
        <w:rPr>
          <w:rFonts w:cs="Arial"/>
          <w:sz w:val="16"/>
          <w:szCs w:val="16"/>
          <w:rtl/>
        </w:rPr>
        <w:t xml:space="preserve">(רמב"ן ורשב"א [יבמות ריש סד.]) </w:t>
      </w:r>
      <w:r>
        <w:rPr>
          <w:rFonts w:cs="Arial"/>
          <w:rtl/>
        </w:rPr>
        <w:t xml:space="preserve">דדוקא קתני מתניתין שהתה עשר שנים ולא ילדה, הא אם ילדה ולד של קיימא אע"פ שעדיין לא קיים מצות פריה ורביה </w:t>
      </w:r>
      <w:r w:rsidR="00A82951">
        <w:rPr>
          <w:rFonts w:cs="Arial"/>
          <w:rtl/>
        </w:rPr>
        <w:t>-</w:t>
      </w:r>
      <w:r>
        <w:rPr>
          <w:rFonts w:cs="Arial"/>
          <w:rtl/>
        </w:rPr>
        <w:t xml:space="preserve"> אין כופין להוציא. מיהו היינו בזו שלא הוחזקה עקרה עדיין ואפשר שתלד לו עוד, שהרי כבר זכה ליבנות ממנה. אבל בזקנה שאין לה תקנה, אע"פ שילדה לו כיון שאין לו בנים כשיעור הצריך לקיום המצוה </w:t>
      </w:r>
      <w:r w:rsidR="00A82951">
        <w:rPr>
          <w:rFonts w:cs="Arial"/>
          <w:rtl/>
        </w:rPr>
        <w:t>-</w:t>
      </w:r>
      <w:r>
        <w:rPr>
          <w:rFonts w:cs="Arial"/>
          <w:rtl/>
        </w:rPr>
        <w:t xml:space="preserve"> כופין אותו להוציא, אין צריך לומר לדעת מי שאומר </w:t>
      </w:r>
      <w:r>
        <w:rPr>
          <w:rFonts w:cs="Arial"/>
          <w:sz w:val="16"/>
          <w:szCs w:val="16"/>
          <w:rtl/>
        </w:rPr>
        <w:t xml:space="preserve">(עיין רשב"א שם) </w:t>
      </w:r>
      <w:r>
        <w:rPr>
          <w:rFonts w:cs="Arial"/>
          <w:rtl/>
        </w:rPr>
        <w:t>דשהתה עשר שנים ולא ילדה ארישא (דמתני', סא:) קאי, כלומר שלא ילדה ולד קיימא השיעור הצריך</w:t>
      </w:r>
      <w:r>
        <w:rPr>
          <w:rStyle w:val="a7"/>
          <w:rFonts w:cs="Arial"/>
          <w:rtl/>
        </w:rPr>
        <w:footnoteReference w:id="2846"/>
      </w:r>
      <w:r>
        <w:rPr>
          <w:rFonts w:cs="Arial"/>
          <w:rtl/>
        </w:rPr>
        <w:t xml:space="preserve">. </w:t>
      </w:r>
      <w:r>
        <w:rPr>
          <w:rFonts w:cs="Arial"/>
          <w:color w:val="00B0F0"/>
          <w:rtl/>
        </w:rPr>
        <w:t>(וכ"כ הרמ"א)</w:t>
      </w:r>
    </w:p>
    <w:p w14:paraId="0A7A1C9C" w14:textId="58E200CE" w:rsidR="00C97BEF" w:rsidRDefault="00C97BEF" w:rsidP="006A458D">
      <w:pPr>
        <w:pStyle w:val="ab"/>
        <w:numPr>
          <w:ilvl w:val="0"/>
          <w:numId w:val="123"/>
        </w:numPr>
      </w:pPr>
      <w:r>
        <w:rPr>
          <w:rFonts w:cs="Arial"/>
          <w:rtl/>
        </w:rPr>
        <w:t xml:space="preserve">רשב"א </w:t>
      </w:r>
      <w:r>
        <w:rPr>
          <w:rFonts w:cs="Arial"/>
          <w:sz w:val="16"/>
          <w:szCs w:val="16"/>
          <w:rtl/>
        </w:rPr>
        <w:t>(ח"ג סי' שלט)</w:t>
      </w:r>
      <w:r w:rsidR="00A82951">
        <w:rPr>
          <w:rFonts w:cs="Arial"/>
          <w:rtl/>
        </w:rPr>
        <w:t>-</w:t>
      </w:r>
      <w:r>
        <w:rPr>
          <w:rFonts w:cs="Arial"/>
          <w:rtl/>
        </w:rPr>
        <w:t xml:space="preserve"> הא דאמרינן (יבמות סה:) הפילה וחזרה והפילה הוחזקה לנפלים, לא אמרו אלא במי שלא ילדה בן קיימא. הא ילדה, ראויה היתה זו אלא שלאחר מכן נתקלקלה ושדהו הוא דנסתחפה (כתובות ב.). והגע עצמך, אם ילדה ועמדה מלדת, הנאמר שיגרש? הא ודאי לא יגרש, דשדהו הוא דנסתחפה. ולא אמרו במשנתינו (יבמות סא:) אלא שלא יבטל אדם מפריה ורביה אא"כ יש לו בנים, אלא יתעסק עד שיהיו לו. ובאשה זו אם ירצה יקח אשה אחרת על אשתו אם עמדה מלדת, אבל לגרש לא אמרו (שם סד.) אלא כששהה עמה עשר שנים ולא ילדה, ומשמע שלא ילדה כלל, הא ילדה </w:t>
      </w:r>
      <w:r w:rsidR="00A82951">
        <w:rPr>
          <w:rFonts w:cs="Arial"/>
          <w:rtl/>
        </w:rPr>
        <w:t>-</w:t>
      </w:r>
      <w:r>
        <w:rPr>
          <w:rFonts w:cs="Arial"/>
          <w:rtl/>
        </w:rPr>
        <w:t xml:space="preserve"> לא, וטעמא כדפרישית דאיהו הוא דנסתחפה שדהו. </w:t>
      </w:r>
      <w:r>
        <w:rPr>
          <w:rFonts w:cs="Arial"/>
          <w:sz w:val="16"/>
          <w:szCs w:val="16"/>
          <w:rtl/>
        </w:rPr>
        <w:t xml:space="preserve">(וכתב עוד שם סי' שמ) </w:t>
      </w:r>
      <w:r>
        <w:rPr>
          <w:rFonts w:cs="Arial"/>
          <w:rtl/>
        </w:rPr>
        <w:t xml:space="preserve">כל שילדה ודאי, נראה דקלקול חולי הוא שנתקלקל בית ולד שלה. וכל מחמת חולי אין זמן עשר שנים עולה לו, כדאיתא בפרק הבא על יבמתו (סד.), וכל שהוא מחמת חולי סופו להבריא. ועוד תדע דלא אמרו בששהה עשר שנים אלא בזמן שניכר שהיא עקרה, שהרי שנינו (שם) אם הפילה מונה משעה שהפילה. והטעם בזה דמכל מקום כיון שנתעברה ניכר שאינה עקרה, אלא שוהה עמה עוד עשר שנים דשמא כיון שאינה עקרה עוד תלד ולד של קיימא. אבל אם לאחר שהפילה לא ילדה חוששין שבית ולד שלה מקולקל שלא לגמור ולד של קיימא או שלא לקבל הזרע. ומכל מקום לא אמרתי אלא שלא לכוף בשוטים להוציא כמו שכופין למי ששהה עמה עשר שנים ולא ילדה, אבל הוא מצווה שלא יתבטל מפריה ורביה, ואם לא מזו ישא אחרת. ותדע דבאותה שלא ילדה קאמרינן דהא כששהה עמה עשר שנים אפילו </w:t>
      </w:r>
      <w:r>
        <w:rPr>
          <w:rFonts w:cs="Arial"/>
          <w:rtl/>
        </w:rPr>
        <w:lastRenderedPageBreak/>
        <w:t>אמרה דיירנא בהדיה בסהדי לא שבקינן לה כדאמרינן בהמדיר (עז:) מפני שהיא מוחזקת בעקרה שלא תלד. אבל זו שילדה יצתה מכלל עקרה ולמה לא תשב עמו. הרבה נשים עמדו מלדת אחר שילדו מחמת מקרה שקיבל בית הולד שלהן. ואחר ילדו על ידי רופא. ושמא זו אם תשב אצלו עוד תלד לו. והילכך יקח אשה על זו ותשב זו עוד תחתיו ולא בעדים, אלא אדרבה תזקק לו. ועוד אילו היו לו בנים ומתו דקיי"ל כרבי יוחנן (יבמות סב.) דלא קיים פריה ורביה, הנאמר שאלו אשר מתו אחר אשר זקנה אמם שנכוף אותו בשוטים לגרש אם הבנים ויקח אשה אחרת?. ומי שילדה לו בנים ונמצא אחד מהם סריס שלא קיים פריה ורביה (שם ריש ע"ב) נאמר שיגרש את אשתו הזקנה?. ואם לא רצה הב' שישא אשה אחרת ויוציא זו אשר ילדה לו זה אין השכל מקבלו אלא שחייב לישא אשה על אשתו ותלד לו.</w:t>
      </w:r>
    </w:p>
    <w:p w14:paraId="09A8556E" w14:textId="4262174B" w:rsidR="00C97BEF" w:rsidRDefault="00C97BEF" w:rsidP="00C97BEF">
      <w:pPr>
        <w:rPr>
          <w:u w:val="single"/>
        </w:rPr>
      </w:pPr>
      <w:r>
        <w:rPr>
          <w:rFonts w:cs="Arial"/>
          <w:u w:val="single"/>
          <w:rtl/>
        </w:rPr>
        <w:t xml:space="preserve"> </w:t>
      </w:r>
      <w:r>
        <w:rPr>
          <w:u w:val="single"/>
          <w:rtl/>
        </w:rPr>
        <w:t xml:space="preserve">מי שהיו לו בנים ומתו </w:t>
      </w:r>
      <w:r w:rsidR="00A82951">
        <w:rPr>
          <w:u w:val="single"/>
          <w:rtl/>
        </w:rPr>
        <w:t>-</w:t>
      </w:r>
      <w:r>
        <w:rPr>
          <w:u w:val="single"/>
          <w:rtl/>
        </w:rPr>
        <w:t xml:space="preserve"> ממתי מונה עשר שנים:</w:t>
      </w:r>
      <w:r>
        <w:rPr>
          <w:rFonts w:cs="Arial"/>
          <w:sz w:val="16"/>
          <w:szCs w:val="16"/>
          <w:rtl/>
        </w:rPr>
        <w:t xml:space="preserve">  (ב"י בבדה"ב)</w:t>
      </w:r>
    </w:p>
    <w:p w14:paraId="19E21EC0" w14:textId="1A579BB2" w:rsidR="00C97BEF" w:rsidRDefault="00C97BEF" w:rsidP="006A458D">
      <w:pPr>
        <w:pStyle w:val="ab"/>
        <w:numPr>
          <w:ilvl w:val="0"/>
          <w:numId w:val="123"/>
        </w:numPr>
        <w:rPr>
          <w:rFonts w:cs="Arial"/>
        </w:rPr>
      </w:pPr>
      <w:r>
        <w:rPr>
          <w:rFonts w:cs="Arial"/>
          <w:rtl/>
        </w:rPr>
        <w:t xml:space="preserve">רשב"א </w:t>
      </w:r>
      <w:r>
        <w:rPr>
          <w:rFonts w:cs="Arial"/>
          <w:sz w:val="16"/>
          <w:szCs w:val="16"/>
          <w:rtl/>
        </w:rPr>
        <w:t>(יבמות סד. ד"ה מתניתין, כ"כ בשמו הה"מ [פט"ו מאיות הי"ב])</w:t>
      </w:r>
      <w:r w:rsidR="00A82951">
        <w:rPr>
          <w:rFonts w:cs="Arial"/>
          <w:rtl/>
        </w:rPr>
        <w:t>-</w:t>
      </w:r>
      <w:r>
        <w:rPr>
          <w:rFonts w:cs="Arial"/>
          <w:rtl/>
        </w:rPr>
        <w:t xml:space="preserve"> ואם הפילה מונה משעה שהפילה. פירשו בירושלמי </w:t>
      </w:r>
      <w:r>
        <w:rPr>
          <w:rFonts w:cs="Arial"/>
          <w:sz w:val="16"/>
          <w:szCs w:val="16"/>
          <w:rtl/>
        </w:rPr>
        <w:t xml:space="preserve">(יבמות פ"ו ה"ו) </w:t>
      </w:r>
      <w:r>
        <w:rPr>
          <w:rFonts w:cs="Arial"/>
          <w:rtl/>
        </w:rPr>
        <w:t xml:space="preserve">דה"ה להיו לה בנים ומתו דגרסינן התם היו לה בנים ומתו מונה משעה שמתו. </w:t>
      </w:r>
    </w:p>
    <w:p w14:paraId="12C271A9" w14:textId="77777777" w:rsidR="00C97BEF" w:rsidRDefault="00C97BEF" w:rsidP="00C97BEF">
      <w:pPr>
        <w:rPr>
          <w:rFonts w:cs="Arial"/>
        </w:rPr>
      </w:pPr>
      <w:bookmarkStart w:id="43" w:name="_Hlk98239936"/>
      <w:r>
        <w:rPr>
          <w:rFonts w:cs="Arial"/>
          <w:b/>
          <w:bCs/>
          <w:rtl/>
        </w:rPr>
        <w:t xml:space="preserve">בבא בתרא </w:t>
      </w:r>
      <w:r>
        <w:rPr>
          <w:rFonts w:cs="Arial"/>
          <w:b/>
          <w:bCs/>
          <w:sz w:val="16"/>
          <w:szCs w:val="16"/>
          <w:rtl/>
        </w:rPr>
        <w:t xml:space="preserve">(פ' חזקת הבתים) </w:t>
      </w:r>
      <w:r>
        <w:rPr>
          <w:rFonts w:cs="Arial"/>
          <w:b/>
          <w:bCs/>
          <w:rtl/>
        </w:rPr>
        <w:t>ס ע"ב:</w:t>
      </w:r>
      <w:r>
        <w:rPr>
          <w:rFonts w:cs="Arial"/>
          <w:rtl/>
        </w:rPr>
        <w:t xml:space="preserve"> תניא, </w:t>
      </w:r>
      <w:r w:rsidRPr="00775475">
        <w:rPr>
          <w:rFonts w:cs="Arial"/>
          <w:u w:val="single"/>
          <w:rtl/>
        </w:rPr>
        <w:t>אמר ר' ישמעאל בן אלישע</w:t>
      </w:r>
      <w:r>
        <w:rPr>
          <w:rFonts w:cs="Arial"/>
          <w:rtl/>
        </w:rPr>
        <w:t>: מיום שחרב בית המקדש, דין הוא שנגזור על עצמנו שלא לאכול בשר ולא לשתות יין, אלא אין גוזרין גזרה על הצבור אא"כ רוב צבור יכולין לעמוד בה; ומיום שפשטה מלכות הרשעה, שגוזרת עלינו גזירות רעות וקשות, ומבטלת ממנו תורה ומצות, ואין מנחת אותנו ליכנס לשבוע הבן, ואמרי לה: לישוע הבן, דין הוא שנגזור על עצמנו שלא לישא אשה ולהוליד בנים, ונמצא זרעו של אברהם אבינו כלה מאליו, אלא הנח להם לישראל, מוטב שיהיו שוגגין ואל יהיו מזידין.</w:t>
      </w:r>
    </w:p>
    <w:p w14:paraId="488F25EE" w14:textId="77777777" w:rsidR="00C97BEF" w:rsidRDefault="00C97BEF" w:rsidP="00C97BEF">
      <w:pPr>
        <w:rPr>
          <w:rFonts w:cs="Arial"/>
          <w:u w:val="single"/>
        </w:rPr>
      </w:pPr>
      <w:r>
        <w:rPr>
          <w:rFonts w:cs="Arial"/>
          <w:u w:val="single"/>
          <w:rtl/>
        </w:rPr>
        <w:t>האם כופין לגרש בזמן הזה:</w:t>
      </w:r>
    </w:p>
    <w:p w14:paraId="36AEE484" w14:textId="5381369C" w:rsidR="00C97BEF" w:rsidRDefault="00C97BEF" w:rsidP="006A458D">
      <w:pPr>
        <w:pStyle w:val="ab"/>
        <w:numPr>
          <w:ilvl w:val="0"/>
          <w:numId w:val="123"/>
        </w:numPr>
        <w:rPr>
          <w:rFonts w:cs="Arial"/>
        </w:rPr>
      </w:pPr>
      <w:r>
        <w:rPr>
          <w:rFonts w:cs="Arial"/>
          <w:rtl/>
        </w:rPr>
        <w:t>ראב"ן</w:t>
      </w:r>
      <w:r>
        <w:rPr>
          <w:rFonts w:cs="Arial"/>
          <w:sz w:val="16"/>
          <w:szCs w:val="16"/>
          <w:rtl/>
        </w:rPr>
        <w:t xml:space="preserve"> (יבמות ד"ה ת"ר נשא)</w:t>
      </w:r>
      <w:r w:rsidR="00A82951">
        <w:rPr>
          <w:rFonts w:cs="Arial"/>
          <w:rtl/>
        </w:rPr>
        <w:t>-</w:t>
      </w:r>
      <w:r>
        <w:rPr>
          <w:rFonts w:cs="Arial"/>
          <w:rtl/>
        </w:rPr>
        <w:t xml:space="preserve"> אמר רב (כתובות עז.) אין מעשין אלא לפסולות, כי אמריתה קמיה דשמואל אמר אפילו נשא אשה ושהה עמה י' שנים כופין אותו להוציא... וה"מ בארץ ישראל, אבל בחוץ לארץ כיון דאמרי ללמדך שאין ישיבת חוצה לארץ עולה לו מן המנין נ"ל דאין כופין... ונ"ל דלהכי אין נזקקין בזמן הזה לעשה אפריה ורביה וגם הראשונים לא הזקקו משום דסבירא להו דלא נאמר לא יבטל אלא בארץ ישראל. ועוד תניא (ב"ב ס:) משחרב בית המקדש דין הוא שלא לישא אשה ושלא להוליד בנים אלא שאין גוזרין גזירה על הציבור אא"כ רוב הציבור יכולין לעמוד בה. </w:t>
      </w:r>
    </w:p>
    <w:p w14:paraId="6E81799C" w14:textId="17BB2551" w:rsidR="00C97BEF" w:rsidRDefault="00C97BEF" w:rsidP="006A458D">
      <w:pPr>
        <w:pStyle w:val="ab"/>
        <w:numPr>
          <w:ilvl w:val="0"/>
          <w:numId w:val="123"/>
        </w:numPr>
        <w:rPr>
          <w:rFonts w:cs="Arial"/>
        </w:rPr>
      </w:pPr>
      <w:r>
        <w:rPr>
          <w:rFonts w:cs="Arial"/>
          <w:rtl/>
        </w:rPr>
        <w:t xml:space="preserve">ראבי"ה </w:t>
      </w:r>
      <w:r>
        <w:rPr>
          <w:rFonts w:cs="Arial"/>
          <w:sz w:val="16"/>
          <w:szCs w:val="16"/>
          <w:rtl/>
        </w:rPr>
        <w:t>(נכדו של הראב"ן, הביאו דבריו ההגה"מ [פט"ו דאישות אות ד] והמרדכי</w:t>
      </w:r>
      <w:r>
        <w:rPr>
          <w:rStyle w:val="a7"/>
          <w:rFonts w:cs="Arial"/>
          <w:sz w:val="16"/>
          <w:szCs w:val="16"/>
          <w:rtl/>
        </w:rPr>
        <w:footnoteReference w:id="2847"/>
      </w:r>
      <w:r>
        <w:rPr>
          <w:rFonts w:cs="Arial"/>
          <w:sz w:val="16"/>
          <w:szCs w:val="16"/>
          <w:rtl/>
        </w:rPr>
        <w:t xml:space="preserve"> [יבמות סי' נ]. ועיין באגודה</w:t>
      </w:r>
      <w:r>
        <w:rPr>
          <w:rStyle w:val="a7"/>
          <w:rFonts w:cs="Arial"/>
          <w:sz w:val="16"/>
          <w:szCs w:val="16"/>
          <w:rtl/>
        </w:rPr>
        <w:footnoteReference w:id="2848"/>
      </w:r>
      <w:r>
        <w:rPr>
          <w:rFonts w:cs="Arial"/>
          <w:sz w:val="16"/>
          <w:szCs w:val="16"/>
          <w:rtl/>
        </w:rPr>
        <w:t xml:space="preserve"> [יבמות פ"ו])</w:t>
      </w:r>
      <w:r w:rsidR="00A82951">
        <w:rPr>
          <w:rFonts w:cs="Arial"/>
          <w:rtl/>
        </w:rPr>
        <w:t>-</w:t>
      </w:r>
      <w:r>
        <w:rPr>
          <w:rtl/>
        </w:rPr>
        <w:t xml:space="preserve"> </w:t>
      </w:r>
      <w:r>
        <w:rPr>
          <w:rFonts w:cs="Arial"/>
          <w:rtl/>
        </w:rPr>
        <w:t xml:space="preserve">אין כופין להוציא אפילו בא"י מהא דגרסינן (ב"ב ס:) מיום שחרב ביהמ"ק דין הוא שנגזור על עצמינו שלא לישא ושלא להוליד בנים אלא שאין גוזרין גזירה על הציבור אלא א"כ רוב הציבור יכולין לעמוד בה הילכך לכל הפחות אין כופין להוציא </w:t>
      </w:r>
      <w:r>
        <w:rPr>
          <w:rStyle w:val="a7"/>
          <w:rFonts w:cs="Arial"/>
          <w:rtl/>
        </w:rPr>
        <w:footnoteReference w:id="2849"/>
      </w:r>
      <w:r>
        <w:rPr>
          <w:rFonts w:cs="Arial"/>
          <w:rtl/>
        </w:rPr>
        <w:t>[אפילו בארץ ישראל]</w:t>
      </w:r>
      <w:r>
        <w:rPr>
          <w:rStyle w:val="a7"/>
          <w:rFonts w:cs="Arial"/>
          <w:rtl/>
        </w:rPr>
        <w:footnoteReference w:id="2850"/>
      </w:r>
      <w:r>
        <w:rPr>
          <w:rFonts w:cs="Arial"/>
          <w:sz w:val="16"/>
          <w:szCs w:val="16"/>
          <w:rtl/>
        </w:rPr>
        <w:t xml:space="preserve"> (ל' ההגה"מ בשמו)</w:t>
      </w:r>
      <w:r>
        <w:rPr>
          <w:rStyle w:val="a7"/>
          <w:rFonts w:cs="Arial"/>
          <w:rtl/>
        </w:rPr>
        <w:footnoteReference w:id="2851"/>
      </w:r>
      <w:r>
        <w:rPr>
          <w:rFonts w:cs="Arial"/>
          <w:rtl/>
        </w:rPr>
        <w:t xml:space="preserve">. </w:t>
      </w:r>
      <w:r>
        <w:rPr>
          <w:rFonts w:cs="Arial"/>
          <w:color w:val="00B0F0"/>
          <w:rtl/>
        </w:rPr>
        <w:t>(וכ"כ הרמ"א</w:t>
      </w:r>
      <w:r>
        <w:rPr>
          <w:rFonts w:cs="Arial"/>
          <w:color w:val="00B0F0"/>
          <w:sz w:val="16"/>
          <w:szCs w:val="16"/>
          <w:rtl/>
        </w:rPr>
        <w:t xml:space="preserve"> </w:t>
      </w:r>
      <w:r>
        <w:rPr>
          <w:rFonts w:cs="Arial"/>
          <w:color w:val="000000" w:themeColor="text1"/>
          <w:sz w:val="16"/>
          <w:szCs w:val="16"/>
          <w:rtl/>
        </w:rPr>
        <w:t>[בסי' א ס"ג]</w:t>
      </w:r>
      <w:r>
        <w:rPr>
          <w:rFonts w:cs="Arial"/>
          <w:color w:val="00B0F0"/>
          <w:rtl/>
        </w:rPr>
        <w:t>)</w:t>
      </w:r>
    </w:p>
    <w:p w14:paraId="782357D2" w14:textId="0A7F377D" w:rsidR="00C97BEF" w:rsidRDefault="00C97BEF" w:rsidP="006A458D">
      <w:pPr>
        <w:pStyle w:val="ab"/>
        <w:numPr>
          <w:ilvl w:val="0"/>
          <w:numId w:val="123"/>
        </w:numPr>
        <w:rPr>
          <w:rFonts w:cs="Arial"/>
        </w:rPr>
      </w:pPr>
      <w:r>
        <w:rPr>
          <w:rFonts w:cs="Arial"/>
          <w:rtl/>
        </w:rPr>
        <w:t xml:space="preserve">ריב"ש </w:t>
      </w:r>
      <w:r>
        <w:rPr>
          <w:rFonts w:cs="Arial"/>
          <w:sz w:val="16"/>
          <w:szCs w:val="16"/>
          <w:rtl/>
        </w:rPr>
        <w:t>(סי' טו)</w:t>
      </w:r>
      <w:r w:rsidR="00A82951">
        <w:rPr>
          <w:rFonts w:cs="Arial"/>
          <w:rtl/>
        </w:rPr>
        <w:t>-</w:t>
      </w:r>
      <w:r>
        <w:rPr>
          <w:rFonts w:cs="Arial"/>
          <w:rtl/>
        </w:rPr>
        <w:t xml:space="preserve"> אדם שאין לו בנים ורצה לישא זקנה בת תשעים שנה לשם ממון שורת הדין שבית דין מונעים אותו מלישאנה אבל מה נעשה שלא ראינו מימינו ולא שמענו מכמה דורות בית דין שנזקק לזה לכוף ולהוציא באשה ששהתה עם בעלה עשר שנים ולא ילדה, או שהיא זקנה, ואף אם אין לו בנים. וכן לא ראינו בית דין </w:t>
      </w:r>
      <w:r>
        <w:rPr>
          <w:rFonts w:cs="Arial"/>
          <w:rtl/>
        </w:rPr>
        <w:lastRenderedPageBreak/>
        <w:t>שנזקק למחות במי שנושא קטנה, ואע"פ שדינה שוה לזקנה כמו שכתב הרמב"ם (פט"ו מאישות ה"ז), ואפילו מי שיש לו בנים אין לו לישא קטנה כמו שאמרו בפרק כל היד (נדה יג:) הני דנסבי קטנות מעכבין את המשיח, וכן אמרו ז"ל (קידושין מא.) אסור לאדם שיקדש את בתו קטנה. ומימינו לא ראינו מי שמיחה בזה, וכן בבת כהן ובת תלמיד חכם לעם הארץ (פסחים מט.). ולזה אם היו בית דין נזקקין לדקדק בשורת הדין הגמור בענייני הזיווגין ובאו לכפותם היו צריכים לכפות את כולם, ורוב הנשים הבאות בימים היו יוצאות ונוטלות כתובה, וליכא כתובה דלא רמו בה תיגרא (שבת קל.) ותרבה הקטטה והמריבה. ולזה העלימו חכמי דורות עיניהם בענייני הזיווגים שלא למנעם, אין צריך לומר שלא להפרידם כל ששניהם רוצים, ואין בנישואין ההם משום ערוה ולא משום איסור מצוה ולא משום קדושה...</w:t>
      </w:r>
      <w:r>
        <w:rPr>
          <w:rtl/>
        </w:rPr>
        <w:t xml:space="preserve"> </w:t>
      </w:r>
      <w:r>
        <w:rPr>
          <w:rFonts w:cs="Arial"/>
          <w:rtl/>
        </w:rPr>
        <w:t>וכן אפשר שבאלו הארצות אין כופין להוציא אשה שאינה בת בנים כדי שימצאו אחרת בת בנים</w:t>
      </w:r>
      <w:r>
        <w:rPr>
          <w:rStyle w:val="a7"/>
          <w:rFonts w:cs="Arial"/>
          <w:rtl/>
        </w:rPr>
        <w:footnoteReference w:id="2852"/>
      </w:r>
      <w:r>
        <w:rPr>
          <w:rFonts w:cs="Arial"/>
          <w:rtl/>
        </w:rPr>
        <w:t>, מטעמא דכל כמה דאגידא ביה לא יהבי ליה אחריתי. שהרי באלו הארצות אין מקפידין בזה כל כך ואדם נושא שתים ושלש נשים ואין מכלים, שכך נהגו, וא"צ רשות מלך קצין שוטר ומושל.</w:t>
      </w:r>
    </w:p>
    <w:p w14:paraId="7EED00C1" w14:textId="4905F7A7" w:rsidR="00C97BEF" w:rsidRDefault="00C97BEF" w:rsidP="006A458D">
      <w:pPr>
        <w:pStyle w:val="ab"/>
        <w:numPr>
          <w:ilvl w:val="1"/>
          <w:numId w:val="123"/>
        </w:numPr>
        <w:rPr>
          <w:rFonts w:cs="Arial"/>
        </w:rPr>
      </w:pPr>
      <w:r>
        <w:rPr>
          <w:rFonts w:cs="Arial"/>
          <w:rtl/>
        </w:rPr>
        <w:t xml:space="preserve">ב"י </w:t>
      </w:r>
      <w:r>
        <w:rPr>
          <w:rFonts w:cs="Arial"/>
          <w:sz w:val="16"/>
          <w:szCs w:val="16"/>
          <w:rtl/>
        </w:rPr>
        <w:t>(בשו"ת בית יוסף דיני כתובות סי' יד)</w:t>
      </w:r>
      <w:r w:rsidR="00A82951">
        <w:rPr>
          <w:rFonts w:cs="Arial"/>
          <w:rtl/>
        </w:rPr>
        <w:t>-</w:t>
      </w:r>
      <w:r>
        <w:rPr>
          <w:rFonts w:cs="Arial"/>
          <w:rtl/>
        </w:rPr>
        <w:t xml:space="preserve"> גם על מה שהאריך אחר כך והטריח עצמו להוכיח מראבי"ה </w:t>
      </w:r>
      <w:r>
        <w:rPr>
          <w:rFonts w:cs="Arial"/>
          <w:sz w:val="16"/>
          <w:szCs w:val="16"/>
          <w:rtl/>
        </w:rPr>
        <w:t>(הוא אבי העזרי הוא אביאסף שאין ספק שלא נעלמו מעיני ראבי"ה כל טענו' הללו ומ"ש ואהא ברייתא סמכינן בזמן הזה שאנו בחוצה לארץ דשוהין טפי מעשר שנים ואין כופין להוציא וגרסינן בפרק חזק' הבתים משחרב בית המקדש דין הוא שנגזור על עצמנו וכו')</w:t>
      </w:r>
      <w:r>
        <w:rPr>
          <w:rFonts w:cs="Arial"/>
          <w:rtl/>
        </w:rPr>
        <w:t>. הדבר ברור שעילה בקש לקיים המנהג שנהגו שלא לכוף להוציא</w:t>
      </w:r>
      <w:r w:rsidR="00C420ED">
        <w:rPr>
          <w:rFonts w:cs="Arial" w:hint="cs"/>
          <w:rtl/>
        </w:rPr>
        <w:t>,</w:t>
      </w:r>
      <w:r>
        <w:rPr>
          <w:rFonts w:cs="Arial"/>
          <w:rtl/>
        </w:rPr>
        <w:t xml:space="preserve"> והלואי יוכל לנצל עצמו בכך שהרי הוא כנגד הפוסקים שפסקו לכוף על פריה ורביה. ועוד שההתנצלו' ההוא נראה שאינו התנצלו'</w:t>
      </w:r>
      <w:r w:rsidR="00C420ED">
        <w:rPr>
          <w:rFonts w:cs="Arial" w:hint="cs"/>
          <w:rtl/>
        </w:rPr>
        <w:t>,</w:t>
      </w:r>
      <w:r>
        <w:rPr>
          <w:rFonts w:cs="Arial"/>
          <w:rtl/>
        </w:rPr>
        <w:t xml:space="preserve"> שהרי חכמי התלמוד היו אחר חרבן הבית וכתבו שכופין על פריה ורביה ולא חשו לההיא דדין הוא שנגזור על עצמנו. ועוד דאפי' מי שאמר דין הוא שנגזור וכו' לא אמרה לקושטא דמילתא אלא דרך התאוננות דהא מסיים בה אלא הנח להם וכו' וכיון שלא גזרנו על עצמנו נשאר הדין במקומו</w:t>
      </w:r>
      <w:r w:rsidR="00C420ED">
        <w:rPr>
          <w:rFonts w:cs="Arial" w:hint="cs"/>
          <w:rtl/>
        </w:rPr>
        <w:t>.</w:t>
      </w:r>
      <w:r>
        <w:rPr>
          <w:rFonts w:cs="Arial"/>
          <w:rtl/>
        </w:rPr>
        <w:t xml:space="preserve"> ואם כן אין בדבריו כדאי לנצל המנהג אלא כדמות ראי' בעלמא</w:t>
      </w:r>
      <w:r w:rsidR="00C420ED">
        <w:rPr>
          <w:rFonts w:cs="Arial" w:hint="cs"/>
          <w:rtl/>
        </w:rPr>
        <w:t>,</w:t>
      </w:r>
      <w:r>
        <w:rPr>
          <w:rFonts w:cs="Arial"/>
          <w:rtl/>
        </w:rPr>
        <w:t xml:space="preserve"> כ"ש שלא יועיל להביא ראי' משם כאלו הוא דבר פשוט ופסוק.</w:t>
      </w:r>
    </w:p>
    <w:bookmarkEnd w:id="43"/>
    <w:p w14:paraId="6542FADA" w14:textId="3978C4D2" w:rsidR="00C97BEF" w:rsidRDefault="00C97BEF" w:rsidP="00C97BEF">
      <w:pPr>
        <w:rPr>
          <w:rFonts w:cs="Arial"/>
          <w:u w:val="single"/>
        </w:rPr>
      </w:pPr>
      <w:r>
        <w:rPr>
          <w:rFonts w:cs="Arial"/>
          <w:u w:val="single"/>
          <w:rtl/>
        </w:rPr>
        <w:t xml:space="preserve">כשהדין הוא שכופין אותו לגרש </w:t>
      </w:r>
      <w:r w:rsidR="00A82951">
        <w:rPr>
          <w:rFonts w:cs="Arial"/>
          <w:u w:val="single"/>
          <w:rtl/>
        </w:rPr>
        <w:t>-</w:t>
      </w:r>
      <w:r>
        <w:rPr>
          <w:rFonts w:cs="Arial"/>
          <w:u w:val="single"/>
          <w:rtl/>
        </w:rPr>
        <w:t xml:space="preserve"> מה הדין אם אין האשה רוצה לצאת:</w:t>
      </w:r>
      <w:r>
        <w:rPr>
          <w:rFonts w:cs="Arial"/>
          <w:rtl/>
        </w:rPr>
        <w:t xml:space="preserve"> </w:t>
      </w:r>
      <w:r>
        <w:rPr>
          <w:rFonts w:cs="Arial"/>
          <w:sz w:val="16"/>
          <w:szCs w:val="16"/>
          <w:rtl/>
        </w:rPr>
        <w:t>(דרכ"מ אות יג)</w:t>
      </w:r>
    </w:p>
    <w:p w14:paraId="559E5815" w14:textId="4D452A25" w:rsidR="00C97BEF" w:rsidRDefault="00C97BEF" w:rsidP="006A458D">
      <w:pPr>
        <w:pStyle w:val="ab"/>
        <w:numPr>
          <w:ilvl w:val="0"/>
          <w:numId w:val="123"/>
        </w:numPr>
        <w:rPr>
          <w:rFonts w:cs="Arial"/>
        </w:rPr>
      </w:pPr>
      <w:r>
        <w:rPr>
          <w:rFonts w:cs="Arial"/>
          <w:rtl/>
        </w:rPr>
        <w:t xml:space="preserve">הגמ"ר </w:t>
      </w:r>
      <w:r>
        <w:rPr>
          <w:rFonts w:cs="Arial"/>
          <w:sz w:val="16"/>
          <w:szCs w:val="16"/>
          <w:rtl/>
        </w:rPr>
        <w:t>(פ' הבא על יבמתו ס"ס קיב)</w:t>
      </w:r>
      <w:r w:rsidR="00A82951">
        <w:rPr>
          <w:rFonts w:cs="Arial"/>
          <w:rtl/>
        </w:rPr>
        <w:t>-</w:t>
      </w:r>
      <w:r>
        <w:rPr>
          <w:rFonts w:cs="Arial"/>
          <w:rtl/>
        </w:rPr>
        <w:t xml:space="preserve"> יש לספק אם שהה עמה עשר שנים אם יוכל לגרשה בעל כרחה בזמן הזה שגזר הגאון רבינו גרשום שלא לגרש אשה בעל כרחה. </w:t>
      </w:r>
    </w:p>
    <w:p w14:paraId="36A60422" w14:textId="77777777" w:rsidR="00C97BEF" w:rsidRDefault="00C97BEF" w:rsidP="00C97BEF">
      <w:pPr>
        <w:rPr>
          <w:rFonts w:cs="Arial"/>
        </w:rPr>
      </w:pPr>
      <w:r>
        <w:rPr>
          <w:rFonts w:cs="Arial"/>
          <w:u w:val="single"/>
          <w:rtl/>
        </w:rPr>
        <w:t>האומר שיודע בעצמו שאינו ראוי להוליד:</w:t>
      </w:r>
      <w:r>
        <w:rPr>
          <w:rFonts w:cs="Arial"/>
          <w:rtl/>
        </w:rPr>
        <w:t xml:space="preserve"> </w:t>
      </w:r>
      <w:r>
        <w:rPr>
          <w:rFonts w:cs="Arial"/>
          <w:sz w:val="16"/>
          <w:szCs w:val="16"/>
          <w:rtl/>
        </w:rPr>
        <w:t>(דרכ"מ אות יג)</w:t>
      </w:r>
    </w:p>
    <w:p w14:paraId="19F9526A" w14:textId="252E5312" w:rsidR="00C97BEF" w:rsidRDefault="00C97BEF" w:rsidP="006A458D">
      <w:pPr>
        <w:pStyle w:val="ab"/>
        <w:numPr>
          <w:ilvl w:val="0"/>
          <w:numId w:val="123"/>
        </w:numPr>
        <w:rPr>
          <w:rFonts w:cs="Arial"/>
        </w:rPr>
      </w:pPr>
      <w:r>
        <w:rPr>
          <w:rFonts w:cs="Arial"/>
          <w:rtl/>
        </w:rPr>
        <w:t xml:space="preserve">נמוק"י </w:t>
      </w:r>
      <w:r>
        <w:rPr>
          <w:rFonts w:cs="Arial"/>
          <w:sz w:val="16"/>
          <w:szCs w:val="16"/>
          <w:rtl/>
        </w:rPr>
        <w:t>(יבמות יט: ד"ה גמ')</w:t>
      </w:r>
      <w:r w:rsidR="00A82951">
        <w:rPr>
          <w:rFonts w:cs="Arial"/>
          <w:rtl/>
        </w:rPr>
        <w:t>-</w:t>
      </w:r>
      <w:r>
        <w:rPr>
          <w:rFonts w:cs="Arial"/>
          <w:rtl/>
        </w:rPr>
        <w:t xml:space="preserve"> אם הוא אומר שמכיר בעצמו שאינו ראוי להוליד </w:t>
      </w:r>
      <w:r w:rsidR="00A82951">
        <w:rPr>
          <w:rFonts w:cs="Arial"/>
          <w:rtl/>
        </w:rPr>
        <w:t>-</w:t>
      </w:r>
      <w:r>
        <w:rPr>
          <w:rFonts w:cs="Arial"/>
          <w:rtl/>
        </w:rPr>
        <w:t xml:space="preserve"> נאמן ואינו צריך להוציאה. דבכל המצות כאלו שאין הוכחה שעושה אותן דרך מרד </w:t>
      </w:r>
      <w:r w:rsidR="00A82951">
        <w:rPr>
          <w:rFonts w:cs="Arial"/>
          <w:rtl/>
        </w:rPr>
        <w:t>-</w:t>
      </w:r>
      <w:r>
        <w:rPr>
          <w:rFonts w:cs="Arial"/>
          <w:rtl/>
        </w:rPr>
        <w:t xml:space="preserve"> נאמן הוא על עצמו, וכן שמע הריטב"א מרבו. </w:t>
      </w:r>
      <w:r>
        <w:rPr>
          <w:rFonts w:cs="Arial"/>
          <w:color w:val="00B0F0"/>
          <w:rtl/>
        </w:rPr>
        <w:t>(וכ"פ הרמ"א)</w:t>
      </w:r>
    </w:p>
    <w:p w14:paraId="0CDB599E" w14:textId="10B58A7E" w:rsidR="00C97BEF" w:rsidRDefault="00C97BEF" w:rsidP="00C97BEF">
      <w:pPr>
        <w:rPr>
          <w:rFonts w:cs="Arial"/>
        </w:rPr>
      </w:pPr>
      <w:r>
        <w:rPr>
          <w:rFonts w:cs="Arial"/>
          <w:u w:val="single"/>
          <w:rtl/>
        </w:rPr>
        <w:t xml:space="preserve">אשה שיש לה בעיה המעידה על חוסר פריון </w:t>
      </w:r>
      <w:r>
        <w:rPr>
          <w:rFonts w:cs="Arial"/>
          <w:sz w:val="16"/>
          <w:szCs w:val="16"/>
          <w:u w:val="single"/>
          <w:rtl/>
        </w:rPr>
        <w:t>(כגון בעיות בוסת)</w:t>
      </w:r>
      <w:r>
        <w:rPr>
          <w:rFonts w:cs="Arial"/>
          <w:u w:val="single"/>
          <w:rtl/>
        </w:rPr>
        <w:t xml:space="preserve"> </w:t>
      </w:r>
      <w:r w:rsidR="00A82951">
        <w:rPr>
          <w:rFonts w:cs="Arial"/>
          <w:u w:val="single"/>
          <w:rtl/>
        </w:rPr>
        <w:t>-</w:t>
      </w:r>
      <w:r>
        <w:rPr>
          <w:rFonts w:cs="Arial"/>
          <w:u w:val="single"/>
          <w:rtl/>
        </w:rPr>
        <w:t xml:space="preserve"> האם צריך לחכות י' שנים או שיוציא לפנ"כ:</w:t>
      </w:r>
      <w:r>
        <w:rPr>
          <w:rFonts w:cs="Arial"/>
          <w:rtl/>
        </w:rPr>
        <w:t xml:space="preserve"> </w:t>
      </w:r>
      <w:r>
        <w:rPr>
          <w:rFonts w:cs="Arial"/>
          <w:sz w:val="16"/>
          <w:szCs w:val="16"/>
          <w:rtl/>
        </w:rPr>
        <w:t>(דרכ"מ אות יג)</w:t>
      </w:r>
    </w:p>
    <w:p w14:paraId="5609C336" w14:textId="0A6FA421" w:rsidR="00C97BEF" w:rsidRDefault="00C97BEF" w:rsidP="006A458D">
      <w:pPr>
        <w:pStyle w:val="ab"/>
        <w:numPr>
          <w:ilvl w:val="0"/>
          <w:numId w:val="123"/>
        </w:numPr>
        <w:rPr>
          <w:rFonts w:cs="Arial"/>
        </w:rPr>
      </w:pPr>
      <w:r>
        <w:rPr>
          <w:rFonts w:cs="Arial"/>
          <w:rtl/>
        </w:rPr>
        <w:t xml:space="preserve">הגמ"ר </w:t>
      </w:r>
      <w:r>
        <w:rPr>
          <w:rFonts w:cs="Arial"/>
          <w:sz w:val="16"/>
          <w:szCs w:val="16"/>
          <w:rtl/>
        </w:rPr>
        <w:t>(פ' הבא על יבמתו סי' קיג)</w:t>
      </w:r>
      <w:r>
        <w:rPr>
          <w:rFonts w:cs="Arial"/>
          <w:rtl/>
        </w:rPr>
        <w:t xml:space="preserve"> בשם תשו' רבינו גרשום</w:t>
      </w:r>
      <w:r w:rsidR="00A82951">
        <w:rPr>
          <w:rFonts w:cs="Arial"/>
          <w:rtl/>
        </w:rPr>
        <w:t>-</w:t>
      </w:r>
      <w:r>
        <w:rPr>
          <w:rFonts w:cs="Arial"/>
          <w:rtl/>
        </w:rPr>
        <w:t xml:space="preserve"> אפילו אשה שאין לה וסת קבוע כל זמן שלא שהתה עמו עשר שנים אין לגרשה ולא אמרינן דמינה הוא הואיל ואין וסתה קבוע.</w:t>
      </w:r>
    </w:p>
    <w:p w14:paraId="4F92CD07" w14:textId="77777777" w:rsidR="00C97BEF" w:rsidRDefault="00C97BEF" w:rsidP="00C97BEF">
      <w:pPr>
        <w:rPr>
          <w:rFonts w:asciiTheme="minorBidi" w:hAnsiTheme="minorBidi"/>
          <w:b/>
          <w:bCs/>
          <w:color w:val="000000"/>
          <w:sz w:val="28"/>
          <w:szCs w:val="28"/>
          <w:u w:val="single"/>
          <w:rtl/>
        </w:rPr>
      </w:pPr>
      <w:bookmarkStart w:id="44" w:name="_Hlk98239986"/>
      <w:r>
        <w:rPr>
          <w:rFonts w:asciiTheme="minorBidi" w:hAnsiTheme="minorBidi"/>
          <w:b/>
          <w:bCs/>
          <w:color w:val="000000"/>
          <w:sz w:val="28"/>
          <w:szCs w:val="28"/>
          <w:u w:val="single"/>
          <w:rtl/>
        </w:rPr>
        <w:t>שו"ע:</w:t>
      </w:r>
    </w:p>
    <w:bookmarkEnd w:id="44"/>
    <w:p w14:paraId="4DD05A49" w14:textId="77777777" w:rsidR="00C97BEF" w:rsidRDefault="00C97BEF" w:rsidP="00C97BEF">
      <w:pPr>
        <w:rPr>
          <w:rtl/>
        </w:rPr>
      </w:pPr>
      <w:r>
        <w:rPr>
          <w:rFonts w:cs="Arial"/>
          <w:rtl/>
        </w:rPr>
        <w:lastRenderedPageBreak/>
        <w:t>נשא אשה ושהתה עמו עשר שנים ולא ילדה, יוציא ויתן כתובה</w:t>
      </w:r>
      <w:r>
        <w:rPr>
          <w:rStyle w:val="a7"/>
          <w:rFonts w:cs="Arial"/>
          <w:rtl/>
        </w:rPr>
        <w:footnoteReference w:id="2853"/>
      </w:r>
      <w:r>
        <w:rPr>
          <w:rFonts w:cs="Arial"/>
          <w:rtl/>
        </w:rPr>
        <w:t xml:space="preserve"> או ישא אשה הראויה לילד. ואם לא ירצה, כופין אותו עד שיוציא. ואם אמר: איני בועלה והריני שוכן עמה בפני עדים כדי שלא אתייחד עמה, בין שאמרה היא בין שאמר הוא, אין שומעין לו, אלא יוציא וישא אשה הראויה לילד. </w:t>
      </w:r>
      <w:r>
        <w:rPr>
          <w:rFonts w:cs="Arial"/>
          <w:sz w:val="18"/>
          <w:szCs w:val="18"/>
          <w:rtl/>
        </w:rPr>
        <w:t>הגה: י"א דכ"ז דלא הוליד כלל, אבל אם הוליד זרע קיימא, אע"פ שלא קיים עדיין פריה ורביה, אין כופין להוציא</w:t>
      </w:r>
      <w:r>
        <w:rPr>
          <w:rStyle w:val="a7"/>
          <w:rFonts w:cs="Arial"/>
          <w:sz w:val="18"/>
          <w:szCs w:val="18"/>
          <w:rtl/>
        </w:rPr>
        <w:footnoteReference w:id="2854"/>
      </w:r>
      <w:r>
        <w:rPr>
          <w:rFonts w:cs="Arial"/>
          <w:sz w:val="18"/>
          <w:szCs w:val="18"/>
          <w:rtl/>
        </w:rPr>
        <w:t xml:space="preserve"> (ריב"ש סי' טו). ועיין לעיל סימן א' דבזמן הזה אין נוהגין לכוף כלל</w:t>
      </w:r>
      <w:r>
        <w:rPr>
          <w:rStyle w:val="a7"/>
          <w:rFonts w:cs="Arial"/>
          <w:sz w:val="18"/>
          <w:szCs w:val="18"/>
          <w:rtl/>
        </w:rPr>
        <w:footnoteReference w:id="2855"/>
      </w:r>
      <w:r>
        <w:rPr>
          <w:rFonts w:cs="Arial"/>
          <w:sz w:val="18"/>
          <w:szCs w:val="18"/>
          <w:rtl/>
        </w:rPr>
        <w:t xml:space="preserve"> (ראבי"ה וריב"ש שם). ונאמן האיש לומר שיודע בעצמו שאינו מוליד, ואין כופין אותו לישא אשה (נמוק"י).</w:t>
      </w:r>
      <w:r>
        <w:rPr>
          <w:rFonts w:cs="Arial"/>
          <w:rtl/>
        </w:rPr>
        <w:t xml:space="preserve"> </w:t>
      </w:r>
    </w:p>
    <w:p w14:paraId="4D248D11" w14:textId="77777777" w:rsidR="00C97BEF" w:rsidRDefault="00C97BEF" w:rsidP="00C97BEF">
      <w:pPr>
        <w:rPr>
          <w:rtl/>
        </w:rPr>
      </w:pPr>
    </w:p>
    <w:p w14:paraId="0E44AA42" w14:textId="77777777" w:rsidR="00C97BEF" w:rsidRDefault="00C97BEF" w:rsidP="00C97BEF">
      <w:pPr>
        <w:pStyle w:val="2"/>
        <w:rPr>
          <w:rtl/>
        </w:rPr>
      </w:pPr>
      <w:r>
        <w:rPr>
          <w:rtl/>
        </w:rPr>
        <w:t>סעיף יא: מקרים שאפשר לתלות בהם מדוע לא ילדה עד עתה.</w:t>
      </w:r>
    </w:p>
    <w:p w14:paraId="7B445AB9" w14:textId="421F0B18" w:rsidR="00C97BEF" w:rsidRDefault="00C97BEF" w:rsidP="00C97BEF">
      <w:pPr>
        <w:rPr>
          <w:rFonts w:cs="Arial"/>
          <w:rtl/>
        </w:rPr>
      </w:pPr>
      <w:r>
        <w:rPr>
          <w:rFonts w:cs="Arial"/>
          <w:b/>
          <w:bCs/>
          <w:rtl/>
        </w:rPr>
        <w:t xml:space="preserve">יבמות </w:t>
      </w:r>
      <w:r>
        <w:rPr>
          <w:rFonts w:cs="Arial"/>
          <w:b/>
          <w:bCs/>
          <w:sz w:val="16"/>
          <w:szCs w:val="16"/>
          <w:rtl/>
        </w:rPr>
        <w:t xml:space="preserve">(פ' הבא על יבמתו) </w:t>
      </w:r>
      <w:r>
        <w:rPr>
          <w:rFonts w:cs="Arial"/>
          <w:b/>
          <w:bCs/>
          <w:rtl/>
        </w:rPr>
        <w:t>סד ע"א:</w:t>
      </w:r>
      <w:r>
        <w:rPr>
          <w:rFonts w:cs="Arial"/>
          <w:rtl/>
        </w:rPr>
        <w:t xml:space="preserve"> </w:t>
      </w:r>
      <w:r>
        <w:rPr>
          <w:rFonts w:cs="Arial"/>
          <w:u w:val="double"/>
          <w:rtl/>
        </w:rPr>
        <w:t>מתני'</w:t>
      </w:r>
      <w:r>
        <w:rPr>
          <w:rFonts w:cs="Arial"/>
          <w:rtl/>
        </w:rPr>
        <w:t xml:space="preserve">: נשא אשה ושהה עמה עשר שנים ולא ילדה </w:t>
      </w:r>
      <w:r w:rsidR="00A82951">
        <w:rPr>
          <w:rFonts w:cs="Arial"/>
          <w:rtl/>
        </w:rPr>
        <w:t>-</w:t>
      </w:r>
      <w:r>
        <w:rPr>
          <w:rFonts w:cs="Arial"/>
          <w:rtl/>
        </w:rPr>
        <w:t xml:space="preserve"> אינו רשאי לבטל...        </w:t>
      </w:r>
      <w:r>
        <w:rPr>
          <w:rFonts w:cs="Arial"/>
          <w:u w:val="double"/>
          <w:rtl/>
        </w:rPr>
        <w:t>גמ'</w:t>
      </w:r>
      <w:r>
        <w:rPr>
          <w:rFonts w:cs="Arial"/>
          <w:rtl/>
        </w:rPr>
        <w:t xml:space="preserve">: ת"ר: נשא אשה ושהה עמה עשר שנים ולא ילדה </w:t>
      </w:r>
      <w:r w:rsidR="00A82951">
        <w:rPr>
          <w:rFonts w:cs="Arial"/>
          <w:rtl/>
        </w:rPr>
        <w:t>-</w:t>
      </w:r>
      <w:r>
        <w:rPr>
          <w:rFonts w:cs="Arial"/>
          <w:rtl/>
        </w:rPr>
        <w:t xml:space="preserve"> יוציא ויתן כתובה, שמא לא זכה להבנות ממנה. אף על פי שאין ראיה לדבר </w:t>
      </w:r>
      <w:r w:rsidR="00A82951">
        <w:rPr>
          <w:rFonts w:cs="Arial"/>
          <w:rtl/>
        </w:rPr>
        <w:t>-</w:t>
      </w:r>
      <w:r>
        <w:rPr>
          <w:rFonts w:cs="Arial"/>
          <w:rtl/>
        </w:rPr>
        <w:t xml:space="preserve"> זכר לדבר: מקץ עשר שנים לשבת אברם בארץ כנען</w:t>
      </w:r>
      <w:r>
        <w:rPr>
          <w:rStyle w:val="a7"/>
          <w:rFonts w:cs="Arial"/>
          <w:rtl/>
        </w:rPr>
        <w:footnoteReference w:id="2856"/>
      </w:r>
      <w:r>
        <w:rPr>
          <w:rFonts w:cs="Arial"/>
          <w:rtl/>
        </w:rPr>
        <w:t xml:space="preserve"> </w:t>
      </w:r>
      <w:r w:rsidR="00A82951">
        <w:rPr>
          <w:rFonts w:cs="Arial"/>
          <w:rtl/>
        </w:rPr>
        <w:t>-</w:t>
      </w:r>
      <w:r>
        <w:rPr>
          <w:rFonts w:cs="Arial"/>
          <w:rtl/>
        </w:rPr>
        <w:t xml:space="preserve"> ללמדך שאין ישיבת חו"ל עולה לו מן המנין.</w:t>
      </w:r>
      <w:r>
        <w:rPr>
          <w:rtl/>
        </w:rPr>
        <w:t xml:space="preserve"> </w:t>
      </w:r>
      <w:r>
        <w:rPr>
          <w:rFonts w:cs="Arial"/>
          <w:rtl/>
        </w:rPr>
        <w:t xml:space="preserve">לפיכך, חלה הוא או שחלתה היא, או שניהם חבושים בבית האסורים </w:t>
      </w:r>
      <w:r w:rsidR="00A82951">
        <w:rPr>
          <w:rFonts w:cs="Arial"/>
          <w:rtl/>
        </w:rPr>
        <w:t>-</w:t>
      </w:r>
      <w:r>
        <w:rPr>
          <w:rFonts w:cs="Arial"/>
          <w:rtl/>
        </w:rPr>
        <w:t xml:space="preserve"> אין עולין לו מן המנין.</w:t>
      </w:r>
    </w:p>
    <w:p w14:paraId="0859669E" w14:textId="77777777" w:rsidR="00C97BEF" w:rsidRDefault="00C97BEF" w:rsidP="00C97BEF">
      <w:pPr>
        <w:rPr>
          <w:u w:val="single"/>
          <w:rtl/>
        </w:rPr>
      </w:pPr>
      <w:r>
        <w:rPr>
          <w:u w:val="single"/>
          <w:rtl/>
        </w:rPr>
        <w:t>מקרים שאפשר לתלות בהם מדוע לא ילדה עד עתה:</w:t>
      </w:r>
    </w:p>
    <w:p w14:paraId="68C2752A" w14:textId="4DC0C7FB"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יש דבר ליתלות בו מה שאינה יולדת כגון שהיה הוא או היא חולים באלו י' שנים, או שהיה חבוש בבית האסורים </w:t>
      </w:r>
      <w:r w:rsidR="00A82951">
        <w:rPr>
          <w:rFonts w:cs="Arial"/>
          <w:rtl/>
        </w:rPr>
        <w:t>-</w:t>
      </w:r>
      <w:r>
        <w:rPr>
          <w:rFonts w:cs="Arial"/>
          <w:rtl/>
        </w:rPr>
        <w:t xml:space="preserve"> אין עולים להם מן המנין. ופי' א"א הרא"ש ז"ל לא בחולי שמנעם מלשמש ולהוליד איירי, דבהא לא הוה צריך למימר דפשיטא שאין עולין להם מן המנין, אלא מיירי שהוא או היא חולה ומשמשין מטותיהן וראויין להתעבר אלא שאינן כשאר בני אדם חבושים בבית האסורים ומשמשין מטותיהם בבית האסורים </w:t>
      </w:r>
      <w:r w:rsidR="00A82951">
        <w:rPr>
          <w:rFonts w:cs="Arial"/>
          <w:rtl/>
        </w:rPr>
        <w:t>-</w:t>
      </w:r>
      <w:r>
        <w:rPr>
          <w:rFonts w:cs="Arial"/>
          <w:rtl/>
        </w:rPr>
        <w:t xml:space="preserve"> אפ"ה אין עולין להם מן המנין, שאנו תולין להם העון שגרם להם להיותם חולים או חבושים גם מנעם מלהוליד.</w:t>
      </w:r>
      <w:r>
        <w:rPr>
          <w:color w:val="E36C0A" w:themeColor="accent6" w:themeShade="BF"/>
          <w:rtl/>
        </w:rPr>
        <w:t xml:space="preserve"> (וכ"פ בשו"ע)</w:t>
      </w:r>
    </w:p>
    <w:p w14:paraId="0715CE30" w14:textId="77777777" w:rsidR="00C97BEF" w:rsidRDefault="00C97BEF" w:rsidP="00C97BEF">
      <w:pPr>
        <w:rPr>
          <w:rtl/>
        </w:rPr>
      </w:pPr>
      <w:r>
        <w:rPr>
          <w:rFonts w:cs="Arial"/>
          <w:u w:val="single"/>
          <w:rtl/>
        </w:rPr>
        <w:t>מה פירוש דברי הברייתא 'ללמדך שאין ישיבת חו"ל עולה לו מן המנין':</w:t>
      </w:r>
      <w:r>
        <w:rPr>
          <w:rFonts w:cs="Arial"/>
          <w:rtl/>
        </w:rPr>
        <w:t xml:space="preserve"> </w:t>
      </w:r>
    </w:p>
    <w:p w14:paraId="6A93B990" w14:textId="549317FC" w:rsidR="00C97BEF" w:rsidRDefault="00C97BEF" w:rsidP="006A458D">
      <w:pPr>
        <w:pStyle w:val="ab"/>
        <w:numPr>
          <w:ilvl w:val="0"/>
          <w:numId w:val="123"/>
        </w:numPr>
        <w:rPr>
          <w:rtl/>
        </w:rPr>
      </w:pPr>
      <w:r>
        <w:rPr>
          <w:rFonts w:cs="Arial"/>
          <w:rtl/>
        </w:rPr>
        <w:t>ראב"ן</w:t>
      </w:r>
      <w:r>
        <w:rPr>
          <w:rFonts w:cs="Arial"/>
          <w:sz w:val="16"/>
          <w:szCs w:val="16"/>
          <w:rtl/>
        </w:rPr>
        <w:t xml:space="preserve"> (יבמות ד"ה ת"ר נשא)</w:t>
      </w:r>
      <w:r w:rsidR="00A82951">
        <w:rPr>
          <w:rFonts w:cs="Arial"/>
          <w:rtl/>
        </w:rPr>
        <w:t>-</w:t>
      </w:r>
      <w:r>
        <w:rPr>
          <w:rFonts w:cs="Arial"/>
          <w:rtl/>
        </w:rPr>
        <w:t xml:space="preserve"> ת"ר נשא אשה (סד.) ושהה עשר שנים ולא ילדה אינו רשאי ליבטל מפריה ורביה שמא לא זכה להבנות הימנה ויוציא ויתן כתובה. ומדקתני אינו רשאי ולא קתני אסור לבטל שמעינן דאיסור ליכא אלא שחיסר מצוה, ומיהו בי דינא מצי לעשייה ולמיכפייה להוציא דאמר רב (כתובות עז.) אין מעשין אלא לפסולות כי אמריתה קמיה דשמואל אמר אפילו נשא אשה ושהה עמה יוד שנים כופין אותו להוציא, ולא גרע משאר מצות עשה דתניא (שם פו.) בד"א במצות ל"ת אבל מצות עשה כגון עשה סוכה ואינו עושה עשה לולב ואינו עושה מכין אותו עד שתצא נפשו. וה"מ בארץ ישראל אבל בחוץ לארץ כיון דאמרי ללמדך שאין ישיבת חוצה לארץ עולה לו מן המנין נ"ל דאין כופין... ונ"ל דלהכי אין נזקקין בזמן הזה לעשה אפריה ורביה וגם הראשונים לא הזקקו משום דסבירא להו דלא נאמר לא יבטל אלא בארץ ישראל. ועוד תניא (ב"ב ס' ב) משחרב בית המקדש דין הוא שלא לישא אשה ושלא להוליד בנים אלא שאין גוזרין גזירה על הציבור אא"כ רוב הציבור יכולין לעמוד בה. </w:t>
      </w:r>
    </w:p>
    <w:p w14:paraId="4042B702" w14:textId="2931190B" w:rsidR="00C97BEF" w:rsidRDefault="00C97BEF" w:rsidP="006A458D">
      <w:pPr>
        <w:pStyle w:val="ab"/>
        <w:numPr>
          <w:ilvl w:val="0"/>
          <w:numId w:val="123"/>
        </w:numPr>
      </w:pPr>
      <w:r>
        <w:rPr>
          <w:rFonts w:cs="Arial"/>
          <w:rtl/>
        </w:rPr>
        <w:t xml:space="preserve">רא"ש </w:t>
      </w:r>
      <w:r>
        <w:rPr>
          <w:rFonts w:cs="Arial"/>
          <w:sz w:val="16"/>
          <w:szCs w:val="16"/>
          <w:rtl/>
        </w:rPr>
        <w:t>(יבמות פ"ו סי' יב)</w:t>
      </w:r>
      <w:r w:rsidR="00A82951">
        <w:rPr>
          <w:rFonts w:cs="Arial"/>
          <w:rtl/>
        </w:rPr>
        <w:t>-</w:t>
      </w:r>
      <w:r>
        <w:rPr>
          <w:rFonts w:cs="Arial"/>
          <w:rtl/>
        </w:rPr>
        <w:t xml:space="preserve"> יש אומרים שבחו"ל אין כופין להוציא אחר י' שנים דתלינן בעונש דירתו בחו"ל כדחזינן באברהם שישיבת ח"ל לא עלתה לו מן המנין</w:t>
      </w:r>
      <w:r w:rsidR="00C47045">
        <w:rPr>
          <w:rFonts w:cs="Arial" w:hint="cs"/>
          <w:rtl/>
        </w:rPr>
        <w:t>.</w:t>
      </w:r>
      <w:r>
        <w:rPr>
          <w:rFonts w:cs="Arial"/>
          <w:rtl/>
        </w:rPr>
        <w:t xml:space="preserve"> ולא מסתבר להורות כן שיבטל אדם מפ"ו בסברא רעועה כזאת, דהא חזינן רובא דאינשי שפרין ורבין בחו"ל. ומה שלא עלה לאברהם ישיבת חו"ל לפי שצוהו הקדוש ברוך הוא לך לך מארצך ונתעצל ולא הלך לפיכך נענש. וה"ה כל כיוצא בו שיש לתלות הדבר בשום עונש כמו בחולי או שחבושים בבית האסורין כדפי' תולים בו</w:t>
      </w:r>
      <w:r w:rsidR="00C47045">
        <w:rPr>
          <w:rFonts w:cs="Arial" w:hint="cs"/>
          <w:rtl/>
        </w:rPr>
        <w:t>.</w:t>
      </w:r>
      <w:r>
        <w:rPr>
          <w:rFonts w:cs="Arial"/>
          <w:rtl/>
        </w:rPr>
        <w:t xml:space="preserve"> אבל כשאין שום דבר לתלות בו אין חילוק בין בארץ בין בחו"ל</w:t>
      </w:r>
      <w:r>
        <w:rPr>
          <w:rFonts w:cs="Arial"/>
          <w:sz w:val="16"/>
          <w:szCs w:val="16"/>
          <w:rtl/>
        </w:rPr>
        <w:t xml:space="preserve"> (ל' הטור בשמו)</w:t>
      </w:r>
      <w:r>
        <w:rPr>
          <w:rFonts w:cs="Arial"/>
          <w:rtl/>
        </w:rPr>
        <w:t>.</w:t>
      </w:r>
      <w:r>
        <w:rPr>
          <w:rtl/>
        </w:rPr>
        <w:t xml:space="preserve"> </w:t>
      </w:r>
      <w:r>
        <w:rPr>
          <w:color w:val="E36C0A" w:themeColor="accent6" w:themeShade="BF"/>
          <w:rtl/>
        </w:rPr>
        <w:t>(וכ"ס בשו"ע)</w:t>
      </w:r>
    </w:p>
    <w:p w14:paraId="5A739E91" w14:textId="3990E241" w:rsidR="00C97BEF" w:rsidRDefault="00C97BEF" w:rsidP="006A458D">
      <w:pPr>
        <w:pStyle w:val="ab"/>
        <w:numPr>
          <w:ilvl w:val="0"/>
          <w:numId w:val="123"/>
        </w:numPr>
      </w:pPr>
      <w:r>
        <w:rPr>
          <w:rFonts w:cs="Arial"/>
          <w:rtl/>
        </w:rPr>
        <w:lastRenderedPageBreak/>
        <w:t>רמב"ן</w:t>
      </w:r>
      <w:r>
        <w:rPr>
          <w:rStyle w:val="a7"/>
          <w:rFonts w:cs="Arial"/>
          <w:rtl/>
        </w:rPr>
        <w:footnoteReference w:id="2857"/>
      </w:r>
      <w:r>
        <w:rPr>
          <w:rFonts w:cs="Arial"/>
          <w:sz w:val="16"/>
          <w:szCs w:val="16"/>
          <w:rtl/>
        </w:rPr>
        <w:t xml:space="preserve"> (בראשית טז ג)</w:t>
      </w:r>
      <w:r w:rsidR="00A82951">
        <w:rPr>
          <w:rFonts w:cs="Arial"/>
          <w:rtl/>
        </w:rPr>
        <w:t>-</w:t>
      </w:r>
      <w:r>
        <w:rPr>
          <w:rFonts w:cs="Arial"/>
          <w:rtl/>
        </w:rPr>
        <w:t xml:space="preserve"> כך אנו לומדין מאברהם שאם שהה אדם י' שנים בחו"ל ואח"כ נכנס לארץ אין ישיבת חו"ל עולה לו מן המנין ונותנין לו י' שנים מעת ביאתו לארץ אולי בזכות הארץ יבנה. אבל מי שלא נכנס לארץ ודאי גם הוא יוציא אחר י' שנים</w:t>
      </w:r>
      <w:r>
        <w:rPr>
          <w:rFonts w:cs="Arial"/>
          <w:sz w:val="16"/>
          <w:szCs w:val="16"/>
          <w:rtl/>
        </w:rPr>
        <w:t xml:space="preserve"> (ל' הטור בשמו)</w:t>
      </w:r>
      <w:r>
        <w:rPr>
          <w:rFonts w:cs="Arial"/>
          <w:rtl/>
        </w:rPr>
        <w:t>.</w:t>
      </w:r>
      <w:r>
        <w:rPr>
          <w:rtl/>
        </w:rPr>
        <w:t xml:space="preserve"> (וכ"כ הב"ש </w:t>
      </w:r>
      <w:r>
        <w:rPr>
          <w:sz w:val="16"/>
          <w:szCs w:val="16"/>
          <w:rtl/>
        </w:rPr>
        <w:t>[סקכ"ו]</w:t>
      </w:r>
      <w:r>
        <w:rPr>
          <w:rtl/>
        </w:rPr>
        <w:t>)</w:t>
      </w:r>
    </w:p>
    <w:p w14:paraId="20970E86"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5E14E918" w14:textId="77777777" w:rsidR="00C97BEF" w:rsidRDefault="00C97BEF" w:rsidP="00C97BEF">
      <w:pPr>
        <w:rPr>
          <w:rtl/>
        </w:rPr>
      </w:pPr>
      <w:r>
        <w:rPr>
          <w:rFonts w:cs="Arial"/>
          <w:rtl/>
        </w:rPr>
        <w:t xml:space="preserve">הלך בסחורה בתוך עשר שנים, או שהיה הבעל חולה, או שהיתה היא חולה, אף על פי שמשמשים יחד, או שהיו חבושים בבית האסורים, אין עולים להם אותו זמן מהמנין. </w:t>
      </w:r>
    </w:p>
    <w:p w14:paraId="633F2352" w14:textId="77777777" w:rsidR="00C97BEF" w:rsidRDefault="00C97BEF" w:rsidP="00C97BEF">
      <w:pPr>
        <w:rPr>
          <w:rtl/>
        </w:rPr>
      </w:pPr>
    </w:p>
    <w:p w14:paraId="083AE652" w14:textId="77777777" w:rsidR="00C97BEF" w:rsidRDefault="00C97BEF" w:rsidP="00C97BEF">
      <w:pPr>
        <w:pStyle w:val="2"/>
        <w:rPr>
          <w:rtl/>
        </w:rPr>
      </w:pPr>
      <w:r>
        <w:rPr>
          <w:rtl/>
        </w:rPr>
        <w:t>סעיף יב: הוא אומר שהיא הפילה תוך י' שנים. והמפלת ג' פעמים.</w:t>
      </w:r>
    </w:p>
    <w:p w14:paraId="56A28FFC" w14:textId="11272247" w:rsidR="00C97BEF" w:rsidRDefault="00C97BEF" w:rsidP="00C97BEF">
      <w:pPr>
        <w:rPr>
          <w:u w:val="single"/>
          <w:rtl/>
        </w:rPr>
      </w:pPr>
      <w:r>
        <w:rPr>
          <w:rFonts w:cs="Arial"/>
          <w:b/>
          <w:bCs/>
          <w:rtl/>
        </w:rPr>
        <w:t xml:space="preserve">יבמות </w:t>
      </w:r>
      <w:r>
        <w:rPr>
          <w:rFonts w:cs="Arial"/>
          <w:b/>
          <w:bCs/>
          <w:sz w:val="16"/>
          <w:szCs w:val="16"/>
          <w:rtl/>
        </w:rPr>
        <w:t xml:space="preserve">(פ' הבא על יבמתו) </w:t>
      </w:r>
      <w:r>
        <w:rPr>
          <w:rFonts w:cs="Arial"/>
          <w:b/>
          <w:bCs/>
          <w:rtl/>
        </w:rPr>
        <w:t>סד ע"א:</w:t>
      </w:r>
      <w:r>
        <w:rPr>
          <w:rFonts w:cs="Arial"/>
          <w:rtl/>
        </w:rPr>
        <w:t xml:space="preserve"> </w:t>
      </w:r>
      <w:r>
        <w:rPr>
          <w:rFonts w:cs="Arial"/>
          <w:u w:val="double"/>
          <w:rtl/>
        </w:rPr>
        <w:t>מתני'</w:t>
      </w:r>
      <w:r>
        <w:rPr>
          <w:rFonts w:cs="Arial"/>
          <w:rtl/>
        </w:rPr>
        <w:t xml:space="preserve">: נשא אשה ושהה עמה עשר שנים ולא ילדה </w:t>
      </w:r>
      <w:r w:rsidR="00A82951">
        <w:rPr>
          <w:rFonts w:cs="Arial"/>
          <w:rtl/>
        </w:rPr>
        <w:t>-</w:t>
      </w:r>
      <w:r>
        <w:rPr>
          <w:rFonts w:cs="Arial"/>
          <w:rtl/>
        </w:rPr>
        <w:t xml:space="preserve"> אינו רשאי לבטל... ואם הפילה </w:t>
      </w:r>
      <w:r w:rsidR="00A82951">
        <w:rPr>
          <w:rFonts w:cs="Arial"/>
          <w:rtl/>
        </w:rPr>
        <w:t>-</w:t>
      </w:r>
      <w:r>
        <w:rPr>
          <w:rFonts w:cs="Arial"/>
          <w:rtl/>
        </w:rPr>
        <w:t xml:space="preserve"> מונה משעה שהפילה.        </w:t>
      </w:r>
      <w:r>
        <w:rPr>
          <w:rFonts w:cs="Arial"/>
          <w:u w:val="double"/>
          <w:rtl/>
        </w:rPr>
        <w:t>גמ'</w:t>
      </w:r>
      <w:r>
        <w:rPr>
          <w:rFonts w:cs="Arial"/>
          <w:sz w:val="14"/>
          <w:szCs w:val="14"/>
          <w:u w:val="double"/>
          <w:rtl/>
        </w:rPr>
        <w:t>(סה:)</w:t>
      </w:r>
      <w:r>
        <w:rPr>
          <w:rFonts w:cs="Arial"/>
          <w:u w:val="double"/>
          <w:rtl/>
        </w:rPr>
        <w:t>:</w:t>
      </w:r>
      <w:r>
        <w:rPr>
          <w:rFonts w:cs="Arial"/>
          <w:rtl/>
        </w:rPr>
        <w:t xml:space="preserve"> הפילה, וחזרה והפילה, וחזרה והפילה </w:t>
      </w:r>
      <w:r w:rsidR="00A82951">
        <w:rPr>
          <w:rFonts w:cs="Arial"/>
          <w:rtl/>
        </w:rPr>
        <w:t>-</w:t>
      </w:r>
      <w:r>
        <w:rPr>
          <w:rFonts w:cs="Arial"/>
          <w:rtl/>
        </w:rPr>
        <w:t xml:space="preserve"> הוחזקה לנפלים.</w:t>
      </w:r>
      <w:r>
        <w:rPr>
          <w:rFonts w:cs="Arial"/>
          <w:sz w:val="16"/>
          <w:szCs w:val="16"/>
          <w:rtl/>
        </w:rPr>
        <w:t xml:space="preserve"> (וכתב הרא"ש (סי' יט) ואם הפילה שלש פעמים </w:t>
      </w:r>
      <w:r w:rsidR="00A82951">
        <w:rPr>
          <w:rFonts w:cs="Arial"/>
          <w:sz w:val="16"/>
          <w:szCs w:val="16"/>
          <w:rtl/>
        </w:rPr>
        <w:t>-</w:t>
      </w:r>
      <w:r>
        <w:rPr>
          <w:rFonts w:cs="Arial"/>
          <w:sz w:val="16"/>
          <w:szCs w:val="16"/>
          <w:rtl/>
        </w:rPr>
        <w:t xml:space="preserve"> תצא שלא בכתובה. ואם הפילה שתי פעמים אליבא דרבי (שם סד: סה.) </w:t>
      </w:r>
      <w:r w:rsidR="00A82951">
        <w:rPr>
          <w:rFonts w:cs="Arial"/>
          <w:sz w:val="16"/>
          <w:szCs w:val="16"/>
          <w:rtl/>
        </w:rPr>
        <w:t>-</w:t>
      </w:r>
      <w:r>
        <w:rPr>
          <w:rFonts w:cs="Arial"/>
          <w:sz w:val="16"/>
          <w:szCs w:val="16"/>
          <w:rtl/>
        </w:rPr>
        <w:t xml:space="preserve"> תצא בכתובה, ולא תנשא אלא למי שיש לו בנים. ואם נישאת למי שאין לו בנים </w:t>
      </w:r>
      <w:r w:rsidR="00A82951">
        <w:rPr>
          <w:rFonts w:cs="Arial"/>
          <w:sz w:val="16"/>
          <w:szCs w:val="16"/>
          <w:rtl/>
        </w:rPr>
        <w:t>-</w:t>
      </w:r>
      <w:r>
        <w:rPr>
          <w:rFonts w:cs="Arial"/>
          <w:sz w:val="16"/>
          <w:szCs w:val="16"/>
          <w:rtl/>
        </w:rPr>
        <w:t xml:space="preserve"> תצא שלא בכתובה אם לא הכיר בה. כך הוה מסתבר לי לפרושי, דבחזקה זו שהוחזקה להיות מפלת אתרעי גופא, שלעולם לא יגמור הריונה, והויא לה כמו אשה שהוחזקה אצל שני אנשים שאנו מחזיקים אותה עקרה. ורש"י ז"ל (סה: ד"ה הוחזקה לנפלים) לא פירש כן, וכן הרי"ף (כא.), אלא יוציא ויתן כתובה ואין לו להמתין עד עשר שנים, דכיון שהוחזקה אצלו בנפלים שמא לא זכה ליבנות הימנה ומותרת לינשא לאחר, דאין תולין בה, אלא בעונש הבעל. ודברי, אע"פ שדברי טעם הם </w:t>
      </w:r>
      <w:r w:rsidR="00A82951">
        <w:rPr>
          <w:rFonts w:cs="Arial"/>
          <w:sz w:val="16"/>
          <w:szCs w:val="16"/>
          <w:rtl/>
        </w:rPr>
        <w:t>-</w:t>
      </w:r>
      <w:r>
        <w:rPr>
          <w:rFonts w:cs="Arial"/>
          <w:sz w:val="16"/>
          <w:szCs w:val="16"/>
          <w:rtl/>
        </w:rPr>
        <w:t xml:space="preserve"> בטלים הם כנגד דברי רבותינו עכ"ל, ב"י)</w:t>
      </w:r>
    </w:p>
    <w:p w14:paraId="357A993A" w14:textId="77777777" w:rsidR="00C97BEF" w:rsidRDefault="00C97BEF" w:rsidP="00C97BEF">
      <w:pPr>
        <w:rPr>
          <w:u w:val="single"/>
          <w:rtl/>
        </w:rPr>
      </w:pPr>
      <w:r>
        <w:rPr>
          <w:u w:val="single"/>
          <w:rtl/>
        </w:rPr>
        <w:t>המפלת ג' פעמים:</w:t>
      </w:r>
    </w:p>
    <w:p w14:paraId="3B552860" w14:textId="149689F2" w:rsidR="00C97BEF" w:rsidRDefault="00C97BEF" w:rsidP="006A458D">
      <w:pPr>
        <w:pStyle w:val="ab"/>
        <w:numPr>
          <w:ilvl w:val="0"/>
          <w:numId w:val="123"/>
        </w:numPr>
      </w:pPr>
      <w:r>
        <w:rPr>
          <w:rFonts w:cs="Arial"/>
          <w:rtl/>
        </w:rPr>
        <w:t>טור</w:t>
      </w:r>
      <w:r w:rsidR="00A82951">
        <w:rPr>
          <w:rFonts w:cs="Arial"/>
          <w:rtl/>
        </w:rPr>
        <w:t>-</w:t>
      </w:r>
      <w:r>
        <w:rPr>
          <w:rFonts w:cs="Arial"/>
          <w:rtl/>
        </w:rPr>
        <w:t xml:space="preserve"> הפילה שלשה פעמים</w:t>
      </w:r>
      <w:r w:rsidR="00C47045">
        <w:rPr>
          <w:rFonts w:cs="Arial" w:hint="cs"/>
          <w:rtl/>
        </w:rPr>
        <w:t xml:space="preserve">, </w:t>
      </w:r>
      <w:r>
        <w:rPr>
          <w:rFonts w:cs="Arial"/>
          <w:rtl/>
        </w:rPr>
        <w:t xml:space="preserve">יוציא מיד ויתן כתובתה, שהוחזקה להפיל. מכל מקום מותרת לינשא לאחר. </w:t>
      </w:r>
      <w:r>
        <w:rPr>
          <w:color w:val="E36C0A" w:themeColor="accent6" w:themeShade="BF"/>
          <w:rtl/>
        </w:rPr>
        <w:t>(וכ"פ בשו"ע)</w:t>
      </w:r>
    </w:p>
    <w:p w14:paraId="4CFAD0B4"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D255D76" w14:textId="77777777" w:rsidR="00C97BEF" w:rsidRDefault="00C97BEF" w:rsidP="00C97BEF">
      <w:pPr>
        <w:rPr>
          <w:rtl/>
        </w:rPr>
      </w:pPr>
      <w:r>
        <w:rPr>
          <w:rFonts w:cs="Arial"/>
          <w:rtl/>
        </w:rPr>
        <w:t>הפילה, מונה מיום שהפילה. אם הפילה וחזרה והפילה שלש פעמים</w:t>
      </w:r>
      <w:r>
        <w:rPr>
          <w:rStyle w:val="a7"/>
          <w:rFonts w:cs="Arial"/>
          <w:rtl/>
        </w:rPr>
        <w:footnoteReference w:id="2858"/>
      </w:r>
      <w:r>
        <w:rPr>
          <w:rFonts w:cs="Arial"/>
          <w:rtl/>
        </w:rPr>
        <w:t>, הוחזקה לנפילים, ויוציא ויתן כתובה</w:t>
      </w:r>
      <w:r>
        <w:rPr>
          <w:rStyle w:val="a7"/>
          <w:rFonts w:cs="Arial"/>
          <w:rtl/>
        </w:rPr>
        <w:footnoteReference w:id="2859"/>
      </w:r>
      <w:r>
        <w:rPr>
          <w:rFonts w:cs="Arial"/>
          <w:rtl/>
        </w:rPr>
        <w:t xml:space="preserve">, ומכל מקום מותרת לינשא לאחר. </w:t>
      </w:r>
    </w:p>
    <w:p w14:paraId="2D7F4A11" w14:textId="77777777" w:rsidR="00C97BEF" w:rsidRDefault="00C97BEF" w:rsidP="00C97BEF">
      <w:pPr>
        <w:rPr>
          <w:rtl/>
        </w:rPr>
      </w:pPr>
    </w:p>
    <w:p w14:paraId="07492B9F" w14:textId="77777777" w:rsidR="00C97BEF" w:rsidRDefault="00C97BEF" w:rsidP="00C97BEF">
      <w:pPr>
        <w:pStyle w:val="2"/>
        <w:rPr>
          <w:rtl/>
        </w:rPr>
      </w:pPr>
      <w:r>
        <w:rPr>
          <w:rtl/>
        </w:rPr>
        <w:t>סעיף יג: הוא אומר שהיא הפילה, והיא אומרת שלא הפילה.</w:t>
      </w:r>
    </w:p>
    <w:p w14:paraId="1D1B2424" w14:textId="10C6C395" w:rsidR="00C97BEF" w:rsidRDefault="00C97BEF" w:rsidP="00C97BEF">
      <w:pPr>
        <w:rPr>
          <w:rtl/>
        </w:rPr>
      </w:pPr>
      <w:r>
        <w:rPr>
          <w:rFonts w:cs="Arial"/>
          <w:b/>
          <w:bCs/>
          <w:rtl/>
        </w:rPr>
        <w:t xml:space="preserve">יבמות </w:t>
      </w:r>
      <w:r>
        <w:rPr>
          <w:rFonts w:cs="Arial"/>
          <w:b/>
          <w:bCs/>
          <w:sz w:val="16"/>
          <w:szCs w:val="16"/>
          <w:rtl/>
        </w:rPr>
        <w:t xml:space="preserve">(ס"פ הבא על יבמתו) </w:t>
      </w:r>
      <w:r>
        <w:rPr>
          <w:rFonts w:cs="Arial"/>
          <w:b/>
          <w:bCs/>
          <w:rtl/>
        </w:rPr>
        <w:t>סה ע"ב:</w:t>
      </w:r>
      <w:r>
        <w:rPr>
          <w:rFonts w:cs="Arial"/>
          <w:rtl/>
        </w:rPr>
        <w:t xml:space="preserve"> הוא אמר אפלת בגו עשר</w:t>
      </w:r>
      <w:r>
        <w:rPr>
          <w:rStyle w:val="a7"/>
          <w:rFonts w:cs="Arial"/>
          <w:rtl/>
        </w:rPr>
        <w:footnoteReference w:id="2860"/>
      </w:r>
      <w:r>
        <w:rPr>
          <w:rFonts w:cs="Arial"/>
          <w:rtl/>
        </w:rPr>
        <w:t>, והיא אמרה לא אפלית</w:t>
      </w:r>
      <w:r>
        <w:rPr>
          <w:rStyle w:val="a7"/>
          <w:rFonts w:cs="Arial"/>
          <w:rtl/>
        </w:rPr>
        <w:footnoteReference w:id="2861"/>
      </w:r>
      <w:r>
        <w:rPr>
          <w:rFonts w:cs="Arial"/>
          <w:rtl/>
        </w:rPr>
        <w:t xml:space="preserve">? </w:t>
      </w:r>
      <w:r>
        <w:rPr>
          <w:rFonts w:cs="Arial"/>
          <w:u w:val="single"/>
          <w:rtl/>
        </w:rPr>
        <w:t>א"ר אמי</w:t>
      </w:r>
      <w:r>
        <w:rPr>
          <w:rFonts w:cs="Arial"/>
          <w:rtl/>
        </w:rPr>
        <w:t xml:space="preserve">: אף בזו </w:t>
      </w:r>
      <w:r w:rsidR="00A82951">
        <w:rPr>
          <w:rFonts w:cs="Arial"/>
          <w:rtl/>
        </w:rPr>
        <w:t>-</w:t>
      </w:r>
      <w:r>
        <w:rPr>
          <w:rFonts w:cs="Arial"/>
          <w:rtl/>
        </w:rPr>
        <w:t xml:space="preserve"> היא נאמנת, דאם איתא דהפילה, נפשה בעקרתה לא מחזקה.</w:t>
      </w:r>
    </w:p>
    <w:p w14:paraId="35464774" w14:textId="77777777" w:rsidR="00C97BEF" w:rsidRDefault="00C97BEF" w:rsidP="00C97BEF">
      <w:pPr>
        <w:rPr>
          <w:u w:val="single"/>
          <w:rtl/>
        </w:rPr>
      </w:pPr>
      <w:r>
        <w:rPr>
          <w:u w:val="single"/>
          <w:rtl/>
        </w:rPr>
        <w:t>הוא אומר שהיא הפילה תוך עשר שנים, והיא אומרת שלא הפילה:</w:t>
      </w:r>
    </w:p>
    <w:p w14:paraId="643006D4" w14:textId="24DD993D"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הוא אומר הפילה תוך עשר שנים ורוצה למנות משעה שהפילה, והיא אומרת שלא הפילה </w:t>
      </w:r>
      <w:r w:rsidR="00A82951">
        <w:rPr>
          <w:rFonts w:cs="Arial"/>
          <w:rtl/>
        </w:rPr>
        <w:t>-</w:t>
      </w:r>
      <w:r>
        <w:rPr>
          <w:rFonts w:cs="Arial"/>
          <w:rtl/>
        </w:rPr>
        <w:t xml:space="preserve"> היא נאמנת. </w:t>
      </w:r>
      <w:r>
        <w:rPr>
          <w:color w:val="E36C0A" w:themeColor="accent6" w:themeShade="BF"/>
          <w:rtl/>
        </w:rPr>
        <w:t>(וכ"פ בשו"ע)</w:t>
      </w:r>
      <w:r>
        <w:rPr>
          <w:rtl/>
        </w:rPr>
        <w:t xml:space="preserve"> </w:t>
      </w:r>
    </w:p>
    <w:p w14:paraId="2182DD1E"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3469832B" w14:textId="77777777" w:rsidR="00C97BEF" w:rsidRDefault="00C97BEF" w:rsidP="00C97BEF">
      <w:pPr>
        <w:rPr>
          <w:rtl/>
        </w:rPr>
      </w:pPr>
      <w:r>
        <w:rPr>
          <w:rFonts w:cs="Arial"/>
          <w:rtl/>
        </w:rPr>
        <w:lastRenderedPageBreak/>
        <w:t>הוא אומר: הפילה בתוך עשר, כדי שתשב עמו. והיא אומרת: לא הפלתי, היא נאמנת</w:t>
      </w:r>
      <w:r>
        <w:rPr>
          <w:rStyle w:val="a7"/>
          <w:rFonts w:cs="Arial"/>
          <w:rtl/>
        </w:rPr>
        <w:footnoteReference w:id="2862"/>
      </w:r>
      <w:r>
        <w:rPr>
          <w:rFonts w:cs="Arial"/>
          <w:rtl/>
        </w:rPr>
        <w:t xml:space="preserve">. </w:t>
      </w:r>
    </w:p>
    <w:p w14:paraId="4ED9D619" w14:textId="77777777" w:rsidR="00C97BEF" w:rsidRDefault="00C97BEF" w:rsidP="00C97BEF">
      <w:pPr>
        <w:rPr>
          <w:rtl/>
        </w:rPr>
      </w:pPr>
    </w:p>
    <w:p w14:paraId="15F74FE1" w14:textId="77777777" w:rsidR="00C97BEF" w:rsidRDefault="00C97BEF" w:rsidP="00C97BEF">
      <w:pPr>
        <w:pStyle w:val="2"/>
        <w:rPr>
          <w:rtl/>
        </w:rPr>
      </w:pPr>
      <w:r>
        <w:rPr>
          <w:rtl/>
        </w:rPr>
        <w:t>סעיף יד: הוא אומר 'הפילה שתי פעמים', והיא אומרת 'הפלתי שלש פעמים'.</w:t>
      </w:r>
    </w:p>
    <w:p w14:paraId="4BC03990" w14:textId="77777777" w:rsidR="00C97BEF" w:rsidRDefault="00C97BEF" w:rsidP="00C97BEF">
      <w:pPr>
        <w:rPr>
          <w:rtl/>
        </w:rPr>
      </w:pPr>
      <w:r>
        <w:rPr>
          <w:rFonts w:cs="Arial"/>
          <w:b/>
          <w:bCs/>
          <w:rtl/>
        </w:rPr>
        <w:t xml:space="preserve">יבמות </w:t>
      </w:r>
      <w:r>
        <w:rPr>
          <w:rFonts w:cs="Arial"/>
          <w:b/>
          <w:bCs/>
          <w:sz w:val="16"/>
          <w:szCs w:val="16"/>
          <w:rtl/>
        </w:rPr>
        <w:t xml:space="preserve">(ס"פ הבא על יבמתו) </w:t>
      </w:r>
      <w:r>
        <w:rPr>
          <w:rFonts w:cs="Arial"/>
          <w:b/>
          <w:bCs/>
          <w:rtl/>
        </w:rPr>
        <w:t>סה ע"ב:</w:t>
      </w:r>
      <w:r>
        <w:rPr>
          <w:rFonts w:cs="Arial"/>
          <w:rtl/>
        </w:rPr>
        <w:t xml:space="preserve"> הוא אמר אפילה תרי, והיא אמרה תלת? </w:t>
      </w:r>
      <w:r>
        <w:rPr>
          <w:rFonts w:cs="Arial"/>
          <w:u w:val="single"/>
          <w:rtl/>
        </w:rPr>
        <w:t>אמר רבי יצחק בן אלעזר</w:t>
      </w:r>
      <w:r>
        <w:rPr>
          <w:rFonts w:cs="Arial"/>
          <w:rtl/>
        </w:rPr>
        <w:t>: עובדא הוה בי מדרשא, ואמרו: היא מהימנא, דאם איתא דלא אפלה, נפשה בניפלי לא מחזקה.</w:t>
      </w:r>
    </w:p>
    <w:p w14:paraId="286D2673" w14:textId="77777777" w:rsidR="00C97BEF" w:rsidRDefault="00C97BEF" w:rsidP="00C97BEF">
      <w:pPr>
        <w:rPr>
          <w:u w:val="single"/>
          <w:rtl/>
        </w:rPr>
      </w:pPr>
      <w:r>
        <w:rPr>
          <w:u w:val="single"/>
          <w:rtl/>
        </w:rPr>
        <w:t>הוא אומר 'הפילה שתי פעמים', והיא אומרת 'הפלתי שלש פעמים':</w:t>
      </w:r>
    </w:p>
    <w:p w14:paraId="7E68DB25" w14:textId="11A9E035"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ואם הוא אומר שלא הפילה אלא ב"פ ואינו רוצה להוציאה, והיא אומרת שהפילה עד ג"פ </w:t>
      </w:r>
      <w:r w:rsidR="00A82951">
        <w:rPr>
          <w:rFonts w:cs="Arial"/>
          <w:rtl/>
        </w:rPr>
        <w:t>-</w:t>
      </w:r>
      <w:r>
        <w:rPr>
          <w:rFonts w:cs="Arial"/>
          <w:rtl/>
        </w:rPr>
        <w:t xml:space="preserve"> נאמנת. </w:t>
      </w:r>
      <w:r>
        <w:rPr>
          <w:color w:val="E36C0A" w:themeColor="accent6" w:themeShade="BF"/>
          <w:rtl/>
        </w:rPr>
        <w:t>(וכ"פ בשו"ע)</w:t>
      </w:r>
    </w:p>
    <w:p w14:paraId="17AC24B0"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2082C5C" w14:textId="77777777" w:rsidR="00C97BEF" w:rsidRDefault="00C97BEF" w:rsidP="00C97BEF">
      <w:pPr>
        <w:rPr>
          <w:rtl/>
        </w:rPr>
      </w:pPr>
      <w:r>
        <w:rPr>
          <w:rFonts w:cs="Arial"/>
          <w:rtl/>
        </w:rPr>
        <w:t xml:space="preserve">הוא אומר: הפילה שנים, והיא אומרת: הפלתי שלשה, היא נאמנת. </w:t>
      </w:r>
    </w:p>
    <w:p w14:paraId="4E9A96A5" w14:textId="77777777" w:rsidR="00C97BEF" w:rsidRDefault="00C97BEF" w:rsidP="00C97BEF">
      <w:pPr>
        <w:rPr>
          <w:rtl/>
        </w:rPr>
      </w:pPr>
    </w:p>
    <w:p w14:paraId="1B920DE3" w14:textId="77777777" w:rsidR="00C97BEF" w:rsidRDefault="00C97BEF" w:rsidP="00C97BEF">
      <w:pPr>
        <w:pStyle w:val="2"/>
        <w:rPr>
          <w:rtl/>
        </w:rPr>
      </w:pPr>
      <w:r>
        <w:rPr>
          <w:rtl/>
        </w:rPr>
        <w:t>סעיף טו: חיוב האשה בשבועת היסת שהפילה כדבריה.</w:t>
      </w:r>
    </w:p>
    <w:p w14:paraId="4D2B7E0D" w14:textId="77777777" w:rsidR="00C97BEF" w:rsidRDefault="00C97BEF" w:rsidP="00C97BEF">
      <w:pPr>
        <w:rPr>
          <w:u w:val="single"/>
          <w:rtl/>
        </w:rPr>
      </w:pPr>
      <w:r>
        <w:rPr>
          <w:u w:val="single"/>
          <w:rtl/>
        </w:rPr>
        <w:t>חיוב האשה בשבועת היסת שהפילה כדבריה:</w:t>
      </w:r>
    </w:p>
    <w:p w14:paraId="188FA898" w14:textId="6B28C6F3"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וכתב הרמב"ם </w:t>
      </w:r>
      <w:r>
        <w:rPr>
          <w:rFonts w:cs="Arial"/>
          <w:sz w:val="16"/>
          <w:szCs w:val="16"/>
          <w:rtl/>
        </w:rPr>
        <w:t xml:space="preserve">(פט"ו מאישות הי"ג) </w:t>
      </w:r>
      <w:r>
        <w:rPr>
          <w:rFonts w:cs="Arial"/>
          <w:rtl/>
        </w:rPr>
        <w:t xml:space="preserve">ועל כל זה משביעה שבועת היסת שלא הפילה, או שהפילה ג"פ, שבטענה זו יתחייב ליתן לה כתובה. </w:t>
      </w:r>
      <w:r>
        <w:rPr>
          <w:color w:val="E36C0A" w:themeColor="accent6" w:themeShade="BF"/>
          <w:rtl/>
        </w:rPr>
        <w:t>(וכ"פ בשו"ע)</w:t>
      </w:r>
    </w:p>
    <w:p w14:paraId="5A4389F6"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6C108BCA" w14:textId="77777777" w:rsidR="00C97BEF" w:rsidRDefault="00C97BEF" w:rsidP="00C97BEF">
      <w:pPr>
        <w:rPr>
          <w:rtl/>
        </w:rPr>
      </w:pPr>
      <w:r>
        <w:rPr>
          <w:rFonts w:cs="Arial"/>
          <w:rtl/>
        </w:rPr>
        <w:t>בכל זה משביעה שבועת היסת</w:t>
      </w:r>
      <w:r>
        <w:rPr>
          <w:rStyle w:val="a7"/>
          <w:rFonts w:cs="Arial"/>
          <w:rtl/>
        </w:rPr>
        <w:footnoteReference w:id="2863"/>
      </w:r>
      <w:r>
        <w:rPr>
          <w:rFonts w:cs="Arial"/>
          <w:rtl/>
        </w:rPr>
        <w:t xml:space="preserve"> שלא הפילה, או שהפילה שלשה, שבטענה זו יתחייב ליתן לה כתובה. </w:t>
      </w:r>
    </w:p>
    <w:p w14:paraId="51CFB406" w14:textId="77777777" w:rsidR="00C97BEF" w:rsidRDefault="00C97BEF" w:rsidP="00C97BEF">
      <w:pPr>
        <w:rPr>
          <w:rtl/>
        </w:rPr>
      </w:pPr>
    </w:p>
    <w:p w14:paraId="283A3CE6" w14:textId="77777777" w:rsidR="00C97BEF" w:rsidRDefault="00C97BEF" w:rsidP="00C97BEF">
      <w:pPr>
        <w:pStyle w:val="2"/>
        <w:rPr>
          <w:rtl/>
        </w:rPr>
      </w:pPr>
      <w:r>
        <w:rPr>
          <w:rtl/>
        </w:rPr>
        <w:t>סעיף טז: גרשה הראשון, ורוצה להנשא לשני.</w:t>
      </w:r>
    </w:p>
    <w:p w14:paraId="5D3EFA8D" w14:textId="17F5A378" w:rsidR="00C97BEF" w:rsidRDefault="00C97BEF" w:rsidP="00C97BEF">
      <w:pPr>
        <w:rPr>
          <w:rtl/>
        </w:rPr>
      </w:pPr>
      <w:r>
        <w:rPr>
          <w:rFonts w:cs="Arial"/>
          <w:b/>
          <w:bCs/>
          <w:rtl/>
        </w:rPr>
        <w:t xml:space="preserve">יבמות </w:t>
      </w:r>
      <w:r>
        <w:rPr>
          <w:rFonts w:cs="Arial"/>
          <w:b/>
          <w:bCs/>
          <w:sz w:val="16"/>
          <w:szCs w:val="16"/>
          <w:rtl/>
        </w:rPr>
        <w:t xml:space="preserve">(פ' הבא על יבמתו) </w:t>
      </w:r>
      <w:r>
        <w:rPr>
          <w:rFonts w:cs="Arial"/>
          <w:b/>
          <w:bCs/>
          <w:rtl/>
        </w:rPr>
        <w:t>סד ע"א:</w:t>
      </w:r>
      <w:r>
        <w:rPr>
          <w:rFonts w:cs="Arial"/>
          <w:rtl/>
        </w:rPr>
        <w:t xml:space="preserve"> </w:t>
      </w:r>
      <w:r>
        <w:rPr>
          <w:rFonts w:cs="Arial"/>
          <w:u w:val="double"/>
          <w:rtl/>
        </w:rPr>
        <w:t>מתני'</w:t>
      </w:r>
      <w:r>
        <w:rPr>
          <w:rFonts w:cs="Arial"/>
          <w:rtl/>
        </w:rPr>
        <w:t xml:space="preserve">: נשא אשה ושהה עמה עשר שנים ולא ילדה </w:t>
      </w:r>
      <w:r w:rsidR="00A82951">
        <w:rPr>
          <w:rFonts w:cs="Arial"/>
          <w:rtl/>
        </w:rPr>
        <w:t>-</w:t>
      </w:r>
      <w:r>
        <w:rPr>
          <w:rFonts w:cs="Arial"/>
          <w:rtl/>
        </w:rPr>
        <w:t xml:space="preserve"> אינו רשאי לבטל. גירשה </w:t>
      </w:r>
      <w:r w:rsidR="00A82951">
        <w:rPr>
          <w:rFonts w:cs="Arial"/>
          <w:rtl/>
        </w:rPr>
        <w:t>-</w:t>
      </w:r>
      <w:r>
        <w:rPr>
          <w:rFonts w:cs="Arial"/>
          <w:rtl/>
        </w:rPr>
        <w:t xml:space="preserve"> מותרת לינשא לאחר, ורשאי השני לשהות עמה י' שנים. ואם הפילה </w:t>
      </w:r>
      <w:r w:rsidR="00A82951">
        <w:rPr>
          <w:rFonts w:cs="Arial"/>
          <w:rtl/>
        </w:rPr>
        <w:t>-</w:t>
      </w:r>
      <w:r>
        <w:rPr>
          <w:rFonts w:cs="Arial"/>
          <w:rtl/>
        </w:rPr>
        <w:t xml:space="preserve"> מונה משעה שהפילה.        </w:t>
      </w:r>
      <w:r>
        <w:rPr>
          <w:rFonts w:cs="Arial"/>
          <w:u w:val="double"/>
          <w:rtl/>
        </w:rPr>
        <w:t>גמ'</w:t>
      </w:r>
      <w:r>
        <w:rPr>
          <w:rFonts w:cs="Arial"/>
          <w:sz w:val="14"/>
          <w:szCs w:val="14"/>
          <w:u w:val="double"/>
          <w:rtl/>
        </w:rPr>
        <w:t>(סד:)</w:t>
      </w:r>
      <w:r>
        <w:rPr>
          <w:rFonts w:cs="Arial"/>
          <w:u w:val="double"/>
          <w:rtl/>
        </w:rPr>
        <w:t>:</w:t>
      </w:r>
      <w:r>
        <w:rPr>
          <w:rFonts w:cs="Arial"/>
          <w:rtl/>
        </w:rPr>
        <w:t xml:space="preserve"> גירשה </w:t>
      </w:r>
      <w:r w:rsidR="00A82951">
        <w:rPr>
          <w:rFonts w:cs="Arial"/>
          <w:rtl/>
        </w:rPr>
        <w:t>-</w:t>
      </w:r>
      <w:r>
        <w:rPr>
          <w:rFonts w:cs="Arial"/>
          <w:rtl/>
        </w:rPr>
        <w:t xml:space="preserve"> מותרת וכו'. שני אין, שלישי לא, מתניתין מני? רבי היא, דתניא: מלה הראשון ומת, שני ומת </w:t>
      </w:r>
      <w:r w:rsidR="00A82951">
        <w:rPr>
          <w:rFonts w:cs="Arial"/>
          <w:rtl/>
        </w:rPr>
        <w:t>-</w:t>
      </w:r>
      <w:r>
        <w:rPr>
          <w:rFonts w:cs="Arial"/>
          <w:rtl/>
        </w:rPr>
        <w:t xml:space="preserve"> שלישי לא תמול, דברי רבי. רבן שמעון בן גמליאל אומר: שלישי תמול, רביעי לא תמול. והתניא איפכא! הי מינייהו אחריניתא?... </w:t>
      </w:r>
      <w:r>
        <w:rPr>
          <w:rFonts w:cs="Arial"/>
          <w:u w:val="single"/>
          <w:rtl/>
        </w:rPr>
        <w:t>א"ל רב יוסף בריה דרבא לרבא</w:t>
      </w:r>
      <w:r>
        <w:rPr>
          <w:rFonts w:cs="Arial"/>
          <w:rtl/>
        </w:rPr>
        <w:t>: בעי מיניה מרב יוסף: הלכה כרבי? ואמר לי: אין; הלכה כרבן שמעון בן גמליאל? ואמר לי: אין, אחוכי אחיך בי</w:t>
      </w:r>
      <w:r>
        <w:rPr>
          <w:rStyle w:val="a7"/>
          <w:rFonts w:cs="Arial"/>
          <w:rtl/>
        </w:rPr>
        <w:footnoteReference w:id="2864"/>
      </w:r>
      <w:r>
        <w:rPr>
          <w:rFonts w:cs="Arial"/>
          <w:rtl/>
        </w:rPr>
        <w:t xml:space="preserve">! </w:t>
      </w:r>
      <w:r>
        <w:rPr>
          <w:rFonts w:cs="Arial"/>
          <w:u w:val="single"/>
          <w:rtl/>
        </w:rPr>
        <w:t>א"ל</w:t>
      </w:r>
      <w:r>
        <w:rPr>
          <w:rFonts w:cs="Arial"/>
          <w:rtl/>
        </w:rPr>
        <w:t>: לא, סתמי היא, ופשיט לך</w:t>
      </w:r>
      <w:r>
        <w:rPr>
          <w:rStyle w:val="a7"/>
          <w:rFonts w:cs="Arial"/>
          <w:rtl/>
        </w:rPr>
        <w:footnoteReference w:id="2865"/>
      </w:r>
      <w:r>
        <w:rPr>
          <w:rFonts w:cs="Arial"/>
          <w:rtl/>
        </w:rPr>
        <w:t>: נישואין</w:t>
      </w:r>
      <w:r>
        <w:rPr>
          <w:rStyle w:val="a7"/>
          <w:rFonts w:cs="Arial"/>
          <w:rtl/>
        </w:rPr>
        <w:footnoteReference w:id="2866"/>
      </w:r>
      <w:r>
        <w:rPr>
          <w:rFonts w:cs="Arial"/>
          <w:rtl/>
        </w:rPr>
        <w:t xml:space="preserve"> ומלקיות </w:t>
      </w:r>
      <w:r w:rsidR="00A82951">
        <w:rPr>
          <w:rFonts w:cs="Arial"/>
          <w:rtl/>
        </w:rPr>
        <w:t>-</w:t>
      </w:r>
      <w:r>
        <w:rPr>
          <w:rFonts w:cs="Arial"/>
          <w:rtl/>
        </w:rPr>
        <w:t xml:space="preserve"> כרבי, וסתות ושור המועד </w:t>
      </w:r>
      <w:r w:rsidR="00A82951">
        <w:rPr>
          <w:rFonts w:cs="Arial"/>
          <w:rtl/>
        </w:rPr>
        <w:t>-</w:t>
      </w:r>
      <w:r>
        <w:rPr>
          <w:rFonts w:cs="Arial"/>
          <w:rtl/>
        </w:rPr>
        <w:t xml:space="preserve"> כרבן שמעון בן גמליאל. </w:t>
      </w:r>
      <w:r>
        <w:rPr>
          <w:rFonts w:cs="Arial"/>
          <w:sz w:val="16"/>
          <w:szCs w:val="16"/>
          <w:rtl/>
        </w:rPr>
        <w:t>(והיינו סתם מתניתין כרבי דאמר בתרי זימני הויא חזקה, ב"י)</w:t>
      </w:r>
    </w:p>
    <w:p w14:paraId="541ED980" w14:textId="73F04E4F" w:rsidR="00C97BEF" w:rsidRDefault="00C97BEF" w:rsidP="00C97BEF">
      <w:pPr>
        <w:rPr>
          <w:rtl/>
        </w:rPr>
      </w:pPr>
      <w:r>
        <w:rPr>
          <w:rFonts w:cs="Arial"/>
          <w:b/>
          <w:bCs/>
          <w:rtl/>
        </w:rPr>
        <w:lastRenderedPageBreak/>
        <w:t xml:space="preserve">יבמות </w:t>
      </w:r>
      <w:r>
        <w:rPr>
          <w:rFonts w:cs="Arial"/>
          <w:b/>
          <w:bCs/>
          <w:sz w:val="16"/>
          <w:szCs w:val="16"/>
          <w:rtl/>
        </w:rPr>
        <w:t xml:space="preserve">(ס"פ הבא על יבמתו) </w:t>
      </w:r>
      <w:r>
        <w:rPr>
          <w:rFonts w:cs="Arial"/>
          <w:b/>
          <w:bCs/>
          <w:rtl/>
        </w:rPr>
        <w:t>סה ע"א:</w:t>
      </w:r>
      <w:r>
        <w:rPr>
          <w:rFonts w:cs="Arial"/>
          <w:rtl/>
        </w:rPr>
        <w:t xml:space="preserve"> ת"ר: ניסת לראשון ולא היו לה בנים, לשני ולא היו לה בנים </w:t>
      </w:r>
      <w:r w:rsidR="00A82951">
        <w:rPr>
          <w:rFonts w:cs="Arial"/>
          <w:rtl/>
        </w:rPr>
        <w:t>-</w:t>
      </w:r>
      <w:r>
        <w:rPr>
          <w:rFonts w:cs="Arial"/>
          <w:rtl/>
        </w:rPr>
        <w:t xml:space="preserve"> לשלישי לא תנשא אלא למי שיש לו בנים. נישאת למי שאין לו בנים </w:t>
      </w:r>
      <w:r w:rsidR="00A82951">
        <w:rPr>
          <w:rFonts w:cs="Arial"/>
          <w:rtl/>
        </w:rPr>
        <w:t>-</w:t>
      </w:r>
      <w:r>
        <w:rPr>
          <w:rFonts w:cs="Arial"/>
          <w:rtl/>
        </w:rPr>
        <w:t xml:space="preserve"> תצא בלא כתובה.</w:t>
      </w:r>
      <w:r>
        <w:rPr>
          <w:rFonts w:cs="Arial"/>
          <w:sz w:val="16"/>
          <w:szCs w:val="16"/>
          <w:rtl/>
        </w:rPr>
        <w:t xml:space="preserve"> (וכתבו התוס' (ד"ה תצא) והרא"ש (סי' יג</w:t>
      </w:r>
      <w:r w:rsidR="00A82951">
        <w:rPr>
          <w:rFonts w:cs="Arial"/>
          <w:sz w:val="16"/>
          <w:szCs w:val="16"/>
          <w:rtl/>
        </w:rPr>
        <w:t>-</w:t>
      </w:r>
      <w:r>
        <w:rPr>
          <w:rFonts w:cs="Arial"/>
          <w:sz w:val="16"/>
          <w:szCs w:val="16"/>
          <w:rtl/>
        </w:rPr>
        <w:t>יד) שכתוב בהלכות גדולות (הלכות כתובות סח:) דבלא הכיר בה איירי אבל הכיר בה יש לה כתובה, ב"י)</w:t>
      </w:r>
    </w:p>
    <w:p w14:paraId="3E8ADB04" w14:textId="77777777" w:rsidR="00C97BEF" w:rsidRDefault="00C97BEF" w:rsidP="00C97BEF">
      <w:pPr>
        <w:rPr>
          <w:u w:val="single"/>
          <w:rtl/>
        </w:rPr>
      </w:pPr>
      <w:r>
        <w:rPr>
          <w:u w:val="single"/>
          <w:rtl/>
        </w:rPr>
        <w:t>גרשה הראשון, ורוצה להנשא לשני:</w:t>
      </w:r>
    </w:p>
    <w:p w14:paraId="70010849" w14:textId="549AA245"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גירשה הראשון</w:t>
      </w:r>
      <w:r w:rsidR="008A4F63">
        <w:rPr>
          <w:rFonts w:cs="Arial" w:hint="cs"/>
          <w:rtl/>
        </w:rPr>
        <w:t xml:space="preserve">, </w:t>
      </w:r>
      <w:r>
        <w:rPr>
          <w:rFonts w:cs="Arial"/>
          <w:rtl/>
        </w:rPr>
        <w:t xml:space="preserve">יכולה לינשא לשני. נישאת לשני ושהתה עמו י' שנים ולא ילדה </w:t>
      </w:r>
      <w:r w:rsidR="00A82951">
        <w:rPr>
          <w:rFonts w:cs="Arial"/>
          <w:rtl/>
        </w:rPr>
        <w:t>-</w:t>
      </w:r>
      <w:r>
        <w:rPr>
          <w:rFonts w:cs="Arial"/>
          <w:rtl/>
        </w:rPr>
        <w:t xml:space="preserve"> דינה עמו כדין הראשון. </w:t>
      </w:r>
      <w:r>
        <w:rPr>
          <w:color w:val="E36C0A" w:themeColor="accent6" w:themeShade="BF"/>
          <w:rtl/>
        </w:rPr>
        <w:t>(וכ"פ בשו"ע)</w:t>
      </w:r>
    </w:p>
    <w:p w14:paraId="72A7BE92" w14:textId="77777777" w:rsidR="00C97BEF" w:rsidRDefault="00C97BEF" w:rsidP="00C97BEF">
      <w:pPr>
        <w:ind w:left="360"/>
        <w:rPr>
          <w:u w:val="dotted"/>
        </w:rPr>
      </w:pPr>
      <w:r>
        <w:rPr>
          <w:u w:val="dotted"/>
          <w:rtl/>
        </w:rPr>
        <w:t>האם יכולה להנשא לשלישי:</w:t>
      </w:r>
    </w:p>
    <w:p w14:paraId="2846D02A" w14:textId="78F05853" w:rsidR="00C97BEF" w:rsidRDefault="00C97BEF" w:rsidP="006A458D">
      <w:pPr>
        <w:pStyle w:val="ab"/>
        <w:numPr>
          <w:ilvl w:val="0"/>
          <w:numId w:val="123"/>
        </w:numPr>
      </w:pPr>
      <w:r>
        <w:rPr>
          <w:rFonts w:cs="Arial"/>
          <w:rtl/>
        </w:rPr>
        <w:t>טור</w:t>
      </w:r>
      <w:r w:rsidR="00A82951">
        <w:rPr>
          <w:rFonts w:cs="Arial"/>
          <w:rtl/>
        </w:rPr>
        <w:t>-</w:t>
      </w:r>
      <w:r>
        <w:rPr>
          <w:rFonts w:cs="Arial"/>
          <w:rtl/>
        </w:rPr>
        <w:t xml:space="preserve"> ולאחר שתצא ממנו לא תינשא לשלישי אם לא קיים פריה ורביה. עברה וניסת לו ולא הכיר בה </w:t>
      </w:r>
      <w:r w:rsidR="00A82951">
        <w:rPr>
          <w:rFonts w:cs="Arial"/>
          <w:rtl/>
        </w:rPr>
        <w:t>-</w:t>
      </w:r>
      <w:r>
        <w:rPr>
          <w:rFonts w:cs="Arial"/>
          <w:rtl/>
        </w:rPr>
        <w:t xml:space="preserve"> תצא מיד ואין לה כתובה. הכיר בה </w:t>
      </w:r>
      <w:r w:rsidR="00A82951">
        <w:rPr>
          <w:rFonts w:cs="Arial"/>
          <w:rtl/>
        </w:rPr>
        <w:t>-</w:t>
      </w:r>
      <w:r>
        <w:rPr>
          <w:rFonts w:cs="Arial"/>
          <w:rtl/>
        </w:rPr>
        <w:t xml:space="preserve"> יש לה כתובה. </w:t>
      </w:r>
      <w:r>
        <w:rPr>
          <w:color w:val="E36C0A" w:themeColor="accent6" w:themeShade="BF"/>
          <w:rtl/>
        </w:rPr>
        <w:t>(וכ"פ בשו"ע</w:t>
      </w:r>
      <w:r>
        <w:rPr>
          <w:color w:val="E36C0A" w:themeColor="accent6" w:themeShade="BF"/>
          <w:sz w:val="16"/>
          <w:szCs w:val="16"/>
          <w:rtl/>
        </w:rPr>
        <w:t xml:space="preserve"> </w:t>
      </w:r>
      <w:r>
        <w:rPr>
          <w:color w:val="000000" w:themeColor="text1"/>
          <w:sz w:val="16"/>
          <w:szCs w:val="16"/>
          <w:rtl/>
        </w:rPr>
        <w:t>[בסע' הבא]</w:t>
      </w:r>
      <w:r>
        <w:rPr>
          <w:color w:val="E36C0A" w:themeColor="accent6" w:themeShade="BF"/>
          <w:rtl/>
        </w:rPr>
        <w:t>)</w:t>
      </w:r>
    </w:p>
    <w:p w14:paraId="3FACAF1A"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EC65C19" w14:textId="77777777" w:rsidR="00C97BEF" w:rsidRDefault="00C97BEF" w:rsidP="00C97BEF">
      <w:pPr>
        <w:rPr>
          <w:rtl/>
        </w:rPr>
      </w:pPr>
      <w:r>
        <w:rPr>
          <w:rFonts w:cs="Arial"/>
          <w:rtl/>
        </w:rPr>
        <w:t xml:space="preserve">שהה עם אשתו עשר שנים ולא ילדה, והוציאה, מותרת להנשא עם השני. שהתה עם השני עשר שנים ולא ילדה, דינה עמו כדינה עם הראשון. </w:t>
      </w:r>
    </w:p>
    <w:p w14:paraId="7AC81B3F" w14:textId="77777777" w:rsidR="00C97BEF" w:rsidRDefault="00C97BEF" w:rsidP="00C97BEF">
      <w:pPr>
        <w:rPr>
          <w:rtl/>
        </w:rPr>
      </w:pPr>
    </w:p>
    <w:p w14:paraId="69CA3CDD" w14:textId="77777777" w:rsidR="00C97BEF" w:rsidRDefault="00C97BEF" w:rsidP="00C97BEF">
      <w:pPr>
        <w:pStyle w:val="2"/>
        <w:rPr>
          <w:rtl/>
        </w:rPr>
      </w:pPr>
      <w:r>
        <w:rPr>
          <w:rtl/>
        </w:rPr>
        <w:t>סעיף יז: גרשה השני, לא תנשא לשלישי.</w:t>
      </w:r>
    </w:p>
    <w:p w14:paraId="0E8DE997" w14:textId="77777777" w:rsidR="00C97BEF" w:rsidRDefault="00C97BEF" w:rsidP="00C97BEF">
      <w:pPr>
        <w:rPr>
          <w:rtl/>
        </w:rPr>
      </w:pPr>
      <w:r>
        <w:rPr>
          <w:rtl/>
        </w:rPr>
        <w:t>עיין במקורות בסעיף הקודם.</w:t>
      </w:r>
    </w:p>
    <w:p w14:paraId="754710A2"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255FB55" w14:textId="77777777" w:rsidR="00C97BEF" w:rsidRDefault="00C97BEF" w:rsidP="00C97BEF">
      <w:pPr>
        <w:rPr>
          <w:rtl/>
        </w:rPr>
      </w:pPr>
      <w:r>
        <w:rPr>
          <w:rFonts w:cs="Arial"/>
          <w:rtl/>
        </w:rPr>
        <w:t>גירשה, לא תנשא לשלישי</w:t>
      </w:r>
      <w:r>
        <w:rPr>
          <w:rStyle w:val="a7"/>
          <w:rFonts w:cs="Arial"/>
          <w:rtl/>
        </w:rPr>
        <w:footnoteReference w:id="2867"/>
      </w:r>
      <w:r>
        <w:rPr>
          <w:rFonts w:cs="Arial"/>
          <w:rtl/>
        </w:rPr>
        <w:t>. ואם נשאת לשלישי, תצא שלא בכתובה</w:t>
      </w:r>
      <w:r>
        <w:rPr>
          <w:rStyle w:val="a7"/>
          <w:rFonts w:cs="Arial"/>
          <w:rtl/>
        </w:rPr>
        <w:footnoteReference w:id="2868"/>
      </w:r>
      <w:r>
        <w:rPr>
          <w:rFonts w:cs="Arial"/>
          <w:rtl/>
        </w:rPr>
        <w:t xml:space="preserve">. אלא אם כן יש לו אשה אחרת, או שקיים מצות פריה ורביה. ואם הכיר בה, יש לה כתובה. </w:t>
      </w:r>
    </w:p>
    <w:p w14:paraId="7797B5AE" w14:textId="77777777" w:rsidR="00C97BEF" w:rsidRDefault="00C97BEF" w:rsidP="00C97BEF">
      <w:pPr>
        <w:rPr>
          <w:rtl/>
        </w:rPr>
      </w:pPr>
    </w:p>
    <w:p w14:paraId="1221D132" w14:textId="77777777" w:rsidR="00C97BEF" w:rsidRDefault="00C97BEF" w:rsidP="00C97BEF">
      <w:pPr>
        <w:pStyle w:val="2"/>
        <w:rPr>
          <w:rtl/>
        </w:rPr>
      </w:pPr>
      <w:r>
        <w:rPr>
          <w:rtl/>
        </w:rPr>
        <w:t>סעיף יח: שהתה עם השלישי עשר שנים ולא נפקדה.</w:t>
      </w:r>
    </w:p>
    <w:p w14:paraId="36631DBE" w14:textId="77777777" w:rsidR="00C97BEF" w:rsidRDefault="00C97BEF" w:rsidP="00C97BEF">
      <w:pPr>
        <w:rPr>
          <w:rFonts w:cs="Arial"/>
          <w:rtl/>
        </w:rPr>
      </w:pPr>
      <w:r>
        <w:rPr>
          <w:rFonts w:cs="Arial"/>
          <w:b/>
          <w:bCs/>
          <w:rtl/>
        </w:rPr>
        <w:t xml:space="preserve">יבמות </w:t>
      </w:r>
      <w:r>
        <w:rPr>
          <w:rFonts w:cs="Arial"/>
          <w:b/>
          <w:bCs/>
          <w:sz w:val="16"/>
          <w:szCs w:val="16"/>
          <w:rtl/>
        </w:rPr>
        <w:t xml:space="preserve">(ס"פ הבא על יבמתו) </w:t>
      </w:r>
      <w:r>
        <w:rPr>
          <w:rFonts w:cs="Arial"/>
          <w:b/>
          <w:bCs/>
          <w:rtl/>
        </w:rPr>
        <w:t>סה ע"א:</w:t>
      </w:r>
      <w:r>
        <w:rPr>
          <w:rFonts w:cs="Arial"/>
          <w:rtl/>
        </w:rPr>
        <w:t xml:space="preserve"> איבעיא להו: נישאת לשלישי ולא היו לה בנים, מהו דליתבעוה הנך קמאי? מי מצו אמרי לה: איגלאי מילתא דאת הוא דגרמת, או דלמא מצית אמרה להו: השתא הוא דכחשי? מסתברא, מצית אמרה להו: השתא הוא דכחשי.</w:t>
      </w:r>
    </w:p>
    <w:p w14:paraId="1378CCCE" w14:textId="77777777" w:rsidR="00C97BEF" w:rsidRDefault="00C97BEF" w:rsidP="00C97BEF">
      <w:pPr>
        <w:rPr>
          <w:u w:val="single"/>
          <w:rtl/>
        </w:rPr>
      </w:pPr>
      <w:r>
        <w:rPr>
          <w:u w:val="single"/>
          <w:rtl/>
        </w:rPr>
        <w:t>שהתה עם השלישי עשר שנים ולא נפקדה:</w:t>
      </w:r>
    </w:p>
    <w:p w14:paraId="1C55B8F4" w14:textId="6E7F36EC" w:rsidR="00C97BEF" w:rsidRDefault="00C97BEF" w:rsidP="006A458D">
      <w:pPr>
        <w:pStyle w:val="ab"/>
        <w:numPr>
          <w:ilvl w:val="0"/>
          <w:numId w:val="123"/>
        </w:numPr>
        <w:rPr>
          <w:rtl/>
        </w:rPr>
      </w:pPr>
      <w:r>
        <w:rPr>
          <w:rFonts w:cs="Arial"/>
          <w:rtl/>
        </w:rPr>
        <w:t xml:space="preserve">רא"ש </w:t>
      </w:r>
      <w:r>
        <w:rPr>
          <w:rFonts w:cs="Arial"/>
          <w:sz w:val="16"/>
          <w:szCs w:val="16"/>
          <w:rtl/>
        </w:rPr>
        <w:t>(סי' יג</w:t>
      </w:r>
      <w:r w:rsidR="00A82951">
        <w:rPr>
          <w:rFonts w:cs="Arial"/>
          <w:sz w:val="16"/>
          <w:szCs w:val="16"/>
          <w:rtl/>
        </w:rPr>
        <w:t>-</w:t>
      </w:r>
      <w:r>
        <w:rPr>
          <w:rFonts w:cs="Arial"/>
          <w:sz w:val="16"/>
          <w:szCs w:val="16"/>
          <w:rtl/>
        </w:rPr>
        <w:t>יד)</w:t>
      </w:r>
      <w:r>
        <w:rPr>
          <w:rFonts w:cs="Arial"/>
          <w:rtl/>
        </w:rPr>
        <w:t xml:space="preserve"> וטור</w:t>
      </w:r>
      <w:r w:rsidR="00A82951">
        <w:rPr>
          <w:rFonts w:cs="Arial"/>
          <w:rtl/>
        </w:rPr>
        <w:t>-</w:t>
      </w:r>
      <w:r>
        <w:rPr>
          <w:rFonts w:cs="Arial"/>
          <w:rtl/>
        </w:rPr>
        <w:t xml:space="preserve"> ואם שהתה עם השלישי י' שנים ולא ילדה, לא אמרינן כיון שהוחזקה עקרה תחזיר מה שנטלה משנים הראשונים, דשמא עתה חלתה. ומ"מ אם עדיין לא גבתה מהם </w:t>
      </w:r>
      <w:r w:rsidR="00A82951">
        <w:rPr>
          <w:rFonts w:cs="Arial"/>
          <w:rtl/>
        </w:rPr>
        <w:t>-</w:t>
      </w:r>
      <w:r>
        <w:rPr>
          <w:rFonts w:cs="Arial"/>
          <w:rtl/>
        </w:rPr>
        <w:t xml:space="preserve"> אינה מוציאה מהם</w:t>
      </w:r>
      <w:r>
        <w:rPr>
          <w:rFonts w:cs="Arial"/>
          <w:sz w:val="16"/>
          <w:szCs w:val="16"/>
          <w:rtl/>
        </w:rPr>
        <w:t xml:space="preserve"> (ל' הטור)</w:t>
      </w:r>
      <w:r>
        <w:rPr>
          <w:rFonts w:cs="Arial"/>
          <w:rtl/>
        </w:rPr>
        <w:t xml:space="preserve">. </w:t>
      </w:r>
      <w:r>
        <w:rPr>
          <w:color w:val="E36C0A" w:themeColor="accent6" w:themeShade="BF"/>
          <w:rtl/>
        </w:rPr>
        <w:t>(וכ"פ בשו"ע)</w:t>
      </w:r>
    </w:p>
    <w:p w14:paraId="1FA5325F"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1F8A362A" w14:textId="77777777" w:rsidR="00C97BEF" w:rsidRDefault="00C97BEF" w:rsidP="00C97BEF">
      <w:pPr>
        <w:rPr>
          <w:rtl/>
        </w:rPr>
      </w:pPr>
      <w:r>
        <w:rPr>
          <w:rFonts w:cs="Arial"/>
          <w:rtl/>
        </w:rPr>
        <w:t>שהתה עם השלישי עשר שנים ולא ילדה, אם לא גבתה כתובה מהראשונים, לא תגבה. ואם גבתה, לא תחזיר</w:t>
      </w:r>
      <w:r>
        <w:rPr>
          <w:rStyle w:val="a7"/>
          <w:rFonts w:cs="Arial"/>
          <w:rtl/>
        </w:rPr>
        <w:footnoteReference w:id="2869"/>
      </w:r>
      <w:r>
        <w:rPr>
          <w:rFonts w:cs="Arial"/>
          <w:rtl/>
        </w:rPr>
        <w:t xml:space="preserve">. </w:t>
      </w:r>
    </w:p>
    <w:p w14:paraId="144C9FF5" w14:textId="77777777" w:rsidR="00C97BEF" w:rsidRDefault="00C97BEF" w:rsidP="00C97BEF">
      <w:pPr>
        <w:rPr>
          <w:rtl/>
        </w:rPr>
      </w:pPr>
    </w:p>
    <w:p w14:paraId="5AA14468" w14:textId="77777777" w:rsidR="00C97BEF" w:rsidRDefault="00C97BEF" w:rsidP="00C97BEF">
      <w:pPr>
        <w:pStyle w:val="2"/>
        <w:rPr>
          <w:rtl/>
        </w:rPr>
      </w:pPr>
      <w:r>
        <w:rPr>
          <w:rtl/>
        </w:rPr>
        <w:t>סעיף יט: נשאת לרביעי, וילדה.</w:t>
      </w:r>
    </w:p>
    <w:p w14:paraId="77CA31C7" w14:textId="77777777" w:rsidR="00C97BEF" w:rsidRDefault="00C97BEF" w:rsidP="00C97BEF">
      <w:pPr>
        <w:rPr>
          <w:rtl/>
        </w:rPr>
      </w:pPr>
      <w:r>
        <w:rPr>
          <w:rFonts w:cs="Arial"/>
          <w:b/>
          <w:bCs/>
          <w:rtl/>
        </w:rPr>
        <w:t xml:space="preserve">יבמות </w:t>
      </w:r>
      <w:r>
        <w:rPr>
          <w:rFonts w:cs="Arial"/>
          <w:b/>
          <w:bCs/>
          <w:sz w:val="16"/>
          <w:szCs w:val="16"/>
          <w:rtl/>
        </w:rPr>
        <w:t xml:space="preserve">(ס"פ הבא על יבמתו) </w:t>
      </w:r>
      <w:r>
        <w:rPr>
          <w:rFonts w:cs="Arial"/>
          <w:b/>
          <w:bCs/>
          <w:rtl/>
        </w:rPr>
        <w:t>סה ע"א:</w:t>
      </w:r>
      <w:r>
        <w:rPr>
          <w:rFonts w:cs="Arial"/>
          <w:rtl/>
        </w:rPr>
        <w:t xml:space="preserve"> איבעיא להו: נישאת לרביעי והיו לה בנים, מהו דתיתבעיה לשלישי? אמרינן לה: שתיקותיך יפה מדיבוריך, דמצי אמר לה: אנא אדעתא דהכי לא גרשתיך. </w:t>
      </w:r>
      <w:r>
        <w:rPr>
          <w:rFonts w:cs="Arial"/>
          <w:u w:val="single"/>
          <w:rtl/>
        </w:rPr>
        <w:t>מתקיף לה רב פפא</w:t>
      </w:r>
      <w:r>
        <w:rPr>
          <w:rFonts w:cs="Arial"/>
          <w:rtl/>
        </w:rPr>
        <w:t>: אי איהי שתקא, אנן מי שתקינן? נמצא גט בטל ובניה ממזרין! אלא, אמרינן: השתא הוא דברייתא.</w:t>
      </w:r>
    </w:p>
    <w:p w14:paraId="22E4A3FE" w14:textId="77777777" w:rsidR="00C97BEF" w:rsidRDefault="00C97BEF" w:rsidP="00C97BEF">
      <w:pPr>
        <w:rPr>
          <w:u w:val="single"/>
          <w:rtl/>
        </w:rPr>
      </w:pPr>
      <w:r>
        <w:rPr>
          <w:u w:val="single"/>
          <w:rtl/>
        </w:rPr>
        <w:t>נשאת לרביעי, וילדה:</w:t>
      </w:r>
    </w:p>
    <w:p w14:paraId="38741520" w14:textId="1CDD7F91"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ואם ניסת לרביעי וילדה אחר שהוציאה הג' בלא כתובה אינה יכולה לגבות כתובה משלישי דשמא עתה נתרפאת. </w:t>
      </w:r>
      <w:r>
        <w:rPr>
          <w:color w:val="E36C0A" w:themeColor="accent6" w:themeShade="BF"/>
          <w:rtl/>
        </w:rPr>
        <w:t>(וכ"פ בשו"ע)</w:t>
      </w:r>
    </w:p>
    <w:p w14:paraId="585B3BE6"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3F15C723" w14:textId="77777777" w:rsidR="00C97BEF" w:rsidRDefault="00C97BEF" w:rsidP="00C97BEF">
      <w:pPr>
        <w:rPr>
          <w:rtl/>
        </w:rPr>
      </w:pPr>
      <w:r>
        <w:rPr>
          <w:rFonts w:cs="Arial"/>
          <w:rtl/>
        </w:rPr>
        <w:t xml:space="preserve">הוציאה השלישי בלא כתובה, ונשאת לרביעי וילדה, אינה יכולה לגבות כתובה מהשלישי, דשמא עתה נתרפאה. </w:t>
      </w:r>
    </w:p>
    <w:p w14:paraId="418568B9" w14:textId="77777777" w:rsidR="00C97BEF" w:rsidRDefault="00C97BEF" w:rsidP="00C97BEF">
      <w:pPr>
        <w:rPr>
          <w:rtl/>
        </w:rPr>
      </w:pPr>
    </w:p>
    <w:p w14:paraId="360F6756" w14:textId="77777777" w:rsidR="00C97BEF" w:rsidRDefault="00C97BEF" w:rsidP="00C97BEF">
      <w:pPr>
        <w:pStyle w:val="2"/>
        <w:rPr>
          <w:rtl/>
        </w:rPr>
      </w:pPr>
      <w:r>
        <w:rPr>
          <w:rtl/>
        </w:rPr>
        <w:t>סעיף כ: הנושא נשים בעבירה כופין אותו להוציא.</w:t>
      </w:r>
    </w:p>
    <w:p w14:paraId="07FC17D3" w14:textId="0463790B" w:rsidR="00C97BEF" w:rsidRDefault="00C97BEF" w:rsidP="00C97BEF">
      <w:pPr>
        <w:rPr>
          <w:rFonts w:cs="Arial"/>
          <w:rtl/>
        </w:rPr>
      </w:pPr>
      <w:r>
        <w:rPr>
          <w:rFonts w:cs="Arial"/>
          <w:b/>
          <w:bCs/>
          <w:rtl/>
        </w:rPr>
        <w:t>כתובות</w:t>
      </w:r>
      <w:r>
        <w:rPr>
          <w:rFonts w:cs="Arial"/>
          <w:b/>
          <w:bCs/>
          <w:sz w:val="16"/>
          <w:szCs w:val="16"/>
          <w:rtl/>
        </w:rPr>
        <w:t xml:space="preserve"> (ס"פ המדיר)</w:t>
      </w:r>
      <w:r>
        <w:rPr>
          <w:rFonts w:cs="Arial"/>
          <w:b/>
          <w:bCs/>
          <w:rtl/>
        </w:rPr>
        <w:t xml:space="preserve"> עז ע"א: </w:t>
      </w:r>
      <w:r>
        <w:rPr>
          <w:rFonts w:cs="Arial"/>
          <w:u w:val="single"/>
          <w:rtl/>
        </w:rPr>
        <w:t>אמר רב יהודה אמר רב אסי</w:t>
      </w:r>
      <w:r>
        <w:rPr>
          <w:rFonts w:cs="Arial"/>
          <w:rtl/>
        </w:rPr>
        <w:t xml:space="preserve">: אין מעשין אלא לפסולות. </w:t>
      </w:r>
      <w:r>
        <w:rPr>
          <w:rFonts w:cs="Arial"/>
          <w:u w:val="single"/>
          <w:rtl/>
        </w:rPr>
        <w:t>כי אמריתה קמיה דשמואל, אמר</w:t>
      </w:r>
      <w:r>
        <w:rPr>
          <w:rFonts w:cs="Arial"/>
          <w:rtl/>
        </w:rPr>
        <w:t xml:space="preserve">: כגון אלמנה לכהן גדול, וגרושה וחלוצה לכהן הדיוט, ממזרת ונתינה לישראל, בת ישראל לנתין ולממזר, אבל נשא אשה ושהה עמה עשר שנים ולא ילדה </w:t>
      </w:r>
      <w:r w:rsidR="00A82951">
        <w:rPr>
          <w:rFonts w:cs="Arial"/>
          <w:rtl/>
        </w:rPr>
        <w:t>-</w:t>
      </w:r>
      <w:r>
        <w:rPr>
          <w:rFonts w:cs="Arial"/>
          <w:rtl/>
        </w:rPr>
        <w:t xml:space="preserve"> אין כופין אותו. </w:t>
      </w:r>
      <w:r>
        <w:rPr>
          <w:rFonts w:cs="Arial"/>
          <w:u w:val="single"/>
          <w:rtl/>
        </w:rPr>
        <w:t>ורב תחליפא בר אבימי אמר שמואל</w:t>
      </w:r>
      <w:r>
        <w:rPr>
          <w:rFonts w:cs="Arial"/>
          <w:rtl/>
        </w:rPr>
        <w:t xml:space="preserve">: אפילו נשא אשה ושהה עמה י' שנים ולא ילדה, כופין אותו. </w:t>
      </w:r>
    </w:p>
    <w:p w14:paraId="6D2ABB5D" w14:textId="449F7B50" w:rsidR="00C97BEF" w:rsidRDefault="00C97BEF" w:rsidP="00C97BEF">
      <w:pPr>
        <w:rPr>
          <w:u w:val="single"/>
          <w:rtl/>
        </w:rPr>
      </w:pPr>
      <w:r>
        <w:rPr>
          <w:u w:val="single"/>
          <w:rtl/>
        </w:rPr>
        <w:t xml:space="preserve">הנושא נשים בעבירה </w:t>
      </w:r>
      <w:r w:rsidR="00A82951">
        <w:rPr>
          <w:u w:val="single"/>
          <w:rtl/>
        </w:rPr>
        <w:t>-</w:t>
      </w:r>
      <w:r>
        <w:rPr>
          <w:u w:val="single"/>
          <w:rtl/>
        </w:rPr>
        <w:t xml:space="preserve"> מתי כופין אותו להוציא:</w:t>
      </w:r>
    </w:p>
    <w:p w14:paraId="1B62C417" w14:textId="02F5D8E8"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כל הנושא בעבירה בין באיסור דאורייתא כגון אלמנה לכהן גדול, גרושה וחלוצה לכהן הדיוט, ממזרת ונתינה לישראל, בת ישראל לנתין ולממזר, בין באיסור דרבנן כגון שניות </w:t>
      </w:r>
      <w:r w:rsidR="00A82951">
        <w:rPr>
          <w:rFonts w:cs="Arial"/>
          <w:rtl/>
        </w:rPr>
        <w:t>-</w:t>
      </w:r>
      <w:r>
        <w:rPr>
          <w:rFonts w:cs="Arial"/>
          <w:rtl/>
        </w:rPr>
        <w:t xml:space="preserve"> כופין אותו בשוטים להוציא. </w:t>
      </w:r>
      <w:r>
        <w:rPr>
          <w:color w:val="E36C0A" w:themeColor="accent6" w:themeShade="BF"/>
          <w:rtl/>
        </w:rPr>
        <w:t>(וכ"פ בשו"ע)</w:t>
      </w:r>
    </w:p>
    <w:p w14:paraId="37097003"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001AEBC6" w14:textId="77777777" w:rsidR="00C97BEF" w:rsidRDefault="00C97BEF" w:rsidP="00C97BEF">
      <w:pPr>
        <w:rPr>
          <w:rtl/>
        </w:rPr>
      </w:pPr>
      <w:r>
        <w:rPr>
          <w:rFonts w:cs="Arial"/>
          <w:rtl/>
        </w:rPr>
        <w:t xml:space="preserve">כל הנושא אשה בעבירה, אפילו באיסור דרבנן כגון שניות, כופין אותו להוציא. </w:t>
      </w:r>
    </w:p>
    <w:p w14:paraId="23D3C5C0" w14:textId="77777777" w:rsidR="00C97BEF" w:rsidRDefault="00C97BEF" w:rsidP="00C97BEF">
      <w:pPr>
        <w:rPr>
          <w:rtl/>
        </w:rPr>
      </w:pPr>
    </w:p>
    <w:p w14:paraId="0E5620C9" w14:textId="77777777" w:rsidR="00C97BEF" w:rsidRDefault="00C97BEF" w:rsidP="00C97BEF">
      <w:pPr>
        <w:pStyle w:val="2"/>
        <w:rPr>
          <w:rtl/>
        </w:rPr>
      </w:pPr>
      <w:r>
        <w:rPr>
          <w:rtl/>
        </w:rPr>
        <w:t>סעיף כא: כיצד כופין את מי שחייב להוציא את אשתו.</w:t>
      </w:r>
    </w:p>
    <w:p w14:paraId="19346C34" w14:textId="0411E5D3" w:rsidR="00C97BEF" w:rsidRDefault="00C97BEF" w:rsidP="00C97BEF">
      <w:pPr>
        <w:rPr>
          <w:rFonts w:cs="Arial"/>
          <w:rtl/>
        </w:rPr>
      </w:pPr>
      <w:r>
        <w:rPr>
          <w:rFonts w:cs="Arial"/>
          <w:b/>
          <w:bCs/>
          <w:rtl/>
        </w:rPr>
        <w:t>כתובות</w:t>
      </w:r>
      <w:r>
        <w:rPr>
          <w:rFonts w:cs="Arial"/>
          <w:b/>
          <w:bCs/>
          <w:sz w:val="16"/>
          <w:szCs w:val="16"/>
          <w:rtl/>
        </w:rPr>
        <w:t xml:space="preserve"> (ס"פ המדיר)</w:t>
      </w:r>
      <w:r>
        <w:rPr>
          <w:rFonts w:cs="Arial"/>
          <w:b/>
          <w:bCs/>
          <w:rtl/>
        </w:rPr>
        <w:t xml:space="preserve"> עז ע"א: </w:t>
      </w:r>
      <w:r>
        <w:rPr>
          <w:rFonts w:cs="Arial"/>
          <w:u w:val="single"/>
          <w:rtl/>
        </w:rPr>
        <w:t>אמר רב יהודה אמר רב אסי</w:t>
      </w:r>
      <w:r>
        <w:rPr>
          <w:rFonts w:cs="Arial"/>
          <w:rtl/>
        </w:rPr>
        <w:t xml:space="preserve">: אין מעשין אלא לפסולות. </w:t>
      </w:r>
      <w:r>
        <w:rPr>
          <w:rFonts w:cs="Arial"/>
          <w:u w:val="single"/>
          <w:rtl/>
        </w:rPr>
        <w:t>כי אמריתה קמיה דשמואל, אמר</w:t>
      </w:r>
      <w:r>
        <w:rPr>
          <w:rFonts w:cs="Arial"/>
          <w:rtl/>
        </w:rPr>
        <w:t xml:space="preserve">: כגון אלמנה לכהן גדול, וגרושה וחלוצה לכהן הדיוט, ממזרת ונתינה לישראל, בת ישראל לנתין ולממזר, אבל נשא אשה ושהה עמה עשר שנים ולא ילדה </w:t>
      </w:r>
      <w:r w:rsidR="00A82951">
        <w:rPr>
          <w:rFonts w:cs="Arial"/>
          <w:rtl/>
        </w:rPr>
        <w:t>-</w:t>
      </w:r>
      <w:r>
        <w:rPr>
          <w:rFonts w:cs="Arial"/>
          <w:rtl/>
        </w:rPr>
        <w:t xml:space="preserve"> אין כופין אותו. </w:t>
      </w:r>
      <w:r>
        <w:rPr>
          <w:rFonts w:cs="Arial"/>
          <w:u w:val="single"/>
          <w:rtl/>
        </w:rPr>
        <w:t>ורב תחליפא בר אבימי אמר שמואל</w:t>
      </w:r>
      <w:r>
        <w:rPr>
          <w:rFonts w:cs="Arial"/>
          <w:rtl/>
        </w:rPr>
        <w:t xml:space="preserve">: אפילו נשא אשה ושהה עמה י' שנים ולא ילדה, כופין אותו. </w:t>
      </w:r>
    </w:p>
    <w:p w14:paraId="0B27CEAD" w14:textId="77777777" w:rsidR="00C97BEF" w:rsidRDefault="00C97BEF" w:rsidP="00C97BEF">
      <w:pPr>
        <w:rPr>
          <w:rtl/>
        </w:rPr>
      </w:pPr>
      <w:r>
        <w:rPr>
          <w:rFonts w:cs="Arial"/>
          <w:b/>
          <w:bCs/>
          <w:rtl/>
        </w:rPr>
        <w:t xml:space="preserve">ירושלמי כתובות פי"א ה"ז: </w:t>
      </w:r>
      <w:r>
        <w:rPr>
          <w:rFonts w:cs="Arial"/>
          <w:rtl/>
        </w:rPr>
        <w:t xml:space="preserve">תמן תנינן: גט המעושה בישראל כשר ובגויים פסול. </w:t>
      </w:r>
      <w:r>
        <w:rPr>
          <w:rFonts w:cs="Arial"/>
          <w:u w:val="single"/>
          <w:rtl/>
        </w:rPr>
        <w:t>שמואל אמר</w:t>
      </w:r>
      <w:r>
        <w:rPr>
          <w:rFonts w:cs="Arial"/>
          <w:rtl/>
        </w:rPr>
        <w:t xml:space="preserve">: פסול ופוסל בכהונה. </w:t>
      </w:r>
      <w:r>
        <w:rPr>
          <w:rFonts w:cs="Arial"/>
          <w:u w:val="single"/>
          <w:rtl/>
        </w:rPr>
        <w:t>שמואל אמר</w:t>
      </w:r>
      <w:r>
        <w:rPr>
          <w:rFonts w:cs="Arial"/>
          <w:rtl/>
        </w:rPr>
        <w:t>: אין מעשין אלא כגון אלמנה לכהן גדול גרושה וחלוצה לכהן הדיוט. והא תנינן שניות!? לא בגין דא אמר שמואל</w:t>
      </w:r>
      <w:r>
        <w:rPr>
          <w:rStyle w:val="a7"/>
          <w:rFonts w:cs="Arial"/>
          <w:rtl/>
        </w:rPr>
        <w:footnoteReference w:id="2870"/>
      </w:r>
      <w:r>
        <w:rPr>
          <w:rFonts w:cs="Arial"/>
          <w:rtl/>
        </w:rPr>
        <w:t>. והא תנינן המדיר את אשתו מליהנות לו עד שלשים יום יעמיד פרנס יותר מיכן יוציא ויתן כתובה</w:t>
      </w:r>
      <w:r>
        <w:rPr>
          <w:rStyle w:val="a7"/>
          <w:rFonts w:cs="Arial"/>
          <w:rtl/>
        </w:rPr>
        <w:footnoteReference w:id="2871"/>
      </w:r>
      <w:r>
        <w:rPr>
          <w:rFonts w:cs="Arial"/>
          <w:rtl/>
        </w:rPr>
        <w:t xml:space="preserve">!? </w:t>
      </w:r>
      <w:r>
        <w:rPr>
          <w:rFonts w:cs="Arial"/>
          <w:rtl/>
        </w:rPr>
        <w:lastRenderedPageBreak/>
        <w:t>שמענו שהוא מוציא</w:t>
      </w:r>
      <w:r>
        <w:rPr>
          <w:rStyle w:val="a7"/>
          <w:rFonts w:cs="Arial"/>
          <w:rtl/>
        </w:rPr>
        <w:footnoteReference w:id="2872"/>
      </w:r>
      <w:r>
        <w:rPr>
          <w:rFonts w:cs="Arial"/>
          <w:rtl/>
        </w:rPr>
        <w:t>, שמענו שכופין?..</w:t>
      </w:r>
      <w:r>
        <w:rPr>
          <w:rtl/>
        </w:rPr>
        <w:t xml:space="preserve">. </w:t>
      </w:r>
      <w:r>
        <w:rPr>
          <w:rFonts w:cs="Arial"/>
          <w:sz w:val="16"/>
          <w:szCs w:val="16"/>
          <w:rtl/>
        </w:rPr>
        <w:t>(ופי' רבינו חננאל שמעת מינה דאין כופין אלא היכא שמפרש בהדיא שכופין, אבל היכא דאמור רבנן יוציא בסתם אומרים לו כבר חייבוך חכמים להוציא ואם לא תוציא מותר לקרותך עבריינא, אבל לכפותו בשוטי לא</w:t>
      </w:r>
      <w:r>
        <w:rPr>
          <w:sz w:val="16"/>
          <w:szCs w:val="16"/>
          <w:rtl/>
        </w:rPr>
        <w:t>, רא"ש (יבמות פ"ו סי' יא))</w:t>
      </w:r>
    </w:p>
    <w:p w14:paraId="113076C7" w14:textId="77777777" w:rsidR="00C97BEF" w:rsidRDefault="00C97BEF" w:rsidP="00C97BEF">
      <w:pPr>
        <w:rPr>
          <w:u w:val="single"/>
          <w:rtl/>
        </w:rPr>
      </w:pPr>
      <w:r>
        <w:rPr>
          <w:u w:val="single"/>
          <w:rtl/>
        </w:rPr>
        <w:t>כיצד כופין את מי שחייב להוציא את אשתו:</w:t>
      </w:r>
    </w:p>
    <w:p w14:paraId="0B495F0D" w14:textId="5291EDDB" w:rsidR="00C97BEF" w:rsidRDefault="00C97BEF" w:rsidP="006A458D">
      <w:pPr>
        <w:pStyle w:val="ab"/>
        <w:numPr>
          <w:ilvl w:val="0"/>
          <w:numId w:val="123"/>
        </w:numPr>
      </w:pPr>
      <w:r>
        <w:rPr>
          <w:rFonts w:cs="Arial"/>
          <w:rtl/>
        </w:rPr>
        <w:t xml:space="preserve">ר"י </w:t>
      </w:r>
      <w:r>
        <w:rPr>
          <w:rFonts w:cs="Arial"/>
          <w:sz w:val="16"/>
          <w:szCs w:val="16"/>
          <w:rtl/>
        </w:rPr>
        <w:t>(כ"כ בשמו התוס' כתובות ע. ד"ה יוציא)</w:t>
      </w:r>
      <w:r w:rsidR="00A82951">
        <w:rPr>
          <w:rFonts w:cs="Arial"/>
          <w:rtl/>
        </w:rPr>
        <w:t>-</w:t>
      </w:r>
      <w:r>
        <w:rPr>
          <w:rFonts w:cs="Arial"/>
          <w:rtl/>
        </w:rPr>
        <w:t xml:space="preserve"> בכל הנך דקתני במתני' יוציא היינו שכופין אותו... וליכא למימר דכפייה דהתם במילי ולא בשוטי</w:t>
      </w:r>
      <w:r>
        <w:rPr>
          <w:rtl/>
        </w:rPr>
        <w:t>...</w:t>
      </w:r>
      <w:r>
        <w:rPr>
          <w:color w:val="E36C0A" w:themeColor="accent6" w:themeShade="BF"/>
          <w:rtl/>
        </w:rPr>
        <w:t xml:space="preserve"> (וכ"פ בשו"ע)</w:t>
      </w:r>
    </w:p>
    <w:p w14:paraId="18D03663" w14:textId="27A99752" w:rsidR="00C97BEF" w:rsidRDefault="00C97BEF" w:rsidP="006A458D">
      <w:pPr>
        <w:pStyle w:val="ab"/>
        <w:numPr>
          <w:ilvl w:val="0"/>
          <w:numId w:val="123"/>
        </w:numPr>
        <w:rPr>
          <w:rtl/>
        </w:rPr>
      </w:pPr>
      <w:r>
        <w:rPr>
          <w:rFonts w:cs="Arial"/>
          <w:rtl/>
        </w:rPr>
        <w:t xml:space="preserve">רי"ף </w:t>
      </w:r>
      <w:r>
        <w:rPr>
          <w:rFonts w:cs="Arial"/>
          <w:sz w:val="16"/>
          <w:szCs w:val="16"/>
          <w:rtl/>
        </w:rPr>
        <w:t xml:space="preserve">(יבמות כא.) </w:t>
      </w:r>
      <w:r>
        <w:rPr>
          <w:rFonts w:cs="Arial"/>
          <w:rtl/>
        </w:rPr>
        <w:t xml:space="preserve">ורש"י </w:t>
      </w:r>
      <w:r>
        <w:rPr>
          <w:rFonts w:cs="Arial"/>
          <w:sz w:val="16"/>
          <w:szCs w:val="16"/>
          <w:rtl/>
        </w:rPr>
        <w:t>(סה: ד"ה הוא אמר וד"ה היא מהימנא)</w:t>
      </w:r>
      <w:r w:rsidR="00A82951">
        <w:rPr>
          <w:rFonts w:cs="Arial"/>
          <w:rtl/>
        </w:rPr>
        <w:t>-</w:t>
      </w:r>
      <w:r>
        <w:rPr>
          <w:rFonts w:cs="Arial"/>
          <w:rtl/>
        </w:rPr>
        <w:t xml:space="preserve"> היכא דשהה עמה עשר שנים ולא ילדה ולא קא בעי לאפוקה ולמיסב איתתא אחריתי היו מפקינן לה מיניה בעל כרחיה ואפילו בשוטין</w:t>
      </w:r>
      <w:r>
        <w:rPr>
          <w:rStyle w:val="a7"/>
          <w:rFonts w:cs="Arial"/>
          <w:rtl/>
        </w:rPr>
        <w:footnoteReference w:id="2873"/>
      </w:r>
      <w:r>
        <w:rPr>
          <w:sz w:val="16"/>
          <w:szCs w:val="16"/>
          <w:rtl/>
        </w:rPr>
        <w:t xml:space="preserve"> (ל' הרי"ף)</w:t>
      </w:r>
      <w:r>
        <w:rPr>
          <w:rtl/>
        </w:rPr>
        <w:t>.</w:t>
      </w:r>
    </w:p>
    <w:p w14:paraId="06C34471" w14:textId="2D7D764B" w:rsidR="00C97BEF" w:rsidRDefault="00C97BEF" w:rsidP="006A458D">
      <w:pPr>
        <w:pStyle w:val="ab"/>
        <w:numPr>
          <w:ilvl w:val="0"/>
          <w:numId w:val="123"/>
        </w:numPr>
        <w:rPr>
          <w:rtl/>
        </w:rPr>
      </w:pPr>
      <w:r>
        <w:rPr>
          <w:rFonts w:cs="Arial"/>
          <w:rtl/>
        </w:rPr>
        <w:t xml:space="preserve">ר"ח </w:t>
      </w:r>
      <w:r>
        <w:rPr>
          <w:rFonts w:cs="Arial"/>
          <w:sz w:val="16"/>
          <w:szCs w:val="16"/>
          <w:rtl/>
        </w:rPr>
        <w:t>(כ"כ בשמו התוס' [שם] והרא"ש [יבמות פ"ו סי' יא])</w:t>
      </w:r>
      <w:r>
        <w:rPr>
          <w:rFonts w:cs="Arial"/>
          <w:rtl/>
        </w:rPr>
        <w:t xml:space="preserve"> ור"ת </w:t>
      </w:r>
      <w:r>
        <w:rPr>
          <w:rFonts w:cs="Arial"/>
          <w:sz w:val="16"/>
          <w:szCs w:val="16"/>
          <w:rtl/>
        </w:rPr>
        <w:t>(ספר הישר, תשובות סי' כד)</w:t>
      </w:r>
      <w:r w:rsidR="00A82951">
        <w:rPr>
          <w:rFonts w:cs="Arial"/>
          <w:rtl/>
        </w:rPr>
        <w:t>-</w:t>
      </w:r>
      <w:r>
        <w:rPr>
          <w:rFonts w:cs="Arial"/>
          <w:rtl/>
        </w:rPr>
        <w:t xml:space="preserve"> כל היכא דאמור רבנן יוציא ויתן כתובה אין כופין אותו להוציא אלא אומרים לו כבר חייבוך חכמים להוציא ואם לא תוציא מותר לקרותך עבריינא אבל לכפותו בשוטים לא אם לא שמפורש בו שכופין אותו להוציא כגון הנושא בעבירה והאומר איני זן ואיני מפרנס</w:t>
      </w:r>
      <w:r>
        <w:rPr>
          <w:rFonts w:cs="Arial"/>
          <w:sz w:val="16"/>
          <w:szCs w:val="16"/>
          <w:rtl/>
        </w:rPr>
        <w:t xml:space="preserve"> (ל' הטור בשמו)</w:t>
      </w:r>
      <w:r>
        <w:rPr>
          <w:rFonts w:cs="Arial"/>
          <w:rtl/>
        </w:rPr>
        <w:t xml:space="preserve">. </w:t>
      </w:r>
    </w:p>
    <w:p w14:paraId="0C2559AD" w14:textId="67F3FD7F" w:rsidR="00C97BEF" w:rsidRDefault="00C97BEF" w:rsidP="006A458D">
      <w:pPr>
        <w:pStyle w:val="ab"/>
        <w:numPr>
          <w:ilvl w:val="0"/>
          <w:numId w:val="123"/>
        </w:numPr>
      </w:pPr>
      <w:r>
        <w:rPr>
          <w:rFonts w:cs="Arial"/>
          <w:rtl/>
        </w:rPr>
        <w:t>תוס'</w:t>
      </w:r>
      <w:r>
        <w:rPr>
          <w:rStyle w:val="a7"/>
          <w:rFonts w:cs="Arial"/>
          <w:rtl/>
        </w:rPr>
        <w:footnoteReference w:id="2874"/>
      </w:r>
      <w:r>
        <w:rPr>
          <w:rFonts w:cs="Arial"/>
          <w:rtl/>
        </w:rPr>
        <w:t xml:space="preserve"> </w:t>
      </w:r>
      <w:r>
        <w:rPr>
          <w:rFonts w:cs="Arial"/>
          <w:sz w:val="16"/>
          <w:szCs w:val="16"/>
          <w:rtl/>
        </w:rPr>
        <w:t>(כתובות ע. ד"ה יוציא)</w:t>
      </w:r>
      <w:r>
        <w:rPr>
          <w:rFonts w:cs="Arial"/>
          <w:rtl/>
        </w:rPr>
        <w:t xml:space="preserve"> ורא"ש</w:t>
      </w:r>
      <w:r>
        <w:rPr>
          <w:rFonts w:cs="Arial"/>
          <w:sz w:val="16"/>
          <w:szCs w:val="16"/>
          <w:rtl/>
        </w:rPr>
        <w:t xml:space="preserve"> (יבמות פ"ו סי' יא, כ"כ בשמו הטור ורי"ו</w:t>
      </w:r>
      <w:r>
        <w:rPr>
          <w:rStyle w:val="a7"/>
          <w:rFonts w:cs="Arial"/>
          <w:sz w:val="16"/>
          <w:szCs w:val="16"/>
          <w:rtl/>
        </w:rPr>
        <w:footnoteReference w:id="2875"/>
      </w:r>
      <w:r>
        <w:rPr>
          <w:rFonts w:cs="Arial"/>
          <w:sz w:val="16"/>
          <w:szCs w:val="16"/>
          <w:rtl/>
        </w:rPr>
        <w:t xml:space="preserve"> [מישרים נכ"ג ח"ח סא סוע"ג])</w:t>
      </w:r>
      <w:r w:rsidR="00A82951">
        <w:rPr>
          <w:rFonts w:cs="Arial"/>
          <w:rtl/>
        </w:rPr>
        <w:t>-</w:t>
      </w:r>
      <w:r>
        <w:rPr>
          <w:rFonts w:cs="Arial"/>
          <w:rtl/>
        </w:rPr>
        <w:t xml:space="preserve"> כיון דפליגי בה רבוותא ראוי להחמיר שלא לכוף בשוטי דלא ליהוי גט מעושה</w:t>
      </w:r>
      <w:r>
        <w:rPr>
          <w:rFonts w:cs="Arial"/>
          <w:sz w:val="16"/>
          <w:szCs w:val="16"/>
          <w:rtl/>
        </w:rPr>
        <w:t xml:space="preserve"> (ל' הרא"ש)</w:t>
      </w:r>
      <w:r>
        <w:rPr>
          <w:rFonts w:cs="Arial"/>
          <w:rtl/>
        </w:rPr>
        <w:t>.</w:t>
      </w:r>
      <w:r>
        <w:rPr>
          <w:color w:val="E36C0A" w:themeColor="accent6" w:themeShade="BF"/>
          <w:rtl/>
        </w:rPr>
        <w:t xml:space="preserve"> </w:t>
      </w:r>
      <w:r>
        <w:rPr>
          <w:color w:val="00B0F0"/>
          <w:rtl/>
        </w:rPr>
        <w:t>(וכ"פ הרמ"א)</w:t>
      </w:r>
    </w:p>
    <w:p w14:paraId="0FEE0549" w14:textId="087B2F86" w:rsidR="00C97BEF" w:rsidRDefault="00C97BEF" w:rsidP="00C97BEF">
      <w:pPr>
        <w:ind w:left="360"/>
        <w:rPr>
          <w:u w:val="dotted"/>
        </w:rPr>
      </w:pPr>
      <w:r>
        <w:rPr>
          <w:u w:val="dotted"/>
          <w:rtl/>
        </w:rPr>
        <w:t xml:space="preserve">במקרה שלא כופין בשוטים מחמת הספק הנ"ל </w:t>
      </w:r>
      <w:r w:rsidR="00A82951">
        <w:rPr>
          <w:u w:val="dotted"/>
          <w:rtl/>
        </w:rPr>
        <w:t>-</w:t>
      </w:r>
      <w:r>
        <w:rPr>
          <w:u w:val="dotted"/>
          <w:rtl/>
        </w:rPr>
        <w:t xml:space="preserve"> האם מוציאים ממנו ממון כנגד כתובתה:</w:t>
      </w:r>
    </w:p>
    <w:p w14:paraId="394D8747" w14:textId="3A6706DB" w:rsidR="00C97BEF" w:rsidRDefault="00C97BEF" w:rsidP="006A458D">
      <w:pPr>
        <w:pStyle w:val="ab"/>
        <w:numPr>
          <w:ilvl w:val="0"/>
          <w:numId w:val="123"/>
        </w:numPr>
      </w:pPr>
      <w:r>
        <w:rPr>
          <w:rFonts w:cs="Arial"/>
          <w:rtl/>
        </w:rPr>
        <w:t xml:space="preserve">מהר"ם </w:t>
      </w:r>
      <w:r>
        <w:rPr>
          <w:rFonts w:cs="Arial"/>
          <w:sz w:val="16"/>
          <w:szCs w:val="16"/>
          <w:rtl/>
        </w:rPr>
        <w:t>(ד"פ סי' תקעד, ובספר סיני סי' עא, העתיקו דבריו המרדכי [כתובות ר"פ המדיר סי' קצד] והג"א [כתובות פ"ז סי' ג הגהה ב])</w:t>
      </w:r>
      <w:r w:rsidR="00A82951">
        <w:rPr>
          <w:rFonts w:cs="Arial"/>
          <w:rtl/>
        </w:rPr>
        <w:t>-</w:t>
      </w:r>
      <w:r>
        <w:rPr>
          <w:rtl/>
        </w:rPr>
        <w:t xml:space="preserve"> </w:t>
      </w:r>
      <w:r>
        <w:rPr>
          <w:rFonts w:cs="Arial"/>
          <w:rtl/>
        </w:rPr>
        <w:t>כל היכא דקתני יוציא ויתן כתובה נהי דאין כופין אותו אלא בראיה ברורה מ"מ נפיק ממונא מיניה כאן. דכיון דחייבוהו חכמים להוציא ולתת כתובה, אם לא הרשינו לכוף להוציא, דאם היינו כופים ה"ל מעושה שלא כדין, מ"מ כתובה מ"ט לא נפיק מיניה כיון דחייבוהו חכמים בממון זה לתת לה. הלכך מפקי' מיניה כתובה ויהבינן לה מנה ומאתים ונדוניא דהנעלת ליה</w:t>
      </w:r>
      <w:r>
        <w:rPr>
          <w:rStyle w:val="a7"/>
          <w:rFonts w:cs="Arial"/>
          <w:rtl/>
        </w:rPr>
        <w:footnoteReference w:id="2876"/>
      </w:r>
      <w:r>
        <w:rPr>
          <w:rFonts w:cs="Arial"/>
          <w:rtl/>
        </w:rPr>
        <w:t xml:space="preserve">. אבל תוספת איכא פלוגתא דרבוותא </w:t>
      </w:r>
      <w:r>
        <w:rPr>
          <w:rFonts w:cs="Arial"/>
          <w:sz w:val="16"/>
          <w:szCs w:val="16"/>
          <w:rtl/>
        </w:rPr>
        <w:t>(עיין יבמות סה: תוד"ה כי הא)</w:t>
      </w:r>
      <w:r>
        <w:rPr>
          <w:rFonts w:cs="Arial"/>
          <w:rtl/>
        </w:rPr>
        <w:t xml:space="preserve">, ר"ת פירש בריש אף על פי </w:t>
      </w:r>
      <w:r>
        <w:rPr>
          <w:rFonts w:cs="Arial"/>
          <w:sz w:val="16"/>
          <w:szCs w:val="16"/>
          <w:rtl/>
        </w:rPr>
        <w:t>(בתוספות שאנץ, והו"ד בהגמ"ר שם סוף סי' רפט)</w:t>
      </w:r>
      <w:r>
        <w:rPr>
          <w:rFonts w:cs="Arial"/>
          <w:rtl/>
        </w:rPr>
        <w:t xml:space="preserve"> דתוס' נמי אית לה, דלכל מילי תנאי כתובה ככתובה דמי </w:t>
      </w:r>
      <w:r>
        <w:rPr>
          <w:rFonts w:cs="Arial"/>
          <w:sz w:val="16"/>
          <w:szCs w:val="16"/>
          <w:rtl/>
        </w:rPr>
        <w:t>(כתובות נד:)</w:t>
      </w:r>
      <w:r>
        <w:rPr>
          <w:rFonts w:cs="Arial"/>
          <w:rtl/>
        </w:rPr>
        <w:t xml:space="preserve">. ור"ח פי' דדוקא להני מילי דמייתי בריש פרק אף על פי ואמרי' דתנאי כתובה ככתובה דמי, אבל למידי אחרינא לא. ומספיקא לא מפקי' מיניה תוספת כיון דפליגי בה רבוותא. </w:t>
      </w:r>
      <w:r>
        <w:rPr>
          <w:color w:val="00B0F0"/>
          <w:rtl/>
        </w:rPr>
        <w:t>(וכ"פ הרמ"א)</w:t>
      </w:r>
    </w:p>
    <w:p w14:paraId="6E4B8CC0" w14:textId="7DFCABE0" w:rsidR="00C97BEF" w:rsidRDefault="00C97BEF" w:rsidP="00C97BEF">
      <w:pPr>
        <w:ind w:left="360"/>
      </w:pPr>
      <w:r>
        <w:rPr>
          <w:u w:val="dotted"/>
          <w:rtl/>
        </w:rPr>
        <w:t xml:space="preserve">במקרה שלא כופין בשוטים מחמת הספק הנ"ל </w:t>
      </w:r>
      <w:r w:rsidR="00A82951">
        <w:rPr>
          <w:u w:val="dotted"/>
          <w:rtl/>
        </w:rPr>
        <w:t>-</w:t>
      </w:r>
      <w:r>
        <w:rPr>
          <w:u w:val="dotted"/>
          <w:rtl/>
        </w:rPr>
        <w:t xml:space="preserve"> האם ניתן למנוע ממנו זכויותיו:</w:t>
      </w:r>
      <w:r>
        <w:rPr>
          <w:rFonts w:cs="Arial"/>
          <w:rtl/>
        </w:rPr>
        <w:t xml:space="preserve"> </w:t>
      </w:r>
      <w:r>
        <w:rPr>
          <w:rFonts w:cs="Arial"/>
          <w:sz w:val="16"/>
          <w:szCs w:val="16"/>
          <w:rtl/>
        </w:rPr>
        <w:t>(דרכ"מ אות יח**)</w:t>
      </w:r>
    </w:p>
    <w:p w14:paraId="63639969" w14:textId="254A5C88" w:rsidR="00C97BEF" w:rsidRDefault="00C97BEF" w:rsidP="006A458D">
      <w:pPr>
        <w:pStyle w:val="ab"/>
        <w:numPr>
          <w:ilvl w:val="0"/>
          <w:numId w:val="123"/>
        </w:numPr>
      </w:pPr>
      <w:r>
        <w:rPr>
          <w:rFonts w:cs="Arial"/>
          <w:rtl/>
        </w:rPr>
        <w:t xml:space="preserve">ר"ת </w:t>
      </w:r>
      <w:r>
        <w:rPr>
          <w:rFonts w:cs="Arial"/>
          <w:sz w:val="16"/>
          <w:szCs w:val="16"/>
          <w:rtl/>
        </w:rPr>
        <w:t>(ספר הישר, תשובות סי' כד, הביאוהו ב"ז</w:t>
      </w:r>
      <w:r>
        <w:rPr>
          <w:rStyle w:val="a7"/>
          <w:rFonts w:cs="Arial"/>
          <w:sz w:val="16"/>
          <w:szCs w:val="16"/>
          <w:rtl/>
        </w:rPr>
        <w:footnoteReference w:id="2877"/>
      </w:r>
      <w:r>
        <w:rPr>
          <w:rFonts w:cs="Arial"/>
          <w:sz w:val="16"/>
          <w:szCs w:val="16"/>
          <w:rtl/>
        </w:rPr>
        <w:t xml:space="preserve"> [סי' פח] ומהרי"ק</w:t>
      </w:r>
      <w:r>
        <w:rPr>
          <w:rStyle w:val="a7"/>
          <w:rFonts w:cs="Arial"/>
          <w:sz w:val="16"/>
          <w:szCs w:val="16"/>
          <w:rtl/>
        </w:rPr>
        <w:footnoteReference w:id="2878"/>
      </w:r>
      <w:r>
        <w:rPr>
          <w:rFonts w:cs="Arial"/>
          <w:sz w:val="16"/>
          <w:szCs w:val="16"/>
          <w:rtl/>
        </w:rPr>
        <w:t xml:space="preserve"> [שו"ת סי' קלה])</w:t>
      </w:r>
      <w:r w:rsidR="00A82951">
        <w:rPr>
          <w:rtl/>
        </w:rPr>
        <w:t>-</w:t>
      </w:r>
      <w:r>
        <w:rPr>
          <w:rtl/>
        </w:rPr>
        <w:t xml:space="preserve"> </w:t>
      </w:r>
      <w:r>
        <w:rPr>
          <w:rFonts w:cs="Arial"/>
          <w:rtl/>
        </w:rPr>
        <w:t xml:space="preserve">אך אם כל רבותינו שוין בדבר תגזרו באלה חמורה על כל איש ואשה מזרע בית ישראל הנלוים אליכם, שלא יהו רשאין לדבר עמו לישא וליתן עמו </w:t>
      </w:r>
      <w:r>
        <w:rPr>
          <w:rFonts w:cs="Arial"/>
          <w:rtl/>
        </w:rPr>
        <w:lastRenderedPageBreak/>
        <w:t>להאריחו ולהאכילו ולהשקותו וללוותו ולבקרו בחלותו. ועוד יוסיפו חומר ברצונם על כל אדם, אם לא יגרש ויתיר אותו האיש את הילדה הזאת, שבזה אין כפייה עליו. שאם ירצה מקיים, והוא לא ילקה בגופו מתוך נידוי זה, אך אנו נתפרד מעליו, וכל שיהא זכור בגזרתם וגזרתנו ישמור אותה, ואם יעבור שוגג לא תחול על השוגג. ואם כך יעשו רבותינו נראה דרך הישרה, כי טוב להניח אותה בעיגונה מלהוציא לעז על בניה.</w:t>
      </w:r>
      <w:r>
        <w:rPr>
          <w:color w:val="00B0F0"/>
          <w:rtl/>
        </w:rPr>
        <w:t xml:space="preserve"> (וכ"פ הרמ"א)</w:t>
      </w:r>
    </w:p>
    <w:p w14:paraId="7F012E21" w14:textId="6C6C0F95" w:rsidR="00C97BEF" w:rsidRDefault="00C97BEF" w:rsidP="00C97BEF">
      <w:pPr>
        <w:ind w:left="360"/>
      </w:pPr>
      <w:r>
        <w:rPr>
          <w:u w:val="dotted"/>
          <w:rtl/>
        </w:rPr>
        <w:t xml:space="preserve">במקרה שלא כופין בשוטים מחמת הספק הנ"ל </w:t>
      </w:r>
      <w:r w:rsidR="00A82951">
        <w:rPr>
          <w:u w:val="dotted"/>
          <w:rtl/>
        </w:rPr>
        <w:t>-</w:t>
      </w:r>
      <w:r>
        <w:rPr>
          <w:u w:val="dotted"/>
          <w:rtl/>
        </w:rPr>
        <w:t xml:space="preserve"> האם ניתן לשמת/לנדות אותו: </w:t>
      </w:r>
    </w:p>
    <w:p w14:paraId="6B5391C9" w14:textId="340E2685" w:rsidR="00C97BEF" w:rsidRDefault="00C97BEF" w:rsidP="006A458D">
      <w:pPr>
        <w:pStyle w:val="ab"/>
        <w:numPr>
          <w:ilvl w:val="0"/>
          <w:numId w:val="123"/>
        </w:numPr>
      </w:pPr>
      <w:r>
        <w:rPr>
          <w:rFonts w:cs="Arial"/>
          <w:rtl/>
        </w:rPr>
        <w:t xml:space="preserve">מרדכי </w:t>
      </w:r>
      <w:r>
        <w:rPr>
          <w:rFonts w:cs="Arial"/>
          <w:sz w:val="16"/>
          <w:szCs w:val="16"/>
          <w:rtl/>
        </w:rPr>
        <w:t>(פ' המדיר סי' רד)</w:t>
      </w:r>
      <w:r w:rsidR="00A82951">
        <w:rPr>
          <w:rFonts w:cs="Arial"/>
          <w:rtl/>
        </w:rPr>
        <w:t>-</w:t>
      </w:r>
      <w:r>
        <w:rPr>
          <w:rFonts w:cs="Arial"/>
          <w:rtl/>
        </w:rPr>
        <w:t xml:space="preserve"> בכל הני דקתני כופין שיוציא ויתן כתובה לא כפינן אלא בדברים בעלמא ולא בשמתא דחמירא מנגידא (עיין פסחים נב.), ואמרינן בפרק שבועת הדיינים (מא.) גבי שמתא האי לינקוט בכובסיה הוא. אבל הר"ם הכהן אומר בשם רבינו תם דנוכל לעשות שנקבל גזירה שלא לישא וליתן עמו עד שיקבל ליתן גט, אבל לנדות לא. וכן עשה רבינו תם מעשה באחד שלא היה מאותם שכופין להוציא, ונידהו עד שנתן גט, ופסל אותו גט וצוה לעשות לו גט אחר</w:t>
      </w:r>
      <w:r>
        <w:rPr>
          <w:rStyle w:val="a7"/>
          <w:rFonts w:cs="Arial"/>
          <w:rtl/>
        </w:rPr>
        <w:footnoteReference w:id="2879"/>
      </w:r>
      <w:r>
        <w:rPr>
          <w:rFonts w:cs="Arial"/>
          <w:rtl/>
        </w:rPr>
        <w:t xml:space="preserve">. </w:t>
      </w:r>
      <w:r>
        <w:rPr>
          <w:color w:val="00B0F0"/>
          <w:rtl/>
        </w:rPr>
        <w:t>(וכ"פ הרמ"א)</w:t>
      </w:r>
    </w:p>
    <w:p w14:paraId="000CB825" w14:textId="77777777" w:rsidR="00C97BEF" w:rsidRDefault="00C97BEF" w:rsidP="00C97BEF">
      <w:pPr>
        <w:rPr>
          <w:u w:val="single"/>
        </w:rPr>
      </w:pPr>
      <w:r>
        <w:rPr>
          <w:u w:val="single"/>
          <w:rtl/>
        </w:rPr>
        <w:t>בחור שגירש את אשתו ולפני שנשאת לאחר הוציא לעז על הגט:</w:t>
      </w:r>
      <w:r>
        <w:rPr>
          <w:rFonts w:cs="Arial"/>
          <w:sz w:val="16"/>
          <w:szCs w:val="16"/>
          <w:rtl/>
        </w:rPr>
        <w:t xml:space="preserve"> (דרכ"מ אות יח**)</w:t>
      </w:r>
    </w:p>
    <w:p w14:paraId="03011B1E" w14:textId="6C5E9D89" w:rsidR="00C97BEF" w:rsidRDefault="00C97BEF" w:rsidP="006A458D">
      <w:pPr>
        <w:pStyle w:val="ab"/>
        <w:numPr>
          <w:ilvl w:val="0"/>
          <w:numId w:val="123"/>
        </w:numPr>
      </w:pPr>
      <w:r>
        <w:rPr>
          <w:rFonts w:cs="Arial"/>
          <w:rtl/>
        </w:rPr>
        <w:t xml:space="preserve">הגמ"ר </w:t>
      </w:r>
      <w:r>
        <w:rPr>
          <w:rFonts w:cs="Arial"/>
          <w:sz w:val="16"/>
          <w:szCs w:val="16"/>
          <w:rtl/>
        </w:rPr>
        <w:t>(גיטין סי' תסח)</w:t>
      </w:r>
      <w:r w:rsidR="00A82951">
        <w:rPr>
          <w:rFonts w:cs="Arial"/>
          <w:rtl/>
        </w:rPr>
        <w:t>-</w:t>
      </w:r>
      <w:r>
        <w:rPr>
          <w:rFonts w:cs="Arial"/>
          <w:rtl/>
        </w:rPr>
        <w:t xml:space="preserve"> מעשה בבחור אחד שגירש אשתו, ונישאת לאחר. וקודם הנשואין הוציא קול שכדת משה היה כתוב ברישא, וכשבא לחופה לא רצה ליהנות מן הסעודה. וכפה ר"ת את הבחור לתת לה גט כשר, דכל קלא דקמי נשואין יש לחוש אפילו ידוע שלא ימצא אמת. אבל הטוב והמטיב לבטל </w:t>
      </w:r>
      <w:r w:rsidR="00A82951">
        <w:rPr>
          <w:rFonts w:cs="Arial"/>
          <w:rtl/>
        </w:rPr>
        <w:t>-</w:t>
      </w:r>
      <w:r>
        <w:rPr>
          <w:rFonts w:cs="Arial"/>
          <w:rtl/>
        </w:rPr>
        <w:t xml:space="preserve"> לא קלא הוא, דפסקינן כאביי. ורוצה ר"ת להוציא מן השני שנשאה אחר הקול.</w:t>
      </w:r>
    </w:p>
    <w:p w14:paraId="5C79FFCD"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4F5741EB" w14:textId="77777777" w:rsidR="00C97BEF" w:rsidRDefault="00C97BEF" w:rsidP="00C97BEF">
      <w:pPr>
        <w:rPr>
          <w:rFonts w:cs="Arial"/>
          <w:rtl/>
        </w:rPr>
      </w:pPr>
      <w:r>
        <w:rPr>
          <w:rFonts w:cs="Arial"/>
          <w:rtl/>
        </w:rPr>
        <w:t xml:space="preserve">כל אלו שאמרו להוציא, כופין אפילו בשוטים. ויש אומרים שכל מי שלא נאמר בו בגמרא בפירוש כופין להוציא, אלא יוציא בלבד, אין כופין בשוטים אלא אומרים לו: חכמים חייבוך להוציא, ואם לא תוציא מותר לקרותך עבריין. </w:t>
      </w:r>
      <w:r>
        <w:rPr>
          <w:rFonts w:cs="Arial"/>
          <w:sz w:val="18"/>
          <w:szCs w:val="18"/>
          <w:rtl/>
        </w:rPr>
        <w:t>הגה: וכיון דאיכא פלוגתא דרבוותא, ראוי להחמיר שלא לכוף בשוטים, שלא יהא הגט מעושה (רא"ש). אבל אם יש לו אשה בעבירה, לכו"ע כופין בשוטים. וכל מקום שאין כופין בשוטים, אין מנדין אותו ג"כ (מרדכי). ומכל מקום יכולין ליגזור</w:t>
      </w:r>
      <w:r>
        <w:rPr>
          <w:rStyle w:val="a7"/>
          <w:rFonts w:cs="Arial"/>
          <w:sz w:val="18"/>
          <w:szCs w:val="18"/>
          <w:rtl/>
        </w:rPr>
        <w:footnoteReference w:id="2880"/>
      </w:r>
      <w:r>
        <w:rPr>
          <w:rFonts w:cs="Arial"/>
          <w:sz w:val="18"/>
          <w:szCs w:val="18"/>
          <w:rtl/>
        </w:rPr>
        <w:t xml:space="preserve"> על כל ישראל שלא לעשות לו שום טובה או לישא וליתן עמו (ר"ת), או למול בניו או לקברו, עד שיגרש (בנימן זאב). ובכל חומרא שירצו ב"ד יכולין להחמיר בכה"ג, ומלבד שלא ינדו אותו (ר"ת). אבל מי שאינו מקיים עונה, יכולין לנדותו</w:t>
      </w:r>
      <w:r>
        <w:rPr>
          <w:rStyle w:val="a7"/>
          <w:rFonts w:cs="Arial"/>
          <w:sz w:val="18"/>
          <w:szCs w:val="18"/>
          <w:rtl/>
        </w:rPr>
        <w:footnoteReference w:id="2881"/>
      </w:r>
      <w:r>
        <w:rPr>
          <w:rFonts w:cs="Arial"/>
          <w:sz w:val="18"/>
          <w:szCs w:val="18"/>
          <w:rtl/>
        </w:rPr>
        <w:t xml:space="preserve"> ולהחרימו שיקיים עונה או שיגרש, כי אין זה כפייה, רק לקיים עונתו, וכן כל כיוצא בזה (ריב"ש סי' קכז וזכרון יהודה סי' עא). וכן מי שגירש אשתו בגט כשר, ויצא קצת לעז על הגט, מותר לכופו לתת גט אחר (הגמ"ר סי' תסח בשם ר"ת). ובכל מקום דאיכא פלוגתא אם כופין או לא, אע"ג דאין כופין לגרש, מכל מקום כופין אותו ליתן כתובה מיד, וכן הנדוניא דאנעלת ליה (מרדכי בשם מהר"ם, רשב"א ור"ן).</w:t>
      </w:r>
      <w:r>
        <w:rPr>
          <w:rFonts w:cs="Arial"/>
          <w:rtl/>
        </w:rPr>
        <w:t xml:space="preserve"> </w:t>
      </w:r>
    </w:p>
    <w:p w14:paraId="6188B1F4" w14:textId="77777777" w:rsidR="00C97BEF" w:rsidRDefault="00C97BEF" w:rsidP="00C97BEF">
      <w:pPr>
        <w:rPr>
          <w:rtl/>
        </w:rPr>
      </w:pPr>
    </w:p>
    <w:p w14:paraId="541FD8D2" w14:textId="77777777" w:rsidR="00C97BEF" w:rsidRDefault="00C97BEF" w:rsidP="00C97BEF">
      <w:pPr>
        <w:pStyle w:val="2"/>
        <w:rPr>
          <w:rtl/>
        </w:rPr>
      </w:pPr>
      <w:r>
        <w:rPr>
          <w:rtl/>
        </w:rPr>
        <w:t>סעיף כב: הטלת חרם על העומדים בשעת נתינת הגט.</w:t>
      </w:r>
    </w:p>
    <w:p w14:paraId="64CDE1CE" w14:textId="77777777" w:rsidR="00C97BEF" w:rsidRDefault="00C97BEF" w:rsidP="00C97BEF">
      <w:pPr>
        <w:rPr>
          <w:rtl/>
        </w:rPr>
      </w:pPr>
      <w:r>
        <w:rPr>
          <w:rFonts w:cs="Arial"/>
          <w:b/>
          <w:bCs/>
          <w:rtl/>
        </w:rPr>
        <w:t>יבמות</w:t>
      </w:r>
      <w:r>
        <w:rPr>
          <w:rFonts w:cs="Arial"/>
          <w:b/>
          <w:bCs/>
          <w:sz w:val="16"/>
          <w:szCs w:val="16"/>
          <w:rtl/>
        </w:rPr>
        <w:t xml:space="preserve"> (פ' רבן גמליאל)</w:t>
      </w:r>
      <w:r>
        <w:rPr>
          <w:rFonts w:cs="Arial"/>
          <w:b/>
          <w:bCs/>
          <w:rtl/>
        </w:rPr>
        <w:t xml:space="preserve"> נב ע"א: </w:t>
      </w:r>
      <w:r>
        <w:rPr>
          <w:rFonts w:cs="Arial"/>
          <w:rtl/>
        </w:rPr>
        <w:t>דרב מנגיד מאן דמקדש בביאה, ומאן דמקדש בשוקא, ומאן דמקדש בלא שדוכי, ומאן דמבטל גיטא, ומאן דמסר מודעא אגיטא</w:t>
      </w:r>
      <w:r>
        <w:rPr>
          <w:rStyle w:val="a7"/>
          <w:rFonts w:cs="Arial"/>
          <w:rtl/>
        </w:rPr>
        <w:footnoteReference w:id="2882"/>
      </w:r>
      <w:r>
        <w:rPr>
          <w:rtl/>
        </w:rPr>
        <w:t>...</w:t>
      </w:r>
    </w:p>
    <w:p w14:paraId="495C7CCB" w14:textId="77777777" w:rsidR="00C97BEF" w:rsidRDefault="00C97BEF" w:rsidP="00C97BEF">
      <w:pPr>
        <w:rPr>
          <w:u w:val="single"/>
          <w:rtl/>
        </w:rPr>
      </w:pPr>
      <w:r>
        <w:rPr>
          <w:u w:val="single"/>
          <w:rtl/>
        </w:rPr>
        <w:t>הטלת חרם על העומדים בשעת נתינת הגט:</w:t>
      </w:r>
    </w:p>
    <w:p w14:paraId="7C2C533B" w14:textId="7E91CC58" w:rsidR="00C97BEF" w:rsidRDefault="00C97BEF" w:rsidP="006A458D">
      <w:pPr>
        <w:pStyle w:val="ab"/>
        <w:numPr>
          <w:ilvl w:val="0"/>
          <w:numId w:val="123"/>
        </w:numPr>
        <w:rPr>
          <w:rtl/>
        </w:rPr>
      </w:pPr>
      <w:r>
        <w:rPr>
          <w:rFonts w:cs="Arial"/>
          <w:rtl/>
        </w:rPr>
        <w:lastRenderedPageBreak/>
        <w:t xml:space="preserve">ר"פ </w:t>
      </w:r>
      <w:r>
        <w:rPr>
          <w:rFonts w:cs="Arial"/>
          <w:sz w:val="16"/>
          <w:szCs w:val="16"/>
          <w:rtl/>
        </w:rPr>
        <w:t xml:space="preserve">(הגהות הסמ"ק סי' קפד ד"ה בשיטה אחרונה, הביאו הטור) </w:t>
      </w:r>
      <w:r>
        <w:rPr>
          <w:rFonts w:cs="Arial"/>
          <w:rtl/>
        </w:rPr>
        <w:t xml:space="preserve">אורחות חיים </w:t>
      </w:r>
      <w:r>
        <w:rPr>
          <w:rFonts w:cs="Arial"/>
          <w:sz w:val="16"/>
          <w:szCs w:val="16"/>
          <w:rtl/>
        </w:rPr>
        <w:t>(הלכות גיטין)</w:t>
      </w:r>
      <w:r>
        <w:rPr>
          <w:rFonts w:cs="Arial"/>
          <w:rtl/>
        </w:rPr>
        <w:t xml:space="preserve"> ואגודה </w:t>
      </w:r>
      <w:r>
        <w:rPr>
          <w:rFonts w:cs="Arial"/>
          <w:sz w:val="16"/>
          <w:szCs w:val="16"/>
          <w:rtl/>
        </w:rPr>
        <w:t>(יבמות פ"ה אות סז)</w:t>
      </w:r>
      <w:r w:rsidR="00A82951">
        <w:rPr>
          <w:rFonts w:cs="Arial"/>
          <w:rtl/>
        </w:rPr>
        <w:t>-</w:t>
      </w:r>
      <w:r>
        <w:rPr>
          <w:rFonts w:cs="Arial"/>
          <w:rtl/>
        </w:rPr>
        <w:t xml:space="preserve"> וצריך להטיל חרם על הבעל ועל העומדים שם שלא להוציא לעז על הגט</w:t>
      </w:r>
      <w:r>
        <w:rPr>
          <w:rFonts w:cs="Arial"/>
          <w:sz w:val="16"/>
          <w:szCs w:val="16"/>
          <w:rtl/>
        </w:rPr>
        <w:t xml:space="preserve"> (ל' הא"ח)</w:t>
      </w:r>
      <w:r>
        <w:rPr>
          <w:rFonts w:cs="Arial"/>
          <w:rtl/>
        </w:rPr>
        <w:t>.</w:t>
      </w:r>
      <w:r>
        <w:rPr>
          <w:color w:val="E36C0A" w:themeColor="accent6" w:themeShade="BF"/>
          <w:rtl/>
        </w:rPr>
        <w:t xml:space="preserve"> (וכ"פ בשו"ע)</w:t>
      </w:r>
    </w:p>
    <w:p w14:paraId="4B81F652"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53D3733E" w14:textId="77777777" w:rsidR="00C97BEF" w:rsidRDefault="00C97BEF" w:rsidP="00C97BEF">
      <w:pPr>
        <w:rPr>
          <w:rtl/>
        </w:rPr>
      </w:pPr>
      <w:r>
        <w:rPr>
          <w:rFonts w:cs="Arial"/>
          <w:rtl/>
        </w:rPr>
        <w:t xml:space="preserve">צריך להטיל חרם על כל העומדים בשעת נתינת הגט, שלא להוציא לעז על הגט. </w:t>
      </w:r>
      <w:r>
        <w:rPr>
          <w:rFonts w:cs="Arial"/>
          <w:sz w:val="18"/>
          <w:szCs w:val="18"/>
          <w:rtl/>
        </w:rPr>
        <w:t>[הגה] ומזכירין שר"ת גזר בכנופיא עם תלמידיו על מי שמוציא לעז על הגט הניתן.</w:t>
      </w:r>
      <w:r>
        <w:rPr>
          <w:rFonts w:cs="Arial"/>
          <w:rtl/>
        </w:rPr>
        <w:t xml:space="preserve"> </w:t>
      </w:r>
    </w:p>
    <w:p w14:paraId="71F8E7FD" w14:textId="77777777" w:rsidR="00C97BEF" w:rsidRDefault="00C97BEF" w:rsidP="00C97BEF">
      <w:pPr>
        <w:rPr>
          <w:rtl/>
        </w:rPr>
      </w:pPr>
    </w:p>
    <w:p w14:paraId="74E8C646" w14:textId="77777777" w:rsidR="00C97BEF" w:rsidRDefault="00C97BEF" w:rsidP="00C97BEF">
      <w:pPr>
        <w:pStyle w:val="2"/>
        <w:rPr>
          <w:rtl/>
        </w:rPr>
      </w:pPr>
      <w:r>
        <w:rPr>
          <w:rtl/>
        </w:rPr>
        <w:t>סעיף כג: בעל שנשבע לתת גט.</w:t>
      </w:r>
    </w:p>
    <w:p w14:paraId="210B64E4" w14:textId="77777777" w:rsidR="00C97BEF" w:rsidRDefault="00C97BEF" w:rsidP="00C97BEF">
      <w:pPr>
        <w:rPr>
          <w:u w:val="single"/>
          <w:rtl/>
        </w:rPr>
      </w:pPr>
      <w:r>
        <w:rPr>
          <w:u w:val="single"/>
          <w:rtl/>
        </w:rPr>
        <w:t>בעל שנשבע לתת גט:</w:t>
      </w:r>
    </w:p>
    <w:p w14:paraId="4D2A433D" w14:textId="691A74D6" w:rsidR="00C97BEF" w:rsidRDefault="00C97BEF" w:rsidP="006A458D">
      <w:pPr>
        <w:pStyle w:val="ab"/>
        <w:numPr>
          <w:ilvl w:val="0"/>
          <w:numId w:val="123"/>
        </w:numPr>
        <w:rPr>
          <w:rFonts w:cs="Arial"/>
          <w:rtl/>
        </w:rPr>
      </w:pPr>
      <w:r>
        <w:rPr>
          <w:rFonts w:cs="Arial"/>
          <w:rtl/>
        </w:rPr>
        <w:t xml:space="preserve">ה"ר פרץ </w:t>
      </w:r>
      <w:r>
        <w:rPr>
          <w:rFonts w:cs="Arial"/>
          <w:sz w:val="16"/>
          <w:szCs w:val="16"/>
          <w:rtl/>
        </w:rPr>
        <w:t>(הגהות הסמ"ק סי' קפד ד"ה בשיטה אחרונה)</w:t>
      </w:r>
      <w:r w:rsidR="00A82951">
        <w:rPr>
          <w:rFonts w:cs="Arial"/>
          <w:rtl/>
        </w:rPr>
        <w:t>-</w:t>
      </w:r>
      <w:r>
        <w:rPr>
          <w:rFonts w:cs="Arial"/>
          <w:rtl/>
        </w:rPr>
        <w:t xml:space="preserve"> ואם נשבע הבעל ליתן גט </w:t>
      </w:r>
      <w:r w:rsidR="00A82951">
        <w:rPr>
          <w:rFonts w:cs="Arial"/>
          <w:rtl/>
        </w:rPr>
        <w:t>-</w:t>
      </w:r>
      <w:r>
        <w:rPr>
          <w:rFonts w:cs="Arial"/>
          <w:rtl/>
        </w:rPr>
        <w:t xml:space="preserve"> צריך שיתירו לו קודם, שלא יהא דומה לאונס. אך ערבון יתן אם ירצה, שאין זה דומה לאונס. </w:t>
      </w:r>
      <w:r>
        <w:rPr>
          <w:color w:val="E36C0A" w:themeColor="accent6" w:themeShade="BF"/>
          <w:rtl/>
        </w:rPr>
        <w:t>(וכ"פ בשו"ע)</w:t>
      </w:r>
    </w:p>
    <w:p w14:paraId="69624EC7" w14:textId="77777777" w:rsidR="00C97BEF" w:rsidRDefault="00C97BEF" w:rsidP="00C97BEF">
      <w:pPr>
        <w:ind w:left="360"/>
        <w:rPr>
          <w:rFonts w:cs="Arial"/>
          <w:u w:val="dotted"/>
        </w:rPr>
      </w:pPr>
      <w:r>
        <w:rPr>
          <w:rFonts w:cs="Arial"/>
          <w:u w:val="dotted"/>
          <w:rtl/>
        </w:rPr>
        <w:t>ומה הדין אם גרש קודם שהתירו לו:</w:t>
      </w:r>
    </w:p>
    <w:p w14:paraId="7B751D67" w14:textId="380BCD68" w:rsidR="00C97BEF" w:rsidRDefault="00C97BEF" w:rsidP="006A458D">
      <w:pPr>
        <w:pStyle w:val="ab"/>
        <w:numPr>
          <w:ilvl w:val="0"/>
          <w:numId w:val="123"/>
        </w:numPr>
        <w:rPr>
          <w:rFonts w:cs="Arial"/>
          <w:rtl/>
        </w:rPr>
      </w:pPr>
      <w:r>
        <w:rPr>
          <w:rFonts w:cs="Arial"/>
          <w:rtl/>
        </w:rPr>
        <w:t xml:space="preserve">ריטב"א </w:t>
      </w:r>
      <w:r>
        <w:rPr>
          <w:rFonts w:cs="Arial"/>
          <w:sz w:val="16"/>
          <w:szCs w:val="16"/>
          <w:rtl/>
        </w:rPr>
        <w:t>(שו"ת הריטב"א סי' צו)</w:t>
      </w:r>
      <w:r w:rsidR="00A82951">
        <w:rPr>
          <w:rFonts w:cs="Arial"/>
          <w:rtl/>
        </w:rPr>
        <w:t>-</w:t>
      </w:r>
      <w:r>
        <w:rPr>
          <w:rFonts w:cs="Arial"/>
          <w:rtl/>
        </w:rPr>
        <w:t xml:space="preserve"> איש שנשבע לגרש את אשתו, וגירשה קודם שיתירו לו, ואח"כ היה מערער לפסול הגט מפני כך.    תשובה: זו אינה טענה לפסול הגט בדיעבד, שלא מצינו שיהא חשוב אונס בגט אלא באונס שבא לו שלא מעצמו, אבל שבועה זו הוא הביאה על עצמו, שהרי מרצון עצמו חייב עצמו בשבועה לגרש לפי שגמר דעתו לגרש עכ"פ, ונשבע לזרוזי נפשיה. ואם נתחרט אחר שבועה ואינו מגרש אלא מחמתה היה לו לבקש צד להיות נקי משבועתו, או לגלות דעתו או למסור מודעא בכך. ומה שכתב ה"ר פרץ שצריך שיתירו לו וכו', לפי דעתי לא כתב אלא שצריך כן לכתחלה לעשות גירושין ברורים, לא שיהא פוסל הגט בזה בדיעבד וכמו שכתב שם בהלכות ההם דברים הרבה דרך חומרא ולמעשה מובחר. וכן נראה מלשונו שכתב כאן כדי שלא יהא דומה לאונס, הרי שלא כתב רבינו שיהא זה אונס. וזה נראה ברור. וכמדומה לי שכך דן הרב ז"ל וכן הסכים</w:t>
      </w:r>
      <w:r>
        <w:rPr>
          <w:rStyle w:val="a7"/>
          <w:rFonts w:cs="Arial"/>
          <w:rtl/>
        </w:rPr>
        <w:footnoteReference w:id="2883"/>
      </w:r>
      <w:r>
        <w:rPr>
          <w:rFonts w:cs="Arial"/>
          <w:rtl/>
        </w:rPr>
        <w:t>.</w:t>
      </w:r>
      <w:r>
        <w:rPr>
          <w:color w:val="E36C0A" w:themeColor="accent6" w:themeShade="BF"/>
          <w:rtl/>
        </w:rPr>
        <w:t xml:space="preserve"> (וכ"פ בשו"ע)</w:t>
      </w:r>
    </w:p>
    <w:p w14:paraId="56F5F4F3" w14:textId="77777777" w:rsidR="00C97BEF" w:rsidRDefault="00C97BEF" w:rsidP="00C97BEF">
      <w:pPr>
        <w:rPr>
          <w:rFonts w:asciiTheme="minorBidi" w:hAnsiTheme="minorBidi"/>
          <w:b/>
          <w:bCs/>
          <w:color w:val="000000"/>
          <w:sz w:val="28"/>
          <w:szCs w:val="28"/>
          <w:u w:val="single"/>
        </w:rPr>
      </w:pPr>
      <w:r>
        <w:rPr>
          <w:rFonts w:asciiTheme="minorBidi" w:hAnsiTheme="minorBidi"/>
          <w:b/>
          <w:bCs/>
          <w:color w:val="000000"/>
          <w:sz w:val="28"/>
          <w:szCs w:val="28"/>
          <w:u w:val="single"/>
          <w:rtl/>
        </w:rPr>
        <w:t>שו"ע:</w:t>
      </w:r>
    </w:p>
    <w:p w14:paraId="34C2E3EC" w14:textId="77777777" w:rsidR="00C97BEF" w:rsidRDefault="00C97BEF" w:rsidP="00C97BEF">
      <w:pPr>
        <w:rPr>
          <w:rtl/>
        </w:rPr>
      </w:pPr>
      <w:r>
        <w:rPr>
          <w:rFonts w:cs="Arial"/>
          <w:rtl/>
        </w:rPr>
        <w:t xml:space="preserve">אם נשבע הבעל ליתן גט, טוב שיתירו לו קודם, שלא יהא דומה לאונס. אך ערבון יתן, אם ירצה. </w:t>
      </w:r>
      <w:r>
        <w:rPr>
          <w:rFonts w:cs="Arial"/>
          <w:sz w:val="18"/>
          <w:szCs w:val="18"/>
          <w:rtl/>
        </w:rPr>
        <w:t>הגה: ועיין לעיל סימן קל"ד סעיף ד'. ובגט מתנכר אין צריכין לשאול אם נשבע או נדר, מאחר דצריך לגרש מדינא, אך שואלין אותו אם מגרש ברצון, וכן שואלין לאשתו.</w:t>
      </w:r>
      <w:r>
        <w:rPr>
          <w:rFonts w:cs="Arial"/>
          <w:rtl/>
        </w:rPr>
        <w:t xml:space="preserve"> </w:t>
      </w:r>
    </w:p>
    <w:p w14:paraId="33AE9FD0" w14:textId="77777777" w:rsidR="00C97BEF" w:rsidRDefault="00C97BEF" w:rsidP="00C97BEF">
      <w:pPr>
        <w:rPr>
          <w:rtl/>
        </w:rPr>
      </w:pPr>
    </w:p>
    <w:p w14:paraId="4D35C88D" w14:textId="77777777" w:rsidR="00C97BEF" w:rsidRDefault="00C97BEF" w:rsidP="00C97BEF">
      <w:pPr>
        <w:pStyle w:val="2"/>
        <w:rPr>
          <w:rtl/>
        </w:rPr>
      </w:pPr>
      <w:r>
        <w:rPr>
          <w:rtl/>
        </w:rPr>
        <w:t>סעיף כד: מי שקיבל עליו נזירות שמשון לגרש את אשתו.</w:t>
      </w:r>
    </w:p>
    <w:p w14:paraId="235BA8D5" w14:textId="77777777" w:rsidR="00C97BEF" w:rsidRDefault="00C97BEF" w:rsidP="00C97BEF">
      <w:pPr>
        <w:rPr>
          <w:u w:val="single"/>
          <w:rtl/>
        </w:rPr>
      </w:pPr>
      <w:r>
        <w:rPr>
          <w:u w:val="single"/>
          <w:rtl/>
        </w:rPr>
        <w:t>מי שקיבל עליו נזירות שמשון לגרש את אשתו:</w:t>
      </w:r>
    </w:p>
    <w:p w14:paraId="0E68C488" w14:textId="55E68093" w:rsidR="00C97BEF" w:rsidRDefault="00C97BEF" w:rsidP="006A458D">
      <w:pPr>
        <w:pStyle w:val="ab"/>
        <w:numPr>
          <w:ilvl w:val="0"/>
          <w:numId w:val="123"/>
        </w:numPr>
        <w:rPr>
          <w:rtl/>
        </w:rPr>
      </w:pPr>
      <w:r>
        <w:rPr>
          <w:rFonts w:cs="Arial"/>
          <w:rtl/>
        </w:rPr>
        <w:t>ב"י</w:t>
      </w:r>
      <w:r w:rsidR="00A82951">
        <w:rPr>
          <w:rFonts w:cs="Arial"/>
          <w:rtl/>
        </w:rPr>
        <w:t>-</w:t>
      </w:r>
      <w:r>
        <w:rPr>
          <w:rFonts w:cs="Arial"/>
          <w:rtl/>
        </w:rPr>
        <w:t xml:space="preserve"> ה"ר לוי ן' חביב ז"ל עשה מעשה במי שנדר נזירות שמשון לגרש את אשתו וגירשה בבית דינו וכתב על זה פסק ארוך (שו"ת הרלב"ח סי' קכד) והביא כמה ראיות לדבריו וכתב בסוף דבריו על ה"ר משה קשטרו ז"ל ואנהרינהו לעיינין דפרק השולח (מה:) המוציא את אשתו משום נדר לא יחזיר וכו' אמר רבי יוסי מעשה בצידן באחד שאמר לאשתו קונם שאיני מגרשך וגירשה וכו'.</w:t>
      </w:r>
      <w:r>
        <w:rPr>
          <w:color w:val="E36C0A" w:themeColor="accent6" w:themeShade="BF"/>
          <w:rtl/>
        </w:rPr>
        <w:t xml:space="preserve"> (וכ"פ בשו"ע)</w:t>
      </w:r>
    </w:p>
    <w:p w14:paraId="64483E04" w14:textId="77777777" w:rsidR="00C97BEF" w:rsidRDefault="00C97BEF" w:rsidP="00C97BEF">
      <w:pPr>
        <w:rPr>
          <w:rFonts w:asciiTheme="minorBidi" w:hAnsiTheme="minorBidi"/>
          <w:b/>
          <w:bCs/>
          <w:color w:val="000000"/>
          <w:sz w:val="28"/>
          <w:szCs w:val="28"/>
          <w:u w:val="single"/>
          <w:rtl/>
        </w:rPr>
      </w:pPr>
      <w:r>
        <w:rPr>
          <w:rFonts w:asciiTheme="minorBidi" w:hAnsiTheme="minorBidi"/>
          <w:b/>
          <w:bCs/>
          <w:color w:val="000000"/>
          <w:sz w:val="28"/>
          <w:szCs w:val="28"/>
          <w:u w:val="single"/>
          <w:rtl/>
        </w:rPr>
        <w:t>שו"ע:</w:t>
      </w:r>
    </w:p>
    <w:p w14:paraId="42800A87" w14:textId="77777777" w:rsidR="00C97BEF" w:rsidRDefault="00C97BEF" w:rsidP="00C97BEF">
      <w:pPr>
        <w:rPr>
          <w:rtl/>
        </w:rPr>
      </w:pPr>
      <w:r>
        <w:rPr>
          <w:rFonts w:cs="Arial"/>
          <w:rtl/>
        </w:rPr>
        <w:t>מי שקבל עליו נזירות שמשון</w:t>
      </w:r>
      <w:r>
        <w:rPr>
          <w:rStyle w:val="a7"/>
          <w:rFonts w:cs="Arial"/>
          <w:rtl/>
        </w:rPr>
        <w:footnoteReference w:id="2884"/>
      </w:r>
      <w:r>
        <w:rPr>
          <w:rFonts w:cs="Arial"/>
          <w:rtl/>
        </w:rPr>
        <w:t xml:space="preserve"> לגרש את אשתו, מותר לגרש, ואין בו משום מגרש באונס. וטוב לגרשה בשני גיטין, ויתנם לה זה אחר זה.</w:t>
      </w:r>
    </w:p>
    <w:p w14:paraId="4520A62C" w14:textId="77777777" w:rsidR="00C97BEF" w:rsidRDefault="00C97BEF" w:rsidP="00C97BEF">
      <w:pPr>
        <w:bidi w:val="0"/>
        <w:spacing w:after="0"/>
        <w:rPr>
          <w:rFonts w:asciiTheme="majorHAnsi" w:eastAsiaTheme="majorEastAsia" w:hAnsiTheme="majorHAnsi"/>
          <w:b/>
          <w:bCs/>
          <w:color w:val="365F91" w:themeColor="accent1" w:themeShade="BF"/>
          <w:sz w:val="28"/>
          <w:szCs w:val="28"/>
          <w:rtl/>
        </w:rPr>
        <w:sectPr w:rsidR="00C97BEF">
          <w:headerReference w:type="default" r:id="rId47"/>
          <w:footnotePr>
            <w:numRestart w:val="eachSect"/>
          </w:footnotePr>
          <w:pgSz w:w="11906" w:h="16838"/>
          <w:pgMar w:top="720" w:right="1134" w:bottom="720" w:left="1134" w:header="0" w:footer="0" w:gutter="0"/>
          <w:cols w:space="720"/>
          <w:bidi/>
          <w:rtlGutter/>
        </w:sectPr>
      </w:pPr>
    </w:p>
    <w:p w14:paraId="1093CA9E" w14:textId="77777777" w:rsidR="00C97BEF" w:rsidRDefault="00C97BEF" w:rsidP="00C97BEF">
      <w:pPr>
        <w:pStyle w:val="1"/>
        <w:rPr>
          <w:rtl/>
        </w:rPr>
      </w:pPr>
      <w:r>
        <w:rPr>
          <w:rtl/>
        </w:rPr>
        <w:lastRenderedPageBreak/>
        <w:t>סדר כתיבת הגט ונתינתו.</w:t>
      </w:r>
    </w:p>
    <w:p w14:paraId="10D0C0B4" w14:textId="41FBA0B2" w:rsidR="00C97BEF" w:rsidRDefault="00C97BEF" w:rsidP="00C97BEF">
      <w:pPr>
        <w:rPr>
          <w:u w:val="single"/>
          <w:rtl/>
        </w:rPr>
      </w:pPr>
      <w:r>
        <w:rPr>
          <w:u w:val="single"/>
          <w:rtl/>
        </w:rPr>
        <w:t xml:space="preserve">סדר כתיבת הגט ונתינתו </w:t>
      </w:r>
      <w:r w:rsidR="00A82951">
        <w:rPr>
          <w:u w:val="single"/>
          <w:rtl/>
        </w:rPr>
        <w:t>-</w:t>
      </w:r>
      <w:r>
        <w:rPr>
          <w:u w:val="single"/>
          <w:rtl/>
        </w:rPr>
        <w:t xml:space="preserve"> להרא"ש:</w:t>
      </w:r>
    </w:p>
    <w:p w14:paraId="337D80CC" w14:textId="4B52660D" w:rsidR="00C97BEF" w:rsidRDefault="00C97BEF" w:rsidP="006A458D">
      <w:pPr>
        <w:pStyle w:val="ab"/>
        <w:numPr>
          <w:ilvl w:val="0"/>
          <w:numId w:val="123"/>
        </w:numPr>
        <w:rPr>
          <w:rtl/>
        </w:rPr>
      </w:pPr>
      <w:r>
        <w:rPr>
          <w:rFonts w:cs="Arial"/>
          <w:rtl/>
        </w:rPr>
        <w:t>טור</w:t>
      </w:r>
      <w:r w:rsidR="00A82951">
        <w:rPr>
          <w:rFonts w:cs="Arial"/>
          <w:rtl/>
        </w:rPr>
        <w:t>-</w:t>
      </w:r>
      <w:r>
        <w:rPr>
          <w:rFonts w:cs="Arial"/>
          <w:rtl/>
        </w:rPr>
        <w:t xml:space="preserve"> סדר כתיבת הגט ונתינתו לא"א הרא"ש ז"ל: </w:t>
      </w:r>
      <w:r>
        <w:rPr>
          <w:rFonts w:cs="Arial"/>
          <w:rtl/>
        </w:rPr>
        <w:br/>
        <w:t xml:space="preserve">הרוצה לגרש את אשתו יזמין לו סופר וב' עדים. ויאמר לסופר כתוב גט זה לשם אשתי. ויאמר לעדים חתמו עליו לשם אשתי. ויאמר להם לכתוב ולחתום גט אחר גט כמה גיטין עד שיזדמן להם אחד שיהיה לפי רצונם. ולא יכתוב הסופר ויחתמו העדים עד שישמעו מפי הבעל שצוה להם לכתוב ולחתום, ולא מפי השליח. ואפי' אמר לג' אמרו לפלוני שיכתוב ולפלוני ולפלוני שיחתמו, לא יכתבו ולא יחתמו עד שישמעו קולו. והסופר יתן הקלף והדיו לבעל במתנה. ושכר הסופר יתן הבעל. ואם נתנה האשה, הגט כשר. </w:t>
      </w:r>
      <w:r>
        <w:rPr>
          <w:rFonts w:cs="Arial"/>
          <w:rtl/>
        </w:rPr>
        <w:br/>
        <w:t xml:space="preserve">ויאמר הבעל קודם נתינת הגט שמבטל כל מודעות ודברים שמסר שגורמים לבטל הגט, ושהוא מגרש מדעתו בלב שלם בלי שום אונס ותנאי. וטוב הוא שיהיה הבעל אצל הסופר והעדים עד שיכתוב ויחתום וינתן הגט כדי שלא יצא וימסור מודעא או יבטל הגט. ואם יצא, אין לפסול הגט בשביל זה כל זמן שלא שמענו שביטל. ואם אין האשה בעיר וצריך לשלוח לה הגט טוב הוא שישביעו את הבעל בשבועת התורה שלא ימסור מודעא ושלא לבטל הגט. </w:t>
      </w:r>
      <w:r>
        <w:rPr>
          <w:rFonts w:cs="Arial"/>
          <w:rtl/>
        </w:rPr>
        <w:br/>
        <w:t xml:space="preserve">ויחתוך הסופר הקלף למדת הגט שלא יצטרך לחתוך ממנו שום דבר אחר כתיבה הגט. ויהיה ארכו יתר על רחבו, ונקרא ארכו דרך קריאתו מתחילתו לסופו. וישרטטו בו י"ב שיטין כמנין גט. ובתחלת כתיבתו יאמר הסופר אני כותב גט זה לשם פלונית אשת פלוני. ויהיו שם ב' עידי חתימה בשעה שמתחיל לכתוב הגט, כדי שידעו שנכתב לשמה ויכירוהו בשעת חתימה. ויאמרו העדים שחותמין לשמה, ויחתמו זה בפני זה. ולא יחתום הסופר בגט. ויתחילו בראש השיטה, שלא יניחו חלק בגליון מימין לפני החתימה. ואם ירצו יחתמו זה אחר זה בשיטה אחת, ואם ירצו יחתמו זה תחת זה בשני שיטות. </w:t>
      </w:r>
      <w:r>
        <w:rPr>
          <w:rFonts w:cs="Arial"/>
          <w:rtl/>
        </w:rPr>
        <w:br/>
        <w:t xml:space="preserve">ואחר שיחתום יתנהו ליד הבעל, ויתנהו ליד האשה כשהיא פתוחה ידה. ויקראוהו העדים קודם נתינת הגט ואחר נתינתה. ואם לא קראוהו קודם נתינה, וקראוהו אחריה או קראוהו קודם נתינה ולא אחריה, כשר. אבל לכתחלה צריך לקרותו קודם נתינה ואחריה. וכשיתן הבעל גט ליד האשה יאמר ה"ז גיטך הרי את מגורשת בו ממני ומותרת לכל אדם. </w:t>
      </w:r>
      <w:r>
        <w:rPr>
          <w:rFonts w:cs="Arial"/>
          <w:rtl/>
        </w:rPr>
        <w:br/>
        <w:t xml:space="preserve">ואם הבעל שולח הגט לאשתו מחוץ לעיר צריך השליח המביא הגט להיות אצל הסופר והעדים כשכותבין וחותמין, כדי שיוכל לומר בפ"נ ובפ"נ. וכשיתן הגט ליד האשה יאמר תיכף נתינת הגט לידה ה"ז גיטך ששלח ליך בעליך והרי את מגורשת ממנו ומותרת לכל אדם. </w:t>
      </w:r>
      <w:r>
        <w:rPr>
          <w:rFonts w:cs="Arial"/>
          <w:rtl/>
        </w:rPr>
        <w:br/>
        <w:t xml:space="preserve">ואם שכ"מ מצווה לכתוב גט לאשתו יזהר הסופר שיהיה החולה שפוי ומיושב בדעתו מתחלת כתיבת הגט עד גמר כתיבתו, שאם תטרף דעתו בינתיים אע"פ שחזר לדעתו הגט פסול. ובשעה שנותן הגט לידה יאמר ה"ז גיטך והרי את מגורשת ממני ומותרת לכל אדם על תנאי זה אם לא אמות לא יהא גט, ואם מתי יהא גט מעכשיו, ואם לא מתי לא יהא גט. ולא יתייחד עמה אחר נתינת הגט אם לא שיהיה אחר עמהם, ואפי' עבד או שפחה, חוץ משפחתה מפני שלבו גס בה. </w:t>
      </w:r>
      <w:r>
        <w:rPr>
          <w:rFonts w:cs="Arial"/>
          <w:rtl/>
        </w:rPr>
        <w:br/>
        <w:t xml:space="preserve">ושליח המביא גט ואומר בפני נכתב ובפ"נ א"צ להביא שטר שליחות שהבעל מינהו שליח, אלא כמו שהאמינוהו על קיום הגט כך הוא נאמן על השליחות. </w:t>
      </w:r>
      <w:r>
        <w:rPr>
          <w:rFonts w:cs="Arial"/>
          <w:rtl/>
        </w:rPr>
        <w:br/>
        <w:t xml:space="preserve">ומאד יש לכל אדם ליזהר שלא ישתדל בענין גיטין אם לא שיהיה בקי בהלכות גיטין, כי רבו בהן הדקדוקין ובנקל יכול אדם לטעות בהן, והוא פסול ממזרות. וצור ישראל יצילנו משגיאות. </w:t>
      </w:r>
    </w:p>
    <w:p w14:paraId="70C2EFEB" w14:textId="77777777" w:rsidR="00C97BEF" w:rsidRDefault="00C97BEF" w:rsidP="00C97BEF">
      <w:pPr>
        <w:rPr>
          <w:u w:val="single"/>
        </w:rPr>
      </w:pPr>
      <w:r>
        <w:rPr>
          <w:u w:val="single"/>
          <w:rtl/>
        </w:rPr>
        <w:t>הוספות מרבינו פרץ שהוסיף הטור לאחר סדר הגט לרא"ש:</w:t>
      </w:r>
    </w:p>
    <w:p w14:paraId="017AF419" w14:textId="34911A92" w:rsidR="00C97BEF" w:rsidRDefault="00C97BEF" w:rsidP="006A458D">
      <w:pPr>
        <w:pStyle w:val="ab"/>
        <w:numPr>
          <w:ilvl w:val="0"/>
          <w:numId w:val="123"/>
        </w:numPr>
      </w:pPr>
      <w:r>
        <w:rPr>
          <w:rFonts w:cs="Arial"/>
          <w:rtl/>
        </w:rPr>
        <w:t>טור</w:t>
      </w:r>
      <w:r w:rsidR="00A82951">
        <w:rPr>
          <w:rFonts w:cs="Arial"/>
          <w:rtl/>
        </w:rPr>
        <w:t>-</w:t>
      </w:r>
      <w:r>
        <w:rPr>
          <w:rFonts w:cs="Arial"/>
          <w:rtl/>
        </w:rPr>
        <w:t xml:space="preserve"> כתב ה"ר פרץ </w:t>
      </w:r>
      <w:r>
        <w:rPr>
          <w:rFonts w:cs="Arial"/>
          <w:sz w:val="16"/>
          <w:szCs w:val="16"/>
          <w:rtl/>
        </w:rPr>
        <w:t>(הגהות הסמ"ק סי' קפד ד"ה בשיטה אחרונה)</w:t>
      </w:r>
      <w:r>
        <w:rPr>
          <w:rFonts w:cs="Arial"/>
          <w:rtl/>
        </w:rPr>
        <w:t xml:space="preserve"> שגם הקולמוס צריך שיתן הסופר לבעל קודם הכתיבה. וצריך לדקדק שיהיה כל הגט יבש היטב בשעת הנתינה. וצריך לשום חרם על כל העומדים שם שלא יוציאו לעז על הגט. ואם נשבע הבעל ליתן גט צריך שיתירו לו קודם שלא יהא דומה לאונס אך ערבון יתן אם ירצה שאין זה דומה לאונס.</w:t>
      </w:r>
    </w:p>
    <w:p w14:paraId="5B3099EB" w14:textId="30117EE4" w:rsidR="00942887" w:rsidRPr="00C97BEF" w:rsidRDefault="00942887" w:rsidP="00C16F61">
      <w:pPr>
        <w:rPr>
          <w:rtl/>
        </w:rPr>
      </w:pPr>
    </w:p>
    <w:sectPr w:rsidR="00942887" w:rsidRPr="00C97BEF" w:rsidSect="00A347B3">
      <w:headerReference w:type="default" r:id="rId48"/>
      <w:footnotePr>
        <w:numRestart w:val="eachSect"/>
      </w:footnotePr>
      <w:pgSz w:w="11906" w:h="16838"/>
      <w:pgMar w:top="720" w:right="1134" w:bottom="720" w:left="1134" w:header="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0AD55" w14:textId="77777777" w:rsidR="003D1B9C" w:rsidRDefault="003D1B9C" w:rsidP="008A01C4">
      <w:pPr>
        <w:spacing w:after="0" w:line="240" w:lineRule="auto"/>
      </w:pPr>
      <w:r>
        <w:separator/>
      </w:r>
    </w:p>
  </w:endnote>
  <w:endnote w:type="continuationSeparator" w:id="0">
    <w:p w14:paraId="1CD82A96" w14:textId="77777777" w:rsidR="003D1B9C" w:rsidRDefault="003D1B9C" w:rsidP="008A01C4">
      <w:pPr>
        <w:spacing w:after="0" w:line="240" w:lineRule="auto"/>
      </w:pPr>
      <w:r>
        <w:continuationSeparator/>
      </w:r>
    </w:p>
  </w:endnote>
  <w:endnote w:type="continuationNotice" w:id="1">
    <w:p w14:paraId="43CC7E78" w14:textId="77777777" w:rsidR="003D1B9C" w:rsidRDefault="003D1B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84080382"/>
      <w:docPartObj>
        <w:docPartGallery w:val="Page Numbers (Bottom of Page)"/>
        <w:docPartUnique/>
      </w:docPartObj>
    </w:sdtPr>
    <w:sdtContent>
      <w:p w14:paraId="4EFEA8F8" w14:textId="4B12071D" w:rsidR="00403A76" w:rsidRDefault="00403A76">
        <w:pPr>
          <w:pStyle w:val="af1"/>
          <w:jc w:val="center"/>
        </w:pPr>
        <w:r>
          <w:fldChar w:fldCharType="begin"/>
        </w:r>
        <w:r>
          <w:instrText>PAGE   \* MERGEFORMAT</w:instrText>
        </w:r>
        <w:r>
          <w:fldChar w:fldCharType="separate"/>
        </w:r>
        <w:r>
          <w:rPr>
            <w:rtl/>
            <w:lang w:val="he-IL"/>
          </w:rPr>
          <w:t>2</w:t>
        </w:r>
        <w:r>
          <w:fldChar w:fldCharType="end"/>
        </w:r>
      </w:p>
    </w:sdtContent>
  </w:sdt>
  <w:p w14:paraId="14923744" w14:textId="77777777" w:rsidR="00403A76" w:rsidRDefault="00403A76">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75084522"/>
      <w:docPartObj>
        <w:docPartGallery w:val="Page Numbers (Bottom of Page)"/>
        <w:docPartUnique/>
      </w:docPartObj>
    </w:sdtPr>
    <w:sdtContent>
      <w:p w14:paraId="24FD1788" w14:textId="77777777" w:rsidR="00FA2119" w:rsidRDefault="00FA2119">
        <w:pPr>
          <w:pStyle w:val="af1"/>
          <w:jc w:val="center"/>
        </w:pPr>
        <w:r>
          <w:fldChar w:fldCharType="begin"/>
        </w:r>
        <w:r>
          <w:instrText>PAGE   \* MERGEFORMAT</w:instrText>
        </w:r>
        <w:r>
          <w:fldChar w:fldCharType="separate"/>
        </w:r>
        <w:r>
          <w:rPr>
            <w:rtl/>
            <w:lang w:val="he-IL"/>
          </w:rPr>
          <w:t>2</w:t>
        </w:r>
        <w:r>
          <w:fldChar w:fldCharType="end"/>
        </w:r>
      </w:p>
    </w:sdtContent>
  </w:sdt>
  <w:p w14:paraId="1C7C75F4" w14:textId="77777777" w:rsidR="00FA2119" w:rsidRDefault="00FA211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B8D55" w14:textId="77777777" w:rsidR="003D1B9C" w:rsidRDefault="003D1B9C" w:rsidP="008A01C4">
      <w:pPr>
        <w:spacing w:after="0" w:line="240" w:lineRule="auto"/>
      </w:pPr>
      <w:r>
        <w:separator/>
      </w:r>
    </w:p>
  </w:footnote>
  <w:footnote w:type="continuationSeparator" w:id="0">
    <w:p w14:paraId="09A5B7B4" w14:textId="77777777" w:rsidR="003D1B9C" w:rsidRDefault="003D1B9C" w:rsidP="008A01C4">
      <w:pPr>
        <w:spacing w:after="0" w:line="240" w:lineRule="auto"/>
      </w:pPr>
      <w:r>
        <w:continuationSeparator/>
      </w:r>
    </w:p>
  </w:footnote>
  <w:footnote w:type="continuationNotice" w:id="1">
    <w:p w14:paraId="53931C13" w14:textId="77777777" w:rsidR="003D1B9C" w:rsidRDefault="003D1B9C">
      <w:pPr>
        <w:spacing w:after="0" w:line="240" w:lineRule="auto"/>
      </w:pPr>
    </w:p>
  </w:footnote>
  <w:footnote w:id="2">
    <w:p w14:paraId="3466FAF6" w14:textId="54E1017B" w:rsidR="00E1308A" w:rsidRDefault="00E1308A">
      <w:pPr>
        <w:pStyle w:val="a5"/>
      </w:pPr>
      <w:r>
        <w:rPr>
          <w:rStyle w:val="a7"/>
        </w:rPr>
        <w:footnoteRef/>
      </w:r>
      <w:r>
        <w:rPr>
          <w:rtl/>
        </w:rPr>
        <w:t xml:space="preserve"> </w:t>
      </w:r>
      <w:r>
        <w:rPr>
          <w:rFonts w:hint="cs"/>
          <w:rtl/>
        </w:rPr>
        <w:t>סימן - לזמן.</w:t>
      </w:r>
      <w:r w:rsidR="0028361F">
        <w:rPr>
          <w:rFonts w:hint="cs"/>
          <w:rtl/>
        </w:rPr>
        <w:t xml:space="preserve"> וכן - ל</w:t>
      </w:r>
      <w:r w:rsidR="00F11E27">
        <w:rPr>
          <w:rFonts w:hint="cs"/>
          <w:rtl/>
        </w:rPr>
        <w:t>הודיע זמן.</w:t>
      </w:r>
    </w:p>
  </w:footnote>
  <w:footnote w:id="3">
    <w:p w14:paraId="16644EC1" w14:textId="06E30DCB" w:rsidR="00403A76" w:rsidRDefault="00403A76">
      <w:pPr>
        <w:pStyle w:val="a5"/>
      </w:pPr>
      <w:r>
        <w:rPr>
          <w:rStyle w:val="a7"/>
        </w:rPr>
        <w:footnoteRef/>
      </w:r>
      <w:r>
        <w:rPr>
          <w:rtl/>
        </w:rPr>
        <w:t xml:space="preserve"> </w:t>
      </w:r>
      <w:r>
        <w:rPr>
          <w:rFonts w:cs="Arial"/>
          <w:rtl/>
        </w:rPr>
        <w:t>ומיהו אם הודיעה מתחלה שאינו נושא אותה אלא לימים ידועים מותר והכי מייתי התם עובדי מכמה רבנן דהוו עבדי הכי</w:t>
      </w:r>
      <w:r>
        <w:rPr>
          <w:rFonts w:cs="Arial" w:hint="cs"/>
          <w:rtl/>
        </w:rPr>
        <w:t>, ב"י.</w:t>
      </w:r>
    </w:p>
  </w:footnote>
  <w:footnote w:id="4">
    <w:p w14:paraId="34AE70B1" w14:textId="5C551EAD" w:rsidR="00403A76" w:rsidRDefault="00403A76">
      <w:pPr>
        <w:pStyle w:val="a5"/>
        <w:rPr>
          <w:rtl/>
        </w:rPr>
      </w:pPr>
      <w:r>
        <w:rPr>
          <w:rStyle w:val="a7"/>
        </w:rPr>
        <w:footnoteRef/>
      </w:r>
      <w:r>
        <w:rPr>
          <w:rtl/>
        </w:rPr>
        <w:t xml:space="preserve"> </w:t>
      </w:r>
      <w:r w:rsidRPr="00A9220D">
        <w:rPr>
          <w:rFonts w:cs="Arial"/>
          <w:rtl/>
        </w:rPr>
        <w:t>אפשר שאם הודיע' שדעתו לגרשה לאחר זמן אין בזה איסור כמו שנתבאר בסעיף א' ולא קרינן בה והוא יושב לבטח אתך דהא הודיעה</w:t>
      </w:r>
      <w:r>
        <w:rPr>
          <w:rFonts w:cs="Arial" w:hint="cs"/>
          <w:rtl/>
        </w:rPr>
        <w:t>.</w:t>
      </w:r>
      <w:r w:rsidRPr="00A9220D">
        <w:rPr>
          <w:rFonts w:cs="Arial"/>
          <w:rtl/>
        </w:rPr>
        <w:t xml:space="preserve"> ומיהו יש לחלק דשאני אם בתחלה נתרצית להיות אצלו לזמן מוגבל סברה וקבלה אבל כשהודיעה אח"כ שדעתו לגרשה מה לה לעשות ולבה מצטערת בקרב</w:t>
      </w:r>
      <w:r>
        <w:rPr>
          <w:rFonts w:cs="Arial" w:hint="cs"/>
          <w:rtl/>
        </w:rPr>
        <w:t>ה</w:t>
      </w:r>
      <w:r w:rsidRPr="00A9220D">
        <w:rPr>
          <w:rFonts w:cs="Arial"/>
          <w:rtl/>
        </w:rPr>
        <w:t xml:space="preserve"> וקרינן ביה אל תחרוש על רעיך רעה</w:t>
      </w:r>
      <w:r>
        <w:rPr>
          <w:rFonts w:cs="Arial" w:hint="cs"/>
          <w:rtl/>
        </w:rPr>
        <w:t>.</w:t>
      </w:r>
      <w:r w:rsidRPr="00A9220D">
        <w:rPr>
          <w:rFonts w:cs="Arial"/>
          <w:rtl/>
        </w:rPr>
        <w:t xml:space="preserve"> ומלשון יושבת תחתיו ומשמשתו משמע דהיינו שבא עלי' הוא דאיכא איסורא דאל תחרוש אבל אם אינו בא עליה ליכא איסורא אם בדעתו לגרשה אף על פי שהיא יושבת לבטח אתו</w:t>
      </w:r>
      <w:r>
        <w:rPr>
          <w:rFonts w:cs="Arial" w:hint="cs"/>
          <w:rtl/>
        </w:rPr>
        <w:t>,</w:t>
      </w:r>
      <w:r w:rsidRPr="00A9220D">
        <w:rPr>
          <w:rFonts w:cs="Arial"/>
          <w:rtl/>
        </w:rPr>
        <w:t xml:space="preserve"> ומיהו יש לדחות</w:t>
      </w:r>
      <w:r>
        <w:rPr>
          <w:rFonts w:hint="cs"/>
          <w:rtl/>
        </w:rPr>
        <w:t xml:space="preserve">, ח"מ (סק"א). והב"ש (סק"א) </w:t>
      </w:r>
      <w:r>
        <w:rPr>
          <w:rFonts w:cs="Arial" w:hint="cs"/>
          <w:rtl/>
        </w:rPr>
        <w:t>גם כן כתב ד</w:t>
      </w:r>
      <w:r w:rsidRPr="00FE6A9F">
        <w:rPr>
          <w:rFonts w:cs="Arial"/>
          <w:rtl/>
        </w:rPr>
        <w:t>כשלא בא עליה י"ל דליכא איסור</w:t>
      </w:r>
      <w:r>
        <w:rPr>
          <w:rFonts w:cs="Arial" w:hint="cs"/>
          <w:rtl/>
        </w:rPr>
        <w:t>.</w:t>
      </w:r>
    </w:p>
  </w:footnote>
  <w:footnote w:id="5">
    <w:p w14:paraId="32E85FEF" w14:textId="11264941" w:rsidR="00E62E2E" w:rsidRDefault="00E62E2E">
      <w:pPr>
        <w:pStyle w:val="a5"/>
      </w:pPr>
      <w:r>
        <w:rPr>
          <w:rStyle w:val="a7"/>
        </w:rPr>
        <w:footnoteRef/>
      </w:r>
      <w:r>
        <w:rPr>
          <w:rtl/>
        </w:rPr>
        <w:t xml:space="preserve"> </w:t>
      </w:r>
      <w:r>
        <w:rPr>
          <w:rFonts w:hint="cs"/>
          <w:rtl/>
        </w:rPr>
        <w:t>סימן - צאי צרה צרורה.</w:t>
      </w:r>
    </w:p>
  </w:footnote>
  <w:footnote w:id="6">
    <w:p w14:paraId="73EE4552" w14:textId="10BDB8F6" w:rsidR="00403A76" w:rsidRDefault="00403A76">
      <w:pPr>
        <w:pStyle w:val="a5"/>
      </w:pPr>
      <w:r>
        <w:rPr>
          <w:rStyle w:val="a7"/>
        </w:rPr>
        <w:footnoteRef/>
      </w:r>
      <w:r>
        <w:rPr>
          <w:rtl/>
        </w:rPr>
        <w:t xml:space="preserve"> </w:t>
      </w:r>
      <w:r w:rsidRPr="001E1257">
        <w:rPr>
          <w:rFonts w:cs="Arial"/>
          <w:rtl/>
        </w:rPr>
        <w:t>לב"ה משמע להו או ערוה או שאר דבר סרחון</w:t>
      </w:r>
      <w:r>
        <w:rPr>
          <w:rFonts w:cs="Arial" w:hint="cs"/>
          <w:rtl/>
        </w:rPr>
        <w:t>, רש"י.</w:t>
      </w:r>
    </w:p>
  </w:footnote>
  <w:footnote w:id="7">
    <w:p w14:paraId="57BD5CB9" w14:textId="308A9ED5" w:rsidR="00403A76" w:rsidRDefault="00403A76">
      <w:pPr>
        <w:pStyle w:val="a5"/>
      </w:pPr>
      <w:r>
        <w:rPr>
          <w:rStyle w:val="a7"/>
        </w:rPr>
        <w:footnoteRef/>
      </w:r>
      <w:r>
        <w:rPr>
          <w:rtl/>
        </w:rPr>
        <w:t xml:space="preserve"> </w:t>
      </w:r>
      <w:r w:rsidRPr="001E1257">
        <w:rPr>
          <w:rFonts w:cs="Arial"/>
          <w:rtl/>
        </w:rPr>
        <w:t>אפי' לא מצא בה לא ערוה ולא דבר</w:t>
      </w:r>
      <w:r>
        <w:rPr>
          <w:rFonts w:cs="Arial" w:hint="cs"/>
          <w:rtl/>
        </w:rPr>
        <w:t>, רש"י.</w:t>
      </w:r>
    </w:p>
  </w:footnote>
  <w:footnote w:id="8">
    <w:p w14:paraId="3A3CB620" w14:textId="377F2A8B" w:rsidR="00403A76" w:rsidRDefault="00403A76">
      <w:pPr>
        <w:pStyle w:val="a5"/>
      </w:pPr>
      <w:r>
        <w:rPr>
          <w:rStyle w:val="a7"/>
        </w:rPr>
        <w:footnoteRef/>
      </w:r>
      <w:r>
        <w:rPr>
          <w:rtl/>
        </w:rPr>
        <w:t xml:space="preserve"> </w:t>
      </w:r>
      <w:r w:rsidRPr="00017E97">
        <w:rPr>
          <w:rFonts w:cs="Arial"/>
          <w:rtl/>
        </w:rPr>
        <w:t>היוצאת מבעלה מפני דבר ולא מפני ערוה הוא דקאמר רחמנא מותרת לינשא לאחר כדכתיב והיתה לאיש אחר אבל היוצאת משום ערוה תהא אסורה לכל</w:t>
      </w:r>
      <w:r>
        <w:rPr>
          <w:rFonts w:cs="Arial" w:hint="cs"/>
          <w:rtl/>
        </w:rPr>
        <w:t>, רש"י.</w:t>
      </w:r>
    </w:p>
  </w:footnote>
  <w:footnote w:id="9">
    <w:p w14:paraId="3F717705" w14:textId="29A7FF80" w:rsidR="00403A76" w:rsidRDefault="00403A76">
      <w:pPr>
        <w:pStyle w:val="a5"/>
      </w:pPr>
      <w:r>
        <w:rPr>
          <w:rStyle w:val="a7"/>
        </w:rPr>
        <w:footnoteRef/>
      </w:r>
      <w:r>
        <w:rPr>
          <w:rtl/>
        </w:rPr>
        <w:t xml:space="preserve"> </w:t>
      </w:r>
      <w:r w:rsidRPr="00017E97">
        <w:rPr>
          <w:rFonts w:cs="Arial"/>
          <w:rtl/>
        </w:rPr>
        <w:t>ברורים</w:t>
      </w:r>
      <w:r>
        <w:rPr>
          <w:rFonts w:cs="Arial" w:hint="cs"/>
          <w:rtl/>
        </w:rPr>
        <w:t>,</w:t>
      </w:r>
      <w:r w:rsidRPr="00017E97">
        <w:rPr>
          <w:rFonts w:cs="Arial"/>
          <w:rtl/>
        </w:rPr>
        <w:t xml:space="preserve"> אינה נאסרת עליו משום ערוה אלא בעדות ברורה</w:t>
      </w:r>
      <w:r>
        <w:rPr>
          <w:rFonts w:cs="Arial" w:hint="cs"/>
          <w:rtl/>
        </w:rPr>
        <w:t>, רש"י.</w:t>
      </w:r>
    </w:p>
  </w:footnote>
  <w:footnote w:id="10">
    <w:p w14:paraId="2EC197B5" w14:textId="06600BD3" w:rsidR="00403A76" w:rsidRDefault="00403A76">
      <w:pPr>
        <w:pStyle w:val="a5"/>
        <w:rPr>
          <w:rtl/>
        </w:rPr>
      </w:pPr>
      <w:r>
        <w:rPr>
          <w:rStyle w:val="a7"/>
        </w:rPr>
        <w:footnoteRef/>
      </w:r>
      <w:r>
        <w:rPr>
          <w:rtl/>
        </w:rPr>
        <w:t xml:space="preserve"> </w:t>
      </w:r>
      <w:r w:rsidRPr="00017E97">
        <w:rPr>
          <w:rFonts w:cs="Arial"/>
          <w:rtl/>
        </w:rPr>
        <w:t>דהא על כרחינו האי דבר מפקיתו ליה לעדות כדמפרש ליה ואזיל</w:t>
      </w:r>
      <w:r>
        <w:rPr>
          <w:rFonts w:hint="cs"/>
          <w:rtl/>
        </w:rPr>
        <w:t>, רש"י.</w:t>
      </w:r>
    </w:p>
  </w:footnote>
  <w:footnote w:id="11">
    <w:p w14:paraId="2D57EB3B" w14:textId="0E4AC464" w:rsidR="00403A76" w:rsidRDefault="00403A76">
      <w:pPr>
        <w:pStyle w:val="a5"/>
      </w:pPr>
      <w:r>
        <w:rPr>
          <w:rStyle w:val="a7"/>
        </w:rPr>
        <w:footnoteRef/>
      </w:r>
      <w:r>
        <w:rPr>
          <w:rtl/>
        </w:rPr>
        <w:t xml:space="preserve"> </w:t>
      </w:r>
      <w:r w:rsidRPr="00017E97">
        <w:rPr>
          <w:rFonts w:cs="Arial"/>
          <w:rtl/>
        </w:rPr>
        <w:t>דמשמע דמצא בה ערוה בעדים ברורים</w:t>
      </w:r>
      <w:r>
        <w:rPr>
          <w:rFonts w:cs="Arial" w:hint="cs"/>
          <w:rtl/>
        </w:rPr>
        <w:t>, רש"י.</w:t>
      </w:r>
    </w:p>
  </w:footnote>
  <w:footnote w:id="12">
    <w:p w14:paraId="38F2381E" w14:textId="1163FC32" w:rsidR="00403A76" w:rsidRDefault="00403A76">
      <w:pPr>
        <w:pStyle w:val="a5"/>
        <w:rPr>
          <w:rtl/>
        </w:rPr>
      </w:pPr>
      <w:r>
        <w:rPr>
          <w:rStyle w:val="a7"/>
        </w:rPr>
        <w:footnoteRef/>
      </w:r>
      <w:r>
        <w:rPr>
          <w:rtl/>
        </w:rPr>
        <w:t xml:space="preserve"> </w:t>
      </w:r>
      <w:r w:rsidRPr="00017E97">
        <w:rPr>
          <w:rFonts w:cs="Arial"/>
          <w:rtl/>
        </w:rPr>
        <w:t>נמי ודאי מיבעי להו להכי לענין לכופו להוציא דלא כייפינן ליה להוציא אלא בעדות ברורה מיהו להכי כתיב ערות דבר ולא כתיב ערוה בדבר ולא כתיב נמי או ערות או דבר כי היכי דלידרשיה בתרוייהו דמשתמע ערוה או דבר ומשמע נמי ערוה בדבר</w:t>
      </w:r>
      <w:r>
        <w:rPr>
          <w:rFonts w:hint="cs"/>
          <w:rtl/>
        </w:rPr>
        <w:t>, רש"י.</w:t>
      </w:r>
    </w:p>
  </w:footnote>
  <w:footnote w:id="13">
    <w:p w14:paraId="3DDAB484" w14:textId="7441BDE7" w:rsidR="00403A76" w:rsidRDefault="00403A76">
      <w:pPr>
        <w:pStyle w:val="a5"/>
      </w:pPr>
      <w:r>
        <w:rPr>
          <w:rStyle w:val="a7"/>
        </w:rPr>
        <w:footnoteRef/>
      </w:r>
      <w:r>
        <w:rPr>
          <w:rtl/>
        </w:rPr>
        <w:t xml:space="preserve"> </w:t>
      </w:r>
      <w:r w:rsidRPr="00256129">
        <w:rPr>
          <w:rFonts w:cs="Arial"/>
          <w:rtl/>
        </w:rPr>
        <w:t>לב"ה וגירשה</w:t>
      </w:r>
      <w:r>
        <w:rPr>
          <w:rFonts w:cs="Arial" w:hint="cs"/>
          <w:rtl/>
        </w:rPr>
        <w:t>, רש"י.</w:t>
      </w:r>
    </w:p>
  </w:footnote>
  <w:footnote w:id="14">
    <w:p w14:paraId="5BC53260" w14:textId="32F9158E" w:rsidR="00403A76" w:rsidRDefault="00403A76">
      <w:pPr>
        <w:pStyle w:val="a5"/>
        <w:rPr>
          <w:rtl/>
        </w:rPr>
      </w:pPr>
      <w:r>
        <w:rPr>
          <w:rStyle w:val="a7"/>
        </w:rPr>
        <w:footnoteRef/>
      </w:r>
      <w:r>
        <w:rPr>
          <w:rtl/>
        </w:rPr>
        <w:t xml:space="preserve"> </w:t>
      </w:r>
      <w:r w:rsidRPr="00256129">
        <w:rPr>
          <w:rFonts w:cs="Arial"/>
          <w:rtl/>
        </w:rPr>
        <w:t>מי כייפינן ליה לאהדורה או לא</w:t>
      </w:r>
      <w:r>
        <w:rPr>
          <w:rFonts w:hint="cs"/>
          <w:rtl/>
        </w:rPr>
        <w:t>, רש"י.</w:t>
      </w:r>
    </w:p>
  </w:footnote>
  <w:footnote w:id="15">
    <w:p w14:paraId="33711248" w14:textId="5A591613" w:rsidR="00403A76" w:rsidRDefault="00403A76">
      <w:pPr>
        <w:pStyle w:val="a5"/>
      </w:pPr>
      <w:r>
        <w:rPr>
          <w:rStyle w:val="a7"/>
        </w:rPr>
        <w:footnoteRef/>
      </w:r>
      <w:r>
        <w:rPr>
          <w:rtl/>
        </w:rPr>
        <w:t xml:space="preserve"> </w:t>
      </w:r>
      <w:r>
        <w:rPr>
          <w:rFonts w:cs="Arial" w:hint="cs"/>
          <w:rtl/>
        </w:rPr>
        <w:t>והטור לא גרס בדברי הרמב"ם את התי</w:t>
      </w:r>
      <w:r w:rsidR="00DD3F4E">
        <w:rPr>
          <w:rFonts w:cs="Arial" w:hint="cs"/>
          <w:rtl/>
        </w:rPr>
        <w:t>ב</w:t>
      </w:r>
      <w:r>
        <w:rPr>
          <w:rFonts w:cs="Arial" w:hint="cs"/>
          <w:rtl/>
        </w:rPr>
        <w:t xml:space="preserve">ה </w:t>
      </w:r>
      <w:r w:rsidR="00DD3F4E">
        <w:rPr>
          <w:rFonts w:cs="Arial" w:hint="cs"/>
          <w:rtl/>
        </w:rPr>
        <w:t>"</w:t>
      </w:r>
      <w:r>
        <w:rPr>
          <w:rFonts w:cs="Arial" w:hint="cs"/>
          <w:rtl/>
        </w:rPr>
        <w:t>שני</w:t>
      </w:r>
      <w:r w:rsidR="00DD3F4E">
        <w:rPr>
          <w:rFonts w:cs="Arial" w:hint="cs"/>
          <w:rtl/>
        </w:rPr>
        <w:t>י</w:t>
      </w:r>
      <w:r>
        <w:rPr>
          <w:rFonts w:cs="Arial" w:hint="cs"/>
          <w:rtl/>
        </w:rPr>
        <w:t>ה</w:t>
      </w:r>
      <w:r w:rsidR="00DD3F4E">
        <w:rPr>
          <w:rFonts w:cs="Arial" w:hint="cs"/>
          <w:rtl/>
        </w:rPr>
        <w:t>"</w:t>
      </w:r>
      <w:r>
        <w:rPr>
          <w:rFonts w:cs="Arial" w:hint="cs"/>
          <w:rtl/>
        </w:rPr>
        <w:t>, ולכן חלק על הרמב"ם. ו</w:t>
      </w:r>
      <w:r>
        <w:rPr>
          <w:rFonts w:hint="cs"/>
          <w:rtl/>
        </w:rPr>
        <w:t xml:space="preserve">כתב הב"י דנוסחא משובשת </w:t>
      </w:r>
      <w:r>
        <w:rPr>
          <w:rFonts w:cs="Arial"/>
          <w:rtl/>
        </w:rPr>
        <w:t>נזדמנה לו בספרי הרמב"ם</w:t>
      </w:r>
      <w:r>
        <w:rPr>
          <w:rFonts w:cs="Arial" w:hint="cs"/>
          <w:rtl/>
        </w:rPr>
        <w:t>.</w:t>
      </w:r>
    </w:p>
  </w:footnote>
  <w:footnote w:id="16">
    <w:p w14:paraId="2EF0400D" w14:textId="40A8E933" w:rsidR="00403A76" w:rsidRDefault="00403A76">
      <w:pPr>
        <w:pStyle w:val="a5"/>
      </w:pPr>
      <w:r>
        <w:rPr>
          <w:rStyle w:val="a7"/>
        </w:rPr>
        <w:footnoteRef/>
      </w:r>
      <w:r>
        <w:rPr>
          <w:rtl/>
        </w:rPr>
        <w:t xml:space="preserve"> </w:t>
      </w:r>
      <w:r>
        <w:rPr>
          <w:rFonts w:cs="Arial"/>
          <w:rtl/>
        </w:rPr>
        <w:t xml:space="preserve">נראה מדבריו דהלכה כבית הלל מדכתב שניה </w:t>
      </w:r>
      <w:r w:rsidR="00AB59F1">
        <w:rPr>
          <w:rFonts w:cs="Arial" w:hint="cs"/>
          <w:rtl/>
        </w:rPr>
        <w:t>"</w:t>
      </w:r>
      <w:r>
        <w:rPr>
          <w:rFonts w:cs="Arial"/>
          <w:rtl/>
        </w:rPr>
        <w:t>אם שנאה ישלחנה</w:t>
      </w:r>
      <w:r w:rsidR="00AB59F1">
        <w:rPr>
          <w:rFonts w:cs="Arial" w:hint="cs"/>
          <w:rtl/>
        </w:rPr>
        <w:t>"</w:t>
      </w:r>
      <w:r>
        <w:rPr>
          <w:rFonts w:cs="Arial"/>
          <w:rtl/>
        </w:rPr>
        <w:t xml:space="preserve"> אלמא דלא בעינן דבר ערוה כבית שמאי</w:t>
      </w:r>
      <w:r>
        <w:rPr>
          <w:rFonts w:cs="Arial" w:hint="cs"/>
          <w:rtl/>
        </w:rPr>
        <w:t>.</w:t>
      </w:r>
      <w:r>
        <w:rPr>
          <w:rFonts w:cs="Arial"/>
          <w:rtl/>
        </w:rPr>
        <w:t xml:space="preserve"> וגם </w:t>
      </w:r>
      <w:r w:rsidR="00AB59F1">
        <w:rPr>
          <w:rFonts w:cs="Arial" w:hint="cs"/>
          <w:rtl/>
        </w:rPr>
        <w:t>"</w:t>
      </w:r>
      <w:r>
        <w:rPr>
          <w:rFonts w:cs="Arial"/>
          <w:rtl/>
        </w:rPr>
        <w:t>שנאה</w:t>
      </w:r>
      <w:r w:rsidR="00AB59F1">
        <w:rPr>
          <w:rFonts w:cs="Arial" w:hint="cs"/>
          <w:rtl/>
        </w:rPr>
        <w:t>"</w:t>
      </w:r>
      <w:r>
        <w:rPr>
          <w:rFonts w:cs="Arial"/>
          <w:rtl/>
        </w:rPr>
        <w:t xml:space="preserve"> משמע על ידי שום דבר שעשתה</w:t>
      </w:r>
      <w:r>
        <w:rPr>
          <w:rFonts w:cs="Arial" w:hint="cs"/>
          <w:rtl/>
        </w:rPr>
        <w:t>.</w:t>
      </w:r>
      <w:r>
        <w:rPr>
          <w:rFonts w:cs="Arial"/>
          <w:rtl/>
        </w:rPr>
        <w:t xml:space="preserve"> דעל ידי שמצא אחרת נאה הימנה אין לשנאותה</w:t>
      </w:r>
      <w:r>
        <w:rPr>
          <w:rFonts w:cs="Arial" w:hint="cs"/>
          <w:rtl/>
        </w:rPr>
        <w:t>, ב"י.</w:t>
      </w:r>
    </w:p>
  </w:footnote>
  <w:footnote w:id="17">
    <w:p w14:paraId="74B21DAB" w14:textId="77777777" w:rsidR="00403A76" w:rsidRDefault="00403A76" w:rsidP="00F956E1">
      <w:pPr>
        <w:pStyle w:val="a5"/>
        <w:rPr>
          <w:rtl/>
        </w:rPr>
      </w:pPr>
      <w:r>
        <w:rPr>
          <w:rStyle w:val="a7"/>
        </w:rPr>
        <w:footnoteRef/>
      </w:r>
      <w:r>
        <w:rPr>
          <w:rtl/>
        </w:rPr>
        <w:t xml:space="preserve"> </w:t>
      </w:r>
      <w:r>
        <w:rPr>
          <w:rFonts w:hint="cs"/>
          <w:rtl/>
        </w:rPr>
        <w:t xml:space="preserve">הביאוהו הב"י (בבדה"ב) </w:t>
      </w:r>
      <w:r>
        <w:rPr>
          <w:rFonts w:cs="Arial" w:hint="cs"/>
          <w:rtl/>
        </w:rPr>
        <w:t xml:space="preserve">והדרכ"מ </w:t>
      </w:r>
      <w:r w:rsidRPr="00EC459D">
        <w:rPr>
          <w:rFonts w:cs="Arial"/>
          <w:rtl/>
        </w:rPr>
        <w:t>(</w:t>
      </w:r>
      <w:r>
        <w:rPr>
          <w:rFonts w:cs="Arial" w:hint="cs"/>
          <w:rtl/>
        </w:rPr>
        <w:t xml:space="preserve">אות </w:t>
      </w:r>
      <w:r w:rsidRPr="00EC459D">
        <w:rPr>
          <w:rFonts w:cs="Arial"/>
          <w:rtl/>
        </w:rPr>
        <w:t>א*</w:t>
      </w:r>
      <w:r>
        <w:rPr>
          <w:rFonts w:cs="Arial" w:hint="cs"/>
          <w:rtl/>
        </w:rPr>
        <w:t>, ו</w:t>
      </w:r>
      <w:r w:rsidRPr="00EC459D">
        <w:rPr>
          <w:rFonts w:cs="Arial"/>
          <w:rtl/>
        </w:rPr>
        <w:t>ביו</w:t>
      </w:r>
      <w:r>
        <w:rPr>
          <w:rFonts w:cs="Arial" w:hint="cs"/>
          <w:rtl/>
        </w:rPr>
        <w:t>"ד</w:t>
      </w:r>
      <w:r w:rsidRPr="00EC459D">
        <w:rPr>
          <w:rFonts w:cs="Arial"/>
          <w:rtl/>
        </w:rPr>
        <w:t xml:space="preserve"> סי</w:t>
      </w:r>
      <w:r>
        <w:rPr>
          <w:rFonts w:cs="Arial" w:hint="cs"/>
          <w:rtl/>
        </w:rPr>
        <w:t>'</w:t>
      </w:r>
      <w:r w:rsidRPr="00EC459D">
        <w:rPr>
          <w:rFonts w:cs="Arial"/>
          <w:rtl/>
        </w:rPr>
        <w:t xml:space="preserve"> רכח בד</w:t>
      </w:r>
      <w:r>
        <w:rPr>
          <w:rFonts w:cs="Arial" w:hint="cs"/>
          <w:rtl/>
        </w:rPr>
        <w:t>רכמ"א</w:t>
      </w:r>
      <w:r w:rsidRPr="00EC459D">
        <w:rPr>
          <w:rFonts w:cs="Arial"/>
          <w:rtl/>
        </w:rPr>
        <w:t xml:space="preserve"> סע</w:t>
      </w:r>
      <w:r>
        <w:rPr>
          <w:rFonts w:cs="Arial" w:hint="cs"/>
          <w:rtl/>
        </w:rPr>
        <w:t>'</w:t>
      </w:r>
      <w:r w:rsidRPr="00EC459D">
        <w:rPr>
          <w:rFonts w:cs="Arial"/>
          <w:rtl/>
        </w:rPr>
        <w:t xml:space="preserve"> כח)</w:t>
      </w:r>
      <w:r>
        <w:rPr>
          <w:rFonts w:cs="Arial" w:hint="cs"/>
          <w:rtl/>
        </w:rPr>
        <w:t>.</w:t>
      </w:r>
    </w:p>
  </w:footnote>
  <w:footnote w:id="18">
    <w:p w14:paraId="1CF9F80B" w14:textId="16261731" w:rsidR="00403A76" w:rsidRDefault="00403A76">
      <w:pPr>
        <w:pStyle w:val="a5"/>
      </w:pPr>
      <w:r>
        <w:rPr>
          <w:rStyle w:val="a7"/>
        </w:rPr>
        <w:footnoteRef/>
      </w:r>
      <w:r>
        <w:rPr>
          <w:rtl/>
        </w:rPr>
        <w:t xml:space="preserve"> </w:t>
      </w:r>
      <w:r w:rsidRPr="00005321">
        <w:rPr>
          <w:rFonts w:cs="Arial"/>
          <w:rtl/>
        </w:rPr>
        <w:t xml:space="preserve">ואם לא מצא בה לא ערוה ולא דבר </w:t>
      </w:r>
      <w:r>
        <w:rPr>
          <w:rFonts w:cs="Arial" w:hint="cs"/>
          <w:rtl/>
        </w:rPr>
        <w:t xml:space="preserve">- </w:t>
      </w:r>
      <w:r w:rsidRPr="00005321">
        <w:rPr>
          <w:rFonts w:cs="Arial"/>
          <w:rtl/>
        </w:rPr>
        <w:t>כפינן ליה שאל יגרש</w:t>
      </w:r>
      <w:r>
        <w:rPr>
          <w:rFonts w:cs="Arial" w:hint="cs"/>
          <w:rtl/>
        </w:rPr>
        <w:t>,</w:t>
      </w:r>
      <w:r w:rsidRPr="00005321">
        <w:rPr>
          <w:rFonts w:cs="Arial"/>
          <w:rtl/>
        </w:rPr>
        <w:t xml:space="preserve"> וכ"כ ב"ח</w:t>
      </w:r>
      <w:r>
        <w:rPr>
          <w:rFonts w:cs="Arial" w:hint="cs"/>
          <w:rtl/>
        </w:rPr>
        <w:t>.</w:t>
      </w:r>
      <w:r w:rsidRPr="00005321">
        <w:rPr>
          <w:rFonts w:cs="Arial"/>
          <w:rtl/>
        </w:rPr>
        <w:t xml:space="preserve"> לכן מסתבר דמוטל עליהם להזהיר אותו שאל יעבור על התורה דכתיב כי מצא בה ערות דבר</w:t>
      </w:r>
      <w:r>
        <w:rPr>
          <w:rFonts w:hint="cs"/>
          <w:rtl/>
        </w:rPr>
        <w:t xml:space="preserve">... </w:t>
      </w:r>
      <w:r w:rsidRPr="00005321">
        <w:rPr>
          <w:rFonts w:cs="Arial"/>
          <w:rtl/>
        </w:rPr>
        <w:t>ואם עבר וגירש אפי' בלא דבר</w:t>
      </w:r>
      <w:r>
        <w:rPr>
          <w:rFonts w:cs="Arial" w:hint="cs"/>
          <w:rtl/>
        </w:rPr>
        <w:t xml:space="preserve"> -</w:t>
      </w:r>
      <w:r w:rsidRPr="00005321">
        <w:rPr>
          <w:rFonts w:cs="Arial"/>
          <w:rtl/>
        </w:rPr>
        <w:t xml:space="preserve"> לא כפינן ליה להחזירה</w:t>
      </w:r>
      <w:r>
        <w:rPr>
          <w:rFonts w:cs="Arial" w:hint="cs"/>
          <w:rtl/>
        </w:rPr>
        <w:t>, ב"ש (סק"ב).</w:t>
      </w:r>
    </w:p>
  </w:footnote>
  <w:footnote w:id="19">
    <w:p w14:paraId="58DBCBAF" w14:textId="418C6B15" w:rsidR="00403A76" w:rsidRDefault="00403A76">
      <w:pPr>
        <w:pStyle w:val="a5"/>
      </w:pPr>
      <w:r>
        <w:rPr>
          <w:rStyle w:val="a7"/>
        </w:rPr>
        <w:footnoteRef/>
      </w:r>
      <w:r>
        <w:rPr>
          <w:rtl/>
        </w:rPr>
        <w:t xml:space="preserve"> </w:t>
      </w:r>
      <w:r w:rsidRPr="00EF759F">
        <w:rPr>
          <w:rFonts w:cs="Arial"/>
          <w:rtl/>
        </w:rPr>
        <w:t>כך הוא ברמב"ם והלשון מגומגם דבתחלה משמע דאיסו</w:t>
      </w:r>
      <w:r>
        <w:rPr>
          <w:rFonts w:cs="Arial" w:hint="cs"/>
          <w:rtl/>
        </w:rPr>
        <w:t>ר</w:t>
      </w:r>
      <w:r w:rsidRPr="00EF759F">
        <w:rPr>
          <w:rFonts w:cs="Arial"/>
          <w:rtl/>
        </w:rPr>
        <w:t xml:space="preserve"> יש בדבר המגרש אשתו ראשונה כשלא מצא בה ערות דבר דהא הנביא מתאונן על זה וזאת שנית תעשו כסות דמעה וגו' אשת נעוריך אשר בגדת בה [מלאכי ב']</w:t>
      </w:r>
      <w:r>
        <w:rPr>
          <w:rFonts w:cs="Arial" w:hint="cs"/>
          <w:rtl/>
        </w:rPr>
        <w:t>.</w:t>
      </w:r>
      <w:r w:rsidRPr="00EF759F">
        <w:rPr>
          <w:rFonts w:cs="Arial"/>
          <w:rtl/>
        </w:rPr>
        <w:t xml:space="preserve"> ואיך קאמר ואין ראוי למהר לשלח דמשמע דאין איסור בדבר רק שאין ראוי מצד דרך ארץ</w:t>
      </w:r>
      <w:r>
        <w:rPr>
          <w:rFonts w:cs="Arial" w:hint="cs"/>
          <w:rtl/>
        </w:rPr>
        <w:t>.</w:t>
      </w:r>
      <w:r w:rsidRPr="00EF759F">
        <w:rPr>
          <w:rFonts w:cs="Arial"/>
          <w:rtl/>
        </w:rPr>
        <w:t xml:space="preserve"> ואפשר שאף ברצון האשה שאז אין איסור בדבר מ"מ אין ראוי לעשות כן</w:t>
      </w:r>
      <w:r>
        <w:rPr>
          <w:rFonts w:cs="Arial" w:hint="cs"/>
          <w:rtl/>
        </w:rPr>
        <w:t xml:space="preserve"> </w:t>
      </w:r>
      <w:r w:rsidRPr="00F72BC7">
        <w:rPr>
          <w:rFonts w:cs="Arial" w:hint="cs"/>
          <w:sz w:val="16"/>
          <w:szCs w:val="16"/>
          <w:rtl/>
        </w:rPr>
        <w:t>{</w:t>
      </w:r>
      <w:r w:rsidRPr="00F72BC7">
        <w:rPr>
          <w:rFonts w:cs="Arial"/>
          <w:sz w:val="16"/>
          <w:szCs w:val="16"/>
          <w:rtl/>
        </w:rPr>
        <w:t>וכ</w:t>
      </w:r>
      <w:r w:rsidR="00315AC0">
        <w:rPr>
          <w:rFonts w:cs="Arial" w:hint="cs"/>
          <w:sz w:val="16"/>
          <w:szCs w:val="16"/>
          <w:rtl/>
        </w:rPr>
        <w:t>תב</w:t>
      </w:r>
      <w:r w:rsidRPr="00F72BC7">
        <w:rPr>
          <w:rFonts w:cs="Arial"/>
          <w:sz w:val="16"/>
          <w:szCs w:val="16"/>
          <w:rtl/>
        </w:rPr>
        <w:t xml:space="preserve"> בס' ב"מ </w:t>
      </w:r>
      <w:r>
        <w:rPr>
          <w:rFonts w:cs="Arial" w:hint="cs"/>
          <w:sz w:val="16"/>
          <w:szCs w:val="16"/>
          <w:rtl/>
        </w:rPr>
        <w:t>על דברי הח"מ הללו</w:t>
      </w:r>
      <w:r w:rsidR="00315AC0">
        <w:rPr>
          <w:rFonts w:cs="Arial" w:hint="cs"/>
          <w:sz w:val="16"/>
          <w:szCs w:val="16"/>
          <w:rtl/>
        </w:rPr>
        <w:t>:</w:t>
      </w:r>
      <w:r>
        <w:rPr>
          <w:rFonts w:cs="Arial" w:hint="cs"/>
          <w:sz w:val="16"/>
          <w:szCs w:val="16"/>
          <w:rtl/>
        </w:rPr>
        <w:t xml:space="preserve"> </w:t>
      </w:r>
      <w:r w:rsidRPr="00F72BC7">
        <w:rPr>
          <w:rFonts w:cs="Arial"/>
          <w:sz w:val="16"/>
          <w:szCs w:val="16"/>
          <w:rtl/>
        </w:rPr>
        <w:t>ויראה לע"ד דהיינו דוקא כשהוא תובע הגירושין בזה י"ל אף שהיא מתרצה ג"כ מ"מ לבה דוה אלא שאינה יכולה לסרב אבל כשהיא תובעת פשיטא שהיתר גמור הוא</w:t>
      </w:r>
      <w:r>
        <w:rPr>
          <w:rFonts w:cs="Arial" w:hint="cs"/>
          <w:sz w:val="16"/>
          <w:szCs w:val="16"/>
          <w:rtl/>
        </w:rPr>
        <w:t>, פת"ש [סק"ג]}</w:t>
      </w:r>
      <w:r>
        <w:rPr>
          <w:rFonts w:cs="Arial" w:hint="cs"/>
          <w:rtl/>
        </w:rPr>
        <w:t>.</w:t>
      </w:r>
      <w:r w:rsidRPr="00EF759F">
        <w:rPr>
          <w:rFonts w:cs="Arial"/>
          <w:rtl/>
        </w:rPr>
        <w:t xml:space="preserve"> או י"ל שאף אם מצא בה ערות דבר כגון שהעיד לה אחד שמצוה לגרשה לא יאמר אני מאמין לו ויגרשה מיד אלא יהיה מתון בדבר ואל ימהר לשלוח ויעשה חקירה יפה באולי לא יצטרך לגרשה</w:t>
      </w:r>
      <w:r>
        <w:rPr>
          <w:rFonts w:cs="Arial" w:hint="cs"/>
          <w:rtl/>
        </w:rPr>
        <w:t>, ח"מ (סק"ב).</w:t>
      </w:r>
      <w:r w:rsidRPr="00D74C30">
        <w:rPr>
          <w:rtl/>
        </w:rPr>
        <w:t xml:space="preserve"> </w:t>
      </w:r>
    </w:p>
  </w:footnote>
  <w:footnote w:id="20">
    <w:p w14:paraId="5FAC45E2" w14:textId="11243633" w:rsidR="00403A76" w:rsidRDefault="00403A76">
      <w:pPr>
        <w:pStyle w:val="a5"/>
      </w:pPr>
      <w:r>
        <w:rPr>
          <w:rStyle w:val="a7"/>
        </w:rPr>
        <w:footnoteRef/>
      </w:r>
      <w:r>
        <w:rPr>
          <w:rtl/>
        </w:rPr>
        <w:t xml:space="preserve"> </w:t>
      </w:r>
      <w:r w:rsidRPr="00EF759F">
        <w:rPr>
          <w:rFonts w:cs="Arial"/>
          <w:rtl/>
        </w:rPr>
        <w:t>אע</w:t>
      </w:r>
      <w:r>
        <w:rPr>
          <w:rFonts w:cs="Arial" w:hint="cs"/>
          <w:rtl/>
        </w:rPr>
        <w:t>"</w:t>
      </w:r>
      <w:r w:rsidRPr="00EF759F">
        <w:rPr>
          <w:rFonts w:cs="Arial"/>
          <w:rtl/>
        </w:rPr>
        <w:t>ג דקי"ל כב"ה אם פשעה נגדו כגון אם הקדיחה תבשילו ישלחנה</w:t>
      </w:r>
      <w:r>
        <w:rPr>
          <w:rFonts w:cs="Arial" w:hint="cs"/>
          <w:rtl/>
        </w:rPr>
        <w:t>,</w:t>
      </w:r>
      <w:r w:rsidRPr="00EF759F">
        <w:rPr>
          <w:rFonts w:cs="Arial"/>
          <w:rtl/>
        </w:rPr>
        <w:t xml:space="preserve"> מ"מ אין זה דרך מוסר רק אם שנאה בשביל זה</w:t>
      </w:r>
      <w:r>
        <w:rPr>
          <w:rFonts w:cs="Arial" w:hint="cs"/>
          <w:rtl/>
        </w:rPr>
        <w:t>,</w:t>
      </w:r>
      <w:r w:rsidRPr="00EF759F">
        <w:rPr>
          <w:rFonts w:cs="Arial"/>
          <w:rtl/>
        </w:rPr>
        <w:t xml:space="preserve"> אבל אם יכול להעביר על מדותיו הוא משובח</w:t>
      </w:r>
      <w:r>
        <w:rPr>
          <w:rFonts w:cs="Arial" w:hint="cs"/>
          <w:rtl/>
        </w:rPr>
        <w:t>.</w:t>
      </w:r>
      <w:r w:rsidRPr="00EF759F">
        <w:rPr>
          <w:rFonts w:cs="Arial"/>
          <w:rtl/>
        </w:rPr>
        <w:t xml:space="preserve"> וגם אפשר אתא לאורויי אף לא פשעה נגדו והוא שונא אותה מחמת שנמאסת בעיניו ומכ"ש אם יש לה איזה מום ע"ז ג"כ נאמר כי שנא שלח [מלאכי ב']</w:t>
      </w:r>
      <w:r>
        <w:rPr>
          <w:rFonts w:cs="Arial" w:hint="cs"/>
          <w:rtl/>
        </w:rPr>
        <w:t>,</w:t>
      </w:r>
      <w:r w:rsidRPr="00EF759F">
        <w:rPr>
          <w:rFonts w:cs="Arial"/>
          <w:rtl/>
        </w:rPr>
        <w:t xml:space="preserve"> רק שב"ה אורחא דמילתא נקטי שאין דרך להטיל שנאה על אשתו רק בפשעה אבל העיקר תלוי בשנאה כפשטא דקרא כי שנא שלח</w:t>
      </w:r>
      <w:r>
        <w:rPr>
          <w:rFonts w:cs="Arial" w:hint="cs"/>
          <w:rtl/>
        </w:rPr>
        <w:t xml:space="preserve">, </w:t>
      </w:r>
      <w:r w:rsidRPr="00C42755">
        <w:rPr>
          <w:rFonts w:cs="Arial" w:hint="cs"/>
          <w:b/>
          <w:bCs/>
          <w:rtl/>
        </w:rPr>
        <w:t>ח"מ</w:t>
      </w:r>
      <w:r>
        <w:rPr>
          <w:rFonts w:cs="Arial" w:hint="cs"/>
          <w:rtl/>
        </w:rPr>
        <w:t xml:space="preserve"> (סק"ג).</w:t>
      </w:r>
      <w:r w:rsidRPr="0022210A">
        <w:rPr>
          <w:rtl/>
        </w:rPr>
        <w:t xml:space="preserve"> </w:t>
      </w:r>
      <w:r>
        <w:rPr>
          <w:rFonts w:cs="Arial" w:hint="cs"/>
          <w:rtl/>
        </w:rPr>
        <w:t>ועוד</w:t>
      </w:r>
      <w:r w:rsidRPr="0022210A">
        <w:rPr>
          <w:rFonts w:cs="Arial"/>
          <w:rtl/>
        </w:rPr>
        <w:t xml:space="preserve"> י"ל </w:t>
      </w:r>
      <w:r>
        <w:rPr>
          <w:rFonts w:cs="Arial" w:hint="cs"/>
          <w:rtl/>
        </w:rPr>
        <w:t>ד</w:t>
      </w:r>
      <w:r w:rsidRPr="0022210A">
        <w:rPr>
          <w:rFonts w:cs="Arial"/>
          <w:rtl/>
        </w:rPr>
        <w:t>בזיווג א' אל יגרש אם לא עשתה דבר והוא שונא אותה</w:t>
      </w:r>
      <w:r>
        <w:rPr>
          <w:rFonts w:cs="Arial" w:hint="cs"/>
          <w:rtl/>
        </w:rPr>
        <w:t>,</w:t>
      </w:r>
      <w:r w:rsidRPr="0022210A">
        <w:rPr>
          <w:rFonts w:cs="Arial"/>
          <w:rtl/>
        </w:rPr>
        <w:t xml:space="preserve"> וזיווג שני אז אפילו בלא דבר רק שונא אות</w:t>
      </w:r>
      <w:r>
        <w:rPr>
          <w:rFonts w:cs="Arial" w:hint="cs"/>
          <w:rtl/>
        </w:rPr>
        <w:t xml:space="preserve">ה </w:t>
      </w:r>
      <w:r w:rsidRPr="0022210A">
        <w:rPr>
          <w:rFonts w:cs="Arial"/>
          <w:rtl/>
        </w:rPr>
        <w:t>ישלחנה</w:t>
      </w:r>
      <w:r>
        <w:rPr>
          <w:rFonts w:hint="cs"/>
          <w:rtl/>
        </w:rPr>
        <w:t xml:space="preserve">, </w:t>
      </w:r>
      <w:r w:rsidRPr="00C42755">
        <w:rPr>
          <w:rFonts w:hint="cs"/>
          <w:b/>
          <w:bCs/>
          <w:rtl/>
        </w:rPr>
        <w:t>ב"ש</w:t>
      </w:r>
      <w:r>
        <w:rPr>
          <w:rFonts w:hint="cs"/>
          <w:rtl/>
        </w:rPr>
        <w:t xml:space="preserve"> (סק"ד).</w:t>
      </w:r>
    </w:p>
  </w:footnote>
  <w:footnote w:id="21">
    <w:p w14:paraId="7E3717C1" w14:textId="70C12123" w:rsidR="00403A76" w:rsidRDefault="00403A76">
      <w:pPr>
        <w:pStyle w:val="a5"/>
        <w:rPr>
          <w:rtl/>
        </w:rPr>
      </w:pPr>
      <w:r>
        <w:rPr>
          <w:rStyle w:val="a7"/>
        </w:rPr>
        <w:footnoteRef/>
      </w:r>
      <w:r>
        <w:rPr>
          <w:rtl/>
        </w:rPr>
        <w:t xml:space="preserve"> </w:t>
      </w:r>
      <w:r w:rsidRPr="00054A1B">
        <w:rPr>
          <w:rFonts w:cs="Arial"/>
          <w:rtl/>
        </w:rPr>
        <w:t>שם (צ.) ויש לך שזבוב נופל לתוך תמחוי מוצצו וכו' שרואה את אשתו יוצאה וראשה פרוע וכו' זו מצוה מן התורה לגרשה שנאמר (דברים כד א) כי מצא בה ערות דבר</w:t>
      </w:r>
      <w:r>
        <w:rPr>
          <w:rFonts w:cs="Arial" w:hint="cs"/>
          <w:rtl/>
        </w:rPr>
        <w:t>.</w:t>
      </w:r>
      <w:r w:rsidRPr="00054A1B">
        <w:rPr>
          <w:rFonts w:cs="Arial"/>
          <w:rtl/>
        </w:rPr>
        <w:t xml:space="preserve"> ורבינו דלא נקט האי קרא ונקט במקומו גרש לץ ויצא מדון (משלי כב י)</w:t>
      </w:r>
      <w:r>
        <w:rPr>
          <w:rFonts w:cs="Arial" w:hint="cs"/>
          <w:rtl/>
        </w:rPr>
        <w:t>,</w:t>
      </w:r>
      <w:r w:rsidRPr="00054A1B">
        <w:rPr>
          <w:rFonts w:cs="Arial"/>
          <w:rtl/>
        </w:rPr>
        <w:t xml:space="preserve"> נראה דלא דק</w:t>
      </w:r>
      <w:r>
        <w:rPr>
          <w:rFonts w:cs="Arial" w:hint="cs"/>
          <w:rtl/>
        </w:rPr>
        <w:t>,</w:t>
      </w:r>
      <w:r w:rsidRPr="00054A1B">
        <w:rPr>
          <w:rFonts w:cs="Arial"/>
          <w:rtl/>
        </w:rPr>
        <w:t xml:space="preserve"> דההוא קרא אאשה רעה הוא דאתמר בפרק הבא על יבמתו (יבמות סג:) דמצוה לגרשה שנאמר גרש לץ ויצא מדון</w:t>
      </w:r>
      <w:r>
        <w:rPr>
          <w:rFonts w:cs="Arial" w:hint="cs"/>
          <w:rtl/>
        </w:rPr>
        <w:t>.</w:t>
      </w:r>
      <w:r w:rsidRPr="00054A1B">
        <w:rPr>
          <w:rFonts w:cs="Arial"/>
          <w:rtl/>
        </w:rPr>
        <w:t xml:space="preserve"> וההיא אשה רעה היינו שהיא רעה בדעותיה כדמשמע התם</w:t>
      </w:r>
      <w:r>
        <w:rPr>
          <w:rFonts w:cs="Arial" w:hint="cs"/>
          <w:rtl/>
        </w:rPr>
        <w:t>,</w:t>
      </w:r>
      <w:r w:rsidRPr="00054A1B">
        <w:rPr>
          <w:rFonts w:cs="Arial"/>
          <w:rtl/>
        </w:rPr>
        <w:t xml:space="preserve"> וגם קרא משמע דבהכי משתעי דכתיב ויצא מדון</w:t>
      </w:r>
      <w:r>
        <w:rPr>
          <w:rFonts w:cs="Arial" w:hint="cs"/>
          <w:rtl/>
        </w:rPr>
        <w:t>.</w:t>
      </w:r>
      <w:r w:rsidRPr="00230CA4">
        <w:rPr>
          <w:rFonts w:cs="Arial"/>
          <w:rtl/>
        </w:rPr>
        <w:t xml:space="preserve"> </w:t>
      </w:r>
      <w:r w:rsidRPr="00054A1B">
        <w:rPr>
          <w:rFonts w:cs="Arial"/>
          <w:rtl/>
        </w:rPr>
        <w:t>אבל מצאתי להרמב"ם שכתב בפרק י' מהלכות גירושין (הכ"ב) אשה רעה בדעותיה ושאינה צנועה מצוה לגרשה שנאמר גרש לץ ויצא מדון</w:t>
      </w:r>
      <w:r>
        <w:rPr>
          <w:rFonts w:cs="Arial" w:hint="cs"/>
          <w:rtl/>
        </w:rPr>
        <w:t>.</w:t>
      </w:r>
      <w:r w:rsidRPr="00054A1B">
        <w:rPr>
          <w:rFonts w:cs="Arial"/>
          <w:rtl/>
        </w:rPr>
        <w:t xml:space="preserve"> נראה דתרווייהו משמע ליה מהאי קרא</w:t>
      </w:r>
      <w:r>
        <w:rPr>
          <w:rFonts w:cs="Arial" w:hint="cs"/>
          <w:rtl/>
        </w:rPr>
        <w:t>.</w:t>
      </w:r>
      <w:r w:rsidRPr="00054A1B">
        <w:rPr>
          <w:rFonts w:cs="Arial"/>
          <w:rtl/>
        </w:rPr>
        <w:t xml:space="preserve"> ואפשר דשאינה צנועה נפקא ליה מגרש לץ וסבירא לן דתרווייהו בכלל אשה רעה כמו שהזכירו בהבא על יבמתו</w:t>
      </w:r>
      <w:r>
        <w:rPr>
          <w:rFonts w:hint="cs"/>
          <w:rtl/>
        </w:rPr>
        <w:t>, ב"י.</w:t>
      </w:r>
    </w:p>
  </w:footnote>
  <w:footnote w:id="22">
    <w:p w14:paraId="0CE625BA" w14:textId="1A4604E2" w:rsidR="00403A76" w:rsidRDefault="00403A76">
      <w:pPr>
        <w:pStyle w:val="a5"/>
      </w:pPr>
      <w:r>
        <w:rPr>
          <w:rStyle w:val="a7"/>
        </w:rPr>
        <w:footnoteRef/>
      </w:r>
      <w:r>
        <w:rPr>
          <w:rtl/>
        </w:rPr>
        <w:t xml:space="preserve"> </w:t>
      </w:r>
      <w:r w:rsidRPr="00EF759F">
        <w:rPr>
          <w:rFonts w:cs="Arial"/>
          <w:rtl/>
        </w:rPr>
        <w:t>היינו דוקא דמקשטא ליה תכא ומהדרא ליה גבה שהיא בעלת מריבה</w:t>
      </w:r>
      <w:r w:rsidR="00F90403">
        <w:rPr>
          <w:rFonts w:cs="Arial" w:hint="cs"/>
          <w:rtl/>
        </w:rPr>
        <w:t>,</w:t>
      </w:r>
      <w:r w:rsidRPr="00EF759F">
        <w:rPr>
          <w:rFonts w:cs="Arial"/>
          <w:rtl/>
        </w:rPr>
        <w:t xml:space="preserve"> ושאינה צנועה היינו עוברת על דת יהודי' </w:t>
      </w:r>
      <w:r w:rsidR="00F90403">
        <w:rPr>
          <w:rFonts w:cs="Arial" w:hint="cs"/>
          <w:rtl/>
        </w:rPr>
        <w:t xml:space="preserve">- </w:t>
      </w:r>
      <w:r w:rsidRPr="00EF759F">
        <w:rPr>
          <w:rFonts w:cs="Arial"/>
          <w:rtl/>
        </w:rPr>
        <w:t>מצוה לגרשה אפי' אשתו ראשונה ועיין מ"ש בסי' קט"ו סעיף ד'</w:t>
      </w:r>
      <w:r>
        <w:rPr>
          <w:rFonts w:cs="Arial" w:hint="cs"/>
          <w:rtl/>
        </w:rPr>
        <w:t>, ח"מ (סק"ד).</w:t>
      </w:r>
    </w:p>
  </w:footnote>
  <w:footnote w:id="23">
    <w:p w14:paraId="4CD860D9" w14:textId="26E3ECDD" w:rsidR="00AD0203" w:rsidRDefault="00AD0203">
      <w:pPr>
        <w:pStyle w:val="a5"/>
      </w:pPr>
      <w:r>
        <w:rPr>
          <w:rStyle w:val="a7"/>
        </w:rPr>
        <w:footnoteRef/>
      </w:r>
      <w:r>
        <w:rPr>
          <w:rtl/>
        </w:rPr>
        <w:t xml:space="preserve"> </w:t>
      </w:r>
      <w:r>
        <w:rPr>
          <w:rFonts w:hint="cs"/>
          <w:rtl/>
        </w:rPr>
        <w:t xml:space="preserve">סימן - קידושין בלי ידיעה. וכן - </w:t>
      </w:r>
      <w:r w:rsidR="00BB0402">
        <w:rPr>
          <w:rFonts w:hint="cs"/>
          <w:rtl/>
        </w:rPr>
        <w:t xml:space="preserve">יוצאת בעל כרחה. </w:t>
      </w:r>
    </w:p>
  </w:footnote>
  <w:footnote w:id="24">
    <w:p w14:paraId="46F6926C" w14:textId="02029C72" w:rsidR="00403A76" w:rsidRDefault="00403A76">
      <w:pPr>
        <w:pStyle w:val="a5"/>
        <w:rPr>
          <w:rtl/>
        </w:rPr>
      </w:pPr>
      <w:r>
        <w:rPr>
          <w:rStyle w:val="a7"/>
        </w:rPr>
        <w:footnoteRef/>
      </w:r>
      <w:r>
        <w:rPr>
          <w:rtl/>
        </w:rPr>
        <w:t xml:space="preserve"> </w:t>
      </w:r>
      <w:r w:rsidRPr="0026383B">
        <w:rPr>
          <w:rFonts w:cs="Arial"/>
          <w:rtl/>
        </w:rPr>
        <w:t>מה טעם קאמר</w:t>
      </w:r>
      <w:r w:rsidR="00384218">
        <w:rPr>
          <w:rFonts w:cs="Arial" w:hint="cs"/>
          <w:rtl/>
        </w:rPr>
        <w:t>,</w:t>
      </w:r>
      <w:r w:rsidRPr="0026383B">
        <w:rPr>
          <w:rFonts w:cs="Arial"/>
          <w:rtl/>
        </w:rPr>
        <w:t xml:space="preserve"> כלומר כקידושין כך גירושין</w:t>
      </w:r>
      <w:r w:rsidR="00384218">
        <w:rPr>
          <w:rFonts w:cs="Arial" w:hint="cs"/>
          <w:rtl/>
        </w:rPr>
        <w:t>,</w:t>
      </w:r>
      <w:r w:rsidRPr="0026383B">
        <w:rPr>
          <w:rFonts w:cs="Arial"/>
          <w:rtl/>
        </w:rPr>
        <w:t xml:space="preserve"> וכן פקח בחרשת ברמיזה כנס</w:t>
      </w:r>
      <w:r w:rsidR="00384218">
        <w:rPr>
          <w:rFonts w:cs="Arial" w:hint="cs"/>
          <w:rtl/>
        </w:rPr>
        <w:t>,</w:t>
      </w:r>
      <w:r w:rsidRPr="0026383B">
        <w:rPr>
          <w:rFonts w:cs="Arial"/>
          <w:rtl/>
        </w:rPr>
        <w:t xml:space="preserve"> שרמז באצבע עד שנתרצית לו</w:t>
      </w:r>
      <w:r w:rsidR="00384218">
        <w:rPr>
          <w:rFonts w:cs="Arial" w:hint="cs"/>
          <w:rtl/>
        </w:rPr>
        <w:t>,</w:t>
      </w:r>
      <w:r w:rsidRPr="0026383B">
        <w:rPr>
          <w:rFonts w:cs="Arial"/>
          <w:rtl/>
        </w:rPr>
        <w:t xml:space="preserve"> וברמיזה אם רצה להוציא יוציא</w:t>
      </w:r>
      <w:r>
        <w:rPr>
          <w:rFonts w:hint="cs"/>
          <w:rtl/>
        </w:rPr>
        <w:t>, רש"י.</w:t>
      </w:r>
    </w:p>
  </w:footnote>
  <w:footnote w:id="25">
    <w:p w14:paraId="1A169E9E" w14:textId="39387B7C" w:rsidR="00403A76" w:rsidRDefault="00403A76">
      <w:pPr>
        <w:pStyle w:val="a5"/>
      </w:pPr>
      <w:r>
        <w:rPr>
          <w:rStyle w:val="a7"/>
        </w:rPr>
        <w:footnoteRef/>
      </w:r>
      <w:r>
        <w:rPr>
          <w:rtl/>
        </w:rPr>
        <w:t xml:space="preserve"> </w:t>
      </w:r>
      <w:r w:rsidRPr="0026383B">
        <w:rPr>
          <w:rFonts w:cs="Arial"/>
          <w:rtl/>
        </w:rPr>
        <w:t>אע</w:t>
      </w:r>
      <w:r>
        <w:rPr>
          <w:rFonts w:cs="Arial" w:hint="cs"/>
          <w:rtl/>
        </w:rPr>
        <w:t>"</w:t>
      </w:r>
      <w:r w:rsidRPr="0026383B">
        <w:rPr>
          <w:rFonts w:cs="Arial"/>
          <w:rtl/>
        </w:rPr>
        <w:t>פ שקידושיה גמורים אם רצה יוציא</w:t>
      </w:r>
      <w:r w:rsidR="00384218">
        <w:rPr>
          <w:rFonts w:cs="Arial" w:hint="cs"/>
          <w:rtl/>
        </w:rPr>
        <w:t>,</w:t>
      </w:r>
      <w:r w:rsidRPr="0026383B">
        <w:rPr>
          <w:rFonts w:cs="Arial"/>
          <w:rtl/>
        </w:rPr>
        <w:t xml:space="preserve"> דבגט לא בעינן דעת האשה כדמפרש לקמן במתניתין</w:t>
      </w:r>
      <w:r>
        <w:rPr>
          <w:rFonts w:cs="Arial" w:hint="cs"/>
          <w:rtl/>
        </w:rPr>
        <w:t>, רש"י.</w:t>
      </w:r>
    </w:p>
  </w:footnote>
  <w:footnote w:id="26">
    <w:p w14:paraId="3B9589CF" w14:textId="7054F6F7" w:rsidR="00403A76" w:rsidRDefault="00403A76">
      <w:pPr>
        <w:pStyle w:val="a5"/>
        <w:rPr>
          <w:rtl/>
        </w:rPr>
      </w:pPr>
      <w:r>
        <w:rPr>
          <w:rStyle w:val="a7"/>
        </w:rPr>
        <w:footnoteRef/>
      </w:r>
      <w:r>
        <w:rPr>
          <w:rtl/>
        </w:rPr>
        <w:t xml:space="preserve"> </w:t>
      </w:r>
      <w:r w:rsidRPr="0026383B">
        <w:rPr>
          <w:rFonts w:cs="Arial"/>
          <w:rtl/>
        </w:rPr>
        <w:t>בגמרא מפרש שלא ינהגו בה מנהג הפקר ותקנתא דרבנן היא</w:t>
      </w:r>
      <w:r>
        <w:rPr>
          <w:rFonts w:hint="cs"/>
          <w:rtl/>
        </w:rPr>
        <w:t>, רש"י.</w:t>
      </w:r>
    </w:p>
  </w:footnote>
  <w:footnote w:id="27">
    <w:p w14:paraId="5F8B3AB6" w14:textId="4DB4B86E" w:rsidR="00403A76" w:rsidRDefault="00403A76">
      <w:pPr>
        <w:pStyle w:val="a5"/>
      </w:pPr>
      <w:r>
        <w:rPr>
          <w:rStyle w:val="a7"/>
        </w:rPr>
        <w:footnoteRef/>
      </w:r>
      <w:r>
        <w:rPr>
          <w:rtl/>
        </w:rPr>
        <w:t xml:space="preserve"> </w:t>
      </w:r>
      <w:r w:rsidRPr="0026383B">
        <w:rPr>
          <w:rFonts w:cs="Arial"/>
          <w:rtl/>
        </w:rPr>
        <w:t>לאחר קידושין הואיל וקידושיה גמורים היו לא יוציא עולמית</w:t>
      </w:r>
      <w:r>
        <w:rPr>
          <w:rFonts w:cs="Arial" w:hint="cs"/>
          <w:rtl/>
        </w:rPr>
        <w:t>, רש"י.</w:t>
      </w:r>
    </w:p>
  </w:footnote>
  <w:footnote w:id="28">
    <w:p w14:paraId="0686FF24" w14:textId="49448FAE" w:rsidR="00403A76" w:rsidRDefault="00403A76">
      <w:pPr>
        <w:pStyle w:val="a5"/>
      </w:pPr>
      <w:r>
        <w:rPr>
          <w:rStyle w:val="a7"/>
        </w:rPr>
        <w:footnoteRef/>
      </w:r>
      <w:r>
        <w:rPr>
          <w:rtl/>
        </w:rPr>
        <w:t xml:space="preserve"> </w:t>
      </w:r>
      <w:r w:rsidRPr="0026383B">
        <w:rPr>
          <w:rFonts w:cs="Arial"/>
          <w:rtl/>
        </w:rPr>
        <w:t>בקטנותה וקיבל קידושיה והוו קידושין גמורים שיוצאה בגט ואפי' משגדלה ופקע כח אב מקבלת היא את גיטה</w:t>
      </w:r>
      <w:r>
        <w:rPr>
          <w:rFonts w:cs="Arial" w:hint="cs"/>
          <w:rtl/>
        </w:rPr>
        <w:t>, רש"י.</w:t>
      </w:r>
    </w:p>
  </w:footnote>
  <w:footnote w:id="29">
    <w:p w14:paraId="166611C6" w14:textId="0230AEA0" w:rsidR="00403A76" w:rsidRDefault="00403A76">
      <w:pPr>
        <w:pStyle w:val="a5"/>
      </w:pPr>
      <w:r>
        <w:rPr>
          <w:rStyle w:val="a7"/>
        </w:rPr>
        <w:footnoteRef/>
      </w:r>
      <w:r>
        <w:rPr>
          <w:rtl/>
        </w:rPr>
        <w:t xml:space="preserve"> </w:t>
      </w:r>
      <w:r w:rsidRPr="0026383B">
        <w:rPr>
          <w:rFonts w:cs="Arial"/>
          <w:rtl/>
        </w:rPr>
        <w:t>פקחת שנתחרשה כיוצא בה</w:t>
      </w:r>
      <w:r>
        <w:rPr>
          <w:rFonts w:cs="Arial" w:hint="cs"/>
          <w:rtl/>
        </w:rPr>
        <w:t>, רש"י.</w:t>
      </w:r>
    </w:p>
  </w:footnote>
  <w:footnote w:id="30">
    <w:p w14:paraId="4F66BDD6" w14:textId="4BC114D1" w:rsidR="00403A76" w:rsidRDefault="00403A76">
      <w:pPr>
        <w:pStyle w:val="a5"/>
      </w:pPr>
      <w:r>
        <w:rPr>
          <w:rStyle w:val="a7"/>
        </w:rPr>
        <w:footnoteRef/>
      </w:r>
      <w:r>
        <w:rPr>
          <w:rtl/>
        </w:rPr>
        <w:t xml:space="preserve"> </w:t>
      </w:r>
      <w:r>
        <w:rPr>
          <w:rFonts w:cs="Arial" w:hint="cs"/>
          <w:rtl/>
        </w:rPr>
        <w:t xml:space="preserve">'מפני גדירה' - </w:t>
      </w:r>
      <w:r w:rsidRPr="000364FA">
        <w:rPr>
          <w:rFonts w:cs="Arial"/>
          <w:rtl/>
        </w:rPr>
        <w:t>שעושין לה גדר שלא ינהגו בה מנהג הפקר</w:t>
      </w:r>
      <w:r>
        <w:rPr>
          <w:rFonts w:cs="Arial" w:hint="cs"/>
          <w:rtl/>
        </w:rPr>
        <w:t>.</w:t>
      </w:r>
      <w:r w:rsidRPr="000364FA">
        <w:rPr>
          <w:rFonts w:cs="Arial"/>
          <w:rtl/>
        </w:rPr>
        <w:t xml:space="preserve"> ויש גורסין </w:t>
      </w:r>
      <w:r>
        <w:rPr>
          <w:rFonts w:cs="Arial" w:hint="cs"/>
          <w:rtl/>
        </w:rPr>
        <w:t>'</w:t>
      </w:r>
      <w:r w:rsidRPr="000364FA">
        <w:rPr>
          <w:rFonts w:cs="Arial"/>
          <w:rtl/>
        </w:rPr>
        <w:t>גרירה</w:t>
      </w:r>
      <w:r>
        <w:rPr>
          <w:rFonts w:cs="Arial" w:hint="cs"/>
          <w:rtl/>
        </w:rPr>
        <w:t>' -</w:t>
      </w:r>
      <w:r w:rsidRPr="000364FA">
        <w:rPr>
          <w:rFonts w:cs="Arial"/>
          <w:rtl/>
        </w:rPr>
        <w:t xml:space="preserve"> פי' נגררת אחר כל אדם לזנות</w:t>
      </w:r>
      <w:r>
        <w:rPr>
          <w:rFonts w:cs="Arial" w:hint="cs"/>
          <w:rtl/>
        </w:rPr>
        <w:t>, קרבן העדה.</w:t>
      </w:r>
    </w:p>
  </w:footnote>
  <w:footnote w:id="31">
    <w:p w14:paraId="27DC1DF3" w14:textId="7FC6FBE0" w:rsidR="00403A76" w:rsidRDefault="00403A76">
      <w:pPr>
        <w:pStyle w:val="a5"/>
      </w:pPr>
      <w:r>
        <w:rPr>
          <w:rStyle w:val="a7"/>
        </w:rPr>
        <w:footnoteRef/>
      </w:r>
      <w:r>
        <w:rPr>
          <w:rtl/>
        </w:rPr>
        <w:t xml:space="preserve"> </w:t>
      </w:r>
      <w:r w:rsidRPr="00312261">
        <w:rPr>
          <w:rFonts w:cs="Arial"/>
          <w:rtl/>
        </w:rPr>
        <w:t>תלת מילין איכא נפקא מיניה בין הנך תרי טעמי</w:t>
      </w:r>
      <w:r>
        <w:rPr>
          <w:rFonts w:cs="Arial" w:hint="cs"/>
          <w:rtl/>
        </w:rPr>
        <w:t>, קרבן העדה.</w:t>
      </w:r>
    </w:p>
  </w:footnote>
  <w:footnote w:id="32">
    <w:p w14:paraId="6C1D338A" w14:textId="226C565A" w:rsidR="00403A76" w:rsidRDefault="00403A76">
      <w:pPr>
        <w:pStyle w:val="a5"/>
        <w:rPr>
          <w:rtl/>
        </w:rPr>
      </w:pPr>
      <w:r>
        <w:rPr>
          <w:rStyle w:val="a7"/>
        </w:rPr>
        <w:footnoteRef/>
      </w:r>
      <w:r>
        <w:rPr>
          <w:rtl/>
        </w:rPr>
        <w:t xml:space="preserve"> </w:t>
      </w:r>
      <w:r w:rsidRPr="00312261">
        <w:rPr>
          <w:rFonts w:cs="Arial"/>
          <w:rtl/>
        </w:rPr>
        <w:t>הוי גט דהא אינו אלא איסורא דרבנן שלא להתגרש שלא ינהגו בה מנהג הפקר ובדרבנן ודאי אי עביד מהני</w:t>
      </w:r>
      <w:r>
        <w:rPr>
          <w:rFonts w:hint="cs"/>
          <w:rtl/>
        </w:rPr>
        <w:t>, קרבן העדה.</w:t>
      </w:r>
    </w:p>
  </w:footnote>
  <w:footnote w:id="33">
    <w:p w14:paraId="04EDCC85" w14:textId="4F968EBE" w:rsidR="00403A76" w:rsidRDefault="00403A76">
      <w:pPr>
        <w:pStyle w:val="a5"/>
      </w:pPr>
      <w:r>
        <w:rPr>
          <w:rStyle w:val="a7"/>
        </w:rPr>
        <w:footnoteRef/>
      </w:r>
      <w:r>
        <w:rPr>
          <w:rtl/>
        </w:rPr>
        <w:t xml:space="preserve"> </w:t>
      </w:r>
      <w:r w:rsidRPr="003F46E1">
        <w:rPr>
          <w:rFonts w:cs="Arial"/>
          <w:rtl/>
        </w:rPr>
        <w:t>פי' מדאורייתא אין הגט גט</w:t>
      </w:r>
      <w:r>
        <w:rPr>
          <w:rFonts w:cs="Arial" w:hint="cs"/>
          <w:rtl/>
        </w:rPr>
        <w:t>, תוס' (יבמות קיג: ד"ה יצתה).</w:t>
      </w:r>
    </w:p>
  </w:footnote>
  <w:footnote w:id="34">
    <w:p w14:paraId="132FAD29" w14:textId="2C7A9299" w:rsidR="00403A76" w:rsidRDefault="00403A76">
      <w:pPr>
        <w:pStyle w:val="a5"/>
      </w:pPr>
      <w:r>
        <w:rPr>
          <w:rStyle w:val="a7"/>
        </w:rPr>
        <w:footnoteRef/>
      </w:r>
      <w:r>
        <w:rPr>
          <w:rtl/>
        </w:rPr>
        <w:t xml:space="preserve"> </w:t>
      </w:r>
      <w:r w:rsidRPr="00266778">
        <w:rPr>
          <w:rFonts w:cs="Arial"/>
          <w:rtl/>
        </w:rPr>
        <w:t>שעדיין היא נגררת להפקר שאין אביה יכול לשמרה</w:t>
      </w:r>
      <w:r>
        <w:rPr>
          <w:rFonts w:cs="Arial" w:hint="cs"/>
          <w:rtl/>
        </w:rPr>
        <w:t xml:space="preserve">, קרבן העדה. </w:t>
      </w:r>
    </w:p>
  </w:footnote>
  <w:footnote w:id="35">
    <w:p w14:paraId="3F6F6694" w14:textId="6528950C" w:rsidR="00403A76" w:rsidRDefault="00403A76">
      <w:pPr>
        <w:pStyle w:val="a5"/>
        <w:rPr>
          <w:rtl/>
        </w:rPr>
      </w:pPr>
      <w:r>
        <w:rPr>
          <w:rStyle w:val="a7"/>
        </w:rPr>
        <w:footnoteRef/>
      </w:r>
      <w:r>
        <w:rPr>
          <w:rtl/>
        </w:rPr>
        <w:t xml:space="preserve"> </w:t>
      </w:r>
      <w:r w:rsidRPr="0039471B">
        <w:rPr>
          <w:rFonts w:cs="Arial"/>
          <w:rtl/>
        </w:rPr>
        <w:t>ואנן לא נהגינן כן עכשיו משום תקנת רבינו גרשום שגזר על כך</w:t>
      </w:r>
      <w:r>
        <w:rPr>
          <w:rFonts w:cs="Arial" w:hint="cs"/>
          <w:rtl/>
        </w:rPr>
        <w:t>, דרכ"מ (אות ב)</w:t>
      </w:r>
      <w:r w:rsidRPr="0039471B">
        <w:rPr>
          <w:rFonts w:cs="Arial"/>
          <w:rtl/>
        </w:rPr>
        <w:t>.</w:t>
      </w:r>
      <w:r w:rsidRPr="00971039">
        <w:rPr>
          <w:rtl/>
        </w:rPr>
        <w:t xml:space="preserve"> </w:t>
      </w:r>
      <w:r w:rsidRPr="00971039">
        <w:rPr>
          <w:rFonts w:cs="Arial"/>
          <w:rtl/>
        </w:rPr>
        <w:t>ו</w:t>
      </w:r>
      <w:r>
        <w:rPr>
          <w:rFonts w:cs="Arial" w:hint="cs"/>
          <w:rtl/>
        </w:rPr>
        <w:t>כתב עוד הדרכ"מ (אות א) ד</w:t>
      </w:r>
      <w:r w:rsidRPr="00971039">
        <w:rPr>
          <w:rFonts w:cs="Arial"/>
          <w:rtl/>
        </w:rPr>
        <w:t xml:space="preserve">בסמ"ק </w:t>
      </w:r>
      <w:r>
        <w:rPr>
          <w:rFonts w:cs="Arial" w:hint="cs"/>
          <w:rtl/>
        </w:rPr>
        <w:t>(</w:t>
      </w:r>
      <w:r w:rsidRPr="00971039">
        <w:rPr>
          <w:rFonts w:cs="Arial"/>
          <w:rtl/>
        </w:rPr>
        <w:t>ר</w:t>
      </w:r>
      <w:r>
        <w:rPr>
          <w:rFonts w:cs="Arial" w:hint="cs"/>
          <w:rtl/>
        </w:rPr>
        <w:t>"</w:t>
      </w:r>
      <w:r w:rsidRPr="00971039">
        <w:rPr>
          <w:rFonts w:cs="Arial"/>
          <w:rtl/>
        </w:rPr>
        <w:t>ס קפד</w:t>
      </w:r>
      <w:r>
        <w:rPr>
          <w:rFonts w:cs="Arial" w:hint="cs"/>
          <w:rtl/>
        </w:rPr>
        <w:t>, ובס"ס קפט)</w:t>
      </w:r>
      <w:r w:rsidRPr="00971039">
        <w:rPr>
          <w:rFonts w:cs="Arial"/>
          <w:rtl/>
        </w:rPr>
        <w:t xml:space="preserve"> </w:t>
      </w:r>
      <w:r>
        <w:rPr>
          <w:rFonts w:cs="Arial" w:hint="cs"/>
          <w:rtl/>
        </w:rPr>
        <w:t xml:space="preserve">וברא"ש (כלל מב סי' א) </w:t>
      </w:r>
      <w:r w:rsidRPr="00971039">
        <w:rPr>
          <w:rFonts w:cs="Arial"/>
          <w:rtl/>
        </w:rPr>
        <w:t>משמע דאפילו אם רוצה ליתן לה כתובתה איכא תקנת רבינו גרשום שלא לגרשה</w:t>
      </w:r>
      <w:r>
        <w:rPr>
          <w:rFonts w:cs="Arial" w:hint="cs"/>
          <w:rtl/>
        </w:rPr>
        <w:t>,</w:t>
      </w:r>
      <w:r w:rsidRPr="00971039">
        <w:rPr>
          <w:rFonts w:cs="Arial"/>
          <w:rtl/>
        </w:rPr>
        <w:t xml:space="preserve"> אא</w:t>
      </w:r>
      <w:r>
        <w:rPr>
          <w:rFonts w:cs="Arial" w:hint="cs"/>
          <w:rtl/>
        </w:rPr>
        <w:t>"</w:t>
      </w:r>
      <w:r w:rsidRPr="00971039">
        <w:rPr>
          <w:rFonts w:cs="Arial"/>
          <w:rtl/>
        </w:rPr>
        <w:t>כ יש עדים שעברה על דת</w:t>
      </w:r>
      <w:r>
        <w:rPr>
          <w:rFonts w:cs="Arial" w:hint="cs"/>
          <w:rtl/>
        </w:rPr>
        <w:t>.</w:t>
      </w:r>
      <w:r w:rsidRPr="00971039">
        <w:rPr>
          <w:rFonts w:hint="cs"/>
          <w:color w:val="00B0F0"/>
          <w:rtl/>
        </w:rPr>
        <w:t xml:space="preserve"> </w:t>
      </w:r>
      <w:r w:rsidRPr="002666AC">
        <w:rPr>
          <w:rFonts w:hint="cs"/>
          <w:color w:val="00B0F0"/>
          <w:rtl/>
        </w:rPr>
        <w:t xml:space="preserve">(וכ"פ </w:t>
      </w:r>
      <w:r>
        <w:rPr>
          <w:rFonts w:hint="cs"/>
          <w:color w:val="00B0F0"/>
          <w:rtl/>
        </w:rPr>
        <w:t>בהג"ה)</w:t>
      </w:r>
      <w:r w:rsidRPr="00971039">
        <w:rPr>
          <w:rFonts w:cs="Arial"/>
          <w:rtl/>
        </w:rPr>
        <w:t>. אמנם מלשון המרדכי סוף פרק הבא על יבמתו (סי' נה) לא משמע כן</w:t>
      </w:r>
      <w:r>
        <w:rPr>
          <w:rFonts w:cs="Arial" w:hint="cs"/>
          <w:rtl/>
        </w:rPr>
        <w:t>.</w:t>
      </w:r>
    </w:p>
  </w:footnote>
  <w:footnote w:id="36">
    <w:p w14:paraId="28934232" w14:textId="2EE80E0A" w:rsidR="00403A76" w:rsidRDefault="00403A76">
      <w:pPr>
        <w:pStyle w:val="a5"/>
      </w:pPr>
      <w:r>
        <w:rPr>
          <w:rStyle w:val="a7"/>
        </w:rPr>
        <w:footnoteRef/>
      </w:r>
      <w:r>
        <w:rPr>
          <w:rtl/>
        </w:rPr>
        <w:t xml:space="preserve"> </w:t>
      </w:r>
      <w:r>
        <w:rPr>
          <w:rFonts w:cs="Arial"/>
          <w:rtl/>
        </w:rPr>
        <w:t>גמורה אבל מכל מקום צריך שתהא מבחנת בין גיטה לדבר אחר כדאיתא בפרק התקבל (גיטין סד:) ויתבאר בראש סימן קמ"א (מו:) בסייעתא דשמיא</w:t>
      </w:r>
      <w:r>
        <w:rPr>
          <w:rFonts w:cs="Arial" w:hint="cs"/>
          <w:rtl/>
        </w:rPr>
        <w:t>, ב"י.</w:t>
      </w:r>
    </w:p>
  </w:footnote>
  <w:footnote w:id="37">
    <w:p w14:paraId="6E05C6FC" w14:textId="3CD6A5F6" w:rsidR="00403A76" w:rsidRDefault="00403A76">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3826BD">
        <w:rPr>
          <w:rFonts w:cs="Arial"/>
          <w:rtl/>
        </w:rPr>
        <w:t xml:space="preserve">מי שנתחרשה אשתו הרי זה מגרשה בגט ותהיה גרושה, אבל </w:t>
      </w:r>
      <w:bookmarkStart w:id="1" w:name="_Hlk74822911"/>
      <w:r w:rsidRPr="003826BD">
        <w:rPr>
          <w:rFonts w:cs="Arial"/>
          <w:rtl/>
        </w:rPr>
        <w:t>אם נשתטית אינו מוציאה עד שתבריא</w:t>
      </w:r>
      <w:bookmarkEnd w:id="1"/>
      <w:r w:rsidRPr="003826BD">
        <w:rPr>
          <w:rFonts w:cs="Arial"/>
          <w:rtl/>
        </w:rPr>
        <w:t>, ודבר זה תקנת חכמים הוא כדי שלא תהא הפקר לפרוצין שהרי אינה יכולה לשמור את עצמה</w:t>
      </w:r>
      <w:r>
        <w:rPr>
          <w:rFonts w:cs="Arial" w:hint="cs"/>
          <w:rtl/>
        </w:rPr>
        <w:t>...</w:t>
      </w:r>
    </w:p>
  </w:footnote>
  <w:footnote w:id="38">
    <w:p w14:paraId="5D68A679" w14:textId="12C75DA8" w:rsidR="00403A76" w:rsidRDefault="00403A76" w:rsidP="00E24AEE">
      <w:pPr>
        <w:pStyle w:val="a5"/>
      </w:pPr>
      <w:r>
        <w:rPr>
          <w:rStyle w:val="a7"/>
        </w:rPr>
        <w:footnoteRef/>
      </w:r>
      <w:r>
        <w:rPr>
          <w:rtl/>
        </w:rPr>
        <w:t xml:space="preserve"> </w:t>
      </w:r>
      <w:r>
        <w:rPr>
          <w:rFonts w:hint="cs"/>
          <w:rtl/>
        </w:rPr>
        <w:t>ו</w:t>
      </w:r>
      <w:r>
        <w:rPr>
          <w:rFonts w:cs="Arial"/>
          <w:rtl/>
        </w:rPr>
        <w:t>כתבו התוס' פרק חרש (יבמות קיג: ד"ה יצתה) בשם ירושלמי (יבמות פי"ד ה"א) משום גרירא אין שוטה מתגרשת אפילו ביש לה אב</w:t>
      </w:r>
      <w:r>
        <w:rPr>
          <w:rFonts w:cs="Arial" w:hint="cs"/>
          <w:rtl/>
        </w:rPr>
        <w:t>, ב"י (בבדה"ב).</w:t>
      </w:r>
    </w:p>
  </w:footnote>
  <w:footnote w:id="39">
    <w:p w14:paraId="7D01043A" w14:textId="1C112AD2" w:rsidR="00403A76" w:rsidRDefault="00403A76">
      <w:pPr>
        <w:pStyle w:val="a5"/>
      </w:pPr>
      <w:r>
        <w:rPr>
          <w:rStyle w:val="a7"/>
        </w:rPr>
        <w:footnoteRef/>
      </w:r>
      <w:r>
        <w:rPr>
          <w:rtl/>
        </w:rPr>
        <w:t xml:space="preserve"> </w:t>
      </w:r>
      <w:r w:rsidRPr="00295B4D">
        <w:rPr>
          <w:rFonts w:cs="Arial"/>
          <w:rtl/>
        </w:rPr>
        <w:t>ונראה טעם לדברי רבינו לפי שכבר נתבאר פרק י"ד מהלכות אישות האשה שחלתה ואמר לה הריני מגרשיך ונותן כתובה והולך שומעין לו, וכאן ודאי היה זה רוצה לגרש אלא שחכמים מנעוהו לגרש אבל בחיוב ממון לא חייבוהו שהרי לא עשו כן אלא כדי שלא ינהגו בה מנהג הפקר לכן לחמה תאכל ושמלתה תלבש ויקרא שמו עליה לאסוף חרפתה. וזהו שכתב רבינו מאכילה ומשקה משלה שהוא סבור שלא חייבוהו בדבר שבממון. זהו דעתו ז"ל ולא מצאתי בזה ראיה</w:t>
      </w:r>
      <w:r>
        <w:rPr>
          <w:rFonts w:cs="Arial" w:hint="cs"/>
          <w:rtl/>
        </w:rPr>
        <w:t>, הה"מ (שם).</w:t>
      </w:r>
    </w:p>
  </w:footnote>
  <w:footnote w:id="40">
    <w:p w14:paraId="35D39C64" w14:textId="77777777" w:rsidR="002238E2" w:rsidRDefault="002238E2" w:rsidP="002238E2">
      <w:pPr>
        <w:pStyle w:val="a5"/>
      </w:pPr>
      <w:r>
        <w:rPr>
          <w:rStyle w:val="a7"/>
        </w:rPr>
        <w:footnoteRef/>
      </w:r>
      <w:r>
        <w:rPr>
          <w:rtl/>
        </w:rPr>
        <w:t xml:space="preserve"> </w:t>
      </w:r>
      <w:r w:rsidRPr="00CD610B">
        <w:rPr>
          <w:rFonts w:cs="Arial"/>
          <w:rtl/>
        </w:rPr>
        <w:t>והוא שיודעת לשמור גיטה</w:t>
      </w:r>
      <w:r>
        <w:rPr>
          <w:rFonts w:cs="Arial" w:hint="cs"/>
          <w:rtl/>
        </w:rPr>
        <w:t>, ראב"ד (שם בהשגות).</w:t>
      </w:r>
      <w:r w:rsidRPr="00295B4D">
        <w:rPr>
          <w:rtl/>
        </w:rPr>
        <w:t xml:space="preserve"> </w:t>
      </w:r>
      <w:r w:rsidRPr="00295B4D">
        <w:rPr>
          <w:rFonts w:cs="Arial"/>
          <w:rtl/>
        </w:rPr>
        <w:t>וכדומה לי שרבינו שלא באר כאן</w:t>
      </w:r>
      <w:r>
        <w:rPr>
          <w:rFonts w:cs="Arial" w:hint="cs"/>
          <w:rtl/>
        </w:rPr>
        <w:t>,</w:t>
      </w:r>
      <w:r w:rsidRPr="00295B4D">
        <w:rPr>
          <w:rFonts w:cs="Arial"/>
          <w:rtl/>
        </w:rPr>
        <w:t xml:space="preserve"> סמך לו על מ"ש פ"ב בדין הקטנה שכל שאינה מבחנת בין גיטה לדבר אחר אינה מתגרשת</w:t>
      </w:r>
      <w:r>
        <w:rPr>
          <w:rFonts w:cs="Arial" w:hint="cs"/>
          <w:rtl/>
        </w:rPr>
        <w:t>,</w:t>
      </w:r>
      <w:r w:rsidRPr="00295B4D">
        <w:rPr>
          <w:rFonts w:cs="Arial"/>
          <w:rtl/>
        </w:rPr>
        <w:t xml:space="preserve"> והוא פירוש למה שאמרו אינה יודעת לשמור עצמה כמו שכתבתי שם</w:t>
      </w:r>
      <w:r>
        <w:rPr>
          <w:rFonts w:cs="Arial" w:hint="cs"/>
          <w:rtl/>
        </w:rPr>
        <w:t>.</w:t>
      </w:r>
      <w:r w:rsidRPr="00295B4D">
        <w:rPr>
          <w:rFonts w:cs="Arial"/>
          <w:rtl/>
        </w:rPr>
        <w:t xml:space="preserve"> ומפני שידוע היקש השוטה לקטן בכמה מקומות לא באר רבינו בכאן זה</w:t>
      </w:r>
      <w:r>
        <w:rPr>
          <w:rFonts w:cs="Arial" w:hint="cs"/>
          <w:rtl/>
        </w:rPr>
        <w:t>.</w:t>
      </w:r>
      <w:r w:rsidRPr="00295B4D">
        <w:rPr>
          <w:rFonts w:cs="Arial"/>
          <w:rtl/>
        </w:rPr>
        <w:t xml:space="preserve"> ולא מצאתי לו טעם אחר בזה</w:t>
      </w:r>
      <w:r>
        <w:rPr>
          <w:rFonts w:cs="Arial" w:hint="cs"/>
          <w:rtl/>
        </w:rPr>
        <w:t>, הה"מ (שם)</w:t>
      </w:r>
      <w:r w:rsidRPr="00295B4D">
        <w:rPr>
          <w:rFonts w:cs="Arial"/>
          <w:rtl/>
        </w:rPr>
        <w:t>.</w:t>
      </w:r>
    </w:p>
  </w:footnote>
  <w:footnote w:id="41">
    <w:p w14:paraId="7E210444" w14:textId="3E0614A5" w:rsidR="00403A76" w:rsidRDefault="00403A76">
      <w:pPr>
        <w:pStyle w:val="a5"/>
      </w:pPr>
      <w:r>
        <w:rPr>
          <w:rStyle w:val="a7"/>
        </w:rPr>
        <w:footnoteRef/>
      </w:r>
      <w:r>
        <w:rPr>
          <w:rtl/>
        </w:rPr>
        <w:t xml:space="preserve"> </w:t>
      </w:r>
      <w:r>
        <w:rPr>
          <w:rFonts w:cs="Arial" w:hint="cs"/>
          <w:rtl/>
        </w:rPr>
        <w:t>הטור כתב שכן יראה מדבריו. וכתב הב"י ד</w:t>
      </w:r>
      <w:r>
        <w:rPr>
          <w:rFonts w:cs="Arial"/>
          <w:rtl/>
        </w:rPr>
        <w:t>אע</w:t>
      </w:r>
      <w:r>
        <w:rPr>
          <w:rFonts w:cs="Arial" w:hint="cs"/>
          <w:rtl/>
        </w:rPr>
        <w:t>"</w:t>
      </w:r>
      <w:r>
        <w:rPr>
          <w:rFonts w:cs="Arial"/>
          <w:rtl/>
        </w:rPr>
        <w:t>ג דאתיא במכל שכן כתב שיראה מדברי הרמ"ה משום דלא כתב בהדיא שחייב במזונותיה קודם שיגרשנה ואפשר למידחי דכי גרשה קאמר דחייב במזונותיה משום דקנסוהו רבנן</w:t>
      </w:r>
      <w:r>
        <w:rPr>
          <w:rFonts w:cs="Arial" w:hint="cs"/>
          <w:rtl/>
        </w:rPr>
        <w:t>.</w:t>
      </w:r>
    </w:p>
  </w:footnote>
  <w:footnote w:id="42">
    <w:p w14:paraId="2A572192" w14:textId="4098BD8F" w:rsidR="00403A76" w:rsidRDefault="00403A76">
      <w:pPr>
        <w:pStyle w:val="a5"/>
        <w:rPr>
          <w:rtl/>
        </w:rPr>
      </w:pPr>
      <w:r>
        <w:rPr>
          <w:rStyle w:val="a7"/>
        </w:rPr>
        <w:footnoteRef/>
      </w:r>
      <w:r>
        <w:rPr>
          <w:rtl/>
        </w:rPr>
        <w:t xml:space="preserve"> </w:t>
      </w:r>
      <w:r w:rsidRPr="00FE714F">
        <w:rPr>
          <w:rFonts w:cs="Arial"/>
          <w:rtl/>
        </w:rPr>
        <w:t>וא"כ כ"ש כל זמן שלא גירשה שחייב בכל וגם על מה שפטרו מלרפאותה</w:t>
      </w:r>
      <w:r>
        <w:rPr>
          <w:rFonts w:hint="cs"/>
          <w:rtl/>
        </w:rPr>
        <w:t>, טור.</w:t>
      </w:r>
      <w:r w:rsidRPr="0098534E">
        <w:rPr>
          <w:rFonts w:cs="Arial"/>
          <w:rtl/>
        </w:rPr>
        <w:t xml:space="preserve"> </w:t>
      </w:r>
    </w:p>
  </w:footnote>
  <w:footnote w:id="43">
    <w:p w14:paraId="795B3716" w14:textId="4649B79C" w:rsidR="002238E2" w:rsidRDefault="002238E2">
      <w:pPr>
        <w:pStyle w:val="a5"/>
        <w:rPr>
          <w:u w:val="dotted"/>
          <w:rtl/>
        </w:rPr>
      </w:pPr>
      <w:r>
        <w:rPr>
          <w:rStyle w:val="a7"/>
        </w:rPr>
        <w:footnoteRef/>
      </w:r>
      <w:r>
        <w:rPr>
          <w:rtl/>
        </w:rPr>
        <w:t xml:space="preserve"> </w:t>
      </w:r>
      <w:r w:rsidRPr="005D2022">
        <w:rPr>
          <w:rFonts w:hint="cs"/>
          <w:u w:val="dotted"/>
          <w:rtl/>
        </w:rPr>
        <w:t>כיצד יש ליישב את הסתירה בשו"ע:</w:t>
      </w:r>
    </w:p>
    <w:p w14:paraId="7FAFD3ED" w14:textId="55EAECA9" w:rsidR="002238E2" w:rsidRDefault="002238E2" w:rsidP="002238E2">
      <w:pPr>
        <w:pStyle w:val="a5"/>
        <w:numPr>
          <w:ilvl w:val="0"/>
          <w:numId w:val="131"/>
        </w:numPr>
      </w:pPr>
      <w:r>
        <w:rPr>
          <w:rFonts w:cs="Arial" w:hint="cs"/>
          <w:rtl/>
        </w:rPr>
        <w:t xml:space="preserve">ב"ש </w:t>
      </w:r>
      <w:r w:rsidRPr="005D2022">
        <w:rPr>
          <w:rFonts w:cs="Arial" w:hint="cs"/>
          <w:sz w:val="16"/>
          <w:szCs w:val="16"/>
          <w:rtl/>
        </w:rPr>
        <w:t>(סק"</w:t>
      </w:r>
      <w:r w:rsidRPr="005D2022">
        <w:rPr>
          <w:rFonts w:cs="Arial"/>
          <w:sz w:val="16"/>
          <w:szCs w:val="16"/>
          <w:rtl/>
        </w:rPr>
        <w:t>י</w:t>
      </w:r>
      <w:r w:rsidRPr="005D2022">
        <w:rPr>
          <w:rFonts w:cs="Arial" w:hint="cs"/>
          <w:sz w:val="16"/>
          <w:szCs w:val="16"/>
          <w:rtl/>
        </w:rPr>
        <w:t>, ובסי' קיט סק)</w:t>
      </w:r>
      <w:r>
        <w:rPr>
          <w:rFonts w:cs="Arial" w:hint="cs"/>
          <w:rtl/>
        </w:rPr>
        <w:t xml:space="preserve">- </w:t>
      </w:r>
      <w:r w:rsidRPr="005D2022">
        <w:rPr>
          <w:rFonts w:cs="Arial"/>
          <w:rtl/>
        </w:rPr>
        <w:t>איירי כאן בשוט</w:t>
      </w:r>
      <w:r>
        <w:rPr>
          <w:rFonts w:cs="Arial" w:hint="cs"/>
          <w:rtl/>
        </w:rPr>
        <w:t>ה</w:t>
      </w:r>
      <w:r w:rsidRPr="005D2022">
        <w:rPr>
          <w:rFonts w:cs="Arial"/>
          <w:rtl/>
        </w:rPr>
        <w:t xml:space="preserve"> דא</w:t>
      </w:r>
      <w:r>
        <w:rPr>
          <w:rFonts w:cs="Arial" w:hint="cs"/>
          <w:rtl/>
        </w:rPr>
        <w:t xml:space="preserve">ינה </w:t>
      </w:r>
      <w:r w:rsidRPr="005D2022">
        <w:rPr>
          <w:rFonts w:cs="Arial"/>
          <w:rtl/>
        </w:rPr>
        <w:t>י</w:t>
      </w:r>
      <w:r>
        <w:rPr>
          <w:rFonts w:cs="Arial" w:hint="cs"/>
          <w:rtl/>
        </w:rPr>
        <w:t>כולה</w:t>
      </w:r>
      <w:r w:rsidRPr="005D2022">
        <w:rPr>
          <w:rFonts w:cs="Arial"/>
          <w:rtl/>
        </w:rPr>
        <w:t xml:space="preserve"> לשמור את גיטה</w:t>
      </w:r>
      <w:r>
        <w:rPr>
          <w:rFonts w:cs="Arial" w:hint="cs"/>
          <w:rtl/>
        </w:rPr>
        <w:t>, ד</w:t>
      </w:r>
      <w:r w:rsidRPr="005D2022">
        <w:rPr>
          <w:rFonts w:cs="Arial"/>
          <w:rtl/>
        </w:rPr>
        <w:t>אז א</w:t>
      </w:r>
      <w:r>
        <w:rPr>
          <w:rFonts w:cs="Arial" w:hint="cs"/>
          <w:rtl/>
        </w:rPr>
        <w:t>ינו יכול</w:t>
      </w:r>
      <w:r w:rsidRPr="005D2022">
        <w:rPr>
          <w:rFonts w:cs="Arial"/>
          <w:rtl/>
        </w:rPr>
        <w:t xml:space="preserve"> לגרש אות</w:t>
      </w:r>
      <w:r>
        <w:rPr>
          <w:rFonts w:cs="Arial" w:hint="cs"/>
          <w:rtl/>
        </w:rPr>
        <w:t>ה</w:t>
      </w:r>
      <w:r w:rsidRPr="005D2022">
        <w:rPr>
          <w:rFonts w:cs="Arial"/>
          <w:rtl/>
        </w:rPr>
        <w:t xml:space="preserve"> מדאוריי</w:t>
      </w:r>
      <w:r>
        <w:rPr>
          <w:rFonts w:cs="Arial" w:hint="cs"/>
          <w:rtl/>
        </w:rPr>
        <w:t>תא.</w:t>
      </w:r>
    </w:p>
    <w:p w14:paraId="63AC4B55" w14:textId="23A8806A" w:rsidR="002238E2" w:rsidRDefault="002238E2" w:rsidP="002238E2">
      <w:pPr>
        <w:pStyle w:val="a5"/>
        <w:numPr>
          <w:ilvl w:val="0"/>
          <w:numId w:val="131"/>
        </w:numPr>
      </w:pPr>
      <w:r>
        <w:rPr>
          <w:rFonts w:hint="cs"/>
          <w:rtl/>
        </w:rPr>
        <w:t xml:space="preserve">ח"מ </w:t>
      </w:r>
      <w:r w:rsidRPr="008121F7">
        <w:rPr>
          <w:rFonts w:hint="cs"/>
          <w:sz w:val="16"/>
          <w:szCs w:val="16"/>
          <w:rtl/>
        </w:rPr>
        <w:t>(</w:t>
      </w:r>
      <w:r>
        <w:rPr>
          <w:rFonts w:hint="cs"/>
          <w:sz w:val="16"/>
          <w:szCs w:val="16"/>
          <w:rtl/>
        </w:rPr>
        <w:t xml:space="preserve">סי' ע </w:t>
      </w:r>
      <w:r w:rsidRPr="008121F7">
        <w:rPr>
          <w:rFonts w:hint="cs"/>
          <w:sz w:val="16"/>
          <w:szCs w:val="16"/>
          <w:rtl/>
        </w:rPr>
        <w:t>סקט"ו</w:t>
      </w:r>
      <w:r>
        <w:rPr>
          <w:rFonts w:hint="cs"/>
          <w:sz w:val="16"/>
          <w:szCs w:val="16"/>
          <w:rtl/>
        </w:rPr>
        <w:t>, וכאן סקי"א</w:t>
      </w:r>
      <w:r w:rsidRPr="008121F7">
        <w:rPr>
          <w:rFonts w:hint="cs"/>
          <w:sz w:val="16"/>
          <w:szCs w:val="16"/>
          <w:rtl/>
        </w:rPr>
        <w:t>)</w:t>
      </w:r>
      <w:r>
        <w:rPr>
          <w:rFonts w:hint="cs"/>
          <w:rtl/>
        </w:rPr>
        <w:t xml:space="preserve">- </w:t>
      </w:r>
      <w:r w:rsidRPr="008121F7">
        <w:rPr>
          <w:rFonts w:cs="Arial"/>
          <w:rtl/>
        </w:rPr>
        <w:t>אין כאן סתירה</w:t>
      </w:r>
      <w:r>
        <w:rPr>
          <w:rFonts w:cs="Arial" w:hint="cs"/>
          <w:rtl/>
        </w:rPr>
        <w:t>,</w:t>
      </w:r>
      <w:r w:rsidRPr="008121F7">
        <w:rPr>
          <w:rFonts w:cs="Arial"/>
          <w:rtl/>
        </w:rPr>
        <w:t xml:space="preserve"> דקמן כ</w:t>
      </w:r>
      <w:r>
        <w:rPr>
          <w:rFonts w:cs="Arial" w:hint="cs"/>
          <w:rtl/>
        </w:rPr>
        <w:t>תב</w:t>
      </w:r>
      <w:r w:rsidRPr="008121F7">
        <w:rPr>
          <w:rFonts w:cs="Arial"/>
          <w:rtl/>
        </w:rPr>
        <w:t xml:space="preserve"> שאינו חייב לרפאותה היינו ברוצה ליתן לה כתוב</w:t>
      </w:r>
      <w:r>
        <w:rPr>
          <w:rFonts w:cs="Arial" w:hint="cs"/>
          <w:rtl/>
        </w:rPr>
        <w:t>ה,</w:t>
      </w:r>
      <w:r w:rsidRPr="008121F7">
        <w:rPr>
          <w:rFonts w:cs="Arial"/>
          <w:rtl/>
        </w:rPr>
        <w:t xml:space="preserve"> וכמ"ש המ"מ שם </w:t>
      </w:r>
      <w:r w:rsidRPr="00363731">
        <w:rPr>
          <w:rFonts w:cs="Arial" w:hint="cs"/>
          <w:sz w:val="16"/>
          <w:szCs w:val="16"/>
          <w:rtl/>
        </w:rPr>
        <w:t>(</w:t>
      </w:r>
      <w:r w:rsidRPr="00363731">
        <w:rPr>
          <w:rFonts w:cs="Arial"/>
          <w:sz w:val="16"/>
          <w:szCs w:val="16"/>
          <w:rtl/>
        </w:rPr>
        <w:t>פ"ג מה"ג</w:t>
      </w:r>
      <w:r w:rsidRPr="00363731">
        <w:rPr>
          <w:rFonts w:cs="Arial" w:hint="cs"/>
          <w:sz w:val="16"/>
          <w:szCs w:val="16"/>
          <w:rtl/>
        </w:rPr>
        <w:t>)</w:t>
      </w:r>
      <w:r>
        <w:rPr>
          <w:rFonts w:cs="Arial" w:hint="cs"/>
          <w:rtl/>
        </w:rPr>
        <w:t>.</w:t>
      </w:r>
      <w:r w:rsidRPr="008121F7">
        <w:rPr>
          <w:rFonts w:cs="Arial"/>
          <w:rtl/>
        </w:rPr>
        <w:t xml:space="preserve"> וכאן מיירי באין רוצה ליתן לה כתובה </w:t>
      </w:r>
      <w:r>
        <w:rPr>
          <w:rFonts w:cs="Arial" w:hint="cs"/>
          <w:sz w:val="16"/>
          <w:szCs w:val="16"/>
          <w:rtl/>
        </w:rPr>
        <w:t>(</w:t>
      </w:r>
      <w:r w:rsidRPr="00363731">
        <w:rPr>
          <w:rFonts w:cs="Arial"/>
          <w:sz w:val="16"/>
          <w:szCs w:val="16"/>
          <w:rtl/>
        </w:rPr>
        <w:t>ועיין לקמן סי' ע"ט</w:t>
      </w:r>
      <w:r>
        <w:rPr>
          <w:rFonts w:cs="Arial" w:hint="cs"/>
          <w:sz w:val="16"/>
          <w:szCs w:val="16"/>
          <w:rtl/>
        </w:rPr>
        <w:t>)</w:t>
      </w:r>
      <w:r>
        <w:rPr>
          <w:rFonts w:cs="Arial" w:hint="cs"/>
          <w:rtl/>
        </w:rPr>
        <w:t>.</w:t>
      </w:r>
      <w:r w:rsidRPr="002238E2">
        <w:rPr>
          <w:rFonts w:hint="cs"/>
          <w:sz w:val="16"/>
          <w:szCs w:val="16"/>
          <w:rtl/>
        </w:rPr>
        <w:t xml:space="preserve"> (</w:t>
      </w:r>
      <w:r w:rsidRPr="002238E2">
        <w:rPr>
          <w:rFonts w:cs="Arial"/>
          <w:sz w:val="16"/>
          <w:szCs w:val="16"/>
          <w:rtl/>
        </w:rPr>
        <w:t xml:space="preserve">ועיין </w:t>
      </w:r>
      <w:r w:rsidR="009334FF">
        <w:rPr>
          <w:rFonts w:cs="Arial"/>
          <w:sz w:val="16"/>
          <w:szCs w:val="16"/>
          <w:rtl/>
        </w:rPr>
        <w:t>ב</w:t>
      </w:r>
      <w:r w:rsidR="00DB737E">
        <w:rPr>
          <w:rFonts w:cs="Arial"/>
          <w:sz w:val="16"/>
          <w:szCs w:val="16"/>
          <w:rtl/>
        </w:rPr>
        <w:t>הגהות</w:t>
      </w:r>
      <w:r w:rsidRPr="002238E2">
        <w:rPr>
          <w:rFonts w:cs="Arial"/>
          <w:sz w:val="16"/>
          <w:szCs w:val="16"/>
          <w:rtl/>
        </w:rPr>
        <w:t xml:space="preserve"> יד אפרים שכ' ע"ז דמלשון תשובת הרשב"א שהביא בד"מ מבואר דאף באומר הרי גיטה וכתובת</w:t>
      </w:r>
      <w:r w:rsidRPr="002238E2">
        <w:rPr>
          <w:rFonts w:cs="Arial" w:hint="cs"/>
          <w:sz w:val="16"/>
          <w:szCs w:val="16"/>
          <w:rtl/>
        </w:rPr>
        <w:t>ה</w:t>
      </w:r>
      <w:r w:rsidRPr="002238E2">
        <w:rPr>
          <w:rFonts w:cs="Arial"/>
          <w:sz w:val="16"/>
          <w:szCs w:val="16"/>
          <w:rtl/>
        </w:rPr>
        <w:t xml:space="preserve"> לא מהני כיון שאינו יכול לגרשה ע"ש. ועיין בתשו' חוט השני </w:t>
      </w:r>
      <w:r w:rsidRPr="002238E2">
        <w:rPr>
          <w:rFonts w:cs="Arial" w:hint="cs"/>
          <w:sz w:val="16"/>
          <w:szCs w:val="16"/>
          <w:rtl/>
        </w:rPr>
        <w:t>(</w:t>
      </w:r>
      <w:r w:rsidRPr="002238E2">
        <w:rPr>
          <w:rFonts w:cs="Arial"/>
          <w:sz w:val="16"/>
          <w:szCs w:val="16"/>
          <w:rtl/>
        </w:rPr>
        <w:t>סי' לב</w:t>
      </w:r>
      <w:r w:rsidRPr="002238E2">
        <w:rPr>
          <w:rFonts w:cs="Arial" w:hint="cs"/>
          <w:sz w:val="16"/>
          <w:szCs w:val="16"/>
          <w:rtl/>
        </w:rPr>
        <w:t>)</w:t>
      </w:r>
      <w:r w:rsidRPr="002238E2">
        <w:rPr>
          <w:rFonts w:cs="Arial"/>
          <w:sz w:val="16"/>
          <w:szCs w:val="16"/>
          <w:rtl/>
        </w:rPr>
        <w:t xml:space="preserve"> שכ' על נדון דידי' וז"ל</w:t>
      </w:r>
      <w:r w:rsidRPr="002238E2">
        <w:rPr>
          <w:rFonts w:cs="Arial" w:hint="cs"/>
          <w:sz w:val="16"/>
          <w:szCs w:val="16"/>
          <w:rtl/>
        </w:rPr>
        <w:t>:</w:t>
      </w:r>
      <w:r w:rsidRPr="002238E2">
        <w:rPr>
          <w:rFonts w:cs="Arial"/>
          <w:sz w:val="16"/>
          <w:szCs w:val="16"/>
          <w:rtl/>
        </w:rPr>
        <w:t xml:space="preserve"> ואין לפטור אותו מטעם שנשטית שכ' הרמב"ם </w:t>
      </w:r>
      <w:r w:rsidRPr="002238E2">
        <w:rPr>
          <w:rFonts w:cs="Arial" w:hint="cs"/>
          <w:sz w:val="16"/>
          <w:szCs w:val="16"/>
          <w:rtl/>
        </w:rPr>
        <w:t>(</w:t>
      </w:r>
      <w:r w:rsidRPr="002238E2">
        <w:rPr>
          <w:rFonts w:cs="Arial"/>
          <w:sz w:val="16"/>
          <w:szCs w:val="16"/>
          <w:rtl/>
        </w:rPr>
        <w:t>פ"י מה"א</w:t>
      </w:r>
      <w:r w:rsidRPr="002238E2">
        <w:rPr>
          <w:rFonts w:cs="Arial" w:hint="cs"/>
          <w:sz w:val="16"/>
          <w:szCs w:val="16"/>
          <w:rtl/>
        </w:rPr>
        <w:t>)</w:t>
      </w:r>
      <w:r w:rsidRPr="002238E2">
        <w:rPr>
          <w:rFonts w:cs="Arial"/>
          <w:sz w:val="16"/>
          <w:szCs w:val="16"/>
          <w:rtl/>
        </w:rPr>
        <w:t xml:space="preserve"> שאין חייב לה בשכ"ו</w:t>
      </w:r>
      <w:r w:rsidRPr="002238E2">
        <w:rPr>
          <w:rFonts w:cs="Arial" w:hint="cs"/>
          <w:sz w:val="16"/>
          <w:szCs w:val="16"/>
          <w:rtl/>
        </w:rPr>
        <w:t>,</w:t>
      </w:r>
      <w:r w:rsidRPr="002238E2">
        <w:rPr>
          <w:rFonts w:cs="Arial"/>
          <w:sz w:val="16"/>
          <w:szCs w:val="16"/>
          <w:rtl/>
        </w:rPr>
        <w:t xml:space="preserve"> כבר נפסקה ההלכה מפי גדול האחרונים כהראב"ד שהשיג עליו</w:t>
      </w:r>
      <w:r w:rsidRPr="002238E2">
        <w:rPr>
          <w:rFonts w:cs="Arial" w:hint="cs"/>
          <w:sz w:val="16"/>
          <w:szCs w:val="16"/>
          <w:rtl/>
        </w:rPr>
        <w:t>,</w:t>
      </w:r>
      <w:r w:rsidRPr="002238E2">
        <w:rPr>
          <w:rFonts w:cs="Arial"/>
          <w:sz w:val="16"/>
          <w:szCs w:val="16"/>
          <w:rtl/>
        </w:rPr>
        <w:t xml:space="preserve"> וכן דעת הרשב"א בתשו' שחייב לה בכל. ועוד אפשר שבזה גם הר"מ מודה כי שגעון כזה הבא מחמת חולי ועודנה בחליה מוחזקים הם להתרפאות ואין אחד מני אלף אשר לא יכול להרפא והר"מ לא פליג אלא היכא שהיא בריאה ומשתגעת</w:t>
      </w:r>
      <w:r w:rsidRPr="002238E2">
        <w:rPr>
          <w:rFonts w:cs="Arial" w:hint="cs"/>
          <w:sz w:val="16"/>
          <w:szCs w:val="16"/>
          <w:rtl/>
        </w:rPr>
        <w:t>,</w:t>
      </w:r>
      <w:r w:rsidRPr="002238E2">
        <w:rPr>
          <w:rFonts w:cs="Arial"/>
          <w:sz w:val="16"/>
          <w:szCs w:val="16"/>
          <w:rtl/>
        </w:rPr>
        <w:t xml:space="preserve"> שהשגעון ההוא ברוב פעמים הוא נצחי ואינו מוחזק להתרפאות עכ"ל</w:t>
      </w:r>
      <w:r w:rsidRPr="002238E2">
        <w:rPr>
          <w:rFonts w:hint="cs"/>
          <w:sz w:val="16"/>
          <w:szCs w:val="16"/>
          <w:rtl/>
        </w:rPr>
        <w:t>, פת"ש (סק"ז)</w:t>
      </w:r>
      <w:r>
        <w:rPr>
          <w:rFonts w:hint="cs"/>
          <w:sz w:val="16"/>
          <w:szCs w:val="16"/>
          <w:rtl/>
        </w:rPr>
        <w:t>).</w:t>
      </w:r>
    </w:p>
    <w:p w14:paraId="7EBCF7BB" w14:textId="4BE6A4C1" w:rsidR="002238E2" w:rsidRDefault="002238E2" w:rsidP="002238E2">
      <w:pPr>
        <w:pStyle w:val="a5"/>
        <w:numPr>
          <w:ilvl w:val="0"/>
          <w:numId w:val="131"/>
        </w:numPr>
      </w:pPr>
      <w:r>
        <w:rPr>
          <w:rFonts w:hint="cs"/>
          <w:rtl/>
        </w:rPr>
        <w:t xml:space="preserve">ט"ז </w:t>
      </w:r>
      <w:r w:rsidRPr="008121F7">
        <w:rPr>
          <w:rFonts w:hint="cs"/>
          <w:sz w:val="16"/>
          <w:szCs w:val="16"/>
          <w:rtl/>
        </w:rPr>
        <w:t>(סק"ה)</w:t>
      </w:r>
      <w:r>
        <w:rPr>
          <w:rFonts w:hint="cs"/>
          <w:rtl/>
        </w:rPr>
        <w:t xml:space="preserve">- </w:t>
      </w:r>
      <w:r w:rsidRPr="008121F7">
        <w:rPr>
          <w:rFonts w:cs="Arial"/>
          <w:rtl/>
        </w:rPr>
        <w:t>נראה לתרץ קושית רמ"א בזה דבסי' קי"ט אזיל לדעתו דיכול לגרשה בעל כרחה ממילא יכול לומר אניח כתובתה ביד בי"ד ומשלם מזה שכר הרופא</w:t>
      </w:r>
      <w:r>
        <w:rPr>
          <w:rFonts w:cs="Arial" w:hint="cs"/>
          <w:rtl/>
        </w:rPr>
        <w:t>.</w:t>
      </w:r>
      <w:r w:rsidRPr="008121F7">
        <w:rPr>
          <w:rFonts w:cs="Arial"/>
          <w:rtl/>
        </w:rPr>
        <w:t xml:space="preserve"> משא"כ כאן דמיירי בענין שאין מגרשין בע</w:t>
      </w:r>
      <w:r>
        <w:rPr>
          <w:rFonts w:cs="Arial" w:hint="cs"/>
          <w:rtl/>
        </w:rPr>
        <w:t xml:space="preserve">ל </w:t>
      </w:r>
      <w:r w:rsidRPr="008121F7">
        <w:rPr>
          <w:rFonts w:cs="Arial"/>
          <w:rtl/>
        </w:rPr>
        <w:t>כ</w:t>
      </w:r>
      <w:r>
        <w:rPr>
          <w:rFonts w:cs="Arial" w:hint="cs"/>
          <w:rtl/>
        </w:rPr>
        <w:t>רחה.</w:t>
      </w:r>
    </w:p>
  </w:footnote>
  <w:footnote w:id="44">
    <w:p w14:paraId="2CC1329B" w14:textId="310EF450" w:rsidR="00403A76" w:rsidRDefault="00403A76" w:rsidP="00705D4B">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שאלה. ראובן ושמעון נתחתנו בהדי הדדי ראובן קידש אחותו של שמעון ושמעון קידש אחותו של ראובן והיו הקדושין בשעה אחת אלא שקדם ראובן שהיה גדול בשנים ולאלתר קידש שמעון ולאחר זמן ביקש שמעון לגרש אחותו של ראובן וליתן לה קנס הידוע הנוהג באותו מקום אמר ראובן אף על פי שאתה נותן הקנס אני מגרש אחותך שלא בקנס שעל מנת כן קדשתי אותה והקדושין בשעה אחת נגמרו על דעת זו ושמעון טוען ואומר לא היה בינינו תנאי מעולם אלא שנזדמן שהיו הקדושין בשעה אחת הנה כל מי שהיה שם לא שמע בינינו בשעת הקדושין שום תנאי בעולם היש לראובן זה מן הדין שיגרש אחות שמעון בלא קנס ואם אמר אין אצלי מה שאתן בקנס היש מן הדין לכוף אותו שישאנה או לא</w:t>
      </w:r>
      <w:r>
        <w:rPr>
          <w:rFonts w:cs="Arial" w:hint="cs"/>
          <w:rtl/>
        </w:rPr>
        <w:t xml:space="preserve">.   </w:t>
      </w:r>
      <w:r>
        <w:rPr>
          <w:rFonts w:cs="Arial"/>
          <w:rtl/>
        </w:rPr>
        <w:t xml:space="preserve"> תשובה</w:t>
      </w:r>
      <w:r>
        <w:rPr>
          <w:rFonts w:cs="Arial" w:hint="cs"/>
          <w:rtl/>
        </w:rPr>
        <w:t>-</w:t>
      </w:r>
      <w:r>
        <w:rPr>
          <w:rFonts w:cs="Arial"/>
          <w:rtl/>
        </w:rPr>
        <w:t xml:space="preserve"> אם אין לראובן עדים שיעידו בתנאי זה שהוא טוען אין לו לגרש אחות שמעון עד שיתן קנס עד פרוטה אחרונה לפי מנהג המקום אף על פי ששני הקדושין היו בשעה אחת אלא אם טוען ראובן שהתנה עמו על זה שמעון בתנאי זה קודם ביאת העדים יש להשביע ואחר כך יתן לו הקנס</w:t>
      </w:r>
      <w:r>
        <w:rPr>
          <w:rFonts w:cs="Arial" w:hint="cs"/>
          <w:rtl/>
        </w:rPr>
        <w:t>.</w:t>
      </w:r>
      <w:r>
        <w:rPr>
          <w:rFonts w:cs="Arial"/>
          <w:rtl/>
        </w:rPr>
        <w:t xml:space="preserve"> ואם אין אצל ראובן כופין אותו לישא אותה ואין לו רשות לגרשה אחר הנשואין בלא כתובה משום שאמר המשנה לקתה חייב לרפאתה אמר הרי גיטה וכתובתה תרפא את עצמה רשאי נמצא שאינו רשאי לגרשה אלא אם אמר הרי גיטה וכתובתה אבל שלא בכתובה לא ואם לא קבל עליו את הדין מנדין אותו וכן הדין. יצחק ב"י אלפאס.</w:t>
      </w:r>
    </w:p>
  </w:footnote>
  <w:footnote w:id="45">
    <w:p w14:paraId="0ABF20C8" w14:textId="3A31ABC0" w:rsidR="00403A76" w:rsidRDefault="00403A76" w:rsidP="00705D4B">
      <w:pPr>
        <w:pStyle w:val="a5"/>
      </w:pPr>
      <w:r>
        <w:rPr>
          <w:rStyle w:val="a7"/>
        </w:rPr>
        <w:footnoteRef/>
      </w:r>
      <w:r>
        <w:rPr>
          <w:rtl/>
        </w:rPr>
        <w:t xml:space="preserve"> </w:t>
      </w:r>
      <w:r w:rsidRPr="0022210A">
        <w:rPr>
          <w:rFonts w:cs="Arial"/>
          <w:rtl/>
        </w:rPr>
        <w:t xml:space="preserve">ואינם נראים דברי סמכא דלא לישתמיט חד מהפוסקים המפורסמים לכתוב כן אפילו ברמז והראיה שהביא מידחיא בגילא דחיטתאה כמבואר למבין וכמה תשובות כתובות בשם הגדולים ואינה שלהם וכדאמרינן בפרק ב' ביבמות (כב.) לאו מר בריה דרבינא חתים עלייהו וכיוצא בזה כתב הרשב"א ז"ל בתשובה אחרת </w:t>
      </w:r>
      <w:r w:rsidRPr="009B7B65">
        <w:rPr>
          <w:rFonts w:cs="Arial"/>
          <w:sz w:val="16"/>
          <w:szCs w:val="16"/>
          <w:rtl/>
        </w:rPr>
        <w:t>(ח"א סי' אלף קסו</w:t>
      </w:r>
      <w:r w:rsidRPr="009B7B65">
        <w:rPr>
          <w:rFonts w:cs="Arial" w:hint="cs"/>
          <w:sz w:val="16"/>
          <w:szCs w:val="16"/>
          <w:rtl/>
        </w:rPr>
        <w:t xml:space="preserve">, </w:t>
      </w:r>
      <w:r w:rsidR="000A0F5A">
        <w:rPr>
          <w:rFonts w:cs="Arial" w:hint="cs"/>
          <w:sz w:val="16"/>
          <w:szCs w:val="16"/>
          <w:rtl/>
        </w:rPr>
        <w:t>וז</w:t>
      </w:r>
      <w:r w:rsidR="000A0F5A">
        <w:rPr>
          <w:rFonts w:cs="Arial"/>
          <w:sz w:val="16"/>
          <w:szCs w:val="16"/>
          <w:rtl/>
        </w:rPr>
        <w:t>"</w:t>
      </w:r>
      <w:r w:rsidR="000A0F5A">
        <w:rPr>
          <w:rFonts w:cs="Arial" w:hint="cs"/>
          <w:sz w:val="16"/>
          <w:szCs w:val="16"/>
          <w:rtl/>
        </w:rPr>
        <w:t>ל:</w:t>
      </w:r>
      <w:r w:rsidRPr="009B7B65">
        <w:rPr>
          <w:rFonts w:cs="Arial" w:hint="cs"/>
          <w:sz w:val="16"/>
          <w:szCs w:val="16"/>
          <w:rtl/>
        </w:rPr>
        <w:t xml:space="preserve"> </w:t>
      </w:r>
      <w:r w:rsidRPr="009B7B65">
        <w:rPr>
          <w:rFonts w:cs="Arial"/>
          <w:sz w:val="16"/>
          <w:szCs w:val="16"/>
          <w:rtl/>
        </w:rPr>
        <w:t xml:space="preserve">ומה שאמרת שיש בידכם תשובה מהגאון רב חננאל ז"ל שאין חוששין לעדות פסולי רבנן בגירושין כלל. אותה תשובה לא ראינוה ולא שמענוה ולא הגיע' לידינו מעולם ואין אנו יודעין אם הרב ז"ל חתום עליה ובדברים כאלו אין סומכין עליהם בלא ראיה ברורה. והרבה תשובות נכתבו ויצא עליה' שם אחד מן הגדולים אשר בארץ ואולי לא אמרום מעולם. ואל תתמה שאפילו בתלמוד יארע ככה כמו שאמרו ביבמות פ' כיצד (דף כ"ב) ואי כתיבא להיתר' מי הוה סמכא עלייהו אטו מר בריה דרבינא חתי' עלייהו) </w:t>
      </w:r>
      <w:r w:rsidRPr="0022210A">
        <w:rPr>
          <w:rFonts w:cs="Arial"/>
          <w:rtl/>
        </w:rPr>
        <w:t>ועיין בתשובת הריב"ש (סי' צא) שכתבתי בסוף סימן א' (ג:)</w:t>
      </w:r>
      <w:r>
        <w:rPr>
          <w:rFonts w:cs="Arial" w:hint="cs"/>
          <w:rtl/>
        </w:rPr>
        <w:t>, ב"י (בבדה"ב).</w:t>
      </w:r>
    </w:p>
  </w:footnote>
  <w:footnote w:id="46">
    <w:p w14:paraId="1AB2D728" w14:textId="77777777" w:rsidR="00403A76" w:rsidRDefault="00403A76" w:rsidP="00C75A20">
      <w:pPr>
        <w:pStyle w:val="a5"/>
        <w:rPr>
          <w:rtl/>
        </w:rPr>
      </w:pPr>
      <w:r>
        <w:rPr>
          <w:rStyle w:val="a7"/>
        </w:rPr>
        <w:footnoteRef/>
      </w:r>
      <w:r>
        <w:rPr>
          <w:rtl/>
        </w:rPr>
        <w:t xml:space="preserve"> </w:t>
      </w:r>
      <w:r>
        <w:rPr>
          <w:rFonts w:hint="cs"/>
          <w:rtl/>
        </w:rPr>
        <w:t>איך מתפרשים דבריו של רב הונא.</w:t>
      </w:r>
    </w:p>
  </w:footnote>
  <w:footnote w:id="47">
    <w:p w14:paraId="59F4D6E5" w14:textId="77777777" w:rsidR="00403A76" w:rsidRDefault="00403A76" w:rsidP="00C75A20">
      <w:pPr>
        <w:pStyle w:val="a5"/>
      </w:pPr>
      <w:r>
        <w:rPr>
          <w:rStyle w:val="a7"/>
        </w:rPr>
        <w:footnoteRef/>
      </w:r>
      <w:r>
        <w:rPr>
          <w:rtl/>
        </w:rPr>
        <w:t xml:space="preserve"> </w:t>
      </w:r>
      <w:r w:rsidRPr="00C4747B">
        <w:rPr>
          <w:rFonts w:cs="Arial"/>
          <w:rtl/>
        </w:rPr>
        <w:t xml:space="preserve">מדכתב </w:t>
      </w:r>
      <w:r>
        <w:rPr>
          <w:rFonts w:cs="Arial" w:hint="cs"/>
          <w:rtl/>
        </w:rPr>
        <w:t>'</w:t>
      </w:r>
      <w:r w:rsidRPr="00C4747B">
        <w:rPr>
          <w:rFonts w:cs="Arial"/>
          <w:rtl/>
        </w:rPr>
        <w:t>בדבר מן הדברים</w:t>
      </w:r>
      <w:r>
        <w:rPr>
          <w:rFonts w:cs="Arial" w:hint="cs"/>
          <w:rtl/>
        </w:rPr>
        <w:t>'</w:t>
      </w:r>
      <w:r w:rsidRPr="00C4747B">
        <w:rPr>
          <w:rFonts w:cs="Arial"/>
          <w:rtl/>
        </w:rPr>
        <w:t xml:space="preserve"> משמע בהדיא דכרבי יוחנן דאמר אפילו באחת מהן סבירא ליה</w:t>
      </w:r>
      <w:r>
        <w:rPr>
          <w:rFonts w:cs="Arial" w:hint="cs"/>
          <w:rtl/>
        </w:rPr>
        <w:t>, ב"י.</w:t>
      </w:r>
    </w:p>
  </w:footnote>
  <w:footnote w:id="48">
    <w:p w14:paraId="2E7804E4" w14:textId="0DC65413" w:rsidR="00667E9B" w:rsidRPr="007C0828" w:rsidRDefault="00667E9B">
      <w:pPr>
        <w:pStyle w:val="a5"/>
      </w:pPr>
      <w:r>
        <w:rPr>
          <w:rStyle w:val="a7"/>
        </w:rPr>
        <w:footnoteRef/>
      </w:r>
      <w:r>
        <w:rPr>
          <w:rtl/>
        </w:rPr>
        <w:t xml:space="preserve"> </w:t>
      </w:r>
      <w:r>
        <w:rPr>
          <w:rFonts w:cs="Arial" w:hint="cs"/>
          <w:rtl/>
        </w:rPr>
        <w:t>וכ"כ ה</w:t>
      </w:r>
      <w:r w:rsidRPr="00F921C1">
        <w:rPr>
          <w:rFonts w:cs="Arial"/>
          <w:rtl/>
        </w:rPr>
        <w:t xml:space="preserve">ריב"ש </w:t>
      </w:r>
      <w:r w:rsidRPr="00813C8C">
        <w:rPr>
          <w:rFonts w:cs="Arial" w:hint="cs"/>
          <w:sz w:val="16"/>
          <w:szCs w:val="16"/>
          <w:rtl/>
        </w:rPr>
        <w:t>(</w:t>
      </w:r>
      <w:r w:rsidRPr="00813C8C">
        <w:rPr>
          <w:rFonts w:cs="Arial"/>
          <w:sz w:val="16"/>
          <w:szCs w:val="16"/>
          <w:rtl/>
        </w:rPr>
        <w:t>סי</w:t>
      </w:r>
      <w:r w:rsidRPr="00813C8C">
        <w:rPr>
          <w:rFonts w:cs="Arial" w:hint="cs"/>
          <w:sz w:val="16"/>
          <w:szCs w:val="16"/>
          <w:rtl/>
        </w:rPr>
        <w:t>'</w:t>
      </w:r>
      <w:r w:rsidRPr="00813C8C">
        <w:rPr>
          <w:rFonts w:cs="Arial"/>
          <w:sz w:val="16"/>
          <w:szCs w:val="16"/>
          <w:rtl/>
        </w:rPr>
        <w:t xml:space="preserve"> תסח</w:t>
      </w:r>
      <w:r w:rsidRPr="00813C8C">
        <w:rPr>
          <w:rFonts w:cs="Arial" w:hint="cs"/>
          <w:sz w:val="16"/>
          <w:szCs w:val="16"/>
          <w:rtl/>
        </w:rPr>
        <w:t xml:space="preserve"> </w:t>
      </w:r>
      <w:r w:rsidRPr="00813C8C">
        <w:rPr>
          <w:rFonts w:cs="Arial"/>
          <w:sz w:val="16"/>
          <w:szCs w:val="16"/>
          <w:rtl/>
        </w:rPr>
        <w:t>קמג. ד"ה דבר)</w:t>
      </w:r>
      <w:r w:rsidR="007C0828">
        <w:rPr>
          <w:rFonts w:cs="Arial" w:hint="cs"/>
          <w:rtl/>
        </w:rPr>
        <w:t>.</w:t>
      </w:r>
    </w:p>
  </w:footnote>
  <w:footnote w:id="49">
    <w:p w14:paraId="0D309704" w14:textId="77777777" w:rsidR="00403A76" w:rsidRDefault="00403A76" w:rsidP="00C75A20">
      <w:pPr>
        <w:pStyle w:val="a5"/>
        <w:rPr>
          <w:rtl/>
        </w:rPr>
      </w:pPr>
      <w:r>
        <w:rPr>
          <w:rStyle w:val="a7"/>
        </w:rPr>
        <w:footnoteRef/>
      </w:r>
      <w:r>
        <w:rPr>
          <w:rtl/>
        </w:rPr>
        <w:t xml:space="preserve"> </w:t>
      </w:r>
      <w:r w:rsidRPr="00F921C1">
        <w:rPr>
          <w:rFonts w:cs="Arial"/>
          <w:rtl/>
        </w:rPr>
        <w:t>אם מדבר ואינו יודע מה מדבר כדרך החולים הרי זה כשוטה גמור</w:t>
      </w:r>
      <w:r>
        <w:rPr>
          <w:rFonts w:cs="Arial" w:hint="cs"/>
          <w:rtl/>
        </w:rPr>
        <w:t>,</w:t>
      </w:r>
      <w:r w:rsidRPr="006341A4">
        <w:rPr>
          <w:rFonts w:cs="Arial" w:hint="cs"/>
          <w:rtl/>
        </w:rPr>
        <w:t xml:space="preserve"> </w:t>
      </w:r>
      <w:r w:rsidRPr="00F921C1">
        <w:rPr>
          <w:rFonts w:cs="Arial" w:hint="cs"/>
          <w:rtl/>
        </w:rPr>
        <w:t xml:space="preserve">דרכ"מ </w:t>
      </w:r>
      <w:r w:rsidRPr="006341A4">
        <w:rPr>
          <w:rFonts w:cs="Arial"/>
          <w:sz w:val="16"/>
          <w:szCs w:val="16"/>
          <w:rtl/>
        </w:rPr>
        <w:t>(</w:t>
      </w:r>
      <w:r w:rsidRPr="006341A4">
        <w:rPr>
          <w:rFonts w:cs="Arial" w:hint="cs"/>
          <w:sz w:val="16"/>
          <w:szCs w:val="16"/>
          <w:rtl/>
        </w:rPr>
        <w:t xml:space="preserve">סי' קכא אות </w:t>
      </w:r>
      <w:r w:rsidRPr="006341A4">
        <w:rPr>
          <w:rFonts w:cs="Arial"/>
          <w:sz w:val="16"/>
          <w:szCs w:val="16"/>
          <w:rtl/>
        </w:rPr>
        <w:t>ו</w:t>
      </w:r>
      <w:r w:rsidRPr="006341A4">
        <w:rPr>
          <w:rFonts w:cs="Arial" w:hint="cs"/>
          <w:sz w:val="16"/>
          <w:szCs w:val="16"/>
          <w:rtl/>
        </w:rPr>
        <w:t>, ו</w:t>
      </w:r>
      <w:r w:rsidRPr="006341A4">
        <w:rPr>
          <w:rFonts w:cs="Arial"/>
          <w:sz w:val="16"/>
          <w:szCs w:val="16"/>
          <w:rtl/>
        </w:rPr>
        <w:t>בד</w:t>
      </w:r>
      <w:r w:rsidRPr="006341A4">
        <w:rPr>
          <w:rFonts w:cs="Arial" w:hint="cs"/>
          <w:sz w:val="16"/>
          <w:szCs w:val="16"/>
          <w:rtl/>
        </w:rPr>
        <w:t>רכ</w:t>
      </w:r>
      <w:r w:rsidRPr="006341A4">
        <w:rPr>
          <w:rFonts w:cs="Arial"/>
          <w:sz w:val="16"/>
          <w:szCs w:val="16"/>
          <w:rtl/>
        </w:rPr>
        <w:t>"מ הארוך ס"ד ד"ה צריך לדקדק)</w:t>
      </w:r>
      <w:r w:rsidRPr="00F921C1">
        <w:rPr>
          <w:rFonts w:cs="Arial"/>
          <w:rtl/>
        </w:rPr>
        <w:t>.</w:t>
      </w:r>
    </w:p>
  </w:footnote>
  <w:footnote w:id="50">
    <w:p w14:paraId="65762704" w14:textId="5DF10B17" w:rsidR="00465DAD" w:rsidRDefault="00465DAD" w:rsidP="00465DAD">
      <w:pPr>
        <w:pStyle w:val="a5"/>
      </w:pPr>
      <w:r>
        <w:rPr>
          <w:rStyle w:val="a7"/>
        </w:rPr>
        <w:footnoteRef/>
      </w:r>
      <w:r>
        <w:rPr>
          <w:rFonts w:cs="Arial" w:hint="cs"/>
          <w:rtl/>
        </w:rPr>
        <w:t xml:space="preserve"> </w:t>
      </w:r>
      <w:r w:rsidRPr="00F921C1">
        <w:rPr>
          <w:rFonts w:cs="Arial"/>
          <w:rtl/>
        </w:rPr>
        <w:t>לכאורה היה נראה דחד מהני ארבע דתניא בגמרא בעינן ליחשב שוטה</w:t>
      </w:r>
      <w:r>
        <w:rPr>
          <w:rFonts w:cs="Arial" w:hint="cs"/>
          <w:rtl/>
        </w:rPr>
        <w:t>,</w:t>
      </w:r>
      <w:r w:rsidRPr="00F921C1">
        <w:rPr>
          <w:rFonts w:cs="Arial"/>
          <w:rtl/>
        </w:rPr>
        <w:t xml:space="preserve"> אבל אי עביד שאר דברים אחרים דרך שטות אכתי בחזקת שפוי הוא כיון שאינו עושה דבר מד' דברים הללו</w:t>
      </w:r>
      <w:r>
        <w:rPr>
          <w:rFonts w:cs="Arial" w:hint="cs"/>
          <w:rtl/>
        </w:rPr>
        <w:t>,</w:t>
      </w:r>
      <w:r w:rsidRPr="00F921C1">
        <w:rPr>
          <w:rFonts w:cs="Arial"/>
          <w:rtl/>
        </w:rPr>
        <w:t xml:space="preserve"> אלא דמדברי הרמב"ם שלא הזכיר דברים הללו אלא סתם וכתב שנטרפה דעתו וכו' בדבר מן הדברים משמע דהני ד' דברים השנויים בברייתא לאו דוקא אלא לדוגמא נקטינהו והוא הדין לשאר דברים</w:t>
      </w:r>
      <w:r>
        <w:rPr>
          <w:rFonts w:cs="Arial" w:hint="cs"/>
          <w:rtl/>
        </w:rPr>
        <w:t>.</w:t>
      </w:r>
      <w:r w:rsidRPr="00465DAD">
        <w:rPr>
          <w:rFonts w:cs="Arial"/>
          <w:rtl/>
        </w:rPr>
        <w:t xml:space="preserve"> </w:t>
      </w:r>
      <w:r w:rsidRPr="00F921C1">
        <w:rPr>
          <w:rFonts w:cs="Arial"/>
          <w:rtl/>
        </w:rPr>
        <w:t>ונראה שהכריחו לפרש כן מדחזינן דבברייתא קמייתא קתני תלת ולא קתני מאבד מה שנותנין לו ובאידך ברייתא קתני מאבד מה שנותנין לו ולא קתני אינך תלתא ואם איתא דהני ד' דוקא קשיא על ברייתא קמייתא אמאי לא קתני מאבד מה שנותנין לו ובאידך ברייתא לא קתני הנך תלתא אלא ודאי הני לאו דוקא אלא לדוגמא נקטינהו והך ברייתא נקטה הנך לדוגמא ואידך ברייתא נקטה הך וזה שלא כדברי רבינו שמחה שכתבתי בסימן קי"ט (ב:)</w:t>
      </w:r>
      <w:r>
        <w:rPr>
          <w:rFonts w:cs="Arial" w:hint="cs"/>
          <w:rtl/>
        </w:rPr>
        <w:t>, ב"י.</w:t>
      </w:r>
      <w:r>
        <w:rPr>
          <w:rFonts w:hint="cs"/>
          <w:rtl/>
        </w:rPr>
        <w:t xml:space="preserve"> וכן הבין הדרכ"מ (אות ה) מדברי הרמב"ם, </w:t>
      </w:r>
      <w:r>
        <w:rPr>
          <w:rFonts w:cs="Arial" w:hint="cs"/>
          <w:rtl/>
        </w:rPr>
        <w:t xml:space="preserve">וכתב שכן דעת </w:t>
      </w:r>
      <w:r w:rsidRPr="00F921C1">
        <w:rPr>
          <w:rFonts w:cs="Arial"/>
          <w:rtl/>
        </w:rPr>
        <w:t>מהר</w:t>
      </w:r>
      <w:r>
        <w:rPr>
          <w:rFonts w:cs="Arial" w:hint="cs"/>
          <w:rtl/>
        </w:rPr>
        <w:t>י"ו</w:t>
      </w:r>
      <w:r w:rsidRPr="00F921C1">
        <w:rPr>
          <w:rFonts w:cs="Arial"/>
          <w:rtl/>
        </w:rPr>
        <w:t xml:space="preserve"> </w:t>
      </w:r>
      <w:r w:rsidRPr="006341A4">
        <w:rPr>
          <w:rFonts w:cs="Arial" w:hint="cs"/>
          <w:sz w:val="16"/>
          <w:szCs w:val="16"/>
          <w:rtl/>
        </w:rPr>
        <w:t>(</w:t>
      </w:r>
      <w:r w:rsidRPr="006341A4">
        <w:rPr>
          <w:rFonts w:cs="Arial"/>
          <w:sz w:val="16"/>
          <w:szCs w:val="16"/>
          <w:rtl/>
        </w:rPr>
        <w:t>סי</w:t>
      </w:r>
      <w:r w:rsidRPr="006341A4">
        <w:rPr>
          <w:rFonts w:cs="Arial" w:hint="cs"/>
          <w:sz w:val="16"/>
          <w:szCs w:val="16"/>
          <w:rtl/>
        </w:rPr>
        <w:t>'</w:t>
      </w:r>
      <w:r w:rsidRPr="006341A4">
        <w:rPr>
          <w:rFonts w:cs="Arial"/>
          <w:sz w:val="16"/>
          <w:szCs w:val="16"/>
          <w:rtl/>
        </w:rPr>
        <w:t xml:space="preserve"> נב</w:t>
      </w:r>
      <w:r>
        <w:rPr>
          <w:rFonts w:cs="Arial" w:hint="cs"/>
          <w:sz w:val="16"/>
          <w:szCs w:val="16"/>
          <w:rtl/>
        </w:rPr>
        <w:t>, הביאו ה</w:t>
      </w:r>
      <w:r w:rsidRPr="006341A4">
        <w:rPr>
          <w:rFonts w:cs="Arial" w:hint="cs"/>
          <w:sz w:val="16"/>
          <w:szCs w:val="16"/>
          <w:rtl/>
        </w:rPr>
        <w:t xml:space="preserve">דרכ"מ </w:t>
      </w:r>
      <w:r>
        <w:rPr>
          <w:rFonts w:cs="Arial" w:hint="cs"/>
          <w:sz w:val="16"/>
          <w:szCs w:val="16"/>
          <w:rtl/>
        </w:rPr>
        <w:t>[שם])</w:t>
      </w:r>
      <w:r>
        <w:rPr>
          <w:rFonts w:hint="cs"/>
          <w:rtl/>
        </w:rPr>
        <w:t>,</w:t>
      </w:r>
      <w:r>
        <w:rPr>
          <w:rtl/>
        </w:rPr>
        <w:t xml:space="preserve"> </w:t>
      </w:r>
      <w:r>
        <w:rPr>
          <w:rFonts w:hint="cs"/>
          <w:rtl/>
        </w:rPr>
        <w:t>וז"ל הדרכ"מ בשמו:</w:t>
      </w:r>
      <w:r>
        <w:rPr>
          <w:rFonts w:cs="Arial" w:hint="cs"/>
          <w:rtl/>
        </w:rPr>
        <w:t xml:space="preserve"> </w:t>
      </w:r>
      <w:r w:rsidRPr="00F921C1">
        <w:rPr>
          <w:rFonts w:cs="Arial"/>
          <w:rtl/>
        </w:rPr>
        <w:t>מי שהוא שוטה בשאר דברים אע</w:t>
      </w:r>
      <w:r>
        <w:rPr>
          <w:rFonts w:cs="Arial" w:hint="cs"/>
          <w:rtl/>
        </w:rPr>
        <w:t>"</w:t>
      </w:r>
      <w:r w:rsidRPr="00F921C1">
        <w:rPr>
          <w:rFonts w:cs="Arial"/>
          <w:rtl/>
        </w:rPr>
        <w:t>פ שאינו לן בבית הקברות או קורע כסותו אפילו הכי מיקרי שוטה</w:t>
      </w:r>
      <w:r>
        <w:rPr>
          <w:rFonts w:cs="Arial" w:hint="cs"/>
          <w:rtl/>
        </w:rPr>
        <w:t>.</w:t>
      </w:r>
    </w:p>
  </w:footnote>
  <w:footnote w:id="51">
    <w:p w14:paraId="1C1E2768" w14:textId="6BAB2D5C" w:rsidR="00403A76" w:rsidRDefault="00403A76" w:rsidP="00C75A20">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שוטה פסול</w:t>
      </w:r>
      <w:r>
        <w:rPr>
          <w:rFonts w:cs="Arial" w:hint="cs"/>
          <w:sz w:val="16"/>
          <w:szCs w:val="16"/>
          <w:rtl/>
        </w:rPr>
        <w:t xml:space="preserve"> {לעדות}</w:t>
      </w:r>
      <w:r>
        <w:rPr>
          <w:rFonts w:cs="Arial"/>
          <w:rtl/>
        </w:rPr>
        <w:t>. ולא שוטה שהוא הולך ערום ומשבר כלים וזורק אבנים בלבד, אלא כל מי שנטרפה דעתו ונמצאת דעתו משובשת תמיד בדבר מהדברים, אף על פי שהוא מדבר ושואל כענין בשאר דברים, הרי זה פסול, ובכלל שוטים יחשב</w:t>
      </w:r>
      <w:r>
        <w:rPr>
          <w:rFonts w:cs="Arial" w:hint="cs"/>
          <w:rtl/>
        </w:rPr>
        <w:t>.</w:t>
      </w:r>
    </w:p>
  </w:footnote>
  <w:footnote w:id="52">
    <w:p w14:paraId="49F39CF7" w14:textId="77777777" w:rsidR="007C0828" w:rsidRDefault="007C0828" w:rsidP="007C0828">
      <w:pPr>
        <w:pStyle w:val="a5"/>
      </w:pPr>
      <w:r>
        <w:rPr>
          <w:rStyle w:val="a7"/>
        </w:rPr>
        <w:footnoteRef/>
      </w:r>
      <w:r>
        <w:rPr>
          <w:rtl/>
        </w:rPr>
        <w:t xml:space="preserve"> </w:t>
      </w:r>
      <w:r>
        <w:rPr>
          <w:rFonts w:cs="Arial" w:hint="cs"/>
          <w:rtl/>
        </w:rPr>
        <w:t xml:space="preserve">וז"ל מהרי"ק- </w:t>
      </w:r>
      <w:r w:rsidRPr="00F921C1">
        <w:rPr>
          <w:rFonts w:cs="Arial"/>
          <w:rtl/>
        </w:rPr>
        <w:t xml:space="preserve">הלא ידע מר מה שהשיב רבינו אביגדור כהן לרבינו מאיר על אודות הגט שניתן בווירצבורק </w:t>
      </w:r>
      <w:r>
        <w:rPr>
          <w:rFonts w:cs="Arial"/>
          <w:rtl/>
        </w:rPr>
        <w:t>וז"ל:</w:t>
      </w:r>
      <w:r w:rsidRPr="00F921C1">
        <w:rPr>
          <w:rFonts w:cs="Arial"/>
          <w:rtl/>
        </w:rPr>
        <w:t xml:space="preserve"> אם לא הוחזק שוטה בדברים האמורים בפ</w:t>
      </w:r>
      <w:r>
        <w:rPr>
          <w:rFonts w:cs="Arial" w:hint="cs"/>
          <w:rtl/>
        </w:rPr>
        <w:t>"</w:t>
      </w:r>
      <w:r w:rsidRPr="00F921C1">
        <w:rPr>
          <w:rFonts w:cs="Arial"/>
          <w:rtl/>
        </w:rPr>
        <w:t xml:space="preserve">ק דחגיגה הרי הוא כפקח לכל דבריו </w:t>
      </w:r>
      <w:r>
        <w:rPr>
          <w:rFonts w:cs="Arial" w:hint="cs"/>
          <w:rtl/>
        </w:rPr>
        <w:t>ע</w:t>
      </w:r>
      <w:r w:rsidRPr="00F921C1">
        <w:rPr>
          <w:rFonts w:cs="Arial"/>
          <w:rtl/>
        </w:rPr>
        <w:t>כ</w:t>
      </w:r>
      <w:r>
        <w:rPr>
          <w:rFonts w:cs="Arial" w:hint="cs"/>
          <w:rtl/>
        </w:rPr>
        <w:t>"</w:t>
      </w:r>
      <w:r w:rsidRPr="00F921C1">
        <w:rPr>
          <w:rFonts w:cs="Arial"/>
          <w:rtl/>
        </w:rPr>
        <w:t>ל</w:t>
      </w:r>
      <w:r>
        <w:rPr>
          <w:rFonts w:cs="Arial" w:hint="cs"/>
          <w:rtl/>
        </w:rPr>
        <w:t>.</w:t>
      </w:r>
      <w:r w:rsidRPr="00F921C1">
        <w:rPr>
          <w:rFonts w:cs="Arial"/>
          <w:rtl/>
        </w:rPr>
        <w:t xml:space="preserve"> ואם יראה בעיני כבוד תורתו דלאו דוקא הני דפ</w:t>
      </w:r>
      <w:r>
        <w:rPr>
          <w:rFonts w:cs="Arial" w:hint="cs"/>
          <w:rtl/>
        </w:rPr>
        <w:t>"ק</w:t>
      </w:r>
      <w:r w:rsidRPr="00F921C1">
        <w:rPr>
          <w:rFonts w:cs="Arial"/>
          <w:rtl/>
        </w:rPr>
        <w:t xml:space="preserve"> דחגיגה אלא שדיברו חכמים בהווה אע</w:t>
      </w:r>
      <w:r>
        <w:rPr>
          <w:rFonts w:cs="Arial" w:hint="cs"/>
          <w:rtl/>
        </w:rPr>
        <w:t>"</w:t>
      </w:r>
      <w:r w:rsidRPr="00F921C1">
        <w:rPr>
          <w:rFonts w:cs="Arial"/>
          <w:rtl/>
        </w:rPr>
        <w:t>ג דמתוך לשון רבינו אביגדור לא משמע כן ויראה בעיני כבוד תורתו שהגיע זה לשטות גדול כמו הני דפ</w:t>
      </w:r>
      <w:r>
        <w:rPr>
          <w:rFonts w:cs="Arial" w:hint="cs"/>
          <w:rtl/>
        </w:rPr>
        <w:t>"ק</w:t>
      </w:r>
      <w:r w:rsidRPr="00F921C1">
        <w:rPr>
          <w:rFonts w:cs="Arial"/>
          <w:rtl/>
        </w:rPr>
        <w:t xml:space="preserve"> דחגיגה אז ודאי יש להשבי</w:t>
      </w:r>
      <w:r>
        <w:rPr>
          <w:rFonts w:cs="Arial" w:hint="cs"/>
          <w:rtl/>
        </w:rPr>
        <w:t>עה סתם וכו'</w:t>
      </w:r>
      <w:r w:rsidRPr="00F921C1">
        <w:rPr>
          <w:rFonts w:cs="Arial"/>
          <w:rtl/>
        </w:rPr>
        <w:t>.</w:t>
      </w:r>
    </w:p>
  </w:footnote>
  <w:footnote w:id="53">
    <w:p w14:paraId="21D98214" w14:textId="77777777" w:rsidR="007C0828" w:rsidRDefault="007C0828" w:rsidP="007C0828">
      <w:pPr>
        <w:pStyle w:val="a5"/>
        <w:rPr>
          <w:rtl/>
        </w:rPr>
      </w:pPr>
      <w:r>
        <w:rPr>
          <w:rStyle w:val="a7"/>
        </w:rPr>
        <w:footnoteRef/>
      </w:r>
      <w:r>
        <w:rPr>
          <w:rtl/>
        </w:rPr>
        <w:t xml:space="preserve"> </w:t>
      </w:r>
      <w:r>
        <w:rPr>
          <w:rFonts w:cs="Arial"/>
          <w:rtl/>
        </w:rPr>
        <w:t>ועיין בפסקי הרא"ש (</w:t>
      </w:r>
      <w:r>
        <w:rPr>
          <w:rFonts w:cs="Arial" w:hint="cs"/>
          <w:rtl/>
        </w:rPr>
        <w:t xml:space="preserve">פרק חרש </w:t>
      </w:r>
      <w:r>
        <w:rPr>
          <w:rFonts w:cs="Arial"/>
          <w:rtl/>
        </w:rPr>
        <w:t>סי' ג) ושם תמצא דין עתים שוטה עתים חלומה</w:t>
      </w:r>
      <w:r>
        <w:rPr>
          <w:rFonts w:cs="Arial" w:hint="cs"/>
          <w:rtl/>
        </w:rPr>
        <w:t>...</w:t>
      </w:r>
      <w:r w:rsidRPr="00705D4B">
        <w:rPr>
          <w:rFonts w:cs="Arial"/>
          <w:rtl/>
        </w:rPr>
        <w:t xml:space="preserve"> ועיין במה שכתבתי בסימן קכ"א (ט.) בדין סימני שוטה</w:t>
      </w:r>
      <w:r>
        <w:rPr>
          <w:rFonts w:cs="Arial" w:hint="cs"/>
          <w:rtl/>
        </w:rPr>
        <w:t>, ב"י (בב"י ובבדה"ב).</w:t>
      </w:r>
      <w:r w:rsidRPr="00EC459D">
        <w:rPr>
          <w:rFonts w:cs="Arial"/>
          <w:rtl/>
        </w:rPr>
        <w:t xml:space="preserve"> </w:t>
      </w:r>
    </w:p>
  </w:footnote>
  <w:footnote w:id="54">
    <w:p w14:paraId="2986B680" w14:textId="45674E47" w:rsidR="00BC3490" w:rsidRDefault="00BC3490" w:rsidP="00BC3490">
      <w:pPr>
        <w:pStyle w:val="a5"/>
      </w:pPr>
      <w:r>
        <w:rPr>
          <w:rStyle w:val="a7"/>
        </w:rPr>
        <w:footnoteRef/>
      </w:r>
      <w:r>
        <w:rPr>
          <w:rtl/>
        </w:rPr>
        <w:t xml:space="preserve"> </w:t>
      </w:r>
      <w:r>
        <w:rPr>
          <w:rFonts w:hint="cs"/>
          <w:rtl/>
        </w:rPr>
        <w:t xml:space="preserve">משמע מדבריו שאפילו עבר וגירשה </w:t>
      </w:r>
      <w:r w:rsidR="00A42812">
        <w:rPr>
          <w:rtl/>
        </w:rPr>
        <w:t>-</w:t>
      </w:r>
      <w:r>
        <w:rPr>
          <w:rFonts w:hint="cs"/>
          <w:rtl/>
        </w:rPr>
        <w:t xml:space="preserve"> אינה מגורשת. אך ב</w:t>
      </w:r>
      <w:r w:rsidRPr="00EC459D">
        <w:rPr>
          <w:rFonts w:cs="Arial"/>
          <w:rtl/>
        </w:rPr>
        <w:t>תוס</w:t>
      </w:r>
      <w:r>
        <w:rPr>
          <w:rFonts w:cs="Arial" w:hint="cs"/>
          <w:rtl/>
        </w:rPr>
        <w:t>'</w:t>
      </w:r>
      <w:r w:rsidRPr="00EC459D">
        <w:rPr>
          <w:rFonts w:cs="Arial"/>
          <w:rtl/>
        </w:rPr>
        <w:t xml:space="preserve"> (</w:t>
      </w:r>
      <w:r>
        <w:rPr>
          <w:rFonts w:cs="Arial" w:hint="cs"/>
          <w:rtl/>
        </w:rPr>
        <w:t>יבמות קיג: ד"ה יצתה</w:t>
      </w:r>
      <w:r w:rsidRPr="00EC459D">
        <w:rPr>
          <w:rFonts w:cs="Arial"/>
          <w:rtl/>
        </w:rPr>
        <w:t>) וב</w:t>
      </w:r>
      <w:r>
        <w:rPr>
          <w:rFonts w:cs="Arial" w:hint="cs"/>
          <w:rtl/>
        </w:rPr>
        <w:t>רא"ש</w:t>
      </w:r>
      <w:r w:rsidRPr="00EC459D">
        <w:rPr>
          <w:rFonts w:cs="Arial"/>
          <w:rtl/>
        </w:rPr>
        <w:t xml:space="preserve"> </w:t>
      </w:r>
      <w:r>
        <w:rPr>
          <w:rFonts w:cs="Arial" w:hint="cs"/>
          <w:rtl/>
        </w:rPr>
        <w:t>(</w:t>
      </w:r>
      <w:r w:rsidRPr="00EC459D">
        <w:rPr>
          <w:rFonts w:cs="Arial"/>
          <w:rtl/>
        </w:rPr>
        <w:t>ר</w:t>
      </w:r>
      <w:r>
        <w:rPr>
          <w:rFonts w:cs="Arial" w:hint="cs"/>
          <w:rtl/>
        </w:rPr>
        <w:t>"</w:t>
      </w:r>
      <w:r w:rsidRPr="00EC459D">
        <w:rPr>
          <w:rFonts w:cs="Arial"/>
          <w:rtl/>
        </w:rPr>
        <w:t>פ חרש סי' ג) משמע דבעתים חלומה ובעתים שוטה</w:t>
      </w:r>
      <w:r>
        <w:rPr>
          <w:rFonts w:cs="Arial" w:hint="cs"/>
          <w:rtl/>
        </w:rPr>
        <w:t>, אם גירשה - בדיעבד מגורשת.</w:t>
      </w:r>
      <w:r w:rsidRPr="00EC459D">
        <w:rPr>
          <w:rFonts w:cs="Arial"/>
          <w:rtl/>
        </w:rPr>
        <w:t xml:space="preserve"> וכן משמע במרדכי פרק התקבל (גיטין סי' תיב) ובתוספות </w:t>
      </w:r>
      <w:r>
        <w:rPr>
          <w:rFonts w:cs="Arial" w:hint="cs"/>
          <w:rtl/>
        </w:rPr>
        <w:t xml:space="preserve">פ' האיש המקדש </w:t>
      </w:r>
      <w:r w:rsidRPr="00EC459D">
        <w:rPr>
          <w:rFonts w:cs="Arial"/>
          <w:rtl/>
        </w:rPr>
        <w:t>(קידושין מג: ד"ה וכל). ובתשובת מהרי</w:t>
      </w:r>
      <w:r>
        <w:rPr>
          <w:rFonts w:cs="Arial" w:hint="cs"/>
          <w:rtl/>
        </w:rPr>
        <w:t>"ו</w:t>
      </w:r>
      <w:r w:rsidRPr="00EC459D">
        <w:rPr>
          <w:rFonts w:cs="Arial"/>
          <w:rtl/>
        </w:rPr>
        <w:t xml:space="preserve"> </w:t>
      </w:r>
      <w:r>
        <w:rPr>
          <w:rFonts w:cs="Arial" w:hint="cs"/>
          <w:rtl/>
        </w:rPr>
        <w:t>(</w:t>
      </w:r>
      <w:r w:rsidRPr="00EC459D">
        <w:rPr>
          <w:rFonts w:cs="Arial"/>
          <w:rtl/>
        </w:rPr>
        <w:t>סי</w:t>
      </w:r>
      <w:r>
        <w:rPr>
          <w:rFonts w:cs="Arial" w:hint="cs"/>
          <w:rtl/>
        </w:rPr>
        <w:t>'</w:t>
      </w:r>
      <w:r w:rsidRPr="00EC459D">
        <w:rPr>
          <w:rFonts w:cs="Arial"/>
          <w:rtl/>
        </w:rPr>
        <w:t xml:space="preserve"> נב</w:t>
      </w:r>
      <w:r>
        <w:rPr>
          <w:rFonts w:cs="Arial" w:hint="cs"/>
          <w:rtl/>
        </w:rPr>
        <w:t>)</w:t>
      </w:r>
      <w:r w:rsidRPr="00EC459D">
        <w:rPr>
          <w:rFonts w:cs="Arial"/>
          <w:rtl/>
        </w:rPr>
        <w:t xml:space="preserve"> משמע דיש להחמיר כדברי הרשב"א דאינה מגורשת אפילו בדיעבד</w:t>
      </w:r>
      <w:r>
        <w:rPr>
          <w:rFonts w:cs="Arial" w:hint="cs"/>
          <w:rtl/>
        </w:rPr>
        <w:t>,</w:t>
      </w:r>
      <w:r w:rsidRPr="0052140F">
        <w:rPr>
          <w:rFonts w:cs="Arial"/>
          <w:rtl/>
        </w:rPr>
        <w:t xml:space="preserve"> </w:t>
      </w:r>
      <w:r w:rsidRPr="00EC459D">
        <w:rPr>
          <w:rFonts w:cs="Arial"/>
          <w:rtl/>
        </w:rPr>
        <w:t>וכל שכן בשוטה גמורה</w:t>
      </w:r>
      <w:r>
        <w:rPr>
          <w:rFonts w:cs="Arial" w:hint="cs"/>
          <w:rtl/>
        </w:rPr>
        <w:t>.</w:t>
      </w:r>
      <w:r w:rsidRPr="00EC459D">
        <w:rPr>
          <w:rFonts w:cs="Arial"/>
          <w:rtl/>
        </w:rPr>
        <w:t xml:space="preserve"> ודלא כהרמב"ם (פ"י מגירושין הכ"ג) דמתיר בדיעבד</w:t>
      </w:r>
      <w:r>
        <w:rPr>
          <w:rFonts w:cs="Arial" w:hint="cs"/>
          <w:rtl/>
        </w:rPr>
        <w:t xml:space="preserve"> אפילו שוטה גמורה</w:t>
      </w:r>
      <w:r w:rsidRPr="00EC459D">
        <w:rPr>
          <w:rFonts w:cs="Arial"/>
          <w:rtl/>
        </w:rPr>
        <w:t xml:space="preserve"> ועיי"ש</w:t>
      </w:r>
      <w:r>
        <w:rPr>
          <w:rFonts w:cs="Arial" w:hint="cs"/>
          <w:rtl/>
        </w:rPr>
        <w:t>.</w:t>
      </w:r>
      <w:r w:rsidRPr="00EC459D">
        <w:rPr>
          <w:rFonts w:cs="Arial"/>
          <w:rtl/>
        </w:rPr>
        <w:t xml:space="preserve"> וכתב עוד שם דאפילו במקום דליכא למיחש שינהגו בה מנהג הפקר אפילו הכי אין לחלק דלא פלוג רבנן בתקנתן, ועיין לקמן סימן קמ"א (עמ' רכט ובד"מ אות א)</w:t>
      </w:r>
      <w:r>
        <w:rPr>
          <w:rFonts w:cs="Arial" w:hint="cs"/>
          <w:rtl/>
        </w:rPr>
        <w:t>..., ע"פ דרכ"מ (אות ד).</w:t>
      </w:r>
    </w:p>
  </w:footnote>
  <w:footnote w:id="55">
    <w:p w14:paraId="5C6F2884" w14:textId="28F74969" w:rsidR="00403A76" w:rsidRDefault="00403A76">
      <w:pPr>
        <w:pStyle w:val="a5"/>
      </w:pPr>
      <w:r>
        <w:rPr>
          <w:rStyle w:val="a7"/>
        </w:rPr>
        <w:footnoteRef/>
      </w:r>
      <w:r>
        <w:rPr>
          <w:rtl/>
        </w:rPr>
        <w:t xml:space="preserve"> </w:t>
      </w:r>
      <w:r w:rsidRPr="00C42A38">
        <w:rPr>
          <w:rFonts w:cs="Arial"/>
          <w:rtl/>
        </w:rPr>
        <w:t xml:space="preserve">בתשובת הרשב"א </w:t>
      </w:r>
      <w:r>
        <w:rPr>
          <w:rFonts w:cs="Arial" w:hint="cs"/>
          <w:rtl/>
        </w:rPr>
        <w:t>(</w:t>
      </w:r>
      <w:r w:rsidRPr="00C42A38">
        <w:rPr>
          <w:rFonts w:cs="Arial"/>
          <w:rtl/>
        </w:rPr>
        <w:t>סי' אלף רנד</w:t>
      </w:r>
      <w:r>
        <w:rPr>
          <w:rFonts w:cs="Arial" w:hint="cs"/>
          <w:rtl/>
        </w:rPr>
        <w:t>)</w:t>
      </w:r>
      <w:r w:rsidRPr="00C42A38">
        <w:rPr>
          <w:rFonts w:cs="Arial"/>
          <w:rtl/>
        </w:rPr>
        <w:t xml:space="preserve"> לא כ</w:t>
      </w:r>
      <w:r>
        <w:rPr>
          <w:rFonts w:cs="Arial" w:hint="cs"/>
          <w:rtl/>
        </w:rPr>
        <w:t>תב כן</w:t>
      </w:r>
      <w:r w:rsidRPr="00C42A38">
        <w:rPr>
          <w:rFonts w:cs="Arial"/>
          <w:rtl/>
        </w:rPr>
        <w:t xml:space="preserve"> ע"ש. וכתב ב"ש דהרב רמ"א איירי כשיוכל לגרש ע"פ הדין</w:t>
      </w:r>
      <w:r>
        <w:rPr>
          <w:rFonts w:cs="Arial" w:hint="cs"/>
          <w:rtl/>
        </w:rPr>
        <w:t>,</w:t>
      </w:r>
      <w:r w:rsidRPr="00C42A38">
        <w:rPr>
          <w:rFonts w:cs="Arial"/>
          <w:rtl/>
        </w:rPr>
        <w:t xml:space="preserve"> אז יוכל לגרש אותה אפי' אין לו כתובה. והרשב"א איירי היכא דאין ראוי לגרש</w:t>
      </w:r>
      <w:r>
        <w:rPr>
          <w:rFonts w:cs="Arial" w:hint="cs"/>
          <w:rtl/>
        </w:rPr>
        <w:t>,</w:t>
      </w:r>
      <w:r w:rsidRPr="00C42A38">
        <w:rPr>
          <w:rFonts w:cs="Arial"/>
          <w:rtl/>
        </w:rPr>
        <w:t xml:space="preserve"> בזה אם אין לו כתובה אין רשאי לגרש</w:t>
      </w:r>
      <w:r>
        <w:rPr>
          <w:rFonts w:cs="Arial" w:hint="cs"/>
          <w:rtl/>
        </w:rPr>
        <w:t>.</w:t>
      </w:r>
      <w:r w:rsidRPr="00C42A38">
        <w:rPr>
          <w:rFonts w:cs="Arial"/>
          <w:rtl/>
        </w:rPr>
        <w:t xml:space="preserve"> ע"ש ובח"מ. ופר"ח הקשה מש"ס דיבמו' </w:t>
      </w:r>
      <w:r>
        <w:rPr>
          <w:rFonts w:cs="Arial" w:hint="cs"/>
          <w:rtl/>
        </w:rPr>
        <w:t>(</w:t>
      </w:r>
      <w:r w:rsidRPr="00C42A38">
        <w:rPr>
          <w:rFonts w:cs="Arial"/>
          <w:rtl/>
        </w:rPr>
        <w:t>סג</w:t>
      </w:r>
      <w:r>
        <w:rPr>
          <w:rFonts w:cs="Arial" w:hint="cs"/>
          <w:rtl/>
        </w:rPr>
        <w:t>")</w:t>
      </w:r>
      <w:r w:rsidRPr="00C42A38">
        <w:rPr>
          <w:rFonts w:cs="Arial"/>
          <w:rtl/>
        </w:rPr>
        <w:t xml:space="preserve"> נתנני ה' בידי לא אוכל קום זהו אשה רעה וכתובתה מרובה כו'. גם מפרק הניזקין מעשה באדם אחד שנתן עיניו באשת רבו וכו' א"ל כתובתה מרובה וכו' ע"ש. משמע דלא יוכל לגרשה ע"ש</w:t>
      </w:r>
      <w:r>
        <w:rPr>
          <w:rFonts w:cs="Arial" w:hint="cs"/>
          <w:rtl/>
        </w:rPr>
        <w:t>.</w:t>
      </w:r>
      <w:r w:rsidRPr="00C42A38">
        <w:rPr>
          <w:rFonts w:cs="Arial"/>
          <w:rtl/>
        </w:rPr>
        <w:t xml:space="preserve"> והעלה דאינו יוכל לגרשה אא"כ יש לו לשלם הכתובה</w:t>
      </w:r>
      <w:r>
        <w:rPr>
          <w:rFonts w:cs="Arial" w:hint="cs"/>
          <w:rtl/>
        </w:rPr>
        <w:t>,</w:t>
      </w:r>
      <w:r w:rsidRPr="00C42A38">
        <w:rPr>
          <w:rFonts w:cs="Arial"/>
          <w:rtl/>
        </w:rPr>
        <w:t xml:space="preserve"> דלא כהרמ"א ע"ש. ואני אומר דאין למידין מן ההגדות</w:t>
      </w:r>
      <w:r>
        <w:rPr>
          <w:rFonts w:cs="Arial" w:hint="cs"/>
          <w:rtl/>
        </w:rPr>
        <w:t>.</w:t>
      </w:r>
      <w:r w:rsidRPr="00C42A38">
        <w:rPr>
          <w:rFonts w:cs="Arial"/>
          <w:rtl/>
        </w:rPr>
        <w:t xml:space="preserve"> וכ"כ התי"ט </w:t>
      </w:r>
      <w:r>
        <w:rPr>
          <w:rFonts w:cs="Arial" w:hint="cs"/>
          <w:rtl/>
        </w:rPr>
        <w:t>(</w:t>
      </w:r>
      <w:r w:rsidRPr="00C42A38">
        <w:rPr>
          <w:rFonts w:cs="Arial"/>
          <w:rtl/>
        </w:rPr>
        <w:t>פ"ה דברכות משנה ד</w:t>
      </w:r>
      <w:r>
        <w:rPr>
          <w:rFonts w:cs="Arial" w:hint="cs"/>
          <w:rtl/>
        </w:rPr>
        <w:t>)</w:t>
      </w:r>
      <w:r w:rsidRPr="00C42A38">
        <w:rPr>
          <w:rFonts w:cs="Arial"/>
          <w:rtl/>
        </w:rPr>
        <w:t xml:space="preserve"> וכ"כ שבות יעקב </w:t>
      </w:r>
      <w:r>
        <w:rPr>
          <w:rFonts w:cs="Arial" w:hint="cs"/>
          <w:rtl/>
        </w:rPr>
        <w:t>(</w:t>
      </w:r>
      <w:r w:rsidRPr="00C42A38">
        <w:rPr>
          <w:rFonts w:cs="Arial"/>
          <w:rtl/>
        </w:rPr>
        <w:t>ח"ב סי' קמט</w:t>
      </w:r>
      <w:r>
        <w:rPr>
          <w:rFonts w:cs="Arial" w:hint="cs"/>
          <w:rtl/>
        </w:rPr>
        <w:t>), באה"ט (סק"ו).</w:t>
      </w:r>
      <w:r w:rsidRPr="00C42A38">
        <w:rPr>
          <w:rFonts w:cs="Arial"/>
          <w:rtl/>
        </w:rPr>
        <w:t xml:space="preserve"> </w:t>
      </w:r>
      <w:r>
        <w:rPr>
          <w:rFonts w:cs="Arial" w:hint="cs"/>
          <w:rtl/>
        </w:rPr>
        <w:t>וכתב הפת"ש (סק"ה) ד</w:t>
      </w:r>
      <w:r w:rsidRPr="00F72BC7">
        <w:rPr>
          <w:rFonts w:cs="Arial"/>
          <w:rtl/>
        </w:rPr>
        <w:t>מ"ש הבה"ט ואני אומר דאין למידין מן ההגדות וכ"כ התוי"ט כו' לאו קושיא היא על הפר"ח כי הפר"ח בעצמו בס' מים חיים השיג על התוי"ט שם וכתב דהך כללא דאין למידין ממדרשות הוא רק לענין פסק הלכה כדברי מי היכא דלא מפרש בש"ס ההלכתא</w:t>
      </w:r>
      <w:r>
        <w:rPr>
          <w:rFonts w:cs="Arial" w:hint="cs"/>
          <w:rtl/>
        </w:rPr>
        <w:t>,</w:t>
      </w:r>
      <w:r w:rsidRPr="00F72BC7">
        <w:rPr>
          <w:rFonts w:cs="Arial"/>
          <w:rtl/>
        </w:rPr>
        <w:t xml:space="preserve"> אבל דינא דלא איתפרש בש"ס מצינו כמה פעמים דלמדין ממדרשות</w:t>
      </w:r>
      <w:r>
        <w:rPr>
          <w:rFonts w:cs="Arial" w:hint="cs"/>
          <w:rtl/>
        </w:rPr>
        <w:t>.</w:t>
      </w:r>
      <w:r w:rsidRPr="00F72BC7">
        <w:rPr>
          <w:rFonts w:cs="Arial"/>
          <w:rtl/>
        </w:rPr>
        <w:t xml:space="preserve"> והובא דבריו בגליון המשניות פ"ה דברכות בתוס' רע"ק אות ל"ו. גם בס' באר יעקב דחה דברי הבה"ט בזה מטעם דהא דאין למידין היינו אם סותר לדברי התלמוד</w:t>
      </w:r>
      <w:r>
        <w:rPr>
          <w:rFonts w:cs="Arial" w:hint="cs"/>
          <w:rtl/>
        </w:rPr>
        <w:t>.</w:t>
      </w:r>
      <w:r w:rsidRPr="00F72BC7">
        <w:rPr>
          <w:rFonts w:cs="Arial"/>
          <w:rtl/>
        </w:rPr>
        <w:t xml:space="preserve"> וגם יש לחלק דאם הוקבעה בש"ס דילן שפיר למידין ע"ש. ועיין בס' נו"ב תניינא חיו"ד סי' קס"א מזה</w:t>
      </w:r>
      <w:r>
        <w:rPr>
          <w:rFonts w:cs="Arial" w:hint="cs"/>
          <w:rtl/>
        </w:rPr>
        <w:t>.</w:t>
      </w:r>
    </w:p>
  </w:footnote>
  <w:footnote w:id="56">
    <w:p w14:paraId="3739948E" w14:textId="6755A60A" w:rsidR="00403A76" w:rsidRDefault="00403A76" w:rsidP="00A72B41">
      <w:pPr>
        <w:pStyle w:val="a5"/>
        <w:rPr>
          <w:rtl/>
        </w:rPr>
      </w:pPr>
      <w:r>
        <w:rPr>
          <w:rStyle w:val="a7"/>
        </w:rPr>
        <w:footnoteRef/>
      </w:r>
      <w:r>
        <w:rPr>
          <w:rtl/>
        </w:rPr>
        <w:t xml:space="preserve"> </w:t>
      </w:r>
      <w:r>
        <w:rPr>
          <w:rFonts w:cs="Arial" w:hint="cs"/>
          <w:rtl/>
        </w:rPr>
        <w:t xml:space="preserve">וכתב הב"ש (סקי"ב) </w:t>
      </w:r>
      <w:r w:rsidRPr="006F2805">
        <w:rPr>
          <w:rFonts w:cs="Arial"/>
          <w:rtl/>
        </w:rPr>
        <w:t>ואם חר"ג דמי' לתקנות חז"ל י"ל בזה"ז אפילו אם עבר וגירש אינה מגורש</w:t>
      </w:r>
      <w:r>
        <w:rPr>
          <w:rFonts w:cs="Arial" w:hint="cs"/>
          <w:rtl/>
        </w:rPr>
        <w:t>ת.</w:t>
      </w:r>
      <w:r w:rsidRPr="006F2805">
        <w:rPr>
          <w:rFonts w:cs="Arial"/>
          <w:rtl/>
        </w:rPr>
        <w:t xml:space="preserve"> </w:t>
      </w:r>
      <w:r>
        <w:rPr>
          <w:rFonts w:cs="Arial" w:hint="cs"/>
          <w:rtl/>
        </w:rPr>
        <w:t xml:space="preserve">וכתב הפת"ש </w:t>
      </w:r>
      <w:r w:rsidRPr="00F72BC7">
        <w:rPr>
          <w:rFonts w:cs="Arial"/>
          <w:rtl/>
        </w:rPr>
        <w:t>(</w:t>
      </w:r>
      <w:r>
        <w:rPr>
          <w:rFonts w:cs="Arial" w:hint="cs"/>
          <w:rtl/>
        </w:rPr>
        <w:t>סק"</w:t>
      </w:r>
      <w:r w:rsidRPr="00F72BC7">
        <w:rPr>
          <w:rFonts w:cs="Arial"/>
          <w:rtl/>
        </w:rPr>
        <w:t xml:space="preserve">ז) </w:t>
      </w:r>
      <w:r>
        <w:rPr>
          <w:rFonts w:cs="Arial" w:hint="cs"/>
          <w:rtl/>
        </w:rPr>
        <w:t>ד</w:t>
      </w:r>
      <w:r w:rsidRPr="00F72BC7">
        <w:rPr>
          <w:rFonts w:cs="Arial"/>
          <w:rtl/>
        </w:rPr>
        <w:t xml:space="preserve">מדברי הרמ"א </w:t>
      </w:r>
      <w:r w:rsidR="009334FF">
        <w:rPr>
          <w:rFonts w:cs="Arial"/>
          <w:rtl/>
        </w:rPr>
        <w:t>בהג"ה</w:t>
      </w:r>
      <w:r w:rsidRPr="00F72BC7">
        <w:rPr>
          <w:rFonts w:cs="Arial"/>
          <w:rtl/>
        </w:rPr>
        <w:t xml:space="preserve"> זו שכ' עבר וגירשה בע"כ בזה"ז ונשאת שוב אין האיש נקרא עבריין מבואר להדיא דלא כוותיה אלא דיכולה להנשא לאחר ע"י גט זה. וכן מבואר מדברי הב"ש עצמו </w:t>
      </w:r>
      <w:r>
        <w:rPr>
          <w:rFonts w:cs="Arial" w:hint="cs"/>
          <w:rtl/>
        </w:rPr>
        <w:t>(</w:t>
      </w:r>
      <w:r w:rsidRPr="00F72BC7">
        <w:rPr>
          <w:rFonts w:cs="Arial"/>
          <w:rtl/>
        </w:rPr>
        <w:t>לעיל סי' ע"ז ס"ק ו' ובסי' ע"ט סק"ד</w:t>
      </w:r>
      <w:r>
        <w:rPr>
          <w:rFonts w:cs="Arial" w:hint="cs"/>
          <w:rtl/>
        </w:rPr>
        <w:t>)..</w:t>
      </w:r>
      <w:r w:rsidRPr="00F72BC7">
        <w:rPr>
          <w:rFonts w:cs="Arial"/>
          <w:rtl/>
        </w:rPr>
        <w:t xml:space="preserve">. גם בס' בית מאיר כ' על הב"ש הנ"ל דמדברי הרמ"א מבואר דלא כוותי'. אך בשו"ת שבסוף הספר </w:t>
      </w:r>
      <w:r>
        <w:rPr>
          <w:rFonts w:cs="Arial" w:hint="cs"/>
          <w:rtl/>
        </w:rPr>
        <w:t>(</w:t>
      </w:r>
      <w:r w:rsidRPr="00F72BC7">
        <w:rPr>
          <w:rFonts w:cs="Arial"/>
          <w:rtl/>
        </w:rPr>
        <w:t>סי</w:t>
      </w:r>
      <w:r>
        <w:rPr>
          <w:rFonts w:cs="Arial" w:hint="cs"/>
          <w:rtl/>
        </w:rPr>
        <w:t>'</w:t>
      </w:r>
      <w:r w:rsidRPr="00F72BC7">
        <w:rPr>
          <w:rFonts w:cs="Arial"/>
          <w:rtl/>
        </w:rPr>
        <w:t xml:space="preserve"> ד</w:t>
      </w:r>
      <w:r>
        <w:rPr>
          <w:rFonts w:cs="Arial" w:hint="cs"/>
          <w:rtl/>
        </w:rPr>
        <w:t>)</w:t>
      </w:r>
      <w:r w:rsidRPr="00F72BC7">
        <w:rPr>
          <w:rFonts w:cs="Arial"/>
          <w:rtl/>
        </w:rPr>
        <w:t xml:space="preserve"> השיב על עסק ביש שנעשה בימינו שאיש אחד גירש אשתו ע"י תחבולה בע"כ</w:t>
      </w:r>
      <w:r>
        <w:rPr>
          <w:rFonts w:cs="Arial" w:hint="cs"/>
          <w:rtl/>
        </w:rPr>
        <w:t>,</w:t>
      </w:r>
      <w:r w:rsidRPr="00F72BC7">
        <w:rPr>
          <w:rFonts w:cs="Arial"/>
          <w:rtl/>
        </w:rPr>
        <w:t xml:space="preserve"> דחייב ע"פ דינא דרבא</w:t>
      </w:r>
      <w:r>
        <w:rPr>
          <w:rFonts w:cs="Arial" w:hint="cs"/>
          <w:rtl/>
        </w:rPr>
        <w:t>,</w:t>
      </w:r>
      <w:r w:rsidRPr="00F72BC7">
        <w:rPr>
          <w:rFonts w:cs="Arial"/>
          <w:rtl/>
        </w:rPr>
        <w:t xml:space="preserve"> דאמר במס' תמורה כ"מ דא"ר לא תעביד אי עביד לא מהני כו'</w:t>
      </w:r>
      <w:r>
        <w:rPr>
          <w:rFonts w:cs="Arial" w:hint="cs"/>
          <w:rtl/>
        </w:rPr>
        <w:t>...</w:t>
      </w:r>
      <w:r w:rsidRPr="00F72BC7">
        <w:rPr>
          <w:rFonts w:cs="Arial"/>
          <w:rtl/>
        </w:rPr>
        <w:t xml:space="preserve"> ו</w:t>
      </w:r>
      <w:r>
        <w:rPr>
          <w:rFonts w:cs="Arial" w:hint="cs"/>
          <w:rtl/>
        </w:rPr>
        <w:t xml:space="preserve">יש </w:t>
      </w:r>
      <w:r w:rsidRPr="00F72BC7">
        <w:rPr>
          <w:rFonts w:cs="Arial"/>
          <w:rtl/>
        </w:rPr>
        <w:t>לפסוק בנידון מגרש בזה"ז בע"כ כרבא דלא אהני מעשיו ושבעמוד והחזר קאי</w:t>
      </w:r>
      <w:r>
        <w:rPr>
          <w:rFonts w:cs="Arial" w:hint="cs"/>
          <w:rtl/>
        </w:rPr>
        <w:t>...</w:t>
      </w:r>
      <w:r w:rsidRPr="00F72BC7">
        <w:rPr>
          <w:rFonts w:cs="Arial"/>
          <w:rtl/>
        </w:rPr>
        <w:t xml:space="preserve"> ועל בתי דיני ישראל להורות לו שעדיין כל יום ויום עובר על החרם עד דליהדר או שתנשא היא לאיש אחר וזה נמי משמעות הרמ"א דשוב לא נקרא עבריין</w:t>
      </w:r>
      <w:r>
        <w:rPr>
          <w:rFonts w:cs="Arial" w:hint="cs"/>
          <w:rtl/>
        </w:rPr>
        <w:t>,</w:t>
      </w:r>
      <w:r w:rsidRPr="00F72BC7">
        <w:rPr>
          <w:rFonts w:cs="Arial"/>
          <w:rtl/>
        </w:rPr>
        <w:t xml:space="preserve"> משמע הא קודם שתנשא הוא עבריין</w:t>
      </w:r>
      <w:r>
        <w:rPr>
          <w:rFonts w:cs="Arial" w:hint="cs"/>
          <w:rtl/>
        </w:rPr>
        <w:t>.</w:t>
      </w:r>
    </w:p>
  </w:footnote>
  <w:footnote w:id="57">
    <w:p w14:paraId="521BD5AF" w14:textId="4C1013D2" w:rsidR="00403A76" w:rsidRDefault="00403A76">
      <w:pPr>
        <w:pStyle w:val="a5"/>
        <w:rPr>
          <w:rtl/>
        </w:rPr>
      </w:pPr>
      <w:r>
        <w:rPr>
          <w:rStyle w:val="a7"/>
        </w:rPr>
        <w:footnoteRef/>
      </w:r>
      <w:r>
        <w:rPr>
          <w:rtl/>
        </w:rPr>
        <w:t xml:space="preserve"> </w:t>
      </w:r>
      <w:r w:rsidRPr="00F72BC7">
        <w:rPr>
          <w:rFonts w:cs="Arial"/>
          <w:rtl/>
        </w:rPr>
        <w:t xml:space="preserve">כ' בס' ג"פ מיהו נ"ל דמ"מ צריך התרה על מה שעבר כבר ועיין ביו"ד סימן של"ד סכ"ב </w:t>
      </w:r>
      <w:r w:rsidR="009334FF">
        <w:rPr>
          <w:rFonts w:cs="Arial"/>
          <w:rtl/>
        </w:rPr>
        <w:t>בהג"ה</w:t>
      </w:r>
      <w:r>
        <w:rPr>
          <w:rFonts w:hint="cs"/>
          <w:rtl/>
        </w:rPr>
        <w:t>, פת"ש (סק"ט).</w:t>
      </w:r>
    </w:p>
  </w:footnote>
  <w:footnote w:id="58">
    <w:p w14:paraId="612CB1DA" w14:textId="18158EBE" w:rsidR="00403A76" w:rsidRDefault="00403A76">
      <w:pPr>
        <w:pStyle w:val="a5"/>
      </w:pPr>
      <w:r>
        <w:rPr>
          <w:rStyle w:val="a7"/>
        </w:rPr>
        <w:footnoteRef/>
      </w:r>
      <w:r>
        <w:rPr>
          <w:rtl/>
        </w:rPr>
        <w:t xml:space="preserve"> </w:t>
      </w:r>
      <w:r w:rsidRPr="0040412F">
        <w:rPr>
          <w:rFonts w:cs="Arial"/>
          <w:rtl/>
        </w:rPr>
        <w:t>הר' מהרמ"פ סי' י"ג לא התיר למעשה רק גירושין בע"כ אם יוכל להשיג לו דרך לעשותו ואם תקצר ידו להשיג מבוקשו וכו' לחייבו בשאר כסות ועונה משמע שלא התיר לו אשה אחרת ובסימן י"ט שהתיר לישא שתי נשים במקום מצוה לקיים פ"ו הא כתב לבסוף התשובה מוטב שיאכל בשר תמותות וכו' משמע שלא התיר אלא נגד יצה"ר ע"כ אין להתיר לישא אשה על אשתו אם לא בהסכמת מאה רבנים כשהראשונ' אינה בת גירושין או שמצוה לגרשה ואינה רוצה לקבל גט אבל בשבוי' אין להתיר ועיין בב"ח סי' ע"ח מ"ש בדין השבוי'</w:t>
      </w:r>
      <w:r>
        <w:rPr>
          <w:rFonts w:cs="Arial" w:hint="cs"/>
          <w:rtl/>
        </w:rPr>
        <w:t>, ח"מ (סק"ז).</w:t>
      </w:r>
    </w:p>
  </w:footnote>
  <w:footnote w:id="59">
    <w:p w14:paraId="7BF47BA6" w14:textId="550F1E53" w:rsidR="00403A76" w:rsidRDefault="00403A76">
      <w:pPr>
        <w:pStyle w:val="a5"/>
      </w:pPr>
      <w:r>
        <w:rPr>
          <w:rStyle w:val="a7"/>
        </w:rPr>
        <w:footnoteRef/>
      </w:r>
      <w:r>
        <w:rPr>
          <w:rtl/>
        </w:rPr>
        <w:t xml:space="preserve"> </w:t>
      </w:r>
      <w:r w:rsidRPr="00E82B5E">
        <w:rPr>
          <w:rFonts w:cs="Arial"/>
          <w:rtl/>
        </w:rPr>
        <w:t>היינו בנותן לה כתובתה ומצדו הוא מוכן לגרש</w:t>
      </w:r>
      <w:r w:rsidR="00466E91">
        <w:rPr>
          <w:rFonts w:cs="Arial" w:hint="cs"/>
          <w:rtl/>
        </w:rPr>
        <w:t>ה</w:t>
      </w:r>
      <w:r w:rsidRPr="00E82B5E">
        <w:rPr>
          <w:rFonts w:cs="Arial"/>
          <w:rtl/>
        </w:rPr>
        <w:t xml:space="preserve"> אלא שחכמים אסרו לגרש ובחיוב ממון לא חייבו אותו</w:t>
      </w:r>
      <w:r w:rsidR="00466E91">
        <w:rPr>
          <w:rFonts w:cs="Arial" w:hint="cs"/>
          <w:rtl/>
        </w:rPr>
        <w:t>,</w:t>
      </w:r>
      <w:r w:rsidRPr="00E82B5E">
        <w:rPr>
          <w:rFonts w:cs="Arial"/>
          <w:rtl/>
        </w:rPr>
        <w:t xml:space="preserve"> ע"כ פטור הוא מכל חיובי ממון</w:t>
      </w:r>
      <w:r w:rsidR="00466E91">
        <w:rPr>
          <w:rFonts w:cs="Arial" w:hint="cs"/>
          <w:rtl/>
        </w:rPr>
        <w:t>.</w:t>
      </w:r>
      <w:r w:rsidRPr="00E82B5E">
        <w:rPr>
          <w:rFonts w:cs="Arial"/>
          <w:rtl/>
        </w:rPr>
        <w:t xml:space="preserve"> וזה דוקא לדין התלמוד שמגרשין בע"כ</w:t>
      </w:r>
      <w:r w:rsidR="00466E91">
        <w:rPr>
          <w:rFonts w:cs="Arial" w:hint="cs"/>
          <w:rtl/>
        </w:rPr>
        <w:t>,</w:t>
      </w:r>
      <w:r w:rsidRPr="00E82B5E">
        <w:rPr>
          <w:rFonts w:cs="Arial"/>
          <w:rtl/>
        </w:rPr>
        <w:t xml:space="preserve"> אבל לדידן שאין מגרשין בע"כ אף אם לא היתה שוטה א"כ אף בנשתטית חייב בכל חיובי ממון</w:t>
      </w:r>
      <w:r w:rsidR="00466E91">
        <w:rPr>
          <w:rFonts w:cs="Arial" w:hint="cs"/>
          <w:rtl/>
        </w:rPr>
        <w:t>.</w:t>
      </w:r>
      <w:r w:rsidRPr="00E82B5E">
        <w:rPr>
          <w:rFonts w:cs="Arial"/>
          <w:rtl/>
        </w:rPr>
        <w:t xml:space="preserve"> ואם אינה יודעת לשמור גיטה אף לדין התלמוד אינה מגורשת דבר תורה</w:t>
      </w:r>
      <w:r w:rsidR="00466E91">
        <w:rPr>
          <w:rFonts w:cs="Arial" w:hint="cs"/>
          <w:rtl/>
        </w:rPr>
        <w:t>,</w:t>
      </w:r>
      <w:r w:rsidRPr="00E82B5E">
        <w:rPr>
          <w:rFonts w:cs="Arial"/>
          <w:rtl/>
        </w:rPr>
        <w:t xml:space="preserve"> וא"כ חייב בכל חיוב ממון אף לדעת הרמב"ם דהא נסתחפה שדיהו</w:t>
      </w:r>
      <w:r w:rsidR="000D394C">
        <w:rPr>
          <w:rFonts w:cs="Arial" w:hint="cs"/>
          <w:rtl/>
        </w:rPr>
        <w:t>.</w:t>
      </w:r>
      <w:r w:rsidRPr="00E82B5E">
        <w:rPr>
          <w:rFonts w:cs="Arial"/>
          <w:rtl/>
        </w:rPr>
        <w:t xml:space="preserve"> ולא שייך הטעם שכתב המ"מ חכמים מנעוהו לגרש מפני שלא ינהגו בה מנהג הפקר אבל בחיוב ממון לא חייבוהו אבל כשאינה בת גירושין מן התורה ודאי חייב בכל</w:t>
      </w:r>
      <w:r>
        <w:rPr>
          <w:rFonts w:cs="Arial" w:hint="cs"/>
          <w:rtl/>
        </w:rPr>
        <w:t>, ח"מ (סק"ט).</w:t>
      </w:r>
    </w:p>
  </w:footnote>
  <w:footnote w:id="60">
    <w:p w14:paraId="1EBBEE48" w14:textId="400B4605" w:rsidR="00403A76" w:rsidRDefault="00403A76">
      <w:pPr>
        <w:pStyle w:val="a5"/>
        <w:rPr>
          <w:rtl/>
        </w:rPr>
      </w:pPr>
      <w:r>
        <w:rPr>
          <w:rStyle w:val="a7"/>
        </w:rPr>
        <w:footnoteRef/>
      </w:r>
      <w:r>
        <w:rPr>
          <w:rtl/>
        </w:rPr>
        <w:t xml:space="preserve"> </w:t>
      </w:r>
      <w:r w:rsidRPr="003665D5">
        <w:rPr>
          <w:rFonts w:cs="Arial"/>
          <w:rtl/>
        </w:rPr>
        <w:t>דעתם דמאחר דאינו יכול לגרש נסתחפה שדיהו ואינו יכול להפטר מכל חיובי ממון עד שיגרש ומאחר דאינה בת גירושין צריך ליתן לה כל חיובי ממון</w:t>
      </w:r>
      <w:r w:rsidR="000D394C">
        <w:rPr>
          <w:rFonts w:cs="Arial" w:hint="cs"/>
          <w:rtl/>
        </w:rPr>
        <w:t>,</w:t>
      </w:r>
      <w:r w:rsidRPr="003665D5">
        <w:rPr>
          <w:rFonts w:cs="Arial"/>
          <w:rtl/>
        </w:rPr>
        <w:t xml:space="preserve"> אף שאיסור הגירושין הם רק מדרבנן מ"מ לא חלקו חכמים ואינה אשתו לחצאין</w:t>
      </w:r>
      <w:r>
        <w:rPr>
          <w:rFonts w:hint="cs"/>
          <w:rtl/>
        </w:rPr>
        <w:t>, ח"מ (סק"י).</w:t>
      </w:r>
    </w:p>
  </w:footnote>
  <w:footnote w:id="61">
    <w:p w14:paraId="66B9FDB5" w14:textId="260683EE" w:rsidR="00403A76" w:rsidRDefault="00403A76">
      <w:pPr>
        <w:pStyle w:val="a5"/>
      </w:pPr>
      <w:r>
        <w:rPr>
          <w:rStyle w:val="a7"/>
        </w:rPr>
        <w:footnoteRef/>
      </w:r>
      <w:r>
        <w:rPr>
          <w:rtl/>
        </w:rPr>
        <w:t xml:space="preserve"> </w:t>
      </w:r>
      <w:r w:rsidRPr="003665D5">
        <w:rPr>
          <w:rFonts w:cs="Arial"/>
          <w:rtl/>
        </w:rPr>
        <w:t xml:space="preserve">כבר כתבתי לעיל </w:t>
      </w:r>
      <w:r w:rsidR="000D394C">
        <w:rPr>
          <w:rFonts w:cs="Arial" w:hint="cs"/>
          <w:rtl/>
        </w:rPr>
        <w:t>(</w:t>
      </w:r>
      <w:r w:rsidRPr="003665D5">
        <w:rPr>
          <w:rFonts w:cs="Arial"/>
          <w:rtl/>
        </w:rPr>
        <w:t>סק</w:t>
      </w:r>
      <w:r w:rsidR="000D394C">
        <w:rPr>
          <w:rFonts w:cs="Arial" w:hint="cs"/>
          <w:rtl/>
        </w:rPr>
        <w:t>"</w:t>
      </w:r>
      <w:r w:rsidRPr="003665D5">
        <w:rPr>
          <w:rFonts w:cs="Arial"/>
          <w:rtl/>
        </w:rPr>
        <w:t>ט</w:t>
      </w:r>
      <w:r w:rsidR="000D394C">
        <w:rPr>
          <w:rFonts w:cs="Arial" w:hint="cs"/>
          <w:rtl/>
        </w:rPr>
        <w:t>)</w:t>
      </w:r>
      <w:r w:rsidRPr="003665D5">
        <w:rPr>
          <w:rFonts w:cs="Arial"/>
          <w:rtl/>
        </w:rPr>
        <w:t xml:space="preserve"> דלדידן דאין מגרשין אשה בע"כ משום חרם ר"ג גם הרמב"ם מודה דצריך ליתן לה כל חיובי ממון</w:t>
      </w:r>
      <w:r w:rsidR="000D394C">
        <w:rPr>
          <w:rFonts w:cs="Arial" w:hint="cs"/>
          <w:rtl/>
        </w:rPr>
        <w:t>,</w:t>
      </w:r>
      <w:r w:rsidRPr="003665D5">
        <w:rPr>
          <w:rFonts w:cs="Arial"/>
          <w:rtl/>
        </w:rPr>
        <w:t xml:space="preserve"> ומכ"ש באינה יודעת לשמור גיטה דאינה בת גירושין מדאורייתא</w:t>
      </w:r>
      <w:r w:rsidR="000D394C">
        <w:rPr>
          <w:rFonts w:cs="Arial" w:hint="cs"/>
          <w:rtl/>
        </w:rPr>
        <w:t>.</w:t>
      </w:r>
      <w:r w:rsidRPr="003665D5">
        <w:rPr>
          <w:rFonts w:cs="Arial"/>
          <w:rtl/>
        </w:rPr>
        <w:t xml:space="preserve"> והמנהג עתה להתיר לו לישא אשה אחרת ע"י היתר מאה רבנים</w:t>
      </w:r>
      <w:r w:rsidR="000D394C">
        <w:rPr>
          <w:rFonts w:cs="Arial" w:hint="cs"/>
          <w:rtl/>
        </w:rPr>
        <w:t>.</w:t>
      </w:r>
      <w:r w:rsidRPr="003665D5">
        <w:rPr>
          <w:rFonts w:cs="Arial"/>
          <w:rtl/>
        </w:rPr>
        <w:t xml:space="preserve"> ובב"ח כתב שצריך לייחד לה כתובה ולהכין גט ע"י שליח ולחייבו ג"כ בכל תנאי כתובה</w:t>
      </w:r>
      <w:r w:rsidR="000D394C">
        <w:rPr>
          <w:rFonts w:cs="Arial" w:hint="cs"/>
          <w:rtl/>
        </w:rPr>
        <w:t>.</w:t>
      </w:r>
      <w:r w:rsidRPr="003665D5">
        <w:rPr>
          <w:rFonts w:cs="Arial"/>
          <w:rtl/>
        </w:rPr>
        <w:t xml:space="preserve"> ולא ידעתי תרתי למה לי</w:t>
      </w:r>
      <w:r w:rsidR="000D394C">
        <w:rPr>
          <w:rFonts w:cs="Arial" w:hint="cs"/>
          <w:rtl/>
        </w:rPr>
        <w:t>,</w:t>
      </w:r>
      <w:r w:rsidRPr="003665D5">
        <w:rPr>
          <w:rFonts w:cs="Arial"/>
          <w:rtl/>
        </w:rPr>
        <w:t xml:space="preserve"> אם חייב ליתן לה כל חיובי ממון למה נחייב אותו בכתובה</w:t>
      </w:r>
      <w:r w:rsidR="000D394C">
        <w:rPr>
          <w:rFonts w:cs="Arial" w:hint="cs"/>
          <w:rtl/>
        </w:rPr>
        <w:t>,</w:t>
      </w:r>
      <w:r w:rsidRPr="003665D5">
        <w:rPr>
          <w:rFonts w:cs="Arial"/>
          <w:rtl/>
        </w:rPr>
        <w:t xml:space="preserve"> ואין תופסין החבל בתרין ראשין</w:t>
      </w:r>
      <w:r w:rsidR="000D394C">
        <w:rPr>
          <w:rFonts w:cs="Arial" w:hint="cs"/>
          <w:rtl/>
        </w:rPr>
        <w:t>,</w:t>
      </w:r>
      <w:r w:rsidRPr="003665D5">
        <w:rPr>
          <w:rFonts w:cs="Arial"/>
          <w:rtl/>
        </w:rPr>
        <w:t xml:space="preserve"> וכמ"ש מהרי"ק </w:t>
      </w:r>
      <w:r w:rsidR="000D394C">
        <w:rPr>
          <w:rFonts w:cs="Arial" w:hint="cs"/>
          <w:rtl/>
        </w:rPr>
        <w:t>(</w:t>
      </w:r>
      <w:r w:rsidRPr="003665D5">
        <w:rPr>
          <w:rFonts w:cs="Arial"/>
          <w:rtl/>
        </w:rPr>
        <w:t>סי</w:t>
      </w:r>
      <w:r w:rsidR="000D394C">
        <w:rPr>
          <w:rFonts w:cs="Arial" w:hint="cs"/>
          <w:rtl/>
        </w:rPr>
        <w:t>'</w:t>
      </w:r>
      <w:r w:rsidRPr="003665D5">
        <w:rPr>
          <w:rFonts w:cs="Arial"/>
          <w:rtl/>
        </w:rPr>
        <w:t xml:space="preserve"> קז</w:t>
      </w:r>
      <w:r w:rsidR="000D394C">
        <w:rPr>
          <w:rFonts w:cs="Arial" w:hint="cs"/>
          <w:rtl/>
        </w:rPr>
        <w:t>)</w:t>
      </w:r>
      <w:r w:rsidRPr="003665D5">
        <w:rPr>
          <w:rFonts w:cs="Arial"/>
          <w:rtl/>
        </w:rPr>
        <w:t xml:space="preserve"> גבי טענת מום</w:t>
      </w:r>
      <w:r w:rsidR="00756FA0">
        <w:rPr>
          <w:rFonts w:cs="Arial" w:hint="cs"/>
          <w:rtl/>
        </w:rPr>
        <w:t>.</w:t>
      </w:r>
      <w:r w:rsidRPr="003665D5">
        <w:rPr>
          <w:rFonts w:cs="Arial"/>
          <w:rtl/>
        </w:rPr>
        <w:t xml:space="preserve"> ואפשר דמאחר דמשום חומר דתקנת ר"ג באיסור שתי נשים צריך לייחד לה גט ע"י שליח וע"כ צריך שגם הכתוב' תהיה מוכנת</w:t>
      </w:r>
      <w:r w:rsidR="00756FA0">
        <w:rPr>
          <w:rFonts w:cs="Arial" w:hint="cs"/>
          <w:rtl/>
        </w:rPr>
        <w:t>,</w:t>
      </w:r>
      <w:r w:rsidRPr="003665D5">
        <w:rPr>
          <w:rFonts w:cs="Arial"/>
          <w:rtl/>
        </w:rPr>
        <w:t xml:space="preserve"> ועכ"פ מאחר שחייב בכל חיובי ממון פירוש מן הכתובה והנדוניא ונ"מ הכל עדיין שלו רק שהתקנה היתה שיהיה הכל מוכן הגט והכתובה אם תשתפה</w:t>
      </w:r>
      <w:r>
        <w:rPr>
          <w:rFonts w:cs="Arial" w:hint="cs"/>
          <w:rtl/>
        </w:rPr>
        <w:t>, ח"מ (סקי"ב).</w:t>
      </w:r>
    </w:p>
  </w:footnote>
  <w:footnote w:id="62">
    <w:p w14:paraId="48D7C064" w14:textId="061E58C8" w:rsidR="00403A76" w:rsidRDefault="00403A76">
      <w:pPr>
        <w:pStyle w:val="a5"/>
      </w:pPr>
      <w:r>
        <w:rPr>
          <w:rStyle w:val="a7"/>
        </w:rPr>
        <w:footnoteRef/>
      </w:r>
      <w:r>
        <w:rPr>
          <w:rtl/>
        </w:rPr>
        <w:t xml:space="preserve"> </w:t>
      </w:r>
      <w:r w:rsidRPr="003665D5">
        <w:rPr>
          <w:rFonts w:cs="Arial"/>
          <w:rtl/>
        </w:rPr>
        <w:t>דכל שאינה יודעת לשמור גיטה אינה בת גירושין מן התורה</w:t>
      </w:r>
      <w:r>
        <w:rPr>
          <w:rFonts w:cs="Arial" w:hint="cs"/>
          <w:rtl/>
        </w:rPr>
        <w:t>,</w:t>
      </w:r>
      <w:r w:rsidRPr="003665D5">
        <w:rPr>
          <w:rFonts w:cs="Arial"/>
          <w:rtl/>
        </w:rPr>
        <w:t xml:space="preserve"> דכתיב ונתן בידה</w:t>
      </w:r>
      <w:r>
        <w:rPr>
          <w:rFonts w:cs="Arial" w:hint="cs"/>
          <w:rtl/>
        </w:rPr>
        <w:t>,</w:t>
      </w:r>
      <w:r w:rsidRPr="003665D5">
        <w:rPr>
          <w:rFonts w:cs="Arial"/>
          <w:rtl/>
        </w:rPr>
        <w:t xml:space="preserve"> יצתה זו שאין לה יד לגרש עצמה</w:t>
      </w:r>
      <w:r>
        <w:rPr>
          <w:rFonts w:cs="Arial" w:hint="cs"/>
          <w:rtl/>
        </w:rPr>
        <w:t>.</w:t>
      </w:r>
      <w:r w:rsidRPr="003665D5">
        <w:rPr>
          <w:rFonts w:cs="Arial"/>
          <w:rtl/>
        </w:rPr>
        <w:t xml:space="preserve"> ותנא דבי ר' ינאי ושלחה מביתו יצתה זו שמשלחה וחוזרת</w:t>
      </w:r>
      <w:r>
        <w:rPr>
          <w:rFonts w:cs="Arial" w:hint="cs"/>
          <w:rtl/>
        </w:rPr>
        <w:t>.</w:t>
      </w:r>
      <w:r w:rsidRPr="003665D5">
        <w:rPr>
          <w:rFonts w:cs="Arial"/>
          <w:rtl/>
        </w:rPr>
        <w:t xml:space="preserve"> שיעור זה לדעת רש"י</w:t>
      </w:r>
      <w:r>
        <w:rPr>
          <w:rFonts w:cs="Arial" w:hint="cs"/>
          <w:rtl/>
        </w:rPr>
        <w:t>,</w:t>
      </w:r>
      <w:r w:rsidRPr="003665D5">
        <w:rPr>
          <w:rFonts w:cs="Arial"/>
          <w:rtl/>
        </w:rPr>
        <w:t xml:space="preserve"> בקטנה כשתגיע לעונת הפעוטות</w:t>
      </w:r>
      <w:r>
        <w:rPr>
          <w:rFonts w:cs="Arial" w:hint="cs"/>
          <w:rtl/>
        </w:rPr>
        <w:t>.</w:t>
      </w:r>
      <w:r w:rsidRPr="003665D5">
        <w:rPr>
          <w:rFonts w:cs="Arial"/>
          <w:rtl/>
        </w:rPr>
        <w:t xml:space="preserve"> ולגי' הרי"ף</w:t>
      </w:r>
      <w:r>
        <w:rPr>
          <w:rFonts w:cs="Arial" w:hint="cs"/>
          <w:rtl/>
        </w:rPr>
        <w:t>,</w:t>
      </w:r>
      <w:r w:rsidRPr="003665D5">
        <w:rPr>
          <w:rFonts w:cs="Arial"/>
          <w:rtl/>
        </w:rPr>
        <w:t xml:space="preserve"> אפילו קודם זה כשיש לה קצת דעת צרור תזרוק ואגוז תטול חשיב יודעת לשמור גיטה</w:t>
      </w:r>
      <w:r>
        <w:rPr>
          <w:rFonts w:cs="Arial" w:hint="cs"/>
          <w:rtl/>
        </w:rPr>
        <w:t>,</w:t>
      </w:r>
      <w:r w:rsidRPr="003665D5">
        <w:rPr>
          <w:rFonts w:cs="Arial"/>
          <w:rtl/>
        </w:rPr>
        <w:t xml:space="preserve"> וקרינן בה משלחת ואינה חוזר</w:t>
      </w:r>
      <w:r w:rsidR="00756FA0">
        <w:rPr>
          <w:rFonts w:cs="Arial" w:hint="cs"/>
          <w:rtl/>
        </w:rPr>
        <w:t>ת</w:t>
      </w:r>
      <w:r w:rsidRPr="003665D5">
        <w:rPr>
          <w:rFonts w:cs="Arial"/>
          <w:rtl/>
        </w:rPr>
        <w:t xml:space="preserve"> ומגורשת מן התורה</w:t>
      </w:r>
      <w:r>
        <w:rPr>
          <w:rFonts w:cs="Arial" w:hint="cs"/>
          <w:rtl/>
        </w:rPr>
        <w:t>.</w:t>
      </w:r>
      <w:r w:rsidRPr="003665D5">
        <w:rPr>
          <w:rFonts w:cs="Arial"/>
          <w:rtl/>
        </w:rPr>
        <w:t xml:space="preserve"> ועיין בתשו' מהרש"ל שנחלקו בזה הקדמונים</w:t>
      </w:r>
      <w:r>
        <w:rPr>
          <w:rFonts w:cs="Arial" w:hint="cs"/>
          <w:rtl/>
        </w:rPr>
        <w:t>,</w:t>
      </w:r>
      <w:r w:rsidRPr="003665D5">
        <w:rPr>
          <w:rFonts w:cs="Arial"/>
          <w:rtl/>
        </w:rPr>
        <w:t xml:space="preserve"> דעת ר' שמחה דלענין שמירת גיטה דשוטה לא בעינן דעתא צילתא כולי האי כמו בקטנה המתגרשת בקידושי אביה</w:t>
      </w:r>
      <w:r>
        <w:rPr>
          <w:rFonts w:cs="Arial" w:hint="cs"/>
          <w:rtl/>
        </w:rPr>
        <w:t>,</w:t>
      </w:r>
      <w:r w:rsidRPr="003665D5">
        <w:rPr>
          <w:rFonts w:cs="Arial"/>
          <w:rtl/>
        </w:rPr>
        <w:t xml:space="preserve"> ודעת ר' אפרים וראבי"ה דגדולה שאין בה דעת גרוע מקטנה דאתי' לכלל דעת</w:t>
      </w:r>
      <w:r w:rsidR="00310272">
        <w:rPr>
          <w:rFonts w:cs="Arial" w:hint="cs"/>
          <w:rtl/>
        </w:rPr>
        <w:t>,</w:t>
      </w:r>
      <w:r w:rsidRPr="003665D5">
        <w:rPr>
          <w:rFonts w:cs="Arial"/>
          <w:rtl/>
        </w:rPr>
        <w:t xml:space="preserve"> ע"ש שהאריכו בזה</w:t>
      </w:r>
      <w:r>
        <w:rPr>
          <w:rFonts w:cs="Arial" w:hint="cs"/>
          <w:rtl/>
        </w:rPr>
        <w:t>, ח"מ (סקי"ג).</w:t>
      </w:r>
    </w:p>
  </w:footnote>
  <w:footnote w:id="63">
    <w:p w14:paraId="5D8CCB8B" w14:textId="2404787B" w:rsidR="00403A76" w:rsidRDefault="00403A76">
      <w:pPr>
        <w:pStyle w:val="a5"/>
      </w:pPr>
      <w:r>
        <w:rPr>
          <w:rStyle w:val="a7"/>
        </w:rPr>
        <w:footnoteRef/>
      </w:r>
      <w:r>
        <w:rPr>
          <w:rtl/>
        </w:rPr>
        <w:t xml:space="preserve"> </w:t>
      </w:r>
      <w:r w:rsidRPr="003F541A">
        <w:rPr>
          <w:rFonts w:cs="Arial"/>
          <w:rtl/>
        </w:rPr>
        <w:t xml:space="preserve">דחכמים גזרו עליה משום גרירא </w:t>
      </w:r>
      <w:r w:rsidR="00310272">
        <w:rPr>
          <w:rFonts w:cs="Arial" w:hint="cs"/>
          <w:rtl/>
        </w:rPr>
        <w:t>ד</w:t>
      </w:r>
      <w:r w:rsidRPr="003F541A">
        <w:rPr>
          <w:rFonts w:cs="Arial"/>
          <w:rtl/>
        </w:rPr>
        <w:t>אפי' בדיעבד לא תהיה מגורשת</w:t>
      </w:r>
      <w:r>
        <w:rPr>
          <w:rFonts w:cs="Arial" w:hint="cs"/>
          <w:rtl/>
        </w:rPr>
        <w:t>.</w:t>
      </w:r>
      <w:r w:rsidRPr="003F541A">
        <w:rPr>
          <w:rFonts w:cs="Arial"/>
          <w:rtl/>
        </w:rPr>
        <w:t xml:space="preserve"> עיין בתשו' מהרש"ל </w:t>
      </w:r>
      <w:r w:rsidR="00310272">
        <w:rPr>
          <w:rFonts w:cs="Arial" w:hint="cs"/>
          <w:rtl/>
        </w:rPr>
        <w:t>(</w:t>
      </w:r>
      <w:r w:rsidRPr="003F541A">
        <w:rPr>
          <w:rFonts w:cs="Arial"/>
          <w:rtl/>
        </w:rPr>
        <w:t>סי' סה</w:t>
      </w:r>
      <w:r w:rsidR="00310272">
        <w:rPr>
          <w:rFonts w:cs="Arial" w:hint="cs"/>
          <w:rtl/>
        </w:rPr>
        <w:t>)</w:t>
      </w:r>
      <w:r w:rsidRPr="003F541A">
        <w:rPr>
          <w:rFonts w:cs="Arial"/>
          <w:rtl/>
        </w:rPr>
        <w:t xml:space="preserve"> שם כתב פי' הירושלמי לדעת ר' אפרים וראבי"ה</w:t>
      </w:r>
      <w:r w:rsidR="00310272">
        <w:rPr>
          <w:rFonts w:cs="Arial" w:hint="cs"/>
          <w:rtl/>
        </w:rPr>
        <w:t>.</w:t>
      </w:r>
      <w:r w:rsidRPr="003F541A">
        <w:rPr>
          <w:rFonts w:cs="Arial"/>
          <w:rtl/>
        </w:rPr>
        <w:t xml:space="preserve"> וכתב מהרי"ו </w:t>
      </w:r>
      <w:r w:rsidR="00310272">
        <w:rPr>
          <w:rFonts w:cs="Arial" w:hint="cs"/>
          <w:rtl/>
        </w:rPr>
        <w:t>(</w:t>
      </w:r>
      <w:r w:rsidRPr="003F541A">
        <w:rPr>
          <w:rFonts w:cs="Arial"/>
          <w:rtl/>
        </w:rPr>
        <w:t>סי' נב</w:t>
      </w:r>
      <w:r w:rsidR="00310272">
        <w:rPr>
          <w:rFonts w:cs="Arial" w:hint="cs"/>
          <w:rtl/>
        </w:rPr>
        <w:t>)</w:t>
      </w:r>
      <w:r w:rsidRPr="003F541A">
        <w:rPr>
          <w:rFonts w:cs="Arial"/>
          <w:rtl/>
        </w:rPr>
        <w:t xml:space="preserve"> דכל שהבעל יודע דאסור לגרש לפחות לכתחלה ועבר על דברי חכמים וגירש יש להסתפק אי זה מקרי דיעבד דומי' דהמבטל איסור במזיד והמעשר בשבת והמטביל כליו בשבת ונפלו לגת ונתפצעו וכולהו מייתו לה בפ' הנזקין</w:t>
      </w:r>
      <w:r>
        <w:rPr>
          <w:rFonts w:cs="Arial" w:hint="cs"/>
          <w:rtl/>
        </w:rPr>
        <w:t xml:space="preserve">, </w:t>
      </w:r>
      <w:r w:rsidRPr="00B43F2D">
        <w:rPr>
          <w:rFonts w:cs="Arial" w:hint="cs"/>
          <w:b/>
          <w:bCs/>
          <w:rtl/>
        </w:rPr>
        <w:t>ח"מ</w:t>
      </w:r>
      <w:r>
        <w:rPr>
          <w:rFonts w:cs="Arial" w:hint="cs"/>
          <w:rtl/>
        </w:rPr>
        <w:t xml:space="preserve"> (סקי"ד).</w:t>
      </w:r>
      <w:r w:rsidR="00B43F2D">
        <w:rPr>
          <w:rFonts w:hint="cs"/>
          <w:rtl/>
        </w:rPr>
        <w:t xml:space="preserve">    </w:t>
      </w:r>
      <w:r>
        <w:rPr>
          <w:rFonts w:hint="cs"/>
          <w:rtl/>
        </w:rPr>
        <w:t xml:space="preserve"> וכתב </w:t>
      </w:r>
      <w:r w:rsidRPr="00B43F2D">
        <w:rPr>
          <w:rFonts w:hint="cs"/>
          <w:b/>
          <w:bCs/>
          <w:rtl/>
        </w:rPr>
        <w:t>הפת"ש</w:t>
      </w:r>
      <w:r>
        <w:rPr>
          <w:rFonts w:hint="cs"/>
          <w:rtl/>
        </w:rPr>
        <w:t xml:space="preserve"> </w:t>
      </w:r>
      <w:r w:rsidRPr="00F72BC7">
        <w:rPr>
          <w:rFonts w:cs="Arial"/>
          <w:rtl/>
        </w:rPr>
        <w:t>(</w:t>
      </w:r>
      <w:r>
        <w:rPr>
          <w:rFonts w:cs="Arial" w:hint="cs"/>
          <w:rtl/>
        </w:rPr>
        <w:t>סק</w:t>
      </w:r>
      <w:r w:rsidRPr="00F72BC7">
        <w:rPr>
          <w:rFonts w:cs="Arial"/>
          <w:rtl/>
        </w:rPr>
        <w:t>ט</w:t>
      </w:r>
      <w:r>
        <w:rPr>
          <w:rFonts w:cs="Arial" w:hint="cs"/>
          <w:rtl/>
        </w:rPr>
        <w:t>"</w:t>
      </w:r>
      <w:r w:rsidRPr="00F72BC7">
        <w:rPr>
          <w:rFonts w:cs="Arial"/>
          <w:rtl/>
        </w:rPr>
        <w:t xml:space="preserve">ז) </w:t>
      </w:r>
      <w:r>
        <w:rPr>
          <w:rFonts w:cs="Arial" w:hint="cs"/>
          <w:rtl/>
        </w:rPr>
        <w:t>ד</w:t>
      </w:r>
      <w:r w:rsidRPr="00F72BC7">
        <w:rPr>
          <w:rFonts w:cs="Arial"/>
          <w:rtl/>
        </w:rPr>
        <w:t xml:space="preserve">בתשו' נו"ב </w:t>
      </w:r>
      <w:r>
        <w:rPr>
          <w:rFonts w:cs="Arial" w:hint="cs"/>
          <w:rtl/>
        </w:rPr>
        <w:t>(</w:t>
      </w:r>
      <w:r w:rsidRPr="00F72BC7">
        <w:rPr>
          <w:rFonts w:cs="Arial"/>
          <w:rtl/>
        </w:rPr>
        <w:t>סי' פג</w:t>
      </w:r>
      <w:r>
        <w:rPr>
          <w:rFonts w:cs="Arial" w:hint="cs"/>
          <w:rtl/>
        </w:rPr>
        <w:t>)</w:t>
      </w:r>
      <w:r w:rsidRPr="00F72BC7">
        <w:rPr>
          <w:rFonts w:cs="Arial"/>
          <w:rtl/>
        </w:rPr>
        <w:t xml:space="preserve"> כ' ד</w:t>
      </w:r>
      <w:r>
        <w:rPr>
          <w:rFonts w:cs="Arial" w:hint="cs"/>
          <w:rtl/>
        </w:rPr>
        <w:t>ה</w:t>
      </w:r>
      <w:r w:rsidRPr="00F72BC7">
        <w:rPr>
          <w:rFonts w:cs="Arial"/>
          <w:rtl/>
        </w:rPr>
        <w:t>יש מחמירין הזה מחמיר ג"כ בעתים חלומה אפי' בדיעבד</w:t>
      </w:r>
      <w:r>
        <w:rPr>
          <w:rFonts w:cs="Arial" w:hint="cs"/>
          <w:rtl/>
        </w:rPr>
        <w:t>.</w:t>
      </w:r>
      <w:r w:rsidRPr="00F72BC7">
        <w:rPr>
          <w:rFonts w:cs="Arial"/>
          <w:rtl/>
        </w:rPr>
        <w:t xml:space="preserve"> ומה שמסיק רמ"א אבל בעתים שוטה כו' היינו בלא הוחזקה כן ג"פ (כ"נ כוונתו אף שאין זה לשונו ועח"מ וב"ש)</w:t>
      </w:r>
      <w:r>
        <w:rPr>
          <w:rFonts w:cs="Arial" w:hint="cs"/>
          <w:rtl/>
        </w:rPr>
        <w:t>.</w:t>
      </w:r>
    </w:p>
  </w:footnote>
  <w:footnote w:id="64">
    <w:p w14:paraId="46DC36DF" w14:textId="51E5CD5B" w:rsidR="00403A76" w:rsidRDefault="00403A76">
      <w:pPr>
        <w:pStyle w:val="a5"/>
        <w:rPr>
          <w:rtl/>
        </w:rPr>
      </w:pPr>
      <w:r>
        <w:rPr>
          <w:rStyle w:val="a7"/>
        </w:rPr>
        <w:footnoteRef/>
      </w:r>
      <w:r>
        <w:rPr>
          <w:rtl/>
        </w:rPr>
        <w:t xml:space="preserve"> </w:t>
      </w:r>
      <w:r w:rsidRPr="00A72B41">
        <w:rPr>
          <w:rFonts w:cs="Arial"/>
          <w:rtl/>
        </w:rPr>
        <w:t xml:space="preserve">בתשובת מהרי"ו </w:t>
      </w:r>
      <w:r w:rsidR="00B43F2D">
        <w:rPr>
          <w:rFonts w:cs="Arial" w:hint="cs"/>
          <w:rtl/>
        </w:rPr>
        <w:t>(</w:t>
      </w:r>
      <w:r w:rsidRPr="00A72B41">
        <w:rPr>
          <w:rFonts w:cs="Arial"/>
          <w:rtl/>
        </w:rPr>
        <w:t>סי' נב</w:t>
      </w:r>
      <w:r w:rsidR="00B43F2D">
        <w:rPr>
          <w:rFonts w:cs="Arial" w:hint="cs"/>
          <w:rtl/>
        </w:rPr>
        <w:t>)</w:t>
      </w:r>
      <w:r w:rsidRPr="00A72B41">
        <w:rPr>
          <w:rFonts w:cs="Arial"/>
          <w:rtl/>
        </w:rPr>
        <w:t xml:space="preserve"> ומהרש"ל </w:t>
      </w:r>
      <w:r w:rsidR="00B43F2D">
        <w:rPr>
          <w:rFonts w:cs="Arial" w:hint="cs"/>
          <w:rtl/>
        </w:rPr>
        <w:t>(</w:t>
      </w:r>
      <w:r w:rsidRPr="00A72B41">
        <w:rPr>
          <w:rFonts w:cs="Arial"/>
          <w:rtl/>
        </w:rPr>
        <w:t>סי' סה</w:t>
      </w:r>
      <w:r w:rsidR="00B43F2D">
        <w:rPr>
          <w:rFonts w:cs="Arial" w:hint="cs"/>
          <w:rtl/>
        </w:rPr>
        <w:t>)</w:t>
      </w:r>
      <w:r w:rsidRPr="00A72B41">
        <w:rPr>
          <w:rFonts w:cs="Arial"/>
          <w:rtl/>
        </w:rPr>
        <w:t xml:space="preserve"> אסרו אפי' בדיעבד</w:t>
      </w:r>
      <w:r>
        <w:rPr>
          <w:rFonts w:cs="Arial" w:hint="cs"/>
          <w:rtl/>
        </w:rPr>
        <w:t xml:space="preserve"> </w:t>
      </w:r>
      <w:r w:rsidRPr="00A72B41">
        <w:rPr>
          <w:rFonts w:cs="Arial"/>
          <w:rtl/>
        </w:rPr>
        <w:t>בעתים שוטה ועתים חלומה ע"ש</w:t>
      </w:r>
      <w:r w:rsidR="006A58E8">
        <w:rPr>
          <w:rFonts w:cs="Arial" w:hint="cs"/>
          <w:rtl/>
        </w:rPr>
        <w:t>.</w:t>
      </w:r>
      <w:r w:rsidRPr="00A72B41">
        <w:rPr>
          <w:rFonts w:cs="Arial"/>
          <w:rtl/>
        </w:rPr>
        <w:t xml:space="preserve"> ועיין מהר"ם מטראני </w:t>
      </w:r>
      <w:r w:rsidR="00B43F2D">
        <w:rPr>
          <w:rFonts w:cs="Arial" w:hint="cs"/>
          <w:rtl/>
        </w:rPr>
        <w:t>(</w:t>
      </w:r>
      <w:r w:rsidRPr="00A72B41">
        <w:rPr>
          <w:rFonts w:cs="Arial"/>
          <w:rtl/>
        </w:rPr>
        <w:t>ח"ב סי' כ</w:t>
      </w:r>
      <w:r w:rsidR="00B43F2D">
        <w:rPr>
          <w:rFonts w:cs="Arial" w:hint="cs"/>
          <w:rtl/>
        </w:rPr>
        <w:t>)</w:t>
      </w:r>
      <w:r w:rsidRPr="00A72B41">
        <w:rPr>
          <w:rFonts w:cs="Arial"/>
          <w:rtl/>
        </w:rPr>
        <w:t xml:space="preserve"> שמתיר לגרשה</w:t>
      </w:r>
      <w:r>
        <w:rPr>
          <w:rFonts w:cs="Arial" w:hint="cs"/>
          <w:rtl/>
        </w:rPr>
        <w:t xml:space="preserve">, </w:t>
      </w:r>
      <w:r w:rsidRPr="00B43F2D">
        <w:rPr>
          <w:rFonts w:cs="Arial" w:hint="cs"/>
          <w:b/>
          <w:bCs/>
          <w:rtl/>
        </w:rPr>
        <w:t>פת"ש</w:t>
      </w:r>
      <w:r>
        <w:rPr>
          <w:rFonts w:cs="Arial" w:hint="cs"/>
          <w:rtl/>
        </w:rPr>
        <w:t xml:space="preserve"> (סקי"א)</w:t>
      </w:r>
      <w:r w:rsidRPr="00A72B41">
        <w:rPr>
          <w:rFonts w:cs="Arial"/>
          <w:rtl/>
        </w:rPr>
        <w:t xml:space="preserve">. </w:t>
      </w:r>
      <w:r w:rsidRPr="00F72BC7">
        <w:rPr>
          <w:rFonts w:cs="Arial"/>
          <w:rtl/>
        </w:rPr>
        <w:t xml:space="preserve">וע' בט"ז </w:t>
      </w:r>
      <w:r w:rsidR="00310272">
        <w:rPr>
          <w:rFonts w:cs="Arial" w:hint="cs"/>
          <w:rtl/>
        </w:rPr>
        <w:t>(</w:t>
      </w:r>
      <w:r w:rsidRPr="00F72BC7">
        <w:rPr>
          <w:rFonts w:cs="Arial"/>
          <w:rtl/>
        </w:rPr>
        <w:t>סק"ה</w:t>
      </w:r>
      <w:r w:rsidR="00310272">
        <w:rPr>
          <w:rFonts w:cs="Arial" w:hint="cs"/>
          <w:rtl/>
        </w:rPr>
        <w:t>)</w:t>
      </w:r>
      <w:r w:rsidRPr="00F72BC7">
        <w:rPr>
          <w:rFonts w:cs="Arial"/>
          <w:rtl/>
        </w:rPr>
        <w:t xml:space="preserve"> שדעתו לחלק בין זמן הש"ס ובין האידנא דאיכא חרגמ"ה דאין לעגן האיש ולבטלו מפו"ר מחששא דגרירא</w:t>
      </w:r>
      <w:r w:rsidR="00310272">
        <w:rPr>
          <w:rFonts w:cs="Arial" w:hint="cs"/>
          <w:rtl/>
        </w:rPr>
        <w:t>,</w:t>
      </w:r>
      <w:r w:rsidRPr="00F72BC7">
        <w:rPr>
          <w:rFonts w:cs="Arial"/>
          <w:rtl/>
        </w:rPr>
        <w:t xml:space="preserve"> יעו"ש דמשמע שדעתו להקל גם בהוחזקה ג"פ</w:t>
      </w:r>
      <w:r w:rsidR="006A58E8">
        <w:rPr>
          <w:rFonts w:cs="Arial" w:hint="cs"/>
          <w:rtl/>
        </w:rPr>
        <w:t>.</w:t>
      </w:r>
      <w:r w:rsidRPr="00F72BC7">
        <w:rPr>
          <w:rFonts w:cs="Arial"/>
          <w:rtl/>
        </w:rPr>
        <w:t xml:space="preserve"> ועיין בתשו' ברית אברהם </w:t>
      </w:r>
      <w:r w:rsidR="00310272">
        <w:rPr>
          <w:rFonts w:cs="Arial" w:hint="cs"/>
          <w:rtl/>
        </w:rPr>
        <w:t>(</w:t>
      </w:r>
      <w:r w:rsidRPr="00F72BC7">
        <w:rPr>
          <w:rFonts w:cs="Arial"/>
          <w:rtl/>
        </w:rPr>
        <w:t>ס"ס פג</w:t>
      </w:r>
      <w:r w:rsidR="00310272">
        <w:rPr>
          <w:rFonts w:cs="Arial" w:hint="cs"/>
          <w:rtl/>
        </w:rPr>
        <w:t>),</w:t>
      </w:r>
      <w:r w:rsidRPr="00F72BC7">
        <w:rPr>
          <w:rFonts w:cs="Arial"/>
          <w:rtl/>
        </w:rPr>
        <w:t xml:space="preserve"> וע' בתשו' מאמר מרדכי </w:t>
      </w:r>
      <w:r w:rsidR="00310272">
        <w:rPr>
          <w:rFonts w:cs="Arial" w:hint="cs"/>
          <w:rtl/>
        </w:rPr>
        <w:t>(</w:t>
      </w:r>
      <w:r w:rsidRPr="00F72BC7">
        <w:rPr>
          <w:rFonts w:cs="Arial"/>
          <w:rtl/>
        </w:rPr>
        <w:t>סי' מא</w:t>
      </w:r>
      <w:r w:rsidR="00310272">
        <w:rPr>
          <w:rFonts w:cs="Arial" w:hint="cs"/>
          <w:rtl/>
        </w:rPr>
        <w:t>)</w:t>
      </w:r>
      <w:r>
        <w:rPr>
          <w:rFonts w:cs="Arial" w:hint="cs"/>
          <w:rtl/>
        </w:rPr>
        <w:t xml:space="preserve">, </w:t>
      </w:r>
      <w:r w:rsidRPr="00B43F2D">
        <w:rPr>
          <w:rFonts w:cs="Arial" w:hint="cs"/>
          <w:b/>
          <w:bCs/>
          <w:rtl/>
        </w:rPr>
        <w:t>פת"ש</w:t>
      </w:r>
      <w:r>
        <w:rPr>
          <w:rFonts w:cs="Arial" w:hint="cs"/>
          <w:rtl/>
        </w:rPr>
        <w:t xml:space="preserve"> (סקי"ז)</w:t>
      </w:r>
      <w:r>
        <w:rPr>
          <w:rFonts w:hint="cs"/>
          <w:rtl/>
        </w:rPr>
        <w:t>.</w:t>
      </w:r>
    </w:p>
  </w:footnote>
  <w:footnote w:id="65">
    <w:p w14:paraId="4DDF195D" w14:textId="62C3DAB7" w:rsidR="00403A76" w:rsidRDefault="00403A76">
      <w:pPr>
        <w:pStyle w:val="a5"/>
        <w:rPr>
          <w:rtl/>
        </w:rPr>
      </w:pPr>
      <w:r>
        <w:rPr>
          <w:rStyle w:val="a7"/>
        </w:rPr>
        <w:footnoteRef/>
      </w:r>
      <w:r>
        <w:rPr>
          <w:rtl/>
        </w:rPr>
        <w:t xml:space="preserve"> </w:t>
      </w:r>
      <w:r w:rsidRPr="008355EB">
        <w:rPr>
          <w:rFonts w:cs="Arial"/>
          <w:rtl/>
        </w:rPr>
        <w:t>וע"ז ערערו חכמי הדור ואמרו שלא אמרו אין שלד"ע אלא שלא יתחייב המשלח</w:t>
      </w:r>
      <w:r w:rsidR="00552864">
        <w:rPr>
          <w:rFonts w:cs="Arial" w:hint="cs"/>
          <w:rtl/>
        </w:rPr>
        <w:t>,</w:t>
      </w:r>
      <w:r w:rsidRPr="008355EB">
        <w:rPr>
          <w:rFonts w:cs="Arial"/>
          <w:rtl/>
        </w:rPr>
        <w:t xml:space="preserve"> אבל עיקר המעשה אינו בטל. והוא ז"ל התאזר חיל להשיב על דבריהם באריכות </w:t>
      </w:r>
      <w:r w:rsidR="00DA004F">
        <w:rPr>
          <w:rFonts w:cs="Arial" w:hint="cs"/>
          <w:rtl/>
        </w:rPr>
        <w:t>(</w:t>
      </w:r>
      <w:r w:rsidRPr="008355EB">
        <w:rPr>
          <w:rFonts w:cs="Arial"/>
          <w:rtl/>
        </w:rPr>
        <w:t>ע"ש סי' עה</w:t>
      </w:r>
      <w:r w:rsidR="00DA004F">
        <w:rPr>
          <w:rFonts w:cs="Arial" w:hint="cs"/>
          <w:rtl/>
        </w:rPr>
        <w:t>-פב)</w:t>
      </w:r>
      <w:r>
        <w:rPr>
          <w:rFonts w:cs="Arial" w:hint="cs"/>
          <w:rtl/>
        </w:rPr>
        <w:t>..</w:t>
      </w:r>
      <w:r w:rsidRPr="00E23743">
        <w:rPr>
          <w:rFonts w:cs="Arial"/>
          <w:rtl/>
        </w:rPr>
        <w:t xml:space="preserve"> </w:t>
      </w:r>
      <w:r w:rsidRPr="008355EB">
        <w:rPr>
          <w:rFonts w:cs="Arial"/>
          <w:rtl/>
        </w:rPr>
        <w:t xml:space="preserve">ושוב מצאתי בשו"ת מהרי"ט </w:t>
      </w:r>
      <w:r w:rsidR="00DA004F">
        <w:rPr>
          <w:rFonts w:cs="Arial" w:hint="cs"/>
          <w:rtl/>
        </w:rPr>
        <w:t>(</w:t>
      </w:r>
      <w:r w:rsidRPr="008355EB">
        <w:rPr>
          <w:rFonts w:cs="Arial"/>
          <w:rtl/>
        </w:rPr>
        <w:t>ח"א סי</w:t>
      </w:r>
      <w:r w:rsidR="00DA004F">
        <w:rPr>
          <w:rFonts w:cs="Arial" w:hint="cs"/>
          <w:rtl/>
        </w:rPr>
        <w:t>'</w:t>
      </w:r>
      <w:r w:rsidRPr="008355EB">
        <w:rPr>
          <w:rFonts w:cs="Arial"/>
          <w:rtl/>
        </w:rPr>
        <w:t xml:space="preserve"> ק</w:t>
      </w:r>
      <w:r w:rsidR="00DA004F">
        <w:rPr>
          <w:rFonts w:cs="Arial" w:hint="cs"/>
          <w:rtl/>
        </w:rPr>
        <w:t>טז)</w:t>
      </w:r>
      <w:r w:rsidRPr="008355EB">
        <w:rPr>
          <w:rFonts w:cs="Arial"/>
          <w:rtl/>
        </w:rPr>
        <w:t xml:space="preserve"> שנסתפק ג"כ בזה</w:t>
      </w:r>
      <w:r w:rsidR="00DA004F">
        <w:rPr>
          <w:rFonts w:cs="Arial" w:hint="cs"/>
          <w:rtl/>
        </w:rPr>
        <w:t>,</w:t>
      </w:r>
      <w:r w:rsidRPr="008355EB">
        <w:rPr>
          <w:rFonts w:cs="Arial"/>
          <w:rtl/>
        </w:rPr>
        <w:t xml:space="preserve"> ומתחלה רצה להכריע דהמעשה בטל וכנראה מתירוץ ב' שבתוס' הנ"ל</w:t>
      </w:r>
      <w:r w:rsidR="00DA004F">
        <w:rPr>
          <w:rFonts w:cs="Arial" w:hint="cs"/>
          <w:rtl/>
        </w:rPr>
        <w:t>,</w:t>
      </w:r>
      <w:r w:rsidRPr="008355EB">
        <w:rPr>
          <w:rFonts w:cs="Arial"/>
          <w:rtl/>
        </w:rPr>
        <w:t xml:space="preserve"> ובסוף כ' מאחר שמדברי הגמ' אין הכרע הדבר צריך לי בדיקה עכ"ל. גם בספר מחנה אפרים </w:t>
      </w:r>
      <w:r w:rsidR="00DA004F">
        <w:rPr>
          <w:rFonts w:cs="Arial" w:hint="cs"/>
          <w:rtl/>
        </w:rPr>
        <w:t>(</w:t>
      </w:r>
      <w:r w:rsidRPr="008355EB">
        <w:rPr>
          <w:rFonts w:cs="Arial"/>
          <w:rtl/>
        </w:rPr>
        <w:t>ה' שלוחין סי' ט</w:t>
      </w:r>
      <w:r w:rsidR="00DA004F">
        <w:rPr>
          <w:rFonts w:cs="Arial" w:hint="cs"/>
          <w:rtl/>
        </w:rPr>
        <w:t>)</w:t>
      </w:r>
      <w:r w:rsidRPr="008355EB">
        <w:rPr>
          <w:rFonts w:cs="Arial"/>
          <w:rtl/>
        </w:rPr>
        <w:t xml:space="preserve"> מסתפק בדבר זה אי אמרינן דהמעשה בטל ע"ש</w:t>
      </w:r>
      <w:r>
        <w:rPr>
          <w:rFonts w:cs="Arial" w:hint="cs"/>
          <w:rtl/>
        </w:rPr>
        <w:t>.</w:t>
      </w:r>
      <w:r w:rsidRPr="008355EB">
        <w:rPr>
          <w:rFonts w:cs="Arial"/>
          <w:rtl/>
        </w:rPr>
        <w:t xml:space="preserve"> ועיין בנו"ב </w:t>
      </w:r>
      <w:r w:rsidR="00DA004F">
        <w:rPr>
          <w:rFonts w:cs="Arial" w:hint="cs"/>
          <w:rtl/>
        </w:rPr>
        <w:t>(</w:t>
      </w:r>
      <w:r w:rsidRPr="008355EB">
        <w:rPr>
          <w:rFonts w:cs="Arial"/>
          <w:rtl/>
        </w:rPr>
        <w:t>תנינא סי' קיא</w:t>
      </w:r>
      <w:r w:rsidR="00C64A50">
        <w:rPr>
          <w:rFonts w:cs="Arial" w:hint="cs"/>
          <w:rtl/>
        </w:rPr>
        <w:t xml:space="preserve">, </w:t>
      </w:r>
      <w:r w:rsidRPr="008355EB">
        <w:rPr>
          <w:rFonts w:cs="Arial"/>
          <w:rtl/>
        </w:rPr>
        <w:t>קיב</w:t>
      </w:r>
      <w:r w:rsidR="00C64A50">
        <w:rPr>
          <w:rFonts w:cs="Arial" w:hint="cs"/>
          <w:rtl/>
        </w:rPr>
        <w:t>,</w:t>
      </w:r>
      <w:r w:rsidRPr="008355EB">
        <w:rPr>
          <w:rFonts w:cs="Arial"/>
          <w:rtl/>
        </w:rPr>
        <w:t xml:space="preserve"> קלה</w:t>
      </w:r>
      <w:r w:rsidR="00C64A50">
        <w:rPr>
          <w:rFonts w:cs="Arial" w:hint="cs"/>
          <w:rtl/>
        </w:rPr>
        <w:t>)</w:t>
      </w:r>
      <w:r w:rsidRPr="008355EB">
        <w:rPr>
          <w:rFonts w:cs="Arial"/>
          <w:rtl/>
        </w:rPr>
        <w:t xml:space="preserve"> מענין זה</w:t>
      </w:r>
      <w:r>
        <w:rPr>
          <w:rFonts w:cs="Arial" w:hint="cs"/>
          <w:rtl/>
        </w:rPr>
        <w:t>.</w:t>
      </w:r>
      <w:r w:rsidRPr="008355EB">
        <w:rPr>
          <w:rFonts w:cs="Arial"/>
          <w:rtl/>
        </w:rPr>
        <w:t xml:space="preserve"> ועמ"ש לקמן </w:t>
      </w:r>
      <w:r w:rsidR="00C64A50">
        <w:rPr>
          <w:rFonts w:cs="Arial" w:hint="cs"/>
          <w:rtl/>
        </w:rPr>
        <w:t>(</w:t>
      </w:r>
      <w:r w:rsidRPr="008355EB">
        <w:rPr>
          <w:rFonts w:cs="Arial"/>
          <w:rtl/>
        </w:rPr>
        <w:t>סי' קמא סל"ו סקל"ח</w:t>
      </w:r>
      <w:r w:rsidR="00C64A50">
        <w:rPr>
          <w:rFonts w:hint="cs"/>
          <w:rtl/>
        </w:rPr>
        <w:t>)</w:t>
      </w:r>
      <w:r>
        <w:rPr>
          <w:rFonts w:hint="cs"/>
          <w:rtl/>
        </w:rPr>
        <w:t>, פת"ש (סק"ו)</w:t>
      </w:r>
    </w:p>
  </w:footnote>
  <w:footnote w:id="66">
    <w:p w14:paraId="395F01E6" w14:textId="33ED0732" w:rsidR="00403A76" w:rsidRDefault="00403A76">
      <w:pPr>
        <w:pStyle w:val="a5"/>
        <w:rPr>
          <w:rtl/>
        </w:rPr>
      </w:pPr>
      <w:r>
        <w:rPr>
          <w:rStyle w:val="a7"/>
        </w:rPr>
        <w:footnoteRef/>
      </w:r>
      <w:r>
        <w:rPr>
          <w:rtl/>
        </w:rPr>
        <w:t xml:space="preserve"> </w:t>
      </w:r>
      <w:r w:rsidRPr="008355EB">
        <w:rPr>
          <w:rFonts w:cs="Arial"/>
          <w:rtl/>
        </w:rPr>
        <w:t xml:space="preserve">גם בנו בתשו' שיבת ציון </w:t>
      </w:r>
      <w:r w:rsidR="00964A02">
        <w:rPr>
          <w:rFonts w:cs="Arial" w:hint="cs"/>
          <w:rtl/>
        </w:rPr>
        <w:t>(</w:t>
      </w:r>
      <w:r w:rsidRPr="008355EB">
        <w:rPr>
          <w:rFonts w:cs="Arial"/>
          <w:rtl/>
        </w:rPr>
        <w:t>ס"ס פח וס"ס פט</w:t>
      </w:r>
      <w:r w:rsidR="00964A02">
        <w:rPr>
          <w:rFonts w:cs="Arial" w:hint="cs"/>
          <w:rtl/>
        </w:rPr>
        <w:t>)</w:t>
      </w:r>
      <w:r w:rsidRPr="008355EB">
        <w:rPr>
          <w:rFonts w:cs="Arial"/>
          <w:rtl/>
        </w:rPr>
        <w:t xml:space="preserve"> כ' להחזיק פסק אביו הגאון ז"ל בזה נגד רב אחד שפקפק ע"ז</w:t>
      </w:r>
      <w:r w:rsidR="00964A02">
        <w:rPr>
          <w:rFonts w:cs="Arial" w:hint="cs"/>
          <w:rtl/>
        </w:rPr>
        <w:t>.</w:t>
      </w:r>
      <w:r w:rsidRPr="008355EB">
        <w:rPr>
          <w:rFonts w:cs="Arial"/>
          <w:rtl/>
        </w:rPr>
        <w:t xml:space="preserve"> ומסיים שהוא מסופק אם אחד מגדולי הדור שכבר ראה דברי אביו ז"ל ירום ראש להקל בחומר איסור א"א ע"ש עוד </w:t>
      </w:r>
      <w:r w:rsidR="00964A02">
        <w:rPr>
          <w:rFonts w:cs="Arial" w:hint="cs"/>
          <w:rtl/>
        </w:rPr>
        <w:t>(</w:t>
      </w:r>
      <w:r w:rsidRPr="008355EB">
        <w:rPr>
          <w:rFonts w:cs="Arial"/>
          <w:rtl/>
        </w:rPr>
        <w:t>סי' פג</w:t>
      </w:r>
      <w:r w:rsidR="00964A02">
        <w:rPr>
          <w:rFonts w:cs="Arial" w:hint="cs"/>
          <w:rtl/>
        </w:rPr>
        <w:t>-</w:t>
      </w:r>
      <w:r w:rsidRPr="008355EB">
        <w:rPr>
          <w:rFonts w:cs="Arial"/>
          <w:rtl/>
        </w:rPr>
        <w:t>פד</w:t>
      </w:r>
      <w:r w:rsidR="00964A02">
        <w:rPr>
          <w:rFonts w:cs="Arial" w:hint="cs"/>
          <w:rtl/>
        </w:rPr>
        <w:t>)</w:t>
      </w:r>
      <w:r>
        <w:rPr>
          <w:rFonts w:cs="Arial" w:hint="cs"/>
          <w:rtl/>
        </w:rPr>
        <w:t>, פת"ש (סק"ו)</w:t>
      </w:r>
      <w:r w:rsidRPr="008355EB">
        <w:rPr>
          <w:rFonts w:cs="Arial"/>
          <w:rtl/>
        </w:rPr>
        <w:t>.</w:t>
      </w:r>
    </w:p>
  </w:footnote>
  <w:footnote w:id="67">
    <w:p w14:paraId="4E654F52" w14:textId="68000479" w:rsidR="00403A76" w:rsidRDefault="00403A76">
      <w:pPr>
        <w:pStyle w:val="a5"/>
        <w:rPr>
          <w:rtl/>
        </w:rPr>
      </w:pPr>
      <w:r>
        <w:rPr>
          <w:rStyle w:val="a7"/>
        </w:rPr>
        <w:footnoteRef/>
      </w:r>
      <w:r>
        <w:rPr>
          <w:rtl/>
        </w:rPr>
        <w:t xml:space="preserve"> </w:t>
      </w:r>
      <w:r w:rsidRPr="00CF6579">
        <w:rPr>
          <w:rFonts w:cs="Arial"/>
          <w:rtl/>
        </w:rPr>
        <w:t>כהן שגירש את אשתו מהו לדור עמו בחצר</w:t>
      </w:r>
      <w:r>
        <w:rPr>
          <w:rFonts w:hint="cs"/>
          <w:rtl/>
        </w:rPr>
        <w:t>, רש"י.</w:t>
      </w:r>
    </w:p>
  </w:footnote>
  <w:footnote w:id="68">
    <w:p w14:paraId="396E6B33" w14:textId="3940BF17" w:rsidR="00403A76" w:rsidRDefault="00403A76">
      <w:pPr>
        <w:pStyle w:val="a5"/>
      </w:pPr>
      <w:r>
        <w:rPr>
          <w:rStyle w:val="a7"/>
        </w:rPr>
        <w:footnoteRef/>
      </w:r>
      <w:r>
        <w:rPr>
          <w:rtl/>
        </w:rPr>
        <w:t xml:space="preserve"> </w:t>
      </w:r>
      <w:r w:rsidRPr="00CF6579">
        <w:rPr>
          <w:rFonts w:cs="Arial"/>
          <w:rtl/>
        </w:rPr>
        <w:t>לפי שמכירה ברמיזותיו וקריצותיו שמא יבואו לידי עבירה</w:t>
      </w:r>
      <w:r>
        <w:rPr>
          <w:rFonts w:cs="Arial" w:hint="cs"/>
          <w:rtl/>
        </w:rPr>
        <w:t>, רש"י.</w:t>
      </w:r>
    </w:p>
  </w:footnote>
  <w:footnote w:id="69">
    <w:p w14:paraId="135F67B3" w14:textId="62F497D9" w:rsidR="00403A76" w:rsidRDefault="00403A76">
      <w:pPr>
        <w:pStyle w:val="a5"/>
        <w:rPr>
          <w:rFonts w:cs="Arial"/>
          <w:rtl/>
        </w:rPr>
      </w:pPr>
      <w:r>
        <w:rPr>
          <w:rStyle w:val="a7"/>
        </w:rPr>
        <w:footnoteRef/>
      </w:r>
      <w:r>
        <w:rPr>
          <w:rtl/>
        </w:rPr>
        <w:t xml:space="preserve"> </w:t>
      </w:r>
      <w:r w:rsidRPr="00CF6579">
        <w:rPr>
          <w:rFonts w:cs="Arial"/>
          <w:rtl/>
        </w:rPr>
        <w:t>שמא יבא עליה וכהן אסור בגרושה</w:t>
      </w:r>
      <w:r>
        <w:rPr>
          <w:rFonts w:cs="Arial" w:hint="cs"/>
          <w:rtl/>
        </w:rPr>
        <w:t>.</w:t>
      </w:r>
      <w:r w:rsidRPr="00F91E7E">
        <w:rPr>
          <w:rtl/>
        </w:rPr>
        <w:t xml:space="preserve"> </w:t>
      </w:r>
      <w:r w:rsidRPr="001F5E55">
        <w:rPr>
          <w:rFonts w:cs="Arial" w:hint="cs"/>
          <w:u w:val="single"/>
          <w:rtl/>
        </w:rPr>
        <w:t xml:space="preserve">ויש בפירוש ברייתא זו </w:t>
      </w:r>
      <w:r w:rsidR="00617F33">
        <w:rPr>
          <w:rFonts w:cs="Arial" w:hint="cs"/>
          <w:u w:val="single"/>
          <w:rtl/>
        </w:rPr>
        <w:t>כמה</w:t>
      </w:r>
      <w:r w:rsidRPr="001F5E55">
        <w:rPr>
          <w:rFonts w:cs="Arial" w:hint="cs"/>
          <w:u w:val="single"/>
          <w:rtl/>
        </w:rPr>
        <w:t xml:space="preserve"> דעות:</w:t>
      </w:r>
      <w:r>
        <w:rPr>
          <w:rFonts w:cs="Arial" w:hint="cs"/>
          <w:rtl/>
        </w:rPr>
        <w:t xml:space="preserve"> </w:t>
      </w:r>
    </w:p>
    <w:p w14:paraId="71525EED" w14:textId="7691DCBA" w:rsidR="00403A76" w:rsidRPr="001F5E55" w:rsidRDefault="00403A76" w:rsidP="00A65C5F">
      <w:pPr>
        <w:pStyle w:val="a5"/>
        <w:numPr>
          <w:ilvl w:val="0"/>
          <w:numId w:val="23"/>
        </w:numPr>
      </w:pPr>
      <w:r>
        <w:rPr>
          <w:rFonts w:cs="Arial" w:hint="cs"/>
          <w:rtl/>
        </w:rPr>
        <w:t xml:space="preserve">רא"ש </w:t>
      </w:r>
      <w:r w:rsidRPr="00250B31">
        <w:rPr>
          <w:rFonts w:cs="Arial" w:hint="cs"/>
          <w:sz w:val="16"/>
          <w:szCs w:val="16"/>
          <w:rtl/>
        </w:rPr>
        <w:t>(שם)</w:t>
      </w:r>
      <w:r>
        <w:rPr>
          <w:rFonts w:cs="Arial" w:hint="cs"/>
          <w:rtl/>
        </w:rPr>
        <w:t xml:space="preserve"> ור"ן</w:t>
      </w:r>
      <w:r>
        <w:rPr>
          <w:rFonts w:cs="Arial" w:hint="cs"/>
          <w:sz w:val="14"/>
          <w:szCs w:val="14"/>
          <w:rtl/>
        </w:rPr>
        <w:t xml:space="preserve"> (</w:t>
      </w:r>
      <w:r w:rsidRPr="00B24073">
        <w:rPr>
          <w:rFonts w:cs="Arial"/>
          <w:sz w:val="16"/>
          <w:szCs w:val="16"/>
          <w:rtl/>
        </w:rPr>
        <w:t>כתובות יב. ד"ה הפודה</w:t>
      </w:r>
      <w:r>
        <w:rPr>
          <w:rFonts w:cs="Arial" w:hint="cs"/>
          <w:sz w:val="16"/>
          <w:szCs w:val="16"/>
          <w:rtl/>
        </w:rPr>
        <w:t>)</w:t>
      </w:r>
      <w:r>
        <w:rPr>
          <w:rFonts w:cs="Arial" w:hint="cs"/>
          <w:rtl/>
        </w:rPr>
        <w:t xml:space="preserve">- שכונה גדולה ממבוי, ובנשואה החמירו </w:t>
      </w:r>
      <w:r w:rsidRPr="00C77A5B">
        <w:rPr>
          <w:rFonts w:cs="Arial" w:hint="cs"/>
          <w:sz w:val="16"/>
          <w:szCs w:val="16"/>
          <w:rtl/>
        </w:rPr>
        <w:t xml:space="preserve">(כיון דהאיסור חמור </w:t>
      </w:r>
      <w:r>
        <w:rPr>
          <w:rFonts w:cs="Arial" w:hint="cs"/>
          <w:sz w:val="16"/>
          <w:szCs w:val="16"/>
          <w:rtl/>
        </w:rPr>
        <w:t>[</w:t>
      </w:r>
      <w:r w:rsidRPr="00C77A5B">
        <w:rPr>
          <w:rFonts w:cs="Arial" w:hint="cs"/>
          <w:sz w:val="16"/>
          <w:szCs w:val="16"/>
          <w:rtl/>
        </w:rPr>
        <w:t>כרת</w:t>
      </w:r>
      <w:r>
        <w:rPr>
          <w:rFonts w:cs="Arial" w:hint="cs"/>
          <w:sz w:val="16"/>
          <w:szCs w:val="16"/>
          <w:rtl/>
        </w:rPr>
        <w:t>]</w:t>
      </w:r>
      <w:r w:rsidRPr="00C77A5B">
        <w:rPr>
          <w:rFonts w:cs="Arial" w:hint="cs"/>
          <w:sz w:val="16"/>
          <w:szCs w:val="16"/>
          <w:rtl/>
        </w:rPr>
        <w:t>)</w:t>
      </w:r>
      <w:r>
        <w:rPr>
          <w:rFonts w:cs="Arial" w:hint="cs"/>
          <w:rtl/>
        </w:rPr>
        <w:t xml:space="preserve">. </w:t>
      </w:r>
    </w:p>
    <w:p w14:paraId="2F5E8639" w14:textId="7576CD96" w:rsidR="00403A76" w:rsidRPr="001F5E55" w:rsidRDefault="00403A76" w:rsidP="00A65C5F">
      <w:pPr>
        <w:pStyle w:val="a5"/>
        <w:numPr>
          <w:ilvl w:val="0"/>
          <w:numId w:val="23"/>
        </w:numPr>
      </w:pPr>
      <w:r>
        <w:rPr>
          <w:rFonts w:cs="Arial" w:hint="cs"/>
          <w:rtl/>
        </w:rPr>
        <w:t xml:space="preserve">תוס' </w:t>
      </w:r>
      <w:r w:rsidRPr="00250B31">
        <w:rPr>
          <w:rFonts w:cs="Arial" w:hint="cs"/>
          <w:sz w:val="16"/>
          <w:szCs w:val="16"/>
          <w:rtl/>
        </w:rPr>
        <w:t>(ד"ה ואם)</w:t>
      </w:r>
      <w:r>
        <w:rPr>
          <w:rFonts w:cs="Arial" w:hint="cs"/>
          <w:rtl/>
        </w:rPr>
        <w:t xml:space="preserve">- מבוי גדול משכונה, ובפנויה החמירו </w:t>
      </w:r>
      <w:r w:rsidRPr="00C77A5B">
        <w:rPr>
          <w:rFonts w:cs="Arial" w:hint="cs"/>
          <w:sz w:val="16"/>
          <w:szCs w:val="16"/>
          <w:rtl/>
        </w:rPr>
        <w:t>(כיון דהאיסור קל, וקל לאדם ליפול באיסור קל)</w:t>
      </w:r>
      <w:r>
        <w:rPr>
          <w:rFonts w:cs="Arial" w:hint="cs"/>
          <w:rtl/>
        </w:rPr>
        <w:t xml:space="preserve">. </w:t>
      </w:r>
    </w:p>
    <w:p w14:paraId="69B36B4C" w14:textId="669700DF" w:rsidR="00403A76" w:rsidRDefault="00403A76" w:rsidP="00A65C5F">
      <w:pPr>
        <w:pStyle w:val="a5"/>
        <w:numPr>
          <w:ilvl w:val="0"/>
          <w:numId w:val="23"/>
        </w:numPr>
        <w:rPr>
          <w:rtl/>
        </w:rPr>
      </w:pPr>
      <w:r>
        <w:rPr>
          <w:rFonts w:cs="Arial" w:hint="cs"/>
          <w:rtl/>
        </w:rPr>
        <w:t xml:space="preserve">רש"י </w:t>
      </w:r>
      <w:r>
        <w:rPr>
          <w:rFonts w:cs="Arial" w:hint="cs"/>
          <w:sz w:val="16"/>
          <w:szCs w:val="16"/>
          <w:rtl/>
        </w:rPr>
        <w:t xml:space="preserve">(כז: ד"ה לא תנשא </w:t>
      </w:r>
      <w:r w:rsidR="00A42812">
        <w:rPr>
          <w:rFonts w:cs="Arial"/>
          <w:sz w:val="16"/>
          <w:szCs w:val="16"/>
          <w:rtl/>
        </w:rPr>
        <w:t>-</w:t>
      </w:r>
      <w:r>
        <w:rPr>
          <w:rFonts w:cs="Arial" w:hint="cs"/>
          <w:sz w:val="16"/>
          <w:szCs w:val="16"/>
          <w:rtl/>
        </w:rPr>
        <w:t xml:space="preserve"> כח. ד"ה לא תדור, ועי' קו"נ [שם] שחולק)</w:t>
      </w:r>
      <w:r>
        <w:rPr>
          <w:rFonts w:cs="Arial" w:hint="cs"/>
          <w:rtl/>
        </w:rPr>
        <w:t>- מבוי גדול משכונה, ובנשואה החמירו.</w:t>
      </w:r>
    </w:p>
  </w:footnote>
  <w:footnote w:id="70">
    <w:p w14:paraId="0652679C" w14:textId="75B015AD" w:rsidR="00403A76" w:rsidRDefault="00403A76" w:rsidP="000E759C">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374AA5">
        <w:rPr>
          <w:rFonts w:cs="Arial"/>
          <w:rtl/>
        </w:rPr>
        <w:t>שכונה גדולה ממבוי</w:t>
      </w:r>
      <w:r>
        <w:rPr>
          <w:rFonts w:cs="Arial" w:hint="cs"/>
          <w:rtl/>
        </w:rPr>
        <w:t>.</w:t>
      </w:r>
      <w:r w:rsidRPr="00374AA5">
        <w:rPr>
          <w:rFonts w:cs="Arial"/>
          <w:rtl/>
        </w:rPr>
        <w:t xml:space="preserve"> ובאשת איש החמירו רבנן טפי מגרושה</w:t>
      </w:r>
      <w:r>
        <w:rPr>
          <w:rFonts w:cs="Arial" w:hint="cs"/>
          <w:rtl/>
        </w:rPr>
        <w:t>,</w:t>
      </w:r>
      <w:r w:rsidRPr="00374AA5">
        <w:rPr>
          <w:rFonts w:cs="Arial"/>
          <w:rtl/>
        </w:rPr>
        <w:t xml:space="preserve"> שהיא בלאו</w:t>
      </w:r>
      <w:r>
        <w:rPr>
          <w:rFonts w:cs="Arial" w:hint="cs"/>
          <w:rtl/>
        </w:rPr>
        <w:t>.</w:t>
      </w:r>
    </w:p>
  </w:footnote>
  <w:footnote w:id="71">
    <w:p w14:paraId="1B175735" w14:textId="4D0929BF" w:rsidR="00403A76" w:rsidRDefault="00403A76">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374AA5">
        <w:rPr>
          <w:rFonts w:cs="Arial"/>
          <w:rtl/>
        </w:rPr>
        <w:t>ואם היה כהן לא תדור עמו במבוי - דכיון דפנויה היא קיל ליה אבל אם נישאת אין צריך להרחיק אלא כדי שכונה דהיינו ג' בתים כדאמרינן בספ</w:t>
      </w:r>
      <w:r>
        <w:rPr>
          <w:rFonts w:cs="Arial" w:hint="cs"/>
          <w:rtl/>
        </w:rPr>
        <w:t>"</w:t>
      </w:r>
      <w:r w:rsidRPr="00374AA5">
        <w:rPr>
          <w:rFonts w:cs="Arial"/>
          <w:rtl/>
        </w:rPr>
        <w:t>ק דע"ז (דף כא.) דכיון דנישאת חמירא ליה אפי' לכהן.</w:t>
      </w:r>
    </w:p>
  </w:footnote>
  <w:footnote w:id="72">
    <w:p w14:paraId="55A1B82A" w14:textId="2E152AC3" w:rsidR="00403A76" w:rsidRDefault="00403A76">
      <w:pPr>
        <w:pStyle w:val="a5"/>
      </w:pPr>
      <w:r>
        <w:rPr>
          <w:rStyle w:val="a7"/>
        </w:rPr>
        <w:footnoteRef/>
      </w:r>
      <w:r>
        <w:rPr>
          <w:rtl/>
        </w:rPr>
        <w:t xml:space="preserve"> </w:t>
      </w:r>
      <w:r w:rsidRPr="00EC459D">
        <w:rPr>
          <w:rFonts w:cs="Arial"/>
          <w:rtl/>
        </w:rPr>
        <w:t>כיון שלא הזכירו בגמרא</w:t>
      </w:r>
      <w:r>
        <w:rPr>
          <w:rFonts w:cs="Arial" w:hint="cs"/>
          <w:rtl/>
        </w:rPr>
        <w:t>,</w:t>
      </w:r>
      <w:r w:rsidRPr="00EC459D">
        <w:rPr>
          <w:rFonts w:cs="Arial"/>
          <w:rtl/>
        </w:rPr>
        <w:t xml:space="preserve"> וגם כשיבוא עליה ליכא אפילו לאו</w:t>
      </w:r>
      <w:r>
        <w:rPr>
          <w:rFonts w:cs="Arial" w:hint="cs"/>
          <w:rtl/>
        </w:rPr>
        <w:t>.</w:t>
      </w:r>
      <w:r w:rsidRPr="00EC459D">
        <w:rPr>
          <w:rFonts w:cs="Arial"/>
          <w:rtl/>
        </w:rPr>
        <w:t xml:space="preserve"> וכ</w:t>
      </w:r>
      <w:r>
        <w:rPr>
          <w:rFonts w:cs="Arial" w:hint="cs"/>
          <w:rtl/>
        </w:rPr>
        <w:t>"</w:t>
      </w:r>
      <w:r w:rsidRPr="00EC459D">
        <w:rPr>
          <w:rFonts w:cs="Arial"/>
          <w:rtl/>
        </w:rPr>
        <w:t>כ הה</w:t>
      </w:r>
      <w:r>
        <w:rPr>
          <w:rFonts w:cs="Arial" w:hint="cs"/>
          <w:rtl/>
        </w:rPr>
        <w:t>"</w:t>
      </w:r>
      <w:r w:rsidRPr="00EC459D">
        <w:rPr>
          <w:rFonts w:cs="Arial"/>
          <w:rtl/>
        </w:rPr>
        <w:t xml:space="preserve">מ </w:t>
      </w:r>
      <w:r>
        <w:rPr>
          <w:rFonts w:cs="Arial" w:hint="cs"/>
          <w:rtl/>
        </w:rPr>
        <w:t>(</w:t>
      </w:r>
      <w:r w:rsidRPr="00EC459D">
        <w:rPr>
          <w:rFonts w:cs="Arial"/>
          <w:rtl/>
        </w:rPr>
        <w:t xml:space="preserve">פכ"א </w:t>
      </w:r>
      <w:r>
        <w:rPr>
          <w:rFonts w:cs="Arial" w:hint="cs"/>
          <w:rtl/>
        </w:rPr>
        <w:t>מאיסו"ב</w:t>
      </w:r>
      <w:r w:rsidRPr="00EC459D">
        <w:rPr>
          <w:rFonts w:cs="Arial"/>
          <w:rtl/>
        </w:rPr>
        <w:t xml:space="preserve"> הכ"ז) דלפי גירסא זו גרושת ישראל כל זמן שלא נישאת תדור בשכונתו ומכל מקום אפשר דבחצר אחת אף לפי גירסא זו אסורים לדור</w:t>
      </w:r>
      <w:r>
        <w:rPr>
          <w:rFonts w:cs="Arial" w:hint="cs"/>
          <w:rtl/>
        </w:rPr>
        <w:t>,</w:t>
      </w:r>
      <w:r w:rsidRPr="00EC459D">
        <w:rPr>
          <w:rFonts w:cs="Arial"/>
          <w:rtl/>
        </w:rPr>
        <w:t xml:space="preserve"> וכן משמע הסוגיא שם</w:t>
      </w:r>
      <w:r>
        <w:rPr>
          <w:rFonts w:cs="Arial" w:hint="cs"/>
          <w:rtl/>
        </w:rPr>
        <w:t>.</w:t>
      </w:r>
      <w:r w:rsidRPr="00EC459D">
        <w:rPr>
          <w:rFonts w:cs="Arial"/>
          <w:rtl/>
        </w:rPr>
        <w:t xml:space="preserve"> וכן כתב הר"ן (כתובות יב. ד"ה מי) גם כן דגרושת ישראל אסורה לדור עמו בחצר</w:t>
      </w:r>
      <w:r>
        <w:rPr>
          <w:rFonts w:cs="Arial" w:hint="cs"/>
          <w:rtl/>
        </w:rPr>
        <w:t>,</w:t>
      </w:r>
      <w:r w:rsidRPr="00EC459D">
        <w:rPr>
          <w:rFonts w:cs="Arial"/>
          <w:rtl/>
        </w:rPr>
        <w:t xml:space="preserve"> אא</w:t>
      </w:r>
      <w:r>
        <w:rPr>
          <w:rFonts w:cs="Arial" w:hint="cs"/>
          <w:rtl/>
        </w:rPr>
        <w:t>"</w:t>
      </w:r>
      <w:r w:rsidRPr="00EC459D">
        <w:rPr>
          <w:rFonts w:cs="Arial"/>
          <w:rtl/>
        </w:rPr>
        <w:t>כ היו נזהרים שיהיו אחרים עמהם</w:t>
      </w:r>
      <w:r>
        <w:rPr>
          <w:rFonts w:cs="Arial" w:hint="cs"/>
          <w:rtl/>
        </w:rPr>
        <w:t>,</w:t>
      </w:r>
      <w:r w:rsidRPr="00EC459D">
        <w:rPr>
          <w:rFonts w:cs="Arial"/>
          <w:rtl/>
        </w:rPr>
        <w:t xml:space="preserve"> וכתב (שם סד"ה רב) דבירושלמי (גיטין פ"ח ה"ט) משמע דמותרת לדור עמו בחצר</w:t>
      </w:r>
      <w:r>
        <w:rPr>
          <w:rFonts w:cs="Arial" w:hint="cs"/>
          <w:rtl/>
        </w:rPr>
        <w:t>,</w:t>
      </w:r>
      <w:r w:rsidRPr="00EC459D">
        <w:rPr>
          <w:rFonts w:cs="Arial"/>
          <w:rtl/>
        </w:rPr>
        <w:t xml:space="preserve"> והניח הדבר בצ"ע</w:t>
      </w:r>
      <w:r>
        <w:rPr>
          <w:rFonts w:cs="Arial" w:hint="cs"/>
          <w:rtl/>
        </w:rPr>
        <w:t>.</w:t>
      </w:r>
      <w:r w:rsidRPr="00EC459D">
        <w:rPr>
          <w:rFonts w:cs="Arial"/>
          <w:rtl/>
        </w:rPr>
        <w:t xml:space="preserve"> ועיין בתשובת הריב"ש סימן ש"ס</w:t>
      </w:r>
      <w:r>
        <w:rPr>
          <w:rFonts w:cs="Arial" w:hint="cs"/>
          <w:rtl/>
        </w:rPr>
        <w:t>, ב"י.</w:t>
      </w:r>
    </w:p>
  </w:footnote>
  <w:footnote w:id="73">
    <w:p w14:paraId="2509515B" w14:textId="7ACE837E" w:rsidR="00403A76" w:rsidRDefault="00403A76" w:rsidP="00F865A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sidRPr="00374AA5">
        <w:rPr>
          <w:rFonts w:cs="Arial"/>
          <w:rtl/>
        </w:rPr>
        <w:t xml:space="preserve"> ואשתו שנישאת לאחר ונתארמלה או נתגרשה</w:t>
      </w:r>
      <w:r>
        <w:rPr>
          <w:rFonts w:cs="Arial" w:hint="cs"/>
          <w:rtl/>
        </w:rPr>
        <w:t>,</w:t>
      </w:r>
      <w:r w:rsidRPr="00374AA5">
        <w:rPr>
          <w:rFonts w:cs="Arial"/>
          <w:rtl/>
        </w:rPr>
        <w:t xml:space="preserve"> אינה כי אם בלאו</w:t>
      </w:r>
      <w:r>
        <w:rPr>
          <w:rFonts w:cs="Arial" w:hint="cs"/>
          <w:rtl/>
        </w:rPr>
        <w:t>,</w:t>
      </w:r>
      <w:r w:rsidRPr="00374AA5">
        <w:rPr>
          <w:rFonts w:cs="Arial"/>
          <w:rtl/>
        </w:rPr>
        <w:t xml:space="preserve"> ויש לה דין גרושה לכהן</w:t>
      </w:r>
      <w:r>
        <w:rPr>
          <w:rFonts w:cs="Arial" w:hint="cs"/>
          <w:rtl/>
        </w:rPr>
        <w:t>.</w:t>
      </w:r>
    </w:p>
  </w:footnote>
  <w:footnote w:id="74">
    <w:p w14:paraId="2E95419B" w14:textId="5A56BBA9" w:rsidR="00403A76" w:rsidRDefault="00403A76">
      <w:pPr>
        <w:pStyle w:val="a5"/>
      </w:pPr>
      <w:r>
        <w:rPr>
          <w:rStyle w:val="a7"/>
        </w:rPr>
        <w:footnoteRef/>
      </w:r>
      <w:r>
        <w:rPr>
          <w:rtl/>
        </w:rPr>
        <w:t xml:space="preserve"> </w:t>
      </w:r>
      <w:r w:rsidRPr="005F4F17">
        <w:rPr>
          <w:rFonts w:cs="Arial"/>
          <w:rtl/>
        </w:rPr>
        <w:t>דמאחר דלבו גס בה ומכרת ברמיזותיו חיישינן שמא יבואו לידי זנות</w:t>
      </w:r>
      <w:r>
        <w:rPr>
          <w:rFonts w:cs="Arial" w:hint="cs"/>
          <w:rtl/>
        </w:rPr>
        <w:t>,</w:t>
      </w:r>
      <w:r w:rsidRPr="005F4F17">
        <w:rPr>
          <w:rFonts w:cs="Arial"/>
          <w:rtl/>
        </w:rPr>
        <w:t xml:space="preserve"> ואע</w:t>
      </w:r>
      <w:r>
        <w:rPr>
          <w:rFonts w:cs="Arial" w:hint="cs"/>
          <w:rtl/>
        </w:rPr>
        <w:t>"</w:t>
      </w:r>
      <w:r w:rsidRPr="005F4F17">
        <w:rPr>
          <w:rFonts w:cs="Arial"/>
          <w:rtl/>
        </w:rPr>
        <w:t>פ שפנויה היא</w:t>
      </w:r>
      <w:r>
        <w:rPr>
          <w:rFonts w:cs="Arial" w:hint="cs"/>
          <w:rtl/>
        </w:rPr>
        <w:t>,</w:t>
      </w:r>
      <w:r w:rsidRPr="005F4F17">
        <w:rPr>
          <w:rFonts w:cs="Arial"/>
          <w:rtl/>
        </w:rPr>
        <w:t xml:space="preserve"> אסורה לו</w:t>
      </w:r>
      <w:r>
        <w:rPr>
          <w:rFonts w:cs="Arial" w:hint="cs"/>
          <w:rtl/>
        </w:rPr>
        <w:t>,</w:t>
      </w:r>
      <w:r w:rsidRPr="005F4F17">
        <w:rPr>
          <w:rFonts w:cs="Arial"/>
          <w:rtl/>
        </w:rPr>
        <w:t xml:space="preserve"> דאפילו על יחוד דפנויה גזרו כמו שנתבאר לעיל סי' ך"ב וסימן כ"ו</w:t>
      </w:r>
      <w:r>
        <w:rPr>
          <w:rFonts w:cs="Arial" w:hint="cs"/>
          <w:rtl/>
        </w:rPr>
        <w:t>.</w:t>
      </w:r>
      <w:r w:rsidRPr="005F4F17">
        <w:rPr>
          <w:rFonts w:cs="Arial"/>
          <w:rtl/>
        </w:rPr>
        <w:t xml:space="preserve"> ומ"מ אם נזהרין שיהיו אחרים עמהם בחצר</w:t>
      </w:r>
      <w:r>
        <w:rPr>
          <w:rFonts w:cs="Arial" w:hint="cs"/>
          <w:rtl/>
        </w:rPr>
        <w:t>,</w:t>
      </w:r>
      <w:r w:rsidRPr="005F4F17">
        <w:rPr>
          <w:rFonts w:cs="Arial"/>
          <w:rtl/>
        </w:rPr>
        <w:t xml:space="preserve"> וכמו שעשה רב זכריה בן הקצב וכמו שנתבאר לעיל סי' ז' סעיף ט'</w:t>
      </w:r>
      <w:r>
        <w:rPr>
          <w:rFonts w:cs="Arial" w:hint="cs"/>
          <w:rtl/>
        </w:rPr>
        <w:t>,</w:t>
      </w:r>
      <w:r w:rsidRPr="005F4F17">
        <w:rPr>
          <w:rFonts w:cs="Arial"/>
          <w:rtl/>
        </w:rPr>
        <w:t xml:space="preserve"> נראה דשרי</w:t>
      </w:r>
      <w:r>
        <w:rPr>
          <w:rFonts w:cs="Arial" w:hint="cs"/>
          <w:rtl/>
        </w:rPr>
        <w:t>.</w:t>
      </w:r>
      <w:r w:rsidRPr="005F4F17">
        <w:rPr>
          <w:rFonts w:cs="Arial"/>
          <w:rtl/>
        </w:rPr>
        <w:t xml:space="preserve"> וכך כתב הר"ן דאין איסור בגרושה יותר מבשבויה</w:t>
      </w:r>
      <w:r>
        <w:rPr>
          <w:rFonts w:cs="Arial" w:hint="cs"/>
          <w:rtl/>
        </w:rPr>
        <w:t>, ח"מ (סקי"ז).</w:t>
      </w:r>
      <w:r>
        <w:rPr>
          <w:rFonts w:hint="cs"/>
          <w:rtl/>
        </w:rPr>
        <w:t xml:space="preserve"> ועיין בב"ש (סקי"ד) שכתב דאפשר שאף לרמב"ם והשו"ע יהיה אסור אף אם נזהרים שלא להתייחד, דרק בשבויה הקילו.</w:t>
      </w:r>
    </w:p>
  </w:footnote>
  <w:footnote w:id="75">
    <w:p w14:paraId="04EFC8A7" w14:textId="7039A853" w:rsidR="00403A76" w:rsidRDefault="00403A76">
      <w:pPr>
        <w:pStyle w:val="a5"/>
        <w:rPr>
          <w:rtl/>
        </w:rPr>
      </w:pPr>
      <w:r>
        <w:rPr>
          <w:rStyle w:val="a7"/>
        </w:rPr>
        <w:footnoteRef/>
      </w:r>
      <w:r>
        <w:rPr>
          <w:rtl/>
        </w:rPr>
        <w:t xml:space="preserve"> </w:t>
      </w:r>
      <w:r w:rsidRPr="00F331F3">
        <w:rPr>
          <w:rFonts w:hint="cs"/>
          <w:u w:val="single"/>
          <w:rtl/>
        </w:rPr>
        <w:t xml:space="preserve">קשה, דאם </w:t>
      </w:r>
      <w:r>
        <w:rPr>
          <w:rFonts w:hint="cs"/>
          <w:u w:val="single"/>
          <w:rtl/>
        </w:rPr>
        <w:t xml:space="preserve">פסק </w:t>
      </w:r>
      <w:r w:rsidRPr="00F331F3">
        <w:rPr>
          <w:rFonts w:hint="cs"/>
          <w:u w:val="single"/>
          <w:rtl/>
        </w:rPr>
        <w:t>כ</w:t>
      </w:r>
      <w:r>
        <w:rPr>
          <w:rFonts w:hint="cs"/>
          <w:u w:val="single"/>
          <w:rtl/>
        </w:rPr>
        <w:t>ה</w:t>
      </w:r>
      <w:r w:rsidRPr="00F331F3">
        <w:rPr>
          <w:rFonts w:hint="cs"/>
          <w:u w:val="single"/>
          <w:rtl/>
        </w:rPr>
        <w:t>רא"ש היה צ</w:t>
      </w:r>
      <w:r>
        <w:rPr>
          <w:rFonts w:hint="cs"/>
          <w:u w:val="single"/>
          <w:rtl/>
        </w:rPr>
        <w:t>"</w:t>
      </w:r>
      <w:r w:rsidRPr="00F331F3">
        <w:rPr>
          <w:rFonts w:hint="cs"/>
          <w:u w:val="single"/>
          <w:rtl/>
        </w:rPr>
        <w:t>ל 'שכונה'</w:t>
      </w:r>
      <w:r>
        <w:rPr>
          <w:rFonts w:hint="cs"/>
          <w:u w:val="single"/>
          <w:rtl/>
        </w:rPr>
        <w:t xml:space="preserve"> </w:t>
      </w:r>
      <w:r w:rsidRPr="00F331F3">
        <w:rPr>
          <w:rFonts w:hint="cs"/>
          <w:sz w:val="16"/>
          <w:szCs w:val="16"/>
          <w:u w:val="single"/>
          <w:rtl/>
        </w:rPr>
        <w:t>(וה"ה אם פסק כהתוס')</w:t>
      </w:r>
      <w:r w:rsidRPr="00F331F3">
        <w:rPr>
          <w:rFonts w:hint="cs"/>
          <w:u w:val="single"/>
          <w:rtl/>
        </w:rPr>
        <w:t>, ואם כהרמב"ם - היה צריך להחמיר יותר, שהאיסור יותר חמור:</w:t>
      </w:r>
    </w:p>
    <w:p w14:paraId="4288ADA2" w14:textId="3B0411DD" w:rsidR="00403A76" w:rsidRPr="009135FB" w:rsidRDefault="00403A76" w:rsidP="00A65C5F">
      <w:pPr>
        <w:pStyle w:val="a5"/>
        <w:numPr>
          <w:ilvl w:val="0"/>
          <w:numId w:val="26"/>
        </w:numPr>
      </w:pPr>
      <w:r>
        <w:rPr>
          <w:rFonts w:cs="Arial" w:hint="cs"/>
          <w:rtl/>
        </w:rPr>
        <w:t>ח"מ</w:t>
      </w:r>
      <w:r>
        <w:rPr>
          <w:rFonts w:cs="Arial" w:hint="cs"/>
          <w:sz w:val="16"/>
          <w:szCs w:val="16"/>
          <w:rtl/>
        </w:rPr>
        <w:t xml:space="preserve"> (סקי"ט)</w:t>
      </w:r>
      <w:r>
        <w:rPr>
          <w:rFonts w:cs="Arial" w:hint="cs"/>
          <w:rtl/>
        </w:rPr>
        <w:t xml:space="preserve">- </w:t>
      </w:r>
      <w:r w:rsidRPr="009135FB">
        <w:rPr>
          <w:rFonts w:cs="Arial"/>
          <w:rtl/>
        </w:rPr>
        <w:t>כיון דשיעור דשכונה לא אתפריש רק שאמרו כפר קטן נידון כשכונה</w:t>
      </w:r>
      <w:r>
        <w:rPr>
          <w:rFonts w:cs="Arial" w:hint="cs"/>
          <w:rtl/>
        </w:rPr>
        <w:t>,</w:t>
      </w:r>
      <w:r w:rsidRPr="009135FB">
        <w:rPr>
          <w:rFonts w:cs="Arial"/>
          <w:rtl/>
        </w:rPr>
        <w:t xml:space="preserve"> ומאחר שדעת הרמב"ם שכפר קטן נידון כמבוי</w:t>
      </w:r>
      <w:r>
        <w:rPr>
          <w:rFonts w:cs="Arial" w:hint="cs"/>
          <w:rtl/>
        </w:rPr>
        <w:t>,</w:t>
      </w:r>
      <w:r w:rsidRPr="009135FB">
        <w:rPr>
          <w:rFonts w:cs="Arial"/>
          <w:rtl/>
        </w:rPr>
        <w:t xml:space="preserve"> וא"כ ליכא נפקותא בחומרא זו דלא תנשא בשכונתו</w:t>
      </w:r>
      <w:r>
        <w:rPr>
          <w:rFonts w:cs="Arial" w:hint="cs"/>
          <w:rtl/>
        </w:rPr>
        <w:t>,</w:t>
      </w:r>
      <w:r w:rsidRPr="009135FB">
        <w:rPr>
          <w:rFonts w:cs="Arial"/>
          <w:rtl/>
        </w:rPr>
        <w:t xml:space="preserve"> דהא מה שהוא יותר מכפר קטן מותר לכ"ע</w:t>
      </w:r>
      <w:r>
        <w:rPr>
          <w:rFonts w:cs="Arial" w:hint="cs"/>
          <w:rtl/>
        </w:rPr>
        <w:t>,</w:t>
      </w:r>
      <w:r w:rsidRPr="009135FB">
        <w:rPr>
          <w:rFonts w:cs="Arial"/>
          <w:rtl/>
        </w:rPr>
        <w:t xml:space="preserve"> וכפר קטן נידון כמבוי דאפי' בלאו הכי אסור</w:t>
      </w:r>
      <w:r>
        <w:rPr>
          <w:rFonts w:cs="Arial" w:hint="cs"/>
          <w:rtl/>
        </w:rPr>
        <w:t>,</w:t>
      </w:r>
      <w:r w:rsidRPr="009135FB">
        <w:rPr>
          <w:rFonts w:cs="Arial"/>
          <w:rtl/>
        </w:rPr>
        <w:t xml:space="preserve"> ומ"מ צריך להתיישב למעשה מה נקרא כפר קטן דאסור ומה נקרא כפר בינוני דשרי</w:t>
      </w:r>
      <w:r>
        <w:rPr>
          <w:rFonts w:cs="Arial" w:hint="cs"/>
          <w:rtl/>
        </w:rPr>
        <w:t>.</w:t>
      </w:r>
    </w:p>
    <w:p w14:paraId="16D4D622" w14:textId="2FB4B4CB" w:rsidR="00403A76" w:rsidRPr="009135FB" w:rsidRDefault="00403A76" w:rsidP="00A65C5F">
      <w:pPr>
        <w:pStyle w:val="a5"/>
        <w:numPr>
          <w:ilvl w:val="0"/>
          <w:numId w:val="26"/>
        </w:numPr>
      </w:pPr>
      <w:r>
        <w:rPr>
          <w:rFonts w:cs="Arial" w:hint="cs"/>
          <w:rtl/>
        </w:rPr>
        <w:t>ב"ש</w:t>
      </w:r>
      <w:r>
        <w:rPr>
          <w:rFonts w:hint="cs"/>
          <w:sz w:val="16"/>
          <w:szCs w:val="16"/>
          <w:rtl/>
        </w:rPr>
        <w:t xml:space="preserve"> (סקט"ו)</w:t>
      </w:r>
      <w:r>
        <w:rPr>
          <w:rFonts w:hint="cs"/>
          <w:rtl/>
        </w:rPr>
        <w:t>-</w:t>
      </w:r>
      <w:r w:rsidRPr="009135FB">
        <w:rPr>
          <w:rtl/>
        </w:rPr>
        <w:t xml:space="preserve"> </w:t>
      </w:r>
      <w:r w:rsidRPr="009135FB">
        <w:rPr>
          <w:rFonts w:cs="Arial"/>
          <w:rtl/>
        </w:rPr>
        <w:t>מ"ש הרב רמ"א ואם נשאת וכו' איירי בנשאת ונתגרש</w:t>
      </w:r>
      <w:r>
        <w:rPr>
          <w:rFonts w:hint="cs"/>
          <w:rtl/>
        </w:rPr>
        <w:t xml:space="preserve">. </w:t>
      </w:r>
      <w:r>
        <w:rPr>
          <w:rFonts w:hint="cs"/>
          <w:sz w:val="16"/>
          <w:szCs w:val="16"/>
          <w:rtl/>
        </w:rPr>
        <w:t>(וכתב הגר"א [סקט"ז] ד</w:t>
      </w:r>
      <w:r w:rsidRPr="009135FB">
        <w:rPr>
          <w:sz w:val="16"/>
          <w:szCs w:val="16"/>
          <w:rtl/>
        </w:rPr>
        <w:t>אין הלשון סובל פי</w:t>
      </w:r>
      <w:r w:rsidRPr="009135FB">
        <w:rPr>
          <w:rFonts w:hint="cs"/>
          <w:sz w:val="16"/>
          <w:szCs w:val="16"/>
          <w:rtl/>
        </w:rPr>
        <w:t>רושו</w:t>
      </w:r>
      <w:r>
        <w:rPr>
          <w:rFonts w:hint="cs"/>
          <w:sz w:val="16"/>
          <w:szCs w:val="16"/>
          <w:rtl/>
        </w:rPr>
        <w:t>)</w:t>
      </w:r>
    </w:p>
    <w:p w14:paraId="2828AA45" w14:textId="6D6D5A66" w:rsidR="00403A76" w:rsidRDefault="00403A76" w:rsidP="00A65C5F">
      <w:pPr>
        <w:pStyle w:val="a5"/>
        <w:numPr>
          <w:ilvl w:val="0"/>
          <w:numId w:val="26"/>
        </w:numPr>
      </w:pPr>
      <w:r>
        <w:rPr>
          <w:rFonts w:cs="Arial" w:hint="cs"/>
          <w:rtl/>
        </w:rPr>
        <w:t>גר"א</w:t>
      </w:r>
      <w:r w:rsidRPr="00DD71C4">
        <w:rPr>
          <w:rFonts w:cs="Arial" w:hint="cs"/>
          <w:sz w:val="14"/>
          <w:szCs w:val="14"/>
          <w:rtl/>
        </w:rPr>
        <w:t xml:space="preserve"> </w:t>
      </w:r>
      <w:r w:rsidRPr="00DD71C4">
        <w:rPr>
          <w:rFonts w:cs="Arial" w:hint="cs"/>
          <w:sz w:val="16"/>
          <w:szCs w:val="16"/>
          <w:rtl/>
        </w:rPr>
        <w:t>(סקט"ז)</w:t>
      </w:r>
      <w:r>
        <w:rPr>
          <w:rFonts w:cs="Arial" w:hint="cs"/>
          <w:rtl/>
        </w:rPr>
        <w:t>-</w:t>
      </w:r>
      <w:r w:rsidRPr="000939D0">
        <w:rPr>
          <w:rFonts w:cs="Arial"/>
          <w:rtl/>
        </w:rPr>
        <w:t xml:space="preserve"> הוא תמוה וצריך לומר בשכונה והוא כגי' שלנו ומ"מ מסכים לדברי הרמב"ם כדברי ר"נ הנ"ל</w:t>
      </w:r>
      <w:r>
        <w:rPr>
          <w:rFonts w:cs="Arial" w:hint="cs"/>
          <w:rtl/>
        </w:rPr>
        <w:t>.</w:t>
      </w:r>
    </w:p>
    <w:p w14:paraId="3F5D6673" w14:textId="23185066" w:rsidR="00403A76" w:rsidRDefault="00403A76" w:rsidP="00A65C5F">
      <w:pPr>
        <w:pStyle w:val="a5"/>
        <w:numPr>
          <w:ilvl w:val="0"/>
          <w:numId w:val="26"/>
        </w:numPr>
      </w:pPr>
      <w:r>
        <w:rPr>
          <w:rFonts w:hint="cs"/>
          <w:rtl/>
        </w:rPr>
        <w:t xml:space="preserve">פר"ח </w:t>
      </w:r>
      <w:r w:rsidRPr="00DD71C4">
        <w:rPr>
          <w:rFonts w:hint="cs"/>
          <w:sz w:val="16"/>
          <w:szCs w:val="16"/>
          <w:rtl/>
        </w:rPr>
        <w:t>(סקי"ז)</w:t>
      </w:r>
      <w:r>
        <w:rPr>
          <w:rFonts w:hint="cs"/>
          <w:rtl/>
        </w:rPr>
        <w:t xml:space="preserve"> וקו"נ</w:t>
      </w:r>
      <w:r>
        <w:rPr>
          <w:rFonts w:hint="cs"/>
          <w:sz w:val="16"/>
          <w:szCs w:val="16"/>
          <w:rtl/>
        </w:rPr>
        <w:t xml:space="preserve"> (כתובות פ"ב סי' לב אות ז)</w:t>
      </w:r>
      <w:r>
        <w:rPr>
          <w:rFonts w:hint="cs"/>
          <w:rtl/>
        </w:rPr>
        <w:t xml:space="preserve">- </w:t>
      </w:r>
      <w:r w:rsidRPr="00DD71C4">
        <w:rPr>
          <w:rFonts w:cs="Arial"/>
          <w:rtl/>
        </w:rPr>
        <w:t>י"ל דס"ל להגה גירסת הרמב"ם עיקר</w:t>
      </w:r>
      <w:r>
        <w:rPr>
          <w:rFonts w:cs="Arial" w:hint="cs"/>
          <w:rtl/>
        </w:rPr>
        <w:t>,</w:t>
      </w:r>
      <w:r w:rsidRPr="00DD71C4">
        <w:rPr>
          <w:rFonts w:cs="Arial"/>
          <w:rtl/>
        </w:rPr>
        <w:t xml:space="preserve"> וכמו שפסק המחבר</w:t>
      </w:r>
      <w:r>
        <w:rPr>
          <w:rFonts w:cs="Arial" w:hint="cs"/>
          <w:rtl/>
        </w:rPr>
        <w:t>,</w:t>
      </w:r>
      <w:r w:rsidRPr="00DD71C4">
        <w:rPr>
          <w:rFonts w:cs="Arial"/>
          <w:rtl/>
        </w:rPr>
        <w:t xml:space="preserve"> וכיון שכתב דכפר קטן נדון כמבוי מסתמא מבוי גדול משכונה</w:t>
      </w:r>
      <w:r>
        <w:rPr>
          <w:rFonts w:cs="Arial" w:hint="cs"/>
          <w:rtl/>
        </w:rPr>
        <w:t>,</w:t>
      </w:r>
      <w:r w:rsidRPr="00DD71C4">
        <w:rPr>
          <w:rFonts w:cs="Arial"/>
          <w:rtl/>
        </w:rPr>
        <w:t xml:space="preserve"> וכיון דס"ל להרא"ש והטור דבמאי דחמיר טפי מרחקינן טפי</w:t>
      </w:r>
      <w:r>
        <w:rPr>
          <w:rFonts w:cs="Arial" w:hint="cs"/>
          <w:rtl/>
        </w:rPr>
        <w:t>,</w:t>
      </w:r>
      <w:r w:rsidRPr="00DD71C4">
        <w:rPr>
          <w:rFonts w:cs="Arial"/>
          <w:rtl/>
        </w:rPr>
        <w:t xml:space="preserve"> ומשו"ה נקטה להחמיר במבוי</w:t>
      </w:r>
      <w:r>
        <w:rPr>
          <w:rFonts w:cs="Arial" w:hint="cs"/>
          <w:rtl/>
        </w:rPr>
        <w:t>,</w:t>
      </w:r>
      <w:r w:rsidRPr="00DD71C4">
        <w:rPr>
          <w:rFonts w:cs="Arial"/>
          <w:rtl/>
        </w:rPr>
        <w:t xml:space="preserve"> ולא רצה לפסוק כחומרת הרא"ש נמי דלא סגי ליה במבוי</w:t>
      </w:r>
      <w:r>
        <w:rPr>
          <w:rFonts w:cs="Arial" w:hint="cs"/>
          <w:rtl/>
        </w:rPr>
        <w:t>,</w:t>
      </w:r>
      <w:r w:rsidRPr="00DD71C4">
        <w:rPr>
          <w:rFonts w:cs="Arial"/>
          <w:rtl/>
        </w:rPr>
        <w:t xml:space="preserve"> אלא נקט מילתא מציעתא</w:t>
      </w:r>
      <w:r>
        <w:rPr>
          <w:rFonts w:cs="Arial" w:hint="cs"/>
          <w:sz w:val="14"/>
          <w:szCs w:val="14"/>
          <w:rtl/>
        </w:rPr>
        <w:t xml:space="preserve"> </w:t>
      </w:r>
      <w:r>
        <w:rPr>
          <w:rFonts w:cs="Arial" w:hint="cs"/>
          <w:sz w:val="16"/>
          <w:szCs w:val="16"/>
          <w:rtl/>
        </w:rPr>
        <w:t>(ל' הפר"ח)</w:t>
      </w:r>
      <w:r>
        <w:rPr>
          <w:rFonts w:cs="Arial" w:hint="cs"/>
          <w:rtl/>
        </w:rPr>
        <w:t>.</w:t>
      </w:r>
    </w:p>
  </w:footnote>
  <w:footnote w:id="76">
    <w:p w14:paraId="7D1856AC" w14:textId="37B2F5AE" w:rsidR="00403A76" w:rsidRDefault="00403A76">
      <w:pPr>
        <w:pStyle w:val="a5"/>
        <w:rPr>
          <w:rtl/>
        </w:rPr>
      </w:pPr>
      <w:r>
        <w:rPr>
          <w:rStyle w:val="a7"/>
        </w:rPr>
        <w:footnoteRef/>
      </w:r>
      <w:r>
        <w:rPr>
          <w:rtl/>
        </w:rPr>
        <w:t xml:space="preserve"> </w:t>
      </w:r>
      <w:r w:rsidRPr="00BB6442">
        <w:rPr>
          <w:rFonts w:cs="Arial"/>
          <w:rtl/>
        </w:rPr>
        <w:t>אבל אם דרים זה אצל זה יכולים לבא זה אצל זה דרך הכותל שביניהם אבל אם בית א' מפסיק ביניהם שאין יכולין לילך דרך חצר אחר אלא דרך המבוי ומאחר שמבוי רבים בוקעין בה הוי רה"ר מפסיק ביניהם</w:t>
      </w:r>
      <w:r>
        <w:rPr>
          <w:rFonts w:hint="cs"/>
          <w:rtl/>
        </w:rPr>
        <w:t>, ח"מ (סק"כ).</w:t>
      </w:r>
    </w:p>
  </w:footnote>
  <w:footnote w:id="77">
    <w:p w14:paraId="3517A872" w14:textId="7C181B7B" w:rsidR="00403A76" w:rsidRDefault="00403A76">
      <w:pPr>
        <w:pStyle w:val="a5"/>
      </w:pPr>
      <w:r>
        <w:rPr>
          <w:rStyle w:val="a7"/>
        </w:rPr>
        <w:footnoteRef/>
      </w:r>
      <w:r>
        <w:rPr>
          <w:rtl/>
        </w:rPr>
        <w:t xml:space="preserve"> </w:t>
      </w:r>
      <w:r w:rsidRPr="00BB6442">
        <w:rPr>
          <w:rFonts w:cs="Arial"/>
          <w:rtl/>
        </w:rPr>
        <w:t>כ"כ בת"ה ע"ש ובאמת ראיותיו חלושות למעיין שם ואינן דומין לנדון ובקל תוכל לבא לידי איסור ובפרט לפרקים כשבעלה השני הולך לדרכו ע"כ נראה דאין להקל בפשיטות בזה ובפרט היכא דאיכא קצת רינון לעז חשד</w:t>
      </w:r>
      <w:r>
        <w:rPr>
          <w:rFonts w:cs="Arial" w:hint="cs"/>
          <w:rtl/>
        </w:rPr>
        <w:t>, ח"מ (סקכ"א).</w:t>
      </w:r>
    </w:p>
  </w:footnote>
  <w:footnote w:id="78">
    <w:p w14:paraId="2CC0088D" w14:textId="2659C653" w:rsidR="000C2FFE" w:rsidRDefault="000C2FFE">
      <w:pPr>
        <w:pStyle w:val="a5"/>
      </w:pPr>
      <w:r>
        <w:rPr>
          <w:rStyle w:val="a7"/>
        </w:rPr>
        <w:footnoteRef/>
      </w:r>
      <w:r>
        <w:rPr>
          <w:rtl/>
        </w:rPr>
        <w:t xml:space="preserve"> </w:t>
      </w:r>
      <w:r>
        <w:rPr>
          <w:rFonts w:hint="cs"/>
          <w:rtl/>
        </w:rPr>
        <w:t xml:space="preserve">סימן - כללי חתוכים. (בעמוד זה מובאים הרבה </w:t>
      </w:r>
      <w:r w:rsidR="001579A4">
        <w:rPr>
          <w:rFonts w:hint="cs"/>
          <w:rtl/>
        </w:rPr>
        <w:t>דינים הנוגעים לזוג שהתגרש).</w:t>
      </w:r>
    </w:p>
  </w:footnote>
  <w:footnote w:id="79">
    <w:p w14:paraId="2E59258E" w14:textId="07FA02F4" w:rsidR="00403A76" w:rsidRDefault="00403A76">
      <w:pPr>
        <w:pStyle w:val="a5"/>
      </w:pPr>
      <w:r>
        <w:rPr>
          <w:rStyle w:val="a7"/>
        </w:rPr>
        <w:footnoteRef/>
      </w:r>
      <w:r>
        <w:rPr>
          <w:rtl/>
        </w:rPr>
        <w:t xml:space="preserve"> </w:t>
      </w:r>
      <w:r>
        <w:rPr>
          <w:rFonts w:cs="Arial" w:hint="cs"/>
          <w:rtl/>
        </w:rPr>
        <w:t xml:space="preserve">מ"ש 'והוא תובעה' - </w:t>
      </w:r>
      <w:r>
        <w:rPr>
          <w:rFonts w:cs="Arial"/>
          <w:rtl/>
        </w:rPr>
        <w:t>לאו דוקא</w:t>
      </w:r>
      <w:r>
        <w:rPr>
          <w:rFonts w:cs="Arial" w:hint="cs"/>
          <w:rtl/>
        </w:rPr>
        <w:t>,</w:t>
      </w:r>
      <w:r>
        <w:rPr>
          <w:rFonts w:cs="Arial"/>
          <w:rtl/>
        </w:rPr>
        <w:t xml:space="preserve"> דהוא הדין </w:t>
      </w:r>
      <w:r>
        <w:rPr>
          <w:rFonts w:cs="Arial" w:hint="cs"/>
          <w:rtl/>
        </w:rPr>
        <w:t>'</w:t>
      </w:r>
      <w:r>
        <w:rPr>
          <w:rFonts w:cs="Arial"/>
          <w:rtl/>
        </w:rPr>
        <w:t>והיא תובעתו</w:t>
      </w:r>
      <w:r>
        <w:rPr>
          <w:rFonts w:cs="Arial" w:hint="cs"/>
          <w:rtl/>
        </w:rPr>
        <w:t>',</w:t>
      </w:r>
      <w:r>
        <w:rPr>
          <w:rFonts w:cs="Arial"/>
          <w:rtl/>
        </w:rPr>
        <w:t xml:space="preserve"> ואין כוונתו אלא לומר שתובעים זה את זה שלא על ידי אמצעי</w:t>
      </w:r>
      <w:r>
        <w:rPr>
          <w:rFonts w:cs="Arial" w:hint="cs"/>
          <w:rtl/>
        </w:rPr>
        <w:t>, ב"י.</w:t>
      </w:r>
    </w:p>
  </w:footnote>
  <w:footnote w:id="80">
    <w:p w14:paraId="3A9F51D0" w14:textId="6CDB77B4" w:rsidR="00403A76" w:rsidRDefault="00403A76">
      <w:pPr>
        <w:pStyle w:val="a5"/>
      </w:pPr>
      <w:r>
        <w:rPr>
          <w:rStyle w:val="a7"/>
        </w:rPr>
        <w:footnoteRef/>
      </w:r>
      <w:r>
        <w:rPr>
          <w:rtl/>
        </w:rPr>
        <w:t xml:space="preserve"> </w:t>
      </w:r>
      <w:r>
        <w:rPr>
          <w:rFonts w:cs="Arial"/>
          <w:rtl/>
        </w:rPr>
        <w:t>רבינו פסק כרב פפא. אי נמי שהוא מפרש דרב הונא אף נגודי קאמר וכפירוש התוספות (שם ד"ה רב הונא) וכיון דלכולי עלמא משמתינן להו פסק דמשמתינן להו ולא כתב דמנגדינן להו נמי</w:t>
      </w:r>
      <w:r>
        <w:rPr>
          <w:rFonts w:cs="Arial" w:hint="cs"/>
          <w:rtl/>
        </w:rPr>
        <w:t>,</w:t>
      </w:r>
      <w:r>
        <w:rPr>
          <w:rFonts w:cs="Arial"/>
          <w:rtl/>
        </w:rPr>
        <w:t xml:space="preserve"> משום דלא ברירא להו אי הלכה כרב הונא או לא. ומיהו קשה דבסימן ו' (יד:) גבי כהן שגירש את אשתו כתב דמנגדינן ליה</w:t>
      </w:r>
      <w:r>
        <w:rPr>
          <w:rFonts w:cs="Arial" w:hint="cs"/>
          <w:rtl/>
        </w:rPr>
        <w:t>.</w:t>
      </w:r>
      <w:r>
        <w:rPr>
          <w:rFonts w:cs="Arial"/>
          <w:rtl/>
        </w:rPr>
        <w:t xml:space="preserve"> ושמא יש לומר דמפרש דרב הונא ניגודא בלא שמתא קאמר וכפשטא דמילתא</w:t>
      </w:r>
      <w:r>
        <w:rPr>
          <w:rFonts w:cs="Arial" w:hint="cs"/>
          <w:rtl/>
        </w:rPr>
        <w:t>.</w:t>
      </w:r>
      <w:r>
        <w:rPr>
          <w:rFonts w:cs="Arial"/>
          <w:rtl/>
        </w:rPr>
        <w:t xml:space="preserve"> או משום דמספקא ליה הלכה כדברי מי</w:t>
      </w:r>
      <w:r>
        <w:rPr>
          <w:rFonts w:cs="Arial" w:hint="cs"/>
          <w:rtl/>
        </w:rPr>
        <w:t>,</w:t>
      </w:r>
      <w:r>
        <w:rPr>
          <w:rFonts w:cs="Arial"/>
          <w:rtl/>
        </w:rPr>
        <w:t xml:space="preserve"> גבי כהן בגרושתו דלאו שאינו שוה בכל הוא</w:t>
      </w:r>
      <w:r>
        <w:rPr>
          <w:rFonts w:cs="Arial" w:hint="cs"/>
          <w:rtl/>
        </w:rPr>
        <w:t xml:space="preserve"> -</w:t>
      </w:r>
      <w:r>
        <w:rPr>
          <w:rFonts w:cs="Arial"/>
          <w:rtl/>
        </w:rPr>
        <w:t xml:space="preserve"> פסק להקל דמנגדינן להו</w:t>
      </w:r>
      <w:r>
        <w:rPr>
          <w:rFonts w:cs="Arial" w:hint="cs"/>
          <w:rtl/>
        </w:rPr>
        <w:t>,</w:t>
      </w:r>
      <w:r>
        <w:rPr>
          <w:rFonts w:cs="Arial"/>
          <w:rtl/>
        </w:rPr>
        <w:t xml:space="preserve"> וגבי ישראל דלאו שוה בכל הוא </w:t>
      </w:r>
      <w:r>
        <w:rPr>
          <w:rFonts w:cs="Arial" w:hint="cs"/>
          <w:rtl/>
        </w:rPr>
        <w:t xml:space="preserve">- </w:t>
      </w:r>
      <w:r>
        <w:rPr>
          <w:rFonts w:cs="Arial"/>
          <w:rtl/>
        </w:rPr>
        <w:t>פסק להחמיר</w:t>
      </w:r>
      <w:r>
        <w:rPr>
          <w:rFonts w:cs="Arial" w:hint="cs"/>
          <w:rtl/>
        </w:rPr>
        <w:t>,</w:t>
      </w:r>
      <w:r>
        <w:rPr>
          <w:rFonts w:cs="Arial"/>
          <w:rtl/>
        </w:rPr>
        <w:t xml:space="preserve"> דשמתא חמירא מניגודא</w:t>
      </w:r>
      <w:r>
        <w:rPr>
          <w:rFonts w:cs="Arial" w:hint="cs"/>
          <w:rtl/>
        </w:rPr>
        <w:t>, ב"י.</w:t>
      </w:r>
    </w:p>
  </w:footnote>
  <w:footnote w:id="81">
    <w:p w14:paraId="00D8002F" w14:textId="3A8C374A" w:rsidR="00403A76" w:rsidRDefault="00403A76">
      <w:pPr>
        <w:pStyle w:val="a5"/>
        <w:rPr>
          <w:rtl/>
        </w:rPr>
      </w:pPr>
      <w:r>
        <w:rPr>
          <w:rStyle w:val="a7"/>
        </w:rPr>
        <w:footnoteRef/>
      </w:r>
      <w:r>
        <w:rPr>
          <w:rtl/>
        </w:rPr>
        <w:t xml:space="preserve"> </w:t>
      </w:r>
      <w:r>
        <w:rPr>
          <w:rFonts w:cs="Arial"/>
          <w:rtl/>
        </w:rPr>
        <w:t>נראה שמפרש דנגודי מנגדינן להו לרב הונא בלא שמתא כפשטן של דברים</w:t>
      </w:r>
      <w:r>
        <w:rPr>
          <w:rFonts w:cs="Arial" w:hint="cs"/>
          <w:rtl/>
        </w:rPr>
        <w:t>,</w:t>
      </w:r>
      <w:r>
        <w:rPr>
          <w:rFonts w:cs="Arial"/>
          <w:rtl/>
        </w:rPr>
        <w:t xml:space="preserve"> ומשום דמספקא ליה הלכה כדברי מי הניח הדבר לדעת בית דין</w:t>
      </w:r>
      <w:r>
        <w:rPr>
          <w:rFonts w:hint="cs"/>
          <w:rtl/>
        </w:rPr>
        <w:t>, ב"י.</w:t>
      </w:r>
    </w:p>
  </w:footnote>
  <w:footnote w:id="82">
    <w:p w14:paraId="5DDC4CE6" w14:textId="161D250F" w:rsidR="00403A76" w:rsidRDefault="00403A76">
      <w:pPr>
        <w:pStyle w:val="a5"/>
        <w:rPr>
          <w:rtl/>
        </w:rPr>
      </w:pPr>
      <w:r>
        <w:rPr>
          <w:rStyle w:val="a7"/>
        </w:rPr>
        <w:footnoteRef/>
      </w:r>
      <w:r>
        <w:rPr>
          <w:rtl/>
        </w:rPr>
        <w:t xml:space="preserve"> </w:t>
      </w:r>
      <w:r w:rsidRPr="00522CC2">
        <w:rPr>
          <w:rFonts w:cs="Arial"/>
          <w:rtl/>
        </w:rPr>
        <w:t>ומכל מקום תמיהא לי מילתא דכיון דלהרא"ש אשת ישראל שנתגרשה מותרת לדור אפילו במבוי</w:t>
      </w:r>
      <w:r w:rsidRPr="00522CC2">
        <w:rPr>
          <w:rFonts w:cs="Arial" w:hint="cs"/>
          <w:rtl/>
        </w:rPr>
        <w:t>,</w:t>
      </w:r>
      <w:r w:rsidRPr="00522CC2">
        <w:rPr>
          <w:rFonts w:cs="Arial"/>
          <w:rtl/>
        </w:rPr>
        <w:t xml:space="preserve"> כמו שכתבתי לעיל (ד"ה הגרושה) משום דאפילו אם יבוא עליה ליכא איסור לאו</w:t>
      </w:r>
      <w:r w:rsidRPr="00522CC2">
        <w:rPr>
          <w:rFonts w:cs="Arial" w:hint="cs"/>
          <w:rtl/>
        </w:rPr>
        <w:t>,</w:t>
      </w:r>
      <w:r w:rsidRPr="00522CC2">
        <w:rPr>
          <w:rFonts w:cs="Arial"/>
          <w:rtl/>
        </w:rPr>
        <w:t xml:space="preserve"> אם כן כי אתו לקמן אמאי משמתינן להו</w:t>
      </w:r>
      <w:r w:rsidRPr="00522CC2">
        <w:rPr>
          <w:rFonts w:cs="Arial" w:hint="cs"/>
          <w:rtl/>
        </w:rPr>
        <w:t>?</w:t>
      </w:r>
      <w:r w:rsidRPr="00522CC2">
        <w:rPr>
          <w:rFonts w:cs="Arial"/>
          <w:rtl/>
        </w:rPr>
        <w:t xml:space="preserve"> והוה ליה לרבינו לפרושי דבכהן שגירש את אשתו מיירי וכדפירש רש"י (ד"ה ארוס וארוסתו)</w:t>
      </w:r>
      <w:r w:rsidRPr="00522CC2">
        <w:rPr>
          <w:rFonts w:cs="Arial" w:hint="cs"/>
          <w:rtl/>
        </w:rPr>
        <w:t>,</w:t>
      </w:r>
      <w:r w:rsidRPr="00522CC2">
        <w:rPr>
          <w:rFonts w:cs="Arial"/>
          <w:rtl/>
        </w:rPr>
        <w:t xml:space="preserve"> ואי נמי באשת ישראל שאחר שגרשה נישאת ונתארמלה או נתגרשה דאיכא לאו. מיהו אין לתמוה למה השמיט דין כהן שגירש לא תדור עמו במבוי (כתובות שם)</w:t>
      </w:r>
      <w:r w:rsidRPr="00522CC2">
        <w:rPr>
          <w:rFonts w:cs="Arial" w:hint="cs"/>
          <w:rtl/>
        </w:rPr>
        <w:t>,</w:t>
      </w:r>
      <w:r w:rsidRPr="00522CC2">
        <w:rPr>
          <w:rFonts w:cs="Arial"/>
          <w:rtl/>
        </w:rPr>
        <w:t xml:space="preserve"> וגם הא דאיתא בגמרא (שם) מי נדחה מפני מי ואסיקנא דהיא נדחית מפניו ואפילו אם החצר של שניהם</w:t>
      </w:r>
      <w:r w:rsidRPr="00522CC2">
        <w:rPr>
          <w:rFonts w:cs="Arial" w:hint="cs"/>
          <w:rtl/>
        </w:rPr>
        <w:t>,</w:t>
      </w:r>
      <w:r w:rsidRPr="00522CC2">
        <w:rPr>
          <w:rFonts w:cs="Arial"/>
          <w:rtl/>
        </w:rPr>
        <w:t xml:space="preserve"> די"ל שסמך על שכתבם בסימן ו' (יד:). וצריך לומר שמה שכתב לוה ממנה וכו' לאו אגרושת ישראל שלא נישאת קאי אלא דוקא בנישאת</w:t>
      </w:r>
      <w:r w:rsidRPr="00522CC2">
        <w:rPr>
          <w:rFonts w:cs="Arial" w:hint="cs"/>
          <w:rtl/>
        </w:rPr>
        <w:t>,</w:t>
      </w:r>
      <w:r w:rsidRPr="00522CC2">
        <w:rPr>
          <w:rFonts w:cs="Arial"/>
          <w:rtl/>
        </w:rPr>
        <w:t xml:space="preserve"> וכדפרישית (לעיל ד"ה הגרושה)</w:t>
      </w:r>
      <w:r w:rsidRPr="00522CC2">
        <w:rPr>
          <w:rFonts w:cs="Arial" w:hint="cs"/>
          <w:rtl/>
        </w:rPr>
        <w:t>,</w:t>
      </w:r>
      <w:r w:rsidRPr="00522CC2">
        <w:rPr>
          <w:rFonts w:cs="Arial"/>
          <w:rtl/>
        </w:rPr>
        <w:t xml:space="preserve"> ואז אם גירשה השני קאי בדוקא</w:t>
      </w:r>
      <w:r w:rsidRPr="00522CC2">
        <w:rPr>
          <w:rFonts w:cs="Arial" w:hint="cs"/>
          <w:rtl/>
        </w:rPr>
        <w:t>.</w:t>
      </w:r>
      <w:r w:rsidRPr="00522CC2">
        <w:rPr>
          <w:rFonts w:cs="Arial"/>
          <w:rtl/>
        </w:rPr>
        <w:t xml:space="preserve"> שכן כתבה הוא ז"ל בסימן י' (כ.) אהיכא דנישאת לאחר</w:t>
      </w:r>
      <w:r w:rsidRPr="00522CC2">
        <w:rPr>
          <w:rFonts w:cs="Arial" w:hint="cs"/>
          <w:rtl/>
        </w:rPr>
        <w:t>.</w:t>
      </w:r>
      <w:r w:rsidRPr="00522CC2">
        <w:rPr>
          <w:rFonts w:cs="Arial"/>
          <w:rtl/>
        </w:rPr>
        <w:t xml:space="preserve"> ובסימן ו' (שם) כתבה אאשת כהן ואפילו שלא נישאת</w:t>
      </w:r>
      <w:r w:rsidRPr="00522CC2">
        <w:rPr>
          <w:rFonts w:cs="Arial" w:hint="cs"/>
          <w:rtl/>
        </w:rPr>
        <w:t>,</w:t>
      </w:r>
      <w:r w:rsidRPr="00522CC2">
        <w:rPr>
          <w:rFonts w:cs="Arial"/>
          <w:rtl/>
        </w:rPr>
        <w:t xml:space="preserve"> משמע דגרושת ישראל שלא נישאת לית לן בה</w:t>
      </w:r>
      <w:r w:rsidRPr="00522CC2">
        <w:rPr>
          <w:rFonts w:cs="Arial" w:hint="cs"/>
          <w:rtl/>
        </w:rPr>
        <w:t>.</w:t>
      </w:r>
    </w:p>
  </w:footnote>
  <w:footnote w:id="83">
    <w:p w14:paraId="008FC5D2" w14:textId="129D1E3B" w:rsidR="00403A76" w:rsidRDefault="00403A76">
      <w:pPr>
        <w:pStyle w:val="a5"/>
      </w:pPr>
      <w:r>
        <w:rPr>
          <w:rStyle w:val="a7"/>
        </w:rPr>
        <w:footnoteRef/>
      </w:r>
      <w:r>
        <w:rPr>
          <w:rtl/>
        </w:rPr>
        <w:t xml:space="preserve"> </w:t>
      </w:r>
      <w:r w:rsidRPr="00A71782">
        <w:rPr>
          <w:rFonts w:cs="Arial"/>
          <w:rtl/>
        </w:rPr>
        <w:t>ועיין בי"ד סימן של"ד שם הביא הטור דברי הרמב"ם על כ"ד דברים מנדין וא' מהם המגרש את אשתו ובאו לב"ד</w:t>
      </w:r>
      <w:r>
        <w:rPr>
          <w:rFonts w:cs="Arial" w:hint="cs"/>
          <w:rtl/>
        </w:rPr>
        <w:t>.</w:t>
      </w:r>
      <w:r w:rsidRPr="00A71782">
        <w:rPr>
          <w:rFonts w:cs="Arial"/>
          <w:rtl/>
        </w:rPr>
        <w:t xml:space="preserve"> ועיין גדולי תרומה שער ל"ו</w:t>
      </w:r>
      <w:r>
        <w:rPr>
          <w:rFonts w:cs="Arial" w:hint="cs"/>
          <w:rtl/>
        </w:rPr>
        <w:t>, ב"ש (סקי"ז).</w:t>
      </w:r>
    </w:p>
  </w:footnote>
  <w:footnote w:id="84">
    <w:p w14:paraId="7152AF81" w14:textId="1F957457" w:rsidR="00403A76" w:rsidRDefault="00403A76" w:rsidP="00C023A5">
      <w:pPr>
        <w:pStyle w:val="a5"/>
        <w:rPr>
          <w:rtl/>
        </w:rPr>
      </w:pPr>
      <w:r>
        <w:rPr>
          <w:rStyle w:val="a7"/>
        </w:rPr>
        <w:footnoteRef/>
      </w:r>
      <w:r>
        <w:rPr>
          <w:rtl/>
        </w:rPr>
        <w:t xml:space="preserve"> </w:t>
      </w:r>
      <w:r w:rsidRPr="00EC459D">
        <w:rPr>
          <w:rFonts w:cs="Arial"/>
          <w:rtl/>
        </w:rPr>
        <w:t xml:space="preserve">ובתשובת מוהר"ם פאדו"ה </w:t>
      </w:r>
      <w:r>
        <w:rPr>
          <w:rFonts w:cs="Arial" w:hint="cs"/>
          <w:rtl/>
        </w:rPr>
        <w:t>(</w:t>
      </w:r>
      <w:r w:rsidRPr="00EC459D">
        <w:rPr>
          <w:rFonts w:cs="Arial"/>
          <w:rtl/>
        </w:rPr>
        <w:t>סי</w:t>
      </w:r>
      <w:r>
        <w:rPr>
          <w:rFonts w:cs="Arial" w:hint="cs"/>
          <w:rtl/>
        </w:rPr>
        <w:t>'</w:t>
      </w:r>
      <w:r w:rsidRPr="00EC459D">
        <w:rPr>
          <w:rFonts w:cs="Arial"/>
          <w:rtl/>
        </w:rPr>
        <w:t xml:space="preserve"> יז</w:t>
      </w:r>
      <w:r>
        <w:rPr>
          <w:rFonts w:cs="Arial" w:hint="cs"/>
          <w:rtl/>
        </w:rPr>
        <w:t>)</w:t>
      </w:r>
      <w:r w:rsidRPr="00EC459D">
        <w:rPr>
          <w:rFonts w:cs="Arial"/>
          <w:rtl/>
        </w:rPr>
        <w:t xml:space="preserve"> מתיר כל זמן שלא חלץ אבל לאחר שחלץ אסור אם גס בה כמו בארוס שגירש ארוסתו</w:t>
      </w:r>
      <w:r>
        <w:rPr>
          <w:rFonts w:cs="Arial" w:hint="cs"/>
          <w:rtl/>
        </w:rPr>
        <w:t>, דרכ"מ (אות ח).</w:t>
      </w:r>
    </w:p>
  </w:footnote>
  <w:footnote w:id="85">
    <w:p w14:paraId="3D61802C" w14:textId="2CCAEE0A" w:rsidR="00403A76" w:rsidRDefault="00403A76" w:rsidP="0043675D">
      <w:pPr>
        <w:pStyle w:val="a5"/>
        <w:rPr>
          <w:rtl/>
        </w:rPr>
      </w:pPr>
      <w:r>
        <w:rPr>
          <w:rStyle w:val="a7"/>
        </w:rPr>
        <w:footnoteRef/>
      </w:r>
      <w:r>
        <w:rPr>
          <w:rtl/>
        </w:rPr>
        <w:t xml:space="preserve"> </w:t>
      </w:r>
      <w:r w:rsidRPr="00D10C8C">
        <w:rPr>
          <w:rFonts w:cs="Arial"/>
          <w:rtl/>
        </w:rPr>
        <w:t>ואין דבריו נראים לי בזה ואף על פי שהביא ראיה לדבריו אינה מכרחת</w:t>
      </w:r>
      <w:r>
        <w:rPr>
          <w:rFonts w:hint="cs"/>
          <w:rtl/>
        </w:rPr>
        <w:t>, ב"י. ונראה דהב"י חולק עליו רק לעניין השהות בביתו ב' וג' שעות כנ"ל. אבל עם מה שכתב שאין איסור לעניין המגורים - כן מסכים איתו.</w:t>
      </w:r>
    </w:p>
  </w:footnote>
  <w:footnote w:id="86">
    <w:p w14:paraId="651506FF" w14:textId="50094145" w:rsidR="00403A76" w:rsidRDefault="00403A76">
      <w:pPr>
        <w:pStyle w:val="a5"/>
      </w:pPr>
      <w:r>
        <w:rPr>
          <w:rStyle w:val="a7"/>
        </w:rPr>
        <w:footnoteRef/>
      </w:r>
      <w:r>
        <w:rPr>
          <w:rtl/>
        </w:rPr>
        <w:t xml:space="preserve"> </w:t>
      </w:r>
      <w:r w:rsidRPr="00674AD4">
        <w:rPr>
          <w:rFonts w:cs="Arial"/>
          <w:rtl/>
        </w:rPr>
        <w:t>ה"ה שאר תביעות וה"ה להפך כשיש לו תביעה עליו ומכ"ש שאסורה לדבר עמו בשוק</w:t>
      </w:r>
      <w:r>
        <w:rPr>
          <w:rFonts w:cs="Arial" w:hint="cs"/>
          <w:rtl/>
        </w:rPr>
        <w:t>, ח"מ (סקכ"ג).</w:t>
      </w:r>
    </w:p>
  </w:footnote>
  <w:footnote w:id="87">
    <w:p w14:paraId="33192C00" w14:textId="4308A9AD" w:rsidR="00403A76" w:rsidRDefault="00403A76">
      <w:pPr>
        <w:pStyle w:val="a5"/>
      </w:pPr>
      <w:r>
        <w:rPr>
          <w:rStyle w:val="a7"/>
        </w:rPr>
        <w:footnoteRef/>
      </w:r>
      <w:r>
        <w:rPr>
          <w:rtl/>
        </w:rPr>
        <w:t xml:space="preserve"> </w:t>
      </w:r>
      <w:r w:rsidRPr="008F0BEE">
        <w:rPr>
          <w:rFonts w:cs="Arial"/>
          <w:rtl/>
        </w:rPr>
        <w:t xml:space="preserve">הח"מ </w:t>
      </w:r>
      <w:r>
        <w:rPr>
          <w:rFonts w:cs="Arial" w:hint="cs"/>
          <w:rtl/>
        </w:rPr>
        <w:t xml:space="preserve">(סקכ"ד) </w:t>
      </w:r>
      <w:r w:rsidRPr="008F0BEE">
        <w:rPr>
          <w:rFonts w:cs="Arial"/>
          <w:rtl/>
        </w:rPr>
        <w:t>תמה על היש חולקים. וכן הפרי חדש</w:t>
      </w:r>
      <w:r>
        <w:rPr>
          <w:rFonts w:cs="Arial" w:hint="cs"/>
          <w:rtl/>
        </w:rPr>
        <w:t>, באה"ט (סקי"ז).</w:t>
      </w:r>
    </w:p>
  </w:footnote>
  <w:footnote w:id="88">
    <w:p w14:paraId="0F6A4A0B" w14:textId="6EECBEDF" w:rsidR="00403A76" w:rsidRDefault="00403A76">
      <w:pPr>
        <w:pStyle w:val="a5"/>
      </w:pPr>
      <w:r>
        <w:rPr>
          <w:rStyle w:val="a7"/>
        </w:rPr>
        <w:footnoteRef/>
      </w:r>
      <w:r>
        <w:rPr>
          <w:rtl/>
        </w:rPr>
        <w:t xml:space="preserve"> </w:t>
      </w:r>
      <w:r w:rsidRPr="00674AD4">
        <w:rPr>
          <w:rFonts w:cs="Arial"/>
          <w:rtl/>
        </w:rPr>
        <w:t>עיין במדרש רבה בראשית פ' ל"ג ויקרא פ' ל"ד מביא מעשה שאדם אחד נתן מעות לגרושתו בתורת צדקה (ומשמע שם שנתן לה ע"י עצמו) וע"י זה ירדו גשמים לעולם ומשמע דלאו איסורא עביד</w:t>
      </w:r>
      <w:r>
        <w:rPr>
          <w:rFonts w:cs="Arial" w:hint="cs"/>
          <w:rtl/>
        </w:rPr>
        <w:t>, ח"מ (סקכ"ה).</w:t>
      </w:r>
    </w:p>
  </w:footnote>
  <w:footnote w:id="89">
    <w:p w14:paraId="407B1860" w14:textId="1FA6953F" w:rsidR="00403A76" w:rsidRDefault="00403A76">
      <w:pPr>
        <w:pStyle w:val="a5"/>
      </w:pPr>
      <w:r>
        <w:rPr>
          <w:rStyle w:val="a7"/>
        </w:rPr>
        <w:footnoteRef/>
      </w:r>
      <w:r>
        <w:rPr>
          <w:rtl/>
        </w:rPr>
        <w:t xml:space="preserve"> </w:t>
      </w:r>
      <w:r w:rsidRPr="00A71782">
        <w:rPr>
          <w:rFonts w:cs="Arial"/>
          <w:rtl/>
        </w:rPr>
        <w:t>אפילו גרושת ישראל</w:t>
      </w:r>
      <w:r>
        <w:rPr>
          <w:rFonts w:cs="Arial" w:hint="cs"/>
          <w:rtl/>
        </w:rPr>
        <w:t>,</w:t>
      </w:r>
      <w:r w:rsidRPr="00A71782">
        <w:rPr>
          <w:rFonts w:cs="Arial"/>
          <w:rtl/>
        </w:rPr>
        <w:t xml:space="preserve"> כ"כ הרמב"ם</w:t>
      </w:r>
      <w:r>
        <w:rPr>
          <w:rFonts w:cs="Arial" w:hint="cs"/>
          <w:rtl/>
        </w:rPr>
        <w:t>.</w:t>
      </w:r>
      <w:r w:rsidRPr="00A71782">
        <w:rPr>
          <w:rFonts w:cs="Arial"/>
          <w:rtl/>
        </w:rPr>
        <w:t xml:space="preserve"> ומשמע ה"ה אם דרים בחצר א' מנדין אותם</w:t>
      </w:r>
      <w:r>
        <w:rPr>
          <w:rFonts w:cs="Arial" w:hint="cs"/>
          <w:rtl/>
        </w:rPr>
        <w:t>..., ב"ש (סקי"ז).</w:t>
      </w:r>
    </w:p>
  </w:footnote>
  <w:footnote w:id="90">
    <w:p w14:paraId="44DB2D2E" w14:textId="261E7E81" w:rsidR="00403A76" w:rsidRDefault="00403A76">
      <w:pPr>
        <w:pStyle w:val="a5"/>
        <w:rPr>
          <w:rtl/>
        </w:rPr>
      </w:pPr>
      <w:r>
        <w:rPr>
          <w:rStyle w:val="a7"/>
        </w:rPr>
        <w:footnoteRef/>
      </w:r>
      <w:r>
        <w:rPr>
          <w:rtl/>
        </w:rPr>
        <w:t xml:space="preserve"> </w:t>
      </w:r>
      <w:r w:rsidRPr="0032300C">
        <w:rPr>
          <w:rFonts w:cs="Arial"/>
          <w:rtl/>
        </w:rPr>
        <w:t>אם היו דרים בשכירות או בחצר של שניהם</w:t>
      </w:r>
      <w:r>
        <w:rPr>
          <w:rFonts w:cs="Arial" w:hint="cs"/>
          <w:rtl/>
        </w:rPr>
        <w:t>.</w:t>
      </w:r>
      <w:r w:rsidRPr="0032300C">
        <w:rPr>
          <w:rFonts w:cs="Arial"/>
          <w:rtl/>
        </w:rPr>
        <w:t xml:space="preserve"> ונראה דאם לאחר גירושין נדחית מפניו לחצר אחרת</w:t>
      </w:r>
      <w:r>
        <w:rPr>
          <w:rFonts w:cs="Arial" w:hint="cs"/>
          <w:rtl/>
        </w:rPr>
        <w:t>,</w:t>
      </w:r>
      <w:r w:rsidRPr="0032300C">
        <w:rPr>
          <w:rFonts w:cs="Arial"/>
          <w:rtl/>
        </w:rPr>
        <w:t xml:space="preserve"> ואח"כ רוצה להנשא למי שיש לו בית באותו מבוי אף שאין לבעלה בית במבוי זה </w:t>
      </w:r>
      <w:r>
        <w:rPr>
          <w:rFonts w:cs="Arial" w:hint="cs"/>
          <w:rtl/>
        </w:rPr>
        <w:t xml:space="preserve">- </w:t>
      </w:r>
      <w:r w:rsidRPr="0032300C">
        <w:rPr>
          <w:rFonts w:cs="Arial"/>
          <w:rtl/>
        </w:rPr>
        <w:t>אפ"ה הוא מעכב על ידה</w:t>
      </w:r>
      <w:r>
        <w:rPr>
          <w:rFonts w:cs="Arial" w:hint="cs"/>
          <w:rtl/>
        </w:rPr>
        <w:t>,</w:t>
      </w:r>
      <w:r w:rsidRPr="0032300C">
        <w:rPr>
          <w:rFonts w:cs="Arial"/>
          <w:rtl/>
        </w:rPr>
        <w:t xml:space="preserve"> דלאו בבעלה השני תלוי רק בדידה</w:t>
      </w:r>
      <w:r>
        <w:rPr>
          <w:rFonts w:cs="Arial" w:hint="cs"/>
          <w:rtl/>
        </w:rPr>
        <w:t>,</w:t>
      </w:r>
      <w:r w:rsidRPr="0032300C">
        <w:rPr>
          <w:rFonts w:cs="Arial"/>
          <w:rtl/>
        </w:rPr>
        <w:t xml:space="preserve"> וכל זמן שאין לה בית אף שגם לבעלה אין לו בית או שיש בית לכל א' היא נדחית מפניו</w:t>
      </w:r>
      <w:r>
        <w:rPr>
          <w:rFonts w:hint="cs"/>
          <w:rtl/>
        </w:rPr>
        <w:t>, ח"מ (סקכ"ז).</w:t>
      </w:r>
    </w:p>
  </w:footnote>
  <w:footnote w:id="91">
    <w:p w14:paraId="49EDFD8E" w14:textId="17B75BDB" w:rsidR="00403A76" w:rsidRDefault="00403A76">
      <w:pPr>
        <w:pStyle w:val="a5"/>
      </w:pPr>
      <w:r>
        <w:rPr>
          <w:rStyle w:val="a7"/>
        </w:rPr>
        <w:footnoteRef/>
      </w:r>
      <w:r>
        <w:rPr>
          <w:rtl/>
        </w:rPr>
        <w:t xml:space="preserve"> </w:t>
      </w:r>
      <w:r>
        <w:rPr>
          <w:rFonts w:cs="Arial"/>
          <w:rtl/>
        </w:rPr>
        <w:t>אלו כללי הלכות גיטין</w:t>
      </w:r>
      <w:r>
        <w:rPr>
          <w:rFonts w:cs="Arial" w:hint="cs"/>
          <w:rtl/>
        </w:rPr>
        <w:t>,</w:t>
      </w:r>
      <w:r>
        <w:rPr>
          <w:rFonts w:cs="Arial"/>
          <w:rtl/>
        </w:rPr>
        <w:t xml:space="preserve"> ומתבארים והולכין בסימנים הבאים</w:t>
      </w:r>
      <w:r>
        <w:rPr>
          <w:rFonts w:cs="Arial" w:hint="cs"/>
          <w:rtl/>
        </w:rPr>
        <w:t>, ב"י.</w:t>
      </w:r>
    </w:p>
  </w:footnote>
  <w:footnote w:id="92">
    <w:p w14:paraId="4401F5E3" w14:textId="0CBE96A9" w:rsidR="00CD00FA" w:rsidRDefault="00CD00FA">
      <w:pPr>
        <w:pStyle w:val="a5"/>
      </w:pPr>
      <w:r>
        <w:rPr>
          <w:rStyle w:val="a7"/>
        </w:rPr>
        <w:footnoteRef/>
      </w:r>
      <w:r>
        <w:rPr>
          <w:rtl/>
        </w:rPr>
        <w:t xml:space="preserve"> </w:t>
      </w:r>
      <w:r>
        <w:rPr>
          <w:rFonts w:hint="cs"/>
          <w:rtl/>
        </w:rPr>
        <w:t>סימן - ממש אני.</w:t>
      </w:r>
      <w:r w:rsidR="00C335DD">
        <w:rPr>
          <w:rFonts w:hint="cs"/>
          <w:rtl/>
        </w:rPr>
        <w:t xml:space="preserve"> וכן - מדמה אותי.</w:t>
      </w:r>
    </w:p>
  </w:footnote>
  <w:footnote w:id="93">
    <w:p w14:paraId="1DC6AF0D" w14:textId="51595CF2" w:rsidR="00403A76" w:rsidRDefault="00403A76" w:rsidP="006655B0">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030323">
        <w:rPr>
          <w:rFonts w:cs="Arial"/>
          <w:rtl/>
        </w:rPr>
        <w:t>הרוצה לכתוב גט לאשתו צריך שיהא הקלף והדיו משל בעל</w:t>
      </w:r>
      <w:r>
        <w:rPr>
          <w:rFonts w:cs="Arial" w:hint="cs"/>
          <w:rtl/>
        </w:rPr>
        <w:t>,</w:t>
      </w:r>
      <w:r w:rsidRPr="00030323">
        <w:rPr>
          <w:rFonts w:cs="Arial"/>
          <w:rtl/>
        </w:rPr>
        <w:t xml:space="preserve"> דהא וכתב ונתן כתיב</w:t>
      </w:r>
      <w:r>
        <w:rPr>
          <w:rFonts w:cs="Arial" w:hint="cs"/>
          <w:rtl/>
        </w:rPr>
        <w:t>.</w:t>
      </w:r>
      <w:r w:rsidRPr="00030323">
        <w:rPr>
          <w:rFonts w:cs="Arial"/>
          <w:rtl/>
        </w:rPr>
        <w:t xml:space="preserve"> ואפילו בטבלא שהיא של אשה תחלה וגט כתוב עליה</w:t>
      </w:r>
      <w:r>
        <w:rPr>
          <w:rFonts w:cs="Arial" w:hint="cs"/>
          <w:rtl/>
        </w:rPr>
        <w:t>,</w:t>
      </w:r>
      <w:r w:rsidRPr="00030323">
        <w:rPr>
          <w:rFonts w:cs="Arial"/>
          <w:rtl/>
        </w:rPr>
        <w:t xml:space="preserve"> מספקא ליה אם צריך להביא עדים שהאשה הקנתה תחלה הטבלא לבעלה כמשפט</w:t>
      </w:r>
      <w:r>
        <w:rPr>
          <w:rFonts w:cs="Arial" w:hint="cs"/>
          <w:rtl/>
        </w:rPr>
        <w:t>...</w:t>
      </w:r>
      <w:r w:rsidRPr="00030323">
        <w:rPr>
          <w:rFonts w:cs="Arial"/>
          <w:rtl/>
        </w:rPr>
        <w:t xml:space="preserve"> אבל בקולמוס נראה שאין לחוש אפילו אין של בעל דאין כאן חסרון הניכר במה שכתב בו הגט</w:t>
      </w:r>
      <w:r>
        <w:rPr>
          <w:rFonts w:cs="Arial" w:hint="cs"/>
          <w:rtl/>
        </w:rPr>
        <w:t>.</w:t>
      </w:r>
    </w:p>
  </w:footnote>
  <w:footnote w:id="94">
    <w:p w14:paraId="0B3357B6" w14:textId="693B7038" w:rsidR="00403A76" w:rsidRPr="00DE3B02" w:rsidRDefault="00403A76">
      <w:pPr>
        <w:pStyle w:val="a5"/>
      </w:pPr>
      <w:r>
        <w:rPr>
          <w:rStyle w:val="a7"/>
        </w:rPr>
        <w:footnoteRef/>
      </w:r>
      <w:r>
        <w:rPr>
          <w:rtl/>
        </w:rPr>
        <w:t xml:space="preserve"> </w:t>
      </w:r>
      <w:r>
        <w:rPr>
          <w:rFonts w:cs="Arial" w:hint="cs"/>
          <w:rtl/>
        </w:rPr>
        <w:t xml:space="preserve">ומדברי הר"ן </w:t>
      </w:r>
      <w:r w:rsidRPr="00085529">
        <w:rPr>
          <w:rFonts w:cs="Arial"/>
          <w:sz w:val="16"/>
          <w:szCs w:val="16"/>
          <w:rtl/>
        </w:rPr>
        <w:t>(</w:t>
      </w:r>
      <w:r w:rsidRPr="00085529">
        <w:rPr>
          <w:rFonts w:cs="Arial" w:hint="cs"/>
          <w:sz w:val="16"/>
          <w:szCs w:val="16"/>
          <w:rtl/>
        </w:rPr>
        <w:t xml:space="preserve">גיטין </w:t>
      </w:r>
      <w:r w:rsidRPr="00085529">
        <w:rPr>
          <w:rFonts w:cs="Arial"/>
          <w:sz w:val="16"/>
          <w:szCs w:val="16"/>
          <w:rtl/>
        </w:rPr>
        <w:t>ט: ד"ה וגרסינן תו. ובחיד</w:t>
      </w:r>
      <w:r w:rsidRPr="00085529">
        <w:rPr>
          <w:rFonts w:cs="Arial" w:hint="cs"/>
          <w:sz w:val="16"/>
          <w:szCs w:val="16"/>
          <w:rtl/>
        </w:rPr>
        <w:t>'</w:t>
      </w:r>
      <w:r w:rsidRPr="00085529">
        <w:rPr>
          <w:rFonts w:cs="Arial"/>
          <w:sz w:val="16"/>
          <w:szCs w:val="16"/>
          <w:rtl/>
        </w:rPr>
        <w:t xml:space="preserve"> כ. ד"ה דלמא)</w:t>
      </w:r>
      <w:r>
        <w:rPr>
          <w:rFonts w:cs="Arial" w:hint="cs"/>
          <w:rtl/>
        </w:rPr>
        <w:t xml:space="preserve"> נראה שגם לדברי המצריכים מסירת הקלף</w:t>
      </w:r>
      <w:r w:rsidR="00A42812">
        <w:rPr>
          <w:rFonts w:cs="Arial" w:hint="cs"/>
          <w:rtl/>
        </w:rPr>
        <w:t>,</w:t>
      </w:r>
      <w:r>
        <w:rPr>
          <w:rFonts w:cs="Arial" w:hint="cs"/>
          <w:rtl/>
        </w:rPr>
        <w:t xml:space="preserve"> היינו כשהקלף שייך לסופר. אבל אם הסופר קנה את הקלף לאחר שקיבל את המעות מהאשה </w:t>
      </w:r>
      <w:r w:rsidR="00A42812">
        <w:rPr>
          <w:rFonts w:cs="Arial"/>
          <w:rtl/>
        </w:rPr>
        <w:t>-</w:t>
      </w:r>
      <w:r>
        <w:rPr>
          <w:rFonts w:cs="Arial" w:hint="cs"/>
          <w:rtl/>
        </w:rPr>
        <w:t xml:space="preserve"> אין צריך מסירה, שהבעל זוכה בו מיד, דהוי שלוחו. </w:t>
      </w:r>
      <w:r>
        <w:rPr>
          <w:rFonts w:cs="Arial" w:hint="cs"/>
          <w:sz w:val="16"/>
          <w:szCs w:val="16"/>
          <w:rtl/>
        </w:rPr>
        <w:t>(</w:t>
      </w:r>
      <w:r w:rsidRPr="00DE3B02">
        <w:rPr>
          <w:rFonts w:cs="Arial" w:hint="cs"/>
          <w:sz w:val="16"/>
          <w:szCs w:val="16"/>
          <w:rtl/>
        </w:rPr>
        <w:t>וז"ל ה</w:t>
      </w:r>
      <w:r w:rsidRPr="00DE3B02">
        <w:rPr>
          <w:rFonts w:cs="Arial"/>
          <w:sz w:val="16"/>
          <w:szCs w:val="16"/>
          <w:rtl/>
        </w:rPr>
        <w:t>ר"ן</w:t>
      </w:r>
      <w:r w:rsidRPr="00DE3B02">
        <w:rPr>
          <w:rFonts w:cs="Arial" w:hint="cs"/>
          <w:sz w:val="16"/>
          <w:szCs w:val="16"/>
          <w:rtl/>
        </w:rPr>
        <w:t xml:space="preserve"> (שם)</w:t>
      </w:r>
      <w:r w:rsidR="000F31B3">
        <w:rPr>
          <w:rFonts w:cs="Arial" w:hint="cs"/>
          <w:sz w:val="16"/>
          <w:szCs w:val="16"/>
          <w:rtl/>
        </w:rPr>
        <w:t>:</w:t>
      </w:r>
      <w:r w:rsidRPr="00DE3B02">
        <w:rPr>
          <w:rFonts w:cs="Arial" w:hint="cs"/>
          <w:sz w:val="16"/>
          <w:szCs w:val="16"/>
          <w:rtl/>
        </w:rPr>
        <w:t xml:space="preserve"> </w:t>
      </w:r>
      <w:r w:rsidRPr="00DE3B02">
        <w:rPr>
          <w:rFonts w:cs="Arial"/>
          <w:sz w:val="16"/>
          <w:szCs w:val="16"/>
          <w:rtl/>
        </w:rPr>
        <w:t>אין צריך שיתן הבעל מתחלה הקלף והדיו והקולמוס משלו אלא בההוא זוזא דאקנו ליה קונה הסופר הקלף וזוכה בו הבעל דהוה ליה כשלוחו וזוכה לו אבל אם הקלף הוא שלו יש שכתב שצריך שיזכה בו הבעל או שלוחו שאין הסופר זוכה לו במה שהוא שלו אבל אחרים אומרים שאינו צריך דבאותן דמים שהיא נותנת לסופר אקנו רבנן לבעל בין קלף בין דיו בין טרחו ועמלו</w:t>
      </w:r>
      <w:r>
        <w:rPr>
          <w:rFonts w:cs="Arial" w:hint="cs"/>
          <w:sz w:val="16"/>
          <w:szCs w:val="16"/>
          <w:rtl/>
        </w:rPr>
        <w:t>)</w:t>
      </w:r>
      <w:r>
        <w:rPr>
          <w:rFonts w:cs="Arial" w:hint="cs"/>
          <w:rtl/>
        </w:rPr>
        <w:t>.</w:t>
      </w:r>
    </w:p>
  </w:footnote>
  <w:footnote w:id="95">
    <w:p w14:paraId="585A4249" w14:textId="23A2F8B0" w:rsidR="00403A76" w:rsidRDefault="00403A76" w:rsidP="00994DAE">
      <w:pPr>
        <w:pStyle w:val="a5"/>
      </w:pPr>
      <w:r>
        <w:rPr>
          <w:rStyle w:val="a7"/>
        </w:rPr>
        <w:footnoteRef/>
      </w:r>
      <w:r>
        <w:rPr>
          <w:rtl/>
        </w:rPr>
        <w:t xml:space="preserve"> </w:t>
      </w:r>
      <w:r w:rsidRPr="00CA3755">
        <w:rPr>
          <w:rFonts w:cs="Arial"/>
          <w:rtl/>
        </w:rPr>
        <w:t>ו</w:t>
      </w:r>
      <w:r>
        <w:rPr>
          <w:rFonts w:cs="Arial" w:hint="cs"/>
          <w:rtl/>
        </w:rPr>
        <w:t xml:space="preserve">כ"כ </w:t>
      </w:r>
      <w:r w:rsidRPr="00CA3755">
        <w:rPr>
          <w:rFonts w:cs="Arial"/>
          <w:rtl/>
        </w:rPr>
        <w:t xml:space="preserve">בעל התרומה בהלכות הגט </w:t>
      </w:r>
      <w:r w:rsidRPr="00030323">
        <w:rPr>
          <w:rFonts w:cs="Arial"/>
          <w:sz w:val="16"/>
          <w:szCs w:val="16"/>
          <w:rtl/>
        </w:rPr>
        <w:t>(סי' קי כט ע"א)</w:t>
      </w:r>
      <w:r>
        <w:rPr>
          <w:rFonts w:cs="Arial" w:hint="cs"/>
          <w:rtl/>
        </w:rPr>
        <w:t>,</w:t>
      </w:r>
      <w:r w:rsidRPr="00CA3755">
        <w:rPr>
          <w:rFonts w:cs="Arial"/>
          <w:rtl/>
        </w:rPr>
        <w:t xml:space="preserve"> שכתב אבל בקולמוס אין נראה לחוש אפילו אין של בעל דאין כאן חסרון הניכר במה שכותב בו הגט</w:t>
      </w:r>
      <w:r>
        <w:rPr>
          <w:rFonts w:cs="Arial" w:hint="cs"/>
          <w:rtl/>
        </w:rPr>
        <w:t>.</w:t>
      </w:r>
      <w:r w:rsidRPr="00CA3755">
        <w:rPr>
          <w:rFonts w:cs="Arial"/>
          <w:rtl/>
        </w:rPr>
        <w:t xml:space="preserve"> ואע</w:t>
      </w:r>
      <w:r>
        <w:rPr>
          <w:rFonts w:cs="Arial" w:hint="cs"/>
          <w:rtl/>
        </w:rPr>
        <w:t>"</w:t>
      </w:r>
      <w:r w:rsidRPr="00CA3755">
        <w:rPr>
          <w:rFonts w:cs="Arial"/>
          <w:rtl/>
        </w:rPr>
        <w:t xml:space="preserve">פ שבסדר הגט </w:t>
      </w:r>
      <w:r w:rsidRPr="00030323">
        <w:rPr>
          <w:rFonts w:cs="Arial"/>
          <w:sz w:val="16"/>
          <w:szCs w:val="16"/>
          <w:rtl/>
        </w:rPr>
        <w:t xml:space="preserve">(לקמן סי' קנד עו ע"ב) </w:t>
      </w:r>
      <w:r w:rsidRPr="00CA3755">
        <w:rPr>
          <w:rFonts w:cs="Arial"/>
          <w:rtl/>
        </w:rPr>
        <w:t xml:space="preserve">כתב מסירת הקולמוס </w:t>
      </w:r>
      <w:r>
        <w:rPr>
          <w:rFonts w:cs="Arial" w:hint="cs"/>
          <w:rtl/>
        </w:rPr>
        <w:t xml:space="preserve">- </w:t>
      </w:r>
      <w:r w:rsidRPr="00CA3755">
        <w:rPr>
          <w:rFonts w:cs="Arial"/>
          <w:rtl/>
        </w:rPr>
        <w:t>היינו לשופרא דמילתא לחוש גם לדברי המצריכים</w:t>
      </w:r>
      <w:r>
        <w:rPr>
          <w:rFonts w:cs="Arial" w:hint="cs"/>
          <w:rtl/>
        </w:rPr>
        <w:t>, ב"י.</w:t>
      </w:r>
      <w:r w:rsidRPr="00BA15E7">
        <w:rPr>
          <w:rFonts w:cs="Arial"/>
          <w:rtl/>
        </w:rPr>
        <w:t xml:space="preserve"> וכן הוא במרדכי </w:t>
      </w:r>
      <w:r w:rsidRPr="00030323">
        <w:rPr>
          <w:rFonts w:cs="Arial" w:hint="cs"/>
          <w:sz w:val="16"/>
          <w:szCs w:val="16"/>
          <w:rtl/>
        </w:rPr>
        <w:t>(</w:t>
      </w:r>
      <w:r w:rsidRPr="00030323">
        <w:rPr>
          <w:rFonts w:cs="Arial"/>
          <w:sz w:val="16"/>
          <w:szCs w:val="16"/>
          <w:rtl/>
        </w:rPr>
        <w:t>פ</w:t>
      </w:r>
      <w:r>
        <w:rPr>
          <w:rFonts w:cs="Arial" w:hint="cs"/>
          <w:sz w:val="16"/>
          <w:szCs w:val="16"/>
          <w:rtl/>
        </w:rPr>
        <w:t>'</w:t>
      </w:r>
      <w:r w:rsidRPr="00030323">
        <w:rPr>
          <w:rFonts w:cs="Arial"/>
          <w:sz w:val="16"/>
          <w:szCs w:val="16"/>
          <w:rtl/>
        </w:rPr>
        <w:t xml:space="preserve"> גט פשוט סי' ת</w:t>
      </w:r>
      <w:r w:rsidRPr="00030323">
        <w:rPr>
          <w:rFonts w:cs="Arial" w:hint="cs"/>
          <w:sz w:val="16"/>
          <w:szCs w:val="16"/>
          <w:rtl/>
        </w:rPr>
        <w:t>נב, הביאו הדרכ"מ [אות א*]</w:t>
      </w:r>
      <w:r w:rsidRPr="00030323">
        <w:rPr>
          <w:rFonts w:cs="Arial"/>
          <w:sz w:val="16"/>
          <w:szCs w:val="16"/>
          <w:rtl/>
        </w:rPr>
        <w:t>)</w:t>
      </w:r>
      <w:r w:rsidRPr="00030323">
        <w:rPr>
          <w:rFonts w:cs="Arial" w:hint="cs"/>
          <w:sz w:val="16"/>
          <w:szCs w:val="16"/>
          <w:rtl/>
        </w:rPr>
        <w:t xml:space="preserve"> </w:t>
      </w:r>
      <w:r>
        <w:rPr>
          <w:rFonts w:cs="Arial" w:hint="cs"/>
          <w:rtl/>
        </w:rPr>
        <w:t>שלכתחילה צריך למסור, אך אם לא מסר -</w:t>
      </w:r>
      <w:r w:rsidRPr="006A40F5">
        <w:rPr>
          <w:rFonts w:cs="Arial"/>
          <w:rtl/>
        </w:rPr>
        <w:t xml:space="preserve"> אינו פסול בכך</w:t>
      </w:r>
      <w:r>
        <w:rPr>
          <w:rFonts w:hint="cs"/>
          <w:rtl/>
        </w:rPr>
        <w:t>.</w:t>
      </w:r>
    </w:p>
  </w:footnote>
  <w:footnote w:id="96">
    <w:p w14:paraId="1A1E8616" w14:textId="2C035CDA" w:rsidR="00403A76" w:rsidRDefault="00403A76">
      <w:pPr>
        <w:pStyle w:val="a5"/>
        <w:rPr>
          <w:rtl/>
        </w:rPr>
      </w:pPr>
      <w:r>
        <w:rPr>
          <w:rStyle w:val="a7"/>
        </w:rPr>
        <w:footnoteRef/>
      </w:r>
      <w:r>
        <w:rPr>
          <w:rtl/>
        </w:rPr>
        <w:t xml:space="preserve"> </w:t>
      </w:r>
      <w:r>
        <w:rPr>
          <w:rFonts w:cs="Arial" w:hint="cs"/>
          <w:rtl/>
        </w:rPr>
        <w:t xml:space="preserve">ר"ת </w:t>
      </w:r>
      <w:r w:rsidRPr="00CB1284">
        <w:rPr>
          <w:rFonts w:cs="Arial"/>
          <w:sz w:val="16"/>
          <w:szCs w:val="16"/>
          <w:rtl/>
        </w:rPr>
        <w:t>(ספר הישר חלק החידושים סי' פב</w:t>
      </w:r>
      <w:r>
        <w:rPr>
          <w:rFonts w:cs="Arial" w:hint="cs"/>
          <w:sz w:val="16"/>
          <w:szCs w:val="16"/>
          <w:rtl/>
        </w:rPr>
        <w:t>, הביאו בהג"א [פ"ב דגיטין סי' כ]</w:t>
      </w:r>
      <w:r w:rsidRPr="00CB1284">
        <w:rPr>
          <w:rFonts w:cs="Arial"/>
          <w:sz w:val="16"/>
          <w:szCs w:val="16"/>
          <w:rtl/>
        </w:rPr>
        <w:t>)</w:t>
      </w:r>
      <w:r w:rsidRPr="00CB1284">
        <w:rPr>
          <w:rFonts w:cs="Arial"/>
          <w:rtl/>
        </w:rPr>
        <w:t xml:space="preserve"> ב</w:t>
      </w:r>
      <w:r>
        <w:rPr>
          <w:rFonts w:cs="Arial" w:hint="cs"/>
          <w:rtl/>
        </w:rPr>
        <w:t>ה</w:t>
      </w:r>
      <w:r w:rsidRPr="00CB1284">
        <w:rPr>
          <w:rFonts w:cs="Arial"/>
          <w:rtl/>
        </w:rPr>
        <w:t>עי</w:t>
      </w:r>
      <w:r>
        <w:rPr>
          <w:rFonts w:cs="Arial" w:hint="cs"/>
          <w:rtl/>
        </w:rPr>
        <w:t>"</w:t>
      </w:r>
      <w:r w:rsidRPr="00CB1284">
        <w:rPr>
          <w:rFonts w:cs="Arial"/>
          <w:rtl/>
        </w:rPr>
        <w:t>ט</w:t>
      </w:r>
      <w:r>
        <w:rPr>
          <w:rFonts w:cs="Arial" w:hint="cs"/>
          <w:rtl/>
        </w:rPr>
        <w:t xml:space="preserve"> </w:t>
      </w:r>
      <w:r w:rsidRPr="00CB1284">
        <w:rPr>
          <w:rFonts w:cs="Arial" w:hint="cs"/>
          <w:sz w:val="16"/>
          <w:szCs w:val="16"/>
          <w:rtl/>
        </w:rPr>
        <w:t>(</w:t>
      </w:r>
      <w:r w:rsidRPr="00CB1284">
        <w:rPr>
          <w:rFonts w:cs="Arial"/>
          <w:sz w:val="16"/>
          <w:szCs w:val="16"/>
          <w:rtl/>
        </w:rPr>
        <w:t>מאמר שביעי</w:t>
      </w:r>
      <w:r w:rsidRPr="00CB1284">
        <w:rPr>
          <w:rFonts w:cs="Arial" w:hint="cs"/>
          <w:sz w:val="16"/>
          <w:szCs w:val="16"/>
          <w:rtl/>
        </w:rPr>
        <w:t xml:space="preserve"> </w:t>
      </w:r>
      <w:r w:rsidRPr="00CB1284">
        <w:rPr>
          <w:rFonts w:cs="Arial"/>
          <w:sz w:val="16"/>
          <w:szCs w:val="16"/>
          <w:rtl/>
        </w:rPr>
        <w:t>ח"א כו ע"א)</w:t>
      </w:r>
      <w:r w:rsidRPr="00CB1284">
        <w:rPr>
          <w:rFonts w:cs="Arial"/>
          <w:rtl/>
        </w:rPr>
        <w:t xml:space="preserve"> </w:t>
      </w:r>
      <w:r>
        <w:rPr>
          <w:rFonts w:cs="Arial" w:hint="cs"/>
          <w:rtl/>
        </w:rPr>
        <w:t xml:space="preserve">ור"פ </w:t>
      </w:r>
      <w:r w:rsidRPr="00CB1284">
        <w:rPr>
          <w:rFonts w:cs="Arial" w:hint="cs"/>
          <w:sz w:val="16"/>
          <w:szCs w:val="16"/>
          <w:rtl/>
        </w:rPr>
        <w:t>(</w:t>
      </w:r>
      <w:r>
        <w:rPr>
          <w:rFonts w:cs="Arial" w:hint="cs"/>
          <w:sz w:val="16"/>
          <w:szCs w:val="16"/>
          <w:rtl/>
        </w:rPr>
        <w:t>כ"כ בשמו הב"י [כאן] והטור [בסי' קנד]</w:t>
      </w:r>
      <w:r w:rsidRPr="00CB1284">
        <w:rPr>
          <w:rFonts w:cs="Arial"/>
          <w:sz w:val="16"/>
          <w:szCs w:val="16"/>
          <w:rtl/>
        </w:rPr>
        <w:t>)</w:t>
      </w:r>
      <w:r>
        <w:rPr>
          <w:rFonts w:hint="cs"/>
          <w:rtl/>
        </w:rPr>
        <w:t>.</w:t>
      </w:r>
    </w:p>
  </w:footnote>
  <w:footnote w:id="97">
    <w:p w14:paraId="6668D89B" w14:textId="4353180D" w:rsidR="00403A76" w:rsidRPr="00405D4B" w:rsidRDefault="00403A76" w:rsidP="00405D4B">
      <w:pPr>
        <w:pStyle w:val="a5"/>
        <w:rPr>
          <w:rFonts w:cs="Arial"/>
          <w:rtl/>
        </w:rPr>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405D4B">
        <w:rPr>
          <w:rFonts w:cs="Arial"/>
          <w:rtl/>
        </w:rPr>
        <w:t>דילמא אקנויי אקנו לי' רבנן. פי' אף על גב דבדרך דילמא איתמר עיקר הוא, והכי מפורש בפ' גט פשוט</w:t>
      </w:r>
      <w:r>
        <w:rPr>
          <w:rFonts w:cs="Arial" w:hint="cs"/>
          <w:rtl/>
        </w:rPr>
        <w:t xml:space="preserve"> (</w:t>
      </w:r>
      <w:r w:rsidRPr="00030323">
        <w:rPr>
          <w:rFonts w:cs="Arial"/>
          <w:rtl/>
        </w:rPr>
        <w:t>קסז:, קסח:)</w:t>
      </w:r>
      <w:r w:rsidRPr="00405D4B">
        <w:rPr>
          <w:rFonts w:cs="Arial"/>
          <w:rtl/>
        </w:rPr>
        <w:t xml:space="preserve">, ואפשר דמשום כבודו דרב חסדא אמר לו כן, ושמעינן מינה שהדיו והקסת והקולמוס והנייר הכל משל סופר ובכך הגט כשר ואין בו בית מיחוש, שהכל הוא מוכר לבעל באותו פשוט שנותנת היא לסופר בגט, בין קלף בין דיו בין טרחו ועמלו, ואקנויי אקניוה רבנן לבעל, ולא כדברי הנקדנין שמקנין ממש הכל לבעל, אלא רבנן אקנינהו ניהליה ואף על גב דלא משיך כלום כשר, דאי ס"ד צריך לאקנויי ליה ממש מעיקרא, כיון דאמר בעל לסופר כתוב ושוייה שלוחו וקנה קלף ודיו במשיכה ממש, מאי האי דאקשינן הכא איהי כתבה ליה, אפילו פרעא זוזא דספרא, גיטא גופיה ודאי דבעל הוא ולא דסופר ולא דאשה ושלוחו דבעל כתביה בשלו, אלא ש"מ אף על גב דלא מקנו ליה כלום ואף על גב דלא משיך כלום כשר, שהרי </w:t>
      </w:r>
      <w:r w:rsidRPr="00030323">
        <w:rPr>
          <w:rFonts w:cs="Arial"/>
          <w:rtl/>
        </w:rPr>
        <w:t xml:space="preserve">(גיטין סה:) </w:t>
      </w:r>
      <w:r w:rsidRPr="00405D4B">
        <w:rPr>
          <w:rFonts w:cs="Arial"/>
          <w:rtl/>
        </w:rPr>
        <w:t>אומר אדם לשנים כתבו ותנו גט לאשתי והוא הולך לו למדינת הים, והמושלך לבור</w:t>
      </w:r>
      <w:r>
        <w:rPr>
          <w:rFonts w:cs="Arial" w:hint="cs"/>
          <w:rtl/>
        </w:rPr>
        <w:t xml:space="preserve"> </w:t>
      </w:r>
      <w:r w:rsidRPr="00030323">
        <w:rPr>
          <w:rFonts w:cs="Arial"/>
          <w:rtl/>
        </w:rPr>
        <w:t xml:space="preserve">(שם סו.) </w:t>
      </w:r>
      <w:r w:rsidRPr="00405D4B">
        <w:rPr>
          <w:rFonts w:cs="Arial"/>
          <w:rtl/>
        </w:rPr>
        <w:t xml:space="preserve"> אומר כל השומע קולו יכתוב גט לאשתו והן כותבין ונותנין בלא כלום הקנאה, דמאי וכתב על ידו או על יד שלוחו</w:t>
      </w:r>
      <w:r>
        <w:rPr>
          <w:rFonts w:cs="Arial" w:hint="cs"/>
          <w:rtl/>
        </w:rPr>
        <w:t>,</w:t>
      </w:r>
      <w:r w:rsidRPr="00405D4B">
        <w:rPr>
          <w:rFonts w:cs="Arial"/>
          <w:rtl/>
        </w:rPr>
        <w:t xml:space="preserve"> ולאפוקי היא או שלוחה הוא דכתיב, דכשם שאין אשה מתקדשת בשלה אלא בשל בעל או שלוחו כך אינה מתגרשת אלא בכך, הילכך מכיון דאקנו ליה רבנן פשיטא דספרי דידה לבעל ואין זה וכתבה איהי כשר הוא</w:t>
      </w:r>
      <w:r>
        <w:rPr>
          <w:rFonts w:cs="Arial" w:hint="cs"/>
          <w:rtl/>
        </w:rPr>
        <w:t>,</w:t>
      </w:r>
      <w:r w:rsidRPr="00405D4B">
        <w:rPr>
          <w:rFonts w:cs="Arial"/>
          <w:rtl/>
        </w:rPr>
        <w:t xml:space="preserve"> דנעשה שכירו ושלוחו של בעל בפשוט זה</w:t>
      </w:r>
      <w:r>
        <w:rPr>
          <w:rFonts w:cs="Arial" w:hint="cs"/>
          <w:rtl/>
        </w:rPr>
        <w:t>.</w:t>
      </w:r>
    </w:p>
  </w:footnote>
  <w:footnote w:id="98">
    <w:p w14:paraId="181B2F97" w14:textId="718260BE" w:rsidR="00403A76" w:rsidRDefault="00403A76">
      <w:pPr>
        <w:pStyle w:val="a5"/>
        <w:rPr>
          <w:rtl/>
        </w:rPr>
      </w:pPr>
      <w:r>
        <w:rPr>
          <w:rStyle w:val="a7"/>
        </w:rPr>
        <w:footnoteRef/>
      </w:r>
      <w:r>
        <w:rPr>
          <w:rtl/>
        </w:rPr>
        <w:t xml:space="preserve"> </w:t>
      </w:r>
      <w:r>
        <w:rPr>
          <w:rFonts w:cs="Arial" w:hint="cs"/>
          <w:rtl/>
        </w:rPr>
        <w:t>וכתב רי"ו</w:t>
      </w:r>
      <w:r w:rsidRPr="00030323">
        <w:rPr>
          <w:rFonts w:cs="Arial"/>
          <w:rtl/>
        </w:rPr>
        <w:t xml:space="preserve"> </w:t>
      </w:r>
      <w:r w:rsidRPr="00405D4B">
        <w:rPr>
          <w:rFonts w:cs="Arial" w:hint="cs"/>
          <w:sz w:val="16"/>
          <w:szCs w:val="16"/>
          <w:rtl/>
        </w:rPr>
        <w:t>(</w:t>
      </w:r>
      <w:r w:rsidRPr="00405D4B">
        <w:rPr>
          <w:rFonts w:cs="Arial"/>
          <w:sz w:val="16"/>
          <w:szCs w:val="16"/>
          <w:rtl/>
        </w:rPr>
        <w:t>ח</w:t>
      </w:r>
      <w:r w:rsidRPr="00405D4B">
        <w:rPr>
          <w:rFonts w:cs="Arial" w:hint="cs"/>
          <w:sz w:val="16"/>
          <w:szCs w:val="16"/>
          <w:rtl/>
        </w:rPr>
        <w:t>"</w:t>
      </w:r>
      <w:r w:rsidRPr="00405D4B">
        <w:rPr>
          <w:rFonts w:cs="Arial"/>
          <w:sz w:val="16"/>
          <w:szCs w:val="16"/>
          <w:rtl/>
        </w:rPr>
        <w:t xml:space="preserve">ב חלק חוה נכ"ד רו ע"ב) </w:t>
      </w:r>
      <w:r>
        <w:rPr>
          <w:rFonts w:cs="Arial" w:hint="cs"/>
          <w:rtl/>
        </w:rPr>
        <w:t>ד</w:t>
      </w:r>
      <w:r w:rsidRPr="00D62C10">
        <w:rPr>
          <w:rFonts w:cs="Arial"/>
          <w:rtl/>
        </w:rPr>
        <w:t>כן נהגו העולם.</w:t>
      </w:r>
      <w:r>
        <w:rPr>
          <w:rFonts w:cs="Arial" w:hint="cs"/>
          <w:rtl/>
        </w:rPr>
        <w:t xml:space="preserve"> וגם ה</w:t>
      </w:r>
      <w:r w:rsidRPr="00030323">
        <w:rPr>
          <w:rFonts w:cs="Arial"/>
          <w:rtl/>
        </w:rPr>
        <w:t xml:space="preserve">מרדכי </w:t>
      </w:r>
      <w:r>
        <w:rPr>
          <w:rFonts w:cs="Arial" w:hint="cs"/>
          <w:rtl/>
        </w:rPr>
        <w:t>(</w:t>
      </w:r>
      <w:r w:rsidRPr="00030323">
        <w:rPr>
          <w:rFonts w:cs="Arial"/>
          <w:rtl/>
        </w:rPr>
        <w:t xml:space="preserve">פרק התקבל סי' תיח) </w:t>
      </w:r>
      <w:r>
        <w:rPr>
          <w:rFonts w:cs="Arial" w:hint="cs"/>
          <w:rtl/>
        </w:rPr>
        <w:t xml:space="preserve">כתב </w:t>
      </w:r>
      <w:r w:rsidRPr="00030323">
        <w:rPr>
          <w:rFonts w:cs="Arial"/>
          <w:rtl/>
        </w:rPr>
        <w:t>מסירת הקלף והקולמוס והדיו לא ידענא מנא לן</w:t>
      </w:r>
      <w:r>
        <w:rPr>
          <w:rFonts w:cs="Arial" w:hint="cs"/>
          <w:rtl/>
        </w:rPr>
        <w:t>...</w:t>
      </w:r>
      <w:r w:rsidRPr="00D62C10">
        <w:rPr>
          <w:rFonts w:cs="Arial"/>
          <w:rtl/>
        </w:rPr>
        <w:t xml:space="preserve"> </w:t>
      </w:r>
      <w:r w:rsidRPr="00030323">
        <w:rPr>
          <w:rFonts w:cs="Arial"/>
          <w:rtl/>
        </w:rPr>
        <w:t>גם הרמב"ם לא הזכיר מסירה זו כלל</w:t>
      </w:r>
      <w:r>
        <w:rPr>
          <w:rFonts w:hint="cs"/>
          <w:rtl/>
        </w:rPr>
        <w:t>, ב"י.</w:t>
      </w:r>
    </w:p>
  </w:footnote>
  <w:footnote w:id="99">
    <w:p w14:paraId="3683EBF6" w14:textId="3F2D9512" w:rsidR="00403A76" w:rsidRPr="00405D4B" w:rsidRDefault="00403A76" w:rsidP="0093541C">
      <w:pPr>
        <w:pStyle w:val="a5"/>
        <w:rPr>
          <w:rFonts w:cs="Arial"/>
          <w:rtl/>
        </w:rPr>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405D4B">
        <w:rPr>
          <w:rFonts w:cs="Arial"/>
          <w:rtl/>
        </w:rPr>
        <w:t>ומיהו אם היה הכל של אשה אף על פי ששנינו (כב</w:t>
      </w:r>
      <w:r>
        <w:rPr>
          <w:rFonts w:cs="Arial" w:hint="cs"/>
          <w:rtl/>
        </w:rPr>
        <w:t>:</w:t>
      </w:r>
      <w:r w:rsidRPr="00405D4B">
        <w:rPr>
          <w:rFonts w:cs="Arial"/>
          <w:rtl/>
        </w:rPr>
        <w:t>) האשה עצמה כותבת את גיטה, דילמא צריכא היא לאקנויי ממש את הגט עצמו לבעל, דלא תקון ליה רבנן אלא פשיטי דספרא דלא ליקנייה היא לגט מן הסופר אבל דידה לא תקון לבעל, והיינו דדייקינן עלה לקמן בשמעתין אי ידעא איתתא לאקנויי או לא, וכן נראה מדברי רש"י ז"ל</w:t>
      </w:r>
      <w:r>
        <w:rPr>
          <w:rFonts w:cs="Arial" w:hint="cs"/>
          <w:rtl/>
        </w:rPr>
        <w:t xml:space="preserve"> </w:t>
      </w:r>
      <w:r w:rsidRPr="00406E46">
        <w:rPr>
          <w:rFonts w:cs="Arial"/>
          <w:sz w:val="16"/>
          <w:szCs w:val="16"/>
          <w:rtl/>
        </w:rPr>
        <w:t xml:space="preserve">(כא. ד"ה כותבת את גיטה) </w:t>
      </w:r>
      <w:r w:rsidRPr="00405D4B">
        <w:rPr>
          <w:rFonts w:cs="Arial"/>
          <w:rtl/>
        </w:rPr>
        <w:t>שהיא צריכה ממש ליתנו לבעל או לשלוחו כדי לקנותו, ומיהו כותבת היא בשלה ומקנה ולא צריכא לאקנויי מעיקרא, דבכתיבה שליח הבעל היא שהוא אמר לה כתבי, וכתב קרינא ביה, ולגבי ונתן בעינן שלו, והילכך מקנה לו הגט כתוב וחתום והוא מגרשה בו, כך פי' רש"י ז"ל</w:t>
      </w:r>
      <w:r>
        <w:rPr>
          <w:rFonts w:cs="Arial" w:hint="cs"/>
          <w:rtl/>
        </w:rPr>
        <w:t>.</w:t>
      </w:r>
    </w:p>
  </w:footnote>
  <w:footnote w:id="100">
    <w:p w14:paraId="6D58E90B" w14:textId="14F22775" w:rsidR="00403A76" w:rsidRDefault="00403A76">
      <w:pPr>
        <w:pStyle w:val="a5"/>
        <w:rPr>
          <w:rtl/>
        </w:rPr>
      </w:pPr>
      <w:r>
        <w:rPr>
          <w:rStyle w:val="a7"/>
        </w:rPr>
        <w:footnoteRef/>
      </w:r>
      <w:r>
        <w:rPr>
          <w:rtl/>
        </w:rPr>
        <w:t xml:space="preserve"> </w:t>
      </w:r>
      <w:r>
        <w:rPr>
          <w:rFonts w:cs="Arial" w:hint="cs"/>
          <w:rtl/>
        </w:rPr>
        <w:t xml:space="preserve">רש"י </w:t>
      </w:r>
      <w:r w:rsidRPr="00406E46">
        <w:rPr>
          <w:rFonts w:cs="Arial"/>
          <w:sz w:val="16"/>
          <w:szCs w:val="16"/>
          <w:rtl/>
        </w:rPr>
        <w:t>(</w:t>
      </w:r>
      <w:r>
        <w:rPr>
          <w:rFonts w:cs="Arial" w:hint="cs"/>
          <w:sz w:val="16"/>
          <w:szCs w:val="16"/>
          <w:rtl/>
        </w:rPr>
        <w:t xml:space="preserve">גיטין כ: ד"ה לא ידעה, </w:t>
      </w:r>
      <w:r w:rsidRPr="00406E46">
        <w:rPr>
          <w:rFonts w:cs="Arial"/>
          <w:sz w:val="16"/>
          <w:szCs w:val="16"/>
          <w:rtl/>
        </w:rPr>
        <w:t xml:space="preserve">כא. ד"ה כותבת את גיטה) </w:t>
      </w:r>
      <w:r w:rsidRPr="00030323">
        <w:rPr>
          <w:rFonts w:cs="Arial"/>
          <w:rtl/>
        </w:rPr>
        <w:t xml:space="preserve">רמב"ן </w:t>
      </w:r>
      <w:r w:rsidRPr="00D62C10">
        <w:rPr>
          <w:rFonts w:cs="Arial" w:hint="cs"/>
          <w:sz w:val="16"/>
          <w:szCs w:val="16"/>
          <w:rtl/>
        </w:rPr>
        <w:t>(</w:t>
      </w:r>
      <w:r w:rsidRPr="00D62C10">
        <w:rPr>
          <w:rFonts w:cs="Arial"/>
          <w:sz w:val="16"/>
          <w:szCs w:val="16"/>
          <w:rtl/>
        </w:rPr>
        <w:t>פ</w:t>
      </w:r>
      <w:r w:rsidRPr="00D62C10">
        <w:rPr>
          <w:rFonts w:cs="Arial" w:hint="cs"/>
          <w:sz w:val="16"/>
          <w:szCs w:val="16"/>
          <w:rtl/>
        </w:rPr>
        <w:t>"</w:t>
      </w:r>
      <w:r w:rsidRPr="00D62C10">
        <w:rPr>
          <w:rFonts w:cs="Arial"/>
          <w:sz w:val="16"/>
          <w:szCs w:val="16"/>
          <w:rtl/>
        </w:rPr>
        <w:t xml:space="preserve">ב גיטין </w:t>
      </w:r>
      <w:r w:rsidRPr="00D62C10">
        <w:rPr>
          <w:rFonts w:cs="Arial" w:hint="cs"/>
          <w:sz w:val="16"/>
          <w:szCs w:val="16"/>
          <w:rtl/>
        </w:rPr>
        <w:t>כ.</w:t>
      </w:r>
      <w:r w:rsidRPr="00D62C10">
        <w:rPr>
          <w:rFonts w:cs="Arial"/>
          <w:sz w:val="16"/>
          <w:szCs w:val="16"/>
          <w:rtl/>
        </w:rPr>
        <w:t xml:space="preserve"> ד"ה דילמא אקנויי)</w:t>
      </w:r>
      <w:r w:rsidRPr="00406E46">
        <w:rPr>
          <w:rFonts w:cs="Arial"/>
          <w:rtl/>
        </w:rPr>
        <w:t xml:space="preserve"> </w:t>
      </w:r>
      <w:r>
        <w:rPr>
          <w:rFonts w:cs="Arial" w:hint="cs"/>
          <w:rtl/>
        </w:rPr>
        <w:t xml:space="preserve">מרדכי </w:t>
      </w:r>
      <w:r>
        <w:rPr>
          <w:rFonts w:cs="Arial" w:hint="cs"/>
          <w:sz w:val="16"/>
          <w:szCs w:val="16"/>
          <w:rtl/>
        </w:rPr>
        <w:t>(גיטין סי' תנב)</w:t>
      </w:r>
      <w:r>
        <w:rPr>
          <w:rFonts w:cs="Arial" w:hint="cs"/>
          <w:rtl/>
        </w:rPr>
        <w:t xml:space="preserve"> </w:t>
      </w:r>
      <w:r w:rsidRPr="00030323">
        <w:rPr>
          <w:rFonts w:cs="Arial"/>
          <w:rtl/>
        </w:rPr>
        <w:t>ר</w:t>
      </w:r>
      <w:r>
        <w:rPr>
          <w:rFonts w:cs="Arial" w:hint="cs"/>
          <w:rtl/>
        </w:rPr>
        <w:t xml:space="preserve">י"ו </w:t>
      </w:r>
      <w:r w:rsidRPr="00263A5E">
        <w:rPr>
          <w:rFonts w:cs="Arial" w:hint="cs"/>
          <w:sz w:val="16"/>
          <w:szCs w:val="16"/>
          <w:rtl/>
        </w:rPr>
        <w:t>(</w:t>
      </w:r>
      <w:r w:rsidRPr="00263A5E">
        <w:rPr>
          <w:rFonts w:cs="Arial"/>
          <w:sz w:val="16"/>
          <w:szCs w:val="16"/>
          <w:rtl/>
        </w:rPr>
        <w:t>ח</w:t>
      </w:r>
      <w:r w:rsidRPr="00263A5E">
        <w:rPr>
          <w:rFonts w:cs="Arial" w:hint="cs"/>
          <w:sz w:val="16"/>
          <w:szCs w:val="16"/>
          <w:rtl/>
        </w:rPr>
        <w:t>"</w:t>
      </w:r>
      <w:r w:rsidRPr="00263A5E">
        <w:rPr>
          <w:rFonts w:cs="Arial"/>
          <w:sz w:val="16"/>
          <w:szCs w:val="16"/>
          <w:rtl/>
        </w:rPr>
        <w:t>ב נכ"ד רד ע"א, ב)</w:t>
      </w:r>
      <w:r>
        <w:rPr>
          <w:rFonts w:cs="Arial" w:hint="cs"/>
          <w:rtl/>
        </w:rPr>
        <w:t xml:space="preserve"> ו</w:t>
      </w:r>
      <w:r w:rsidRPr="00030323">
        <w:rPr>
          <w:rFonts w:cs="Arial"/>
          <w:rtl/>
        </w:rPr>
        <w:t xml:space="preserve">ר"ן </w:t>
      </w:r>
      <w:r w:rsidRPr="00406E46">
        <w:rPr>
          <w:rFonts w:cs="Arial"/>
          <w:sz w:val="16"/>
          <w:szCs w:val="16"/>
          <w:rtl/>
        </w:rPr>
        <w:t>(</w:t>
      </w:r>
      <w:r>
        <w:rPr>
          <w:rFonts w:cs="Arial" w:hint="cs"/>
          <w:sz w:val="16"/>
          <w:szCs w:val="16"/>
          <w:rtl/>
        </w:rPr>
        <w:t xml:space="preserve">גיטין </w:t>
      </w:r>
      <w:r w:rsidRPr="00406E46">
        <w:rPr>
          <w:rFonts w:cs="Arial"/>
          <w:sz w:val="16"/>
          <w:szCs w:val="16"/>
          <w:rtl/>
        </w:rPr>
        <w:t>ט: ד"ה וגרסינן תו. ובחיד</w:t>
      </w:r>
      <w:r>
        <w:rPr>
          <w:rFonts w:cs="Arial" w:hint="cs"/>
          <w:sz w:val="16"/>
          <w:szCs w:val="16"/>
          <w:rtl/>
        </w:rPr>
        <w:t>'</w:t>
      </w:r>
      <w:r w:rsidRPr="00406E46">
        <w:rPr>
          <w:rFonts w:cs="Arial"/>
          <w:sz w:val="16"/>
          <w:szCs w:val="16"/>
          <w:rtl/>
        </w:rPr>
        <w:t xml:space="preserve"> כ. ד"ה דלמא)</w:t>
      </w:r>
      <w:r>
        <w:rPr>
          <w:rFonts w:hint="cs"/>
          <w:rtl/>
        </w:rPr>
        <w:t>.</w:t>
      </w:r>
    </w:p>
  </w:footnote>
  <w:footnote w:id="101">
    <w:p w14:paraId="4074E445" w14:textId="564B8714" w:rsidR="00403A76" w:rsidRDefault="00403A76">
      <w:pPr>
        <w:pStyle w:val="a5"/>
        <w:rPr>
          <w:rtl/>
        </w:rPr>
      </w:pPr>
      <w:r>
        <w:rPr>
          <w:rStyle w:val="a7"/>
        </w:rPr>
        <w:footnoteRef/>
      </w:r>
      <w:r>
        <w:rPr>
          <w:rtl/>
        </w:rPr>
        <w:t xml:space="preserve"> </w:t>
      </w:r>
      <w:r w:rsidRPr="00030323">
        <w:rPr>
          <w:rFonts w:cs="Arial"/>
          <w:rtl/>
        </w:rPr>
        <w:t>כדאיתא בהלכות הגט דמרדכי (סי' תנב) זה לשו</w:t>
      </w:r>
      <w:r>
        <w:rPr>
          <w:rFonts w:cs="Arial" w:hint="cs"/>
          <w:rtl/>
        </w:rPr>
        <w:t>נו</w:t>
      </w:r>
      <w:r w:rsidR="00785CF1">
        <w:rPr>
          <w:rFonts w:cs="Arial" w:hint="cs"/>
          <w:rtl/>
        </w:rPr>
        <w:t>:</w:t>
      </w:r>
      <w:r>
        <w:rPr>
          <w:rFonts w:cs="Arial" w:hint="cs"/>
          <w:rtl/>
        </w:rPr>
        <w:t xml:space="preserve"> </w:t>
      </w:r>
      <w:r w:rsidRPr="00030323">
        <w:rPr>
          <w:rFonts w:cs="Arial"/>
          <w:rtl/>
        </w:rPr>
        <w:t>ואם הקולמוס של אחרים אין פסול בכך</w:t>
      </w:r>
      <w:r>
        <w:rPr>
          <w:rFonts w:cs="Arial" w:hint="cs"/>
          <w:rtl/>
        </w:rPr>
        <w:t>.</w:t>
      </w:r>
      <w:r w:rsidRPr="00030323">
        <w:rPr>
          <w:rFonts w:cs="Arial"/>
          <w:rtl/>
        </w:rPr>
        <w:t xml:space="preserve"> גם בקונטריסים (סי' א סעיף א) כתב ולכולי עלמא בדיעבד כשר</w:t>
      </w:r>
      <w:r>
        <w:rPr>
          <w:rFonts w:cs="Arial" w:hint="cs"/>
          <w:rtl/>
        </w:rPr>
        <w:t>.</w:t>
      </w:r>
      <w:r w:rsidRPr="00030323">
        <w:rPr>
          <w:rFonts w:cs="Arial"/>
          <w:rtl/>
        </w:rPr>
        <w:t xml:space="preserve"> ולפחות קאי אמסירת קולמוס</w:t>
      </w:r>
      <w:r>
        <w:rPr>
          <w:rFonts w:hint="cs"/>
          <w:rtl/>
        </w:rPr>
        <w:t>, ב"י.</w:t>
      </w:r>
    </w:p>
  </w:footnote>
  <w:footnote w:id="102">
    <w:p w14:paraId="47E56209" w14:textId="5BC48C49" w:rsidR="00403A76" w:rsidRPr="00AE09E8" w:rsidRDefault="00403A76">
      <w:pPr>
        <w:pStyle w:val="a5"/>
        <w:rPr>
          <w:sz w:val="16"/>
          <w:szCs w:val="16"/>
        </w:rPr>
      </w:pPr>
      <w:r>
        <w:rPr>
          <w:rStyle w:val="a7"/>
        </w:rPr>
        <w:footnoteRef/>
      </w:r>
      <w:r>
        <w:rPr>
          <w:rtl/>
        </w:rPr>
        <w:t xml:space="preserve"> </w:t>
      </w:r>
      <w:r w:rsidRPr="006541C4">
        <w:rPr>
          <w:rFonts w:cs="Arial"/>
          <w:rtl/>
        </w:rPr>
        <w:t>יש לדון לדעת המצריכין להקנות אי פסול נמי הוי</w:t>
      </w:r>
      <w:r w:rsidRPr="006541C4">
        <w:rPr>
          <w:rFonts w:cs="Arial" w:hint="cs"/>
          <w:rtl/>
        </w:rPr>
        <w:t>.</w:t>
      </w:r>
      <w:r w:rsidRPr="006541C4">
        <w:rPr>
          <w:rFonts w:cs="Arial"/>
          <w:rtl/>
        </w:rPr>
        <w:t xml:space="preserve"> דמדכתב בהלכות הגט דמרדכי </w:t>
      </w:r>
      <w:r w:rsidRPr="006541C4">
        <w:rPr>
          <w:rFonts w:cs="Arial" w:hint="cs"/>
          <w:rtl/>
        </w:rPr>
        <w:t>'</w:t>
      </w:r>
      <w:r w:rsidRPr="006541C4">
        <w:rPr>
          <w:rFonts w:cs="Arial"/>
          <w:rtl/>
        </w:rPr>
        <w:t>ואם הקולמוס של אחרים אין פסול בכך</w:t>
      </w:r>
      <w:r w:rsidRPr="006541C4">
        <w:rPr>
          <w:rFonts w:cs="Arial" w:hint="cs"/>
          <w:rtl/>
        </w:rPr>
        <w:t>',</w:t>
      </w:r>
      <w:r w:rsidRPr="006541C4">
        <w:rPr>
          <w:rFonts w:cs="Arial"/>
          <w:rtl/>
        </w:rPr>
        <w:t xml:space="preserve"> משמע דוקא קולמוס דאין כאן חסרון הניכר</w:t>
      </w:r>
      <w:r w:rsidRPr="006541C4">
        <w:rPr>
          <w:rFonts w:cs="Arial" w:hint="cs"/>
          <w:rtl/>
        </w:rPr>
        <w:t>,</w:t>
      </w:r>
      <w:r w:rsidRPr="006541C4">
        <w:rPr>
          <w:rFonts w:cs="Arial"/>
          <w:rtl/>
        </w:rPr>
        <w:t xml:space="preserve"> אבל אם קלף ודיו של אחרים פסול</w:t>
      </w:r>
      <w:r w:rsidRPr="006541C4">
        <w:rPr>
          <w:rFonts w:cs="Arial" w:hint="cs"/>
          <w:rtl/>
        </w:rPr>
        <w:t>.</w:t>
      </w:r>
      <w:r w:rsidRPr="006541C4">
        <w:rPr>
          <w:rFonts w:cs="Arial"/>
          <w:rtl/>
        </w:rPr>
        <w:t xml:space="preserve"> וכן משמע מדברי סמ"ג (שם) והתרומה (סי' קי כט ע"ב) והגה</w:t>
      </w:r>
      <w:r w:rsidRPr="006541C4">
        <w:rPr>
          <w:rFonts w:cs="Arial" w:hint="cs"/>
          <w:rtl/>
        </w:rPr>
        <w:t>"</w:t>
      </w:r>
      <w:r w:rsidRPr="006541C4">
        <w:rPr>
          <w:rFonts w:cs="Arial"/>
          <w:rtl/>
        </w:rPr>
        <w:t xml:space="preserve">מ </w:t>
      </w:r>
      <w:r>
        <w:rPr>
          <w:rFonts w:cs="Arial" w:hint="cs"/>
          <w:rtl/>
        </w:rPr>
        <w:t>(</w:t>
      </w:r>
      <w:r w:rsidRPr="006541C4">
        <w:rPr>
          <w:rFonts w:cs="Arial"/>
          <w:rtl/>
        </w:rPr>
        <w:t>פ</w:t>
      </w:r>
      <w:r>
        <w:rPr>
          <w:rFonts w:cs="Arial" w:hint="cs"/>
          <w:rtl/>
        </w:rPr>
        <w:t>"</w:t>
      </w:r>
      <w:r w:rsidRPr="006541C4">
        <w:rPr>
          <w:rFonts w:cs="Arial"/>
          <w:rtl/>
        </w:rPr>
        <w:t>ג ה"ז דפוס קושטא) בשם סמ"ג והלכות הגט דמרדכי (שם)</w:t>
      </w:r>
      <w:r w:rsidRPr="006541C4">
        <w:rPr>
          <w:rFonts w:cs="Arial" w:hint="cs"/>
          <w:rtl/>
        </w:rPr>
        <w:t>,</w:t>
      </w:r>
      <w:r w:rsidRPr="006541C4">
        <w:rPr>
          <w:rFonts w:cs="Arial"/>
          <w:rtl/>
        </w:rPr>
        <w:t xml:space="preserve"> שכתבו שהוא הדין אם כתבו הסופר במצות הבעל שהוא כשר ובלבד שיתננו אחר כך לבעל להיות שלו כדמשמע בגמרא (כ.) אבל יותר טוב ליתנו לבעל תחלה כדי שלא ישכח הסופר ליתנו אחר כך לבעל עכ"ל</w:t>
      </w:r>
      <w:r w:rsidRPr="006541C4">
        <w:rPr>
          <w:rFonts w:cs="Arial" w:hint="cs"/>
          <w:rtl/>
        </w:rPr>
        <w:t>.</w:t>
      </w:r>
      <w:r w:rsidRPr="006541C4">
        <w:rPr>
          <w:rFonts w:cs="Arial"/>
          <w:rtl/>
        </w:rPr>
        <w:t xml:space="preserve"> משמע שאם לא מסר הקלף והדיו</w:t>
      </w:r>
      <w:r>
        <w:rPr>
          <w:rFonts w:cs="Arial" w:hint="cs"/>
          <w:rtl/>
        </w:rPr>
        <w:t xml:space="preserve"> -...</w:t>
      </w:r>
      <w:r>
        <w:rPr>
          <w:rFonts w:hint="cs"/>
          <w:sz w:val="16"/>
          <w:szCs w:val="16"/>
          <w:rtl/>
        </w:rPr>
        <w:t xml:space="preserve"> (ל' הב"י)</w:t>
      </w:r>
    </w:p>
  </w:footnote>
  <w:footnote w:id="103">
    <w:p w14:paraId="0F6CB98A" w14:textId="77777777" w:rsidR="00403A76" w:rsidRDefault="00403A76" w:rsidP="00AE09E8">
      <w:pPr>
        <w:pStyle w:val="a5"/>
      </w:pPr>
      <w:r>
        <w:rPr>
          <w:rStyle w:val="a7"/>
        </w:rPr>
        <w:footnoteRef/>
      </w:r>
      <w:r>
        <w:rPr>
          <w:rtl/>
        </w:rPr>
        <w:t xml:space="preserve"> </w:t>
      </w:r>
      <w:r w:rsidRPr="00BA15E7">
        <w:rPr>
          <w:rFonts w:cs="Arial"/>
          <w:rtl/>
        </w:rPr>
        <w:t>מה שכתב אם לא מסרו קודם כתיבה יכול לתנו לאחר כתיבה קודם הנתינה כן כתב הר"ן</w:t>
      </w:r>
      <w:r>
        <w:rPr>
          <w:rFonts w:cs="Arial" w:hint="cs"/>
          <w:rtl/>
        </w:rPr>
        <w:t xml:space="preserve">, דרכ"מ </w:t>
      </w:r>
      <w:r w:rsidRPr="00BA15E7">
        <w:rPr>
          <w:rFonts w:cs="Arial"/>
          <w:rtl/>
        </w:rPr>
        <w:t>(</w:t>
      </w:r>
      <w:r>
        <w:rPr>
          <w:rFonts w:cs="Arial" w:hint="cs"/>
          <w:rtl/>
        </w:rPr>
        <w:t xml:space="preserve">אות </w:t>
      </w:r>
      <w:r w:rsidRPr="00BA15E7">
        <w:rPr>
          <w:rFonts w:cs="Arial"/>
          <w:rtl/>
        </w:rPr>
        <w:t>א***)</w:t>
      </w:r>
      <w:r>
        <w:rPr>
          <w:rFonts w:cs="Arial" w:hint="cs"/>
          <w:rtl/>
        </w:rPr>
        <w:t>.</w:t>
      </w:r>
    </w:p>
  </w:footnote>
  <w:footnote w:id="104">
    <w:p w14:paraId="7352ADF3" w14:textId="20CBFBE5" w:rsidR="00403A76" w:rsidRPr="004B236A" w:rsidRDefault="00403A76" w:rsidP="004B236A">
      <w:pPr>
        <w:pStyle w:val="a5"/>
        <w:rPr>
          <w:rFonts w:cs="Arial"/>
          <w:rtl/>
        </w:rPr>
      </w:pPr>
      <w:r>
        <w:rPr>
          <w:rStyle w:val="a7"/>
        </w:rPr>
        <w:footnoteRef/>
      </w:r>
      <w:r>
        <w:rPr>
          <w:rtl/>
        </w:rPr>
        <w:t xml:space="preserve"> </w:t>
      </w:r>
      <w:r w:rsidRPr="00030323">
        <w:rPr>
          <w:rFonts w:cs="Arial"/>
          <w:rtl/>
        </w:rPr>
        <w:t>והרא"ש כתב בסדר הגט (שם) והסופר יתן הקלף והדיו במתנה לבעל דבעינן וכתב ונתן שיהא הגט שלו עכ"ל</w:t>
      </w:r>
      <w:r>
        <w:rPr>
          <w:rFonts w:cs="Arial" w:hint="cs"/>
          <w:rtl/>
        </w:rPr>
        <w:t>.</w:t>
      </w:r>
      <w:r w:rsidRPr="00030323">
        <w:rPr>
          <w:rFonts w:cs="Arial"/>
          <w:rtl/>
        </w:rPr>
        <w:t xml:space="preserve"> כלומר כדרך בני אדם</w:t>
      </w:r>
      <w:r>
        <w:rPr>
          <w:rFonts w:cs="Arial" w:hint="cs"/>
          <w:rtl/>
        </w:rPr>
        <w:t>,</w:t>
      </w:r>
      <w:r w:rsidRPr="00030323">
        <w:rPr>
          <w:rFonts w:cs="Arial"/>
          <w:rtl/>
        </w:rPr>
        <w:t xml:space="preserve"> שכותבין בדבר שהוא שלהם</w:t>
      </w:r>
      <w:r>
        <w:rPr>
          <w:rFonts w:cs="Arial" w:hint="cs"/>
          <w:rtl/>
        </w:rPr>
        <w:t>.</w:t>
      </w:r>
      <w:r w:rsidRPr="00030323">
        <w:rPr>
          <w:rFonts w:cs="Arial"/>
          <w:rtl/>
        </w:rPr>
        <w:t xml:space="preserve"> וגם לא שייך נתינה אלא בדבר שהוא שלו.</w:t>
      </w:r>
      <w:r w:rsidR="004B236A" w:rsidRPr="004B236A">
        <w:rPr>
          <w:rtl/>
        </w:rPr>
        <w:t xml:space="preserve"> </w:t>
      </w:r>
      <w:r w:rsidR="004B236A" w:rsidRPr="004B236A">
        <w:rPr>
          <w:rFonts w:cs="Arial"/>
          <w:rtl/>
        </w:rPr>
        <w:t>ובקונטריסים (שם) כתוב צריך שיהיה הדיו והקלף משל הבעל שלא יהא גזל</w:t>
      </w:r>
      <w:r w:rsidR="004B236A">
        <w:rPr>
          <w:rFonts w:cs="Arial" w:hint="cs"/>
          <w:rtl/>
        </w:rPr>
        <w:t>.</w:t>
      </w:r>
      <w:r w:rsidR="004B236A" w:rsidRPr="004B236A">
        <w:rPr>
          <w:rFonts w:cs="Arial"/>
          <w:rtl/>
        </w:rPr>
        <w:t xml:space="preserve"> ולא דק</w:t>
      </w:r>
      <w:r w:rsidR="004B236A">
        <w:rPr>
          <w:rFonts w:cs="Arial" w:hint="cs"/>
          <w:rtl/>
        </w:rPr>
        <w:t>,</w:t>
      </w:r>
      <w:r w:rsidR="004B236A" w:rsidRPr="004B236A">
        <w:rPr>
          <w:rFonts w:cs="Arial"/>
          <w:rtl/>
        </w:rPr>
        <w:t xml:space="preserve"> דאם גזל הנייר וכתב הגט</w:t>
      </w:r>
      <w:r w:rsidR="004B236A">
        <w:rPr>
          <w:rFonts w:cs="Arial" w:hint="cs"/>
          <w:rtl/>
        </w:rPr>
        <w:t>,</w:t>
      </w:r>
      <w:r w:rsidR="004B236A" w:rsidRPr="004B236A">
        <w:rPr>
          <w:rFonts w:cs="Arial"/>
          <w:rtl/>
        </w:rPr>
        <w:t xml:space="preserve"> כשר הוא</w:t>
      </w:r>
      <w:r w:rsidR="004B236A">
        <w:rPr>
          <w:rFonts w:cs="Arial" w:hint="cs"/>
          <w:rtl/>
        </w:rPr>
        <w:t>,</w:t>
      </w:r>
      <w:r w:rsidR="004B236A" w:rsidRPr="004B236A">
        <w:rPr>
          <w:rFonts w:cs="Arial"/>
          <w:rtl/>
        </w:rPr>
        <w:t xml:space="preserve"> כמו שכתב רבינו בסמוך בשם הרמ"ה</w:t>
      </w:r>
      <w:r w:rsidR="004B236A">
        <w:rPr>
          <w:rFonts w:cs="Arial" w:hint="cs"/>
          <w:rtl/>
        </w:rPr>
        <w:t>.</w:t>
      </w:r>
      <w:r w:rsidR="004B236A" w:rsidRPr="004B236A">
        <w:rPr>
          <w:rFonts w:cs="Arial"/>
          <w:rtl/>
        </w:rPr>
        <w:t xml:space="preserve"> ואם הסופר כותבו ואח</w:t>
      </w:r>
      <w:r w:rsidR="004B236A">
        <w:rPr>
          <w:rFonts w:cs="Arial" w:hint="cs"/>
          <w:rtl/>
        </w:rPr>
        <w:t>"</w:t>
      </w:r>
      <w:r w:rsidR="004B236A" w:rsidRPr="004B236A">
        <w:rPr>
          <w:rFonts w:cs="Arial"/>
          <w:rtl/>
        </w:rPr>
        <w:t>כ נותנו לבעל אע</w:t>
      </w:r>
      <w:r w:rsidR="004B236A">
        <w:rPr>
          <w:rFonts w:cs="Arial" w:hint="cs"/>
          <w:rtl/>
        </w:rPr>
        <w:t>"</w:t>
      </w:r>
      <w:r w:rsidR="004B236A" w:rsidRPr="004B236A">
        <w:rPr>
          <w:rFonts w:cs="Arial"/>
          <w:rtl/>
        </w:rPr>
        <w:t>ג דלא אקני ליה בהדיא ליכא משום גזל</w:t>
      </w:r>
      <w:r w:rsidR="004B236A">
        <w:rPr>
          <w:rFonts w:cs="Arial" w:hint="cs"/>
          <w:rtl/>
        </w:rPr>
        <w:t>,</w:t>
      </w:r>
      <w:r w:rsidR="004B236A" w:rsidRPr="004B236A">
        <w:rPr>
          <w:rFonts w:cs="Arial"/>
          <w:rtl/>
        </w:rPr>
        <w:t xml:space="preserve"> דהא לא גזל מיניה מידי שלא ברצונו</w:t>
      </w:r>
      <w:r w:rsidR="004B236A">
        <w:rPr>
          <w:rFonts w:cs="Arial" w:hint="cs"/>
          <w:rtl/>
        </w:rPr>
        <w:t>.</w:t>
      </w:r>
      <w:r w:rsidR="004B236A" w:rsidRPr="004B236A">
        <w:rPr>
          <w:rFonts w:cs="Arial"/>
          <w:rtl/>
        </w:rPr>
        <w:t xml:space="preserve"> אלא הטעם כדברי הרא"ש (שם) דבעינן שיהא הגט שלו</w:t>
      </w:r>
      <w:r w:rsidR="004B236A">
        <w:rPr>
          <w:rFonts w:cs="Arial" w:hint="cs"/>
          <w:rtl/>
        </w:rPr>
        <w:t>,</w:t>
      </w:r>
      <w:r w:rsidR="004B236A" w:rsidRPr="004B236A">
        <w:rPr>
          <w:rFonts w:cs="Arial"/>
          <w:rtl/>
        </w:rPr>
        <w:t xml:space="preserve"> וכל שלא הקנהו בהדיא אע</w:t>
      </w:r>
      <w:r w:rsidR="004B236A">
        <w:rPr>
          <w:rFonts w:cs="Arial" w:hint="cs"/>
          <w:rtl/>
        </w:rPr>
        <w:t>"</w:t>
      </w:r>
      <w:r w:rsidR="004B236A" w:rsidRPr="004B236A">
        <w:rPr>
          <w:rFonts w:cs="Arial"/>
          <w:rtl/>
        </w:rPr>
        <w:t>פ שאינו גזל מכל מקום לא הוי שלו</w:t>
      </w:r>
      <w:r w:rsidR="004B236A">
        <w:rPr>
          <w:rFonts w:cs="Arial" w:hint="cs"/>
          <w:rtl/>
        </w:rPr>
        <w:t>.</w:t>
      </w:r>
      <w:r w:rsidRPr="00030323">
        <w:rPr>
          <w:rFonts w:cs="Arial"/>
          <w:rtl/>
        </w:rPr>
        <w:t xml:space="preserve"> ולפי זה אפשר דלכולי עלמא בעינן שיתן אח"כ הסופר הגט במתנה לבעל</w:t>
      </w:r>
      <w:r>
        <w:rPr>
          <w:rFonts w:cs="Arial" w:hint="cs"/>
          <w:rtl/>
        </w:rPr>
        <w:t>,</w:t>
      </w:r>
      <w:r w:rsidRPr="00030323">
        <w:rPr>
          <w:rFonts w:cs="Arial"/>
          <w:rtl/>
        </w:rPr>
        <w:t xml:space="preserve"> ואם לא נתנו פסול</w:t>
      </w:r>
      <w:r>
        <w:rPr>
          <w:rFonts w:cs="Arial" w:hint="cs"/>
          <w:rtl/>
        </w:rPr>
        <w:t>.</w:t>
      </w:r>
      <w:r w:rsidRPr="00030323">
        <w:rPr>
          <w:rFonts w:cs="Arial"/>
          <w:rtl/>
        </w:rPr>
        <w:t xml:space="preserve"> מיהו המצריכים חשו שמא לא ימסרנו אחר כך</w:t>
      </w:r>
      <w:r>
        <w:rPr>
          <w:rFonts w:cs="Arial" w:hint="cs"/>
          <w:rtl/>
        </w:rPr>
        <w:t>,</w:t>
      </w:r>
      <w:r w:rsidRPr="00030323">
        <w:rPr>
          <w:rFonts w:cs="Arial"/>
          <w:rtl/>
        </w:rPr>
        <w:t xml:space="preserve"> ולפיכך הצריכו למסור קלף ודיו מעיקרא</w:t>
      </w:r>
      <w:r>
        <w:rPr>
          <w:rFonts w:cs="Arial" w:hint="cs"/>
          <w:rtl/>
        </w:rPr>
        <w:t>.</w:t>
      </w:r>
      <w:r w:rsidRPr="00030323">
        <w:rPr>
          <w:rFonts w:cs="Arial"/>
          <w:rtl/>
        </w:rPr>
        <w:t xml:space="preserve"> ושאינן מצריכים לא חשו לכך</w:t>
      </w:r>
      <w:r>
        <w:rPr>
          <w:rFonts w:cs="Arial" w:hint="cs"/>
          <w:rtl/>
        </w:rPr>
        <w:t>,</w:t>
      </w:r>
      <w:r w:rsidRPr="00030323">
        <w:rPr>
          <w:rFonts w:cs="Arial"/>
          <w:rtl/>
        </w:rPr>
        <w:t xml:space="preserve"> אבל מכל מקום נתינה בעי</w:t>
      </w:r>
      <w:r>
        <w:rPr>
          <w:rFonts w:cs="Arial" w:hint="cs"/>
          <w:rtl/>
        </w:rPr>
        <w:t>.</w:t>
      </w:r>
      <w:r w:rsidRPr="00030323">
        <w:rPr>
          <w:rFonts w:cs="Arial"/>
          <w:rtl/>
        </w:rPr>
        <w:t xml:space="preserve"> כך היה נראה לכאורה</w:t>
      </w:r>
      <w:r>
        <w:rPr>
          <w:rFonts w:cs="Arial" w:hint="cs"/>
          <w:rtl/>
        </w:rPr>
        <w:t>.</w:t>
      </w:r>
      <w:r w:rsidRPr="00030323">
        <w:rPr>
          <w:rFonts w:cs="Arial"/>
          <w:rtl/>
        </w:rPr>
        <w:t xml:space="preserve"> אלא שלא מצאתי בדברי הרמב"ם שום גילוי לומר שצריך שיתננו הסופר לבעל</w:t>
      </w:r>
      <w:r>
        <w:rPr>
          <w:rFonts w:cs="Arial" w:hint="cs"/>
          <w:rtl/>
        </w:rPr>
        <w:t>.</w:t>
      </w:r>
      <w:r w:rsidRPr="00030323">
        <w:rPr>
          <w:rFonts w:cs="Arial"/>
          <w:rtl/>
        </w:rPr>
        <w:t xml:space="preserve"> וגם לסברת אחרים שהזכיר הר"ן (שם) אין צריך הסופר ליתן לבעל בהדיא לא קלף ולא דיו</w:t>
      </w:r>
      <w:r>
        <w:rPr>
          <w:rFonts w:cs="Arial" w:hint="cs"/>
          <w:rtl/>
        </w:rPr>
        <w:t>,</w:t>
      </w:r>
      <w:r w:rsidRPr="00030323">
        <w:rPr>
          <w:rFonts w:cs="Arial"/>
          <w:rtl/>
        </w:rPr>
        <w:t xml:space="preserve"> דבההוא זוזא אקנו ליה רבנן קלף ודיו ושכר סופר</w:t>
      </w:r>
      <w:r>
        <w:rPr>
          <w:rFonts w:cs="Arial" w:hint="cs"/>
          <w:rtl/>
        </w:rPr>
        <w:t>.</w:t>
      </w:r>
      <w:r w:rsidRPr="00030323">
        <w:rPr>
          <w:rFonts w:cs="Arial"/>
          <w:rtl/>
        </w:rPr>
        <w:t xml:space="preserve"> וכל שכן כשהוא פורע לסופר שהכל נקנה לו</w:t>
      </w:r>
      <w:r>
        <w:rPr>
          <w:rFonts w:cs="Arial" w:hint="cs"/>
          <w:rtl/>
        </w:rPr>
        <w:t>.</w:t>
      </w:r>
      <w:r w:rsidRPr="00030323">
        <w:rPr>
          <w:rFonts w:cs="Arial"/>
          <w:rtl/>
        </w:rPr>
        <w:t xml:space="preserve"> ואין צריך להקנות בהדיא אלא כשהיא כותבת גיטה דוקא</w:t>
      </w:r>
      <w:r>
        <w:rPr>
          <w:rFonts w:cs="Arial" w:hint="cs"/>
          <w:rtl/>
        </w:rPr>
        <w:t>,</w:t>
      </w:r>
      <w:r w:rsidRPr="00030323">
        <w:rPr>
          <w:rFonts w:cs="Arial"/>
          <w:rtl/>
        </w:rPr>
        <w:t xml:space="preserve"> משום דבההוא לא תקינו רבנן מידי</w:t>
      </w:r>
      <w:r>
        <w:rPr>
          <w:rFonts w:hint="cs"/>
          <w:rtl/>
        </w:rPr>
        <w:t>, ב"י.</w:t>
      </w:r>
    </w:p>
  </w:footnote>
  <w:footnote w:id="105">
    <w:p w14:paraId="117539F8" w14:textId="4FB71C85" w:rsidR="00403A76" w:rsidRDefault="00403A76">
      <w:pPr>
        <w:pStyle w:val="a5"/>
      </w:pPr>
      <w:r>
        <w:rPr>
          <w:rStyle w:val="a7"/>
        </w:rPr>
        <w:footnoteRef/>
      </w:r>
      <w:r w:rsidRPr="00BA15E7">
        <w:rPr>
          <w:rFonts w:cs="Arial"/>
          <w:rtl/>
        </w:rPr>
        <w:t xml:space="preserve"> ובבנימין זאב סימן קי"ח (סי' קיט אות ד מהדורת י - ם) כתב דהוא הדין שאר כלי הכתיבה</w:t>
      </w:r>
      <w:r>
        <w:rPr>
          <w:rFonts w:cs="Arial" w:hint="cs"/>
          <w:rtl/>
        </w:rPr>
        <w:t>,</w:t>
      </w:r>
      <w:r w:rsidRPr="00BA15E7">
        <w:rPr>
          <w:rFonts w:cs="Arial"/>
          <w:rtl/>
        </w:rPr>
        <w:t xml:space="preserve"> וכן נוהגין</w:t>
      </w:r>
      <w:r>
        <w:rPr>
          <w:rFonts w:cs="Arial" w:hint="cs"/>
          <w:rtl/>
        </w:rPr>
        <w:t xml:space="preserve">. </w:t>
      </w:r>
      <w:r w:rsidRPr="00302EC4">
        <w:rPr>
          <w:rFonts w:cs="Arial" w:hint="cs"/>
          <w:color w:val="00B0F0"/>
          <w:rtl/>
        </w:rPr>
        <w:t xml:space="preserve">(וכ"כ </w:t>
      </w:r>
      <w:r>
        <w:rPr>
          <w:rFonts w:cs="Arial" w:hint="cs"/>
          <w:color w:val="00B0F0"/>
          <w:rtl/>
        </w:rPr>
        <w:t>בהג</w:t>
      </w:r>
      <w:r w:rsidRPr="00302EC4">
        <w:rPr>
          <w:rFonts w:cs="Arial" w:hint="cs"/>
          <w:color w:val="00B0F0"/>
          <w:rtl/>
        </w:rPr>
        <w:t>"</w:t>
      </w:r>
      <w:r>
        <w:rPr>
          <w:rFonts w:cs="Arial" w:hint="cs"/>
          <w:color w:val="00B0F0"/>
          <w:rtl/>
        </w:rPr>
        <w:t>ה</w:t>
      </w:r>
      <w:r w:rsidRPr="00302EC4">
        <w:rPr>
          <w:rFonts w:cs="Arial" w:hint="cs"/>
          <w:color w:val="00B0F0"/>
          <w:rtl/>
        </w:rPr>
        <w:t>)</w:t>
      </w:r>
      <w:r>
        <w:rPr>
          <w:rFonts w:cs="Arial" w:hint="cs"/>
          <w:rtl/>
        </w:rPr>
        <w:t>.</w:t>
      </w:r>
      <w:r w:rsidRPr="00BA15E7">
        <w:rPr>
          <w:rFonts w:cs="Arial"/>
          <w:rtl/>
        </w:rPr>
        <w:t xml:space="preserve"> וכתב עוד דיגביהם הבעל טפח לקנותן בהגבהה</w:t>
      </w:r>
      <w:r>
        <w:rPr>
          <w:rFonts w:cs="Arial" w:hint="cs"/>
          <w:rtl/>
        </w:rPr>
        <w:t>.</w:t>
      </w:r>
      <w:r w:rsidRPr="00BA15E7">
        <w:rPr>
          <w:rFonts w:cs="Arial"/>
          <w:rtl/>
        </w:rPr>
        <w:t xml:space="preserve"> וכתב בית יוסף וכן נוהגין. מצאתי כתוב בתיקון גיטין דהבעל יתן בעצמו לסופר הדברים הנ"ל ולא יתנם לו על ידי אחר</w:t>
      </w:r>
      <w:r>
        <w:rPr>
          <w:rFonts w:cs="Arial" w:hint="cs"/>
          <w:rtl/>
        </w:rPr>
        <w:t>, דרכ"מ (אות א).</w:t>
      </w:r>
    </w:p>
  </w:footnote>
  <w:footnote w:id="106">
    <w:p w14:paraId="2152CB3C" w14:textId="2ACA3A1F" w:rsidR="00403A76" w:rsidRDefault="00403A76" w:rsidP="000B7689">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CF4C18">
        <w:rPr>
          <w:rFonts w:cs="Arial"/>
          <w:rtl/>
        </w:rPr>
        <w:t>ואין לבעל למסור הקלף והקולמוס לידם כ"א במקום שהוא עצמו נותנו מידו לידה אבל היכא דאמר לג' והן שלוחין שלו הרי הן במקומו ואפילו במסירת קולמוס והקלף והדיו איני יודע מנלן דהא תנן</w:t>
      </w:r>
      <w:r>
        <w:rPr>
          <w:rFonts w:hint="cs"/>
          <w:rtl/>
        </w:rPr>
        <w:t>...</w:t>
      </w:r>
    </w:p>
  </w:footnote>
  <w:footnote w:id="107">
    <w:p w14:paraId="004B767F" w14:textId="77777777" w:rsidR="00403A76" w:rsidRDefault="00403A76" w:rsidP="000B7689">
      <w:pPr>
        <w:pStyle w:val="a5"/>
      </w:pPr>
      <w:r>
        <w:rPr>
          <w:rStyle w:val="a7"/>
        </w:rPr>
        <w:footnoteRef/>
      </w:r>
      <w:r>
        <w:rPr>
          <w:rtl/>
        </w:rPr>
        <w:t xml:space="preserve"> </w:t>
      </w:r>
      <w:r w:rsidRPr="0000361F">
        <w:rPr>
          <w:rFonts w:cs="Arial"/>
          <w:rtl/>
        </w:rPr>
        <w:t>ואם תאמר מדברי הרמ"ה משמע שהאומר לסופר שיכתוב לו גט</w:t>
      </w:r>
      <w:r>
        <w:rPr>
          <w:rFonts w:cs="Arial" w:hint="cs"/>
          <w:rtl/>
        </w:rPr>
        <w:t>,</w:t>
      </w:r>
      <w:r w:rsidRPr="0000361F">
        <w:rPr>
          <w:rFonts w:cs="Arial"/>
          <w:rtl/>
        </w:rPr>
        <w:t xml:space="preserve"> צריך הסופר לזכות לו הנייר אע</w:t>
      </w:r>
      <w:r>
        <w:rPr>
          <w:rFonts w:cs="Arial" w:hint="cs"/>
          <w:rtl/>
        </w:rPr>
        <w:t>"</w:t>
      </w:r>
      <w:r w:rsidRPr="0000361F">
        <w:rPr>
          <w:rFonts w:cs="Arial"/>
          <w:rtl/>
        </w:rPr>
        <w:t>פ שאח</w:t>
      </w:r>
      <w:r>
        <w:rPr>
          <w:rFonts w:cs="Arial" w:hint="cs"/>
          <w:rtl/>
        </w:rPr>
        <w:t>"</w:t>
      </w:r>
      <w:r w:rsidRPr="0000361F">
        <w:rPr>
          <w:rFonts w:cs="Arial"/>
          <w:rtl/>
        </w:rPr>
        <w:t>כ נותנו בידו ומגרש בו</w:t>
      </w:r>
      <w:r>
        <w:rPr>
          <w:rFonts w:cs="Arial" w:hint="cs"/>
          <w:rtl/>
        </w:rPr>
        <w:t>.</w:t>
      </w:r>
      <w:r w:rsidRPr="0000361F">
        <w:rPr>
          <w:rFonts w:cs="Arial"/>
          <w:rtl/>
        </w:rPr>
        <w:t xml:space="preserve"> וכשצוה </w:t>
      </w:r>
      <w:r>
        <w:rPr>
          <w:rFonts w:cs="Arial" w:hint="cs"/>
          <w:sz w:val="16"/>
          <w:szCs w:val="16"/>
          <w:rtl/>
        </w:rPr>
        <w:t xml:space="preserve">{לעדים} </w:t>
      </w:r>
      <w:r w:rsidRPr="0000361F">
        <w:rPr>
          <w:rFonts w:cs="Arial"/>
          <w:rtl/>
        </w:rPr>
        <w:t>לגרש את אשתו כתב שאין צריך משום דהוה כמאן דיהבו לבעל</w:t>
      </w:r>
      <w:r>
        <w:rPr>
          <w:rFonts w:cs="Arial" w:hint="cs"/>
          <w:rtl/>
        </w:rPr>
        <w:t>.</w:t>
      </w:r>
      <w:r w:rsidRPr="0000361F">
        <w:rPr>
          <w:rFonts w:cs="Arial"/>
          <w:rtl/>
        </w:rPr>
        <w:t xml:space="preserve"> והלא ביהבו לבעל צריך לזכות</w:t>
      </w:r>
      <w:r>
        <w:rPr>
          <w:rFonts w:cs="Arial" w:hint="cs"/>
          <w:rtl/>
        </w:rPr>
        <w:t>.</w:t>
      </w:r>
      <w:r w:rsidRPr="0000361F">
        <w:rPr>
          <w:rFonts w:cs="Arial"/>
          <w:rtl/>
        </w:rPr>
        <w:t xml:space="preserve"> והאי דהוי כמאן דיהבו לבעל</w:t>
      </w:r>
      <w:r>
        <w:rPr>
          <w:rFonts w:cs="Arial" w:hint="cs"/>
          <w:rtl/>
        </w:rPr>
        <w:t>,</w:t>
      </w:r>
      <w:r w:rsidRPr="0000361F">
        <w:rPr>
          <w:rFonts w:cs="Arial"/>
          <w:rtl/>
        </w:rPr>
        <w:t xml:space="preserve"> אין צריך לזכות</w:t>
      </w:r>
      <w:r>
        <w:rPr>
          <w:rFonts w:cs="Arial" w:hint="cs"/>
          <w:rtl/>
        </w:rPr>
        <w:t>,</w:t>
      </w:r>
      <w:r w:rsidRPr="0000361F">
        <w:rPr>
          <w:rFonts w:cs="Arial"/>
          <w:rtl/>
        </w:rPr>
        <w:t xml:space="preserve"> וכי יציבא בארעא וכו' (עירובין ט.). ונראה לי דהכי קאמר</w:t>
      </w:r>
      <w:r>
        <w:rPr>
          <w:rFonts w:cs="Arial" w:hint="cs"/>
          <w:rtl/>
        </w:rPr>
        <w:t xml:space="preserve"> -</w:t>
      </w:r>
      <w:r w:rsidRPr="0000361F">
        <w:rPr>
          <w:rFonts w:cs="Arial"/>
          <w:rtl/>
        </w:rPr>
        <w:t xml:space="preserve"> דכמאן דיהבו לבעל ואקנו ליה בהדיא</w:t>
      </w:r>
      <w:r>
        <w:rPr>
          <w:rFonts w:cs="Arial" w:hint="cs"/>
          <w:rtl/>
        </w:rPr>
        <w:t>.</w:t>
      </w:r>
      <w:r w:rsidRPr="0000361F">
        <w:rPr>
          <w:rFonts w:cs="Arial"/>
          <w:rtl/>
        </w:rPr>
        <w:t xml:space="preserve"> דכיון דמזכו לאיתתא בשליחותיה</w:t>
      </w:r>
      <w:r>
        <w:rPr>
          <w:rFonts w:cs="Arial" w:hint="cs"/>
          <w:rtl/>
        </w:rPr>
        <w:t>,</w:t>
      </w:r>
      <w:r w:rsidRPr="0000361F">
        <w:rPr>
          <w:rFonts w:cs="Arial"/>
          <w:rtl/>
        </w:rPr>
        <w:t xml:space="preserve"> הוי כאילו אקנו לבעל בהדיא</w:t>
      </w:r>
      <w:r>
        <w:rPr>
          <w:rFonts w:cs="Arial" w:hint="cs"/>
          <w:rtl/>
        </w:rPr>
        <w:t>.</w:t>
      </w:r>
      <w:r w:rsidRPr="0000361F">
        <w:rPr>
          <w:rFonts w:cs="Arial"/>
          <w:rtl/>
        </w:rPr>
        <w:t xml:space="preserve"> ואפילו לסברא שנית שכתב הר"ן </w:t>
      </w:r>
      <w:r w:rsidRPr="00162742">
        <w:rPr>
          <w:rFonts w:cs="Arial"/>
          <w:sz w:val="16"/>
          <w:szCs w:val="16"/>
          <w:rtl/>
        </w:rPr>
        <w:t>(שם</w:t>
      </w:r>
      <w:r w:rsidRPr="00162742">
        <w:rPr>
          <w:rFonts w:cs="Arial" w:hint="cs"/>
          <w:sz w:val="16"/>
          <w:szCs w:val="16"/>
          <w:rtl/>
        </w:rPr>
        <w:t>,</w:t>
      </w:r>
      <w:r w:rsidRPr="00162742">
        <w:rPr>
          <w:rFonts w:cs="Arial"/>
          <w:sz w:val="16"/>
          <w:szCs w:val="16"/>
          <w:rtl/>
        </w:rPr>
        <w:t xml:space="preserve"> דיש שכתבו שאם הקלף הוא שלו שצריך שיזכה בו הבעל או שלוחו שאין הסופר זוכה לו במה שהוא שלו</w:t>
      </w:r>
      <w:r w:rsidRPr="00162742">
        <w:rPr>
          <w:rFonts w:cs="Arial" w:hint="cs"/>
          <w:sz w:val="16"/>
          <w:szCs w:val="16"/>
          <w:rtl/>
        </w:rPr>
        <w:t>)</w:t>
      </w:r>
      <w:r w:rsidRPr="0000361F">
        <w:rPr>
          <w:rFonts w:cs="Arial"/>
          <w:rtl/>
        </w:rPr>
        <w:t xml:space="preserve"> נראה דאיתיה לדין זה של הרמ"ה</w:t>
      </w:r>
      <w:r>
        <w:rPr>
          <w:rFonts w:cs="Arial" w:hint="cs"/>
          <w:rtl/>
        </w:rPr>
        <w:t>.</w:t>
      </w:r>
      <w:r w:rsidRPr="0000361F">
        <w:rPr>
          <w:rFonts w:cs="Arial"/>
          <w:rtl/>
        </w:rPr>
        <w:t xml:space="preserve"> דכיון דמזכו לאיתתא בשליחותיה</w:t>
      </w:r>
      <w:r>
        <w:rPr>
          <w:rFonts w:cs="Arial" w:hint="cs"/>
          <w:rtl/>
        </w:rPr>
        <w:t>,</w:t>
      </w:r>
      <w:r w:rsidRPr="0000361F">
        <w:rPr>
          <w:rFonts w:cs="Arial"/>
          <w:rtl/>
        </w:rPr>
        <w:t xml:space="preserve"> הוי כאילו יהבו לבעל ואקנו ליה</w:t>
      </w:r>
      <w:r>
        <w:rPr>
          <w:rFonts w:cs="Arial" w:hint="cs"/>
          <w:rtl/>
        </w:rPr>
        <w:t>, ב"י.</w:t>
      </w:r>
    </w:p>
  </w:footnote>
  <w:footnote w:id="108">
    <w:p w14:paraId="4D5731E4" w14:textId="7BFE5C70" w:rsidR="00403A76" w:rsidRDefault="00403A76">
      <w:pPr>
        <w:pStyle w:val="a5"/>
        <w:rPr>
          <w:rtl/>
        </w:rPr>
      </w:pPr>
      <w:r>
        <w:rPr>
          <w:rStyle w:val="a7"/>
        </w:rPr>
        <w:footnoteRef/>
      </w:r>
      <w:r>
        <w:rPr>
          <w:rtl/>
        </w:rPr>
        <w:t xml:space="preserve"> </w:t>
      </w:r>
      <w:r>
        <w:rPr>
          <w:rFonts w:hint="cs"/>
          <w:rtl/>
        </w:rPr>
        <w:t>וכתב הב"ש (סק"ב) ש</w:t>
      </w:r>
      <w:r w:rsidRPr="00AC20B9">
        <w:rPr>
          <w:rFonts w:cs="Arial"/>
          <w:rtl/>
        </w:rPr>
        <w:t>דחה</w:t>
      </w:r>
      <w:r>
        <w:rPr>
          <w:rFonts w:cs="Arial" w:hint="cs"/>
          <w:rtl/>
        </w:rPr>
        <w:t xml:space="preserve"> הרמ"ה בדבריו אלו את ראיות הרמב"ן, שיש לחלק בין שאמר 'כתבו גט' לבין שאמר 'כתבו ותנו גט'.</w:t>
      </w:r>
      <w:r w:rsidRPr="00AC20B9">
        <w:rPr>
          <w:rFonts w:cs="Arial"/>
          <w:rtl/>
        </w:rPr>
        <w:t xml:space="preserve"> </w:t>
      </w:r>
    </w:p>
  </w:footnote>
  <w:footnote w:id="109">
    <w:p w14:paraId="3EA33DA3" w14:textId="5EF964C8" w:rsidR="00403A76" w:rsidRDefault="00403A76">
      <w:pPr>
        <w:pStyle w:val="a5"/>
      </w:pPr>
      <w:r>
        <w:rPr>
          <w:rStyle w:val="a7"/>
        </w:rPr>
        <w:footnoteRef/>
      </w:r>
      <w:r>
        <w:rPr>
          <w:rtl/>
        </w:rPr>
        <w:t xml:space="preserve"> </w:t>
      </w:r>
      <w:r>
        <w:rPr>
          <w:rFonts w:hint="cs"/>
          <w:rtl/>
        </w:rPr>
        <w:t xml:space="preserve">וז"ל </w:t>
      </w:r>
      <w:r w:rsidRPr="006655B0">
        <w:rPr>
          <w:rFonts w:cs="Arial"/>
          <w:sz w:val="16"/>
          <w:szCs w:val="16"/>
          <w:rtl/>
        </w:rPr>
        <w:t>(</w:t>
      </w:r>
      <w:r>
        <w:rPr>
          <w:rFonts w:cs="Arial" w:hint="cs"/>
          <w:sz w:val="16"/>
          <w:szCs w:val="16"/>
          <w:rtl/>
        </w:rPr>
        <w:t>סי' קי כט ע"א, הובא במרדכי [גיטין סי' תרמה]</w:t>
      </w:r>
      <w:r w:rsidRPr="006655B0">
        <w:rPr>
          <w:rFonts w:cs="Arial"/>
          <w:sz w:val="16"/>
          <w:szCs w:val="16"/>
          <w:rtl/>
        </w:rPr>
        <w:t>)</w:t>
      </w:r>
      <w:r>
        <w:rPr>
          <w:rFonts w:hint="cs"/>
          <w:rtl/>
        </w:rPr>
        <w:t xml:space="preserve">- </w:t>
      </w:r>
      <w:r w:rsidRPr="00030323">
        <w:rPr>
          <w:rFonts w:cs="Arial"/>
          <w:rtl/>
        </w:rPr>
        <w:t>שכר סופר מן הדין על הבעל</w:t>
      </w:r>
      <w:r>
        <w:rPr>
          <w:rFonts w:cs="Arial" w:hint="cs"/>
          <w:rtl/>
        </w:rPr>
        <w:t>,</w:t>
      </w:r>
      <w:r w:rsidRPr="00030323">
        <w:rPr>
          <w:rFonts w:cs="Arial"/>
          <w:rtl/>
        </w:rPr>
        <w:t xml:space="preserve"> כדתנן פרק גט פשוט </w:t>
      </w:r>
      <w:r w:rsidRPr="00C72205">
        <w:rPr>
          <w:rFonts w:cs="Arial"/>
          <w:sz w:val="16"/>
          <w:szCs w:val="16"/>
          <w:rtl/>
        </w:rPr>
        <w:t xml:space="preserve">(ב"ב קסז.) </w:t>
      </w:r>
      <w:r w:rsidRPr="00030323">
        <w:rPr>
          <w:rFonts w:cs="Arial"/>
          <w:rtl/>
        </w:rPr>
        <w:t>משום דכתיב וכתב ונתן</w:t>
      </w:r>
      <w:r>
        <w:rPr>
          <w:rFonts w:cs="Arial" w:hint="cs"/>
          <w:rtl/>
        </w:rPr>
        <w:t>,</w:t>
      </w:r>
      <w:r w:rsidRPr="00030323">
        <w:rPr>
          <w:rFonts w:cs="Arial"/>
          <w:rtl/>
        </w:rPr>
        <w:t xml:space="preserve"> מכל מקום אם נתנה האשה כשר</w:t>
      </w:r>
      <w:r>
        <w:rPr>
          <w:rFonts w:cs="Arial" w:hint="cs"/>
          <w:rtl/>
        </w:rPr>
        <w:t>,</w:t>
      </w:r>
      <w:r w:rsidRPr="00030323">
        <w:rPr>
          <w:rFonts w:cs="Arial"/>
          <w:rtl/>
        </w:rPr>
        <w:t xml:space="preserve"> כדאיתא התם </w:t>
      </w:r>
      <w:r w:rsidRPr="00C72205">
        <w:rPr>
          <w:rFonts w:cs="Arial"/>
          <w:sz w:val="16"/>
          <w:szCs w:val="16"/>
          <w:rtl/>
        </w:rPr>
        <w:t xml:space="preserve">(קסח.) </w:t>
      </w:r>
      <w:r w:rsidRPr="00030323">
        <w:rPr>
          <w:rFonts w:cs="Arial"/>
          <w:rtl/>
        </w:rPr>
        <w:t xml:space="preserve">תקינו רבנן וכו' דהפקר ב"ד הפקר </w:t>
      </w:r>
      <w:r w:rsidRPr="00C72205">
        <w:rPr>
          <w:rFonts w:cs="Arial"/>
          <w:sz w:val="16"/>
          <w:szCs w:val="16"/>
          <w:rtl/>
        </w:rPr>
        <w:t>(גיטין לו:)</w:t>
      </w:r>
      <w:r>
        <w:rPr>
          <w:rFonts w:cs="Arial" w:hint="cs"/>
          <w:rtl/>
        </w:rPr>
        <w:t>,</w:t>
      </w:r>
      <w:r w:rsidRPr="00030323">
        <w:rPr>
          <w:rFonts w:cs="Arial"/>
          <w:rtl/>
        </w:rPr>
        <w:t xml:space="preserve"> ובהכי מיקיים שפיר ונתן</w:t>
      </w:r>
      <w:r>
        <w:rPr>
          <w:rFonts w:cs="Arial" w:hint="cs"/>
          <w:rtl/>
        </w:rPr>
        <w:t>.</w:t>
      </w:r>
      <w:r>
        <w:rPr>
          <w:rFonts w:hint="cs"/>
          <w:rtl/>
        </w:rPr>
        <w:t xml:space="preserve"> </w:t>
      </w:r>
    </w:p>
  </w:footnote>
  <w:footnote w:id="110">
    <w:p w14:paraId="3BD8E19E" w14:textId="03C98235" w:rsidR="00403A76" w:rsidRDefault="00403A76" w:rsidP="00715527">
      <w:pPr>
        <w:pStyle w:val="a5"/>
      </w:pPr>
      <w:r>
        <w:rPr>
          <w:rStyle w:val="a7"/>
        </w:rPr>
        <w:footnoteRef/>
      </w:r>
      <w:r>
        <w:rPr>
          <w:rtl/>
        </w:rPr>
        <w:t xml:space="preserve"> </w:t>
      </w:r>
      <w:r>
        <w:rPr>
          <w:rFonts w:cs="Arial" w:hint="cs"/>
          <w:rtl/>
        </w:rPr>
        <w:t xml:space="preserve">וז"ל </w:t>
      </w:r>
      <w:r w:rsidRPr="00715527">
        <w:rPr>
          <w:rFonts w:cs="Arial" w:hint="cs"/>
          <w:sz w:val="16"/>
          <w:szCs w:val="16"/>
          <w:rtl/>
        </w:rPr>
        <w:t>(</w:t>
      </w:r>
      <w:r w:rsidRPr="00715527">
        <w:rPr>
          <w:rFonts w:cs="Arial"/>
          <w:sz w:val="16"/>
          <w:szCs w:val="16"/>
          <w:rtl/>
        </w:rPr>
        <w:t>סי</w:t>
      </w:r>
      <w:r w:rsidRPr="00715527">
        <w:rPr>
          <w:rFonts w:cs="Arial" w:hint="cs"/>
          <w:sz w:val="16"/>
          <w:szCs w:val="16"/>
          <w:rtl/>
        </w:rPr>
        <w:t>'</w:t>
      </w:r>
      <w:r w:rsidRPr="00715527">
        <w:rPr>
          <w:rFonts w:cs="Arial"/>
          <w:sz w:val="16"/>
          <w:szCs w:val="16"/>
          <w:rtl/>
        </w:rPr>
        <w:t xml:space="preserve"> נ קכט ע"א)</w:t>
      </w:r>
      <w:r>
        <w:rPr>
          <w:rFonts w:cs="Arial" w:hint="cs"/>
          <w:rtl/>
        </w:rPr>
        <w:t xml:space="preserve">- </w:t>
      </w:r>
      <w:r w:rsidRPr="00143937">
        <w:rPr>
          <w:rFonts w:cs="Arial"/>
          <w:rtl/>
        </w:rPr>
        <w:t>צריך שיפרע הבעל שכר הסופר מן הדין אלא התירו שתתן האשה שכר הסופר שלא יעגננה והקנו חכמים שכר זה לבעל דהפקר ב"ד הפקר ומתקיים בזה ונתן</w:t>
      </w:r>
      <w:r>
        <w:rPr>
          <w:rFonts w:cs="Arial" w:hint="cs"/>
          <w:rtl/>
        </w:rPr>
        <w:t>.</w:t>
      </w:r>
    </w:p>
  </w:footnote>
  <w:footnote w:id="111">
    <w:p w14:paraId="6695236E" w14:textId="64A8600A" w:rsidR="00403A76" w:rsidRDefault="00403A76" w:rsidP="00573143">
      <w:pPr>
        <w:pStyle w:val="a5"/>
        <w:rPr>
          <w:rtl/>
        </w:rPr>
      </w:pPr>
      <w:r>
        <w:rPr>
          <w:rStyle w:val="a7"/>
        </w:rPr>
        <w:footnoteRef/>
      </w:r>
      <w:r>
        <w:rPr>
          <w:rtl/>
        </w:rPr>
        <w:t xml:space="preserve"> </w:t>
      </w:r>
      <w:r>
        <w:rPr>
          <w:rFonts w:cs="Arial" w:hint="cs"/>
          <w:rtl/>
        </w:rPr>
        <w:t>וז"ל</w:t>
      </w:r>
      <w:r>
        <w:rPr>
          <w:rFonts w:cs="Arial" w:hint="cs"/>
          <w:sz w:val="16"/>
          <w:szCs w:val="16"/>
          <w:rtl/>
        </w:rPr>
        <w:t xml:space="preserve"> (כאן בסי' קיט)</w:t>
      </w:r>
      <w:r w:rsidR="00C27F6F">
        <w:rPr>
          <w:rFonts w:cs="Arial" w:hint="cs"/>
          <w:rtl/>
        </w:rPr>
        <w:t>:</w:t>
      </w:r>
      <w:r>
        <w:rPr>
          <w:rFonts w:cs="Arial" w:hint="cs"/>
          <w:rtl/>
        </w:rPr>
        <w:t xml:space="preserve"> </w:t>
      </w:r>
      <w:r w:rsidRPr="00D13795">
        <w:rPr>
          <w:rFonts w:cs="Arial"/>
          <w:rtl/>
        </w:rPr>
        <w:t>והבעל יתן שכרו</w:t>
      </w:r>
      <w:r w:rsidRPr="00D13795">
        <w:rPr>
          <w:rFonts w:cs="Arial" w:hint="cs"/>
          <w:rtl/>
        </w:rPr>
        <w:t>.</w:t>
      </w:r>
      <w:r w:rsidRPr="00D13795">
        <w:rPr>
          <w:rFonts w:cs="Arial"/>
          <w:rtl/>
        </w:rPr>
        <w:t xml:space="preserve"> ומפני תקנת עגונות תקנו חכמים שהאשה תתן השכר של הסופר ותקנהו לבעל</w:t>
      </w:r>
      <w:r w:rsidRPr="00D13795">
        <w:rPr>
          <w:rFonts w:cs="Arial" w:hint="cs"/>
          <w:rtl/>
        </w:rPr>
        <w:t>.</w:t>
      </w:r>
      <w:r>
        <w:rPr>
          <w:rFonts w:hint="cs"/>
          <w:rtl/>
        </w:rPr>
        <w:t xml:space="preserve"> עכ"ל. והיה נראה לכאורה לפרש דבריו שלאחר התקנה האשה תתן בכל מקרה את שכר הסופר </w:t>
      </w:r>
      <w:r w:rsidR="00A42812">
        <w:rPr>
          <w:rtl/>
        </w:rPr>
        <w:t>-</w:t>
      </w:r>
      <w:r>
        <w:rPr>
          <w:rFonts w:hint="cs"/>
          <w:rtl/>
        </w:rPr>
        <w:t xml:space="preserve"> אבל אין לפרש כן את דבריו, אלא פירוש דבריו כדברי הרא"ש </w:t>
      </w:r>
      <w:r w:rsidRPr="00573143">
        <w:rPr>
          <w:rFonts w:hint="cs"/>
          <w:sz w:val="16"/>
          <w:szCs w:val="16"/>
          <w:rtl/>
        </w:rPr>
        <w:t xml:space="preserve">(וזה מה שכתב 'ומפני תקנת עגונות', היינו שרק אם הבעל מעגנה </w:t>
      </w:r>
      <w:r w:rsidR="00A42812">
        <w:rPr>
          <w:sz w:val="16"/>
          <w:szCs w:val="16"/>
          <w:rtl/>
        </w:rPr>
        <w:t>-</w:t>
      </w:r>
      <w:r w:rsidRPr="00573143">
        <w:rPr>
          <w:rFonts w:hint="cs"/>
          <w:sz w:val="16"/>
          <w:szCs w:val="16"/>
          <w:rtl/>
        </w:rPr>
        <w:t xml:space="preserve"> תקנו חכמים שהיא תתן</w:t>
      </w:r>
      <w:r>
        <w:rPr>
          <w:rFonts w:hint="cs"/>
          <w:sz w:val="16"/>
          <w:szCs w:val="16"/>
          <w:rtl/>
        </w:rPr>
        <w:t xml:space="preserve"> השכר ושהבעל יקנה)</w:t>
      </w:r>
      <w:r>
        <w:rPr>
          <w:rFonts w:hint="cs"/>
          <w:rtl/>
        </w:rPr>
        <w:t>.</w:t>
      </w:r>
    </w:p>
  </w:footnote>
  <w:footnote w:id="112">
    <w:p w14:paraId="1A683699" w14:textId="2FF45CC3" w:rsidR="00403A76" w:rsidRDefault="00403A76">
      <w:pPr>
        <w:pStyle w:val="a5"/>
      </w:pPr>
      <w:r>
        <w:rPr>
          <w:rStyle w:val="a7"/>
        </w:rPr>
        <w:footnoteRef/>
      </w:r>
      <w:r>
        <w:rPr>
          <w:rtl/>
        </w:rPr>
        <w:t xml:space="preserve"> </w:t>
      </w:r>
      <w:r>
        <w:rPr>
          <w:rFonts w:hint="cs"/>
          <w:rtl/>
        </w:rPr>
        <w:t xml:space="preserve">כתב הב"י </w:t>
      </w:r>
      <w:r w:rsidR="000A0F5A">
        <w:rPr>
          <w:rFonts w:hint="cs"/>
          <w:rtl/>
        </w:rPr>
        <w:t>וז</w:t>
      </w:r>
      <w:r w:rsidR="000A0F5A">
        <w:rPr>
          <w:rtl/>
        </w:rPr>
        <w:t>"</w:t>
      </w:r>
      <w:r w:rsidR="000A0F5A">
        <w:rPr>
          <w:rFonts w:hint="cs"/>
          <w:rtl/>
        </w:rPr>
        <w:t>ל:</w:t>
      </w:r>
      <w:r>
        <w:rPr>
          <w:rFonts w:hint="cs"/>
          <w:rtl/>
        </w:rPr>
        <w:t xml:space="preserve"> </w:t>
      </w:r>
      <w:r w:rsidRPr="00BB2282">
        <w:rPr>
          <w:rFonts w:cs="Arial"/>
          <w:rtl/>
        </w:rPr>
        <w:t>והיה נראה דהשתא בתר תקנתא לכתחלה אומרים לאשה שתתן שכר הסופר</w:t>
      </w:r>
      <w:r>
        <w:rPr>
          <w:rFonts w:cs="Arial" w:hint="cs"/>
          <w:rtl/>
        </w:rPr>
        <w:t>,</w:t>
      </w:r>
      <w:r w:rsidRPr="00BB2282">
        <w:rPr>
          <w:rFonts w:cs="Arial"/>
          <w:rtl/>
        </w:rPr>
        <w:t xml:space="preserve"> וכן נראה מדברי הרמב"ם שכתב בפרק ב' (ה"ד) והאשה נותנת שכר הסופר בכל מקום. אלא שמצאתי בסדר כתיבת הגט להרא"ש</w:t>
      </w:r>
      <w:r>
        <w:rPr>
          <w:rFonts w:cs="Arial" w:hint="cs"/>
          <w:rtl/>
        </w:rPr>
        <w:t>-...</w:t>
      </w:r>
    </w:p>
  </w:footnote>
  <w:footnote w:id="113">
    <w:p w14:paraId="6CF10A0E" w14:textId="7B87668A" w:rsidR="00403A76" w:rsidRDefault="00403A76" w:rsidP="00BB2282">
      <w:pPr>
        <w:pStyle w:val="a5"/>
      </w:pPr>
      <w:r>
        <w:rPr>
          <w:rStyle w:val="a7"/>
        </w:rPr>
        <w:footnoteRef/>
      </w:r>
      <w:r>
        <w:rPr>
          <w:rtl/>
        </w:rPr>
        <w:t xml:space="preserve"> </w:t>
      </w:r>
      <w:r>
        <w:rPr>
          <w:rFonts w:hint="cs"/>
          <w:rtl/>
        </w:rPr>
        <w:t xml:space="preserve">כך </w:t>
      </w:r>
      <w:r>
        <w:rPr>
          <w:rFonts w:cs="Arial" w:hint="cs"/>
          <w:rtl/>
        </w:rPr>
        <w:t>ש</w:t>
      </w:r>
      <w:r w:rsidRPr="00143937">
        <w:rPr>
          <w:rFonts w:cs="Arial"/>
          <w:rtl/>
        </w:rPr>
        <w:t>אפילו בתר תקנתא לכתחלה אומרים לבעל שיתן שכר הסופר</w:t>
      </w:r>
      <w:r>
        <w:rPr>
          <w:rFonts w:cs="Arial" w:hint="cs"/>
          <w:rtl/>
        </w:rPr>
        <w:t>.</w:t>
      </w:r>
      <w:r w:rsidRPr="00143937">
        <w:rPr>
          <w:rFonts w:cs="Arial"/>
          <w:rtl/>
        </w:rPr>
        <w:t xml:space="preserve"> ואם לא ירצה ליתן ונתנתו האשה </w:t>
      </w:r>
      <w:r>
        <w:rPr>
          <w:rFonts w:cs="Arial" w:hint="cs"/>
          <w:rtl/>
        </w:rPr>
        <w:t xml:space="preserve">- </w:t>
      </w:r>
      <w:r w:rsidRPr="00143937">
        <w:rPr>
          <w:rFonts w:cs="Arial"/>
          <w:rtl/>
        </w:rPr>
        <w:t>כשר</w:t>
      </w:r>
      <w:r>
        <w:rPr>
          <w:rFonts w:cs="Arial" w:hint="cs"/>
          <w:rtl/>
        </w:rPr>
        <w:t>,</w:t>
      </w:r>
      <w:r w:rsidRPr="00143937">
        <w:rPr>
          <w:rFonts w:cs="Arial"/>
          <w:rtl/>
        </w:rPr>
        <w:t xml:space="preserve"> דרבנן אקנו ליה ההוא זוזא כדי שלא תתעגן האשה</w:t>
      </w:r>
      <w:r>
        <w:rPr>
          <w:rFonts w:cs="Arial" w:hint="cs"/>
          <w:rtl/>
        </w:rPr>
        <w:t>, ב"י.</w:t>
      </w:r>
      <w:r w:rsidRPr="009A4EA9">
        <w:rPr>
          <w:rFonts w:cs="Arial" w:hint="cs"/>
          <w:rtl/>
        </w:rPr>
        <w:t xml:space="preserve"> </w:t>
      </w:r>
      <w:r>
        <w:rPr>
          <w:rFonts w:cs="Arial" w:hint="cs"/>
          <w:rtl/>
        </w:rPr>
        <w:t xml:space="preserve">וכ"כ </w:t>
      </w:r>
      <w:r w:rsidRPr="00143937">
        <w:rPr>
          <w:rFonts w:cs="Arial"/>
          <w:rtl/>
        </w:rPr>
        <w:t>הג</w:t>
      </w:r>
      <w:r>
        <w:rPr>
          <w:rFonts w:cs="Arial" w:hint="cs"/>
          <w:rtl/>
        </w:rPr>
        <w:t>ה"</w:t>
      </w:r>
      <w:r w:rsidRPr="00143937">
        <w:rPr>
          <w:rFonts w:cs="Arial"/>
          <w:rtl/>
        </w:rPr>
        <w:t xml:space="preserve">מ </w:t>
      </w:r>
      <w:r w:rsidRPr="009A4EA9">
        <w:rPr>
          <w:rFonts w:cs="Arial" w:hint="cs"/>
          <w:sz w:val="16"/>
          <w:szCs w:val="16"/>
          <w:rtl/>
        </w:rPr>
        <w:t>(</w:t>
      </w:r>
      <w:r w:rsidRPr="009A4EA9">
        <w:rPr>
          <w:rFonts w:cs="Arial"/>
          <w:sz w:val="16"/>
          <w:szCs w:val="16"/>
          <w:rtl/>
        </w:rPr>
        <w:t>פ</w:t>
      </w:r>
      <w:r w:rsidRPr="009A4EA9">
        <w:rPr>
          <w:rFonts w:cs="Arial" w:hint="cs"/>
          <w:sz w:val="16"/>
          <w:szCs w:val="16"/>
          <w:rtl/>
        </w:rPr>
        <w:t>"</w:t>
      </w:r>
      <w:r w:rsidRPr="009A4EA9">
        <w:rPr>
          <w:rFonts w:cs="Arial"/>
          <w:sz w:val="16"/>
          <w:szCs w:val="16"/>
          <w:rtl/>
        </w:rPr>
        <w:t>א דפוס קושטא ה"ג</w:t>
      </w:r>
      <w:r w:rsidRPr="009A4EA9">
        <w:rPr>
          <w:rFonts w:cs="Arial" w:hint="cs"/>
          <w:sz w:val="16"/>
          <w:szCs w:val="16"/>
          <w:rtl/>
        </w:rPr>
        <w:t>,</w:t>
      </w:r>
      <w:r w:rsidRPr="009A4EA9">
        <w:rPr>
          <w:rFonts w:cs="Arial"/>
          <w:sz w:val="16"/>
          <w:szCs w:val="16"/>
          <w:rtl/>
        </w:rPr>
        <w:t xml:space="preserve"> ובפ</w:t>
      </w:r>
      <w:r w:rsidRPr="009A4EA9">
        <w:rPr>
          <w:rFonts w:cs="Arial" w:hint="cs"/>
          <w:sz w:val="16"/>
          <w:szCs w:val="16"/>
          <w:rtl/>
        </w:rPr>
        <w:t xml:space="preserve">"ג </w:t>
      </w:r>
      <w:r w:rsidRPr="009A4EA9">
        <w:rPr>
          <w:rFonts w:cs="Arial"/>
          <w:sz w:val="16"/>
          <w:szCs w:val="16"/>
          <w:rtl/>
        </w:rPr>
        <w:t>דפוס קושטא ה"ז)</w:t>
      </w:r>
      <w:r>
        <w:rPr>
          <w:rFonts w:cs="Arial" w:hint="cs"/>
          <w:rtl/>
        </w:rPr>
        <w:t xml:space="preserve"> בשם הסמ"ג, וכ"כ</w:t>
      </w:r>
      <w:r w:rsidRPr="00143937">
        <w:rPr>
          <w:rFonts w:cs="Arial"/>
          <w:rtl/>
        </w:rPr>
        <w:t xml:space="preserve"> </w:t>
      </w:r>
      <w:r>
        <w:rPr>
          <w:rFonts w:cs="Arial" w:hint="cs"/>
          <w:rtl/>
        </w:rPr>
        <w:t>ה</w:t>
      </w:r>
      <w:r w:rsidRPr="00143937">
        <w:rPr>
          <w:rFonts w:cs="Arial"/>
          <w:rtl/>
        </w:rPr>
        <w:t xml:space="preserve">סמ"ק </w:t>
      </w:r>
      <w:r w:rsidRPr="00573143">
        <w:rPr>
          <w:rFonts w:cs="Arial"/>
          <w:sz w:val="16"/>
          <w:szCs w:val="16"/>
          <w:rtl/>
        </w:rPr>
        <w:t xml:space="preserve">(ר"ס קפד קמב:) </w:t>
      </w:r>
      <w:r>
        <w:rPr>
          <w:rFonts w:cs="Arial" w:hint="cs"/>
          <w:rtl/>
        </w:rPr>
        <w:t>ורי"ו</w:t>
      </w:r>
      <w:r w:rsidRPr="00143937">
        <w:rPr>
          <w:rFonts w:cs="Arial"/>
          <w:rtl/>
        </w:rPr>
        <w:t xml:space="preserve"> </w:t>
      </w:r>
      <w:r w:rsidRPr="00573143">
        <w:rPr>
          <w:rFonts w:cs="Arial" w:hint="cs"/>
          <w:sz w:val="16"/>
          <w:szCs w:val="16"/>
          <w:rtl/>
        </w:rPr>
        <w:t>(</w:t>
      </w:r>
      <w:r w:rsidRPr="00573143">
        <w:rPr>
          <w:rFonts w:cs="Arial"/>
          <w:sz w:val="16"/>
          <w:szCs w:val="16"/>
          <w:rtl/>
        </w:rPr>
        <w:t>מישרים נתיב כט ח</w:t>
      </w:r>
      <w:r w:rsidRPr="00573143">
        <w:rPr>
          <w:rFonts w:cs="Arial" w:hint="cs"/>
          <w:sz w:val="16"/>
          <w:szCs w:val="16"/>
          <w:rtl/>
        </w:rPr>
        <w:t>"</w:t>
      </w:r>
      <w:r w:rsidRPr="00573143">
        <w:rPr>
          <w:rFonts w:cs="Arial"/>
          <w:sz w:val="16"/>
          <w:szCs w:val="16"/>
          <w:rtl/>
        </w:rPr>
        <w:t>א פ ע"ג)</w:t>
      </w:r>
      <w:r>
        <w:rPr>
          <w:rFonts w:cs="Arial" w:hint="cs"/>
          <w:rtl/>
        </w:rPr>
        <w:t>.</w:t>
      </w:r>
    </w:p>
  </w:footnote>
  <w:footnote w:id="114">
    <w:p w14:paraId="37588DE8" w14:textId="37EF9C8D" w:rsidR="00403A76" w:rsidRDefault="00403A76">
      <w:pPr>
        <w:pStyle w:val="a5"/>
      </w:pPr>
      <w:r>
        <w:rPr>
          <w:rStyle w:val="a7"/>
        </w:rPr>
        <w:footnoteRef/>
      </w:r>
      <w:r>
        <w:rPr>
          <w:rtl/>
        </w:rPr>
        <w:t xml:space="preserve"> </w:t>
      </w:r>
      <w:r w:rsidRPr="006A208B">
        <w:rPr>
          <w:rFonts w:cs="Arial"/>
          <w:rtl/>
        </w:rPr>
        <w:t>דכתיב וכתב לה או שלוחו</w:t>
      </w:r>
      <w:r w:rsidR="00A732A2">
        <w:rPr>
          <w:rFonts w:cs="Arial" w:hint="cs"/>
          <w:rtl/>
        </w:rPr>
        <w:t>,</w:t>
      </w:r>
      <w:r w:rsidRPr="006A208B">
        <w:rPr>
          <w:rFonts w:cs="Arial"/>
          <w:rtl/>
        </w:rPr>
        <w:t xml:space="preserve"> כ"כ הטור</w:t>
      </w:r>
      <w:r w:rsidR="00A732A2">
        <w:rPr>
          <w:rFonts w:cs="Arial" w:hint="cs"/>
          <w:rtl/>
        </w:rPr>
        <w:t>.</w:t>
      </w:r>
      <w:r w:rsidRPr="006A208B">
        <w:rPr>
          <w:rFonts w:cs="Arial"/>
          <w:rtl/>
        </w:rPr>
        <w:t xml:space="preserve"> וכתב הב"י מטעם משום שלוחו של אדם כמותו</w:t>
      </w:r>
      <w:r w:rsidR="000C399C">
        <w:rPr>
          <w:rFonts w:cs="Arial" w:hint="cs"/>
          <w:rtl/>
        </w:rPr>
        <w:t>,</w:t>
      </w:r>
      <w:r w:rsidRPr="006A208B">
        <w:rPr>
          <w:rFonts w:cs="Arial"/>
          <w:rtl/>
        </w:rPr>
        <w:t xml:space="preserve"> ש"מ דצריך שליח ממש בכתיבת הגט</w:t>
      </w:r>
      <w:r w:rsidR="000C399C">
        <w:rPr>
          <w:rFonts w:cs="Arial" w:hint="cs"/>
          <w:rtl/>
        </w:rPr>
        <w:t>.</w:t>
      </w:r>
      <w:r w:rsidRPr="006A208B">
        <w:rPr>
          <w:rFonts w:cs="Arial"/>
          <w:rtl/>
        </w:rPr>
        <w:t xml:space="preserve"> וקשה א"כ למה חש"ו כשר לכתוב הגט כשגדול עומד ע"ג</w:t>
      </w:r>
      <w:r w:rsidR="000C399C">
        <w:rPr>
          <w:rFonts w:cs="Arial" w:hint="cs"/>
          <w:rtl/>
        </w:rPr>
        <w:t>,</w:t>
      </w:r>
      <w:r w:rsidRPr="006A208B">
        <w:rPr>
          <w:rFonts w:cs="Arial"/>
          <w:rtl/>
        </w:rPr>
        <w:t xml:space="preserve"> הא לאו בני שליחות הם</w:t>
      </w:r>
      <w:r w:rsidR="000C399C">
        <w:rPr>
          <w:rFonts w:cs="Arial" w:hint="cs"/>
          <w:rtl/>
        </w:rPr>
        <w:t>.</w:t>
      </w:r>
      <w:r w:rsidRPr="006A208B">
        <w:rPr>
          <w:rFonts w:cs="Arial"/>
          <w:rtl/>
        </w:rPr>
        <w:t xml:space="preserve"> ומזה הוכיחו תוס' </w:t>
      </w:r>
      <w:r w:rsidR="000C399C">
        <w:rPr>
          <w:rFonts w:cs="Arial" w:hint="cs"/>
          <w:rtl/>
        </w:rPr>
        <w:t>(</w:t>
      </w:r>
      <w:r w:rsidRPr="006A208B">
        <w:rPr>
          <w:rFonts w:cs="Arial"/>
          <w:rtl/>
        </w:rPr>
        <w:t>גיטין כב</w:t>
      </w:r>
      <w:r>
        <w:rPr>
          <w:rFonts w:cs="Arial" w:hint="cs"/>
          <w:rtl/>
        </w:rPr>
        <w:t>: ד"ה והא)</w:t>
      </w:r>
      <w:r w:rsidRPr="006A208B">
        <w:rPr>
          <w:rFonts w:cs="Arial"/>
          <w:rtl/>
        </w:rPr>
        <w:t xml:space="preserve"> דא"צ שליח</w:t>
      </w:r>
      <w:r w:rsidR="000C399C">
        <w:rPr>
          <w:rFonts w:cs="Arial" w:hint="cs"/>
          <w:rtl/>
        </w:rPr>
        <w:t>,</w:t>
      </w:r>
      <w:r w:rsidRPr="006A208B">
        <w:rPr>
          <w:rFonts w:cs="Arial"/>
          <w:rtl/>
        </w:rPr>
        <w:t xml:space="preserve"> וכתב לא קאי על הבעל אלא על הסופר</w:t>
      </w:r>
      <w:r w:rsidR="000C399C">
        <w:rPr>
          <w:rFonts w:cs="Arial" w:hint="cs"/>
          <w:rtl/>
        </w:rPr>
        <w:t>,</w:t>
      </w:r>
      <w:r w:rsidRPr="006A208B">
        <w:rPr>
          <w:rFonts w:cs="Arial"/>
          <w:rtl/>
        </w:rPr>
        <w:t xml:space="preserve"> והא דצריך לצוות בעצמו לכתוב משום כשלא צוה בעצמו הוי כאלו אינו כותב הסופר לשמו ועיין ר"ס קכ"ג</w:t>
      </w:r>
      <w:r>
        <w:rPr>
          <w:rFonts w:cs="Arial" w:hint="cs"/>
          <w:rtl/>
        </w:rPr>
        <w:t>, ב"ש (סק"א).</w:t>
      </w:r>
    </w:p>
  </w:footnote>
  <w:footnote w:id="115">
    <w:p w14:paraId="7998C5AE" w14:textId="0C8BB3EA" w:rsidR="00403A76" w:rsidRDefault="00403A76">
      <w:pPr>
        <w:pStyle w:val="a5"/>
        <w:rPr>
          <w:rtl/>
        </w:rPr>
      </w:pPr>
      <w:r>
        <w:rPr>
          <w:rStyle w:val="a7"/>
        </w:rPr>
        <w:footnoteRef/>
      </w:r>
      <w:r>
        <w:rPr>
          <w:rtl/>
        </w:rPr>
        <w:t xml:space="preserve"> </w:t>
      </w:r>
      <w:r w:rsidRPr="0023267F">
        <w:rPr>
          <w:rFonts w:cs="Arial"/>
          <w:rtl/>
        </w:rPr>
        <w:t>אבל מי שהיה מושלך בבור או הולך למד"ה ואמר כתבו ותנו גט לאשתי</w:t>
      </w:r>
      <w:r w:rsidR="00A732A2">
        <w:rPr>
          <w:rFonts w:cs="Arial" w:hint="cs"/>
          <w:rtl/>
        </w:rPr>
        <w:t xml:space="preserve"> -</w:t>
      </w:r>
      <w:r w:rsidRPr="0023267F">
        <w:rPr>
          <w:rFonts w:cs="Arial"/>
          <w:rtl/>
        </w:rPr>
        <w:t xml:space="preserve"> הם כותבין ונותנין בלא שום הקנא' לבעל דבדיעבד ודאי כשר בלא שום הקנאה דשלוחו כמותו</w:t>
      </w:r>
      <w:r>
        <w:rPr>
          <w:rFonts w:cs="Arial" w:hint="cs"/>
          <w:rtl/>
        </w:rPr>
        <w:t>.</w:t>
      </w:r>
      <w:r w:rsidRPr="0023267F">
        <w:rPr>
          <w:rFonts w:cs="Arial"/>
          <w:rtl/>
        </w:rPr>
        <w:t xml:space="preserve"> רק לכתחלה צריך שיתן לו הסופר הכל קודם הכתיבה אפילו בעשה הבעל שליח</w:t>
      </w:r>
      <w:r>
        <w:rPr>
          <w:rFonts w:cs="Arial" w:hint="cs"/>
          <w:rtl/>
        </w:rPr>
        <w:t>.</w:t>
      </w:r>
      <w:r w:rsidRPr="0023267F">
        <w:rPr>
          <w:rFonts w:cs="Arial"/>
          <w:rtl/>
        </w:rPr>
        <w:t xml:space="preserve"> ואם לא נתנו קודם הכתיבה יתננו אח"כ במתנה</w:t>
      </w:r>
      <w:r>
        <w:rPr>
          <w:rFonts w:cs="Arial" w:hint="cs"/>
          <w:rtl/>
        </w:rPr>
        <w:t>.</w:t>
      </w:r>
      <w:r w:rsidRPr="0023267F">
        <w:rPr>
          <w:rFonts w:cs="Arial"/>
          <w:rtl/>
        </w:rPr>
        <w:t xml:space="preserve"> ואם נתן לו סתם </w:t>
      </w:r>
      <w:r>
        <w:rPr>
          <w:rFonts w:cs="Arial" w:hint="cs"/>
          <w:rtl/>
        </w:rPr>
        <w:t xml:space="preserve">- </w:t>
      </w:r>
      <w:r w:rsidRPr="0023267F">
        <w:rPr>
          <w:rFonts w:cs="Arial"/>
          <w:rtl/>
        </w:rPr>
        <w:t>ג"כ כשר</w:t>
      </w:r>
      <w:r>
        <w:rPr>
          <w:rFonts w:cs="Arial" w:hint="cs"/>
          <w:rtl/>
        </w:rPr>
        <w:t>,</w:t>
      </w:r>
      <w:r w:rsidRPr="0023267F">
        <w:rPr>
          <w:rFonts w:cs="Arial"/>
          <w:rtl/>
        </w:rPr>
        <w:t xml:space="preserve"> דלא גרע ממי שהיה מושלך בבור שנותן הגט ע"פ הבעל בלא שום הקנאה לבעל</w:t>
      </w:r>
      <w:r>
        <w:rPr>
          <w:rFonts w:cs="Arial" w:hint="cs"/>
          <w:rtl/>
        </w:rPr>
        <w:t>.</w:t>
      </w:r>
      <w:r w:rsidRPr="0023267F">
        <w:rPr>
          <w:rFonts w:cs="Arial"/>
          <w:rtl/>
        </w:rPr>
        <w:t xml:space="preserve"> עיין בב"י שכתב כי משמע מדברי קצת פוסקים דאף בדיעבד פסול אם לא מסר הקלף ע"ש</w:t>
      </w:r>
      <w:r>
        <w:rPr>
          <w:rFonts w:cs="Arial" w:hint="cs"/>
          <w:rtl/>
        </w:rPr>
        <w:t>.</w:t>
      </w:r>
      <w:r w:rsidRPr="0023267F">
        <w:rPr>
          <w:rFonts w:cs="Arial"/>
          <w:rtl/>
        </w:rPr>
        <w:t xml:space="preserve"> אבל יש לדחות כי קשה לסתור ראיה ברורה שהביא הרמב"ן ממושלך בבור</w:t>
      </w:r>
      <w:r>
        <w:rPr>
          <w:rFonts w:hint="cs"/>
          <w:rtl/>
        </w:rPr>
        <w:t>, ח"מ (סק"א).</w:t>
      </w:r>
    </w:p>
  </w:footnote>
  <w:footnote w:id="116">
    <w:p w14:paraId="26D1D28F" w14:textId="3B4B2AD1" w:rsidR="00D74223" w:rsidRDefault="00D74223">
      <w:pPr>
        <w:pStyle w:val="a5"/>
      </w:pPr>
      <w:r>
        <w:rPr>
          <w:rStyle w:val="a7"/>
        </w:rPr>
        <w:footnoteRef/>
      </w:r>
      <w:r>
        <w:rPr>
          <w:rtl/>
        </w:rPr>
        <w:t xml:space="preserve"> </w:t>
      </w:r>
      <w:r w:rsidRPr="0054240D">
        <w:rPr>
          <w:rFonts w:cs="Arial"/>
          <w:rtl/>
        </w:rPr>
        <w:t>עיין בס' תו"ג שכ' דכשמגרשה בע"כ נראה דאין על האשה לשלם</w:t>
      </w:r>
      <w:r w:rsidR="00034C99">
        <w:rPr>
          <w:rFonts w:cs="Arial" w:hint="cs"/>
          <w:rtl/>
        </w:rPr>
        <w:t>,</w:t>
      </w:r>
      <w:r w:rsidRPr="0054240D">
        <w:rPr>
          <w:rFonts w:cs="Arial"/>
          <w:rtl/>
        </w:rPr>
        <w:t xml:space="preserve"> דלטובתה נתקן ויכולה לומר לא ניחא לי בתקנתא</w:t>
      </w:r>
      <w:r w:rsidR="00034C99">
        <w:rPr>
          <w:rFonts w:cs="Arial" w:hint="cs"/>
          <w:rtl/>
        </w:rPr>
        <w:t>.</w:t>
      </w:r>
      <w:r w:rsidRPr="0054240D">
        <w:rPr>
          <w:rFonts w:cs="Arial"/>
          <w:rtl/>
        </w:rPr>
        <w:t xml:space="preserve"> וכשהוא מרצון שניהם עושין כמו האופן שנתרצו ביניהם</w:t>
      </w:r>
      <w:r>
        <w:rPr>
          <w:rFonts w:cs="Arial" w:hint="cs"/>
          <w:rtl/>
        </w:rPr>
        <w:t>...</w:t>
      </w:r>
      <w:r w:rsidRPr="00D74223">
        <w:rPr>
          <w:rFonts w:cs="Arial"/>
          <w:rtl/>
        </w:rPr>
        <w:t xml:space="preserve"> </w:t>
      </w:r>
      <w:r w:rsidRPr="0054240D">
        <w:rPr>
          <w:rFonts w:cs="Arial"/>
          <w:rtl/>
        </w:rPr>
        <w:t>וכ' עוד דדוקא האשה בעצמה יכולה ליתן שכר הסופר</w:t>
      </w:r>
      <w:r>
        <w:rPr>
          <w:rFonts w:cs="Arial" w:hint="cs"/>
          <w:rtl/>
        </w:rPr>
        <w:t>,</w:t>
      </w:r>
      <w:r w:rsidRPr="0054240D">
        <w:rPr>
          <w:rFonts w:cs="Arial"/>
          <w:rtl/>
        </w:rPr>
        <w:t xml:space="preserve"> אבל אם אחר נתפשר עם הסופר</w:t>
      </w:r>
      <w:r>
        <w:rPr>
          <w:rFonts w:cs="Arial" w:hint="cs"/>
          <w:rtl/>
        </w:rPr>
        <w:t>,</w:t>
      </w:r>
      <w:r w:rsidRPr="0054240D">
        <w:rPr>
          <w:rFonts w:cs="Arial"/>
          <w:rtl/>
        </w:rPr>
        <w:t xml:space="preserve"> כגון אבי הבעל או אבי האשה </w:t>
      </w:r>
      <w:r>
        <w:rPr>
          <w:rFonts w:cs="Arial" w:hint="cs"/>
          <w:rtl/>
        </w:rPr>
        <w:t xml:space="preserve">- </w:t>
      </w:r>
      <w:r w:rsidRPr="0054240D">
        <w:rPr>
          <w:rFonts w:cs="Arial"/>
          <w:rtl/>
        </w:rPr>
        <w:t>אז צריך להקנות המעות דמי שכר הסופר להבעל או להאשה. ואפילו בדיעבד אם פרעו הם שכר הסופר בלא הקנאה אינה מגורשת (ואפי' אם הקלף והדיו של הבעל מתחילה או ע"י מה שהקנה לו הסופר קודם הכתיבה</w:t>
      </w:r>
      <w:r w:rsidR="00FF4E84">
        <w:rPr>
          <w:rFonts w:cs="Arial" w:hint="cs"/>
          <w:rtl/>
        </w:rPr>
        <w:t>.</w:t>
      </w:r>
      <w:r w:rsidRPr="0054240D">
        <w:rPr>
          <w:rFonts w:cs="Arial"/>
          <w:rtl/>
        </w:rPr>
        <w:t xml:space="preserve"> ובכה"ג אם הבעל עצמו שכר הסופר אף שלא פרע לו אח"כ כלל</w:t>
      </w:r>
      <w:r w:rsidR="00FF4E84">
        <w:rPr>
          <w:rFonts w:cs="Arial" w:hint="cs"/>
          <w:rtl/>
        </w:rPr>
        <w:t xml:space="preserve"> </w:t>
      </w:r>
      <w:r w:rsidRPr="0054240D">
        <w:rPr>
          <w:rFonts w:cs="Arial"/>
          <w:rtl/>
        </w:rPr>
        <w:t>כשר</w:t>
      </w:r>
      <w:r w:rsidR="003E0882">
        <w:rPr>
          <w:rFonts w:cs="Arial" w:hint="cs"/>
          <w:rtl/>
        </w:rPr>
        <w:t>,</w:t>
      </w:r>
      <w:r w:rsidRPr="0054240D">
        <w:rPr>
          <w:rFonts w:cs="Arial"/>
          <w:rtl/>
        </w:rPr>
        <w:t xml:space="preserve"> כמו שיבואר בסמוך</w:t>
      </w:r>
      <w:r w:rsidR="003E0882">
        <w:rPr>
          <w:rFonts w:cs="Arial" w:hint="cs"/>
          <w:rtl/>
        </w:rPr>
        <w:t>,</w:t>
      </w:r>
      <w:r w:rsidRPr="0054240D">
        <w:rPr>
          <w:rFonts w:cs="Arial"/>
          <w:rtl/>
        </w:rPr>
        <w:t xml:space="preserve"> מ"מ אם הבעל או האשה לא שכרו הסופר רק אבי הבעל או אבי האשה שכרו הסופר אף שפרעו אח"כ רק שהי' בלא הקנא' דמי שכר הסופר להבעל או להאשה </w:t>
      </w:r>
      <w:r w:rsidR="003E0882">
        <w:rPr>
          <w:rFonts w:cs="Arial" w:hint="cs"/>
          <w:rtl/>
        </w:rPr>
        <w:t xml:space="preserve">- </w:t>
      </w:r>
      <w:r w:rsidRPr="0054240D">
        <w:rPr>
          <w:rFonts w:cs="Arial"/>
          <w:rtl/>
        </w:rPr>
        <w:t>פסול משום דבעינן וכ</w:t>
      </w:r>
      <w:r w:rsidR="00FF4E84">
        <w:rPr>
          <w:rFonts w:cs="Arial" w:hint="cs"/>
          <w:rtl/>
        </w:rPr>
        <w:t>תב</w:t>
      </w:r>
      <w:r w:rsidRPr="0054240D">
        <w:rPr>
          <w:rFonts w:cs="Arial"/>
          <w:rtl/>
        </w:rPr>
        <w:t xml:space="preserve"> שיהא הבעל מכתיבו ונותן שכר הסופר כמ"ש הנ"י ס"פ גט פשוט</w:t>
      </w:r>
      <w:r w:rsidR="00FF4E84">
        <w:rPr>
          <w:rFonts w:cs="Arial" w:hint="cs"/>
          <w:rtl/>
        </w:rPr>
        <w:t>,</w:t>
      </w:r>
      <w:r w:rsidRPr="0054240D">
        <w:rPr>
          <w:rFonts w:cs="Arial"/>
          <w:rtl/>
        </w:rPr>
        <w:t xml:space="preserve"> ובכה"ג נקרא אין הבעל מכתיבו כן מבואר בדבריו שם</w:t>
      </w:r>
      <w:r w:rsidR="00A80CC3">
        <w:rPr>
          <w:rFonts w:cs="Arial" w:hint="cs"/>
          <w:rtl/>
        </w:rPr>
        <w:t>)...</w:t>
      </w:r>
      <w:r>
        <w:rPr>
          <w:rFonts w:cs="Arial" w:hint="cs"/>
          <w:rtl/>
        </w:rPr>
        <w:t>, פת"ש (סק"ב).</w:t>
      </w:r>
    </w:p>
  </w:footnote>
  <w:footnote w:id="117">
    <w:p w14:paraId="50FD0C0C" w14:textId="192ACC5A" w:rsidR="00403A76" w:rsidRDefault="00403A76">
      <w:pPr>
        <w:pStyle w:val="a5"/>
      </w:pPr>
      <w:r>
        <w:rPr>
          <w:rStyle w:val="a7"/>
        </w:rPr>
        <w:footnoteRef/>
      </w:r>
      <w:r>
        <w:rPr>
          <w:rtl/>
        </w:rPr>
        <w:t xml:space="preserve"> </w:t>
      </w:r>
      <w:r w:rsidRPr="002676AC">
        <w:rPr>
          <w:rFonts w:cs="Arial"/>
          <w:rtl/>
        </w:rPr>
        <w:t>וצריך לומר דלא דמי לגזל נסכא ועשה מטבע דהוי שנוי החוזר לברייתו דכאן אף אם ימחוק הגט לא יקרא שמו הראשון רק נייר מחוק יקרא</w:t>
      </w:r>
      <w:r>
        <w:rPr>
          <w:rFonts w:cs="Arial" w:hint="cs"/>
          <w:rtl/>
        </w:rPr>
        <w:t>, ח"מ (סק"ד).</w:t>
      </w:r>
      <w:r w:rsidRPr="00E60CB7">
        <w:rPr>
          <w:rFonts w:cs="Arial"/>
          <w:rtl/>
        </w:rPr>
        <w:t xml:space="preserve"> </w:t>
      </w:r>
      <w:r w:rsidRPr="0054240D">
        <w:rPr>
          <w:rFonts w:cs="Arial"/>
          <w:rtl/>
        </w:rPr>
        <w:t>וכתב בס' תו"ג ואף דהנייר חלק שבין שיטה לשיטה לא יהא נקרא נייר מחוק מ"מ בטל הוא לגבי גוף הנייר והכל נקרא נייר מחוק ולפ"ז נראה דאם נשאר חלק קלף גדול שלא נכתב עליו</w:t>
      </w:r>
      <w:r>
        <w:rPr>
          <w:rFonts w:cs="Arial" w:hint="cs"/>
          <w:rtl/>
        </w:rPr>
        <w:t xml:space="preserve"> -</w:t>
      </w:r>
      <w:r w:rsidRPr="0054240D">
        <w:rPr>
          <w:rFonts w:cs="Arial"/>
          <w:rtl/>
        </w:rPr>
        <w:t xml:space="preserve"> שלא נתבטל להגט ולא קנה ליה הגזלן</w:t>
      </w:r>
      <w:r>
        <w:rPr>
          <w:rFonts w:cs="Arial" w:hint="cs"/>
          <w:rtl/>
        </w:rPr>
        <w:t>,</w:t>
      </w:r>
      <w:r w:rsidRPr="0054240D">
        <w:rPr>
          <w:rFonts w:cs="Arial"/>
          <w:rtl/>
        </w:rPr>
        <w:t xml:space="preserve"> </w:t>
      </w:r>
      <w:r>
        <w:rPr>
          <w:rFonts w:cs="Arial" w:hint="cs"/>
          <w:rtl/>
        </w:rPr>
        <w:t>ו</w:t>
      </w:r>
      <w:r w:rsidRPr="0054240D">
        <w:rPr>
          <w:rFonts w:cs="Arial"/>
          <w:rtl/>
        </w:rPr>
        <w:t>פסול למאן דפוסל מחוסר קציצה בתלוש בסי' קכ"ד</w:t>
      </w:r>
      <w:r>
        <w:rPr>
          <w:rFonts w:cs="Arial" w:hint="cs"/>
          <w:rtl/>
        </w:rPr>
        <w:t>,</w:t>
      </w:r>
      <w:r w:rsidRPr="0054240D">
        <w:rPr>
          <w:rFonts w:cs="Arial"/>
          <w:rtl/>
        </w:rPr>
        <w:t xml:space="preserve"> דאף שהי' מעיקרא קלף גדול וכשיקנה המקצת הקלף נשאר המותר קלף קטן לא הוי שינוי כמבואר בח"מ סי' ש"ס ס"ט ע"ש. וכ' עוד דה"ה אם גזל דבר שיכול להזדייף וכ' גט עליו פסול כיון שיכול למוחקו ושיחזור כבראשונה לא הוי שינוי עכ"ל. ומ"ש הבה"ט וכן הדין אם גזל הדיו. עיין בס' גט מקושר בסג"ר אות י"ט מדין זה</w:t>
      </w:r>
      <w:r>
        <w:rPr>
          <w:rFonts w:hint="cs"/>
          <w:rtl/>
        </w:rPr>
        <w:t>, פת"ש (סק"ה).</w:t>
      </w:r>
    </w:p>
  </w:footnote>
  <w:footnote w:id="118">
    <w:p w14:paraId="69377ADE" w14:textId="4E650AAA" w:rsidR="00403A76" w:rsidRDefault="00403A76">
      <w:pPr>
        <w:pStyle w:val="a5"/>
      </w:pPr>
      <w:r>
        <w:rPr>
          <w:rStyle w:val="a7"/>
        </w:rPr>
        <w:footnoteRef/>
      </w:r>
      <w:r>
        <w:rPr>
          <w:rtl/>
        </w:rPr>
        <w:t xml:space="preserve"> </w:t>
      </w:r>
      <w:r w:rsidRPr="002676AC">
        <w:rPr>
          <w:rFonts w:cs="Arial"/>
          <w:rtl/>
        </w:rPr>
        <w:t>אבל אם נתן לו הגט ברצון כדי לפרוע לו לאחר זמן</w:t>
      </w:r>
      <w:r>
        <w:rPr>
          <w:rFonts w:cs="Arial" w:hint="cs"/>
          <w:rtl/>
        </w:rPr>
        <w:t>,</w:t>
      </w:r>
      <w:r w:rsidRPr="002676AC">
        <w:rPr>
          <w:rFonts w:cs="Arial"/>
          <w:rtl/>
        </w:rPr>
        <w:t xml:space="preserve"> אף שלא פרע לו </w:t>
      </w:r>
      <w:r>
        <w:rPr>
          <w:rFonts w:cs="Arial" w:hint="cs"/>
          <w:rtl/>
        </w:rPr>
        <w:t xml:space="preserve">- </w:t>
      </w:r>
      <w:r w:rsidRPr="002676AC">
        <w:rPr>
          <w:rFonts w:cs="Arial"/>
          <w:rtl/>
        </w:rPr>
        <w:t>לא הוי גט גזל בידו</w:t>
      </w:r>
      <w:r>
        <w:rPr>
          <w:rFonts w:cs="Arial" w:hint="cs"/>
          <w:rtl/>
        </w:rPr>
        <w:t>,</w:t>
      </w:r>
      <w:r w:rsidRPr="002676AC">
        <w:rPr>
          <w:rFonts w:cs="Arial"/>
          <w:rtl/>
        </w:rPr>
        <w:t xml:space="preserve"> דהא נתן לו הגט ברצון</w:t>
      </w:r>
      <w:r>
        <w:rPr>
          <w:rFonts w:cs="Arial" w:hint="cs"/>
          <w:rtl/>
        </w:rPr>
        <w:t>,</w:t>
      </w:r>
      <w:r w:rsidRPr="002676AC">
        <w:rPr>
          <w:rFonts w:cs="Arial"/>
          <w:rtl/>
        </w:rPr>
        <w:t xml:space="preserve"> רק שחייב לו דמים</w:t>
      </w:r>
      <w:r>
        <w:rPr>
          <w:rFonts w:cs="Arial" w:hint="cs"/>
          <w:rtl/>
        </w:rPr>
        <w:t>...</w:t>
      </w:r>
      <w:r w:rsidRPr="002676AC">
        <w:rPr>
          <w:rFonts w:cs="Arial"/>
          <w:rtl/>
        </w:rPr>
        <w:t xml:space="preserve"> ומיהו אם נותן לו הגט על מנת לשלם לו מיד ואינו משלם לו</w:t>
      </w:r>
      <w:r>
        <w:rPr>
          <w:rFonts w:cs="Arial" w:hint="cs"/>
          <w:rtl/>
        </w:rPr>
        <w:t>,</w:t>
      </w:r>
      <w:r w:rsidRPr="002676AC">
        <w:rPr>
          <w:rFonts w:cs="Arial"/>
          <w:rtl/>
        </w:rPr>
        <w:t xml:space="preserve"> ודאי הוי גט גזל בידו</w:t>
      </w:r>
      <w:r>
        <w:rPr>
          <w:rFonts w:cs="Arial" w:hint="cs"/>
          <w:rtl/>
        </w:rPr>
        <w:t xml:space="preserve">, </w:t>
      </w:r>
      <w:r w:rsidRPr="00723E5C">
        <w:rPr>
          <w:rFonts w:cs="Arial" w:hint="cs"/>
          <w:b/>
          <w:bCs/>
          <w:rtl/>
        </w:rPr>
        <w:t>ח"מ</w:t>
      </w:r>
      <w:r>
        <w:rPr>
          <w:rFonts w:cs="Arial" w:hint="cs"/>
          <w:rtl/>
        </w:rPr>
        <w:t xml:space="preserve"> (סק"ה).</w:t>
      </w:r>
      <w:r w:rsidRPr="00E60CB7">
        <w:rPr>
          <w:rFonts w:cs="Arial"/>
          <w:rtl/>
        </w:rPr>
        <w:t xml:space="preserve"> </w:t>
      </w:r>
      <w:r>
        <w:rPr>
          <w:rFonts w:cs="Arial" w:hint="cs"/>
          <w:rtl/>
        </w:rPr>
        <w:t>ו</w:t>
      </w:r>
      <w:r w:rsidRPr="0054240D">
        <w:rPr>
          <w:rFonts w:cs="Arial"/>
          <w:rtl/>
        </w:rPr>
        <w:t>עיין בס' תו"ג שכ' דנראה דאפי' לקחו להקלף בהקפ</w:t>
      </w:r>
      <w:r>
        <w:rPr>
          <w:rFonts w:cs="Arial" w:hint="cs"/>
          <w:rtl/>
        </w:rPr>
        <w:t>ה,</w:t>
      </w:r>
      <w:r w:rsidRPr="0054240D">
        <w:rPr>
          <w:rFonts w:cs="Arial"/>
          <w:rtl/>
        </w:rPr>
        <w:t xml:space="preserve"> רק שקבע זמן לפרעון </w:t>
      </w:r>
      <w:r>
        <w:rPr>
          <w:rFonts w:cs="Arial" w:hint="cs"/>
          <w:rtl/>
        </w:rPr>
        <w:t xml:space="preserve">- </w:t>
      </w:r>
      <w:r w:rsidRPr="0054240D">
        <w:rPr>
          <w:rFonts w:cs="Arial"/>
          <w:rtl/>
        </w:rPr>
        <w:t>דלא תנשא עד יעבור הזמן</w:t>
      </w:r>
      <w:r>
        <w:rPr>
          <w:rFonts w:cs="Arial" w:hint="cs"/>
          <w:rtl/>
        </w:rPr>
        <w:t>.</w:t>
      </w:r>
      <w:r w:rsidRPr="0054240D">
        <w:rPr>
          <w:rFonts w:cs="Arial"/>
          <w:rtl/>
        </w:rPr>
        <w:t xml:space="preserve"> דאימר לא יפרע לו ויהי</w:t>
      </w:r>
      <w:r>
        <w:rPr>
          <w:rFonts w:cs="Arial" w:hint="cs"/>
          <w:rtl/>
        </w:rPr>
        <w:t>ה</w:t>
      </w:r>
      <w:r w:rsidRPr="0054240D">
        <w:rPr>
          <w:rFonts w:cs="Arial"/>
          <w:rtl/>
        </w:rPr>
        <w:t xml:space="preserve"> המוכר עייל ונפיק אזוזי</w:t>
      </w:r>
      <w:r>
        <w:rPr>
          <w:rFonts w:cs="Arial" w:hint="cs"/>
          <w:rtl/>
        </w:rPr>
        <w:t>,</w:t>
      </w:r>
      <w:r w:rsidRPr="0054240D">
        <w:rPr>
          <w:rFonts w:cs="Arial"/>
          <w:rtl/>
        </w:rPr>
        <w:t xml:space="preserve"> ויתבטל המקח למפרע כמבואר בח"מ סי' ק"צ (סי"ז)</w:t>
      </w:r>
      <w:r>
        <w:rPr>
          <w:rFonts w:cs="Arial" w:hint="cs"/>
          <w:rtl/>
        </w:rPr>
        <w:t>,</w:t>
      </w:r>
      <w:r w:rsidRPr="0054240D">
        <w:rPr>
          <w:rFonts w:cs="Arial"/>
          <w:rtl/>
        </w:rPr>
        <w:t xml:space="preserve"> ויהיו הבנים ממזרים</w:t>
      </w:r>
      <w:r>
        <w:rPr>
          <w:rFonts w:cs="Arial" w:hint="cs"/>
          <w:rtl/>
        </w:rPr>
        <w:t>.</w:t>
      </w:r>
      <w:r w:rsidRPr="0054240D">
        <w:rPr>
          <w:rFonts w:cs="Arial"/>
          <w:rtl/>
        </w:rPr>
        <w:t xml:space="preserve"> ובקלף אינו מועיל אף אם תרצה האשה ליתן המעות בעצמה</w:t>
      </w:r>
      <w:r>
        <w:rPr>
          <w:rFonts w:cs="Arial" w:hint="cs"/>
          <w:rtl/>
        </w:rPr>
        <w:t>,</w:t>
      </w:r>
      <w:r w:rsidRPr="0054240D">
        <w:rPr>
          <w:rFonts w:cs="Arial"/>
          <w:rtl/>
        </w:rPr>
        <w:t xml:space="preserve"> דהא קלף שלה לא אקנו לי' רבנן עכ"ל</w:t>
      </w:r>
      <w:r>
        <w:rPr>
          <w:rFonts w:cs="Arial" w:hint="cs"/>
          <w:rtl/>
        </w:rPr>
        <w:t>.</w:t>
      </w:r>
      <w:r w:rsidRPr="0054240D">
        <w:rPr>
          <w:rFonts w:cs="Arial"/>
          <w:rtl/>
        </w:rPr>
        <w:t xml:space="preserve"> ועיין בס' גט מקושר </w:t>
      </w:r>
      <w:r>
        <w:rPr>
          <w:rFonts w:cs="Arial" w:hint="cs"/>
          <w:rtl/>
        </w:rPr>
        <w:t>(</w:t>
      </w:r>
      <w:r w:rsidRPr="0054240D">
        <w:rPr>
          <w:rFonts w:cs="Arial"/>
          <w:rtl/>
        </w:rPr>
        <w:t>בסג"ר אות י"ז</w:t>
      </w:r>
      <w:r>
        <w:rPr>
          <w:rFonts w:cs="Arial" w:hint="cs"/>
          <w:rtl/>
        </w:rPr>
        <w:t>)</w:t>
      </w:r>
      <w:r w:rsidRPr="0054240D">
        <w:rPr>
          <w:rFonts w:cs="Arial"/>
          <w:rtl/>
        </w:rPr>
        <w:t xml:space="preserve"> שהביא ג"כ דבר זה בשם הרב בית מאיר </w:t>
      </w:r>
      <w:r w:rsidRPr="00E60CB7">
        <w:rPr>
          <w:rFonts w:cs="Arial"/>
          <w:sz w:val="16"/>
          <w:szCs w:val="16"/>
          <w:rtl/>
        </w:rPr>
        <w:t>(אלא דמלשונו שם משמע קצת דה"ה אם הקלף של בעל מתחילה או ע"י מה שהקנה לו הסופר קודם הכתיבה רק שהסופר עייל ונפיק אזוזי דמי כתיבת הגט. ובאמת בכה"ג הדבר תלוי בהא דאומן קונה בש"כ שיבואר בסמוך ודעת הרב בעל תו"ג דלא שייך בזה אומן קונה כמו שיובא בס"ק שאח"ז)</w:t>
      </w:r>
      <w:r w:rsidRPr="0054240D">
        <w:rPr>
          <w:rFonts w:cs="Arial"/>
          <w:rtl/>
        </w:rPr>
        <w:t xml:space="preserve"> והוא ז"ל השיג עליו דליתא לדין זה</w:t>
      </w:r>
      <w:r>
        <w:rPr>
          <w:rFonts w:cs="Arial" w:hint="cs"/>
          <w:rtl/>
        </w:rPr>
        <w:t>,</w:t>
      </w:r>
      <w:r w:rsidRPr="0054240D">
        <w:rPr>
          <w:rFonts w:cs="Arial"/>
          <w:rtl/>
        </w:rPr>
        <w:t xml:space="preserve"> דהא במוכר שדהו מפני רעתה גם בעייל ונפיק אזוזי קנה</w:t>
      </w:r>
      <w:r>
        <w:rPr>
          <w:rFonts w:cs="Arial" w:hint="cs"/>
          <w:rtl/>
        </w:rPr>
        <w:t>,</w:t>
      </w:r>
      <w:r w:rsidRPr="0054240D">
        <w:rPr>
          <w:rFonts w:cs="Arial"/>
          <w:rtl/>
        </w:rPr>
        <w:t xml:space="preserve"> כדאי</w:t>
      </w:r>
      <w:r>
        <w:rPr>
          <w:rFonts w:cs="Arial" w:hint="cs"/>
          <w:rtl/>
        </w:rPr>
        <w:t>תא</w:t>
      </w:r>
      <w:r w:rsidRPr="0054240D">
        <w:rPr>
          <w:rFonts w:cs="Arial"/>
          <w:rtl/>
        </w:rPr>
        <w:t xml:space="preserve"> בח"מ שם סי"א</w:t>
      </w:r>
      <w:r>
        <w:rPr>
          <w:rFonts w:cs="Arial" w:hint="cs"/>
          <w:rtl/>
        </w:rPr>
        <w:t>,</w:t>
      </w:r>
      <w:r w:rsidRPr="0054240D">
        <w:rPr>
          <w:rFonts w:cs="Arial"/>
          <w:rtl/>
        </w:rPr>
        <w:t xml:space="preserve"> וכ"ש בכה"ג שאין הגט שוה להסופר ועיקר נתינתו להבעל על דבר שכר ואינו דומה לחפץ כו'</w:t>
      </w:r>
      <w:r>
        <w:rPr>
          <w:rFonts w:cs="Arial" w:hint="cs"/>
          <w:rtl/>
        </w:rPr>
        <w:t xml:space="preserve">..., </w:t>
      </w:r>
      <w:r w:rsidRPr="00723E5C">
        <w:rPr>
          <w:rFonts w:cs="Arial" w:hint="cs"/>
          <w:b/>
          <w:bCs/>
          <w:rtl/>
        </w:rPr>
        <w:t>פת"ש</w:t>
      </w:r>
      <w:r>
        <w:rPr>
          <w:rFonts w:cs="Arial" w:hint="cs"/>
          <w:rtl/>
        </w:rPr>
        <w:t xml:space="preserve"> (סק"ו).</w:t>
      </w:r>
    </w:p>
  </w:footnote>
  <w:footnote w:id="119">
    <w:p w14:paraId="1449CB61" w14:textId="1FD32E3A" w:rsidR="00403A76" w:rsidRDefault="00403A76" w:rsidP="00562895">
      <w:pPr>
        <w:pStyle w:val="a5"/>
        <w:rPr>
          <w:rtl/>
        </w:rPr>
      </w:pPr>
      <w:r>
        <w:rPr>
          <w:rStyle w:val="a7"/>
        </w:rPr>
        <w:footnoteRef/>
      </w:r>
      <w:r>
        <w:rPr>
          <w:rtl/>
        </w:rPr>
        <w:t xml:space="preserve"> </w:t>
      </w:r>
      <w:r w:rsidRPr="00980124">
        <w:rPr>
          <w:rFonts w:cs="Arial"/>
          <w:rtl/>
        </w:rPr>
        <w:t xml:space="preserve">וכ' בס' ג"פ </w:t>
      </w:r>
      <w:r>
        <w:rPr>
          <w:rFonts w:cs="Arial" w:hint="cs"/>
          <w:rtl/>
        </w:rPr>
        <w:t>(</w:t>
      </w:r>
      <w:r w:rsidRPr="00980124">
        <w:rPr>
          <w:rFonts w:cs="Arial"/>
          <w:rtl/>
        </w:rPr>
        <w:t>סק"ט</w:t>
      </w:r>
      <w:r>
        <w:rPr>
          <w:rFonts w:cs="Arial" w:hint="cs"/>
          <w:rtl/>
        </w:rPr>
        <w:t>)</w:t>
      </w:r>
      <w:r w:rsidRPr="00980124">
        <w:rPr>
          <w:rFonts w:cs="Arial"/>
          <w:rtl/>
        </w:rPr>
        <w:t xml:space="preserve"> נראה דהיינו כשכת</w:t>
      </w:r>
      <w:r>
        <w:rPr>
          <w:rFonts w:cs="Arial" w:hint="cs"/>
          <w:rtl/>
        </w:rPr>
        <w:t>ב</w:t>
      </w:r>
      <w:r w:rsidRPr="00980124">
        <w:rPr>
          <w:rFonts w:cs="Arial"/>
          <w:rtl/>
        </w:rPr>
        <w:t xml:space="preserve"> הסופר הגט בקלף ודיו שלו</w:t>
      </w:r>
      <w:r>
        <w:rPr>
          <w:rFonts w:cs="Arial" w:hint="cs"/>
          <w:rtl/>
        </w:rPr>
        <w:t>,</w:t>
      </w:r>
      <w:r w:rsidRPr="00980124">
        <w:rPr>
          <w:rFonts w:cs="Arial"/>
          <w:rtl/>
        </w:rPr>
        <w:t xml:space="preserve"> אז אמרי</w:t>
      </w:r>
      <w:r>
        <w:rPr>
          <w:rFonts w:cs="Arial" w:hint="cs"/>
          <w:rtl/>
        </w:rPr>
        <w:t>נן</w:t>
      </w:r>
      <w:r w:rsidRPr="00980124">
        <w:rPr>
          <w:rFonts w:cs="Arial"/>
          <w:rtl/>
        </w:rPr>
        <w:t xml:space="preserve"> דאם גזל הגט מהסופר וגירש בו לא הויא מגורש'</w:t>
      </w:r>
      <w:r>
        <w:rPr>
          <w:rFonts w:cs="Arial" w:hint="cs"/>
          <w:rtl/>
        </w:rPr>
        <w:t>,</w:t>
      </w:r>
      <w:r w:rsidRPr="00980124">
        <w:rPr>
          <w:rFonts w:cs="Arial"/>
          <w:rtl/>
        </w:rPr>
        <w:t xml:space="preserve"> אבל אם הבעל נתן קלף ודיו לסופר ושכר לסופר שיכתוב לו הגט בסלע ולקח הגט בחזקה מיד הסופר וגזלו ממנו ולא רצה לפרוע לו מה שקצץ עמו בשכר הכתיבה צ"ע לדינא</w:t>
      </w:r>
      <w:r>
        <w:rPr>
          <w:rFonts w:cs="Arial" w:hint="cs"/>
          <w:rtl/>
        </w:rPr>
        <w:t>.</w:t>
      </w:r>
      <w:r w:rsidRPr="00980124">
        <w:rPr>
          <w:rFonts w:cs="Arial"/>
          <w:rtl/>
        </w:rPr>
        <w:t xml:space="preserve"> ויראה דדין זה תלוי בפלוגתא דרבוותא אי אומן קונה בשבח כלי</w:t>
      </w:r>
      <w:r>
        <w:rPr>
          <w:rFonts w:cs="Arial" w:hint="cs"/>
          <w:rtl/>
        </w:rPr>
        <w:t>..</w:t>
      </w:r>
      <w:r w:rsidRPr="00980124">
        <w:rPr>
          <w:rFonts w:cs="Arial"/>
          <w:rtl/>
        </w:rPr>
        <w:t>.</w:t>
      </w:r>
      <w:r w:rsidR="00562895" w:rsidRPr="00562895">
        <w:rPr>
          <w:rtl/>
        </w:rPr>
        <w:t xml:space="preserve"> </w:t>
      </w:r>
      <w:r w:rsidR="00562895" w:rsidRPr="00562895">
        <w:rPr>
          <w:rFonts w:cs="Arial"/>
          <w:rtl/>
        </w:rPr>
        <w:t>וא"כ בנ"ד גבי גט דכתיבת הגט בודאי הוא מעשה גדול וחשוב א"כ למ"ד אומן קונה יש לסופר זכיה בגט זה ולא קרינן ונתן ולא הויא מגורשת וכיון דאיכא פלוגתא דרבוותא דיינינן לה כספק מגורשת. אך כל זה הוא לענין סופר אבל לענין עדים אם שכר הבעל העדים שיחתמו בגט וחתמו ושוב לקח הבעל בחזקה הגט מיד העדים יראה דאפי' למ"ד אומן קונה בש"כ אין כאן שום חשש</w:t>
      </w:r>
      <w:r w:rsidR="00562895">
        <w:rPr>
          <w:rFonts w:cs="Arial" w:hint="cs"/>
          <w:rtl/>
        </w:rPr>
        <w:t>...</w:t>
      </w:r>
      <w:r w:rsidR="00562895" w:rsidRPr="00562895">
        <w:rPr>
          <w:rFonts w:cs="Arial"/>
          <w:rtl/>
        </w:rPr>
        <w:t xml:space="preserve"> ע"ש באריכות</w:t>
      </w:r>
      <w:r w:rsidR="00562895">
        <w:rPr>
          <w:rFonts w:cs="Arial" w:hint="cs"/>
          <w:rtl/>
        </w:rPr>
        <w:t>.</w:t>
      </w:r>
      <w:r w:rsidR="00562895" w:rsidRPr="00562895">
        <w:rPr>
          <w:rFonts w:cs="Arial"/>
          <w:sz w:val="22"/>
          <w:szCs w:val="22"/>
          <w:rtl/>
        </w:rPr>
        <w:t xml:space="preserve"> </w:t>
      </w:r>
      <w:r w:rsidR="00562895" w:rsidRPr="00562895">
        <w:rPr>
          <w:rFonts w:cs="Arial"/>
          <w:rtl/>
        </w:rPr>
        <w:t>ועיין בס' תו"ג סק"ו שהזכיר ג"כ דברי הג"פ הנ"ל בקצרה והשיג עליו</w:t>
      </w:r>
      <w:r w:rsidR="00562895" w:rsidRPr="00562895">
        <w:rPr>
          <w:rFonts w:cs="Arial" w:hint="cs"/>
          <w:rtl/>
        </w:rPr>
        <w:t>...</w:t>
      </w:r>
      <w:r w:rsidR="00562895" w:rsidRPr="00562895">
        <w:rPr>
          <w:rFonts w:cs="Arial"/>
          <w:rtl/>
        </w:rPr>
        <w:t xml:space="preserve"> ועיין בס' יד המלך פ"ג מהלכות גירושין דין ט"ו מ"ש בזה. ועמ"ש לעיל סק"ב וס"ק ד'</w:t>
      </w:r>
      <w:r>
        <w:rPr>
          <w:rFonts w:hint="cs"/>
          <w:rtl/>
        </w:rPr>
        <w:t>, פת"ש (סק"ו).</w:t>
      </w:r>
    </w:p>
  </w:footnote>
  <w:footnote w:id="120">
    <w:p w14:paraId="332AFA96" w14:textId="5E1A7A2D" w:rsidR="0082010C" w:rsidRDefault="0082010C">
      <w:pPr>
        <w:pStyle w:val="a5"/>
        <w:rPr>
          <w:rtl/>
        </w:rPr>
      </w:pPr>
      <w:r>
        <w:rPr>
          <w:rStyle w:val="a7"/>
        </w:rPr>
        <w:footnoteRef/>
      </w:r>
      <w:r>
        <w:rPr>
          <w:rtl/>
        </w:rPr>
        <w:t xml:space="preserve"> </w:t>
      </w:r>
      <w:r w:rsidRPr="0082010C">
        <w:rPr>
          <w:rFonts w:cs="Arial"/>
          <w:rtl/>
        </w:rPr>
        <w:t>הסופר והעדים צריכין שיכירו שזהו שמו</w:t>
      </w:r>
      <w:r>
        <w:rPr>
          <w:rFonts w:cs="Arial" w:hint="cs"/>
          <w:rtl/>
        </w:rPr>
        <w:t>...</w:t>
      </w:r>
      <w:r>
        <w:rPr>
          <w:rFonts w:hint="cs"/>
          <w:rtl/>
        </w:rPr>
        <w:t>, רשב"ם.</w:t>
      </w:r>
      <w:r w:rsidR="00435CA8" w:rsidRPr="00435CA8">
        <w:rPr>
          <w:rFonts w:cs="Arial"/>
          <w:rtl/>
        </w:rPr>
        <w:t xml:space="preserve"> </w:t>
      </w:r>
      <w:r w:rsidR="00435CA8">
        <w:rPr>
          <w:rFonts w:cs="Arial"/>
          <w:rtl/>
        </w:rPr>
        <w:t>ו</w:t>
      </w:r>
      <w:r w:rsidR="00435CA8">
        <w:rPr>
          <w:rFonts w:cs="Arial" w:hint="cs"/>
          <w:rtl/>
        </w:rPr>
        <w:t>כתב ה</w:t>
      </w:r>
      <w:r w:rsidR="00435CA8">
        <w:rPr>
          <w:rFonts w:cs="Arial"/>
          <w:rtl/>
        </w:rPr>
        <w:t>נמוק</w:t>
      </w:r>
      <w:r w:rsidR="00435CA8">
        <w:rPr>
          <w:rFonts w:cs="Arial" w:hint="cs"/>
          <w:rtl/>
        </w:rPr>
        <w:t>"</w:t>
      </w:r>
      <w:r w:rsidR="00435CA8">
        <w:rPr>
          <w:rFonts w:cs="Arial"/>
          <w:rtl/>
        </w:rPr>
        <w:t>י (עז: ד"ה גמ' שיהא) שיהא מכיר וכו' כלומר דלא סגי בהכרת פנים ושיסמוך על אחרים בשמות משום דהוי מילתא דעבידא לגלויי (יבמות צג:)</w:t>
      </w:r>
      <w:r w:rsidR="00435CA8">
        <w:rPr>
          <w:rFonts w:cs="Arial" w:hint="cs"/>
          <w:rtl/>
        </w:rPr>
        <w:t>,</w:t>
      </w:r>
      <w:r w:rsidR="00435CA8">
        <w:rPr>
          <w:rFonts w:cs="Arial"/>
          <w:rtl/>
        </w:rPr>
        <w:t xml:space="preserve"> אלא צריך שיכיר שמותיהם גם כן</w:t>
      </w:r>
      <w:r w:rsidR="00435CA8">
        <w:rPr>
          <w:rFonts w:cs="Arial" w:hint="cs"/>
          <w:rtl/>
        </w:rPr>
        <w:t>.</w:t>
      </w:r>
      <w:r w:rsidR="00435CA8">
        <w:rPr>
          <w:rFonts w:cs="Arial"/>
          <w:rtl/>
        </w:rPr>
        <w:t xml:space="preserve"> עד כאן</w:t>
      </w:r>
      <w:r w:rsidR="00435CA8">
        <w:rPr>
          <w:rFonts w:cs="Arial" w:hint="cs"/>
          <w:rtl/>
        </w:rPr>
        <w:t>.</w:t>
      </w:r>
      <w:r w:rsidR="00435CA8">
        <w:rPr>
          <w:rFonts w:cs="Arial"/>
          <w:rtl/>
        </w:rPr>
        <w:t xml:space="preserve"> כלומר שאם אינו מכיר שמם אע</w:t>
      </w:r>
      <w:r w:rsidR="00435CA8">
        <w:rPr>
          <w:rFonts w:cs="Arial" w:hint="cs"/>
          <w:rtl/>
        </w:rPr>
        <w:t>"</w:t>
      </w:r>
      <w:r w:rsidR="00435CA8">
        <w:rPr>
          <w:rFonts w:cs="Arial"/>
          <w:rtl/>
        </w:rPr>
        <w:t>פ שהוא מכיר אותם</w:t>
      </w:r>
      <w:r w:rsidR="00435CA8">
        <w:rPr>
          <w:rFonts w:cs="Arial" w:hint="cs"/>
          <w:rtl/>
        </w:rPr>
        <w:t xml:space="preserve"> -</w:t>
      </w:r>
      <w:r w:rsidR="00435CA8">
        <w:rPr>
          <w:rFonts w:cs="Arial"/>
          <w:rtl/>
        </w:rPr>
        <w:t xml:space="preserve"> לא יכתוב</w:t>
      </w:r>
      <w:r w:rsidR="00435CA8">
        <w:rPr>
          <w:rFonts w:cs="Arial" w:hint="cs"/>
          <w:rtl/>
        </w:rPr>
        <w:t>,</w:t>
      </w:r>
      <w:r w:rsidR="00435CA8">
        <w:rPr>
          <w:rFonts w:cs="Arial"/>
          <w:rtl/>
        </w:rPr>
        <w:t xml:space="preserve"> דחיישינן שמא החליפו שמותם ויכתוב גט לאשת חבירו</w:t>
      </w:r>
      <w:r w:rsidR="00435CA8">
        <w:rPr>
          <w:rFonts w:cs="Arial" w:hint="cs"/>
          <w:rtl/>
        </w:rPr>
        <w:t>.</w:t>
      </w:r>
      <w:r w:rsidR="00435CA8">
        <w:rPr>
          <w:rFonts w:cs="Arial"/>
          <w:rtl/>
        </w:rPr>
        <w:t xml:space="preserve"> ולא סמכינן לכתוב על סמך שנשאל אחר כך שמותם לאחרים</w:t>
      </w:r>
      <w:r w:rsidR="00435CA8">
        <w:rPr>
          <w:rFonts w:cs="Arial" w:hint="cs"/>
          <w:rtl/>
        </w:rPr>
        <w:t>.</w:t>
      </w:r>
      <w:r w:rsidR="00435CA8">
        <w:rPr>
          <w:rFonts w:cs="Arial"/>
          <w:rtl/>
        </w:rPr>
        <w:t xml:space="preserve"> אבל אין סברא לפרש שבא לומר שאם שאלנו לאחרים על שמותם והגידו לנו שלא נסמוך עליהם</w:t>
      </w:r>
      <w:r w:rsidR="00435CA8">
        <w:rPr>
          <w:rFonts w:cs="Arial" w:hint="cs"/>
          <w:rtl/>
        </w:rPr>
        <w:t>, ב"י</w:t>
      </w:r>
      <w:r w:rsidR="00435CA8">
        <w:rPr>
          <w:rFonts w:hint="cs"/>
          <w:rtl/>
        </w:rPr>
        <w:t>.</w:t>
      </w:r>
    </w:p>
  </w:footnote>
  <w:footnote w:id="121">
    <w:p w14:paraId="6014624C" w14:textId="6B1D284B" w:rsidR="009805C0" w:rsidRDefault="009805C0">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9805C0">
        <w:rPr>
          <w:rFonts w:cs="Arial"/>
          <w:rtl/>
        </w:rPr>
        <w:t>וכותבין גט לאיש א</w:t>
      </w:r>
      <w:r>
        <w:rPr>
          <w:rFonts w:cs="Arial" w:hint="cs"/>
          <w:rtl/>
        </w:rPr>
        <w:t>ע"פ</w:t>
      </w:r>
      <w:r w:rsidRPr="009805C0">
        <w:rPr>
          <w:rFonts w:cs="Arial"/>
          <w:rtl/>
        </w:rPr>
        <w:t xml:space="preserve"> שאין אשתו עמו, והוא שיהיו העדים והסופר שכתבו וחתמו בו מכירין ויודעין שזה הוא פלוני ואשתו היא פלונית</w:t>
      </w:r>
      <w:r>
        <w:rPr>
          <w:rFonts w:cs="Arial" w:hint="cs"/>
          <w:rtl/>
        </w:rPr>
        <w:t>...</w:t>
      </w:r>
    </w:p>
  </w:footnote>
  <w:footnote w:id="122">
    <w:p w14:paraId="39DF7756" w14:textId="1DF18A19" w:rsidR="0022409D" w:rsidRDefault="0022409D">
      <w:pPr>
        <w:pStyle w:val="a5"/>
      </w:pPr>
      <w:r>
        <w:rPr>
          <w:rStyle w:val="a7"/>
        </w:rPr>
        <w:footnoteRef/>
      </w:r>
      <w:r>
        <w:rPr>
          <w:rtl/>
        </w:rPr>
        <w:t xml:space="preserve"> </w:t>
      </w:r>
      <w:r>
        <w:rPr>
          <w:rFonts w:hint="cs"/>
          <w:rtl/>
        </w:rPr>
        <w:t>היינו שני הצדדים, המלוה והלוה, או האיש והאשה. וכתב הב"י ד</w:t>
      </w:r>
      <w:r>
        <w:rPr>
          <w:rFonts w:cs="Arial" w:hint="cs"/>
          <w:rtl/>
        </w:rPr>
        <w:t>אשמעינן</w:t>
      </w:r>
      <w:r>
        <w:rPr>
          <w:rFonts w:cs="Arial"/>
          <w:rtl/>
        </w:rPr>
        <w:t xml:space="preserve"> </w:t>
      </w:r>
      <w:r>
        <w:rPr>
          <w:rFonts w:cs="Arial" w:hint="cs"/>
          <w:rtl/>
        </w:rPr>
        <w:t xml:space="preserve">הרמב"ם </w:t>
      </w:r>
      <w:r>
        <w:rPr>
          <w:rFonts w:cs="Arial"/>
          <w:rtl/>
        </w:rPr>
        <w:t>דאע</w:t>
      </w:r>
      <w:r>
        <w:rPr>
          <w:rFonts w:cs="Arial" w:hint="cs"/>
          <w:rtl/>
        </w:rPr>
        <w:t>"</w:t>
      </w:r>
      <w:r>
        <w:rPr>
          <w:rFonts w:cs="Arial"/>
          <w:rtl/>
        </w:rPr>
        <w:t>ג דהא דתנן ובלבד שיהא מכירן א</w:t>
      </w:r>
      <w:r>
        <w:rPr>
          <w:rFonts w:cs="Arial" w:hint="cs"/>
          <w:rtl/>
        </w:rPr>
        <w:t>'</w:t>
      </w:r>
      <w:r>
        <w:rPr>
          <w:rFonts w:cs="Arial"/>
          <w:rtl/>
        </w:rPr>
        <w:t>כותבין גט לאיש אע</w:t>
      </w:r>
      <w:r>
        <w:rPr>
          <w:rFonts w:cs="Arial" w:hint="cs"/>
          <w:rtl/>
        </w:rPr>
        <w:t>"</w:t>
      </w:r>
      <w:r>
        <w:rPr>
          <w:rFonts w:cs="Arial"/>
          <w:rtl/>
        </w:rPr>
        <w:t>פ שאין אשתו עמו</w:t>
      </w:r>
      <w:r>
        <w:rPr>
          <w:rFonts w:cs="Arial" w:hint="cs"/>
          <w:rtl/>
        </w:rPr>
        <w:t>'</w:t>
      </w:r>
      <w:r>
        <w:rPr>
          <w:rFonts w:cs="Arial"/>
          <w:rtl/>
        </w:rPr>
        <w:t xml:space="preserve"> איתניא</w:t>
      </w:r>
      <w:r>
        <w:rPr>
          <w:rFonts w:cs="Arial" w:hint="cs"/>
          <w:rtl/>
        </w:rPr>
        <w:t>,</w:t>
      </w:r>
      <w:r>
        <w:rPr>
          <w:rFonts w:cs="Arial"/>
          <w:rtl/>
        </w:rPr>
        <w:t xml:space="preserve"> לאו דוקא</w:t>
      </w:r>
      <w:r>
        <w:rPr>
          <w:rFonts w:cs="Arial" w:hint="cs"/>
          <w:rtl/>
        </w:rPr>
        <w:t>,</w:t>
      </w:r>
      <w:r>
        <w:rPr>
          <w:rFonts w:cs="Arial"/>
          <w:rtl/>
        </w:rPr>
        <w:t xml:space="preserve"> דהוא הדין כשאשתו עמו</w:t>
      </w:r>
      <w:r>
        <w:rPr>
          <w:rFonts w:cs="Arial" w:hint="cs"/>
          <w:rtl/>
        </w:rPr>
        <w:t>,</w:t>
      </w:r>
      <w:r>
        <w:rPr>
          <w:rFonts w:cs="Arial"/>
          <w:rtl/>
        </w:rPr>
        <w:t xml:space="preserve"> דלא שנא</w:t>
      </w:r>
      <w:r>
        <w:rPr>
          <w:rFonts w:cs="Arial" w:hint="cs"/>
          <w:rtl/>
        </w:rPr>
        <w:t>.</w:t>
      </w:r>
      <w:r>
        <w:rPr>
          <w:rFonts w:cs="Arial"/>
          <w:rtl/>
        </w:rPr>
        <w:t xml:space="preserve"> ורבותא אשמעינן</w:t>
      </w:r>
      <w:r>
        <w:rPr>
          <w:rFonts w:cs="Arial" w:hint="cs"/>
          <w:rtl/>
        </w:rPr>
        <w:t>,</w:t>
      </w:r>
      <w:r>
        <w:rPr>
          <w:rFonts w:cs="Arial"/>
          <w:rtl/>
        </w:rPr>
        <w:t xml:space="preserve"> דאע</w:t>
      </w:r>
      <w:r>
        <w:rPr>
          <w:rFonts w:cs="Arial" w:hint="cs"/>
          <w:rtl/>
        </w:rPr>
        <w:t>"</w:t>
      </w:r>
      <w:r>
        <w:rPr>
          <w:rFonts w:cs="Arial"/>
          <w:rtl/>
        </w:rPr>
        <w:t>ג דמקילינן לכתוב גט לאיש בלא אשה</w:t>
      </w:r>
      <w:r>
        <w:rPr>
          <w:rFonts w:cs="Arial" w:hint="cs"/>
          <w:rtl/>
        </w:rPr>
        <w:t>,</w:t>
      </w:r>
      <w:r>
        <w:rPr>
          <w:rFonts w:cs="Arial"/>
          <w:rtl/>
        </w:rPr>
        <w:t xml:space="preserve"> ושובר לאשה בלא איש</w:t>
      </w:r>
      <w:r>
        <w:rPr>
          <w:rFonts w:cs="Arial" w:hint="cs"/>
          <w:rtl/>
        </w:rPr>
        <w:t>,</w:t>
      </w:r>
      <w:r>
        <w:rPr>
          <w:rFonts w:cs="Arial"/>
          <w:rtl/>
        </w:rPr>
        <w:t xml:space="preserve"> לענין ההיכרא לא מקילינן</w:t>
      </w:r>
      <w:r>
        <w:rPr>
          <w:rFonts w:cs="Arial" w:hint="cs"/>
          <w:rtl/>
        </w:rPr>
        <w:t>,</w:t>
      </w:r>
      <w:r>
        <w:rPr>
          <w:rFonts w:cs="Arial"/>
          <w:rtl/>
        </w:rPr>
        <w:t xml:space="preserve"> דלעולם בעינן שיהא מכירן</w:t>
      </w:r>
      <w:r>
        <w:rPr>
          <w:rFonts w:cs="Arial" w:hint="cs"/>
          <w:rtl/>
        </w:rPr>
        <w:t>.</w:t>
      </w:r>
    </w:p>
  </w:footnote>
  <w:footnote w:id="123">
    <w:p w14:paraId="539B4735" w14:textId="09E9E564" w:rsidR="00BD3DDF" w:rsidRDefault="00BD3DDF" w:rsidP="00BD3DDF">
      <w:pPr>
        <w:pStyle w:val="a5"/>
      </w:pPr>
      <w:r>
        <w:rPr>
          <w:rStyle w:val="a7"/>
        </w:rPr>
        <w:footnoteRef/>
      </w:r>
      <w:r>
        <w:rPr>
          <w:rtl/>
        </w:rPr>
        <w:t xml:space="preserve"> </w:t>
      </w:r>
      <w:r>
        <w:rPr>
          <w:rFonts w:cs="Arial"/>
          <w:rtl/>
        </w:rPr>
        <w:t>ו</w:t>
      </w:r>
      <w:r>
        <w:rPr>
          <w:rFonts w:cs="Arial" w:hint="cs"/>
          <w:rtl/>
        </w:rPr>
        <w:t xml:space="preserve">כתב הב"י </w:t>
      </w:r>
      <w:r>
        <w:rPr>
          <w:rFonts w:cs="Arial"/>
          <w:rtl/>
        </w:rPr>
        <w:t>דא</w:t>
      </w:r>
      <w:r>
        <w:rPr>
          <w:rFonts w:cs="Arial" w:hint="cs"/>
          <w:rtl/>
        </w:rPr>
        <w:t>ע"ג</w:t>
      </w:r>
      <w:r>
        <w:rPr>
          <w:rFonts w:cs="Arial"/>
          <w:rtl/>
        </w:rPr>
        <w:t xml:space="preserve"> דפירש רש</w:t>
      </w:r>
      <w:r>
        <w:rPr>
          <w:rFonts w:cs="Arial" w:hint="cs"/>
          <w:rtl/>
        </w:rPr>
        <w:t>ב"ם</w:t>
      </w:r>
      <w:r>
        <w:rPr>
          <w:rFonts w:cs="Arial"/>
          <w:rtl/>
        </w:rPr>
        <w:t xml:space="preserve"> </w:t>
      </w:r>
      <w:r>
        <w:rPr>
          <w:rFonts w:cs="Arial" w:hint="cs"/>
          <w:rtl/>
        </w:rPr>
        <w:t>'</w:t>
      </w:r>
      <w:r>
        <w:rPr>
          <w:rFonts w:cs="Arial"/>
          <w:rtl/>
        </w:rPr>
        <w:t>שיהא מכירן</w:t>
      </w:r>
      <w:r>
        <w:rPr>
          <w:rFonts w:cs="Arial" w:hint="cs"/>
          <w:rtl/>
        </w:rPr>
        <w:t>'</w:t>
      </w:r>
      <w:r>
        <w:rPr>
          <w:rFonts w:cs="Arial"/>
          <w:rtl/>
        </w:rPr>
        <w:t xml:space="preserve"> </w:t>
      </w:r>
      <w:r>
        <w:rPr>
          <w:rFonts w:cs="Arial" w:hint="cs"/>
          <w:rtl/>
        </w:rPr>
        <w:t xml:space="preserve">- </w:t>
      </w:r>
      <w:r>
        <w:rPr>
          <w:rFonts w:cs="Arial"/>
          <w:rtl/>
        </w:rPr>
        <w:t>הסופר והעדים</w:t>
      </w:r>
      <w:r>
        <w:rPr>
          <w:rFonts w:cs="Arial" w:hint="cs"/>
          <w:rtl/>
        </w:rPr>
        <w:t>.</w:t>
      </w:r>
      <w:r>
        <w:rPr>
          <w:rFonts w:cs="Arial"/>
          <w:rtl/>
        </w:rPr>
        <w:t xml:space="preserve"> וגם הרמב"ם בפ</w:t>
      </w:r>
      <w:r>
        <w:rPr>
          <w:rFonts w:cs="Arial" w:hint="cs"/>
          <w:rtl/>
        </w:rPr>
        <w:t>"</w:t>
      </w:r>
      <w:r>
        <w:rPr>
          <w:rFonts w:cs="Arial"/>
          <w:rtl/>
        </w:rPr>
        <w:t>ב מהל</w:t>
      </w:r>
      <w:r>
        <w:rPr>
          <w:rFonts w:cs="Arial" w:hint="cs"/>
          <w:rtl/>
        </w:rPr>
        <w:t>'</w:t>
      </w:r>
      <w:r>
        <w:rPr>
          <w:rFonts w:cs="Arial"/>
          <w:rtl/>
        </w:rPr>
        <w:t xml:space="preserve"> גירושין (ה"ג) הזכיר סופר</w:t>
      </w:r>
      <w:r>
        <w:rPr>
          <w:rFonts w:cs="Arial" w:hint="cs"/>
          <w:rtl/>
        </w:rPr>
        <w:t xml:space="preserve"> -</w:t>
      </w:r>
      <w:r>
        <w:rPr>
          <w:rFonts w:cs="Arial"/>
          <w:rtl/>
        </w:rPr>
        <w:t xml:space="preserve"> לאו דוקא</w:t>
      </w:r>
      <w:r>
        <w:rPr>
          <w:rFonts w:cs="Arial" w:hint="cs"/>
          <w:rtl/>
        </w:rPr>
        <w:t>,</w:t>
      </w:r>
      <w:r>
        <w:rPr>
          <w:rFonts w:cs="Arial"/>
          <w:rtl/>
        </w:rPr>
        <w:t xml:space="preserve"> דקפידא ליתא אלא אעדים</w:t>
      </w:r>
      <w:r>
        <w:rPr>
          <w:rFonts w:cs="Arial" w:hint="cs"/>
          <w:rtl/>
        </w:rPr>
        <w:t>,</w:t>
      </w:r>
      <w:r>
        <w:rPr>
          <w:rFonts w:cs="Arial"/>
          <w:rtl/>
        </w:rPr>
        <w:t xml:space="preserve"> דסופר זה אינו מעלה ואינו מוריד</w:t>
      </w:r>
      <w:r w:rsidR="005132B9">
        <w:rPr>
          <w:rFonts w:cs="Arial" w:hint="cs"/>
          <w:rtl/>
        </w:rPr>
        <w:t>.</w:t>
      </w:r>
      <w:r>
        <w:rPr>
          <w:rFonts w:cs="Arial"/>
          <w:rtl/>
        </w:rPr>
        <w:t xml:space="preserve"> ומה שהזכיר סופר בהלכות גירושין</w:t>
      </w:r>
      <w:r>
        <w:rPr>
          <w:rFonts w:cs="Arial" w:hint="cs"/>
          <w:rtl/>
        </w:rPr>
        <w:t>,</w:t>
      </w:r>
      <w:r>
        <w:rPr>
          <w:rFonts w:cs="Arial"/>
          <w:rtl/>
        </w:rPr>
        <w:t xml:space="preserve"> אשגרת לישן הוא ולאו דוקא. ויותר נראה לומר דבפ</w:t>
      </w:r>
      <w:r>
        <w:rPr>
          <w:rFonts w:cs="Arial" w:hint="cs"/>
          <w:rtl/>
        </w:rPr>
        <w:t>"</w:t>
      </w:r>
      <w:r>
        <w:rPr>
          <w:rFonts w:cs="Arial"/>
          <w:rtl/>
        </w:rPr>
        <w:t>ב דגיטין (גירושין פ"ב ה"ג) אשמעינן אגב אורחיה דחתם סופר ועד כשר</w:t>
      </w:r>
      <w:r>
        <w:rPr>
          <w:rFonts w:cs="Arial" w:hint="cs"/>
          <w:rtl/>
        </w:rPr>
        <w:t>,</w:t>
      </w:r>
      <w:r>
        <w:rPr>
          <w:rFonts w:cs="Arial"/>
          <w:rtl/>
        </w:rPr>
        <w:t xml:space="preserve"> כמבואר בדבריו בפ</w:t>
      </w:r>
      <w:r>
        <w:rPr>
          <w:rFonts w:cs="Arial" w:hint="cs"/>
          <w:rtl/>
        </w:rPr>
        <w:t>"</w:t>
      </w:r>
      <w:r>
        <w:rPr>
          <w:rFonts w:cs="Arial"/>
          <w:rtl/>
        </w:rPr>
        <w:t>ט (הכ"ז)</w:t>
      </w:r>
      <w:r>
        <w:rPr>
          <w:rFonts w:cs="Arial" w:hint="cs"/>
          <w:rtl/>
        </w:rPr>
        <w:t>.</w:t>
      </w:r>
      <w:r>
        <w:rPr>
          <w:rFonts w:cs="Arial"/>
          <w:rtl/>
        </w:rPr>
        <w:t xml:space="preserve"> ולפי שדייק בלשונו כתב בפ</w:t>
      </w:r>
      <w:r>
        <w:rPr>
          <w:rFonts w:cs="Arial" w:hint="cs"/>
          <w:rtl/>
        </w:rPr>
        <w:t>"</w:t>
      </w:r>
      <w:r>
        <w:rPr>
          <w:rFonts w:cs="Arial"/>
          <w:rtl/>
        </w:rPr>
        <w:t xml:space="preserve">ב (ה"ב יג) </w:t>
      </w:r>
      <w:r>
        <w:rPr>
          <w:rFonts w:cs="Arial" w:hint="cs"/>
          <w:rtl/>
        </w:rPr>
        <w:t>'</w:t>
      </w:r>
      <w:r>
        <w:rPr>
          <w:rFonts w:cs="Arial"/>
          <w:rtl/>
        </w:rPr>
        <w:t>וכן אם אמר לסופר כתוב גט לאשתי ואמר לעדים לחתום כותבין וחותמין וכו' והוא שיהיו העדים והסופר שכתבו וחתמו בו מכירים ויודעים שזה הוא פלוני ואשתו פלונית</w:t>
      </w:r>
      <w:r>
        <w:rPr>
          <w:rFonts w:cs="Arial" w:hint="cs"/>
          <w:rtl/>
        </w:rPr>
        <w:t>'.</w:t>
      </w:r>
      <w:r>
        <w:rPr>
          <w:rFonts w:cs="Arial"/>
          <w:rtl/>
        </w:rPr>
        <w:t xml:space="preserve"> דברישא דלישניה נקט סופר</w:t>
      </w:r>
      <w:r>
        <w:rPr>
          <w:rFonts w:cs="Arial" w:hint="cs"/>
          <w:rtl/>
        </w:rPr>
        <w:t>,</w:t>
      </w:r>
      <w:r>
        <w:rPr>
          <w:rFonts w:cs="Arial"/>
          <w:rtl/>
        </w:rPr>
        <w:t xml:space="preserve"> ואח</w:t>
      </w:r>
      <w:r>
        <w:rPr>
          <w:rFonts w:cs="Arial" w:hint="cs"/>
          <w:rtl/>
        </w:rPr>
        <w:t>"</w:t>
      </w:r>
      <w:r>
        <w:rPr>
          <w:rFonts w:cs="Arial"/>
          <w:rtl/>
        </w:rPr>
        <w:t>כ עדים</w:t>
      </w:r>
      <w:r>
        <w:rPr>
          <w:rFonts w:cs="Arial" w:hint="cs"/>
          <w:rtl/>
        </w:rPr>
        <w:t>.</w:t>
      </w:r>
      <w:r>
        <w:rPr>
          <w:rFonts w:cs="Arial"/>
          <w:rtl/>
        </w:rPr>
        <w:t xml:space="preserve"> ובסיפא דלישניה נקט עדים</w:t>
      </w:r>
      <w:r>
        <w:rPr>
          <w:rFonts w:cs="Arial" w:hint="cs"/>
          <w:rtl/>
        </w:rPr>
        <w:t>,</w:t>
      </w:r>
      <w:r>
        <w:rPr>
          <w:rFonts w:cs="Arial"/>
          <w:rtl/>
        </w:rPr>
        <w:t xml:space="preserve"> ואח</w:t>
      </w:r>
      <w:r>
        <w:rPr>
          <w:rFonts w:cs="Arial" w:hint="cs"/>
          <w:rtl/>
        </w:rPr>
        <w:t>"</w:t>
      </w:r>
      <w:r>
        <w:rPr>
          <w:rFonts w:cs="Arial"/>
          <w:rtl/>
        </w:rPr>
        <w:t>כ סופר</w:t>
      </w:r>
      <w:r>
        <w:rPr>
          <w:rFonts w:cs="Arial" w:hint="cs"/>
          <w:rtl/>
        </w:rPr>
        <w:t>,</w:t>
      </w:r>
      <w:r>
        <w:rPr>
          <w:rFonts w:cs="Arial"/>
          <w:rtl/>
        </w:rPr>
        <w:t xml:space="preserve"> לסמוך סופר </w:t>
      </w:r>
      <w:r>
        <w:rPr>
          <w:rFonts w:cs="Arial" w:hint="cs"/>
          <w:rtl/>
        </w:rPr>
        <w:t>'</w:t>
      </w:r>
      <w:r>
        <w:rPr>
          <w:rFonts w:cs="Arial"/>
          <w:rtl/>
        </w:rPr>
        <w:t>לחתמו</w:t>
      </w:r>
      <w:r>
        <w:rPr>
          <w:rFonts w:cs="Arial" w:hint="cs"/>
          <w:rtl/>
        </w:rPr>
        <w:t>'.</w:t>
      </w:r>
      <w:r>
        <w:rPr>
          <w:rFonts w:cs="Arial"/>
          <w:rtl/>
        </w:rPr>
        <w:t xml:space="preserve"> ד</w:t>
      </w:r>
      <w:r>
        <w:rPr>
          <w:rFonts w:cs="Arial" w:hint="cs"/>
          <w:rtl/>
        </w:rPr>
        <w:t>'</w:t>
      </w:r>
      <w:r>
        <w:rPr>
          <w:rFonts w:cs="Arial"/>
          <w:rtl/>
        </w:rPr>
        <w:t>שכתבו וחתמו בו</w:t>
      </w:r>
      <w:r>
        <w:rPr>
          <w:rFonts w:cs="Arial" w:hint="cs"/>
          <w:rtl/>
        </w:rPr>
        <w:t>'</w:t>
      </w:r>
      <w:r>
        <w:rPr>
          <w:rFonts w:cs="Arial"/>
          <w:rtl/>
        </w:rPr>
        <w:t xml:space="preserve"> אסופר נמי קאי</w:t>
      </w:r>
      <w:r>
        <w:rPr>
          <w:rFonts w:cs="Arial" w:hint="cs"/>
          <w:rtl/>
        </w:rPr>
        <w:t>.</w:t>
      </w:r>
      <w:r>
        <w:rPr>
          <w:rFonts w:cs="Arial"/>
          <w:rtl/>
        </w:rPr>
        <w:t xml:space="preserve"> ומכל מקום סופר שאינו חותם אין צורך שיהא מכיר</w:t>
      </w:r>
      <w:r>
        <w:rPr>
          <w:rFonts w:cs="Arial" w:hint="cs"/>
          <w:rtl/>
        </w:rPr>
        <w:t>,</w:t>
      </w:r>
      <w:r>
        <w:rPr>
          <w:rFonts w:cs="Arial"/>
          <w:rtl/>
        </w:rPr>
        <w:t xml:space="preserve"> דבעדים החותמין סגי כדמשמע בפכ"ד מהל</w:t>
      </w:r>
      <w:r>
        <w:rPr>
          <w:rFonts w:cs="Arial" w:hint="cs"/>
          <w:rtl/>
        </w:rPr>
        <w:t>'</w:t>
      </w:r>
      <w:r>
        <w:rPr>
          <w:rFonts w:cs="Arial"/>
          <w:rtl/>
        </w:rPr>
        <w:t xml:space="preserve"> מלוה (ה"ג)</w:t>
      </w:r>
      <w:r>
        <w:rPr>
          <w:rFonts w:cs="Arial" w:hint="cs"/>
          <w:rtl/>
        </w:rPr>
        <w:t>.</w:t>
      </w:r>
      <w:r>
        <w:rPr>
          <w:rFonts w:cs="Arial"/>
          <w:rtl/>
        </w:rPr>
        <w:t xml:space="preserve"> וכבר הוכחתי דכל כהאי גוונא לא שנא לן בין איסורא לממונא. ומעתה רבינו שכתב שיהא מכיר הסופר </w:t>
      </w:r>
      <w:r>
        <w:rPr>
          <w:rFonts w:cs="Arial" w:hint="cs"/>
          <w:rtl/>
        </w:rPr>
        <w:t xml:space="preserve">- </w:t>
      </w:r>
      <w:r>
        <w:rPr>
          <w:rFonts w:cs="Arial"/>
          <w:rtl/>
        </w:rPr>
        <w:t>לא דק</w:t>
      </w:r>
      <w:r>
        <w:rPr>
          <w:rFonts w:cs="Arial" w:hint="cs"/>
          <w:rtl/>
        </w:rPr>
        <w:t>,</w:t>
      </w:r>
      <w:r>
        <w:rPr>
          <w:rFonts w:cs="Arial"/>
          <w:rtl/>
        </w:rPr>
        <w:t xml:space="preserve"> דכיון דסבירא ליה (בסי' קל ל:) דחתם סופר ועד פסול</w:t>
      </w:r>
      <w:r>
        <w:rPr>
          <w:rFonts w:cs="Arial" w:hint="cs"/>
          <w:rtl/>
        </w:rPr>
        <w:t>,</w:t>
      </w:r>
      <w:r>
        <w:rPr>
          <w:rFonts w:cs="Arial"/>
          <w:rtl/>
        </w:rPr>
        <w:t xml:space="preserve"> אין מקום להיכר הסופר</w:t>
      </w:r>
      <w:r>
        <w:rPr>
          <w:rFonts w:cs="Arial" w:hint="cs"/>
          <w:rtl/>
        </w:rPr>
        <w:t xml:space="preserve">, </w:t>
      </w:r>
      <w:r w:rsidRPr="00E27C31">
        <w:rPr>
          <w:rFonts w:cs="Arial" w:hint="cs"/>
          <w:b/>
          <w:bCs/>
          <w:rtl/>
        </w:rPr>
        <w:t>ב"י</w:t>
      </w:r>
      <w:r>
        <w:rPr>
          <w:rFonts w:cs="Arial" w:hint="cs"/>
          <w:rtl/>
        </w:rPr>
        <w:t>.</w:t>
      </w:r>
      <w:r w:rsidR="00E27C31">
        <w:rPr>
          <w:rFonts w:cs="Arial" w:hint="cs"/>
          <w:rtl/>
        </w:rPr>
        <w:t xml:space="preserve">     </w:t>
      </w:r>
      <w:r>
        <w:rPr>
          <w:rFonts w:cs="Arial" w:hint="cs"/>
          <w:rtl/>
        </w:rPr>
        <w:t xml:space="preserve"> </w:t>
      </w:r>
      <w:r w:rsidRPr="00E27C31">
        <w:rPr>
          <w:rFonts w:cs="Arial" w:hint="cs"/>
          <w:b/>
          <w:bCs/>
          <w:rtl/>
        </w:rPr>
        <w:t>והדרכ"מ</w:t>
      </w:r>
      <w:r>
        <w:rPr>
          <w:rFonts w:cs="Arial" w:hint="cs"/>
          <w:rtl/>
        </w:rPr>
        <w:t xml:space="preserve"> (אות ב) כתב ש</w:t>
      </w:r>
      <w:r w:rsidRPr="00BA15E7">
        <w:rPr>
          <w:rFonts w:cs="Arial"/>
          <w:rtl/>
        </w:rPr>
        <w:t>אין דברי</w:t>
      </w:r>
      <w:r>
        <w:rPr>
          <w:rFonts w:cs="Arial" w:hint="cs"/>
          <w:rtl/>
        </w:rPr>
        <w:t xml:space="preserve"> הב"י</w:t>
      </w:r>
      <w:r w:rsidRPr="00BA15E7">
        <w:rPr>
          <w:rFonts w:cs="Arial"/>
          <w:rtl/>
        </w:rPr>
        <w:t xml:space="preserve"> נראין בזה כלל דאין ללמוד בזה גיטין מממון</w:t>
      </w:r>
      <w:r>
        <w:rPr>
          <w:rFonts w:cs="Arial" w:hint="cs"/>
          <w:rtl/>
        </w:rPr>
        <w:t>,</w:t>
      </w:r>
      <w:r w:rsidRPr="00BA15E7">
        <w:rPr>
          <w:rFonts w:cs="Arial"/>
          <w:rtl/>
        </w:rPr>
        <w:t xml:space="preserve"> דגבי ממון לא תלוי בכתיבה כלום</w:t>
      </w:r>
      <w:r>
        <w:rPr>
          <w:rFonts w:cs="Arial" w:hint="cs"/>
          <w:rtl/>
        </w:rPr>
        <w:t>,</w:t>
      </w:r>
      <w:r w:rsidRPr="00BA15E7">
        <w:rPr>
          <w:rFonts w:cs="Arial"/>
          <w:rtl/>
        </w:rPr>
        <w:t xml:space="preserve"> ולהכי לא מעלה ולא מוריד הכרת הסופר</w:t>
      </w:r>
      <w:r>
        <w:rPr>
          <w:rFonts w:cs="Arial" w:hint="cs"/>
          <w:rtl/>
        </w:rPr>
        <w:t>.</w:t>
      </w:r>
      <w:r w:rsidRPr="00BA15E7">
        <w:rPr>
          <w:rFonts w:cs="Arial"/>
          <w:rtl/>
        </w:rPr>
        <w:t xml:space="preserve"> משא</w:t>
      </w:r>
      <w:r>
        <w:rPr>
          <w:rFonts w:cs="Arial" w:hint="cs"/>
          <w:rtl/>
        </w:rPr>
        <w:t>"</w:t>
      </w:r>
      <w:r w:rsidRPr="00BA15E7">
        <w:rPr>
          <w:rFonts w:cs="Arial"/>
          <w:rtl/>
        </w:rPr>
        <w:t>כ בגט שהכתיבה היא עיקר כמו החתימה</w:t>
      </w:r>
      <w:r>
        <w:rPr>
          <w:rFonts w:cs="Arial" w:hint="cs"/>
          <w:rtl/>
        </w:rPr>
        <w:t>.</w:t>
      </w:r>
      <w:r w:rsidRPr="00BA15E7">
        <w:rPr>
          <w:rFonts w:cs="Arial"/>
          <w:rtl/>
        </w:rPr>
        <w:t xml:space="preserve"> ויותר לדברי רבי אלעזר (גיטין ט</w:t>
      </w:r>
      <w:r w:rsidR="005132B9">
        <w:rPr>
          <w:rFonts w:cs="Arial" w:hint="cs"/>
          <w:rtl/>
        </w:rPr>
        <w:t>:</w:t>
      </w:r>
      <w:r w:rsidRPr="00BA15E7">
        <w:rPr>
          <w:rFonts w:cs="Arial"/>
          <w:rtl/>
        </w:rPr>
        <w:t>) דסבירא ליה עדי מסירה כרתי וכמו שיתבאר לקמן אי"ה (סי' קלג) ולכן הסופר צריך להכירן כמו העדים</w:t>
      </w:r>
      <w:r>
        <w:rPr>
          <w:rFonts w:cs="Arial" w:hint="cs"/>
          <w:rtl/>
        </w:rPr>
        <w:t>.</w:t>
      </w:r>
      <w:r w:rsidR="00573889">
        <w:rPr>
          <w:rFonts w:hint="cs"/>
          <w:rtl/>
        </w:rPr>
        <w:t xml:space="preserve"> </w:t>
      </w:r>
      <w:r w:rsidR="00573889" w:rsidRPr="00573889">
        <w:rPr>
          <w:rFonts w:hint="cs"/>
          <w:color w:val="00B0F0"/>
          <w:rtl/>
        </w:rPr>
        <w:t>(וכ"פ בהג"ה)</w:t>
      </w:r>
    </w:p>
  </w:footnote>
  <w:footnote w:id="124">
    <w:p w14:paraId="01C831CF" w14:textId="64373373" w:rsidR="005132B9" w:rsidRDefault="005132B9">
      <w:pPr>
        <w:pStyle w:val="a5"/>
        <w:rPr>
          <w:rtl/>
        </w:rPr>
      </w:pPr>
      <w:r>
        <w:rPr>
          <w:rStyle w:val="a7"/>
        </w:rPr>
        <w:footnoteRef/>
      </w:r>
      <w:r>
        <w:rPr>
          <w:rtl/>
        </w:rPr>
        <w:t xml:space="preserve"> </w:t>
      </w:r>
      <w:r w:rsidR="00573889">
        <w:rPr>
          <w:rFonts w:cs="Arial" w:hint="cs"/>
          <w:rtl/>
        </w:rPr>
        <w:t>משמע</w:t>
      </w:r>
      <w:r>
        <w:rPr>
          <w:rFonts w:cs="Arial"/>
          <w:rtl/>
        </w:rPr>
        <w:t xml:space="preserve"> דלא סגי בשיכירו שמו ושמה</w:t>
      </w:r>
      <w:r>
        <w:rPr>
          <w:rFonts w:cs="Arial" w:hint="cs"/>
          <w:rtl/>
        </w:rPr>
        <w:t>,</w:t>
      </w:r>
      <w:r>
        <w:rPr>
          <w:rFonts w:cs="Arial"/>
          <w:rtl/>
        </w:rPr>
        <w:t xml:space="preserve"> אלא גם שם אביהם צריכים להכיר</w:t>
      </w:r>
      <w:r>
        <w:rPr>
          <w:rFonts w:cs="Arial" w:hint="cs"/>
          <w:rtl/>
        </w:rPr>
        <w:t>.</w:t>
      </w:r>
      <w:r>
        <w:rPr>
          <w:rFonts w:cs="Arial"/>
          <w:rtl/>
        </w:rPr>
        <w:t xml:space="preserve"> ואפשר דיליף הכי מדאמרן וליחוש לשני יוסף בן שמעון</w:t>
      </w:r>
      <w:r>
        <w:rPr>
          <w:rFonts w:cs="Arial" w:hint="cs"/>
          <w:rtl/>
        </w:rPr>
        <w:t>,</w:t>
      </w:r>
      <w:r>
        <w:rPr>
          <w:rFonts w:cs="Arial"/>
          <w:rtl/>
        </w:rPr>
        <w:t xml:space="preserve"> אלמא כי אמרינן שמו הכוונה שמו ושם אביו</w:t>
      </w:r>
      <w:r w:rsidR="00573889">
        <w:rPr>
          <w:rFonts w:cs="Arial" w:hint="cs"/>
          <w:rtl/>
        </w:rPr>
        <w:t>, ב"י.</w:t>
      </w:r>
      <w:r w:rsidR="00C74652" w:rsidRPr="00C74652">
        <w:rPr>
          <w:rFonts w:hint="cs"/>
          <w:color w:val="00B0F0"/>
          <w:rtl/>
        </w:rPr>
        <w:t xml:space="preserve"> </w:t>
      </w:r>
      <w:r w:rsidR="00C74652" w:rsidRPr="00573889">
        <w:rPr>
          <w:rFonts w:hint="cs"/>
          <w:color w:val="00B0F0"/>
          <w:rtl/>
        </w:rPr>
        <w:t xml:space="preserve">(וכ"פ </w:t>
      </w:r>
      <w:r w:rsidR="00C74652">
        <w:rPr>
          <w:rFonts w:hint="cs"/>
          <w:color w:val="00B0F0"/>
          <w:rtl/>
        </w:rPr>
        <w:t>הרמ</w:t>
      </w:r>
      <w:r w:rsidR="00C74652" w:rsidRPr="00573889">
        <w:rPr>
          <w:rFonts w:hint="cs"/>
          <w:color w:val="00B0F0"/>
          <w:rtl/>
        </w:rPr>
        <w:t>"</w:t>
      </w:r>
      <w:r w:rsidR="00C74652">
        <w:rPr>
          <w:rFonts w:hint="cs"/>
          <w:color w:val="00B0F0"/>
          <w:rtl/>
        </w:rPr>
        <w:t>א</w:t>
      </w:r>
      <w:r w:rsidR="00C74652" w:rsidRPr="00573889">
        <w:rPr>
          <w:rFonts w:hint="cs"/>
          <w:color w:val="00B0F0"/>
          <w:rtl/>
        </w:rPr>
        <w:t>)</w:t>
      </w:r>
    </w:p>
  </w:footnote>
  <w:footnote w:id="125">
    <w:p w14:paraId="2A5BBE64" w14:textId="6108EE36" w:rsidR="00C219D5" w:rsidRDefault="00C219D5">
      <w:pPr>
        <w:pStyle w:val="a5"/>
        <w:rPr>
          <w:rtl/>
        </w:rPr>
      </w:pPr>
      <w:r>
        <w:rPr>
          <w:rStyle w:val="a7"/>
        </w:rPr>
        <w:footnoteRef/>
      </w:r>
      <w:r>
        <w:rPr>
          <w:rtl/>
        </w:rPr>
        <w:t xml:space="preserve"> </w:t>
      </w:r>
      <w:r>
        <w:rPr>
          <w:rFonts w:cs="Arial"/>
          <w:rtl/>
        </w:rPr>
        <w:t xml:space="preserve">דין הוחזק בעיר שלשים יום אין חוששין לו </w:t>
      </w:r>
      <w:r>
        <w:rPr>
          <w:rFonts w:cs="Arial" w:hint="cs"/>
          <w:rtl/>
        </w:rPr>
        <w:t xml:space="preserve">- </w:t>
      </w:r>
      <w:r>
        <w:rPr>
          <w:rFonts w:cs="Arial"/>
          <w:rtl/>
        </w:rPr>
        <w:t>לא הזכירו</w:t>
      </w:r>
      <w:r>
        <w:rPr>
          <w:rFonts w:cs="Arial" w:hint="cs"/>
          <w:rtl/>
        </w:rPr>
        <w:t xml:space="preserve"> </w:t>
      </w:r>
      <w:r>
        <w:rPr>
          <w:rFonts w:cs="Arial" w:hint="cs"/>
          <w:sz w:val="16"/>
          <w:szCs w:val="16"/>
          <w:rtl/>
        </w:rPr>
        <w:t>{הטור}</w:t>
      </w:r>
      <w:r>
        <w:rPr>
          <w:rFonts w:cs="Arial"/>
          <w:rtl/>
        </w:rPr>
        <w:t xml:space="preserve"> ולא ידעתי למה</w:t>
      </w:r>
      <w:r>
        <w:rPr>
          <w:rFonts w:cs="Arial" w:hint="cs"/>
          <w:rtl/>
        </w:rPr>
        <w:t>,</w:t>
      </w:r>
      <w:r>
        <w:rPr>
          <w:rFonts w:cs="Arial"/>
          <w:rtl/>
        </w:rPr>
        <w:t xml:space="preserve"> דהא אגט איתמר בגמרא</w:t>
      </w:r>
      <w:r>
        <w:rPr>
          <w:rFonts w:cs="Arial" w:hint="cs"/>
          <w:rtl/>
        </w:rPr>
        <w:t>.</w:t>
      </w:r>
      <w:r>
        <w:rPr>
          <w:rFonts w:cs="Arial"/>
          <w:rtl/>
        </w:rPr>
        <w:t xml:space="preserve"> והרמב"ם שלא כתבו בפ</w:t>
      </w:r>
      <w:r>
        <w:rPr>
          <w:rFonts w:cs="Arial" w:hint="cs"/>
          <w:rtl/>
        </w:rPr>
        <w:t>"</w:t>
      </w:r>
      <w:r>
        <w:rPr>
          <w:rFonts w:cs="Arial"/>
          <w:rtl/>
        </w:rPr>
        <w:t>ב מהלכות גירושין</w:t>
      </w:r>
      <w:r>
        <w:rPr>
          <w:rFonts w:cs="Arial" w:hint="cs"/>
          <w:rtl/>
        </w:rPr>
        <w:t>,</w:t>
      </w:r>
      <w:r>
        <w:rPr>
          <w:rFonts w:cs="Arial"/>
          <w:rtl/>
        </w:rPr>
        <w:t xml:space="preserve"> איכא למימר דמשמע ליה שהוא בכלל מה שכתב (שם ה"ג) שצריך שיהיו מכירין ויודעים שזהו פלוני ואשתו פלונית</w:t>
      </w:r>
      <w:r>
        <w:rPr>
          <w:rFonts w:cs="Arial" w:hint="cs"/>
          <w:rtl/>
        </w:rPr>
        <w:t>,</w:t>
      </w:r>
      <w:r>
        <w:rPr>
          <w:rFonts w:cs="Arial"/>
          <w:rtl/>
        </w:rPr>
        <w:t xml:space="preserve"> וסמך על מה שכתב בפכ"ד מהל</w:t>
      </w:r>
      <w:r w:rsidR="00A26305">
        <w:rPr>
          <w:rFonts w:cs="Arial" w:hint="cs"/>
          <w:rtl/>
        </w:rPr>
        <w:t>'</w:t>
      </w:r>
      <w:r>
        <w:rPr>
          <w:rFonts w:cs="Arial"/>
          <w:rtl/>
        </w:rPr>
        <w:t xml:space="preserve"> מלוה (ה</w:t>
      </w:r>
      <w:r w:rsidR="00A26305">
        <w:rPr>
          <w:rFonts w:cs="Arial" w:hint="cs"/>
          <w:rtl/>
        </w:rPr>
        <w:t>"</w:t>
      </w:r>
      <w:r>
        <w:rPr>
          <w:rFonts w:cs="Arial"/>
          <w:rtl/>
        </w:rPr>
        <w:t>ג</w:t>
      </w:r>
      <w:r w:rsidR="00A26305">
        <w:rPr>
          <w:rFonts w:cs="Arial" w:hint="cs"/>
          <w:rtl/>
        </w:rPr>
        <w:t>-</w:t>
      </w:r>
      <w:r>
        <w:rPr>
          <w:rFonts w:cs="Arial"/>
          <w:rtl/>
        </w:rPr>
        <w:t>ד)</w:t>
      </w:r>
      <w:r>
        <w:rPr>
          <w:rFonts w:cs="Arial" w:hint="cs"/>
          <w:rtl/>
        </w:rPr>
        <w:t>,</w:t>
      </w:r>
      <w:r>
        <w:rPr>
          <w:rFonts w:cs="Arial"/>
          <w:rtl/>
        </w:rPr>
        <w:t xml:space="preserve"> ומיניה ילפינן לענין גיטין</w:t>
      </w:r>
      <w:r>
        <w:rPr>
          <w:rFonts w:cs="Arial" w:hint="cs"/>
          <w:rtl/>
        </w:rPr>
        <w:t>.</w:t>
      </w:r>
      <w:r>
        <w:rPr>
          <w:rFonts w:cs="Arial"/>
          <w:rtl/>
        </w:rPr>
        <w:t xml:space="preserve"> אבל רבינו שלא הזכירו גם בדיני ממונות לא ידעתי לו טעם</w:t>
      </w:r>
      <w:r>
        <w:rPr>
          <w:rFonts w:hint="cs"/>
          <w:rtl/>
        </w:rPr>
        <w:t>, ב"י.</w:t>
      </w:r>
    </w:p>
  </w:footnote>
  <w:footnote w:id="126">
    <w:p w14:paraId="025B899E" w14:textId="1EE37BCF" w:rsidR="005132B9" w:rsidRDefault="005132B9">
      <w:pPr>
        <w:pStyle w:val="a5"/>
      </w:pPr>
      <w:r>
        <w:rPr>
          <w:rStyle w:val="a7"/>
        </w:rPr>
        <w:footnoteRef/>
      </w:r>
      <w:r>
        <w:rPr>
          <w:rtl/>
        </w:rPr>
        <w:t xml:space="preserve"> </w:t>
      </w:r>
      <w:r>
        <w:rPr>
          <w:rFonts w:cs="Arial"/>
          <w:rtl/>
        </w:rPr>
        <w:t>היינו אפילו הוחזק על פי עצמו</w:t>
      </w:r>
      <w:r w:rsidR="00573889">
        <w:rPr>
          <w:rFonts w:cs="Arial" w:hint="cs"/>
          <w:rtl/>
        </w:rPr>
        <w:t>...</w:t>
      </w:r>
      <w:r w:rsidR="00573889">
        <w:rPr>
          <w:rFonts w:cs="Arial"/>
          <w:rtl/>
        </w:rPr>
        <w:t xml:space="preserve"> </w:t>
      </w:r>
      <w:r w:rsidR="00573889">
        <w:rPr>
          <w:rFonts w:cs="Arial" w:hint="cs"/>
          <w:rtl/>
        </w:rPr>
        <w:t>ו</w:t>
      </w:r>
      <w:r w:rsidR="00573889">
        <w:rPr>
          <w:rFonts w:cs="Arial"/>
          <w:rtl/>
        </w:rPr>
        <w:t>גם שם אביו כותבין על פיו אם הוחזק שלשים יום</w:t>
      </w:r>
      <w:r w:rsidR="00573889">
        <w:rPr>
          <w:rFonts w:cs="Arial" w:hint="cs"/>
          <w:rtl/>
        </w:rPr>
        <w:t>,</w:t>
      </w:r>
      <w:r w:rsidR="00573889">
        <w:rPr>
          <w:rFonts w:cs="Arial"/>
          <w:rtl/>
        </w:rPr>
        <w:t xml:space="preserve"> אע</w:t>
      </w:r>
      <w:r w:rsidR="00C74652">
        <w:rPr>
          <w:rFonts w:cs="Arial" w:hint="cs"/>
          <w:rtl/>
        </w:rPr>
        <w:t>"</w:t>
      </w:r>
      <w:r w:rsidR="00573889">
        <w:rPr>
          <w:rFonts w:cs="Arial"/>
          <w:rtl/>
        </w:rPr>
        <w:t>ג דלא עביד לאיגלויי כל כך כמו שמו</w:t>
      </w:r>
      <w:r w:rsidR="00573889">
        <w:rPr>
          <w:rFonts w:cs="Arial" w:hint="cs"/>
          <w:rtl/>
        </w:rPr>
        <w:t>,</w:t>
      </w:r>
      <w:r w:rsidR="00573889">
        <w:rPr>
          <w:rFonts w:cs="Arial"/>
          <w:rtl/>
        </w:rPr>
        <w:t xml:space="preserve"> משום דאם כן אין לדבר סוף</w:t>
      </w:r>
      <w:r w:rsidR="00573889">
        <w:rPr>
          <w:rFonts w:hint="cs"/>
          <w:rtl/>
        </w:rPr>
        <w:t>, ב"י.</w:t>
      </w:r>
      <w:r w:rsidR="003845A1">
        <w:rPr>
          <w:rFonts w:hint="cs"/>
          <w:rtl/>
        </w:rPr>
        <w:t xml:space="preserve"> </w:t>
      </w:r>
      <w:r w:rsidR="00367D3A">
        <w:rPr>
          <w:rFonts w:hint="cs"/>
          <w:rtl/>
        </w:rPr>
        <w:t>והוסיף</w:t>
      </w:r>
      <w:r w:rsidR="003845A1">
        <w:rPr>
          <w:rFonts w:hint="cs"/>
          <w:rtl/>
        </w:rPr>
        <w:t xml:space="preserve"> הב"י </w:t>
      </w:r>
      <w:r w:rsidR="003845A1" w:rsidRPr="00C8319D">
        <w:rPr>
          <w:rFonts w:hint="cs"/>
          <w:sz w:val="16"/>
          <w:szCs w:val="16"/>
          <w:rtl/>
        </w:rPr>
        <w:t>(בסי' קכט סי"א</w:t>
      </w:r>
      <w:r w:rsidR="00C8319D" w:rsidRPr="00C8319D">
        <w:rPr>
          <w:rFonts w:hint="cs"/>
          <w:sz w:val="16"/>
          <w:szCs w:val="16"/>
          <w:rtl/>
        </w:rPr>
        <w:t>,</w:t>
      </w:r>
      <w:r w:rsidR="003845A1" w:rsidRPr="00C8319D">
        <w:rPr>
          <w:sz w:val="16"/>
          <w:szCs w:val="16"/>
          <w:rtl/>
        </w:rPr>
        <w:t xml:space="preserve"> </w:t>
      </w:r>
      <w:r w:rsidR="003845A1" w:rsidRPr="00C8319D">
        <w:rPr>
          <w:rFonts w:cs="Arial"/>
          <w:sz w:val="16"/>
          <w:szCs w:val="16"/>
          <w:rtl/>
        </w:rPr>
        <w:t>לענין שם אביו שאין כותבין על פיו</w:t>
      </w:r>
      <w:r w:rsidR="00C8319D" w:rsidRPr="00C8319D">
        <w:rPr>
          <w:rFonts w:cs="Arial" w:hint="cs"/>
          <w:sz w:val="16"/>
          <w:szCs w:val="16"/>
          <w:rtl/>
        </w:rPr>
        <w:t>)</w:t>
      </w:r>
      <w:r w:rsidR="003845A1" w:rsidRPr="00C8319D">
        <w:rPr>
          <w:rFonts w:cs="Arial"/>
          <w:sz w:val="16"/>
          <w:szCs w:val="16"/>
          <w:rtl/>
        </w:rPr>
        <w:t xml:space="preserve"> </w:t>
      </w:r>
      <w:r w:rsidR="00C8319D">
        <w:rPr>
          <w:rFonts w:cs="Arial" w:hint="cs"/>
          <w:rtl/>
        </w:rPr>
        <w:t>ד</w:t>
      </w:r>
      <w:r w:rsidR="003845A1" w:rsidRPr="003845A1">
        <w:rPr>
          <w:rFonts w:cs="Arial"/>
          <w:rtl/>
        </w:rPr>
        <w:t>אע</w:t>
      </w:r>
      <w:r w:rsidR="00C8319D">
        <w:rPr>
          <w:rFonts w:cs="Arial" w:hint="cs"/>
          <w:rtl/>
        </w:rPr>
        <w:t>"</w:t>
      </w:r>
      <w:r w:rsidR="003845A1" w:rsidRPr="003845A1">
        <w:rPr>
          <w:rFonts w:cs="Arial"/>
          <w:rtl/>
        </w:rPr>
        <w:t>פ ש</w:t>
      </w:r>
      <w:r w:rsidR="00C8319D">
        <w:rPr>
          <w:rFonts w:cs="Arial" w:hint="cs"/>
          <w:rtl/>
        </w:rPr>
        <w:t xml:space="preserve">כאן </w:t>
      </w:r>
      <w:r w:rsidR="00C8319D" w:rsidRPr="00C8319D">
        <w:rPr>
          <w:rFonts w:cs="Arial" w:hint="cs"/>
          <w:sz w:val="16"/>
          <w:szCs w:val="16"/>
          <w:rtl/>
        </w:rPr>
        <w:t xml:space="preserve">(רמב"ם פכ"ד ממלוה ה"ד) </w:t>
      </w:r>
      <w:r w:rsidR="003845A1" w:rsidRPr="003845A1">
        <w:rPr>
          <w:rFonts w:cs="Arial"/>
          <w:rtl/>
        </w:rPr>
        <w:t>כתב</w:t>
      </w:r>
      <w:r w:rsidR="00C8319D">
        <w:rPr>
          <w:rFonts w:cs="Arial" w:hint="cs"/>
          <w:rtl/>
        </w:rPr>
        <w:t>-</w:t>
      </w:r>
      <w:r w:rsidR="003845A1" w:rsidRPr="003845A1">
        <w:rPr>
          <w:rFonts w:cs="Arial"/>
          <w:rtl/>
        </w:rPr>
        <w:t xml:space="preserve"> כל מי שהוחזק שמו בעיר שלשים יום אין חוששין לו וכו'</w:t>
      </w:r>
      <w:r w:rsidR="00C8319D">
        <w:rPr>
          <w:rFonts w:cs="Arial" w:hint="cs"/>
          <w:rtl/>
        </w:rPr>
        <w:t>.</w:t>
      </w:r>
      <w:r w:rsidR="003845A1" w:rsidRPr="003845A1">
        <w:rPr>
          <w:rFonts w:cs="Arial"/>
          <w:rtl/>
        </w:rPr>
        <w:t xml:space="preserve"> ולא כתב </w:t>
      </w:r>
      <w:r w:rsidR="00C8319D">
        <w:rPr>
          <w:rFonts w:cs="Arial" w:hint="cs"/>
          <w:rtl/>
        </w:rPr>
        <w:t>'</w:t>
      </w:r>
      <w:r w:rsidR="003845A1" w:rsidRPr="003845A1">
        <w:rPr>
          <w:rFonts w:cs="Arial"/>
          <w:rtl/>
        </w:rPr>
        <w:t>כל מי שהוחזק שמו ושם אביו</w:t>
      </w:r>
      <w:r w:rsidR="00C8319D">
        <w:rPr>
          <w:rFonts w:cs="Arial" w:hint="cs"/>
          <w:rtl/>
        </w:rPr>
        <w:t>'.</w:t>
      </w:r>
      <w:r w:rsidR="003845A1" w:rsidRPr="003845A1">
        <w:rPr>
          <w:rFonts w:cs="Arial"/>
          <w:rtl/>
        </w:rPr>
        <w:t xml:space="preserve"> י"ל דלישנא דגמרא נקט</w:t>
      </w:r>
      <w:r w:rsidR="00367D3A">
        <w:rPr>
          <w:rFonts w:cs="Arial" w:hint="cs"/>
          <w:rtl/>
        </w:rPr>
        <w:t>,</w:t>
      </w:r>
      <w:r w:rsidR="003845A1" w:rsidRPr="003845A1">
        <w:rPr>
          <w:rFonts w:cs="Arial"/>
          <w:rtl/>
        </w:rPr>
        <w:t xml:space="preserve"> כמנהגו</w:t>
      </w:r>
      <w:r w:rsidR="00C8319D">
        <w:rPr>
          <w:rFonts w:cs="Arial" w:hint="cs"/>
          <w:rtl/>
        </w:rPr>
        <w:t>,</w:t>
      </w:r>
      <w:r w:rsidR="003845A1" w:rsidRPr="003845A1">
        <w:rPr>
          <w:rFonts w:cs="Arial"/>
          <w:rtl/>
        </w:rPr>
        <w:t xml:space="preserve"> ובגמרא כי אמרינן כל מי שהוחזק שמו היינו שמו ושם אביו</w:t>
      </w:r>
      <w:r w:rsidR="00C8319D">
        <w:rPr>
          <w:rFonts w:cs="Arial" w:hint="cs"/>
          <w:rtl/>
        </w:rPr>
        <w:t>,</w:t>
      </w:r>
      <w:r w:rsidR="003845A1" w:rsidRPr="003845A1">
        <w:rPr>
          <w:rFonts w:cs="Arial"/>
          <w:rtl/>
        </w:rPr>
        <w:t xml:space="preserve"> אלא דלישנא קלילא נקט כנ"ל</w:t>
      </w:r>
      <w:r w:rsidR="00C8319D">
        <w:rPr>
          <w:rFonts w:cs="Arial" w:hint="cs"/>
          <w:rtl/>
        </w:rPr>
        <w:t>.</w:t>
      </w:r>
      <w:r w:rsidR="003845A1" w:rsidRPr="003845A1">
        <w:rPr>
          <w:rFonts w:cs="Arial"/>
          <w:rtl/>
        </w:rPr>
        <w:t xml:space="preserve"> אבל ראיתי נוהגים לכתוב שם אביו על פיו</w:t>
      </w:r>
      <w:r w:rsidR="00C8319D">
        <w:rPr>
          <w:rFonts w:hint="cs"/>
          <w:rtl/>
        </w:rPr>
        <w:t xml:space="preserve"> </w:t>
      </w:r>
      <w:r w:rsidR="00C8319D">
        <w:rPr>
          <w:rFonts w:hint="cs"/>
          <w:sz w:val="16"/>
          <w:szCs w:val="16"/>
          <w:rtl/>
        </w:rPr>
        <w:t>[</w:t>
      </w:r>
      <w:r w:rsidR="00C8319D" w:rsidRPr="00C8319D">
        <w:rPr>
          <w:rFonts w:hint="cs"/>
          <w:sz w:val="16"/>
          <w:szCs w:val="16"/>
          <w:rtl/>
        </w:rPr>
        <w:t>עכ"ל הב"י</w:t>
      </w:r>
      <w:r w:rsidR="00C8319D">
        <w:rPr>
          <w:rFonts w:hint="cs"/>
          <w:sz w:val="16"/>
          <w:szCs w:val="16"/>
          <w:rtl/>
        </w:rPr>
        <w:t>]</w:t>
      </w:r>
      <w:r w:rsidR="00C8319D">
        <w:rPr>
          <w:rFonts w:hint="cs"/>
          <w:rtl/>
        </w:rPr>
        <w:t xml:space="preserve">. </w:t>
      </w:r>
      <w:r w:rsidR="00C8319D" w:rsidRPr="00C8319D">
        <w:rPr>
          <w:rFonts w:hint="cs"/>
          <w:color w:val="00B0F0"/>
          <w:rtl/>
        </w:rPr>
        <w:t>(</w:t>
      </w:r>
      <w:r w:rsidR="00C8319D">
        <w:rPr>
          <w:rFonts w:hint="cs"/>
          <w:color w:val="00B0F0"/>
          <w:rtl/>
        </w:rPr>
        <w:t>ו</w:t>
      </w:r>
      <w:r w:rsidR="00C8319D" w:rsidRPr="00C8319D">
        <w:rPr>
          <w:rFonts w:hint="cs"/>
          <w:color w:val="00B0F0"/>
          <w:rtl/>
        </w:rPr>
        <w:t>כ"כ הרמ"א)</w:t>
      </w:r>
      <w:r w:rsidR="003845A1">
        <w:rPr>
          <w:rFonts w:hint="cs"/>
          <w:rtl/>
        </w:rPr>
        <w:t xml:space="preserve"> </w:t>
      </w:r>
    </w:p>
  </w:footnote>
  <w:footnote w:id="127">
    <w:p w14:paraId="2A2B7C7F" w14:textId="77777777" w:rsidR="00573889" w:rsidRDefault="00573889" w:rsidP="00573889">
      <w:pPr>
        <w:pStyle w:val="a5"/>
        <w:rPr>
          <w:rtl/>
        </w:rPr>
      </w:pPr>
      <w:r>
        <w:rPr>
          <w:rStyle w:val="a7"/>
        </w:rPr>
        <w:footnoteRef/>
      </w:r>
      <w:r>
        <w:rPr>
          <w:rtl/>
        </w:rPr>
        <w:t xml:space="preserve"> </w:t>
      </w:r>
      <w:r w:rsidRPr="00C62387">
        <w:rPr>
          <w:rFonts w:cs="Arial"/>
          <w:rtl/>
        </w:rPr>
        <w:t>וכ</w:t>
      </w:r>
      <w:r>
        <w:rPr>
          <w:rFonts w:cs="Arial" w:hint="cs"/>
          <w:rtl/>
        </w:rPr>
        <w:t>"כ</w:t>
      </w:r>
      <w:r w:rsidRPr="00C62387">
        <w:rPr>
          <w:rFonts w:cs="Arial"/>
          <w:rtl/>
        </w:rPr>
        <w:t xml:space="preserve"> בנמוק</w:t>
      </w:r>
      <w:r>
        <w:rPr>
          <w:rFonts w:cs="Arial" w:hint="cs"/>
          <w:rtl/>
        </w:rPr>
        <w:t>"</w:t>
      </w:r>
      <w:r w:rsidRPr="00C62387">
        <w:rPr>
          <w:rFonts w:cs="Arial"/>
          <w:rtl/>
        </w:rPr>
        <w:t xml:space="preserve">י </w:t>
      </w:r>
      <w:r w:rsidRPr="008A0897">
        <w:rPr>
          <w:rFonts w:cs="Arial"/>
          <w:sz w:val="16"/>
          <w:szCs w:val="16"/>
          <w:rtl/>
        </w:rPr>
        <w:t xml:space="preserve">(עז: ד"ה גמ' שיהא) </w:t>
      </w:r>
      <w:r w:rsidRPr="00C62387">
        <w:rPr>
          <w:rFonts w:cs="Arial"/>
          <w:rtl/>
        </w:rPr>
        <w:t xml:space="preserve">בשם הרשב"א </w:t>
      </w:r>
      <w:r w:rsidRPr="008A0897">
        <w:rPr>
          <w:rFonts w:cs="Arial"/>
          <w:sz w:val="16"/>
          <w:szCs w:val="16"/>
          <w:rtl/>
        </w:rPr>
        <w:t>(ב"ב קסז: ד"ה מהא</w:t>
      </w:r>
      <w:r w:rsidRPr="008A0897">
        <w:rPr>
          <w:rFonts w:cs="Arial" w:hint="cs"/>
          <w:sz w:val="16"/>
          <w:szCs w:val="16"/>
          <w:rtl/>
        </w:rPr>
        <w:t>, עי' גם בתשו' ח"א סי' תרכז</w:t>
      </w:r>
      <w:r w:rsidRPr="008A0897">
        <w:rPr>
          <w:rFonts w:cs="Arial"/>
          <w:sz w:val="16"/>
          <w:szCs w:val="16"/>
          <w:rtl/>
        </w:rPr>
        <w:t>)</w:t>
      </w:r>
      <w:r w:rsidRPr="00C62387">
        <w:rPr>
          <w:rFonts w:cs="Arial"/>
          <w:rtl/>
        </w:rPr>
        <w:t xml:space="preserve"> והריטב"א ז"ל </w:t>
      </w:r>
      <w:r w:rsidRPr="008A0897">
        <w:rPr>
          <w:rFonts w:cs="Arial"/>
          <w:sz w:val="16"/>
          <w:szCs w:val="16"/>
          <w:rtl/>
        </w:rPr>
        <w:t>(ב"ב קסז: ד"ה אף על גב)</w:t>
      </w:r>
      <w:r>
        <w:rPr>
          <w:rFonts w:cs="Arial" w:hint="cs"/>
          <w:rtl/>
        </w:rPr>
        <w:t>.</w:t>
      </w:r>
      <w:r w:rsidRPr="00C62387">
        <w:rPr>
          <w:rFonts w:cs="Arial"/>
          <w:rtl/>
        </w:rPr>
        <w:t xml:space="preserve"> וגם הה</w:t>
      </w:r>
      <w:r>
        <w:rPr>
          <w:rFonts w:cs="Arial" w:hint="cs"/>
          <w:rtl/>
        </w:rPr>
        <w:t>"</w:t>
      </w:r>
      <w:r w:rsidRPr="00C62387">
        <w:rPr>
          <w:rFonts w:cs="Arial"/>
          <w:rtl/>
        </w:rPr>
        <w:t xml:space="preserve">מ כתב כן </w:t>
      </w:r>
      <w:r w:rsidRPr="008A0897">
        <w:rPr>
          <w:rFonts w:cs="Arial" w:hint="cs"/>
          <w:sz w:val="16"/>
          <w:szCs w:val="16"/>
          <w:rtl/>
        </w:rPr>
        <w:t>(</w:t>
      </w:r>
      <w:r w:rsidRPr="008A0897">
        <w:rPr>
          <w:rFonts w:cs="Arial"/>
          <w:sz w:val="16"/>
          <w:szCs w:val="16"/>
          <w:rtl/>
        </w:rPr>
        <w:t>בפכ"ד מהל</w:t>
      </w:r>
      <w:r w:rsidRPr="008A0897">
        <w:rPr>
          <w:rFonts w:cs="Arial" w:hint="cs"/>
          <w:sz w:val="16"/>
          <w:szCs w:val="16"/>
          <w:rtl/>
        </w:rPr>
        <w:t>'</w:t>
      </w:r>
      <w:r w:rsidRPr="008A0897">
        <w:rPr>
          <w:rFonts w:cs="Arial"/>
          <w:sz w:val="16"/>
          <w:szCs w:val="16"/>
          <w:rtl/>
        </w:rPr>
        <w:t xml:space="preserve"> מלוה ה"ד) </w:t>
      </w:r>
      <w:r w:rsidRPr="00C62387">
        <w:rPr>
          <w:rFonts w:cs="Arial"/>
          <w:rtl/>
        </w:rPr>
        <w:t>בשם הרשב"א</w:t>
      </w:r>
      <w:r w:rsidRPr="00C62387">
        <w:rPr>
          <w:rFonts w:cs="Arial" w:hint="cs"/>
          <w:rtl/>
        </w:rPr>
        <w:t>.</w:t>
      </w:r>
      <w:r w:rsidRPr="00C62387">
        <w:rPr>
          <w:rFonts w:cs="Arial"/>
          <w:rtl/>
        </w:rPr>
        <w:t xml:space="preserve"> ומשמע מדבריהם דבין לענין איסור בין לענין ממונא קאמר דהא אמתניתין קאי דמשוה גט לשובר בענין זה וגם ההיא דיבמות איסורא הוי וסגי באשה או קרוב דמילתא דעבידא לאיגלויי הוא</w:t>
      </w:r>
      <w:r w:rsidRPr="00C62387">
        <w:rPr>
          <w:rFonts w:cs="Arial" w:hint="cs"/>
          <w:rtl/>
        </w:rPr>
        <w:t>.</w:t>
      </w:r>
      <w:r w:rsidRPr="00C62387">
        <w:rPr>
          <w:rFonts w:cs="Arial"/>
          <w:rtl/>
        </w:rPr>
        <w:t xml:space="preserve"> </w:t>
      </w:r>
      <w:r>
        <w:rPr>
          <w:rFonts w:cs="Arial" w:hint="cs"/>
          <w:rtl/>
        </w:rPr>
        <w:t>ורי"ו</w:t>
      </w:r>
      <w:r w:rsidRPr="00C62387">
        <w:rPr>
          <w:rFonts w:cs="Arial"/>
          <w:rtl/>
        </w:rPr>
        <w:t xml:space="preserve"> גם כן כתבה בדיני גיטין </w:t>
      </w:r>
      <w:r w:rsidRPr="008A0897">
        <w:rPr>
          <w:rFonts w:cs="Arial" w:hint="cs"/>
          <w:sz w:val="16"/>
          <w:szCs w:val="16"/>
          <w:rtl/>
        </w:rPr>
        <w:t>(</w:t>
      </w:r>
      <w:r w:rsidRPr="008A0897">
        <w:rPr>
          <w:rFonts w:cs="Arial"/>
          <w:sz w:val="16"/>
          <w:szCs w:val="16"/>
          <w:rtl/>
        </w:rPr>
        <w:t>ח</w:t>
      </w:r>
      <w:r w:rsidRPr="008A0897">
        <w:rPr>
          <w:rFonts w:cs="Arial" w:hint="cs"/>
          <w:sz w:val="16"/>
          <w:szCs w:val="16"/>
          <w:rtl/>
        </w:rPr>
        <w:t xml:space="preserve">"ב </w:t>
      </w:r>
      <w:r w:rsidRPr="008A0897">
        <w:rPr>
          <w:rFonts w:cs="Arial"/>
          <w:sz w:val="16"/>
          <w:szCs w:val="16"/>
          <w:rtl/>
        </w:rPr>
        <w:t>נכ"ד רו ע"ב)</w:t>
      </w:r>
      <w:r>
        <w:rPr>
          <w:rFonts w:cs="Arial" w:hint="cs"/>
          <w:rtl/>
        </w:rPr>
        <w:t>.</w:t>
      </w:r>
      <w:r w:rsidRPr="00C62387">
        <w:rPr>
          <w:rFonts w:cs="Arial"/>
          <w:rtl/>
        </w:rPr>
        <w:t xml:space="preserve"> וגם בסדר הגט אשכנזי כתב לשון הרא"ש דלהיכר איש ואשה סומכין על פי עד אחד ואפילו קרוב ואשה</w:t>
      </w:r>
      <w:r w:rsidRPr="00C62387">
        <w:rPr>
          <w:rFonts w:cs="Arial" w:hint="cs"/>
          <w:rtl/>
        </w:rPr>
        <w:t>.</w:t>
      </w:r>
      <w:r w:rsidRPr="00C62387">
        <w:rPr>
          <w:rFonts w:cs="Arial"/>
          <w:rtl/>
        </w:rPr>
        <w:t xml:space="preserve"> </w:t>
      </w:r>
      <w:r w:rsidRPr="00C62387">
        <w:rPr>
          <w:rFonts w:cs="Arial" w:hint="cs"/>
          <w:rtl/>
        </w:rPr>
        <w:t>ו</w:t>
      </w:r>
      <w:r w:rsidRPr="00C62387">
        <w:rPr>
          <w:rFonts w:cs="Arial"/>
          <w:rtl/>
        </w:rPr>
        <w:t>לא ידעתי למה השמיטו רבינו</w:t>
      </w:r>
      <w:r>
        <w:rPr>
          <w:rFonts w:cs="Arial" w:hint="cs"/>
          <w:rtl/>
        </w:rPr>
        <w:t>, ב"י</w:t>
      </w:r>
      <w:r>
        <w:rPr>
          <w:rFonts w:hint="cs"/>
          <w:rtl/>
        </w:rPr>
        <w:t>.</w:t>
      </w:r>
    </w:p>
  </w:footnote>
  <w:footnote w:id="128">
    <w:p w14:paraId="0127CB0F" w14:textId="3AA5896A" w:rsidR="00234F2E" w:rsidRDefault="00234F2E">
      <w:pPr>
        <w:pStyle w:val="a5"/>
      </w:pPr>
      <w:r>
        <w:rPr>
          <w:rStyle w:val="a7"/>
        </w:rPr>
        <w:footnoteRef/>
      </w:r>
      <w:r>
        <w:rPr>
          <w:rtl/>
        </w:rPr>
        <w:t xml:space="preserve"> </w:t>
      </w:r>
      <w:r w:rsidRPr="00234F2E">
        <w:rPr>
          <w:rFonts w:cs="Arial"/>
          <w:rtl/>
        </w:rPr>
        <w:t>ופירש שמו ושם עירו</w:t>
      </w:r>
      <w:r>
        <w:rPr>
          <w:rFonts w:cs="Arial" w:hint="cs"/>
          <w:rtl/>
        </w:rPr>
        <w:t>, רש"י.</w:t>
      </w:r>
    </w:p>
  </w:footnote>
  <w:footnote w:id="129">
    <w:p w14:paraId="30E38CC4" w14:textId="28AB8392" w:rsidR="00234F2E" w:rsidRDefault="00234F2E">
      <w:pPr>
        <w:pStyle w:val="a5"/>
        <w:rPr>
          <w:rtl/>
        </w:rPr>
      </w:pPr>
      <w:r>
        <w:rPr>
          <w:rStyle w:val="a7"/>
        </w:rPr>
        <w:footnoteRef/>
      </w:r>
      <w:r>
        <w:rPr>
          <w:rtl/>
        </w:rPr>
        <w:t xml:space="preserve"> </w:t>
      </w:r>
      <w:r w:rsidRPr="00234F2E">
        <w:rPr>
          <w:rFonts w:cs="Arial"/>
          <w:rtl/>
        </w:rPr>
        <w:t>צל</w:t>
      </w:r>
      <w:r>
        <w:rPr>
          <w:rFonts w:hint="cs"/>
          <w:rtl/>
        </w:rPr>
        <w:t>, רש"י.</w:t>
      </w:r>
    </w:p>
  </w:footnote>
  <w:footnote w:id="130">
    <w:p w14:paraId="653FAAA8" w14:textId="41EC061B" w:rsidR="00234F2E" w:rsidRDefault="00234F2E">
      <w:pPr>
        <w:pStyle w:val="a5"/>
      </w:pPr>
      <w:r>
        <w:rPr>
          <w:rStyle w:val="a7"/>
        </w:rPr>
        <w:footnoteRef/>
      </w:r>
      <w:r>
        <w:rPr>
          <w:rtl/>
        </w:rPr>
        <w:t xml:space="preserve"> </w:t>
      </w:r>
      <w:r w:rsidRPr="00234F2E">
        <w:rPr>
          <w:rFonts w:cs="Arial"/>
          <w:rtl/>
        </w:rPr>
        <w:t>שמתכוונת היא לקלקלה שתנשא בגט זה ותאסר על בעלה</w:t>
      </w:r>
      <w:r>
        <w:rPr>
          <w:rFonts w:cs="Arial" w:hint="cs"/>
          <w:rtl/>
        </w:rPr>
        <w:t>, רש"י.</w:t>
      </w:r>
    </w:p>
  </w:footnote>
  <w:footnote w:id="131">
    <w:p w14:paraId="6DACA87E" w14:textId="76B6267B" w:rsidR="00234F2E" w:rsidRDefault="00234F2E">
      <w:pPr>
        <w:pStyle w:val="a5"/>
      </w:pPr>
      <w:r>
        <w:rPr>
          <w:rStyle w:val="a7"/>
        </w:rPr>
        <w:footnoteRef/>
      </w:r>
      <w:r>
        <w:rPr>
          <w:rtl/>
        </w:rPr>
        <w:t xml:space="preserve"> </w:t>
      </w:r>
      <w:r w:rsidRPr="00234F2E">
        <w:rPr>
          <w:rFonts w:cs="Arial"/>
          <w:rtl/>
        </w:rPr>
        <w:t>כגון זה שמסוכן למות ואם לא עכשיו אימתי</w:t>
      </w:r>
      <w:r>
        <w:rPr>
          <w:rFonts w:cs="Arial" w:hint="cs"/>
          <w:rtl/>
        </w:rPr>
        <w:t>, רש"י.</w:t>
      </w:r>
    </w:p>
  </w:footnote>
  <w:footnote w:id="132">
    <w:p w14:paraId="27A6B1BC" w14:textId="238745B9" w:rsidR="00234F2E" w:rsidRDefault="00234F2E">
      <w:pPr>
        <w:pStyle w:val="a5"/>
        <w:rPr>
          <w:rtl/>
        </w:rPr>
      </w:pPr>
      <w:r>
        <w:rPr>
          <w:rStyle w:val="a7"/>
        </w:rPr>
        <w:footnoteRef/>
      </w:r>
      <w:r>
        <w:rPr>
          <w:rtl/>
        </w:rPr>
        <w:t xml:space="preserve"> </w:t>
      </w:r>
      <w:r w:rsidRPr="00234F2E">
        <w:rPr>
          <w:rFonts w:cs="Arial"/>
          <w:rtl/>
        </w:rPr>
        <w:t>אם זהו שפירש שמו</w:t>
      </w:r>
      <w:r>
        <w:rPr>
          <w:rFonts w:hint="cs"/>
          <w:rtl/>
        </w:rPr>
        <w:t>, רש"י.</w:t>
      </w:r>
    </w:p>
  </w:footnote>
  <w:footnote w:id="133">
    <w:p w14:paraId="633A1BC8" w14:textId="03B06531" w:rsidR="00E82E77" w:rsidRDefault="00E82E77">
      <w:pPr>
        <w:pStyle w:val="a5"/>
      </w:pPr>
      <w:r>
        <w:rPr>
          <w:rStyle w:val="a7"/>
        </w:rPr>
        <w:footnoteRef/>
      </w:r>
      <w:r>
        <w:rPr>
          <w:rtl/>
        </w:rPr>
        <w:t xml:space="preserve"> </w:t>
      </w:r>
      <w:r>
        <w:rPr>
          <w:rFonts w:hint="cs"/>
          <w:rtl/>
        </w:rPr>
        <w:t>סימן - כותבין בשעת קרב.</w:t>
      </w:r>
      <w:r w:rsidR="005C1333">
        <w:rPr>
          <w:rFonts w:hint="cs"/>
          <w:rtl/>
        </w:rPr>
        <w:t xml:space="preserve"> וכן - כותבין בת קול. וכן - קול בבואה כותבין.</w:t>
      </w:r>
    </w:p>
  </w:footnote>
  <w:footnote w:id="134">
    <w:p w14:paraId="152856CF" w14:textId="791B6A5D" w:rsidR="00A95729" w:rsidRDefault="00A95729">
      <w:pPr>
        <w:pStyle w:val="a5"/>
      </w:pPr>
      <w:r>
        <w:rPr>
          <w:rStyle w:val="a7"/>
        </w:rPr>
        <w:footnoteRef/>
      </w:r>
      <w:r>
        <w:rPr>
          <w:rtl/>
        </w:rPr>
        <w:t xml:space="preserve"> </w:t>
      </w:r>
      <w:r w:rsidRPr="00367D3A">
        <w:rPr>
          <w:rFonts w:cs="Arial"/>
          <w:rtl/>
        </w:rPr>
        <w:t xml:space="preserve">עיין בתשו' נו"ב </w:t>
      </w:r>
      <w:r w:rsidRPr="00A95729">
        <w:rPr>
          <w:rFonts w:cs="Arial" w:hint="cs"/>
          <w:sz w:val="16"/>
          <w:szCs w:val="16"/>
          <w:rtl/>
        </w:rPr>
        <w:t>(</w:t>
      </w:r>
      <w:r w:rsidRPr="00A95729">
        <w:rPr>
          <w:rFonts w:cs="Arial"/>
          <w:sz w:val="16"/>
          <w:szCs w:val="16"/>
          <w:rtl/>
        </w:rPr>
        <w:t>תניינא סי' קכג</w:t>
      </w:r>
      <w:r w:rsidRPr="00A95729">
        <w:rPr>
          <w:rFonts w:cs="Arial" w:hint="cs"/>
          <w:sz w:val="16"/>
          <w:szCs w:val="16"/>
          <w:rtl/>
        </w:rPr>
        <w:t>, הובא בפת"ש [סק"ח])</w:t>
      </w:r>
      <w:r w:rsidRPr="00A95729">
        <w:rPr>
          <w:rFonts w:cs="Arial"/>
          <w:sz w:val="16"/>
          <w:szCs w:val="16"/>
          <w:rtl/>
        </w:rPr>
        <w:t xml:space="preserve"> </w:t>
      </w:r>
      <w:r>
        <w:rPr>
          <w:rFonts w:cs="Arial" w:hint="cs"/>
          <w:rtl/>
        </w:rPr>
        <w:t>דכתב ד</w:t>
      </w:r>
      <w:r w:rsidRPr="00367D3A">
        <w:rPr>
          <w:rFonts w:cs="Arial"/>
          <w:rtl/>
        </w:rPr>
        <w:t>לא שנינו בשעת הדחק רק בשעת סכנה</w:t>
      </w:r>
      <w:r>
        <w:rPr>
          <w:rFonts w:cs="Arial" w:hint="cs"/>
          <w:rtl/>
        </w:rPr>
        <w:t>.</w:t>
      </w:r>
      <w:r w:rsidRPr="00367D3A">
        <w:rPr>
          <w:rFonts w:cs="Arial"/>
          <w:rtl/>
        </w:rPr>
        <w:t xml:space="preserve"> </w:t>
      </w:r>
      <w:r>
        <w:rPr>
          <w:rFonts w:cs="Arial" w:hint="cs"/>
          <w:rtl/>
        </w:rPr>
        <w:t>ו</w:t>
      </w:r>
      <w:r w:rsidRPr="00367D3A">
        <w:rPr>
          <w:rFonts w:cs="Arial"/>
          <w:rtl/>
        </w:rPr>
        <w:t xml:space="preserve">ע' בת' ב"ח </w:t>
      </w:r>
      <w:r w:rsidRPr="00A95729">
        <w:rPr>
          <w:rFonts w:cs="Arial" w:hint="cs"/>
          <w:sz w:val="16"/>
          <w:szCs w:val="16"/>
          <w:rtl/>
        </w:rPr>
        <w:t>(</w:t>
      </w:r>
      <w:r w:rsidRPr="00A95729">
        <w:rPr>
          <w:rFonts w:cs="Arial"/>
          <w:sz w:val="16"/>
          <w:szCs w:val="16"/>
          <w:rtl/>
        </w:rPr>
        <w:t>החדשות סי' צ</w:t>
      </w:r>
      <w:r w:rsidRPr="00A95729">
        <w:rPr>
          <w:rFonts w:cs="Arial" w:hint="cs"/>
          <w:sz w:val="16"/>
          <w:szCs w:val="16"/>
          <w:rtl/>
        </w:rPr>
        <w:t>ב, הובא בפת"ש [סקט"ו])</w:t>
      </w:r>
      <w:r w:rsidRPr="00A95729">
        <w:rPr>
          <w:rFonts w:cs="Arial"/>
          <w:sz w:val="16"/>
          <w:szCs w:val="16"/>
          <w:rtl/>
        </w:rPr>
        <w:t xml:space="preserve"> </w:t>
      </w:r>
      <w:r w:rsidRPr="00367D3A">
        <w:rPr>
          <w:rFonts w:cs="Arial"/>
          <w:rtl/>
        </w:rPr>
        <w:t>שלא כ' כן</w:t>
      </w:r>
      <w:r>
        <w:rPr>
          <w:rFonts w:cs="Arial" w:hint="cs"/>
          <w:rtl/>
        </w:rPr>
        <w:t>.</w:t>
      </w:r>
    </w:p>
  </w:footnote>
  <w:footnote w:id="135">
    <w:p w14:paraId="154F20AC" w14:textId="334F859B" w:rsidR="00D24FDF" w:rsidRDefault="00D24FDF">
      <w:pPr>
        <w:pStyle w:val="a5"/>
      </w:pPr>
      <w:r>
        <w:rPr>
          <w:rStyle w:val="a7"/>
        </w:rPr>
        <w:footnoteRef/>
      </w:r>
      <w:r>
        <w:rPr>
          <w:rtl/>
        </w:rPr>
        <w:t xml:space="preserve"> </w:t>
      </w:r>
      <w:r w:rsidRPr="00D24FDF">
        <w:rPr>
          <w:rFonts w:cs="Arial"/>
          <w:rtl/>
        </w:rPr>
        <w:t>והא דלא חיישינן שמא יכתוב בניסן ולא יתן עד תשרי כבר תירצו בתו</w:t>
      </w:r>
      <w:r>
        <w:rPr>
          <w:rFonts w:cs="Arial" w:hint="cs"/>
          <w:rtl/>
        </w:rPr>
        <w:t>ס' (קסז. ד"ה אע"פ)</w:t>
      </w:r>
      <w:r w:rsidRPr="00D24FDF">
        <w:rPr>
          <w:rFonts w:cs="Arial"/>
          <w:rtl/>
        </w:rPr>
        <w:t xml:space="preserve"> דלא מקדים איש פורענות לנפשיה</w:t>
      </w:r>
      <w:r>
        <w:rPr>
          <w:rFonts w:cs="Arial" w:hint="cs"/>
          <w:rtl/>
        </w:rPr>
        <w:t>, ח"מ (סק"ו).</w:t>
      </w:r>
    </w:p>
  </w:footnote>
  <w:footnote w:id="136">
    <w:p w14:paraId="0AEBBE4F" w14:textId="505273FD" w:rsidR="00D24FDF" w:rsidRDefault="00D24FDF">
      <w:pPr>
        <w:pStyle w:val="a5"/>
      </w:pPr>
      <w:r>
        <w:rPr>
          <w:rStyle w:val="a7"/>
        </w:rPr>
        <w:footnoteRef/>
      </w:r>
      <w:r>
        <w:rPr>
          <w:rtl/>
        </w:rPr>
        <w:t xml:space="preserve"> </w:t>
      </w:r>
      <w:r w:rsidRPr="00D24FDF">
        <w:rPr>
          <w:rFonts w:cs="Arial"/>
          <w:rtl/>
        </w:rPr>
        <w:t>לאו דוקא באיש שאין אשתו עמו ה"ה באשתו עמו דלא שנא</w:t>
      </w:r>
      <w:r>
        <w:rPr>
          <w:rFonts w:cs="Arial" w:hint="cs"/>
          <w:rtl/>
        </w:rPr>
        <w:t>,</w:t>
      </w:r>
      <w:r w:rsidRPr="00D24FDF">
        <w:rPr>
          <w:rFonts w:cs="Arial"/>
          <w:rtl/>
        </w:rPr>
        <w:t xml:space="preserve"> ועיין ב"י</w:t>
      </w:r>
      <w:r>
        <w:rPr>
          <w:rFonts w:cs="Arial" w:hint="cs"/>
          <w:rtl/>
        </w:rPr>
        <w:t>, ח"מ (סק"ז).</w:t>
      </w:r>
    </w:p>
  </w:footnote>
  <w:footnote w:id="137">
    <w:p w14:paraId="189D017F" w14:textId="1B85F788" w:rsidR="00A95729" w:rsidRDefault="00A95729">
      <w:pPr>
        <w:pStyle w:val="a5"/>
      </w:pPr>
      <w:r>
        <w:rPr>
          <w:rStyle w:val="a7"/>
        </w:rPr>
        <w:footnoteRef/>
      </w:r>
      <w:r>
        <w:rPr>
          <w:rtl/>
        </w:rPr>
        <w:t xml:space="preserve"> </w:t>
      </w:r>
      <w:r w:rsidRPr="00A95729">
        <w:rPr>
          <w:rFonts w:cs="Arial"/>
          <w:rtl/>
        </w:rPr>
        <w:t>כלומר שמו כך הוא וכן שם אשתו</w:t>
      </w:r>
      <w:r w:rsidR="00AC3383">
        <w:rPr>
          <w:rFonts w:cs="Arial" w:hint="cs"/>
          <w:rtl/>
        </w:rPr>
        <w:t>.</w:t>
      </w:r>
      <w:r w:rsidRPr="00A95729">
        <w:rPr>
          <w:rFonts w:cs="Arial"/>
          <w:rtl/>
        </w:rPr>
        <w:t xml:space="preserve"> ואפילו אם הוא ואשתו לפנינו ויודעים שזו אשתו צריכים לידע שמותם</w:t>
      </w:r>
      <w:r w:rsidR="00AC3383">
        <w:rPr>
          <w:rFonts w:cs="Arial" w:hint="cs"/>
          <w:rtl/>
        </w:rPr>
        <w:t>,</w:t>
      </w:r>
      <w:r w:rsidRPr="00A95729">
        <w:rPr>
          <w:rFonts w:cs="Arial"/>
          <w:rtl/>
        </w:rPr>
        <w:t xml:space="preserve"> כמ"ש בב"י וכ"כ הב"י</w:t>
      </w:r>
      <w:r w:rsidR="00AC3383">
        <w:rPr>
          <w:rFonts w:cs="Arial" w:hint="cs"/>
          <w:rtl/>
        </w:rPr>
        <w:t>.</w:t>
      </w:r>
      <w:r w:rsidRPr="00A95729">
        <w:rPr>
          <w:rFonts w:cs="Arial"/>
          <w:rtl/>
        </w:rPr>
        <w:t xml:space="preserve"> ונראה אפילו אם מכירים את שמותם צריכים לידע שזו אשתו</w:t>
      </w:r>
      <w:r w:rsidR="00AC3383">
        <w:rPr>
          <w:rFonts w:cs="Arial" w:hint="cs"/>
          <w:rtl/>
        </w:rPr>
        <w:t>,</w:t>
      </w:r>
      <w:r w:rsidRPr="00A95729">
        <w:rPr>
          <w:rFonts w:cs="Arial"/>
          <w:rtl/>
        </w:rPr>
        <w:t xml:space="preserve"> או דיודעי' דאשתו כך היא שמה </w:t>
      </w:r>
      <w:r w:rsidR="00AC3383" w:rsidRPr="00AC3383">
        <w:rPr>
          <w:rFonts w:cs="Arial" w:hint="cs"/>
          <w:sz w:val="16"/>
          <w:szCs w:val="16"/>
          <w:rtl/>
        </w:rPr>
        <w:t>(</w:t>
      </w:r>
      <w:r w:rsidRPr="00AC3383">
        <w:rPr>
          <w:rFonts w:cs="Arial"/>
          <w:sz w:val="16"/>
          <w:szCs w:val="16"/>
          <w:rtl/>
        </w:rPr>
        <w:t>דאל"כ אכתי קשה קושי' הש"ס דלמא זו אשת אחר כמה שהקשה שם דילמא יתן הגט לאשת אחר כן יש לחוש שמא זו היא אשת אחר אלא צ"ל דיודעים דזו אשתו וזה שמותם</w:t>
      </w:r>
      <w:r w:rsidR="00AC3383">
        <w:rPr>
          <w:rFonts w:cs="Arial" w:hint="cs"/>
          <w:sz w:val="16"/>
          <w:szCs w:val="16"/>
          <w:rtl/>
        </w:rPr>
        <w:t>)</w:t>
      </w:r>
      <w:r w:rsidRPr="00A95729">
        <w:rPr>
          <w:rFonts w:cs="Arial"/>
          <w:rtl/>
        </w:rPr>
        <w:t>, ואם אין אשתו עמו צריכים לידע דזהו שמו ויש לו אשה דשמה כך הוא כמה שנכתב בגט</w:t>
      </w:r>
      <w:r w:rsidR="00AC3383">
        <w:rPr>
          <w:rFonts w:cs="Arial" w:hint="cs"/>
          <w:rtl/>
        </w:rPr>
        <w:t>.</w:t>
      </w:r>
      <w:r w:rsidRPr="00A95729">
        <w:rPr>
          <w:rFonts w:cs="Arial"/>
          <w:rtl/>
        </w:rPr>
        <w:t xml:space="preserve"> ומשמע מכל הפוסקים אפילו לא הוחזק כאן עוד א' ששמו כך הוא מ"מ צריכים לידע שם אשתו משום דחיישינן שמא יש א' ששמו כך הוא, ואפשר אם הוחזק עוד א' ששמו כך הוא צריכין לחקור אחר שם אשת השני שמא שמה ג"כ כשם אשת זה אע</w:t>
      </w:r>
      <w:r w:rsidR="00AC3383">
        <w:rPr>
          <w:rFonts w:cs="Arial" w:hint="cs"/>
          <w:rtl/>
        </w:rPr>
        <w:t>"</w:t>
      </w:r>
      <w:r w:rsidRPr="00A95729">
        <w:rPr>
          <w:rFonts w:cs="Arial"/>
          <w:rtl/>
        </w:rPr>
        <w:t>ג דבסי' י"ז איתא ביצחק בן מיכאל דלא חיישינן שמא יש עוד א' ששמו כך הוא יש לחלק</w:t>
      </w:r>
      <w:r w:rsidR="00AC3383">
        <w:rPr>
          <w:rFonts w:cs="Arial" w:hint="cs"/>
          <w:rtl/>
        </w:rPr>
        <w:t>.</w:t>
      </w:r>
      <w:r w:rsidRPr="00A95729">
        <w:rPr>
          <w:rFonts w:cs="Arial"/>
          <w:rtl/>
        </w:rPr>
        <w:t xml:space="preserve"> ולתוספות שיטה אחרת ופירשו הסוגי' דוקא במוחזק עוד א' ששמו כך הוא אז צריכים להכיר שם אשתו ועיין תוס' ב"ב דף קס"ז תוספות גיטין דף כ"ד ועין סי' קל"ו ותשובת ש"י סי' ל"ו</w:t>
      </w:r>
      <w:r>
        <w:rPr>
          <w:rFonts w:cs="Arial" w:hint="cs"/>
          <w:rtl/>
        </w:rPr>
        <w:t>, ב"ש (סק"ד).</w:t>
      </w:r>
    </w:p>
  </w:footnote>
  <w:footnote w:id="138">
    <w:p w14:paraId="4AFC919F" w14:textId="6FF59C7E" w:rsidR="003845A1" w:rsidRDefault="003845A1">
      <w:pPr>
        <w:pStyle w:val="a5"/>
      </w:pPr>
      <w:r>
        <w:rPr>
          <w:rStyle w:val="a7"/>
        </w:rPr>
        <w:footnoteRef/>
      </w:r>
      <w:r>
        <w:rPr>
          <w:rtl/>
        </w:rPr>
        <w:t xml:space="preserve"> </w:t>
      </w:r>
      <w:r w:rsidRPr="003845A1">
        <w:rPr>
          <w:rFonts w:cs="Arial"/>
          <w:rtl/>
        </w:rPr>
        <w:t>נראה דלכתחלה צריך שיכירו</w:t>
      </w:r>
      <w:r>
        <w:rPr>
          <w:rFonts w:cs="Arial" w:hint="cs"/>
          <w:rtl/>
        </w:rPr>
        <w:t>,</w:t>
      </w:r>
      <w:r w:rsidRPr="003845A1">
        <w:rPr>
          <w:rFonts w:cs="Arial"/>
          <w:rtl/>
        </w:rPr>
        <w:t xml:space="preserve"> משום חשש רמאות שמא יתן הגט לאשה אחרת</w:t>
      </w:r>
      <w:r>
        <w:rPr>
          <w:rFonts w:cs="Arial" w:hint="cs"/>
          <w:rtl/>
        </w:rPr>
        <w:t>.</w:t>
      </w:r>
      <w:r w:rsidRPr="003845A1">
        <w:rPr>
          <w:rFonts w:cs="Arial"/>
          <w:rtl/>
        </w:rPr>
        <w:t xml:space="preserve"> אבל אם חתמו ולא הכירו</w:t>
      </w:r>
      <w:r>
        <w:rPr>
          <w:rFonts w:cs="Arial" w:hint="cs"/>
          <w:rtl/>
        </w:rPr>
        <w:t>,</w:t>
      </w:r>
      <w:r w:rsidRPr="003845A1">
        <w:rPr>
          <w:rFonts w:cs="Arial"/>
          <w:rtl/>
        </w:rPr>
        <w:t xml:space="preserve"> והאמת כן הוא שכן שם האיש והאשה</w:t>
      </w:r>
      <w:r>
        <w:rPr>
          <w:rFonts w:cs="Arial" w:hint="cs"/>
          <w:rtl/>
        </w:rPr>
        <w:t>,</w:t>
      </w:r>
      <w:r w:rsidRPr="003845A1">
        <w:rPr>
          <w:rFonts w:cs="Arial"/>
          <w:rtl/>
        </w:rPr>
        <w:t xml:space="preserve"> אף שבשעת חתימה לא הכירו רק סמכו עליו </w:t>
      </w:r>
      <w:r>
        <w:rPr>
          <w:rFonts w:cs="Arial" w:hint="cs"/>
          <w:rtl/>
        </w:rPr>
        <w:t xml:space="preserve">- </w:t>
      </w:r>
      <w:r w:rsidRPr="003845A1">
        <w:rPr>
          <w:rFonts w:cs="Arial"/>
          <w:rtl/>
        </w:rPr>
        <w:t>נראה דכשר בדיעבד</w:t>
      </w:r>
      <w:r>
        <w:rPr>
          <w:rFonts w:cs="Arial" w:hint="cs"/>
          <w:rtl/>
        </w:rPr>
        <w:t>,</w:t>
      </w:r>
      <w:r w:rsidRPr="003845A1">
        <w:rPr>
          <w:rFonts w:cs="Arial"/>
          <w:rtl/>
        </w:rPr>
        <w:t xml:space="preserve"> דהא בשעת הסכנה כותבין אע</w:t>
      </w:r>
      <w:r>
        <w:rPr>
          <w:rFonts w:cs="Arial" w:hint="cs"/>
          <w:rtl/>
        </w:rPr>
        <w:t>"</w:t>
      </w:r>
      <w:r w:rsidRPr="003845A1">
        <w:rPr>
          <w:rFonts w:cs="Arial"/>
          <w:rtl/>
        </w:rPr>
        <w:t>פ שאין מכירין</w:t>
      </w:r>
      <w:r>
        <w:rPr>
          <w:rFonts w:cs="Arial" w:hint="cs"/>
          <w:rtl/>
        </w:rPr>
        <w:t>, ח"מ (סק"ח).</w:t>
      </w:r>
    </w:p>
  </w:footnote>
  <w:footnote w:id="139">
    <w:p w14:paraId="5110E2EA" w14:textId="7F7CFCB1" w:rsidR="003845A1" w:rsidRDefault="003845A1">
      <w:pPr>
        <w:pStyle w:val="a5"/>
        <w:rPr>
          <w:rtl/>
        </w:rPr>
      </w:pPr>
      <w:r>
        <w:rPr>
          <w:rStyle w:val="a7"/>
        </w:rPr>
        <w:footnoteRef/>
      </w:r>
      <w:r>
        <w:rPr>
          <w:rtl/>
        </w:rPr>
        <w:t xml:space="preserve"> </w:t>
      </w:r>
      <w:r w:rsidRPr="003845A1">
        <w:rPr>
          <w:rFonts w:cs="Arial"/>
          <w:rtl/>
        </w:rPr>
        <w:t>דהא צריך שישמע מפי הבעל וצריך לכתוב לשמו ולשמה ע"כ צריך לכתחלה לידע קודם שיכתוב שזה שם האיש ושם האשה</w:t>
      </w:r>
      <w:r>
        <w:rPr>
          <w:rFonts w:hint="cs"/>
          <w:rtl/>
        </w:rPr>
        <w:t xml:space="preserve">, </w:t>
      </w:r>
      <w:r w:rsidRPr="00350128">
        <w:rPr>
          <w:rFonts w:hint="cs"/>
          <w:b/>
          <w:bCs/>
          <w:rtl/>
        </w:rPr>
        <w:t>ח"מ</w:t>
      </w:r>
      <w:r>
        <w:rPr>
          <w:rFonts w:hint="cs"/>
          <w:rtl/>
        </w:rPr>
        <w:t xml:space="preserve"> (סק"ט).</w:t>
      </w:r>
      <w:r w:rsidR="00962995" w:rsidRPr="00962995">
        <w:rPr>
          <w:rFonts w:cs="Arial"/>
          <w:rtl/>
        </w:rPr>
        <w:t xml:space="preserve"> </w:t>
      </w:r>
      <w:r w:rsidR="00350128">
        <w:rPr>
          <w:rFonts w:cs="Arial" w:hint="cs"/>
          <w:rtl/>
        </w:rPr>
        <w:t xml:space="preserve">    </w:t>
      </w:r>
      <w:r w:rsidR="00962995" w:rsidRPr="00367D3A">
        <w:rPr>
          <w:rFonts w:cs="Arial"/>
          <w:rtl/>
        </w:rPr>
        <w:t>עיין בג"פ דנראה לו עיקר כהב"י דהסופר א"צ להכיר. ובס' תו"ג מקיים דעת הרמ"א ז"ל ומ"מ מסיים דחומרא בעלמא היא</w:t>
      </w:r>
      <w:r w:rsidR="00962995">
        <w:rPr>
          <w:rFonts w:hint="cs"/>
          <w:rtl/>
        </w:rPr>
        <w:t xml:space="preserve">, </w:t>
      </w:r>
      <w:r w:rsidR="00962995" w:rsidRPr="00350128">
        <w:rPr>
          <w:rFonts w:hint="cs"/>
          <w:b/>
          <w:bCs/>
          <w:rtl/>
        </w:rPr>
        <w:t>פת"ש</w:t>
      </w:r>
      <w:r w:rsidR="00962995">
        <w:rPr>
          <w:rFonts w:hint="cs"/>
          <w:rtl/>
        </w:rPr>
        <w:t xml:space="preserve"> (סק"י).</w:t>
      </w:r>
    </w:p>
  </w:footnote>
  <w:footnote w:id="140">
    <w:p w14:paraId="583D23E4" w14:textId="488A0FFA" w:rsidR="003C478A" w:rsidRDefault="003C478A">
      <w:pPr>
        <w:pStyle w:val="a5"/>
        <w:rPr>
          <w:rtl/>
        </w:rPr>
      </w:pPr>
      <w:r>
        <w:rPr>
          <w:rStyle w:val="a7"/>
        </w:rPr>
        <w:footnoteRef/>
      </w:r>
      <w:r>
        <w:rPr>
          <w:rtl/>
        </w:rPr>
        <w:t xml:space="preserve"> </w:t>
      </w:r>
      <w:r w:rsidRPr="00367D3A">
        <w:rPr>
          <w:rFonts w:cs="Arial"/>
          <w:rtl/>
        </w:rPr>
        <w:t xml:space="preserve">ועיין בס' ג"פ </w:t>
      </w:r>
      <w:r w:rsidRPr="003C478A">
        <w:rPr>
          <w:rFonts w:cs="Arial" w:hint="cs"/>
          <w:sz w:val="16"/>
          <w:szCs w:val="16"/>
          <w:rtl/>
        </w:rPr>
        <w:t>(</w:t>
      </w:r>
      <w:r w:rsidRPr="003C478A">
        <w:rPr>
          <w:rFonts w:cs="Arial"/>
          <w:sz w:val="16"/>
          <w:szCs w:val="16"/>
          <w:rtl/>
        </w:rPr>
        <w:t>סקי"ח</w:t>
      </w:r>
      <w:r w:rsidRPr="003C478A">
        <w:rPr>
          <w:rFonts w:cs="Arial" w:hint="cs"/>
          <w:sz w:val="16"/>
          <w:szCs w:val="16"/>
          <w:rtl/>
        </w:rPr>
        <w:t>, הביאו הפת"ש [סק</w:t>
      </w:r>
      <w:r w:rsidRPr="003C478A">
        <w:rPr>
          <w:rFonts w:cs="Arial"/>
          <w:sz w:val="16"/>
          <w:szCs w:val="16"/>
          <w:rtl/>
        </w:rPr>
        <w:t>י</w:t>
      </w:r>
      <w:r w:rsidRPr="003C478A">
        <w:rPr>
          <w:rFonts w:cs="Arial" w:hint="cs"/>
          <w:sz w:val="16"/>
          <w:szCs w:val="16"/>
          <w:rtl/>
        </w:rPr>
        <w:t>"</w:t>
      </w:r>
      <w:r w:rsidRPr="003C478A">
        <w:rPr>
          <w:rFonts w:cs="Arial"/>
          <w:sz w:val="16"/>
          <w:szCs w:val="16"/>
          <w:rtl/>
        </w:rPr>
        <w:t>ג</w:t>
      </w:r>
      <w:r w:rsidRPr="003C478A">
        <w:rPr>
          <w:rFonts w:cs="Arial" w:hint="cs"/>
          <w:sz w:val="16"/>
          <w:szCs w:val="16"/>
          <w:rtl/>
        </w:rPr>
        <w:t>])</w:t>
      </w:r>
      <w:r w:rsidRPr="00367D3A">
        <w:rPr>
          <w:rFonts w:cs="Arial"/>
          <w:rtl/>
        </w:rPr>
        <w:t xml:space="preserve"> שנסתפק אם נאמן הבעל לומר שם חמיו</w:t>
      </w:r>
      <w:r>
        <w:rPr>
          <w:rFonts w:cs="Arial" w:hint="cs"/>
          <w:rtl/>
        </w:rPr>
        <w:t>.</w:t>
      </w:r>
      <w:r w:rsidRPr="00367D3A">
        <w:rPr>
          <w:rFonts w:cs="Arial"/>
          <w:rtl/>
        </w:rPr>
        <w:t xml:space="preserve"> והביא מדברי הרא"ם </w:t>
      </w:r>
      <w:r>
        <w:rPr>
          <w:rFonts w:cs="Arial" w:hint="cs"/>
          <w:rtl/>
        </w:rPr>
        <w:t>(</w:t>
      </w:r>
      <w:r w:rsidRPr="00367D3A">
        <w:rPr>
          <w:rFonts w:cs="Arial"/>
          <w:rtl/>
        </w:rPr>
        <w:t>ח"א סי' סו</w:t>
      </w:r>
      <w:r>
        <w:rPr>
          <w:rFonts w:cs="Arial" w:hint="cs"/>
          <w:rtl/>
        </w:rPr>
        <w:t>)</w:t>
      </w:r>
      <w:r w:rsidRPr="00367D3A">
        <w:rPr>
          <w:rFonts w:cs="Arial"/>
          <w:rtl/>
        </w:rPr>
        <w:t xml:space="preserve"> דמוכח מדבריו דכותבין ע"פ הבעל שם חמיו ע"ש</w:t>
      </w:r>
      <w:r>
        <w:rPr>
          <w:rFonts w:cs="Arial" w:hint="cs"/>
          <w:rtl/>
        </w:rPr>
        <w:t>.</w:t>
      </w:r>
      <w:r w:rsidRPr="00367D3A">
        <w:rPr>
          <w:rFonts w:cs="Arial"/>
          <w:rtl/>
        </w:rPr>
        <w:t xml:space="preserve"> ושם בסקי"ב הביא מדברי הרא"ם הנזכר דכותבין ע"פ הבעל שם חמיו אע</w:t>
      </w:r>
      <w:r>
        <w:rPr>
          <w:rFonts w:cs="Arial" w:hint="cs"/>
          <w:rtl/>
        </w:rPr>
        <w:t>"</w:t>
      </w:r>
      <w:r w:rsidRPr="00367D3A">
        <w:rPr>
          <w:rFonts w:cs="Arial"/>
          <w:rtl/>
        </w:rPr>
        <w:t>ג דהבעל הוא עוזב דת</w:t>
      </w:r>
      <w:r>
        <w:rPr>
          <w:rFonts w:cs="Arial" w:hint="cs"/>
          <w:rtl/>
        </w:rPr>
        <w:t>...</w:t>
      </w:r>
      <w:r w:rsidRPr="00367D3A">
        <w:rPr>
          <w:rFonts w:cs="Arial"/>
          <w:rtl/>
        </w:rPr>
        <w:t xml:space="preserve"> אמנם בסי' קכ"ט </w:t>
      </w:r>
      <w:r>
        <w:rPr>
          <w:rFonts w:cs="Arial" w:hint="cs"/>
          <w:rtl/>
        </w:rPr>
        <w:t>(</w:t>
      </w:r>
      <w:r w:rsidRPr="00367D3A">
        <w:rPr>
          <w:rFonts w:cs="Arial"/>
          <w:rtl/>
        </w:rPr>
        <w:t>סקמ"ג</w:t>
      </w:r>
      <w:r>
        <w:rPr>
          <w:rFonts w:cs="Arial" w:hint="cs"/>
          <w:rtl/>
        </w:rPr>
        <w:t>)</w:t>
      </w:r>
      <w:r w:rsidRPr="00367D3A">
        <w:rPr>
          <w:rFonts w:cs="Arial"/>
          <w:rtl/>
        </w:rPr>
        <w:t xml:space="preserve"> נסתפק בזה דאפשר אפי' על שם אביו אינו נאמן העוזב דת</w:t>
      </w:r>
      <w:r>
        <w:rPr>
          <w:rFonts w:cs="Arial" w:hint="cs"/>
          <w:rtl/>
        </w:rPr>
        <w:t>,</w:t>
      </w:r>
      <w:r w:rsidRPr="00367D3A">
        <w:rPr>
          <w:rFonts w:cs="Arial"/>
          <w:rtl/>
        </w:rPr>
        <w:t xml:space="preserve"> ומכ"ש על שם חמיו</w:t>
      </w:r>
      <w:r>
        <w:rPr>
          <w:rFonts w:cs="Arial" w:hint="cs"/>
          <w:rtl/>
        </w:rPr>
        <w:t>.</w:t>
      </w:r>
      <w:r w:rsidRPr="00367D3A">
        <w:rPr>
          <w:rFonts w:cs="Arial"/>
          <w:rtl/>
        </w:rPr>
        <w:t xml:space="preserve"> והביא שם דכן מבואר בתשו' מהר"ם לובלין </w:t>
      </w:r>
      <w:r>
        <w:rPr>
          <w:rFonts w:cs="Arial" w:hint="cs"/>
          <w:rtl/>
        </w:rPr>
        <w:t>(</w:t>
      </w:r>
      <w:r w:rsidRPr="00367D3A">
        <w:rPr>
          <w:rFonts w:cs="Arial"/>
          <w:rtl/>
        </w:rPr>
        <w:t>סי' קי</w:t>
      </w:r>
      <w:r>
        <w:rPr>
          <w:rFonts w:cs="Arial" w:hint="cs"/>
          <w:rtl/>
        </w:rPr>
        <w:t>).</w:t>
      </w:r>
      <w:r w:rsidRPr="00367D3A">
        <w:rPr>
          <w:rFonts w:cs="Arial"/>
          <w:rtl/>
        </w:rPr>
        <w:t xml:space="preserve"> ומסיים שם ולענין הלכה למעשה יראה דיכתבו ב' גיטין א' בשם המגרש והמתגרשת לחוד וגט שני בשם אבי המגרש ואבי המתגרשת ע"פ המגרש העוזב דת ואם הוא שעת הדחק דא"א לקחת ב' גיטין יקחו גט א' בשם המגרש והמתגרשת לחוד</w:t>
      </w:r>
      <w:r>
        <w:rPr>
          <w:rFonts w:cs="Arial" w:hint="cs"/>
          <w:rtl/>
        </w:rPr>
        <w:t xml:space="preserve">... </w:t>
      </w:r>
      <w:r w:rsidRPr="003C478A">
        <w:rPr>
          <w:rFonts w:cs="Arial" w:hint="cs"/>
          <w:sz w:val="16"/>
          <w:szCs w:val="16"/>
          <w:rtl/>
        </w:rPr>
        <w:t xml:space="preserve">{וע"ע בתורת גיטין על </w:t>
      </w:r>
      <w:r>
        <w:rPr>
          <w:rFonts w:cs="Arial" w:hint="cs"/>
          <w:sz w:val="16"/>
          <w:szCs w:val="16"/>
          <w:rtl/>
        </w:rPr>
        <w:t xml:space="preserve">עניין </w:t>
      </w:r>
      <w:r w:rsidRPr="003C478A">
        <w:rPr>
          <w:rFonts w:cs="Arial" w:hint="cs"/>
          <w:sz w:val="16"/>
          <w:szCs w:val="16"/>
          <w:rtl/>
        </w:rPr>
        <w:t>זה</w:t>
      </w:r>
      <w:r>
        <w:rPr>
          <w:rFonts w:cs="Arial" w:hint="cs"/>
          <w:sz w:val="16"/>
          <w:szCs w:val="16"/>
          <w:rtl/>
        </w:rPr>
        <w:t>}</w:t>
      </w:r>
      <w:r>
        <w:rPr>
          <w:rFonts w:cs="Arial" w:hint="cs"/>
          <w:rtl/>
        </w:rPr>
        <w:t>.</w:t>
      </w:r>
    </w:p>
  </w:footnote>
  <w:footnote w:id="141">
    <w:p w14:paraId="6DB67397" w14:textId="5B45C95F" w:rsidR="006C770D" w:rsidRDefault="006C770D">
      <w:pPr>
        <w:pStyle w:val="a5"/>
      </w:pPr>
      <w:r>
        <w:rPr>
          <w:rStyle w:val="a7"/>
        </w:rPr>
        <w:footnoteRef/>
      </w:r>
      <w:r>
        <w:rPr>
          <w:rtl/>
        </w:rPr>
        <w:t xml:space="preserve"> </w:t>
      </w:r>
      <w:r w:rsidRPr="009F64C8">
        <w:rPr>
          <w:rFonts w:cs="Arial"/>
          <w:rtl/>
        </w:rPr>
        <w:t>עבה"ט לקמן סי' קס"ט ס"ק י"א בשם רשד"ם ומ"ש בפ"ת שם. וע' עוד בתשו' אא"ז פנים מאירות ח"ב סי' ס"ח וס"ט</w:t>
      </w:r>
      <w:r>
        <w:rPr>
          <w:rFonts w:cs="Arial" w:hint="cs"/>
          <w:rtl/>
        </w:rPr>
        <w:t>, פת"ש (סקי"ב).</w:t>
      </w:r>
    </w:p>
  </w:footnote>
  <w:footnote w:id="142">
    <w:p w14:paraId="27A22D00" w14:textId="724B890C" w:rsidR="009F64C8" w:rsidRDefault="009F64C8">
      <w:pPr>
        <w:pStyle w:val="a5"/>
      </w:pPr>
      <w:r>
        <w:rPr>
          <w:rStyle w:val="a7"/>
        </w:rPr>
        <w:footnoteRef/>
      </w:r>
      <w:r>
        <w:rPr>
          <w:rtl/>
        </w:rPr>
        <w:t xml:space="preserve"> </w:t>
      </w:r>
      <w:r w:rsidRPr="009F64C8">
        <w:rPr>
          <w:rFonts w:cs="Arial"/>
          <w:rtl/>
        </w:rPr>
        <w:t>ולכאורה צ"ע כיון שלא הוחזק לנו שהיא א"א רק מפיה והיא אומרת שזהו בעלה אין לנו לחוש שמא זה אינו אשה</w:t>
      </w:r>
      <w:r w:rsidR="0062272B">
        <w:rPr>
          <w:rFonts w:cs="Arial" w:hint="cs"/>
          <w:rtl/>
        </w:rPr>
        <w:t>,</w:t>
      </w:r>
      <w:r w:rsidRPr="009F64C8">
        <w:rPr>
          <w:rFonts w:cs="Arial"/>
          <w:rtl/>
        </w:rPr>
        <w:t xml:space="preserve"> דהפה שאסר כו'</w:t>
      </w:r>
      <w:r w:rsidR="0062272B">
        <w:rPr>
          <w:rFonts w:cs="Arial" w:hint="cs"/>
          <w:rtl/>
        </w:rPr>
        <w:t>.</w:t>
      </w:r>
      <w:r w:rsidRPr="009F64C8">
        <w:rPr>
          <w:rFonts w:cs="Arial"/>
          <w:rtl/>
        </w:rPr>
        <w:t xml:space="preserve"> עיין בתשו' נו"ב </w:t>
      </w:r>
      <w:r w:rsidR="001C499D">
        <w:rPr>
          <w:rFonts w:cs="Arial" w:hint="cs"/>
          <w:rtl/>
        </w:rPr>
        <w:t>(</w:t>
      </w:r>
      <w:r w:rsidRPr="009F64C8">
        <w:rPr>
          <w:rFonts w:cs="Arial"/>
          <w:rtl/>
        </w:rPr>
        <w:t>סי' לח</w:t>
      </w:r>
      <w:r w:rsidR="001C499D">
        <w:rPr>
          <w:rFonts w:cs="Arial" w:hint="cs"/>
          <w:rtl/>
        </w:rPr>
        <w:t>)</w:t>
      </w:r>
      <w:r w:rsidRPr="009F64C8">
        <w:rPr>
          <w:rFonts w:cs="Arial"/>
          <w:rtl/>
        </w:rPr>
        <w:t xml:space="preserve"> הובא קצת לעיל </w:t>
      </w:r>
      <w:r w:rsidR="001C499D">
        <w:rPr>
          <w:rFonts w:cs="Arial" w:hint="cs"/>
          <w:rtl/>
        </w:rPr>
        <w:t>(</w:t>
      </w:r>
      <w:r w:rsidRPr="009F64C8">
        <w:rPr>
          <w:rFonts w:cs="Arial"/>
          <w:rtl/>
        </w:rPr>
        <w:t>סי</w:t>
      </w:r>
      <w:r w:rsidR="001C499D">
        <w:rPr>
          <w:rFonts w:cs="Arial" w:hint="cs"/>
          <w:rtl/>
        </w:rPr>
        <w:t>'</w:t>
      </w:r>
      <w:r w:rsidRPr="009F64C8">
        <w:rPr>
          <w:rFonts w:cs="Arial"/>
          <w:rtl/>
        </w:rPr>
        <w:t xml:space="preserve"> יז סע</w:t>
      </w:r>
      <w:r w:rsidR="001C499D">
        <w:rPr>
          <w:rFonts w:cs="Arial" w:hint="cs"/>
          <w:rtl/>
        </w:rPr>
        <w:t>'</w:t>
      </w:r>
      <w:r w:rsidRPr="009F64C8">
        <w:rPr>
          <w:rFonts w:cs="Arial"/>
          <w:rtl/>
        </w:rPr>
        <w:t xml:space="preserve"> מח סקקס"ה</w:t>
      </w:r>
      <w:r w:rsidR="000B31DA">
        <w:rPr>
          <w:rFonts w:cs="Arial" w:hint="cs"/>
          <w:rtl/>
        </w:rPr>
        <w:t>)</w:t>
      </w:r>
      <w:r w:rsidR="0062272B">
        <w:rPr>
          <w:rFonts w:cs="Arial" w:hint="cs"/>
          <w:rtl/>
        </w:rPr>
        <w:t>.</w:t>
      </w:r>
      <w:r w:rsidRPr="009F64C8">
        <w:rPr>
          <w:rFonts w:cs="Arial"/>
          <w:rtl/>
        </w:rPr>
        <w:t xml:space="preserve"> ועוד ראיה מלעיל סי' מ</w:t>
      </w:r>
      <w:r w:rsidR="000B31DA">
        <w:rPr>
          <w:rFonts w:cs="Arial" w:hint="cs"/>
          <w:rtl/>
        </w:rPr>
        <w:t>"</w:t>
      </w:r>
      <w:r w:rsidRPr="009F64C8">
        <w:rPr>
          <w:rFonts w:cs="Arial"/>
          <w:rtl/>
        </w:rPr>
        <w:t>ח ס</w:t>
      </w:r>
      <w:r w:rsidR="000B31DA">
        <w:rPr>
          <w:rFonts w:cs="Arial" w:hint="cs"/>
          <w:rtl/>
        </w:rPr>
        <w:t>"</w:t>
      </w:r>
      <w:r w:rsidRPr="009F64C8">
        <w:rPr>
          <w:rFonts w:cs="Arial"/>
          <w:rtl/>
        </w:rPr>
        <w:t>ו באמרה קדשתני והוא מכחיש' מבקשים ממנו ליתן גט כו'</w:t>
      </w:r>
      <w:r w:rsidR="000B31DA">
        <w:rPr>
          <w:rFonts w:cs="Arial" w:hint="cs"/>
          <w:rtl/>
        </w:rPr>
        <w:t>,</w:t>
      </w:r>
      <w:r w:rsidRPr="009F64C8">
        <w:rPr>
          <w:rFonts w:cs="Arial"/>
          <w:rtl/>
        </w:rPr>
        <w:t xml:space="preserve"> וצ"ע</w:t>
      </w:r>
      <w:r w:rsidR="000B31DA">
        <w:rPr>
          <w:rFonts w:cs="Arial" w:hint="cs"/>
          <w:rtl/>
        </w:rPr>
        <w:t>.</w:t>
      </w:r>
      <w:r w:rsidRPr="009F64C8">
        <w:rPr>
          <w:rFonts w:cs="Arial"/>
          <w:rtl/>
        </w:rPr>
        <w:t xml:space="preserve"> ועמ"ש לקמן סי' קנ"ב סק"א</w:t>
      </w:r>
      <w:r>
        <w:rPr>
          <w:rFonts w:cs="Arial" w:hint="cs"/>
          <w:rtl/>
        </w:rPr>
        <w:t>, פת"ש (סקי"ב).</w:t>
      </w:r>
    </w:p>
  </w:footnote>
  <w:footnote w:id="143">
    <w:p w14:paraId="7AE2B601" w14:textId="5F45D84F" w:rsidR="003046B1" w:rsidRDefault="003046B1">
      <w:pPr>
        <w:pStyle w:val="a5"/>
        <w:rPr>
          <w:rtl/>
        </w:rPr>
      </w:pPr>
      <w:r>
        <w:rPr>
          <w:rStyle w:val="a7"/>
        </w:rPr>
        <w:footnoteRef/>
      </w:r>
      <w:r>
        <w:rPr>
          <w:rtl/>
        </w:rPr>
        <w:t xml:space="preserve"> </w:t>
      </w:r>
      <w:r w:rsidRPr="001F23F0">
        <w:rPr>
          <w:rFonts w:cs="Arial"/>
          <w:rtl/>
        </w:rPr>
        <w:t>ועמ"ש לעיל סק</w:t>
      </w:r>
      <w:r w:rsidR="001C499D">
        <w:rPr>
          <w:rFonts w:cs="Arial" w:hint="cs"/>
          <w:rtl/>
        </w:rPr>
        <w:t>"</w:t>
      </w:r>
      <w:r w:rsidRPr="001F23F0">
        <w:rPr>
          <w:rFonts w:cs="Arial"/>
          <w:rtl/>
        </w:rPr>
        <w:t xml:space="preserve">ח ובסקי"ג. ועיין בתשו' אא"ז פמ"א </w:t>
      </w:r>
      <w:r w:rsidR="001C499D">
        <w:rPr>
          <w:rFonts w:cs="Arial" w:hint="cs"/>
          <w:rtl/>
        </w:rPr>
        <w:t>(</w:t>
      </w:r>
      <w:r w:rsidRPr="001F23F0">
        <w:rPr>
          <w:rFonts w:cs="Arial"/>
          <w:rtl/>
        </w:rPr>
        <w:t>ח"ב סי' סט</w:t>
      </w:r>
      <w:r w:rsidR="001C499D">
        <w:rPr>
          <w:rFonts w:cs="Arial" w:hint="cs"/>
          <w:rtl/>
        </w:rPr>
        <w:t>)</w:t>
      </w:r>
      <w:r>
        <w:rPr>
          <w:rFonts w:hint="cs"/>
          <w:rtl/>
        </w:rPr>
        <w:t>, פת"ש (סקט"ו).</w:t>
      </w:r>
    </w:p>
  </w:footnote>
  <w:footnote w:id="144">
    <w:p w14:paraId="369C880F" w14:textId="167E5A6B" w:rsidR="002645CB" w:rsidRDefault="002645CB">
      <w:pPr>
        <w:pStyle w:val="a5"/>
      </w:pPr>
      <w:r>
        <w:rPr>
          <w:rStyle w:val="a7"/>
        </w:rPr>
        <w:footnoteRef/>
      </w:r>
      <w:r>
        <w:rPr>
          <w:rtl/>
        </w:rPr>
        <w:t xml:space="preserve"> </w:t>
      </w:r>
      <w:r w:rsidRPr="002645CB">
        <w:rPr>
          <w:rFonts w:cs="Arial"/>
          <w:rtl/>
        </w:rPr>
        <w:t>אע</w:t>
      </w:r>
      <w:r>
        <w:rPr>
          <w:rFonts w:cs="Arial" w:hint="cs"/>
          <w:rtl/>
        </w:rPr>
        <w:t>"</w:t>
      </w:r>
      <w:r w:rsidRPr="002645CB">
        <w:rPr>
          <w:rFonts w:cs="Arial"/>
          <w:rtl/>
        </w:rPr>
        <w:t xml:space="preserve">ג דלא אמר </w:t>
      </w:r>
      <w:r>
        <w:rPr>
          <w:rFonts w:cs="Arial" w:hint="cs"/>
          <w:rtl/>
        </w:rPr>
        <w:t>'</w:t>
      </w:r>
      <w:r w:rsidRPr="002645CB">
        <w:rPr>
          <w:rFonts w:cs="Arial"/>
          <w:rtl/>
        </w:rPr>
        <w:t>כתבו ותנו</w:t>
      </w:r>
      <w:r>
        <w:rPr>
          <w:rFonts w:cs="Arial" w:hint="cs"/>
          <w:rtl/>
        </w:rPr>
        <w:t>'</w:t>
      </w:r>
      <w:r w:rsidRPr="002645CB">
        <w:rPr>
          <w:rFonts w:cs="Arial"/>
          <w:rtl/>
        </w:rPr>
        <w:t xml:space="preserve"> </w:t>
      </w:r>
      <w:r>
        <w:rPr>
          <w:rFonts w:cs="Arial" w:hint="cs"/>
          <w:rtl/>
        </w:rPr>
        <w:t xml:space="preserve">- </w:t>
      </w:r>
      <w:r w:rsidRPr="002645CB">
        <w:rPr>
          <w:rFonts w:cs="Arial"/>
          <w:rtl/>
        </w:rPr>
        <w:t>הרי אלו יחתמו בעצמן</w:t>
      </w:r>
      <w:r>
        <w:rPr>
          <w:rFonts w:cs="Arial" w:hint="cs"/>
          <w:rtl/>
        </w:rPr>
        <w:t>,</w:t>
      </w:r>
      <w:r w:rsidRPr="002645CB">
        <w:rPr>
          <w:rFonts w:cs="Arial"/>
          <w:rtl/>
        </w:rPr>
        <w:t xml:space="preserve"> ולא יאמרו לעדים אחרים לחתום</w:t>
      </w:r>
      <w:r>
        <w:rPr>
          <w:rFonts w:cs="Arial" w:hint="cs"/>
          <w:rtl/>
        </w:rPr>
        <w:t>,</w:t>
      </w:r>
      <w:r w:rsidRPr="002645CB">
        <w:rPr>
          <w:rFonts w:cs="Arial"/>
          <w:rtl/>
        </w:rPr>
        <w:t xml:space="preserve"> דלאו בית דין מנינהו לצוות על אחרים</w:t>
      </w:r>
      <w:r>
        <w:rPr>
          <w:rFonts w:cs="Arial" w:hint="cs"/>
          <w:rtl/>
        </w:rPr>
        <w:t>,</w:t>
      </w:r>
      <w:r w:rsidRPr="002645CB">
        <w:rPr>
          <w:rFonts w:cs="Arial"/>
          <w:rtl/>
        </w:rPr>
        <w:t xml:space="preserve"> אלא עדים שווינהו</w:t>
      </w:r>
      <w:r>
        <w:rPr>
          <w:rFonts w:cs="Arial" w:hint="cs"/>
          <w:rtl/>
        </w:rPr>
        <w:t>.</w:t>
      </w:r>
      <w:r w:rsidRPr="002645CB">
        <w:rPr>
          <w:rFonts w:cs="Arial"/>
          <w:rtl/>
        </w:rPr>
        <w:t xml:space="preserve"> ובגמרא מפרש על כתב הגט</w:t>
      </w:r>
      <w:r>
        <w:rPr>
          <w:rFonts w:cs="Arial" w:hint="cs"/>
          <w:rtl/>
        </w:rPr>
        <w:t>,</w:t>
      </w:r>
      <w:r w:rsidRPr="002645CB">
        <w:rPr>
          <w:rFonts w:cs="Arial"/>
          <w:rtl/>
        </w:rPr>
        <w:t xml:space="preserve"> אם יכולין לצוות לסופר אחר לכתוב</w:t>
      </w:r>
      <w:r>
        <w:rPr>
          <w:rFonts w:cs="Arial" w:hint="cs"/>
          <w:rtl/>
        </w:rPr>
        <w:t>,</w:t>
      </w:r>
      <w:r w:rsidRPr="002645CB">
        <w:rPr>
          <w:rFonts w:cs="Arial"/>
          <w:rtl/>
        </w:rPr>
        <w:t xml:space="preserve"> או הם עצמם צריכין לכותבו</w:t>
      </w:r>
      <w:r>
        <w:rPr>
          <w:rFonts w:cs="Arial" w:hint="cs"/>
          <w:rtl/>
        </w:rPr>
        <w:t>, רש"י.</w:t>
      </w:r>
      <w:r>
        <w:rPr>
          <w:rFonts w:hint="cs"/>
          <w:rtl/>
        </w:rPr>
        <w:t xml:space="preserve"> </w:t>
      </w:r>
    </w:p>
  </w:footnote>
  <w:footnote w:id="145">
    <w:p w14:paraId="598BE4CB" w14:textId="62876D59" w:rsidR="0054753C" w:rsidRDefault="0054753C">
      <w:pPr>
        <w:pStyle w:val="a5"/>
      </w:pPr>
      <w:r>
        <w:rPr>
          <w:rStyle w:val="a7"/>
        </w:rPr>
        <w:footnoteRef/>
      </w:r>
      <w:r>
        <w:rPr>
          <w:rtl/>
        </w:rPr>
        <w:t xml:space="preserve"> </w:t>
      </w:r>
      <w:r w:rsidRPr="0054753C">
        <w:rPr>
          <w:rFonts w:cs="Arial"/>
          <w:rtl/>
        </w:rPr>
        <w:t>אע</w:t>
      </w:r>
      <w:r>
        <w:rPr>
          <w:rFonts w:cs="Arial" w:hint="cs"/>
          <w:rtl/>
        </w:rPr>
        <w:t>"</w:t>
      </w:r>
      <w:r w:rsidRPr="0054753C">
        <w:rPr>
          <w:rFonts w:cs="Arial"/>
          <w:rtl/>
        </w:rPr>
        <w:t>פ שהן ראויין ליעשות בית דין כיון דבהדיא אמר להו כתבו לא ב"ד שוינהו אלא עדים</w:t>
      </w:r>
      <w:r>
        <w:rPr>
          <w:rFonts w:cs="Arial" w:hint="cs"/>
          <w:rtl/>
        </w:rPr>
        <w:t>, רש"י.</w:t>
      </w:r>
    </w:p>
  </w:footnote>
  <w:footnote w:id="146">
    <w:p w14:paraId="13D817E9" w14:textId="77777777" w:rsidR="00C41813" w:rsidRDefault="00C41813" w:rsidP="00C41813">
      <w:pPr>
        <w:pStyle w:val="a5"/>
      </w:pPr>
      <w:r>
        <w:rPr>
          <w:rStyle w:val="a7"/>
        </w:rPr>
        <w:footnoteRef/>
      </w:r>
      <w:r>
        <w:rPr>
          <w:rtl/>
        </w:rPr>
        <w:t xml:space="preserve"> </w:t>
      </w:r>
      <w:r w:rsidRPr="00C41813">
        <w:rPr>
          <w:rFonts w:cs="Arial"/>
          <w:rtl/>
        </w:rPr>
        <w:t>ולא אמר כתבו</w:t>
      </w:r>
      <w:r>
        <w:rPr>
          <w:rFonts w:cs="Arial" w:hint="cs"/>
          <w:rtl/>
        </w:rPr>
        <w:t>, רש"י.</w:t>
      </w:r>
    </w:p>
  </w:footnote>
  <w:footnote w:id="147">
    <w:p w14:paraId="5390CAC5" w14:textId="79309CF0" w:rsidR="00C41813" w:rsidRDefault="00C41813">
      <w:pPr>
        <w:pStyle w:val="a5"/>
      </w:pPr>
      <w:r>
        <w:rPr>
          <w:rStyle w:val="a7"/>
        </w:rPr>
        <w:footnoteRef/>
      </w:r>
      <w:r>
        <w:rPr>
          <w:rtl/>
        </w:rPr>
        <w:t xml:space="preserve"> </w:t>
      </w:r>
      <w:r w:rsidRPr="00C41813">
        <w:rPr>
          <w:rFonts w:cs="Arial"/>
          <w:rtl/>
        </w:rPr>
        <w:t>לעדים אחרים לכתוב ולחתום וליתן מפני שעשאן ב"ד</w:t>
      </w:r>
      <w:r>
        <w:rPr>
          <w:rFonts w:cs="Arial" w:hint="cs"/>
          <w:rtl/>
        </w:rPr>
        <w:t>, רש"י.</w:t>
      </w:r>
    </w:p>
  </w:footnote>
  <w:footnote w:id="148">
    <w:p w14:paraId="60CEAC6E" w14:textId="6DA887E1" w:rsidR="00C41813" w:rsidRDefault="00C41813">
      <w:pPr>
        <w:pStyle w:val="a5"/>
      </w:pPr>
      <w:r>
        <w:rPr>
          <w:rStyle w:val="a7"/>
        </w:rPr>
        <w:footnoteRef/>
      </w:r>
      <w:r>
        <w:rPr>
          <w:rtl/>
        </w:rPr>
        <w:t xml:space="preserve"> </w:t>
      </w:r>
      <w:r w:rsidRPr="00C41813">
        <w:rPr>
          <w:rFonts w:cs="Arial"/>
          <w:rtl/>
        </w:rPr>
        <w:t>משמו של רבי עקיבא שנחבש בבית האסורין</w:t>
      </w:r>
      <w:r>
        <w:rPr>
          <w:rFonts w:cs="Arial" w:hint="cs"/>
          <w:rtl/>
        </w:rPr>
        <w:t>, רש"י.</w:t>
      </w:r>
    </w:p>
  </w:footnote>
  <w:footnote w:id="149">
    <w:p w14:paraId="26B27BEC" w14:textId="6279F31B" w:rsidR="00C41813" w:rsidRDefault="00C41813">
      <w:pPr>
        <w:pStyle w:val="a5"/>
      </w:pPr>
      <w:r>
        <w:rPr>
          <w:rStyle w:val="a7"/>
        </w:rPr>
        <w:footnoteRef/>
      </w:r>
      <w:r>
        <w:rPr>
          <w:rtl/>
        </w:rPr>
        <w:t xml:space="preserve"> </w:t>
      </w:r>
      <w:r w:rsidRPr="00C41813">
        <w:rPr>
          <w:rFonts w:cs="Arial"/>
          <w:rtl/>
        </w:rPr>
        <w:t>אמרנו לשליח לחנינא שנעשה שליח בהלכה זו לאומרה בבית המדרש</w:t>
      </w:r>
      <w:r>
        <w:rPr>
          <w:rFonts w:cs="Arial" w:hint="cs"/>
          <w:rtl/>
        </w:rPr>
        <w:t>, רש"י.</w:t>
      </w:r>
    </w:p>
  </w:footnote>
  <w:footnote w:id="150">
    <w:p w14:paraId="1BFD107E" w14:textId="04E4184A" w:rsidR="00C41813" w:rsidRDefault="00C41813">
      <w:pPr>
        <w:pStyle w:val="a5"/>
        <w:rPr>
          <w:rtl/>
        </w:rPr>
      </w:pPr>
      <w:r>
        <w:rPr>
          <w:rStyle w:val="a7"/>
        </w:rPr>
        <w:footnoteRef/>
      </w:r>
      <w:r>
        <w:rPr>
          <w:rtl/>
        </w:rPr>
        <w:t xml:space="preserve"> </w:t>
      </w:r>
      <w:r w:rsidRPr="00C41813">
        <w:rPr>
          <w:rFonts w:cs="Arial"/>
          <w:rtl/>
        </w:rPr>
        <w:t>אם אינם יודעין לכתוב ילמדו לכתוב עד שיכתבוהו בעצמן</w:t>
      </w:r>
      <w:r>
        <w:rPr>
          <w:rFonts w:hint="cs"/>
          <w:rtl/>
        </w:rPr>
        <w:t>, רש"י.</w:t>
      </w:r>
    </w:p>
  </w:footnote>
  <w:footnote w:id="151">
    <w:p w14:paraId="58961000" w14:textId="6D24ABF9" w:rsidR="001F7533" w:rsidRDefault="001F7533">
      <w:pPr>
        <w:pStyle w:val="a5"/>
      </w:pPr>
      <w:r>
        <w:rPr>
          <w:rStyle w:val="a7"/>
        </w:rPr>
        <w:footnoteRef/>
      </w:r>
      <w:r>
        <w:rPr>
          <w:rtl/>
        </w:rPr>
        <w:t xml:space="preserve"> </w:t>
      </w:r>
      <w:r w:rsidRPr="001F7533">
        <w:rPr>
          <w:rFonts w:cs="Arial"/>
          <w:rtl/>
        </w:rPr>
        <w:t>אם ניסת בגט זה תצא מספק דמספקא לן אי כשר או לא</w:t>
      </w:r>
      <w:r>
        <w:rPr>
          <w:rFonts w:cs="Arial" w:hint="cs"/>
          <w:rtl/>
        </w:rPr>
        <w:t>, רש"י.</w:t>
      </w:r>
    </w:p>
  </w:footnote>
  <w:footnote w:id="152">
    <w:p w14:paraId="25450FAD" w14:textId="3D7E63D6" w:rsidR="009337A2" w:rsidRDefault="009337A2">
      <w:pPr>
        <w:pStyle w:val="a5"/>
        <w:rPr>
          <w:rtl/>
        </w:rPr>
      </w:pPr>
      <w:r>
        <w:rPr>
          <w:rStyle w:val="a7"/>
        </w:rPr>
        <w:footnoteRef/>
      </w:r>
      <w:r>
        <w:rPr>
          <w:rtl/>
        </w:rPr>
        <w:t xml:space="preserve"> </w:t>
      </w:r>
      <w:r w:rsidRPr="009337A2">
        <w:rPr>
          <w:rFonts w:cs="Arial"/>
          <w:rtl/>
        </w:rPr>
        <w:t>כלומר אין הדבר הזה ברור לנו וצריכין אנו ללמוד מן הגדולים ממנו אם כשר הוא או לא</w:t>
      </w:r>
      <w:r>
        <w:rPr>
          <w:rFonts w:hint="cs"/>
          <w:rtl/>
        </w:rPr>
        <w:t>, רש"י.</w:t>
      </w:r>
    </w:p>
  </w:footnote>
  <w:footnote w:id="153">
    <w:p w14:paraId="4B3FD032" w14:textId="71D6C2A9" w:rsidR="001F7533" w:rsidRDefault="001F7533">
      <w:pPr>
        <w:pStyle w:val="a5"/>
      </w:pPr>
      <w:r>
        <w:rPr>
          <w:rStyle w:val="a7"/>
        </w:rPr>
        <w:footnoteRef/>
      </w:r>
      <w:r>
        <w:rPr>
          <w:rtl/>
        </w:rPr>
        <w:t xml:space="preserve"> </w:t>
      </w:r>
      <w:r w:rsidRPr="001F7533">
        <w:rPr>
          <w:rFonts w:cs="Arial"/>
          <w:rtl/>
        </w:rPr>
        <w:t>מאי מספקא ליה לשמואל בגווה</w:t>
      </w:r>
      <w:r>
        <w:rPr>
          <w:rFonts w:cs="Arial" w:hint="cs"/>
          <w:rtl/>
        </w:rPr>
        <w:t>, רש"י.</w:t>
      </w:r>
    </w:p>
  </w:footnote>
  <w:footnote w:id="154">
    <w:p w14:paraId="5376ECB5" w14:textId="661CFF32" w:rsidR="001F7533" w:rsidRDefault="001F7533">
      <w:pPr>
        <w:pStyle w:val="a5"/>
        <w:rPr>
          <w:rtl/>
        </w:rPr>
      </w:pPr>
      <w:r>
        <w:rPr>
          <w:rStyle w:val="a7"/>
        </w:rPr>
        <w:footnoteRef/>
      </w:r>
      <w:r>
        <w:rPr>
          <w:rtl/>
        </w:rPr>
        <w:t xml:space="preserve"> </w:t>
      </w:r>
      <w:r w:rsidRPr="001F7533">
        <w:rPr>
          <w:rFonts w:cs="Arial"/>
          <w:rtl/>
        </w:rPr>
        <w:t>וכשר ודברים שנאמר לשליח זה אם יכול למוסרן לשליח אחר</w:t>
      </w:r>
      <w:r>
        <w:rPr>
          <w:rFonts w:hint="cs"/>
          <w:rtl/>
        </w:rPr>
        <w:t>, רש"י.</w:t>
      </w:r>
    </w:p>
  </w:footnote>
  <w:footnote w:id="155">
    <w:p w14:paraId="4F202929" w14:textId="18C9A8B4" w:rsidR="001F7533" w:rsidRDefault="001F7533">
      <w:pPr>
        <w:pStyle w:val="a5"/>
      </w:pPr>
      <w:r>
        <w:rPr>
          <w:rStyle w:val="a7"/>
        </w:rPr>
        <w:footnoteRef/>
      </w:r>
      <w:r>
        <w:rPr>
          <w:rtl/>
        </w:rPr>
        <w:t xml:space="preserve"> </w:t>
      </w:r>
      <w:r w:rsidRPr="001F7533">
        <w:rPr>
          <w:rFonts w:cs="Arial"/>
          <w:rtl/>
        </w:rPr>
        <w:t>ופסול דהכא מילי בעלמא מסר להו ואינן חוזרין ונמסרין לסופר ולא דמי למוסר גט לשלוחו שיכול לחזור ולעשות שליח אחר</w:t>
      </w:r>
      <w:r>
        <w:rPr>
          <w:rFonts w:cs="Arial" w:hint="cs"/>
          <w:rtl/>
        </w:rPr>
        <w:t>, רש"י.</w:t>
      </w:r>
    </w:p>
  </w:footnote>
  <w:footnote w:id="156">
    <w:p w14:paraId="0B543C22" w14:textId="6386DFA9" w:rsidR="001F7533" w:rsidRDefault="001F7533">
      <w:pPr>
        <w:pStyle w:val="a5"/>
      </w:pPr>
      <w:r>
        <w:rPr>
          <w:rStyle w:val="a7"/>
        </w:rPr>
        <w:footnoteRef/>
      </w:r>
      <w:r>
        <w:rPr>
          <w:rtl/>
        </w:rPr>
        <w:t xml:space="preserve"> </w:t>
      </w:r>
      <w:r w:rsidRPr="001F7533">
        <w:rPr>
          <w:rFonts w:cs="Arial"/>
          <w:rtl/>
        </w:rPr>
        <w:t>דמתני'</w:t>
      </w:r>
      <w:r>
        <w:rPr>
          <w:rFonts w:cs="Arial" w:hint="cs"/>
          <w:rtl/>
        </w:rPr>
        <w:t>, רש"י.</w:t>
      </w:r>
    </w:p>
  </w:footnote>
  <w:footnote w:id="157">
    <w:p w14:paraId="5596EF1A" w14:textId="56E4B68A" w:rsidR="00880989" w:rsidRDefault="00880989">
      <w:pPr>
        <w:pStyle w:val="a5"/>
      </w:pPr>
      <w:r>
        <w:rPr>
          <w:rStyle w:val="a7"/>
        </w:rPr>
        <w:footnoteRef/>
      </w:r>
      <w:r>
        <w:rPr>
          <w:rtl/>
        </w:rPr>
        <w:t xml:space="preserve"> </w:t>
      </w:r>
      <w:r w:rsidRPr="00880989">
        <w:rPr>
          <w:rFonts w:cs="Arial"/>
          <w:rtl/>
        </w:rPr>
        <w:t>חתימתן הוא דקאמר והרי חתמו הן</w:t>
      </w:r>
      <w:r>
        <w:rPr>
          <w:rFonts w:cs="Arial" w:hint="cs"/>
          <w:rtl/>
        </w:rPr>
        <w:t>, רש"י.</w:t>
      </w:r>
    </w:p>
  </w:footnote>
  <w:footnote w:id="158">
    <w:p w14:paraId="52408641" w14:textId="00F39314" w:rsidR="00880989" w:rsidRDefault="00880989">
      <w:pPr>
        <w:pStyle w:val="a5"/>
      </w:pPr>
      <w:r>
        <w:rPr>
          <w:rStyle w:val="a7"/>
        </w:rPr>
        <w:footnoteRef/>
      </w:r>
      <w:r>
        <w:rPr>
          <w:rtl/>
        </w:rPr>
        <w:t xml:space="preserve"> </w:t>
      </w:r>
      <w:r w:rsidRPr="00880989">
        <w:rPr>
          <w:rFonts w:cs="Arial"/>
          <w:rtl/>
        </w:rPr>
        <w:t>שלא למדו לחתום עדיין</w:t>
      </w:r>
      <w:r>
        <w:rPr>
          <w:rFonts w:cs="Arial" w:hint="cs"/>
          <w:rtl/>
        </w:rPr>
        <w:t>, רש"י.</w:t>
      </w:r>
    </w:p>
  </w:footnote>
  <w:footnote w:id="159">
    <w:p w14:paraId="2B536A85" w14:textId="7B5E31C0" w:rsidR="0026249A" w:rsidRDefault="0026249A">
      <w:pPr>
        <w:pStyle w:val="a5"/>
        <w:rPr>
          <w:rtl/>
        </w:rPr>
      </w:pPr>
      <w:r>
        <w:rPr>
          <w:rStyle w:val="a7"/>
        </w:rPr>
        <w:footnoteRef/>
      </w:r>
      <w:r>
        <w:rPr>
          <w:rtl/>
        </w:rPr>
        <w:t xml:space="preserve"> </w:t>
      </w:r>
      <w:r w:rsidRPr="0026249A">
        <w:rPr>
          <w:rFonts w:cs="Arial"/>
          <w:rtl/>
        </w:rPr>
        <w:t>פלוגתא היא לקמן בשמעתין</w:t>
      </w:r>
      <w:r>
        <w:rPr>
          <w:rFonts w:hint="cs"/>
          <w:rtl/>
        </w:rPr>
        <w:t>, רש"י.</w:t>
      </w:r>
    </w:p>
  </w:footnote>
  <w:footnote w:id="160">
    <w:p w14:paraId="42739726" w14:textId="5877CAEC" w:rsidR="009C5CB6" w:rsidRDefault="009C5CB6">
      <w:pPr>
        <w:pStyle w:val="a5"/>
        <w:rPr>
          <w:rtl/>
        </w:rPr>
      </w:pPr>
      <w:r>
        <w:rPr>
          <w:rStyle w:val="a7"/>
        </w:rPr>
        <w:footnoteRef/>
      </w:r>
      <w:r>
        <w:rPr>
          <w:rtl/>
        </w:rPr>
        <w:t xml:space="preserve"> </w:t>
      </w:r>
      <w:r w:rsidRPr="005320EB">
        <w:rPr>
          <w:rFonts w:cs="Arial"/>
          <w:rtl/>
        </w:rPr>
        <w:t>ולא חשו לדשמואל</w:t>
      </w:r>
      <w:r>
        <w:rPr>
          <w:rFonts w:cs="Arial" w:hint="cs"/>
          <w:rtl/>
        </w:rPr>
        <w:t>.</w:t>
      </w:r>
      <w:r w:rsidRPr="005320EB">
        <w:rPr>
          <w:rFonts w:cs="Arial"/>
          <w:rtl/>
        </w:rPr>
        <w:t xml:space="preserve"> וכתב הר"ן (לג. ד"ה ואפילו) שכן כתבו בעל הלכות גדולות (הל' גיטין עט:) ורבינו חננאל ז"ל</w:t>
      </w:r>
      <w:r>
        <w:rPr>
          <w:rFonts w:hint="cs"/>
          <w:rtl/>
        </w:rPr>
        <w:t>, ב"י.</w:t>
      </w:r>
    </w:p>
  </w:footnote>
  <w:footnote w:id="161">
    <w:p w14:paraId="3EE28838" w14:textId="77777777" w:rsidR="00E52974" w:rsidRDefault="00E52974" w:rsidP="00E52974">
      <w:pPr>
        <w:pStyle w:val="a5"/>
      </w:pPr>
      <w:r>
        <w:rPr>
          <w:rStyle w:val="a7"/>
        </w:rPr>
        <w:footnoteRef/>
      </w:r>
      <w:r>
        <w:rPr>
          <w:rtl/>
        </w:rPr>
        <w:t xml:space="preserve"> </w:t>
      </w:r>
      <w:r w:rsidRPr="005320EB">
        <w:rPr>
          <w:rFonts w:cs="Arial"/>
          <w:rtl/>
        </w:rPr>
        <w:t>משמע דמספקא ליה אי פסקינן כשמואל כיון דלא חזינן אמורא דפליג עליה בהדיא</w:t>
      </w:r>
      <w:r>
        <w:rPr>
          <w:rFonts w:cs="Arial" w:hint="cs"/>
          <w:rtl/>
        </w:rPr>
        <w:t>.</w:t>
      </w:r>
      <w:r w:rsidRPr="005320EB">
        <w:rPr>
          <w:rFonts w:cs="Arial"/>
          <w:rtl/>
        </w:rPr>
        <w:t xml:space="preserve"> וכן דעת הר"ן (שם)</w:t>
      </w:r>
      <w:r>
        <w:rPr>
          <w:rFonts w:cs="Arial" w:hint="cs"/>
          <w:rtl/>
        </w:rPr>
        <w:t>,</w:t>
      </w:r>
      <w:r w:rsidRPr="005320EB">
        <w:rPr>
          <w:rFonts w:cs="Arial"/>
          <w:rtl/>
        </w:rPr>
        <w:t xml:space="preserve"> וכתב שכן דעת ר"י והרמב"ן (סו: סוד"ה ומי)</w:t>
      </w:r>
      <w:r>
        <w:rPr>
          <w:rFonts w:cs="Arial" w:hint="cs"/>
          <w:rtl/>
        </w:rPr>
        <w:t>.</w:t>
      </w:r>
      <w:r w:rsidRPr="005320EB">
        <w:rPr>
          <w:rFonts w:cs="Arial"/>
          <w:rtl/>
        </w:rPr>
        <w:t xml:space="preserve"> וכן דעת בעל התרומה (סי' קכה לב ע"א) והמרדכי (סי' תטז) וסמ"ג (עשין נ קל ע"ג) וסמ"ק (סי' קפד עמ' קמו) והכל בו (סי' עו מו ע"ד)</w:t>
      </w:r>
      <w:r>
        <w:rPr>
          <w:rFonts w:cs="Arial" w:hint="cs"/>
          <w:rtl/>
        </w:rPr>
        <w:t>.</w:t>
      </w:r>
      <w:r w:rsidRPr="005320EB">
        <w:rPr>
          <w:rFonts w:cs="Arial"/>
          <w:rtl/>
        </w:rPr>
        <w:t xml:space="preserve"> וזה דעת הרמ"ה</w:t>
      </w:r>
      <w:r>
        <w:rPr>
          <w:rFonts w:cs="Arial" w:hint="cs"/>
          <w:rtl/>
        </w:rPr>
        <w:t>,</w:t>
      </w:r>
      <w:r w:rsidRPr="005320EB">
        <w:rPr>
          <w:rFonts w:cs="Arial"/>
          <w:rtl/>
        </w:rPr>
        <w:t xml:space="preserve"> וכמו שהזכיר רבינו בסמוך</w:t>
      </w:r>
      <w:r>
        <w:rPr>
          <w:rFonts w:cs="Arial" w:hint="cs"/>
          <w:rtl/>
        </w:rPr>
        <w:t>, ב"י.</w:t>
      </w:r>
    </w:p>
  </w:footnote>
  <w:footnote w:id="162">
    <w:p w14:paraId="1DBCAB21" w14:textId="697EB019" w:rsidR="009337A2" w:rsidRDefault="009337A2" w:rsidP="009337A2">
      <w:pPr>
        <w:pStyle w:val="a5"/>
      </w:pPr>
      <w:r>
        <w:rPr>
          <w:rStyle w:val="a7"/>
        </w:rPr>
        <w:footnoteRef/>
      </w:r>
      <w:r>
        <w:rPr>
          <w:rtl/>
        </w:rPr>
        <w:t xml:space="preserve"> </w:t>
      </w:r>
      <w:r w:rsidRPr="00201037">
        <w:rPr>
          <w:rFonts w:cs="Arial"/>
          <w:rtl/>
        </w:rPr>
        <w:t xml:space="preserve">וכתב בסדר הגט שסידר מהר"א מרגלית </w:t>
      </w:r>
      <w:r>
        <w:rPr>
          <w:rFonts w:cs="Arial" w:hint="cs"/>
          <w:rtl/>
        </w:rPr>
        <w:t>(</w:t>
      </w:r>
      <w:r w:rsidRPr="00201037">
        <w:rPr>
          <w:rFonts w:cs="Arial"/>
          <w:rtl/>
        </w:rPr>
        <w:t>סי</w:t>
      </w:r>
      <w:r>
        <w:rPr>
          <w:rFonts w:cs="Arial" w:hint="cs"/>
          <w:rtl/>
        </w:rPr>
        <w:t>'</w:t>
      </w:r>
      <w:r w:rsidRPr="00201037">
        <w:rPr>
          <w:rFonts w:cs="Arial"/>
          <w:rtl/>
        </w:rPr>
        <w:t xml:space="preserve"> נז</w:t>
      </w:r>
      <w:r>
        <w:rPr>
          <w:rFonts w:cs="Arial" w:hint="cs"/>
          <w:rtl/>
        </w:rPr>
        <w:t>)</w:t>
      </w:r>
      <w:r w:rsidRPr="00201037">
        <w:rPr>
          <w:rFonts w:cs="Arial"/>
          <w:rtl/>
        </w:rPr>
        <w:t xml:space="preserve"> הבעל יצוה לפני עדים לסופר שיכתוב ויאמר לעדים שמעו מה שאני מצוה לו. עכ</w:t>
      </w:r>
      <w:r>
        <w:rPr>
          <w:rFonts w:cs="Arial" w:hint="cs"/>
          <w:rtl/>
        </w:rPr>
        <w:t>"</w:t>
      </w:r>
      <w:r w:rsidRPr="00201037">
        <w:rPr>
          <w:rFonts w:cs="Arial"/>
          <w:rtl/>
        </w:rPr>
        <w:t>ל. ופשיטא דאין לחוש לזה בדיעבד</w:t>
      </w:r>
      <w:r>
        <w:rPr>
          <w:rFonts w:cs="Arial" w:hint="cs"/>
          <w:rtl/>
        </w:rPr>
        <w:t>, דרכ"מ (אות ג).</w:t>
      </w:r>
      <w:r>
        <w:rPr>
          <w:rFonts w:hint="cs"/>
          <w:rtl/>
        </w:rPr>
        <w:t xml:space="preserve"> </w:t>
      </w:r>
      <w:r w:rsidRPr="009337A2">
        <w:rPr>
          <w:rFonts w:hint="cs"/>
          <w:color w:val="00B0F0"/>
          <w:rtl/>
        </w:rPr>
        <w:t>(וכ"פ בהג"ה)</w:t>
      </w:r>
    </w:p>
  </w:footnote>
  <w:footnote w:id="163">
    <w:p w14:paraId="6C593ED6" w14:textId="7A00EEB6" w:rsidR="009337A2" w:rsidRDefault="009337A2">
      <w:pPr>
        <w:pStyle w:val="a5"/>
      </w:pPr>
      <w:r>
        <w:rPr>
          <w:rStyle w:val="a7"/>
        </w:rPr>
        <w:footnoteRef/>
      </w:r>
      <w:r>
        <w:rPr>
          <w:rtl/>
        </w:rPr>
        <w:t xml:space="preserve"> </w:t>
      </w:r>
      <w:r w:rsidRPr="00BA15E7">
        <w:rPr>
          <w:rFonts w:cs="Arial"/>
          <w:rtl/>
        </w:rPr>
        <w:t xml:space="preserve">מיהו מה שכתב רבינו </w:t>
      </w:r>
      <w:r w:rsidR="00000D37">
        <w:rPr>
          <w:rFonts w:cs="Arial" w:hint="cs"/>
          <w:rtl/>
        </w:rPr>
        <w:t>"</w:t>
      </w:r>
      <w:r w:rsidRPr="00BA15E7">
        <w:rPr>
          <w:rFonts w:cs="Arial"/>
          <w:rtl/>
        </w:rPr>
        <w:t>ואפילו שאמר לשלשה שיש עליהם תורת בית דין לכותבו ולחותמו אין להם לומר לאחרים וכו'</w:t>
      </w:r>
      <w:r w:rsidR="00000D37">
        <w:rPr>
          <w:rFonts w:cs="Arial" w:hint="cs"/>
          <w:rtl/>
        </w:rPr>
        <w:t xml:space="preserve"> "</w:t>
      </w:r>
      <w:r>
        <w:rPr>
          <w:rFonts w:cs="Arial" w:hint="cs"/>
          <w:rtl/>
        </w:rPr>
        <w:t xml:space="preserve"> -</w:t>
      </w:r>
      <w:r w:rsidRPr="00BA15E7">
        <w:rPr>
          <w:rFonts w:cs="Arial"/>
          <w:rtl/>
        </w:rPr>
        <w:t xml:space="preserve"> דעדיפא מינה הוה ליה למינקט</w:t>
      </w:r>
      <w:r>
        <w:rPr>
          <w:rFonts w:cs="Arial" w:hint="cs"/>
          <w:rtl/>
        </w:rPr>
        <w:t>,</w:t>
      </w:r>
      <w:r w:rsidRPr="00BA15E7">
        <w:rPr>
          <w:rFonts w:cs="Arial"/>
          <w:rtl/>
        </w:rPr>
        <w:t xml:space="preserve"> דהיינו </w:t>
      </w:r>
      <w:r w:rsidR="00000D37">
        <w:rPr>
          <w:rFonts w:cs="Arial" w:hint="cs"/>
          <w:rtl/>
        </w:rPr>
        <w:t>"</w:t>
      </w:r>
      <w:r w:rsidRPr="00BA15E7">
        <w:rPr>
          <w:rFonts w:cs="Arial"/>
          <w:rtl/>
        </w:rPr>
        <w:t>אם אמר להם תנו גט לאשתי</w:t>
      </w:r>
      <w:r w:rsidR="00000D37">
        <w:rPr>
          <w:rFonts w:cs="Arial" w:hint="cs"/>
          <w:rtl/>
        </w:rPr>
        <w:t>"</w:t>
      </w:r>
      <w:r>
        <w:rPr>
          <w:rFonts w:cs="Arial" w:hint="cs"/>
          <w:rtl/>
        </w:rPr>
        <w:t>,</w:t>
      </w:r>
      <w:r w:rsidRPr="00BA15E7">
        <w:rPr>
          <w:rFonts w:cs="Arial"/>
          <w:rtl/>
        </w:rPr>
        <w:t xml:space="preserve"> דבההיא הוא דפליג רבי מאיר ואמר יאמרו לאחרים ויכתבו</w:t>
      </w:r>
      <w:r>
        <w:rPr>
          <w:rFonts w:cs="Arial" w:hint="cs"/>
          <w:rtl/>
        </w:rPr>
        <w:t>.</w:t>
      </w:r>
      <w:r w:rsidRPr="00BA15E7">
        <w:rPr>
          <w:rFonts w:cs="Arial"/>
          <w:rtl/>
        </w:rPr>
        <w:t xml:space="preserve"> דאילו באומר כתבו</w:t>
      </w:r>
      <w:r>
        <w:rPr>
          <w:rFonts w:cs="Arial" w:hint="cs"/>
          <w:rtl/>
        </w:rPr>
        <w:t>,</w:t>
      </w:r>
      <w:r w:rsidRPr="00BA15E7">
        <w:rPr>
          <w:rFonts w:cs="Arial"/>
          <w:rtl/>
        </w:rPr>
        <w:t xml:space="preserve"> אפילו רבי מאיר מודה שאע</w:t>
      </w:r>
      <w:r>
        <w:rPr>
          <w:rFonts w:cs="Arial" w:hint="cs"/>
          <w:rtl/>
        </w:rPr>
        <w:t>"</w:t>
      </w:r>
      <w:r w:rsidRPr="00BA15E7">
        <w:rPr>
          <w:rFonts w:cs="Arial"/>
          <w:rtl/>
        </w:rPr>
        <w:t>פ שהם שלשה לא יאמרו לכתוב</w:t>
      </w:r>
      <w:r>
        <w:rPr>
          <w:rFonts w:cs="Arial" w:hint="cs"/>
          <w:rtl/>
        </w:rPr>
        <w:t>,</w:t>
      </w:r>
      <w:r w:rsidRPr="00BA15E7">
        <w:rPr>
          <w:rFonts w:cs="Arial"/>
          <w:rtl/>
        </w:rPr>
        <w:t xml:space="preserve"> כדתנן בהדיא בסוף פרק התקבל (שם)</w:t>
      </w:r>
      <w:r>
        <w:rPr>
          <w:rFonts w:cs="Arial" w:hint="cs"/>
          <w:rtl/>
        </w:rPr>
        <w:t>.</w:t>
      </w:r>
      <w:r w:rsidRPr="00BA15E7">
        <w:rPr>
          <w:rFonts w:cs="Arial"/>
          <w:rtl/>
        </w:rPr>
        <w:t xml:space="preserve"> אלא דמכיון דכתב דאפילו באומר א</w:t>
      </w:r>
      <w:r>
        <w:rPr>
          <w:rFonts w:cs="Arial" w:hint="cs"/>
          <w:rtl/>
        </w:rPr>
        <w:t>ִ</w:t>
      </w:r>
      <w:r w:rsidRPr="00BA15E7">
        <w:rPr>
          <w:rFonts w:cs="Arial"/>
          <w:rtl/>
        </w:rPr>
        <w:t>מרו לא יאמרו</w:t>
      </w:r>
      <w:r>
        <w:rPr>
          <w:rFonts w:cs="Arial" w:hint="cs"/>
          <w:rtl/>
        </w:rPr>
        <w:t>,</w:t>
      </w:r>
      <w:r w:rsidRPr="00BA15E7">
        <w:rPr>
          <w:rFonts w:cs="Arial"/>
          <w:rtl/>
        </w:rPr>
        <w:t xml:space="preserve"> לא דק רבינו במילתא</w:t>
      </w:r>
      <w:r>
        <w:rPr>
          <w:rFonts w:cs="Arial" w:hint="cs"/>
          <w:rtl/>
        </w:rPr>
        <w:t>, ב"י.</w:t>
      </w:r>
    </w:p>
  </w:footnote>
  <w:footnote w:id="164">
    <w:p w14:paraId="1BDC3113" w14:textId="615C61AA" w:rsidR="00E44C39" w:rsidRDefault="00E44C39">
      <w:pPr>
        <w:pStyle w:val="a5"/>
      </w:pPr>
      <w:r>
        <w:rPr>
          <w:rStyle w:val="a7"/>
        </w:rPr>
        <w:footnoteRef/>
      </w:r>
      <w:r>
        <w:rPr>
          <w:rtl/>
        </w:rPr>
        <w:t xml:space="preserve"> </w:t>
      </w:r>
      <w:r>
        <w:rPr>
          <w:rFonts w:cs="Arial" w:hint="cs"/>
          <w:rtl/>
        </w:rPr>
        <w:t xml:space="preserve">וז"ל הר"ן </w:t>
      </w:r>
      <w:r w:rsidRPr="006115A9">
        <w:rPr>
          <w:rFonts w:cs="Arial" w:hint="cs"/>
          <w:sz w:val="16"/>
          <w:szCs w:val="16"/>
          <w:rtl/>
        </w:rPr>
        <w:t>(</w:t>
      </w:r>
      <w:r w:rsidRPr="006115A9">
        <w:rPr>
          <w:rFonts w:cs="Arial"/>
          <w:sz w:val="16"/>
          <w:szCs w:val="16"/>
          <w:rtl/>
        </w:rPr>
        <w:t>ס</w:t>
      </w:r>
      <w:r w:rsidRPr="006115A9">
        <w:rPr>
          <w:rFonts w:cs="Arial" w:hint="cs"/>
          <w:sz w:val="16"/>
          <w:szCs w:val="16"/>
          <w:rtl/>
        </w:rPr>
        <w:t>"</w:t>
      </w:r>
      <w:r w:rsidRPr="006115A9">
        <w:rPr>
          <w:rFonts w:cs="Arial"/>
          <w:sz w:val="16"/>
          <w:szCs w:val="16"/>
          <w:rtl/>
        </w:rPr>
        <w:t>פ התקבל לג. ד"ה והקשה)</w:t>
      </w:r>
      <w:r>
        <w:rPr>
          <w:rFonts w:cs="Arial" w:hint="cs"/>
          <w:rtl/>
        </w:rPr>
        <w:t xml:space="preserve"> בשם הרמב"ן</w:t>
      </w:r>
      <w:r>
        <w:rPr>
          <w:rFonts w:cs="Arial" w:hint="cs"/>
          <w:sz w:val="16"/>
          <w:szCs w:val="16"/>
          <w:rtl/>
        </w:rPr>
        <w:t xml:space="preserve"> (ל' הרמב"ן שונה קצת)</w:t>
      </w:r>
      <w:r w:rsidR="003B6A43">
        <w:rPr>
          <w:rFonts w:cs="Arial" w:hint="cs"/>
          <w:rtl/>
        </w:rPr>
        <w:t>:</w:t>
      </w:r>
      <w:r>
        <w:rPr>
          <w:rFonts w:cs="Arial" w:hint="cs"/>
          <w:rtl/>
        </w:rPr>
        <w:t xml:space="preserve"> </w:t>
      </w:r>
      <w:r w:rsidRPr="00EA6933">
        <w:rPr>
          <w:rFonts w:cs="Arial"/>
          <w:rtl/>
        </w:rPr>
        <w:t>טעמא דרבי יוסי דפסל באומר לשלשה תנו</w:t>
      </w:r>
      <w:r>
        <w:rPr>
          <w:rFonts w:cs="Arial" w:hint="cs"/>
          <w:rtl/>
        </w:rPr>
        <w:t>,</w:t>
      </w:r>
      <w:r w:rsidRPr="00EA6933">
        <w:rPr>
          <w:rFonts w:cs="Arial"/>
          <w:rtl/>
        </w:rPr>
        <w:t xml:space="preserve"> הוי שפיר משום דמילי לא מימסרן לשליח</w:t>
      </w:r>
      <w:r>
        <w:rPr>
          <w:rFonts w:cs="Arial" w:hint="cs"/>
          <w:rtl/>
        </w:rPr>
        <w:t>.</w:t>
      </w:r>
      <w:r w:rsidRPr="00EA6933">
        <w:rPr>
          <w:rFonts w:cs="Arial"/>
          <w:rtl/>
        </w:rPr>
        <w:t xml:space="preserve"> אבל מאי דפסל באומר אמרו</w:t>
      </w:r>
      <w:r>
        <w:rPr>
          <w:rFonts w:cs="Arial" w:hint="cs"/>
          <w:rtl/>
        </w:rPr>
        <w:t>,</w:t>
      </w:r>
      <w:r w:rsidRPr="00EA6933">
        <w:rPr>
          <w:rFonts w:cs="Arial"/>
          <w:rtl/>
        </w:rPr>
        <w:t xml:space="preserve"> לא הוי טעמא משום מילי לא מימסרן</w:t>
      </w:r>
      <w:r>
        <w:rPr>
          <w:rFonts w:cs="Arial" w:hint="cs"/>
          <w:rtl/>
        </w:rPr>
        <w:t>,</w:t>
      </w:r>
      <w:r w:rsidRPr="00EA6933">
        <w:rPr>
          <w:rFonts w:cs="Arial"/>
          <w:rtl/>
        </w:rPr>
        <w:t xml:space="preserve"> דלאו מילי מסר איהו</w:t>
      </w:r>
      <w:r>
        <w:rPr>
          <w:rFonts w:cs="Arial" w:hint="cs"/>
          <w:rtl/>
        </w:rPr>
        <w:t>,</w:t>
      </w:r>
      <w:r w:rsidRPr="00EA6933">
        <w:rPr>
          <w:rFonts w:cs="Arial"/>
          <w:rtl/>
        </w:rPr>
        <w:t xml:space="preserve"> אלא הרי הוא עושה שליח שלא בפניו</w:t>
      </w:r>
      <w:r>
        <w:rPr>
          <w:rFonts w:cs="Arial" w:hint="cs"/>
          <w:rtl/>
        </w:rPr>
        <w:t>.</w:t>
      </w:r>
      <w:r w:rsidRPr="00EA6933">
        <w:rPr>
          <w:rFonts w:cs="Arial"/>
          <w:rtl/>
        </w:rPr>
        <w:t xml:space="preserve"> אלא היינו טעמא דכיון דבגט בעינן לשמה ובעינן וכתב לה</w:t>
      </w:r>
      <w:r>
        <w:rPr>
          <w:rFonts w:cs="Arial" w:hint="cs"/>
          <w:rtl/>
        </w:rPr>
        <w:t>,</w:t>
      </w:r>
      <w:r w:rsidRPr="00EA6933">
        <w:rPr>
          <w:rFonts w:cs="Arial"/>
          <w:rtl/>
        </w:rPr>
        <w:t xml:space="preserve"> כלומר שיכתבנו לה הבעל</w:t>
      </w:r>
      <w:r>
        <w:rPr>
          <w:rFonts w:cs="Arial" w:hint="cs"/>
          <w:rtl/>
        </w:rPr>
        <w:t>.</w:t>
      </w:r>
      <w:r w:rsidRPr="00EA6933">
        <w:rPr>
          <w:rFonts w:cs="Arial"/>
          <w:rtl/>
        </w:rPr>
        <w:t xml:space="preserve"> ואין הסופר והעדים במקום הבעל אלא כששמעו הם מפיו</w:t>
      </w:r>
      <w:r>
        <w:rPr>
          <w:rFonts w:cs="Arial" w:hint="cs"/>
          <w:rtl/>
        </w:rPr>
        <w:t>,</w:t>
      </w:r>
      <w:r w:rsidRPr="00EA6933">
        <w:rPr>
          <w:rFonts w:cs="Arial"/>
          <w:rtl/>
        </w:rPr>
        <w:t xml:space="preserve"> וכל שלא שמעו מפיו</w:t>
      </w:r>
      <w:r>
        <w:rPr>
          <w:rFonts w:cs="Arial" w:hint="cs"/>
          <w:rtl/>
        </w:rPr>
        <w:t>,</w:t>
      </w:r>
      <w:r w:rsidRPr="00EA6933">
        <w:rPr>
          <w:rFonts w:cs="Arial"/>
          <w:rtl/>
        </w:rPr>
        <w:t xml:space="preserve"> אפילו אינו אומר א</w:t>
      </w:r>
      <w:r>
        <w:rPr>
          <w:rFonts w:cs="Arial" w:hint="cs"/>
          <w:rtl/>
        </w:rPr>
        <w:t>ִ</w:t>
      </w:r>
      <w:r w:rsidRPr="00EA6933">
        <w:rPr>
          <w:rFonts w:cs="Arial"/>
          <w:rtl/>
        </w:rPr>
        <w:t xml:space="preserve">מרו מדעתכם אלא שהבעל עצמו ממנה אותו שליח בכל מקום שהוא </w:t>
      </w:r>
      <w:r>
        <w:rPr>
          <w:rFonts w:cs="Arial" w:hint="cs"/>
          <w:rtl/>
        </w:rPr>
        <w:t xml:space="preserve">- </w:t>
      </w:r>
      <w:r w:rsidRPr="00EA6933">
        <w:rPr>
          <w:rFonts w:cs="Arial"/>
          <w:rtl/>
        </w:rPr>
        <w:t>פסול</w:t>
      </w:r>
      <w:r>
        <w:rPr>
          <w:rFonts w:cs="Arial" w:hint="cs"/>
          <w:rtl/>
        </w:rPr>
        <w:t>,</w:t>
      </w:r>
      <w:r w:rsidRPr="00EA6933">
        <w:rPr>
          <w:rFonts w:cs="Arial"/>
          <w:rtl/>
        </w:rPr>
        <w:t xml:space="preserve"> וכדאמרינן בהדיא </w:t>
      </w:r>
      <w:r>
        <w:rPr>
          <w:rFonts w:cs="Arial" w:hint="cs"/>
          <w:rtl/>
        </w:rPr>
        <w:t>'</w:t>
      </w:r>
      <w:r w:rsidRPr="00EA6933">
        <w:rPr>
          <w:rFonts w:cs="Arial"/>
          <w:rtl/>
        </w:rPr>
        <w:t>ולפלוני ולפלוני ויחתומו</w:t>
      </w:r>
      <w:r>
        <w:rPr>
          <w:rFonts w:cs="Arial" w:hint="cs"/>
          <w:rtl/>
        </w:rPr>
        <w:t>'</w:t>
      </w:r>
      <w:r w:rsidRPr="00EA6933">
        <w:rPr>
          <w:rFonts w:cs="Arial" w:hint="cs"/>
          <w:rtl/>
        </w:rPr>
        <w:t>.</w:t>
      </w:r>
      <w:r w:rsidRPr="00EA6933">
        <w:rPr>
          <w:rFonts w:cs="Arial"/>
          <w:rtl/>
        </w:rPr>
        <w:t xml:space="preserve"> וכן פירש רש"י </w:t>
      </w:r>
      <w:r w:rsidRPr="00361245">
        <w:rPr>
          <w:rFonts w:cs="Arial"/>
          <w:sz w:val="16"/>
          <w:szCs w:val="16"/>
          <w:rtl/>
        </w:rPr>
        <w:t>(</w:t>
      </w:r>
      <w:r w:rsidRPr="00361245">
        <w:rPr>
          <w:rFonts w:cs="Arial" w:hint="cs"/>
          <w:sz w:val="16"/>
          <w:szCs w:val="16"/>
          <w:rtl/>
        </w:rPr>
        <w:t>סו:</w:t>
      </w:r>
      <w:r w:rsidRPr="00361245">
        <w:rPr>
          <w:rFonts w:cs="Arial"/>
          <w:sz w:val="16"/>
          <w:szCs w:val="16"/>
          <w:rtl/>
        </w:rPr>
        <w:t xml:space="preserve"> ד"ה דאמר</w:t>
      </w:r>
      <w:r w:rsidRPr="00361245">
        <w:rPr>
          <w:rFonts w:cs="Arial" w:hint="cs"/>
          <w:sz w:val="16"/>
          <w:szCs w:val="16"/>
          <w:rtl/>
        </w:rPr>
        <w:t xml:space="preserve"> מילי לא</w:t>
      </w:r>
      <w:r w:rsidRPr="00361245">
        <w:rPr>
          <w:rFonts w:cs="Arial"/>
          <w:sz w:val="16"/>
          <w:szCs w:val="16"/>
          <w:rtl/>
        </w:rPr>
        <w:t xml:space="preserve">) </w:t>
      </w:r>
      <w:r w:rsidRPr="00EA6933">
        <w:rPr>
          <w:rFonts w:cs="Arial"/>
          <w:rtl/>
        </w:rPr>
        <w:t>לסופר פלוני שיכתוב</w:t>
      </w:r>
      <w:r>
        <w:rPr>
          <w:rFonts w:cs="Arial" w:hint="cs"/>
          <w:rtl/>
        </w:rPr>
        <w:t>.</w:t>
      </w:r>
      <w:r w:rsidRPr="00EA6933">
        <w:rPr>
          <w:rFonts w:cs="Arial"/>
          <w:rtl/>
        </w:rPr>
        <w:t xml:space="preserve"> ואין לך צד היתר לומר לאחרים לכתוב</w:t>
      </w:r>
      <w:r>
        <w:rPr>
          <w:rFonts w:cs="Arial" w:hint="cs"/>
          <w:rtl/>
        </w:rPr>
        <w:t>,</w:t>
      </w:r>
      <w:r w:rsidRPr="00EA6933">
        <w:rPr>
          <w:rFonts w:cs="Arial"/>
          <w:rtl/>
        </w:rPr>
        <w:t xml:space="preserve"> אלא השומע מפיו הוא יכתוב</w:t>
      </w:r>
      <w:r>
        <w:rPr>
          <w:rFonts w:cs="Arial" w:hint="cs"/>
          <w:rtl/>
        </w:rPr>
        <w:t>.</w:t>
      </w:r>
    </w:p>
  </w:footnote>
  <w:footnote w:id="165">
    <w:p w14:paraId="1AD2BB99" w14:textId="77777777" w:rsidR="00D15249" w:rsidRPr="00217470" w:rsidRDefault="00D15249" w:rsidP="00D15249">
      <w:pPr>
        <w:pStyle w:val="a5"/>
        <w:rPr>
          <w:rFonts w:cs="Arial"/>
        </w:rPr>
      </w:pPr>
      <w:r>
        <w:rPr>
          <w:rStyle w:val="a7"/>
        </w:rPr>
        <w:footnoteRef/>
      </w:r>
      <w:r>
        <w:rPr>
          <w:rtl/>
        </w:rPr>
        <w:t xml:space="preserve"> </w:t>
      </w:r>
      <w:r w:rsidRPr="00EA6933">
        <w:rPr>
          <w:rFonts w:cs="Arial"/>
          <w:rtl/>
        </w:rPr>
        <w:t>והרשב"א (סז. ד"ה ר' יוסי) כתב דעת הרמב"ן סתם ולא נחלק עליו משמע דהכי סבירא ליה</w:t>
      </w:r>
      <w:r>
        <w:rPr>
          <w:rFonts w:cs="Arial" w:hint="cs"/>
          <w:rtl/>
        </w:rPr>
        <w:t>.</w:t>
      </w:r>
      <w:r w:rsidRPr="00EA6933">
        <w:rPr>
          <w:rFonts w:cs="Arial"/>
          <w:rtl/>
        </w:rPr>
        <w:t xml:space="preserve"> גם מתוך דברי הרא"ש משמע דכהרמב"ן סבירא ליה </w:t>
      </w:r>
      <w:r w:rsidRPr="00C602E9">
        <w:rPr>
          <w:rFonts w:cs="Arial" w:hint="cs"/>
          <w:sz w:val="16"/>
          <w:szCs w:val="16"/>
          <w:rtl/>
        </w:rPr>
        <w:t>(</w:t>
      </w:r>
      <w:r w:rsidRPr="00C602E9">
        <w:rPr>
          <w:rFonts w:cs="Arial"/>
          <w:sz w:val="16"/>
          <w:szCs w:val="16"/>
          <w:rtl/>
        </w:rPr>
        <w:t>שהרי כתב בס</w:t>
      </w:r>
      <w:r>
        <w:rPr>
          <w:rFonts w:cs="Arial" w:hint="cs"/>
          <w:sz w:val="16"/>
          <w:szCs w:val="16"/>
          <w:rtl/>
        </w:rPr>
        <w:t>"</w:t>
      </w:r>
      <w:r w:rsidRPr="00C602E9">
        <w:rPr>
          <w:rFonts w:cs="Arial"/>
          <w:sz w:val="16"/>
          <w:szCs w:val="16"/>
          <w:rtl/>
        </w:rPr>
        <w:t>פ התקבל (פ"ז סי' כ) ונראה דדוקא לענין ציווי הבעל הוא דבעינן שידבר בפיו ושישמעו קולו אבל לענין שליחות אשה כל היכא דקים לן שהיא רוצה בדבר לא בעינן שמיעת קולה עכ"ל. הרי דנקט בהדיא דבעינן שידבר בפיו ושישמעו בקולו</w:t>
      </w:r>
      <w:r w:rsidRPr="00C602E9">
        <w:rPr>
          <w:rFonts w:cs="Arial" w:hint="cs"/>
          <w:sz w:val="16"/>
          <w:szCs w:val="16"/>
          <w:rtl/>
        </w:rPr>
        <w:t>.</w:t>
      </w:r>
      <w:r w:rsidRPr="00C602E9">
        <w:rPr>
          <w:rFonts w:cs="Arial"/>
          <w:sz w:val="16"/>
          <w:szCs w:val="16"/>
          <w:rtl/>
        </w:rPr>
        <w:t xml:space="preserve"> ואילו להרא"ה והר"ן בידבר בפיו סגי אפילו לא ישמעו קולו</w:t>
      </w:r>
      <w:r>
        <w:rPr>
          <w:rFonts w:cs="Arial" w:hint="cs"/>
          <w:sz w:val="16"/>
          <w:szCs w:val="16"/>
          <w:rtl/>
        </w:rPr>
        <w:t>)</w:t>
      </w:r>
      <w:r w:rsidRPr="00EA6933">
        <w:rPr>
          <w:rFonts w:cs="Arial"/>
          <w:rtl/>
        </w:rPr>
        <w:t>.</w:t>
      </w:r>
      <w:r>
        <w:rPr>
          <w:rFonts w:cs="Arial" w:hint="cs"/>
          <w:rtl/>
        </w:rPr>
        <w:t>..</w:t>
      </w:r>
      <w:r w:rsidRPr="00EA6933">
        <w:rPr>
          <w:rFonts w:cs="Arial"/>
          <w:rtl/>
        </w:rPr>
        <w:t xml:space="preserve"> וכן דעת הרמב"ם לפסול באומר אמרו לפלוני ופלוני כמבואר בדבריו פ</w:t>
      </w:r>
      <w:r>
        <w:rPr>
          <w:rFonts w:cs="Arial" w:hint="cs"/>
          <w:rtl/>
        </w:rPr>
        <w:t>"</w:t>
      </w:r>
      <w:r w:rsidRPr="00EA6933">
        <w:rPr>
          <w:rFonts w:cs="Arial"/>
          <w:rtl/>
        </w:rPr>
        <w:t>ד מהלכות זכייה ומתנה (ה"י)</w:t>
      </w:r>
      <w:r>
        <w:rPr>
          <w:rFonts w:cs="Arial" w:hint="cs"/>
          <w:rtl/>
        </w:rPr>
        <w:t>, ב"י.</w:t>
      </w:r>
    </w:p>
  </w:footnote>
  <w:footnote w:id="166">
    <w:p w14:paraId="1CEAAF77" w14:textId="0BFDE9BE" w:rsidR="0026249A" w:rsidRDefault="0026249A">
      <w:pPr>
        <w:pStyle w:val="a5"/>
      </w:pPr>
      <w:r>
        <w:rPr>
          <w:rStyle w:val="a7"/>
        </w:rPr>
        <w:footnoteRef/>
      </w:r>
      <w:r>
        <w:rPr>
          <w:rtl/>
        </w:rPr>
        <w:t xml:space="preserve"> </w:t>
      </w:r>
      <w:r w:rsidRPr="00EA6933">
        <w:rPr>
          <w:rFonts w:cs="Arial"/>
          <w:rtl/>
        </w:rPr>
        <w:t>וכתב הר"ן</w:t>
      </w:r>
      <w:r>
        <w:rPr>
          <w:rFonts w:cs="Arial" w:hint="cs"/>
          <w:rtl/>
        </w:rPr>
        <w:t xml:space="preserve"> (שם)</w:t>
      </w:r>
      <w:r w:rsidRPr="00EA6933">
        <w:rPr>
          <w:rFonts w:cs="Arial"/>
          <w:rtl/>
        </w:rPr>
        <w:t xml:space="preserve"> שדעתו מסכמת לדעת הרא"ה </w:t>
      </w:r>
      <w:r w:rsidR="00D15249" w:rsidRPr="00D15249">
        <w:rPr>
          <w:rFonts w:cs="Arial" w:hint="cs"/>
          <w:sz w:val="16"/>
          <w:szCs w:val="16"/>
          <w:rtl/>
        </w:rPr>
        <w:t>(</w:t>
      </w:r>
      <w:r w:rsidRPr="00D15249">
        <w:rPr>
          <w:rFonts w:cs="Arial"/>
          <w:sz w:val="16"/>
          <w:szCs w:val="16"/>
          <w:rtl/>
        </w:rPr>
        <w:t>דכל שאמר להם א</w:t>
      </w:r>
      <w:r w:rsidRPr="00D15249">
        <w:rPr>
          <w:rFonts w:cs="Arial" w:hint="cs"/>
          <w:sz w:val="16"/>
          <w:szCs w:val="16"/>
          <w:rtl/>
        </w:rPr>
        <w:t>ִ</w:t>
      </w:r>
      <w:r w:rsidRPr="00D15249">
        <w:rPr>
          <w:rFonts w:cs="Arial"/>
          <w:sz w:val="16"/>
          <w:szCs w:val="16"/>
          <w:rtl/>
        </w:rPr>
        <w:t>מרו הם סבורים שהדבר מסור להם לשנותו לכל מה שירצו</w:t>
      </w:r>
      <w:r w:rsidRPr="00D15249">
        <w:rPr>
          <w:rFonts w:cs="Arial" w:hint="cs"/>
          <w:sz w:val="16"/>
          <w:szCs w:val="16"/>
          <w:rtl/>
        </w:rPr>
        <w:t>.</w:t>
      </w:r>
      <w:r w:rsidRPr="00D15249">
        <w:rPr>
          <w:rFonts w:cs="Arial"/>
          <w:sz w:val="16"/>
          <w:szCs w:val="16"/>
          <w:rtl/>
        </w:rPr>
        <w:t xml:space="preserve"> ומה שאמר להם הבעל </w:t>
      </w:r>
      <w:r w:rsidRPr="00D15249">
        <w:rPr>
          <w:rFonts w:cs="Arial" w:hint="cs"/>
          <w:sz w:val="16"/>
          <w:szCs w:val="16"/>
          <w:rtl/>
        </w:rPr>
        <w:t>'</w:t>
      </w:r>
      <w:r w:rsidRPr="00D15249">
        <w:rPr>
          <w:rFonts w:cs="Arial"/>
          <w:sz w:val="16"/>
          <w:szCs w:val="16"/>
          <w:rtl/>
        </w:rPr>
        <w:t>ולפלוני ולפלוני ויחתמו</w:t>
      </w:r>
      <w:r w:rsidRPr="00D15249">
        <w:rPr>
          <w:rFonts w:cs="Arial" w:hint="cs"/>
          <w:sz w:val="16"/>
          <w:szCs w:val="16"/>
          <w:rtl/>
        </w:rPr>
        <w:t>'</w:t>
      </w:r>
      <w:r w:rsidRPr="00D15249">
        <w:rPr>
          <w:rFonts w:cs="Arial"/>
          <w:sz w:val="16"/>
          <w:szCs w:val="16"/>
          <w:rtl/>
        </w:rPr>
        <w:t xml:space="preserve"> אינו אלא כמראה מקום להם</w:t>
      </w:r>
      <w:r w:rsidRPr="00D15249">
        <w:rPr>
          <w:rFonts w:cs="Arial" w:hint="cs"/>
          <w:sz w:val="16"/>
          <w:szCs w:val="16"/>
          <w:rtl/>
        </w:rPr>
        <w:t>,</w:t>
      </w:r>
      <w:r w:rsidRPr="00D15249">
        <w:rPr>
          <w:rFonts w:cs="Arial"/>
          <w:sz w:val="16"/>
          <w:szCs w:val="16"/>
          <w:rtl/>
        </w:rPr>
        <w:t xml:space="preserve"> ואיכא למיחש דמשום כיסופא מחתמי ליה כדאיתא בגמרא (סז.)</w:t>
      </w:r>
      <w:r w:rsidRPr="00D15249">
        <w:rPr>
          <w:rFonts w:cs="Arial" w:hint="cs"/>
          <w:sz w:val="16"/>
          <w:szCs w:val="16"/>
          <w:rtl/>
        </w:rPr>
        <w:t>.</w:t>
      </w:r>
      <w:r w:rsidRPr="00D15249">
        <w:rPr>
          <w:rFonts w:cs="Arial"/>
          <w:sz w:val="16"/>
          <w:szCs w:val="16"/>
          <w:rtl/>
        </w:rPr>
        <w:t xml:space="preserve"> אבל בממנה סופר ועדים מדעתו ליכא למיחש לחורבה שהרי אין להם מקום לטעות</w:t>
      </w:r>
      <w:r w:rsidR="00D15249">
        <w:rPr>
          <w:rFonts w:cs="Arial" w:hint="cs"/>
          <w:sz w:val="16"/>
          <w:szCs w:val="16"/>
          <w:rtl/>
        </w:rPr>
        <w:t>)</w:t>
      </w:r>
      <w:r w:rsidR="00D15249">
        <w:rPr>
          <w:rFonts w:hint="cs"/>
          <w:rtl/>
        </w:rPr>
        <w:t>... ו</w:t>
      </w:r>
      <w:r w:rsidR="00D15249" w:rsidRPr="00EA6933">
        <w:rPr>
          <w:rFonts w:cs="Arial"/>
          <w:rtl/>
        </w:rPr>
        <w:t>גם מתוך דברי הר"ן שכתב זה</w:t>
      </w:r>
      <w:r w:rsidR="00D15249">
        <w:rPr>
          <w:rFonts w:cs="Arial" w:hint="cs"/>
          <w:rtl/>
        </w:rPr>
        <w:t>,</w:t>
      </w:r>
      <w:r w:rsidR="00D15249" w:rsidRPr="00EA6933">
        <w:rPr>
          <w:rFonts w:cs="Arial"/>
          <w:rtl/>
        </w:rPr>
        <w:t xml:space="preserve"> נראה לי אפשר לדון דלהלכה אמרה ולא למעשה</w:t>
      </w:r>
      <w:r w:rsidR="00D15249">
        <w:rPr>
          <w:rFonts w:cs="Arial" w:hint="cs"/>
          <w:rtl/>
        </w:rPr>
        <w:t>...</w:t>
      </w:r>
      <w:r w:rsidR="00D15249" w:rsidRPr="00D15249">
        <w:rPr>
          <w:rFonts w:cs="Arial"/>
          <w:rtl/>
        </w:rPr>
        <w:t xml:space="preserve"> </w:t>
      </w:r>
      <w:r w:rsidR="00D15249" w:rsidRPr="00EA6933">
        <w:rPr>
          <w:rFonts w:cs="Arial"/>
          <w:rtl/>
        </w:rPr>
        <w:t>ודע שאפילו לדברי המכשירים בממנה סופר ועדים שלא בפניהם</w:t>
      </w:r>
      <w:r w:rsidR="00D15249">
        <w:rPr>
          <w:rFonts w:cs="Arial" w:hint="cs"/>
          <w:rtl/>
        </w:rPr>
        <w:t xml:space="preserve"> -</w:t>
      </w:r>
      <w:r w:rsidR="00D15249" w:rsidRPr="00EA6933">
        <w:rPr>
          <w:rFonts w:cs="Arial"/>
          <w:rtl/>
        </w:rPr>
        <w:t xml:space="preserve"> היינו בממנה אותם בפיו</w:t>
      </w:r>
      <w:r w:rsidR="00D15249">
        <w:rPr>
          <w:rFonts w:cs="Arial" w:hint="cs"/>
          <w:rtl/>
        </w:rPr>
        <w:t>,</w:t>
      </w:r>
      <w:r w:rsidR="00D15249" w:rsidRPr="00EA6933">
        <w:rPr>
          <w:rFonts w:cs="Arial"/>
          <w:rtl/>
        </w:rPr>
        <w:t xml:space="preserve"> אבל אם לא מינה אותם בפיו אלא כתב להם בכתב ידו </w:t>
      </w:r>
      <w:r w:rsidR="00D15249">
        <w:rPr>
          <w:rFonts w:cs="Arial" w:hint="cs"/>
          <w:rtl/>
        </w:rPr>
        <w:t xml:space="preserve">- </w:t>
      </w:r>
      <w:r w:rsidR="00D15249" w:rsidRPr="00EA6933">
        <w:rPr>
          <w:rFonts w:cs="Arial"/>
          <w:rtl/>
        </w:rPr>
        <w:t>הדבר תלוי בדעות הפוסקים כמו שיתבאר בסמוך בסייעתא דשמיא דפליגי אי מהני כתב ידו בפיקח</w:t>
      </w:r>
      <w:r w:rsidR="00D15249">
        <w:rPr>
          <w:rFonts w:cs="Arial" w:hint="cs"/>
          <w:rtl/>
        </w:rPr>
        <w:t xml:space="preserve">, </w:t>
      </w:r>
      <w:r w:rsidR="00D15249" w:rsidRPr="003B6A43">
        <w:rPr>
          <w:rFonts w:cs="Arial" w:hint="cs"/>
          <w:b/>
          <w:bCs/>
          <w:rtl/>
        </w:rPr>
        <w:t>ב"י</w:t>
      </w:r>
      <w:r w:rsidR="00D15249">
        <w:rPr>
          <w:rFonts w:cs="Arial" w:hint="cs"/>
          <w:rtl/>
        </w:rPr>
        <w:t xml:space="preserve">. וכתב </w:t>
      </w:r>
      <w:r w:rsidR="00D15249" w:rsidRPr="003B6A43">
        <w:rPr>
          <w:rFonts w:cs="Arial" w:hint="cs"/>
          <w:b/>
          <w:bCs/>
          <w:rtl/>
        </w:rPr>
        <w:t>הדרכ"מ</w:t>
      </w:r>
      <w:r w:rsidR="00D15249">
        <w:rPr>
          <w:rFonts w:cs="Arial" w:hint="cs"/>
          <w:rtl/>
        </w:rPr>
        <w:t xml:space="preserve"> </w:t>
      </w:r>
      <w:r w:rsidR="00D15249" w:rsidRPr="00D15249">
        <w:rPr>
          <w:rFonts w:cs="Arial" w:hint="cs"/>
          <w:sz w:val="16"/>
          <w:szCs w:val="16"/>
          <w:rtl/>
        </w:rPr>
        <w:t xml:space="preserve">(אות ד) </w:t>
      </w:r>
      <w:r w:rsidR="00D15249">
        <w:rPr>
          <w:rFonts w:cs="Arial" w:hint="cs"/>
          <w:rtl/>
        </w:rPr>
        <w:t xml:space="preserve">דגם </w:t>
      </w:r>
      <w:r w:rsidR="00D15249" w:rsidRPr="00BA15E7">
        <w:rPr>
          <w:rFonts w:cs="Arial"/>
          <w:rtl/>
        </w:rPr>
        <w:t>הר</w:t>
      </w:r>
      <w:r w:rsidR="00D15249">
        <w:rPr>
          <w:rFonts w:cs="Arial" w:hint="cs"/>
          <w:rtl/>
        </w:rPr>
        <w:t>ד"ך</w:t>
      </w:r>
      <w:r w:rsidR="00D15249" w:rsidRPr="00BA15E7">
        <w:rPr>
          <w:rFonts w:cs="Arial"/>
          <w:rtl/>
        </w:rPr>
        <w:t xml:space="preserve"> </w:t>
      </w:r>
      <w:r w:rsidR="00D15249" w:rsidRPr="00217470">
        <w:rPr>
          <w:rFonts w:cs="Arial" w:hint="cs"/>
          <w:sz w:val="16"/>
          <w:szCs w:val="16"/>
          <w:rtl/>
        </w:rPr>
        <w:t>(</w:t>
      </w:r>
      <w:r w:rsidR="00D15249" w:rsidRPr="00217470">
        <w:rPr>
          <w:rFonts w:cs="Arial"/>
          <w:sz w:val="16"/>
          <w:szCs w:val="16"/>
          <w:rtl/>
        </w:rPr>
        <w:t>ב</w:t>
      </w:r>
      <w:r w:rsidR="00D15249">
        <w:rPr>
          <w:rFonts w:cs="Arial" w:hint="cs"/>
          <w:sz w:val="16"/>
          <w:szCs w:val="16"/>
          <w:rtl/>
        </w:rPr>
        <w:t>"</w:t>
      </w:r>
      <w:r w:rsidR="00D15249" w:rsidRPr="00217470">
        <w:rPr>
          <w:rFonts w:cs="Arial"/>
          <w:sz w:val="16"/>
          <w:szCs w:val="16"/>
          <w:rtl/>
        </w:rPr>
        <w:t>ג נ</w:t>
      </w:r>
      <w:r w:rsidR="00D15249">
        <w:rPr>
          <w:rFonts w:cs="Arial" w:hint="cs"/>
          <w:sz w:val="16"/>
          <w:szCs w:val="16"/>
          <w:rtl/>
        </w:rPr>
        <w:t>"</w:t>
      </w:r>
      <w:r w:rsidR="00D15249" w:rsidRPr="00217470">
        <w:rPr>
          <w:rFonts w:cs="Arial"/>
          <w:sz w:val="16"/>
          <w:szCs w:val="16"/>
          <w:rtl/>
        </w:rPr>
        <w:t xml:space="preserve">ו </w:t>
      </w:r>
      <w:r w:rsidR="00D15249">
        <w:rPr>
          <w:rFonts w:cs="Arial" w:hint="cs"/>
          <w:sz w:val="16"/>
          <w:szCs w:val="16"/>
          <w:rtl/>
        </w:rPr>
        <w:t xml:space="preserve">חדר </w:t>
      </w:r>
      <w:r w:rsidR="00D15249" w:rsidRPr="00217470">
        <w:rPr>
          <w:rFonts w:cs="Arial"/>
          <w:sz w:val="16"/>
          <w:szCs w:val="16"/>
          <w:rtl/>
        </w:rPr>
        <w:t>ג</w:t>
      </w:r>
      <w:r w:rsidR="00D15249">
        <w:rPr>
          <w:rFonts w:cs="Arial" w:hint="cs"/>
          <w:sz w:val="16"/>
          <w:szCs w:val="16"/>
          <w:rtl/>
        </w:rPr>
        <w:t>)</w:t>
      </w:r>
      <w:r w:rsidR="00D15249" w:rsidRPr="00217470">
        <w:rPr>
          <w:rFonts w:cs="Arial"/>
          <w:sz w:val="16"/>
          <w:szCs w:val="16"/>
          <w:rtl/>
        </w:rPr>
        <w:t xml:space="preserve"> </w:t>
      </w:r>
      <w:r w:rsidR="00D15249">
        <w:rPr>
          <w:rFonts w:cs="Arial" w:hint="cs"/>
          <w:rtl/>
        </w:rPr>
        <w:t>כתב דהר"ן ואף</w:t>
      </w:r>
      <w:r w:rsidR="00D15249" w:rsidRPr="00BA15E7">
        <w:rPr>
          <w:rFonts w:cs="Arial"/>
          <w:rtl/>
        </w:rPr>
        <w:t xml:space="preserve"> הרא"ה לא קאמרי דכשר אלא להלכה אבל לא לעשות מעשה</w:t>
      </w:r>
      <w:r w:rsidR="00D15249">
        <w:rPr>
          <w:rFonts w:hint="cs"/>
          <w:rtl/>
        </w:rPr>
        <w:t>.</w:t>
      </w:r>
    </w:p>
  </w:footnote>
  <w:footnote w:id="167">
    <w:p w14:paraId="0042312F" w14:textId="46B10140" w:rsidR="005E62B5" w:rsidRDefault="005E62B5">
      <w:pPr>
        <w:pStyle w:val="a5"/>
      </w:pPr>
      <w:r>
        <w:rPr>
          <w:rStyle w:val="a7"/>
        </w:rPr>
        <w:footnoteRef/>
      </w:r>
      <w:r>
        <w:rPr>
          <w:rtl/>
        </w:rPr>
        <w:t xml:space="preserve"> </w:t>
      </w:r>
      <w:r w:rsidRPr="005E62B5">
        <w:rPr>
          <w:rFonts w:cs="Arial"/>
          <w:rtl/>
        </w:rPr>
        <w:t>אבל אם כתבו בעצמם ואמרו לעדים וחתמו</w:t>
      </w:r>
      <w:r>
        <w:rPr>
          <w:rFonts w:cs="Arial" w:hint="cs"/>
          <w:rtl/>
        </w:rPr>
        <w:t>,</w:t>
      </w:r>
      <w:r w:rsidRPr="005E62B5">
        <w:rPr>
          <w:rFonts w:cs="Arial"/>
          <w:rtl/>
        </w:rPr>
        <w:t xml:space="preserve"> נראה דאין הגט בטל אלא פסול</w:t>
      </w:r>
      <w:r>
        <w:rPr>
          <w:rFonts w:cs="Arial" w:hint="cs"/>
          <w:rtl/>
        </w:rPr>
        <w:t>.</w:t>
      </w:r>
      <w:r w:rsidRPr="005E62B5">
        <w:rPr>
          <w:rFonts w:cs="Arial"/>
          <w:rtl/>
        </w:rPr>
        <w:t xml:space="preserve"> דלא גרע מאם חתמו עדים פסולים דקי"ל הגט פסול ולא בטל כמ"ש בסי' ק</w:t>
      </w:r>
      <w:r w:rsidR="008F1D94">
        <w:rPr>
          <w:rFonts w:cs="Arial" w:hint="cs"/>
          <w:rtl/>
        </w:rPr>
        <w:t>"</w:t>
      </w:r>
      <w:r w:rsidRPr="005E62B5">
        <w:rPr>
          <w:rFonts w:cs="Arial"/>
          <w:rtl/>
        </w:rPr>
        <w:t>ל סע</w:t>
      </w:r>
      <w:r w:rsidR="008F1D94">
        <w:rPr>
          <w:rFonts w:cs="Arial" w:hint="cs"/>
          <w:rtl/>
        </w:rPr>
        <w:t>'</w:t>
      </w:r>
      <w:r w:rsidRPr="005E62B5">
        <w:rPr>
          <w:rFonts w:cs="Arial"/>
          <w:rtl/>
        </w:rPr>
        <w:t xml:space="preserve"> יז</w:t>
      </w:r>
      <w:r>
        <w:rPr>
          <w:rFonts w:cs="Arial" w:hint="cs"/>
          <w:rtl/>
        </w:rPr>
        <w:t>,</w:t>
      </w:r>
      <w:r w:rsidRPr="005E62B5">
        <w:rPr>
          <w:rFonts w:cs="Arial"/>
          <w:rtl/>
        </w:rPr>
        <w:t xml:space="preserve"> וכ"כ רד"ך בתשובה</w:t>
      </w:r>
      <w:r>
        <w:rPr>
          <w:rFonts w:cs="Arial" w:hint="cs"/>
          <w:rtl/>
        </w:rPr>
        <w:t xml:space="preserve">..., </w:t>
      </w:r>
      <w:r w:rsidRPr="00356FBD">
        <w:rPr>
          <w:rFonts w:cs="Arial" w:hint="cs"/>
          <w:b/>
          <w:bCs/>
          <w:rtl/>
        </w:rPr>
        <w:t>ב"ש</w:t>
      </w:r>
      <w:r>
        <w:rPr>
          <w:rFonts w:cs="Arial" w:hint="cs"/>
          <w:rtl/>
        </w:rPr>
        <w:t xml:space="preserve"> (סק"ז).</w:t>
      </w:r>
      <w:r w:rsidR="008F1D94" w:rsidRPr="008F1D94">
        <w:rPr>
          <w:rFonts w:cs="Arial"/>
          <w:rtl/>
        </w:rPr>
        <w:t xml:space="preserve"> </w:t>
      </w:r>
      <w:r w:rsidR="00356FBD">
        <w:rPr>
          <w:rFonts w:cs="Arial" w:hint="cs"/>
          <w:rtl/>
        </w:rPr>
        <w:t xml:space="preserve">     </w:t>
      </w:r>
      <w:r w:rsidR="008F1D94" w:rsidRPr="00A42CB2">
        <w:rPr>
          <w:rFonts w:cs="Arial"/>
          <w:rtl/>
        </w:rPr>
        <w:t xml:space="preserve">ועיין בתשו' ברית אברהם </w:t>
      </w:r>
      <w:r w:rsidR="008F1D94" w:rsidRPr="008F1D94">
        <w:rPr>
          <w:rFonts w:cs="Arial" w:hint="cs"/>
          <w:sz w:val="16"/>
          <w:szCs w:val="16"/>
          <w:rtl/>
        </w:rPr>
        <w:t>(</w:t>
      </w:r>
      <w:r w:rsidR="008F1D94" w:rsidRPr="008F1D94">
        <w:rPr>
          <w:rFonts w:cs="Arial"/>
          <w:sz w:val="16"/>
          <w:szCs w:val="16"/>
          <w:rtl/>
        </w:rPr>
        <w:t>סי</w:t>
      </w:r>
      <w:r w:rsidR="008F1D94" w:rsidRPr="008F1D94">
        <w:rPr>
          <w:rFonts w:cs="Arial" w:hint="cs"/>
          <w:sz w:val="16"/>
          <w:szCs w:val="16"/>
          <w:rtl/>
        </w:rPr>
        <w:t>'</w:t>
      </w:r>
      <w:r w:rsidR="008F1D94" w:rsidRPr="008F1D94">
        <w:rPr>
          <w:rFonts w:cs="Arial"/>
          <w:sz w:val="16"/>
          <w:szCs w:val="16"/>
          <w:rtl/>
        </w:rPr>
        <w:t xml:space="preserve"> צז</w:t>
      </w:r>
      <w:r w:rsidR="008F1D94" w:rsidRPr="008F1D94">
        <w:rPr>
          <w:rFonts w:cs="Arial" w:hint="cs"/>
          <w:sz w:val="16"/>
          <w:szCs w:val="16"/>
          <w:rtl/>
        </w:rPr>
        <w:t>-</w:t>
      </w:r>
      <w:r w:rsidR="008F1D94" w:rsidRPr="008F1D94">
        <w:rPr>
          <w:rFonts w:cs="Arial"/>
          <w:sz w:val="16"/>
          <w:szCs w:val="16"/>
          <w:rtl/>
        </w:rPr>
        <w:t>צח</w:t>
      </w:r>
      <w:r w:rsidR="008F1D94" w:rsidRPr="008F1D94">
        <w:rPr>
          <w:rFonts w:cs="Arial" w:hint="cs"/>
          <w:sz w:val="16"/>
          <w:szCs w:val="16"/>
          <w:rtl/>
        </w:rPr>
        <w:t>)</w:t>
      </w:r>
      <w:r w:rsidR="008F1D94" w:rsidRPr="00A42CB2">
        <w:rPr>
          <w:rFonts w:cs="Arial"/>
          <w:rtl/>
        </w:rPr>
        <w:t xml:space="preserve"> שהאריך הרבה אם דברי הרד"ך וב"ש הללו נכונים הם לדינא. וגם האריך שם בעובדא בגט שכ"מ שנמסר בעיר אחת והיה חתום עליו עד שלא נתמנה מהבעל רק שגם הוא שמע קולו של הבעל וחתם עצמו לפני ב"ד והזהירו אותו שיחתום לשמה ועד א' העיד שאחר המינוי שאלו להבעל שמא יצטרכו להחליף העדים או את הנייר והשיב שהוא סומך על הב"ד אך זה העד הנחתם לא שמע זאת </w:t>
      </w:r>
      <w:r w:rsidR="008F1D94">
        <w:rPr>
          <w:rFonts w:cs="Arial" w:hint="cs"/>
          <w:sz w:val="16"/>
          <w:szCs w:val="16"/>
          <w:rtl/>
        </w:rPr>
        <w:t>(</w:t>
      </w:r>
      <w:r w:rsidR="008F1D94" w:rsidRPr="008F1D94">
        <w:rPr>
          <w:rFonts w:cs="Arial"/>
          <w:sz w:val="16"/>
          <w:szCs w:val="16"/>
          <w:rtl/>
        </w:rPr>
        <w:t>ע"ש מסי' צ"ו עד אחר סי' ק"ה. וענין כיוצא בו קצת איתא בתשו' תשב"ץ ח"ב סי' קי"ט ובס' בית מאיר פקפק עליו ע"ש וע' עוד בתשב"ץ שם בסימן קכ"ב</w:t>
      </w:r>
      <w:r w:rsidR="008F1D94" w:rsidRPr="008F1D94">
        <w:rPr>
          <w:rFonts w:cs="Arial" w:hint="cs"/>
          <w:sz w:val="16"/>
          <w:szCs w:val="16"/>
          <w:rtl/>
        </w:rPr>
        <w:t>)</w:t>
      </w:r>
      <w:r w:rsidR="008F1D94">
        <w:rPr>
          <w:rFonts w:hint="cs"/>
          <w:rtl/>
        </w:rPr>
        <w:t xml:space="preserve">, </w:t>
      </w:r>
      <w:r w:rsidR="008F1D94" w:rsidRPr="00356FBD">
        <w:rPr>
          <w:rFonts w:hint="cs"/>
          <w:b/>
          <w:bCs/>
          <w:rtl/>
        </w:rPr>
        <w:t>פת"ש</w:t>
      </w:r>
      <w:r w:rsidR="008F1D94">
        <w:rPr>
          <w:rFonts w:hint="cs"/>
          <w:rtl/>
        </w:rPr>
        <w:t xml:space="preserve"> (סקט"ז).</w:t>
      </w:r>
    </w:p>
  </w:footnote>
  <w:footnote w:id="168">
    <w:p w14:paraId="51076139" w14:textId="283506FB" w:rsidR="00854726" w:rsidRDefault="00854726">
      <w:pPr>
        <w:pStyle w:val="a5"/>
        <w:rPr>
          <w:rtl/>
        </w:rPr>
      </w:pPr>
      <w:r>
        <w:rPr>
          <w:rStyle w:val="a7"/>
        </w:rPr>
        <w:footnoteRef/>
      </w:r>
      <w:r>
        <w:rPr>
          <w:rtl/>
        </w:rPr>
        <w:t xml:space="preserve"> </w:t>
      </w:r>
      <w:r w:rsidRPr="00854726">
        <w:rPr>
          <w:rFonts w:cs="Arial"/>
          <w:rtl/>
        </w:rPr>
        <w:t>דכיון דשומע הוא הרי הוא כפיקח לכל דבריו אבל חרש שאינו שומע ואינו מדבר אי לאו דיכול לדבר מתוך הכתב ברמיזה לא מפיק ואי לאו דאשמעינן רב לא הוה ידענא</w:t>
      </w:r>
      <w:r>
        <w:rPr>
          <w:rFonts w:hint="cs"/>
          <w:rtl/>
        </w:rPr>
        <w:t>, רש"י.</w:t>
      </w:r>
    </w:p>
  </w:footnote>
  <w:footnote w:id="169">
    <w:p w14:paraId="73A7DEC9" w14:textId="53C7B0A9" w:rsidR="00F63536" w:rsidRDefault="00F63536">
      <w:pPr>
        <w:pStyle w:val="a5"/>
      </w:pPr>
      <w:r>
        <w:rPr>
          <w:rStyle w:val="a7"/>
        </w:rPr>
        <w:footnoteRef/>
      </w:r>
      <w:r>
        <w:rPr>
          <w:rtl/>
        </w:rPr>
        <w:t xml:space="preserve"> </w:t>
      </w:r>
      <w:r w:rsidRPr="00F63536">
        <w:rPr>
          <w:rFonts w:cs="Arial"/>
          <w:rtl/>
        </w:rPr>
        <w:t>ולא זהו חרש שדברו בו חכמים בכל מקום והשווהו לשוטה דזהו כפיקח לכל דבריו כדקתני בהדיא אבל חרש דרב כהנא לא שומע ולא מדבר</w:t>
      </w:r>
      <w:r>
        <w:rPr>
          <w:rFonts w:cs="Arial" w:hint="cs"/>
          <w:rtl/>
        </w:rPr>
        <w:t>, רש"י.</w:t>
      </w:r>
    </w:p>
  </w:footnote>
  <w:footnote w:id="170">
    <w:p w14:paraId="524AD4F9" w14:textId="7CA44DEA" w:rsidR="00AB476E" w:rsidRDefault="00AB476E">
      <w:pPr>
        <w:pStyle w:val="a5"/>
        <w:rPr>
          <w:rtl/>
        </w:rPr>
      </w:pPr>
      <w:r>
        <w:rPr>
          <w:rStyle w:val="a7"/>
        </w:rPr>
        <w:footnoteRef/>
      </w:r>
      <w:r>
        <w:rPr>
          <w:rtl/>
        </w:rPr>
        <w:t xml:space="preserve"> </w:t>
      </w:r>
      <w:r w:rsidRPr="00AB476E">
        <w:rPr>
          <w:rFonts w:cs="Arial"/>
          <w:rtl/>
        </w:rPr>
        <w:t>דאמר לעיל (עא</w:t>
      </w:r>
      <w:r>
        <w:rPr>
          <w:rFonts w:cs="Arial" w:hint="cs"/>
          <w:rtl/>
        </w:rPr>
        <w:t>.</w:t>
      </w:r>
      <w:r w:rsidRPr="00AB476E">
        <w:rPr>
          <w:rFonts w:cs="Arial"/>
          <w:rtl/>
        </w:rPr>
        <w:t>) חרש שיכול לדבר מתוך הכתב כותבין ונותנין גט לאשתו</w:t>
      </w:r>
      <w:r>
        <w:rPr>
          <w:rFonts w:hint="cs"/>
          <w:rtl/>
        </w:rPr>
        <w:t>, רש"י.</w:t>
      </w:r>
    </w:p>
  </w:footnote>
  <w:footnote w:id="171">
    <w:p w14:paraId="47E5CA05" w14:textId="037AE922" w:rsidR="00E84BD6" w:rsidRDefault="00E84BD6" w:rsidP="00E84BD6">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sidRPr="00BA15E7">
        <w:rPr>
          <w:rFonts w:cs="Arial"/>
          <w:rtl/>
        </w:rPr>
        <w:t xml:space="preserve"> ומסתברא דוקא חרש שאינו מדבר ואינו שומע בהא ליתא לדרב כהנא אבל אלם שנשתתק ומדבר מתוך הכתב כותבין ונותנין גט לאשתו דהא בהרכנת הראש מהני וכל שכן בכתב ידו</w:t>
      </w:r>
      <w:r>
        <w:rPr>
          <w:rFonts w:cs="Arial" w:hint="cs"/>
          <w:rtl/>
        </w:rPr>
        <w:t>.</w:t>
      </w:r>
    </w:p>
  </w:footnote>
  <w:footnote w:id="172">
    <w:p w14:paraId="3D63609D" w14:textId="77777777" w:rsidR="00520688" w:rsidRPr="00DB7A58" w:rsidRDefault="00520688" w:rsidP="00520688">
      <w:pPr>
        <w:pStyle w:val="a5"/>
        <w:rPr>
          <w:rFonts w:cs="Arial"/>
        </w:rPr>
      </w:pPr>
      <w:r>
        <w:rPr>
          <w:rStyle w:val="a7"/>
        </w:rPr>
        <w:footnoteRef/>
      </w:r>
      <w:r>
        <w:rPr>
          <w:rtl/>
        </w:rPr>
        <w:t xml:space="preserve"> </w:t>
      </w:r>
      <w:r w:rsidRPr="00E84BD6">
        <w:rPr>
          <w:rFonts w:cs="Arial"/>
          <w:rtl/>
        </w:rPr>
        <w:t>בעל התרומה (סי' קכו לב ע"ב) סמ"ג (עשין נ קל ע"ד)</w:t>
      </w:r>
      <w:r>
        <w:rPr>
          <w:rFonts w:cs="Arial" w:hint="cs"/>
          <w:rtl/>
        </w:rPr>
        <w:t xml:space="preserve"> </w:t>
      </w:r>
      <w:r w:rsidRPr="00E84BD6">
        <w:rPr>
          <w:rFonts w:cs="Arial"/>
          <w:rtl/>
        </w:rPr>
        <w:t>רשב"א (גיטין עב. ד"ה קולו)</w:t>
      </w:r>
      <w:r w:rsidRPr="00DB7A58">
        <w:rPr>
          <w:rFonts w:cs="Arial"/>
          <w:rtl/>
        </w:rPr>
        <w:t xml:space="preserve"> </w:t>
      </w:r>
      <w:r w:rsidRPr="00E84BD6">
        <w:rPr>
          <w:rFonts w:cs="Arial"/>
          <w:rtl/>
        </w:rPr>
        <w:t>מרדכי (סי' תיז) רא"ש (פ"ז סי' יט) הגה</w:t>
      </w:r>
      <w:r w:rsidRPr="00E84BD6">
        <w:rPr>
          <w:rFonts w:cs="Arial" w:hint="cs"/>
          <w:rtl/>
        </w:rPr>
        <w:t>"מ</w:t>
      </w:r>
      <w:r w:rsidRPr="00E84BD6">
        <w:rPr>
          <w:rFonts w:cs="Arial"/>
          <w:rtl/>
        </w:rPr>
        <w:t xml:space="preserve"> </w:t>
      </w:r>
      <w:r>
        <w:rPr>
          <w:rFonts w:cs="Arial" w:hint="cs"/>
          <w:rtl/>
        </w:rPr>
        <w:t>(</w:t>
      </w:r>
      <w:r w:rsidRPr="00E84BD6">
        <w:rPr>
          <w:rFonts w:cs="Arial"/>
          <w:rtl/>
        </w:rPr>
        <w:t>פ</w:t>
      </w:r>
      <w:r w:rsidRPr="00E84BD6">
        <w:rPr>
          <w:rFonts w:cs="Arial" w:hint="cs"/>
          <w:rtl/>
        </w:rPr>
        <w:t>"</w:t>
      </w:r>
      <w:r w:rsidRPr="00E84BD6">
        <w:rPr>
          <w:rFonts w:cs="Arial"/>
          <w:rtl/>
        </w:rPr>
        <w:t>ב מגירושין אות ר) סמ"ק (סי' קפד ע' קמו)</w:t>
      </w:r>
      <w:r>
        <w:rPr>
          <w:rFonts w:cs="Arial" w:hint="cs"/>
          <w:rtl/>
        </w:rPr>
        <w:t xml:space="preserve"> ו</w:t>
      </w:r>
      <w:r w:rsidRPr="00E84BD6">
        <w:rPr>
          <w:rFonts w:cs="Arial"/>
          <w:rtl/>
        </w:rPr>
        <w:t>ר"ן (גיטין לג: דבור ראשון</w:t>
      </w:r>
      <w:r>
        <w:rPr>
          <w:rFonts w:cs="Arial" w:hint="cs"/>
          <w:rtl/>
        </w:rPr>
        <w:t>).</w:t>
      </w:r>
    </w:p>
  </w:footnote>
  <w:footnote w:id="173">
    <w:p w14:paraId="7166A934" w14:textId="652BA81C" w:rsidR="00A31799" w:rsidRDefault="00A31799">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6C740B">
        <w:rPr>
          <w:rFonts w:cs="Arial"/>
          <w:rtl/>
        </w:rPr>
        <w:t>ומיהו איכא למידק אמאי דאמר רב יוסף (שם) מאי קא משמע לן תנינא נשתתק וכו'</w:t>
      </w:r>
      <w:r w:rsidRPr="006C740B">
        <w:rPr>
          <w:rFonts w:cs="Arial" w:hint="cs"/>
          <w:rtl/>
        </w:rPr>
        <w:t>,</w:t>
      </w:r>
      <w:r w:rsidRPr="006C740B">
        <w:rPr>
          <w:rFonts w:cs="Arial"/>
          <w:rtl/>
        </w:rPr>
        <w:t xml:space="preserve"> אדרבא הוה ליה לאותובי ממתניתין (סז:) דמצרכה בדיקה שלשה פעמים</w:t>
      </w:r>
      <w:r w:rsidRPr="006C740B">
        <w:rPr>
          <w:rFonts w:cs="Arial" w:hint="cs"/>
          <w:rtl/>
        </w:rPr>
        <w:t>,</w:t>
      </w:r>
      <w:r w:rsidRPr="006C740B">
        <w:rPr>
          <w:rFonts w:cs="Arial"/>
          <w:rtl/>
        </w:rPr>
        <w:t xml:space="preserve"> ורב כהנא לא מצריך שום בדיקה</w:t>
      </w:r>
      <w:r w:rsidRPr="006C740B">
        <w:rPr>
          <w:rFonts w:cs="Arial" w:hint="cs"/>
          <w:rtl/>
        </w:rPr>
        <w:t>.</w:t>
      </w:r>
      <w:r w:rsidRPr="006C740B">
        <w:rPr>
          <w:rFonts w:cs="Arial"/>
          <w:rtl/>
        </w:rPr>
        <w:t xml:space="preserve"> ורבי זירא דאהדר ליה שאני אלם דתנינא מדבר ואינו שומע וכו' וזה וזה הרי הן כפיקחין לכל דבריהם</w:t>
      </w:r>
      <w:r w:rsidRPr="006C740B">
        <w:rPr>
          <w:rFonts w:cs="Arial" w:hint="cs"/>
          <w:rtl/>
        </w:rPr>
        <w:t>,</w:t>
      </w:r>
      <w:r w:rsidRPr="006C740B">
        <w:rPr>
          <w:rFonts w:cs="Arial"/>
          <w:rtl/>
        </w:rPr>
        <w:t xml:space="preserve"> והיאך הם כפיקחין הרי בפיקחין לא בעיא בדיקה כלל ובנשתתק בעינן בדיקה שלשה פעמים</w:t>
      </w:r>
      <w:r w:rsidRPr="006C740B">
        <w:rPr>
          <w:rFonts w:cs="Arial" w:hint="cs"/>
          <w:rtl/>
        </w:rPr>
        <w:t>.</w:t>
      </w:r>
      <w:r w:rsidRPr="006C740B">
        <w:rPr>
          <w:rFonts w:cs="Arial"/>
          <w:rtl/>
        </w:rPr>
        <w:t xml:space="preserve"> ונראה לי דלמאי דסלקא דעתך דרב יוסף דלא לפלוגי בין אלם לחרש גמור משתמע שפיר דרב כהנא ממתניתין דלהרכנת הראש הוא שהצריכו בדיקה שלשה פעמים אבל לכתב בכתב ידו לא בעי בדיקה דכיון שהיה בו דעת לכתוב כן ודאי פיקח הוא. ורבי זירא אהדר ליה דשאני אלם כלומר דלא משתמע ממתניתין אלא לאלם אבל חרש גמור אף על פי שעושה מעשה פיקח כשוטה חשבינן ליה דשאני אלם מחרש גמור. ורב כהנא אתא לאשמועינן דמתניתין דתני אלם לאו דוקא אלא משום דבעי לאשמועינן דין הרכנת ראש על ידי אמירה דלא שייך בחרש גמור דהא אינו שומע לשיאמרו לו נכתוב גט לאשתך אבל אין הכי נמי דכתב ידו דחשיב כהרכין ראשו על ידי שאמרו לו נכתוב גט לאשתך אפילו בחרש גמור מהני. אי נמי אשמועינן דכתב ידו עדיף מרמיזה</w:t>
      </w:r>
      <w:r w:rsidRPr="006C740B">
        <w:rPr>
          <w:rFonts w:cs="Arial" w:hint="cs"/>
          <w:rtl/>
        </w:rPr>
        <w:t>,</w:t>
      </w:r>
      <w:r w:rsidRPr="006C740B">
        <w:rPr>
          <w:rFonts w:cs="Arial"/>
          <w:rtl/>
        </w:rPr>
        <w:t xml:space="preserve"> דכתב ידו מהני בחרש גמור ולא רמיזה</w:t>
      </w:r>
      <w:r w:rsidRPr="006C740B">
        <w:rPr>
          <w:rFonts w:cs="Arial" w:hint="cs"/>
          <w:rtl/>
        </w:rPr>
        <w:t>.</w:t>
      </w:r>
      <w:r w:rsidRPr="006C740B">
        <w:rPr>
          <w:rFonts w:cs="Arial"/>
          <w:rtl/>
        </w:rPr>
        <w:t xml:space="preserve"> ובתר הכי אסיקנא דברייתא דתני (עב.) עד שישמעו קולו ולאפוקי מדרב כהנא ואפילו הכי שפיר שמעינן ממתניתין דאלם שכתב בכתב ידו כותבין ונותנין גט לאשתו ואין צריך בדיקה</w:t>
      </w:r>
      <w:r w:rsidRPr="006C740B">
        <w:rPr>
          <w:rFonts w:cs="Arial" w:hint="cs"/>
          <w:rtl/>
        </w:rPr>
        <w:t>,</w:t>
      </w:r>
      <w:r w:rsidRPr="006C740B">
        <w:rPr>
          <w:rFonts w:cs="Arial"/>
          <w:rtl/>
        </w:rPr>
        <w:t xml:space="preserve"> דהא לא פליג רבי זירא ארב יוסף אלא משום דמתניתין באלם ודרב כהנא בחרש</w:t>
      </w:r>
      <w:r w:rsidRPr="006C740B">
        <w:rPr>
          <w:rFonts w:cs="Arial" w:hint="cs"/>
          <w:rtl/>
        </w:rPr>
        <w:t>,</w:t>
      </w:r>
      <w:r w:rsidRPr="006C740B">
        <w:rPr>
          <w:rFonts w:cs="Arial"/>
          <w:rtl/>
        </w:rPr>
        <w:t xml:space="preserve"> הא אילו הוה מימרא דרב כהנא באלם היה מודה רבי זירא דשפיר פריך רב יוסף מאי קא משמע לן תנינא</w:t>
      </w:r>
      <w:r>
        <w:rPr>
          <w:rFonts w:cs="Arial" w:hint="cs"/>
          <w:rtl/>
        </w:rPr>
        <w:t>.</w:t>
      </w:r>
      <w:r w:rsidRPr="006C740B">
        <w:rPr>
          <w:rFonts w:cs="Arial"/>
          <w:rtl/>
        </w:rPr>
        <w:t xml:space="preserve"> ומאי דתנינא דשומע ואינו מדבר ומדבר ואינו שומע הרי הן כפיקחין לכל דבריהם</w:t>
      </w:r>
      <w:r w:rsidRPr="006C740B">
        <w:rPr>
          <w:rFonts w:cs="Arial" w:hint="cs"/>
          <w:rtl/>
        </w:rPr>
        <w:t>,</w:t>
      </w:r>
      <w:r w:rsidRPr="006C740B">
        <w:rPr>
          <w:rFonts w:cs="Arial"/>
          <w:rtl/>
        </w:rPr>
        <w:t xml:space="preserve"> היינו לומר שאינם כחרשים גמורים דלא מהני בהו </w:t>
      </w:r>
      <w:r w:rsidRPr="00A31799">
        <w:rPr>
          <w:rFonts w:cs="Arial"/>
          <w:rtl/>
        </w:rPr>
        <w:t>בדיקה</w:t>
      </w:r>
      <w:r w:rsidRPr="00A31799">
        <w:rPr>
          <w:rFonts w:cs="Arial" w:hint="cs"/>
          <w:rtl/>
        </w:rPr>
        <w:t>,</w:t>
      </w:r>
      <w:r w:rsidRPr="00A31799">
        <w:rPr>
          <w:rFonts w:cs="Arial"/>
          <w:rtl/>
        </w:rPr>
        <w:t xml:space="preserve"> מיהו אלם בדיקה בעי שלשה פעמים וכדתניא באותה ברייתא בסמוך (עא.) כשם שבודקין אותו לגיטין כך בו</w:t>
      </w:r>
      <w:r w:rsidRPr="006C740B">
        <w:rPr>
          <w:rFonts w:cs="Arial"/>
          <w:rtl/>
        </w:rPr>
        <w:t>דקין אותו למשאות ולמתנות</w:t>
      </w:r>
      <w:r w:rsidRPr="006C740B">
        <w:rPr>
          <w:rFonts w:cs="Arial" w:hint="cs"/>
          <w:rtl/>
        </w:rPr>
        <w:t>.</w:t>
      </w:r>
      <w:r w:rsidRPr="006C740B">
        <w:rPr>
          <w:rFonts w:cs="Arial"/>
          <w:rtl/>
        </w:rPr>
        <w:t xml:space="preserve"> אבל מדבר ואינו שומע פשיטא דלא בעי בדיקה כלל שהרי מתוך דיבורו ניכר אם הוא בן דעת. ואפשר דמשום דשייך למיתני במדבר ואינו שומע שהוא כפיקח לכל דבריו לגמרי תנא הרי הם כפיקחין לכל דבריהם אף על גב דאלם אינו כפיקח לכל דבריו לגמרי</w:t>
      </w:r>
      <w:r w:rsidRPr="006C740B">
        <w:rPr>
          <w:rFonts w:cs="Arial" w:hint="cs"/>
          <w:rtl/>
        </w:rPr>
        <w:t>.</w:t>
      </w:r>
      <w:r w:rsidRPr="006C740B">
        <w:rPr>
          <w:rFonts w:cs="Arial"/>
          <w:rtl/>
        </w:rPr>
        <w:t xml:space="preserve"> שמעינן מהכא דלמאי דאסיק רבי זירא שאני אלם דתנינא מדבר ואינו שומע וכו' אלם שהרכין בראשו בעי בדיקה שלשה פעמים כדתנן במתניתין (סז:) ואם כתב בכתב ידו כותבין ונותנין ואין צריך בדיקה ונראה שזו היא שיטת הרמב"ם זכרונו לברכה שכתב (פ"ב הט"ז) גבי הרכין בראשו בודקין אותו שלשה פעמים ואחר כך כתב כתב בכתב ידו הרי אלו כותבין ונותנין ואם איתא דלכתיבת ידו בעיא בדיקה שלשה פעמים ליערבינהו וליתנינהו. ומה שכתב גבי כתב בכתב ידו אם היתה דעתו מיושבת עליו</w:t>
      </w:r>
      <w:r>
        <w:rPr>
          <w:rFonts w:cs="Arial" w:hint="cs"/>
          <w:rtl/>
        </w:rPr>
        <w:t>,</w:t>
      </w:r>
      <w:r w:rsidRPr="006C740B">
        <w:rPr>
          <w:rFonts w:cs="Arial"/>
          <w:rtl/>
        </w:rPr>
        <w:t xml:space="preserve"> אינו להצריך בדיקה שלשה פעמים אלא לאפוקי שלא תהא דעתו מטורפת</w:t>
      </w:r>
      <w:r>
        <w:rPr>
          <w:rFonts w:cs="Arial" w:hint="cs"/>
          <w:rtl/>
        </w:rPr>
        <w:t>.</w:t>
      </w:r>
      <w:r w:rsidRPr="006C740B">
        <w:rPr>
          <w:rFonts w:cs="Arial"/>
          <w:rtl/>
        </w:rPr>
        <w:t xml:space="preserve"> וקצת נראה לדייק כן מדבריו</w:t>
      </w:r>
      <w:r>
        <w:rPr>
          <w:rFonts w:cs="Arial" w:hint="cs"/>
          <w:rtl/>
        </w:rPr>
        <w:t>,</w:t>
      </w:r>
      <w:r w:rsidRPr="006C740B">
        <w:rPr>
          <w:rFonts w:cs="Arial"/>
          <w:rtl/>
        </w:rPr>
        <w:t xml:space="preserve"> שהרי גבי הרכין בראשו דבעי בדיקה שלשה פעמים כתב והרי דעתו נכונה</w:t>
      </w:r>
      <w:r>
        <w:rPr>
          <w:rFonts w:cs="Arial" w:hint="cs"/>
          <w:rtl/>
        </w:rPr>
        <w:t>,</w:t>
      </w:r>
      <w:r w:rsidRPr="006C740B">
        <w:rPr>
          <w:rFonts w:cs="Arial"/>
          <w:rtl/>
        </w:rPr>
        <w:t xml:space="preserve"> וגבי כתב בכתב ידו כתב אם היתה דעתו מיושבת</w:t>
      </w:r>
      <w:r>
        <w:rPr>
          <w:rFonts w:cs="Arial" w:hint="cs"/>
          <w:rtl/>
        </w:rPr>
        <w:t>,</w:t>
      </w:r>
      <w:r w:rsidRPr="006C740B">
        <w:rPr>
          <w:rFonts w:cs="Arial"/>
          <w:rtl/>
        </w:rPr>
        <w:t xml:space="preserve"> ומשמע דנכונה ומיושבת תרי מילי נינהו</w:t>
      </w:r>
      <w:r>
        <w:rPr>
          <w:rFonts w:cs="Arial" w:hint="cs"/>
          <w:rtl/>
        </w:rPr>
        <w:t>,</w:t>
      </w:r>
      <w:r w:rsidRPr="006C740B">
        <w:rPr>
          <w:rFonts w:cs="Arial"/>
          <w:rtl/>
        </w:rPr>
        <w:t xml:space="preserve"> שהרי כתב אחר כך בסמוך (הי"ז) גבי חרש גמור אף על פי שדעתו נכונה ומיושבת. וכן נראה מדבריו פכ"ט מהלכות מכירה (ה"ג) שכתב אלם ששומע ואינו מדבר או מי שנשתתק מקחו מקח וכו' והוא שיבדק כדרך שבודקין לגיטין או יכתוב בכתב ידו</w:t>
      </w:r>
      <w:r>
        <w:rPr>
          <w:rFonts w:cs="Arial" w:hint="cs"/>
          <w:rtl/>
        </w:rPr>
        <w:t>.</w:t>
      </w:r>
      <w:r w:rsidRPr="006C740B">
        <w:rPr>
          <w:rFonts w:cs="Arial"/>
          <w:rtl/>
        </w:rPr>
        <w:t xml:space="preserve"> משמע בהדיא דלכתב בכתב ידו לא מצריך בדיקה</w:t>
      </w:r>
      <w:r>
        <w:rPr>
          <w:rFonts w:cs="Arial" w:hint="cs"/>
          <w:rtl/>
        </w:rPr>
        <w:t>.</w:t>
      </w:r>
    </w:p>
  </w:footnote>
  <w:footnote w:id="174">
    <w:p w14:paraId="3012A158" w14:textId="7B4F9D82" w:rsidR="00DB29B5" w:rsidRDefault="00DB29B5">
      <w:pPr>
        <w:pStyle w:val="a5"/>
        <w:rPr>
          <w:rtl/>
        </w:rPr>
      </w:pPr>
      <w:r>
        <w:rPr>
          <w:rStyle w:val="a7"/>
        </w:rPr>
        <w:footnoteRef/>
      </w:r>
      <w:r>
        <w:rPr>
          <w:rtl/>
        </w:rPr>
        <w:t xml:space="preserve"> </w:t>
      </w:r>
      <w:r>
        <w:rPr>
          <w:rFonts w:hint="cs"/>
          <w:rtl/>
        </w:rPr>
        <w:t xml:space="preserve">ולאחר שהוכיח הב"י שכך דעת הרמב"ם כתב </w:t>
      </w:r>
      <w:r w:rsidR="000A0F5A">
        <w:rPr>
          <w:rFonts w:hint="cs"/>
          <w:rtl/>
        </w:rPr>
        <w:t>וז</w:t>
      </w:r>
      <w:r w:rsidR="000A0F5A">
        <w:rPr>
          <w:rtl/>
        </w:rPr>
        <w:t>"</w:t>
      </w:r>
      <w:r w:rsidR="000A0F5A">
        <w:rPr>
          <w:rFonts w:hint="cs"/>
          <w:rtl/>
        </w:rPr>
        <w:t>ל:</w:t>
      </w:r>
      <w:r>
        <w:rPr>
          <w:rFonts w:hint="cs"/>
          <w:rtl/>
        </w:rPr>
        <w:t xml:space="preserve"> </w:t>
      </w:r>
      <w:r w:rsidRPr="00BA15E7">
        <w:rPr>
          <w:rFonts w:cs="Arial"/>
          <w:rtl/>
        </w:rPr>
        <w:t>ואם נפשך לומר דבכתב ידו נמי לא מכשיר הרמב"ם ז"ל אלא בבדיקה שלשה פעמים</w:t>
      </w:r>
      <w:r>
        <w:rPr>
          <w:rFonts w:cs="Arial" w:hint="cs"/>
          <w:rtl/>
        </w:rPr>
        <w:t>,</w:t>
      </w:r>
      <w:r w:rsidRPr="00BA15E7">
        <w:rPr>
          <w:rFonts w:cs="Arial"/>
          <w:rtl/>
        </w:rPr>
        <w:t xml:space="preserve"> וכדמשמע מדברי הר"ן (לג. ד"ה אמרו)</w:t>
      </w:r>
      <w:r>
        <w:rPr>
          <w:rFonts w:cs="Arial" w:hint="cs"/>
          <w:rtl/>
        </w:rPr>
        <w:t>,</w:t>
      </w:r>
      <w:r w:rsidRPr="00BA15E7">
        <w:rPr>
          <w:rFonts w:cs="Arial"/>
          <w:rtl/>
        </w:rPr>
        <w:t xml:space="preserve"> איכא למימר דמאי דפריך רב יוסף (עא.) מאי קמ</w:t>
      </w:r>
      <w:r>
        <w:rPr>
          <w:rFonts w:cs="Arial" w:hint="cs"/>
          <w:rtl/>
        </w:rPr>
        <w:t>"</w:t>
      </w:r>
      <w:r w:rsidRPr="00BA15E7">
        <w:rPr>
          <w:rFonts w:cs="Arial"/>
          <w:rtl/>
        </w:rPr>
        <w:t>ל תנינא משום דפשיטא ליה דרב כהנא לאו לאיפלוגי אמתניתין דבעי בדיקה שלשה פעמים אתא דסבירא ליה לרב יוסף דכתב ידו היינו הרכנת ראש ומשום הכי אקשי ליה מאי קמ</w:t>
      </w:r>
      <w:r>
        <w:rPr>
          <w:rFonts w:cs="Arial" w:hint="cs"/>
          <w:rtl/>
        </w:rPr>
        <w:t>"</w:t>
      </w:r>
      <w:r w:rsidRPr="00BA15E7">
        <w:rPr>
          <w:rFonts w:cs="Arial"/>
          <w:rtl/>
        </w:rPr>
        <w:t>ל תנינא</w:t>
      </w:r>
      <w:r>
        <w:rPr>
          <w:rFonts w:cs="Arial" w:hint="cs"/>
          <w:rtl/>
        </w:rPr>
        <w:t>,</w:t>
      </w:r>
      <w:r w:rsidRPr="00BA15E7">
        <w:rPr>
          <w:rFonts w:cs="Arial"/>
          <w:rtl/>
        </w:rPr>
        <w:t xml:space="preserve"> ורבי זירא אהדר ליה דמתניתין באלם ורב כהנא אשמעינן אף בחרש גמור ומתניתין דתני אלם משום דבעי לאשמועינן דין הרכין בראשו דלא שייכא בחרש גמור אי נמי אשמעינן דכתב ידו עדיפא מרמיזה דעל ידי כתב ידו בחרש גמור כותבין אבל לא על ידי רמיזתו ובתר הכי אסיקנא (עב.) דברייתא דתני עד שישמעו קולו לאפוקי מדרב כהנא ומכל מקום שפיר שמעינן שאלם שכתב בכתב ידו כותבין ונותנין דומיא דהרכנת ראש וכדסבר רב יוסף בהא ורבי זירא נמי משמע דהכי סבר ליה דהא לא אהדר ליה אלא משום דמתניתין באלם ודרב כהנא בחרש גמור הא אילו הוה מימרא דרב כהנא באלם הוה מודה דשפיר פריך מאי קא משמע לן תנינא</w:t>
      </w:r>
      <w:r>
        <w:rPr>
          <w:rFonts w:cs="Arial" w:hint="cs"/>
          <w:rtl/>
        </w:rPr>
        <w:t>.</w:t>
      </w:r>
    </w:p>
  </w:footnote>
  <w:footnote w:id="175">
    <w:p w14:paraId="7C27FB55" w14:textId="0189394E" w:rsidR="00834E53" w:rsidRDefault="00834E53" w:rsidP="00834E53">
      <w:pPr>
        <w:pStyle w:val="a5"/>
        <w:rPr>
          <w:rtl/>
        </w:rPr>
      </w:pPr>
      <w:r>
        <w:rPr>
          <w:rStyle w:val="a7"/>
        </w:rPr>
        <w:footnoteRef/>
      </w:r>
      <w:r>
        <w:rPr>
          <w:rtl/>
        </w:rPr>
        <w:t xml:space="preserve"> </w:t>
      </w:r>
      <w:r>
        <w:rPr>
          <w:rFonts w:hint="cs"/>
          <w:rtl/>
        </w:rPr>
        <w:t xml:space="preserve">כתב הב"י </w:t>
      </w:r>
      <w:r w:rsidR="000A0F5A">
        <w:rPr>
          <w:rFonts w:hint="cs"/>
          <w:rtl/>
        </w:rPr>
        <w:t>וז</w:t>
      </w:r>
      <w:r w:rsidR="000A0F5A">
        <w:rPr>
          <w:rtl/>
        </w:rPr>
        <w:t>"</w:t>
      </w:r>
      <w:r w:rsidR="000A0F5A">
        <w:rPr>
          <w:rFonts w:hint="cs"/>
          <w:rtl/>
        </w:rPr>
        <w:t>ל:</w:t>
      </w:r>
      <w:r>
        <w:rPr>
          <w:rFonts w:hint="cs"/>
          <w:rtl/>
        </w:rPr>
        <w:t xml:space="preserve"> </w:t>
      </w:r>
      <w:r w:rsidRPr="003E463B">
        <w:rPr>
          <w:rFonts w:cs="Arial"/>
          <w:rtl/>
        </w:rPr>
        <w:t>ולא כתב הרמב"ם דין המדבר ואינו שומע משום דמכלל דבריו נלמד שכיון שאינו חרש גמור דינו כדין האלם. ויותר נראה לומר ש</w:t>
      </w:r>
      <w:r>
        <w:rPr>
          <w:rFonts w:hint="cs"/>
          <w:rtl/>
        </w:rPr>
        <w:t>-...</w:t>
      </w:r>
    </w:p>
  </w:footnote>
  <w:footnote w:id="176">
    <w:p w14:paraId="24E1EA0F" w14:textId="0BDEBF4F" w:rsidR="00834E53" w:rsidRPr="006D2D74" w:rsidRDefault="00834E53" w:rsidP="00834E53">
      <w:pPr>
        <w:pStyle w:val="a5"/>
        <w:rPr>
          <w:color w:val="000000" w:themeColor="text1"/>
        </w:rPr>
      </w:pPr>
      <w:r>
        <w:rPr>
          <w:rStyle w:val="a7"/>
        </w:rPr>
        <w:footnoteRef/>
      </w:r>
      <w:r>
        <w:rPr>
          <w:rtl/>
        </w:rPr>
        <w:t xml:space="preserve"> </w:t>
      </w:r>
      <w:r w:rsidRPr="003E463B">
        <w:rPr>
          <w:rFonts w:cs="Arial"/>
          <w:rtl/>
        </w:rPr>
        <w:t>ומשום הכי לא הזכירו הרמב"ם</w:t>
      </w:r>
      <w:r w:rsidR="00795FC1">
        <w:rPr>
          <w:rFonts w:cs="Arial" w:hint="cs"/>
          <w:rtl/>
        </w:rPr>
        <w:t xml:space="preserve">, </w:t>
      </w:r>
      <w:r w:rsidR="00795FC1" w:rsidRPr="006D2D74">
        <w:rPr>
          <w:rFonts w:cs="Arial" w:hint="cs"/>
          <w:b/>
          <w:bCs/>
          <w:rtl/>
        </w:rPr>
        <w:t>ב"י</w:t>
      </w:r>
      <w:r>
        <w:rPr>
          <w:rFonts w:cs="Arial" w:hint="cs"/>
          <w:rtl/>
        </w:rPr>
        <w:t>.</w:t>
      </w:r>
      <w:r w:rsidR="009B36EB">
        <w:rPr>
          <w:rFonts w:hint="cs"/>
          <w:rtl/>
        </w:rPr>
        <w:t xml:space="preserve"> ועיין ברמב"ם פכ"ט ממכירה (ה"ב) דכתב דחרש המדבר שווה לחרש גמור. ותמה עליו שם הה"מ. ותירץ שם הכס"מ (בתירוץ האחרון) דהא שכתב כאן הרמב"ם גבי חרש המדבר היינו ששומע קצת ואעפ"כ מיקרי חרש </w:t>
      </w:r>
      <w:r w:rsidR="009B36EB" w:rsidRPr="006D2D74">
        <w:rPr>
          <w:rFonts w:hint="cs"/>
          <w:color w:val="000000" w:themeColor="text1"/>
          <w:rtl/>
        </w:rPr>
        <w:t xml:space="preserve">כיון שאינו שומע כדרך כל האדם. </w:t>
      </w:r>
      <w:r w:rsidR="009E2BE2" w:rsidRPr="006D2D74">
        <w:rPr>
          <w:rFonts w:hint="cs"/>
          <w:color w:val="000000" w:themeColor="text1"/>
          <w:rtl/>
        </w:rPr>
        <w:t>ועיי"ש שנראה שלא נחה דעת הכס"מ בתירוץ זה, ואולי לכן לא הזכיר תנאי זה כאן.</w:t>
      </w:r>
    </w:p>
  </w:footnote>
  <w:footnote w:id="177">
    <w:p w14:paraId="34736935" w14:textId="1A846CA5" w:rsidR="00795FC1" w:rsidRDefault="00795FC1">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sidRPr="003E463B">
        <w:rPr>
          <w:rFonts w:cs="Arial"/>
          <w:rtl/>
        </w:rPr>
        <w:t xml:space="preserve"> אבל מדבר ואינו שומע שומע ואינו מדבר הרי הן כפיקחין לכל דבריהם ובבדיקה סגי והכי איתמר בפרק מי שאחזו (עא.)</w:t>
      </w:r>
      <w:r>
        <w:rPr>
          <w:rFonts w:cs="Arial" w:hint="cs"/>
          <w:rtl/>
        </w:rPr>
        <w:t>.</w:t>
      </w:r>
    </w:p>
  </w:footnote>
  <w:footnote w:id="178">
    <w:p w14:paraId="09DD16CC" w14:textId="33CCBF1D" w:rsidR="00834E53" w:rsidRDefault="00834E53" w:rsidP="00834E53">
      <w:pPr>
        <w:pStyle w:val="a5"/>
        <w:rPr>
          <w:rtl/>
        </w:rPr>
      </w:pPr>
      <w:r>
        <w:rPr>
          <w:rStyle w:val="a7"/>
        </w:rPr>
        <w:footnoteRef/>
      </w:r>
      <w:r>
        <w:rPr>
          <w:rtl/>
        </w:rPr>
        <w:t xml:space="preserve"> </w:t>
      </w:r>
      <w:r>
        <w:rPr>
          <w:rFonts w:cs="Arial" w:hint="cs"/>
          <w:rtl/>
        </w:rPr>
        <w:t xml:space="preserve">והוסיף הב"י </w:t>
      </w:r>
      <w:r w:rsidR="000A0F5A">
        <w:rPr>
          <w:rFonts w:cs="Arial" w:hint="cs"/>
          <w:rtl/>
        </w:rPr>
        <w:t>וז</w:t>
      </w:r>
      <w:r w:rsidR="000A0F5A">
        <w:rPr>
          <w:rFonts w:cs="Arial"/>
          <w:rtl/>
        </w:rPr>
        <w:t>"</w:t>
      </w:r>
      <w:r w:rsidR="000A0F5A">
        <w:rPr>
          <w:rFonts w:cs="Arial" w:hint="cs"/>
          <w:rtl/>
        </w:rPr>
        <w:t>ל:</w:t>
      </w:r>
      <w:r>
        <w:rPr>
          <w:rFonts w:cs="Arial" w:hint="cs"/>
          <w:rtl/>
        </w:rPr>
        <w:t xml:space="preserve"> אבל מדברי הר"ן </w:t>
      </w:r>
      <w:r w:rsidRPr="003E463B">
        <w:rPr>
          <w:rFonts w:cs="Arial"/>
          <w:rtl/>
        </w:rPr>
        <w:t xml:space="preserve">נראה שסובר כדעת הראשון </w:t>
      </w:r>
      <w:r>
        <w:rPr>
          <w:rFonts w:cs="Arial" w:hint="cs"/>
          <w:sz w:val="16"/>
          <w:szCs w:val="16"/>
          <w:rtl/>
        </w:rPr>
        <w:t>{שכתב הב"י בהסבר הרמב"ם}</w:t>
      </w:r>
      <w:r>
        <w:rPr>
          <w:rFonts w:cs="Arial" w:hint="cs"/>
          <w:rtl/>
        </w:rPr>
        <w:t xml:space="preserve"> </w:t>
      </w:r>
      <w:r w:rsidRPr="003E463B">
        <w:rPr>
          <w:rFonts w:cs="Arial"/>
          <w:rtl/>
        </w:rPr>
        <w:t>ד</w:t>
      </w:r>
      <w:r>
        <w:rPr>
          <w:rFonts w:hint="cs"/>
          <w:rtl/>
        </w:rPr>
        <w:t>-...</w:t>
      </w:r>
    </w:p>
  </w:footnote>
  <w:footnote w:id="179">
    <w:p w14:paraId="000EB133" w14:textId="4F49E690" w:rsidR="00556A26" w:rsidRDefault="00556A26" w:rsidP="00556A26">
      <w:pPr>
        <w:pStyle w:val="a5"/>
        <w:rPr>
          <w:rtl/>
        </w:rPr>
      </w:pPr>
      <w:r>
        <w:rPr>
          <w:rStyle w:val="a7"/>
        </w:rPr>
        <w:footnoteRef/>
      </w:r>
      <w:r>
        <w:rPr>
          <w:rtl/>
        </w:rPr>
        <w:t xml:space="preserve"> </w:t>
      </w:r>
      <w:r>
        <w:rPr>
          <w:rFonts w:hint="cs"/>
          <w:rtl/>
        </w:rPr>
        <w:t xml:space="preserve">כתב הב"י </w:t>
      </w:r>
      <w:r w:rsidR="000A0F5A">
        <w:rPr>
          <w:rFonts w:hint="cs"/>
          <w:rtl/>
        </w:rPr>
        <w:t>וז</w:t>
      </w:r>
      <w:r w:rsidR="000A0F5A">
        <w:rPr>
          <w:rtl/>
        </w:rPr>
        <w:t>"</w:t>
      </w:r>
      <w:r w:rsidR="000A0F5A">
        <w:rPr>
          <w:rFonts w:hint="cs"/>
          <w:rtl/>
        </w:rPr>
        <w:t>ל:</w:t>
      </w:r>
      <w:r>
        <w:rPr>
          <w:rFonts w:hint="cs"/>
          <w:rtl/>
        </w:rPr>
        <w:t xml:space="preserve"> </w:t>
      </w:r>
      <w:r w:rsidRPr="006C740B">
        <w:rPr>
          <w:rFonts w:cs="Arial"/>
          <w:rtl/>
        </w:rPr>
        <w:t>ולכאורה נראה דלדעת הרמב"ם דמכשיר לכתוב גט על ידי כתב ידו דמי שנשתתק</w:t>
      </w:r>
      <w:r>
        <w:rPr>
          <w:rFonts w:cs="Arial" w:hint="cs"/>
          <w:rtl/>
        </w:rPr>
        <w:t>,</w:t>
      </w:r>
      <w:r w:rsidRPr="006C740B">
        <w:rPr>
          <w:rFonts w:cs="Arial"/>
          <w:rtl/>
        </w:rPr>
        <w:t xml:space="preserve"> כל שכן על ידי כתב ידו של פיקח</w:t>
      </w:r>
      <w:r>
        <w:rPr>
          <w:rFonts w:cs="Arial" w:hint="cs"/>
          <w:rtl/>
        </w:rPr>
        <w:t>.</w:t>
      </w:r>
      <w:r w:rsidRPr="006C740B">
        <w:rPr>
          <w:rFonts w:cs="Arial"/>
          <w:rtl/>
        </w:rPr>
        <w:t xml:space="preserve"> </w:t>
      </w:r>
      <w:r w:rsidRPr="00AD1C34">
        <w:rPr>
          <w:rFonts w:cs="Arial"/>
          <w:rtl/>
        </w:rPr>
        <w:t xml:space="preserve">אבל מצאתי לרבינו ירוחם שכתב </w:t>
      </w:r>
      <w:r w:rsidRPr="00AD1C34">
        <w:rPr>
          <w:rFonts w:cs="Arial" w:hint="cs"/>
          <w:rtl/>
        </w:rPr>
        <w:t>(</w:t>
      </w:r>
      <w:r w:rsidRPr="00AD1C34">
        <w:rPr>
          <w:rFonts w:cs="Arial"/>
          <w:rtl/>
        </w:rPr>
        <w:t>ח</w:t>
      </w:r>
      <w:r w:rsidRPr="00AD1C34">
        <w:rPr>
          <w:rFonts w:cs="Arial" w:hint="cs"/>
          <w:rtl/>
        </w:rPr>
        <w:t>"</w:t>
      </w:r>
      <w:r w:rsidRPr="00AD1C34">
        <w:rPr>
          <w:rFonts w:cs="Arial"/>
          <w:rtl/>
        </w:rPr>
        <w:t>ג נכ"ד רט ע"א) וזה לשונו כתב רבינו תם כי כתוב בתוספתא (פ"ב דגיטין ה"י) כי פיקח אף על פי שכתב בכתב ידו וכו' ויש מפרשים כי די בכתיבה ודקדקו מאותה שכתבתי למעלה מסוגיית הגמרא ו</w:t>
      </w:r>
      <w:r>
        <w:rPr>
          <w:rFonts w:cs="Arial" w:hint="cs"/>
          <w:rtl/>
        </w:rPr>
        <w:t>-...</w:t>
      </w:r>
      <w:r w:rsidRPr="00AD1C34">
        <w:rPr>
          <w:rFonts w:cs="Arial"/>
          <w:rtl/>
        </w:rPr>
        <w:t xml:space="preserve"> </w:t>
      </w:r>
    </w:p>
  </w:footnote>
  <w:footnote w:id="180">
    <w:p w14:paraId="2E249BBA" w14:textId="27845139" w:rsidR="00556A26" w:rsidRDefault="00556A26">
      <w:pPr>
        <w:pStyle w:val="a5"/>
        <w:rPr>
          <w:rtl/>
        </w:rPr>
      </w:pPr>
      <w:r>
        <w:rPr>
          <w:rStyle w:val="a7"/>
        </w:rPr>
        <w:footnoteRef/>
      </w:r>
      <w:r>
        <w:rPr>
          <w:rtl/>
        </w:rPr>
        <w:t xml:space="preserve"> </w:t>
      </w:r>
      <w:r w:rsidRPr="00AD1C34">
        <w:rPr>
          <w:rFonts w:cs="Arial"/>
          <w:rtl/>
        </w:rPr>
        <w:t>וכן נראה עיקר</w:t>
      </w:r>
      <w:r>
        <w:rPr>
          <w:rFonts w:cs="Arial" w:hint="cs"/>
          <w:rtl/>
        </w:rPr>
        <w:t>.</w:t>
      </w:r>
      <w:r w:rsidRPr="00AD1C34">
        <w:rPr>
          <w:rFonts w:cs="Arial"/>
          <w:rtl/>
        </w:rPr>
        <w:t xml:space="preserve"> עד כאן לשונו</w:t>
      </w:r>
      <w:r>
        <w:rPr>
          <w:rFonts w:cs="Arial" w:hint="cs"/>
          <w:sz w:val="16"/>
          <w:szCs w:val="16"/>
          <w:rtl/>
        </w:rPr>
        <w:t xml:space="preserve"> [של רי"ו]</w:t>
      </w:r>
      <w:r w:rsidRPr="00AD1C34">
        <w:rPr>
          <w:rFonts w:cs="Arial"/>
          <w:rtl/>
        </w:rPr>
        <w:t>. ומשמע שטעמו משום דלא שרו לכתוב על ידי כתב ידו אלא בנשתתק דאי אפשר בענין אחר אבל בפיקח שיכול לדבר לא הכשירו לכתוב על ידי כתב ידו והוא הדין דעל ידי הרכנת ראשו נמי אין כותבין וכל דכן הוא דבעינן שישמעו קולו דוקא כיון דאפשר. ומכל מקום לא נראה לי שיהיה זה דעת הרמב"ם</w:t>
      </w:r>
      <w:r w:rsidRPr="00AD1C34">
        <w:rPr>
          <w:rFonts w:cs="Arial" w:hint="cs"/>
          <w:rtl/>
        </w:rPr>
        <w:t>,</w:t>
      </w:r>
      <w:r w:rsidRPr="00AD1C34">
        <w:rPr>
          <w:rFonts w:cs="Arial"/>
          <w:rtl/>
        </w:rPr>
        <w:t xml:space="preserve"> דאם כן הוה ליה לפרושי אלא ודאי לדעתו דמכשיר לכתוב על ידי כתב ידו דנשתתק כל שכן שכותבין על ידי כתב ידו דפיקח או על ידי הרכנת ראשו</w:t>
      </w:r>
      <w:r w:rsidRPr="00AD1C34">
        <w:rPr>
          <w:rFonts w:cs="Arial" w:hint="cs"/>
          <w:rtl/>
        </w:rPr>
        <w:t>,</w:t>
      </w:r>
      <w:r w:rsidRPr="00AD1C34">
        <w:rPr>
          <w:rFonts w:cs="Arial"/>
          <w:rtl/>
        </w:rPr>
        <w:t xml:space="preserve"> דכל שמגלה לנו כוונתו ישמעו קולו מיקרי</w:t>
      </w:r>
      <w:r w:rsidRPr="00AD1C34">
        <w:rPr>
          <w:rFonts w:cs="Arial" w:hint="cs"/>
          <w:rtl/>
        </w:rPr>
        <w:t>.</w:t>
      </w:r>
      <w:r w:rsidRPr="00AD1C34">
        <w:rPr>
          <w:rFonts w:cs="Arial"/>
          <w:rtl/>
        </w:rPr>
        <w:t xml:space="preserve"> ומאי דאמרינן (עב.) קולו לאפוקי מדרב כהנא</w:t>
      </w:r>
      <w:r w:rsidRPr="00AD1C34">
        <w:rPr>
          <w:rFonts w:cs="Arial" w:hint="cs"/>
          <w:rtl/>
        </w:rPr>
        <w:t>,</w:t>
      </w:r>
      <w:r w:rsidRPr="00AD1C34">
        <w:rPr>
          <w:rFonts w:cs="Arial"/>
          <w:rtl/>
        </w:rPr>
        <w:t xml:space="preserve"> היינו משום דכל שהוא חרש גמור אע</w:t>
      </w:r>
      <w:r>
        <w:rPr>
          <w:rFonts w:cs="Arial" w:hint="cs"/>
          <w:rtl/>
        </w:rPr>
        <w:t>"</w:t>
      </w:r>
      <w:r w:rsidRPr="00AD1C34">
        <w:rPr>
          <w:rFonts w:cs="Arial"/>
          <w:rtl/>
        </w:rPr>
        <w:t>פ שעשה מעשה פיקח הרי הוא כשוטה לכל דבריו</w:t>
      </w:r>
      <w:r w:rsidRPr="00AD1C34">
        <w:rPr>
          <w:rFonts w:cs="Arial" w:hint="cs"/>
          <w:rtl/>
        </w:rPr>
        <w:t>,</w:t>
      </w:r>
      <w:r w:rsidRPr="00AD1C34">
        <w:rPr>
          <w:rFonts w:cs="Arial"/>
          <w:rtl/>
        </w:rPr>
        <w:t xml:space="preserve"> ואין בכתב ידו ולא בהרכנתו קול של דעת אלא קול כסיל</w:t>
      </w:r>
      <w:r w:rsidRPr="00AD1C34">
        <w:rPr>
          <w:rFonts w:cs="Arial" w:hint="cs"/>
          <w:rtl/>
        </w:rPr>
        <w:t>.</w:t>
      </w:r>
      <w:r w:rsidRPr="00AD1C34">
        <w:rPr>
          <w:rFonts w:cs="Arial"/>
          <w:rtl/>
        </w:rPr>
        <w:t xml:space="preserve"> אבל כל שהוא בן דעת כתב ידו או הרכנתו היינו קולו</w:t>
      </w:r>
      <w:r w:rsidRPr="00AD1C34">
        <w:rPr>
          <w:rFonts w:cs="Arial" w:hint="cs"/>
          <w:rtl/>
        </w:rPr>
        <w:t>.</w:t>
      </w:r>
      <w:r w:rsidRPr="00AD1C34">
        <w:rPr>
          <w:rFonts w:cs="Arial"/>
          <w:rtl/>
        </w:rPr>
        <w:t xml:space="preserve"> כל זה שכתבתי הוא על דעת הרמב"ם והעיטור</w:t>
      </w:r>
      <w:r w:rsidRPr="00AD1C34">
        <w:rPr>
          <w:rFonts w:cs="Arial" w:hint="cs"/>
          <w:rtl/>
        </w:rPr>
        <w:t>.</w:t>
      </w:r>
    </w:p>
  </w:footnote>
  <w:footnote w:id="181">
    <w:p w14:paraId="171543FA" w14:textId="7B0469A0" w:rsidR="00D80A4D" w:rsidRDefault="00D80A4D" w:rsidP="00D80A4D">
      <w:pPr>
        <w:pStyle w:val="a5"/>
        <w:rPr>
          <w:rtl/>
        </w:rPr>
      </w:pPr>
      <w:r>
        <w:rPr>
          <w:rStyle w:val="a7"/>
        </w:rPr>
        <w:footnoteRef/>
      </w:r>
      <w:r>
        <w:rPr>
          <w:rtl/>
        </w:rPr>
        <w:t xml:space="preserve"> </w:t>
      </w:r>
      <w:r>
        <w:rPr>
          <w:rFonts w:cs="Arial" w:hint="cs"/>
          <w:rtl/>
        </w:rPr>
        <w:t xml:space="preserve">וכ"כ </w:t>
      </w:r>
      <w:r w:rsidRPr="00E62DED">
        <w:rPr>
          <w:rFonts w:cs="Arial"/>
          <w:rtl/>
        </w:rPr>
        <w:t>ריא</w:t>
      </w:r>
      <w:r w:rsidRPr="00E62DED">
        <w:rPr>
          <w:rFonts w:cs="Arial" w:hint="cs"/>
          <w:rtl/>
        </w:rPr>
        <w:t>"ז</w:t>
      </w:r>
      <w:r w:rsidRPr="00E62DED">
        <w:rPr>
          <w:rFonts w:cs="Arial"/>
          <w:rtl/>
        </w:rPr>
        <w:t xml:space="preserve"> </w:t>
      </w:r>
      <w:r w:rsidRPr="00E62DED">
        <w:rPr>
          <w:rFonts w:cs="Arial"/>
          <w:sz w:val="16"/>
          <w:szCs w:val="16"/>
          <w:rtl/>
        </w:rPr>
        <w:t>(פסקי ריא"ז גיטין פ"ז הל' א סי' ו)</w:t>
      </w:r>
      <w:r>
        <w:rPr>
          <w:rFonts w:hint="cs"/>
          <w:rtl/>
        </w:rPr>
        <w:t xml:space="preserve"> </w:t>
      </w:r>
      <w:r w:rsidR="000A0F5A">
        <w:rPr>
          <w:rFonts w:hint="cs"/>
          <w:rtl/>
        </w:rPr>
        <w:t>וז</w:t>
      </w:r>
      <w:r w:rsidR="000A0F5A">
        <w:rPr>
          <w:rtl/>
        </w:rPr>
        <w:t>"</w:t>
      </w:r>
      <w:r w:rsidR="000A0F5A">
        <w:rPr>
          <w:rFonts w:hint="cs"/>
          <w:rtl/>
        </w:rPr>
        <w:t>ל:</w:t>
      </w:r>
      <w:r>
        <w:rPr>
          <w:rFonts w:hint="cs"/>
          <w:rtl/>
        </w:rPr>
        <w:t xml:space="preserve"> </w:t>
      </w:r>
      <w:r w:rsidRPr="00E62DED">
        <w:rPr>
          <w:rFonts w:cs="Arial"/>
          <w:rtl/>
        </w:rPr>
        <w:t>חרש המדבר ואינו שומע, וכן האלם ששומע ואינו מדבר הרי הן כפקחין לכל דבריהן, ואם קדש האלם אשה ברמיזה או שגירש ברמיזה קידושיו קידושין גמורין וגירושיו גירושין גמורין מן התורה. וכן</w:t>
      </w:r>
      <w:r>
        <w:rPr>
          <w:rFonts w:hint="cs"/>
          <w:rtl/>
        </w:rPr>
        <w:t xml:space="preserve"> </w:t>
      </w:r>
      <w:r w:rsidRPr="00E62DED">
        <w:rPr>
          <w:rFonts w:cs="Arial"/>
          <w:rtl/>
        </w:rPr>
        <w:t>אם כתב בכתב ידו לעדים כתבו ותנו גט לאשתי כותבין ונותנין על פי כתבו, ואם שלח להם בכתבו על ידי אחרים הרי זה ספק כמו שביא' למעלה כמבואר בקונטרס הראייות בראיי' ג'</w:t>
      </w:r>
      <w:r>
        <w:rPr>
          <w:rFonts w:cs="Arial" w:hint="cs"/>
          <w:rtl/>
        </w:rPr>
        <w:t xml:space="preserve">. עכ"ל. וכתב הב"י- </w:t>
      </w:r>
      <w:r w:rsidRPr="00BA15E7">
        <w:rPr>
          <w:rFonts w:cs="Arial"/>
          <w:rtl/>
        </w:rPr>
        <w:t>ונראה לי שהרי"א סובר כהרמב"ם (פ"ב הט"ז) דעל פי כתב ידו כותבין וסובר גם כן כהרמב"ם (ה"ו) באומר אמרו שהוא קרוב להיות הגט בטל דהיינו כמו ספק מגורשת ולפיכך הכשיר בכותב לעדים ופסל בשולח להם בכתבו על ידי אחרים כלומר שכותב לאותם אחרים אמרו לסופר ויכתוב ולעדים ויחתומו. וצריך לומר דסבירא ליה נמי דחתם סופר ועד כשר ולפיכך הכשיר בכותב לעדים כתבו וחתמו דאם לא כן הוה ליה למימר ויכתוב בו לסופר כתוב ולעדים חתומו ואפשר דלאו דוקא נקט כתבו וחתמו דהשתא לא נחית לפלוגי בהכי</w:t>
      </w:r>
      <w:r>
        <w:rPr>
          <w:rFonts w:hint="cs"/>
          <w:rtl/>
        </w:rPr>
        <w:t>.</w:t>
      </w:r>
    </w:p>
  </w:footnote>
  <w:footnote w:id="182">
    <w:p w14:paraId="1142396D" w14:textId="26A8617D" w:rsidR="00DB7A58" w:rsidRPr="00DB7A58" w:rsidRDefault="00DB7A58" w:rsidP="00633296">
      <w:pPr>
        <w:pStyle w:val="a5"/>
        <w:rPr>
          <w:rFonts w:cs="Arial"/>
        </w:rPr>
      </w:pPr>
      <w:r>
        <w:rPr>
          <w:rStyle w:val="a7"/>
        </w:rPr>
        <w:footnoteRef/>
      </w:r>
      <w:r>
        <w:rPr>
          <w:rtl/>
        </w:rPr>
        <w:t xml:space="preserve"> </w:t>
      </w:r>
      <w:r w:rsidRPr="00E84BD6">
        <w:rPr>
          <w:rFonts w:cs="Arial"/>
          <w:rtl/>
        </w:rPr>
        <w:t>בעל התרומה (סי' קכו לב ע"ב) סמ"ג (עשין נ קל ע"ד)</w:t>
      </w:r>
      <w:r>
        <w:rPr>
          <w:rFonts w:cs="Arial" w:hint="cs"/>
          <w:rtl/>
        </w:rPr>
        <w:t xml:space="preserve"> </w:t>
      </w:r>
      <w:r w:rsidRPr="00E84BD6">
        <w:rPr>
          <w:rFonts w:cs="Arial"/>
          <w:rtl/>
        </w:rPr>
        <w:t>רשב"א (גיטין עב. ד"ה קולו)</w:t>
      </w:r>
      <w:r w:rsidRPr="00DB7A58">
        <w:rPr>
          <w:rFonts w:cs="Arial"/>
          <w:rtl/>
        </w:rPr>
        <w:t xml:space="preserve"> </w:t>
      </w:r>
      <w:r w:rsidRPr="00E84BD6">
        <w:rPr>
          <w:rFonts w:cs="Arial"/>
          <w:rtl/>
        </w:rPr>
        <w:t xml:space="preserve">מרדכי (סי' תיז) </w:t>
      </w:r>
      <w:r w:rsidR="00520688" w:rsidRPr="00E84BD6">
        <w:rPr>
          <w:rFonts w:cs="Arial"/>
          <w:rtl/>
        </w:rPr>
        <w:t>רא"ש (פ"ז סי' יט) הגה</w:t>
      </w:r>
      <w:r w:rsidR="00520688" w:rsidRPr="00E84BD6">
        <w:rPr>
          <w:rFonts w:cs="Arial" w:hint="cs"/>
          <w:rtl/>
        </w:rPr>
        <w:t>"מ</w:t>
      </w:r>
      <w:r w:rsidR="00520688" w:rsidRPr="00E84BD6">
        <w:rPr>
          <w:rFonts w:cs="Arial"/>
          <w:rtl/>
        </w:rPr>
        <w:t xml:space="preserve"> </w:t>
      </w:r>
      <w:r w:rsidR="00520688">
        <w:rPr>
          <w:rFonts w:cs="Arial" w:hint="cs"/>
          <w:rtl/>
        </w:rPr>
        <w:t>(</w:t>
      </w:r>
      <w:r w:rsidR="00520688" w:rsidRPr="00E84BD6">
        <w:rPr>
          <w:rFonts w:cs="Arial"/>
          <w:rtl/>
        </w:rPr>
        <w:t>פ</w:t>
      </w:r>
      <w:r w:rsidR="00520688" w:rsidRPr="00E84BD6">
        <w:rPr>
          <w:rFonts w:cs="Arial" w:hint="cs"/>
          <w:rtl/>
        </w:rPr>
        <w:t>"</w:t>
      </w:r>
      <w:r w:rsidR="00520688" w:rsidRPr="00E84BD6">
        <w:rPr>
          <w:rFonts w:cs="Arial"/>
          <w:rtl/>
        </w:rPr>
        <w:t>ב מגירושין אות ר)</w:t>
      </w:r>
      <w:r w:rsidRPr="00E84BD6">
        <w:rPr>
          <w:rFonts w:cs="Arial"/>
          <w:rtl/>
        </w:rPr>
        <w:t xml:space="preserve"> סמ"ק (סי' קפד ע' קמו)</w:t>
      </w:r>
      <w:r w:rsidR="00C75675">
        <w:rPr>
          <w:rFonts w:cs="Arial" w:hint="cs"/>
          <w:rtl/>
        </w:rPr>
        <w:t xml:space="preserve"> טור ור"ן (לג:</w:t>
      </w:r>
      <w:r w:rsidR="00813553">
        <w:rPr>
          <w:rFonts w:cs="Arial" w:hint="cs"/>
          <w:rtl/>
        </w:rPr>
        <w:t xml:space="preserve"> סד"ה אמרו)</w:t>
      </w:r>
      <w:r>
        <w:rPr>
          <w:rFonts w:cs="Arial" w:hint="cs"/>
          <w:rtl/>
        </w:rPr>
        <w:t>.</w:t>
      </w:r>
    </w:p>
  </w:footnote>
  <w:footnote w:id="183">
    <w:p w14:paraId="535EA90E" w14:textId="5CC30A12" w:rsidR="00E12C87" w:rsidRDefault="00E12C87">
      <w:pPr>
        <w:pStyle w:val="a5"/>
        <w:rPr>
          <w:rtl/>
        </w:rPr>
      </w:pPr>
      <w:r>
        <w:rPr>
          <w:rStyle w:val="a7"/>
        </w:rPr>
        <w:footnoteRef/>
      </w:r>
      <w:r>
        <w:rPr>
          <w:rtl/>
        </w:rPr>
        <w:t xml:space="preserve"> </w:t>
      </w:r>
      <w:r>
        <w:rPr>
          <w:rFonts w:cs="Arial" w:hint="cs"/>
          <w:rtl/>
        </w:rPr>
        <w:t>כתב הב"י ש</w:t>
      </w:r>
      <w:r w:rsidRPr="00E84BD6">
        <w:rPr>
          <w:rFonts w:cs="Arial"/>
          <w:rtl/>
        </w:rPr>
        <w:t xml:space="preserve">דעת הפוסקים </w:t>
      </w:r>
      <w:r>
        <w:rPr>
          <w:rFonts w:cs="Arial" w:hint="cs"/>
          <w:rtl/>
        </w:rPr>
        <w:t>האלו</w:t>
      </w:r>
      <w:r w:rsidRPr="00E84BD6">
        <w:rPr>
          <w:rFonts w:cs="Arial"/>
          <w:rtl/>
        </w:rPr>
        <w:t xml:space="preserve"> לומר</w:t>
      </w:r>
      <w:r w:rsidRPr="00E84BD6">
        <w:rPr>
          <w:rFonts w:cs="Arial" w:hint="cs"/>
          <w:rtl/>
        </w:rPr>
        <w:t>,</w:t>
      </w:r>
      <w:r w:rsidRPr="00E84BD6">
        <w:rPr>
          <w:rFonts w:cs="Arial"/>
          <w:rtl/>
        </w:rPr>
        <w:t xml:space="preserve"> דאע</w:t>
      </w:r>
      <w:r w:rsidRPr="00E84BD6">
        <w:rPr>
          <w:rFonts w:cs="Arial" w:hint="cs"/>
          <w:rtl/>
        </w:rPr>
        <w:t>"</w:t>
      </w:r>
      <w:r w:rsidRPr="00E84BD6">
        <w:rPr>
          <w:rFonts w:cs="Arial"/>
          <w:rtl/>
        </w:rPr>
        <w:t>ג דמשמעתין לא משמע דממעטינן לכתוב על ידי כתב ידו אלא חרש דכיון דלאו בר דעת הוא אין סומכין על כתיבת ידו להחשיבו בן דעת אבל פיקח שכתב בכתב ידו כותבין ונותנין גט לאשתו דקולו לאו דוקא דהא איכא הרכנת הראש</w:t>
      </w:r>
      <w:r w:rsidRPr="00E84BD6">
        <w:rPr>
          <w:rFonts w:cs="Arial" w:hint="cs"/>
          <w:rtl/>
        </w:rPr>
        <w:t>,</w:t>
      </w:r>
      <w:r w:rsidRPr="00E84BD6">
        <w:rPr>
          <w:rFonts w:cs="Arial"/>
          <w:rtl/>
        </w:rPr>
        <w:t xml:space="preserve"> מכל מקום בתוספתא פרק ב' (ה"י) גרסינן כתב סופר לשמה וחתמו העדים לשמה אף על פי שכתבוהו וחתמוהו ונתנוהו לו ונתנו לה הרי גט פסול עד שיאמר לסופר כתוב ולעדים חתומו ואע</w:t>
      </w:r>
      <w:r w:rsidR="00803CC1">
        <w:rPr>
          <w:rFonts w:cs="Arial" w:hint="cs"/>
          <w:rtl/>
        </w:rPr>
        <w:t>"</w:t>
      </w:r>
      <w:r w:rsidRPr="00E84BD6">
        <w:rPr>
          <w:rFonts w:cs="Arial"/>
          <w:rtl/>
        </w:rPr>
        <w:t>פ שכתבוהו וחתמוהו ונתנוהו לו וחזר ונתנו לה הרי גט פסול עד שישמעו את קולו ממש. והתם לא משתעי בחרש</w:t>
      </w:r>
      <w:r>
        <w:rPr>
          <w:rFonts w:cs="Arial" w:hint="cs"/>
          <w:rtl/>
        </w:rPr>
        <w:t>,</w:t>
      </w:r>
      <w:r w:rsidRPr="00E84BD6">
        <w:rPr>
          <w:rFonts w:cs="Arial"/>
          <w:rtl/>
        </w:rPr>
        <w:t xml:space="preserve"> ועל פי תוספתא זו הסכימה דעתם לפסול גט הנכתב על ידי פיקח גמור</w:t>
      </w:r>
      <w:r>
        <w:rPr>
          <w:rFonts w:cs="Arial" w:hint="cs"/>
          <w:rtl/>
        </w:rPr>
        <w:t>,</w:t>
      </w:r>
      <w:r w:rsidRPr="00E84BD6">
        <w:rPr>
          <w:rFonts w:cs="Arial"/>
          <w:rtl/>
        </w:rPr>
        <w:t xml:space="preserve"> וכל שכן דמדבר ואינו שומע או שומע ואינו מדבר. וכתבו קצתם (הר"ן לג. ד"ה אמרו) דהכי נמי משמע בירושלמי פרק מי שאחזו (פ"ז ה"א). ולפי שיטה זו כי אמרינן לאפוקי מדרב כהנא</w:t>
      </w:r>
      <w:r w:rsidRPr="00E84BD6">
        <w:rPr>
          <w:rFonts w:cs="Arial" w:hint="cs"/>
          <w:rtl/>
        </w:rPr>
        <w:t>,</w:t>
      </w:r>
      <w:r w:rsidRPr="00E84BD6">
        <w:rPr>
          <w:rFonts w:cs="Arial"/>
          <w:rtl/>
        </w:rPr>
        <w:t xml:space="preserve"> לאו אחרש אמר דמפקא מיניה</w:t>
      </w:r>
      <w:r>
        <w:rPr>
          <w:rFonts w:cs="Arial" w:hint="cs"/>
          <w:rtl/>
        </w:rPr>
        <w:t>,</w:t>
      </w:r>
      <w:r w:rsidRPr="00E84BD6">
        <w:rPr>
          <w:rFonts w:cs="Arial"/>
          <w:rtl/>
        </w:rPr>
        <w:t xml:space="preserve"> אלא אעיקר דינא דמכשיר לכתוב על ידי כתב ידו מפקינן. והנה ההולכים בשיטה זו הרא"ש (פ"ז סי' יט) והרשב"א (גיטין עב. ד"ה קולו) והר"ן (גיטין לג: דבור ראשון) והמרדכי (סי' תיז) ובעל התרומה (סי' קכו לב ע"ב) וסמ"ג (עשין נ קל ע"ד) וסמ"ק (סי' קפד ע' קמו) והגה</w:t>
      </w:r>
      <w:r w:rsidRPr="00E84BD6">
        <w:rPr>
          <w:rFonts w:cs="Arial" w:hint="cs"/>
          <w:rtl/>
        </w:rPr>
        <w:t>"מ</w:t>
      </w:r>
      <w:r w:rsidRPr="00E84BD6">
        <w:rPr>
          <w:rFonts w:cs="Arial"/>
          <w:rtl/>
        </w:rPr>
        <w:t xml:space="preserve"> בפ</w:t>
      </w:r>
      <w:r w:rsidRPr="00E84BD6">
        <w:rPr>
          <w:rFonts w:cs="Arial" w:hint="cs"/>
          <w:rtl/>
        </w:rPr>
        <w:t>"</w:t>
      </w:r>
      <w:r w:rsidRPr="00E84BD6">
        <w:rPr>
          <w:rFonts w:cs="Arial"/>
          <w:rtl/>
        </w:rPr>
        <w:t>ב מהלכות גירושין (אות ר)</w:t>
      </w:r>
      <w:r w:rsidRPr="00E84BD6">
        <w:rPr>
          <w:rFonts w:cs="Arial" w:hint="cs"/>
          <w:rtl/>
        </w:rPr>
        <w:t>.</w:t>
      </w:r>
      <w:r w:rsidRPr="00E84BD6">
        <w:rPr>
          <w:rFonts w:cs="Arial"/>
          <w:rtl/>
        </w:rPr>
        <w:t xml:space="preserve"> וקצתם (הרא"ש) כתבו כן בשם ר</w:t>
      </w:r>
      <w:r w:rsidRPr="00E84BD6">
        <w:rPr>
          <w:rFonts w:cs="Arial" w:hint="cs"/>
          <w:rtl/>
        </w:rPr>
        <w:t>"</w:t>
      </w:r>
      <w:r w:rsidRPr="00E84BD6">
        <w:rPr>
          <w:rFonts w:cs="Arial"/>
          <w:rtl/>
        </w:rPr>
        <w:t>ת</w:t>
      </w:r>
      <w:r w:rsidRPr="00E84BD6">
        <w:rPr>
          <w:rFonts w:cs="Arial" w:hint="cs"/>
          <w:rtl/>
        </w:rPr>
        <w:t>.</w:t>
      </w:r>
      <w:r w:rsidRPr="00E84BD6">
        <w:rPr>
          <w:rFonts w:cs="Arial"/>
          <w:rtl/>
        </w:rPr>
        <w:t xml:space="preserve"> דעת כולם פה אחד לסמוך על התוספתא להחמיר</w:t>
      </w:r>
      <w:r w:rsidRPr="00E84BD6">
        <w:rPr>
          <w:rFonts w:cs="Arial" w:hint="cs"/>
          <w:rtl/>
        </w:rPr>
        <w:t>.</w:t>
      </w:r>
      <w:r w:rsidR="005C6E8F">
        <w:rPr>
          <w:rFonts w:cs="Arial" w:hint="cs"/>
          <w:rtl/>
        </w:rPr>
        <w:t xml:space="preserve"> </w:t>
      </w:r>
      <w:r w:rsidR="005C6E8F" w:rsidRPr="005C6E8F">
        <w:rPr>
          <w:rFonts w:cs="Arial" w:hint="cs"/>
          <w:sz w:val="16"/>
          <w:szCs w:val="16"/>
          <w:rtl/>
        </w:rPr>
        <w:t>(</w:t>
      </w:r>
      <w:r w:rsidR="005C6E8F" w:rsidRPr="005C6E8F">
        <w:rPr>
          <w:rFonts w:cs="Arial"/>
          <w:sz w:val="16"/>
          <w:szCs w:val="16"/>
          <w:rtl/>
        </w:rPr>
        <w:t>וכתב הר</w:t>
      </w:r>
      <w:r w:rsidR="007A3577">
        <w:rPr>
          <w:rFonts w:cs="Arial" w:hint="cs"/>
          <w:sz w:val="16"/>
          <w:szCs w:val="16"/>
          <w:rtl/>
        </w:rPr>
        <w:t>ד"ך</w:t>
      </w:r>
      <w:r w:rsidR="005C6E8F" w:rsidRPr="005C6E8F">
        <w:rPr>
          <w:rFonts w:cs="Arial"/>
          <w:sz w:val="16"/>
          <w:szCs w:val="16"/>
          <w:rtl/>
        </w:rPr>
        <w:t xml:space="preserve"> בתשובותיו </w:t>
      </w:r>
      <w:r w:rsidR="007A3577">
        <w:rPr>
          <w:rFonts w:cs="Arial" w:hint="cs"/>
          <w:sz w:val="16"/>
          <w:szCs w:val="16"/>
          <w:rtl/>
        </w:rPr>
        <w:t>(</w:t>
      </w:r>
      <w:r w:rsidR="005C6E8F" w:rsidRPr="005C6E8F">
        <w:rPr>
          <w:rFonts w:cs="Arial"/>
          <w:sz w:val="16"/>
          <w:szCs w:val="16"/>
          <w:rtl/>
        </w:rPr>
        <w:t>בית יט חדר א-ב) דבמקום עיגון יש להקל וצריך עיון שם</w:t>
      </w:r>
      <w:r w:rsidR="007A3577">
        <w:rPr>
          <w:rFonts w:cs="Arial" w:hint="cs"/>
          <w:sz w:val="16"/>
          <w:szCs w:val="16"/>
          <w:rtl/>
        </w:rPr>
        <w:t>,</w:t>
      </w:r>
      <w:r w:rsidR="005C6E8F" w:rsidRPr="005C6E8F">
        <w:rPr>
          <w:rFonts w:cs="Arial"/>
          <w:sz w:val="16"/>
          <w:szCs w:val="16"/>
          <w:rtl/>
        </w:rPr>
        <w:t xml:space="preserve"> </w:t>
      </w:r>
      <w:r w:rsidR="005C6E8F">
        <w:rPr>
          <w:rFonts w:cs="Arial" w:hint="cs"/>
          <w:sz w:val="16"/>
          <w:szCs w:val="16"/>
          <w:rtl/>
        </w:rPr>
        <w:t xml:space="preserve">דרכ"מ </w:t>
      </w:r>
      <w:r w:rsidR="007A3577">
        <w:rPr>
          <w:rFonts w:cs="Arial" w:hint="cs"/>
          <w:sz w:val="16"/>
          <w:szCs w:val="16"/>
          <w:rtl/>
        </w:rPr>
        <w:t>[</w:t>
      </w:r>
      <w:r w:rsidR="005C6E8F">
        <w:rPr>
          <w:rFonts w:cs="Arial" w:hint="cs"/>
          <w:sz w:val="16"/>
          <w:szCs w:val="16"/>
          <w:rtl/>
        </w:rPr>
        <w:t>אות ו</w:t>
      </w:r>
      <w:r w:rsidR="007A3577">
        <w:rPr>
          <w:rFonts w:cs="Arial" w:hint="cs"/>
          <w:sz w:val="16"/>
          <w:szCs w:val="16"/>
          <w:rtl/>
        </w:rPr>
        <w:t>]</w:t>
      </w:r>
      <w:r w:rsidR="005C6E8F" w:rsidRPr="005C6E8F">
        <w:rPr>
          <w:rFonts w:cs="Arial" w:hint="cs"/>
          <w:sz w:val="16"/>
          <w:szCs w:val="16"/>
          <w:rtl/>
        </w:rPr>
        <w:t>)</w:t>
      </w:r>
      <w:r w:rsidRPr="00E84BD6">
        <w:rPr>
          <w:rFonts w:cs="Arial"/>
          <w:rtl/>
        </w:rPr>
        <w:t xml:space="preserve"> ואם תאמר אם כן דכתב ידו לא מהני היכי תנן במתניתין (סז:) דכותבין על ידי הרכנת הראש</w:t>
      </w:r>
      <w:r w:rsidR="00803CC1">
        <w:rPr>
          <w:rFonts w:cs="Arial" w:hint="cs"/>
          <w:rtl/>
        </w:rPr>
        <w:t>?</w:t>
      </w:r>
      <w:r w:rsidRPr="00E84BD6">
        <w:rPr>
          <w:rFonts w:cs="Arial"/>
          <w:rtl/>
        </w:rPr>
        <w:t xml:space="preserve"> תירץ הרשב"א (שם) דהרכנת הראש חשיבא כקולו</w:t>
      </w:r>
      <w:r w:rsidRPr="00E84BD6">
        <w:rPr>
          <w:rFonts w:cs="Arial" w:hint="cs"/>
          <w:rtl/>
        </w:rPr>
        <w:t>.</w:t>
      </w:r>
      <w:r w:rsidRPr="00E84BD6">
        <w:rPr>
          <w:rFonts w:cs="Arial"/>
          <w:rtl/>
        </w:rPr>
        <w:t xml:space="preserve"> ושכן כתבו בירושלמי (שם) היא הרכנת הראש הוא קולו</w:t>
      </w:r>
      <w:r w:rsidRPr="00E84BD6">
        <w:rPr>
          <w:rFonts w:cs="Arial" w:hint="cs"/>
          <w:rtl/>
        </w:rPr>
        <w:t>.</w:t>
      </w:r>
      <w:r w:rsidRPr="00E84BD6">
        <w:rPr>
          <w:rFonts w:cs="Arial"/>
          <w:rtl/>
        </w:rPr>
        <w:t xml:space="preserve"> וכן כתב גם כן הרא"ש (שם) דאפשר דהרכנה עדיפא</w:t>
      </w:r>
      <w:r>
        <w:rPr>
          <w:rFonts w:cs="Arial" w:hint="cs"/>
          <w:rtl/>
        </w:rPr>
        <w:t>,</w:t>
      </w:r>
      <w:r w:rsidRPr="00E84BD6">
        <w:rPr>
          <w:rFonts w:cs="Arial"/>
          <w:rtl/>
        </w:rPr>
        <w:t xml:space="preserve"> משום דמראה בגופו. וכתב עוד הרא"ש אי נמי נשתתק דאי אפשר בענין אחר אקילו ביה משום תקנת עגונות ע</w:t>
      </w:r>
      <w:r w:rsidR="007A3577">
        <w:rPr>
          <w:rFonts w:cs="Arial" w:hint="cs"/>
          <w:rtl/>
        </w:rPr>
        <w:t>כ"ל.</w:t>
      </w:r>
      <w:r w:rsidRPr="00E84BD6">
        <w:rPr>
          <w:rFonts w:cs="Arial"/>
          <w:rtl/>
        </w:rPr>
        <w:t xml:space="preserve"> </w:t>
      </w:r>
      <w:r w:rsidR="007A3577" w:rsidRPr="007A3577">
        <w:rPr>
          <w:rFonts w:cs="Arial" w:hint="cs"/>
          <w:sz w:val="16"/>
          <w:szCs w:val="16"/>
          <w:rtl/>
        </w:rPr>
        <w:t>(</w:t>
      </w:r>
      <w:r w:rsidRPr="007A3577">
        <w:rPr>
          <w:rFonts w:cs="Arial"/>
          <w:sz w:val="16"/>
          <w:szCs w:val="16"/>
          <w:rtl/>
        </w:rPr>
        <w:t>ולפי תירוץ זה משמע דבכתב ידו מכשרי בנשתתק וכעין מה שכתבתי בשם רבינו ירוחם דהא לתירוץ זה לא עדיפא הרכנת ראש מכתב ידו</w:t>
      </w:r>
      <w:r w:rsidRPr="007A3577">
        <w:rPr>
          <w:rFonts w:cs="Arial" w:hint="cs"/>
          <w:sz w:val="16"/>
          <w:szCs w:val="16"/>
          <w:rtl/>
        </w:rPr>
        <w:t>,</w:t>
      </w:r>
      <w:r w:rsidRPr="007A3577">
        <w:rPr>
          <w:rFonts w:cs="Arial"/>
          <w:sz w:val="16"/>
          <w:szCs w:val="16"/>
          <w:rtl/>
        </w:rPr>
        <w:t xml:space="preserve"> ואם כן כי היכי דאקילו בהרכנת הראש בנשתתק הוא הדין נמי דאקילו לכתוב על ידי כתב ידו</w:t>
      </w:r>
      <w:r w:rsidRPr="007A3577">
        <w:rPr>
          <w:rFonts w:cs="Arial" w:hint="cs"/>
          <w:sz w:val="16"/>
          <w:szCs w:val="16"/>
          <w:rtl/>
        </w:rPr>
        <w:t>.</w:t>
      </w:r>
      <w:r w:rsidRPr="007A3577">
        <w:rPr>
          <w:rFonts w:cs="Arial"/>
          <w:sz w:val="16"/>
          <w:szCs w:val="16"/>
          <w:rtl/>
        </w:rPr>
        <w:t xml:space="preserve"> ואע</w:t>
      </w:r>
      <w:r w:rsidRPr="007A3577">
        <w:rPr>
          <w:rFonts w:cs="Arial" w:hint="cs"/>
          <w:sz w:val="16"/>
          <w:szCs w:val="16"/>
          <w:rtl/>
        </w:rPr>
        <w:t>"</w:t>
      </w:r>
      <w:r w:rsidRPr="007A3577">
        <w:rPr>
          <w:rFonts w:cs="Arial"/>
          <w:sz w:val="16"/>
          <w:szCs w:val="16"/>
          <w:rtl/>
        </w:rPr>
        <w:t>ג דבגמרא תניא (עב.) הרי הגט בטל עד שישמעו קולו</w:t>
      </w:r>
      <w:r w:rsidRPr="007A3577">
        <w:rPr>
          <w:rFonts w:cs="Arial" w:hint="cs"/>
          <w:sz w:val="16"/>
          <w:szCs w:val="16"/>
          <w:rtl/>
        </w:rPr>
        <w:t>,</w:t>
      </w:r>
      <w:r w:rsidRPr="007A3577">
        <w:rPr>
          <w:rFonts w:cs="Arial"/>
          <w:sz w:val="16"/>
          <w:szCs w:val="16"/>
          <w:rtl/>
        </w:rPr>
        <w:t xml:space="preserve"> ומקולו דייקינן לאפוקי מדרב כהנא</w:t>
      </w:r>
      <w:r w:rsidRPr="007A3577">
        <w:rPr>
          <w:rFonts w:cs="Arial" w:hint="cs"/>
          <w:sz w:val="16"/>
          <w:szCs w:val="16"/>
          <w:rtl/>
        </w:rPr>
        <w:t>,</w:t>
      </w:r>
      <w:r w:rsidRPr="007A3577">
        <w:rPr>
          <w:rFonts w:cs="Arial"/>
          <w:sz w:val="16"/>
          <w:szCs w:val="16"/>
          <w:rtl/>
        </w:rPr>
        <w:t xml:space="preserve"> וכיון דקתני הגט בטל ודאי מדאורייתא הוא דמפקינן</w:t>
      </w:r>
      <w:r w:rsidRPr="007A3577">
        <w:rPr>
          <w:rFonts w:cs="Arial" w:hint="cs"/>
          <w:sz w:val="16"/>
          <w:szCs w:val="16"/>
          <w:rtl/>
        </w:rPr>
        <w:t>,</w:t>
      </w:r>
      <w:r w:rsidRPr="007A3577">
        <w:rPr>
          <w:rFonts w:cs="Arial"/>
          <w:sz w:val="16"/>
          <w:szCs w:val="16"/>
          <w:rtl/>
        </w:rPr>
        <w:t xml:space="preserve"> מכל מקום כתב הרא"ש (שם) דבנשתתק אקילו</w:t>
      </w:r>
      <w:r w:rsidRPr="007A3577">
        <w:rPr>
          <w:rFonts w:cs="Arial" w:hint="cs"/>
          <w:sz w:val="16"/>
          <w:szCs w:val="16"/>
          <w:rtl/>
        </w:rPr>
        <w:t>,</w:t>
      </w:r>
      <w:r w:rsidRPr="007A3577">
        <w:rPr>
          <w:rFonts w:cs="Arial"/>
          <w:sz w:val="16"/>
          <w:szCs w:val="16"/>
          <w:rtl/>
        </w:rPr>
        <w:t xml:space="preserve"> משום דבתוספתא דממעט כתב ידו לא קתני בטל אלא פסול דמשמע מדרבנן</w:t>
      </w:r>
      <w:r w:rsidRPr="007A3577">
        <w:rPr>
          <w:rFonts w:cs="Arial" w:hint="cs"/>
          <w:sz w:val="16"/>
          <w:szCs w:val="16"/>
          <w:rtl/>
        </w:rPr>
        <w:t>.</w:t>
      </w:r>
      <w:r w:rsidRPr="007A3577">
        <w:rPr>
          <w:rFonts w:cs="Arial"/>
          <w:sz w:val="16"/>
          <w:szCs w:val="16"/>
          <w:rtl/>
        </w:rPr>
        <w:t xml:space="preserve"> ולפי זה כי אמרינן לאפוקי מדרב כהנא היינו ממאי דאכשר בחרש גמור</w:t>
      </w:r>
      <w:r w:rsidRPr="007A3577">
        <w:rPr>
          <w:rFonts w:cs="Arial" w:hint="cs"/>
          <w:sz w:val="16"/>
          <w:szCs w:val="16"/>
          <w:rtl/>
        </w:rPr>
        <w:t>,</w:t>
      </w:r>
      <w:r w:rsidRPr="007A3577">
        <w:rPr>
          <w:rFonts w:cs="Arial"/>
          <w:sz w:val="16"/>
          <w:szCs w:val="16"/>
          <w:rtl/>
        </w:rPr>
        <w:t xml:space="preserve"> דאילו מפיקח לא מפקא האי ברייתא</w:t>
      </w:r>
      <w:r w:rsidRPr="007A3577">
        <w:rPr>
          <w:rFonts w:cs="Arial" w:hint="cs"/>
          <w:sz w:val="16"/>
          <w:szCs w:val="16"/>
          <w:rtl/>
        </w:rPr>
        <w:t>,</w:t>
      </w:r>
      <w:r w:rsidRPr="007A3577">
        <w:rPr>
          <w:rFonts w:cs="Arial"/>
          <w:sz w:val="16"/>
          <w:szCs w:val="16"/>
          <w:rtl/>
        </w:rPr>
        <w:t xml:space="preserve"> ומאי דלא אייתי תלמודא ההיא תוספתא דקתני פסול דמפקא מפיקח נמי</w:t>
      </w:r>
      <w:r w:rsidRPr="007A3577">
        <w:rPr>
          <w:rFonts w:cs="Arial" w:hint="cs"/>
          <w:sz w:val="16"/>
          <w:szCs w:val="16"/>
          <w:rtl/>
        </w:rPr>
        <w:t>,</w:t>
      </w:r>
      <w:r w:rsidRPr="007A3577">
        <w:rPr>
          <w:rFonts w:cs="Arial"/>
          <w:sz w:val="16"/>
          <w:szCs w:val="16"/>
          <w:rtl/>
        </w:rPr>
        <w:t xml:space="preserve"> משום דעדיף ליה לאפוקי מדרב כהנא אפילו מדאורייתא ולומר שהוא בטל לגמרי</w:t>
      </w:r>
      <w:r w:rsidRPr="007A3577">
        <w:rPr>
          <w:rFonts w:cs="Arial" w:hint="cs"/>
          <w:sz w:val="16"/>
          <w:szCs w:val="16"/>
          <w:rtl/>
        </w:rPr>
        <w:t>.</w:t>
      </w:r>
      <w:r w:rsidRPr="007A3577">
        <w:rPr>
          <w:rFonts w:cs="Arial"/>
          <w:sz w:val="16"/>
          <w:szCs w:val="16"/>
          <w:rtl/>
        </w:rPr>
        <w:t xml:space="preserve"> כן נראה לי ליישב דברי הרא"ש בתירוץ זה</w:t>
      </w:r>
      <w:r w:rsidR="007A3577">
        <w:rPr>
          <w:rFonts w:cs="Arial" w:hint="cs"/>
          <w:sz w:val="16"/>
          <w:szCs w:val="16"/>
          <w:rtl/>
        </w:rPr>
        <w:t>)</w:t>
      </w:r>
      <w:r w:rsidRPr="00E84BD6">
        <w:rPr>
          <w:rFonts w:cs="Arial" w:hint="cs"/>
          <w:rtl/>
        </w:rPr>
        <w:t>.</w:t>
      </w:r>
      <w:r w:rsidRPr="00E84BD6">
        <w:rPr>
          <w:rFonts w:cs="Arial"/>
          <w:rtl/>
        </w:rPr>
        <w:t xml:space="preserve"> ומכל מקום תפס רבינו תירוץ ראשון עיקר</w:t>
      </w:r>
      <w:r w:rsidRPr="00E84BD6">
        <w:rPr>
          <w:rFonts w:cs="Arial" w:hint="cs"/>
          <w:rtl/>
        </w:rPr>
        <w:t>,</w:t>
      </w:r>
      <w:r w:rsidRPr="00E84BD6">
        <w:rPr>
          <w:rFonts w:cs="Arial"/>
          <w:rtl/>
        </w:rPr>
        <w:t xml:space="preserve"> אי משום דאיתמר בירושלמי</w:t>
      </w:r>
      <w:r>
        <w:rPr>
          <w:rFonts w:cs="Arial" w:hint="cs"/>
          <w:rtl/>
        </w:rPr>
        <w:t>,</w:t>
      </w:r>
      <w:r w:rsidRPr="00E84BD6">
        <w:rPr>
          <w:rFonts w:cs="Arial"/>
          <w:rtl/>
        </w:rPr>
        <w:t xml:space="preserve"> ועוד דבירושלמי (פ"ז ה"א) מייתי ברייתא כלשון התוספתא ומסיים בה אינו גט</w:t>
      </w:r>
      <w:r w:rsidRPr="00E84BD6">
        <w:rPr>
          <w:rFonts w:cs="Arial" w:hint="cs"/>
          <w:rtl/>
        </w:rPr>
        <w:t>,</w:t>
      </w:r>
      <w:r w:rsidRPr="00E84BD6">
        <w:rPr>
          <w:rFonts w:cs="Arial"/>
          <w:rtl/>
        </w:rPr>
        <w:t xml:space="preserve"> וא"כ משמע דפסול דקתני בתוספתא לאו מדרבנן בלחוד הוא</w:t>
      </w:r>
      <w:r w:rsidR="00803CC1">
        <w:rPr>
          <w:rFonts w:cs="Arial" w:hint="cs"/>
          <w:rtl/>
        </w:rPr>
        <w:t>,</w:t>
      </w:r>
      <w:r w:rsidRPr="00E84BD6">
        <w:rPr>
          <w:rFonts w:cs="Arial"/>
          <w:rtl/>
        </w:rPr>
        <w:t xml:space="preserve"> אלא בטל נמי הוי</w:t>
      </w:r>
      <w:r w:rsidRPr="00E84BD6">
        <w:rPr>
          <w:rFonts w:cs="Arial" w:hint="cs"/>
          <w:rtl/>
        </w:rPr>
        <w:t>.</w:t>
      </w:r>
      <w:r w:rsidRPr="00E84BD6">
        <w:rPr>
          <w:rFonts w:cs="Arial"/>
          <w:rtl/>
        </w:rPr>
        <w:t xml:space="preserve"> ואי משום דאתי כדעת הרשב"א ושאר הפוסקים שהזכרתי</w:t>
      </w:r>
      <w:r>
        <w:rPr>
          <w:rFonts w:hint="cs"/>
          <w:rtl/>
        </w:rPr>
        <w:t>.</w:t>
      </w:r>
    </w:p>
  </w:footnote>
  <w:footnote w:id="184">
    <w:p w14:paraId="37A526E9" w14:textId="67DCA273" w:rsidR="007A3577" w:rsidRDefault="007A3577">
      <w:pPr>
        <w:pStyle w:val="a5"/>
      </w:pPr>
      <w:r>
        <w:rPr>
          <w:rStyle w:val="a7"/>
        </w:rPr>
        <w:footnoteRef/>
      </w:r>
      <w:r>
        <w:rPr>
          <w:rtl/>
        </w:rPr>
        <w:t xml:space="preserve"> </w:t>
      </w:r>
      <w:r w:rsidRPr="007A3577">
        <w:rPr>
          <w:rFonts w:cs="Arial"/>
          <w:rtl/>
        </w:rPr>
        <w:t>ואם הגט בטל או פסול בכתב בכת"י עיין בית יוסף</w:t>
      </w:r>
      <w:r>
        <w:rPr>
          <w:rFonts w:cs="Arial" w:hint="cs"/>
          <w:rtl/>
        </w:rPr>
        <w:t>.</w:t>
      </w:r>
      <w:r w:rsidRPr="007A3577">
        <w:rPr>
          <w:rFonts w:cs="Arial"/>
          <w:rtl/>
        </w:rPr>
        <w:t xml:space="preserve"> ואם מקילין במקום עיגון בכותב בכת"י עיין בית יוסף</w:t>
      </w:r>
      <w:r>
        <w:rPr>
          <w:rFonts w:cs="Arial" w:hint="cs"/>
          <w:rtl/>
        </w:rPr>
        <w:t>, ח"מ (סקי"ד).</w:t>
      </w:r>
    </w:p>
  </w:footnote>
  <w:footnote w:id="185">
    <w:p w14:paraId="4D4C45E1" w14:textId="37614E09" w:rsidR="00522384" w:rsidRDefault="00522384">
      <w:pPr>
        <w:pStyle w:val="a5"/>
        <w:rPr>
          <w:rtl/>
        </w:rPr>
      </w:pPr>
      <w:r>
        <w:rPr>
          <w:rStyle w:val="a7"/>
        </w:rPr>
        <w:footnoteRef/>
      </w:r>
      <w:r>
        <w:rPr>
          <w:rtl/>
        </w:rPr>
        <w:t xml:space="preserve"> </w:t>
      </w:r>
      <w:r w:rsidRPr="00522384">
        <w:rPr>
          <w:rFonts w:cs="Arial"/>
          <w:rtl/>
        </w:rPr>
        <w:t>בשביל כולן</w:t>
      </w:r>
      <w:r>
        <w:rPr>
          <w:rFonts w:hint="cs"/>
          <w:rtl/>
        </w:rPr>
        <w:t>, רש"י.</w:t>
      </w:r>
    </w:p>
  </w:footnote>
  <w:footnote w:id="186">
    <w:p w14:paraId="2219F84B" w14:textId="2E2C5B4D" w:rsidR="00724496" w:rsidRDefault="00724496">
      <w:pPr>
        <w:pStyle w:val="a5"/>
      </w:pPr>
      <w:r>
        <w:rPr>
          <w:rStyle w:val="a7"/>
        </w:rPr>
        <w:footnoteRef/>
      </w:r>
      <w:r>
        <w:rPr>
          <w:rtl/>
        </w:rPr>
        <w:t xml:space="preserve"> </w:t>
      </w:r>
      <w:r w:rsidRPr="00724496">
        <w:rPr>
          <w:rFonts w:cs="Arial"/>
          <w:rtl/>
        </w:rPr>
        <w:t>ואפשר אם כולם ירצו לכתוב כל אחד מקצת הגט הרשות בידם</w:t>
      </w:r>
      <w:r w:rsidR="00B71A81">
        <w:rPr>
          <w:rFonts w:cs="Arial" w:hint="cs"/>
          <w:rtl/>
        </w:rPr>
        <w:t>.</w:t>
      </w:r>
      <w:r w:rsidRPr="00724496">
        <w:rPr>
          <w:rFonts w:cs="Arial"/>
          <w:rtl/>
        </w:rPr>
        <w:t xml:space="preserve"> ומכל מקום יש לדחות דאם איתא דהרשות ביד כולם לכתוב א"כ כי אמר כולכם כתובו היה ראוי לומר דוקא כולם יכתבו</w:t>
      </w:r>
      <w:r w:rsidR="00B71A81">
        <w:rPr>
          <w:rFonts w:cs="Arial" w:hint="cs"/>
          <w:rtl/>
        </w:rPr>
        <w:t>,</w:t>
      </w:r>
      <w:r w:rsidRPr="00724496">
        <w:rPr>
          <w:rFonts w:cs="Arial"/>
          <w:rtl/>
        </w:rPr>
        <w:t xml:space="preserve"> אלא ודאי סתמא דמילתא לא כוון רק לסופר אחד כנהוג העולם</w:t>
      </w:r>
      <w:r w:rsidR="00B71A81">
        <w:rPr>
          <w:rFonts w:cs="Arial" w:hint="cs"/>
          <w:rtl/>
        </w:rPr>
        <w:t>.</w:t>
      </w:r>
      <w:r w:rsidRPr="00724496">
        <w:rPr>
          <w:rFonts w:cs="Arial"/>
          <w:rtl/>
        </w:rPr>
        <w:t xml:space="preserve"> ואם כתבו' שנים </w:t>
      </w:r>
      <w:r w:rsidR="00B71A81">
        <w:rPr>
          <w:rFonts w:cs="Arial" w:hint="cs"/>
          <w:rtl/>
        </w:rPr>
        <w:t xml:space="preserve">- </w:t>
      </w:r>
      <w:r w:rsidRPr="00724496">
        <w:rPr>
          <w:rFonts w:cs="Arial"/>
          <w:rtl/>
        </w:rPr>
        <w:t>הגט פסול דוכתב דקרא לשון יחיד הוא</w:t>
      </w:r>
      <w:r>
        <w:rPr>
          <w:rFonts w:cs="Arial" w:hint="cs"/>
          <w:rtl/>
        </w:rPr>
        <w:t xml:space="preserve">, </w:t>
      </w:r>
      <w:r w:rsidRPr="00B71A81">
        <w:rPr>
          <w:rFonts w:cs="Arial" w:hint="cs"/>
          <w:b/>
          <w:bCs/>
          <w:rtl/>
        </w:rPr>
        <w:t>ח"מ</w:t>
      </w:r>
      <w:r>
        <w:rPr>
          <w:rFonts w:cs="Arial" w:hint="cs"/>
          <w:rtl/>
        </w:rPr>
        <w:t xml:space="preserve"> (סקט"ז). </w:t>
      </w:r>
      <w:r w:rsidR="00B71A81">
        <w:rPr>
          <w:rFonts w:cs="Arial" w:hint="cs"/>
          <w:rtl/>
        </w:rPr>
        <w:t xml:space="preserve">     </w:t>
      </w:r>
      <w:r>
        <w:rPr>
          <w:rFonts w:cs="Arial" w:hint="cs"/>
          <w:rtl/>
        </w:rPr>
        <w:t xml:space="preserve">אך </w:t>
      </w:r>
      <w:r w:rsidRPr="00B71A81">
        <w:rPr>
          <w:rFonts w:cs="Arial" w:hint="cs"/>
          <w:b/>
          <w:bCs/>
          <w:rtl/>
        </w:rPr>
        <w:t>הב"ש</w:t>
      </w:r>
      <w:r>
        <w:rPr>
          <w:rFonts w:cs="Arial" w:hint="cs"/>
          <w:rtl/>
        </w:rPr>
        <w:t xml:space="preserve"> (</w:t>
      </w:r>
      <w:r w:rsidR="006C18EC">
        <w:rPr>
          <w:rFonts w:cs="Arial" w:hint="cs"/>
          <w:rtl/>
        </w:rPr>
        <w:t>סק"ט) כתב ד</w:t>
      </w:r>
      <w:r w:rsidRPr="00724496">
        <w:rPr>
          <w:rFonts w:cs="Arial"/>
          <w:rtl/>
        </w:rPr>
        <w:t>לכאורה משמע מסוגיא דרשאין שנים לכתוב דאמר בדין אפי' טופס נמי לא לכתוב וזימנין דבעי למיזל ולא אשכח ספרא ושביק לה ואזיל ומעגן ואי אמר' דוקא סופר זה צריך לכתוב כל הגט אכתי יש לחוש לעיגון</w:t>
      </w:r>
      <w:r w:rsidR="00C9471B">
        <w:rPr>
          <w:rFonts w:cs="Arial" w:hint="cs"/>
          <w:rtl/>
        </w:rPr>
        <w:t>,</w:t>
      </w:r>
      <w:r w:rsidRPr="00724496">
        <w:rPr>
          <w:rFonts w:cs="Arial"/>
          <w:rtl/>
        </w:rPr>
        <w:t xml:space="preserve"> מיהו י"ל דקפידה הוא רק בתורף שאל יכתבו שנים</w:t>
      </w:r>
      <w:r w:rsidR="006C18EC">
        <w:rPr>
          <w:rFonts w:cs="Arial" w:hint="cs"/>
          <w:rtl/>
        </w:rPr>
        <w:t>.</w:t>
      </w:r>
      <w:r w:rsidR="00993C51">
        <w:rPr>
          <w:rFonts w:cs="Arial" w:hint="cs"/>
          <w:rtl/>
        </w:rPr>
        <w:t xml:space="preserve"> עכ"ל.</w:t>
      </w:r>
      <w:r w:rsidR="00C9471B">
        <w:rPr>
          <w:rFonts w:cs="Arial" w:hint="cs"/>
          <w:rtl/>
        </w:rPr>
        <w:t xml:space="preserve">    </w:t>
      </w:r>
      <w:r w:rsidR="00993C51">
        <w:rPr>
          <w:rFonts w:cs="Arial" w:hint="cs"/>
          <w:rtl/>
        </w:rPr>
        <w:t xml:space="preserve"> </w:t>
      </w:r>
      <w:r w:rsidR="00993C51" w:rsidRPr="00C9471B">
        <w:rPr>
          <w:rFonts w:cs="Arial" w:hint="cs"/>
          <w:b/>
          <w:bCs/>
          <w:rtl/>
        </w:rPr>
        <w:t>וה</w:t>
      </w:r>
      <w:r w:rsidR="00993C51" w:rsidRPr="00C9471B">
        <w:rPr>
          <w:rFonts w:cs="Arial"/>
          <w:b/>
          <w:bCs/>
          <w:rtl/>
        </w:rPr>
        <w:t>פר"ח</w:t>
      </w:r>
      <w:r w:rsidR="00993C51" w:rsidRPr="00993C51">
        <w:rPr>
          <w:rFonts w:cs="Arial"/>
          <w:rtl/>
        </w:rPr>
        <w:t xml:space="preserve"> </w:t>
      </w:r>
      <w:r w:rsidR="00993C51">
        <w:rPr>
          <w:rFonts w:cs="Arial" w:hint="cs"/>
          <w:rtl/>
        </w:rPr>
        <w:t xml:space="preserve">(הביאו הבא"ט </w:t>
      </w:r>
      <w:r w:rsidR="00C9471B">
        <w:rPr>
          <w:rFonts w:cs="Arial" w:hint="cs"/>
          <w:rtl/>
        </w:rPr>
        <w:t>(</w:t>
      </w:r>
      <w:r w:rsidR="00993C51">
        <w:rPr>
          <w:rFonts w:cs="Arial" w:hint="cs"/>
          <w:rtl/>
        </w:rPr>
        <w:t xml:space="preserve">סקי"א) </w:t>
      </w:r>
      <w:r w:rsidR="00993C51" w:rsidRPr="00993C51">
        <w:rPr>
          <w:rFonts w:cs="Arial"/>
          <w:rtl/>
        </w:rPr>
        <w:t>חולק והתיר דמותר לכתוב לכתחלה ב' סופרים</w:t>
      </w:r>
      <w:r w:rsidR="00993C51">
        <w:rPr>
          <w:rFonts w:cs="Arial" w:hint="cs"/>
          <w:sz w:val="16"/>
          <w:szCs w:val="16"/>
          <w:rtl/>
        </w:rPr>
        <w:t xml:space="preserve"> {גם בתורף}</w:t>
      </w:r>
      <w:r w:rsidR="00993C51">
        <w:rPr>
          <w:rFonts w:cs="Arial" w:hint="cs"/>
          <w:rtl/>
        </w:rPr>
        <w:t xml:space="preserve">. </w:t>
      </w:r>
      <w:r w:rsidR="00B141ED">
        <w:rPr>
          <w:rFonts w:cs="Arial" w:hint="cs"/>
          <w:rtl/>
        </w:rPr>
        <w:t xml:space="preserve">וכתב </w:t>
      </w:r>
      <w:r w:rsidR="00B141ED" w:rsidRPr="00C9471B">
        <w:rPr>
          <w:rFonts w:cs="Arial" w:hint="cs"/>
          <w:b/>
          <w:bCs/>
          <w:rtl/>
        </w:rPr>
        <w:t>הפת"ש</w:t>
      </w:r>
      <w:r w:rsidR="00B141ED">
        <w:rPr>
          <w:rFonts w:cs="Arial" w:hint="cs"/>
          <w:rtl/>
        </w:rPr>
        <w:t xml:space="preserve"> (סקי"ט) ש</w:t>
      </w:r>
      <w:r w:rsidR="00B141ED" w:rsidRPr="00B141ED">
        <w:rPr>
          <w:rFonts w:cs="Arial"/>
          <w:rtl/>
        </w:rPr>
        <w:t xml:space="preserve">במל"מ </w:t>
      </w:r>
      <w:r w:rsidR="00B141ED">
        <w:rPr>
          <w:rFonts w:cs="Arial" w:hint="cs"/>
          <w:rtl/>
        </w:rPr>
        <w:t>(</w:t>
      </w:r>
      <w:r w:rsidR="00B141ED" w:rsidRPr="00B141ED">
        <w:rPr>
          <w:rFonts w:cs="Arial"/>
          <w:rtl/>
        </w:rPr>
        <w:t>פ"ד מה"ג דין יד</w:t>
      </w:r>
      <w:r w:rsidR="00B141ED">
        <w:rPr>
          <w:rFonts w:cs="Arial" w:hint="cs"/>
          <w:rtl/>
        </w:rPr>
        <w:t>)</w:t>
      </w:r>
      <w:r w:rsidR="00B141ED" w:rsidRPr="00B141ED">
        <w:rPr>
          <w:rFonts w:cs="Arial"/>
          <w:rtl/>
        </w:rPr>
        <w:t xml:space="preserve"> הביא שם הרב המגיה ראיה לדעת הפר"ח ע"ש. גם בספר גט מקושר </w:t>
      </w:r>
      <w:r w:rsidR="00B141ED">
        <w:rPr>
          <w:rFonts w:cs="Arial" w:hint="cs"/>
          <w:rtl/>
        </w:rPr>
        <w:t>(</w:t>
      </w:r>
      <w:r w:rsidR="00B141ED" w:rsidRPr="00B141ED">
        <w:rPr>
          <w:rFonts w:cs="Arial"/>
          <w:rtl/>
        </w:rPr>
        <w:t>בסג"ר אות קסג</w:t>
      </w:r>
      <w:r w:rsidR="00B141ED">
        <w:rPr>
          <w:rFonts w:cs="Arial" w:hint="cs"/>
          <w:rtl/>
        </w:rPr>
        <w:t>)</w:t>
      </w:r>
      <w:r w:rsidR="00B141ED" w:rsidRPr="00B141ED">
        <w:rPr>
          <w:rFonts w:cs="Arial"/>
          <w:rtl/>
        </w:rPr>
        <w:t xml:space="preserve"> הסכים לדעת הפר"ח ע"ש</w:t>
      </w:r>
      <w:r w:rsidR="00B141ED">
        <w:rPr>
          <w:rFonts w:cs="Arial" w:hint="cs"/>
          <w:rtl/>
        </w:rPr>
        <w:t>.</w:t>
      </w:r>
      <w:r w:rsidR="00B141ED" w:rsidRPr="00B141ED">
        <w:rPr>
          <w:rFonts w:cs="Arial"/>
          <w:rtl/>
        </w:rPr>
        <w:t xml:space="preserve"> ועיין בס' שעה"מ פ"א מה"ג דין ג' מ"ש בזה</w:t>
      </w:r>
      <w:r w:rsidR="00B141ED">
        <w:rPr>
          <w:rFonts w:hint="cs"/>
          <w:rtl/>
        </w:rPr>
        <w:t>.</w:t>
      </w:r>
    </w:p>
  </w:footnote>
  <w:footnote w:id="187">
    <w:p w14:paraId="0E786BD7" w14:textId="0C7AFC2B" w:rsidR="00724496" w:rsidRPr="00724496" w:rsidRDefault="00724496" w:rsidP="00724496">
      <w:pPr>
        <w:pStyle w:val="a5"/>
        <w:rPr>
          <w:rFonts w:cs="Arial"/>
        </w:rPr>
      </w:pPr>
      <w:r>
        <w:rPr>
          <w:rStyle w:val="a7"/>
        </w:rPr>
        <w:footnoteRef/>
      </w:r>
      <w:r>
        <w:rPr>
          <w:rtl/>
        </w:rPr>
        <w:t xml:space="preserve"> </w:t>
      </w:r>
      <w:r w:rsidRPr="00724496">
        <w:rPr>
          <w:rFonts w:cs="Arial"/>
          <w:rtl/>
        </w:rPr>
        <w:t>דהכוונה היה לאחד מהם איזה שירצה יכתוב</w:t>
      </w:r>
      <w:r>
        <w:rPr>
          <w:rFonts w:cs="Arial" w:hint="cs"/>
          <w:rtl/>
        </w:rPr>
        <w:t>,</w:t>
      </w:r>
      <w:r w:rsidRPr="00724496">
        <w:rPr>
          <w:rFonts w:cs="Arial"/>
          <w:rtl/>
        </w:rPr>
        <w:t xml:space="preserve"> וא"צ שיכתוב במעמד כולם</w:t>
      </w:r>
      <w:r>
        <w:rPr>
          <w:rFonts w:cs="Arial" w:hint="cs"/>
          <w:rtl/>
        </w:rPr>
        <w:t>..., ח"מ (סקט"ז).</w:t>
      </w:r>
    </w:p>
  </w:footnote>
  <w:footnote w:id="188">
    <w:p w14:paraId="635DC47E" w14:textId="14FD39B1" w:rsidR="00980814" w:rsidRDefault="00980814">
      <w:pPr>
        <w:pStyle w:val="a5"/>
      </w:pPr>
      <w:r>
        <w:rPr>
          <w:rStyle w:val="a7"/>
        </w:rPr>
        <w:footnoteRef/>
      </w:r>
      <w:r>
        <w:rPr>
          <w:rtl/>
        </w:rPr>
        <w:t xml:space="preserve"> </w:t>
      </w:r>
      <w:r>
        <w:rPr>
          <w:rFonts w:cs="Arial"/>
          <w:rtl/>
        </w:rPr>
        <w:t>בשביל כולם</w:t>
      </w:r>
      <w:r>
        <w:rPr>
          <w:rFonts w:cs="Arial" w:hint="cs"/>
          <w:rtl/>
        </w:rPr>
        <w:t>, רש"י.</w:t>
      </w:r>
    </w:p>
  </w:footnote>
  <w:footnote w:id="189">
    <w:p w14:paraId="68A285C6" w14:textId="097C40B5" w:rsidR="00980814" w:rsidRDefault="00980814">
      <w:pPr>
        <w:pStyle w:val="a5"/>
        <w:rPr>
          <w:rtl/>
        </w:rPr>
      </w:pPr>
      <w:r>
        <w:rPr>
          <w:rStyle w:val="a7"/>
        </w:rPr>
        <w:footnoteRef/>
      </w:r>
      <w:r>
        <w:rPr>
          <w:rtl/>
        </w:rPr>
        <w:t xml:space="preserve"> </w:t>
      </w:r>
      <w:r w:rsidRPr="00201037">
        <w:rPr>
          <w:rFonts w:cs="Arial"/>
          <w:rtl/>
        </w:rPr>
        <w:t>ויראה מדבריו שהוא מכשיר כתב סופר ועד</w:t>
      </w:r>
      <w:r>
        <w:rPr>
          <w:rFonts w:cs="Arial" w:hint="cs"/>
          <w:rtl/>
        </w:rPr>
        <w:t>,</w:t>
      </w:r>
      <w:r w:rsidRPr="00201037">
        <w:rPr>
          <w:rFonts w:cs="Arial"/>
          <w:rtl/>
        </w:rPr>
        <w:t xml:space="preserve"> ולקמן </w:t>
      </w:r>
      <w:r>
        <w:rPr>
          <w:rFonts w:cs="Arial" w:hint="cs"/>
          <w:rtl/>
        </w:rPr>
        <w:t xml:space="preserve">(סי' קל) </w:t>
      </w:r>
      <w:r w:rsidRPr="00201037">
        <w:rPr>
          <w:rFonts w:cs="Arial"/>
          <w:rtl/>
        </w:rPr>
        <w:t>בעינן לברורי שהוא פסול</w:t>
      </w:r>
      <w:r>
        <w:rPr>
          <w:rFonts w:hint="cs"/>
          <w:rtl/>
        </w:rPr>
        <w:t>, טור.</w:t>
      </w:r>
    </w:p>
  </w:footnote>
  <w:footnote w:id="190">
    <w:p w14:paraId="7CE4578E" w14:textId="10797E0C" w:rsidR="00834792" w:rsidRDefault="00834792">
      <w:pPr>
        <w:pStyle w:val="a5"/>
        <w:rPr>
          <w:rtl/>
        </w:rPr>
      </w:pPr>
      <w:r>
        <w:rPr>
          <w:rStyle w:val="a7"/>
        </w:rPr>
        <w:footnoteRef/>
      </w:r>
      <w:r>
        <w:rPr>
          <w:rtl/>
        </w:rPr>
        <w:t xml:space="preserve"> </w:t>
      </w:r>
      <w:r w:rsidRPr="00834792">
        <w:rPr>
          <w:rFonts w:cs="Arial"/>
          <w:rtl/>
        </w:rPr>
        <w:t>ואין הכותב רשאי להיות מן שנים החותמין דהא איכא פלוגתא בחתם סופר ועד כמבואר לקמן סי' ק"ל</w:t>
      </w:r>
      <w:r>
        <w:rPr>
          <w:rFonts w:hint="cs"/>
          <w:rtl/>
        </w:rPr>
        <w:t>, ח"מ (סקי"ז). וכ"כ ב"ש (סק"י).</w:t>
      </w:r>
    </w:p>
  </w:footnote>
  <w:footnote w:id="191">
    <w:p w14:paraId="359A3450" w14:textId="0DBBC794" w:rsidR="005D4184" w:rsidRDefault="005D4184">
      <w:pPr>
        <w:pStyle w:val="a5"/>
      </w:pPr>
      <w:r>
        <w:rPr>
          <w:rStyle w:val="a7"/>
        </w:rPr>
        <w:footnoteRef/>
      </w:r>
      <w:r>
        <w:rPr>
          <w:rtl/>
        </w:rPr>
        <w:t xml:space="preserve"> </w:t>
      </w:r>
      <w:r w:rsidRPr="005D4184">
        <w:rPr>
          <w:rFonts w:cs="Arial"/>
          <w:rtl/>
        </w:rPr>
        <w:t>והאריך שם בזה ע"ש ועיין בת' שיבת ציון סי' ע"ו מ"ש בזה</w:t>
      </w:r>
      <w:r>
        <w:rPr>
          <w:rFonts w:cs="Arial" w:hint="cs"/>
          <w:rtl/>
        </w:rPr>
        <w:t>, פת"ש (סק"כ).</w:t>
      </w:r>
    </w:p>
  </w:footnote>
  <w:footnote w:id="192">
    <w:p w14:paraId="758C834B" w14:textId="6B297773" w:rsidR="00271ADE" w:rsidRDefault="00271ADE">
      <w:pPr>
        <w:pStyle w:val="a5"/>
        <w:rPr>
          <w:rtl/>
        </w:rPr>
      </w:pPr>
      <w:r>
        <w:rPr>
          <w:rStyle w:val="a7"/>
        </w:rPr>
        <w:footnoteRef/>
      </w:r>
      <w:r>
        <w:rPr>
          <w:rtl/>
        </w:rPr>
        <w:t xml:space="preserve"> </w:t>
      </w:r>
      <w:r>
        <w:rPr>
          <w:rFonts w:cs="Arial" w:hint="cs"/>
          <w:rtl/>
        </w:rPr>
        <w:t xml:space="preserve">וכתב הפת"ש </w:t>
      </w:r>
      <w:r w:rsidRPr="00834792">
        <w:rPr>
          <w:rFonts w:cs="Arial"/>
          <w:rtl/>
        </w:rPr>
        <w:t>(</w:t>
      </w:r>
      <w:r>
        <w:rPr>
          <w:rFonts w:cs="Arial" w:hint="cs"/>
          <w:rtl/>
        </w:rPr>
        <w:t>סק</w:t>
      </w:r>
      <w:r w:rsidRPr="00834792">
        <w:rPr>
          <w:rFonts w:cs="Arial"/>
          <w:rtl/>
        </w:rPr>
        <w:t>כ</w:t>
      </w:r>
      <w:r>
        <w:rPr>
          <w:rFonts w:cs="Arial" w:hint="cs"/>
          <w:rtl/>
        </w:rPr>
        <w:t>"</w:t>
      </w:r>
      <w:r w:rsidRPr="00834792">
        <w:rPr>
          <w:rFonts w:cs="Arial"/>
          <w:rtl/>
        </w:rPr>
        <w:t xml:space="preserve">א) </w:t>
      </w:r>
      <w:r>
        <w:rPr>
          <w:rFonts w:cs="Arial" w:hint="cs"/>
          <w:rtl/>
        </w:rPr>
        <w:t>ד</w:t>
      </w:r>
      <w:r w:rsidRPr="00834792">
        <w:rPr>
          <w:rFonts w:cs="Arial"/>
          <w:rtl/>
        </w:rPr>
        <w:t xml:space="preserve">משמע </w:t>
      </w:r>
      <w:r>
        <w:rPr>
          <w:rFonts w:cs="Arial" w:hint="cs"/>
          <w:rtl/>
        </w:rPr>
        <w:t xml:space="preserve">מדברי הח"מ והב"ש הנ"ל דמיירי </w:t>
      </w:r>
      <w:r w:rsidRPr="00271ADE">
        <w:rPr>
          <w:rFonts w:cs="Arial"/>
          <w:rtl/>
        </w:rPr>
        <w:t>אפילו בח</w:t>
      </w:r>
      <w:r w:rsidRPr="00271ADE">
        <w:rPr>
          <w:rFonts w:cs="Arial" w:hint="cs"/>
          <w:rtl/>
        </w:rPr>
        <w:t>ו</w:t>
      </w:r>
      <w:r w:rsidRPr="00271ADE">
        <w:rPr>
          <w:rFonts w:cs="Arial"/>
          <w:rtl/>
        </w:rPr>
        <w:t>"ל שצריך לומר בפ"נ ובפנ"ח</w:t>
      </w:r>
      <w:r w:rsidRPr="00271ADE">
        <w:rPr>
          <w:rFonts w:cs="Arial" w:hint="cs"/>
          <w:rtl/>
        </w:rPr>
        <w:t>.</w:t>
      </w:r>
      <w:r w:rsidRPr="00271ADE">
        <w:rPr>
          <w:rFonts w:cs="Arial"/>
          <w:rtl/>
        </w:rPr>
        <w:t xml:space="preserve"> וכן מבואר להדיא בתשו' הרדב"ז </w:t>
      </w:r>
      <w:r w:rsidRPr="00271ADE">
        <w:rPr>
          <w:rFonts w:cs="Arial" w:hint="cs"/>
          <w:rtl/>
        </w:rPr>
        <w:t>(</w:t>
      </w:r>
      <w:r w:rsidRPr="00271ADE">
        <w:rPr>
          <w:rFonts w:cs="Arial"/>
          <w:rtl/>
        </w:rPr>
        <w:t xml:space="preserve">ח"א סי' שנט וסי' תו). </w:t>
      </w:r>
      <w:r>
        <w:rPr>
          <w:rFonts w:cs="Arial" w:hint="cs"/>
          <w:rtl/>
        </w:rPr>
        <w:t>אך בתשובת הפנמ"א (ח"ב סי' סח) הביא את דברי מהר"י מרגליות שכתב-...</w:t>
      </w:r>
    </w:p>
  </w:footnote>
  <w:footnote w:id="193">
    <w:p w14:paraId="37704022" w14:textId="0E4AB537" w:rsidR="00271ADE" w:rsidRDefault="00271ADE">
      <w:pPr>
        <w:pStyle w:val="a5"/>
      </w:pPr>
      <w:r>
        <w:rPr>
          <w:rStyle w:val="a7"/>
        </w:rPr>
        <w:footnoteRef/>
      </w:r>
      <w:r>
        <w:rPr>
          <w:rtl/>
        </w:rPr>
        <w:t xml:space="preserve"> </w:t>
      </w:r>
      <w:r>
        <w:rPr>
          <w:rFonts w:cs="Arial" w:hint="cs"/>
          <w:rtl/>
        </w:rPr>
        <w:t>הביאו הפנמ"א (ח</w:t>
      </w:r>
      <w:r w:rsidRPr="00834792">
        <w:rPr>
          <w:rFonts w:cs="Arial"/>
          <w:rtl/>
        </w:rPr>
        <w:t>"ב סי' סח</w:t>
      </w:r>
      <w:r>
        <w:rPr>
          <w:rFonts w:cs="Arial" w:hint="cs"/>
          <w:rtl/>
        </w:rPr>
        <w:t>).</w:t>
      </w:r>
      <w:r w:rsidRPr="00834792">
        <w:rPr>
          <w:rFonts w:cs="Arial"/>
          <w:rtl/>
        </w:rPr>
        <w:t xml:space="preserve"> והב</w:t>
      </w:r>
      <w:r>
        <w:rPr>
          <w:rFonts w:cs="Arial" w:hint="cs"/>
          <w:rtl/>
        </w:rPr>
        <w:t>י</w:t>
      </w:r>
      <w:r w:rsidRPr="00834792">
        <w:rPr>
          <w:rFonts w:cs="Arial"/>
          <w:rtl/>
        </w:rPr>
        <w:t xml:space="preserve">א </w:t>
      </w:r>
      <w:r>
        <w:rPr>
          <w:rFonts w:cs="Arial" w:hint="cs"/>
          <w:rtl/>
        </w:rPr>
        <w:t xml:space="preserve">עוד </w:t>
      </w:r>
      <w:r w:rsidRPr="00834792">
        <w:rPr>
          <w:rFonts w:cs="Arial"/>
          <w:rtl/>
        </w:rPr>
        <w:t>תשובת חכם א' (כפי הנראה הוא הגאון מהר"ד אופנהיים) שחולק בזה על מהר"י מרגליות וכ' דשפיר יכול להיות הסופר שליח</w:t>
      </w:r>
      <w:r>
        <w:rPr>
          <w:rFonts w:cs="Arial" w:hint="cs"/>
          <w:rtl/>
        </w:rPr>
        <w:t>.</w:t>
      </w:r>
      <w:r w:rsidRPr="00834792">
        <w:rPr>
          <w:rFonts w:cs="Arial"/>
          <w:rtl/>
        </w:rPr>
        <w:t xml:space="preserve"> ואף שצריך לומר אני כתבתי ובפני נחתם לית לן בה</w:t>
      </w:r>
      <w:r>
        <w:rPr>
          <w:rFonts w:cs="Arial" w:hint="cs"/>
          <w:rtl/>
        </w:rPr>
        <w:t>,</w:t>
      </w:r>
      <w:r w:rsidRPr="00834792">
        <w:rPr>
          <w:rFonts w:cs="Arial"/>
          <w:rtl/>
        </w:rPr>
        <w:t xml:space="preserve"> דכל ענין של בפני נכתב הוא כי היכא דלא ליתי לאחלופי בקיום שטרות דעלמא</w:t>
      </w:r>
      <w:r>
        <w:rPr>
          <w:rFonts w:cs="Arial" w:hint="cs"/>
          <w:rtl/>
        </w:rPr>
        <w:t>,</w:t>
      </w:r>
      <w:r w:rsidRPr="00834792">
        <w:rPr>
          <w:rFonts w:cs="Arial"/>
          <w:rtl/>
        </w:rPr>
        <w:t xml:space="preserve"> ודאי דאין נפקותא אף אם משנה הלשון לומר אני כתבתי</w:t>
      </w:r>
      <w:r>
        <w:rPr>
          <w:rFonts w:cs="Arial" w:hint="cs"/>
          <w:rtl/>
        </w:rPr>
        <w:t>.</w:t>
      </w:r>
      <w:r w:rsidRPr="00834792">
        <w:rPr>
          <w:rFonts w:cs="Arial"/>
          <w:rtl/>
        </w:rPr>
        <w:t xml:space="preserve"> אך בענין בפני נחתם ודאי דאיכא קפידא כו' ולכן צדקו דברי א"ז דאין עד יכול להיות שליח משום דאיתפליג בעדות עצמו</w:t>
      </w:r>
      <w:r>
        <w:rPr>
          <w:rFonts w:cs="Arial" w:hint="cs"/>
          <w:rtl/>
        </w:rPr>
        <w:t>,</w:t>
      </w:r>
      <w:r w:rsidRPr="00834792">
        <w:rPr>
          <w:rFonts w:cs="Arial"/>
          <w:rtl/>
        </w:rPr>
        <w:t xml:space="preserve"> דצ"ל אני חתמתי</w:t>
      </w:r>
      <w:r>
        <w:rPr>
          <w:rFonts w:cs="Arial" w:hint="cs"/>
          <w:rtl/>
        </w:rPr>
        <w:t>,</w:t>
      </w:r>
      <w:r w:rsidRPr="00834792">
        <w:rPr>
          <w:rFonts w:cs="Arial"/>
          <w:rtl/>
        </w:rPr>
        <w:t xml:space="preserve"> ובפני חתם חבירי</w:t>
      </w:r>
      <w:r>
        <w:rPr>
          <w:rFonts w:cs="Arial" w:hint="cs"/>
          <w:rtl/>
        </w:rPr>
        <w:t>.</w:t>
      </w:r>
      <w:r w:rsidRPr="00834792">
        <w:rPr>
          <w:rFonts w:cs="Arial"/>
          <w:rtl/>
        </w:rPr>
        <w:t xml:space="preserve"> ואין לו תקנה</w:t>
      </w:r>
      <w:r>
        <w:rPr>
          <w:rFonts w:cs="Arial" w:hint="cs"/>
          <w:rtl/>
        </w:rPr>
        <w:t>,</w:t>
      </w:r>
      <w:r w:rsidRPr="00834792">
        <w:rPr>
          <w:rFonts w:cs="Arial"/>
          <w:rtl/>
        </w:rPr>
        <w:t xml:space="preserve"> אלא יתקיים בחותמיו</w:t>
      </w:r>
      <w:r>
        <w:rPr>
          <w:rFonts w:cs="Arial" w:hint="cs"/>
          <w:rtl/>
        </w:rPr>
        <w:t>.</w:t>
      </w:r>
      <w:r w:rsidRPr="00834792">
        <w:rPr>
          <w:rFonts w:cs="Arial"/>
          <w:rtl/>
        </w:rPr>
        <w:t xml:space="preserve"> משא"כ הסופר</w:t>
      </w:r>
      <w:r>
        <w:rPr>
          <w:rFonts w:cs="Arial" w:hint="cs"/>
          <w:rtl/>
        </w:rPr>
        <w:t>,</w:t>
      </w:r>
      <w:r w:rsidRPr="00834792">
        <w:rPr>
          <w:rFonts w:cs="Arial"/>
          <w:rtl/>
        </w:rPr>
        <w:t xml:space="preserve"> אף אם נעשה שליח מ"מ בחתימות שני העדים אומר בשוה בפני נחתם</w:t>
      </w:r>
      <w:r>
        <w:rPr>
          <w:rFonts w:cs="Arial" w:hint="cs"/>
          <w:rtl/>
        </w:rPr>
        <w:t>.</w:t>
      </w:r>
      <w:r w:rsidRPr="00834792">
        <w:rPr>
          <w:rFonts w:cs="Arial"/>
          <w:rtl/>
        </w:rPr>
        <w:t xml:space="preserve"> ולכך נקט הא"ז דאין לעשות העד שליח ומסופר לא משתעי מידי.</w:t>
      </w:r>
      <w:r>
        <w:rPr>
          <w:rFonts w:cs="Arial" w:hint="cs"/>
          <w:rtl/>
        </w:rPr>
        <w:t xml:space="preserve">.. </w:t>
      </w:r>
      <w:r w:rsidRPr="00834792">
        <w:rPr>
          <w:rFonts w:cs="Arial"/>
          <w:rtl/>
        </w:rPr>
        <w:t>ומכ"ש במקום עיגון ודאי דאין להחמיר כלל ואפשר דבעלי סדר הגט גופייהו לא עלו על דעתן להחמיר במקום עיגון</w:t>
      </w:r>
      <w:r>
        <w:rPr>
          <w:rFonts w:cs="Arial" w:hint="cs"/>
          <w:rtl/>
        </w:rPr>
        <w:t>.</w:t>
      </w:r>
      <w:r w:rsidRPr="00834792">
        <w:rPr>
          <w:rFonts w:cs="Arial"/>
          <w:rtl/>
        </w:rPr>
        <w:t xml:space="preserve"> עכ"ד החכם הנ"ל. </w:t>
      </w:r>
      <w:r w:rsidRPr="00271ADE">
        <w:rPr>
          <w:rFonts w:cs="Arial" w:hint="cs"/>
          <w:rtl/>
        </w:rPr>
        <w:t>ופנמ"א (</w:t>
      </w:r>
      <w:r w:rsidRPr="00271ADE">
        <w:rPr>
          <w:rFonts w:cs="Arial"/>
          <w:rtl/>
        </w:rPr>
        <w:t>שם בסי</w:t>
      </w:r>
      <w:r w:rsidRPr="00271ADE">
        <w:rPr>
          <w:rFonts w:cs="Arial" w:hint="cs"/>
          <w:rtl/>
        </w:rPr>
        <w:t>'</w:t>
      </w:r>
      <w:r w:rsidRPr="00271ADE">
        <w:rPr>
          <w:rFonts w:cs="Arial"/>
          <w:rtl/>
        </w:rPr>
        <w:t xml:space="preserve"> סט</w:t>
      </w:r>
      <w:r w:rsidRPr="00271ADE">
        <w:rPr>
          <w:rFonts w:cs="Arial" w:hint="cs"/>
          <w:rtl/>
        </w:rPr>
        <w:t>)</w:t>
      </w:r>
      <w:r w:rsidRPr="00271ADE">
        <w:rPr>
          <w:rFonts w:cs="Arial"/>
          <w:rtl/>
        </w:rPr>
        <w:t xml:space="preserve"> האריך לחלוק על החכם הנ"ל</w:t>
      </w:r>
      <w:r w:rsidRPr="00271ADE">
        <w:rPr>
          <w:rFonts w:cs="Arial" w:hint="cs"/>
          <w:rtl/>
        </w:rPr>
        <w:t>.</w:t>
      </w:r>
      <w:r w:rsidRPr="00271ADE">
        <w:rPr>
          <w:rFonts w:cs="Arial"/>
          <w:rtl/>
        </w:rPr>
        <w:t xml:space="preserve"> ומסיק דחלילה לנו להקל נגד הני גאונים מהר"י מרגליות ומהר"ם מקראקא</w:t>
      </w:r>
      <w:r w:rsidRPr="00271ADE">
        <w:rPr>
          <w:rFonts w:cs="Arial" w:hint="cs"/>
          <w:rtl/>
        </w:rPr>
        <w:t>.</w:t>
      </w:r>
      <w:r w:rsidRPr="00271ADE">
        <w:rPr>
          <w:rFonts w:cs="Arial"/>
          <w:rtl/>
        </w:rPr>
        <w:t xml:space="preserve"> ובנ"ד יתקיים הגט בחותמיו לפני ב"ד</w:t>
      </w:r>
      <w:r w:rsidRPr="00271ADE">
        <w:rPr>
          <w:rFonts w:cs="Arial" w:hint="cs"/>
          <w:rtl/>
        </w:rPr>
        <w:t>,</w:t>
      </w:r>
      <w:r w:rsidRPr="00271ADE">
        <w:rPr>
          <w:rFonts w:cs="Arial"/>
          <w:rtl/>
        </w:rPr>
        <w:t xml:space="preserve"> או הוא ואחר יעידו על חתימת השני והוי כולו בקיום הגט ע"ש. ועיין בס' ישועות יעקב ס"ס קנ"ד בסה"ג ס"ק י"ז שהזכיר ג"כ דברי הפמ"א הנ"ל ברמיזה וכתב שדעתו מסכמת לדעת הגאון מהר"ד אופנהיים אמנם רק בשעת הדחק כעובדא דשם ע"ש</w:t>
      </w:r>
      <w:r>
        <w:rPr>
          <w:rFonts w:cs="Arial" w:hint="cs"/>
          <w:rtl/>
        </w:rPr>
        <w:t>, פת"ש (סקכ"א).</w:t>
      </w:r>
    </w:p>
  </w:footnote>
  <w:footnote w:id="194">
    <w:p w14:paraId="2F7BB68C" w14:textId="42FFEECA" w:rsidR="00222225" w:rsidRDefault="00222225">
      <w:pPr>
        <w:pStyle w:val="a5"/>
      </w:pPr>
      <w:r>
        <w:rPr>
          <w:rStyle w:val="a7"/>
        </w:rPr>
        <w:footnoteRef/>
      </w:r>
      <w:r>
        <w:rPr>
          <w:rtl/>
        </w:rPr>
        <w:t xml:space="preserve"> </w:t>
      </w:r>
      <w:r w:rsidRPr="00222225">
        <w:rPr>
          <w:rFonts w:cs="Arial"/>
          <w:rtl/>
        </w:rPr>
        <w:t>בשביל כולן</w:t>
      </w:r>
      <w:r>
        <w:rPr>
          <w:rFonts w:cs="Arial" w:hint="cs"/>
          <w:rtl/>
        </w:rPr>
        <w:t>, רש"י.</w:t>
      </w:r>
    </w:p>
  </w:footnote>
  <w:footnote w:id="195">
    <w:p w14:paraId="4C2BE4C1" w14:textId="63A62A52" w:rsidR="00F14CBE" w:rsidRDefault="00F14CBE" w:rsidP="00F14CBE">
      <w:pPr>
        <w:pStyle w:val="a5"/>
      </w:pPr>
      <w:r>
        <w:rPr>
          <w:rStyle w:val="a7"/>
        </w:rPr>
        <w:footnoteRef/>
      </w:r>
      <w:r>
        <w:rPr>
          <w:rtl/>
        </w:rPr>
        <w:t xml:space="preserve"> </w:t>
      </w:r>
      <w:r>
        <w:rPr>
          <w:rFonts w:hint="cs"/>
          <w:rtl/>
        </w:rPr>
        <w:t xml:space="preserve">סימן </w:t>
      </w:r>
      <w:r w:rsidR="00A42812">
        <w:rPr>
          <w:rFonts w:hint="cs"/>
          <w:rtl/>
        </w:rPr>
        <w:t>-</w:t>
      </w:r>
      <w:r>
        <w:rPr>
          <w:rFonts w:hint="cs"/>
          <w:rtl/>
        </w:rPr>
        <w:t xml:space="preserve"> י' חתומים.</w:t>
      </w:r>
    </w:p>
  </w:footnote>
  <w:footnote w:id="196">
    <w:p w14:paraId="56189635" w14:textId="1E31137D" w:rsidR="00DF22DF" w:rsidRDefault="00DF22DF">
      <w:pPr>
        <w:pStyle w:val="a5"/>
      </w:pPr>
      <w:r>
        <w:rPr>
          <w:rStyle w:val="a7"/>
        </w:rPr>
        <w:footnoteRef/>
      </w:r>
      <w:r>
        <w:rPr>
          <w:rtl/>
        </w:rPr>
        <w:t xml:space="preserve"> </w:t>
      </w:r>
      <w:r w:rsidRPr="00DF22DF">
        <w:rPr>
          <w:rFonts w:cs="Arial"/>
          <w:rtl/>
        </w:rPr>
        <w:t>דמתניתין דאמר נכתב ביום ונחתם בלילה כשר</w:t>
      </w:r>
      <w:r>
        <w:rPr>
          <w:rFonts w:cs="Arial" w:hint="cs"/>
          <w:rtl/>
        </w:rPr>
        <w:t>, רש"י.</w:t>
      </w:r>
    </w:p>
  </w:footnote>
  <w:footnote w:id="197">
    <w:p w14:paraId="3E7F3FFD" w14:textId="7D333AF2" w:rsidR="00DF22DF" w:rsidRDefault="00DF22DF">
      <w:pPr>
        <w:pStyle w:val="a5"/>
      </w:pPr>
      <w:r>
        <w:rPr>
          <w:rStyle w:val="a7"/>
        </w:rPr>
        <w:footnoteRef/>
      </w:r>
      <w:r>
        <w:rPr>
          <w:rtl/>
        </w:rPr>
        <w:t xml:space="preserve"> </w:t>
      </w:r>
      <w:r w:rsidRPr="00DF22DF">
        <w:rPr>
          <w:rFonts w:cs="Arial"/>
          <w:rtl/>
        </w:rPr>
        <w:t>שהלך זה לדרכו או ניסת כבר בגט זה</w:t>
      </w:r>
      <w:r>
        <w:rPr>
          <w:rFonts w:cs="Arial" w:hint="cs"/>
          <w:rtl/>
        </w:rPr>
        <w:t>, רש"י.</w:t>
      </w:r>
    </w:p>
  </w:footnote>
  <w:footnote w:id="198">
    <w:p w14:paraId="202C14F1" w14:textId="06B815BD" w:rsidR="007611DF" w:rsidRDefault="007611DF">
      <w:pPr>
        <w:pStyle w:val="a5"/>
      </w:pPr>
      <w:r>
        <w:rPr>
          <w:rStyle w:val="a7"/>
        </w:rPr>
        <w:footnoteRef/>
      </w:r>
      <w:r>
        <w:rPr>
          <w:rtl/>
        </w:rPr>
        <w:t xml:space="preserve"> </w:t>
      </w:r>
      <w:r w:rsidRPr="007611DF">
        <w:rPr>
          <w:rFonts w:cs="Arial"/>
          <w:rtl/>
        </w:rPr>
        <w:t>לרבי יהושע בן לוי</w:t>
      </w:r>
      <w:r>
        <w:rPr>
          <w:rFonts w:cs="Arial" w:hint="cs"/>
          <w:rtl/>
        </w:rPr>
        <w:t>, רש"י.</w:t>
      </w:r>
    </w:p>
  </w:footnote>
  <w:footnote w:id="199">
    <w:p w14:paraId="6B175929" w14:textId="5E003ECB" w:rsidR="007611DF" w:rsidRDefault="007611DF">
      <w:pPr>
        <w:pStyle w:val="a5"/>
      </w:pPr>
      <w:r>
        <w:rPr>
          <w:rStyle w:val="a7"/>
        </w:rPr>
        <w:footnoteRef/>
      </w:r>
      <w:r>
        <w:rPr>
          <w:rtl/>
        </w:rPr>
        <w:t xml:space="preserve"> </w:t>
      </w:r>
      <w:r w:rsidRPr="007611DF">
        <w:rPr>
          <w:rFonts w:cs="Arial"/>
          <w:rtl/>
        </w:rPr>
        <w:t>ואין כאן הקדמה דתנאי נינהו ואפילו לרבנן כשר</w:t>
      </w:r>
      <w:r>
        <w:rPr>
          <w:rFonts w:cs="Arial" w:hint="cs"/>
          <w:rtl/>
        </w:rPr>
        <w:t>, רש"י.</w:t>
      </w:r>
    </w:p>
  </w:footnote>
  <w:footnote w:id="200">
    <w:p w14:paraId="21C43478" w14:textId="773AC154" w:rsidR="002776DA" w:rsidRDefault="002776DA" w:rsidP="002776DA">
      <w:pPr>
        <w:pStyle w:val="a5"/>
      </w:pPr>
      <w:r>
        <w:rPr>
          <w:rStyle w:val="a7"/>
        </w:rPr>
        <w:footnoteRef/>
      </w:r>
      <w:r>
        <w:rPr>
          <w:rtl/>
        </w:rPr>
        <w:t xml:space="preserve"> </w:t>
      </w:r>
      <w:r w:rsidRPr="00D05B9F">
        <w:rPr>
          <w:rFonts w:cs="Arial"/>
          <w:rtl/>
        </w:rPr>
        <w:t>מדקאמר סתמא דהש"ס אי חתום בתחילה קרוב או פסול אמרי לה כשר ואמרי לה פסול אלמא כרבי יוחנן קי"ל</w:t>
      </w:r>
      <w:r>
        <w:rPr>
          <w:rFonts w:cs="Arial" w:hint="cs"/>
          <w:rtl/>
        </w:rPr>
        <w:t>, רא"ש בשם הרי"ף (שם)</w:t>
      </w:r>
      <w:r w:rsidRPr="00D05B9F">
        <w:rPr>
          <w:rFonts w:cs="Arial"/>
          <w:rtl/>
        </w:rPr>
        <w:t>.</w:t>
      </w:r>
    </w:p>
  </w:footnote>
  <w:footnote w:id="201">
    <w:p w14:paraId="77C22B55" w14:textId="4DC5915D" w:rsidR="00197F32" w:rsidRDefault="00197F32" w:rsidP="00197F32">
      <w:pPr>
        <w:pStyle w:val="a5"/>
        <w:rPr>
          <w:rtl/>
        </w:rPr>
      </w:pPr>
      <w:r>
        <w:rPr>
          <w:rStyle w:val="a7"/>
        </w:rPr>
        <w:footnoteRef/>
      </w:r>
      <w:r>
        <w:rPr>
          <w:rtl/>
        </w:rPr>
        <w:t xml:space="preserve"> </w:t>
      </w:r>
      <w:r>
        <w:rPr>
          <w:rFonts w:hint="cs"/>
          <w:rtl/>
        </w:rPr>
        <w:t xml:space="preserve">כתב הב"י דנראה מדברי הטור </w:t>
      </w:r>
      <w:r>
        <w:rPr>
          <w:rFonts w:hint="cs"/>
          <w:sz w:val="16"/>
          <w:szCs w:val="16"/>
          <w:rtl/>
        </w:rPr>
        <w:t>{</w:t>
      </w:r>
      <w:r w:rsidRPr="00197F32">
        <w:rPr>
          <w:rFonts w:hint="cs"/>
          <w:sz w:val="16"/>
          <w:szCs w:val="16"/>
          <w:rtl/>
        </w:rPr>
        <w:t>וממילא גם מדברי הרמב"ם</w:t>
      </w:r>
      <w:r w:rsidR="00877424">
        <w:rPr>
          <w:rFonts w:hint="cs"/>
          <w:sz w:val="16"/>
          <w:szCs w:val="16"/>
          <w:rtl/>
        </w:rPr>
        <w:t>,</w:t>
      </w:r>
      <w:r w:rsidRPr="00197F32">
        <w:rPr>
          <w:rFonts w:hint="cs"/>
          <w:sz w:val="16"/>
          <w:szCs w:val="16"/>
          <w:rtl/>
        </w:rPr>
        <w:t xml:space="preserve"> שכתבו בזה אותו דבר</w:t>
      </w:r>
      <w:r>
        <w:rPr>
          <w:rFonts w:hint="cs"/>
          <w:sz w:val="16"/>
          <w:szCs w:val="16"/>
          <w:rtl/>
        </w:rPr>
        <w:t>}</w:t>
      </w:r>
      <w:r w:rsidRPr="00197F32">
        <w:rPr>
          <w:rFonts w:cs="Arial"/>
          <w:sz w:val="16"/>
          <w:szCs w:val="16"/>
          <w:rtl/>
        </w:rPr>
        <w:t xml:space="preserve"> </w:t>
      </w:r>
      <w:r>
        <w:rPr>
          <w:rFonts w:cs="Arial"/>
          <w:rtl/>
        </w:rPr>
        <w:t>דלא סגי בשיאמר כתבו לבד</w:t>
      </w:r>
      <w:r w:rsidR="00877424">
        <w:rPr>
          <w:rFonts w:cs="Arial" w:hint="cs"/>
          <w:rtl/>
        </w:rPr>
        <w:t>,</w:t>
      </w:r>
      <w:r>
        <w:rPr>
          <w:rFonts w:cs="Arial"/>
          <w:rtl/>
        </w:rPr>
        <w:t xml:space="preserve"> דכתבו לא משמע אלא אכתיבת הגט</w:t>
      </w:r>
      <w:r w:rsidR="00877424">
        <w:rPr>
          <w:rFonts w:cs="Arial" w:hint="cs"/>
          <w:rtl/>
        </w:rPr>
        <w:t>,</w:t>
      </w:r>
      <w:r>
        <w:rPr>
          <w:rFonts w:cs="Arial"/>
          <w:rtl/>
        </w:rPr>
        <w:t xml:space="preserve"> אלא צריך שיאמר גם כן חתמו</w:t>
      </w:r>
      <w:r w:rsidR="00877424">
        <w:rPr>
          <w:rFonts w:cs="Arial" w:hint="cs"/>
          <w:rtl/>
        </w:rPr>
        <w:t>.</w:t>
      </w:r>
      <w:r>
        <w:rPr>
          <w:rFonts w:cs="Arial"/>
          <w:rtl/>
        </w:rPr>
        <w:t xml:space="preserve"> ולפיכך כתב ברישא אמר לעשרה כתבו וחתמו ותנו גט</w:t>
      </w:r>
      <w:r w:rsidR="00877424">
        <w:rPr>
          <w:rFonts w:cs="Arial" w:hint="cs"/>
          <w:rtl/>
        </w:rPr>
        <w:t>,</w:t>
      </w:r>
      <w:r>
        <w:rPr>
          <w:rFonts w:cs="Arial"/>
          <w:rtl/>
        </w:rPr>
        <w:t xml:space="preserve"> ובסיפא כתב אמר כולכם חתמו</w:t>
      </w:r>
      <w:r w:rsidR="00877424">
        <w:rPr>
          <w:rFonts w:cs="Arial" w:hint="cs"/>
          <w:rtl/>
        </w:rPr>
        <w:t>,</w:t>
      </w:r>
      <w:r>
        <w:rPr>
          <w:rFonts w:cs="Arial"/>
          <w:rtl/>
        </w:rPr>
        <w:t xml:space="preserve"> כלומר כשאמר להם כתבו אמר כולכם חתמו</w:t>
      </w:r>
      <w:r w:rsidR="00877424">
        <w:rPr>
          <w:rFonts w:cs="Arial" w:hint="cs"/>
          <w:rtl/>
        </w:rPr>
        <w:t>.</w:t>
      </w:r>
      <w:r>
        <w:rPr>
          <w:rFonts w:cs="Arial"/>
          <w:rtl/>
        </w:rPr>
        <w:t xml:space="preserve"> ולפי זה מתניתין דקתני </w:t>
      </w:r>
      <w:r w:rsidR="00877424">
        <w:rPr>
          <w:rFonts w:cs="Arial" w:hint="cs"/>
          <w:rtl/>
        </w:rPr>
        <w:t>'</w:t>
      </w:r>
      <w:r>
        <w:rPr>
          <w:rFonts w:cs="Arial"/>
          <w:rtl/>
        </w:rPr>
        <w:t>כתבו</w:t>
      </w:r>
      <w:r w:rsidR="00877424">
        <w:rPr>
          <w:rFonts w:cs="Arial" w:hint="cs"/>
          <w:rtl/>
        </w:rPr>
        <w:t>'</w:t>
      </w:r>
      <w:r>
        <w:rPr>
          <w:rFonts w:cs="Arial"/>
          <w:rtl/>
        </w:rPr>
        <w:t xml:space="preserve"> </w:t>
      </w:r>
      <w:r w:rsidR="00877424">
        <w:rPr>
          <w:rFonts w:cs="Arial" w:hint="cs"/>
          <w:rtl/>
        </w:rPr>
        <w:t xml:space="preserve">- </w:t>
      </w:r>
      <w:r>
        <w:rPr>
          <w:rFonts w:cs="Arial"/>
          <w:rtl/>
        </w:rPr>
        <w:t>לישנא קטיעא</w:t>
      </w:r>
      <w:r w:rsidR="00AC0C3D">
        <w:rPr>
          <w:rFonts w:cs="Arial" w:hint="cs"/>
          <w:rtl/>
        </w:rPr>
        <w:t xml:space="preserve"> </w:t>
      </w:r>
      <w:r w:rsidR="00AC0C3D" w:rsidRPr="00AC0C3D">
        <w:rPr>
          <w:rFonts w:cs="Arial" w:hint="cs"/>
          <w:sz w:val="16"/>
          <w:szCs w:val="16"/>
          <w:rtl/>
        </w:rPr>
        <w:t>{</w:t>
      </w:r>
      <w:r w:rsidR="00AC0C3D" w:rsidRPr="00AC0C3D">
        <w:rPr>
          <w:rFonts w:cs="Arial"/>
          <w:sz w:val="16"/>
          <w:szCs w:val="16"/>
          <w:rtl/>
        </w:rPr>
        <w:t>ודוחק הוא</w:t>
      </w:r>
      <w:r w:rsidR="00AC0C3D" w:rsidRPr="00AC0C3D">
        <w:rPr>
          <w:rFonts w:cs="Arial" w:hint="cs"/>
          <w:sz w:val="16"/>
          <w:szCs w:val="16"/>
          <w:rtl/>
        </w:rPr>
        <w:t>,</w:t>
      </w:r>
      <w:r w:rsidR="00AC0C3D" w:rsidRPr="00AC0C3D">
        <w:rPr>
          <w:rFonts w:cs="Arial"/>
          <w:sz w:val="16"/>
          <w:szCs w:val="16"/>
          <w:rtl/>
        </w:rPr>
        <w:t xml:space="preserve"> גם תמי</w:t>
      </w:r>
      <w:r w:rsidR="00AC0C3D" w:rsidRPr="00AC0C3D">
        <w:rPr>
          <w:rFonts w:cs="Arial" w:hint="cs"/>
          <w:sz w:val="16"/>
          <w:szCs w:val="16"/>
          <w:rtl/>
        </w:rPr>
        <w:t>ה</w:t>
      </w:r>
      <w:r w:rsidR="00AC0C3D" w:rsidRPr="00AC0C3D">
        <w:rPr>
          <w:rFonts w:cs="Arial"/>
          <w:sz w:val="16"/>
          <w:szCs w:val="16"/>
          <w:rtl/>
        </w:rPr>
        <w:t xml:space="preserve"> לי הא איתא שם שלחו מבי רב לשמואל וכו' ושמואל מספקא האומר כתבו אם כוונתו לכתוב הגט או לחתימת ידם</w:t>
      </w:r>
      <w:r w:rsidR="00AC0C3D" w:rsidRPr="00AC0C3D">
        <w:rPr>
          <w:rFonts w:cs="Arial" w:hint="cs"/>
          <w:sz w:val="16"/>
          <w:szCs w:val="16"/>
          <w:rtl/>
        </w:rPr>
        <w:t>,</w:t>
      </w:r>
      <w:r w:rsidR="00AC0C3D" w:rsidRPr="00AC0C3D">
        <w:rPr>
          <w:rFonts w:cs="Arial"/>
          <w:sz w:val="16"/>
          <w:szCs w:val="16"/>
          <w:rtl/>
        </w:rPr>
        <w:t xml:space="preserve"> ש"מ אם אמר כלכם כתבו י"ל על החתימה קאמר וצל"ע</w:t>
      </w:r>
      <w:r w:rsidR="00AC0C3D" w:rsidRPr="00AC0C3D">
        <w:rPr>
          <w:rFonts w:cs="Arial" w:hint="cs"/>
          <w:sz w:val="16"/>
          <w:szCs w:val="16"/>
          <w:rtl/>
        </w:rPr>
        <w:t>, ב"ש (סקי"א)</w:t>
      </w:r>
      <w:r w:rsidR="00AC0C3D">
        <w:rPr>
          <w:rFonts w:cs="Arial" w:hint="cs"/>
          <w:sz w:val="16"/>
          <w:szCs w:val="16"/>
          <w:rtl/>
        </w:rPr>
        <w:t>}</w:t>
      </w:r>
      <w:r w:rsidR="00AC0C3D">
        <w:rPr>
          <w:rFonts w:cs="Arial" w:hint="cs"/>
          <w:rtl/>
        </w:rPr>
        <w:t>.</w:t>
      </w:r>
      <w:r>
        <w:rPr>
          <w:rFonts w:cs="Arial"/>
          <w:rtl/>
        </w:rPr>
        <w:t xml:space="preserve"> </w:t>
      </w:r>
      <w:r w:rsidRPr="00AC0C3D">
        <w:rPr>
          <w:rFonts w:cs="Arial"/>
          <w:rtl/>
        </w:rPr>
        <w:t>עוד יש דינים דשייכי לדינים הללו וכתבם רבינו בסימן קמ"א</w:t>
      </w:r>
      <w:r>
        <w:rPr>
          <w:rFonts w:hint="cs"/>
          <w:rtl/>
        </w:rPr>
        <w:t>, ב"י</w:t>
      </w:r>
      <w:r w:rsidR="00AC0C3D">
        <w:rPr>
          <w:rFonts w:cs="Arial" w:hint="cs"/>
          <w:rtl/>
        </w:rPr>
        <w:t>.</w:t>
      </w:r>
    </w:p>
  </w:footnote>
  <w:footnote w:id="202">
    <w:p w14:paraId="50A7DAB2" w14:textId="204FB157" w:rsidR="00FA4DEB" w:rsidRDefault="00FA4DEB">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FA4DEB">
        <w:rPr>
          <w:rFonts w:cs="Arial"/>
          <w:rtl/>
        </w:rPr>
        <w:t>וקי"ל כר</w:t>
      </w:r>
      <w:r>
        <w:rPr>
          <w:rFonts w:cs="Arial" w:hint="cs"/>
          <w:rtl/>
        </w:rPr>
        <w:t>' יוחנן</w:t>
      </w:r>
      <w:r w:rsidRPr="00FA4DEB">
        <w:rPr>
          <w:rFonts w:cs="Arial"/>
          <w:rtl/>
        </w:rPr>
        <w:t xml:space="preserve"> דאמר תרי משום עדים ואינך משום תנאי ומקיים תנאיה ואזיל</w:t>
      </w:r>
      <w:r w:rsidR="00EB5880">
        <w:rPr>
          <w:rFonts w:cs="Arial" w:hint="cs"/>
          <w:rtl/>
        </w:rPr>
        <w:t>,</w:t>
      </w:r>
      <w:r w:rsidRPr="00FA4DEB">
        <w:rPr>
          <w:rFonts w:cs="Arial"/>
          <w:rtl/>
        </w:rPr>
        <w:t xml:space="preserve"> וכן פסק הרמב"ם ז"ל פ"ט</w:t>
      </w:r>
      <w:r>
        <w:rPr>
          <w:rFonts w:cs="Arial" w:hint="cs"/>
          <w:rtl/>
        </w:rPr>
        <w:t>,</w:t>
      </w:r>
      <w:r w:rsidRPr="00FA4DEB">
        <w:rPr>
          <w:rFonts w:cs="Arial"/>
          <w:rtl/>
        </w:rPr>
        <w:t xml:space="preserve"> וכן נראה לכאורה מדאמרי' בגמ' להדיא ולחתום בתחלה קרוב או פסול אמרי לה כשר ואמרי לה פסול אמרי לה כשר דתנאי הוא אלמא הלכתא כמאן דאמר משום תנאי, ואף על גב דריב"ל קאי כותיה דר"ל כדאמרי' בסמוך והא א"ר יוחנן שנים משום עדים וכולם משום תנאי ומשני בההיא כרשב"ל ס"ל, אפי' הכי מדאמרי' תנאי הוא להדיא כר' יוחנן ש"מ כותיה עבדינן אבל הרב בה"ג כתב דברי ריב"ל דאמר כדאי הוא ר' שמעון דמתני' לסמוך עליו בשעת הדחק</w:t>
      </w:r>
      <w:r w:rsidR="00EB5880">
        <w:rPr>
          <w:rFonts w:cs="Arial" w:hint="cs"/>
          <w:rtl/>
        </w:rPr>
        <w:t>,</w:t>
      </w:r>
      <w:r w:rsidRPr="00FA4DEB">
        <w:rPr>
          <w:rFonts w:cs="Arial"/>
          <w:rtl/>
        </w:rPr>
        <w:t xml:space="preserve"> ולא כתב חלוקתן של רבי יוחנן ור"ל</w:t>
      </w:r>
      <w:r w:rsidR="00EB5880">
        <w:rPr>
          <w:rFonts w:cs="Arial" w:hint="cs"/>
          <w:rtl/>
        </w:rPr>
        <w:t>,</w:t>
      </w:r>
      <w:r w:rsidRPr="00FA4DEB">
        <w:rPr>
          <w:rFonts w:cs="Arial"/>
          <w:rtl/>
        </w:rPr>
        <w:t xml:space="preserve"> משמע דס"ל דדוקא בשעת הדחק כלומר שנשאת בו</w:t>
      </w:r>
      <w:r w:rsidR="00EB5880">
        <w:rPr>
          <w:rFonts w:cs="Arial" w:hint="cs"/>
          <w:rtl/>
        </w:rPr>
        <w:t>,</w:t>
      </w:r>
      <w:r w:rsidRPr="00FA4DEB">
        <w:rPr>
          <w:rFonts w:cs="Arial"/>
          <w:rtl/>
        </w:rPr>
        <w:t xml:space="preserve"> וכר"ש דמתני' דמכשר נכתב ביום ונחתם בלילה</w:t>
      </w:r>
      <w:r w:rsidR="00EB5880">
        <w:rPr>
          <w:rFonts w:cs="Arial" w:hint="cs"/>
          <w:rtl/>
        </w:rPr>
        <w:t>,</w:t>
      </w:r>
      <w:r w:rsidRPr="00FA4DEB">
        <w:rPr>
          <w:rFonts w:cs="Arial"/>
          <w:rtl/>
        </w:rPr>
        <w:t xml:space="preserve"> הא לאו הכי פסול</w:t>
      </w:r>
      <w:r w:rsidR="00EB5880">
        <w:rPr>
          <w:rFonts w:cs="Arial" w:hint="cs"/>
          <w:rtl/>
        </w:rPr>
        <w:t>,</w:t>
      </w:r>
      <w:r w:rsidRPr="00FA4DEB">
        <w:rPr>
          <w:rFonts w:cs="Arial"/>
          <w:rtl/>
        </w:rPr>
        <w:t xml:space="preserve"> וכרשב"ל דאמר כולן משום עדים</w:t>
      </w:r>
      <w:r w:rsidR="00EB5880">
        <w:rPr>
          <w:rFonts w:hint="cs"/>
          <w:rtl/>
        </w:rPr>
        <w:t>.</w:t>
      </w:r>
    </w:p>
  </w:footnote>
  <w:footnote w:id="203">
    <w:p w14:paraId="2F60413A" w14:textId="2FD095B4" w:rsidR="00EB5880" w:rsidRDefault="00EB5880" w:rsidP="00EB5880">
      <w:pPr>
        <w:pStyle w:val="a5"/>
        <w:rPr>
          <w:rtl/>
        </w:rPr>
      </w:pPr>
      <w:r>
        <w:rPr>
          <w:rStyle w:val="a7"/>
        </w:rPr>
        <w:footnoteRef/>
      </w:r>
      <w:r>
        <w:rPr>
          <w:rtl/>
        </w:rPr>
        <w:t xml:space="preserve"> </w:t>
      </w:r>
      <w:r w:rsidR="002776DA">
        <w:rPr>
          <w:rFonts w:cs="Arial" w:hint="cs"/>
          <w:rtl/>
        </w:rPr>
        <w:t>ד</w:t>
      </w:r>
      <w:r w:rsidRPr="00EB5880">
        <w:rPr>
          <w:rFonts w:cs="Arial"/>
          <w:rtl/>
        </w:rPr>
        <w:t>הלכה כרבי יהושע בן לוי לגבי רבי יוחנן</w:t>
      </w:r>
      <w:r>
        <w:rPr>
          <w:rFonts w:cs="Arial" w:hint="cs"/>
          <w:rtl/>
        </w:rPr>
        <w:t>, הגה"מ (שם).</w:t>
      </w:r>
      <w:r w:rsidRPr="00EB5880">
        <w:rPr>
          <w:rFonts w:cs="Arial"/>
          <w:rtl/>
        </w:rPr>
        <w:t xml:space="preserve"> </w:t>
      </w:r>
      <w:r w:rsidRPr="00BA15E7">
        <w:rPr>
          <w:rFonts w:cs="Arial"/>
          <w:rtl/>
        </w:rPr>
        <w:t>ונראה לי להחמיר דהא יש פוסלין כשהפסול והקרוב למטה כמו שיתבאר</w:t>
      </w:r>
      <w:r>
        <w:rPr>
          <w:rFonts w:cs="Arial" w:hint="cs"/>
          <w:rtl/>
        </w:rPr>
        <w:t>,</w:t>
      </w:r>
      <w:r w:rsidRPr="00BA15E7">
        <w:rPr>
          <w:rFonts w:cs="Arial"/>
          <w:rtl/>
        </w:rPr>
        <w:t xml:space="preserve"> ולכן יש להחמיר בכל ענין</w:t>
      </w:r>
      <w:r>
        <w:rPr>
          <w:rFonts w:cs="Arial" w:hint="cs"/>
          <w:rtl/>
        </w:rPr>
        <w:t>, דרכ"מ (אות ז).</w:t>
      </w:r>
    </w:p>
  </w:footnote>
  <w:footnote w:id="204">
    <w:p w14:paraId="0A1232CF" w14:textId="70E2ECC9" w:rsidR="0065687E" w:rsidRDefault="0065687E">
      <w:pPr>
        <w:pStyle w:val="a5"/>
      </w:pPr>
      <w:r>
        <w:rPr>
          <w:rStyle w:val="a7"/>
        </w:rPr>
        <w:footnoteRef/>
      </w:r>
      <w:r>
        <w:rPr>
          <w:rtl/>
        </w:rPr>
        <w:t xml:space="preserve"> </w:t>
      </w:r>
      <w:r>
        <w:rPr>
          <w:rFonts w:hint="cs"/>
          <w:rtl/>
        </w:rPr>
        <w:t xml:space="preserve">סימן </w:t>
      </w:r>
      <w:r w:rsidR="00A42812">
        <w:rPr>
          <w:rtl/>
        </w:rPr>
        <w:t>-</w:t>
      </w:r>
      <w:r>
        <w:rPr>
          <w:rFonts w:hint="cs"/>
          <w:rtl/>
        </w:rPr>
        <w:t xml:space="preserve"> יחתמו יחד.</w:t>
      </w:r>
    </w:p>
  </w:footnote>
  <w:footnote w:id="205">
    <w:p w14:paraId="1C8E6F86" w14:textId="0C9EEC4C" w:rsidR="00EC166A" w:rsidRPr="0065687E" w:rsidRDefault="00EC166A" w:rsidP="0065687E">
      <w:pPr>
        <w:pStyle w:val="a5"/>
        <w:rPr>
          <w:rFonts w:cs="Aria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ולמה אמרו חכמים אין עידי הגט חותמין אלא זה בפני זה</w:t>
      </w:r>
      <w:r w:rsidR="0065687E">
        <w:rPr>
          <w:rFonts w:cs="Arial" w:hint="cs"/>
          <w:rtl/>
        </w:rPr>
        <w:t xml:space="preserve">, </w:t>
      </w:r>
      <w:r>
        <w:rPr>
          <w:rFonts w:cs="Arial"/>
          <w:rtl/>
        </w:rPr>
        <w:t>גזירה שמא יאמר לרבים כולכם חתומו</w:t>
      </w:r>
      <w:r w:rsidR="0065687E">
        <w:rPr>
          <w:rFonts w:cs="Arial" w:hint="cs"/>
          <w:rtl/>
        </w:rPr>
        <w:t>,</w:t>
      </w:r>
      <w:r>
        <w:rPr>
          <w:rFonts w:cs="Arial"/>
          <w:rtl/>
        </w:rPr>
        <w:t xml:space="preserve"> אם תאמר חותמין זה שלא בפני זה</w:t>
      </w:r>
      <w:r w:rsidR="0065687E">
        <w:rPr>
          <w:rFonts w:cs="Arial" w:hint="cs"/>
          <w:rtl/>
        </w:rPr>
        <w:t>,</w:t>
      </w:r>
      <w:r>
        <w:rPr>
          <w:rFonts w:cs="Arial"/>
          <w:rtl/>
        </w:rPr>
        <w:t xml:space="preserve"> שמא יעידו שנים ותטול הגט בידה ותחשוב שכבר העידו בו</w:t>
      </w:r>
      <w:r w:rsidR="0065687E">
        <w:rPr>
          <w:rFonts w:cs="Arial" w:hint="cs"/>
          <w:rtl/>
        </w:rPr>
        <w:t>,</w:t>
      </w:r>
      <w:r>
        <w:rPr>
          <w:rFonts w:cs="Arial"/>
          <w:rtl/>
        </w:rPr>
        <w:t xml:space="preserve"> ועדיין לא נתקיים התנאי</w:t>
      </w:r>
      <w:r>
        <w:rPr>
          <w:rFonts w:cs="Arial" w:hint="cs"/>
          <w:rtl/>
        </w:rPr>
        <w:t>.</w:t>
      </w:r>
    </w:p>
  </w:footnote>
  <w:footnote w:id="206">
    <w:p w14:paraId="2647CA50" w14:textId="77777777" w:rsidR="00625AF6" w:rsidRDefault="00625AF6" w:rsidP="00625AF6">
      <w:pPr>
        <w:pStyle w:val="a5"/>
      </w:pPr>
      <w:r>
        <w:rPr>
          <w:rStyle w:val="a7"/>
        </w:rPr>
        <w:footnoteRef/>
      </w:r>
      <w:r>
        <w:rPr>
          <w:rtl/>
        </w:rPr>
        <w:t xml:space="preserve"> </w:t>
      </w:r>
      <w:r w:rsidRPr="001D15A6">
        <w:rPr>
          <w:rFonts w:cs="Arial"/>
          <w:rtl/>
        </w:rPr>
        <w:t>וכן נראה מדברי הרא"ש בס</w:t>
      </w:r>
      <w:r>
        <w:rPr>
          <w:rFonts w:cs="Arial" w:hint="cs"/>
          <w:rtl/>
        </w:rPr>
        <w:t>"</w:t>
      </w:r>
      <w:r w:rsidRPr="001D15A6">
        <w:rPr>
          <w:rFonts w:cs="Arial"/>
          <w:rtl/>
        </w:rPr>
        <w:t>פ הזורק</w:t>
      </w:r>
      <w:r w:rsidRPr="00E04C4A">
        <w:rPr>
          <w:rFonts w:cs="Arial"/>
          <w:sz w:val="16"/>
          <w:szCs w:val="16"/>
          <w:rtl/>
        </w:rPr>
        <w:t xml:space="preserve"> (</w:t>
      </w:r>
      <w:r w:rsidRPr="00E04C4A">
        <w:rPr>
          <w:rFonts w:cs="Arial" w:hint="cs"/>
          <w:sz w:val="16"/>
          <w:szCs w:val="16"/>
          <w:rtl/>
        </w:rPr>
        <w:t xml:space="preserve">פ"ח </w:t>
      </w:r>
      <w:r w:rsidRPr="00E04C4A">
        <w:rPr>
          <w:rFonts w:cs="Arial"/>
          <w:sz w:val="16"/>
          <w:szCs w:val="16"/>
          <w:rtl/>
        </w:rPr>
        <w:t>סי' יג</w:t>
      </w:r>
      <w:r w:rsidRPr="00E04C4A">
        <w:rPr>
          <w:rFonts w:cs="Arial" w:hint="cs"/>
          <w:sz w:val="16"/>
          <w:szCs w:val="16"/>
          <w:rtl/>
        </w:rPr>
        <w:t xml:space="preserve">, </w:t>
      </w:r>
      <w:r>
        <w:rPr>
          <w:rFonts w:cs="Arial" w:hint="cs"/>
          <w:sz w:val="16"/>
          <w:szCs w:val="16"/>
          <w:rtl/>
        </w:rPr>
        <w:t xml:space="preserve">במה שכתב בשם </w:t>
      </w:r>
      <w:r w:rsidRPr="00E04C4A">
        <w:rPr>
          <w:rFonts w:cs="Arial"/>
          <w:sz w:val="16"/>
          <w:szCs w:val="16"/>
          <w:rtl/>
        </w:rPr>
        <w:t>ה"ר משולם</w:t>
      </w:r>
      <w:r>
        <w:rPr>
          <w:rFonts w:cs="Arial" w:hint="cs"/>
          <w:sz w:val="16"/>
          <w:szCs w:val="16"/>
          <w:rtl/>
        </w:rPr>
        <w:t>)</w:t>
      </w:r>
      <w:r>
        <w:rPr>
          <w:rFonts w:cs="Arial" w:hint="cs"/>
          <w:rtl/>
        </w:rPr>
        <w:t>...</w:t>
      </w:r>
      <w:r w:rsidRPr="00B97962">
        <w:rPr>
          <w:rFonts w:cs="Arial"/>
          <w:rtl/>
        </w:rPr>
        <w:t xml:space="preserve"> </w:t>
      </w:r>
      <w:r>
        <w:rPr>
          <w:rFonts w:cs="Arial"/>
          <w:rtl/>
        </w:rPr>
        <w:t>והר"ן בפ</w:t>
      </w:r>
      <w:r>
        <w:rPr>
          <w:rFonts w:cs="Arial" w:hint="cs"/>
          <w:rtl/>
        </w:rPr>
        <w:t>"</w:t>
      </w:r>
      <w:r>
        <w:rPr>
          <w:rFonts w:cs="Arial"/>
          <w:rtl/>
        </w:rPr>
        <w:t xml:space="preserve">ק דגיטין </w:t>
      </w:r>
      <w:r w:rsidRPr="00625AF6">
        <w:rPr>
          <w:rFonts w:cs="Arial"/>
          <w:sz w:val="16"/>
          <w:szCs w:val="16"/>
          <w:rtl/>
        </w:rPr>
        <w:t xml:space="preserve">(ג: ד"ה והלכתא) </w:t>
      </w:r>
      <w:r>
        <w:rPr>
          <w:rFonts w:cs="Arial"/>
          <w:rtl/>
        </w:rPr>
        <w:t>פירש דברי רש"י (</w:t>
      </w:r>
      <w:r>
        <w:rPr>
          <w:rFonts w:cs="Arial" w:hint="cs"/>
          <w:rtl/>
        </w:rPr>
        <w:t xml:space="preserve">י: </w:t>
      </w:r>
      <w:r>
        <w:rPr>
          <w:rFonts w:cs="Arial"/>
          <w:rtl/>
        </w:rPr>
        <w:t>ד"ה גזירה) כדעת התוספות</w:t>
      </w:r>
      <w:r>
        <w:rPr>
          <w:rFonts w:cs="Arial" w:hint="cs"/>
          <w:rtl/>
        </w:rPr>
        <w:t>..., ב"י.</w:t>
      </w:r>
    </w:p>
  </w:footnote>
  <w:footnote w:id="207">
    <w:p w14:paraId="436DEBA0" w14:textId="2B684DB5" w:rsidR="007C1C73" w:rsidRDefault="007C1C73">
      <w:pPr>
        <w:pStyle w:val="a5"/>
        <w:rPr>
          <w:rtl/>
        </w:rPr>
      </w:pPr>
      <w:r>
        <w:rPr>
          <w:rStyle w:val="a7"/>
        </w:rPr>
        <w:footnoteRef/>
      </w:r>
      <w:r>
        <w:rPr>
          <w:rtl/>
        </w:rPr>
        <w:t xml:space="preserve"> </w:t>
      </w:r>
      <w:r w:rsidRPr="007C1C73">
        <w:rPr>
          <w:rFonts w:cs="Arial"/>
          <w:rtl/>
        </w:rPr>
        <w:t xml:space="preserve">ואפשר לדעת התוספות אם לא חתם כל א' בפני כולם </w:t>
      </w:r>
      <w:r>
        <w:rPr>
          <w:rFonts w:cs="Arial" w:hint="cs"/>
          <w:rtl/>
        </w:rPr>
        <w:t xml:space="preserve">- </w:t>
      </w:r>
      <w:r w:rsidRPr="007C1C73">
        <w:rPr>
          <w:rFonts w:cs="Arial"/>
          <w:rtl/>
        </w:rPr>
        <w:t>אפי' בדיעבד פסול</w:t>
      </w:r>
      <w:r>
        <w:rPr>
          <w:rFonts w:cs="Arial" w:hint="cs"/>
          <w:rtl/>
        </w:rPr>
        <w:t>,</w:t>
      </w:r>
      <w:r w:rsidRPr="007C1C73">
        <w:rPr>
          <w:rFonts w:cs="Arial"/>
          <w:rtl/>
        </w:rPr>
        <w:t xml:space="preserve"> דהא גזרינן בשני עדים משום כולכם</w:t>
      </w:r>
      <w:r>
        <w:rPr>
          <w:rFonts w:cs="Arial" w:hint="cs"/>
          <w:rtl/>
        </w:rPr>
        <w:t>,</w:t>
      </w:r>
      <w:r w:rsidRPr="007C1C73">
        <w:rPr>
          <w:rFonts w:cs="Arial"/>
          <w:rtl/>
        </w:rPr>
        <w:t xml:space="preserve"> ומשמע דבכולכם אפילו בדיעבד פסול</w:t>
      </w:r>
      <w:r>
        <w:rPr>
          <w:rFonts w:hint="cs"/>
          <w:rtl/>
        </w:rPr>
        <w:t>, ח"מ (סקכ"א).</w:t>
      </w:r>
    </w:p>
  </w:footnote>
  <w:footnote w:id="208">
    <w:p w14:paraId="6B65F7F5" w14:textId="24D25673" w:rsidR="0014657B" w:rsidRDefault="0014657B">
      <w:pPr>
        <w:pStyle w:val="a5"/>
      </w:pPr>
      <w:r>
        <w:rPr>
          <w:rStyle w:val="a7"/>
        </w:rPr>
        <w:footnoteRef/>
      </w:r>
      <w:r>
        <w:rPr>
          <w:rtl/>
        </w:rPr>
        <w:t xml:space="preserve"> </w:t>
      </w:r>
      <w:r>
        <w:rPr>
          <w:rFonts w:cs="Arial" w:hint="cs"/>
          <w:rtl/>
        </w:rPr>
        <w:t xml:space="preserve">רי"ו </w:t>
      </w:r>
      <w:r>
        <w:rPr>
          <w:rFonts w:cs="Arial" w:hint="cs"/>
          <w:sz w:val="16"/>
          <w:szCs w:val="16"/>
          <w:rtl/>
        </w:rPr>
        <w:t>(</w:t>
      </w:r>
      <w:r w:rsidRPr="00DE6506">
        <w:rPr>
          <w:rFonts w:cs="Arial"/>
          <w:sz w:val="16"/>
          <w:szCs w:val="16"/>
          <w:rtl/>
        </w:rPr>
        <w:t>נכ"ד ח"ב רג ע"ג</w:t>
      </w:r>
      <w:r>
        <w:rPr>
          <w:rFonts w:cs="Arial" w:hint="cs"/>
          <w:sz w:val="16"/>
          <w:szCs w:val="16"/>
          <w:rtl/>
        </w:rPr>
        <w:t>)</w:t>
      </w:r>
      <w:r>
        <w:rPr>
          <w:rFonts w:cs="Arial" w:hint="cs"/>
          <w:rtl/>
        </w:rPr>
        <w:t xml:space="preserve"> כתב </w:t>
      </w:r>
      <w:r w:rsidRPr="0014657B">
        <w:rPr>
          <w:rFonts w:cs="Arial"/>
          <w:rtl/>
        </w:rPr>
        <w:t xml:space="preserve">שכדברי הראב"ד נראה לו עיקר </w:t>
      </w:r>
      <w:r>
        <w:rPr>
          <w:rFonts w:cs="Arial"/>
          <w:rtl/>
        </w:rPr>
        <w:t>ולא ידעתי איך לא שת לבו למה שכתבתי לעיל שנראה מדברי הרא"ש ס</w:t>
      </w:r>
      <w:r>
        <w:rPr>
          <w:rFonts w:cs="Arial" w:hint="cs"/>
          <w:rtl/>
        </w:rPr>
        <w:t>"</w:t>
      </w:r>
      <w:r>
        <w:rPr>
          <w:rFonts w:cs="Arial"/>
          <w:rtl/>
        </w:rPr>
        <w:t>פ הזורק (סי' יג)</w:t>
      </w:r>
      <w:r>
        <w:rPr>
          <w:rFonts w:cs="Arial" w:hint="cs"/>
          <w:rtl/>
        </w:rPr>
        <w:t>.</w:t>
      </w:r>
      <w:r>
        <w:rPr>
          <w:rFonts w:cs="Arial"/>
          <w:rtl/>
        </w:rPr>
        <w:t xml:space="preserve"> וגם לא הזכיר דעת הרמב"ם </w:t>
      </w:r>
      <w:r>
        <w:rPr>
          <w:rFonts w:cs="Arial" w:hint="cs"/>
          <w:rtl/>
        </w:rPr>
        <w:t xml:space="preserve">(פ"ט ה"ט) </w:t>
      </w:r>
      <w:r>
        <w:rPr>
          <w:rFonts w:cs="Arial"/>
          <w:rtl/>
        </w:rPr>
        <w:t>כדעת התוספות דגזירה משום אומר כולכם חתמו</w:t>
      </w:r>
      <w:r>
        <w:rPr>
          <w:rFonts w:cs="Arial" w:hint="cs"/>
          <w:rtl/>
        </w:rPr>
        <w:t>.</w:t>
      </w:r>
      <w:r>
        <w:rPr>
          <w:rFonts w:cs="Arial"/>
          <w:rtl/>
        </w:rPr>
        <w:t xml:space="preserve"> ולא משום אומר כולכם עדים כדעת הראב"ד והרמב"ן</w:t>
      </w:r>
      <w:r>
        <w:rPr>
          <w:rFonts w:cs="Arial" w:hint="cs"/>
          <w:rtl/>
        </w:rPr>
        <w:t>, ב"י.</w:t>
      </w:r>
    </w:p>
  </w:footnote>
  <w:footnote w:id="209">
    <w:p w14:paraId="2D797D21" w14:textId="09B2DE55" w:rsidR="00A21118" w:rsidRDefault="00A21118">
      <w:pPr>
        <w:pStyle w:val="a5"/>
        <w:rPr>
          <w:rtl/>
        </w:rPr>
      </w:pPr>
      <w:r>
        <w:rPr>
          <w:rStyle w:val="a7"/>
        </w:rPr>
        <w:footnoteRef/>
      </w:r>
      <w:r>
        <w:rPr>
          <w:rtl/>
        </w:rPr>
        <w:t xml:space="preserve"> </w:t>
      </w:r>
      <w:r w:rsidRPr="00A21118">
        <w:rPr>
          <w:rFonts w:cs="Arial"/>
          <w:rtl/>
        </w:rPr>
        <w:t xml:space="preserve">כן ראיתי משמו של הראב"ד ז"ל ופי' כאן גזירה משום </w:t>
      </w:r>
      <w:r>
        <w:rPr>
          <w:rFonts w:cs="Arial" w:hint="cs"/>
          <w:rtl/>
        </w:rPr>
        <w:t>'</w:t>
      </w:r>
      <w:r w:rsidRPr="00A21118">
        <w:rPr>
          <w:rFonts w:cs="Arial"/>
          <w:rtl/>
        </w:rPr>
        <w:t>כולכם הוו עדים</w:t>
      </w:r>
      <w:r>
        <w:rPr>
          <w:rFonts w:cs="Arial" w:hint="cs"/>
          <w:rtl/>
        </w:rPr>
        <w:t>'</w:t>
      </w:r>
      <w:r w:rsidRPr="00A21118">
        <w:rPr>
          <w:rFonts w:cs="Arial"/>
          <w:rtl/>
        </w:rPr>
        <w:t xml:space="preserve"> דאז ודאי בעו כולהו למיחתם ביומיה וזה בפני זה</w:t>
      </w:r>
      <w:r>
        <w:rPr>
          <w:rFonts w:cs="Arial" w:hint="cs"/>
          <w:rtl/>
        </w:rPr>
        <w:t>, רשב"א (שם).</w:t>
      </w:r>
    </w:p>
  </w:footnote>
  <w:footnote w:id="210">
    <w:p w14:paraId="4C8BF318" w14:textId="1B5712C5" w:rsidR="00CA2CD5" w:rsidRDefault="00CA2CD5" w:rsidP="00CA2CD5">
      <w:pPr>
        <w:pStyle w:val="a5"/>
      </w:pPr>
      <w:r>
        <w:rPr>
          <w:rStyle w:val="a7"/>
        </w:rPr>
        <w:footnoteRef/>
      </w:r>
      <w:r>
        <w:rPr>
          <w:rtl/>
        </w:rPr>
        <w:t xml:space="preserve"> </w:t>
      </w:r>
      <w:r>
        <w:rPr>
          <w:rFonts w:hint="cs"/>
          <w:rtl/>
        </w:rPr>
        <w:t>סימן</w:t>
      </w:r>
      <w:r>
        <w:rPr>
          <w:sz w:val="16"/>
          <w:szCs w:val="16"/>
          <w:rtl/>
        </w:rPr>
        <w:t xml:space="preserve"> </w:t>
      </w:r>
      <w:r w:rsidR="00A42812">
        <w:rPr>
          <w:rtl/>
        </w:rPr>
        <w:t>-</w:t>
      </w:r>
      <w:r>
        <w:rPr>
          <w:rtl/>
        </w:rPr>
        <w:t xml:space="preserve"> קודם סהדותו ב'</w:t>
      </w:r>
      <w:r>
        <w:rPr>
          <w:sz w:val="16"/>
          <w:szCs w:val="16"/>
          <w:rtl/>
        </w:rPr>
        <w:t xml:space="preserve"> {שורות}</w:t>
      </w:r>
      <w:r>
        <w:rPr>
          <w:rtl/>
        </w:rPr>
        <w:t xml:space="preserve">. </w:t>
      </w:r>
    </w:p>
  </w:footnote>
  <w:footnote w:id="211">
    <w:p w14:paraId="2FF9B91D" w14:textId="704237F6" w:rsidR="00CA2CD5" w:rsidRDefault="00CA2CD5" w:rsidP="00CA2CD5">
      <w:pPr>
        <w:pStyle w:val="a5"/>
      </w:pPr>
      <w:r>
        <w:rPr>
          <w:rStyle w:val="a7"/>
        </w:rPr>
        <w:footnoteRef/>
      </w:r>
      <w:r>
        <w:rPr>
          <w:rtl/>
        </w:rPr>
        <w:t xml:space="preserve"> </w:t>
      </w:r>
      <w:r>
        <w:rPr>
          <w:rFonts w:hint="cs"/>
          <w:rtl/>
        </w:rPr>
        <w:t>כן היא גירסתנו בגמרא</w:t>
      </w:r>
      <w:r>
        <w:rPr>
          <w:rtl/>
        </w:rPr>
        <w:t xml:space="preserve">, וכתב הב"י </w:t>
      </w:r>
      <w:r w:rsidR="002C171D">
        <w:rPr>
          <w:rFonts w:hint="cs"/>
          <w:rtl/>
        </w:rPr>
        <w:t xml:space="preserve">(חו"מ סי' מה סי"ב) </w:t>
      </w:r>
      <w:r>
        <w:rPr>
          <w:rtl/>
        </w:rPr>
        <w:t>דלפי גיר</w:t>
      </w:r>
      <w:r w:rsidR="002C171D">
        <w:rPr>
          <w:rFonts w:hint="cs"/>
          <w:rtl/>
        </w:rPr>
        <w:t>סא</w:t>
      </w:r>
      <w:r>
        <w:rPr>
          <w:rtl/>
        </w:rPr>
        <w:t xml:space="preserve"> זו משמע דאיירי בהחתים קרוב בין בתחלה בין באמצע בין בסוף מדלא קבע ליה דוכתא. אך ר"ח ור"י </w:t>
      </w:r>
      <w:r>
        <w:rPr>
          <w:sz w:val="16"/>
          <w:szCs w:val="16"/>
          <w:rtl/>
        </w:rPr>
        <w:t xml:space="preserve">(בתוס' קסב: ד"ה נמצא) </w:t>
      </w:r>
      <w:r>
        <w:rPr>
          <w:rtl/>
        </w:rPr>
        <w:t xml:space="preserve">גורסים כך- 'ונמצאו [שנים] הראשונים קרובים או פסולים' </w:t>
      </w:r>
      <w:r>
        <w:rPr>
          <w:sz w:val="16"/>
          <w:szCs w:val="16"/>
          <w:rtl/>
        </w:rPr>
        <w:t>(וכן גרסו בה"ג (סי' נא הל' עדות קיד ע"ג) רשב"ם (ד"ה הכי גרסינן) והרשב"א (פ"ב דגטין יח: ד"ה ולחתום), וכתב הרשב"א (שם) דכן היא גירסת רוב הספרים)</w:t>
      </w:r>
      <w:r>
        <w:rPr>
          <w:rtl/>
        </w:rPr>
        <w:t xml:space="preserve">. ולפי זה אין מקיימין את השטר אלא מעדים שלמטה. הלכך נמצאו קרובים בסוף </w:t>
      </w:r>
      <w:r w:rsidR="00A42812">
        <w:rPr>
          <w:rtl/>
        </w:rPr>
        <w:t>-</w:t>
      </w:r>
      <w:r>
        <w:rPr>
          <w:rtl/>
        </w:rPr>
        <w:t xml:space="preserve"> פסול. ואם נמצאו בתחלה תתקיים בעדות שלמטה.</w:t>
      </w:r>
    </w:p>
  </w:footnote>
  <w:footnote w:id="212">
    <w:p w14:paraId="5F938117" w14:textId="70110887" w:rsidR="00C00EB8" w:rsidRDefault="00C00EB8" w:rsidP="00C00EB8">
      <w:pPr>
        <w:pStyle w:val="a5"/>
      </w:pPr>
      <w:r>
        <w:rPr>
          <w:rStyle w:val="a7"/>
        </w:rPr>
        <w:footnoteRef/>
      </w:r>
      <w:r>
        <w:rPr>
          <w:rtl/>
        </w:rPr>
        <w:t xml:space="preserve"> </w:t>
      </w:r>
      <w:r>
        <w:rPr>
          <w:rFonts w:hint="cs"/>
          <w:rtl/>
        </w:rPr>
        <w:t xml:space="preserve">סימן </w:t>
      </w:r>
      <w:r w:rsidR="00A42812">
        <w:rPr>
          <w:rFonts w:hint="cs"/>
          <w:rtl/>
        </w:rPr>
        <w:t>-</w:t>
      </w:r>
      <w:r>
        <w:rPr>
          <w:rFonts w:hint="cs"/>
          <w:rtl/>
        </w:rPr>
        <w:t xml:space="preserve"> י' חתומים.</w:t>
      </w:r>
    </w:p>
  </w:footnote>
  <w:footnote w:id="213">
    <w:p w14:paraId="38CC2D64" w14:textId="77777777" w:rsidR="00C00EB8" w:rsidRDefault="00C00EB8" w:rsidP="00C00EB8">
      <w:pPr>
        <w:pStyle w:val="a5"/>
      </w:pPr>
      <w:r>
        <w:rPr>
          <w:rStyle w:val="a7"/>
        </w:rPr>
        <w:footnoteRef/>
      </w:r>
      <w:r>
        <w:rPr>
          <w:rtl/>
        </w:rPr>
        <w:t xml:space="preserve"> האי בתחלה דאמרי' הכא היינו שחתם</w:t>
      </w:r>
      <w:r>
        <w:rPr>
          <w:sz w:val="16"/>
          <w:szCs w:val="16"/>
          <w:rtl/>
        </w:rPr>
        <w:t xml:space="preserve"> {הפסול/הקרוב}</w:t>
      </w:r>
      <w:r>
        <w:rPr>
          <w:rtl/>
        </w:rPr>
        <w:t xml:space="preserve"> בראש, וקודם שחתמו הכשרים, כמו שכתבנו, רשב"א.</w:t>
      </w:r>
    </w:p>
  </w:footnote>
  <w:footnote w:id="214">
    <w:p w14:paraId="0BF62D99" w14:textId="77777777" w:rsidR="00C00EB8" w:rsidRDefault="00C00EB8" w:rsidP="00C00EB8">
      <w:pPr>
        <w:pStyle w:val="a5"/>
      </w:pPr>
      <w:r>
        <w:rPr>
          <w:rStyle w:val="a7"/>
        </w:rPr>
        <w:footnoteRef/>
      </w:r>
      <w:r>
        <w:rPr>
          <w:rtl/>
        </w:rPr>
        <w:t xml:space="preserve"> למאן דאמר משום תנאי דאע"ג דאיחתים ברישא קרוב או פסול העדות תתקיים בראויים לעדות והוא יחשב לתנאי דמסתמא את הכשרים מינה לשם עדות והקרוב לתנאי, רש"י.</w:t>
      </w:r>
    </w:p>
  </w:footnote>
  <w:footnote w:id="215">
    <w:p w14:paraId="7E3FF901" w14:textId="77777777" w:rsidR="00C00EB8" w:rsidRDefault="00C00EB8" w:rsidP="00C00EB8">
      <w:pPr>
        <w:pStyle w:val="a5"/>
      </w:pPr>
      <w:r>
        <w:rPr>
          <w:rStyle w:val="a7"/>
        </w:rPr>
        <w:footnoteRef/>
      </w:r>
      <w:r>
        <w:rPr>
          <w:rtl/>
        </w:rPr>
        <w:t xml:space="preserve"> </w:t>
      </w:r>
      <w:r>
        <w:rPr>
          <w:rFonts w:cs="Arial"/>
          <w:rtl/>
        </w:rPr>
        <w:t>משמע ודאי דאמרי לה פסול נמי היינו למאן דאמר משום תנאי דאילו למאן דאמר משום עדים מאי איריא משום דאתי לאיחלופי תיפוק ליה דפסול משום דכולם משום עדים</w:t>
      </w:r>
      <w:r>
        <w:rPr>
          <w:rFonts w:cs="Arial" w:hint="cs"/>
          <w:rtl/>
        </w:rPr>
        <w:t>, ב"י.</w:t>
      </w:r>
    </w:p>
  </w:footnote>
  <w:footnote w:id="216">
    <w:p w14:paraId="7740A4EE" w14:textId="40878B28" w:rsidR="00C00EB8" w:rsidRDefault="00C00EB8" w:rsidP="00C00EB8">
      <w:pPr>
        <w:pStyle w:val="a5"/>
      </w:pPr>
      <w:r>
        <w:rPr>
          <w:rStyle w:val="a7"/>
        </w:rPr>
        <w:footnoteRef/>
      </w:r>
      <w:r w:rsidR="00AF73FF">
        <w:rPr>
          <w:rFonts w:cs="Arial" w:hint="cs"/>
          <w:rtl/>
        </w:rPr>
        <w:t xml:space="preserve"> </w:t>
      </w:r>
      <w:r w:rsidR="00AF73FF" w:rsidRPr="00AF73FF">
        <w:rPr>
          <w:rFonts w:cs="Arial"/>
          <w:rtl/>
        </w:rPr>
        <w:t>ואם תשאל בתחלה נמי</w:t>
      </w:r>
      <w:r w:rsidR="00AF73FF">
        <w:rPr>
          <w:rFonts w:cs="Arial" w:hint="cs"/>
          <w:rtl/>
        </w:rPr>
        <w:t>,</w:t>
      </w:r>
      <w:r w:rsidR="00AF73FF" w:rsidRPr="00AF73FF">
        <w:rPr>
          <w:rFonts w:cs="Arial"/>
          <w:rtl/>
        </w:rPr>
        <w:t xml:space="preserve"> כי מחליף כשאר שטרות דעלמא מאי נפקא לן מינה</w:t>
      </w:r>
      <w:r w:rsidR="00AF73FF">
        <w:rPr>
          <w:rFonts w:cs="Arial" w:hint="cs"/>
          <w:rtl/>
        </w:rPr>
        <w:t>,</w:t>
      </w:r>
      <w:r w:rsidR="00AF73FF" w:rsidRPr="00AF73FF">
        <w:rPr>
          <w:rFonts w:cs="Arial"/>
          <w:rtl/>
        </w:rPr>
        <w:t xml:space="preserve"> דהא תניא הכא </w:t>
      </w:r>
      <w:r w:rsidR="00AF73FF">
        <w:rPr>
          <w:rFonts w:cs="Arial" w:hint="cs"/>
          <w:rtl/>
        </w:rPr>
        <w:t xml:space="preserve">(ב"ב קסב:) </w:t>
      </w:r>
      <w:r w:rsidR="00AF73FF" w:rsidRPr="00AF73FF">
        <w:rPr>
          <w:rFonts w:cs="Arial"/>
          <w:rtl/>
        </w:rPr>
        <w:t>תתקיים עדות בשאר</w:t>
      </w:r>
      <w:r w:rsidR="00AF73FF">
        <w:rPr>
          <w:rFonts w:cs="Arial" w:hint="cs"/>
          <w:rtl/>
        </w:rPr>
        <w:t>.</w:t>
      </w:r>
      <w:r w:rsidR="00AF73FF" w:rsidRPr="00AF73FF">
        <w:rPr>
          <w:rFonts w:cs="Arial"/>
          <w:rtl/>
        </w:rPr>
        <w:t xml:space="preserve"> כבר פרש"י ז"ל שם </w:t>
      </w:r>
      <w:r w:rsidR="00AF73FF">
        <w:rPr>
          <w:rFonts w:cs="Arial" w:hint="cs"/>
          <w:rtl/>
        </w:rPr>
        <w:t xml:space="preserve">(גיטין יח:) </w:t>
      </w:r>
      <w:r w:rsidR="00AF73FF" w:rsidRPr="00AF73FF">
        <w:rPr>
          <w:rFonts w:cs="Arial"/>
          <w:rtl/>
        </w:rPr>
        <w:t>דהכי קאמר הרואה אותו חותם בתחלה במקום שאמר כולכם אומר משום עד הוא חותם ואתי לאכשורי קרובים בשאר השטרות בגיטי חוב</w:t>
      </w:r>
      <w:r w:rsidR="00AF73FF">
        <w:rPr>
          <w:rFonts w:cs="Arial" w:hint="cs"/>
          <w:rtl/>
        </w:rPr>
        <w:t>,</w:t>
      </w:r>
      <w:r w:rsidR="00AF73FF" w:rsidRPr="00AF73FF">
        <w:rPr>
          <w:rFonts w:cs="Arial"/>
          <w:rtl/>
        </w:rPr>
        <w:t xml:space="preserve"> ובגיטי נשים שלא אמר כולכם</w:t>
      </w:r>
      <w:r w:rsidR="00AF73FF">
        <w:rPr>
          <w:rFonts w:cs="Arial" w:hint="cs"/>
          <w:rtl/>
        </w:rPr>
        <w:t>,</w:t>
      </w:r>
      <w:r w:rsidR="00AF73FF" w:rsidRPr="00AF73FF">
        <w:rPr>
          <w:rFonts w:cs="Arial"/>
          <w:rtl/>
        </w:rPr>
        <w:t xml:space="preserve"> ולהחתימן משום עדים</w:t>
      </w:r>
      <w:r w:rsidR="00AF73FF">
        <w:rPr>
          <w:rFonts w:cs="Arial" w:hint="cs"/>
          <w:rtl/>
        </w:rPr>
        <w:t>, רמב"ן (ב"ב קסב:).</w:t>
      </w:r>
    </w:p>
  </w:footnote>
  <w:footnote w:id="217">
    <w:p w14:paraId="32E263F4" w14:textId="3A12D957" w:rsidR="00623557" w:rsidRDefault="00623557" w:rsidP="00623557">
      <w:pPr>
        <w:pStyle w:val="a5"/>
      </w:pPr>
      <w:r>
        <w:rPr>
          <w:rStyle w:val="a7"/>
        </w:rPr>
        <w:footnoteRef/>
      </w:r>
      <w:r>
        <w:rPr>
          <w:rtl/>
        </w:rPr>
        <w:t xml:space="preserve"> </w:t>
      </w:r>
      <w:r>
        <w:rPr>
          <w:rFonts w:hint="cs"/>
          <w:rtl/>
        </w:rPr>
        <w:t>ובדעת הטור נחלקו הב"י והדרכ"מ (אות ט). הב"י כתב דהטור סתם דבריו ולא גילה אי ס"ל כהרא"ש או כר"ת. אך הדרכ"מ כתב שנראה מדבריו דס"ל כהרמב"ם.</w:t>
      </w:r>
    </w:p>
  </w:footnote>
  <w:footnote w:id="218">
    <w:p w14:paraId="6AE25B8E" w14:textId="08840C7D" w:rsidR="00226148" w:rsidRDefault="00226148">
      <w:pPr>
        <w:pStyle w:val="a5"/>
      </w:pPr>
      <w:r>
        <w:rPr>
          <w:rStyle w:val="a7"/>
        </w:rPr>
        <w:footnoteRef/>
      </w:r>
      <w:r>
        <w:rPr>
          <w:rtl/>
        </w:rPr>
        <w:t xml:space="preserve"> </w:t>
      </w:r>
      <w:r w:rsidRPr="00CD204A">
        <w:rPr>
          <w:rFonts w:cs="Arial"/>
          <w:rtl/>
        </w:rPr>
        <w:t>כיון דאיכא כשרים חתומים למטה ממנו וגם חתמו הכשרים קודם</w:t>
      </w:r>
      <w:r w:rsidRPr="00CD204A">
        <w:rPr>
          <w:rFonts w:cs="Arial" w:hint="cs"/>
          <w:rtl/>
        </w:rPr>
        <w:t>,</w:t>
      </w:r>
      <w:r w:rsidRPr="00CD204A">
        <w:rPr>
          <w:rFonts w:cs="Arial"/>
          <w:rtl/>
        </w:rPr>
        <w:t xml:space="preserve"> דבתחלה דאמרינן הכא היינו שיהיו כשרים חתומים למטה ממנו</w:t>
      </w:r>
      <w:r w:rsidRPr="00CD204A">
        <w:rPr>
          <w:rFonts w:cs="Arial" w:hint="cs"/>
          <w:rtl/>
        </w:rPr>
        <w:t>,</w:t>
      </w:r>
      <w:r w:rsidRPr="00CD204A">
        <w:rPr>
          <w:rFonts w:cs="Arial"/>
          <w:rtl/>
        </w:rPr>
        <w:t xml:space="preserve"> דכל שאינו חתום למטה מכולם תחלה קרי ליה</w:t>
      </w:r>
      <w:r>
        <w:rPr>
          <w:rFonts w:cs="Arial" w:hint="cs"/>
          <w:rtl/>
        </w:rPr>
        <w:t>, ב"י בשם הרא"ש.</w:t>
      </w:r>
    </w:p>
  </w:footnote>
  <w:footnote w:id="219">
    <w:p w14:paraId="3E9FFFAC" w14:textId="2B90B538" w:rsidR="00F405CC" w:rsidRDefault="00F405CC">
      <w:pPr>
        <w:pStyle w:val="a5"/>
        <w:rPr>
          <w:rtl/>
        </w:rPr>
      </w:pPr>
      <w:r>
        <w:rPr>
          <w:rStyle w:val="a7"/>
        </w:rPr>
        <w:footnoteRef/>
      </w:r>
      <w:r>
        <w:rPr>
          <w:rtl/>
        </w:rPr>
        <w:t xml:space="preserve"> </w:t>
      </w:r>
      <w:r>
        <w:rPr>
          <w:rFonts w:cs="Arial" w:hint="cs"/>
          <w:rtl/>
        </w:rPr>
        <w:t>ד</w:t>
      </w:r>
      <w:r w:rsidRPr="004F500C">
        <w:rPr>
          <w:rFonts w:cs="Arial"/>
          <w:rtl/>
        </w:rPr>
        <w:t>כל שחותם תחלה אמרינן שחתום לשם עדות</w:t>
      </w:r>
      <w:r>
        <w:rPr>
          <w:rFonts w:cs="Arial" w:hint="cs"/>
          <w:rtl/>
        </w:rPr>
        <w:t>,</w:t>
      </w:r>
      <w:r w:rsidRPr="004F500C">
        <w:rPr>
          <w:rFonts w:cs="Arial"/>
          <w:rtl/>
        </w:rPr>
        <w:t xml:space="preserve"> אבל בסוף ליכא למיחש למידי</w:t>
      </w:r>
      <w:r>
        <w:rPr>
          <w:rFonts w:cs="Arial" w:hint="cs"/>
          <w:rtl/>
        </w:rPr>
        <w:t>.</w:t>
      </w:r>
      <w:r w:rsidRPr="004F500C">
        <w:rPr>
          <w:rFonts w:cs="Arial"/>
          <w:rtl/>
        </w:rPr>
        <w:t xml:space="preserve"> והיינו דאיפליגו בפ</w:t>
      </w:r>
      <w:r>
        <w:rPr>
          <w:rFonts w:cs="Arial" w:hint="cs"/>
          <w:rtl/>
        </w:rPr>
        <w:t>"</w:t>
      </w:r>
      <w:r w:rsidRPr="004F500C">
        <w:rPr>
          <w:rFonts w:cs="Arial"/>
          <w:rtl/>
        </w:rPr>
        <w:t>ב דגיטין (יח:) בחתם תחלה קרוב או פסול</w:t>
      </w:r>
      <w:r>
        <w:rPr>
          <w:rFonts w:cs="Arial" w:hint="cs"/>
          <w:rtl/>
        </w:rPr>
        <w:t>.</w:t>
      </w:r>
      <w:r w:rsidRPr="004F500C">
        <w:rPr>
          <w:rFonts w:cs="Arial"/>
          <w:rtl/>
        </w:rPr>
        <w:t xml:space="preserve"> ואיכא מאן דפסל משום דאיכא למיחש שהרואה אותו חותם בתחלה במקום שאמר כולכם אומר משום עד הוא חותם</w:t>
      </w:r>
      <w:r>
        <w:rPr>
          <w:rFonts w:cs="Arial" w:hint="cs"/>
          <w:rtl/>
        </w:rPr>
        <w:t>,</w:t>
      </w:r>
      <w:r w:rsidRPr="004F500C">
        <w:rPr>
          <w:rFonts w:cs="Arial"/>
          <w:rtl/>
        </w:rPr>
        <w:t xml:space="preserve"> ואתי לאכשורי קרובים בשאר השטרות בגיטי חוב</w:t>
      </w:r>
      <w:r>
        <w:rPr>
          <w:rFonts w:cs="Arial" w:hint="cs"/>
          <w:rtl/>
        </w:rPr>
        <w:t>,</w:t>
      </w:r>
      <w:r w:rsidRPr="004F500C">
        <w:rPr>
          <w:rFonts w:cs="Arial"/>
          <w:rtl/>
        </w:rPr>
        <w:t xml:space="preserve"> ובגיטי נשים שלא אמר כולכם</w:t>
      </w:r>
      <w:r>
        <w:rPr>
          <w:rFonts w:cs="Arial" w:hint="cs"/>
          <w:rtl/>
        </w:rPr>
        <w:t>,</w:t>
      </w:r>
      <w:r w:rsidRPr="004F500C">
        <w:rPr>
          <w:rFonts w:cs="Arial"/>
          <w:rtl/>
        </w:rPr>
        <w:t xml:space="preserve"> ולהחתימן משום עדים</w:t>
      </w:r>
      <w:r>
        <w:rPr>
          <w:rFonts w:cs="Arial" w:hint="cs"/>
          <w:rtl/>
        </w:rPr>
        <w:t>.</w:t>
      </w:r>
      <w:r w:rsidRPr="004F500C">
        <w:rPr>
          <w:rFonts w:cs="Arial"/>
          <w:rtl/>
        </w:rPr>
        <w:t xml:space="preserve"> אבל אילו חתם הקרוב או הפסול בסוף לכולי עלמא כשר</w:t>
      </w:r>
      <w:r>
        <w:rPr>
          <w:rFonts w:cs="Arial" w:hint="cs"/>
          <w:rtl/>
        </w:rPr>
        <w:t>,</w:t>
      </w:r>
      <w:r w:rsidRPr="004F500C">
        <w:rPr>
          <w:rFonts w:cs="Arial"/>
          <w:rtl/>
        </w:rPr>
        <w:t xml:space="preserve"> דליכא למיחש ביה למידי דכיון שרואין אותו חתום בסוף לא אמרי דלשם עדות חתם</w:t>
      </w:r>
      <w:r>
        <w:rPr>
          <w:rFonts w:hint="cs"/>
          <w:rtl/>
        </w:rPr>
        <w:t xml:space="preserve">, רמב"ן (שם). </w:t>
      </w:r>
      <w:r w:rsidRPr="004F500C">
        <w:rPr>
          <w:rFonts w:cs="Arial"/>
          <w:rtl/>
        </w:rPr>
        <w:t>ו</w:t>
      </w:r>
      <w:r>
        <w:rPr>
          <w:rFonts w:cs="Arial" w:hint="cs"/>
          <w:rtl/>
        </w:rPr>
        <w:t>כתב הב"י ד</w:t>
      </w:r>
      <w:r w:rsidRPr="004F500C">
        <w:rPr>
          <w:rFonts w:cs="Arial"/>
          <w:rtl/>
        </w:rPr>
        <w:t xml:space="preserve">גם </w:t>
      </w:r>
      <w:r>
        <w:rPr>
          <w:rFonts w:cs="Arial" w:hint="cs"/>
          <w:rtl/>
        </w:rPr>
        <w:t>מ</w:t>
      </w:r>
      <w:r w:rsidRPr="004F500C">
        <w:rPr>
          <w:rFonts w:cs="Arial"/>
          <w:rtl/>
        </w:rPr>
        <w:t>רש"י (יח: ד"ה אתי) נראה דסובר כן דכל שחתום תחלה מוכח דלעדות חתם טפי מכשחתום בסוף</w:t>
      </w:r>
      <w:r>
        <w:rPr>
          <w:rFonts w:cs="Arial" w:hint="cs"/>
          <w:rtl/>
        </w:rPr>
        <w:t>.</w:t>
      </w:r>
      <w:r w:rsidRPr="004F500C">
        <w:rPr>
          <w:rFonts w:cs="Arial"/>
          <w:rtl/>
        </w:rPr>
        <w:t xml:space="preserve"> שפירש אתי לאיחלופי בשטרות דעלמא</w:t>
      </w:r>
      <w:r>
        <w:rPr>
          <w:rFonts w:cs="Arial" w:hint="cs"/>
          <w:rtl/>
        </w:rPr>
        <w:t>,</w:t>
      </w:r>
      <w:r w:rsidRPr="004F500C">
        <w:rPr>
          <w:rFonts w:cs="Arial"/>
          <w:rtl/>
        </w:rPr>
        <w:t xml:space="preserve"> דכיון דחתם ברישא אתו למימר זה ודאי לשם עדות חתם</w:t>
      </w:r>
      <w:r>
        <w:rPr>
          <w:rFonts w:cs="Arial" w:hint="cs"/>
          <w:rtl/>
        </w:rPr>
        <w:t>.</w:t>
      </w:r>
    </w:p>
  </w:footnote>
  <w:footnote w:id="220">
    <w:p w14:paraId="2C155923" w14:textId="77777777" w:rsidR="00D24170" w:rsidRDefault="00D24170" w:rsidP="00D24170">
      <w:pPr>
        <w:pStyle w:val="a5"/>
        <w:rPr>
          <w:rtl/>
        </w:rPr>
      </w:pPr>
      <w:r>
        <w:rPr>
          <w:rStyle w:val="a7"/>
        </w:rPr>
        <w:footnoteRef/>
      </w:r>
      <w:r>
        <w:rPr>
          <w:rtl/>
        </w:rPr>
        <w:t xml:space="preserve"> </w:t>
      </w:r>
      <w:r w:rsidRPr="00D24170">
        <w:rPr>
          <w:rFonts w:cs="Arial"/>
          <w:rtl/>
        </w:rPr>
        <w:t xml:space="preserve">הרי"ף (גיטין ט.) גורס </w:t>
      </w:r>
      <w:r w:rsidRPr="00D24170">
        <w:rPr>
          <w:rFonts w:cs="Arial" w:hint="cs"/>
          <w:rtl/>
        </w:rPr>
        <w:t>'</w:t>
      </w:r>
      <w:r w:rsidRPr="00D24170">
        <w:rPr>
          <w:rFonts w:cs="Arial"/>
          <w:rtl/>
        </w:rPr>
        <w:t>מחתם לכתחלה קרוב או פסול אמרי לה כשר ואמרי לה פסול</w:t>
      </w:r>
      <w:r w:rsidRPr="00D24170">
        <w:rPr>
          <w:rFonts w:cs="Arial" w:hint="cs"/>
          <w:rtl/>
        </w:rPr>
        <w:t>'.</w:t>
      </w:r>
      <w:r w:rsidRPr="00D24170">
        <w:rPr>
          <w:rFonts w:cs="Arial"/>
          <w:rtl/>
        </w:rPr>
        <w:t xml:space="preserve"> וכתב הר"ן (ט. ד"ה מחתים) שאפשר שגירסא זו גם היא מתפרשת כמו שמתפרשת גירסת רש"י (ד"ה אי חתים) שהיא אי חתים בתחלה קרוב או פסול</w:t>
      </w:r>
      <w:r>
        <w:rPr>
          <w:rFonts w:cs="Arial" w:hint="cs"/>
          <w:rtl/>
        </w:rPr>
        <w:t>. ו</w:t>
      </w:r>
      <w:r>
        <w:rPr>
          <w:rFonts w:cs="Arial"/>
          <w:rtl/>
        </w:rPr>
        <w:t>הרמ"ה נראה לי שגורס כגירסת רי"ף ולא מפרש לה כמו שמתפרשת גירסת רש"י</w:t>
      </w:r>
      <w:r>
        <w:rPr>
          <w:rFonts w:cs="Arial" w:hint="cs"/>
          <w:rtl/>
        </w:rPr>
        <w:t>.</w:t>
      </w:r>
      <w:r>
        <w:rPr>
          <w:rFonts w:cs="Arial"/>
          <w:rtl/>
        </w:rPr>
        <w:t xml:space="preserve"> אלא הכי פירושו</w:t>
      </w:r>
      <w:r>
        <w:rPr>
          <w:rFonts w:cs="Arial" w:hint="cs"/>
          <w:rtl/>
        </w:rPr>
        <w:t>,</w:t>
      </w:r>
      <w:r>
        <w:rPr>
          <w:rFonts w:cs="Arial"/>
          <w:rtl/>
        </w:rPr>
        <w:t xml:space="preserve"> אם אחד מהעשרה קרוב או פסול</w:t>
      </w:r>
      <w:r>
        <w:rPr>
          <w:rFonts w:cs="Arial" w:hint="cs"/>
          <w:rtl/>
        </w:rPr>
        <w:t>,</w:t>
      </w:r>
      <w:r>
        <w:rPr>
          <w:rFonts w:cs="Arial"/>
          <w:rtl/>
        </w:rPr>
        <w:t xml:space="preserve"> אי שבקינן ליה לכתחלה למחתם או אי לא שבקינן</w:t>
      </w:r>
      <w:r>
        <w:rPr>
          <w:rFonts w:cs="Arial" w:hint="cs"/>
          <w:rtl/>
        </w:rPr>
        <w:t xml:space="preserve"> -</w:t>
      </w:r>
      <w:r>
        <w:rPr>
          <w:rFonts w:cs="Arial"/>
          <w:rtl/>
        </w:rPr>
        <w:t xml:space="preserve"> בהא פליגי לישני</w:t>
      </w:r>
      <w:r>
        <w:rPr>
          <w:rFonts w:cs="Arial" w:hint="cs"/>
          <w:rtl/>
        </w:rPr>
        <w:t>,</w:t>
      </w:r>
      <w:r>
        <w:rPr>
          <w:rFonts w:cs="Arial"/>
          <w:rtl/>
        </w:rPr>
        <w:t xml:space="preserve"> אמרי לה כשר ושבקינן</w:t>
      </w:r>
      <w:r>
        <w:rPr>
          <w:rFonts w:cs="Arial" w:hint="cs"/>
          <w:rtl/>
        </w:rPr>
        <w:t>,</w:t>
      </w:r>
      <w:r>
        <w:rPr>
          <w:rFonts w:cs="Arial"/>
          <w:rtl/>
        </w:rPr>
        <w:t xml:space="preserve"> ואמרי לה פסול ולא שבקינן</w:t>
      </w:r>
      <w:r>
        <w:rPr>
          <w:rFonts w:cs="Arial" w:hint="cs"/>
          <w:rtl/>
        </w:rPr>
        <w:t>.</w:t>
      </w:r>
      <w:r>
        <w:rPr>
          <w:rFonts w:cs="Arial"/>
          <w:rtl/>
        </w:rPr>
        <w:t xml:space="preserve"> והלכה כלישנא בתרא</w:t>
      </w:r>
      <w:r>
        <w:rPr>
          <w:rFonts w:cs="Arial" w:hint="cs"/>
          <w:rtl/>
        </w:rPr>
        <w:t>,</w:t>
      </w:r>
      <w:r>
        <w:rPr>
          <w:rFonts w:cs="Arial"/>
          <w:rtl/>
        </w:rPr>
        <w:t xml:space="preserve"> ולא שבקינן</w:t>
      </w:r>
      <w:r>
        <w:rPr>
          <w:rFonts w:cs="Arial" w:hint="cs"/>
          <w:rtl/>
        </w:rPr>
        <w:t>.</w:t>
      </w:r>
      <w:r>
        <w:rPr>
          <w:rFonts w:cs="Arial"/>
          <w:rtl/>
        </w:rPr>
        <w:t xml:space="preserve"> וכיון דלא איפליגו אלא לענין מחתם לכתחלה</w:t>
      </w:r>
      <w:r>
        <w:rPr>
          <w:rFonts w:cs="Arial" w:hint="cs"/>
          <w:rtl/>
        </w:rPr>
        <w:t>,</w:t>
      </w:r>
      <w:r>
        <w:rPr>
          <w:rFonts w:cs="Arial"/>
          <w:rtl/>
        </w:rPr>
        <w:t xml:space="preserve"> ממילא משמע בדיעבד כשר</w:t>
      </w:r>
      <w:r>
        <w:rPr>
          <w:rFonts w:cs="Arial" w:hint="cs"/>
          <w:rtl/>
        </w:rPr>
        <w:t>,</w:t>
      </w:r>
      <w:r>
        <w:rPr>
          <w:rFonts w:cs="Arial"/>
          <w:rtl/>
        </w:rPr>
        <w:t xml:space="preserve"> והוא שחתמו שני עדים כשרים ביומיה</w:t>
      </w:r>
      <w:r>
        <w:rPr>
          <w:rFonts w:cs="Arial" w:hint="cs"/>
          <w:rtl/>
        </w:rPr>
        <w:t>,</w:t>
      </w:r>
      <w:r>
        <w:rPr>
          <w:rFonts w:cs="Arial"/>
          <w:rtl/>
        </w:rPr>
        <w:t xml:space="preserve"> דאי לאו הכי פסול משום מוקדם</w:t>
      </w:r>
      <w:r>
        <w:rPr>
          <w:rFonts w:cs="Arial" w:hint="cs"/>
          <w:rtl/>
        </w:rPr>
        <w:t>.</w:t>
      </w:r>
      <w:r>
        <w:rPr>
          <w:rFonts w:cs="Arial"/>
          <w:rtl/>
        </w:rPr>
        <w:t xml:space="preserve"> ואע</w:t>
      </w:r>
      <w:r>
        <w:rPr>
          <w:rFonts w:cs="Arial" w:hint="cs"/>
          <w:rtl/>
        </w:rPr>
        <w:t>"</w:t>
      </w:r>
      <w:r>
        <w:rPr>
          <w:rFonts w:cs="Arial"/>
          <w:rtl/>
        </w:rPr>
        <w:t>פ שלשון כשר ופסול דיעבד נמי משמע</w:t>
      </w:r>
      <w:r>
        <w:rPr>
          <w:rFonts w:cs="Arial" w:hint="cs"/>
          <w:rtl/>
        </w:rPr>
        <w:t>,</w:t>
      </w:r>
      <w:r>
        <w:rPr>
          <w:rFonts w:cs="Arial"/>
          <w:rtl/>
        </w:rPr>
        <w:t xml:space="preserve"> איני רואה דרך לפרש דברי הגמ</w:t>
      </w:r>
      <w:r>
        <w:rPr>
          <w:rFonts w:cs="Arial" w:hint="cs"/>
          <w:rtl/>
        </w:rPr>
        <w:t>'</w:t>
      </w:r>
      <w:r>
        <w:rPr>
          <w:rFonts w:cs="Arial"/>
          <w:rtl/>
        </w:rPr>
        <w:t xml:space="preserve"> בענין אחר ליישב דברי הרמ"ה</w:t>
      </w:r>
      <w:r>
        <w:rPr>
          <w:rFonts w:cs="Arial" w:hint="cs"/>
          <w:rtl/>
        </w:rPr>
        <w:t>.</w:t>
      </w:r>
      <w:r>
        <w:rPr>
          <w:rFonts w:cs="Arial"/>
          <w:rtl/>
        </w:rPr>
        <w:t xml:space="preserve"> וא"ת הא כיון דאינך משום תנאי</w:t>
      </w:r>
      <w:r>
        <w:rPr>
          <w:rFonts w:cs="Arial" w:hint="cs"/>
          <w:rtl/>
        </w:rPr>
        <w:t>,</w:t>
      </w:r>
      <w:r>
        <w:rPr>
          <w:rFonts w:cs="Arial"/>
          <w:rtl/>
        </w:rPr>
        <w:t xml:space="preserve"> אי לא חתמי הנך קרוב או פסול הגט בטל שהרי לא נתקיים התנאי. ונראה לי דמאי דאמר הרמ"ה אין לקרוב או פסול לחתום עמהם היינו שלא יחתמו קודם נתינת הגט</w:t>
      </w:r>
      <w:r>
        <w:rPr>
          <w:rFonts w:cs="Arial" w:hint="cs"/>
          <w:rtl/>
        </w:rPr>
        <w:t>,</w:t>
      </w:r>
      <w:r>
        <w:rPr>
          <w:rFonts w:cs="Arial"/>
          <w:rtl/>
        </w:rPr>
        <w:t xml:space="preserve"> אבל אחר נתינת הגט חותמים ומתקיים התנאי והוי גט למפרע משעת נתינה</w:t>
      </w:r>
      <w:r>
        <w:rPr>
          <w:rFonts w:cs="Arial" w:hint="cs"/>
          <w:rtl/>
        </w:rPr>
        <w:t>.</w:t>
      </w:r>
      <w:r>
        <w:rPr>
          <w:rFonts w:cs="Arial"/>
          <w:rtl/>
        </w:rPr>
        <w:t xml:space="preserve"> ובהכי אתי שפיר לישנא דאמרי לה פסול</w:t>
      </w:r>
      <w:r>
        <w:rPr>
          <w:rFonts w:cs="Arial" w:hint="cs"/>
          <w:rtl/>
        </w:rPr>
        <w:t>,</w:t>
      </w:r>
      <w:r>
        <w:rPr>
          <w:rFonts w:cs="Arial"/>
          <w:rtl/>
        </w:rPr>
        <w:t xml:space="preserve"> כיון דלכתחלה אינו חותם</w:t>
      </w:r>
      <w:r>
        <w:rPr>
          <w:rFonts w:cs="Arial" w:hint="cs"/>
          <w:rtl/>
        </w:rPr>
        <w:t>.</w:t>
      </w:r>
      <w:r>
        <w:rPr>
          <w:rFonts w:cs="Arial"/>
          <w:rtl/>
        </w:rPr>
        <w:t xml:space="preserve"> וגם לא יתנוהו על סמך שיחתום הפסול אח</w:t>
      </w:r>
      <w:r>
        <w:rPr>
          <w:rFonts w:cs="Arial" w:hint="cs"/>
          <w:rtl/>
        </w:rPr>
        <w:t>"</w:t>
      </w:r>
      <w:r>
        <w:rPr>
          <w:rFonts w:cs="Arial"/>
          <w:rtl/>
        </w:rPr>
        <w:t>כ</w:t>
      </w:r>
      <w:r>
        <w:rPr>
          <w:rFonts w:cs="Arial" w:hint="cs"/>
          <w:rtl/>
        </w:rPr>
        <w:t>,</w:t>
      </w:r>
      <w:r>
        <w:rPr>
          <w:rFonts w:cs="Arial"/>
          <w:rtl/>
        </w:rPr>
        <w:t xml:space="preserve"> דאע</w:t>
      </w:r>
      <w:r>
        <w:rPr>
          <w:rFonts w:cs="Arial" w:hint="cs"/>
          <w:rtl/>
        </w:rPr>
        <w:t>"</w:t>
      </w:r>
      <w:r>
        <w:rPr>
          <w:rFonts w:cs="Arial"/>
          <w:rtl/>
        </w:rPr>
        <w:t>ג דכיון שאינו חותם עד אחר נתינה מינכר שפיר דאינו חותם אלא משום תנאי וליכא למיחש דאתי לאיחלופי</w:t>
      </w:r>
      <w:r>
        <w:rPr>
          <w:rFonts w:cs="Arial" w:hint="cs"/>
          <w:rtl/>
        </w:rPr>
        <w:t>,</w:t>
      </w:r>
      <w:r>
        <w:rPr>
          <w:rFonts w:cs="Arial"/>
          <w:rtl/>
        </w:rPr>
        <w:t xml:space="preserve"> אפילו הכי איכא למיחש דילמא משתלי ולא חתים ונמצא גט בטל</w:t>
      </w:r>
      <w:r>
        <w:rPr>
          <w:rFonts w:cs="Arial" w:hint="cs"/>
          <w:rtl/>
        </w:rPr>
        <w:t>.</w:t>
      </w:r>
      <w:r>
        <w:rPr>
          <w:rFonts w:cs="Arial"/>
          <w:rtl/>
        </w:rPr>
        <w:t xml:space="preserve"> מיהו אם עבר וחתם בין קודם נתינה בין אחר נתינה </w:t>
      </w:r>
      <w:r>
        <w:rPr>
          <w:rFonts w:cs="Arial" w:hint="cs"/>
          <w:rtl/>
        </w:rPr>
        <w:t xml:space="preserve">- </w:t>
      </w:r>
      <w:r>
        <w:rPr>
          <w:rFonts w:cs="Arial"/>
          <w:rtl/>
        </w:rPr>
        <w:t>כשר</w:t>
      </w:r>
      <w:r>
        <w:rPr>
          <w:rFonts w:cs="Arial" w:hint="cs"/>
          <w:rtl/>
        </w:rPr>
        <w:t>.</w:t>
      </w:r>
      <w:r>
        <w:rPr>
          <w:rFonts w:cs="Arial"/>
          <w:rtl/>
        </w:rPr>
        <w:t xml:space="preserve"> ועוד יש לומר דהכי קאמר לכתחלה אין לקרוב או פסול לחתום עמהם</w:t>
      </w:r>
      <w:r>
        <w:rPr>
          <w:rFonts w:cs="Arial" w:hint="cs"/>
          <w:rtl/>
        </w:rPr>
        <w:t>,</w:t>
      </w:r>
      <w:r>
        <w:rPr>
          <w:rFonts w:cs="Arial"/>
          <w:rtl/>
        </w:rPr>
        <w:t xml:space="preserve"> כלומר וכיון שכן אין כותבין הגט</w:t>
      </w:r>
      <w:r>
        <w:rPr>
          <w:rFonts w:cs="Arial" w:hint="cs"/>
          <w:rtl/>
        </w:rPr>
        <w:t>,</w:t>
      </w:r>
      <w:r>
        <w:rPr>
          <w:rFonts w:cs="Arial"/>
          <w:rtl/>
        </w:rPr>
        <w:t xml:space="preserve"> דכיון שאין קרוב או פסול חותמין אין התנאי מתקיים</w:t>
      </w:r>
      <w:r>
        <w:rPr>
          <w:rFonts w:cs="Arial" w:hint="cs"/>
          <w:rtl/>
        </w:rPr>
        <w:t>.</w:t>
      </w:r>
      <w:r>
        <w:rPr>
          <w:rFonts w:cs="Arial"/>
          <w:rtl/>
        </w:rPr>
        <w:t xml:space="preserve"> מיהו אם עבר וכתבו וחתם בו גם הפסול </w:t>
      </w:r>
      <w:r>
        <w:rPr>
          <w:rFonts w:cs="Arial" w:hint="cs"/>
          <w:rtl/>
        </w:rPr>
        <w:t xml:space="preserve">- </w:t>
      </w:r>
      <w:r>
        <w:rPr>
          <w:rFonts w:cs="Arial"/>
          <w:rtl/>
        </w:rPr>
        <w:t>כשר הוא</w:t>
      </w:r>
      <w:r>
        <w:rPr>
          <w:rFonts w:cs="Arial" w:hint="cs"/>
          <w:rtl/>
        </w:rPr>
        <w:t>.</w:t>
      </w:r>
      <w:r>
        <w:rPr>
          <w:rFonts w:cs="Arial"/>
          <w:rtl/>
        </w:rPr>
        <w:t xml:space="preserve"> כן נראה לי</w:t>
      </w:r>
      <w:r>
        <w:rPr>
          <w:rFonts w:hint="cs"/>
          <w:rtl/>
        </w:rPr>
        <w:t>, ב"י.</w:t>
      </w:r>
    </w:p>
  </w:footnote>
  <w:footnote w:id="221">
    <w:p w14:paraId="172EE515" w14:textId="3ADC24CF" w:rsidR="001D32D1" w:rsidRDefault="001D32D1" w:rsidP="001D32D1">
      <w:pPr>
        <w:pStyle w:val="a5"/>
      </w:pPr>
      <w:r>
        <w:rPr>
          <w:rStyle w:val="a7"/>
        </w:rPr>
        <w:footnoteRef/>
      </w:r>
      <w:r>
        <w:rPr>
          <w:rtl/>
        </w:rPr>
        <w:t xml:space="preserve"> </w:t>
      </w:r>
      <w:r w:rsidRPr="00B80392">
        <w:rPr>
          <w:rFonts w:cs="Arial"/>
          <w:rtl/>
        </w:rPr>
        <w:t>כלישנא בתרא</w:t>
      </w:r>
      <w:r w:rsidRPr="00B80392">
        <w:rPr>
          <w:rFonts w:cs="Arial" w:hint="cs"/>
          <w:rtl/>
        </w:rPr>
        <w:t>,</w:t>
      </w:r>
      <w:r w:rsidRPr="00B80392">
        <w:rPr>
          <w:rFonts w:cs="Arial"/>
          <w:rtl/>
        </w:rPr>
        <w:t xml:space="preserve"> וכן כתב רבינו ירוחם (נכ"ד ח"ב רג ע"ג)</w:t>
      </w:r>
      <w:r w:rsidRPr="00B80392">
        <w:rPr>
          <w:rFonts w:cs="Arial" w:hint="cs"/>
          <w:rtl/>
        </w:rPr>
        <w:t>.</w:t>
      </w:r>
      <w:r w:rsidRPr="00B80392">
        <w:rPr>
          <w:rFonts w:cs="Arial"/>
          <w:rtl/>
        </w:rPr>
        <w:t xml:space="preserve"> וכן דעת הפוסקים</w:t>
      </w:r>
      <w:r>
        <w:rPr>
          <w:rFonts w:cs="Arial" w:hint="cs"/>
          <w:rtl/>
        </w:rPr>
        <w:t>.</w:t>
      </w:r>
      <w:r w:rsidRPr="00B80392">
        <w:rPr>
          <w:rFonts w:cs="Arial"/>
          <w:rtl/>
        </w:rPr>
        <w:t xml:space="preserve"> וכן בדין</w:t>
      </w:r>
      <w:r>
        <w:rPr>
          <w:rFonts w:cs="Arial" w:hint="cs"/>
          <w:rtl/>
        </w:rPr>
        <w:t>,</w:t>
      </w:r>
      <w:r w:rsidRPr="00B80392">
        <w:rPr>
          <w:rFonts w:cs="Arial"/>
          <w:rtl/>
        </w:rPr>
        <w:t xml:space="preserve"> דהא מידי דרבנן הוא ובדרבנן פסקינן כלישנא בתרא (רש"י </w:t>
      </w:r>
      <w:r w:rsidR="002A61CE">
        <w:rPr>
          <w:rFonts w:cs="Arial" w:hint="cs"/>
          <w:rtl/>
        </w:rPr>
        <w:t>[</w:t>
      </w:r>
      <w:r w:rsidRPr="00B80392">
        <w:rPr>
          <w:rFonts w:cs="Arial"/>
          <w:rtl/>
        </w:rPr>
        <w:t>חולין נ. ד"ה כי פליגי באקשתא</w:t>
      </w:r>
      <w:r w:rsidR="002A61CE">
        <w:rPr>
          <w:rFonts w:cs="Arial" w:hint="cs"/>
          <w:rtl/>
        </w:rPr>
        <w:t>]</w:t>
      </w:r>
      <w:r w:rsidRPr="00B80392">
        <w:rPr>
          <w:rFonts w:cs="Arial" w:hint="cs"/>
          <w:rtl/>
        </w:rPr>
        <w:t>,</w:t>
      </w:r>
      <w:r w:rsidRPr="00B80392">
        <w:rPr>
          <w:rFonts w:cs="Arial"/>
          <w:rtl/>
        </w:rPr>
        <w:t xml:space="preserve"> ר"ן </w:t>
      </w:r>
      <w:r w:rsidR="002A61CE">
        <w:rPr>
          <w:rFonts w:cs="Arial" w:hint="cs"/>
          <w:rtl/>
        </w:rPr>
        <w:t>[</w:t>
      </w:r>
      <w:r w:rsidRPr="00B80392">
        <w:rPr>
          <w:rFonts w:cs="Arial"/>
          <w:rtl/>
        </w:rPr>
        <w:t>ע"ז ב. ד"ה ואם</w:t>
      </w:r>
      <w:r w:rsidR="002A61CE">
        <w:rPr>
          <w:rFonts w:cs="Arial" w:hint="cs"/>
          <w:rtl/>
        </w:rPr>
        <w:t>]</w:t>
      </w:r>
      <w:r w:rsidRPr="00B80392">
        <w:rPr>
          <w:rFonts w:cs="Arial"/>
          <w:rtl/>
        </w:rPr>
        <w:t>)</w:t>
      </w:r>
      <w:r>
        <w:rPr>
          <w:rFonts w:cs="Arial" w:hint="cs"/>
          <w:rtl/>
        </w:rPr>
        <w:t>, ב"י.</w:t>
      </w:r>
      <w:r w:rsidR="009F239C">
        <w:rPr>
          <w:rFonts w:hint="cs"/>
          <w:rtl/>
        </w:rPr>
        <w:t xml:space="preserve"> </w:t>
      </w:r>
    </w:p>
  </w:footnote>
  <w:footnote w:id="222">
    <w:p w14:paraId="1585F77F" w14:textId="5AB8DC92" w:rsidR="006615C2" w:rsidRDefault="006615C2" w:rsidP="006615C2">
      <w:pPr>
        <w:pStyle w:val="a5"/>
      </w:pPr>
      <w:r>
        <w:rPr>
          <w:rStyle w:val="a7"/>
        </w:rPr>
        <w:footnoteRef/>
      </w:r>
      <w:r>
        <w:rPr>
          <w:rtl/>
        </w:rPr>
        <w:t xml:space="preserve"> </w:t>
      </w:r>
      <w:r w:rsidR="00B3322B">
        <w:rPr>
          <w:rFonts w:cs="Arial" w:hint="cs"/>
          <w:rtl/>
        </w:rPr>
        <w:t xml:space="preserve">ונתן הרמב"ם טעם לדבר, </w:t>
      </w:r>
      <w:r w:rsidR="000A0F5A">
        <w:rPr>
          <w:rFonts w:cs="Arial" w:hint="cs"/>
          <w:rtl/>
        </w:rPr>
        <w:t>וז</w:t>
      </w:r>
      <w:r w:rsidR="000A0F5A">
        <w:rPr>
          <w:rFonts w:cs="Arial"/>
          <w:rtl/>
        </w:rPr>
        <w:t>"</w:t>
      </w:r>
      <w:r w:rsidR="000A0F5A">
        <w:rPr>
          <w:rFonts w:cs="Arial" w:hint="cs"/>
          <w:rtl/>
        </w:rPr>
        <w:t>ל:</w:t>
      </w:r>
      <w:r w:rsidR="00B3322B">
        <w:rPr>
          <w:rFonts w:cs="Arial" w:hint="cs"/>
          <w:rtl/>
        </w:rPr>
        <w:t xml:space="preserve"> </w:t>
      </w:r>
      <w:r w:rsidR="00B3322B" w:rsidRPr="00B80392">
        <w:rPr>
          <w:rFonts w:cs="Arial"/>
          <w:rtl/>
        </w:rPr>
        <w:t>שמא יאמרו עד פסול כשר בעדות שאר שטרות בעת שיהיו העדים רבים</w:t>
      </w:r>
      <w:r w:rsidR="00B3322B">
        <w:rPr>
          <w:rFonts w:cs="Arial" w:hint="cs"/>
          <w:rtl/>
        </w:rPr>
        <w:t>.</w:t>
      </w:r>
      <w:r w:rsidR="00B3322B" w:rsidRPr="00B80392">
        <w:rPr>
          <w:rFonts w:cs="Arial"/>
          <w:rtl/>
        </w:rPr>
        <w:t xml:space="preserve"> ולא הכשירוהו בגט שעדיו רבים אלא מפני שעידי מסירה הן העיקר</w:t>
      </w:r>
      <w:r w:rsidR="00B3322B">
        <w:rPr>
          <w:rFonts w:cs="Arial" w:hint="cs"/>
          <w:rtl/>
        </w:rPr>
        <w:t xml:space="preserve">. עכ"ל. </w:t>
      </w:r>
      <w:r w:rsidR="00B3322B" w:rsidRPr="00B3322B">
        <w:rPr>
          <w:rFonts w:cs="Arial" w:hint="cs"/>
          <w:sz w:val="16"/>
          <w:szCs w:val="16"/>
          <w:rtl/>
        </w:rPr>
        <w:t>(וכתב הב"י ד</w:t>
      </w:r>
      <w:r w:rsidRPr="00B3322B">
        <w:rPr>
          <w:rFonts w:cs="Arial"/>
          <w:sz w:val="16"/>
          <w:szCs w:val="16"/>
          <w:rtl/>
        </w:rPr>
        <w:t>איכא למידק היכי יהיב טעמא להכשיר עד פסול בגט מפני שעדי מסירה הן העיקר הא טעמא לא הוי לפי מה שפירש הראב"ד אלא משום דאינך משום תנאי. ונראה לי דהכי קאמר מה טעם תלינן בגט דאינך משום תנאי ובשאר שטרות אמרינן דכולם משום עדים מפני שעדי המסירה הן עיקר הילכך תלינן דאינך משום תנאי</w:t>
      </w:r>
      <w:r w:rsidR="00B3322B">
        <w:rPr>
          <w:rFonts w:cs="Arial" w:hint="cs"/>
          <w:sz w:val="16"/>
          <w:szCs w:val="16"/>
          <w:rtl/>
        </w:rPr>
        <w:t>)</w:t>
      </w:r>
      <w:r>
        <w:rPr>
          <w:rFonts w:cs="Arial" w:hint="cs"/>
          <w:rtl/>
        </w:rPr>
        <w:t>.</w:t>
      </w:r>
    </w:p>
  </w:footnote>
  <w:footnote w:id="223">
    <w:p w14:paraId="65FB0D2C" w14:textId="433CDF4D" w:rsidR="00E82544" w:rsidRDefault="00E82544" w:rsidP="00E82544">
      <w:pPr>
        <w:pStyle w:val="a5"/>
        <w:rPr>
          <w:rtl/>
        </w:rPr>
      </w:pPr>
      <w:r>
        <w:rPr>
          <w:rStyle w:val="a7"/>
        </w:rPr>
        <w:footnoteRef/>
      </w:r>
      <w:r>
        <w:rPr>
          <w:rtl/>
        </w:rPr>
        <w:t xml:space="preserve"> </w:t>
      </w:r>
      <w:r w:rsidR="009F239C" w:rsidRPr="00BB4063">
        <w:rPr>
          <w:rFonts w:cs="Arial"/>
          <w:rtl/>
        </w:rPr>
        <w:t xml:space="preserve">דאם הוא חתום באמצע או בסוף </w:t>
      </w:r>
      <w:r w:rsidR="009F239C" w:rsidRPr="00BB4063">
        <w:rPr>
          <w:rFonts w:cs="Arial" w:hint="cs"/>
          <w:rtl/>
        </w:rPr>
        <w:t xml:space="preserve">- </w:t>
      </w:r>
      <w:r w:rsidR="009F239C" w:rsidRPr="00BB4063">
        <w:rPr>
          <w:rFonts w:cs="Arial"/>
          <w:rtl/>
        </w:rPr>
        <w:t>אפילו בשאר שטרות פסול</w:t>
      </w:r>
      <w:r w:rsidR="009F239C" w:rsidRPr="00BB4063">
        <w:rPr>
          <w:rFonts w:cs="Arial" w:hint="cs"/>
          <w:rtl/>
        </w:rPr>
        <w:t>.</w:t>
      </w:r>
      <w:r w:rsidR="009F239C" w:rsidRPr="00BB4063">
        <w:rPr>
          <w:rFonts w:cs="Arial"/>
          <w:rtl/>
        </w:rPr>
        <w:t xml:space="preserve"> ואם הוא חתום בתחלה </w:t>
      </w:r>
      <w:r w:rsidR="009F239C" w:rsidRPr="00BB4063">
        <w:rPr>
          <w:rFonts w:cs="Arial" w:hint="cs"/>
          <w:rtl/>
        </w:rPr>
        <w:t xml:space="preserve">- </w:t>
      </w:r>
      <w:r w:rsidR="009F239C" w:rsidRPr="00BB4063">
        <w:rPr>
          <w:rFonts w:cs="Arial"/>
          <w:rtl/>
        </w:rPr>
        <w:t xml:space="preserve">פסול משום דאתו למימר </w:t>
      </w:r>
      <w:r w:rsidR="009F239C" w:rsidRPr="00BB4063">
        <w:rPr>
          <w:rFonts w:cs="Arial" w:hint="cs"/>
          <w:rtl/>
        </w:rPr>
        <w:t>'</w:t>
      </w:r>
      <w:r w:rsidR="009F239C" w:rsidRPr="00BB4063">
        <w:rPr>
          <w:rFonts w:cs="Arial"/>
          <w:rtl/>
        </w:rPr>
        <w:t>אי לאו דכשר לעדות לא הוו מחתמי ליה קודם הכשרים</w:t>
      </w:r>
      <w:r w:rsidR="009F239C" w:rsidRPr="00BB4063">
        <w:rPr>
          <w:rFonts w:cs="Arial" w:hint="cs"/>
          <w:rtl/>
        </w:rPr>
        <w:t>,</w:t>
      </w:r>
      <w:r w:rsidR="009F239C" w:rsidRPr="00BB4063">
        <w:rPr>
          <w:rFonts w:cs="Arial"/>
          <w:rtl/>
        </w:rPr>
        <w:t xml:space="preserve"> כיון שהיו נמצאים שם הכשרים</w:t>
      </w:r>
      <w:r w:rsidR="009F239C" w:rsidRPr="00BB4063">
        <w:rPr>
          <w:rFonts w:cs="Arial" w:hint="cs"/>
          <w:rtl/>
        </w:rPr>
        <w:t>'</w:t>
      </w:r>
      <w:r w:rsidR="009F239C">
        <w:rPr>
          <w:rFonts w:cs="Arial" w:hint="cs"/>
          <w:rtl/>
        </w:rPr>
        <w:t xml:space="preserve">... </w:t>
      </w:r>
      <w:r w:rsidRPr="004F500C">
        <w:rPr>
          <w:rFonts w:cs="Arial"/>
          <w:rtl/>
        </w:rPr>
        <w:t>משום דעידי הגט אין חותמין אלא זה בפני זה</w:t>
      </w:r>
      <w:r>
        <w:rPr>
          <w:rFonts w:cs="Arial" w:hint="cs"/>
          <w:rtl/>
        </w:rPr>
        <w:t>,</w:t>
      </w:r>
      <w:r w:rsidRPr="004F500C">
        <w:rPr>
          <w:rFonts w:cs="Arial"/>
          <w:rtl/>
        </w:rPr>
        <w:t xml:space="preserve"> וכשיצא גט זה לפני בני אדם ויראו שקרוב או פסול חתום תחלה יאמרו שהוא חתם קודם</w:t>
      </w:r>
      <w:r>
        <w:rPr>
          <w:rFonts w:cs="Arial" w:hint="cs"/>
          <w:rtl/>
        </w:rPr>
        <w:t>,</w:t>
      </w:r>
      <w:r w:rsidRPr="004F500C">
        <w:rPr>
          <w:rFonts w:cs="Arial"/>
          <w:rtl/>
        </w:rPr>
        <w:t xml:space="preserve"> דמסתמא כסדר שהם חתומים חתמו</w:t>
      </w:r>
      <w:r>
        <w:rPr>
          <w:rFonts w:cs="Arial" w:hint="cs"/>
          <w:rtl/>
        </w:rPr>
        <w:t>.</w:t>
      </w:r>
      <w:r w:rsidRPr="004F500C">
        <w:rPr>
          <w:rFonts w:cs="Arial"/>
          <w:rtl/>
        </w:rPr>
        <w:t xml:space="preserve"> ויאמרו ודאי כשר להעיד הוא</w:t>
      </w:r>
      <w:r>
        <w:rPr>
          <w:rFonts w:cs="Arial" w:hint="cs"/>
          <w:rtl/>
        </w:rPr>
        <w:t>,</w:t>
      </w:r>
      <w:r w:rsidRPr="004F500C">
        <w:rPr>
          <w:rFonts w:cs="Arial"/>
          <w:rtl/>
        </w:rPr>
        <w:t xml:space="preserve"> שאם לא כן היה לכשרים לחתום תחלה כיון שהיו שם</w:t>
      </w:r>
      <w:r>
        <w:rPr>
          <w:rFonts w:cs="Arial" w:hint="cs"/>
          <w:rtl/>
        </w:rPr>
        <w:t>.</w:t>
      </w:r>
      <w:r w:rsidRPr="004F500C">
        <w:rPr>
          <w:rFonts w:cs="Arial"/>
          <w:rtl/>
        </w:rPr>
        <w:t xml:space="preserve"> ואם היה רוצה הבעל שיחתום משום תנאי הוה ליה לחתום אחר כך</w:t>
      </w:r>
      <w:r>
        <w:rPr>
          <w:rFonts w:cs="Arial" w:hint="cs"/>
          <w:rtl/>
        </w:rPr>
        <w:t>,</w:t>
      </w:r>
      <w:r w:rsidRPr="004F500C">
        <w:rPr>
          <w:rFonts w:cs="Arial"/>
          <w:rtl/>
        </w:rPr>
        <w:t xml:space="preserve"> אלא ודאי לשם עדות חתם</w:t>
      </w:r>
      <w:r>
        <w:rPr>
          <w:rFonts w:cs="Arial" w:hint="cs"/>
          <w:rtl/>
        </w:rPr>
        <w:t>.</w:t>
      </w:r>
      <w:r w:rsidRPr="004F500C">
        <w:rPr>
          <w:rFonts w:cs="Arial"/>
          <w:rtl/>
        </w:rPr>
        <w:t xml:space="preserve"> ויבואו להכשירו</w:t>
      </w:r>
      <w:r>
        <w:rPr>
          <w:rFonts w:cs="Arial" w:hint="cs"/>
          <w:rtl/>
        </w:rPr>
        <w:t>.</w:t>
      </w:r>
      <w:r w:rsidRPr="004F500C">
        <w:rPr>
          <w:rFonts w:cs="Arial"/>
          <w:rtl/>
        </w:rPr>
        <w:t xml:space="preserve"> אבל בשאר שטרות אע</w:t>
      </w:r>
      <w:r>
        <w:rPr>
          <w:rFonts w:cs="Arial" w:hint="cs"/>
          <w:rtl/>
        </w:rPr>
        <w:t>"</w:t>
      </w:r>
      <w:r w:rsidRPr="004F500C">
        <w:rPr>
          <w:rFonts w:cs="Arial"/>
          <w:rtl/>
        </w:rPr>
        <w:t>פ שיראו שהוא חתום תחלה יאמרו משום תנאי או כבוד החתימוהו</w:t>
      </w:r>
      <w:r>
        <w:rPr>
          <w:rFonts w:cs="Arial" w:hint="cs"/>
          <w:rtl/>
        </w:rPr>
        <w:t>,</w:t>
      </w:r>
      <w:r w:rsidRPr="004F500C">
        <w:rPr>
          <w:rFonts w:cs="Arial"/>
          <w:rtl/>
        </w:rPr>
        <w:t xml:space="preserve"> ולפי שמצאוהו תחלה החתימוהו תחלה ואחר כך כשמצאו הכשרים החתימום לשם עדות</w:t>
      </w:r>
      <w:r>
        <w:rPr>
          <w:rFonts w:cs="Arial" w:hint="cs"/>
          <w:rtl/>
        </w:rPr>
        <w:t xml:space="preserve">... </w:t>
      </w:r>
      <w:r w:rsidRPr="004F500C">
        <w:rPr>
          <w:rFonts w:cs="Arial"/>
          <w:rtl/>
        </w:rPr>
        <w:t xml:space="preserve">וכן כתב רבינו ירוחם (נכ"ד ח"ב כ"ג ע"ג) בשמם. </w:t>
      </w:r>
      <w:r w:rsidRPr="00BB4063">
        <w:rPr>
          <w:rFonts w:cs="Arial"/>
          <w:rtl/>
        </w:rPr>
        <w:t>ומכל מקום למדנו מדבריהם דכשחתום הפסול באמצע כחתום בסוף דיינינן ליה ולא כחתום בתחלה שלא כדברי הרא"ש (ב"ב פ"י ס"ג)</w:t>
      </w:r>
      <w:r>
        <w:rPr>
          <w:rFonts w:cs="Arial" w:hint="cs"/>
          <w:rtl/>
        </w:rPr>
        <w:t>, ב"י</w:t>
      </w:r>
      <w:r w:rsidR="005B7E9F">
        <w:rPr>
          <w:rFonts w:cs="Arial" w:hint="cs"/>
          <w:rtl/>
        </w:rPr>
        <w:t xml:space="preserve"> (בשם ר"ת ובה"ג)</w:t>
      </w:r>
      <w:r>
        <w:rPr>
          <w:rFonts w:cs="Arial" w:hint="cs"/>
          <w:rtl/>
        </w:rPr>
        <w:t>.</w:t>
      </w:r>
    </w:p>
  </w:footnote>
  <w:footnote w:id="224">
    <w:p w14:paraId="57765C9C" w14:textId="77777777" w:rsidR="005B7E9F" w:rsidRPr="00E82544" w:rsidRDefault="005B7E9F" w:rsidP="005B7E9F">
      <w:pPr>
        <w:pStyle w:val="a5"/>
      </w:pPr>
      <w:r>
        <w:rPr>
          <w:rStyle w:val="a7"/>
        </w:rPr>
        <w:footnoteRef/>
      </w:r>
      <w:r>
        <w:rPr>
          <w:rtl/>
        </w:rPr>
        <w:t xml:space="preserve"> </w:t>
      </w:r>
      <w:r w:rsidRPr="009F6A8D">
        <w:rPr>
          <w:rFonts w:cs="Arial"/>
          <w:rtl/>
        </w:rPr>
        <w:t xml:space="preserve">ולפי זה כי אמרינן </w:t>
      </w:r>
      <w:r w:rsidRPr="009F6A8D">
        <w:rPr>
          <w:rFonts w:cs="Arial" w:hint="cs"/>
          <w:rtl/>
        </w:rPr>
        <w:t>'</w:t>
      </w:r>
      <w:r w:rsidRPr="009F6A8D">
        <w:rPr>
          <w:rFonts w:cs="Arial"/>
          <w:rtl/>
        </w:rPr>
        <w:t>אי חתים בתחלה קרוב או פסול</w:t>
      </w:r>
      <w:r w:rsidRPr="009F6A8D">
        <w:rPr>
          <w:rFonts w:cs="Arial" w:hint="cs"/>
          <w:rtl/>
        </w:rPr>
        <w:t>'</w:t>
      </w:r>
      <w:r w:rsidRPr="009F6A8D">
        <w:rPr>
          <w:rFonts w:cs="Arial"/>
          <w:rtl/>
        </w:rPr>
        <w:t xml:space="preserve"> משום מאן דאמר כשר נקט לה</w:t>
      </w:r>
      <w:r>
        <w:rPr>
          <w:rFonts w:cs="Arial" w:hint="cs"/>
          <w:rtl/>
        </w:rPr>
        <w:t>.</w:t>
      </w:r>
      <w:r w:rsidRPr="009F6A8D">
        <w:rPr>
          <w:rFonts w:cs="Arial"/>
          <w:rtl/>
        </w:rPr>
        <w:t xml:space="preserve"> </w:t>
      </w:r>
      <w:r w:rsidRPr="00CD204A">
        <w:rPr>
          <w:rFonts w:cs="Arial"/>
          <w:rtl/>
        </w:rPr>
        <w:t>נמצא דבכל מקום שחתם קרוב או פסול בגט או בשטר</w:t>
      </w:r>
      <w:r w:rsidRPr="00CD204A">
        <w:rPr>
          <w:rFonts w:cs="Arial" w:hint="cs"/>
          <w:rtl/>
        </w:rPr>
        <w:t>,</w:t>
      </w:r>
      <w:r w:rsidRPr="00CD204A">
        <w:rPr>
          <w:rFonts w:cs="Arial"/>
          <w:rtl/>
        </w:rPr>
        <w:t xml:space="preserve"> פסול לכולי עלמא</w:t>
      </w:r>
      <w:r w:rsidRPr="00CD204A">
        <w:rPr>
          <w:rFonts w:cs="Arial" w:hint="cs"/>
          <w:rtl/>
        </w:rPr>
        <w:t>,</w:t>
      </w:r>
      <w:r w:rsidRPr="00CD204A">
        <w:rPr>
          <w:rFonts w:cs="Arial"/>
          <w:rtl/>
        </w:rPr>
        <w:t xml:space="preserve"> זולתי כשנתחברו שני תנאים</w:t>
      </w:r>
      <w:r w:rsidRPr="00CD204A">
        <w:rPr>
          <w:rFonts w:cs="Arial" w:hint="cs"/>
          <w:rtl/>
        </w:rPr>
        <w:t>.</w:t>
      </w:r>
      <w:r w:rsidRPr="00CD204A">
        <w:rPr>
          <w:rFonts w:cs="Arial"/>
          <w:rtl/>
        </w:rPr>
        <w:t xml:space="preserve"> האחד</w:t>
      </w:r>
      <w:r w:rsidRPr="00CD204A">
        <w:rPr>
          <w:rFonts w:cs="Arial" w:hint="cs"/>
          <w:rtl/>
        </w:rPr>
        <w:t>,</w:t>
      </w:r>
      <w:r w:rsidRPr="00CD204A">
        <w:rPr>
          <w:rFonts w:cs="Arial"/>
          <w:rtl/>
        </w:rPr>
        <w:t xml:space="preserve"> שחתמו הכשרים קודם</w:t>
      </w:r>
      <w:r w:rsidRPr="00CD204A">
        <w:rPr>
          <w:rFonts w:cs="Arial" w:hint="cs"/>
          <w:rtl/>
        </w:rPr>
        <w:t>.</w:t>
      </w:r>
      <w:r w:rsidRPr="00CD204A">
        <w:rPr>
          <w:rFonts w:cs="Arial"/>
          <w:rtl/>
        </w:rPr>
        <w:t xml:space="preserve"> השני</w:t>
      </w:r>
      <w:r w:rsidRPr="00CD204A">
        <w:rPr>
          <w:rFonts w:cs="Arial" w:hint="cs"/>
          <w:rtl/>
        </w:rPr>
        <w:t>,</w:t>
      </w:r>
      <w:r w:rsidRPr="00CD204A">
        <w:rPr>
          <w:rFonts w:cs="Arial"/>
          <w:rtl/>
        </w:rPr>
        <w:t xml:space="preserve"> שחתם הקרוב או הפסול למעלה בתחלה</w:t>
      </w:r>
      <w:r w:rsidRPr="00CD204A">
        <w:rPr>
          <w:rFonts w:cs="Arial" w:hint="cs"/>
          <w:rtl/>
        </w:rPr>
        <w:t>.</w:t>
      </w:r>
      <w:r w:rsidRPr="00CD204A">
        <w:rPr>
          <w:rFonts w:cs="Arial"/>
          <w:rtl/>
        </w:rPr>
        <w:t xml:space="preserve"> דכל דאיכא הני שני תנאים</w:t>
      </w:r>
      <w:r w:rsidRPr="00CD204A">
        <w:rPr>
          <w:rFonts w:cs="Arial" w:hint="cs"/>
          <w:rtl/>
        </w:rPr>
        <w:t>,</w:t>
      </w:r>
      <w:r w:rsidRPr="00CD204A">
        <w:rPr>
          <w:rFonts w:cs="Arial"/>
          <w:rtl/>
        </w:rPr>
        <w:t xml:space="preserve"> בשטרות כשר לכולי עלמא</w:t>
      </w:r>
      <w:r w:rsidRPr="00CD204A">
        <w:rPr>
          <w:rFonts w:cs="Arial" w:hint="cs"/>
          <w:rtl/>
        </w:rPr>
        <w:t>,</w:t>
      </w:r>
      <w:r w:rsidRPr="00CD204A">
        <w:rPr>
          <w:rFonts w:cs="Arial"/>
          <w:rtl/>
        </w:rPr>
        <w:t xml:space="preserve"> ובגיטין אמרי לה כשר ואמרי לה פסול</w:t>
      </w:r>
      <w:r w:rsidRPr="00CD204A">
        <w:rPr>
          <w:rFonts w:cs="Arial" w:hint="cs"/>
          <w:rtl/>
        </w:rPr>
        <w:t>.</w:t>
      </w:r>
      <w:r w:rsidRPr="00CD204A">
        <w:rPr>
          <w:rFonts w:cs="Arial"/>
          <w:rtl/>
        </w:rPr>
        <w:t xml:space="preserve"> זו היא שיטת הר"ן (ט. סוד"ה ואמרי לה פסול) שפירש דבריו בהדיא</w:t>
      </w:r>
      <w:r w:rsidRPr="00CD204A">
        <w:rPr>
          <w:rFonts w:cs="Arial" w:hint="cs"/>
          <w:rtl/>
        </w:rPr>
        <w:t>.</w:t>
      </w:r>
      <w:r>
        <w:rPr>
          <w:rFonts w:cs="Arial" w:hint="cs"/>
          <w:rtl/>
        </w:rPr>
        <w:t>.</w:t>
      </w:r>
      <w:r w:rsidRPr="00CD204A">
        <w:rPr>
          <w:rFonts w:cs="Arial"/>
          <w:rtl/>
        </w:rPr>
        <w:t>. ודעת הרשב"א (שם) והמרדכי (גיטין סי' שלח, ב"ב סי' תרמג) והעיטור (אות ק' קבלת עדות ס ע"א) נראה שהיא כדעת הר"ן</w:t>
      </w:r>
      <w:r>
        <w:rPr>
          <w:rFonts w:cs="Arial" w:hint="cs"/>
          <w:rtl/>
        </w:rPr>
        <w:t>, ב"י.</w:t>
      </w:r>
      <w:r>
        <w:rPr>
          <w:rFonts w:hint="cs"/>
          <w:rtl/>
        </w:rPr>
        <w:t xml:space="preserve"> ועוד כתב הב"י דכן נראה דעת </w:t>
      </w:r>
      <w:r>
        <w:rPr>
          <w:rFonts w:cs="Arial" w:hint="cs"/>
          <w:rtl/>
        </w:rPr>
        <w:t>ה</w:t>
      </w:r>
      <w:r w:rsidRPr="004F500C">
        <w:rPr>
          <w:rFonts w:cs="Arial"/>
          <w:rtl/>
        </w:rPr>
        <w:t>נמוק</w:t>
      </w:r>
      <w:r>
        <w:rPr>
          <w:rFonts w:cs="Arial" w:hint="cs"/>
          <w:rtl/>
        </w:rPr>
        <w:t>"</w:t>
      </w:r>
      <w:r w:rsidRPr="004F500C">
        <w:rPr>
          <w:rFonts w:cs="Arial"/>
          <w:rtl/>
        </w:rPr>
        <w:t xml:space="preserve">י </w:t>
      </w:r>
      <w:r w:rsidRPr="00766CCF">
        <w:rPr>
          <w:rFonts w:cs="Arial"/>
          <w:sz w:val="16"/>
          <w:szCs w:val="16"/>
          <w:rtl/>
        </w:rPr>
        <w:t>(ב"ב עו. ד"ה אמר המחבר)</w:t>
      </w:r>
      <w:r>
        <w:rPr>
          <w:rFonts w:cs="Arial" w:hint="cs"/>
          <w:rtl/>
        </w:rPr>
        <w:t>.</w:t>
      </w:r>
    </w:p>
  </w:footnote>
  <w:footnote w:id="225">
    <w:p w14:paraId="48CB74B1" w14:textId="47F8C0EF" w:rsidR="00844201" w:rsidRDefault="00844201">
      <w:pPr>
        <w:pStyle w:val="a5"/>
      </w:pPr>
      <w:r>
        <w:rPr>
          <w:rStyle w:val="a7"/>
        </w:rPr>
        <w:footnoteRef/>
      </w:r>
      <w:r>
        <w:rPr>
          <w:rtl/>
        </w:rPr>
        <w:t xml:space="preserve"> </w:t>
      </w:r>
      <w:r>
        <w:rPr>
          <w:rFonts w:hint="cs"/>
          <w:rtl/>
        </w:rPr>
        <w:t xml:space="preserve">כתבתי כאן את דעת ר"ת אע"פ שהתוס' (יח: ד"ה אמרי) כתבו שר"ת חזר בו, וזאת משום שר"ת כתב כן בספר הישר. ואם תאמר שספר הישר נכתב לפני מה ששמעו התוס' מר"ת </w:t>
      </w:r>
      <w:r w:rsidR="00A42812">
        <w:rPr>
          <w:rtl/>
        </w:rPr>
        <w:t>-</w:t>
      </w:r>
      <w:r>
        <w:rPr>
          <w:rFonts w:hint="cs"/>
          <w:rtl/>
        </w:rPr>
        <w:t xml:space="preserve"> מדוע הרא"ש </w:t>
      </w:r>
      <w:r w:rsidR="00F969BB">
        <w:rPr>
          <w:rFonts w:hint="cs"/>
          <w:rtl/>
        </w:rPr>
        <w:t xml:space="preserve">בתוספותיו לא הביא שר"ת חזר בו?. ומדוע גם הב"י מציין כדעה אחת את ר"ת ודעה אחרת תוס' בשם ר"ת. אלא נראה דצריך לומר דלא פשוט שיש למחוק את מה שאמר ר"ת בתחילת התוס' בגלל </w:t>
      </w:r>
      <w:r w:rsidR="005B7BD8">
        <w:rPr>
          <w:rFonts w:hint="cs"/>
          <w:rtl/>
        </w:rPr>
        <w:t xml:space="preserve">מה </w:t>
      </w:r>
      <w:r w:rsidR="00F969BB">
        <w:rPr>
          <w:rFonts w:hint="cs"/>
          <w:rtl/>
        </w:rPr>
        <w:t xml:space="preserve">שאמרו התוס' שחזר בו.  </w:t>
      </w:r>
      <w:r>
        <w:rPr>
          <w:rFonts w:hint="cs"/>
          <w:rtl/>
        </w:rPr>
        <w:t xml:space="preserve"> </w:t>
      </w:r>
    </w:p>
  </w:footnote>
  <w:footnote w:id="226">
    <w:p w14:paraId="3D2DD790" w14:textId="7BECA9E2" w:rsidR="00D779ED" w:rsidRDefault="00D779ED">
      <w:pPr>
        <w:pStyle w:val="a5"/>
      </w:pPr>
      <w:r>
        <w:rPr>
          <w:rStyle w:val="a7"/>
        </w:rPr>
        <w:footnoteRef/>
      </w:r>
      <w:r>
        <w:rPr>
          <w:rtl/>
        </w:rPr>
        <w:t xml:space="preserve"> </w:t>
      </w:r>
      <w:r>
        <w:rPr>
          <w:rFonts w:hint="cs"/>
          <w:rtl/>
        </w:rPr>
        <w:t>וכ</w:t>
      </w:r>
      <w:r w:rsidR="00E816AE">
        <w:rPr>
          <w:rFonts w:hint="cs"/>
          <w:rtl/>
        </w:rPr>
        <w:t>תב</w:t>
      </w:r>
      <w:r>
        <w:rPr>
          <w:rFonts w:hint="cs"/>
          <w:rtl/>
        </w:rPr>
        <w:t xml:space="preserve"> הב"י בשם הרמב"ם דה"ה באמצע </w:t>
      </w:r>
      <w:r w:rsidRPr="00E816AE">
        <w:rPr>
          <w:rFonts w:hint="cs"/>
          <w:sz w:val="16"/>
          <w:szCs w:val="16"/>
          <w:rtl/>
        </w:rPr>
        <w:t>(</w:t>
      </w:r>
      <w:r w:rsidR="000A0F5A">
        <w:rPr>
          <w:rFonts w:hint="cs"/>
          <w:sz w:val="16"/>
          <w:szCs w:val="16"/>
          <w:rtl/>
        </w:rPr>
        <w:t>וז</w:t>
      </w:r>
      <w:r w:rsidR="000A0F5A">
        <w:rPr>
          <w:sz w:val="16"/>
          <w:szCs w:val="16"/>
          <w:rtl/>
        </w:rPr>
        <w:t>"</w:t>
      </w:r>
      <w:r w:rsidR="000A0F5A">
        <w:rPr>
          <w:rFonts w:hint="cs"/>
          <w:sz w:val="16"/>
          <w:szCs w:val="16"/>
          <w:rtl/>
        </w:rPr>
        <w:t>ל:</w:t>
      </w:r>
      <w:r w:rsidRPr="00E816AE">
        <w:rPr>
          <w:rFonts w:hint="cs"/>
          <w:sz w:val="16"/>
          <w:szCs w:val="16"/>
          <w:rtl/>
        </w:rPr>
        <w:t xml:space="preserve"> </w:t>
      </w:r>
      <w:r w:rsidR="00E816AE" w:rsidRPr="00E816AE">
        <w:rPr>
          <w:rFonts w:cs="Arial"/>
          <w:sz w:val="16"/>
          <w:szCs w:val="16"/>
          <w:rtl/>
        </w:rPr>
        <w:t>לא הכשירוהו בגט כשאינו חתום בתחלה כי אם באמצע או בסוף אלא מפני שעדי המסירה הן העיקר</w:t>
      </w:r>
      <w:r w:rsidRPr="00E816AE">
        <w:rPr>
          <w:rFonts w:hint="cs"/>
          <w:sz w:val="16"/>
          <w:szCs w:val="16"/>
          <w:rtl/>
        </w:rPr>
        <w:t>)</w:t>
      </w:r>
      <w:r>
        <w:rPr>
          <w:rFonts w:hint="cs"/>
          <w:rtl/>
        </w:rPr>
        <w:t>.</w:t>
      </w:r>
    </w:p>
  </w:footnote>
  <w:footnote w:id="227">
    <w:p w14:paraId="1F3E6C50" w14:textId="20AD0FA0" w:rsidR="006615C2" w:rsidRDefault="006615C2">
      <w:pPr>
        <w:pStyle w:val="a5"/>
      </w:pPr>
      <w:r>
        <w:rPr>
          <w:rStyle w:val="a7"/>
        </w:rPr>
        <w:footnoteRef/>
      </w:r>
      <w:r>
        <w:rPr>
          <w:rtl/>
        </w:rPr>
        <w:t xml:space="preserve"> </w:t>
      </w:r>
      <w:r w:rsidRPr="004F500C">
        <w:rPr>
          <w:rFonts w:cs="Arial"/>
          <w:rtl/>
        </w:rPr>
        <w:t xml:space="preserve">והנך רואה בעיניך דלהרמב"ם אתי שפיר מה שאמרו </w:t>
      </w:r>
      <w:r>
        <w:rPr>
          <w:rFonts w:cs="Arial" w:hint="cs"/>
          <w:rtl/>
        </w:rPr>
        <w:t>'</w:t>
      </w:r>
      <w:r w:rsidRPr="004F500C">
        <w:rPr>
          <w:rFonts w:cs="Arial"/>
          <w:rtl/>
        </w:rPr>
        <w:t>דילמא אתי לאיחלופי בשאר שטרות דעלמא</w:t>
      </w:r>
      <w:r>
        <w:rPr>
          <w:rFonts w:cs="Arial" w:hint="cs"/>
          <w:rtl/>
        </w:rPr>
        <w:t>',</w:t>
      </w:r>
      <w:r w:rsidRPr="004F500C">
        <w:rPr>
          <w:rFonts w:cs="Arial"/>
          <w:rtl/>
        </w:rPr>
        <w:t xml:space="preserve"> דכל כהאי גוונא בשטרות פסול ובגט כשר</w:t>
      </w:r>
      <w:r>
        <w:rPr>
          <w:rFonts w:cs="Arial" w:hint="cs"/>
          <w:rtl/>
        </w:rPr>
        <w:t>.</w:t>
      </w:r>
      <w:r w:rsidRPr="004F500C">
        <w:rPr>
          <w:rFonts w:cs="Arial"/>
          <w:rtl/>
        </w:rPr>
        <w:t xml:space="preserve"> ולשאר מפרשים צריכים לידחק דהכי קאמר דילמא יבואו להכשירו לעדות וכמו שפירש</w:t>
      </w:r>
      <w:r>
        <w:rPr>
          <w:rFonts w:cs="Arial" w:hint="cs"/>
          <w:rtl/>
        </w:rPr>
        <w:t>ו</w:t>
      </w:r>
      <w:r w:rsidRPr="004F500C">
        <w:rPr>
          <w:rFonts w:cs="Arial"/>
          <w:rtl/>
        </w:rPr>
        <w:t xml:space="preserve"> רש"י (ד"ה אתי) והרשב"א (יח: ד"ה ולחתים)</w:t>
      </w:r>
      <w:r>
        <w:rPr>
          <w:rFonts w:cs="Arial" w:hint="cs"/>
          <w:rtl/>
        </w:rPr>
        <w:t>,</w:t>
      </w:r>
      <w:r w:rsidRPr="004F500C">
        <w:rPr>
          <w:rFonts w:cs="Arial"/>
          <w:rtl/>
        </w:rPr>
        <w:t xml:space="preserve"> ואין זה משמעות לאיחלופי</w:t>
      </w:r>
      <w:r>
        <w:rPr>
          <w:rFonts w:cs="Arial" w:hint="cs"/>
          <w:rtl/>
        </w:rPr>
        <w:t>,</w:t>
      </w:r>
      <w:r w:rsidRPr="004F500C">
        <w:rPr>
          <w:rFonts w:cs="Arial"/>
          <w:rtl/>
        </w:rPr>
        <w:t xml:space="preserve"> דאם כן הוה ליה למימר דילמא אתי לאכשוריה לעדות</w:t>
      </w:r>
      <w:r>
        <w:rPr>
          <w:rFonts w:cs="Arial" w:hint="cs"/>
          <w:rtl/>
        </w:rPr>
        <w:t>, ב"י.</w:t>
      </w:r>
    </w:p>
  </w:footnote>
  <w:footnote w:id="228">
    <w:p w14:paraId="4B59A84C" w14:textId="6B9D7D90" w:rsidR="00E82544" w:rsidRPr="003D021C" w:rsidRDefault="00E82544" w:rsidP="003D021C">
      <w:pPr>
        <w:pStyle w:val="a5"/>
        <w:rPr>
          <w:rFonts w:cs="Arial"/>
        </w:rPr>
      </w:pPr>
      <w:r>
        <w:rPr>
          <w:rStyle w:val="a7"/>
        </w:rPr>
        <w:footnoteRef/>
      </w:r>
      <w:r>
        <w:rPr>
          <w:rtl/>
        </w:rPr>
        <w:t xml:space="preserve"> </w:t>
      </w:r>
      <w:r>
        <w:rPr>
          <w:rFonts w:cs="Arial"/>
          <w:rtl/>
        </w:rPr>
        <w:t xml:space="preserve">אמאי דאמרינן דילמא אתי לאיחלופי בשטרות דעלמא הקשו המפרשים (ר"ן ט. ד"ה </w:t>
      </w:r>
      <w:r>
        <w:rPr>
          <w:rFonts w:cs="Arial" w:hint="cs"/>
          <w:rtl/>
        </w:rPr>
        <w:t>וא"ת ובשטרות</w:t>
      </w:r>
      <w:r>
        <w:rPr>
          <w:rFonts w:cs="Arial"/>
          <w:rtl/>
        </w:rPr>
        <w:t>) הא בשטרות דעלמא נמי כל כהאי גוונא כשר</w:t>
      </w:r>
      <w:r>
        <w:rPr>
          <w:rFonts w:cs="Arial" w:hint="cs"/>
          <w:rtl/>
        </w:rPr>
        <w:t>,</w:t>
      </w:r>
      <w:r>
        <w:rPr>
          <w:rFonts w:cs="Arial"/>
          <w:rtl/>
        </w:rPr>
        <w:t xml:space="preserve"> דאמרינן בגט פשוט (ב"ב קסב:) שאם הרחיקו העדים שני שיטין מן השטר ומילא אותם בקרובים כשר. ותירץ </w:t>
      </w:r>
      <w:r w:rsidRPr="003D021C">
        <w:rPr>
          <w:rFonts w:cs="Arial"/>
          <w:color w:val="000000" w:themeColor="text1"/>
          <w:rtl/>
        </w:rPr>
        <w:t xml:space="preserve">רבינו תם </w:t>
      </w:r>
      <w:r w:rsidR="003D021C" w:rsidRPr="003D021C">
        <w:rPr>
          <w:rFonts w:cs="Arial" w:hint="cs"/>
          <w:color w:val="000000" w:themeColor="text1"/>
          <w:sz w:val="16"/>
          <w:szCs w:val="16"/>
          <w:rtl/>
        </w:rPr>
        <w:t>{</w:t>
      </w:r>
      <w:r w:rsidR="003E63C1" w:rsidRPr="003D021C">
        <w:rPr>
          <w:rFonts w:cs="Arial" w:hint="cs"/>
          <w:color w:val="000000" w:themeColor="text1"/>
          <w:sz w:val="16"/>
          <w:szCs w:val="16"/>
          <w:rtl/>
        </w:rPr>
        <w:t>כ"כ הב"י בשמו, ו</w:t>
      </w:r>
      <w:r w:rsidRPr="003D021C">
        <w:rPr>
          <w:rFonts w:cs="Arial" w:hint="cs"/>
          <w:color w:val="000000" w:themeColor="text1"/>
          <w:sz w:val="16"/>
          <w:szCs w:val="16"/>
          <w:rtl/>
        </w:rPr>
        <w:t>לא מצאתי היכן</w:t>
      </w:r>
      <w:r w:rsidR="003E63C1" w:rsidRPr="003D021C">
        <w:rPr>
          <w:rFonts w:cs="Arial" w:hint="cs"/>
          <w:color w:val="000000" w:themeColor="text1"/>
          <w:sz w:val="16"/>
          <w:szCs w:val="16"/>
          <w:rtl/>
        </w:rPr>
        <w:t xml:space="preserve"> כתב כן</w:t>
      </w:r>
      <w:r w:rsidRPr="003D021C">
        <w:rPr>
          <w:rFonts w:cs="Arial" w:hint="cs"/>
          <w:color w:val="000000" w:themeColor="text1"/>
          <w:sz w:val="16"/>
          <w:szCs w:val="16"/>
          <w:rtl/>
        </w:rPr>
        <w:t>, וגם הר"ן כתב תירוץ זה בשם עצמו ולא בשם ר"ת</w:t>
      </w:r>
      <w:r w:rsidR="003D021C" w:rsidRPr="003D021C">
        <w:rPr>
          <w:rFonts w:cs="Arial" w:hint="cs"/>
          <w:color w:val="000000" w:themeColor="text1"/>
          <w:sz w:val="16"/>
          <w:szCs w:val="16"/>
          <w:rtl/>
        </w:rPr>
        <w:t>, וצל"ע}</w:t>
      </w:r>
      <w:r w:rsidRPr="003D021C">
        <w:rPr>
          <w:rFonts w:cs="Arial" w:hint="cs"/>
          <w:color w:val="000000" w:themeColor="text1"/>
          <w:rtl/>
        </w:rPr>
        <w:t xml:space="preserve"> </w:t>
      </w:r>
      <w:r w:rsidRPr="003D021C">
        <w:rPr>
          <w:rFonts w:cs="Arial"/>
          <w:color w:val="000000" w:themeColor="text1"/>
          <w:rtl/>
        </w:rPr>
        <w:t xml:space="preserve">דבתחלה דהכא היינו שחתמו </w:t>
      </w:r>
      <w:r>
        <w:rPr>
          <w:rFonts w:cs="Arial"/>
          <w:rtl/>
        </w:rPr>
        <w:t>הפסולים קודם</w:t>
      </w:r>
      <w:r>
        <w:rPr>
          <w:rFonts w:cs="Arial" w:hint="cs"/>
          <w:rtl/>
        </w:rPr>
        <w:t>,</w:t>
      </w:r>
      <w:r>
        <w:rPr>
          <w:rFonts w:cs="Arial"/>
          <w:rtl/>
        </w:rPr>
        <w:t xml:space="preserve"> ואח</w:t>
      </w:r>
      <w:r>
        <w:rPr>
          <w:rFonts w:cs="Arial" w:hint="cs"/>
          <w:rtl/>
        </w:rPr>
        <w:t>"כ</w:t>
      </w:r>
      <w:r>
        <w:rPr>
          <w:rFonts w:cs="Arial"/>
          <w:rtl/>
        </w:rPr>
        <w:t xml:space="preserve"> חתמו הכשרים</w:t>
      </w:r>
      <w:r>
        <w:rPr>
          <w:rFonts w:cs="Arial" w:hint="cs"/>
          <w:rtl/>
        </w:rPr>
        <w:t>,</w:t>
      </w:r>
      <w:r>
        <w:rPr>
          <w:rFonts w:cs="Arial"/>
          <w:rtl/>
        </w:rPr>
        <w:t xml:space="preserve"> דהרואה שחתמו קודם סובר שהם עיקר העדות</w:t>
      </w:r>
      <w:r>
        <w:rPr>
          <w:rFonts w:cs="Arial" w:hint="cs"/>
          <w:rtl/>
        </w:rPr>
        <w:t>.</w:t>
      </w:r>
      <w:r>
        <w:rPr>
          <w:rFonts w:cs="Arial"/>
          <w:rtl/>
        </w:rPr>
        <w:t xml:space="preserve"> וההיא דגט פשוט הכשרים חתמו תחלה</w:t>
      </w:r>
      <w:r>
        <w:rPr>
          <w:rFonts w:cs="Arial" w:hint="cs"/>
          <w:rtl/>
        </w:rPr>
        <w:t>,</w:t>
      </w:r>
      <w:r>
        <w:rPr>
          <w:rFonts w:cs="Arial"/>
          <w:rtl/>
        </w:rPr>
        <w:t xml:space="preserve"> והניחו מקום חלק</w:t>
      </w:r>
      <w:r>
        <w:rPr>
          <w:rFonts w:cs="Arial" w:hint="cs"/>
          <w:rtl/>
        </w:rPr>
        <w:t>,</w:t>
      </w:r>
      <w:r>
        <w:rPr>
          <w:rFonts w:cs="Arial"/>
          <w:rtl/>
        </w:rPr>
        <w:t xml:space="preserve"> ואח</w:t>
      </w:r>
      <w:r>
        <w:rPr>
          <w:rFonts w:cs="Arial" w:hint="cs"/>
          <w:rtl/>
        </w:rPr>
        <w:t>"</w:t>
      </w:r>
      <w:r>
        <w:rPr>
          <w:rFonts w:cs="Arial"/>
          <w:rtl/>
        </w:rPr>
        <w:t>כ חתמו הפסולים או הקרובים</w:t>
      </w:r>
      <w:r>
        <w:rPr>
          <w:rFonts w:cs="Arial" w:hint="cs"/>
          <w:rtl/>
        </w:rPr>
        <w:t>.</w:t>
      </w:r>
      <w:r>
        <w:rPr>
          <w:rFonts w:cs="Arial"/>
          <w:rtl/>
        </w:rPr>
        <w:t xml:space="preserve"> דכיון דקרובים חתמו אחר שחתמו הכשרים לא אתו הרואים למימר שהקרובים הם עיקר העדות אלא שחתמו למילוי ולפיכך כשר</w:t>
      </w:r>
      <w:r>
        <w:rPr>
          <w:rFonts w:cs="Arial" w:hint="cs"/>
          <w:rtl/>
        </w:rPr>
        <w:t>.</w:t>
      </w:r>
      <w:r w:rsidR="003E63C1">
        <w:rPr>
          <w:rFonts w:cs="Arial" w:hint="cs"/>
          <w:rtl/>
        </w:rPr>
        <w:t>..</w:t>
      </w:r>
      <w:r>
        <w:rPr>
          <w:rFonts w:cs="Arial" w:hint="cs"/>
          <w:rtl/>
        </w:rPr>
        <w:t>, ב"י.</w:t>
      </w:r>
    </w:p>
  </w:footnote>
  <w:footnote w:id="229">
    <w:p w14:paraId="43DE3216" w14:textId="77777777" w:rsidR="00226148" w:rsidRDefault="00226148" w:rsidP="00226148">
      <w:pPr>
        <w:pStyle w:val="a5"/>
        <w:rPr>
          <w:rtl/>
        </w:rPr>
      </w:pPr>
      <w:r>
        <w:rPr>
          <w:rStyle w:val="a7"/>
        </w:rPr>
        <w:footnoteRef/>
      </w:r>
      <w:r>
        <w:rPr>
          <w:rtl/>
        </w:rPr>
        <w:t xml:space="preserve"> </w:t>
      </w:r>
      <w:r w:rsidRPr="004F500C">
        <w:rPr>
          <w:rFonts w:cs="Arial"/>
          <w:rtl/>
        </w:rPr>
        <w:t>ואין זה מחוור אבל מי יחלוק על הגאון</w:t>
      </w:r>
      <w:r>
        <w:rPr>
          <w:rFonts w:hint="cs"/>
          <w:rtl/>
        </w:rPr>
        <w:t>, רמב"ן (</w:t>
      </w:r>
      <w:r w:rsidR="00F405CC" w:rsidRPr="00F405CC">
        <w:rPr>
          <w:rtl/>
        </w:rPr>
        <w:t>ב"ב קסב: ד"ה מילאהו</w:t>
      </w:r>
      <w:r>
        <w:rPr>
          <w:rFonts w:hint="cs"/>
          <w:rtl/>
        </w:rPr>
        <w:t>).</w:t>
      </w:r>
    </w:p>
  </w:footnote>
  <w:footnote w:id="230">
    <w:p w14:paraId="0502CFB9" w14:textId="111AF1AF" w:rsidR="00331BBC" w:rsidRDefault="00331BBC">
      <w:pPr>
        <w:pStyle w:val="a5"/>
      </w:pPr>
      <w:r>
        <w:rPr>
          <w:rStyle w:val="a7"/>
        </w:rPr>
        <w:footnoteRef/>
      </w:r>
      <w:r>
        <w:rPr>
          <w:rtl/>
        </w:rPr>
        <w:t xml:space="preserve"> </w:t>
      </w:r>
      <w:r w:rsidRPr="004F500C">
        <w:rPr>
          <w:rFonts w:cs="Arial"/>
          <w:rtl/>
        </w:rPr>
        <w:t>וטעמא משום דכיון דלא אמר כולכם הכל יודעים דלשנים לבד הוא אומר</w:t>
      </w:r>
      <w:r>
        <w:rPr>
          <w:rFonts w:cs="Arial" w:hint="cs"/>
          <w:rtl/>
        </w:rPr>
        <w:t>,</w:t>
      </w:r>
      <w:r w:rsidRPr="004F500C">
        <w:rPr>
          <w:rFonts w:cs="Arial"/>
          <w:rtl/>
        </w:rPr>
        <w:t xml:space="preserve"> וכדתנן (גיטין סו:) אחד כותב ושנים חותמים</w:t>
      </w:r>
      <w:r>
        <w:rPr>
          <w:rFonts w:cs="Arial" w:hint="cs"/>
          <w:rtl/>
        </w:rPr>
        <w:t>.</w:t>
      </w:r>
      <w:r w:rsidRPr="004F500C">
        <w:rPr>
          <w:rFonts w:cs="Arial"/>
          <w:rtl/>
        </w:rPr>
        <w:t xml:space="preserve"> וכשרואים שחותמין שלשה או ארבעה אומרים משום דאותו קרוב או פסול לא מהני לעדות</w:t>
      </w:r>
      <w:r>
        <w:rPr>
          <w:rFonts w:cs="Arial" w:hint="cs"/>
          <w:rtl/>
        </w:rPr>
        <w:t>,</w:t>
      </w:r>
      <w:r w:rsidRPr="004F500C">
        <w:rPr>
          <w:rFonts w:cs="Arial"/>
          <w:rtl/>
        </w:rPr>
        <w:t xml:space="preserve"> לפיכך חתמו שנים כשרים לשם עדות</w:t>
      </w:r>
      <w:r>
        <w:rPr>
          <w:rFonts w:cs="Arial" w:hint="cs"/>
          <w:rtl/>
        </w:rPr>
        <w:t>.</w:t>
      </w:r>
      <w:r w:rsidRPr="004F500C">
        <w:rPr>
          <w:rFonts w:cs="Arial"/>
          <w:rtl/>
        </w:rPr>
        <w:t xml:space="preserve"> ובלבד שיהא חתום תחלה אבל לא בסוף להרא"ש (שם)</w:t>
      </w:r>
      <w:r>
        <w:rPr>
          <w:rFonts w:cs="Arial" w:hint="cs"/>
          <w:rtl/>
        </w:rPr>
        <w:t>,</w:t>
      </w:r>
      <w:r w:rsidRPr="004F500C">
        <w:rPr>
          <w:rFonts w:cs="Arial"/>
          <w:rtl/>
        </w:rPr>
        <w:t xml:space="preserve"> ולהר"ן (ט. סוד"ה ואמרי לה פסול) וסיעתו שלא יהא חתום גם באמצע</w:t>
      </w:r>
      <w:r>
        <w:rPr>
          <w:rFonts w:cs="Arial" w:hint="cs"/>
          <w:rtl/>
        </w:rPr>
        <w:t>,</w:t>
      </w:r>
      <w:r w:rsidRPr="004F500C">
        <w:rPr>
          <w:rFonts w:cs="Arial"/>
          <w:rtl/>
        </w:rPr>
        <w:t xml:space="preserve"> דכל שרואים שחתומים במקום זה מוכחא מילתא דלשם עדות חתמו</w:t>
      </w:r>
      <w:r>
        <w:rPr>
          <w:rFonts w:cs="Arial" w:hint="cs"/>
          <w:rtl/>
        </w:rPr>
        <w:t>.</w:t>
      </w:r>
      <w:r w:rsidRPr="004F500C">
        <w:rPr>
          <w:rFonts w:cs="Arial"/>
          <w:rtl/>
        </w:rPr>
        <w:t xml:space="preserve"> וכמו שכתבו המפרשים בפרק גט פשוט (תוס' ב"ב קסג. בדבור ראשון ורא"ש שם ס"ג) ובפרק ב' דגיטין (יח: תוד"ה אמרי ורא"ש שם ס"ח)</w:t>
      </w:r>
      <w:r>
        <w:rPr>
          <w:rFonts w:cs="Arial" w:hint="cs"/>
          <w:rtl/>
        </w:rPr>
        <w:t xml:space="preserve">. </w:t>
      </w:r>
      <w:r w:rsidRPr="00AA48FD">
        <w:rPr>
          <w:rFonts w:cs="Arial"/>
          <w:rtl/>
        </w:rPr>
        <w:t>ודברי הרמב"ם בפ</w:t>
      </w:r>
      <w:r w:rsidRPr="00AA48FD">
        <w:rPr>
          <w:rFonts w:cs="Arial" w:hint="cs"/>
          <w:rtl/>
        </w:rPr>
        <w:t>"</w:t>
      </w:r>
      <w:r w:rsidRPr="00AA48FD">
        <w:rPr>
          <w:rFonts w:cs="Arial"/>
          <w:rtl/>
        </w:rPr>
        <w:t>ט (הכ"ז) בחתם קרוב או פסול תחלה באומר כולכם הם אמורים</w:t>
      </w:r>
      <w:r w:rsidR="0046674E">
        <w:rPr>
          <w:rFonts w:cs="Arial" w:hint="cs"/>
          <w:rtl/>
        </w:rPr>
        <w:t>.</w:t>
      </w:r>
      <w:r w:rsidR="0046674E" w:rsidRPr="0046674E">
        <w:rPr>
          <w:rFonts w:cs="Arial"/>
          <w:rtl/>
        </w:rPr>
        <w:t xml:space="preserve"> </w:t>
      </w:r>
      <w:r w:rsidR="0046674E" w:rsidRPr="00F378E1">
        <w:rPr>
          <w:rFonts w:cs="Arial"/>
          <w:b/>
          <w:bCs/>
          <w:rtl/>
        </w:rPr>
        <w:t>מיהו לשיטת התוספות</w:t>
      </w:r>
      <w:r w:rsidR="0046674E" w:rsidRPr="00331BBC">
        <w:rPr>
          <w:rFonts w:cs="Arial"/>
          <w:rtl/>
        </w:rPr>
        <w:t xml:space="preserve"> כיון דמפרשי דטעמא דפסלי בגט הוא מפני כשיצא הגט לפני בני אדם יאמרו שהפסול חתם לשם עדות</w:t>
      </w:r>
      <w:r w:rsidR="0046674E" w:rsidRPr="00331BBC">
        <w:rPr>
          <w:rFonts w:cs="Arial" w:hint="cs"/>
          <w:rtl/>
        </w:rPr>
        <w:t>,</w:t>
      </w:r>
      <w:r w:rsidR="0046674E" w:rsidRPr="00331BBC">
        <w:rPr>
          <w:rFonts w:cs="Arial"/>
          <w:rtl/>
        </w:rPr>
        <w:t xml:space="preserve"> מי יגיד להם אם אמר כולכם או לא אמר</w:t>
      </w:r>
      <w:r w:rsidR="0046674E" w:rsidRPr="00331BBC">
        <w:rPr>
          <w:rFonts w:cs="Arial" w:hint="cs"/>
          <w:rtl/>
        </w:rPr>
        <w:t>.</w:t>
      </w:r>
      <w:r w:rsidR="0046674E" w:rsidRPr="00331BBC">
        <w:rPr>
          <w:rFonts w:cs="Arial"/>
          <w:rtl/>
        </w:rPr>
        <w:t xml:space="preserve"> ולפיכך צריך לומר לדעתם דאי חתם בתחלה קרוב או פסול וכו' מילתא באפי נפשא הוא</w:t>
      </w:r>
      <w:r w:rsidR="0046674E" w:rsidRPr="00331BBC">
        <w:rPr>
          <w:rFonts w:cs="Arial" w:hint="cs"/>
          <w:rtl/>
        </w:rPr>
        <w:t>,</w:t>
      </w:r>
      <w:r w:rsidR="0046674E" w:rsidRPr="00331BBC">
        <w:rPr>
          <w:rFonts w:cs="Arial"/>
          <w:rtl/>
        </w:rPr>
        <w:t xml:space="preserve"> ובין באמר כולכם בין בלא אמר מיתוקמא</w:t>
      </w:r>
      <w:r w:rsidR="0046674E" w:rsidRPr="00331BBC">
        <w:rPr>
          <w:rFonts w:cs="Arial" w:hint="cs"/>
          <w:rtl/>
        </w:rPr>
        <w:t>,</w:t>
      </w:r>
      <w:r w:rsidR="0046674E" w:rsidRPr="00331BBC">
        <w:rPr>
          <w:rFonts w:cs="Arial"/>
          <w:rtl/>
        </w:rPr>
        <w:t xml:space="preserve"> ולא קאי אמילתא דרבי יוחנן וריש לקיש</w:t>
      </w:r>
      <w:r>
        <w:rPr>
          <w:rFonts w:cs="Arial" w:hint="cs"/>
          <w:rtl/>
        </w:rPr>
        <w:t>, ב"י.</w:t>
      </w:r>
    </w:p>
  </w:footnote>
  <w:footnote w:id="231">
    <w:p w14:paraId="204B474E" w14:textId="38A75D6D" w:rsidR="0046674E" w:rsidRDefault="0046674E">
      <w:pPr>
        <w:pStyle w:val="a5"/>
        <w:rPr>
          <w:rtl/>
        </w:rPr>
      </w:pPr>
      <w:r>
        <w:rPr>
          <w:rStyle w:val="a7"/>
        </w:rPr>
        <w:footnoteRef/>
      </w:r>
      <w:r>
        <w:rPr>
          <w:rtl/>
        </w:rPr>
        <w:t xml:space="preserve"> </w:t>
      </w:r>
      <w:r w:rsidRPr="006468B3">
        <w:rPr>
          <w:rFonts w:cs="Arial"/>
          <w:rtl/>
        </w:rPr>
        <w:t>וכתב הרב המגיד שבודאי זאת היתה כוונת הרמב"ם</w:t>
      </w:r>
      <w:r w:rsidR="00D779ED">
        <w:rPr>
          <w:rFonts w:cs="Arial" w:hint="cs"/>
          <w:rtl/>
        </w:rPr>
        <w:t>.</w:t>
      </w:r>
      <w:r w:rsidRPr="006468B3">
        <w:rPr>
          <w:rFonts w:cs="Arial"/>
          <w:rtl/>
        </w:rPr>
        <w:t xml:space="preserve"> ו</w:t>
      </w:r>
      <w:r w:rsidR="00E816AE">
        <w:rPr>
          <w:rFonts w:cs="Arial" w:hint="cs"/>
          <w:rtl/>
        </w:rPr>
        <w:t>כתב הב"י ד</w:t>
      </w:r>
      <w:r w:rsidRPr="006468B3">
        <w:rPr>
          <w:rFonts w:cs="Arial"/>
          <w:rtl/>
        </w:rPr>
        <w:t xml:space="preserve">לפי זה </w:t>
      </w:r>
      <w:r w:rsidR="00E816AE">
        <w:rPr>
          <w:rFonts w:cs="Arial" w:hint="cs"/>
          <w:rtl/>
        </w:rPr>
        <w:t>מה שכתב הרמב"ם '</w:t>
      </w:r>
      <w:r w:rsidR="00E816AE" w:rsidRPr="00E816AE">
        <w:rPr>
          <w:rFonts w:cs="Arial"/>
          <w:rtl/>
        </w:rPr>
        <w:t>ולא הכשירוהו בגט שעדיו רבים אלא מפני שעידי מסירה הן העיקר</w:t>
      </w:r>
      <w:r w:rsidR="00E816AE">
        <w:rPr>
          <w:rFonts w:cs="Arial" w:hint="cs"/>
          <w:rtl/>
        </w:rPr>
        <w:t>'</w:t>
      </w:r>
      <w:r w:rsidR="00E816AE" w:rsidRPr="00E816AE">
        <w:rPr>
          <w:rFonts w:cs="Arial"/>
          <w:rtl/>
        </w:rPr>
        <w:t xml:space="preserve"> </w:t>
      </w:r>
      <w:r w:rsidR="00E816AE">
        <w:rPr>
          <w:rFonts w:cs="Arial" w:hint="cs"/>
          <w:rtl/>
        </w:rPr>
        <w:t xml:space="preserve">- </w:t>
      </w:r>
      <w:r w:rsidRPr="006468B3">
        <w:rPr>
          <w:rFonts w:cs="Arial"/>
          <w:rtl/>
        </w:rPr>
        <w:t>הכי קאמר לא הכשירוהו בגט כשאינו חתום בתחלה כי אם באמצע או בסוף אלא מפני שעדי המסירה הן העיקר</w:t>
      </w:r>
      <w:r>
        <w:rPr>
          <w:rFonts w:hint="cs"/>
          <w:rtl/>
        </w:rPr>
        <w:t>.</w:t>
      </w:r>
    </w:p>
  </w:footnote>
  <w:footnote w:id="232">
    <w:p w14:paraId="668DBD62" w14:textId="5F9CED6F" w:rsidR="00043DA1" w:rsidRDefault="00043DA1">
      <w:pPr>
        <w:pStyle w:val="a5"/>
        <w:rPr>
          <w:rtl/>
        </w:rPr>
      </w:pPr>
      <w:r>
        <w:rPr>
          <w:rStyle w:val="a7"/>
        </w:rPr>
        <w:footnoteRef/>
      </w:r>
      <w:r>
        <w:rPr>
          <w:rtl/>
        </w:rPr>
        <w:t xml:space="preserve"> </w:t>
      </w:r>
      <w:r w:rsidRPr="00043DA1">
        <w:rPr>
          <w:rFonts w:cs="Arial"/>
          <w:rtl/>
        </w:rPr>
        <w:t>אם לא אמר כולכם</w:t>
      </w:r>
      <w:r>
        <w:rPr>
          <w:rFonts w:cs="Arial" w:hint="cs"/>
          <w:rtl/>
        </w:rPr>
        <w:t>,</w:t>
      </w:r>
      <w:r w:rsidRPr="00043DA1">
        <w:rPr>
          <w:rFonts w:cs="Arial"/>
          <w:rtl/>
        </w:rPr>
        <w:t xml:space="preserve"> אבל מנאן א' ב' ג' ד' ואמר כתבו גט לאשתי</w:t>
      </w:r>
      <w:r w:rsidR="0044128E">
        <w:rPr>
          <w:rFonts w:cs="Arial" w:hint="cs"/>
          <w:rtl/>
        </w:rPr>
        <w:t>,</w:t>
      </w:r>
      <w:r w:rsidRPr="00043DA1">
        <w:rPr>
          <w:rFonts w:cs="Arial"/>
          <w:rtl/>
        </w:rPr>
        <w:t xml:space="preserve"> מהו</w:t>
      </w:r>
      <w:r w:rsidR="0044128E">
        <w:rPr>
          <w:rFonts w:cs="Arial" w:hint="cs"/>
          <w:rtl/>
        </w:rPr>
        <w:t>?</w:t>
      </w:r>
      <w:r w:rsidRPr="00043DA1">
        <w:rPr>
          <w:rFonts w:cs="Arial"/>
          <w:rtl/>
        </w:rPr>
        <w:t xml:space="preserve"> מ</w:t>
      </w:r>
      <w:r w:rsidR="0044128E">
        <w:rPr>
          <w:rFonts w:cs="Arial" w:hint="cs"/>
          <w:rtl/>
        </w:rPr>
        <w:t>ִ</w:t>
      </w:r>
      <w:r w:rsidRPr="00043DA1">
        <w:rPr>
          <w:rFonts w:cs="Arial"/>
          <w:rtl/>
        </w:rPr>
        <w:t>ד</w:t>
      </w:r>
      <w:r w:rsidR="0044128E">
        <w:rPr>
          <w:rFonts w:cs="Arial" w:hint="cs"/>
          <w:rtl/>
        </w:rPr>
        <w:t>ְ</w:t>
      </w:r>
      <w:r w:rsidRPr="00043DA1">
        <w:rPr>
          <w:rFonts w:cs="Arial"/>
          <w:rtl/>
        </w:rPr>
        <w:t>מ</w:t>
      </w:r>
      <w:r w:rsidR="0044128E">
        <w:rPr>
          <w:rFonts w:cs="Arial" w:hint="cs"/>
          <w:rtl/>
        </w:rPr>
        <w:t>ָ</w:t>
      </w:r>
      <w:r w:rsidRPr="00043DA1">
        <w:rPr>
          <w:rFonts w:cs="Arial"/>
          <w:rtl/>
        </w:rPr>
        <w:t>נ</w:t>
      </w:r>
      <w:r w:rsidR="0044128E">
        <w:rPr>
          <w:rFonts w:cs="Arial" w:hint="cs"/>
          <w:rtl/>
        </w:rPr>
        <w:t>ָ</w:t>
      </w:r>
      <w:r w:rsidRPr="00043DA1">
        <w:rPr>
          <w:rFonts w:cs="Arial"/>
          <w:rtl/>
        </w:rPr>
        <w:t>נ</w:t>
      </w:r>
      <w:r w:rsidR="0044128E">
        <w:rPr>
          <w:rFonts w:cs="Arial" w:hint="cs"/>
          <w:rtl/>
        </w:rPr>
        <w:t>ְ</w:t>
      </w:r>
      <w:r w:rsidRPr="00043DA1">
        <w:rPr>
          <w:rFonts w:cs="Arial"/>
          <w:rtl/>
        </w:rPr>
        <w:t>הו</w:t>
      </w:r>
      <w:r w:rsidR="0044128E">
        <w:rPr>
          <w:rFonts w:cs="Arial" w:hint="cs"/>
          <w:rtl/>
        </w:rPr>
        <w:t>ּ,</w:t>
      </w:r>
      <w:r w:rsidRPr="00043DA1">
        <w:rPr>
          <w:rFonts w:cs="Arial"/>
          <w:rtl/>
        </w:rPr>
        <w:t xml:space="preserve"> לכולהו הנך מנויין איכוון</w:t>
      </w:r>
      <w:r w:rsidR="0044128E">
        <w:rPr>
          <w:rFonts w:cs="Arial" w:hint="cs"/>
          <w:rtl/>
        </w:rPr>
        <w:t>,</w:t>
      </w:r>
      <w:r w:rsidRPr="00043DA1">
        <w:rPr>
          <w:rFonts w:cs="Arial"/>
          <w:rtl/>
        </w:rPr>
        <w:t xml:space="preserve"> או דלמא כיון דלא אמר להו </w:t>
      </w:r>
      <w:r w:rsidR="0044128E">
        <w:rPr>
          <w:rFonts w:cs="Arial" w:hint="cs"/>
          <w:rtl/>
        </w:rPr>
        <w:t>'</w:t>
      </w:r>
      <w:r w:rsidRPr="00043DA1">
        <w:rPr>
          <w:rFonts w:cs="Arial"/>
          <w:rtl/>
        </w:rPr>
        <w:t>כולכם המנויין כתבו</w:t>
      </w:r>
      <w:r w:rsidR="0044128E">
        <w:rPr>
          <w:rFonts w:cs="Arial" w:hint="cs"/>
          <w:rtl/>
        </w:rPr>
        <w:t>'</w:t>
      </w:r>
      <w:r w:rsidRPr="00043DA1">
        <w:rPr>
          <w:rFonts w:cs="Arial"/>
          <w:rtl/>
        </w:rPr>
        <w:t xml:space="preserve"> לא בעינן כולם</w:t>
      </w:r>
      <w:r>
        <w:rPr>
          <w:rFonts w:hint="cs"/>
          <w:rtl/>
        </w:rPr>
        <w:t>, רש"י.</w:t>
      </w:r>
    </w:p>
  </w:footnote>
  <w:footnote w:id="233">
    <w:p w14:paraId="385922D0" w14:textId="795991F9" w:rsidR="00015D6E" w:rsidRDefault="00015D6E">
      <w:pPr>
        <w:pStyle w:val="a5"/>
      </w:pPr>
      <w:r>
        <w:rPr>
          <w:rStyle w:val="a7"/>
        </w:rPr>
        <w:footnoteRef/>
      </w:r>
      <w:r>
        <w:rPr>
          <w:rtl/>
        </w:rPr>
        <w:t xml:space="preserve"> </w:t>
      </w:r>
      <w:r w:rsidRPr="00015D6E">
        <w:rPr>
          <w:rFonts w:cs="Arial"/>
          <w:rtl/>
        </w:rPr>
        <w:t xml:space="preserve">מנה כולהו </w:t>
      </w:r>
      <w:r>
        <w:rPr>
          <w:rFonts w:cs="Arial" w:hint="cs"/>
          <w:rtl/>
        </w:rPr>
        <w:t xml:space="preserve">- </w:t>
      </w:r>
      <w:r w:rsidRPr="00015D6E">
        <w:rPr>
          <w:rFonts w:cs="Arial"/>
          <w:rtl/>
        </w:rPr>
        <w:t>אכולהו קפיד</w:t>
      </w:r>
      <w:r>
        <w:rPr>
          <w:rFonts w:cs="Arial" w:hint="cs"/>
          <w:rtl/>
        </w:rPr>
        <w:t>.</w:t>
      </w:r>
      <w:r w:rsidRPr="00015D6E">
        <w:rPr>
          <w:rFonts w:cs="Arial"/>
          <w:rtl/>
        </w:rPr>
        <w:t xml:space="preserve"> מנה מקצתייהו </w:t>
      </w:r>
      <w:r>
        <w:rPr>
          <w:rFonts w:cs="Arial" w:hint="cs"/>
          <w:rtl/>
        </w:rPr>
        <w:t xml:space="preserve">- </w:t>
      </w:r>
      <w:r w:rsidRPr="00015D6E">
        <w:rPr>
          <w:rFonts w:cs="Arial"/>
          <w:rtl/>
        </w:rPr>
        <w:t>לא קפיד אלא אמנויין</w:t>
      </w:r>
      <w:r>
        <w:rPr>
          <w:rFonts w:cs="Arial" w:hint="cs"/>
          <w:rtl/>
        </w:rPr>
        <w:t>, רש"י.</w:t>
      </w:r>
    </w:p>
  </w:footnote>
  <w:footnote w:id="234">
    <w:p w14:paraId="0B04F964" w14:textId="56EFB59A" w:rsidR="00015D6E" w:rsidRDefault="00015D6E">
      <w:pPr>
        <w:pStyle w:val="a5"/>
      </w:pPr>
      <w:r>
        <w:rPr>
          <w:rStyle w:val="a7"/>
        </w:rPr>
        <w:footnoteRef/>
      </w:r>
      <w:r>
        <w:rPr>
          <w:rtl/>
        </w:rPr>
        <w:t xml:space="preserve"> </w:t>
      </w:r>
      <w:r w:rsidRPr="00015D6E">
        <w:rPr>
          <w:rFonts w:cs="Arial"/>
          <w:rtl/>
        </w:rPr>
        <w:t>מנה מקצתן</w:t>
      </w:r>
      <w:r w:rsidR="005D76F3">
        <w:rPr>
          <w:rFonts w:cs="Arial" w:hint="cs"/>
          <w:rtl/>
        </w:rPr>
        <w:t>,</w:t>
      </w:r>
      <w:r w:rsidRPr="00015D6E">
        <w:rPr>
          <w:rFonts w:cs="Arial"/>
          <w:rtl/>
        </w:rPr>
        <w:t xml:space="preserve"> גלי דעתיה דאהני קפיד </w:t>
      </w:r>
      <w:r w:rsidR="005D76F3">
        <w:rPr>
          <w:rFonts w:cs="Arial" w:hint="cs"/>
          <w:rtl/>
        </w:rPr>
        <w:t xml:space="preserve">- </w:t>
      </w:r>
      <w:r w:rsidRPr="00015D6E">
        <w:rPr>
          <w:rFonts w:cs="Arial"/>
          <w:rtl/>
        </w:rPr>
        <w:t>וצריכין כולן המנויין לחתום</w:t>
      </w:r>
      <w:r w:rsidR="005D76F3">
        <w:rPr>
          <w:rFonts w:cs="Arial" w:hint="cs"/>
          <w:rtl/>
        </w:rPr>
        <w:t>.</w:t>
      </w:r>
      <w:r w:rsidRPr="00015D6E">
        <w:rPr>
          <w:rFonts w:cs="Arial"/>
          <w:rtl/>
        </w:rPr>
        <w:t xml:space="preserve"> מנה כולן</w:t>
      </w:r>
      <w:r w:rsidR="005D76F3">
        <w:rPr>
          <w:rFonts w:cs="Arial" w:hint="cs"/>
          <w:rtl/>
        </w:rPr>
        <w:t>,</w:t>
      </w:r>
      <w:r w:rsidRPr="00015D6E">
        <w:rPr>
          <w:rFonts w:cs="Arial"/>
          <w:rtl/>
        </w:rPr>
        <w:t xml:space="preserve"> כיון דלא אמר כולכם </w:t>
      </w:r>
      <w:r w:rsidR="005D76F3">
        <w:rPr>
          <w:rFonts w:cs="Arial" w:hint="cs"/>
          <w:rtl/>
        </w:rPr>
        <w:t xml:space="preserve">- </w:t>
      </w:r>
      <w:r w:rsidRPr="00015D6E">
        <w:rPr>
          <w:rFonts w:cs="Arial"/>
          <w:rtl/>
        </w:rPr>
        <w:t>לא הקפיד אלא לומר בפני מנין זה</w:t>
      </w:r>
      <w:r w:rsidR="005D76F3">
        <w:rPr>
          <w:rFonts w:cs="Arial" w:hint="cs"/>
          <w:rtl/>
        </w:rPr>
        <w:t>,</w:t>
      </w:r>
      <w:r w:rsidRPr="00015D6E">
        <w:rPr>
          <w:rFonts w:cs="Arial"/>
          <w:rtl/>
        </w:rPr>
        <w:t xml:space="preserve"> ולא שיחתמו כולם</w:t>
      </w:r>
      <w:r>
        <w:rPr>
          <w:rFonts w:cs="Arial" w:hint="cs"/>
          <w:rtl/>
        </w:rPr>
        <w:t>, רש"י.</w:t>
      </w:r>
    </w:p>
  </w:footnote>
  <w:footnote w:id="235">
    <w:p w14:paraId="150FFC1A" w14:textId="77777777" w:rsidR="00FB198D" w:rsidRDefault="00FB198D" w:rsidP="00FB198D">
      <w:pPr>
        <w:pStyle w:val="a5"/>
      </w:pPr>
      <w:r>
        <w:rPr>
          <w:rStyle w:val="a7"/>
        </w:rPr>
        <w:footnoteRef/>
      </w:r>
      <w:r>
        <w:rPr>
          <w:rtl/>
        </w:rPr>
        <w:t xml:space="preserve"> </w:t>
      </w:r>
      <w:r>
        <w:rPr>
          <w:rFonts w:cs="Arial" w:hint="cs"/>
          <w:rtl/>
        </w:rPr>
        <w:t xml:space="preserve">ותמה הר"ן </w:t>
      </w:r>
      <w:r w:rsidRPr="001C779B">
        <w:rPr>
          <w:rFonts w:cs="Arial" w:hint="cs"/>
          <w:sz w:val="16"/>
          <w:szCs w:val="16"/>
          <w:rtl/>
        </w:rPr>
        <w:t xml:space="preserve">(לג: ד"ה וגרסי') </w:t>
      </w:r>
      <w:r w:rsidRPr="001C779B">
        <w:rPr>
          <w:rFonts w:cs="Arial"/>
          <w:rtl/>
        </w:rPr>
        <w:t>על הרמב"ם</w:t>
      </w:r>
      <w:r>
        <w:rPr>
          <w:rFonts w:cs="Arial" w:hint="cs"/>
          <w:rtl/>
        </w:rPr>
        <w:t>, דאם כן למה כתב (אח"כ, באותו הסעיף)</w:t>
      </w:r>
      <w:r w:rsidRPr="001C779B">
        <w:rPr>
          <w:rFonts w:cs="Arial"/>
          <w:rtl/>
        </w:rPr>
        <w:t xml:space="preserve"> </w:t>
      </w:r>
      <w:r>
        <w:rPr>
          <w:rFonts w:cs="Arial" w:hint="cs"/>
          <w:rtl/>
        </w:rPr>
        <w:t>'</w:t>
      </w:r>
      <w:r w:rsidRPr="001C779B">
        <w:rPr>
          <w:rFonts w:cs="Arial"/>
          <w:rtl/>
        </w:rPr>
        <w:t>מת אחד מהם קודם החתימה הרי זה גט בטל</w:t>
      </w:r>
      <w:r>
        <w:rPr>
          <w:rFonts w:cs="Arial" w:hint="cs"/>
          <w:rtl/>
        </w:rPr>
        <w:t>',</w:t>
      </w:r>
      <w:r w:rsidRPr="001C779B">
        <w:rPr>
          <w:rFonts w:cs="Arial"/>
          <w:rtl/>
        </w:rPr>
        <w:t xml:space="preserve"> והא מנה ספקא הוי</w:t>
      </w:r>
      <w:r>
        <w:rPr>
          <w:rFonts w:cs="Arial" w:hint="cs"/>
          <w:rtl/>
        </w:rPr>
        <w:t>.</w:t>
      </w:r>
      <w:r>
        <w:rPr>
          <w:rFonts w:hint="cs"/>
          <w:rtl/>
        </w:rPr>
        <w:t xml:space="preserve"> וכתב הב"י ד</w:t>
      </w:r>
      <w:r w:rsidRPr="00BA15E7">
        <w:rPr>
          <w:rFonts w:cs="Arial"/>
          <w:rtl/>
        </w:rPr>
        <w:t xml:space="preserve">אפשר דטעמא דהרמב"ם משום דבירושלמי </w:t>
      </w:r>
      <w:r w:rsidRPr="001C779B">
        <w:rPr>
          <w:rFonts w:cs="Arial"/>
          <w:sz w:val="16"/>
          <w:szCs w:val="16"/>
          <w:rtl/>
        </w:rPr>
        <w:t xml:space="preserve">(גיטין פ"ו ה"ז) </w:t>
      </w:r>
      <w:r w:rsidRPr="00BA15E7">
        <w:rPr>
          <w:rFonts w:cs="Arial"/>
          <w:rtl/>
        </w:rPr>
        <w:t>אמרו המונה הרי הוא כאומר כולכם</w:t>
      </w:r>
      <w:r>
        <w:rPr>
          <w:rFonts w:cs="Arial" w:hint="cs"/>
          <w:rtl/>
        </w:rPr>
        <w:t>,</w:t>
      </w:r>
      <w:r w:rsidRPr="00BA15E7">
        <w:rPr>
          <w:rFonts w:cs="Arial"/>
          <w:rtl/>
        </w:rPr>
        <w:t xml:space="preserve"> ולא חילקו בין מנה כולם למונה מקצתם</w:t>
      </w:r>
      <w:r>
        <w:rPr>
          <w:rFonts w:cs="Arial" w:hint="cs"/>
          <w:rtl/>
        </w:rPr>
        <w:t>.</w:t>
      </w:r>
      <w:r w:rsidRPr="00BA15E7">
        <w:rPr>
          <w:rFonts w:cs="Arial"/>
          <w:rtl/>
        </w:rPr>
        <w:t xml:space="preserve"> וא</w:t>
      </w:r>
      <w:r>
        <w:rPr>
          <w:rFonts w:cs="Arial" w:hint="cs"/>
          <w:rtl/>
        </w:rPr>
        <w:t>ע"ג</w:t>
      </w:r>
      <w:r w:rsidRPr="00BA15E7">
        <w:rPr>
          <w:rFonts w:cs="Arial"/>
          <w:rtl/>
        </w:rPr>
        <w:t xml:space="preserve"> דרב פפא מפליג בינייהו</w:t>
      </w:r>
      <w:r>
        <w:rPr>
          <w:rFonts w:cs="Arial" w:hint="cs"/>
          <w:rtl/>
        </w:rPr>
        <w:t>,</w:t>
      </w:r>
      <w:r w:rsidRPr="00BA15E7">
        <w:rPr>
          <w:rFonts w:cs="Arial"/>
          <w:rtl/>
        </w:rPr>
        <w:t xml:space="preserve"> בני מערבא הוו בקיאי בדברי רבי יוחנן טפי מרב פפא</w:t>
      </w:r>
      <w:r>
        <w:rPr>
          <w:rFonts w:hint="cs"/>
          <w:rtl/>
        </w:rPr>
        <w:t>.</w:t>
      </w:r>
    </w:p>
  </w:footnote>
  <w:footnote w:id="236">
    <w:p w14:paraId="21472CDE" w14:textId="77777777" w:rsidR="00FB198D" w:rsidRPr="00AC0C3D" w:rsidRDefault="00FB198D" w:rsidP="00FB198D">
      <w:pPr>
        <w:pStyle w:val="a5"/>
        <w:rPr>
          <w:rFonts w:cs="Arial"/>
          <w:sz w:val="16"/>
          <w:szCs w:val="16"/>
          <w:rtl/>
        </w:rPr>
      </w:pPr>
      <w:r>
        <w:rPr>
          <w:rStyle w:val="a7"/>
        </w:rPr>
        <w:footnoteRef/>
      </w:r>
      <w:r>
        <w:rPr>
          <w:rtl/>
        </w:rPr>
        <w:t xml:space="preserve"> </w:t>
      </w:r>
      <w:r w:rsidRPr="00BA15E7">
        <w:rPr>
          <w:rFonts w:cs="Arial"/>
          <w:rtl/>
        </w:rPr>
        <w:t xml:space="preserve">גם הרמב"ם </w:t>
      </w:r>
      <w:r>
        <w:rPr>
          <w:rFonts w:cs="Arial" w:hint="cs"/>
          <w:rtl/>
        </w:rPr>
        <w:t>(</w:t>
      </w:r>
      <w:r w:rsidRPr="00BA15E7">
        <w:rPr>
          <w:rFonts w:cs="Arial"/>
          <w:rtl/>
        </w:rPr>
        <w:t>פ</w:t>
      </w:r>
      <w:r>
        <w:rPr>
          <w:rFonts w:cs="Arial" w:hint="cs"/>
          <w:rtl/>
        </w:rPr>
        <w:t>"</w:t>
      </w:r>
      <w:r w:rsidRPr="00BA15E7">
        <w:rPr>
          <w:rFonts w:cs="Arial"/>
          <w:rtl/>
        </w:rPr>
        <w:t>ט הכ"ז) כלישנא דמחמיר פסק</w:t>
      </w:r>
      <w:r>
        <w:rPr>
          <w:rFonts w:cs="Arial" w:hint="cs"/>
          <w:rtl/>
        </w:rPr>
        <w:t>..</w:t>
      </w:r>
      <w:r w:rsidRPr="00BA15E7">
        <w:rPr>
          <w:rFonts w:cs="Arial"/>
          <w:rtl/>
        </w:rPr>
        <w:t>. ובאמת שדבריו מסופקים אצלי</w:t>
      </w:r>
      <w:r>
        <w:rPr>
          <w:rFonts w:cs="Arial" w:hint="cs"/>
          <w:rtl/>
        </w:rPr>
        <w:t>,</w:t>
      </w:r>
      <w:r w:rsidRPr="00BA15E7">
        <w:rPr>
          <w:rFonts w:cs="Arial"/>
          <w:rtl/>
        </w:rPr>
        <w:t xml:space="preserve"> שתפס לשון הגמרא ולא פירש</w:t>
      </w:r>
      <w:r>
        <w:rPr>
          <w:rFonts w:cs="Arial" w:hint="cs"/>
          <w:rtl/>
        </w:rPr>
        <w:t>.</w:t>
      </w:r>
      <w:r w:rsidRPr="00BA15E7">
        <w:rPr>
          <w:rFonts w:cs="Arial"/>
          <w:rtl/>
        </w:rPr>
        <w:t xml:space="preserve"> ואפשר לפרש דבריו דהכי קאמר הרי זה כאומר כולכם המנויין חתומו</w:t>
      </w:r>
      <w:r>
        <w:rPr>
          <w:rFonts w:cs="Arial" w:hint="cs"/>
          <w:rtl/>
        </w:rPr>
        <w:t>,</w:t>
      </w:r>
      <w:r w:rsidRPr="00BA15E7">
        <w:rPr>
          <w:rFonts w:cs="Arial"/>
          <w:rtl/>
        </w:rPr>
        <w:t xml:space="preserve"> וכמו שפירש רש"י (ד"ה מנה)</w:t>
      </w:r>
      <w:r>
        <w:rPr>
          <w:rFonts w:cs="Arial" w:hint="cs"/>
          <w:sz w:val="16"/>
          <w:szCs w:val="16"/>
          <w:rtl/>
        </w:rPr>
        <w:t xml:space="preserve"> {וכן פירש הב"ש [סקי"א] את דברי הרמב"ם}</w:t>
      </w:r>
      <w:r>
        <w:rPr>
          <w:rFonts w:cs="Arial" w:hint="cs"/>
          <w:rtl/>
        </w:rPr>
        <w:t>.</w:t>
      </w:r>
      <w:r w:rsidRPr="00BA15E7">
        <w:rPr>
          <w:rFonts w:cs="Arial"/>
          <w:rtl/>
        </w:rPr>
        <w:t xml:space="preserve"> ויותר נראה לפרש דסבירא ליה דכיון דבגמרא אמרינן סתם כאומר כולכם משמע דאכל המנויים שם קאי</w:t>
      </w:r>
      <w:r>
        <w:rPr>
          <w:rFonts w:cs="Arial" w:hint="cs"/>
          <w:rtl/>
        </w:rPr>
        <w:t>.</w:t>
      </w:r>
      <w:r w:rsidRPr="00BA15E7">
        <w:rPr>
          <w:rFonts w:cs="Arial"/>
          <w:rtl/>
        </w:rPr>
        <w:t xml:space="preserve"> ואמרי לה להאי גיסא הכי פירושו</w:t>
      </w:r>
      <w:r>
        <w:rPr>
          <w:rFonts w:cs="Arial" w:hint="cs"/>
          <w:rtl/>
        </w:rPr>
        <w:t>,</w:t>
      </w:r>
      <w:r w:rsidRPr="00BA15E7">
        <w:rPr>
          <w:rFonts w:cs="Arial"/>
          <w:rtl/>
        </w:rPr>
        <w:t xml:space="preserve"> דכי מנה מקצתם הוה ליה כאומר וכו' כלומר שרצונו שכולם יחתמו אלא דלא בעא למימני כולהו דלאו כרוכלא ליזיל ולימני והוה ליה כאומר כל המצויין כאן חתמו אבל כשמנה כולם לא קפיד אלא לומר דבריו בפני אותו מנין ולא שיחתמו כולם דאם איתא דקפיד אחתימת כולם למה ליה למנינהו לכולהו לימא להו כולכם חתומו</w:t>
      </w:r>
      <w:r>
        <w:rPr>
          <w:rFonts w:cs="Arial" w:hint="cs"/>
          <w:rtl/>
        </w:rPr>
        <w:t>.</w:t>
      </w:r>
      <w:r w:rsidRPr="00BA15E7">
        <w:rPr>
          <w:rFonts w:cs="Arial"/>
          <w:rtl/>
        </w:rPr>
        <w:t xml:space="preserve"> ואמרי לה להאי גיסא דכי מנה כולם קפיד אחתימת כולם</w:t>
      </w:r>
      <w:r>
        <w:rPr>
          <w:rFonts w:cs="Arial" w:hint="cs"/>
          <w:rtl/>
        </w:rPr>
        <w:t>,</w:t>
      </w:r>
      <w:r w:rsidRPr="00BA15E7">
        <w:rPr>
          <w:rFonts w:cs="Arial"/>
          <w:rtl/>
        </w:rPr>
        <w:t xml:space="preserve"> כיון דמנה כולם</w:t>
      </w:r>
      <w:r>
        <w:rPr>
          <w:rFonts w:cs="Arial" w:hint="cs"/>
          <w:rtl/>
        </w:rPr>
        <w:t>.</w:t>
      </w:r>
      <w:r w:rsidRPr="00BA15E7">
        <w:rPr>
          <w:rFonts w:cs="Arial"/>
          <w:rtl/>
        </w:rPr>
        <w:t xml:space="preserve"> וכי מנה מקצתם לא קפיד אלא אמנויין לבד. ולפי זה גם פירוש הבעיא משונה מפירוש רש"י</w:t>
      </w:r>
      <w:r>
        <w:rPr>
          <w:rFonts w:cs="Arial" w:hint="cs"/>
          <w:rtl/>
        </w:rPr>
        <w:t>,</w:t>
      </w:r>
      <w:r w:rsidRPr="00BA15E7">
        <w:rPr>
          <w:rFonts w:cs="Arial"/>
          <w:rtl/>
        </w:rPr>
        <w:t xml:space="preserve"> דלרש"י (ד"ה אמרי לה) לא בעי אלא אי אמרינן דלכל המנויים נתכוין</w:t>
      </w:r>
      <w:r>
        <w:rPr>
          <w:rFonts w:cs="Arial" w:hint="cs"/>
          <w:rtl/>
        </w:rPr>
        <w:t>,</w:t>
      </w:r>
      <w:r w:rsidRPr="00BA15E7">
        <w:rPr>
          <w:rFonts w:cs="Arial"/>
          <w:rtl/>
        </w:rPr>
        <w:t xml:space="preserve"> אם מנה כולם אכולם</w:t>
      </w:r>
      <w:r>
        <w:rPr>
          <w:rFonts w:cs="Arial" w:hint="cs"/>
          <w:rtl/>
        </w:rPr>
        <w:t>,</w:t>
      </w:r>
      <w:r w:rsidRPr="00BA15E7">
        <w:rPr>
          <w:rFonts w:cs="Arial"/>
          <w:rtl/>
        </w:rPr>
        <w:t xml:space="preserve"> ואם מנה מקצתם אהנהו דמני קפיד</w:t>
      </w:r>
      <w:r>
        <w:rPr>
          <w:rFonts w:cs="Arial" w:hint="cs"/>
          <w:rtl/>
        </w:rPr>
        <w:t>.</w:t>
      </w:r>
      <w:r w:rsidRPr="00BA15E7">
        <w:rPr>
          <w:rFonts w:cs="Arial"/>
          <w:rtl/>
        </w:rPr>
        <w:t xml:space="preserve"> או אי לא קפיד אמנין כלל לענין חתימה</w:t>
      </w:r>
      <w:r>
        <w:rPr>
          <w:rFonts w:cs="Arial" w:hint="cs"/>
          <w:rtl/>
        </w:rPr>
        <w:t>.</w:t>
      </w:r>
      <w:r w:rsidRPr="00BA15E7">
        <w:rPr>
          <w:rFonts w:cs="Arial"/>
          <w:rtl/>
        </w:rPr>
        <w:t xml:space="preserve"> ולדברי הרמב"ם בכלל הבעיא נמי היכא דמנה מקצתן אי הוי כאומר כולכם או לא</w:t>
      </w:r>
      <w:r>
        <w:rPr>
          <w:rFonts w:cs="Arial" w:hint="cs"/>
          <w:rtl/>
        </w:rPr>
        <w:t>.</w:t>
      </w:r>
      <w:r w:rsidRPr="00BA15E7">
        <w:rPr>
          <w:rFonts w:cs="Arial"/>
          <w:rtl/>
        </w:rPr>
        <w:t xml:space="preserve"> כן נראה לי</w:t>
      </w:r>
      <w:r>
        <w:rPr>
          <w:rFonts w:cs="Arial" w:hint="cs"/>
          <w:rtl/>
        </w:rPr>
        <w:t xml:space="preserve">, ב"י. אך הדרכ"מ </w:t>
      </w:r>
      <w:r w:rsidRPr="00BA15E7">
        <w:rPr>
          <w:rFonts w:cs="Arial"/>
          <w:rtl/>
        </w:rPr>
        <w:t>(</w:t>
      </w:r>
      <w:r>
        <w:rPr>
          <w:rFonts w:cs="Arial" w:hint="cs"/>
          <w:rtl/>
        </w:rPr>
        <w:t xml:space="preserve">אות </w:t>
      </w:r>
      <w:r w:rsidRPr="00BA15E7">
        <w:rPr>
          <w:rFonts w:cs="Arial"/>
          <w:rtl/>
        </w:rPr>
        <w:t xml:space="preserve">י*) </w:t>
      </w:r>
      <w:r>
        <w:rPr>
          <w:rFonts w:cs="Arial" w:hint="cs"/>
          <w:rtl/>
        </w:rPr>
        <w:t>כתב ד</w:t>
      </w:r>
      <w:r w:rsidRPr="00BA15E7">
        <w:rPr>
          <w:rFonts w:cs="Arial"/>
          <w:rtl/>
        </w:rPr>
        <w:t>אין הכרח בדברי הרמב"ם לפירוש בית יוסף ויכול להיות שסבירא ליה כדברי רש"י</w:t>
      </w:r>
      <w:r>
        <w:rPr>
          <w:rFonts w:cs="Arial" w:hint="cs"/>
          <w:rtl/>
        </w:rPr>
        <w:t>.</w:t>
      </w:r>
    </w:p>
  </w:footnote>
  <w:footnote w:id="237">
    <w:p w14:paraId="6784A009" w14:textId="39CA8E09" w:rsidR="00271ADE" w:rsidRDefault="00271ADE">
      <w:pPr>
        <w:pStyle w:val="a5"/>
      </w:pPr>
      <w:r>
        <w:rPr>
          <w:rStyle w:val="a7"/>
        </w:rPr>
        <w:footnoteRef/>
      </w:r>
      <w:r>
        <w:rPr>
          <w:rtl/>
        </w:rPr>
        <w:t xml:space="preserve"> </w:t>
      </w:r>
      <w:r w:rsidRPr="00271ADE">
        <w:rPr>
          <w:rFonts w:cs="Arial"/>
          <w:rtl/>
        </w:rPr>
        <w:t>נראה דדין זה שמנה הרי הוא ככולכם שייך נמי גבי כתיבה דאם מנה אותם ואמר א' ב' ג' ד' כתובו א' כותב במעמד כולם</w:t>
      </w:r>
      <w:r>
        <w:rPr>
          <w:rFonts w:cs="Arial" w:hint="cs"/>
          <w:rtl/>
        </w:rPr>
        <w:t>, ח"מ (סקי"ח).</w:t>
      </w:r>
    </w:p>
  </w:footnote>
  <w:footnote w:id="238">
    <w:p w14:paraId="6D01098E" w14:textId="1509E7A4" w:rsidR="007C1C73" w:rsidRDefault="007C1C73">
      <w:pPr>
        <w:pStyle w:val="a5"/>
        <w:rPr>
          <w:rtl/>
        </w:rPr>
      </w:pPr>
      <w:r>
        <w:rPr>
          <w:rStyle w:val="a7"/>
        </w:rPr>
        <w:footnoteRef/>
      </w:r>
      <w:r>
        <w:rPr>
          <w:rtl/>
        </w:rPr>
        <w:t xml:space="preserve"> </w:t>
      </w:r>
      <w:r w:rsidRPr="007C1C73">
        <w:rPr>
          <w:rFonts w:cs="Arial"/>
          <w:rtl/>
        </w:rPr>
        <w:t>נראה דאף שתוכל לקיים התנאי אחר שנשאת מ"מ תצא מבעלה</w:t>
      </w:r>
      <w:r>
        <w:rPr>
          <w:rFonts w:cs="Arial" w:hint="cs"/>
          <w:rtl/>
        </w:rPr>
        <w:t>.</w:t>
      </w:r>
      <w:r w:rsidRPr="007C1C73">
        <w:rPr>
          <w:rFonts w:cs="Arial"/>
          <w:rtl/>
        </w:rPr>
        <w:t xml:space="preserve"> דהא כאן לא אמר על מנת ומעכשיו</w:t>
      </w:r>
      <w:r>
        <w:rPr>
          <w:rFonts w:cs="Arial" w:hint="cs"/>
          <w:rtl/>
        </w:rPr>
        <w:t>,</w:t>
      </w:r>
      <w:r w:rsidRPr="007C1C73">
        <w:rPr>
          <w:rFonts w:cs="Arial"/>
          <w:rtl/>
        </w:rPr>
        <w:t xml:space="preserve"> רק סתם כולכם חתמו</w:t>
      </w:r>
      <w:r>
        <w:rPr>
          <w:rFonts w:cs="Arial" w:hint="cs"/>
          <w:rtl/>
        </w:rPr>
        <w:t>,</w:t>
      </w:r>
      <w:r w:rsidRPr="007C1C73">
        <w:rPr>
          <w:rFonts w:cs="Arial"/>
          <w:rtl/>
        </w:rPr>
        <w:t xml:space="preserve"> וקי"ל דהשאר משום תנאי</w:t>
      </w:r>
      <w:r>
        <w:rPr>
          <w:rFonts w:cs="Arial" w:hint="cs"/>
          <w:rtl/>
        </w:rPr>
        <w:t>,</w:t>
      </w:r>
      <w:r w:rsidRPr="007C1C73">
        <w:rPr>
          <w:rFonts w:cs="Arial"/>
          <w:rtl/>
        </w:rPr>
        <w:t xml:space="preserve"> והוי כאלו אמר אם יבואו כולם על החתום תהא מגורשת</w:t>
      </w:r>
      <w:r>
        <w:rPr>
          <w:rFonts w:cs="Arial" w:hint="cs"/>
          <w:rtl/>
        </w:rPr>
        <w:t>,</w:t>
      </w:r>
      <w:r w:rsidRPr="007C1C73">
        <w:rPr>
          <w:rFonts w:cs="Arial"/>
          <w:rtl/>
        </w:rPr>
        <w:t xml:space="preserve"> והגירושין חלין בשע' קיום התנאי תצא מזה ומזה וכמו שנתבאר בדברי הר"ן והמ"מ והכ"מ בפ"ח מה"ג</w:t>
      </w:r>
      <w:r>
        <w:rPr>
          <w:rFonts w:cs="Arial" w:hint="cs"/>
          <w:rtl/>
        </w:rPr>
        <w:t>,</w:t>
      </w:r>
      <w:r w:rsidRPr="007C1C73">
        <w:rPr>
          <w:rFonts w:cs="Arial"/>
          <w:rtl/>
        </w:rPr>
        <w:t xml:space="preserve"> וכן פסק לקמן סימן קמ"ג</w:t>
      </w:r>
      <w:r>
        <w:rPr>
          <w:rFonts w:cs="Arial" w:hint="cs"/>
          <w:rtl/>
        </w:rPr>
        <w:t>.</w:t>
      </w:r>
      <w:r w:rsidRPr="007C1C73">
        <w:rPr>
          <w:rFonts w:cs="Arial"/>
          <w:rtl/>
        </w:rPr>
        <w:t xml:space="preserve"> וא"כ תימה על הרב איך הגיה כאן על דברי המחבר שכתב אפילו חתמו השאר אחר נתינת הגט שאז הגט כשר ותנשא לכתחלה בגט זה</w:t>
      </w:r>
      <w:r>
        <w:rPr>
          <w:rFonts w:cs="Arial" w:hint="cs"/>
          <w:rtl/>
        </w:rPr>
        <w:t>.</w:t>
      </w:r>
      <w:r w:rsidRPr="007C1C73">
        <w:rPr>
          <w:rFonts w:cs="Arial"/>
          <w:rtl/>
        </w:rPr>
        <w:t xml:space="preserve"> אבל אם חתמו לאחר שנשאת לאחר תצא מזה ומזה הזה יקרא כשר</w:t>
      </w:r>
      <w:r>
        <w:rPr>
          <w:rFonts w:cs="Arial" w:hint="cs"/>
          <w:rtl/>
        </w:rPr>
        <w:t>?</w:t>
      </w:r>
      <w:r w:rsidRPr="007C1C73">
        <w:rPr>
          <w:rFonts w:cs="Arial"/>
          <w:rtl/>
        </w:rPr>
        <w:t xml:space="preserve"> ואף שהר"ן כ"כ </w:t>
      </w:r>
      <w:r>
        <w:rPr>
          <w:rFonts w:cs="Arial" w:hint="cs"/>
          <w:rtl/>
        </w:rPr>
        <w:t xml:space="preserve">- </w:t>
      </w:r>
      <w:r w:rsidRPr="007C1C73">
        <w:rPr>
          <w:rFonts w:cs="Arial"/>
          <w:rtl/>
        </w:rPr>
        <w:t>לחזקת הקושיא כ"כ</w:t>
      </w:r>
      <w:r>
        <w:rPr>
          <w:rFonts w:cs="Arial" w:hint="cs"/>
          <w:rtl/>
        </w:rPr>
        <w:t>,</w:t>
      </w:r>
      <w:r w:rsidRPr="007C1C73">
        <w:rPr>
          <w:rFonts w:cs="Arial"/>
          <w:rtl/>
        </w:rPr>
        <w:t xml:space="preserve"> שע"פ הדין כל אימת דמקיימת תנאי הגט חל</w:t>
      </w:r>
      <w:r>
        <w:rPr>
          <w:rFonts w:cs="Arial" w:hint="cs"/>
          <w:rtl/>
        </w:rPr>
        <w:t>,</w:t>
      </w:r>
      <w:r w:rsidRPr="007C1C73">
        <w:rPr>
          <w:rFonts w:cs="Arial"/>
          <w:rtl/>
        </w:rPr>
        <w:t xml:space="preserve"> אבל באמת תצא גם מהשני כל שלא אמר על מנת או מעכשיו</w:t>
      </w:r>
      <w:r>
        <w:rPr>
          <w:rFonts w:hint="cs"/>
          <w:rtl/>
        </w:rPr>
        <w:t xml:space="preserve">, </w:t>
      </w:r>
      <w:r w:rsidRPr="00E2214A">
        <w:rPr>
          <w:rFonts w:hint="cs"/>
          <w:b/>
          <w:bCs/>
          <w:rtl/>
        </w:rPr>
        <w:t>ח"מ</w:t>
      </w:r>
      <w:r>
        <w:rPr>
          <w:rFonts w:hint="cs"/>
          <w:rtl/>
        </w:rPr>
        <w:t xml:space="preserve"> (סקכ"ב).</w:t>
      </w:r>
      <w:r w:rsidR="00175747" w:rsidRPr="00175747">
        <w:rPr>
          <w:rtl/>
        </w:rPr>
        <w:t xml:space="preserve"> </w:t>
      </w:r>
      <w:r w:rsidR="00175747" w:rsidRPr="00175747">
        <w:rPr>
          <w:rFonts w:cs="Arial"/>
          <w:rtl/>
        </w:rPr>
        <w:t>ו</w:t>
      </w:r>
      <w:r w:rsidR="00175747">
        <w:rPr>
          <w:rFonts w:cs="Arial" w:hint="cs"/>
          <w:rtl/>
        </w:rPr>
        <w:t xml:space="preserve">כתב </w:t>
      </w:r>
      <w:r w:rsidR="00175747" w:rsidRPr="00E2214A">
        <w:rPr>
          <w:rFonts w:cs="Arial" w:hint="cs"/>
          <w:b/>
          <w:bCs/>
          <w:rtl/>
        </w:rPr>
        <w:t>הב"ש</w:t>
      </w:r>
      <w:r w:rsidR="00175747">
        <w:rPr>
          <w:rFonts w:cs="Arial" w:hint="cs"/>
          <w:rtl/>
        </w:rPr>
        <w:t xml:space="preserve"> (סקט"ז) ד</w:t>
      </w:r>
      <w:r w:rsidR="00175747" w:rsidRPr="00175747">
        <w:rPr>
          <w:rFonts w:cs="Arial"/>
          <w:rtl/>
        </w:rPr>
        <w:t>באמת לא על הרב רמ"א לבד קשה קושיא זו אלא על הרמב"ם קשה כמ"ש בסי' קמ"ג ושם ישבתי וכתבתי גם הטור ס"ל כרמב"ם גם המחבר ס"ל כן וע"ש</w:t>
      </w:r>
      <w:r w:rsidR="00175747">
        <w:rPr>
          <w:rFonts w:hint="cs"/>
          <w:rtl/>
        </w:rPr>
        <w:t>.</w:t>
      </w:r>
    </w:p>
  </w:footnote>
  <w:footnote w:id="239">
    <w:p w14:paraId="4C8ADEAE" w14:textId="4264AF70" w:rsidR="007C1C73" w:rsidRDefault="007C1C73">
      <w:pPr>
        <w:pStyle w:val="a5"/>
      </w:pPr>
      <w:r>
        <w:rPr>
          <w:rStyle w:val="a7"/>
        </w:rPr>
        <w:footnoteRef/>
      </w:r>
      <w:r>
        <w:rPr>
          <w:rtl/>
        </w:rPr>
        <w:t xml:space="preserve"> </w:t>
      </w:r>
      <w:r w:rsidRPr="007C1C73">
        <w:rPr>
          <w:rFonts w:cs="Arial"/>
          <w:rtl/>
        </w:rPr>
        <w:t>אם מת קודם שחתם וודאי הגט בטל</w:t>
      </w:r>
      <w:r>
        <w:rPr>
          <w:rFonts w:cs="Arial" w:hint="cs"/>
          <w:rtl/>
        </w:rPr>
        <w:t>,</w:t>
      </w:r>
      <w:r w:rsidRPr="007C1C73">
        <w:rPr>
          <w:rFonts w:cs="Arial"/>
          <w:rtl/>
        </w:rPr>
        <w:t xml:space="preserve"> דהא לא קיים תנאו</w:t>
      </w:r>
      <w:r>
        <w:rPr>
          <w:rFonts w:cs="Arial" w:hint="cs"/>
          <w:rtl/>
        </w:rPr>
        <w:t>.</w:t>
      </w:r>
      <w:r w:rsidRPr="007C1C73">
        <w:rPr>
          <w:rFonts w:cs="Arial"/>
          <w:rtl/>
        </w:rPr>
        <w:t xml:space="preserve"> אבל אם מת אחר שחתם רק שעדיין לא חתמו כולם</w:t>
      </w:r>
      <w:r>
        <w:rPr>
          <w:rFonts w:cs="Arial" w:hint="cs"/>
          <w:rtl/>
        </w:rPr>
        <w:t>,</w:t>
      </w:r>
      <w:r w:rsidRPr="007C1C73">
        <w:rPr>
          <w:rFonts w:cs="Arial"/>
          <w:rtl/>
        </w:rPr>
        <w:t xml:space="preserve"> כבר כתבתי</w:t>
      </w:r>
      <w:r w:rsidR="00D74307">
        <w:rPr>
          <w:rFonts w:cs="Arial" w:hint="cs"/>
          <w:rtl/>
        </w:rPr>
        <w:t xml:space="preserve"> (סקכ"א)</w:t>
      </w:r>
      <w:r w:rsidRPr="007C1C73">
        <w:rPr>
          <w:rFonts w:cs="Arial"/>
          <w:rtl/>
        </w:rPr>
        <w:t xml:space="preserve"> שלדעת הר"ן שהגט כשר רק שלכתחלה יחתמו מיד זה בפני זה</w:t>
      </w:r>
      <w:r>
        <w:rPr>
          <w:rFonts w:cs="Arial" w:hint="cs"/>
          <w:rtl/>
        </w:rPr>
        <w:t>,</w:t>
      </w:r>
      <w:r w:rsidRPr="007C1C73">
        <w:rPr>
          <w:rFonts w:cs="Arial"/>
          <w:rtl/>
        </w:rPr>
        <w:t xml:space="preserve"> אבל לדעת התו' אפשר שפסל מדרבנן כל שלא חתמו א' בפני חברו</w:t>
      </w:r>
      <w:r>
        <w:rPr>
          <w:rFonts w:cs="Arial" w:hint="cs"/>
          <w:rtl/>
        </w:rPr>
        <w:t>, ח"מ (סקכ"ג).</w:t>
      </w:r>
    </w:p>
  </w:footnote>
  <w:footnote w:id="240">
    <w:p w14:paraId="0497296E" w14:textId="088DBB0B" w:rsidR="00D74307" w:rsidRDefault="00D74307">
      <w:pPr>
        <w:pStyle w:val="a5"/>
      </w:pPr>
      <w:r>
        <w:rPr>
          <w:rStyle w:val="a7"/>
        </w:rPr>
        <w:footnoteRef/>
      </w:r>
      <w:r>
        <w:rPr>
          <w:rtl/>
        </w:rPr>
        <w:t xml:space="preserve"> </w:t>
      </w:r>
      <w:r w:rsidRPr="00D74307">
        <w:rPr>
          <w:rFonts w:cs="Arial"/>
          <w:rtl/>
        </w:rPr>
        <w:t>כלומ' שכל מה שכתוב בסעי' זה אינו רק להלכה לדעת רוב הפוסקי' דפסקו כר' יוחנן אבל בסעי' שאח"ז יתבאר שיש חולקין ופוסקין כר"ל דכולם משום עדים ועוד אכתוב מזה בסמוך</w:t>
      </w:r>
      <w:r>
        <w:rPr>
          <w:rFonts w:cs="Arial" w:hint="cs"/>
          <w:rtl/>
        </w:rPr>
        <w:t>, ח"מ (סקכ"ד).</w:t>
      </w:r>
    </w:p>
  </w:footnote>
  <w:footnote w:id="241">
    <w:p w14:paraId="5454FE3B" w14:textId="25616735" w:rsidR="008959EA" w:rsidRDefault="008959EA" w:rsidP="008959EA">
      <w:pPr>
        <w:pStyle w:val="a5"/>
      </w:pPr>
      <w:r>
        <w:rPr>
          <w:rStyle w:val="a7"/>
        </w:rPr>
        <w:footnoteRef/>
      </w:r>
      <w:r>
        <w:rPr>
          <w:rtl/>
        </w:rPr>
        <w:t xml:space="preserve"> </w:t>
      </w:r>
      <w:r>
        <w:rPr>
          <w:rFonts w:hint="cs"/>
          <w:rtl/>
        </w:rPr>
        <w:t xml:space="preserve">סימן </w:t>
      </w:r>
      <w:r w:rsidR="00A42812">
        <w:rPr>
          <w:rFonts w:hint="cs"/>
          <w:rtl/>
        </w:rPr>
        <w:t>-</w:t>
      </w:r>
      <w:r>
        <w:rPr>
          <w:rFonts w:hint="cs"/>
          <w:rtl/>
        </w:rPr>
        <w:t xml:space="preserve"> י' חתומים.</w:t>
      </w:r>
    </w:p>
  </w:footnote>
  <w:footnote w:id="242">
    <w:p w14:paraId="6FF91A97" w14:textId="0EC0A58A" w:rsidR="00D74307" w:rsidRDefault="00D74307">
      <w:pPr>
        <w:pStyle w:val="a5"/>
        <w:rPr>
          <w:rtl/>
        </w:rPr>
      </w:pPr>
      <w:r>
        <w:rPr>
          <w:rStyle w:val="a7"/>
        </w:rPr>
        <w:footnoteRef/>
      </w:r>
      <w:r>
        <w:rPr>
          <w:rtl/>
        </w:rPr>
        <w:t xml:space="preserve"> </w:t>
      </w:r>
      <w:r w:rsidRPr="00D74307">
        <w:rPr>
          <w:rFonts w:cs="Arial"/>
          <w:rtl/>
        </w:rPr>
        <w:t xml:space="preserve">בד"מ כתב </w:t>
      </w:r>
      <w:r>
        <w:rPr>
          <w:rFonts w:cs="Arial" w:hint="cs"/>
          <w:rtl/>
        </w:rPr>
        <w:t>'</w:t>
      </w:r>
      <w:r w:rsidRPr="00D74307">
        <w:rPr>
          <w:rFonts w:cs="Arial"/>
          <w:rtl/>
        </w:rPr>
        <w:t>דהא יש פוסלין כשהפסול והקרוב למטה ולכן יש להחמיר בכל ענין</w:t>
      </w:r>
      <w:r>
        <w:rPr>
          <w:rFonts w:cs="Arial" w:hint="cs"/>
          <w:rtl/>
        </w:rPr>
        <w:t>'</w:t>
      </w:r>
      <w:r>
        <w:rPr>
          <w:rFonts w:cs="Arial" w:hint="cs"/>
          <w:sz w:val="16"/>
          <w:szCs w:val="16"/>
          <w:rtl/>
        </w:rPr>
        <w:t xml:space="preserve"> [עכ"ל]</w:t>
      </w:r>
      <w:r>
        <w:rPr>
          <w:rFonts w:cs="Arial" w:hint="cs"/>
          <w:rtl/>
        </w:rPr>
        <w:t>.</w:t>
      </w:r>
      <w:r w:rsidRPr="00D74307">
        <w:rPr>
          <w:rFonts w:cs="Arial"/>
          <w:rtl/>
        </w:rPr>
        <w:t xml:space="preserve"> ומשמע דלענין זה יש להחמיר מה שהקיל לסברא הראשונה אם האחרים פסולים לבד השנים הראשוני'</w:t>
      </w:r>
      <w:r>
        <w:rPr>
          <w:rFonts w:cs="Arial" w:hint="cs"/>
          <w:rtl/>
        </w:rPr>
        <w:t xml:space="preserve">- </w:t>
      </w:r>
      <w:r w:rsidRPr="00D74307">
        <w:rPr>
          <w:rFonts w:cs="Arial"/>
          <w:rtl/>
        </w:rPr>
        <w:t xml:space="preserve"> על זה יש להחמיר</w:t>
      </w:r>
      <w:r>
        <w:rPr>
          <w:rFonts w:cs="Arial" w:hint="cs"/>
          <w:rtl/>
        </w:rPr>
        <w:t>,</w:t>
      </w:r>
      <w:r w:rsidRPr="00D74307">
        <w:rPr>
          <w:rFonts w:cs="Arial"/>
          <w:rtl/>
        </w:rPr>
        <w:t xml:space="preserve"> דהא לר"ל כולן משום עדים</w:t>
      </w:r>
      <w:r>
        <w:rPr>
          <w:rFonts w:cs="Arial" w:hint="cs"/>
          <w:rtl/>
        </w:rPr>
        <w:t>,</w:t>
      </w:r>
      <w:r w:rsidRPr="00D74307">
        <w:rPr>
          <w:rFonts w:cs="Arial"/>
          <w:rtl/>
        </w:rPr>
        <w:t xml:space="preserve"> ואף אם הלכה כר"י שמא קי"ל כאותן פוסקי' דס"ל דבאמצע ובסוף פסול קרוב לכ"ע אפי' בשאר שטרות</w:t>
      </w:r>
      <w:r>
        <w:rPr>
          <w:rFonts w:cs="Arial" w:hint="cs"/>
          <w:rtl/>
        </w:rPr>
        <w:t>.</w:t>
      </w:r>
      <w:r w:rsidRPr="00D74307">
        <w:rPr>
          <w:rFonts w:cs="Arial"/>
          <w:rtl/>
        </w:rPr>
        <w:t xml:space="preserve"> אבל במה שנחלקו ר"י ור"ל אם צריכין כולם לחתום ביום א' או אפילו עד עשרה ימים</w:t>
      </w:r>
      <w:r>
        <w:rPr>
          <w:rFonts w:cs="Arial" w:hint="cs"/>
          <w:rtl/>
        </w:rPr>
        <w:t>,</w:t>
      </w:r>
      <w:r w:rsidRPr="00D74307">
        <w:rPr>
          <w:rFonts w:cs="Arial"/>
          <w:rtl/>
        </w:rPr>
        <w:t xml:space="preserve"> אפשר בזה קי"ל כרוב הפוסקי' דקי"ל כר' יוחנן דהשאר משום תנאי</w:t>
      </w:r>
      <w:r>
        <w:rPr>
          <w:rFonts w:hint="cs"/>
          <w:rtl/>
        </w:rPr>
        <w:t xml:space="preserve">, </w:t>
      </w:r>
      <w:r w:rsidRPr="00E31E3A">
        <w:rPr>
          <w:rFonts w:hint="cs"/>
          <w:b/>
          <w:bCs/>
          <w:rtl/>
        </w:rPr>
        <w:t>ח"מ</w:t>
      </w:r>
      <w:r>
        <w:rPr>
          <w:rFonts w:hint="cs"/>
          <w:rtl/>
        </w:rPr>
        <w:t xml:space="preserve"> (סקכ"ה).</w:t>
      </w:r>
      <w:r w:rsidR="00175747">
        <w:rPr>
          <w:rFonts w:hint="cs"/>
          <w:rtl/>
        </w:rPr>
        <w:t xml:space="preserve"> וכ"כ </w:t>
      </w:r>
      <w:r w:rsidR="00175747" w:rsidRPr="00E31E3A">
        <w:rPr>
          <w:rFonts w:hint="cs"/>
          <w:b/>
          <w:bCs/>
          <w:rtl/>
        </w:rPr>
        <w:t>הב"ש</w:t>
      </w:r>
      <w:r w:rsidR="00175747">
        <w:rPr>
          <w:rFonts w:hint="cs"/>
          <w:rtl/>
        </w:rPr>
        <w:t xml:space="preserve"> (סקי"ז) אך סיים</w:t>
      </w:r>
      <w:r w:rsidR="00E31E3A">
        <w:rPr>
          <w:rFonts w:hint="cs"/>
          <w:rtl/>
        </w:rPr>
        <w:t>:</w:t>
      </w:r>
      <w:r w:rsidR="00175747">
        <w:rPr>
          <w:rFonts w:hint="cs"/>
          <w:rtl/>
        </w:rPr>
        <w:t xml:space="preserve"> </w:t>
      </w:r>
      <w:r w:rsidR="00175747" w:rsidRPr="00175747">
        <w:rPr>
          <w:rFonts w:cs="Arial"/>
          <w:rtl/>
        </w:rPr>
        <w:t>מיהו נראה כיון דה"ג והעיטור והרשב"א ורי"ו בשם תוס' פסקו כר"ל דאמר כולם משום עדים אין להקל</w:t>
      </w:r>
      <w:r w:rsidR="00175747">
        <w:rPr>
          <w:rFonts w:hint="cs"/>
          <w:rtl/>
        </w:rPr>
        <w:t>.</w:t>
      </w:r>
    </w:p>
  </w:footnote>
  <w:footnote w:id="243">
    <w:p w14:paraId="712F26E9" w14:textId="192143E2" w:rsidR="008A58FE" w:rsidRDefault="008A58FE">
      <w:pPr>
        <w:pStyle w:val="a5"/>
        <w:rPr>
          <w:rtl/>
        </w:rPr>
      </w:pPr>
      <w:r>
        <w:rPr>
          <w:rStyle w:val="a7"/>
        </w:rPr>
        <w:footnoteRef/>
      </w:r>
      <w:r>
        <w:rPr>
          <w:rtl/>
        </w:rPr>
        <w:t xml:space="preserve"> </w:t>
      </w:r>
      <w:r w:rsidRPr="008A58FE">
        <w:rPr>
          <w:rFonts w:cs="Arial"/>
          <w:rtl/>
        </w:rPr>
        <w:t>בגט שאדם אומר במעמד רבים</w:t>
      </w:r>
      <w:r>
        <w:rPr>
          <w:rFonts w:cs="Arial" w:hint="cs"/>
          <w:rtl/>
        </w:rPr>
        <w:t>,</w:t>
      </w:r>
      <w:r w:rsidRPr="008A58FE">
        <w:rPr>
          <w:rFonts w:cs="Arial"/>
          <w:rtl/>
        </w:rPr>
        <w:t xml:space="preserve"> ויש לחוש שמא יאמר לכולכם איכוין</w:t>
      </w:r>
      <w:r>
        <w:rPr>
          <w:rFonts w:cs="Arial" w:hint="cs"/>
          <w:rtl/>
        </w:rPr>
        <w:t>,</w:t>
      </w:r>
      <w:r w:rsidRPr="008A58FE">
        <w:rPr>
          <w:rFonts w:cs="Arial"/>
          <w:rtl/>
        </w:rPr>
        <w:t xml:space="preserve"> ולא יחתמו כולם ונמצא גט בטל</w:t>
      </w:r>
      <w:r>
        <w:rPr>
          <w:rFonts w:cs="Arial" w:hint="cs"/>
          <w:rtl/>
        </w:rPr>
        <w:t>,</w:t>
      </w:r>
      <w:r w:rsidRPr="008A58FE">
        <w:rPr>
          <w:rFonts w:cs="Arial"/>
          <w:rtl/>
        </w:rPr>
        <w:t xml:space="preserve"> התקין שיהו כותבין בו כך אמר לנו פלוני כתבו או כולכון או כל חד מנכון</w:t>
      </w:r>
      <w:r>
        <w:rPr>
          <w:rFonts w:cs="Arial" w:hint="cs"/>
          <w:rtl/>
        </w:rPr>
        <w:t>.</w:t>
      </w:r>
      <w:r w:rsidRPr="008A58FE">
        <w:rPr>
          <w:rFonts w:cs="Arial"/>
          <w:rtl/>
        </w:rPr>
        <w:t xml:space="preserve"> כולכון </w:t>
      </w:r>
      <w:r>
        <w:rPr>
          <w:rFonts w:cs="Arial" w:hint="cs"/>
          <w:rtl/>
        </w:rPr>
        <w:t xml:space="preserve">- </w:t>
      </w:r>
      <w:r w:rsidRPr="008A58FE">
        <w:rPr>
          <w:rFonts w:cs="Arial"/>
          <w:rtl/>
        </w:rPr>
        <w:t>אחד כותב במעמד כולם</w:t>
      </w:r>
      <w:r>
        <w:rPr>
          <w:rFonts w:cs="Arial" w:hint="cs"/>
          <w:rtl/>
        </w:rPr>
        <w:t>.</w:t>
      </w:r>
      <w:r w:rsidRPr="008A58FE">
        <w:rPr>
          <w:rFonts w:cs="Arial"/>
          <w:rtl/>
        </w:rPr>
        <w:t xml:space="preserve"> או כל חד מנכון </w:t>
      </w:r>
      <w:r>
        <w:rPr>
          <w:rFonts w:cs="Arial" w:hint="cs"/>
          <w:rtl/>
        </w:rPr>
        <w:t xml:space="preserve">- </w:t>
      </w:r>
      <w:r w:rsidRPr="008A58FE">
        <w:rPr>
          <w:rFonts w:cs="Arial"/>
          <w:rtl/>
        </w:rPr>
        <w:t>אפי' אין חביריו עמו</w:t>
      </w:r>
      <w:r>
        <w:rPr>
          <w:rFonts w:hint="cs"/>
          <w:rtl/>
        </w:rPr>
        <w:t>, רש"י.</w:t>
      </w:r>
    </w:p>
  </w:footnote>
  <w:footnote w:id="244">
    <w:p w14:paraId="67C4E82C" w14:textId="6E25923C" w:rsidR="008A58FE" w:rsidRDefault="008A58FE">
      <w:pPr>
        <w:pStyle w:val="a5"/>
        <w:rPr>
          <w:rtl/>
        </w:rPr>
      </w:pPr>
      <w:r>
        <w:rPr>
          <w:rStyle w:val="a7"/>
        </w:rPr>
        <w:footnoteRef/>
      </w:r>
      <w:r>
        <w:rPr>
          <w:rtl/>
        </w:rPr>
        <w:t xml:space="preserve"> </w:t>
      </w:r>
      <w:r w:rsidRPr="00201037">
        <w:rPr>
          <w:rFonts w:cs="Arial"/>
          <w:rtl/>
        </w:rPr>
        <w:t>ומשמע מדבריו שיפרשו שכך אמר</w:t>
      </w:r>
      <w:r>
        <w:rPr>
          <w:rFonts w:cs="Arial" w:hint="cs"/>
          <w:rtl/>
        </w:rPr>
        <w:t>,</w:t>
      </w:r>
      <w:r w:rsidRPr="00201037">
        <w:rPr>
          <w:rFonts w:cs="Arial"/>
          <w:rtl/>
        </w:rPr>
        <w:t xml:space="preserve"> אפי' אמר סתם</w:t>
      </w:r>
      <w:r>
        <w:rPr>
          <w:rFonts w:cs="Arial" w:hint="cs"/>
          <w:rtl/>
        </w:rPr>
        <w:t>.</w:t>
      </w:r>
      <w:r w:rsidRPr="00201037">
        <w:rPr>
          <w:rFonts w:cs="Arial"/>
          <w:rtl/>
        </w:rPr>
        <w:t xml:space="preserve"> </w:t>
      </w:r>
      <w:r w:rsidRPr="008A58FE">
        <w:rPr>
          <w:rFonts w:cs="Arial"/>
          <w:rtl/>
        </w:rPr>
        <w:t>ושאר מפרשים פירשו שתקנו שיפרש דבריו</w:t>
      </w:r>
      <w:r>
        <w:rPr>
          <w:rFonts w:hint="cs"/>
          <w:rtl/>
        </w:rPr>
        <w:t>, טור.</w:t>
      </w:r>
      <w:r w:rsidR="00A85EF3">
        <w:rPr>
          <w:rFonts w:hint="cs"/>
          <w:rtl/>
        </w:rPr>
        <w:t xml:space="preserve"> </w:t>
      </w:r>
      <w:r w:rsidR="00A85EF3" w:rsidRPr="00A85EF3">
        <w:rPr>
          <w:rFonts w:hint="cs"/>
          <w:sz w:val="16"/>
          <w:szCs w:val="16"/>
          <w:rtl/>
        </w:rPr>
        <w:t>(וכתב הב"י ד</w:t>
      </w:r>
      <w:r w:rsidR="00A85EF3" w:rsidRPr="00A85EF3">
        <w:rPr>
          <w:rFonts w:cs="Arial"/>
          <w:sz w:val="16"/>
          <w:szCs w:val="16"/>
          <w:rtl/>
        </w:rPr>
        <w:t xml:space="preserve">לפי שרש"י כתב </w:t>
      </w:r>
      <w:r w:rsidR="00A85EF3" w:rsidRPr="00A85EF3">
        <w:rPr>
          <w:rFonts w:cs="Arial" w:hint="cs"/>
          <w:sz w:val="16"/>
          <w:szCs w:val="16"/>
          <w:rtl/>
        </w:rPr>
        <w:t>'</w:t>
      </w:r>
      <w:r w:rsidR="00A85EF3" w:rsidRPr="00A85EF3">
        <w:rPr>
          <w:rFonts w:cs="Arial"/>
          <w:sz w:val="16"/>
          <w:szCs w:val="16"/>
          <w:rtl/>
        </w:rPr>
        <w:t>אתקין רב יהודה בגט שאדם אומר במעמד רבים ויש לחוש שמא יאמר כולכם ולא יחתמו כולם ונמצא גט בטל התקינו שיהו כותבין בו כך אמר לנו פלוני כתבו או כולכון</w:t>
      </w:r>
      <w:r w:rsidR="00A85EF3" w:rsidRPr="00A85EF3">
        <w:rPr>
          <w:rFonts w:cs="Arial" w:hint="cs"/>
          <w:sz w:val="16"/>
          <w:szCs w:val="16"/>
          <w:rtl/>
        </w:rPr>
        <w:t>...',</w:t>
      </w:r>
      <w:r w:rsidR="00A85EF3" w:rsidRPr="00A85EF3">
        <w:rPr>
          <w:rFonts w:cs="Arial"/>
          <w:sz w:val="16"/>
          <w:szCs w:val="16"/>
          <w:rtl/>
        </w:rPr>
        <w:t xml:space="preserve"> מפרש רבינו דבריו דהכי קאמר</w:t>
      </w:r>
      <w:r w:rsidR="00A85EF3" w:rsidRPr="00A85EF3">
        <w:rPr>
          <w:rFonts w:cs="Arial" w:hint="cs"/>
          <w:sz w:val="16"/>
          <w:szCs w:val="16"/>
          <w:rtl/>
        </w:rPr>
        <w:t>,</w:t>
      </w:r>
      <w:r w:rsidR="00A85EF3" w:rsidRPr="00A85EF3">
        <w:rPr>
          <w:rFonts w:cs="Arial"/>
          <w:sz w:val="16"/>
          <w:szCs w:val="16"/>
          <w:rtl/>
        </w:rPr>
        <w:t xml:space="preserve"> דמשום דיש לחוש שאע</w:t>
      </w:r>
      <w:r w:rsidR="00A85EF3" w:rsidRPr="00A85EF3">
        <w:rPr>
          <w:rFonts w:cs="Arial" w:hint="cs"/>
          <w:sz w:val="16"/>
          <w:szCs w:val="16"/>
          <w:rtl/>
        </w:rPr>
        <w:t>"</w:t>
      </w:r>
      <w:r w:rsidR="00A85EF3" w:rsidRPr="00A85EF3">
        <w:rPr>
          <w:rFonts w:cs="Arial"/>
          <w:sz w:val="16"/>
          <w:szCs w:val="16"/>
          <w:rtl/>
        </w:rPr>
        <w:t>פ שיאמר כתבו גט לאשתי ולא יאמר כולכם יסברו העולם דאמר כולכם</w:t>
      </w:r>
      <w:r w:rsidR="00A85EF3" w:rsidRPr="00A85EF3">
        <w:rPr>
          <w:rFonts w:cs="Arial" w:hint="cs"/>
          <w:sz w:val="16"/>
          <w:szCs w:val="16"/>
          <w:rtl/>
        </w:rPr>
        <w:t>,</w:t>
      </w:r>
      <w:r w:rsidR="00A85EF3" w:rsidRPr="00A85EF3">
        <w:rPr>
          <w:rFonts w:cs="Arial"/>
          <w:sz w:val="16"/>
          <w:szCs w:val="16"/>
          <w:rtl/>
        </w:rPr>
        <w:t xml:space="preserve"> ואם מת אחד מהם יבטלוהו שלא כדין</w:t>
      </w:r>
      <w:r w:rsidR="00A85EF3" w:rsidRPr="00A85EF3">
        <w:rPr>
          <w:rFonts w:cs="Arial" w:hint="cs"/>
          <w:sz w:val="16"/>
          <w:szCs w:val="16"/>
          <w:rtl/>
        </w:rPr>
        <w:t>.</w:t>
      </w:r>
      <w:r w:rsidR="00A85EF3" w:rsidRPr="00A85EF3">
        <w:rPr>
          <w:rFonts w:cs="Arial"/>
          <w:sz w:val="16"/>
          <w:szCs w:val="16"/>
          <w:rtl/>
        </w:rPr>
        <w:t xml:space="preserve"> לכן תקן רב יהודה שאע</w:t>
      </w:r>
      <w:r w:rsidR="00A85EF3" w:rsidRPr="00A85EF3">
        <w:rPr>
          <w:rFonts w:cs="Arial" w:hint="cs"/>
          <w:sz w:val="16"/>
          <w:szCs w:val="16"/>
          <w:rtl/>
        </w:rPr>
        <w:t>"</w:t>
      </w:r>
      <w:r w:rsidR="00A85EF3" w:rsidRPr="00A85EF3">
        <w:rPr>
          <w:rFonts w:cs="Arial"/>
          <w:sz w:val="16"/>
          <w:szCs w:val="16"/>
          <w:rtl/>
        </w:rPr>
        <w:t xml:space="preserve">פ שיאמר סתם כתבו גט </w:t>
      </w:r>
      <w:r w:rsidR="00A85EF3" w:rsidRPr="00A85EF3">
        <w:rPr>
          <w:rFonts w:cs="Arial" w:hint="cs"/>
          <w:sz w:val="16"/>
          <w:szCs w:val="16"/>
          <w:rtl/>
        </w:rPr>
        <w:t xml:space="preserve">- </w:t>
      </w:r>
      <w:r w:rsidR="00A85EF3" w:rsidRPr="00A85EF3">
        <w:rPr>
          <w:rFonts w:cs="Arial"/>
          <w:sz w:val="16"/>
          <w:szCs w:val="16"/>
          <w:rtl/>
        </w:rPr>
        <w:t>יכתבו שאמר בהדיא כתובו כל חד מינכון וכן בחתומו ואובילו</w:t>
      </w:r>
      <w:r w:rsidR="00A85EF3" w:rsidRPr="00A85EF3">
        <w:rPr>
          <w:rFonts w:cs="Arial" w:hint="cs"/>
          <w:sz w:val="16"/>
          <w:szCs w:val="16"/>
          <w:rtl/>
        </w:rPr>
        <w:t>.</w:t>
      </w:r>
      <w:r w:rsidR="00A85EF3" w:rsidRPr="00A85EF3">
        <w:rPr>
          <w:rFonts w:cs="Arial"/>
          <w:sz w:val="16"/>
          <w:szCs w:val="16"/>
          <w:rtl/>
        </w:rPr>
        <w:t xml:space="preserve"> </w:t>
      </w:r>
      <w:r w:rsidR="00A85EF3" w:rsidRPr="00A85EF3">
        <w:rPr>
          <w:rFonts w:cs="Arial"/>
          <w:b/>
          <w:bCs/>
          <w:sz w:val="16"/>
          <w:szCs w:val="16"/>
          <w:rtl/>
        </w:rPr>
        <w:t xml:space="preserve">ולפי דעתי </w:t>
      </w:r>
      <w:r w:rsidR="00A85EF3" w:rsidRPr="00A85EF3">
        <w:rPr>
          <w:rFonts w:cs="Arial"/>
          <w:sz w:val="16"/>
          <w:szCs w:val="16"/>
          <w:rtl/>
        </w:rPr>
        <w:t>לא נתכוין רש"י לכך</w:t>
      </w:r>
      <w:r w:rsidR="00A85EF3" w:rsidRPr="00A85EF3">
        <w:rPr>
          <w:rFonts w:cs="Arial" w:hint="cs"/>
          <w:sz w:val="16"/>
          <w:szCs w:val="16"/>
          <w:rtl/>
        </w:rPr>
        <w:t>,</w:t>
      </w:r>
      <w:r w:rsidR="00A85EF3" w:rsidRPr="00A85EF3">
        <w:rPr>
          <w:rFonts w:cs="Arial"/>
          <w:sz w:val="16"/>
          <w:szCs w:val="16"/>
          <w:rtl/>
        </w:rPr>
        <w:t xml:space="preserve"> שאם העדים יכתבו דברי הבעל ממש ליכא למיחש למידי</w:t>
      </w:r>
      <w:r w:rsidR="00A85EF3" w:rsidRPr="00A85EF3">
        <w:rPr>
          <w:rFonts w:cs="Arial" w:hint="cs"/>
          <w:sz w:val="16"/>
          <w:szCs w:val="16"/>
          <w:rtl/>
        </w:rPr>
        <w:t>,</w:t>
      </w:r>
      <w:r w:rsidR="00A85EF3" w:rsidRPr="00A85EF3">
        <w:rPr>
          <w:rFonts w:cs="Arial"/>
          <w:sz w:val="16"/>
          <w:szCs w:val="16"/>
          <w:rtl/>
        </w:rPr>
        <w:t xml:space="preserve"> דכיון דלא אמר כולכם בכל תרי מינייהו שיחתמו יכשירוהו</w:t>
      </w:r>
      <w:r w:rsidR="00A85EF3" w:rsidRPr="00A85EF3">
        <w:rPr>
          <w:rFonts w:cs="Arial" w:hint="cs"/>
          <w:sz w:val="16"/>
          <w:szCs w:val="16"/>
          <w:rtl/>
        </w:rPr>
        <w:t>,</w:t>
      </w:r>
      <w:r w:rsidR="00A85EF3" w:rsidRPr="00A85EF3">
        <w:rPr>
          <w:rFonts w:cs="Arial"/>
          <w:sz w:val="16"/>
          <w:szCs w:val="16"/>
          <w:rtl/>
        </w:rPr>
        <w:t xml:space="preserve"> דלבית דין טועים לא חיישינן</w:t>
      </w:r>
      <w:r w:rsidR="00A85EF3" w:rsidRPr="00A85EF3">
        <w:rPr>
          <w:rFonts w:cs="Arial" w:hint="cs"/>
          <w:sz w:val="16"/>
          <w:szCs w:val="16"/>
          <w:rtl/>
        </w:rPr>
        <w:t>.</w:t>
      </w:r>
      <w:r w:rsidR="00A85EF3" w:rsidRPr="00A85EF3">
        <w:rPr>
          <w:rFonts w:cs="Arial"/>
          <w:sz w:val="16"/>
          <w:szCs w:val="16"/>
          <w:rtl/>
        </w:rPr>
        <w:t xml:space="preserve"> וכן לא הוה ליה לרב יהודה למיחש שמא העדים יוסיפו על דברי הבעל ויאמרו שאמר כולכם היכא שלא אמרו אלא ודאי כוונת רש"י לפרש כדברי הר"ן והרמב"ם ומה שכתב </w:t>
      </w:r>
      <w:r w:rsidR="00A85EF3" w:rsidRPr="00A85EF3">
        <w:rPr>
          <w:rFonts w:cs="Arial" w:hint="cs"/>
          <w:sz w:val="16"/>
          <w:szCs w:val="16"/>
          <w:rtl/>
        </w:rPr>
        <w:t>'</w:t>
      </w:r>
      <w:r w:rsidR="00A85EF3" w:rsidRPr="00A85EF3">
        <w:rPr>
          <w:rFonts w:cs="Arial"/>
          <w:sz w:val="16"/>
          <w:szCs w:val="16"/>
          <w:rtl/>
        </w:rPr>
        <w:t>התקין שיהו כותבין בו כך אמר לנו פלוני</w:t>
      </w:r>
      <w:r w:rsidR="00A85EF3" w:rsidRPr="00A85EF3">
        <w:rPr>
          <w:rFonts w:cs="Arial" w:hint="cs"/>
          <w:sz w:val="16"/>
          <w:szCs w:val="16"/>
          <w:rtl/>
        </w:rPr>
        <w:t>'</w:t>
      </w:r>
      <w:r w:rsidR="00A85EF3" w:rsidRPr="00A85EF3">
        <w:rPr>
          <w:rFonts w:cs="Arial"/>
          <w:sz w:val="16"/>
          <w:szCs w:val="16"/>
          <w:rtl/>
        </w:rPr>
        <w:t xml:space="preserve"> היינו לומר שיהיו כותבין על פי מאמר הבעל</w:t>
      </w:r>
      <w:r w:rsidR="00A85EF3" w:rsidRPr="00A85EF3">
        <w:rPr>
          <w:rFonts w:cs="Arial" w:hint="cs"/>
          <w:sz w:val="16"/>
          <w:szCs w:val="16"/>
          <w:rtl/>
        </w:rPr>
        <w:t>,</w:t>
      </w:r>
      <w:r w:rsidR="00A85EF3" w:rsidRPr="00A85EF3">
        <w:rPr>
          <w:rFonts w:cs="Arial"/>
          <w:sz w:val="16"/>
          <w:szCs w:val="16"/>
          <w:rtl/>
        </w:rPr>
        <w:t xml:space="preserve"> כלומר שהבעל יאמר כתבו כל חד מנכון וכו' והם יכתבו דבריו</w:t>
      </w:r>
      <w:r w:rsidR="00A85EF3">
        <w:rPr>
          <w:rFonts w:cs="Arial" w:hint="cs"/>
          <w:sz w:val="16"/>
          <w:szCs w:val="16"/>
          <w:rtl/>
        </w:rPr>
        <w:t>)</w:t>
      </w:r>
      <w:r w:rsidR="00A85EF3">
        <w:rPr>
          <w:rFonts w:cs="Arial" w:hint="cs"/>
          <w:rtl/>
        </w:rPr>
        <w:t>.</w:t>
      </w:r>
    </w:p>
  </w:footnote>
  <w:footnote w:id="245">
    <w:p w14:paraId="30D74A23" w14:textId="0DAB98FC" w:rsidR="008A58FE" w:rsidRDefault="008A58FE">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8A58FE">
        <w:rPr>
          <w:rFonts w:cs="Arial"/>
          <w:rtl/>
        </w:rPr>
        <w:t>תקנו חכמים שהאומר לרבים לכתוב גט או לחתום או להוליך גט לאשתו, אם לכתיבה אומר להן כל אחד מכם יכתוב גט לאשתי, וכן להולכה יאמר כל אחד מכם יוליך, ואם לחתימה יאמר להן כל שנים מכם יחתמו בגט זה ויתנו לאשתי</w:t>
      </w:r>
      <w:r>
        <w:rPr>
          <w:rFonts w:cs="Arial" w:hint="cs"/>
          <w:rtl/>
        </w:rPr>
        <w:t>.</w:t>
      </w:r>
    </w:p>
  </w:footnote>
  <w:footnote w:id="246">
    <w:p w14:paraId="7456DB37" w14:textId="3349E7BA" w:rsidR="003D1374" w:rsidRDefault="003D1374">
      <w:pPr>
        <w:pStyle w:val="a5"/>
      </w:pPr>
      <w:r>
        <w:rPr>
          <w:rStyle w:val="a7"/>
        </w:rPr>
        <w:footnoteRef/>
      </w:r>
      <w:r>
        <w:rPr>
          <w:rtl/>
        </w:rPr>
        <w:t xml:space="preserve"> </w:t>
      </w:r>
      <w:r w:rsidRPr="003D1374">
        <w:rPr>
          <w:rFonts w:cs="Arial"/>
          <w:rtl/>
        </w:rPr>
        <w:t>וזה פירוש שלא עלה על דעת שתקנו רבנן להכשיר גט שלא נחתם כמו שצוה הבעל</w:t>
      </w:r>
      <w:r>
        <w:rPr>
          <w:rFonts w:cs="Arial" w:hint="cs"/>
          <w:rtl/>
        </w:rPr>
        <w:t xml:space="preserve"> -</w:t>
      </w:r>
      <w:r w:rsidRPr="003D1374">
        <w:rPr>
          <w:rFonts w:cs="Arial"/>
          <w:rtl/>
        </w:rPr>
        <w:t xml:space="preserve"> שהוא בטל מן התורה. ואפשר דהכי קאמר</w:t>
      </w:r>
      <w:r>
        <w:rPr>
          <w:rFonts w:cs="Arial" w:hint="cs"/>
          <w:rtl/>
        </w:rPr>
        <w:t>,</w:t>
      </w:r>
      <w:r w:rsidRPr="003D1374">
        <w:rPr>
          <w:rFonts w:cs="Arial"/>
          <w:rtl/>
        </w:rPr>
        <w:t xml:space="preserve"> תקנו שלא יאמר כולכם כתובו</w:t>
      </w:r>
      <w:r>
        <w:rPr>
          <w:rFonts w:cs="Arial" w:hint="cs"/>
          <w:rtl/>
        </w:rPr>
        <w:t>,</w:t>
      </w:r>
      <w:r w:rsidRPr="003D1374">
        <w:rPr>
          <w:rFonts w:cs="Arial"/>
          <w:rtl/>
        </w:rPr>
        <w:t xml:space="preserve"> והשתא כשיאמר כולכם לא חיישינן ליה לעובר על תקנת חכמים שהתקינו שלא יאמר כולכם</w:t>
      </w:r>
      <w:r>
        <w:rPr>
          <w:rFonts w:cs="Arial" w:hint="cs"/>
          <w:rtl/>
        </w:rPr>
        <w:t>,</w:t>
      </w:r>
      <w:r w:rsidRPr="003D1374">
        <w:rPr>
          <w:rFonts w:cs="Arial"/>
          <w:rtl/>
        </w:rPr>
        <w:t xml:space="preserve"> והוה ליה כאילו לא אמר כולכם ממש</w:t>
      </w:r>
      <w:r>
        <w:rPr>
          <w:rFonts w:cs="Arial" w:hint="cs"/>
          <w:rtl/>
        </w:rPr>
        <w:t>,</w:t>
      </w:r>
      <w:r w:rsidRPr="003D1374">
        <w:rPr>
          <w:rFonts w:cs="Arial"/>
          <w:rtl/>
        </w:rPr>
        <w:t xml:space="preserve"> אלא נפרש ההוא כולכם שרצה לומר כל אחד מכם כתקנת חכמים</w:t>
      </w:r>
      <w:r>
        <w:rPr>
          <w:rFonts w:cs="Arial" w:hint="cs"/>
          <w:rtl/>
        </w:rPr>
        <w:t>.</w:t>
      </w:r>
      <w:r w:rsidRPr="003D1374">
        <w:rPr>
          <w:rFonts w:cs="Arial"/>
          <w:rtl/>
        </w:rPr>
        <w:t xml:space="preserve"> ולכך כותבין שפיר דבריו ואמר כל אחד מכם</w:t>
      </w:r>
      <w:r>
        <w:rPr>
          <w:rFonts w:cs="Arial" w:hint="cs"/>
          <w:rtl/>
        </w:rPr>
        <w:t>.</w:t>
      </w:r>
      <w:r w:rsidRPr="003D1374">
        <w:rPr>
          <w:rFonts w:cs="Arial"/>
          <w:rtl/>
        </w:rPr>
        <w:t xml:space="preserve"> והלשון דחוק לפירוש זה</w:t>
      </w:r>
      <w:r>
        <w:rPr>
          <w:rFonts w:cs="Arial" w:hint="cs"/>
          <w:rtl/>
        </w:rPr>
        <w:t>,</w:t>
      </w:r>
      <w:r w:rsidRPr="003D1374">
        <w:rPr>
          <w:rFonts w:cs="Arial"/>
          <w:rtl/>
        </w:rPr>
        <w:t xml:space="preserve"> וגם בגמרא לא משמע הכי</w:t>
      </w:r>
      <w:r>
        <w:rPr>
          <w:rFonts w:cs="Arial" w:hint="cs"/>
          <w:rtl/>
        </w:rPr>
        <w:t>, ב"י.</w:t>
      </w:r>
    </w:p>
  </w:footnote>
  <w:footnote w:id="247">
    <w:p w14:paraId="27B1F0B2" w14:textId="17F4B03E" w:rsidR="003D1374" w:rsidRDefault="003D1374">
      <w:pPr>
        <w:pStyle w:val="a5"/>
        <w:rPr>
          <w:rtl/>
        </w:rPr>
      </w:pPr>
      <w:r>
        <w:rPr>
          <w:rStyle w:val="a7"/>
        </w:rPr>
        <w:footnoteRef/>
      </w:r>
      <w:r>
        <w:rPr>
          <w:rtl/>
        </w:rPr>
        <w:t xml:space="preserve"> </w:t>
      </w:r>
      <w:r w:rsidRPr="003D1374">
        <w:rPr>
          <w:rFonts w:cs="Arial"/>
          <w:rtl/>
        </w:rPr>
        <w:t xml:space="preserve">ולא כתב מאי דאמר רבא </w:t>
      </w:r>
      <w:r w:rsidR="00E25DF5" w:rsidRPr="00E25DF5">
        <w:rPr>
          <w:rFonts w:cs="Arial" w:hint="cs"/>
          <w:sz w:val="16"/>
          <w:szCs w:val="16"/>
          <w:rtl/>
        </w:rPr>
        <w:t>(</w:t>
      </w:r>
      <w:r w:rsidRPr="00E25DF5">
        <w:rPr>
          <w:rFonts w:cs="Arial"/>
          <w:sz w:val="16"/>
          <w:szCs w:val="16"/>
          <w:rtl/>
        </w:rPr>
        <w:t>זמנין דגאיז לדיבוריה וכו' אלא אמר רבא כתובו כל חד מינכון וכו'</w:t>
      </w:r>
      <w:r w:rsidR="00E25DF5">
        <w:rPr>
          <w:rFonts w:cs="Arial" w:hint="cs"/>
          <w:sz w:val="16"/>
          <w:szCs w:val="16"/>
          <w:rtl/>
        </w:rPr>
        <w:t>)</w:t>
      </w:r>
      <w:r w:rsidRPr="003D1374">
        <w:rPr>
          <w:rFonts w:cs="Arial"/>
          <w:rtl/>
        </w:rPr>
        <w:t xml:space="preserve"> ולא ידעתי למה. ואפשר שלא היה בנוסחא שלו או שהוא טעות סופר בפסקי הרא"ש שבידינו</w:t>
      </w:r>
      <w:r w:rsidR="00E25DF5">
        <w:rPr>
          <w:rFonts w:cs="Arial" w:hint="cs"/>
          <w:rtl/>
        </w:rPr>
        <w:t>,</w:t>
      </w:r>
      <w:r w:rsidRPr="003D1374">
        <w:rPr>
          <w:rFonts w:cs="Arial"/>
          <w:rtl/>
        </w:rPr>
        <w:t xml:space="preserve"> שהרי"ף (לג:) כתבה</w:t>
      </w:r>
      <w:r>
        <w:rPr>
          <w:rFonts w:hint="cs"/>
          <w:rtl/>
        </w:rPr>
        <w:t xml:space="preserve">, </w:t>
      </w:r>
      <w:r w:rsidRPr="00544C13">
        <w:rPr>
          <w:rFonts w:hint="cs"/>
          <w:b/>
          <w:bCs/>
          <w:rtl/>
        </w:rPr>
        <w:t>ב"י</w:t>
      </w:r>
      <w:r>
        <w:rPr>
          <w:rFonts w:hint="cs"/>
          <w:rtl/>
        </w:rPr>
        <w:t>.</w:t>
      </w:r>
      <w:r w:rsidR="00544C13">
        <w:rPr>
          <w:rFonts w:hint="cs"/>
          <w:rtl/>
        </w:rPr>
        <w:t xml:space="preserve">    </w:t>
      </w:r>
      <w:r w:rsidR="00E25DF5">
        <w:rPr>
          <w:rFonts w:hint="cs"/>
          <w:rtl/>
        </w:rPr>
        <w:t xml:space="preserve"> ואפשר לומר דטעמו משום דסתמא דש"ס ריש מכילתא דף ג על חדא מתרתי לא גאיז ע"ש גבי בפ"נ לשמה וי"ל וק"ל, </w:t>
      </w:r>
      <w:r w:rsidR="00E25DF5" w:rsidRPr="00544C13">
        <w:rPr>
          <w:rFonts w:hint="cs"/>
          <w:b/>
          <w:bCs/>
          <w:rtl/>
        </w:rPr>
        <w:t>תפארת למשה</w:t>
      </w:r>
      <w:r w:rsidR="00E25DF5">
        <w:rPr>
          <w:rFonts w:hint="cs"/>
          <w:rtl/>
        </w:rPr>
        <w:t>.</w:t>
      </w:r>
    </w:p>
  </w:footnote>
  <w:footnote w:id="248">
    <w:p w14:paraId="45D56A37" w14:textId="113E846C" w:rsidR="009F4814" w:rsidRDefault="009F4814" w:rsidP="009F4814">
      <w:pPr>
        <w:pStyle w:val="a5"/>
        <w:rPr>
          <w:rtl/>
        </w:rPr>
      </w:pPr>
      <w:r>
        <w:rPr>
          <w:rStyle w:val="a7"/>
        </w:rPr>
        <w:footnoteRef/>
      </w:r>
      <w:r>
        <w:rPr>
          <w:rtl/>
        </w:rPr>
        <w:t xml:space="preserve"> </w:t>
      </w:r>
      <w:r>
        <w:rPr>
          <w:rFonts w:cs="Arial"/>
          <w:rtl/>
        </w:rPr>
        <w:t>ונראה לי דרבותא אשמועינן</w:t>
      </w:r>
      <w:r>
        <w:rPr>
          <w:rFonts w:cs="Arial" w:hint="cs"/>
          <w:rtl/>
        </w:rPr>
        <w:t>,</w:t>
      </w:r>
      <w:r>
        <w:rPr>
          <w:rFonts w:cs="Arial"/>
          <w:rtl/>
        </w:rPr>
        <w:t xml:space="preserve"> דלא תימא כיון שתקנו שיפרש דבריו כל שלא פירש אלא אמר סתם הוה ליה כאומר כולכם </w:t>
      </w:r>
      <w:r>
        <w:rPr>
          <w:rFonts w:cs="Arial" w:hint="cs"/>
          <w:rtl/>
        </w:rPr>
        <w:t xml:space="preserve">- </w:t>
      </w:r>
      <w:r>
        <w:rPr>
          <w:rFonts w:cs="Arial"/>
          <w:rtl/>
        </w:rPr>
        <w:t>קא משמע לן</w:t>
      </w:r>
      <w:r>
        <w:rPr>
          <w:rFonts w:cs="Arial" w:hint="cs"/>
          <w:sz w:val="16"/>
          <w:szCs w:val="16"/>
          <w:rtl/>
        </w:rPr>
        <w:t xml:space="preserve"> {דלא הוי כאומר כולכם}</w:t>
      </w:r>
      <w:r>
        <w:rPr>
          <w:rFonts w:cs="Arial" w:hint="cs"/>
          <w:rtl/>
        </w:rPr>
        <w:t xml:space="preserve">, </w:t>
      </w:r>
      <w:r w:rsidRPr="00544C13">
        <w:rPr>
          <w:rFonts w:cs="Arial" w:hint="cs"/>
          <w:b/>
          <w:bCs/>
          <w:rtl/>
        </w:rPr>
        <w:t>ב"י</w:t>
      </w:r>
      <w:r>
        <w:rPr>
          <w:rFonts w:cs="Arial" w:hint="cs"/>
          <w:rtl/>
        </w:rPr>
        <w:t>.</w:t>
      </w:r>
      <w:r w:rsidR="00544C13">
        <w:rPr>
          <w:rFonts w:cs="Arial" w:hint="cs"/>
          <w:rtl/>
        </w:rPr>
        <w:t xml:space="preserve">    </w:t>
      </w:r>
      <w:r w:rsidRPr="009F4814">
        <w:rPr>
          <w:rFonts w:cs="Arial"/>
          <w:rtl/>
        </w:rPr>
        <w:t xml:space="preserve"> </w:t>
      </w:r>
      <w:r w:rsidRPr="00201037">
        <w:rPr>
          <w:rFonts w:cs="Arial"/>
          <w:rtl/>
        </w:rPr>
        <w:t>מיהו לכולי עלמא אם אמר כולכם אפילו בתר תקנה הגט פסול אם לא חתמו כולם</w:t>
      </w:r>
      <w:r>
        <w:rPr>
          <w:rFonts w:cs="Arial" w:hint="cs"/>
          <w:rtl/>
        </w:rPr>
        <w:t>,</w:t>
      </w:r>
      <w:r w:rsidRPr="00201037">
        <w:rPr>
          <w:rFonts w:cs="Arial"/>
          <w:rtl/>
        </w:rPr>
        <w:t xml:space="preserve"> ודלא </w:t>
      </w:r>
      <w:r>
        <w:rPr>
          <w:rFonts w:cs="Arial" w:hint="cs"/>
          <w:rtl/>
        </w:rPr>
        <w:t>כרי"ו</w:t>
      </w:r>
      <w:r w:rsidRPr="00201037">
        <w:rPr>
          <w:rFonts w:cs="Arial"/>
          <w:rtl/>
        </w:rPr>
        <w:t xml:space="preserve"> שכתב </w:t>
      </w:r>
      <w:r>
        <w:rPr>
          <w:rFonts w:cs="Arial" w:hint="cs"/>
          <w:rtl/>
        </w:rPr>
        <w:t>(</w:t>
      </w:r>
      <w:r w:rsidRPr="00201037">
        <w:rPr>
          <w:rFonts w:cs="Arial"/>
          <w:rtl/>
        </w:rPr>
        <w:t>נכ"ד ח</w:t>
      </w:r>
      <w:r>
        <w:rPr>
          <w:rFonts w:cs="Arial" w:hint="cs"/>
          <w:rtl/>
        </w:rPr>
        <w:t>"</w:t>
      </w:r>
      <w:r w:rsidRPr="00201037">
        <w:rPr>
          <w:rFonts w:cs="Arial"/>
          <w:rtl/>
        </w:rPr>
        <w:t>ג רי ע"א) דאפילו באמר כולכם יש להכשיר בתר תקנה</w:t>
      </w:r>
      <w:r>
        <w:rPr>
          <w:rFonts w:cs="Arial" w:hint="cs"/>
          <w:rtl/>
        </w:rPr>
        <w:t xml:space="preserve">, </w:t>
      </w:r>
      <w:r w:rsidRPr="00544C13">
        <w:rPr>
          <w:rFonts w:cs="Arial" w:hint="cs"/>
          <w:b/>
          <w:bCs/>
          <w:rtl/>
        </w:rPr>
        <w:t>דרכ"מ</w:t>
      </w:r>
      <w:r>
        <w:rPr>
          <w:rFonts w:cs="Arial" w:hint="cs"/>
          <w:rtl/>
        </w:rPr>
        <w:t xml:space="preserve"> (אות יא).</w:t>
      </w:r>
    </w:p>
  </w:footnote>
  <w:footnote w:id="249">
    <w:p w14:paraId="2F138288" w14:textId="55257539" w:rsidR="009E31A1" w:rsidRDefault="009E31A1">
      <w:pPr>
        <w:pStyle w:val="a5"/>
      </w:pPr>
      <w:r>
        <w:rPr>
          <w:rStyle w:val="a7"/>
        </w:rPr>
        <w:footnoteRef/>
      </w:r>
      <w:r>
        <w:rPr>
          <w:rtl/>
        </w:rPr>
        <w:t xml:space="preserve"> </w:t>
      </w:r>
      <w:r w:rsidRPr="009E31A1">
        <w:rPr>
          <w:rFonts w:cs="Arial"/>
          <w:rtl/>
        </w:rPr>
        <w:t>חולי המתהוה ממלוי תאי המוח</w:t>
      </w:r>
      <w:r w:rsidR="00016FE8">
        <w:rPr>
          <w:rFonts w:cs="Arial" w:hint="cs"/>
          <w:rtl/>
        </w:rPr>
        <w:t>,</w:t>
      </w:r>
      <w:r w:rsidRPr="009E31A1">
        <w:rPr>
          <w:rFonts w:cs="Arial"/>
          <w:rtl/>
        </w:rPr>
        <w:t xml:space="preserve"> והדעת מתבלבלת מחמתו והוא מין ממיני העלפון</w:t>
      </w:r>
      <w:r w:rsidR="007D4830">
        <w:rPr>
          <w:rFonts w:cs="Arial" w:hint="cs"/>
          <w:sz w:val="14"/>
          <w:szCs w:val="14"/>
          <w:rtl/>
        </w:rPr>
        <w:t xml:space="preserve"> </w:t>
      </w:r>
      <w:r w:rsidR="007D4830" w:rsidRPr="007D4830">
        <w:rPr>
          <w:rFonts w:cs="Arial" w:hint="cs"/>
          <w:sz w:val="14"/>
          <w:szCs w:val="14"/>
          <w:rtl/>
        </w:rPr>
        <w:t>{חולי הנופל, ב"י}</w:t>
      </w:r>
      <w:r>
        <w:rPr>
          <w:rFonts w:cs="Arial" w:hint="cs"/>
          <w:rtl/>
        </w:rPr>
        <w:t>, רמב"ם (</w:t>
      </w:r>
      <w:r w:rsidR="007D4830">
        <w:rPr>
          <w:rFonts w:cs="Arial" w:hint="cs"/>
          <w:rtl/>
        </w:rPr>
        <w:t xml:space="preserve">פהמ"ש </w:t>
      </w:r>
      <w:r>
        <w:rPr>
          <w:rFonts w:cs="Arial" w:hint="cs"/>
          <w:rtl/>
        </w:rPr>
        <w:t>גיטין פ"ז מ"א).</w:t>
      </w:r>
    </w:p>
  </w:footnote>
  <w:footnote w:id="250">
    <w:p w14:paraId="1AA125B9" w14:textId="7413122E" w:rsidR="00F36AB5" w:rsidRDefault="00F36AB5">
      <w:pPr>
        <w:pStyle w:val="a5"/>
      </w:pPr>
      <w:r>
        <w:rPr>
          <w:rStyle w:val="a7"/>
        </w:rPr>
        <w:footnoteRef/>
      </w:r>
      <w:r>
        <w:rPr>
          <w:rtl/>
        </w:rPr>
        <w:t xml:space="preserve"> </w:t>
      </w:r>
      <w:r>
        <w:rPr>
          <w:rFonts w:cs="Arial"/>
          <w:rtl/>
        </w:rPr>
        <w:t>משמע דאף לכשיבריא אין כותבין</w:t>
      </w:r>
      <w:r>
        <w:rPr>
          <w:rFonts w:cs="Arial" w:hint="cs"/>
          <w:rtl/>
        </w:rPr>
        <w:t>.</w:t>
      </w:r>
      <w:r>
        <w:rPr>
          <w:rFonts w:cs="Arial"/>
          <w:rtl/>
        </w:rPr>
        <w:t xml:space="preserve"> וכן משמע מדברי רבי יוחנן בגמרא (ע:). ונראה לי דאם כתבוהו ונתנוהו לא חיישינן ליה דהא לא אמר כלום קתני</w:t>
      </w:r>
      <w:r>
        <w:rPr>
          <w:rFonts w:cs="Arial" w:hint="cs"/>
          <w:rtl/>
        </w:rPr>
        <w:t>.</w:t>
      </w:r>
      <w:r>
        <w:rPr>
          <w:rFonts w:cs="Arial"/>
          <w:rtl/>
        </w:rPr>
        <w:t xml:space="preserve"> ורבינו ירוחם שכתב </w:t>
      </w:r>
      <w:r w:rsidR="00016FE8">
        <w:rPr>
          <w:rFonts w:cs="Arial" w:hint="cs"/>
          <w:rtl/>
        </w:rPr>
        <w:t>(</w:t>
      </w:r>
      <w:r>
        <w:rPr>
          <w:rFonts w:cs="Arial"/>
          <w:rtl/>
        </w:rPr>
        <w:t>ח</w:t>
      </w:r>
      <w:r w:rsidR="00016FE8">
        <w:rPr>
          <w:rFonts w:cs="Arial" w:hint="cs"/>
          <w:rtl/>
        </w:rPr>
        <w:t>"</w:t>
      </w:r>
      <w:r>
        <w:rPr>
          <w:rFonts w:cs="Arial"/>
          <w:rtl/>
        </w:rPr>
        <w:t>ו נכ"ד ריב ע"ב) שהוא פסול לא דק בלישניה</w:t>
      </w:r>
      <w:r>
        <w:rPr>
          <w:rFonts w:cs="Arial" w:hint="cs"/>
          <w:rtl/>
        </w:rPr>
        <w:t>, ב"י.</w:t>
      </w:r>
    </w:p>
  </w:footnote>
  <w:footnote w:id="251">
    <w:p w14:paraId="7A867385" w14:textId="40C81CA0" w:rsidR="00F36AB5" w:rsidRDefault="00F36AB5">
      <w:pPr>
        <w:pStyle w:val="a5"/>
        <w:rPr>
          <w:rtl/>
        </w:rPr>
      </w:pPr>
      <w:r>
        <w:rPr>
          <w:rStyle w:val="a7"/>
        </w:rPr>
        <w:footnoteRef/>
      </w:r>
      <w:r>
        <w:rPr>
          <w:rtl/>
        </w:rPr>
        <w:t xml:space="preserve"> </w:t>
      </w:r>
      <w:r w:rsidRPr="00F36AB5">
        <w:rPr>
          <w:rFonts w:cs="Arial"/>
          <w:rtl/>
        </w:rPr>
        <w:t>כלומר שאין אנו צריכין לשאול אותו פעם שניה אחרי שנתפקח האם הוא עומד על דבורו או לאו, אבל אין כותבין את הגט עד שיתאושש מחוליו</w:t>
      </w:r>
      <w:r>
        <w:rPr>
          <w:rFonts w:cs="Arial" w:hint="cs"/>
          <w:rtl/>
        </w:rPr>
        <w:t>, רמב"ם (פהמ"ש גיטין פ"ז מ"א).</w:t>
      </w:r>
    </w:p>
  </w:footnote>
  <w:footnote w:id="252">
    <w:p w14:paraId="625B0682" w14:textId="09065E1F" w:rsidR="00732AD5" w:rsidRDefault="00732AD5" w:rsidP="00732AD5">
      <w:pPr>
        <w:pStyle w:val="a5"/>
      </w:pPr>
      <w:r>
        <w:rPr>
          <w:rStyle w:val="a7"/>
        </w:rPr>
        <w:footnoteRef/>
      </w:r>
      <w:r>
        <w:rPr>
          <w:rtl/>
        </w:rPr>
        <w:t xml:space="preserve"> </w:t>
      </w:r>
      <w:r>
        <w:rPr>
          <w:rFonts w:cs="Arial"/>
          <w:rtl/>
        </w:rPr>
        <w:t xml:space="preserve">ולפי </w:t>
      </w:r>
      <w:r w:rsidR="004D75BF">
        <w:rPr>
          <w:rFonts w:cs="Arial" w:hint="cs"/>
          <w:rtl/>
        </w:rPr>
        <w:t>גירסא זו,</w:t>
      </w:r>
      <w:r>
        <w:rPr>
          <w:rFonts w:cs="Arial"/>
          <w:rtl/>
        </w:rPr>
        <w:t xml:space="preserve"> אם נשתכר הרבה</w:t>
      </w:r>
      <w:r>
        <w:rPr>
          <w:rFonts w:cs="Arial" w:hint="cs"/>
          <w:rtl/>
        </w:rPr>
        <w:t>,</w:t>
      </w:r>
      <w:r>
        <w:rPr>
          <w:rFonts w:cs="Arial"/>
          <w:rtl/>
        </w:rPr>
        <w:t xml:space="preserve"> אע</w:t>
      </w:r>
      <w:r>
        <w:rPr>
          <w:rFonts w:cs="Arial" w:hint="cs"/>
          <w:rtl/>
        </w:rPr>
        <w:t>"</w:t>
      </w:r>
      <w:r>
        <w:rPr>
          <w:rFonts w:cs="Arial"/>
          <w:rtl/>
        </w:rPr>
        <w:t xml:space="preserve">פ שברי לנו שלא הגיע לשכרותו של לוט כלל </w:t>
      </w:r>
      <w:r>
        <w:rPr>
          <w:rFonts w:cs="Arial" w:hint="cs"/>
          <w:rtl/>
        </w:rPr>
        <w:t xml:space="preserve">- </w:t>
      </w:r>
      <w:r>
        <w:rPr>
          <w:rFonts w:cs="Arial"/>
          <w:rtl/>
        </w:rPr>
        <w:t>הוי ספק</w:t>
      </w:r>
      <w:r>
        <w:rPr>
          <w:rFonts w:cs="Arial" w:hint="cs"/>
          <w:rtl/>
        </w:rPr>
        <w:t>.</w:t>
      </w:r>
      <w:r>
        <w:rPr>
          <w:rFonts w:cs="Arial"/>
          <w:rtl/>
        </w:rPr>
        <w:t xml:space="preserve"> ולפי גירסת רבינו דוקא כשנשתכר כל כך עד שאנו מסופקים אם הגיע לשכרותו של לוט </w:t>
      </w:r>
      <w:r>
        <w:rPr>
          <w:rFonts w:cs="Arial" w:hint="cs"/>
          <w:rtl/>
        </w:rPr>
        <w:t xml:space="preserve">- </w:t>
      </w:r>
      <w:r>
        <w:rPr>
          <w:rFonts w:cs="Arial"/>
          <w:rtl/>
        </w:rPr>
        <w:t>אז הוי ספק</w:t>
      </w:r>
      <w:r>
        <w:rPr>
          <w:rFonts w:cs="Arial" w:hint="cs"/>
          <w:rtl/>
        </w:rPr>
        <w:t>.</w:t>
      </w:r>
      <w:r>
        <w:rPr>
          <w:rFonts w:cs="Arial"/>
          <w:rtl/>
        </w:rPr>
        <w:t xml:space="preserve"> אבל אם ברי לנו שלא הגיע לשכרותו של לוט כלל</w:t>
      </w:r>
      <w:r>
        <w:rPr>
          <w:rFonts w:cs="Arial" w:hint="cs"/>
          <w:rtl/>
        </w:rPr>
        <w:t xml:space="preserve"> -</w:t>
      </w:r>
      <w:r>
        <w:rPr>
          <w:rFonts w:cs="Arial"/>
          <w:rtl/>
        </w:rPr>
        <w:t xml:space="preserve"> אע</w:t>
      </w:r>
      <w:r>
        <w:rPr>
          <w:rFonts w:cs="Arial" w:hint="cs"/>
          <w:rtl/>
        </w:rPr>
        <w:t>"</w:t>
      </w:r>
      <w:r>
        <w:rPr>
          <w:rFonts w:cs="Arial"/>
          <w:rtl/>
        </w:rPr>
        <w:t>פ שנשתכר הרבה כותבין על פיו</w:t>
      </w:r>
      <w:r>
        <w:rPr>
          <w:rFonts w:cs="Arial" w:hint="cs"/>
          <w:rtl/>
        </w:rPr>
        <w:t>.</w:t>
      </w:r>
      <w:r>
        <w:rPr>
          <w:rFonts w:cs="Arial"/>
          <w:rtl/>
        </w:rPr>
        <w:t xml:space="preserve"> ואפשר דלגירסת רבינו כל שנשתכר הרבה מספקינן ליה באם הגיע לשכרותו של לוט</w:t>
      </w:r>
      <w:r>
        <w:rPr>
          <w:rFonts w:cs="Arial" w:hint="cs"/>
          <w:rtl/>
        </w:rPr>
        <w:t>.</w:t>
      </w:r>
      <w:r w:rsidRPr="00410E34">
        <w:rPr>
          <w:rFonts w:cs="Arial"/>
          <w:rtl/>
        </w:rPr>
        <w:t xml:space="preserve"> </w:t>
      </w:r>
      <w:r w:rsidR="004D75BF" w:rsidRPr="004D75BF">
        <w:rPr>
          <w:rFonts w:cs="Arial" w:hint="cs"/>
          <w:sz w:val="16"/>
          <w:szCs w:val="16"/>
          <w:rtl/>
        </w:rPr>
        <w:t>(</w:t>
      </w:r>
      <w:r w:rsidRPr="004D75BF">
        <w:rPr>
          <w:rFonts w:cs="Arial"/>
          <w:sz w:val="16"/>
          <w:szCs w:val="16"/>
          <w:rtl/>
        </w:rPr>
        <w:t>ודע דבפ</w:t>
      </w:r>
      <w:r w:rsidRPr="004D75BF">
        <w:rPr>
          <w:rFonts w:cs="Arial" w:hint="cs"/>
          <w:sz w:val="16"/>
          <w:szCs w:val="16"/>
          <w:rtl/>
        </w:rPr>
        <w:t>"</w:t>
      </w:r>
      <w:r w:rsidRPr="004D75BF">
        <w:rPr>
          <w:rFonts w:cs="Arial"/>
          <w:sz w:val="16"/>
          <w:szCs w:val="16"/>
          <w:rtl/>
        </w:rPr>
        <w:t>ד (הי"ח) מהל</w:t>
      </w:r>
      <w:r w:rsidRPr="004D75BF">
        <w:rPr>
          <w:rFonts w:cs="Arial" w:hint="cs"/>
          <w:sz w:val="16"/>
          <w:szCs w:val="16"/>
          <w:rtl/>
        </w:rPr>
        <w:t>'</w:t>
      </w:r>
      <w:r w:rsidRPr="004D75BF">
        <w:rPr>
          <w:rFonts w:cs="Arial"/>
          <w:sz w:val="16"/>
          <w:szCs w:val="16"/>
          <w:rtl/>
        </w:rPr>
        <w:t xml:space="preserve"> אישות כתב שכור שקידש קידושיו קידושין ואע</w:t>
      </w:r>
      <w:r w:rsidRPr="004D75BF">
        <w:rPr>
          <w:rFonts w:cs="Arial" w:hint="cs"/>
          <w:sz w:val="16"/>
          <w:szCs w:val="16"/>
          <w:rtl/>
        </w:rPr>
        <w:t>"</w:t>
      </w:r>
      <w:r w:rsidRPr="004D75BF">
        <w:rPr>
          <w:rFonts w:cs="Arial"/>
          <w:sz w:val="16"/>
          <w:szCs w:val="16"/>
          <w:rtl/>
        </w:rPr>
        <w:t>פ שנשתכר הרבה</w:t>
      </w:r>
      <w:r w:rsidRPr="004D75BF">
        <w:rPr>
          <w:rFonts w:cs="Arial" w:hint="cs"/>
          <w:sz w:val="16"/>
          <w:szCs w:val="16"/>
          <w:rtl/>
        </w:rPr>
        <w:t>,</w:t>
      </w:r>
      <w:r w:rsidRPr="004D75BF">
        <w:rPr>
          <w:rFonts w:cs="Arial"/>
          <w:sz w:val="16"/>
          <w:szCs w:val="16"/>
          <w:rtl/>
        </w:rPr>
        <w:t xml:space="preserve"> ואם הגיע לשכרותו של לוט אין קידושיו קידושין ומתיישבין בדבר זה עכ"ל. ולגירסת ספרינו דמשמע מינה שכל שנשתכר הרבה אע</w:t>
      </w:r>
      <w:r w:rsidRPr="004D75BF">
        <w:rPr>
          <w:rFonts w:cs="Arial" w:hint="cs"/>
          <w:sz w:val="16"/>
          <w:szCs w:val="16"/>
          <w:rtl/>
        </w:rPr>
        <w:t>"</w:t>
      </w:r>
      <w:r w:rsidRPr="004D75BF">
        <w:rPr>
          <w:rFonts w:cs="Arial"/>
          <w:sz w:val="16"/>
          <w:szCs w:val="16"/>
          <w:rtl/>
        </w:rPr>
        <w:t>פ שברי לנו שלא הגיע לשכרותו של לוט כלל הוי ספק</w:t>
      </w:r>
      <w:r w:rsidRPr="004D75BF">
        <w:rPr>
          <w:rFonts w:cs="Arial" w:hint="cs"/>
          <w:sz w:val="16"/>
          <w:szCs w:val="16"/>
          <w:rtl/>
        </w:rPr>
        <w:t xml:space="preserve"> -</w:t>
      </w:r>
      <w:r w:rsidRPr="004D75BF">
        <w:rPr>
          <w:rFonts w:cs="Arial"/>
          <w:sz w:val="16"/>
          <w:szCs w:val="16"/>
          <w:rtl/>
        </w:rPr>
        <w:t xml:space="preserve"> קשה</w:t>
      </w:r>
      <w:r w:rsidRPr="004D75BF">
        <w:rPr>
          <w:rFonts w:cs="Arial" w:hint="cs"/>
          <w:sz w:val="16"/>
          <w:szCs w:val="16"/>
          <w:rtl/>
        </w:rPr>
        <w:t>,</w:t>
      </w:r>
      <w:r w:rsidRPr="004D75BF">
        <w:rPr>
          <w:rFonts w:cs="Arial"/>
          <w:sz w:val="16"/>
          <w:szCs w:val="16"/>
          <w:rtl/>
        </w:rPr>
        <w:t xml:space="preserve"> דגבי קידושין משמע דכל שלא הגיע לשכרותו של לוט לא מספקא ליה אלא קידושי ודאי הוו</w:t>
      </w:r>
      <w:r w:rsidRPr="004D75BF">
        <w:rPr>
          <w:rFonts w:cs="Arial" w:hint="cs"/>
          <w:sz w:val="16"/>
          <w:szCs w:val="16"/>
          <w:rtl/>
        </w:rPr>
        <w:t>,</w:t>
      </w:r>
      <w:r w:rsidRPr="004D75BF">
        <w:rPr>
          <w:rFonts w:cs="Arial"/>
          <w:sz w:val="16"/>
          <w:szCs w:val="16"/>
          <w:rtl/>
        </w:rPr>
        <w:t xml:space="preserve"> מדכתב סתם קידושיו קידושין. ואפשר שמה שכתב ומתיישבין בדבר זה קאי נמי ארישא דלישניה שכתב קידושיו קידושין</w:t>
      </w:r>
      <w:r w:rsidRPr="004D75BF">
        <w:rPr>
          <w:rFonts w:cs="Arial" w:hint="cs"/>
          <w:sz w:val="16"/>
          <w:szCs w:val="16"/>
          <w:rtl/>
        </w:rPr>
        <w:t>,</w:t>
      </w:r>
      <w:r w:rsidRPr="004D75BF">
        <w:rPr>
          <w:rFonts w:cs="Arial"/>
          <w:sz w:val="16"/>
          <w:szCs w:val="16"/>
          <w:rtl/>
        </w:rPr>
        <w:t xml:space="preserve"> כלומר מתיישבין לראות ענין שכרותו אם ראוי לסמוך על קידושיו לגמרי אם אין ראוי לסמוך עליהן אלא דוקא להחמיר ולא להקל</w:t>
      </w:r>
      <w:r w:rsidR="004D75BF" w:rsidRPr="004D75BF">
        <w:rPr>
          <w:rFonts w:cs="Arial" w:hint="cs"/>
          <w:sz w:val="16"/>
          <w:szCs w:val="16"/>
          <w:rtl/>
        </w:rPr>
        <w:t>)</w:t>
      </w:r>
      <w:r>
        <w:rPr>
          <w:rFonts w:cs="Arial"/>
          <w:rtl/>
        </w:rPr>
        <w:t xml:space="preserve">. ועוד יש לומר שמה שכתב הרמב"ם בגיטין </w:t>
      </w:r>
      <w:r>
        <w:rPr>
          <w:rFonts w:cs="Arial" w:hint="cs"/>
          <w:rtl/>
        </w:rPr>
        <w:t>'</w:t>
      </w:r>
      <w:r>
        <w:rPr>
          <w:rFonts w:cs="Arial"/>
          <w:rtl/>
        </w:rPr>
        <w:t>ואם לא הגיע</w:t>
      </w:r>
      <w:r>
        <w:rPr>
          <w:rFonts w:cs="Arial" w:hint="cs"/>
          <w:rtl/>
        </w:rPr>
        <w:t>'</w:t>
      </w:r>
      <w:r>
        <w:rPr>
          <w:rFonts w:cs="Arial"/>
          <w:rtl/>
        </w:rPr>
        <w:t xml:space="preserve"> היינו שאין ברור לנו שהגיע</w:t>
      </w:r>
      <w:r>
        <w:rPr>
          <w:rFonts w:cs="Arial" w:hint="cs"/>
          <w:rtl/>
        </w:rPr>
        <w:t>,</w:t>
      </w:r>
      <w:r>
        <w:rPr>
          <w:rFonts w:cs="Arial"/>
          <w:rtl/>
        </w:rPr>
        <w:t xml:space="preserve"> כלומר דמספקא לן אם הגיע אם לא הגיע</w:t>
      </w:r>
      <w:r>
        <w:rPr>
          <w:rFonts w:cs="Arial" w:hint="cs"/>
          <w:rtl/>
        </w:rPr>
        <w:t>,</w:t>
      </w:r>
      <w:r>
        <w:rPr>
          <w:rFonts w:cs="Arial"/>
          <w:rtl/>
        </w:rPr>
        <w:t xml:space="preserve"> וזה עולה כגירסת רבינו</w:t>
      </w:r>
      <w:r>
        <w:rPr>
          <w:rFonts w:cs="Arial" w:hint="cs"/>
          <w:rtl/>
        </w:rPr>
        <w:t>, ב"י.</w:t>
      </w:r>
    </w:p>
  </w:footnote>
  <w:footnote w:id="253">
    <w:p w14:paraId="26880E0E" w14:textId="335C81EE" w:rsidR="00732AD5" w:rsidRDefault="00732AD5">
      <w:pPr>
        <w:pStyle w:val="a5"/>
      </w:pPr>
      <w:r>
        <w:rPr>
          <w:rStyle w:val="a7"/>
        </w:rPr>
        <w:footnoteRef/>
      </w:r>
      <w:r>
        <w:rPr>
          <w:rtl/>
        </w:rPr>
        <w:t xml:space="preserve"> </w:t>
      </w:r>
      <w:r w:rsidRPr="00732AD5">
        <w:rPr>
          <w:rFonts w:cs="Arial"/>
          <w:rtl/>
        </w:rPr>
        <w:t>פרק הדר (סה</w:t>
      </w:r>
      <w:r>
        <w:rPr>
          <w:rFonts w:cs="Arial" w:hint="cs"/>
          <w:rtl/>
        </w:rPr>
        <w:t>.</w:t>
      </w:r>
      <w:r w:rsidRPr="00732AD5">
        <w:rPr>
          <w:rFonts w:cs="Arial"/>
          <w:rtl/>
        </w:rPr>
        <w:t>) אמרינן שכור שלא הגיע לשכרותו של לוט הרי הוא כפקח לכל דבריו</w:t>
      </w:r>
      <w:r>
        <w:rPr>
          <w:rFonts w:cs="Arial" w:hint="cs"/>
          <w:rtl/>
        </w:rPr>
        <w:t>.</w:t>
      </w:r>
      <w:r w:rsidRPr="00732AD5">
        <w:rPr>
          <w:rFonts w:cs="Arial"/>
          <w:rtl/>
        </w:rPr>
        <w:t xml:space="preserve"> ושמא היכא דאמר </w:t>
      </w:r>
      <w:r>
        <w:rPr>
          <w:rFonts w:cs="Arial" w:hint="cs"/>
          <w:rtl/>
        </w:rPr>
        <w:t>'</w:t>
      </w:r>
      <w:r w:rsidRPr="00732AD5">
        <w:rPr>
          <w:rFonts w:cs="Arial"/>
          <w:rtl/>
        </w:rPr>
        <w:t>כתבו</w:t>
      </w:r>
      <w:r>
        <w:rPr>
          <w:rFonts w:cs="Arial" w:hint="cs"/>
          <w:rtl/>
        </w:rPr>
        <w:t>'</w:t>
      </w:r>
      <w:r w:rsidRPr="00732AD5">
        <w:rPr>
          <w:rFonts w:cs="Arial"/>
          <w:rtl/>
        </w:rPr>
        <w:t xml:space="preserve"> ולא אמר </w:t>
      </w:r>
      <w:r>
        <w:rPr>
          <w:rFonts w:cs="Arial" w:hint="cs"/>
          <w:rtl/>
        </w:rPr>
        <w:t>'</w:t>
      </w:r>
      <w:r w:rsidRPr="00732AD5">
        <w:rPr>
          <w:rFonts w:cs="Arial"/>
          <w:rtl/>
        </w:rPr>
        <w:t>תנו</w:t>
      </w:r>
      <w:r>
        <w:rPr>
          <w:rFonts w:cs="Arial" w:hint="cs"/>
          <w:rtl/>
        </w:rPr>
        <w:t>'</w:t>
      </w:r>
      <w:r w:rsidRPr="00732AD5">
        <w:rPr>
          <w:rFonts w:cs="Arial"/>
          <w:rtl/>
        </w:rPr>
        <w:t xml:space="preserve"> כמו מי שאחזו קורדיקוס דמי</w:t>
      </w:r>
      <w:r>
        <w:rPr>
          <w:rFonts w:cs="Arial" w:hint="cs"/>
          <w:rtl/>
        </w:rPr>
        <w:t>,</w:t>
      </w:r>
      <w:r w:rsidRPr="00732AD5">
        <w:rPr>
          <w:rFonts w:cs="Arial"/>
          <w:rtl/>
        </w:rPr>
        <w:t xml:space="preserve"> וה"ז ספק אם הוא כבריא וצריך שיאמר </w:t>
      </w:r>
      <w:r>
        <w:rPr>
          <w:rFonts w:cs="Arial" w:hint="cs"/>
          <w:rtl/>
        </w:rPr>
        <w:t>'</w:t>
      </w:r>
      <w:r w:rsidRPr="00732AD5">
        <w:rPr>
          <w:rFonts w:cs="Arial"/>
          <w:rtl/>
        </w:rPr>
        <w:t>כתבו ותנו</w:t>
      </w:r>
      <w:r>
        <w:rPr>
          <w:rFonts w:cs="Arial" w:hint="cs"/>
          <w:rtl/>
        </w:rPr>
        <w:t>',</w:t>
      </w:r>
      <w:r w:rsidRPr="00732AD5">
        <w:rPr>
          <w:rFonts w:cs="Arial"/>
          <w:rtl/>
        </w:rPr>
        <w:t xml:space="preserve"> או שמא הוא כחולה ואין צריך לומר </w:t>
      </w:r>
      <w:r>
        <w:rPr>
          <w:rFonts w:cs="Arial" w:hint="cs"/>
          <w:rtl/>
        </w:rPr>
        <w:t>'</w:t>
      </w:r>
      <w:r w:rsidRPr="00732AD5">
        <w:rPr>
          <w:rFonts w:cs="Arial"/>
          <w:rtl/>
        </w:rPr>
        <w:t>תנו</w:t>
      </w:r>
      <w:r>
        <w:rPr>
          <w:rFonts w:cs="Arial" w:hint="cs"/>
          <w:rtl/>
        </w:rPr>
        <w:t>'</w:t>
      </w:r>
      <w:r w:rsidRPr="00732AD5">
        <w:rPr>
          <w:rFonts w:cs="Arial"/>
          <w:rtl/>
        </w:rPr>
        <w:t>. וכן נראה שהרב כתב שכור אחר מי שאחזו קורדיקוס</w:t>
      </w:r>
      <w:r>
        <w:rPr>
          <w:rFonts w:cs="Arial" w:hint="cs"/>
          <w:rtl/>
        </w:rPr>
        <w:t>,</w:t>
      </w:r>
      <w:r w:rsidRPr="00732AD5">
        <w:rPr>
          <w:rFonts w:cs="Arial"/>
          <w:rtl/>
        </w:rPr>
        <w:t xml:space="preserve"> דאע"ג דהוא כפקח לכל דבריו אינו כבריא</w:t>
      </w:r>
      <w:r>
        <w:rPr>
          <w:rFonts w:cs="Arial" w:hint="cs"/>
          <w:rtl/>
        </w:rPr>
        <w:t>, הה"מ (שם).</w:t>
      </w:r>
    </w:p>
  </w:footnote>
  <w:footnote w:id="254">
    <w:p w14:paraId="67FAA7AC" w14:textId="65CADF2F" w:rsidR="00B44CFF" w:rsidRDefault="00B44CFF">
      <w:pPr>
        <w:pStyle w:val="a5"/>
        <w:rPr>
          <w:rtl/>
        </w:rPr>
      </w:pPr>
      <w:r>
        <w:rPr>
          <w:rStyle w:val="a7"/>
        </w:rPr>
        <w:footnoteRef/>
      </w:r>
      <w:r>
        <w:rPr>
          <w:rtl/>
        </w:rPr>
        <w:t xml:space="preserve"> </w:t>
      </w:r>
      <w:r w:rsidRPr="00B44CFF">
        <w:rPr>
          <w:rFonts w:cs="Arial"/>
          <w:rtl/>
        </w:rPr>
        <w:t>ולא מהני בדיקה כי מחזיקים ליה בשוטה ודאי כ"כ הר"ן ואם כתבו לכ"ע הגט בטל</w:t>
      </w:r>
      <w:r>
        <w:rPr>
          <w:rFonts w:hint="cs"/>
          <w:rtl/>
        </w:rPr>
        <w:t>, ב"ש (סק"א).</w:t>
      </w:r>
    </w:p>
  </w:footnote>
  <w:footnote w:id="255">
    <w:p w14:paraId="79D8C2EE" w14:textId="2382D7A1" w:rsidR="002C713E" w:rsidRDefault="002C713E">
      <w:pPr>
        <w:pStyle w:val="a5"/>
      </w:pPr>
      <w:r>
        <w:rPr>
          <w:rStyle w:val="a7"/>
        </w:rPr>
        <w:footnoteRef/>
      </w:r>
      <w:r>
        <w:rPr>
          <w:rtl/>
        </w:rPr>
        <w:t xml:space="preserve"> </w:t>
      </w:r>
      <w:r w:rsidRPr="002C713E">
        <w:rPr>
          <w:rFonts w:cs="Arial"/>
          <w:rtl/>
        </w:rPr>
        <w:t>בגמ</w:t>
      </w:r>
      <w:r w:rsidR="00732AD5">
        <w:rPr>
          <w:rFonts w:cs="Arial" w:hint="cs"/>
          <w:rtl/>
        </w:rPr>
        <w:t>רא</w:t>
      </w:r>
      <w:r w:rsidRPr="002C713E">
        <w:rPr>
          <w:rFonts w:cs="Arial"/>
          <w:rtl/>
        </w:rPr>
        <w:t xml:space="preserve"> </w:t>
      </w:r>
      <w:r w:rsidR="00B44CFF">
        <w:rPr>
          <w:rFonts w:cs="Arial" w:hint="cs"/>
          <w:rtl/>
        </w:rPr>
        <w:t xml:space="preserve">(ערובין סה.) </w:t>
      </w:r>
      <w:r w:rsidRPr="002C713E">
        <w:rPr>
          <w:rFonts w:cs="Arial"/>
          <w:rtl/>
        </w:rPr>
        <w:t>אמרו דכשלא הגיע לשכרותו של לוט הרי הוא כפקח</w:t>
      </w:r>
      <w:r w:rsidR="00B44CFF">
        <w:rPr>
          <w:rFonts w:cs="Arial" w:hint="cs"/>
          <w:rtl/>
        </w:rPr>
        <w:t>,</w:t>
      </w:r>
      <w:r w:rsidRPr="002C713E">
        <w:rPr>
          <w:rFonts w:cs="Arial"/>
          <w:rtl/>
        </w:rPr>
        <w:t xml:space="preserve"> ואם עבר עבירה שיש בה מיתה ממיתין אותו ואין כאן ספק</w:t>
      </w:r>
      <w:r w:rsidR="00B44CFF">
        <w:rPr>
          <w:rFonts w:cs="Arial" w:hint="cs"/>
          <w:rtl/>
        </w:rPr>
        <w:t>.</w:t>
      </w:r>
      <w:r w:rsidRPr="002C713E">
        <w:rPr>
          <w:rFonts w:cs="Arial"/>
          <w:rtl/>
        </w:rPr>
        <w:t xml:space="preserve"> ע"כ דחק המ"מ לפרש שהספק היא אם הוא כבריא וצ"ל תנו</w:t>
      </w:r>
      <w:r w:rsidR="00B44CFF">
        <w:rPr>
          <w:rFonts w:cs="Arial" w:hint="cs"/>
          <w:rtl/>
        </w:rPr>
        <w:t>,</w:t>
      </w:r>
      <w:r w:rsidRPr="002C713E">
        <w:rPr>
          <w:rFonts w:cs="Arial"/>
          <w:rtl/>
        </w:rPr>
        <w:t xml:space="preserve"> או שמא הוא כמסוכן וא"צ לומר תנו</w:t>
      </w:r>
      <w:r w:rsidR="00B44CFF">
        <w:rPr>
          <w:rFonts w:cs="Arial" w:hint="cs"/>
          <w:rtl/>
        </w:rPr>
        <w:t>.</w:t>
      </w:r>
      <w:r w:rsidRPr="002C713E">
        <w:rPr>
          <w:rFonts w:cs="Arial"/>
          <w:rtl/>
        </w:rPr>
        <w:t xml:space="preserve"> והיינו בנשתכר הרבה</w:t>
      </w:r>
      <w:r w:rsidR="00B44CFF">
        <w:rPr>
          <w:rFonts w:cs="Arial" w:hint="cs"/>
          <w:rtl/>
        </w:rPr>
        <w:t>,</w:t>
      </w:r>
      <w:r w:rsidRPr="002C713E">
        <w:rPr>
          <w:rFonts w:cs="Arial"/>
          <w:rtl/>
        </w:rPr>
        <w:t xml:space="preserve"> אבל בנשתכר מעט ודאי הוא כברי</w:t>
      </w:r>
      <w:r w:rsidR="00B44CFF">
        <w:rPr>
          <w:rFonts w:cs="Arial" w:hint="cs"/>
          <w:rtl/>
        </w:rPr>
        <w:t>א.</w:t>
      </w:r>
      <w:r w:rsidRPr="002C713E">
        <w:rPr>
          <w:rFonts w:cs="Arial"/>
          <w:rtl/>
        </w:rPr>
        <w:t xml:space="preserve"> ובאמת פירוש המ"מ דחוק קצת</w:t>
      </w:r>
      <w:r w:rsidR="00B44CFF">
        <w:rPr>
          <w:rFonts w:cs="Arial" w:hint="cs"/>
          <w:rtl/>
        </w:rPr>
        <w:t>,</w:t>
      </w:r>
      <w:r w:rsidRPr="002C713E">
        <w:rPr>
          <w:rFonts w:cs="Arial"/>
          <w:rtl/>
        </w:rPr>
        <w:t xml:space="preserve"> דהרמב"ם כתב סתם </w:t>
      </w:r>
      <w:r w:rsidR="00B44CFF">
        <w:rPr>
          <w:rFonts w:cs="Arial" w:hint="cs"/>
          <w:rtl/>
        </w:rPr>
        <w:t>'</w:t>
      </w:r>
      <w:r w:rsidRPr="002C713E">
        <w:rPr>
          <w:rFonts w:cs="Arial"/>
          <w:rtl/>
        </w:rPr>
        <w:t>הרי זה ספק</w:t>
      </w:r>
      <w:r w:rsidR="00B44CFF">
        <w:rPr>
          <w:rFonts w:cs="Arial" w:hint="cs"/>
          <w:rtl/>
        </w:rPr>
        <w:t>'</w:t>
      </w:r>
      <w:r w:rsidRPr="002C713E">
        <w:rPr>
          <w:rFonts w:cs="Arial"/>
          <w:rtl/>
        </w:rPr>
        <w:t xml:space="preserve"> שנפרש דבריו דהספק הוא אם צ"ל תנו</w:t>
      </w:r>
      <w:r w:rsidR="00B44CFF">
        <w:rPr>
          <w:rFonts w:cs="Arial" w:hint="cs"/>
          <w:rtl/>
        </w:rPr>
        <w:t>,</w:t>
      </w:r>
      <w:r w:rsidRPr="002C713E">
        <w:rPr>
          <w:rFonts w:cs="Arial"/>
          <w:rtl/>
        </w:rPr>
        <w:t xml:space="preserve"> ובקרדייקוס לא מהני אמירת תנו וכמ"ש התוספות</w:t>
      </w:r>
      <w:r w:rsidR="00B44CFF">
        <w:rPr>
          <w:rFonts w:cs="Arial" w:hint="cs"/>
          <w:rtl/>
        </w:rPr>
        <w:t>.</w:t>
      </w:r>
      <w:r w:rsidRPr="002C713E">
        <w:rPr>
          <w:rFonts w:cs="Arial"/>
          <w:rtl/>
        </w:rPr>
        <w:t xml:space="preserve"> אבל גי' הטור בדברי הרמב"ם נכונה שגרס היה הדבר ספק אם הגיע הרי זה ספק</w:t>
      </w:r>
      <w:r w:rsidR="00732AD5">
        <w:rPr>
          <w:rFonts w:cs="Arial" w:hint="cs"/>
          <w:rtl/>
        </w:rPr>
        <w:t>,</w:t>
      </w:r>
      <w:r w:rsidRPr="002C713E">
        <w:rPr>
          <w:rFonts w:cs="Arial"/>
          <w:rtl/>
        </w:rPr>
        <w:t xml:space="preserve"> ועיין ב"י</w:t>
      </w:r>
      <w:r>
        <w:rPr>
          <w:rFonts w:cs="Arial" w:hint="cs"/>
          <w:rtl/>
        </w:rPr>
        <w:t>, ח"מ (סק"א).</w:t>
      </w:r>
    </w:p>
  </w:footnote>
  <w:footnote w:id="256">
    <w:p w14:paraId="1DB0ACA1" w14:textId="77777777" w:rsidR="001237BF" w:rsidRDefault="001237BF" w:rsidP="001237BF">
      <w:pPr>
        <w:pStyle w:val="a5"/>
      </w:pPr>
      <w:r>
        <w:rPr>
          <w:rStyle w:val="a7"/>
        </w:rPr>
        <w:footnoteRef/>
      </w:r>
      <w:r>
        <w:rPr>
          <w:rtl/>
        </w:rPr>
        <w:t xml:space="preserve"> </w:t>
      </w:r>
      <w:r w:rsidRPr="009E31A1">
        <w:rPr>
          <w:rFonts w:cs="Arial"/>
          <w:rtl/>
        </w:rPr>
        <w:t>חולי המתהוה ממלוי תאי המוח והדעת מתבלבלת מחמתו והוא מין ממיני העלפון</w:t>
      </w:r>
      <w:r>
        <w:rPr>
          <w:rFonts w:cs="Arial" w:hint="cs"/>
          <w:sz w:val="14"/>
          <w:szCs w:val="14"/>
          <w:rtl/>
        </w:rPr>
        <w:t xml:space="preserve"> </w:t>
      </w:r>
      <w:r w:rsidRPr="007D4830">
        <w:rPr>
          <w:rFonts w:cs="Arial" w:hint="cs"/>
          <w:sz w:val="14"/>
          <w:szCs w:val="14"/>
          <w:rtl/>
        </w:rPr>
        <w:t>{חולי הנופל, ב"י}</w:t>
      </w:r>
      <w:r>
        <w:rPr>
          <w:rFonts w:cs="Arial" w:hint="cs"/>
          <w:rtl/>
        </w:rPr>
        <w:t>, רמב"ם (פהמ"ש גיטין פ"ז מ"א).</w:t>
      </w:r>
    </w:p>
  </w:footnote>
  <w:footnote w:id="257">
    <w:p w14:paraId="1DDB6911" w14:textId="77777777" w:rsidR="001237BF" w:rsidRDefault="001237BF" w:rsidP="001237BF">
      <w:pPr>
        <w:pStyle w:val="a5"/>
      </w:pPr>
      <w:r>
        <w:rPr>
          <w:rStyle w:val="a7"/>
        </w:rPr>
        <w:footnoteRef/>
      </w:r>
      <w:r>
        <w:rPr>
          <w:rtl/>
        </w:rPr>
        <w:t xml:space="preserve"> </w:t>
      </w:r>
      <w:r>
        <w:rPr>
          <w:rFonts w:cs="Arial"/>
          <w:rtl/>
        </w:rPr>
        <w:t>משמע דאף לכשיבריא אין כותבין</w:t>
      </w:r>
      <w:r>
        <w:rPr>
          <w:rFonts w:cs="Arial" w:hint="cs"/>
          <w:rtl/>
        </w:rPr>
        <w:t>.</w:t>
      </w:r>
      <w:r>
        <w:rPr>
          <w:rFonts w:cs="Arial"/>
          <w:rtl/>
        </w:rPr>
        <w:t xml:space="preserve"> וכן משמע מדברי רבי יוחנן בגמרא (ע:). ונראה לי דאם כתבוהו ונתנוהו לא חיישינן ליה דהא לא אמר כלום קתני</w:t>
      </w:r>
      <w:r>
        <w:rPr>
          <w:rFonts w:cs="Arial" w:hint="cs"/>
          <w:rtl/>
        </w:rPr>
        <w:t>.</w:t>
      </w:r>
      <w:r>
        <w:rPr>
          <w:rFonts w:cs="Arial"/>
          <w:rtl/>
        </w:rPr>
        <w:t xml:space="preserve"> ורבינו ירוחם שכתב בחלק ו' (נכ"ד ריב ע"ב) שהוא פסול לא דק בלישניה</w:t>
      </w:r>
      <w:r>
        <w:rPr>
          <w:rFonts w:cs="Arial" w:hint="cs"/>
          <w:rtl/>
        </w:rPr>
        <w:t>, ב"י.</w:t>
      </w:r>
    </w:p>
  </w:footnote>
  <w:footnote w:id="258">
    <w:p w14:paraId="055A7D15" w14:textId="77777777" w:rsidR="001237BF" w:rsidRDefault="001237BF" w:rsidP="001237BF">
      <w:pPr>
        <w:pStyle w:val="a5"/>
        <w:rPr>
          <w:rtl/>
        </w:rPr>
      </w:pPr>
      <w:r>
        <w:rPr>
          <w:rStyle w:val="a7"/>
        </w:rPr>
        <w:footnoteRef/>
      </w:r>
      <w:r>
        <w:rPr>
          <w:rtl/>
        </w:rPr>
        <w:t xml:space="preserve"> </w:t>
      </w:r>
      <w:r w:rsidRPr="00F36AB5">
        <w:rPr>
          <w:rFonts w:cs="Arial"/>
          <w:rtl/>
        </w:rPr>
        <w:t>כלומר שאין אנו צריכין לשאול אותו פעם שניה אחרי שנתפקח האם הוא עומד על דבורו או לאו, אבל אין כותבין את הגט עד שיתאושש מחוליו</w:t>
      </w:r>
      <w:r>
        <w:rPr>
          <w:rFonts w:cs="Arial" w:hint="cs"/>
          <w:rtl/>
        </w:rPr>
        <w:t>, רמב"ם (פהמ"ש גיטין פ"ז מ"א).</w:t>
      </w:r>
    </w:p>
  </w:footnote>
  <w:footnote w:id="259">
    <w:p w14:paraId="7C9C8539" w14:textId="0FF2F589" w:rsidR="00EB6247" w:rsidRDefault="00EB6247">
      <w:pPr>
        <w:pStyle w:val="a5"/>
      </w:pPr>
      <w:r>
        <w:rPr>
          <w:rStyle w:val="a7"/>
        </w:rPr>
        <w:footnoteRef/>
      </w:r>
      <w:r>
        <w:rPr>
          <w:rtl/>
        </w:rPr>
        <w:t xml:space="preserve"> </w:t>
      </w:r>
      <w:r w:rsidRPr="00EB6247">
        <w:rPr>
          <w:rFonts w:cs="Arial"/>
          <w:rtl/>
        </w:rPr>
        <w:t>ואפילו בתוך חוליו הואיל ואמר קודם לכן ולא אמרינן שוטה הוא ואינו יכול לגרש</w:t>
      </w:r>
      <w:r>
        <w:rPr>
          <w:rFonts w:cs="Arial" w:hint="cs"/>
          <w:rtl/>
        </w:rPr>
        <w:t>, רש"י.</w:t>
      </w:r>
    </w:p>
  </w:footnote>
  <w:footnote w:id="260">
    <w:p w14:paraId="23271291" w14:textId="52A8BC3E" w:rsidR="00EB6247" w:rsidRDefault="00EB6247">
      <w:pPr>
        <w:pStyle w:val="a5"/>
      </w:pPr>
      <w:r>
        <w:rPr>
          <w:rStyle w:val="a7"/>
        </w:rPr>
        <w:footnoteRef/>
      </w:r>
      <w:r>
        <w:rPr>
          <w:rtl/>
        </w:rPr>
        <w:t xml:space="preserve"> </w:t>
      </w:r>
      <w:r w:rsidRPr="00EB6247">
        <w:rPr>
          <w:rFonts w:cs="Arial"/>
          <w:rtl/>
        </w:rPr>
        <w:t>שצריך רפואה בשרא סומקא אגומרי</w:t>
      </w:r>
      <w:r>
        <w:rPr>
          <w:rFonts w:cs="Arial" w:hint="cs"/>
          <w:rtl/>
        </w:rPr>
        <w:t>, רש"י.</w:t>
      </w:r>
    </w:p>
  </w:footnote>
  <w:footnote w:id="261">
    <w:p w14:paraId="173D0FA7" w14:textId="26706385" w:rsidR="00EB6247" w:rsidRDefault="00EB6247">
      <w:pPr>
        <w:pStyle w:val="a5"/>
        <w:rPr>
          <w:rtl/>
        </w:rPr>
      </w:pPr>
      <w:r>
        <w:rPr>
          <w:rStyle w:val="a7"/>
        </w:rPr>
        <w:footnoteRef/>
      </w:r>
      <w:r>
        <w:rPr>
          <w:rtl/>
        </w:rPr>
        <w:t xml:space="preserve"> </w:t>
      </w:r>
      <w:r w:rsidRPr="00EB6247">
        <w:rPr>
          <w:rFonts w:cs="Arial"/>
          <w:rtl/>
        </w:rPr>
        <w:t>אין סם רפואתו בידינו</w:t>
      </w:r>
      <w:r>
        <w:rPr>
          <w:rFonts w:hint="cs"/>
          <w:rtl/>
        </w:rPr>
        <w:t>, רש"י.</w:t>
      </w:r>
    </w:p>
  </w:footnote>
  <w:footnote w:id="262">
    <w:p w14:paraId="1BC4D51C" w14:textId="7962117E" w:rsidR="00D4576C" w:rsidRDefault="00D4576C">
      <w:pPr>
        <w:pStyle w:val="a5"/>
        <w:rPr>
          <w:rtl/>
        </w:rPr>
      </w:pPr>
      <w:r>
        <w:rPr>
          <w:rStyle w:val="a7"/>
        </w:rPr>
        <w:footnoteRef/>
      </w:r>
      <w:r>
        <w:rPr>
          <w:rtl/>
        </w:rPr>
        <w:t xml:space="preserve"> </w:t>
      </w:r>
      <w:r w:rsidRPr="00D4576C">
        <w:rPr>
          <w:rFonts w:cs="Arial"/>
          <w:rtl/>
        </w:rPr>
        <w:t xml:space="preserve">וכתב </w:t>
      </w:r>
      <w:r>
        <w:rPr>
          <w:rFonts w:cs="Arial" w:hint="cs"/>
          <w:rtl/>
        </w:rPr>
        <w:t>ד</w:t>
      </w:r>
      <w:r w:rsidRPr="00D4576C">
        <w:rPr>
          <w:rFonts w:cs="Arial"/>
          <w:rtl/>
        </w:rPr>
        <w:t>אפי' לכהונה אינו פוסל</w:t>
      </w:r>
      <w:r>
        <w:rPr>
          <w:rFonts w:hint="cs"/>
          <w:rtl/>
        </w:rPr>
        <w:t>, ב"ש (סק"ג).</w:t>
      </w:r>
    </w:p>
  </w:footnote>
  <w:footnote w:id="263">
    <w:p w14:paraId="3E668E7E" w14:textId="5C622AB5" w:rsidR="00C53505" w:rsidRDefault="00C53505">
      <w:pPr>
        <w:pStyle w:val="a5"/>
        <w:rPr>
          <w:rtl/>
        </w:rPr>
      </w:pPr>
      <w:r>
        <w:rPr>
          <w:rStyle w:val="a7"/>
        </w:rPr>
        <w:footnoteRef/>
      </w:r>
      <w:r>
        <w:rPr>
          <w:rtl/>
        </w:rPr>
        <w:t xml:space="preserve"> </w:t>
      </w:r>
      <w:r w:rsidRPr="005E486B">
        <w:rPr>
          <w:rFonts w:cs="Arial"/>
          <w:rtl/>
        </w:rPr>
        <w:t>ותימה דהא בגמרא (ע:) אמרינן דרבי יוחנן מדמי ליה לשוטה</w:t>
      </w:r>
      <w:r>
        <w:rPr>
          <w:rFonts w:cs="Arial" w:hint="cs"/>
          <w:rtl/>
        </w:rPr>
        <w:t>,</w:t>
      </w:r>
      <w:r w:rsidRPr="005E486B">
        <w:rPr>
          <w:rFonts w:cs="Arial"/>
          <w:rtl/>
        </w:rPr>
        <w:t xml:space="preserve"> וכל ענייני שוטה לית בהו מששא. ואפשר דכיון דריש לקיש אמר כותבין משום דמדמי ליה לישן</w:t>
      </w:r>
      <w:r>
        <w:rPr>
          <w:rFonts w:cs="Arial" w:hint="cs"/>
          <w:rtl/>
        </w:rPr>
        <w:t>,</w:t>
      </w:r>
      <w:r w:rsidRPr="005E486B">
        <w:rPr>
          <w:rFonts w:cs="Arial"/>
          <w:rtl/>
        </w:rPr>
        <w:t xml:space="preserve"> ליכא לפלוגי בין רבי יוחנן לריש לקיש כולי האי דלרבי יוחנן אם כתבו ונתנו אינו כלום ולריש לקיש אפילו לכתחלה כותבין</w:t>
      </w:r>
      <w:r w:rsidR="00D4576C">
        <w:rPr>
          <w:rFonts w:cs="Arial" w:hint="cs"/>
          <w:rtl/>
        </w:rPr>
        <w:t>,</w:t>
      </w:r>
      <w:r w:rsidRPr="005E486B">
        <w:rPr>
          <w:rFonts w:cs="Arial"/>
          <w:rtl/>
        </w:rPr>
        <w:t xml:space="preserve"> ומסתיין דנימא דלרבי יוחנן אם כתבו פסול מדרבנן. ואכתי קשה דבגמרא אמרינן דטעמא דלריש לקיש דאמר כותבין באחזו קורדייקוס משום דסמיה בידן</w:t>
      </w:r>
      <w:r>
        <w:rPr>
          <w:rFonts w:cs="Arial" w:hint="cs"/>
          <w:rtl/>
        </w:rPr>
        <w:t>,</w:t>
      </w:r>
      <w:r w:rsidRPr="005E486B">
        <w:rPr>
          <w:rFonts w:cs="Arial"/>
          <w:rtl/>
        </w:rPr>
        <w:t xml:space="preserve"> כלומר שרפואתו בידינו כדאיתא בגמרא</w:t>
      </w:r>
      <w:r>
        <w:rPr>
          <w:rFonts w:cs="Arial" w:hint="cs"/>
          <w:rtl/>
        </w:rPr>
        <w:t>,</w:t>
      </w:r>
      <w:r w:rsidRPr="005E486B">
        <w:rPr>
          <w:rFonts w:cs="Arial"/>
          <w:rtl/>
        </w:rPr>
        <w:t xml:space="preserve"> ומשום הכי מדמי ליה לישן ולא לשוטה</w:t>
      </w:r>
      <w:r>
        <w:rPr>
          <w:rFonts w:cs="Arial" w:hint="cs"/>
          <w:rtl/>
        </w:rPr>
        <w:t>,</w:t>
      </w:r>
      <w:r w:rsidRPr="005E486B">
        <w:rPr>
          <w:rFonts w:cs="Arial"/>
          <w:rtl/>
        </w:rPr>
        <w:t xml:space="preserve"> משמע דהיכא דלאו סמיה בידן כגון שאר אחוזי רוח רעה זולת קורדייקוס מודה ריש לקיש דלשוטה מדמינן להו</w:t>
      </w:r>
      <w:r>
        <w:rPr>
          <w:rFonts w:cs="Arial" w:hint="cs"/>
          <w:rtl/>
        </w:rPr>
        <w:t>.</w:t>
      </w:r>
      <w:r w:rsidRPr="005E486B">
        <w:rPr>
          <w:rFonts w:cs="Arial"/>
          <w:rtl/>
        </w:rPr>
        <w:t xml:space="preserve"> וכיון שכן אפילו לריש לקיש אם כתבו ונתנו קודם שיבריא אינו כלום</w:t>
      </w:r>
      <w:r>
        <w:rPr>
          <w:rFonts w:cs="Arial" w:hint="cs"/>
          <w:rtl/>
        </w:rPr>
        <w:t>.</w:t>
      </w:r>
      <w:r w:rsidRPr="005E486B">
        <w:rPr>
          <w:rFonts w:cs="Arial"/>
          <w:rtl/>
        </w:rPr>
        <w:t xml:space="preserve"> ואם כן הרמב"ם הוה ליה לפרושי דדוקא בדסמיה בידן הוא דפסול</w:t>
      </w:r>
      <w:r>
        <w:rPr>
          <w:rFonts w:cs="Arial" w:hint="cs"/>
          <w:rtl/>
        </w:rPr>
        <w:t>,</w:t>
      </w:r>
      <w:r w:rsidRPr="005E486B">
        <w:rPr>
          <w:rFonts w:cs="Arial"/>
          <w:rtl/>
        </w:rPr>
        <w:t xml:space="preserve"> אבל לאו סמיה בידן בטל נמי הוי</w:t>
      </w:r>
      <w:r>
        <w:rPr>
          <w:rFonts w:cs="Arial" w:hint="cs"/>
          <w:rtl/>
        </w:rPr>
        <w:t>.</w:t>
      </w:r>
      <w:r w:rsidRPr="005E486B">
        <w:rPr>
          <w:rFonts w:cs="Arial"/>
          <w:rtl/>
        </w:rPr>
        <w:t xml:space="preserve"> ועוד שלא הזכיר הרמב"ם (הי"ד) קורדייקוס אלא מי שהיה רוח רעה מבעתת אותו</w:t>
      </w:r>
      <w:r>
        <w:rPr>
          <w:rFonts w:cs="Arial" w:hint="cs"/>
          <w:rtl/>
        </w:rPr>
        <w:t>,</w:t>
      </w:r>
      <w:r w:rsidRPr="005E486B">
        <w:rPr>
          <w:rFonts w:cs="Arial"/>
          <w:rtl/>
        </w:rPr>
        <w:t xml:space="preserve"> ורוב המבועתים מרוח רעה לאו סמייהו בידן</w:t>
      </w:r>
      <w:r>
        <w:rPr>
          <w:rFonts w:cs="Arial" w:hint="cs"/>
          <w:rtl/>
        </w:rPr>
        <w:t xml:space="preserve">, </w:t>
      </w:r>
      <w:r w:rsidRPr="00EB48BD">
        <w:rPr>
          <w:rFonts w:cs="Arial" w:hint="cs"/>
          <w:b/>
          <w:bCs/>
          <w:rtl/>
        </w:rPr>
        <w:t>ב"י</w:t>
      </w:r>
      <w:r>
        <w:rPr>
          <w:rFonts w:cs="Arial" w:hint="cs"/>
          <w:rtl/>
        </w:rPr>
        <w:t>.</w:t>
      </w:r>
      <w:r>
        <w:rPr>
          <w:rFonts w:hint="cs"/>
          <w:rtl/>
        </w:rPr>
        <w:t xml:space="preserve"> </w:t>
      </w:r>
      <w:r w:rsidRPr="00C53505">
        <w:rPr>
          <w:rFonts w:hint="cs"/>
          <w:color w:val="E36C0A" w:themeColor="accent6" w:themeShade="BF"/>
          <w:rtl/>
        </w:rPr>
        <w:t>(וכ"פ בשו"ע)</w:t>
      </w:r>
      <w:r w:rsidR="00D3389A">
        <w:rPr>
          <w:rFonts w:hint="cs"/>
          <w:rtl/>
        </w:rPr>
        <w:t>.</w:t>
      </w:r>
      <w:r w:rsidR="00EB48BD">
        <w:rPr>
          <w:rFonts w:hint="cs"/>
          <w:rtl/>
        </w:rPr>
        <w:t xml:space="preserve">     </w:t>
      </w:r>
      <w:r w:rsidR="00D3389A">
        <w:rPr>
          <w:rFonts w:hint="cs"/>
          <w:rtl/>
        </w:rPr>
        <w:t xml:space="preserve"> אך </w:t>
      </w:r>
      <w:r w:rsidR="00D3389A" w:rsidRPr="00EB48BD">
        <w:rPr>
          <w:rFonts w:hint="cs"/>
          <w:b/>
          <w:bCs/>
          <w:rtl/>
        </w:rPr>
        <w:t>הב"ח הח"מ</w:t>
      </w:r>
      <w:r w:rsidR="00D3389A">
        <w:rPr>
          <w:rFonts w:hint="cs"/>
          <w:rtl/>
        </w:rPr>
        <w:t xml:space="preserve"> (סק"ב)</w:t>
      </w:r>
      <w:r w:rsidR="00D3389A" w:rsidRPr="00EB48BD">
        <w:rPr>
          <w:rFonts w:hint="cs"/>
          <w:b/>
          <w:bCs/>
          <w:rtl/>
        </w:rPr>
        <w:t xml:space="preserve"> והב"ש</w:t>
      </w:r>
      <w:r w:rsidR="00D3389A">
        <w:rPr>
          <w:rFonts w:hint="cs"/>
          <w:rtl/>
        </w:rPr>
        <w:t xml:space="preserve"> (סק"ג) חלקו על הב"י וכתבו </w:t>
      </w:r>
      <w:r w:rsidR="00D3389A">
        <w:rPr>
          <w:rFonts w:cs="Arial" w:hint="cs"/>
          <w:rtl/>
        </w:rPr>
        <w:t>ד</w:t>
      </w:r>
      <w:r w:rsidR="00D3389A" w:rsidRPr="00D3389A">
        <w:rPr>
          <w:rFonts w:cs="Arial"/>
          <w:rtl/>
        </w:rPr>
        <w:t>יותר מסתבר דהרמב"ם ס"ל כשהיה בדעתו בעת שצוה לכתוב אע</w:t>
      </w:r>
      <w:r w:rsidR="00EB48BD">
        <w:rPr>
          <w:rFonts w:cs="Arial" w:hint="cs"/>
          <w:rtl/>
        </w:rPr>
        <w:t>"</w:t>
      </w:r>
      <w:r w:rsidR="00D3389A" w:rsidRPr="00D3389A">
        <w:rPr>
          <w:rFonts w:cs="Arial"/>
          <w:rtl/>
        </w:rPr>
        <w:t>ג שנשתטה בעת הכתיבה ונתינה מדאורייתא מגורשת אלא מדרבנן פסול לכן אפי' לר' יוחנן אינו אלא פסול מדרבנן ואפי' אין סמי' בידו וכן כתב ב"ח וח"מ ובזה ניחא הא דאין צריך בדיקה כשנשחט בו רוב סימנים כמ"ש ס"ס ולא חיישינן שמא נשתטה אע</w:t>
      </w:r>
      <w:r w:rsidR="00A13557">
        <w:rPr>
          <w:rFonts w:cs="Arial" w:hint="cs"/>
          <w:rtl/>
        </w:rPr>
        <w:t>"</w:t>
      </w:r>
      <w:r w:rsidR="00D3389A" w:rsidRPr="00D3389A">
        <w:rPr>
          <w:rFonts w:cs="Arial"/>
          <w:rtl/>
        </w:rPr>
        <w:t>ג בעת שרמז לכתוב אין חשש כל כך שנשתטה כמ"ש בתו' מ"מ למה לא חיישינן שמא בעת הכתיבה ונתינה נשתט' אלא משום דאינו אלא מדרבנן לא חיישינן לזה</w:t>
      </w:r>
      <w:r w:rsidR="00D3389A">
        <w:rPr>
          <w:rFonts w:hint="cs"/>
          <w:sz w:val="14"/>
          <w:szCs w:val="14"/>
          <w:rtl/>
        </w:rPr>
        <w:t xml:space="preserve"> </w:t>
      </w:r>
      <w:r w:rsidR="00D3389A" w:rsidRPr="00D3389A">
        <w:rPr>
          <w:rFonts w:hint="cs"/>
          <w:sz w:val="16"/>
          <w:szCs w:val="16"/>
          <w:rtl/>
        </w:rPr>
        <w:t>(ל' הב"ש)</w:t>
      </w:r>
      <w:r w:rsidR="00D3389A">
        <w:rPr>
          <w:rFonts w:hint="cs"/>
          <w:rtl/>
        </w:rPr>
        <w:t>.</w:t>
      </w:r>
    </w:p>
  </w:footnote>
  <w:footnote w:id="264">
    <w:p w14:paraId="1DB03C6A" w14:textId="0868D427" w:rsidR="00D05D58" w:rsidRDefault="00D05D58">
      <w:pPr>
        <w:pStyle w:val="a5"/>
      </w:pPr>
      <w:r>
        <w:rPr>
          <w:rStyle w:val="a7"/>
        </w:rPr>
        <w:footnoteRef/>
      </w:r>
      <w:r>
        <w:rPr>
          <w:rtl/>
        </w:rPr>
        <w:t xml:space="preserve"> </w:t>
      </w:r>
      <w:r w:rsidRPr="00D05D58">
        <w:rPr>
          <w:rFonts w:cs="Arial"/>
          <w:rtl/>
        </w:rPr>
        <w:t>יפה כתב בב"ח דמאחר דר' יוחנן לית ליה סברא זו אין חילוק בין סמיה בידן לאין סמי' בידן וגם משמע דאין זו איסור דאורייתא אם לא היה בדעתו בשעת כתיבה מאחר שהיה בדעתו בשעת אמירה שאמר כתבו ותנו וגם ר"ל מודה היכא דאין סמיה בידן שאין זה רק איסור דרבנן אם כתבוהו קודם שנשתפה והכל תלוי באמירה לכתוב הגט שיהיה בדעתו ושישמעו מפיו אבל אם היה בדעתו בשעת אמירה אע</w:t>
      </w:r>
      <w:r w:rsidR="00D75043">
        <w:rPr>
          <w:rFonts w:cs="Arial" w:hint="cs"/>
          <w:rtl/>
        </w:rPr>
        <w:t>"</w:t>
      </w:r>
      <w:r w:rsidRPr="00D05D58">
        <w:rPr>
          <w:rFonts w:cs="Arial"/>
          <w:rtl/>
        </w:rPr>
        <w:t>פ שאח</w:t>
      </w:r>
      <w:r w:rsidR="00D75043">
        <w:rPr>
          <w:rFonts w:cs="Arial" w:hint="cs"/>
          <w:rtl/>
        </w:rPr>
        <w:t>"</w:t>
      </w:r>
      <w:r w:rsidRPr="00D05D58">
        <w:rPr>
          <w:rFonts w:cs="Arial"/>
          <w:rtl/>
        </w:rPr>
        <w:t>כ נשתטה שוטה גמור אפ"ה אפשר דאין פסול מן התורה רק מדרבנן וכן משמע מן הירושלמי שהביא הר"ן ע"כ מה שפסק כאן בחולי דאין סמיה בידן אינו גט דמשמע דהגט בטל מן התורה הפך דברי הרמב"ם שכתב הרי זה פסול ונמשך אחר דברי הטור שכתב אינו כלום ודבר זה צ"ע למעשה דלכאורה דברי הרמב"ם כנים</w:t>
      </w:r>
      <w:r>
        <w:rPr>
          <w:rFonts w:cs="Arial" w:hint="cs"/>
          <w:rtl/>
        </w:rPr>
        <w:t>, ח"מ (סק"ב).</w:t>
      </w:r>
    </w:p>
  </w:footnote>
  <w:footnote w:id="265">
    <w:p w14:paraId="05F3CF7E" w14:textId="4379F8A3" w:rsidR="003877BB" w:rsidRDefault="003877BB">
      <w:pPr>
        <w:pStyle w:val="a5"/>
        <w:rPr>
          <w:rtl/>
        </w:rPr>
      </w:pPr>
      <w:r>
        <w:rPr>
          <w:rStyle w:val="a7"/>
        </w:rPr>
        <w:footnoteRef/>
      </w:r>
      <w:r>
        <w:rPr>
          <w:rtl/>
        </w:rPr>
        <w:t xml:space="preserve"> </w:t>
      </w:r>
      <w:r>
        <w:rPr>
          <w:rFonts w:cs="Arial"/>
          <w:rtl/>
        </w:rPr>
        <w:t>ואפילו נשא כשהיה פקח לגמרי מגרש באותה שעה</w:t>
      </w:r>
      <w:r>
        <w:rPr>
          <w:rFonts w:cs="Arial" w:hint="cs"/>
          <w:rtl/>
        </w:rPr>
        <w:t>,</w:t>
      </w:r>
      <w:r>
        <w:rPr>
          <w:rFonts w:cs="Arial"/>
          <w:rtl/>
        </w:rPr>
        <w:t xml:space="preserve"> דהכי אמרינן בספ</w:t>
      </w:r>
      <w:r>
        <w:rPr>
          <w:rFonts w:cs="Arial" w:hint="cs"/>
          <w:rtl/>
        </w:rPr>
        <w:t>"</w:t>
      </w:r>
      <w:r>
        <w:rPr>
          <w:rFonts w:cs="Arial"/>
          <w:rtl/>
        </w:rPr>
        <w:t>ב דכתובות (כ.) ובפ</w:t>
      </w:r>
      <w:r>
        <w:rPr>
          <w:rFonts w:cs="Arial" w:hint="cs"/>
          <w:rtl/>
        </w:rPr>
        <w:t>"</w:t>
      </w:r>
      <w:r>
        <w:rPr>
          <w:rFonts w:cs="Arial"/>
          <w:rtl/>
        </w:rPr>
        <w:t>ג דראש השנה (כח.) דעתים חלים עתים שוטה כשהוא חלים כחלים לכל דבריו וכשהוא שוטה כשוטה לכל דבריו</w:t>
      </w:r>
      <w:r>
        <w:rPr>
          <w:rFonts w:cs="Arial" w:hint="cs"/>
          <w:rtl/>
        </w:rPr>
        <w:t>.</w:t>
      </w:r>
      <w:r>
        <w:rPr>
          <w:rFonts w:cs="Arial"/>
          <w:rtl/>
        </w:rPr>
        <w:t xml:space="preserve"> וכ</w:t>
      </w:r>
      <w:r>
        <w:rPr>
          <w:rFonts w:cs="Arial" w:hint="cs"/>
          <w:rtl/>
        </w:rPr>
        <w:t>"</w:t>
      </w:r>
      <w:r>
        <w:rPr>
          <w:rFonts w:cs="Arial"/>
          <w:rtl/>
        </w:rPr>
        <w:t xml:space="preserve">כ רבינו ירוחם </w:t>
      </w:r>
      <w:r>
        <w:rPr>
          <w:rFonts w:cs="Arial" w:hint="cs"/>
          <w:rtl/>
        </w:rPr>
        <w:t>(</w:t>
      </w:r>
      <w:r>
        <w:rPr>
          <w:rFonts w:cs="Arial"/>
          <w:rtl/>
        </w:rPr>
        <w:t>נכ"ב ח</w:t>
      </w:r>
      <w:r>
        <w:rPr>
          <w:rFonts w:cs="Arial" w:hint="cs"/>
          <w:rtl/>
        </w:rPr>
        <w:t>"</w:t>
      </w:r>
      <w:r>
        <w:rPr>
          <w:rFonts w:cs="Arial"/>
          <w:rtl/>
        </w:rPr>
        <w:t>ה קצ ע"ד) בשם הרמ"ה. וכתב עוד אם אין אנו יודעים בודאי הזמן שעומד בריא והזמן שהוא שוטה הוה ליה ספק</w:t>
      </w:r>
      <w:r>
        <w:rPr>
          <w:rFonts w:cs="Arial" w:hint="cs"/>
          <w:rtl/>
        </w:rPr>
        <w:t>.</w:t>
      </w:r>
      <w:r>
        <w:rPr>
          <w:rFonts w:cs="Arial"/>
          <w:rtl/>
        </w:rPr>
        <w:t xml:space="preserve"> ופשוט הוא</w:t>
      </w:r>
      <w:r>
        <w:rPr>
          <w:rFonts w:hint="cs"/>
          <w:rtl/>
        </w:rPr>
        <w:t>, ב"י.</w:t>
      </w:r>
    </w:p>
  </w:footnote>
  <w:footnote w:id="266">
    <w:p w14:paraId="11B187E5" w14:textId="1FA1D5E0" w:rsidR="005A31BB" w:rsidRDefault="005A31BB">
      <w:pPr>
        <w:pStyle w:val="a5"/>
      </w:pPr>
      <w:r>
        <w:rPr>
          <w:rStyle w:val="a7"/>
        </w:rPr>
        <w:footnoteRef/>
      </w:r>
      <w:r>
        <w:rPr>
          <w:rtl/>
        </w:rPr>
        <w:t xml:space="preserve"> </w:t>
      </w:r>
      <w:r w:rsidRPr="009A52B0">
        <w:rPr>
          <w:rFonts w:cs="Arial"/>
          <w:rtl/>
        </w:rPr>
        <w:t>ועיין במה שכתבתי בסי</w:t>
      </w:r>
      <w:r w:rsidR="00C261C3">
        <w:rPr>
          <w:rFonts w:cs="Arial" w:hint="cs"/>
          <w:rtl/>
        </w:rPr>
        <w:t>'</w:t>
      </w:r>
      <w:r w:rsidRPr="009A52B0">
        <w:rPr>
          <w:rFonts w:cs="Arial"/>
          <w:rtl/>
        </w:rPr>
        <w:t xml:space="preserve"> קיט </w:t>
      </w:r>
      <w:r>
        <w:rPr>
          <w:rFonts w:cs="Arial" w:hint="cs"/>
          <w:sz w:val="16"/>
          <w:szCs w:val="16"/>
          <w:rtl/>
        </w:rPr>
        <w:t>{סע' ו, שם מבואר דין אשה שהיא עתים שוטה עתים חלומה, אם ניתן לגרשה}</w:t>
      </w:r>
      <w:r w:rsidR="00C261C3">
        <w:rPr>
          <w:rFonts w:cs="Arial" w:hint="cs"/>
          <w:rtl/>
        </w:rPr>
        <w:t>,</w:t>
      </w:r>
      <w:r w:rsidRPr="009A52B0">
        <w:rPr>
          <w:rFonts w:cs="Arial"/>
          <w:rtl/>
        </w:rPr>
        <w:t xml:space="preserve"> וגם במה שאכתוב בסימן זה</w:t>
      </w:r>
      <w:r>
        <w:rPr>
          <w:rFonts w:cs="Arial" w:hint="cs"/>
          <w:sz w:val="16"/>
          <w:szCs w:val="16"/>
          <w:rtl/>
        </w:rPr>
        <w:t xml:space="preserve"> {סע' ו</w:t>
      </w:r>
      <w:r w:rsidR="00C261C3">
        <w:rPr>
          <w:rFonts w:cs="Arial" w:hint="cs"/>
          <w:sz w:val="16"/>
          <w:szCs w:val="16"/>
          <w:rtl/>
        </w:rPr>
        <w:t>, שם מבואר מהם סימני השוטה</w:t>
      </w:r>
      <w:r>
        <w:rPr>
          <w:rFonts w:cs="Arial" w:hint="cs"/>
          <w:sz w:val="16"/>
          <w:szCs w:val="16"/>
          <w:rtl/>
        </w:rPr>
        <w:t>}</w:t>
      </w:r>
      <w:r>
        <w:rPr>
          <w:rFonts w:cs="Arial" w:hint="cs"/>
          <w:rtl/>
        </w:rPr>
        <w:t>, ב"י.</w:t>
      </w:r>
    </w:p>
  </w:footnote>
  <w:footnote w:id="267">
    <w:p w14:paraId="508F23FC" w14:textId="134034AC" w:rsidR="00024D8F" w:rsidRDefault="00024D8F">
      <w:pPr>
        <w:pStyle w:val="a5"/>
      </w:pPr>
      <w:r>
        <w:rPr>
          <w:rStyle w:val="a7"/>
        </w:rPr>
        <w:footnoteRef/>
      </w:r>
      <w:r>
        <w:rPr>
          <w:rtl/>
        </w:rPr>
        <w:t xml:space="preserve"> </w:t>
      </w:r>
      <w:r w:rsidRPr="00024D8F">
        <w:rPr>
          <w:rFonts w:cs="Arial"/>
          <w:rtl/>
        </w:rPr>
        <w:t>היינו כשידוע הזמן כשהוא חלים אז דינו כפקח</w:t>
      </w:r>
      <w:r>
        <w:rPr>
          <w:rFonts w:cs="Arial" w:hint="cs"/>
          <w:rtl/>
        </w:rPr>
        <w:t>..., ב"ש (סק"ד).</w:t>
      </w:r>
    </w:p>
  </w:footnote>
  <w:footnote w:id="268">
    <w:p w14:paraId="0CADBC83" w14:textId="22003702" w:rsidR="00F31E57" w:rsidRDefault="00F31E57">
      <w:pPr>
        <w:pStyle w:val="a5"/>
        <w:rPr>
          <w:rtl/>
        </w:rPr>
      </w:pPr>
      <w:r>
        <w:rPr>
          <w:rStyle w:val="a7"/>
        </w:rPr>
        <w:footnoteRef/>
      </w:r>
      <w:r>
        <w:rPr>
          <w:rtl/>
        </w:rPr>
        <w:t xml:space="preserve"> </w:t>
      </w:r>
      <w:r>
        <w:rPr>
          <w:rFonts w:hint="cs"/>
          <w:rtl/>
        </w:rPr>
        <w:t xml:space="preserve">ונראה דאף לדבריהם, מי שהוא חלים זמן ארוך (למשל יומיים), ואח"כ שוטה לזמן </w:t>
      </w:r>
      <w:r w:rsidR="0075453E">
        <w:rPr>
          <w:rFonts w:hint="cs"/>
          <w:rtl/>
        </w:rPr>
        <w:t>(</w:t>
      </w:r>
      <w:r>
        <w:rPr>
          <w:rFonts w:hint="cs"/>
          <w:rtl/>
        </w:rPr>
        <w:t>ארוך או קצר</w:t>
      </w:r>
      <w:r w:rsidR="0075453E">
        <w:rPr>
          <w:rFonts w:hint="cs"/>
          <w:rtl/>
        </w:rPr>
        <w:t>)</w:t>
      </w:r>
      <w:r>
        <w:rPr>
          <w:rFonts w:hint="cs"/>
          <w:rtl/>
        </w:rPr>
        <w:t xml:space="preserve">, כיון שכך הוא בדר"כ </w:t>
      </w:r>
      <w:r w:rsidR="0075453E">
        <w:rPr>
          <w:rFonts w:hint="cs"/>
          <w:rtl/>
        </w:rPr>
        <w:t xml:space="preserve">(ג' פעמים) </w:t>
      </w:r>
      <w:r>
        <w:rPr>
          <w:rFonts w:hint="cs"/>
          <w:rtl/>
        </w:rPr>
        <w:t xml:space="preserve">יש להחשיב את היום וחצי (לפחות) שבתוך היומיים של חלימותו </w:t>
      </w:r>
      <w:r w:rsidR="00A42812">
        <w:rPr>
          <w:rtl/>
        </w:rPr>
        <w:t>-</w:t>
      </w:r>
      <w:r>
        <w:rPr>
          <w:rFonts w:hint="cs"/>
          <w:rtl/>
        </w:rPr>
        <w:t xml:space="preserve"> לזמן קבוע. כמו בוסתות. כן נראה לי.</w:t>
      </w:r>
    </w:p>
  </w:footnote>
  <w:footnote w:id="269">
    <w:p w14:paraId="51E1D5EB" w14:textId="16BC9A64" w:rsidR="00F31E57" w:rsidRDefault="00F31E57">
      <w:pPr>
        <w:pStyle w:val="a5"/>
        <w:rPr>
          <w:rtl/>
        </w:rPr>
      </w:pPr>
      <w:r>
        <w:rPr>
          <w:rStyle w:val="a7"/>
        </w:rPr>
        <w:footnoteRef/>
      </w:r>
      <w:r>
        <w:rPr>
          <w:rtl/>
        </w:rPr>
        <w:t xml:space="preserve"> </w:t>
      </w:r>
      <w:r>
        <w:rPr>
          <w:rFonts w:hint="cs"/>
          <w:rtl/>
        </w:rPr>
        <w:t>וכן משמע לי בח"מ (סק"ג, וגם הבאה"ט [סק"ג] הפנה לעיין בדבריו אחרי שהביא את דברי הב"ש) ממה שכתב בתחילת דבריו לגבי אשה שהיא עתים חלומה עתים שוטה. ומה שכתבו בסוף דברו 'לשעתו' - אינו לאפוקי זמן קבוע.</w:t>
      </w:r>
    </w:p>
  </w:footnote>
  <w:footnote w:id="270">
    <w:p w14:paraId="1635D3FD" w14:textId="693F8F27" w:rsidR="00A8308A" w:rsidRDefault="00A8308A">
      <w:pPr>
        <w:pStyle w:val="a5"/>
        <w:rPr>
          <w:rtl/>
        </w:rPr>
      </w:pPr>
      <w:r>
        <w:rPr>
          <w:rStyle w:val="a7"/>
        </w:rPr>
        <w:footnoteRef/>
      </w:r>
      <w:r>
        <w:rPr>
          <w:rtl/>
        </w:rPr>
        <w:t xml:space="preserve"> </w:t>
      </w:r>
      <w:r w:rsidRPr="0038333D">
        <w:rPr>
          <w:rFonts w:cs="Arial"/>
          <w:rtl/>
        </w:rPr>
        <w:t>ועיין בתשו' חת</w:t>
      </w:r>
      <w:r>
        <w:rPr>
          <w:rFonts w:cs="Arial" w:hint="cs"/>
          <w:rtl/>
        </w:rPr>
        <w:t>"</w:t>
      </w:r>
      <w:r w:rsidRPr="0038333D">
        <w:rPr>
          <w:rFonts w:cs="Arial"/>
          <w:rtl/>
        </w:rPr>
        <w:t xml:space="preserve">ס </w:t>
      </w:r>
      <w:r w:rsidRPr="00A8308A">
        <w:rPr>
          <w:rFonts w:cs="Arial" w:hint="cs"/>
          <w:sz w:val="16"/>
          <w:szCs w:val="16"/>
          <w:rtl/>
        </w:rPr>
        <w:t>(</w:t>
      </w:r>
      <w:r w:rsidRPr="00A8308A">
        <w:rPr>
          <w:rFonts w:cs="Arial"/>
          <w:sz w:val="16"/>
          <w:szCs w:val="16"/>
          <w:rtl/>
        </w:rPr>
        <w:t>חיו"ד סי' ז</w:t>
      </w:r>
      <w:r w:rsidRPr="00A8308A">
        <w:rPr>
          <w:rFonts w:cs="Arial" w:hint="cs"/>
          <w:sz w:val="16"/>
          <w:szCs w:val="16"/>
          <w:rtl/>
        </w:rPr>
        <w:t>)</w:t>
      </w:r>
      <w:r w:rsidRPr="0038333D">
        <w:rPr>
          <w:rFonts w:cs="Arial"/>
          <w:rtl/>
        </w:rPr>
        <w:t xml:space="preserve"> דרב אחד הקשה לו דמדברי הב"ש משמע דוקא מי שיש לו וסת לחלימותו גיטו גט אבל אם אין לו זמן ידוע אפילו היה חלים לא מהני וא"כ גט חמור מעדות (נראה דכוונתו עמ"ש בש"ע ח"מ סי' ל"ה סעיף ט' הנכפה בעת שהוא בריא כשר אחד הנכפה מזמן לזמן או הנכפה תמיד בלא עת קבוע כו') ובש"ע היקל בגט מבעדות דבגט א"צ לחזור לשפיותו לגמרי וסגי בסוף שטותו והתחלת שפיותו (ר"ל ממ"ש בש"ע כאן ואפי' חלים בעלמא כו' ואילו גבי עדות איתא בש"ע שם וצריך להתיישב כו' והיינו כמ"ש בש"ע שם סי' רל"ה סכ"א וצריכים העדים לחקור הדבר היטב שמא בסוף שטותו כו' ועסמ"ע שם). והוא ז"ל השיב לו דלק"מ ד</w:t>
      </w:r>
      <w:r>
        <w:rPr>
          <w:rFonts w:hint="cs"/>
          <w:rtl/>
        </w:rPr>
        <w:t>-...</w:t>
      </w:r>
    </w:p>
  </w:footnote>
  <w:footnote w:id="271">
    <w:p w14:paraId="50BBC0B4" w14:textId="5478BC14" w:rsidR="00D255FE" w:rsidRDefault="00D255FE">
      <w:pPr>
        <w:pStyle w:val="a5"/>
      </w:pPr>
      <w:r>
        <w:rPr>
          <w:rStyle w:val="a7"/>
        </w:rPr>
        <w:footnoteRef/>
      </w:r>
      <w:r>
        <w:rPr>
          <w:rtl/>
        </w:rPr>
        <w:t xml:space="preserve"> </w:t>
      </w:r>
      <w:r w:rsidRPr="0038333D">
        <w:rPr>
          <w:rFonts w:cs="Arial"/>
          <w:rtl/>
        </w:rPr>
        <w:t>ועיין בזה היטב ר"פ מי שאחזו</w:t>
      </w:r>
      <w:r w:rsidRPr="0038333D">
        <w:rPr>
          <w:rFonts w:cs="Arial" w:hint="cs"/>
          <w:rtl/>
        </w:rPr>
        <w:t>,</w:t>
      </w:r>
      <w:r w:rsidRPr="0038333D">
        <w:rPr>
          <w:rFonts w:cs="Arial"/>
          <w:rtl/>
        </w:rPr>
        <w:t xml:space="preserve"> ומזה מיירי בש"ע בסעיפים שלפני זה</w:t>
      </w:r>
      <w:r w:rsidRPr="0038333D">
        <w:rPr>
          <w:rFonts w:cs="Arial" w:hint="cs"/>
          <w:rtl/>
        </w:rPr>
        <w:t>.</w:t>
      </w:r>
      <w:r w:rsidRPr="0038333D">
        <w:rPr>
          <w:rFonts w:cs="Arial"/>
          <w:rtl/>
        </w:rPr>
        <w:t xml:space="preserve"> וע"ז קאי הב"ש</w:t>
      </w:r>
      <w:r w:rsidRPr="0038333D">
        <w:rPr>
          <w:rFonts w:cs="Arial" w:hint="cs"/>
          <w:rtl/>
        </w:rPr>
        <w:t>,</w:t>
      </w:r>
      <w:r w:rsidRPr="0038333D">
        <w:rPr>
          <w:rFonts w:cs="Arial"/>
          <w:rtl/>
        </w:rPr>
        <w:t xml:space="preserve"> ול</w:t>
      </w:r>
      <w:r>
        <w:rPr>
          <w:rFonts w:cs="Arial" w:hint="cs"/>
          <w:rtl/>
        </w:rPr>
        <w:t xml:space="preserve">א קשיא מידי, חת"ס (שם). וכתב הפת"ש (סק"ב)- </w:t>
      </w:r>
      <w:r w:rsidRPr="00A8308A">
        <w:rPr>
          <w:rFonts w:cs="Arial"/>
          <w:rtl/>
        </w:rPr>
        <w:t>ולא זכיתי להבין דבריו הקדושים</w:t>
      </w:r>
      <w:r>
        <w:rPr>
          <w:rFonts w:cs="Arial" w:hint="cs"/>
          <w:rtl/>
        </w:rPr>
        <w:t>,</w:t>
      </w:r>
      <w:r w:rsidRPr="00A8308A">
        <w:rPr>
          <w:rFonts w:cs="Arial"/>
          <w:rtl/>
        </w:rPr>
        <w:t xml:space="preserve"> דלכאורה נראה שדברי הב"ש הנ"ל לקוחים מדברי רי"ו בשם הרמ"ה הובא בב"י סי' זה (וגם לעיל ר"ס מ"ד ובש"ע שם ס"ב </w:t>
      </w:r>
      <w:r w:rsidR="009334FF">
        <w:rPr>
          <w:rFonts w:cs="Arial"/>
          <w:rtl/>
        </w:rPr>
        <w:t>בהג"ה</w:t>
      </w:r>
      <w:r w:rsidRPr="00A8308A">
        <w:rPr>
          <w:rFonts w:cs="Arial"/>
          <w:rtl/>
        </w:rPr>
        <w:t xml:space="preserve">) שכ' </w:t>
      </w:r>
      <w:r w:rsidR="000A0F5A">
        <w:rPr>
          <w:rFonts w:cs="Arial"/>
          <w:rtl/>
        </w:rPr>
        <w:t>וז"ל:</w:t>
      </w:r>
      <w:r w:rsidRPr="00A8308A">
        <w:rPr>
          <w:rFonts w:cs="Arial"/>
          <w:rtl/>
        </w:rPr>
        <w:t xml:space="preserve"> אין אנו יודעים בודאי הזמן שהוא עומד בריא והזמן שהוא שוטה הו"ל ספק ופשוט הוא עכ"ל</w:t>
      </w:r>
      <w:r>
        <w:rPr>
          <w:rFonts w:cs="Arial" w:hint="cs"/>
          <w:rtl/>
        </w:rPr>
        <w:t>.</w:t>
      </w:r>
      <w:r w:rsidRPr="00A8308A">
        <w:rPr>
          <w:rFonts w:cs="Arial"/>
          <w:rtl/>
        </w:rPr>
        <w:t xml:space="preserve"> ומפרש הב"ש דכוונתו אפי' אם בדקנוהו וראינו שהוא חלים בשעה שציוה לכתוב אפ"ה כל שאין לו זמן ידוע הוא ספק (דאל"כ הוא מלתא דפשיטא טובא לא היה צריך לכותבו כלל)</w:t>
      </w:r>
      <w:r>
        <w:rPr>
          <w:rFonts w:cs="Arial" w:hint="cs"/>
          <w:rtl/>
        </w:rPr>
        <w:t>.</w:t>
      </w:r>
      <w:r w:rsidRPr="00A8308A">
        <w:rPr>
          <w:rFonts w:cs="Arial"/>
          <w:rtl/>
        </w:rPr>
        <w:t xml:space="preserve"> והיינו משום דחיישינן שמא רגע אחר הבדיקה נתקלקל</w:t>
      </w:r>
      <w:r>
        <w:rPr>
          <w:rFonts w:cs="Arial" w:hint="cs"/>
          <w:rtl/>
        </w:rPr>
        <w:t>.</w:t>
      </w:r>
      <w:r w:rsidRPr="00A8308A">
        <w:rPr>
          <w:rFonts w:cs="Arial"/>
          <w:rtl/>
        </w:rPr>
        <w:t xml:space="preserve"> וזה דבר בלתי אפשר שיהא עומד בבדיקה מתחילת כתיבת הגט עד אחר גמר נתינתו</w:t>
      </w:r>
      <w:r>
        <w:rPr>
          <w:rFonts w:cs="Arial" w:hint="cs"/>
          <w:rtl/>
        </w:rPr>
        <w:t>.</w:t>
      </w:r>
      <w:r w:rsidRPr="00A8308A">
        <w:rPr>
          <w:rFonts w:cs="Arial"/>
          <w:rtl/>
        </w:rPr>
        <w:t xml:space="preserve"> וכן מבואר עוד בב"י בשם בעל העיטור במ"ש ואיכא מ"ד נשתתק ספק שוטה</w:t>
      </w:r>
      <w:r w:rsidRPr="00A8308A">
        <w:rPr>
          <w:rFonts w:cs="Arial" w:hint="cs"/>
          <w:rtl/>
        </w:rPr>
        <w:t>,</w:t>
      </w:r>
      <w:r w:rsidRPr="00A8308A">
        <w:rPr>
          <w:rFonts w:cs="Arial"/>
          <w:rtl/>
        </w:rPr>
        <w:t xml:space="preserve"> ולא דייק לן דאם איתא כי בדקינן ג' זימני מאי הוה ליחוש דילמא פקח ונשתטה הוא ולעולם יהא צריך בדיקה עד שיגיע גט לידה כו'</w:t>
      </w:r>
      <w:r w:rsidRPr="00A8308A">
        <w:rPr>
          <w:rFonts w:cs="Arial" w:hint="cs"/>
          <w:rtl/>
        </w:rPr>
        <w:t>.</w:t>
      </w:r>
      <w:r w:rsidRPr="00A8308A">
        <w:rPr>
          <w:rFonts w:cs="Arial"/>
          <w:rtl/>
        </w:rPr>
        <w:t xml:space="preserve"> וכן מבואר עוד להדיא מדברי הב"י גבי אלם</w:t>
      </w:r>
      <w:r>
        <w:rPr>
          <w:rFonts w:cs="Arial" w:hint="cs"/>
          <w:rtl/>
        </w:rPr>
        <w:t>,</w:t>
      </w:r>
      <w:r w:rsidRPr="00A8308A">
        <w:rPr>
          <w:rFonts w:cs="Arial"/>
          <w:rtl/>
        </w:rPr>
        <w:t xml:space="preserve"> והביא שם ראיה מסוגיא דר"פ חרש דאיתא התם דאי אמרת לר"א חרש עתים חלים ועתים שוטה קדושי מצי מקדש גרושי לא מצי מגרש ואם איתא הא מצי לגרש ע"י בדיקה</w:t>
      </w:r>
      <w:r>
        <w:rPr>
          <w:rFonts w:cs="Arial" w:hint="cs"/>
          <w:rtl/>
        </w:rPr>
        <w:t>,</w:t>
      </w:r>
      <w:r w:rsidRPr="00A8308A">
        <w:rPr>
          <w:rFonts w:cs="Arial"/>
          <w:rtl/>
        </w:rPr>
        <w:t xml:space="preserve"> א</w:t>
      </w:r>
      <w:r>
        <w:rPr>
          <w:rFonts w:cs="Arial" w:hint="cs"/>
          <w:rtl/>
        </w:rPr>
        <w:t>לא ודאי</w:t>
      </w:r>
      <w:r w:rsidRPr="00A8308A">
        <w:rPr>
          <w:rFonts w:cs="Arial"/>
          <w:rtl/>
        </w:rPr>
        <w:t xml:space="preserve"> דבע</w:t>
      </w:r>
      <w:r>
        <w:rPr>
          <w:rFonts w:cs="Arial" w:hint="cs"/>
          <w:rtl/>
        </w:rPr>
        <w:t xml:space="preserve">יתים </w:t>
      </w:r>
      <w:r w:rsidRPr="00A8308A">
        <w:rPr>
          <w:rFonts w:cs="Arial"/>
          <w:rtl/>
        </w:rPr>
        <w:t>ח</w:t>
      </w:r>
      <w:r>
        <w:rPr>
          <w:rFonts w:cs="Arial" w:hint="cs"/>
          <w:rtl/>
        </w:rPr>
        <w:t>לים</w:t>
      </w:r>
      <w:r w:rsidRPr="00A8308A">
        <w:rPr>
          <w:rFonts w:cs="Arial"/>
          <w:rtl/>
        </w:rPr>
        <w:t xml:space="preserve"> וע</w:t>
      </w:r>
      <w:r>
        <w:rPr>
          <w:rFonts w:cs="Arial" w:hint="cs"/>
          <w:rtl/>
        </w:rPr>
        <w:t xml:space="preserve">יתים </w:t>
      </w:r>
      <w:r w:rsidRPr="00A8308A">
        <w:rPr>
          <w:rFonts w:cs="Arial"/>
          <w:rtl/>
        </w:rPr>
        <w:t>ש</w:t>
      </w:r>
      <w:r>
        <w:rPr>
          <w:rFonts w:cs="Arial" w:hint="cs"/>
          <w:rtl/>
        </w:rPr>
        <w:t>וטה</w:t>
      </w:r>
      <w:r w:rsidRPr="00A8308A">
        <w:rPr>
          <w:rFonts w:cs="Arial"/>
          <w:rtl/>
        </w:rPr>
        <w:t xml:space="preserve"> אינו מועיל בדיקה ע"ש. ומכל זה מבואר דאפי' אם מגרש בעצמו כל שאין לו וסת וזמן ידוע לחלימותו אפי' בדיקה לא מהני</w:t>
      </w:r>
      <w:r>
        <w:rPr>
          <w:rFonts w:cs="Arial" w:hint="cs"/>
          <w:rtl/>
        </w:rPr>
        <w:t>,</w:t>
      </w:r>
      <w:r w:rsidRPr="00A8308A">
        <w:rPr>
          <w:rFonts w:cs="Arial"/>
          <w:rtl/>
        </w:rPr>
        <w:t xml:space="preserve"> והיינו משום דחיישי' שמא יתקלקל</w:t>
      </w:r>
      <w:r>
        <w:rPr>
          <w:rFonts w:cs="Arial" w:hint="cs"/>
          <w:rtl/>
        </w:rPr>
        <w:t>.</w:t>
      </w:r>
    </w:p>
  </w:footnote>
  <w:footnote w:id="272">
    <w:p w14:paraId="6AE3F36F" w14:textId="2F6C35DD" w:rsidR="00180813" w:rsidRDefault="00180813">
      <w:pPr>
        <w:pStyle w:val="a5"/>
      </w:pPr>
      <w:r>
        <w:rPr>
          <w:rStyle w:val="a7"/>
        </w:rPr>
        <w:footnoteRef/>
      </w:r>
      <w:r>
        <w:rPr>
          <w:rtl/>
        </w:rPr>
        <w:t xml:space="preserve"> </w:t>
      </w:r>
      <w:r>
        <w:rPr>
          <w:rFonts w:hint="cs"/>
          <w:rtl/>
        </w:rPr>
        <w:t xml:space="preserve">ז"ל הפת"ש בשמו- </w:t>
      </w:r>
      <w:r w:rsidRPr="00180813">
        <w:rPr>
          <w:rFonts w:cs="Arial"/>
          <w:rtl/>
        </w:rPr>
        <w:t>שוב נדפס תשובת מהרי"מ מבריסק</w:t>
      </w:r>
      <w:r>
        <w:rPr>
          <w:rFonts w:cs="Arial" w:hint="cs"/>
          <w:rtl/>
        </w:rPr>
        <w:t>,</w:t>
      </w:r>
      <w:r w:rsidRPr="00180813">
        <w:rPr>
          <w:rFonts w:cs="Arial"/>
          <w:rtl/>
        </w:rPr>
        <w:t xml:space="preserve"> וראיתי בסי' ל' האריך שם בדברי הב"ש הנ"ל והביא דברי הפר"ח שכ' לדחות ראיה הנ"ל מסוגיא דר"פ חרש די"ל כוונת הש"ס דגרושי לא מצי מגרש היינו כדרך המגרשין דהיינו בלא בדיקה אבל בבדיקה מועיל</w:t>
      </w:r>
      <w:r>
        <w:rPr>
          <w:rFonts w:cs="Arial" w:hint="cs"/>
          <w:rtl/>
        </w:rPr>
        <w:t>.</w:t>
      </w:r>
      <w:r w:rsidRPr="00180813">
        <w:rPr>
          <w:rFonts w:cs="Arial"/>
          <w:rtl/>
        </w:rPr>
        <w:t xml:space="preserve"> והוא ז"ל כ' ג"כ לדחות ראיה הנ"ל. וכ' שם דבאמת אינו מוכרע כ"כ דבע"ח וע"ש לא תועיל בדיקה ומצד הסברא נראה דמועיל ולא חיישינן שמא יתקלקל אח"כ דמוקמינן ליה אחזקתו דהיינו חזקה דאתיא מכח רובא דרוב ב"א אינם שוטים וסברא זו דמועיל בדיקה מוכרח בדעת גדולי הפוסקים שהביא הב"ש בסק"ט דס"ל דאלם מעיקרא כשמוציא את אשתו בגט בעי בדיקה ויקשה קושיית הב"י דאיך מועיל בדיקה הא יש לחוש דאחר הבדיקה יתקלקל א"ו דלא חיישי' להא (איני מבין דהא מכלל אלו הפוסקים הוא ג"כ הרי"ו וא"כ יהיו דבריו סותרין זא"ז) וכן נראה דעת הרמב"ם (הועתק לשונו בח"מ סי' ל"ה ס"ח) במ"ש ונמצאת דעתו משובשת תמיד דיוק לשונו מורה לאפוקי הך דינא דרי"ו וכן מורה בפשיטות ל' הרשב"א שהביא הב"י בתחלת סי' זה והאריך בזה (וקצת נראה מדבריו שמדקדק מלשון הרמב"ם והרשב"א דאפי' בדיקה א"צ רק כ"ז דלא חזינן ביה מעשה שטות ומתנהג כדרך כל אדם לא חיישי' ליה בעת ההיא) ע"ש</w:t>
      </w:r>
      <w:r>
        <w:rPr>
          <w:rFonts w:cs="Arial" w:hint="cs"/>
          <w:rtl/>
        </w:rPr>
        <w:t>.</w:t>
      </w:r>
    </w:p>
  </w:footnote>
  <w:footnote w:id="273">
    <w:p w14:paraId="748825DD" w14:textId="1E975EDD" w:rsidR="00953E7B" w:rsidRPr="00953E7B" w:rsidRDefault="00953E7B" w:rsidP="00953E7B">
      <w:pPr>
        <w:pStyle w:val="a5"/>
        <w:rPr>
          <w:rFonts w:cs="Arial"/>
          <w:rtl/>
        </w:rPr>
      </w:pPr>
      <w:r>
        <w:rPr>
          <w:rStyle w:val="a7"/>
        </w:rPr>
        <w:footnoteRef/>
      </w:r>
      <w:r>
        <w:rPr>
          <w:rtl/>
        </w:rPr>
        <w:t xml:space="preserve"> </w:t>
      </w:r>
      <w:r w:rsidRPr="0038333D">
        <w:rPr>
          <w:rFonts w:cs="Arial"/>
          <w:rtl/>
        </w:rPr>
        <w:t>וע' עוד בת' חתם סופר שם מ"ש בענין דברי הרמב"ם שהובא בח"מ סי' רל"ה סכ"א אודות הנכפים שצריכים העדים לחקור הדבר היטב שמא בסוף שפיותו כו' ומדבריו מבואר דכ"ש בגט יש לדקדק בזה שלא יארע לו דבר זה גם אחר הנתינה ערך חצי שעה. וגם בגט הנשלח ע"י שליח למקום אחר יש לדקדק בזה</w:t>
      </w:r>
      <w:r>
        <w:rPr>
          <w:rFonts w:hint="cs"/>
          <w:rtl/>
        </w:rPr>
        <w:t>, פת"ש (סק"ב).</w:t>
      </w:r>
    </w:p>
  </w:footnote>
  <w:footnote w:id="274">
    <w:p w14:paraId="3C884E22" w14:textId="1F667F46" w:rsidR="00EF4277" w:rsidRDefault="00EF4277">
      <w:pPr>
        <w:pStyle w:val="a5"/>
      </w:pPr>
      <w:r>
        <w:rPr>
          <w:rStyle w:val="a7"/>
        </w:rPr>
        <w:footnoteRef/>
      </w:r>
      <w:r>
        <w:rPr>
          <w:rtl/>
        </w:rPr>
        <w:t xml:space="preserve"> </w:t>
      </w:r>
      <w:r w:rsidRPr="0075453E">
        <w:rPr>
          <w:rFonts w:cs="Arial"/>
          <w:rtl/>
        </w:rPr>
        <w:t xml:space="preserve">גם בס' תו"ג </w:t>
      </w:r>
      <w:r w:rsidR="00C36046">
        <w:rPr>
          <w:rFonts w:cs="Arial" w:hint="cs"/>
          <w:rtl/>
        </w:rPr>
        <w:t>(</w:t>
      </w:r>
      <w:r w:rsidRPr="0075453E">
        <w:rPr>
          <w:rFonts w:cs="Arial"/>
          <w:rtl/>
        </w:rPr>
        <w:t>כאן סק"ב</w:t>
      </w:r>
      <w:r w:rsidR="00C36046">
        <w:rPr>
          <w:rFonts w:cs="Arial" w:hint="cs"/>
          <w:rtl/>
        </w:rPr>
        <w:t>)</w:t>
      </w:r>
      <w:r w:rsidRPr="0075453E">
        <w:rPr>
          <w:rFonts w:cs="Arial"/>
          <w:rtl/>
        </w:rPr>
        <w:t xml:space="preserve"> הזכיר דברי מהרי"ט אלו</w:t>
      </w:r>
      <w:r w:rsidR="00C36046">
        <w:rPr>
          <w:rFonts w:cs="Arial" w:hint="cs"/>
          <w:rtl/>
        </w:rPr>
        <w:t>,</w:t>
      </w:r>
      <w:r w:rsidRPr="0075453E">
        <w:rPr>
          <w:rFonts w:cs="Arial"/>
          <w:rtl/>
        </w:rPr>
        <w:t xml:space="preserve"> וכ' עליו דלכאורה הראיה שהביא מהרי"ט שם מהא דפ' מי שמת שמכר נכסים ואלפוהי דנישדי קשייתא כו' משם מוכח איפכא דהא מסיק שם דהא דעביד הכי חוצפא יתירה כו' משמע דאי לא היה לן למיתלי משום חוצפא היו מחזיקין אותו בשוטה אף דמסברי ליה וסבר אך מי יבא אחר המהרי"ט עכ"ד</w:t>
      </w:r>
      <w:r w:rsidR="00C36046">
        <w:rPr>
          <w:rFonts w:cs="Arial" w:hint="cs"/>
          <w:rtl/>
        </w:rPr>
        <w:t>.</w:t>
      </w:r>
      <w:r w:rsidRPr="0075453E">
        <w:rPr>
          <w:rFonts w:cs="Arial"/>
          <w:rtl/>
        </w:rPr>
        <w:t xml:space="preserve"> וע' עוד בתו"ג ס"ס זה מ"ש בענין סימני שוטה</w:t>
      </w:r>
      <w:r>
        <w:rPr>
          <w:rFonts w:cs="Arial" w:hint="cs"/>
          <w:rtl/>
        </w:rPr>
        <w:t>, פת"ש (שם).</w:t>
      </w:r>
    </w:p>
  </w:footnote>
  <w:footnote w:id="275">
    <w:p w14:paraId="37D25715" w14:textId="44B0E67C" w:rsidR="009846C2" w:rsidRDefault="009846C2">
      <w:pPr>
        <w:pStyle w:val="a5"/>
      </w:pPr>
      <w:r>
        <w:rPr>
          <w:rStyle w:val="a7"/>
        </w:rPr>
        <w:footnoteRef/>
      </w:r>
      <w:r>
        <w:rPr>
          <w:rtl/>
        </w:rPr>
        <w:t xml:space="preserve"> </w:t>
      </w:r>
      <w:r w:rsidRPr="009846C2">
        <w:rPr>
          <w:rFonts w:cs="Arial"/>
          <w:rtl/>
        </w:rPr>
        <w:t>מחותך בחתיכות לשון גודו אילנא (דניאל ד)</w:t>
      </w:r>
      <w:r>
        <w:rPr>
          <w:rFonts w:cs="Arial" w:hint="cs"/>
          <w:rtl/>
        </w:rPr>
        <w:t>, רש"י.</w:t>
      </w:r>
    </w:p>
  </w:footnote>
  <w:footnote w:id="276">
    <w:p w14:paraId="42D6FFAE" w14:textId="02D278AB" w:rsidR="009846C2" w:rsidRDefault="009846C2">
      <w:pPr>
        <w:pStyle w:val="a5"/>
      </w:pPr>
      <w:r>
        <w:rPr>
          <w:rStyle w:val="a7"/>
        </w:rPr>
        <w:footnoteRef/>
      </w:r>
      <w:r>
        <w:rPr>
          <w:rtl/>
        </w:rPr>
        <w:t xml:space="preserve"> </w:t>
      </w:r>
      <w:r w:rsidRPr="009846C2">
        <w:rPr>
          <w:rFonts w:cs="Arial"/>
          <w:rtl/>
        </w:rPr>
        <w:t>צלולה היה דעתו אלא שכחש כחו מלהוציא דבר בפיו</w:t>
      </w:r>
      <w:r>
        <w:rPr>
          <w:rFonts w:cs="Arial" w:hint="cs"/>
          <w:rtl/>
        </w:rPr>
        <w:t>, רש"י.</w:t>
      </w:r>
    </w:p>
  </w:footnote>
  <w:footnote w:id="277">
    <w:p w14:paraId="49290A8B" w14:textId="64C25072" w:rsidR="009846C2" w:rsidRDefault="009846C2">
      <w:pPr>
        <w:pStyle w:val="a5"/>
        <w:rPr>
          <w:rtl/>
        </w:rPr>
      </w:pPr>
      <w:r>
        <w:rPr>
          <w:rStyle w:val="a7"/>
        </w:rPr>
        <w:footnoteRef/>
      </w:r>
      <w:r>
        <w:rPr>
          <w:rtl/>
        </w:rPr>
        <w:t xml:space="preserve"> </w:t>
      </w:r>
      <w:r w:rsidRPr="009846C2">
        <w:rPr>
          <w:rFonts w:cs="Arial"/>
          <w:rtl/>
        </w:rPr>
        <w:t>תרגום של מהומה כלומר דעת מבולבל</w:t>
      </w:r>
      <w:r>
        <w:rPr>
          <w:rFonts w:hint="cs"/>
          <w:rtl/>
        </w:rPr>
        <w:t>, רש"י.</w:t>
      </w:r>
    </w:p>
  </w:footnote>
  <w:footnote w:id="278">
    <w:p w14:paraId="28E17DA5" w14:textId="01C777FE" w:rsidR="001A280F" w:rsidRDefault="001A280F">
      <w:pPr>
        <w:pStyle w:val="a5"/>
      </w:pPr>
      <w:r>
        <w:rPr>
          <w:rStyle w:val="a7"/>
        </w:rPr>
        <w:footnoteRef/>
      </w:r>
      <w:r>
        <w:rPr>
          <w:rtl/>
        </w:rPr>
        <w:t xml:space="preserve"> </w:t>
      </w:r>
      <w:r w:rsidRPr="004A69A4">
        <w:rPr>
          <w:rFonts w:cs="Arial"/>
          <w:rtl/>
        </w:rPr>
        <w:t>האי זהירות</w:t>
      </w:r>
      <w:r>
        <w:rPr>
          <w:rFonts w:cs="Arial" w:hint="cs"/>
          <w:sz w:val="16"/>
          <w:szCs w:val="16"/>
          <w:rtl/>
        </w:rPr>
        <w:t xml:space="preserve"> {דכתב הרא"ש בסדר הגט, </w:t>
      </w:r>
      <w:r w:rsidR="006241D9">
        <w:rPr>
          <w:rFonts w:cs="Arial" w:hint="cs"/>
          <w:sz w:val="16"/>
          <w:szCs w:val="16"/>
          <w:rtl/>
        </w:rPr>
        <w:t xml:space="preserve">לשונו מובאת </w:t>
      </w:r>
      <w:r>
        <w:rPr>
          <w:rFonts w:cs="Arial" w:hint="cs"/>
          <w:sz w:val="16"/>
          <w:szCs w:val="16"/>
          <w:rtl/>
        </w:rPr>
        <w:t>לקמן}</w:t>
      </w:r>
      <w:r>
        <w:rPr>
          <w:rFonts w:cs="Arial" w:hint="cs"/>
          <w:rtl/>
        </w:rPr>
        <w:t xml:space="preserve"> - </w:t>
      </w:r>
      <w:r w:rsidRPr="004A69A4">
        <w:rPr>
          <w:rFonts w:cs="Arial"/>
          <w:rtl/>
        </w:rPr>
        <w:t>מדברי רבינו</w:t>
      </w:r>
      <w:r>
        <w:rPr>
          <w:rFonts w:cs="Arial" w:hint="cs"/>
          <w:rtl/>
        </w:rPr>
        <w:t xml:space="preserve"> </w:t>
      </w:r>
      <w:r>
        <w:rPr>
          <w:rFonts w:cs="Arial" w:hint="cs"/>
          <w:sz w:val="16"/>
          <w:szCs w:val="16"/>
          <w:rtl/>
        </w:rPr>
        <w:t xml:space="preserve">{הטור} </w:t>
      </w:r>
      <w:r w:rsidRPr="004A69A4">
        <w:rPr>
          <w:rFonts w:cs="Arial"/>
          <w:rtl/>
        </w:rPr>
        <w:t xml:space="preserve">נראה דהיינו לומר דשכיב מרע צריך בדיקה </w:t>
      </w:r>
      <w:r w:rsidRPr="000A6295">
        <w:rPr>
          <w:rFonts w:cs="Arial" w:hint="cs"/>
          <w:sz w:val="16"/>
          <w:szCs w:val="16"/>
          <w:rtl/>
        </w:rPr>
        <w:t>(</w:t>
      </w:r>
      <w:r w:rsidRPr="000A6295">
        <w:rPr>
          <w:rFonts w:cs="Arial"/>
          <w:sz w:val="16"/>
          <w:szCs w:val="16"/>
          <w:rtl/>
        </w:rPr>
        <w:t>שהרי כתב שבעל העיטור (ח"א מאמר ז כט ע"א) חלק על הרא"ש וכתב כיון שצוה לכתוב כותבין אפילו נשתתק</w:t>
      </w:r>
      <w:r w:rsidRPr="000A6295">
        <w:rPr>
          <w:rFonts w:cs="Arial" w:hint="cs"/>
          <w:sz w:val="16"/>
          <w:szCs w:val="16"/>
          <w:rtl/>
        </w:rPr>
        <w:t>.</w:t>
      </w:r>
      <w:r w:rsidRPr="000A6295">
        <w:rPr>
          <w:rFonts w:cs="Arial"/>
          <w:sz w:val="16"/>
          <w:szCs w:val="16"/>
          <w:rtl/>
        </w:rPr>
        <w:t xml:space="preserve"> ובודאי דלא מיירי בעל העיטור בראינו שאין דעתו מיושבת</w:t>
      </w:r>
      <w:r w:rsidRPr="000A6295">
        <w:rPr>
          <w:rFonts w:cs="Arial" w:hint="cs"/>
          <w:sz w:val="16"/>
          <w:szCs w:val="16"/>
          <w:rtl/>
        </w:rPr>
        <w:t>,</w:t>
      </w:r>
      <w:r w:rsidRPr="000A6295">
        <w:rPr>
          <w:rFonts w:cs="Arial"/>
          <w:sz w:val="16"/>
          <w:szCs w:val="16"/>
          <w:rtl/>
        </w:rPr>
        <w:t xml:space="preserve"> אלא בשכיב מרע סתם איירי</w:t>
      </w:r>
      <w:r w:rsidRPr="000A6295">
        <w:rPr>
          <w:rFonts w:cs="Arial" w:hint="cs"/>
          <w:sz w:val="16"/>
          <w:szCs w:val="16"/>
          <w:rtl/>
        </w:rPr>
        <w:t>,</w:t>
      </w:r>
      <w:r w:rsidRPr="000A6295">
        <w:rPr>
          <w:rFonts w:cs="Arial"/>
          <w:sz w:val="16"/>
          <w:szCs w:val="16"/>
          <w:rtl/>
        </w:rPr>
        <w:t xml:space="preserve"> דלדידיה אפילו בנשתתק כותבין</w:t>
      </w:r>
      <w:r w:rsidRPr="000A6295">
        <w:rPr>
          <w:rFonts w:cs="Arial" w:hint="cs"/>
          <w:sz w:val="16"/>
          <w:szCs w:val="16"/>
          <w:rtl/>
        </w:rPr>
        <w:t>,</w:t>
      </w:r>
      <w:r w:rsidRPr="000A6295">
        <w:rPr>
          <w:rFonts w:cs="Arial"/>
          <w:sz w:val="16"/>
          <w:szCs w:val="16"/>
          <w:rtl/>
        </w:rPr>
        <w:t xml:space="preserve"> ולהרא"ש אין כותבין אפילו לא נשתתק דהא בכל שכיב מרע איירי</w:t>
      </w:r>
      <w:r>
        <w:rPr>
          <w:rFonts w:cs="Arial" w:hint="cs"/>
          <w:sz w:val="16"/>
          <w:szCs w:val="16"/>
          <w:rtl/>
        </w:rPr>
        <w:t>)</w:t>
      </w:r>
      <w:r>
        <w:rPr>
          <w:rFonts w:cs="Arial" w:hint="cs"/>
          <w:rtl/>
        </w:rPr>
        <w:t>.</w:t>
      </w:r>
      <w:r w:rsidRPr="004A69A4">
        <w:rPr>
          <w:rFonts w:cs="Arial"/>
          <w:rtl/>
        </w:rPr>
        <w:t xml:space="preserve"> ומכל מקום ליכא למימר דלהרא"ש יהא צריך לבדוק שכיב מרע שלשה פעמים כדין מי שנשתתק</w:t>
      </w:r>
      <w:r>
        <w:rPr>
          <w:rFonts w:cs="Arial" w:hint="cs"/>
          <w:rtl/>
        </w:rPr>
        <w:t>,</w:t>
      </w:r>
      <w:r w:rsidRPr="004A69A4">
        <w:rPr>
          <w:rFonts w:cs="Arial"/>
          <w:rtl/>
        </w:rPr>
        <w:t xml:space="preserve"> אלא היינו שצריך לחקרו קצת לראות אם דעתו מיושבת</w:t>
      </w:r>
      <w:r w:rsidR="00C64574">
        <w:rPr>
          <w:rFonts w:cs="Arial" w:hint="cs"/>
          <w:rtl/>
        </w:rPr>
        <w:t xml:space="preserve"> </w:t>
      </w:r>
      <w:r w:rsidR="00C64574" w:rsidRPr="003C7304">
        <w:rPr>
          <w:rFonts w:cs="Arial" w:hint="cs"/>
          <w:color w:val="00B0F0"/>
          <w:sz w:val="16"/>
          <w:szCs w:val="16"/>
          <w:rtl/>
        </w:rPr>
        <w:t>(וכ"פ הרמ"א)</w:t>
      </w:r>
      <w:r w:rsidR="00C64574">
        <w:rPr>
          <w:rFonts w:cs="Arial" w:hint="cs"/>
          <w:rtl/>
        </w:rPr>
        <w:t>.</w:t>
      </w:r>
      <w:r w:rsidRPr="004A69A4">
        <w:rPr>
          <w:rFonts w:cs="Arial"/>
          <w:rtl/>
        </w:rPr>
        <w:t xml:space="preserve"> ולא יהא כמו החולים שמדברים ואינם יודעים מה מדברים דשפאריא"ר בלעז</w:t>
      </w:r>
      <w:r w:rsidR="00270F1F">
        <w:rPr>
          <w:rFonts w:cs="Arial" w:hint="cs"/>
          <w:rtl/>
        </w:rPr>
        <w:t>,</w:t>
      </w:r>
      <w:r w:rsidRPr="004A69A4">
        <w:rPr>
          <w:rFonts w:cs="Arial"/>
          <w:rtl/>
        </w:rPr>
        <w:t xml:space="preserve"> דכל שהוא מדבר כן</w:t>
      </w:r>
      <w:r>
        <w:rPr>
          <w:rFonts w:cs="Arial" w:hint="cs"/>
          <w:rtl/>
        </w:rPr>
        <w:t xml:space="preserve"> -</w:t>
      </w:r>
      <w:r w:rsidRPr="004A69A4">
        <w:rPr>
          <w:rFonts w:cs="Arial"/>
          <w:rtl/>
        </w:rPr>
        <w:t xml:space="preserve"> הרי הוא כשוטה </w:t>
      </w:r>
      <w:r w:rsidRPr="000A6295">
        <w:rPr>
          <w:rFonts w:cs="Arial" w:hint="cs"/>
          <w:sz w:val="16"/>
          <w:szCs w:val="16"/>
          <w:rtl/>
        </w:rPr>
        <w:t>(</w:t>
      </w:r>
      <w:r w:rsidRPr="000A6295">
        <w:rPr>
          <w:rFonts w:cs="Arial"/>
          <w:sz w:val="16"/>
          <w:szCs w:val="16"/>
          <w:rtl/>
        </w:rPr>
        <w:t>וכמו שכתב בעל התרומה (שם)</w:t>
      </w:r>
      <w:r w:rsidRPr="000A6295">
        <w:rPr>
          <w:rFonts w:cs="Arial" w:hint="cs"/>
          <w:sz w:val="16"/>
          <w:szCs w:val="16"/>
          <w:rtl/>
        </w:rPr>
        <w:t>.</w:t>
      </w:r>
      <w:r w:rsidRPr="000A6295">
        <w:rPr>
          <w:rFonts w:cs="Arial"/>
          <w:sz w:val="16"/>
          <w:szCs w:val="16"/>
          <w:rtl/>
        </w:rPr>
        <w:t xml:space="preserve"> וכן משמע מדברי הרא"ש דלא בעינן בדיקה שלשה פעמים אלא בבדיקה קצת סגי שכתב בפסקיו (שם) </w:t>
      </w:r>
      <w:r w:rsidR="000A0F5A">
        <w:rPr>
          <w:rFonts w:cs="Arial"/>
          <w:sz w:val="16"/>
          <w:szCs w:val="16"/>
          <w:rtl/>
        </w:rPr>
        <w:t>וז"ל:</w:t>
      </w:r>
      <w:r w:rsidRPr="000A6295">
        <w:rPr>
          <w:rFonts w:cs="Arial"/>
          <w:sz w:val="16"/>
          <w:szCs w:val="16"/>
          <w:rtl/>
        </w:rPr>
        <w:t xml:space="preserve"> צריך ליזהר בשכיב מרע שצוה ליתן גט שתהא דעתו מיושבת עליו ואף בשעת כתיבה משום דחולה פעמים שדעתו מטורפת עליו ועתים חלים עתים שוטה ואפילו לריש לקיש דמדמי קורדייקוס לישן היינו משום דרפואתו בידינו או שמא אפילו לרבי יוחנן כישן דמי משום דלא מחוסר מעשה דרגיל שתתיישב דעתו ממילא וטוב ליזהר עכ"ל</w:t>
      </w:r>
      <w:r>
        <w:rPr>
          <w:rFonts w:cs="Arial" w:hint="cs"/>
          <w:sz w:val="16"/>
          <w:szCs w:val="16"/>
          <w:rtl/>
        </w:rPr>
        <w:t>.</w:t>
      </w:r>
      <w:r w:rsidRPr="000A6295">
        <w:rPr>
          <w:rFonts w:cs="Arial"/>
          <w:sz w:val="16"/>
          <w:szCs w:val="16"/>
          <w:rtl/>
        </w:rPr>
        <w:t xml:space="preserve"> ואילו היה דעתו דבעי בדיקה שלשה פעמים לא הוה ליה לכתוב שתהא דעתו מיושבת אלא הוה ליה למימר צריך לבדקו כדין מי שנשתתק. ועוד שכתב בסוף לשונו </w:t>
      </w:r>
      <w:r w:rsidR="00270F1F">
        <w:rPr>
          <w:rFonts w:cs="Arial" w:hint="cs"/>
          <w:sz w:val="16"/>
          <w:szCs w:val="16"/>
          <w:rtl/>
        </w:rPr>
        <w:t>'</w:t>
      </w:r>
      <w:r w:rsidRPr="000A6295">
        <w:rPr>
          <w:rFonts w:cs="Arial"/>
          <w:sz w:val="16"/>
          <w:szCs w:val="16"/>
          <w:rtl/>
        </w:rPr>
        <w:t>וטוב ליזהר</w:t>
      </w:r>
      <w:r w:rsidR="00270F1F">
        <w:rPr>
          <w:rFonts w:cs="Arial" w:hint="cs"/>
          <w:sz w:val="16"/>
          <w:szCs w:val="16"/>
          <w:rtl/>
        </w:rPr>
        <w:t>'</w:t>
      </w:r>
      <w:r w:rsidRPr="000A6295">
        <w:rPr>
          <w:rFonts w:cs="Arial"/>
          <w:sz w:val="16"/>
          <w:szCs w:val="16"/>
          <w:rtl/>
        </w:rPr>
        <w:t xml:space="preserve"> ואין לשון זה מורה על בדיקת שלשה פעמים</w:t>
      </w:r>
      <w:r w:rsidR="00270F1F">
        <w:rPr>
          <w:rFonts w:cs="Arial" w:hint="cs"/>
          <w:sz w:val="16"/>
          <w:szCs w:val="16"/>
          <w:rtl/>
        </w:rPr>
        <w:t>,</w:t>
      </w:r>
      <w:r w:rsidRPr="000A6295">
        <w:rPr>
          <w:rFonts w:cs="Arial"/>
          <w:sz w:val="16"/>
          <w:szCs w:val="16"/>
          <w:rtl/>
        </w:rPr>
        <w:t xml:space="preserve"> דאם כן הוה ליה למימר וטוב לבדקו. וכ</w:t>
      </w:r>
      <w:r w:rsidR="00270F1F">
        <w:rPr>
          <w:rFonts w:cs="Arial" w:hint="cs"/>
          <w:sz w:val="16"/>
          <w:szCs w:val="16"/>
          <w:rtl/>
        </w:rPr>
        <w:t>"</w:t>
      </w:r>
      <w:r w:rsidRPr="000A6295">
        <w:rPr>
          <w:rFonts w:cs="Arial"/>
          <w:sz w:val="16"/>
          <w:szCs w:val="16"/>
          <w:rtl/>
        </w:rPr>
        <w:t>כ ר</w:t>
      </w:r>
      <w:r>
        <w:rPr>
          <w:rFonts w:cs="Arial" w:hint="cs"/>
          <w:sz w:val="16"/>
          <w:szCs w:val="16"/>
          <w:rtl/>
        </w:rPr>
        <w:t>י"ו</w:t>
      </w:r>
      <w:r w:rsidRPr="000A6295">
        <w:rPr>
          <w:rFonts w:cs="Arial"/>
          <w:sz w:val="16"/>
          <w:szCs w:val="16"/>
          <w:rtl/>
        </w:rPr>
        <w:t xml:space="preserve"> בח</w:t>
      </w:r>
      <w:r>
        <w:rPr>
          <w:rFonts w:cs="Arial" w:hint="cs"/>
          <w:sz w:val="16"/>
          <w:szCs w:val="16"/>
          <w:rtl/>
        </w:rPr>
        <w:t>"ד</w:t>
      </w:r>
      <w:r w:rsidRPr="000A6295">
        <w:rPr>
          <w:rFonts w:cs="Arial"/>
          <w:sz w:val="16"/>
          <w:szCs w:val="16"/>
          <w:rtl/>
        </w:rPr>
        <w:t xml:space="preserve"> (נכ"ד רי ע"א) שכיב מרע שצוה ליתן גט לאשתו צריך שתהא דעתו מיושבת עליו אפילו בשעת כתיבה</w:t>
      </w:r>
      <w:r w:rsidR="00270F1F">
        <w:rPr>
          <w:rFonts w:cs="Arial" w:hint="cs"/>
          <w:sz w:val="16"/>
          <w:szCs w:val="16"/>
          <w:rtl/>
        </w:rPr>
        <w:t>.</w:t>
      </w:r>
      <w:r w:rsidRPr="000A6295">
        <w:rPr>
          <w:rFonts w:cs="Arial"/>
          <w:sz w:val="16"/>
          <w:szCs w:val="16"/>
          <w:rtl/>
        </w:rPr>
        <w:t xml:space="preserve"> ואע</w:t>
      </w:r>
      <w:r>
        <w:rPr>
          <w:rFonts w:cs="Arial" w:hint="cs"/>
          <w:sz w:val="16"/>
          <w:szCs w:val="16"/>
          <w:rtl/>
        </w:rPr>
        <w:t>"</w:t>
      </w:r>
      <w:r w:rsidRPr="000A6295">
        <w:rPr>
          <w:rFonts w:cs="Arial"/>
          <w:sz w:val="16"/>
          <w:szCs w:val="16"/>
          <w:rtl/>
        </w:rPr>
        <w:t xml:space="preserve">פ שכתב סמוך לזה </w:t>
      </w:r>
      <w:r w:rsidR="00270F1F">
        <w:rPr>
          <w:rFonts w:cs="Arial" w:hint="cs"/>
          <w:sz w:val="16"/>
          <w:szCs w:val="16"/>
          <w:rtl/>
        </w:rPr>
        <w:t>'</w:t>
      </w:r>
      <w:r w:rsidRPr="000A6295">
        <w:rPr>
          <w:rFonts w:cs="Arial"/>
          <w:sz w:val="16"/>
          <w:szCs w:val="16"/>
          <w:rtl/>
        </w:rPr>
        <w:t>וכן גוסס צריך בדיקה</w:t>
      </w:r>
      <w:r w:rsidR="00270F1F">
        <w:rPr>
          <w:rFonts w:cs="Arial" w:hint="cs"/>
          <w:sz w:val="16"/>
          <w:szCs w:val="16"/>
          <w:rtl/>
        </w:rPr>
        <w:t>'</w:t>
      </w:r>
      <w:r w:rsidRPr="000A6295">
        <w:rPr>
          <w:rFonts w:cs="Arial"/>
          <w:sz w:val="16"/>
          <w:szCs w:val="16"/>
          <w:rtl/>
        </w:rPr>
        <w:t xml:space="preserve"> דמשמע דשכיב מרע נמי צריך בדיקה ההיא בדיקה לאו בדיקת שלשה פעמים היא דאם כן הוה ליה למימר צריך בדיקה כדין מי שנשתתק אלא ודאי האי צריך בדיקה היינו שאם הוא מדבר צריך בדיקה קצת כמו שכתבתי ודין נשתתק שצריך בדיקה שלשה פעמים כתב בח</w:t>
      </w:r>
      <w:r>
        <w:rPr>
          <w:rFonts w:cs="Arial" w:hint="cs"/>
          <w:sz w:val="16"/>
          <w:szCs w:val="16"/>
          <w:rtl/>
        </w:rPr>
        <w:t xml:space="preserve">לק </w:t>
      </w:r>
      <w:r w:rsidRPr="000A6295">
        <w:rPr>
          <w:rFonts w:cs="Arial"/>
          <w:sz w:val="16"/>
          <w:szCs w:val="16"/>
          <w:rtl/>
        </w:rPr>
        <w:t>ו (נכ"ד ריב ע"ג)</w:t>
      </w:r>
      <w:r>
        <w:rPr>
          <w:rFonts w:cs="Arial" w:hint="cs"/>
          <w:sz w:val="16"/>
          <w:szCs w:val="16"/>
          <w:rtl/>
        </w:rPr>
        <w:t>)</w:t>
      </w:r>
      <w:r>
        <w:rPr>
          <w:rFonts w:hint="cs"/>
          <w:rtl/>
        </w:rPr>
        <w:t>, ב"י.</w:t>
      </w:r>
    </w:p>
  </w:footnote>
  <w:footnote w:id="279">
    <w:p w14:paraId="4BACAF25" w14:textId="78E3E7D3" w:rsidR="006241D9" w:rsidRDefault="006241D9" w:rsidP="006241D9">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Pr>
          <w:rFonts w:cs="Arial"/>
          <w:rtl/>
        </w:rPr>
        <w:t>ומסתברא דוקא דאמר כתבו ואחזו קורדייקוס דדעתא שגשתא הוא דאין כותבין אלא לכשישתפה</w:t>
      </w:r>
      <w:r>
        <w:rPr>
          <w:rFonts w:cs="Arial" w:hint="cs"/>
          <w:rtl/>
        </w:rPr>
        <w:t>,</w:t>
      </w:r>
      <w:r>
        <w:rPr>
          <w:rFonts w:cs="Arial"/>
          <w:rtl/>
        </w:rPr>
        <w:t xml:space="preserve"> אבל שכיב מרע שאמר כתבו ונשתתק </w:t>
      </w:r>
      <w:r>
        <w:rPr>
          <w:rFonts w:cs="Arial" w:hint="cs"/>
          <w:rtl/>
        </w:rPr>
        <w:t xml:space="preserve">- </w:t>
      </w:r>
      <w:r>
        <w:rPr>
          <w:rFonts w:cs="Arial"/>
          <w:rtl/>
        </w:rPr>
        <w:t>כותבין ונותנין עד שעת נטילת נשמה דדעתא צילתא היא וכחישותא הוא דנקטיה ולא מחזיקינן ליה בדעתא שגשתא</w:t>
      </w:r>
      <w:r>
        <w:rPr>
          <w:rFonts w:cs="Arial" w:hint="cs"/>
          <w:rtl/>
        </w:rPr>
        <w:t xml:space="preserve">. </w:t>
      </w:r>
      <w:r>
        <w:rPr>
          <w:rFonts w:cs="Arial"/>
          <w:rtl/>
        </w:rPr>
        <w:t>תדע דהא בשמיעת הקול פעם אחת דיו</w:t>
      </w:r>
      <w:r>
        <w:rPr>
          <w:rFonts w:cs="Arial" w:hint="cs"/>
          <w:rtl/>
        </w:rPr>
        <w:t>.</w:t>
      </w:r>
      <w:r>
        <w:rPr>
          <w:rFonts w:cs="Arial"/>
          <w:rtl/>
        </w:rPr>
        <w:t xml:space="preserve"> ובנשתתק מתוך חליו דיו בהרכנת הראש פעם אחת כדגרסינן בירושלמי (גיטין פ"ז ה"א לט:)</w:t>
      </w:r>
      <w:r>
        <w:rPr>
          <w:rFonts w:cs="Arial" w:hint="cs"/>
          <w:rtl/>
        </w:rPr>
        <w:t>,</w:t>
      </w:r>
      <w:r>
        <w:rPr>
          <w:rFonts w:cs="Arial"/>
          <w:rtl/>
        </w:rPr>
        <w:t xml:space="preserve"> שמע מיניה דלא מחזיקינן ליה כשוטה</w:t>
      </w:r>
      <w:r>
        <w:rPr>
          <w:rFonts w:cs="Arial" w:hint="cs"/>
          <w:rtl/>
        </w:rPr>
        <w:t>.</w:t>
      </w:r>
      <w:r>
        <w:rPr>
          <w:rFonts w:cs="Arial"/>
          <w:rtl/>
        </w:rPr>
        <w:t xml:space="preserve"> ואיכא מאן דאמר נשתתק ספק שוטה</w:t>
      </w:r>
      <w:r>
        <w:rPr>
          <w:rFonts w:cs="Arial" w:hint="cs"/>
          <w:rtl/>
        </w:rPr>
        <w:t>.</w:t>
      </w:r>
      <w:r>
        <w:rPr>
          <w:rFonts w:cs="Arial"/>
          <w:rtl/>
        </w:rPr>
        <w:t xml:space="preserve"> ולא דייק לן</w:t>
      </w:r>
      <w:r>
        <w:rPr>
          <w:rFonts w:cs="Arial" w:hint="cs"/>
          <w:rtl/>
        </w:rPr>
        <w:t>,</w:t>
      </w:r>
      <w:r>
        <w:rPr>
          <w:rFonts w:cs="Arial"/>
          <w:rtl/>
        </w:rPr>
        <w:t xml:space="preserve"> דאם איתא כי בדקינן ליה ג' זימני מאי הוי</w:t>
      </w:r>
      <w:r>
        <w:rPr>
          <w:rFonts w:cs="Arial" w:hint="cs"/>
          <w:rtl/>
        </w:rPr>
        <w:t>,</w:t>
      </w:r>
      <w:r>
        <w:rPr>
          <w:rFonts w:cs="Arial"/>
          <w:rtl/>
        </w:rPr>
        <w:t xml:space="preserve"> להוי בשעת בדיקה כחלים ולבתר הכי כשוטה</w:t>
      </w:r>
      <w:r>
        <w:rPr>
          <w:rFonts w:cs="Arial" w:hint="cs"/>
          <w:rtl/>
        </w:rPr>
        <w:t>,</w:t>
      </w:r>
      <w:r>
        <w:rPr>
          <w:rFonts w:cs="Arial"/>
          <w:rtl/>
        </w:rPr>
        <w:t xml:space="preserve"> וליחוש דלמא פקח ונשתטה הוא ולעולם יהא צריך בדיקה עד שיגיע גט לידה</w:t>
      </w:r>
      <w:r>
        <w:rPr>
          <w:rFonts w:cs="Arial" w:hint="cs"/>
          <w:rtl/>
        </w:rPr>
        <w:t>,</w:t>
      </w:r>
      <w:r>
        <w:rPr>
          <w:rFonts w:cs="Arial"/>
          <w:rtl/>
        </w:rPr>
        <w:t xml:space="preserve"> דהא אין כותבין עד שישתפה</w:t>
      </w:r>
      <w:r>
        <w:rPr>
          <w:rFonts w:cs="Arial" w:hint="cs"/>
          <w:rtl/>
        </w:rPr>
        <w:t>.</w:t>
      </w:r>
      <w:r>
        <w:rPr>
          <w:rFonts w:cs="Arial"/>
          <w:rtl/>
        </w:rPr>
        <w:t xml:space="preserve"> ועוד</w:t>
      </w:r>
      <w:r>
        <w:rPr>
          <w:rFonts w:cs="Arial" w:hint="cs"/>
          <w:rtl/>
        </w:rPr>
        <w:t>,</w:t>
      </w:r>
      <w:r>
        <w:rPr>
          <w:rFonts w:cs="Arial"/>
          <w:rtl/>
        </w:rPr>
        <w:t xml:space="preserve"> שוטה בבדיקה מי יהיב גיטא</w:t>
      </w:r>
      <w:r>
        <w:rPr>
          <w:rFonts w:cs="Arial" w:hint="cs"/>
          <w:rtl/>
        </w:rPr>
        <w:t>?</w:t>
      </w:r>
      <w:r>
        <w:rPr>
          <w:rFonts w:cs="Arial"/>
          <w:rtl/>
        </w:rPr>
        <w:t xml:space="preserve"> אלא שמע מיניה דנשתתק לאו כספק שוטה הוא</w:t>
      </w:r>
      <w:r>
        <w:rPr>
          <w:rFonts w:cs="Arial" w:hint="cs"/>
          <w:rtl/>
        </w:rPr>
        <w:t>,</w:t>
      </w:r>
      <w:r>
        <w:rPr>
          <w:rFonts w:cs="Arial"/>
          <w:rtl/>
        </w:rPr>
        <w:t xml:space="preserve"> שמע מינה</w:t>
      </w:r>
      <w:r>
        <w:rPr>
          <w:rFonts w:cs="Arial" w:hint="cs"/>
          <w:rtl/>
        </w:rPr>
        <w:t>.</w:t>
      </w:r>
      <w:r>
        <w:rPr>
          <w:rFonts w:cs="Arial"/>
          <w:rtl/>
        </w:rPr>
        <w:t xml:space="preserve"> והא דאמרינן שיחיא דלאו לאו נקטיה</w:t>
      </w:r>
      <w:r>
        <w:rPr>
          <w:rFonts w:cs="Arial" w:hint="cs"/>
          <w:rtl/>
        </w:rPr>
        <w:t>,</w:t>
      </w:r>
      <w:r>
        <w:rPr>
          <w:rFonts w:cs="Arial"/>
          <w:rtl/>
        </w:rPr>
        <w:t xml:space="preserve"> לאו משום שוטה הוא</w:t>
      </w:r>
      <w:r>
        <w:rPr>
          <w:rFonts w:cs="Arial" w:hint="cs"/>
          <w:rtl/>
        </w:rPr>
        <w:t>.</w:t>
      </w:r>
      <w:r>
        <w:rPr>
          <w:rFonts w:cs="Arial"/>
          <w:rtl/>
        </w:rPr>
        <w:t xml:space="preserve"> דהא שוטה בחדא מילתא לא סריך (גיטין סח:)</w:t>
      </w:r>
      <w:r>
        <w:rPr>
          <w:rFonts w:cs="Arial" w:hint="cs"/>
          <w:rtl/>
        </w:rPr>
        <w:t>,</w:t>
      </w:r>
      <w:r>
        <w:rPr>
          <w:rFonts w:cs="Arial"/>
          <w:rtl/>
        </w:rPr>
        <w:t xml:space="preserve"> אלא מינא דחולי הוא</w:t>
      </w:r>
      <w:r>
        <w:rPr>
          <w:rFonts w:cs="Arial" w:hint="cs"/>
          <w:rtl/>
        </w:rPr>
        <w:t>.</w:t>
      </w:r>
      <w:r>
        <w:rPr>
          <w:rFonts w:cs="Arial"/>
          <w:rtl/>
        </w:rPr>
        <w:t xml:space="preserve"> לא כמו שוטה</w:t>
      </w:r>
      <w:r>
        <w:rPr>
          <w:rFonts w:cs="Arial" w:hint="cs"/>
          <w:rtl/>
        </w:rPr>
        <w:t>.</w:t>
      </w:r>
      <w:r>
        <w:rPr>
          <w:rFonts w:cs="Arial"/>
          <w:rtl/>
        </w:rPr>
        <w:t xml:space="preserve"> ומעשה בא לידי בשכיב מרע שאמר כתבו גט ונשתתק מתוך חליו</w:t>
      </w:r>
      <w:r>
        <w:rPr>
          <w:rFonts w:cs="Arial" w:hint="cs"/>
          <w:rtl/>
        </w:rPr>
        <w:t>,</w:t>
      </w:r>
      <w:r>
        <w:rPr>
          <w:rFonts w:cs="Arial"/>
          <w:rtl/>
        </w:rPr>
        <w:t xml:space="preserve"> והיה לו אח במדינת הים</w:t>
      </w:r>
      <w:r>
        <w:rPr>
          <w:rFonts w:cs="Arial" w:hint="cs"/>
          <w:rtl/>
        </w:rPr>
        <w:t>,</w:t>
      </w:r>
      <w:r>
        <w:rPr>
          <w:rFonts w:cs="Arial"/>
          <w:rtl/>
        </w:rPr>
        <w:t xml:space="preserve"> וכתבו ונתנו לה על פיו</w:t>
      </w:r>
      <w:r>
        <w:rPr>
          <w:rFonts w:cs="Arial" w:hint="cs"/>
          <w:rtl/>
        </w:rPr>
        <w:t>.</w:t>
      </w:r>
    </w:p>
  </w:footnote>
  <w:footnote w:id="280">
    <w:p w14:paraId="2EDB4EE8" w14:textId="1D246F43" w:rsidR="009D77D8" w:rsidRDefault="009D77D8">
      <w:pPr>
        <w:pStyle w:val="a5"/>
      </w:pPr>
      <w:r>
        <w:rPr>
          <w:rStyle w:val="a7"/>
        </w:rPr>
        <w:footnoteRef/>
      </w:r>
      <w:r>
        <w:rPr>
          <w:rtl/>
        </w:rPr>
        <w:t xml:space="preserve"> </w:t>
      </w:r>
      <w:r w:rsidRPr="009D77D8">
        <w:rPr>
          <w:rFonts w:cs="Arial"/>
          <w:rtl/>
        </w:rPr>
        <w:t>ואפשר דעד כאן לא קאמר בעל העיטור אלא בנשתתק מתוך חליו אבל מתוך בוריו מודה דבעי בדיקה</w:t>
      </w:r>
      <w:r>
        <w:rPr>
          <w:rFonts w:cs="Arial" w:hint="cs"/>
          <w:rtl/>
        </w:rPr>
        <w:t xml:space="preserve">, ב"י (סוף סע' ה). </w:t>
      </w:r>
    </w:p>
  </w:footnote>
  <w:footnote w:id="281">
    <w:p w14:paraId="1B5803F5" w14:textId="1CA22D46" w:rsidR="006241D9" w:rsidRDefault="006241D9" w:rsidP="006241D9">
      <w:pPr>
        <w:pStyle w:val="a5"/>
        <w:rPr>
          <w:rtl/>
        </w:rPr>
      </w:pPr>
      <w:r>
        <w:rPr>
          <w:rStyle w:val="a7"/>
        </w:rPr>
        <w:footnoteRef/>
      </w:r>
      <w:r>
        <w:rPr>
          <w:rtl/>
        </w:rPr>
        <w:t xml:space="preserve"> </w:t>
      </w:r>
      <w:r w:rsidRPr="006241D9">
        <w:rPr>
          <w:rFonts w:cs="Arial"/>
          <w:rtl/>
        </w:rPr>
        <w:t>ורש"י (ע: ד"ה שיחיא דלאו) נראה שסובר דנשתתק בשוטה מספקינן ליה</w:t>
      </w:r>
      <w:r w:rsidR="002A55CE">
        <w:rPr>
          <w:rFonts w:cs="Arial" w:hint="cs"/>
          <w:rtl/>
        </w:rPr>
        <w:t>,</w:t>
      </w:r>
      <w:r w:rsidRPr="006241D9">
        <w:rPr>
          <w:rFonts w:cs="Arial"/>
          <w:rtl/>
        </w:rPr>
        <w:t xml:space="preserve"> שכתב על ודילמא שיחיא דלאו לאו נקטיה </w:t>
      </w:r>
      <w:r w:rsidR="002A55CE">
        <w:rPr>
          <w:rFonts w:cs="Arial" w:hint="cs"/>
          <w:rtl/>
        </w:rPr>
        <w:t>'</w:t>
      </w:r>
      <w:r w:rsidRPr="006241D9">
        <w:rPr>
          <w:rFonts w:cs="Arial"/>
          <w:rtl/>
        </w:rPr>
        <w:t>חולי שגעון המלמדו תמיד להרכין ראשו</w:t>
      </w:r>
      <w:r w:rsidR="002A55CE">
        <w:rPr>
          <w:rFonts w:cs="Arial" w:hint="cs"/>
          <w:rtl/>
        </w:rPr>
        <w:t>'</w:t>
      </w:r>
      <w:r>
        <w:rPr>
          <w:rFonts w:cs="Arial" w:hint="cs"/>
          <w:rtl/>
        </w:rPr>
        <w:t>.</w:t>
      </w:r>
      <w:r w:rsidRPr="006241D9">
        <w:rPr>
          <w:rFonts w:cs="Arial"/>
          <w:rtl/>
        </w:rPr>
        <w:t xml:space="preserve"> וכן דעת הרמב"ם בפ</w:t>
      </w:r>
      <w:r>
        <w:rPr>
          <w:rFonts w:cs="Arial" w:hint="cs"/>
          <w:rtl/>
        </w:rPr>
        <w:t>"</w:t>
      </w:r>
      <w:r w:rsidRPr="006241D9">
        <w:rPr>
          <w:rFonts w:cs="Arial"/>
          <w:rtl/>
        </w:rPr>
        <w:t>ב (הט"ז) שכתב וצריכין לבדקו יפה יפה שמא נטרפה דעתו</w:t>
      </w:r>
      <w:r>
        <w:rPr>
          <w:rFonts w:cs="Arial" w:hint="cs"/>
          <w:rtl/>
        </w:rPr>
        <w:t>.</w:t>
      </w:r>
      <w:r w:rsidRPr="006241D9">
        <w:rPr>
          <w:rFonts w:cs="Arial"/>
          <w:rtl/>
        </w:rPr>
        <w:t xml:space="preserve"> </w:t>
      </w:r>
      <w:r>
        <w:rPr>
          <w:rFonts w:cs="Arial"/>
          <w:rtl/>
        </w:rPr>
        <w:t>ומה שהקשה בעל העיטור דלהוי כעתים שוטה עתים חלים</w:t>
      </w:r>
      <w:r>
        <w:rPr>
          <w:rFonts w:cs="Arial" w:hint="cs"/>
          <w:rtl/>
        </w:rPr>
        <w:t>,</w:t>
      </w:r>
      <w:r>
        <w:rPr>
          <w:rFonts w:cs="Arial"/>
          <w:rtl/>
        </w:rPr>
        <w:t xml:space="preserve"> י"ל שכל שבדקנוהו ומצאנו דעתו מיושבת תו לא מספקינן ליה בשוטה</w:t>
      </w:r>
      <w:r>
        <w:rPr>
          <w:rFonts w:cs="Arial" w:hint="cs"/>
          <w:rtl/>
        </w:rPr>
        <w:t>,</w:t>
      </w:r>
      <w:r>
        <w:rPr>
          <w:rFonts w:cs="Arial"/>
          <w:rtl/>
        </w:rPr>
        <w:t xml:space="preserve"> דאם איתא דמחמת שטות נשתתק לא היתה דעתו מיושבת בשום שעה</w:t>
      </w:r>
      <w:r>
        <w:rPr>
          <w:rFonts w:cs="Arial" w:hint="cs"/>
          <w:rtl/>
        </w:rPr>
        <w:t>,</w:t>
      </w:r>
      <w:r>
        <w:rPr>
          <w:rFonts w:cs="Arial"/>
          <w:rtl/>
        </w:rPr>
        <w:t xml:space="preserve"> כן נראה לי</w:t>
      </w:r>
      <w:r>
        <w:rPr>
          <w:rFonts w:cs="Arial" w:hint="cs"/>
          <w:rtl/>
        </w:rPr>
        <w:t>, ב"י.</w:t>
      </w:r>
    </w:p>
  </w:footnote>
  <w:footnote w:id="282">
    <w:p w14:paraId="01816FC3" w14:textId="41C9FBD1" w:rsidR="00A647F7" w:rsidRDefault="00A647F7">
      <w:pPr>
        <w:pStyle w:val="a5"/>
        <w:rPr>
          <w:rtl/>
        </w:rPr>
      </w:pPr>
      <w:r>
        <w:rPr>
          <w:rStyle w:val="a7"/>
        </w:rPr>
        <w:footnoteRef/>
      </w:r>
      <w:r>
        <w:rPr>
          <w:rtl/>
        </w:rPr>
        <w:t xml:space="preserve"> </w:t>
      </w:r>
      <w:r>
        <w:rPr>
          <w:rFonts w:cs="Arial" w:hint="cs"/>
          <w:rtl/>
        </w:rPr>
        <w:t>וכתב הב"י</w:t>
      </w:r>
      <w:r w:rsidR="00323917">
        <w:rPr>
          <w:rFonts w:cs="Arial" w:hint="cs"/>
          <w:rtl/>
        </w:rPr>
        <w:t>:</w:t>
      </w:r>
      <w:r>
        <w:rPr>
          <w:rFonts w:cs="Arial" w:hint="cs"/>
          <w:rtl/>
        </w:rPr>
        <w:t xml:space="preserve"> </w:t>
      </w:r>
      <w:r w:rsidRPr="00A647F7">
        <w:rPr>
          <w:rFonts w:cs="Arial" w:hint="cs"/>
          <w:sz w:val="16"/>
          <w:szCs w:val="16"/>
          <w:rtl/>
        </w:rPr>
        <w:t>(</w:t>
      </w:r>
      <w:r w:rsidRPr="00A647F7">
        <w:rPr>
          <w:rFonts w:cs="Arial"/>
          <w:sz w:val="16"/>
          <w:szCs w:val="16"/>
          <w:rtl/>
        </w:rPr>
        <w:t>ואין כוונת התוספות כדמשמע לכאורה דכל היכא שנכתב בעודו שפוי ונתקלקל וחזר ונשתפה ונתנו לה כשהוא שפוי דכיון שנתקלקל בנתיים הוא פסול</w:t>
      </w:r>
      <w:r w:rsidRPr="00A647F7">
        <w:rPr>
          <w:rFonts w:cs="Arial" w:hint="cs"/>
          <w:sz w:val="16"/>
          <w:szCs w:val="16"/>
          <w:rtl/>
        </w:rPr>
        <w:t xml:space="preserve"> -</w:t>
      </w:r>
      <w:r w:rsidRPr="00A647F7">
        <w:rPr>
          <w:rFonts w:cs="Arial"/>
          <w:sz w:val="16"/>
          <w:szCs w:val="16"/>
          <w:rtl/>
        </w:rPr>
        <w:t xml:space="preserve"> דכל כהאי גוונא משמע לי דכשר הוא</w:t>
      </w:r>
      <w:r w:rsidRPr="00A647F7">
        <w:rPr>
          <w:rFonts w:cs="Arial" w:hint="cs"/>
          <w:sz w:val="16"/>
          <w:szCs w:val="16"/>
          <w:rtl/>
        </w:rPr>
        <w:t>,</w:t>
      </w:r>
      <w:r w:rsidRPr="00A647F7">
        <w:rPr>
          <w:rFonts w:cs="Arial"/>
          <w:sz w:val="16"/>
          <w:szCs w:val="16"/>
          <w:rtl/>
        </w:rPr>
        <w:t xml:space="preserve"> דהא כשאמר כתבו גט לאשתו ואחזו קורדייקוס ואמר אל תכתבו לכי צילא דעתיה כותבין ולא צריך לאמלוכי ביה</w:t>
      </w:r>
      <w:r w:rsidRPr="00A647F7">
        <w:rPr>
          <w:rFonts w:cs="Arial" w:hint="cs"/>
          <w:sz w:val="16"/>
          <w:szCs w:val="16"/>
          <w:rtl/>
        </w:rPr>
        <w:t>,</w:t>
      </w:r>
      <w:r w:rsidRPr="00A647F7">
        <w:rPr>
          <w:rFonts w:cs="Arial"/>
          <w:sz w:val="16"/>
          <w:szCs w:val="16"/>
          <w:rtl/>
        </w:rPr>
        <w:t xml:space="preserve"> אלמא אחיזת קורדייקוס לא ביטלה את דבריו הראשונים</w:t>
      </w:r>
      <w:r w:rsidRPr="00A647F7">
        <w:rPr>
          <w:rFonts w:cs="Arial" w:hint="cs"/>
          <w:sz w:val="16"/>
          <w:szCs w:val="16"/>
          <w:rtl/>
        </w:rPr>
        <w:t>,</w:t>
      </w:r>
      <w:r w:rsidRPr="00A647F7">
        <w:rPr>
          <w:rFonts w:cs="Arial"/>
          <w:sz w:val="16"/>
          <w:szCs w:val="16"/>
          <w:rtl/>
        </w:rPr>
        <w:t xml:space="preserve"> וכל שכן שלא תבטל את מעשה כתיבת הגט. וליכא למימר דהא דלא ביטל אחיזת קורדייקוס את דבריו הראשונים היינו דוקא היכא דסמיה בידן דומיא דקורדייקוס אבל היכא דלאו סמיה בידן יבטל</w:t>
      </w:r>
      <w:r w:rsidRPr="00A647F7">
        <w:rPr>
          <w:rFonts w:cs="Arial" w:hint="cs"/>
          <w:sz w:val="16"/>
          <w:szCs w:val="16"/>
          <w:rtl/>
        </w:rPr>
        <w:t>,</w:t>
      </w:r>
      <w:r w:rsidRPr="00A647F7">
        <w:rPr>
          <w:rFonts w:cs="Arial"/>
          <w:sz w:val="16"/>
          <w:szCs w:val="16"/>
          <w:rtl/>
        </w:rPr>
        <w:t xml:space="preserve"> דהא רבי יוחנן דקיימא לן כוותיה לא מפליג בהכי</w:t>
      </w:r>
      <w:r w:rsidRPr="00A647F7">
        <w:rPr>
          <w:rFonts w:cs="Arial" w:hint="cs"/>
          <w:sz w:val="16"/>
          <w:szCs w:val="16"/>
          <w:rtl/>
        </w:rPr>
        <w:t>,</w:t>
      </w:r>
      <w:r w:rsidRPr="00A647F7">
        <w:rPr>
          <w:rFonts w:cs="Arial"/>
          <w:sz w:val="16"/>
          <w:szCs w:val="16"/>
          <w:rtl/>
        </w:rPr>
        <w:t xml:space="preserve"> דכיון דמחוסר מעשה לשוטה מדמינן ליה.</w:t>
      </w:r>
      <w:r>
        <w:rPr>
          <w:rFonts w:cs="Arial" w:hint="cs"/>
          <w:sz w:val="16"/>
          <w:szCs w:val="16"/>
          <w:rtl/>
        </w:rPr>
        <w:t xml:space="preserve"> אבל -</w:t>
      </w:r>
      <w:r w:rsidRPr="00A647F7">
        <w:rPr>
          <w:rFonts w:cs="Arial" w:hint="cs"/>
          <w:sz w:val="16"/>
          <w:szCs w:val="16"/>
          <w:rtl/>
        </w:rPr>
        <w:t>)</w:t>
      </w:r>
      <w:r>
        <w:rPr>
          <w:rFonts w:cs="Arial"/>
          <w:rtl/>
        </w:rPr>
        <w:t xml:space="preserve"> כוונתם לומר שאם אחר הכתיבה נתקלקל דעתו</w:t>
      </w:r>
      <w:r>
        <w:rPr>
          <w:rFonts w:cs="Arial" w:hint="cs"/>
          <w:rtl/>
        </w:rPr>
        <w:t>,</w:t>
      </w:r>
      <w:r>
        <w:rPr>
          <w:rFonts w:cs="Arial"/>
          <w:rtl/>
        </w:rPr>
        <w:t xml:space="preserve"> ונתנוהו לה בעודו מקולקל</w:t>
      </w:r>
      <w:r>
        <w:rPr>
          <w:rFonts w:cs="Arial" w:hint="cs"/>
          <w:rtl/>
        </w:rPr>
        <w:t>,</w:t>
      </w:r>
      <w:r>
        <w:rPr>
          <w:rFonts w:cs="Arial"/>
          <w:rtl/>
        </w:rPr>
        <w:t xml:space="preserve"> אע</w:t>
      </w:r>
      <w:r w:rsidR="00323917">
        <w:rPr>
          <w:rFonts w:cs="Arial" w:hint="cs"/>
          <w:rtl/>
        </w:rPr>
        <w:t>"</w:t>
      </w:r>
      <w:r>
        <w:rPr>
          <w:rFonts w:cs="Arial"/>
          <w:rtl/>
        </w:rPr>
        <w:t>פ שנשתפה אח</w:t>
      </w:r>
      <w:r w:rsidR="00323917">
        <w:rPr>
          <w:rFonts w:cs="Arial" w:hint="cs"/>
          <w:rtl/>
        </w:rPr>
        <w:t>"</w:t>
      </w:r>
      <w:r>
        <w:rPr>
          <w:rFonts w:cs="Arial"/>
          <w:rtl/>
        </w:rPr>
        <w:t>כ לא אמרינן איגלאי מילתא דשפוי היה כשנתנו לה הגט ותונבא בעלמא הוא דנקטיה והגט כשר</w:t>
      </w:r>
      <w:r>
        <w:rPr>
          <w:rFonts w:cs="Arial" w:hint="cs"/>
          <w:rtl/>
        </w:rPr>
        <w:t>,</w:t>
      </w:r>
      <w:r>
        <w:rPr>
          <w:rFonts w:cs="Arial"/>
          <w:rtl/>
        </w:rPr>
        <w:t xml:space="preserve"> אלא מספקינן לן שמא שוטה היה באותו שעה והוה לן ספק מגורשת</w:t>
      </w:r>
      <w:r>
        <w:rPr>
          <w:rFonts w:cs="Arial" w:hint="cs"/>
          <w:rtl/>
        </w:rPr>
        <w:t>.</w:t>
      </w:r>
    </w:p>
  </w:footnote>
  <w:footnote w:id="283">
    <w:p w14:paraId="73354322" w14:textId="1B1DB1A8" w:rsidR="004A69A4" w:rsidRDefault="004A69A4">
      <w:pPr>
        <w:pStyle w:val="a5"/>
        <w:rPr>
          <w:rtl/>
        </w:rPr>
      </w:pPr>
      <w:r>
        <w:rPr>
          <w:rStyle w:val="a7"/>
        </w:rPr>
        <w:footnoteRef/>
      </w:r>
      <w:r>
        <w:rPr>
          <w:rtl/>
        </w:rPr>
        <w:t xml:space="preserve"> </w:t>
      </w:r>
      <w:r w:rsidRPr="004A69A4">
        <w:rPr>
          <w:rFonts w:cs="Arial"/>
          <w:rtl/>
        </w:rPr>
        <w:t>ולשון זה מוכיח כדמשמע לכאורה מדברי התוס</w:t>
      </w:r>
      <w:r>
        <w:rPr>
          <w:rFonts w:cs="Arial" w:hint="cs"/>
          <w:rtl/>
        </w:rPr>
        <w:t>'</w:t>
      </w:r>
      <w:r w:rsidRPr="004A69A4">
        <w:rPr>
          <w:rFonts w:cs="Arial"/>
          <w:rtl/>
        </w:rPr>
        <w:t xml:space="preserve">. דע שטעות הוא שנפל בספרים וצריך להגיה </w:t>
      </w:r>
      <w:r w:rsidRPr="004A69A4">
        <w:rPr>
          <w:rFonts w:cs="Arial" w:hint="cs"/>
          <w:rtl/>
        </w:rPr>
        <w:t>'</w:t>
      </w:r>
      <w:r w:rsidRPr="004A69A4">
        <w:rPr>
          <w:rFonts w:cs="Arial"/>
          <w:rtl/>
        </w:rPr>
        <w:t>כתיבתו</w:t>
      </w:r>
      <w:r w:rsidRPr="004A69A4">
        <w:rPr>
          <w:rFonts w:cs="Arial" w:hint="cs"/>
          <w:rtl/>
        </w:rPr>
        <w:t>'</w:t>
      </w:r>
      <w:r w:rsidRPr="004A69A4">
        <w:rPr>
          <w:rFonts w:cs="Arial"/>
          <w:rtl/>
        </w:rPr>
        <w:t xml:space="preserve"> במקום </w:t>
      </w:r>
      <w:r w:rsidRPr="004A69A4">
        <w:rPr>
          <w:rFonts w:cs="Arial" w:hint="cs"/>
          <w:rtl/>
        </w:rPr>
        <w:t>'</w:t>
      </w:r>
      <w:r w:rsidRPr="004A69A4">
        <w:rPr>
          <w:rFonts w:cs="Arial"/>
          <w:rtl/>
        </w:rPr>
        <w:t>נתינתו</w:t>
      </w:r>
      <w:r w:rsidRPr="004A69A4">
        <w:rPr>
          <w:rFonts w:cs="Arial" w:hint="cs"/>
          <w:rtl/>
        </w:rPr>
        <w:t>'</w:t>
      </w:r>
      <w:r w:rsidRPr="004A69A4">
        <w:rPr>
          <w:rFonts w:cs="Arial"/>
          <w:rtl/>
        </w:rPr>
        <w:t xml:space="preserve"> </w:t>
      </w:r>
      <w:r w:rsidRPr="004A69A4">
        <w:rPr>
          <w:rFonts w:cs="Arial" w:hint="cs"/>
          <w:sz w:val="16"/>
          <w:szCs w:val="16"/>
          <w:rtl/>
        </w:rPr>
        <w:t>(</w:t>
      </w:r>
      <w:r w:rsidRPr="004A69A4">
        <w:rPr>
          <w:rFonts w:cs="Arial"/>
          <w:sz w:val="16"/>
          <w:szCs w:val="16"/>
          <w:rtl/>
        </w:rPr>
        <w:t xml:space="preserve">שהרי רבינו (עו.) וגם רבינו ירוחם (נכ"ד ח"ב רו ע"ג) כתבו הסדר ההוא תיבה בתיבה וכתבו </w:t>
      </w:r>
      <w:r w:rsidRPr="004A69A4">
        <w:rPr>
          <w:rFonts w:cs="Arial" w:hint="cs"/>
          <w:sz w:val="16"/>
          <w:szCs w:val="16"/>
          <w:rtl/>
        </w:rPr>
        <w:t>'</w:t>
      </w:r>
      <w:r w:rsidRPr="004A69A4">
        <w:rPr>
          <w:rFonts w:cs="Arial"/>
          <w:sz w:val="16"/>
          <w:szCs w:val="16"/>
          <w:rtl/>
        </w:rPr>
        <w:t>עד גמר כתיבתו</w:t>
      </w:r>
      <w:r w:rsidRPr="004A69A4">
        <w:rPr>
          <w:rFonts w:cs="Arial" w:hint="cs"/>
          <w:sz w:val="16"/>
          <w:szCs w:val="16"/>
          <w:rtl/>
        </w:rPr>
        <w:t>'.</w:t>
      </w:r>
      <w:r w:rsidRPr="004A69A4">
        <w:rPr>
          <w:rFonts w:cs="Arial"/>
          <w:sz w:val="16"/>
          <w:szCs w:val="16"/>
          <w:rtl/>
        </w:rPr>
        <w:t xml:space="preserve"> וגם הוא זכרונו לברכה בתשובותיו כלל מ"ה (סי' כט) כשכתב סדר הגט כתב יזהר שיהא החולה שפוי ומיושב מתחלה בכתיבת הגט עד גמרו</w:t>
      </w:r>
      <w:r w:rsidRPr="004A69A4">
        <w:rPr>
          <w:rFonts w:cs="Arial" w:hint="cs"/>
          <w:sz w:val="16"/>
          <w:szCs w:val="16"/>
          <w:rtl/>
        </w:rPr>
        <w:t>.</w:t>
      </w:r>
      <w:r w:rsidRPr="004A69A4">
        <w:rPr>
          <w:rFonts w:cs="Arial"/>
          <w:sz w:val="16"/>
          <w:szCs w:val="16"/>
          <w:rtl/>
        </w:rPr>
        <w:t xml:space="preserve"> ולישנא דעד גמרו משמע דאכתיבת הגט קאי כלומר עד גמר כתיבתו</w:t>
      </w:r>
      <w:r w:rsidRPr="004A69A4">
        <w:rPr>
          <w:rFonts w:cs="Arial" w:hint="cs"/>
          <w:sz w:val="16"/>
          <w:szCs w:val="16"/>
          <w:rtl/>
        </w:rPr>
        <w:t>.</w:t>
      </w:r>
      <w:r w:rsidRPr="004A69A4">
        <w:rPr>
          <w:rFonts w:cs="Arial"/>
          <w:sz w:val="16"/>
          <w:szCs w:val="16"/>
          <w:rtl/>
        </w:rPr>
        <w:t xml:space="preserve"> וגם בכלל מ"ה סימן י"ח משמע מדבריו דלא בעינן שיהא שפוי אלא בשעת כתיבה ונתינה דוקא</w:t>
      </w:r>
      <w:r w:rsidRPr="004A69A4">
        <w:rPr>
          <w:rFonts w:cs="Arial" w:hint="cs"/>
          <w:sz w:val="16"/>
          <w:szCs w:val="16"/>
          <w:rtl/>
        </w:rPr>
        <w:t>,</w:t>
      </w:r>
      <w:r w:rsidRPr="004A69A4">
        <w:rPr>
          <w:rFonts w:cs="Arial"/>
          <w:sz w:val="16"/>
          <w:szCs w:val="16"/>
          <w:rtl/>
        </w:rPr>
        <w:t xml:space="preserve"> אבל בין כתיבה לנתינה לית לן בה</w:t>
      </w:r>
      <w:r w:rsidRPr="004A69A4">
        <w:rPr>
          <w:rFonts w:cs="Arial" w:hint="cs"/>
          <w:sz w:val="16"/>
          <w:szCs w:val="16"/>
          <w:rtl/>
        </w:rPr>
        <w:t>.</w:t>
      </w:r>
      <w:r w:rsidRPr="004A69A4">
        <w:rPr>
          <w:rFonts w:cs="Arial"/>
          <w:sz w:val="16"/>
          <w:szCs w:val="16"/>
          <w:rtl/>
        </w:rPr>
        <w:t xml:space="preserve"> וגם הגהות בפ</w:t>
      </w:r>
      <w:r w:rsidRPr="004A69A4">
        <w:rPr>
          <w:rFonts w:cs="Arial" w:hint="cs"/>
          <w:sz w:val="16"/>
          <w:szCs w:val="16"/>
          <w:rtl/>
        </w:rPr>
        <w:t>"</w:t>
      </w:r>
      <w:r w:rsidRPr="004A69A4">
        <w:rPr>
          <w:rFonts w:cs="Arial"/>
          <w:sz w:val="16"/>
          <w:szCs w:val="16"/>
          <w:rtl/>
        </w:rPr>
        <w:t>ב מהל</w:t>
      </w:r>
      <w:r w:rsidRPr="004A69A4">
        <w:rPr>
          <w:rFonts w:cs="Arial" w:hint="cs"/>
          <w:sz w:val="16"/>
          <w:szCs w:val="16"/>
          <w:rtl/>
        </w:rPr>
        <w:t>'</w:t>
      </w:r>
      <w:r w:rsidRPr="004A69A4">
        <w:rPr>
          <w:rFonts w:cs="Arial"/>
          <w:sz w:val="16"/>
          <w:szCs w:val="16"/>
          <w:rtl/>
        </w:rPr>
        <w:t xml:space="preserve"> גירושין (אות ע) בשם התרומה (סי' קל לג ע"ג) וסמ"ג (עשין נ קלב ע"א) כתבו דאומר ר"י דיש ליזהר בשעת כתיבה</w:t>
      </w:r>
      <w:r w:rsidRPr="004A69A4">
        <w:rPr>
          <w:rFonts w:cs="Arial" w:hint="cs"/>
          <w:sz w:val="16"/>
          <w:szCs w:val="16"/>
          <w:rtl/>
        </w:rPr>
        <w:t>.</w:t>
      </w:r>
      <w:r w:rsidRPr="004A69A4">
        <w:rPr>
          <w:rFonts w:cs="Arial"/>
          <w:sz w:val="16"/>
          <w:szCs w:val="16"/>
          <w:rtl/>
        </w:rPr>
        <w:t xml:space="preserve"> וגם המרדכי (סי' תכ"א) והרשב"א (ע: ד"ה הא דאקשינן אלא) והר"ן (לד. דיבור ראשון) והרא"ש (פ"ו ס"א) כתבו בשם ר"י דיש ליזהר בשעת כתיבה</w:t>
      </w:r>
      <w:r w:rsidRPr="004A69A4">
        <w:rPr>
          <w:rFonts w:cs="Arial" w:hint="cs"/>
          <w:sz w:val="16"/>
          <w:szCs w:val="16"/>
          <w:rtl/>
        </w:rPr>
        <w:t>,</w:t>
      </w:r>
      <w:r w:rsidRPr="004A69A4">
        <w:rPr>
          <w:rFonts w:cs="Arial"/>
          <w:sz w:val="16"/>
          <w:szCs w:val="16"/>
          <w:rtl/>
        </w:rPr>
        <w:t xml:space="preserve"> ולא הזכירו נתינה כלל</w:t>
      </w:r>
      <w:r w:rsidRPr="004A69A4">
        <w:rPr>
          <w:rFonts w:cs="Arial" w:hint="cs"/>
          <w:sz w:val="16"/>
          <w:szCs w:val="16"/>
          <w:rtl/>
        </w:rPr>
        <w:t xml:space="preserve"> </w:t>
      </w:r>
      <w:r w:rsidRPr="004A69A4">
        <w:rPr>
          <w:rFonts w:cs="Arial" w:hint="cs"/>
          <w:sz w:val="14"/>
          <w:szCs w:val="14"/>
          <w:rtl/>
        </w:rPr>
        <w:t>{</w:t>
      </w:r>
      <w:r w:rsidRPr="004A69A4">
        <w:rPr>
          <w:rFonts w:cs="Arial"/>
          <w:sz w:val="14"/>
          <w:szCs w:val="14"/>
          <w:rtl/>
        </w:rPr>
        <w:t>ודבריו צריכין עיון שהרי בספרים שלנו הר"ן והמרדכי כתבו בשם ר"י שצריך לחוש לנתינה</w:t>
      </w:r>
      <w:r w:rsidRPr="004A69A4">
        <w:rPr>
          <w:rFonts w:cs="Arial" w:hint="cs"/>
          <w:sz w:val="14"/>
          <w:szCs w:val="14"/>
          <w:rtl/>
        </w:rPr>
        <w:t>, דרכ"מ [אות ב]}</w:t>
      </w:r>
      <w:r>
        <w:rPr>
          <w:rFonts w:cs="Arial" w:hint="cs"/>
          <w:sz w:val="16"/>
          <w:szCs w:val="16"/>
          <w:rtl/>
        </w:rPr>
        <w:t>)</w:t>
      </w:r>
      <w:r w:rsidRPr="004A69A4">
        <w:rPr>
          <w:rFonts w:cs="Arial" w:hint="cs"/>
          <w:rtl/>
        </w:rPr>
        <w:t>.</w:t>
      </w:r>
      <w:r w:rsidRPr="004A69A4">
        <w:rPr>
          <w:rFonts w:cs="Arial"/>
          <w:rtl/>
        </w:rPr>
        <w:t xml:space="preserve"> משמע דהא מיהא בין כתיבה לנתינה אע</w:t>
      </w:r>
      <w:r w:rsidRPr="004A69A4">
        <w:rPr>
          <w:rFonts w:cs="Arial" w:hint="cs"/>
          <w:rtl/>
        </w:rPr>
        <w:t>"</w:t>
      </w:r>
      <w:r w:rsidRPr="004A69A4">
        <w:rPr>
          <w:rFonts w:cs="Arial"/>
          <w:rtl/>
        </w:rPr>
        <w:t xml:space="preserve">פ שיתקלקל </w:t>
      </w:r>
      <w:r w:rsidRPr="004A69A4">
        <w:rPr>
          <w:rFonts w:cs="Arial" w:hint="cs"/>
          <w:rtl/>
        </w:rPr>
        <w:t xml:space="preserve">- </w:t>
      </w:r>
      <w:r w:rsidRPr="004A69A4">
        <w:rPr>
          <w:rFonts w:cs="Arial"/>
          <w:rtl/>
        </w:rPr>
        <w:t>לית לן בה לכולי עלמא</w:t>
      </w:r>
      <w:r w:rsidRPr="004A69A4">
        <w:rPr>
          <w:rFonts w:cs="Arial" w:hint="cs"/>
          <w:rtl/>
        </w:rPr>
        <w:t>,</w:t>
      </w:r>
      <w:r w:rsidRPr="004A69A4">
        <w:rPr>
          <w:rFonts w:cs="Arial"/>
          <w:rtl/>
        </w:rPr>
        <w:t xml:space="preserve"> דאפילו על שעת נתינה דנין אי בעינן שיהא שפוי כמו שאכתוב בסמוך בסייעתא דשמיא</w:t>
      </w:r>
      <w:r>
        <w:rPr>
          <w:rFonts w:hint="cs"/>
          <w:rtl/>
        </w:rPr>
        <w:t>, ב"י.</w:t>
      </w:r>
      <w:r w:rsidR="007825ED" w:rsidRPr="007825ED">
        <w:rPr>
          <w:rFonts w:cs="Arial" w:hint="cs"/>
          <w:rtl/>
        </w:rPr>
        <w:t xml:space="preserve"> </w:t>
      </w:r>
    </w:p>
  </w:footnote>
  <w:footnote w:id="284">
    <w:p w14:paraId="36398285" w14:textId="0B6B4155" w:rsidR="00F30D75" w:rsidRDefault="00F30D75">
      <w:pPr>
        <w:pStyle w:val="a5"/>
      </w:pPr>
      <w:r>
        <w:rPr>
          <w:rStyle w:val="a7"/>
        </w:rPr>
        <w:footnoteRef/>
      </w:r>
      <w:r>
        <w:rPr>
          <w:rtl/>
        </w:rPr>
        <w:t xml:space="preserve"> </w:t>
      </w:r>
      <w:r w:rsidR="00B17361" w:rsidRPr="00B17361">
        <w:rPr>
          <w:rFonts w:cs="Arial"/>
          <w:rtl/>
        </w:rPr>
        <w:t>וקשיא לי דהא אמרי' לקמן בפירקין גמ' לא תתיחד עמו (עג</w:t>
      </w:r>
      <w:r w:rsidR="00B17361">
        <w:rPr>
          <w:rFonts w:cs="Arial" w:hint="cs"/>
          <w:rtl/>
        </w:rPr>
        <w:t>:</w:t>
      </w:r>
      <w:r w:rsidR="00B17361" w:rsidRPr="00B17361">
        <w:rPr>
          <w:rFonts w:cs="Arial"/>
          <w:rtl/>
        </w:rPr>
        <w:t>) באומר מעת שאני בעולם דמשמע שאינו רוצה שיחול הגט אלא רגע אחרון שהוא בעולם ואותו רגע א"א לבודקו, ומדברי רבותינו בעלי התוס' נ"ל שאין מקפידין אלא בשעת כתיבה ושלא כדברי הירושלמי</w:t>
      </w:r>
      <w:r w:rsidR="00EC7FA2">
        <w:rPr>
          <w:rFonts w:cs="Arial" w:hint="cs"/>
          <w:rtl/>
        </w:rPr>
        <w:t xml:space="preserve"> (שם)</w:t>
      </w:r>
      <w:r w:rsidR="00B17361" w:rsidRPr="00B17361">
        <w:rPr>
          <w:rFonts w:cs="Arial"/>
          <w:rtl/>
        </w:rPr>
        <w:t xml:space="preserve"> והתוספתא </w:t>
      </w:r>
      <w:r w:rsidR="00EC7FA2" w:rsidRPr="004A69A4">
        <w:rPr>
          <w:rFonts w:cs="Arial"/>
          <w:rtl/>
        </w:rPr>
        <w:t>(רפ"ה דגיטין)</w:t>
      </w:r>
      <w:r w:rsidR="00EC7FA2">
        <w:rPr>
          <w:rFonts w:cs="Arial" w:hint="cs"/>
          <w:rtl/>
        </w:rPr>
        <w:t xml:space="preserve"> </w:t>
      </w:r>
      <w:r w:rsidR="00B17361" w:rsidRPr="00B17361">
        <w:rPr>
          <w:rFonts w:cs="Arial"/>
          <w:rtl/>
        </w:rPr>
        <w:t>וצל"ע</w:t>
      </w:r>
      <w:r w:rsidR="00B17361">
        <w:rPr>
          <w:rFonts w:cs="Arial" w:hint="cs"/>
          <w:rtl/>
        </w:rPr>
        <w:t xml:space="preserve">, </w:t>
      </w:r>
      <w:r w:rsidR="00B17361" w:rsidRPr="00B17361">
        <w:rPr>
          <w:rFonts w:cs="Arial" w:hint="cs"/>
          <w:b/>
          <w:bCs/>
          <w:rtl/>
        </w:rPr>
        <w:t>רשב"א</w:t>
      </w:r>
      <w:r w:rsidR="00B17361">
        <w:rPr>
          <w:rFonts w:cs="Arial" w:hint="cs"/>
          <w:rtl/>
        </w:rPr>
        <w:t xml:space="preserve"> (שם).    </w:t>
      </w:r>
      <w:r w:rsidR="00B17361" w:rsidRPr="00B17361">
        <w:rPr>
          <w:rFonts w:cs="Arial"/>
          <w:rtl/>
        </w:rPr>
        <w:t xml:space="preserve"> </w:t>
      </w:r>
      <w:r w:rsidRPr="004A69A4">
        <w:rPr>
          <w:rFonts w:cs="Arial"/>
          <w:rtl/>
        </w:rPr>
        <w:t>ולגירסת התוס</w:t>
      </w:r>
      <w:r>
        <w:rPr>
          <w:rFonts w:cs="Arial" w:hint="cs"/>
          <w:rtl/>
        </w:rPr>
        <w:t>'</w:t>
      </w:r>
      <w:r w:rsidRPr="004A69A4">
        <w:rPr>
          <w:rFonts w:cs="Arial"/>
          <w:rtl/>
        </w:rPr>
        <w:t xml:space="preserve"> שבידינו פשיטא דמקפידין הם על שעת נתינה</w:t>
      </w:r>
      <w:r>
        <w:rPr>
          <w:rFonts w:cs="Arial" w:hint="cs"/>
          <w:rtl/>
        </w:rPr>
        <w:t>,</w:t>
      </w:r>
      <w:r w:rsidRPr="004A69A4">
        <w:rPr>
          <w:rFonts w:cs="Arial"/>
          <w:rtl/>
        </w:rPr>
        <w:t xml:space="preserve"> והבו דלא לוסיף עלה להקפיד בין שעת כתיבה לנתינה</w:t>
      </w:r>
      <w:r>
        <w:rPr>
          <w:rFonts w:cs="Arial" w:hint="cs"/>
          <w:rtl/>
        </w:rPr>
        <w:t>.</w:t>
      </w:r>
      <w:r w:rsidRPr="004A69A4">
        <w:rPr>
          <w:rFonts w:cs="Arial"/>
          <w:rtl/>
        </w:rPr>
        <w:t xml:space="preserve"> ואפילו לגירסת התוס</w:t>
      </w:r>
      <w:r>
        <w:rPr>
          <w:rFonts w:cs="Arial" w:hint="cs"/>
          <w:rtl/>
        </w:rPr>
        <w:t>'</w:t>
      </w:r>
      <w:r w:rsidRPr="004A69A4">
        <w:rPr>
          <w:rFonts w:cs="Arial"/>
          <w:rtl/>
        </w:rPr>
        <w:t xml:space="preserve"> שביד הרשב"א דלא מדכרו אלא שעת כתיבה איכא למימר דסירכא דגמרא נקטי דמיירי באחזו קורדייקוס בשעת כתיבה</w:t>
      </w:r>
      <w:r>
        <w:rPr>
          <w:rFonts w:cs="Arial" w:hint="cs"/>
          <w:rtl/>
        </w:rPr>
        <w:t>,</w:t>
      </w:r>
      <w:r w:rsidRPr="004A69A4">
        <w:rPr>
          <w:rFonts w:cs="Arial"/>
          <w:rtl/>
        </w:rPr>
        <w:t xml:space="preserve"> אבל אין הכי נמי שיש ליזהר גם בשעת נתינה</w:t>
      </w:r>
      <w:r>
        <w:rPr>
          <w:rFonts w:cs="Arial" w:hint="cs"/>
          <w:rtl/>
        </w:rPr>
        <w:t xml:space="preserve">, </w:t>
      </w:r>
      <w:r w:rsidRPr="00EC7FA2">
        <w:rPr>
          <w:rFonts w:cs="Arial" w:hint="cs"/>
          <w:b/>
          <w:bCs/>
          <w:rtl/>
        </w:rPr>
        <w:t>ב"י</w:t>
      </w:r>
      <w:r>
        <w:rPr>
          <w:rFonts w:cs="Arial" w:hint="cs"/>
          <w:rtl/>
        </w:rPr>
        <w:t>.</w:t>
      </w:r>
    </w:p>
  </w:footnote>
  <w:footnote w:id="285">
    <w:p w14:paraId="1B73AAD5" w14:textId="0344D391" w:rsidR="00166EFE" w:rsidRDefault="00166EFE" w:rsidP="00166EFE">
      <w:pPr>
        <w:pStyle w:val="a5"/>
      </w:pPr>
      <w:r>
        <w:rPr>
          <w:rStyle w:val="a7"/>
        </w:rPr>
        <w:footnoteRef/>
      </w:r>
      <w:r w:rsidRPr="005E486B">
        <w:rPr>
          <w:rFonts w:cs="Arial"/>
          <w:rtl/>
        </w:rPr>
        <w:t xml:space="preserve"> וזהו אינו נראה דהרי בסדר הגט של הרא"ש כתב בהדיא דהגט פסול</w:t>
      </w:r>
      <w:r w:rsidR="003C7304">
        <w:rPr>
          <w:rFonts w:cs="Arial" w:hint="cs"/>
          <w:rtl/>
        </w:rPr>
        <w:t>, דרכ"מ (אות ג).</w:t>
      </w:r>
      <w:r w:rsidR="009B5222" w:rsidRPr="009B5222">
        <w:rPr>
          <w:rtl/>
        </w:rPr>
        <w:t xml:space="preserve"> </w:t>
      </w:r>
      <w:r w:rsidR="009B5222">
        <w:rPr>
          <w:rFonts w:cs="Arial" w:hint="cs"/>
          <w:rtl/>
        </w:rPr>
        <w:t>וכתב הב"ש (סק"ה) על דברי הדרכ"מ הנ"ל ד</w:t>
      </w:r>
      <w:r w:rsidR="009B5222" w:rsidRPr="009B5222">
        <w:rPr>
          <w:rFonts w:cs="Arial"/>
          <w:rtl/>
        </w:rPr>
        <w:t>ליתא</w:t>
      </w:r>
      <w:r w:rsidR="009B5222">
        <w:rPr>
          <w:rFonts w:cs="Arial" w:hint="cs"/>
          <w:rtl/>
        </w:rPr>
        <w:t>,</w:t>
      </w:r>
      <w:r w:rsidR="009B5222" w:rsidRPr="009B5222">
        <w:rPr>
          <w:rFonts w:cs="Arial"/>
          <w:rtl/>
        </w:rPr>
        <w:t xml:space="preserve"> אלא שם </w:t>
      </w:r>
      <w:r w:rsidR="009B5222">
        <w:rPr>
          <w:rFonts w:cs="Arial" w:hint="cs"/>
          <w:sz w:val="16"/>
          <w:szCs w:val="16"/>
          <w:rtl/>
        </w:rPr>
        <w:t>{</w:t>
      </w:r>
      <w:r w:rsidR="003D3BC2">
        <w:rPr>
          <w:rFonts w:cs="Arial" w:hint="cs"/>
          <w:sz w:val="16"/>
          <w:szCs w:val="16"/>
          <w:rtl/>
        </w:rPr>
        <w:t xml:space="preserve">בסדר הגט לרא"ש} </w:t>
      </w:r>
      <w:r w:rsidR="009B5222" w:rsidRPr="009B5222">
        <w:rPr>
          <w:rFonts w:cs="Arial"/>
          <w:rtl/>
        </w:rPr>
        <w:t>איירי כשידוע שלא היה בדעתו</w:t>
      </w:r>
      <w:r w:rsidR="003D3BC2">
        <w:rPr>
          <w:rFonts w:cs="Arial" w:hint="cs"/>
          <w:rtl/>
        </w:rPr>
        <w:t>.</w:t>
      </w:r>
      <w:r w:rsidR="009B5222" w:rsidRPr="009B5222">
        <w:rPr>
          <w:rFonts w:cs="Arial"/>
          <w:rtl/>
        </w:rPr>
        <w:t xml:space="preserve"> ומשמע אפי' לא בדקו בעת שצוה לכתוב נמי הדין כן כמ"ש הב"י</w:t>
      </w:r>
      <w:r w:rsidR="003D3BC2">
        <w:rPr>
          <w:rFonts w:hint="cs"/>
          <w:rtl/>
        </w:rPr>
        <w:t>.</w:t>
      </w:r>
    </w:p>
  </w:footnote>
  <w:footnote w:id="286">
    <w:p w14:paraId="3FB383D8" w14:textId="11748809" w:rsidR="002736DB" w:rsidRDefault="002736DB">
      <w:pPr>
        <w:pStyle w:val="a5"/>
      </w:pPr>
      <w:r>
        <w:rPr>
          <w:rStyle w:val="a7"/>
        </w:rPr>
        <w:footnoteRef/>
      </w:r>
      <w:r>
        <w:rPr>
          <w:rtl/>
        </w:rPr>
        <w:t xml:space="preserve"> </w:t>
      </w:r>
      <w:r>
        <w:rPr>
          <w:rFonts w:hint="cs"/>
          <w:rtl/>
        </w:rPr>
        <w:t>צריך עיון שוב בדברי הב"ש (סק"ה) ממה שכתב 'ואם נשתתק בחליו' עד הסוף. שחולק שם על הב"י.</w:t>
      </w:r>
    </w:p>
  </w:footnote>
  <w:footnote w:id="287">
    <w:p w14:paraId="5F325C6E" w14:textId="6C543B8D" w:rsidR="003D3BC2" w:rsidRDefault="003D3BC2">
      <w:pPr>
        <w:pStyle w:val="a5"/>
      </w:pPr>
      <w:r>
        <w:rPr>
          <w:rStyle w:val="a7"/>
        </w:rPr>
        <w:footnoteRef/>
      </w:r>
      <w:r>
        <w:rPr>
          <w:rtl/>
        </w:rPr>
        <w:t xml:space="preserve"> </w:t>
      </w:r>
      <w:r>
        <w:rPr>
          <w:rFonts w:hint="cs"/>
          <w:rtl/>
        </w:rPr>
        <w:t xml:space="preserve">אך הב"ש (סק"ה) כתב </w:t>
      </w:r>
      <w:r>
        <w:rPr>
          <w:rFonts w:cs="Arial" w:hint="cs"/>
          <w:rtl/>
        </w:rPr>
        <w:t>ד</w:t>
      </w:r>
      <w:r w:rsidRPr="003D3BC2">
        <w:rPr>
          <w:rFonts w:cs="Arial"/>
          <w:rtl/>
        </w:rPr>
        <w:t xml:space="preserve">אם לא </w:t>
      </w:r>
      <w:r>
        <w:rPr>
          <w:rFonts w:cs="Arial" w:hint="cs"/>
          <w:rtl/>
        </w:rPr>
        <w:t xml:space="preserve">היה </w:t>
      </w:r>
      <w:r w:rsidRPr="003D3BC2">
        <w:rPr>
          <w:rFonts w:cs="Arial"/>
          <w:rtl/>
        </w:rPr>
        <w:t>שפוי בעת הכתיבה תלוי בפלוגתא שכתבתי לעיל</w:t>
      </w:r>
      <w:r>
        <w:rPr>
          <w:rFonts w:cs="Arial" w:hint="cs"/>
          <w:rtl/>
        </w:rPr>
        <w:t xml:space="preserve"> (סק"ג)</w:t>
      </w:r>
      <w:r w:rsidRPr="003D3BC2">
        <w:rPr>
          <w:rFonts w:cs="Arial"/>
          <w:rtl/>
        </w:rPr>
        <w:t xml:space="preserve"> להרמב"ם אינו אלא מדרבנן</w:t>
      </w:r>
      <w:r w:rsidR="009C1955">
        <w:rPr>
          <w:rFonts w:cs="Arial" w:hint="cs"/>
          <w:rtl/>
        </w:rPr>
        <w:t>,</w:t>
      </w:r>
      <w:r w:rsidRPr="003D3BC2">
        <w:rPr>
          <w:rFonts w:cs="Arial"/>
          <w:rtl/>
        </w:rPr>
        <w:t xml:space="preserve"> ולהטור והש</w:t>
      </w:r>
      <w:r>
        <w:rPr>
          <w:rFonts w:cs="Arial" w:hint="cs"/>
          <w:rtl/>
        </w:rPr>
        <w:t>לט</w:t>
      </w:r>
      <w:r w:rsidRPr="003D3BC2">
        <w:rPr>
          <w:rFonts w:cs="Arial"/>
          <w:rtl/>
        </w:rPr>
        <w:t>"ג מדאורייתא</w:t>
      </w:r>
      <w:r>
        <w:rPr>
          <w:rFonts w:hint="cs"/>
          <w:rtl/>
        </w:rPr>
        <w:t>.</w:t>
      </w:r>
      <w:r w:rsidRPr="003D3BC2">
        <w:rPr>
          <w:rtl/>
        </w:rPr>
        <w:t xml:space="preserve"> </w:t>
      </w:r>
      <w:r w:rsidRPr="003D3BC2">
        <w:rPr>
          <w:rFonts w:cs="Arial"/>
          <w:rtl/>
        </w:rPr>
        <w:t>ואם לא שפוי בעת הנתינה י"ל גם הטור מודה</w:t>
      </w:r>
      <w:r>
        <w:rPr>
          <w:rFonts w:cs="Arial" w:hint="cs"/>
          <w:rtl/>
        </w:rPr>
        <w:t>.</w:t>
      </w:r>
    </w:p>
  </w:footnote>
  <w:footnote w:id="288">
    <w:p w14:paraId="5C47E416" w14:textId="6B2BD0A9" w:rsidR="009B5222" w:rsidRDefault="009B5222">
      <w:pPr>
        <w:pStyle w:val="a5"/>
        <w:rPr>
          <w:rtl/>
        </w:rPr>
      </w:pPr>
      <w:r>
        <w:rPr>
          <w:rStyle w:val="a7"/>
        </w:rPr>
        <w:footnoteRef/>
      </w:r>
      <w:r>
        <w:rPr>
          <w:rtl/>
        </w:rPr>
        <w:t xml:space="preserve"> </w:t>
      </w:r>
      <w:r>
        <w:rPr>
          <w:rFonts w:cs="Arial" w:hint="cs"/>
          <w:rtl/>
        </w:rPr>
        <w:t>אך הדרכ"מ (אות א) כת</w:t>
      </w:r>
      <w:r w:rsidR="0065681E">
        <w:rPr>
          <w:rFonts w:cs="Arial" w:hint="cs"/>
          <w:rtl/>
        </w:rPr>
        <w:t>ב:</w:t>
      </w:r>
      <w:r>
        <w:rPr>
          <w:rFonts w:cs="Arial" w:hint="cs"/>
          <w:rtl/>
        </w:rPr>
        <w:t xml:space="preserve"> </w:t>
      </w:r>
      <w:r w:rsidRPr="005E486B">
        <w:rPr>
          <w:rFonts w:cs="Arial"/>
          <w:rtl/>
        </w:rPr>
        <w:t>בסדר הגט הנמצא בידינו (עי' ס</w:t>
      </w:r>
      <w:r>
        <w:rPr>
          <w:rFonts w:cs="Arial" w:hint="cs"/>
          <w:rtl/>
        </w:rPr>
        <w:t>ד</w:t>
      </w:r>
      <w:r w:rsidRPr="005E486B">
        <w:rPr>
          <w:rFonts w:cs="Arial"/>
          <w:rtl/>
        </w:rPr>
        <w:t>ה"ג למהר"י מרגלית סי' צו הגה' ב) שאנו נוהגין אחריו כתב שיש ליזהר שיהא שפוי מתחלת הכתיבה עד אחר הנתינה בנוסח סדר הגט של הרא"ש</w:t>
      </w:r>
      <w:r>
        <w:rPr>
          <w:rFonts w:cs="Arial" w:hint="cs"/>
          <w:rtl/>
        </w:rPr>
        <w:t>,</w:t>
      </w:r>
      <w:r w:rsidRPr="005E486B">
        <w:rPr>
          <w:rFonts w:cs="Arial"/>
          <w:rtl/>
        </w:rPr>
        <w:t xml:space="preserve"> וטוב לחוש לדבריו</w:t>
      </w:r>
      <w:r>
        <w:rPr>
          <w:rFonts w:cs="Arial" w:hint="cs"/>
          <w:rtl/>
        </w:rPr>
        <w:t>.</w:t>
      </w:r>
      <w:r>
        <w:rPr>
          <w:rFonts w:hint="cs"/>
          <w:rtl/>
        </w:rPr>
        <w:t xml:space="preserve"> עכ"ל. וכתב הב"ש (סק"ה) דיש להקל בדיעבד.</w:t>
      </w:r>
    </w:p>
  </w:footnote>
  <w:footnote w:id="289">
    <w:p w14:paraId="5AB03451" w14:textId="486D119F" w:rsidR="001E1EEA" w:rsidRDefault="001E1EEA">
      <w:pPr>
        <w:pStyle w:val="a5"/>
      </w:pPr>
      <w:r>
        <w:rPr>
          <w:rStyle w:val="a7"/>
        </w:rPr>
        <w:footnoteRef/>
      </w:r>
      <w:r>
        <w:rPr>
          <w:rtl/>
        </w:rPr>
        <w:t xml:space="preserve"> </w:t>
      </w:r>
      <w:r>
        <w:rPr>
          <w:rFonts w:cs="Arial"/>
          <w:rtl/>
        </w:rPr>
        <w:t>ופירש רש"י (ד"ה בודקין אותו) דשלשה פעמים היינו שלשה פעמים לאו ושלשה פעמים הן שהם ששה</w:t>
      </w:r>
      <w:r>
        <w:rPr>
          <w:rFonts w:cs="Arial" w:hint="cs"/>
          <w:rtl/>
        </w:rPr>
        <w:t>.</w:t>
      </w:r>
      <w:r>
        <w:rPr>
          <w:rFonts w:cs="Arial"/>
          <w:rtl/>
        </w:rPr>
        <w:t xml:space="preserve"> וכ</w:t>
      </w:r>
      <w:r>
        <w:rPr>
          <w:rFonts w:cs="Arial" w:hint="cs"/>
          <w:rtl/>
        </w:rPr>
        <w:t>"</w:t>
      </w:r>
      <w:r>
        <w:rPr>
          <w:rFonts w:cs="Arial"/>
          <w:rtl/>
        </w:rPr>
        <w:t>כ התוספות (ע: ד"ה בודקין) והרשב"א (ע: ד"ה ודילמא) והר"ן (לג: ד"ה מי)</w:t>
      </w:r>
      <w:r>
        <w:rPr>
          <w:rFonts w:cs="Arial" w:hint="cs"/>
          <w:rtl/>
        </w:rPr>
        <w:t>.</w:t>
      </w:r>
      <w:r>
        <w:rPr>
          <w:rFonts w:cs="Arial"/>
          <w:rtl/>
        </w:rPr>
        <w:t xml:space="preserve"> וכן אמרו בירושלמי (פ"ז סה"א) נכתוב גט לאשתך הן לאמך לאו לאשתך הן לבתך לאו לאשתך הן לחמותך לאו</w:t>
      </w:r>
      <w:r>
        <w:rPr>
          <w:rFonts w:cs="Arial" w:hint="cs"/>
          <w:rtl/>
        </w:rPr>
        <w:t>.</w:t>
      </w:r>
      <w:r>
        <w:rPr>
          <w:rFonts w:cs="Arial"/>
          <w:rtl/>
        </w:rPr>
        <w:t xml:space="preserve"> וכן נראה מדברי סמ"ג (קלב ע"א) ורבינו ירוחם (שם). ואע</w:t>
      </w:r>
      <w:r>
        <w:rPr>
          <w:rFonts w:cs="Arial" w:hint="cs"/>
          <w:rtl/>
        </w:rPr>
        <w:t>"</w:t>
      </w:r>
      <w:r>
        <w:rPr>
          <w:rFonts w:cs="Arial"/>
          <w:rtl/>
        </w:rPr>
        <w:t>ג דאמרינן בההוא פירקא גופיה (עב.) לא יכתבו הגט עד שישמעו קולו שיאמר לסופר כתוב וכו' כבר אמרו בירושלמי (פ"ז ה"א) היא שמיעת הקול היא הרכנת הראש דכיון שעושה בגופו מעשה המוכיח שמצוה להם שיכתבו ויחתמו ויתנו גט לאשתו חשיב כאילו מצוה כן בפיו</w:t>
      </w:r>
      <w:r>
        <w:rPr>
          <w:rFonts w:cs="Arial" w:hint="cs"/>
          <w:rtl/>
        </w:rPr>
        <w:t>, ב"י.</w:t>
      </w:r>
    </w:p>
  </w:footnote>
  <w:footnote w:id="290">
    <w:p w14:paraId="5A1BB618" w14:textId="38B38545" w:rsidR="00DA273E" w:rsidRDefault="00DA273E">
      <w:pPr>
        <w:pStyle w:val="a5"/>
      </w:pPr>
      <w:r>
        <w:rPr>
          <w:rStyle w:val="a7"/>
        </w:rPr>
        <w:footnoteRef/>
      </w:r>
      <w:r>
        <w:rPr>
          <w:rtl/>
        </w:rPr>
        <w:t xml:space="preserve"> </w:t>
      </w:r>
      <w:r w:rsidRPr="00DA273E">
        <w:rPr>
          <w:rFonts w:cs="Arial"/>
          <w:rtl/>
        </w:rPr>
        <w:t>חולי של שגעון המלמדו תמיד להרכין ראשו בהרכנת לאו או הין ואינו משיב על דברי שאלתם</w:t>
      </w:r>
      <w:r>
        <w:rPr>
          <w:rFonts w:cs="Arial" w:hint="cs"/>
          <w:rtl/>
        </w:rPr>
        <w:t>, רש"י.</w:t>
      </w:r>
    </w:p>
  </w:footnote>
  <w:footnote w:id="291">
    <w:p w14:paraId="2E983F2B" w14:textId="7AA402E3" w:rsidR="00DA273E" w:rsidRDefault="00DA273E">
      <w:pPr>
        <w:pStyle w:val="a5"/>
      </w:pPr>
      <w:r>
        <w:rPr>
          <w:rStyle w:val="a7"/>
        </w:rPr>
        <w:footnoteRef/>
      </w:r>
      <w:r>
        <w:rPr>
          <w:rtl/>
        </w:rPr>
        <w:t xml:space="preserve"> </w:t>
      </w:r>
      <w:r w:rsidRPr="00DA273E">
        <w:rPr>
          <w:rFonts w:cs="Arial"/>
          <w:rtl/>
        </w:rPr>
        <w:t>ממתינין בין הרכנה לשאילה שעה וחוזרין ושואלין לו אותה שאילה עצמה</w:t>
      </w:r>
      <w:r>
        <w:rPr>
          <w:rFonts w:cs="Arial" w:hint="cs"/>
          <w:rtl/>
        </w:rPr>
        <w:t>, רש"י.</w:t>
      </w:r>
      <w:r w:rsidR="004206AE">
        <w:rPr>
          <w:rFonts w:hint="cs"/>
          <w:rtl/>
        </w:rPr>
        <w:t xml:space="preserve"> ועי' בהערה הבאה שיש עוד פירוש מהו סירוגין.</w:t>
      </w:r>
    </w:p>
  </w:footnote>
  <w:footnote w:id="292">
    <w:p w14:paraId="2FA8D0F0" w14:textId="64748665" w:rsidR="00DA273E" w:rsidRDefault="00DA273E">
      <w:pPr>
        <w:pStyle w:val="a5"/>
      </w:pPr>
      <w:r>
        <w:rPr>
          <w:rStyle w:val="a7"/>
        </w:rPr>
        <w:footnoteRef/>
      </w:r>
      <w:r>
        <w:rPr>
          <w:rtl/>
        </w:rPr>
        <w:t xml:space="preserve"> </w:t>
      </w:r>
      <w:r w:rsidRPr="00DA273E">
        <w:rPr>
          <w:rFonts w:cs="Arial"/>
          <w:rtl/>
        </w:rPr>
        <w:t>דכי הך שיחיא לא נקטיה</w:t>
      </w:r>
      <w:r>
        <w:rPr>
          <w:rFonts w:cs="Arial" w:hint="cs"/>
          <w:rtl/>
        </w:rPr>
        <w:t>, רש"י.</w:t>
      </w:r>
      <w:r w:rsidRPr="00DA273E">
        <w:rPr>
          <w:rFonts w:cs="Arial"/>
          <w:rtl/>
        </w:rPr>
        <w:t xml:space="preserve"> </w:t>
      </w:r>
      <w:r>
        <w:rPr>
          <w:rFonts w:cs="Arial"/>
          <w:rtl/>
        </w:rPr>
        <w:t>כלומר דאין דרך למינקט כי האי שיחיא</w:t>
      </w:r>
      <w:r w:rsidR="004206AE">
        <w:rPr>
          <w:rFonts w:hint="cs"/>
          <w:rtl/>
        </w:rPr>
        <w:t>...</w:t>
      </w:r>
      <w:r w:rsidR="004206AE" w:rsidRPr="004206AE">
        <w:rPr>
          <w:rtl/>
        </w:rPr>
        <w:t xml:space="preserve"> </w:t>
      </w:r>
      <w:r w:rsidR="004206AE" w:rsidRPr="004206AE">
        <w:rPr>
          <w:rFonts w:cs="Arial"/>
          <w:rtl/>
        </w:rPr>
        <w:t xml:space="preserve">ורבינו </w:t>
      </w:r>
      <w:r w:rsidR="004206AE">
        <w:rPr>
          <w:rFonts w:cs="Arial" w:hint="cs"/>
          <w:sz w:val="16"/>
          <w:szCs w:val="16"/>
          <w:rtl/>
        </w:rPr>
        <w:t xml:space="preserve">{הטור} </w:t>
      </w:r>
      <w:r w:rsidR="004206AE" w:rsidRPr="004206AE">
        <w:rPr>
          <w:rFonts w:cs="Arial"/>
          <w:rtl/>
        </w:rPr>
        <w:t>לא הזכיר שבודקין אותו בסירוגין</w:t>
      </w:r>
      <w:r w:rsidR="004206AE">
        <w:rPr>
          <w:rFonts w:cs="Arial" w:hint="cs"/>
          <w:sz w:val="16"/>
          <w:szCs w:val="16"/>
          <w:rtl/>
        </w:rPr>
        <w:t xml:space="preserve"> {כפירוש רש"י, אלא פירש אחרת}</w:t>
      </w:r>
      <w:r w:rsidR="004206AE">
        <w:rPr>
          <w:rFonts w:cs="Arial" w:hint="cs"/>
          <w:rtl/>
        </w:rPr>
        <w:t xml:space="preserve">... </w:t>
      </w:r>
      <w:r w:rsidR="004206AE" w:rsidRPr="004206AE">
        <w:rPr>
          <w:rFonts w:cs="Arial"/>
          <w:rtl/>
        </w:rPr>
        <w:t>ונראה לי שסובר דכיון דאסיקנא דבדקינן ליה בחד לאו ותרין הן וכו' ממילא הוי בודק ע</w:t>
      </w:r>
      <w:r w:rsidR="004206AE">
        <w:rPr>
          <w:rFonts w:cs="Arial" w:hint="cs"/>
          <w:rtl/>
        </w:rPr>
        <w:t>"</w:t>
      </w:r>
      <w:r w:rsidR="004206AE" w:rsidRPr="004206AE">
        <w:rPr>
          <w:rFonts w:cs="Arial"/>
          <w:rtl/>
        </w:rPr>
        <w:t>י סירוגין שהרי אחר שבדקוהו בחד לאו מניחין מלבודקו בלאו ובודקין אותו בתרי הן</w:t>
      </w:r>
      <w:r w:rsidR="004206AE">
        <w:rPr>
          <w:rFonts w:cs="Arial" w:hint="cs"/>
          <w:rtl/>
        </w:rPr>
        <w:t>,</w:t>
      </w:r>
      <w:r w:rsidR="004206AE" w:rsidRPr="004206AE">
        <w:rPr>
          <w:rFonts w:cs="Arial"/>
          <w:rtl/>
        </w:rPr>
        <w:t xml:space="preserve"> וא</w:t>
      </w:r>
      <w:r w:rsidR="004206AE">
        <w:rPr>
          <w:rFonts w:cs="Arial" w:hint="cs"/>
          <w:rtl/>
        </w:rPr>
        <w:t>ח"</w:t>
      </w:r>
      <w:r w:rsidR="004206AE" w:rsidRPr="004206AE">
        <w:rPr>
          <w:rFonts w:cs="Arial"/>
          <w:rtl/>
        </w:rPr>
        <w:t>כ מניחין מלבודקו בהן עד שבודקין אותו בלאו</w:t>
      </w:r>
      <w:r w:rsidR="004206AE">
        <w:rPr>
          <w:rFonts w:cs="Arial" w:hint="cs"/>
          <w:rtl/>
        </w:rPr>
        <w:t>,</w:t>
      </w:r>
      <w:r w:rsidR="004206AE" w:rsidRPr="004206AE">
        <w:rPr>
          <w:rFonts w:cs="Arial"/>
          <w:rtl/>
        </w:rPr>
        <w:t xml:space="preserve"> שכל שמניחין מלעשות הדבר שהתחילו נקרא סירוגין</w:t>
      </w:r>
      <w:r w:rsidR="004206AE">
        <w:rPr>
          <w:rFonts w:cs="Arial" w:hint="cs"/>
          <w:rtl/>
        </w:rPr>
        <w:t>.</w:t>
      </w:r>
      <w:r w:rsidR="004206AE" w:rsidRPr="004206AE">
        <w:rPr>
          <w:rFonts w:cs="Arial"/>
          <w:rtl/>
        </w:rPr>
        <w:t xml:space="preserve"> וכן נראה מהירושלמי (שם)</w:t>
      </w:r>
      <w:r w:rsidR="004206AE">
        <w:rPr>
          <w:rFonts w:cs="Arial" w:hint="cs"/>
          <w:rtl/>
        </w:rPr>
        <w:t>...</w:t>
      </w:r>
      <w:r w:rsidR="004206AE" w:rsidRPr="004206AE">
        <w:rPr>
          <w:rFonts w:cs="Arial"/>
          <w:rtl/>
        </w:rPr>
        <w:t xml:space="preserve"> ולפי זה אפשר לומר </w:t>
      </w:r>
      <w:r w:rsidR="008441BE">
        <w:rPr>
          <w:rFonts w:cs="Arial"/>
          <w:rtl/>
        </w:rPr>
        <w:t>דכי אמר רב נחמן בסירוגין היינו לומר דבדקינן ליה בחד לאו ותרין הן כדמפרש בתר הכי</w:t>
      </w:r>
      <w:r w:rsidR="008441BE">
        <w:rPr>
          <w:rFonts w:cs="Arial" w:hint="cs"/>
          <w:rtl/>
        </w:rPr>
        <w:t>,</w:t>
      </w:r>
      <w:r w:rsidR="008441BE">
        <w:rPr>
          <w:rFonts w:cs="Arial"/>
          <w:rtl/>
        </w:rPr>
        <w:t xml:space="preserve"> אלא דאידך </w:t>
      </w:r>
      <w:r w:rsidR="008441BE">
        <w:rPr>
          <w:rFonts w:cs="Arial" w:hint="cs"/>
          <w:sz w:val="16"/>
          <w:szCs w:val="16"/>
          <w:rtl/>
        </w:rPr>
        <w:t xml:space="preserve">{בגמ'} </w:t>
      </w:r>
      <w:r w:rsidR="008441BE">
        <w:rPr>
          <w:rFonts w:cs="Arial"/>
          <w:rtl/>
        </w:rPr>
        <w:t>סבר דסירוגין היינו שממתינין בין הרכנה לשאלה שעה וכדפירש רש"י</w:t>
      </w:r>
      <w:r w:rsidR="008441BE">
        <w:rPr>
          <w:rFonts w:cs="Arial" w:hint="cs"/>
          <w:rtl/>
        </w:rPr>
        <w:t>,</w:t>
      </w:r>
      <w:r w:rsidR="008441BE">
        <w:rPr>
          <w:rFonts w:cs="Arial"/>
          <w:rtl/>
        </w:rPr>
        <w:t xml:space="preserve"> ומשום הכי אקשי ליה ודילמא שיחיא דסירוגין נקטיה</w:t>
      </w:r>
      <w:r w:rsidR="008441BE">
        <w:rPr>
          <w:rFonts w:cs="Arial" w:hint="cs"/>
          <w:rtl/>
        </w:rPr>
        <w:t>,</w:t>
      </w:r>
      <w:r w:rsidR="008441BE">
        <w:rPr>
          <w:rFonts w:cs="Arial"/>
          <w:rtl/>
        </w:rPr>
        <w:t xml:space="preserve"> ושני ליה דכי אמר בסירוגין לאו למימרא דבהמתנה לחוד סגי אלא דאמרינן ליה חד לאו ותרין הן וכו'.</w:t>
      </w:r>
      <w:r w:rsidR="008441BE">
        <w:rPr>
          <w:rFonts w:hint="cs"/>
          <w:rtl/>
        </w:rPr>
        <w:t xml:space="preserve"> </w:t>
      </w:r>
    </w:p>
  </w:footnote>
  <w:footnote w:id="293">
    <w:p w14:paraId="3CFB6615" w14:textId="7FE028D5" w:rsidR="00CE0653" w:rsidRDefault="00CE0653">
      <w:pPr>
        <w:pStyle w:val="a5"/>
      </w:pPr>
      <w:r>
        <w:rPr>
          <w:rStyle w:val="a7"/>
        </w:rPr>
        <w:footnoteRef/>
      </w:r>
      <w:r>
        <w:rPr>
          <w:rtl/>
        </w:rPr>
        <w:t xml:space="preserve"> </w:t>
      </w:r>
      <w:r>
        <w:rPr>
          <w:rFonts w:cs="Arial"/>
          <w:rtl/>
        </w:rPr>
        <w:t xml:space="preserve">ויש לדקדק וכי משום האי חששא נכתוב הגט. ותירץ הרשב"א (ע: ד"ה וליחוש) בשם התוספות (שם ד"ה וניחוש) דהכי פירושו למה נעגן אשה זו דמיד שלא כיון דבריו נאמר שאינו בדעתו ולא נבדוק אותו יותר דילמא קורא אחדיה ונצריכנו בדיקות אחרות. ורבינו </w:t>
      </w:r>
      <w:r>
        <w:rPr>
          <w:rFonts w:cs="Arial" w:hint="cs"/>
          <w:sz w:val="16"/>
          <w:szCs w:val="16"/>
          <w:rtl/>
        </w:rPr>
        <w:t xml:space="preserve">{הטור} </w:t>
      </w:r>
      <w:r>
        <w:rPr>
          <w:rFonts w:cs="Arial"/>
          <w:rtl/>
        </w:rPr>
        <w:t>מפרש דנפקא מיניה אם כתבו גט על פיו דהויא ספק</w:t>
      </w:r>
      <w:r>
        <w:rPr>
          <w:rFonts w:cs="Arial" w:hint="cs"/>
          <w:rtl/>
        </w:rPr>
        <w:t>.</w:t>
      </w:r>
      <w:r>
        <w:rPr>
          <w:rFonts w:cs="Arial"/>
          <w:rtl/>
        </w:rPr>
        <w:t xml:space="preserve"> ואע</w:t>
      </w:r>
      <w:r>
        <w:rPr>
          <w:rFonts w:cs="Arial" w:hint="cs"/>
          <w:rtl/>
        </w:rPr>
        <w:t>"</w:t>
      </w:r>
      <w:r>
        <w:rPr>
          <w:rFonts w:cs="Arial"/>
          <w:rtl/>
        </w:rPr>
        <w:t xml:space="preserve">פ שהרשב"א </w:t>
      </w:r>
      <w:r>
        <w:rPr>
          <w:rFonts w:cs="Arial" w:hint="cs"/>
          <w:rtl/>
        </w:rPr>
        <w:t xml:space="preserve">(שם) </w:t>
      </w:r>
      <w:r>
        <w:rPr>
          <w:rFonts w:cs="Arial"/>
          <w:rtl/>
        </w:rPr>
        <w:t>לא רצה לתרץ דכי אמרינן ניחוש דילמא קורא אחדיה דהיינו לענין דהויא ספק מגורשת</w:t>
      </w:r>
      <w:r>
        <w:rPr>
          <w:rFonts w:cs="Arial" w:hint="cs"/>
          <w:rtl/>
        </w:rPr>
        <w:t xml:space="preserve"> -</w:t>
      </w:r>
      <w:r>
        <w:rPr>
          <w:rFonts w:cs="Arial"/>
          <w:rtl/>
        </w:rPr>
        <w:t xml:space="preserve"> היינו משום דמתניתין כותבין ואין כותבין קתני</w:t>
      </w:r>
      <w:r>
        <w:rPr>
          <w:rFonts w:cs="Arial" w:hint="cs"/>
          <w:rtl/>
        </w:rPr>
        <w:t>,</w:t>
      </w:r>
      <w:r>
        <w:rPr>
          <w:rFonts w:cs="Arial"/>
          <w:rtl/>
        </w:rPr>
        <w:t xml:space="preserve"> אבל לענין דינא ודאי הויא ספק מגורשת</w:t>
      </w:r>
      <w:r w:rsidR="00ED604A">
        <w:rPr>
          <w:rFonts w:cs="Arial" w:hint="cs"/>
          <w:rtl/>
        </w:rPr>
        <w:t>, ב"י</w:t>
      </w:r>
      <w:r>
        <w:rPr>
          <w:rFonts w:cs="Arial" w:hint="cs"/>
          <w:rtl/>
        </w:rPr>
        <w:t>.</w:t>
      </w:r>
    </w:p>
  </w:footnote>
  <w:footnote w:id="294">
    <w:p w14:paraId="62D79E73" w14:textId="110F2D2F" w:rsidR="00E023DF" w:rsidRDefault="00E023DF">
      <w:pPr>
        <w:pStyle w:val="a5"/>
        <w:rPr>
          <w:rtl/>
        </w:rPr>
      </w:pPr>
      <w:r>
        <w:rPr>
          <w:rStyle w:val="a7"/>
        </w:rPr>
        <w:footnoteRef/>
      </w:r>
      <w:r>
        <w:rPr>
          <w:rtl/>
        </w:rPr>
        <w:t xml:space="preserve"> </w:t>
      </w:r>
      <w:r w:rsidRPr="00E023DF">
        <w:rPr>
          <w:rFonts w:cs="Arial"/>
          <w:rtl/>
        </w:rPr>
        <w:t>שאינם מצוים באותה שעה</w:t>
      </w:r>
      <w:r>
        <w:rPr>
          <w:rFonts w:hint="cs"/>
          <w:rtl/>
        </w:rPr>
        <w:t xml:space="preserve">..., רש"י. וכתב התוספות (ד"ה </w:t>
      </w:r>
      <w:r w:rsidRPr="00E023DF">
        <w:rPr>
          <w:rFonts w:cs="Arial"/>
          <w:rtl/>
        </w:rPr>
        <w:t>אלא בפירי</w:t>
      </w:r>
      <w:r>
        <w:rPr>
          <w:rFonts w:cs="Arial" w:hint="cs"/>
          <w:rtl/>
        </w:rPr>
        <w:t>)</w:t>
      </w:r>
      <w:r w:rsidRPr="00E023DF">
        <w:rPr>
          <w:rFonts w:cs="Arial"/>
          <w:rtl/>
        </w:rPr>
        <w:t xml:space="preserve"> </w:t>
      </w:r>
      <w:r>
        <w:rPr>
          <w:rFonts w:cs="Arial" w:hint="cs"/>
          <w:rtl/>
        </w:rPr>
        <w:t>ד</w:t>
      </w:r>
      <w:r w:rsidRPr="00E023DF">
        <w:rPr>
          <w:rFonts w:cs="Arial"/>
          <w:rtl/>
        </w:rPr>
        <w:t>אין לפרש ששואלין לו אם רוצה פירי של ימות הגשמים בימות החמה או איפכא ואומר הן כי זה אפשר למצוא בכבושים בדבש או בענין אחר אלא ששואלין לו אם רוצה שילקטו לו מן האילן</w:t>
      </w:r>
      <w:r>
        <w:rPr>
          <w:rFonts w:cs="Arial" w:hint="cs"/>
          <w:rtl/>
        </w:rPr>
        <w:t>. עכ"ל.</w:t>
      </w:r>
      <w:r w:rsidRPr="00E023DF">
        <w:rPr>
          <w:rFonts w:cs="Arial"/>
          <w:rtl/>
        </w:rPr>
        <w:t xml:space="preserve"> </w:t>
      </w:r>
      <w:r w:rsidRPr="005E486B">
        <w:rPr>
          <w:rFonts w:cs="Arial"/>
          <w:rtl/>
        </w:rPr>
        <w:t>וכן הוא במרדכי שם (סי' תכב</w:t>
      </w:r>
      <w:r>
        <w:rPr>
          <w:rFonts w:cs="Arial" w:hint="cs"/>
          <w:rtl/>
        </w:rPr>
        <w:t>, הביאו הדרכ"מ [אות ד]</w:t>
      </w:r>
      <w:r w:rsidRPr="005E486B">
        <w:rPr>
          <w:rFonts w:cs="Arial"/>
          <w:rtl/>
        </w:rPr>
        <w:t>)</w:t>
      </w:r>
      <w:r>
        <w:rPr>
          <w:rFonts w:cs="Arial" w:hint="cs"/>
          <w:rtl/>
        </w:rPr>
        <w:t>.</w:t>
      </w:r>
      <w:r>
        <w:rPr>
          <w:rFonts w:hint="cs"/>
          <w:rtl/>
        </w:rPr>
        <w:t xml:space="preserve"> </w:t>
      </w:r>
    </w:p>
  </w:footnote>
  <w:footnote w:id="295">
    <w:p w14:paraId="5B3B38E9" w14:textId="4118F906" w:rsidR="008441BE" w:rsidRDefault="008441BE">
      <w:pPr>
        <w:pStyle w:val="a5"/>
      </w:pPr>
      <w:r>
        <w:rPr>
          <w:rStyle w:val="a7"/>
        </w:rPr>
        <w:footnoteRef/>
      </w:r>
      <w:r>
        <w:rPr>
          <w:rtl/>
        </w:rPr>
        <w:t xml:space="preserve"> </w:t>
      </w:r>
      <w:r w:rsidRPr="008441BE">
        <w:rPr>
          <w:rFonts w:cs="Arial"/>
          <w:rtl/>
        </w:rPr>
        <w:t>וכתב הר"ן (לד. ד"ה וניחוש) דלא קיי</w:t>
      </w:r>
      <w:r w:rsidRPr="008441BE">
        <w:rPr>
          <w:rFonts w:cs="Arial" w:hint="cs"/>
          <w:rtl/>
        </w:rPr>
        <w:t>"</w:t>
      </w:r>
      <w:r w:rsidRPr="008441BE">
        <w:rPr>
          <w:rFonts w:cs="Arial"/>
          <w:rtl/>
        </w:rPr>
        <w:t>ל הכי</w:t>
      </w:r>
      <w:r>
        <w:rPr>
          <w:rFonts w:cs="Arial" w:hint="cs"/>
          <w:rtl/>
        </w:rPr>
        <w:t>,</w:t>
      </w:r>
      <w:r w:rsidRPr="008441BE">
        <w:rPr>
          <w:rFonts w:cs="Arial"/>
          <w:rtl/>
        </w:rPr>
        <w:t xml:space="preserve"> אלא כדאמרינן בגמרא דידן </w:t>
      </w:r>
      <w:r>
        <w:rPr>
          <w:rFonts w:cs="Arial" w:hint="cs"/>
          <w:rtl/>
        </w:rPr>
        <w:t>'</w:t>
      </w:r>
      <w:r w:rsidRPr="008441BE">
        <w:rPr>
          <w:rFonts w:cs="Arial"/>
          <w:rtl/>
        </w:rPr>
        <w:t>חד הן ותרין לאו חד לאו ותרין הן</w:t>
      </w:r>
      <w:r>
        <w:rPr>
          <w:rFonts w:cs="Arial" w:hint="cs"/>
          <w:rtl/>
        </w:rPr>
        <w:t>'</w:t>
      </w:r>
      <w:r w:rsidRPr="008441BE">
        <w:rPr>
          <w:rFonts w:cs="Arial" w:hint="cs"/>
          <w:rtl/>
        </w:rPr>
        <w:t>.</w:t>
      </w:r>
      <w:r w:rsidRPr="008441BE">
        <w:rPr>
          <w:rFonts w:cs="Arial"/>
          <w:rtl/>
        </w:rPr>
        <w:t xml:space="preserve"> וגם המרדכי (סי' תכב) כתב בשם ראבי"ה דירושלמי לא דק בלישניה דודאי חד הן ותרין לאו חד לאו ותרין הן בעינן דאי חד לאו וחד הן איכא למיחש דילמא שיחיא דסירוגין נקטיה</w:t>
      </w:r>
      <w:r>
        <w:rPr>
          <w:rFonts w:cs="Arial" w:hint="cs"/>
          <w:rtl/>
        </w:rPr>
        <w:t>, ב"י.</w:t>
      </w:r>
    </w:p>
  </w:footnote>
  <w:footnote w:id="296">
    <w:p w14:paraId="126A6206" w14:textId="40978D74" w:rsidR="005132F0" w:rsidRDefault="005132F0" w:rsidP="005132F0">
      <w:pPr>
        <w:pStyle w:val="a5"/>
      </w:pPr>
      <w:r>
        <w:rPr>
          <w:rStyle w:val="a7"/>
        </w:rPr>
        <w:footnoteRef/>
      </w:r>
      <w:r>
        <w:rPr>
          <w:rtl/>
        </w:rPr>
        <w:t xml:space="preserve"> </w:t>
      </w:r>
      <w:r w:rsidR="00D34E55">
        <w:rPr>
          <w:rFonts w:hint="cs"/>
          <w:rtl/>
        </w:rPr>
        <w:t>לשונו מובאת בסמוך.</w:t>
      </w:r>
    </w:p>
  </w:footnote>
  <w:footnote w:id="297">
    <w:p w14:paraId="398ED6D5" w14:textId="1D4CFF96" w:rsidR="00C76007" w:rsidRDefault="00C76007">
      <w:pPr>
        <w:pStyle w:val="a5"/>
        <w:rPr>
          <w:rtl/>
        </w:rPr>
      </w:pPr>
      <w:r>
        <w:rPr>
          <w:rStyle w:val="a7"/>
        </w:rPr>
        <w:footnoteRef/>
      </w:r>
      <w:r>
        <w:rPr>
          <w:rtl/>
        </w:rPr>
        <w:t xml:space="preserve"> </w:t>
      </w:r>
      <w:r>
        <w:rPr>
          <w:rFonts w:cs="Arial" w:hint="cs"/>
          <w:rtl/>
        </w:rPr>
        <w:t xml:space="preserve">כתב הב"י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990894">
        <w:rPr>
          <w:rFonts w:cs="Arial"/>
          <w:rtl/>
        </w:rPr>
        <w:t xml:space="preserve">הרי"ף </w:t>
      </w:r>
      <w:r w:rsidRPr="00FF5D29">
        <w:rPr>
          <w:rFonts w:cs="Arial"/>
          <w:sz w:val="16"/>
          <w:szCs w:val="16"/>
          <w:rtl/>
        </w:rPr>
        <w:t xml:space="preserve">(לד.) </w:t>
      </w:r>
      <w:r w:rsidRPr="00990894">
        <w:rPr>
          <w:rFonts w:cs="Arial"/>
          <w:rtl/>
        </w:rPr>
        <w:t xml:space="preserve">והרא"ש </w:t>
      </w:r>
      <w:r w:rsidRPr="00FF5D29">
        <w:rPr>
          <w:rFonts w:cs="Arial"/>
          <w:sz w:val="16"/>
          <w:szCs w:val="16"/>
          <w:rtl/>
        </w:rPr>
        <w:t>(פ"ו ס"ב)</w:t>
      </w:r>
      <w:r w:rsidRPr="00990894">
        <w:rPr>
          <w:rFonts w:cs="Arial"/>
          <w:rtl/>
        </w:rPr>
        <w:t xml:space="preserve"> כתבו כל סוגיא זו משמע דסבירא להו ד</w:t>
      </w:r>
      <w:r>
        <w:rPr>
          <w:rFonts w:cs="Arial" w:hint="cs"/>
          <w:rtl/>
        </w:rPr>
        <w:t>-...</w:t>
      </w:r>
    </w:p>
  </w:footnote>
  <w:footnote w:id="298">
    <w:p w14:paraId="16AB6F2D" w14:textId="1A8E0BD6" w:rsidR="005132F0" w:rsidRDefault="005132F0">
      <w:pPr>
        <w:pStyle w:val="a5"/>
      </w:pPr>
      <w:r>
        <w:rPr>
          <w:rStyle w:val="a7"/>
        </w:rPr>
        <w:footnoteRef/>
      </w:r>
      <w:r>
        <w:rPr>
          <w:rtl/>
        </w:rPr>
        <w:t xml:space="preserve"> </w:t>
      </w:r>
      <w:r>
        <w:rPr>
          <w:rFonts w:cs="Arial" w:hint="cs"/>
          <w:rtl/>
        </w:rPr>
        <w:t xml:space="preserve">וכתב הב"י דיש לדקדק מלשון הטור </w:t>
      </w:r>
      <w:r>
        <w:rPr>
          <w:rFonts w:cs="Arial"/>
          <w:rtl/>
        </w:rPr>
        <w:t>דבדיקת פירות שוה לשאר בדיקות כמו שכתבתי לעיל</w:t>
      </w:r>
      <w:r>
        <w:rPr>
          <w:rFonts w:cs="Arial" w:hint="cs"/>
          <w:rtl/>
        </w:rPr>
        <w:t>,</w:t>
      </w:r>
      <w:r>
        <w:rPr>
          <w:rFonts w:cs="Arial"/>
          <w:rtl/>
        </w:rPr>
        <w:t xml:space="preserve"> וכן דעת סמ"ג (עשין נ קלב ע"א) שכתב בודקין אותו בפירי או כדמפרש בירושלמי נכתוב גט לאמך וכו'</w:t>
      </w:r>
      <w:r>
        <w:rPr>
          <w:rFonts w:cs="Arial" w:hint="cs"/>
          <w:rtl/>
        </w:rPr>
        <w:t>.</w:t>
      </w:r>
      <w:r>
        <w:rPr>
          <w:rFonts w:cs="Arial"/>
          <w:rtl/>
        </w:rPr>
        <w:t xml:space="preserve"> והא דנקט </w:t>
      </w:r>
      <w:r>
        <w:rPr>
          <w:rFonts w:cs="Arial" w:hint="cs"/>
          <w:sz w:val="16"/>
          <w:szCs w:val="16"/>
          <w:rtl/>
        </w:rPr>
        <w:t xml:space="preserve">{הטור} </w:t>
      </w:r>
      <w:r>
        <w:rPr>
          <w:rFonts w:cs="Arial"/>
          <w:rtl/>
        </w:rPr>
        <w:t>בדיקת פירות מפני שהוזכרה בגמרא</w:t>
      </w:r>
      <w:r>
        <w:rPr>
          <w:rFonts w:cs="Arial" w:hint="cs"/>
          <w:rtl/>
        </w:rPr>
        <w:t>.</w:t>
      </w:r>
      <w:r>
        <w:rPr>
          <w:rFonts w:cs="Arial"/>
          <w:rtl/>
        </w:rPr>
        <w:t xml:space="preserve"> וגם לאשמועינן דאי בדקוהו בגלופקרי וסדיני לאו בדיקה היא</w:t>
      </w:r>
      <w:r>
        <w:rPr>
          <w:rFonts w:cs="Arial" w:hint="cs"/>
          <w:rtl/>
        </w:rPr>
        <w:t>.</w:t>
      </w:r>
    </w:p>
  </w:footnote>
  <w:footnote w:id="299">
    <w:p w14:paraId="71257835" w14:textId="18C6D289" w:rsidR="005575D4" w:rsidRDefault="005575D4" w:rsidP="005575D4">
      <w:pPr>
        <w:pStyle w:val="a5"/>
      </w:pPr>
      <w:r>
        <w:rPr>
          <w:rStyle w:val="a7"/>
        </w:rPr>
        <w:footnoteRef/>
      </w:r>
      <w:r>
        <w:rPr>
          <w:rtl/>
        </w:rPr>
        <w:t xml:space="preserve"> </w:t>
      </w:r>
      <w:r w:rsidR="00D34E55">
        <w:rPr>
          <w:rFonts w:hint="cs"/>
          <w:rtl/>
        </w:rPr>
        <w:t>לשונו מובאת בסמוך</w:t>
      </w:r>
      <w:r>
        <w:rPr>
          <w:rFonts w:cs="Arial" w:hint="cs"/>
          <w:rtl/>
        </w:rPr>
        <w:t>.</w:t>
      </w:r>
    </w:p>
  </w:footnote>
  <w:footnote w:id="300">
    <w:p w14:paraId="7F1EBE57" w14:textId="4D470A45" w:rsidR="00A71734" w:rsidRDefault="00A71734">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877805">
        <w:rPr>
          <w:rFonts w:cs="Arial"/>
          <w:rtl/>
        </w:rPr>
        <w:t>בודקין אותו ג' פעמים</w:t>
      </w:r>
      <w:r>
        <w:rPr>
          <w:rFonts w:cs="Arial" w:hint="cs"/>
          <w:rtl/>
        </w:rPr>
        <w:t>,</w:t>
      </w:r>
      <w:r w:rsidRPr="00877805">
        <w:rPr>
          <w:rFonts w:cs="Arial"/>
          <w:rtl/>
        </w:rPr>
        <w:t xml:space="preserve"> אם אמר על לאו לאו ועל הן הן כותבין גט לאשתו על פי רמיזותיו</w:t>
      </w:r>
      <w:r>
        <w:rPr>
          <w:rFonts w:cs="Arial" w:hint="cs"/>
          <w:rtl/>
        </w:rPr>
        <w:t>,</w:t>
      </w:r>
      <w:r w:rsidRPr="00877805">
        <w:rPr>
          <w:rFonts w:cs="Arial"/>
          <w:rtl/>
        </w:rPr>
        <w:t xml:space="preserve"> ובסירוגין דאמר תרי לאו וחד הן או תרי הן וחד לאו</w:t>
      </w:r>
      <w:r>
        <w:rPr>
          <w:rFonts w:cs="Arial" w:hint="cs"/>
          <w:rtl/>
        </w:rPr>
        <w:t>.</w:t>
      </w:r>
      <w:r w:rsidRPr="00877805">
        <w:rPr>
          <w:rFonts w:cs="Arial"/>
          <w:rtl/>
        </w:rPr>
        <w:t xml:space="preserve"> או בפירות של ימות הגשמים בימות החמה</w:t>
      </w:r>
      <w:r>
        <w:rPr>
          <w:rFonts w:cs="Arial" w:hint="cs"/>
          <w:rtl/>
        </w:rPr>
        <w:t>,</w:t>
      </w:r>
      <w:r w:rsidRPr="00877805">
        <w:rPr>
          <w:rFonts w:cs="Arial"/>
          <w:rtl/>
        </w:rPr>
        <w:t xml:space="preserve"> או להפך</w:t>
      </w:r>
      <w:r>
        <w:rPr>
          <w:rFonts w:cs="Arial" w:hint="cs"/>
          <w:rtl/>
        </w:rPr>
        <w:t>.</w:t>
      </w:r>
    </w:p>
  </w:footnote>
  <w:footnote w:id="301">
    <w:p w14:paraId="458183C3" w14:textId="77777777" w:rsidR="005575D4" w:rsidRDefault="005575D4" w:rsidP="005575D4">
      <w:pPr>
        <w:pStyle w:val="a5"/>
        <w:rPr>
          <w:rtl/>
        </w:rPr>
      </w:pPr>
      <w:r>
        <w:rPr>
          <w:rStyle w:val="a7"/>
        </w:rPr>
        <w:footnoteRef/>
      </w:r>
      <w:r>
        <w:rPr>
          <w:rtl/>
        </w:rPr>
        <w:t xml:space="preserve"> </w:t>
      </w:r>
      <w:r>
        <w:rPr>
          <w:rFonts w:hint="cs"/>
          <w:rtl/>
        </w:rPr>
        <w:t xml:space="preserve">כ"כ הב"י בשמו, אך לא מצאתי שם את הלשון שכתב הב"י בשמו, ומכל מקום ז"ל רי"ו שם- </w:t>
      </w:r>
      <w:r w:rsidRPr="00877805">
        <w:rPr>
          <w:rFonts w:cs="Arial"/>
          <w:rtl/>
        </w:rPr>
        <w:t>נשתתק והרי הוא אלם ושומע ואמו הזמן כגון פרי של ימות הגשמים בימות החמה או בהפך.</w:t>
      </w:r>
      <w:r>
        <w:rPr>
          <w:rFonts w:hint="cs"/>
          <w:rtl/>
        </w:rPr>
        <w:t xml:space="preserve"> </w:t>
      </w:r>
    </w:p>
  </w:footnote>
  <w:footnote w:id="302">
    <w:p w14:paraId="76FACB55" w14:textId="56F487DA" w:rsidR="007403BE" w:rsidRDefault="007403BE" w:rsidP="007403BE">
      <w:pPr>
        <w:pStyle w:val="a5"/>
        <w:rPr>
          <w:rtl/>
        </w:rPr>
      </w:pPr>
      <w:r>
        <w:rPr>
          <w:rStyle w:val="a7"/>
        </w:rPr>
        <w:footnoteRef/>
      </w:r>
      <w:r>
        <w:rPr>
          <w:rtl/>
        </w:rPr>
        <w:t xml:space="preserve"> </w:t>
      </w:r>
      <w:r>
        <w:rPr>
          <w:rFonts w:cs="Arial" w:hint="cs"/>
          <w:rtl/>
        </w:rPr>
        <w:t>וכתב הב"י דנראה ד</w:t>
      </w:r>
      <w:r w:rsidRPr="00990894">
        <w:rPr>
          <w:rFonts w:cs="Arial"/>
          <w:rtl/>
        </w:rPr>
        <w:t>מספקא ל</w:t>
      </w:r>
      <w:r>
        <w:rPr>
          <w:rFonts w:cs="Arial" w:hint="cs"/>
          <w:rtl/>
        </w:rPr>
        <w:t>תוס'</w:t>
      </w:r>
      <w:r w:rsidRPr="00990894">
        <w:rPr>
          <w:rFonts w:cs="Arial"/>
          <w:rtl/>
        </w:rPr>
        <w:t xml:space="preserve"> אי בעינן שלשה לאו ושלשה הן</w:t>
      </w:r>
      <w:r w:rsidR="00285B8E">
        <w:rPr>
          <w:rFonts w:cs="Arial" w:hint="cs"/>
          <w:rtl/>
        </w:rPr>
        <w:t xml:space="preserve"> בפירות</w:t>
      </w:r>
      <w:r w:rsidRPr="00990894">
        <w:rPr>
          <w:rFonts w:cs="Arial"/>
          <w:rtl/>
        </w:rPr>
        <w:t>.</w:t>
      </w:r>
      <w:r>
        <w:rPr>
          <w:rFonts w:cs="Arial" w:hint="cs"/>
          <w:rtl/>
        </w:rPr>
        <w:t xml:space="preserve"> אך מהראב"ן סמ"ק ורי"ו נראה בהדיא דלא בעינן שלשה לאו ושלשה הן, אלא בשאלה אחת על פירות סגי.</w:t>
      </w:r>
      <w:r w:rsidR="00285B8E">
        <w:rPr>
          <w:rFonts w:hint="cs"/>
          <w:rtl/>
        </w:rPr>
        <w:t xml:space="preserve"> ועוד </w:t>
      </w:r>
      <w:r w:rsidR="0038176A">
        <w:rPr>
          <w:rFonts w:hint="cs"/>
          <w:rtl/>
        </w:rPr>
        <w:t xml:space="preserve">כתבו הראב"ן והסמ"ק </w:t>
      </w:r>
      <w:r w:rsidR="00285B8E">
        <w:rPr>
          <w:rFonts w:hint="cs"/>
          <w:rtl/>
        </w:rPr>
        <w:t xml:space="preserve">שגם </w:t>
      </w:r>
      <w:r w:rsidR="0038176A">
        <w:rPr>
          <w:rFonts w:hint="cs"/>
          <w:rtl/>
        </w:rPr>
        <w:t>בבדיקות אחרות</w:t>
      </w:r>
      <w:r w:rsidR="00285B8E">
        <w:rPr>
          <w:rFonts w:hint="cs"/>
          <w:rtl/>
        </w:rPr>
        <w:t xml:space="preserve"> לא צריך ו' סירוגין אלא ג', וכדברי הרמב"ם לקמן.</w:t>
      </w:r>
    </w:p>
  </w:footnote>
  <w:footnote w:id="303">
    <w:p w14:paraId="4D6B2183" w14:textId="44B7F8EF" w:rsidR="007403BE" w:rsidRDefault="007403BE">
      <w:pPr>
        <w:pStyle w:val="a5"/>
      </w:pPr>
      <w:r>
        <w:rPr>
          <w:rStyle w:val="a7"/>
        </w:rPr>
        <w:footnoteRef/>
      </w:r>
      <w:r>
        <w:rPr>
          <w:rtl/>
        </w:rPr>
        <w:t xml:space="preserve"> </w:t>
      </w:r>
      <w:r>
        <w:rPr>
          <w:rFonts w:hint="cs"/>
          <w:rtl/>
        </w:rPr>
        <w:t>פשיטא להו דבבדיקא דרבי ישמעאל לא בעינן סרוגין...</w:t>
      </w:r>
      <w:r w:rsidRPr="007403BE">
        <w:rPr>
          <w:rFonts w:cs="Arial"/>
          <w:rtl/>
        </w:rPr>
        <w:t xml:space="preserve"> </w:t>
      </w:r>
      <w:r w:rsidR="0000589D">
        <w:rPr>
          <w:rFonts w:cs="Arial" w:hint="cs"/>
          <w:rtl/>
        </w:rPr>
        <w:t>ו</w:t>
      </w:r>
      <w:r>
        <w:rPr>
          <w:rFonts w:cs="Arial"/>
          <w:rtl/>
        </w:rPr>
        <w:t>הכי קאמר</w:t>
      </w:r>
      <w:r w:rsidR="0000589D">
        <w:rPr>
          <w:rFonts w:cs="Arial" w:hint="cs"/>
          <w:rtl/>
        </w:rPr>
        <w:t>,</w:t>
      </w:r>
      <w:r>
        <w:rPr>
          <w:rFonts w:cs="Arial"/>
          <w:rtl/>
        </w:rPr>
        <w:t xml:space="preserve"> </w:t>
      </w:r>
      <w:r w:rsidR="0000589D">
        <w:rPr>
          <w:rFonts w:cs="Arial" w:hint="cs"/>
          <w:rtl/>
        </w:rPr>
        <w:t>'</w:t>
      </w:r>
      <w:r>
        <w:rPr>
          <w:rFonts w:cs="Arial"/>
          <w:rtl/>
        </w:rPr>
        <w:t>סירוגין לא בעי</w:t>
      </w:r>
      <w:r w:rsidR="0000589D">
        <w:rPr>
          <w:rFonts w:cs="Arial" w:hint="cs"/>
          <w:rtl/>
        </w:rPr>
        <w:t>' -</w:t>
      </w:r>
      <w:r>
        <w:rPr>
          <w:rFonts w:cs="Arial"/>
          <w:rtl/>
        </w:rPr>
        <w:t xml:space="preserve"> כלומר להפסיק בהן בין לאו ללאו</w:t>
      </w:r>
      <w:r w:rsidR="0000589D">
        <w:rPr>
          <w:rFonts w:cs="Arial" w:hint="cs"/>
          <w:rtl/>
        </w:rPr>
        <w:t>,</w:t>
      </w:r>
      <w:r>
        <w:rPr>
          <w:rFonts w:cs="Arial"/>
          <w:rtl/>
        </w:rPr>
        <w:t xml:space="preserve"> או בלאו בין הן להן</w:t>
      </w:r>
      <w:r w:rsidR="0000589D">
        <w:rPr>
          <w:rFonts w:cs="Arial" w:hint="cs"/>
          <w:rtl/>
        </w:rPr>
        <w:t>,</w:t>
      </w:r>
      <w:r>
        <w:rPr>
          <w:rFonts w:cs="Arial"/>
          <w:rtl/>
        </w:rPr>
        <w:t xml:space="preserve"> אלא בשלשה לאו רצופים ושלשה הן רצופים סגי</w:t>
      </w:r>
      <w:r w:rsidR="00680130">
        <w:rPr>
          <w:rFonts w:cs="Arial" w:hint="cs"/>
          <w:sz w:val="16"/>
          <w:szCs w:val="16"/>
          <w:rtl/>
        </w:rPr>
        <w:t xml:space="preserve"> </w:t>
      </w:r>
      <w:r w:rsidR="0000589D" w:rsidRPr="0000589D">
        <w:rPr>
          <w:rFonts w:cs="Arial" w:hint="cs"/>
          <w:sz w:val="16"/>
          <w:szCs w:val="16"/>
          <w:rtl/>
        </w:rPr>
        <w:t>{</w:t>
      </w:r>
      <w:r w:rsidR="0000589D">
        <w:rPr>
          <w:rFonts w:cs="Arial" w:hint="cs"/>
          <w:sz w:val="16"/>
          <w:szCs w:val="16"/>
          <w:rtl/>
        </w:rPr>
        <w:t>ו</w:t>
      </w:r>
      <w:r w:rsidR="0000589D" w:rsidRPr="0000589D">
        <w:rPr>
          <w:rFonts w:cs="Arial" w:hint="cs"/>
          <w:sz w:val="16"/>
          <w:szCs w:val="16"/>
          <w:rtl/>
        </w:rPr>
        <w:t xml:space="preserve">היינו לפי פירוש הטור למילה </w:t>
      </w:r>
      <w:r w:rsidR="0000589D">
        <w:rPr>
          <w:rFonts w:cs="Arial" w:hint="cs"/>
          <w:sz w:val="16"/>
          <w:szCs w:val="16"/>
          <w:rtl/>
        </w:rPr>
        <w:t>'</w:t>
      </w:r>
      <w:r w:rsidR="0000589D" w:rsidRPr="0000589D">
        <w:rPr>
          <w:rFonts w:cs="Arial" w:hint="cs"/>
          <w:sz w:val="16"/>
          <w:szCs w:val="16"/>
          <w:rtl/>
        </w:rPr>
        <w:t>סירוגין</w:t>
      </w:r>
      <w:r w:rsidR="0000589D">
        <w:rPr>
          <w:rFonts w:cs="Arial" w:hint="cs"/>
          <w:sz w:val="16"/>
          <w:szCs w:val="16"/>
          <w:rtl/>
        </w:rPr>
        <w:t>'}</w:t>
      </w:r>
      <w:r>
        <w:rPr>
          <w:rFonts w:hint="cs"/>
          <w:rtl/>
        </w:rPr>
        <w:t>, ב"י.</w:t>
      </w:r>
    </w:p>
  </w:footnote>
  <w:footnote w:id="304">
    <w:p w14:paraId="436F6752" w14:textId="1AA47D8A" w:rsidR="003249D3" w:rsidRDefault="003249D3">
      <w:pPr>
        <w:pStyle w:val="a5"/>
      </w:pPr>
      <w:r>
        <w:rPr>
          <w:rStyle w:val="a7"/>
        </w:rPr>
        <w:footnoteRef/>
      </w:r>
      <w:r>
        <w:rPr>
          <w:rtl/>
        </w:rPr>
        <w:t xml:space="preserve"> </w:t>
      </w:r>
      <w:r w:rsidRPr="007B1602">
        <w:rPr>
          <w:rFonts w:cs="Arial"/>
          <w:rtl/>
        </w:rPr>
        <w:t>ולפי זה קיימא לן כסתם מתניתין דלא מפלגא בין בדיקת פירי לשאר בדיקות</w:t>
      </w:r>
      <w:r>
        <w:rPr>
          <w:rFonts w:cs="Arial" w:hint="cs"/>
          <w:rtl/>
        </w:rPr>
        <w:t>.</w:t>
      </w:r>
      <w:r w:rsidRPr="007B1602">
        <w:rPr>
          <w:rFonts w:cs="Arial"/>
          <w:rtl/>
        </w:rPr>
        <w:t xml:space="preserve"> והילכך נקטינן דכל בדיקה מהניא</w:t>
      </w:r>
      <w:r>
        <w:rPr>
          <w:rFonts w:cs="Arial" w:hint="cs"/>
          <w:rtl/>
        </w:rPr>
        <w:t>,</w:t>
      </w:r>
      <w:r w:rsidRPr="007B1602">
        <w:rPr>
          <w:rFonts w:cs="Arial"/>
          <w:rtl/>
        </w:rPr>
        <w:t xml:space="preserve"> ואפילו בבדיקת פירי בעי שלשה לאו ושלשה הן</w:t>
      </w:r>
      <w:r>
        <w:rPr>
          <w:rFonts w:cs="Arial" w:hint="cs"/>
          <w:rtl/>
        </w:rPr>
        <w:t>,</w:t>
      </w:r>
      <w:r w:rsidRPr="007B1602">
        <w:rPr>
          <w:rFonts w:cs="Arial"/>
          <w:rtl/>
        </w:rPr>
        <w:t xml:space="preserve"> ובסירוגין</w:t>
      </w:r>
      <w:r>
        <w:rPr>
          <w:rFonts w:cs="Arial" w:hint="cs"/>
          <w:rtl/>
        </w:rPr>
        <w:t>, ב"י</w:t>
      </w:r>
    </w:p>
  </w:footnote>
  <w:footnote w:id="305">
    <w:p w14:paraId="43A05A7C" w14:textId="249D90FD" w:rsidR="00FA6C5F" w:rsidRDefault="00FA6C5F">
      <w:pPr>
        <w:pStyle w:val="a5"/>
      </w:pPr>
      <w:r>
        <w:rPr>
          <w:rStyle w:val="a7"/>
        </w:rPr>
        <w:footnoteRef/>
      </w:r>
      <w:r>
        <w:rPr>
          <w:rtl/>
        </w:rPr>
        <w:t xml:space="preserve"> </w:t>
      </w:r>
      <w:r>
        <w:rPr>
          <w:rFonts w:cs="Arial"/>
          <w:rtl/>
        </w:rPr>
        <w:t>נראה לי דלהרמב"ם אין צריך לבדקו אלא שלשה פעמים</w:t>
      </w:r>
      <w:r>
        <w:rPr>
          <w:rFonts w:cs="Arial" w:hint="cs"/>
          <w:rtl/>
        </w:rPr>
        <w:t>...</w:t>
      </w:r>
      <w:r>
        <w:rPr>
          <w:rFonts w:cs="Arial"/>
          <w:rtl/>
        </w:rPr>
        <w:t xml:space="preserve"> </w:t>
      </w:r>
      <w:r w:rsidRPr="00FA6C5F">
        <w:rPr>
          <w:rFonts w:cs="Arial"/>
          <w:rtl/>
        </w:rPr>
        <w:t>ומאי דאמרינן בגמרא</w:t>
      </w:r>
      <w:r>
        <w:rPr>
          <w:rFonts w:cs="Arial" w:hint="cs"/>
          <w:rtl/>
        </w:rPr>
        <w:t>...</w:t>
      </w:r>
      <w:r w:rsidRPr="00FA6C5F">
        <w:rPr>
          <w:rFonts w:cs="Arial"/>
          <w:rtl/>
        </w:rPr>
        <w:t xml:space="preserve"> וכן מה שאמרו בירושלמי</w:t>
      </w:r>
      <w:r>
        <w:rPr>
          <w:rFonts w:cs="Arial" w:hint="cs"/>
          <w:rtl/>
        </w:rPr>
        <w:t>...</w:t>
      </w:r>
      <w:r w:rsidRPr="00FA6C5F">
        <w:rPr>
          <w:rFonts w:cs="Arial"/>
          <w:rtl/>
        </w:rPr>
        <w:t xml:space="preserve"> לאו למימרא דכולהו שיתא בעינן</w:t>
      </w:r>
      <w:r w:rsidR="00357C30">
        <w:rPr>
          <w:rFonts w:cs="Arial" w:hint="cs"/>
          <w:rtl/>
        </w:rPr>
        <w:t>,</w:t>
      </w:r>
      <w:r w:rsidRPr="00FA6C5F">
        <w:rPr>
          <w:rFonts w:cs="Arial"/>
          <w:rtl/>
        </w:rPr>
        <w:t xml:space="preserve"> דאם כן הוה ליה למיתני במתניתין בודקין אותו ששה פעמים</w:t>
      </w:r>
      <w:r w:rsidR="00357C30">
        <w:rPr>
          <w:rFonts w:cs="Arial" w:hint="cs"/>
          <w:rtl/>
        </w:rPr>
        <w:t>,</w:t>
      </w:r>
      <w:r w:rsidRPr="00FA6C5F">
        <w:rPr>
          <w:rFonts w:cs="Arial"/>
          <w:rtl/>
        </w:rPr>
        <w:t xml:space="preserve"> אלא ודאי בשלשה פעמים סגי </w:t>
      </w:r>
      <w:r>
        <w:rPr>
          <w:rFonts w:cs="Arial"/>
          <w:rtl/>
        </w:rPr>
        <w:t>ובגמרא או או קאמרי</w:t>
      </w:r>
      <w:r>
        <w:rPr>
          <w:rFonts w:cs="Arial" w:hint="cs"/>
          <w:rtl/>
        </w:rPr>
        <w:t>...</w:t>
      </w:r>
      <w:r>
        <w:rPr>
          <w:rFonts w:cs="Arial"/>
          <w:rtl/>
        </w:rPr>
        <w:t xml:space="preserve"> וכן בירושלמי או או נמי קאמר</w:t>
      </w:r>
      <w:r>
        <w:rPr>
          <w:rFonts w:cs="Arial" w:hint="cs"/>
          <w:rtl/>
        </w:rPr>
        <w:t>, ב"י.</w:t>
      </w:r>
    </w:p>
  </w:footnote>
  <w:footnote w:id="306">
    <w:p w14:paraId="11537CDB" w14:textId="5CA8F45A" w:rsidR="00357C30" w:rsidRDefault="00357C30">
      <w:pPr>
        <w:pStyle w:val="a5"/>
      </w:pPr>
      <w:r>
        <w:rPr>
          <w:rStyle w:val="a7"/>
        </w:rPr>
        <w:footnoteRef/>
      </w:r>
      <w:r>
        <w:rPr>
          <w:rtl/>
        </w:rPr>
        <w:t xml:space="preserve"> </w:t>
      </w:r>
      <w:r>
        <w:rPr>
          <w:rFonts w:cs="Arial"/>
          <w:rtl/>
        </w:rPr>
        <w:t xml:space="preserve">מדבריו למדנו דסבירא ליה דלא שנא לן בין בדיקת פירות לשאר בדיקות </w:t>
      </w:r>
      <w:r w:rsidRPr="00FA6C5F">
        <w:rPr>
          <w:rFonts w:cs="Arial" w:hint="cs"/>
          <w:sz w:val="16"/>
          <w:szCs w:val="16"/>
          <w:rtl/>
        </w:rPr>
        <w:t>(</w:t>
      </w:r>
      <w:r w:rsidRPr="00FA6C5F">
        <w:rPr>
          <w:rFonts w:cs="Arial"/>
          <w:sz w:val="16"/>
          <w:szCs w:val="16"/>
          <w:rtl/>
        </w:rPr>
        <w:t>ושלא כדברי התוספות</w:t>
      </w:r>
      <w:r w:rsidRPr="00FA6C5F">
        <w:rPr>
          <w:rFonts w:cs="Arial" w:hint="cs"/>
          <w:sz w:val="16"/>
          <w:szCs w:val="16"/>
          <w:rtl/>
        </w:rPr>
        <w:t>)</w:t>
      </w:r>
      <w:r>
        <w:rPr>
          <w:rFonts w:cs="Arial" w:hint="cs"/>
          <w:rtl/>
        </w:rPr>
        <w:t>, ב"י.</w:t>
      </w:r>
    </w:p>
  </w:footnote>
  <w:footnote w:id="307">
    <w:p w14:paraId="38256483" w14:textId="5C48F8AD" w:rsidR="00357C30" w:rsidRDefault="00357C30">
      <w:pPr>
        <w:pStyle w:val="a5"/>
      </w:pPr>
      <w:r>
        <w:rPr>
          <w:rStyle w:val="a7"/>
        </w:rPr>
        <w:footnoteRef/>
      </w:r>
      <w:r>
        <w:rPr>
          <w:rtl/>
        </w:rPr>
        <w:t xml:space="preserve"> </w:t>
      </w:r>
      <w:r>
        <w:rPr>
          <w:rFonts w:cs="Arial"/>
          <w:rtl/>
        </w:rPr>
        <w:t xml:space="preserve">ונראה לי דסבירא ליה דכי אמרינן בגמרא חד לאו ותרין הן </w:t>
      </w:r>
      <w:r>
        <w:rPr>
          <w:rFonts w:cs="Arial" w:hint="cs"/>
          <w:rtl/>
        </w:rPr>
        <w:t xml:space="preserve">- </w:t>
      </w:r>
      <w:r>
        <w:rPr>
          <w:rFonts w:cs="Arial"/>
          <w:rtl/>
        </w:rPr>
        <w:t>דוגמא בעלמא קאמרי</w:t>
      </w:r>
      <w:r>
        <w:rPr>
          <w:rFonts w:cs="Arial" w:hint="cs"/>
          <w:rtl/>
        </w:rPr>
        <w:t>,</w:t>
      </w:r>
      <w:r>
        <w:rPr>
          <w:rFonts w:cs="Arial"/>
          <w:rtl/>
        </w:rPr>
        <w:t xml:space="preserve"> והוא הדין לחד הן וחד לאו כדאיתא בירושלמי</w:t>
      </w:r>
      <w:r>
        <w:rPr>
          <w:rFonts w:cs="Arial" w:hint="cs"/>
          <w:rtl/>
        </w:rPr>
        <w:t>,</w:t>
      </w:r>
      <w:r>
        <w:rPr>
          <w:rFonts w:cs="Arial"/>
          <w:rtl/>
        </w:rPr>
        <w:t xml:space="preserve"> או לכל גוונא דנפקינן ביה מידי ספיקא דשיחיא דסירוגין</w:t>
      </w:r>
      <w:r>
        <w:rPr>
          <w:rFonts w:cs="Arial" w:hint="cs"/>
          <w:rtl/>
        </w:rPr>
        <w:t>,</w:t>
      </w:r>
      <w:r>
        <w:rPr>
          <w:rFonts w:cs="Arial"/>
          <w:rtl/>
        </w:rPr>
        <w:t xml:space="preserve"> ולפיכך סתם וכלל הכל במה שכתב וצריכין לבדקו יפה יפה</w:t>
      </w:r>
      <w:r>
        <w:rPr>
          <w:rFonts w:cs="Arial" w:hint="cs"/>
          <w:rtl/>
        </w:rPr>
        <w:t>,</w:t>
      </w:r>
      <w:r>
        <w:rPr>
          <w:rFonts w:cs="Arial"/>
          <w:rtl/>
        </w:rPr>
        <w:t xml:space="preserve"> דהיינו לומר שמדקדקין בענין בדיקתו דלא נקטיה שיחיא דהן הן או דלאו לאו. וכן נראה מדבריו בפירוש המשנה </w:t>
      </w:r>
      <w:r w:rsidRPr="00357C30">
        <w:rPr>
          <w:rFonts w:cs="Arial"/>
          <w:sz w:val="16"/>
          <w:szCs w:val="16"/>
          <w:rtl/>
        </w:rPr>
        <w:t>(רפ"ז דגיטין)</w:t>
      </w:r>
      <w:r>
        <w:rPr>
          <w:rFonts w:cs="Arial" w:hint="cs"/>
          <w:rtl/>
        </w:rPr>
        <w:t>, ב"י.</w:t>
      </w:r>
    </w:p>
  </w:footnote>
  <w:footnote w:id="308">
    <w:p w14:paraId="0D96D532" w14:textId="72BC53AF" w:rsidR="00B77815" w:rsidRDefault="00B77815">
      <w:pPr>
        <w:pStyle w:val="a5"/>
      </w:pPr>
      <w:r>
        <w:rPr>
          <w:rStyle w:val="a7"/>
        </w:rPr>
        <w:footnoteRef/>
      </w:r>
      <w:r>
        <w:rPr>
          <w:rtl/>
        </w:rPr>
        <w:t xml:space="preserve"> </w:t>
      </w:r>
      <w:r w:rsidRPr="00D34E55">
        <w:rPr>
          <w:rFonts w:cs="Arial"/>
          <w:rtl/>
        </w:rPr>
        <w:t>ואין להקשות לישמועינן רבינו בההיא דאינה ודאי מגורשת וכל שכן היכא דבעא גלופקרי בימות החמה</w:t>
      </w:r>
      <w:r>
        <w:rPr>
          <w:rFonts w:cs="Arial" w:hint="cs"/>
          <w:rtl/>
        </w:rPr>
        <w:t>.</w:t>
      </w:r>
      <w:r w:rsidRPr="00D34E55">
        <w:rPr>
          <w:rFonts w:cs="Arial"/>
          <w:rtl/>
        </w:rPr>
        <w:t xml:space="preserve"> דרבינו בא ללמד דלא תימא דבעא גלופקרי בימות החמה שוטה הוא והגט בטל</w:t>
      </w:r>
      <w:r>
        <w:rPr>
          <w:rFonts w:cs="Arial" w:hint="cs"/>
          <w:rtl/>
        </w:rPr>
        <w:t>,</w:t>
      </w:r>
      <w:r w:rsidRPr="00D34E55">
        <w:rPr>
          <w:rFonts w:cs="Arial"/>
          <w:rtl/>
        </w:rPr>
        <w:t xml:space="preserve"> קא משמע לן דאינו בחזקת שוטה דאיכא למימר קורא אחדיה והוה ליה כאילו לא בדקוהו דספק מגורשת הויא</w:t>
      </w:r>
      <w:r>
        <w:rPr>
          <w:rFonts w:cs="Arial" w:hint="cs"/>
          <w:rtl/>
        </w:rPr>
        <w:t>,</w:t>
      </w:r>
      <w:r>
        <w:rPr>
          <w:rFonts w:hint="cs"/>
          <w:rtl/>
        </w:rPr>
        <w:t xml:space="preserve"> ב"י.</w:t>
      </w:r>
    </w:p>
  </w:footnote>
  <w:footnote w:id="309">
    <w:p w14:paraId="3CBFA374" w14:textId="27B816B1" w:rsidR="002134FD" w:rsidRDefault="002134FD">
      <w:pPr>
        <w:pStyle w:val="a5"/>
      </w:pPr>
      <w:r>
        <w:rPr>
          <w:rStyle w:val="a7"/>
        </w:rPr>
        <w:footnoteRef/>
      </w:r>
      <w:r>
        <w:rPr>
          <w:rtl/>
        </w:rPr>
        <w:t xml:space="preserve"> </w:t>
      </w:r>
      <w:r w:rsidRPr="002134FD">
        <w:rPr>
          <w:rFonts w:cs="Arial"/>
          <w:rtl/>
        </w:rPr>
        <w:t>אמתני' קאי דתנן נשתתק צריך שירכין ראשו ג' פעמים</w:t>
      </w:r>
      <w:r w:rsidR="00E44F18">
        <w:rPr>
          <w:rFonts w:cs="Arial" w:hint="cs"/>
          <w:rtl/>
        </w:rPr>
        <w:t>,</w:t>
      </w:r>
      <w:r w:rsidRPr="002134FD">
        <w:rPr>
          <w:rFonts w:cs="Arial"/>
          <w:rtl/>
        </w:rPr>
        <w:t xml:space="preserve"> דוקא נשתתק מתוך בוריו שהיה בריא ופתאום נשתתק</w:t>
      </w:r>
      <w:r w:rsidR="00E44F18">
        <w:rPr>
          <w:rFonts w:cs="Arial" w:hint="cs"/>
          <w:rtl/>
        </w:rPr>
        <w:t>.</w:t>
      </w:r>
      <w:r w:rsidRPr="002134FD">
        <w:rPr>
          <w:rFonts w:cs="Arial"/>
          <w:rtl/>
        </w:rPr>
        <w:t xml:space="preserve"> אבל נשתתק מתוך חולי אמרי' כחישותא הוא דאית ביה ודעתיה צילותא היא</w:t>
      </w:r>
      <w:r w:rsidR="00E44F18">
        <w:rPr>
          <w:rFonts w:cs="Arial" w:hint="cs"/>
          <w:rtl/>
        </w:rPr>
        <w:t>,</w:t>
      </w:r>
      <w:r w:rsidRPr="002134FD">
        <w:rPr>
          <w:rFonts w:cs="Arial"/>
          <w:rtl/>
        </w:rPr>
        <w:t xml:space="preserve"> הלכך בבדיקה פעם אחת סגי</w:t>
      </w:r>
      <w:r>
        <w:rPr>
          <w:rFonts w:cs="Arial" w:hint="cs"/>
          <w:rtl/>
        </w:rPr>
        <w:t>, קרבן העדה.</w:t>
      </w:r>
    </w:p>
  </w:footnote>
  <w:footnote w:id="310">
    <w:p w14:paraId="73571129" w14:textId="045B1397" w:rsidR="008222D1" w:rsidRDefault="008222D1">
      <w:pPr>
        <w:pStyle w:val="a5"/>
        <w:rPr>
          <w:rtl/>
        </w:rPr>
      </w:pPr>
      <w:r>
        <w:rPr>
          <w:rStyle w:val="a7"/>
        </w:rPr>
        <w:footnoteRef/>
      </w:r>
      <w:r>
        <w:rPr>
          <w:rtl/>
        </w:rPr>
        <w:t xml:space="preserve"> </w:t>
      </w:r>
      <w:r w:rsidRPr="00834F52">
        <w:rPr>
          <w:rFonts w:cs="Arial"/>
          <w:rtl/>
        </w:rPr>
        <w:t>וכן דעת כל הפוסקים שכתבו סתם נשתתק ולא חלקו בין מתוך בוריו למתוך חליו</w:t>
      </w:r>
      <w:r>
        <w:rPr>
          <w:rFonts w:hint="cs"/>
          <w:rtl/>
        </w:rPr>
        <w:t>, ב"י.</w:t>
      </w:r>
    </w:p>
  </w:footnote>
  <w:footnote w:id="311">
    <w:p w14:paraId="4219998B" w14:textId="1027585B" w:rsidR="008629D2" w:rsidRDefault="008629D2">
      <w:pPr>
        <w:pStyle w:val="a5"/>
      </w:pPr>
      <w:r>
        <w:rPr>
          <w:rStyle w:val="a7"/>
        </w:rPr>
        <w:footnoteRef/>
      </w:r>
      <w:r>
        <w:rPr>
          <w:rtl/>
        </w:rPr>
        <w:t xml:space="preserve"> </w:t>
      </w:r>
      <w:r w:rsidRPr="008629D2">
        <w:rPr>
          <w:rFonts w:cs="Arial"/>
          <w:rtl/>
        </w:rPr>
        <w:t>אף על גב ע"פ כתב אין מגרשין לדעה קמייתא שהביא בסימן ק"כ מ"מ הרכין עדיף דהוי כקול ופקח שהרכין לדעת רוב הפוסקים מגרשי' אלא לתירוץ א' של הרא"ש אין מגרשין כיון דאפשר לו לדבר</w:t>
      </w:r>
      <w:r>
        <w:rPr>
          <w:rFonts w:cs="Arial" w:hint="cs"/>
          <w:rtl/>
        </w:rPr>
        <w:t>, ב"ש (סק"ו).</w:t>
      </w:r>
    </w:p>
  </w:footnote>
  <w:footnote w:id="312">
    <w:p w14:paraId="3DEB5F9C" w14:textId="354F798C" w:rsidR="008629D2" w:rsidRDefault="008629D2">
      <w:pPr>
        <w:pStyle w:val="a5"/>
      </w:pPr>
      <w:r>
        <w:rPr>
          <w:rStyle w:val="a7"/>
        </w:rPr>
        <w:footnoteRef/>
      </w:r>
      <w:r>
        <w:rPr>
          <w:rtl/>
        </w:rPr>
        <w:t xml:space="preserve"> </w:t>
      </w:r>
      <w:r w:rsidRPr="008629D2">
        <w:rPr>
          <w:rFonts w:cs="Arial"/>
          <w:rtl/>
        </w:rPr>
        <w:t xml:space="preserve">מבואר בש"ס אם שאלוהו ג"פ הן וג"פ לאו ברצופים </w:t>
      </w:r>
      <w:r w:rsidR="00AE1231">
        <w:rPr>
          <w:rFonts w:cs="Arial" w:hint="cs"/>
          <w:rtl/>
        </w:rPr>
        <w:t xml:space="preserve">- </w:t>
      </w:r>
      <w:r w:rsidRPr="008629D2">
        <w:rPr>
          <w:rFonts w:cs="Arial"/>
          <w:rtl/>
        </w:rPr>
        <w:t>לא מהני</w:t>
      </w:r>
      <w:r w:rsidR="00AE1231">
        <w:rPr>
          <w:rFonts w:cs="Arial" w:hint="cs"/>
          <w:rtl/>
        </w:rPr>
        <w:t>,</w:t>
      </w:r>
      <w:r w:rsidRPr="008629D2">
        <w:rPr>
          <w:rFonts w:cs="Arial"/>
          <w:rtl/>
        </w:rPr>
        <w:t xml:space="preserve"> דאמרינן שמא שיחא הן הן נקטי ליה</w:t>
      </w:r>
      <w:r w:rsidR="00AE1231">
        <w:rPr>
          <w:rFonts w:cs="Arial" w:hint="cs"/>
          <w:rtl/>
        </w:rPr>
        <w:t>.</w:t>
      </w:r>
      <w:r w:rsidRPr="008629D2">
        <w:rPr>
          <w:rFonts w:cs="Arial"/>
          <w:rtl/>
        </w:rPr>
        <w:t xml:space="preserve"> ואפשר אם השיב על הן לאו</w:t>
      </w:r>
      <w:r w:rsidR="00AE1231">
        <w:rPr>
          <w:rFonts w:cs="Arial" w:hint="cs"/>
          <w:rtl/>
        </w:rPr>
        <w:t xml:space="preserve"> -</w:t>
      </w:r>
      <w:r w:rsidRPr="008629D2">
        <w:rPr>
          <w:rFonts w:cs="Arial"/>
          <w:rtl/>
        </w:rPr>
        <w:t xml:space="preserve"> לא מחזיקים אותו לשוטה ודאי</w:t>
      </w:r>
      <w:r w:rsidR="00AE1231">
        <w:rPr>
          <w:rFonts w:cs="Arial" w:hint="cs"/>
          <w:rtl/>
        </w:rPr>
        <w:t>,</w:t>
      </w:r>
      <w:r w:rsidRPr="008629D2">
        <w:rPr>
          <w:rFonts w:cs="Arial"/>
          <w:rtl/>
        </w:rPr>
        <w:t xml:space="preserve"> אלא אמרינן שמא שיחא לאו לאו נקטי ליה</w:t>
      </w:r>
      <w:r w:rsidR="00AE1231">
        <w:rPr>
          <w:rFonts w:cs="Arial" w:hint="cs"/>
          <w:rtl/>
        </w:rPr>
        <w:t>,</w:t>
      </w:r>
      <w:r w:rsidRPr="008629D2">
        <w:rPr>
          <w:rFonts w:cs="Arial"/>
          <w:rtl/>
        </w:rPr>
        <w:t xml:space="preserve"> ובודקין אותו</w:t>
      </w:r>
      <w:r w:rsidR="00AE1231">
        <w:rPr>
          <w:rFonts w:cs="Arial" w:hint="cs"/>
          <w:rtl/>
        </w:rPr>
        <w:t>.</w:t>
      </w:r>
      <w:r w:rsidRPr="008629D2">
        <w:rPr>
          <w:rFonts w:cs="Arial"/>
          <w:rtl/>
        </w:rPr>
        <w:t xml:space="preserve"> אבל אם שואלים אותו בסירוגין והשיב על הן לאו </w:t>
      </w:r>
      <w:r w:rsidR="00AE1231">
        <w:rPr>
          <w:rFonts w:cs="Arial" w:hint="cs"/>
          <w:rtl/>
        </w:rPr>
        <w:t xml:space="preserve">- </w:t>
      </w:r>
      <w:r w:rsidRPr="008629D2">
        <w:rPr>
          <w:rFonts w:cs="Arial"/>
          <w:rtl/>
        </w:rPr>
        <w:t>מחזיקי</w:t>
      </w:r>
      <w:r w:rsidR="00AE1231">
        <w:rPr>
          <w:rFonts w:cs="Arial" w:hint="cs"/>
          <w:rtl/>
        </w:rPr>
        <w:t>ם</w:t>
      </w:r>
      <w:r w:rsidRPr="008629D2">
        <w:rPr>
          <w:rFonts w:cs="Arial"/>
          <w:rtl/>
        </w:rPr>
        <w:t xml:space="preserve"> אותו לשוטה ודאי</w:t>
      </w:r>
      <w:r w:rsidR="00AE1231">
        <w:rPr>
          <w:rFonts w:cs="Arial" w:hint="cs"/>
          <w:rtl/>
        </w:rPr>
        <w:t>,</w:t>
      </w:r>
      <w:r w:rsidRPr="008629D2">
        <w:rPr>
          <w:rFonts w:cs="Arial"/>
          <w:rtl/>
        </w:rPr>
        <w:t xml:space="preserve"> ולא בדקינן אותו עוד</w:t>
      </w:r>
      <w:r w:rsidR="00AE1231">
        <w:rPr>
          <w:rFonts w:cs="Arial" w:hint="cs"/>
          <w:rtl/>
        </w:rPr>
        <w:t>.</w:t>
      </w:r>
      <w:r w:rsidRPr="008629D2">
        <w:rPr>
          <w:rFonts w:cs="Arial"/>
          <w:rtl/>
        </w:rPr>
        <w:t xml:space="preserve"> ובתוס' ובטור מוכח </w:t>
      </w:r>
      <w:r w:rsidR="00AE1231">
        <w:rPr>
          <w:rFonts w:cs="Arial" w:hint="cs"/>
          <w:rtl/>
        </w:rPr>
        <w:t>ד</w:t>
      </w:r>
      <w:r w:rsidRPr="008629D2">
        <w:rPr>
          <w:rFonts w:cs="Arial"/>
          <w:rtl/>
        </w:rPr>
        <w:t>אפי' כששואלי</w:t>
      </w:r>
      <w:r w:rsidR="00AE1231">
        <w:rPr>
          <w:rFonts w:cs="Arial" w:hint="cs"/>
          <w:rtl/>
        </w:rPr>
        <w:t>ם</w:t>
      </w:r>
      <w:r w:rsidRPr="008629D2">
        <w:rPr>
          <w:rFonts w:cs="Arial"/>
          <w:rtl/>
        </w:rPr>
        <w:t xml:space="preserve"> אותו בסירוגין שואלים לו חד הן ותרי לאו</w:t>
      </w:r>
      <w:r w:rsidR="00AE1231">
        <w:rPr>
          <w:rFonts w:cs="Arial" w:hint="cs"/>
          <w:rtl/>
        </w:rPr>
        <w:t>,</w:t>
      </w:r>
      <w:r w:rsidRPr="008629D2">
        <w:rPr>
          <w:rFonts w:cs="Arial"/>
          <w:rtl/>
        </w:rPr>
        <w:t xml:space="preserve"> חד הן ותרי לאו</w:t>
      </w:r>
      <w:r w:rsidR="00AE1231">
        <w:rPr>
          <w:rFonts w:cs="Arial" w:hint="cs"/>
          <w:rtl/>
        </w:rPr>
        <w:t>,</w:t>
      </w:r>
      <w:r w:rsidRPr="008629D2">
        <w:rPr>
          <w:rFonts w:cs="Arial"/>
          <w:rtl/>
        </w:rPr>
        <w:t xml:space="preserve"> כי </w:t>
      </w:r>
      <w:r w:rsidRPr="004743C9">
        <w:rPr>
          <w:rFonts w:cs="Arial"/>
          <w:color w:val="000000" w:themeColor="text1"/>
          <w:rtl/>
        </w:rPr>
        <w:t>היכא דלא להוי ג' לאוין רצופים</w:t>
      </w:r>
      <w:r w:rsidR="00AE1231" w:rsidRPr="004743C9">
        <w:rPr>
          <w:rFonts w:cs="Arial" w:hint="cs"/>
          <w:color w:val="000000" w:themeColor="text1"/>
          <w:rtl/>
        </w:rPr>
        <w:t>,</w:t>
      </w:r>
      <w:r w:rsidRPr="004743C9">
        <w:rPr>
          <w:rFonts w:cs="Arial"/>
          <w:color w:val="000000" w:themeColor="text1"/>
          <w:rtl/>
        </w:rPr>
        <w:t xml:space="preserve"> ולא כהמחבר שכתב חד הן ותרי לאוין חד לאו וכו'</w:t>
      </w:r>
      <w:r w:rsidR="00680130" w:rsidRPr="004743C9">
        <w:rPr>
          <w:rFonts w:cs="Arial" w:hint="cs"/>
          <w:color w:val="000000" w:themeColor="text1"/>
          <w:sz w:val="16"/>
          <w:szCs w:val="16"/>
          <w:rtl/>
        </w:rPr>
        <w:t xml:space="preserve"> {ובגמ' כתוב לא כב"י ולא כב"ש, וצ"ע}</w:t>
      </w:r>
      <w:r w:rsidR="00AE1231" w:rsidRPr="004743C9">
        <w:rPr>
          <w:rFonts w:cs="Arial" w:hint="cs"/>
          <w:color w:val="000000" w:themeColor="text1"/>
          <w:rtl/>
        </w:rPr>
        <w:t>.</w:t>
      </w:r>
      <w:r w:rsidRPr="004743C9">
        <w:rPr>
          <w:rFonts w:cs="Arial"/>
          <w:color w:val="000000" w:themeColor="text1"/>
          <w:rtl/>
        </w:rPr>
        <w:t xml:space="preserve"> ורש"י פי' בתרצן ה</w:t>
      </w:r>
      <w:r w:rsidRPr="008629D2">
        <w:rPr>
          <w:rFonts w:cs="Arial"/>
          <w:rtl/>
        </w:rPr>
        <w:t>ראשון בסרוגי</w:t>
      </w:r>
      <w:r w:rsidR="00AE1231">
        <w:rPr>
          <w:rFonts w:cs="Arial" w:hint="cs"/>
          <w:rtl/>
        </w:rPr>
        <w:t>ן</w:t>
      </w:r>
      <w:r w:rsidRPr="008629D2">
        <w:rPr>
          <w:rFonts w:cs="Arial"/>
          <w:rtl/>
        </w:rPr>
        <w:t xml:space="preserve"> היינו ששוהה בין שאלה לשאלה</w:t>
      </w:r>
      <w:r w:rsidR="00AE1231">
        <w:rPr>
          <w:rFonts w:cs="Arial" w:hint="cs"/>
          <w:rtl/>
        </w:rPr>
        <w:t>.</w:t>
      </w:r>
      <w:r w:rsidRPr="008629D2">
        <w:rPr>
          <w:rFonts w:cs="Arial"/>
          <w:rtl/>
        </w:rPr>
        <w:t xml:space="preserve"> וכ"כ רי"ו והגמיי'</w:t>
      </w:r>
      <w:r w:rsidR="00AE1231">
        <w:rPr>
          <w:rFonts w:cs="Arial" w:hint="cs"/>
          <w:rtl/>
        </w:rPr>
        <w:t>.</w:t>
      </w:r>
      <w:r w:rsidRPr="008629D2">
        <w:rPr>
          <w:rFonts w:cs="Arial"/>
          <w:rtl/>
        </w:rPr>
        <w:t xml:space="preserve"> ויש לחוש לדבריהם</w:t>
      </w:r>
      <w:r>
        <w:rPr>
          <w:rFonts w:cs="Arial" w:hint="cs"/>
          <w:rtl/>
        </w:rPr>
        <w:t>, ב"ש (סק"ז).</w:t>
      </w:r>
    </w:p>
  </w:footnote>
  <w:footnote w:id="313">
    <w:p w14:paraId="46A36AB1" w14:textId="25194A0E" w:rsidR="008629D2" w:rsidRDefault="008629D2">
      <w:pPr>
        <w:pStyle w:val="a5"/>
      </w:pPr>
      <w:r>
        <w:rPr>
          <w:rStyle w:val="a7"/>
        </w:rPr>
        <w:footnoteRef/>
      </w:r>
      <w:r>
        <w:rPr>
          <w:rtl/>
        </w:rPr>
        <w:t xml:space="preserve"> </w:t>
      </w:r>
      <w:r w:rsidRPr="008629D2">
        <w:rPr>
          <w:rFonts w:cs="Arial"/>
          <w:rtl/>
        </w:rPr>
        <w:t>עיין ב"י אם בבדיקה זו צריכין ג"כ לבודקו בסירוגין בהן ולאו או לא</w:t>
      </w:r>
      <w:r>
        <w:rPr>
          <w:rFonts w:cs="Arial" w:hint="cs"/>
          <w:rtl/>
        </w:rPr>
        <w:t>, ח"מ (סק"ו).</w:t>
      </w:r>
      <w:r w:rsidR="00680130">
        <w:rPr>
          <w:rFonts w:hint="cs"/>
          <w:rtl/>
        </w:rPr>
        <w:t xml:space="preserve"> וכתב הב"ש (סק"ח) דמשמע מדברי הרמ"א </w:t>
      </w:r>
      <w:r w:rsidR="00680130" w:rsidRPr="00680130">
        <w:rPr>
          <w:rFonts w:cs="Arial"/>
          <w:rtl/>
        </w:rPr>
        <w:t>דצריך אלו ששה בדיקות ובסירוגי' כהנ"ל אפי' אם בודק ע"י פירות</w:t>
      </w:r>
      <w:r w:rsidR="00680130">
        <w:rPr>
          <w:rFonts w:cs="Arial" w:hint="cs"/>
          <w:rtl/>
        </w:rPr>
        <w:t>.</w:t>
      </w:r>
      <w:r w:rsidR="00680130" w:rsidRPr="00680130">
        <w:rPr>
          <w:rFonts w:cs="Arial"/>
          <w:rtl/>
        </w:rPr>
        <w:t xml:space="preserve"> ועיין ב"י וב"ח</w:t>
      </w:r>
      <w:r w:rsidR="00680130">
        <w:rPr>
          <w:rFonts w:hint="cs"/>
          <w:sz w:val="16"/>
          <w:szCs w:val="16"/>
          <w:rtl/>
        </w:rPr>
        <w:t xml:space="preserve"> [עכ"ל]</w:t>
      </w:r>
      <w:r w:rsidR="00680130">
        <w:rPr>
          <w:rFonts w:hint="cs"/>
          <w:rtl/>
        </w:rPr>
        <w:t>.</w:t>
      </w:r>
    </w:p>
  </w:footnote>
  <w:footnote w:id="314">
    <w:p w14:paraId="4D4799FE" w14:textId="77777777" w:rsidR="00B32D0D" w:rsidRDefault="00B32D0D" w:rsidP="00B32D0D">
      <w:pPr>
        <w:pStyle w:val="a5"/>
        <w:rPr>
          <w:rtl/>
        </w:rPr>
      </w:pPr>
      <w:r>
        <w:rPr>
          <w:rStyle w:val="a7"/>
        </w:rPr>
        <w:footnoteRef/>
      </w:r>
      <w:r>
        <w:rPr>
          <w:rtl/>
        </w:rPr>
        <w:t xml:space="preserve"> </w:t>
      </w:r>
      <w:r w:rsidRPr="00854726">
        <w:rPr>
          <w:rFonts w:cs="Arial"/>
          <w:rtl/>
        </w:rPr>
        <w:t>דכיון דשומע הוא הרי הוא כפיקח לכל דבריו אבל חרש שאינו שומע ואינו מדבר אי לאו דיכול לדבר מתוך הכתב ברמיזה לא מפיק ואי לאו דאשמעינן רב לא הוה ידענא</w:t>
      </w:r>
      <w:r>
        <w:rPr>
          <w:rFonts w:hint="cs"/>
          <w:rtl/>
        </w:rPr>
        <w:t>, רש"י.</w:t>
      </w:r>
    </w:p>
  </w:footnote>
  <w:footnote w:id="315">
    <w:p w14:paraId="4EEB955E" w14:textId="77777777" w:rsidR="00B32D0D" w:rsidRDefault="00B32D0D" w:rsidP="00B32D0D">
      <w:pPr>
        <w:pStyle w:val="a5"/>
      </w:pPr>
      <w:r>
        <w:rPr>
          <w:rStyle w:val="a7"/>
        </w:rPr>
        <w:footnoteRef/>
      </w:r>
      <w:r>
        <w:rPr>
          <w:rtl/>
        </w:rPr>
        <w:t xml:space="preserve"> </w:t>
      </w:r>
      <w:r w:rsidRPr="00F63536">
        <w:rPr>
          <w:rFonts w:cs="Arial"/>
          <w:rtl/>
        </w:rPr>
        <w:t>ולא זהו חרש שדברו בו חכמים בכל מקום והשווהו לשוטה דזהו כפיקח לכל דבריו כדקתני בהדיא אבל חרש דרב כהנא לא שומע ולא מדבר</w:t>
      </w:r>
      <w:r>
        <w:rPr>
          <w:rFonts w:cs="Arial" w:hint="cs"/>
          <w:rtl/>
        </w:rPr>
        <w:t>, רש"י.</w:t>
      </w:r>
    </w:p>
  </w:footnote>
  <w:footnote w:id="316">
    <w:p w14:paraId="00E79D2D" w14:textId="79D934F5" w:rsidR="00B32D0D" w:rsidRDefault="00B32D0D" w:rsidP="00B32D0D">
      <w:pPr>
        <w:pStyle w:val="a5"/>
        <w:rPr>
          <w:rtl/>
        </w:rPr>
      </w:pPr>
      <w:r>
        <w:rPr>
          <w:rStyle w:val="a7"/>
        </w:rPr>
        <w:footnoteRef/>
      </w:r>
      <w:r>
        <w:rPr>
          <w:rtl/>
        </w:rPr>
        <w:t xml:space="preserve"> </w:t>
      </w:r>
      <w:r>
        <w:rPr>
          <w:rFonts w:hint="cs"/>
          <w:rtl/>
        </w:rPr>
        <w:t xml:space="preserve">כתב הב"י </w:t>
      </w:r>
      <w:r w:rsidR="000A0F5A">
        <w:rPr>
          <w:rFonts w:hint="cs"/>
          <w:rtl/>
        </w:rPr>
        <w:t>וז</w:t>
      </w:r>
      <w:r w:rsidR="000A0F5A">
        <w:rPr>
          <w:rtl/>
        </w:rPr>
        <w:t>"</w:t>
      </w:r>
      <w:r w:rsidR="000A0F5A">
        <w:rPr>
          <w:rFonts w:hint="cs"/>
          <w:rtl/>
        </w:rPr>
        <w:t>ל:</w:t>
      </w:r>
      <w:r>
        <w:rPr>
          <w:rFonts w:hint="cs"/>
          <w:rtl/>
        </w:rPr>
        <w:t xml:space="preserve"> </w:t>
      </w:r>
      <w:r w:rsidRPr="003E463B">
        <w:rPr>
          <w:rFonts w:cs="Arial"/>
          <w:rtl/>
        </w:rPr>
        <w:t>ולא כתב הרמב"ם דין המדבר ואינו שומע משום דמכלל דבריו נלמד שכיון שאינו חרש גמור דינו כדין האלם. ויותר נראה לומר ש</w:t>
      </w:r>
      <w:r>
        <w:rPr>
          <w:rFonts w:hint="cs"/>
          <w:rtl/>
        </w:rPr>
        <w:t>-...</w:t>
      </w:r>
    </w:p>
  </w:footnote>
  <w:footnote w:id="317">
    <w:p w14:paraId="50856B63" w14:textId="77777777" w:rsidR="00B32D0D" w:rsidRPr="004743C9" w:rsidRDefault="00B32D0D" w:rsidP="00B32D0D">
      <w:pPr>
        <w:pStyle w:val="a5"/>
        <w:rPr>
          <w:color w:val="000000" w:themeColor="text1"/>
        </w:rPr>
      </w:pPr>
      <w:r>
        <w:rPr>
          <w:rStyle w:val="a7"/>
        </w:rPr>
        <w:footnoteRef/>
      </w:r>
      <w:r>
        <w:rPr>
          <w:rtl/>
        </w:rPr>
        <w:t xml:space="preserve"> </w:t>
      </w:r>
      <w:r w:rsidRPr="003E463B">
        <w:rPr>
          <w:rFonts w:cs="Arial"/>
          <w:rtl/>
        </w:rPr>
        <w:t>ומשום הכי לא הזכירו הרמב"ם</w:t>
      </w:r>
      <w:r>
        <w:rPr>
          <w:rFonts w:cs="Arial" w:hint="cs"/>
          <w:rtl/>
        </w:rPr>
        <w:t>, ב"י.</w:t>
      </w:r>
      <w:r>
        <w:rPr>
          <w:rFonts w:hint="cs"/>
          <w:rtl/>
        </w:rPr>
        <w:t xml:space="preserve"> ועיין ברמב"ם פכ"ט ממכירה (ה"ב) דכתב דחרש המדבר שווה לחרש גמור. ותמה עליו שם הה"מ. ותירץ שם הכס"מ (בתירוץ האחרון) דהא שכתב כאן הרמב"ם גבי חרש המדבר היינו ששומע קצת ואעפ"כ מיקרי חרש </w:t>
      </w:r>
      <w:r w:rsidRPr="004743C9">
        <w:rPr>
          <w:rFonts w:hint="cs"/>
          <w:color w:val="000000" w:themeColor="text1"/>
          <w:rtl/>
        </w:rPr>
        <w:t>כיון שאינו שומע כדרך כל האדם. ועיי"ש שנראה שלא נחה דעת הכס"מ בתירוץ זה, ואולי לכן לא הזכיר תנאי זה כאן.</w:t>
      </w:r>
    </w:p>
  </w:footnote>
  <w:footnote w:id="318">
    <w:p w14:paraId="29759CF8" w14:textId="2F6A3B85" w:rsidR="00B32D0D" w:rsidRDefault="00B32D0D" w:rsidP="00B32D0D">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sidRPr="003E463B">
        <w:rPr>
          <w:rFonts w:cs="Arial"/>
          <w:rtl/>
        </w:rPr>
        <w:t xml:space="preserve"> אבל מדבר ואינו שומע שומע ואינו מדבר הרי הן כפיקחין לכל דבריהם ובבדיקה סגי והכי איתמר בפרק מי שאחזו (עא.)</w:t>
      </w:r>
      <w:r>
        <w:rPr>
          <w:rFonts w:cs="Arial" w:hint="cs"/>
          <w:rtl/>
        </w:rPr>
        <w:t>.</w:t>
      </w:r>
    </w:p>
  </w:footnote>
  <w:footnote w:id="319">
    <w:p w14:paraId="20139988" w14:textId="7BFFA09D" w:rsidR="00B32D0D" w:rsidRDefault="00B32D0D" w:rsidP="00B32D0D">
      <w:pPr>
        <w:pStyle w:val="a5"/>
        <w:rPr>
          <w:rtl/>
        </w:rPr>
      </w:pPr>
      <w:r>
        <w:rPr>
          <w:rStyle w:val="a7"/>
        </w:rPr>
        <w:footnoteRef/>
      </w:r>
      <w:r>
        <w:rPr>
          <w:rtl/>
        </w:rPr>
        <w:t xml:space="preserve"> </w:t>
      </w:r>
      <w:r>
        <w:rPr>
          <w:rFonts w:cs="Arial" w:hint="cs"/>
          <w:rtl/>
        </w:rPr>
        <w:t xml:space="preserve">והוסיף הב"י </w:t>
      </w:r>
      <w:r w:rsidR="000A0F5A">
        <w:rPr>
          <w:rFonts w:cs="Arial" w:hint="cs"/>
          <w:rtl/>
        </w:rPr>
        <w:t>וז</w:t>
      </w:r>
      <w:r w:rsidR="000A0F5A">
        <w:rPr>
          <w:rFonts w:cs="Arial"/>
          <w:rtl/>
        </w:rPr>
        <w:t>"</w:t>
      </w:r>
      <w:r w:rsidR="000A0F5A">
        <w:rPr>
          <w:rFonts w:cs="Arial" w:hint="cs"/>
          <w:rtl/>
        </w:rPr>
        <w:t>ל:</w:t>
      </w:r>
      <w:r>
        <w:rPr>
          <w:rFonts w:cs="Arial" w:hint="cs"/>
          <w:rtl/>
        </w:rPr>
        <w:t xml:space="preserve"> אבל מדברי הר"ן </w:t>
      </w:r>
      <w:r w:rsidRPr="003E463B">
        <w:rPr>
          <w:rFonts w:cs="Arial"/>
          <w:rtl/>
        </w:rPr>
        <w:t xml:space="preserve">נראה שסובר כדעת הראשון </w:t>
      </w:r>
      <w:r>
        <w:rPr>
          <w:rFonts w:cs="Arial" w:hint="cs"/>
          <w:sz w:val="16"/>
          <w:szCs w:val="16"/>
          <w:rtl/>
        </w:rPr>
        <w:t>{שכתב הב"י בהסבר הרמב"ם}</w:t>
      </w:r>
      <w:r>
        <w:rPr>
          <w:rFonts w:cs="Arial" w:hint="cs"/>
          <w:rtl/>
        </w:rPr>
        <w:t xml:space="preserve"> </w:t>
      </w:r>
      <w:r w:rsidRPr="003E463B">
        <w:rPr>
          <w:rFonts w:cs="Arial"/>
          <w:rtl/>
        </w:rPr>
        <w:t>ד</w:t>
      </w:r>
      <w:r>
        <w:rPr>
          <w:rFonts w:hint="cs"/>
          <w:rtl/>
        </w:rPr>
        <w:t>-...</w:t>
      </w:r>
    </w:p>
  </w:footnote>
  <w:footnote w:id="320">
    <w:p w14:paraId="48A79BE2" w14:textId="77777777" w:rsidR="00462391" w:rsidRDefault="00462391" w:rsidP="00462391">
      <w:pPr>
        <w:pStyle w:val="a5"/>
      </w:pPr>
      <w:r>
        <w:rPr>
          <w:rStyle w:val="a7"/>
        </w:rPr>
        <w:footnoteRef/>
      </w:r>
      <w:r>
        <w:rPr>
          <w:rtl/>
        </w:rPr>
        <w:t xml:space="preserve"> </w:t>
      </w:r>
      <w:r>
        <w:rPr>
          <w:rFonts w:cs="Arial"/>
          <w:rtl/>
        </w:rPr>
        <w:t>אחר קידושין הואיל וקידושין גמורין הם לא יוציא עולמית</w:t>
      </w:r>
      <w:r>
        <w:rPr>
          <w:rFonts w:cs="Arial" w:hint="cs"/>
          <w:rtl/>
        </w:rPr>
        <w:t>, רש"י.</w:t>
      </w:r>
    </w:p>
  </w:footnote>
  <w:footnote w:id="321">
    <w:p w14:paraId="611419D2" w14:textId="77777777" w:rsidR="00462391" w:rsidRPr="000E1FAA" w:rsidRDefault="00462391" w:rsidP="00462391">
      <w:pPr>
        <w:pStyle w:val="a5"/>
        <w:rPr>
          <w:rFonts w:cs="Arial"/>
        </w:rPr>
      </w:pPr>
      <w:r>
        <w:rPr>
          <w:rStyle w:val="a7"/>
        </w:rPr>
        <w:footnoteRef/>
      </w:r>
      <w:r>
        <w:rPr>
          <w:rtl/>
        </w:rPr>
        <w:t xml:space="preserve"> </w:t>
      </w:r>
      <w:r>
        <w:rPr>
          <w:rFonts w:cs="Arial"/>
          <w:rtl/>
        </w:rPr>
        <w:t>ואפילו כתב כתבו גט לאשתי</w:t>
      </w:r>
      <w:r>
        <w:rPr>
          <w:rFonts w:cs="Arial" w:hint="cs"/>
          <w:rtl/>
        </w:rPr>
        <w:t xml:space="preserve"> -</w:t>
      </w:r>
      <w:r>
        <w:rPr>
          <w:rFonts w:cs="Arial"/>
          <w:rtl/>
        </w:rPr>
        <w:t xml:space="preserve"> אין כותבין לכולי עלמא</w:t>
      </w:r>
      <w:r>
        <w:rPr>
          <w:rFonts w:cs="Arial" w:hint="cs"/>
          <w:rtl/>
        </w:rPr>
        <w:t>,</w:t>
      </w:r>
      <w:r>
        <w:rPr>
          <w:rFonts w:cs="Arial"/>
          <w:rtl/>
        </w:rPr>
        <w:t xml:space="preserve"> כדאסיקנא במי שאחזו (עב.) עד שישמעו קולו לאפוקי מדרב כהנא אמר רב</w:t>
      </w:r>
      <w:r>
        <w:rPr>
          <w:rFonts w:cs="Arial" w:hint="cs"/>
          <w:rtl/>
        </w:rPr>
        <w:t xml:space="preserve">... </w:t>
      </w:r>
      <w:r>
        <w:rPr>
          <w:rFonts w:cs="Arial"/>
          <w:rtl/>
        </w:rPr>
        <w:t>וטעמא משום דכל שאינו שומע ואינו מדבר דעתא שגישתא אית ליה וכשוטה חשיב</w:t>
      </w:r>
      <w:r>
        <w:rPr>
          <w:rFonts w:cs="Arial" w:hint="cs"/>
          <w:rtl/>
        </w:rPr>
        <w:t>, ב"י.</w:t>
      </w:r>
    </w:p>
  </w:footnote>
  <w:footnote w:id="322">
    <w:p w14:paraId="5B2F7CA2" w14:textId="77777777" w:rsidR="00462391" w:rsidRDefault="00462391" w:rsidP="00462391">
      <w:pPr>
        <w:pStyle w:val="a5"/>
        <w:rPr>
          <w:rtl/>
        </w:rPr>
      </w:pPr>
      <w:r>
        <w:rPr>
          <w:rStyle w:val="a7"/>
        </w:rPr>
        <w:footnoteRef/>
      </w:r>
      <w:r>
        <w:rPr>
          <w:rtl/>
        </w:rPr>
        <w:t xml:space="preserve"> </w:t>
      </w:r>
      <w:r w:rsidRPr="00562E53">
        <w:rPr>
          <w:rFonts w:cs="Arial"/>
          <w:rtl/>
        </w:rPr>
        <w:t>כדין אחות אשה. שהרי קידושי שניהם שוים, שהם מדרבנן, ויבוא איסור אחות אשה מדרבנן ויפקיע את זיקת היבמה מדרבנן</w:t>
      </w:r>
      <w:r>
        <w:rPr>
          <w:rFonts w:hint="cs"/>
          <w:rtl/>
        </w:rPr>
        <w:t xml:space="preserve"> </w:t>
      </w:r>
      <w:r w:rsidRPr="00562E53">
        <w:rPr>
          <w:rFonts w:hint="cs"/>
          <w:sz w:val="16"/>
          <w:szCs w:val="16"/>
          <w:rtl/>
        </w:rPr>
        <w:t>(חברותא)</w:t>
      </w:r>
      <w:r>
        <w:rPr>
          <w:rFonts w:hint="cs"/>
          <w:rtl/>
        </w:rPr>
        <w:t>.</w:t>
      </w:r>
    </w:p>
  </w:footnote>
  <w:footnote w:id="323">
    <w:p w14:paraId="47CD298B" w14:textId="77777777" w:rsidR="00462391" w:rsidRDefault="00462391" w:rsidP="00462391">
      <w:pPr>
        <w:pStyle w:val="a5"/>
      </w:pPr>
      <w:r>
        <w:rPr>
          <w:rStyle w:val="a7"/>
        </w:rPr>
        <w:footnoteRef/>
      </w:r>
      <w:r>
        <w:rPr>
          <w:rtl/>
        </w:rPr>
        <w:t xml:space="preserve"> </w:t>
      </w:r>
      <w:r w:rsidRPr="00462391">
        <w:rPr>
          <w:rFonts w:cs="Arial"/>
          <w:rtl/>
        </w:rPr>
        <w:t>ביבמתו, הנופלת לפניו מן התורה, שהרי אינו יכול לחלוץ לה, לפי שאינו יכול לקרוא</w:t>
      </w:r>
      <w:r>
        <w:rPr>
          <w:rFonts w:cs="Arial" w:hint="cs"/>
          <w:rtl/>
        </w:rPr>
        <w:t xml:space="preserve"> </w:t>
      </w:r>
      <w:r w:rsidRPr="00562E53">
        <w:rPr>
          <w:rFonts w:hint="cs"/>
          <w:sz w:val="16"/>
          <w:szCs w:val="16"/>
          <w:rtl/>
        </w:rPr>
        <w:t>(חברותא)</w:t>
      </w:r>
      <w:r>
        <w:rPr>
          <w:rFonts w:hint="cs"/>
          <w:rtl/>
        </w:rPr>
        <w:t>.</w:t>
      </w:r>
    </w:p>
  </w:footnote>
  <w:footnote w:id="324">
    <w:p w14:paraId="24BF9968" w14:textId="77777777" w:rsidR="00462391" w:rsidRDefault="00462391" w:rsidP="00462391">
      <w:pPr>
        <w:pStyle w:val="a5"/>
      </w:pPr>
      <w:r>
        <w:rPr>
          <w:rStyle w:val="a7"/>
        </w:rPr>
        <w:footnoteRef/>
      </w:r>
      <w:r>
        <w:rPr>
          <w:rtl/>
        </w:rPr>
        <w:t xml:space="preserve"> </w:t>
      </w:r>
      <w:r w:rsidRPr="00462391">
        <w:rPr>
          <w:rFonts w:cs="Arial"/>
          <w:rtl/>
        </w:rPr>
        <w:t>שהרי אין בכח יבומו של החרש להפקיע את זיקת אחיו, וגטו אינו יכול להתירה לשוק בלי חליצה, והוא אינו יכול לחלוץ לפי שאינו יכול לקרוא בשעת חליצה</w:t>
      </w:r>
      <w:r>
        <w:rPr>
          <w:rFonts w:cs="Arial" w:hint="cs"/>
          <w:rtl/>
        </w:rPr>
        <w:t xml:space="preserve"> </w:t>
      </w:r>
      <w:r w:rsidRPr="00562E53">
        <w:rPr>
          <w:rFonts w:hint="cs"/>
          <w:sz w:val="16"/>
          <w:szCs w:val="16"/>
          <w:rtl/>
        </w:rPr>
        <w:t>(חברותא)</w:t>
      </w:r>
      <w:r>
        <w:rPr>
          <w:rFonts w:hint="cs"/>
          <w:rtl/>
        </w:rPr>
        <w:t>.</w:t>
      </w:r>
    </w:p>
  </w:footnote>
  <w:footnote w:id="325">
    <w:p w14:paraId="5DD1F0ED" w14:textId="5759C438" w:rsidR="002F74FE" w:rsidRDefault="002F74FE" w:rsidP="002F74FE">
      <w:pPr>
        <w:pStyle w:val="a5"/>
      </w:pPr>
      <w:r>
        <w:rPr>
          <w:rStyle w:val="a7"/>
        </w:rPr>
        <w:footnoteRef/>
      </w:r>
      <w:r>
        <w:rPr>
          <w:rtl/>
        </w:rPr>
        <w:t xml:space="preserve"> </w:t>
      </w:r>
      <w:r w:rsidRPr="002F74FE">
        <w:rPr>
          <w:rFonts w:cs="Arial"/>
          <w:rtl/>
        </w:rPr>
        <w:t>בידיו ובראשו</w:t>
      </w:r>
      <w:r>
        <w:rPr>
          <w:rFonts w:cs="Arial" w:hint="cs"/>
          <w:rtl/>
        </w:rPr>
        <w:t>, רש"י.</w:t>
      </w:r>
      <w:r w:rsidR="00DB18A9" w:rsidRPr="00DB18A9">
        <w:rPr>
          <w:rFonts w:cs="Arial"/>
          <w:rtl/>
        </w:rPr>
        <w:t xml:space="preserve"> </w:t>
      </w:r>
      <w:r w:rsidR="00DB18A9">
        <w:rPr>
          <w:rFonts w:cs="Arial"/>
          <w:rtl/>
        </w:rPr>
        <w:t>והערוך (ערך קפץ קכ ע"א) פירש רמיזה בעין ובידו</w:t>
      </w:r>
      <w:r w:rsidR="00DB18A9">
        <w:rPr>
          <w:rFonts w:hint="cs"/>
          <w:rtl/>
        </w:rPr>
        <w:t>.</w:t>
      </w:r>
    </w:p>
  </w:footnote>
  <w:footnote w:id="326">
    <w:p w14:paraId="61FA9D55" w14:textId="6AABBD90" w:rsidR="002F74FE" w:rsidRDefault="002F74FE">
      <w:pPr>
        <w:pStyle w:val="a5"/>
      </w:pPr>
      <w:r>
        <w:rPr>
          <w:rStyle w:val="a7"/>
        </w:rPr>
        <w:footnoteRef/>
      </w:r>
      <w:r>
        <w:rPr>
          <w:rtl/>
        </w:rPr>
        <w:t xml:space="preserve"> </w:t>
      </w:r>
      <w:r w:rsidRPr="002F74FE">
        <w:rPr>
          <w:rFonts w:cs="Arial"/>
          <w:rtl/>
        </w:rPr>
        <w:t xml:space="preserve">עקימת שפתים שנא' קפצה פיה </w:t>
      </w:r>
      <w:r w:rsidRPr="002F74FE">
        <w:rPr>
          <w:rFonts w:cs="Arial"/>
          <w:sz w:val="16"/>
          <w:szCs w:val="16"/>
          <w:rtl/>
        </w:rPr>
        <w:t>(</w:t>
      </w:r>
      <w:r w:rsidRPr="002F74FE">
        <w:rPr>
          <w:rFonts w:cs="Arial" w:hint="cs"/>
          <w:sz w:val="16"/>
          <w:szCs w:val="16"/>
          <w:rtl/>
        </w:rPr>
        <w:t xml:space="preserve">תהילים קז מב, </w:t>
      </w:r>
      <w:r w:rsidRPr="002F74FE">
        <w:rPr>
          <w:rFonts w:cs="Arial"/>
          <w:sz w:val="16"/>
          <w:szCs w:val="16"/>
          <w:rtl/>
        </w:rPr>
        <w:t>איוב ה</w:t>
      </w:r>
      <w:r w:rsidRPr="002F74FE">
        <w:rPr>
          <w:rFonts w:cs="Arial" w:hint="cs"/>
          <w:sz w:val="16"/>
          <w:szCs w:val="16"/>
          <w:rtl/>
        </w:rPr>
        <w:t xml:space="preserve"> טז</w:t>
      </w:r>
      <w:r w:rsidRPr="002F74FE">
        <w:rPr>
          <w:rFonts w:cs="Arial"/>
          <w:sz w:val="16"/>
          <w:szCs w:val="16"/>
          <w:rtl/>
        </w:rPr>
        <w:t>)</w:t>
      </w:r>
      <w:r w:rsidRPr="002F74FE">
        <w:rPr>
          <w:rFonts w:cs="Arial"/>
          <w:rtl/>
        </w:rPr>
        <w:t xml:space="preserve"> ואינו סימן ניכר כרמיזה</w:t>
      </w:r>
      <w:r>
        <w:rPr>
          <w:rFonts w:cs="Arial" w:hint="cs"/>
          <w:rtl/>
        </w:rPr>
        <w:t>, רש"י.</w:t>
      </w:r>
      <w:r w:rsidR="00DB18A9" w:rsidRPr="00DB18A9">
        <w:rPr>
          <w:rFonts w:cs="Arial"/>
          <w:rtl/>
        </w:rPr>
        <w:t xml:space="preserve"> </w:t>
      </w:r>
      <w:r w:rsidR="00DB18A9">
        <w:rPr>
          <w:rFonts w:cs="Arial"/>
          <w:rtl/>
        </w:rPr>
        <w:t>ו</w:t>
      </w:r>
      <w:r w:rsidR="00DB18A9">
        <w:rPr>
          <w:rFonts w:cs="Arial" w:hint="cs"/>
          <w:rtl/>
        </w:rPr>
        <w:t xml:space="preserve">כן פירש </w:t>
      </w:r>
      <w:r w:rsidR="00DB18A9">
        <w:rPr>
          <w:rFonts w:cs="Arial"/>
          <w:rtl/>
        </w:rPr>
        <w:t xml:space="preserve">הערוך </w:t>
      </w:r>
      <w:r w:rsidR="00DB18A9" w:rsidRPr="00DB18A9">
        <w:rPr>
          <w:rFonts w:cs="Arial"/>
          <w:sz w:val="16"/>
          <w:szCs w:val="16"/>
          <w:rtl/>
        </w:rPr>
        <w:t>(ערך קפץ)</w:t>
      </w:r>
      <w:r w:rsidR="00DB18A9">
        <w:rPr>
          <w:rFonts w:hint="cs"/>
          <w:rtl/>
        </w:rPr>
        <w:t>.</w:t>
      </w:r>
    </w:p>
  </w:footnote>
  <w:footnote w:id="327">
    <w:p w14:paraId="4C655469" w14:textId="50ED3799" w:rsidR="008433DA" w:rsidRDefault="008433DA">
      <w:pPr>
        <w:pStyle w:val="a5"/>
        <w:rPr>
          <w:rtl/>
        </w:rPr>
      </w:pPr>
      <w:r>
        <w:rPr>
          <w:rStyle w:val="a7"/>
        </w:rPr>
        <w:footnoteRef/>
      </w:r>
      <w:r>
        <w:rPr>
          <w:rtl/>
        </w:rPr>
        <w:t xml:space="preserve"> </w:t>
      </w:r>
      <w:r w:rsidRPr="008433DA">
        <w:rPr>
          <w:rFonts w:cs="Arial"/>
          <w:rtl/>
        </w:rPr>
        <w:t xml:space="preserve">לענין שכירות לשכור או להשכיר מטלטלין </w:t>
      </w:r>
      <w:r w:rsidR="00D46B77">
        <w:rPr>
          <w:rFonts w:cs="Arial" w:hint="cs"/>
          <w:sz w:val="16"/>
          <w:szCs w:val="16"/>
          <w:rtl/>
        </w:rPr>
        <w:t xml:space="preserve">{היינו </w:t>
      </w:r>
      <w:r w:rsidR="00D46B77" w:rsidRPr="00D46B77">
        <w:rPr>
          <w:rFonts w:cs="Arial"/>
          <w:sz w:val="16"/>
          <w:szCs w:val="16"/>
          <w:rtl/>
        </w:rPr>
        <w:t>שוכר פועלים ע"י קפיצת פיו ומשתכר לאחרים</w:t>
      </w:r>
      <w:r w:rsidR="00D46B77">
        <w:rPr>
          <w:rFonts w:cs="Arial" w:hint="cs"/>
          <w:sz w:val="16"/>
          <w:szCs w:val="16"/>
          <w:rtl/>
        </w:rPr>
        <w:t xml:space="preserve">, פני משה} </w:t>
      </w:r>
      <w:r w:rsidRPr="008433DA">
        <w:rPr>
          <w:rFonts w:cs="Arial"/>
          <w:rtl/>
        </w:rPr>
        <w:t>אבל לא למכור</w:t>
      </w:r>
      <w:r w:rsidR="00D46B77">
        <w:rPr>
          <w:rFonts w:cs="Arial" w:hint="cs"/>
          <w:rtl/>
        </w:rPr>
        <w:t>.</w:t>
      </w:r>
      <w:r w:rsidRPr="008433DA">
        <w:rPr>
          <w:rFonts w:cs="Arial"/>
          <w:rtl/>
        </w:rPr>
        <w:t xml:space="preserve"> וי"ג שוור ומשתוור והוא תרגום של קפיצה</w:t>
      </w:r>
      <w:r>
        <w:rPr>
          <w:rFonts w:hint="cs"/>
          <w:rtl/>
        </w:rPr>
        <w:t>, קרבן העדה.</w:t>
      </w:r>
    </w:p>
  </w:footnote>
  <w:footnote w:id="328">
    <w:p w14:paraId="4B88E83F" w14:textId="147ACB99" w:rsidR="0089668C" w:rsidRDefault="0089668C">
      <w:pPr>
        <w:pStyle w:val="a5"/>
      </w:pPr>
      <w:r>
        <w:rPr>
          <w:rStyle w:val="a7"/>
        </w:rPr>
        <w:footnoteRef/>
      </w:r>
      <w:r>
        <w:rPr>
          <w:rtl/>
        </w:rPr>
        <w:t xml:space="preserve"> </w:t>
      </w:r>
      <w:r w:rsidRPr="006E1A09">
        <w:rPr>
          <w:rFonts w:cs="Arial"/>
          <w:rtl/>
        </w:rPr>
        <w:t>הרי"ף כתב בהניזקין (כז:) תרי לישני דרב נחמן</w:t>
      </w:r>
      <w:r w:rsidRPr="006E1A09">
        <w:rPr>
          <w:rFonts w:cs="Arial" w:hint="cs"/>
          <w:rtl/>
        </w:rPr>
        <w:t>.</w:t>
      </w:r>
      <w:r w:rsidRPr="006E1A09">
        <w:rPr>
          <w:rFonts w:cs="Arial"/>
          <w:rtl/>
        </w:rPr>
        <w:t xml:space="preserve"> ובריש מי שאחזו (לד.) הביא אגב גררא מתניתין דחרש רומז ונרמז וכתב לישנא בתרא לחודיה</w:t>
      </w:r>
      <w:r w:rsidRPr="006E1A09">
        <w:rPr>
          <w:rFonts w:cs="Arial" w:hint="cs"/>
          <w:rtl/>
        </w:rPr>
        <w:t>,</w:t>
      </w:r>
      <w:r w:rsidRPr="006E1A09">
        <w:rPr>
          <w:rFonts w:cs="Arial"/>
          <w:rtl/>
        </w:rPr>
        <w:t xml:space="preserve"> ומשמע דכבן בתירא סבירא ליה</w:t>
      </w:r>
      <w:r w:rsidRPr="006E1A09">
        <w:rPr>
          <w:rFonts w:cs="Arial" w:hint="cs"/>
          <w:rtl/>
        </w:rPr>
        <w:t>.</w:t>
      </w:r>
      <w:r w:rsidRPr="006E1A09">
        <w:rPr>
          <w:rFonts w:cs="Arial"/>
          <w:rtl/>
        </w:rPr>
        <w:t xml:space="preserve"> וכתב הרא"ש (פ"ה סי"ח) דטעמיה מדאמר רב נחמן דבריו אליבא דבן בתירא אלמא הלכתא כוותיה</w:t>
      </w:r>
      <w:r w:rsidRPr="006E1A09">
        <w:rPr>
          <w:rFonts w:cs="Arial" w:hint="cs"/>
          <w:rtl/>
        </w:rPr>
        <w:t>.</w:t>
      </w:r>
      <w:r w:rsidRPr="006E1A09">
        <w:rPr>
          <w:rFonts w:cs="Arial"/>
          <w:rtl/>
        </w:rPr>
        <w:t xml:space="preserve"> ולא מסתבר לי דבכל התלמוד מפרשים אמוראים דברי התנאים לידע פירוש המשנה במה נחלקו אף על גב דלית הלכתא כוותייהו</w:t>
      </w:r>
      <w:r w:rsidRPr="006E1A09">
        <w:rPr>
          <w:rFonts w:cs="Arial" w:hint="cs"/>
          <w:rtl/>
        </w:rPr>
        <w:t>,</w:t>
      </w:r>
      <w:r w:rsidRPr="006E1A09">
        <w:rPr>
          <w:rFonts w:cs="Arial"/>
          <w:rtl/>
        </w:rPr>
        <w:t xml:space="preserve"> והבא להקל צריך ראיה עכ"ל</w:t>
      </w:r>
      <w:r>
        <w:rPr>
          <w:rFonts w:cs="Arial" w:hint="cs"/>
          <w:rtl/>
        </w:rPr>
        <w:t>, ב"י.</w:t>
      </w:r>
    </w:p>
  </w:footnote>
  <w:footnote w:id="329">
    <w:p w14:paraId="088D3AD3" w14:textId="77777777" w:rsidR="009C0F75" w:rsidRDefault="009C0F75" w:rsidP="009C0F75">
      <w:pPr>
        <w:pStyle w:val="a5"/>
      </w:pPr>
      <w:r>
        <w:rPr>
          <w:rStyle w:val="a7"/>
        </w:rPr>
        <w:footnoteRef/>
      </w:r>
      <w:r>
        <w:rPr>
          <w:rtl/>
        </w:rPr>
        <w:t xml:space="preserve"> </w:t>
      </w:r>
      <w:r w:rsidRPr="006E1A09">
        <w:rPr>
          <w:rFonts w:cs="Arial"/>
          <w:rtl/>
        </w:rPr>
        <w:t xml:space="preserve">הרמב"ם </w:t>
      </w:r>
      <w:r>
        <w:rPr>
          <w:rFonts w:cs="Arial" w:hint="cs"/>
          <w:rtl/>
        </w:rPr>
        <w:t>(</w:t>
      </w:r>
      <w:r w:rsidRPr="006E1A09">
        <w:rPr>
          <w:rFonts w:cs="Arial"/>
          <w:rtl/>
        </w:rPr>
        <w:t>פ</w:t>
      </w:r>
      <w:r>
        <w:rPr>
          <w:rFonts w:cs="Arial" w:hint="cs"/>
          <w:rtl/>
        </w:rPr>
        <w:t>"</w:t>
      </w:r>
      <w:r w:rsidRPr="006E1A09">
        <w:rPr>
          <w:rFonts w:cs="Arial"/>
          <w:rtl/>
        </w:rPr>
        <w:t>ב הי"ז) לא הזכיר קפיצה אלא רמיזה משמע דלא קיימא לן כבן בתירא דסתם מתניתין רמיזה דוקא נקט ואפשר שגם זה דעת הרי"ף ולא הביא דברי רב נחמן אלא ללמדנו דלתנא קמא דהלכתא כוותיה גיטין נמי ברמיזה ולא אמרינן דמודה דסגי בקפיצה משום עיגונא</w:t>
      </w:r>
      <w:r>
        <w:rPr>
          <w:rFonts w:cs="Arial" w:hint="cs"/>
          <w:rtl/>
        </w:rPr>
        <w:t>, ב"י.</w:t>
      </w:r>
    </w:p>
  </w:footnote>
  <w:footnote w:id="330">
    <w:p w14:paraId="5FD8C628" w14:textId="54822BA3" w:rsidR="007A1397" w:rsidRDefault="007A1397">
      <w:pPr>
        <w:pStyle w:val="a5"/>
        <w:rPr>
          <w:rtl/>
        </w:rPr>
      </w:pPr>
      <w:r>
        <w:rPr>
          <w:rStyle w:val="a7"/>
        </w:rPr>
        <w:footnoteRef/>
      </w:r>
      <w:r>
        <w:rPr>
          <w:rtl/>
        </w:rPr>
        <w:t xml:space="preserve"> </w:t>
      </w:r>
      <w:r w:rsidRPr="006E1A09">
        <w:rPr>
          <w:rFonts w:cs="Arial"/>
          <w:rtl/>
        </w:rPr>
        <w:t xml:space="preserve">כתב </w:t>
      </w:r>
      <w:r>
        <w:rPr>
          <w:rFonts w:cs="Arial" w:hint="cs"/>
          <w:rtl/>
        </w:rPr>
        <w:t xml:space="preserve">בהעי"ט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6E1A09">
        <w:rPr>
          <w:rFonts w:cs="Arial"/>
          <w:rtl/>
        </w:rPr>
        <w:t>ורבינו חננאל כבן בתירא סבירא ליה אלא דקאמר כיון דאיתמר תרי לישני דרב נחמן תפסינן לחומרא כלישנא קמא דדברי הכל ברמיזה ולא בקפיצה</w:t>
      </w:r>
      <w:r>
        <w:rPr>
          <w:rFonts w:cs="Arial" w:hint="cs"/>
          <w:rtl/>
        </w:rPr>
        <w:t>.</w:t>
      </w:r>
      <w:r w:rsidRPr="006E1A09">
        <w:rPr>
          <w:rFonts w:cs="Arial"/>
          <w:rtl/>
        </w:rPr>
        <w:t xml:space="preserve"> ומיהו מסתברא לן</w:t>
      </w:r>
      <w:r>
        <w:rPr>
          <w:rFonts w:hint="cs"/>
          <w:rtl/>
        </w:rPr>
        <w:t>-...</w:t>
      </w:r>
    </w:p>
  </w:footnote>
  <w:footnote w:id="331">
    <w:p w14:paraId="295E1BB9" w14:textId="3D12D333" w:rsidR="007A1397" w:rsidRDefault="007A1397">
      <w:pPr>
        <w:pStyle w:val="a5"/>
      </w:pPr>
      <w:r>
        <w:rPr>
          <w:rStyle w:val="a7"/>
        </w:rPr>
        <w:footnoteRef/>
      </w:r>
      <w:r>
        <w:rPr>
          <w:rtl/>
        </w:rPr>
        <w:t xml:space="preserve"> </w:t>
      </w:r>
      <w:r w:rsidRPr="006E1A09">
        <w:rPr>
          <w:rFonts w:cs="Arial"/>
          <w:rtl/>
        </w:rPr>
        <w:t>ולמאי דסבר הרא"ש בדעת הרי"ף דקופץ קל מהרמיזה</w:t>
      </w:r>
      <w:r>
        <w:rPr>
          <w:rFonts w:cs="Arial" w:hint="cs"/>
          <w:rtl/>
        </w:rPr>
        <w:t>,</w:t>
      </w:r>
      <w:r w:rsidRPr="006E1A09">
        <w:rPr>
          <w:rFonts w:cs="Arial"/>
          <w:rtl/>
        </w:rPr>
        <w:t xml:space="preserve"> וקיימא לן כבן בתירא</w:t>
      </w:r>
      <w:r>
        <w:rPr>
          <w:rFonts w:cs="Arial" w:hint="cs"/>
          <w:rtl/>
        </w:rPr>
        <w:t>,</w:t>
      </w:r>
      <w:r w:rsidRPr="006E1A09">
        <w:rPr>
          <w:rFonts w:cs="Arial"/>
          <w:rtl/>
        </w:rPr>
        <w:t xml:space="preserve"> צ"ל דמאי דתנן בפרק חרש כשם שכונס ברמיזה כך מוציא ברמיזה דסתם מתניתין ככולי עלמא דמדינא בקפיצה סגי וכל שכן ברמיזה</w:t>
      </w:r>
      <w:r>
        <w:rPr>
          <w:rFonts w:cs="Arial" w:hint="cs"/>
          <w:rtl/>
        </w:rPr>
        <w:t>, ב"י.</w:t>
      </w:r>
    </w:p>
  </w:footnote>
  <w:footnote w:id="332">
    <w:p w14:paraId="7304E429" w14:textId="1DA2FFFC" w:rsidR="002D6227" w:rsidRDefault="002D6227">
      <w:pPr>
        <w:pStyle w:val="a5"/>
      </w:pPr>
      <w:r>
        <w:rPr>
          <w:rStyle w:val="a7"/>
        </w:rPr>
        <w:footnoteRef/>
      </w:r>
      <w:r>
        <w:rPr>
          <w:rtl/>
        </w:rPr>
        <w:t xml:space="preserve"> </w:t>
      </w:r>
      <w:r w:rsidRPr="002D6227">
        <w:rPr>
          <w:rFonts w:cs="Arial"/>
          <w:rtl/>
        </w:rPr>
        <w:t>והיינו כשנתייחד עמה לפני עדים</w:t>
      </w:r>
      <w:r w:rsidR="00C66691">
        <w:rPr>
          <w:rFonts w:cs="Arial" w:hint="cs"/>
          <w:rtl/>
        </w:rPr>
        <w:t>.</w:t>
      </w:r>
      <w:r w:rsidRPr="002D6227">
        <w:rPr>
          <w:rFonts w:cs="Arial"/>
          <w:rtl/>
        </w:rPr>
        <w:t xml:space="preserve"> ואם לא נתייחד לפני עדים אלא דר עמה כדרך איש עם אשתו כתבתי כמה פעמים דפליגו בזה הפוסקים</w:t>
      </w:r>
      <w:r>
        <w:rPr>
          <w:rFonts w:cs="Arial" w:hint="cs"/>
          <w:rtl/>
        </w:rPr>
        <w:t>, ב"ש (סק"ט).</w:t>
      </w:r>
    </w:p>
  </w:footnote>
  <w:footnote w:id="333">
    <w:p w14:paraId="7B955D4C" w14:textId="46683532" w:rsidR="007E7191" w:rsidRDefault="007E7191">
      <w:pPr>
        <w:pStyle w:val="a5"/>
      </w:pPr>
      <w:r>
        <w:rPr>
          <w:rStyle w:val="a7"/>
        </w:rPr>
        <w:footnoteRef/>
      </w:r>
      <w:r>
        <w:rPr>
          <w:rtl/>
        </w:rPr>
        <w:t xml:space="preserve"> </w:t>
      </w:r>
      <w:r w:rsidRPr="007E7191">
        <w:rPr>
          <w:rFonts w:cs="Arial"/>
          <w:rtl/>
        </w:rPr>
        <w:t>דקה</w:t>
      </w:r>
      <w:r>
        <w:rPr>
          <w:rFonts w:cs="Arial" w:hint="cs"/>
          <w:rtl/>
        </w:rPr>
        <w:t>,</w:t>
      </w:r>
      <w:r w:rsidRPr="007E7191">
        <w:rPr>
          <w:rFonts w:cs="Arial"/>
          <w:rtl/>
        </w:rPr>
        <w:t xml:space="preserve"> כלומר דעתו מועטת שאין מחודד להבין כשאר בני אדם</w:t>
      </w:r>
      <w:r>
        <w:rPr>
          <w:rFonts w:cs="Arial" w:hint="cs"/>
          <w:rtl/>
        </w:rPr>
        <w:t>.</w:t>
      </w:r>
      <w:r w:rsidRPr="007E7191">
        <w:rPr>
          <w:rFonts w:cs="Arial"/>
          <w:rtl/>
        </w:rPr>
        <w:t xml:space="preserve"> ומיהו מספקא ליה אי דעתא צילותא היא אותה קצת הדעת שיש לו אם צלולה היא ובמה שהוא נותן דעתו ועושה דבר ודאי כוונתו כוונה</w:t>
      </w:r>
      <w:r>
        <w:rPr>
          <w:rFonts w:cs="Arial" w:hint="cs"/>
          <w:rtl/>
        </w:rPr>
        <w:t>,</w:t>
      </w:r>
      <w:r w:rsidRPr="007E7191">
        <w:rPr>
          <w:rtl/>
        </w:rPr>
        <w:t xml:space="preserve"> </w:t>
      </w:r>
      <w:r w:rsidRPr="007E7191">
        <w:rPr>
          <w:rFonts w:cs="Arial"/>
          <w:rtl/>
        </w:rPr>
        <w:t>אי לאו דעתו צלולה היא ולעולם כל ימיו של חרש פשיטא ליה לרבי אלעזר דחדא דעתא אית ליה לחרש דאינו עתים חלים עתים שוטה</w:t>
      </w:r>
      <w:r>
        <w:rPr>
          <w:rFonts w:cs="Arial" w:hint="cs"/>
          <w:rtl/>
        </w:rPr>
        <w:t>, רש"י.</w:t>
      </w:r>
    </w:p>
  </w:footnote>
  <w:footnote w:id="334">
    <w:p w14:paraId="16C3BC49" w14:textId="6A8455D6" w:rsidR="00211758" w:rsidRDefault="00211758">
      <w:pPr>
        <w:pStyle w:val="a5"/>
        <w:rPr>
          <w:rtl/>
        </w:rPr>
      </w:pPr>
      <w:r>
        <w:rPr>
          <w:rStyle w:val="a7"/>
        </w:rPr>
        <w:footnoteRef/>
      </w:r>
      <w:r>
        <w:rPr>
          <w:rtl/>
        </w:rPr>
        <w:t xml:space="preserve"> </w:t>
      </w:r>
      <w:r w:rsidRPr="00211758">
        <w:rPr>
          <w:rFonts w:cs="Arial"/>
          <w:rtl/>
        </w:rPr>
        <w:t>אילם הוא מתחלת ברייתו כך</w:t>
      </w:r>
      <w:r>
        <w:rPr>
          <w:rFonts w:cs="Arial" w:hint="cs"/>
          <w:rtl/>
        </w:rPr>
        <w:t>,</w:t>
      </w:r>
      <w:r w:rsidRPr="00211758">
        <w:rPr>
          <w:rFonts w:cs="Arial"/>
          <w:rtl/>
        </w:rPr>
        <w:t xml:space="preserve"> ועיין בב"י דאילם א"צ בדיקה דכשם שכנס ברמיזה כך מוציא ברמיזה</w:t>
      </w:r>
      <w:r>
        <w:rPr>
          <w:rFonts w:cs="Arial" w:hint="cs"/>
          <w:rtl/>
        </w:rPr>
        <w:t>.</w:t>
      </w:r>
      <w:r w:rsidRPr="00211758">
        <w:rPr>
          <w:rFonts w:cs="Arial"/>
          <w:rtl/>
        </w:rPr>
        <w:t xml:space="preserve"> וכתב בב"ח אבל אם נפלה לו יבמה מאחיו דיש כאן זיקה דאורייתא צריך בדיקה כמו נשתתק דקידש קידושי דאורייתא</w:t>
      </w:r>
      <w:r>
        <w:rPr>
          <w:rFonts w:hint="cs"/>
          <w:rtl/>
        </w:rPr>
        <w:t>, ח"מ (סק"ז).</w:t>
      </w:r>
    </w:p>
  </w:footnote>
  <w:footnote w:id="335">
    <w:p w14:paraId="4D35BA88" w14:textId="586BBF42" w:rsidR="00211758" w:rsidRDefault="00211758">
      <w:pPr>
        <w:pStyle w:val="a5"/>
        <w:rPr>
          <w:rtl/>
        </w:rPr>
      </w:pPr>
      <w:r>
        <w:rPr>
          <w:rStyle w:val="a7"/>
        </w:rPr>
        <w:footnoteRef/>
      </w:r>
      <w:r>
        <w:rPr>
          <w:rtl/>
        </w:rPr>
        <w:t xml:space="preserve"> </w:t>
      </w:r>
      <w:r w:rsidRPr="00211758">
        <w:rPr>
          <w:rFonts w:cs="Arial"/>
          <w:rtl/>
        </w:rPr>
        <w:t>פי' שרומז באצבעותיו ולא בקפיצת פיו</w:t>
      </w:r>
      <w:r w:rsidR="001356EE">
        <w:rPr>
          <w:rFonts w:cs="Arial" w:hint="cs"/>
          <w:rtl/>
        </w:rPr>
        <w:t>.</w:t>
      </w:r>
      <w:r w:rsidRPr="00211758">
        <w:rPr>
          <w:rFonts w:cs="Arial"/>
          <w:rtl/>
        </w:rPr>
        <w:t xml:space="preserve"> ומשמע דא"צ בדיקה כמ"ש למעלה באילם</w:t>
      </w:r>
      <w:r w:rsidR="001356EE">
        <w:rPr>
          <w:rFonts w:cs="Arial" w:hint="cs"/>
          <w:rtl/>
        </w:rPr>
        <w:t>,</w:t>
      </w:r>
      <w:r w:rsidRPr="00211758">
        <w:rPr>
          <w:rFonts w:cs="Arial"/>
          <w:rtl/>
        </w:rPr>
        <w:t xml:space="preserve"> דגם בשעת כניסה היה כמו שהוא עכשיו</w:t>
      </w:r>
      <w:r>
        <w:rPr>
          <w:rFonts w:hint="cs"/>
          <w:rtl/>
        </w:rPr>
        <w:t xml:space="preserve">, </w:t>
      </w:r>
      <w:r w:rsidRPr="00875A5C">
        <w:rPr>
          <w:rFonts w:hint="cs"/>
          <w:b/>
          <w:bCs/>
          <w:rtl/>
        </w:rPr>
        <w:t>ח"מ</w:t>
      </w:r>
      <w:r>
        <w:rPr>
          <w:rFonts w:hint="cs"/>
          <w:rtl/>
        </w:rPr>
        <w:t xml:space="preserve"> (סק"ט).</w:t>
      </w:r>
      <w:r w:rsidR="002D6227" w:rsidRPr="002D6227">
        <w:rPr>
          <w:rtl/>
        </w:rPr>
        <w:t xml:space="preserve"> </w:t>
      </w:r>
      <w:r w:rsidR="00875A5C">
        <w:rPr>
          <w:rFonts w:cs="Arial" w:hint="cs"/>
          <w:rtl/>
        </w:rPr>
        <w:t xml:space="preserve">    </w:t>
      </w:r>
      <w:r w:rsidR="002D6227" w:rsidRPr="002D6227">
        <w:rPr>
          <w:rFonts w:cs="Arial"/>
          <w:rtl/>
        </w:rPr>
        <w:t>ועיין בהרי"ף והרא"ש ר"פ מ"ש כתבו אבל חרש מעיקרו בדקינן ליה דתנו וכו' וכ"כ המגיד</w:t>
      </w:r>
      <w:r w:rsidR="002D6227">
        <w:rPr>
          <w:rFonts w:cs="Arial" w:hint="cs"/>
          <w:rtl/>
        </w:rPr>
        <w:t>.</w:t>
      </w:r>
      <w:r w:rsidR="002D6227" w:rsidRPr="002D6227">
        <w:rPr>
          <w:rFonts w:cs="Arial"/>
          <w:rtl/>
        </w:rPr>
        <w:t xml:space="preserve"> וצ"ל לדעת הב"י האי בדקינן לאו בדיקה ממש קאמר אלא בדקינן אם רצונו לגרש את אשתו היינו שואלים אותו</w:t>
      </w:r>
      <w:r w:rsidR="002D6227">
        <w:rPr>
          <w:rFonts w:cs="Arial" w:hint="cs"/>
          <w:rtl/>
        </w:rPr>
        <w:t>.</w:t>
      </w:r>
      <w:r w:rsidR="002D6227" w:rsidRPr="002D6227">
        <w:rPr>
          <w:rFonts w:cs="Arial"/>
          <w:rtl/>
        </w:rPr>
        <w:t xml:space="preserve"> אבל הגמיי' כתב בשם הרי"ף דבודקים אותו</w:t>
      </w:r>
      <w:r w:rsidR="002D6227">
        <w:rPr>
          <w:rFonts w:cs="Arial" w:hint="cs"/>
          <w:rtl/>
        </w:rPr>
        <w:t>,</w:t>
      </w:r>
      <w:r w:rsidR="002D6227" w:rsidRPr="002D6227">
        <w:rPr>
          <w:rFonts w:cs="Arial"/>
          <w:rtl/>
        </w:rPr>
        <w:t xml:space="preserve"> לכן אין להקל בזה</w:t>
      </w:r>
      <w:r w:rsidR="002D6227">
        <w:rPr>
          <w:rFonts w:cs="Arial" w:hint="cs"/>
          <w:rtl/>
        </w:rPr>
        <w:t xml:space="preserve">, </w:t>
      </w:r>
      <w:r w:rsidR="002D6227" w:rsidRPr="00875A5C">
        <w:rPr>
          <w:rFonts w:cs="Arial" w:hint="cs"/>
          <w:b/>
          <w:bCs/>
          <w:rtl/>
        </w:rPr>
        <w:t xml:space="preserve">ב"ש </w:t>
      </w:r>
      <w:r w:rsidR="002D6227">
        <w:rPr>
          <w:rFonts w:cs="Arial" w:hint="cs"/>
          <w:rtl/>
        </w:rPr>
        <w:t>(סק"ט).</w:t>
      </w:r>
    </w:p>
  </w:footnote>
  <w:footnote w:id="336">
    <w:p w14:paraId="4D581DF9" w14:textId="7BE4BB8A" w:rsidR="00113D26" w:rsidRDefault="00113D26">
      <w:pPr>
        <w:pStyle w:val="a5"/>
        <w:rPr>
          <w:rtl/>
        </w:rPr>
      </w:pPr>
      <w:r>
        <w:rPr>
          <w:rStyle w:val="a7"/>
        </w:rPr>
        <w:footnoteRef/>
      </w:r>
      <w:r>
        <w:rPr>
          <w:rtl/>
        </w:rPr>
        <w:t xml:space="preserve"> </w:t>
      </w:r>
      <w:r w:rsidRPr="005E4AA8">
        <w:rPr>
          <w:rFonts w:cs="Arial"/>
          <w:rtl/>
        </w:rPr>
        <w:t xml:space="preserve">ותמה </w:t>
      </w:r>
      <w:r>
        <w:rPr>
          <w:rFonts w:cs="Arial" w:hint="cs"/>
          <w:rtl/>
        </w:rPr>
        <w:t xml:space="preserve">החכם </w:t>
      </w:r>
      <w:r w:rsidRPr="005E4AA8">
        <w:rPr>
          <w:rFonts w:cs="Arial"/>
          <w:rtl/>
        </w:rPr>
        <w:t xml:space="preserve">מאד על כל הפוסקים שנעלם מהם דברי הירושלמי הנ"ל </w:t>
      </w:r>
      <w:r w:rsidRPr="00113D26">
        <w:rPr>
          <w:rFonts w:cs="Arial"/>
          <w:sz w:val="16"/>
          <w:szCs w:val="16"/>
          <w:rtl/>
        </w:rPr>
        <w:t>(ונזכר שם שגם בס' בית מאיר הביא כן בשם הגאון בעל נו"ב כדברי החכם הנ"ל וכתב עליו שדברי הירושלמי אלו נדחים בתלמודא דידן אך לא הראה מקומו)</w:t>
      </w:r>
      <w:r>
        <w:rPr>
          <w:rFonts w:cs="Arial" w:hint="cs"/>
          <w:rtl/>
        </w:rPr>
        <w:t>.</w:t>
      </w:r>
      <w:r w:rsidRPr="005E4AA8">
        <w:rPr>
          <w:rFonts w:cs="Arial"/>
          <w:rtl/>
        </w:rPr>
        <w:t xml:space="preserve"> ו</w:t>
      </w:r>
      <w:r>
        <w:rPr>
          <w:rFonts w:cs="Arial" w:hint="cs"/>
          <w:rtl/>
        </w:rPr>
        <w:t>בישועות יעקב</w:t>
      </w:r>
      <w:r w:rsidRPr="005E4AA8">
        <w:rPr>
          <w:rFonts w:cs="Arial"/>
          <w:rtl/>
        </w:rPr>
        <w:t xml:space="preserve"> </w:t>
      </w:r>
      <w:r>
        <w:rPr>
          <w:rFonts w:cs="Arial" w:hint="cs"/>
          <w:rtl/>
        </w:rPr>
        <w:t>הנ"ל</w:t>
      </w:r>
      <w:r w:rsidRPr="005E4AA8">
        <w:rPr>
          <w:rFonts w:cs="Arial"/>
          <w:rtl/>
        </w:rPr>
        <w:t xml:space="preserve"> האריך בזה והראה כמה מקומות בתלמודא דידן שלא כדברי הירוש' הנ"ל</w:t>
      </w:r>
      <w:r>
        <w:rPr>
          <w:rFonts w:cs="Arial" w:hint="cs"/>
          <w:rtl/>
        </w:rPr>
        <w:t>.</w:t>
      </w:r>
      <w:r w:rsidRPr="005E4AA8">
        <w:rPr>
          <w:rFonts w:cs="Arial"/>
          <w:rtl/>
        </w:rPr>
        <w:t xml:space="preserve"> וגם בלא"ה אין מדברי הירושלמי ראיה דהירוש' בזה לשיטתו אזיל בהא דפיתוי קטנה אונס דס"ל להירוש' דלאו אונס הוא משא"כ לדידן דקיי"ל דאונס הוא עש"ב</w:t>
      </w:r>
      <w:r>
        <w:rPr>
          <w:rFonts w:cs="Arial" w:hint="cs"/>
          <w:rtl/>
        </w:rPr>
        <w:t>.</w:t>
      </w:r>
      <w:r w:rsidRPr="005E4AA8">
        <w:rPr>
          <w:rFonts w:cs="Arial"/>
          <w:rtl/>
        </w:rPr>
        <w:t xml:space="preserve"> וע' בשו"ת מנחת עני סי' ס"ט מ"ש בזה</w:t>
      </w:r>
      <w:r>
        <w:rPr>
          <w:rFonts w:cs="Arial" w:hint="cs"/>
          <w:rtl/>
        </w:rPr>
        <w:t xml:space="preserve">..., פת"ש </w:t>
      </w:r>
      <w:r w:rsidRPr="00113D26">
        <w:rPr>
          <w:rFonts w:cs="Arial" w:hint="cs"/>
          <w:sz w:val="16"/>
          <w:szCs w:val="16"/>
          <w:rtl/>
        </w:rPr>
        <w:t>(שם)</w:t>
      </w:r>
      <w:r>
        <w:rPr>
          <w:rFonts w:cs="Arial" w:hint="cs"/>
          <w:rtl/>
        </w:rPr>
        <w:t>.</w:t>
      </w:r>
      <w:r w:rsidRPr="005E4AA8">
        <w:rPr>
          <w:rFonts w:cs="Arial"/>
          <w:rtl/>
        </w:rPr>
        <w:t xml:space="preserve"> </w:t>
      </w:r>
    </w:p>
  </w:footnote>
  <w:footnote w:id="337">
    <w:p w14:paraId="24BC1248" w14:textId="5F218439" w:rsidR="00EE1623" w:rsidRDefault="00EE1623">
      <w:pPr>
        <w:pStyle w:val="a5"/>
        <w:rPr>
          <w:rtl/>
        </w:rPr>
      </w:pPr>
      <w:r>
        <w:rPr>
          <w:rStyle w:val="a7"/>
        </w:rPr>
        <w:footnoteRef/>
      </w:r>
      <w:r>
        <w:rPr>
          <w:rtl/>
        </w:rPr>
        <w:t xml:space="preserve"> </w:t>
      </w:r>
      <w:r>
        <w:rPr>
          <w:rFonts w:cs="Arial" w:hint="cs"/>
          <w:rtl/>
        </w:rPr>
        <w:t xml:space="preserve">ועיין </w:t>
      </w:r>
      <w:r w:rsidRPr="00EE1623">
        <w:rPr>
          <w:rFonts w:cs="Arial"/>
          <w:rtl/>
        </w:rPr>
        <w:t xml:space="preserve">בתשו' צ"צ </w:t>
      </w:r>
      <w:r w:rsidR="00C013A5">
        <w:rPr>
          <w:rFonts w:cs="Arial" w:hint="cs"/>
          <w:rtl/>
        </w:rPr>
        <w:t>(</w:t>
      </w:r>
      <w:r w:rsidRPr="00EE1623">
        <w:rPr>
          <w:rFonts w:cs="Arial"/>
          <w:rtl/>
        </w:rPr>
        <w:t>סי' סח</w:t>
      </w:r>
      <w:r w:rsidR="00C013A5">
        <w:rPr>
          <w:rFonts w:cs="Arial" w:hint="cs"/>
          <w:rtl/>
        </w:rPr>
        <w:t>)</w:t>
      </w:r>
      <w:r>
        <w:rPr>
          <w:rFonts w:cs="Arial" w:hint="cs"/>
          <w:rtl/>
        </w:rPr>
        <w:t xml:space="preserve">, </w:t>
      </w:r>
      <w:r w:rsidRPr="00C013A5">
        <w:rPr>
          <w:rFonts w:cs="Arial" w:hint="cs"/>
          <w:b/>
          <w:bCs/>
          <w:rtl/>
        </w:rPr>
        <w:t>ב"ש</w:t>
      </w:r>
      <w:r>
        <w:rPr>
          <w:rFonts w:cs="Arial" w:hint="cs"/>
          <w:rtl/>
        </w:rPr>
        <w:t xml:space="preserve"> (סק"ט).</w:t>
      </w:r>
      <w:r w:rsidR="00C013A5">
        <w:rPr>
          <w:rFonts w:cs="Arial" w:hint="cs"/>
          <w:rtl/>
        </w:rPr>
        <w:t xml:space="preserve">     </w:t>
      </w:r>
      <w:r w:rsidRPr="002D6227">
        <w:rPr>
          <w:rFonts w:cs="Arial"/>
          <w:rtl/>
        </w:rPr>
        <w:t xml:space="preserve"> </w:t>
      </w:r>
      <w:r>
        <w:rPr>
          <w:rFonts w:cs="Arial" w:hint="cs"/>
          <w:rtl/>
        </w:rPr>
        <w:t>ו</w:t>
      </w:r>
      <w:r w:rsidRPr="002D6227">
        <w:rPr>
          <w:rFonts w:cs="Arial"/>
          <w:rtl/>
        </w:rPr>
        <w:t>בתשו' צ"צ שם כתב ששאל מהגאון בעל תי</w:t>
      </w:r>
      <w:r w:rsidR="007E1912">
        <w:rPr>
          <w:rFonts w:cs="Arial" w:hint="cs"/>
          <w:rtl/>
        </w:rPr>
        <w:t>ו</w:t>
      </w:r>
      <w:r w:rsidRPr="002D6227">
        <w:rPr>
          <w:rFonts w:cs="Arial"/>
          <w:rtl/>
        </w:rPr>
        <w:t>"ט על נוסח גט חרש וגם אם צריכין לכל השאלות וביטול מודעי והיתר נדרים בחרש המגרש. והשיב לו בזה"ל הנני מעתיק לשון רבינו ירוחם בזה</w:t>
      </w:r>
      <w:r>
        <w:rPr>
          <w:rFonts w:cs="Arial" w:hint="cs"/>
          <w:rtl/>
        </w:rPr>
        <w:t xml:space="preserve"> </w:t>
      </w:r>
      <w:r w:rsidRPr="00EE1623">
        <w:rPr>
          <w:rFonts w:cs="Arial" w:hint="cs"/>
          <w:sz w:val="16"/>
          <w:szCs w:val="16"/>
          <w:rtl/>
        </w:rPr>
        <w:t>{והעתיק לו את לשון רי"ו הנ"ל,</w:t>
      </w:r>
      <w:r w:rsidRPr="00EE1623">
        <w:rPr>
          <w:rFonts w:cs="Arial"/>
          <w:sz w:val="16"/>
          <w:szCs w:val="16"/>
          <w:rtl/>
        </w:rPr>
        <w:t xml:space="preserve"> </w:t>
      </w:r>
      <w:r w:rsidRPr="00EE1623">
        <w:rPr>
          <w:rFonts w:cs="Arial" w:hint="cs"/>
          <w:sz w:val="16"/>
          <w:szCs w:val="16"/>
          <w:rtl/>
        </w:rPr>
        <w:t>ו</w:t>
      </w:r>
      <w:r w:rsidRPr="00EE1623">
        <w:rPr>
          <w:rFonts w:cs="Arial"/>
          <w:sz w:val="16"/>
          <w:szCs w:val="16"/>
          <w:rtl/>
        </w:rPr>
        <w:t>בסוף התשובה הגיה</w:t>
      </w:r>
      <w:r w:rsidR="00CB13F5">
        <w:rPr>
          <w:rFonts w:cs="Arial" w:hint="cs"/>
          <w:sz w:val="16"/>
          <w:szCs w:val="16"/>
          <w:rtl/>
        </w:rPr>
        <w:t xml:space="preserve"> בדברי רי"ו</w:t>
      </w:r>
      <w:r w:rsidRPr="00EE1623">
        <w:rPr>
          <w:rFonts w:cs="Arial"/>
          <w:sz w:val="16"/>
          <w:szCs w:val="16"/>
          <w:rtl/>
        </w:rPr>
        <w:t xml:space="preserve"> שצ"ל </w:t>
      </w:r>
      <w:r w:rsidRPr="00EE1623">
        <w:rPr>
          <w:rFonts w:cs="Arial" w:hint="cs"/>
          <w:sz w:val="16"/>
          <w:szCs w:val="16"/>
          <w:rtl/>
        </w:rPr>
        <w:t>'</w:t>
      </w:r>
      <w:r w:rsidRPr="00EE1623">
        <w:rPr>
          <w:rFonts w:cs="Arial"/>
          <w:sz w:val="16"/>
          <w:szCs w:val="16"/>
          <w:rtl/>
        </w:rPr>
        <w:t>והרי היא</w:t>
      </w:r>
      <w:r w:rsidRPr="00EE1623">
        <w:rPr>
          <w:rFonts w:cs="Arial" w:hint="cs"/>
          <w:sz w:val="16"/>
          <w:szCs w:val="16"/>
          <w:rtl/>
        </w:rPr>
        <w:t xml:space="preserve">' במקום </w:t>
      </w:r>
      <w:r>
        <w:rPr>
          <w:rFonts w:cs="Arial" w:hint="cs"/>
          <w:sz w:val="16"/>
          <w:szCs w:val="16"/>
          <w:rtl/>
        </w:rPr>
        <w:t>'</w:t>
      </w:r>
      <w:r w:rsidRPr="00EE1623">
        <w:rPr>
          <w:rFonts w:cs="Arial" w:hint="cs"/>
          <w:sz w:val="16"/>
          <w:szCs w:val="16"/>
          <w:rtl/>
        </w:rPr>
        <w:t>והרי את</w:t>
      </w:r>
      <w:r>
        <w:rPr>
          <w:rFonts w:cs="Arial" w:hint="cs"/>
          <w:sz w:val="16"/>
          <w:szCs w:val="16"/>
          <w:rtl/>
        </w:rPr>
        <w:t>'</w:t>
      </w:r>
      <w:r w:rsidRPr="00EE1623">
        <w:rPr>
          <w:rFonts w:cs="Arial" w:hint="cs"/>
          <w:sz w:val="16"/>
          <w:szCs w:val="16"/>
          <w:rtl/>
        </w:rPr>
        <w:t>. והוסיף-}</w:t>
      </w:r>
      <w:r w:rsidRPr="002D6227">
        <w:rPr>
          <w:rFonts w:cs="Arial"/>
          <w:rtl/>
        </w:rPr>
        <w:t xml:space="preserve"> אך נראה פשוט דזה שכתב טופס גט חרש לא לאפקיע מיני' טופס שאר גיטי נשים</w:t>
      </w:r>
      <w:r>
        <w:rPr>
          <w:rFonts w:cs="Arial" w:hint="cs"/>
          <w:rtl/>
        </w:rPr>
        <w:t>,</w:t>
      </w:r>
      <w:r w:rsidRPr="002D6227">
        <w:rPr>
          <w:rFonts w:cs="Arial"/>
          <w:rtl/>
        </w:rPr>
        <w:t xml:space="preserve"> אלא נוסף על שאר טופס גט צריך טופס זה לפי שצריך שיהא רומז</w:t>
      </w:r>
      <w:r>
        <w:rPr>
          <w:rFonts w:cs="Arial" w:hint="cs"/>
          <w:rtl/>
        </w:rPr>
        <w:t>,</w:t>
      </w:r>
      <w:r w:rsidRPr="002D6227">
        <w:rPr>
          <w:rFonts w:cs="Arial"/>
          <w:rtl/>
        </w:rPr>
        <w:t xml:space="preserve"> וזה אי אפשר בלא ב"ד שיהיו חוקרין ע"ז שרומז אם הוא כהוגן</w:t>
      </w:r>
      <w:r>
        <w:rPr>
          <w:rFonts w:cs="Arial" w:hint="cs"/>
          <w:rtl/>
        </w:rPr>
        <w:t>.</w:t>
      </w:r>
      <w:r w:rsidRPr="002D6227">
        <w:rPr>
          <w:rFonts w:cs="Arial"/>
          <w:rtl/>
        </w:rPr>
        <w:t xml:space="preserve"> וכן צריך בדיקה כדמסיק ב"י</w:t>
      </w:r>
      <w:r>
        <w:rPr>
          <w:rFonts w:cs="Arial" w:hint="cs"/>
          <w:rtl/>
        </w:rPr>
        <w:t>,</w:t>
      </w:r>
      <w:r w:rsidRPr="002D6227">
        <w:rPr>
          <w:rFonts w:cs="Arial"/>
          <w:rtl/>
        </w:rPr>
        <w:t xml:space="preserve"> ובודאי שצריך ב"ד לכל זה</w:t>
      </w:r>
      <w:r>
        <w:rPr>
          <w:rFonts w:cs="Arial" w:hint="cs"/>
          <w:rtl/>
        </w:rPr>
        <w:t>.</w:t>
      </w:r>
      <w:r w:rsidRPr="002D6227">
        <w:rPr>
          <w:rFonts w:cs="Arial"/>
          <w:rtl/>
        </w:rPr>
        <w:t xml:space="preserve"> והילכך ע"ז עושין זה הטופס</w:t>
      </w:r>
      <w:r>
        <w:rPr>
          <w:rFonts w:cs="Arial" w:hint="cs"/>
          <w:rtl/>
        </w:rPr>
        <w:t>,</w:t>
      </w:r>
      <w:r w:rsidRPr="002D6227">
        <w:rPr>
          <w:rFonts w:cs="Arial"/>
          <w:rtl/>
        </w:rPr>
        <w:t xml:space="preserve"> אבל כותבין הגט ככל שאר גיטין</w:t>
      </w:r>
      <w:r>
        <w:rPr>
          <w:rFonts w:cs="Arial" w:hint="cs"/>
          <w:rtl/>
        </w:rPr>
        <w:t>.</w:t>
      </w:r>
      <w:r w:rsidRPr="002D6227">
        <w:rPr>
          <w:rFonts w:cs="Arial"/>
          <w:rtl/>
        </w:rPr>
        <w:t xml:space="preserve"> ולשון גיטא דנא שכתוב בזה הטופס אגיטא שנכתב בפני עצמו קאי. ונמצא במכתבים שבידי עובדא להגאון מהר"ר פייבש מקראקא כתב כתובה לאשת חרש בכיוצא בטופס זה ושם כתוב להדיא וכתבנו לה שטר כתובתה כמו שכותבין לכל הנשים אות באות וזה נוסחה ברביעי בשבת כו' ואע</w:t>
      </w:r>
      <w:r w:rsidR="00C013A5">
        <w:rPr>
          <w:rFonts w:cs="Arial" w:hint="cs"/>
          <w:rtl/>
        </w:rPr>
        <w:t>"</w:t>
      </w:r>
      <w:r w:rsidRPr="002D6227">
        <w:rPr>
          <w:rFonts w:cs="Arial"/>
          <w:rtl/>
        </w:rPr>
        <w:t>ג דהתם משמע שהכל בכתב אחד הכא לא מסתבר אלא שהגט עצמו נכתב בפ"ע ככל חוקותיו וככל משפטיו כו' ומה דמספקא ליה אם צריכין לכל השאלות אין לי בזה שום ספיקא דמהיכי תיתי שלא יהא מרמז על הכל דהא רמיזה דידיה במקום אמירה דפקח הוא ובגיטין דצריך רצון ודאי דצריך שירמוז ע"ז משא"כ בקדושין ואלא מיהת ביטול מודעי מסתברא שאינו צריך דמהי תיתי לחשודי ליה שמסר מודעא דמאין נודע לו זה ואי איתא דאפשר למבדקיה אי ידע מענין מסירת מודעא אין הכי נמי שצריך שירמוז בביטולה ושלום כו' עכ"ל תשובת הגאון הנ"ל</w:t>
      </w:r>
      <w:r>
        <w:rPr>
          <w:rFonts w:cs="Arial" w:hint="cs"/>
          <w:rtl/>
        </w:rPr>
        <w:t>.</w:t>
      </w:r>
      <w:r w:rsidRPr="002D6227">
        <w:rPr>
          <w:rFonts w:cs="Arial"/>
          <w:rtl/>
        </w:rPr>
        <w:t xml:space="preserve"> </w:t>
      </w:r>
      <w:r w:rsidRPr="00CB13F5">
        <w:rPr>
          <w:rFonts w:cs="Arial"/>
          <w:sz w:val="16"/>
          <w:szCs w:val="16"/>
          <w:rtl/>
        </w:rPr>
        <w:t xml:space="preserve">(ועיין בתשו' נו"ב </w:t>
      </w:r>
      <w:r w:rsidR="00C013A5">
        <w:rPr>
          <w:rFonts w:cs="Arial" w:hint="cs"/>
          <w:sz w:val="16"/>
          <w:szCs w:val="16"/>
          <w:rtl/>
        </w:rPr>
        <w:t>[</w:t>
      </w:r>
      <w:r w:rsidRPr="00CB13F5">
        <w:rPr>
          <w:rFonts w:cs="Arial"/>
          <w:sz w:val="16"/>
          <w:szCs w:val="16"/>
          <w:rtl/>
        </w:rPr>
        <w:t>ס</w:t>
      </w:r>
      <w:r w:rsidR="00C013A5">
        <w:rPr>
          <w:rFonts w:cs="Arial" w:hint="cs"/>
          <w:sz w:val="16"/>
          <w:szCs w:val="16"/>
          <w:rtl/>
        </w:rPr>
        <w:t>י'</w:t>
      </w:r>
      <w:r w:rsidRPr="00CB13F5">
        <w:rPr>
          <w:rFonts w:cs="Arial"/>
          <w:sz w:val="16"/>
          <w:szCs w:val="16"/>
          <w:rtl/>
        </w:rPr>
        <w:t xml:space="preserve"> פד</w:t>
      </w:r>
      <w:r w:rsidR="00C013A5">
        <w:rPr>
          <w:rFonts w:cs="Arial" w:hint="cs"/>
          <w:sz w:val="16"/>
          <w:szCs w:val="16"/>
          <w:rtl/>
        </w:rPr>
        <w:t>]</w:t>
      </w:r>
      <w:r w:rsidRPr="00CB13F5">
        <w:rPr>
          <w:rFonts w:cs="Arial"/>
          <w:sz w:val="16"/>
          <w:szCs w:val="16"/>
          <w:rtl/>
        </w:rPr>
        <w:t xml:space="preserve"> כתב שם בגט חרש אי אתי לידי הייתי מתיישב איך לעשות כו' ע"ש)</w:t>
      </w:r>
      <w:r w:rsidRPr="002D6227">
        <w:rPr>
          <w:rFonts w:cs="Arial"/>
          <w:rtl/>
        </w:rPr>
        <w:t xml:space="preserve">. ובענין גט חרשת כתבתי לעיל </w:t>
      </w:r>
      <w:r w:rsidR="007E1912">
        <w:rPr>
          <w:rFonts w:cs="Arial" w:hint="cs"/>
          <w:rtl/>
        </w:rPr>
        <w:t>(</w:t>
      </w:r>
      <w:r w:rsidRPr="002D6227">
        <w:rPr>
          <w:rFonts w:cs="Arial"/>
          <w:rtl/>
        </w:rPr>
        <w:t>סי' קיט ס"ו סקי"ג</w:t>
      </w:r>
      <w:r w:rsidR="007E1912">
        <w:rPr>
          <w:rFonts w:cs="Arial" w:hint="cs"/>
          <w:rtl/>
        </w:rPr>
        <w:t>)</w:t>
      </w:r>
      <w:r w:rsidRPr="002D6227">
        <w:rPr>
          <w:rFonts w:cs="Arial"/>
          <w:rtl/>
        </w:rPr>
        <w:t xml:space="preserve"> דאין בו שינוי משאר גיטין ע"ש.</w:t>
      </w:r>
      <w:r w:rsidR="00CB13F5">
        <w:rPr>
          <w:rFonts w:hint="cs"/>
          <w:rtl/>
        </w:rPr>
        <w:t>..</w:t>
      </w:r>
      <w:r>
        <w:rPr>
          <w:rFonts w:hint="cs"/>
          <w:rtl/>
        </w:rPr>
        <w:t>, פת"ש (סק"ז).</w:t>
      </w:r>
    </w:p>
  </w:footnote>
  <w:footnote w:id="338">
    <w:p w14:paraId="43A421A0" w14:textId="161E6101" w:rsidR="005E4AD3" w:rsidRDefault="005E4AD3" w:rsidP="005E4AD3">
      <w:pPr>
        <w:pStyle w:val="a5"/>
      </w:pPr>
      <w:r>
        <w:rPr>
          <w:rStyle w:val="a7"/>
        </w:rPr>
        <w:footnoteRef/>
      </w:r>
      <w:r>
        <w:rPr>
          <w:rtl/>
        </w:rPr>
        <w:t xml:space="preserve"> </w:t>
      </w:r>
      <w:r>
        <w:rPr>
          <w:rFonts w:hint="cs"/>
          <w:rtl/>
        </w:rPr>
        <w:t xml:space="preserve">סימן - עשיית חולה. וכן איתא בבבא בתרא </w:t>
      </w:r>
      <w:r w:rsidR="00D75947">
        <w:rPr>
          <w:rFonts w:hint="cs"/>
          <w:rtl/>
        </w:rPr>
        <w:t>(</w:t>
      </w:r>
      <w:r>
        <w:rPr>
          <w:rFonts w:hint="cs"/>
          <w:rtl/>
        </w:rPr>
        <w:t>קכז</w:t>
      </w:r>
      <w:r w:rsidR="00D75947">
        <w:rPr>
          <w:rFonts w:hint="cs"/>
          <w:rtl/>
        </w:rPr>
        <w:t>:)</w:t>
      </w:r>
      <w:r>
        <w:rPr>
          <w:rFonts w:hint="cs"/>
          <w:rtl/>
        </w:rPr>
        <w:t>.</w:t>
      </w:r>
    </w:p>
  </w:footnote>
  <w:footnote w:id="339">
    <w:p w14:paraId="692A4074" w14:textId="5286B887" w:rsidR="00B33125" w:rsidRDefault="00B33125">
      <w:pPr>
        <w:pStyle w:val="a5"/>
      </w:pPr>
      <w:r>
        <w:rPr>
          <w:rStyle w:val="a7"/>
        </w:rPr>
        <w:footnoteRef/>
      </w:r>
      <w:r>
        <w:rPr>
          <w:rtl/>
        </w:rPr>
        <w:t xml:space="preserve"> </w:t>
      </w:r>
      <w:r w:rsidRPr="00B33125">
        <w:rPr>
          <w:rFonts w:cs="Arial"/>
          <w:b/>
          <w:bCs/>
          <w:rtl/>
        </w:rPr>
        <w:t>דברים פרשת כי תצא פרק כא פסוק יז</w:t>
      </w:r>
      <w:r w:rsidRPr="00B33125">
        <w:rPr>
          <w:rFonts w:cs="Arial" w:hint="cs"/>
          <w:b/>
          <w:bCs/>
          <w:rtl/>
        </w:rPr>
        <w:t>:</w:t>
      </w:r>
      <w:r>
        <w:rPr>
          <w:rFonts w:cs="Arial" w:hint="cs"/>
          <w:rtl/>
        </w:rPr>
        <w:t xml:space="preserve"> </w:t>
      </w:r>
      <w:r w:rsidRPr="00B33125">
        <w:rPr>
          <w:rFonts w:cs="Arial"/>
          <w:rtl/>
        </w:rPr>
        <w:t>כִּי֩ אֶת־הַבְּכֹ֨ר בֶּן־הַשְּׂנוּאָ֜ה יַכִּ֗יר לָ֤תֶת לוֹ֙ פִּ֣י שְׁנַ֔יִם בְּכֹ֥ל אֲשֶׁר־יִמָּצֵ֖א ל֑וֹ כִּי־הוּא֙ רֵאשִׁ֣ית אֹנ֔וֹ ל֖וֹ מִשְׁפַּ֥ט הַבְּכֹרָֽה:</w:t>
      </w:r>
    </w:p>
  </w:footnote>
  <w:footnote w:id="340">
    <w:p w14:paraId="3240F666" w14:textId="0A98DAFE" w:rsidR="00B33125" w:rsidRDefault="00B33125">
      <w:pPr>
        <w:pStyle w:val="a5"/>
        <w:rPr>
          <w:rtl/>
        </w:rPr>
      </w:pPr>
      <w:r>
        <w:rPr>
          <w:rStyle w:val="a7"/>
        </w:rPr>
        <w:footnoteRef/>
      </w:r>
      <w:r>
        <w:rPr>
          <w:rtl/>
        </w:rPr>
        <w:t xml:space="preserve"> </w:t>
      </w:r>
      <w:r w:rsidRPr="00B33125">
        <w:rPr>
          <w:rFonts w:cs="Arial"/>
          <w:rtl/>
        </w:rPr>
        <w:t>אפסולא קיימי אבל לענין בכור לא פליגי</w:t>
      </w:r>
      <w:r>
        <w:rPr>
          <w:rFonts w:hint="cs"/>
          <w:rtl/>
        </w:rPr>
        <w:t>, רש"י.</w:t>
      </w:r>
    </w:p>
  </w:footnote>
  <w:footnote w:id="341">
    <w:p w14:paraId="1125E6DE" w14:textId="34719CD9" w:rsidR="006F27FD" w:rsidRDefault="006F27FD">
      <w:pPr>
        <w:pStyle w:val="a5"/>
        <w:rPr>
          <w:rtl/>
        </w:rPr>
      </w:pPr>
      <w:r>
        <w:rPr>
          <w:rStyle w:val="a7"/>
        </w:rPr>
        <w:footnoteRef/>
      </w:r>
      <w:r>
        <w:rPr>
          <w:rtl/>
        </w:rPr>
        <w:t xml:space="preserve"> </w:t>
      </w:r>
      <w:r w:rsidRPr="006F27FD">
        <w:rPr>
          <w:rFonts w:cs="Arial"/>
          <w:rtl/>
        </w:rPr>
        <w:t>קרא לבכור הוא דאתא</w:t>
      </w:r>
      <w:r>
        <w:rPr>
          <w:rFonts w:cs="Arial" w:hint="cs"/>
          <w:rtl/>
        </w:rPr>
        <w:t>,</w:t>
      </w:r>
      <w:r w:rsidRPr="006F27FD">
        <w:rPr>
          <w:rFonts w:cs="Arial"/>
          <w:rtl/>
        </w:rPr>
        <w:t xml:space="preserve"> וכגון שבא ממדינת הים ולא הוחזק לנו בבכור אלא על פי אביו</w:t>
      </w:r>
      <w:r>
        <w:rPr>
          <w:rFonts w:cs="Arial" w:hint="cs"/>
          <w:rtl/>
        </w:rPr>
        <w:t>.</w:t>
      </w:r>
      <w:r w:rsidRPr="006F27FD">
        <w:rPr>
          <w:rFonts w:cs="Arial"/>
          <w:rtl/>
        </w:rPr>
        <w:t xml:space="preserve"> ופרכינן למאי הלכתא אשמעינן קרא דאביו נאמן עליו ליטול פי שנים פשיטא דנאמן ל"ל קרא</w:t>
      </w:r>
      <w:r>
        <w:rPr>
          <w:rFonts w:hint="cs"/>
          <w:rtl/>
        </w:rPr>
        <w:t>, רש"י.</w:t>
      </w:r>
    </w:p>
  </w:footnote>
  <w:footnote w:id="342">
    <w:p w14:paraId="2523BA9E" w14:textId="55E44F70" w:rsidR="006F27FD" w:rsidRDefault="006F27FD">
      <w:pPr>
        <w:pStyle w:val="a5"/>
      </w:pPr>
      <w:r>
        <w:rPr>
          <w:rStyle w:val="a7"/>
        </w:rPr>
        <w:footnoteRef/>
      </w:r>
      <w:r>
        <w:rPr>
          <w:rtl/>
        </w:rPr>
        <w:t xml:space="preserve"> </w:t>
      </w:r>
      <w:r w:rsidRPr="006F27FD">
        <w:rPr>
          <w:rFonts w:cs="Arial"/>
          <w:rtl/>
        </w:rPr>
        <w:t>כולהו נכסי יהיב ליה מהימן נמי למיתבינהו ניהליה בדיבורו בתורת בכורה</w:t>
      </w:r>
      <w:r>
        <w:rPr>
          <w:rFonts w:cs="Arial" w:hint="cs"/>
          <w:rtl/>
        </w:rPr>
        <w:t>, רש"י.</w:t>
      </w:r>
    </w:p>
  </w:footnote>
  <w:footnote w:id="343">
    <w:p w14:paraId="4B7762DA" w14:textId="235AA472" w:rsidR="006F27FD" w:rsidRDefault="006F27FD">
      <w:pPr>
        <w:pStyle w:val="a5"/>
      </w:pPr>
      <w:r>
        <w:rPr>
          <w:rStyle w:val="a7"/>
        </w:rPr>
        <w:footnoteRef/>
      </w:r>
      <w:r>
        <w:rPr>
          <w:rtl/>
        </w:rPr>
        <w:t xml:space="preserve"> </w:t>
      </w:r>
      <w:r w:rsidRPr="006F27FD">
        <w:rPr>
          <w:rFonts w:cs="Arial"/>
          <w:rtl/>
        </w:rPr>
        <w:t>לאחר שאמר לפנינו בכור הוא נפלו לו</w:t>
      </w:r>
      <w:r>
        <w:rPr>
          <w:rFonts w:cs="Arial" w:hint="cs"/>
          <w:rtl/>
        </w:rPr>
        <w:t>,</w:t>
      </w:r>
      <w:r w:rsidRPr="006F27FD">
        <w:rPr>
          <w:rFonts w:cs="Arial"/>
          <w:rtl/>
        </w:rPr>
        <w:t xml:space="preserve"> והוא רוצה לילך לדרך רחוקה</w:t>
      </w:r>
      <w:r>
        <w:rPr>
          <w:rFonts w:cs="Arial" w:hint="cs"/>
          <w:rtl/>
        </w:rPr>
        <w:t>,</w:t>
      </w:r>
      <w:r w:rsidRPr="006F27FD">
        <w:rPr>
          <w:rFonts w:cs="Arial"/>
          <w:rtl/>
        </w:rPr>
        <w:t xml:space="preserve"> ומעיד עליו שאם יפלו נכסים של אב או אחד ממורישים לפניו בחייו יטול זה בהן חלק בכורה</w:t>
      </w:r>
      <w:r>
        <w:rPr>
          <w:rFonts w:cs="Arial" w:hint="cs"/>
          <w:rtl/>
        </w:rPr>
        <w:t>.</w:t>
      </w:r>
      <w:r w:rsidRPr="006F27FD">
        <w:rPr>
          <w:rFonts w:cs="Arial"/>
          <w:rtl/>
        </w:rPr>
        <w:t xml:space="preserve"> דלהכי אי לאו דאשמעינן קרא </w:t>
      </w:r>
      <w:r>
        <w:rPr>
          <w:rFonts w:cs="Arial" w:hint="cs"/>
          <w:rtl/>
        </w:rPr>
        <w:t xml:space="preserve">- </w:t>
      </w:r>
      <w:r w:rsidRPr="006F27FD">
        <w:rPr>
          <w:rFonts w:cs="Arial"/>
          <w:rtl/>
        </w:rPr>
        <w:t>ליכא מיגו דאי בעי למיתבינהו</w:t>
      </w:r>
      <w:r>
        <w:rPr>
          <w:rFonts w:cs="Arial" w:hint="cs"/>
          <w:rtl/>
        </w:rPr>
        <w:t>,</w:t>
      </w:r>
      <w:r w:rsidRPr="006F27FD">
        <w:rPr>
          <w:rFonts w:cs="Arial"/>
          <w:rtl/>
        </w:rPr>
        <w:t xml:space="preserve"> דהשתא לא מצי יהיב</w:t>
      </w:r>
      <w:r>
        <w:rPr>
          <w:rFonts w:cs="Arial" w:hint="cs"/>
          <w:rtl/>
        </w:rPr>
        <w:t>,</w:t>
      </w:r>
      <w:r w:rsidRPr="006F27FD">
        <w:rPr>
          <w:rFonts w:cs="Arial"/>
          <w:rtl/>
        </w:rPr>
        <w:t xml:space="preserve"> דאין אדם מקנה דשלב"ל</w:t>
      </w:r>
      <w:r>
        <w:rPr>
          <w:rFonts w:cs="Arial" w:hint="cs"/>
          <w:rtl/>
        </w:rPr>
        <w:t>,</w:t>
      </w:r>
      <w:r w:rsidRPr="006F27FD">
        <w:rPr>
          <w:rFonts w:cs="Arial"/>
          <w:rtl/>
        </w:rPr>
        <w:t xml:space="preserve"> והשתא שקיל להו בתורת ירושה</w:t>
      </w:r>
      <w:r>
        <w:rPr>
          <w:rFonts w:cs="Arial" w:hint="cs"/>
          <w:rtl/>
        </w:rPr>
        <w:t>, רש"י.</w:t>
      </w:r>
    </w:p>
  </w:footnote>
  <w:footnote w:id="344">
    <w:p w14:paraId="6D2B4340" w14:textId="092A38FF" w:rsidR="006F27FD" w:rsidRDefault="006F27FD">
      <w:pPr>
        <w:pStyle w:val="a5"/>
      </w:pPr>
      <w:r>
        <w:rPr>
          <w:rStyle w:val="a7"/>
        </w:rPr>
        <w:footnoteRef/>
      </w:r>
      <w:r>
        <w:rPr>
          <w:rtl/>
        </w:rPr>
        <w:t xml:space="preserve"> </w:t>
      </w:r>
      <w:r w:rsidRPr="006F27FD">
        <w:rPr>
          <w:rFonts w:cs="Arial"/>
          <w:rtl/>
        </w:rPr>
        <w:t>לאחר שהעיד כך אהני ליה שאם יפלו לו נכסים כשהוא גוסס שיטול זה בהן חלק בכורה</w:t>
      </w:r>
      <w:r>
        <w:rPr>
          <w:rFonts w:cs="Arial" w:hint="cs"/>
          <w:rtl/>
        </w:rPr>
        <w:t>.</w:t>
      </w:r>
      <w:r w:rsidRPr="006F27FD">
        <w:rPr>
          <w:rFonts w:cs="Arial"/>
          <w:rtl/>
        </w:rPr>
        <w:t xml:space="preserve"> ואי לאו דהימניה קרא לאב להכירו משום מגו</w:t>
      </w:r>
      <w:r>
        <w:rPr>
          <w:rFonts w:cs="Arial" w:hint="cs"/>
          <w:rtl/>
        </w:rPr>
        <w:t>,</w:t>
      </w:r>
      <w:r w:rsidRPr="006F27FD">
        <w:rPr>
          <w:rFonts w:cs="Arial"/>
          <w:rtl/>
        </w:rPr>
        <w:t xml:space="preserve"> לא זכה בהן</w:t>
      </w:r>
      <w:r>
        <w:rPr>
          <w:rFonts w:cs="Arial" w:hint="cs"/>
          <w:rtl/>
        </w:rPr>
        <w:t>.</w:t>
      </w:r>
      <w:r w:rsidRPr="006F27FD">
        <w:rPr>
          <w:rFonts w:cs="Arial"/>
          <w:rtl/>
        </w:rPr>
        <w:t xml:space="preserve"> דמודה רבי מאיר באומר נכסים שיבואו לי כשאהיה גוסס נתונים לך</w:t>
      </w:r>
      <w:r>
        <w:rPr>
          <w:rFonts w:cs="Arial" w:hint="cs"/>
          <w:rtl/>
        </w:rPr>
        <w:t>,</w:t>
      </w:r>
      <w:r w:rsidRPr="006F27FD">
        <w:rPr>
          <w:rFonts w:cs="Arial"/>
          <w:rtl/>
        </w:rPr>
        <w:t xml:space="preserve"> שלא אמר כלום</w:t>
      </w:r>
      <w:r>
        <w:rPr>
          <w:rFonts w:cs="Arial" w:hint="cs"/>
          <w:rtl/>
        </w:rPr>
        <w:t>,</w:t>
      </w:r>
      <w:r w:rsidRPr="006F27FD">
        <w:rPr>
          <w:rFonts w:cs="Arial"/>
          <w:rtl/>
        </w:rPr>
        <w:t xml:space="preserve"> הואיל ובשעה שבאים לעולם לאו בר מתנה הוא</w:t>
      </w:r>
      <w:r>
        <w:rPr>
          <w:rFonts w:cs="Arial" w:hint="cs"/>
          <w:rtl/>
        </w:rPr>
        <w:t>.</w:t>
      </w:r>
      <w:r w:rsidRPr="006F27FD">
        <w:rPr>
          <w:rFonts w:cs="Arial"/>
          <w:rtl/>
        </w:rPr>
        <w:t xml:space="preserve"> ולהכי נקט כשהוא גוסס ולא נקט לאחר מיתה</w:t>
      </w:r>
      <w:r>
        <w:rPr>
          <w:rFonts w:cs="Arial" w:hint="cs"/>
          <w:rtl/>
        </w:rPr>
        <w:t>,</w:t>
      </w:r>
      <w:r w:rsidRPr="006F27FD">
        <w:rPr>
          <w:rFonts w:cs="Arial"/>
          <w:rtl/>
        </w:rPr>
        <w:t xml:space="preserve"> דהנהו אפי' בתורת בכורה לא מהני ליה דבוריה</w:t>
      </w:r>
      <w:r>
        <w:rPr>
          <w:rFonts w:cs="Arial" w:hint="cs"/>
          <w:rtl/>
        </w:rPr>
        <w:t>,</w:t>
      </w:r>
      <w:r w:rsidRPr="006F27FD">
        <w:rPr>
          <w:rFonts w:cs="Arial"/>
          <w:rtl/>
        </w:rPr>
        <w:t xml:space="preserve"> דאין הבכור נוטל בראוי כבמוחזק</w:t>
      </w:r>
      <w:r>
        <w:rPr>
          <w:rFonts w:cs="Arial" w:hint="cs"/>
          <w:rtl/>
        </w:rPr>
        <w:t>.</w:t>
      </w:r>
      <w:r w:rsidRPr="006F27FD">
        <w:rPr>
          <w:rFonts w:cs="Arial"/>
          <w:rtl/>
        </w:rPr>
        <w:t xml:space="preserve"> והיינו ראוי</w:t>
      </w:r>
      <w:r>
        <w:rPr>
          <w:rFonts w:cs="Arial" w:hint="cs"/>
          <w:rtl/>
        </w:rPr>
        <w:t>.</w:t>
      </w:r>
      <w:r w:rsidRPr="006F27FD">
        <w:rPr>
          <w:rFonts w:cs="Arial"/>
          <w:rtl/>
        </w:rPr>
        <w:t xml:space="preserve"> שכשמת עדיין לא היה מוחזק בהן</w:t>
      </w:r>
      <w:r>
        <w:rPr>
          <w:rFonts w:cs="Arial" w:hint="cs"/>
          <w:rtl/>
        </w:rPr>
        <w:t>,</w:t>
      </w:r>
      <w:r w:rsidRPr="006F27FD">
        <w:rPr>
          <w:rFonts w:cs="Arial"/>
          <w:rtl/>
        </w:rPr>
        <w:t xml:space="preserve"> אבל ראויין לבא לו</w:t>
      </w:r>
      <w:r>
        <w:rPr>
          <w:rFonts w:cs="Arial" w:hint="cs"/>
          <w:rtl/>
        </w:rPr>
        <w:t>.</w:t>
      </w:r>
      <w:r w:rsidRPr="006F27FD">
        <w:rPr>
          <w:rFonts w:cs="Arial"/>
          <w:rtl/>
        </w:rPr>
        <w:t xml:space="preserve"> ורחמנא אמר (דברים כא) בכל אשר ימצא לו</w:t>
      </w:r>
      <w:r>
        <w:rPr>
          <w:rFonts w:cs="Arial" w:hint="cs"/>
          <w:rtl/>
        </w:rPr>
        <w:t>, רש"י.</w:t>
      </w:r>
    </w:p>
  </w:footnote>
  <w:footnote w:id="345">
    <w:p w14:paraId="2EDBEA90" w14:textId="0C3874AE" w:rsidR="00C46395" w:rsidRDefault="00C46395" w:rsidP="00C46395">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C46395">
        <w:rPr>
          <w:rFonts w:cs="Arial"/>
          <w:rtl/>
        </w:rPr>
        <w:t>דתנן במסכת שמחות (פ"א ה"א) הגוסס הרי הוא כחי לכל דבריו ובר ירושה הוא ולהנהו נכסים איצטריך יכיר שיטול בהן הבכור פי שנים דבהנהו ליכא מגו דאפי' לר"מ דאמר אדם מקנה דבר שלא בא לעולם הני מילי כגון נכסים שנופלין לו בשעה שיש בו כח ליתנם לאחרים אבל גוסס אינו יכול לדבר ואין בו כח ליתן והלכך לא מצי לאקנויינהו מקמי דאתו לידיה דהא אפילו בשעה שבאו לידו אין יכול להקנותן וכל שכן מקודם לכן ובלאחר מיתה לא מצי לשנויי דאין בכור נוטל בראוי</w:t>
      </w:r>
      <w:r>
        <w:rPr>
          <w:rFonts w:cs="Arial" w:hint="cs"/>
          <w:rtl/>
        </w:rPr>
        <w:t>.</w:t>
      </w:r>
    </w:p>
  </w:footnote>
  <w:footnote w:id="346">
    <w:p w14:paraId="7EB6DD6E" w14:textId="63B5221C" w:rsidR="00B33125" w:rsidRDefault="00B33125">
      <w:pPr>
        <w:pStyle w:val="a5"/>
        <w:rPr>
          <w:rtl/>
        </w:rPr>
      </w:pPr>
      <w:r>
        <w:rPr>
          <w:rStyle w:val="a7"/>
        </w:rPr>
        <w:footnoteRef/>
      </w:r>
      <w:r>
        <w:rPr>
          <w:rtl/>
        </w:rPr>
        <w:t xml:space="preserve"> </w:t>
      </w:r>
      <w:r w:rsidRPr="005E486B">
        <w:rPr>
          <w:rFonts w:cs="Arial"/>
          <w:rtl/>
        </w:rPr>
        <w:t>וכן דעת סמ"ג (עשין נ קלב ריש ע"ב) וסמ"ק (סי' קפד) וכן ד</w:t>
      </w:r>
      <w:r>
        <w:rPr>
          <w:rFonts w:cs="Arial" w:hint="cs"/>
          <w:rtl/>
        </w:rPr>
        <w:t xml:space="preserve">עת </w:t>
      </w:r>
      <w:r w:rsidRPr="005E486B">
        <w:rPr>
          <w:rFonts w:cs="Arial"/>
          <w:rtl/>
        </w:rPr>
        <w:t>ר</w:t>
      </w:r>
      <w:r>
        <w:rPr>
          <w:rFonts w:cs="Arial" w:hint="cs"/>
          <w:rtl/>
        </w:rPr>
        <w:t>י"</w:t>
      </w:r>
      <w:r w:rsidRPr="005E486B">
        <w:rPr>
          <w:rFonts w:cs="Arial"/>
          <w:rtl/>
        </w:rPr>
        <w:t xml:space="preserve">ו </w:t>
      </w:r>
      <w:r>
        <w:rPr>
          <w:rFonts w:cs="Arial" w:hint="cs"/>
          <w:rtl/>
        </w:rPr>
        <w:t>(</w:t>
      </w:r>
      <w:r w:rsidRPr="005E486B">
        <w:rPr>
          <w:rFonts w:cs="Arial"/>
          <w:rtl/>
        </w:rPr>
        <w:t>נכ"ד ח</w:t>
      </w:r>
      <w:r>
        <w:rPr>
          <w:rFonts w:cs="Arial" w:hint="cs"/>
          <w:rtl/>
        </w:rPr>
        <w:t>"</w:t>
      </w:r>
      <w:r w:rsidRPr="005E486B">
        <w:rPr>
          <w:rFonts w:cs="Arial"/>
          <w:rtl/>
        </w:rPr>
        <w:t>ד רי ע"א)</w:t>
      </w:r>
      <w:r>
        <w:rPr>
          <w:rFonts w:hint="cs"/>
          <w:rtl/>
        </w:rPr>
        <w:t>, ב"י.</w:t>
      </w:r>
    </w:p>
  </w:footnote>
  <w:footnote w:id="347">
    <w:p w14:paraId="5B89732D" w14:textId="79283374" w:rsidR="007D43B5" w:rsidRDefault="007D43B5">
      <w:pPr>
        <w:pStyle w:val="a5"/>
      </w:pPr>
      <w:r>
        <w:rPr>
          <w:rStyle w:val="a7"/>
        </w:rPr>
        <w:footnoteRef/>
      </w:r>
      <w:r>
        <w:rPr>
          <w:rtl/>
        </w:rPr>
        <w:t xml:space="preserve"> </w:t>
      </w:r>
      <w:r w:rsidRPr="00B33125">
        <w:rPr>
          <w:rFonts w:cs="Arial"/>
          <w:rtl/>
        </w:rPr>
        <w:t>ולא נראה לי</w:t>
      </w:r>
      <w:r w:rsidRPr="00B33125">
        <w:rPr>
          <w:rFonts w:cs="Arial" w:hint="cs"/>
          <w:rtl/>
        </w:rPr>
        <w:t>,</w:t>
      </w:r>
      <w:r w:rsidRPr="00B33125">
        <w:rPr>
          <w:rFonts w:cs="Arial"/>
          <w:rtl/>
        </w:rPr>
        <w:t xml:space="preserve"> אלא כיון דכחי חשבינן ליה דינו שוה ממש לדין שכיב מרע שנשתתק</w:t>
      </w:r>
      <w:r>
        <w:rPr>
          <w:rFonts w:cs="Arial" w:hint="cs"/>
          <w:rtl/>
        </w:rPr>
        <w:t>.</w:t>
      </w:r>
      <w:r w:rsidRPr="00B33125">
        <w:rPr>
          <w:rFonts w:cs="Arial"/>
          <w:rtl/>
        </w:rPr>
        <w:t xml:space="preserve"> ולפי שראו הפוסקים הנזכרים בדברי ר"י מדבר</w:t>
      </w:r>
      <w:r>
        <w:rPr>
          <w:rFonts w:cs="Arial" w:hint="cs"/>
          <w:rtl/>
        </w:rPr>
        <w:t>,</w:t>
      </w:r>
      <w:r w:rsidRPr="00B33125">
        <w:rPr>
          <w:rFonts w:cs="Arial"/>
          <w:rtl/>
        </w:rPr>
        <w:t xml:space="preserve"> כתבו גם הם מדבר</w:t>
      </w:r>
      <w:r>
        <w:rPr>
          <w:rFonts w:cs="Arial" w:hint="cs"/>
          <w:rtl/>
        </w:rPr>
        <w:t>.</w:t>
      </w:r>
      <w:r w:rsidRPr="00B33125">
        <w:rPr>
          <w:rFonts w:cs="Arial"/>
          <w:rtl/>
        </w:rPr>
        <w:t xml:space="preserve"> ור"י לאו משום גט אמרה אלא משום מתנה דנקט בהדי מגרש</w:t>
      </w:r>
      <w:r>
        <w:rPr>
          <w:rFonts w:cs="Arial" w:hint="cs"/>
          <w:rtl/>
        </w:rPr>
        <w:t>.</w:t>
      </w:r>
      <w:r w:rsidRPr="00B33125">
        <w:rPr>
          <w:rFonts w:cs="Arial"/>
          <w:rtl/>
        </w:rPr>
        <w:t xml:space="preserve"> ומתנה לא הויא אלא במדבר דוקא</w:t>
      </w:r>
      <w:r>
        <w:rPr>
          <w:rFonts w:cs="Arial" w:hint="cs"/>
          <w:rtl/>
        </w:rPr>
        <w:t>.</w:t>
      </w:r>
      <w:r w:rsidRPr="00B33125">
        <w:rPr>
          <w:rFonts w:cs="Arial"/>
          <w:rtl/>
        </w:rPr>
        <w:t xml:space="preserve"> וגם הרשב"א והר"ן שכתבו בשם ר"י דגוסס הרי הוא כחי לכל דבריו וכל שהוא מדבר ודעתו מיושבת עליו מתנתו מתנה וגטו גט</w:t>
      </w:r>
      <w:r>
        <w:rPr>
          <w:rFonts w:cs="Arial" w:hint="cs"/>
          <w:rtl/>
        </w:rPr>
        <w:t>,</w:t>
      </w:r>
      <w:r w:rsidRPr="00B33125">
        <w:rPr>
          <w:rFonts w:cs="Arial"/>
          <w:rtl/>
        </w:rPr>
        <w:t xml:space="preserve"> משום מתנה כתבו מדבר</w:t>
      </w:r>
      <w:r>
        <w:rPr>
          <w:rFonts w:cs="Arial" w:hint="cs"/>
          <w:rtl/>
        </w:rPr>
        <w:t>,</w:t>
      </w:r>
      <w:r w:rsidRPr="00B33125">
        <w:rPr>
          <w:rFonts w:cs="Arial"/>
          <w:rtl/>
        </w:rPr>
        <w:t xml:space="preserve"> אבל לגט אפילו אינו מדבר הרי הוא כחי. ותדע שהרי הביאו ראיה לומר שגוסס דינו כחי מדאמרינן במי שאחזו (ע:) שחט בו שנים ורמז ואמר כתבו גט כותבין ונותנין ואין לך גוסס גדול מזה</w:t>
      </w:r>
      <w:r>
        <w:rPr>
          <w:rFonts w:cs="Arial" w:hint="cs"/>
          <w:rtl/>
        </w:rPr>
        <w:t>,</w:t>
      </w:r>
      <w:r w:rsidRPr="00B33125">
        <w:rPr>
          <w:rFonts w:cs="Arial"/>
          <w:rtl/>
        </w:rPr>
        <w:t xml:space="preserve"> והרי שם על ידי רמז קאמר דכותבין ונותנין</w:t>
      </w:r>
      <w:r>
        <w:rPr>
          <w:rFonts w:cs="Arial" w:hint="cs"/>
          <w:rtl/>
        </w:rPr>
        <w:t>,</w:t>
      </w:r>
      <w:r w:rsidRPr="00B33125">
        <w:rPr>
          <w:rFonts w:cs="Arial"/>
          <w:rtl/>
        </w:rPr>
        <w:t xml:space="preserve"> ואם כן הוא הדין לגוסס מחמת חולי דעל ידי רמז כותבין. ועוד שהביאו ראיה לדברי ר"י מדתניא בתוספתא (גיטין רפ"ה) אמר כתבו גט לאשתי ועלה לגג ונפל ומת כותבין ונותנין כל זמן שיש בו נשמה</w:t>
      </w:r>
      <w:r w:rsidRPr="00B33125">
        <w:rPr>
          <w:rFonts w:cs="Arial" w:hint="cs"/>
          <w:rtl/>
        </w:rPr>
        <w:t>,</w:t>
      </w:r>
      <w:r w:rsidRPr="00B33125">
        <w:rPr>
          <w:rFonts w:cs="Arial"/>
          <w:rtl/>
        </w:rPr>
        <w:t xml:space="preserve"> והרי שם לא חילקה התוספתא בין מדבר לשאינו מדבר. ועוד שאחת מהראיות שכתבו התוספות שהביא ר"י לדבריו הוא מדתנן בפרק כל הגט (כח.) המביא גט ממדינת הים והניחו זקן או חולה נותנו לה בחזקת שהוא קיים ואמרינן בגמרא לא שנו אלא חולה אבל גוסס שרוב גוססין למיתה לא</w:t>
      </w:r>
      <w:r>
        <w:rPr>
          <w:rFonts w:cs="Arial" w:hint="cs"/>
          <w:rtl/>
        </w:rPr>
        <w:t>,</w:t>
      </w:r>
      <w:r w:rsidRPr="00B33125">
        <w:rPr>
          <w:rFonts w:cs="Arial"/>
          <w:rtl/>
        </w:rPr>
        <w:t xml:space="preserve"> משמע דמשום שאין מחזיקין אותו בקיים הוא דלא יתננו לה הא ידעינן ביה שעדין חי הוא נותנין</w:t>
      </w:r>
      <w:r w:rsidRPr="00B33125">
        <w:rPr>
          <w:rFonts w:cs="Arial" w:hint="cs"/>
          <w:rtl/>
        </w:rPr>
        <w:t>,</w:t>
      </w:r>
      <w:r w:rsidRPr="00B33125">
        <w:rPr>
          <w:rFonts w:cs="Arial"/>
          <w:rtl/>
        </w:rPr>
        <w:t xml:space="preserve"> ומשמע דאי הוה ידעינן שהוא חי היה נותנו לה ולא הוה מפלגינן בין מדבר לנשתתק. וכן משמע מדברי התוספות בפרק עשרה יוחסין (שם) שכתבו משמע מתוך פירוש רש"י דנתינה דגוסס אינה כלום וכמו כן יש מדקדקים דגוסס שרמז לכתוב גט לאשתו אין כותבין וקשה דבמסכת שמחות (רפ"א) אמרינן הגוסס הרי הוא כחי לכל דבריו וכו' לכן נ"ל דודאי גוסס דבריו קיימים והכא גבי מתנה היינו טעמא דאינה כלום משום דמסתמא גוסס אינו יכול לדבר אבל אם היה מדבר פשיטא דדבריו קיימים עד כאן לשונם. משמע מדבריהם דלגבי מתנה הוא שאמרו דכשאינו מדבר אין מתנתו מתנה אבל גבי גט</w:t>
      </w:r>
      <w:r>
        <w:rPr>
          <w:rFonts w:cs="Arial" w:hint="cs"/>
          <w:rtl/>
        </w:rPr>
        <w:t xml:space="preserve"> -</w:t>
      </w:r>
      <w:r w:rsidRPr="00B33125">
        <w:rPr>
          <w:rFonts w:cs="Arial"/>
          <w:rtl/>
        </w:rPr>
        <w:t xml:space="preserve"> כשרמז דבריו קיימין</w:t>
      </w:r>
      <w:r>
        <w:rPr>
          <w:rFonts w:cs="Arial" w:hint="cs"/>
          <w:rtl/>
        </w:rPr>
        <w:t>,</w:t>
      </w:r>
      <w:r w:rsidRPr="00B33125">
        <w:rPr>
          <w:rFonts w:cs="Arial"/>
          <w:rtl/>
        </w:rPr>
        <w:t xml:space="preserve"> שהרי באו לדחות דברי המדקדקים דגוסס שרמז לכתוב לאשה אין כותבין</w:t>
      </w:r>
      <w:r w:rsidRPr="00B33125">
        <w:rPr>
          <w:rFonts w:cs="Arial" w:hint="cs"/>
          <w:rtl/>
        </w:rPr>
        <w:t>.</w:t>
      </w:r>
      <w:r>
        <w:rPr>
          <w:rFonts w:cs="Arial" w:hint="cs"/>
          <w:rtl/>
        </w:rPr>
        <w:t xml:space="preserve"> </w:t>
      </w:r>
      <w:r w:rsidRPr="007D43B5">
        <w:rPr>
          <w:rFonts w:cs="Arial"/>
          <w:rtl/>
        </w:rPr>
        <w:t>אך קשה לי דמתנה וגט שוים הם</w:t>
      </w:r>
      <w:r w:rsidRPr="007D43B5">
        <w:rPr>
          <w:rFonts w:cs="Arial" w:hint="cs"/>
          <w:rtl/>
        </w:rPr>
        <w:t>,</w:t>
      </w:r>
      <w:r w:rsidRPr="007D43B5">
        <w:rPr>
          <w:rFonts w:cs="Arial"/>
          <w:rtl/>
        </w:rPr>
        <w:t xml:space="preserve"> ותרווייהו על ידי רמיזה דבריו קיימין</w:t>
      </w:r>
      <w:r w:rsidRPr="007D43B5">
        <w:rPr>
          <w:rFonts w:cs="Arial" w:hint="cs"/>
          <w:rtl/>
        </w:rPr>
        <w:t>,</w:t>
      </w:r>
      <w:r w:rsidRPr="007D43B5">
        <w:rPr>
          <w:rFonts w:cs="Arial"/>
          <w:rtl/>
        </w:rPr>
        <w:t xml:space="preserve"> וכדתניא בריש פרק מי שאחזו (עא.) כשם שבודקין אותו לגיטין כך בודקין אותו למתנות. לכן נראה לי דבין לגט בין למתנה גוסס הרי הוא כחי</w:t>
      </w:r>
      <w:r w:rsidRPr="007D43B5">
        <w:rPr>
          <w:rFonts w:cs="Arial" w:hint="cs"/>
          <w:rtl/>
        </w:rPr>
        <w:t>,</w:t>
      </w:r>
      <w:r w:rsidRPr="007D43B5">
        <w:rPr>
          <w:rFonts w:cs="Arial"/>
          <w:rtl/>
        </w:rPr>
        <w:t xml:space="preserve"> ואפילו נשתתק ורמז דבריו קיימין אם בדקוהו כדין מי שנשתתק</w:t>
      </w:r>
      <w:r w:rsidRPr="007D43B5">
        <w:rPr>
          <w:rFonts w:cs="Arial" w:hint="cs"/>
          <w:rtl/>
        </w:rPr>
        <w:t>.</w:t>
      </w:r>
      <w:r w:rsidRPr="007D43B5">
        <w:rPr>
          <w:rFonts w:cs="Arial"/>
          <w:rtl/>
        </w:rPr>
        <w:t xml:space="preserve"> ומה שכתבו התוספות והכא גבי מתנה היינו טעמא דמתנתו אינו כלום משום דמסתמא גוסס אינו יכול לדבר כוונתם לומר דכל שאינו מדבר מכיון שהוא גוסס מסתמא אין שהות לבודקו עד שהוא מת או דעתו מטרפת ואם כן שפיר אמרינן דגוסס שאינו מדבר אין מתנתו מתנה</w:t>
      </w:r>
      <w:r w:rsidRPr="007D43B5">
        <w:rPr>
          <w:rFonts w:cs="Arial" w:hint="cs"/>
          <w:rtl/>
        </w:rPr>
        <w:t>,</w:t>
      </w:r>
      <w:r w:rsidRPr="007D43B5">
        <w:rPr>
          <w:rFonts w:cs="Arial"/>
          <w:rtl/>
        </w:rPr>
        <w:t xml:space="preserve"> והוא הדין נמי דאין כותבין גט על פי רמיזתו</w:t>
      </w:r>
      <w:r w:rsidRPr="007D43B5">
        <w:rPr>
          <w:rFonts w:cs="Arial" w:hint="cs"/>
          <w:rtl/>
        </w:rPr>
        <w:t>.</w:t>
      </w:r>
      <w:r w:rsidRPr="007D43B5">
        <w:rPr>
          <w:rFonts w:cs="Arial"/>
          <w:rtl/>
        </w:rPr>
        <w:t xml:space="preserve"> ולא מפני שאינו מדבר</w:t>
      </w:r>
      <w:r w:rsidRPr="007D43B5">
        <w:rPr>
          <w:rFonts w:cs="Arial" w:hint="cs"/>
          <w:rtl/>
        </w:rPr>
        <w:t>,</w:t>
      </w:r>
      <w:r w:rsidRPr="007D43B5">
        <w:rPr>
          <w:rFonts w:cs="Arial"/>
          <w:rtl/>
        </w:rPr>
        <w:t xml:space="preserve"> דרמיזה חשיבא כדיבור בין לגט בין למתנה</w:t>
      </w:r>
      <w:r w:rsidRPr="007D43B5">
        <w:rPr>
          <w:rFonts w:cs="Arial" w:hint="cs"/>
          <w:rtl/>
        </w:rPr>
        <w:t>,</w:t>
      </w:r>
      <w:r w:rsidRPr="007D43B5">
        <w:rPr>
          <w:rFonts w:cs="Arial"/>
          <w:rtl/>
        </w:rPr>
        <w:t xml:space="preserve"> אלא דמסתמא אין שהות לבדקו כדפרישית</w:t>
      </w:r>
      <w:r w:rsidRPr="007D43B5">
        <w:rPr>
          <w:rFonts w:cs="Arial" w:hint="cs"/>
          <w:rtl/>
        </w:rPr>
        <w:t>.</w:t>
      </w:r>
      <w:r w:rsidRPr="007D43B5">
        <w:rPr>
          <w:rFonts w:cs="Arial"/>
          <w:rtl/>
        </w:rPr>
        <w:t xml:space="preserve"> אבל אי איתרמי מילתא שאחר שנשתתק עמד בדעתו כדי לבודקו כדינו </w:t>
      </w:r>
      <w:r w:rsidRPr="007D43B5">
        <w:rPr>
          <w:rFonts w:cs="Arial" w:hint="cs"/>
          <w:rtl/>
        </w:rPr>
        <w:t xml:space="preserve">- </w:t>
      </w:r>
      <w:r w:rsidRPr="007D43B5">
        <w:rPr>
          <w:rFonts w:cs="Arial"/>
          <w:rtl/>
        </w:rPr>
        <w:t>גטו גט ומתנתו מתנה סבירא להו. וכן נראה שהוא דעת רבינו ירוחם (נכ"ד ח"ד) דגבי גט כתב (שם רי ע"א) גטו גט</w:t>
      </w:r>
      <w:r w:rsidRPr="007D43B5">
        <w:rPr>
          <w:rFonts w:cs="Arial" w:hint="cs"/>
          <w:rtl/>
        </w:rPr>
        <w:t>,</w:t>
      </w:r>
      <w:r w:rsidRPr="007D43B5">
        <w:rPr>
          <w:rFonts w:cs="Arial"/>
          <w:rtl/>
        </w:rPr>
        <w:t xml:space="preserve"> ולא חילק</w:t>
      </w:r>
      <w:r w:rsidRPr="007D43B5">
        <w:rPr>
          <w:rFonts w:cs="Arial" w:hint="cs"/>
          <w:rtl/>
        </w:rPr>
        <w:t>.</w:t>
      </w:r>
      <w:r w:rsidRPr="007D43B5">
        <w:rPr>
          <w:rFonts w:cs="Arial"/>
          <w:rtl/>
        </w:rPr>
        <w:t xml:space="preserve"> לפי שסמך על מה שכתב (שם ריב ע"ג) דין מי שנשתתק</w:t>
      </w:r>
      <w:r w:rsidRPr="007D43B5">
        <w:rPr>
          <w:rFonts w:cs="Arial" w:hint="cs"/>
          <w:rtl/>
        </w:rPr>
        <w:t>.</w:t>
      </w:r>
      <w:r w:rsidRPr="007D43B5">
        <w:rPr>
          <w:rFonts w:cs="Arial"/>
          <w:rtl/>
        </w:rPr>
        <w:t xml:space="preserve"> ואם הגוסס נשתתק הרי דינו מפורש שם</w:t>
      </w:r>
      <w:r w:rsidRPr="007D43B5">
        <w:rPr>
          <w:rFonts w:cs="Arial" w:hint="cs"/>
          <w:rtl/>
        </w:rPr>
        <w:t>,</w:t>
      </w:r>
      <w:r w:rsidRPr="007D43B5">
        <w:rPr>
          <w:rFonts w:cs="Arial"/>
          <w:rtl/>
        </w:rPr>
        <w:t xml:space="preserve"> דלא שנא לן בין גוסס לאינו גוסס בשום דבר</w:t>
      </w:r>
      <w:r w:rsidRPr="007D43B5">
        <w:rPr>
          <w:rFonts w:cs="Arial" w:hint="cs"/>
          <w:rtl/>
        </w:rPr>
        <w:t>.</w:t>
      </w:r>
      <w:r w:rsidRPr="007D43B5">
        <w:rPr>
          <w:rFonts w:cs="Arial"/>
          <w:rtl/>
        </w:rPr>
        <w:t xml:space="preserve"> וגבי מתנה כתב (במישרים נכ"ד ח"א סח ע"ב) בהדיא דמתנתו מתנה אפילו אינו יכול לדבר בודקין אותו ברמיזות כדאמרינן בודקין למתנות </w:t>
      </w:r>
      <w:r>
        <w:rPr>
          <w:rFonts w:cs="Arial" w:hint="cs"/>
          <w:rtl/>
        </w:rPr>
        <w:t>עכ"ל</w:t>
      </w:r>
      <w:r>
        <w:rPr>
          <w:rFonts w:cs="Arial" w:hint="cs"/>
          <w:sz w:val="16"/>
          <w:szCs w:val="16"/>
          <w:rtl/>
        </w:rPr>
        <w:t xml:space="preserve"> [רי"ו]</w:t>
      </w:r>
      <w:r>
        <w:rPr>
          <w:rFonts w:cs="Arial" w:hint="cs"/>
          <w:rtl/>
        </w:rPr>
        <w:t>, ב"י.</w:t>
      </w:r>
    </w:p>
  </w:footnote>
  <w:footnote w:id="348">
    <w:p w14:paraId="773311E1" w14:textId="0A3910F2" w:rsidR="00F549B6" w:rsidRDefault="00F549B6">
      <w:pPr>
        <w:pStyle w:val="a5"/>
      </w:pPr>
      <w:r>
        <w:rPr>
          <w:rStyle w:val="a7"/>
        </w:rPr>
        <w:footnoteRef/>
      </w:r>
      <w:r>
        <w:rPr>
          <w:rtl/>
        </w:rPr>
        <w:t xml:space="preserve"> </w:t>
      </w:r>
      <w:r w:rsidRPr="00F549B6">
        <w:rPr>
          <w:rFonts w:cs="Arial"/>
          <w:rtl/>
        </w:rPr>
        <w:t>הב"י כתב דליכא פלוגתא בין הפוסקים</w:t>
      </w:r>
      <w:r>
        <w:rPr>
          <w:rFonts w:cs="Arial" w:hint="cs"/>
          <w:rtl/>
        </w:rPr>
        <w:t>,</w:t>
      </w:r>
      <w:r w:rsidRPr="00F549B6">
        <w:rPr>
          <w:rFonts w:cs="Arial"/>
          <w:rtl/>
        </w:rPr>
        <w:t xml:space="preserve"> אלא כשיש שהות לבדוק אותו יכול לגרש לכ</w:t>
      </w:r>
      <w:r>
        <w:rPr>
          <w:rFonts w:cs="Arial" w:hint="cs"/>
          <w:rtl/>
        </w:rPr>
        <w:t>ו</w:t>
      </w:r>
      <w:r w:rsidRPr="00F549B6">
        <w:rPr>
          <w:rFonts w:cs="Arial"/>
          <w:rtl/>
        </w:rPr>
        <w:t>"ע אפי' אינו מדבר</w:t>
      </w:r>
      <w:r>
        <w:rPr>
          <w:rFonts w:cs="Arial" w:hint="cs"/>
          <w:rtl/>
        </w:rPr>
        <w:t>.</w:t>
      </w:r>
      <w:r w:rsidRPr="00F549B6">
        <w:rPr>
          <w:rFonts w:cs="Arial"/>
          <w:rtl/>
        </w:rPr>
        <w:t xml:space="preserve"> לפ"ז מ"ש כאן הרי הוא כחי איירי כשיש שהות לבדוק אותו</w:t>
      </w:r>
      <w:r>
        <w:rPr>
          <w:rFonts w:cs="Arial" w:hint="cs"/>
          <w:rtl/>
        </w:rPr>
        <w:t>.</w:t>
      </w:r>
      <w:r w:rsidRPr="00F549B6">
        <w:rPr>
          <w:rFonts w:cs="Arial"/>
          <w:rtl/>
        </w:rPr>
        <w:t xml:space="preserve"> לפ"ז לדעת רמ"א אפי' בדיקה לא מהני</w:t>
      </w:r>
      <w:r>
        <w:rPr>
          <w:rFonts w:cs="Arial" w:hint="cs"/>
          <w:rtl/>
        </w:rPr>
        <w:t>.</w:t>
      </w:r>
      <w:r w:rsidRPr="00F549B6">
        <w:rPr>
          <w:rFonts w:cs="Arial"/>
          <w:rtl/>
        </w:rPr>
        <w:t xml:space="preserve"> וצ"ל דלאו הטעם הוא משום דחיישינן שמא תטרוף דעתו</w:t>
      </w:r>
      <w:r>
        <w:rPr>
          <w:rFonts w:cs="Arial" w:hint="cs"/>
          <w:rtl/>
        </w:rPr>
        <w:t>,</w:t>
      </w:r>
      <w:r w:rsidRPr="00F549B6">
        <w:rPr>
          <w:rFonts w:cs="Arial"/>
          <w:rtl/>
        </w:rPr>
        <w:t xml:space="preserve"> דהא בנפל מן הגג יש לחוש שמא תטרוף דעתו ומהני הבדיקה</w:t>
      </w:r>
      <w:r>
        <w:rPr>
          <w:rFonts w:cs="Arial" w:hint="cs"/>
          <w:rtl/>
        </w:rPr>
        <w:t>.</w:t>
      </w:r>
      <w:r w:rsidRPr="00F549B6">
        <w:rPr>
          <w:rFonts w:cs="Arial"/>
          <w:rtl/>
        </w:rPr>
        <w:t xml:space="preserve"> אלא ס"ל מדהיה חולי ועכשיו הוא גוסס ואינו מדבר חשוב הוא כמת לכן א"י לגרש</w:t>
      </w:r>
      <w:r>
        <w:rPr>
          <w:rFonts w:cs="Arial" w:hint="cs"/>
          <w:rtl/>
        </w:rPr>
        <w:t>.</w:t>
      </w:r>
      <w:r w:rsidRPr="00F549B6">
        <w:rPr>
          <w:rFonts w:cs="Arial"/>
          <w:rtl/>
        </w:rPr>
        <w:t xml:space="preserve"> ונשחט חשוב יותר חי דהוא היה בריא עד שנשחט</w:t>
      </w:r>
      <w:r>
        <w:rPr>
          <w:rFonts w:cs="Arial" w:hint="cs"/>
          <w:rtl/>
        </w:rPr>
        <w:t xml:space="preserve">, </w:t>
      </w:r>
      <w:r w:rsidRPr="00577176">
        <w:rPr>
          <w:rFonts w:cs="Arial" w:hint="cs"/>
          <w:b/>
          <w:bCs/>
          <w:rtl/>
        </w:rPr>
        <w:t>ב"ש</w:t>
      </w:r>
      <w:r>
        <w:rPr>
          <w:rFonts w:cs="Arial" w:hint="cs"/>
          <w:rtl/>
        </w:rPr>
        <w:t xml:space="preserve"> (סק"י).</w:t>
      </w:r>
      <w:r w:rsidRPr="00F549B6">
        <w:rPr>
          <w:rFonts w:cs="Arial"/>
          <w:rtl/>
        </w:rPr>
        <w:t xml:space="preserve"> </w:t>
      </w:r>
      <w:r>
        <w:rPr>
          <w:rFonts w:cs="Arial" w:hint="cs"/>
          <w:rtl/>
        </w:rPr>
        <w:t xml:space="preserve">וכ"כ </w:t>
      </w:r>
      <w:r w:rsidRPr="00577176">
        <w:rPr>
          <w:rFonts w:cs="Arial" w:hint="cs"/>
          <w:b/>
          <w:bCs/>
          <w:rtl/>
        </w:rPr>
        <w:t>הח"מ</w:t>
      </w:r>
      <w:r>
        <w:rPr>
          <w:rFonts w:cs="Arial" w:hint="cs"/>
          <w:rtl/>
        </w:rPr>
        <w:t xml:space="preserve"> (סק"י) ד</w:t>
      </w:r>
      <w:r w:rsidRPr="00F549B6">
        <w:rPr>
          <w:rFonts w:cs="Arial"/>
          <w:rtl/>
        </w:rPr>
        <w:t>אע</w:t>
      </w:r>
      <w:r>
        <w:rPr>
          <w:rFonts w:cs="Arial" w:hint="cs"/>
          <w:rtl/>
        </w:rPr>
        <w:t>"</w:t>
      </w:r>
      <w:r w:rsidRPr="00F549B6">
        <w:rPr>
          <w:rFonts w:cs="Arial"/>
          <w:rtl/>
        </w:rPr>
        <w:t>ג בשחטו בו שנים דבסעיף שאח"ז ברמז סגי שאני התם דנשחט מתוך בוריו ודעתו צילתא היא אבל בגוסס מתוך חוליו שאין דעתו צלולה כשניטל ממנו כח הדיבור וע"כ דעת יש אומרים דיש להחמיר</w:t>
      </w:r>
      <w:r>
        <w:rPr>
          <w:rFonts w:cs="Arial" w:hint="cs"/>
          <w:rtl/>
        </w:rPr>
        <w:t>.</w:t>
      </w:r>
    </w:p>
  </w:footnote>
  <w:footnote w:id="349">
    <w:p w14:paraId="1907DFE0" w14:textId="1BCFBDB3" w:rsidR="00211228" w:rsidRPr="00211228" w:rsidRDefault="00211228">
      <w:pPr>
        <w:pStyle w:val="a5"/>
      </w:pPr>
      <w:r w:rsidRPr="00211228">
        <w:rPr>
          <w:rStyle w:val="a7"/>
        </w:rPr>
        <w:footnoteRef/>
      </w:r>
      <w:r w:rsidRPr="00211228">
        <w:rPr>
          <w:rtl/>
        </w:rPr>
        <w:t xml:space="preserve"> </w:t>
      </w:r>
      <w:r w:rsidRPr="00211228">
        <w:rPr>
          <w:rFonts w:hint="cs"/>
          <w:rtl/>
        </w:rPr>
        <w:t>וכן איתא ב</w:t>
      </w:r>
      <w:r w:rsidRPr="00211228">
        <w:rPr>
          <w:rFonts w:cs="Arial"/>
          <w:rtl/>
        </w:rPr>
        <w:t xml:space="preserve">יבמות </w:t>
      </w:r>
      <w:r w:rsidRPr="00211228">
        <w:rPr>
          <w:rFonts w:cs="Arial" w:hint="cs"/>
          <w:sz w:val="16"/>
          <w:szCs w:val="16"/>
          <w:rtl/>
        </w:rPr>
        <w:t>(פ' בתרא)</w:t>
      </w:r>
      <w:r w:rsidRPr="00211228">
        <w:rPr>
          <w:rFonts w:cs="Arial"/>
          <w:rtl/>
        </w:rPr>
        <w:t xml:space="preserve"> ק</w:t>
      </w:r>
      <w:r w:rsidRPr="00211228">
        <w:rPr>
          <w:rFonts w:cs="Arial" w:hint="cs"/>
          <w:rtl/>
        </w:rPr>
        <w:t>כ ע"ב.</w:t>
      </w:r>
    </w:p>
  </w:footnote>
  <w:footnote w:id="350">
    <w:p w14:paraId="69FF5E30" w14:textId="46052652" w:rsidR="00211228" w:rsidRDefault="00211228">
      <w:pPr>
        <w:pStyle w:val="a5"/>
        <w:rPr>
          <w:rtl/>
        </w:rPr>
      </w:pPr>
      <w:r>
        <w:rPr>
          <w:rStyle w:val="a7"/>
        </w:rPr>
        <w:footnoteRef/>
      </w:r>
      <w:r>
        <w:rPr>
          <w:rtl/>
        </w:rPr>
        <w:t xml:space="preserve"> </w:t>
      </w:r>
      <w:r w:rsidRPr="00211228">
        <w:rPr>
          <w:rFonts w:cs="Arial"/>
          <w:rtl/>
        </w:rPr>
        <w:t>כלומר דעתו צלולה אלא שכחש כחו מלהוציא דבר בפיו</w:t>
      </w:r>
      <w:r>
        <w:rPr>
          <w:rFonts w:hint="cs"/>
          <w:rtl/>
        </w:rPr>
        <w:t>, ב"י.</w:t>
      </w:r>
      <w:r w:rsidR="007E5192">
        <w:rPr>
          <w:rFonts w:hint="cs"/>
          <w:rtl/>
        </w:rPr>
        <w:t xml:space="preserve"> וכתב הב"ש (סקי"א) דדעת התוס' דא"צ בדיקה. וכתב עוד </w:t>
      </w:r>
      <w:r w:rsidR="007E5192">
        <w:rPr>
          <w:rFonts w:cs="Arial" w:hint="cs"/>
          <w:rtl/>
        </w:rPr>
        <w:t>ד</w:t>
      </w:r>
      <w:r w:rsidR="007E5192" w:rsidRPr="007E5192">
        <w:rPr>
          <w:rFonts w:cs="Arial"/>
          <w:rtl/>
        </w:rPr>
        <w:t>כן משמע מהרמב"ם והטור</w:t>
      </w:r>
      <w:r w:rsidR="007E5192">
        <w:rPr>
          <w:rFonts w:cs="Arial" w:hint="cs"/>
          <w:rtl/>
        </w:rPr>
        <w:t>.</w:t>
      </w:r>
    </w:p>
  </w:footnote>
  <w:footnote w:id="351">
    <w:p w14:paraId="50384EA9" w14:textId="64796E7B" w:rsidR="007E5192" w:rsidRDefault="007E5192">
      <w:pPr>
        <w:pStyle w:val="a5"/>
      </w:pPr>
      <w:r>
        <w:rPr>
          <w:rStyle w:val="a7"/>
        </w:rPr>
        <w:footnoteRef/>
      </w:r>
      <w:r>
        <w:rPr>
          <w:rtl/>
        </w:rPr>
        <w:t xml:space="preserve"> </w:t>
      </w:r>
      <w:r>
        <w:rPr>
          <w:rFonts w:hint="cs"/>
          <w:rtl/>
        </w:rPr>
        <w:t xml:space="preserve">וכתב הב"ש (סקי"א) דאפילו לדעת הר"ן </w:t>
      </w:r>
      <w:r w:rsidRPr="007E5192">
        <w:rPr>
          <w:rFonts w:cs="Arial"/>
          <w:rtl/>
        </w:rPr>
        <w:t xml:space="preserve">י"ל </w:t>
      </w:r>
      <w:r>
        <w:rPr>
          <w:rFonts w:cs="Arial" w:hint="cs"/>
          <w:rtl/>
        </w:rPr>
        <w:t>ד</w:t>
      </w:r>
      <w:r w:rsidRPr="007E5192">
        <w:rPr>
          <w:rFonts w:cs="Arial"/>
          <w:rtl/>
        </w:rPr>
        <w:t>בדיעבד אפילו לא בדקו אותו נותנים גט</w:t>
      </w:r>
      <w:r>
        <w:rPr>
          <w:rFonts w:cs="Arial" w:hint="cs"/>
          <w:rtl/>
        </w:rPr>
        <w:t>.</w:t>
      </w:r>
    </w:p>
  </w:footnote>
  <w:footnote w:id="352">
    <w:p w14:paraId="61D15085" w14:textId="30BC5FA0" w:rsidR="001B1C6A" w:rsidRDefault="001B1C6A">
      <w:pPr>
        <w:pStyle w:val="a5"/>
      </w:pPr>
      <w:r>
        <w:rPr>
          <w:rStyle w:val="a7"/>
        </w:rPr>
        <w:footnoteRef/>
      </w:r>
      <w:r>
        <w:rPr>
          <w:rtl/>
        </w:rPr>
        <w:t xml:space="preserve"> </w:t>
      </w:r>
      <w:r w:rsidRPr="001B1C6A">
        <w:rPr>
          <w:rFonts w:cs="Arial"/>
          <w:rtl/>
        </w:rPr>
        <w:t>בב"ח כתב כל מידי דבעי בדיקה אין אנו בקיאין לבדוק ולא משמע כן מדברי מהרמ"א ע"כ צריך להתיישב בדבר</w:t>
      </w:r>
      <w:r>
        <w:rPr>
          <w:rFonts w:cs="Arial" w:hint="cs"/>
          <w:rtl/>
        </w:rPr>
        <w:t xml:space="preserve">, </w:t>
      </w:r>
      <w:r w:rsidRPr="00241B19">
        <w:rPr>
          <w:rFonts w:cs="Arial" w:hint="cs"/>
          <w:b/>
          <w:bCs/>
          <w:rtl/>
        </w:rPr>
        <w:t>ח"מ</w:t>
      </w:r>
      <w:r>
        <w:rPr>
          <w:rFonts w:cs="Arial" w:hint="cs"/>
          <w:rtl/>
        </w:rPr>
        <w:t xml:space="preserve"> (סקי"א).</w:t>
      </w:r>
      <w:r w:rsidRPr="001B1C6A">
        <w:rPr>
          <w:rtl/>
        </w:rPr>
        <w:t xml:space="preserve"> </w:t>
      </w:r>
      <w:r w:rsidRPr="001B1C6A">
        <w:rPr>
          <w:rFonts w:cs="Arial"/>
          <w:rtl/>
        </w:rPr>
        <w:t>מיהו נראה חולה המדבר מודה ב"ח דהוא א"צ בדיקה ממש, וכן בנשחט דהא לרוב הפוסקים א"צ בדיקה כלל</w:t>
      </w:r>
      <w:r>
        <w:rPr>
          <w:rFonts w:cs="Arial" w:hint="cs"/>
          <w:rtl/>
        </w:rPr>
        <w:t xml:space="preserve">, </w:t>
      </w:r>
      <w:r w:rsidRPr="00241B19">
        <w:rPr>
          <w:rFonts w:cs="Arial" w:hint="cs"/>
          <w:b/>
          <w:bCs/>
          <w:rtl/>
        </w:rPr>
        <w:t>ב"ש</w:t>
      </w:r>
      <w:r>
        <w:rPr>
          <w:rFonts w:cs="Arial" w:hint="cs"/>
          <w:rtl/>
        </w:rPr>
        <w:t xml:space="preserve"> (סקי"א).</w:t>
      </w:r>
    </w:p>
  </w:footnote>
  <w:footnote w:id="353">
    <w:p w14:paraId="0D9FA56B" w14:textId="77777777" w:rsidR="00787B33" w:rsidRDefault="00787B33" w:rsidP="00787B33">
      <w:pPr>
        <w:pStyle w:val="a5"/>
        <w:rPr>
          <w:rtl/>
        </w:rPr>
      </w:pPr>
      <w:r>
        <w:rPr>
          <w:rStyle w:val="a7"/>
        </w:rPr>
        <w:footnoteRef/>
      </w:r>
      <w:r>
        <w:rPr>
          <w:rtl/>
        </w:rPr>
        <w:t xml:space="preserve"> </w:t>
      </w:r>
      <w:r w:rsidRPr="00787B33">
        <w:rPr>
          <w:rFonts w:cs="Arial"/>
          <w:rtl/>
        </w:rPr>
        <w:t>ומשמע דאפילו נמצא בו פיסול דרבנן כותבין גט אחר</w:t>
      </w:r>
      <w:r w:rsidRPr="00787B33">
        <w:rPr>
          <w:rFonts w:cs="Arial" w:hint="cs"/>
          <w:rtl/>
        </w:rPr>
        <w:t>,</w:t>
      </w:r>
      <w:r w:rsidRPr="00787B33">
        <w:rPr>
          <w:rFonts w:cs="Arial"/>
          <w:rtl/>
        </w:rPr>
        <w:t xml:space="preserve"> דכיון דפסול אע</w:t>
      </w:r>
      <w:r w:rsidRPr="00787B33">
        <w:rPr>
          <w:rFonts w:cs="Arial" w:hint="cs"/>
          <w:rtl/>
        </w:rPr>
        <w:t>"</w:t>
      </w:r>
      <w:r w:rsidRPr="00787B33">
        <w:rPr>
          <w:rFonts w:cs="Arial"/>
          <w:rtl/>
        </w:rPr>
        <w:t>פ שאין פיסולו אלא מדרבנן מכל מקום חספא בעלמא הוא כיון שאינה יכולה לינשא על ידו</w:t>
      </w:r>
      <w:r w:rsidRPr="00787B33">
        <w:rPr>
          <w:rFonts w:cs="Arial" w:hint="cs"/>
          <w:rtl/>
        </w:rPr>
        <w:t>.</w:t>
      </w:r>
      <w:r w:rsidRPr="00787B33">
        <w:rPr>
          <w:rFonts w:cs="Arial"/>
          <w:rtl/>
        </w:rPr>
        <w:t xml:space="preserve"> וכ</w:t>
      </w:r>
      <w:r w:rsidRPr="00787B33">
        <w:rPr>
          <w:rFonts w:cs="Arial" w:hint="cs"/>
          <w:rtl/>
        </w:rPr>
        <w:t>"</w:t>
      </w:r>
      <w:r w:rsidRPr="00787B33">
        <w:rPr>
          <w:rFonts w:cs="Arial"/>
          <w:rtl/>
        </w:rPr>
        <w:t>כ הרמב"ם בפ</w:t>
      </w:r>
      <w:r w:rsidRPr="00787B33">
        <w:rPr>
          <w:rFonts w:cs="Arial" w:hint="cs"/>
          <w:rtl/>
        </w:rPr>
        <w:t>"</w:t>
      </w:r>
      <w:r w:rsidRPr="00787B33">
        <w:rPr>
          <w:rFonts w:cs="Arial"/>
          <w:rtl/>
        </w:rPr>
        <w:t>ב (ה"ח) דבין נמצא בטל בין נמצא פסול כותבין גט אחר</w:t>
      </w:r>
      <w:r w:rsidRPr="00787B33">
        <w:rPr>
          <w:rFonts w:cs="Arial" w:hint="cs"/>
          <w:rtl/>
        </w:rPr>
        <w:t>, ב"י</w:t>
      </w:r>
      <w:r>
        <w:rPr>
          <w:rFonts w:hint="cs"/>
          <w:rtl/>
        </w:rPr>
        <w:t>.</w:t>
      </w:r>
    </w:p>
  </w:footnote>
  <w:footnote w:id="354">
    <w:p w14:paraId="7199DAF7" w14:textId="5AF78344" w:rsidR="00AB7A50" w:rsidRDefault="00AB7A50">
      <w:pPr>
        <w:pStyle w:val="a5"/>
      </w:pPr>
      <w:r>
        <w:rPr>
          <w:rStyle w:val="a7"/>
        </w:rPr>
        <w:footnoteRef/>
      </w:r>
      <w:r>
        <w:rPr>
          <w:rtl/>
        </w:rPr>
        <w:t xml:space="preserve"> </w:t>
      </w:r>
      <w:r>
        <w:rPr>
          <w:rFonts w:cs="Arial"/>
          <w:rtl/>
        </w:rPr>
        <w:t>הרמב"ם (שם) והעיטור (ח"א מאמר שביעי כח ע"ב) כתבו דין נמצא פסול ולא כתבו דין נאבד ואפשר דלא הזכירוהו משום דילפינן ליה במכל שכן דנמצא פסול דאע</w:t>
      </w:r>
      <w:r w:rsidR="00EB033A">
        <w:rPr>
          <w:rFonts w:cs="Arial" w:hint="cs"/>
          <w:rtl/>
        </w:rPr>
        <w:t>"</w:t>
      </w:r>
      <w:r>
        <w:rPr>
          <w:rFonts w:cs="Arial"/>
          <w:rtl/>
        </w:rPr>
        <w:t>פ שנתנו בידה כותבין ונותנין משום דלא מיקריא נתינה כל שכן דלא נתנו לה כלל דלא עשו שליחותן דכותבין ונותנין</w:t>
      </w:r>
      <w:r>
        <w:rPr>
          <w:rFonts w:cs="Arial" w:hint="cs"/>
          <w:rtl/>
        </w:rPr>
        <w:t>.</w:t>
      </w:r>
      <w:r>
        <w:rPr>
          <w:rFonts w:cs="Arial"/>
          <w:rtl/>
        </w:rPr>
        <w:t xml:space="preserve"> ואע</w:t>
      </w:r>
      <w:r w:rsidR="00EB033A">
        <w:rPr>
          <w:rFonts w:cs="Arial" w:hint="cs"/>
          <w:rtl/>
        </w:rPr>
        <w:t>"</w:t>
      </w:r>
      <w:r>
        <w:rPr>
          <w:rFonts w:cs="Arial"/>
          <w:rtl/>
        </w:rPr>
        <w:t>ג דרבה הוה סבירא ליה דנאבד עדיף מנמצא פסול</w:t>
      </w:r>
      <w:r>
        <w:rPr>
          <w:rFonts w:cs="Arial" w:hint="cs"/>
          <w:rtl/>
        </w:rPr>
        <w:t>,</w:t>
      </w:r>
      <w:r>
        <w:rPr>
          <w:rFonts w:cs="Arial"/>
          <w:rtl/>
        </w:rPr>
        <w:t xml:space="preserve"> לדידן דקיי</w:t>
      </w:r>
      <w:r w:rsidR="00EB033A">
        <w:rPr>
          <w:rFonts w:cs="Arial" w:hint="cs"/>
          <w:rtl/>
        </w:rPr>
        <w:t>"</w:t>
      </w:r>
      <w:r>
        <w:rPr>
          <w:rFonts w:cs="Arial"/>
          <w:rtl/>
        </w:rPr>
        <w:t>ל כרב נחמן דדייק ותנו</w:t>
      </w:r>
      <w:r>
        <w:rPr>
          <w:rFonts w:cs="Arial" w:hint="cs"/>
          <w:rtl/>
        </w:rPr>
        <w:t>,</w:t>
      </w:r>
      <w:r>
        <w:rPr>
          <w:rFonts w:cs="Arial"/>
          <w:rtl/>
        </w:rPr>
        <w:t xml:space="preserve"> הוי איפכא דנמצא פסול עדיף מנאבד</w:t>
      </w:r>
      <w:r>
        <w:rPr>
          <w:rFonts w:cs="Arial" w:hint="cs"/>
          <w:rtl/>
        </w:rPr>
        <w:t>, ב"י.</w:t>
      </w:r>
    </w:p>
  </w:footnote>
  <w:footnote w:id="355">
    <w:p w14:paraId="445C47AA" w14:textId="473BCB61" w:rsidR="004E5063" w:rsidRDefault="004E5063">
      <w:pPr>
        <w:pStyle w:val="a5"/>
      </w:pPr>
      <w:r>
        <w:rPr>
          <w:rStyle w:val="a7"/>
        </w:rPr>
        <w:footnoteRef/>
      </w:r>
      <w:r>
        <w:rPr>
          <w:rtl/>
        </w:rPr>
        <w:t xml:space="preserve"> </w:t>
      </w:r>
      <w:r>
        <w:rPr>
          <w:rFonts w:cs="Arial"/>
          <w:rtl/>
        </w:rPr>
        <w:t xml:space="preserve">והכי דייק לשון הרא"ש </w:t>
      </w:r>
      <w:r w:rsidRPr="004E5063">
        <w:rPr>
          <w:rFonts w:cs="Arial"/>
          <w:sz w:val="16"/>
          <w:szCs w:val="16"/>
          <w:rtl/>
        </w:rPr>
        <w:t>(פ"ז ס"ו</w:t>
      </w:r>
      <w:r w:rsidR="00787B33">
        <w:rPr>
          <w:rFonts w:cs="Arial" w:hint="cs"/>
          <w:sz w:val="16"/>
          <w:szCs w:val="16"/>
          <w:rtl/>
        </w:rPr>
        <w:t>, מובא לקמן בסמוך</w:t>
      </w:r>
      <w:r w:rsidRPr="004E5063">
        <w:rPr>
          <w:rFonts w:cs="Arial"/>
          <w:sz w:val="16"/>
          <w:szCs w:val="16"/>
          <w:rtl/>
        </w:rPr>
        <w:t>)</w:t>
      </w:r>
      <w:r>
        <w:rPr>
          <w:rFonts w:cs="Arial"/>
          <w:rtl/>
        </w:rPr>
        <w:t xml:space="preserve"> שכתב </w:t>
      </w:r>
      <w:r>
        <w:rPr>
          <w:rFonts w:cs="Arial" w:hint="cs"/>
          <w:rtl/>
        </w:rPr>
        <w:t>'</w:t>
      </w:r>
      <w:r>
        <w:rPr>
          <w:rFonts w:cs="Arial"/>
          <w:rtl/>
        </w:rPr>
        <w:t>ומסופקין אם הוא כשר מכמה חומרות שנהגו להחמיר</w:t>
      </w:r>
      <w:r>
        <w:rPr>
          <w:rFonts w:cs="Arial" w:hint="cs"/>
          <w:rtl/>
        </w:rPr>
        <w:t>'</w:t>
      </w:r>
      <w:r>
        <w:rPr>
          <w:rFonts w:cs="Arial"/>
          <w:rtl/>
        </w:rPr>
        <w:t xml:space="preserve"> </w:t>
      </w:r>
      <w:r>
        <w:rPr>
          <w:rFonts w:cs="Arial" w:hint="cs"/>
          <w:sz w:val="16"/>
          <w:szCs w:val="16"/>
          <w:rtl/>
        </w:rPr>
        <w:t>[</w:t>
      </w:r>
      <w:r w:rsidRPr="004E5063">
        <w:rPr>
          <w:rFonts w:cs="Arial"/>
          <w:sz w:val="16"/>
          <w:szCs w:val="16"/>
          <w:rtl/>
        </w:rPr>
        <w:t>עכ"ל</w:t>
      </w:r>
      <w:r w:rsidRPr="004E5063">
        <w:rPr>
          <w:rFonts w:cs="Arial" w:hint="cs"/>
          <w:sz w:val="16"/>
          <w:szCs w:val="16"/>
          <w:rtl/>
        </w:rPr>
        <w:t>]</w:t>
      </w:r>
      <w:r>
        <w:rPr>
          <w:rFonts w:cs="Arial"/>
          <w:rtl/>
        </w:rPr>
        <w:t xml:space="preserve">. ופיסולי דרבנן ודאי אינם בכלל כמה חומרות שנהגו להחמיר. ומה שכתב הרא"ש </w:t>
      </w:r>
      <w:r>
        <w:rPr>
          <w:rFonts w:cs="Arial" w:hint="cs"/>
          <w:rtl/>
        </w:rPr>
        <w:t>'</w:t>
      </w:r>
      <w:r>
        <w:rPr>
          <w:rFonts w:cs="Arial"/>
          <w:rtl/>
        </w:rPr>
        <w:t>ואין להם שורש ועיקר מן התורה</w:t>
      </w:r>
      <w:r>
        <w:rPr>
          <w:rFonts w:cs="Arial" w:hint="cs"/>
          <w:rtl/>
        </w:rPr>
        <w:t>'</w:t>
      </w:r>
      <w:r>
        <w:rPr>
          <w:rFonts w:cs="Arial"/>
          <w:rtl/>
        </w:rPr>
        <w:t xml:space="preserve"> </w:t>
      </w:r>
      <w:r>
        <w:rPr>
          <w:rFonts w:cs="Arial" w:hint="cs"/>
          <w:sz w:val="16"/>
          <w:szCs w:val="16"/>
          <w:rtl/>
        </w:rPr>
        <w:t>[</w:t>
      </w:r>
      <w:r w:rsidRPr="004E5063">
        <w:rPr>
          <w:rFonts w:cs="Arial"/>
          <w:sz w:val="16"/>
          <w:szCs w:val="16"/>
          <w:rtl/>
        </w:rPr>
        <w:t>עכ"ל</w:t>
      </w:r>
      <w:r>
        <w:rPr>
          <w:rFonts w:cs="Arial" w:hint="cs"/>
          <w:sz w:val="16"/>
          <w:szCs w:val="16"/>
          <w:rtl/>
        </w:rPr>
        <w:t>]</w:t>
      </w:r>
      <w:r>
        <w:rPr>
          <w:rFonts w:cs="Arial" w:hint="cs"/>
          <w:rtl/>
        </w:rPr>
        <w:t>,</w:t>
      </w:r>
      <w:r>
        <w:rPr>
          <w:rFonts w:cs="Arial"/>
          <w:rtl/>
        </w:rPr>
        <w:t xml:space="preserve"> פיסולי דרבנן </w:t>
      </w:r>
      <w:r>
        <w:rPr>
          <w:rFonts w:cs="Arial" w:hint="cs"/>
          <w:rtl/>
        </w:rPr>
        <w:t xml:space="preserve">- </w:t>
      </w:r>
      <w:r>
        <w:rPr>
          <w:rFonts w:cs="Arial"/>
          <w:rtl/>
        </w:rPr>
        <w:t>תורה קרי להו</w:t>
      </w:r>
      <w:r>
        <w:rPr>
          <w:rFonts w:cs="Arial" w:hint="cs"/>
          <w:rtl/>
        </w:rPr>
        <w:t>, ב"י.</w:t>
      </w:r>
    </w:p>
  </w:footnote>
  <w:footnote w:id="356">
    <w:p w14:paraId="757E73DE" w14:textId="0BB21273" w:rsidR="00D65CB8" w:rsidRDefault="00D65CB8" w:rsidP="00D65CB8">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246526">
        <w:rPr>
          <w:rFonts w:cs="Arial"/>
          <w:rtl/>
        </w:rPr>
        <w:t xml:space="preserve">שאלת ראובן ארס אשה באושקא ולא לקחה והלך לו לעיר אחרת. ואבי הנערה הלך אחריו ומצאו שנשא שם אשה אחרת, וכתב לזו שבאושקא גט ושלחו לה ביד אביה. וכתוב בגט איך אנא פלוני פטרית ושבקית ליכי פלונית די הוית אנתתי מן קדמת דנא. וטעה הסופר, דהוה ליה למכתב ארוסתי. ונסתפק לנו אם מתגרשת בגט זה, הואיל ומעולם לא נשאת לו, או דילמא ארוסה נקראת נשואה, דהמקדש שאמר הרי את ארוסתי הרי את אשתי הרי זו מקודשת. עוד הודיענו, אם צריכה גט אחר, אם העדים יכולין לכתוב לה גט אחר בלא רשות הבעל כיון שטעו. </w:t>
      </w:r>
      <w:r w:rsidRPr="00246526">
        <w:rPr>
          <w:rFonts w:cs="Arial" w:hint="cs"/>
          <w:rtl/>
        </w:rPr>
        <w:t xml:space="preserve">    </w:t>
      </w:r>
      <w:r w:rsidRPr="00246526">
        <w:rPr>
          <w:rFonts w:cs="Arial"/>
          <w:rtl/>
        </w:rPr>
        <w:t>תשובה</w:t>
      </w:r>
      <w:r w:rsidRPr="00246526">
        <w:rPr>
          <w:rFonts w:cs="Arial" w:hint="cs"/>
          <w:rtl/>
        </w:rPr>
        <w:t>:</w:t>
      </w:r>
      <w:r w:rsidRPr="00246526">
        <w:rPr>
          <w:rFonts w:cs="Arial"/>
          <w:rtl/>
        </w:rPr>
        <w:t xml:space="preserve"> מסתברא שאם אמר להם שיכתבו גט לארוסתו שבאושקה ולא אמר להם שיכתבו בו דהוית אנתתי אלא שהם טעו וכתבו כן </w:t>
      </w:r>
      <w:r>
        <w:rPr>
          <w:rFonts w:cs="Arial" w:hint="cs"/>
          <w:rtl/>
        </w:rPr>
        <w:t xml:space="preserve">- </w:t>
      </w:r>
      <w:r w:rsidRPr="00246526">
        <w:rPr>
          <w:rFonts w:cs="Arial"/>
          <w:rtl/>
        </w:rPr>
        <w:t>הגט כשר. ואין זה כשנה שמו ושמה, דארוסתו זו אשתו, והראיה מאותה שאמרת הרי את אשתי הרי זו מקודשת. ואין אשתי כנשואתי, שאלו האומר הרי את נשואתי לא שמענו שתהא מקודשת, דלא תקרא נשואה עד שתבעל או עד שתכנס לחופה. ומכל מקום אם העדים רוצים לכתוב גט אחר מספק</w:t>
      </w:r>
      <w:r>
        <w:rPr>
          <w:rFonts w:cs="Arial" w:hint="cs"/>
          <w:rtl/>
        </w:rPr>
        <w:t xml:space="preserve"> -</w:t>
      </w:r>
      <w:r w:rsidRPr="00246526">
        <w:rPr>
          <w:rFonts w:cs="Arial"/>
          <w:rtl/>
        </w:rPr>
        <w:t xml:space="preserve"> יכולין ואין צריכין ליטול רשות מהבעל, וכההיא דנפאתא וטפאתא, שהבעל צוה לכתוב גט כשר. ומיהו אם יכתבו גט אחר, צריך שיתנו לה את שניהם ותתגרש בכשר שבהם ממה נפשך. אבל לא השני לבדו, שאם תמצא לומר שהראשון כשר, כבר עשו הסופר והעדים שליחותם ואינן יכולין לעשות שליחות אחרת. ועוד צריך אתה לדעת, שאם נתן המגרש את הראשון מידו ליד אבי הנערה להוליכו לבתו, שוב אין יכולין לכתוב גט אחר, דבזה נתרצה לעשותו שליח ולגרש בו ולא באחר</w:t>
      </w:r>
      <w:r>
        <w:rPr>
          <w:rFonts w:cs="Arial" w:hint="cs"/>
          <w:rtl/>
        </w:rPr>
        <w:t>.</w:t>
      </w:r>
    </w:p>
  </w:footnote>
  <w:footnote w:id="357">
    <w:p w14:paraId="6111D130" w14:textId="7AAD02BB" w:rsidR="004A6A1A" w:rsidRDefault="004A6A1A" w:rsidP="004A6A1A">
      <w:pPr>
        <w:pStyle w:val="a5"/>
      </w:pPr>
      <w:r>
        <w:rPr>
          <w:rStyle w:val="a7"/>
        </w:rPr>
        <w:footnoteRef/>
      </w:r>
      <w:r>
        <w:rPr>
          <w:rtl/>
        </w:rPr>
        <w:t xml:space="preserve"> </w:t>
      </w:r>
      <w:r>
        <w:rPr>
          <w:rFonts w:cs="Arial" w:hint="cs"/>
          <w:rtl/>
        </w:rPr>
        <w:t xml:space="preserve">ובמיוחסות (סי' קמה) כתוב כן לגבי השליח, והוסיף עוד דין בזה, </w:t>
      </w:r>
      <w:r w:rsidR="000A0F5A">
        <w:rPr>
          <w:rFonts w:cs="Arial" w:hint="cs"/>
          <w:rtl/>
        </w:rPr>
        <w:t>וז</w:t>
      </w:r>
      <w:r w:rsidR="000A0F5A">
        <w:rPr>
          <w:rFonts w:cs="Arial"/>
          <w:rtl/>
        </w:rPr>
        <w:t>"</w:t>
      </w:r>
      <w:r w:rsidR="000A0F5A">
        <w:rPr>
          <w:rFonts w:cs="Arial" w:hint="cs"/>
          <w:rtl/>
        </w:rPr>
        <w:t>ל:</w:t>
      </w:r>
      <w:r>
        <w:rPr>
          <w:rFonts w:cs="Arial" w:hint="cs"/>
          <w:rtl/>
        </w:rPr>
        <w:t xml:space="preserve"> </w:t>
      </w:r>
      <w:r>
        <w:rPr>
          <w:rFonts w:cs="Arial"/>
          <w:rtl/>
        </w:rPr>
        <w:t>ומה ששאלת אם יש תקנה בהחזרת השליח לסופר ויכתוב לו אחר</w:t>
      </w:r>
      <w:r>
        <w:rPr>
          <w:rFonts w:cs="Arial" w:hint="cs"/>
          <w:rtl/>
        </w:rPr>
        <w:t xml:space="preserve"> -</w:t>
      </w:r>
      <w:r>
        <w:rPr>
          <w:rFonts w:cs="Arial"/>
          <w:rtl/>
        </w:rPr>
        <w:t xml:space="preserve"> דבר ברור הוא שיכול לעשות כן</w:t>
      </w:r>
      <w:r>
        <w:rPr>
          <w:rFonts w:cs="Arial" w:hint="cs"/>
          <w:rtl/>
        </w:rPr>
        <w:t>,</w:t>
      </w:r>
      <w:r>
        <w:rPr>
          <w:rFonts w:cs="Arial"/>
          <w:rtl/>
        </w:rPr>
        <w:t xml:space="preserve"> והסופר יכתוב לו אחר ולא ליכתוב פסול או מסופק</w:t>
      </w:r>
      <w:r>
        <w:rPr>
          <w:rFonts w:cs="Arial" w:hint="cs"/>
          <w:rtl/>
        </w:rPr>
        <w:t>.</w:t>
      </w:r>
      <w:r>
        <w:rPr>
          <w:rFonts w:cs="Arial"/>
          <w:rtl/>
        </w:rPr>
        <w:t xml:space="preserve"> והראיה מנפתא וטפתא</w:t>
      </w:r>
      <w:r>
        <w:rPr>
          <w:rFonts w:cs="Arial" w:hint="cs"/>
          <w:rtl/>
        </w:rPr>
        <w:t>.</w:t>
      </w:r>
      <w:r>
        <w:rPr>
          <w:rFonts w:cs="Arial"/>
          <w:rtl/>
        </w:rPr>
        <w:t xml:space="preserve"> והשליח יתן שניהם לאשה</w:t>
      </w:r>
      <w:r>
        <w:rPr>
          <w:rFonts w:cs="Arial" w:hint="cs"/>
          <w:rtl/>
        </w:rPr>
        <w:t xml:space="preserve">... </w:t>
      </w:r>
      <w:r>
        <w:rPr>
          <w:rFonts w:cs="Arial"/>
          <w:rtl/>
        </w:rPr>
        <w:t>ולא אמרתי זה אלא כשעשה הבעל שליח על גט סתם</w:t>
      </w:r>
      <w:r>
        <w:rPr>
          <w:rFonts w:cs="Arial" w:hint="cs"/>
          <w:rtl/>
        </w:rPr>
        <w:t>,</w:t>
      </w:r>
      <w:r>
        <w:rPr>
          <w:rFonts w:cs="Arial"/>
          <w:rtl/>
        </w:rPr>
        <w:t xml:space="preserve"> אבל אם עשאו שליח על גט זה הראשון שוב אין לסופר ולעדים לכתוב גט אחר ולא לשליח גם כן להוליך גט אחר אא</w:t>
      </w:r>
      <w:r>
        <w:rPr>
          <w:rFonts w:cs="Arial" w:hint="cs"/>
          <w:rtl/>
        </w:rPr>
        <w:t>"</w:t>
      </w:r>
      <w:r>
        <w:rPr>
          <w:rFonts w:cs="Arial"/>
          <w:rtl/>
        </w:rPr>
        <w:t>כ מדעת בעלה</w:t>
      </w:r>
      <w:r>
        <w:rPr>
          <w:rFonts w:cs="Arial" w:hint="cs"/>
          <w:rtl/>
        </w:rPr>
        <w:t>.</w:t>
      </w:r>
      <w:r>
        <w:rPr>
          <w:rFonts w:hint="cs"/>
          <w:rtl/>
        </w:rPr>
        <w:t xml:space="preserve"> עכ"ל.</w:t>
      </w:r>
      <w:r w:rsidR="00FE0908" w:rsidRPr="00FE0908">
        <w:rPr>
          <w:rFonts w:hint="cs"/>
          <w:color w:val="00B0F0"/>
          <w:rtl/>
        </w:rPr>
        <w:t xml:space="preserve"> </w:t>
      </w:r>
      <w:r w:rsidR="00FE0908" w:rsidRPr="008846B3">
        <w:rPr>
          <w:rFonts w:hint="cs"/>
          <w:color w:val="00B0F0"/>
          <w:rtl/>
        </w:rPr>
        <w:t>(וכ"</w:t>
      </w:r>
      <w:r w:rsidR="00FE0908">
        <w:rPr>
          <w:rFonts w:hint="cs"/>
          <w:color w:val="00B0F0"/>
          <w:rtl/>
        </w:rPr>
        <w:t>פ</w:t>
      </w:r>
      <w:r w:rsidR="00FE0908" w:rsidRPr="008846B3">
        <w:rPr>
          <w:rFonts w:hint="cs"/>
          <w:color w:val="00B0F0"/>
          <w:rtl/>
        </w:rPr>
        <w:t xml:space="preserve"> הרמ"א</w:t>
      </w:r>
      <w:r w:rsidR="00FE0908">
        <w:rPr>
          <w:rFonts w:hint="cs"/>
          <w:color w:val="00B0F0"/>
          <w:sz w:val="16"/>
          <w:szCs w:val="16"/>
          <w:rtl/>
        </w:rPr>
        <w:t xml:space="preserve"> </w:t>
      </w:r>
      <w:r w:rsidR="00FE0908" w:rsidRPr="00FE0908">
        <w:rPr>
          <w:rFonts w:hint="cs"/>
          <w:color w:val="000000" w:themeColor="text1"/>
          <w:sz w:val="16"/>
          <w:szCs w:val="16"/>
          <w:rtl/>
        </w:rPr>
        <w:t>[</w:t>
      </w:r>
      <w:r w:rsidR="00FE0908">
        <w:rPr>
          <w:rFonts w:hint="cs"/>
          <w:color w:val="000000" w:themeColor="text1"/>
          <w:sz w:val="16"/>
          <w:szCs w:val="16"/>
          <w:rtl/>
        </w:rPr>
        <w:t>בסע' ב</w:t>
      </w:r>
      <w:r w:rsidR="00FE0908" w:rsidRPr="00FE0908">
        <w:rPr>
          <w:rFonts w:hint="cs"/>
          <w:color w:val="000000" w:themeColor="text1"/>
          <w:sz w:val="16"/>
          <w:szCs w:val="16"/>
          <w:rtl/>
        </w:rPr>
        <w:t>]</w:t>
      </w:r>
      <w:r w:rsidR="00FE0908" w:rsidRPr="008846B3">
        <w:rPr>
          <w:rFonts w:hint="cs"/>
          <w:color w:val="00B0F0"/>
          <w:rtl/>
        </w:rPr>
        <w:t>)</w:t>
      </w:r>
      <w:r w:rsidR="00FE0908">
        <w:rPr>
          <w:rFonts w:hint="cs"/>
          <w:rtl/>
        </w:rPr>
        <w:t xml:space="preserve">. </w:t>
      </w:r>
      <w:r>
        <w:rPr>
          <w:rFonts w:hint="cs"/>
          <w:rtl/>
        </w:rPr>
        <w:t>וכתב הדרכ"מ (אות ב)</w:t>
      </w:r>
      <w:r w:rsidRPr="005677E8">
        <w:rPr>
          <w:rFonts w:cs="Arial"/>
          <w:rtl/>
        </w:rPr>
        <w:t xml:space="preserve"> </w:t>
      </w:r>
      <w:r>
        <w:rPr>
          <w:rFonts w:cs="Arial" w:hint="cs"/>
          <w:rtl/>
        </w:rPr>
        <w:t xml:space="preserve">דלפי מה שכתוב לקמן לגבי סופר </w:t>
      </w:r>
      <w:r w:rsidRPr="00400EED">
        <w:rPr>
          <w:rFonts w:cs="Arial"/>
          <w:rtl/>
        </w:rPr>
        <w:t>נראה דדין השליח כדין הסופר ויכול הבעל לומר לו מתחלה להוליך כל כך גיטין עד שיהא אחד מהן כשר לדעת הרב</w:t>
      </w:r>
      <w:r>
        <w:rPr>
          <w:rFonts w:cs="Arial" w:hint="cs"/>
          <w:rtl/>
        </w:rPr>
        <w:t>.</w:t>
      </w:r>
    </w:p>
  </w:footnote>
  <w:footnote w:id="358">
    <w:p w14:paraId="00F5B529" w14:textId="26B5F710" w:rsidR="00291B05" w:rsidRDefault="00291B05" w:rsidP="00291B05">
      <w:pPr>
        <w:pStyle w:val="a5"/>
        <w:rPr>
          <w:rtl/>
        </w:rPr>
      </w:pPr>
      <w:r>
        <w:rPr>
          <w:rStyle w:val="a7"/>
        </w:rPr>
        <w:footnoteRef/>
      </w:r>
      <w:r>
        <w:rPr>
          <w:rtl/>
        </w:rPr>
        <w:t xml:space="preserve"> </w:t>
      </w:r>
      <w:r w:rsidRPr="00400EED">
        <w:rPr>
          <w:rFonts w:cs="Arial"/>
          <w:rtl/>
        </w:rPr>
        <w:t>ונראה דדין השליח כדין הסופר ויכול הבעל לומר לו מתחלה להוליך כל כך גיטין עד שיהא אחד מהן כשר לדעת</w:t>
      </w:r>
      <w:r>
        <w:rPr>
          <w:rFonts w:cs="Arial" w:hint="cs"/>
          <w:rtl/>
        </w:rPr>
        <w:t xml:space="preserve"> הרב, דרכ"מ (אות ב).</w:t>
      </w:r>
    </w:p>
  </w:footnote>
  <w:footnote w:id="359">
    <w:p w14:paraId="0BDF648E" w14:textId="5E0C19F5" w:rsidR="00882BD6" w:rsidRDefault="00882BD6">
      <w:pPr>
        <w:pStyle w:val="a5"/>
      </w:pPr>
      <w:r>
        <w:rPr>
          <w:rStyle w:val="a7"/>
        </w:rPr>
        <w:footnoteRef/>
      </w:r>
      <w:r>
        <w:rPr>
          <w:rtl/>
        </w:rPr>
        <w:t xml:space="preserve"> </w:t>
      </w:r>
      <w:r w:rsidRPr="00E04596">
        <w:rPr>
          <w:rFonts w:cs="Arial"/>
          <w:rtl/>
        </w:rPr>
        <w:t>או לדעת הרב שבעיר</w:t>
      </w:r>
      <w:r>
        <w:rPr>
          <w:rFonts w:cs="Arial" w:hint="cs"/>
          <w:rtl/>
        </w:rPr>
        <w:t xml:space="preserve">, תרומה </w:t>
      </w:r>
      <w:r w:rsidRPr="00882BD6">
        <w:rPr>
          <w:rFonts w:cs="Arial" w:hint="cs"/>
          <w:sz w:val="16"/>
          <w:szCs w:val="16"/>
          <w:rtl/>
        </w:rPr>
        <w:t>(שם)</w:t>
      </w:r>
      <w:r>
        <w:rPr>
          <w:rFonts w:cs="Arial" w:hint="cs"/>
          <w:rtl/>
        </w:rPr>
        <w:t xml:space="preserve"> סמ"ג </w:t>
      </w:r>
      <w:r w:rsidRPr="00882BD6">
        <w:rPr>
          <w:rFonts w:cs="Arial" w:hint="cs"/>
          <w:sz w:val="16"/>
          <w:szCs w:val="16"/>
          <w:rtl/>
        </w:rPr>
        <w:t>(שם)</w:t>
      </w:r>
      <w:r>
        <w:rPr>
          <w:rFonts w:cs="Arial" w:hint="cs"/>
          <w:sz w:val="16"/>
          <w:szCs w:val="16"/>
          <w:rtl/>
        </w:rPr>
        <w:t xml:space="preserve"> </w:t>
      </w:r>
      <w:r>
        <w:rPr>
          <w:rFonts w:cs="Arial" w:hint="cs"/>
          <w:rtl/>
        </w:rPr>
        <w:t xml:space="preserve">והגה"מ </w:t>
      </w:r>
      <w:r w:rsidRPr="00882BD6">
        <w:rPr>
          <w:rFonts w:cs="Arial" w:hint="cs"/>
          <w:sz w:val="16"/>
          <w:szCs w:val="16"/>
          <w:rtl/>
        </w:rPr>
        <w:t>(שם)</w:t>
      </w:r>
      <w:r>
        <w:rPr>
          <w:rFonts w:cs="Arial" w:hint="cs"/>
          <w:rtl/>
        </w:rPr>
        <w:t>.</w:t>
      </w:r>
      <w:r w:rsidRPr="00882BD6">
        <w:rPr>
          <w:rFonts w:cs="Arial" w:hint="cs"/>
          <w:rtl/>
        </w:rPr>
        <w:t xml:space="preserve"> </w:t>
      </w:r>
      <w:r>
        <w:rPr>
          <w:rFonts w:cs="Arial" w:hint="cs"/>
          <w:rtl/>
        </w:rPr>
        <w:t>וכתוב בתרוה"ד</w:t>
      </w:r>
      <w:r w:rsidRPr="00E04596">
        <w:rPr>
          <w:rFonts w:cs="Arial"/>
          <w:rtl/>
        </w:rPr>
        <w:t xml:space="preserve"> </w:t>
      </w:r>
      <w:r>
        <w:rPr>
          <w:rFonts w:cs="Arial" w:hint="cs"/>
          <w:sz w:val="16"/>
          <w:szCs w:val="16"/>
          <w:rtl/>
        </w:rPr>
        <w:t>(</w:t>
      </w:r>
      <w:r w:rsidRPr="00CA37AD">
        <w:rPr>
          <w:rFonts w:cs="Arial"/>
          <w:sz w:val="16"/>
          <w:szCs w:val="16"/>
          <w:rtl/>
        </w:rPr>
        <w:t>סי</w:t>
      </w:r>
      <w:r w:rsidRPr="00CA37AD">
        <w:rPr>
          <w:rFonts w:cs="Arial" w:hint="cs"/>
          <w:sz w:val="16"/>
          <w:szCs w:val="16"/>
          <w:rtl/>
        </w:rPr>
        <w:t>'</w:t>
      </w:r>
      <w:r w:rsidRPr="00CA37AD">
        <w:rPr>
          <w:rFonts w:cs="Arial"/>
          <w:sz w:val="16"/>
          <w:szCs w:val="16"/>
          <w:rtl/>
        </w:rPr>
        <w:t xml:space="preserve"> לח</w:t>
      </w:r>
      <w:r w:rsidRPr="00CA37AD">
        <w:rPr>
          <w:rFonts w:cs="Arial" w:hint="cs"/>
          <w:sz w:val="16"/>
          <w:szCs w:val="16"/>
          <w:rtl/>
        </w:rPr>
        <w:t>)</w:t>
      </w:r>
      <w:r>
        <w:rPr>
          <w:rFonts w:cs="Arial" w:hint="cs"/>
          <w:rtl/>
        </w:rPr>
        <w:t>-</w:t>
      </w:r>
      <w:r w:rsidRPr="00E04596">
        <w:rPr>
          <w:rFonts w:cs="Arial"/>
          <w:rtl/>
        </w:rPr>
        <w:t xml:space="preserve"> מורי הגאון היה מדקדק לומר </w:t>
      </w:r>
      <w:r>
        <w:rPr>
          <w:rFonts w:cs="Arial" w:hint="cs"/>
          <w:rtl/>
        </w:rPr>
        <w:t>'</w:t>
      </w:r>
      <w:r w:rsidRPr="00E04596">
        <w:rPr>
          <w:rFonts w:cs="Arial"/>
          <w:rtl/>
        </w:rPr>
        <w:t>עד שיהיה כשר לדעתו בין בכתיבה ובין בחתימה</w:t>
      </w:r>
      <w:r>
        <w:rPr>
          <w:rFonts w:cs="Arial" w:hint="cs"/>
          <w:rtl/>
        </w:rPr>
        <w:t>'.</w:t>
      </w:r>
      <w:r w:rsidRPr="00E04596">
        <w:rPr>
          <w:rFonts w:cs="Arial"/>
          <w:rtl/>
        </w:rPr>
        <w:t xml:space="preserve"> שאם יאמר בכתיבה לחודיה</w:t>
      </w:r>
      <w:r>
        <w:rPr>
          <w:rFonts w:cs="Arial" w:hint="cs"/>
          <w:rtl/>
        </w:rPr>
        <w:t>,</w:t>
      </w:r>
      <w:r w:rsidRPr="00E04596">
        <w:rPr>
          <w:rFonts w:cs="Arial"/>
          <w:rtl/>
        </w:rPr>
        <w:t xml:space="preserve"> אולי יהיה שום ספק בחתימה ואז עשה סופר שליחותו.</w:t>
      </w:r>
    </w:p>
  </w:footnote>
  <w:footnote w:id="360">
    <w:p w14:paraId="28933A7B" w14:textId="77777777" w:rsidR="00882BD6" w:rsidRDefault="00882BD6" w:rsidP="00882BD6">
      <w:pPr>
        <w:pStyle w:val="a5"/>
      </w:pPr>
      <w:r>
        <w:rPr>
          <w:rStyle w:val="a7"/>
        </w:rPr>
        <w:footnoteRef/>
      </w:r>
      <w:r>
        <w:rPr>
          <w:rtl/>
        </w:rPr>
        <w:t xml:space="preserve"> </w:t>
      </w:r>
      <w:r>
        <w:rPr>
          <w:rFonts w:cs="Arial" w:hint="cs"/>
          <w:rtl/>
        </w:rPr>
        <w:t xml:space="preserve">וכ"כ </w:t>
      </w:r>
      <w:r w:rsidRPr="00E04596">
        <w:rPr>
          <w:rFonts w:cs="Arial"/>
          <w:rtl/>
        </w:rPr>
        <w:t>ספר התר</w:t>
      </w:r>
      <w:r w:rsidRPr="00E04596">
        <w:rPr>
          <w:rFonts w:cs="Arial" w:hint="cs"/>
          <w:rtl/>
        </w:rPr>
        <w:t>ומה</w:t>
      </w:r>
      <w:r w:rsidRPr="00E04596">
        <w:rPr>
          <w:rFonts w:cs="Arial"/>
          <w:rtl/>
        </w:rPr>
        <w:t xml:space="preserve"> </w:t>
      </w:r>
      <w:r w:rsidRPr="00E04596">
        <w:rPr>
          <w:rFonts w:cs="Arial"/>
          <w:sz w:val="16"/>
          <w:szCs w:val="16"/>
          <w:rtl/>
        </w:rPr>
        <w:t xml:space="preserve">(סי' קיח) </w:t>
      </w:r>
      <w:r w:rsidRPr="00E04596">
        <w:rPr>
          <w:rFonts w:cs="Arial"/>
          <w:rtl/>
        </w:rPr>
        <w:t xml:space="preserve">סמ"ג </w:t>
      </w:r>
      <w:r w:rsidRPr="00E04596">
        <w:rPr>
          <w:rFonts w:cs="Arial"/>
          <w:sz w:val="16"/>
          <w:szCs w:val="16"/>
          <w:rtl/>
        </w:rPr>
        <w:t xml:space="preserve">(עשין נ קכט סוף ע"ד) </w:t>
      </w:r>
      <w:r w:rsidRPr="00E04596">
        <w:rPr>
          <w:rFonts w:cs="Arial" w:hint="cs"/>
          <w:rtl/>
        </w:rPr>
        <w:t>ו</w:t>
      </w:r>
      <w:r w:rsidRPr="00E04596">
        <w:rPr>
          <w:rFonts w:cs="Arial"/>
          <w:rtl/>
        </w:rPr>
        <w:t>הגה</w:t>
      </w:r>
      <w:r w:rsidRPr="00E04596">
        <w:rPr>
          <w:rFonts w:cs="Arial" w:hint="cs"/>
          <w:rtl/>
        </w:rPr>
        <w:t>"</w:t>
      </w:r>
      <w:r w:rsidRPr="00E04596">
        <w:rPr>
          <w:rFonts w:cs="Arial"/>
          <w:rtl/>
        </w:rPr>
        <w:t>מ</w:t>
      </w:r>
      <w:r w:rsidRPr="00E04596">
        <w:rPr>
          <w:rFonts w:cs="Arial"/>
          <w:sz w:val="16"/>
          <w:szCs w:val="16"/>
          <w:rtl/>
        </w:rPr>
        <w:t xml:space="preserve"> </w:t>
      </w:r>
      <w:r w:rsidRPr="00E04596">
        <w:rPr>
          <w:rFonts w:cs="Arial" w:hint="cs"/>
          <w:sz w:val="16"/>
          <w:szCs w:val="16"/>
          <w:rtl/>
        </w:rPr>
        <w:t>(</w:t>
      </w:r>
      <w:r w:rsidRPr="00E04596">
        <w:rPr>
          <w:rFonts w:cs="Arial"/>
          <w:sz w:val="16"/>
          <w:szCs w:val="16"/>
          <w:rtl/>
        </w:rPr>
        <w:t>פ</w:t>
      </w:r>
      <w:r w:rsidRPr="00E04596">
        <w:rPr>
          <w:rFonts w:cs="Arial" w:hint="cs"/>
          <w:sz w:val="16"/>
          <w:szCs w:val="16"/>
          <w:rtl/>
        </w:rPr>
        <w:t>"</w:t>
      </w:r>
      <w:r w:rsidRPr="00E04596">
        <w:rPr>
          <w:rFonts w:cs="Arial"/>
          <w:sz w:val="16"/>
          <w:szCs w:val="16"/>
          <w:rtl/>
        </w:rPr>
        <w:t>ב אות ה)</w:t>
      </w:r>
      <w:r>
        <w:rPr>
          <w:rFonts w:cs="Arial" w:hint="cs"/>
          <w:rtl/>
        </w:rPr>
        <w:t>.</w:t>
      </w:r>
      <w:r>
        <w:rPr>
          <w:rFonts w:hint="cs"/>
          <w:rtl/>
        </w:rPr>
        <w:t xml:space="preserve"> וכתב ספר התרומה שיאמר הבעל גם- </w:t>
      </w:r>
      <w:r>
        <w:rPr>
          <w:rFonts w:cs="Arial" w:hint="cs"/>
          <w:rtl/>
        </w:rPr>
        <w:t>'</w:t>
      </w:r>
      <w:r w:rsidRPr="00A93A08">
        <w:rPr>
          <w:rFonts w:cs="Arial"/>
          <w:rtl/>
        </w:rPr>
        <w:t>ואם חפץ לעשות הרבה גיטין מחמת ספק וליתנן כולן שתוכל לעשות</w:t>
      </w:r>
      <w:r>
        <w:rPr>
          <w:rFonts w:cs="Arial" w:hint="cs"/>
          <w:rtl/>
        </w:rPr>
        <w:t>'.</w:t>
      </w:r>
    </w:p>
  </w:footnote>
  <w:footnote w:id="361">
    <w:p w14:paraId="2947E3D9" w14:textId="1B22B7D4" w:rsidR="00E10517" w:rsidRDefault="00E10517">
      <w:pPr>
        <w:pStyle w:val="a5"/>
        <w:rPr>
          <w:rtl/>
        </w:rPr>
      </w:pPr>
      <w:r>
        <w:rPr>
          <w:rStyle w:val="a7"/>
        </w:rPr>
        <w:footnoteRef/>
      </w:r>
      <w:r>
        <w:rPr>
          <w:rtl/>
        </w:rPr>
        <w:t xml:space="preserve"> </w:t>
      </w:r>
      <w:r w:rsidRPr="00E04596">
        <w:rPr>
          <w:rFonts w:cs="Arial"/>
          <w:rtl/>
        </w:rPr>
        <w:t xml:space="preserve">גם הכלבו (סי' עו) כתב דיש מגמגמים על דברי ר"י. </w:t>
      </w:r>
      <w:r w:rsidRPr="00E10517">
        <w:rPr>
          <w:rFonts w:cs="Arial"/>
          <w:rtl/>
        </w:rPr>
        <w:t xml:space="preserve">גם </w:t>
      </w:r>
      <w:r w:rsidR="009334FF">
        <w:rPr>
          <w:rFonts w:cs="Arial"/>
          <w:rtl/>
        </w:rPr>
        <w:t>ב</w:t>
      </w:r>
      <w:r w:rsidR="00DB737E">
        <w:rPr>
          <w:rFonts w:cs="Arial"/>
          <w:rtl/>
        </w:rPr>
        <w:t>הגהות</w:t>
      </w:r>
      <w:r w:rsidRPr="00E10517">
        <w:rPr>
          <w:rFonts w:cs="Arial"/>
          <w:rtl/>
        </w:rPr>
        <w:t xml:space="preserve"> מרדכי (סי' תסה) כתב דברי ר"י קלצון</w:t>
      </w:r>
      <w:r w:rsidRPr="00E10517">
        <w:rPr>
          <w:rFonts w:cs="Arial" w:hint="cs"/>
          <w:rtl/>
        </w:rPr>
        <w:t>,</w:t>
      </w:r>
      <w:r w:rsidRPr="00E10517">
        <w:rPr>
          <w:rFonts w:cs="Arial"/>
          <w:rtl/>
        </w:rPr>
        <w:t xml:space="preserve"> ואח</w:t>
      </w:r>
      <w:r w:rsidRPr="00E10517">
        <w:rPr>
          <w:rFonts w:cs="Arial" w:hint="cs"/>
          <w:rtl/>
        </w:rPr>
        <w:t>"</w:t>
      </w:r>
      <w:r w:rsidRPr="00E10517">
        <w:rPr>
          <w:rFonts w:cs="Arial"/>
          <w:rtl/>
        </w:rPr>
        <w:t xml:space="preserve">כ כתב </w:t>
      </w:r>
      <w:r w:rsidR="009334FF">
        <w:rPr>
          <w:rFonts w:cs="Arial"/>
          <w:rtl/>
        </w:rPr>
        <w:t>בהג"ה</w:t>
      </w:r>
      <w:r w:rsidRPr="00E10517">
        <w:rPr>
          <w:rFonts w:cs="Arial"/>
          <w:rtl/>
        </w:rPr>
        <w:t>ה ומיהו נהגו כפירוש ר"י [עכ"ל]</w:t>
      </w:r>
      <w:r>
        <w:rPr>
          <w:rFonts w:cs="Arial" w:hint="cs"/>
          <w:rtl/>
        </w:rPr>
        <w:t>, ב"י</w:t>
      </w:r>
      <w:r w:rsidRPr="00E10517">
        <w:rPr>
          <w:rFonts w:cs="Arial"/>
          <w:rtl/>
        </w:rPr>
        <w:t>.</w:t>
      </w:r>
    </w:p>
  </w:footnote>
  <w:footnote w:id="362">
    <w:p w14:paraId="506D0234" w14:textId="0CEC3DA3" w:rsidR="00795A90" w:rsidRDefault="00795A90" w:rsidP="00795A90">
      <w:pPr>
        <w:pStyle w:val="a5"/>
        <w:rPr>
          <w:rtl/>
        </w:rPr>
      </w:pPr>
      <w:r>
        <w:rPr>
          <w:rStyle w:val="a7"/>
        </w:rPr>
        <w:footnoteRef/>
      </w:r>
      <w:r>
        <w:rPr>
          <w:rtl/>
        </w:rPr>
        <w:t xml:space="preserve"> </w:t>
      </w:r>
      <w:r w:rsidRPr="00400EED">
        <w:rPr>
          <w:rFonts w:cs="Arial"/>
          <w:rtl/>
        </w:rPr>
        <w:t>וכן הוא בסדר גיטין שלנו (מהר"י מרגלית סי' י ס"ב) שצריך הבעל לחזור ולצוות לכתוב ולחתום ולהקנות הקלף והדיו וכלי הכתיבה אם אין נשאר מן הקלף והדיו והכלים הראשונים שהקנה לו תחלה</w:t>
      </w:r>
      <w:r w:rsidR="008F43EB">
        <w:rPr>
          <w:rFonts w:cs="Arial" w:hint="cs"/>
          <w:rtl/>
        </w:rPr>
        <w:t>, דרכ"מ (אות א).</w:t>
      </w:r>
    </w:p>
  </w:footnote>
  <w:footnote w:id="363">
    <w:p w14:paraId="5B23BC49" w14:textId="0151E5AF" w:rsidR="00F95936" w:rsidRDefault="00F95936">
      <w:pPr>
        <w:pStyle w:val="a5"/>
      </w:pPr>
      <w:r>
        <w:rPr>
          <w:rStyle w:val="a7"/>
        </w:rPr>
        <w:footnoteRef/>
      </w:r>
      <w:r>
        <w:rPr>
          <w:rtl/>
        </w:rPr>
        <w:t xml:space="preserve"> </w:t>
      </w:r>
      <w:r w:rsidRPr="00F95936">
        <w:rPr>
          <w:rFonts w:cs="Arial"/>
          <w:rtl/>
        </w:rPr>
        <w:t>עיין תשובת רשב"ץ ומשמע דלא הכריע כן אלא למ"ד ע</w:t>
      </w:r>
      <w:r>
        <w:rPr>
          <w:rFonts w:cs="Arial" w:hint="cs"/>
          <w:rtl/>
        </w:rPr>
        <w:t xml:space="preserve">די </w:t>
      </w:r>
      <w:r w:rsidRPr="00F95936">
        <w:rPr>
          <w:rFonts w:cs="Arial"/>
          <w:rtl/>
        </w:rPr>
        <w:t>ח</w:t>
      </w:r>
      <w:r>
        <w:rPr>
          <w:rFonts w:cs="Arial" w:hint="cs"/>
          <w:rtl/>
        </w:rPr>
        <w:t>תימה</w:t>
      </w:r>
      <w:r w:rsidRPr="00F95936">
        <w:rPr>
          <w:rFonts w:cs="Arial"/>
          <w:rtl/>
        </w:rPr>
        <w:t xml:space="preserve"> כרתי</w:t>
      </w:r>
      <w:r>
        <w:rPr>
          <w:rFonts w:cs="Arial" w:hint="cs"/>
          <w:rtl/>
        </w:rPr>
        <w:t>.</w:t>
      </w:r>
      <w:r w:rsidRPr="00F95936">
        <w:rPr>
          <w:rFonts w:cs="Arial"/>
          <w:rtl/>
        </w:rPr>
        <w:t xml:space="preserve"> אבל למ"ד ע</w:t>
      </w:r>
      <w:r>
        <w:rPr>
          <w:rFonts w:cs="Arial" w:hint="cs"/>
          <w:rtl/>
        </w:rPr>
        <w:t xml:space="preserve">די </w:t>
      </w:r>
      <w:r w:rsidRPr="00F95936">
        <w:rPr>
          <w:rFonts w:cs="Arial"/>
          <w:rtl/>
        </w:rPr>
        <w:t>מ</w:t>
      </w:r>
      <w:r>
        <w:rPr>
          <w:rFonts w:cs="Arial" w:hint="cs"/>
          <w:rtl/>
        </w:rPr>
        <w:t>סירה</w:t>
      </w:r>
      <w:r w:rsidRPr="00F95936">
        <w:rPr>
          <w:rFonts w:cs="Arial"/>
          <w:rtl/>
        </w:rPr>
        <w:t xml:space="preserve"> כרתי כבר עשה הסופר שליחותו</w:t>
      </w:r>
      <w:r>
        <w:rPr>
          <w:rFonts w:cs="Arial" w:hint="cs"/>
          <w:rtl/>
        </w:rPr>
        <w:t>,</w:t>
      </w:r>
      <w:r w:rsidRPr="00F95936">
        <w:rPr>
          <w:rFonts w:cs="Arial"/>
          <w:rtl/>
        </w:rPr>
        <w:t xml:space="preserve"> כן מצאתי כתוב</w:t>
      </w:r>
      <w:r>
        <w:rPr>
          <w:rFonts w:cs="Arial" w:hint="cs"/>
          <w:rtl/>
        </w:rPr>
        <w:t>,</w:t>
      </w:r>
      <w:r w:rsidRPr="00F95936">
        <w:rPr>
          <w:rFonts w:cs="Arial"/>
          <w:rtl/>
        </w:rPr>
        <w:t xml:space="preserve"> וכן ראיתי בט"ז</w:t>
      </w:r>
      <w:r>
        <w:rPr>
          <w:rFonts w:cs="Arial" w:hint="cs"/>
          <w:rtl/>
        </w:rPr>
        <w:t>,</w:t>
      </w:r>
      <w:r w:rsidRPr="00F95936">
        <w:rPr>
          <w:rFonts w:cs="Arial"/>
          <w:rtl/>
        </w:rPr>
        <w:t xml:space="preserve"> ועיין בח"מ סימן מ"ט בסמ"ע</w:t>
      </w:r>
      <w:r>
        <w:rPr>
          <w:rFonts w:cs="Arial" w:hint="cs"/>
          <w:rtl/>
        </w:rPr>
        <w:t>.</w:t>
      </w:r>
      <w:r w:rsidRPr="00F95936">
        <w:rPr>
          <w:rFonts w:cs="Arial"/>
          <w:rtl/>
        </w:rPr>
        <w:t xml:space="preserve"> ולמ"ד ע</w:t>
      </w:r>
      <w:r>
        <w:rPr>
          <w:rFonts w:cs="Arial" w:hint="cs"/>
          <w:rtl/>
        </w:rPr>
        <w:t xml:space="preserve">די חתימה </w:t>
      </w:r>
      <w:r w:rsidRPr="00F95936">
        <w:rPr>
          <w:rFonts w:cs="Arial"/>
          <w:rtl/>
        </w:rPr>
        <w:t>כ</w:t>
      </w:r>
      <w:r>
        <w:rPr>
          <w:rFonts w:cs="Arial" w:hint="cs"/>
          <w:rtl/>
        </w:rPr>
        <w:t>רתי</w:t>
      </w:r>
      <w:r w:rsidRPr="00F95936">
        <w:rPr>
          <w:rFonts w:cs="Arial"/>
          <w:rtl/>
        </w:rPr>
        <w:t xml:space="preserve"> אפילו אם היה הגט כשר ולא חתמו העדים יכולים לכתוב גט אחר</w:t>
      </w:r>
      <w:r>
        <w:rPr>
          <w:rFonts w:cs="Arial" w:hint="cs"/>
          <w:rtl/>
        </w:rPr>
        <w:t>, ב"ש (סק"ו).</w:t>
      </w:r>
    </w:p>
  </w:footnote>
  <w:footnote w:id="364">
    <w:p w14:paraId="07DEBDC2" w14:textId="2A12A2C8" w:rsidR="00C17039" w:rsidRDefault="00C17039">
      <w:pPr>
        <w:pStyle w:val="a5"/>
      </w:pPr>
      <w:r>
        <w:rPr>
          <w:rStyle w:val="a7"/>
        </w:rPr>
        <w:footnoteRef/>
      </w:r>
      <w:r>
        <w:rPr>
          <w:rtl/>
        </w:rPr>
        <w:t xml:space="preserve"> </w:t>
      </w:r>
      <w:r w:rsidRPr="002867A9">
        <w:rPr>
          <w:rFonts w:cs="Arial"/>
          <w:rtl/>
        </w:rPr>
        <w:t>ועיין בס' תו"ג שתמה ע"ז דכיון שהוא כשר מה מזיק מה שתיקן הסופר מעצמו ומשך האותיות בחנם</w:t>
      </w:r>
      <w:r>
        <w:rPr>
          <w:rFonts w:cs="Arial" w:hint="cs"/>
          <w:rtl/>
        </w:rPr>
        <w:t>.</w:t>
      </w:r>
      <w:r w:rsidRPr="002867A9">
        <w:rPr>
          <w:rFonts w:cs="Arial"/>
          <w:rtl/>
        </w:rPr>
        <w:t xml:space="preserve"> וכ' לתרץ דודאי אם באמת הוא כשר גם בלא תיקון ודאי דיכול הסופר להמשיך האות ולייפותו אפי' בלא דעת הרב</w:t>
      </w:r>
      <w:r>
        <w:rPr>
          <w:rFonts w:cs="Arial" w:hint="cs"/>
          <w:rtl/>
        </w:rPr>
        <w:t>,</w:t>
      </w:r>
      <w:r w:rsidRPr="002867A9">
        <w:rPr>
          <w:rFonts w:cs="Arial"/>
          <w:rtl/>
        </w:rPr>
        <w:t xml:space="preserve"> רק דחיישינן שמא באמת הוא פסול בלא תיקון רק שהרב טעה באמרו שהוא כשר ואז אם הסופר מעצמו תיקן בלא רשות הרב לא מהני התיקון כי נתקן שלא בשליחות הבעל</w:t>
      </w:r>
      <w:r>
        <w:rPr>
          <w:rFonts w:cs="Arial" w:hint="cs"/>
          <w:rtl/>
        </w:rPr>
        <w:t>, פת"ש (סק"ח).</w:t>
      </w:r>
    </w:p>
  </w:footnote>
  <w:footnote w:id="365">
    <w:p w14:paraId="045CF01E" w14:textId="2E6242E2" w:rsidR="003F367C" w:rsidRDefault="003F367C">
      <w:pPr>
        <w:pStyle w:val="a5"/>
      </w:pPr>
      <w:r>
        <w:rPr>
          <w:rStyle w:val="a7"/>
        </w:rPr>
        <w:footnoteRef/>
      </w:r>
      <w:r>
        <w:rPr>
          <w:rtl/>
        </w:rPr>
        <w:t xml:space="preserve"> </w:t>
      </w:r>
      <w:r w:rsidRPr="003F367C">
        <w:rPr>
          <w:rFonts w:cs="Arial"/>
          <w:rtl/>
        </w:rPr>
        <w:t>ואז יכול למשוך האותיות בלי רשות הרב</w:t>
      </w:r>
      <w:r>
        <w:rPr>
          <w:rFonts w:cs="Arial" w:hint="cs"/>
          <w:rtl/>
        </w:rPr>
        <w:t>, ב"ש (סק"ג).</w:t>
      </w:r>
    </w:p>
  </w:footnote>
  <w:footnote w:id="366">
    <w:p w14:paraId="124D15CD" w14:textId="04DEF13A" w:rsidR="003F6669" w:rsidRDefault="003F6669">
      <w:pPr>
        <w:pStyle w:val="a5"/>
      </w:pPr>
      <w:r>
        <w:rPr>
          <w:rStyle w:val="a7"/>
        </w:rPr>
        <w:footnoteRef/>
      </w:r>
      <w:r>
        <w:rPr>
          <w:rtl/>
        </w:rPr>
        <w:t xml:space="preserve"> </w:t>
      </w:r>
      <w:r>
        <w:rPr>
          <w:rFonts w:cs="Arial" w:hint="cs"/>
          <w:rtl/>
        </w:rPr>
        <w:t>ו</w:t>
      </w:r>
      <w:r w:rsidRPr="002867A9">
        <w:rPr>
          <w:rFonts w:cs="Arial"/>
          <w:rtl/>
        </w:rPr>
        <w:t>אם נמצא גט הראשון אחר שכתבו השני נראה דיכולין לגרש באיזה גט שירצו דהא שניהם נכתבו בשליחות הבעל</w:t>
      </w:r>
      <w:r>
        <w:rPr>
          <w:rFonts w:cs="Arial" w:hint="cs"/>
          <w:rtl/>
        </w:rPr>
        <w:t>,</w:t>
      </w:r>
      <w:r w:rsidRPr="002867A9">
        <w:rPr>
          <w:rFonts w:cs="Arial"/>
          <w:rtl/>
        </w:rPr>
        <w:t xml:space="preserve"> מ"מ צ"ע אם ליתן גט השני</w:t>
      </w:r>
      <w:r>
        <w:rPr>
          <w:rFonts w:cs="Arial" w:hint="cs"/>
          <w:rtl/>
        </w:rPr>
        <w:t>,</w:t>
      </w:r>
      <w:r w:rsidRPr="002867A9">
        <w:rPr>
          <w:rFonts w:cs="Arial"/>
          <w:rtl/>
        </w:rPr>
        <w:t xml:space="preserve"> ויותר טוב לגרש בגט הראשון</w:t>
      </w:r>
      <w:r>
        <w:rPr>
          <w:rFonts w:cs="Arial" w:hint="cs"/>
          <w:rtl/>
        </w:rPr>
        <w:t>, תו"ג (כ"כ הפת"ש [סק"ג] בשמו).</w:t>
      </w:r>
    </w:p>
  </w:footnote>
  <w:footnote w:id="367">
    <w:p w14:paraId="5F4360C7" w14:textId="09AA179A" w:rsidR="00C27C61" w:rsidRDefault="00C27C61">
      <w:pPr>
        <w:pStyle w:val="a5"/>
      </w:pPr>
      <w:r>
        <w:rPr>
          <w:rStyle w:val="a7"/>
        </w:rPr>
        <w:footnoteRef/>
      </w:r>
      <w:r>
        <w:rPr>
          <w:rtl/>
        </w:rPr>
        <w:t xml:space="preserve"> </w:t>
      </w:r>
      <w:r w:rsidRPr="002867A9">
        <w:rPr>
          <w:rFonts w:cs="Arial"/>
          <w:rtl/>
        </w:rPr>
        <w:t>היינו מכח ממה נפשך כמ"ש הב"י</w:t>
      </w:r>
      <w:r>
        <w:rPr>
          <w:rFonts w:cs="Arial" w:hint="cs"/>
          <w:rtl/>
        </w:rPr>
        <w:t>.</w:t>
      </w:r>
      <w:r w:rsidRPr="002867A9">
        <w:rPr>
          <w:rFonts w:cs="Arial"/>
          <w:rtl/>
        </w:rPr>
        <w:t xml:space="preserve"> ועיין בס' ג"פ דבמקום שצריך מדינ</w:t>
      </w:r>
      <w:r>
        <w:rPr>
          <w:rFonts w:cs="Arial" w:hint="cs"/>
          <w:rtl/>
        </w:rPr>
        <w:t>א</w:t>
      </w:r>
      <w:r w:rsidRPr="002867A9">
        <w:rPr>
          <w:rFonts w:cs="Arial"/>
          <w:rtl/>
        </w:rPr>
        <w:t xml:space="preserve"> ב' גיטין כגון בספק שמות גרשום וגרשון צריך הבעל לומר הוי שלוחי לכתוב שני גיטין ואין לסמוך על הממ"נ</w:t>
      </w:r>
      <w:r>
        <w:rPr>
          <w:rFonts w:cs="Arial" w:hint="cs"/>
          <w:rtl/>
        </w:rPr>
        <w:t>,</w:t>
      </w:r>
      <w:r w:rsidRPr="002867A9">
        <w:rPr>
          <w:rFonts w:cs="Arial"/>
          <w:rtl/>
        </w:rPr>
        <w:t xml:space="preserve"> וכ"כ בס' תו"ג</w:t>
      </w:r>
      <w:r>
        <w:rPr>
          <w:rFonts w:cs="Arial" w:hint="cs"/>
          <w:rtl/>
        </w:rPr>
        <w:t>, פת"ש (סק"ו).</w:t>
      </w:r>
    </w:p>
  </w:footnote>
  <w:footnote w:id="368">
    <w:p w14:paraId="0897A638" w14:textId="2C0F4D0B" w:rsidR="003F367C" w:rsidRDefault="003F367C">
      <w:pPr>
        <w:pStyle w:val="a5"/>
      </w:pPr>
      <w:r>
        <w:rPr>
          <w:rStyle w:val="a7"/>
        </w:rPr>
        <w:footnoteRef/>
      </w:r>
      <w:r>
        <w:rPr>
          <w:rtl/>
        </w:rPr>
        <w:t xml:space="preserve"> </w:t>
      </w:r>
      <w:r w:rsidRPr="003F367C">
        <w:rPr>
          <w:rFonts w:cs="Arial"/>
          <w:rtl/>
        </w:rPr>
        <w:t xml:space="preserve">מיהו לקמן </w:t>
      </w:r>
      <w:r w:rsidR="007A7EA9">
        <w:rPr>
          <w:rFonts w:cs="Arial" w:hint="cs"/>
          <w:rtl/>
        </w:rPr>
        <w:t xml:space="preserve">(סי' קכט סקל"ח) </w:t>
      </w:r>
      <w:r w:rsidRPr="003F367C">
        <w:rPr>
          <w:rFonts w:cs="Arial"/>
          <w:rtl/>
        </w:rPr>
        <w:t>כתבתי כמה טעמים דאין ליתן שני גיטין אלא מדוחק</w:t>
      </w:r>
      <w:r>
        <w:rPr>
          <w:rFonts w:cs="Arial" w:hint="cs"/>
          <w:rtl/>
        </w:rPr>
        <w:t>.</w:t>
      </w:r>
      <w:r w:rsidRPr="003F367C">
        <w:rPr>
          <w:rFonts w:cs="Arial"/>
          <w:rtl/>
        </w:rPr>
        <w:t xml:space="preserve"> והיינו טעמא הפוסקים שכתבו טוב שיאמר הבעל להסופר שיכתוב מא' עד ק'</w:t>
      </w:r>
      <w:r>
        <w:rPr>
          <w:rFonts w:cs="Arial" w:hint="cs"/>
          <w:rtl/>
        </w:rPr>
        <w:t>,</w:t>
      </w:r>
      <w:r w:rsidRPr="003F367C">
        <w:rPr>
          <w:rFonts w:cs="Arial"/>
          <w:rtl/>
        </w:rPr>
        <w:t xml:space="preserve"> דס"ל בלא דוחק אין ליתן ב' גיטין</w:t>
      </w:r>
      <w:r>
        <w:rPr>
          <w:rFonts w:cs="Arial" w:hint="cs"/>
          <w:rtl/>
        </w:rPr>
        <w:t>.</w:t>
      </w:r>
      <w:r w:rsidRPr="003F367C">
        <w:rPr>
          <w:rFonts w:cs="Arial"/>
          <w:rtl/>
        </w:rPr>
        <w:t xml:space="preserve"> ולא כהב"י שכתב לשופרא דמלתא כתבו כן</w:t>
      </w:r>
      <w:r>
        <w:rPr>
          <w:rFonts w:cs="Arial" w:hint="cs"/>
          <w:rtl/>
        </w:rPr>
        <w:t xml:space="preserve">, </w:t>
      </w:r>
      <w:r w:rsidRPr="008F0AC4">
        <w:rPr>
          <w:rFonts w:cs="Arial" w:hint="cs"/>
          <w:b/>
          <w:bCs/>
          <w:rtl/>
        </w:rPr>
        <w:t>ב"ש</w:t>
      </w:r>
      <w:r>
        <w:rPr>
          <w:rFonts w:cs="Arial" w:hint="cs"/>
          <w:rtl/>
        </w:rPr>
        <w:t xml:space="preserve"> (סק"ב).</w:t>
      </w:r>
      <w:r w:rsidR="000346D8">
        <w:rPr>
          <w:rFonts w:cs="Arial" w:hint="cs"/>
          <w:rtl/>
        </w:rPr>
        <w:t xml:space="preserve"> </w:t>
      </w:r>
      <w:r w:rsidR="008F0AC4">
        <w:rPr>
          <w:rFonts w:cs="Arial" w:hint="cs"/>
          <w:rtl/>
        </w:rPr>
        <w:t xml:space="preserve">    </w:t>
      </w:r>
      <w:r w:rsidR="000346D8">
        <w:rPr>
          <w:rFonts w:cs="Arial" w:hint="cs"/>
          <w:rtl/>
        </w:rPr>
        <w:t xml:space="preserve">וגם </w:t>
      </w:r>
      <w:r w:rsidR="000346D8" w:rsidRPr="008F0AC4">
        <w:rPr>
          <w:rFonts w:cs="Arial" w:hint="cs"/>
          <w:b/>
          <w:bCs/>
          <w:rtl/>
        </w:rPr>
        <w:t>הט"ז</w:t>
      </w:r>
      <w:r w:rsidR="000346D8">
        <w:rPr>
          <w:rFonts w:cs="Arial" w:hint="cs"/>
          <w:rtl/>
        </w:rPr>
        <w:t xml:space="preserve"> (סק"ב) כתב בשם </w:t>
      </w:r>
      <w:r w:rsidR="000346D8" w:rsidRPr="000346D8">
        <w:rPr>
          <w:rFonts w:cs="Arial"/>
          <w:rtl/>
        </w:rPr>
        <w:t>קונטרס של סדר הגט שאין דעת</w:t>
      </w:r>
      <w:r w:rsidR="000346D8">
        <w:rPr>
          <w:rFonts w:cs="Arial" w:hint="cs"/>
          <w:rtl/>
        </w:rPr>
        <w:t xml:space="preserve"> </w:t>
      </w:r>
      <w:r w:rsidR="000346D8" w:rsidRPr="000346D8">
        <w:rPr>
          <w:rFonts w:cs="Arial"/>
          <w:rtl/>
        </w:rPr>
        <w:t>מהר"י סג"ל נוחה בנתינת ב' גיטין</w:t>
      </w:r>
      <w:r w:rsidR="000346D8">
        <w:rPr>
          <w:rFonts w:cs="Arial" w:hint="cs"/>
          <w:rtl/>
        </w:rPr>
        <w:t>,</w:t>
      </w:r>
      <w:r w:rsidR="000346D8" w:rsidRPr="000346D8">
        <w:rPr>
          <w:rFonts w:cs="Arial"/>
          <w:rtl/>
        </w:rPr>
        <w:t xml:space="preserve"> ואותן רבותינו ידעו מה שעשו</w:t>
      </w:r>
      <w:r w:rsidR="000346D8">
        <w:rPr>
          <w:rFonts w:cs="Arial" w:hint="cs"/>
          <w:rtl/>
        </w:rPr>
        <w:t>,</w:t>
      </w:r>
      <w:r w:rsidR="000346D8" w:rsidRPr="000346D8">
        <w:rPr>
          <w:rFonts w:cs="Arial"/>
          <w:rtl/>
        </w:rPr>
        <w:t xml:space="preserve"> אמנם לא ראיתי מאבותי ולא מרבותי שנתנו ב' גיטין וכו' ובכ"מ שאפשר בלא ב' גיטין מוטב שלא ליתן ב' גיטין</w:t>
      </w:r>
      <w:r w:rsidR="000346D8">
        <w:rPr>
          <w:rFonts w:cs="Arial" w:hint="cs"/>
          <w:rtl/>
        </w:rPr>
        <w:t>,</w:t>
      </w:r>
      <w:r w:rsidR="000346D8" w:rsidRPr="000346D8">
        <w:rPr>
          <w:rFonts w:cs="Arial"/>
          <w:rtl/>
        </w:rPr>
        <w:t xml:space="preserve"> משום נכנסין ויוצאין</w:t>
      </w:r>
      <w:r w:rsidR="000346D8">
        <w:rPr>
          <w:rFonts w:cs="Arial" w:hint="cs"/>
          <w:rtl/>
        </w:rPr>
        <w:t>,</w:t>
      </w:r>
      <w:r w:rsidR="000346D8" w:rsidRPr="000346D8">
        <w:rPr>
          <w:rFonts w:cs="Arial"/>
          <w:rtl/>
        </w:rPr>
        <w:t xml:space="preserve"> דהנותן ב' גיטין אין נותנם בבת אחת אלא בזה אחר זה</w:t>
      </w:r>
      <w:r w:rsidR="000346D8">
        <w:rPr>
          <w:rFonts w:cs="Arial" w:hint="cs"/>
          <w:rtl/>
        </w:rPr>
        <w:t>,</w:t>
      </w:r>
      <w:r w:rsidR="000346D8" w:rsidRPr="000346D8">
        <w:rPr>
          <w:rFonts w:cs="Arial"/>
          <w:rtl/>
        </w:rPr>
        <w:t xml:space="preserve"> דאי בבת אחת דלמא דעתיה אהאי גיטא דלאו גיטא הוא</w:t>
      </w:r>
      <w:r w:rsidR="000346D8">
        <w:rPr>
          <w:rFonts w:cs="Arial" w:hint="cs"/>
          <w:rtl/>
        </w:rPr>
        <w:t>...</w:t>
      </w:r>
      <w:r w:rsidR="000346D8" w:rsidRPr="000346D8">
        <w:rPr>
          <w:rFonts w:cs="Arial"/>
          <w:rtl/>
        </w:rPr>
        <w:t xml:space="preserve"> וא"כ שצריך ליתן ב' גיטין זה אחר זה יש לחוש מפני נכנסין ויוצאין דלמא איכא דראה גט הראשון ולא השני וכן להיפך יוציאו לעז על הגט שהוא פסול וכו' הק' הלוי ציון עכ"ל</w:t>
      </w:r>
      <w:r w:rsidR="000346D8">
        <w:rPr>
          <w:rFonts w:cs="Arial" w:hint="cs"/>
          <w:rtl/>
        </w:rPr>
        <w:t>.</w:t>
      </w:r>
      <w:r w:rsidR="000346D8" w:rsidRPr="000346D8">
        <w:rPr>
          <w:rFonts w:cs="Arial"/>
          <w:rtl/>
        </w:rPr>
        <w:t xml:space="preserve"> ו</w:t>
      </w:r>
      <w:r w:rsidR="009334FF">
        <w:rPr>
          <w:rFonts w:cs="Arial"/>
          <w:rtl/>
        </w:rPr>
        <w:t>בהג"ה</w:t>
      </w:r>
      <w:r w:rsidR="000346D8" w:rsidRPr="000346D8">
        <w:rPr>
          <w:rFonts w:cs="Arial"/>
          <w:rtl/>
        </w:rPr>
        <w:t xml:space="preserve"> שם כותב בספר עץ חיים באחד שהיה חולה והחליפו שמו והיו קוראין בשם הראשון לגמרי והצריך רבינו פרץ ב' גיטין ונתנם ביחד עכ"ל</w:t>
      </w:r>
      <w:r w:rsidR="000346D8">
        <w:rPr>
          <w:rFonts w:cs="Arial" w:hint="cs"/>
          <w:rtl/>
        </w:rPr>
        <w:t>.</w:t>
      </w:r>
      <w:r w:rsidR="000346D8" w:rsidRPr="000346D8">
        <w:rPr>
          <w:rFonts w:cs="Arial"/>
          <w:rtl/>
        </w:rPr>
        <w:t xml:space="preserve"> ולענ"ד קשה אנתינתם בבת אחת דאם כן באת לידי ברירה דהוברר הדבר שבאותו שהוא כשר הוא מגרש וקיי"ל אין ברירה</w:t>
      </w:r>
      <w:r w:rsidR="000346D8">
        <w:rPr>
          <w:rFonts w:cs="Arial" w:hint="cs"/>
          <w:rtl/>
        </w:rPr>
        <w:t>...</w:t>
      </w:r>
      <w:r w:rsidR="000346D8" w:rsidRPr="000346D8">
        <w:rPr>
          <w:rFonts w:cs="Arial"/>
          <w:rtl/>
        </w:rPr>
        <w:t xml:space="preserve"> ועי' מ"ש סי' קכ"ט </w:t>
      </w:r>
      <w:r w:rsidR="008F0AC4">
        <w:rPr>
          <w:rFonts w:cs="Arial" w:hint="cs"/>
          <w:rtl/>
        </w:rPr>
        <w:t>(</w:t>
      </w:r>
      <w:r w:rsidR="000346D8" w:rsidRPr="000346D8">
        <w:rPr>
          <w:rFonts w:cs="Arial"/>
          <w:rtl/>
        </w:rPr>
        <w:t>סע</w:t>
      </w:r>
      <w:r w:rsidR="008F0AC4">
        <w:rPr>
          <w:rFonts w:cs="Arial" w:hint="cs"/>
          <w:rtl/>
        </w:rPr>
        <w:t>'</w:t>
      </w:r>
      <w:r w:rsidR="000346D8" w:rsidRPr="000346D8">
        <w:rPr>
          <w:rFonts w:cs="Arial"/>
          <w:rtl/>
        </w:rPr>
        <w:t xml:space="preserve"> יט</w:t>
      </w:r>
      <w:r w:rsidR="00E617E5">
        <w:rPr>
          <w:rFonts w:cs="Arial" w:hint="cs"/>
          <w:rtl/>
        </w:rPr>
        <w:t>)</w:t>
      </w:r>
      <w:r w:rsidR="000346D8" w:rsidRPr="000346D8">
        <w:rPr>
          <w:rFonts w:cs="Arial"/>
          <w:rtl/>
        </w:rPr>
        <w:t xml:space="preserve"> וסי' קל</w:t>
      </w:r>
      <w:r w:rsidR="00E617E5">
        <w:rPr>
          <w:rFonts w:cs="Arial" w:hint="cs"/>
          <w:rtl/>
        </w:rPr>
        <w:t>"</w:t>
      </w:r>
      <w:r w:rsidR="000346D8" w:rsidRPr="000346D8">
        <w:rPr>
          <w:rFonts w:cs="Arial"/>
          <w:rtl/>
        </w:rPr>
        <w:t xml:space="preserve">ב </w:t>
      </w:r>
      <w:r w:rsidR="00E617E5">
        <w:rPr>
          <w:rFonts w:cs="Arial" w:hint="cs"/>
          <w:rtl/>
        </w:rPr>
        <w:t>(</w:t>
      </w:r>
      <w:r w:rsidR="000346D8" w:rsidRPr="000346D8">
        <w:rPr>
          <w:rFonts w:cs="Arial"/>
          <w:rtl/>
        </w:rPr>
        <w:t>סע</w:t>
      </w:r>
      <w:r w:rsidR="00E617E5">
        <w:rPr>
          <w:rFonts w:cs="Arial" w:hint="cs"/>
          <w:rtl/>
        </w:rPr>
        <w:t>'</w:t>
      </w:r>
      <w:r w:rsidR="000346D8" w:rsidRPr="000346D8">
        <w:rPr>
          <w:rFonts w:cs="Arial"/>
          <w:rtl/>
        </w:rPr>
        <w:t xml:space="preserve"> ג</w:t>
      </w:r>
      <w:r w:rsidR="00E617E5">
        <w:rPr>
          <w:rFonts w:cs="Arial" w:hint="cs"/>
          <w:rtl/>
        </w:rPr>
        <w:t>)</w:t>
      </w:r>
      <w:r w:rsidR="000346D8" w:rsidRPr="000346D8">
        <w:rPr>
          <w:rFonts w:cs="Arial" w:hint="cs"/>
          <w:sz w:val="16"/>
          <w:szCs w:val="16"/>
          <w:rtl/>
        </w:rPr>
        <w:t xml:space="preserve"> [עכ"ל הט"ז]</w:t>
      </w:r>
      <w:r w:rsidR="000346D8">
        <w:rPr>
          <w:rFonts w:cs="Arial" w:hint="cs"/>
          <w:rtl/>
        </w:rPr>
        <w:t xml:space="preserve">. </w:t>
      </w:r>
      <w:r w:rsidR="008F0AC4">
        <w:rPr>
          <w:rFonts w:cs="Arial" w:hint="cs"/>
          <w:rtl/>
        </w:rPr>
        <w:t xml:space="preserve">     </w:t>
      </w:r>
      <w:r w:rsidR="00C27C61" w:rsidRPr="002867A9">
        <w:rPr>
          <w:rFonts w:cs="Arial"/>
          <w:rtl/>
        </w:rPr>
        <w:t>ו</w:t>
      </w:r>
      <w:r w:rsidR="00C27C61">
        <w:rPr>
          <w:rFonts w:cs="Arial" w:hint="cs"/>
          <w:rtl/>
        </w:rPr>
        <w:t xml:space="preserve">כתב </w:t>
      </w:r>
      <w:r w:rsidR="00C27C61" w:rsidRPr="00E617E5">
        <w:rPr>
          <w:rFonts w:cs="Arial" w:hint="cs"/>
          <w:b/>
          <w:bCs/>
          <w:rtl/>
        </w:rPr>
        <w:t>הפת"ש</w:t>
      </w:r>
      <w:r w:rsidR="00C27C61">
        <w:rPr>
          <w:rFonts w:cs="Arial" w:hint="cs"/>
          <w:rtl/>
        </w:rPr>
        <w:t xml:space="preserve"> (סק"ז)</w:t>
      </w:r>
      <w:r w:rsidR="00C27C61" w:rsidRPr="002867A9">
        <w:rPr>
          <w:rFonts w:cs="Arial"/>
          <w:rtl/>
        </w:rPr>
        <w:t xml:space="preserve"> </w:t>
      </w:r>
      <w:r w:rsidR="00C27C61">
        <w:rPr>
          <w:rFonts w:cs="Arial" w:hint="cs"/>
          <w:rtl/>
        </w:rPr>
        <w:t>ש</w:t>
      </w:r>
      <w:r w:rsidR="00C27C61" w:rsidRPr="002867A9">
        <w:rPr>
          <w:rFonts w:cs="Arial"/>
          <w:rtl/>
        </w:rPr>
        <w:t>ב</w:t>
      </w:r>
      <w:r w:rsidR="00C17039">
        <w:rPr>
          <w:rFonts w:cs="Arial" w:hint="cs"/>
          <w:rtl/>
        </w:rPr>
        <w:t xml:space="preserve">ספר </w:t>
      </w:r>
      <w:r w:rsidR="00C27C61" w:rsidRPr="002867A9">
        <w:rPr>
          <w:rFonts w:cs="Arial"/>
          <w:rtl/>
        </w:rPr>
        <w:t>ג"פ סק"ה האריך בזה והעלה מעיקר הדין אין לחוש</w:t>
      </w:r>
      <w:r w:rsidR="00C27C61">
        <w:rPr>
          <w:rFonts w:cs="Arial" w:hint="cs"/>
          <w:rtl/>
        </w:rPr>
        <w:t>,</w:t>
      </w:r>
      <w:r w:rsidR="00C27C61" w:rsidRPr="002867A9">
        <w:rPr>
          <w:rFonts w:cs="Arial"/>
          <w:rtl/>
        </w:rPr>
        <w:t xml:space="preserve"> והרוצה לצאת כל הדיעות יעשה כמ"ש הרש"ל בשם אביו תחילה הי' נותן שניהם בבת אחת</w:t>
      </w:r>
      <w:r w:rsidR="00C27C61">
        <w:rPr>
          <w:rFonts w:cs="Arial" w:hint="cs"/>
          <w:rtl/>
        </w:rPr>
        <w:t>,</w:t>
      </w:r>
      <w:r w:rsidR="00C27C61" w:rsidRPr="002867A9">
        <w:rPr>
          <w:rFonts w:cs="Arial"/>
          <w:rtl/>
        </w:rPr>
        <w:t xml:space="preserve"> ואח"כ חזר ולקחם ונותנם בזה אחר זה</w:t>
      </w:r>
      <w:r w:rsidR="00C27C61">
        <w:rPr>
          <w:rFonts w:cs="Arial" w:hint="cs"/>
          <w:rtl/>
        </w:rPr>
        <w:t>.</w:t>
      </w:r>
      <w:r w:rsidR="00C27C61" w:rsidRPr="002867A9">
        <w:rPr>
          <w:rFonts w:cs="Arial"/>
          <w:rtl/>
        </w:rPr>
        <w:t xml:space="preserve"> וכל זה לכתחיל' אבל בדיעבד נ"ל דבכל גווני יש להכשיר בין בב"א בין בזה אחר זה ע"ש. ובס' ב"מ כתב עליו דמוטב לעשות כמ"ש בש"ע סי' קכ"ט סי"ט ליתנם זא"ז ע"ש ועמ"ש בסי' קכ"ט שם ס"ק</w:t>
      </w:r>
      <w:r w:rsidR="00C17039">
        <w:rPr>
          <w:rFonts w:hint="cs"/>
          <w:rtl/>
        </w:rPr>
        <w:t>.</w:t>
      </w:r>
    </w:p>
  </w:footnote>
  <w:footnote w:id="369">
    <w:p w14:paraId="4A2EBA91" w14:textId="487365B3" w:rsidR="007A7EA9" w:rsidRDefault="007A7EA9">
      <w:pPr>
        <w:pStyle w:val="a5"/>
      </w:pPr>
      <w:r>
        <w:rPr>
          <w:rStyle w:val="a7"/>
        </w:rPr>
        <w:footnoteRef/>
      </w:r>
      <w:r>
        <w:rPr>
          <w:rtl/>
        </w:rPr>
        <w:t xml:space="preserve"> </w:t>
      </w:r>
      <w:r w:rsidRPr="007A7EA9">
        <w:rPr>
          <w:rFonts w:cs="Arial"/>
          <w:rtl/>
        </w:rPr>
        <w:t>משום דדמיא לברירה</w:t>
      </w:r>
      <w:r w:rsidR="003C2A69">
        <w:rPr>
          <w:rFonts w:cs="Arial" w:hint="cs"/>
          <w:rtl/>
        </w:rPr>
        <w:t>,</w:t>
      </w:r>
      <w:r w:rsidRPr="007A7EA9">
        <w:rPr>
          <w:rFonts w:cs="Arial"/>
          <w:rtl/>
        </w:rPr>
        <w:t xml:space="preserve"> ומאן דל"ל ברירה אין אומרי' הוברר הדבר למפרע שע"ז הגט היה דעתו של הבעל. וכן אם הבעל בעיר אין תקנה לכתוב גט אחר וליתן שניהם כמ"ש</w:t>
      </w:r>
      <w:r>
        <w:rPr>
          <w:rFonts w:cs="Arial" w:hint="cs"/>
          <w:rtl/>
        </w:rPr>
        <w:t>, ב"ש (סק"ד).</w:t>
      </w:r>
    </w:p>
  </w:footnote>
  <w:footnote w:id="370">
    <w:p w14:paraId="0940D3CB" w14:textId="583C63E1" w:rsidR="007A7EA9" w:rsidRDefault="007A7EA9">
      <w:pPr>
        <w:pStyle w:val="a5"/>
      </w:pPr>
      <w:r>
        <w:rPr>
          <w:rStyle w:val="a7"/>
        </w:rPr>
        <w:footnoteRef/>
      </w:r>
      <w:r>
        <w:rPr>
          <w:rtl/>
        </w:rPr>
        <w:t xml:space="preserve"> </w:t>
      </w:r>
      <w:r w:rsidRPr="007A7EA9">
        <w:rPr>
          <w:rFonts w:cs="Arial"/>
          <w:rtl/>
        </w:rPr>
        <w:t>וכל זה איירי אם הגט אין נפסל מדינא</w:t>
      </w:r>
      <w:r>
        <w:rPr>
          <w:rFonts w:cs="Arial" w:hint="cs"/>
          <w:rtl/>
        </w:rPr>
        <w:t>,</w:t>
      </w:r>
      <w:r w:rsidRPr="007A7EA9">
        <w:rPr>
          <w:rFonts w:cs="Arial"/>
          <w:rtl/>
        </w:rPr>
        <w:t xml:space="preserve"> אבל אם נמצא בו פסול א"צ הבעל לחזור ולצוות דהא עדיין לא עשאו שליחתן</w:t>
      </w:r>
      <w:r>
        <w:rPr>
          <w:rFonts w:cs="Arial" w:hint="cs"/>
          <w:rtl/>
        </w:rPr>
        <w:t>.</w:t>
      </w:r>
      <w:r w:rsidRPr="007A7EA9">
        <w:rPr>
          <w:rFonts w:cs="Arial"/>
          <w:rtl/>
        </w:rPr>
        <w:t xml:space="preserve"> אבל המנהג הוא שהבעל חוזר ומצווה</w:t>
      </w:r>
      <w:r>
        <w:rPr>
          <w:rFonts w:cs="Arial" w:hint="cs"/>
          <w:rtl/>
        </w:rPr>
        <w:t>.</w:t>
      </w:r>
      <w:r w:rsidR="00F95936">
        <w:rPr>
          <w:rFonts w:cs="Arial" w:hint="cs"/>
          <w:rtl/>
        </w:rPr>
        <w:t>...</w:t>
      </w:r>
      <w:r w:rsidRPr="007A7EA9">
        <w:rPr>
          <w:rFonts w:cs="Arial"/>
          <w:rtl/>
        </w:rPr>
        <w:t xml:space="preserve"> ואם נמצא בו פסול ולא ח</w:t>
      </w:r>
      <w:r w:rsidR="00F95936">
        <w:rPr>
          <w:rFonts w:cs="Arial" w:hint="cs"/>
          <w:rtl/>
        </w:rPr>
        <w:t>ז</w:t>
      </w:r>
      <w:r w:rsidRPr="007A7EA9">
        <w:rPr>
          <w:rFonts w:cs="Arial"/>
          <w:rtl/>
        </w:rPr>
        <w:t>ר וצוה</w:t>
      </w:r>
      <w:r w:rsidR="00F95936">
        <w:rPr>
          <w:rFonts w:cs="Arial" w:hint="cs"/>
          <w:rtl/>
        </w:rPr>
        <w:t xml:space="preserve"> -</w:t>
      </w:r>
      <w:r w:rsidRPr="007A7EA9">
        <w:rPr>
          <w:rFonts w:cs="Arial"/>
          <w:rtl/>
        </w:rPr>
        <w:t xml:space="preserve"> כותבין גט אחר</w:t>
      </w:r>
      <w:r w:rsidR="00F95936">
        <w:rPr>
          <w:rFonts w:cs="Arial" w:hint="cs"/>
          <w:rtl/>
        </w:rPr>
        <w:t>,</w:t>
      </w:r>
      <w:r w:rsidRPr="007A7EA9">
        <w:rPr>
          <w:rFonts w:cs="Arial"/>
          <w:rtl/>
        </w:rPr>
        <w:t xml:space="preserve"> כי ע"פ הדין א"צ לצוות מחדש ואינו אלא חומרא לכתחלה</w:t>
      </w:r>
      <w:r>
        <w:rPr>
          <w:rFonts w:cs="Arial" w:hint="cs"/>
          <w:rtl/>
        </w:rPr>
        <w:t xml:space="preserve">, </w:t>
      </w:r>
      <w:r w:rsidRPr="003C2A69">
        <w:rPr>
          <w:rFonts w:cs="Arial" w:hint="cs"/>
          <w:b/>
          <w:bCs/>
          <w:rtl/>
        </w:rPr>
        <w:t>ב"ש</w:t>
      </w:r>
      <w:r>
        <w:rPr>
          <w:rFonts w:cs="Arial" w:hint="cs"/>
          <w:rtl/>
        </w:rPr>
        <w:t xml:space="preserve"> (סק"ד).</w:t>
      </w:r>
      <w:r w:rsidR="00C17039" w:rsidRPr="00C17039">
        <w:rPr>
          <w:rFonts w:cs="Arial"/>
          <w:rtl/>
        </w:rPr>
        <w:t xml:space="preserve"> </w:t>
      </w:r>
      <w:r w:rsidR="003C2A69">
        <w:rPr>
          <w:rFonts w:cs="Arial" w:hint="cs"/>
          <w:rtl/>
        </w:rPr>
        <w:t xml:space="preserve">    </w:t>
      </w:r>
      <w:r w:rsidR="00C17039" w:rsidRPr="002867A9">
        <w:rPr>
          <w:rFonts w:cs="Arial"/>
          <w:rtl/>
        </w:rPr>
        <w:t xml:space="preserve">ועיין בס' תו"ג שכ' דכשחוזר הבעל ומצוה פעם שנית אין לומר שוב </w:t>
      </w:r>
      <w:r w:rsidR="00C17039">
        <w:rPr>
          <w:rFonts w:cs="Arial" w:hint="cs"/>
          <w:rtl/>
        </w:rPr>
        <w:t>'</w:t>
      </w:r>
      <w:r w:rsidR="00C17039" w:rsidRPr="002867A9">
        <w:rPr>
          <w:rFonts w:cs="Arial"/>
          <w:rtl/>
        </w:rPr>
        <w:t>כתוב מאחד ועד מאה</w:t>
      </w:r>
      <w:r w:rsidR="00C17039">
        <w:rPr>
          <w:rFonts w:cs="Arial" w:hint="cs"/>
          <w:rtl/>
        </w:rPr>
        <w:t>'</w:t>
      </w:r>
      <w:r w:rsidR="00C17039" w:rsidRPr="002867A9">
        <w:rPr>
          <w:rFonts w:cs="Arial"/>
          <w:rtl/>
        </w:rPr>
        <w:t xml:space="preserve"> רק </w:t>
      </w:r>
      <w:r w:rsidR="00C17039">
        <w:rPr>
          <w:rFonts w:cs="Arial" w:hint="cs"/>
          <w:rtl/>
        </w:rPr>
        <w:t>'</w:t>
      </w:r>
      <w:r w:rsidR="00C17039" w:rsidRPr="002867A9">
        <w:rPr>
          <w:rFonts w:cs="Arial"/>
          <w:rtl/>
        </w:rPr>
        <w:t>חזור וכתוב גט לאשתי</w:t>
      </w:r>
      <w:r w:rsidR="00C17039">
        <w:rPr>
          <w:rFonts w:cs="Arial" w:hint="cs"/>
          <w:rtl/>
        </w:rPr>
        <w:t>'.</w:t>
      </w:r>
      <w:r w:rsidR="00C17039" w:rsidRPr="002867A9">
        <w:rPr>
          <w:rFonts w:cs="Arial"/>
          <w:rtl/>
        </w:rPr>
        <w:t xml:space="preserve"> כיון דמה דחוזר ומצוה הוא משום דחיישי</w:t>
      </w:r>
      <w:r w:rsidR="00C17039">
        <w:rPr>
          <w:rFonts w:cs="Arial" w:hint="cs"/>
          <w:rtl/>
        </w:rPr>
        <w:t>נן</w:t>
      </w:r>
      <w:r w:rsidR="00C17039" w:rsidRPr="002867A9">
        <w:rPr>
          <w:rFonts w:cs="Arial"/>
          <w:rtl/>
        </w:rPr>
        <w:t xml:space="preserve"> להך דיעה דס"ל דזה דמי לברירה</w:t>
      </w:r>
      <w:r w:rsidR="00C17039">
        <w:rPr>
          <w:rFonts w:cs="Arial" w:hint="cs"/>
          <w:rtl/>
        </w:rPr>
        <w:t>,</w:t>
      </w:r>
      <w:r w:rsidR="00C17039" w:rsidRPr="002867A9">
        <w:rPr>
          <w:rFonts w:cs="Arial"/>
          <w:rtl/>
        </w:rPr>
        <w:t xml:space="preserve"> א"כ כשאומר מאחד ועד ק' חוזר חשש ברירה למקומה</w:t>
      </w:r>
      <w:r w:rsidR="00C17039">
        <w:rPr>
          <w:rFonts w:cs="Arial" w:hint="cs"/>
          <w:rtl/>
        </w:rPr>
        <w:t>.</w:t>
      </w:r>
      <w:r w:rsidR="00C17039" w:rsidRPr="002867A9">
        <w:rPr>
          <w:rFonts w:cs="Arial"/>
          <w:rtl/>
        </w:rPr>
        <w:t xml:space="preserve"> וכ"כ בס' ג"פ סק</w:t>
      </w:r>
      <w:r w:rsidR="00C17039">
        <w:rPr>
          <w:rFonts w:cs="Arial" w:hint="cs"/>
          <w:rtl/>
        </w:rPr>
        <w:t>"</w:t>
      </w:r>
      <w:r w:rsidR="00C17039" w:rsidRPr="002867A9">
        <w:rPr>
          <w:rFonts w:cs="Arial"/>
          <w:rtl/>
        </w:rPr>
        <w:t>ח</w:t>
      </w:r>
      <w:r w:rsidR="00C17039">
        <w:rPr>
          <w:rFonts w:cs="Arial" w:hint="cs"/>
          <w:rtl/>
        </w:rPr>
        <w:t>,</w:t>
      </w:r>
      <w:r w:rsidR="00C17039" w:rsidRPr="002867A9">
        <w:rPr>
          <w:rFonts w:cs="Arial"/>
          <w:rtl/>
        </w:rPr>
        <w:t xml:space="preserve"> והביאו ג"כ בס' בית מאיר. וכיוצא בזה כ' ג"כ בשם הרש"ל ביש"ש שכ' דהמנהג לצוות שנית אבל מ"מ אין להחמיר כ"כ ולהרבות בדברים כבראשונה אלא לקצר עכ"ל. ועיין בפנ</w:t>
      </w:r>
      <w:r w:rsidR="00345008">
        <w:rPr>
          <w:rFonts w:cs="Arial" w:hint="cs"/>
          <w:rtl/>
        </w:rPr>
        <w:t>מ"א</w:t>
      </w:r>
      <w:r w:rsidR="00C17039" w:rsidRPr="002867A9">
        <w:rPr>
          <w:rFonts w:cs="Arial"/>
          <w:rtl/>
        </w:rPr>
        <w:t xml:space="preserve"> </w:t>
      </w:r>
      <w:r w:rsidR="00B14059">
        <w:rPr>
          <w:rFonts w:cs="Arial" w:hint="cs"/>
          <w:rtl/>
        </w:rPr>
        <w:t>(</w:t>
      </w:r>
      <w:r w:rsidR="00C17039" w:rsidRPr="002867A9">
        <w:rPr>
          <w:rFonts w:cs="Arial"/>
          <w:rtl/>
        </w:rPr>
        <w:t>ח"ג סי</w:t>
      </w:r>
      <w:r w:rsidR="00345008">
        <w:rPr>
          <w:rFonts w:cs="Arial" w:hint="cs"/>
          <w:rtl/>
        </w:rPr>
        <w:t>'</w:t>
      </w:r>
      <w:r w:rsidR="00C17039" w:rsidRPr="002867A9">
        <w:rPr>
          <w:rFonts w:cs="Arial"/>
          <w:rtl/>
        </w:rPr>
        <w:t xml:space="preserve"> ג</w:t>
      </w:r>
      <w:r w:rsidR="00B14059">
        <w:rPr>
          <w:rFonts w:cs="Arial" w:hint="cs"/>
          <w:rtl/>
        </w:rPr>
        <w:t>)</w:t>
      </w:r>
      <w:r w:rsidR="00345008">
        <w:rPr>
          <w:rFonts w:cs="Arial" w:hint="cs"/>
          <w:rtl/>
        </w:rPr>
        <w:t xml:space="preserve">, </w:t>
      </w:r>
      <w:r w:rsidR="00345008" w:rsidRPr="003C2A69">
        <w:rPr>
          <w:rFonts w:cs="Arial" w:hint="cs"/>
          <w:b/>
          <w:bCs/>
          <w:rtl/>
        </w:rPr>
        <w:t>פת"ש</w:t>
      </w:r>
      <w:r w:rsidR="00345008">
        <w:rPr>
          <w:rFonts w:cs="Arial" w:hint="cs"/>
          <w:rtl/>
        </w:rPr>
        <w:t xml:space="preserve"> (סק"ט)</w:t>
      </w:r>
      <w:r w:rsidR="00C17039">
        <w:rPr>
          <w:rFonts w:cs="Arial" w:hint="cs"/>
          <w:rtl/>
        </w:rPr>
        <w:t>.</w:t>
      </w:r>
    </w:p>
  </w:footnote>
  <w:footnote w:id="371">
    <w:p w14:paraId="3CBF8340" w14:textId="4712CB9E" w:rsidR="003F367C" w:rsidRDefault="003F367C">
      <w:pPr>
        <w:pStyle w:val="a5"/>
      </w:pPr>
      <w:r>
        <w:rPr>
          <w:rStyle w:val="a7"/>
        </w:rPr>
        <w:footnoteRef/>
      </w:r>
      <w:r>
        <w:rPr>
          <w:rtl/>
        </w:rPr>
        <w:t xml:space="preserve"> </w:t>
      </w:r>
      <w:r w:rsidRPr="003F367C">
        <w:rPr>
          <w:rFonts w:cs="Arial"/>
          <w:rtl/>
        </w:rPr>
        <w:t>משמע אפילו כתב רק מקצת הגט ואירע בו פסול אפ"ה עשה שליחתו למקצת הזה שכתב וצריך לחזור ולצוות שיכתוב מחדש</w:t>
      </w:r>
      <w:r>
        <w:rPr>
          <w:rFonts w:cs="Arial" w:hint="cs"/>
          <w:rtl/>
        </w:rPr>
        <w:t>, ח"מ (סק"ג).</w:t>
      </w:r>
    </w:p>
  </w:footnote>
  <w:footnote w:id="372">
    <w:p w14:paraId="370F64D0" w14:textId="06A9E557" w:rsidR="003F6669" w:rsidRDefault="003F6669">
      <w:pPr>
        <w:pStyle w:val="a5"/>
        <w:rPr>
          <w:rtl/>
        </w:rPr>
      </w:pPr>
      <w:r>
        <w:rPr>
          <w:rStyle w:val="a7"/>
        </w:rPr>
        <w:footnoteRef/>
      </w:r>
      <w:r>
        <w:rPr>
          <w:rtl/>
        </w:rPr>
        <w:t xml:space="preserve"> </w:t>
      </w:r>
      <w:r w:rsidRPr="00303815">
        <w:rPr>
          <w:rFonts w:cs="Arial"/>
          <w:rtl/>
        </w:rPr>
        <w:t xml:space="preserve">וע' עוד מענין זה בתשו' משכנות יעקב </w:t>
      </w:r>
      <w:r w:rsidR="009B40A3">
        <w:rPr>
          <w:rFonts w:cs="Arial" w:hint="cs"/>
          <w:rtl/>
        </w:rPr>
        <w:t>(</w:t>
      </w:r>
      <w:r w:rsidRPr="00303815">
        <w:rPr>
          <w:rFonts w:cs="Arial"/>
          <w:rtl/>
        </w:rPr>
        <w:t>סי' כז</w:t>
      </w:r>
      <w:r w:rsidR="009B40A3">
        <w:rPr>
          <w:rFonts w:cs="Arial" w:hint="cs"/>
          <w:rtl/>
        </w:rPr>
        <w:t>)</w:t>
      </w:r>
      <w:r w:rsidRPr="00303815">
        <w:rPr>
          <w:rFonts w:cs="Arial"/>
          <w:rtl/>
        </w:rPr>
        <w:t xml:space="preserve"> ובתשו' ברית אברהם </w:t>
      </w:r>
      <w:r w:rsidR="009B40A3">
        <w:rPr>
          <w:rFonts w:cs="Arial" w:hint="cs"/>
          <w:rtl/>
        </w:rPr>
        <w:t>(</w:t>
      </w:r>
      <w:r w:rsidRPr="00303815">
        <w:rPr>
          <w:rFonts w:cs="Arial"/>
          <w:rtl/>
        </w:rPr>
        <w:t>סי' צח</w:t>
      </w:r>
      <w:r w:rsidR="009B40A3">
        <w:rPr>
          <w:rFonts w:cs="Arial" w:hint="cs"/>
          <w:rtl/>
        </w:rPr>
        <w:t>)</w:t>
      </w:r>
      <w:r w:rsidRPr="00303815">
        <w:rPr>
          <w:rFonts w:cs="Arial"/>
          <w:rtl/>
        </w:rPr>
        <w:t xml:space="preserve"> ויובא דבריהם לקמן סי</w:t>
      </w:r>
      <w:r>
        <w:rPr>
          <w:rFonts w:cs="Arial" w:hint="cs"/>
          <w:rtl/>
        </w:rPr>
        <w:t>'</w:t>
      </w:r>
      <w:r w:rsidRPr="00303815">
        <w:rPr>
          <w:rFonts w:cs="Arial"/>
          <w:rtl/>
        </w:rPr>
        <w:t xml:space="preserve"> קל"ג סק"ג</w:t>
      </w:r>
      <w:r>
        <w:rPr>
          <w:rFonts w:hint="cs"/>
          <w:rtl/>
        </w:rPr>
        <w:t>, פת"ש (סק"ב).</w:t>
      </w:r>
    </w:p>
  </w:footnote>
  <w:footnote w:id="373">
    <w:p w14:paraId="32365DC3" w14:textId="266E5531" w:rsidR="003F6669" w:rsidRDefault="003F6669">
      <w:pPr>
        <w:pStyle w:val="a5"/>
        <w:rPr>
          <w:rtl/>
        </w:rPr>
      </w:pPr>
      <w:r>
        <w:rPr>
          <w:rStyle w:val="a7"/>
        </w:rPr>
        <w:footnoteRef/>
      </w:r>
      <w:r>
        <w:rPr>
          <w:rtl/>
        </w:rPr>
        <w:t xml:space="preserve"> </w:t>
      </w:r>
      <w:r w:rsidRPr="003F6669">
        <w:rPr>
          <w:rFonts w:cs="Arial"/>
          <w:rtl/>
        </w:rPr>
        <w:t>וע' בתשו' הרדב"ז ח"ד סי' מ"ד</w:t>
      </w:r>
      <w:r>
        <w:rPr>
          <w:rFonts w:hint="cs"/>
          <w:rtl/>
        </w:rPr>
        <w:t>, פת"ש (סק"ד).</w:t>
      </w:r>
    </w:p>
  </w:footnote>
  <w:footnote w:id="374">
    <w:p w14:paraId="0C3A8478" w14:textId="77777777" w:rsidR="004D2859" w:rsidRDefault="004D2859" w:rsidP="004D2859">
      <w:pPr>
        <w:pStyle w:val="a5"/>
        <w:rPr>
          <w:rtl/>
        </w:rPr>
      </w:pPr>
      <w:r>
        <w:rPr>
          <w:rStyle w:val="a7"/>
        </w:rPr>
        <w:footnoteRef/>
      </w:r>
      <w:r>
        <w:rPr>
          <w:rtl/>
        </w:rPr>
        <w:t xml:space="preserve"> </w:t>
      </w:r>
      <w:r w:rsidRPr="00D477CD">
        <w:rPr>
          <w:rFonts w:cs="Arial"/>
          <w:rtl/>
        </w:rPr>
        <w:t>לשליח שלי שמיניתי</w:t>
      </w:r>
      <w:r>
        <w:rPr>
          <w:rFonts w:cs="Arial" w:hint="cs"/>
          <w:rtl/>
        </w:rPr>
        <w:t>,</w:t>
      </w:r>
      <w:r w:rsidRPr="00D477CD">
        <w:rPr>
          <w:rFonts w:cs="Arial"/>
          <w:rtl/>
        </w:rPr>
        <w:t xml:space="preserve"> וכן עשו</w:t>
      </w:r>
      <w:r>
        <w:rPr>
          <w:rFonts w:cs="Arial" w:hint="cs"/>
          <w:rtl/>
        </w:rPr>
        <w:t>,</w:t>
      </w:r>
      <w:r w:rsidRPr="00D477CD">
        <w:rPr>
          <w:rFonts w:cs="Arial"/>
          <w:rtl/>
        </w:rPr>
        <w:t xml:space="preserve"> ואבד בדרך</w:t>
      </w:r>
      <w:r>
        <w:rPr>
          <w:rFonts w:cs="Arial" w:hint="cs"/>
          <w:rtl/>
        </w:rPr>
        <w:t>,</w:t>
      </w:r>
      <w:r w:rsidRPr="00D477CD">
        <w:rPr>
          <w:rFonts w:cs="Arial"/>
          <w:rtl/>
        </w:rPr>
        <w:t xml:space="preserve"> מי אמרינן עשו כל שליחותם ונסתלקו</w:t>
      </w:r>
      <w:r>
        <w:rPr>
          <w:rFonts w:hint="cs"/>
          <w:rtl/>
        </w:rPr>
        <w:t>, רש"י.</w:t>
      </w:r>
    </w:p>
  </w:footnote>
  <w:footnote w:id="375">
    <w:p w14:paraId="3BF89F06" w14:textId="77777777" w:rsidR="004D2859" w:rsidRDefault="004D2859" w:rsidP="004D2859">
      <w:pPr>
        <w:pStyle w:val="a5"/>
      </w:pPr>
      <w:r>
        <w:rPr>
          <w:rStyle w:val="a7"/>
        </w:rPr>
        <w:footnoteRef/>
      </w:r>
      <w:r>
        <w:rPr>
          <w:rtl/>
        </w:rPr>
        <w:t xml:space="preserve"> </w:t>
      </w:r>
      <w:r w:rsidRPr="00D477CD">
        <w:rPr>
          <w:rFonts w:cs="Arial"/>
          <w:rtl/>
        </w:rPr>
        <w:t>האי נמי עד שיבא גט לידה ותתגרש עשאן שלוחין לכתוב</w:t>
      </w:r>
      <w:r>
        <w:rPr>
          <w:rFonts w:cs="Arial" w:hint="cs"/>
          <w:rtl/>
        </w:rPr>
        <w:t>,</w:t>
      </w:r>
      <w:r w:rsidRPr="00D477CD">
        <w:rPr>
          <w:rFonts w:cs="Arial"/>
          <w:rtl/>
        </w:rPr>
        <w:t xml:space="preserve"> אלא לטירחא דידהו חש שלא להטריחם בהולכה</w:t>
      </w:r>
      <w:r>
        <w:rPr>
          <w:rFonts w:cs="Arial" w:hint="cs"/>
          <w:rtl/>
        </w:rPr>
        <w:t>, רש"י.</w:t>
      </w:r>
    </w:p>
  </w:footnote>
  <w:footnote w:id="376">
    <w:p w14:paraId="4BF98232" w14:textId="400B92A8" w:rsidR="004D2859" w:rsidRDefault="004D2859" w:rsidP="004D2859">
      <w:pPr>
        <w:pStyle w:val="a5"/>
        <w:rPr>
          <w:rtl/>
        </w:rPr>
      </w:pPr>
      <w:r>
        <w:rPr>
          <w:rStyle w:val="a7"/>
        </w:rPr>
        <w:footnoteRef/>
      </w:r>
      <w:r>
        <w:rPr>
          <w:rtl/>
        </w:rPr>
        <w:t xml:space="preserve"> </w:t>
      </w:r>
      <w:r w:rsidRPr="00D477CD">
        <w:rPr>
          <w:rFonts w:cs="Arial"/>
          <w:rtl/>
        </w:rPr>
        <w:t xml:space="preserve">את"ל בהך דלא אמר אלא </w:t>
      </w:r>
      <w:r>
        <w:rPr>
          <w:rFonts w:cs="Arial" w:hint="cs"/>
          <w:rtl/>
        </w:rPr>
        <w:t>'</w:t>
      </w:r>
      <w:r w:rsidRPr="00D477CD">
        <w:rPr>
          <w:rFonts w:cs="Arial"/>
          <w:rtl/>
        </w:rPr>
        <w:t>כתבו ותנו לשליח</w:t>
      </w:r>
      <w:r>
        <w:rPr>
          <w:rFonts w:cs="Arial" w:hint="cs"/>
          <w:rtl/>
        </w:rPr>
        <w:t>'</w:t>
      </w:r>
      <w:r w:rsidRPr="00D477CD">
        <w:rPr>
          <w:rFonts w:cs="Arial"/>
          <w:rtl/>
        </w:rPr>
        <w:t xml:space="preserve"> והם כתבו ונתנו לו ואבד דעשו שליחותם דהא כל מה שצום גמרו ועשו</w:t>
      </w:r>
      <w:r>
        <w:rPr>
          <w:rFonts w:cs="Arial" w:hint="cs"/>
          <w:rtl/>
        </w:rPr>
        <w:t>,</w:t>
      </w:r>
      <w:r w:rsidRPr="00D477CD">
        <w:rPr>
          <w:rFonts w:cs="Arial"/>
          <w:rtl/>
        </w:rPr>
        <w:t xml:space="preserve"> הכא מאי</w:t>
      </w:r>
      <w:r>
        <w:rPr>
          <w:rFonts w:cs="Arial" w:hint="cs"/>
          <w:rtl/>
        </w:rPr>
        <w:t>?</w:t>
      </w:r>
      <w:r w:rsidRPr="00D477CD">
        <w:rPr>
          <w:rFonts w:cs="Arial"/>
          <w:rtl/>
        </w:rPr>
        <w:t xml:space="preserve"> מי אמרינן כיון דאמר </w:t>
      </w:r>
      <w:r>
        <w:rPr>
          <w:rFonts w:cs="Arial" w:hint="cs"/>
          <w:rtl/>
        </w:rPr>
        <w:t>'</w:t>
      </w:r>
      <w:r w:rsidRPr="00D477CD">
        <w:rPr>
          <w:rFonts w:cs="Arial"/>
          <w:rtl/>
        </w:rPr>
        <w:t>כתבו ותנו לשליח ויוליך לה</w:t>
      </w:r>
      <w:r>
        <w:rPr>
          <w:rFonts w:cs="Arial" w:hint="cs"/>
          <w:rtl/>
        </w:rPr>
        <w:t>'</w:t>
      </w:r>
      <w:r w:rsidRPr="00D477CD">
        <w:rPr>
          <w:rFonts w:cs="Arial"/>
          <w:rtl/>
        </w:rPr>
        <w:t xml:space="preserve"> עשאן שלוחים לחזור ולכתוב עד שיגיע לידה לכך פירש להם כל כך</w:t>
      </w:r>
      <w:r>
        <w:rPr>
          <w:rFonts w:cs="Arial" w:hint="cs"/>
          <w:rtl/>
        </w:rPr>
        <w:t>,</w:t>
      </w:r>
      <w:r w:rsidRPr="00D477CD">
        <w:rPr>
          <w:rFonts w:cs="Arial"/>
          <w:rtl/>
        </w:rPr>
        <w:t xml:space="preserve"> או דלמא לא שנא</w:t>
      </w:r>
      <w:r>
        <w:rPr>
          <w:rFonts w:hint="cs"/>
          <w:rtl/>
        </w:rPr>
        <w:t>, רש"י.</w:t>
      </w:r>
      <w:r w:rsidR="001B3FA6">
        <w:rPr>
          <w:rFonts w:hint="cs"/>
          <w:rtl/>
        </w:rPr>
        <w:t xml:space="preserve"> </w:t>
      </w:r>
      <w:r w:rsidR="001B3FA6" w:rsidRPr="001B3FA6">
        <w:rPr>
          <w:rFonts w:hint="cs"/>
          <w:sz w:val="16"/>
          <w:szCs w:val="16"/>
          <w:rtl/>
        </w:rPr>
        <w:t>(</w:t>
      </w:r>
      <w:r w:rsidR="001B3FA6" w:rsidRPr="001B3FA6">
        <w:rPr>
          <w:rFonts w:cs="Arial"/>
          <w:sz w:val="16"/>
          <w:szCs w:val="16"/>
          <w:rtl/>
        </w:rPr>
        <w:t>ודע שאע</w:t>
      </w:r>
      <w:r w:rsidR="001B3FA6" w:rsidRPr="001B3FA6">
        <w:rPr>
          <w:rFonts w:cs="Arial" w:hint="cs"/>
          <w:sz w:val="16"/>
          <w:szCs w:val="16"/>
          <w:rtl/>
        </w:rPr>
        <w:t>"</w:t>
      </w:r>
      <w:r w:rsidR="001B3FA6" w:rsidRPr="001B3FA6">
        <w:rPr>
          <w:rFonts w:cs="Arial"/>
          <w:sz w:val="16"/>
          <w:szCs w:val="16"/>
          <w:rtl/>
        </w:rPr>
        <w:t>פ שפירש רש"י בעיא דויוליך באת"ל מבעיא ראשונה</w:t>
      </w:r>
      <w:r w:rsidR="001B3FA6" w:rsidRPr="001B3FA6">
        <w:rPr>
          <w:rFonts w:cs="Arial" w:hint="cs"/>
          <w:sz w:val="16"/>
          <w:szCs w:val="16"/>
          <w:rtl/>
        </w:rPr>
        <w:t>,</w:t>
      </w:r>
      <w:r w:rsidR="001B3FA6" w:rsidRPr="001B3FA6">
        <w:rPr>
          <w:rFonts w:cs="Arial"/>
          <w:sz w:val="16"/>
          <w:szCs w:val="16"/>
          <w:rtl/>
        </w:rPr>
        <w:t xml:space="preserve"> ודרך הגאונים לפסוק כפשיטות האם תמצא לומר</w:t>
      </w:r>
      <w:r w:rsidR="001B3FA6" w:rsidRPr="001B3FA6">
        <w:rPr>
          <w:rFonts w:cs="Arial" w:hint="cs"/>
          <w:sz w:val="16"/>
          <w:szCs w:val="16"/>
          <w:rtl/>
        </w:rPr>
        <w:t xml:space="preserve"> -</w:t>
      </w:r>
      <w:r w:rsidR="001B3FA6" w:rsidRPr="001B3FA6">
        <w:rPr>
          <w:rFonts w:cs="Arial"/>
          <w:sz w:val="16"/>
          <w:szCs w:val="16"/>
          <w:rtl/>
        </w:rPr>
        <w:t xml:space="preserve"> אין לפסוק בבעיא זו כאם תמצא לומר</w:t>
      </w:r>
      <w:r w:rsidR="001B3FA6" w:rsidRPr="001B3FA6">
        <w:rPr>
          <w:rFonts w:cs="Arial" w:hint="cs"/>
          <w:sz w:val="16"/>
          <w:szCs w:val="16"/>
          <w:rtl/>
        </w:rPr>
        <w:t>.</w:t>
      </w:r>
      <w:r w:rsidR="001B3FA6" w:rsidRPr="001B3FA6">
        <w:rPr>
          <w:rFonts w:cs="Arial"/>
          <w:sz w:val="16"/>
          <w:szCs w:val="16"/>
          <w:rtl/>
        </w:rPr>
        <w:t xml:space="preserve"> משום דעד כאן לא פסקו הגאונים כמו האם תמצא לומר אלא כשהאם תמצא לומר מפורש</w:t>
      </w:r>
      <w:r w:rsidR="001B3FA6" w:rsidRPr="001B3FA6">
        <w:rPr>
          <w:rFonts w:cs="Arial" w:hint="cs"/>
          <w:sz w:val="16"/>
          <w:szCs w:val="16"/>
          <w:rtl/>
        </w:rPr>
        <w:t>,</w:t>
      </w:r>
      <w:r w:rsidR="001B3FA6" w:rsidRPr="001B3FA6">
        <w:rPr>
          <w:rFonts w:cs="Arial"/>
          <w:sz w:val="16"/>
          <w:szCs w:val="16"/>
          <w:rtl/>
        </w:rPr>
        <w:t xml:space="preserve"> אבל כל שאינו מפורש</w:t>
      </w:r>
      <w:r w:rsidR="001B3FA6" w:rsidRPr="001B3FA6">
        <w:rPr>
          <w:rFonts w:cs="Arial" w:hint="cs"/>
          <w:sz w:val="16"/>
          <w:szCs w:val="16"/>
          <w:rtl/>
        </w:rPr>
        <w:t>,</w:t>
      </w:r>
      <w:r w:rsidR="001B3FA6" w:rsidRPr="001B3FA6">
        <w:rPr>
          <w:rFonts w:cs="Arial"/>
          <w:sz w:val="16"/>
          <w:szCs w:val="16"/>
          <w:rtl/>
        </w:rPr>
        <w:t xml:space="preserve"> אע</w:t>
      </w:r>
      <w:r w:rsidR="001B3FA6" w:rsidRPr="001B3FA6">
        <w:rPr>
          <w:rFonts w:cs="Arial" w:hint="cs"/>
          <w:sz w:val="16"/>
          <w:szCs w:val="16"/>
          <w:rtl/>
        </w:rPr>
        <w:t>"</w:t>
      </w:r>
      <w:r w:rsidR="001B3FA6" w:rsidRPr="001B3FA6">
        <w:rPr>
          <w:rFonts w:cs="Arial"/>
          <w:sz w:val="16"/>
          <w:szCs w:val="16"/>
          <w:rtl/>
        </w:rPr>
        <w:t>פ שבעיא שנייה תהיה באם תמצא לומר מהראשונה</w:t>
      </w:r>
      <w:r w:rsidR="001B3FA6" w:rsidRPr="001B3FA6">
        <w:rPr>
          <w:rFonts w:cs="Arial" w:hint="cs"/>
          <w:sz w:val="16"/>
          <w:szCs w:val="16"/>
          <w:rtl/>
        </w:rPr>
        <w:t xml:space="preserve"> -</w:t>
      </w:r>
      <w:r w:rsidR="001B3FA6" w:rsidRPr="001B3FA6">
        <w:rPr>
          <w:rFonts w:cs="Arial"/>
          <w:sz w:val="16"/>
          <w:szCs w:val="16"/>
          <w:rtl/>
        </w:rPr>
        <w:t xml:space="preserve"> ליכא מאן דפסק כאת"ל</w:t>
      </w:r>
      <w:r w:rsidR="001B3FA6" w:rsidRPr="001B3FA6">
        <w:rPr>
          <w:rFonts w:cs="Arial" w:hint="cs"/>
          <w:sz w:val="16"/>
          <w:szCs w:val="16"/>
          <w:rtl/>
        </w:rPr>
        <w:t>.</w:t>
      </w:r>
      <w:r w:rsidR="001B3FA6" w:rsidRPr="001B3FA6">
        <w:rPr>
          <w:rFonts w:cs="Arial"/>
          <w:sz w:val="16"/>
          <w:szCs w:val="16"/>
          <w:rtl/>
        </w:rPr>
        <w:t xml:space="preserve"> ולכך שתי הבעיות האלו ספיקא הוו</w:t>
      </w:r>
      <w:r w:rsidR="001B3FA6" w:rsidRPr="001B3FA6">
        <w:rPr>
          <w:rFonts w:cs="Arial" w:hint="cs"/>
          <w:sz w:val="16"/>
          <w:szCs w:val="16"/>
          <w:rtl/>
        </w:rPr>
        <w:t>, ב"י)</w:t>
      </w:r>
      <w:r w:rsidR="001B3FA6">
        <w:rPr>
          <w:rFonts w:cs="Arial" w:hint="cs"/>
          <w:rtl/>
        </w:rPr>
        <w:t>.</w:t>
      </w:r>
    </w:p>
  </w:footnote>
  <w:footnote w:id="377">
    <w:p w14:paraId="7FB97361" w14:textId="26B4EF4A" w:rsidR="001B5E8B" w:rsidRDefault="001B5E8B">
      <w:pPr>
        <w:pStyle w:val="a5"/>
      </w:pPr>
      <w:r>
        <w:rPr>
          <w:rStyle w:val="a7"/>
        </w:rPr>
        <w:footnoteRef/>
      </w:r>
      <w:r>
        <w:rPr>
          <w:rtl/>
        </w:rPr>
        <w:t xml:space="preserve"> </w:t>
      </w:r>
      <w:r w:rsidRPr="00400EED">
        <w:rPr>
          <w:rFonts w:cs="Arial"/>
          <w:rtl/>
        </w:rPr>
        <w:t>מה שכתב רבינו</w:t>
      </w:r>
      <w:r>
        <w:rPr>
          <w:rFonts w:cs="Arial" w:hint="cs"/>
          <w:rtl/>
        </w:rPr>
        <w:t xml:space="preserve"> '</w:t>
      </w:r>
      <w:r w:rsidRPr="00400EED">
        <w:rPr>
          <w:rFonts w:cs="Arial"/>
          <w:rtl/>
        </w:rPr>
        <w:t>ואם כתבו אחר ונתגרשה הרי זו ספק מגורשת</w:t>
      </w:r>
      <w:r>
        <w:rPr>
          <w:rFonts w:cs="Arial" w:hint="cs"/>
          <w:rtl/>
        </w:rPr>
        <w:t>' -</w:t>
      </w:r>
      <w:r w:rsidRPr="00400EED">
        <w:rPr>
          <w:rFonts w:cs="Arial"/>
          <w:rtl/>
        </w:rPr>
        <w:t xml:space="preserve"> אאיבעיא קמייתא נמי קאי</w:t>
      </w:r>
      <w:r>
        <w:rPr>
          <w:rFonts w:cs="Arial" w:hint="cs"/>
          <w:rtl/>
        </w:rPr>
        <w:t>,</w:t>
      </w:r>
      <w:r w:rsidRPr="00400EED">
        <w:rPr>
          <w:rFonts w:cs="Arial"/>
          <w:rtl/>
        </w:rPr>
        <w:t xml:space="preserve"> אע</w:t>
      </w:r>
      <w:r>
        <w:rPr>
          <w:rFonts w:cs="Arial" w:hint="cs"/>
          <w:rtl/>
        </w:rPr>
        <w:t>"</w:t>
      </w:r>
      <w:r w:rsidRPr="00400EED">
        <w:rPr>
          <w:rFonts w:cs="Arial"/>
          <w:rtl/>
        </w:rPr>
        <w:t xml:space="preserve">פ שלשונו מגומגם קצת שכתב </w:t>
      </w:r>
      <w:r>
        <w:rPr>
          <w:rFonts w:cs="Arial" w:hint="cs"/>
          <w:rtl/>
        </w:rPr>
        <w:t>'</w:t>
      </w:r>
      <w:r w:rsidRPr="00400EED">
        <w:rPr>
          <w:rFonts w:cs="Arial"/>
          <w:rtl/>
        </w:rPr>
        <w:t>בהא ודאי לא עשאם שלוחים אלא להגיע ליד השליח</w:t>
      </w:r>
      <w:r>
        <w:rPr>
          <w:rFonts w:cs="Arial" w:hint="cs"/>
          <w:rtl/>
        </w:rPr>
        <w:t>'</w:t>
      </w:r>
      <w:r w:rsidRPr="00400EED">
        <w:rPr>
          <w:rFonts w:cs="Arial"/>
          <w:rtl/>
        </w:rPr>
        <w:t xml:space="preserve"> מכל מקום על כרחך כך צריך לפרש דבריו כמו שכתבתי דאף היכא דלא אמר </w:t>
      </w:r>
      <w:r>
        <w:rPr>
          <w:rFonts w:cs="Arial" w:hint="cs"/>
          <w:rtl/>
        </w:rPr>
        <w:t>'</w:t>
      </w:r>
      <w:r w:rsidRPr="00400EED">
        <w:rPr>
          <w:rFonts w:cs="Arial"/>
          <w:rtl/>
        </w:rPr>
        <w:t>ויוליך</w:t>
      </w:r>
      <w:r>
        <w:rPr>
          <w:rFonts w:cs="Arial" w:hint="cs"/>
          <w:rtl/>
        </w:rPr>
        <w:t>'</w:t>
      </w:r>
      <w:r w:rsidRPr="00400EED">
        <w:rPr>
          <w:rFonts w:cs="Arial"/>
          <w:rtl/>
        </w:rPr>
        <w:t xml:space="preserve"> אם כתבו גט אחר ונתגרשה בו הויא ספק מגורשת</w:t>
      </w:r>
      <w:r>
        <w:rPr>
          <w:rFonts w:cs="Arial" w:hint="cs"/>
          <w:rtl/>
        </w:rPr>
        <w:t>, ב"י.</w:t>
      </w:r>
      <w:r w:rsidR="00B07A4C" w:rsidRPr="00B07A4C">
        <w:rPr>
          <w:rtl/>
        </w:rPr>
        <w:t xml:space="preserve"> </w:t>
      </w:r>
      <w:r w:rsidR="00B07A4C" w:rsidRPr="00B07A4C">
        <w:rPr>
          <w:rFonts w:cs="Arial" w:hint="cs"/>
          <w:sz w:val="16"/>
          <w:szCs w:val="16"/>
          <w:rtl/>
        </w:rPr>
        <w:t>{</w:t>
      </w:r>
      <w:r w:rsidR="00B07A4C" w:rsidRPr="00B07A4C">
        <w:rPr>
          <w:rFonts w:cs="Arial"/>
          <w:sz w:val="16"/>
          <w:szCs w:val="16"/>
          <w:rtl/>
        </w:rPr>
        <w:t>כי לא אפשט הבעי</w:t>
      </w:r>
      <w:r w:rsidR="00B07A4C" w:rsidRPr="00B07A4C">
        <w:rPr>
          <w:rFonts w:cs="Arial" w:hint="cs"/>
          <w:sz w:val="16"/>
          <w:szCs w:val="16"/>
          <w:rtl/>
        </w:rPr>
        <w:t>א</w:t>
      </w:r>
      <w:r w:rsidR="00B07A4C" w:rsidRPr="00B07A4C">
        <w:rPr>
          <w:rFonts w:cs="Arial"/>
          <w:sz w:val="16"/>
          <w:szCs w:val="16"/>
          <w:rtl/>
        </w:rPr>
        <w:t xml:space="preserve"> אע</w:t>
      </w:r>
      <w:r w:rsidR="00B07A4C" w:rsidRPr="00B07A4C">
        <w:rPr>
          <w:rFonts w:cs="Arial" w:hint="cs"/>
          <w:sz w:val="16"/>
          <w:szCs w:val="16"/>
          <w:rtl/>
        </w:rPr>
        <w:t>"</w:t>
      </w:r>
      <w:r w:rsidR="00B07A4C" w:rsidRPr="00B07A4C">
        <w:rPr>
          <w:rFonts w:cs="Arial"/>
          <w:sz w:val="16"/>
          <w:szCs w:val="16"/>
          <w:rtl/>
        </w:rPr>
        <w:t xml:space="preserve">ג </w:t>
      </w:r>
      <w:r w:rsidR="00B07A4C" w:rsidRPr="00B07A4C">
        <w:rPr>
          <w:rFonts w:cs="Arial" w:hint="cs"/>
          <w:sz w:val="16"/>
          <w:szCs w:val="16"/>
          <w:rtl/>
        </w:rPr>
        <w:t>ד</w:t>
      </w:r>
      <w:r w:rsidR="00B07A4C" w:rsidRPr="00B07A4C">
        <w:rPr>
          <w:rFonts w:cs="Arial"/>
          <w:sz w:val="16"/>
          <w:szCs w:val="16"/>
          <w:rtl/>
        </w:rPr>
        <w:t>בעי</w:t>
      </w:r>
      <w:r w:rsidR="00B07A4C" w:rsidRPr="00B07A4C">
        <w:rPr>
          <w:rFonts w:cs="Arial" w:hint="cs"/>
          <w:sz w:val="16"/>
          <w:szCs w:val="16"/>
          <w:rtl/>
        </w:rPr>
        <w:t>א</w:t>
      </w:r>
      <w:r w:rsidR="00B07A4C" w:rsidRPr="00B07A4C">
        <w:rPr>
          <w:rFonts w:cs="Arial"/>
          <w:sz w:val="16"/>
          <w:szCs w:val="16"/>
          <w:rtl/>
        </w:rPr>
        <w:t xml:space="preserve"> השני</w:t>
      </w:r>
      <w:r w:rsidR="00B07A4C" w:rsidRPr="00B07A4C">
        <w:rPr>
          <w:rFonts w:cs="Arial" w:hint="cs"/>
          <w:sz w:val="16"/>
          <w:szCs w:val="16"/>
          <w:rtl/>
        </w:rPr>
        <w:t>ה</w:t>
      </w:r>
      <w:r w:rsidR="00B07A4C" w:rsidRPr="00B07A4C">
        <w:rPr>
          <w:rFonts w:cs="Arial"/>
          <w:sz w:val="16"/>
          <w:szCs w:val="16"/>
          <w:rtl/>
        </w:rPr>
        <w:t xml:space="preserve"> בדרך את"ל אתמר והגאונים פסקו כאת"ל</w:t>
      </w:r>
      <w:r w:rsidR="00B07A4C" w:rsidRPr="00B07A4C">
        <w:rPr>
          <w:rFonts w:cs="Arial" w:hint="cs"/>
          <w:sz w:val="16"/>
          <w:szCs w:val="16"/>
          <w:rtl/>
        </w:rPr>
        <w:t>,</w:t>
      </w:r>
      <w:r w:rsidR="00B07A4C" w:rsidRPr="00B07A4C">
        <w:rPr>
          <w:rFonts w:cs="Arial"/>
          <w:sz w:val="16"/>
          <w:szCs w:val="16"/>
          <w:rtl/>
        </w:rPr>
        <w:t xml:space="preserve"> מ"מ כיון דאינו מפורש האת"ל ליכא מאן דפסק כאת"ל</w:t>
      </w:r>
      <w:r w:rsidR="00B07A4C">
        <w:rPr>
          <w:rFonts w:cs="Arial" w:hint="cs"/>
          <w:sz w:val="16"/>
          <w:szCs w:val="16"/>
          <w:rtl/>
        </w:rPr>
        <w:t>}</w:t>
      </w:r>
      <w:r w:rsidR="00B07A4C" w:rsidRPr="00B07A4C">
        <w:rPr>
          <w:rFonts w:cs="Arial"/>
          <w:rtl/>
        </w:rPr>
        <w:t xml:space="preserve"> </w:t>
      </w:r>
      <w:r w:rsidR="00B07A4C">
        <w:rPr>
          <w:rFonts w:hint="cs"/>
          <w:rtl/>
        </w:rPr>
        <w:t xml:space="preserve">וכתב הב"ש (סק"ז) </w:t>
      </w:r>
      <w:r w:rsidR="00B07A4C">
        <w:rPr>
          <w:rFonts w:cs="Arial" w:hint="cs"/>
          <w:rtl/>
        </w:rPr>
        <w:t>ולמה שכתבתי</w:t>
      </w:r>
      <w:r w:rsidR="00B07A4C" w:rsidRPr="00B07A4C">
        <w:rPr>
          <w:rFonts w:cs="Arial"/>
          <w:rtl/>
        </w:rPr>
        <w:t xml:space="preserve"> בח</w:t>
      </w:r>
      <w:r w:rsidR="00B07A4C">
        <w:rPr>
          <w:rFonts w:cs="Arial" w:hint="cs"/>
          <w:rtl/>
        </w:rPr>
        <w:t>ו</w:t>
      </w:r>
      <w:r w:rsidR="00B07A4C" w:rsidRPr="00B07A4C">
        <w:rPr>
          <w:rFonts w:cs="Arial"/>
          <w:rtl/>
        </w:rPr>
        <w:t>"מ סי</w:t>
      </w:r>
      <w:r w:rsidR="00B07A4C">
        <w:rPr>
          <w:rFonts w:cs="Arial" w:hint="cs"/>
          <w:rtl/>
        </w:rPr>
        <w:t>'</w:t>
      </w:r>
      <w:r w:rsidR="00B07A4C" w:rsidRPr="00B07A4C">
        <w:rPr>
          <w:rFonts w:cs="Arial"/>
          <w:rtl/>
        </w:rPr>
        <w:t xml:space="preserve"> שמ"ו דהרא"ש לא פסק כשטות הגאונים </w:t>
      </w:r>
      <w:r w:rsidR="00B07A4C">
        <w:rPr>
          <w:rFonts w:cs="Arial" w:hint="cs"/>
          <w:rtl/>
        </w:rPr>
        <w:t xml:space="preserve">- </w:t>
      </w:r>
      <w:r w:rsidR="00B07A4C" w:rsidRPr="00B07A4C">
        <w:rPr>
          <w:rFonts w:cs="Arial"/>
          <w:rtl/>
        </w:rPr>
        <w:t xml:space="preserve">לא היה צריך </w:t>
      </w:r>
      <w:r w:rsidR="00B07A4C">
        <w:rPr>
          <w:rFonts w:cs="Arial" w:hint="cs"/>
          <w:sz w:val="16"/>
          <w:szCs w:val="16"/>
          <w:rtl/>
        </w:rPr>
        <w:t xml:space="preserve">{הב"י} </w:t>
      </w:r>
      <w:r w:rsidR="00B07A4C" w:rsidRPr="00B07A4C">
        <w:rPr>
          <w:rFonts w:cs="Arial"/>
          <w:rtl/>
        </w:rPr>
        <w:t>לזה</w:t>
      </w:r>
      <w:r w:rsidR="00B07A4C">
        <w:rPr>
          <w:rFonts w:hint="cs"/>
          <w:rtl/>
        </w:rPr>
        <w:t>.</w:t>
      </w:r>
    </w:p>
  </w:footnote>
  <w:footnote w:id="378">
    <w:p w14:paraId="3C3D8021" w14:textId="291A3AF2" w:rsidR="008D2A8C" w:rsidRDefault="008D2A8C">
      <w:pPr>
        <w:pStyle w:val="a5"/>
      </w:pPr>
      <w:r>
        <w:rPr>
          <w:rStyle w:val="a7"/>
        </w:rPr>
        <w:footnoteRef/>
      </w:r>
      <w:r>
        <w:rPr>
          <w:rtl/>
        </w:rPr>
        <w:t xml:space="preserve"> </w:t>
      </w:r>
      <w:r w:rsidRPr="008D2A8C">
        <w:rPr>
          <w:rFonts w:cs="Arial"/>
          <w:rtl/>
        </w:rPr>
        <w:t xml:space="preserve">ואם כתבו גט אחר </w:t>
      </w:r>
      <w:r>
        <w:rPr>
          <w:rFonts w:cs="Arial" w:hint="cs"/>
          <w:rtl/>
        </w:rPr>
        <w:t xml:space="preserve">- </w:t>
      </w:r>
      <w:r w:rsidRPr="008D2A8C">
        <w:rPr>
          <w:rFonts w:cs="Arial"/>
          <w:rtl/>
        </w:rPr>
        <w:t>הגט בטל</w:t>
      </w:r>
      <w:r>
        <w:rPr>
          <w:rFonts w:cs="Arial" w:hint="cs"/>
          <w:rtl/>
        </w:rPr>
        <w:t xml:space="preserve">, ב"ש (סק"ז) בשם הב"י. </w:t>
      </w:r>
    </w:p>
  </w:footnote>
  <w:footnote w:id="379">
    <w:p w14:paraId="6C58719A" w14:textId="5854EA30" w:rsidR="00E41A94" w:rsidRDefault="00E41A94">
      <w:pPr>
        <w:pStyle w:val="a5"/>
        <w:rPr>
          <w:rtl/>
        </w:rPr>
      </w:pPr>
      <w:r>
        <w:rPr>
          <w:rStyle w:val="a7"/>
        </w:rPr>
        <w:footnoteRef/>
      </w:r>
      <w:r>
        <w:rPr>
          <w:rtl/>
        </w:rPr>
        <w:t xml:space="preserve"> </w:t>
      </w:r>
      <w:r>
        <w:rPr>
          <w:rFonts w:hint="cs"/>
          <w:rtl/>
        </w:rPr>
        <w:t xml:space="preserve">כתב הב"י </w:t>
      </w:r>
      <w:r>
        <w:rPr>
          <w:rFonts w:cs="Arial" w:hint="cs"/>
          <w:rtl/>
        </w:rPr>
        <w:t xml:space="preserve">שגם </w:t>
      </w:r>
      <w:r w:rsidRPr="00400EED">
        <w:rPr>
          <w:rFonts w:cs="Arial"/>
          <w:rtl/>
        </w:rPr>
        <w:t xml:space="preserve">מדברי </w:t>
      </w:r>
      <w:r>
        <w:rPr>
          <w:rFonts w:cs="Arial" w:hint="cs"/>
          <w:rtl/>
        </w:rPr>
        <w:t>הרשב"א</w:t>
      </w:r>
      <w:r w:rsidRPr="00E41A94">
        <w:rPr>
          <w:rFonts w:cs="Arial" w:hint="cs"/>
          <w:sz w:val="16"/>
          <w:szCs w:val="16"/>
          <w:rtl/>
        </w:rPr>
        <w:t xml:space="preserve"> (במיוחסות </w:t>
      </w:r>
      <w:r w:rsidRPr="00E41A94">
        <w:rPr>
          <w:rFonts w:cs="Arial"/>
          <w:sz w:val="16"/>
          <w:szCs w:val="16"/>
          <w:rtl/>
        </w:rPr>
        <w:t>סי' קמה</w:t>
      </w:r>
      <w:r w:rsidRPr="00E41A94">
        <w:rPr>
          <w:rFonts w:cs="Arial" w:hint="cs"/>
          <w:sz w:val="16"/>
          <w:szCs w:val="16"/>
          <w:rtl/>
        </w:rPr>
        <w:t>, הביאו הב"י בסעיף הקודם</w:t>
      </w:r>
      <w:r w:rsidRPr="00E41A94">
        <w:rPr>
          <w:rFonts w:cs="Arial"/>
          <w:sz w:val="16"/>
          <w:szCs w:val="16"/>
          <w:rtl/>
        </w:rPr>
        <w:t>)</w:t>
      </w:r>
      <w:r w:rsidRPr="00400EED">
        <w:rPr>
          <w:rFonts w:cs="Arial"/>
          <w:rtl/>
        </w:rPr>
        <w:t xml:space="preserve"> נראה שמפרש להני בעיי היכא שכתבו גט פסול ונתנו לשליח</w:t>
      </w:r>
      <w:r>
        <w:rPr>
          <w:rFonts w:cs="Arial" w:hint="cs"/>
          <w:rtl/>
        </w:rPr>
        <w:t>.</w:t>
      </w:r>
      <w:r w:rsidRPr="00400EED">
        <w:rPr>
          <w:rFonts w:cs="Arial"/>
          <w:rtl/>
        </w:rPr>
        <w:t xml:space="preserve"> מיהו לא נתברר בדבריו מה ס</w:t>
      </w:r>
      <w:r>
        <w:rPr>
          <w:rFonts w:cs="Arial" w:hint="cs"/>
          <w:rtl/>
        </w:rPr>
        <w:t>בירא ליה</w:t>
      </w:r>
      <w:r w:rsidRPr="00400EED">
        <w:rPr>
          <w:rFonts w:cs="Arial"/>
          <w:rtl/>
        </w:rPr>
        <w:t xml:space="preserve"> בכתבו לה גיטא מעליא ויהבו לשליח ונאבד</w:t>
      </w:r>
      <w:r>
        <w:rPr>
          <w:rFonts w:hint="cs"/>
          <w:rtl/>
        </w:rPr>
        <w:t>.</w:t>
      </w:r>
    </w:p>
  </w:footnote>
  <w:footnote w:id="380">
    <w:p w14:paraId="75CA9531" w14:textId="593FBD13" w:rsidR="00B14C37" w:rsidRDefault="00B14C37" w:rsidP="00B14C37">
      <w:pPr>
        <w:pStyle w:val="a5"/>
        <w:rPr>
          <w:rtl/>
        </w:rPr>
      </w:pPr>
      <w:r>
        <w:rPr>
          <w:rStyle w:val="a7"/>
        </w:rPr>
        <w:footnoteRef/>
      </w:r>
      <w:r>
        <w:rPr>
          <w:rtl/>
        </w:rPr>
        <w:t xml:space="preserve"> </w:t>
      </w:r>
      <w:r w:rsidRPr="008B165B">
        <w:rPr>
          <w:rFonts w:cs="Arial"/>
          <w:rtl/>
        </w:rPr>
        <w:t xml:space="preserve">הרמב"ם סובר דלא אמר </w:t>
      </w:r>
      <w:r w:rsidRPr="008B165B">
        <w:rPr>
          <w:rFonts w:cs="Arial" w:hint="cs"/>
          <w:rtl/>
        </w:rPr>
        <w:t>'</w:t>
      </w:r>
      <w:r w:rsidRPr="008B165B">
        <w:rPr>
          <w:rFonts w:cs="Arial"/>
          <w:rtl/>
        </w:rPr>
        <w:t>אטו מי אמר להו כתובו חספא והבו לה</w:t>
      </w:r>
      <w:r w:rsidRPr="008B165B">
        <w:rPr>
          <w:rFonts w:cs="Arial" w:hint="cs"/>
          <w:rtl/>
        </w:rPr>
        <w:t>'</w:t>
      </w:r>
      <w:r w:rsidRPr="008B165B">
        <w:rPr>
          <w:rFonts w:cs="Arial"/>
          <w:rtl/>
        </w:rPr>
        <w:t xml:space="preserve"> אלא כי אמר ותנו לה</w:t>
      </w:r>
      <w:r w:rsidRPr="008B165B">
        <w:rPr>
          <w:rFonts w:cs="Arial" w:hint="cs"/>
          <w:rtl/>
        </w:rPr>
        <w:t>,</w:t>
      </w:r>
      <w:r w:rsidRPr="008B165B">
        <w:rPr>
          <w:rFonts w:cs="Arial"/>
          <w:rtl/>
        </w:rPr>
        <w:t xml:space="preserve"> דכיון שצוה ליתן ליד האשה דעתו היתה שתתגרש באותה נתינה</w:t>
      </w:r>
      <w:r w:rsidRPr="008B165B">
        <w:rPr>
          <w:rFonts w:cs="Arial" w:hint="cs"/>
          <w:rtl/>
        </w:rPr>
        <w:t>.</w:t>
      </w:r>
      <w:r w:rsidRPr="008B165B">
        <w:rPr>
          <w:rFonts w:cs="Arial"/>
          <w:rtl/>
        </w:rPr>
        <w:t xml:space="preserve"> אבל כשצוה ליתן ביד השליח</w:t>
      </w:r>
      <w:r w:rsidRPr="008B165B">
        <w:rPr>
          <w:rFonts w:cs="Arial" w:hint="cs"/>
          <w:rtl/>
        </w:rPr>
        <w:t>,</w:t>
      </w:r>
      <w:r w:rsidRPr="008B165B">
        <w:rPr>
          <w:rFonts w:cs="Arial"/>
          <w:rtl/>
        </w:rPr>
        <w:t xml:space="preserve"> כיון שאפילו יהיה כשר אינה מתגרשת באותה נתינה</w:t>
      </w:r>
      <w:r>
        <w:rPr>
          <w:rFonts w:cs="Arial" w:hint="cs"/>
          <w:rtl/>
        </w:rPr>
        <w:t>,</w:t>
      </w:r>
      <w:r w:rsidRPr="00BB01C3">
        <w:rPr>
          <w:rFonts w:cs="Arial"/>
          <w:rtl/>
        </w:rPr>
        <w:t xml:space="preserve"> </w:t>
      </w:r>
      <w:r w:rsidRPr="008B165B">
        <w:rPr>
          <w:rFonts w:cs="Arial"/>
          <w:rtl/>
        </w:rPr>
        <w:t xml:space="preserve">כיון שנתנו גט לידו אפילו יהיה בטל </w:t>
      </w:r>
      <w:r>
        <w:rPr>
          <w:rFonts w:cs="Arial" w:hint="cs"/>
          <w:rtl/>
        </w:rPr>
        <w:t xml:space="preserve">- </w:t>
      </w:r>
      <w:r w:rsidRPr="008B165B">
        <w:rPr>
          <w:rFonts w:cs="Arial"/>
          <w:rtl/>
        </w:rPr>
        <w:t>עשו שליחותן</w:t>
      </w:r>
      <w:r>
        <w:rPr>
          <w:rFonts w:cs="Arial" w:hint="cs"/>
          <w:rtl/>
        </w:rPr>
        <w:t>.</w:t>
      </w:r>
      <w:r w:rsidRPr="00B14C37">
        <w:rPr>
          <w:rFonts w:cs="Arial"/>
          <w:rtl/>
        </w:rPr>
        <w:t xml:space="preserve"> </w:t>
      </w:r>
      <w:r w:rsidRPr="008B165B">
        <w:rPr>
          <w:rFonts w:cs="Arial"/>
          <w:rtl/>
        </w:rPr>
        <w:t>ומשמע דלדידיה היכא דכתבו גט מעליא ונתנו לשליח</w:t>
      </w:r>
      <w:r w:rsidRPr="008B165B">
        <w:rPr>
          <w:rFonts w:cs="Arial" w:hint="cs"/>
          <w:rtl/>
        </w:rPr>
        <w:t>,</w:t>
      </w:r>
      <w:r w:rsidRPr="008B165B">
        <w:rPr>
          <w:rFonts w:cs="Arial"/>
          <w:rtl/>
        </w:rPr>
        <w:t xml:space="preserve"> אפילו לא אמר </w:t>
      </w:r>
      <w:r w:rsidRPr="008B165B">
        <w:rPr>
          <w:rFonts w:cs="Arial" w:hint="cs"/>
          <w:rtl/>
        </w:rPr>
        <w:t>'</w:t>
      </w:r>
      <w:r w:rsidRPr="008B165B">
        <w:rPr>
          <w:rFonts w:cs="Arial"/>
          <w:rtl/>
        </w:rPr>
        <w:t>ויוליך</w:t>
      </w:r>
      <w:r w:rsidRPr="008B165B">
        <w:rPr>
          <w:rFonts w:cs="Arial" w:hint="cs"/>
          <w:rtl/>
        </w:rPr>
        <w:t>'</w:t>
      </w:r>
      <w:r w:rsidRPr="008B165B">
        <w:rPr>
          <w:rFonts w:cs="Arial"/>
          <w:rtl/>
        </w:rPr>
        <w:t xml:space="preserve"> פשיטא ודאי דעשו שליחותן ושוב אין כותבין ונותנין</w:t>
      </w:r>
      <w:r w:rsidR="00F15899">
        <w:rPr>
          <w:rFonts w:hint="cs"/>
          <w:rtl/>
        </w:rPr>
        <w:t>, ב"י</w:t>
      </w:r>
      <w:r w:rsidR="00F15899">
        <w:rPr>
          <w:rFonts w:cs="Arial" w:hint="cs"/>
          <w:rtl/>
        </w:rPr>
        <w:t>.</w:t>
      </w:r>
    </w:p>
  </w:footnote>
  <w:footnote w:id="381">
    <w:p w14:paraId="234CDCAA" w14:textId="07F4EC92" w:rsidR="00E41A94" w:rsidRDefault="00E41A94">
      <w:pPr>
        <w:pStyle w:val="a5"/>
      </w:pPr>
      <w:r>
        <w:rPr>
          <w:rStyle w:val="a7"/>
        </w:rPr>
        <w:footnoteRef/>
      </w:r>
      <w:r>
        <w:rPr>
          <w:rtl/>
        </w:rPr>
        <w:t xml:space="preserve"> </w:t>
      </w:r>
      <w:r w:rsidRPr="00400EED">
        <w:rPr>
          <w:rFonts w:cs="Arial"/>
          <w:rtl/>
        </w:rPr>
        <w:t>והרמב"ם לא כתב אלא בעיא דויוליך</w:t>
      </w:r>
      <w:r>
        <w:rPr>
          <w:rFonts w:cs="Arial" w:hint="cs"/>
          <w:rtl/>
        </w:rPr>
        <w:t>,</w:t>
      </w:r>
      <w:r w:rsidRPr="00400EED">
        <w:rPr>
          <w:rFonts w:cs="Arial"/>
          <w:rtl/>
        </w:rPr>
        <w:t xml:space="preserve"> משום דאפילו כי אמר ויוליך לא איפשיטא לן דכותבין כל שכן היכא דלא אמר ויוליך. אלא דמכל מקום קשה דהוה לה לכתוב דין היכא דלא אמר ויוליך</w:t>
      </w:r>
      <w:r>
        <w:rPr>
          <w:rFonts w:cs="Arial" w:hint="cs"/>
          <w:rtl/>
        </w:rPr>
        <w:t>,</w:t>
      </w:r>
      <w:r w:rsidRPr="00400EED">
        <w:rPr>
          <w:rFonts w:cs="Arial"/>
          <w:rtl/>
        </w:rPr>
        <w:t xml:space="preserve"> לאשמועינן דבהא נמי אם כתבו ונתנו לשליח גט אחר הויא ספק מגורשת</w:t>
      </w:r>
      <w:r>
        <w:rPr>
          <w:rFonts w:cs="Arial" w:hint="cs"/>
          <w:rtl/>
        </w:rPr>
        <w:t>.</w:t>
      </w:r>
      <w:r w:rsidRPr="00400EED">
        <w:rPr>
          <w:rFonts w:cs="Arial"/>
          <w:rtl/>
        </w:rPr>
        <w:t xml:space="preserve"> דהשתא דבאמר ויוליך כתב דהויא ספק מגורשת</w:t>
      </w:r>
      <w:r>
        <w:rPr>
          <w:rFonts w:cs="Arial" w:hint="cs"/>
          <w:rtl/>
        </w:rPr>
        <w:t>,</w:t>
      </w:r>
      <w:r w:rsidRPr="00400EED">
        <w:rPr>
          <w:rFonts w:cs="Arial"/>
          <w:rtl/>
        </w:rPr>
        <w:t xml:space="preserve"> איפשר למיטעי ולמידק דכי לא אמר ויוליך לא הויא מגורשת משום דעשו עדים שליחותן</w:t>
      </w:r>
      <w:r>
        <w:rPr>
          <w:rFonts w:cs="Arial" w:hint="cs"/>
          <w:rtl/>
        </w:rPr>
        <w:t>.</w:t>
      </w:r>
      <w:r w:rsidRPr="00400EED">
        <w:rPr>
          <w:rFonts w:cs="Arial"/>
          <w:rtl/>
        </w:rPr>
        <w:t xml:space="preserve"> ואפשר לדחוק ולומר דבעיא קמייתא לא מפרש לה הרמב"ם לענין אם עשו עדים שליחותן כמו בעיא בתרייתא אלא לענין אם יכולים העדים להיות שלוחים להולכה וכמו שפירש הרי"ף זכרונו לברכה</w:t>
      </w:r>
      <w:r>
        <w:rPr>
          <w:rFonts w:cs="Arial" w:hint="cs"/>
          <w:rtl/>
        </w:rPr>
        <w:t xml:space="preserve">, </w:t>
      </w:r>
      <w:r w:rsidRPr="003925BF">
        <w:rPr>
          <w:rFonts w:cs="Arial" w:hint="cs"/>
          <w:b/>
          <w:bCs/>
          <w:rtl/>
        </w:rPr>
        <w:t>ב"י</w:t>
      </w:r>
      <w:r>
        <w:rPr>
          <w:rFonts w:cs="Arial" w:hint="cs"/>
          <w:rtl/>
        </w:rPr>
        <w:t>.</w:t>
      </w:r>
      <w:r w:rsidR="008D2A8C" w:rsidRPr="008D2A8C">
        <w:rPr>
          <w:rtl/>
        </w:rPr>
        <w:t xml:space="preserve"> </w:t>
      </w:r>
      <w:r w:rsidR="008D2A8C">
        <w:rPr>
          <w:rFonts w:cs="Arial" w:hint="cs"/>
          <w:rtl/>
        </w:rPr>
        <w:t xml:space="preserve">וכתב </w:t>
      </w:r>
      <w:r w:rsidR="008D2A8C" w:rsidRPr="003925BF">
        <w:rPr>
          <w:rFonts w:cs="Arial" w:hint="cs"/>
          <w:b/>
          <w:bCs/>
          <w:rtl/>
        </w:rPr>
        <w:t>הגר"א</w:t>
      </w:r>
      <w:r w:rsidR="008D2A8C">
        <w:rPr>
          <w:rFonts w:cs="Arial" w:hint="cs"/>
          <w:rtl/>
        </w:rPr>
        <w:t xml:space="preserve"> (סק"ד) שדברי הב"י בזה </w:t>
      </w:r>
      <w:r w:rsidR="008D2A8C" w:rsidRPr="008D2A8C">
        <w:rPr>
          <w:rFonts w:cs="Arial"/>
          <w:rtl/>
        </w:rPr>
        <w:t>תמוהין</w:t>
      </w:r>
      <w:r w:rsidR="008D2A8C">
        <w:rPr>
          <w:rFonts w:hint="cs"/>
          <w:rtl/>
        </w:rPr>
        <w:t>.</w:t>
      </w:r>
    </w:p>
  </w:footnote>
  <w:footnote w:id="382">
    <w:p w14:paraId="2BFD453F" w14:textId="65FFDEF4" w:rsidR="008B165B" w:rsidRDefault="008B165B">
      <w:pPr>
        <w:pStyle w:val="a5"/>
      </w:pPr>
      <w:r>
        <w:rPr>
          <w:rStyle w:val="a7"/>
        </w:rPr>
        <w:footnoteRef/>
      </w:r>
      <w:r>
        <w:rPr>
          <w:rtl/>
        </w:rPr>
        <w:t xml:space="preserve"> </w:t>
      </w:r>
      <w:r>
        <w:rPr>
          <w:rFonts w:hint="cs"/>
          <w:rtl/>
        </w:rPr>
        <w:t>ז"ל הב"י</w:t>
      </w:r>
      <w:r w:rsidR="00CE6718">
        <w:rPr>
          <w:rFonts w:hint="cs"/>
          <w:rtl/>
        </w:rPr>
        <w:t>:</w:t>
      </w:r>
      <w:r>
        <w:rPr>
          <w:rFonts w:hint="cs"/>
          <w:rtl/>
        </w:rPr>
        <w:t xml:space="preserve"> </w:t>
      </w:r>
      <w:r w:rsidRPr="00400EED">
        <w:rPr>
          <w:rFonts w:cs="Arial"/>
          <w:rtl/>
        </w:rPr>
        <w:t>מפשט דברי רש"י משמע דעד כאן לא איבעיא לן אלא בכתב גיטא מעליא ונאבד</w:t>
      </w:r>
      <w:r>
        <w:rPr>
          <w:rFonts w:cs="Arial" w:hint="cs"/>
          <w:rtl/>
        </w:rPr>
        <w:t>,</w:t>
      </w:r>
      <w:r w:rsidRPr="00400EED">
        <w:rPr>
          <w:rFonts w:cs="Arial"/>
          <w:rtl/>
        </w:rPr>
        <w:t xml:space="preserve"> אבל אם נמצא בטל או פסול אחר שנתנוהו לשליח פשיטא לן דכותבין ונותנין אפילו מאה פעמים</w:t>
      </w:r>
      <w:r>
        <w:rPr>
          <w:rFonts w:cs="Arial" w:hint="cs"/>
          <w:rtl/>
        </w:rPr>
        <w:t>,</w:t>
      </w:r>
      <w:r w:rsidRPr="00400EED">
        <w:rPr>
          <w:rFonts w:cs="Arial"/>
          <w:rtl/>
        </w:rPr>
        <w:t xml:space="preserve"> דאפילו רבה מודה בהא</w:t>
      </w:r>
      <w:r>
        <w:rPr>
          <w:rFonts w:cs="Arial" w:hint="cs"/>
          <w:rtl/>
        </w:rPr>
        <w:t>,</w:t>
      </w:r>
      <w:r w:rsidRPr="00400EED">
        <w:rPr>
          <w:rFonts w:cs="Arial"/>
          <w:rtl/>
        </w:rPr>
        <w:t xml:space="preserve"> דאטו מי אמר להו כתובו חספא והבו לה</w:t>
      </w:r>
      <w:r>
        <w:rPr>
          <w:rFonts w:cs="Arial" w:hint="cs"/>
          <w:rtl/>
        </w:rPr>
        <w:t>,</w:t>
      </w:r>
      <w:r w:rsidRPr="00400EED">
        <w:rPr>
          <w:rFonts w:cs="Arial"/>
          <w:rtl/>
        </w:rPr>
        <w:t xml:space="preserve"> ומה לי לה</w:t>
      </w:r>
      <w:r>
        <w:rPr>
          <w:rFonts w:cs="Arial" w:hint="cs"/>
          <w:rtl/>
        </w:rPr>
        <w:t>,</w:t>
      </w:r>
      <w:r w:rsidRPr="00400EED">
        <w:rPr>
          <w:rFonts w:cs="Arial"/>
          <w:rtl/>
        </w:rPr>
        <w:t xml:space="preserve"> ומה לי לשליח</w:t>
      </w:r>
      <w:r>
        <w:rPr>
          <w:rFonts w:cs="Arial" w:hint="cs"/>
          <w:rtl/>
        </w:rPr>
        <w:t>.</w:t>
      </w:r>
      <w:r w:rsidRPr="00400EED">
        <w:rPr>
          <w:rFonts w:cs="Arial"/>
          <w:rtl/>
        </w:rPr>
        <w:t xml:space="preserve"> ועל פי זה כתב רבינו בסוף דבריו </w:t>
      </w:r>
      <w:r>
        <w:rPr>
          <w:rFonts w:cs="Arial" w:hint="cs"/>
          <w:rtl/>
        </w:rPr>
        <w:t>'</w:t>
      </w:r>
      <w:r w:rsidRPr="00400EED">
        <w:rPr>
          <w:rFonts w:cs="Arial"/>
          <w:rtl/>
        </w:rPr>
        <w:t>אבל אם כתבו גט פסול ונתנו לשליח ודאי יכולין לכתוב אחר</w:t>
      </w:r>
      <w:r>
        <w:rPr>
          <w:rFonts w:cs="Arial" w:hint="cs"/>
          <w:rtl/>
        </w:rPr>
        <w:t>'</w:t>
      </w:r>
      <w:r w:rsidRPr="00400EED">
        <w:rPr>
          <w:rFonts w:cs="Arial"/>
          <w:rtl/>
        </w:rPr>
        <w:t>.</w:t>
      </w:r>
    </w:p>
  </w:footnote>
  <w:footnote w:id="383">
    <w:p w14:paraId="54BA9880" w14:textId="0AFAD6B9" w:rsidR="00B14C37" w:rsidRDefault="00B14C37">
      <w:pPr>
        <w:pStyle w:val="a5"/>
      </w:pPr>
      <w:r>
        <w:rPr>
          <w:rStyle w:val="a7"/>
        </w:rPr>
        <w:footnoteRef/>
      </w:r>
      <w:r>
        <w:rPr>
          <w:rtl/>
        </w:rPr>
        <w:t xml:space="preserve"> </w:t>
      </w:r>
      <w:r w:rsidRPr="00400EED">
        <w:rPr>
          <w:rFonts w:cs="Arial"/>
          <w:rtl/>
        </w:rPr>
        <w:t xml:space="preserve">ויש לתמוה על רבינו שכתב סתם דבנאבד אם כתבו אחר הרי זו ספק מגורשת והוה ליה לפרושי דהיינו לרש"י אבל להרמב"ם כיון שהגט שנאבד היה כשר אם כתבו לה אחר בטל הוא. ועוד שכתב בפשיטות </w:t>
      </w:r>
      <w:r>
        <w:rPr>
          <w:rFonts w:cs="Arial" w:hint="cs"/>
          <w:rtl/>
        </w:rPr>
        <w:t>'</w:t>
      </w:r>
      <w:r w:rsidRPr="00400EED">
        <w:rPr>
          <w:rFonts w:cs="Arial"/>
          <w:rtl/>
        </w:rPr>
        <w:t>אבל אם כתב גט פסול ונתנו לשליח ודאי יכולין לכתוב גט אחר</w:t>
      </w:r>
      <w:r>
        <w:rPr>
          <w:rFonts w:cs="Arial" w:hint="cs"/>
          <w:rtl/>
        </w:rPr>
        <w:t>',</w:t>
      </w:r>
      <w:r w:rsidRPr="00400EED">
        <w:rPr>
          <w:rFonts w:cs="Arial"/>
          <w:rtl/>
        </w:rPr>
        <w:t xml:space="preserve"> והרי להרמב"ם היינו בעיין וספיקא הויא דהא סלקא בתיקו. ור</w:t>
      </w:r>
      <w:r w:rsidR="008D2A8C">
        <w:rPr>
          <w:rFonts w:cs="Arial" w:hint="cs"/>
          <w:rtl/>
        </w:rPr>
        <w:t>י"ו</w:t>
      </w:r>
      <w:r w:rsidRPr="00400EED">
        <w:rPr>
          <w:rFonts w:cs="Arial"/>
          <w:rtl/>
        </w:rPr>
        <w:t xml:space="preserve"> </w:t>
      </w:r>
      <w:r>
        <w:rPr>
          <w:rFonts w:cs="Arial" w:hint="cs"/>
          <w:rtl/>
        </w:rPr>
        <w:t>(</w:t>
      </w:r>
      <w:r w:rsidRPr="00400EED">
        <w:rPr>
          <w:rFonts w:cs="Arial"/>
          <w:rtl/>
        </w:rPr>
        <w:t>ח</w:t>
      </w:r>
      <w:r>
        <w:rPr>
          <w:rFonts w:cs="Arial" w:hint="cs"/>
          <w:rtl/>
        </w:rPr>
        <w:t>"</w:t>
      </w:r>
      <w:r w:rsidRPr="00400EED">
        <w:rPr>
          <w:rFonts w:cs="Arial"/>
          <w:rtl/>
        </w:rPr>
        <w:t>ג נכ"ד רט ע"ב) עירבב שני הפירושים וכתב בשם רש"י דבעיין היא היכא דנאבד או נמצא פסול</w:t>
      </w:r>
      <w:r>
        <w:rPr>
          <w:rFonts w:cs="Arial" w:hint="cs"/>
          <w:rtl/>
        </w:rPr>
        <w:t>.</w:t>
      </w:r>
      <w:r w:rsidRPr="00400EED">
        <w:rPr>
          <w:rFonts w:cs="Arial"/>
          <w:rtl/>
        </w:rPr>
        <w:t xml:space="preserve"> שסובר דנאבד דנקט רש"י לאו דוקא</w:t>
      </w:r>
      <w:r>
        <w:rPr>
          <w:rFonts w:cs="Arial" w:hint="cs"/>
          <w:rtl/>
        </w:rPr>
        <w:t xml:space="preserve">, </w:t>
      </w:r>
      <w:r w:rsidRPr="00400EED">
        <w:rPr>
          <w:rFonts w:cs="Arial"/>
          <w:rtl/>
        </w:rPr>
        <w:t>דהוא הדין לנמצא פסול אלא דחדא מינייהו נקט</w:t>
      </w:r>
      <w:r>
        <w:rPr>
          <w:rFonts w:cs="Arial" w:hint="cs"/>
          <w:rtl/>
        </w:rPr>
        <w:t>.</w:t>
      </w:r>
      <w:r w:rsidRPr="00400EED">
        <w:rPr>
          <w:rFonts w:cs="Arial"/>
          <w:rtl/>
        </w:rPr>
        <w:t xml:space="preserve"> ולפי דעתו הרמב"ם נמי דנקט נמצא פסול הוא הדין לנאבד</w:t>
      </w:r>
      <w:r>
        <w:rPr>
          <w:rFonts w:cs="Arial" w:hint="cs"/>
          <w:rtl/>
        </w:rPr>
        <w:t>,</w:t>
      </w:r>
      <w:r w:rsidRPr="00400EED">
        <w:rPr>
          <w:rFonts w:cs="Arial"/>
          <w:rtl/>
        </w:rPr>
        <w:t xml:space="preserve"> ואם כן תרווייהו הוו ספיקא. והמדקדק בלשון רש"י יראה שלא כיון אלא למה שפירשתי בו</w:t>
      </w:r>
      <w:r>
        <w:rPr>
          <w:rFonts w:cs="Arial" w:hint="cs"/>
          <w:rtl/>
        </w:rPr>
        <w:t>,</w:t>
      </w:r>
      <w:r w:rsidRPr="00400EED">
        <w:rPr>
          <w:rFonts w:cs="Arial"/>
          <w:rtl/>
        </w:rPr>
        <w:t xml:space="preserve"> וגם רבינו כך פירש דבריו</w:t>
      </w:r>
      <w:r>
        <w:rPr>
          <w:rFonts w:cs="Arial" w:hint="cs"/>
          <w:rtl/>
        </w:rPr>
        <w:t>,</w:t>
      </w:r>
      <w:r w:rsidRPr="00400EED">
        <w:rPr>
          <w:rFonts w:cs="Arial"/>
          <w:rtl/>
        </w:rPr>
        <w:t xml:space="preserve"> דאל</w:t>
      </w:r>
      <w:r w:rsidR="00E02557">
        <w:rPr>
          <w:rFonts w:cs="Arial" w:hint="cs"/>
          <w:rtl/>
        </w:rPr>
        <w:t>"</w:t>
      </w:r>
      <w:r w:rsidRPr="00400EED">
        <w:rPr>
          <w:rFonts w:cs="Arial"/>
          <w:rtl/>
        </w:rPr>
        <w:t xml:space="preserve">כ הא דכתב </w:t>
      </w:r>
      <w:r>
        <w:rPr>
          <w:rFonts w:cs="Arial" w:hint="cs"/>
          <w:rtl/>
        </w:rPr>
        <w:t>'</w:t>
      </w:r>
      <w:r w:rsidRPr="00400EED">
        <w:rPr>
          <w:rFonts w:cs="Arial"/>
          <w:rtl/>
        </w:rPr>
        <w:t>אבל אם כתבו גט פסול ונתנו לשליח ודאי יכולין לכתוב גט אחר</w:t>
      </w:r>
      <w:r>
        <w:rPr>
          <w:rFonts w:cs="Arial" w:hint="cs"/>
          <w:rtl/>
        </w:rPr>
        <w:t>'</w:t>
      </w:r>
      <w:r w:rsidRPr="00400EED">
        <w:rPr>
          <w:rFonts w:cs="Arial"/>
          <w:rtl/>
        </w:rPr>
        <w:t xml:space="preserve"> דלא כמאן</w:t>
      </w:r>
      <w:r>
        <w:rPr>
          <w:rFonts w:cs="Arial" w:hint="cs"/>
          <w:rtl/>
        </w:rPr>
        <w:t xml:space="preserve">, </w:t>
      </w:r>
      <w:r w:rsidRPr="00CE6718">
        <w:rPr>
          <w:rFonts w:cs="Arial" w:hint="cs"/>
          <w:b/>
          <w:bCs/>
          <w:rtl/>
        </w:rPr>
        <w:t>ב"י</w:t>
      </w:r>
      <w:r>
        <w:rPr>
          <w:rFonts w:cs="Arial" w:hint="cs"/>
          <w:rtl/>
        </w:rPr>
        <w:t>.</w:t>
      </w:r>
      <w:r w:rsidR="00E02557">
        <w:rPr>
          <w:rFonts w:hint="cs"/>
          <w:rtl/>
        </w:rPr>
        <w:t xml:space="preserve"> </w:t>
      </w:r>
      <w:r w:rsidR="00E02557" w:rsidRPr="00CE6718">
        <w:rPr>
          <w:rFonts w:hint="cs"/>
          <w:b/>
          <w:bCs/>
          <w:rtl/>
        </w:rPr>
        <w:t>והב"ש</w:t>
      </w:r>
      <w:r w:rsidR="00E02557">
        <w:rPr>
          <w:rFonts w:hint="cs"/>
          <w:rtl/>
        </w:rPr>
        <w:t xml:space="preserve"> (סק"ז) הסכים לכאורה לפירוש רי"ו וכתב שלכך נוטים דברי הה"מ.</w:t>
      </w:r>
    </w:p>
  </w:footnote>
  <w:footnote w:id="384">
    <w:p w14:paraId="01BD63C6" w14:textId="4457AF11" w:rsidR="00981074" w:rsidRDefault="00981074">
      <w:pPr>
        <w:pStyle w:val="a5"/>
        <w:rPr>
          <w:rtl/>
        </w:rPr>
      </w:pPr>
      <w:r>
        <w:rPr>
          <w:rStyle w:val="a7"/>
        </w:rPr>
        <w:footnoteRef/>
      </w:r>
      <w:r>
        <w:rPr>
          <w:rtl/>
        </w:rPr>
        <w:t xml:space="preserve"> </w:t>
      </w:r>
      <w:r w:rsidRPr="00981074">
        <w:rPr>
          <w:rFonts w:cs="Arial"/>
          <w:rtl/>
        </w:rPr>
        <w:t>בגמרא פרק התקבל בעי תרי בעייא ראשונה בלא ויוליך לה</w:t>
      </w:r>
      <w:r>
        <w:rPr>
          <w:rFonts w:cs="Arial" w:hint="cs"/>
          <w:rtl/>
        </w:rPr>
        <w:t>,</w:t>
      </w:r>
      <w:r w:rsidRPr="00981074">
        <w:rPr>
          <w:rFonts w:cs="Arial"/>
          <w:rtl/>
        </w:rPr>
        <w:t xml:space="preserve"> ובעיא שניה דקאמר ויוליך לה</w:t>
      </w:r>
      <w:r>
        <w:rPr>
          <w:rFonts w:cs="Arial" w:hint="cs"/>
          <w:rtl/>
        </w:rPr>
        <w:t>.</w:t>
      </w:r>
      <w:r w:rsidRPr="00981074">
        <w:rPr>
          <w:rFonts w:cs="Arial"/>
          <w:rtl/>
        </w:rPr>
        <w:t xml:space="preserve"> ורש"י מפרש לה לבעיא שניה באת"ל בבעיא ראשונה דעשו שליחותו דהא כל מה שצוותה עשו אכתי איכא למבעי באומר ויוליך לה</w:t>
      </w:r>
      <w:r>
        <w:rPr>
          <w:rFonts w:cs="Arial" w:hint="cs"/>
          <w:rtl/>
        </w:rPr>
        <w:t>.</w:t>
      </w:r>
      <w:r w:rsidRPr="00981074">
        <w:rPr>
          <w:rFonts w:cs="Arial"/>
          <w:rtl/>
        </w:rPr>
        <w:t xml:space="preserve"> ובטור פסק כאת"ל ע"פ שיטות הגאונים ע"כ כתב בבעיא ראשונה ודאי לא עשאן שלוחים ואפשר שגם הרמב"ם סובר כן ע"כ השמיט בעיא זו ונקט בעיא ויוליך לה דבהא איכא לאסתפוקי אבל בלא ויוליך פשוט דעשו שליחותן</w:t>
      </w:r>
      <w:r>
        <w:rPr>
          <w:rFonts w:cs="Arial" w:hint="cs"/>
          <w:rtl/>
        </w:rPr>
        <w:t>.</w:t>
      </w:r>
      <w:r w:rsidRPr="00981074">
        <w:rPr>
          <w:rFonts w:cs="Arial"/>
          <w:rtl/>
        </w:rPr>
        <w:t xml:space="preserve"> ובספר לחם משנה על הרמב"ם כתב להיפך שדעת הרמב"ם לפרש דלא כרש"י והאת"ל הוא בלא ויוליך דלא עשו שליחותן וכותבין אפי' מאה פעמים</w:t>
      </w:r>
      <w:r>
        <w:rPr>
          <w:rFonts w:cs="Arial" w:hint="cs"/>
          <w:rtl/>
        </w:rPr>
        <w:t>.</w:t>
      </w:r>
      <w:r w:rsidRPr="00981074">
        <w:rPr>
          <w:rFonts w:cs="Arial"/>
          <w:rtl/>
        </w:rPr>
        <w:t xml:space="preserve"> ועיין בב"י דדעתו דשני הבעיו' לא נפשטו ואין פוסקין כאת"ל</w:t>
      </w:r>
      <w:r>
        <w:rPr>
          <w:rFonts w:cs="Arial" w:hint="cs"/>
          <w:rtl/>
        </w:rPr>
        <w:t>...</w:t>
      </w:r>
      <w:r>
        <w:rPr>
          <w:rFonts w:hint="cs"/>
          <w:rtl/>
        </w:rPr>
        <w:t>, ח"מ (סק"ד).</w:t>
      </w:r>
    </w:p>
  </w:footnote>
  <w:footnote w:id="385">
    <w:p w14:paraId="1000DEBE" w14:textId="18732461" w:rsidR="008E4F0F" w:rsidRDefault="008E4F0F">
      <w:pPr>
        <w:pStyle w:val="a5"/>
        <w:rPr>
          <w:rtl/>
        </w:rPr>
      </w:pPr>
      <w:r>
        <w:rPr>
          <w:rStyle w:val="a7"/>
        </w:rPr>
        <w:footnoteRef/>
      </w:r>
      <w:r>
        <w:rPr>
          <w:rtl/>
        </w:rPr>
        <w:t xml:space="preserve"> </w:t>
      </w:r>
      <w:r w:rsidRPr="00E02557">
        <w:rPr>
          <w:rFonts w:cs="Arial"/>
          <w:rtl/>
        </w:rPr>
        <w:t xml:space="preserve">ועיין בס' ג"פ </w:t>
      </w:r>
      <w:r>
        <w:rPr>
          <w:rFonts w:cs="Arial" w:hint="cs"/>
          <w:rtl/>
        </w:rPr>
        <w:t>(</w:t>
      </w:r>
      <w:r w:rsidRPr="00E02557">
        <w:rPr>
          <w:rFonts w:cs="Arial"/>
          <w:rtl/>
        </w:rPr>
        <w:t>סקי"א</w:t>
      </w:r>
      <w:r>
        <w:rPr>
          <w:rFonts w:cs="Arial" w:hint="cs"/>
          <w:rtl/>
        </w:rPr>
        <w:t>)</w:t>
      </w:r>
      <w:r w:rsidRPr="00E02557">
        <w:rPr>
          <w:rFonts w:cs="Arial"/>
          <w:rtl/>
        </w:rPr>
        <w:t xml:space="preserve"> שהביאו ג"כ</w:t>
      </w:r>
      <w:r>
        <w:rPr>
          <w:rFonts w:cs="Arial" w:hint="cs"/>
          <w:rtl/>
        </w:rPr>
        <w:t>,</w:t>
      </w:r>
      <w:r w:rsidRPr="00E02557">
        <w:rPr>
          <w:rFonts w:cs="Arial"/>
          <w:rtl/>
        </w:rPr>
        <w:t xml:space="preserve"> וכתב עליו </w:t>
      </w:r>
      <w:r w:rsidR="000A0F5A">
        <w:rPr>
          <w:rFonts w:cs="Arial"/>
          <w:rtl/>
        </w:rPr>
        <w:t>וז"ל:</w:t>
      </w:r>
      <w:r w:rsidRPr="00E02557">
        <w:rPr>
          <w:rFonts w:cs="Arial"/>
          <w:rtl/>
        </w:rPr>
        <w:t xml:space="preserve"> ולדידי חזי לי הגם דמדברי רש"י יראה דהכי ס"ל</w:t>
      </w:r>
      <w:r>
        <w:rPr>
          <w:rFonts w:cs="Arial" w:hint="cs"/>
          <w:rtl/>
        </w:rPr>
        <w:t>,</w:t>
      </w:r>
      <w:r w:rsidRPr="00E02557">
        <w:rPr>
          <w:rFonts w:cs="Arial"/>
          <w:rtl/>
        </w:rPr>
        <w:t xml:space="preserve"> שאר הפוסקים הרמב"ם והטור וזולתם שהעתיקו סתם כתבו ותנו לשליח ולא פירשו דבשליח שעשאו הבעל איירי משמע דס"ל דאפי' הם העושים שליח מספקא לן דילמא סלקינהו כו'</w:t>
      </w:r>
      <w:r>
        <w:rPr>
          <w:rFonts w:cs="Arial" w:hint="cs"/>
          <w:rtl/>
        </w:rPr>
        <w:t>.</w:t>
      </w:r>
      <w:r w:rsidRPr="00E02557">
        <w:rPr>
          <w:rFonts w:cs="Arial"/>
          <w:rtl/>
        </w:rPr>
        <w:t xml:space="preserve"> אך בדיעבד ובשעת הדחק כדאי רש"י והרדב"ז לסמוך עליהם</w:t>
      </w:r>
      <w:r>
        <w:rPr>
          <w:rFonts w:cs="Arial" w:hint="cs"/>
          <w:rtl/>
        </w:rPr>
        <w:t>...</w:t>
      </w:r>
      <w:r w:rsidRPr="00E02557">
        <w:rPr>
          <w:rFonts w:cs="Arial"/>
          <w:rtl/>
        </w:rPr>
        <w:t xml:space="preserve"> ותו דהוי ס"ס</w:t>
      </w:r>
      <w:r>
        <w:rPr>
          <w:rFonts w:cs="Arial" w:hint="cs"/>
          <w:rtl/>
        </w:rPr>
        <w:t>...</w:t>
      </w:r>
      <w:r w:rsidRPr="00E02557">
        <w:rPr>
          <w:rFonts w:cs="Arial"/>
          <w:rtl/>
        </w:rPr>
        <w:t xml:space="preserve"> </w:t>
      </w:r>
      <w:r>
        <w:rPr>
          <w:rFonts w:cs="Arial" w:hint="cs"/>
          <w:rtl/>
        </w:rPr>
        <w:t xml:space="preserve">עכ"ל. </w:t>
      </w:r>
      <w:r w:rsidRPr="00E02557">
        <w:rPr>
          <w:rFonts w:cs="Arial"/>
          <w:rtl/>
        </w:rPr>
        <w:t>ועי' בס' ב"מ שפקפק על דין זה והניחו בצ"ע. אמנם כתב דאם הבעל עשה להם אף שלוחים להולכה</w:t>
      </w:r>
      <w:r>
        <w:rPr>
          <w:rFonts w:cs="Arial" w:hint="cs"/>
          <w:rtl/>
        </w:rPr>
        <w:t>,</w:t>
      </w:r>
      <w:r w:rsidRPr="00E02557">
        <w:rPr>
          <w:rFonts w:cs="Arial"/>
          <w:rtl/>
        </w:rPr>
        <w:t xml:space="preserve"> אלא שהם מעצמם מחמת אונס עשו שליח אחר בזה אין ספק שכולם מודים לרש"י</w:t>
      </w:r>
      <w:r>
        <w:rPr>
          <w:rFonts w:cs="Arial" w:hint="cs"/>
          <w:rtl/>
        </w:rPr>
        <w:t>, פת"ש (סק"י).</w:t>
      </w:r>
    </w:p>
  </w:footnote>
  <w:footnote w:id="386">
    <w:p w14:paraId="1C7D4C30" w14:textId="778A201C" w:rsidR="00F129AF" w:rsidRDefault="00F129AF">
      <w:pPr>
        <w:pStyle w:val="a5"/>
      </w:pPr>
      <w:r>
        <w:rPr>
          <w:rStyle w:val="a7"/>
        </w:rPr>
        <w:footnoteRef/>
      </w:r>
      <w:r>
        <w:rPr>
          <w:rtl/>
        </w:rPr>
        <w:t xml:space="preserve"> </w:t>
      </w:r>
      <w:r>
        <w:rPr>
          <w:rFonts w:hint="cs"/>
          <w:rtl/>
        </w:rPr>
        <w:t>סימן - כשר/כתיבת גט.</w:t>
      </w:r>
    </w:p>
  </w:footnote>
  <w:footnote w:id="387">
    <w:p w14:paraId="3ADE81C9" w14:textId="4D20D386" w:rsidR="00C262B2" w:rsidRDefault="00C262B2">
      <w:pPr>
        <w:pStyle w:val="a5"/>
      </w:pPr>
      <w:r>
        <w:rPr>
          <w:rStyle w:val="a7"/>
        </w:rPr>
        <w:footnoteRef/>
      </w:r>
      <w:r>
        <w:rPr>
          <w:rtl/>
        </w:rPr>
        <w:t xml:space="preserve"> </w:t>
      </w:r>
      <w:r w:rsidRPr="00C262B2">
        <w:rPr>
          <w:rFonts w:cs="Arial"/>
          <w:rtl/>
        </w:rPr>
        <w:t>במשנתינו שזלזלו בכתיבת גיטין הודיעך שאין שום כח לשמה בכתיבה אלא בחתימה</w:t>
      </w:r>
      <w:r>
        <w:rPr>
          <w:rFonts w:cs="Arial" w:hint="cs"/>
          <w:rtl/>
        </w:rPr>
        <w:t>, רש"י.</w:t>
      </w:r>
    </w:p>
  </w:footnote>
  <w:footnote w:id="388">
    <w:p w14:paraId="7A298802" w14:textId="63F5496A" w:rsidR="00995F55" w:rsidRDefault="00995F55" w:rsidP="00995F55">
      <w:pPr>
        <w:pStyle w:val="a5"/>
        <w:rPr>
          <w:rtl/>
        </w:rPr>
      </w:pPr>
      <w:r>
        <w:rPr>
          <w:rStyle w:val="a7"/>
        </w:rPr>
        <w:footnoteRef/>
      </w:r>
      <w:r>
        <w:rPr>
          <w:rtl/>
        </w:rPr>
        <w:t xml:space="preserve"> </w:t>
      </w:r>
      <w:r>
        <w:rPr>
          <w:rFonts w:cs="Arial"/>
          <w:rtl/>
        </w:rPr>
        <w:t xml:space="preserve">לדעת הרא"ש (סכ"ה) </w:t>
      </w:r>
      <w:r>
        <w:rPr>
          <w:rFonts w:cs="Arial" w:hint="cs"/>
          <w:rtl/>
        </w:rPr>
        <w:t>ורי"ו</w:t>
      </w:r>
      <w:r>
        <w:rPr>
          <w:rFonts w:cs="Arial"/>
          <w:rtl/>
        </w:rPr>
        <w:t xml:space="preserve"> (שם) זו היא שיטת הרי"ף (יא.) והרמ"ה (חידושי הרמ"ה כג. ד"ה אמר רב יהודה)</w:t>
      </w:r>
      <w:r>
        <w:rPr>
          <w:rFonts w:cs="Arial" w:hint="cs"/>
          <w:rtl/>
        </w:rPr>
        <w:t>.</w:t>
      </w:r>
      <w:r>
        <w:rPr>
          <w:rFonts w:cs="Arial"/>
          <w:rtl/>
        </w:rPr>
        <w:t xml:space="preserve"> ולהר"ן (יא: ד"ה ולענין) בחד לישנא כתב גם כן שזו היא שיטת הרי"ף</w:t>
      </w:r>
      <w:r>
        <w:rPr>
          <w:rFonts w:cs="Arial" w:hint="cs"/>
          <w:rtl/>
        </w:rPr>
        <w:t>.</w:t>
      </w:r>
      <w:r>
        <w:rPr>
          <w:rFonts w:cs="Arial"/>
          <w:rtl/>
        </w:rPr>
        <w:t xml:space="preserve"> וכתב ר</w:t>
      </w:r>
      <w:r>
        <w:rPr>
          <w:rFonts w:cs="Arial" w:hint="cs"/>
          <w:rtl/>
        </w:rPr>
        <w:t>י"ו</w:t>
      </w:r>
      <w:r>
        <w:rPr>
          <w:rFonts w:cs="Arial"/>
          <w:rtl/>
        </w:rPr>
        <w:t xml:space="preserve"> בח</w:t>
      </w:r>
      <w:r>
        <w:rPr>
          <w:rFonts w:cs="Arial" w:hint="cs"/>
          <w:rtl/>
        </w:rPr>
        <w:t>"</w:t>
      </w:r>
      <w:r>
        <w:rPr>
          <w:rFonts w:cs="Arial"/>
          <w:rtl/>
        </w:rPr>
        <w:t>ב (שם) שכן עיקר</w:t>
      </w:r>
      <w:r>
        <w:rPr>
          <w:rFonts w:cs="Arial" w:hint="cs"/>
          <w:rtl/>
        </w:rPr>
        <w:t>, ב"י.</w:t>
      </w:r>
    </w:p>
  </w:footnote>
  <w:footnote w:id="389">
    <w:p w14:paraId="2BBBEE39" w14:textId="7F5F870E" w:rsidR="00995F55" w:rsidRDefault="00995F55" w:rsidP="00995F55">
      <w:pPr>
        <w:pStyle w:val="a5"/>
        <w:rPr>
          <w:rtl/>
        </w:rPr>
      </w:pPr>
      <w:r>
        <w:rPr>
          <w:rStyle w:val="a7"/>
        </w:rPr>
        <w:footnoteRef/>
      </w:r>
      <w:r>
        <w:rPr>
          <w:rtl/>
        </w:rPr>
        <w:t xml:space="preserve"> </w:t>
      </w:r>
      <w:r w:rsidRPr="00995F55">
        <w:rPr>
          <w:rFonts w:cs="Arial"/>
          <w:rtl/>
        </w:rPr>
        <w:t>שיטה זו הזכירוה העיטור (ח"א מאמר שביעי כז ע"א) והר"ן (שם) וכתבו שהרי"ף שכתב שתי האוקימתות אפשר שנתכוין לשיטה זו</w:t>
      </w:r>
      <w:r w:rsidR="00C262B2">
        <w:rPr>
          <w:rFonts w:cs="Arial" w:hint="cs"/>
          <w:rtl/>
        </w:rPr>
        <w:t>,</w:t>
      </w:r>
      <w:r w:rsidRPr="00995F55">
        <w:rPr>
          <w:rFonts w:cs="Arial"/>
          <w:rtl/>
        </w:rPr>
        <w:t xml:space="preserve"> ואפשר שנתכוין לשיטה הקודמת וכדברי הרא"ש. מיהו העיטור נוטה לומר שנתכוין </w:t>
      </w:r>
      <w:r>
        <w:rPr>
          <w:rFonts w:cs="Arial" w:hint="cs"/>
          <w:sz w:val="16"/>
          <w:szCs w:val="16"/>
          <w:rtl/>
        </w:rPr>
        <w:t xml:space="preserve">{הרי"ף} </w:t>
      </w:r>
      <w:r w:rsidRPr="00995F55">
        <w:rPr>
          <w:rFonts w:cs="Arial"/>
          <w:rtl/>
        </w:rPr>
        <w:t>לשיטה זו</w:t>
      </w:r>
      <w:r>
        <w:rPr>
          <w:rFonts w:hint="cs"/>
          <w:rtl/>
        </w:rPr>
        <w:t>, ב"י.</w:t>
      </w:r>
    </w:p>
  </w:footnote>
  <w:footnote w:id="390">
    <w:p w14:paraId="3951059B" w14:textId="13097EF4" w:rsidR="00F26A57" w:rsidRPr="00F26A57" w:rsidRDefault="00F26A57">
      <w:pPr>
        <w:pStyle w:val="a5"/>
        <w:rPr>
          <w:sz w:val="14"/>
          <w:szCs w:val="14"/>
          <w:rtl/>
        </w:rPr>
      </w:pPr>
      <w:r>
        <w:rPr>
          <w:rStyle w:val="a7"/>
        </w:rPr>
        <w:footnoteRef/>
      </w:r>
      <w:r>
        <w:rPr>
          <w:rtl/>
        </w:rPr>
        <w:t xml:space="preserve"> </w:t>
      </w:r>
      <w:r>
        <w:rPr>
          <w:rFonts w:hint="cs"/>
          <w:rtl/>
        </w:rPr>
        <w:t xml:space="preserve">וכתב הב"י </w:t>
      </w:r>
      <w:r w:rsidR="000A0F5A">
        <w:rPr>
          <w:rFonts w:hint="cs"/>
          <w:rtl/>
        </w:rPr>
        <w:t>וז</w:t>
      </w:r>
      <w:r w:rsidR="000A0F5A">
        <w:rPr>
          <w:rtl/>
        </w:rPr>
        <w:t>"</w:t>
      </w:r>
      <w:r w:rsidR="000A0F5A">
        <w:rPr>
          <w:rFonts w:hint="cs"/>
          <w:rtl/>
        </w:rPr>
        <w:t>ל:</w:t>
      </w:r>
      <w:r>
        <w:rPr>
          <w:rFonts w:hint="cs"/>
          <w:rtl/>
        </w:rPr>
        <w:t xml:space="preserve"> </w:t>
      </w:r>
      <w:r w:rsidRPr="00910990">
        <w:rPr>
          <w:rFonts w:cs="Arial"/>
          <w:rtl/>
        </w:rPr>
        <w:t>וכל אלו הפירושים הם על דעת רש"י (כב: ד"ה והא) והתוספות (שם ד"ה והא)</w:t>
      </w:r>
      <w:r w:rsidR="00402BBC">
        <w:rPr>
          <w:rFonts w:cs="Arial" w:hint="cs"/>
          <w:sz w:val="16"/>
          <w:szCs w:val="16"/>
          <w:rtl/>
        </w:rPr>
        <w:t xml:space="preserve"> {והרא"ש}</w:t>
      </w:r>
      <w:r w:rsidRPr="00910990">
        <w:rPr>
          <w:rFonts w:cs="Arial" w:hint="cs"/>
          <w:rtl/>
        </w:rPr>
        <w:t>,</w:t>
      </w:r>
      <w:r w:rsidRPr="00910990">
        <w:rPr>
          <w:rFonts w:cs="Arial"/>
          <w:rtl/>
        </w:rPr>
        <w:t xml:space="preserve"> דכי פריך והא לאו בני דעה נינהו היינו לומר דבעינן כתיבה לשמה</w:t>
      </w:r>
      <w:r w:rsidRPr="00910990">
        <w:rPr>
          <w:rFonts w:cs="Arial" w:hint="cs"/>
          <w:rtl/>
        </w:rPr>
        <w:t>,</w:t>
      </w:r>
      <w:r w:rsidRPr="00910990">
        <w:rPr>
          <w:rFonts w:cs="Arial"/>
          <w:rtl/>
        </w:rPr>
        <w:t xml:space="preserve"> וכיון דלאו בני דעה נינהו לא ידעי למיכתב לשמה</w:t>
      </w:r>
      <w:r w:rsidRPr="00910990">
        <w:rPr>
          <w:rFonts w:cs="Arial" w:hint="cs"/>
          <w:rtl/>
        </w:rPr>
        <w:t>,</w:t>
      </w:r>
      <w:r w:rsidRPr="00910990">
        <w:rPr>
          <w:rFonts w:cs="Arial"/>
          <w:rtl/>
        </w:rPr>
        <w:t xml:space="preserve"> אבל מטעם שליחות לא פריך</w:t>
      </w:r>
      <w:r w:rsidRPr="00910990">
        <w:rPr>
          <w:rFonts w:cs="Arial" w:hint="cs"/>
          <w:rtl/>
        </w:rPr>
        <w:t>,</w:t>
      </w:r>
      <w:r w:rsidRPr="00910990">
        <w:rPr>
          <w:rFonts w:cs="Arial"/>
          <w:rtl/>
        </w:rPr>
        <w:t xml:space="preserve"> דלא בעינן שליחות לכתיבה</w:t>
      </w:r>
      <w:r w:rsidRPr="00910990">
        <w:rPr>
          <w:rFonts w:cs="Arial" w:hint="cs"/>
          <w:rtl/>
        </w:rPr>
        <w:t>.</w:t>
      </w:r>
      <w:r w:rsidRPr="00910990">
        <w:rPr>
          <w:rFonts w:cs="Arial"/>
          <w:rtl/>
        </w:rPr>
        <w:t xml:space="preserve"> וכיון דפירכא הויא אליבא דרבי אלעזר דקיימא לן כוותיה</w:t>
      </w:r>
      <w:r w:rsidRPr="00910990">
        <w:rPr>
          <w:rFonts w:cs="Arial" w:hint="cs"/>
          <w:rtl/>
        </w:rPr>
        <w:t>,</w:t>
      </w:r>
      <w:r w:rsidRPr="00910990">
        <w:rPr>
          <w:rFonts w:cs="Arial"/>
          <w:rtl/>
        </w:rPr>
        <w:t xml:space="preserve"> נקטינן כשינויא דמשני אההיא פירכא</w:t>
      </w:r>
      <w:r w:rsidRPr="00910990">
        <w:rPr>
          <w:rFonts w:cs="Arial" w:hint="cs"/>
          <w:rtl/>
        </w:rPr>
        <w:t>,</w:t>
      </w:r>
      <w:r w:rsidRPr="00910990">
        <w:rPr>
          <w:rFonts w:cs="Arial"/>
          <w:rtl/>
        </w:rPr>
        <w:t xml:space="preserve"> אי כרב הונא אי כרב יהודה</w:t>
      </w:r>
      <w:r w:rsidRPr="00910990">
        <w:rPr>
          <w:rFonts w:cs="Arial" w:hint="cs"/>
          <w:rtl/>
        </w:rPr>
        <w:t>,</w:t>
      </w:r>
      <w:r w:rsidRPr="00910990">
        <w:rPr>
          <w:rFonts w:cs="Arial"/>
          <w:rtl/>
        </w:rPr>
        <w:t xml:space="preserve"> ועל פי הפירושים שכתבתי.</w:t>
      </w:r>
      <w:r w:rsidRPr="00F26A57">
        <w:rPr>
          <w:rFonts w:cs="Arial"/>
          <w:rtl/>
        </w:rPr>
        <w:t xml:space="preserve"> </w:t>
      </w:r>
      <w:r w:rsidRPr="00910990">
        <w:rPr>
          <w:rFonts w:cs="Arial"/>
          <w:rtl/>
        </w:rPr>
        <w:t>אבל ר"י פירש</w:t>
      </w:r>
      <w:r>
        <w:rPr>
          <w:rFonts w:hint="cs"/>
          <w:rtl/>
        </w:rPr>
        <w:t xml:space="preserve">-... </w:t>
      </w:r>
      <w:r>
        <w:rPr>
          <w:rFonts w:hint="cs"/>
          <w:sz w:val="14"/>
          <w:szCs w:val="14"/>
          <w:rtl/>
        </w:rPr>
        <w:t>{עיין בהערה הבאה}</w:t>
      </w:r>
    </w:p>
  </w:footnote>
  <w:footnote w:id="391">
    <w:p w14:paraId="57A47217" w14:textId="31E91920" w:rsidR="00F26A57" w:rsidRDefault="00F26A57">
      <w:pPr>
        <w:pStyle w:val="a5"/>
        <w:rPr>
          <w:rtl/>
        </w:rPr>
      </w:pPr>
      <w:r>
        <w:rPr>
          <w:rStyle w:val="a7"/>
        </w:rPr>
        <w:footnoteRef/>
      </w:r>
      <w:r>
        <w:rPr>
          <w:rtl/>
        </w:rPr>
        <w:t xml:space="preserve"> </w:t>
      </w:r>
      <w:r w:rsidRPr="00910990">
        <w:rPr>
          <w:rFonts w:cs="Arial"/>
          <w:rtl/>
        </w:rPr>
        <w:t>אבל ר"י פירש עוד דהאי פירכא והאי שינויא לא הוי אלא לרבי מאיר דלא בעי כתיבה לשמה אלא מדרבנן</w:t>
      </w:r>
      <w:r w:rsidRPr="00910990">
        <w:rPr>
          <w:rFonts w:cs="Arial" w:hint="cs"/>
          <w:rtl/>
        </w:rPr>
        <w:t>,</w:t>
      </w:r>
      <w:r w:rsidRPr="00910990">
        <w:rPr>
          <w:rFonts w:cs="Arial"/>
          <w:rtl/>
        </w:rPr>
        <w:t xml:space="preserve"> אבל לרבי אלעזר דבעי כתיבה לשמה מדאורייתא פוסל אפילו בגדול עומד על גביו משום דבעינן שליחות בכתיבה</w:t>
      </w:r>
      <w:r w:rsidRPr="00910990">
        <w:rPr>
          <w:rFonts w:cs="Arial" w:hint="cs"/>
          <w:rtl/>
        </w:rPr>
        <w:t>.</w:t>
      </w:r>
      <w:r w:rsidRPr="00910990">
        <w:rPr>
          <w:rFonts w:cs="Arial"/>
          <w:rtl/>
        </w:rPr>
        <w:t xml:space="preserve"> כך כתב הרא"ש (סכ"ה) שיטה זו בשם ר"י. ולפי זה</w:t>
      </w:r>
      <w:r>
        <w:rPr>
          <w:rFonts w:hint="cs"/>
          <w:rtl/>
        </w:rPr>
        <w:t>-...</w:t>
      </w:r>
    </w:p>
  </w:footnote>
  <w:footnote w:id="392">
    <w:p w14:paraId="4D34CD78" w14:textId="18912969" w:rsidR="00402BBC" w:rsidRDefault="00B54F4B" w:rsidP="00402BBC">
      <w:pPr>
        <w:pStyle w:val="a5"/>
        <w:rPr>
          <w:rtl/>
        </w:rPr>
      </w:pPr>
      <w:r>
        <w:rPr>
          <w:rStyle w:val="a7"/>
        </w:rPr>
        <w:footnoteRef/>
      </w:r>
      <w:r>
        <w:rPr>
          <w:rtl/>
        </w:rPr>
        <w:t xml:space="preserve"> </w:t>
      </w:r>
      <w:r w:rsidRPr="00910990">
        <w:rPr>
          <w:rFonts w:cs="Arial"/>
          <w:rtl/>
        </w:rPr>
        <w:t>אבל התוספות שכתבו שיטה זו בשם ר"י לא כתבו דפשיטא ליה דבעינן שליחות לכתיבה אלא דספוקי מספקא ליה. והכל בו (סי' עו מו ע"ג) בשם הר"ר פרץ כתב לפסול אפילו בגדול עומד על גביו כשיטת ר"י שכתב הרא"ש</w:t>
      </w:r>
      <w:r w:rsidR="00402BBC">
        <w:rPr>
          <w:rFonts w:cs="Arial" w:hint="cs"/>
          <w:rtl/>
        </w:rPr>
        <w:t>,</w:t>
      </w:r>
      <w:r w:rsidRPr="00910990">
        <w:rPr>
          <w:rFonts w:cs="Arial"/>
          <w:rtl/>
        </w:rPr>
        <w:t xml:space="preserve"> וכן כתב גם בסמ"ק (סי' קפד)</w:t>
      </w:r>
      <w:r>
        <w:rPr>
          <w:rFonts w:hint="cs"/>
          <w:rtl/>
        </w:rPr>
        <w:t xml:space="preserve">, ב"י. </w:t>
      </w:r>
    </w:p>
  </w:footnote>
  <w:footnote w:id="393">
    <w:p w14:paraId="45B791A9" w14:textId="1F063ED2" w:rsidR="00F44803" w:rsidRDefault="00F44803">
      <w:pPr>
        <w:pStyle w:val="a5"/>
      </w:pPr>
      <w:r>
        <w:rPr>
          <w:rStyle w:val="a7"/>
        </w:rPr>
        <w:footnoteRef/>
      </w:r>
      <w:r>
        <w:rPr>
          <w:rtl/>
        </w:rPr>
        <w:t xml:space="preserve"> </w:t>
      </w:r>
      <w:r>
        <w:rPr>
          <w:rFonts w:hint="cs"/>
          <w:rtl/>
        </w:rPr>
        <w:t>סימן - כותב וכותב וכותב...</w:t>
      </w:r>
    </w:p>
  </w:footnote>
  <w:footnote w:id="394">
    <w:p w14:paraId="3C2DAA27" w14:textId="4A3D0B0B" w:rsidR="00702BAA" w:rsidRDefault="00702BAA">
      <w:pPr>
        <w:pStyle w:val="a5"/>
        <w:rPr>
          <w:rtl/>
        </w:rPr>
      </w:pPr>
      <w:r>
        <w:rPr>
          <w:rStyle w:val="a7"/>
        </w:rPr>
        <w:footnoteRef/>
      </w:r>
      <w:r>
        <w:rPr>
          <w:rtl/>
        </w:rPr>
        <w:t xml:space="preserve"> </w:t>
      </w:r>
      <w:r>
        <w:rPr>
          <w:rFonts w:cs="Arial" w:hint="cs"/>
          <w:rtl/>
        </w:rPr>
        <w:t xml:space="preserve">וגם </w:t>
      </w:r>
      <w:r w:rsidRPr="004F0972">
        <w:rPr>
          <w:rFonts w:cs="Arial"/>
          <w:rtl/>
        </w:rPr>
        <w:t>ר"י</w:t>
      </w:r>
      <w:r>
        <w:rPr>
          <w:rFonts w:cs="Arial" w:hint="cs"/>
          <w:rtl/>
        </w:rPr>
        <w:t xml:space="preserve"> לשיטתו כתב</w:t>
      </w:r>
      <w:r>
        <w:rPr>
          <w:rFonts w:cs="Arial" w:hint="cs"/>
          <w:sz w:val="16"/>
          <w:szCs w:val="16"/>
          <w:rtl/>
        </w:rPr>
        <w:t xml:space="preserve"> (כ"כ הרא"ש בשמו [שם])</w:t>
      </w:r>
      <w:r>
        <w:rPr>
          <w:rFonts w:cs="Arial" w:hint="cs"/>
          <w:rtl/>
        </w:rPr>
        <w:t xml:space="preserve"> דכיון </w:t>
      </w:r>
      <w:r w:rsidRPr="004F0972">
        <w:rPr>
          <w:rFonts w:cs="Arial"/>
          <w:rtl/>
        </w:rPr>
        <w:t xml:space="preserve">דבעינן שליחות בכתיבת הגט </w:t>
      </w:r>
      <w:r>
        <w:rPr>
          <w:rFonts w:cs="Arial" w:hint="cs"/>
          <w:rtl/>
        </w:rPr>
        <w:t xml:space="preserve">- </w:t>
      </w:r>
      <w:r w:rsidRPr="004F0972">
        <w:rPr>
          <w:rFonts w:cs="Arial"/>
          <w:rtl/>
        </w:rPr>
        <w:t>פסול העבד</w:t>
      </w:r>
      <w:r w:rsidRPr="004F0972">
        <w:rPr>
          <w:rFonts w:cs="Arial" w:hint="cs"/>
          <w:rtl/>
        </w:rPr>
        <w:t>.</w:t>
      </w:r>
    </w:p>
  </w:footnote>
  <w:footnote w:id="395">
    <w:p w14:paraId="5DE8D0D8" w14:textId="4144212F" w:rsidR="007311B0" w:rsidRDefault="007311B0">
      <w:pPr>
        <w:pStyle w:val="a5"/>
        <w:rPr>
          <w:rtl/>
        </w:rPr>
      </w:pPr>
      <w:r>
        <w:rPr>
          <w:rStyle w:val="a7"/>
        </w:rPr>
        <w:footnoteRef/>
      </w:r>
      <w:r>
        <w:rPr>
          <w:rtl/>
        </w:rPr>
        <w:t xml:space="preserve"> </w:t>
      </w:r>
      <w:r w:rsidR="00C10E81">
        <w:rPr>
          <w:rFonts w:cs="Arial" w:hint="cs"/>
          <w:rtl/>
        </w:rPr>
        <w:t xml:space="preserve">והוסיף עוד הרמב"ם </w:t>
      </w:r>
      <w:r w:rsidR="00C10E81" w:rsidRPr="00C10E81">
        <w:rPr>
          <w:rFonts w:cs="Arial" w:hint="cs"/>
          <w:sz w:val="16"/>
          <w:szCs w:val="16"/>
          <w:rtl/>
        </w:rPr>
        <w:t>(לשיטתו)</w:t>
      </w:r>
      <w:r w:rsidR="00C10E81">
        <w:rPr>
          <w:rFonts w:cs="Arial" w:hint="cs"/>
          <w:rtl/>
        </w:rPr>
        <w:t xml:space="preserve">, </w:t>
      </w:r>
      <w:r w:rsidR="000A0F5A">
        <w:rPr>
          <w:rFonts w:cs="Arial" w:hint="cs"/>
          <w:rtl/>
        </w:rPr>
        <w:t>וז</w:t>
      </w:r>
      <w:r w:rsidR="000A0F5A">
        <w:rPr>
          <w:rFonts w:cs="Arial"/>
          <w:rtl/>
        </w:rPr>
        <w:t>"</w:t>
      </w:r>
      <w:r w:rsidR="000A0F5A">
        <w:rPr>
          <w:rFonts w:cs="Arial" w:hint="cs"/>
          <w:rtl/>
        </w:rPr>
        <w:t>ל:</w:t>
      </w:r>
      <w:r w:rsidR="00C10E81">
        <w:rPr>
          <w:rFonts w:cs="Arial" w:hint="cs"/>
          <w:rtl/>
        </w:rPr>
        <w:t xml:space="preserve"> </w:t>
      </w:r>
      <w:r w:rsidRPr="00BE7829">
        <w:rPr>
          <w:rFonts w:cs="Arial" w:hint="cs"/>
          <w:rtl/>
        </w:rPr>
        <w:t>ולמה</w:t>
      </w:r>
      <w:r w:rsidRPr="00BE7829">
        <w:rPr>
          <w:rFonts w:cs="Arial"/>
          <w:rtl/>
        </w:rPr>
        <w:t xml:space="preserve"> </w:t>
      </w:r>
      <w:r w:rsidRPr="00BE7829">
        <w:rPr>
          <w:rFonts w:cs="Arial" w:hint="cs"/>
          <w:rtl/>
        </w:rPr>
        <w:t>אין</w:t>
      </w:r>
      <w:r w:rsidRPr="00BE7829">
        <w:rPr>
          <w:rFonts w:cs="Arial"/>
          <w:rtl/>
        </w:rPr>
        <w:t xml:space="preserve"> </w:t>
      </w:r>
      <w:r w:rsidRPr="00BE7829">
        <w:rPr>
          <w:rFonts w:cs="Arial" w:hint="cs"/>
          <w:rtl/>
        </w:rPr>
        <w:t>כותבין</w:t>
      </w:r>
      <w:r w:rsidRPr="00BE7829">
        <w:rPr>
          <w:rFonts w:cs="Arial"/>
          <w:rtl/>
        </w:rPr>
        <w:t xml:space="preserve"> </w:t>
      </w:r>
      <w:r w:rsidRPr="00BE7829">
        <w:rPr>
          <w:rFonts w:cs="Arial" w:hint="cs"/>
          <w:rtl/>
        </w:rPr>
        <w:t>אלו</w:t>
      </w:r>
      <w:r w:rsidRPr="00BE7829">
        <w:rPr>
          <w:rFonts w:cs="Arial"/>
          <w:rtl/>
        </w:rPr>
        <w:t xml:space="preserve"> </w:t>
      </w:r>
      <w:r w:rsidRPr="00BE7829">
        <w:rPr>
          <w:rFonts w:cs="Arial" w:hint="cs"/>
          <w:rtl/>
        </w:rPr>
        <w:t>החמשה</w:t>
      </w:r>
      <w:r w:rsidRPr="00BE7829">
        <w:rPr>
          <w:rFonts w:cs="Arial"/>
          <w:rtl/>
        </w:rPr>
        <w:t xml:space="preserve">, </w:t>
      </w:r>
      <w:r w:rsidRPr="00BE7829">
        <w:rPr>
          <w:rFonts w:cs="Arial" w:hint="cs"/>
          <w:rtl/>
        </w:rPr>
        <w:t>מפני</w:t>
      </w:r>
      <w:r w:rsidRPr="00BE7829">
        <w:rPr>
          <w:rFonts w:cs="Arial"/>
          <w:rtl/>
        </w:rPr>
        <w:t xml:space="preserve"> </w:t>
      </w:r>
      <w:r w:rsidRPr="00BE7829">
        <w:rPr>
          <w:rFonts w:cs="Arial" w:hint="cs"/>
          <w:rtl/>
        </w:rPr>
        <w:t>שצריך</w:t>
      </w:r>
      <w:r w:rsidRPr="00BE7829">
        <w:rPr>
          <w:rFonts w:cs="Arial"/>
          <w:rtl/>
        </w:rPr>
        <w:t xml:space="preserve"> </w:t>
      </w:r>
      <w:r w:rsidRPr="00BE7829">
        <w:rPr>
          <w:rFonts w:cs="Arial" w:hint="cs"/>
          <w:rtl/>
        </w:rPr>
        <w:t>הכותב</w:t>
      </w:r>
      <w:r w:rsidRPr="00BE7829">
        <w:rPr>
          <w:rFonts w:cs="Arial"/>
          <w:rtl/>
        </w:rPr>
        <w:t xml:space="preserve"> </w:t>
      </w:r>
      <w:r w:rsidRPr="00BE7829">
        <w:rPr>
          <w:rFonts w:cs="Arial" w:hint="cs"/>
          <w:rtl/>
        </w:rPr>
        <w:t>לכתוב</w:t>
      </w:r>
      <w:r w:rsidRPr="00BE7829">
        <w:rPr>
          <w:rFonts w:cs="Arial"/>
          <w:rtl/>
        </w:rPr>
        <w:t xml:space="preserve"> </w:t>
      </w:r>
      <w:r w:rsidRPr="00BE7829">
        <w:rPr>
          <w:rFonts w:cs="Arial" w:hint="cs"/>
          <w:rtl/>
        </w:rPr>
        <w:t>לשם</w:t>
      </w:r>
      <w:r w:rsidRPr="00BE7829">
        <w:rPr>
          <w:rFonts w:cs="Arial"/>
          <w:rtl/>
        </w:rPr>
        <w:t xml:space="preserve"> </w:t>
      </w:r>
      <w:r w:rsidRPr="00BE7829">
        <w:rPr>
          <w:rFonts w:cs="Arial" w:hint="cs"/>
          <w:rtl/>
        </w:rPr>
        <w:t>האיש</w:t>
      </w:r>
      <w:r w:rsidRPr="00BE7829">
        <w:rPr>
          <w:rFonts w:cs="Arial"/>
          <w:rtl/>
        </w:rPr>
        <w:t xml:space="preserve"> </w:t>
      </w:r>
      <w:r w:rsidRPr="00BE7829">
        <w:rPr>
          <w:rFonts w:cs="Arial" w:hint="cs"/>
          <w:rtl/>
        </w:rPr>
        <w:t>המגרש</w:t>
      </w:r>
      <w:r w:rsidRPr="00BE7829">
        <w:rPr>
          <w:rFonts w:cs="Arial"/>
          <w:rtl/>
        </w:rPr>
        <w:t xml:space="preserve"> </w:t>
      </w:r>
      <w:r w:rsidRPr="00BE7829">
        <w:rPr>
          <w:rFonts w:cs="Arial" w:hint="cs"/>
          <w:rtl/>
        </w:rPr>
        <w:t>ולשם</w:t>
      </w:r>
      <w:r w:rsidRPr="00BE7829">
        <w:rPr>
          <w:rFonts w:cs="Arial"/>
          <w:rtl/>
        </w:rPr>
        <w:t xml:space="preserve"> </w:t>
      </w:r>
      <w:r w:rsidRPr="00BE7829">
        <w:rPr>
          <w:rFonts w:cs="Arial" w:hint="cs"/>
          <w:rtl/>
        </w:rPr>
        <w:t>האשה</w:t>
      </w:r>
      <w:r w:rsidRPr="00BE7829">
        <w:rPr>
          <w:rFonts w:cs="Arial"/>
          <w:rtl/>
        </w:rPr>
        <w:t xml:space="preserve"> </w:t>
      </w:r>
      <w:r w:rsidRPr="00BE7829">
        <w:rPr>
          <w:rFonts w:cs="Arial" w:hint="cs"/>
          <w:rtl/>
        </w:rPr>
        <w:t>המתגרשת</w:t>
      </w:r>
      <w:r w:rsidRPr="00BE7829">
        <w:rPr>
          <w:rFonts w:cs="Arial"/>
          <w:rtl/>
        </w:rPr>
        <w:t xml:space="preserve">, </w:t>
      </w:r>
      <w:r w:rsidRPr="00BE7829">
        <w:rPr>
          <w:rFonts w:cs="Arial" w:hint="cs"/>
          <w:rtl/>
        </w:rPr>
        <w:t>והגוי</w:t>
      </w:r>
      <w:r w:rsidRPr="00BE7829">
        <w:rPr>
          <w:rFonts w:cs="Arial"/>
          <w:rtl/>
        </w:rPr>
        <w:t xml:space="preserve"> </w:t>
      </w:r>
      <w:r w:rsidRPr="00BE7829">
        <w:rPr>
          <w:rFonts w:cs="Arial" w:hint="cs"/>
          <w:rtl/>
        </w:rPr>
        <w:t>על</w:t>
      </w:r>
      <w:r w:rsidRPr="00BE7829">
        <w:rPr>
          <w:rFonts w:cs="Arial"/>
          <w:rtl/>
        </w:rPr>
        <w:t xml:space="preserve"> </w:t>
      </w:r>
      <w:r w:rsidRPr="00BE7829">
        <w:rPr>
          <w:rFonts w:cs="Arial" w:hint="cs"/>
          <w:rtl/>
        </w:rPr>
        <w:t>דעת</w:t>
      </w:r>
      <w:r w:rsidRPr="00BE7829">
        <w:rPr>
          <w:rFonts w:cs="Arial"/>
          <w:rtl/>
        </w:rPr>
        <w:t xml:space="preserve"> </w:t>
      </w:r>
      <w:r w:rsidRPr="00BE7829">
        <w:rPr>
          <w:rFonts w:cs="Arial" w:hint="cs"/>
          <w:rtl/>
        </w:rPr>
        <w:t>עצמו</w:t>
      </w:r>
      <w:r w:rsidRPr="00BE7829">
        <w:rPr>
          <w:rFonts w:cs="Arial"/>
          <w:rtl/>
        </w:rPr>
        <w:t xml:space="preserve"> </w:t>
      </w:r>
      <w:r w:rsidRPr="00BE7829">
        <w:rPr>
          <w:rFonts w:cs="Arial" w:hint="cs"/>
          <w:rtl/>
        </w:rPr>
        <w:t>הוא</w:t>
      </w:r>
      <w:r w:rsidRPr="00BE7829">
        <w:rPr>
          <w:rFonts w:cs="Arial"/>
          <w:rtl/>
        </w:rPr>
        <w:t xml:space="preserve"> </w:t>
      </w:r>
      <w:r w:rsidRPr="00BE7829">
        <w:rPr>
          <w:rFonts w:cs="Arial" w:hint="cs"/>
          <w:rtl/>
        </w:rPr>
        <w:t>כותב</w:t>
      </w:r>
      <w:r w:rsidRPr="00BE7829">
        <w:rPr>
          <w:rFonts w:cs="Arial"/>
          <w:rtl/>
        </w:rPr>
        <w:t xml:space="preserve">, </w:t>
      </w:r>
      <w:r w:rsidRPr="00BE7829">
        <w:rPr>
          <w:rFonts w:cs="Arial" w:hint="cs"/>
          <w:rtl/>
        </w:rPr>
        <w:t>וחרש</w:t>
      </w:r>
      <w:r w:rsidRPr="00BE7829">
        <w:rPr>
          <w:rFonts w:cs="Arial"/>
          <w:rtl/>
        </w:rPr>
        <w:t xml:space="preserve"> </w:t>
      </w:r>
      <w:r w:rsidRPr="00BE7829">
        <w:rPr>
          <w:rFonts w:cs="Arial" w:hint="cs"/>
          <w:rtl/>
        </w:rPr>
        <w:t>שוטה</w:t>
      </w:r>
      <w:r w:rsidRPr="00BE7829">
        <w:rPr>
          <w:rFonts w:cs="Arial"/>
          <w:rtl/>
        </w:rPr>
        <w:t xml:space="preserve"> </w:t>
      </w:r>
      <w:r w:rsidRPr="00BE7829">
        <w:rPr>
          <w:rFonts w:cs="Arial" w:hint="cs"/>
          <w:rtl/>
        </w:rPr>
        <w:t>וקטן</w:t>
      </w:r>
      <w:r w:rsidRPr="00BE7829">
        <w:rPr>
          <w:rFonts w:cs="Arial"/>
          <w:rtl/>
        </w:rPr>
        <w:t xml:space="preserve"> </w:t>
      </w:r>
      <w:r w:rsidRPr="00BE7829">
        <w:rPr>
          <w:rFonts w:cs="Arial" w:hint="cs"/>
          <w:rtl/>
        </w:rPr>
        <w:t>אינן</w:t>
      </w:r>
      <w:r w:rsidRPr="00BE7829">
        <w:rPr>
          <w:rFonts w:cs="Arial"/>
          <w:rtl/>
        </w:rPr>
        <w:t xml:space="preserve"> </w:t>
      </w:r>
      <w:r w:rsidRPr="00BE7829">
        <w:rPr>
          <w:rFonts w:cs="Arial" w:hint="cs"/>
          <w:rtl/>
        </w:rPr>
        <w:t>בני</w:t>
      </w:r>
      <w:r w:rsidRPr="00BE7829">
        <w:rPr>
          <w:rFonts w:cs="Arial"/>
          <w:rtl/>
        </w:rPr>
        <w:t xml:space="preserve"> </w:t>
      </w:r>
      <w:r w:rsidRPr="00BE7829">
        <w:rPr>
          <w:rFonts w:cs="Arial" w:hint="cs"/>
          <w:rtl/>
        </w:rPr>
        <w:t>דעת</w:t>
      </w:r>
      <w:r w:rsidRPr="00BE7829">
        <w:rPr>
          <w:rFonts w:cs="Arial"/>
          <w:rtl/>
        </w:rPr>
        <w:t xml:space="preserve">, </w:t>
      </w:r>
      <w:r w:rsidRPr="00BE7829">
        <w:rPr>
          <w:rFonts w:cs="Arial" w:hint="cs"/>
          <w:rtl/>
        </w:rPr>
        <w:t>והעבד</w:t>
      </w:r>
      <w:r w:rsidRPr="00BE7829">
        <w:rPr>
          <w:rFonts w:cs="Arial"/>
          <w:rtl/>
        </w:rPr>
        <w:t xml:space="preserve"> </w:t>
      </w:r>
      <w:r w:rsidRPr="00BE7829">
        <w:rPr>
          <w:rFonts w:cs="Arial" w:hint="cs"/>
          <w:rtl/>
        </w:rPr>
        <w:t>אינו</w:t>
      </w:r>
      <w:r w:rsidRPr="00BE7829">
        <w:rPr>
          <w:rFonts w:cs="Arial"/>
          <w:rtl/>
        </w:rPr>
        <w:t xml:space="preserve"> </w:t>
      </w:r>
      <w:r w:rsidRPr="00BE7829">
        <w:rPr>
          <w:rFonts w:cs="Arial" w:hint="cs"/>
          <w:rtl/>
        </w:rPr>
        <w:t>בתורת</w:t>
      </w:r>
      <w:r w:rsidRPr="00BE7829">
        <w:rPr>
          <w:rFonts w:cs="Arial"/>
          <w:rtl/>
        </w:rPr>
        <w:t xml:space="preserve"> </w:t>
      </w:r>
      <w:r w:rsidRPr="00BE7829">
        <w:rPr>
          <w:rFonts w:cs="Arial" w:hint="cs"/>
          <w:rtl/>
        </w:rPr>
        <w:t>גיטין</w:t>
      </w:r>
      <w:r w:rsidRPr="00BE7829">
        <w:rPr>
          <w:rFonts w:cs="Arial"/>
          <w:rtl/>
        </w:rPr>
        <w:t xml:space="preserve"> </w:t>
      </w:r>
      <w:r w:rsidRPr="00BE7829">
        <w:rPr>
          <w:rFonts w:cs="Arial" w:hint="cs"/>
          <w:rtl/>
        </w:rPr>
        <w:t>וקידושין</w:t>
      </w:r>
      <w:r w:rsidRPr="00BE7829">
        <w:rPr>
          <w:rFonts w:cs="Arial"/>
          <w:rtl/>
        </w:rPr>
        <w:t xml:space="preserve"> </w:t>
      </w:r>
      <w:r w:rsidRPr="00BE7829">
        <w:rPr>
          <w:rFonts w:cs="Arial" w:hint="cs"/>
          <w:rtl/>
        </w:rPr>
        <w:t>לפיכך</w:t>
      </w:r>
      <w:r w:rsidRPr="00BE7829">
        <w:rPr>
          <w:rFonts w:cs="Arial"/>
          <w:rtl/>
        </w:rPr>
        <w:t xml:space="preserve"> </w:t>
      </w:r>
      <w:r w:rsidRPr="00BE7829">
        <w:rPr>
          <w:rFonts w:cs="Arial" w:hint="cs"/>
          <w:rtl/>
        </w:rPr>
        <w:t>הוא</w:t>
      </w:r>
      <w:r w:rsidRPr="00BE7829">
        <w:rPr>
          <w:rFonts w:cs="Arial"/>
          <w:rtl/>
        </w:rPr>
        <w:t xml:space="preserve"> </w:t>
      </w:r>
      <w:r w:rsidRPr="00BE7829">
        <w:rPr>
          <w:rFonts w:cs="Arial" w:hint="cs"/>
          <w:rtl/>
        </w:rPr>
        <w:t>פסול</w:t>
      </w:r>
      <w:r w:rsidRPr="00BE7829">
        <w:rPr>
          <w:rFonts w:cs="Arial"/>
          <w:rtl/>
        </w:rPr>
        <w:t xml:space="preserve"> </w:t>
      </w:r>
      <w:r w:rsidRPr="00BE7829">
        <w:rPr>
          <w:rFonts w:cs="Arial" w:hint="cs"/>
          <w:rtl/>
        </w:rPr>
        <w:t>כגוי</w:t>
      </w:r>
      <w:r w:rsidRPr="00BE7829">
        <w:rPr>
          <w:rFonts w:cs="Arial"/>
          <w:rtl/>
        </w:rPr>
        <w:t xml:space="preserve"> </w:t>
      </w:r>
      <w:r w:rsidRPr="00BE7829">
        <w:rPr>
          <w:rFonts w:cs="Arial" w:hint="cs"/>
          <w:rtl/>
        </w:rPr>
        <w:t>לכל</w:t>
      </w:r>
      <w:r w:rsidRPr="00BE7829">
        <w:rPr>
          <w:rFonts w:cs="Arial"/>
          <w:rtl/>
        </w:rPr>
        <w:t xml:space="preserve"> </w:t>
      </w:r>
      <w:r w:rsidRPr="00BE7829">
        <w:rPr>
          <w:rFonts w:cs="Arial" w:hint="cs"/>
          <w:rtl/>
        </w:rPr>
        <w:t>דבריו</w:t>
      </w:r>
      <w:r>
        <w:rPr>
          <w:rFonts w:hint="cs"/>
          <w:rtl/>
        </w:rPr>
        <w:t>.</w:t>
      </w:r>
    </w:p>
  </w:footnote>
  <w:footnote w:id="396">
    <w:p w14:paraId="35722D39" w14:textId="77777777" w:rsidR="00C00CBE" w:rsidRDefault="00C00CBE" w:rsidP="00C00CBE">
      <w:pPr>
        <w:pStyle w:val="a5"/>
        <w:rPr>
          <w:rtl/>
        </w:rPr>
      </w:pPr>
      <w:r>
        <w:rPr>
          <w:rStyle w:val="a7"/>
        </w:rPr>
        <w:footnoteRef/>
      </w:r>
      <w:r>
        <w:rPr>
          <w:rtl/>
        </w:rPr>
        <w:t xml:space="preserve"> </w:t>
      </w:r>
      <w:r>
        <w:rPr>
          <w:rFonts w:cs="Arial" w:hint="cs"/>
          <w:rtl/>
        </w:rPr>
        <w:t xml:space="preserve">כ"כ </w:t>
      </w:r>
      <w:r w:rsidRPr="004F0972">
        <w:rPr>
          <w:rFonts w:cs="Arial"/>
          <w:rtl/>
        </w:rPr>
        <w:t xml:space="preserve">הר"ן (יא: סוד"ה ולענין הלכה) </w:t>
      </w:r>
      <w:r>
        <w:rPr>
          <w:rFonts w:cs="Arial" w:hint="cs"/>
          <w:rtl/>
        </w:rPr>
        <w:t xml:space="preserve">בשם </w:t>
      </w:r>
      <w:r w:rsidRPr="004F0972">
        <w:rPr>
          <w:rFonts w:cs="Arial"/>
          <w:rtl/>
        </w:rPr>
        <w:t>הרמב"ן</w:t>
      </w:r>
      <w:r>
        <w:rPr>
          <w:rFonts w:cs="Arial" w:hint="cs"/>
          <w:rtl/>
        </w:rPr>
        <w:t>, וכ"כ הה"מ בשם הרמב"ן והרשב"א.</w:t>
      </w:r>
      <w:r w:rsidRPr="00E71A02">
        <w:rPr>
          <w:rFonts w:cs="Arial"/>
          <w:rtl/>
        </w:rPr>
        <w:t xml:space="preserve"> </w:t>
      </w:r>
      <w:r w:rsidRPr="004F0972">
        <w:rPr>
          <w:rFonts w:cs="Arial"/>
          <w:rtl/>
        </w:rPr>
        <w:t>וכן כתב גם כן הרא"ש לפי שיטת רש"י דפירכת והא לאו בני דיעה נינהו משום דלא כתבי לשמה הוא</w:t>
      </w:r>
      <w:r w:rsidRPr="004F0972">
        <w:rPr>
          <w:rFonts w:cs="Arial" w:hint="cs"/>
          <w:rtl/>
        </w:rPr>
        <w:t>.</w:t>
      </w:r>
    </w:p>
  </w:footnote>
  <w:footnote w:id="397">
    <w:p w14:paraId="1E337545" w14:textId="0E493B21" w:rsidR="00980020" w:rsidRDefault="00980020" w:rsidP="00980020">
      <w:pPr>
        <w:pStyle w:val="a5"/>
        <w:rPr>
          <w:rtl/>
        </w:rPr>
      </w:pPr>
      <w:r>
        <w:rPr>
          <w:rStyle w:val="a7"/>
        </w:rPr>
        <w:footnoteRef/>
      </w:r>
      <w:r>
        <w:rPr>
          <w:rtl/>
        </w:rPr>
        <w:t xml:space="preserve"> </w:t>
      </w:r>
      <w:r w:rsidRPr="008C6D29">
        <w:rPr>
          <w:rFonts w:cs="Arial"/>
          <w:rtl/>
        </w:rPr>
        <w:t>ואיכא למידק כי כתב נכרי תורף אמאי בטל</w:t>
      </w:r>
      <w:r>
        <w:rPr>
          <w:rFonts w:cs="Arial" w:hint="cs"/>
          <w:rtl/>
        </w:rPr>
        <w:t>,</w:t>
      </w:r>
      <w:r w:rsidRPr="008C6D29">
        <w:rPr>
          <w:rFonts w:cs="Arial"/>
          <w:rtl/>
        </w:rPr>
        <w:t xml:space="preserve"> בודאי משום דנכרי אדעתא דנפשיה עביד ולא לשמה</w:t>
      </w:r>
      <w:r>
        <w:rPr>
          <w:rFonts w:cs="Arial" w:hint="cs"/>
          <w:rtl/>
        </w:rPr>
        <w:t>,</w:t>
      </w:r>
      <w:r w:rsidRPr="008C6D29">
        <w:rPr>
          <w:rFonts w:cs="Arial"/>
          <w:rtl/>
        </w:rPr>
        <w:t xml:space="preserve"> והאיכא לספוקי דילמא כתב לשמה</w:t>
      </w:r>
      <w:r w:rsidR="00C10E81">
        <w:rPr>
          <w:rFonts w:cs="Arial" w:hint="cs"/>
          <w:rtl/>
        </w:rPr>
        <w:t>!?</w:t>
      </w:r>
      <w:r w:rsidRPr="008C6D29">
        <w:rPr>
          <w:rFonts w:cs="Arial"/>
          <w:rtl/>
        </w:rPr>
        <w:t>. ונראה לי שלזה כיון ה</w:t>
      </w:r>
      <w:r w:rsidR="00C10E81">
        <w:rPr>
          <w:rFonts w:cs="Arial" w:hint="cs"/>
          <w:rtl/>
        </w:rPr>
        <w:t>ה"מ</w:t>
      </w:r>
      <w:r w:rsidRPr="008C6D29">
        <w:rPr>
          <w:rFonts w:cs="Arial"/>
          <w:rtl/>
        </w:rPr>
        <w:t xml:space="preserve"> שכתב </w:t>
      </w:r>
      <w:r w:rsidR="00704298">
        <w:rPr>
          <w:rFonts w:cs="Arial" w:hint="cs"/>
          <w:rtl/>
        </w:rPr>
        <w:t>'</w:t>
      </w:r>
      <w:r w:rsidRPr="008C6D29">
        <w:rPr>
          <w:rFonts w:cs="Arial"/>
          <w:rtl/>
        </w:rPr>
        <w:t>ואם כתב תורף י</w:t>
      </w:r>
      <w:r w:rsidR="00704298">
        <w:rPr>
          <w:rFonts w:cs="Arial" w:hint="cs"/>
          <w:rtl/>
        </w:rPr>
        <w:t>"ל</w:t>
      </w:r>
      <w:r w:rsidRPr="008C6D29">
        <w:rPr>
          <w:rFonts w:cs="Arial"/>
          <w:rtl/>
        </w:rPr>
        <w:t xml:space="preserve"> שהוא פסול ובטל</w:t>
      </w:r>
      <w:r w:rsidR="00704298">
        <w:rPr>
          <w:rFonts w:cs="Arial" w:hint="cs"/>
          <w:rtl/>
        </w:rPr>
        <w:t>'</w:t>
      </w:r>
      <w:r w:rsidRPr="008C6D29">
        <w:rPr>
          <w:rFonts w:cs="Arial"/>
          <w:rtl/>
        </w:rPr>
        <w:t xml:space="preserve"> ולא כתב </w:t>
      </w:r>
      <w:r w:rsidR="00704298">
        <w:rPr>
          <w:rFonts w:cs="Arial" w:hint="cs"/>
          <w:rtl/>
        </w:rPr>
        <w:t>'</w:t>
      </w:r>
      <w:r w:rsidRPr="008C6D29">
        <w:rPr>
          <w:rFonts w:cs="Arial"/>
          <w:rtl/>
        </w:rPr>
        <w:t>בטל הוא</w:t>
      </w:r>
      <w:r w:rsidR="00704298">
        <w:rPr>
          <w:rFonts w:cs="Arial" w:hint="cs"/>
          <w:rtl/>
        </w:rPr>
        <w:t>'</w:t>
      </w:r>
      <w:r w:rsidRPr="008C6D29">
        <w:rPr>
          <w:rFonts w:cs="Arial"/>
          <w:rtl/>
        </w:rPr>
        <w:t xml:space="preserve"> סתם</w:t>
      </w:r>
      <w:r>
        <w:rPr>
          <w:rFonts w:cs="Arial" w:hint="cs"/>
          <w:rtl/>
        </w:rPr>
        <w:t>,</w:t>
      </w:r>
      <w:r w:rsidRPr="008C6D29">
        <w:rPr>
          <w:rFonts w:cs="Arial"/>
          <w:rtl/>
        </w:rPr>
        <w:t xml:space="preserve"> משום דספוקי מספקא ליה כדפרישית</w:t>
      </w:r>
      <w:r w:rsidRPr="008C6D29">
        <w:rPr>
          <w:rFonts w:cs="Arial" w:hint="cs"/>
          <w:rtl/>
        </w:rPr>
        <w:t>.</w:t>
      </w:r>
      <w:r w:rsidRPr="008C6D29">
        <w:rPr>
          <w:rFonts w:cs="Arial"/>
          <w:rtl/>
        </w:rPr>
        <w:t xml:space="preserve"> ואע</w:t>
      </w:r>
      <w:r>
        <w:rPr>
          <w:rFonts w:cs="Arial" w:hint="cs"/>
          <w:rtl/>
        </w:rPr>
        <w:t>"</w:t>
      </w:r>
      <w:r w:rsidRPr="008C6D29">
        <w:rPr>
          <w:rFonts w:cs="Arial"/>
          <w:rtl/>
        </w:rPr>
        <w:t>פ שהרמב"ם כתב דבטל הוא</w:t>
      </w:r>
      <w:r>
        <w:rPr>
          <w:rFonts w:cs="Arial" w:hint="cs"/>
          <w:rtl/>
        </w:rPr>
        <w:t>,</w:t>
      </w:r>
      <w:r w:rsidRPr="008C6D29">
        <w:rPr>
          <w:rFonts w:cs="Arial"/>
          <w:rtl/>
        </w:rPr>
        <w:t xml:space="preserve"> לטעמיה אזיל דבעי בני כריתה לכתיבת גט</w:t>
      </w:r>
      <w:r w:rsidRPr="008C6D29">
        <w:rPr>
          <w:rFonts w:cs="Arial" w:hint="cs"/>
          <w:rtl/>
        </w:rPr>
        <w:t>.</w:t>
      </w:r>
      <w:r w:rsidRPr="008C6D29">
        <w:rPr>
          <w:rFonts w:cs="Arial"/>
          <w:rtl/>
        </w:rPr>
        <w:t xml:space="preserve"> אבל להרמב"ן והרשב"א דלכתיבת הגט לא בעי בני כריתה כמו שיתבאר בסמוך (ד"ה ומשומד) ולא מיפסל בנכרי אלא משום דאדעתא דנפשיה עביד</w:t>
      </w:r>
      <w:r>
        <w:rPr>
          <w:rFonts w:cs="Arial" w:hint="cs"/>
          <w:rtl/>
        </w:rPr>
        <w:t>,</w:t>
      </w:r>
      <w:r w:rsidRPr="008C6D29">
        <w:rPr>
          <w:rFonts w:cs="Arial"/>
          <w:rtl/>
        </w:rPr>
        <w:t xml:space="preserve"> איכא לספוקי כדפרישית</w:t>
      </w:r>
      <w:r>
        <w:rPr>
          <w:rFonts w:hint="cs"/>
          <w:rtl/>
        </w:rPr>
        <w:t>, ב"י.</w:t>
      </w:r>
    </w:p>
  </w:footnote>
  <w:footnote w:id="398">
    <w:p w14:paraId="14DEDEA4" w14:textId="414EA328" w:rsidR="00D93233" w:rsidRDefault="00D93233" w:rsidP="00D93233">
      <w:pPr>
        <w:pStyle w:val="a5"/>
      </w:pPr>
      <w:r>
        <w:rPr>
          <w:rStyle w:val="a7"/>
        </w:rPr>
        <w:footnoteRef/>
      </w:r>
      <w:r>
        <w:rPr>
          <w:rtl/>
        </w:rPr>
        <w:t xml:space="preserve"> </w:t>
      </w:r>
      <w:r>
        <w:rPr>
          <w:rFonts w:cs="Arial" w:hint="cs"/>
          <w:rtl/>
        </w:rPr>
        <w:t>ו</w:t>
      </w:r>
      <w:r w:rsidRPr="00CF422A">
        <w:rPr>
          <w:rFonts w:cs="Arial"/>
          <w:rtl/>
        </w:rPr>
        <w:t xml:space="preserve">מדברי הרמב"ם יראה דלא בעינן עומד על גביו </w:t>
      </w:r>
      <w:r>
        <w:rPr>
          <w:rFonts w:hint="cs"/>
          <w:sz w:val="16"/>
          <w:szCs w:val="16"/>
          <w:rtl/>
        </w:rPr>
        <w:t>{</w:t>
      </w:r>
      <w:r w:rsidRPr="0075271F">
        <w:rPr>
          <w:rFonts w:hint="cs"/>
          <w:sz w:val="16"/>
          <w:szCs w:val="16"/>
          <w:rtl/>
        </w:rPr>
        <w:t>בין בחש"ו ובין בגוי</w:t>
      </w:r>
      <w:r>
        <w:rPr>
          <w:rFonts w:hint="cs"/>
          <w:sz w:val="16"/>
          <w:szCs w:val="16"/>
          <w:rtl/>
        </w:rPr>
        <w:t>}</w:t>
      </w:r>
      <w:r w:rsidRPr="00CF422A">
        <w:rPr>
          <w:rFonts w:cs="Arial"/>
          <w:rtl/>
        </w:rPr>
        <w:t xml:space="preserve"> אלא לכתחילה</w:t>
      </w:r>
      <w:r>
        <w:rPr>
          <w:rFonts w:cs="Arial" w:hint="cs"/>
          <w:rtl/>
        </w:rPr>
        <w:t>, טור</w:t>
      </w:r>
      <w:r>
        <w:rPr>
          <w:rFonts w:hint="cs"/>
          <w:rtl/>
        </w:rPr>
        <w:t xml:space="preserve">. היינו שאם כתבו בלי גדול שעומד עליהם </w:t>
      </w:r>
      <w:r w:rsidR="00A42812">
        <w:rPr>
          <w:rtl/>
        </w:rPr>
        <w:t>-</w:t>
      </w:r>
      <w:r>
        <w:rPr>
          <w:rFonts w:hint="cs"/>
          <w:rtl/>
        </w:rPr>
        <w:t xml:space="preserve"> בדיעבד כשר. וכתב הטור כן משום שדעת הרא"ש לא ברורה בזה אם פוסל בדיעבד או שמכשיר.</w:t>
      </w:r>
    </w:p>
  </w:footnote>
  <w:footnote w:id="399">
    <w:p w14:paraId="450FF4B2" w14:textId="77777777" w:rsidR="00D93233" w:rsidRDefault="00D93233" w:rsidP="00D93233">
      <w:pPr>
        <w:pStyle w:val="a5"/>
        <w:rPr>
          <w:rtl/>
        </w:rPr>
      </w:pPr>
      <w:r>
        <w:rPr>
          <w:rStyle w:val="a7"/>
        </w:rPr>
        <w:footnoteRef/>
      </w:r>
      <w:r>
        <w:rPr>
          <w:rtl/>
        </w:rPr>
        <w:t xml:space="preserve"> </w:t>
      </w:r>
      <w:r w:rsidRPr="00C15B74">
        <w:rPr>
          <w:rFonts w:cs="Arial"/>
          <w:rtl/>
        </w:rPr>
        <w:t>והיינו אפילו אין גדול עומד על גביו דכיון דאדעתא דנפשיה עביד כי גדול עומד על גביו מאי הוי</w:t>
      </w:r>
      <w:r>
        <w:rPr>
          <w:rFonts w:cs="Arial" w:hint="cs"/>
          <w:rtl/>
        </w:rPr>
        <w:t>..</w:t>
      </w:r>
      <w:r>
        <w:rPr>
          <w:rFonts w:hint="cs"/>
          <w:rtl/>
        </w:rPr>
        <w:t>.</w:t>
      </w:r>
      <w:r w:rsidRPr="00002CE3">
        <w:rPr>
          <w:rFonts w:cs="Arial" w:hint="cs"/>
          <w:rtl/>
        </w:rPr>
        <w:t xml:space="preserve"> </w:t>
      </w:r>
      <w:r>
        <w:rPr>
          <w:rFonts w:cs="Arial" w:hint="cs"/>
          <w:rtl/>
        </w:rPr>
        <w:t>ו</w:t>
      </w:r>
      <w:r w:rsidRPr="002C6E9D">
        <w:rPr>
          <w:rFonts w:cs="Arial"/>
          <w:rtl/>
        </w:rPr>
        <w:t xml:space="preserve">כתב </w:t>
      </w:r>
      <w:r>
        <w:rPr>
          <w:rFonts w:cs="Arial" w:hint="cs"/>
          <w:rtl/>
        </w:rPr>
        <w:t>רי"ו</w:t>
      </w:r>
      <w:r w:rsidRPr="002C6E9D">
        <w:rPr>
          <w:rFonts w:cs="Arial"/>
          <w:rtl/>
        </w:rPr>
        <w:t xml:space="preserve"> </w:t>
      </w:r>
      <w:r>
        <w:rPr>
          <w:rFonts w:cs="Arial" w:hint="cs"/>
          <w:rtl/>
        </w:rPr>
        <w:t>(</w:t>
      </w:r>
      <w:r w:rsidRPr="002C6E9D">
        <w:rPr>
          <w:rFonts w:cs="Arial"/>
          <w:rtl/>
        </w:rPr>
        <w:t>ח</w:t>
      </w:r>
      <w:r>
        <w:rPr>
          <w:rFonts w:cs="Arial" w:hint="cs"/>
          <w:rtl/>
        </w:rPr>
        <w:t>"</w:t>
      </w:r>
      <w:r w:rsidRPr="002C6E9D">
        <w:rPr>
          <w:rFonts w:cs="Arial"/>
          <w:rtl/>
        </w:rPr>
        <w:t>ב נכ"ד רד ע"ב) דלפירוש רש"י חרש שוטה וקטן אפילו אין אחר עומד על גביו יכול לכתוב טופס</w:t>
      </w:r>
      <w:r>
        <w:rPr>
          <w:rFonts w:cs="Arial" w:hint="cs"/>
          <w:rtl/>
        </w:rPr>
        <w:t>.</w:t>
      </w:r>
      <w:r w:rsidRPr="002C6E9D">
        <w:rPr>
          <w:rFonts w:cs="Arial"/>
          <w:rtl/>
        </w:rPr>
        <w:t xml:space="preserve"> ואח</w:t>
      </w:r>
      <w:r>
        <w:rPr>
          <w:rFonts w:cs="Arial" w:hint="cs"/>
          <w:rtl/>
        </w:rPr>
        <w:t>"</w:t>
      </w:r>
      <w:r w:rsidRPr="002C6E9D">
        <w:rPr>
          <w:rFonts w:cs="Arial"/>
          <w:rtl/>
        </w:rPr>
        <w:t>כ כתב דנכרי יש מפרשים כי לכתוב טופס דינו כחרש שוטה וקטן וכן נראה שיטת רש"י</w:t>
      </w:r>
      <w:r>
        <w:rPr>
          <w:rFonts w:cs="Arial" w:hint="cs"/>
          <w:rtl/>
        </w:rPr>
        <w:t>.</w:t>
      </w:r>
      <w:r w:rsidRPr="002C6E9D">
        <w:rPr>
          <w:rFonts w:cs="Arial"/>
          <w:rtl/>
        </w:rPr>
        <w:t xml:space="preserve"> עכ"ל. ולפי זה לדעת רש"י נכרי כותב טופס אפילו אין אחר עומד על גביו</w:t>
      </w:r>
      <w:r>
        <w:rPr>
          <w:rFonts w:cs="Arial" w:hint="cs"/>
          <w:rtl/>
        </w:rPr>
        <w:t>.</w:t>
      </w:r>
      <w:r w:rsidRPr="002C6E9D">
        <w:rPr>
          <w:rFonts w:cs="Arial"/>
          <w:rtl/>
        </w:rPr>
        <w:t xml:space="preserve"> ואני דקדקתי דברי רש"י בסוגיא זו ולא מצאתי מקום שיגלה שדעתו כן</w:t>
      </w:r>
      <w:r>
        <w:rPr>
          <w:rFonts w:cs="Arial" w:hint="cs"/>
          <w:rtl/>
        </w:rPr>
        <w:t>, ב"י.</w:t>
      </w:r>
    </w:p>
  </w:footnote>
  <w:footnote w:id="400">
    <w:p w14:paraId="102B3692" w14:textId="355E16B6" w:rsidR="00D93233" w:rsidRDefault="00D93233" w:rsidP="00D93233">
      <w:pPr>
        <w:pStyle w:val="a5"/>
        <w:rPr>
          <w:rtl/>
        </w:rPr>
      </w:pPr>
      <w:r>
        <w:rPr>
          <w:rStyle w:val="a7"/>
        </w:rPr>
        <w:footnoteRef/>
      </w:r>
      <w:r>
        <w:rPr>
          <w:rtl/>
        </w:rPr>
        <w:t xml:space="preserve"> </w:t>
      </w:r>
      <w:r w:rsidRPr="00C15B74">
        <w:rPr>
          <w:rFonts w:cs="Arial"/>
          <w:rtl/>
        </w:rPr>
        <w:t>והר"ן כשפירש דברי הרי"ף כשיטת הרמב"ם כתב</w:t>
      </w:r>
      <w:r w:rsidR="007A4BCF">
        <w:rPr>
          <w:rFonts w:cs="Arial" w:hint="cs"/>
          <w:rtl/>
        </w:rPr>
        <w:t>:</w:t>
      </w:r>
      <w:r w:rsidRPr="00C15B74">
        <w:rPr>
          <w:rFonts w:cs="Arial"/>
          <w:rtl/>
        </w:rPr>
        <w:t xml:space="preserve"> ובנכרי גדול עומד על גביו אפילו בטופס לא מהני מידי [עכ"ל]</w:t>
      </w:r>
      <w:r>
        <w:rPr>
          <w:rFonts w:cs="Arial" w:hint="cs"/>
          <w:rtl/>
        </w:rPr>
        <w:t>.</w:t>
      </w:r>
      <w:r w:rsidRPr="00C15B74">
        <w:rPr>
          <w:rFonts w:cs="Arial"/>
          <w:rtl/>
        </w:rPr>
        <w:t xml:space="preserve"> ולישנא דלא מהני מידי משמע דאפילו בדיעבד נמי פסול. וכשפירש דברי הרי"ף כמו שנוטה דעת העיטור כתב</w:t>
      </w:r>
      <w:r>
        <w:rPr>
          <w:rFonts w:cs="Arial" w:hint="cs"/>
          <w:rtl/>
        </w:rPr>
        <w:t>-</w:t>
      </w:r>
      <w:r w:rsidRPr="00C15B74">
        <w:rPr>
          <w:rFonts w:cs="Arial"/>
          <w:rtl/>
        </w:rPr>
        <w:t xml:space="preserve"> אבל נכרי בשייר מקום תורף כשר</w:t>
      </w:r>
      <w:r>
        <w:rPr>
          <w:rFonts w:cs="Arial" w:hint="cs"/>
          <w:rtl/>
        </w:rPr>
        <w:t>,</w:t>
      </w:r>
      <w:r w:rsidRPr="00C15B74">
        <w:rPr>
          <w:rFonts w:cs="Arial"/>
          <w:rtl/>
        </w:rPr>
        <w:t xml:space="preserve"> אבל אחרים עומדים על גביו פסול</w:t>
      </w:r>
      <w:r>
        <w:rPr>
          <w:rFonts w:cs="Arial" w:hint="cs"/>
          <w:rtl/>
        </w:rPr>
        <w:t>,</w:t>
      </w:r>
      <w:r w:rsidRPr="00C15B74">
        <w:rPr>
          <w:rFonts w:cs="Arial"/>
          <w:rtl/>
        </w:rPr>
        <w:t xml:space="preserve"> דאדעתא דנפשיה עביד עכ</w:t>
      </w:r>
      <w:r>
        <w:rPr>
          <w:rFonts w:cs="Arial" w:hint="cs"/>
          <w:rtl/>
        </w:rPr>
        <w:t>"</w:t>
      </w:r>
      <w:r w:rsidRPr="00C15B74">
        <w:rPr>
          <w:rFonts w:cs="Arial"/>
          <w:rtl/>
        </w:rPr>
        <w:t>ל</w:t>
      </w:r>
      <w:r>
        <w:rPr>
          <w:rFonts w:cs="Arial" w:hint="cs"/>
          <w:rtl/>
        </w:rPr>
        <w:t>.</w:t>
      </w:r>
      <w:r w:rsidRPr="00C15B74">
        <w:rPr>
          <w:rFonts w:cs="Arial"/>
          <w:rtl/>
        </w:rPr>
        <w:t xml:space="preserve"> ופסול דנקט לאו דוקא דבטל נמי הוי כיון שכתב תורף שלא לשמה אלא אדעתא דנפשיה</w:t>
      </w:r>
      <w:r>
        <w:rPr>
          <w:rFonts w:cs="Arial" w:hint="cs"/>
          <w:rtl/>
        </w:rPr>
        <w:t>,</w:t>
      </w:r>
      <w:r w:rsidRPr="00C15B74">
        <w:rPr>
          <w:rFonts w:cs="Arial"/>
          <w:rtl/>
        </w:rPr>
        <w:t xml:space="preserve"> ואפשר דספק בטל הוא וכמו שאבאר בסמוך</w:t>
      </w:r>
      <w:r>
        <w:rPr>
          <w:rFonts w:cs="Arial" w:hint="cs"/>
          <w:rtl/>
        </w:rPr>
        <w:t>...</w:t>
      </w:r>
      <w:r w:rsidRPr="00002CE3">
        <w:rPr>
          <w:rFonts w:cs="Arial"/>
          <w:rtl/>
        </w:rPr>
        <w:t xml:space="preserve"> </w:t>
      </w:r>
      <w:r w:rsidRPr="00C15B74">
        <w:rPr>
          <w:rFonts w:cs="Arial"/>
          <w:rtl/>
        </w:rPr>
        <w:t>והרא"ש (שם) כתב ונכרי דאדעתא דנפשיה עביד אפילו טופס לא דגזרינן אטו תורף</w:t>
      </w:r>
      <w:r>
        <w:rPr>
          <w:rFonts w:cs="Arial" w:hint="cs"/>
          <w:rtl/>
        </w:rPr>
        <w:t>.</w:t>
      </w:r>
      <w:r w:rsidRPr="00C15B74">
        <w:rPr>
          <w:rFonts w:cs="Arial"/>
          <w:rtl/>
        </w:rPr>
        <w:t xml:space="preserve"> ואין בדבריו הכרע אי מכשיר בדיעבד אי לא</w:t>
      </w:r>
      <w:r>
        <w:rPr>
          <w:rFonts w:cs="Arial" w:hint="cs"/>
          <w:rtl/>
        </w:rPr>
        <w:t>,</w:t>
      </w:r>
      <w:r>
        <w:rPr>
          <w:rFonts w:hint="cs"/>
          <w:rtl/>
        </w:rPr>
        <w:t xml:space="preserve"> ב"י.</w:t>
      </w:r>
    </w:p>
  </w:footnote>
  <w:footnote w:id="401">
    <w:p w14:paraId="6A7AE34B" w14:textId="77777777" w:rsidR="00B16C73" w:rsidRDefault="00B16C73" w:rsidP="00B16C73">
      <w:pPr>
        <w:pStyle w:val="a5"/>
      </w:pPr>
      <w:r>
        <w:rPr>
          <w:rStyle w:val="a7"/>
        </w:rPr>
        <w:footnoteRef/>
      </w:r>
      <w:r>
        <w:rPr>
          <w:rtl/>
        </w:rPr>
        <w:t xml:space="preserve"> </w:t>
      </w:r>
      <w:r>
        <w:rPr>
          <w:rFonts w:cs="Arial"/>
          <w:rtl/>
        </w:rPr>
        <w:t>כן פירש רש"י (ד"ה כותבת את גיטה) והר"ן (יא. ד"ה מתני' הכל כשרין לכתוב)</w:t>
      </w:r>
      <w:r>
        <w:rPr>
          <w:rFonts w:cs="Arial" w:hint="cs"/>
          <w:rtl/>
        </w:rPr>
        <w:t>.</w:t>
      </w:r>
      <w:r>
        <w:rPr>
          <w:rFonts w:cs="Arial"/>
          <w:rtl/>
        </w:rPr>
        <w:t xml:space="preserve"> וכ</w:t>
      </w:r>
      <w:r>
        <w:rPr>
          <w:rFonts w:cs="Arial" w:hint="cs"/>
          <w:rtl/>
        </w:rPr>
        <w:t>"</w:t>
      </w:r>
      <w:r>
        <w:rPr>
          <w:rFonts w:cs="Arial"/>
          <w:rtl/>
        </w:rPr>
        <w:t>כ ר</w:t>
      </w:r>
      <w:r>
        <w:rPr>
          <w:rFonts w:cs="Arial" w:hint="cs"/>
          <w:rtl/>
        </w:rPr>
        <w:t>י"ו</w:t>
      </w:r>
      <w:r>
        <w:rPr>
          <w:rFonts w:cs="Arial"/>
          <w:rtl/>
        </w:rPr>
        <w:t xml:space="preserve"> </w:t>
      </w:r>
      <w:r>
        <w:rPr>
          <w:rFonts w:cs="Arial" w:hint="cs"/>
          <w:rtl/>
        </w:rPr>
        <w:t>(</w:t>
      </w:r>
      <w:r>
        <w:rPr>
          <w:rFonts w:cs="Arial"/>
          <w:rtl/>
        </w:rPr>
        <w:t>ח</w:t>
      </w:r>
      <w:r>
        <w:rPr>
          <w:rFonts w:cs="Arial" w:hint="cs"/>
          <w:rtl/>
        </w:rPr>
        <w:t>"</w:t>
      </w:r>
      <w:r>
        <w:rPr>
          <w:rFonts w:cs="Arial"/>
          <w:rtl/>
        </w:rPr>
        <w:t>ב נכ"ד רד ע"ב) שצריכה להקנות הנייר לבעל</w:t>
      </w:r>
      <w:r>
        <w:rPr>
          <w:rFonts w:cs="Arial" w:hint="cs"/>
          <w:rtl/>
        </w:rPr>
        <w:t>.</w:t>
      </w:r>
      <w:r>
        <w:rPr>
          <w:rFonts w:cs="Arial"/>
          <w:rtl/>
        </w:rPr>
        <w:t xml:space="preserve"> וכן משמע בפרק הנזכר (כ:) גבי היו מוחזקין בטבלא שהיא שלה וגט חקוק עליה וכו'</w:t>
      </w:r>
      <w:r>
        <w:rPr>
          <w:rFonts w:cs="Arial" w:hint="cs"/>
          <w:rtl/>
        </w:rPr>
        <w:t>,</w:t>
      </w:r>
      <w:r>
        <w:rPr>
          <w:rFonts w:cs="Arial"/>
          <w:rtl/>
        </w:rPr>
        <w:t xml:space="preserve"> דא</w:t>
      </w:r>
      <w:r>
        <w:rPr>
          <w:rFonts w:cs="Arial" w:hint="cs"/>
          <w:rtl/>
        </w:rPr>
        <w:t>ע"ג</w:t>
      </w:r>
      <w:r>
        <w:rPr>
          <w:rFonts w:cs="Arial"/>
          <w:rtl/>
        </w:rPr>
        <w:t xml:space="preserve"> דאמרינן בגט פשוט (קסח.) דאקנויי אקנו רבנן שכר סופר לבעל</w:t>
      </w:r>
      <w:r>
        <w:rPr>
          <w:rFonts w:cs="Arial" w:hint="cs"/>
          <w:rtl/>
        </w:rPr>
        <w:t>,</w:t>
      </w:r>
      <w:r>
        <w:rPr>
          <w:rFonts w:cs="Arial"/>
          <w:rtl/>
        </w:rPr>
        <w:t xml:space="preserve"> מכל מקום כשהיא עצמה כותבת גיטה לא תקנו רבנן מידי</w:t>
      </w:r>
      <w:r>
        <w:rPr>
          <w:rFonts w:cs="Arial" w:hint="cs"/>
          <w:rtl/>
        </w:rPr>
        <w:t>.</w:t>
      </w:r>
      <w:r>
        <w:rPr>
          <w:rFonts w:cs="Arial"/>
          <w:rtl/>
        </w:rPr>
        <w:t xml:space="preserve"> דאי לא תימא הכי היכי שקלי וטרי אההיא דהיו מוחזקין בטבלא שהיא של האשה אי ידעה לאקנויי או לא</w:t>
      </w:r>
      <w:r>
        <w:rPr>
          <w:rFonts w:cs="Arial" w:hint="cs"/>
          <w:rtl/>
        </w:rPr>
        <w:t>,</w:t>
      </w:r>
      <w:r>
        <w:rPr>
          <w:rFonts w:cs="Arial"/>
          <w:rtl/>
        </w:rPr>
        <w:t xml:space="preserve"> הא רבנן ידעי לאקנויי</w:t>
      </w:r>
      <w:r>
        <w:rPr>
          <w:rFonts w:cs="Arial" w:hint="cs"/>
          <w:rtl/>
        </w:rPr>
        <w:t>.</w:t>
      </w:r>
      <w:r>
        <w:rPr>
          <w:rFonts w:cs="Arial"/>
          <w:rtl/>
        </w:rPr>
        <w:t xml:space="preserve"> אלא ודאי כדכתיבנא. וכתב הר"ן (שם) אמתניתין דהאשה כותבת את גיטה דאע</w:t>
      </w:r>
      <w:r>
        <w:rPr>
          <w:rFonts w:cs="Arial" w:hint="cs"/>
          <w:rtl/>
        </w:rPr>
        <w:t>"</w:t>
      </w:r>
      <w:r>
        <w:rPr>
          <w:rFonts w:cs="Arial"/>
          <w:rtl/>
        </w:rPr>
        <w:t>ג דמחוסר הקנאה בין כתיבה לנתינה</w:t>
      </w:r>
      <w:r>
        <w:rPr>
          <w:rFonts w:cs="Arial" w:hint="cs"/>
          <w:rtl/>
        </w:rPr>
        <w:t>,</w:t>
      </w:r>
      <w:r>
        <w:rPr>
          <w:rFonts w:cs="Arial"/>
          <w:rtl/>
        </w:rPr>
        <w:t xml:space="preserve"> לא הוי מחוסר מעשה</w:t>
      </w:r>
      <w:r>
        <w:rPr>
          <w:rFonts w:cs="Arial" w:hint="cs"/>
          <w:rtl/>
        </w:rPr>
        <w:t>,</w:t>
      </w:r>
      <w:r>
        <w:rPr>
          <w:rFonts w:cs="Arial"/>
          <w:rtl/>
        </w:rPr>
        <w:t xml:space="preserve"> כיון שאינו מעשה בגופו של גט</w:t>
      </w:r>
      <w:r>
        <w:rPr>
          <w:rFonts w:cs="Arial" w:hint="cs"/>
          <w:rtl/>
        </w:rPr>
        <w:t>,</w:t>
      </w:r>
      <w:r>
        <w:rPr>
          <w:rFonts w:cs="Arial"/>
          <w:rtl/>
        </w:rPr>
        <w:t xml:space="preserve"> דומיא דקציצה</w:t>
      </w:r>
      <w:r>
        <w:rPr>
          <w:rFonts w:cs="Arial" w:hint="cs"/>
          <w:rtl/>
        </w:rPr>
        <w:t>, ב"י.</w:t>
      </w:r>
    </w:p>
  </w:footnote>
  <w:footnote w:id="402">
    <w:p w14:paraId="076E9402" w14:textId="41FD1C85" w:rsidR="00B16C73" w:rsidRDefault="00B16C73" w:rsidP="00B16C73">
      <w:pPr>
        <w:pStyle w:val="a5"/>
      </w:pPr>
      <w:r>
        <w:rPr>
          <w:rStyle w:val="a7"/>
        </w:rPr>
        <w:footnoteRef/>
      </w:r>
      <w:r>
        <w:rPr>
          <w:rtl/>
        </w:rPr>
        <w:t xml:space="preserve"> </w:t>
      </w:r>
      <w:r>
        <w:rPr>
          <w:rFonts w:cs="Arial"/>
          <w:rtl/>
        </w:rPr>
        <w:t>דברים פשוטים הם</w:t>
      </w:r>
      <w:r>
        <w:rPr>
          <w:rFonts w:cs="Arial" w:hint="cs"/>
          <w:rtl/>
        </w:rPr>
        <w:t xml:space="preserve">, </w:t>
      </w:r>
      <w:r w:rsidRPr="007A4BCF">
        <w:rPr>
          <w:rFonts w:cs="Arial" w:hint="cs"/>
          <w:b/>
          <w:bCs/>
          <w:rtl/>
        </w:rPr>
        <w:t>ב"י</w:t>
      </w:r>
      <w:r>
        <w:rPr>
          <w:rFonts w:cs="Arial" w:hint="cs"/>
          <w:rtl/>
        </w:rPr>
        <w:t>.</w:t>
      </w:r>
      <w:r w:rsidRPr="00FC3511">
        <w:rPr>
          <w:rFonts w:hint="cs"/>
          <w:rtl/>
        </w:rPr>
        <w:t xml:space="preserve"> </w:t>
      </w:r>
      <w:r>
        <w:rPr>
          <w:rFonts w:hint="cs"/>
          <w:rtl/>
        </w:rPr>
        <w:t xml:space="preserve">אך </w:t>
      </w:r>
      <w:r w:rsidRPr="007A4BCF">
        <w:rPr>
          <w:rFonts w:hint="cs"/>
          <w:b/>
          <w:bCs/>
          <w:rtl/>
        </w:rPr>
        <w:t>הדרכ"מ</w:t>
      </w:r>
      <w:r>
        <w:rPr>
          <w:rFonts w:hint="cs"/>
          <w:rtl/>
        </w:rPr>
        <w:t xml:space="preserve"> </w:t>
      </w:r>
      <w:r w:rsidRPr="00E44BB9">
        <w:rPr>
          <w:rFonts w:cs="Arial"/>
          <w:rtl/>
        </w:rPr>
        <w:t>(</w:t>
      </w:r>
      <w:r>
        <w:rPr>
          <w:rFonts w:cs="Arial" w:hint="cs"/>
          <w:rtl/>
        </w:rPr>
        <w:t xml:space="preserve">אות </w:t>
      </w:r>
      <w:r w:rsidRPr="00E44BB9">
        <w:rPr>
          <w:rFonts w:cs="Arial"/>
          <w:rtl/>
        </w:rPr>
        <w:t xml:space="preserve">ב) </w:t>
      </w:r>
      <w:r>
        <w:rPr>
          <w:rFonts w:cs="Arial" w:hint="cs"/>
          <w:rtl/>
        </w:rPr>
        <w:t>כתב ד</w:t>
      </w:r>
      <w:r w:rsidRPr="00E44BB9">
        <w:rPr>
          <w:rFonts w:cs="Arial"/>
          <w:rtl/>
        </w:rPr>
        <w:t>צ"ע בהר"ן דפ"ב דגיטין (יא. ד"ה גמ') דלא משמע כן</w:t>
      </w:r>
      <w:r>
        <w:rPr>
          <w:rFonts w:cs="Arial" w:hint="cs"/>
          <w:rtl/>
        </w:rPr>
        <w:t>.</w:t>
      </w:r>
      <w:r w:rsidRPr="00E44BB9">
        <w:rPr>
          <w:rFonts w:cs="Arial"/>
          <w:rtl/>
        </w:rPr>
        <w:t xml:space="preserve"> וכן בתוספות פ</w:t>
      </w:r>
      <w:r>
        <w:rPr>
          <w:rFonts w:cs="Arial" w:hint="cs"/>
          <w:rtl/>
        </w:rPr>
        <w:t>"</w:t>
      </w:r>
      <w:r w:rsidRPr="00E44BB9">
        <w:rPr>
          <w:rFonts w:cs="Arial"/>
          <w:rtl/>
        </w:rPr>
        <w:t>ב דגיטין (כב: ד"ה והא) דהעלו דלא בעינן שליחות בכתיבה, מיהו כתבו בשם ר"י דבעינן שליחות בכתיבה עיין שם. ובסוף סימן זה (בד"מ הארוך ד"ה וא"א הרא"ש וכו') יתבאר</w:t>
      </w:r>
      <w:r>
        <w:rPr>
          <w:rFonts w:cs="Arial" w:hint="cs"/>
          <w:rtl/>
        </w:rPr>
        <w:t>.</w:t>
      </w:r>
      <w:r w:rsidR="00871730">
        <w:rPr>
          <w:rFonts w:cs="Arial" w:hint="cs"/>
          <w:rtl/>
        </w:rPr>
        <w:t xml:space="preserve"> עכ"ל הדרכ"מ. ואפשר לפרש שהב"י והטור התכוונתו שצריך שיאמר לה לכתוב כדי שיהיה כתיבה לשמה ולא משום שליחות בכתיבה.</w:t>
      </w:r>
    </w:p>
  </w:footnote>
  <w:footnote w:id="403">
    <w:p w14:paraId="1349BAA3" w14:textId="54899DAE" w:rsidR="00C04FE3" w:rsidRDefault="00C04FE3">
      <w:pPr>
        <w:pStyle w:val="a5"/>
        <w:rPr>
          <w:rtl/>
        </w:rPr>
      </w:pPr>
      <w:r>
        <w:rPr>
          <w:rStyle w:val="a7"/>
        </w:rPr>
        <w:footnoteRef/>
      </w:r>
      <w:r>
        <w:rPr>
          <w:rtl/>
        </w:rPr>
        <w:t xml:space="preserve"> </w:t>
      </w:r>
      <w:r w:rsidRPr="00E44BB9">
        <w:rPr>
          <w:rFonts w:cs="Arial"/>
          <w:rtl/>
        </w:rPr>
        <w:t>וטעם הדבר נראה לי שהוא משום דסבירא ליה כדעת בעל העיטור (ח"א מאמר ז כז ע"ד) שכתב רבינו בסוף סימן קכ"ו (יז:) דכל הנך דקדוקים דוקא כשהבעל כתב הגט או שהסופר כותבו מפיו ובא הבעל ואמר כיוונתי לשנות לקלקלה וכו'</w:t>
      </w:r>
      <w:r>
        <w:rPr>
          <w:rFonts w:hint="cs"/>
          <w:rtl/>
        </w:rPr>
        <w:t>, ב"י.</w:t>
      </w:r>
    </w:p>
  </w:footnote>
  <w:footnote w:id="404">
    <w:p w14:paraId="0FD218A9" w14:textId="029E399E" w:rsidR="009B2D8B" w:rsidRDefault="009B2D8B">
      <w:pPr>
        <w:pStyle w:val="a5"/>
        <w:rPr>
          <w:rtl/>
        </w:rPr>
      </w:pPr>
      <w:r>
        <w:rPr>
          <w:rStyle w:val="a7"/>
        </w:rPr>
        <w:footnoteRef/>
      </w:r>
      <w:r>
        <w:rPr>
          <w:rtl/>
        </w:rPr>
        <w:t xml:space="preserve"> </w:t>
      </w:r>
      <w:r w:rsidRPr="009B2D8B">
        <w:rPr>
          <w:rFonts w:cs="Arial"/>
          <w:rtl/>
        </w:rPr>
        <w:t>ואיני מוצא טעם להקפיד בכך אפילו על דרך מהיות טוב</w:t>
      </w:r>
      <w:r>
        <w:rPr>
          <w:rFonts w:hint="cs"/>
          <w:rtl/>
        </w:rPr>
        <w:t>, ב"י.</w:t>
      </w:r>
    </w:p>
  </w:footnote>
  <w:footnote w:id="405">
    <w:p w14:paraId="085FECEF" w14:textId="2E9FB5FD" w:rsidR="00871730" w:rsidRDefault="00871730">
      <w:pPr>
        <w:pStyle w:val="a5"/>
      </w:pPr>
      <w:r>
        <w:rPr>
          <w:rStyle w:val="a7"/>
        </w:rPr>
        <w:footnoteRef/>
      </w:r>
      <w:r>
        <w:rPr>
          <w:rtl/>
        </w:rPr>
        <w:t xml:space="preserve"> </w:t>
      </w:r>
      <w:r w:rsidR="001235CC" w:rsidRPr="001235CC">
        <w:rPr>
          <w:rFonts w:cs="Arial"/>
          <w:rtl/>
        </w:rPr>
        <w:t>מטעם הני דקדוקים שאיתא לקמן סי' קכ"ו</w:t>
      </w:r>
      <w:r>
        <w:rPr>
          <w:rFonts w:cs="Arial" w:hint="cs"/>
          <w:rtl/>
        </w:rPr>
        <w:t xml:space="preserve">, </w:t>
      </w:r>
      <w:r w:rsidR="001235CC">
        <w:rPr>
          <w:rFonts w:cs="Arial" w:hint="cs"/>
          <w:rtl/>
        </w:rPr>
        <w:t>ב"ש</w:t>
      </w:r>
      <w:r>
        <w:rPr>
          <w:rFonts w:cs="Arial" w:hint="cs"/>
          <w:rtl/>
        </w:rPr>
        <w:t xml:space="preserve"> (סק"ג).</w:t>
      </w:r>
    </w:p>
  </w:footnote>
  <w:footnote w:id="406">
    <w:p w14:paraId="69E29F62" w14:textId="77777777" w:rsidR="00E10C84" w:rsidRDefault="00E10C84" w:rsidP="00E10C84">
      <w:pPr>
        <w:pStyle w:val="a5"/>
      </w:pPr>
      <w:r>
        <w:rPr>
          <w:rStyle w:val="a7"/>
        </w:rPr>
        <w:footnoteRef/>
      </w:r>
      <w:r>
        <w:rPr>
          <w:rtl/>
        </w:rPr>
        <w:t xml:space="preserve"> </w:t>
      </w:r>
      <w:r>
        <w:rPr>
          <w:rFonts w:cs="Arial"/>
          <w:rtl/>
        </w:rPr>
        <w:t>מומר לעבודה זרה או לחלל שבת בפרהסיא לא נמצא דינו מבואר בגמרא לענין כתיבת גט אלא שהרמב"ם בפ</w:t>
      </w:r>
      <w:r>
        <w:rPr>
          <w:rFonts w:cs="Arial" w:hint="cs"/>
          <w:rtl/>
        </w:rPr>
        <w:t>"</w:t>
      </w:r>
      <w:r>
        <w:rPr>
          <w:rFonts w:cs="Arial"/>
          <w:rtl/>
        </w:rPr>
        <w:t>ג (הט"ו) השוהו לגוי לענין כתיבת גט</w:t>
      </w:r>
      <w:r>
        <w:rPr>
          <w:rFonts w:cs="Arial" w:hint="cs"/>
          <w:rtl/>
        </w:rPr>
        <w:t>.</w:t>
      </w:r>
      <w:r>
        <w:rPr>
          <w:rFonts w:cs="Arial"/>
          <w:rtl/>
        </w:rPr>
        <w:t xml:space="preserve"> וכתב הה</w:t>
      </w:r>
      <w:r>
        <w:rPr>
          <w:rFonts w:cs="Arial" w:hint="cs"/>
          <w:rtl/>
        </w:rPr>
        <w:t>"</w:t>
      </w:r>
      <w:r>
        <w:rPr>
          <w:rFonts w:cs="Arial"/>
          <w:rtl/>
        </w:rPr>
        <w:t>מ דבכמה דוכתי (חולין ה: ע"ז סד: ערובין סט:) אמרינן דהוי מומר לכל התורה והוה ליה כגוי</w:t>
      </w:r>
      <w:r>
        <w:rPr>
          <w:rFonts w:cs="Arial" w:hint="cs"/>
          <w:rtl/>
        </w:rPr>
        <w:t>, ב"י.</w:t>
      </w:r>
    </w:p>
  </w:footnote>
  <w:footnote w:id="407">
    <w:p w14:paraId="1AEF4D59" w14:textId="5F44BA7F" w:rsidR="007E1623" w:rsidRDefault="007E1623">
      <w:pPr>
        <w:pStyle w:val="a5"/>
        <w:rPr>
          <w:rtl/>
        </w:rPr>
      </w:pPr>
      <w:r>
        <w:rPr>
          <w:rStyle w:val="a7"/>
        </w:rPr>
        <w:footnoteRef/>
      </w:r>
      <w:r>
        <w:rPr>
          <w:rtl/>
        </w:rPr>
        <w:t xml:space="preserve"> </w:t>
      </w:r>
      <w:r w:rsidRPr="007E1623">
        <w:rPr>
          <w:rFonts w:cs="Arial"/>
          <w:rtl/>
        </w:rPr>
        <w:t>אין זה מוסכם וכמו שכתב המ"מ והב"י וע"כ למעשה מחמירין והוי ספק מגורשת</w:t>
      </w:r>
      <w:r>
        <w:rPr>
          <w:rFonts w:hint="cs"/>
          <w:rtl/>
        </w:rPr>
        <w:t>, ח"מ (סק"ו).</w:t>
      </w:r>
    </w:p>
  </w:footnote>
  <w:footnote w:id="408">
    <w:p w14:paraId="5F490119" w14:textId="608B2C68" w:rsidR="00583517" w:rsidRDefault="00583517">
      <w:pPr>
        <w:pStyle w:val="a5"/>
      </w:pPr>
      <w:r>
        <w:rPr>
          <w:rStyle w:val="a7"/>
        </w:rPr>
        <w:footnoteRef/>
      </w:r>
      <w:r>
        <w:rPr>
          <w:rtl/>
        </w:rPr>
        <w:t xml:space="preserve"> </w:t>
      </w:r>
      <w:r w:rsidRPr="00583517">
        <w:rPr>
          <w:rFonts w:cs="Arial"/>
          <w:rtl/>
        </w:rPr>
        <w:t>הטעם דהא בפסול מחובר כשר בטופס כמו שיתבאר בסימן שאח"ז סעיף ה' וגם בפסול שלא לשמה דעת הרמב"ם להכשיר וכמו שיתבאר לקמן סי' קל"א ה"ה כשכתב הטופס מי שאינו ראוי לכותבו שכשר</w:t>
      </w:r>
      <w:r>
        <w:rPr>
          <w:rFonts w:cs="Arial" w:hint="cs"/>
          <w:rtl/>
        </w:rPr>
        <w:t>, ח"מ (סק"ז).</w:t>
      </w:r>
    </w:p>
  </w:footnote>
  <w:footnote w:id="409">
    <w:p w14:paraId="3F659BBD" w14:textId="1EB5FB9B" w:rsidR="007A2A36" w:rsidRDefault="007A2A36">
      <w:pPr>
        <w:pStyle w:val="a5"/>
      </w:pPr>
      <w:r>
        <w:rPr>
          <w:rStyle w:val="a7"/>
        </w:rPr>
        <w:footnoteRef/>
      </w:r>
      <w:r>
        <w:rPr>
          <w:rtl/>
        </w:rPr>
        <w:t xml:space="preserve"> </w:t>
      </w:r>
      <w:r w:rsidRPr="007A2A36">
        <w:rPr>
          <w:rFonts w:cs="Arial"/>
          <w:rtl/>
        </w:rPr>
        <w:t>דוקא בדיעבד מכשיר אם כתבו אלו החמשה טופס הגט כשאין אחרים עומדים ע"ג ונותנים אותו לכתחלה כיון שכבר נכתב כמו שכתבתי בס"ק י' אבל לכותבו לכתחלה חש"ו ואין אחרים עומדים ע"ג אין כותבין טופס ועיין בס"ק ט"ו. ואף על גב דהכשיר רמב"ם בפ"ג [מה' גירושין ה' י"ח] לא' מהגירסאות שיכתוב הסופר טופסי גיטין לכתחלה כדלקמן סי' קל"א היינו טעמא מפני תקנת סופר מה שאין כן בהני דלא שייך לומר מפני התקנה כיון דלאו סופרים נינהו ועיין לקמן בס"ק ט"ו</w:t>
      </w:r>
      <w:r>
        <w:rPr>
          <w:rFonts w:cs="Arial" w:hint="cs"/>
          <w:rtl/>
        </w:rPr>
        <w:t>, גט פשוט (סק"ג).</w:t>
      </w:r>
    </w:p>
  </w:footnote>
  <w:footnote w:id="410">
    <w:p w14:paraId="71F8C300" w14:textId="1035D63E" w:rsidR="00583517" w:rsidRDefault="00583517">
      <w:pPr>
        <w:pStyle w:val="a5"/>
        <w:rPr>
          <w:rtl/>
        </w:rPr>
      </w:pPr>
      <w:r>
        <w:rPr>
          <w:rStyle w:val="a7"/>
        </w:rPr>
        <w:footnoteRef/>
      </w:r>
      <w:r>
        <w:rPr>
          <w:rtl/>
        </w:rPr>
        <w:t xml:space="preserve"> </w:t>
      </w:r>
      <w:r w:rsidRPr="00583517">
        <w:rPr>
          <w:rFonts w:cs="Arial"/>
          <w:rtl/>
        </w:rPr>
        <w:t>היינו שיטות ר"י דס"ל דצריך שליחות בגט לכן אם כתב חש"ו אפי' הטופס וגדול עומד ע"ג ס"ל דפסול דגזרי' אטו התורף</w:t>
      </w:r>
      <w:r>
        <w:rPr>
          <w:rFonts w:cs="Arial" w:hint="cs"/>
          <w:rtl/>
        </w:rPr>
        <w:t>.</w:t>
      </w:r>
      <w:r w:rsidRPr="00583517">
        <w:rPr>
          <w:rFonts w:cs="Arial"/>
          <w:rtl/>
        </w:rPr>
        <w:t xml:space="preserve"> וקשה הא בסעיף זה לא איירי כשהגדול עומד ע"ג</w:t>
      </w:r>
      <w:r>
        <w:rPr>
          <w:rFonts w:cs="Arial" w:hint="cs"/>
          <w:rtl/>
        </w:rPr>
        <w:t>.</w:t>
      </w:r>
      <w:r w:rsidRPr="00583517">
        <w:rPr>
          <w:rFonts w:cs="Arial"/>
          <w:rtl/>
        </w:rPr>
        <w:t xml:space="preserve"> ויותר מסתבר דהג"ה זו שייך לסעיף אח"ז דשם איירי אם גדול עוע"ג</w:t>
      </w:r>
      <w:r>
        <w:rPr>
          <w:rFonts w:hint="cs"/>
          <w:rtl/>
        </w:rPr>
        <w:t>.</w:t>
      </w:r>
      <w:r w:rsidRPr="00583517">
        <w:rPr>
          <w:rtl/>
        </w:rPr>
        <w:t xml:space="preserve"> </w:t>
      </w:r>
      <w:r w:rsidRPr="00583517">
        <w:rPr>
          <w:rFonts w:cs="Arial"/>
          <w:rtl/>
        </w:rPr>
        <w:t>וא</w:t>
      </w:r>
      <w:r>
        <w:rPr>
          <w:rFonts w:cs="Arial" w:hint="cs"/>
          <w:rtl/>
        </w:rPr>
        <w:t xml:space="preserve">ע"ג </w:t>
      </w:r>
      <w:r w:rsidRPr="00583517">
        <w:rPr>
          <w:rFonts w:cs="Arial"/>
          <w:rtl/>
        </w:rPr>
        <w:t>דבמחובר לא גזרינן טופס אטו תורף משום דמילתא דלא שכיח הוא שיכתוב במחובר ע"כ לא גזרינן</w:t>
      </w:r>
      <w:r>
        <w:rPr>
          <w:rFonts w:cs="Arial" w:hint="cs"/>
          <w:rtl/>
        </w:rPr>
        <w:t>,</w:t>
      </w:r>
      <w:r>
        <w:rPr>
          <w:rFonts w:hint="cs"/>
          <w:rtl/>
        </w:rPr>
        <w:t xml:space="preserve"> ב"ש (סק"ז).</w:t>
      </w:r>
    </w:p>
  </w:footnote>
  <w:footnote w:id="411">
    <w:p w14:paraId="57AA6003" w14:textId="330B6DB5" w:rsidR="001B68AC" w:rsidRDefault="001B68AC">
      <w:pPr>
        <w:pStyle w:val="a5"/>
      </w:pPr>
      <w:r>
        <w:rPr>
          <w:rStyle w:val="a7"/>
        </w:rPr>
        <w:footnoteRef/>
      </w:r>
      <w:r>
        <w:rPr>
          <w:rtl/>
        </w:rPr>
        <w:t xml:space="preserve"> </w:t>
      </w:r>
      <w:r w:rsidRPr="00E44BB9">
        <w:rPr>
          <w:rFonts w:cs="Arial"/>
          <w:rtl/>
        </w:rPr>
        <w:t>כך מצאתי הנוסחא בספרי רבינו</w:t>
      </w:r>
      <w:r>
        <w:rPr>
          <w:rFonts w:cs="Arial" w:hint="cs"/>
          <w:rtl/>
        </w:rPr>
        <w:t>,</w:t>
      </w:r>
      <w:r w:rsidRPr="00E44BB9">
        <w:rPr>
          <w:rFonts w:cs="Arial"/>
          <w:rtl/>
        </w:rPr>
        <w:t xml:space="preserve"> ולפי זה נקט בבבא ראשונה שבת ויום הכפורים לאשמועינן דאע</w:t>
      </w:r>
      <w:r>
        <w:rPr>
          <w:rFonts w:cs="Arial" w:hint="cs"/>
          <w:rtl/>
        </w:rPr>
        <w:t>"</w:t>
      </w:r>
      <w:r w:rsidRPr="00E44BB9">
        <w:rPr>
          <w:rFonts w:cs="Arial"/>
          <w:rtl/>
        </w:rPr>
        <w:t>ג דאילו עשה כן במזיד היה מתחייב בנפשו</w:t>
      </w:r>
      <w:r>
        <w:rPr>
          <w:rFonts w:cs="Arial" w:hint="cs"/>
          <w:rtl/>
        </w:rPr>
        <w:t>,</w:t>
      </w:r>
      <w:r w:rsidRPr="00E44BB9">
        <w:rPr>
          <w:rFonts w:cs="Arial"/>
          <w:rtl/>
        </w:rPr>
        <w:t xml:space="preserve"> וגם אם כתבו בפרהסיא הוה מיפסל מטעם שכתבו מחלל שבתות בפרהסיא דדינו כנכרי</w:t>
      </w:r>
      <w:r>
        <w:rPr>
          <w:rFonts w:cs="Arial" w:hint="cs"/>
          <w:rtl/>
        </w:rPr>
        <w:t>,</w:t>
      </w:r>
      <w:r w:rsidRPr="00E44BB9">
        <w:rPr>
          <w:rFonts w:cs="Arial"/>
          <w:rtl/>
        </w:rPr>
        <w:t xml:space="preserve"> אפילו הכי כיון שלא כתבו אלא בשוגג </w:t>
      </w:r>
      <w:r>
        <w:rPr>
          <w:rFonts w:cs="Arial" w:hint="cs"/>
          <w:rtl/>
        </w:rPr>
        <w:t xml:space="preserve">- </w:t>
      </w:r>
      <w:r w:rsidRPr="00E44BB9">
        <w:rPr>
          <w:rFonts w:cs="Arial"/>
          <w:rtl/>
        </w:rPr>
        <w:t>כשר</w:t>
      </w:r>
      <w:r>
        <w:rPr>
          <w:rFonts w:cs="Arial" w:hint="cs"/>
          <w:rtl/>
        </w:rPr>
        <w:t>,</w:t>
      </w:r>
      <w:r w:rsidRPr="00E44BB9">
        <w:rPr>
          <w:rFonts w:cs="Arial"/>
          <w:rtl/>
        </w:rPr>
        <w:t xml:space="preserve"> וכל שכן לכתבו ביום טוב בשוגג דכשר</w:t>
      </w:r>
      <w:r>
        <w:rPr>
          <w:rFonts w:cs="Arial" w:hint="cs"/>
          <w:rtl/>
        </w:rPr>
        <w:t>.</w:t>
      </w:r>
      <w:r w:rsidRPr="00E44BB9">
        <w:rPr>
          <w:rFonts w:cs="Arial"/>
          <w:rtl/>
        </w:rPr>
        <w:t xml:space="preserve"> ובבבא שנייה כתב </w:t>
      </w:r>
      <w:r>
        <w:rPr>
          <w:rFonts w:cs="Arial" w:hint="cs"/>
          <w:rtl/>
        </w:rPr>
        <w:t>'</w:t>
      </w:r>
      <w:r w:rsidRPr="00E44BB9">
        <w:rPr>
          <w:rFonts w:cs="Arial"/>
          <w:rtl/>
        </w:rPr>
        <w:t>כתבו וחתמו בזדון ביום טוב דאינה מגורשת</w:t>
      </w:r>
      <w:r>
        <w:rPr>
          <w:rFonts w:cs="Arial" w:hint="cs"/>
          <w:rtl/>
        </w:rPr>
        <w:t>'</w:t>
      </w:r>
      <w:r w:rsidRPr="00E44BB9">
        <w:rPr>
          <w:rFonts w:cs="Arial"/>
          <w:rtl/>
        </w:rPr>
        <w:t xml:space="preserve"> וכל שכן בשבת וביום הכפורים</w:t>
      </w:r>
      <w:r>
        <w:rPr>
          <w:rFonts w:cs="Arial" w:hint="cs"/>
          <w:rtl/>
        </w:rPr>
        <w:t>.</w:t>
      </w:r>
      <w:r w:rsidRPr="00E44BB9">
        <w:rPr>
          <w:rFonts w:cs="Arial"/>
          <w:rtl/>
        </w:rPr>
        <w:t xml:space="preserve"> ובבבא שלישית נקט דוקא יום טוב דמשום הכי פסול ואינו בטל</w:t>
      </w:r>
      <w:r>
        <w:rPr>
          <w:rFonts w:cs="Arial" w:hint="cs"/>
          <w:rtl/>
        </w:rPr>
        <w:t>,</w:t>
      </w:r>
      <w:r w:rsidRPr="00E44BB9">
        <w:rPr>
          <w:rFonts w:cs="Arial"/>
          <w:rtl/>
        </w:rPr>
        <w:t xml:space="preserve"> ואפילו כתבו בפרהסיא</w:t>
      </w:r>
      <w:r>
        <w:rPr>
          <w:rFonts w:cs="Arial" w:hint="cs"/>
          <w:rtl/>
        </w:rPr>
        <w:t>,</w:t>
      </w:r>
      <w:r w:rsidRPr="00E44BB9">
        <w:rPr>
          <w:rFonts w:cs="Arial"/>
          <w:rtl/>
        </w:rPr>
        <w:t xml:space="preserve"> אבל אילו כתבו בזדון בשבת ויום הכפורים בפרהסיא בטל היה מפני שכתבו מחלל שבתות</w:t>
      </w:r>
      <w:r>
        <w:rPr>
          <w:rFonts w:cs="Arial" w:hint="cs"/>
          <w:rtl/>
        </w:rPr>
        <w:t>.</w:t>
      </w:r>
      <w:r w:rsidRPr="00E44BB9">
        <w:rPr>
          <w:rFonts w:cs="Arial"/>
          <w:rtl/>
        </w:rPr>
        <w:t xml:space="preserve"> כן נראה לי לפי נוסחא זו</w:t>
      </w:r>
      <w:r>
        <w:rPr>
          <w:rFonts w:cs="Arial" w:hint="cs"/>
          <w:rtl/>
        </w:rPr>
        <w:t>, ב"י.</w:t>
      </w:r>
      <w:r w:rsidR="00E162AE">
        <w:rPr>
          <w:rFonts w:hint="cs"/>
          <w:rtl/>
        </w:rPr>
        <w:t xml:space="preserve"> </w:t>
      </w:r>
      <w:r w:rsidR="00E162AE" w:rsidRPr="00E162AE">
        <w:rPr>
          <w:rFonts w:hint="cs"/>
          <w:color w:val="00B0F0"/>
          <w:rtl/>
        </w:rPr>
        <w:t>(וכ"פ הרמ"א)</w:t>
      </w:r>
    </w:p>
  </w:footnote>
  <w:footnote w:id="412">
    <w:p w14:paraId="4ED4D8A6" w14:textId="41377A99" w:rsidR="001B68AC" w:rsidRDefault="001B68AC">
      <w:pPr>
        <w:pStyle w:val="a5"/>
        <w:rPr>
          <w:rtl/>
        </w:rPr>
      </w:pPr>
      <w:r>
        <w:rPr>
          <w:rStyle w:val="a7"/>
        </w:rPr>
        <w:footnoteRef/>
      </w:r>
      <w:r>
        <w:rPr>
          <w:rtl/>
        </w:rPr>
        <w:t xml:space="preserve"> </w:t>
      </w:r>
      <w:r w:rsidRPr="00E44BB9">
        <w:rPr>
          <w:rFonts w:cs="Arial"/>
          <w:rtl/>
        </w:rPr>
        <w:t>אבל בספרי הרמב"ם שבידינו כתב בסוף פרק ג' (הי"ט) בסגנון אחר וזה לשונו</w:t>
      </w:r>
      <w:r>
        <w:rPr>
          <w:rFonts w:cs="Arial" w:hint="cs"/>
          <w:rtl/>
        </w:rPr>
        <w:t>-...</w:t>
      </w:r>
    </w:p>
  </w:footnote>
  <w:footnote w:id="413">
    <w:p w14:paraId="2F108AE2" w14:textId="50782470" w:rsidR="004B1479" w:rsidRDefault="004B1479">
      <w:pPr>
        <w:pStyle w:val="a5"/>
      </w:pPr>
      <w:r>
        <w:rPr>
          <w:rStyle w:val="a7"/>
        </w:rPr>
        <w:footnoteRef/>
      </w:r>
      <w:r>
        <w:rPr>
          <w:rtl/>
        </w:rPr>
        <w:t xml:space="preserve"> </w:t>
      </w:r>
      <w:r w:rsidRPr="00E44BB9">
        <w:rPr>
          <w:rFonts w:cs="Arial"/>
          <w:rtl/>
        </w:rPr>
        <w:t>ולפי נוסחא זו בתרי בבי קמאי נקט שבת ויום הכפורים</w:t>
      </w:r>
      <w:r>
        <w:rPr>
          <w:rFonts w:cs="Arial" w:hint="cs"/>
          <w:rtl/>
        </w:rPr>
        <w:t>,</w:t>
      </w:r>
      <w:r w:rsidRPr="00E44BB9">
        <w:rPr>
          <w:rFonts w:cs="Arial"/>
          <w:rtl/>
        </w:rPr>
        <w:t xml:space="preserve"> דבשוגג מגורשת</w:t>
      </w:r>
      <w:r>
        <w:rPr>
          <w:rFonts w:cs="Arial" w:hint="cs"/>
          <w:rtl/>
        </w:rPr>
        <w:t>,</w:t>
      </w:r>
      <w:r w:rsidRPr="00E44BB9">
        <w:rPr>
          <w:rFonts w:cs="Arial"/>
          <w:rtl/>
        </w:rPr>
        <w:t xml:space="preserve"> במזיד אינה מגורשת</w:t>
      </w:r>
      <w:r>
        <w:rPr>
          <w:rFonts w:cs="Arial" w:hint="cs"/>
          <w:rtl/>
        </w:rPr>
        <w:t>.</w:t>
      </w:r>
      <w:r w:rsidRPr="00E44BB9">
        <w:rPr>
          <w:rFonts w:cs="Arial"/>
          <w:rtl/>
        </w:rPr>
        <w:t xml:space="preserve"> ובבבא ג' נקט יום טוב דוקא כמו שכתבתי לנוסחא האחרת</w:t>
      </w:r>
      <w:r>
        <w:rPr>
          <w:rFonts w:cs="Arial" w:hint="cs"/>
          <w:rtl/>
        </w:rPr>
        <w:t>.</w:t>
      </w:r>
      <w:r w:rsidRPr="00E44BB9">
        <w:rPr>
          <w:rFonts w:cs="Arial"/>
          <w:rtl/>
        </w:rPr>
        <w:t xml:space="preserve"> ומה שכפל בבבא ג' </w:t>
      </w:r>
      <w:r>
        <w:rPr>
          <w:rFonts w:cs="Arial" w:hint="cs"/>
          <w:sz w:val="16"/>
          <w:szCs w:val="16"/>
          <w:rtl/>
        </w:rPr>
        <w:t xml:space="preserve">{את המילים} </w:t>
      </w:r>
      <w:r>
        <w:rPr>
          <w:rFonts w:cs="Arial" w:hint="cs"/>
          <w:rtl/>
        </w:rPr>
        <w:t>'</w:t>
      </w:r>
      <w:r w:rsidRPr="00E44BB9">
        <w:rPr>
          <w:rFonts w:cs="Arial"/>
          <w:rtl/>
        </w:rPr>
        <w:t>ביום טוב</w:t>
      </w:r>
      <w:r>
        <w:rPr>
          <w:rFonts w:cs="Arial" w:hint="cs"/>
          <w:rtl/>
        </w:rPr>
        <w:t>'</w:t>
      </w:r>
      <w:r w:rsidRPr="00E44BB9">
        <w:rPr>
          <w:rFonts w:cs="Arial"/>
          <w:rtl/>
        </w:rPr>
        <w:t xml:space="preserve"> נראה לי שהוא מיותר</w:t>
      </w:r>
      <w:r>
        <w:rPr>
          <w:rFonts w:cs="Arial" w:hint="cs"/>
          <w:rtl/>
        </w:rPr>
        <w:t>.</w:t>
      </w:r>
      <w:r w:rsidRPr="00E44BB9">
        <w:rPr>
          <w:rFonts w:cs="Arial"/>
          <w:rtl/>
        </w:rPr>
        <w:t xml:space="preserve"> ומכל מקום יש לדקדק לשתי הנוסחאות דבבבא קמייתא לא נקט אלא </w:t>
      </w:r>
      <w:r>
        <w:rPr>
          <w:rFonts w:cs="Arial" w:hint="cs"/>
          <w:rtl/>
        </w:rPr>
        <w:t>'</w:t>
      </w:r>
      <w:r w:rsidRPr="00E44BB9">
        <w:rPr>
          <w:rFonts w:cs="Arial"/>
          <w:rtl/>
        </w:rPr>
        <w:t>כתב</w:t>
      </w:r>
      <w:r>
        <w:rPr>
          <w:rFonts w:cs="Arial" w:hint="cs"/>
          <w:rtl/>
        </w:rPr>
        <w:t>',</w:t>
      </w:r>
      <w:r w:rsidRPr="00E44BB9">
        <w:rPr>
          <w:rFonts w:cs="Arial"/>
          <w:rtl/>
        </w:rPr>
        <w:t xml:space="preserve"> ולא נקט </w:t>
      </w:r>
      <w:r>
        <w:rPr>
          <w:rFonts w:cs="Arial" w:hint="cs"/>
          <w:rtl/>
        </w:rPr>
        <w:t>'</w:t>
      </w:r>
      <w:r w:rsidRPr="00E44BB9">
        <w:rPr>
          <w:rFonts w:cs="Arial"/>
          <w:rtl/>
        </w:rPr>
        <w:t>וחתמו</w:t>
      </w:r>
      <w:r>
        <w:rPr>
          <w:rFonts w:cs="Arial" w:hint="cs"/>
          <w:rtl/>
        </w:rPr>
        <w:t>',</w:t>
      </w:r>
      <w:r w:rsidRPr="00E44BB9">
        <w:rPr>
          <w:rFonts w:cs="Arial"/>
          <w:rtl/>
        </w:rPr>
        <w:t xml:space="preserve"> וכיון דבשוגג הוא אפילו חתמו נמי. ואפשר דמשום דלא מיתרמי להיות שוגגים הסופר וגם העדים משום הכי לא נקט בה חתמו. אבל קשה דאי בלא עדי חתימה מיירי הוה ליה למימר ונתנו לה בפני עדים כשרים</w:t>
      </w:r>
      <w:r>
        <w:rPr>
          <w:rFonts w:cs="Arial" w:hint="cs"/>
          <w:rtl/>
        </w:rPr>
        <w:t>,</w:t>
      </w:r>
      <w:r w:rsidRPr="00E44BB9">
        <w:rPr>
          <w:rFonts w:cs="Arial"/>
          <w:rtl/>
        </w:rPr>
        <w:t xml:space="preserve"> כמו שכתב בבבא שלישית. ותו איכא למידק דקתני ונתנו לה</w:t>
      </w:r>
      <w:r>
        <w:rPr>
          <w:rFonts w:cs="Arial" w:hint="cs"/>
          <w:rtl/>
        </w:rPr>
        <w:t>,</w:t>
      </w:r>
      <w:r w:rsidRPr="00E44BB9">
        <w:rPr>
          <w:rFonts w:cs="Arial"/>
          <w:rtl/>
        </w:rPr>
        <w:t xml:space="preserve"> דמשמע דוקא דיעבד</w:t>
      </w:r>
      <w:r>
        <w:rPr>
          <w:rFonts w:cs="Arial" w:hint="cs"/>
          <w:rtl/>
        </w:rPr>
        <w:t>,</w:t>
      </w:r>
      <w:r w:rsidRPr="00E44BB9">
        <w:rPr>
          <w:rFonts w:cs="Arial"/>
          <w:rtl/>
        </w:rPr>
        <w:t xml:space="preserve"> ולכתחלה אמאי לא</w:t>
      </w:r>
      <w:r>
        <w:rPr>
          <w:rFonts w:cs="Arial" w:hint="cs"/>
          <w:rtl/>
        </w:rPr>
        <w:t>,</w:t>
      </w:r>
      <w:r w:rsidRPr="00E44BB9">
        <w:rPr>
          <w:rFonts w:cs="Arial"/>
          <w:rtl/>
        </w:rPr>
        <w:t xml:space="preserve"> והכי הוה ליה למימר </w:t>
      </w:r>
      <w:r>
        <w:rPr>
          <w:rFonts w:cs="Arial" w:hint="cs"/>
          <w:rtl/>
        </w:rPr>
        <w:t>'</w:t>
      </w:r>
      <w:r w:rsidRPr="00E44BB9">
        <w:rPr>
          <w:rFonts w:cs="Arial"/>
          <w:rtl/>
        </w:rPr>
        <w:t>הרי זה גט כשר</w:t>
      </w:r>
      <w:r>
        <w:rPr>
          <w:rFonts w:cs="Arial" w:hint="cs"/>
          <w:rtl/>
        </w:rPr>
        <w:t>'.</w:t>
      </w:r>
      <w:r w:rsidRPr="00E44BB9">
        <w:rPr>
          <w:rFonts w:cs="Arial"/>
          <w:rtl/>
        </w:rPr>
        <w:t xml:space="preserve"> ובבבא שנייה </w:t>
      </w:r>
      <w:r>
        <w:rPr>
          <w:rFonts w:cs="Arial" w:hint="cs"/>
          <w:rtl/>
        </w:rPr>
        <w:t>'</w:t>
      </w:r>
      <w:r w:rsidRPr="00E44BB9">
        <w:rPr>
          <w:rFonts w:cs="Arial"/>
          <w:rtl/>
        </w:rPr>
        <w:t>הרי זה בטל</w:t>
      </w:r>
      <w:r>
        <w:rPr>
          <w:rFonts w:cs="Arial" w:hint="cs"/>
          <w:rtl/>
        </w:rPr>
        <w:t>',</w:t>
      </w:r>
      <w:r w:rsidRPr="00E44BB9">
        <w:rPr>
          <w:rFonts w:cs="Arial"/>
          <w:rtl/>
        </w:rPr>
        <w:t xml:space="preserve"> ולא הוה ליה לאדכורי נתנו לה ולא מסרו לה</w:t>
      </w:r>
      <w:r>
        <w:rPr>
          <w:rFonts w:cs="Arial" w:hint="cs"/>
          <w:rtl/>
        </w:rPr>
        <w:t>,</w:t>
      </w:r>
      <w:r w:rsidRPr="00E44BB9">
        <w:rPr>
          <w:rFonts w:cs="Arial"/>
          <w:rtl/>
        </w:rPr>
        <w:t xml:space="preserve"> וצ"ע. ודינים הללו לא כתב הה</w:t>
      </w:r>
      <w:r>
        <w:rPr>
          <w:rFonts w:cs="Arial" w:hint="cs"/>
          <w:rtl/>
        </w:rPr>
        <w:t>"</w:t>
      </w:r>
      <w:r w:rsidRPr="00E44BB9">
        <w:rPr>
          <w:rFonts w:cs="Arial"/>
          <w:rtl/>
        </w:rPr>
        <w:t>מ מקומם</w:t>
      </w:r>
      <w:r>
        <w:rPr>
          <w:rFonts w:cs="Arial" w:hint="cs"/>
          <w:rtl/>
        </w:rPr>
        <w:t>.</w:t>
      </w:r>
      <w:r w:rsidRPr="00E44BB9">
        <w:rPr>
          <w:rFonts w:cs="Arial"/>
          <w:rtl/>
        </w:rPr>
        <w:t xml:space="preserve"> ובעל מגדל עוז כתב דאיתנהו בפרק מי שאחזו</w:t>
      </w:r>
      <w:r>
        <w:rPr>
          <w:rFonts w:cs="Arial" w:hint="cs"/>
          <w:rtl/>
        </w:rPr>
        <w:t>.</w:t>
      </w:r>
      <w:r w:rsidRPr="00E44BB9">
        <w:rPr>
          <w:rFonts w:cs="Arial"/>
          <w:rtl/>
        </w:rPr>
        <w:t xml:space="preserve"> ואני חיפשתי כל הפרק בבבלי ובירושלמי</w:t>
      </w:r>
      <w:r w:rsidR="00764738">
        <w:rPr>
          <w:rFonts w:cs="Arial" w:hint="cs"/>
          <w:rtl/>
        </w:rPr>
        <w:t>,</w:t>
      </w:r>
      <w:r w:rsidRPr="00E44BB9">
        <w:rPr>
          <w:rFonts w:cs="Arial"/>
          <w:rtl/>
        </w:rPr>
        <w:t xml:space="preserve"> וגם בתוספתא בדקתי כל הגמרא</w:t>
      </w:r>
      <w:r w:rsidR="00764738">
        <w:rPr>
          <w:rFonts w:cs="Arial" w:hint="cs"/>
          <w:rtl/>
        </w:rPr>
        <w:t>,</w:t>
      </w:r>
      <w:r w:rsidRPr="00E44BB9">
        <w:rPr>
          <w:rFonts w:cs="Arial"/>
          <w:rtl/>
        </w:rPr>
        <w:t xml:space="preserve"> ולא מצאתי</w:t>
      </w:r>
      <w:r>
        <w:rPr>
          <w:rFonts w:cs="Arial" w:hint="cs"/>
          <w:rtl/>
        </w:rPr>
        <w:t>, ב"י.</w:t>
      </w:r>
    </w:p>
  </w:footnote>
  <w:footnote w:id="414">
    <w:p w14:paraId="7D5659A1" w14:textId="0FDA5726" w:rsidR="00E162AE" w:rsidRDefault="00E162AE">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E162AE">
        <w:rPr>
          <w:rFonts w:cs="Arial"/>
          <w:rtl/>
        </w:rPr>
        <w:t>ומעשה היה בימי רש"י ז"ל על מומר לעבודת כוכבים שנתרצה לתת גט לאשתו</w:t>
      </w:r>
      <w:r>
        <w:rPr>
          <w:rFonts w:cs="Arial" w:hint="cs"/>
          <w:rtl/>
        </w:rPr>
        <w:t>,</w:t>
      </w:r>
      <w:r w:rsidRPr="00E162AE">
        <w:rPr>
          <w:rFonts w:cs="Arial"/>
          <w:rtl/>
        </w:rPr>
        <w:t xml:space="preserve"> והורה רש"י לאחר לקבל הגט שלא מדעתה</w:t>
      </w:r>
      <w:r>
        <w:rPr>
          <w:rFonts w:cs="Arial" w:hint="cs"/>
          <w:rtl/>
        </w:rPr>
        <w:t>.</w:t>
      </w:r>
      <w:r w:rsidRPr="00E162AE">
        <w:rPr>
          <w:rFonts w:cs="Arial"/>
          <w:rtl/>
        </w:rPr>
        <w:t xml:space="preserve"> עוד השיב אע</w:t>
      </w:r>
      <w:r>
        <w:rPr>
          <w:rFonts w:cs="Arial" w:hint="cs"/>
          <w:rtl/>
        </w:rPr>
        <w:t>"</w:t>
      </w:r>
      <w:r w:rsidRPr="00E162AE">
        <w:rPr>
          <w:rFonts w:cs="Arial"/>
          <w:rtl/>
        </w:rPr>
        <w:t>ג שהשליח נותן הגט בפני שלשה משום דדמי למשפט</w:t>
      </w:r>
      <w:r w:rsidR="00EB53AC">
        <w:rPr>
          <w:rFonts w:cs="Arial" w:hint="cs"/>
          <w:sz w:val="16"/>
          <w:szCs w:val="16"/>
          <w:rtl/>
        </w:rPr>
        <w:t xml:space="preserve"> {</w:t>
      </w:r>
      <w:r w:rsidR="00CC2DFE">
        <w:rPr>
          <w:rFonts w:cs="Arial" w:hint="cs"/>
          <w:sz w:val="16"/>
          <w:szCs w:val="16"/>
          <w:rtl/>
        </w:rPr>
        <w:t xml:space="preserve">היינו לכתחילה, </w:t>
      </w:r>
      <w:r w:rsidR="00EB53AC" w:rsidRPr="00EB53AC">
        <w:rPr>
          <w:rFonts w:cs="Arial"/>
          <w:sz w:val="16"/>
          <w:szCs w:val="16"/>
          <w:rtl/>
        </w:rPr>
        <w:t>אם כי וודאי מעיקרא דדינא אין שום מקום לזה</w:t>
      </w:r>
      <w:r w:rsidR="00CC2DFE">
        <w:rPr>
          <w:rFonts w:cs="Arial" w:hint="cs"/>
          <w:sz w:val="16"/>
          <w:szCs w:val="16"/>
          <w:rtl/>
        </w:rPr>
        <w:t>, ערוה"ש [סדר הגט סע' ד] בפירוש</w:t>
      </w:r>
      <w:r w:rsidR="00EB53AC" w:rsidRPr="00EB53AC">
        <w:rPr>
          <w:rFonts w:cs="Arial"/>
          <w:sz w:val="16"/>
          <w:szCs w:val="16"/>
          <w:rtl/>
        </w:rPr>
        <w:t xml:space="preserve"> כוונת רש"י</w:t>
      </w:r>
      <w:r w:rsidR="00EB53AC">
        <w:rPr>
          <w:rFonts w:cs="Arial" w:hint="cs"/>
          <w:sz w:val="16"/>
          <w:szCs w:val="16"/>
          <w:rtl/>
        </w:rPr>
        <w:t>}</w:t>
      </w:r>
      <w:r>
        <w:rPr>
          <w:rFonts w:cs="Arial" w:hint="cs"/>
          <w:rtl/>
        </w:rPr>
        <w:t>,</w:t>
      </w:r>
      <w:r w:rsidRPr="00E162AE">
        <w:rPr>
          <w:rFonts w:cs="Arial"/>
          <w:rtl/>
        </w:rPr>
        <w:t xml:space="preserve"> אפ"ה כיון דקיום שטרות דרבנן </w:t>
      </w:r>
      <w:r>
        <w:rPr>
          <w:rFonts w:cs="Arial" w:hint="cs"/>
          <w:rtl/>
        </w:rPr>
        <w:t xml:space="preserve">- </w:t>
      </w:r>
      <w:r w:rsidRPr="00E162AE">
        <w:rPr>
          <w:rFonts w:cs="Arial"/>
          <w:rtl/>
        </w:rPr>
        <w:t>יכול ליתנו בלילה</w:t>
      </w:r>
      <w:r>
        <w:rPr>
          <w:rFonts w:cs="Arial" w:hint="cs"/>
          <w:rtl/>
        </w:rPr>
        <w:t>,</w:t>
      </w:r>
      <w:r w:rsidRPr="00E162AE">
        <w:rPr>
          <w:rFonts w:cs="Arial"/>
          <w:rtl/>
        </w:rPr>
        <w:t xml:space="preserve"> ולא דמי לקיום שטרות דעלמא דתחלת דין הוא</w:t>
      </w:r>
      <w:r>
        <w:rPr>
          <w:rFonts w:cs="Arial" w:hint="cs"/>
          <w:rtl/>
        </w:rPr>
        <w:t>,</w:t>
      </w:r>
      <w:r w:rsidRPr="00E162AE">
        <w:rPr>
          <w:rFonts w:cs="Arial"/>
          <w:rtl/>
        </w:rPr>
        <w:t xml:space="preserve"> אבל הכא סוף דין הוא</w:t>
      </w:r>
      <w:r>
        <w:rPr>
          <w:rFonts w:cs="Arial" w:hint="cs"/>
          <w:rtl/>
        </w:rPr>
        <w:t>.</w:t>
      </w:r>
    </w:p>
  </w:footnote>
  <w:footnote w:id="415">
    <w:p w14:paraId="2A7FD74D" w14:textId="3455CC7A" w:rsidR="00084FB5" w:rsidRPr="00084FB5" w:rsidRDefault="00084FB5" w:rsidP="00084FB5">
      <w:pPr>
        <w:pStyle w:val="a5"/>
        <w:rPr>
          <w:rtl/>
        </w:rPr>
      </w:pPr>
      <w:r>
        <w:rPr>
          <w:rStyle w:val="a7"/>
        </w:rPr>
        <w:footnoteRef/>
      </w:r>
      <w:r>
        <w:rPr>
          <w:rtl/>
        </w:rPr>
        <w:t xml:space="preserve"> </w:t>
      </w:r>
      <w:r w:rsidR="00C60040">
        <w:rPr>
          <w:rFonts w:cs="Arial" w:hint="cs"/>
          <w:rtl/>
        </w:rPr>
        <w:t>ולכאורה יש להוכיח כן מהגמרא בגיטין (עו:) דאם נתן לה גט בלילה ואמר לה ע"מ שתצא חמה מנרתיקה, ומת בלילה ההוא - הוי גט למפרע, אם כן ברור שאשה מתגרשת בלילה. ואת דברי הגמרא הללו פסקו ה</w:t>
      </w:r>
      <w:r w:rsidR="00C60040">
        <w:rPr>
          <w:rFonts w:cs="Arial"/>
          <w:rtl/>
        </w:rPr>
        <w:t>טור</w:t>
      </w:r>
      <w:r w:rsidR="00C60040">
        <w:rPr>
          <w:rFonts w:cs="Arial" w:hint="cs"/>
          <w:rtl/>
        </w:rPr>
        <w:t xml:space="preserve"> והשו"ע בסימן קמד (סע' ד) וז"ל הטור:</w:t>
      </w:r>
      <w:r w:rsidR="00C60040">
        <w:rPr>
          <w:rFonts w:cs="Arial"/>
          <w:rtl/>
        </w:rPr>
        <w:t xml:space="preserve"> נתן לה גט בלילה ואמר לה ה"ז גיטך ע"מ שיזרח השמש, ומת בלילה - כש</w:t>
      </w:r>
      <w:r w:rsidR="00C60040">
        <w:rPr>
          <w:rFonts w:cs="Arial" w:hint="cs"/>
          <w:rtl/>
        </w:rPr>
        <w:t>ת</w:t>
      </w:r>
      <w:r w:rsidR="00C60040">
        <w:rPr>
          <w:rFonts w:cs="Arial"/>
          <w:rtl/>
        </w:rPr>
        <w:t>זרח השמש הוי גט למפרע.</w:t>
      </w:r>
      <w:r w:rsidR="00F43A58">
        <w:rPr>
          <w:rFonts w:hint="cs"/>
          <w:rtl/>
        </w:rPr>
        <w:t xml:space="preserve"> וצל"ע.</w:t>
      </w:r>
    </w:p>
  </w:footnote>
  <w:footnote w:id="416">
    <w:p w14:paraId="301AE10B" w14:textId="35BE45D1" w:rsidR="00706941" w:rsidRDefault="00706941">
      <w:pPr>
        <w:pStyle w:val="a5"/>
      </w:pPr>
      <w:r>
        <w:rPr>
          <w:rStyle w:val="a7"/>
        </w:rPr>
        <w:footnoteRef/>
      </w:r>
      <w:r>
        <w:rPr>
          <w:rtl/>
        </w:rPr>
        <w:t xml:space="preserve"> </w:t>
      </w:r>
      <w:r>
        <w:rPr>
          <w:rFonts w:hint="cs"/>
          <w:rtl/>
        </w:rPr>
        <w:t>וזה טורף לשו</w:t>
      </w:r>
      <w:r w:rsidR="009240F4">
        <w:rPr>
          <w:rFonts w:hint="cs"/>
          <w:rtl/>
        </w:rPr>
        <w:t>נו:</w:t>
      </w:r>
      <w:r>
        <w:rPr>
          <w:rFonts w:hint="cs"/>
          <w:rtl/>
        </w:rPr>
        <w:t xml:space="preserve"> </w:t>
      </w:r>
      <w:r w:rsidRPr="003236EA">
        <w:rPr>
          <w:rFonts w:cs="Arial"/>
          <w:rtl/>
        </w:rPr>
        <w:t>ונראה בעיני דאשה שקבלה גיטה בלילה שאינה מגורשת דתחילת דין שפטינן ביום ולא בלילה כדתנן פ' אחד דיני ממונות</w:t>
      </w:r>
      <w:r>
        <w:rPr>
          <w:rFonts w:cs="Arial" w:hint="cs"/>
          <w:rtl/>
        </w:rPr>
        <w:t>...</w:t>
      </w:r>
      <w:r w:rsidRPr="003236EA">
        <w:rPr>
          <w:rFonts w:cs="Arial"/>
          <w:rtl/>
        </w:rPr>
        <w:t xml:space="preserve"> הלכך נתינת הגט בלילה שהוא תחילת הדין פסול אפי' בדיעבד מידי דהוה אחליצה דקיי"ל שהיא תחילת הדין</w:t>
      </w:r>
      <w:r>
        <w:rPr>
          <w:rFonts w:cs="Arial" w:hint="cs"/>
          <w:rtl/>
        </w:rPr>
        <w:t>...</w:t>
      </w:r>
      <w:r w:rsidRPr="003236EA">
        <w:rPr>
          <w:rFonts w:cs="Arial"/>
          <w:rtl/>
        </w:rPr>
        <w:t xml:space="preserve"> ותו נראה בעיני דאפי' למ"ד חליצה כגמר הדין מודה בנתינת [הגט] דהוא תחילת דין.</w:t>
      </w:r>
      <w:r>
        <w:rPr>
          <w:rFonts w:cs="Arial" w:hint="cs"/>
          <w:rtl/>
        </w:rPr>
        <w:t>..</w:t>
      </w:r>
      <w:r w:rsidRPr="003236EA">
        <w:rPr>
          <w:rFonts w:cs="Arial"/>
          <w:rtl/>
        </w:rPr>
        <w:t xml:space="preserve"> הלכך נראה בעיני אשה שקבלה גיטא בליליא ל"ש מידו לידה ל"ש מיד שלוחו ל"ש באותה מדינה ל"ש בבא ממדינת הים אחרת לאו כלום הוא ואינה מגורשת כלל.</w:t>
      </w:r>
      <w:r>
        <w:rPr>
          <w:rFonts w:cs="Arial" w:hint="cs"/>
          <w:rtl/>
        </w:rPr>
        <w:t>..</w:t>
      </w:r>
      <w:r w:rsidRPr="003236EA">
        <w:rPr>
          <w:rFonts w:cs="Arial"/>
          <w:rtl/>
        </w:rPr>
        <w:t xml:space="preserve"> ודבר זה לא כתבתי לסמוך עלי בשעת מעשה עד שאשמע דעת רבותי מה יאמרו אע</w:t>
      </w:r>
      <w:r>
        <w:rPr>
          <w:rFonts w:cs="Arial" w:hint="cs"/>
          <w:rtl/>
        </w:rPr>
        <w:t>"</w:t>
      </w:r>
      <w:r w:rsidRPr="003236EA">
        <w:rPr>
          <w:rFonts w:cs="Arial"/>
          <w:rtl/>
        </w:rPr>
        <w:t xml:space="preserve">פ שנראה בעיני כמו שהוכחתי מחליצה מדכתיב ביה משפט. ואף על גב דמייתי לה אעישוי גט ולא אשכחן דמייתי ליה אנתינת גט אפ"ה ליכא למימר דדוקא אעישוי כתיב ואלה המשפטים ולא אנתינה. </w:t>
      </w:r>
      <w:r w:rsidRPr="006E4A64">
        <w:rPr>
          <w:rFonts w:cs="Arial"/>
          <w:rtl/>
        </w:rPr>
        <w:t>וראיה לדבר בהחולץ דא"ר חייא בר אבא א"ר יוחנן גר צריך שלשה מ"ט משפט כתיב ביה</w:t>
      </w:r>
      <w:r w:rsidRPr="006E4A64">
        <w:rPr>
          <w:rFonts w:cs="Arial" w:hint="cs"/>
          <w:rtl/>
        </w:rPr>
        <w:t xml:space="preserve">... </w:t>
      </w:r>
      <w:r w:rsidRPr="006E4A64">
        <w:rPr>
          <w:rFonts w:cs="Arial"/>
          <w:rtl/>
        </w:rPr>
        <w:t>מעתה יש לי ללמוד מיכן אפי' אי הוה כתב ואלה המשפטים בפירוש אעשוי אין לומר דדוקא אעישוי קאי ולא אנתינת גט בק"ו מטבילה שאינה גובה ממון ק"ו נתינת גט שהיא גובה כתובתה ובלאותיה ואין הבעל יורשה ואינו אוכל פירות בנכסי מלוג ופטור מקבורתה ומפרקונה ושייך ביה דינא טובא כ"ש דמוקמינן ביה המשפטים. ושפיר ילפינן מינה דאין נותנין גט בלילה דמשפט כתיב ביה אלא ביום דווקא.</w:t>
      </w:r>
      <w:r>
        <w:rPr>
          <w:rFonts w:cs="Arial" w:hint="cs"/>
          <w:rtl/>
        </w:rPr>
        <w:t xml:space="preserve">.. </w:t>
      </w:r>
      <w:r w:rsidRPr="006E4A64">
        <w:rPr>
          <w:rFonts w:cs="Arial"/>
          <w:rtl/>
        </w:rPr>
        <w:t>הלכך נראה בעיני דנתינת הגט דוקא ביום ולא בלילה. ומגמגם מה שאומר משום דכתיב ויצאה והיתה ויש צדדין בדבר ולא אכתוב עד אראה מה שישיבני רבותי על הגט</w:t>
      </w:r>
      <w:r>
        <w:rPr>
          <w:rFonts w:cs="Arial" w:hint="cs"/>
          <w:rtl/>
        </w:rPr>
        <w:t>.</w:t>
      </w:r>
    </w:p>
  </w:footnote>
  <w:footnote w:id="417">
    <w:p w14:paraId="0DC95C13" w14:textId="38D8228E" w:rsidR="00706941" w:rsidRDefault="00706941">
      <w:pPr>
        <w:pStyle w:val="a5"/>
        <w:rPr>
          <w:rtl/>
        </w:rPr>
      </w:pPr>
      <w:r>
        <w:rPr>
          <w:rStyle w:val="a7"/>
        </w:rPr>
        <w:footnoteRef/>
      </w:r>
      <w:r>
        <w:rPr>
          <w:rtl/>
        </w:rPr>
        <w:t xml:space="preserve"> </w:t>
      </w:r>
      <w:r>
        <w:rPr>
          <w:rFonts w:cs="Arial" w:hint="cs"/>
          <w:rtl/>
        </w:rPr>
        <w:t xml:space="preserve">כתב תרוה"ד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706941">
        <w:rPr>
          <w:rFonts w:cs="Arial"/>
          <w:rtl/>
        </w:rPr>
        <w:t>יראה דיש להחמיר דלא תפסיק בטהרה אלא קודם תפילת ערבית, אבל לאחר תפילת ערבית הואיל והתפללו כבר, או אפי' אם היא לא התפללה אלא הקהל התפללו כבר, עשו אותו מקצת היום לילה לענין תפילה, שוב אין לעשותו יום לענין הפסק בטהרה</w:t>
      </w:r>
      <w:r>
        <w:rPr>
          <w:rFonts w:cs="Arial" w:hint="cs"/>
          <w:rtl/>
        </w:rPr>
        <w:t xml:space="preserve">... </w:t>
      </w:r>
      <w:r w:rsidRPr="00706941">
        <w:rPr>
          <w:rFonts w:cs="Arial"/>
          <w:rtl/>
        </w:rPr>
        <w:t>וכעין זה כתב מהר"ם בהלכות שמחות שלו לענין אבילות דמי שהתפלל ערבית ועודנו יום קודם צה"כ ושמע שמועה על מתו אינו מונה אלא מיום של מחרת</w:t>
      </w:r>
      <w:r>
        <w:rPr>
          <w:rFonts w:cs="Arial" w:hint="cs"/>
          <w:rtl/>
        </w:rPr>
        <w:t>-...</w:t>
      </w:r>
    </w:p>
  </w:footnote>
  <w:footnote w:id="418">
    <w:p w14:paraId="19D510FC" w14:textId="0A6B0A6A" w:rsidR="00F53251" w:rsidRDefault="00F53251">
      <w:pPr>
        <w:pStyle w:val="a5"/>
      </w:pPr>
      <w:r>
        <w:rPr>
          <w:rStyle w:val="a7"/>
        </w:rPr>
        <w:footnoteRef/>
      </w:r>
      <w:r>
        <w:rPr>
          <w:rtl/>
        </w:rPr>
        <w:t xml:space="preserve"> </w:t>
      </w:r>
      <w:r>
        <w:rPr>
          <w:rFonts w:cs="Arial" w:hint="cs"/>
          <w:rtl/>
        </w:rPr>
        <w:t>והביאו ה</w:t>
      </w:r>
      <w:r w:rsidRPr="00084FB5">
        <w:rPr>
          <w:rFonts w:cs="Arial" w:hint="cs"/>
          <w:rtl/>
        </w:rPr>
        <w:t>ב"י</w:t>
      </w:r>
      <w:r>
        <w:rPr>
          <w:rFonts w:cs="Arial" w:hint="cs"/>
          <w:rtl/>
        </w:rPr>
        <w:t xml:space="preserve"> בסימן קלו</w:t>
      </w:r>
      <w:r w:rsidRPr="00084FB5">
        <w:rPr>
          <w:rFonts w:cs="Arial" w:hint="cs"/>
          <w:sz w:val="16"/>
          <w:szCs w:val="16"/>
          <w:rtl/>
        </w:rPr>
        <w:t xml:space="preserve"> </w:t>
      </w:r>
      <w:r>
        <w:rPr>
          <w:rFonts w:cs="Arial" w:hint="cs"/>
          <w:sz w:val="16"/>
          <w:szCs w:val="16"/>
          <w:rtl/>
        </w:rPr>
        <w:t>(</w:t>
      </w:r>
      <w:r w:rsidRPr="00084FB5">
        <w:rPr>
          <w:rFonts w:cs="Arial" w:hint="cs"/>
          <w:sz w:val="16"/>
          <w:szCs w:val="16"/>
          <w:rtl/>
        </w:rPr>
        <w:t>אות ו</w:t>
      </w:r>
      <w:r w:rsidRPr="00084FB5">
        <w:rPr>
          <w:rFonts w:cs="Arial" w:hint="cs"/>
          <w:sz w:val="12"/>
          <w:szCs w:val="12"/>
          <w:rtl/>
        </w:rPr>
        <w:t>(ב)</w:t>
      </w:r>
      <w:r w:rsidRPr="00084FB5">
        <w:rPr>
          <w:rFonts w:cs="Arial" w:hint="cs"/>
          <w:sz w:val="16"/>
          <w:szCs w:val="16"/>
          <w:rtl/>
        </w:rPr>
        <w:t>)</w:t>
      </w:r>
      <w:r>
        <w:rPr>
          <w:rFonts w:cs="Arial" w:hint="cs"/>
          <w:rtl/>
        </w:rPr>
        <w:t xml:space="preserve"> וכתב</w:t>
      </w:r>
      <w:r w:rsidR="00801D18">
        <w:rPr>
          <w:rFonts w:cs="Arial" w:hint="cs"/>
          <w:rtl/>
        </w:rPr>
        <w:t>:</w:t>
      </w:r>
      <w:r w:rsidRPr="00084FB5">
        <w:rPr>
          <w:rFonts w:cs="Arial"/>
          <w:rtl/>
        </w:rPr>
        <w:t xml:space="preserve"> ושמעתי הטעם משום דנתינת גט הוי דין ואין דנין בלילה (סנהדרין לב.)</w:t>
      </w:r>
      <w:r w:rsidR="00801D18">
        <w:rPr>
          <w:rFonts w:cs="Arial" w:hint="cs"/>
          <w:rtl/>
        </w:rPr>
        <w:t>,</w:t>
      </w:r>
      <w:r w:rsidRPr="00084FB5">
        <w:rPr>
          <w:rFonts w:cs="Arial"/>
          <w:rtl/>
        </w:rPr>
        <w:t xml:space="preserve"> ואיני יודע מה ענין דין לגט</w:t>
      </w:r>
      <w:r>
        <w:rPr>
          <w:rFonts w:cs="Arial" w:hint="cs"/>
          <w:rtl/>
        </w:rPr>
        <w:t>,</w:t>
      </w:r>
      <w:r w:rsidRPr="00084FB5">
        <w:rPr>
          <w:rFonts w:cs="Arial"/>
          <w:rtl/>
        </w:rPr>
        <w:t xml:space="preserve"> ושום אחד מהפוסקים לא חילק להקפיד בכך</w:t>
      </w:r>
      <w:r>
        <w:rPr>
          <w:rFonts w:cs="Arial" w:hint="cs"/>
          <w:rtl/>
        </w:rPr>
        <w:t xml:space="preserve">. עכ"ל. </w:t>
      </w:r>
      <w:r w:rsidR="00801D18">
        <w:rPr>
          <w:rFonts w:cs="Arial" w:hint="cs"/>
          <w:rtl/>
        </w:rPr>
        <w:t xml:space="preserve">   </w:t>
      </w:r>
      <w:r>
        <w:rPr>
          <w:rFonts w:cs="Arial" w:hint="cs"/>
          <w:rtl/>
        </w:rPr>
        <w:t xml:space="preserve">אך בשו"ע </w:t>
      </w:r>
      <w:r w:rsidRPr="00290D78">
        <w:rPr>
          <w:rFonts w:cs="Arial" w:hint="cs"/>
          <w:sz w:val="16"/>
          <w:szCs w:val="16"/>
          <w:rtl/>
        </w:rPr>
        <w:t xml:space="preserve">(בסדר הגט סע' פט, הנמצא בסוף סימן קנד) </w:t>
      </w:r>
      <w:r>
        <w:rPr>
          <w:rFonts w:cs="Arial" w:hint="cs"/>
          <w:rtl/>
        </w:rPr>
        <w:t>כתב</w:t>
      </w:r>
      <w:r w:rsidR="00801D18">
        <w:rPr>
          <w:rFonts w:cs="Arial" w:hint="cs"/>
          <w:rtl/>
        </w:rPr>
        <w:t>:</w:t>
      </w:r>
      <w:r>
        <w:rPr>
          <w:rFonts w:cs="Arial" w:hint="cs"/>
          <w:rtl/>
        </w:rPr>
        <w:t xml:space="preserve"> </w:t>
      </w:r>
      <w:r w:rsidRPr="00F53251">
        <w:rPr>
          <w:rFonts w:cs="Arial"/>
          <w:rtl/>
        </w:rPr>
        <w:t>וכן אם התפללו הקהל ערבית, אע</w:t>
      </w:r>
      <w:r>
        <w:rPr>
          <w:rFonts w:cs="Arial" w:hint="cs"/>
          <w:rtl/>
        </w:rPr>
        <w:t>"</w:t>
      </w:r>
      <w:r w:rsidRPr="00F53251">
        <w:rPr>
          <w:rFonts w:cs="Arial"/>
          <w:rtl/>
        </w:rPr>
        <w:t>פ שהיה עדיין יום, אין ליתן גט אז, מפני שכבר חשוב לילה, אם לא בשעת הדחק שאז אפי' בלילה ממש יכתב וינתן.</w:t>
      </w:r>
      <w:r>
        <w:rPr>
          <w:rFonts w:cs="Arial" w:hint="cs"/>
          <w:rtl/>
        </w:rPr>
        <w:t xml:space="preserve"> עכ"ל. </w:t>
      </w:r>
      <w:r w:rsidR="00801D18">
        <w:rPr>
          <w:rFonts w:cs="Arial" w:hint="cs"/>
          <w:rtl/>
        </w:rPr>
        <w:t xml:space="preserve">    </w:t>
      </w:r>
      <w:r w:rsidR="00290D78">
        <w:rPr>
          <w:rFonts w:cs="Arial" w:hint="cs"/>
          <w:rtl/>
        </w:rPr>
        <w:t xml:space="preserve">אך הגר"א </w:t>
      </w:r>
      <w:r w:rsidR="00290D78" w:rsidRPr="00290D78">
        <w:rPr>
          <w:rFonts w:cs="Arial" w:hint="cs"/>
          <w:sz w:val="16"/>
          <w:szCs w:val="16"/>
          <w:rtl/>
        </w:rPr>
        <w:t>(בסדר הגט שם אות קל, ציין לדבריו ביו"ד סי' קצו אות ו)</w:t>
      </w:r>
      <w:r w:rsidR="00290D78">
        <w:rPr>
          <w:rFonts w:cs="Arial" w:hint="cs"/>
          <w:rtl/>
        </w:rPr>
        <w:t xml:space="preserve"> הוכיח מדברי התוס' שזה שהתפללו הקהל ערבית מבעו"י משנה רק לדברים השייכים לשבת, אבל </w:t>
      </w:r>
      <w:r w:rsidR="00290D78" w:rsidRPr="00290D78">
        <w:rPr>
          <w:rFonts w:cs="Arial"/>
          <w:rtl/>
        </w:rPr>
        <w:t>לשאר דברים דלא שיי</w:t>
      </w:r>
      <w:r w:rsidR="00290D78">
        <w:rPr>
          <w:rFonts w:cs="Arial" w:hint="cs"/>
          <w:rtl/>
        </w:rPr>
        <w:t>כים</w:t>
      </w:r>
      <w:r w:rsidR="00290D78" w:rsidRPr="00290D78">
        <w:rPr>
          <w:rFonts w:cs="Arial"/>
          <w:rtl/>
        </w:rPr>
        <w:t xml:space="preserve"> לשבת </w:t>
      </w:r>
      <w:r w:rsidR="00290D78">
        <w:rPr>
          <w:rFonts w:cs="Arial" w:hint="cs"/>
          <w:rtl/>
        </w:rPr>
        <w:t xml:space="preserve">- </w:t>
      </w:r>
      <w:r w:rsidR="00290D78" w:rsidRPr="00290D78">
        <w:rPr>
          <w:rFonts w:cs="Arial"/>
          <w:rtl/>
        </w:rPr>
        <w:t>ודאי לאו לילה הוא</w:t>
      </w:r>
      <w:r w:rsidR="00290D78">
        <w:rPr>
          <w:rFonts w:cs="Arial" w:hint="cs"/>
          <w:rtl/>
        </w:rPr>
        <w:t>.</w:t>
      </w:r>
    </w:p>
  </w:footnote>
  <w:footnote w:id="419">
    <w:p w14:paraId="02A4173D" w14:textId="2D81F501" w:rsidR="00646BFD" w:rsidRDefault="00646BFD">
      <w:pPr>
        <w:pStyle w:val="a5"/>
        <w:rPr>
          <w:rtl/>
        </w:rPr>
      </w:pPr>
      <w:r>
        <w:rPr>
          <w:rStyle w:val="a7"/>
        </w:rPr>
        <w:footnoteRef/>
      </w:r>
      <w:r>
        <w:rPr>
          <w:rtl/>
        </w:rPr>
        <w:t xml:space="preserve"> </w:t>
      </w:r>
      <w:r w:rsidRPr="00646BFD">
        <w:rPr>
          <w:rFonts w:cs="Arial"/>
          <w:rtl/>
        </w:rPr>
        <w:t>לאו בחדא מחתא מחתינהו</w:t>
      </w:r>
      <w:r>
        <w:rPr>
          <w:rFonts w:cs="Arial" w:hint="cs"/>
          <w:rtl/>
        </w:rPr>
        <w:t>,</w:t>
      </w:r>
      <w:r w:rsidRPr="00646BFD">
        <w:rPr>
          <w:rFonts w:cs="Arial"/>
          <w:rtl/>
        </w:rPr>
        <w:t xml:space="preserve"> דבשבת וי</w:t>
      </w:r>
      <w:r>
        <w:rPr>
          <w:rFonts w:cs="Arial" w:hint="cs"/>
          <w:rtl/>
        </w:rPr>
        <w:t>ו</w:t>
      </w:r>
      <w:r w:rsidRPr="00646BFD">
        <w:rPr>
          <w:rFonts w:cs="Arial"/>
          <w:rtl/>
        </w:rPr>
        <w:t>"ט אף שהעדים היו שוגגים והכותב לבד היה מזיד לחלל שבת וי</w:t>
      </w:r>
      <w:r>
        <w:rPr>
          <w:rFonts w:cs="Arial" w:hint="cs"/>
          <w:rtl/>
        </w:rPr>
        <w:t>ו</w:t>
      </w:r>
      <w:r w:rsidRPr="00646BFD">
        <w:rPr>
          <w:rFonts w:cs="Arial"/>
          <w:rtl/>
        </w:rPr>
        <w:t>ה</w:t>
      </w:r>
      <w:r>
        <w:rPr>
          <w:rFonts w:cs="Arial" w:hint="cs"/>
          <w:rtl/>
        </w:rPr>
        <w:t>"כ</w:t>
      </w:r>
      <w:r w:rsidRPr="00646BFD">
        <w:rPr>
          <w:rFonts w:cs="Arial"/>
          <w:rtl/>
        </w:rPr>
        <w:t xml:space="preserve"> הרי הוא ככותי אם כתב בפרהסיא</w:t>
      </w:r>
      <w:r w:rsidR="00CC2DFE">
        <w:rPr>
          <w:rFonts w:cs="Arial" w:hint="cs"/>
          <w:sz w:val="16"/>
          <w:szCs w:val="16"/>
          <w:rtl/>
        </w:rPr>
        <w:t xml:space="preserve"> {</w:t>
      </w:r>
      <w:r w:rsidR="00CC2DFE" w:rsidRPr="00CC2DFE">
        <w:rPr>
          <w:rFonts w:cs="Arial"/>
          <w:sz w:val="16"/>
          <w:szCs w:val="16"/>
          <w:rtl/>
        </w:rPr>
        <w:t>א</w:t>
      </w:r>
      <w:r w:rsidR="00CC2DFE">
        <w:rPr>
          <w:rFonts w:cs="Arial" w:hint="cs"/>
          <w:sz w:val="16"/>
          <w:szCs w:val="16"/>
          <w:rtl/>
        </w:rPr>
        <w:t>ע"ג</w:t>
      </w:r>
      <w:r w:rsidR="00CC2DFE" w:rsidRPr="00CC2DFE">
        <w:rPr>
          <w:rFonts w:cs="Arial"/>
          <w:sz w:val="16"/>
          <w:szCs w:val="16"/>
          <w:rtl/>
        </w:rPr>
        <w:t xml:space="preserve"> דק"ל דלא נעשה מומר אם עשה עביר</w:t>
      </w:r>
      <w:r w:rsidR="00CC2DFE">
        <w:rPr>
          <w:rFonts w:cs="Arial" w:hint="cs"/>
          <w:sz w:val="16"/>
          <w:szCs w:val="16"/>
          <w:rtl/>
        </w:rPr>
        <w:t>ה</w:t>
      </w:r>
      <w:r w:rsidR="00CC2DFE" w:rsidRPr="00CC2DFE">
        <w:rPr>
          <w:rFonts w:cs="Arial"/>
          <w:sz w:val="16"/>
          <w:szCs w:val="16"/>
          <w:rtl/>
        </w:rPr>
        <w:t xml:space="preserve"> פ</w:t>
      </w:r>
      <w:r w:rsidR="00CC2DFE">
        <w:rPr>
          <w:rFonts w:cs="Arial" w:hint="cs"/>
          <w:sz w:val="16"/>
          <w:szCs w:val="16"/>
          <w:rtl/>
        </w:rPr>
        <w:t>עם אחת,</w:t>
      </w:r>
      <w:r w:rsidR="00CC2DFE" w:rsidRPr="00CC2DFE">
        <w:rPr>
          <w:rFonts w:cs="Arial"/>
          <w:sz w:val="16"/>
          <w:szCs w:val="16"/>
          <w:rtl/>
        </w:rPr>
        <w:t xml:space="preserve"> כאן הוי כל ב' אותיו</w:t>
      </w:r>
      <w:r w:rsidR="00CC2DFE">
        <w:rPr>
          <w:rFonts w:cs="Arial" w:hint="cs"/>
          <w:sz w:val="16"/>
          <w:szCs w:val="16"/>
          <w:rtl/>
        </w:rPr>
        <w:t>ת</w:t>
      </w:r>
      <w:r w:rsidR="00CC2DFE" w:rsidRPr="00CC2DFE">
        <w:rPr>
          <w:rFonts w:cs="Arial"/>
          <w:sz w:val="16"/>
          <w:szCs w:val="16"/>
          <w:rtl/>
        </w:rPr>
        <w:t xml:space="preserve"> כמעש</w:t>
      </w:r>
      <w:r w:rsidR="00CC2DFE">
        <w:rPr>
          <w:rFonts w:cs="Arial" w:hint="cs"/>
          <w:sz w:val="16"/>
          <w:szCs w:val="16"/>
          <w:rtl/>
        </w:rPr>
        <w:t>ה</w:t>
      </w:r>
      <w:r w:rsidR="00CC2DFE" w:rsidRPr="00CC2DFE">
        <w:rPr>
          <w:rFonts w:cs="Arial"/>
          <w:sz w:val="16"/>
          <w:szCs w:val="16"/>
          <w:rtl/>
        </w:rPr>
        <w:t xml:space="preserve"> אחר</w:t>
      </w:r>
      <w:r w:rsidR="00CC2DFE">
        <w:rPr>
          <w:rFonts w:cs="Arial" w:hint="cs"/>
          <w:sz w:val="16"/>
          <w:szCs w:val="16"/>
          <w:rtl/>
        </w:rPr>
        <w:t>, ב"ש [סק"ח]}</w:t>
      </w:r>
      <w:r w:rsidR="00806AC4">
        <w:rPr>
          <w:rFonts w:cs="Arial" w:hint="cs"/>
          <w:rtl/>
        </w:rPr>
        <w:t>,</w:t>
      </w:r>
      <w:r w:rsidRPr="00646BFD">
        <w:rPr>
          <w:rFonts w:cs="Arial"/>
          <w:rtl/>
        </w:rPr>
        <w:t xml:space="preserve"> וכמו שנתבאר סעיף ב'</w:t>
      </w:r>
      <w:r w:rsidR="00806AC4">
        <w:rPr>
          <w:rFonts w:cs="Arial" w:hint="cs"/>
          <w:rtl/>
        </w:rPr>
        <w:t>.</w:t>
      </w:r>
      <w:r w:rsidRPr="00646BFD">
        <w:rPr>
          <w:rFonts w:cs="Arial"/>
          <w:rtl/>
        </w:rPr>
        <w:t xml:space="preserve"> אבל בי</w:t>
      </w:r>
      <w:r w:rsidR="00806AC4">
        <w:rPr>
          <w:rFonts w:cs="Arial" w:hint="cs"/>
          <w:rtl/>
        </w:rPr>
        <w:t>ו</w:t>
      </w:r>
      <w:r w:rsidRPr="00646BFD">
        <w:rPr>
          <w:rFonts w:cs="Arial"/>
          <w:rtl/>
        </w:rPr>
        <w:t>"ט הפסול הוא משום עדים</w:t>
      </w:r>
      <w:r w:rsidR="00806AC4">
        <w:rPr>
          <w:rFonts w:cs="Arial" w:hint="cs"/>
          <w:rtl/>
        </w:rPr>
        <w:t>,</w:t>
      </w:r>
      <w:r w:rsidRPr="00646BFD">
        <w:rPr>
          <w:rFonts w:cs="Arial"/>
          <w:rtl/>
        </w:rPr>
        <w:t xml:space="preserve"> אבל הסופר בי</w:t>
      </w:r>
      <w:r w:rsidR="00806AC4">
        <w:rPr>
          <w:rFonts w:cs="Arial" w:hint="cs"/>
          <w:rtl/>
        </w:rPr>
        <w:t>ו</w:t>
      </w:r>
      <w:r w:rsidRPr="00646BFD">
        <w:rPr>
          <w:rFonts w:cs="Arial"/>
          <w:rtl/>
        </w:rPr>
        <w:t>"ט אינו ככותי</w:t>
      </w:r>
      <w:r w:rsidR="00806AC4">
        <w:rPr>
          <w:rFonts w:cs="Arial" w:hint="cs"/>
          <w:rtl/>
        </w:rPr>
        <w:t>,</w:t>
      </w:r>
      <w:r w:rsidRPr="00646BFD">
        <w:rPr>
          <w:rFonts w:cs="Arial"/>
          <w:rtl/>
        </w:rPr>
        <w:t xml:space="preserve"> רק ישראל רשע</w:t>
      </w:r>
      <w:r w:rsidR="00806AC4">
        <w:rPr>
          <w:rFonts w:cs="Arial" w:hint="cs"/>
          <w:rtl/>
        </w:rPr>
        <w:t>,</w:t>
      </w:r>
      <w:r w:rsidRPr="00646BFD">
        <w:rPr>
          <w:rFonts w:cs="Arial"/>
          <w:rtl/>
        </w:rPr>
        <w:t xml:space="preserve"> ואינו פסול לכתיבת הגט</w:t>
      </w:r>
      <w:r>
        <w:rPr>
          <w:rFonts w:hint="cs"/>
          <w:rtl/>
        </w:rPr>
        <w:t>, ח"מ (סק"ח).</w:t>
      </w:r>
    </w:p>
  </w:footnote>
  <w:footnote w:id="420">
    <w:p w14:paraId="5A89FA98" w14:textId="2CEFDEE8" w:rsidR="00646BFD" w:rsidRDefault="00646BFD">
      <w:pPr>
        <w:pStyle w:val="a5"/>
      </w:pPr>
      <w:r>
        <w:rPr>
          <w:rStyle w:val="a7"/>
        </w:rPr>
        <w:footnoteRef/>
      </w:r>
      <w:r>
        <w:rPr>
          <w:rtl/>
        </w:rPr>
        <w:t xml:space="preserve"> </w:t>
      </w:r>
      <w:r w:rsidRPr="00646BFD">
        <w:rPr>
          <w:rFonts w:cs="Arial"/>
          <w:rtl/>
        </w:rPr>
        <w:t>כלומר וגם חתמו העדים בזדון דה"ל מזויף מתוכו ופסול מדרבנן אף לר' אליעזר</w:t>
      </w:r>
      <w:r w:rsidR="00806AC4">
        <w:rPr>
          <w:rFonts w:cs="Arial" w:hint="cs"/>
          <w:rtl/>
        </w:rPr>
        <w:t>.</w:t>
      </w:r>
      <w:r w:rsidRPr="00646BFD">
        <w:rPr>
          <w:rFonts w:cs="Arial"/>
          <w:rtl/>
        </w:rPr>
        <w:t xml:space="preserve"> אבל אם לא חתמו עליו עדים כלל</w:t>
      </w:r>
      <w:r w:rsidR="00806AC4">
        <w:rPr>
          <w:rFonts w:cs="Arial" w:hint="cs"/>
          <w:rtl/>
        </w:rPr>
        <w:t>,</w:t>
      </w:r>
      <w:r w:rsidRPr="00646BFD">
        <w:rPr>
          <w:rFonts w:cs="Arial"/>
          <w:rtl/>
        </w:rPr>
        <w:t xml:space="preserve"> ונמסר בפני עידי מסירה</w:t>
      </w:r>
      <w:r w:rsidR="00806AC4">
        <w:rPr>
          <w:rFonts w:cs="Arial" w:hint="cs"/>
          <w:rtl/>
        </w:rPr>
        <w:t>,</w:t>
      </w:r>
      <w:r w:rsidRPr="00646BFD">
        <w:rPr>
          <w:rFonts w:cs="Arial"/>
          <w:rtl/>
        </w:rPr>
        <w:t xml:space="preserve"> אך שנכתב בזדון בי</w:t>
      </w:r>
      <w:r w:rsidR="00806AC4">
        <w:rPr>
          <w:rFonts w:cs="Arial" w:hint="cs"/>
          <w:rtl/>
        </w:rPr>
        <w:t>ו</w:t>
      </w:r>
      <w:r w:rsidRPr="00646BFD">
        <w:rPr>
          <w:rFonts w:cs="Arial"/>
          <w:rtl/>
        </w:rPr>
        <w:t xml:space="preserve">"ט </w:t>
      </w:r>
      <w:r w:rsidR="00806AC4">
        <w:rPr>
          <w:rFonts w:cs="Arial" w:hint="cs"/>
          <w:rtl/>
        </w:rPr>
        <w:t xml:space="preserve">- </w:t>
      </w:r>
      <w:r w:rsidRPr="00646BFD">
        <w:rPr>
          <w:rFonts w:cs="Arial"/>
          <w:rtl/>
        </w:rPr>
        <w:t>הגט כשר</w:t>
      </w:r>
      <w:r>
        <w:rPr>
          <w:rFonts w:cs="Arial" w:hint="cs"/>
          <w:rtl/>
        </w:rPr>
        <w:t>, ח"מ (סקי"ב).</w:t>
      </w:r>
    </w:p>
  </w:footnote>
  <w:footnote w:id="421">
    <w:p w14:paraId="328F8C2E" w14:textId="44EE4E09" w:rsidR="00D145D5" w:rsidRDefault="00D145D5">
      <w:pPr>
        <w:pStyle w:val="a5"/>
      </w:pPr>
      <w:r>
        <w:rPr>
          <w:rStyle w:val="a7"/>
        </w:rPr>
        <w:footnoteRef/>
      </w:r>
      <w:r>
        <w:rPr>
          <w:rtl/>
        </w:rPr>
        <w:t xml:space="preserve"> </w:t>
      </w:r>
      <w:r w:rsidRPr="00D145D5">
        <w:rPr>
          <w:rFonts w:cs="Arial"/>
          <w:rtl/>
        </w:rPr>
        <w:t>עיין בס' רביד הזהב פ' תצא שכ' יש להסתפק אם כתב בשמאל דפטור אבל אסור אולי דהוי פסול ולא בטל</w:t>
      </w:r>
      <w:r>
        <w:rPr>
          <w:rFonts w:cs="Arial" w:hint="cs"/>
          <w:rtl/>
        </w:rPr>
        <w:t>, פת"ש (סק"ה).</w:t>
      </w:r>
    </w:p>
  </w:footnote>
  <w:footnote w:id="422">
    <w:p w14:paraId="132DE2C5" w14:textId="59923A22" w:rsidR="009D4669" w:rsidRDefault="009D4669">
      <w:pPr>
        <w:pStyle w:val="a5"/>
      </w:pPr>
      <w:r>
        <w:rPr>
          <w:rStyle w:val="a7"/>
        </w:rPr>
        <w:footnoteRef/>
      </w:r>
      <w:r>
        <w:rPr>
          <w:rtl/>
        </w:rPr>
        <w:t xml:space="preserve"> </w:t>
      </w:r>
      <w:r w:rsidRPr="006B05FA">
        <w:rPr>
          <w:rFonts w:cs="Arial"/>
          <w:b/>
          <w:bCs/>
          <w:rtl/>
        </w:rPr>
        <w:t>בב"ח</w:t>
      </w:r>
      <w:r w:rsidRPr="009D4669">
        <w:rPr>
          <w:rFonts w:cs="Arial"/>
          <w:rtl/>
        </w:rPr>
        <w:t xml:space="preserve"> כתב דאף דאית' בגמ' דכתבו על איסורי הנאה כשר</w:t>
      </w:r>
      <w:r>
        <w:rPr>
          <w:rFonts w:cs="Arial" w:hint="cs"/>
          <w:rtl/>
        </w:rPr>
        <w:t>,</w:t>
      </w:r>
      <w:r w:rsidRPr="009D4669">
        <w:rPr>
          <w:rFonts w:cs="Arial"/>
          <w:rtl/>
        </w:rPr>
        <w:t xml:space="preserve"> דמשמע דוקא דיעבד</w:t>
      </w:r>
      <w:r>
        <w:rPr>
          <w:rFonts w:cs="Arial" w:hint="cs"/>
          <w:rtl/>
        </w:rPr>
        <w:t>,</w:t>
      </w:r>
      <w:r w:rsidRPr="009D4669">
        <w:rPr>
          <w:rFonts w:cs="Arial"/>
          <w:rtl/>
        </w:rPr>
        <w:t xml:space="preserve"> וכן כתבו התוס' להדיא מ"מ נראה לי עיקר דשרי לכתחלה דאין מתכוין ליהנות כלל אלא לכתוב עליו גט</w:t>
      </w:r>
      <w:r>
        <w:rPr>
          <w:rFonts w:cs="Arial" w:hint="cs"/>
          <w:rtl/>
        </w:rPr>
        <w:t xml:space="preserve">. וכתב </w:t>
      </w:r>
      <w:r w:rsidRPr="00C80DA7">
        <w:rPr>
          <w:rFonts w:cs="Arial" w:hint="cs"/>
          <w:b/>
          <w:bCs/>
          <w:rtl/>
        </w:rPr>
        <w:t xml:space="preserve">הח"מ </w:t>
      </w:r>
      <w:r>
        <w:rPr>
          <w:rFonts w:cs="Arial" w:hint="cs"/>
          <w:rtl/>
        </w:rPr>
        <w:t>(סק"א)</w:t>
      </w:r>
      <w:r w:rsidRPr="009D4669">
        <w:rPr>
          <w:rFonts w:cs="Arial"/>
          <w:rtl/>
        </w:rPr>
        <w:t xml:space="preserve"> </w:t>
      </w:r>
      <w:r>
        <w:rPr>
          <w:rFonts w:cs="Arial" w:hint="cs"/>
          <w:rtl/>
        </w:rPr>
        <w:t>ש</w:t>
      </w:r>
      <w:r w:rsidRPr="009D4669">
        <w:rPr>
          <w:rFonts w:cs="Arial"/>
          <w:rtl/>
        </w:rPr>
        <w:t>דבריו תמוהין מאד איך נחלק על דברי התוספות בדבר פשוט כזה</w:t>
      </w:r>
      <w:r>
        <w:rPr>
          <w:rFonts w:cs="Arial" w:hint="cs"/>
          <w:rtl/>
        </w:rPr>
        <w:t>,</w:t>
      </w:r>
      <w:r w:rsidRPr="009D4669">
        <w:rPr>
          <w:rFonts w:cs="Arial"/>
          <w:rtl/>
        </w:rPr>
        <w:t xml:space="preserve"> וכי אין לך הנאה גדולה מזה שעושה צרכיו בדבר שאסור בהנאה וגם משתכר ממון</w:t>
      </w:r>
      <w:r>
        <w:rPr>
          <w:rFonts w:cs="Arial" w:hint="cs"/>
          <w:rtl/>
        </w:rPr>
        <w:t>,</w:t>
      </w:r>
      <w:r w:rsidRPr="009D4669">
        <w:rPr>
          <w:rFonts w:cs="Arial"/>
          <w:rtl/>
        </w:rPr>
        <w:t xml:space="preserve"> דהא היה צריך לקנות קלף לכתוב עליו הגט</w:t>
      </w:r>
      <w:r>
        <w:rPr>
          <w:rFonts w:cs="Arial" w:hint="cs"/>
          <w:rtl/>
        </w:rPr>
        <w:t>.</w:t>
      </w:r>
      <w:r w:rsidRPr="009D4669">
        <w:rPr>
          <w:rFonts w:cs="Arial"/>
          <w:rtl/>
        </w:rPr>
        <w:t xml:space="preserve"> ולא גרע זה משוחט מסוכנת בסכין של ע"ז דאסור</w:t>
      </w:r>
      <w:r>
        <w:rPr>
          <w:rFonts w:cs="Arial" w:hint="cs"/>
          <w:rtl/>
        </w:rPr>
        <w:t>.</w:t>
      </w:r>
      <w:r w:rsidRPr="009D4669">
        <w:rPr>
          <w:rFonts w:cs="Arial"/>
          <w:rtl/>
        </w:rPr>
        <w:t xml:space="preserve"> ואין לך הנאה גדולה מזה שמגרש אשה רעה מביתו ומתרפא מצרעתה</w:t>
      </w:r>
      <w:r>
        <w:rPr>
          <w:rFonts w:cs="Arial" w:hint="cs"/>
          <w:rtl/>
        </w:rPr>
        <w:t>.</w:t>
      </w:r>
      <w:r w:rsidRPr="009D4669">
        <w:rPr>
          <w:rFonts w:cs="Arial"/>
          <w:rtl/>
        </w:rPr>
        <w:t xml:space="preserve"> </w:t>
      </w:r>
      <w:r w:rsidRPr="00C80DA7">
        <w:rPr>
          <w:rFonts w:cs="Arial"/>
          <w:rtl/>
        </w:rPr>
        <w:t xml:space="preserve">ואף שמשמעו' לשון הטור והרמב"ם דכותבין לכתחלה </w:t>
      </w:r>
      <w:r w:rsidRPr="00C80DA7">
        <w:rPr>
          <w:rFonts w:cs="Arial" w:hint="cs"/>
          <w:rtl/>
        </w:rPr>
        <w:t xml:space="preserve">- </w:t>
      </w:r>
      <w:r w:rsidRPr="00C80DA7">
        <w:rPr>
          <w:rFonts w:cs="Arial"/>
          <w:rtl/>
        </w:rPr>
        <w:t>היינו מצד איסור הגט אין בו דררא דאיסורא</w:t>
      </w:r>
      <w:r>
        <w:rPr>
          <w:rFonts w:cs="Arial" w:hint="cs"/>
          <w:rtl/>
        </w:rPr>
        <w:t>.</w:t>
      </w:r>
      <w:r w:rsidRPr="009D4669">
        <w:rPr>
          <w:rFonts w:cs="Arial"/>
          <w:rtl/>
        </w:rPr>
        <w:t xml:space="preserve"> וכעין שכתב הרא"ש ריש פ"ק דשבת גבי פטור ומותר</w:t>
      </w:r>
      <w:r>
        <w:rPr>
          <w:rFonts w:cs="Arial" w:hint="cs"/>
          <w:rtl/>
        </w:rPr>
        <w:t>,</w:t>
      </w:r>
      <w:r w:rsidRPr="009D4669">
        <w:rPr>
          <w:rFonts w:cs="Arial"/>
          <w:rtl/>
        </w:rPr>
        <w:t xml:space="preserve"> דאף דאסור מפני לפני עור לא תתן מכשול</w:t>
      </w:r>
      <w:r>
        <w:rPr>
          <w:rFonts w:cs="Arial" w:hint="cs"/>
          <w:rtl/>
        </w:rPr>
        <w:t>,</w:t>
      </w:r>
      <w:r w:rsidRPr="009D4669">
        <w:rPr>
          <w:rFonts w:cs="Arial"/>
          <w:rtl/>
        </w:rPr>
        <w:t xml:space="preserve"> מ"מ מצד איסור שבת אין בו חשש איסור ומותר</w:t>
      </w:r>
      <w:r>
        <w:rPr>
          <w:rFonts w:cs="Arial" w:hint="cs"/>
          <w:rtl/>
        </w:rPr>
        <w:t>.</w:t>
      </w:r>
      <w:r w:rsidRPr="009D4669">
        <w:rPr>
          <w:rFonts w:cs="Arial"/>
          <w:rtl/>
        </w:rPr>
        <w:t xml:space="preserve"> והדבר פשוט</w:t>
      </w:r>
      <w:r>
        <w:rPr>
          <w:rFonts w:hint="cs"/>
          <w:rtl/>
        </w:rPr>
        <w:t>.</w:t>
      </w:r>
    </w:p>
  </w:footnote>
  <w:footnote w:id="423">
    <w:p w14:paraId="5BB44EB2" w14:textId="1CDD4543" w:rsidR="00002F53" w:rsidRDefault="00002F53">
      <w:pPr>
        <w:pStyle w:val="a5"/>
        <w:rPr>
          <w:rtl/>
        </w:rPr>
      </w:pPr>
      <w:r>
        <w:rPr>
          <w:rStyle w:val="a7"/>
        </w:rPr>
        <w:footnoteRef/>
      </w:r>
      <w:r>
        <w:rPr>
          <w:rtl/>
        </w:rPr>
        <w:t xml:space="preserve"> </w:t>
      </w:r>
      <w:r>
        <w:rPr>
          <w:rFonts w:cs="Arial"/>
          <w:rtl/>
        </w:rPr>
        <w:t>פירוש אפילו לא הביאתו לבית דין עד אחר זמן מרובה שנמסר לה כשר ולא חיישינן שמא היה כתוב בו תנאי ומחקתו ואינו ניכר</w:t>
      </w:r>
      <w:r>
        <w:rPr>
          <w:rFonts w:cs="Arial" w:hint="cs"/>
          <w:rtl/>
        </w:rPr>
        <w:t>,</w:t>
      </w:r>
      <w:r>
        <w:rPr>
          <w:rFonts w:cs="Arial"/>
          <w:rtl/>
        </w:rPr>
        <w:t xml:space="preserve"> דכיון שצריכה להביא עדי מסירה לפנינו אם איתא דהוה ביה תנאה מידכר הוו דכירי</w:t>
      </w:r>
      <w:r>
        <w:rPr>
          <w:rFonts w:hint="cs"/>
          <w:rtl/>
        </w:rPr>
        <w:t>, ב"י.</w:t>
      </w:r>
    </w:p>
  </w:footnote>
  <w:footnote w:id="424">
    <w:p w14:paraId="7DA8C8C8" w14:textId="77777777" w:rsidR="00215339" w:rsidRDefault="00215339" w:rsidP="00215339">
      <w:pPr>
        <w:pStyle w:val="a5"/>
        <w:rPr>
          <w:rtl/>
        </w:rPr>
      </w:pPr>
      <w:r>
        <w:rPr>
          <w:rStyle w:val="a7"/>
        </w:rPr>
        <w:footnoteRef/>
      </w:r>
      <w:r>
        <w:rPr>
          <w:rtl/>
        </w:rPr>
        <w:t xml:space="preserve"> </w:t>
      </w:r>
      <w:r>
        <w:rPr>
          <w:rFonts w:cs="Arial"/>
          <w:rtl/>
        </w:rPr>
        <w:t>כלומר אבל אם לא הביאה עדי מסירה ואינה מביאה בידה אלא הגט בחותמיו</w:t>
      </w:r>
      <w:r>
        <w:rPr>
          <w:rFonts w:cs="Arial" w:hint="cs"/>
          <w:rtl/>
        </w:rPr>
        <w:t>,</w:t>
      </w:r>
      <w:r>
        <w:rPr>
          <w:rFonts w:cs="Arial"/>
          <w:rtl/>
        </w:rPr>
        <w:t xml:space="preserve"> לא מיבעיא אם אין עדי החתימה בפנינו אלא עדים שמכירין חתימתם דפסול</w:t>
      </w:r>
      <w:r>
        <w:rPr>
          <w:rFonts w:cs="Arial" w:hint="cs"/>
          <w:rtl/>
        </w:rPr>
        <w:t>,</w:t>
      </w:r>
      <w:r>
        <w:rPr>
          <w:rFonts w:cs="Arial"/>
          <w:rtl/>
        </w:rPr>
        <w:t xml:space="preserve"> אלא אפילו באים עדי החתימה עצמם ומעידין שלא היה כתוב התנאי</w:t>
      </w:r>
      <w:r>
        <w:rPr>
          <w:rFonts w:cs="Arial" w:hint="cs"/>
          <w:sz w:val="16"/>
          <w:szCs w:val="16"/>
          <w:rtl/>
        </w:rPr>
        <w:t xml:space="preserve"> {היינו שהגט עכשיו הוא כמו בעת שנכתב, שלא היה כתוב תנאי ונמחק, והיינו שלא נזדייף}</w:t>
      </w:r>
      <w:r>
        <w:rPr>
          <w:rFonts w:cs="Arial"/>
          <w:rtl/>
        </w:rPr>
        <w:t xml:space="preserve"> </w:t>
      </w:r>
      <w:r>
        <w:rPr>
          <w:rFonts w:cs="Arial" w:hint="cs"/>
          <w:rtl/>
        </w:rPr>
        <w:t xml:space="preserve">- </w:t>
      </w:r>
      <w:r>
        <w:rPr>
          <w:rFonts w:cs="Arial"/>
          <w:rtl/>
        </w:rPr>
        <w:t>פסול</w:t>
      </w:r>
      <w:r>
        <w:rPr>
          <w:rFonts w:cs="Arial" w:hint="cs"/>
          <w:rtl/>
        </w:rPr>
        <w:t>,</w:t>
      </w:r>
      <w:r>
        <w:rPr>
          <w:rFonts w:cs="Arial"/>
          <w:rtl/>
        </w:rPr>
        <w:t xml:space="preserve"> מפני שכתוב על דבר המזדייף</w:t>
      </w:r>
      <w:r>
        <w:rPr>
          <w:rFonts w:hint="cs"/>
          <w:rtl/>
        </w:rPr>
        <w:t>, ב"י.</w:t>
      </w:r>
    </w:p>
  </w:footnote>
  <w:footnote w:id="425">
    <w:p w14:paraId="582B8537" w14:textId="364ECF0D" w:rsidR="00215339" w:rsidRDefault="00215339" w:rsidP="00215339">
      <w:pPr>
        <w:pStyle w:val="a5"/>
        <w:rPr>
          <w:rtl/>
        </w:rPr>
      </w:pPr>
      <w:r>
        <w:rPr>
          <w:rStyle w:val="a7"/>
        </w:rPr>
        <w:footnoteRef/>
      </w:r>
      <w:r>
        <w:rPr>
          <w:rtl/>
        </w:rPr>
        <w:t xml:space="preserve"> </w:t>
      </w:r>
      <w:r>
        <w:rPr>
          <w:rFonts w:cs="Arial"/>
          <w:rtl/>
        </w:rPr>
        <w:t>ובטעמא דלא מכשירינן בעדי חתימה כשכתוב על דבר המזדייף כתב הרא"ש (שם) דהוי משום דכי חזינן בידה גט דליכא למיחש לזיופא אמרינן דמסתמא בא לידה כמצותו</w:t>
      </w:r>
      <w:r>
        <w:rPr>
          <w:rFonts w:cs="Arial" w:hint="cs"/>
          <w:rtl/>
        </w:rPr>
        <w:t>.</w:t>
      </w:r>
      <w:r>
        <w:rPr>
          <w:rFonts w:cs="Arial"/>
          <w:rtl/>
        </w:rPr>
        <w:t xml:space="preserve"> עכ"ל</w:t>
      </w:r>
      <w:r>
        <w:rPr>
          <w:rFonts w:cs="Arial" w:hint="cs"/>
          <w:rtl/>
        </w:rPr>
        <w:t>.</w:t>
      </w:r>
      <w:r>
        <w:rPr>
          <w:rFonts w:cs="Arial"/>
          <w:rtl/>
        </w:rPr>
        <w:t xml:space="preserve"> כלומר בעדי מסירה</w:t>
      </w:r>
      <w:r>
        <w:rPr>
          <w:rFonts w:cs="Arial" w:hint="cs"/>
          <w:rtl/>
        </w:rPr>
        <w:t>.</w:t>
      </w:r>
      <w:r>
        <w:rPr>
          <w:rFonts w:cs="Arial"/>
          <w:rtl/>
        </w:rPr>
        <w:t xml:space="preserve"> </w:t>
      </w:r>
      <w:r w:rsidRPr="00215339">
        <w:rPr>
          <w:rFonts w:cs="Arial" w:hint="cs"/>
          <w:sz w:val="16"/>
          <w:szCs w:val="16"/>
          <w:rtl/>
        </w:rPr>
        <w:t>(</w:t>
      </w:r>
      <w:r w:rsidRPr="00215339">
        <w:rPr>
          <w:rFonts w:cs="Arial"/>
          <w:sz w:val="16"/>
          <w:szCs w:val="16"/>
          <w:rtl/>
        </w:rPr>
        <w:t>ולטעמיה אזיל דסבירא ליה (פ"ט ס"ז) דכל שלא נמסר בעדי מסירה בטל הוא</w:t>
      </w:r>
      <w:r w:rsidRPr="00215339">
        <w:rPr>
          <w:rFonts w:cs="Arial" w:hint="cs"/>
          <w:sz w:val="16"/>
          <w:szCs w:val="16"/>
          <w:rtl/>
        </w:rPr>
        <w:t>,</w:t>
      </w:r>
      <w:r w:rsidRPr="00215339">
        <w:rPr>
          <w:rFonts w:cs="Arial"/>
          <w:sz w:val="16"/>
          <w:szCs w:val="16"/>
          <w:rtl/>
        </w:rPr>
        <w:t xml:space="preserve"> ומשום הכי כל היכא דכתוב על דבר המזדייף הורע חזקתו וחיישינן שמא לא ניתן לה בפני עדים. ולפי זה מה שכתב רבינו אבל בעדי חתימה אפילו הם לפנינו פסול זהו דוקא לדברי הסוברים דכל היכא דליכא עדי מסירה הוא בטל אבל לדברי המכשירים בעדי חתימה לחוד כמו שיתבאר בסי</w:t>
      </w:r>
      <w:r>
        <w:rPr>
          <w:rFonts w:cs="Arial" w:hint="cs"/>
          <w:sz w:val="16"/>
          <w:szCs w:val="16"/>
          <w:rtl/>
        </w:rPr>
        <w:t>'</w:t>
      </w:r>
      <w:r w:rsidRPr="00215339">
        <w:rPr>
          <w:rFonts w:cs="Arial"/>
          <w:sz w:val="16"/>
          <w:szCs w:val="16"/>
          <w:rtl/>
        </w:rPr>
        <w:t xml:space="preserve"> קל"ג אם באו עדי חתימה בפנינו נישאת על ידיהם אע</w:t>
      </w:r>
      <w:r>
        <w:rPr>
          <w:rFonts w:cs="Arial" w:hint="cs"/>
          <w:sz w:val="16"/>
          <w:szCs w:val="16"/>
          <w:rtl/>
        </w:rPr>
        <w:t>"</w:t>
      </w:r>
      <w:r w:rsidRPr="00215339">
        <w:rPr>
          <w:rFonts w:cs="Arial"/>
          <w:sz w:val="16"/>
          <w:szCs w:val="16"/>
          <w:rtl/>
        </w:rPr>
        <w:t>פ שהגט כתוב על דבר המזדייף</w:t>
      </w:r>
      <w:r w:rsidRPr="00215339">
        <w:rPr>
          <w:rFonts w:hint="cs"/>
          <w:sz w:val="16"/>
          <w:szCs w:val="16"/>
          <w:rtl/>
        </w:rPr>
        <w:t>.</w:t>
      </w:r>
      <w:r w:rsidRPr="00215339">
        <w:rPr>
          <w:rFonts w:cs="Arial"/>
          <w:sz w:val="16"/>
          <w:szCs w:val="16"/>
          <w:rtl/>
        </w:rPr>
        <w:t xml:space="preserve"> ומיהו קשה</w:t>
      </w:r>
      <w:r w:rsidRPr="00215339">
        <w:rPr>
          <w:rFonts w:cs="Arial" w:hint="cs"/>
          <w:sz w:val="16"/>
          <w:szCs w:val="16"/>
          <w:rtl/>
        </w:rPr>
        <w:t>,</w:t>
      </w:r>
      <w:r w:rsidRPr="00215339">
        <w:rPr>
          <w:rFonts w:cs="Arial"/>
          <w:sz w:val="16"/>
          <w:szCs w:val="16"/>
          <w:rtl/>
        </w:rPr>
        <w:t xml:space="preserve"> דאם כן למה סתם רבינו דבריו והוה ליה לפרושי דהיינו להרא"ש דוקא. ואפשר דגם למכשירים בעדי חתימה לחודייהו פסלי הכא אפילו כשעדי חתימה לפנינו</w:t>
      </w:r>
      <w:r w:rsidRPr="00215339">
        <w:rPr>
          <w:rFonts w:cs="Arial" w:hint="cs"/>
          <w:sz w:val="16"/>
          <w:szCs w:val="16"/>
          <w:rtl/>
        </w:rPr>
        <w:t>,</w:t>
      </w:r>
      <w:r w:rsidRPr="00215339">
        <w:rPr>
          <w:rFonts w:cs="Arial"/>
          <w:sz w:val="16"/>
          <w:szCs w:val="16"/>
          <w:rtl/>
        </w:rPr>
        <w:t xml:space="preserve"> משום דכיון דיכול להזדייף הוה ליה כמזוייף מתוכו (גיטין י:). אי נמי גזרינן היכא שעדי חתימה באים לפנינו אטו היכא שאינם באים לפנינו אלא עדים המכירים חתימתן דאז ודאי חיישינן לדילמא תנאה הוה ביה וזייפתיה</w:t>
      </w:r>
      <w:r w:rsidRPr="00215339">
        <w:rPr>
          <w:rFonts w:cs="Arial" w:hint="cs"/>
          <w:sz w:val="16"/>
          <w:szCs w:val="16"/>
          <w:rtl/>
        </w:rPr>
        <w:t>.</w:t>
      </w:r>
      <w:r w:rsidRPr="00215339">
        <w:rPr>
          <w:rFonts w:cs="Arial"/>
          <w:sz w:val="16"/>
          <w:szCs w:val="16"/>
          <w:rtl/>
        </w:rPr>
        <w:t xml:space="preserve"> וגם שמא זייף החתימות עד שנראה למקיימים שהיא חתימת העדים החתומים בו</w:t>
      </w:r>
      <w:r w:rsidRPr="00215339">
        <w:rPr>
          <w:rFonts w:cs="Arial" w:hint="cs"/>
          <w:sz w:val="16"/>
          <w:szCs w:val="16"/>
          <w:rtl/>
        </w:rPr>
        <w:t>,</w:t>
      </w:r>
      <w:r w:rsidRPr="00215339">
        <w:rPr>
          <w:rFonts w:cs="Arial"/>
          <w:sz w:val="16"/>
          <w:szCs w:val="16"/>
          <w:rtl/>
        </w:rPr>
        <w:t xml:space="preserve"> דכיון שכתוב על דבר המזדייף איתרע ליה חזקה דכשרות וחיישינן לכל מאי דאפשר למיחש</w:t>
      </w:r>
      <w:r>
        <w:rPr>
          <w:rFonts w:cs="Arial" w:hint="cs"/>
          <w:sz w:val="16"/>
          <w:szCs w:val="16"/>
          <w:rtl/>
        </w:rPr>
        <w:t>)</w:t>
      </w:r>
      <w:r>
        <w:rPr>
          <w:rFonts w:cs="Arial" w:hint="cs"/>
          <w:rtl/>
        </w:rPr>
        <w:t>,</w:t>
      </w:r>
      <w:r>
        <w:rPr>
          <w:rFonts w:hint="cs"/>
          <w:rtl/>
        </w:rPr>
        <w:t xml:space="preserve"> ב"י.</w:t>
      </w:r>
    </w:p>
  </w:footnote>
  <w:footnote w:id="426">
    <w:p w14:paraId="5A2BC794" w14:textId="15C33277" w:rsidR="00FE3685" w:rsidRDefault="00FE3685" w:rsidP="00FE3685">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FE3685">
        <w:rPr>
          <w:rFonts w:cs="Arial"/>
          <w:rtl/>
        </w:rPr>
        <w:t xml:space="preserve">על העלה של זית. תלושה ואליבא דר"א דס"ל עדי מסירה כרתי </w:t>
      </w:r>
      <w:r w:rsidRPr="0002217D">
        <w:rPr>
          <w:rFonts w:cs="Arial"/>
          <w:rtl/>
        </w:rPr>
        <w:t xml:space="preserve">(גיטין כא:) </w:t>
      </w:r>
      <w:r w:rsidRPr="00FE3685">
        <w:rPr>
          <w:rFonts w:cs="Arial"/>
          <w:rtl/>
        </w:rPr>
        <w:t>אפילו בכותב על העלה בדיו כשר אף על פי שהוא כתב שיכול להזדייף ואליבא דר"מ דוקא ברושם וקמ"ל מתני' דעלה של זית דבר המתקיים הוא דבין לר"מ בין לר"א אין כותבין את הגט אלא בדבר המתקיים על דבר המתקיים. והיינו דתניא בתוספתא [פ"ב] על עלה זית</w:t>
      </w:r>
      <w:r>
        <w:rPr>
          <w:rFonts w:hint="cs"/>
          <w:rtl/>
        </w:rPr>
        <w:t>..</w:t>
      </w:r>
      <w:r>
        <w:rPr>
          <w:rFonts w:cs="Arial" w:hint="cs"/>
          <w:rtl/>
        </w:rPr>
        <w:t>.</w:t>
      </w:r>
    </w:p>
  </w:footnote>
  <w:footnote w:id="427">
    <w:p w14:paraId="16DD0035" w14:textId="6F4515BC" w:rsidR="00EA0E0F" w:rsidRDefault="00EA0E0F">
      <w:pPr>
        <w:pStyle w:val="a5"/>
      </w:pPr>
      <w:r>
        <w:rPr>
          <w:rStyle w:val="a7"/>
        </w:rPr>
        <w:footnoteRef/>
      </w:r>
      <w:r>
        <w:rPr>
          <w:rtl/>
        </w:rPr>
        <w:t xml:space="preserve"> </w:t>
      </w:r>
      <w:r w:rsidRPr="0002217D">
        <w:rPr>
          <w:rFonts w:cs="Arial"/>
          <w:rtl/>
        </w:rPr>
        <w:t>אבל הרי"ף והרא"ש והרמב"ם לא הזכירו תוספתא זו</w:t>
      </w:r>
      <w:r>
        <w:rPr>
          <w:rFonts w:cs="Arial" w:hint="cs"/>
          <w:rtl/>
        </w:rPr>
        <w:t>, ב"י.</w:t>
      </w:r>
      <w:r w:rsidRPr="0002217D">
        <w:rPr>
          <w:rFonts w:cs="Arial"/>
          <w:rtl/>
        </w:rPr>
        <w:t xml:space="preserve"> וכתב הרב המגיד </w:t>
      </w:r>
      <w:r>
        <w:rPr>
          <w:rFonts w:cs="Arial" w:hint="cs"/>
          <w:rtl/>
        </w:rPr>
        <w:t>(</w:t>
      </w:r>
      <w:r w:rsidRPr="0002217D">
        <w:rPr>
          <w:rFonts w:cs="Arial"/>
          <w:rtl/>
        </w:rPr>
        <w:t>פ</w:t>
      </w:r>
      <w:r>
        <w:rPr>
          <w:rFonts w:cs="Arial" w:hint="cs"/>
          <w:rtl/>
        </w:rPr>
        <w:t>"</w:t>
      </w:r>
      <w:r w:rsidRPr="0002217D">
        <w:rPr>
          <w:rFonts w:cs="Arial"/>
          <w:rtl/>
        </w:rPr>
        <w:t>ד ה"ז</w:t>
      </w:r>
      <w:r>
        <w:rPr>
          <w:rFonts w:cs="Arial" w:hint="cs"/>
          <w:rtl/>
        </w:rPr>
        <w:t>)</w:t>
      </w:r>
      <w:r w:rsidRPr="0002217D">
        <w:rPr>
          <w:rFonts w:cs="Arial"/>
          <w:rtl/>
        </w:rPr>
        <w:t xml:space="preserve"> </w:t>
      </w:r>
      <w:r>
        <w:rPr>
          <w:rFonts w:cs="Arial" w:hint="cs"/>
          <w:rtl/>
        </w:rPr>
        <w:t xml:space="preserve">בתחילה </w:t>
      </w:r>
      <w:r w:rsidR="00131C4C">
        <w:rPr>
          <w:rFonts w:cs="Arial" w:hint="cs"/>
          <w:rtl/>
        </w:rPr>
        <w:t>ש</w:t>
      </w:r>
      <w:r w:rsidRPr="0002217D">
        <w:rPr>
          <w:rFonts w:cs="Arial"/>
          <w:rtl/>
        </w:rPr>
        <w:t>כתב על עלה של זית אינו מתקיים</w:t>
      </w:r>
      <w:r>
        <w:rPr>
          <w:rFonts w:cs="Arial" w:hint="cs"/>
          <w:rtl/>
        </w:rPr>
        <w:t>.</w:t>
      </w:r>
      <w:r w:rsidRPr="00EA0E0F">
        <w:rPr>
          <w:rtl/>
        </w:rPr>
        <w:t xml:space="preserve"> </w:t>
      </w:r>
      <w:r>
        <w:rPr>
          <w:rFonts w:hint="cs"/>
          <w:rtl/>
        </w:rPr>
        <w:t xml:space="preserve">והביא את </w:t>
      </w:r>
      <w:r>
        <w:rPr>
          <w:rFonts w:cs="Arial" w:hint="cs"/>
          <w:rtl/>
        </w:rPr>
        <w:t>ה</w:t>
      </w:r>
      <w:r w:rsidRPr="00EA0E0F">
        <w:rPr>
          <w:rFonts w:cs="Arial"/>
          <w:rtl/>
        </w:rPr>
        <w:t xml:space="preserve">תוספתא </w:t>
      </w:r>
      <w:r>
        <w:rPr>
          <w:rFonts w:cs="Arial" w:hint="cs"/>
          <w:rtl/>
        </w:rPr>
        <w:t>ד</w:t>
      </w:r>
      <w:r w:rsidRPr="00EA0E0F">
        <w:rPr>
          <w:rFonts w:cs="Arial"/>
          <w:rtl/>
        </w:rPr>
        <w:t xml:space="preserve">משמע </w:t>
      </w:r>
      <w:r>
        <w:rPr>
          <w:rFonts w:cs="Arial" w:hint="cs"/>
          <w:rtl/>
        </w:rPr>
        <w:t xml:space="preserve">מינה </w:t>
      </w:r>
      <w:r w:rsidRPr="00EA0E0F">
        <w:rPr>
          <w:rFonts w:cs="Arial"/>
          <w:rtl/>
        </w:rPr>
        <w:t xml:space="preserve">דאפילו בגט בעינן דבר של קיימא ועלה של זית של </w:t>
      </w:r>
      <w:r>
        <w:rPr>
          <w:rFonts w:cs="Arial" w:hint="cs"/>
          <w:rtl/>
        </w:rPr>
        <w:t>[</w:t>
      </w:r>
      <w:r w:rsidRPr="00EA0E0F">
        <w:rPr>
          <w:rFonts w:cs="Arial"/>
          <w:rtl/>
        </w:rPr>
        <w:t>קיימא</w:t>
      </w:r>
      <w:r w:rsidR="00131C4C">
        <w:rPr>
          <w:rFonts w:cs="Arial" w:hint="cs"/>
          <w:sz w:val="16"/>
          <w:szCs w:val="16"/>
          <w:rtl/>
        </w:rPr>
        <w:t xml:space="preserve"> {כ"ה בדפוס ישן}</w:t>
      </w:r>
      <w:r>
        <w:rPr>
          <w:rFonts w:cs="Arial" w:hint="cs"/>
          <w:rtl/>
        </w:rPr>
        <w:t>](במקרע)</w:t>
      </w:r>
      <w:r w:rsidRPr="00EA0E0F">
        <w:rPr>
          <w:rFonts w:cs="Arial"/>
          <w:rtl/>
        </w:rPr>
        <w:t xml:space="preserve"> הוא</w:t>
      </w:r>
      <w:r>
        <w:rPr>
          <w:rFonts w:cs="Arial" w:hint="cs"/>
          <w:rtl/>
        </w:rPr>
        <w:t>.</w:t>
      </w:r>
      <w:r w:rsidRPr="0002217D">
        <w:rPr>
          <w:rFonts w:cs="Arial"/>
          <w:rtl/>
        </w:rPr>
        <w:t xml:space="preserve"> </w:t>
      </w:r>
      <w:r>
        <w:rPr>
          <w:rFonts w:cs="Arial" w:hint="cs"/>
          <w:rtl/>
        </w:rPr>
        <w:t xml:space="preserve">אך כתב </w:t>
      </w:r>
      <w:r w:rsidRPr="0002217D">
        <w:rPr>
          <w:rFonts w:cs="Arial"/>
          <w:rtl/>
        </w:rPr>
        <w:t>שהרמב"ם לא סמך על התוספתא כיון שלא הוזכר זה בגמרא</w:t>
      </w:r>
      <w:r w:rsidR="00131C4C">
        <w:rPr>
          <w:rFonts w:hint="cs"/>
          <w:rtl/>
        </w:rPr>
        <w:t>.</w:t>
      </w:r>
    </w:p>
  </w:footnote>
  <w:footnote w:id="428">
    <w:p w14:paraId="73D518A1" w14:textId="4628F130" w:rsidR="00A40E85" w:rsidRDefault="00A40E85">
      <w:pPr>
        <w:pStyle w:val="a5"/>
      </w:pPr>
      <w:r>
        <w:rPr>
          <w:rStyle w:val="a7"/>
        </w:rPr>
        <w:footnoteRef/>
      </w:r>
      <w:r>
        <w:rPr>
          <w:rtl/>
        </w:rPr>
        <w:t xml:space="preserve"> </w:t>
      </w:r>
      <w:r w:rsidRPr="00A40E85">
        <w:rPr>
          <w:rFonts w:cs="Arial"/>
          <w:rtl/>
        </w:rPr>
        <w:t>ומדשינה לשון המשנה דקתני על הכל כותבין על העלה של זית ונקט עלין היינו משום דקמשמע ליה דלאו דוקא עלה של זית אלא ה"ה שאר עלין של ירקות שאינן של קיימא</w:t>
      </w:r>
      <w:r>
        <w:rPr>
          <w:rFonts w:cs="Arial" w:hint="cs"/>
          <w:rtl/>
        </w:rPr>
        <w:t>, פר"ח (סק"ו).</w:t>
      </w:r>
      <w:r w:rsidR="00E1198F">
        <w:rPr>
          <w:rFonts w:hint="cs"/>
          <w:rtl/>
        </w:rPr>
        <w:t xml:space="preserve"> </w:t>
      </w:r>
    </w:p>
  </w:footnote>
  <w:footnote w:id="429">
    <w:p w14:paraId="7DCDCF9C" w14:textId="77F6277C" w:rsidR="0049007A" w:rsidRDefault="0049007A">
      <w:pPr>
        <w:pStyle w:val="a5"/>
      </w:pPr>
      <w:r>
        <w:rPr>
          <w:rStyle w:val="a7"/>
        </w:rPr>
        <w:footnoteRef/>
      </w:r>
      <w:r>
        <w:rPr>
          <w:rtl/>
        </w:rPr>
        <w:t xml:space="preserve"> </w:t>
      </w:r>
      <w:r w:rsidRPr="0049007A">
        <w:rPr>
          <w:rFonts w:cs="Arial"/>
          <w:rtl/>
        </w:rPr>
        <w:t>דאמר חתימת הגט אינה מן התורה</w:t>
      </w:r>
      <w:r>
        <w:rPr>
          <w:rFonts w:cs="Arial" w:hint="cs"/>
          <w:rtl/>
        </w:rPr>
        <w:t>,</w:t>
      </w:r>
      <w:r w:rsidRPr="0049007A">
        <w:rPr>
          <w:rFonts w:cs="Arial"/>
          <w:rtl/>
        </w:rPr>
        <w:t xml:space="preserve"> ולא סגי למיתביה בלא עדי מסירה</w:t>
      </w:r>
      <w:r>
        <w:rPr>
          <w:rFonts w:cs="Arial" w:hint="cs"/>
          <w:rtl/>
        </w:rPr>
        <w:t>,</w:t>
      </w:r>
      <w:r w:rsidRPr="0049007A">
        <w:rPr>
          <w:rFonts w:cs="Arial"/>
          <w:rtl/>
        </w:rPr>
        <w:t xml:space="preserve"> דאינהו הוא דעבדי כריתות</w:t>
      </w:r>
      <w:r>
        <w:rPr>
          <w:rFonts w:cs="Arial" w:hint="cs"/>
          <w:rtl/>
        </w:rPr>
        <w:t>...</w:t>
      </w:r>
      <w:r w:rsidRPr="0049007A">
        <w:rPr>
          <w:rFonts w:cs="Arial"/>
          <w:rtl/>
        </w:rPr>
        <w:t xml:space="preserve"> והלכך לא חיישינן לדלמא מזייפא דהא אמרן צריכי למיקרייה ואי הוה ביה תנאה אינהו ידעי</w:t>
      </w:r>
      <w:r>
        <w:rPr>
          <w:rFonts w:cs="Arial" w:hint="cs"/>
          <w:rtl/>
        </w:rPr>
        <w:t>.</w:t>
      </w:r>
      <w:r w:rsidRPr="0049007A">
        <w:rPr>
          <w:rFonts w:cs="Arial"/>
          <w:rtl/>
        </w:rPr>
        <w:t xml:space="preserve"> ומ"ד עדי מסירה עיקר</w:t>
      </w:r>
      <w:r>
        <w:rPr>
          <w:rFonts w:cs="Arial" w:hint="cs"/>
          <w:rtl/>
        </w:rPr>
        <w:t>,</w:t>
      </w:r>
      <w:r w:rsidRPr="0049007A">
        <w:rPr>
          <w:rFonts w:cs="Arial"/>
          <w:rtl/>
        </w:rPr>
        <w:t xml:space="preserve"> הבאה לינשא צריכה להביא עדים שנמסר לפניהם</w:t>
      </w:r>
      <w:r>
        <w:rPr>
          <w:rFonts w:cs="Arial" w:hint="cs"/>
          <w:rtl/>
        </w:rPr>
        <w:t>.</w:t>
      </w:r>
      <w:r w:rsidRPr="0049007A">
        <w:rPr>
          <w:rFonts w:cs="Arial"/>
          <w:rtl/>
        </w:rPr>
        <w:t xml:space="preserve"> אבל לר' מאיר דאמר לא בעינן עדי מסירה</w:t>
      </w:r>
      <w:r>
        <w:rPr>
          <w:rFonts w:cs="Arial" w:hint="cs"/>
          <w:rtl/>
        </w:rPr>
        <w:t>,</w:t>
      </w:r>
      <w:r w:rsidRPr="0049007A">
        <w:rPr>
          <w:rFonts w:cs="Arial"/>
          <w:rtl/>
        </w:rPr>
        <w:t xml:space="preserve"> איכא למיחש לזיופא</w:t>
      </w:r>
      <w:r>
        <w:rPr>
          <w:rFonts w:cs="Arial" w:hint="cs"/>
          <w:rtl/>
        </w:rPr>
        <w:t>,</w:t>
      </w:r>
      <w:r w:rsidRPr="0049007A">
        <w:rPr>
          <w:rFonts w:cs="Arial"/>
          <w:rtl/>
        </w:rPr>
        <w:t xml:space="preserve"> דמאן דסמיך אעדי חתימה אשה הבאה לינשא בגט אינה מביאה לפנינו עדים החתומים בו אם יש מכירים בחתימתן</w:t>
      </w:r>
      <w:r>
        <w:rPr>
          <w:rFonts w:cs="Arial" w:hint="cs"/>
          <w:rtl/>
        </w:rPr>
        <w:t>,</w:t>
      </w:r>
      <w:r w:rsidRPr="0049007A">
        <w:rPr>
          <w:rFonts w:cs="Arial"/>
          <w:rtl/>
        </w:rPr>
        <w:t xml:space="preserve"> ואם יש תנאה וזייפתיה ליכא דידע</w:t>
      </w:r>
      <w:r>
        <w:rPr>
          <w:rFonts w:cs="Arial" w:hint="cs"/>
          <w:rtl/>
        </w:rPr>
        <w:t>, רש"י.</w:t>
      </w:r>
      <w:r w:rsidRPr="0049007A">
        <w:rPr>
          <w:rFonts w:cs="Arial"/>
          <w:rtl/>
        </w:rPr>
        <w:t xml:space="preserve"> </w:t>
      </w:r>
      <w:r>
        <w:rPr>
          <w:rFonts w:cs="Arial"/>
          <w:rtl/>
        </w:rPr>
        <w:t>וכתבו התוספות (שם ד"ה מאן) ודוקא הכא על דבר שיכול להזדייף אומר רש"י דצריכה עדי מסירה בשעה שבאה לינשא</w:t>
      </w:r>
      <w:r>
        <w:rPr>
          <w:rFonts w:cs="Arial" w:hint="cs"/>
          <w:rtl/>
        </w:rPr>
        <w:t>,</w:t>
      </w:r>
      <w:r>
        <w:rPr>
          <w:rFonts w:cs="Arial"/>
          <w:rtl/>
        </w:rPr>
        <w:t xml:space="preserve"> אבל בגיטין הכתובין בדבר שאינו יכול להזדייף </w:t>
      </w:r>
      <w:r>
        <w:rPr>
          <w:rFonts w:cs="Arial" w:hint="cs"/>
          <w:rtl/>
        </w:rPr>
        <w:t xml:space="preserve">- </w:t>
      </w:r>
      <w:r>
        <w:rPr>
          <w:rFonts w:cs="Arial"/>
          <w:rtl/>
        </w:rPr>
        <w:t>יכולה להנשא ע</w:t>
      </w:r>
      <w:r>
        <w:rPr>
          <w:rFonts w:cs="Arial" w:hint="cs"/>
          <w:rtl/>
        </w:rPr>
        <w:t>"</w:t>
      </w:r>
      <w:r>
        <w:rPr>
          <w:rFonts w:cs="Arial"/>
          <w:rtl/>
        </w:rPr>
        <w:t>י עדי חתימה ואפילו לרבי אליעזר</w:t>
      </w:r>
      <w:r>
        <w:rPr>
          <w:rFonts w:cs="Arial" w:hint="cs"/>
          <w:rtl/>
        </w:rPr>
        <w:t>,</w:t>
      </w:r>
      <w:r>
        <w:rPr>
          <w:rFonts w:cs="Arial"/>
          <w:rtl/>
        </w:rPr>
        <w:t xml:space="preserve"> כדתנן בפרק בתרא (פו.) שאין העדים חותמין על הגט אלא מפני תיקון העולם</w:t>
      </w:r>
      <w:r>
        <w:rPr>
          <w:rFonts w:cs="Arial" w:hint="cs"/>
          <w:rtl/>
        </w:rPr>
        <w:t>.</w:t>
      </w:r>
      <w:r>
        <w:rPr>
          <w:rFonts w:cs="Arial"/>
          <w:rtl/>
        </w:rPr>
        <w:t xml:space="preserve"> עכ"ל</w:t>
      </w:r>
      <w:r>
        <w:rPr>
          <w:rFonts w:cs="Arial" w:hint="cs"/>
          <w:rtl/>
        </w:rPr>
        <w:t>.</w:t>
      </w:r>
      <w:r>
        <w:rPr>
          <w:rFonts w:cs="Arial"/>
          <w:rtl/>
        </w:rPr>
        <w:t xml:space="preserve"> כלומר שאם הלכו להם עדי מסירה משיאין אותה בקיום הגט</w:t>
      </w:r>
      <w:r>
        <w:rPr>
          <w:rFonts w:cs="Arial" w:hint="cs"/>
          <w:rtl/>
        </w:rPr>
        <w:t>.</w:t>
      </w:r>
      <w:r>
        <w:rPr>
          <w:rFonts w:cs="Arial"/>
          <w:rtl/>
        </w:rPr>
        <w:t xml:space="preserve"> וכן כתבו הרא"ש (סכ"ד) והרשב"א (ד"ה וחכמים) והר"ן (יא. דיבור ראשון)</w:t>
      </w:r>
      <w:r>
        <w:rPr>
          <w:rFonts w:cs="Arial" w:hint="cs"/>
          <w:rtl/>
        </w:rPr>
        <w:t>, ב"י.</w:t>
      </w:r>
    </w:p>
  </w:footnote>
  <w:footnote w:id="430">
    <w:p w14:paraId="4F268F83" w14:textId="0BECB783" w:rsidR="00144576" w:rsidRDefault="00144576">
      <w:pPr>
        <w:pStyle w:val="a5"/>
      </w:pPr>
      <w:r>
        <w:rPr>
          <w:rStyle w:val="a7"/>
        </w:rPr>
        <w:footnoteRef/>
      </w:r>
      <w:r>
        <w:rPr>
          <w:rtl/>
        </w:rPr>
        <w:t xml:space="preserve"> </w:t>
      </w:r>
      <w:r w:rsidRPr="002F6CCF">
        <w:rPr>
          <w:rFonts w:cs="Arial"/>
          <w:rtl/>
        </w:rPr>
        <w:t xml:space="preserve">וכתב הר"ן </w:t>
      </w:r>
      <w:r w:rsidRPr="00144576">
        <w:rPr>
          <w:rFonts w:cs="Arial"/>
          <w:sz w:val="16"/>
          <w:szCs w:val="16"/>
          <w:rtl/>
        </w:rPr>
        <w:t xml:space="preserve">(י:) </w:t>
      </w:r>
      <w:r w:rsidRPr="002F6CCF">
        <w:rPr>
          <w:rFonts w:cs="Arial"/>
          <w:rtl/>
        </w:rPr>
        <w:t xml:space="preserve">דלא נהירא דכל כהאי גוונא כשר לפי שאינו דומה נמחק פעם אחת לנמחק שתי פעמים כדאיתא בפרק גט פשוט </w:t>
      </w:r>
      <w:r w:rsidRPr="00144576">
        <w:rPr>
          <w:rFonts w:cs="Arial"/>
          <w:sz w:val="16"/>
          <w:szCs w:val="16"/>
          <w:rtl/>
        </w:rPr>
        <w:t>(קסד.)</w:t>
      </w:r>
      <w:r w:rsidRPr="002F6CCF">
        <w:rPr>
          <w:rFonts w:cs="Arial" w:hint="cs"/>
          <w:rtl/>
        </w:rPr>
        <w:t>.</w:t>
      </w:r>
      <w:r w:rsidRPr="002F6CCF">
        <w:rPr>
          <w:rFonts w:cs="Arial"/>
          <w:rtl/>
        </w:rPr>
        <w:t xml:space="preserve"> וכ</w:t>
      </w:r>
      <w:r w:rsidRPr="002F6CCF">
        <w:rPr>
          <w:rFonts w:cs="Arial" w:hint="cs"/>
          <w:rtl/>
        </w:rPr>
        <w:t>"כ</w:t>
      </w:r>
      <w:r w:rsidRPr="002F6CCF">
        <w:rPr>
          <w:rFonts w:cs="Arial"/>
          <w:rtl/>
        </w:rPr>
        <w:t xml:space="preserve"> </w:t>
      </w:r>
      <w:bookmarkStart w:id="9" w:name="_Hlk80093646"/>
      <w:r w:rsidRPr="002F6CCF">
        <w:rPr>
          <w:rFonts w:cs="Arial"/>
          <w:rtl/>
        </w:rPr>
        <w:t xml:space="preserve">הרשב"א </w:t>
      </w:r>
      <w:r w:rsidRPr="00144576">
        <w:rPr>
          <w:rFonts w:cs="Arial"/>
          <w:sz w:val="16"/>
          <w:szCs w:val="16"/>
          <w:rtl/>
        </w:rPr>
        <w:t>(כא: ד"ה לא)</w:t>
      </w:r>
      <w:r w:rsidRPr="002F6CCF">
        <w:rPr>
          <w:rFonts w:cs="Arial"/>
          <w:rtl/>
        </w:rPr>
        <w:t xml:space="preserve">. </w:t>
      </w:r>
      <w:bookmarkEnd w:id="9"/>
      <w:r w:rsidRPr="002F6CCF">
        <w:rPr>
          <w:rFonts w:cs="Arial"/>
          <w:rtl/>
        </w:rPr>
        <w:t xml:space="preserve">וגם הרא"ש </w:t>
      </w:r>
      <w:r w:rsidRPr="00144576">
        <w:rPr>
          <w:rFonts w:cs="Arial"/>
          <w:sz w:val="16"/>
          <w:szCs w:val="16"/>
          <w:rtl/>
        </w:rPr>
        <w:t xml:space="preserve">(סכ"ג) </w:t>
      </w:r>
      <w:r w:rsidRPr="002F6CCF">
        <w:rPr>
          <w:rFonts w:cs="Arial"/>
          <w:rtl/>
        </w:rPr>
        <w:t>חולק על רש"י לומר דכל שהוא ועדיו על המחק כשר לכו</w:t>
      </w:r>
      <w:r w:rsidRPr="002F6CCF">
        <w:rPr>
          <w:rFonts w:cs="Arial" w:hint="cs"/>
          <w:rtl/>
        </w:rPr>
        <w:t>"ע</w:t>
      </w:r>
      <w:r>
        <w:rPr>
          <w:rFonts w:cs="Arial" w:hint="cs"/>
          <w:rtl/>
        </w:rPr>
        <w:t>...</w:t>
      </w:r>
      <w:r w:rsidRPr="00144576">
        <w:rPr>
          <w:rFonts w:cs="Arial"/>
          <w:rtl/>
        </w:rPr>
        <w:t xml:space="preserve"> </w:t>
      </w:r>
      <w:r>
        <w:rPr>
          <w:rFonts w:cs="Arial"/>
          <w:rtl/>
        </w:rPr>
        <w:t xml:space="preserve">והעיטור </w:t>
      </w:r>
      <w:r w:rsidRPr="00144576">
        <w:rPr>
          <w:rFonts w:cs="Arial" w:hint="cs"/>
          <w:sz w:val="16"/>
          <w:szCs w:val="16"/>
          <w:rtl/>
        </w:rPr>
        <w:t>(</w:t>
      </w:r>
      <w:r w:rsidRPr="00144576">
        <w:rPr>
          <w:rFonts w:cs="Arial"/>
          <w:sz w:val="16"/>
          <w:szCs w:val="16"/>
          <w:rtl/>
        </w:rPr>
        <w:t xml:space="preserve">מאמר ז ח"א כו ע"ד) </w:t>
      </w:r>
      <w:r>
        <w:rPr>
          <w:rFonts w:cs="Arial"/>
          <w:rtl/>
        </w:rPr>
        <w:t>כתב כפירוש רש"י דבגט שהוא ועדיו על המחק עסקינן</w:t>
      </w:r>
      <w:r>
        <w:rPr>
          <w:rFonts w:cs="Arial" w:hint="cs"/>
          <w:rtl/>
        </w:rPr>
        <w:t>,</w:t>
      </w:r>
      <w:r>
        <w:rPr>
          <w:rFonts w:cs="Arial"/>
          <w:rtl/>
        </w:rPr>
        <w:t xml:space="preserve"> ואע</w:t>
      </w:r>
      <w:r>
        <w:rPr>
          <w:rFonts w:cs="Arial" w:hint="cs"/>
          <w:rtl/>
        </w:rPr>
        <w:t>"</w:t>
      </w:r>
      <w:r>
        <w:rPr>
          <w:rFonts w:cs="Arial"/>
          <w:rtl/>
        </w:rPr>
        <w:t>ג דאינו דומה נמחק פעם אחת לנמחק שתי פעמים סבר תנא קמא דגזרו דילמא דמי האי מחקא להאי מחקא</w:t>
      </w:r>
      <w:r>
        <w:rPr>
          <w:rFonts w:cs="Arial" w:hint="cs"/>
          <w:rtl/>
        </w:rPr>
        <w:t>.</w:t>
      </w:r>
      <w:r>
        <w:rPr>
          <w:rFonts w:cs="Arial"/>
          <w:rtl/>
        </w:rPr>
        <w:t xml:space="preserve"> וחכמים מכשירין דאי איכא חששא אזלינן לעדי מסירה</w:t>
      </w:r>
      <w:r>
        <w:rPr>
          <w:rFonts w:cs="Arial" w:hint="cs"/>
          <w:rtl/>
        </w:rPr>
        <w:t>, ב"י.</w:t>
      </w:r>
    </w:p>
  </w:footnote>
  <w:footnote w:id="431">
    <w:p w14:paraId="1D73C283" w14:textId="6011F835" w:rsidR="00144576" w:rsidRDefault="00144576">
      <w:pPr>
        <w:pStyle w:val="a5"/>
      </w:pPr>
      <w:r>
        <w:rPr>
          <w:rStyle w:val="a7"/>
        </w:rPr>
        <w:footnoteRef/>
      </w:r>
      <w:r>
        <w:rPr>
          <w:rtl/>
        </w:rPr>
        <w:t xml:space="preserve"> </w:t>
      </w:r>
      <w:r w:rsidRPr="002F6CCF">
        <w:rPr>
          <w:rFonts w:cs="Arial"/>
          <w:rtl/>
        </w:rPr>
        <w:t>וכ</w:t>
      </w:r>
      <w:r w:rsidRPr="002F6CCF">
        <w:rPr>
          <w:rFonts w:cs="Arial" w:hint="cs"/>
          <w:rtl/>
        </w:rPr>
        <w:t>"</w:t>
      </w:r>
      <w:r w:rsidRPr="002F6CCF">
        <w:rPr>
          <w:rFonts w:cs="Arial"/>
          <w:rtl/>
        </w:rPr>
        <w:t xml:space="preserve">כ </w:t>
      </w:r>
      <w:r w:rsidRPr="002F6CCF">
        <w:rPr>
          <w:rFonts w:cs="Arial" w:hint="cs"/>
          <w:rtl/>
        </w:rPr>
        <w:t>רי"ו</w:t>
      </w:r>
      <w:r w:rsidRPr="002F6CCF">
        <w:rPr>
          <w:rFonts w:cs="Arial"/>
          <w:rtl/>
        </w:rPr>
        <w:t xml:space="preserve"> </w:t>
      </w:r>
      <w:r w:rsidRPr="002F6CCF">
        <w:rPr>
          <w:rFonts w:cs="Arial" w:hint="cs"/>
          <w:rtl/>
        </w:rPr>
        <w:t>(</w:t>
      </w:r>
      <w:r w:rsidRPr="002F6CCF">
        <w:rPr>
          <w:rFonts w:cs="Arial"/>
          <w:rtl/>
        </w:rPr>
        <w:t>ח</w:t>
      </w:r>
      <w:r w:rsidRPr="002F6CCF">
        <w:rPr>
          <w:rFonts w:cs="Arial" w:hint="cs"/>
          <w:rtl/>
        </w:rPr>
        <w:t>"</w:t>
      </w:r>
      <w:r w:rsidRPr="002F6CCF">
        <w:rPr>
          <w:rFonts w:cs="Arial"/>
          <w:rtl/>
        </w:rPr>
        <w:t>ב</w:t>
      </w:r>
      <w:r w:rsidRPr="002F6CCF">
        <w:rPr>
          <w:rFonts w:cs="Arial" w:hint="cs"/>
          <w:rtl/>
        </w:rPr>
        <w:t xml:space="preserve"> </w:t>
      </w:r>
      <w:r w:rsidRPr="002F6CCF">
        <w:rPr>
          <w:rFonts w:cs="Arial"/>
          <w:rtl/>
        </w:rPr>
        <w:t>נכ"ד רח ע"ב) בשם התוספתא (פ"ז ה"ז)</w:t>
      </w:r>
      <w:r>
        <w:rPr>
          <w:rFonts w:cs="Arial" w:hint="cs"/>
          <w:rtl/>
        </w:rPr>
        <w:t>, ב"י.</w:t>
      </w:r>
    </w:p>
  </w:footnote>
  <w:footnote w:id="432">
    <w:p w14:paraId="42153D28" w14:textId="114D9EAE" w:rsidR="002F6CCF" w:rsidRDefault="002F6CCF">
      <w:pPr>
        <w:pStyle w:val="a5"/>
        <w:rPr>
          <w:rtl/>
        </w:rPr>
      </w:pPr>
      <w:r>
        <w:rPr>
          <w:rStyle w:val="a7"/>
        </w:rPr>
        <w:footnoteRef/>
      </w:r>
      <w:r>
        <w:rPr>
          <w:rtl/>
        </w:rPr>
        <w:t xml:space="preserve"> </w:t>
      </w:r>
      <w:r w:rsidRPr="002F6CCF">
        <w:rPr>
          <w:rFonts w:cs="Arial"/>
          <w:rtl/>
        </w:rPr>
        <w:t>כלומר דכשיצא לפני ב"ד יבואו להכשירו מפני שלא יכירו בזיופו</w:t>
      </w:r>
      <w:r>
        <w:rPr>
          <w:rFonts w:hint="cs"/>
          <w:rtl/>
        </w:rPr>
        <w:t>, ב"י.</w:t>
      </w:r>
    </w:p>
  </w:footnote>
  <w:footnote w:id="433">
    <w:p w14:paraId="504DCB48" w14:textId="4EB763D1" w:rsidR="00A645FB" w:rsidRDefault="00A645FB">
      <w:pPr>
        <w:pStyle w:val="a5"/>
        <w:rPr>
          <w:rtl/>
        </w:rPr>
      </w:pPr>
      <w:r>
        <w:rPr>
          <w:rStyle w:val="a7"/>
        </w:rPr>
        <w:footnoteRef/>
      </w:r>
      <w:r>
        <w:rPr>
          <w:rtl/>
        </w:rPr>
        <w:t xml:space="preserve"> </w:t>
      </w:r>
      <w:r>
        <w:rPr>
          <w:rFonts w:cs="Arial"/>
          <w:rtl/>
        </w:rPr>
        <w:t>כלומר משום דשייך במצות ואינו רשאי לחבול בו</w:t>
      </w:r>
      <w:r>
        <w:rPr>
          <w:rFonts w:hint="cs"/>
          <w:rtl/>
        </w:rPr>
        <w:t>, ב"י.</w:t>
      </w:r>
    </w:p>
  </w:footnote>
  <w:footnote w:id="434">
    <w:p w14:paraId="54CFC7D9" w14:textId="39EC6F0A" w:rsidR="00DB6E52" w:rsidRPr="00DB6E52" w:rsidRDefault="00DB6E52">
      <w:pPr>
        <w:pStyle w:val="a5"/>
      </w:pPr>
      <w:r w:rsidRPr="00DB6E52">
        <w:rPr>
          <w:rStyle w:val="a7"/>
        </w:rPr>
        <w:footnoteRef/>
      </w:r>
      <w:r w:rsidRPr="00DB6E52">
        <w:rPr>
          <w:rtl/>
        </w:rPr>
        <w:t xml:space="preserve"> </w:t>
      </w:r>
      <w:r w:rsidRPr="00DB6E52">
        <w:rPr>
          <w:rFonts w:cs="Arial" w:hint="cs"/>
          <w:rtl/>
        </w:rPr>
        <w:t xml:space="preserve">כן </w:t>
      </w:r>
      <w:r w:rsidRPr="00DB6E52">
        <w:rPr>
          <w:rFonts w:cs="Arial"/>
          <w:rtl/>
        </w:rPr>
        <w:t>משמע בגמרא דדרשה גמורה היא</w:t>
      </w:r>
      <w:r w:rsidRPr="00DB6E52">
        <w:rPr>
          <w:rFonts w:cs="Arial" w:hint="cs"/>
          <w:rtl/>
        </w:rPr>
        <w:t>,</w:t>
      </w:r>
      <w:r w:rsidRPr="00DB6E52">
        <w:rPr>
          <w:rFonts w:cs="Arial"/>
          <w:rtl/>
        </w:rPr>
        <w:t xml:space="preserve"> כלומר וכל שהיה מחוסר כתיבה קציצה ונתינה הגט בטל</w:t>
      </w:r>
      <w:r w:rsidRPr="00DB6E52">
        <w:rPr>
          <w:rFonts w:cs="Arial" w:hint="cs"/>
          <w:rtl/>
        </w:rPr>
        <w:t>.</w:t>
      </w:r>
      <w:r w:rsidRPr="00DB6E52">
        <w:rPr>
          <w:rFonts w:cs="Arial"/>
          <w:rtl/>
        </w:rPr>
        <w:t xml:space="preserve"> וכן נראה מדברי הר"ן (י: ד"ה גמ') שכתב גבי אין כותבין במחובר לקרקע דכיון דפיסולא דאורייתא הוא אפילו בדיעבד אית לן למיפסליה</w:t>
      </w:r>
      <w:r w:rsidRPr="00DB6E52">
        <w:rPr>
          <w:rFonts w:cs="Arial" w:hint="cs"/>
          <w:rtl/>
        </w:rPr>
        <w:t>, ב"י.</w:t>
      </w:r>
    </w:p>
  </w:footnote>
  <w:footnote w:id="435">
    <w:p w14:paraId="3FFDD5B4" w14:textId="753BC109" w:rsidR="007D0719" w:rsidRDefault="007D0719">
      <w:pPr>
        <w:pStyle w:val="a5"/>
        <w:rPr>
          <w:rtl/>
        </w:rPr>
      </w:pPr>
      <w:r>
        <w:rPr>
          <w:rStyle w:val="a7"/>
        </w:rPr>
        <w:footnoteRef/>
      </w:r>
      <w:r>
        <w:rPr>
          <w:rtl/>
        </w:rPr>
        <w:t xml:space="preserve"> </w:t>
      </w:r>
      <w:r w:rsidRPr="007D0719">
        <w:rPr>
          <w:rFonts w:cs="Arial"/>
          <w:rtl/>
        </w:rPr>
        <w:t>ולא נהירא לי דהא דמצריכינן כפות הכי איתא בפ</w:t>
      </w:r>
      <w:r>
        <w:rPr>
          <w:rFonts w:cs="Arial" w:hint="cs"/>
          <w:rtl/>
        </w:rPr>
        <w:t>"</w:t>
      </w:r>
      <w:r w:rsidRPr="007D0719">
        <w:rPr>
          <w:rFonts w:cs="Arial"/>
          <w:rtl/>
        </w:rPr>
        <w:t>ב (כא.) אמר רבא כתב לה גט ונתנו ביד עבדו וכתב לה שטר מתנה עליו קנאתו ומתגרשת בו ואמאי חצר מהלכת היא וחצר מהלכת לא קנה</w:t>
      </w:r>
      <w:r w:rsidR="004F63C0">
        <w:rPr>
          <w:rFonts w:cs="Arial" w:hint="cs"/>
          <w:rtl/>
        </w:rPr>
        <w:t>.</w:t>
      </w:r>
      <w:r w:rsidRPr="007D0719">
        <w:rPr>
          <w:rFonts w:cs="Arial"/>
          <w:rtl/>
        </w:rPr>
        <w:t xml:space="preserve"> ואסיקנא</w:t>
      </w:r>
      <w:r w:rsidR="004F63C0">
        <w:rPr>
          <w:rFonts w:cs="Arial" w:hint="cs"/>
          <w:rtl/>
        </w:rPr>
        <w:t xml:space="preserve"> -</w:t>
      </w:r>
      <w:r w:rsidRPr="007D0719">
        <w:rPr>
          <w:rFonts w:cs="Arial"/>
          <w:rtl/>
        </w:rPr>
        <w:t xml:space="preserve"> והלכתא בכפות</w:t>
      </w:r>
      <w:r w:rsidR="004F63C0">
        <w:rPr>
          <w:rFonts w:cs="Arial" w:hint="cs"/>
          <w:rtl/>
        </w:rPr>
        <w:t>.</w:t>
      </w:r>
      <w:r w:rsidRPr="007D0719">
        <w:rPr>
          <w:rFonts w:cs="Arial"/>
          <w:rtl/>
        </w:rPr>
        <w:t xml:space="preserve"> ומשמע דדוקא התם שאינה קונה הגט אלא מטעם חצר הוא שהצריכו שיהא כפות</w:t>
      </w:r>
      <w:r w:rsidR="004F63C0">
        <w:rPr>
          <w:rFonts w:cs="Arial" w:hint="cs"/>
          <w:rtl/>
        </w:rPr>
        <w:t>,</w:t>
      </w:r>
      <w:r w:rsidRPr="007D0719">
        <w:rPr>
          <w:rFonts w:cs="Arial"/>
          <w:rtl/>
        </w:rPr>
        <w:t xml:space="preserve"> כי היכי דלא ליהוי חצר מהלכת</w:t>
      </w:r>
      <w:r w:rsidR="004F63C0">
        <w:rPr>
          <w:rFonts w:cs="Arial" w:hint="cs"/>
          <w:rtl/>
        </w:rPr>
        <w:t>.</w:t>
      </w:r>
      <w:r w:rsidRPr="007D0719">
        <w:rPr>
          <w:rFonts w:cs="Arial"/>
          <w:rtl/>
        </w:rPr>
        <w:t xml:space="preserve"> אבל הכא שהגט כתוב על ידו של עבד כיון שזכתה בעבד באחד מדרכי הזכייה </w:t>
      </w:r>
      <w:r w:rsidR="004F63C0">
        <w:rPr>
          <w:rFonts w:cs="Arial" w:hint="cs"/>
          <w:rtl/>
        </w:rPr>
        <w:t xml:space="preserve">- </w:t>
      </w:r>
      <w:r w:rsidRPr="007D0719">
        <w:rPr>
          <w:rFonts w:cs="Arial"/>
          <w:rtl/>
        </w:rPr>
        <w:t>ממילא נתגרשה</w:t>
      </w:r>
      <w:r w:rsidR="004F63C0">
        <w:rPr>
          <w:rFonts w:cs="Arial" w:hint="cs"/>
          <w:rtl/>
        </w:rPr>
        <w:t>,</w:t>
      </w:r>
      <w:r w:rsidRPr="007D0719">
        <w:rPr>
          <w:rFonts w:cs="Arial"/>
          <w:rtl/>
        </w:rPr>
        <w:t xml:space="preserve"> שהרי זכתה בגופו של גט. אח"כ מצאתי להרשב"א (ד"ה אמר) שכתב אמימרא דרבא</w:t>
      </w:r>
      <w:r w:rsidR="004F63C0">
        <w:rPr>
          <w:rFonts w:cs="Arial" w:hint="cs"/>
          <w:rtl/>
        </w:rPr>
        <w:t>-</w:t>
      </w:r>
      <w:r w:rsidRPr="007D0719">
        <w:rPr>
          <w:rFonts w:cs="Arial"/>
          <w:rtl/>
        </w:rPr>
        <w:t xml:space="preserve"> וא</w:t>
      </w:r>
      <w:r w:rsidR="004F63C0">
        <w:rPr>
          <w:rFonts w:cs="Arial" w:hint="cs"/>
          <w:rtl/>
        </w:rPr>
        <w:t>"ת</w:t>
      </w:r>
      <w:r w:rsidRPr="007D0719">
        <w:rPr>
          <w:rFonts w:cs="Arial"/>
          <w:rtl/>
        </w:rPr>
        <w:t xml:space="preserve"> מאי ק</w:t>
      </w:r>
      <w:r w:rsidR="004F63C0">
        <w:rPr>
          <w:rFonts w:cs="Arial" w:hint="cs"/>
          <w:rtl/>
        </w:rPr>
        <w:t>מ"</w:t>
      </w:r>
      <w:r w:rsidRPr="007D0719">
        <w:rPr>
          <w:rFonts w:cs="Arial"/>
          <w:rtl/>
        </w:rPr>
        <w:t>ל רבא</w:t>
      </w:r>
      <w:r w:rsidR="004F63C0">
        <w:rPr>
          <w:rFonts w:cs="Arial" w:hint="cs"/>
          <w:rtl/>
        </w:rPr>
        <w:t>,</w:t>
      </w:r>
      <w:r w:rsidRPr="007D0719">
        <w:rPr>
          <w:rFonts w:cs="Arial"/>
          <w:rtl/>
        </w:rPr>
        <w:t xml:space="preserve"> מתניתין היא על היד של עבד ונותן לה את העבד</w:t>
      </w:r>
      <w:r w:rsidR="004F63C0">
        <w:rPr>
          <w:rFonts w:cs="Arial" w:hint="cs"/>
          <w:rtl/>
        </w:rPr>
        <w:t>,</w:t>
      </w:r>
      <w:r w:rsidRPr="007D0719">
        <w:rPr>
          <w:rFonts w:cs="Arial"/>
          <w:rtl/>
        </w:rPr>
        <w:t xml:space="preserve"> ועוד כי מקשה אדרבא חצר מהלכת היא</w:t>
      </w:r>
      <w:r w:rsidR="004F63C0">
        <w:rPr>
          <w:rFonts w:cs="Arial" w:hint="cs"/>
          <w:rtl/>
        </w:rPr>
        <w:t>,</w:t>
      </w:r>
      <w:r w:rsidRPr="007D0719">
        <w:rPr>
          <w:rFonts w:cs="Arial"/>
          <w:rtl/>
        </w:rPr>
        <w:t xml:space="preserve"> אמאי לא אקשי הכי אמתניתין </w:t>
      </w:r>
      <w:r w:rsidR="004F63C0">
        <w:rPr>
          <w:rFonts w:cs="Arial" w:hint="cs"/>
          <w:rtl/>
        </w:rPr>
        <w:t xml:space="preserve">- </w:t>
      </w:r>
      <w:r w:rsidRPr="007D0719">
        <w:rPr>
          <w:rFonts w:cs="Arial"/>
          <w:rtl/>
        </w:rPr>
        <w:t>לא היא</w:t>
      </w:r>
      <w:r w:rsidR="004F63C0">
        <w:rPr>
          <w:rFonts w:cs="Arial" w:hint="cs"/>
          <w:rtl/>
        </w:rPr>
        <w:t>,</w:t>
      </w:r>
      <w:r w:rsidRPr="007D0719">
        <w:rPr>
          <w:rFonts w:cs="Arial"/>
          <w:rtl/>
        </w:rPr>
        <w:t xml:space="preserve"> דמתניתין בכותב על יד העבד ונותן לה העבד בתורת גט כנותן לה גט הכתוב בספר</w:t>
      </w:r>
      <w:r w:rsidR="004F63C0">
        <w:rPr>
          <w:rFonts w:cs="Arial" w:hint="cs"/>
          <w:rtl/>
        </w:rPr>
        <w:t>.</w:t>
      </w:r>
      <w:r w:rsidRPr="007D0719">
        <w:rPr>
          <w:rFonts w:cs="Arial"/>
          <w:rtl/>
        </w:rPr>
        <w:t xml:space="preserve"> אבל הא דרבא בנותן הגט ביד העבד והיא קונה את הגט ע</w:t>
      </w:r>
      <w:r w:rsidR="004F63C0">
        <w:rPr>
          <w:rFonts w:cs="Arial" w:hint="cs"/>
          <w:rtl/>
        </w:rPr>
        <w:t>"</w:t>
      </w:r>
      <w:r w:rsidRPr="007D0719">
        <w:rPr>
          <w:rFonts w:cs="Arial"/>
          <w:rtl/>
        </w:rPr>
        <w:t>י העבד מדין חצרה עכ"ל</w:t>
      </w:r>
      <w:r w:rsidR="004F63C0">
        <w:rPr>
          <w:rFonts w:cs="Arial" w:hint="cs"/>
          <w:rtl/>
        </w:rPr>
        <w:t>.</w:t>
      </w:r>
      <w:r w:rsidRPr="007D0719">
        <w:rPr>
          <w:rFonts w:cs="Arial"/>
          <w:rtl/>
        </w:rPr>
        <w:t xml:space="preserve"> וזה מפורש כמו שכתבתי</w:t>
      </w:r>
      <w:r>
        <w:rPr>
          <w:rFonts w:cs="Arial" w:hint="cs"/>
          <w:rtl/>
        </w:rPr>
        <w:t>, ב"י.</w:t>
      </w:r>
    </w:p>
  </w:footnote>
  <w:footnote w:id="436">
    <w:p w14:paraId="55D475B8" w14:textId="77777777" w:rsidR="00312668" w:rsidRDefault="00312668" w:rsidP="00312668">
      <w:pPr>
        <w:pStyle w:val="a5"/>
        <w:rPr>
          <w:rtl/>
        </w:rPr>
      </w:pPr>
      <w:r>
        <w:rPr>
          <w:rStyle w:val="a7"/>
        </w:rPr>
        <w:footnoteRef/>
      </w:r>
      <w:r>
        <w:rPr>
          <w:rtl/>
        </w:rPr>
        <w:t xml:space="preserve"> </w:t>
      </w:r>
      <w:r>
        <w:rPr>
          <w:rFonts w:cs="Arial"/>
          <w:rtl/>
        </w:rPr>
        <w:t>כלומר ודילמא תנאה הוה בגיטא ומחקתיה והדר כתביה</w:t>
      </w:r>
      <w:r>
        <w:rPr>
          <w:rFonts w:hint="cs"/>
          <w:rtl/>
        </w:rPr>
        <w:t>, ב"י.</w:t>
      </w:r>
    </w:p>
  </w:footnote>
  <w:footnote w:id="437">
    <w:p w14:paraId="52B5061C" w14:textId="77777777" w:rsidR="00312668" w:rsidRDefault="00312668" w:rsidP="00312668">
      <w:pPr>
        <w:pStyle w:val="a5"/>
      </w:pPr>
      <w:r>
        <w:rPr>
          <w:rStyle w:val="a7"/>
        </w:rPr>
        <w:footnoteRef/>
      </w:r>
      <w:r>
        <w:rPr>
          <w:rtl/>
        </w:rPr>
        <w:t xml:space="preserve"> </w:t>
      </w:r>
      <w:r>
        <w:rPr>
          <w:rFonts w:cs="Arial"/>
          <w:rtl/>
        </w:rPr>
        <w:t>כלומר שקראוהו</w:t>
      </w:r>
      <w:r>
        <w:rPr>
          <w:rFonts w:cs="Arial" w:hint="cs"/>
          <w:rtl/>
        </w:rPr>
        <w:t>, ב"י.</w:t>
      </w:r>
    </w:p>
  </w:footnote>
  <w:footnote w:id="438">
    <w:p w14:paraId="05B83A17" w14:textId="107F1E49" w:rsidR="00312668" w:rsidRDefault="00312668" w:rsidP="00312668">
      <w:pPr>
        <w:pStyle w:val="a5"/>
        <w:rPr>
          <w:rtl/>
        </w:rPr>
      </w:pPr>
      <w:r>
        <w:rPr>
          <w:rStyle w:val="a7"/>
        </w:rPr>
        <w:footnoteRef/>
      </w:r>
      <w:r>
        <w:rPr>
          <w:rtl/>
        </w:rPr>
        <w:t xml:space="preserve"> </w:t>
      </w:r>
      <w:r>
        <w:rPr>
          <w:rFonts w:hint="cs"/>
          <w:rtl/>
        </w:rPr>
        <w:t>בהמות, רש"י.</w:t>
      </w:r>
      <w:r w:rsidR="00A759BC" w:rsidRPr="00A759BC">
        <w:rPr>
          <w:rtl/>
        </w:rPr>
        <w:t xml:space="preserve"> </w:t>
      </w:r>
      <w:r w:rsidR="00A759BC">
        <w:rPr>
          <w:rFonts w:cs="Arial" w:hint="cs"/>
          <w:rtl/>
        </w:rPr>
        <w:t xml:space="preserve">היינו </w:t>
      </w:r>
      <w:r w:rsidR="00A759BC" w:rsidRPr="00A759BC">
        <w:rPr>
          <w:rFonts w:cs="Arial"/>
          <w:rtl/>
        </w:rPr>
        <w:t>כל דבר המהלך בדרכים ובשוקים, שיתכן לומר מעצמו נכנס</w:t>
      </w:r>
      <w:r w:rsidR="00A759BC">
        <w:rPr>
          <w:rFonts w:hint="cs"/>
          <w:rtl/>
        </w:rPr>
        <w:t>.</w:t>
      </w:r>
    </w:p>
  </w:footnote>
  <w:footnote w:id="439">
    <w:p w14:paraId="079936A3" w14:textId="77777777" w:rsidR="00312668" w:rsidRDefault="00312668" w:rsidP="00312668">
      <w:pPr>
        <w:pStyle w:val="a5"/>
      </w:pPr>
      <w:r>
        <w:rPr>
          <w:rStyle w:val="a7"/>
        </w:rPr>
        <w:footnoteRef/>
      </w:r>
      <w:r>
        <w:rPr>
          <w:rtl/>
        </w:rPr>
        <w:t xml:space="preserve"> </w:t>
      </w:r>
      <w:r w:rsidRPr="00252037">
        <w:rPr>
          <w:rFonts w:cs="Arial"/>
          <w:rtl/>
        </w:rPr>
        <w:t>אדם שתפסן אינו יכול לטעון לבעליהם מכרתם לי דאיכא למימר מעצמן הלכו אצלו</w:t>
      </w:r>
      <w:r>
        <w:rPr>
          <w:rFonts w:cs="Arial" w:hint="cs"/>
          <w:rtl/>
        </w:rPr>
        <w:t>, רש"י.</w:t>
      </w:r>
    </w:p>
  </w:footnote>
  <w:footnote w:id="440">
    <w:p w14:paraId="5A0D5AE7" w14:textId="60F8E200" w:rsidR="006D7DE7" w:rsidRDefault="006D7DE7">
      <w:pPr>
        <w:pStyle w:val="a5"/>
      </w:pPr>
      <w:r>
        <w:rPr>
          <w:rStyle w:val="a7"/>
        </w:rPr>
        <w:footnoteRef/>
      </w:r>
      <w:r>
        <w:rPr>
          <w:rtl/>
        </w:rPr>
        <w:t xml:space="preserve"> </w:t>
      </w:r>
      <w:r w:rsidRPr="006D7DE7">
        <w:rPr>
          <w:rFonts w:cs="Arial"/>
          <w:rtl/>
        </w:rPr>
        <w:t xml:space="preserve">בטור כתב </w:t>
      </w:r>
      <w:r>
        <w:rPr>
          <w:rFonts w:cs="Arial" w:hint="cs"/>
          <w:rtl/>
        </w:rPr>
        <w:t>'</w:t>
      </w:r>
      <w:r w:rsidRPr="006D7DE7">
        <w:rPr>
          <w:rFonts w:cs="Arial"/>
          <w:rtl/>
        </w:rPr>
        <w:t>והוא שיהיו עידי מסירה לפנינו אבל בעידי חתימה אפי' הם לפנינו פסול</w:t>
      </w:r>
      <w:r>
        <w:rPr>
          <w:rFonts w:cs="Arial" w:hint="cs"/>
          <w:rtl/>
        </w:rPr>
        <w:t>'</w:t>
      </w:r>
      <w:r w:rsidR="00F84473">
        <w:rPr>
          <w:rFonts w:cs="Arial" w:hint="cs"/>
          <w:rtl/>
        </w:rPr>
        <w:t>...</w:t>
      </w:r>
      <w:r w:rsidRPr="006D7DE7">
        <w:rPr>
          <w:rFonts w:cs="Arial"/>
          <w:rtl/>
        </w:rPr>
        <w:t xml:space="preserve"> ומ"מ מלשון זה שכתב הרמב"ם והמחבר </w:t>
      </w:r>
      <w:r w:rsidR="00F84473">
        <w:rPr>
          <w:rFonts w:cs="Arial" w:hint="cs"/>
          <w:rtl/>
        </w:rPr>
        <w:t>'</w:t>
      </w:r>
      <w:r w:rsidRPr="006D7DE7">
        <w:rPr>
          <w:rFonts w:cs="Arial"/>
          <w:rtl/>
        </w:rPr>
        <w:t>והוא שיתננו לה בעידי מסירה</w:t>
      </w:r>
      <w:r w:rsidR="00F84473">
        <w:rPr>
          <w:rFonts w:cs="Arial" w:hint="cs"/>
          <w:rtl/>
        </w:rPr>
        <w:t>'</w:t>
      </w:r>
      <w:r w:rsidRPr="006D7DE7">
        <w:rPr>
          <w:rFonts w:cs="Arial"/>
          <w:rtl/>
        </w:rPr>
        <w:t xml:space="preserve"> משמע דהקפידה הוא על הבעל</w:t>
      </w:r>
      <w:r w:rsidR="00F84473">
        <w:rPr>
          <w:rFonts w:cs="Arial" w:hint="cs"/>
          <w:rtl/>
        </w:rPr>
        <w:t>,</w:t>
      </w:r>
      <w:r w:rsidRPr="006D7DE7">
        <w:rPr>
          <w:rFonts w:cs="Arial"/>
          <w:rtl/>
        </w:rPr>
        <w:t xml:space="preserve"> שאף שבגט דעלמא כשר בלא עידי מסירה</w:t>
      </w:r>
      <w:r w:rsidR="00F84473">
        <w:rPr>
          <w:rFonts w:cs="Arial" w:hint="cs"/>
          <w:rtl/>
        </w:rPr>
        <w:t xml:space="preserve">, </w:t>
      </w:r>
      <w:r w:rsidRPr="006D7DE7">
        <w:rPr>
          <w:rFonts w:cs="Arial"/>
          <w:rtl/>
        </w:rPr>
        <w:t>כאן שנכתב הגט על דבר שיכול להזדייף צריך ליתן לה בעדי מסירה</w:t>
      </w:r>
      <w:r w:rsidR="00F84473">
        <w:rPr>
          <w:rFonts w:cs="Arial" w:hint="cs"/>
          <w:rtl/>
        </w:rPr>
        <w:t>,</w:t>
      </w:r>
      <w:r w:rsidRPr="006D7DE7">
        <w:rPr>
          <w:rFonts w:cs="Arial"/>
          <w:rtl/>
        </w:rPr>
        <w:t xml:space="preserve"> אבל אם הגט יוצא מתחת יד האשה אפשר דנאמנת לומר שניתן לה בעידי מסירה ועל חשש של זיוף תוכל להביא עידי חתימה</w:t>
      </w:r>
      <w:r w:rsidR="00F84473">
        <w:rPr>
          <w:rFonts w:cs="Arial" w:hint="cs"/>
          <w:rtl/>
        </w:rPr>
        <w:t>.</w:t>
      </w:r>
      <w:r w:rsidRPr="006D7DE7">
        <w:rPr>
          <w:rFonts w:cs="Arial"/>
          <w:rtl/>
        </w:rPr>
        <w:t xml:space="preserve"> אבל לדברי הטור אין הגט כשר עד שתביא עידי מסירה לפנינו</w:t>
      </w:r>
      <w:r w:rsidR="00F84473">
        <w:rPr>
          <w:rFonts w:cs="Arial" w:hint="cs"/>
          <w:rtl/>
        </w:rPr>
        <w:t>,</w:t>
      </w:r>
      <w:r w:rsidRPr="006D7DE7">
        <w:rPr>
          <w:rFonts w:cs="Arial"/>
          <w:rtl/>
        </w:rPr>
        <w:t xml:space="preserve"> וכ"כ המחבר סעיף ד'</w:t>
      </w:r>
      <w:r>
        <w:rPr>
          <w:rFonts w:cs="Arial" w:hint="cs"/>
          <w:rtl/>
        </w:rPr>
        <w:t>, ח"מ (סק"ב).</w:t>
      </w:r>
    </w:p>
  </w:footnote>
  <w:footnote w:id="441">
    <w:p w14:paraId="448E7EB0" w14:textId="65359BC8" w:rsidR="00F85BC3" w:rsidRDefault="00F85BC3">
      <w:pPr>
        <w:pStyle w:val="a5"/>
        <w:rPr>
          <w:rtl/>
        </w:rPr>
      </w:pPr>
      <w:r>
        <w:rPr>
          <w:rStyle w:val="a7"/>
        </w:rPr>
        <w:footnoteRef/>
      </w:r>
      <w:r>
        <w:rPr>
          <w:rtl/>
        </w:rPr>
        <w:t xml:space="preserve"> </w:t>
      </w:r>
      <w:r w:rsidRPr="00F85BC3">
        <w:rPr>
          <w:rFonts w:cs="Arial"/>
          <w:rtl/>
        </w:rPr>
        <w:t>כתב בס' ג"פ נראה דאתי לרבות דכותבין על האוכלין כגון תפוח וכיוצא בו דהדבר ברור דקיי"ל דכותבין על האוכלין בין אוכלי אדם בין אוכלי בהמה ע"ש</w:t>
      </w:r>
      <w:r>
        <w:rPr>
          <w:rFonts w:hint="cs"/>
          <w:rtl/>
        </w:rPr>
        <w:t>, פת"ש (סק"ה).</w:t>
      </w:r>
    </w:p>
  </w:footnote>
  <w:footnote w:id="442">
    <w:p w14:paraId="30D4579D" w14:textId="77777777" w:rsidR="006A6058" w:rsidRDefault="006A6058" w:rsidP="006A6058">
      <w:pPr>
        <w:pStyle w:val="a5"/>
      </w:pPr>
      <w:r>
        <w:rPr>
          <w:rStyle w:val="a7"/>
        </w:rPr>
        <w:footnoteRef/>
      </w:r>
      <w:r>
        <w:rPr>
          <w:rFonts w:hint="cs"/>
          <w:rtl/>
        </w:rPr>
        <w:t xml:space="preserve"> וכן נראה לי מלשון הרמב"ם</w:t>
      </w:r>
      <w:r w:rsidRPr="006A6058">
        <w:rPr>
          <w:rtl/>
        </w:rPr>
        <w:t xml:space="preserve"> </w:t>
      </w:r>
      <w:r w:rsidRPr="006A6058">
        <w:rPr>
          <w:rFonts w:hint="cs"/>
          <w:rtl/>
        </w:rPr>
        <w:t>(</w:t>
      </w:r>
      <w:r w:rsidRPr="006A6058">
        <w:rPr>
          <w:rtl/>
        </w:rPr>
        <w:t>פ</w:t>
      </w:r>
      <w:r w:rsidRPr="006A6058">
        <w:rPr>
          <w:rFonts w:hint="cs"/>
          <w:rtl/>
        </w:rPr>
        <w:t>"</w:t>
      </w:r>
      <w:r w:rsidRPr="006A6058">
        <w:rPr>
          <w:rtl/>
        </w:rPr>
        <w:t>ד ה"ב)</w:t>
      </w:r>
      <w:r>
        <w:rPr>
          <w:rFonts w:hint="cs"/>
          <w:rtl/>
        </w:rPr>
        <w:t xml:space="preserve"> שכתב וז"ל:</w:t>
      </w:r>
      <w:r w:rsidRPr="006A6058">
        <w:rPr>
          <w:rFonts w:hint="cs"/>
          <w:rtl/>
        </w:rPr>
        <w:t xml:space="preserve"> </w:t>
      </w:r>
      <w:r w:rsidRPr="006A6058">
        <w:rPr>
          <w:rtl/>
        </w:rPr>
        <w:t>כותבין במי עפצא לכתחלה על גבי הנייר והעור וכיוצא בהן</w:t>
      </w:r>
      <w:r w:rsidRPr="006A6058">
        <w:rPr>
          <w:rFonts w:hint="cs"/>
          <w:rtl/>
        </w:rPr>
        <w:t>,</w:t>
      </w:r>
      <w:r w:rsidRPr="006A6058">
        <w:rPr>
          <w:rtl/>
        </w:rPr>
        <w:t xml:space="preserve"> אבל לא על גבי מגילה עפוצה מפני שאינו ניכר</w:t>
      </w:r>
      <w:r w:rsidRPr="006A6058">
        <w:rPr>
          <w:rFonts w:hint="cs"/>
          <w:rtl/>
        </w:rPr>
        <w:t>.</w:t>
      </w:r>
      <w:r w:rsidRPr="006A6058">
        <w:rPr>
          <w:rtl/>
        </w:rPr>
        <w:t xml:space="preserve"> ואם כתב </w:t>
      </w:r>
      <w:r w:rsidRPr="006A6058">
        <w:rPr>
          <w:rFonts w:hint="cs"/>
          <w:rtl/>
        </w:rPr>
        <w:t xml:space="preserve">- </w:t>
      </w:r>
      <w:r w:rsidRPr="006A6058">
        <w:rPr>
          <w:rtl/>
        </w:rPr>
        <w:t>אינו גט</w:t>
      </w:r>
      <w:r w:rsidRPr="006A6058">
        <w:rPr>
          <w:rFonts w:hint="cs"/>
          <w:rtl/>
        </w:rPr>
        <w:t>.</w:t>
      </w:r>
      <w:r w:rsidRPr="006A6058">
        <w:rPr>
          <w:rtl/>
        </w:rPr>
        <w:t xml:space="preserve"> וכן כל כיוצא בו.</w:t>
      </w:r>
      <w:r w:rsidRPr="006A6058">
        <w:rPr>
          <w:rFonts w:hint="cs"/>
          <w:rtl/>
        </w:rPr>
        <w:t xml:space="preserve"> </w:t>
      </w:r>
      <w:r>
        <w:rPr>
          <w:rFonts w:hint="cs"/>
          <w:rtl/>
        </w:rPr>
        <w:t>עכ"ל. משמע דכותבין על נייר לכתחילה. וצל"ע מדוע לא הזכירו דבריו.</w:t>
      </w:r>
    </w:p>
  </w:footnote>
  <w:footnote w:id="443">
    <w:p w14:paraId="5F410B09" w14:textId="77777777" w:rsidR="002F541D" w:rsidRDefault="002F541D" w:rsidP="002F541D">
      <w:pPr>
        <w:pStyle w:val="a5"/>
        <w:rPr>
          <w:rtl/>
        </w:rPr>
      </w:pPr>
      <w:r>
        <w:rPr>
          <w:rStyle w:val="a7"/>
        </w:rPr>
        <w:footnoteRef/>
      </w:r>
      <w:r>
        <w:rPr>
          <w:rtl/>
        </w:rPr>
        <w:t xml:space="preserve"> </w:t>
      </w:r>
      <w:r>
        <w:rPr>
          <w:rFonts w:cs="Arial"/>
          <w:rtl/>
        </w:rPr>
        <w:t>כלומר משום דשייך במצות ואינו רשאי לחבול בו</w:t>
      </w:r>
      <w:r>
        <w:rPr>
          <w:rFonts w:hint="cs"/>
          <w:rtl/>
        </w:rPr>
        <w:t>, ב"י.</w:t>
      </w:r>
    </w:p>
  </w:footnote>
  <w:footnote w:id="444">
    <w:p w14:paraId="219C4939" w14:textId="21F07629" w:rsidR="00AD5A89" w:rsidRDefault="00AD5A89">
      <w:pPr>
        <w:pStyle w:val="a5"/>
        <w:rPr>
          <w:rtl/>
        </w:rPr>
      </w:pPr>
      <w:r>
        <w:rPr>
          <w:rStyle w:val="a7"/>
        </w:rPr>
        <w:footnoteRef/>
      </w:r>
      <w:r>
        <w:rPr>
          <w:rtl/>
        </w:rPr>
        <w:t xml:space="preserve"> </w:t>
      </w:r>
      <w:r>
        <w:rPr>
          <w:rFonts w:hint="cs"/>
          <w:rtl/>
        </w:rPr>
        <w:t xml:space="preserve">והרא"ש (פ"ב סי' כב) גרס </w:t>
      </w:r>
      <w:r w:rsidR="002415CB">
        <w:rPr>
          <w:rFonts w:hint="cs"/>
          <w:rtl/>
        </w:rPr>
        <w:t>'</w:t>
      </w:r>
      <w:r>
        <w:rPr>
          <w:rFonts w:hint="cs"/>
          <w:rtl/>
        </w:rPr>
        <w:t>רש"י</w:t>
      </w:r>
      <w:r w:rsidR="002415CB">
        <w:rPr>
          <w:rFonts w:hint="cs"/>
          <w:rtl/>
        </w:rPr>
        <w:t>'</w:t>
      </w:r>
      <w:r>
        <w:rPr>
          <w:rFonts w:hint="cs"/>
          <w:rtl/>
        </w:rPr>
        <w:t xml:space="preserve"> במקום </w:t>
      </w:r>
      <w:r w:rsidR="002415CB">
        <w:rPr>
          <w:rFonts w:hint="cs"/>
          <w:rtl/>
        </w:rPr>
        <w:t>'</w:t>
      </w:r>
      <w:r>
        <w:rPr>
          <w:rFonts w:hint="cs"/>
          <w:rtl/>
        </w:rPr>
        <w:t>רבנו שמעיה</w:t>
      </w:r>
      <w:r w:rsidR="002415CB">
        <w:rPr>
          <w:rFonts w:hint="cs"/>
          <w:rtl/>
        </w:rPr>
        <w:t>' (וכן גרס הטור)</w:t>
      </w:r>
      <w:r>
        <w:rPr>
          <w:rFonts w:hint="cs"/>
          <w:rtl/>
        </w:rPr>
        <w:t>. ועל פי גירסת הרא"ש</w:t>
      </w:r>
      <w:r w:rsidR="002415CB">
        <w:rPr>
          <w:rFonts w:hint="cs"/>
          <w:rtl/>
        </w:rPr>
        <w:t xml:space="preserve"> הזו</w:t>
      </w:r>
      <w:r>
        <w:rPr>
          <w:rFonts w:hint="cs"/>
          <w:rtl/>
        </w:rPr>
        <w:t xml:space="preserve"> הוצרך הקו"נ </w:t>
      </w:r>
      <w:r w:rsidR="002415CB">
        <w:rPr>
          <w:rFonts w:hint="cs"/>
          <w:rtl/>
        </w:rPr>
        <w:t xml:space="preserve">לכתוב </w:t>
      </w:r>
      <w:r>
        <w:rPr>
          <w:rFonts w:hint="cs"/>
          <w:rtl/>
        </w:rPr>
        <w:t xml:space="preserve">(שם אות ט) </w:t>
      </w:r>
      <w:r w:rsidRPr="00AD5A89">
        <w:rPr>
          <w:rFonts w:cs="Arial"/>
          <w:rtl/>
        </w:rPr>
        <w:t>דרש"י אינו מכשיר אלא בקלף והדומה לו אבל אם כתב על חרס של עציץ נקוב ושבר החרס ונתן לה פסול</w:t>
      </w:r>
      <w:r>
        <w:rPr>
          <w:rFonts w:cs="Arial" w:hint="cs"/>
          <w:rtl/>
        </w:rPr>
        <w:t>.</w:t>
      </w:r>
      <w:r w:rsidRPr="00AD5A89">
        <w:rPr>
          <w:rFonts w:cs="Arial"/>
          <w:rtl/>
        </w:rPr>
        <w:t xml:space="preserve"> וכ"כ רש"י להדיא ד"ה דשקל ליה לכוליה עציץ ואין כאן מחוסר קציצה ואין לחוש שמא ישבור החרס ויתן לה החתיכה והוי לה קציצה כו' ע"כ.</w:t>
      </w:r>
    </w:p>
  </w:footnote>
  <w:footnote w:id="445">
    <w:p w14:paraId="1191BEEA" w14:textId="517FF912" w:rsidR="001771F0" w:rsidRDefault="001771F0">
      <w:pPr>
        <w:pStyle w:val="a5"/>
      </w:pPr>
      <w:r>
        <w:rPr>
          <w:rStyle w:val="a7"/>
        </w:rPr>
        <w:footnoteRef/>
      </w:r>
      <w:r>
        <w:rPr>
          <w:rtl/>
        </w:rPr>
        <w:t xml:space="preserve"> </w:t>
      </w:r>
      <w:r w:rsidRPr="00CD2508">
        <w:rPr>
          <w:rFonts w:cs="Arial"/>
          <w:rtl/>
        </w:rPr>
        <w:t>ותדע דבסמוך איפליגו אביי ורבא כשכתבו על עלה של עציץ נקוב דרבא גזר שמא יקטום אבל כשאינו נקוב משמע אפי' יקטום כשר</w:t>
      </w:r>
      <w:r>
        <w:rPr>
          <w:rFonts w:cs="Arial" w:hint="cs"/>
          <w:rtl/>
        </w:rPr>
        <w:t>.</w:t>
      </w:r>
      <w:r w:rsidRPr="00CD2508">
        <w:rPr>
          <w:rFonts w:cs="Arial"/>
          <w:rtl/>
        </w:rPr>
        <w:t xml:space="preserve"> וכן פירש הרב רבי שמעיה בפירושו ואם כתב גט בקלף גדול ואח"כ חתכו לפי זה כשר</w:t>
      </w:r>
      <w:r>
        <w:rPr>
          <w:rFonts w:cs="Arial" w:hint="cs"/>
          <w:rtl/>
        </w:rPr>
        <w:t>.</w:t>
      </w:r>
      <w:r w:rsidRPr="00CD2508">
        <w:rPr>
          <w:rFonts w:cs="Arial"/>
          <w:rtl/>
        </w:rPr>
        <w:t xml:space="preserve"> ומעשה היה בימי ה"ר יצחק ברבי מנחם ופסלו</w:t>
      </w:r>
      <w:r>
        <w:rPr>
          <w:rFonts w:cs="Arial" w:hint="cs"/>
          <w:rtl/>
        </w:rPr>
        <w:t>,</w:t>
      </w:r>
      <w:r w:rsidRPr="00CD2508">
        <w:rPr>
          <w:rFonts w:cs="Arial"/>
          <w:rtl/>
        </w:rPr>
        <w:t xml:space="preserve"> ונחלקו עליו גדולי הדור</w:t>
      </w:r>
      <w:r>
        <w:rPr>
          <w:rFonts w:cs="Arial" w:hint="cs"/>
          <w:rtl/>
        </w:rPr>
        <w:t>, תוס' (שם).</w:t>
      </w:r>
    </w:p>
  </w:footnote>
  <w:footnote w:id="446">
    <w:p w14:paraId="619E30AB" w14:textId="50C1667F" w:rsidR="00CE23F7" w:rsidRDefault="00CE23F7">
      <w:pPr>
        <w:pStyle w:val="a5"/>
      </w:pPr>
      <w:r>
        <w:rPr>
          <w:rStyle w:val="a7"/>
        </w:rPr>
        <w:footnoteRef/>
      </w:r>
      <w:r>
        <w:rPr>
          <w:rtl/>
        </w:rPr>
        <w:t xml:space="preserve"> </w:t>
      </w:r>
      <w:r w:rsidRPr="00CD2508">
        <w:rPr>
          <w:rFonts w:cs="Arial"/>
          <w:rtl/>
        </w:rPr>
        <w:t>מדקאמר בסמוך כתבו על חרס של עציץ נקוב כשר דשקיל ליה ויהיב לה ניהליה</w:t>
      </w:r>
      <w:r>
        <w:rPr>
          <w:rFonts w:cs="Arial" w:hint="cs"/>
          <w:rtl/>
        </w:rPr>
        <w:t>...</w:t>
      </w:r>
      <w:r w:rsidRPr="00CD2508">
        <w:rPr>
          <w:rFonts w:cs="Arial"/>
          <w:rtl/>
        </w:rPr>
        <w:t xml:space="preserve"> ור"י מייתי ראיה לפי' ר"ת דחשיב בפ' כסוי הדם (חולין דף פט.) עפר עיר הנדחת מחוסר תלישה קביצה ושריפה</w:t>
      </w:r>
      <w:r>
        <w:rPr>
          <w:rFonts w:cs="Arial" w:hint="cs"/>
          <w:rtl/>
        </w:rPr>
        <w:t>.</w:t>
      </w:r>
      <w:r w:rsidRPr="00CD2508">
        <w:rPr>
          <w:rFonts w:cs="Arial"/>
          <w:rtl/>
        </w:rPr>
        <w:t xml:space="preserve"> ויותר נחשב מחובר גט בקלף גדול</w:t>
      </w:r>
      <w:r>
        <w:rPr>
          <w:rFonts w:cs="Arial" w:hint="cs"/>
          <w:rtl/>
        </w:rPr>
        <w:t>,</w:t>
      </w:r>
      <w:r w:rsidRPr="00CD2508">
        <w:rPr>
          <w:rFonts w:cs="Arial"/>
          <w:rtl/>
        </w:rPr>
        <w:t xml:space="preserve"> מחיבור עפר עיר הנדחת</w:t>
      </w:r>
      <w:r>
        <w:rPr>
          <w:rFonts w:cs="Arial" w:hint="cs"/>
          <w:rtl/>
        </w:rPr>
        <w:t>, תוס' (שם).</w:t>
      </w:r>
    </w:p>
  </w:footnote>
  <w:footnote w:id="447">
    <w:p w14:paraId="6920C428" w14:textId="4FB8A2E9" w:rsidR="00EE378F" w:rsidRDefault="00EE378F">
      <w:pPr>
        <w:pStyle w:val="a5"/>
      </w:pPr>
      <w:r>
        <w:rPr>
          <w:rStyle w:val="a7"/>
        </w:rPr>
        <w:footnoteRef/>
      </w:r>
      <w:r>
        <w:rPr>
          <w:rtl/>
        </w:rPr>
        <w:t xml:space="preserve"> </w:t>
      </w:r>
      <w:r w:rsidRPr="00CD2508">
        <w:rPr>
          <w:rFonts w:cs="Arial"/>
          <w:rtl/>
        </w:rPr>
        <w:t>כדאמרי' לעיל גזייה לזמן ויהבי' ניהלה כו' בין שיטה לשיטה בין תיבה לתיבה מהו גבי והנייר שלי</w:t>
      </w:r>
      <w:r>
        <w:rPr>
          <w:rFonts w:cs="Arial" w:hint="cs"/>
          <w:rtl/>
        </w:rPr>
        <w:t>,</w:t>
      </w:r>
      <w:r w:rsidRPr="00CD2508">
        <w:rPr>
          <w:rFonts w:cs="Arial"/>
          <w:rtl/>
        </w:rPr>
        <w:t xml:space="preserve"> משמע דדבר מועט לא חשיב מחוסר קציצה</w:t>
      </w:r>
      <w:r>
        <w:rPr>
          <w:rFonts w:cs="Arial" w:hint="cs"/>
          <w:rtl/>
        </w:rPr>
        <w:t>, תוס' (שם).</w:t>
      </w:r>
    </w:p>
  </w:footnote>
  <w:footnote w:id="448">
    <w:p w14:paraId="00159067" w14:textId="0EC02AAE" w:rsidR="00E3141B" w:rsidRDefault="00E3141B">
      <w:pPr>
        <w:pStyle w:val="a5"/>
        <w:rPr>
          <w:rtl/>
        </w:rPr>
      </w:pPr>
      <w:r>
        <w:rPr>
          <w:rStyle w:val="a7"/>
        </w:rPr>
        <w:footnoteRef/>
      </w:r>
      <w:r>
        <w:rPr>
          <w:rtl/>
        </w:rPr>
        <w:t xml:space="preserve"> </w:t>
      </w:r>
      <w:r w:rsidRPr="00E3141B">
        <w:rPr>
          <w:rFonts w:cs="Arial"/>
          <w:rtl/>
        </w:rPr>
        <w:t>והר"ן (י. ד"ה על) כתב דהכי מוכח בגמרא</w:t>
      </w:r>
      <w:r w:rsidRPr="00E3141B">
        <w:rPr>
          <w:rFonts w:cs="Arial" w:hint="cs"/>
          <w:rtl/>
        </w:rPr>
        <w:t>.</w:t>
      </w:r>
      <w:r w:rsidRPr="00E3141B">
        <w:rPr>
          <w:rFonts w:cs="Arial"/>
          <w:rtl/>
        </w:rPr>
        <w:t xml:space="preserve"> אלא שנראה מתוך דבריו שרבינו האי חולק בזה ופוסל כל היכא דהוה דעתיה קודם כתיבה למיגז מיניה</w:t>
      </w:r>
      <w:r w:rsidRPr="00E3141B">
        <w:rPr>
          <w:rFonts w:cs="Arial" w:hint="cs"/>
          <w:rtl/>
        </w:rPr>
        <w:t>.</w:t>
      </w:r>
      <w:r w:rsidRPr="00E3141B">
        <w:rPr>
          <w:rFonts w:cs="Arial"/>
          <w:rtl/>
        </w:rPr>
        <w:t xml:space="preserve"> והרשב"א (כא: ד"ה יצא) הביא דברי התוספות כולם</w:t>
      </w:r>
      <w:r w:rsidRPr="00E3141B">
        <w:rPr>
          <w:rFonts w:cs="Arial" w:hint="cs"/>
          <w:rtl/>
        </w:rPr>
        <w:t>,</w:t>
      </w:r>
      <w:r w:rsidRPr="00E3141B">
        <w:rPr>
          <w:rFonts w:cs="Arial"/>
          <w:rtl/>
        </w:rPr>
        <w:t xml:space="preserve"> ואח"כ כתב דברי הלכות גדולות (הל' גיטין עז ע"ג)</w:t>
      </w:r>
      <w:r w:rsidRPr="00E3141B">
        <w:rPr>
          <w:rFonts w:cs="Arial" w:hint="cs"/>
          <w:rtl/>
        </w:rPr>
        <w:t>,</w:t>
      </w:r>
      <w:r w:rsidRPr="00E3141B">
        <w:rPr>
          <w:rFonts w:cs="Arial"/>
          <w:rtl/>
        </w:rPr>
        <w:t xml:space="preserve"> ונסתפק אם דעת הלכות גדולות לפסול אפילו חותך מן המרובה</w:t>
      </w:r>
      <w:r>
        <w:rPr>
          <w:rFonts w:hint="cs"/>
          <w:rtl/>
        </w:rPr>
        <w:t>, ב"י.</w:t>
      </w:r>
    </w:p>
  </w:footnote>
  <w:footnote w:id="449">
    <w:p w14:paraId="047B20E9" w14:textId="7E33B7F1" w:rsidR="000C7A12" w:rsidRDefault="000C7A12">
      <w:pPr>
        <w:pStyle w:val="a5"/>
      </w:pPr>
      <w:r>
        <w:rPr>
          <w:rStyle w:val="a7"/>
        </w:rPr>
        <w:footnoteRef/>
      </w:r>
      <w:r>
        <w:rPr>
          <w:rtl/>
        </w:rPr>
        <w:t xml:space="preserve"> </w:t>
      </w:r>
      <w:r w:rsidRPr="00E3141B">
        <w:rPr>
          <w:rFonts w:cs="Arial"/>
          <w:rtl/>
        </w:rPr>
        <w:t>ומכל מקום אפילו לבעל התרומה נראה דבדיעבד לא פסלינן ליה כל שלא חתך אלא מעט כדי לייפותו</w:t>
      </w:r>
      <w:r>
        <w:rPr>
          <w:rFonts w:cs="Arial" w:hint="cs"/>
          <w:rtl/>
        </w:rPr>
        <w:t>.</w:t>
      </w:r>
      <w:r w:rsidRPr="00E3141B">
        <w:rPr>
          <w:rFonts w:cs="Arial"/>
          <w:rtl/>
        </w:rPr>
        <w:t xml:space="preserve"> ואפילו חתך הרבה נמי</w:t>
      </w:r>
      <w:r>
        <w:rPr>
          <w:rFonts w:cs="Arial" w:hint="cs"/>
          <w:rtl/>
        </w:rPr>
        <w:t>,</w:t>
      </w:r>
      <w:r w:rsidRPr="00E3141B">
        <w:rPr>
          <w:rFonts w:cs="Arial"/>
          <w:rtl/>
        </w:rPr>
        <w:t xml:space="preserve"> כל שאינו חותך יותר מכתיבת הגט משמע מלשון בעל התרומה שדינו כחותך מעט לייפותו</w:t>
      </w:r>
      <w:r>
        <w:rPr>
          <w:rFonts w:cs="Arial" w:hint="cs"/>
          <w:rtl/>
        </w:rPr>
        <w:t>.</w:t>
      </w:r>
      <w:r w:rsidRPr="00E3141B">
        <w:rPr>
          <w:rFonts w:cs="Arial"/>
          <w:rtl/>
        </w:rPr>
        <w:t xml:space="preserve"> וכן נראה מדברי הר"ן (שם)</w:t>
      </w:r>
      <w:r>
        <w:rPr>
          <w:rFonts w:cs="Arial" w:hint="cs"/>
          <w:rtl/>
        </w:rPr>
        <w:t xml:space="preserve">, ב"י. </w:t>
      </w:r>
      <w:r w:rsidRPr="00FE510D">
        <w:rPr>
          <w:rFonts w:cs="Arial"/>
          <w:rtl/>
        </w:rPr>
        <w:t>וכן נראה מדברי ה</w:t>
      </w:r>
      <w:r>
        <w:rPr>
          <w:rFonts w:cs="Arial" w:hint="cs"/>
          <w:rtl/>
        </w:rPr>
        <w:t>ה"מ</w:t>
      </w:r>
      <w:r w:rsidRPr="00FE510D">
        <w:rPr>
          <w:rFonts w:cs="Arial"/>
          <w:rtl/>
        </w:rPr>
        <w:t xml:space="preserve"> פ</w:t>
      </w:r>
      <w:r>
        <w:rPr>
          <w:rFonts w:cs="Arial" w:hint="cs"/>
          <w:rtl/>
        </w:rPr>
        <w:t>"א</w:t>
      </w:r>
      <w:r w:rsidRPr="00FE510D">
        <w:rPr>
          <w:rFonts w:cs="Arial"/>
          <w:rtl/>
        </w:rPr>
        <w:t xml:space="preserve"> דגירושין (ה"ו)</w:t>
      </w:r>
      <w:r>
        <w:rPr>
          <w:rFonts w:cs="Arial" w:hint="cs"/>
          <w:rtl/>
        </w:rPr>
        <w:t>, דרכ"מ (אות ב).</w:t>
      </w:r>
      <w:r w:rsidR="00DD1DEB" w:rsidRPr="00DD1DEB">
        <w:rPr>
          <w:rFonts w:hint="cs"/>
          <w:color w:val="00B0F0"/>
          <w:rtl/>
        </w:rPr>
        <w:t xml:space="preserve"> (וכ"פ </w:t>
      </w:r>
      <w:r w:rsidR="00DD1DEB">
        <w:rPr>
          <w:rFonts w:hint="cs"/>
          <w:color w:val="00B0F0"/>
          <w:rtl/>
        </w:rPr>
        <w:t>בהג</w:t>
      </w:r>
      <w:r w:rsidR="00DD1DEB" w:rsidRPr="00DD1DEB">
        <w:rPr>
          <w:rFonts w:hint="cs"/>
          <w:color w:val="00B0F0"/>
          <w:rtl/>
        </w:rPr>
        <w:t>"</w:t>
      </w:r>
      <w:r w:rsidR="00DD1DEB">
        <w:rPr>
          <w:rFonts w:hint="cs"/>
          <w:color w:val="00B0F0"/>
          <w:rtl/>
        </w:rPr>
        <w:t>ה</w:t>
      </w:r>
      <w:r w:rsidR="00DD1DEB" w:rsidRPr="00DD1DEB">
        <w:rPr>
          <w:rFonts w:hint="cs"/>
          <w:color w:val="00B0F0"/>
          <w:rtl/>
        </w:rPr>
        <w:t>)</w:t>
      </w:r>
    </w:p>
  </w:footnote>
  <w:footnote w:id="450">
    <w:p w14:paraId="708EE5A3" w14:textId="2F2400AB" w:rsidR="00EE378F" w:rsidRDefault="00EE378F">
      <w:pPr>
        <w:pStyle w:val="a5"/>
        <w:rPr>
          <w:rtl/>
        </w:rPr>
      </w:pPr>
      <w:r>
        <w:rPr>
          <w:rStyle w:val="a7"/>
        </w:rPr>
        <w:footnoteRef/>
      </w:r>
      <w:r>
        <w:rPr>
          <w:rtl/>
        </w:rPr>
        <w:t xml:space="preserve"> </w:t>
      </w:r>
      <w:r w:rsidRPr="00E3141B">
        <w:rPr>
          <w:rFonts w:cs="Arial"/>
          <w:rtl/>
        </w:rPr>
        <w:t>מה שכתב הרא"ש</w:t>
      </w:r>
      <w:r>
        <w:rPr>
          <w:rFonts w:cs="Arial" w:hint="cs"/>
          <w:rtl/>
        </w:rPr>
        <w:t>...</w:t>
      </w:r>
      <w:r w:rsidRPr="00E3141B">
        <w:rPr>
          <w:rFonts w:cs="Arial"/>
          <w:rtl/>
        </w:rPr>
        <w:t xml:space="preserve"> </w:t>
      </w:r>
      <w:r w:rsidR="00A42812">
        <w:rPr>
          <w:rFonts w:cs="Arial"/>
          <w:rtl/>
        </w:rPr>
        <w:t>-</w:t>
      </w:r>
      <w:r>
        <w:rPr>
          <w:rFonts w:cs="Arial" w:hint="cs"/>
          <w:rtl/>
        </w:rPr>
        <w:t xml:space="preserve"> </w:t>
      </w:r>
      <w:r w:rsidRPr="00EE378F">
        <w:rPr>
          <w:rFonts w:cs="Arial" w:hint="cs"/>
          <w:sz w:val="16"/>
          <w:szCs w:val="16"/>
          <w:rtl/>
        </w:rPr>
        <w:t>(</w:t>
      </w:r>
      <w:r w:rsidRPr="00EE378F">
        <w:rPr>
          <w:rFonts w:cs="Arial"/>
          <w:sz w:val="16"/>
          <w:szCs w:val="16"/>
          <w:rtl/>
        </w:rPr>
        <w:t>לא כתב כן משום הא דרבינו האי</w:t>
      </w:r>
      <w:r w:rsidRPr="00EE378F">
        <w:rPr>
          <w:rFonts w:cs="Arial" w:hint="cs"/>
          <w:sz w:val="16"/>
          <w:szCs w:val="16"/>
          <w:rtl/>
        </w:rPr>
        <w:t xml:space="preserve"> </w:t>
      </w:r>
      <w:r w:rsidRPr="00EE378F">
        <w:rPr>
          <w:rFonts w:cs="Arial" w:hint="cs"/>
          <w:sz w:val="14"/>
          <w:szCs w:val="14"/>
          <w:rtl/>
        </w:rPr>
        <w:t>{דנראה ממנו פוסל}</w:t>
      </w:r>
      <w:r w:rsidRPr="00EE378F">
        <w:rPr>
          <w:rFonts w:cs="Arial" w:hint="cs"/>
          <w:sz w:val="16"/>
          <w:szCs w:val="16"/>
          <w:rtl/>
        </w:rPr>
        <w:t>,</w:t>
      </w:r>
      <w:r w:rsidRPr="00EE378F">
        <w:rPr>
          <w:rFonts w:cs="Arial"/>
          <w:sz w:val="16"/>
          <w:szCs w:val="16"/>
          <w:rtl/>
        </w:rPr>
        <w:t xml:space="preserve"> שהרי לא הזכירה</w:t>
      </w:r>
      <w:r w:rsidRPr="00EE378F">
        <w:rPr>
          <w:rFonts w:cs="Arial" w:hint="cs"/>
          <w:sz w:val="16"/>
          <w:szCs w:val="16"/>
          <w:rtl/>
        </w:rPr>
        <w:t>,</w:t>
      </w:r>
      <w:r w:rsidRPr="00EE378F">
        <w:rPr>
          <w:rFonts w:cs="Arial"/>
          <w:sz w:val="16"/>
          <w:szCs w:val="16"/>
          <w:rtl/>
        </w:rPr>
        <w:t xml:space="preserve"> ואדרבה כתב בפשיטות כדברי התוספות דאפילו לדברי ר"ת אם חתכו ממנו דבר מועט כדי לייפותו לא מיקרי מחוסר קציצה</w:t>
      </w:r>
      <w:r w:rsidRPr="00EE378F">
        <w:rPr>
          <w:rFonts w:cs="Arial" w:hint="cs"/>
          <w:sz w:val="16"/>
          <w:szCs w:val="16"/>
          <w:rtl/>
        </w:rPr>
        <w:t>.</w:t>
      </w:r>
      <w:r w:rsidRPr="00EE378F">
        <w:rPr>
          <w:rFonts w:cs="Arial"/>
          <w:sz w:val="16"/>
          <w:szCs w:val="16"/>
          <w:rtl/>
        </w:rPr>
        <w:t xml:space="preserve"> וגם לא משום דמספקא ליה בדברי הלכות גדולות כהרשב"א</w:t>
      </w:r>
      <w:r w:rsidRPr="00EE378F">
        <w:rPr>
          <w:rFonts w:cs="Arial" w:hint="cs"/>
          <w:sz w:val="16"/>
          <w:szCs w:val="16"/>
          <w:rtl/>
        </w:rPr>
        <w:t>,</w:t>
      </w:r>
      <w:r w:rsidRPr="00EE378F">
        <w:rPr>
          <w:rFonts w:cs="Arial"/>
          <w:sz w:val="16"/>
          <w:szCs w:val="16"/>
          <w:rtl/>
        </w:rPr>
        <w:t xml:space="preserve"> דמתוך דבריו משמע דלא מחמיר בעל הלכות גדולות טפי מר"ת</w:t>
      </w:r>
      <w:r w:rsidRPr="00EE378F">
        <w:rPr>
          <w:rFonts w:cs="Arial" w:hint="cs"/>
          <w:sz w:val="16"/>
          <w:szCs w:val="16"/>
          <w:rtl/>
        </w:rPr>
        <w:t>,</w:t>
      </w:r>
      <w:r w:rsidRPr="00EE378F">
        <w:rPr>
          <w:rFonts w:cs="Arial"/>
          <w:sz w:val="16"/>
          <w:szCs w:val="16"/>
          <w:rtl/>
        </w:rPr>
        <w:t xml:space="preserve"> וכן משמע מדברי התוספות</w:t>
      </w:r>
      <w:r>
        <w:rPr>
          <w:rFonts w:cs="Arial" w:hint="cs"/>
          <w:sz w:val="16"/>
          <w:szCs w:val="16"/>
          <w:rtl/>
        </w:rPr>
        <w:t>. אלא-)</w:t>
      </w:r>
      <w:r w:rsidRPr="00E3141B">
        <w:rPr>
          <w:rFonts w:cs="Arial"/>
          <w:rtl/>
        </w:rPr>
        <w:t xml:space="preserve"> לשופרא דמילתא כתב הכי ולא לעיכובא</w:t>
      </w:r>
      <w:r>
        <w:rPr>
          <w:rFonts w:cs="Arial" w:hint="cs"/>
          <w:rtl/>
        </w:rPr>
        <w:t>.</w:t>
      </w:r>
      <w:r w:rsidRPr="00E3141B">
        <w:rPr>
          <w:rFonts w:cs="Arial"/>
          <w:rtl/>
        </w:rPr>
        <w:t xml:space="preserve"> ואפשר דלישנא דבעל הלכות גדולות נקט</w:t>
      </w:r>
      <w:r>
        <w:rPr>
          <w:rFonts w:cs="Arial" w:hint="cs"/>
          <w:rtl/>
        </w:rPr>
        <w:t>,</w:t>
      </w:r>
      <w:r w:rsidRPr="00E3141B">
        <w:rPr>
          <w:rFonts w:cs="Arial"/>
          <w:rtl/>
        </w:rPr>
        <w:t xml:space="preserve"> שכתב</w:t>
      </w:r>
      <w:r>
        <w:rPr>
          <w:rFonts w:cs="Arial" w:hint="cs"/>
          <w:rtl/>
        </w:rPr>
        <w:t>-</w:t>
      </w:r>
      <w:r w:rsidRPr="00E3141B">
        <w:rPr>
          <w:rFonts w:cs="Arial"/>
          <w:rtl/>
        </w:rPr>
        <w:t xml:space="preserve"> </w:t>
      </w:r>
      <w:r>
        <w:rPr>
          <w:rFonts w:cs="Arial" w:hint="cs"/>
          <w:rtl/>
        </w:rPr>
        <w:t>'</w:t>
      </w:r>
      <w:r w:rsidRPr="00E3141B">
        <w:rPr>
          <w:rFonts w:cs="Arial"/>
          <w:rtl/>
        </w:rPr>
        <w:t>ומאן דכתיב גיטא ליפסוק מגילתא שיעור גיטא והדר ליכתביה</w:t>
      </w:r>
      <w:r>
        <w:rPr>
          <w:rFonts w:cs="Arial" w:hint="cs"/>
          <w:rtl/>
        </w:rPr>
        <w:t>'</w:t>
      </w:r>
      <w:r>
        <w:rPr>
          <w:rFonts w:hint="cs"/>
          <w:rtl/>
        </w:rPr>
        <w:t>, ב"י.</w:t>
      </w:r>
    </w:p>
  </w:footnote>
  <w:footnote w:id="451">
    <w:p w14:paraId="24161CDC" w14:textId="1E5B6C30" w:rsidR="00EA3689" w:rsidRDefault="00EA3689">
      <w:pPr>
        <w:pStyle w:val="a5"/>
        <w:rPr>
          <w:rtl/>
        </w:rPr>
      </w:pPr>
      <w:r>
        <w:rPr>
          <w:rStyle w:val="a7"/>
        </w:rPr>
        <w:footnoteRef/>
      </w:r>
      <w:r>
        <w:rPr>
          <w:rtl/>
        </w:rPr>
        <w:t xml:space="preserve"> </w:t>
      </w:r>
      <w:r>
        <w:rPr>
          <w:rFonts w:cs="Arial"/>
          <w:rtl/>
        </w:rPr>
        <w:t>ויליף לה מעובדא דפ</w:t>
      </w:r>
      <w:r>
        <w:rPr>
          <w:rFonts w:cs="Arial" w:hint="cs"/>
          <w:rtl/>
        </w:rPr>
        <w:t>"</w:t>
      </w:r>
      <w:r>
        <w:rPr>
          <w:rFonts w:cs="Arial"/>
          <w:rtl/>
        </w:rPr>
        <w:t>ב דגיטין (יט:) דההוא גברא דשקל ספר תורה יהביה לדביתהו דלא מיפסיל אלא משום דאין מי מילין על גבי מי מילין הא לאו הכי כשר</w:t>
      </w:r>
      <w:r>
        <w:rPr>
          <w:rFonts w:hint="cs"/>
          <w:rtl/>
        </w:rPr>
        <w:t>, ב"י.</w:t>
      </w:r>
    </w:p>
  </w:footnote>
  <w:footnote w:id="452">
    <w:p w14:paraId="2A040AA7" w14:textId="2D348532" w:rsidR="006249AD" w:rsidRDefault="006249AD">
      <w:pPr>
        <w:pStyle w:val="a5"/>
      </w:pPr>
      <w:r>
        <w:rPr>
          <w:rStyle w:val="a7"/>
        </w:rPr>
        <w:footnoteRef/>
      </w:r>
      <w:r>
        <w:rPr>
          <w:rtl/>
        </w:rPr>
        <w:t xml:space="preserve"> </w:t>
      </w:r>
      <w:r w:rsidRPr="006249AD">
        <w:rPr>
          <w:rFonts w:cs="Arial"/>
          <w:rtl/>
        </w:rPr>
        <w:t>אין הכוונ' שהקלף צ"ל מכוון למדת הגט ואם הוא גדול ממנו צריך לחתכו דהא כותבין גט על קרן פרה ונותן לה כל הפרה מכ"ש שכותבין גט על יריעה גדולה ונותן לה כל היריעה אלא הכוונה היא שמא יעלה בדעתו לחותכו אחר הכתיבה וא"כ יהיה מחוסר קציצה</w:t>
      </w:r>
      <w:r>
        <w:rPr>
          <w:rFonts w:cs="Arial" w:hint="cs"/>
          <w:rtl/>
        </w:rPr>
        <w:t>, ח"מ (סק"ז).</w:t>
      </w:r>
    </w:p>
  </w:footnote>
  <w:footnote w:id="453">
    <w:p w14:paraId="7E1A92F9" w14:textId="6D29DC0B" w:rsidR="006249AD" w:rsidRDefault="006249AD">
      <w:pPr>
        <w:pStyle w:val="a5"/>
      </w:pPr>
      <w:r>
        <w:rPr>
          <w:rStyle w:val="a7"/>
        </w:rPr>
        <w:footnoteRef/>
      </w:r>
      <w:r>
        <w:rPr>
          <w:rtl/>
        </w:rPr>
        <w:t xml:space="preserve"> </w:t>
      </w:r>
      <w:r w:rsidRPr="006249AD">
        <w:rPr>
          <w:rFonts w:cs="Arial"/>
          <w:rtl/>
        </w:rPr>
        <w:t>אבל מותר לכתו</w:t>
      </w:r>
      <w:r>
        <w:rPr>
          <w:rFonts w:cs="Arial" w:hint="cs"/>
          <w:rtl/>
        </w:rPr>
        <w:t>ב</w:t>
      </w:r>
      <w:r w:rsidRPr="006249AD">
        <w:rPr>
          <w:rFonts w:cs="Arial"/>
          <w:rtl/>
        </w:rPr>
        <w:t xml:space="preserve"> על נייר גדול ולא חיישינן שמא יחתוך כי בתלוש לא חיישינן שמא יחתוך דדרך הוא למסור התלוש הר"ן</w:t>
      </w:r>
      <w:r>
        <w:rPr>
          <w:rFonts w:cs="Arial" w:hint="cs"/>
          <w:rtl/>
        </w:rPr>
        <w:t>, ב"ש (סק"ט).</w:t>
      </w:r>
    </w:p>
  </w:footnote>
  <w:footnote w:id="454">
    <w:p w14:paraId="75C33EF9" w14:textId="41288220" w:rsidR="006249AD" w:rsidRDefault="006249AD">
      <w:pPr>
        <w:pStyle w:val="a5"/>
        <w:rPr>
          <w:rtl/>
        </w:rPr>
      </w:pPr>
      <w:r>
        <w:rPr>
          <w:rStyle w:val="a7"/>
        </w:rPr>
        <w:footnoteRef/>
      </w:r>
      <w:r>
        <w:rPr>
          <w:rtl/>
        </w:rPr>
        <w:t xml:space="preserve"> </w:t>
      </w:r>
      <w:r w:rsidRPr="006249AD">
        <w:rPr>
          <w:rFonts w:cs="Arial"/>
          <w:rtl/>
        </w:rPr>
        <w:t>נראה דבטל מדאורייתא</w:t>
      </w:r>
      <w:r>
        <w:rPr>
          <w:rFonts w:cs="Arial" w:hint="cs"/>
          <w:rtl/>
        </w:rPr>
        <w:t>,</w:t>
      </w:r>
      <w:r w:rsidRPr="006249AD">
        <w:rPr>
          <w:rFonts w:cs="Arial"/>
          <w:rtl/>
        </w:rPr>
        <w:t xml:space="preserve"> דהא תו</w:t>
      </w:r>
      <w:r>
        <w:rPr>
          <w:rFonts w:cs="Arial" w:hint="cs"/>
          <w:rtl/>
        </w:rPr>
        <w:t>ס</w:t>
      </w:r>
      <w:r w:rsidRPr="006249AD">
        <w:rPr>
          <w:rFonts w:cs="Arial"/>
          <w:rtl/>
        </w:rPr>
        <w:t>' והרא"ש הביאו ראי' לדין זה מעפר הנדחת דחשוב מחוסר מעשה</w:t>
      </w:r>
      <w:r>
        <w:rPr>
          <w:rFonts w:cs="Arial" w:hint="cs"/>
          <w:rtl/>
        </w:rPr>
        <w:t>,</w:t>
      </w:r>
      <w:r w:rsidRPr="006249AD">
        <w:rPr>
          <w:rFonts w:cs="Arial"/>
          <w:rtl/>
        </w:rPr>
        <w:t xml:space="preserve"> ושם מדאורייתא מחוסר</w:t>
      </w:r>
      <w:r>
        <w:rPr>
          <w:rFonts w:cs="Arial" w:hint="cs"/>
          <w:rtl/>
        </w:rPr>
        <w:t>.</w:t>
      </w:r>
      <w:r w:rsidRPr="006249AD">
        <w:rPr>
          <w:rFonts w:cs="Arial"/>
          <w:rtl/>
        </w:rPr>
        <w:t xml:space="preserve"> וכן </w:t>
      </w:r>
      <w:r>
        <w:rPr>
          <w:rFonts w:cs="Arial" w:hint="cs"/>
          <w:rtl/>
        </w:rPr>
        <w:t>ב</w:t>
      </w:r>
      <w:r w:rsidRPr="006249AD">
        <w:rPr>
          <w:rFonts w:cs="Arial"/>
          <w:rtl/>
        </w:rPr>
        <w:t>ה</w:t>
      </w:r>
      <w:r>
        <w:rPr>
          <w:rFonts w:cs="Arial" w:hint="cs"/>
          <w:rtl/>
        </w:rPr>
        <w:t>"</w:t>
      </w:r>
      <w:r w:rsidRPr="006249AD">
        <w:rPr>
          <w:rFonts w:cs="Arial"/>
          <w:rtl/>
        </w:rPr>
        <w:t>ג יליף מקרא וכ' ונתן</w:t>
      </w:r>
      <w:r>
        <w:rPr>
          <w:rFonts w:cs="Arial" w:hint="cs"/>
          <w:rtl/>
        </w:rPr>
        <w:t>.</w:t>
      </w:r>
      <w:r w:rsidRPr="006249AD">
        <w:rPr>
          <w:rFonts w:cs="Arial"/>
          <w:rtl/>
        </w:rPr>
        <w:t xml:space="preserve"> וכן מוכח מתו</w:t>
      </w:r>
      <w:r>
        <w:rPr>
          <w:rFonts w:cs="Arial" w:hint="cs"/>
          <w:rtl/>
        </w:rPr>
        <w:t>ס</w:t>
      </w:r>
      <w:r w:rsidRPr="006249AD">
        <w:rPr>
          <w:rFonts w:cs="Arial"/>
          <w:rtl/>
        </w:rPr>
        <w:t>' דפירשו דפליגו אפי' בעציץ שאין נקוב וחייש רבא שמא יקטום</w:t>
      </w:r>
      <w:r w:rsidR="00790B21">
        <w:rPr>
          <w:rFonts w:cs="Arial" w:hint="cs"/>
          <w:rtl/>
        </w:rPr>
        <w:t>,</w:t>
      </w:r>
      <w:r w:rsidRPr="006249AD">
        <w:rPr>
          <w:rFonts w:cs="Arial"/>
          <w:rtl/>
        </w:rPr>
        <w:t xml:space="preserve"> ש"מ דאורייתא הוא דאל"כ לא היה רבא חייש שמא יקטום</w:t>
      </w:r>
      <w:r w:rsidR="00790B21">
        <w:rPr>
          <w:rFonts w:cs="Arial" w:hint="cs"/>
          <w:rtl/>
        </w:rPr>
        <w:t>.</w:t>
      </w:r>
      <w:r w:rsidRPr="006249AD">
        <w:rPr>
          <w:rFonts w:cs="Arial"/>
          <w:rtl/>
        </w:rPr>
        <w:t xml:space="preserve"> ולא כב"ח דמדייק מתו' דאין פסול מדאורייתא</w:t>
      </w:r>
      <w:r>
        <w:rPr>
          <w:rFonts w:cs="Arial" w:hint="cs"/>
          <w:rtl/>
        </w:rPr>
        <w:t>, ב"ש (סק"י).</w:t>
      </w:r>
      <w:r w:rsidRPr="006249AD">
        <w:rPr>
          <w:rFonts w:cs="Arial"/>
          <w:rtl/>
        </w:rPr>
        <w:t xml:space="preserve"> </w:t>
      </w:r>
      <w:r w:rsidR="00790B21">
        <w:rPr>
          <w:rFonts w:cs="Arial" w:hint="cs"/>
          <w:rtl/>
        </w:rPr>
        <w:t>וכ"כ ה</w:t>
      </w:r>
      <w:r w:rsidR="00790B21">
        <w:rPr>
          <w:rFonts w:hint="cs"/>
          <w:rtl/>
        </w:rPr>
        <w:t>ח"מ (סק"ח) ד</w:t>
      </w:r>
      <w:r w:rsidR="00790B21" w:rsidRPr="006249AD">
        <w:rPr>
          <w:rFonts w:cs="Arial"/>
          <w:rtl/>
        </w:rPr>
        <w:t>אפשר לומר לדעת האוסרים דאינו גט מן התורה כמו בקרן הפרה</w:t>
      </w:r>
      <w:r w:rsidR="00790B21">
        <w:rPr>
          <w:rFonts w:hint="cs"/>
          <w:rtl/>
        </w:rPr>
        <w:t>.</w:t>
      </w:r>
    </w:p>
  </w:footnote>
  <w:footnote w:id="455">
    <w:p w14:paraId="1A552CBF" w14:textId="77777777" w:rsidR="00D33DB8" w:rsidRDefault="00D33DB8" w:rsidP="00D33DB8">
      <w:pPr>
        <w:pStyle w:val="a5"/>
      </w:pPr>
      <w:r>
        <w:rPr>
          <w:rStyle w:val="a7"/>
        </w:rPr>
        <w:footnoteRef/>
      </w:r>
      <w:r>
        <w:rPr>
          <w:rtl/>
        </w:rPr>
        <w:t xml:space="preserve"> </w:t>
      </w:r>
      <w:r w:rsidRPr="00D07A00">
        <w:rPr>
          <w:rFonts w:cs="Arial"/>
          <w:rtl/>
        </w:rPr>
        <w:t>משום דמחוסר קציצה</w:t>
      </w:r>
      <w:r w:rsidRPr="00D07A00">
        <w:rPr>
          <w:rFonts w:cs="Arial" w:hint="cs"/>
          <w:rtl/>
        </w:rPr>
        <w:t>,</w:t>
      </w:r>
      <w:r w:rsidRPr="00D07A00">
        <w:rPr>
          <w:rFonts w:cs="Arial"/>
          <w:rtl/>
        </w:rPr>
        <w:t xml:space="preserve"> ואפילו אי בעי למיתב לה אותו המחובר </w:t>
      </w:r>
      <w:r w:rsidRPr="00D07A00">
        <w:rPr>
          <w:rFonts w:cs="Arial" w:hint="cs"/>
          <w:rtl/>
        </w:rPr>
        <w:t xml:space="preserve">- </w:t>
      </w:r>
      <w:r w:rsidRPr="00D07A00">
        <w:rPr>
          <w:rFonts w:cs="Arial"/>
          <w:rtl/>
        </w:rPr>
        <w:t>לא</w:t>
      </w:r>
      <w:r w:rsidRPr="00D07A00">
        <w:rPr>
          <w:rFonts w:cs="Arial" w:hint="cs"/>
          <w:rtl/>
        </w:rPr>
        <w:t>,</w:t>
      </w:r>
      <w:r w:rsidRPr="00D07A00">
        <w:rPr>
          <w:rFonts w:cs="Arial"/>
          <w:rtl/>
        </w:rPr>
        <w:t xml:space="preserve"> משום דכתיב ונתן בידה</w:t>
      </w:r>
      <w:r w:rsidRPr="00D07A00">
        <w:rPr>
          <w:rFonts w:cs="Arial" w:hint="cs"/>
          <w:rtl/>
        </w:rPr>
        <w:t>,</w:t>
      </w:r>
      <w:r w:rsidRPr="00D07A00">
        <w:rPr>
          <w:rFonts w:cs="Arial"/>
          <w:rtl/>
        </w:rPr>
        <w:t xml:space="preserve"> רא"ש (</w:t>
      </w:r>
      <w:r w:rsidRPr="00D07A00">
        <w:rPr>
          <w:rFonts w:cs="Arial" w:hint="cs"/>
          <w:rtl/>
        </w:rPr>
        <w:t xml:space="preserve">פ"ב </w:t>
      </w:r>
      <w:r w:rsidRPr="00D07A00">
        <w:rPr>
          <w:rFonts w:cs="Arial"/>
          <w:rtl/>
        </w:rPr>
        <w:t>סכ"ג)</w:t>
      </w:r>
      <w:r w:rsidRPr="00D07A00">
        <w:rPr>
          <w:rFonts w:cs="Arial" w:hint="cs"/>
          <w:rtl/>
        </w:rPr>
        <w:t>.</w:t>
      </w:r>
      <w:r w:rsidRPr="00D07A00">
        <w:rPr>
          <w:rFonts w:cs="Arial"/>
          <w:rtl/>
        </w:rPr>
        <w:t xml:space="preserve"> כלומר דבעינן דבר הניתן מיד ליד דהיינו תלוש</w:t>
      </w:r>
      <w:r w:rsidRPr="00D07A00">
        <w:rPr>
          <w:rFonts w:cs="Arial" w:hint="cs"/>
          <w:rtl/>
        </w:rPr>
        <w:t>.</w:t>
      </w:r>
      <w:r w:rsidRPr="00D07A00">
        <w:rPr>
          <w:rFonts w:cs="Arial"/>
          <w:rtl/>
        </w:rPr>
        <w:t xml:space="preserve"> וכ</w:t>
      </w:r>
      <w:r w:rsidRPr="00D07A00">
        <w:rPr>
          <w:rFonts w:cs="Arial" w:hint="cs"/>
          <w:rtl/>
        </w:rPr>
        <w:t>"כ</w:t>
      </w:r>
      <w:r w:rsidRPr="00D07A00">
        <w:rPr>
          <w:rFonts w:cs="Arial"/>
          <w:rtl/>
        </w:rPr>
        <w:t xml:space="preserve"> הרשב"א (כא: ד"ה מתני'). וכתב עוד דבירושלמי (פ"ב ה"ג יב:) יליף לה מדכתיב ספר מה ספר מיוחד שהוא בתלוש</w:t>
      </w:r>
      <w:r w:rsidRPr="00D07A00">
        <w:rPr>
          <w:rFonts w:cs="Arial" w:hint="cs"/>
          <w:rtl/>
        </w:rPr>
        <w:t>,</w:t>
      </w:r>
      <w:r w:rsidRPr="00D07A00">
        <w:rPr>
          <w:rFonts w:cs="Arial"/>
          <w:rtl/>
        </w:rPr>
        <w:t xml:space="preserve"> אף כל דבר שהוא בתלוש</w:t>
      </w:r>
      <w:r w:rsidRPr="00D07A00">
        <w:rPr>
          <w:rFonts w:cs="Arial" w:hint="cs"/>
          <w:rtl/>
        </w:rPr>
        <w:t>, ב"י</w:t>
      </w:r>
      <w:r>
        <w:rPr>
          <w:rFonts w:cs="Arial" w:hint="cs"/>
          <w:rtl/>
        </w:rPr>
        <w:t>.</w:t>
      </w:r>
    </w:p>
  </w:footnote>
  <w:footnote w:id="456">
    <w:p w14:paraId="50A2486B" w14:textId="77777777" w:rsidR="00D33DB8" w:rsidRDefault="00D33DB8" w:rsidP="00D33DB8">
      <w:pPr>
        <w:pStyle w:val="a5"/>
      </w:pPr>
      <w:r>
        <w:rPr>
          <w:rStyle w:val="a7"/>
        </w:rPr>
        <w:footnoteRef/>
      </w:r>
      <w:r>
        <w:rPr>
          <w:rtl/>
        </w:rPr>
        <w:t xml:space="preserve"> </w:t>
      </w:r>
      <w:r>
        <w:rPr>
          <w:rFonts w:cs="Arial" w:hint="cs"/>
          <w:rtl/>
        </w:rPr>
        <w:t>ו</w:t>
      </w:r>
      <w:r>
        <w:rPr>
          <w:rFonts w:cs="Arial"/>
          <w:rtl/>
        </w:rPr>
        <w:t>ליכא למימר דלכתחלה אין כותבין אבל דיעבד כשר</w:t>
      </w:r>
      <w:r>
        <w:rPr>
          <w:rFonts w:cs="Arial" w:hint="cs"/>
          <w:rtl/>
        </w:rPr>
        <w:t>,</w:t>
      </w:r>
      <w:r>
        <w:rPr>
          <w:rFonts w:cs="Arial"/>
          <w:rtl/>
        </w:rPr>
        <w:t xml:space="preserve"> דהא כיון דפיסולא דאורייתא הוא אפילו דיעבד אית לן למיפסליה</w:t>
      </w:r>
      <w:r>
        <w:rPr>
          <w:rFonts w:cs="Arial" w:hint="cs"/>
          <w:rtl/>
        </w:rPr>
        <w:t>,</w:t>
      </w:r>
      <w:r w:rsidRPr="00657630">
        <w:rPr>
          <w:rFonts w:cs="Arial"/>
          <w:rtl/>
        </w:rPr>
        <w:t xml:space="preserve"> </w:t>
      </w:r>
      <w:r>
        <w:rPr>
          <w:rFonts w:cs="Arial"/>
          <w:rtl/>
        </w:rPr>
        <w:t>ר"ן (י: ד"ה גמ').</w:t>
      </w:r>
    </w:p>
  </w:footnote>
  <w:footnote w:id="457">
    <w:p w14:paraId="16B37BF6" w14:textId="73E2812A" w:rsidR="002B2814" w:rsidRDefault="002B2814">
      <w:pPr>
        <w:pStyle w:val="a5"/>
      </w:pPr>
      <w:r>
        <w:rPr>
          <w:rStyle w:val="a7"/>
        </w:rPr>
        <w:footnoteRef/>
      </w:r>
      <w:r>
        <w:rPr>
          <w:rtl/>
        </w:rPr>
        <w:t xml:space="preserve"> </w:t>
      </w:r>
      <w:r>
        <w:rPr>
          <w:rFonts w:cs="Arial"/>
          <w:rtl/>
        </w:rPr>
        <w:t>וכבר כתבתי בסימן זה (יב. ד"ה וכותבין) דפיסולא דמחוסר קציצה הוי דאורייתא</w:t>
      </w:r>
      <w:r>
        <w:rPr>
          <w:rFonts w:cs="Arial" w:hint="cs"/>
          <w:rtl/>
        </w:rPr>
        <w:t>,</w:t>
      </w:r>
      <w:r>
        <w:rPr>
          <w:rFonts w:cs="Arial"/>
          <w:rtl/>
        </w:rPr>
        <w:t xml:space="preserve"> וכמו שכתבו הרמב"ם והר"ן</w:t>
      </w:r>
      <w:r>
        <w:rPr>
          <w:rFonts w:cs="Arial" w:hint="cs"/>
          <w:rtl/>
        </w:rPr>
        <w:t>.</w:t>
      </w:r>
      <w:r>
        <w:rPr>
          <w:rFonts w:cs="Arial"/>
          <w:rtl/>
        </w:rPr>
        <w:t xml:space="preserve"> הילכך כל שכתב התורף במחובר </w:t>
      </w:r>
      <w:r>
        <w:rPr>
          <w:rFonts w:cs="Arial" w:hint="cs"/>
          <w:rtl/>
        </w:rPr>
        <w:t xml:space="preserve">- </w:t>
      </w:r>
      <w:r>
        <w:rPr>
          <w:rFonts w:cs="Arial"/>
          <w:rtl/>
        </w:rPr>
        <w:t>הגט בטל</w:t>
      </w:r>
      <w:r>
        <w:rPr>
          <w:rFonts w:cs="Arial" w:hint="cs"/>
          <w:rtl/>
        </w:rPr>
        <w:t>.</w:t>
      </w:r>
      <w:r>
        <w:rPr>
          <w:rFonts w:cs="Arial"/>
          <w:rtl/>
        </w:rPr>
        <w:t xml:space="preserve"> מיהו היכא שכתב הזמן לבדו במחובר אפשר דאינו בטל</w:t>
      </w:r>
      <w:r>
        <w:rPr>
          <w:rFonts w:cs="Arial" w:hint="cs"/>
          <w:rtl/>
        </w:rPr>
        <w:t>,</w:t>
      </w:r>
      <w:r>
        <w:rPr>
          <w:rFonts w:cs="Arial"/>
          <w:rtl/>
        </w:rPr>
        <w:t xml:space="preserve"> כיון דזמן בגט לא הוי דאורייתא</w:t>
      </w:r>
      <w:r>
        <w:rPr>
          <w:rFonts w:cs="Arial" w:hint="cs"/>
          <w:rtl/>
        </w:rPr>
        <w:t>.</w:t>
      </w:r>
      <w:r>
        <w:rPr>
          <w:rFonts w:cs="Arial"/>
          <w:rtl/>
        </w:rPr>
        <w:t xml:space="preserve"> ואפשר דאלמוהו כאילו הוי דאורייתא כדאשכחן במוקדם דבטל כמו שכתבתי בסימן קכ"ז (יט: ד"ה וכתב)</w:t>
      </w:r>
      <w:r>
        <w:rPr>
          <w:rFonts w:cs="Arial" w:hint="cs"/>
          <w:rtl/>
        </w:rPr>
        <w:t>.</w:t>
      </w:r>
      <w:r>
        <w:rPr>
          <w:rFonts w:cs="Arial"/>
          <w:rtl/>
        </w:rPr>
        <w:t xml:space="preserve"> וכבר כתבתי כיוצא בזה בסימן קכ"ג (יא. ד"ה ותורף)</w:t>
      </w:r>
      <w:r>
        <w:rPr>
          <w:rFonts w:cs="Arial" w:hint="cs"/>
          <w:rtl/>
        </w:rPr>
        <w:t>, ב"י.</w:t>
      </w:r>
    </w:p>
  </w:footnote>
  <w:footnote w:id="458">
    <w:p w14:paraId="2D4D7F39" w14:textId="050F49AF" w:rsidR="00ED224B" w:rsidRDefault="00ED224B">
      <w:pPr>
        <w:pStyle w:val="a5"/>
        <w:rPr>
          <w:rtl/>
        </w:rPr>
      </w:pPr>
      <w:r>
        <w:rPr>
          <w:rStyle w:val="a7"/>
        </w:rPr>
        <w:footnoteRef/>
      </w:r>
      <w:r>
        <w:rPr>
          <w:rtl/>
        </w:rPr>
        <w:t xml:space="preserve"> </w:t>
      </w:r>
      <w:r>
        <w:rPr>
          <w:rFonts w:hint="cs"/>
          <w:rtl/>
        </w:rPr>
        <w:t>ולא נהירא, טור.</w:t>
      </w:r>
      <w:r w:rsidR="002B2814" w:rsidRPr="002B2814">
        <w:rPr>
          <w:rFonts w:cs="Arial"/>
          <w:rtl/>
        </w:rPr>
        <w:t xml:space="preserve"> </w:t>
      </w:r>
      <w:r w:rsidR="002B2814">
        <w:rPr>
          <w:rFonts w:cs="Arial"/>
          <w:rtl/>
        </w:rPr>
        <w:t xml:space="preserve">ונראה לי דטעמיה </w:t>
      </w:r>
      <w:r w:rsidR="002B2814">
        <w:rPr>
          <w:rFonts w:cs="Arial" w:hint="cs"/>
          <w:sz w:val="16"/>
          <w:szCs w:val="16"/>
          <w:rtl/>
        </w:rPr>
        <w:t xml:space="preserve">{דהרמ"ה} </w:t>
      </w:r>
      <w:r w:rsidR="002B2814">
        <w:rPr>
          <w:rFonts w:cs="Arial"/>
          <w:rtl/>
        </w:rPr>
        <w:t>משום דסבירא ליה בסופר הכותב טופסי גיטין בלא רשות הבעל דגזרינן טופס אטו תורף (גיטין כו.)</w:t>
      </w:r>
      <w:r w:rsidR="002B2814">
        <w:rPr>
          <w:rFonts w:cs="Arial" w:hint="cs"/>
          <w:rtl/>
        </w:rPr>
        <w:t>,</w:t>
      </w:r>
      <w:r w:rsidR="002B2814">
        <w:rPr>
          <w:rFonts w:cs="Arial"/>
          <w:rtl/>
        </w:rPr>
        <w:t xml:space="preserve"> והוא הדין נמי דגזרינן הכא. והעיטור </w:t>
      </w:r>
      <w:r w:rsidR="002B2814">
        <w:rPr>
          <w:rFonts w:cs="Arial" w:hint="cs"/>
          <w:rtl/>
        </w:rPr>
        <w:t>(</w:t>
      </w:r>
      <w:r w:rsidR="002B2814">
        <w:rPr>
          <w:rFonts w:cs="Arial"/>
          <w:rtl/>
        </w:rPr>
        <w:t>מאמ</w:t>
      </w:r>
      <w:r w:rsidR="002B2814">
        <w:rPr>
          <w:rFonts w:cs="Arial" w:hint="cs"/>
          <w:rtl/>
        </w:rPr>
        <w:t xml:space="preserve">ר </w:t>
      </w:r>
      <w:r w:rsidR="002B2814">
        <w:rPr>
          <w:rFonts w:cs="Arial"/>
          <w:rtl/>
        </w:rPr>
        <w:t>ז ח"א כז ע"א) גבי כתבו חרש שוטה וקטן חילק ביניהם</w:t>
      </w:r>
      <w:r w:rsidR="002B2814">
        <w:rPr>
          <w:rFonts w:cs="Arial" w:hint="cs"/>
          <w:rtl/>
        </w:rPr>
        <w:t>,</w:t>
      </w:r>
      <w:r w:rsidR="002B2814">
        <w:rPr>
          <w:rFonts w:cs="Arial"/>
          <w:rtl/>
        </w:rPr>
        <w:t xml:space="preserve"> וגם הר"ן (שם) אהא דכתבו לטופס במחובר חילק ביניהם</w:t>
      </w:r>
      <w:r w:rsidR="002B2814">
        <w:rPr>
          <w:rFonts w:cs="Arial" w:hint="cs"/>
          <w:rtl/>
        </w:rPr>
        <w:t>,</w:t>
      </w:r>
      <w:r w:rsidR="002B2814">
        <w:rPr>
          <w:rFonts w:cs="Arial"/>
          <w:rtl/>
        </w:rPr>
        <w:t xml:space="preserve"> דגבי סופרים שהיא מילתא דשכיחא שעושין כן כדי להשתכר</w:t>
      </w:r>
      <w:r w:rsidR="002B2814">
        <w:rPr>
          <w:rFonts w:cs="Arial" w:hint="cs"/>
          <w:rtl/>
        </w:rPr>
        <w:t>,</w:t>
      </w:r>
      <w:r w:rsidR="002B2814">
        <w:rPr>
          <w:rFonts w:cs="Arial"/>
          <w:rtl/>
        </w:rPr>
        <w:t xml:space="preserve"> גזור אפילו בדיעבד</w:t>
      </w:r>
      <w:r w:rsidR="002B2814">
        <w:rPr>
          <w:rFonts w:cs="Arial" w:hint="cs"/>
          <w:rtl/>
        </w:rPr>
        <w:t>.</w:t>
      </w:r>
      <w:r w:rsidR="002B2814">
        <w:rPr>
          <w:rFonts w:cs="Arial"/>
          <w:rtl/>
        </w:rPr>
        <w:t xml:space="preserve"> גבי מחובר דלא שכיח כולי האי</w:t>
      </w:r>
      <w:r w:rsidR="002B2814">
        <w:rPr>
          <w:rFonts w:cs="Arial" w:hint="cs"/>
          <w:rtl/>
        </w:rPr>
        <w:t>,</w:t>
      </w:r>
      <w:r w:rsidR="002B2814">
        <w:rPr>
          <w:rFonts w:cs="Arial"/>
          <w:rtl/>
        </w:rPr>
        <w:t xml:space="preserve"> לא גזור</w:t>
      </w:r>
      <w:r w:rsidR="002B2814">
        <w:rPr>
          <w:rFonts w:cs="Arial" w:hint="cs"/>
          <w:rtl/>
        </w:rPr>
        <w:t>, ב"י.</w:t>
      </w:r>
    </w:p>
  </w:footnote>
  <w:footnote w:id="459">
    <w:p w14:paraId="556CD423" w14:textId="77777777" w:rsidR="00BD0F91" w:rsidRDefault="00BD0F91" w:rsidP="00BD0F91">
      <w:pPr>
        <w:pStyle w:val="a5"/>
      </w:pPr>
      <w:r>
        <w:rPr>
          <w:rStyle w:val="a7"/>
        </w:rPr>
        <w:footnoteRef/>
      </w:r>
      <w:r>
        <w:rPr>
          <w:rtl/>
        </w:rPr>
        <w:t xml:space="preserve"> </w:t>
      </w:r>
      <w:r>
        <w:rPr>
          <w:rFonts w:cs="Arial"/>
          <w:rtl/>
        </w:rPr>
        <w:t>בענין מה שכתב דתלוש ולבסוף חיברו חשוב כמחובר לענין גט</w:t>
      </w:r>
      <w:r>
        <w:rPr>
          <w:rFonts w:cs="Arial" w:hint="cs"/>
          <w:rtl/>
        </w:rPr>
        <w:t>,</w:t>
      </w:r>
      <w:r>
        <w:rPr>
          <w:rFonts w:cs="Arial"/>
          <w:rtl/>
        </w:rPr>
        <w:t xml:space="preserve"> מדסתם דבריו משמע לכאורה דאפילו לא ביטלו חשוב מחובר</w:t>
      </w:r>
      <w:r>
        <w:rPr>
          <w:rFonts w:cs="Arial" w:hint="cs"/>
          <w:rtl/>
        </w:rPr>
        <w:t>,</w:t>
      </w:r>
      <w:r>
        <w:rPr>
          <w:rFonts w:cs="Arial"/>
          <w:rtl/>
        </w:rPr>
        <w:t xml:space="preserve"> דהא מחוסר מעשה הוא</w:t>
      </w:r>
      <w:r>
        <w:rPr>
          <w:rFonts w:cs="Arial" w:hint="cs"/>
          <w:rtl/>
        </w:rPr>
        <w:t>.</w:t>
      </w:r>
      <w:r>
        <w:rPr>
          <w:rFonts w:cs="Arial"/>
          <w:rtl/>
        </w:rPr>
        <w:t xml:space="preserve"> ולא נהירא</w:t>
      </w:r>
      <w:r>
        <w:rPr>
          <w:rFonts w:cs="Arial" w:hint="cs"/>
          <w:rtl/>
        </w:rPr>
        <w:t>,</w:t>
      </w:r>
      <w:r>
        <w:rPr>
          <w:rFonts w:cs="Arial"/>
          <w:rtl/>
        </w:rPr>
        <w:t xml:space="preserve"> דכל שלא ביטלו הוה ליה כאילו לא חיברו</w:t>
      </w:r>
      <w:r>
        <w:rPr>
          <w:rFonts w:cs="Arial" w:hint="cs"/>
          <w:rtl/>
        </w:rPr>
        <w:t>,</w:t>
      </w:r>
      <w:r>
        <w:rPr>
          <w:rFonts w:cs="Arial"/>
          <w:rtl/>
        </w:rPr>
        <w:t xml:space="preserve"> וכשקוצע אינו אלא כנוטלו מעל השלחן</w:t>
      </w:r>
      <w:r>
        <w:rPr>
          <w:rFonts w:cs="Arial" w:hint="cs"/>
          <w:rtl/>
        </w:rPr>
        <w:t>.</w:t>
      </w:r>
      <w:r>
        <w:rPr>
          <w:rFonts w:cs="Arial"/>
          <w:rtl/>
        </w:rPr>
        <w:t xml:space="preserve"> דהא עד כאן לא איבעיא לן בפ</w:t>
      </w:r>
      <w:r>
        <w:rPr>
          <w:rFonts w:cs="Arial" w:hint="cs"/>
          <w:rtl/>
        </w:rPr>
        <w:t>"</w:t>
      </w:r>
      <w:r>
        <w:rPr>
          <w:rFonts w:cs="Arial"/>
          <w:rtl/>
        </w:rPr>
        <w:t>ק דחולין (טו:) תלוש ולבסוף חיברו אי הוי כמחובר אלא בביטלו</w:t>
      </w:r>
      <w:r>
        <w:rPr>
          <w:rFonts w:cs="Arial" w:hint="cs"/>
          <w:rtl/>
        </w:rPr>
        <w:t>,</w:t>
      </w:r>
      <w:r>
        <w:rPr>
          <w:rFonts w:cs="Arial"/>
          <w:rtl/>
        </w:rPr>
        <w:t xml:space="preserve"> אבל בלא ביטלו פשיטא דכתלוש דמי</w:t>
      </w:r>
      <w:r>
        <w:rPr>
          <w:rFonts w:cs="Arial" w:hint="cs"/>
          <w:rtl/>
        </w:rPr>
        <w:t>.</w:t>
      </w:r>
      <w:r>
        <w:rPr>
          <w:rFonts w:cs="Arial"/>
          <w:rtl/>
        </w:rPr>
        <w:t xml:space="preserve"> </w:t>
      </w:r>
      <w:r w:rsidRPr="00503BC0">
        <w:rPr>
          <w:rFonts w:cs="Arial"/>
          <w:rtl/>
        </w:rPr>
        <w:t>וכן כתב ר</w:t>
      </w:r>
      <w:r w:rsidRPr="00503BC0">
        <w:rPr>
          <w:rFonts w:cs="Arial" w:hint="cs"/>
          <w:rtl/>
        </w:rPr>
        <w:t>י"ו</w:t>
      </w:r>
      <w:r w:rsidRPr="00503BC0">
        <w:rPr>
          <w:rFonts w:cs="Arial"/>
          <w:rtl/>
        </w:rPr>
        <w:t xml:space="preserve"> </w:t>
      </w:r>
      <w:r w:rsidRPr="00503BC0">
        <w:rPr>
          <w:rFonts w:cs="Arial" w:hint="cs"/>
          <w:rtl/>
        </w:rPr>
        <w:t>(</w:t>
      </w:r>
      <w:r w:rsidRPr="00503BC0">
        <w:rPr>
          <w:rFonts w:cs="Arial"/>
          <w:rtl/>
        </w:rPr>
        <w:t>ח</w:t>
      </w:r>
      <w:r w:rsidRPr="00503BC0">
        <w:rPr>
          <w:rFonts w:cs="Arial" w:hint="cs"/>
          <w:rtl/>
        </w:rPr>
        <w:t>"</w:t>
      </w:r>
      <w:r w:rsidRPr="00503BC0">
        <w:rPr>
          <w:rFonts w:cs="Arial"/>
          <w:rtl/>
        </w:rPr>
        <w:t>ב דנכ"ד רד.) בשם המפרשים שאם כתבו בתלוש וחיברו וביטלו וחתמו במחובר שדינו כמחובר</w:t>
      </w:r>
      <w:r w:rsidRPr="00503BC0">
        <w:rPr>
          <w:rFonts w:cs="Arial" w:hint="cs"/>
          <w:rtl/>
        </w:rPr>
        <w:t>,</w:t>
      </w:r>
      <w:r w:rsidRPr="00503BC0">
        <w:rPr>
          <w:rFonts w:cs="Arial"/>
          <w:rtl/>
        </w:rPr>
        <w:t xml:space="preserve"> וכ"כ הרשב"א ז"ל (כא: ד"ה רבי יהודה)</w:t>
      </w:r>
      <w:r w:rsidRPr="00503BC0">
        <w:rPr>
          <w:rFonts w:cs="Arial" w:hint="cs"/>
          <w:rtl/>
        </w:rPr>
        <w:t xml:space="preserve"> -</w:t>
      </w:r>
      <w:r w:rsidRPr="00503BC0">
        <w:rPr>
          <w:rFonts w:cs="Arial"/>
          <w:rtl/>
        </w:rPr>
        <w:t xml:space="preserve"> משמע הא לא ביטלו לא. ומיהו אי אשרוש עד שצריך קציצה</w:t>
      </w:r>
      <w:r w:rsidRPr="00503BC0">
        <w:rPr>
          <w:rFonts w:cs="Arial" w:hint="cs"/>
          <w:rtl/>
        </w:rPr>
        <w:t>,</w:t>
      </w:r>
      <w:r w:rsidRPr="00503BC0">
        <w:rPr>
          <w:rFonts w:cs="Arial"/>
          <w:rtl/>
        </w:rPr>
        <w:t xml:space="preserve"> אפילו לא ביטלו פסול</w:t>
      </w:r>
      <w:r w:rsidRPr="00503BC0">
        <w:rPr>
          <w:rFonts w:cs="Arial" w:hint="cs"/>
          <w:rtl/>
        </w:rPr>
        <w:t>.</w:t>
      </w:r>
      <w:r w:rsidRPr="00503BC0">
        <w:rPr>
          <w:rFonts w:cs="Arial"/>
          <w:rtl/>
        </w:rPr>
        <w:t xml:space="preserve"> וכן נראה מדברי העיטור שכתב </w:t>
      </w:r>
      <w:r w:rsidRPr="00503BC0">
        <w:rPr>
          <w:rFonts w:cs="Arial" w:hint="cs"/>
          <w:rtl/>
        </w:rPr>
        <w:t>(</w:t>
      </w:r>
      <w:r w:rsidRPr="00503BC0">
        <w:rPr>
          <w:rFonts w:cs="Arial"/>
          <w:rtl/>
        </w:rPr>
        <w:t>מאמר ז כו ע"א) דתלוש ולבסוף חיברו חשוב כמחובר לענין גט הואיל ומחוסר קציצה</w:t>
      </w:r>
      <w:r>
        <w:rPr>
          <w:rFonts w:cs="Arial" w:hint="cs"/>
          <w:rtl/>
        </w:rPr>
        <w:t>, ב"י.</w:t>
      </w:r>
    </w:p>
  </w:footnote>
  <w:footnote w:id="460">
    <w:p w14:paraId="2B44E832" w14:textId="728DD11E" w:rsidR="00BD0F91" w:rsidRDefault="00BD0F91">
      <w:pPr>
        <w:pStyle w:val="a5"/>
      </w:pPr>
      <w:r>
        <w:rPr>
          <w:rStyle w:val="a7"/>
        </w:rPr>
        <w:footnoteRef/>
      </w:r>
      <w:r>
        <w:rPr>
          <w:rtl/>
        </w:rPr>
        <w:t xml:space="preserve"> </w:t>
      </w:r>
      <w:r>
        <w:rPr>
          <w:rFonts w:cs="Arial"/>
          <w:rtl/>
        </w:rPr>
        <w:t>חלוק עליו הרשב"א (שם)</w:t>
      </w:r>
      <w:r>
        <w:rPr>
          <w:rFonts w:cs="Arial" w:hint="cs"/>
          <w:rtl/>
        </w:rPr>
        <w:t>,</w:t>
      </w:r>
      <w:r>
        <w:rPr>
          <w:rFonts w:cs="Arial"/>
          <w:rtl/>
        </w:rPr>
        <w:t xml:space="preserve"> שהוא כתב אמתניתין דכי כתיב </w:t>
      </w:r>
      <w:r>
        <w:rPr>
          <w:rFonts w:cs="Arial" w:hint="cs"/>
          <w:rtl/>
        </w:rPr>
        <w:t>'</w:t>
      </w:r>
      <w:r>
        <w:rPr>
          <w:rFonts w:cs="Arial"/>
          <w:rtl/>
        </w:rPr>
        <w:t>וכתב ונתן</w:t>
      </w:r>
      <w:r>
        <w:rPr>
          <w:rFonts w:cs="Arial" w:hint="cs"/>
          <w:rtl/>
        </w:rPr>
        <w:t>'</w:t>
      </w:r>
      <w:r>
        <w:rPr>
          <w:rFonts w:cs="Arial"/>
          <w:rtl/>
        </w:rPr>
        <w:t xml:space="preserve"> דמיניה דרשינן יצא זה שמחוסר כתיבה קציצה ונתינה</w:t>
      </w:r>
      <w:r>
        <w:rPr>
          <w:rFonts w:cs="Arial" w:hint="cs"/>
          <w:rtl/>
        </w:rPr>
        <w:t xml:space="preserve"> -</w:t>
      </w:r>
      <w:r>
        <w:rPr>
          <w:rFonts w:cs="Arial"/>
          <w:rtl/>
        </w:rPr>
        <w:t xml:space="preserve"> אשעת כתיבה הוא דכתיב</w:t>
      </w:r>
      <w:r>
        <w:rPr>
          <w:rFonts w:cs="Arial" w:hint="cs"/>
          <w:rtl/>
        </w:rPr>
        <w:t>.</w:t>
      </w:r>
      <w:r>
        <w:rPr>
          <w:rFonts w:cs="Arial"/>
          <w:rtl/>
        </w:rPr>
        <w:t xml:space="preserve"> כלומר כשיכתוב לא יהא מחוסר אלא כתיבה ונתינה</w:t>
      </w:r>
      <w:r>
        <w:rPr>
          <w:rFonts w:cs="Arial" w:hint="cs"/>
          <w:rtl/>
        </w:rPr>
        <w:t>,</w:t>
      </w:r>
      <w:r>
        <w:rPr>
          <w:rFonts w:cs="Arial"/>
          <w:rtl/>
        </w:rPr>
        <w:t xml:space="preserve"> אבל מחוסר קציצה כתיבה ונתינה בשעת כתיבה לא</w:t>
      </w:r>
      <w:r>
        <w:rPr>
          <w:rFonts w:cs="Arial" w:hint="cs"/>
          <w:rtl/>
        </w:rPr>
        <w:t>.</w:t>
      </w:r>
      <w:r>
        <w:rPr>
          <w:rFonts w:cs="Arial"/>
          <w:rtl/>
        </w:rPr>
        <w:t xml:space="preserve"> והילכך אם כתב טופס ותורף בתלוש ואח"כ חיברו וביטלו ותלשו ונתנו לה כשר</w:t>
      </w:r>
      <w:r>
        <w:rPr>
          <w:rFonts w:cs="Arial" w:hint="cs"/>
          <w:rtl/>
        </w:rPr>
        <w:t>.</w:t>
      </w:r>
      <w:r>
        <w:rPr>
          <w:rFonts w:cs="Arial"/>
          <w:rtl/>
        </w:rPr>
        <w:t xml:space="preserve"> ולפי דברי הרשב"א נראה דאפילו אשרוש נמי</w:t>
      </w:r>
      <w:r>
        <w:rPr>
          <w:rFonts w:cs="Arial" w:hint="cs"/>
          <w:rtl/>
        </w:rPr>
        <w:t>,</w:t>
      </w:r>
      <w:r>
        <w:rPr>
          <w:rFonts w:cs="Arial"/>
          <w:rtl/>
        </w:rPr>
        <w:t xml:space="preserve"> כיון דכתיבת טופס ותורף היה בתלוש כשר</w:t>
      </w:r>
      <w:r>
        <w:rPr>
          <w:rFonts w:cs="Arial" w:hint="cs"/>
          <w:rtl/>
        </w:rPr>
        <w:t>.</w:t>
      </w:r>
      <w:r>
        <w:rPr>
          <w:rFonts w:cs="Arial"/>
          <w:rtl/>
        </w:rPr>
        <w:t xml:space="preserve"> וכתב מיהו בירושלמי (פ"ב ה"ד יג.) איבעיא להו</w:t>
      </w:r>
      <w:r>
        <w:rPr>
          <w:rFonts w:cs="Arial" w:hint="cs"/>
          <w:rtl/>
        </w:rPr>
        <w:t>,</w:t>
      </w:r>
      <w:r>
        <w:rPr>
          <w:rFonts w:cs="Arial"/>
          <w:rtl/>
        </w:rPr>
        <w:t xml:space="preserve"> ומכל מקום מדלא איבעיא להו לבעלי גמרא דידן משמע דמתניתין הוה שמיע להו כמו שפירשתי עכ"ל</w:t>
      </w:r>
      <w:r>
        <w:rPr>
          <w:rFonts w:cs="Arial" w:hint="cs"/>
          <w:rtl/>
        </w:rPr>
        <w:t>, ב"י</w:t>
      </w:r>
    </w:p>
  </w:footnote>
  <w:footnote w:id="461">
    <w:p w14:paraId="3EE0E75C" w14:textId="1D24B1A2" w:rsidR="00B13C7E" w:rsidRDefault="00B13C7E">
      <w:pPr>
        <w:pStyle w:val="a5"/>
        <w:rPr>
          <w:rtl/>
        </w:rPr>
      </w:pPr>
      <w:r>
        <w:rPr>
          <w:rStyle w:val="a7"/>
        </w:rPr>
        <w:footnoteRef/>
      </w:r>
      <w:r>
        <w:rPr>
          <w:rtl/>
        </w:rPr>
        <w:t xml:space="preserve"> </w:t>
      </w:r>
      <w:r w:rsidRPr="00B13C7E">
        <w:rPr>
          <w:rFonts w:cs="Arial"/>
          <w:rtl/>
        </w:rPr>
        <w:t>לכוליה עציץ ואין כאן מחוסר קציצה</w:t>
      </w:r>
      <w:r>
        <w:rPr>
          <w:rFonts w:cs="Arial" w:hint="cs"/>
          <w:rtl/>
        </w:rPr>
        <w:t>.</w:t>
      </w:r>
      <w:r w:rsidRPr="00B13C7E">
        <w:rPr>
          <w:rFonts w:cs="Arial"/>
          <w:rtl/>
        </w:rPr>
        <w:t xml:space="preserve"> ואין לחוש שמא ישבר החרס ויתן לה החתיכה והויא ליה קציצה</w:t>
      </w:r>
      <w:r>
        <w:rPr>
          <w:rFonts w:cs="Arial" w:hint="cs"/>
          <w:rtl/>
        </w:rPr>
        <w:t>,</w:t>
      </w:r>
      <w:r w:rsidRPr="00B13C7E">
        <w:rPr>
          <w:rFonts w:cs="Arial"/>
          <w:rtl/>
        </w:rPr>
        <w:t xml:space="preserve"> דלא מפסיד ליה לעציץ</w:t>
      </w:r>
      <w:r>
        <w:rPr>
          <w:rFonts w:cs="Arial" w:hint="cs"/>
          <w:rtl/>
        </w:rPr>
        <w:t>, רש"י.</w:t>
      </w:r>
      <w:r w:rsidRPr="00B13C7E">
        <w:rPr>
          <w:rFonts w:cs="Arial"/>
          <w:rtl/>
        </w:rPr>
        <w:t xml:space="preserve"> </w:t>
      </w:r>
      <w:r>
        <w:rPr>
          <w:rFonts w:cs="Arial"/>
          <w:rtl/>
        </w:rPr>
        <w:t>ונראה לי דלרבותא נקט נקוב דאע"ג דחשיב כמחובר כשר וכל שכן כתבו על חרס של עציץ שאינו נקוב דכשר</w:t>
      </w:r>
      <w:r>
        <w:rPr>
          <w:rFonts w:hint="cs"/>
          <w:rtl/>
        </w:rPr>
        <w:t>, ב"י.</w:t>
      </w:r>
    </w:p>
  </w:footnote>
  <w:footnote w:id="462">
    <w:p w14:paraId="311E8B3B" w14:textId="0D798260" w:rsidR="0051678E" w:rsidRDefault="0051678E">
      <w:pPr>
        <w:pStyle w:val="a5"/>
      </w:pPr>
      <w:r>
        <w:rPr>
          <w:rStyle w:val="a7"/>
        </w:rPr>
        <w:footnoteRef/>
      </w:r>
      <w:r>
        <w:rPr>
          <w:rtl/>
        </w:rPr>
        <w:t xml:space="preserve"> </w:t>
      </w:r>
      <w:r>
        <w:rPr>
          <w:rFonts w:cs="Arial"/>
          <w:rtl/>
        </w:rPr>
        <w:t>כבר נתבאר בסמוך (</w:t>
      </w:r>
      <w:r>
        <w:rPr>
          <w:rFonts w:cs="Arial" w:hint="cs"/>
          <w:rtl/>
        </w:rPr>
        <w:t>סעיף ב</w:t>
      </w:r>
      <w:r>
        <w:rPr>
          <w:rFonts w:cs="Arial"/>
          <w:rtl/>
        </w:rPr>
        <w:t>) דכשכתוב הגט על דבר המזדייף צריך שיבואו עדי מסירה ויעידו שלא היה בו שום תנאי כשקראוהו בשעה שנמסר בפניהם</w:t>
      </w:r>
      <w:r>
        <w:rPr>
          <w:rFonts w:cs="Arial" w:hint="cs"/>
          <w:rtl/>
        </w:rPr>
        <w:t>,</w:t>
      </w:r>
      <w:r>
        <w:rPr>
          <w:rFonts w:cs="Arial"/>
          <w:rtl/>
        </w:rPr>
        <w:t xml:space="preserve"> ושאם לא באו עדי מסירה ובאו עדי חתימה והעידו שלא היה בו תנאי </w:t>
      </w:r>
      <w:r>
        <w:rPr>
          <w:rFonts w:cs="Arial" w:hint="cs"/>
          <w:rtl/>
        </w:rPr>
        <w:t xml:space="preserve">- </w:t>
      </w:r>
      <w:r>
        <w:rPr>
          <w:rFonts w:cs="Arial"/>
          <w:rtl/>
        </w:rPr>
        <w:t>פסול</w:t>
      </w:r>
      <w:r>
        <w:rPr>
          <w:rFonts w:cs="Arial" w:hint="cs"/>
          <w:rtl/>
        </w:rPr>
        <w:t>, ב"י.</w:t>
      </w:r>
    </w:p>
  </w:footnote>
  <w:footnote w:id="463">
    <w:p w14:paraId="67D8CC07" w14:textId="011533A2" w:rsidR="001E4FBC" w:rsidRDefault="001E4FBC">
      <w:pPr>
        <w:pStyle w:val="a5"/>
        <w:rPr>
          <w:rtl/>
        </w:rPr>
      </w:pPr>
      <w:r>
        <w:rPr>
          <w:rStyle w:val="a7"/>
        </w:rPr>
        <w:footnoteRef/>
      </w:r>
      <w:r>
        <w:rPr>
          <w:rtl/>
        </w:rPr>
        <w:t xml:space="preserve"> </w:t>
      </w:r>
      <w:r w:rsidRPr="00D16C0D">
        <w:rPr>
          <w:rFonts w:cs="Arial"/>
          <w:rtl/>
        </w:rPr>
        <w:t>ולפי דעתו כי אמר רבא פסול היינו פסול ליתנו לה לכתחלה</w:t>
      </w:r>
      <w:r>
        <w:rPr>
          <w:rFonts w:cs="Arial" w:hint="cs"/>
          <w:rtl/>
        </w:rPr>
        <w:t>,</w:t>
      </w:r>
      <w:r w:rsidRPr="00D16C0D">
        <w:rPr>
          <w:rFonts w:cs="Arial"/>
          <w:rtl/>
        </w:rPr>
        <w:t xml:space="preserve"> אבל אם נתנו לה מגורשת</w:t>
      </w:r>
      <w:r>
        <w:rPr>
          <w:rFonts w:cs="Arial" w:hint="cs"/>
          <w:rtl/>
        </w:rPr>
        <w:t>.</w:t>
      </w:r>
      <w:r w:rsidRPr="00D16C0D">
        <w:rPr>
          <w:rFonts w:cs="Arial"/>
          <w:rtl/>
        </w:rPr>
        <w:t xml:space="preserve"> ואין זה פשט לשון פסול</w:t>
      </w:r>
      <w:r>
        <w:rPr>
          <w:rFonts w:cs="Arial" w:hint="cs"/>
          <w:rtl/>
        </w:rPr>
        <w:t>,</w:t>
      </w:r>
      <w:r w:rsidRPr="00D16C0D">
        <w:rPr>
          <w:rFonts w:cs="Arial"/>
          <w:rtl/>
        </w:rPr>
        <w:t xml:space="preserve"> וגם הפוסקים לא חילקו בין פסול זה לשאר פסולי דרבנן</w:t>
      </w:r>
      <w:r>
        <w:rPr>
          <w:rFonts w:cs="Arial" w:hint="cs"/>
          <w:rtl/>
        </w:rPr>
        <w:t>,</w:t>
      </w:r>
      <w:r w:rsidRPr="001E4FBC">
        <w:rPr>
          <w:rFonts w:cs="Arial"/>
          <w:rtl/>
        </w:rPr>
        <w:t xml:space="preserve"> </w:t>
      </w:r>
      <w:r w:rsidRPr="00D16C0D">
        <w:rPr>
          <w:rFonts w:cs="Arial"/>
          <w:rtl/>
        </w:rPr>
        <w:t xml:space="preserve">והרמב"ם כתב בפירוש </w:t>
      </w:r>
      <w:r>
        <w:rPr>
          <w:rFonts w:cs="Arial" w:hint="cs"/>
          <w:rtl/>
        </w:rPr>
        <w:t>(</w:t>
      </w:r>
      <w:r w:rsidRPr="00D16C0D">
        <w:rPr>
          <w:rFonts w:cs="Arial"/>
          <w:rtl/>
        </w:rPr>
        <w:t>פ</w:t>
      </w:r>
      <w:r>
        <w:rPr>
          <w:rFonts w:cs="Arial" w:hint="cs"/>
          <w:rtl/>
        </w:rPr>
        <w:t>"</w:t>
      </w:r>
      <w:r w:rsidRPr="00D16C0D">
        <w:rPr>
          <w:rFonts w:cs="Arial"/>
          <w:rtl/>
        </w:rPr>
        <w:t>א ה"ח) כתב כל הגט על עלה הזרוע בעציץ נקוב אע</w:t>
      </w:r>
      <w:r>
        <w:rPr>
          <w:rFonts w:cs="Arial" w:hint="cs"/>
          <w:rtl/>
        </w:rPr>
        <w:t>"</w:t>
      </w:r>
      <w:r w:rsidRPr="00D16C0D">
        <w:rPr>
          <w:rFonts w:cs="Arial"/>
          <w:rtl/>
        </w:rPr>
        <w:t>פ שנתן לה העציץ כולו הגט פסול גזירה שמא יקטום</w:t>
      </w:r>
      <w:r>
        <w:rPr>
          <w:rFonts w:hint="cs"/>
          <w:rtl/>
        </w:rPr>
        <w:t>, ב"י (בב"י ובבדה"ב).</w:t>
      </w:r>
    </w:p>
  </w:footnote>
  <w:footnote w:id="464">
    <w:p w14:paraId="411A3230" w14:textId="7FF18086" w:rsidR="004D19CA" w:rsidRDefault="004D19CA" w:rsidP="004D19CA">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D554CD">
        <w:rPr>
          <w:rFonts w:cs="Arial"/>
          <w:rtl/>
        </w:rPr>
        <w:t>איפליגו אביי ורבא כשכתבו על עלה של עציץ נקוב דרבא גזר שמא יקטום</w:t>
      </w:r>
      <w:r>
        <w:rPr>
          <w:rFonts w:cs="Arial" w:hint="cs"/>
          <w:rtl/>
        </w:rPr>
        <w:t>,</w:t>
      </w:r>
      <w:r w:rsidRPr="00D554CD">
        <w:rPr>
          <w:rFonts w:cs="Arial"/>
          <w:rtl/>
        </w:rPr>
        <w:t xml:space="preserve"> אבל כשאינו נקוב משמע אפי' יקטום כשר</w:t>
      </w:r>
      <w:r>
        <w:rPr>
          <w:rFonts w:cs="Arial" w:hint="cs"/>
          <w:rtl/>
        </w:rPr>
        <w:t>.</w:t>
      </w:r>
    </w:p>
  </w:footnote>
  <w:footnote w:id="465">
    <w:p w14:paraId="15BC64AC" w14:textId="1C908F0C" w:rsidR="00567FC4" w:rsidRDefault="00567FC4">
      <w:pPr>
        <w:pStyle w:val="a5"/>
      </w:pPr>
      <w:r>
        <w:rPr>
          <w:rStyle w:val="a7"/>
        </w:rPr>
        <w:footnoteRef/>
      </w:r>
      <w:r>
        <w:rPr>
          <w:rtl/>
        </w:rPr>
        <w:t xml:space="preserve"> </w:t>
      </w:r>
      <w:r>
        <w:rPr>
          <w:rFonts w:cs="Arial"/>
          <w:rtl/>
        </w:rPr>
        <w:t>כלומר אע</w:t>
      </w:r>
      <w:r>
        <w:rPr>
          <w:rFonts w:cs="Arial" w:hint="cs"/>
          <w:rtl/>
        </w:rPr>
        <w:t>"</w:t>
      </w:r>
      <w:r>
        <w:rPr>
          <w:rFonts w:cs="Arial"/>
          <w:rtl/>
        </w:rPr>
        <w:t>פ שלא קטם</w:t>
      </w:r>
      <w:r w:rsidR="000C19E9">
        <w:rPr>
          <w:rFonts w:cs="Arial" w:hint="cs"/>
          <w:rtl/>
        </w:rPr>
        <w:t>,</w:t>
      </w:r>
      <w:r>
        <w:rPr>
          <w:rFonts w:cs="Arial"/>
          <w:rtl/>
        </w:rPr>
        <w:t xml:space="preserve"> דגזרינן שמא יקטום</w:t>
      </w:r>
      <w:r>
        <w:rPr>
          <w:rFonts w:cs="Arial" w:hint="cs"/>
          <w:rtl/>
        </w:rPr>
        <w:t>, ב"י</w:t>
      </w:r>
      <w:r w:rsidR="000C19E9">
        <w:rPr>
          <w:rFonts w:cs="Arial" w:hint="cs"/>
          <w:rtl/>
        </w:rPr>
        <w:t xml:space="preserve"> בשם הטור</w:t>
      </w:r>
      <w:r>
        <w:rPr>
          <w:rFonts w:cs="Arial" w:hint="cs"/>
          <w:rtl/>
        </w:rPr>
        <w:t>.</w:t>
      </w:r>
      <w:r w:rsidR="000C19E9">
        <w:rPr>
          <w:rFonts w:cs="Arial" w:hint="cs"/>
          <w:rtl/>
        </w:rPr>
        <w:t xml:space="preserve"> </w:t>
      </w:r>
      <w:r w:rsidR="000C19E9">
        <w:rPr>
          <w:rFonts w:cs="Arial"/>
          <w:rtl/>
        </w:rPr>
        <w:t>ו</w:t>
      </w:r>
      <w:r w:rsidR="000C19E9">
        <w:rPr>
          <w:rFonts w:cs="Arial" w:hint="cs"/>
          <w:rtl/>
        </w:rPr>
        <w:t>כ"כ ה</w:t>
      </w:r>
      <w:r w:rsidR="000C19E9">
        <w:rPr>
          <w:rFonts w:cs="Arial"/>
          <w:rtl/>
        </w:rPr>
        <w:t>רשב"א (כא: ד"ה יצא)</w:t>
      </w:r>
      <w:r w:rsidR="000C19E9">
        <w:rPr>
          <w:rFonts w:cs="Arial" w:hint="cs"/>
          <w:rtl/>
        </w:rPr>
        <w:t xml:space="preserve"> בשם ר"ת. </w:t>
      </w:r>
      <w:r w:rsidR="000C19E9">
        <w:rPr>
          <w:rFonts w:cs="Arial"/>
          <w:rtl/>
        </w:rPr>
        <w:t xml:space="preserve">אבל </w:t>
      </w:r>
      <w:r w:rsidR="000C19E9">
        <w:rPr>
          <w:rFonts w:cs="Arial" w:hint="cs"/>
          <w:rtl/>
        </w:rPr>
        <w:t xml:space="preserve">אח"כ כתב </w:t>
      </w:r>
      <w:r w:rsidR="000C19E9">
        <w:rPr>
          <w:rFonts w:cs="Arial"/>
          <w:rtl/>
        </w:rPr>
        <w:t>הרשב"</w:t>
      </w:r>
      <w:r w:rsidR="000C19E9">
        <w:rPr>
          <w:rFonts w:cs="Arial" w:hint="cs"/>
          <w:rtl/>
        </w:rPr>
        <w:t>א</w:t>
      </w:r>
      <w:r w:rsidR="000C19E9">
        <w:rPr>
          <w:rFonts w:cs="Arial"/>
          <w:rtl/>
        </w:rPr>
        <w:t xml:space="preserve"> עוד</w:t>
      </w:r>
      <w:r w:rsidR="000C19E9">
        <w:rPr>
          <w:rFonts w:cs="Arial" w:hint="cs"/>
          <w:rtl/>
        </w:rPr>
        <w:t>-</w:t>
      </w:r>
      <w:r w:rsidR="000C19E9">
        <w:rPr>
          <w:rFonts w:cs="Arial"/>
          <w:rtl/>
        </w:rPr>
        <w:t xml:space="preserve"> אי נמי אפשר דרבא לא גזר אלא בעלה של עציץ נקוב דכיון דיניק שפיר אורחיה למיתלש מיניה</w:t>
      </w:r>
      <w:r w:rsidR="000C19E9">
        <w:rPr>
          <w:rFonts w:cs="Arial" w:hint="cs"/>
          <w:rtl/>
        </w:rPr>
        <w:t>,</w:t>
      </w:r>
      <w:r w:rsidR="000C19E9">
        <w:rPr>
          <w:rFonts w:cs="Arial"/>
          <w:rtl/>
        </w:rPr>
        <w:t xml:space="preserve"> אבל בעלה של עציץ שאינו נקוב לאו אורחיה למיתלשיה כולי האי ולא גזרינן ביה</w:t>
      </w:r>
      <w:r w:rsidR="000C19E9">
        <w:rPr>
          <w:rFonts w:cs="Arial" w:hint="cs"/>
          <w:rtl/>
        </w:rPr>
        <w:t>.</w:t>
      </w:r>
      <w:r w:rsidR="000C19E9">
        <w:rPr>
          <w:rFonts w:cs="Arial"/>
          <w:rtl/>
        </w:rPr>
        <w:t xml:space="preserve"> וגם הר"ן (י: ד"ה גרסי') הזכיר כל זה</w:t>
      </w:r>
      <w:r w:rsidR="000C19E9">
        <w:rPr>
          <w:rFonts w:cs="Arial" w:hint="cs"/>
          <w:rtl/>
        </w:rPr>
        <w:t>.</w:t>
      </w:r>
      <w:r w:rsidR="000C19E9">
        <w:rPr>
          <w:rFonts w:cs="Arial"/>
          <w:rtl/>
        </w:rPr>
        <w:t xml:space="preserve"> ולפי זה גם להלכות גדולות ור"ת כיון דחשיב כתלוש כשר כל שלא קטם</w:t>
      </w:r>
      <w:r w:rsidR="000C19E9">
        <w:rPr>
          <w:rFonts w:cs="Arial" w:hint="cs"/>
          <w:rtl/>
        </w:rPr>
        <w:t>.</w:t>
      </w:r>
    </w:p>
  </w:footnote>
  <w:footnote w:id="466">
    <w:p w14:paraId="380FB327" w14:textId="0E813B2F" w:rsidR="00567FC4" w:rsidRDefault="00567FC4">
      <w:pPr>
        <w:pStyle w:val="a5"/>
      </w:pPr>
      <w:r>
        <w:rPr>
          <w:rStyle w:val="a7"/>
        </w:rPr>
        <w:footnoteRef/>
      </w:r>
      <w:r>
        <w:rPr>
          <w:rtl/>
        </w:rPr>
        <w:t xml:space="preserve"> </w:t>
      </w:r>
      <w:r w:rsidRPr="00567FC4">
        <w:rPr>
          <w:rFonts w:cs="Arial"/>
          <w:rtl/>
        </w:rPr>
        <w:t>ואע</w:t>
      </w:r>
      <w:r>
        <w:rPr>
          <w:rFonts w:cs="Arial" w:hint="cs"/>
          <w:rtl/>
        </w:rPr>
        <w:t>"</w:t>
      </w:r>
      <w:r w:rsidRPr="00567FC4">
        <w:rPr>
          <w:rFonts w:cs="Arial"/>
          <w:rtl/>
        </w:rPr>
        <w:t>פ שאין הלכה כאביי מכל מקום רבותא דהיתירא קמ</w:t>
      </w:r>
      <w:r w:rsidR="00674F2A">
        <w:rPr>
          <w:rFonts w:cs="Arial" w:hint="cs"/>
          <w:rtl/>
        </w:rPr>
        <w:t>"</w:t>
      </w:r>
      <w:r w:rsidRPr="00567FC4">
        <w:rPr>
          <w:rFonts w:cs="Arial"/>
          <w:rtl/>
        </w:rPr>
        <w:t>ל</w:t>
      </w:r>
      <w:r w:rsidR="00674F2A">
        <w:rPr>
          <w:rFonts w:cs="Arial" w:hint="cs"/>
          <w:rtl/>
        </w:rPr>
        <w:t>,</w:t>
      </w:r>
      <w:r w:rsidRPr="00567FC4">
        <w:rPr>
          <w:rFonts w:cs="Arial"/>
          <w:rtl/>
        </w:rPr>
        <w:t xml:space="preserve"> וכה</w:t>
      </w:r>
      <w:r w:rsidR="0026194A">
        <w:rPr>
          <w:rFonts w:cs="Arial" w:hint="cs"/>
          <w:rtl/>
        </w:rPr>
        <w:t>"</w:t>
      </w:r>
      <w:r w:rsidRPr="00567FC4">
        <w:rPr>
          <w:rFonts w:cs="Arial"/>
          <w:rtl/>
        </w:rPr>
        <w:t>ג אשכחן לקמן בפרק מי שאחזו (עב</w:t>
      </w:r>
      <w:r w:rsidR="00674F2A">
        <w:rPr>
          <w:rFonts w:cs="Arial" w:hint="cs"/>
          <w:rtl/>
        </w:rPr>
        <w:t>:</w:t>
      </w:r>
      <w:r w:rsidRPr="00567FC4">
        <w:rPr>
          <w:rFonts w:cs="Arial"/>
          <w:rtl/>
        </w:rPr>
        <w:t>) גבי פלוגתא דרבי וחכמים במהיום ולאחר מיתה</w:t>
      </w:r>
      <w:r w:rsidR="00674F2A">
        <w:rPr>
          <w:rFonts w:cs="Arial" w:hint="cs"/>
          <w:rtl/>
        </w:rPr>
        <w:t>.</w:t>
      </w:r>
      <w:r w:rsidRPr="00567FC4">
        <w:rPr>
          <w:rFonts w:cs="Arial"/>
          <w:rtl/>
        </w:rPr>
        <w:t xml:space="preserve"> ועוד השמיענו חידוש גדול דמסתבר לענין הגט דאין האשה קונה את הגט שכתוב על עלה של עציץ נקוב במשיכת העציץ או בהגבהתו ואע</w:t>
      </w:r>
      <w:r w:rsidR="0026194A">
        <w:rPr>
          <w:rFonts w:cs="Arial" w:hint="cs"/>
          <w:rtl/>
        </w:rPr>
        <w:t>"</w:t>
      </w:r>
      <w:r w:rsidRPr="00567FC4">
        <w:rPr>
          <w:rFonts w:cs="Arial"/>
          <w:rtl/>
        </w:rPr>
        <w:t>פ שהעציץ בידה כל זמן שלא פסקה יניקת העלה</w:t>
      </w:r>
      <w:r w:rsidR="00D575D3">
        <w:rPr>
          <w:rFonts w:hint="cs"/>
          <w:color w:val="E36C0A" w:themeColor="accent6" w:themeShade="BF"/>
          <w:rtl/>
        </w:rPr>
        <w:t xml:space="preserve"> </w:t>
      </w:r>
      <w:r w:rsidR="00D575D3" w:rsidRPr="00D575D3">
        <w:rPr>
          <w:rFonts w:hint="cs"/>
          <w:color w:val="E36C0A" w:themeColor="accent6" w:themeShade="BF"/>
          <w:sz w:val="16"/>
          <w:szCs w:val="16"/>
          <w:rtl/>
        </w:rPr>
        <w:t>(וכ"פ בשו"ע)</w:t>
      </w:r>
      <w:r w:rsidR="0026194A">
        <w:rPr>
          <w:rFonts w:cs="Arial" w:hint="cs"/>
          <w:rtl/>
        </w:rPr>
        <w:t>.</w:t>
      </w:r>
      <w:r w:rsidRPr="00567FC4">
        <w:rPr>
          <w:rFonts w:cs="Arial"/>
          <w:rtl/>
        </w:rPr>
        <w:t xml:space="preserve"> כדאמרינן בסמוך (כב</w:t>
      </w:r>
      <w:r w:rsidR="0026194A">
        <w:rPr>
          <w:rFonts w:cs="Arial" w:hint="cs"/>
          <w:rtl/>
        </w:rPr>
        <w:t>.</w:t>
      </w:r>
      <w:r w:rsidRPr="00567FC4">
        <w:rPr>
          <w:rFonts w:cs="Arial"/>
          <w:rtl/>
        </w:rPr>
        <w:t>) מכר בעל זרעים לבעל עציץ לא קנה עד שיחזיק בזרעים</w:t>
      </w:r>
      <w:r w:rsidR="0026194A">
        <w:rPr>
          <w:rFonts w:cs="Arial" w:hint="cs"/>
          <w:rtl/>
        </w:rPr>
        <w:t>,</w:t>
      </w:r>
      <w:r w:rsidRPr="00567FC4">
        <w:rPr>
          <w:rFonts w:cs="Arial"/>
          <w:rtl/>
        </w:rPr>
        <w:t xml:space="preserve"> אבל במשיכת העציץ או בהגבהה לא קנה זרעים כיון דאכתי חשיבי מחוברים בשעת משיכה</w:t>
      </w:r>
      <w:r w:rsidR="0026194A">
        <w:rPr>
          <w:rFonts w:cs="Arial" w:hint="cs"/>
          <w:rtl/>
        </w:rPr>
        <w:t>.</w:t>
      </w:r>
      <w:r w:rsidRPr="00567FC4">
        <w:rPr>
          <w:rFonts w:cs="Arial"/>
          <w:rtl/>
        </w:rPr>
        <w:t xml:space="preserve"> וקמ"ל דלא גזר אביי היכא דיהיב לה העציץ בהפסקת יניקה כגון בעליה או שיש דבר מפסיק בין העציץ לקרקע אטו היכא דלא יהיב בהפסקת יניקה</w:t>
      </w:r>
      <w:r w:rsidR="00AC7F77">
        <w:rPr>
          <w:rFonts w:cs="Arial" w:hint="cs"/>
          <w:rtl/>
        </w:rPr>
        <w:t>.</w:t>
      </w:r>
      <w:r w:rsidRPr="00567FC4">
        <w:rPr>
          <w:rFonts w:cs="Arial"/>
          <w:rtl/>
        </w:rPr>
        <w:t xml:space="preserve"> וגם קמ"ל אע</w:t>
      </w:r>
      <w:r w:rsidR="00AC7F77">
        <w:rPr>
          <w:rFonts w:cs="Arial" w:hint="cs"/>
          <w:rtl/>
        </w:rPr>
        <w:t>"</w:t>
      </w:r>
      <w:r w:rsidRPr="00567FC4">
        <w:rPr>
          <w:rFonts w:cs="Arial"/>
          <w:rtl/>
        </w:rPr>
        <w:t>פ שצריך ליתנו לה בהפסקת יניקה לא חשיבי בהכי מחוסר קציצה</w:t>
      </w:r>
      <w:r>
        <w:rPr>
          <w:rFonts w:cs="Arial" w:hint="cs"/>
          <w:rtl/>
        </w:rPr>
        <w:t>, רא"ש (פ"ב סכ"ב)</w:t>
      </w:r>
      <w:r>
        <w:rPr>
          <w:rFonts w:hint="cs"/>
          <w:rtl/>
        </w:rPr>
        <w:t>.</w:t>
      </w:r>
      <w:r w:rsidR="000C19E9">
        <w:rPr>
          <w:rFonts w:hint="cs"/>
          <w:rtl/>
        </w:rPr>
        <w:t xml:space="preserve"> ודברים אלו הם העתק דברי התוס' </w:t>
      </w:r>
      <w:r w:rsidR="000C19E9" w:rsidRPr="004D19CA">
        <w:rPr>
          <w:rFonts w:cs="Arial" w:hint="cs"/>
          <w:rtl/>
        </w:rPr>
        <w:t>(כא: ד"ה יצא זה)</w:t>
      </w:r>
      <w:r w:rsidR="000C19E9">
        <w:rPr>
          <w:rFonts w:hint="cs"/>
          <w:rtl/>
        </w:rPr>
        <w:t xml:space="preserve"> בשם ר"י.</w:t>
      </w:r>
      <w:r w:rsidR="004D19CA" w:rsidRPr="004D19CA">
        <w:rPr>
          <w:rFonts w:cs="Arial"/>
          <w:rtl/>
        </w:rPr>
        <w:t xml:space="preserve"> </w:t>
      </w:r>
      <w:r w:rsidR="004D19CA">
        <w:rPr>
          <w:rFonts w:cs="Arial" w:hint="cs"/>
          <w:rtl/>
        </w:rPr>
        <w:t xml:space="preserve">וכ"כ </w:t>
      </w:r>
      <w:r w:rsidR="004D19CA">
        <w:rPr>
          <w:rFonts w:cs="Arial"/>
          <w:rtl/>
        </w:rPr>
        <w:t xml:space="preserve">הר"ן (שם ד"ה וגרסינן תו בגמ'). </w:t>
      </w:r>
      <w:r w:rsidR="004D19CA">
        <w:rPr>
          <w:rFonts w:cs="Arial" w:hint="cs"/>
          <w:rtl/>
        </w:rPr>
        <w:t>ו</w:t>
      </w:r>
      <w:r w:rsidR="004D19CA">
        <w:rPr>
          <w:rFonts w:cs="Arial"/>
          <w:rtl/>
        </w:rPr>
        <w:t>אע</w:t>
      </w:r>
      <w:r w:rsidR="004D19CA">
        <w:rPr>
          <w:rFonts w:cs="Arial" w:hint="cs"/>
          <w:rtl/>
        </w:rPr>
        <w:t>"</w:t>
      </w:r>
      <w:r w:rsidR="004D19CA">
        <w:rPr>
          <w:rFonts w:cs="Arial"/>
          <w:rtl/>
        </w:rPr>
        <w:t>ג דלא קי</w:t>
      </w:r>
      <w:r w:rsidR="004D19CA">
        <w:rPr>
          <w:rFonts w:cs="Arial" w:hint="cs"/>
          <w:rtl/>
        </w:rPr>
        <w:t>י"</w:t>
      </w:r>
      <w:r w:rsidR="004D19CA">
        <w:rPr>
          <w:rFonts w:cs="Arial"/>
          <w:rtl/>
        </w:rPr>
        <w:t>ל כאביי כתבתי זה משום דנפקא מיניה אליבא דרבא דאמר פסול משום גזירה דהיינו מדרבנן</w:t>
      </w:r>
      <w:r w:rsidR="00545877">
        <w:rPr>
          <w:rFonts w:cs="Arial" w:hint="cs"/>
          <w:rtl/>
        </w:rPr>
        <w:t>,</w:t>
      </w:r>
      <w:r w:rsidR="004D19CA">
        <w:rPr>
          <w:rFonts w:cs="Arial"/>
          <w:rtl/>
        </w:rPr>
        <w:t xml:space="preserve"> ולפי זה היינו דוקא בשמשך העציץ במקום שיניקה פוסקת</w:t>
      </w:r>
      <w:r w:rsidR="00545877">
        <w:rPr>
          <w:rFonts w:cs="Arial" w:hint="cs"/>
          <w:rtl/>
        </w:rPr>
        <w:t>,</w:t>
      </w:r>
      <w:r w:rsidR="004D19CA">
        <w:rPr>
          <w:rFonts w:cs="Arial"/>
          <w:rtl/>
        </w:rPr>
        <w:t xml:space="preserve"> אבל אם משכו במקום שאין יניקה פוסקת מדאורייתא מפסל לכו</w:t>
      </w:r>
      <w:r w:rsidR="00545877">
        <w:rPr>
          <w:rFonts w:cs="Arial" w:hint="cs"/>
          <w:rtl/>
        </w:rPr>
        <w:t>"</w:t>
      </w:r>
      <w:r w:rsidR="004D19CA">
        <w:rPr>
          <w:rFonts w:cs="Arial"/>
          <w:rtl/>
        </w:rPr>
        <w:t>ע דהא לא קנתה אותו ולא זכתה בו</w:t>
      </w:r>
      <w:r w:rsidR="004D19CA">
        <w:rPr>
          <w:rFonts w:cs="Arial" w:hint="cs"/>
          <w:rtl/>
        </w:rPr>
        <w:t>, ב"י.</w:t>
      </w:r>
    </w:p>
  </w:footnote>
  <w:footnote w:id="467">
    <w:p w14:paraId="7541F0A5" w14:textId="79A35D1E" w:rsidR="004423AB" w:rsidRDefault="004423AB">
      <w:pPr>
        <w:pStyle w:val="a5"/>
      </w:pPr>
      <w:r>
        <w:rPr>
          <w:rStyle w:val="a7"/>
        </w:rPr>
        <w:footnoteRef/>
      </w:r>
      <w:r>
        <w:rPr>
          <w:rtl/>
        </w:rPr>
        <w:t xml:space="preserve"> </w:t>
      </w:r>
      <w:r w:rsidRPr="004423AB">
        <w:rPr>
          <w:rFonts w:cs="Arial"/>
          <w:rtl/>
        </w:rPr>
        <w:t>כלומר שהגביה העציץ מן הקרקע במקום שפסקה היניקה אבל לא פסקה היניקה עדיין מחובר הוא ומדאורייתא אינו גט</w:t>
      </w:r>
      <w:r>
        <w:rPr>
          <w:rFonts w:cs="Arial" w:hint="cs"/>
          <w:rtl/>
        </w:rPr>
        <w:t>, ח"מ (סקי"א).</w:t>
      </w:r>
    </w:p>
  </w:footnote>
  <w:footnote w:id="468">
    <w:p w14:paraId="0A2FD3D1" w14:textId="50CC3A52" w:rsidR="004423AB" w:rsidRDefault="004423AB">
      <w:pPr>
        <w:pStyle w:val="a5"/>
        <w:rPr>
          <w:rtl/>
        </w:rPr>
      </w:pPr>
      <w:r>
        <w:rPr>
          <w:rStyle w:val="a7"/>
        </w:rPr>
        <w:footnoteRef/>
      </w:r>
      <w:r>
        <w:rPr>
          <w:rtl/>
        </w:rPr>
        <w:t xml:space="preserve"> </w:t>
      </w:r>
      <w:r w:rsidRPr="004423AB">
        <w:rPr>
          <w:rFonts w:cs="Arial"/>
          <w:rtl/>
        </w:rPr>
        <w:t>כלומר שמא יקטום קודם פסיקת יניקה דהוי תלוש מן המחובר דפסול לכולי עלמא ומכ"ש לדעת הפוסלים קציצה אפי' בתלוש</w:t>
      </w:r>
      <w:r>
        <w:rPr>
          <w:rFonts w:hint="cs"/>
          <w:rtl/>
        </w:rPr>
        <w:t>, ח"מ (סקי"ב).</w:t>
      </w:r>
    </w:p>
  </w:footnote>
  <w:footnote w:id="469">
    <w:p w14:paraId="5266F33A" w14:textId="4351F28E" w:rsidR="009C5222" w:rsidRDefault="009C5222">
      <w:pPr>
        <w:pStyle w:val="a5"/>
        <w:rPr>
          <w:rtl/>
        </w:rPr>
      </w:pPr>
      <w:r>
        <w:rPr>
          <w:rStyle w:val="a7"/>
        </w:rPr>
        <w:footnoteRef/>
      </w:r>
      <w:r>
        <w:rPr>
          <w:rtl/>
        </w:rPr>
        <w:t xml:space="preserve"> </w:t>
      </w:r>
      <w:r w:rsidRPr="009C5222">
        <w:rPr>
          <w:rFonts w:cs="Arial"/>
          <w:rtl/>
        </w:rPr>
        <w:t>דלאו אורח' למתלשיה כולי האי אבל אם תלשו אה"נ דאסור לדעת הפוסלים קציצה בתלוש</w:t>
      </w:r>
      <w:r>
        <w:rPr>
          <w:rFonts w:hint="cs"/>
          <w:rtl/>
        </w:rPr>
        <w:t>, ח"מ (סקי"ד).</w:t>
      </w:r>
    </w:p>
  </w:footnote>
  <w:footnote w:id="470">
    <w:p w14:paraId="724375FF" w14:textId="63C8F085" w:rsidR="002B55A2" w:rsidRDefault="002B55A2">
      <w:pPr>
        <w:pStyle w:val="a5"/>
      </w:pPr>
      <w:r>
        <w:rPr>
          <w:rStyle w:val="a7"/>
        </w:rPr>
        <w:footnoteRef/>
      </w:r>
      <w:r>
        <w:rPr>
          <w:rtl/>
        </w:rPr>
        <w:t xml:space="preserve"> </w:t>
      </w:r>
      <w:r w:rsidRPr="002B55A2">
        <w:rPr>
          <w:rFonts w:cs="Arial"/>
          <w:rtl/>
        </w:rPr>
        <w:t>בתשובות רש"ל מסופק אם מותר לכתו' טופס על הקרן ואח"כ יקצוץ ויכתוב התורף די"ל דלא חיישינן שמא יכתוב גם התורף קודם הקציצה דהא אפי' אם יכתוב התורף קודם הקציצה יש תקנה למסור לה הפרה</w:t>
      </w:r>
      <w:r>
        <w:rPr>
          <w:rFonts w:cs="Arial" w:hint="cs"/>
          <w:rtl/>
        </w:rPr>
        <w:t>, ב"ש (סקט"ו).</w:t>
      </w:r>
    </w:p>
  </w:footnote>
  <w:footnote w:id="471">
    <w:p w14:paraId="27877068" w14:textId="0F97F2CA" w:rsidR="00A13D01" w:rsidRDefault="00A13D01">
      <w:pPr>
        <w:pStyle w:val="a5"/>
      </w:pPr>
      <w:r>
        <w:rPr>
          <w:rStyle w:val="a7"/>
        </w:rPr>
        <w:footnoteRef/>
      </w:r>
      <w:r>
        <w:rPr>
          <w:rtl/>
        </w:rPr>
        <w:t xml:space="preserve"> </w:t>
      </w:r>
      <w:r>
        <w:rPr>
          <w:rFonts w:hint="cs"/>
          <w:rtl/>
        </w:rPr>
        <w:t>סימן - כ</w:t>
      </w:r>
      <w:r w:rsidR="00352CAE">
        <w:rPr>
          <w:rFonts w:hint="cs"/>
          <w:rtl/>
        </w:rPr>
        <w:t>ְּ</w:t>
      </w:r>
      <w:r>
        <w:rPr>
          <w:rFonts w:hint="cs"/>
          <w:rtl/>
        </w:rPr>
        <w:t>תו</w:t>
      </w:r>
      <w:r w:rsidR="00352CAE">
        <w:rPr>
          <w:rFonts w:hint="cs"/>
          <w:rtl/>
        </w:rPr>
        <w:t>ֹ</w:t>
      </w:r>
      <w:r>
        <w:rPr>
          <w:rFonts w:hint="cs"/>
          <w:rtl/>
        </w:rPr>
        <w:t>ב</w:t>
      </w:r>
      <w:r w:rsidR="00352CAE">
        <w:rPr>
          <w:rFonts w:hint="cs"/>
          <w:rtl/>
        </w:rPr>
        <w:t>ֵ</w:t>
      </w:r>
      <w:r>
        <w:rPr>
          <w:rFonts w:hint="cs"/>
          <w:rtl/>
        </w:rPr>
        <w:t>ת כריתה.</w:t>
      </w:r>
    </w:p>
  </w:footnote>
  <w:footnote w:id="472">
    <w:p w14:paraId="32028EE5" w14:textId="77777777" w:rsidR="00E42F29" w:rsidRDefault="00E42F29" w:rsidP="00E42F29">
      <w:pPr>
        <w:pStyle w:val="a5"/>
        <w:rPr>
          <w:rtl/>
        </w:rPr>
      </w:pPr>
      <w:r>
        <w:rPr>
          <w:rStyle w:val="a7"/>
        </w:rPr>
        <w:footnoteRef/>
      </w:r>
      <w:r>
        <w:rPr>
          <w:rtl/>
        </w:rPr>
        <w:t xml:space="preserve"> </w:t>
      </w:r>
      <w:r>
        <w:rPr>
          <w:rFonts w:cs="Arial"/>
          <w:rtl/>
        </w:rPr>
        <w:t>כלומר ודילמא תנאה הוה בגיטא ומחקתיה והדר כתביה</w:t>
      </w:r>
      <w:r>
        <w:rPr>
          <w:rFonts w:hint="cs"/>
          <w:rtl/>
        </w:rPr>
        <w:t>, ב"י.</w:t>
      </w:r>
    </w:p>
  </w:footnote>
  <w:footnote w:id="473">
    <w:p w14:paraId="2730A90E" w14:textId="77777777" w:rsidR="00E42F29" w:rsidRDefault="00E42F29" w:rsidP="00E42F29">
      <w:pPr>
        <w:pStyle w:val="a5"/>
      </w:pPr>
      <w:r>
        <w:rPr>
          <w:rStyle w:val="a7"/>
        </w:rPr>
        <w:footnoteRef/>
      </w:r>
      <w:r>
        <w:rPr>
          <w:rtl/>
        </w:rPr>
        <w:t xml:space="preserve"> </w:t>
      </w:r>
      <w:r>
        <w:rPr>
          <w:rFonts w:cs="Arial"/>
          <w:rtl/>
        </w:rPr>
        <w:t>כלומר שקראוהו</w:t>
      </w:r>
      <w:r>
        <w:rPr>
          <w:rFonts w:cs="Arial" w:hint="cs"/>
          <w:rtl/>
        </w:rPr>
        <w:t>, ב"י.</w:t>
      </w:r>
    </w:p>
  </w:footnote>
  <w:footnote w:id="474">
    <w:p w14:paraId="10D24AF7" w14:textId="77777777" w:rsidR="00E42F29" w:rsidRDefault="00E42F29" w:rsidP="00E42F29">
      <w:pPr>
        <w:pStyle w:val="a5"/>
      </w:pPr>
      <w:r>
        <w:rPr>
          <w:rStyle w:val="a7"/>
        </w:rPr>
        <w:footnoteRef/>
      </w:r>
      <w:r>
        <w:rPr>
          <w:rtl/>
        </w:rPr>
        <w:t xml:space="preserve"> </w:t>
      </w:r>
      <w:r w:rsidRPr="0051777D">
        <w:rPr>
          <w:rFonts w:cs="Arial"/>
          <w:rtl/>
        </w:rPr>
        <w:t>דבעיא דידיה בדליכא עדי מסירה היא</w:t>
      </w:r>
      <w:r>
        <w:rPr>
          <w:rFonts w:cs="Arial" w:hint="cs"/>
          <w:rtl/>
        </w:rPr>
        <w:t>, רש"י.</w:t>
      </w:r>
    </w:p>
  </w:footnote>
  <w:footnote w:id="475">
    <w:p w14:paraId="6E92A724" w14:textId="77777777" w:rsidR="00E42F29" w:rsidRDefault="00E42F29" w:rsidP="00E42F29">
      <w:pPr>
        <w:pStyle w:val="a5"/>
        <w:rPr>
          <w:rtl/>
        </w:rPr>
      </w:pPr>
      <w:r>
        <w:rPr>
          <w:rStyle w:val="a7"/>
        </w:rPr>
        <w:footnoteRef/>
      </w:r>
      <w:r>
        <w:rPr>
          <w:rtl/>
        </w:rPr>
        <w:t xml:space="preserve"> </w:t>
      </w:r>
      <w:r>
        <w:rPr>
          <w:rFonts w:hint="cs"/>
          <w:rtl/>
        </w:rPr>
        <w:t xml:space="preserve">בהמות, רש"י. היינו </w:t>
      </w:r>
      <w:r w:rsidRPr="00A759BC">
        <w:rPr>
          <w:rFonts w:cs="Arial"/>
          <w:rtl/>
        </w:rPr>
        <w:t>כל דבר המהלך בדרכים ובשוקים, שיתכן לומר מעצמו נכנס</w:t>
      </w:r>
      <w:r>
        <w:rPr>
          <w:rFonts w:cs="Arial" w:hint="cs"/>
          <w:rtl/>
        </w:rPr>
        <w:t>.</w:t>
      </w:r>
    </w:p>
  </w:footnote>
  <w:footnote w:id="476">
    <w:p w14:paraId="0B22FFE0" w14:textId="77777777" w:rsidR="00E42F29" w:rsidRDefault="00E42F29" w:rsidP="00E42F29">
      <w:pPr>
        <w:pStyle w:val="a5"/>
      </w:pPr>
      <w:r>
        <w:rPr>
          <w:rStyle w:val="a7"/>
        </w:rPr>
        <w:footnoteRef/>
      </w:r>
      <w:r>
        <w:rPr>
          <w:rtl/>
        </w:rPr>
        <w:t xml:space="preserve"> </w:t>
      </w:r>
      <w:r w:rsidRPr="00252037">
        <w:rPr>
          <w:rFonts w:cs="Arial"/>
          <w:rtl/>
        </w:rPr>
        <w:t>אדם שתפסן אינו יכול לטעון לבעליהם מכרתם לי דאיכא למימר מעצמן הלכו אצלו</w:t>
      </w:r>
      <w:r>
        <w:rPr>
          <w:rFonts w:cs="Arial" w:hint="cs"/>
          <w:rtl/>
        </w:rPr>
        <w:t>, רש"י.</w:t>
      </w:r>
    </w:p>
  </w:footnote>
  <w:footnote w:id="477">
    <w:p w14:paraId="65CDD06F" w14:textId="77777777" w:rsidR="00E42F29" w:rsidRDefault="00E42F29" w:rsidP="00E42F29">
      <w:pPr>
        <w:pStyle w:val="a5"/>
      </w:pPr>
      <w:r>
        <w:rPr>
          <w:rStyle w:val="a7"/>
        </w:rPr>
        <w:footnoteRef/>
      </w:r>
      <w:r>
        <w:rPr>
          <w:rtl/>
        </w:rPr>
        <w:t xml:space="preserve"> </w:t>
      </w:r>
      <w:r w:rsidRPr="00FE510D">
        <w:rPr>
          <w:rFonts w:cs="Arial"/>
          <w:rtl/>
        </w:rPr>
        <w:t>ואצ"ל שאם מביאה עדי מסירה שאז הוא כשר אפילו אם עדי חתימה יכולין להזדייף</w:t>
      </w:r>
      <w:r>
        <w:rPr>
          <w:rFonts w:cs="Arial" w:hint="cs"/>
          <w:rtl/>
        </w:rPr>
        <w:t>, טור.</w:t>
      </w:r>
    </w:p>
  </w:footnote>
  <w:footnote w:id="478">
    <w:p w14:paraId="1AF8E803" w14:textId="77777777" w:rsidR="00054689" w:rsidRDefault="00054689" w:rsidP="00054689">
      <w:pPr>
        <w:pStyle w:val="a5"/>
      </w:pPr>
      <w:r>
        <w:rPr>
          <w:rStyle w:val="a7"/>
        </w:rPr>
        <w:footnoteRef/>
      </w:r>
      <w:r>
        <w:rPr>
          <w:rtl/>
        </w:rPr>
        <w:t xml:space="preserve"> </w:t>
      </w:r>
      <w:r w:rsidRPr="00FE510D">
        <w:rPr>
          <w:rFonts w:cs="Arial"/>
          <w:rtl/>
        </w:rPr>
        <w:t>ואי ניסת לשני תצא בגט</w:t>
      </w:r>
      <w:r>
        <w:rPr>
          <w:rFonts w:cs="Arial" w:hint="cs"/>
          <w:rtl/>
        </w:rPr>
        <w:t>, רמ"ה (כ"כ הטור בשמו).</w:t>
      </w:r>
    </w:p>
  </w:footnote>
  <w:footnote w:id="479">
    <w:p w14:paraId="59E976F5" w14:textId="77777777" w:rsidR="00054689" w:rsidRDefault="00054689" w:rsidP="00054689">
      <w:pPr>
        <w:pStyle w:val="a5"/>
      </w:pPr>
      <w:r>
        <w:rPr>
          <w:rStyle w:val="a7"/>
        </w:rPr>
        <w:footnoteRef/>
      </w:r>
      <w:r>
        <w:rPr>
          <w:rtl/>
        </w:rPr>
        <w:t xml:space="preserve"> </w:t>
      </w:r>
      <w:r w:rsidRPr="00FE510D">
        <w:rPr>
          <w:rFonts w:cs="Arial"/>
          <w:rtl/>
        </w:rPr>
        <w:t>וטעמא דכיון דבגמרא (כ:) פשטינן לה מדאמר ריש לקיש הגודרות אין להם חזקה א"כ מספקא לן אם הם עדיין של בעל ראשון או אם הם של מי שנמצאו בידו</w:t>
      </w:r>
      <w:r>
        <w:rPr>
          <w:rFonts w:cs="Arial" w:hint="cs"/>
          <w:rtl/>
        </w:rPr>
        <w:t>.</w:t>
      </w:r>
      <w:r w:rsidRPr="00FE510D">
        <w:rPr>
          <w:rFonts w:cs="Arial"/>
          <w:rtl/>
        </w:rPr>
        <w:t xml:space="preserve"> ואע</w:t>
      </w:r>
      <w:r>
        <w:rPr>
          <w:rFonts w:cs="Arial" w:hint="cs"/>
          <w:rtl/>
        </w:rPr>
        <w:t>"</w:t>
      </w:r>
      <w:r w:rsidRPr="00FE510D">
        <w:rPr>
          <w:rFonts w:cs="Arial"/>
          <w:rtl/>
        </w:rPr>
        <w:t>ג דמשום דאין להם חזקה מפקינן להו מיד השני ויהבינן להו לראשון</w:t>
      </w:r>
      <w:r>
        <w:rPr>
          <w:rFonts w:cs="Arial" w:hint="cs"/>
          <w:rtl/>
        </w:rPr>
        <w:t>,</w:t>
      </w:r>
      <w:r w:rsidRPr="00FE510D">
        <w:rPr>
          <w:rFonts w:cs="Arial"/>
          <w:rtl/>
        </w:rPr>
        <w:t xml:space="preserve"> מכל מקום לענין גט אשה מידי ספיקא לא נפקא</w:t>
      </w:r>
      <w:r>
        <w:rPr>
          <w:rFonts w:cs="Arial" w:hint="cs"/>
          <w:rtl/>
        </w:rPr>
        <w:t>, ב"י</w:t>
      </w:r>
      <w:r w:rsidRPr="00FE510D">
        <w:rPr>
          <w:rFonts w:cs="Arial"/>
          <w:rtl/>
        </w:rPr>
        <w:t>.</w:t>
      </w:r>
    </w:p>
  </w:footnote>
  <w:footnote w:id="480">
    <w:p w14:paraId="54D32A4F" w14:textId="74763D6C" w:rsidR="00742525" w:rsidRDefault="00742525">
      <w:pPr>
        <w:pStyle w:val="a5"/>
      </w:pPr>
      <w:r>
        <w:rPr>
          <w:rStyle w:val="a7"/>
        </w:rPr>
        <w:footnoteRef/>
      </w:r>
      <w:r>
        <w:rPr>
          <w:rtl/>
        </w:rPr>
        <w:t xml:space="preserve"> </w:t>
      </w:r>
      <w:r w:rsidRPr="00742525">
        <w:rPr>
          <w:rFonts w:cs="Arial"/>
          <w:rtl/>
        </w:rPr>
        <w:t>נראה דהקושיא מעיקרא ליתא דע"כ לא מבעיא ליה בגמרא אלא בעבד שהיו מוחזקין שהוא שלו אבל בדבר המטלטל שהיו מוחזקין שהוא שלו וגט כתוב עליו והוא טוען היא מעצמה לקחה הגט ודאי אינו נאמן אע</w:t>
      </w:r>
      <w:r>
        <w:rPr>
          <w:rFonts w:cs="Arial" w:hint="cs"/>
          <w:rtl/>
        </w:rPr>
        <w:t>"</w:t>
      </w:r>
      <w:r w:rsidRPr="00742525">
        <w:rPr>
          <w:rFonts w:cs="Arial"/>
          <w:rtl/>
        </w:rPr>
        <w:t>פ שודאי אין לאשה חזקה בכל מטלטלי של בעלה כשמברר שהיו שלו</w:t>
      </w:r>
      <w:r>
        <w:rPr>
          <w:rFonts w:cs="Arial" w:hint="cs"/>
          <w:rtl/>
        </w:rPr>
        <w:t>,</w:t>
      </w:r>
      <w:r w:rsidRPr="00742525">
        <w:rPr>
          <w:rFonts w:cs="Arial"/>
          <w:rtl/>
        </w:rPr>
        <w:t xml:space="preserve"> אלא ודאי כל שכתוב גט על המטלטלים היא נאמנת שנתנו לה</w:t>
      </w:r>
      <w:r>
        <w:rPr>
          <w:rFonts w:cs="Arial" w:hint="cs"/>
          <w:rtl/>
        </w:rPr>
        <w:t>,</w:t>
      </w:r>
      <w:r w:rsidRPr="00742525">
        <w:rPr>
          <w:rFonts w:cs="Arial"/>
          <w:rtl/>
        </w:rPr>
        <w:t xml:space="preserve"> דאל</w:t>
      </w:r>
      <w:r>
        <w:rPr>
          <w:rFonts w:cs="Arial" w:hint="cs"/>
          <w:rtl/>
        </w:rPr>
        <w:t>"</w:t>
      </w:r>
      <w:r w:rsidRPr="00742525">
        <w:rPr>
          <w:rFonts w:cs="Arial"/>
          <w:rtl/>
        </w:rPr>
        <w:t>כ מאי תיקון העולם איכא בחתימת הגט לעולם יטעון הוא היא לקחה בעצמה הגט</w:t>
      </w:r>
      <w:r>
        <w:rPr>
          <w:rFonts w:cs="Arial" w:hint="cs"/>
          <w:rtl/>
        </w:rPr>
        <w:t>,</w:t>
      </w:r>
      <w:r w:rsidRPr="00742525">
        <w:rPr>
          <w:rFonts w:cs="Arial"/>
          <w:rtl/>
        </w:rPr>
        <w:t xml:space="preserve"> וא</w:t>
      </w:r>
      <w:r>
        <w:rPr>
          <w:rFonts w:cs="Arial" w:hint="cs"/>
          <w:rtl/>
        </w:rPr>
        <w:t>"</w:t>
      </w:r>
      <w:r w:rsidRPr="00742525">
        <w:rPr>
          <w:rFonts w:cs="Arial"/>
          <w:rtl/>
        </w:rPr>
        <w:t xml:space="preserve">כ ה"ה בגודרות לאחר </w:t>
      </w:r>
      <w:r>
        <w:rPr>
          <w:rFonts w:cs="Arial" w:hint="cs"/>
          <w:rtl/>
        </w:rPr>
        <w:t>ג'</w:t>
      </w:r>
      <w:r w:rsidRPr="00742525">
        <w:rPr>
          <w:rFonts w:cs="Arial"/>
          <w:rtl/>
        </w:rPr>
        <w:t xml:space="preserve"> דינם כמו כל המטלטלין לאלתר</w:t>
      </w:r>
      <w:r>
        <w:rPr>
          <w:rFonts w:cs="Arial" w:hint="cs"/>
          <w:rtl/>
        </w:rPr>
        <w:t xml:space="preserve">, ח"מ </w:t>
      </w:r>
      <w:r w:rsidRPr="009D2BBB">
        <w:rPr>
          <w:rFonts w:cs="Arial" w:hint="cs"/>
          <w:sz w:val="16"/>
          <w:szCs w:val="16"/>
          <w:rtl/>
        </w:rPr>
        <w:t>(סק"כ)</w:t>
      </w:r>
      <w:r>
        <w:rPr>
          <w:rFonts w:cs="Arial" w:hint="cs"/>
          <w:rtl/>
        </w:rPr>
        <w:t>.</w:t>
      </w:r>
    </w:p>
  </w:footnote>
  <w:footnote w:id="481">
    <w:p w14:paraId="0C561089" w14:textId="5CEFAF99" w:rsidR="009D2BBB" w:rsidRDefault="009D2BBB">
      <w:pPr>
        <w:pStyle w:val="a5"/>
      </w:pPr>
      <w:r>
        <w:rPr>
          <w:rStyle w:val="a7"/>
        </w:rPr>
        <w:footnoteRef/>
      </w:r>
      <w:r>
        <w:rPr>
          <w:rtl/>
        </w:rPr>
        <w:t xml:space="preserve"> </w:t>
      </w:r>
      <w:r w:rsidRPr="009D2BBB">
        <w:rPr>
          <w:rFonts w:cs="Arial"/>
          <w:rtl/>
        </w:rPr>
        <w:t>ולכאורה קשה איך יחתמו העדים בכ"ק הא נעשו רשעים</w:t>
      </w:r>
      <w:r w:rsidR="00315F96">
        <w:rPr>
          <w:rFonts w:cs="Arial" w:hint="cs"/>
          <w:rtl/>
        </w:rPr>
        <w:t>,</w:t>
      </w:r>
      <w:r w:rsidRPr="009D2BBB">
        <w:rPr>
          <w:rFonts w:cs="Arial"/>
          <w:rtl/>
        </w:rPr>
        <w:t xml:space="preserve"> אפילו כתבו ולא מלאו בדיו מ"מ נעשו רשעים מדרבנן</w:t>
      </w:r>
      <w:r>
        <w:rPr>
          <w:rFonts w:cs="Arial" w:hint="cs"/>
          <w:rtl/>
        </w:rPr>
        <w:t>.</w:t>
      </w:r>
      <w:r w:rsidRPr="009D2BBB">
        <w:rPr>
          <w:rFonts w:cs="Arial"/>
          <w:rtl/>
        </w:rPr>
        <w:t xml:space="preserve"> בשלמא מה שהסופר כותב בכ"ק לק"מ</w:t>
      </w:r>
      <w:r w:rsidR="00D0582C">
        <w:rPr>
          <w:rFonts w:cs="Arial" w:hint="cs"/>
          <w:rtl/>
        </w:rPr>
        <w:t>,</w:t>
      </w:r>
      <w:r w:rsidRPr="009D2BBB">
        <w:rPr>
          <w:rFonts w:cs="Arial"/>
          <w:rtl/>
        </w:rPr>
        <w:t xml:space="preserve"> כי אפילו אם הסופר נעשה רשע הגט כשר כמ"ש בסימן הקודם</w:t>
      </w:r>
      <w:r>
        <w:rPr>
          <w:rFonts w:cs="Arial" w:hint="cs"/>
          <w:rtl/>
        </w:rPr>
        <w:t>.</w:t>
      </w:r>
      <w:r w:rsidRPr="009D2BBB">
        <w:rPr>
          <w:rFonts w:cs="Arial"/>
          <w:rtl/>
        </w:rPr>
        <w:t xml:space="preserve"> אבל אם העדים כותבים בכ"ק נעשו רשעים והגט פסול</w:t>
      </w:r>
      <w:r>
        <w:rPr>
          <w:rFonts w:cs="Arial" w:hint="cs"/>
          <w:rtl/>
        </w:rPr>
        <w:t>.</w:t>
      </w:r>
      <w:r w:rsidRPr="009D2BBB">
        <w:rPr>
          <w:rFonts w:cs="Arial"/>
          <w:rtl/>
        </w:rPr>
        <w:t xml:space="preserve"> ועיין ברמב"ם סוף הל' ע</w:t>
      </w:r>
      <w:r>
        <w:rPr>
          <w:rFonts w:cs="Arial" w:hint="cs"/>
          <w:rtl/>
        </w:rPr>
        <w:t>"ז</w:t>
      </w:r>
      <w:r w:rsidR="00D0582C">
        <w:rPr>
          <w:rFonts w:cs="Arial" w:hint="cs"/>
          <w:rtl/>
        </w:rPr>
        <w:t xml:space="preserve"> (פי"ב הי"א)</w:t>
      </w:r>
      <w:r>
        <w:rPr>
          <w:rFonts w:cs="Arial" w:hint="cs"/>
          <w:rtl/>
        </w:rPr>
        <w:t>,</w:t>
      </w:r>
      <w:r w:rsidRPr="009D2BBB">
        <w:rPr>
          <w:rFonts w:cs="Arial"/>
          <w:rtl/>
        </w:rPr>
        <w:t xml:space="preserve"> ובי</w:t>
      </w:r>
      <w:r>
        <w:rPr>
          <w:rFonts w:cs="Arial" w:hint="cs"/>
          <w:rtl/>
        </w:rPr>
        <w:t>ו</w:t>
      </w:r>
      <w:r w:rsidRPr="009D2BBB">
        <w:rPr>
          <w:rFonts w:cs="Arial"/>
          <w:rtl/>
        </w:rPr>
        <w:t>"ד סי' ק"פ</w:t>
      </w:r>
      <w:r w:rsidR="00D0582C">
        <w:rPr>
          <w:rFonts w:cs="Arial" w:hint="cs"/>
          <w:rtl/>
        </w:rPr>
        <w:t xml:space="preserve"> (סע' א-ב)</w:t>
      </w:r>
      <w:r>
        <w:rPr>
          <w:rFonts w:cs="Arial" w:hint="cs"/>
          <w:rtl/>
        </w:rPr>
        <w:t>.</w:t>
      </w:r>
      <w:r w:rsidRPr="009D2BBB">
        <w:rPr>
          <w:rFonts w:cs="Arial"/>
          <w:rtl/>
        </w:rPr>
        <w:t xml:space="preserve"> ואפשר דאיירי דהיו שוגגים</w:t>
      </w:r>
      <w:r>
        <w:rPr>
          <w:rFonts w:cs="Arial" w:hint="cs"/>
          <w:rtl/>
        </w:rPr>
        <w:t>.</w:t>
      </w:r>
      <w:r w:rsidRPr="009D2BBB">
        <w:rPr>
          <w:rFonts w:cs="Arial"/>
          <w:rtl/>
        </w:rPr>
        <w:t xml:space="preserve"> ועיין בתו</w:t>
      </w:r>
      <w:r w:rsidR="00D0582C">
        <w:rPr>
          <w:rFonts w:cs="Arial" w:hint="cs"/>
          <w:rtl/>
        </w:rPr>
        <w:t>ס</w:t>
      </w:r>
      <w:r w:rsidRPr="009D2BBB">
        <w:rPr>
          <w:rFonts w:cs="Arial"/>
          <w:rtl/>
        </w:rPr>
        <w:t xml:space="preserve">' גיטין </w:t>
      </w:r>
      <w:r>
        <w:rPr>
          <w:rFonts w:cs="Arial" w:hint="cs"/>
          <w:rtl/>
        </w:rPr>
        <w:t>(</w:t>
      </w:r>
      <w:r w:rsidRPr="009D2BBB">
        <w:rPr>
          <w:rFonts w:cs="Arial"/>
          <w:rtl/>
        </w:rPr>
        <w:t>כ</w:t>
      </w:r>
      <w:r w:rsidR="00D0582C">
        <w:rPr>
          <w:rFonts w:cs="Arial" w:hint="cs"/>
          <w:rtl/>
        </w:rPr>
        <w:t>:</w:t>
      </w:r>
      <w:r>
        <w:rPr>
          <w:rFonts w:cs="Arial" w:hint="cs"/>
          <w:rtl/>
        </w:rPr>
        <w:t xml:space="preserve">), </w:t>
      </w:r>
      <w:r w:rsidRPr="00D0582C">
        <w:rPr>
          <w:rFonts w:cs="Arial" w:hint="cs"/>
          <w:b/>
          <w:bCs/>
          <w:rtl/>
        </w:rPr>
        <w:t>ב"ש</w:t>
      </w:r>
      <w:r>
        <w:rPr>
          <w:rFonts w:cs="Arial" w:hint="cs"/>
          <w:rtl/>
        </w:rPr>
        <w:t xml:space="preserve"> (סקט"ז).</w:t>
      </w:r>
      <w:r w:rsidR="00D0582C">
        <w:rPr>
          <w:rFonts w:cs="Arial" w:hint="cs"/>
          <w:rtl/>
        </w:rPr>
        <w:t xml:space="preserve">     </w:t>
      </w:r>
      <w:r w:rsidR="005928A6" w:rsidRPr="005928A6">
        <w:rPr>
          <w:rtl/>
        </w:rPr>
        <w:t xml:space="preserve"> </w:t>
      </w:r>
      <w:r w:rsidR="005928A6" w:rsidRPr="005928A6">
        <w:rPr>
          <w:rFonts w:cs="Arial"/>
          <w:rtl/>
        </w:rPr>
        <w:t xml:space="preserve">וע' בזה בפר"ח </w:t>
      </w:r>
      <w:r w:rsidR="00D0582C">
        <w:rPr>
          <w:rFonts w:cs="Arial" w:hint="cs"/>
          <w:rtl/>
        </w:rPr>
        <w:t>(</w:t>
      </w:r>
      <w:r w:rsidR="005928A6" w:rsidRPr="005928A6">
        <w:rPr>
          <w:rFonts w:cs="Arial"/>
          <w:rtl/>
        </w:rPr>
        <w:t>סקכ"ב</w:t>
      </w:r>
      <w:r w:rsidR="00D0582C">
        <w:rPr>
          <w:rFonts w:cs="Arial" w:hint="cs"/>
          <w:rtl/>
        </w:rPr>
        <w:t>)</w:t>
      </w:r>
      <w:r w:rsidR="005928A6" w:rsidRPr="005928A6">
        <w:rPr>
          <w:rFonts w:cs="Arial"/>
          <w:rtl/>
        </w:rPr>
        <w:t xml:space="preserve"> ובס' שעה"מ </w:t>
      </w:r>
      <w:r w:rsidR="00D0582C">
        <w:rPr>
          <w:rFonts w:cs="Arial" w:hint="cs"/>
          <w:rtl/>
        </w:rPr>
        <w:t>(</w:t>
      </w:r>
      <w:r w:rsidR="005928A6" w:rsidRPr="005928A6">
        <w:rPr>
          <w:rFonts w:cs="Arial"/>
          <w:rtl/>
        </w:rPr>
        <w:t xml:space="preserve">פ"ד מה"ג </w:t>
      </w:r>
      <w:r w:rsidR="00D0582C">
        <w:rPr>
          <w:rFonts w:cs="Arial" w:hint="cs"/>
          <w:rtl/>
        </w:rPr>
        <w:t>ה"ד).</w:t>
      </w:r>
      <w:r w:rsidR="005928A6" w:rsidRPr="005928A6">
        <w:rPr>
          <w:rFonts w:cs="Arial"/>
          <w:rtl/>
        </w:rPr>
        <w:t xml:space="preserve"> ועיין עוד בתשו' נו"ב </w:t>
      </w:r>
      <w:r w:rsidR="00D0582C">
        <w:rPr>
          <w:rFonts w:cs="Arial" w:hint="cs"/>
          <w:rtl/>
        </w:rPr>
        <w:t>(</w:t>
      </w:r>
      <w:r w:rsidR="005928A6" w:rsidRPr="005928A6">
        <w:rPr>
          <w:rFonts w:cs="Arial"/>
          <w:rtl/>
        </w:rPr>
        <w:t>תניינא סי' קלה</w:t>
      </w:r>
      <w:r w:rsidR="00D0582C">
        <w:rPr>
          <w:rFonts w:cs="Arial" w:hint="cs"/>
          <w:rtl/>
        </w:rPr>
        <w:t>)</w:t>
      </w:r>
      <w:r w:rsidR="005928A6" w:rsidRPr="005928A6">
        <w:rPr>
          <w:rFonts w:cs="Arial"/>
          <w:rtl/>
        </w:rPr>
        <w:t xml:space="preserve"> מ"ש בזה</w:t>
      </w:r>
      <w:r w:rsidR="005928A6">
        <w:rPr>
          <w:rFonts w:cs="Arial" w:hint="cs"/>
          <w:rtl/>
        </w:rPr>
        <w:t xml:space="preserve">, </w:t>
      </w:r>
      <w:r w:rsidR="005928A6" w:rsidRPr="00D0582C">
        <w:rPr>
          <w:rFonts w:cs="Arial" w:hint="cs"/>
          <w:b/>
          <w:bCs/>
          <w:rtl/>
        </w:rPr>
        <w:t xml:space="preserve">פת"ש </w:t>
      </w:r>
      <w:r w:rsidR="005928A6">
        <w:rPr>
          <w:rFonts w:cs="Arial" w:hint="cs"/>
          <w:rtl/>
        </w:rPr>
        <w:t>(סקי"ג).</w:t>
      </w:r>
    </w:p>
  </w:footnote>
  <w:footnote w:id="482">
    <w:p w14:paraId="789145A5" w14:textId="0366C575" w:rsidR="00742525" w:rsidRDefault="00742525">
      <w:pPr>
        <w:pStyle w:val="a5"/>
      </w:pPr>
      <w:r>
        <w:rPr>
          <w:rStyle w:val="a7"/>
        </w:rPr>
        <w:footnoteRef/>
      </w:r>
      <w:r>
        <w:rPr>
          <w:rtl/>
        </w:rPr>
        <w:t xml:space="preserve"> </w:t>
      </w:r>
      <w:r w:rsidRPr="00742525">
        <w:rPr>
          <w:rFonts w:cs="Arial"/>
          <w:rtl/>
        </w:rPr>
        <w:t>ואין הבעל יכול לטעון אני לא מסרתי לה הגט רק העבד הלך מעצמו</w:t>
      </w:r>
      <w:r w:rsidR="00D0582C">
        <w:rPr>
          <w:rFonts w:cs="Arial" w:hint="cs"/>
          <w:rtl/>
        </w:rPr>
        <w:t>,</w:t>
      </w:r>
      <w:r w:rsidRPr="00742525">
        <w:rPr>
          <w:rFonts w:cs="Arial"/>
          <w:rtl/>
        </w:rPr>
        <w:t xml:space="preserve"> דהא אם היו באים לדון יחד על העבד ולא היה מביא ראיה על העבד שהיה שלו היה בחזקת מי שהוא עתה</w:t>
      </w:r>
      <w:r w:rsidR="00D0582C">
        <w:rPr>
          <w:rFonts w:cs="Arial" w:hint="cs"/>
          <w:rtl/>
        </w:rPr>
        <w:t>,</w:t>
      </w:r>
      <w:r w:rsidRPr="00742525">
        <w:rPr>
          <w:rFonts w:cs="Arial"/>
          <w:rtl/>
        </w:rPr>
        <w:t xml:space="preserve"> וא</w:t>
      </w:r>
      <w:r w:rsidR="009D2BBB">
        <w:rPr>
          <w:rFonts w:cs="Arial" w:hint="cs"/>
          <w:rtl/>
        </w:rPr>
        <w:t>"</w:t>
      </w:r>
      <w:r w:rsidRPr="00742525">
        <w:rPr>
          <w:rFonts w:cs="Arial"/>
          <w:rtl/>
        </w:rPr>
        <w:t>כ גם הגט בחזקת'</w:t>
      </w:r>
      <w:r w:rsidR="00D0582C">
        <w:rPr>
          <w:rFonts w:cs="Arial" w:hint="cs"/>
          <w:rtl/>
        </w:rPr>
        <w:t>,</w:t>
      </w:r>
      <w:r w:rsidRPr="00742525">
        <w:rPr>
          <w:rFonts w:cs="Arial"/>
          <w:rtl/>
        </w:rPr>
        <w:t xml:space="preserve"> ככל אשה שיש גט בידה</w:t>
      </w:r>
      <w:r w:rsidR="00D0582C">
        <w:rPr>
          <w:rFonts w:cs="Arial" w:hint="cs"/>
          <w:rtl/>
        </w:rPr>
        <w:t>.</w:t>
      </w:r>
      <w:r w:rsidRPr="00742525">
        <w:rPr>
          <w:rFonts w:cs="Arial"/>
          <w:rtl/>
        </w:rPr>
        <w:t xml:space="preserve"> ומכ"ש אם היה ידוע שהעבד שלה והעדים חתומין על יד עבדה</w:t>
      </w:r>
      <w:r w:rsidR="00D0582C">
        <w:rPr>
          <w:rFonts w:cs="Arial" w:hint="cs"/>
          <w:rtl/>
        </w:rPr>
        <w:t>,</w:t>
      </w:r>
      <w:r w:rsidRPr="00742525">
        <w:rPr>
          <w:rFonts w:cs="Arial"/>
          <w:rtl/>
        </w:rPr>
        <w:t xml:space="preserve"> ודאי הקנתו לו כמו גבי טבלא</w:t>
      </w:r>
      <w:r w:rsidR="00D0582C">
        <w:rPr>
          <w:rFonts w:cs="Arial" w:hint="cs"/>
          <w:rtl/>
        </w:rPr>
        <w:t>.</w:t>
      </w:r>
      <w:r w:rsidRPr="00742525">
        <w:rPr>
          <w:rFonts w:cs="Arial"/>
          <w:rtl/>
        </w:rPr>
        <w:t xml:space="preserve"> וכ"כ המ"מ</w:t>
      </w:r>
      <w:r w:rsidR="00D0582C">
        <w:rPr>
          <w:rFonts w:cs="Arial" w:hint="cs"/>
          <w:rtl/>
        </w:rPr>
        <w:t>.</w:t>
      </w:r>
      <w:r w:rsidRPr="00742525">
        <w:rPr>
          <w:rFonts w:cs="Arial"/>
          <w:rtl/>
        </w:rPr>
        <w:t xml:space="preserve"> אבל אם היו מוחזקים בעבד שהוא שלו</w:t>
      </w:r>
      <w:r w:rsidR="00D0582C">
        <w:rPr>
          <w:rFonts w:cs="Arial" w:hint="cs"/>
          <w:rtl/>
        </w:rPr>
        <w:t>,</w:t>
      </w:r>
      <w:r w:rsidRPr="00742525">
        <w:rPr>
          <w:rFonts w:cs="Arial"/>
          <w:rtl/>
        </w:rPr>
        <w:t xml:space="preserve"> ואם היו באים לדון על העבד</w:t>
      </w:r>
      <w:r w:rsidR="00D0582C">
        <w:rPr>
          <w:rFonts w:cs="Arial" w:hint="cs"/>
          <w:rtl/>
        </w:rPr>
        <w:t>,</w:t>
      </w:r>
      <w:r w:rsidRPr="00742525">
        <w:rPr>
          <w:rFonts w:cs="Arial"/>
          <w:rtl/>
        </w:rPr>
        <w:t xml:space="preserve"> היה העבד בחזקתו דהגודרות אין לה חזקה</w:t>
      </w:r>
      <w:r w:rsidR="00D0582C">
        <w:rPr>
          <w:rFonts w:cs="Arial" w:hint="cs"/>
          <w:rtl/>
        </w:rPr>
        <w:t>.</w:t>
      </w:r>
      <w:r w:rsidRPr="00742525">
        <w:rPr>
          <w:rFonts w:cs="Arial"/>
          <w:rtl/>
        </w:rPr>
        <w:t xml:space="preserve"> ומ"מ לענין איסור מידי ספיקא לא נפקא והיא ספק מגורשת</w:t>
      </w:r>
      <w:r w:rsidR="00D0582C">
        <w:rPr>
          <w:rFonts w:cs="Arial" w:hint="cs"/>
          <w:rtl/>
        </w:rPr>
        <w:t>.</w:t>
      </w:r>
      <w:r w:rsidRPr="00742525">
        <w:rPr>
          <w:rFonts w:cs="Arial"/>
          <w:rtl/>
        </w:rPr>
        <w:t xml:space="preserve"> ואם הבעל מודה שנתנו לה</w:t>
      </w:r>
      <w:r w:rsidR="00D0582C">
        <w:rPr>
          <w:rFonts w:cs="Arial" w:hint="cs"/>
          <w:rtl/>
        </w:rPr>
        <w:t xml:space="preserve"> -</w:t>
      </w:r>
      <w:r w:rsidRPr="00742525">
        <w:rPr>
          <w:rFonts w:cs="Arial"/>
          <w:rtl/>
        </w:rPr>
        <w:t xml:space="preserve"> פשיטא דהיא מגורשת</w:t>
      </w:r>
      <w:r>
        <w:rPr>
          <w:rFonts w:cs="Arial" w:hint="cs"/>
          <w:rtl/>
        </w:rPr>
        <w:t>, ח"מ (סקי"ט).</w:t>
      </w:r>
    </w:p>
  </w:footnote>
  <w:footnote w:id="483">
    <w:p w14:paraId="67DFDB52" w14:textId="0B7DDFB2" w:rsidR="004A46D1" w:rsidRDefault="004A46D1">
      <w:pPr>
        <w:pStyle w:val="a5"/>
        <w:rPr>
          <w:rtl/>
        </w:rPr>
      </w:pPr>
      <w:r>
        <w:rPr>
          <w:rStyle w:val="a7"/>
        </w:rPr>
        <w:footnoteRef/>
      </w:r>
      <w:r>
        <w:rPr>
          <w:rtl/>
        </w:rPr>
        <w:t xml:space="preserve"> </w:t>
      </w:r>
      <w:r w:rsidRPr="00FE510D">
        <w:rPr>
          <w:rFonts w:cs="Arial"/>
          <w:rtl/>
        </w:rPr>
        <w:t xml:space="preserve">והרא"ש (ס"כ) גורס </w:t>
      </w:r>
      <w:r>
        <w:rPr>
          <w:rFonts w:cs="Arial" w:hint="cs"/>
          <w:rtl/>
        </w:rPr>
        <w:t>'</w:t>
      </w:r>
      <w:r w:rsidRPr="00FE510D">
        <w:rPr>
          <w:rFonts w:cs="Arial"/>
          <w:rtl/>
        </w:rPr>
        <w:t xml:space="preserve">והרי היא יוצאה מתחת </w:t>
      </w:r>
      <w:r w:rsidRPr="004A46D1">
        <w:rPr>
          <w:rFonts w:cs="Arial"/>
          <w:b/>
          <w:bCs/>
          <w:rtl/>
        </w:rPr>
        <w:t>ידה</w:t>
      </w:r>
      <w:r>
        <w:rPr>
          <w:rFonts w:cs="Arial" w:hint="cs"/>
          <w:rtl/>
        </w:rPr>
        <w:t>'.</w:t>
      </w:r>
      <w:r w:rsidRPr="00FE510D">
        <w:rPr>
          <w:rFonts w:cs="Arial"/>
          <w:rtl/>
        </w:rPr>
        <w:t xml:space="preserve"> ורבינו כתב כגירסת הרא"ש</w:t>
      </w:r>
      <w:r>
        <w:rPr>
          <w:rFonts w:cs="Arial" w:hint="cs"/>
          <w:rtl/>
        </w:rPr>
        <w:t>.</w:t>
      </w:r>
      <w:r w:rsidRPr="00FE510D">
        <w:rPr>
          <w:rFonts w:cs="Arial"/>
          <w:rtl/>
        </w:rPr>
        <w:t xml:space="preserve"> ואין חילוק לענין הדין בין הגירסאות</w:t>
      </w:r>
      <w:r>
        <w:rPr>
          <w:rFonts w:cs="Arial" w:hint="cs"/>
          <w:rtl/>
        </w:rPr>
        <w:t>,</w:t>
      </w:r>
      <w:r w:rsidRPr="00FE510D">
        <w:rPr>
          <w:rFonts w:cs="Arial"/>
          <w:rtl/>
        </w:rPr>
        <w:t xml:space="preserve"> דבין שיוצאת מתחת ידו ובין שיוצאת מתחת ידה מספקא לן אי ידעה לאקנויי כשנתנתו לו</w:t>
      </w:r>
      <w:r>
        <w:rPr>
          <w:rFonts w:hint="cs"/>
          <w:rtl/>
        </w:rPr>
        <w:t>, ב"י.</w:t>
      </w:r>
    </w:p>
  </w:footnote>
  <w:footnote w:id="484">
    <w:p w14:paraId="4F484E9E" w14:textId="74C98CF4" w:rsidR="00C563E9" w:rsidRDefault="00C563E9">
      <w:pPr>
        <w:pStyle w:val="a5"/>
      </w:pPr>
      <w:r>
        <w:rPr>
          <w:rStyle w:val="a7"/>
        </w:rPr>
        <w:footnoteRef/>
      </w:r>
      <w:r>
        <w:rPr>
          <w:rtl/>
        </w:rPr>
        <w:t xml:space="preserve"> </w:t>
      </w:r>
      <w:r w:rsidRPr="00C563E9">
        <w:rPr>
          <w:rFonts w:cs="Arial"/>
          <w:rtl/>
        </w:rPr>
        <w:t>ומקניא ליה לבעל ויהיב לה ניהלה</w:t>
      </w:r>
      <w:r>
        <w:rPr>
          <w:rFonts w:cs="Arial" w:hint="cs"/>
          <w:rtl/>
        </w:rPr>
        <w:t>, רש"י.</w:t>
      </w:r>
    </w:p>
  </w:footnote>
  <w:footnote w:id="485">
    <w:p w14:paraId="4A65C96D" w14:textId="48351891" w:rsidR="00C563E9" w:rsidRDefault="00C563E9">
      <w:pPr>
        <w:pStyle w:val="a5"/>
      </w:pPr>
      <w:r>
        <w:rPr>
          <w:rStyle w:val="a7"/>
        </w:rPr>
        <w:footnoteRef/>
      </w:r>
      <w:r>
        <w:rPr>
          <w:rtl/>
        </w:rPr>
        <w:t xml:space="preserve"> </w:t>
      </w:r>
      <w:r w:rsidRPr="00C563E9">
        <w:rPr>
          <w:rFonts w:cs="Arial"/>
          <w:rtl/>
        </w:rPr>
        <w:t>פרעון הכתובה שפרע ומקנהו לאשה והיא מחתמת עדים ומוסרתו לו לראי</w:t>
      </w:r>
      <w:r w:rsidR="004A46D1">
        <w:rPr>
          <w:rFonts w:cs="Arial" w:hint="cs"/>
          <w:rtl/>
        </w:rPr>
        <w:t>ה</w:t>
      </w:r>
      <w:r w:rsidRPr="00C563E9">
        <w:rPr>
          <w:rFonts w:cs="Arial"/>
          <w:rtl/>
        </w:rPr>
        <w:t xml:space="preserve"> בידו</w:t>
      </w:r>
      <w:r>
        <w:rPr>
          <w:rFonts w:cs="Arial" w:hint="cs"/>
          <w:rtl/>
        </w:rPr>
        <w:t>, רש"י.</w:t>
      </w:r>
    </w:p>
  </w:footnote>
  <w:footnote w:id="486">
    <w:p w14:paraId="26969B0C" w14:textId="1D430B21" w:rsidR="004A46D1" w:rsidRDefault="004A46D1">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4A46D1">
        <w:rPr>
          <w:rFonts w:cs="Arial"/>
          <w:rtl/>
        </w:rPr>
        <w:t>היה הגט חקוק על הטבלה והעדים עליו והוא יוצא מתחת ידה אע</w:t>
      </w:r>
      <w:r>
        <w:rPr>
          <w:rFonts w:cs="Arial" w:hint="cs"/>
          <w:rtl/>
        </w:rPr>
        <w:t>"פ</w:t>
      </w:r>
      <w:r w:rsidRPr="004A46D1">
        <w:rPr>
          <w:rFonts w:cs="Arial"/>
          <w:rtl/>
        </w:rPr>
        <w:t xml:space="preserve"> שהן מוחזקין בטבלה שהיא שלה הרי זו מגורשת, שהאשה עצמה כותבת את גיטה, שאין קיום הגט אלא בחותמיו אם אין שם עידי מסירה</w:t>
      </w:r>
      <w:r>
        <w:rPr>
          <w:rFonts w:cs="Arial" w:hint="cs"/>
          <w:rtl/>
        </w:rPr>
        <w:t>.</w:t>
      </w:r>
    </w:p>
  </w:footnote>
  <w:footnote w:id="487">
    <w:p w14:paraId="548E1E00" w14:textId="69223388" w:rsidR="00583BD7" w:rsidRDefault="00583BD7">
      <w:pPr>
        <w:pStyle w:val="a5"/>
      </w:pPr>
      <w:r>
        <w:rPr>
          <w:rStyle w:val="a7"/>
        </w:rPr>
        <w:footnoteRef/>
      </w:r>
      <w:r>
        <w:rPr>
          <w:rtl/>
        </w:rPr>
        <w:t xml:space="preserve"> </w:t>
      </w:r>
      <w:r w:rsidRPr="00583BD7">
        <w:rPr>
          <w:rFonts w:cs="Arial"/>
          <w:rtl/>
        </w:rPr>
        <w:t>כלומר על קלף שלה ויודעת שפיר להקנות לבעל בקנין גמור ולא בדרך שאלה אע</w:t>
      </w:r>
      <w:r>
        <w:rPr>
          <w:rFonts w:cs="Arial" w:hint="cs"/>
          <w:rtl/>
        </w:rPr>
        <w:t>"</w:t>
      </w:r>
      <w:r w:rsidRPr="00583BD7">
        <w:rPr>
          <w:rFonts w:cs="Arial"/>
          <w:rtl/>
        </w:rPr>
        <w:t>פ שיודעת שיחזיר לה הגט</w:t>
      </w:r>
      <w:r>
        <w:rPr>
          <w:rFonts w:cs="Arial" w:hint="cs"/>
          <w:rtl/>
        </w:rPr>
        <w:t xml:space="preserve">, </w:t>
      </w:r>
      <w:r w:rsidRPr="000F236A">
        <w:rPr>
          <w:rFonts w:cs="Arial" w:hint="cs"/>
          <w:b/>
          <w:bCs/>
          <w:rtl/>
        </w:rPr>
        <w:t>ח"מ</w:t>
      </w:r>
      <w:r>
        <w:rPr>
          <w:rFonts w:cs="Arial" w:hint="cs"/>
          <w:rtl/>
        </w:rPr>
        <w:t xml:space="preserve"> (סקכ"ב).</w:t>
      </w:r>
      <w:r w:rsidRPr="00583BD7">
        <w:rPr>
          <w:rtl/>
        </w:rPr>
        <w:t xml:space="preserve"> </w:t>
      </w:r>
      <w:r w:rsidRPr="00583BD7">
        <w:rPr>
          <w:rFonts w:cs="Arial"/>
          <w:rtl/>
        </w:rPr>
        <w:t>ואם ידוע דלא הקנ</w:t>
      </w:r>
      <w:r>
        <w:rPr>
          <w:rFonts w:cs="Arial" w:hint="cs"/>
          <w:rtl/>
        </w:rPr>
        <w:t>ת</w:t>
      </w:r>
      <w:r w:rsidRPr="00583BD7">
        <w:rPr>
          <w:rFonts w:cs="Arial"/>
          <w:rtl/>
        </w:rPr>
        <w:t xml:space="preserve">ה לו </w:t>
      </w:r>
      <w:r>
        <w:rPr>
          <w:rFonts w:cs="Arial" w:hint="cs"/>
          <w:rtl/>
        </w:rPr>
        <w:t xml:space="preserve">- </w:t>
      </w:r>
      <w:r w:rsidRPr="00583BD7">
        <w:rPr>
          <w:rFonts w:cs="Arial"/>
          <w:rtl/>
        </w:rPr>
        <w:t>אינה מגורשת</w:t>
      </w:r>
      <w:r>
        <w:rPr>
          <w:rFonts w:cs="Arial" w:hint="cs"/>
          <w:rtl/>
        </w:rPr>
        <w:t>,</w:t>
      </w:r>
      <w:r w:rsidRPr="00583BD7">
        <w:rPr>
          <w:rFonts w:cs="Arial"/>
          <w:rtl/>
        </w:rPr>
        <w:t xml:space="preserve"> ולא אמרי' בזה דחז"ל הקנוהו לו כמ"ש בסי' ק"</w:t>
      </w:r>
      <w:r>
        <w:rPr>
          <w:rFonts w:cs="Arial" w:hint="cs"/>
          <w:rtl/>
        </w:rPr>
        <w:t>כ.</w:t>
      </w:r>
      <w:r w:rsidRPr="00583BD7">
        <w:rPr>
          <w:rFonts w:cs="Arial"/>
          <w:rtl/>
        </w:rPr>
        <w:t xml:space="preserve"> ובת' רש"ך כתב דהרשב"א ס"ל אפי' בכה"ג הקנוהו ל</w:t>
      </w:r>
      <w:r w:rsidR="005928A6">
        <w:rPr>
          <w:rFonts w:cs="Arial" w:hint="cs"/>
          <w:rtl/>
        </w:rPr>
        <w:t>ו</w:t>
      </w:r>
      <w:r w:rsidRPr="00583BD7">
        <w:rPr>
          <w:rFonts w:cs="Arial"/>
          <w:rtl/>
        </w:rPr>
        <w:t xml:space="preserve"> </w:t>
      </w:r>
      <w:r>
        <w:rPr>
          <w:rFonts w:cs="Arial" w:hint="cs"/>
          <w:rtl/>
        </w:rPr>
        <w:t>ל</w:t>
      </w:r>
      <w:r w:rsidRPr="00583BD7">
        <w:rPr>
          <w:rFonts w:cs="Arial"/>
          <w:rtl/>
        </w:rPr>
        <w:t>בעל חז"ל</w:t>
      </w:r>
      <w:r w:rsidR="005928A6">
        <w:rPr>
          <w:rFonts w:cs="Arial" w:hint="cs"/>
          <w:rtl/>
        </w:rPr>
        <w:t>.</w:t>
      </w:r>
      <w:r w:rsidRPr="00583BD7">
        <w:rPr>
          <w:rFonts w:cs="Arial"/>
          <w:rtl/>
        </w:rPr>
        <w:t xml:space="preserve"> גם כתב דהרמב"ם ס"ל ג</w:t>
      </w:r>
      <w:r w:rsidR="005928A6">
        <w:rPr>
          <w:rFonts w:cs="Arial" w:hint="cs"/>
          <w:rtl/>
        </w:rPr>
        <w:t>"</w:t>
      </w:r>
      <w:r w:rsidRPr="00583BD7">
        <w:rPr>
          <w:rFonts w:cs="Arial"/>
          <w:rtl/>
        </w:rPr>
        <w:t>כ כן</w:t>
      </w:r>
      <w:r w:rsidR="005928A6">
        <w:rPr>
          <w:rFonts w:cs="Arial" w:hint="cs"/>
          <w:rtl/>
        </w:rPr>
        <w:t>.</w:t>
      </w:r>
      <w:r w:rsidRPr="00583BD7">
        <w:rPr>
          <w:rFonts w:cs="Arial"/>
          <w:rtl/>
        </w:rPr>
        <w:t xml:space="preserve"> ואנ"ל</w:t>
      </w:r>
      <w:r>
        <w:rPr>
          <w:rFonts w:hint="cs"/>
          <w:rtl/>
        </w:rPr>
        <w:t xml:space="preserve">, </w:t>
      </w:r>
      <w:r w:rsidRPr="000F236A">
        <w:rPr>
          <w:rFonts w:hint="cs"/>
          <w:b/>
          <w:bCs/>
          <w:rtl/>
        </w:rPr>
        <w:t>ב"ש</w:t>
      </w:r>
      <w:r>
        <w:rPr>
          <w:rFonts w:hint="cs"/>
          <w:rtl/>
        </w:rPr>
        <w:t xml:space="preserve"> (סקי"ט).</w:t>
      </w:r>
    </w:p>
  </w:footnote>
  <w:footnote w:id="488">
    <w:p w14:paraId="126636D7" w14:textId="4F1FC1E9" w:rsidR="005C343F" w:rsidRDefault="005C343F">
      <w:pPr>
        <w:pStyle w:val="a5"/>
        <w:rPr>
          <w:rtl/>
        </w:rPr>
      </w:pPr>
      <w:r>
        <w:rPr>
          <w:rStyle w:val="a7"/>
        </w:rPr>
        <w:footnoteRef/>
      </w:r>
      <w:r>
        <w:rPr>
          <w:rtl/>
        </w:rPr>
        <w:t xml:space="preserve"> </w:t>
      </w:r>
      <w:r w:rsidRPr="005C343F">
        <w:rPr>
          <w:rFonts w:cs="Arial"/>
          <w:rtl/>
        </w:rPr>
        <w:t>דמקום גט בעי למיתב לה מתנה גמורה משום גירושין ולא לשם פרעון דכתיב ונתן</w:t>
      </w:r>
      <w:r>
        <w:rPr>
          <w:rFonts w:hint="cs"/>
          <w:rtl/>
        </w:rPr>
        <w:t>, רש"י.</w:t>
      </w:r>
    </w:p>
  </w:footnote>
  <w:footnote w:id="489">
    <w:p w14:paraId="2447B4D9" w14:textId="78D50676" w:rsidR="005C343F" w:rsidRDefault="005C343F">
      <w:pPr>
        <w:pStyle w:val="a5"/>
      </w:pPr>
      <w:r>
        <w:rPr>
          <w:rStyle w:val="a7"/>
        </w:rPr>
        <w:footnoteRef/>
      </w:r>
      <w:r>
        <w:rPr>
          <w:rtl/>
        </w:rPr>
        <w:t xml:space="preserve"> </w:t>
      </w:r>
      <w:r w:rsidRPr="005C343F">
        <w:rPr>
          <w:rFonts w:cs="Arial"/>
          <w:rtl/>
        </w:rPr>
        <w:t>לכתובתיך</w:t>
      </w:r>
      <w:r>
        <w:rPr>
          <w:rFonts w:cs="Arial" w:hint="cs"/>
          <w:rtl/>
        </w:rPr>
        <w:t>, רש"י.</w:t>
      </w:r>
    </w:p>
  </w:footnote>
  <w:footnote w:id="490">
    <w:p w14:paraId="1F2FCC1F" w14:textId="0A7F517C" w:rsidR="005C343F" w:rsidRDefault="005C343F">
      <w:pPr>
        <w:pStyle w:val="a5"/>
      </w:pPr>
      <w:r>
        <w:rPr>
          <w:rStyle w:val="a7"/>
        </w:rPr>
        <w:footnoteRef/>
      </w:r>
      <w:r>
        <w:rPr>
          <w:rtl/>
        </w:rPr>
        <w:t xml:space="preserve"> </w:t>
      </w:r>
      <w:r w:rsidRPr="005C343F">
        <w:rPr>
          <w:rFonts w:cs="Arial"/>
          <w:rtl/>
        </w:rPr>
        <w:t>גליון</w:t>
      </w:r>
      <w:r>
        <w:rPr>
          <w:rFonts w:cs="Arial" w:hint="cs"/>
          <w:rtl/>
        </w:rPr>
        <w:t>, רש"י.</w:t>
      </w:r>
    </w:p>
  </w:footnote>
  <w:footnote w:id="491">
    <w:p w14:paraId="3F0B431A" w14:textId="77777777" w:rsidR="00583BD7" w:rsidRDefault="00583BD7" w:rsidP="00583BD7">
      <w:pPr>
        <w:pStyle w:val="a5"/>
      </w:pPr>
      <w:r>
        <w:rPr>
          <w:rStyle w:val="a7"/>
        </w:rPr>
        <w:footnoteRef/>
      </w:r>
      <w:r>
        <w:rPr>
          <w:rtl/>
        </w:rPr>
        <w:t xml:space="preserve"> </w:t>
      </w:r>
      <w:r w:rsidRPr="005C343F">
        <w:rPr>
          <w:rFonts w:cs="Arial"/>
          <w:rtl/>
        </w:rPr>
        <w:t xml:space="preserve">וכתב הרשב"א (כ: ד"ה אמר) כי אמר לה </w:t>
      </w:r>
      <w:r>
        <w:rPr>
          <w:rFonts w:cs="Arial" w:hint="cs"/>
          <w:rtl/>
        </w:rPr>
        <w:t>'</w:t>
      </w:r>
      <w:r w:rsidRPr="005C343F">
        <w:rPr>
          <w:rFonts w:cs="Arial"/>
          <w:rtl/>
        </w:rPr>
        <w:t>התקבלי גיטך והתקבלי כתובתך</w:t>
      </w:r>
      <w:r>
        <w:rPr>
          <w:rFonts w:cs="Arial" w:hint="cs"/>
          <w:rtl/>
        </w:rPr>
        <w:t>'</w:t>
      </w:r>
      <w:r w:rsidRPr="005C343F">
        <w:rPr>
          <w:rFonts w:cs="Arial"/>
          <w:rtl/>
        </w:rPr>
        <w:t xml:space="preserve"> אמאי אמרינן דנתקבלה גיטה ונתקבלה כתובתה הא הוה ליה גט הפורח באויר</w:t>
      </w:r>
      <w:r>
        <w:rPr>
          <w:rFonts w:cs="Arial" w:hint="cs"/>
          <w:rtl/>
        </w:rPr>
        <w:t>.</w:t>
      </w:r>
      <w:r w:rsidRPr="005C343F">
        <w:rPr>
          <w:rFonts w:cs="Arial"/>
          <w:rtl/>
        </w:rPr>
        <w:t xml:space="preserve"> ותירץ דהוי כאומר התקבלי גיטך ומחלי לי כתובתך </w:t>
      </w:r>
      <w:r w:rsidRPr="00583BD7">
        <w:rPr>
          <w:rFonts w:cs="Arial"/>
          <w:sz w:val="16"/>
          <w:szCs w:val="16"/>
          <w:rtl/>
        </w:rPr>
        <w:t>[עכ"ל]</w:t>
      </w:r>
      <w:r w:rsidRPr="005C343F">
        <w:rPr>
          <w:rFonts w:cs="Arial"/>
          <w:rtl/>
        </w:rPr>
        <w:t>. וכפי מה שכתב הרמב"ם שאינה מקובלת מכתובתה אלא בשיווי הטס צ"ל דהוה ליה כאומר לה התקבלי גיטך ומחלי כתובתך בשיווי הטס</w:t>
      </w:r>
      <w:r>
        <w:rPr>
          <w:rFonts w:cs="Arial" w:hint="cs"/>
          <w:rtl/>
        </w:rPr>
        <w:t>, ב"י.</w:t>
      </w:r>
    </w:p>
  </w:footnote>
  <w:footnote w:id="492">
    <w:p w14:paraId="294AE87A" w14:textId="715DA70E" w:rsidR="00FE510D" w:rsidRDefault="00FE510D">
      <w:pPr>
        <w:pStyle w:val="a5"/>
      </w:pPr>
      <w:r>
        <w:rPr>
          <w:rStyle w:val="a7"/>
        </w:rPr>
        <w:footnoteRef/>
      </w:r>
      <w:r>
        <w:rPr>
          <w:rtl/>
        </w:rPr>
        <w:t xml:space="preserve"> </w:t>
      </w:r>
      <w:r w:rsidR="000877D0" w:rsidRPr="003E78AA">
        <w:rPr>
          <w:rFonts w:cs="Arial"/>
          <w:rtl/>
        </w:rPr>
        <w:t>וכ</w:t>
      </w:r>
      <w:r w:rsidR="000877D0">
        <w:rPr>
          <w:rFonts w:cs="Arial" w:hint="cs"/>
          <w:rtl/>
        </w:rPr>
        <w:t>"כ</w:t>
      </w:r>
      <w:r w:rsidR="000877D0" w:rsidRPr="003E78AA">
        <w:rPr>
          <w:rFonts w:cs="Arial"/>
          <w:rtl/>
        </w:rPr>
        <w:t xml:space="preserve"> סמ"ג בסדר כתיבת הגט (עשין נ קלב ע"ד)</w:t>
      </w:r>
      <w:r w:rsidR="000877D0">
        <w:rPr>
          <w:rFonts w:cs="Arial" w:hint="cs"/>
          <w:rtl/>
        </w:rPr>
        <w:t>,</w:t>
      </w:r>
      <w:r w:rsidR="000877D0" w:rsidRPr="003E78AA">
        <w:rPr>
          <w:rFonts w:cs="Arial"/>
          <w:rtl/>
        </w:rPr>
        <w:t xml:space="preserve"> וכ</w:t>
      </w:r>
      <w:r w:rsidR="000877D0">
        <w:rPr>
          <w:rFonts w:cs="Arial" w:hint="cs"/>
          <w:rtl/>
        </w:rPr>
        <w:t>"</w:t>
      </w:r>
      <w:r w:rsidR="000877D0" w:rsidRPr="003E78AA">
        <w:rPr>
          <w:rFonts w:cs="Arial"/>
          <w:rtl/>
        </w:rPr>
        <w:t xml:space="preserve">כ </w:t>
      </w:r>
      <w:r w:rsidR="009334FF">
        <w:rPr>
          <w:rFonts w:cs="Arial"/>
          <w:rtl/>
        </w:rPr>
        <w:t>בהג"ה</w:t>
      </w:r>
      <w:r w:rsidR="000877D0">
        <w:rPr>
          <w:rFonts w:cs="Arial" w:hint="cs"/>
          <w:rtl/>
        </w:rPr>
        <w:t>"מ</w:t>
      </w:r>
      <w:r w:rsidR="000877D0" w:rsidRPr="003E78AA">
        <w:rPr>
          <w:rFonts w:cs="Arial"/>
          <w:rtl/>
        </w:rPr>
        <w:t xml:space="preserve"> בשם הגאונים בפ</w:t>
      </w:r>
      <w:r w:rsidR="000877D0">
        <w:rPr>
          <w:rFonts w:cs="Arial" w:hint="cs"/>
          <w:rtl/>
        </w:rPr>
        <w:t>"</w:t>
      </w:r>
      <w:r w:rsidR="000877D0" w:rsidRPr="003E78AA">
        <w:rPr>
          <w:rFonts w:cs="Arial"/>
          <w:rtl/>
        </w:rPr>
        <w:t>ד (סוף אות ה)</w:t>
      </w:r>
      <w:r w:rsidR="000877D0">
        <w:rPr>
          <w:rFonts w:cs="Arial" w:hint="cs"/>
          <w:rtl/>
        </w:rPr>
        <w:t>, ב"י.</w:t>
      </w:r>
      <w:r w:rsidRPr="00FE510D">
        <w:rPr>
          <w:rFonts w:cs="Arial"/>
          <w:rtl/>
        </w:rPr>
        <w:t xml:space="preserve"> </w:t>
      </w:r>
      <w:r w:rsidR="00235732">
        <w:rPr>
          <w:rFonts w:cs="Arial" w:hint="cs"/>
          <w:rtl/>
        </w:rPr>
        <w:t>וגם המרדכי (גיטין סי' שמ, הביאו הדרכ"מ אות ד) כתב כ</w:t>
      </w:r>
      <w:r w:rsidR="000A780D">
        <w:rPr>
          <w:rFonts w:cs="Arial" w:hint="cs"/>
          <w:rtl/>
        </w:rPr>
        <w:t>עין זה בשם התוס',</w:t>
      </w:r>
      <w:r w:rsidR="00235732">
        <w:rPr>
          <w:rFonts w:cs="Arial" w:hint="cs"/>
          <w:rtl/>
        </w:rPr>
        <w:t xml:space="preserve"> </w:t>
      </w:r>
      <w:r w:rsidR="000A0F5A">
        <w:rPr>
          <w:rFonts w:cs="Arial" w:hint="cs"/>
          <w:rtl/>
        </w:rPr>
        <w:t>וז</w:t>
      </w:r>
      <w:r w:rsidR="000A0F5A">
        <w:rPr>
          <w:rFonts w:cs="Arial"/>
          <w:rtl/>
        </w:rPr>
        <w:t>"</w:t>
      </w:r>
      <w:r w:rsidR="000A0F5A">
        <w:rPr>
          <w:rFonts w:cs="Arial" w:hint="cs"/>
          <w:rtl/>
        </w:rPr>
        <w:t>ל:</w:t>
      </w:r>
      <w:r w:rsidR="00235732">
        <w:rPr>
          <w:rFonts w:cs="Arial" w:hint="cs"/>
          <w:rtl/>
        </w:rPr>
        <w:t xml:space="preserve"> </w:t>
      </w:r>
      <w:r w:rsidR="00235732" w:rsidRPr="00235732">
        <w:rPr>
          <w:rFonts w:cs="Arial"/>
          <w:rtl/>
        </w:rPr>
        <w:t>וכל דבר שהוא מתקיים כו' מכאן יש ליזהר שלא ליתן גט לאשה כשהוא לח שהרי אינו של קיימא</w:t>
      </w:r>
      <w:r w:rsidR="00235732">
        <w:rPr>
          <w:rFonts w:hint="cs"/>
          <w:rtl/>
        </w:rPr>
        <w:t>.</w:t>
      </w:r>
    </w:p>
  </w:footnote>
  <w:footnote w:id="493">
    <w:p w14:paraId="70608177" w14:textId="5E4C9E44" w:rsidR="00E9419D" w:rsidRDefault="00E9419D">
      <w:pPr>
        <w:pStyle w:val="a5"/>
      </w:pPr>
      <w:r>
        <w:rPr>
          <w:rStyle w:val="a7"/>
        </w:rPr>
        <w:footnoteRef/>
      </w:r>
      <w:r>
        <w:rPr>
          <w:rtl/>
        </w:rPr>
        <w:t xml:space="preserve"> </w:t>
      </w:r>
      <w:r w:rsidRPr="005928A6">
        <w:rPr>
          <w:rFonts w:cs="Arial"/>
          <w:rtl/>
        </w:rPr>
        <w:t>כתב בס' ג"פ</w:t>
      </w:r>
      <w:r w:rsidR="000A780D">
        <w:rPr>
          <w:rFonts w:cs="Arial" w:hint="cs"/>
          <w:rtl/>
        </w:rPr>
        <w:t>:</w:t>
      </w:r>
      <w:r w:rsidRPr="005928A6">
        <w:rPr>
          <w:rFonts w:cs="Arial"/>
          <w:rtl/>
        </w:rPr>
        <w:t xml:space="preserve"> מלשון זה משמע דבשעת חתימת העדים לא איכפת לן אם כתיבת הגט הוא לחה עדיין</w:t>
      </w:r>
      <w:r w:rsidR="000A780D">
        <w:rPr>
          <w:rFonts w:cs="Arial" w:hint="cs"/>
          <w:rtl/>
        </w:rPr>
        <w:t>,</w:t>
      </w:r>
      <w:r w:rsidRPr="005928A6">
        <w:rPr>
          <w:rFonts w:cs="Arial"/>
          <w:rtl/>
        </w:rPr>
        <w:t xml:space="preserve"> אלא בשעת נתינת הגט ביד האשה בעינן שלא יתננו לה עד שתתייבש כתיבת הגט וחתימת העדים</w:t>
      </w:r>
      <w:r w:rsidR="000A780D">
        <w:rPr>
          <w:rFonts w:cs="Arial" w:hint="cs"/>
          <w:rtl/>
        </w:rPr>
        <w:t>.</w:t>
      </w:r>
      <w:r w:rsidRPr="005928A6">
        <w:rPr>
          <w:rFonts w:cs="Arial"/>
          <w:rtl/>
        </w:rPr>
        <w:t xml:space="preserve"> וזה סותר למ"ש מרן ס"ס ק"ל סכ"ב דיש מי שאומר דצריך שיתייבש הגט קודם שיחתמו העדים</w:t>
      </w:r>
      <w:r w:rsidR="000A780D">
        <w:rPr>
          <w:rFonts w:cs="Arial" w:hint="cs"/>
          <w:rtl/>
        </w:rPr>
        <w:t>.</w:t>
      </w:r>
      <w:r w:rsidRPr="005928A6">
        <w:rPr>
          <w:rFonts w:cs="Arial"/>
          <w:rtl/>
        </w:rPr>
        <w:t xml:space="preserve"> ומבואר בב"י שמ"ש כאן הוא סברת סמ"ג וסה"ת והגמי"י</w:t>
      </w:r>
      <w:r w:rsidR="000A780D">
        <w:rPr>
          <w:rFonts w:cs="Arial" w:hint="cs"/>
          <w:rtl/>
        </w:rPr>
        <w:t>,</w:t>
      </w:r>
      <w:r w:rsidRPr="005928A6">
        <w:rPr>
          <w:rFonts w:cs="Arial"/>
          <w:rtl/>
        </w:rPr>
        <w:t xml:space="preserve"> ומ"ש בסי' ק"ל הוא סברת הקונדרי'</w:t>
      </w:r>
      <w:r w:rsidR="000A780D">
        <w:rPr>
          <w:rFonts w:cs="Arial" w:hint="cs"/>
          <w:rtl/>
        </w:rPr>
        <w:t>,</w:t>
      </w:r>
      <w:r w:rsidRPr="005928A6">
        <w:rPr>
          <w:rFonts w:cs="Arial"/>
          <w:rtl/>
        </w:rPr>
        <w:t xml:space="preserve"> ומשמע דפליגי אהדדי</w:t>
      </w:r>
      <w:r w:rsidR="000A780D">
        <w:rPr>
          <w:rFonts w:cs="Arial" w:hint="cs"/>
          <w:rtl/>
        </w:rPr>
        <w:t>.</w:t>
      </w:r>
      <w:r w:rsidRPr="005928A6">
        <w:rPr>
          <w:rFonts w:cs="Arial"/>
          <w:rtl/>
        </w:rPr>
        <w:t xml:space="preserve"> ואפשר דמש"ה כתב כאן סתם</w:t>
      </w:r>
      <w:r w:rsidR="000A780D">
        <w:rPr>
          <w:rFonts w:cs="Arial" w:hint="cs"/>
          <w:rtl/>
        </w:rPr>
        <w:t>,</w:t>
      </w:r>
      <w:r w:rsidRPr="005928A6">
        <w:rPr>
          <w:rFonts w:cs="Arial"/>
          <w:rtl/>
        </w:rPr>
        <w:t xml:space="preserve"> והתם כתב בשם יש מי שאומר לומר דסברא יחידאה היא אלא דלכתחלה מיהא טוב לחוש לדברי הקונדריס עכ"ל</w:t>
      </w:r>
      <w:r w:rsidR="000A780D">
        <w:rPr>
          <w:rFonts w:cs="Arial" w:hint="cs"/>
          <w:rtl/>
        </w:rPr>
        <w:t>.</w:t>
      </w:r>
      <w:r w:rsidRPr="005928A6">
        <w:rPr>
          <w:rFonts w:cs="Arial"/>
          <w:rtl/>
        </w:rPr>
        <w:t xml:space="preserve"> ועיין בתשו' הרדב"ז </w:t>
      </w:r>
      <w:r w:rsidR="000A780D">
        <w:rPr>
          <w:rFonts w:cs="Arial" w:hint="cs"/>
          <w:rtl/>
        </w:rPr>
        <w:t>(</w:t>
      </w:r>
      <w:r w:rsidRPr="005928A6">
        <w:rPr>
          <w:rFonts w:cs="Arial"/>
          <w:rtl/>
        </w:rPr>
        <w:t>ח"א ס"ס קנא</w:t>
      </w:r>
      <w:r w:rsidR="000A780D">
        <w:rPr>
          <w:rFonts w:cs="Arial" w:hint="cs"/>
          <w:rtl/>
        </w:rPr>
        <w:t>)</w:t>
      </w:r>
      <w:r w:rsidRPr="005928A6">
        <w:rPr>
          <w:rFonts w:cs="Arial"/>
          <w:rtl/>
        </w:rPr>
        <w:t xml:space="preserve"> ויובא בס"ס ק"ל שם</w:t>
      </w:r>
      <w:r>
        <w:rPr>
          <w:rFonts w:cs="Arial" w:hint="cs"/>
          <w:rtl/>
        </w:rPr>
        <w:t>, פת"ש (סקט"ו).</w:t>
      </w:r>
    </w:p>
  </w:footnote>
  <w:footnote w:id="494">
    <w:p w14:paraId="16934147" w14:textId="5DCF9361" w:rsidR="00AF4AED" w:rsidRDefault="00AF4AED">
      <w:pPr>
        <w:pStyle w:val="a5"/>
      </w:pPr>
      <w:r>
        <w:rPr>
          <w:rStyle w:val="a7"/>
        </w:rPr>
        <w:footnoteRef/>
      </w:r>
      <w:r>
        <w:rPr>
          <w:rtl/>
        </w:rPr>
        <w:t xml:space="preserve"> </w:t>
      </w:r>
      <w:r w:rsidRPr="005928A6">
        <w:rPr>
          <w:rFonts w:cs="Arial"/>
          <w:rtl/>
        </w:rPr>
        <w:t xml:space="preserve">עיין בתשו' ב"ח </w:t>
      </w:r>
      <w:r>
        <w:rPr>
          <w:rFonts w:cs="Arial" w:hint="cs"/>
          <w:rtl/>
        </w:rPr>
        <w:t>(</w:t>
      </w:r>
      <w:r w:rsidRPr="005928A6">
        <w:rPr>
          <w:rFonts w:cs="Arial"/>
          <w:rtl/>
        </w:rPr>
        <w:t>החדשות סי</w:t>
      </w:r>
      <w:r>
        <w:rPr>
          <w:rFonts w:cs="Arial" w:hint="cs"/>
          <w:rtl/>
        </w:rPr>
        <w:t>'</w:t>
      </w:r>
      <w:r w:rsidRPr="005928A6">
        <w:rPr>
          <w:rFonts w:cs="Arial"/>
          <w:rtl/>
        </w:rPr>
        <w:t xml:space="preserve"> צג</w:t>
      </w:r>
      <w:r>
        <w:rPr>
          <w:rFonts w:cs="Arial" w:hint="cs"/>
          <w:rtl/>
        </w:rPr>
        <w:t>)</w:t>
      </w:r>
      <w:r w:rsidRPr="005928A6">
        <w:rPr>
          <w:rFonts w:cs="Arial"/>
          <w:rtl/>
        </w:rPr>
        <w:t xml:space="preserve"> שכ' דלפום ריהטא משמע מלשון </w:t>
      </w:r>
      <w:r w:rsidR="000A780D">
        <w:rPr>
          <w:rFonts w:cs="Arial" w:hint="cs"/>
          <w:rtl/>
        </w:rPr>
        <w:t>"</w:t>
      </w:r>
      <w:r w:rsidRPr="005928A6">
        <w:rPr>
          <w:rFonts w:cs="Arial"/>
          <w:rtl/>
        </w:rPr>
        <w:t>פן יהא קרוי</w:t>
      </w:r>
      <w:r w:rsidR="000A780D">
        <w:rPr>
          <w:rFonts w:cs="Arial" w:hint="cs"/>
          <w:rtl/>
        </w:rPr>
        <w:t>"</w:t>
      </w:r>
      <w:r w:rsidRPr="005928A6">
        <w:rPr>
          <w:rFonts w:cs="Arial"/>
          <w:rtl/>
        </w:rPr>
        <w:t xml:space="preserve"> דבזה אינו אלא חומרא בעלמא</w:t>
      </w:r>
      <w:r>
        <w:rPr>
          <w:rFonts w:cs="Arial" w:hint="cs"/>
          <w:rtl/>
        </w:rPr>
        <w:t>.</w:t>
      </w:r>
      <w:r w:rsidRPr="005928A6">
        <w:rPr>
          <w:rFonts w:cs="Arial"/>
          <w:rtl/>
        </w:rPr>
        <w:t xml:space="preserve"> אך באמת ז</w:t>
      </w:r>
      <w:r>
        <w:rPr>
          <w:rFonts w:cs="Arial" w:hint="cs"/>
          <w:rtl/>
        </w:rPr>
        <w:t xml:space="preserve">ה </w:t>
      </w:r>
      <w:r w:rsidRPr="005928A6">
        <w:rPr>
          <w:rFonts w:cs="Arial"/>
          <w:rtl/>
        </w:rPr>
        <w:t>א</w:t>
      </w:r>
      <w:r>
        <w:rPr>
          <w:rFonts w:cs="Arial" w:hint="cs"/>
          <w:rtl/>
        </w:rPr>
        <w:t>ינו,</w:t>
      </w:r>
      <w:r w:rsidRPr="005928A6">
        <w:rPr>
          <w:rFonts w:cs="Arial"/>
          <w:rtl/>
        </w:rPr>
        <w:t xml:space="preserve"> והכוונה בזה על מה שכתב שתתייבש יפה</w:t>
      </w:r>
      <w:r>
        <w:rPr>
          <w:rFonts w:cs="Arial" w:hint="cs"/>
          <w:rtl/>
        </w:rPr>
        <w:t>,</w:t>
      </w:r>
      <w:r w:rsidRPr="005928A6">
        <w:rPr>
          <w:rFonts w:cs="Arial"/>
          <w:rtl/>
        </w:rPr>
        <w:t xml:space="preserve"> שבלי ספק פירושו שיהי</w:t>
      </w:r>
      <w:r>
        <w:rPr>
          <w:rFonts w:cs="Arial" w:hint="cs"/>
          <w:rtl/>
        </w:rPr>
        <w:t>ה</w:t>
      </w:r>
      <w:r w:rsidRPr="005928A6">
        <w:rPr>
          <w:rFonts w:cs="Arial"/>
          <w:rtl/>
        </w:rPr>
        <w:t xml:space="preserve"> יבש מאוד פן ואולי אם לא יתייבש יפה יהא קרוי מכל מקום כתב שיכול להזדייף</w:t>
      </w:r>
      <w:r>
        <w:rPr>
          <w:rFonts w:cs="Arial" w:hint="cs"/>
          <w:rtl/>
        </w:rPr>
        <w:t>,</w:t>
      </w:r>
      <w:r w:rsidRPr="005928A6">
        <w:rPr>
          <w:rFonts w:cs="Arial"/>
          <w:rtl/>
        </w:rPr>
        <w:t xml:space="preserve"> דאע"פ שא"א לזייף מאחר שנתייבש מ"מ יהא קרוי כך</w:t>
      </w:r>
      <w:r>
        <w:rPr>
          <w:rFonts w:cs="Arial" w:hint="cs"/>
          <w:rtl/>
        </w:rPr>
        <w:t>.</w:t>
      </w:r>
      <w:r w:rsidRPr="005928A6">
        <w:rPr>
          <w:rFonts w:cs="Arial"/>
          <w:rtl/>
        </w:rPr>
        <w:t xml:space="preserve"> אבל אם לא נתייבש כלל והוא עדיין לח אינו קרוי כ' שיכול להזדייף אלא הוא ממש כתב שיכול להזדייף עכ"ל</w:t>
      </w:r>
      <w:r>
        <w:rPr>
          <w:rFonts w:cs="Arial" w:hint="cs"/>
          <w:rtl/>
        </w:rPr>
        <w:t>.</w:t>
      </w:r>
      <w:r w:rsidRPr="005928A6">
        <w:rPr>
          <w:rFonts w:cs="Arial"/>
          <w:rtl/>
        </w:rPr>
        <w:t xml:space="preserve"> ועמ"ש לקמן סי' קכ"ה סט"ו ס"ק</w:t>
      </w:r>
      <w:r>
        <w:rPr>
          <w:rFonts w:cs="Arial" w:hint="cs"/>
          <w:rtl/>
        </w:rPr>
        <w:t>, פת"ש (סקי"ז).</w:t>
      </w:r>
    </w:p>
  </w:footnote>
  <w:footnote w:id="495">
    <w:p w14:paraId="1771CAC4" w14:textId="6BFA4942" w:rsidR="00235732" w:rsidRDefault="00235732">
      <w:pPr>
        <w:pStyle w:val="a5"/>
      </w:pPr>
      <w:r>
        <w:rPr>
          <w:rStyle w:val="a7"/>
        </w:rPr>
        <w:footnoteRef/>
      </w:r>
      <w:r>
        <w:rPr>
          <w:rtl/>
        </w:rPr>
        <w:t xml:space="preserve"> </w:t>
      </w:r>
      <w:r w:rsidRPr="00235732">
        <w:rPr>
          <w:rFonts w:cs="Arial"/>
          <w:rtl/>
        </w:rPr>
        <w:t>יש לדקדק הא לעיל מבואר דמותר לכתוב על דבר שיכול להזדייף כשנותן לה בעידי מסירה</w:t>
      </w:r>
      <w:r w:rsidR="00074226">
        <w:rPr>
          <w:rFonts w:cs="Arial" w:hint="cs"/>
          <w:rtl/>
        </w:rPr>
        <w:t>.</w:t>
      </w:r>
      <w:r w:rsidRPr="00235732">
        <w:rPr>
          <w:rFonts w:cs="Arial"/>
          <w:rtl/>
        </w:rPr>
        <w:t xml:space="preserve"> וראיתי במרדכי כתב על לשון המשנה וכל דבר שהוא של קיימא וכו' כאן יש ליזהר שלא ליתן גט לאשה כשהוא לח שהרי אינו של קיימא עכ"ל</w:t>
      </w:r>
      <w:r w:rsidR="00074226">
        <w:rPr>
          <w:rFonts w:cs="Arial" w:hint="cs"/>
          <w:rtl/>
        </w:rPr>
        <w:t>.</w:t>
      </w:r>
      <w:r w:rsidRPr="00235732">
        <w:rPr>
          <w:rFonts w:cs="Arial"/>
          <w:rtl/>
        </w:rPr>
        <w:t xml:space="preserve"> כלומר כאלו כתב במשקין שבעודו לח בקל יכול להסיר הדיו ולא יהיה רישומו ניכר</w:t>
      </w:r>
      <w:r w:rsidR="00074226">
        <w:rPr>
          <w:rFonts w:cs="Arial" w:hint="cs"/>
          <w:rtl/>
        </w:rPr>
        <w:t>,</w:t>
      </w:r>
      <w:r w:rsidRPr="00235732">
        <w:rPr>
          <w:rFonts w:cs="Arial"/>
          <w:rtl/>
        </w:rPr>
        <w:t xml:space="preserve"> ואפשר לומר דאינו רק זהירות</w:t>
      </w:r>
      <w:r>
        <w:rPr>
          <w:rFonts w:cs="Arial" w:hint="cs"/>
          <w:rtl/>
        </w:rPr>
        <w:t>,</w:t>
      </w:r>
      <w:r w:rsidRPr="00235732">
        <w:rPr>
          <w:rFonts w:cs="Arial"/>
          <w:rtl/>
        </w:rPr>
        <w:t xml:space="preserve"> דא</w:t>
      </w:r>
      <w:r>
        <w:rPr>
          <w:rFonts w:cs="Arial" w:hint="cs"/>
          <w:rtl/>
        </w:rPr>
        <w:t xml:space="preserve">ין </w:t>
      </w:r>
      <w:r w:rsidRPr="00235732">
        <w:rPr>
          <w:rFonts w:cs="Arial"/>
          <w:rtl/>
        </w:rPr>
        <w:t>ל</w:t>
      </w:r>
      <w:r>
        <w:rPr>
          <w:rFonts w:cs="Arial" w:hint="cs"/>
          <w:rtl/>
        </w:rPr>
        <w:t>ומר</w:t>
      </w:r>
      <w:r w:rsidRPr="00235732">
        <w:rPr>
          <w:rFonts w:cs="Arial"/>
          <w:rtl/>
        </w:rPr>
        <w:t xml:space="preserve"> דהגט אינו גט כמו במשקין</w:t>
      </w:r>
      <w:r>
        <w:rPr>
          <w:rFonts w:cs="Arial" w:hint="cs"/>
          <w:rtl/>
        </w:rPr>
        <w:t>,</w:t>
      </w:r>
      <w:r w:rsidRPr="00235732">
        <w:rPr>
          <w:rFonts w:cs="Arial"/>
          <w:rtl/>
        </w:rPr>
        <w:t xml:space="preserve"> דא"כ ה"ל לפלוגי בדידיה לאסור בדיו לח וכמ"ש במשקין</w:t>
      </w:r>
      <w:r>
        <w:rPr>
          <w:rFonts w:cs="Arial" w:hint="cs"/>
          <w:rtl/>
        </w:rPr>
        <w:t xml:space="preserve">, </w:t>
      </w:r>
      <w:r w:rsidRPr="000A780D">
        <w:rPr>
          <w:rFonts w:cs="Arial" w:hint="cs"/>
          <w:b/>
          <w:bCs/>
          <w:rtl/>
        </w:rPr>
        <w:t>ח"מ</w:t>
      </w:r>
      <w:r>
        <w:rPr>
          <w:rFonts w:cs="Arial" w:hint="cs"/>
          <w:rtl/>
        </w:rPr>
        <w:t xml:space="preserve"> (סקכ"ד).</w:t>
      </w:r>
      <w:r w:rsidR="000A780D">
        <w:rPr>
          <w:rFonts w:hint="cs"/>
          <w:rtl/>
        </w:rPr>
        <w:t xml:space="preserve">   </w:t>
      </w:r>
      <w:r w:rsidR="00074226">
        <w:rPr>
          <w:rFonts w:hint="cs"/>
          <w:rtl/>
        </w:rPr>
        <w:t xml:space="preserve"> </w:t>
      </w:r>
      <w:r w:rsidR="00074226" w:rsidRPr="000A780D">
        <w:rPr>
          <w:rFonts w:hint="cs"/>
          <w:b/>
          <w:bCs/>
          <w:rtl/>
        </w:rPr>
        <w:t>והב"ש</w:t>
      </w:r>
      <w:r w:rsidR="00074226">
        <w:rPr>
          <w:rFonts w:hint="cs"/>
          <w:rtl/>
        </w:rPr>
        <w:t xml:space="preserve"> (סקכ"א) כתב </w:t>
      </w:r>
      <w:r w:rsidR="00074226">
        <w:rPr>
          <w:rFonts w:cs="Arial" w:hint="cs"/>
          <w:rtl/>
        </w:rPr>
        <w:t>ד</w:t>
      </w:r>
      <w:r w:rsidR="00074226" w:rsidRPr="00074226">
        <w:rPr>
          <w:rFonts w:cs="Arial"/>
          <w:rtl/>
        </w:rPr>
        <w:t>לכאורה נראה דהולכים תמיד אחר שעת הנתינה</w:t>
      </w:r>
      <w:r w:rsidR="00074226">
        <w:rPr>
          <w:rFonts w:cs="Arial" w:hint="cs"/>
          <w:sz w:val="16"/>
          <w:szCs w:val="16"/>
          <w:rtl/>
        </w:rPr>
        <w:t xml:space="preserve"> {ולכן פסול}</w:t>
      </w:r>
      <w:r w:rsidR="00074226">
        <w:rPr>
          <w:rFonts w:cs="Arial" w:hint="cs"/>
          <w:rtl/>
        </w:rPr>
        <w:t>,</w:t>
      </w:r>
      <w:r w:rsidR="00074226" w:rsidRPr="00074226">
        <w:rPr>
          <w:rFonts w:cs="Arial"/>
          <w:rtl/>
        </w:rPr>
        <w:t xml:space="preserve"> ויש לדמות למ"ש בש"ס ולקמן אם נתן לה נייר חלק</w:t>
      </w:r>
      <w:r w:rsidR="00074226">
        <w:rPr>
          <w:rFonts w:cs="Arial" w:hint="cs"/>
          <w:rtl/>
        </w:rPr>
        <w:t>. עכ"ל. ו</w:t>
      </w:r>
      <w:r w:rsidR="00074226" w:rsidRPr="005928A6">
        <w:rPr>
          <w:rFonts w:cs="Arial"/>
          <w:rtl/>
        </w:rPr>
        <w:t>מבואר דלטעם הכתוב בש</w:t>
      </w:r>
      <w:r w:rsidR="00074226">
        <w:rPr>
          <w:rFonts w:cs="Arial" w:hint="cs"/>
          <w:rtl/>
        </w:rPr>
        <w:t>ו</w:t>
      </w:r>
      <w:r w:rsidR="00074226" w:rsidRPr="005928A6">
        <w:rPr>
          <w:rFonts w:cs="Arial"/>
          <w:rtl/>
        </w:rPr>
        <w:t xml:space="preserve">"ע כאן משום שיכול להזדייף לא נסתפק </w:t>
      </w:r>
      <w:r w:rsidR="00074226">
        <w:rPr>
          <w:rFonts w:cs="Arial" w:hint="cs"/>
          <w:sz w:val="16"/>
          <w:szCs w:val="16"/>
          <w:rtl/>
        </w:rPr>
        <w:t xml:space="preserve">{הח"מ} </w:t>
      </w:r>
      <w:r w:rsidR="00074226" w:rsidRPr="005928A6">
        <w:rPr>
          <w:rFonts w:cs="Arial"/>
          <w:rtl/>
        </w:rPr>
        <w:t>כלל</w:t>
      </w:r>
      <w:r w:rsidR="000A780D">
        <w:rPr>
          <w:rFonts w:cs="Arial" w:hint="cs"/>
          <w:rtl/>
        </w:rPr>
        <w:t>,</w:t>
      </w:r>
      <w:r w:rsidR="00074226" w:rsidRPr="005928A6">
        <w:rPr>
          <w:rFonts w:cs="Arial"/>
          <w:rtl/>
        </w:rPr>
        <w:t xml:space="preserve"> דודאי כשר בדיעבד כל שיש ע</w:t>
      </w:r>
      <w:r w:rsidR="00074226">
        <w:rPr>
          <w:rFonts w:cs="Arial" w:hint="cs"/>
          <w:rtl/>
        </w:rPr>
        <w:t>די מסירה</w:t>
      </w:r>
      <w:r w:rsidR="000A780D">
        <w:rPr>
          <w:rFonts w:cs="Arial" w:hint="cs"/>
          <w:rtl/>
        </w:rPr>
        <w:t>,</w:t>
      </w:r>
      <w:r w:rsidR="00074226" w:rsidRPr="005928A6">
        <w:rPr>
          <w:rFonts w:cs="Arial"/>
          <w:rtl/>
        </w:rPr>
        <w:t xml:space="preserve"> רק שנסתפק לפי טעם המרדכי שכ' דהוי כאילו כתב בדבר שאינו של קיימא ע"ש</w:t>
      </w:r>
      <w:r w:rsidR="00074226">
        <w:rPr>
          <w:rFonts w:cs="Arial" w:hint="cs"/>
          <w:rtl/>
        </w:rPr>
        <w:t>.</w:t>
      </w:r>
      <w:r w:rsidR="00074226" w:rsidRPr="005928A6">
        <w:rPr>
          <w:rFonts w:cs="Arial"/>
          <w:rtl/>
        </w:rPr>
        <w:t xml:space="preserve"> ועיין בס' גט מקושר </w:t>
      </w:r>
      <w:r w:rsidR="00074226">
        <w:rPr>
          <w:rFonts w:cs="Arial" w:hint="cs"/>
          <w:rtl/>
        </w:rPr>
        <w:t>(</w:t>
      </w:r>
      <w:r w:rsidR="00074226" w:rsidRPr="005928A6">
        <w:rPr>
          <w:rFonts w:cs="Arial"/>
          <w:rtl/>
        </w:rPr>
        <w:t>סג"ר אות קנז</w:t>
      </w:r>
      <w:r w:rsidR="00074226">
        <w:rPr>
          <w:rFonts w:cs="Arial" w:hint="cs"/>
          <w:rtl/>
        </w:rPr>
        <w:t>)</w:t>
      </w:r>
      <w:r w:rsidR="00074226" w:rsidRPr="005928A6">
        <w:rPr>
          <w:rFonts w:cs="Arial"/>
          <w:rtl/>
        </w:rPr>
        <w:t xml:space="preserve"> שדחה טעם זה </w:t>
      </w:r>
      <w:r w:rsidR="00074226">
        <w:rPr>
          <w:rFonts w:cs="Arial" w:hint="cs"/>
          <w:sz w:val="16"/>
          <w:szCs w:val="16"/>
          <w:rtl/>
        </w:rPr>
        <w:t xml:space="preserve">{של המרדכי} </w:t>
      </w:r>
      <w:r w:rsidR="00074226" w:rsidRPr="005928A6">
        <w:rPr>
          <w:rFonts w:cs="Arial"/>
          <w:rtl/>
        </w:rPr>
        <w:t>דלא דמי למשקין שעוברין מעצמן ואין מתקיימין</w:t>
      </w:r>
      <w:r w:rsidR="00074226">
        <w:rPr>
          <w:rFonts w:cs="Arial" w:hint="cs"/>
          <w:rtl/>
        </w:rPr>
        <w:t>,</w:t>
      </w:r>
      <w:r w:rsidR="00074226" w:rsidRPr="005928A6">
        <w:rPr>
          <w:rFonts w:cs="Arial"/>
          <w:rtl/>
        </w:rPr>
        <w:t xml:space="preserve"> אבל דיו לחה שאינה עוברת מעצמה אף דנמחק בקל לא איכפת לן ושפיר מקרי דבר המתקיים</w:t>
      </w:r>
      <w:r w:rsidR="00074226">
        <w:rPr>
          <w:rFonts w:cs="Arial" w:hint="cs"/>
          <w:rtl/>
        </w:rPr>
        <w:t>.</w:t>
      </w:r>
      <w:r w:rsidR="00074226" w:rsidRPr="005928A6">
        <w:rPr>
          <w:rFonts w:cs="Arial"/>
          <w:rtl/>
        </w:rPr>
        <w:t xml:space="preserve"> והביא ע"ז כמה ראיות</w:t>
      </w:r>
      <w:r w:rsidR="00074226">
        <w:rPr>
          <w:rFonts w:cs="Arial" w:hint="cs"/>
          <w:rtl/>
        </w:rPr>
        <w:t>.</w:t>
      </w:r>
      <w:r w:rsidR="00074226" w:rsidRPr="005928A6">
        <w:rPr>
          <w:rFonts w:cs="Arial"/>
          <w:rtl/>
        </w:rPr>
        <w:t xml:space="preserve"> וגם דחה שם דברי הב"ש במה דמדמה לנתן לה נייר חלק בסי' קל"ה. ומסיק לכן נראה דעיקר הטעם משום שיוכל להזדייף</w:t>
      </w:r>
      <w:r w:rsidR="00074226">
        <w:rPr>
          <w:rFonts w:cs="Arial" w:hint="cs"/>
          <w:rtl/>
        </w:rPr>
        <w:t>,</w:t>
      </w:r>
      <w:r w:rsidR="00074226" w:rsidRPr="005928A6">
        <w:rPr>
          <w:rFonts w:cs="Arial"/>
          <w:rtl/>
        </w:rPr>
        <w:t xml:space="preserve"> וא"כ בניתן לה הגט בעידי מסירה כשר אפי' נתנו לה כשהוא לח</w:t>
      </w:r>
      <w:r w:rsidR="00074226">
        <w:rPr>
          <w:rFonts w:cs="Arial" w:hint="cs"/>
          <w:rtl/>
        </w:rPr>
        <w:t>.</w:t>
      </w:r>
      <w:r w:rsidR="00074226" w:rsidRPr="005928A6">
        <w:rPr>
          <w:rFonts w:cs="Arial"/>
          <w:rtl/>
        </w:rPr>
        <w:t xml:space="preserve"> וגם במרדכי לא כתב אלא יש ליזהר משמע דלאו לעיכובא קאמר כו' ע"ש</w:t>
      </w:r>
      <w:r w:rsidR="00074226">
        <w:rPr>
          <w:rFonts w:cs="Arial" w:hint="cs"/>
          <w:rtl/>
        </w:rPr>
        <w:t xml:space="preserve">..., </w:t>
      </w:r>
      <w:r w:rsidR="00074226" w:rsidRPr="000A780D">
        <w:rPr>
          <w:rFonts w:cs="Arial" w:hint="cs"/>
          <w:b/>
          <w:bCs/>
          <w:rtl/>
        </w:rPr>
        <w:t>פת"ש</w:t>
      </w:r>
      <w:r w:rsidR="00074226">
        <w:rPr>
          <w:rFonts w:cs="Arial" w:hint="cs"/>
          <w:rtl/>
        </w:rPr>
        <w:t xml:space="preserve"> (</w:t>
      </w:r>
      <w:r w:rsidR="00E9419D">
        <w:rPr>
          <w:rFonts w:cs="Arial" w:hint="cs"/>
          <w:rtl/>
        </w:rPr>
        <w:t>סקי"ח).</w:t>
      </w:r>
    </w:p>
  </w:footnote>
  <w:footnote w:id="496">
    <w:p w14:paraId="62ED38D8" w14:textId="73BE08A3" w:rsidR="00935CBA" w:rsidRDefault="00935CBA">
      <w:pPr>
        <w:pStyle w:val="a5"/>
      </w:pPr>
      <w:r>
        <w:rPr>
          <w:rStyle w:val="a7"/>
        </w:rPr>
        <w:footnoteRef/>
      </w:r>
      <w:r>
        <w:rPr>
          <w:rtl/>
        </w:rPr>
        <w:t xml:space="preserve"> </w:t>
      </w:r>
      <w:r w:rsidRPr="00935CBA">
        <w:rPr>
          <w:rFonts w:cs="Arial"/>
          <w:rtl/>
        </w:rPr>
        <w:t>והנה מ"ש ואם חזר וגרר עפרות זהב צ"ע אי הוי כשר דאפשר דדמיא לחק תוכות כו' הוא תמוה דהא איתא בהדיא בש"ע א"ח סי' ל"ב ס"ג אם זרק עפרות זהב על האותיות מעביר הזהב וישאר כתב התחתון וכשר ע"ש וצ"ע</w:t>
      </w:r>
      <w:r>
        <w:rPr>
          <w:rFonts w:cs="Arial" w:hint="cs"/>
          <w:rtl/>
        </w:rPr>
        <w:t>, פת"ש (סקט"ו).</w:t>
      </w:r>
    </w:p>
  </w:footnote>
  <w:footnote w:id="497">
    <w:p w14:paraId="0A2D111C" w14:textId="51118087" w:rsidR="00F30C8C" w:rsidRDefault="00F30C8C">
      <w:pPr>
        <w:pStyle w:val="a5"/>
      </w:pPr>
      <w:r>
        <w:rPr>
          <w:rStyle w:val="a7"/>
        </w:rPr>
        <w:footnoteRef/>
      </w:r>
      <w:r>
        <w:rPr>
          <w:rtl/>
        </w:rPr>
        <w:t xml:space="preserve"> </w:t>
      </w:r>
      <w:r w:rsidRPr="001626F4">
        <w:rPr>
          <w:rFonts w:cs="Arial"/>
          <w:rtl/>
        </w:rPr>
        <w:t>צבע אדום שקורין מיניא"ו</w:t>
      </w:r>
      <w:r>
        <w:rPr>
          <w:rFonts w:cs="Arial" w:hint="cs"/>
          <w:rtl/>
        </w:rPr>
        <w:t>, רש"י.</w:t>
      </w:r>
    </w:p>
  </w:footnote>
  <w:footnote w:id="498">
    <w:p w14:paraId="63495297" w14:textId="3AD80665" w:rsidR="00F30C8C" w:rsidRDefault="00F30C8C">
      <w:pPr>
        <w:pStyle w:val="a5"/>
      </w:pPr>
      <w:r>
        <w:rPr>
          <w:rStyle w:val="a7"/>
        </w:rPr>
        <w:footnoteRef/>
      </w:r>
      <w:r>
        <w:rPr>
          <w:rtl/>
        </w:rPr>
        <w:t xml:space="preserve"> </w:t>
      </w:r>
      <w:r w:rsidRPr="001626F4">
        <w:rPr>
          <w:rFonts w:cs="Arial"/>
          <w:rtl/>
        </w:rPr>
        <w:t>פירשו רש"י (ד"ה קומא) והערוך (ערך קומוס) שרף האילן ובלעז גומ"א</w:t>
      </w:r>
      <w:r>
        <w:rPr>
          <w:rFonts w:cs="Arial" w:hint="cs"/>
          <w:rtl/>
        </w:rPr>
        <w:t>, ב"י.</w:t>
      </w:r>
    </w:p>
  </w:footnote>
  <w:footnote w:id="499">
    <w:p w14:paraId="265AF3CF" w14:textId="476D6F33" w:rsidR="00F30C8C" w:rsidRDefault="00F30C8C">
      <w:pPr>
        <w:pStyle w:val="a5"/>
        <w:rPr>
          <w:rtl/>
        </w:rPr>
      </w:pPr>
      <w:r>
        <w:rPr>
          <w:rStyle w:val="a7"/>
        </w:rPr>
        <w:footnoteRef/>
      </w:r>
      <w:r>
        <w:rPr>
          <w:rtl/>
        </w:rPr>
        <w:t xml:space="preserve"> </w:t>
      </w:r>
      <w:r w:rsidRPr="001626F4">
        <w:rPr>
          <w:rFonts w:cs="Arial"/>
          <w:rtl/>
        </w:rPr>
        <w:t>פירש רש"י (ד"ה חרתא דאושכפי) אדרימנ"ט</w:t>
      </w:r>
      <w:r>
        <w:rPr>
          <w:rFonts w:cs="Arial" w:hint="cs"/>
          <w:rtl/>
        </w:rPr>
        <w:t>,</w:t>
      </w:r>
      <w:r w:rsidRPr="001626F4">
        <w:rPr>
          <w:rFonts w:cs="Arial"/>
          <w:rtl/>
        </w:rPr>
        <w:t xml:space="preserve"> וכתב (בד"ה ובשיחור) שהוא שיחור הנזכר בברייתא</w:t>
      </w:r>
      <w:r>
        <w:rPr>
          <w:rFonts w:cs="Arial" w:hint="cs"/>
          <w:rtl/>
        </w:rPr>
        <w:t>.</w:t>
      </w:r>
      <w:r w:rsidRPr="001626F4">
        <w:rPr>
          <w:rFonts w:cs="Arial"/>
          <w:rtl/>
        </w:rPr>
        <w:t xml:space="preserve"> והתוספות (ד"ה קנקנתום) חלקו עליו ופירשו דשיחור הוא אדרימנ"ט וקנקתום הוא קרקע ירוקה שקורין וידריאול"ה בלעז</w:t>
      </w:r>
      <w:r>
        <w:rPr>
          <w:rFonts w:cs="Arial" w:hint="cs"/>
          <w:rtl/>
        </w:rPr>
        <w:t>.</w:t>
      </w:r>
      <w:r w:rsidRPr="001626F4">
        <w:rPr>
          <w:rFonts w:cs="Arial"/>
          <w:rtl/>
        </w:rPr>
        <w:t xml:space="preserve"> וכן כתבו הר"ן (ט. ד"ה מתני') והמרדכי (סי' שלט)</w:t>
      </w:r>
      <w:r>
        <w:rPr>
          <w:rFonts w:cs="Arial" w:hint="cs"/>
          <w:rtl/>
        </w:rPr>
        <w:t>.</w:t>
      </w:r>
      <w:r w:rsidRPr="001626F4">
        <w:rPr>
          <w:rFonts w:cs="Arial"/>
          <w:rtl/>
        </w:rPr>
        <w:t xml:space="preserve"> וכן כתב גם כן בערוך (ערך קלקנתום) שקנקנתום הוא ויטריאו"ל ובלשון ישמעאל הוא אלזא"ג</w:t>
      </w:r>
      <w:r>
        <w:rPr>
          <w:rFonts w:hint="cs"/>
          <w:rtl/>
        </w:rPr>
        <w:t>, ב"י.</w:t>
      </w:r>
    </w:p>
  </w:footnote>
  <w:footnote w:id="500">
    <w:p w14:paraId="46F452C9" w14:textId="657414D2" w:rsidR="004526A5" w:rsidRDefault="004526A5">
      <w:pPr>
        <w:pStyle w:val="a5"/>
      </w:pPr>
      <w:r>
        <w:rPr>
          <w:rStyle w:val="a7"/>
        </w:rPr>
        <w:footnoteRef/>
      </w:r>
      <w:r>
        <w:rPr>
          <w:rtl/>
        </w:rPr>
        <w:t xml:space="preserve"> </w:t>
      </w:r>
      <w:r w:rsidRPr="004526A5">
        <w:rPr>
          <w:rFonts w:cs="Arial"/>
          <w:rtl/>
        </w:rPr>
        <w:t>מי גשמים לשון מורי מי טריא מים ששורים בו פרי שהוא כעין עפצים גל"ש בלע"ז</w:t>
      </w:r>
      <w:r>
        <w:rPr>
          <w:rFonts w:cs="Arial" w:hint="cs"/>
          <w:rtl/>
        </w:rPr>
        <w:t>, רש"י.</w:t>
      </w:r>
    </w:p>
  </w:footnote>
  <w:footnote w:id="501">
    <w:p w14:paraId="12DC0F62" w14:textId="16AE5FE0" w:rsidR="004526A5" w:rsidRDefault="004526A5">
      <w:pPr>
        <w:pStyle w:val="a5"/>
      </w:pPr>
      <w:r>
        <w:rPr>
          <w:rStyle w:val="a7"/>
        </w:rPr>
        <w:footnoteRef/>
      </w:r>
      <w:r>
        <w:rPr>
          <w:rtl/>
        </w:rPr>
        <w:t xml:space="preserve"> </w:t>
      </w:r>
      <w:r w:rsidRPr="004526A5">
        <w:rPr>
          <w:rFonts w:cs="Arial"/>
          <w:rtl/>
        </w:rPr>
        <w:t>ששף העופרת במים ומשחירים</w:t>
      </w:r>
      <w:r>
        <w:rPr>
          <w:rFonts w:cs="Arial" w:hint="cs"/>
          <w:rtl/>
        </w:rPr>
        <w:t>, רש"י.</w:t>
      </w:r>
    </w:p>
  </w:footnote>
  <w:footnote w:id="502">
    <w:p w14:paraId="3BCA658C" w14:textId="7C84801C" w:rsidR="004526A5" w:rsidRDefault="004526A5">
      <w:pPr>
        <w:pStyle w:val="a5"/>
        <w:rPr>
          <w:rtl/>
        </w:rPr>
      </w:pPr>
      <w:r>
        <w:rPr>
          <w:rStyle w:val="a7"/>
        </w:rPr>
        <w:footnoteRef/>
      </w:r>
      <w:r>
        <w:rPr>
          <w:rtl/>
        </w:rPr>
        <w:t xml:space="preserve"> </w:t>
      </w:r>
      <w:r w:rsidRPr="004526A5">
        <w:rPr>
          <w:rFonts w:cs="Arial"/>
          <w:rtl/>
        </w:rPr>
        <w:t>פחמין</w:t>
      </w:r>
      <w:r>
        <w:rPr>
          <w:rFonts w:hint="cs"/>
          <w:rtl/>
        </w:rPr>
        <w:t>, רש"י.</w:t>
      </w:r>
    </w:p>
  </w:footnote>
  <w:footnote w:id="503">
    <w:p w14:paraId="65C67685" w14:textId="314FA09F" w:rsidR="00F30C8C" w:rsidRDefault="00F30C8C">
      <w:pPr>
        <w:pStyle w:val="a5"/>
      </w:pPr>
      <w:r>
        <w:rPr>
          <w:rStyle w:val="a7"/>
        </w:rPr>
        <w:footnoteRef/>
      </w:r>
      <w:r>
        <w:rPr>
          <w:rtl/>
        </w:rPr>
        <w:t xml:space="preserve"> </w:t>
      </w:r>
      <w:r w:rsidRPr="001626F4">
        <w:rPr>
          <w:rFonts w:cs="Arial"/>
          <w:rtl/>
        </w:rPr>
        <w:t>לשפשף בחתיכה של אבר על הקלף ומשחיר</w:t>
      </w:r>
      <w:r w:rsidR="004526A5">
        <w:rPr>
          <w:rFonts w:cs="Arial" w:hint="cs"/>
          <w:rtl/>
        </w:rPr>
        <w:t>ו</w:t>
      </w:r>
      <w:r w:rsidRPr="001626F4">
        <w:rPr>
          <w:rFonts w:cs="Arial"/>
          <w:rtl/>
        </w:rPr>
        <w:t xml:space="preserve"> אינו כתב</w:t>
      </w:r>
      <w:r>
        <w:rPr>
          <w:rFonts w:cs="Arial" w:hint="cs"/>
          <w:rtl/>
        </w:rPr>
        <w:t>, רש"י.</w:t>
      </w:r>
    </w:p>
  </w:footnote>
  <w:footnote w:id="504">
    <w:p w14:paraId="3C04DD8C" w14:textId="5B1B2807" w:rsidR="004526A5" w:rsidRDefault="004526A5">
      <w:pPr>
        <w:pStyle w:val="a5"/>
      </w:pPr>
      <w:r>
        <w:rPr>
          <w:rStyle w:val="a7"/>
        </w:rPr>
        <w:footnoteRef/>
      </w:r>
      <w:r>
        <w:rPr>
          <w:rtl/>
        </w:rPr>
        <w:t xml:space="preserve"> </w:t>
      </w:r>
      <w:r w:rsidRPr="001626F4">
        <w:rPr>
          <w:rFonts w:cs="Arial"/>
          <w:rtl/>
        </w:rPr>
        <w:t>מים ששרה בהם שחיקת אבר</w:t>
      </w:r>
      <w:r>
        <w:rPr>
          <w:rFonts w:cs="Arial" w:hint="cs"/>
          <w:rtl/>
        </w:rPr>
        <w:t>, רש"י.</w:t>
      </w:r>
    </w:p>
  </w:footnote>
  <w:footnote w:id="505">
    <w:p w14:paraId="0396E267" w14:textId="74F72F75" w:rsidR="009E11D0" w:rsidRDefault="009E11D0" w:rsidP="009E11D0">
      <w:pPr>
        <w:pStyle w:val="a5"/>
      </w:pPr>
      <w:r>
        <w:rPr>
          <w:rStyle w:val="a7"/>
        </w:rPr>
        <w:footnoteRef/>
      </w:r>
      <w:r>
        <w:rPr>
          <w:rtl/>
        </w:rPr>
        <w:t xml:space="preserve"> </w:t>
      </w:r>
      <w:r w:rsidRPr="001626F4">
        <w:rPr>
          <w:rFonts w:cs="Arial"/>
          <w:rtl/>
        </w:rPr>
        <w:t>סובר רבינו דשחור</w:t>
      </w:r>
      <w:r>
        <w:rPr>
          <w:rFonts w:cs="Arial" w:hint="cs"/>
          <w:rtl/>
        </w:rPr>
        <w:t>,</w:t>
      </w:r>
      <w:r w:rsidRPr="001626F4">
        <w:rPr>
          <w:rFonts w:cs="Arial"/>
          <w:rtl/>
        </w:rPr>
        <w:t xml:space="preserve"> שפירש רש"י פחמים</w:t>
      </w:r>
      <w:r>
        <w:rPr>
          <w:rFonts w:cs="Arial" w:hint="cs"/>
          <w:rtl/>
        </w:rPr>
        <w:t>,</w:t>
      </w:r>
      <w:r w:rsidRPr="001626F4">
        <w:rPr>
          <w:rFonts w:cs="Arial"/>
          <w:rtl/>
        </w:rPr>
        <w:t xml:space="preserve"> יש לפרש דומיא דאבר</w:t>
      </w:r>
      <w:r>
        <w:rPr>
          <w:rFonts w:cs="Arial" w:hint="cs"/>
          <w:rtl/>
        </w:rPr>
        <w:t>,</w:t>
      </w:r>
      <w:r w:rsidRPr="001626F4">
        <w:rPr>
          <w:rFonts w:cs="Arial"/>
          <w:rtl/>
        </w:rPr>
        <w:t xml:space="preserve"> דלשפשף בחתיכת פחם על הקלף ומשחיר אינו כתב</w:t>
      </w:r>
      <w:r>
        <w:rPr>
          <w:rFonts w:cs="Arial" w:hint="cs"/>
          <w:rtl/>
        </w:rPr>
        <w:t>.</w:t>
      </w:r>
      <w:r w:rsidRPr="001626F4">
        <w:rPr>
          <w:rFonts w:cs="Arial"/>
          <w:rtl/>
        </w:rPr>
        <w:t xml:space="preserve"> וכי מכשירינן בשחור היינו בפחמים מעורבין במים</w:t>
      </w:r>
      <w:r>
        <w:rPr>
          <w:rFonts w:cs="Arial" w:hint="cs"/>
          <w:sz w:val="16"/>
          <w:szCs w:val="16"/>
          <w:rtl/>
        </w:rPr>
        <w:t xml:space="preserve"> </w:t>
      </w:r>
      <w:r w:rsidRPr="009E11D0">
        <w:rPr>
          <w:rFonts w:cs="Arial" w:hint="cs"/>
          <w:sz w:val="16"/>
          <w:szCs w:val="16"/>
          <w:rtl/>
        </w:rPr>
        <w:t>(</w:t>
      </w:r>
      <w:r w:rsidRPr="009E11D0">
        <w:rPr>
          <w:rFonts w:cs="Arial"/>
          <w:sz w:val="16"/>
          <w:szCs w:val="16"/>
          <w:rtl/>
        </w:rPr>
        <w:t>ואע</w:t>
      </w:r>
      <w:r w:rsidRPr="009E11D0">
        <w:rPr>
          <w:rFonts w:cs="Arial" w:hint="cs"/>
          <w:sz w:val="16"/>
          <w:szCs w:val="16"/>
          <w:rtl/>
        </w:rPr>
        <w:t>"</w:t>
      </w:r>
      <w:r w:rsidRPr="009E11D0">
        <w:rPr>
          <w:rFonts w:cs="Arial"/>
          <w:sz w:val="16"/>
          <w:szCs w:val="16"/>
          <w:rtl/>
        </w:rPr>
        <w:t>ג דרב אמר מקרעין להם נייר חלק ורבי אבהו אמר במי מילין ורב פפא אמר ברוק</w:t>
      </w:r>
      <w:r w:rsidRPr="009E11D0">
        <w:rPr>
          <w:rFonts w:cs="Arial" w:hint="cs"/>
          <w:sz w:val="16"/>
          <w:szCs w:val="16"/>
          <w:rtl/>
        </w:rPr>
        <w:t>,</w:t>
      </w:r>
      <w:r w:rsidRPr="009E11D0">
        <w:rPr>
          <w:rFonts w:cs="Arial"/>
          <w:sz w:val="16"/>
          <w:szCs w:val="16"/>
          <w:rtl/>
        </w:rPr>
        <w:t xml:space="preserve"> לאו משום דפליגי אדשמואל</w:t>
      </w:r>
      <w:r w:rsidRPr="009E11D0">
        <w:rPr>
          <w:rFonts w:cs="Arial" w:hint="cs"/>
          <w:sz w:val="16"/>
          <w:szCs w:val="16"/>
          <w:rtl/>
        </w:rPr>
        <w:t>,</w:t>
      </w:r>
      <w:r w:rsidRPr="009E11D0">
        <w:rPr>
          <w:rFonts w:cs="Arial"/>
          <w:sz w:val="16"/>
          <w:szCs w:val="16"/>
          <w:rtl/>
        </w:rPr>
        <w:t xml:space="preserve"> אלא כל חד נקט גוונא דמתחזיא ליה שפיר טפי</w:t>
      </w:r>
      <w:r w:rsidRPr="009E11D0">
        <w:rPr>
          <w:rFonts w:cs="Arial" w:hint="cs"/>
          <w:sz w:val="16"/>
          <w:szCs w:val="16"/>
          <w:rtl/>
        </w:rPr>
        <w:t>.</w:t>
      </w:r>
      <w:r w:rsidRPr="009E11D0">
        <w:rPr>
          <w:rFonts w:cs="Arial"/>
          <w:sz w:val="16"/>
          <w:szCs w:val="16"/>
          <w:rtl/>
        </w:rPr>
        <w:t xml:space="preserve"> ומכל מקום בפירוש ברייתא דכתבו באבר כשר</w:t>
      </w:r>
      <w:r w:rsidRPr="009E11D0">
        <w:rPr>
          <w:rFonts w:cs="Arial" w:hint="cs"/>
          <w:sz w:val="16"/>
          <w:szCs w:val="16"/>
          <w:rtl/>
        </w:rPr>
        <w:t>,</w:t>
      </w:r>
      <w:r w:rsidRPr="009E11D0">
        <w:rPr>
          <w:rFonts w:cs="Arial"/>
          <w:sz w:val="16"/>
          <w:szCs w:val="16"/>
          <w:rtl/>
        </w:rPr>
        <w:t xml:space="preserve"> מודו כולי עלמא דהיינו במיא דאברא דוקא</w:t>
      </w:r>
      <w:r w:rsidRPr="009E11D0">
        <w:rPr>
          <w:rFonts w:cs="Arial" w:hint="cs"/>
          <w:sz w:val="16"/>
          <w:szCs w:val="16"/>
          <w:rtl/>
        </w:rPr>
        <w:t>,</w:t>
      </w:r>
      <w:r w:rsidRPr="009E11D0">
        <w:rPr>
          <w:rFonts w:cs="Arial"/>
          <w:sz w:val="16"/>
          <w:szCs w:val="16"/>
          <w:rtl/>
        </w:rPr>
        <w:t xml:space="preserve"> כדפריש שמואל</w:t>
      </w:r>
      <w:r w:rsidR="00CC55F1">
        <w:rPr>
          <w:rFonts w:cs="Arial" w:hint="cs"/>
          <w:sz w:val="16"/>
          <w:szCs w:val="16"/>
          <w:rtl/>
        </w:rPr>
        <w:t>)</w:t>
      </w:r>
      <w:r w:rsidRPr="009E11D0">
        <w:rPr>
          <w:rFonts w:cs="Arial"/>
          <w:sz w:val="16"/>
          <w:szCs w:val="16"/>
          <w:rtl/>
        </w:rPr>
        <w:t xml:space="preserve"> </w:t>
      </w:r>
      <w:r w:rsidRPr="00CC55F1">
        <w:rPr>
          <w:rFonts w:cs="Arial"/>
          <w:rtl/>
        </w:rPr>
        <w:t>וזה נראה שהיה דעת הרא"ש (סי' יא)</w:t>
      </w:r>
      <w:r w:rsidR="005F1E31">
        <w:rPr>
          <w:rFonts w:cs="Arial" w:hint="cs"/>
          <w:sz w:val="16"/>
          <w:szCs w:val="16"/>
          <w:rtl/>
        </w:rPr>
        <w:t xml:space="preserve"> </w:t>
      </w:r>
      <w:r w:rsidR="005F1E31" w:rsidRPr="005F1E31">
        <w:rPr>
          <w:rFonts w:cs="Arial" w:hint="cs"/>
          <w:color w:val="00B0F0"/>
          <w:sz w:val="16"/>
          <w:szCs w:val="16"/>
          <w:rtl/>
        </w:rPr>
        <w:t>(וכ"כ הרמ"א</w:t>
      </w:r>
      <w:r w:rsidR="005F1E31">
        <w:rPr>
          <w:rFonts w:cs="Arial" w:hint="cs"/>
          <w:color w:val="00B0F0"/>
          <w:sz w:val="16"/>
          <w:szCs w:val="16"/>
          <w:rtl/>
        </w:rPr>
        <w:t xml:space="preserve"> </w:t>
      </w:r>
      <w:r w:rsidR="005F1E31" w:rsidRPr="005F1E31">
        <w:rPr>
          <w:rFonts w:cs="Arial" w:hint="cs"/>
          <w:color w:val="000000" w:themeColor="text1"/>
          <w:sz w:val="14"/>
          <w:szCs w:val="14"/>
          <w:rtl/>
        </w:rPr>
        <w:t>[</w:t>
      </w:r>
      <w:r w:rsidR="005F1E31">
        <w:rPr>
          <w:rFonts w:cs="Arial" w:hint="cs"/>
          <w:color w:val="000000" w:themeColor="text1"/>
          <w:sz w:val="14"/>
          <w:szCs w:val="14"/>
          <w:rtl/>
        </w:rPr>
        <w:t>בסע' ב</w:t>
      </w:r>
      <w:r w:rsidR="005F1E31" w:rsidRPr="005F1E31">
        <w:rPr>
          <w:rFonts w:cs="Arial" w:hint="cs"/>
          <w:color w:val="000000" w:themeColor="text1"/>
          <w:sz w:val="14"/>
          <w:szCs w:val="14"/>
          <w:rtl/>
        </w:rPr>
        <w:t>]</w:t>
      </w:r>
      <w:r w:rsidR="005F1E31" w:rsidRPr="005F1E31">
        <w:rPr>
          <w:rFonts w:cs="Arial" w:hint="cs"/>
          <w:color w:val="00B0F0"/>
          <w:sz w:val="16"/>
          <w:szCs w:val="16"/>
          <w:rtl/>
        </w:rPr>
        <w:t>)</w:t>
      </w:r>
      <w:r w:rsidR="00CC55F1">
        <w:rPr>
          <w:rFonts w:cs="Arial" w:hint="cs"/>
          <w:rtl/>
        </w:rPr>
        <w:t>...</w:t>
      </w:r>
      <w:r w:rsidR="00CC55F1" w:rsidRPr="00CC55F1">
        <w:rPr>
          <w:rFonts w:cs="Arial"/>
          <w:rtl/>
        </w:rPr>
        <w:t xml:space="preserve"> </w:t>
      </w:r>
      <w:r w:rsidR="00CC55F1" w:rsidRPr="001626F4">
        <w:rPr>
          <w:rFonts w:cs="Arial"/>
          <w:rtl/>
        </w:rPr>
        <w:t>אבל הרי"ף (ט.) השמיט להא דשמואל וכתב הברייתא סתם כתבו באבר כשר</w:t>
      </w:r>
      <w:r w:rsidR="00CC55F1">
        <w:rPr>
          <w:rFonts w:cs="Arial" w:hint="cs"/>
          <w:rtl/>
        </w:rPr>
        <w:t>,</w:t>
      </w:r>
      <w:r w:rsidR="00CC55F1" w:rsidRPr="001626F4">
        <w:rPr>
          <w:rFonts w:cs="Arial"/>
          <w:rtl/>
        </w:rPr>
        <w:t xml:space="preserve"> ולא חילק בין אברא למיא דאברא</w:t>
      </w:r>
      <w:r w:rsidR="00CC55F1">
        <w:rPr>
          <w:rFonts w:cs="Arial" w:hint="cs"/>
          <w:rtl/>
        </w:rPr>
        <w:t>,</w:t>
      </w:r>
      <w:r w:rsidR="00CC55F1" w:rsidRPr="001626F4">
        <w:rPr>
          <w:rFonts w:cs="Arial"/>
          <w:rtl/>
        </w:rPr>
        <w:t xml:space="preserve"> משמע דסבירא ליה דרב פליג עליה דשמואל בפירוש הברייתא וסבירא ליה דכתבו באבר כשר לא שנא באברא לא שנא במיא דאברא</w:t>
      </w:r>
      <w:r w:rsidR="00CC55F1">
        <w:rPr>
          <w:rFonts w:cs="Arial" w:hint="cs"/>
          <w:rtl/>
        </w:rPr>
        <w:t>,</w:t>
      </w:r>
      <w:r w:rsidR="00CC55F1" w:rsidRPr="001626F4">
        <w:rPr>
          <w:rFonts w:cs="Arial"/>
          <w:rtl/>
        </w:rPr>
        <w:t xml:space="preserve"> וקיימא לן (בכורות מט:) כרב באיסורי. וכן נראה שהוא דעת הרמב"ם שכתב בפרק ד' (ה"א) כתבו באבר כשר ולא חילק בין אברא למיא דאברא </w:t>
      </w:r>
      <w:r w:rsidR="00CC55F1" w:rsidRPr="00CC55F1">
        <w:rPr>
          <w:rFonts w:cs="Arial" w:hint="cs"/>
          <w:sz w:val="16"/>
          <w:szCs w:val="16"/>
          <w:rtl/>
        </w:rPr>
        <w:t>(</w:t>
      </w:r>
      <w:r w:rsidR="00CC55F1" w:rsidRPr="00CC55F1">
        <w:rPr>
          <w:rFonts w:cs="Arial"/>
          <w:sz w:val="16"/>
          <w:szCs w:val="16"/>
          <w:rtl/>
        </w:rPr>
        <w:t>והתימה על הר"ן (ט. ד"ה שאין) שלא דקדק בכך לדעת הרי"ף וכתב כתבו באבר ששרה במים שחיקת אבר וכפירוש רש"י. ואפשר דסובר הר"ן דכיון דתנן כתבו ודאי במיא דאברא הוא דמיקרי כתיבה דאילו באברא גופיה לא מיקרי כתיבה אלא רשימה</w:t>
      </w:r>
      <w:r w:rsidR="00CC55F1">
        <w:rPr>
          <w:rFonts w:cs="Arial" w:hint="cs"/>
          <w:sz w:val="16"/>
          <w:szCs w:val="16"/>
          <w:rtl/>
        </w:rPr>
        <w:t>)</w:t>
      </w:r>
      <w:r>
        <w:rPr>
          <w:rFonts w:cs="Arial" w:hint="cs"/>
          <w:rtl/>
        </w:rPr>
        <w:t>, ב"י.</w:t>
      </w:r>
    </w:p>
  </w:footnote>
  <w:footnote w:id="506">
    <w:p w14:paraId="29734C16" w14:textId="77777777" w:rsidR="004A45EA" w:rsidRDefault="004A45EA" w:rsidP="004A45EA">
      <w:pPr>
        <w:pStyle w:val="a5"/>
      </w:pPr>
      <w:r>
        <w:rPr>
          <w:rStyle w:val="a7"/>
        </w:rPr>
        <w:footnoteRef/>
      </w:r>
      <w:r>
        <w:rPr>
          <w:rtl/>
        </w:rPr>
        <w:t xml:space="preserve"> </w:t>
      </w:r>
      <w:r>
        <w:rPr>
          <w:rFonts w:cs="Arial"/>
          <w:rtl/>
        </w:rPr>
        <w:t>וטעמו משום דאיתנו בברייתא בלשון דיעבד</w:t>
      </w:r>
      <w:r>
        <w:rPr>
          <w:rFonts w:cs="Arial" w:hint="cs"/>
          <w:rtl/>
        </w:rPr>
        <w:t>,</w:t>
      </w:r>
      <w:r>
        <w:rPr>
          <w:rFonts w:cs="Arial"/>
          <w:rtl/>
        </w:rPr>
        <w:t xml:space="preserve"> וכן כתב הרב המגיד</w:t>
      </w:r>
      <w:r>
        <w:rPr>
          <w:rFonts w:cs="Arial" w:hint="cs"/>
          <w:rtl/>
        </w:rPr>
        <w:t>,</w:t>
      </w:r>
      <w:r>
        <w:rPr>
          <w:rFonts w:cs="Arial"/>
          <w:rtl/>
        </w:rPr>
        <w:t xml:space="preserve"> וגם הר"ן (שם)</w:t>
      </w:r>
      <w:r>
        <w:rPr>
          <w:rFonts w:cs="Arial" w:hint="cs"/>
          <w:rtl/>
        </w:rPr>
        <w:t>,</w:t>
      </w:r>
      <w:r>
        <w:rPr>
          <w:rFonts w:cs="Arial"/>
          <w:rtl/>
        </w:rPr>
        <w:t xml:space="preserve"> ופשוט הוא</w:t>
      </w:r>
      <w:r>
        <w:rPr>
          <w:rFonts w:cs="Arial" w:hint="cs"/>
          <w:rtl/>
        </w:rPr>
        <w:t>, ב"י.</w:t>
      </w:r>
      <w:r>
        <w:rPr>
          <w:rFonts w:hint="cs"/>
          <w:rtl/>
        </w:rPr>
        <w:t xml:space="preserve"> </w:t>
      </w:r>
    </w:p>
  </w:footnote>
  <w:footnote w:id="507">
    <w:p w14:paraId="59BF0305" w14:textId="789C897D" w:rsidR="004A45EA" w:rsidRDefault="004A45EA" w:rsidP="004A45EA">
      <w:pPr>
        <w:pStyle w:val="a5"/>
      </w:pPr>
      <w:r>
        <w:rPr>
          <w:rStyle w:val="a7"/>
        </w:rPr>
        <w:footnoteRef/>
      </w:r>
      <w:r>
        <w:rPr>
          <w:rtl/>
        </w:rPr>
        <w:t xml:space="preserve"> </w:t>
      </w:r>
      <w:r>
        <w:rPr>
          <w:rFonts w:cs="Arial" w:hint="cs"/>
          <w:rtl/>
        </w:rPr>
        <w:t>ו</w:t>
      </w:r>
      <w:r w:rsidRPr="002D5E7F">
        <w:rPr>
          <w:rFonts w:cs="Arial"/>
          <w:rtl/>
        </w:rPr>
        <w:t>אין נראה כן מל</w:t>
      </w:r>
      <w:r>
        <w:rPr>
          <w:rFonts w:cs="Arial" w:hint="cs"/>
          <w:rtl/>
        </w:rPr>
        <w:t>שון</w:t>
      </w:r>
      <w:r w:rsidRPr="002D5E7F">
        <w:rPr>
          <w:rFonts w:cs="Arial"/>
          <w:rtl/>
        </w:rPr>
        <w:t xml:space="preserve"> א</w:t>
      </w:r>
      <w:r>
        <w:rPr>
          <w:rFonts w:cs="Arial" w:hint="cs"/>
          <w:rtl/>
        </w:rPr>
        <w:t xml:space="preserve">דוני </w:t>
      </w:r>
      <w:r w:rsidRPr="002D5E7F">
        <w:rPr>
          <w:rFonts w:cs="Arial"/>
          <w:rtl/>
        </w:rPr>
        <w:t>א</w:t>
      </w:r>
      <w:r>
        <w:rPr>
          <w:rFonts w:cs="Arial" w:hint="cs"/>
          <w:rtl/>
        </w:rPr>
        <w:t>בי</w:t>
      </w:r>
      <w:r w:rsidRPr="002D5E7F">
        <w:rPr>
          <w:rFonts w:cs="Arial"/>
          <w:rtl/>
        </w:rPr>
        <w:t xml:space="preserve"> ז"ל</w:t>
      </w:r>
      <w:r>
        <w:rPr>
          <w:rFonts w:cs="Arial" w:hint="cs"/>
          <w:rtl/>
        </w:rPr>
        <w:t xml:space="preserve">, </w:t>
      </w:r>
      <w:r w:rsidRPr="00F50E43">
        <w:rPr>
          <w:rFonts w:cs="Arial" w:hint="cs"/>
          <w:b/>
          <w:bCs/>
          <w:rtl/>
        </w:rPr>
        <w:t>טור</w:t>
      </w:r>
      <w:r>
        <w:rPr>
          <w:rFonts w:cs="Arial" w:hint="cs"/>
          <w:rtl/>
        </w:rPr>
        <w:t xml:space="preserve">. </w:t>
      </w:r>
      <w:r w:rsidR="00F50E43">
        <w:rPr>
          <w:rFonts w:cs="Arial" w:hint="cs"/>
          <w:rtl/>
        </w:rPr>
        <w:t xml:space="preserve">    ו</w:t>
      </w:r>
      <w:r>
        <w:rPr>
          <w:rFonts w:cs="Arial"/>
          <w:rtl/>
        </w:rPr>
        <w:t>לא ידענא מהיכן דייק לה רבינו</w:t>
      </w:r>
      <w:r>
        <w:rPr>
          <w:rFonts w:cs="Arial" w:hint="cs"/>
          <w:rtl/>
        </w:rPr>
        <w:t>,</w:t>
      </w:r>
      <w:r>
        <w:rPr>
          <w:rFonts w:cs="Arial"/>
          <w:rtl/>
        </w:rPr>
        <w:t xml:space="preserve"> שהרי הרא"ש (שם) כתב לשון הברייתא סתם כתבו באבר וכו' דמשמע דיעבד. ושמא משמע ליה לרבינו ד</w:t>
      </w:r>
      <w:r>
        <w:rPr>
          <w:rFonts w:cs="Arial" w:hint="cs"/>
          <w:rtl/>
        </w:rPr>
        <w:t>'</w:t>
      </w:r>
      <w:r>
        <w:rPr>
          <w:rFonts w:cs="Arial"/>
          <w:rtl/>
        </w:rPr>
        <w:t>כתבו</w:t>
      </w:r>
      <w:r>
        <w:rPr>
          <w:rFonts w:cs="Arial" w:hint="cs"/>
          <w:rtl/>
        </w:rPr>
        <w:t>'</w:t>
      </w:r>
      <w:r>
        <w:rPr>
          <w:rFonts w:cs="Arial"/>
          <w:rtl/>
        </w:rPr>
        <w:t xml:space="preserve"> לאו לישנא דדיעבד הוא</w:t>
      </w:r>
      <w:r>
        <w:rPr>
          <w:rFonts w:cs="Arial" w:hint="cs"/>
          <w:rtl/>
        </w:rPr>
        <w:t>,</w:t>
      </w:r>
      <w:r>
        <w:rPr>
          <w:rFonts w:cs="Arial"/>
          <w:rtl/>
        </w:rPr>
        <w:t xml:space="preserve"> אלא לפי שאין דרך לכתוב באלו הדברים קתני </w:t>
      </w:r>
      <w:r>
        <w:rPr>
          <w:rFonts w:cs="Arial" w:hint="cs"/>
          <w:rtl/>
        </w:rPr>
        <w:t>'</w:t>
      </w:r>
      <w:r>
        <w:rPr>
          <w:rFonts w:cs="Arial"/>
          <w:rtl/>
        </w:rPr>
        <w:t>כתבו</w:t>
      </w:r>
      <w:r>
        <w:rPr>
          <w:rFonts w:cs="Arial" w:hint="cs"/>
          <w:rtl/>
        </w:rPr>
        <w:t>'.</w:t>
      </w:r>
      <w:r>
        <w:rPr>
          <w:rFonts w:cs="Arial"/>
          <w:rtl/>
        </w:rPr>
        <w:t xml:space="preserve"> ותדע מדאמרינן בגמרא (שם) </w:t>
      </w:r>
      <w:r w:rsidR="00281F2F">
        <w:rPr>
          <w:rFonts w:cs="Arial" w:hint="cs"/>
          <w:rtl/>
        </w:rPr>
        <w:t>'</w:t>
      </w:r>
      <w:r>
        <w:rPr>
          <w:rFonts w:cs="Arial"/>
          <w:rtl/>
        </w:rPr>
        <w:t>ובכל דבר המתקיים לאתויי מאי לאתויי הא דאמר רבי חנינא כתבו במי טריא ואפצא כשר</w:t>
      </w:r>
      <w:r w:rsidR="00281F2F">
        <w:rPr>
          <w:rFonts w:cs="Arial" w:hint="cs"/>
          <w:rtl/>
        </w:rPr>
        <w:t>'</w:t>
      </w:r>
      <w:r>
        <w:rPr>
          <w:rFonts w:cs="Arial" w:hint="cs"/>
          <w:rtl/>
        </w:rPr>
        <w:t>.</w:t>
      </w:r>
      <w:r>
        <w:rPr>
          <w:rFonts w:cs="Arial"/>
          <w:rtl/>
        </w:rPr>
        <w:t xml:space="preserve"> והא מתניתין לכתחלה היא</w:t>
      </w:r>
      <w:r>
        <w:rPr>
          <w:rFonts w:cs="Arial" w:hint="cs"/>
          <w:rtl/>
        </w:rPr>
        <w:t>,</w:t>
      </w:r>
      <w:r>
        <w:rPr>
          <w:rFonts w:cs="Arial"/>
          <w:rtl/>
        </w:rPr>
        <w:t xml:space="preserve"> כדקתני </w:t>
      </w:r>
      <w:r w:rsidR="00281F2F">
        <w:rPr>
          <w:rFonts w:cs="Arial" w:hint="cs"/>
          <w:rtl/>
        </w:rPr>
        <w:t>'</w:t>
      </w:r>
      <w:r>
        <w:rPr>
          <w:rFonts w:cs="Arial"/>
          <w:rtl/>
        </w:rPr>
        <w:t>בכל כותבין</w:t>
      </w:r>
      <w:r w:rsidR="00281F2F">
        <w:rPr>
          <w:rFonts w:cs="Arial" w:hint="cs"/>
          <w:rtl/>
        </w:rPr>
        <w:t>'</w:t>
      </w:r>
      <w:r>
        <w:rPr>
          <w:rFonts w:cs="Arial" w:hint="cs"/>
          <w:rtl/>
        </w:rPr>
        <w:t>,</w:t>
      </w:r>
      <w:r>
        <w:rPr>
          <w:rFonts w:cs="Arial"/>
          <w:rtl/>
        </w:rPr>
        <w:t xml:space="preserve"> וקתני </w:t>
      </w:r>
      <w:r w:rsidR="00281F2F">
        <w:rPr>
          <w:rFonts w:cs="Arial" w:hint="cs"/>
          <w:rtl/>
        </w:rPr>
        <w:t>'</w:t>
      </w:r>
      <w:r>
        <w:rPr>
          <w:rFonts w:cs="Arial"/>
          <w:rtl/>
        </w:rPr>
        <w:t>בכל דבר המתקיים לאתויי מי טריא ואפצא</w:t>
      </w:r>
      <w:r w:rsidR="00281F2F">
        <w:rPr>
          <w:rFonts w:cs="Arial" w:hint="cs"/>
          <w:rtl/>
        </w:rPr>
        <w:t>'</w:t>
      </w:r>
      <w:r>
        <w:rPr>
          <w:rFonts w:cs="Arial"/>
          <w:rtl/>
        </w:rPr>
        <w:t xml:space="preserve"> וכותבין בהם לכתחלה</w:t>
      </w:r>
      <w:r>
        <w:rPr>
          <w:rFonts w:cs="Arial" w:hint="cs"/>
          <w:rtl/>
        </w:rPr>
        <w:t>,</w:t>
      </w:r>
      <w:r>
        <w:rPr>
          <w:rFonts w:cs="Arial"/>
          <w:rtl/>
        </w:rPr>
        <w:t xml:space="preserve"> וא</w:t>
      </w:r>
      <w:r>
        <w:rPr>
          <w:rFonts w:cs="Arial" w:hint="cs"/>
          <w:rtl/>
        </w:rPr>
        <w:t>ע</w:t>
      </w:r>
      <w:r>
        <w:rPr>
          <w:rFonts w:cs="Arial"/>
          <w:rtl/>
        </w:rPr>
        <w:t>פ</w:t>
      </w:r>
      <w:r>
        <w:rPr>
          <w:rFonts w:cs="Arial" w:hint="cs"/>
          <w:rtl/>
        </w:rPr>
        <w:t>"</w:t>
      </w:r>
      <w:r>
        <w:rPr>
          <w:rFonts w:cs="Arial"/>
          <w:rtl/>
        </w:rPr>
        <w:t>כ תני להו רבי חנינא בלשון כתבו</w:t>
      </w:r>
      <w:r>
        <w:rPr>
          <w:rFonts w:cs="Arial" w:hint="cs"/>
          <w:rtl/>
        </w:rPr>
        <w:t>.</w:t>
      </w:r>
      <w:r>
        <w:rPr>
          <w:rFonts w:cs="Arial"/>
          <w:rtl/>
        </w:rPr>
        <w:t xml:space="preserve"> אלא ודאי כתבו לאו לשון דיעבד הוא</w:t>
      </w:r>
      <w:r>
        <w:rPr>
          <w:rFonts w:cs="Arial" w:hint="cs"/>
          <w:rtl/>
        </w:rPr>
        <w:t>,</w:t>
      </w:r>
      <w:r>
        <w:rPr>
          <w:rFonts w:cs="Arial"/>
          <w:rtl/>
        </w:rPr>
        <w:t xml:space="preserve"> דלשון דיעבד לא הוי אלא אי הוה תני הגט הכתוב באבר בשחור ובשיחור כשר</w:t>
      </w:r>
      <w:r>
        <w:rPr>
          <w:rFonts w:cs="Arial" w:hint="cs"/>
          <w:rtl/>
        </w:rPr>
        <w:t>.</w:t>
      </w:r>
      <w:r>
        <w:rPr>
          <w:rFonts w:cs="Arial"/>
          <w:rtl/>
        </w:rPr>
        <w:t xml:space="preserve"> והרמב"ם סובר דההיא דרבי חנינא דגלי לן תלמודא שהיא לכתחלה </w:t>
      </w:r>
      <w:r w:rsidR="00281F2F">
        <w:rPr>
          <w:rFonts w:cs="Arial" w:hint="cs"/>
          <w:rtl/>
        </w:rPr>
        <w:t xml:space="preserve">- </w:t>
      </w:r>
      <w:r>
        <w:rPr>
          <w:rFonts w:cs="Arial"/>
          <w:rtl/>
        </w:rPr>
        <w:t>הויא לכתחלה</w:t>
      </w:r>
      <w:r w:rsidR="00281F2F">
        <w:rPr>
          <w:rFonts w:cs="Arial" w:hint="cs"/>
          <w:rtl/>
        </w:rPr>
        <w:t>.</w:t>
      </w:r>
      <w:r>
        <w:rPr>
          <w:rFonts w:cs="Arial"/>
          <w:rtl/>
        </w:rPr>
        <w:t xml:space="preserve"> אבל הא דרבי חייא </w:t>
      </w:r>
      <w:r w:rsidR="00281F2F">
        <w:rPr>
          <w:rFonts w:cs="Arial" w:hint="cs"/>
          <w:rtl/>
        </w:rPr>
        <w:t xml:space="preserve">- </w:t>
      </w:r>
      <w:r>
        <w:rPr>
          <w:rFonts w:cs="Arial"/>
          <w:rtl/>
        </w:rPr>
        <w:t>נקטינן לה כפשטא דכתבו דהוי דיעבד</w:t>
      </w:r>
      <w:r w:rsidR="00281F2F">
        <w:rPr>
          <w:rFonts w:cs="Arial" w:hint="cs"/>
          <w:rtl/>
        </w:rPr>
        <w:t>.</w:t>
      </w:r>
      <w:r>
        <w:rPr>
          <w:rFonts w:cs="Arial"/>
          <w:rtl/>
        </w:rPr>
        <w:t xml:space="preserve"> ומשום דסבירא ליה לתלמודא דההיא דרבי חנינא הויא לכתחלה ודרבי חייא הויא דיעבד לא אמר דמתניתין לאתויי דרבי חייא כדאמר לאתויי דרבי חנינא</w:t>
      </w:r>
      <w:r w:rsidR="00F50E43">
        <w:rPr>
          <w:rFonts w:hint="cs"/>
          <w:rtl/>
        </w:rPr>
        <w:t xml:space="preserve">, </w:t>
      </w:r>
      <w:r w:rsidR="00F50E43" w:rsidRPr="00F50E43">
        <w:rPr>
          <w:rFonts w:hint="cs"/>
          <w:b/>
          <w:bCs/>
          <w:rtl/>
        </w:rPr>
        <w:t>ב"י</w:t>
      </w:r>
      <w:r w:rsidR="00281F2F">
        <w:rPr>
          <w:rFonts w:hint="cs"/>
          <w:rtl/>
        </w:rPr>
        <w:t>.</w:t>
      </w:r>
    </w:p>
  </w:footnote>
  <w:footnote w:id="508">
    <w:p w14:paraId="20A796F1" w14:textId="6028DF4A" w:rsidR="005F1E31" w:rsidRDefault="005F1E31">
      <w:pPr>
        <w:pStyle w:val="a5"/>
      </w:pPr>
      <w:r>
        <w:rPr>
          <w:rStyle w:val="a7"/>
        </w:rPr>
        <w:footnoteRef/>
      </w:r>
      <w:r>
        <w:rPr>
          <w:rtl/>
        </w:rPr>
        <w:t xml:space="preserve"> </w:t>
      </w:r>
      <w:r w:rsidRPr="00F11606">
        <w:rPr>
          <w:rFonts w:cs="Arial"/>
          <w:rtl/>
        </w:rPr>
        <w:t>וכל זה אינו אלא חומרא בעלמא</w:t>
      </w:r>
      <w:r>
        <w:rPr>
          <w:rFonts w:cs="Arial" w:hint="cs"/>
          <w:rtl/>
        </w:rPr>
        <w:t>, דרכ"מ (אות א).</w:t>
      </w:r>
    </w:p>
  </w:footnote>
  <w:footnote w:id="509">
    <w:p w14:paraId="4E394429" w14:textId="2BE7C1E3" w:rsidR="008A6BA6" w:rsidRDefault="008A6BA6">
      <w:pPr>
        <w:pStyle w:val="a5"/>
      </w:pPr>
      <w:r>
        <w:rPr>
          <w:rStyle w:val="a7"/>
        </w:rPr>
        <w:footnoteRef/>
      </w:r>
      <w:r>
        <w:rPr>
          <w:rtl/>
        </w:rPr>
        <w:t xml:space="preserve"> </w:t>
      </w:r>
      <w:r w:rsidRPr="008A6BA6">
        <w:rPr>
          <w:rFonts w:cs="Arial"/>
          <w:rtl/>
        </w:rPr>
        <w:t>ל"ד פסול אלא הגט בטל מדאורייתא</w:t>
      </w:r>
      <w:r>
        <w:rPr>
          <w:rFonts w:cs="Arial" w:hint="cs"/>
          <w:rtl/>
        </w:rPr>
        <w:t>.</w:t>
      </w:r>
      <w:r w:rsidRPr="008A6BA6">
        <w:rPr>
          <w:rFonts w:cs="Arial"/>
          <w:rtl/>
        </w:rPr>
        <w:t xml:space="preserve"> דהא לי"א אלו הלכה כשמואל דאמר רושמי' להעדים באבר ש"מ דלאו כתב הוא</w:t>
      </w:r>
      <w:r>
        <w:rPr>
          <w:rFonts w:cs="Arial" w:hint="cs"/>
          <w:rtl/>
        </w:rPr>
        <w:t>..., ב"ש (סק"ב).</w:t>
      </w:r>
    </w:p>
  </w:footnote>
  <w:footnote w:id="510">
    <w:p w14:paraId="01199F18" w14:textId="77777777" w:rsidR="004E4E1C" w:rsidRDefault="004E4E1C" w:rsidP="004E4E1C">
      <w:pPr>
        <w:pStyle w:val="a5"/>
      </w:pPr>
      <w:r>
        <w:rPr>
          <w:rStyle w:val="a7"/>
        </w:rPr>
        <w:footnoteRef/>
      </w:r>
      <w:r>
        <w:rPr>
          <w:rtl/>
        </w:rPr>
        <w:t xml:space="preserve"> </w:t>
      </w:r>
      <w:r w:rsidRPr="001626F4">
        <w:rPr>
          <w:rFonts w:cs="Arial"/>
          <w:rtl/>
        </w:rPr>
        <w:t>צבע אדום שקורין מיניא"ו</w:t>
      </w:r>
      <w:r>
        <w:rPr>
          <w:rFonts w:cs="Arial" w:hint="cs"/>
          <w:rtl/>
        </w:rPr>
        <w:t>, רש"י.</w:t>
      </w:r>
    </w:p>
  </w:footnote>
  <w:footnote w:id="511">
    <w:p w14:paraId="4EF90082" w14:textId="77777777" w:rsidR="004E4E1C" w:rsidRDefault="004E4E1C" w:rsidP="004E4E1C">
      <w:pPr>
        <w:pStyle w:val="a5"/>
      </w:pPr>
      <w:r>
        <w:rPr>
          <w:rStyle w:val="a7"/>
        </w:rPr>
        <w:footnoteRef/>
      </w:r>
      <w:r>
        <w:rPr>
          <w:rtl/>
        </w:rPr>
        <w:t xml:space="preserve"> </w:t>
      </w:r>
      <w:r w:rsidRPr="001626F4">
        <w:rPr>
          <w:rFonts w:cs="Arial"/>
          <w:rtl/>
        </w:rPr>
        <w:t>פירשו רש"י (ד"ה קומא) והערוך (ערך קומוס) שרף האילן ובלעז גומ"א</w:t>
      </w:r>
      <w:r>
        <w:rPr>
          <w:rFonts w:cs="Arial" w:hint="cs"/>
          <w:rtl/>
        </w:rPr>
        <w:t>, ב"י.</w:t>
      </w:r>
    </w:p>
  </w:footnote>
  <w:footnote w:id="512">
    <w:p w14:paraId="41955C2F" w14:textId="77777777" w:rsidR="004E4E1C" w:rsidRDefault="004E4E1C" w:rsidP="004E4E1C">
      <w:pPr>
        <w:pStyle w:val="a5"/>
        <w:rPr>
          <w:rtl/>
        </w:rPr>
      </w:pPr>
      <w:r>
        <w:rPr>
          <w:rStyle w:val="a7"/>
        </w:rPr>
        <w:footnoteRef/>
      </w:r>
      <w:r>
        <w:rPr>
          <w:rtl/>
        </w:rPr>
        <w:t xml:space="preserve"> </w:t>
      </w:r>
      <w:r w:rsidRPr="001626F4">
        <w:rPr>
          <w:rFonts w:cs="Arial"/>
          <w:rtl/>
        </w:rPr>
        <w:t>פירש רש"י (ד"ה חרתא דאושכפי) אדרימנ"ט</w:t>
      </w:r>
      <w:r>
        <w:rPr>
          <w:rFonts w:cs="Arial" w:hint="cs"/>
          <w:rtl/>
        </w:rPr>
        <w:t>,</w:t>
      </w:r>
      <w:r w:rsidRPr="001626F4">
        <w:rPr>
          <w:rFonts w:cs="Arial"/>
          <w:rtl/>
        </w:rPr>
        <w:t xml:space="preserve"> וכתב (בד"ה ובשיחור) שהוא שיחור הנזכר בברייתא</w:t>
      </w:r>
      <w:r>
        <w:rPr>
          <w:rFonts w:cs="Arial" w:hint="cs"/>
          <w:rtl/>
        </w:rPr>
        <w:t>.</w:t>
      </w:r>
      <w:r w:rsidRPr="001626F4">
        <w:rPr>
          <w:rFonts w:cs="Arial"/>
          <w:rtl/>
        </w:rPr>
        <w:t xml:space="preserve"> והתוספות (ד"ה קנקנתום) חלקו עליו ופירשו דשיחור הוא אדרימנ"ט וקנקתום הוא קרקע ירוקה שקורין וידריאול"ה בלעז</w:t>
      </w:r>
      <w:r>
        <w:rPr>
          <w:rFonts w:cs="Arial" w:hint="cs"/>
          <w:rtl/>
        </w:rPr>
        <w:t>.</w:t>
      </w:r>
      <w:r w:rsidRPr="001626F4">
        <w:rPr>
          <w:rFonts w:cs="Arial"/>
          <w:rtl/>
        </w:rPr>
        <w:t xml:space="preserve"> וכן כתבו הר"ן (ט. ד"ה מתני') והמרדכי (סי' שלט)</w:t>
      </w:r>
      <w:r>
        <w:rPr>
          <w:rFonts w:cs="Arial" w:hint="cs"/>
          <w:rtl/>
        </w:rPr>
        <w:t>.</w:t>
      </w:r>
      <w:r w:rsidRPr="001626F4">
        <w:rPr>
          <w:rFonts w:cs="Arial"/>
          <w:rtl/>
        </w:rPr>
        <w:t xml:space="preserve"> וכן כתב גם כן בערוך (ערך קלקנתום) שקנקנתום הוא ויטריאו"ל ובלשון ישמעאל הוא אלזא"ג</w:t>
      </w:r>
      <w:r>
        <w:rPr>
          <w:rFonts w:hint="cs"/>
          <w:rtl/>
        </w:rPr>
        <w:t>, ב"י.</w:t>
      </w:r>
    </w:p>
  </w:footnote>
  <w:footnote w:id="513">
    <w:p w14:paraId="19FE5E07" w14:textId="66273D0C" w:rsidR="004E4E1C" w:rsidRDefault="004E4E1C" w:rsidP="004E4E1C">
      <w:pPr>
        <w:pStyle w:val="a5"/>
      </w:pPr>
      <w:r>
        <w:rPr>
          <w:rStyle w:val="a7"/>
        </w:rPr>
        <w:footnoteRef/>
      </w:r>
      <w:r>
        <w:rPr>
          <w:rtl/>
        </w:rPr>
        <w:t xml:space="preserve"> </w:t>
      </w:r>
      <w:r w:rsidRPr="004526A5">
        <w:rPr>
          <w:rFonts w:cs="Arial"/>
          <w:rtl/>
        </w:rPr>
        <w:t>מי גשמים</w:t>
      </w:r>
      <w:r>
        <w:rPr>
          <w:rFonts w:cs="Arial" w:hint="cs"/>
          <w:rtl/>
        </w:rPr>
        <w:t>,</w:t>
      </w:r>
      <w:r w:rsidRPr="004526A5">
        <w:rPr>
          <w:rFonts w:cs="Arial"/>
          <w:rtl/>
        </w:rPr>
        <w:t xml:space="preserve"> לשון מורי מי טריא מים ששורים בו פרי שהוא כעין עפצים גל"ש בלע"ז</w:t>
      </w:r>
      <w:r>
        <w:rPr>
          <w:rFonts w:cs="Arial" w:hint="cs"/>
          <w:rtl/>
        </w:rPr>
        <w:t>, רש"י.</w:t>
      </w:r>
      <w:r w:rsidR="001E3509" w:rsidRPr="001E3509">
        <w:rPr>
          <w:rFonts w:cs="Arial"/>
          <w:rtl/>
        </w:rPr>
        <w:t xml:space="preserve"> </w:t>
      </w:r>
      <w:r w:rsidR="001E3509" w:rsidRPr="003E2ADE">
        <w:rPr>
          <w:rFonts w:cs="Arial"/>
          <w:rtl/>
        </w:rPr>
        <w:t>ורבינו תפס עיקר הפירוש השני ומשום הכי לא הזכיר אלא מי עפצים</w:t>
      </w:r>
      <w:r w:rsidR="001E3509">
        <w:rPr>
          <w:rFonts w:cs="Arial" w:hint="cs"/>
          <w:rtl/>
        </w:rPr>
        <w:t>.</w:t>
      </w:r>
      <w:r w:rsidR="001E3509" w:rsidRPr="003E2ADE">
        <w:rPr>
          <w:rFonts w:cs="Arial"/>
          <w:rtl/>
        </w:rPr>
        <w:t xml:space="preserve"> וכן הרמב"ם בפ</w:t>
      </w:r>
      <w:r w:rsidR="001E3509">
        <w:rPr>
          <w:rFonts w:cs="Arial" w:hint="cs"/>
          <w:rtl/>
        </w:rPr>
        <w:t>"</w:t>
      </w:r>
      <w:r w:rsidR="001E3509" w:rsidRPr="003E2ADE">
        <w:rPr>
          <w:rFonts w:cs="Arial"/>
          <w:rtl/>
        </w:rPr>
        <w:t>ד לא הזכיר אלא מי עפצים</w:t>
      </w:r>
      <w:r w:rsidR="001E3509">
        <w:rPr>
          <w:rFonts w:cs="Arial" w:hint="cs"/>
          <w:rtl/>
        </w:rPr>
        <w:t>,</w:t>
      </w:r>
      <w:r w:rsidR="001E3509" w:rsidRPr="003E2ADE">
        <w:rPr>
          <w:rFonts w:cs="Arial"/>
          <w:rtl/>
        </w:rPr>
        <w:t xml:space="preserve"> משמע נמי דכפירוש שני סבירא ליה</w:t>
      </w:r>
      <w:r w:rsidR="001E3509">
        <w:rPr>
          <w:rFonts w:hint="cs"/>
          <w:rtl/>
        </w:rPr>
        <w:t>, ב"י.</w:t>
      </w:r>
    </w:p>
  </w:footnote>
  <w:footnote w:id="514">
    <w:p w14:paraId="359713D8" w14:textId="09D7136C" w:rsidR="001E3509" w:rsidRDefault="001E3509">
      <w:pPr>
        <w:pStyle w:val="a5"/>
      </w:pPr>
      <w:r>
        <w:rPr>
          <w:rStyle w:val="a7"/>
        </w:rPr>
        <w:footnoteRef/>
      </w:r>
      <w:r>
        <w:rPr>
          <w:rtl/>
        </w:rPr>
        <w:t xml:space="preserve"> </w:t>
      </w:r>
      <w:r w:rsidRPr="001E3509">
        <w:rPr>
          <w:rFonts w:cs="Arial"/>
          <w:rtl/>
        </w:rPr>
        <w:t>מים ששרה בהן עפצים שחוקים</w:t>
      </w:r>
      <w:r>
        <w:rPr>
          <w:rFonts w:cs="Arial" w:hint="cs"/>
          <w:rtl/>
        </w:rPr>
        <w:t>, רש"י.</w:t>
      </w:r>
    </w:p>
  </w:footnote>
  <w:footnote w:id="515">
    <w:p w14:paraId="6F506EB1" w14:textId="1F96B756" w:rsidR="001E3509" w:rsidRDefault="001E3509">
      <w:pPr>
        <w:pStyle w:val="a5"/>
      </w:pPr>
      <w:r>
        <w:rPr>
          <w:rStyle w:val="a7"/>
        </w:rPr>
        <w:footnoteRef/>
      </w:r>
      <w:r>
        <w:rPr>
          <w:rtl/>
        </w:rPr>
        <w:t xml:space="preserve"> </w:t>
      </w:r>
      <w:r w:rsidRPr="001E3509">
        <w:rPr>
          <w:rFonts w:cs="Arial"/>
          <w:rtl/>
        </w:rPr>
        <w:t>הקלפים מעובדים בעפצים רושמין עליהן את העדים במי מילין דלא הוי כתב שהרי מראה הקלפים כמראה הכתב ואינו ניכר הלכך אין מי מילין על גבי מילין ומתנית' בדלא אפיצן</w:t>
      </w:r>
      <w:r>
        <w:rPr>
          <w:rFonts w:cs="Arial" w:hint="cs"/>
          <w:rtl/>
        </w:rPr>
        <w:t>, רש"י.</w:t>
      </w:r>
    </w:p>
  </w:footnote>
  <w:footnote w:id="516">
    <w:p w14:paraId="262338C7" w14:textId="0AE9F90F" w:rsidR="00172B29" w:rsidRDefault="00172B29">
      <w:pPr>
        <w:pStyle w:val="a5"/>
      </w:pPr>
      <w:r>
        <w:rPr>
          <w:rStyle w:val="a7"/>
        </w:rPr>
        <w:footnoteRef/>
      </w:r>
      <w:r>
        <w:rPr>
          <w:rtl/>
        </w:rPr>
        <w:t xml:space="preserve"> </w:t>
      </w:r>
      <w:r w:rsidRPr="00172B29">
        <w:rPr>
          <w:rFonts w:cs="Arial"/>
          <w:rtl/>
        </w:rPr>
        <w:t>בטבלא בסכין</w:t>
      </w:r>
      <w:r>
        <w:rPr>
          <w:rFonts w:cs="Arial" w:hint="cs"/>
          <w:rtl/>
        </w:rPr>
        <w:t>, רש"י.</w:t>
      </w:r>
    </w:p>
  </w:footnote>
  <w:footnote w:id="517">
    <w:p w14:paraId="59A12B7B" w14:textId="34CA9ADE" w:rsidR="00172B29" w:rsidRDefault="00172B29">
      <w:pPr>
        <w:pStyle w:val="a5"/>
      </w:pPr>
      <w:r>
        <w:rPr>
          <w:rStyle w:val="a7"/>
        </w:rPr>
        <w:footnoteRef/>
      </w:r>
      <w:r>
        <w:rPr>
          <w:rtl/>
        </w:rPr>
        <w:t xml:space="preserve"> </w:t>
      </w:r>
      <w:r w:rsidRPr="00172B29">
        <w:rPr>
          <w:rFonts w:cs="Arial"/>
          <w:rtl/>
        </w:rPr>
        <w:t>דף</w:t>
      </w:r>
      <w:r>
        <w:rPr>
          <w:rFonts w:cs="Arial" w:hint="cs"/>
          <w:rtl/>
        </w:rPr>
        <w:t>, רש"י.</w:t>
      </w:r>
    </w:p>
  </w:footnote>
  <w:footnote w:id="518">
    <w:p w14:paraId="06011E9D" w14:textId="5D1D37EC" w:rsidR="00172B29" w:rsidRDefault="00172B29">
      <w:pPr>
        <w:pStyle w:val="a5"/>
      </w:pPr>
      <w:r>
        <w:rPr>
          <w:rStyle w:val="a7"/>
        </w:rPr>
        <w:footnoteRef/>
      </w:r>
      <w:r>
        <w:rPr>
          <w:rtl/>
        </w:rPr>
        <w:t xml:space="preserve"> </w:t>
      </w:r>
      <w:r w:rsidRPr="00172B29">
        <w:rPr>
          <w:rFonts w:cs="Arial"/>
          <w:rtl/>
        </w:rPr>
        <w:t>כעין אותן של סוחרים שחוקקים עליהן בעט</w:t>
      </w:r>
      <w:r>
        <w:rPr>
          <w:rFonts w:cs="Arial" w:hint="cs"/>
          <w:rtl/>
        </w:rPr>
        <w:t>, רש"י.</w:t>
      </w:r>
    </w:p>
  </w:footnote>
  <w:footnote w:id="519">
    <w:p w14:paraId="531BFF25" w14:textId="69AD53C1" w:rsidR="00172B29" w:rsidRDefault="00172B29">
      <w:pPr>
        <w:pStyle w:val="a5"/>
      </w:pPr>
      <w:r>
        <w:rPr>
          <w:rStyle w:val="a7"/>
        </w:rPr>
        <w:footnoteRef/>
      </w:r>
      <w:r>
        <w:rPr>
          <w:rtl/>
        </w:rPr>
        <w:t xml:space="preserve"> </w:t>
      </w:r>
      <w:r w:rsidRPr="00172B29">
        <w:rPr>
          <w:rFonts w:cs="Arial"/>
          <w:rtl/>
        </w:rPr>
        <w:t>כעין כובע של צמר ונותנות הנשים תחת צעיף קישוריהן כדאמרי' בבמה אשה יוצאה (שבת נז:)</w:t>
      </w:r>
      <w:r>
        <w:rPr>
          <w:rFonts w:cs="Arial" w:hint="cs"/>
          <w:rtl/>
        </w:rPr>
        <w:t>, רש"י.</w:t>
      </w:r>
    </w:p>
  </w:footnote>
  <w:footnote w:id="520">
    <w:p w14:paraId="3BD78EFF" w14:textId="0E937DC8" w:rsidR="00172B29" w:rsidRDefault="00172B29">
      <w:pPr>
        <w:pStyle w:val="a5"/>
      </w:pPr>
      <w:r>
        <w:rPr>
          <w:rStyle w:val="a7"/>
        </w:rPr>
        <w:footnoteRef/>
      </w:r>
      <w:r>
        <w:rPr>
          <w:rtl/>
        </w:rPr>
        <w:t xml:space="preserve"> </w:t>
      </w:r>
      <w:r w:rsidRPr="00172B29">
        <w:rPr>
          <w:rFonts w:cs="Arial"/>
          <w:rtl/>
        </w:rPr>
        <w:t>תכשיט ורוקמין עליו צורות במחט</w:t>
      </w:r>
      <w:r w:rsidR="00CF5119">
        <w:rPr>
          <w:rFonts w:cs="Arial" w:hint="cs"/>
          <w:rtl/>
        </w:rPr>
        <w:t>,</w:t>
      </w:r>
      <w:r w:rsidRPr="00172B29">
        <w:rPr>
          <w:rFonts w:cs="Arial"/>
          <w:rtl/>
        </w:rPr>
        <w:t xml:space="preserve"> כעין ברושדי"ר בלע"ז</w:t>
      </w:r>
      <w:r w:rsidR="00CF5119">
        <w:rPr>
          <w:rFonts w:cs="Arial" w:hint="cs"/>
          <w:rtl/>
        </w:rPr>
        <w:t>,</w:t>
      </w:r>
      <w:r w:rsidRPr="00172B29">
        <w:rPr>
          <w:rFonts w:cs="Arial"/>
          <w:rtl/>
        </w:rPr>
        <w:t xml:space="preserve"> ואם רקמו עליהן אותיות הגט אינו כתב לפי שאינו כתוב וקבוע אלא מוטל על הבגד וב' ראשיו תחובים</w:t>
      </w:r>
      <w:r>
        <w:rPr>
          <w:rFonts w:cs="Arial" w:hint="cs"/>
          <w:rtl/>
        </w:rPr>
        <w:t>, רש"י.</w:t>
      </w:r>
    </w:p>
  </w:footnote>
  <w:footnote w:id="521">
    <w:p w14:paraId="04D278C5" w14:textId="40FDDA06" w:rsidR="0030671A" w:rsidRDefault="0030671A">
      <w:pPr>
        <w:pStyle w:val="a5"/>
      </w:pPr>
      <w:r>
        <w:rPr>
          <w:rStyle w:val="a7"/>
        </w:rPr>
        <w:footnoteRef/>
      </w:r>
      <w:r>
        <w:rPr>
          <w:rtl/>
        </w:rPr>
        <w:t xml:space="preserve"> </w:t>
      </w:r>
      <w:r w:rsidRPr="0030671A">
        <w:rPr>
          <w:rFonts w:cs="Arial"/>
          <w:rtl/>
        </w:rPr>
        <w:t>של אותיות וצידיהן</w:t>
      </w:r>
      <w:r>
        <w:rPr>
          <w:rFonts w:cs="Arial" w:hint="cs"/>
          <w:rtl/>
        </w:rPr>
        <w:t>,</w:t>
      </w:r>
      <w:r w:rsidRPr="0030671A">
        <w:rPr>
          <w:rFonts w:cs="Arial"/>
          <w:rtl/>
        </w:rPr>
        <w:t xml:space="preserve"> והאותיות בולטות</w:t>
      </w:r>
      <w:r>
        <w:rPr>
          <w:rFonts w:cs="Arial" w:hint="cs"/>
          <w:rtl/>
        </w:rPr>
        <w:t xml:space="preserve"> -</w:t>
      </w:r>
      <w:r w:rsidRPr="0030671A">
        <w:rPr>
          <w:rFonts w:cs="Arial"/>
          <w:rtl/>
        </w:rPr>
        <w:t xml:space="preserve"> אינו כתב</w:t>
      </w:r>
      <w:r>
        <w:rPr>
          <w:rFonts w:cs="Arial" w:hint="cs"/>
          <w:rtl/>
        </w:rPr>
        <w:t>,</w:t>
      </w:r>
      <w:r w:rsidRPr="0030671A">
        <w:rPr>
          <w:rFonts w:cs="Arial"/>
          <w:rtl/>
        </w:rPr>
        <w:t xml:space="preserve"> לפי שלא צייר את האותיות אלא חקק סביבותיהם והעץ נשאר כמו שהיה בדפוס האותיות מאיליה</w:t>
      </w:r>
      <w:r>
        <w:rPr>
          <w:rFonts w:cs="Arial" w:hint="cs"/>
          <w:rtl/>
        </w:rPr>
        <w:t>, רש"י.</w:t>
      </w:r>
    </w:p>
  </w:footnote>
  <w:footnote w:id="522">
    <w:p w14:paraId="1013A3E6" w14:textId="513292BF" w:rsidR="0030671A" w:rsidRDefault="0030671A">
      <w:pPr>
        <w:pStyle w:val="a5"/>
      </w:pPr>
      <w:r>
        <w:rPr>
          <w:rStyle w:val="a7"/>
        </w:rPr>
        <w:footnoteRef/>
      </w:r>
      <w:r>
        <w:rPr>
          <w:rtl/>
        </w:rPr>
        <w:t xml:space="preserve"> </w:t>
      </w:r>
      <w:r w:rsidRPr="0030671A">
        <w:rPr>
          <w:rFonts w:cs="Arial"/>
          <w:rtl/>
        </w:rPr>
        <w:t>של אותיות דהיינו הן ממש שישקע הכתב זו היא כתיבה</w:t>
      </w:r>
      <w:r>
        <w:rPr>
          <w:rFonts w:cs="Arial" w:hint="cs"/>
          <w:rtl/>
        </w:rPr>
        <w:t>, רש"י.</w:t>
      </w:r>
    </w:p>
  </w:footnote>
  <w:footnote w:id="523">
    <w:p w14:paraId="582D5BCA" w14:textId="3093E21F" w:rsidR="0030671A" w:rsidRDefault="0030671A">
      <w:pPr>
        <w:pStyle w:val="a5"/>
      </w:pPr>
      <w:r>
        <w:rPr>
          <w:rStyle w:val="a7"/>
        </w:rPr>
        <w:footnoteRef/>
      </w:r>
      <w:r>
        <w:rPr>
          <w:rtl/>
        </w:rPr>
        <w:t xml:space="preserve"> </w:t>
      </w:r>
      <w:r w:rsidRPr="0030671A">
        <w:rPr>
          <w:rFonts w:cs="Arial"/>
          <w:rtl/>
        </w:rPr>
        <w:t>של ציץ שוקע אלא בולט כצורות של דינרי זהב</w:t>
      </w:r>
      <w:r>
        <w:rPr>
          <w:rFonts w:cs="Arial" w:hint="cs"/>
          <w:rtl/>
        </w:rPr>
        <w:t>, רש"י.</w:t>
      </w:r>
    </w:p>
  </w:footnote>
  <w:footnote w:id="524">
    <w:p w14:paraId="775961D7" w14:textId="413B1ED2" w:rsidR="0030671A" w:rsidRDefault="0030671A">
      <w:pPr>
        <w:pStyle w:val="a5"/>
        <w:rPr>
          <w:rtl/>
        </w:rPr>
      </w:pPr>
      <w:r>
        <w:rPr>
          <w:rStyle w:val="a7"/>
        </w:rPr>
        <w:footnoteRef/>
      </w:r>
      <w:r>
        <w:rPr>
          <w:rtl/>
        </w:rPr>
        <w:t xml:space="preserve"> </w:t>
      </w:r>
      <w:r w:rsidRPr="0030671A">
        <w:rPr>
          <w:rFonts w:cs="Arial"/>
          <w:rtl/>
        </w:rPr>
        <w:t>דקא סלקא דעתיה כשהוא מכה בקורנס חותם המטבע על הדינר תוכות וסביבות צורת החותם שהיא שוקעת והם מלאים דוחקין את תוכו וסביבות צורת הדינר וכנגד שקיעת רושם החותם אין הדינר של זהב נדחק ומאיליה הצורה עומדת במקומה וגבי ציץ כתיב (שמות לט) מכתב פתוחי חותם אלמא כתיבה היא</w:t>
      </w:r>
      <w:r>
        <w:rPr>
          <w:rFonts w:hint="cs"/>
          <w:rtl/>
        </w:rPr>
        <w:t>, רש"י.</w:t>
      </w:r>
    </w:p>
  </w:footnote>
  <w:footnote w:id="525">
    <w:p w14:paraId="4CA31EC3" w14:textId="6465E6C1" w:rsidR="0030671A" w:rsidRDefault="0030671A">
      <w:pPr>
        <w:pStyle w:val="a5"/>
        <w:rPr>
          <w:rtl/>
        </w:rPr>
      </w:pPr>
      <w:r>
        <w:rPr>
          <w:rStyle w:val="a7"/>
        </w:rPr>
        <w:footnoteRef/>
      </w:r>
      <w:r>
        <w:rPr>
          <w:rtl/>
        </w:rPr>
        <w:t xml:space="preserve"> </w:t>
      </w:r>
      <w:r w:rsidRPr="0030671A">
        <w:rPr>
          <w:rFonts w:cs="Arial"/>
          <w:rtl/>
        </w:rPr>
        <w:t>שהיה הציץ דק כעין טס וצר האותיות מעבר האחד ודוחק ירכותיהן והן בולטות מעבר השני כמו שמציירים כסף וזהב העשוי ליקבע בכלי עץ ששותים בהם יין</w:t>
      </w:r>
      <w:r>
        <w:rPr>
          <w:rFonts w:hint="cs"/>
          <w:rtl/>
        </w:rPr>
        <w:t>, רש"י.</w:t>
      </w:r>
    </w:p>
  </w:footnote>
  <w:footnote w:id="526">
    <w:p w14:paraId="56C759AA" w14:textId="34CEE329" w:rsidR="0030671A" w:rsidRDefault="0030671A">
      <w:pPr>
        <w:pStyle w:val="a5"/>
      </w:pPr>
      <w:r>
        <w:rPr>
          <w:rStyle w:val="a7"/>
        </w:rPr>
        <w:footnoteRef/>
      </w:r>
      <w:r>
        <w:rPr>
          <w:rtl/>
        </w:rPr>
        <w:t xml:space="preserve"> </w:t>
      </w:r>
      <w:r w:rsidRPr="0030671A">
        <w:rPr>
          <w:rFonts w:cs="Arial"/>
          <w:rtl/>
        </w:rPr>
        <w:t>חותם המטבע שקורין קויינ"ץ</w:t>
      </w:r>
      <w:r>
        <w:rPr>
          <w:rFonts w:cs="Arial" w:hint="cs"/>
          <w:rtl/>
        </w:rPr>
        <w:t>, רש"י.</w:t>
      </w:r>
    </w:p>
  </w:footnote>
  <w:footnote w:id="527">
    <w:p w14:paraId="5088E479" w14:textId="485F2B68" w:rsidR="0030671A" w:rsidRDefault="0030671A">
      <w:pPr>
        <w:pStyle w:val="a5"/>
      </w:pPr>
      <w:r>
        <w:rPr>
          <w:rStyle w:val="a7"/>
        </w:rPr>
        <w:footnoteRef/>
      </w:r>
      <w:r>
        <w:rPr>
          <w:rtl/>
        </w:rPr>
        <w:t xml:space="preserve"> </w:t>
      </w:r>
      <w:r w:rsidRPr="0030671A">
        <w:rPr>
          <w:rFonts w:cs="Arial"/>
          <w:rtl/>
        </w:rPr>
        <w:t>התוכות והסביבות של צורתו שהיא שוקעת חורצין ודוחקין תוכות וסביבות של צורת הדינר עד שעומדת צורת הדינר בולטת כמו שהיתה ונפקא מינה שאם חקק את הגט בחותם וכתבו על גבי טס לא הוי כתב דתוכות הוא</w:t>
      </w:r>
      <w:r>
        <w:rPr>
          <w:rFonts w:cs="Arial" w:hint="cs"/>
          <w:rtl/>
        </w:rPr>
        <w:t>, רש"י.</w:t>
      </w:r>
    </w:p>
  </w:footnote>
  <w:footnote w:id="528">
    <w:p w14:paraId="673A634C" w14:textId="39D9C233" w:rsidR="009C52E0" w:rsidRDefault="009C52E0">
      <w:pPr>
        <w:pStyle w:val="a5"/>
      </w:pPr>
      <w:r>
        <w:rPr>
          <w:rStyle w:val="a7"/>
        </w:rPr>
        <w:footnoteRef/>
      </w:r>
      <w:r>
        <w:rPr>
          <w:rtl/>
        </w:rPr>
        <w:t xml:space="preserve"> </w:t>
      </w:r>
      <w:r w:rsidRPr="009C52E0">
        <w:rPr>
          <w:rFonts w:cs="Arial"/>
          <w:rtl/>
        </w:rPr>
        <w:t>צורת החות</w:t>
      </w:r>
      <w:r>
        <w:rPr>
          <w:rFonts w:cs="Arial" w:hint="cs"/>
          <w:rtl/>
        </w:rPr>
        <w:t>ם</w:t>
      </w:r>
      <w:r w:rsidRPr="009C52E0">
        <w:rPr>
          <w:rFonts w:cs="Arial"/>
          <w:rtl/>
        </w:rPr>
        <w:t xml:space="preserve"> שהיא שוקעת</w:t>
      </w:r>
      <w:r>
        <w:rPr>
          <w:rFonts w:cs="Arial" w:hint="cs"/>
          <w:rtl/>
        </w:rPr>
        <w:t>,</w:t>
      </w:r>
      <w:r w:rsidRPr="009C52E0">
        <w:rPr>
          <w:rFonts w:cs="Arial"/>
          <w:rtl/>
        </w:rPr>
        <w:t xml:space="preserve"> כשתוכותיה דוחקים את תוכות של דינר ונכנס הזהב קצת בדוחק בתוך שקיעת הצורה</w:t>
      </w:r>
      <w:r>
        <w:rPr>
          <w:rFonts w:cs="Arial" w:hint="cs"/>
          <w:rtl/>
        </w:rPr>
        <w:t>,</w:t>
      </w:r>
      <w:r w:rsidRPr="009C52E0">
        <w:rPr>
          <w:rFonts w:cs="Arial"/>
          <w:rtl/>
        </w:rPr>
        <w:t xml:space="preserve"> ונמתח מתוך דוחקו ונכנס לתוך הצורה</w:t>
      </w:r>
      <w:r>
        <w:rPr>
          <w:rFonts w:cs="Arial" w:hint="cs"/>
          <w:rtl/>
        </w:rPr>
        <w:t>,</w:t>
      </w:r>
      <w:r w:rsidRPr="009C52E0">
        <w:rPr>
          <w:rFonts w:cs="Arial"/>
          <w:rtl/>
        </w:rPr>
        <w:t xml:space="preserve"> ולאו ממילא הן</w:t>
      </w:r>
      <w:r>
        <w:rPr>
          <w:rFonts w:cs="Arial" w:hint="cs"/>
          <w:rtl/>
        </w:rPr>
        <w:t>,</w:t>
      </w:r>
      <w:r w:rsidRPr="009C52E0">
        <w:rPr>
          <w:rFonts w:cs="Arial"/>
          <w:rtl/>
        </w:rPr>
        <w:t xml:space="preserve"> אלא ע"י מכת הקורנס הצורה עצמה נמתחת לתוך הרושם</w:t>
      </w:r>
      <w:r>
        <w:rPr>
          <w:rFonts w:cs="Arial" w:hint="cs"/>
          <w:rtl/>
        </w:rPr>
        <w:t>,</w:t>
      </w:r>
      <w:r w:rsidRPr="009C52E0">
        <w:rPr>
          <w:rFonts w:cs="Arial"/>
          <w:rtl/>
        </w:rPr>
        <w:t xml:space="preserve"> והרי כתבה בידים</w:t>
      </w:r>
      <w:r>
        <w:rPr>
          <w:rFonts w:cs="Arial" w:hint="cs"/>
          <w:rtl/>
        </w:rPr>
        <w:t>, רש"י.</w:t>
      </w:r>
    </w:p>
  </w:footnote>
  <w:footnote w:id="529">
    <w:p w14:paraId="4B0431B6" w14:textId="6AA72333" w:rsidR="009C52E0" w:rsidRDefault="009C52E0">
      <w:pPr>
        <w:pStyle w:val="a5"/>
      </w:pPr>
      <w:r>
        <w:rPr>
          <w:rStyle w:val="a7"/>
        </w:rPr>
        <w:footnoteRef/>
      </w:r>
      <w:r>
        <w:rPr>
          <w:rtl/>
        </w:rPr>
        <w:t xml:space="preserve"> </w:t>
      </w:r>
      <w:r w:rsidRPr="009C52E0">
        <w:rPr>
          <w:rFonts w:cs="Arial"/>
          <w:rtl/>
        </w:rPr>
        <w:t>פתוחי חותם</w:t>
      </w:r>
      <w:r>
        <w:rPr>
          <w:rFonts w:cs="Arial" w:hint="cs"/>
          <w:rtl/>
        </w:rPr>
        <w:t>, רש"י.</w:t>
      </w:r>
    </w:p>
  </w:footnote>
  <w:footnote w:id="530">
    <w:p w14:paraId="3CDED6F9" w14:textId="6D229527" w:rsidR="009C52E0" w:rsidRDefault="009C52E0">
      <w:pPr>
        <w:pStyle w:val="a5"/>
      </w:pPr>
      <w:r>
        <w:rPr>
          <w:rStyle w:val="a7"/>
        </w:rPr>
        <w:footnoteRef/>
      </w:r>
      <w:r>
        <w:rPr>
          <w:rtl/>
        </w:rPr>
        <w:t xml:space="preserve"> </w:t>
      </w:r>
      <w:r w:rsidRPr="009C52E0">
        <w:rPr>
          <w:rFonts w:cs="Arial"/>
          <w:rtl/>
        </w:rPr>
        <w:t>מכה הרושם באותו צד שהצורה בולטת בו</w:t>
      </w:r>
      <w:r>
        <w:rPr>
          <w:rFonts w:cs="Arial" w:hint="cs"/>
          <w:rtl/>
        </w:rPr>
        <w:t>,</w:t>
      </w:r>
      <w:r w:rsidRPr="009C52E0">
        <w:rPr>
          <w:rFonts w:cs="Arial"/>
          <w:rtl/>
        </w:rPr>
        <w:t xml:space="preserve"> אבל ציץ דוחק מאבראי והיא בולטת מגואי</w:t>
      </w:r>
      <w:r>
        <w:rPr>
          <w:rFonts w:cs="Arial" w:hint="cs"/>
          <w:rtl/>
        </w:rPr>
        <w:t>, רש"י.</w:t>
      </w:r>
    </w:p>
  </w:footnote>
  <w:footnote w:id="531">
    <w:p w14:paraId="5F95CC9C" w14:textId="77777777" w:rsidR="00763CE6" w:rsidRDefault="00763CE6" w:rsidP="00763CE6">
      <w:pPr>
        <w:pStyle w:val="a5"/>
        <w:rPr>
          <w:rtl/>
        </w:rPr>
      </w:pPr>
      <w:r>
        <w:rPr>
          <w:rStyle w:val="a7"/>
        </w:rPr>
        <w:footnoteRef/>
      </w:r>
      <w:r>
        <w:rPr>
          <w:rtl/>
        </w:rPr>
        <w:t xml:space="preserve"> </w:t>
      </w:r>
      <w:r w:rsidRPr="00AF29F7">
        <w:rPr>
          <w:rFonts w:cs="Arial"/>
          <w:rtl/>
        </w:rPr>
        <w:t>ומכל מקום לא משמע לי דמיפסל בהכי אפילו לרבינו שמשון דודאי לא גרע מחקיקה דמכשרינן בפרק ב' דגיטין (כ.) וכמו שנתבאר בסימן זה (יג:)</w:t>
      </w:r>
      <w:r>
        <w:rPr>
          <w:rFonts w:hint="cs"/>
          <w:rtl/>
        </w:rPr>
        <w:t>, ב"י.</w:t>
      </w:r>
    </w:p>
  </w:footnote>
  <w:footnote w:id="532">
    <w:p w14:paraId="408C6E70" w14:textId="77777777" w:rsidR="00BB59B1" w:rsidRDefault="00BB59B1" w:rsidP="00BB59B1">
      <w:pPr>
        <w:pStyle w:val="a5"/>
        <w:rPr>
          <w:rtl/>
        </w:rPr>
      </w:pPr>
      <w:r>
        <w:rPr>
          <w:rStyle w:val="a7"/>
        </w:rPr>
        <w:footnoteRef/>
      </w:r>
      <w:r>
        <w:rPr>
          <w:rtl/>
        </w:rPr>
        <w:t xml:space="preserve"> </w:t>
      </w:r>
      <w:r>
        <w:rPr>
          <w:rFonts w:cs="Arial"/>
          <w:rtl/>
        </w:rPr>
        <w:t>ומה שהכשיר במקרע על העור כתב הה</w:t>
      </w:r>
      <w:r>
        <w:rPr>
          <w:rFonts w:cs="Arial" w:hint="cs"/>
          <w:rtl/>
        </w:rPr>
        <w:t>"</w:t>
      </w:r>
      <w:r>
        <w:rPr>
          <w:rFonts w:cs="Arial"/>
          <w:rtl/>
        </w:rPr>
        <w:t xml:space="preserve">מ </w:t>
      </w:r>
      <w:r w:rsidRPr="0004431B">
        <w:rPr>
          <w:rFonts w:cs="Arial"/>
          <w:sz w:val="16"/>
          <w:szCs w:val="16"/>
          <w:rtl/>
        </w:rPr>
        <w:t xml:space="preserve">(שם ה"ז) </w:t>
      </w:r>
      <w:r>
        <w:rPr>
          <w:rFonts w:cs="Arial"/>
          <w:rtl/>
        </w:rPr>
        <w:t xml:space="preserve">וגם הרשב"א </w:t>
      </w:r>
      <w:r w:rsidRPr="0004431B">
        <w:rPr>
          <w:rFonts w:cs="Arial"/>
          <w:sz w:val="16"/>
          <w:szCs w:val="16"/>
          <w:rtl/>
        </w:rPr>
        <w:t>(כ: ד"ה בדינרי)</w:t>
      </w:r>
      <w:r>
        <w:rPr>
          <w:rFonts w:cs="Arial"/>
          <w:rtl/>
        </w:rPr>
        <w:t xml:space="preserve"> והר"ן בפ</w:t>
      </w:r>
      <w:r>
        <w:rPr>
          <w:rFonts w:cs="Arial" w:hint="cs"/>
          <w:rtl/>
        </w:rPr>
        <w:t>"</w:t>
      </w:r>
      <w:r>
        <w:rPr>
          <w:rFonts w:cs="Arial"/>
          <w:rtl/>
        </w:rPr>
        <w:t xml:space="preserve">ב דגיטין </w:t>
      </w:r>
      <w:r w:rsidRPr="0004431B">
        <w:rPr>
          <w:rFonts w:cs="Arial"/>
          <w:sz w:val="16"/>
          <w:szCs w:val="16"/>
          <w:rtl/>
        </w:rPr>
        <w:t>(ט: ד"ה גרסי' בגמ' ת"ר)</w:t>
      </w:r>
      <w:r>
        <w:rPr>
          <w:rFonts w:cs="Arial"/>
          <w:rtl/>
        </w:rPr>
        <w:t xml:space="preserve"> דבירושלמי </w:t>
      </w:r>
      <w:r w:rsidRPr="0004431B">
        <w:rPr>
          <w:rFonts w:cs="Arial"/>
          <w:sz w:val="16"/>
          <w:szCs w:val="16"/>
          <w:rtl/>
        </w:rPr>
        <w:t xml:space="preserve">(פ"ב ה"ג) </w:t>
      </w:r>
      <w:r>
        <w:rPr>
          <w:rFonts w:cs="Arial"/>
          <w:rtl/>
        </w:rPr>
        <w:t xml:space="preserve">מכשיר במקרע ופוסל ברושם ובתוספתא </w:t>
      </w:r>
      <w:r w:rsidRPr="0004431B">
        <w:rPr>
          <w:rFonts w:cs="Arial"/>
          <w:sz w:val="16"/>
          <w:szCs w:val="16"/>
          <w:rtl/>
        </w:rPr>
        <w:t xml:space="preserve">(פ"ב ה"ו) </w:t>
      </w:r>
      <w:r>
        <w:rPr>
          <w:rFonts w:cs="Arial"/>
          <w:rtl/>
        </w:rPr>
        <w:t>תניא איפכא ותמהו על הרמב"ם שהכשיר בשניהם</w:t>
      </w:r>
      <w:r>
        <w:rPr>
          <w:rFonts w:cs="Arial" w:hint="cs"/>
          <w:rtl/>
        </w:rPr>
        <w:t>, ב"י.</w:t>
      </w:r>
    </w:p>
  </w:footnote>
  <w:footnote w:id="533">
    <w:p w14:paraId="112CF6B8" w14:textId="1E8D87E3" w:rsidR="0080389F" w:rsidRDefault="0080389F">
      <w:pPr>
        <w:pStyle w:val="a5"/>
      </w:pPr>
      <w:r>
        <w:rPr>
          <w:rStyle w:val="a7"/>
        </w:rPr>
        <w:footnoteRef/>
      </w:r>
      <w:r>
        <w:rPr>
          <w:rtl/>
        </w:rPr>
        <w:t xml:space="preserve"> </w:t>
      </w:r>
      <w:r>
        <w:rPr>
          <w:rFonts w:hint="cs"/>
          <w:rtl/>
        </w:rPr>
        <w:t>הנייר שלי.</w:t>
      </w:r>
    </w:p>
  </w:footnote>
  <w:footnote w:id="534">
    <w:p w14:paraId="1EEF1446" w14:textId="0B6CF318" w:rsidR="0080389F" w:rsidRDefault="0080389F">
      <w:pPr>
        <w:pStyle w:val="a5"/>
      </w:pPr>
      <w:r>
        <w:rPr>
          <w:rStyle w:val="a7"/>
        </w:rPr>
        <w:footnoteRef/>
      </w:r>
      <w:r>
        <w:rPr>
          <w:rtl/>
        </w:rPr>
        <w:t xml:space="preserve"> </w:t>
      </w:r>
      <w:r w:rsidRPr="0080389F">
        <w:rPr>
          <w:rFonts w:cs="Arial"/>
          <w:rtl/>
        </w:rPr>
        <w:t>שיש קצת חיבור בין כל חלקי הגט השייכים לאשה, כגון שהאותיות שבראש כל תיבה היו ארוכות משורה לשורה</w:t>
      </w:r>
      <w:r>
        <w:rPr>
          <w:rFonts w:cs="Arial" w:hint="cs"/>
          <w:rtl/>
        </w:rPr>
        <w:t xml:space="preserve"> </w:t>
      </w:r>
      <w:r>
        <w:rPr>
          <w:rFonts w:cs="Arial" w:hint="cs"/>
          <w:sz w:val="16"/>
          <w:szCs w:val="16"/>
          <w:rtl/>
        </w:rPr>
        <w:t xml:space="preserve">(פירוש </w:t>
      </w:r>
      <w:r w:rsidRPr="0080389F">
        <w:rPr>
          <w:rFonts w:cs="Arial" w:hint="cs"/>
          <w:sz w:val="16"/>
          <w:szCs w:val="16"/>
          <w:rtl/>
        </w:rPr>
        <w:t>חברותא)</w:t>
      </w:r>
      <w:r>
        <w:rPr>
          <w:rFonts w:cs="Arial" w:hint="cs"/>
          <w:rtl/>
        </w:rPr>
        <w:t>.</w:t>
      </w:r>
    </w:p>
  </w:footnote>
  <w:footnote w:id="535">
    <w:p w14:paraId="78800672" w14:textId="6D455B60" w:rsidR="00F4663E" w:rsidRDefault="00F4663E">
      <w:pPr>
        <w:pStyle w:val="a5"/>
      </w:pPr>
      <w:r>
        <w:rPr>
          <w:rStyle w:val="a7"/>
        </w:rPr>
        <w:footnoteRef/>
      </w:r>
      <w:r>
        <w:rPr>
          <w:rtl/>
        </w:rPr>
        <w:t xml:space="preserve"> </w:t>
      </w:r>
      <w:r>
        <w:rPr>
          <w:rFonts w:cs="Arial"/>
          <w:rtl/>
        </w:rPr>
        <w:t xml:space="preserve">ודיבור זה כתבוהו הרא"ש (סי' יט) והמרדכי (סי' שמה) והרשב"א (כ: ד"ה בעי) והר"ן (י. ד"ה ומכאן). ומפשט דברי ר"י משמע דאפילו לכתחלה מכשר באין האותיות מוקפות גויל וכדכתב </w:t>
      </w:r>
      <w:r>
        <w:rPr>
          <w:rFonts w:cs="Arial" w:hint="cs"/>
          <w:rtl/>
        </w:rPr>
        <w:t>'</w:t>
      </w:r>
      <w:r>
        <w:rPr>
          <w:rFonts w:cs="Arial"/>
          <w:rtl/>
        </w:rPr>
        <w:t>אבל בגט ליכא קפידא</w:t>
      </w:r>
      <w:r>
        <w:rPr>
          <w:rFonts w:cs="Arial" w:hint="cs"/>
          <w:rtl/>
        </w:rPr>
        <w:t>',</w:t>
      </w:r>
      <w:r>
        <w:rPr>
          <w:rFonts w:cs="Arial"/>
          <w:rtl/>
        </w:rPr>
        <w:t xml:space="preserve"> וליכא קפידא</w:t>
      </w:r>
      <w:r>
        <w:rPr>
          <w:rFonts w:cs="Arial" w:hint="cs"/>
          <w:rtl/>
        </w:rPr>
        <w:t xml:space="preserve"> -</w:t>
      </w:r>
      <w:r>
        <w:rPr>
          <w:rFonts w:cs="Arial"/>
          <w:rtl/>
        </w:rPr>
        <w:t xml:space="preserve"> לכתחלה משמע</w:t>
      </w:r>
      <w:r>
        <w:rPr>
          <w:rFonts w:cs="Arial" w:hint="cs"/>
          <w:rtl/>
        </w:rPr>
        <w:t>.</w:t>
      </w:r>
      <w:r>
        <w:rPr>
          <w:rFonts w:cs="Arial"/>
          <w:rtl/>
        </w:rPr>
        <w:t xml:space="preserve"> וכן משמע מדברי המפרשים הנזכרים דסבירא להו דלר"י נמי אפילו לכתחלה ליכא קפידא</w:t>
      </w:r>
      <w:r>
        <w:rPr>
          <w:rFonts w:cs="Arial" w:hint="cs"/>
          <w:rtl/>
        </w:rPr>
        <w:t>.</w:t>
      </w:r>
      <w:r>
        <w:rPr>
          <w:rFonts w:cs="Arial"/>
          <w:rtl/>
        </w:rPr>
        <w:t xml:space="preserve"> אבל לדעת התרומה וסמ"ג והנמשכים אחריהם צריכין למימר שסוברים דעד כאן לא מכשיר ר"י אלא בדיעבד</w:t>
      </w:r>
      <w:r>
        <w:rPr>
          <w:rFonts w:cs="Arial" w:hint="cs"/>
          <w:rtl/>
        </w:rPr>
        <w:t>,</w:t>
      </w:r>
      <w:r>
        <w:rPr>
          <w:rFonts w:cs="Arial"/>
          <w:rtl/>
        </w:rPr>
        <w:t xml:space="preserve"> אבל לכתחלה בעינן שלא יהו דבוקות</w:t>
      </w:r>
      <w:r>
        <w:rPr>
          <w:rFonts w:cs="Arial" w:hint="cs"/>
          <w:rtl/>
        </w:rPr>
        <w:t>.</w:t>
      </w:r>
      <w:r>
        <w:rPr>
          <w:rFonts w:cs="Arial"/>
          <w:rtl/>
        </w:rPr>
        <w:t xml:space="preserve"> וליכא קפידא דקאמר </w:t>
      </w:r>
      <w:r>
        <w:rPr>
          <w:rFonts w:cs="Arial" w:hint="cs"/>
          <w:rtl/>
        </w:rPr>
        <w:t xml:space="preserve">- </w:t>
      </w:r>
      <w:r>
        <w:rPr>
          <w:rFonts w:cs="Arial"/>
          <w:rtl/>
        </w:rPr>
        <w:t>היינו היכא דניתן כבר</w:t>
      </w:r>
      <w:r>
        <w:rPr>
          <w:rFonts w:cs="Arial" w:hint="cs"/>
          <w:rtl/>
        </w:rPr>
        <w:t>.</w:t>
      </w:r>
      <w:r>
        <w:rPr>
          <w:rFonts w:cs="Arial"/>
          <w:rtl/>
        </w:rPr>
        <w:t xml:space="preserve"> ולא ידעתי מנין להם דר"י סבר הכי</w:t>
      </w:r>
      <w:r>
        <w:rPr>
          <w:rFonts w:cs="Arial" w:hint="cs"/>
          <w:rtl/>
        </w:rPr>
        <w:t>,</w:t>
      </w:r>
      <w:r>
        <w:rPr>
          <w:rFonts w:cs="Arial"/>
          <w:rtl/>
        </w:rPr>
        <w:t xml:space="preserve"> דפשט לשונו כדכתבתי לעיל משמע</w:t>
      </w:r>
      <w:r>
        <w:rPr>
          <w:rFonts w:cs="Arial" w:hint="cs"/>
          <w:rtl/>
        </w:rPr>
        <w:t>, ב"י</w:t>
      </w:r>
      <w:r w:rsidR="00881CF4">
        <w:rPr>
          <w:rFonts w:cs="Arial" w:hint="cs"/>
          <w:rtl/>
        </w:rPr>
        <w:t>.</w:t>
      </w:r>
    </w:p>
  </w:footnote>
  <w:footnote w:id="536">
    <w:p w14:paraId="5F82D4DD" w14:textId="3289DEA5" w:rsidR="00857ECF" w:rsidRDefault="00857ECF" w:rsidP="00857ECF">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00DD7488" w:rsidRPr="00DD7488">
        <w:rPr>
          <w:rFonts w:cs="Arial"/>
          <w:rtl/>
        </w:rPr>
        <w:t>וגט שאינו משורטט בי"ב שיטות או שלא נכתב בכתיבה אשורית מרובעת או שדבוקות האותיות</w:t>
      </w:r>
      <w:r w:rsidR="00DD7488">
        <w:rPr>
          <w:rFonts w:cs="Arial" w:hint="cs"/>
          <w:rtl/>
        </w:rPr>
        <w:t xml:space="preserve"> -</w:t>
      </w:r>
      <w:r w:rsidR="00DD7488" w:rsidRPr="00DD7488">
        <w:rPr>
          <w:rFonts w:cs="Arial"/>
          <w:rtl/>
        </w:rPr>
        <w:t xml:space="preserve"> פוסלין בארצנו, וכך היו עושין בצרפת, אבל במקום עיגון שבא מארץ רחוקה ואין שיירות מצויות להביא אחר </w:t>
      </w:r>
      <w:r w:rsidR="00DD7488">
        <w:rPr>
          <w:rFonts w:cs="Arial" w:hint="cs"/>
          <w:rtl/>
        </w:rPr>
        <w:t xml:space="preserve">- </w:t>
      </w:r>
      <w:r w:rsidR="00DD7488" w:rsidRPr="00DD7488">
        <w:rPr>
          <w:rFonts w:cs="Arial"/>
          <w:rtl/>
        </w:rPr>
        <w:t>לא הייתי פוסלו</w:t>
      </w:r>
      <w:r w:rsidR="00F17642">
        <w:rPr>
          <w:rFonts w:cs="Arial" w:hint="cs"/>
          <w:rtl/>
        </w:rPr>
        <w:t>.</w:t>
      </w:r>
    </w:p>
  </w:footnote>
  <w:footnote w:id="537">
    <w:p w14:paraId="2A836559" w14:textId="0A97E5F1" w:rsidR="00997EFF" w:rsidRDefault="00997EFF">
      <w:pPr>
        <w:pStyle w:val="a5"/>
        <w:rPr>
          <w:rtl/>
        </w:rPr>
      </w:pPr>
      <w:r>
        <w:rPr>
          <w:rStyle w:val="a7"/>
        </w:rPr>
        <w:footnoteRef/>
      </w:r>
      <w:r>
        <w:rPr>
          <w:rtl/>
        </w:rPr>
        <w:t xml:space="preserve"> </w:t>
      </w:r>
      <w:r w:rsidRPr="003E2ADE">
        <w:rPr>
          <w:rFonts w:cs="Arial"/>
          <w:rtl/>
        </w:rPr>
        <w:t xml:space="preserve">וכן הוא במרדכי פ"ב דגיטין (סי' שמה) ובתשובת הרשב"א </w:t>
      </w:r>
      <w:r>
        <w:rPr>
          <w:rFonts w:cs="Arial" w:hint="cs"/>
          <w:rtl/>
        </w:rPr>
        <w:t>(</w:t>
      </w:r>
      <w:r w:rsidRPr="003E2ADE">
        <w:rPr>
          <w:rFonts w:cs="Arial"/>
          <w:rtl/>
        </w:rPr>
        <w:t>סי</w:t>
      </w:r>
      <w:r>
        <w:rPr>
          <w:rFonts w:cs="Arial" w:hint="cs"/>
          <w:rtl/>
        </w:rPr>
        <w:t>'</w:t>
      </w:r>
      <w:r w:rsidRPr="003E2ADE">
        <w:rPr>
          <w:rFonts w:cs="Arial"/>
          <w:rtl/>
        </w:rPr>
        <w:t xml:space="preserve"> אלף רכ</w:t>
      </w:r>
      <w:r>
        <w:rPr>
          <w:rFonts w:cs="Arial" w:hint="cs"/>
          <w:rtl/>
        </w:rPr>
        <w:t>)</w:t>
      </w:r>
      <w:r w:rsidRPr="003E2ADE">
        <w:rPr>
          <w:rFonts w:cs="Arial"/>
          <w:rtl/>
        </w:rPr>
        <w:t xml:space="preserve"> ובתשובת ריב"ש </w:t>
      </w:r>
      <w:r>
        <w:rPr>
          <w:rFonts w:cs="Arial" w:hint="cs"/>
          <w:rtl/>
        </w:rPr>
        <w:t>(</w:t>
      </w:r>
      <w:r w:rsidRPr="003E2ADE">
        <w:rPr>
          <w:rFonts w:cs="Arial"/>
          <w:rtl/>
        </w:rPr>
        <w:t>סי</w:t>
      </w:r>
      <w:r>
        <w:rPr>
          <w:rFonts w:cs="Arial" w:hint="cs"/>
          <w:rtl/>
        </w:rPr>
        <w:t>'</w:t>
      </w:r>
      <w:r w:rsidRPr="003E2ADE">
        <w:rPr>
          <w:rFonts w:cs="Arial"/>
          <w:rtl/>
        </w:rPr>
        <w:t xml:space="preserve"> נז</w:t>
      </w:r>
      <w:r>
        <w:rPr>
          <w:rFonts w:cs="Arial" w:hint="cs"/>
          <w:rtl/>
        </w:rPr>
        <w:t>), דרכ"מ (אות ג).</w:t>
      </w:r>
    </w:p>
  </w:footnote>
  <w:footnote w:id="538">
    <w:p w14:paraId="5C65A64E" w14:textId="6B764005" w:rsidR="003B1821" w:rsidRDefault="003B1821">
      <w:pPr>
        <w:pStyle w:val="a5"/>
      </w:pPr>
      <w:r>
        <w:rPr>
          <w:rStyle w:val="a7"/>
        </w:rPr>
        <w:footnoteRef/>
      </w:r>
      <w:r>
        <w:rPr>
          <w:rtl/>
        </w:rPr>
        <w:t xml:space="preserve"> </w:t>
      </w:r>
      <w:r>
        <w:rPr>
          <w:rFonts w:cs="Arial"/>
          <w:rtl/>
        </w:rPr>
        <w:t>וכתבו התרומה (שם) וסמ"ג (שם) דהא דצריך שיהו האותיות מוקפות גויל לא משום דנקראת ספר</w:t>
      </w:r>
      <w:r>
        <w:rPr>
          <w:rFonts w:cs="Arial" w:hint="cs"/>
          <w:rtl/>
        </w:rPr>
        <w:t>,</w:t>
      </w:r>
      <w:r>
        <w:rPr>
          <w:rFonts w:cs="Arial"/>
          <w:rtl/>
        </w:rPr>
        <w:t xml:space="preserve"> דהא לספירת דברים הוא דאתא (גיטין כא:)</w:t>
      </w:r>
      <w:r>
        <w:rPr>
          <w:rFonts w:cs="Arial" w:hint="cs"/>
          <w:rtl/>
        </w:rPr>
        <w:t>,</w:t>
      </w:r>
      <w:r>
        <w:rPr>
          <w:rFonts w:cs="Arial"/>
          <w:rtl/>
        </w:rPr>
        <w:t xml:space="preserve"> אלא שאין נקרא יפה כשאות נוגעת בחברתה</w:t>
      </w:r>
      <w:r>
        <w:rPr>
          <w:rFonts w:cs="Arial" w:hint="cs"/>
          <w:rtl/>
        </w:rPr>
        <w:t>, ב"י.</w:t>
      </w:r>
    </w:p>
  </w:footnote>
  <w:footnote w:id="539">
    <w:p w14:paraId="5E44350B" w14:textId="7982AEC1" w:rsidR="003B1821" w:rsidRDefault="003B1821">
      <w:pPr>
        <w:pStyle w:val="a5"/>
      </w:pPr>
      <w:r>
        <w:rPr>
          <w:rStyle w:val="a7"/>
        </w:rPr>
        <w:footnoteRef/>
      </w:r>
      <w:r>
        <w:rPr>
          <w:rtl/>
        </w:rPr>
        <w:t xml:space="preserve"> </w:t>
      </w:r>
      <w:r w:rsidRPr="003B1821">
        <w:rPr>
          <w:rFonts w:cs="Arial"/>
          <w:rtl/>
        </w:rPr>
        <w:t>והוא גם כן דעת רוב הפוסקים ועיקר</w:t>
      </w:r>
      <w:r>
        <w:rPr>
          <w:rFonts w:cs="Arial" w:hint="cs"/>
          <w:rtl/>
        </w:rPr>
        <w:t>, הה"מ (שם).</w:t>
      </w:r>
    </w:p>
  </w:footnote>
  <w:footnote w:id="540">
    <w:p w14:paraId="39E6FE5C" w14:textId="7E53EEB0" w:rsidR="00F17642" w:rsidRPr="00997EFF" w:rsidRDefault="00F17642" w:rsidP="00F17642">
      <w:pPr>
        <w:pStyle w:val="a5"/>
        <w:rPr>
          <w:rFonts w:cs="Arial"/>
          <w:rtl/>
        </w:rPr>
      </w:pPr>
      <w:r>
        <w:rPr>
          <w:rStyle w:val="a7"/>
        </w:rPr>
        <w:footnoteRef/>
      </w:r>
      <w:r>
        <w:rPr>
          <w:rtl/>
        </w:rPr>
        <w:t xml:space="preserve"> </w:t>
      </w:r>
      <w:r w:rsidRPr="003E2ADE">
        <w:rPr>
          <w:rFonts w:cs="Arial"/>
          <w:rtl/>
        </w:rPr>
        <w:t>ונראה לי דבמקום עיגון יש לסמוך אדברי המקילין ואפשר דאף או</w:t>
      </w:r>
      <w:r>
        <w:rPr>
          <w:rFonts w:cs="Arial" w:hint="cs"/>
          <w:rtl/>
        </w:rPr>
        <w:t>"</w:t>
      </w:r>
      <w:r w:rsidRPr="003E2ADE">
        <w:rPr>
          <w:rFonts w:cs="Arial"/>
          <w:rtl/>
        </w:rPr>
        <w:t>ז מודה בכך</w:t>
      </w:r>
      <w:r>
        <w:rPr>
          <w:rFonts w:cs="Arial" w:hint="cs"/>
          <w:rtl/>
        </w:rPr>
        <w:t>, דרכ"מ (אות ג).</w:t>
      </w:r>
    </w:p>
  </w:footnote>
  <w:footnote w:id="541">
    <w:p w14:paraId="2EE7F0F6" w14:textId="4E595E01" w:rsidR="00694729" w:rsidRDefault="00694729">
      <w:pPr>
        <w:pStyle w:val="a5"/>
      </w:pPr>
      <w:r>
        <w:rPr>
          <w:rStyle w:val="a7"/>
        </w:rPr>
        <w:footnoteRef/>
      </w:r>
      <w:r>
        <w:rPr>
          <w:rtl/>
        </w:rPr>
        <w:t xml:space="preserve"> </w:t>
      </w:r>
      <w:r>
        <w:rPr>
          <w:rFonts w:hint="cs"/>
          <w:rtl/>
        </w:rPr>
        <w:t xml:space="preserve">הנחתי את דברי הטור (שמקורם בלשון הרא"ש בפסקים) הללו כדעה בפני עצמה, אע"פ שלכאורה הן הן דברי התרומה סמ"ג ורא"ש בתשובה. וזאת כיון שנראה מדברי התרומה והרא"ש בתשובה יותר חומרא בדבר מלשון הטור והרא"ש בפסקים. </w:t>
      </w:r>
    </w:p>
  </w:footnote>
  <w:footnote w:id="542">
    <w:p w14:paraId="1366C1A5" w14:textId="03D1F401" w:rsidR="00DD7488" w:rsidRDefault="00DD7488">
      <w:pPr>
        <w:pStyle w:val="a5"/>
      </w:pPr>
      <w:r>
        <w:rPr>
          <w:rStyle w:val="a7"/>
        </w:rPr>
        <w:footnoteRef/>
      </w:r>
      <w:r>
        <w:rPr>
          <w:rtl/>
        </w:rPr>
        <w:t xml:space="preserve"> </w:t>
      </w:r>
      <w:r w:rsidRPr="003E2ADE">
        <w:rPr>
          <w:rFonts w:cs="Arial"/>
          <w:rtl/>
        </w:rPr>
        <w:t>ואפילו בתפילין ומזוזות כתב בספר התרומה דמועיל (סו"ס רה) תיקון בחיבור ולא דמי לחק תוכות [עכ"ל]</w:t>
      </w:r>
      <w:r>
        <w:rPr>
          <w:rFonts w:cs="Arial" w:hint="cs"/>
          <w:rtl/>
        </w:rPr>
        <w:t>, ב"י.</w:t>
      </w:r>
    </w:p>
  </w:footnote>
  <w:footnote w:id="543">
    <w:p w14:paraId="1BB00F88" w14:textId="3BE72617" w:rsidR="00425162" w:rsidRPr="008F1E8B" w:rsidRDefault="00425162" w:rsidP="008F1E8B">
      <w:pPr>
        <w:pStyle w:val="a5"/>
        <w:rPr>
          <w:rFonts w:cs="Arial"/>
          <w:rtl/>
        </w:rPr>
      </w:pPr>
      <w:r>
        <w:rPr>
          <w:rStyle w:val="a7"/>
        </w:rPr>
        <w:footnoteRef/>
      </w:r>
      <w:r>
        <w:rPr>
          <w:rtl/>
        </w:rPr>
        <w:t xml:space="preserve"> </w:t>
      </w:r>
      <w:r w:rsidRPr="00425162">
        <w:rPr>
          <w:rFonts w:cs="Arial"/>
          <w:rtl/>
        </w:rPr>
        <w:t>ותמיהא לי על תשובת הרא"ש</w:t>
      </w:r>
      <w:r w:rsidR="00285E6E">
        <w:rPr>
          <w:rFonts w:cs="Arial" w:hint="cs"/>
          <w:rtl/>
        </w:rPr>
        <w:t>...</w:t>
      </w:r>
      <w:r w:rsidRPr="00425162">
        <w:rPr>
          <w:rFonts w:cs="Arial"/>
          <w:rtl/>
        </w:rPr>
        <w:t xml:space="preserve"> ואפילו אפשר להביא אחר</w:t>
      </w:r>
      <w:r w:rsidRPr="00425162">
        <w:rPr>
          <w:rFonts w:cs="Arial" w:hint="cs"/>
          <w:rtl/>
        </w:rPr>
        <w:t xml:space="preserve"> -</w:t>
      </w:r>
      <w:r w:rsidRPr="00425162">
        <w:rPr>
          <w:rFonts w:cs="Arial"/>
          <w:rtl/>
        </w:rPr>
        <w:t xml:space="preserve"> יגרור הדבוקות</w:t>
      </w:r>
      <w:r w:rsidR="00884180">
        <w:rPr>
          <w:rFonts w:cs="Arial" w:hint="cs"/>
          <w:rtl/>
        </w:rPr>
        <w:t>.</w:t>
      </w:r>
      <w:r w:rsidRPr="00425162">
        <w:rPr>
          <w:rFonts w:cs="Arial"/>
          <w:rtl/>
        </w:rPr>
        <w:t xml:space="preserve"> ושמא סובר הרא"ש דנהי דבגרירת הדבוקות לא מיפסל משום חק תוכות מכל מקום צריך שיגררם הסופר שכתב הגט במצות הבעל</w:t>
      </w:r>
      <w:r w:rsidRPr="00425162">
        <w:rPr>
          <w:rFonts w:cs="Arial" w:hint="cs"/>
          <w:rtl/>
        </w:rPr>
        <w:t>,</w:t>
      </w:r>
      <w:r w:rsidRPr="00425162">
        <w:rPr>
          <w:rFonts w:cs="Arial"/>
          <w:rtl/>
        </w:rPr>
        <w:t xml:space="preserve"> אבל אחר לכתחלה לא אלא היכא דלא אפשר</w:t>
      </w:r>
      <w:r w:rsidRPr="00425162">
        <w:rPr>
          <w:rFonts w:cs="Arial" w:hint="cs"/>
          <w:rtl/>
        </w:rPr>
        <w:t>.</w:t>
      </w:r>
      <w:r w:rsidRPr="00425162">
        <w:rPr>
          <w:rFonts w:cs="Arial"/>
          <w:rtl/>
        </w:rPr>
        <w:t xml:space="preserve"> </w:t>
      </w:r>
      <w:r w:rsidR="00285E6E" w:rsidRPr="00285E6E">
        <w:rPr>
          <w:rFonts w:cs="Arial" w:hint="cs"/>
          <w:sz w:val="16"/>
          <w:szCs w:val="16"/>
          <w:rtl/>
        </w:rPr>
        <w:t>(</w:t>
      </w:r>
      <w:r w:rsidRPr="00285E6E">
        <w:rPr>
          <w:rFonts w:cs="Arial"/>
          <w:sz w:val="16"/>
          <w:szCs w:val="16"/>
          <w:rtl/>
        </w:rPr>
        <w:t>ואע</w:t>
      </w:r>
      <w:r w:rsidR="00285E6E" w:rsidRPr="00285E6E">
        <w:rPr>
          <w:rFonts w:cs="Arial" w:hint="cs"/>
          <w:sz w:val="16"/>
          <w:szCs w:val="16"/>
          <w:rtl/>
        </w:rPr>
        <w:t>"</w:t>
      </w:r>
      <w:r w:rsidRPr="00285E6E">
        <w:rPr>
          <w:rFonts w:cs="Arial"/>
          <w:sz w:val="16"/>
          <w:szCs w:val="16"/>
          <w:rtl/>
        </w:rPr>
        <w:t>ג דגבי תפילין שרי לגרור הדביקות אלמא לא חשיב כתב</w:t>
      </w:r>
      <w:r w:rsidRPr="00285E6E">
        <w:rPr>
          <w:rFonts w:cs="Arial" w:hint="cs"/>
          <w:sz w:val="16"/>
          <w:szCs w:val="16"/>
          <w:rtl/>
        </w:rPr>
        <w:t>,</w:t>
      </w:r>
      <w:r w:rsidRPr="00285E6E">
        <w:rPr>
          <w:rFonts w:cs="Arial"/>
          <w:sz w:val="16"/>
          <w:szCs w:val="16"/>
          <w:rtl/>
        </w:rPr>
        <w:t xml:space="preserve"> דאם כן הוה ליה כתבם למפרע ופסולים (עיי' או"ח סי' לב סכ"ג)</w:t>
      </w:r>
      <w:r w:rsidRPr="00285E6E">
        <w:rPr>
          <w:rFonts w:cs="Arial" w:hint="cs"/>
          <w:sz w:val="16"/>
          <w:szCs w:val="16"/>
          <w:rtl/>
        </w:rPr>
        <w:t>,</w:t>
      </w:r>
      <w:r w:rsidRPr="00285E6E">
        <w:rPr>
          <w:rFonts w:cs="Arial"/>
          <w:sz w:val="16"/>
          <w:szCs w:val="16"/>
          <w:rtl/>
        </w:rPr>
        <w:t xml:space="preserve"> האי טעמא סגי לאכשורי בדיעבד או היכא דלא אפשר</w:t>
      </w:r>
      <w:r w:rsidRPr="00285E6E">
        <w:rPr>
          <w:rFonts w:cs="Arial" w:hint="cs"/>
          <w:sz w:val="16"/>
          <w:szCs w:val="16"/>
          <w:rtl/>
        </w:rPr>
        <w:t>,</w:t>
      </w:r>
      <w:r w:rsidRPr="00285E6E">
        <w:rPr>
          <w:rFonts w:cs="Arial"/>
          <w:sz w:val="16"/>
          <w:szCs w:val="16"/>
          <w:rtl/>
        </w:rPr>
        <w:t xml:space="preserve"> אבל היכא דאפשר לכתחלה צריך שלא יגררם אלא מי שצוה הבעל לכתבו</w:t>
      </w:r>
      <w:r w:rsidRPr="00285E6E">
        <w:rPr>
          <w:rFonts w:cs="Arial" w:hint="cs"/>
          <w:sz w:val="16"/>
          <w:szCs w:val="16"/>
          <w:rtl/>
        </w:rPr>
        <w:t>,</w:t>
      </w:r>
      <w:r w:rsidRPr="00285E6E">
        <w:rPr>
          <w:rFonts w:cs="Arial"/>
          <w:sz w:val="16"/>
          <w:szCs w:val="16"/>
          <w:rtl/>
        </w:rPr>
        <w:t xml:space="preserve"> כיון שעל ידי גרירה זו חשוב גט כשר לינתן לכתחלה כנ"ל</w:t>
      </w:r>
      <w:r w:rsidR="00285E6E" w:rsidRPr="00285E6E">
        <w:rPr>
          <w:rFonts w:cs="Arial" w:hint="cs"/>
          <w:sz w:val="16"/>
          <w:szCs w:val="16"/>
          <w:rtl/>
        </w:rPr>
        <w:t>)</w:t>
      </w:r>
      <w:r w:rsidR="00285E6E">
        <w:rPr>
          <w:rFonts w:cs="Arial" w:hint="cs"/>
          <w:rtl/>
        </w:rPr>
        <w:t xml:space="preserve">, </w:t>
      </w:r>
      <w:r w:rsidR="00285E6E" w:rsidRPr="00B62357">
        <w:rPr>
          <w:rFonts w:cs="Arial" w:hint="cs"/>
          <w:b/>
          <w:bCs/>
          <w:rtl/>
        </w:rPr>
        <w:t>ב"י</w:t>
      </w:r>
      <w:r w:rsidR="00285E6E">
        <w:rPr>
          <w:rFonts w:cs="Arial" w:hint="cs"/>
          <w:rtl/>
        </w:rPr>
        <w:t>.</w:t>
      </w:r>
      <w:r w:rsidR="008F1E8B" w:rsidRPr="008F1E8B">
        <w:rPr>
          <w:rFonts w:cs="Arial"/>
          <w:rtl/>
        </w:rPr>
        <w:t xml:space="preserve"> </w:t>
      </w:r>
      <w:r w:rsidR="008F1E8B">
        <w:rPr>
          <w:rFonts w:cs="Arial" w:hint="cs"/>
          <w:rtl/>
        </w:rPr>
        <w:t xml:space="preserve">וכ"כ </w:t>
      </w:r>
      <w:r w:rsidR="008F1E8B" w:rsidRPr="00B62357">
        <w:rPr>
          <w:rFonts w:cs="Arial" w:hint="cs"/>
          <w:b/>
          <w:bCs/>
          <w:rtl/>
        </w:rPr>
        <w:t>הרא"ש</w:t>
      </w:r>
      <w:r w:rsidR="008F1E8B">
        <w:rPr>
          <w:rFonts w:cs="Arial" w:hint="cs"/>
          <w:rtl/>
        </w:rPr>
        <w:t xml:space="preserve"> (כלל מה סי' טו) בהדיא, </w:t>
      </w:r>
      <w:r w:rsidR="000A0F5A">
        <w:rPr>
          <w:rFonts w:cs="Arial" w:hint="cs"/>
          <w:rtl/>
        </w:rPr>
        <w:t>וז</w:t>
      </w:r>
      <w:r w:rsidR="000A0F5A">
        <w:rPr>
          <w:rFonts w:cs="Arial"/>
          <w:rtl/>
        </w:rPr>
        <w:t>"</w:t>
      </w:r>
      <w:r w:rsidR="000A0F5A">
        <w:rPr>
          <w:rFonts w:cs="Arial" w:hint="cs"/>
          <w:rtl/>
        </w:rPr>
        <w:t>ל:</w:t>
      </w:r>
      <w:r w:rsidR="008F1E8B">
        <w:rPr>
          <w:rFonts w:cs="Arial" w:hint="cs"/>
          <w:rtl/>
        </w:rPr>
        <w:t xml:space="preserve"> </w:t>
      </w:r>
      <w:r w:rsidR="008F1E8B" w:rsidRPr="008F1E8B">
        <w:rPr>
          <w:rFonts w:cs="Arial"/>
          <w:rtl/>
        </w:rPr>
        <w:t>וששאלת שליח הולכה שהביא גט ולא היו הווין ארוכין אם רשאים ב"ד להאריכן.</w:t>
      </w:r>
      <w:r w:rsidR="008F1E8B">
        <w:rPr>
          <w:rFonts w:cs="Arial" w:hint="cs"/>
          <w:rtl/>
        </w:rPr>
        <w:t xml:space="preserve"> </w:t>
      </w:r>
      <w:r w:rsidR="008F1E8B" w:rsidRPr="008F1E8B">
        <w:rPr>
          <w:rFonts w:cs="Arial"/>
          <w:rtl/>
        </w:rPr>
        <w:t>תשובה</w:t>
      </w:r>
      <w:r w:rsidR="008F1E8B">
        <w:rPr>
          <w:rFonts w:cs="Arial" w:hint="cs"/>
          <w:rtl/>
        </w:rPr>
        <w:t>:</w:t>
      </w:r>
      <w:r w:rsidR="008F1E8B" w:rsidRPr="008F1E8B">
        <w:rPr>
          <w:rFonts w:cs="Arial"/>
          <w:rtl/>
        </w:rPr>
        <w:t xml:space="preserve"> להאריך הווין של הגט אינן יכולין, דאם הוא חשוב כתיקון הגט והכשרו אי אפשר לעשות בלא צווי הבעל כי הבעל צריך לומר לסופר כתוב. ואם נתן הגט לאשה ואין הווין ארוכין</w:t>
      </w:r>
      <w:r w:rsidR="00A870F3">
        <w:rPr>
          <w:rFonts w:cs="Arial" w:hint="cs"/>
          <w:rtl/>
        </w:rPr>
        <w:t>,</w:t>
      </w:r>
      <w:r w:rsidR="008F1E8B" w:rsidRPr="008F1E8B">
        <w:rPr>
          <w:rFonts w:cs="Arial"/>
          <w:rtl/>
        </w:rPr>
        <w:t xml:space="preserve"> אם הבעל רחוק מכאן לא הייתי פוסלו בשביל זה. וגם אם יש בו משום תקנת עיגון כגון שהובא הגט ממקום רחוק יאריכו בית דין הווין, כי מסתמא הבעל צוה לכתוב גט כתיקון חז"ל</w:t>
      </w:r>
      <w:r w:rsidR="00884180">
        <w:rPr>
          <w:rFonts w:cs="Arial" w:hint="cs"/>
          <w:rtl/>
        </w:rPr>
        <w:t>,</w:t>
      </w:r>
      <w:r w:rsidR="008F1E8B" w:rsidRPr="008F1E8B">
        <w:rPr>
          <w:rFonts w:cs="Arial"/>
          <w:rtl/>
        </w:rPr>
        <w:t xml:space="preserve"> ואם לא כתבו הסופר כראוי ניחא ליה לבעל שיתקנוהו ושליחותיה דבעל עבדי, ועל זה יש לסמוך בשעת הדחק.</w:t>
      </w:r>
      <w:r w:rsidR="008F1E8B">
        <w:rPr>
          <w:rFonts w:cs="Arial" w:hint="cs"/>
          <w:rtl/>
        </w:rPr>
        <w:t xml:space="preserve"> עכ"ל.</w:t>
      </w:r>
      <w:r w:rsidR="008F1E8B" w:rsidRPr="008F1E8B">
        <w:rPr>
          <w:rFonts w:cs="Arial"/>
          <w:rtl/>
        </w:rPr>
        <w:t xml:space="preserve"> </w:t>
      </w:r>
      <w:r w:rsidR="008F1E8B">
        <w:rPr>
          <w:rFonts w:cs="Arial" w:hint="cs"/>
          <w:rtl/>
        </w:rPr>
        <w:t xml:space="preserve">ועיין </w:t>
      </w:r>
      <w:r w:rsidR="008F1E8B" w:rsidRPr="00B62357">
        <w:rPr>
          <w:rFonts w:cs="Arial" w:hint="cs"/>
          <w:b/>
          <w:bCs/>
          <w:rtl/>
        </w:rPr>
        <w:t>ב</w:t>
      </w:r>
      <w:r w:rsidR="008F1E8B" w:rsidRPr="00B62357">
        <w:rPr>
          <w:rFonts w:cs="Arial"/>
          <w:b/>
          <w:bCs/>
          <w:rtl/>
        </w:rPr>
        <w:t>ריב"ש</w:t>
      </w:r>
      <w:r w:rsidR="008F1E8B" w:rsidRPr="003E2ADE">
        <w:rPr>
          <w:rFonts w:cs="Arial"/>
          <w:rtl/>
        </w:rPr>
        <w:t xml:space="preserve"> </w:t>
      </w:r>
      <w:r w:rsidR="008F1E8B">
        <w:rPr>
          <w:rFonts w:cs="Arial" w:hint="cs"/>
          <w:rtl/>
        </w:rPr>
        <w:t>(</w:t>
      </w:r>
      <w:r w:rsidR="008F1E8B" w:rsidRPr="003E2ADE">
        <w:rPr>
          <w:rFonts w:cs="Arial"/>
          <w:rtl/>
        </w:rPr>
        <w:t>סי</w:t>
      </w:r>
      <w:r w:rsidR="008F1E8B">
        <w:rPr>
          <w:rFonts w:cs="Arial" w:hint="cs"/>
          <w:rtl/>
        </w:rPr>
        <w:t>'</w:t>
      </w:r>
      <w:r w:rsidR="008F1E8B" w:rsidRPr="003E2ADE">
        <w:rPr>
          <w:rFonts w:cs="Arial"/>
          <w:rtl/>
        </w:rPr>
        <w:t xml:space="preserve"> נו</w:t>
      </w:r>
      <w:r w:rsidR="008F1E8B">
        <w:rPr>
          <w:rFonts w:cs="Arial" w:hint="cs"/>
          <w:rtl/>
        </w:rPr>
        <w:t>)</w:t>
      </w:r>
      <w:r w:rsidR="008F1E8B" w:rsidRPr="003E2ADE">
        <w:rPr>
          <w:rFonts w:cs="Arial"/>
          <w:rtl/>
        </w:rPr>
        <w:t xml:space="preserve"> </w:t>
      </w:r>
      <w:r w:rsidR="008F1E8B">
        <w:rPr>
          <w:rFonts w:cs="Arial" w:hint="cs"/>
          <w:rtl/>
        </w:rPr>
        <w:t xml:space="preserve">דכתב </w:t>
      </w:r>
      <w:r w:rsidR="008F1E8B" w:rsidRPr="003E2ADE">
        <w:rPr>
          <w:rFonts w:cs="Arial"/>
          <w:rtl/>
        </w:rPr>
        <w:t>דאין לתקן דבר בגט רק הסופר</w:t>
      </w:r>
      <w:r w:rsidR="008F1E8B">
        <w:rPr>
          <w:rFonts w:cs="Arial" w:hint="cs"/>
          <w:rtl/>
        </w:rPr>
        <w:t>.</w:t>
      </w:r>
      <w:r w:rsidR="008F1E8B" w:rsidRPr="003E2ADE">
        <w:rPr>
          <w:rFonts w:cs="Arial"/>
          <w:rtl/>
        </w:rPr>
        <w:t xml:space="preserve"> </w:t>
      </w:r>
    </w:p>
  </w:footnote>
  <w:footnote w:id="544">
    <w:p w14:paraId="2D64A4A1" w14:textId="3E0E5F55" w:rsidR="00554726" w:rsidRDefault="00554726">
      <w:pPr>
        <w:pStyle w:val="a5"/>
        <w:rPr>
          <w:rtl/>
        </w:rPr>
      </w:pPr>
      <w:r>
        <w:rPr>
          <w:rStyle w:val="a7"/>
        </w:rPr>
        <w:footnoteRef/>
      </w:r>
      <w:r>
        <w:rPr>
          <w:rtl/>
        </w:rPr>
        <w:t xml:space="preserve"> </w:t>
      </w:r>
      <w:r w:rsidRPr="003E2ADE">
        <w:rPr>
          <w:rFonts w:cs="Arial"/>
          <w:rtl/>
        </w:rPr>
        <w:t>וזהו כדברי ב"י שמותר לסופר לתקן</w:t>
      </w:r>
      <w:r>
        <w:rPr>
          <w:rFonts w:hint="cs"/>
          <w:rtl/>
        </w:rPr>
        <w:t>, דרכ"מ (אות ד).</w:t>
      </w:r>
    </w:p>
  </w:footnote>
  <w:footnote w:id="545">
    <w:p w14:paraId="1211AECE" w14:textId="15B393ED" w:rsidR="00B463CA" w:rsidRDefault="00B463CA" w:rsidP="00884180">
      <w:pPr>
        <w:pStyle w:val="a5"/>
      </w:pPr>
      <w:r>
        <w:rPr>
          <w:rStyle w:val="a7"/>
        </w:rPr>
        <w:footnoteRef/>
      </w:r>
      <w:r>
        <w:rPr>
          <w:rtl/>
        </w:rPr>
        <w:t xml:space="preserve"> </w:t>
      </w:r>
      <w:r w:rsidR="00257862" w:rsidRPr="00257862">
        <w:rPr>
          <w:rFonts w:cs="Arial"/>
          <w:rtl/>
        </w:rPr>
        <w:t>וכתב המגיד פ"ד דוקא כשהתינוק יכול לקרותו אז כשר לדעת המכשירים</w:t>
      </w:r>
      <w:r w:rsidR="00884180">
        <w:rPr>
          <w:rFonts w:cs="Arial" w:hint="cs"/>
          <w:rtl/>
        </w:rPr>
        <w:t>,</w:t>
      </w:r>
      <w:r w:rsidR="00257862" w:rsidRPr="00257862">
        <w:rPr>
          <w:rFonts w:cs="Arial"/>
          <w:rtl/>
        </w:rPr>
        <w:t xml:space="preserve"> אבל כשאין התינוק יכול לקרותו לכ"ע פסול</w:t>
      </w:r>
      <w:r w:rsidR="00884180">
        <w:rPr>
          <w:rFonts w:cs="Arial" w:hint="cs"/>
          <w:rtl/>
        </w:rPr>
        <w:t>.</w:t>
      </w:r>
      <w:r w:rsidR="00257862" w:rsidRPr="00257862">
        <w:rPr>
          <w:rFonts w:cs="Arial"/>
          <w:rtl/>
        </w:rPr>
        <w:t xml:space="preserve"> ולדעת המחמירין אפילו אם התינוק יכול לקרותו פסול</w:t>
      </w:r>
      <w:r w:rsidR="00884180">
        <w:rPr>
          <w:rFonts w:cs="Arial" w:hint="cs"/>
          <w:rtl/>
        </w:rPr>
        <w:t>.</w:t>
      </w:r>
      <w:r w:rsidR="00257862" w:rsidRPr="00257862">
        <w:rPr>
          <w:rFonts w:cs="Arial"/>
          <w:rtl/>
        </w:rPr>
        <w:t xml:space="preserve"> וכן משמע מהסמ"ג ובתשו</w:t>
      </w:r>
      <w:r w:rsidR="00884180">
        <w:rPr>
          <w:rFonts w:cs="Arial" w:hint="cs"/>
          <w:rtl/>
        </w:rPr>
        <w:t>'</w:t>
      </w:r>
      <w:r w:rsidR="00257862" w:rsidRPr="00257862">
        <w:rPr>
          <w:rFonts w:cs="Arial"/>
          <w:rtl/>
        </w:rPr>
        <w:t xml:space="preserve"> ריב"ש </w:t>
      </w:r>
      <w:r w:rsidR="00884180">
        <w:rPr>
          <w:rFonts w:cs="Arial" w:hint="cs"/>
          <w:rtl/>
        </w:rPr>
        <w:t>(</w:t>
      </w:r>
      <w:r w:rsidR="00257862" w:rsidRPr="00257862">
        <w:rPr>
          <w:rFonts w:cs="Arial"/>
          <w:rtl/>
        </w:rPr>
        <w:t>סי</w:t>
      </w:r>
      <w:r w:rsidR="00884180">
        <w:rPr>
          <w:rFonts w:cs="Arial" w:hint="cs"/>
          <w:rtl/>
        </w:rPr>
        <w:t>'</w:t>
      </w:r>
      <w:r w:rsidR="00257862" w:rsidRPr="00257862">
        <w:rPr>
          <w:rFonts w:cs="Arial"/>
          <w:rtl/>
        </w:rPr>
        <w:t xml:space="preserve"> נו</w:t>
      </w:r>
      <w:r w:rsidR="00884180">
        <w:rPr>
          <w:rFonts w:cs="Arial" w:hint="cs"/>
          <w:rtl/>
        </w:rPr>
        <w:t>).</w:t>
      </w:r>
      <w:r w:rsidR="00257862" w:rsidRPr="00257862">
        <w:rPr>
          <w:rFonts w:cs="Arial"/>
          <w:rtl/>
        </w:rPr>
        <w:t xml:space="preserve"> וכ"פ בתשובת מהר"מ מלובלין </w:t>
      </w:r>
      <w:r w:rsidR="00884180">
        <w:rPr>
          <w:rFonts w:cs="Arial" w:hint="cs"/>
          <w:rtl/>
        </w:rPr>
        <w:t>(</w:t>
      </w:r>
      <w:r w:rsidR="00257862" w:rsidRPr="00257862">
        <w:rPr>
          <w:rFonts w:cs="Arial"/>
          <w:rtl/>
        </w:rPr>
        <w:t>סי</w:t>
      </w:r>
      <w:r w:rsidR="00884180">
        <w:rPr>
          <w:rFonts w:cs="Arial" w:hint="cs"/>
          <w:rtl/>
        </w:rPr>
        <w:t>'</w:t>
      </w:r>
      <w:r w:rsidR="00257862" w:rsidRPr="00257862">
        <w:rPr>
          <w:rFonts w:cs="Arial"/>
          <w:rtl/>
        </w:rPr>
        <w:t xml:space="preserve"> קא</w:t>
      </w:r>
      <w:r w:rsidR="00884180">
        <w:rPr>
          <w:rFonts w:cs="Arial" w:hint="cs"/>
          <w:rtl/>
        </w:rPr>
        <w:t>).</w:t>
      </w:r>
      <w:r w:rsidR="00257862" w:rsidRPr="00257862">
        <w:rPr>
          <w:rFonts w:cs="Arial"/>
          <w:rtl/>
        </w:rPr>
        <w:t xml:space="preserve"> ולכאורה לא משמע כן מהרא"ש והטור</w:t>
      </w:r>
      <w:r w:rsidR="00884180">
        <w:rPr>
          <w:rFonts w:cs="Arial" w:hint="cs"/>
          <w:rtl/>
        </w:rPr>
        <w:t>,</w:t>
      </w:r>
      <w:r w:rsidR="00257862" w:rsidRPr="00257862">
        <w:rPr>
          <w:rFonts w:cs="Arial"/>
          <w:rtl/>
        </w:rPr>
        <w:t xml:space="preserve"> מדכתבו אם נפל דיו לתוך האות ואינה נכרת </w:t>
      </w:r>
      <w:r w:rsidR="00884180">
        <w:rPr>
          <w:rFonts w:cs="Arial" w:hint="cs"/>
          <w:rtl/>
        </w:rPr>
        <w:t xml:space="preserve">- </w:t>
      </w:r>
      <w:r w:rsidR="00257862" w:rsidRPr="00257862">
        <w:rPr>
          <w:rFonts w:cs="Arial"/>
          <w:rtl/>
        </w:rPr>
        <w:t>א"י להעביר הדיו</w:t>
      </w:r>
      <w:r w:rsidR="00884180">
        <w:rPr>
          <w:rFonts w:cs="Arial" w:hint="cs"/>
          <w:rtl/>
        </w:rPr>
        <w:t>.</w:t>
      </w:r>
      <w:r w:rsidR="00257862" w:rsidRPr="00257862">
        <w:rPr>
          <w:rFonts w:cs="Arial"/>
          <w:rtl/>
        </w:rPr>
        <w:t xml:space="preserve"> מכלל</w:t>
      </w:r>
      <w:r w:rsidR="00884180">
        <w:rPr>
          <w:rFonts w:cs="Arial" w:hint="cs"/>
          <w:rtl/>
        </w:rPr>
        <w:t>,</w:t>
      </w:r>
      <w:r w:rsidR="00257862" w:rsidRPr="00257862">
        <w:rPr>
          <w:rFonts w:cs="Arial"/>
          <w:rtl/>
        </w:rPr>
        <w:t xml:space="preserve"> אם אותיות דבוקות אפילו אינו נכר </w:t>
      </w:r>
      <w:r w:rsidR="00884180">
        <w:rPr>
          <w:rFonts w:cs="Arial" w:hint="cs"/>
          <w:rtl/>
        </w:rPr>
        <w:t xml:space="preserve">- </w:t>
      </w:r>
      <w:r w:rsidR="00257862" w:rsidRPr="00257862">
        <w:rPr>
          <w:rFonts w:cs="Arial"/>
          <w:rtl/>
        </w:rPr>
        <w:t>יכול לתקן</w:t>
      </w:r>
      <w:r w:rsidR="00473EF0">
        <w:rPr>
          <w:rFonts w:cs="Arial" w:hint="cs"/>
          <w:rtl/>
        </w:rPr>
        <w:t>,</w:t>
      </w:r>
      <w:r>
        <w:rPr>
          <w:rFonts w:cs="Arial" w:hint="cs"/>
          <w:rtl/>
        </w:rPr>
        <w:t xml:space="preserve"> </w:t>
      </w:r>
      <w:r w:rsidR="00257862">
        <w:rPr>
          <w:rFonts w:cs="Arial" w:hint="cs"/>
          <w:rtl/>
        </w:rPr>
        <w:t>ב"ש</w:t>
      </w:r>
      <w:r>
        <w:rPr>
          <w:rFonts w:cs="Arial" w:hint="cs"/>
          <w:rtl/>
        </w:rPr>
        <w:t xml:space="preserve"> (סק"</w:t>
      </w:r>
      <w:r w:rsidR="00257862">
        <w:rPr>
          <w:rFonts w:cs="Arial" w:hint="cs"/>
          <w:rtl/>
        </w:rPr>
        <w:t>ז</w:t>
      </w:r>
      <w:r>
        <w:rPr>
          <w:rFonts w:cs="Arial" w:hint="cs"/>
          <w:rtl/>
        </w:rPr>
        <w:t>).</w:t>
      </w:r>
    </w:p>
  </w:footnote>
  <w:footnote w:id="546">
    <w:p w14:paraId="3F85D0DF" w14:textId="1BF55F44" w:rsidR="00B463CA" w:rsidRDefault="00B463CA">
      <w:pPr>
        <w:pStyle w:val="a5"/>
      </w:pPr>
      <w:r>
        <w:rPr>
          <w:rStyle w:val="a7"/>
        </w:rPr>
        <w:footnoteRef/>
      </w:r>
      <w:r>
        <w:rPr>
          <w:rtl/>
        </w:rPr>
        <w:t xml:space="preserve"> </w:t>
      </w:r>
      <w:r w:rsidRPr="00B463CA">
        <w:rPr>
          <w:rFonts w:cs="Arial"/>
          <w:rtl/>
        </w:rPr>
        <w:t>ואין זה חק תוכות דהא אין נוגע בגוף האו</w:t>
      </w:r>
      <w:r w:rsidR="00473EF0">
        <w:rPr>
          <w:rFonts w:cs="Arial" w:hint="cs"/>
          <w:rtl/>
        </w:rPr>
        <w:t>ת</w:t>
      </w:r>
      <w:r>
        <w:rPr>
          <w:rFonts w:cs="Arial" w:hint="cs"/>
          <w:rtl/>
        </w:rPr>
        <w:t>, ח"מ (סק"ז).</w:t>
      </w:r>
    </w:p>
  </w:footnote>
  <w:footnote w:id="547">
    <w:p w14:paraId="13DC9255" w14:textId="429AAF83" w:rsidR="00A738C0" w:rsidRDefault="00A738C0" w:rsidP="00A738C0">
      <w:pPr>
        <w:pStyle w:val="a5"/>
      </w:pPr>
      <w:r>
        <w:rPr>
          <w:rStyle w:val="a7"/>
        </w:rPr>
        <w:footnoteRef/>
      </w:r>
      <w:r>
        <w:rPr>
          <w:rtl/>
        </w:rPr>
        <w:t xml:space="preserve"> </w:t>
      </w:r>
      <w:r w:rsidRPr="00257862">
        <w:rPr>
          <w:rFonts w:cs="Arial"/>
          <w:rtl/>
        </w:rPr>
        <w:t>לדעת רמ"א אין תקנה אלא בג' אופנים, א' כשהוא עת הדחק, ב' ברצון הבעל, ג' דוקא קודם החתימה</w:t>
      </w:r>
      <w:r>
        <w:rPr>
          <w:rFonts w:cs="Arial" w:hint="cs"/>
          <w:rtl/>
        </w:rPr>
        <w:t>.</w:t>
      </w:r>
      <w:r w:rsidRPr="00257862">
        <w:rPr>
          <w:rFonts w:cs="Arial"/>
          <w:rtl/>
        </w:rPr>
        <w:t xml:space="preserve"> ולמ"ש איירי כאן דוקא שהתינוק יכול לקרותו</w:t>
      </w:r>
      <w:r>
        <w:rPr>
          <w:rFonts w:cs="Arial" w:hint="cs"/>
          <w:rtl/>
        </w:rPr>
        <w:t>.</w:t>
      </w:r>
      <w:r w:rsidRPr="00257862">
        <w:rPr>
          <w:rFonts w:cs="Arial"/>
          <w:rtl/>
        </w:rPr>
        <w:t xml:space="preserve"> לפ"ז צריך ישוב מ"ש בסמוך סעיף ט"ז אם רגלי ה"א וקוף נוגעי' בגט כשר במקום עיגון</w:t>
      </w:r>
      <w:r>
        <w:rPr>
          <w:rFonts w:cs="Arial" w:hint="cs"/>
          <w:rtl/>
        </w:rPr>
        <w:t>.</w:t>
      </w:r>
      <w:r w:rsidRPr="00257862">
        <w:rPr>
          <w:rFonts w:cs="Arial"/>
          <w:rtl/>
        </w:rPr>
        <w:t xml:space="preserve"> וצ"ל שם איירי שכבר ניתן הג</w:t>
      </w:r>
      <w:r>
        <w:rPr>
          <w:rFonts w:cs="Arial" w:hint="cs"/>
          <w:rtl/>
        </w:rPr>
        <w:t>ט.</w:t>
      </w:r>
      <w:r w:rsidRPr="00257862">
        <w:rPr>
          <w:rFonts w:cs="Arial"/>
          <w:rtl/>
        </w:rPr>
        <w:t xml:space="preserve"> מיהו הב"י כ' אם כבר ניתן הגט כשר אפילו בלא עיגון או כשיש עיגון ולא ניתן</w:t>
      </w:r>
      <w:r>
        <w:rPr>
          <w:rFonts w:cs="Arial" w:hint="cs"/>
          <w:rtl/>
        </w:rPr>
        <w:t>.</w:t>
      </w:r>
      <w:r w:rsidRPr="00257862">
        <w:rPr>
          <w:rFonts w:cs="Arial"/>
          <w:rtl/>
        </w:rPr>
        <w:t xml:space="preserve"> וכ"פ בתשובת מהר"מ פדוו</w:t>
      </w:r>
      <w:r>
        <w:rPr>
          <w:rFonts w:cs="Arial" w:hint="cs"/>
          <w:rtl/>
        </w:rPr>
        <w:t>אה</w:t>
      </w:r>
      <w:r w:rsidRPr="00257862">
        <w:rPr>
          <w:rFonts w:cs="Arial"/>
          <w:rtl/>
        </w:rPr>
        <w:t xml:space="preserve"> </w:t>
      </w:r>
      <w:r>
        <w:rPr>
          <w:rFonts w:cs="Arial" w:hint="cs"/>
          <w:rtl/>
        </w:rPr>
        <w:t>(</w:t>
      </w:r>
      <w:r w:rsidRPr="00257862">
        <w:rPr>
          <w:rFonts w:cs="Arial"/>
          <w:rtl/>
        </w:rPr>
        <w:t>סי</w:t>
      </w:r>
      <w:r>
        <w:rPr>
          <w:rFonts w:cs="Arial" w:hint="cs"/>
          <w:rtl/>
        </w:rPr>
        <w:t>'</w:t>
      </w:r>
      <w:r w:rsidRPr="00257862">
        <w:rPr>
          <w:rFonts w:cs="Arial"/>
          <w:rtl/>
        </w:rPr>
        <w:t xml:space="preserve"> קכד</w:t>
      </w:r>
      <w:r>
        <w:rPr>
          <w:rFonts w:cs="Arial" w:hint="cs"/>
          <w:rtl/>
        </w:rPr>
        <w:t>)</w:t>
      </w:r>
      <w:r w:rsidRPr="00257862">
        <w:rPr>
          <w:rFonts w:cs="Arial"/>
          <w:rtl/>
        </w:rPr>
        <w:t xml:space="preserve"> ובתשובת מ</w:t>
      </w:r>
      <w:r>
        <w:rPr>
          <w:rFonts w:cs="Arial" w:hint="cs"/>
          <w:rtl/>
        </w:rPr>
        <w:t>ש</w:t>
      </w:r>
      <w:r w:rsidRPr="00257862">
        <w:rPr>
          <w:rFonts w:cs="Arial"/>
          <w:rtl/>
        </w:rPr>
        <w:t>"ב סי</w:t>
      </w:r>
      <w:r>
        <w:rPr>
          <w:rFonts w:cs="Arial" w:hint="cs"/>
          <w:rtl/>
        </w:rPr>
        <w:t>'</w:t>
      </w:r>
      <w:r w:rsidRPr="00257862">
        <w:rPr>
          <w:rFonts w:cs="Arial"/>
          <w:rtl/>
        </w:rPr>
        <w:t xml:space="preserve"> צב </w:t>
      </w:r>
      <w:r>
        <w:rPr>
          <w:rFonts w:cs="Arial" w:hint="cs"/>
          <w:rtl/>
        </w:rPr>
        <w:t>(</w:t>
      </w:r>
      <w:r w:rsidRPr="00257862">
        <w:rPr>
          <w:rFonts w:cs="Arial"/>
          <w:rtl/>
        </w:rPr>
        <w:t>ואם עדיין לא חתמו העדים כשרים אפילו בלא דחק ועיגון) וכן עיקר</w:t>
      </w:r>
      <w:r>
        <w:rPr>
          <w:rFonts w:cs="Arial" w:hint="cs"/>
          <w:rtl/>
        </w:rPr>
        <w:t>.</w:t>
      </w:r>
      <w:r w:rsidRPr="00257862">
        <w:rPr>
          <w:rFonts w:cs="Arial"/>
          <w:rtl/>
        </w:rPr>
        <w:t xml:space="preserve"> ואז טוב לתקן כיון דכשר ע"פ הדין בלא תיקון</w:t>
      </w:r>
      <w:r>
        <w:rPr>
          <w:rFonts w:cs="Arial" w:hint="cs"/>
          <w:rtl/>
        </w:rPr>
        <w:t>,</w:t>
      </w:r>
      <w:r w:rsidRPr="00257862">
        <w:rPr>
          <w:rFonts w:cs="Arial"/>
          <w:rtl/>
        </w:rPr>
        <w:t xml:space="preserve"> יותר טוב לתקן מפני מראית העין</w:t>
      </w:r>
      <w:r>
        <w:rPr>
          <w:rFonts w:cs="Arial" w:hint="cs"/>
          <w:rtl/>
        </w:rPr>
        <w:t>.</w:t>
      </w:r>
      <w:r w:rsidRPr="00257862">
        <w:rPr>
          <w:rFonts w:cs="Arial"/>
          <w:rtl/>
        </w:rPr>
        <w:t xml:space="preserve"> ואם עדיין לא חתמו יש לתקן אפילו בלא עיגון</w:t>
      </w:r>
      <w:r>
        <w:rPr>
          <w:rFonts w:cs="Arial" w:hint="cs"/>
          <w:rtl/>
        </w:rPr>
        <w:t>,</w:t>
      </w:r>
      <w:r w:rsidRPr="00257862">
        <w:rPr>
          <w:rFonts w:cs="Arial"/>
          <w:rtl/>
        </w:rPr>
        <w:t xml:space="preserve"> והיינו כשהבעל מצוה לתקן או כשסופר הבעל כאן יש לו לתקן אפילו בלא ציווי הבעל</w:t>
      </w:r>
      <w:r>
        <w:rPr>
          <w:rFonts w:cs="Arial" w:hint="cs"/>
          <w:rtl/>
        </w:rPr>
        <w:t>.</w:t>
      </w:r>
      <w:r w:rsidRPr="00257862">
        <w:rPr>
          <w:rFonts w:cs="Arial"/>
          <w:rtl/>
        </w:rPr>
        <w:t xml:space="preserve"> וכ"כ בט"ז</w:t>
      </w:r>
      <w:r>
        <w:rPr>
          <w:rFonts w:cs="Arial" w:hint="cs"/>
          <w:rtl/>
        </w:rPr>
        <w:t xml:space="preserve">..., </w:t>
      </w:r>
      <w:r w:rsidRPr="00B62357">
        <w:rPr>
          <w:rFonts w:cs="Arial" w:hint="cs"/>
          <w:b/>
          <w:bCs/>
          <w:rtl/>
        </w:rPr>
        <w:t>ב"ש</w:t>
      </w:r>
      <w:r>
        <w:rPr>
          <w:rFonts w:cs="Arial" w:hint="cs"/>
          <w:rtl/>
        </w:rPr>
        <w:t xml:space="preserve"> (סק"ח).</w:t>
      </w:r>
      <w:r w:rsidR="00C34986">
        <w:rPr>
          <w:rFonts w:hint="cs"/>
          <w:rtl/>
        </w:rPr>
        <w:t xml:space="preserve"> ו</w:t>
      </w:r>
      <w:r w:rsidR="00C34986" w:rsidRPr="0040280A">
        <w:rPr>
          <w:rFonts w:cs="Arial"/>
          <w:rtl/>
        </w:rPr>
        <w:t xml:space="preserve">עיין בשו"ת הגאון החסיד מהר"ש זלמן זצ"ל מלאדי שכ' דנ"ל שגם רמ"א </w:t>
      </w:r>
      <w:r w:rsidR="009334FF">
        <w:rPr>
          <w:rFonts w:cs="Arial"/>
          <w:rtl/>
        </w:rPr>
        <w:t>בהג"ה</w:t>
      </w:r>
      <w:r w:rsidR="00C34986" w:rsidRPr="0040280A">
        <w:rPr>
          <w:rFonts w:cs="Arial"/>
          <w:rtl/>
        </w:rPr>
        <w:t xml:space="preserve"> לא מיירי אלא כשיש שעת הדחק לכתוב גט אחר אם לא בהוצאה מרובה</w:t>
      </w:r>
      <w:r w:rsidR="00884180">
        <w:rPr>
          <w:rFonts w:cs="Arial" w:hint="cs"/>
          <w:rtl/>
        </w:rPr>
        <w:t>,</w:t>
      </w:r>
      <w:r w:rsidR="00C34986" w:rsidRPr="0040280A">
        <w:rPr>
          <w:rFonts w:cs="Arial"/>
          <w:rtl/>
        </w:rPr>
        <w:t xml:space="preserve"> כגון שהסופר והעדים נחוצים לדרכם ומהעיכוב יגיע להם הפ"מ וכה"ג שא"א לכתוב אחר אלא בדוחק והפ"מ אזי יש לתקן כו' שכ"ה משמעות הלשון שע"י הדחק עכ"פ אפשר לכתוב גט אחר. אבל כשא"א כלל לכתוב גט אחר</w:t>
      </w:r>
      <w:r w:rsidR="00884180">
        <w:rPr>
          <w:rFonts w:cs="Arial" w:hint="cs"/>
          <w:rtl/>
        </w:rPr>
        <w:t>,</w:t>
      </w:r>
      <w:r w:rsidR="00C34986" w:rsidRPr="0040280A">
        <w:rPr>
          <w:rFonts w:cs="Arial"/>
          <w:rtl/>
        </w:rPr>
        <w:t xml:space="preserve"> היינו מקום עיגון שהתיר רמ"א בהדיא בד"מ וכ"כ הלבוש. ואתי שפיר דל"ק קושיית הב"ש מסעי' ט"ז </w:t>
      </w:r>
      <w:r w:rsidR="009334FF">
        <w:rPr>
          <w:rFonts w:cs="Arial"/>
          <w:rtl/>
        </w:rPr>
        <w:t>בהג"ה</w:t>
      </w:r>
      <w:r w:rsidR="00884180">
        <w:rPr>
          <w:rFonts w:cs="Arial" w:hint="cs"/>
          <w:rtl/>
        </w:rPr>
        <w:t>,</w:t>
      </w:r>
      <w:r w:rsidR="00C34986" w:rsidRPr="0040280A">
        <w:rPr>
          <w:rFonts w:cs="Arial"/>
          <w:rtl/>
        </w:rPr>
        <w:t xml:space="preserve"> וע"ז סמך רמ"א ולא הוצרך להזכיר זה בס"ו עכ"ד</w:t>
      </w:r>
      <w:r w:rsidR="00C34986">
        <w:rPr>
          <w:rFonts w:hint="cs"/>
          <w:rtl/>
        </w:rPr>
        <w:t xml:space="preserve">, </w:t>
      </w:r>
      <w:r w:rsidR="00C34986" w:rsidRPr="00B62357">
        <w:rPr>
          <w:rFonts w:hint="cs"/>
          <w:b/>
          <w:bCs/>
          <w:rtl/>
        </w:rPr>
        <w:t>פת"ש</w:t>
      </w:r>
      <w:r w:rsidR="00C34986">
        <w:rPr>
          <w:rFonts w:hint="cs"/>
          <w:rtl/>
        </w:rPr>
        <w:t xml:space="preserve"> (סק"ט).</w:t>
      </w:r>
      <w:r w:rsidR="00C34986" w:rsidRPr="00C34986">
        <w:rPr>
          <w:rFonts w:cs="Arial"/>
          <w:rtl/>
        </w:rPr>
        <w:t xml:space="preserve"> </w:t>
      </w:r>
      <w:r w:rsidR="00636DEB">
        <w:rPr>
          <w:rFonts w:cs="Arial" w:hint="cs"/>
          <w:rtl/>
        </w:rPr>
        <w:t>ו</w:t>
      </w:r>
      <w:r w:rsidR="00C34986" w:rsidRPr="0040280A">
        <w:rPr>
          <w:rFonts w:cs="Arial"/>
          <w:rtl/>
        </w:rPr>
        <w:t xml:space="preserve">עיין </w:t>
      </w:r>
      <w:r w:rsidR="00636DEB">
        <w:rPr>
          <w:rFonts w:cs="Arial" w:hint="cs"/>
          <w:rtl/>
        </w:rPr>
        <w:t xml:space="preserve">גם </w:t>
      </w:r>
      <w:r w:rsidR="00C34986" w:rsidRPr="0040280A">
        <w:rPr>
          <w:rFonts w:cs="Arial"/>
          <w:rtl/>
        </w:rPr>
        <w:t>בס' תו"ג שכ' דנראה לו שגם דעת הרמ"א ז"ל כן הוא</w:t>
      </w:r>
      <w:r w:rsidR="00C34986">
        <w:rPr>
          <w:rFonts w:cs="Arial" w:hint="cs"/>
          <w:rtl/>
        </w:rPr>
        <w:t xml:space="preserve"> </w:t>
      </w:r>
      <w:r w:rsidR="00C34986" w:rsidRPr="00C34986">
        <w:rPr>
          <w:rFonts w:cs="Arial" w:hint="cs"/>
          <w:sz w:val="16"/>
          <w:szCs w:val="16"/>
          <w:rtl/>
        </w:rPr>
        <w:t>{ולא כמו הב"ש שכתב שרק בג' האופנים מתיר רמ"א}</w:t>
      </w:r>
      <w:r w:rsidR="00C34986">
        <w:rPr>
          <w:rFonts w:cs="Arial" w:hint="cs"/>
          <w:rtl/>
        </w:rPr>
        <w:t>,</w:t>
      </w:r>
      <w:r w:rsidR="00C34986" w:rsidRPr="0040280A">
        <w:rPr>
          <w:rFonts w:cs="Arial"/>
          <w:rtl/>
        </w:rPr>
        <w:t xml:space="preserve"> רק שיש ט"ס בדבריו וחסר תיבת או וכצ"ל ויש מקילין בשעת הדחק או לתקן קודם שיחתמו כו' פי' דבשעת הדחק כשר אפי' בלא תיקון או אפילו שלא בשעת הדחק יכול לתקן קודם שיחתמו</w:t>
      </w:r>
      <w:r w:rsidR="00C34986">
        <w:rPr>
          <w:rFonts w:hint="cs"/>
          <w:rtl/>
        </w:rPr>
        <w:t xml:space="preserve">, </w:t>
      </w:r>
      <w:r w:rsidR="00C34986" w:rsidRPr="00B62357">
        <w:rPr>
          <w:rFonts w:hint="cs"/>
          <w:b/>
          <w:bCs/>
          <w:rtl/>
        </w:rPr>
        <w:t>פת"ש</w:t>
      </w:r>
      <w:r w:rsidR="00C34986">
        <w:rPr>
          <w:rFonts w:hint="cs"/>
          <w:rtl/>
        </w:rPr>
        <w:t xml:space="preserve"> (סק"י).</w:t>
      </w:r>
    </w:p>
  </w:footnote>
  <w:footnote w:id="548">
    <w:p w14:paraId="40ECB733" w14:textId="634C991C" w:rsidR="00473EF0" w:rsidRDefault="00473EF0">
      <w:pPr>
        <w:pStyle w:val="a5"/>
      </w:pPr>
      <w:r>
        <w:rPr>
          <w:rStyle w:val="a7"/>
        </w:rPr>
        <w:footnoteRef/>
      </w:r>
      <w:r>
        <w:rPr>
          <w:rtl/>
        </w:rPr>
        <w:t xml:space="preserve"> </w:t>
      </w:r>
      <w:r w:rsidRPr="00473EF0">
        <w:rPr>
          <w:rFonts w:cs="Arial"/>
          <w:rtl/>
        </w:rPr>
        <w:t>ובתנאי שיהיה נקרא האות לתינוק דלא חכים דאל"כ ודאי פסול ואין מועיל תיקון אפילו בציווי הבעל דמיקרי חק תוכות ובב"ח חילק דאם האותיות דבוקות ממש כל גובהו של אות אסור לגרוד דה"ל חק תוכות ולי נראה כמ"ש דהכל תלוי בקריאת תינוק ואין חילוק בין נגיע' קצת לנגיעה כל גובה האות</w:t>
      </w:r>
      <w:r>
        <w:rPr>
          <w:rFonts w:cs="Arial" w:hint="cs"/>
          <w:rtl/>
        </w:rPr>
        <w:t>, ח"מ (סק"ט).</w:t>
      </w:r>
    </w:p>
  </w:footnote>
  <w:footnote w:id="549">
    <w:p w14:paraId="54609F4B" w14:textId="46BF05CF" w:rsidR="006F2DCB" w:rsidRDefault="006F2DCB">
      <w:pPr>
        <w:pStyle w:val="a5"/>
      </w:pPr>
      <w:r>
        <w:rPr>
          <w:rStyle w:val="a7"/>
        </w:rPr>
        <w:footnoteRef/>
      </w:r>
      <w:r>
        <w:rPr>
          <w:rtl/>
        </w:rPr>
        <w:t xml:space="preserve"> </w:t>
      </w:r>
      <w:r w:rsidRPr="0040280A">
        <w:rPr>
          <w:rFonts w:cs="Arial"/>
          <w:rtl/>
        </w:rPr>
        <w:t>ועמ"ש לקמן ס"ח סקי"ג</w:t>
      </w:r>
      <w:r>
        <w:rPr>
          <w:rFonts w:cs="Arial" w:hint="cs"/>
          <w:rtl/>
        </w:rPr>
        <w:t>, פת"ש (סק"ח).</w:t>
      </w:r>
    </w:p>
  </w:footnote>
  <w:footnote w:id="550">
    <w:p w14:paraId="50BC718D" w14:textId="5655C3EA" w:rsidR="00DF109A" w:rsidRDefault="00DF109A">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2D5E7F">
        <w:rPr>
          <w:rFonts w:cs="Arial"/>
          <w:rtl/>
        </w:rPr>
        <w:t>ויש שמצריכין לעשות בו זיינין באותיות שעטנ"ז ג"ץ</w:t>
      </w:r>
      <w:r>
        <w:rPr>
          <w:rFonts w:cs="Arial" w:hint="cs"/>
          <w:rtl/>
        </w:rPr>
        <w:t>.</w:t>
      </w:r>
      <w:r w:rsidRPr="002D5E7F">
        <w:rPr>
          <w:rFonts w:cs="Arial"/>
          <w:rtl/>
        </w:rPr>
        <w:t xml:space="preserve"> ובספר התרומה כתב שאין צריך</w:t>
      </w:r>
      <w:r>
        <w:rPr>
          <w:rFonts w:cs="Arial" w:hint="cs"/>
          <w:rtl/>
        </w:rPr>
        <w:t>,</w:t>
      </w:r>
      <w:r w:rsidRPr="002D5E7F">
        <w:rPr>
          <w:rFonts w:cs="Arial"/>
          <w:rtl/>
        </w:rPr>
        <w:t xml:space="preserve"> ויש למנוע מלעשותן</w:t>
      </w:r>
      <w:r>
        <w:rPr>
          <w:rFonts w:cs="Arial" w:hint="cs"/>
          <w:rtl/>
        </w:rPr>
        <w:t>.</w:t>
      </w:r>
    </w:p>
  </w:footnote>
  <w:footnote w:id="551">
    <w:p w14:paraId="5E2E9E77" w14:textId="03C3836A" w:rsidR="000F69F4" w:rsidRDefault="000F69F4">
      <w:pPr>
        <w:pStyle w:val="a5"/>
        <w:rPr>
          <w:rtl/>
        </w:rPr>
      </w:pPr>
      <w:r>
        <w:rPr>
          <w:rStyle w:val="a7"/>
        </w:rPr>
        <w:footnoteRef/>
      </w:r>
      <w:r>
        <w:rPr>
          <w:rtl/>
        </w:rPr>
        <w:t xml:space="preserve"> </w:t>
      </w:r>
      <w:r>
        <w:rPr>
          <w:rFonts w:cs="Arial" w:hint="cs"/>
          <w:rtl/>
        </w:rPr>
        <w:t xml:space="preserve">וכ"כ </w:t>
      </w:r>
      <w:r w:rsidRPr="003E2ADE">
        <w:rPr>
          <w:rFonts w:cs="Arial"/>
          <w:rtl/>
        </w:rPr>
        <w:t xml:space="preserve">סמ"ג </w:t>
      </w:r>
      <w:r w:rsidRPr="000F69F4">
        <w:rPr>
          <w:rFonts w:cs="Arial"/>
          <w:sz w:val="16"/>
          <w:szCs w:val="16"/>
          <w:rtl/>
        </w:rPr>
        <w:t>(עשין נ קכט ע"ד)</w:t>
      </w:r>
      <w:r>
        <w:rPr>
          <w:rFonts w:cs="Arial" w:hint="cs"/>
          <w:rtl/>
        </w:rPr>
        <w:t xml:space="preserve"> או"ז </w:t>
      </w:r>
      <w:r>
        <w:rPr>
          <w:rFonts w:cs="Arial" w:hint="cs"/>
          <w:sz w:val="16"/>
          <w:szCs w:val="16"/>
          <w:rtl/>
        </w:rPr>
        <w:t>(סי' תשטו)</w:t>
      </w:r>
      <w:r>
        <w:rPr>
          <w:rFonts w:cs="Arial" w:hint="cs"/>
          <w:rtl/>
        </w:rPr>
        <w:t xml:space="preserve"> </w:t>
      </w:r>
      <w:r w:rsidRPr="003E2ADE">
        <w:rPr>
          <w:rFonts w:cs="Arial"/>
          <w:rtl/>
        </w:rPr>
        <w:t xml:space="preserve">מרדכי </w:t>
      </w:r>
      <w:r w:rsidRPr="000F69F4">
        <w:rPr>
          <w:rFonts w:cs="Arial" w:hint="cs"/>
          <w:sz w:val="16"/>
          <w:szCs w:val="16"/>
          <w:rtl/>
        </w:rPr>
        <w:t>(</w:t>
      </w:r>
      <w:r w:rsidRPr="000F69F4">
        <w:rPr>
          <w:rFonts w:cs="Arial"/>
          <w:sz w:val="16"/>
          <w:szCs w:val="16"/>
          <w:rtl/>
        </w:rPr>
        <w:t xml:space="preserve">גיטין סי' שטז) </w:t>
      </w:r>
      <w:r>
        <w:rPr>
          <w:rFonts w:cs="Arial" w:hint="cs"/>
          <w:rtl/>
        </w:rPr>
        <w:t>ו</w:t>
      </w:r>
      <w:r w:rsidRPr="003E2ADE">
        <w:rPr>
          <w:rFonts w:cs="Arial"/>
          <w:rtl/>
        </w:rPr>
        <w:t>הגה</w:t>
      </w:r>
      <w:r>
        <w:rPr>
          <w:rFonts w:cs="Arial" w:hint="cs"/>
          <w:rtl/>
        </w:rPr>
        <w:t>"מ</w:t>
      </w:r>
      <w:r w:rsidRPr="003E2ADE">
        <w:rPr>
          <w:rFonts w:cs="Arial"/>
          <w:rtl/>
        </w:rPr>
        <w:t xml:space="preserve"> </w:t>
      </w:r>
      <w:r w:rsidRPr="000F69F4">
        <w:rPr>
          <w:rFonts w:cs="Arial" w:hint="cs"/>
          <w:sz w:val="16"/>
          <w:szCs w:val="16"/>
          <w:rtl/>
        </w:rPr>
        <w:t>(</w:t>
      </w:r>
      <w:r w:rsidRPr="000F69F4">
        <w:rPr>
          <w:rFonts w:cs="Arial"/>
          <w:sz w:val="16"/>
          <w:szCs w:val="16"/>
          <w:rtl/>
        </w:rPr>
        <w:t>פ</w:t>
      </w:r>
      <w:r w:rsidRPr="000F69F4">
        <w:rPr>
          <w:rFonts w:cs="Arial" w:hint="cs"/>
          <w:sz w:val="16"/>
          <w:szCs w:val="16"/>
          <w:rtl/>
        </w:rPr>
        <w:t>"</w:t>
      </w:r>
      <w:r w:rsidRPr="000F69F4">
        <w:rPr>
          <w:rFonts w:cs="Arial"/>
          <w:sz w:val="16"/>
          <w:szCs w:val="16"/>
          <w:rtl/>
        </w:rPr>
        <w:t>ד אות ה)</w:t>
      </w:r>
      <w:r>
        <w:rPr>
          <w:rFonts w:hint="cs"/>
          <w:rtl/>
        </w:rPr>
        <w:t>.</w:t>
      </w:r>
    </w:p>
  </w:footnote>
  <w:footnote w:id="552">
    <w:p w14:paraId="47817775" w14:textId="73433EC5" w:rsidR="0040280A" w:rsidRDefault="0040280A">
      <w:pPr>
        <w:pStyle w:val="a5"/>
      </w:pPr>
      <w:r>
        <w:rPr>
          <w:rStyle w:val="a7"/>
        </w:rPr>
        <w:footnoteRef/>
      </w:r>
      <w:r>
        <w:rPr>
          <w:rtl/>
        </w:rPr>
        <w:t xml:space="preserve"> </w:t>
      </w:r>
      <w:r w:rsidRPr="0040280A">
        <w:rPr>
          <w:rFonts w:cs="Arial"/>
          <w:rtl/>
        </w:rPr>
        <w:t>וכ' בס' ג"פ דה"ה דאין עושין חטוטרת בחי"ת</w:t>
      </w:r>
      <w:r>
        <w:rPr>
          <w:rFonts w:cs="Arial" w:hint="cs"/>
          <w:rtl/>
        </w:rPr>
        <w:t>.</w:t>
      </w:r>
      <w:r w:rsidRPr="0040280A">
        <w:rPr>
          <w:rFonts w:cs="Arial"/>
          <w:rtl/>
        </w:rPr>
        <w:t xml:space="preserve"> וכ"כ במהרי"ק שורש ע"א ע"ש</w:t>
      </w:r>
      <w:r>
        <w:rPr>
          <w:rFonts w:cs="Arial" w:hint="cs"/>
          <w:rtl/>
        </w:rPr>
        <w:t>.</w:t>
      </w:r>
      <w:r w:rsidRPr="0040280A">
        <w:rPr>
          <w:rFonts w:cs="Arial"/>
          <w:rtl/>
        </w:rPr>
        <w:t xml:space="preserve"> וכ"כ בסדר מהר"ם אות פ' ע"ש</w:t>
      </w:r>
      <w:r>
        <w:rPr>
          <w:rFonts w:cs="Arial" w:hint="cs"/>
          <w:rtl/>
        </w:rPr>
        <w:t>, פת"ש (סקי"א).</w:t>
      </w:r>
    </w:p>
  </w:footnote>
  <w:footnote w:id="553">
    <w:p w14:paraId="265B9C85" w14:textId="635C6BAF" w:rsidR="00473EF0" w:rsidRDefault="00473EF0">
      <w:pPr>
        <w:pStyle w:val="a5"/>
      </w:pPr>
      <w:r>
        <w:rPr>
          <w:rStyle w:val="a7"/>
        </w:rPr>
        <w:footnoteRef/>
      </w:r>
      <w:r>
        <w:rPr>
          <w:rtl/>
        </w:rPr>
        <w:t xml:space="preserve"> </w:t>
      </w:r>
      <w:r w:rsidRPr="00473EF0">
        <w:rPr>
          <w:rFonts w:cs="Arial"/>
          <w:rtl/>
        </w:rPr>
        <w:t>ומ"מ בדיעבד בשעת הדחק ועיגון הגט כשר</w:t>
      </w:r>
      <w:r>
        <w:rPr>
          <w:rFonts w:cs="Arial" w:hint="cs"/>
          <w:rtl/>
        </w:rPr>
        <w:t>, ח"מ (סק"י).</w:t>
      </w:r>
    </w:p>
  </w:footnote>
  <w:footnote w:id="554">
    <w:p w14:paraId="72AF9F27" w14:textId="321C96CB" w:rsidR="00EC573C" w:rsidRDefault="00EC573C">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610863">
        <w:rPr>
          <w:rFonts w:cs="Arial"/>
          <w:rtl/>
        </w:rPr>
        <w:t xml:space="preserve">מתוך שמעתא הדא אומר מורי רבינו הכותב גט ופעמים שנפלה טפת דיו מן הקולמוס בתוך חלל אחת מן האותיות שבכתב או בתוך חלל בי"ת ועשה פ"א או בתוך חלל אחרת שאין עתה שמה עליה ואחרי כן מחק הטפה מתוך האות </w:t>
      </w:r>
      <w:r>
        <w:rPr>
          <w:rFonts w:cs="Arial" w:hint="cs"/>
          <w:rtl/>
        </w:rPr>
        <w:t xml:space="preserve">- </w:t>
      </w:r>
      <w:r w:rsidRPr="00610863">
        <w:rPr>
          <w:rFonts w:cs="Arial"/>
          <w:rtl/>
        </w:rPr>
        <w:t>זה חק תוכות</w:t>
      </w:r>
      <w:r>
        <w:rPr>
          <w:rFonts w:cs="Arial" w:hint="cs"/>
          <w:rtl/>
        </w:rPr>
        <w:t>,</w:t>
      </w:r>
      <w:r w:rsidRPr="00610863">
        <w:rPr>
          <w:rFonts w:cs="Arial"/>
          <w:rtl/>
        </w:rPr>
        <w:t xml:space="preserve"> שנעשה האות ע"י מחיקת תוכה ופסול</w:t>
      </w:r>
      <w:r>
        <w:rPr>
          <w:rFonts w:cs="Arial" w:hint="cs"/>
          <w:rtl/>
        </w:rPr>
        <w:t>.</w:t>
      </w:r>
      <w:r w:rsidRPr="00610863">
        <w:rPr>
          <w:rFonts w:cs="Arial"/>
          <w:rtl/>
        </w:rPr>
        <w:t xml:space="preserve"> או פעמים כשרוצה לעשות מ"ם פתוחה נדבק החרטום שמאלי אל משך התחתון ועשאו סתום ואמרי' פרק הבונה (שבת קג</w:t>
      </w:r>
      <w:r>
        <w:rPr>
          <w:rFonts w:cs="Arial" w:hint="cs"/>
          <w:rtl/>
        </w:rPr>
        <w:t>:</w:t>
      </w:r>
      <w:r w:rsidRPr="00610863">
        <w:rPr>
          <w:rFonts w:cs="Arial"/>
          <w:rtl/>
        </w:rPr>
        <w:t>) וכתבתם שלא יעשה פתוחה סתומה אע</w:t>
      </w:r>
      <w:r>
        <w:rPr>
          <w:rFonts w:cs="Arial" w:hint="cs"/>
          <w:rtl/>
        </w:rPr>
        <w:t>"</w:t>
      </w:r>
      <w:r w:rsidRPr="00610863">
        <w:rPr>
          <w:rFonts w:cs="Arial"/>
          <w:rtl/>
        </w:rPr>
        <w:t xml:space="preserve">ג דאיכא תנא התם דמכשיר כמו כן איכא דפסיל ומוחק הדבקות בראש התער זהו חק תוכות ופסול. וכי אירע לו אחת מן הדברים האלה או טפת דיו שהתיזה בתוך חלל אות או המ' פתוחה שנדבקה למטה </w:t>
      </w:r>
      <w:r>
        <w:rPr>
          <w:rFonts w:cs="Arial" w:hint="cs"/>
          <w:rtl/>
        </w:rPr>
        <w:t xml:space="preserve">- </w:t>
      </w:r>
      <w:r w:rsidRPr="00610863">
        <w:rPr>
          <w:rFonts w:cs="Arial"/>
          <w:rtl/>
        </w:rPr>
        <w:t>צריך לעשות ולכתוב גט אחר כבתחלה</w:t>
      </w:r>
      <w:r>
        <w:rPr>
          <w:rFonts w:cs="Arial" w:hint="cs"/>
          <w:rtl/>
        </w:rPr>
        <w:t xml:space="preserve">... </w:t>
      </w:r>
      <w:r w:rsidRPr="00610863">
        <w:rPr>
          <w:rFonts w:cs="Arial"/>
          <w:rtl/>
        </w:rPr>
        <w:t>ואם מעביר עליה קולמוס לאחר שתיקנה אינו מועיל כדפריש בהלכות תפילין</w:t>
      </w:r>
      <w:r>
        <w:rPr>
          <w:rFonts w:cs="Arial" w:hint="cs"/>
          <w:rtl/>
        </w:rPr>
        <w:t>.</w:t>
      </w:r>
    </w:p>
  </w:footnote>
  <w:footnote w:id="555">
    <w:p w14:paraId="43891EC2" w14:textId="3A13900C" w:rsidR="00835630" w:rsidRDefault="00835630" w:rsidP="00835630">
      <w:pPr>
        <w:pStyle w:val="a5"/>
      </w:pPr>
      <w:r>
        <w:rPr>
          <w:rStyle w:val="a7"/>
        </w:rPr>
        <w:footnoteRef/>
      </w:r>
      <w:r>
        <w:rPr>
          <w:rtl/>
        </w:rPr>
        <w:t xml:space="preserve"> </w:t>
      </w:r>
      <w:r>
        <w:rPr>
          <w:rFonts w:cs="Arial" w:hint="cs"/>
          <w:rtl/>
        </w:rPr>
        <w:t xml:space="preserve">ואין משמע כן מדברי השו"ע </w:t>
      </w:r>
      <w:r w:rsidRPr="00540C4A">
        <w:rPr>
          <w:rFonts w:cs="Arial"/>
          <w:rtl/>
        </w:rPr>
        <w:t>בא</w:t>
      </w:r>
      <w:r>
        <w:rPr>
          <w:rFonts w:cs="Arial" w:hint="cs"/>
          <w:rtl/>
        </w:rPr>
        <w:t>ו</w:t>
      </w:r>
      <w:r w:rsidRPr="00540C4A">
        <w:rPr>
          <w:rFonts w:cs="Arial"/>
          <w:rtl/>
        </w:rPr>
        <w:t xml:space="preserve">"ח </w:t>
      </w:r>
      <w:r>
        <w:rPr>
          <w:rFonts w:cs="Arial" w:hint="cs"/>
          <w:rtl/>
        </w:rPr>
        <w:t>(</w:t>
      </w:r>
      <w:r w:rsidRPr="00540C4A">
        <w:rPr>
          <w:rFonts w:cs="Arial"/>
          <w:rtl/>
        </w:rPr>
        <w:t>סי' לב סעי' יח</w:t>
      </w:r>
      <w:r>
        <w:rPr>
          <w:rFonts w:cs="Arial" w:hint="cs"/>
          <w:rtl/>
        </w:rPr>
        <w:t>)</w:t>
      </w:r>
      <w:r w:rsidRPr="00540C4A">
        <w:rPr>
          <w:rFonts w:cs="Arial"/>
          <w:rtl/>
        </w:rPr>
        <w:t xml:space="preserve"> </w:t>
      </w:r>
      <w:r>
        <w:rPr>
          <w:rFonts w:cs="Arial" w:hint="cs"/>
          <w:rtl/>
        </w:rPr>
        <w:t>וז</w:t>
      </w:r>
      <w:r w:rsidRPr="00540C4A">
        <w:rPr>
          <w:rFonts w:cs="Arial"/>
          <w:rtl/>
        </w:rPr>
        <w:t>"ל</w:t>
      </w:r>
      <w:r>
        <w:rPr>
          <w:rFonts w:cs="Arial" w:hint="cs"/>
          <w:rtl/>
        </w:rPr>
        <w:t>:</w:t>
      </w:r>
      <w:r w:rsidRPr="00540C4A">
        <w:rPr>
          <w:rFonts w:cs="Arial"/>
          <w:rtl/>
        </w:rPr>
        <w:t xml:space="preserve"> </w:t>
      </w:r>
      <w:r w:rsidRPr="00835630">
        <w:rPr>
          <w:rFonts w:cs="Arial"/>
          <w:rtl/>
        </w:rPr>
        <w:t xml:space="preserve">מ"ם פתוחה שנדבק פתיחתה ונסתמה, אין מועיל לגרור הדבק ולפותחה, משום דהוי כחק תוכות. </w:t>
      </w:r>
      <w:r>
        <w:rPr>
          <w:rFonts w:cs="Arial" w:hint="cs"/>
          <w:rtl/>
        </w:rPr>
        <w:t xml:space="preserve">עכ"ל. וכתב </w:t>
      </w:r>
      <w:r>
        <w:rPr>
          <w:rFonts w:cs="Arial" w:hint="cs"/>
          <w:b/>
          <w:bCs/>
          <w:rtl/>
        </w:rPr>
        <w:t>ה</w:t>
      </w:r>
      <w:r w:rsidRPr="0046774E">
        <w:rPr>
          <w:rFonts w:cs="Arial" w:hint="cs"/>
          <w:b/>
          <w:bCs/>
          <w:rtl/>
        </w:rPr>
        <w:t>פת"ש</w:t>
      </w:r>
      <w:r>
        <w:rPr>
          <w:rFonts w:cs="Arial" w:hint="cs"/>
          <w:rtl/>
        </w:rPr>
        <w:t xml:space="preserve"> </w:t>
      </w:r>
      <w:r w:rsidRPr="0046774E">
        <w:rPr>
          <w:rFonts w:cs="Arial" w:hint="cs"/>
          <w:rtl/>
        </w:rPr>
        <w:t>(</w:t>
      </w:r>
      <w:r>
        <w:rPr>
          <w:rFonts w:cs="Arial" w:hint="cs"/>
          <w:rtl/>
        </w:rPr>
        <w:t xml:space="preserve">כאן </w:t>
      </w:r>
      <w:r w:rsidRPr="0046774E">
        <w:rPr>
          <w:rFonts w:cs="Arial" w:hint="cs"/>
          <w:rtl/>
        </w:rPr>
        <w:t>סקי"ח)</w:t>
      </w:r>
      <w:r>
        <w:rPr>
          <w:rFonts w:cs="Arial" w:hint="cs"/>
          <w:rtl/>
        </w:rPr>
        <w:t xml:space="preserve"> ד</w:t>
      </w:r>
      <w:r w:rsidRPr="00540C4A">
        <w:rPr>
          <w:rFonts w:cs="Arial"/>
          <w:rtl/>
        </w:rPr>
        <w:t>משמע מל' זה דאע"פ שהי' לה שעת הכושר ושוב נסתמה נפסלה למפרע וא"י לגרור הדבק דהוי חק תוכות</w:t>
      </w:r>
      <w:r>
        <w:rPr>
          <w:rFonts w:cs="Arial" w:hint="cs"/>
          <w:rtl/>
        </w:rPr>
        <w:t>.</w:t>
      </w:r>
      <w:r w:rsidRPr="00540C4A">
        <w:rPr>
          <w:rFonts w:cs="Arial"/>
          <w:rtl/>
        </w:rPr>
        <w:t xml:space="preserve"> ועיין בג"פ סק</w:t>
      </w:r>
      <w:r>
        <w:rPr>
          <w:rFonts w:cs="Arial" w:hint="cs"/>
          <w:rtl/>
        </w:rPr>
        <w:t>ל"ט</w:t>
      </w:r>
      <w:r w:rsidRPr="00540C4A">
        <w:rPr>
          <w:rFonts w:cs="Arial"/>
          <w:rtl/>
        </w:rPr>
        <w:t xml:space="preserve"> מ"ש בזה.</w:t>
      </w:r>
      <w:r w:rsidR="00222D0C">
        <w:rPr>
          <w:rFonts w:hint="cs"/>
          <w:rtl/>
        </w:rPr>
        <w:t xml:space="preserve"> עכ"ל. אמנם אפשר לפרש דלא דיבר השו"ע כשהייתה לה שעת כושר, אלא נעשה בבת אחת, וכמו שכתב בסע' הבא.</w:t>
      </w:r>
    </w:p>
  </w:footnote>
  <w:footnote w:id="556">
    <w:p w14:paraId="6F171A95" w14:textId="10BB292D" w:rsidR="00247AB2" w:rsidRDefault="00247AB2" w:rsidP="00247AB2">
      <w:pPr>
        <w:pStyle w:val="a5"/>
      </w:pPr>
      <w:r>
        <w:rPr>
          <w:rStyle w:val="a7"/>
        </w:rPr>
        <w:footnoteRef/>
      </w:r>
      <w:r>
        <w:rPr>
          <w:rtl/>
        </w:rPr>
        <w:t xml:space="preserve"> </w:t>
      </w:r>
      <w:r w:rsidRPr="00B94B3B">
        <w:rPr>
          <w:rFonts w:cs="Arial"/>
          <w:rtl/>
        </w:rPr>
        <w:t>וכן השיב לי חד מרבוותא</w:t>
      </w:r>
      <w:r>
        <w:rPr>
          <w:rFonts w:cs="Arial" w:hint="cs"/>
          <w:rtl/>
        </w:rPr>
        <w:t>,</w:t>
      </w:r>
      <w:r w:rsidRPr="00B94B3B">
        <w:rPr>
          <w:rFonts w:cs="Arial"/>
          <w:rtl/>
        </w:rPr>
        <w:t xml:space="preserve"> והביא ראיה מלשון הטור וסמ"ג (שם)</w:t>
      </w:r>
      <w:r w:rsidRPr="00B94B3B">
        <w:rPr>
          <w:rFonts w:cs="Arial" w:hint="cs"/>
          <w:rtl/>
        </w:rPr>
        <w:t>.</w:t>
      </w:r>
      <w:r w:rsidRPr="00B94B3B">
        <w:rPr>
          <w:rFonts w:cs="Arial"/>
          <w:rtl/>
        </w:rPr>
        <w:t xml:space="preserve"> אך סמ"ק </w:t>
      </w:r>
      <w:r w:rsidRPr="00AB1E49">
        <w:rPr>
          <w:rFonts w:cs="Arial"/>
          <w:sz w:val="16"/>
          <w:szCs w:val="16"/>
          <w:rtl/>
        </w:rPr>
        <w:t>(</w:t>
      </w:r>
      <w:r w:rsidRPr="00AB1E49">
        <w:rPr>
          <w:rFonts w:cs="Arial" w:hint="cs"/>
          <w:sz w:val="16"/>
          <w:szCs w:val="16"/>
          <w:rtl/>
        </w:rPr>
        <w:t>סי' קפד, הובאו דבריו לעיל, וכ"כ הכל בו [סי' עו]</w:t>
      </w:r>
      <w:r w:rsidRPr="00AB1E49">
        <w:rPr>
          <w:rFonts w:cs="Arial"/>
          <w:sz w:val="16"/>
          <w:szCs w:val="16"/>
          <w:rtl/>
        </w:rPr>
        <w:t xml:space="preserve">) </w:t>
      </w:r>
      <w:r w:rsidRPr="00B94B3B">
        <w:rPr>
          <w:rFonts w:cs="Arial"/>
          <w:rtl/>
        </w:rPr>
        <w:t>שכתב דקודם שנגמר האות ונפלה עליה טיפת דיו מיקרי טפי חק תוכות משנפלה אחר שנגמר כבר האות</w:t>
      </w:r>
      <w:r w:rsidRPr="00B94B3B">
        <w:rPr>
          <w:rFonts w:cs="Arial" w:hint="cs"/>
          <w:rtl/>
        </w:rPr>
        <w:t>,</w:t>
      </w:r>
      <w:r w:rsidRPr="00B94B3B">
        <w:rPr>
          <w:rFonts w:cs="Arial"/>
          <w:rtl/>
        </w:rPr>
        <w:t xml:space="preserve"> לכאורה פליג אסברתינו</w:t>
      </w:r>
      <w:r>
        <w:rPr>
          <w:rFonts w:cs="Arial" w:hint="cs"/>
          <w:rtl/>
        </w:rPr>
        <w:t>,</w:t>
      </w:r>
      <w:r w:rsidRPr="00B94B3B">
        <w:rPr>
          <w:rFonts w:cs="Arial"/>
          <w:rtl/>
        </w:rPr>
        <w:t xml:space="preserve"> דכיון שלא נגמר האות אם כן צריך לכתוב ולהוסיף אחר הגרירה ואפילו הכי קרי חק תוכות</w:t>
      </w:r>
      <w:r w:rsidRPr="00B94B3B">
        <w:rPr>
          <w:rFonts w:cs="Arial" w:hint="cs"/>
          <w:rtl/>
        </w:rPr>
        <w:t>.</w:t>
      </w:r>
      <w:r w:rsidRPr="00B94B3B">
        <w:rPr>
          <w:rFonts w:cs="Arial"/>
          <w:rtl/>
        </w:rPr>
        <w:t xml:space="preserve"> אמנם יש לומר דאיירי כגון שנפלה טיפה במקום רגל של אל"ף או תי"ו ומחק מן הטיפה בכל צידיה עד שנעשה רגל כתיקונו ובדרך זה נגמרה האות על ידי מחיקה וגרירה לבדה</w:t>
      </w:r>
      <w:r>
        <w:rPr>
          <w:rFonts w:cs="Arial" w:hint="cs"/>
          <w:rtl/>
        </w:rPr>
        <w:t xml:space="preserve">, </w:t>
      </w:r>
      <w:r w:rsidRPr="00247AB2">
        <w:rPr>
          <w:rFonts w:cs="Arial" w:hint="cs"/>
          <w:b/>
          <w:bCs/>
          <w:rtl/>
        </w:rPr>
        <w:t>תרוה"ד</w:t>
      </w:r>
      <w:r>
        <w:rPr>
          <w:rFonts w:cs="Arial" w:hint="cs"/>
          <w:rtl/>
        </w:rPr>
        <w:t xml:space="preserve"> (שם). </w:t>
      </w:r>
      <w:r w:rsidRPr="00D326FB">
        <w:rPr>
          <w:rFonts w:cs="Arial" w:hint="cs"/>
          <w:rtl/>
        </w:rPr>
        <w:t>וכתב</w:t>
      </w:r>
      <w:r w:rsidRPr="00247AB2">
        <w:rPr>
          <w:rFonts w:cs="Arial" w:hint="cs"/>
          <w:b/>
          <w:bCs/>
          <w:rtl/>
        </w:rPr>
        <w:t xml:space="preserve"> הב"י</w:t>
      </w:r>
      <w:r w:rsidR="00D326FB">
        <w:rPr>
          <w:rFonts w:cs="Arial" w:hint="cs"/>
          <w:rtl/>
        </w:rPr>
        <w:t>:</w:t>
      </w:r>
      <w:r>
        <w:rPr>
          <w:rFonts w:cs="Arial" w:hint="cs"/>
          <w:rtl/>
        </w:rPr>
        <w:t xml:space="preserve"> </w:t>
      </w:r>
      <w:r w:rsidRPr="00FC400A">
        <w:rPr>
          <w:rFonts w:cs="Arial"/>
          <w:rtl/>
        </w:rPr>
        <w:t>ומשמע לי למידק דהכי סבירא ליה לסמ"ק מדכתב</w:t>
      </w:r>
      <w:r>
        <w:rPr>
          <w:rFonts w:cs="Arial" w:hint="cs"/>
          <w:rtl/>
        </w:rPr>
        <w:t>-</w:t>
      </w:r>
      <w:r w:rsidRPr="00FC400A">
        <w:rPr>
          <w:rFonts w:cs="Arial"/>
          <w:rtl/>
        </w:rPr>
        <w:t xml:space="preserve"> </w:t>
      </w:r>
      <w:r>
        <w:rPr>
          <w:rFonts w:cs="Arial" w:hint="cs"/>
          <w:rtl/>
        </w:rPr>
        <w:t>'</w:t>
      </w:r>
      <w:r w:rsidRPr="00FC400A">
        <w:rPr>
          <w:rFonts w:cs="Arial"/>
          <w:rtl/>
        </w:rPr>
        <w:t>וכתב ולא וחקק מכאן שאם לא נעשה האות כתקנה</w:t>
      </w:r>
      <w:r>
        <w:rPr>
          <w:rFonts w:cs="Arial" w:hint="cs"/>
          <w:rtl/>
        </w:rPr>
        <w:t>,</w:t>
      </w:r>
      <w:r w:rsidRPr="00FC400A">
        <w:rPr>
          <w:rFonts w:cs="Arial"/>
          <w:rtl/>
        </w:rPr>
        <w:t xml:space="preserve"> כגון מדלי"ת ה"א וכיוצא בו אין למחוק לקוצו של ה"א לתקנה לאות דלי"ת</w:t>
      </w:r>
      <w:r>
        <w:rPr>
          <w:rFonts w:cs="Arial" w:hint="cs"/>
          <w:rtl/>
        </w:rPr>
        <w:t>'</w:t>
      </w:r>
      <w:r w:rsidRPr="00FC400A">
        <w:rPr>
          <w:rFonts w:cs="Arial"/>
          <w:rtl/>
        </w:rPr>
        <w:t xml:space="preserve"> עכ"ל</w:t>
      </w:r>
      <w:r>
        <w:rPr>
          <w:rFonts w:cs="Arial" w:hint="cs"/>
          <w:rtl/>
        </w:rPr>
        <w:t>.</w:t>
      </w:r>
      <w:r w:rsidRPr="00FC400A">
        <w:rPr>
          <w:rFonts w:cs="Arial"/>
          <w:rtl/>
        </w:rPr>
        <w:t xml:space="preserve"> וכל כהאי גוונא משמע שאינו צריך תיקון אחר זולת המחיקה</w:t>
      </w:r>
      <w:r>
        <w:rPr>
          <w:rFonts w:cs="Arial" w:hint="cs"/>
          <w:rtl/>
        </w:rPr>
        <w:t>.</w:t>
      </w:r>
      <w:r w:rsidRPr="00FC400A">
        <w:rPr>
          <w:rFonts w:cs="Arial"/>
          <w:rtl/>
        </w:rPr>
        <w:t xml:space="preserve"> וגם הכל בו (סי' עו מו ע"ג) כתב כדברי סמ"ק בנפל בה דיו אחר שנעשה כתיקונה ואח"כ כתב (מח ע"א) ואם יפול דיו על האות הכתובה שלא יתקן אותה משום חק תוכות אמנם מיו"ד וא"ו וכיוצא בהן לעשות מטיפה שנפלה אות שלימה אין בכך כלום וכשר כי זה חק יריכות וכשר עכ"ל</w:t>
      </w:r>
      <w:r>
        <w:rPr>
          <w:rFonts w:cs="Arial" w:hint="cs"/>
          <w:rtl/>
        </w:rPr>
        <w:t>.</w:t>
      </w:r>
      <w:r w:rsidRPr="00FC400A">
        <w:rPr>
          <w:rFonts w:cs="Arial"/>
          <w:rtl/>
        </w:rPr>
        <w:t xml:space="preserve"> ואי אפשר לומר דמכשיר ביו"ד וא"ו הנעשים מטפה על ידי מחיקה לבד</w:t>
      </w:r>
      <w:r>
        <w:rPr>
          <w:rFonts w:cs="Arial" w:hint="cs"/>
          <w:rtl/>
        </w:rPr>
        <w:t>,</w:t>
      </w:r>
      <w:r w:rsidRPr="00FC400A">
        <w:rPr>
          <w:rFonts w:cs="Arial"/>
          <w:rtl/>
        </w:rPr>
        <w:t xml:space="preserve"> דאם כן היכי קרי ליה חק יריכות</w:t>
      </w:r>
      <w:r>
        <w:rPr>
          <w:rFonts w:cs="Arial" w:hint="cs"/>
          <w:rtl/>
        </w:rPr>
        <w:t>,</w:t>
      </w:r>
      <w:r w:rsidRPr="00FC400A">
        <w:rPr>
          <w:rFonts w:cs="Arial"/>
          <w:rtl/>
        </w:rPr>
        <w:t xml:space="preserve"> אלא על כרחך לומר דהכי פירושו</w:t>
      </w:r>
      <w:r>
        <w:rPr>
          <w:rFonts w:cs="Arial" w:hint="cs"/>
          <w:rtl/>
        </w:rPr>
        <w:t>,</w:t>
      </w:r>
      <w:r w:rsidRPr="00FC400A">
        <w:rPr>
          <w:rFonts w:cs="Arial"/>
          <w:rtl/>
        </w:rPr>
        <w:t xml:space="preserve"> שאם נפלה טיפת דיו והוסיף עליה לעשותה יו"ד או משך אותה לעשותה וא"ו אע</w:t>
      </w:r>
      <w:r>
        <w:rPr>
          <w:rFonts w:cs="Arial" w:hint="cs"/>
          <w:rtl/>
        </w:rPr>
        <w:t>"</w:t>
      </w:r>
      <w:r w:rsidRPr="00FC400A">
        <w:rPr>
          <w:rFonts w:cs="Arial"/>
          <w:rtl/>
        </w:rPr>
        <w:t>פ שתחלת האות ע</w:t>
      </w:r>
      <w:r>
        <w:rPr>
          <w:rFonts w:cs="Arial" w:hint="cs"/>
          <w:rtl/>
        </w:rPr>
        <w:t>"</w:t>
      </w:r>
      <w:r w:rsidRPr="00FC400A">
        <w:rPr>
          <w:rFonts w:cs="Arial"/>
          <w:rtl/>
        </w:rPr>
        <w:t xml:space="preserve">י טיפת דיו דליכא כתיבה כיון שגם הכתב סייע בעשיית האות </w:t>
      </w:r>
      <w:r>
        <w:rPr>
          <w:rFonts w:cs="Arial" w:hint="cs"/>
          <w:rtl/>
        </w:rPr>
        <w:t xml:space="preserve">- </w:t>
      </w:r>
      <w:r w:rsidRPr="00FC400A">
        <w:rPr>
          <w:rFonts w:cs="Arial"/>
          <w:rtl/>
        </w:rPr>
        <w:t>שפיר מיקרי חק יריכות</w:t>
      </w:r>
      <w:r>
        <w:rPr>
          <w:rFonts w:cs="Arial" w:hint="cs"/>
          <w:rtl/>
        </w:rPr>
        <w:t>.</w:t>
      </w:r>
      <w:r w:rsidRPr="00FC400A">
        <w:rPr>
          <w:rFonts w:cs="Arial"/>
          <w:rtl/>
        </w:rPr>
        <w:t xml:space="preserve"> והיינו כמו שכתב בעל תרו</w:t>
      </w:r>
      <w:r w:rsidR="00D326FB">
        <w:rPr>
          <w:rFonts w:cs="Arial" w:hint="cs"/>
          <w:rtl/>
        </w:rPr>
        <w:t>ה"</w:t>
      </w:r>
      <w:r w:rsidRPr="00FC400A">
        <w:rPr>
          <w:rFonts w:cs="Arial"/>
          <w:rtl/>
        </w:rPr>
        <w:t>ד דגם סמ"ק סובר דלא מיקרי חק תוכות אלא כשנתקן האות על ידי מחיקה לבד</w:t>
      </w:r>
      <w:r>
        <w:rPr>
          <w:rFonts w:cs="Arial" w:hint="cs"/>
          <w:rtl/>
        </w:rPr>
        <w:t>,</w:t>
      </w:r>
      <w:r w:rsidRPr="00FC400A">
        <w:rPr>
          <w:rFonts w:cs="Arial"/>
          <w:rtl/>
        </w:rPr>
        <w:t xml:space="preserve"> אבל היכא שצריך להוסיף ולכתוב שפיר מיקרי חק יריכות</w:t>
      </w:r>
      <w:r>
        <w:rPr>
          <w:rFonts w:cs="Arial" w:hint="cs"/>
          <w:rtl/>
        </w:rPr>
        <w:t>,</w:t>
      </w:r>
      <w:r w:rsidRPr="00FC400A">
        <w:rPr>
          <w:rFonts w:cs="Arial"/>
          <w:rtl/>
        </w:rPr>
        <w:t xml:space="preserve"> שהרי הכל בו כתב דברי הסמ"ק וכתב דברים אלו</w:t>
      </w:r>
      <w:r>
        <w:rPr>
          <w:rFonts w:cs="Arial" w:hint="cs"/>
          <w:rtl/>
        </w:rPr>
        <w:t>.</w:t>
      </w:r>
      <w:r w:rsidRPr="00FC400A">
        <w:rPr>
          <w:rFonts w:cs="Arial"/>
          <w:rtl/>
        </w:rPr>
        <w:t xml:space="preserve"> ועל כן יש ליישב כי היכי דלא ליסתרו דבריו אהדדי</w:t>
      </w:r>
      <w:r>
        <w:rPr>
          <w:rFonts w:cs="Arial" w:hint="cs"/>
          <w:rtl/>
        </w:rPr>
        <w:t>.</w:t>
      </w:r>
      <w:r>
        <w:rPr>
          <w:rFonts w:hint="cs"/>
          <w:rtl/>
        </w:rPr>
        <w:t xml:space="preserve"> עכ"ל הב"י.</w:t>
      </w:r>
      <w:r w:rsidR="00D326FB">
        <w:rPr>
          <w:rFonts w:hint="cs"/>
          <w:rtl/>
        </w:rPr>
        <w:t xml:space="preserve">    </w:t>
      </w:r>
      <w:r>
        <w:rPr>
          <w:rFonts w:hint="cs"/>
          <w:rtl/>
        </w:rPr>
        <w:t xml:space="preserve"> </w:t>
      </w:r>
      <w:r w:rsidRPr="00247AB2">
        <w:rPr>
          <w:rFonts w:hint="cs"/>
          <w:b/>
          <w:bCs/>
          <w:rtl/>
        </w:rPr>
        <w:t>וכתב הדרכ"מ</w:t>
      </w:r>
      <w:r>
        <w:rPr>
          <w:rFonts w:hint="cs"/>
          <w:rtl/>
        </w:rPr>
        <w:t xml:space="preserve"> (אות ח) ד</w:t>
      </w:r>
      <w:r w:rsidRPr="00AA766B">
        <w:rPr>
          <w:rFonts w:cs="Arial"/>
          <w:rtl/>
        </w:rPr>
        <w:t xml:space="preserve">כן כתב </w:t>
      </w:r>
      <w:r w:rsidR="009334FF">
        <w:rPr>
          <w:rFonts w:cs="Arial"/>
          <w:rtl/>
        </w:rPr>
        <w:t>ב</w:t>
      </w:r>
      <w:r w:rsidR="00DB737E">
        <w:rPr>
          <w:rFonts w:cs="Arial"/>
          <w:rtl/>
        </w:rPr>
        <w:t>הגהות</w:t>
      </w:r>
      <w:r w:rsidRPr="00AA766B">
        <w:rPr>
          <w:rFonts w:cs="Arial"/>
          <w:rtl/>
        </w:rPr>
        <w:t xml:space="preserve"> סדר גיטין (סי' י סעיף ה) וכן כתב מהר"י ווייל בתשובה סימן כ"ז דאפילו לכתחלה יש להכשיר בכהאי גוונא</w:t>
      </w:r>
      <w:r>
        <w:rPr>
          <w:rFonts w:cs="Arial" w:hint="cs"/>
          <w:rtl/>
        </w:rPr>
        <w:t>.</w:t>
      </w:r>
    </w:p>
  </w:footnote>
  <w:footnote w:id="557">
    <w:p w14:paraId="6D0E4E2E" w14:textId="4517FF08" w:rsidR="00DC0E97" w:rsidRDefault="00DC0E97">
      <w:pPr>
        <w:pStyle w:val="a5"/>
      </w:pPr>
      <w:r>
        <w:rPr>
          <w:rStyle w:val="a7"/>
        </w:rPr>
        <w:footnoteRef/>
      </w:r>
      <w:r>
        <w:rPr>
          <w:rtl/>
        </w:rPr>
        <w:t xml:space="preserve"> </w:t>
      </w:r>
      <w:r w:rsidRPr="00DC0E97">
        <w:rPr>
          <w:rFonts w:cs="Arial"/>
          <w:rtl/>
        </w:rPr>
        <w:t>משמע מדאורייתא בטל</w:t>
      </w:r>
      <w:r w:rsidR="00C9297D">
        <w:rPr>
          <w:rFonts w:cs="Arial" w:hint="cs"/>
          <w:sz w:val="14"/>
          <w:szCs w:val="14"/>
          <w:rtl/>
        </w:rPr>
        <w:t xml:space="preserve"> </w:t>
      </w:r>
      <w:r w:rsidR="00C9297D">
        <w:rPr>
          <w:rFonts w:cs="Arial" w:hint="cs"/>
          <w:sz w:val="16"/>
          <w:szCs w:val="16"/>
          <w:rtl/>
        </w:rPr>
        <w:t>{ועיין בפת"ש (סקי"ג) דהביא שרוב הפוסקים ס"ל דפסול מדרבנן}</w:t>
      </w:r>
      <w:r w:rsidR="00C9297D">
        <w:rPr>
          <w:rFonts w:cs="Arial" w:hint="cs"/>
          <w:rtl/>
        </w:rPr>
        <w:t>,</w:t>
      </w:r>
      <w:r w:rsidRPr="00DC0E97">
        <w:rPr>
          <w:rFonts w:cs="Arial"/>
          <w:rtl/>
        </w:rPr>
        <w:t xml:space="preserve"> אפילו אם נפל טפת דיו אחר שנגמר האות כמ"ש </w:t>
      </w:r>
      <w:r w:rsidR="009334FF">
        <w:rPr>
          <w:rFonts w:cs="Arial"/>
          <w:rtl/>
        </w:rPr>
        <w:t>בהג"ה</w:t>
      </w:r>
      <w:r w:rsidRPr="00DC0E97">
        <w:rPr>
          <w:rFonts w:cs="Arial"/>
          <w:rtl/>
        </w:rPr>
        <w:t>"ת סמ"ק</w:t>
      </w:r>
      <w:r>
        <w:rPr>
          <w:rFonts w:cs="Arial" w:hint="cs"/>
          <w:rtl/>
        </w:rPr>
        <w:t>.</w:t>
      </w:r>
      <w:r w:rsidRPr="00DC0E97">
        <w:rPr>
          <w:rFonts w:cs="Arial"/>
          <w:rtl/>
        </w:rPr>
        <w:t xml:space="preserve"> ואין חילוק בין אם האותיות לחים או יבישים</w:t>
      </w:r>
      <w:r>
        <w:rPr>
          <w:rFonts w:cs="Arial" w:hint="cs"/>
          <w:rtl/>
        </w:rPr>
        <w:t>,</w:t>
      </w:r>
      <w:r w:rsidRPr="00DC0E97">
        <w:rPr>
          <w:rFonts w:cs="Arial"/>
          <w:rtl/>
        </w:rPr>
        <w:t xml:space="preserve"> כ"כ ב"ח</w:t>
      </w:r>
      <w:r>
        <w:rPr>
          <w:rFonts w:cs="Arial" w:hint="cs"/>
          <w:rtl/>
        </w:rPr>
        <w:t>.</w:t>
      </w:r>
      <w:r w:rsidRPr="00DC0E97">
        <w:rPr>
          <w:rFonts w:cs="Arial"/>
          <w:rtl/>
        </w:rPr>
        <w:t xml:space="preserve"> ובלבוש כתב אם נתייבש האות ואח"כ נפל הדיו ונטל הדיו כשר דלא עשה שום דבר אלא מגלה הכיסוי</w:t>
      </w:r>
      <w:r>
        <w:rPr>
          <w:rFonts w:cs="Arial" w:hint="cs"/>
          <w:rtl/>
        </w:rPr>
        <w:t>.</w:t>
      </w:r>
      <w:r w:rsidRPr="00DC0E97">
        <w:rPr>
          <w:rFonts w:cs="Arial"/>
          <w:rtl/>
        </w:rPr>
        <w:t xml:space="preserve"> ובסדר מהר"מ מפרש דברי הלבוש דכוונתו אם נפל טפת דיו על האות ולא נתפשט כלל אז אם האות כבר נתייבש דומה לעפרות זהב דקי"ל דיכול לגרד הזהב כמ"ש בא"ח סימן ל"ב</w:t>
      </w:r>
      <w:r w:rsidR="003E5C2F">
        <w:rPr>
          <w:rFonts w:cs="Arial" w:hint="cs"/>
          <w:rtl/>
        </w:rPr>
        <w:t>.</w:t>
      </w:r>
      <w:r w:rsidRPr="00DC0E97">
        <w:rPr>
          <w:rFonts w:cs="Arial"/>
          <w:rtl/>
        </w:rPr>
        <w:t xml:space="preserve"> ול</w:t>
      </w:r>
      <w:r w:rsidR="003E5C2F">
        <w:rPr>
          <w:rFonts w:cs="Arial" w:hint="cs"/>
          <w:rtl/>
        </w:rPr>
        <w:t xml:space="preserve">א </w:t>
      </w:r>
      <w:r w:rsidRPr="00DC0E97">
        <w:rPr>
          <w:rFonts w:cs="Arial"/>
          <w:rtl/>
        </w:rPr>
        <w:t>ד</w:t>
      </w:r>
      <w:r w:rsidR="003E5C2F">
        <w:rPr>
          <w:rFonts w:cs="Arial" w:hint="cs"/>
          <w:rtl/>
        </w:rPr>
        <w:t>מי</w:t>
      </w:r>
      <w:r w:rsidRPr="00DC0E97">
        <w:rPr>
          <w:rFonts w:cs="Arial"/>
          <w:rtl/>
        </w:rPr>
        <w:t xml:space="preserve"> לנפל לתוך החלל</w:t>
      </w:r>
      <w:r w:rsidR="003E5C2F">
        <w:rPr>
          <w:rFonts w:cs="Arial" w:hint="cs"/>
          <w:rtl/>
        </w:rPr>
        <w:t>,</w:t>
      </w:r>
      <w:r w:rsidRPr="00DC0E97">
        <w:rPr>
          <w:rFonts w:cs="Arial"/>
          <w:rtl/>
        </w:rPr>
        <w:t xml:space="preserve"> דשם הטפה מקלקל האות</w:t>
      </w:r>
      <w:r w:rsidR="003E5C2F">
        <w:rPr>
          <w:rFonts w:cs="Arial" w:hint="cs"/>
          <w:rtl/>
        </w:rPr>
        <w:t>.</w:t>
      </w:r>
      <w:r w:rsidRPr="00DC0E97">
        <w:rPr>
          <w:rFonts w:cs="Arial"/>
          <w:rtl/>
        </w:rPr>
        <w:t xml:space="preserve"> לפ"ז ל"ק עליו קושית הב"ח</w:t>
      </w:r>
      <w:r w:rsidR="003E5C2F">
        <w:rPr>
          <w:rFonts w:cs="Arial" w:hint="cs"/>
          <w:rtl/>
        </w:rPr>
        <w:t>.</w:t>
      </w:r>
      <w:r w:rsidRPr="00DC0E97">
        <w:rPr>
          <w:rFonts w:cs="Arial"/>
          <w:rtl/>
        </w:rPr>
        <w:t xml:space="preserve"> מיהו בט"ז השיג נמי על הלבוש</w:t>
      </w:r>
      <w:r w:rsidR="003E5C2F">
        <w:rPr>
          <w:rFonts w:cs="Arial" w:hint="cs"/>
          <w:rtl/>
        </w:rPr>
        <w:t>, ב"ש (סקי"א).</w:t>
      </w:r>
      <w:r w:rsidRPr="00DC0E97">
        <w:rPr>
          <w:rFonts w:cs="Arial"/>
          <w:rtl/>
        </w:rPr>
        <w:t xml:space="preserve"> </w:t>
      </w:r>
    </w:p>
  </w:footnote>
  <w:footnote w:id="558">
    <w:p w14:paraId="080AA276" w14:textId="4C2F97C1" w:rsidR="00540C4A" w:rsidRDefault="00540C4A">
      <w:pPr>
        <w:pStyle w:val="a5"/>
      </w:pPr>
      <w:r>
        <w:rPr>
          <w:rStyle w:val="a7"/>
        </w:rPr>
        <w:footnoteRef/>
      </w:r>
      <w:r>
        <w:rPr>
          <w:rtl/>
        </w:rPr>
        <w:t xml:space="preserve"> </w:t>
      </w:r>
      <w:r w:rsidRPr="00540C4A">
        <w:rPr>
          <w:rFonts w:cs="Arial"/>
          <w:rtl/>
        </w:rPr>
        <w:t>בסדר מהר"מ מחמיר בזה אם הוא בתורף אפילו במקום עיגון אבל לא משמע כן במהרי"ק שורש צ"ח וכ"כ בח"מ</w:t>
      </w:r>
      <w:r>
        <w:rPr>
          <w:rFonts w:cs="Arial" w:hint="cs"/>
          <w:rtl/>
        </w:rPr>
        <w:t>, ב"ש (סקי"ב).</w:t>
      </w:r>
    </w:p>
  </w:footnote>
  <w:footnote w:id="559">
    <w:p w14:paraId="15E69C22" w14:textId="441819DA" w:rsidR="009B36C9" w:rsidRDefault="009B36C9">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9B36C9">
        <w:rPr>
          <w:rFonts w:cs="Arial"/>
          <w:rtl/>
        </w:rPr>
        <w:t>ולענין חתימת העדים אם אירע טעות באיזה אות נראה דבזה אפילו לכתחילה יגרר האות כולו שיש בו טעות ויחזור ויכתוב על המחק דכאן אין שייך חשש זיוף שמא היה כתוב בו דבור אחר כמו ששייך בכתב הגט אלא דאם לא מחק כל האות אלא שתיקן מקצתו בענין שהוא חק תוכות ודאי יש לפסול גם בזה מידי דהוה כמו אינו כתב כלל ואפילו אם יש עידי מסירה ויש ויכוח בת"ה אם יש לגזור אטו כתב הגט כמו דגזרינן בחתמו שלא לשמה כמ"ש התוס' ריש גיטין אבל במחק כל האות שיש טעות יכול לכתוב שפיר על המחק ואין כאן גזירה דגם בכתב הגט אין איסור כשיש עידי מסירה אלא אזהרה בעלמא כמו שזכרנו ולענין חתימה אין איסור אפילו בלא עידי מסירה כיון שאין שם חשש זיוף</w:t>
      </w:r>
      <w:r>
        <w:rPr>
          <w:rFonts w:cs="Arial" w:hint="cs"/>
          <w:rtl/>
        </w:rPr>
        <w:t>.</w:t>
      </w:r>
    </w:p>
  </w:footnote>
  <w:footnote w:id="560">
    <w:p w14:paraId="4D0181FA" w14:textId="02ABB158" w:rsidR="00876E49" w:rsidRDefault="00876E49">
      <w:pPr>
        <w:pStyle w:val="a5"/>
        <w:rPr>
          <w:rtl/>
        </w:rPr>
      </w:pPr>
      <w:r>
        <w:rPr>
          <w:rStyle w:val="a7"/>
        </w:rPr>
        <w:footnoteRef/>
      </w:r>
      <w:r>
        <w:rPr>
          <w:rtl/>
        </w:rPr>
        <w:t xml:space="preserve"> </w:t>
      </w:r>
      <w:r>
        <w:rPr>
          <w:rFonts w:cs="Arial" w:hint="cs"/>
          <w:rtl/>
        </w:rPr>
        <w:t xml:space="preserve">ועיין בספר </w:t>
      </w:r>
      <w:r w:rsidRPr="00D13118">
        <w:rPr>
          <w:rFonts w:cs="Arial"/>
          <w:rtl/>
        </w:rPr>
        <w:t>בית מאיר שכ' אילו הייתי כדאי לחלוק מסברא הי' מסתבר לי דאפי' למ"ד דהעברת קולמס לשמה אינו מועיל מ"מ העברת קולמס על ח</w:t>
      </w:r>
      <w:r>
        <w:rPr>
          <w:rFonts w:cs="Arial" w:hint="cs"/>
          <w:rtl/>
        </w:rPr>
        <w:t xml:space="preserve">ק </w:t>
      </w:r>
      <w:r w:rsidRPr="00D13118">
        <w:rPr>
          <w:rFonts w:cs="Arial"/>
          <w:rtl/>
        </w:rPr>
        <w:t>ת</w:t>
      </w:r>
      <w:r>
        <w:rPr>
          <w:rFonts w:cs="Arial" w:hint="cs"/>
          <w:rtl/>
        </w:rPr>
        <w:t>וכות</w:t>
      </w:r>
      <w:r w:rsidRPr="00D13118">
        <w:rPr>
          <w:rFonts w:cs="Arial"/>
          <w:rtl/>
        </w:rPr>
        <w:t xml:space="preserve"> מהני דזה הוה כאילו כותב על נייר חלק</w:t>
      </w:r>
      <w:r>
        <w:rPr>
          <w:rFonts w:cs="Arial" w:hint="cs"/>
          <w:rtl/>
        </w:rPr>
        <w:t>, עש"ב, פת"ש (סקט"ו).</w:t>
      </w:r>
    </w:p>
  </w:footnote>
  <w:footnote w:id="561">
    <w:p w14:paraId="7A84890C" w14:textId="27883339" w:rsidR="00561FBB" w:rsidRDefault="00561FBB">
      <w:pPr>
        <w:pStyle w:val="a5"/>
      </w:pPr>
      <w:r>
        <w:rPr>
          <w:rStyle w:val="a7"/>
        </w:rPr>
        <w:footnoteRef/>
      </w:r>
      <w:r>
        <w:rPr>
          <w:rtl/>
        </w:rPr>
        <w:t xml:space="preserve"> </w:t>
      </w:r>
      <w:r w:rsidRPr="00540C4A">
        <w:rPr>
          <w:rFonts w:cs="Arial"/>
          <w:rtl/>
        </w:rPr>
        <w:t>מלשון זה משמע דדוקא בכה"ג שלא היה למ"ם זו שעת הכושר שקודם שסילק ידו ממנה נסתמה</w:t>
      </w:r>
      <w:r w:rsidR="0046774E">
        <w:rPr>
          <w:rFonts w:cs="Arial" w:hint="cs"/>
          <w:rtl/>
        </w:rPr>
        <w:t>.</w:t>
      </w:r>
      <w:r w:rsidRPr="00540C4A">
        <w:rPr>
          <w:rFonts w:cs="Arial"/>
          <w:rtl/>
        </w:rPr>
        <w:t xml:space="preserve"> אולם בא"ח סי' ל"ב סעי' יח לא נקט כי האי לישנא</w:t>
      </w:r>
      <w:r w:rsidR="0046774E">
        <w:rPr>
          <w:rFonts w:cs="Arial" w:hint="cs"/>
          <w:rtl/>
        </w:rPr>
        <w:t>,</w:t>
      </w:r>
      <w:r w:rsidRPr="00540C4A">
        <w:rPr>
          <w:rFonts w:cs="Arial"/>
          <w:rtl/>
        </w:rPr>
        <w:t xml:space="preserve"> דשם כ' בזה"ל</w:t>
      </w:r>
      <w:r w:rsidR="00835630">
        <w:rPr>
          <w:rFonts w:cs="Arial" w:hint="cs"/>
          <w:rtl/>
        </w:rPr>
        <w:t>:</w:t>
      </w:r>
      <w:r w:rsidRPr="00540C4A">
        <w:rPr>
          <w:rFonts w:cs="Arial"/>
          <w:rtl/>
        </w:rPr>
        <w:t xml:space="preserve"> מם פתוחה שנדבק פתיחתה ונסתמה כו'</w:t>
      </w:r>
      <w:r w:rsidR="0046774E">
        <w:rPr>
          <w:rFonts w:cs="Arial" w:hint="cs"/>
          <w:rtl/>
        </w:rPr>
        <w:t>.</w:t>
      </w:r>
      <w:r w:rsidRPr="00540C4A">
        <w:rPr>
          <w:rFonts w:cs="Arial"/>
          <w:rtl/>
        </w:rPr>
        <w:t xml:space="preserve"> משמע מל' זה דאע"פ שהי' לה שעת הכושר ושוב נסתמה נפסלה למפרע וא"י לגרור הדבק דהוי חק תוכות</w:t>
      </w:r>
      <w:r w:rsidR="0046774E">
        <w:rPr>
          <w:rFonts w:cs="Arial" w:hint="cs"/>
          <w:rtl/>
        </w:rPr>
        <w:t>.</w:t>
      </w:r>
      <w:r w:rsidRPr="00540C4A">
        <w:rPr>
          <w:rFonts w:cs="Arial"/>
          <w:rtl/>
        </w:rPr>
        <w:t xml:space="preserve"> ועיין בג"פ סק</w:t>
      </w:r>
      <w:r w:rsidR="0046774E">
        <w:rPr>
          <w:rFonts w:cs="Arial" w:hint="cs"/>
          <w:rtl/>
        </w:rPr>
        <w:t>ל"ט</w:t>
      </w:r>
      <w:r w:rsidRPr="00540C4A">
        <w:rPr>
          <w:rFonts w:cs="Arial"/>
          <w:rtl/>
        </w:rPr>
        <w:t xml:space="preserve"> מ"ש בזה. ועמ"ש לעיל ריש סק"ו</w:t>
      </w:r>
      <w:r>
        <w:rPr>
          <w:rFonts w:cs="Arial" w:hint="cs"/>
          <w:rtl/>
        </w:rPr>
        <w:t xml:space="preserve">, </w:t>
      </w:r>
      <w:r w:rsidRPr="0046774E">
        <w:rPr>
          <w:rFonts w:cs="Arial" w:hint="cs"/>
          <w:b/>
          <w:bCs/>
          <w:rtl/>
        </w:rPr>
        <w:t>פת"ש</w:t>
      </w:r>
      <w:r>
        <w:rPr>
          <w:rFonts w:cs="Arial" w:hint="cs"/>
          <w:rtl/>
        </w:rPr>
        <w:t xml:space="preserve"> </w:t>
      </w:r>
      <w:r w:rsidRPr="0046774E">
        <w:rPr>
          <w:rFonts w:cs="Arial" w:hint="cs"/>
          <w:rtl/>
        </w:rPr>
        <w:t>(סקי"ח)</w:t>
      </w:r>
      <w:r>
        <w:rPr>
          <w:rFonts w:cs="Arial" w:hint="cs"/>
          <w:rtl/>
        </w:rPr>
        <w:t>.</w:t>
      </w:r>
      <w:r w:rsidR="0046774E" w:rsidRPr="0046774E">
        <w:rPr>
          <w:rFonts w:cs="Arial"/>
          <w:rtl/>
        </w:rPr>
        <w:t xml:space="preserve"> </w:t>
      </w:r>
      <w:r w:rsidR="0046774E">
        <w:rPr>
          <w:rFonts w:cs="Arial" w:hint="cs"/>
          <w:rtl/>
        </w:rPr>
        <w:t>ו</w:t>
      </w:r>
      <w:r w:rsidR="0046774E" w:rsidRPr="00540C4A">
        <w:rPr>
          <w:rFonts w:cs="Arial"/>
          <w:rtl/>
        </w:rPr>
        <w:t xml:space="preserve">עיין בס' ג"פ </w:t>
      </w:r>
      <w:r w:rsidR="0046774E">
        <w:rPr>
          <w:rFonts w:cs="Arial" w:hint="cs"/>
          <w:rtl/>
        </w:rPr>
        <w:t>(</w:t>
      </w:r>
      <w:r w:rsidR="0046774E" w:rsidRPr="00540C4A">
        <w:rPr>
          <w:rFonts w:cs="Arial"/>
          <w:rtl/>
        </w:rPr>
        <w:t>סקמ"ב</w:t>
      </w:r>
      <w:r w:rsidR="0046774E">
        <w:rPr>
          <w:rFonts w:cs="Arial" w:hint="cs"/>
          <w:rtl/>
        </w:rPr>
        <w:t>)</w:t>
      </w:r>
      <w:r w:rsidR="0046774E" w:rsidRPr="00540C4A">
        <w:rPr>
          <w:rFonts w:cs="Arial"/>
          <w:rtl/>
        </w:rPr>
        <w:t xml:space="preserve"> מה שכ' ב</w:t>
      </w:r>
      <w:r w:rsidR="0046774E">
        <w:rPr>
          <w:rFonts w:cs="Arial" w:hint="cs"/>
          <w:rtl/>
        </w:rPr>
        <w:t xml:space="preserve">עניין סע' </w:t>
      </w:r>
      <w:r w:rsidR="0046774E" w:rsidRPr="00540C4A">
        <w:rPr>
          <w:rFonts w:cs="Arial"/>
          <w:rtl/>
        </w:rPr>
        <w:t>זה</w:t>
      </w:r>
      <w:r w:rsidR="0046774E">
        <w:rPr>
          <w:rFonts w:cs="Arial" w:hint="cs"/>
          <w:rtl/>
        </w:rPr>
        <w:t>,</w:t>
      </w:r>
      <w:r w:rsidR="0046774E" w:rsidRPr="00540C4A">
        <w:rPr>
          <w:rFonts w:cs="Arial"/>
          <w:rtl/>
        </w:rPr>
        <w:t xml:space="preserve"> ומסיק </w:t>
      </w:r>
      <w:r w:rsidR="000A0F5A">
        <w:rPr>
          <w:rFonts w:cs="Arial"/>
          <w:rtl/>
        </w:rPr>
        <w:t>וז"ל:</w:t>
      </w:r>
      <w:r w:rsidR="0046774E" w:rsidRPr="00540C4A">
        <w:rPr>
          <w:rFonts w:cs="Arial"/>
          <w:rtl/>
        </w:rPr>
        <w:t xml:space="preserve"> ולענין הלכה יראה לי דאם כתב מם פתוחה במקום סתומ' או סתומה במקום פתוחה וכן שאר אותיות מנצפ"ך בתורף הגט הוא פסול ולא תנשא בו ובטופס בדיעבד יש להכשיר וכמ"ש הרמ"א לקמן סי"ו בכתב אל"ף למ"ד של ישראל ביחד כו' ואפי' בתורף אם יהי' עיגון גדול או בדיעבד שכבר נשאת אפשר דיש להקל כו' עכ"ל ע"ש</w:t>
      </w:r>
      <w:r w:rsidR="0046774E">
        <w:rPr>
          <w:rFonts w:cs="Arial" w:hint="cs"/>
          <w:rtl/>
        </w:rPr>
        <w:t xml:space="preserve">, </w:t>
      </w:r>
      <w:r w:rsidR="0046774E" w:rsidRPr="0046774E">
        <w:rPr>
          <w:rFonts w:cs="Arial" w:hint="cs"/>
          <w:b/>
          <w:bCs/>
          <w:rtl/>
        </w:rPr>
        <w:t>פת"ש</w:t>
      </w:r>
      <w:r w:rsidR="0046774E">
        <w:rPr>
          <w:rFonts w:cs="Arial" w:hint="cs"/>
          <w:rtl/>
        </w:rPr>
        <w:t xml:space="preserve"> (סקי"ט).</w:t>
      </w:r>
    </w:p>
  </w:footnote>
  <w:footnote w:id="562">
    <w:p w14:paraId="4969D93A" w14:textId="1FB8D128" w:rsidR="00DC0E97" w:rsidRDefault="00DC0E97">
      <w:pPr>
        <w:pStyle w:val="a5"/>
      </w:pPr>
      <w:r>
        <w:rPr>
          <w:rStyle w:val="a7"/>
        </w:rPr>
        <w:footnoteRef/>
      </w:r>
      <w:r>
        <w:rPr>
          <w:rtl/>
        </w:rPr>
        <w:t xml:space="preserve"> </w:t>
      </w:r>
      <w:r w:rsidR="00540C4A" w:rsidRPr="00540C4A">
        <w:rPr>
          <w:rFonts w:cs="Arial"/>
          <w:rtl/>
        </w:rPr>
        <w:t>כלומר שם מבואר דיש למחוק כל החרטום וא"צ למחוק כל המ"ם</w:t>
      </w:r>
      <w:r w:rsidR="00540C4A">
        <w:rPr>
          <w:rFonts w:cs="Arial" w:hint="cs"/>
          <w:rtl/>
        </w:rPr>
        <w:t>,</w:t>
      </w:r>
      <w:r w:rsidR="00540C4A" w:rsidRPr="00540C4A">
        <w:rPr>
          <w:rFonts w:cs="Arial"/>
          <w:rtl/>
        </w:rPr>
        <w:t xml:space="preserve"> ולא כהג</w:t>
      </w:r>
      <w:r w:rsidR="00540C4A">
        <w:rPr>
          <w:rFonts w:cs="Arial" w:hint="cs"/>
          <w:rtl/>
        </w:rPr>
        <w:t>ה"מ</w:t>
      </w:r>
      <w:r w:rsidR="00540C4A" w:rsidRPr="00540C4A">
        <w:rPr>
          <w:rFonts w:cs="Arial"/>
          <w:rtl/>
        </w:rPr>
        <w:t xml:space="preserve"> שהביא בד"מ דס"ל דיש למחוק כל המ"ם</w:t>
      </w:r>
      <w:r w:rsidR="00540C4A">
        <w:rPr>
          <w:rFonts w:cs="Arial" w:hint="cs"/>
          <w:rtl/>
        </w:rPr>
        <w:t>.</w:t>
      </w:r>
      <w:r w:rsidR="00540C4A" w:rsidRPr="00540C4A">
        <w:rPr>
          <w:rFonts w:cs="Arial"/>
          <w:rtl/>
        </w:rPr>
        <w:t xml:space="preserve"> ונ</w:t>
      </w:r>
      <w:r w:rsidR="00540C4A">
        <w:rPr>
          <w:rFonts w:cs="Arial" w:hint="cs"/>
          <w:rtl/>
        </w:rPr>
        <w:t xml:space="preserve">פקא </w:t>
      </w:r>
      <w:r w:rsidR="00540C4A" w:rsidRPr="00540C4A">
        <w:rPr>
          <w:rFonts w:cs="Arial"/>
          <w:rtl/>
        </w:rPr>
        <w:t>מ</w:t>
      </w:r>
      <w:r w:rsidR="00540C4A">
        <w:rPr>
          <w:rFonts w:cs="Arial" w:hint="cs"/>
          <w:rtl/>
        </w:rPr>
        <w:t>ינה</w:t>
      </w:r>
      <w:r w:rsidR="00540C4A" w:rsidRPr="00540C4A">
        <w:rPr>
          <w:rFonts w:cs="Arial"/>
          <w:rtl/>
        </w:rPr>
        <w:t xml:space="preserve"> במקום הדחק </w:t>
      </w:r>
      <w:r w:rsidR="00540C4A">
        <w:rPr>
          <w:rFonts w:cs="Arial" w:hint="cs"/>
          <w:rtl/>
        </w:rPr>
        <w:t>ד</w:t>
      </w:r>
      <w:r w:rsidR="00540C4A" w:rsidRPr="00540C4A">
        <w:rPr>
          <w:rFonts w:cs="Arial"/>
          <w:rtl/>
        </w:rPr>
        <w:t xml:space="preserve">אם נמחק </w:t>
      </w:r>
      <w:r w:rsidR="00540C4A">
        <w:rPr>
          <w:rFonts w:cs="Arial" w:hint="cs"/>
          <w:sz w:val="16"/>
          <w:szCs w:val="16"/>
          <w:rtl/>
        </w:rPr>
        <w:t xml:space="preserve">{אנחנו את} </w:t>
      </w:r>
      <w:r w:rsidR="00540C4A" w:rsidRPr="00540C4A">
        <w:rPr>
          <w:rFonts w:cs="Arial"/>
          <w:rtl/>
        </w:rPr>
        <w:t>החרטו</w:t>
      </w:r>
      <w:r w:rsidR="00540C4A">
        <w:rPr>
          <w:rFonts w:cs="Arial" w:hint="cs"/>
          <w:rtl/>
        </w:rPr>
        <w:t>ם</w:t>
      </w:r>
      <w:r w:rsidR="00540C4A" w:rsidRPr="00540C4A">
        <w:rPr>
          <w:rFonts w:cs="Arial"/>
          <w:rtl/>
        </w:rPr>
        <w:t xml:space="preserve"> לבד כשר אע</w:t>
      </w:r>
      <w:r w:rsidR="00540C4A">
        <w:rPr>
          <w:rFonts w:cs="Arial" w:hint="cs"/>
          <w:rtl/>
        </w:rPr>
        <w:t>"</w:t>
      </w:r>
      <w:r w:rsidR="00540C4A" w:rsidRPr="00540C4A">
        <w:rPr>
          <w:rFonts w:cs="Arial"/>
          <w:rtl/>
        </w:rPr>
        <w:t>ג דיש ליזהר שלא יהיה שום מחק וטשטוש</w:t>
      </w:r>
      <w:r w:rsidR="00540C4A">
        <w:rPr>
          <w:rFonts w:cs="Arial" w:hint="cs"/>
          <w:rtl/>
        </w:rPr>
        <w:t>,</w:t>
      </w:r>
      <w:r w:rsidR="00540C4A" w:rsidRPr="00540C4A">
        <w:rPr>
          <w:rFonts w:cs="Arial"/>
          <w:rtl/>
        </w:rPr>
        <w:t xml:space="preserve"> מ"מ במקום הדחק כשר כמ"ש בסמוך</w:t>
      </w:r>
      <w:r w:rsidR="00540C4A">
        <w:rPr>
          <w:rFonts w:cs="Arial" w:hint="cs"/>
          <w:rtl/>
        </w:rPr>
        <w:t xml:space="preserve"> (סקי"א).</w:t>
      </w:r>
      <w:r w:rsidR="00540C4A" w:rsidRPr="00540C4A">
        <w:rPr>
          <w:rFonts w:cs="Arial"/>
          <w:rtl/>
        </w:rPr>
        <w:t xml:space="preserve"> גם בזה החמיר בסדר מהר"מ בתורף אפילו במקום עיגון</w:t>
      </w:r>
      <w:r>
        <w:rPr>
          <w:rFonts w:cs="Arial" w:hint="cs"/>
          <w:rtl/>
        </w:rPr>
        <w:t>, ח"מ (סקי"ג).</w:t>
      </w:r>
    </w:p>
  </w:footnote>
  <w:footnote w:id="563">
    <w:p w14:paraId="00A7C29A" w14:textId="75B9AC34" w:rsidR="00C530BD" w:rsidRDefault="00C530BD" w:rsidP="00C530BD">
      <w:pPr>
        <w:pStyle w:val="a5"/>
        <w:rPr>
          <w:rtl/>
        </w:rPr>
      </w:pPr>
      <w:r>
        <w:rPr>
          <w:rStyle w:val="a7"/>
        </w:rPr>
        <w:footnoteRef/>
      </w:r>
      <w:r>
        <w:rPr>
          <w:rtl/>
        </w:rPr>
        <w:t xml:space="preserve"> </w:t>
      </w:r>
      <w:r w:rsidRPr="001626F4">
        <w:rPr>
          <w:rFonts w:cs="Arial"/>
          <w:rtl/>
        </w:rPr>
        <w:t>מיהו אם לא שרטטו כשר</w:t>
      </w:r>
      <w:r w:rsidR="0090693F">
        <w:rPr>
          <w:rFonts w:cs="Arial" w:hint="cs"/>
          <w:rtl/>
        </w:rPr>
        <w:t>,</w:t>
      </w:r>
      <w:r w:rsidRPr="001626F4">
        <w:rPr>
          <w:rFonts w:cs="Arial"/>
          <w:rtl/>
        </w:rPr>
        <w:t xml:space="preserve"> וכ</w:t>
      </w:r>
      <w:r w:rsidR="0090693F">
        <w:rPr>
          <w:rFonts w:cs="Arial" w:hint="cs"/>
          <w:rtl/>
        </w:rPr>
        <w:t>"</w:t>
      </w:r>
      <w:r w:rsidRPr="001626F4">
        <w:rPr>
          <w:rFonts w:cs="Arial"/>
          <w:rtl/>
        </w:rPr>
        <w:t xml:space="preserve">כ הרשב"א </w:t>
      </w:r>
      <w:r w:rsidR="0090693F">
        <w:rPr>
          <w:rFonts w:cs="Arial" w:hint="cs"/>
          <w:rtl/>
        </w:rPr>
        <w:t>(</w:t>
      </w:r>
      <w:r w:rsidRPr="001626F4">
        <w:rPr>
          <w:rFonts w:cs="Arial"/>
          <w:rtl/>
        </w:rPr>
        <w:t>סי</w:t>
      </w:r>
      <w:r w:rsidR="0090693F">
        <w:rPr>
          <w:rFonts w:cs="Arial" w:hint="cs"/>
          <w:rtl/>
        </w:rPr>
        <w:t>'</w:t>
      </w:r>
      <w:r w:rsidRPr="001626F4">
        <w:rPr>
          <w:rFonts w:cs="Arial"/>
          <w:rtl/>
        </w:rPr>
        <w:t xml:space="preserve"> אלף ר"</w:t>
      </w:r>
      <w:r w:rsidR="0090693F">
        <w:rPr>
          <w:rFonts w:cs="Arial" w:hint="cs"/>
          <w:rtl/>
        </w:rPr>
        <w:t>כ)</w:t>
      </w:r>
      <w:r w:rsidR="001573A7">
        <w:rPr>
          <w:rFonts w:cs="Arial" w:hint="cs"/>
          <w:rtl/>
        </w:rPr>
        <w:t>, דרכ"מ (אות ט).</w:t>
      </w:r>
    </w:p>
  </w:footnote>
  <w:footnote w:id="564">
    <w:p w14:paraId="38A37442" w14:textId="03116429" w:rsidR="00C1758A" w:rsidRDefault="00C1758A">
      <w:pPr>
        <w:pStyle w:val="a5"/>
        <w:rPr>
          <w:rtl/>
        </w:rPr>
      </w:pPr>
      <w:r>
        <w:rPr>
          <w:rStyle w:val="a7"/>
        </w:rPr>
        <w:footnoteRef/>
      </w:r>
      <w:r>
        <w:rPr>
          <w:rtl/>
        </w:rPr>
        <w:t xml:space="preserve"> </w:t>
      </w:r>
      <w:r w:rsidRPr="00C1758A">
        <w:rPr>
          <w:rFonts w:cs="Arial"/>
          <w:rtl/>
        </w:rPr>
        <w:t>נראה דרב האי נתכוין למה שכתב ספר התרומה (סי' קיב) וזה לשונו ויש אומרים משום דכתיב (בראשית ה א) זה ספר תולדות אדם ודרשינן במדרש (ב"ר פרשה כד סי' ז) אפילו סרגול הספר נאמר לאדם הראשון וגט נמי נקרא ספר</w:t>
      </w:r>
      <w:r>
        <w:rPr>
          <w:rFonts w:hint="cs"/>
          <w:rtl/>
        </w:rPr>
        <w:t>, ב"ח (אות ז).</w:t>
      </w:r>
    </w:p>
  </w:footnote>
  <w:footnote w:id="565">
    <w:p w14:paraId="73DF664B" w14:textId="16E70023" w:rsidR="00073279" w:rsidRDefault="0007327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073279">
        <w:rPr>
          <w:rFonts w:cs="Arial"/>
          <w:rtl/>
        </w:rPr>
        <w:t>וצריך לחתוך הקלף קודם הכתיבה ולשרטט בברזל ולא באבר</w:t>
      </w:r>
      <w:r>
        <w:rPr>
          <w:rFonts w:cs="Arial" w:hint="cs"/>
          <w:rtl/>
        </w:rPr>
        <w:t>.</w:t>
      </w:r>
    </w:p>
  </w:footnote>
  <w:footnote w:id="566">
    <w:p w14:paraId="6CBA5956" w14:textId="2ECC8045" w:rsidR="00073279" w:rsidRDefault="00073279">
      <w:pPr>
        <w:pStyle w:val="a5"/>
      </w:pPr>
      <w:r>
        <w:rPr>
          <w:rStyle w:val="a7"/>
        </w:rPr>
        <w:footnoteRef/>
      </w:r>
      <w:r>
        <w:rPr>
          <w:rtl/>
        </w:rPr>
        <w:t xml:space="preserve"> </w:t>
      </w:r>
      <w:r>
        <w:rPr>
          <w:rFonts w:cs="Arial" w:hint="cs"/>
          <w:rtl/>
        </w:rPr>
        <w:t>וכ"כ ב</w:t>
      </w:r>
      <w:r w:rsidRPr="00AA766B">
        <w:rPr>
          <w:rFonts w:cs="Arial"/>
          <w:rtl/>
        </w:rPr>
        <w:t xml:space="preserve">סדר גיטין </w:t>
      </w:r>
      <w:r w:rsidRPr="00C530BD">
        <w:rPr>
          <w:rFonts w:cs="Arial"/>
          <w:sz w:val="16"/>
          <w:szCs w:val="16"/>
          <w:rtl/>
        </w:rPr>
        <w:t>(סי' ד ס"ב</w:t>
      </w:r>
      <w:r w:rsidRPr="00C530BD">
        <w:rPr>
          <w:rFonts w:cs="Arial" w:hint="cs"/>
          <w:sz w:val="16"/>
          <w:szCs w:val="16"/>
          <w:rtl/>
        </w:rPr>
        <w:t>, כ"כ הדרכ"מ [אות י*] בשמו</w:t>
      </w:r>
      <w:r w:rsidRPr="00C530BD">
        <w:rPr>
          <w:rFonts w:cs="Arial"/>
          <w:sz w:val="16"/>
          <w:szCs w:val="16"/>
          <w:rtl/>
        </w:rPr>
        <w:t>)</w:t>
      </w:r>
      <w:r>
        <w:rPr>
          <w:rFonts w:cs="Arial" w:hint="cs"/>
          <w:rtl/>
        </w:rPr>
        <w:t xml:space="preserve">- </w:t>
      </w:r>
      <w:r w:rsidRPr="00AA766B">
        <w:rPr>
          <w:rFonts w:cs="Arial"/>
          <w:rtl/>
        </w:rPr>
        <w:t>יסרגל בקנה כמו בספר תורה</w:t>
      </w:r>
      <w:r>
        <w:rPr>
          <w:rFonts w:cs="Arial" w:hint="cs"/>
          <w:rtl/>
        </w:rPr>
        <w:t>.</w:t>
      </w:r>
    </w:p>
  </w:footnote>
  <w:footnote w:id="567">
    <w:p w14:paraId="6899F10D" w14:textId="4DD27279" w:rsidR="00073279" w:rsidRDefault="00073279">
      <w:pPr>
        <w:pStyle w:val="a5"/>
        <w:rPr>
          <w:rtl/>
        </w:rPr>
      </w:pPr>
      <w:r>
        <w:rPr>
          <w:rStyle w:val="a7"/>
        </w:rPr>
        <w:footnoteRef/>
      </w:r>
      <w:r>
        <w:rPr>
          <w:rtl/>
        </w:rPr>
        <w:t xml:space="preserve"> </w:t>
      </w:r>
      <w:r w:rsidRPr="0046774E">
        <w:rPr>
          <w:rFonts w:cs="Arial"/>
          <w:rtl/>
        </w:rPr>
        <w:t xml:space="preserve">ונראה לי שאם שרטטו בעופרת לא מיפסל בהכי משום כתב שעל גבי כתב </w:t>
      </w:r>
      <w:r w:rsidRPr="00DF5FDD">
        <w:rPr>
          <w:rFonts w:cs="Arial" w:hint="cs"/>
          <w:sz w:val="16"/>
          <w:szCs w:val="16"/>
          <w:rtl/>
        </w:rPr>
        <w:t>(</w:t>
      </w:r>
      <w:r w:rsidRPr="00DF5FDD">
        <w:rPr>
          <w:rFonts w:cs="Arial"/>
          <w:sz w:val="16"/>
          <w:szCs w:val="16"/>
          <w:rtl/>
        </w:rPr>
        <w:t>כדמשמע בפ</w:t>
      </w:r>
      <w:r w:rsidRPr="00DF5FDD">
        <w:rPr>
          <w:rFonts w:cs="Arial" w:hint="cs"/>
          <w:sz w:val="16"/>
          <w:szCs w:val="16"/>
          <w:rtl/>
        </w:rPr>
        <w:t>"</w:t>
      </w:r>
      <w:r w:rsidRPr="00DF5FDD">
        <w:rPr>
          <w:rFonts w:cs="Arial"/>
          <w:sz w:val="16"/>
          <w:szCs w:val="16"/>
          <w:rtl/>
        </w:rPr>
        <w:t>ב דגיטין (יט.) גבי עדים שאין יודעים לחתום דאמר שמואל רושמין להם באבר</w:t>
      </w:r>
      <w:r w:rsidR="007D047A">
        <w:rPr>
          <w:rFonts w:cs="Arial" w:hint="cs"/>
          <w:sz w:val="16"/>
          <w:szCs w:val="16"/>
          <w:rtl/>
        </w:rPr>
        <w:t>.</w:t>
      </w:r>
      <w:r w:rsidRPr="00DF5FDD">
        <w:rPr>
          <w:rFonts w:cs="Arial"/>
          <w:sz w:val="16"/>
          <w:szCs w:val="16"/>
          <w:rtl/>
        </w:rPr>
        <w:t xml:space="preserve"> ואע</w:t>
      </w:r>
      <w:r w:rsidR="007D047A">
        <w:rPr>
          <w:rFonts w:cs="Arial" w:hint="cs"/>
          <w:sz w:val="16"/>
          <w:szCs w:val="16"/>
          <w:rtl/>
        </w:rPr>
        <w:t>"</w:t>
      </w:r>
      <w:r w:rsidRPr="00DF5FDD">
        <w:rPr>
          <w:rFonts w:cs="Arial"/>
          <w:sz w:val="16"/>
          <w:szCs w:val="16"/>
          <w:rtl/>
        </w:rPr>
        <w:t>ג דאמרינן דרב אמר מקרעין להם נייר חלק ורבי אבהו אמר במי מילין ורב פפא אמר ברוק</w:t>
      </w:r>
      <w:r w:rsidR="007D047A">
        <w:rPr>
          <w:rFonts w:cs="Arial" w:hint="cs"/>
          <w:sz w:val="16"/>
          <w:szCs w:val="16"/>
          <w:rtl/>
        </w:rPr>
        <w:t>,</w:t>
      </w:r>
      <w:r w:rsidRPr="00DF5FDD">
        <w:rPr>
          <w:rFonts w:cs="Arial"/>
          <w:sz w:val="16"/>
          <w:szCs w:val="16"/>
          <w:rtl/>
        </w:rPr>
        <w:t xml:space="preserve"> לאו משום דפליגי אדשמואל אלא כל חד נקט גוונא דמתחזיא ליה שפיר טפי</w:t>
      </w:r>
      <w:r>
        <w:rPr>
          <w:rFonts w:cs="Arial" w:hint="cs"/>
          <w:sz w:val="16"/>
          <w:szCs w:val="16"/>
          <w:rtl/>
        </w:rPr>
        <w:t>)</w:t>
      </w:r>
      <w:r w:rsidRPr="0046774E">
        <w:rPr>
          <w:rFonts w:cs="Arial"/>
          <w:rtl/>
        </w:rPr>
        <w:t>. מיהו כבר כתבתי בסימן זה (בריש הסי') שזה דעת הרא"ש ורבינו</w:t>
      </w:r>
      <w:r>
        <w:rPr>
          <w:rFonts w:cs="Arial" w:hint="cs"/>
          <w:rtl/>
        </w:rPr>
        <w:t>,</w:t>
      </w:r>
      <w:r w:rsidRPr="0046774E">
        <w:rPr>
          <w:rFonts w:cs="Arial"/>
          <w:rtl/>
        </w:rPr>
        <w:t xml:space="preserve"> ושאין נראה כן מדברי הרי"ף והרמב"ם אלא דאפילו באברא גופיה מיקרי כתיבה ואם כן לדידהו הכי נמי אם שרטט באבר לאו כלום הוא דהוי כמו שרטט בדיותא דפסל בעל הלכות גדולות</w:t>
      </w:r>
      <w:r>
        <w:rPr>
          <w:rFonts w:cs="Arial" w:hint="cs"/>
          <w:rtl/>
        </w:rPr>
        <w:t>, ב"י.</w:t>
      </w:r>
      <w:r w:rsidR="0090693F">
        <w:rPr>
          <w:rFonts w:hint="cs"/>
          <w:rtl/>
        </w:rPr>
        <w:t xml:space="preserve"> </w:t>
      </w:r>
      <w:r w:rsidR="0090693F" w:rsidRPr="0090693F">
        <w:rPr>
          <w:rFonts w:hint="cs"/>
          <w:color w:val="E36C0A" w:themeColor="accent6" w:themeShade="BF"/>
          <w:rtl/>
        </w:rPr>
        <w:t>(וכ"פ בשו"ע)</w:t>
      </w:r>
    </w:p>
  </w:footnote>
  <w:footnote w:id="568">
    <w:p w14:paraId="67AF80F9" w14:textId="058F01F4" w:rsidR="0090693F" w:rsidRDefault="0090693F">
      <w:pPr>
        <w:pStyle w:val="a5"/>
      </w:pPr>
      <w:r>
        <w:rPr>
          <w:rStyle w:val="a7"/>
        </w:rPr>
        <w:footnoteRef/>
      </w:r>
      <w:r>
        <w:rPr>
          <w:rtl/>
        </w:rPr>
        <w:t xml:space="preserve"> </w:t>
      </w:r>
      <w:r w:rsidRPr="0090693F">
        <w:rPr>
          <w:rFonts w:cs="Arial"/>
          <w:rtl/>
        </w:rPr>
        <w:t>אף על פי שהשרטוט מבחוץ כמו שיתבאר בסמוך בהג"ה סעיף י"ב אפ"ה נראה מבפנים צבע האבר אבל בברזל או בקנה אין נראה כשמשרטטין מבחוץ</w:t>
      </w:r>
      <w:r>
        <w:rPr>
          <w:rFonts w:cs="Arial" w:hint="cs"/>
          <w:rtl/>
        </w:rPr>
        <w:t>, ח"מ (סקי"ט).</w:t>
      </w:r>
    </w:p>
  </w:footnote>
  <w:footnote w:id="569">
    <w:p w14:paraId="4A557E41" w14:textId="7DACBAA3" w:rsidR="007D047A" w:rsidRDefault="007D047A">
      <w:pPr>
        <w:pStyle w:val="a5"/>
        <w:rPr>
          <w:rtl/>
        </w:rPr>
      </w:pPr>
      <w:r>
        <w:rPr>
          <w:rStyle w:val="a7"/>
        </w:rPr>
        <w:footnoteRef/>
      </w:r>
      <w:r>
        <w:rPr>
          <w:rtl/>
        </w:rPr>
        <w:t xml:space="preserve"> </w:t>
      </w:r>
      <w:r w:rsidRPr="007D047A">
        <w:rPr>
          <w:rFonts w:cs="Arial"/>
          <w:rtl/>
        </w:rPr>
        <w:t xml:space="preserve">וכעת ראיתי בס' ג"פ </w:t>
      </w:r>
      <w:r>
        <w:rPr>
          <w:rFonts w:cs="Arial" w:hint="cs"/>
          <w:rtl/>
        </w:rPr>
        <w:t>(</w:t>
      </w:r>
      <w:r w:rsidRPr="007D047A">
        <w:rPr>
          <w:rFonts w:cs="Arial"/>
          <w:rtl/>
        </w:rPr>
        <w:t>סקמ"ד</w:t>
      </w:r>
      <w:r>
        <w:rPr>
          <w:rFonts w:cs="Arial" w:hint="cs"/>
          <w:rtl/>
        </w:rPr>
        <w:t>)</w:t>
      </w:r>
      <w:r w:rsidRPr="007D047A">
        <w:rPr>
          <w:rFonts w:cs="Arial"/>
          <w:rtl/>
        </w:rPr>
        <w:t xml:space="preserve"> כ' ג"כ דנתפשט המנהג (במקומו) שכופלין הנייר במקום שרטוט. וצריך שגומת חריץ הכפל תהי' לצד חוץ ויכתוב הגט בצד גובה הכפל ע"ש</w:t>
      </w:r>
      <w:r>
        <w:rPr>
          <w:rFonts w:hint="cs"/>
          <w:rtl/>
        </w:rPr>
        <w:t>, פת"ש (סק"כ).</w:t>
      </w:r>
    </w:p>
  </w:footnote>
  <w:footnote w:id="570">
    <w:p w14:paraId="554D8371" w14:textId="22FB5BE8" w:rsidR="008216D8" w:rsidRDefault="008216D8">
      <w:pPr>
        <w:pStyle w:val="a5"/>
        <w:rPr>
          <w:rtl/>
        </w:rPr>
      </w:pPr>
      <w:r>
        <w:rPr>
          <w:rStyle w:val="a7"/>
        </w:rPr>
        <w:footnoteRef/>
      </w:r>
      <w:r>
        <w:rPr>
          <w:rtl/>
        </w:rPr>
        <w:t xml:space="preserve"> </w:t>
      </w:r>
      <w:r w:rsidRPr="008216D8">
        <w:rPr>
          <w:rFonts w:cs="Arial"/>
          <w:rtl/>
        </w:rPr>
        <w:t>ור"י שמע בשם רב האי גאון ובשם רבינו סעדיה משום דכתיב ספר כריתות כשיעור י"ב שיטין המפסיקין בין ארבעה חומשי ספר תורה כדאמר בבבא בתרא (דף יג:) שצריך להניח ארבעה שיטין בין כל ספר וספר והפסק שבין וידבר למשנה תורה לא חשיב שאינו אלא חוזר ושונה מה שלמעלה</w:t>
      </w:r>
      <w:r>
        <w:rPr>
          <w:rFonts w:hint="cs"/>
          <w:rtl/>
        </w:rPr>
        <w:t>, תוס' (גיטין ב. ד"ה המביא).</w:t>
      </w:r>
    </w:p>
  </w:footnote>
  <w:footnote w:id="571">
    <w:p w14:paraId="51A64AEC" w14:textId="5755ECB5" w:rsidR="001573A7" w:rsidRPr="00CB1290" w:rsidRDefault="001573A7" w:rsidP="001573A7">
      <w:pPr>
        <w:pStyle w:val="a5"/>
        <w:rPr>
          <w:rtl/>
        </w:rPr>
      </w:pPr>
      <w:r>
        <w:rPr>
          <w:rStyle w:val="a7"/>
        </w:rPr>
        <w:footnoteRef/>
      </w:r>
      <w:r>
        <w:rPr>
          <w:rtl/>
        </w:rPr>
        <w:t xml:space="preserve"> </w:t>
      </w:r>
      <w:r>
        <w:rPr>
          <w:rFonts w:cs="Arial"/>
          <w:rtl/>
        </w:rPr>
        <w:t>וכן אנו נוהגין</w:t>
      </w:r>
      <w:r>
        <w:rPr>
          <w:rFonts w:hint="cs"/>
          <w:rtl/>
        </w:rPr>
        <w:t xml:space="preserve">, </w:t>
      </w:r>
      <w:r w:rsidRPr="00A75F26">
        <w:rPr>
          <w:rFonts w:hint="cs"/>
          <w:b/>
          <w:bCs/>
          <w:rtl/>
        </w:rPr>
        <w:t>ב"י</w:t>
      </w:r>
      <w:r>
        <w:rPr>
          <w:rFonts w:hint="cs"/>
          <w:rtl/>
        </w:rPr>
        <w:t>.</w:t>
      </w:r>
      <w:r w:rsidR="00A75F26" w:rsidRPr="00A75F26">
        <w:rPr>
          <w:rFonts w:cs="Arial"/>
          <w:rtl/>
        </w:rPr>
        <w:t xml:space="preserve"> </w:t>
      </w:r>
      <w:r w:rsidR="00A75F26" w:rsidRPr="00AA766B">
        <w:rPr>
          <w:rFonts w:cs="Arial"/>
          <w:rtl/>
        </w:rPr>
        <w:t>ואותן ב' שורות יהיו רחבים כמו שורה אחת של הגט</w:t>
      </w:r>
      <w:r w:rsidR="00CB1290">
        <w:rPr>
          <w:rFonts w:cs="Arial" w:hint="cs"/>
          <w:sz w:val="16"/>
          <w:szCs w:val="16"/>
          <w:rtl/>
        </w:rPr>
        <w:t xml:space="preserve"> {היינו אם שורה של גט רחבה 10 ס"מ, אז השרטוט של העדים יהיה כל אחד 5 ס"מ זה תחת זה}</w:t>
      </w:r>
      <w:r w:rsidR="00A75F26">
        <w:rPr>
          <w:rFonts w:cs="Arial" w:hint="cs"/>
          <w:rtl/>
        </w:rPr>
        <w:t>,</w:t>
      </w:r>
      <w:r w:rsidR="00A75F26" w:rsidRPr="00AA766B">
        <w:rPr>
          <w:rFonts w:cs="Arial"/>
          <w:rtl/>
        </w:rPr>
        <w:t xml:space="preserve"> דכל מה שאנו יכולין לקרב העדים אצל הגט אנו עושים</w:t>
      </w:r>
      <w:r w:rsidR="00CB1290">
        <w:rPr>
          <w:rFonts w:hint="cs"/>
          <w:rtl/>
        </w:rPr>
        <w:t xml:space="preserve">, </w:t>
      </w:r>
      <w:r w:rsidR="00CB1290" w:rsidRPr="00AA766B">
        <w:rPr>
          <w:rFonts w:cs="Arial"/>
          <w:rtl/>
        </w:rPr>
        <w:t>סדר הגט</w:t>
      </w:r>
      <w:r w:rsidR="00CB1290" w:rsidRPr="001573A7">
        <w:rPr>
          <w:rFonts w:cs="Arial"/>
          <w:sz w:val="16"/>
          <w:szCs w:val="16"/>
          <w:rtl/>
        </w:rPr>
        <w:t xml:space="preserve"> </w:t>
      </w:r>
      <w:r w:rsidR="00CB1290" w:rsidRPr="001573A7">
        <w:rPr>
          <w:rFonts w:cs="Arial" w:hint="cs"/>
          <w:sz w:val="16"/>
          <w:szCs w:val="16"/>
          <w:rtl/>
        </w:rPr>
        <w:t>(</w:t>
      </w:r>
      <w:r w:rsidR="00CB1290" w:rsidRPr="001573A7">
        <w:rPr>
          <w:rFonts w:cs="Arial"/>
          <w:sz w:val="16"/>
          <w:szCs w:val="16"/>
          <w:rtl/>
        </w:rPr>
        <w:t>שם סעיף ג</w:t>
      </w:r>
      <w:r w:rsidR="00CB1290" w:rsidRPr="001573A7">
        <w:rPr>
          <w:rFonts w:cs="Arial" w:hint="cs"/>
          <w:sz w:val="16"/>
          <w:szCs w:val="16"/>
          <w:rtl/>
        </w:rPr>
        <w:t>, כ"כ בשמו הדרכ"מ [אות יב]</w:t>
      </w:r>
      <w:r w:rsidR="00CB1290" w:rsidRPr="001573A7">
        <w:rPr>
          <w:rFonts w:cs="Arial"/>
          <w:sz w:val="16"/>
          <w:szCs w:val="16"/>
          <w:rtl/>
        </w:rPr>
        <w:t>)</w:t>
      </w:r>
      <w:r w:rsidR="00CB1290">
        <w:rPr>
          <w:rFonts w:cs="Arial" w:hint="cs"/>
          <w:rtl/>
        </w:rPr>
        <w:t>.</w:t>
      </w:r>
    </w:p>
  </w:footnote>
  <w:footnote w:id="572">
    <w:p w14:paraId="70A0C759" w14:textId="60BA32FE" w:rsidR="00AA766B" w:rsidRDefault="00AA766B">
      <w:pPr>
        <w:pStyle w:val="a5"/>
        <w:rPr>
          <w:rtl/>
        </w:rPr>
      </w:pPr>
      <w:r>
        <w:rPr>
          <w:rStyle w:val="a7"/>
        </w:rPr>
        <w:footnoteRef/>
      </w:r>
      <w:r>
        <w:rPr>
          <w:rtl/>
        </w:rPr>
        <w:t xml:space="preserve"> </w:t>
      </w:r>
      <w:r w:rsidRPr="00AA766B">
        <w:rPr>
          <w:rFonts w:cs="Arial"/>
          <w:rtl/>
        </w:rPr>
        <w:t>וכן הוא בסדר הגט שלנו (סי' ד סעיף ג)</w:t>
      </w:r>
      <w:r w:rsidR="008B0BDF">
        <w:rPr>
          <w:rFonts w:cs="Arial" w:hint="cs"/>
          <w:rtl/>
        </w:rPr>
        <w:t>, דרכ"מ (אות י).</w:t>
      </w:r>
    </w:p>
  </w:footnote>
  <w:footnote w:id="573">
    <w:p w14:paraId="1B20856B" w14:textId="77777777" w:rsidR="00CB1290" w:rsidRDefault="00CB1290" w:rsidP="00CB1290">
      <w:pPr>
        <w:pStyle w:val="a5"/>
      </w:pPr>
      <w:r>
        <w:rPr>
          <w:rStyle w:val="a7"/>
        </w:rPr>
        <w:footnoteRef/>
      </w:r>
      <w:r>
        <w:rPr>
          <w:rtl/>
        </w:rPr>
        <w:t xml:space="preserve"> </w:t>
      </w:r>
      <w:r w:rsidRPr="00AA766B">
        <w:rPr>
          <w:rFonts w:cs="Arial"/>
          <w:rtl/>
        </w:rPr>
        <w:t>וכתב עוד (שם) בשם מהרי"ל והסופר יזהר להתחיל סמוך לשרטוט שבצדדין ולא יגע הכתיבה בשרטוטין עכ"ל</w:t>
      </w:r>
      <w:r>
        <w:rPr>
          <w:rFonts w:cs="Arial" w:hint="cs"/>
          <w:rtl/>
        </w:rPr>
        <w:t>, דרכ"מ (אות יא).</w:t>
      </w:r>
    </w:p>
  </w:footnote>
  <w:footnote w:id="574">
    <w:p w14:paraId="6BF4E85E" w14:textId="4F6D8303" w:rsidR="001573A7" w:rsidRDefault="001573A7" w:rsidP="001573A7">
      <w:pPr>
        <w:pStyle w:val="a5"/>
      </w:pPr>
      <w:r>
        <w:rPr>
          <w:rStyle w:val="a7"/>
        </w:rPr>
        <w:footnoteRef/>
      </w:r>
      <w:r>
        <w:rPr>
          <w:rtl/>
        </w:rPr>
        <w:t xml:space="preserve"> </w:t>
      </w:r>
      <w:r w:rsidRPr="00AA766B">
        <w:rPr>
          <w:rFonts w:cs="Arial"/>
          <w:rtl/>
        </w:rPr>
        <w:t>וכן הוא בסדר גיטין שלנו (שם) ויסרגל מבחוץ לצד השער ולא מצד הכתיבה לצד הבשר</w:t>
      </w:r>
      <w:r>
        <w:rPr>
          <w:rFonts w:cs="Arial" w:hint="cs"/>
          <w:rtl/>
        </w:rPr>
        <w:t>, דרכ"מ (אות יא).</w:t>
      </w:r>
    </w:p>
  </w:footnote>
  <w:footnote w:id="575">
    <w:p w14:paraId="723BAA7D" w14:textId="75230BC9" w:rsidR="001573A7" w:rsidRDefault="001573A7">
      <w:pPr>
        <w:pStyle w:val="a5"/>
      </w:pPr>
      <w:r>
        <w:rPr>
          <w:rStyle w:val="a7"/>
        </w:rPr>
        <w:footnoteRef/>
      </w:r>
      <w:r>
        <w:rPr>
          <w:rtl/>
        </w:rPr>
        <w:t xml:space="preserve"> </w:t>
      </w:r>
      <w:r w:rsidRPr="001573A7">
        <w:rPr>
          <w:rFonts w:cs="Arial"/>
          <w:rtl/>
        </w:rPr>
        <w:t>וכן משמע מדברי המרדכי ריש גיטין (סי' שיד)</w:t>
      </w:r>
      <w:r w:rsidRPr="001573A7">
        <w:rPr>
          <w:rFonts w:cs="Arial" w:hint="cs"/>
          <w:rtl/>
        </w:rPr>
        <w:t>, דרכ"מ (אות ט)</w:t>
      </w:r>
      <w:r w:rsidRPr="001573A7">
        <w:rPr>
          <w:rFonts w:cs="Arial"/>
          <w:rtl/>
        </w:rPr>
        <w:t>.</w:t>
      </w:r>
    </w:p>
  </w:footnote>
  <w:footnote w:id="576">
    <w:p w14:paraId="42098311" w14:textId="5B07B5DD" w:rsidR="00C9755E" w:rsidRDefault="00C9755E">
      <w:pPr>
        <w:pStyle w:val="a5"/>
      </w:pPr>
      <w:r>
        <w:rPr>
          <w:rStyle w:val="a7"/>
        </w:rPr>
        <w:footnoteRef/>
      </w:r>
      <w:r>
        <w:rPr>
          <w:rtl/>
        </w:rPr>
        <w:t xml:space="preserve"> </w:t>
      </w:r>
      <w:r w:rsidRPr="00C9755E">
        <w:rPr>
          <w:rFonts w:cs="Arial"/>
          <w:rtl/>
        </w:rPr>
        <w:t>הטעם שלא יפסיק השרטוט בין כתיבה לנתינה והוי כמו קציצ' דילפינן מקרא דלא תפסיק הקציצה בין כתיבה לנתינה וכמו שנתבאר בסי' הקודם</w:t>
      </w:r>
      <w:r>
        <w:rPr>
          <w:rFonts w:cs="Arial" w:hint="cs"/>
          <w:rtl/>
        </w:rPr>
        <w:t xml:space="preserve">, </w:t>
      </w:r>
      <w:r w:rsidRPr="00C9755E">
        <w:rPr>
          <w:rFonts w:cs="Arial" w:hint="cs"/>
          <w:b/>
          <w:bCs/>
          <w:rtl/>
        </w:rPr>
        <w:t>ח"מ</w:t>
      </w:r>
      <w:r>
        <w:rPr>
          <w:rFonts w:cs="Arial" w:hint="cs"/>
          <w:rtl/>
        </w:rPr>
        <w:t xml:space="preserve"> </w:t>
      </w:r>
      <w:r w:rsidRPr="00C9755E">
        <w:rPr>
          <w:rFonts w:cs="Arial" w:hint="cs"/>
          <w:sz w:val="16"/>
          <w:szCs w:val="16"/>
          <w:rtl/>
        </w:rPr>
        <w:t>(סקט"ז)</w:t>
      </w:r>
      <w:r>
        <w:rPr>
          <w:rFonts w:cs="Arial" w:hint="cs"/>
          <w:rtl/>
        </w:rPr>
        <w:t>.</w:t>
      </w:r>
      <w:r w:rsidRPr="00C9755E">
        <w:rPr>
          <w:rtl/>
        </w:rPr>
        <w:t xml:space="preserve"> </w:t>
      </w:r>
      <w:r w:rsidRPr="00C9755E">
        <w:rPr>
          <w:rFonts w:cs="Arial"/>
          <w:rtl/>
        </w:rPr>
        <w:t>מיהו בדי</w:t>
      </w:r>
      <w:r>
        <w:rPr>
          <w:rFonts w:cs="Arial" w:hint="cs"/>
          <w:rtl/>
        </w:rPr>
        <w:t>ע'</w:t>
      </w:r>
      <w:r w:rsidRPr="00C9755E">
        <w:rPr>
          <w:rFonts w:cs="Arial"/>
          <w:rtl/>
        </w:rPr>
        <w:t xml:space="preserve"> או במקום הדחק י"ל דאין קפידא דלא דמי להדינים שכ</w:t>
      </w:r>
      <w:r>
        <w:rPr>
          <w:rFonts w:cs="Arial" w:hint="cs"/>
          <w:rtl/>
        </w:rPr>
        <w:t>'</w:t>
      </w:r>
      <w:r w:rsidRPr="00C9755E">
        <w:rPr>
          <w:rFonts w:cs="Arial"/>
          <w:rtl/>
        </w:rPr>
        <w:t xml:space="preserve"> בסי</w:t>
      </w:r>
      <w:r>
        <w:rPr>
          <w:rFonts w:cs="Arial" w:hint="cs"/>
          <w:rtl/>
        </w:rPr>
        <w:t>'</w:t>
      </w:r>
      <w:r w:rsidRPr="00C9755E">
        <w:rPr>
          <w:rFonts w:cs="Arial"/>
          <w:rtl/>
        </w:rPr>
        <w:t xml:space="preserve"> קכד</w:t>
      </w:r>
      <w:r>
        <w:rPr>
          <w:rFonts w:hint="cs"/>
          <w:rtl/>
        </w:rPr>
        <w:t xml:space="preserve">, </w:t>
      </w:r>
      <w:r w:rsidRPr="00C9755E">
        <w:rPr>
          <w:rFonts w:hint="cs"/>
          <w:b/>
          <w:bCs/>
          <w:rtl/>
        </w:rPr>
        <w:t>ב"ש</w:t>
      </w:r>
      <w:r>
        <w:rPr>
          <w:rFonts w:hint="cs"/>
          <w:rtl/>
        </w:rPr>
        <w:t xml:space="preserve"> </w:t>
      </w:r>
      <w:r w:rsidRPr="00C9755E">
        <w:rPr>
          <w:rFonts w:hint="cs"/>
          <w:sz w:val="16"/>
          <w:szCs w:val="16"/>
          <w:rtl/>
        </w:rPr>
        <w:t>(סקי"ח)</w:t>
      </w:r>
      <w:r>
        <w:rPr>
          <w:rFonts w:hint="cs"/>
          <w:rtl/>
        </w:rPr>
        <w:t>.</w:t>
      </w:r>
    </w:p>
  </w:footnote>
  <w:footnote w:id="577">
    <w:p w14:paraId="068F68F3" w14:textId="1ECC72EF" w:rsidR="009112DB" w:rsidRDefault="009112DB">
      <w:pPr>
        <w:pStyle w:val="a5"/>
      </w:pPr>
      <w:r>
        <w:rPr>
          <w:rStyle w:val="a7"/>
        </w:rPr>
        <w:footnoteRef/>
      </w:r>
      <w:r>
        <w:rPr>
          <w:rtl/>
        </w:rPr>
        <w:t xml:space="preserve"> </w:t>
      </w:r>
      <w:r w:rsidRPr="009112DB">
        <w:rPr>
          <w:rFonts w:cs="Arial"/>
          <w:rtl/>
        </w:rPr>
        <w:t>עיין ב"י וד"מ מבואר בכל הני דינים בסימן זה במקום עיגון ועדיין לא נתן הגט או בדיעבד שניתן הגט ואינו במקום עיגון כשר וכן מ"ש בסמוך אם כתב בצד השער במקום עיגון כשר וכן הוא בכל הסימן</w:t>
      </w:r>
      <w:r>
        <w:rPr>
          <w:rFonts w:cs="Arial" w:hint="cs"/>
          <w:rtl/>
        </w:rPr>
        <w:t>, ח"מ (סקי"ט).</w:t>
      </w:r>
    </w:p>
  </w:footnote>
  <w:footnote w:id="578">
    <w:p w14:paraId="77D7B25C" w14:textId="3FA5ECEC" w:rsidR="00FF1CC7" w:rsidRDefault="00FF1CC7">
      <w:pPr>
        <w:pStyle w:val="a5"/>
      </w:pPr>
      <w:r>
        <w:rPr>
          <w:rStyle w:val="a7"/>
        </w:rPr>
        <w:footnoteRef/>
      </w:r>
      <w:r>
        <w:rPr>
          <w:rtl/>
        </w:rPr>
        <w:t xml:space="preserve"> </w:t>
      </w:r>
      <w:r w:rsidRPr="008216D8">
        <w:rPr>
          <w:rFonts w:cs="Arial"/>
          <w:rtl/>
        </w:rPr>
        <w:t xml:space="preserve">כ' בס' ג"פ </w:t>
      </w:r>
      <w:r>
        <w:rPr>
          <w:rFonts w:cs="Arial" w:hint="cs"/>
          <w:rtl/>
        </w:rPr>
        <w:t>(</w:t>
      </w:r>
      <w:r w:rsidRPr="008216D8">
        <w:rPr>
          <w:rFonts w:cs="Arial"/>
          <w:rtl/>
        </w:rPr>
        <w:t>סקנ"ה</w:t>
      </w:r>
      <w:r>
        <w:rPr>
          <w:rFonts w:cs="Arial" w:hint="cs"/>
          <w:rtl/>
        </w:rPr>
        <w:t>)</w:t>
      </w:r>
      <w:r w:rsidRPr="008216D8">
        <w:rPr>
          <w:rFonts w:cs="Arial"/>
          <w:rtl/>
        </w:rPr>
        <w:t xml:space="preserve"> וז"ל כלומר שלא יפחות משיעור גליון זה אבל ודאי אם ירצה להניח גליון מן הצדדין ביותר משיעור זה הרשות בידו עכ"ל. ובסדר מהר"פ </w:t>
      </w:r>
      <w:r>
        <w:rPr>
          <w:rFonts w:cs="Arial" w:hint="cs"/>
          <w:rtl/>
        </w:rPr>
        <w:t>(</w:t>
      </w:r>
      <w:r w:rsidRPr="008216D8">
        <w:rPr>
          <w:rFonts w:cs="Arial"/>
          <w:rtl/>
        </w:rPr>
        <w:t>סג"ר אות סח</w:t>
      </w:r>
      <w:r>
        <w:rPr>
          <w:rFonts w:cs="Arial" w:hint="cs"/>
          <w:rtl/>
        </w:rPr>
        <w:t>)</w:t>
      </w:r>
      <w:r w:rsidRPr="008216D8">
        <w:rPr>
          <w:rFonts w:cs="Arial"/>
          <w:rtl/>
        </w:rPr>
        <w:t xml:space="preserve"> לא כתב כן</w:t>
      </w:r>
      <w:r>
        <w:rPr>
          <w:rFonts w:cs="Arial" w:hint="cs"/>
          <w:rtl/>
        </w:rPr>
        <w:t>, פת"ש (סקכ"ג).</w:t>
      </w:r>
    </w:p>
  </w:footnote>
  <w:footnote w:id="579">
    <w:p w14:paraId="7D97AF7D" w14:textId="148909E6" w:rsidR="00FF1CC7" w:rsidRDefault="00FF1CC7">
      <w:pPr>
        <w:pStyle w:val="a5"/>
        <w:rPr>
          <w:rtl/>
        </w:rPr>
      </w:pPr>
      <w:r>
        <w:rPr>
          <w:rStyle w:val="a7"/>
        </w:rPr>
        <w:footnoteRef/>
      </w:r>
      <w:r>
        <w:rPr>
          <w:rtl/>
        </w:rPr>
        <w:t xml:space="preserve"> </w:t>
      </w:r>
      <w:r w:rsidRPr="00D52201">
        <w:rPr>
          <w:rFonts w:cs="Arial"/>
          <w:rtl/>
        </w:rPr>
        <w:t xml:space="preserve">שוב ראיתי בס' ג"פ </w:t>
      </w:r>
      <w:r>
        <w:rPr>
          <w:rFonts w:cs="Arial" w:hint="cs"/>
          <w:rtl/>
        </w:rPr>
        <w:t>(</w:t>
      </w:r>
      <w:r w:rsidRPr="00D52201">
        <w:rPr>
          <w:rFonts w:cs="Arial"/>
          <w:rtl/>
        </w:rPr>
        <w:t>סקע"ט</w:t>
      </w:r>
      <w:r>
        <w:rPr>
          <w:rFonts w:cs="Arial" w:hint="cs"/>
          <w:rtl/>
        </w:rPr>
        <w:t>)</w:t>
      </w:r>
      <w:r w:rsidRPr="00D52201">
        <w:rPr>
          <w:rFonts w:cs="Arial"/>
          <w:rtl/>
        </w:rPr>
        <w:t xml:space="preserve"> הביא ג"כ דברי הרדב"ז הנ"ל וחולק עליו ומסיק דאין לסמוך ע"ז להקל ולומר דהשתא בכל אתר יש עיגון דבכל דוכתא דשיירות מצויו</w:t>
      </w:r>
      <w:r>
        <w:rPr>
          <w:rFonts w:cs="Arial" w:hint="cs"/>
          <w:rtl/>
        </w:rPr>
        <w:t>ת</w:t>
      </w:r>
      <w:r w:rsidRPr="00D52201">
        <w:rPr>
          <w:rFonts w:cs="Arial"/>
          <w:rtl/>
        </w:rPr>
        <w:t xml:space="preserve"> לאו מקום עיגון חשיב</w:t>
      </w:r>
      <w:r>
        <w:rPr>
          <w:rFonts w:cs="Arial" w:hint="cs"/>
          <w:rtl/>
        </w:rPr>
        <w:t>... ע"ש</w:t>
      </w:r>
      <w:r w:rsidRPr="00D52201">
        <w:rPr>
          <w:rFonts w:cs="Arial"/>
          <w:rtl/>
        </w:rPr>
        <w:t xml:space="preserve">. ועיין בס' בית מאיר </w:t>
      </w:r>
      <w:r>
        <w:rPr>
          <w:rFonts w:cs="Arial" w:hint="cs"/>
          <w:rtl/>
        </w:rPr>
        <w:t>(</w:t>
      </w:r>
      <w:r w:rsidRPr="00D52201">
        <w:rPr>
          <w:rFonts w:cs="Arial"/>
          <w:rtl/>
        </w:rPr>
        <w:t>ס"ו</w:t>
      </w:r>
      <w:r>
        <w:rPr>
          <w:rFonts w:cs="Arial" w:hint="cs"/>
          <w:rtl/>
        </w:rPr>
        <w:t>)</w:t>
      </w:r>
      <w:r w:rsidRPr="00D52201">
        <w:rPr>
          <w:rFonts w:cs="Arial"/>
          <w:rtl/>
        </w:rPr>
        <w:t xml:space="preserve"> כתב דמה שהשיב הג"פ על ראיית הרדב"ז הנ"ל אינו מובן כו' (גם אני בנ"צ כתבתי לתמוה על הג"פ בזה מצד אחר) אך לדינא יפה כיון הג"פ דכן פי' רש"י להדיא </w:t>
      </w:r>
      <w:r w:rsidR="00AB5B1D">
        <w:rPr>
          <w:rFonts w:cs="Arial" w:hint="cs"/>
          <w:rtl/>
        </w:rPr>
        <w:t>(</w:t>
      </w:r>
      <w:r w:rsidRPr="00D52201">
        <w:rPr>
          <w:rFonts w:cs="Arial"/>
          <w:rtl/>
        </w:rPr>
        <w:t>יט</w:t>
      </w:r>
      <w:r w:rsidR="00AB5B1D">
        <w:rPr>
          <w:rFonts w:cs="Arial" w:hint="cs"/>
          <w:rtl/>
        </w:rPr>
        <w:t>.)</w:t>
      </w:r>
      <w:r w:rsidRPr="00D52201">
        <w:rPr>
          <w:rFonts w:cs="Arial"/>
          <w:rtl/>
        </w:rPr>
        <w:t xml:space="preserve"> בשעת הדחק שהלך זה לדרכו או ניסת</w:t>
      </w:r>
      <w:r>
        <w:rPr>
          <w:rFonts w:cs="Arial" w:hint="cs"/>
          <w:rtl/>
        </w:rPr>
        <w:t>.</w:t>
      </w:r>
      <w:r w:rsidRPr="00D52201">
        <w:rPr>
          <w:rFonts w:cs="Arial"/>
          <w:rtl/>
        </w:rPr>
        <w:t xml:space="preserve"> ומתקנת נאמנות השליח אין ללמוד כלל</w:t>
      </w:r>
      <w:r>
        <w:rPr>
          <w:rFonts w:cs="Arial" w:hint="cs"/>
          <w:rtl/>
        </w:rPr>
        <w:t>,</w:t>
      </w:r>
      <w:r w:rsidRPr="00D52201">
        <w:rPr>
          <w:rFonts w:cs="Arial"/>
          <w:rtl/>
        </w:rPr>
        <w:t xml:space="preserve"> דמשום עיגון קל האמינוהו</w:t>
      </w:r>
      <w:r>
        <w:rPr>
          <w:rFonts w:cs="Arial" w:hint="cs"/>
          <w:rtl/>
        </w:rPr>
        <w:t>,</w:t>
      </w:r>
      <w:r w:rsidRPr="00D52201">
        <w:rPr>
          <w:rFonts w:cs="Arial"/>
          <w:rtl/>
        </w:rPr>
        <w:t xml:space="preserve"> ותדע שהרי אף בהבאת גט שחרור נאמן כו' אבל לענינים אחרים צריך שעת הדחק ממש עכ"ד ועמ"ש לעיל סי' מ"ב סק"ו</w:t>
      </w:r>
      <w:r>
        <w:rPr>
          <w:rFonts w:cs="Arial" w:hint="cs"/>
          <w:rtl/>
        </w:rPr>
        <w:t>, פת"ש (סקכ"ב).</w:t>
      </w:r>
    </w:p>
  </w:footnote>
  <w:footnote w:id="580">
    <w:p w14:paraId="1DE05400" w14:textId="2AD21188" w:rsidR="00EC0EB7" w:rsidRDefault="00EC0EB7">
      <w:pPr>
        <w:pStyle w:val="a5"/>
      </w:pPr>
      <w:r>
        <w:rPr>
          <w:rStyle w:val="a7"/>
        </w:rPr>
        <w:footnoteRef/>
      </w:r>
      <w:r>
        <w:rPr>
          <w:rtl/>
        </w:rPr>
        <w:t xml:space="preserve"> </w:t>
      </w:r>
      <w:r w:rsidRPr="00EE0626">
        <w:rPr>
          <w:rFonts w:cs="Arial"/>
          <w:rtl/>
        </w:rPr>
        <w:t>כדין ספר ולא יהא נקרא אגרת</w:t>
      </w:r>
      <w:r>
        <w:rPr>
          <w:rFonts w:cs="Arial" w:hint="cs"/>
          <w:rtl/>
        </w:rPr>
        <w:t>, תורמה (שם).</w:t>
      </w:r>
    </w:p>
  </w:footnote>
  <w:footnote w:id="581">
    <w:p w14:paraId="54F47373" w14:textId="77777777" w:rsidR="002A17B2" w:rsidRDefault="002A17B2" w:rsidP="002A17B2">
      <w:pPr>
        <w:pStyle w:val="a5"/>
        <w:rPr>
          <w:rtl/>
        </w:rPr>
      </w:pPr>
      <w:r>
        <w:rPr>
          <w:rStyle w:val="a7"/>
        </w:rPr>
        <w:footnoteRef/>
      </w:r>
      <w:r>
        <w:rPr>
          <w:rtl/>
        </w:rPr>
        <w:t xml:space="preserve"> </w:t>
      </w:r>
      <w:r>
        <w:rPr>
          <w:rFonts w:cs="Arial" w:hint="cs"/>
          <w:rtl/>
        </w:rPr>
        <w:t>וב</w:t>
      </w:r>
      <w:r w:rsidRPr="003B4196">
        <w:rPr>
          <w:rFonts w:cs="Arial"/>
          <w:rtl/>
        </w:rPr>
        <w:t>סדורי הגט דר"י מרגליות (סימן ה ס"ג) מביא פלוגתת הגאונים דיש מפרשים אותו מלמעלה למטה נקרא דרך ארכו ויש אומרים כי אורך השורה נקרא ארכו אבל מהרי"ל הסכים שמלמעלה למטה נקרא אורך</w:t>
      </w:r>
      <w:r>
        <w:rPr>
          <w:rFonts w:cs="Arial" w:hint="cs"/>
          <w:rtl/>
        </w:rPr>
        <w:t>, פרישה (אות נח).</w:t>
      </w:r>
    </w:p>
  </w:footnote>
  <w:footnote w:id="582">
    <w:p w14:paraId="3FBF0C32" w14:textId="59E71F4A" w:rsidR="003B4196" w:rsidRDefault="003B4196" w:rsidP="003B4196">
      <w:pPr>
        <w:pStyle w:val="a5"/>
        <w:rPr>
          <w:rtl/>
        </w:rPr>
      </w:pPr>
      <w:r>
        <w:rPr>
          <w:rStyle w:val="a7"/>
        </w:rPr>
        <w:footnoteRef/>
      </w:r>
      <w:r>
        <w:rPr>
          <w:rtl/>
        </w:rPr>
        <w:t xml:space="preserve"> </w:t>
      </w:r>
      <w:r w:rsidRPr="00EE0626">
        <w:rPr>
          <w:rFonts w:cs="Arial"/>
          <w:rtl/>
        </w:rPr>
        <w:t>ולבי מגמגם איך נהגו שלא להקפיד לכתחלה וכל הספרים כתבו דצריך</w:t>
      </w:r>
      <w:r>
        <w:rPr>
          <w:rFonts w:cs="Arial" w:hint="cs"/>
          <w:rtl/>
        </w:rPr>
        <w:t>.</w:t>
      </w:r>
      <w:r w:rsidRPr="00EE0626">
        <w:rPr>
          <w:rFonts w:cs="Arial"/>
          <w:rtl/>
        </w:rPr>
        <w:t xml:space="preserve"> ונראה לי הטעם דנהגו שלא להקפיד בכתב</w:t>
      </w:r>
      <w:r>
        <w:rPr>
          <w:rFonts w:cs="Arial" w:hint="cs"/>
          <w:rtl/>
        </w:rPr>
        <w:t>,</w:t>
      </w:r>
      <w:r w:rsidRPr="00EE0626">
        <w:rPr>
          <w:rFonts w:cs="Arial"/>
          <w:rtl/>
        </w:rPr>
        <w:t xml:space="preserve"> כמו שכתב הר"ם (הגה</w:t>
      </w:r>
      <w:r>
        <w:rPr>
          <w:rFonts w:cs="Arial" w:hint="cs"/>
          <w:rtl/>
        </w:rPr>
        <w:t>"</w:t>
      </w:r>
      <w:r w:rsidRPr="00EE0626">
        <w:rPr>
          <w:rFonts w:cs="Arial"/>
          <w:rtl/>
        </w:rPr>
        <w:t>מ פ"ז מהל' ס"ת אות ז) בווי העמודים גבי ספר תורה שאין לעשות</w:t>
      </w:r>
      <w:r>
        <w:rPr>
          <w:rFonts w:cs="Arial" w:hint="cs"/>
          <w:rtl/>
        </w:rPr>
        <w:t>,</w:t>
      </w:r>
      <w:r w:rsidRPr="00EE0626">
        <w:rPr>
          <w:rFonts w:cs="Arial"/>
          <w:rtl/>
        </w:rPr>
        <w:t xml:space="preserve"> שעל ידי כך יקלקל לעשות אותיות קצרות או רחבות שלא כדת</w:t>
      </w:r>
      <w:r>
        <w:rPr>
          <w:rFonts w:cs="Arial" w:hint="cs"/>
          <w:rtl/>
        </w:rPr>
        <w:t>,</w:t>
      </w:r>
      <w:r w:rsidRPr="00276098">
        <w:rPr>
          <w:rFonts w:cs="Arial"/>
          <w:rtl/>
        </w:rPr>
        <w:t xml:space="preserve"> </w:t>
      </w:r>
      <w:r w:rsidRPr="00276098">
        <w:rPr>
          <w:rFonts w:cs="Arial"/>
          <w:b/>
          <w:bCs/>
          <w:rtl/>
        </w:rPr>
        <w:t>קונדריסים</w:t>
      </w:r>
      <w:r w:rsidRPr="00EE0626">
        <w:rPr>
          <w:rFonts w:cs="Arial"/>
          <w:rtl/>
        </w:rPr>
        <w:t xml:space="preserve"> (סי' ח סעי' ו)</w:t>
      </w:r>
      <w:r>
        <w:rPr>
          <w:rFonts w:cs="Arial" w:hint="cs"/>
          <w:rtl/>
        </w:rPr>
        <w:t>.</w:t>
      </w:r>
      <w:r w:rsidRPr="00EE0626">
        <w:rPr>
          <w:rFonts w:cs="Arial"/>
          <w:rtl/>
        </w:rPr>
        <w:t xml:space="preserve"> </w:t>
      </w:r>
      <w:r w:rsidR="00AB5B1D">
        <w:rPr>
          <w:rFonts w:cs="Arial" w:hint="cs"/>
          <w:rtl/>
        </w:rPr>
        <w:t xml:space="preserve">    </w:t>
      </w:r>
      <w:r w:rsidRPr="00276098">
        <w:rPr>
          <w:rFonts w:cs="Arial"/>
          <w:rtl/>
        </w:rPr>
        <w:t>ולי נראה דאי מהא לא איריא</w:t>
      </w:r>
      <w:r w:rsidRPr="00276098">
        <w:rPr>
          <w:rFonts w:cs="Arial" w:hint="cs"/>
          <w:rtl/>
        </w:rPr>
        <w:t>,</w:t>
      </w:r>
      <w:r w:rsidRPr="00276098">
        <w:rPr>
          <w:rFonts w:cs="Arial"/>
          <w:rtl/>
        </w:rPr>
        <w:t xml:space="preserve"> דאם כן יותר ה"ל שלא להקפיד על שיהיו י"ב שיטות כדי שלא יקלקל לעשות אותיות קצרות או רחבות שלא כדת</w:t>
      </w:r>
      <w:r w:rsidRPr="00276098">
        <w:rPr>
          <w:rFonts w:cs="Arial" w:hint="cs"/>
          <w:rtl/>
        </w:rPr>
        <w:t>.</w:t>
      </w:r>
      <w:r w:rsidRPr="00276098">
        <w:rPr>
          <w:rFonts w:cs="Arial"/>
          <w:rtl/>
        </w:rPr>
        <w:t xml:space="preserve"> אלא הטעם שנהגו שלא להקפיד הוא מפני שהכותבים שיהא ארכו יותר על רחבו הוא מטעם שנקרא ספר</w:t>
      </w:r>
      <w:r w:rsidRPr="00276098">
        <w:rPr>
          <w:rFonts w:cs="Arial" w:hint="cs"/>
          <w:rtl/>
        </w:rPr>
        <w:t>,</w:t>
      </w:r>
      <w:r w:rsidRPr="00276098">
        <w:rPr>
          <w:rFonts w:cs="Arial"/>
          <w:rtl/>
        </w:rPr>
        <w:t xml:space="preserve"> ואנן סבירא לן דספר לספירת דברים הוא דאתא (גיטין כא:)</w:t>
      </w:r>
      <w:r w:rsidRPr="00276098">
        <w:rPr>
          <w:rFonts w:cs="Arial" w:hint="cs"/>
          <w:rtl/>
        </w:rPr>
        <w:t>,</w:t>
      </w:r>
      <w:r w:rsidRPr="00276098">
        <w:rPr>
          <w:rFonts w:cs="Arial"/>
          <w:rtl/>
        </w:rPr>
        <w:t xml:space="preserve"> וכמו שכתב התרומה (סי' קיג קיד) גבי אי בעינן אותיות מזויינות מוקפות גויל</w:t>
      </w:r>
      <w:r w:rsidRPr="00276098">
        <w:rPr>
          <w:rFonts w:cs="Arial" w:hint="cs"/>
          <w:rtl/>
        </w:rPr>
        <w:t xml:space="preserve">, </w:t>
      </w:r>
      <w:r w:rsidRPr="00276098">
        <w:rPr>
          <w:rFonts w:cs="Arial" w:hint="cs"/>
          <w:b/>
          <w:bCs/>
          <w:rtl/>
        </w:rPr>
        <w:t>ב"י</w:t>
      </w:r>
      <w:r w:rsidRPr="00276098">
        <w:rPr>
          <w:rFonts w:cs="Arial" w:hint="cs"/>
          <w:rtl/>
        </w:rPr>
        <w:t>.</w:t>
      </w:r>
      <w:r w:rsidRPr="00AA766B">
        <w:rPr>
          <w:rFonts w:cs="Arial"/>
          <w:rtl/>
        </w:rPr>
        <w:t xml:space="preserve"> </w:t>
      </w:r>
      <w:r w:rsidR="00AB5B1D">
        <w:rPr>
          <w:rFonts w:cs="Arial" w:hint="cs"/>
          <w:rtl/>
        </w:rPr>
        <w:t xml:space="preserve">    </w:t>
      </w:r>
      <w:r w:rsidRPr="00AA766B">
        <w:rPr>
          <w:rFonts w:cs="Arial"/>
          <w:rtl/>
        </w:rPr>
        <w:t>אמנם בסדר גיטין שלנו (סי' ה ס"א) כתב דיש להקפיד בזה</w:t>
      </w:r>
      <w:r>
        <w:rPr>
          <w:rFonts w:cs="Arial" w:hint="cs"/>
          <w:rtl/>
        </w:rPr>
        <w:t>.</w:t>
      </w:r>
      <w:r w:rsidRPr="00AA766B">
        <w:rPr>
          <w:rFonts w:cs="Arial"/>
          <w:rtl/>
        </w:rPr>
        <w:t xml:space="preserve"> וכן נוהגין</w:t>
      </w:r>
      <w:r>
        <w:rPr>
          <w:rFonts w:cs="Arial" w:hint="cs"/>
          <w:rtl/>
        </w:rPr>
        <w:t xml:space="preserve">, </w:t>
      </w:r>
      <w:r w:rsidRPr="00276098">
        <w:rPr>
          <w:rFonts w:cs="Arial" w:hint="cs"/>
          <w:b/>
          <w:bCs/>
          <w:rtl/>
        </w:rPr>
        <w:t>דרכ"מ</w:t>
      </w:r>
      <w:r>
        <w:rPr>
          <w:rFonts w:cs="Arial" w:hint="cs"/>
          <w:rtl/>
        </w:rPr>
        <w:t xml:space="preserve"> (אות יג).</w:t>
      </w:r>
    </w:p>
  </w:footnote>
  <w:footnote w:id="583">
    <w:p w14:paraId="2159F477" w14:textId="7779A700" w:rsidR="00EC0EB7" w:rsidRDefault="00EC0EB7">
      <w:pPr>
        <w:pStyle w:val="a5"/>
      </w:pPr>
      <w:r>
        <w:rPr>
          <w:rStyle w:val="a7"/>
        </w:rPr>
        <w:footnoteRef/>
      </w:r>
      <w:r>
        <w:rPr>
          <w:rtl/>
        </w:rPr>
        <w:t xml:space="preserve"> </w:t>
      </w:r>
      <w:r w:rsidRPr="00EE0626">
        <w:rPr>
          <w:rFonts w:cs="Arial"/>
          <w:rtl/>
        </w:rPr>
        <w:t>והכי דייק לשון רבינו שכתב ויחתוך הקלף שיהא ארכו וכו'</w:t>
      </w:r>
      <w:r>
        <w:rPr>
          <w:rFonts w:cs="Arial" w:hint="cs"/>
          <w:rtl/>
        </w:rPr>
        <w:t>, ב"י.</w:t>
      </w:r>
    </w:p>
  </w:footnote>
  <w:footnote w:id="584">
    <w:p w14:paraId="12E210C4" w14:textId="458F1BA9" w:rsidR="00FA63F4" w:rsidRDefault="00FA63F4">
      <w:pPr>
        <w:pStyle w:val="a5"/>
        <w:rPr>
          <w:rtl/>
        </w:rPr>
      </w:pPr>
      <w:r>
        <w:rPr>
          <w:rStyle w:val="a7"/>
        </w:rPr>
        <w:footnoteRef/>
      </w:r>
      <w:r>
        <w:rPr>
          <w:rtl/>
        </w:rPr>
        <w:t xml:space="preserve"> </w:t>
      </w:r>
      <w:r>
        <w:rPr>
          <w:rFonts w:cs="Arial" w:hint="cs"/>
          <w:rtl/>
        </w:rPr>
        <w:t>ו</w:t>
      </w:r>
      <w:r w:rsidRPr="00EE0C23">
        <w:rPr>
          <w:rFonts w:cs="Arial"/>
          <w:rtl/>
        </w:rPr>
        <w:t>אם לא נכתב ארכו יתר על רחבו אינו מעכב כלל ומגרשין בו לכתחלה</w:t>
      </w:r>
      <w:r>
        <w:rPr>
          <w:rFonts w:cs="Arial" w:hint="cs"/>
          <w:rtl/>
        </w:rPr>
        <w:t>,</w:t>
      </w:r>
      <w:r w:rsidRPr="00FA63F4">
        <w:rPr>
          <w:rFonts w:cs="Arial"/>
          <w:rtl/>
        </w:rPr>
        <w:t xml:space="preserve"> </w:t>
      </w:r>
      <w:r w:rsidRPr="00FA63F4">
        <w:rPr>
          <w:rFonts w:cs="Arial"/>
          <w:b/>
          <w:bCs/>
          <w:rtl/>
        </w:rPr>
        <w:t>רדב"ז</w:t>
      </w:r>
      <w:r w:rsidRPr="00EE0C23">
        <w:rPr>
          <w:rFonts w:cs="Arial"/>
          <w:rtl/>
        </w:rPr>
        <w:t xml:space="preserve"> </w:t>
      </w:r>
      <w:r>
        <w:rPr>
          <w:rFonts w:cs="Arial" w:hint="cs"/>
          <w:rtl/>
        </w:rPr>
        <w:t>(</w:t>
      </w:r>
      <w:r w:rsidRPr="00EE0C23">
        <w:rPr>
          <w:rFonts w:cs="Arial"/>
          <w:rtl/>
        </w:rPr>
        <w:t>ח"ג סי' תקצג</w:t>
      </w:r>
      <w:r>
        <w:rPr>
          <w:rFonts w:cs="Arial" w:hint="cs"/>
          <w:rtl/>
        </w:rPr>
        <w:t>)</w:t>
      </w:r>
      <w:r w:rsidRPr="00EE0C23">
        <w:rPr>
          <w:rFonts w:cs="Arial"/>
          <w:rtl/>
        </w:rPr>
        <w:t>. וע"ש עוד שכ' דהסופרי' רצו לשנות המנהג בארכו יתר על רחבו מפני הלשון שמצאו בס' כל בו שכ' ונקרא ארכו דרך כתיבתו והבינו הם דכוונתו לאורך השיטות והוא ז"ל ביטל דבריהם והחזיר הדבר למנהג הראשון ושגם הכלבו כוונתו כך דדרך כתיבתו היינו שכותב מלמעלה למטה שטה אחר שטה ע"ש</w:t>
      </w:r>
      <w:r>
        <w:rPr>
          <w:rFonts w:cs="Arial" w:hint="cs"/>
          <w:rtl/>
        </w:rPr>
        <w:t xml:space="preserve">, </w:t>
      </w:r>
      <w:r w:rsidRPr="00FA63F4">
        <w:rPr>
          <w:rFonts w:cs="Arial" w:hint="cs"/>
          <w:b/>
          <w:bCs/>
          <w:rtl/>
        </w:rPr>
        <w:t>פת"ש</w:t>
      </w:r>
      <w:r>
        <w:rPr>
          <w:rFonts w:cs="Arial" w:hint="cs"/>
          <w:rtl/>
        </w:rPr>
        <w:t xml:space="preserve"> (סקכ"ד).</w:t>
      </w:r>
    </w:p>
  </w:footnote>
  <w:footnote w:id="585">
    <w:p w14:paraId="3D16CC84" w14:textId="134E11B2" w:rsidR="00EE0C23" w:rsidRDefault="00EE0C23">
      <w:pPr>
        <w:pStyle w:val="a5"/>
      </w:pPr>
      <w:r>
        <w:rPr>
          <w:rStyle w:val="a7"/>
        </w:rPr>
        <w:footnoteRef/>
      </w:r>
      <w:r>
        <w:rPr>
          <w:rtl/>
        </w:rPr>
        <w:t xml:space="preserve"> </w:t>
      </w:r>
      <w:r w:rsidRPr="00EE0C23">
        <w:rPr>
          <w:rFonts w:cs="Arial"/>
          <w:rtl/>
        </w:rPr>
        <w:t>המחבר השמיט זה במתכוין כי בסמ"ק כתב צריך שיהיה ארכו יותר על רחבו מן הי"ב שיטין</w:t>
      </w:r>
      <w:r w:rsidR="002A17B2">
        <w:rPr>
          <w:rFonts w:cs="Arial" w:hint="cs"/>
          <w:rtl/>
        </w:rPr>
        <w:t>,</w:t>
      </w:r>
      <w:r w:rsidRPr="00EE0C23">
        <w:rPr>
          <w:rFonts w:cs="Arial"/>
          <w:rtl/>
        </w:rPr>
        <w:t xml:space="preserve"> ובקונטרסין כתב שהמגילה צריכה להיות ארכה יותר על רחבה ע"כ סתם הדברים לכל מר כדאית ליה</w:t>
      </w:r>
      <w:r>
        <w:rPr>
          <w:rFonts w:cs="Arial" w:hint="cs"/>
          <w:rtl/>
        </w:rPr>
        <w:t>, ח"מ (סקי"ח).</w:t>
      </w:r>
    </w:p>
  </w:footnote>
  <w:footnote w:id="586">
    <w:p w14:paraId="62B4F1D1" w14:textId="245F69B6" w:rsidR="00901D12" w:rsidRDefault="00901D12">
      <w:pPr>
        <w:pStyle w:val="a5"/>
      </w:pPr>
      <w:r>
        <w:rPr>
          <w:rStyle w:val="a7"/>
        </w:rPr>
        <w:footnoteRef/>
      </w:r>
      <w:r>
        <w:rPr>
          <w:rtl/>
        </w:rPr>
        <w:t xml:space="preserve"> </w:t>
      </w:r>
      <w:r>
        <w:rPr>
          <w:rFonts w:hint="cs"/>
          <w:rtl/>
        </w:rPr>
        <w:t>הב"י כתב שזו הגהת ר"פ</w:t>
      </w:r>
      <w:r w:rsidR="00453D60">
        <w:rPr>
          <w:rFonts w:hint="cs"/>
          <w:rtl/>
        </w:rPr>
        <w:t xml:space="preserve"> </w:t>
      </w:r>
      <w:r w:rsidR="00453D60" w:rsidRPr="00453D60">
        <w:rPr>
          <w:rFonts w:hint="cs"/>
          <w:sz w:val="16"/>
          <w:szCs w:val="16"/>
          <w:rtl/>
        </w:rPr>
        <w:t>(וכן כתב ב</w:t>
      </w:r>
      <w:r w:rsidR="00453D60" w:rsidRPr="00453D60">
        <w:rPr>
          <w:rFonts w:cs="Arial"/>
          <w:sz w:val="16"/>
          <w:szCs w:val="16"/>
          <w:rtl/>
        </w:rPr>
        <w:t xml:space="preserve">אורחות חיים </w:t>
      </w:r>
      <w:r w:rsidR="00453D60" w:rsidRPr="00453D60">
        <w:rPr>
          <w:rFonts w:cs="Arial" w:hint="cs"/>
          <w:sz w:val="16"/>
          <w:szCs w:val="16"/>
          <w:rtl/>
        </w:rPr>
        <w:t>[</w:t>
      </w:r>
      <w:r w:rsidR="00453D60" w:rsidRPr="00453D60">
        <w:rPr>
          <w:rFonts w:cs="Arial"/>
          <w:sz w:val="16"/>
          <w:szCs w:val="16"/>
          <w:rtl/>
        </w:rPr>
        <w:t>הלכות גיטין</w:t>
      </w:r>
      <w:r w:rsidR="00453D60" w:rsidRPr="00453D60">
        <w:rPr>
          <w:rFonts w:hint="cs"/>
          <w:sz w:val="16"/>
          <w:szCs w:val="16"/>
          <w:rtl/>
        </w:rPr>
        <w:t>], ואף הוסיף שכן כתב רבינו ברוך [ספר התרומה])</w:t>
      </w:r>
      <w:r>
        <w:rPr>
          <w:rFonts w:hint="cs"/>
          <w:rtl/>
        </w:rPr>
        <w:t>. אך לא מצאתי כן בר"פ שלפני.</w:t>
      </w:r>
    </w:p>
  </w:footnote>
  <w:footnote w:id="587">
    <w:p w14:paraId="67F8BF14" w14:textId="24EEE4EB" w:rsidR="00717DC8" w:rsidRDefault="00717DC8">
      <w:pPr>
        <w:pStyle w:val="a5"/>
        <w:rPr>
          <w:rtl/>
        </w:rPr>
      </w:pPr>
      <w:r>
        <w:rPr>
          <w:rStyle w:val="a7"/>
        </w:rPr>
        <w:footnoteRef/>
      </w:r>
      <w:r>
        <w:rPr>
          <w:rtl/>
        </w:rPr>
        <w:t xml:space="preserve"> </w:t>
      </w:r>
      <w:r>
        <w:rPr>
          <w:rFonts w:cs="Arial" w:hint="cs"/>
          <w:rtl/>
        </w:rPr>
        <w:t xml:space="preserve">כתב הב"י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7E4C12">
        <w:rPr>
          <w:rFonts w:cs="Arial"/>
          <w:rtl/>
        </w:rPr>
        <w:t>ומלשון סמ"ג והתרומה (שם) נראה שאין להקפיד בכך אלא לכתחלה דוקא</w:t>
      </w:r>
      <w:r>
        <w:rPr>
          <w:rFonts w:cs="Arial" w:hint="cs"/>
          <w:rtl/>
        </w:rPr>
        <w:t>.</w:t>
      </w:r>
      <w:r w:rsidRPr="007E4C12">
        <w:rPr>
          <w:rFonts w:cs="Arial"/>
          <w:rtl/>
        </w:rPr>
        <w:t xml:space="preserve"> ובספר התרומה (שם) משמע דאפילו לכתחלה אין להקפיד אלא שלא לכתוב חוץ לשיטה תיבה שלמה</w:t>
      </w:r>
      <w:r>
        <w:rPr>
          <w:rFonts w:cs="Arial" w:hint="cs"/>
          <w:rtl/>
        </w:rPr>
        <w:t>.</w:t>
      </w:r>
      <w:r w:rsidRPr="007E4C12">
        <w:rPr>
          <w:rFonts w:cs="Arial"/>
          <w:rtl/>
        </w:rPr>
        <w:t xml:space="preserve"> </w:t>
      </w:r>
      <w:r>
        <w:rPr>
          <w:rFonts w:hint="cs"/>
          <w:rtl/>
        </w:rPr>
        <w:t>אב"ל הגה"מ כתב בשמם-...</w:t>
      </w:r>
    </w:p>
  </w:footnote>
  <w:footnote w:id="588">
    <w:p w14:paraId="2143F7FA" w14:textId="1408078E" w:rsidR="00AF29F7" w:rsidRDefault="00AF29F7">
      <w:pPr>
        <w:pStyle w:val="a5"/>
      </w:pPr>
      <w:r>
        <w:rPr>
          <w:rStyle w:val="a7"/>
        </w:rPr>
        <w:footnoteRef/>
      </w:r>
      <w:r>
        <w:rPr>
          <w:rtl/>
        </w:rPr>
        <w:t xml:space="preserve"> </w:t>
      </w:r>
      <w:r w:rsidR="00F473E7">
        <w:rPr>
          <w:rFonts w:cs="Arial" w:hint="cs"/>
          <w:rtl/>
        </w:rPr>
        <w:t xml:space="preserve">וכן כתב </w:t>
      </w:r>
      <w:r w:rsidRPr="00AF29F7">
        <w:rPr>
          <w:rFonts w:cs="Arial"/>
          <w:rtl/>
        </w:rPr>
        <w:t xml:space="preserve">בסדר הגט </w:t>
      </w:r>
      <w:r w:rsidR="00F473E7">
        <w:rPr>
          <w:rFonts w:cs="Arial" w:hint="cs"/>
          <w:rtl/>
        </w:rPr>
        <w:t>(</w:t>
      </w:r>
      <w:r w:rsidRPr="00AF29F7">
        <w:rPr>
          <w:rFonts w:cs="Arial"/>
          <w:rtl/>
        </w:rPr>
        <w:t>סי' ד ס"ג)</w:t>
      </w:r>
      <w:r w:rsidR="00F473E7">
        <w:rPr>
          <w:rFonts w:cs="Arial" w:hint="cs"/>
          <w:rtl/>
        </w:rPr>
        <w:t xml:space="preserve"> </w:t>
      </w:r>
      <w:r w:rsidR="000A0F5A">
        <w:rPr>
          <w:rFonts w:cs="Arial" w:hint="cs"/>
          <w:rtl/>
        </w:rPr>
        <w:t>וז</w:t>
      </w:r>
      <w:r w:rsidR="000A0F5A">
        <w:rPr>
          <w:rFonts w:cs="Arial"/>
          <w:rtl/>
        </w:rPr>
        <w:t>"</w:t>
      </w:r>
      <w:r w:rsidR="000A0F5A">
        <w:rPr>
          <w:rFonts w:cs="Arial" w:hint="cs"/>
          <w:rtl/>
        </w:rPr>
        <w:t>ל:</w:t>
      </w:r>
      <w:r w:rsidRPr="00AF29F7">
        <w:rPr>
          <w:rFonts w:cs="Arial"/>
          <w:rtl/>
        </w:rPr>
        <w:t xml:space="preserve"> ויזהר שלא יצא אות אחת חוץ לשיטין שבצדדים ומעשה בא לפני מהור"ר קאפלמן ז"ל שכתב הסופר אות אחת חוץ לשיטה ופסל הגט עכ"ל</w:t>
      </w:r>
      <w:r w:rsidR="00F473E7">
        <w:rPr>
          <w:rFonts w:cs="Arial" w:hint="cs"/>
          <w:rtl/>
        </w:rPr>
        <w:t xml:space="preserve">, דרכ"מ </w:t>
      </w:r>
      <w:r w:rsidR="00F473E7" w:rsidRPr="00AF29F7">
        <w:rPr>
          <w:rFonts w:cs="Arial"/>
          <w:rtl/>
        </w:rPr>
        <w:t>(</w:t>
      </w:r>
      <w:r w:rsidR="00F473E7">
        <w:rPr>
          <w:rFonts w:cs="Arial" w:hint="cs"/>
          <w:rtl/>
        </w:rPr>
        <w:t>סק</w:t>
      </w:r>
      <w:r w:rsidR="00F473E7" w:rsidRPr="00AF29F7">
        <w:rPr>
          <w:rFonts w:cs="Arial"/>
          <w:rtl/>
        </w:rPr>
        <w:t>ט</w:t>
      </w:r>
      <w:r w:rsidR="00F473E7">
        <w:rPr>
          <w:rFonts w:cs="Arial" w:hint="cs"/>
          <w:rtl/>
        </w:rPr>
        <w:t>"</w:t>
      </w:r>
      <w:r w:rsidR="00F473E7" w:rsidRPr="00AF29F7">
        <w:rPr>
          <w:rFonts w:cs="Arial"/>
          <w:rtl/>
        </w:rPr>
        <w:t>ז)</w:t>
      </w:r>
      <w:r w:rsidR="00F473E7">
        <w:rPr>
          <w:rFonts w:cs="Arial" w:hint="cs"/>
          <w:rtl/>
        </w:rPr>
        <w:t>.</w:t>
      </w:r>
    </w:p>
  </w:footnote>
  <w:footnote w:id="589">
    <w:p w14:paraId="0B225D0C" w14:textId="77777777" w:rsidR="000353BA" w:rsidRDefault="000353BA" w:rsidP="000353BA">
      <w:pPr>
        <w:pStyle w:val="a5"/>
        <w:rPr>
          <w:rtl/>
        </w:rPr>
      </w:pPr>
      <w:r>
        <w:rPr>
          <w:rStyle w:val="a7"/>
        </w:rPr>
        <w:footnoteRef/>
      </w:r>
      <w:r>
        <w:rPr>
          <w:rtl/>
        </w:rPr>
        <w:t xml:space="preserve"> </w:t>
      </w:r>
      <w:r>
        <w:rPr>
          <w:rFonts w:hint="cs"/>
          <w:rtl/>
        </w:rPr>
        <w:t>היינו אם מה שכתוב מחוץ לשיטה הוא טורף ואינו המשך למשמעות הכתוב בתוך השיטה.</w:t>
      </w:r>
    </w:p>
  </w:footnote>
  <w:footnote w:id="590">
    <w:p w14:paraId="5E9C2E4B" w14:textId="77777777" w:rsidR="000353BA" w:rsidRDefault="000353BA" w:rsidP="000353BA">
      <w:pPr>
        <w:pStyle w:val="a5"/>
      </w:pPr>
      <w:r>
        <w:rPr>
          <w:rStyle w:val="a7"/>
        </w:rPr>
        <w:footnoteRef/>
      </w:r>
      <w:r>
        <w:rPr>
          <w:rtl/>
        </w:rPr>
        <w:t xml:space="preserve"> </w:t>
      </w:r>
      <w:r w:rsidRPr="00736CDD">
        <w:rPr>
          <w:rFonts w:cs="Arial"/>
          <w:rtl/>
        </w:rPr>
        <w:t xml:space="preserve">ובג"פ </w:t>
      </w:r>
      <w:r>
        <w:rPr>
          <w:rFonts w:cs="Arial" w:hint="cs"/>
          <w:rtl/>
        </w:rPr>
        <w:t>(</w:t>
      </w:r>
      <w:r w:rsidRPr="00736CDD">
        <w:rPr>
          <w:rFonts w:cs="Arial"/>
          <w:rtl/>
        </w:rPr>
        <w:t>סקנ"ט</w:t>
      </w:r>
      <w:r>
        <w:rPr>
          <w:rFonts w:cs="Arial" w:hint="cs"/>
          <w:rtl/>
        </w:rPr>
        <w:t>)</w:t>
      </w:r>
      <w:r w:rsidRPr="00736CDD">
        <w:rPr>
          <w:rFonts w:cs="Arial"/>
          <w:rtl/>
        </w:rPr>
        <w:t xml:space="preserve"> נראה דעתו דבתורף בכל גווני יש לפסול</w:t>
      </w:r>
      <w:r>
        <w:rPr>
          <w:rFonts w:cs="Arial" w:hint="cs"/>
          <w:rtl/>
        </w:rPr>
        <w:t>.</w:t>
      </w:r>
      <w:r w:rsidRPr="00736CDD">
        <w:rPr>
          <w:rFonts w:cs="Arial"/>
          <w:rtl/>
        </w:rPr>
        <w:t xml:space="preserve"> ובטופס יש להקל בזה אם אינו משנה משמעות</w:t>
      </w:r>
      <w:r>
        <w:rPr>
          <w:rFonts w:cs="Arial" w:hint="cs"/>
          <w:rtl/>
        </w:rPr>
        <w:t>,</w:t>
      </w:r>
      <w:r w:rsidRPr="00736CDD">
        <w:rPr>
          <w:rFonts w:cs="Arial"/>
          <w:rtl/>
        </w:rPr>
        <w:t xml:space="preserve"> מ"ש בתוך הגט כו' ע"ש. ועיין בס' זכור לאברהם </w:t>
      </w:r>
      <w:r>
        <w:rPr>
          <w:rFonts w:cs="Arial" w:hint="cs"/>
          <w:rtl/>
        </w:rPr>
        <w:t>(</w:t>
      </w:r>
      <w:r w:rsidRPr="00736CDD">
        <w:rPr>
          <w:rFonts w:cs="Arial"/>
          <w:rtl/>
        </w:rPr>
        <w:t>ח"ג דף ק"כ</w:t>
      </w:r>
      <w:r>
        <w:rPr>
          <w:rFonts w:cs="Arial" w:hint="cs"/>
          <w:rtl/>
        </w:rPr>
        <w:t>)</w:t>
      </w:r>
      <w:r w:rsidRPr="00736CDD">
        <w:rPr>
          <w:rFonts w:cs="Arial"/>
          <w:rtl/>
        </w:rPr>
        <w:t xml:space="preserve"> כתב דמעשה הי' שכ' שתי תיבות חוץ לשיטה והי' בטופס הגט ועדיין לא ניתן</w:t>
      </w:r>
      <w:r>
        <w:rPr>
          <w:rFonts w:cs="Arial" w:hint="cs"/>
          <w:rtl/>
        </w:rPr>
        <w:t>,</w:t>
      </w:r>
      <w:r w:rsidRPr="00736CDD">
        <w:rPr>
          <w:rFonts w:cs="Arial"/>
          <w:rtl/>
        </w:rPr>
        <w:t xml:space="preserve"> והסכימו הרב מהר"י זיין ומהר"ש אלגאזי הלכה למעשה להכשיר. כ"כ הרב חיים שאול </w:t>
      </w:r>
      <w:r>
        <w:rPr>
          <w:rFonts w:cs="Arial" w:hint="cs"/>
          <w:rtl/>
        </w:rPr>
        <w:t>(</w:t>
      </w:r>
      <w:r w:rsidRPr="00736CDD">
        <w:rPr>
          <w:rFonts w:cs="Arial"/>
          <w:rtl/>
        </w:rPr>
        <w:t>ח"א סי' טל אות ה</w:t>
      </w:r>
      <w:r>
        <w:rPr>
          <w:rFonts w:cs="Arial" w:hint="cs"/>
          <w:rtl/>
        </w:rPr>
        <w:t>).</w:t>
      </w:r>
      <w:r w:rsidRPr="00736CDD">
        <w:rPr>
          <w:rFonts w:cs="Arial"/>
          <w:rtl/>
        </w:rPr>
        <w:t xml:space="preserve"> וכ' עוד אם הניחו חלק בצדו בסוף השיטה כדי לכתוב ב' אותיות יטייטו שם כזה</w:t>
      </w:r>
      <w:r>
        <w:rPr>
          <w:rFonts w:cs="Arial" w:hint="cs"/>
          <w:rtl/>
        </w:rPr>
        <w:t>,</w:t>
      </w:r>
      <w:r w:rsidRPr="00736CDD">
        <w:rPr>
          <w:rFonts w:cs="Arial"/>
          <w:rtl/>
        </w:rPr>
        <w:t xml:space="preserve"> וכן נעשה מעשה ב' פעמים פה עה"ק. הרב מזבח אדמה דף מ"ז ע"ב עכ"ל. ולא ראיתי נוהגין כן</w:t>
      </w:r>
      <w:r>
        <w:rPr>
          <w:rFonts w:cs="Arial" w:hint="cs"/>
          <w:rtl/>
        </w:rPr>
        <w:t>, פת"ש (סקכ"ה).</w:t>
      </w:r>
    </w:p>
  </w:footnote>
  <w:footnote w:id="591">
    <w:p w14:paraId="42F5A660" w14:textId="3A46252B" w:rsidR="00453D60" w:rsidRDefault="00453D60">
      <w:pPr>
        <w:pStyle w:val="a5"/>
      </w:pPr>
      <w:r>
        <w:rPr>
          <w:rStyle w:val="a7"/>
        </w:rPr>
        <w:footnoteRef/>
      </w:r>
      <w:r>
        <w:rPr>
          <w:rtl/>
        </w:rPr>
        <w:t xml:space="preserve"> </w:t>
      </w:r>
      <w:r w:rsidRPr="00453D60">
        <w:rPr>
          <w:rFonts w:cs="Arial"/>
          <w:rtl/>
        </w:rPr>
        <w:t xml:space="preserve">גם </w:t>
      </w:r>
      <w:r w:rsidR="009334FF">
        <w:rPr>
          <w:rFonts w:cs="Arial"/>
          <w:rtl/>
        </w:rPr>
        <w:t>בהג"ה</w:t>
      </w:r>
      <w:r w:rsidRPr="00453D60">
        <w:rPr>
          <w:rFonts w:cs="Arial"/>
          <w:rtl/>
        </w:rPr>
        <w:t xml:space="preserve"> לפני זה כתב שיהיו השורות בגט שוה והטעם נראה משום דבקל יכול לזייף ולהוסיף אותיות בשיטות הקצרות וע"כ אפי' אות אחת שיצא לחוץ יכול להוסיף בכל שיטה אות אחת כדי להשוות השיטות ע"כ פסול אפי' אות אחת ובמקום עיגון כשר אפי' הרבה אותיות אף על גב דבד"מ כתב במקום דאיכ' למיחש לעגונ' או בדיעבד אין לפסול הגט משום אות אחת שיצא מן הצדדים דהא גם בס"ת אינו פסול נראה דלאו דוקא כתב אות אחת דהא גם בס"ת לא פסל אפילו הרבה אותיות רק למצוה מן המובחר כותב חציה בתוך הדף אפילו תיבה בת עשר אותיות כמבואר בי"ד סי' רע"ג</w:t>
      </w:r>
      <w:r>
        <w:rPr>
          <w:rFonts w:cs="Arial" w:hint="cs"/>
          <w:rtl/>
        </w:rPr>
        <w:t>, ח"מ (סקי"ט).</w:t>
      </w:r>
    </w:p>
  </w:footnote>
  <w:footnote w:id="592">
    <w:p w14:paraId="1F342940" w14:textId="7904B777" w:rsidR="00453D60" w:rsidRDefault="00453D60">
      <w:pPr>
        <w:pStyle w:val="a5"/>
      </w:pPr>
      <w:r>
        <w:rPr>
          <w:rStyle w:val="a7"/>
        </w:rPr>
        <w:footnoteRef/>
      </w:r>
      <w:r>
        <w:rPr>
          <w:rtl/>
        </w:rPr>
        <w:t xml:space="preserve"> </w:t>
      </w:r>
      <w:r w:rsidRPr="00453D60">
        <w:rPr>
          <w:rFonts w:cs="Arial"/>
          <w:rtl/>
        </w:rPr>
        <w:t>אפילו רוב אות ב"ח ושם מיקל אם נכתב הגט אפילו לא ניתן עדיין ואנ"ל להקל אם לא ניתן וכן משמעות כאן בש"ע ובד"מ דאין להקל אלא במקום הדחק או בדיעבד שניתן הגט ואז כשר אפילו נכתב כמה אותיות וכ"פ בח"מ ובטופס מכשיר הרשב"ץ</w:t>
      </w:r>
      <w:r>
        <w:rPr>
          <w:rFonts w:cs="Arial" w:hint="cs"/>
          <w:rtl/>
        </w:rPr>
        <w:t>, ב"ש (סקכ"א).</w:t>
      </w:r>
    </w:p>
  </w:footnote>
  <w:footnote w:id="593">
    <w:p w14:paraId="2E44EB09" w14:textId="13A01645" w:rsidR="00B91648" w:rsidRDefault="00B91648" w:rsidP="00B91648">
      <w:pPr>
        <w:pStyle w:val="a5"/>
        <w:rPr>
          <w:rtl/>
        </w:rPr>
      </w:pPr>
      <w:r>
        <w:rPr>
          <w:rStyle w:val="a7"/>
        </w:rPr>
        <w:footnoteRef/>
      </w:r>
      <w:r>
        <w:rPr>
          <w:rtl/>
        </w:rPr>
        <w:t xml:space="preserve"> </w:t>
      </w:r>
      <w:r>
        <w:rPr>
          <w:rFonts w:hint="cs"/>
          <w:rtl/>
        </w:rPr>
        <w:t xml:space="preserve">כן הוסיפו </w:t>
      </w:r>
      <w:r w:rsidR="00653C96">
        <w:rPr>
          <w:rFonts w:hint="cs"/>
          <w:rtl/>
        </w:rPr>
        <w:t>בלשון ספר התרומה ה</w:t>
      </w:r>
      <w:r>
        <w:rPr>
          <w:rFonts w:hint="cs"/>
          <w:rtl/>
        </w:rPr>
        <w:t>סמ"ג (שם)</w:t>
      </w:r>
      <w:r w:rsidR="00653C96">
        <w:rPr>
          <w:rFonts w:hint="cs"/>
          <w:rtl/>
        </w:rPr>
        <w:t xml:space="preserve"> סמ"ק הגה"מ</w:t>
      </w:r>
      <w:r>
        <w:rPr>
          <w:rFonts w:hint="cs"/>
          <w:rtl/>
        </w:rPr>
        <w:t xml:space="preserve"> וטור.</w:t>
      </w:r>
    </w:p>
  </w:footnote>
  <w:footnote w:id="594">
    <w:p w14:paraId="16CB5BBE" w14:textId="0543A9F9" w:rsidR="000353BA" w:rsidRDefault="000353BA">
      <w:pPr>
        <w:pStyle w:val="a5"/>
      </w:pPr>
      <w:r>
        <w:rPr>
          <w:rStyle w:val="a7"/>
        </w:rPr>
        <w:footnoteRef/>
      </w:r>
      <w:r>
        <w:rPr>
          <w:rtl/>
        </w:rPr>
        <w:t xml:space="preserve"> </w:t>
      </w:r>
      <w:r w:rsidRPr="001626F4">
        <w:rPr>
          <w:rFonts w:cs="Arial"/>
          <w:rtl/>
        </w:rPr>
        <w:t>וכן אם היה הנקב בצד האות ולא באות עצמו לא היה פסול</w:t>
      </w:r>
      <w:r>
        <w:rPr>
          <w:rFonts w:cs="Arial" w:hint="cs"/>
          <w:rtl/>
        </w:rPr>
        <w:t>, דרכ"מ (אות יד).</w:t>
      </w:r>
      <w:r w:rsidR="007B26E7" w:rsidRPr="007B26E7">
        <w:rPr>
          <w:rFonts w:hint="cs"/>
          <w:rtl/>
        </w:rPr>
        <w:t xml:space="preserve"> </w:t>
      </w:r>
      <w:r w:rsidR="007B26E7">
        <w:rPr>
          <w:rFonts w:hint="cs"/>
          <w:rtl/>
        </w:rPr>
        <w:t xml:space="preserve">(וכ"פ ח"מ </w:t>
      </w:r>
      <w:r w:rsidR="007B26E7">
        <w:rPr>
          <w:rFonts w:hint="cs"/>
          <w:sz w:val="16"/>
          <w:szCs w:val="16"/>
          <w:rtl/>
        </w:rPr>
        <w:t>[סקכ"א]</w:t>
      </w:r>
      <w:r w:rsidR="007B26E7">
        <w:rPr>
          <w:rFonts w:hint="cs"/>
          <w:rtl/>
        </w:rPr>
        <w:t xml:space="preserve"> וב"ש </w:t>
      </w:r>
      <w:r w:rsidR="007B26E7">
        <w:rPr>
          <w:rFonts w:hint="cs"/>
          <w:sz w:val="16"/>
          <w:szCs w:val="16"/>
          <w:rtl/>
        </w:rPr>
        <w:t>[סקכ"ב]</w:t>
      </w:r>
      <w:r w:rsidR="007B26E7">
        <w:rPr>
          <w:rFonts w:hint="cs"/>
          <w:rtl/>
        </w:rPr>
        <w:t>)</w:t>
      </w:r>
    </w:p>
  </w:footnote>
  <w:footnote w:id="595">
    <w:p w14:paraId="515C7B8A" w14:textId="3CEF88D4" w:rsidR="00B47E6D" w:rsidRDefault="00B47E6D">
      <w:pPr>
        <w:pStyle w:val="a5"/>
      </w:pPr>
      <w:r>
        <w:rPr>
          <w:rStyle w:val="a7"/>
        </w:rPr>
        <w:footnoteRef/>
      </w:r>
      <w:r>
        <w:rPr>
          <w:rtl/>
        </w:rPr>
        <w:t xml:space="preserve"> </w:t>
      </w:r>
      <w:r>
        <w:rPr>
          <w:rFonts w:cs="Arial" w:hint="cs"/>
          <w:rtl/>
        </w:rPr>
        <w:t>ו</w:t>
      </w:r>
      <w:r w:rsidRPr="000353BA">
        <w:rPr>
          <w:rFonts w:cs="Arial"/>
          <w:rtl/>
        </w:rPr>
        <w:t xml:space="preserve">כ' בס' ג"פ </w:t>
      </w:r>
      <w:r>
        <w:rPr>
          <w:rFonts w:cs="Arial" w:hint="cs"/>
          <w:rtl/>
        </w:rPr>
        <w:t>ד</w:t>
      </w:r>
      <w:r w:rsidRPr="000353BA">
        <w:rPr>
          <w:rFonts w:cs="Arial"/>
          <w:rtl/>
        </w:rPr>
        <w:t>פיר</w:t>
      </w:r>
      <w:r>
        <w:rPr>
          <w:rFonts w:cs="Arial" w:hint="cs"/>
          <w:rtl/>
        </w:rPr>
        <w:t>ו</w:t>
      </w:r>
      <w:r w:rsidRPr="000353BA">
        <w:rPr>
          <w:rFonts w:cs="Arial"/>
          <w:rtl/>
        </w:rPr>
        <w:t xml:space="preserve">ש </w:t>
      </w:r>
      <w:r>
        <w:rPr>
          <w:rFonts w:cs="Arial" w:hint="cs"/>
          <w:rtl/>
        </w:rPr>
        <w:t>'</w:t>
      </w:r>
      <w:r w:rsidRPr="000353BA">
        <w:rPr>
          <w:rFonts w:cs="Arial"/>
          <w:rtl/>
        </w:rPr>
        <w:t>הדיו עובר עליו</w:t>
      </w:r>
      <w:r>
        <w:rPr>
          <w:rFonts w:cs="Arial" w:hint="cs"/>
          <w:rtl/>
        </w:rPr>
        <w:t>'</w:t>
      </w:r>
      <w:r w:rsidRPr="000353BA">
        <w:rPr>
          <w:rFonts w:cs="Arial"/>
          <w:rtl/>
        </w:rPr>
        <w:t xml:space="preserve"> כתב הר"י איסכנדרי </w:t>
      </w:r>
      <w:r w:rsidRPr="00B47E6D">
        <w:rPr>
          <w:rFonts w:cs="Arial" w:hint="cs"/>
          <w:sz w:val="16"/>
          <w:szCs w:val="16"/>
          <w:rtl/>
        </w:rPr>
        <w:t>(</w:t>
      </w:r>
      <w:r w:rsidRPr="00B47E6D">
        <w:rPr>
          <w:rFonts w:cs="Arial"/>
          <w:sz w:val="16"/>
          <w:szCs w:val="16"/>
          <w:rtl/>
        </w:rPr>
        <w:t>הובא בב"י א"ח סי' לב</w:t>
      </w:r>
      <w:r w:rsidRPr="00B47E6D">
        <w:rPr>
          <w:rFonts w:cs="Arial" w:hint="cs"/>
          <w:sz w:val="16"/>
          <w:szCs w:val="16"/>
          <w:rtl/>
        </w:rPr>
        <w:t>)</w:t>
      </w:r>
      <w:r w:rsidRPr="00B47E6D">
        <w:rPr>
          <w:rFonts w:cs="Arial"/>
          <w:sz w:val="16"/>
          <w:szCs w:val="16"/>
          <w:rtl/>
        </w:rPr>
        <w:t xml:space="preserve"> </w:t>
      </w:r>
      <w:r w:rsidRPr="000353BA">
        <w:rPr>
          <w:rFonts w:cs="Arial"/>
          <w:rtl/>
        </w:rPr>
        <w:t>דנקב קטן כחודה של מחט עד כשמעביר עליו הקולמס בדיו נסתם שאין האות נחלקת בו לשנים אינו נקב וכותבין ע"ג</w:t>
      </w:r>
      <w:r>
        <w:rPr>
          <w:rFonts w:cs="Arial" w:hint="cs"/>
          <w:rtl/>
        </w:rPr>
        <w:t>.</w:t>
      </w:r>
      <w:r w:rsidRPr="000353BA">
        <w:rPr>
          <w:rFonts w:cs="Arial"/>
          <w:rtl/>
        </w:rPr>
        <w:t xml:space="preserve"> אבל אם הוא גדול שהאות נראית בו חלוקה לשנים ודאי נקב הוא. ויראה לי דאם אות זו שכתובה על הנקב ונראית חלוקה לשתים היא בתורף הגט</w:t>
      </w:r>
      <w:r w:rsidR="00936959">
        <w:rPr>
          <w:rFonts w:cs="Arial" w:hint="cs"/>
          <w:rtl/>
        </w:rPr>
        <w:t>,</w:t>
      </w:r>
      <w:r w:rsidRPr="000353BA">
        <w:rPr>
          <w:rFonts w:cs="Arial"/>
          <w:rtl/>
        </w:rPr>
        <w:t xml:space="preserve"> יש לפסול</w:t>
      </w:r>
      <w:r w:rsidR="00936959">
        <w:rPr>
          <w:rFonts w:cs="Arial" w:hint="cs"/>
          <w:rtl/>
        </w:rPr>
        <w:t>.</w:t>
      </w:r>
      <w:r w:rsidRPr="000353BA">
        <w:rPr>
          <w:rFonts w:cs="Arial"/>
          <w:rtl/>
        </w:rPr>
        <w:t xml:space="preserve"> אבל בטופס יש להקל וע' סי' קכ"ו סמ"ט עכ"ל. ועיין בת' ב"ח </w:t>
      </w:r>
      <w:r w:rsidRPr="00B47E6D">
        <w:rPr>
          <w:rFonts w:cs="Arial" w:hint="cs"/>
          <w:sz w:val="16"/>
          <w:szCs w:val="16"/>
          <w:rtl/>
        </w:rPr>
        <w:t>(</w:t>
      </w:r>
      <w:r w:rsidRPr="00B47E6D">
        <w:rPr>
          <w:rFonts w:cs="Arial"/>
          <w:sz w:val="16"/>
          <w:szCs w:val="16"/>
          <w:rtl/>
        </w:rPr>
        <w:t>החדשות סי' צג</w:t>
      </w:r>
      <w:r w:rsidRPr="00B47E6D">
        <w:rPr>
          <w:rFonts w:cs="Arial" w:hint="cs"/>
          <w:sz w:val="16"/>
          <w:szCs w:val="16"/>
          <w:rtl/>
        </w:rPr>
        <w:t>)</w:t>
      </w:r>
      <w:r w:rsidRPr="00B47E6D">
        <w:rPr>
          <w:rFonts w:cs="Arial"/>
          <w:sz w:val="16"/>
          <w:szCs w:val="16"/>
          <w:rtl/>
        </w:rPr>
        <w:t xml:space="preserve"> </w:t>
      </w:r>
      <w:r w:rsidRPr="000353BA">
        <w:rPr>
          <w:rFonts w:cs="Arial"/>
          <w:rtl/>
        </w:rPr>
        <w:t xml:space="preserve">שכ' </w:t>
      </w:r>
      <w:r w:rsidR="000A0F5A">
        <w:rPr>
          <w:rFonts w:cs="Arial"/>
          <w:rtl/>
        </w:rPr>
        <w:t>וז"ל:</w:t>
      </w:r>
      <w:r w:rsidRPr="000353BA">
        <w:rPr>
          <w:rFonts w:cs="Arial"/>
          <w:rtl/>
        </w:rPr>
        <w:t xml:space="preserve"> ומה שנכתב תיבת יתיכי על מקום נקב נראה דגם בזה אין מיחוש מאחר שחומר שטח האות הוא עב ורחב ונשאר מצד הנקב כשיעור רוחב אות כו' ומה שהנון של שבוקין נפסקה באמצעה מאחר שהוא במקום טופס אין להקפיד ומכ"ש כשהתינוק דל"ח ול"ט קורא אותו נו"ן כשמכסה את החצי הנפסק שלמטה עכ"ל</w:t>
      </w:r>
      <w:r>
        <w:rPr>
          <w:rFonts w:cs="Arial" w:hint="cs"/>
          <w:rtl/>
        </w:rPr>
        <w:t>, פת"ש (סקכ"ז).</w:t>
      </w:r>
    </w:p>
  </w:footnote>
  <w:footnote w:id="596">
    <w:p w14:paraId="3BC6F6FD" w14:textId="6AF856BE" w:rsidR="00B62357" w:rsidRDefault="00B62357" w:rsidP="00B62357">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F213DA">
        <w:rPr>
          <w:rFonts w:cs="Arial"/>
          <w:rtl/>
        </w:rPr>
        <w:t>יש להכשיר בהיות הרגל מחובר לגג שהרי דבר פשוט הוא דאין לך אדם לא תינוק ולא חכם ולא טפש שיקרא אותה חי"ת אלא הי"א אע</w:t>
      </w:r>
      <w:r>
        <w:rPr>
          <w:rFonts w:cs="Arial" w:hint="cs"/>
          <w:rtl/>
        </w:rPr>
        <w:t>"</w:t>
      </w:r>
      <w:r w:rsidRPr="00F213DA">
        <w:rPr>
          <w:rFonts w:cs="Arial"/>
          <w:rtl/>
        </w:rPr>
        <w:t>פ שהרגל מחובר לגגו. ומ"מ פשיטא ופשיטא שאם היה הרגל מחובר לגגו בענין שהתינוק לא חכם לא טפש יקרא אותה במקום חי"ת היה גט נפסל בכך. ומ"מ אפשר להיות החבור בתיבה שאף אם תקרא בחי"ת במקום הי"א שלא יפסל הגט בכך</w:t>
      </w:r>
      <w:r>
        <w:rPr>
          <w:rFonts w:cs="Arial" w:hint="cs"/>
          <w:rtl/>
        </w:rPr>
        <w:t>...</w:t>
      </w:r>
      <w:r w:rsidRPr="00F213DA">
        <w:rPr>
          <w:rFonts w:cs="Arial"/>
          <w:rtl/>
        </w:rPr>
        <w:t xml:space="preserve"> וא"כ נראה לי להכשיר מכל הני טעמי דלעיל. ועוד שהרי אפילו לענין ס"ת ותפילין כתב המרדכי קטן שמתחלה פסל להפריד בסכין היכא שנדבקו רגלי ההי"א או הקו"ף</w:t>
      </w:r>
      <w:r>
        <w:rPr>
          <w:rFonts w:cs="Arial" w:hint="cs"/>
          <w:rtl/>
        </w:rPr>
        <w:t>,</w:t>
      </w:r>
      <w:r w:rsidRPr="00F213DA">
        <w:rPr>
          <w:rFonts w:cs="Arial"/>
          <w:rtl/>
        </w:rPr>
        <w:t xml:space="preserve"> ושוב חזר בו והכשיר משמע שאין שם האות נפרד לגמרי משום דביקת הרגל בגג דאל"כ לא היה מכשיר בהפרדת הסכין דא"כ היה כמו חק תוכות.</w:t>
      </w:r>
      <w:r>
        <w:rPr>
          <w:rFonts w:cs="Arial" w:hint="cs"/>
          <w:rtl/>
        </w:rPr>
        <w:t>.</w:t>
      </w:r>
      <w:r w:rsidRPr="00F213DA">
        <w:rPr>
          <w:rFonts w:cs="Arial"/>
          <w:rtl/>
        </w:rPr>
        <w:t>. ומ"מ נראה לי להיות הדבר כשר והגון להפריד בסכין כמו שכתוב בטור אבן העזר שכתב תשובה בשם אביו רבינו אשר ז"ל וששאלתם שליח הובאה שהביא גט ולא היה הווי"ן אריכין אם רשאין ב"ד להאריכן והבעל רחוק מכאן לא הייתי פוסלו בשביל</w:t>
      </w:r>
      <w:r>
        <w:rPr>
          <w:rFonts w:cs="Arial" w:hint="cs"/>
          <w:rtl/>
        </w:rPr>
        <w:t xml:space="preserve">... </w:t>
      </w:r>
      <w:r w:rsidRPr="00F213DA">
        <w:rPr>
          <w:rFonts w:cs="Arial"/>
          <w:rtl/>
        </w:rPr>
        <w:t>עכ"ל</w:t>
      </w:r>
      <w:r>
        <w:rPr>
          <w:rFonts w:cs="Arial" w:hint="cs"/>
          <w:rtl/>
        </w:rPr>
        <w:t>.</w:t>
      </w:r>
      <w:r w:rsidRPr="00F213DA">
        <w:rPr>
          <w:rFonts w:cs="Arial"/>
          <w:rtl/>
        </w:rPr>
        <w:t xml:space="preserve"> הרי לך בהדיא שמותר לתקן הגט משום שהובא ממקום רחוק כ"ש וכ"ש הכא שהלך הבעל למדינת הים ואין לך תקנת עיגון גדול מזה לפי הנלע"ד וגם לא שעת הדחק גדול מזה כיון שהבעל הלך לו למדינת הים</w:t>
      </w:r>
      <w:r>
        <w:rPr>
          <w:rFonts w:cs="Arial" w:hint="cs"/>
          <w:rtl/>
        </w:rPr>
        <w:t>.</w:t>
      </w:r>
    </w:p>
  </w:footnote>
  <w:footnote w:id="597">
    <w:p w14:paraId="5AFE1DC7" w14:textId="5832C913" w:rsidR="00B62357" w:rsidRDefault="00B62357" w:rsidP="00B62357">
      <w:pPr>
        <w:pStyle w:val="a5"/>
        <w:rPr>
          <w:rtl/>
        </w:rPr>
      </w:pPr>
      <w:r>
        <w:rPr>
          <w:rStyle w:val="a7"/>
        </w:rPr>
        <w:footnoteRef/>
      </w:r>
      <w:r>
        <w:rPr>
          <w:rtl/>
        </w:rPr>
        <w:t xml:space="preserve"> </w:t>
      </w:r>
      <w:r w:rsidRPr="009F2257">
        <w:rPr>
          <w:rFonts w:cs="Arial"/>
          <w:rtl/>
        </w:rPr>
        <w:t>וכן נהגו כל ישראל וכן ראיתי כל רבותינו נוהגין להכתיב גט אחר כל זמן שאות אחת נוגעת שלא כמשפטה אפילו כמלא נימא ולא ראיתי מעולם מי שהקל בזה לכתחילה</w:t>
      </w:r>
      <w:r>
        <w:rPr>
          <w:rFonts w:cs="Arial" w:hint="cs"/>
          <w:rtl/>
        </w:rPr>
        <w:t xml:space="preserve">, </w:t>
      </w:r>
      <w:r w:rsidRPr="009F2257">
        <w:rPr>
          <w:rFonts w:cs="Arial" w:hint="cs"/>
          <w:b/>
          <w:bCs/>
          <w:rtl/>
        </w:rPr>
        <w:t xml:space="preserve">מהרי"ק </w:t>
      </w:r>
      <w:r>
        <w:rPr>
          <w:rFonts w:cs="Arial" w:hint="cs"/>
          <w:rtl/>
        </w:rPr>
        <w:t>(שורש צח).</w:t>
      </w:r>
      <w:r w:rsidRPr="009F2257">
        <w:rPr>
          <w:rFonts w:cs="Arial"/>
          <w:rtl/>
        </w:rPr>
        <w:t xml:space="preserve"> </w:t>
      </w:r>
      <w:r w:rsidRPr="00AA766B">
        <w:rPr>
          <w:rFonts w:cs="Arial"/>
          <w:rtl/>
        </w:rPr>
        <w:t>ותשובה זו דשורש צ"ח היא בודאי היכא דליכא למיחש לעיגון</w:t>
      </w:r>
      <w:r>
        <w:rPr>
          <w:rFonts w:cs="Arial" w:hint="cs"/>
          <w:rtl/>
        </w:rPr>
        <w:t>,</w:t>
      </w:r>
      <w:r w:rsidRPr="00AA766B">
        <w:rPr>
          <w:rFonts w:cs="Arial"/>
          <w:rtl/>
        </w:rPr>
        <w:t xml:space="preserve"> אבל היכא דאיכא למיחש לעיגון אע</w:t>
      </w:r>
      <w:r>
        <w:rPr>
          <w:rFonts w:cs="Arial" w:hint="cs"/>
          <w:rtl/>
        </w:rPr>
        <w:t>"</w:t>
      </w:r>
      <w:r w:rsidRPr="00AA766B">
        <w:rPr>
          <w:rFonts w:cs="Arial"/>
          <w:rtl/>
        </w:rPr>
        <w:t>ג שעדיין לא ניתן חשוב כדיעבד וכמו שכתב בשורש ע"א</w:t>
      </w:r>
      <w:r>
        <w:rPr>
          <w:rFonts w:cs="Arial" w:hint="cs"/>
          <w:rtl/>
        </w:rPr>
        <w:t xml:space="preserve">, </w:t>
      </w:r>
      <w:r w:rsidRPr="00D13118">
        <w:rPr>
          <w:rFonts w:cs="Arial" w:hint="cs"/>
          <w:b/>
          <w:bCs/>
          <w:rtl/>
        </w:rPr>
        <w:t>ב"י</w:t>
      </w:r>
      <w:r>
        <w:rPr>
          <w:rFonts w:cs="Arial" w:hint="cs"/>
          <w:rtl/>
        </w:rPr>
        <w:t xml:space="preserve"> (בסי' קכו).</w:t>
      </w:r>
      <w:r w:rsidRPr="009F2257">
        <w:rPr>
          <w:rFonts w:cs="Arial"/>
          <w:rtl/>
        </w:rPr>
        <w:t xml:space="preserve"> </w:t>
      </w:r>
      <w:r w:rsidR="00024824" w:rsidRPr="00024824">
        <w:rPr>
          <w:rFonts w:cs="Arial" w:hint="cs"/>
          <w:color w:val="00B0F0"/>
          <w:rtl/>
        </w:rPr>
        <w:t>(וכ"פ הרמ"א)</w:t>
      </w:r>
    </w:p>
  </w:footnote>
  <w:footnote w:id="598">
    <w:p w14:paraId="4D772F2E" w14:textId="61B45E41" w:rsidR="008C6FDC" w:rsidRDefault="008C6FDC">
      <w:pPr>
        <w:pStyle w:val="a5"/>
      </w:pPr>
      <w:r>
        <w:rPr>
          <w:rStyle w:val="a7"/>
        </w:rPr>
        <w:footnoteRef/>
      </w:r>
      <w:r>
        <w:rPr>
          <w:rtl/>
        </w:rPr>
        <w:t xml:space="preserve"> </w:t>
      </w:r>
      <w:r w:rsidRPr="008C6FDC">
        <w:rPr>
          <w:rFonts w:cs="Arial"/>
          <w:rtl/>
        </w:rPr>
        <w:t>כלומר אפילו תינוק דלא חכים יכול לקרותו דכל שאין צורת האות עליו כמו שנמסרה למשה מסיני אין שם אות עליו</w:t>
      </w:r>
      <w:r>
        <w:rPr>
          <w:rFonts w:cs="Arial" w:hint="cs"/>
          <w:rtl/>
        </w:rPr>
        <w:t>, ח"מ</w:t>
      </w:r>
      <w:r w:rsidRPr="008C6FDC">
        <w:rPr>
          <w:rFonts w:cs="Arial" w:hint="cs"/>
          <w:sz w:val="16"/>
          <w:szCs w:val="16"/>
          <w:rtl/>
        </w:rPr>
        <w:t xml:space="preserve"> (סקכ"ב)</w:t>
      </w:r>
      <w:r>
        <w:rPr>
          <w:rFonts w:cs="Arial" w:hint="cs"/>
          <w:rtl/>
        </w:rPr>
        <w:t>.</w:t>
      </w:r>
    </w:p>
  </w:footnote>
  <w:footnote w:id="599">
    <w:p w14:paraId="61C93B46" w14:textId="1A6039D4" w:rsidR="00B62357" w:rsidRDefault="00B62357" w:rsidP="00B62357">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986016">
        <w:rPr>
          <w:rFonts w:cs="Arial"/>
          <w:rtl/>
        </w:rPr>
        <w:t>ותליית קופין וההין וטשטושין אין פוסלין בגט כ"ז שתינוק דלא חכים ולא טפש יכול לקרות' יפה וכל מה שהחמירו בזה הוא לכתחלה אבל בדיעבד לא מפסיל אלא היכא דינוקא דלא חכים ולא טפש יכול למיקרייה</w:t>
      </w:r>
      <w:r>
        <w:rPr>
          <w:rFonts w:cs="Arial" w:hint="cs"/>
          <w:rtl/>
        </w:rPr>
        <w:t>.</w:t>
      </w:r>
    </w:p>
  </w:footnote>
  <w:footnote w:id="600">
    <w:p w14:paraId="3E2C2F65" w14:textId="77777777" w:rsidR="00024824" w:rsidRDefault="00024824" w:rsidP="00024824">
      <w:pPr>
        <w:pStyle w:val="a5"/>
        <w:rPr>
          <w:rtl/>
        </w:rPr>
      </w:pPr>
      <w:r>
        <w:rPr>
          <w:rStyle w:val="a7"/>
        </w:rPr>
        <w:footnoteRef/>
      </w:r>
      <w:r>
        <w:rPr>
          <w:rtl/>
        </w:rPr>
        <w:t xml:space="preserve"> </w:t>
      </w:r>
      <w:r w:rsidRPr="003E2ADE">
        <w:rPr>
          <w:rFonts w:cs="Arial"/>
          <w:rtl/>
        </w:rPr>
        <w:t>ונראה שדוקא לכתחלה אבל בדיעבד אין לחוש אם יתקנו אחר כך וכן כתב שם סימן צ"ז (סעיף א')</w:t>
      </w:r>
      <w:r>
        <w:rPr>
          <w:rFonts w:cs="Arial" w:hint="cs"/>
          <w:rtl/>
        </w:rPr>
        <w:t>, דרכ"מ (אות ד).</w:t>
      </w:r>
      <w:r w:rsidRPr="00024824">
        <w:rPr>
          <w:rFonts w:cs="Arial" w:hint="cs"/>
          <w:color w:val="00B0F0"/>
          <w:rtl/>
        </w:rPr>
        <w:t xml:space="preserve"> (וכ"פ </w:t>
      </w:r>
      <w:r>
        <w:rPr>
          <w:rFonts w:cs="Arial" w:hint="cs"/>
          <w:color w:val="00B0F0"/>
          <w:rtl/>
        </w:rPr>
        <w:t>בהג"ה</w:t>
      </w:r>
      <w:r w:rsidRPr="00024824">
        <w:rPr>
          <w:rFonts w:cs="Arial" w:hint="cs"/>
          <w:color w:val="00B0F0"/>
          <w:rtl/>
        </w:rPr>
        <w:t>)</w:t>
      </w:r>
    </w:p>
  </w:footnote>
  <w:footnote w:id="601">
    <w:p w14:paraId="57E6650D" w14:textId="77777777" w:rsidR="00923438" w:rsidRPr="00351B7D" w:rsidRDefault="00923438" w:rsidP="00923438">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והוא כדעת ב"ש </w:t>
      </w:r>
      <w:r w:rsidRPr="00351B7D">
        <w:rPr>
          <w:rFonts w:asciiTheme="minorBidi" w:hAnsiTheme="minorBidi"/>
          <w:sz w:val="14"/>
          <w:szCs w:val="14"/>
          <w:rtl/>
        </w:rPr>
        <w:t xml:space="preserve">(סי' קכה סקכ"ח) </w:t>
      </w:r>
      <w:r w:rsidRPr="00351B7D">
        <w:rPr>
          <w:rFonts w:asciiTheme="minorBidi" w:hAnsiTheme="minorBidi"/>
          <w:rtl/>
        </w:rPr>
        <w:t xml:space="preserve">ומג"א </w:t>
      </w:r>
      <w:r w:rsidRPr="00351B7D">
        <w:rPr>
          <w:rFonts w:asciiTheme="minorBidi" w:hAnsiTheme="minorBidi"/>
          <w:sz w:val="14"/>
          <w:szCs w:val="14"/>
          <w:rtl/>
        </w:rPr>
        <w:t>(הביאו הב"ש שם)</w:t>
      </w:r>
      <w:r w:rsidRPr="00351B7D">
        <w:rPr>
          <w:rFonts w:asciiTheme="minorBidi" w:hAnsiTheme="minorBidi"/>
          <w:sz w:val="16"/>
          <w:szCs w:val="16"/>
          <w:rtl/>
        </w:rPr>
        <w:t xml:space="preserve"> </w:t>
      </w:r>
      <w:r w:rsidRPr="00351B7D">
        <w:rPr>
          <w:rFonts w:asciiTheme="minorBidi" w:hAnsiTheme="minorBidi"/>
          <w:rtl/>
        </w:rPr>
        <w:t>שרק הכפיפה שבצד שמאל של היו"ד נוגעת אבל היו"ד גופיה אינו נוגע</w:t>
      </w:r>
      <w:r w:rsidRPr="00351B7D">
        <w:rPr>
          <w:rFonts w:asciiTheme="minorBidi" w:hAnsiTheme="minorBidi"/>
          <w:sz w:val="16"/>
          <w:szCs w:val="16"/>
          <w:rtl/>
        </w:rPr>
        <w:t xml:space="preserve"> </w:t>
      </w:r>
      <w:r w:rsidRPr="00351B7D">
        <w:rPr>
          <w:rFonts w:asciiTheme="minorBidi" w:hAnsiTheme="minorBidi"/>
          <w:sz w:val="14"/>
          <w:szCs w:val="14"/>
          <w:rtl/>
        </w:rPr>
        <w:t>(הגוה"ע)</w:t>
      </w:r>
      <w:r w:rsidRPr="00351B7D">
        <w:rPr>
          <w:rFonts w:asciiTheme="minorBidi" w:hAnsiTheme="minorBidi"/>
          <w:rtl/>
        </w:rPr>
        <w:t>.</w:t>
      </w:r>
    </w:p>
  </w:footnote>
  <w:footnote w:id="602">
    <w:p w14:paraId="3CBF862E" w14:textId="24B855D2" w:rsidR="00923438" w:rsidRPr="00351B7D" w:rsidRDefault="00923438" w:rsidP="00923438">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עוד</w:t>
      </w:r>
      <w:r w:rsidRPr="00351B7D">
        <w:rPr>
          <w:rFonts w:asciiTheme="minorBidi" w:hAnsiTheme="minorBidi"/>
          <w:rtl/>
        </w:rPr>
        <w:t xml:space="preserve"> בשם מהר"י ברי"ן מעשה שנתפשטו האותיות שקורין צו פלאסי"ן עד שהיו נראין כדבוקות מ"מ היה ניכר שלא היה אלא מלחות הדיו שהיה לבן יותר מגוף האות ונתן הגט לכתח'. וכ' עוד בשמו דאין להקפיד אם האריך מ"ם סתומה בסוף השיטה</w:t>
      </w:r>
      <w:r>
        <w:rPr>
          <w:rFonts w:asciiTheme="minorBidi" w:hAnsiTheme="minorBidi" w:hint="cs"/>
          <w:rtl/>
        </w:rPr>
        <w:t>, דרכ"מ (סי' קכו אות ה)</w:t>
      </w:r>
      <w:r w:rsidRPr="00351B7D">
        <w:rPr>
          <w:rFonts w:asciiTheme="minorBidi" w:hAnsiTheme="minorBidi"/>
          <w:rtl/>
        </w:rPr>
        <w:t>.</w:t>
      </w:r>
    </w:p>
  </w:footnote>
  <w:footnote w:id="603">
    <w:p w14:paraId="67AF0D27" w14:textId="72422FB4" w:rsidR="00AB5B83" w:rsidRDefault="00AB5B83">
      <w:pPr>
        <w:pStyle w:val="a5"/>
      </w:pPr>
      <w:r>
        <w:rPr>
          <w:rStyle w:val="a7"/>
        </w:rPr>
        <w:footnoteRef/>
      </w:r>
      <w:r>
        <w:rPr>
          <w:rtl/>
        </w:rPr>
        <w:t xml:space="preserve"> </w:t>
      </w:r>
      <w:r w:rsidRPr="00AB5B83">
        <w:rPr>
          <w:rFonts w:cs="Arial"/>
          <w:rtl/>
        </w:rPr>
        <w:t>כלומר אם נותן הגט כך לאשה בלי הפרדת סכין ויש כאן עיגון אם נצריך גט אחר או אפי' להפריד בסכין אי אפשר כגון שנאבד הגט אז מכשירין במקום עיגון דמ"מ צורת האות עליו אף אם נוגע הרגל בגג</w:t>
      </w:r>
      <w:r>
        <w:rPr>
          <w:rFonts w:cs="Arial" w:hint="cs"/>
          <w:rtl/>
        </w:rPr>
        <w:t>, ח"מ (סקכ"ג).</w:t>
      </w:r>
    </w:p>
  </w:footnote>
  <w:footnote w:id="604">
    <w:p w14:paraId="07B6DE18" w14:textId="767C2EAC" w:rsidR="00AB5B83" w:rsidRDefault="00AB5B83">
      <w:pPr>
        <w:pStyle w:val="a5"/>
      </w:pPr>
      <w:r>
        <w:rPr>
          <w:rStyle w:val="a7"/>
        </w:rPr>
        <w:footnoteRef/>
      </w:r>
      <w:r>
        <w:rPr>
          <w:rtl/>
        </w:rPr>
        <w:t xml:space="preserve"> </w:t>
      </w:r>
      <w:r w:rsidRPr="00AB5B83">
        <w:rPr>
          <w:rFonts w:cs="Arial"/>
          <w:rtl/>
        </w:rPr>
        <w:t>נראה אף דתינוק אין יכול לקרותו כלל או בטעות אחר אפי' טעות גדול כגון שינה שמו יכול למחוק מה שכתב בטעות ויכתוב מה שצריך לכתוב</w:t>
      </w:r>
      <w:r w:rsidR="00E673F6">
        <w:rPr>
          <w:rFonts w:cs="Arial" w:hint="cs"/>
          <w:rtl/>
        </w:rPr>
        <w:t>.</w:t>
      </w:r>
      <w:r w:rsidRPr="00AB5B83">
        <w:rPr>
          <w:rFonts w:cs="Arial"/>
          <w:rtl/>
        </w:rPr>
        <w:t xml:space="preserve"> ואף שמדינא צריך לקיים למטה ולכתוב אות פלוני על המחק</w:t>
      </w:r>
      <w:r w:rsidR="00E673F6">
        <w:rPr>
          <w:rFonts w:cs="Arial" w:hint="cs"/>
          <w:rtl/>
        </w:rPr>
        <w:t>,</w:t>
      </w:r>
      <w:r w:rsidRPr="00AB5B83">
        <w:rPr>
          <w:rFonts w:cs="Arial"/>
          <w:rtl/>
        </w:rPr>
        <w:t xml:space="preserve"> ועכשיו אין נוהגין לקיים שום מחק בגט וכמ"ש לקמן סעיף י"ט</w:t>
      </w:r>
      <w:r w:rsidR="00E673F6">
        <w:rPr>
          <w:rFonts w:cs="Arial" w:hint="cs"/>
          <w:rtl/>
        </w:rPr>
        <w:t>,</w:t>
      </w:r>
      <w:r w:rsidRPr="00AB5B83">
        <w:rPr>
          <w:rFonts w:cs="Arial"/>
          <w:rtl/>
        </w:rPr>
        <w:t xml:space="preserve"> מ"מ נראה דבמקום עיגון כשר הגט בלא קיום דהא מותר לכתוב על דבר שיוכל להזדייף על נייר מחוק כשנותן לה בעידי מסירה וא"כ כל הפסולי</w:t>
      </w:r>
      <w:r>
        <w:rPr>
          <w:rFonts w:cs="Arial" w:hint="cs"/>
          <w:rtl/>
        </w:rPr>
        <w:t>ם</w:t>
      </w:r>
      <w:r w:rsidRPr="00AB5B83">
        <w:rPr>
          <w:rFonts w:cs="Arial"/>
          <w:rtl/>
        </w:rPr>
        <w:t xml:space="preserve"> משום חשש זיוף כשנותן לה בעידי מסירה כשר הגט במקום עיגון</w:t>
      </w:r>
      <w:r w:rsidR="00E673F6">
        <w:rPr>
          <w:rFonts w:cs="Arial" w:hint="cs"/>
          <w:rtl/>
        </w:rPr>
        <w:t>,</w:t>
      </w:r>
      <w:r w:rsidRPr="00AB5B83">
        <w:rPr>
          <w:rFonts w:cs="Arial"/>
          <w:rtl/>
        </w:rPr>
        <w:t xml:space="preserve"> וכל החומרו' שנזכרו בסי' זה משום חשש זיוף אינו רק במקום שאין כאן עיגון ועיין לקמן סעיף כ"א</w:t>
      </w:r>
      <w:r>
        <w:rPr>
          <w:rFonts w:cs="Arial" w:hint="cs"/>
          <w:rtl/>
        </w:rPr>
        <w:t>, ח"מ (סקכ"ד).</w:t>
      </w:r>
      <w:r w:rsidR="00E673F6">
        <w:rPr>
          <w:rFonts w:hint="cs"/>
          <w:rtl/>
        </w:rPr>
        <w:t xml:space="preserve">  </w:t>
      </w:r>
    </w:p>
  </w:footnote>
  <w:footnote w:id="605">
    <w:p w14:paraId="3F5C919A" w14:textId="24C6D5B3" w:rsidR="00E673F6" w:rsidRDefault="00E673F6">
      <w:pPr>
        <w:pStyle w:val="a5"/>
        <w:rPr>
          <w:rtl/>
        </w:rPr>
      </w:pPr>
      <w:r>
        <w:rPr>
          <w:rStyle w:val="a7"/>
        </w:rPr>
        <w:footnoteRef/>
      </w:r>
      <w:r>
        <w:rPr>
          <w:rtl/>
        </w:rPr>
        <w:t xml:space="preserve"> </w:t>
      </w:r>
      <w:r w:rsidRPr="00E673F6">
        <w:rPr>
          <w:rFonts w:cs="Arial"/>
          <w:rtl/>
        </w:rPr>
        <w:t>הטעם כתב בט"ז שלא יהיה מחוסר מעשה אחר גמר הכתיבה קודם הנתינה ויכול לתקן אפילו אינו שעת הדחק כיון דליכא תיקון כ"כ ול"ד לפירוד אותיות לכן יכול לתקן כאן כל זמן שלא חתמו העדים אם צוה הבעל או יתקן הסופר כמ"ש בסמוך</w:t>
      </w:r>
      <w:r>
        <w:rPr>
          <w:rFonts w:hint="cs"/>
          <w:rtl/>
        </w:rPr>
        <w:t>, ב"ש (סקכ"ה).</w:t>
      </w:r>
    </w:p>
  </w:footnote>
  <w:footnote w:id="606">
    <w:p w14:paraId="1F59BE8E" w14:textId="26B112C3" w:rsidR="001449DA" w:rsidRDefault="001449DA">
      <w:pPr>
        <w:pStyle w:val="a5"/>
      </w:pPr>
      <w:r>
        <w:rPr>
          <w:rStyle w:val="a7"/>
        </w:rPr>
        <w:footnoteRef/>
      </w:r>
      <w:r>
        <w:rPr>
          <w:rtl/>
        </w:rPr>
        <w:t xml:space="preserve"> </w:t>
      </w:r>
      <w:r w:rsidRPr="001449DA">
        <w:rPr>
          <w:rFonts w:cs="Arial"/>
          <w:rtl/>
        </w:rPr>
        <w:t>כבר כתבתי לדעת רמ"א דוקא בדיעבד ובמקו</w:t>
      </w:r>
      <w:r w:rsidR="009F3521">
        <w:rPr>
          <w:rFonts w:cs="Arial" w:hint="cs"/>
          <w:rtl/>
        </w:rPr>
        <w:t>ם</w:t>
      </w:r>
      <w:r w:rsidRPr="001449DA">
        <w:rPr>
          <w:rFonts w:cs="Arial"/>
          <w:rtl/>
        </w:rPr>
        <w:t xml:space="preserve"> הדחק</w:t>
      </w:r>
      <w:r w:rsidR="009F3521">
        <w:rPr>
          <w:rFonts w:cs="Arial" w:hint="cs"/>
          <w:rtl/>
        </w:rPr>
        <w:t>.</w:t>
      </w:r>
      <w:r w:rsidRPr="001449DA">
        <w:rPr>
          <w:rFonts w:cs="Arial"/>
          <w:rtl/>
        </w:rPr>
        <w:t xml:space="preserve"> </w:t>
      </w:r>
      <w:r w:rsidR="009F3521">
        <w:rPr>
          <w:rFonts w:cs="Arial" w:hint="cs"/>
          <w:rtl/>
        </w:rPr>
        <w:t>ו</w:t>
      </w:r>
      <w:r w:rsidRPr="001449DA">
        <w:rPr>
          <w:rFonts w:cs="Arial"/>
          <w:rtl/>
        </w:rPr>
        <w:t xml:space="preserve">מ"ש </w:t>
      </w:r>
      <w:r w:rsidR="00BC7D8F">
        <w:rPr>
          <w:rFonts w:cs="Arial" w:hint="cs"/>
          <w:sz w:val="16"/>
          <w:szCs w:val="16"/>
          <w:rtl/>
        </w:rPr>
        <w:t xml:space="preserve">{לעיל} </w:t>
      </w:r>
      <w:r w:rsidRPr="001449DA">
        <w:rPr>
          <w:rFonts w:cs="Arial"/>
          <w:rtl/>
        </w:rPr>
        <w:t xml:space="preserve">בסמוך </w:t>
      </w:r>
      <w:r w:rsidR="009F3521">
        <w:rPr>
          <w:rFonts w:cs="Arial" w:hint="cs"/>
          <w:rtl/>
        </w:rPr>
        <w:t>'</w:t>
      </w:r>
      <w:r w:rsidRPr="001449DA">
        <w:rPr>
          <w:rFonts w:cs="Arial"/>
          <w:rtl/>
        </w:rPr>
        <w:t>אם צריך לתקן כגון שלא נוגעים וכו' יתקן</w:t>
      </w:r>
      <w:r w:rsidR="009F3521">
        <w:rPr>
          <w:rFonts w:cs="Arial" w:hint="cs"/>
          <w:rtl/>
        </w:rPr>
        <w:t>',</w:t>
      </w:r>
      <w:r w:rsidRPr="001449DA">
        <w:rPr>
          <w:rFonts w:cs="Arial"/>
          <w:rtl/>
        </w:rPr>
        <w:t xml:space="preserve"> משמע אפילו בלא עיגון יתקן</w:t>
      </w:r>
      <w:r w:rsidR="009F3521">
        <w:rPr>
          <w:rFonts w:cs="Arial" w:hint="cs"/>
          <w:rtl/>
        </w:rPr>
        <w:t>,</w:t>
      </w:r>
      <w:r w:rsidRPr="001449DA">
        <w:rPr>
          <w:rFonts w:cs="Arial"/>
          <w:rtl/>
        </w:rPr>
        <w:t xml:space="preserve"> צ"ל דאיירי קודם חתימות העדים יכול לתקן אפילו בלא עיגון</w:t>
      </w:r>
      <w:r w:rsidR="009F3521">
        <w:rPr>
          <w:rFonts w:cs="Arial" w:hint="cs"/>
          <w:rtl/>
        </w:rPr>
        <w:t>,</w:t>
      </w:r>
      <w:r w:rsidRPr="001449DA">
        <w:rPr>
          <w:rFonts w:cs="Arial"/>
          <w:rtl/>
        </w:rPr>
        <w:t xml:space="preserve"> אבל לאחר החתימות אין תקנה אלא בדיעבד ובמקום עיגון</w:t>
      </w:r>
      <w:r w:rsidR="009F3521">
        <w:rPr>
          <w:rFonts w:cs="Arial" w:hint="cs"/>
          <w:rtl/>
        </w:rPr>
        <w:t>.</w:t>
      </w:r>
      <w:r w:rsidRPr="001449DA">
        <w:rPr>
          <w:rFonts w:cs="Arial"/>
          <w:rtl/>
        </w:rPr>
        <w:t xml:space="preserve"> וכ"כ בסדר מהר"מ </w:t>
      </w:r>
      <w:r w:rsidR="009F3521">
        <w:rPr>
          <w:rFonts w:cs="Arial" w:hint="cs"/>
          <w:rtl/>
        </w:rPr>
        <w:t>ד</w:t>
      </w:r>
      <w:r w:rsidRPr="001449DA">
        <w:rPr>
          <w:rFonts w:cs="Arial"/>
          <w:rtl/>
        </w:rPr>
        <w:t>דיבוק אותיות או נגיע</w:t>
      </w:r>
      <w:r w:rsidR="00AA0F6F">
        <w:rPr>
          <w:rFonts w:cs="Arial" w:hint="cs"/>
          <w:rtl/>
        </w:rPr>
        <w:t>ת</w:t>
      </w:r>
      <w:r w:rsidRPr="001449DA">
        <w:rPr>
          <w:rFonts w:cs="Arial"/>
          <w:rtl/>
        </w:rPr>
        <w:t xml:space="preserve"> ההי"ן או קופי"ן ואפילו קודם החתימה אין לתקן אא"כ במקום עיגון י</w:t>
      </w:r>
      <w:r w:rsidR="00AA0F6F">
        <w:rPr>
          <w:rFonts w:cs="Arial" w:hint="cs"/>
          <w:rtl/>
        </w:rPr>
        <w:t>ת</w:t>
      </w:r>
      <w:r w:rsidRPr="001449DA">
        <w:rPr>
          <w:rFonts w:cs="Arial"/>
          <w:rtl/>
        </w:rPr>
        <w:t>קן</w:t>
      </w:r>
      <w:r w:rsidR="00AA0F6F">
        <w:rPr>
          <w:rFonts w:cs="Arial" w:hint="cs"/>
          <w:rtl/>
        </w:rPr>
        <w:t>,</w:t>
      </w:r>
      <w:r w:rsidRPr="001449DA">
        <w:rPr>
          <w:rFonts w:cs="Arial"/>
          <w:rtl/>
        </w:rPr>
        <w:t xml:space="preserve"> אבל אם אינו נוגע שפיר יש לתקן קודם החתימה אפילו בלא עיגון</w:t>
      </w:r>
      <w:r w:rsidR="00AA0F6F">
        <w:rPr>
          <w:rFonts w:cs="Arial" w:hint="cs"/>
          <w:rtl/>
        </w:rPr>
        <w:t>.</w:t>
      </w:r>
      <w:r w:rsidRPr="001449DA">
        <w:rPr>
          <w:rFonts w:cs="Arial"/>
          <w:rtl/>
        </w:rPr>
        <w:t xml:space="preserve"> ועיין בא"ח שם מבואר </w:t>
      </w:r>
      <w:r w:rsidR="00AA0F6F">
        <w:rPr>
          <w:rFonts w:cs="Arial" w:hint="cs"/>
          <w:rtl/>
        </w:rPr>
        <w:t>ד</w:t>
      </w:r>
      <w:r w:rsidRPr="001449DA">
        <w:rPr>
          <w:rFonts w:cs="Arial"/>
          <w:rtl/>
        </w:rPr>
        <w:t>אם לא היו נוגעים היודין דינם שוה לתיקון אותיות דבוקים גם מבוא</w:t>
      </w:r>
      <w:r w:rsidR="00AA0F6F">
        <w:rPr>
          <w:rFonts w:cs="Arial" w:hint="cs"/>
          <w:rtl/>
        </w:rPr>
        <w:t>ר</w:t>
      </w:r>
      <w:r w:rsidRPr="001449DA">
        <w:rPr>
          <w:rFonts w:cs="Arial"/>
          <w:rtl/>
        </w:rPr>
        <w:t xml:space="preserve"> שם </w:t>
      </w:r>
      <w:r w:rsidR="00AA0F6F">
        <w:rPr>
          <w:rFonts w:cs="Arial" w:hint="cs"/>
          <w:rtl/>
        </w:rPr>
        <w:t>ד</w:t>
      </w:r>
      <w:r w:rsidRPr="001449DA">
        <w:rPr>
          <w:rFonts w:cs="Arial"/>
          <w:rtl/>
        </w:rPr>
        <w:t>אם כתב במקום צדי"ק נו"ן יו"ד גרע טפי</w:t>
      </w:r>
      <w:r>
        <w:rPr>
          <w:rFonts w:cs="Arial" w:hint="cs"/>
          <w:rtl/>
        </w:rPr>
        <w:t xml:space="preserve">, </w:t>
      </w:r>
      <w:r w:rsidRPr="00BC7D8F">
        <w:rPr>
          <w:rFonts w:cs="Arial" w:hint="cs"/>
          <w:b/>
          <w:bCs/>
          <w:rtl/>
        </w:rPr>
        <w:t>ב"ש</w:t>
      </w:r>
      <w:r>
        <w:rPr>
          <w:rFonts w:cs="Arial" w:hint="cs"/>
          <w:rtl/>
        </w:rPr>
        <w:t xml:space="preserve"> (סקכ"ו).</w:t>
      </w:r>
      <w:r w:rsidR="00BC7D8F" w:rsidRPr="00BC7D8F">
        <w:rPr>
          <w:rFonts w:cs="Arial" w:hint="cs"/>
          <w:rtl/>
        </w:rPr>
        <w:t xml:space="preserve"> </w:t>
      </w:r>
      <w:r w:rsidR="00BC7D8F">
        <w:rPr>
          <w:rFonts w:cs="Arial" w:hint="cs"/>
          <w:rtl/>
        </w:rPr>
        <w:t xml:space="preserve">וכתב </w:t>
      </w:r>
      <w:r w:rsidR="00BC7D8F" w:rsidRPr="00BC7D8F">
        <w:rPr>
          <w:rFonts w:cs="Arial" w:hint="cs"/>
          <w:b/>
          <w:bCs/>
          <w:rtl/>
        </w:rPr>
        <w:t>הפת"ש</w:t>
      </w:r>
      <w:r w:rsidR="00BC7D8F" w:rsidRPr="00744549">
        <w:rPr>
          <w:rFonts w:cs="Arial"/>
          <w:rtl/>
        </w:rPr>
        <w:t xml:space="preserve"> (</w:t>
      </w:r>
      <w:r w:rsidR="00BC7D8F">
        <w:rPr>
          <w:rFonts w:cs="Arial" w:hint="cs"/>
          <w:rtl/>
        </w:rPr>
        <w:t>סק</w:t>
      </w:r>
      <w:r w:rsidR="00BC7D8F" w:rsidRPr="00744549">
        <w:rPr>
          <w:rFonts w:cs="Arial"/>
          <w:rtl/>
        </w:rPr>
        <w:t>כ</w:t>
      </w:r>
      <w:r w:rsidR="00BC7D8F">
        <w:rPr>
          <w:rFonts w:cs="Arial" w:hint="cs"/>
          <w:rtl/>
        </w:rPr>
        <w:t>"</w:t>
      </w:r>
      <w:r w:rsidR="00BC7D8F" w:rsidRPr="00744549">
        <w:rPr>
          <w:rFonts w:cs="Arial"/>
          <w:rtl/>
        </w:rPr>
        <w:t xml:space="preserve">ח) </w:t>
      </w:r>
      <w:r w:rsidR="00BC7D8F">
        <w:rPr>
          <w:rFonts w:cs="Arial" w:hint="cs"/>
          <w:rtl/>
        </w:rPr>
        <w:t>ד</w:t>
      </w:r>
      <w:r w:rsidR="00BC7D8F" w:rsidRPr="00744549">
        <w:rPr>
          <w:rFonts w:cs="Arial"/>
          <w:rtl/>
        </w:rPr>
        <w:t xml:space="preserve">הנה כאן הביא הרמ"א ז"ל ב' הדיעות בלי הכרעה אך בסי' קכ"ו סמ"ז שסתם מרן המחבר כדעת המכשירין אפי' בתורף במקום עיגון והרמ"א שתק שם משמע שכן דעתו ג"כ. ועב"ש </w:t>
      </w:r>
      <w:r w:rsidR="00BC7D8F">
        <w:rPr>
          <w:rFonts w:cs="Arial" w:hint="cs"/>
          <w:rtl/>
        </w:rPr>
        <w:t>(</w:t>
      </w:r>
      <w:r w:rsidR="00BC7D8F" w:rsidRPr="00744549">
        <w:rPr>
          <w:rFonts w:cs="Arial"/>
          <w:rtl/>
        </w:rPr>
        <w:t>שם</w:t>
      </w:r>
      <w:r w:rsidR="00BC7D8F">
        <w:rPr>
          <w:rFonts w:cs="Arial" w:hint="cs"/>
          <w:rtl/>
        </w:rPr>
        <w:t>,</w:t>
      </w:r>
      <w:r w:rsidR="00BC7D8F" w:rsidRPr="00744549">
        <w:rPr>
          <w:rFonts w:cs="Arial"/>
          <w:rtl/>
        </w:rPr>
        <w:t xml:space="preserve"> וכאן</w:t>
      </w:r>
      <w:r w:rsidR="00BC7D8F">
        <w:rPr>
          <w:rFonts w:cs="Arial" w:hint="cs"/>
          <w:rtl/>
        </w:rPr>
        <w:t xml:space="preserve"> סקכ"ו)</w:t>
      </w:r>
      <w:r w:rsidR="00BC7D8F" w:rsidRPr="00744549">
        <w:rPr>
          <w:rFonts w:cs="Arial"/>
          <w:rtl/>
        </w:rPr>
        <w:t xml:space="preserve"> דנראה לו שגם במקום עיגון אין דעת הרב"י להכשיר רק בדיעבד שכבר ניתן הגט ע"ש. ועיין בתשו' פרי תבואה </w:t>
      </w:r>
      <w:r w:rsidR="00BC7D8F">
        <w:rPr>
          <w:rFonts w:cs="Arial" w:hint="cs"/>
          <w:rtl/>
        </w:rPr>
        <w:t>(</w:t>
      </w:r>
      <w:r w:rsidR="00BC7D8F" w:rsidRPr="00744549">
        <w:rPr>
          <w:rFonts w:cs="Arial"/>
          <w:rtl/>
        </w:rPr>
        <w:t>סי' סב</w:t>
      </w:r>
      <w:r w:rsidR="00BC7D8F">
        <w:rPr>
          <w:rFonts w:cs="Arial" w:hint="cs"/>
          <w:rtl/>
        </w:rPr>
        <w:t>)</w:t>
      </w:r>
      <w:r w:rsidR="00BC7D8F" w:rsidRPr="00744549">
        <w:rPr>
          <w:rFonts w:cs="Arial"/>
          <w:rtl/>
        </w:rPr>
        <w:t xml:space="preserve"> </w:t>
      </w:r>
      <w:r w:rsidR="00BC7D8F">
        <w:rPr>
          <w:rFonts w:cs="Arial" w:hint="cs"/>
          <w:rtl/>
        </w:rPr>
        <w:t>ד</w:t>
      </w:r>
      <w:r w:rsidR="00BC7D8F" w:rsidRPr="00744549">
        <w:rPr>
          <w:rFonts w:cs="Arial"/>
          <w:rtl/>
        </w:rPr>
        <w:t>אף אם נאמר דהוי ריעותא בתורף נ"ל להקל במקום עיגון אע</w:t>
      </w:r>
      <w:r w:rsidR="00BC7D8F">
        <w:rPr>
          <w:rFonts w:cs="Arial" w:hint="cs"/>
          <w:rtl/>
        </w:rPr>
        <w:t>"</w:t>
      </w:r>
      <w:r w:rsidR="00BC7D8F" w:rsidRPr="00744549">
        <w:rPr>
          <w:rFonts w:cs="Arial"/>
          <w:rtl/>
        </w:rPr>
        <w:t>פ שלא ניתן הגט עדיין</w:t>
      </w:r>
      <w:r w:rsidR="00BC7D8F">
        <w:rPr>
          <w:rFonts w:cs="Arial" w:hint="cs"/>
          <w:rtl/>
        </w:rPr>
        <w:t>,</w:t>
      </w:r>
      <w:r w:rsidR="00BC7D8F" w:rsidRPr="00744549">
        <w:rPr>
          <w:rFonts w:cs="Arial"/>
          <w:rtl/>
        </w:rPr>
        <w:t xml:space="preserve"> ודלא כב"ש</w:t>
      </w:r>
      <w:r w:rsidR="00BC7D8F">
        <w:rPr>
          <w:rFonts w:cs="Arial" w:hint="cs"/>
          <w:rtl/>
        </w:rPr>
        <w:t>,</w:t>
      </w:r>
      <w:r w:rsidR="00BC7D8F" w:rsidRPr="00744549">
        <w:rPr>
          <w:rFonts w:cs="Arial"/>
          <w:rtl/>
        </w:rPr>
        <w:t xml:space="preserve"> דהא לא מצינו מאן דמחמיר בזה אלא התה"ד שיצא לו כן מדברי הרא"ש סוף גיטין כו' לבד דהוכחתו מדברי הרא"ש אינו מוכרח הנה מדברי הרא"ש עצמו בתשובה כלל מ"ה סי' י"ג משמע להדיא דיש להכשיר במקום עיגון אף שלא ניתן עדיין כו' ע"ש ועיין בס"ק ל' וגם מ"ש לקמן סימן קכ"ו סמ"ז ס"ק</w:t>
      </w:r>
      <w:r w:rsidR="00BC7D8F">
        <w:rPr>
          <w:rFonts w:hint="cs"/>
          <w:rtl/>
        </w:rPr>
        <w:t>.</w:t>
      </w:r>
    </w:p>
  </w:footnote>
  <w:footnote w:id="607">
    <w:p w14:paraId="4DB731D1" w14:textId="79A389DD" w:rsidR="00BC7D8F" w:rsidRDefault="00BC7D8F">
      <w:pPr>
        <w:pStyle w:val="a5"/>
      </w:pPr>
      <w:r>
        <w:rPr>
          <w:rStyle w:val="a7"/>
        </w:rPr>
        <w:footnoteRef/>
      </w:r>
      <w:r>
        <w:rPr>
          <w:rtl/>
        </w:rPr>
        <w:t xml:space="preserve"> </w:t>
      </w:r>
      <w:r w:rsidRPr="00744549">
        <w:rPr>
          <w:rFonts w:cs="Arial"/>
          <w:rtl/>
        </w:rPr>
        <w:t>עיין בס' תו"ג שכ' דבזמן הגט אף שהוא מהתורף מ"מ נראה דאין פסולים שבסימן זה פוסלים בו דהא מבואר בסי' קכ"ו סכ"א דאפילו דילג תיבה שלימה כל שהטעות מוכח אינו פוסל וכן מבואר בב"ש שם סק"ל דאפי' חסר ר' של רביעי כו' ונגיעה לא גרע מחסר אות וכן בטעות במקום עמידה כיון דמוכח מתוכו המקום כשר ע"ש</w:t>
      </w:r>
      <w:r>
        <w:rPr>
          <w:rFonts w:cs="Arial" w:hint="cs"/>
          <w:rtl/>
        </w:rPr>
        <w:t>, פת"ש (סקכ"ט).</w:t>
      </w:r>
    </w:p>
  </w:footnote>
  <w:footnote w:id="608">
    <w:p w14:paraId="2269BCDF" w14:textId="5ACD2B8A" w:rsidR="00A92A6F" w:rsidRDefault="00A92A6F">
      <w:pPr>
        <w:pStyle w:val="a5"/>
      </w:pPr>
      <w:r>
        <w:rPr>
          <w:rStyle w:val="a7"/>
        </w:rPr>
        <w:footnoteRef/>
      </w:r>
      <w:r>
        <w:rPr>
          <w:rtl/>
        </w:rPr>
        <w:t xml:space="preserve"> </w:t>
      </w:r>
      <w:r>
        <w:rPr>
          <w:rFonts w:cs="Arial" w:hint="cs"/>
          <w:rtl/>
        </w:rPr>
        <w:t xml:space="preserve">אם ניתן כבר הגט, פת"ש </w:t>
      </w:r>
      <w:r w:rsidRPr="00A92A6F">
        <w:rPr>
          <w:rFonts w:cs="Arial" w:hint="cs"/>
          <w:sz w:val="16"/>
          <w:szCs w:val="16"/>
          <w:rtl/>
        </w:rPr>
        <w:t xml:space="preserve">(סק"ל, </w:t>
      </w:r>
      <w:r w:rsidR="000A0F5A">
        <w:rPr>
          <w:rFonts w:cs="Arial" w:hint="cs"/>
          <w:sz w:val="16"/>
          <w:szCs w:val="16"/>
          <w:rtl/>
        </w:rPr>
        <w:t>וז</w:t>
      </w:r>
      <w:r w:rsidR="000A0F5A">
        <w:rPr>
          <w:rFonts w:cs="Arial"/>
          <w:sz w:val="16"/>
          <w:szCs w:val="16"/>
          <w:rtl/>
        </w:rPr>
        <w:t>"</w:t>
      </w:r>
      <w:r w:rsidR="000A0F5A">
        <w:rPr>
          <w:rFonts w:cs="Arial" w:hint="cs"/>
          <w:sz w:val="16"/>
          <w:szCs w:val="16"/>
          <w:rtl/>
        </w:rPr>
        <w:t>ל:</w:t>
      </w:r>
      <w:r w:rsidRPr="00A92A6F">
        <w:rPr>
          <w:rFonts w:cs="Arial" w:hint="cs"/>
          <w:sz w:val="16"/>
          <w:szCs w:val="16"/>
          <w:rtl/>
        </w:rPr>
        <w:t xml:space="preserve"> </w:t>
      </w:r>
      <w:r w:rsidRPr="00A92A6F">
        <w:rPr>
          <w:rFonts w:cs="Arial"/>
          <w:sz w:val="16"/>
          <w:szCs w:val="16"/>
          <w:rtl/>
        </w:rPr>
        <w:t xml:space="preserve">עיין בתשו' גבעת שאול </w:t>
      </w:r>
      <w:r w:rsidRPr="00A92A6F">
        <w:rPr>
          <w:rFonts w:cs="Arial" w:hint="cs"/>
          <w:sz w:val="16"/>
          <w:szCs w:val="16"/>
          <w:rtl/>
        </w:rPr>
        <w:t>(</w:t>
      </w:r>
      <w:r w:rsidRPr="00A92A6F">
        <w:rPr>
          <w:rFonts w:cs="Arial"/>
          <w:sz w:val="16"/>
          <w:szCs w:val="16"/>
          <w:rtl/>
        </w:rPr>
        <w:t>סי' לב</w:t>
      </w:r>
      <w:r w:rsidRPr="00A92A6F">
        <w:rPr>
          <w:rFonts w:cs="Arial" w:hint="cs"/>
          <w:sz w:val="16"/>
          <w:szCs w:val="16"/>
          <w:rtl/>
        </w:rPr>
        <w:t>)</w:t>
      </w:r>
      <w:r w:rsidRPr="00A92A6F">
        <w:rPr>
          <w:rFonts w:cs="Arial"/>
          <w:sz w:val="16"/>
          <w:szCs w:val="16"/>
          <w:rtl/>
        </w:rPr>
        <w:t xml:space="preserve"> במעשה בגט שהובא ע"י שליח וכאשר ראו ב"ד הגט מצאו שהמ"ם פתוחה של כדת משה לא היה היוד שעליה נוגעת בגוף האות כזה ותינוק דל"ח ול"ט קרא אותו יפה ונשאל אם ליתן הגט לכתחילה</w:t>
      </w:r>
      <w:r w:rsidRPr="00A92A6F">
        <w:rPr>
          <w:rFonts w:cs="Arial" w:hint="cs"/>
          <w:sz w:val="16"/>
          <w:szCs w:val="16"/>
          <w:rtl/>
        </w:rPr>
        <w:t>.</w:t>
      </w:r>
      <w:r w:rsidRPr="00A92A6F">
        <w:rPr>
          <w:rFonts w:cs="Arial"/>
          <w:sz w:val="16"/>
          <w:szCs w:val="16"/>
          <w:rtl/>
        </w:rPr>
        <w:t xml:space="preserve"> והשיב כיון דאפשר לבעל לצוות לכתוב גט אחר ולשלוח עוד ולא הוי מקום עיגון ודאי דאין ליתן הגט לכתחילה דמ"ש הב"י בזה בסימן קכ"ו שאם הוא בטופס פשיטא דכשר</w:t>
      </w:r>
      <w:r w:rsidRPr="00A92A6F">
        <w:rPr>
          <w:rFonts w:cs="Arial" w:hint="cs"/>
          <w:sz w:val="16"/>
          <w:szCs w:val="16"/>
          <w:rtl/>
        </w:rPr>
        <w:t>,</w:t>
      </w:r>
      <w:r w:rsidRPr="00A92A6F">
        <w:rPr>
          <w:rFonts w:cs="Arial"/>
          <w:sz w:val="16"/>
          <w:szCs w:val="16"/>
          <w:rtl/>
        </w:rPr>
        <w:t xml:space="preserve"> וכן מ"ש הרמ"א כאן ואם הוא בטופס אפי' בלא עיגון יש להקל </w:t>
      </w:r>
      <w:r w:rsidRPr="00A92A6F">
        <w:rPr>
          <w:rFonts w:cs="Arial" w:hint="cs"/>
          <w:sz w:val="16"/>
          <w:szCs w:val="16"/>
          <w:rtl/>
        </w:rPr>
        <w:t xml:space="preserve">- </w:t>
      </w:r>
      <w:r w:rsidRPr="00A92A6F">
        <w:rPr>
          <w:rFonts w:cs="Arial"/>
          <w:sz w:val="16"/>
          <w:szCs w:val="16"/>
          <w:rtl/>
        </w:rPr>
        <w:t>זה קאי אדיעבד דכבר ניתן הגט</w:t>
      </w:r>
      <w:r w:rsidRPr="00A92A6F">
        <w:rPr>
          <w:rFonts w:cs="Arial" w:hint="cs"/>
          <w:sz w:val="16"/>
          <w:szCs w:val="16"/>
          <w:rtl/>
        </w:rPr>
        <w:t>,</w:t>
      </w:r>
      <w:r w:rsidRPr="00A92A6F">
        <w:rPr>
          <w:rFonts w:cs="Arial"/>
          <w:sz w:val="16"/>
          <w:szCs w:val="16"/>
          <w:rtl/>
        </w:rPr>
        <w:t xml:space="preserve"> אבל היכא דעדיין לא ניתן הגט אין להקל רק במקום עיגון</w:t>
      </w:r>
      <w:r w:rsidRPr="00A92A6F">
        <w:rPr>
          <w:rFonts w:cs="Arial" w:hint="cs"/>
          <w:sz w:val="16"/>
          <w:szCs w:val="16"/>
          <w:rtl/>
        </w:rPr>
        <w:t>.</w:t>
      </w:r>
      <w:r w:rsidRPr="00A92A6F">
        <w:rPr>
          <w:rFonts w:cs="Arial"/>
          <w:sz w:val="16"/>
          <w:szCs w:val="16"/>
          <w:rtl/>
        </w:rPr>
        <w:t xml:space="preserve"> ובתשו' עה"ג </w:t>
      </w:r>
      <w:r w:rsidRPr="00A92A6F">
        <w:rPr>
          <w:rFonts w:cs="Arial" w:hint="cs"/>
          <w:sz w:val="16"/>
          <w:szCs w:val="16"/>
          <w:rtl/>
        </w:rPr>
        <w:t>(</w:t>
      </w:r>
      <w:r w:rsidRPr="00A92A6F">
        <w:rPr>
          <w:rFonts w:cs="Arial"/>
          <w:sz w:val="16"/>
          <w:szCs w:val="16"/>
          <w:rtl/>
        </w:rPr>
        <w:t>סי</w:t>
      </w:r>
      <w:r w:rsidRPr="00A92A6F">
        <w:rPr>
          <w:rFonts w:cs="Arial" w:hint="cs"/>
          <w:sz w:val="16"/>
          <w:szCs w:val="16"/>
          <w:rtl/>
        </w:rPr>
        <w:t>'</w:t>
      </w:r>
      <w:r w:rsidRPr="00A92A6F">
        <w:rPr>
          <w:rFonts w:cs="Arial"/>
          <w:sz w:val="16"/>
          <w:szCs w:val="16"/>
          <w:rtl/>
        </w:rPr>
        <w:t xml:space="preserve"> מ</w:t>
      </w:r>
      <w:r w:rsidRPr="00A92A6F">
        <w:rPr>
          <w:rFonts w:cs="Arial" w:hint="cs"/>
          <w:sz w:val="16"/>
          <w:szCs w:val="16"/>
          <w:rtl/>
        </w:rPr>
        <w:t>)</w:t>
      </w:r>
      <w:r w:rsidRPr="00A92A6F">
        <w:rPr>
          <w:rFonts w:cs="Arial"/>
          <w:sz w:val="16"/>
          <w:szCs w:val="16"/>
          <w:rtl/>
        </w:rPr>
        <w:t xml:space="preserve"> נראה מלשונו דספוקי מספקא ליה בזה (יובא לשונו לקמן סי</w:t>
      </w:r>
      <w:r>
        <w:rPr>
          <w:rFonts w:cs="Arial" w:hint="cs"/>
          <w:sz w:val="16"/>
          <w:szCs w:val="16"/>
          <w:rtl/>
        </w:rPr>
        <w:t>'</w:t>
      </w:r>
      <w:r w:rsidRPr="00A92A6F">
        <w:rPr>
          <w:rFonts w:cs="Arial"/>
          <w:sz w:val="16"/>
          <w:szCs w:val="16"/>
          <w:rtl/>
        </w:rPr>
        <w:t xml:space="preserve"> קכו סמ"א ס"ק) ולדעתי פשוט דאין להקל בזה כלל רק היכא דכבר ניתן הגט או במקום עיגון והאריך בזה ע"ש ועמ"ש לעיל </w:t>
      </w:r>
      <w:r>
        <w:rPr>
          <w:rFonts w:cs="Arial" w:hint="cs"/>
          <w:sz w:val="16"/>
          <w:szCs w:val="16"/>
          <w:rtl/>
        </w:rPr>
        <w:t>ס</w:t>
      </w:r>
      <w:r w:rsidRPr="00A92A6F">
        <w:rPr>
          <w:rFonts w:cs="Arial"/>
          <w:sz w:val="16"/>
          <w:szCs w:val="16"/>
          <w:rtl/>
        </w:rPr>
        <w:t>קכ"ח</w:t>
      </w:r>
      <w:r w:rsidRPr="00A92A6F">
        <w:rPr>
          <w:rFonts w:hint="cs"/>
          <w:sz w:val="16"/>
          <w:szCs w:val="16"/>
          <w:rtl/>
        </w:rPr>
        <w:t>)</w:t>
      </w:r>
      <w:r>
        <w:rPr>
          <w:rFonts w:hint="cs"/>
          <w:rtl/>
        </w:rPr>
        <w:t>.</w:t>
      </w:r>
    </w:p>
  </w:footnote>
  <w:footnote w:id="609">
    <w:p w14:paraId="682BF33D" w14:textId="49B628BB" w:rsidR="001449DA" w:rsidRDefault="001449DA">
      <w:pPr>
        <w:pStyle w:val="a5"/>
      </w:pPr>
      <w:r>
        <w:rPr>
          <w:rStyle w:val="a7"/>
        </w:rPr>
        <w:footnoteRef/>
      </w:r>
      <w:r>
        <w:rPr>
          <w:rtl/>
        </w:rPr>
        <w:t xml:space="preserve"> </w:t>
      </w:r>
      <w:r w:rsidRPr="001449DA">
        <w:rPr>
          <w:rFonts w:cs="Arial"/>
          <w:rtl/>
        </w:rPr>
        <w:t>כלומר לאפוקי אם שם הבעל ישראל אז הוי תורף</w:t>
      </w:r>
      <w:r>
        <w:rPr>
          <w:rFonts w:cs="Arial" w:hint="cs"/>
          <w:rtl/>
        </w:rPr>
        <w:t>...</w:t>
      </w:r>
      <w:r w:rsidRPr="001449DA">
        <w:rPr>
          <w:rtl/>
        </w:rPr>
        <w:t xml:space="preserve"> </w:t>
      </w:r>
      <w:r w:rsidRPr="001449DA">
        <w:rPr>
          <w:rFonts w:cs="Arial"/>
          <w:rtl/>
        </w:rPr>
        <w:t>וכן אם שני תיבות נקראים כתיבה א' בטופס כשר ובתורף פסול ד"מ</w:t>
      </w:r>
      <w:r>
        <w:rPr>
          <w:rFonts w:cs="Arial" w:hint="cs"/>
          <w:rtl/>
        </w:rPr>
        <w:t xml:space="preserve">, </w:t>
      </w:r>
      <w:r w:rsidRPr="00D87329">
        <w:rPr>
          <w:rFonts w:cs="Arial" w:hint="cs"/>
          <w:b/>
          <w:bCs/>
          <w:rtl/>
        </w:rPr>
        <w:t>ב"ש</w:t>
      </w:r>
      <w:r>
        <w:rPr>
          <w:rFonts w:cs="Arial" w:hint="cs"/>
          <w:rtl/>
        </w:rPr>
        <w:t xml:space="preserve"> (סקכ"ז).</w:t>
      </w:r>
      <w:r w:rsidR="00D87329" w:rsidRPr="00D87329">
        <w:rPr>
          <w:rFonts w:cs="Arial"/>
          <w:rtl/>
        </w:rPr>
        <w:t xml:space="preserve"> </w:t>
      </w:r>
      <w:r w:rsidR="00D87329" w:rsidRPr="00744549">
        <w:rPr>
          <w:rFonts w:cs="Arial"/>
          <w:rtl/>
        </w:rPr>
        <w:t>וצ"ע בזה באם שיש מ"ם סתומה או נו"ן פשוטה בסוף תיבה ה</w:t>
      </w:r>
      <w:r w:rsidR="00D87329">
        <w:rPr>
          <w:rFonts w:cs="Arial" w:hint="cs"/>
          <w:rtl/>
        </w:rPr>
        <w:t>אחת,</w:t>
      </w:r>
      <w:r w:rsidR="00D87329" w:rsidRPr="00744549">
        <w:rPr>
          <w:rFonts w:cs="Arial"/>
          <w:rtl/>
        </w:rPr>
        <w:t xml:space="preserve"> אם יש לפסול בזה בתורף</w:t>
      </w:r>
      <w:r w:rsidR="00D87329">
        <w:rPr>
          <w:rFonts w:cs="Arial" w:hint="cs"/>
          <w:rtl/>
        </w:rPr>
        <w:t>,</w:t>
      </w:r>
      <w:r w:rsidR="00D87329" w:rsidRPr="00744549">
        <w:rPr>
          <w:rFonts w:cs="Arial"/>
          <w:rtl/>
        </w:rPr>
        <w:t xml:space="preserve"> דהרי ניכר לתינוק שהוא ב' תיבות</w:t>
      </w:r>
      <w:r w:rsidR="00D87329">
        <w:rPr>
          <w:rFonts w:cs="Arial" w:hint="cs"/>
          <w:rtl/>
        </w:rPr>
        <w:t>,</w:t>
      </w:r>
      <w:r w:rsidR="00D87329" w:rsidRPr="00744549">
        <w:rPr>
          <w:rFonts w:cs="Arial"/>
          <w:rtl/>
        </w:rPr>
        <w:t xml:space="preserve"> וכמ"ש בפ"ת ליו"ד סימן ער"ד סק"ג בשם ס' בני יונה שנסתפק בזה לענין ס"ת ע"ש</w:t>
      </w:r>
      <w:r w:rsidR="00D87329">
        <w:rPr>
          <w:rFonts w:cs="Arial" w:hint="cs"/>
          <w:rtl/>
        </w:rPr>
        <w:t xml:space="preserve">, </w:t>
      </w:r>
      <w:r w:rsidR="00D87329" w:rsidRPr="00D87329">
        <w:rPr>
          <w:rFonts w:cs="Arial" w:hint="cs"/>
          <w:b/>
          <w:bCs/>
          <w:rtl/>
        </w:rPr>
        <w:t>פת"ש</w:t>
      </w:r>
      <w:r w:rsidR="00D87329">
        <w:rPr>
          <w:rFonts w:cs="Arial" w:hint="cs"/>
          <w:rtl/>
        </w:rPr>
        <w:t xml:space="preserve"> (סקל"א).</w:t>
      </w:r>
    </w:p>
  </w:footnote>
  <w:footnote w:id="610">
    <w:p w14:paraId="6F8329AC" w14:textId="73D0A24A" w:rsidR="00FC2F71" w:rsidRDefault="00FC2F71" w:rsidP="00256127">
      <w:pPr>
        <w:pStyle w:val="a5"/>
      </w:pPr>
      <w:r>
        <w:rPr>
          <w:rStyle w:val="a7"/>
        </w:rPr>
        <w:footnoteRef/>
      </w:r>
      <w:r>
        <w:rPr>
          <w:rtl/>
        </w:rPr>
        <w:t xml:space="preserve"> </w:t>
      </w:r>
      <w:r w:rsidR="001449DA" w:rsidRPr="001449DA">
        <w:rPr>
          <w:rFonts w:cs="Arial"/>
          <w:rtl/>
        </w:rPr>
        <w:t>היינו כפיפה שבצד השמאל נוגע אבל היו"ד גופי' אין נוגע מ"ה מכשיר כאן ומ"ש בא"ח סימן ל"ב דפסול היינו כשהיוד בעצם נוגע ולא כח"מ וכ"כ במ"א שם בא"ח, ועיין בת"ה סימן ר"ל רל"ו בענין קוצו של יוד ויש ליזהר בזה ובסדר מהר"מ מחמיר בזה ע"ש</w:t>
      </w:r>
      <w:r w:rsidR="00256127">
        <w:rPr>
          <w:rFonts w:cs="Arial" w:hint="cs"/>
          <w:rtl/>
        </w:rPr>
        <w:t xml:space="preserve"> </w:t>
      </w:r>
      <w:r w:rsidR="00256127">
        <w:rPr>
          <w:rFonts w:cs="Arial" w:hint="cs"/>
          <w:sz w:val="16"/>
          <w:szCs w:val="16"/>
          <w:rtl/>
        </w:rPr>
        <w:t>{</w:t>
      </w:r>
      <w:r w:rsidR="00256127" w:rsidRPr="00256127">
        <w:rPr>
          <w:rFonts w:cs="Arial"/>
          <w:sz w:val="16"/>
          <w:szCs w:val="16"/>
          <w:rtl/>
        </w:rPr>
        <w:t xml:space="preserve">ועיין </w:t>
      </w:r>
      <w:r w:rsidR="00256127">
        <w:rPr>
          <w:rFonts w:cs="Arial" w:hint="cs"/>
          <w:sz w:val="16"/>
          <w:szCs w:val="16"/>
          <w:rtl/>
        </w:rPr>
        <w:t xml:space="preserve">בזה </w:t>
      </w:r>
      <w:r w:rsidR="00256127" w:rsidRPr="00256127">
        <w:rPr>
          <w:rFonts w:cs="Arial"/>
          <w:sz w:val="16"/>
          <w:szCs w:val="16"/>
          <w:rtl/>
        </w:rPr>
        <w:t>בתשו' נו"ב תניינא סימן קי"ג</w:t>
      </w:r>
      <w:r w:rsidR="00256127">
        <w:rPr>
          <w:rFonts w:cs="Arial" w:hint="cs"/>
          <w:sz w:val="16"/>
          <w:szCs w:val="16"/>
          <w:rtl/>
        </w:rPr>
        <w:t>, פת"ש [סקל"ב]}</w:t>
      </w:r>
      <w:r>
        <w:rPr>
          <w:rFonts w:cs="Arial" w:hint="cs"/>
          <w:rtl/>
        </w:rPr>
        <w:t xml:space="preserve">, </w:t>
      </w:r>
      <w:r w:rsidR="001449DA">
        <w:rPr>
          <w:rFonts w:cs="Arial" w:hint="cs"/>
          <w:rtl/>
        </w:rPr>
        <w:t>ב"ש</w:t>
      </w:r>
      <w:r>
        <w:rPr>
          <w:rFonts w:cs="Arial" w:hint="cs"/>
          <w:rtl/>
        </w:rPr>
        <w:t xml:space="preserve"> (סק</w:t>
      </w:r>
      <w:r w:rsidR="001449DA">
        <w:rPr>
          <w:rFonts w:cs="Arial" w:hint="cs"/>
          <w:rtl/>
        </w:rPr>
        <w:t>כ"ח</w:t>
      </w:r>
      <w:r>
        <w:rPr>
          <w:rFonts w:cs="Arial" w:hint="cs"/>
          <w:rtl/>
        </w:rPr>
        <w:t>).</w:t>
      </w:r>
    </w:p>
  </w:footnote>
  <w:footnote w:id="611">
    <w:p w14:paraId="116E7D27" w14:textId="482405C9" w:rsidR="0038619F" w:rsidRDefault="0038619F" w:rsidP="0038619F">
      <w:pPr>
        <w:pStyle w:val="a5"/>
      </w:pPr>
      <w:r>
        <w:rPr>
          <w:rStyle w:val="a7"/>
        </w:rPr>
        <w:footnoteRef/>
      </w:r>
      <w:r>
        <w:rPr>
          <w:rtl/>
        </w:rPr>
        <w:t xml:space="preserve"> </w:t>
      </w:r>
      <w:r>
        <w:rPr>
          <w:rFonts w:cs="Arial" w:hint="cs"/>
          <w:rtl/>
        </w:rPr>
        <w:t>ו</w:t>
      </w:r>
      <w:r w:rsidRPr="00AF29F7">
        <w:rPr>
          <w:rFonts w:cs="Arial"/>
          <w:rtl/>
        </w:rPr>
        <w:t>כתב הרב המגיד דאזדא לטעמיה</w:t>
      </w:r>
      <w:r>
        <w:rPr>
          <w:rFonts w:cs="Arial" w:hint="cs"/>
          <w:rtl/>
        </w:rPr>
        <w:t>,</w:t>
      </w:r>
      <w:r w:rsidRPr="00AF29F7">
        <w:rPr>
          <w:rFonts w:cs="Arial"/>
          <w:rtl/>
        </w:rPr>
        <w:t xml:space="preserve"> כדין לא</w:t>
      </w:r>
      <w:r>
        <w:rPr>
          <w:rFonts w:cs="Arial" w:hint="cs"/>
          <w:rtl/>
        </w:rPr>
        <w:t xml:space="preserve"> </w:t>
      </w:r>
      <w:r w:rsidRPr="00AF29F7">
        <w:rPr>
          <w:rFonts w:cs="Arial"/>
          <w:rtl/>
        </w:rPr>
        <w:t>האריך הווי"ן או שלא כתב היודי"ן היתרות וכו'</w:t>
      </w:r>
      <w:r>
        <w:rPr>
          <w:rFonts w:cs="Arial" w:hint="cs"/>
          <w:rtl/>
        </w:rPr>
        <w:t>.</w:t>
      </w:r>
      <w:r w:rsidRPr="00AF29F7">
        <w:rPr>
          <w:rFonts w:cs="Arial"/>
          <w:rtl/>
        </w:rPr>
        <w:t xml:space="preserve"> וכתבו רבינו</w:t>
      </w:r>
      <w:r>
        <w:rPr>
          <w:rFonts w:cs="Arial" w:hint="cs"/>
          <w:sz w:val="16"/>
          <w:szCs w:val="16"/>
          <w:rtl/>
        </w:rPr>
        <w:t xml:space="preserve"> {הטור}</w:t>
      </w:r>
      <w:r w:rsidRPr="00AF29F7">
        <w:rPr>
          <w:rFonts w:cs="Arial"/>
          <w:rtl/>
        </w:rPr>
        <w:t xml:space="preserve"> בסימן שאחר זה (</w:t>
      </w:r>
      <w:r>
        <w:rPr>
          <w:rFonts w:cs="Arial" w:hint="cs"/>
          <w:rtl/>
        </w:rPr>
        <w:t>סע' כב</w:t>
      </w:r>
      <w:r w:rsidRPr="00AF29F7">
        <w:rPr>
          <w:rFonts w:cs="Arial"/>
          <w:rtl/>
        </w:rPr>
        <w:t>)</w:t>
      </w:r>
      <w:r>
        <w:rPr>
          <w:rFonts w:cs="Arial" w:hint="cs"/>
          <w:rtl/>
        </w:rPr>
        <w:t>.</w:t>
      </w:r>
      <w:r w:rsidRPr="00AF29F7">
        <w:rPr>
          <w:rFonts w:cs="Arial"/>
          <w:rtl/>
        </w:rPr>
        <w:t xml:space="preserve"> כלומר דאילו לדעת העיטור (ח"א מאמר ז' כז ע"ד) ורבינו (שם) אם לא כתבו הבעל </w:t>
      </w:r>
      <w:r w:rsidRPr="006C0F0C">
        <w:rPr>
          <w:rFonts w:cs="Arial"/>
          <w:color w:val="000000" w:themeColor="text1"/>
          <w:rtl/>
        </w:rPr>
        <w:t>אלא שהסופר טעה כשר</w:t>
      </w:r>
      <w:r w:rsidRPr="006C0F0C">
        <w:rPr>
          <w:rFonts w:cs="Arial" w:hint="cs"/>
          <w:color w:val="000000" w:themeColor="text1"/>
          <w:rtl/>
        </w:rPr>
        <w:t>, ב"י.</w:t>
      </w:r>
      <w:r w:rsidRPr="006C0F0C">
        <w:rPr>
          <w:rFonts w:hint="cs"/>
          <w:color w:val="000000" w:themeColor="text1"/>
          <w:rtl/>
        </w:rPr>
        <w:t xml:space="preserve"> וצל"ע אם כן למה הטור העתיק את לשון הרמב"ם בלי להעיר על דבריו.</w:t>
      </w:r>
      <w:r w:rsidR="00357B10" w:rsidRPr="006C0F0C">
        <w:rPr>
          <w:rFonts w:hint="cs"/>
          <w:color w:val="000000" w:themeColor="text1"/>
          <w:rtl/>
        </w:rPr>
        <w:t xml:space="preserve"> ואולי מעמיד דכאן מיירי כשהבעל כתב. </w:t>
      </w:r>
    </w:p>
  </w:footnote>
  <w:footnote w:id="612">
    <w:p w14:paraId="6739D84B" w14:textId="0C1F182C" w:rsidR="00830D5A" w:rsidRDefault="00830D5A">
      <w:pPr>
        <w:pStyle w:val="a5"/>
        <w:rPr>
          <w:rtl/>
        </w:rPr>
      </w:pPr>
      <w:r>
        <w:rPr>
          <w:rStyle w:val="a7"/>
        </w:rPr>
        <w:footnoteRef/>
      </w:r>
      <w:r>
        <w:rPr>
          <w:rtl/>
        </w:rPr>
        <w:t xml:space="preserve"> </w:t>
      </w:r>
      <w:r>
        <w:rPr>
          <w:rFonts w:hint="cs"/>
          <w:rtl/>
        </w:rPr>
        <w:t>בדפוסים איתא 'או', אך הח"מ (סקל"ב) והפר"ח (סק"ל) כתבו דצריך לגרוס 'עד', כדאיתא ברמב"ם.</w:t>
      </w:r>
    </w:p>
  </w:footnote>
  <w:footnote w:id="613">
    <w:p w14:paraId="6C827651" w14:textId="760DD477" w:rsidR="00830D5A" w:rsidRDefault="00830D5A">
      <w:pPr>
        <w:pStyle w:val="a5"/>
      </w:pPr>
      <w:r>
        <w:rPr>
          <w:rStyle w:val="a7"/>
        </w:rPr>
        <w:footnoteRef/>
      </w:r>
      <w:r>
        <w:rPr>
          <w:rtl/>
        </w:rPr>
        <w:t xml:space="preserve"> </w:t>
      </w:r>
      <w:r w:rsidRPr="00830D5A">
        <w:rPr>
          <w:rFonts w:cs="Arial"/>
          <w:rtl/>
        </w:rPr>
        <w:t>ולא בטל הואיל ונקרא ענין גירושין ויש בו משמעות גירושין שם ברמב"ם</w:t>
      </w:r>
      <w:r>
        <w:rPr>
          <w:rFonts w:cs="Arial" w:hint="cs"/>
          <w:rtl/>
        </w:rPr>
        <w:t>, ב"ש (סק"ל).</w:t>
      </w:r>
    </w:p>
  </w:footnote>
  <w:footnote w:id="614">
    <w:p w14:paraId="28C1E6C9" w14:textId="683A4E00" w:rsidR="00612D34" w:rsidRDefault="00612D34">
      <w:pPr>
        <w:pStyle w:val="a5"/>
      </w:pPr>
      <w:r>
        <w:rPr>
          <w:rStyle w:val="a7"/>
        </w:rPr>
        <w:footnoteRef/>
      </w:r>
      <w:r>
        <w:rPr>
          <w:rtl/>
        </w:rPr>
        <w:t xml:space="preserve"> </w:t>
      </w:r>
      <w:r>
        <w:rPr>
          <w:rFonts w:hint="cs"/>
          <w:rtl/>
        </w:rPr>
        <w:t>כן איתא בתשובת הרא"ש לפנינו. אך הטור</w:t>
      </w:r>
      <w:r w:rsidR="002023CC">
        <w:rPr>
          <w:rFonts w:hint="cs"/>
          <w:rtl/>
        </w:rPr>
        <w:t xml:space="preserve"> כשהעתיק את תשובת הרא"ש</w:t>
      </w:r>
      <w:r>
        <w:rPr>
          <w:rFonts w:hint="cs"/>
          <w:rtl/>
        </w:rPr>
        <w:t xml:space="preserve"> גרס 'כתיבתו' (ולא 'נתינתו'). ותמה עליו הב"י, דבגמ' (גיטין לד:) משמע בהדיא שהעיקר הוא מקום הנתינה ולא הכתיבה.</w:t>
      </w:r>
      <w:r w:rsidR="002023CC">
        <w:rPr>
          <w:rFonts w:hint="cs"/>
          <w:rtl/>
        </w:rPr>
        <w:t xml:space="preserve"> וכתב </w:t>
      </w:r>
      <w:r w:rsidR="009A0A81">
        <w:rPr>
          <w:rFonts w:hint="cs"/>
          <w:rtl/>
        </w:rPr>
        <w:t xml:space="preserve">עוד הב"י </w:t>
      </w:r>
      <w:r w:rsidR="000A0F5A">
        <w:rPr>
          <w:rFonts w:hint="cs"/>
          <w:rtl/>
        </w:rPr>
        <w:t>וז</w:t>
      </w:r>
      <w:r w:rsidR="000A0F5A">
        <w:rPr>
          <w:rtl/>
        </w:rPr>
        <w:t>"</w:t>
      </w:r>
      <w:r w:rsidR="000A0F5A">
        <w:rPr>
          <w:rFonts w:hint="cs"/>
          <w:rtl/>
        </w:rPr>
        <w:t>ל:</w:t>
      </w:r>
      <w:r w:rsidR="009A0A81">
        <w:rPr>
          <w:rFonts w:hint="cs"/>
          <w:rtl/>
        </w:rPr>
        <w:t xml:space="preserve"> </w:t>
      </w:r>
      <w:r w:rsidR="009A0A81" w:rsidRPr="009A0A81">
        <w:rPr>
          <w:rFonts w:cs="Arial"/>
          <w:rtl/>
        </w:rPr>
        <w:t xml:space="preserve">מסוף התשובה מוכח הענין והלשון דבתר מקום נתינתו אזלינן. ואפשר דתרווייהו בעינן ומשום הכי פתח </w:t>
      </w:r>
      <w:r w:rsidR="009A0A81">
        <w:rPr>
          <w:rFonts w:cs="Arial" w:hint="cs"/>
          <w:rtl/>
        </w:rPr>
        <w:t>'</w:t>
      </w:r>
      <w:r w:rsidR="009A0A81" w:rsidRPr="009A0A81">
        <w:rPr>
          <w:rFonts w:cs="Arial"/>
          <w:rtl/>
        </w:rPr>
        <w:t>במקום כתיבתו</w:t>
      </w:r>
      <w:r w:rsidR="009A0A81">
        <w:rPr>
          <w:rFonts w:cs="Arial" w:hint="cs"/>
          <w:rtl/>
        </w:rPr>
        <w:t>',</w:t>
      </w:r>
      <w:r w:rsidR="009A0A81" w:rsidRPr="009A0A81">
        <w:rPr>
          <w:rFonts w:cs="Arial"/>
          <w:rtl/>
        </w:rPr>
        <w:t xml:space="preserve"> וסיים </w:t>
      </w:r>
      <w:r w:rsidR="009A0A81">
        <w:rPr>
          <w:rFonts w:cs="Arial" w:hint="cs"/>
          <w:rtl/>
        </w:rPr>
        <w:t>'</w:t>
      </w:r>
      <w:r w:rsidR="009A0A81" w:rsidRPr="009A0A81">
        <w:rPr>
          <w:rFonts w:cs="Arial"/>
          <w:rtl/>
        </w:rPr>
        <w:t>במקום נתינתו</w:t>
      </w:r>
      <w:r w:rsidR="009A0A81">
        <w:rPr>
          <w:rFonts w:cs="Arial" w:hint="cs"/>
          <w:rtl/>
        </w:rPr>
        <w:t>'.</w:t>
      </w:r>
      <w:r w:rsidR="009A0A81" w:rsidRPr="009A0A81">
        <w:rPr>
          <w:rFonts w:cs="Arial"/>
          <w:rtl/>
        </w:rPr>
        <w:t xml:space="preserve"> אבל רבינו שלא כתב אלא תחלת התשובה</w:t>
      </w:r>
      <w:r w:rsidR="009A0A81">
        <w:rPr>
          <w:rFonts w:cs="Arial" w:hint="cs"/>
          <w:rtl/>
        </w:rPr>
        <w:t xml:space="preserve"> </w:t>
      </w:r>
      <w:r w:rsidR="009A0A81" w:rsidRPr="009A0A81">
        <w:rPr>
          <w:rFonts w:cs="Arial" w:hint="cs"/>
          <w:sz w:val="16"/>
          <w:szCs w:val="16"/>
          <w:rtl/>
        </w:rPr>
        <w:t>{עד 'כההיא...'</w:t>
      </w:r>
      <w:r w:rsidR="009A0A81">
        <w:rPr>
          <w:rFonts w:cs="Arial" w:hint="cs"/>
          <w:sz w:val="16"/>
          <w:szCs w:val="16"/>
          <w:rtl/>
        </w:rPr>
        <w:t>}</w:t>
      </w:r>
      <w:r w:rsidR="009A0A81" w:rsidRPr="009A0A81">
        <w:rPr>
          <w:rFonts w:cs="Arial"/>
          <w:rtl/>
        </w:rPr>
        <w:t xml:space="preserve"> נראה שלא היה גורס בסוף התשובה נתינתו אלא כתיבתו</w:t>
      </w:r>
      <w:r w:rsidR="009A0A81">
        <w:rPr>
          <w:rFonts w:cs="Arial" w:hint="cs"/>
          <w:rtl/>
        </w:rPr>
        <w:t>,</w:t>
      </w:r>
      <w:r w:rsidR="009A0A81" w:rsidRPr="009A0A81">
        <w:rPr>
          <w:rFonts w:cs="Arial"/>
          <w:rtl/>
        </w:rPr>
        <w:t xml:space="preserve"> ותימה הוא</w:t>
      </w:r>
      <w:r w:rsidR="0053739B">
        <w:rPr>
          <w:rFonts w:hint="cs"/>
          <w:rtl/>
        </w:rPr>
        <w:t>. עכ"ל הב"י</w:t>
      </w:r>
      <w:r w:rsidR="002023CC">
        <w:rPr>
          <w:rFonts w:hint="cs"/>
          <w:rtl/>
        </w:rPr>
        <w:t>.</w:t>
      </w:r>
      <w:r w:rsidR="0053739B" w:rsidRPr="0053739B">
        <w:rPr>
          <w:rFonts w:cs="Arial" w:hint="cs"/>
          <w:rtl/>
        </w:rPr>
        <w:t xml:space="preserve"> </w:t>
      </w:r>
      <w:r w:rsidR="0053739B">
        <w:rPr>
          <w:rFonts w:cs="Arial" w:hint="cs"/>
          <w:rtl/>
        </w:rPr>
        <w:t>והביא עוד הב"י את תשובת ה</w:t>
      </w:r>
      <w:r w:rsidR="0053739B" w:rsidRPr="009A0A81">
        <w:rPr>
          <w:rFonts w:cs="Arial"/>
          <w:rtl/>
        </w:rPr>
        <w:t>ר</w:t>
      </w:r>
      <w:r w:rsidR="0053739B">
        <w:rPr>
          <w:rFonts w:cs="Arial" w:hint="cs"/>
          <w:rtl/>
        </w:rPr>
        <w:t>שב"א</w:t>
      </w:r>
      <w:r w:rsidR="0053739B" w:rsidRPr="009A0A81">
        <w:rPr>
          <w:rFonts w:cs="Arial"/>
          <w:rtl/>
        </w:rPr>
        <w:t xml:space="preserve"> </w:t>
      </w:r>
      <w:r w:rsidR="0053739B" w:rsidRPr="009A0A81">
        <w:rPr>
          <w:rFonts w:cs="Arial" w:hint="cs"/>
          <w:sz w:val="16"/>
          <w:szCs w:val="16"/>
          <w:rtl/>
        </w:rPr>
        <w:t>(</w:t>
      </w:r>
      <w:r w:rsidR="0053739B">
        <w:rPr>
          <w:rFonts w:cs="Arial" w:hint="cs"/>
          <w:sz w:val="16"/>
          <w:szCs w:val="16"/>
          <w:rtl/>
        </w:rPr>
        <w:t xml:space="preserve">במיוחסות </w:t>
      </w:r>
      <w:r w:rsidR="0053739B" w:rsidRPr="009A0A81">
        <w:rPr>
          <w:rFonts w:cs="Arial"/>
          <w:sz w:val="16"/>
          <w:szCs w:val="16"/>
          <w:rtl/>
        </w:rPr>
        <w:t>סי</w:t>
      </w:r>
      <w:r w:rsidR="0053739B" w:rsidRPr="009A0A81">
        <w:rPr>
          <w:rFonts w:cs="Arial" w:hint="cs"/>
          <w:sz w:val="16"/>
          <w:szCs w:val="16"/>
          <w:rtl/>
        </w:rPr>
        <w:t>'</w:t>
      </w:r>
      <w:r w:rsidR="0053739B" w:rsidRPr="009A0A81">
        <w:rPr>
          <w:rFonts w:cs="Arial"/>
          <w:sz w:val="16"/>
          <w:szCs w:val="16"/>
          <w:rtl/>
        </w:rPr>
        <w:t xml:space="preserve"> קמח</w:t>
      </w:r>
      <w:r w:rsidR="0053739B">
        <w:rPr>
          <w:rFonts w:cs="Arial" w:hint="cs"/>
          <w:sz w:val="16"/>
          <w:szCs w:val="16"/>
          <w:rtl/>
        </w:rPr>
        <w:t xml:space="preserve">, </w:t>
      </w:r>
      <w:r w:rsidR="000A0F5A">
        <w:rPr>
          <w:rFonts w:cs="Arial" w:hint="cs"/>
          <w:sz w:val="16"/>
          <w:szCs w:val="16"/>
          <w:rtl/>
        </w:rPr>
        <w:t>וז</w:t>
      </w:r>
      <w:r w:rsidR="000A0F5A">
        <w:rPr>
          <w:rFonts w:cs="Arial"/>
          <w:sz w:val="16"/>
          <w:szCs w:val="16"/>
          <w:rtl/>
        </w:rPr>
        <w:t>"</w:t>
      </w:r>
      <w:r w:rsidR="000A0F5A">
        <w:rPr>
          <w:rFonts w:cs="Arial" w:hint="cs"/>
          <w:sz w:val="16"/>
          <w:szCs w:val="16"/>
          <w:rtl/>
        </w:rPr>
        <w:t>ל:</w:t>
      </w:r>
      <w:r w:rsidR="0053739B">
        <w:rPr>
          <w:rFonts w:cs="Arial" w:hint="cs"/>
          <w:sz w:val="16"/>
          <w:szCs w:val="16"/>
          <w:rtl/>
        </w:rPr>
        <w:t xml:space="preserve"> </w:t>
      </w:r>
      <w:r w:rsidR="0053739B" w:rsidRPr="00B0703D">
        <w:rPr>
          <w:rFonts w:cs="Arial"/>
          <w:sz w:val="16"/>
          <w:szCs w:val="16"/>
          <w:rtl/>
        </w:rPr>
        <w:t xml:space="preserve">גט הבא ממדינת הים והיה בשם האשה רי"ש קטנה כמו ו' </w:t>
      </w:r>
      <w:r w:rsidR="0053739B" w:rsidRPr="00B0703D">
        <w:rPr>
          <w:rFonts w:cs="Arial" w:hint="cs"/>
          <w:sz w:val="16"/>
          <w:szCs w:val="16"/>
          <w:rtl/>
        </w:rPr>
        <w:t xml:space="preserve">- </w:t>
      </w:r>
      <w:r w:rsidR="0053739B" w:rsidRPr="00B0703D">
        <w:rPr>
          <w:rFonts w:cs="Arial"/>
          <w:sz w:val="16"/>
          <w:szCs w:val="16"/>
          <w:rtl/>
        </w:rPr>
        <w:t>פסול</w:t>
      </w:r>
      <w:r w:rsidR="0053739B" w:rsidRPr="00B0703D">
        <w:rPr>
          <w:rFonts w:cs="Arial" w:hint="cs"/>
          <w:sz w:val="16"/>
          <w:szCs w:val="16"/>
          <w:rtl/>
        </w:rPr>
        <w:t>,</w:t>
      </w:r>
      <w:r w:rsidR="0053739B" w:rsidRPr="00B0703D">
        <w:rPr>
          <w:rFonts w:cs="Arial"/>
          <w:sz w:val="16"/>
          <w:szCs w:val="16"/>
          <w:rtl/>
        </w:rPr>
        <w:t xml:space="preserve"> ואם נישאת תצא</w:t>
      </w:r>
      <w:r w:rsidR="0053739B" w:rsidRPr="00B0703D">
        <w:rPr>
          <w:rFonts w:cs="Arial" w:hint="cs"/>
          <w:sz w:val="16"/>
          <w:szCs w:val="16"/>
          <w:rtl/>
        </w:rPr>
        <w:t>,</w:t>
      </w:r>
      <w:r w:rsidR="0053739B" w:rsidRPr="00B0703D">
        <w:rPr>
          <w:rFonts w:cs="Arial"/>
          <w:sz w:val="16"/>
          <w:szCs w:val="16"/>
          <w:rtl/>
        </w:rPr>
        <w:t xml:space="preserve"> והולד ממזר</w:t>
      </w:r>
      <w:r w:rsidR="0053739B" w:rsidRPr="00B0703D">
        <w:rPr>
          <w:rFonts w:cs="Arial" w:hint="cs"/>
          <w:sz w:val="16"/>
          <w:szCs w:val="16"/>
          <w:rtl/>
        </w:rPr>
        <w:t>.</w:t>
      </w:r>
      <w:r w:rsidR="0053739B" w:rsidRPr="00B0703D">
        <w:rPr>
          <w:rFonts w:cs="Arial"/>
          <w:sz w:val="16"/>
          <w:szCs w:val="16"/>
          <w:rtl/>
        </w:rPr>
        <w:t xml:space="preserve"> ואע</w:t>
      </w:r>
      <w:r w:rsidR="0053739B" w:rsidRPr="00B0703D">
        <w:rPr>
          <w:rFonts w:cs="Arial" w:hint="cs"/>
          <w:sz w:val="16"/>
          <w:szCs w:val="16"/>
          <w:rtl/>
        </w:rPr>
        <w:t>"</w:t>
      </w:r>
      <w:r w:rsidR="0053739B" w:rsidRPr="00B0703D">
        <w:rPr>
          <w:rFonts w:cs="Arial"/>
          <w:sz w:val="16"/>
          <w:szCs w:val="16"/>
          <w:rtl/>
        </w:rPr>
        <w:t>פ שנראה שאם גירשה במקום שנכתב שם הגט</w:t>
      </w:r>
      <w:r w:rsidR="0053739B" w:rsidRPr="00B0703D">
        <w:rPr>
          <w:rFonts w:cs="Arial" w:hint="cs"/>
          <w:sz w:val="16"/>
          <w:szCs w:val="16"/>
          <w:rtl/>
        </w:rPr>
        <w:t xml:space="preserve"> </w:t>
      </w:r>
      <w:r w:rsidR="0053739B" w:rsidRPr="00B0703D">
        <w:rPr>
          <w:rFonts w:cs="Arial"/>
          <w:sz w:val="16"/>
          <w:szCs w:val="16"/>
          <w:rtl/>
        </w:rPr>
        <w:t>מגורשת אם היה שם נקרא ברי"ש</w:t>
      </w:r>
      <w:r w:rsidR="0053739B" w:rsidRPr="00B0703D">
        <w:rPr>
          <w:rFonts w:cs="Arial" w:hint="cs"/>
          <w:sz w:val="16"/>
          <w:szCs w:val="16"/>
          <w:rtl/>
        </w:rPr>
        <w:t>,</w:t>
      </w:r>
      <w:r w:rsidR="0053739B" w:rsidRPr="00B0703D">
        <w:rPr>
          <w:rFonts w:cs="Arial"/>
          <w:sz w:val="16"/>
          <w:szCs w:val="16"/>
          <w:rtl/>
        </w:rPr>
        <w:t xml:space="preserve"> במקום שנקרא בשינוי פסול</w:t>
      </w:r>
      <w:r w:rsidR="0053739B" w:rsidRPr="00B0703D">
        <w:rPr>
          <w:rFonts w:cs="Arial" w:hint="cs"/>
          <w:sz w:val="16"/>
          <w:szCs w:val="16"/>
          <w:rtl/>
        </w:rPr>
        <w:t>.</w:t>
      </w:r>
      <w:r w:rsidR="0053739B" w:rsidRPr="00B0703D">
        <w:rPr>
          <w:rFonts w:cs="Arial"/>
          <w:sz w:val="16"/>
          <w:szCs w:val="16"/>
          <w:rtl/>
        </w:rPr>
        <w:t xml:space="preserve"> דומה למה ששנינו בראשונה היה משנה שמו ושמה וכו'</w:t>
      </w:r>
      <w:r w:rsidR="0053739B" w:rsidRPr="00B0703D">
        <w:rPr>
          <w:rFonts w:cs="Arial" w:hint="cs"/>
          <w:sz w:val="16"/>
          <w:szCs w:val="16"/>
          <w:rtl/>
        </w:rPr>
        <w:t>.</w:t>
      </w:r>
      <w:r w:rsidR="0053739B" w:rsidRPr="00B0703D">
        <w:rPr>
          <w:rFonts w:cs="Arial"/>
          <w:sz w:val="16"/>
          <w:szCs w:val="16"/>
          <w:rtl/>
        </w:rPr>
        <w:t xml:space="preserve"> ופירוש המשנה כך הוא</w:t>
      </w:r>
      <w:r w:rsidR="0053739B" w:rsidRPr="00B0703D">
        <w:rPr>
          <w:rFonts w:cs="Arial" w:hint="cs"/>
          <w:sz w:val="16"/>
          <w:szCs w:val="16"/>
          <w:rtl/>
        </w:rPr>
        <w:t>,</w:t>
      </w:r>
      <w:r w:rsidR="0053739B" w:rsidRPr="00B0703D">
        <w:rPr>
          <w:rFonts w:cs="Arial"/>
          <w:sz w:val="16"/>
          <w:szCs w:val="16"/>
          <w:rtl/>
        </w:rPr>
        <w:t xml:space="preserve"> בראשונה וכו' כיצד הרי שהיה ביהודה ושמו יוסף ואשתו שרה והלך בגליל וכו' הרי שהיה משנה שמו ושמה שעיקר השם הוא שבמקום הגירושין</w:t>
      </w:r>
      <w:r w:rsidR="0053739B" w:rsidRPr="00B0703D">
        <w:rPr>
          <w:rFonts w:cs="Arial" w:hint="cs"/>
          <w:sz w:val="16"/>
          <w:szCs w:val="16"/>
          <w:rtl/>
        </w:rPr>
        <w:t>.</w:t>
      </w:r>
      <w:r w:rsidR="0053739B" w:rsidRPr="00B0703D">
        <w:rPr>
          <w:rFonts w:cs="Arial"/>
          <w:sz w:val="16"/>
          <w:szCs w:val="16"/>
          <w:rtl/>
        </w:rPr>
        <w:t xml:space="preserve"> על כן התקין רבן גמליאל שיהא כותב כל שם שיש לו במקום הכתיבה ומקום הגירושין</w:t>
      </w:r>
      <w:r w:rsidR="0053739B">
        <w:rPr>
          <w:rFonts w:cs="Arial" w:hint="cs"/>
          <w:sz w:val="16"/>
          <w:szCs w:val="16"/>
          <w:rtl/>
        </w:rPr>
        <w:t>)</w:t>
      </w:r>
      <w:r w:rsidR="0053739B">
        <w:rPr>
          <w:rFonts w:cs="Arial" w:hint="cs"/>
          <w:rtl/>
        </w:rPr>
        <w:t xml:space="preserve"> וכתב</w:t>
      </w:r>
      <w:r w:rsidR="006C0F0C">
        <w:rPr>
          <w:rFonts w:cs="Arial" w:hint="cs"/>
          <w:rtl/>
        </w:rPr>
        <w:t>:</w:t>
      </w:r>
      <w:r w:rsidR="0053739B">
        <w:rPr>
          <w:rFonts w:cs="Arial" w:hint="cs"/>
          <w:rtl/>
        </w:rPr>
        <w:t xml:space="preserve"> </w:t>
      </w:r>
      <w:r w:rsidR="0053739B" w:rsidRPr="009A0A81">
        <w:rPr>
          <w:rFonts w:cs="Arial"/>
          <w:rtl/>
        </w:rPr>
        <w:t>והרי תשובה זו מוכחת כדברי דבתר מקום נתינה אזלינן</w:t>
      </w:r>
      <w:r w:rsidR="0053739B">
        <w:rPr>
          <w:rFonts w:hint="cs"/>
          <w:rtl/>
        </w:rPr>
        <w:t>.</w:t>
      </w:r>
    </w:p>
  </w:footnote>
  <w:footnote w:id="615">
    <w:p w14:paraId="35CD19F9" w14:textId="70B5AE6B" w:rsidR="00B46EDB" w:rsidRDefault="00B46EDB">
      <w:pPr>
        <w:pStyle w:val="a5"/>
      </w:pPr>
      <w:r>
        <w:rPr>
          <w:rStyle w:val="a7"/>
        </w:rPr>
        <w:footnoteRef/>
      </w:r>
      <w:r>
        <w:rPr>
          <w:rtl/>
        </w:rPr>
        <w:t xml:space="preserve"> </w:t>
      </w:r>
      <w:r>
        <w:rPr>
          <w:rFonts w:cs="Arial" w:hint="cs"/>
          <w:rtl/>
        </w:rPr>
        <w:t xml:space="preserve">וכן נוהגין האידנא... </w:t>
      </w:r>
      <w:r w:rsidRPr="00AF29F7">
        <w:rPr>
          <w:rFonts w:cs="Arial"/>
          <w:rtl/>
        </w:rPr>
        <w:t xml:space="preserve">וכתב עוד </w:t>
      </w:r>
      <w:r>
        <w:rPr>
          <w:rFonts w:cs="Arial" w:hint="cs"/>
          <w:rtl/>
        </w:rPr>
        <w:t>בסדר גיטין</w:t>
      </w:r>
      <w:r w:rsidRPr="00AF29F7">
        <w:rPr>
          <w:rFonts w:cs="Arial"/>
          <w:rtl/>
        </w:rPr>
        <w:t xml:space="preserve"> </w:t>
      </w:r>
      <w:r>
        <w:rPr>
          <w:rFonts w:cs="Arial" w:hint="cs"/>
          <w:rtl/>
        </w:rPr>
        <w:t>(</w:t>
      </w:r>
      <w:r w:rsidRPr="00AF29F7">
        <w:rPr>
          <w:rFonts w:cs="Arial"/>
          <w:rtl/>
        </w:rPr>
        <w:t>סי</w:t>
      </w:r>
      <w:r>
        <w:rPr>
          <w:rFonts w:cs="Arial" w:hint="cs"/>
          <w:rtl/>
        </w:rPr>
        <w:t>'</w:t>
      </w:r>
      <w:r w:rsidRPr="00AF29F7">
        <w:rPr>
          <w:rFonts w:cs="Arial"/>
          <w:rtl/>
        </w:rPr>
        <w:t xml:space="preserve"> עא </w:t>
      </w:r>
      <w:r w:rsidR="009334FF">
        <w:rPr>
          <w:rFonts w:cs="Arial"/>
          <w:rtl/>
        </w:rPr>
        <w:t>בהג"ה</w:t>
      </w:r>
      <w:r w:rsidRPr="00AF29F7">
        <w:rPr>
          <w:rFonts w:cs="Arial"/>
          <w:rtl/>
        </w:rPr>
        <w:t>ה א) ן' פשוטה של פטורין יעקם קצת לצד ימין כדי שיוכל להאריך ראש הל' של ישראל למעלה שלא תגע באותה ן' ויהא גם כן אותה שיטה מעורה עכ"ל. ומזה יש לדקדק שכל השיטות יהיו מעורות וכן נוהגין. וכתבו (עיין סדר הגט סי' ה סעיף ב) בשם הגהות סמ"ק מעשה בא לפני הר"ר פרץ בגט אחד שניתן לפניו והגיע קוצו של למ"ד של מטה בתוך ד' שלמעלה ופסלו עכ"ל. ונראה לי דדוקא בכהאי גוונא יש לחוש דעל ידי עירוב זה הדלי"ת היה נשתנה לצורת ה"א אבל בענין אחר כגון שמשך ראש אות לתוך חלל א' או כדומה שאין לחוש לשום טעות לא פסלינן ליה. כן נראה לי וכן נראה מדברי ר"י דלעיל</w:t>
      </w:r>
      <w:r>
        <w:rPr>
          <w:rFonts w:cs="Arial" w:hint="cs"/>
          <w:rtl/>
        </w:rPr>
        <w:t>, דרכ"מ (אות יח).</w:t>
      </w:r>
    </w:p>
  </w:footnote>
  <w:footnote w:id="616">
    <w:p w14:paraId="70EED856" w14:textId="33B9254E" w:rsidR="0053739B" w:rsidRDefault="0053739B">
      <w:pPr>
        <w:pStyle w:val="a5"/>
      </w:pPr>
      <w:r>
        <w:rPr>
          <w:rStyle w:val="a7"/>
        </w:rPr>
        <w:footnoteRef/>
      </w:r>
      <w:r>
        <w:rPr>
          <w:rtl/>
        </w:rPr>
        <w:t xml:space="preserve"> </w:t>
      </w:r>
      <w:r w:rsidRPr="0053739B">
        <w:rPr>
          <w:rFonts w:cs="Arial"/>
          <w:rtl/>
        </w:rPr>
        <w:t>היש מי שאומר הוא הרא"ש בתשובה ע"פ הנוסחא שהיה לפני הרב ב"י</w:t>
      </w:r>
      <w:r>
        <w:rPr>
          <w:rFonts w:cs="Arial" w:hint="cs"/>
          <w:rtl/>
        </w:rPr>
        <w:t>.</w:t>
      </w:r>
      <w:r w:rsidRPr="0053739B">
        <w:rPr>
          <w:rFonts w:cs="Arial"/>
          <w:rtl/>
        </w:rPr>
        <w:t xml:space="preserve"> אבל באמת הוא ט"ס בתשובת הרא"ש וכמו שהוכיח זה הרב ראב"ח </w:t>
      </w:r>
      <w:r w:rsidRPr="00925EE9">
        <w:rPr>
          <w:rFonts w:cs="Arial" w:hint="cs"/>
          <w:sz w:val="16"/>
          <w:szCs w:val="16"/>
          <w:rtl/>
        </w:rPr>
        <w:t>(</w:t>
      </w:r>
      <w:r w:rsidRPr="00925EE9">
        <w:rPr>
          <w:rFonts w:cs="Arial"/>
          <w:sz w:val="16"/>
          <w:szCs w:val="16"/>
          <w:rtl/>
        </w:rPr>
        <w:t>סי</w:t>
      </w:r>
      <w:r w:rsidRPr="00925EE9">
        <w:rPr>
          <w:rFonts w:cs="Arial" w:hint="cs"/>
          <w:sz w:val="16"/>
          <w:szCs w:val="16"/>
          <w:rtl/>
        </w:rPr>
        <w:t>'</w:t>
      </w:r>
      <w:r w:rsidRPr="00925EE9">
        <w:rPr>
          <w:rFonts w:cs="Arial"/>
          <w:sz w:val="16"/>
          <w:szCs w:val="16"/>
          <w:rtl/>
        </w:rPr>
        <w:t xml:space="preserve"> לו</w:t>
      </w:r>
      <w:r w:rsidRPr="00925EE9">
        <w:rPr>
          <w:rFonts w:cs="Arial" w:hint="cs"/>
          <w:sz w:val="16"/>
          <w:szCs w:val="16"/>
          <w:rtl/>
        </w:rPr>
        <w:t>)</w:t>
      </w:r>
      <w:r>
        <w:rPr>
          <w:rFonts w:cs="Arial" w:hint="cs"/>
          <w:rtl/>
        </w:rPr>
        <w:t>...</w:t>
      </w:r>
      <w:r w:rsidRPr="0053739B">
        <w:rPr>
          <w:rFonts w:cs="Arial"/>
          <w:rtl/>
        </w:rPr>
        <w:t xml:space="preserve"> וכ"כ בב"ח דט"ס הוא וליתא</w:t>
      </w:r>
      <w:r>
        <w:rPr>
          <w:rFonts w:cs="Arial" w:hint="cs"/>
          <w:rtl/>
        </w:rPr>
        <w:t>,</w:t>
      </w:r>
      <w:r w:rsidRPr="0053739B">
        <w:rPr>
          <w:rFonts w:cs="Arial"/>
          <w:rtl/>
        </w:rPr>
        <w:t xml:space="preserve"> ולכ"ע סגי במקום נתינתו</w:t>
      </w:r>
      <w:r>
        <w:rPr>
          <w:rFonts w:cs="Arial" w:hint="cs"/>
          <w:rtl/>
        </w:rPr>
        <w:t>.</w:t>
      </w:r>
      <w:r w:rsidRPr="0053739B">
        <w:rPr>
          <w:rFonts w:cs="Arial"/>
          <w:rtl/>
        </w:rPr>
        <w:t xml:space="preserve"> והנה לכתחל</w:t>
      </w:r>
      <w:r>
        <w:rPr>
          <w:rFonts w:cs="Arial" w:hint="cs"/>
          <w:rtl/>
        </w:rPr>
        <w:t>ה</w:t>
      </w:r>
      <w:r w:rsidRPr="0053739B">
        <w:rPr>
          <w:rFonts w:cs="Arial"/>
          <w:rtl/>
        </w:rPr>
        <w:t xml:space="preserve"> אין ספק שיכתוב הגט באופן שיהיה נקרא היטב בשני המקומות</w:t>
      </w:r>
      <w:r>
        <w:rPr>
          <w:rFonts w:cs="Arial" w:hint="cs"/>
          <w:rtl/>
        </w:rPr>
        <w:t>,</w:t>
      </w:r>
      <w:r w:rsidRPr="0053739B">
        <w:rPr>
          <w:rFonts w:cs="Arial"/>
          <w:rtl/>
        </w:rPr>
        <w:t xml:space="preserve"> דאיך יחתמו העדים על הגט שאינו נקרא להם</w:t>
      </w:r>
      <w:r>
        <w:rPr>
          <w:rFonts w:cs="Arial" w:hint="cs"/>
          <w:rtl/>
        </w:rPr>
        <w:t>,</w:t>
      </w:r>
      <w:r w:rsidRPr="0053739B">
        <w:rPr>
          <w:rFonts w:cs="Arial"/>
          <w:rtl/>
        </w:rPr>
        <w:t xml:space="preserve"> ואף שהגט ניתן במקום אחר הא מ"מ עידי חתימה חותמין כאן וצריך שלא יהיה חשש זיוף להם</w:t>
      </w:r>
      <w:r>
        <w:rPr>
          <w:rFonts w:cs="Arial" w:hint="cs"/>
          <w:rtl/>
        </w:rPr>
        <w:t>,</w:t>
      </w:r>
      <w:r w:rsidRPr="0053739B">
        <w:rPr>
          <w:rFonts w:cs="Arial"/>
          <w:rtl/>
        </w:rPr>
        <w:t xml:space="preserve"> ועוד דבשמו ושמה אף דמקום הנתינה עיקר מ"מ צריך לכתוב גם שם הכתיב' בלשון דמתקרי או לכללו בכל שום</w:t>
      </w:r>
      <w:r>
        <w:rPr>
          <w:rFonts w:cs="Arial" w:hint="cs"/>
          <w:rtl/>
        </w:rPr>
        <w:t>,</w:t>
      </w:r>
      <w:r w:rsidRPr="0053739B">
        <w:rPr>
          <w:rFonts w:cs="Arial"/>
          <w:rtl/>
        </w:rPr>
        <w:t xml:space="preserve"> ואם לא כתב רק שם מקום הנתינה לבדו הגט פסול וכמו שיתבאר לקמן סי' קכ"ט</w:t>
      </w:r>
      <w:r>
        <w:rPr>
          <w:rFonts w:cs="Arial" w:hint="cs"/>
          <w:rtl/>
        </w:rPr>
        <w:t>,</w:t>
      </w:r>
      <w:r w:rsidRPr="0053739B">
        <w:rPr>
          <w:rFonts w:cs="Arial"/>
          <w:rtl/>
        </w:rPr>
        <w:t xml:space="preserve"> וא"כ ה"נ כל שבמקום הכתיבה אינו נקרא הגט לתינוק </w:t>
      </w:r>
      <w:r>
        <w:rPr>
          <w:rFonts w:cs="Arial" w:hint="cs"/>
          <w:rtl/>
        </w:rPr>
        <w:t xml:space="preserve">- </w:t>
      </w:r>
      <w:r w:rsidRPr="0053739B">
        <w:rPr>
          <w:rFonts w:cs="Arial"/>
          <w:rtl/>
        </w:rPr>
        <w:t>ודאי הגט פסול דאיך יחתמו העדים על חספא</w:t>
      </w:r>
      <w:r>
        <w:rPr>
          <w:rFonts w:cs="Arial" w:hint="cs"/>
          <w:rtl/>
        </w:rPr>
        <w:t>,</w:t>
      </w:r>
      <w:r w:rsidRPr="0053739B">
        <w:rPr>
          <w:rFonts w:cs="Arial"/>
          <w:rtl/>
        </w:rPr>
        <w:t xml:space="preserve"> ומה בכך שהוא נקרא במקום אחר</w:t>
      </w:r>
      <w:r>
        <w:rPr>
          <w:rFonts w:cs="Arial" w:hint="cs"/>
          <w:rtl/>
        </w:rPr>
        <w:t>.</w:t>
      </w:r>
      <w:r w:rsidR="008A5759">
        <w:rPr>
          <w:rFonts w:cs="Arial" w:hint="cs"/>
          <w:rtl/>
        </w:rPr>
        <w:t>..</w:t>
      </w:r>
      <w:r>
        <w:rPr>
          <w:rFonts w:cs="Arial" w:hint="cs"/>
          <w:rtl/>
        </w:rPr>
        <w:t xml:space="preserve">, </w:t>
      </w:r>
      <w:r w:rsidRPr="00925EE9">
        <w:rPr>
          <w:rFonts w:cs="Arial" w:hint="cs"/>
          <w:b/>
          <w:bCs/>
          <w:rtl/>
        </w:rPr>
        <w:t>ח"מ</w:t>
      </w:r>
      <w:r>
        <w:rPr>
          <w:rFonts w:cs="Arial" w:hint="cs"/>
          <w:rtl/>
        </w:rPr>
        <w:t xml:space="preserve"> </w:t>
      </w:r>
      <w:r w:rsidRPr="00925EE9">
        <w:rPr>
          <w:rFonts w:cs="Arial" w:hint="cs"/>
          <w:sz w:val="16"/>
          <w:szCs w:val="16"/>
          <w:rtl/>
        </w:rPr>
        <w:t>(סקל"ג)</w:t>
      </w:r>
      <w:r>
        <w:rPr>
          <w:rFonts w:cs="Arial" w:hint="cs"/>
          <w:rtl/>
        </w:rPr>
        <w:t>.</w:t>
      </w:r>
      <w:r w:rsidR="00925EE9">
        <w:rPr>
          <w:rFonts w:hint="cs"/>
          <w:rtl/>
        </w:rPr>
        <w:t xml:space="preserve"> </w:t>
      </w:r>
      <w:r w:rsidR="006C0F0C">
        <w:rPr>
          <w:rFonts w:hint="cs"/>
          <w:rtl/>
        </w:rPr>
        <w:t xml:space="preserve">     </w:t>
      </w:r>
      <w:r w:rsidR="00925EE9">
        <w:rPr>
          <w:rFonts w:hint="cs"/>
          <w:rtl/>
        </w:rPr>
        <w:t xml:space="preserve">ובתשובת </w:t>
      </w:r>
      <w:r w:rsidR="00925EE9" w:rsidRPr="00925EE9">
        <w:rPr>
          <w:rFonts w:hint="cs"/>
          <w:b/>
          <w:bCs/>
          <w:rtl/>
        </w:rPr>
        <w:t>ב"ח</w:t>
      </w:r>
      <w:r w:rsidR="00925EE9" w:rsidRPr="00925EE9">
        <w:rPr>
          <w:rFonts w:hint="cs"/>
          <w:sz w:val="16"/>
          <w:szCs w:val="16"/>
          <w:rtl/>
        </w:rPr>
        <w:t xml:space="preserve"> (החדשות סי' צג, הביאו הפת"ש סקל"ג)</w:t>
      </w:r>
      <w:r w:rsidR="00925EE9">
        <w:rPr>
          <w:rFonts w:hint="cs"/>
          <w:rtl/>
        </w:rPr>
        <w:t xml:space="preserve"> כתב</w:t>
      </w:r>
      <w:r w:rsidR="006C0F0C">
        <w:rPr>
          <w:rFonts w:hint="cs"/>
          <w:rtl/>
        </w:rPr>
        <w:t>:</w:t>
      </w:r>
      <w:r w:rsidR="00925EE9">
        <w:rPr>
          <w:rFonts w:hint="cs"/>
          <w:rtl/>
        </w:rPr>
        <w:t xml:space="preserve"> </w:t>
      </w:r>
      <w:r w:rsidR="00925EE9" w:rsidRPr="00925EE9">
        <w:rPr>
          <w:rFonts w:cs="Arial"/>
          <w:rtl/>
        </w:rPr>
        <w:t>ובענין השמות מי הוא העיקר בודאי שם הנתינה עיקר ואידך טפל ומ"מ צריך לכתוב שניהם וק"ל. ומעתה</w:t>
      </w:r>
      <w:r w:rsidR="00925EE9">
        <w:rPr>
          <w:rFonts w:cs="Arial" w:hint="cs"/>
          <w:rtl/>
        </w:rPr>
        <w:t>...</w:t>
      </w:r>
      <w:r w:rsidR="00925EE9" w:rsidRPr="00925EE9">
        <w:rPr>
          <w:rFonts w:cs="Arial"/>
          <w:rtl/>
        </w:rPr>
        <w:t xml:space="preserve"> לא יפה כתב </w:t>
      </w:r>
      <w:r w:rsidR="00925EE9">
        <w:rPr>
          <w:rFonts w:cs="Arial" w:hint="cs"/>
          <w:sz w:val="16"/>
          <w:szCs w:val="16"/>
          <w:rtl/>
        </w:rPr>
        <w:t xml:space="preserve">{השו"ע כאן} </w:t>
      </w:r>
      <w:r w:rsidR="00925EE9" w:rsidRPr="00925EE9">
        <w:rPr>
          <w:rFonts w:cs="Arial"/>
          <w:rtl/>
        </w:rPr>
        <w:t>בשם י"א</w:t>
      </w:r>
      <w:r w:rsidR="00925EE9">
        <w:rPr>
          <w:rFonts w:cs="Arial" w:hint="cs"/>
          <w:rtl/>
        </w:rPr>
        <w:t>,</w:t>
      </w:r>
      <w:r w:rsidR="00925EE9" w:rsidRPr="00925EE9">
        <w:rPr>
          <w:rFonts w:cs="Arial"/>
          <w:rtl/>
        </w:rPr>
        <w:t xml:space="preserve"> דלענ"ד כ"ע ס"ל הכי דצריך להיות נקרא בשני המקומות וכמ</w:t>
      </w:r>
      <w:r w:rsidR="00925EE9">
        <w:rPr>
          <w:rFonts w:cs="Arial" w:hint="cs"/>
          <w:rtl/>
        </w:rPr>
        <w:t>"ש.</w:t>
      </w:r>
    </w:p>
  </w:footnote>
  <w:footnote w:id="617">
    <w:p w14:paraId="52E5CA62" w14:textId="3299ED82" w:rsidR="008A5759" w:rsidRDefault="008A5759">
      <w:pPr>
        <w:pStyle w:val="a5"/>
        <w:rPr>
          <w:rtl/>
        </w:rPr>
      </w:pPr>
      <w:r>
        <w:rPr>
          <w:rStyle w:val="a7"/>
        </w:rPr>
        <w:footnoteRef/>
      </w:r>
      <w:r>
        <w:rPr>
          <w:rtl/>
        </w:rPr>
        <w:t xml:space="preserve"> </w:t>
      </w:r>
      <w:r w:rsidRPr="008A5759">
        <w:rPr>
          <w:rFonts w:cs="Arial"/>
          <w:rtl/>
        </w:rPr>
        <w:t>אבל בשם ספר אגודה כתבו תינוק היודע האותיות ואינו יודע צרוף התיבות והתוספות פ' המגרש כתב היודע לקרות אותה תיבה</w:t>
      </w:r>
      <w:r>
        <w:rPr>
          <w:rFonts w:hint="cs"/>
          <w:rtl/>
        </w:rPr>
        <w:t>, ח"מ (סקל"ד).</w:t>
      </w:r>
    </w:p>
  </w:footnote>
  <w:footnote w:id="618">
    <w:p w14:paraId="73C1D989" w14:textId="6BAD2807" w:rsidR="008A5759" w:rsidRDefault="008A5759">
      <w:pPr>
        <w:pStyle w:val="a5"/>
      </w:pPr>
      <w:r>
        <w:rPr>
          <w:rStyle w:val="a7"/>
        </w:rPr>
        <w:footnoteRef/>
      </w:r>
      <w:r>
        <w:rPr>
          <w:rtl/>
        </w:rPr>
        <w:t xml:space="preserve"> </w:t>
      </w:r>
      <w:r w:rsidRPr="008A5759">
        <w:rPr>
          <w:rFonts w:cs="Arial"/>
          <w:rtl/>
        </w:rPr>
        <w:t>זה פשוט דבמקום עיגון אין להחמיר דהא כותבין על דבר שיכול להזדייף כשיש כאן עידי מסירה</w:t>
      </w:r>
      <w:r>
        <w:rPr>
          <w:rFonts w:cs="Arial" w:hint="cs"/>
          <w:rtl/>
        </w:rPr>
        <w:t>.</w:t>
      </w:r>
      <w:r w:rsidRPr="008A5759">
        <w:rPr>
          <w:rFonts w:cs="Arial"/>
          <w:rtl/>
        </w:rPr>
        <w:t xml:space="preserve"> ובב"ח כתב דאם לא עירה בדיעבד כשר אף בלא עיגון וא"צ לכתוב אחר</w:t>
      </w:r>
      <w:r>
        <w:rPr>
          <w:rFonts w:cs="Arial" w:hint="cs"/>
          <w:rtl/>
        </w:rPr>
        <w:t>,</w:t>
      </w:r>
      <w:r w:rsidRPr="008A5759">
        <w:rPr>
          <w:rFonts w:cs="Arial"/>
          <w:rtl/>
        </w:rPr>
        <w:t xml:space="preserve"> וכ"כ לקמן סי' ק"ל</w:t>
      </w:r>
      <w:r>
        <w:rPr>
          <w:rFonts w:cs="Arial" w:hint="cs"/>
          <w:rtl/>
        </w:rPr>
        <w:t>,</w:t>
      </w:r>
      <w:r w:rsidRPr="008A5759">
        <w:rPr>
          <w:rFonts w:cs="Arial"/>
          <w:rtl/>
        </w:rPr>
        <w:t xml:space="preserve"> וכן נוהגין בשאר מלכיות שאין כותבין כלל גט מעורה לכתחלה</w:t>
      </w:r>
      <w:r>
        <w:rPr>
          <w:rFonts w:cs="Arial" w:hint="cs"/>
          <w:rtl/>
        </w:rPr>
        <w:t>, ח"מ (סקל"ז).</w:t>
      </w:r>
    </w:p>
  </w:footnote>
  <w:footnote w:id="619">
    <w:p w14:paraId="4B4E645C" w14:textId="7BF791F7" w:rsidR="00703553" w:rsidRDefault="00703553">
      <w:pPr>
        <w:pStyle w:val="a5"/>
        <w:rPr>
          <w:rtl/>
        </w:rPr>
      </w:pPr>
      <w:r>
        <w:rPr>
          <w:rStyle w:val="a7"/>
        </w:rPr>
        <w:footnoteRef/>
      </w:r>
      <w:r>
        <w:rPr>
          <w:rtl/>
        </w:rPr>
        <w:t xml:space="preserve"> </w:t>
      </w:r>
      <w:r w:rsidRPr="00703553">
        <w:rPr>
          <w:rFonts w:cs="Arial"/>
          <w:rtl/>
        </w:rPr>
        <w:t>אבל אם משך ראש האות לתוך חלל א' וכדומה שאין לחוש לשום טעות לא פסלינן ליה כנ"ל וכן נרא' מדברי ר"י דלעיל</w:t>
      </w:r>
      <w:r w:rsidR="000D4780">
        <w:rPr>
          <w:rFonts w:cs="Arial" w:hint="cs"/>
          <w:rtl/>
        </w:rPr>
        <w:t>.</w:t>
      </w:r>
      <w:r w:rsidRPr="00703553">
        <w:rPr>
          <w:rFonts w:cs="Arial"/>
          <w:rtl/>
        </w:rPr>
        <w:t xml:space="preserve"> עכ"ל ד"מ</w:t>
      </w:r>
      <w:r w:rsidR="000D4780">
        <w:rPr>
          <w:rFonts w:cs="Arial" w:hint="cs"/>
          <w:rtl/>
        </w:rPr>
        <w:t>.</w:t>
      </w:r>
      <w:r w:rsidRPr="00703553">
        <w:rPr>
          <w:rFonts w:cs="Arial"/>
          <w:rtl/>
        </w:rPr>
        <w:t xml:space="preserve"> אבל הר"ן כ</w:t>
      </w:r>
      <w:r w:rsidR="000D4780">
        <w:rPr>
          <w:rFonts w:cs="Arial" w:hint="cs"/>
          <w:rtl/>
        </w:rPr>
        <w:t>'</w:t>
      </w:r>
      <w:r w:rsidRPr="00703553">
        <w:rPr>
          <w:rFonts w:cs="Arial"/>
          <w:rtl/>
        </w:rPr>
        <w:t xml:space="preserve"> על דברי ר"י שכ' דמעורה שראש ל' נכנס לתוך חלל ה' א' ח' ואחרים אומרים שזה יותר קרוב לפסול הגט מפני שמבטל צורת האות</w:t>
      </w:r>
      <w:r w:rsidR="000D4780">
        <w:rPr>
          <w:rFonts w:cs="Arial" w:hint="cs"/>
          <w:rtl/>
        </w:rPr>
        <w:t>.</w:t>
      </w:r>
      <w:r w:rsidRPr="00703553">
        <w:rPr>
          <w:rFonts w:cs="Arial"/>
          <w:rtl/>
        </w:rPr>
        <w:t xml:space="preserve"> ע"כ</w:t>
      </w:r>
      <w:r w:rsidR="000D4780">
        <w:rPr>
          <w:rFonts w:cs="Arial" w:hint="cs"/>
          <w:rtl/>
        </w:rPr>
        <w:t>.</w:t>
      </w:r>
      <w:r w:rsidRPr="00703553">
        <w:rPr>
          <w:rFonts w:cs="Arial"/>
          <w:rtl/>
        </w:rPr>
        <w:t xml:space="preserve"> נראה </w:t>
      </w:r>
      <w:r w:rsidR="000D4780">
        <w:rPr>
          <w:rFonts w:cs="Arial" w:hint="cs"/>
          <w:rtl/>
        </w:rPr>
        <w:t>ד</w:t>
      </w:r>
      <w:r w:rsidRPr="00703553">
        <w:rPr>
          <w:rFonts w:cs="Arial"/>
          <w:rtl/>
        </w:rPr>
        <w:t xml:space="preserve">אם רואין שנתבטל צורת האות ומכ"ש אם תינוק אינו יודע לקרות האות מחמת העירוי </w:t>
      </w:r>
      <w:r w:rsidR="000D4780">
        <w:rPr>
          <w:rFonts w:cs="Arial" w:hint="cs"/>
          <w:rtl/>
        </w:rPr>
        <w:t xml:space="preserve">- </w:t>
      </w:r>
      <w:r w:rsidRPr="00703553">
        <w:rPr>
          <w:rFonts w:cs="Arial"/>
          <w:rtl/>
        </w:rPr>
        <w:t>ודאי הגט פסול</w:t>
      </w:r>
      <w:r w:rsidR="000D4780">
        <w:rPr>
          <w:rFonts w:cs="Arial" w:hint="cs"/>
          <w:rtl/>
        </w:rPr>
        <w:t>,</w:t>
      </w:r>
      <w:r w:rsidRPr="00703553">
        <w:rPr>
          <w:rFonts w:cs="Arial"/>
          <w:rtl/>
        </w:rPr>
        <w:t xml:space="preserve"> ולכתחלה פשיטא שיש ליזהר בכל האותיות</w:t>
      </w:r>
      <w:r>
        <w:rPr>
          <w:rFonts w:hint="cs"/>
          <w:rtl/>
        </w:rPr>
        <w:t xml:space="preserve">, </w:t>
      </w:r>
      <w:r w:rsidRPr="000D4780">
        <w:rPr>
          <w:rFonts w:hint="cs"/>
          <w:b/>
          <w:bCs/>
          <w:rtl/>
        </w:rPr>
        <w:t>ח"מ</w:t>
      </w:r>
      <w:r>
        <w:rPr>
          <w:rFonts w:hint="cs"/>
          <w:rtl/>
        </w:rPr>
        <w:t xml:space="preserve"> (סקל"ח).</w:t>
      </w:r>
      <w:r w:rsidR="000D4780" w:rsidRPr="000D4780">
        <w:rPr>
          <w:rFonts w:cs="Arial"/>
          <w:rtl/>
        </w:rPr>
        <w:t xml:space="preserve"> </w:t>
      </w:r>
      <w:r w:rsidR="000D4780" w:rsidRPr="00703553">
        <w:rPr>
          <w:rFonts w:cs="Arial"/>
          <w:rtl/>
        </w:rPr>
        <w:t xml:space="preserve">ועיין בס' קרבן נתנאל </w:t>
      </w:r>
      <w:r w:rsidR="000D4780">
        <w:rPr>
          <w:rFonts w:cs="Arial" w:hint="cs"/>
          <w:rtl/>
        </w:rPr>
        <w:t>(</w:t>
      </w:r>
      <w:r w:rsidR="000D4780" w:rsidRPr="00703553">
        <w:rPr>
          <w:rFonts w:cs="Arial"/>
          <w:rtl/>
        </w:rPr>
        <w:t>פ"ב דגיטין אות מה</w:t>
      </w:r>
      <w:r w:rsidR="000D4780">
        <w:rPr>
          <w:rFonts w:cs="Arial" w:hint="cs"/>
          <w:rtl/>
        </w:rPr>
        <w:t>)</w:t>
      </w:r>
      <w:r w:rsidR="000D4780" w:rsidRPr="00703553">
        <w:rPr>
          <w:rFonts w:cs="Arial"/>
          <w:rtl/>
        </w:rPr>
        <w:t xml:space="preserve"> שכתב דהרמ"א דוקא נקט לחלל ד'</w:t>
      </w:r>
      <w:r w:rsidR="000D4780">
        <w:rPr>
          <w:rFonts w:cs="Arial" w:hint="cs"/>
          <w:rtl/>
        </w:rPr>
        <w:t>,</w:t>
      </w:r>
      <w:r w:rsidR="000D4780" w:rsidRPr="00703553">
        <w:rPr>
          <w:rFonts w:cs="Arial"/>
          <w:rtl/>
        </w:rPr>
        <w:t xml:space="preserve"> אבל לחלל שאר אותיות לא פסו</w:t>
      </w:r>
      <w:r w:rsidR="000D4780">
        <w:rPr>
          <w:rFonts w:cs="Arial" w:hint="cs"/>
          <w:rtl/>
        </w:rPr>
        <w:t>ל</w:t>
      </w:r>
      <w:r w:rsidR="000D4780" w:rsidRPr="00703553">
        <w:rPr>
          <w:rFonts w:cs="Arial"/>
          <w:rtl/>
        </w:rPr>
        <w:t xml:space="preserve"> בדיעבד</w:t>
      </w:r>
      <w:r w:rsidR="000D4780">
        <w:rPr>
          <w:rFonts w:cs="Arial" w:hint="cs"/>
          <w:rtl/>
        </w:rPr>
        <w:t>,</w:t>
      </w:r>
      <w:r w:rsidR="000D4780" w:rsidRPr="00703553">
        <w:rPr>
          <w:rFonts w:cs="Arial"/>
          <w:rtl/>
        </w:rPr>
        <w:t xml:space="preserve"> ודלא כב"ש ע"ש</w:t>
      </w:r>
      <w:r w:rsidR="000D4780">
        <w:rPr>
          <w:rFonts w:cs="Arial" w:hint="cs"/>
          <w:rtl/>
        </w:rPr>
        <w:t>.</w:t>
      </w:r>
      <w:r w:rsidR="000D4780" w:rsidRPr="00703553">
        <w:rPr>
          <w:rFonts w:cs="Arial"/>
          <w:rtl/>
        </w:rPr>
        <w:t xml:space="preserve"> ועיין במג"א סימן ל"ב סק"מ ועי' בתשו' מהרי"מ מבריסק סי' ח'</w:t>
      </w:r>
      <w:r w:rsidR="000D4780">
        <w:rPr>
          <w:rFonts w:hint="cs"/>
          <w:rtl/>
        </w:rPr>
        <w:t xml:space="preserve">, </w:t>
      </w:r>
      <w:r w:rsidR="000D4780" w:rsidRPr="000D4780">
        <w:rPr>
          <w:rFonts w:hint="cs"/>
          <w:b/>
          <w:bCs/>
          <w:rtl/>
        </w:rPr>
        <w:t>פת"ש</w:t>
      </w:r>
      <w:r w:rsidR="000D4780">
        <w:rPr>
          <w:rFonts w:hint="cs"/>
          <w:rtl/>
        </w:rPr>
        <w:t xml:space="preserve"> (סקל"ח).</w:t>
      </w:r>
    </w:p>
  </w:footnote>
  <w:footnote w:id="620">
    <w:p w14:paraId="711AC7F1" w14:textId="0E4C8949" w:rsidR="00CF41EB" w:rsidRDefault="00CF41EB">
      <w:pPr>
        <w:pStyle w:val="a5"/>
        <w:rPr>
          <w:rtl/>
        </w:rPr>
      </w:pPr>
      <w:r>
        <w:rPr>
          <w:rStyle w:val="a7"/>
        </w:rPr>
        <w:footnoteRef/>
      </w:r>
      <w:r>
        <w:rPr>
          <w:rtl/>
        </w:rPr>
        <w:t xml:space="preserve"> </w:t>
      </w:r>
      <w:r w:rsidRPr="00A17E63">
        <w:rPr>
          <w:rFonts w:cs="Arial"/>
          <w:rtl/>
        </w:rPr>
        <w:t>כי דייקינן ממתניתין דשאר מחקין כשרים בגט הוא בחד מתרי</w:t>
      </w:r>
      <w:r>
        <w:rPr>
          <w:rFonts w:cs="Arial" w:hint="cs"/>
          <w:rtl/>
        </w:rPr>
        <w:t>,</w:t>
      </w:r>
      <w:r w:rsidRPr="00A17E63">
        <w:rPr>
          <w:rFonts w:cs="Arial"/>
          <w:rtl/>
        </w:rPr>
        <w:t xml:space="preserve"> או שאינן מגופו של גט</w:t>
      </w:r>
      <w:r>
        <w:rPr>
          <w:rFonts w:cs="Arial" w:hint="cs"/>
          <w:rtl/>
        </w:rPr>
        <w:t>,</w:t>
      </w:r>
      <w:r w:rsidRPr="00A17E63">
        <w:rPr>
          <w:rFonts w:cs="Arial"/>
          <w:rtl/>
        </w:rPr>
        <w:t xml:space="preserve"> או שחזר וקיימו וכמבואר בתוספתא ובירושלמי</w:t>
      </w:r>
      <w:r>
        <w:rPr>
          <w:rFonts w:hint="cs"/>
          <w:rtl/>
        </w:rPr>
        <w:t>, ב"י.</w:t>
      </w:r>
    </w:p>
  </w:footnote>
  <w:footnote w:id="621">
    <w:p w14:paraId="35E9212C" w14:textId="26C64151" w:rsidR="003172ED" w:rsidRDefault="003172ED">
      <w:pPr>
        <w:pStyle w:val="a5"/>
      </w:pPr>
      <w:r>
        <w:rPr>
          <w:rStyle w:val="a7"/>
        </w:rPr>
        <w:footnoteRef/>
      </w:r>
      <w:r>
        <w:rPr>
          <w:rtl/>
        </w:rPr>
        <w:t xml:space="preserve"> </w:t>
      </w:r>
      <w:r>
        <w:rPr>
          <w:rFonts w:hint="cs"/>
          <w:rtl/>
        </w:rPr>
        <w:t xml:space="preserve">וז"ל בהעי"ט בשמו- </w:t>
      </w:r>
      <w:r w:rsidRPr="003172ED">
        <w:rPr>
          <w:rFonts w:cs="Arial"/>
          <w:rtl/>
        </w:rPr>
        <w:t>אי איכא בגט זכירת זמן שני פעמים</w:t>
      </w:r>
      <w:r w:rsidR="004613CF">
        <w:rPr>
          <w:rFonts w:cs="Arial" w:hint="cs"/>
          <w:rtl/>
        </w:rPr>
        <w:t>,</w:t>
      </w:r>
      <w:r w:rsidRPr="003172ED">
        <w:rPr>
          <w:rFonts w:cs="Arial"/>
          <w:rtl/>
        </w:rPr>
        <w:t xml:space="preserve"> או טעות</w:t>
      </w:r>
      <w:r w:rsidR="004613CF">
        <w:rPr>
          <w:rFonts w:cs="Arial" w:hint="cs"/>
          <w:rtl/>
        </w:rPr>
        <w:t>,</w:t>
      </w:r>
      <w:r w:rsidRPr="003172ED">
        <w:rPr>
          <w:rFonts w:cs="Arial"/>
          <w:rtl/>
        </w:rPr>
        <w:t xml:space="preserve"> ונקר אחד מהן</w:t>
      </w:r>
      <w:r w:rsidR="004613CF">
        <w:rPr>
          <w:rFonts w:cs="Arial" w:hint="cs"/>
          <w:rtl/>
        </w:rPr>
        <w:t>,</w:t>
      </w:r>
      <w:r w:rsidRPr="003172ED">
        <w:rPr>
          <w:rFonts w:cs="Arial"/>
          <w:rtl/>
        </w:rPr>
        <w:t xml:space="preserve"> או שעבר עליו קולמוס ומחק</w:t>
      </w:r>
      <w:r w:rsidR="004613CF">
        <w:rPr>
          <w:rFonts w:cs="Arial" w:hint="cs"/>
          <w:rtl/>
        </w:rPr>
        <w:t>,</w:t>
      </w:r>
      <w:r w:rsidRPr="003172ED">
        <w:rPr>
          <w:rFonts w:cs="Arial"/>
          <w:rtl/>
        </w:rPr>
        <w:t xml:space="preserve"> וכן אם טעה באותיות </w:t>
      </w:r>
      <w:r w:rsidR="004613CF">
        <w:rPr>
          <w:rFonts w:cs="Arial" w:hint="cs"/>
          <w:rtl/>
        </w:rPr>
        <w:t xml:space="preserve">- </w:t>
      </w:r>
      <w:r w:rsidRPr="003172ED">
        <w:rPr>
          <w:rFonts w:cs="Arial"/>
          <w:rtl/>
        </w:rPr>
        <w:t>אין לחוש בכך אלא במקומות ידועין</w:t>
      </w:r>
      <w:r w:rsidR="004613CF">
        <w:rPr>
          <w:rFonts w:cs="Arial" w:hint="cs"/>
          <w:rtl/>
        </w:rPr>
        <w:t>.</w:t>
      </w:r>
      <w:r w:rsidRPr="003172ED">
        <w:rPr>
          <w:rFonts w:cs="Arial"/>
          <w:rtl/>
        </w:rPr>
        <w:t xml:space="preserve"> כגון שם האשה רחל</w:t>
      </w:r>
      <w:r w:rsidR="004613CF">
        <w:rPr>
          <w:rFonts w:cs="Arial" w:hint="cs"/>
          <w:rtl/>
        </w:rPr>
        <w:t>,</w:t>
      </w:r>
      <w:r w:rsidRPr="003172ED">
        <w:rPr>
          <w:rFonts w:cs="Arial"/>
          <w:rtl/>
        </w:rPr>
        <w:t xml:space="preserve"> וכתב רחל ושרה</w:t>
      </w:r>
      <w:r w:rsidR="004613CF">
        <w:rPr>
          <w:rFonts w:cs="Arial" w:hint="cs"/>
          <w:rtl/>
        </w:rPr>
        <w:t>,</w:t>
      </w:r>
      <w:r w:rsidRPr="003172ED">
        <w:rPr>
          <w:rFonts w:cs="Arial"/>
          <w:rtl/>
        </w:rPr>
        <w:t xml:space="preserve"> ונקד על שרה</w:t>
      </w:r>
      <w:r w:rsidR="004613CF">
        <w:rPr>
          <w:rFonts w:cs="Arial" w:hint="cs"/>
          <w:rtl/>
        </w:rPr>
        <w:t>,</w:t>
      </w:r>
      <w:r w:rsidRPr="003172ED">
        <w:rPr>
          <w:rFonts w:cs="Arial"/>
          <w:rtl/>
        </w:rPr>
        <w:t xml:space="preserve"> ולא כתב וכל שום שיש לה בגט</w:t>
      </w:r>
      <w:r w:rsidR="004613CF">
        <w:rPr>
          <w:rFonts w:cs="Arial" w:hint="cs"/>
          <w:rtl/>
        </w:rPr>
        <w:t xml:space="preserve"> -</w:t>
      </w:r>
      <w:r w:rsidRPr="003172ED">
        <w:rPr>
          <w:rFonts w:cs="Arial"/>
          <w:rtl/>
        </w:rPr>
        <w:t xml:space="preserve"> חיישינן שמא שני שמות יש לה</w:t>
      </w:r>
      <w:r w:rsidR="004613CF">
        <w:rPr>
          <w:rFonts w:cs="Arial" w:hint="cs"/>
          <w:rtl/>
        </w:rPr>
        <w:t>,</w:t>
      </w:r>
      <w:r w:rsidRPr="003172ED">
        <w:rPr>
          <w:rFonts w:cs="Arial"/>
          <w:rtl/>
        </w:rPr>
        <w:t xml:space="preserve"> ויש לבעל לערער על דבר זה</w:t>
      </w:r>
      <w:r w:rsidR="004613CF">
        <w:rPr>
          <w:rFonts w:cs="Arial" w:hint="cs"/>
          <w:rtl/>
        </w:rPr>
        <w:t xml:space="preserve"> </w:t>
      </w:r>
      <w:r w:rsidR="004613CF">
        <w:rPr>
          <w:rFonts w:cs="Arial" w:hint="cs"/>
          <w:sz w:val="16"/>
          <w:szCs w:val="16"/>
          <w:rtl/>
        </w:rPr>
        <w:t>{</w:t>
      </w:r>
      <w:r w:rsidR="004613CF" w:rsidRPr="004613CF">
        <w:rPr>
          <w:rFonts w:cs="Arial" w:hint="cs"/>
          <w:sz w:val="16"/>
          <w:szCs w:val="16"/>
          <w:rtl/>
        </w:rPr>
        <w:t xml:space="preserve">וכ"כ </w:t>
      </w:r>
      <w:r w:rsidR="004613CF" w:rsidRPr="004613CF">
        <w:rPr>
          <w:rFonts w:cs="Arial"/>
          <w:sz w:val="16"/>
          <w:szCs w:val="16"/>
          <w:rtl/>
        </w:rPr>
        <w:t xml:space="preserve">הרשב"א </w:t>
      </w:r>
      <w:r w:rsidR="004613CF" w:rsidRPr="004613CF">
        <w:rPr>
          <w:rFonts w:cs="Arial" w:hint="cs"/>
          <w:sz w:val="16"/>
          <w:szCs w:val="16"/>
          <w:rtl/>
        </w:rPr>
        <w:t>ב</w:t>
      </w:r>
      <w:r w:rsidR="004613CF" w:rsidRPr="004613CF">
        <w:rPr>
          <w:rFonts w:cs="Arial"/>
          <w:sz w:val="16"/>
          <w:szCs w:val="16"/>
          <w:rtl/>
        </w:rPr>
        <w:t>סי' תקצח</w:t>
      </w:r>
      <w:r w:rsidR="004613CF">
        <w:rPr>
          <w:rFonts w:cs="Arial" w:hint="cs"/>
          <w:sz w:val="16"/>
          <w:szCs w:val="16"/>
          <w:rtl/>
        </w:rPr>
        <w:t>}</w:t>
      </w:r>
      <w:r w:rsidR="004613CF">
        <w:rPr>
          <w:rFonts w:cs="Arial" w:hint="cs"/>
          <w:rtl/>
        </w:rPr>
        <w:t>.</w:t>
      </w:r>
      <w:r w:rsidRPr="003172ED">
        <w:rPr>
          <w:rFonts w:cs="Arial"/>
          <w:rtl/>
        </w:rPr>
        <w:t xml:space="preserve"> וכן אם כתב בגט תנאו ע"מ כך וכך</w:t>
      </w:r>
      <w:r w:rsidR="00E66B10">
        <w:rPr>
          <w:rFonts w:cs="Arial" w:hint="cs"/>
          <w:rtl/>
        </w:rPr>
        <w:t>,</w:t>
      </w:r>
      <w:r w:rsidRPr="003172ED">
        <w:rPr>
          <w:rFonts w:cs="Arial"/>
          <w:rtl/>
        </w:rPr>
        <w:t xml:space="preserve"> ונקד עליו סתם</w:t>
      </w:r>
      <w:r w:rsidR="00E66B10">
        <w:rPr>
          <w:rFonts w:cs="Arial" w:hint="cs"/>
          <w:rtl/>
        </w:rPr>
        <w:t>,</w:t>
      </w:r>
      <w:r w:rsidRPr="003172ED">
        <w:rPr>
          <w:rFonts w:cs="Arial"/>
          <w:rtl/>
        </w:rPr>
        <w:t xml:space="preserve"> וכן תיבות שיש בהן חיסור כגון ודין ודן</w:t>
      </w:r>
      <w:r w:rsidR="00E66B10">
        <w:rPr>
          <w:rFonts w:cs="Arial" w:hint="cs"/>
          <w:rtl/>
        </w:rPr>
        <w:t>,</w:t>
      </w:r>
      <w:r w:rsidRPr="003172ED">
        <w:rPr>
          <w:rFonts w:cs="Arial"/>
          <w:rtl/>
        </w:rPr>
        <w:t xml:space="preserve"> וכן כולן </w:t>
      </w:r>
      <w:r w:rsidR="00E66B10">
        <w:rPr>
          <w:rFonts w:cs="Arial" w:hint="cs"/>
          <w:rtl/>
        </w:rPr>
        <w:t xml:space="preserve">- </w:t>
      </w:r>
      <w:r w:rsidRPr="003172ED">
        <w:rPr>
          <w:rFonts w:cs="Arial"/>
          <w:rtl/>
        </w:rPr>
        <w:t>יש לחוש שמא יבא הבעל ויערער</w:t>
      </w:r>
      <w:r w:rsidR="00E66B10">
        <w:rPr>
          <w:rFonts w:cs="Arial" w:hint="cs"/>
          <w:rtl/>
        </w:rPr>
        <w:t>,</w:t>
      </w:r>
      <w:r w:rsidRPr="003172ED">
        <w:rPr>
          <w:rFonts w:cs="Arial"/>
          <w:rtl/>
        </w:rPr>
        <w:t xml:space="preserve"> ויש לחוש לעירעורו</w:t>
      </w:r>
      <w:r w:rsidR="00E66B10">
        <w:rPr>
          <w:rFonts w:cs="Arial" w:hint="cs"/>
          <w:rtl/>
        </w:rPr>
        <w:t>.</w:t>
      </w:r>
      <w:r w:rsidRPr="003172ED">
        <w:rPr>
          <w:rFonts w:cs="Arial"/>
          <w:rtl/>
        </w:rPr>
        <w:t xml:space="preserve"> ודווקא שלא כתב בקיומו לבסוף</w:t>
      </w:r>
      <w:r w:rsidR="00E66B10">
        <w:rPr>
          <w:rFonts w:cs="Arial" w:hint="cs"/>
          <w:rtl/>
        </w:rPr>
        <w:t>,</w:t>
      </w:r>
      <w:r w:rsidRPr="003172ED">
        <w:rPr>
          <w:rFonts w:cs="Arial"/>
          <w:rtl/>
        </w:rPr>
        <w:t xml:space="preserve"> אבל כתב בקיומו לבסוף </w:t>
      </w:r>
      <w:r w:rsidR="00E66B10">
        <w:rPr>
          <w:rFonts w:cs="Arial" w:hint="cs"/>
          <w:rtl/>
        </w:rPr>
        <w:t xml:space="preserve">- </w:t>
      </w:r>
      <w:r w:rsidRPr="003172ED">
        <w:rPr>
          <w:rFonts w:cs="Arial"/>
          <w:rtl/>
        </w:rPr>
        <w:t>לאו כל כמיני'</w:t>
      </w:r>
      <w:r w:rsidR="00E66B10">
        <w:rPr>
          <w:rFonts w:cs="Arial" w:hint="cs"/>
          <w:rtl/>
        </w:rPr>
        <w:t>.</w:t>
      </w:r>
      <w:r w:rsidRPr="003172ED">
        <w:rPr>
          <w:rFonts w:cs="Arial"/>
          <w:rtl/>
        </w:rPr>
        <w:t xml:space="preserve"> והיכא שמחזי' בסוף הגט צריך שלא יהא בשיטה אחרונה כדגרסינן </w:t>
      </w:r>
      <w:r w:rsidR="00E66B10" w:rsidRPr="00F82C81">
        <w:rPr>
          <w:rFonts w:cs="Arial"/>
          <w:rtl/>
        </w:rPr>
        <w:t>(ב"ב קסא:)</w:t>
      </w:r>
      <w:r w:rsidR="00E66B10">
        <w:rPr>
          <w:rFonts w:cs="Arial" w:hint="cs"/>
          <w:rtl/>
        </w:rPr>
        <w:t xml:space="preserve"> </w:t>
      </w:r>
      <w:r w:rsidRPr="003172ED">
        <w:rPr>
          <w:rFonts w:cs="Arial"/>
          <w:rtl/>
        </w:rPr>
        <w:t>אמר רבי יוחנן</w:t>
      </w:r>
      <w:r w:rsidRPr="00F82C81">
        <w:rPr>
          <w:rFonts w:cs="Arial"/>
          <w:rtl/>
        </w:rPr>
        <w:t xml:space="preserve"> </w:t>
      </w:r>
      <w:r w:rsidRPr="003172ED">
        <w:rPr>
          <w:rFonts w:cs="Arial"/>
          <w:rtl/>
        </w:rPr>
        <w:t>כל המחקין כולן צריך שיכתוב ודין קיומיהון וצריך שיחזור מעניין השטר בשיטה אחרונה</w:t>
      </w:r>
      <w:r w:rsidR="00E66B10">
        <w:rPr>
          <w:rFonts w:cs="Arial" w:hint="cs"/>
          <w:rtl/>
        </w:rPr>
        <w:t>.</w:t>
      </w:r>
      <w:r w:rsidRPr="003172ED">
        <w:rPr>
          <w:rFonts w:cs="Arial"/>
          <w:rtl/>
        </w:rPr>
        <w:t xml:space="preserve"> והיכא שכופל כן צריך שיכתוב </w:t>
      </w:r>
      <w:r w:rsidR="00E66B10">
        <w:rPr>
          <w:rFonts w:cs="Arial" w:hint="cs"/>
          <w:rtl/>
        </w:rPr>
        <w:t>'</w:t>
      </w:r>
      <w:r w:rsidRPr="003172ED">
        <w:rPr>
          <w:rFonts w:cs="Arial"/>
          <w:rtl/>
        </w:rPr>
        <w:t>גיטא דנן כשר כדת משה וישראל</w:t>
      </w:r>
      <w:r w:rsidR="00E66B10">
        <w:rPr>
          <w:rFonts w:cs="Arial" w:hint="cs"/>
          <w:rtl/>
        </w:rPr>
        <w:t>'</w:t>
      </w:r>
      <w:r w:rsidRPr="003172ED">
        <w:rPr>
          <w:rFonts w:cs="Arial"/>
          <w:rtl/>
        </w:rPr>
        <w:t>.</w:t>
      </w:r>
    </w:p>
  </w:footnote>
  <w:footnote w:id="622">
    <w:p w14:paraId="602D0591" w14:textId="5ACD0FAE" w:rsidR="003172ED" w:rsidRDefault="003172ED">
      <w:pPr>
        <w:pStyle w:val="a5"/>
        <w:rPr>
          <w:rtl/>
        </w:rPr>
      </w:pPr>
      <w:r>
        <w:rPr>
          <w:rStyle w:val="a7"/>
        </w:rPr>
        <w:footnoteRef/>
      </w:r>
      <w:r>
        <w:rPr>
          <w:rtl/>
        </w:rPr>
        <w:t xml:space="preserve"> </w:t>
      </w:r>
      <w:r w:rsidRPr="00F82C81">
        <w:rPr>
          <w:rFonts w:cs="Arial"/>
          <w:rtl/>
        </w:rPr>
        <w:t>ודע שרבינו סתם הדברים וכתב שרבינו ניסים כהרמב"ם</w:t>
      </w:r>
      <w:r>
        <w:rPr>
          <w:rFonts w:cs="Arial" w:hint="cs"/>
          <w:rtl/>
        </w:rPr>
        <w:t>,</w:t>
      </w:r>
      <w:r w:rsidRPr="00F82C81">
        <w:rPr>
          <w:rFonts w:cs="Arial"/>
          <w:rtl/>
        </w:rPr>
        <w:t xml:space="preserve"> ואמת הדבר דיש ללמוד מדבריו דכהרמב"ם סבירא ליה דכל שהוא מקויים אפילו בדבר שהוא תורף הגט כשר</w:t>
      </w:r>
      <w:r>
        <w:rPr>
          <w:rFonts w:cs="Arial" w:hint="cs"/>
          <w:rtl/>
        </w:rPr>
        <w:t>.</w:t>
      </w:r>
      <w:r w:rsidRPr="00F82C81">
        <w:rPr>
          <w:rFonts w:cs="Arial"/>
          <w:rtl/>
        </w:rPr>
        <w:t xml:space="preserve"> ומכל מקום דבריו הם בסגנון אחר ממה שהם דברי הרמב"ם ותוספת דברים</w:t>
      </w:r>
      <w:r>
        <w:rPr>
          <w:rFonts w:cs="Arial" w:hint="cs"/>
          <w:rtl/>
        </w:rPr>
        <w:t>.</w:t>
      </w:r>
      <w:r>
        <w:rPr>
          <w:rFonts w:hint="cs"/>
          <w:rtl/>
        </w:rPr>
        <w:t>, ב"י.</w:t>
      </w:r>
    </w:p>
  </w:footnote>
  <w:footnote w:id="623">
    <w:p w14:paraId="1370EE11" w14:textId="6C553B94" w:rsidR="00891AD5" w:rsidRDefault="00891AD5">
      <w:pPr>
        <w:pStyle w:val="a5"/>
      </w:pPr>
      <w:r>
        <w:rPr>
          <w:rStyle w:val="a7"/>
        </w:rPr>
        <w:footnoteRef/>
      </w:r>
      <w:r>
        <w:rPr>
          <w:rtl/>
        </w:rPr>
        <w:t xml:space="preserve"> </w:t>
      </w:r>
      <w:r>
        <w:rPr>
          <w:rFonts w:cs="Arial"/>
          <w:rtl/>
        </w:rPr>
        <w:t>דעת הרמב"ם דכל דבר הנוגע לתורף מיפסל מדאורייתא ומשום הכי כתב אינו גט</w:t>
      </w:r>
      <w:r>
        <w:rPr>
          <w:rFonts w:cs="Arial" w:hint="cs"/>
          <w:rtl/>
        </w:rPr>
        <w:t>, ב"י.</w:t>
      </w:r>
    </w:p>
  </w:footnote>
  <w:footnote w:id="624">
    <w:p w14:paraId="3D91AD67" w14:textId="2834C830" w:rsidR="005B485F" w:rsidRDefault="005B485F" w:rsidP="005B485F">
      <w:pPr>
        <w:pStyle w:val="a5"/>
        <w:rPr>
          <w:rtl/>
        </w:rPr>
      </w:pPr>
      <w:r>
        <w:rPr>
          <w:rStyle w:val="a7"/>
        </w:rPr>
        <w:footnoteRef/>
      </w:r>
      <w:r>
        <w:rPr>
          <w:rtl/>
        </w:rPr>
        <w:t xml:space="preserve"> </w:t>
      </w:r>
      <w:r w:rsidRPr="002D5E7F">
        <w:rPr>
          <w:rFonts w:cs="Arial"/>
          <w:rtl/>
        </w:rPr>
        <w:t>ורבינו נסים כתב כדברי הרמב"ם ז"ל שבכל מקום שנמחק ונתקיים כשר</w:t>
      </w:r>
      <w:r w:rsidR="005F6106">
        <w:rPr>
          <w:rFonts w:cs="Arial" w:hint="cs"/>
          <w:rtl/>
        </w:rPr>
        <w:t>,</w:t>
      </w:r>
      <w:r w:rsidRPr="002D5E7F">
        <w:rPr>
          <w:rFonts w:cs="Arial"/>
          <w:rtl/>
        </w:rPr>
        <w:t xml:space="preserve"> ובטופס כשר אפי' בלא קיום</w:t>
      </w:r>
      <w:r w:rsidR="00E02ADC">
        <w:rPr>
          <w:rFonts w:cs="Arial" w:hint="cs"/>
          <w:rtl/>
        </w:rPr>
        <w:t>.</w:t>
      </w:r>
      <w:r w:rsidRPr="002D5E7F">
        <w:rPr>
          <w:rFonts w:cs="Arial"/>
          <w:rtl/>
        </w:rPr>
        <w:t xml:space="preserve"> וכ"כ א"א הרא"ש ז"ל בתשובה שגט שיש בו מחקים וקיומים כשר</w:t>
      </w:r>
      <w:r>
        <w:rPr>
          <w:rFonts w:hint="cs"/>
          <w:rtl/>
        </w:rPr>
        <w:t xml:space="preserve">, </w:t>
      </w:r>
      <w:r w:rsidRPr="00E02ADC">
        <w:rPr>
          <w:rFonts w:hint="cs"/>
          <w:b/>
          <w:bCs/>
          <w:rtl/>
        </w:rPr>
        <w:t>טור</w:t>
      </w:r>
      <w:r>
        <w:rPr>
          <w:rFonts w:hint="cs"/>
          <w:rtl/>
        </w:rPr>
        <w:t>.</w:t>
      </w:r>
      <w:r w:rsidR="00E02ADC" w:rsidRPr="00E02ADC">
        <w:rPr>
          <w:rFonts w:cs="Arial" w:hint="cs"/>
          <w:rtl/>
        </w:rPr>
        <w:t xml:space="preserve"> </w:t>
      </w:r>
      <w:r w:rsidR="00E02ADC">
        <w:rPr>
          <w:rFonts w:cs="Arial" w:hint="cs"/>
          <w:rtl/>
        </w:rPr>
        <w:t xml:space="preserve">וכתב </w:t>
      </w:r>
      <w:r w:rsidR="00E02ADC" w:rsidRPr="00E02ADC">
        <w:rPr>
          <w:rFonts w:cs="Arial" w:hint="cs"/>
          <w:b/>
          <w:bCs/>
          <w:rtl/>
        </w:rPr>
        <w:t>הב"י</w:t>
      </w:r>
      <w:r w:rsidR="00E02ADC">
        <w:rPr>
          <w:rFonts w:cs="Arial" w:hint="cs"/>
          <w:rtl/>
        </w:rPr>
        <w:t xml:space="preserve"> דהם דברי הרא"ש</w:t>
      </w:r>
      <w:r w:rsidR="00E02ADC" w:rsidRPr="00F82C81">
        <w:rPr>
          <w:rFonts w:cs="Arial"/>
          <w:rtl/>
        </w:rPr>
        <w:t xml:space="preserve"> </w:t>
      </w:r>
      <w:r w:rsidR="00E02ADC">
        <w:rPr>
          <w:rFonts w:cs="Arial" w:hint="cs"/>
          <w:rtl/>
        </w:rPr>
        <w:t>בתשובה (</w:t>
      </w:r>
      <w:r w:rsidR="00E02ADC" w:rsidRPr="00F82C81">
        <w:rPr>
          <w:rFonts w:cs="Arial"/>
          <w:rtl/>
        </w:rPr>
        <w:t>כלל מה סי</w:t>
      </w:r>
      <w:r w:rsidR="00E02ADC">
        <w:rPr>
          <w:rFonts w:cs="Arial" w:hint="cs"/>
          <w:rtl/>
        </w:rPr>
        <w:t>'</w:t>
      </w:r>
      <w:r w:rsidR="00E02ADC" w:rsidRPr="00F82C81">
        <w:rPr>
          <w:rFonts w:cs="Arial"/>
          <w:rtl/>
        </w:rPr>
        <w:t xml:space="preserve"> יט</w:t>
      </w:r>
      <w:r w:rsidR="00E02ADC">
        <w:rPr>
          <w:rFonts w:cs="Arial" w:hint="cs"/>
          <w:rtl/>
        </w:rPr>
        <w:t xml:space="preserve">) </w:t>
      </w:r>
      <w:r w:rsidR="000A0F5A">
        <w:rPr>
          <w:rFonts w:cs="Arial" w:hint="cs"/>
          <w:rtl/>
        </w:rPr>
        <w:t>וז</w:t>
      </w:r>
      <w:r w:rsidR="000A0F5A">
        <w:rPr>
          <w:rFonts w:cs="Arial"/>
          <w:rtl/>
        </w:rPr>
        <w:t>"</w:t>
      </w:r>
      <w:r w:rsidR="000A0F5A">
        <w:rPr>
          <w:rFonts w:cs="Arial" w:hint="cs"/>
          <w:rtl/>
        </w:rPr>
        <w:t>ל:</w:t>
      </w:r>
      <w:r w:rsidR="00E02ADC">
        <w:rPr>
          <w:rFonts w:cs="Arial" w:hint="cs"/>
          <w:rtl/>
        </w:rPr>
        <w:t xml:space="preserve"> </w:t>
      </w:r>
      <w:r w:rsidR="00E02ADC" w:rsidRPr="00F82C81">
        <w:rPr>
          <w:rFonts w:cs="Arial"/>
          <w:rtl/>
        </w:rPr>
        <w:t>ואם היה בגט אות תלויה ביני שיטי ונתקיימה קודם שכתב כדת משה וישראל כשר הוא ואין חילוק בזה בין גט לשטר</w:t>
      </w:r>
      <w:r w:rsidR="00E02ADC">
        <w:rPr>
          <w:rFonts w:cs="Arial" w:hint="cs"/>
          <w:rtl/>
        </w:rPr>
        <w:t>.</w:t>
      </w:r>
    </w:p>
  </w:footnote>
  <w:footnote w:id="625">
    <w:p w14:paraId="29D04483" w14:textId="273F5E5A" w:rsidR="00E02ADC" w:rsidRDefault="00E02ADC">
      <w:pPr>
        <w:pStyle w:val="a5"/>
      </w:pPr>
      <w:r>
        <w:rPr>
          <w:rStyle w:val="a7"/>
        </w:rPr>
        <w:footnoteRef/>
      </w:r>
      <w:r>
        <w:rPr>
          <w:rtl/>
        </w:rPr>
        <w:t xml:space="preserve"> </w:t>
      </w:r>
      <w:r w:rsidRPr="00F82C81">
        <w:rPr>
          <w:rFonts w:cs="Arial"/>
          <w:rtl/>
        </w:rPr>
        <w:t>וסברת רבינו סעדיה גם כן סתומה כדברי רבינו</w:t>
      </w:r>
      <w:r>
        <w:rPr>
          <w:rFonts w:cs="Arial" w:hint="cs"/>
          <w:rtl/>
        </w:rPr>
        <w:t>.</w:t>
      </w:r>
      <w:r w:rsidRPr="00F82C81">
        <w:rPr>
          <w:rFonts w:cs="Arial"/>
          <w:rtl/>
        </w:rPr>
        <w:t xml:space="preserve"> ומדבריו לא משמע דמיירי אלא בשכתב השם על המחק כדמיירי הרמב"ם</w:t>
      </w:r>
      <w:r>
        <w:rPr>
          <w:rFonts w:cs="Arial" w:hint="cs"/>
          <w:rtl/>
        </w:rPr>
        <w:t>,</w:t>
      </w:r>
      <w:r w:rsidRPr="00F82C81">
        <w:rPr>
          <w:rFonts w:cs="Arial"/>
          <w:rtl/>
        </w:rPr>
        <w:t xml:space="preserve"> ולא היכא דכתוב השם וכתוב אצלו שם אחר מחוק</w:t>
      </w:r>
      <w:r>
        <w:rPr>
          <w:rFonts w:cs="Arial" w:hint="cs"/>
          <w:rtl/>
        </w:rPr>
        <w:t>.</w:t>
      </w:r>
      <w:r w:rsidRPr="00F82C81">
        <w:rPr>
          <w:rFonts w:cs="Arial"/>
          <w:rtl/>
        </w:rPr>
        <w:t xml:space="preserve"> אבל מדברי העיטור משמע דרבינו סעדיה אדברי רבינו ניסים הנזכר לעיל קאי</w:t>
      </w:r>
      <w:r>
        <w:rPr>
          <w:rFonts w:cs="Arial" w:hint="cs"/>
          <w:rtl/>
        </w:rPr>
        <w:t>, ב"י.</w:t>
      </w:r>
    </w:p>
  </w:footnote>
  <w:footnote w:id="626">
    <w:p w14:paraId="1581DC87" w14:textId="05BAFF1A" w:rsidR="003172ED" w:rsidRDefault="003172ED" w:rsidP="003172ED">
      <w:pPr>
        <w:pStyle w:val="a5"/>
      </w:pPr>
      <w:r>
        <w:rPr>
          <w:rStyle w:val="a7"/>
        </w:rPr>
        <w:footnoteRef/>
      </w:r>
      <w:r>
        <w:rPr>
          <w:rtl/>
        </w:rPr>
        <w:t xml:space="preserve"> </w:t>
      </w:r>
      <w:r w:rsidRPr="003172ED">
        <w:rPr>
          <w:rFonts w:cs="Arial"/>
          <w:rtl/>
        </w:rPr>
        <w:t>ולא בריר לן אלא אפי' לכתחילה כשר אפילו בשמו ושמה</w:t>
      </w:r>
      <w:r>
        <w:rPr>
          <w:rFonts w:cs="Arial" w:hint="cs"/>
          <w:rtl/>
        </w:rPr>
        <w:t>, בהעי"ט (שם, הביאו הר"ן).</w:t>
      </w:r>
    </w:p>
  </w:footnote>
  <w:footnote w:id="627">
    <w:p w14:paraId="5BE3BCAC" w14:textId="615558AF" w:rsidR="00891AD5" w:rsidRDefault="00891AD5" w:rsidP="00891AD5">
      <w:pPr>
        <w:pStyle w:val="a5"/>
        <w:rPr>
          <w:rtl/>
        </w:rPr>
      </w:pPr>
      <w:r>
        <w:rPr>
          <w:rStyle w:val="a7"/>
        </w:rPr>
        <w:footnoteRef/>
      </w:r>
      <w:r>
        <w:rPr>
          <w:rtl/>
        </w:rPr>
        <w:t xml:space="preserve"> </w:t>
      </w:r>
      <w:r w:rsidRPr="00AF29F7">
        <w:rPr>
          <w:rFonts w:cs="Arial"/>
          <w:rtl/>
        </w:rPr>
        <w:t xml:space="preserve">וכן משמע בתוספות פרק המגרש (פד: ד"ה אם) ובתשובת הרא"ש </w:t>
      </w:r>
      <w:r w:rsidR="00CF41EB">
        <w:rPr>
          <w:rFonts w:cs="Arial" w:hint="cs"/>
          <w:rtl/>
        </w:rPr>
        <w:t>(</w:t>
      </w:r>
      <w:r w:rsidRPr="00AF29F7">
        <w:rPr>
          <w:rFonts w:cs="Arial"/>
          <w:rtl/>
        </w:rPr>
        <w:t>כלל מה סי</w:t>
      </w:r>
      <w:r w:rsidR="00CF41EB">
        <w:rPr>
          <w:rFonts w:cs="Arial" w:hint="cs"/>
          <w:rtl/>
        </w:rPr>
        <w:t>'</w:t>
      </w:r>
      <w:r w:rsidRPr="00AF29F7">
        <w:rPr>
          <w:rFonts w:cs="Arial"/>
          <w:rtl/>
        </w:rPr>
        <w:t xml:space="preserve"> יט</w:t>
      </w:r>
      <w:r w:rsidR="00CF41EB">
        <w:rPr>
          <w:rFonts w:cs="Arial" w:hint="cs"/>
          <w:rtl/>
        </w:rPr>
        <w:t>)</w:t>
      </w:r>
      <w:r w:rsidR="00E66B10">
        <w:rPr>
          <w:rFonts w:cs="Arial" w:hint="cs"/>
          <w:rtl/>
        </w:rPr>
        <w:t>,</w:t>
      </w:r>
      <w:r w:rsidR="00E66B10" w:rsidRPr="00E66B10">
        <w:rPr>
          <w:rFonts w:cs="Arial" w:hint="cs"/>
          <w:rtl/>
        </w:rPr>
        <w:t xml:space="preserve"> </w:t>
      </w:r>
      <w:r w:rsidR="00E66B10">
        <w:rPr>
          <w:rFonts w:cs="Arial" w:hint="cs"/>
          <w:rtl/>
        </w:rPr>
        <w:t>דרכ"מ (אות כ)</w:t>
      </w:r>
      <w:r w:rsidR="00CF41EB">
        <w:rPr>
          <w:rFonts w:cs="Arial" w:hint="cs"/>
          <w:rtl/>
        </w:rPr>
        <w:t>.</w:t>
      </w:r>
    </w:p>
  </w:footnote>
  <w:footnote w:id="628">
    <w:p w14:paraId="7F59244B" w14:textId="77777777" w:rsidR="00F82C81" w:rsidRDefault="00F82C81" w:rsidP="00F82C81">
      <w:pPr>
        <w:pStyle w:val="a5"/>
      </w:pPr>
      <w:r>
        <w:rPr>
          <w:rStyle w:val="a7"/>
        </w:rPr>
        <w:footnoteRef/>
      </w:r>
      <w:r>
        <w:rPr>
          <w:rtl/>
        </w:rPr>
        <w:t xml:space="preserve"> </w:t>
      </w:r>
      <w:r>
        <w:rPr>
          <w:rFonts w:cs="Arial"/>
          <w:rtl/>
        </w:rPr>
        <w:t>טעמיה משום דכיון דלדידן דקיימא לן עדי מסירה כרתי אפילו על הנייר המחוק ועל הדפתרא כשר כדאיתא בפ</w:t>
      </w:r>
      <w:r>
        <w:rPr>
          <w:rFonts w:cs="Arial" w:hint="cs"/>
          <w:rtl/>
        </w:rPr>
        <w:t>"</w:t>
      </w:r>
      <w:r>
        <w:rPr>
          <w:rFonts w:cs="Arial"/>
          <w:rtl/>
        </w:rPr>
        <w:t>ב דגיטין (כא: כב.)</w:t>
      </w:r>
      <w:r>
        <w:rPr>
          <w:rFonts w:cs="Arial" w:hint="cs"/>
          <w:rtl/>
        </w:rPr>
        <w:t>,</w:t>
      </w:r>
      <w:r>
        <w:rPr>
          <w:rFonts w:cs="Arial"/>
          <w:rtl/>
        </w:rPr>
        <w:t xml:space="preserve"> וכתבו הרמב"ם בפרק הנזכר (ה"ג)</w:t>
      </w:r>
      <w:r>
        <w:rPr>
          <w:rFonts w:cs="Arial" w:hint="cs"/>
          <w:rtl/>
        </w:rPr>
        <w:t>,</w:t>
      </w:r>
      <w:r>
        <w:rPr>
          <w:rFonts w:cs="Arial"/>
          <w:rtl/>
        </w:rPr>
        <w:t xml:space="preserve"> אם כן המחקים שהזכירה התוספתא בשאין עדי מסירה לפנינו הוא</w:t>
      </w:r>
      <w:r>
        <w:rPr>
          <w:rFonts w:cs="Arial" w:hint="cs"/>
          <w:rtl/>
        </w:rPr>
        <w:t>, הה"מ (פ"ד הי"ז)</w:t>
      </w:r>
      <w:r>
        <w:rPr>
          <w:rFonts w:cs="Arial"/>
          <w:rtl/>
        </w:rPr>
        <w:t>.</w:t>
      </w:r>
      <w:r>
        <w:rPr>
          <w:rFonts w:cs="Arial" w:hint="cs"/>
          <w:rtl/>
        </w:rPr>
        <w:t xml:space="preserve"> וכ"כ הר"ן (גיטין מד: מדפה"ר).</w:t>
      </w:r>
    </w:p>
  </w:footnote>
  <w:footnote w:id="629">
    <w:p w14:paraId="1B37E6BB" w14:textId="77777777" w:rsidR="004613CF" w:rsidRDefault="004613CF" w:rsidP="004613CF">
      <w:pPr>
        <w:pStyle w:val="a5"/>
      </w:pPr>
      <w:r>
        <w:rPr>
          <w:rStyle w:val="a7"/>
        </w:rPr>
        <w:footnoteRef/>
      </w:r>
      <w:r w:rsidRPr="00AF29F7">
        <w:rPr>
          <w:rFonts w:cs="Arial"/>
          <w:rtl/>
        </w:rPr>
        <w:t xml:space="preserve"> וכן הוא בסמ"ק (סי' קפד) ובמרדכי</w:t>
      </w:r>
      <w:r>
        <w:rPr>
          <w:rFonts w:cs="Arial" w:hint="cs"/>
          <w:rtl/>
        </w:rPr>
        <w:t xml:space="preserve"> </w:t>
      </w:r>
      <w:r w:rsidRPr="00AF29F7">
        <w:rPr>
          <w:rFonts w:cs="Arial"/>
          <w:rtl/>
        </w:rPr>
        <w:t>(סי' תמה וסי' תנג). וכתב שם במרדכי דבדיעבד מיהו כשר והרוצה לקיים יקיים קודם שיכתבו ודן די יהוי וכו'</w:t>
      </w:r>
      <w:r>
        <w:rPr>
          <w:rFonts w:cs="Arial" w:hint="cs"/>
          <w:rtl/>
        </w:rPr>
        <w:t>, דרכ"מ (אות יט).</w:t>
      </w:r>
    </w:p>
  </w:footnote>
  <w:footnote w:id="630">
    <w:p w14:paraId="01585AEB" w14:textId="750D1630" w:rsidR="00E66B10" w:rsidRDefault="00E66B10">
      <w:pPr>
        <w:pStyle w:val="a5"/>
      </w:pPr>
      <w:r>
        <w:rPr>
          <w:rStyle w:val="a7"/>
        </w:rPr>
        <w:footnoteRef/>
      </w:r>
      <w:r>
        <w:rPr>
          <w:rtl/>
        </w:rPr>
        <w:t xml:space="preserve"> </w:t>
      </w:r>
      <w:r w:rsidRPr="00E66B10">
        <w:rPr>
          <w:rFonts w:cs="Arial"/>
          <w:rtl/>
        </w:rPr>
        <w:t>אפשר במקום עיגון מותר לקיים המחקין ואפשר דא"צ לקיים אפילו בתורף דהא יש עידי מסירה</w:t>
      </w:r>
      <w:r>
        <w:rPr>
          <w:rFonts w:cs="Arial" w:hint="cs"/>
          <w:rtl/>
        </w:rPr>
        <w:t xml:space="preserve">, </w:t>
      </w:r>
      <w:r w:rsidRPr="003D7D4C">
        <w:rPr>
          <w:rFonts w:cs="Arial" w:hint="cs"/>
          <w:b/>
          <w:bCs/>
          <w:rtl/>
        </w:rPr>
        <w:t>ח"מ</w:t>
      </w:r>
      <w:r>
        <w:rPr>
          <w:rFonts w:cs="Arial" w:hint="cs"/>
          <w:rtl/>
        </w:rPr>
        <w:t xml:space="preserve"> (סק"מ).</w:t>
      </w:r>
      <w:r w:rsidR="006B457D" w:rsidRPr="006B457D">
        <w:rPr>
          <w:rtl/>
        </w:rPr>
        <w:t xml:space="preserve"> </w:t>
      </w:r>
      <w:r w:rsidR="006B457D" w:rsidRPr="003D7D4C">
        <w:rPr>
          <w:rFonts w:cs="Arial" w:hint="cs"/>
          <w:b/>
          <w:bCs/>
          <w:rtl/>
        </w:rPr>
        <w:t>והב"ש</w:t>
      </w:r>
      <w:r w:rsidR="006B457D">
        <w:rPr>
          <w:rFonts w:cs="Arial" w:hint="cs"/>
          <w:rtl/>
        </w:rPr>
        <w:t xml:space="preserve"> (סקל"ה) כתב ד</w:t>
      </w:r>
      <w:r w:rsidR="006B457D" w:rsidRPr="006B457D">
        <w:rPr>
          <w:rFonts w:cs="Arial"/>
          <w:rtl/>
        </w:rPr>
        <w:t>במקום עיגון או בדיעבד כשר אפי' אינו מקוים כיון דאיתא ע"מ</w:t>
      </w:r>
      <w:r w:rsidR="006B457D">
        <w:rPr>
          <w:rFonts w:cs="Arial" w:hint="cs"/>
          <w:rtl/>
        </w:rPr>
        <w:t>,</w:t>
      </w:r>
      <w:r w:rsidR="006B457D" w:rsidRPr="006B457D">
        <w:rPr>
          <w:rFonts w:cs="Arial"/>
          <w:rtl/>
        </w:rPr>
        <w:t xml:space="preserve"> ובסי' קכ"ד כתבתי היכא דאיכא חשש זיוף צריכים ע"מ להיות בפנינ</w:t>
      </w:r>
      <w:r w:rsidR="006B457D">
        <w:rPr>
          <w:rFonts w:cs="Arial" w:hint="cs"/>
          <w:rtl/>
        </w:rPr>
        <w:t>ו.</w:t>
      </w:r>
    </w:p>
  </w:footnote>
  <w:footnote w:id="631">
    <w:p w14:paraId="4477762A" w14:textId="02874D93" w:rsidR="00F82C81" w:rsidRDefault="00F82C81" w:rsidP="00F82C81">
      <w:pPr>
        <w:pStyle w:val="a5"/>
        <w:rPr>
          <w:rtl/>
        </w:rPr>
      </w:pPr>
      <w:r>
        <w:rPr>
          <w:rStyle w:val="a7"/>
        </w:rPr>
        <w:footnoteRef/>
      </w:r>
      <w:r>
        <w:rPr>
          <w:rtl/>
        </w:rPr>
        <w:t xml:space="preserve"> </w:t>
      </w:r>
      <w:r w:rsidRPr="00477915">
        <w:rPr>
          <w:rFonts w:cs="Arial"/>
          <w:rtl/>
        </w:rPr>
        <w:t>א</w:t>
      </w:r>
      <w:r w:rsidR="003D7D4C">
        <w:rPr>
          <w:rFonts w:cs="Arial" w:hint="cs"/>
          <w:rtl/>
        </w:rPr>
        <w:t>מר אברהם</w:t>
      </w:r>
      <w:r w:rsidRPr="00477915">
        <w:rPr>
          <w:rFonts w:cs="Arial"/>
          <w:rtl/>
        </w:rPr>
        <w:t xml:space="preserve"> אם גט מקויים הוא למה יפסל מהיותה מגורשת</w:t>
      </w:r>
      <w:r>
        <w:rPr>
          <w:rFonts w:cs="Arial" w:hint="cs"/>
          <w:rtl/>
        </w:rPr>
        <w:t>,</w:t>
      </w:r>
      <w:r w:rsidRPr="00477915">
        <w:rPr>
          <w:rFonts w:cs="Arial"/>
          <w:rtl/>
        </w:rPr>
        <w:t xml:space="preserve"> אלא לא אמרו פסול אלא שלא תגבה בו</w:t>
      </w:r>
      <w:r w:rsidR="003D7D4C">
        <w:rPr>
          <w:rFonts w:cs="Arial" w:hint="cs"/>
          <w:rtl/>
        </w:rPr>
        <w:t>,</w:t>
      </w:r>
      <w:r w:rsidRPr="00477915">
        <w:rPr>
          <w:rFonts w:cs="Arial"/>
          <w:rtl/>
        </w:rPr>
        <w:t xml:space="preserve"> אומרין שכבר גבתה בו וקרעוהו ב"ד, ודומה לי שלא הסכים יפה להלכה</w:t>
      </w:r>
      <w:r>
        <w:rPr>
          <w:rFonts w:hint="cs"/>
          <w:rtl/>
        </w:rPr>
        <w:t xml:space="preserve">, </w:t>
      </w:r>
      <w:r w:rsidRPr="00A8255D">
        <w:rPr>
          <w:rFonts w:hint="cs"/>
          <w:b/>
          <w:bCs/>
          <w:rtl/>
        </w:rPr>
        <w:t>ראב"ד</w:t>
      </w:r>
      <w:r>
        <w:rPr>
          <w:rFonts w:hint="cs"/>
          <w:rtl/>
        </w:rPr>
        <w:t xml:space="preserve"> (בהשגות שם).</w:t>
      </w:r>
      <w:r w:rsidRPr="00A8255D">
        <w:rPr>
          <w:rFonts w:cs="Arial"/>
          <w:rtl/>
        </w:rPr>
        <w:t xml:space="preserve"> </w:t>
      </w:r>
      <w:r w:rsidRPr="00A8255D">
        <w:rPr>
          <w:rFonts w:cs="Arial"/>
          <w:b/>
          <w:bCs/>
          <w:rtl/>
        </w:rPr>
        <w:t>והרשב"א</w:t>
      </w:r>
      <w:r>
        <w:rPr>
          <w:rFonts w:cs="Arial"/>
          <w:rtl/>
        </w:rPr>
        <w:t xml:space="preserve"> כתב </w:t>
      </w:r>
      <w:r>
        <w:rPr>
          <w:rFonts w:cs="Arial" w:hint="cs"/>
          <w:rtl/>
        </w:rPr>
        <w:t>(</w:t>
      </w:r>
      <w:r>
        <w:rPr>
          <w:rFonts w:cs="Arial"/>
          <w:rtl/>
        </w:rPr>
        <w:t>פ</w:t>
      </w:r>
      <w:r>
        <w:rPr>
          <w:rFonts w:cs="Arial" w:hint="cs"/>
          <w:rtl/>
        </w:rPr>
        <w:t>'</w:t>
      </w:r>
      <w:r>
        <w:rPr>
          <w:rFonts w:cs="Arial"/>
          <w:rtl/>
        </w:rPr>
        <w:t xml:space="preserve"> התקבל סד. ד"ה ותפס</w:t>
      </w:r>
      <w:r>
        <w:rPr>
          <w:rFonts w:cs="Arial" w:hint="cs"/>
          <w:rtl/>
        </w:rPr>
        <w:t>, הביאו הר"ן [שם]</w:t>
      </w:r>
      <w:r>
        <w:rPr>
          <w:rFonts w:cs="Arial"/>
          <w:rtl/>
        </w:rPr>
        <w:t>) שאף הרמב"ם נראה שכך דעתו</w:t>
      </w:r>
      <w:r w:rsidR="003D7D4C">
        <w:rPr>
          <w:rFonts w:cs="Arial" w:hint="cs"/>
          <w:rtl/>
        </w:rPr>
        <w:t>,</w:t>
      </w:r>
      <w:r>
        <w:rPr>
          <w:rFonts w:cs="Arial"/>
          <w:rtl/>
        </w:rPr>
        <w:t xml:space="preserve"> ולא אמרו אלא כשאין כתוב בו הנפק</w:t>
      </w:r>
      <w:r w:rsidR="003D7D4C">
        <w:rPr>
          <w:rFonts w:cs="Arial" w:hint="cs"/>
          <w:rtl/>
        </w:rPr>
        <w:t>,</w:t>
      </w:r>
      <w:r>
        <w:rPr>
          <w:rFonts w:cs="Arial"/>
          <w:rtl/>
        </w:rPr>
        <w:t xml:space="preserve"> אבל כל שכתוב בו הנפק יש הוכחה ששלם בא ליד האשה</w:t>
      </w:r>
      <w:r w:rsidR="003D7D4C">
        <w:rPr>
          <w:rFonts w:cs="Arial" w:hint="cs"/>
          <w:rtl/>
        </w:rPr>
        <w:t>,</w:t>
      </w:r>
      <w:r>
        <w:rPr>
          <w:rFonts w:cs="Arial"/>
          <w:rtl/>
        </w:rPr>
        <w:t xml:space="preserve"> וכדאמרינן בפ</w:t>
      </w:r>
      <w:r w:rsidR="003D7D4C">
        <w:rPr>
          <w:rFonts w:cs="Arial" w:hint="cs"/>
          <w:rtl/>
        </w:rPr>
        <w:t>"</w:t>
      </w:r>
      <w:r>
        <w:rPr>
          <w:rFonts w:cs="Arial"/>
          <w:rtl/>
        </w:rPr>
        <w:t>ק דמציעא (כ:) דמלוה הוא דמקיים שטריה ולא לוה</w:t>
      </w:r>
      <w:r w:rsidR="005E4BB1">
        <w:rPr>
          <w:rFonts w:cs="Arial" w:hint="cs"/>
          <w:rtl/>
        </w:rPr>
        <w:t>,</w:t>
      </w:r>
      <w:r>
        <w:rPr>
          <w:rFonts w:cs="Arial"/>
          <w:rtl/>
        </w:rPr>
        <w:t xml:space="preserve"> והכי נמי אשה מקיימת גיטה ולא הבעל</w:t>
      </w:r>
      <w:r>
        <w:rPr>
          <w:rFonts w:hint="cs"/>
          <w:rtl/>
        </w:rPr>
        <w:t>.</w:t>
      </w:r>
    </w:p>
  </w:footnote>
  <w:footnote w:id="632">
    <w:p w14:paraId="35FD12AF" w14:textId="23A45F85" w:rsidR="00F82C81" w:rsidRDefault="00F82C81" w:rsidP="00F82C81">
      <w:pPr>
        <w:pStyle w:val="a5"/>
        <w:rPr>
          <w:rtl/>
        </w:rPr>
      </w:pPr>
      <w:r>
        <w:rPr>
          <w:rStyle w:val="a7"/>
        </w:rPr>
        <w:footnoteRef/>
      </w:r>
      <w:r>
        <w:rPr>
          <w:rtl/>
        </w:rPr>
        <w:t xml:space="preserve"> </w:t>
      </w:r>
      <w:r>
        <w:rPr>
          <w:rFonts w:cs="Arial" w:hint="cs"/>
          <w:rtl/>
        </w:rPr>
        <w:t xml:space="preserve">אפילו </w:t>
      </w:r>
      <w:r>
        <w:rPr>
          <w:rFonts w:cs="Arial"/>
          <w:rtl/>
        </w:rPr>
        <w:t>אם נמסר אח"כ בעדי מסירה אינו כלום</w:t>
      </w:r>
      <w:r>
        <w:rPr>
          <w:rFonts w:cs="Arial" w:hint="cs"/>
          <w:rtl/>
        </w:rPr>
        <w:t>,</w:t>
      </w:r>
      <w:r>
        <w:rPr>
          <w:rFonts w:cs="Arial"/>
          <w:rtl/>
        </w:rPr>
        <w:t xml:space="preserve"> דהא לאו כתב הוא ואין האשה מתגרשת אלא בכתב</w:t>
      </w:r>
      <w:r>
        <w:rPr>
          <w:rFonts w:hint="cs"/>
          <w:rtl/>
        </w:rPr>
        <w:t>, ב"י בשם הה"מ (שם הי"ז).</w:t>
      </w:r>
      <w:r w:rsidR="006B457D">
        <w:rPr>
          <w:rFonts w:hint="cs"/>
          <w:rtl/>
        </w:rPr>
        <w:t xml:space="preserve"> </w:t>
      </w:r>
      <w:r w:rsidR="006B457D" w:rsidRPr="006B457D">
        <w:rPr>
          <w:rFonts w:hint="cs"/>
          <w:color w:val="00B0F0"/>
          <w:rtl/>
        </w:rPr>
        <w:t>(וכ"פ הרמ"א</w:t>
      </w:r>
      <w:r w:rsidR="006B457D">
        <w:rPr>
          <w:rFonts w:hint="cs"/>
          <w:color w:val="00B0F0"/>
          <w:sz w:val="16"/>
          <w:szCs w:val="16"/>
          <w:rtl/>
        </w:rPr>
        <w:t xml:space="preserve"> </w:t>
      </w:r>
      <w:r w:rsidR="006B457D" w:rsidRPr="006B457D">
        <w:rPr>
          <w:rFonts w:hint="cs"/>
          <w:color w:val="000000" w:themeColor="text1"/>
          <w:sz w:val="16"/>
          <w:szCs w:val="16"/>
          <w:rtl/>
        </w:rPr>
        <w:t>[</w:t>
      </w:r>
      <w:r w:rsidR="006B457D">
        <w:rPr>
          <w:rFonts w:hint="cs"/>
          <w:color w:val="000000" w:themeColor="text1"/>
          <w:sz w:val="16"/>
          <w:szCs w:val="16"/>
          <w:rtl/>
        </w:rPr>
        <w:t>בסע' כא</w:t>
      </w:r>
      <w:r w:rsidR="006B457D" w:rsidRPr="006B457D">
        <w:rPr>
          <w:rFonts w:hint="cs"/>
          <w:color w:val="000000" w:themeColor="text1"/>
          <w:sz w:val="16"/>
          <w:szCs w:val="16"/>
          <w:rtl/>
        </w:rPr>
        <w:t>]</w:t>
      </w:r>
      <w:r w:rsidR="006B457D" w:rsidRPr="006B457D">
        <w:rPr>
          <w:rFonts w:hint="cs"/>
          <w:color w:val="00B0F0"/>
          <w:rtl/>
        </w:rPr>
        <w:t>)</w:t>
      </w:r>
    </w:p>
  </w:footnote>
  <w:footnote w:id="633">
    <w:p w14:paraId="26A153F6" w14:textId="6C8A3882" w:rsidR="008D0195" w:rsidRDefault="008D0195">
      <w:pPr>
        <w:pStyle w:val="a5"/>
      </w:pPr>
      <w:r>
        <w:rPr>
          <w:rStyle w:val="a7"/>
        </w:rPr>
        <w:footnoteRef/>
      </w:r>
      <w:r>
        <w:rPr>
          <w:rtl/>
        </w:rPr>
        <w:t xml:space="preserve"> </w:t>
      </w:r>
      <w:r w:rsidRPr="008D0195">
        <w:rPr>
          <w:rFonts w:cs="Arial"/>
          <w:rtl/>
        </w:rPr>
        <w:t>ואם הגט מקויים הוכחה הוא שבא לידה שלם שאין הבעל מקיים הגט עיין במ"מ</w:t>
      </w:r>
      <w:r>
        <w:rPr>
          <w:rFonts w:cs="Arial" w:hint="cs"/>
          <w:rtl/>
        </w:rPr>
        <w:t>, ח"מ (סקמ"א).</w:t>
      </w:r>
    </w:p>
  </w:footnote>
  <w:footnote w:id="634">
    <w:p w14:paraId="7040D004" w14:textId="4622B755" w:rsidR="008D0195" w:rsidRDefault="008D0195">
      <w:pPr>
        <w:pStyle w:val="a5"/>
      </w:pPr>
      <w:r>
        <w:rPr>
          <w:rStyle w:val="a7"/>
        </w:rPr>
        <w:footnoteRef/>
      </w:r>
      <w:r>
        <w:rPr>
          <w:rtl/>
        </w:rPr>
        <w:t xml:space="preserve"> </w:t>
      </w:r>
      <w:r w:rsidRPr="008D0195">
        <w:rPr>
          <w:rFonts w:cs="Arial"/>
          <w:rtl/>
        </w:rPr>
        <w:t>מלשון הגהות הרב משמע גם בנטשטש יש מי שפוסל אבל המעיין במ"מ יראה דכ"ע מודו בנטשטש דלא מהני עידי מסירה ולא פליגו רק בקרוע שתי וערב</w:t>
      </w:r>
      <w:r>
        <w:rPr>
          <w:rFonts w:cs="Arial" w:hint="cs"/>
          <w:rtl/>
        </w:rPr>
        <w:t>, ח"מ (סקמ"ב).</w:t>
      </w:r>
      <w:r w:rsidR="007D0A45">
        <w:rPr>
          <w:rFonts w:hint="cs"/>
          <w:rtl/>
        </w:rPr>
        <w:t xml:space="preserve"> וכ"כ הב"ש (סקל"ז).</w:t>
      </w:r>
    </w:p>
  </w:footnote>
  <w:footnote w:id="635">
    <w:p w14:paraId="36B3C77D" w14:textId="77777777" w:rsidR="00763CE6" w:rsidRDefault="00763CE6" w:rsidP="00763CE6">
      <w:pPr>
        <w:pStyle w:val="a5"/>
        <w:rPr>
          <w:rtl/>
        </w:rPr>
      </w:pPr>
      <w:r>
        <w:rPr>
          <w:rStyle w:val="a7"/>
        </w:rPr>
        <w:footnoteRef/>
      </w:r>
      <w:r>
        <w:rPr>
          <w:rtl/>
        </w:rPr>
        <w:t xml:space="preserve"> </w:t>
      </w:r>
      <w:r w:rsidRPr="00AF29F7">
        <w:rPr>
          <w:rFonts w:cs="Arial"/>
          <w:rtl/>
        </w:rPr>
        <w:t>ומכל מקום לא משמע לי דמיפסל בהכי אפילו לרבינו שמשון דודאי לא גרע מחקיקה דמכשרינן בפרק ב' דגיטין (כ.) וכמו שנתבאר בסימן זה (יג:)</w:t>
      </w:r>
      <w:r>
        <w:rPr>
          <w:rFonts w:hint="cs"/>
          <w:rtl/>
        </w:rPr>
        <w:t>, ב"י.</w:t>
      </w:r>
    </w:p>
  </w:footnote>
  <w:footnote w:id="636">
    <w:p w14:paraId="7A8362FA" w14:textId="2E0A44CD" w:rsidR="008D0195" w:rsidRDefault="008D0195">
      <w:pPr>
        <w:pStyle w:val="a5"/>
      </w:pPr>
      <w:r>
        <w:rPr>
          <w:rStyle w:val="a7"/>
        </w:rPr>
        <w:footnoteRef/>
      </w:r>
      <w:r>
        <w:rPr>
          <w:rtl/>
        </w:rPr>
        <w:t xml:space="preserve"> </w:t>
      </w:r>
      <w:r w:rsidRPr="008D0195">
        <w:rPr>
          <w:rFonts w:cs="Arial"/>
          <w:rtl/>
        </w:rPr>
        <w:t>גם בס"ת פסק כן בי</w:t>
      </w:r>
      <w:r w:rsidR="005E4BB1">
        <w:rPr>
          <w:rFonts w:cs="Arial" w:hint="cs"/>
          <w:rtl/>
        </w:rPr>
        <w:t>ו</w:t>
      </w:r>
      <w:r w:rsidRPr="008D0195">
        <w:rPr>
          <w:rFonts w:cs="Arial"/>
          <w:rtl/>
        </w:rPr>
        <w:t xml:space="preserve">"ד </w:t>
      </w:r>
      <w:r w:rsidR="005E4BB1">
        <w:rPr>
          <w:rFonts w:cs="Arial" w:hint="cs"/>
          <w:rtl/>
        </w:rPr>
        <w:t>(</w:t>
      </w:r>
      <w:r w:rsidRPr="008D0195">
        <w:rPr>
          <w:rFonts w:cs="Arial"/>
          <w:rtl/>
        </w:rPr>
        <w:t>סי' רעא</w:t>
      </w:r>
      <w:r w:rsidR="005E4BB1">
        <w:rPr>
          <w:rFonts w:cs="Arial" w:hint="cs"/>
          <w:rtl/>
        </w:rPr>
        <w:t>),</w:t>
      </w:r>
      <w:r w:rsidRPr="008D0195">
        <w:rPr>
          <w:rFonts w:cs="Arial"/>
          <w:rtl/>
        </w:rPr>
        <w:t xml:space="preserve"> אבל בסעי' ד' לעיל לא פסל רק בברזל</w:t>
      </w:r>
      <w:r w:rsidR="005E4BB1">
        <w:rPr>
          <w:rFonts w:cs="Arial" w:hint="cs"/>
          <w:rtl/>
        </w:rPr>
        <w:t>,</w:t>
      </w:r>
      <w:r w:rsidRPr="008D0195">
        <w:rPr>
          <w:rFonts w:cs="Arial"/>
          <w:rtl/>
        </w:rPr>
        <w:t xml:space="preserve"> וכמדומה שאף בס"ת מקילין לכתוב בקולמס של קנה לכתחלה</w:t>
      </w:r>
      <w:r>
        <w:rPr>
          <w:rFonts w:cs="Arial" w:hint="cs"/>
          <w:rtl/>
        </w:rPr>
        <w:t>, ח"מ (סקמ"ג).</w:t>
      </w:r>
    </w:p>
  </w:footnote>
  <w:footnote w:id="637">
    <w:p w14:paraId="7BEC27D0" w14:textId="48E00F77" w:rsidR="007D0A45" w:rsidRDefault="007D0A45">
      <w:pPr>
        <w:pStyle w:val="a5"/>
      </w:pPr>
      <w:r>
        <w:rPr>
          <w:rStyle w:val="a7"/>
        </w:rPr>
        <w:footnoteRef/>
      </w:r>
      <w:r>
        <w:rPr>
          <w:rtl/>
        </w:rPr>
        <w:t xml:space="preserve"> </w:t>
      </w:r>
      <w:r w:rsidRPr="007D0A45">
        <w:rPr>
          <w:rFonts w:cs="Arial"/>
          <w:rtl/>
        </w:rPr>
        <w:t>ולא נוהגין כן</w:t>
      </w:r>
      <w:r w:rsidR="005E4BB1">
        <w:rPr>
          <w:rFonts w:cs="Arial" w:hint="cs"/>
          <w:rtl/>
        </w:rPr>
        <w:t>,</w:t>
      </w:r>
      <w:r w:rsidRPr="007D0A45">
        <w:rPr>
          <w:rFonts w:cs="Arial"/>
          <w:rtl/>
        </w:rPr>
        <w:t xml:space="preserve"> והרוצה להחמיר אין שומעין לו</w:t>
      </w:r>
      <w:r w:rsidR="005E4BB1">
        <w:rPr>
          <w:rFonts w:cs="Arial" w:hint="cs"/>
          <w:rtl/>
        </w:rPr>
        <w:t>,</w:t>
      </w:r>
      <w:r w:rsidRPr="007D0A45">
        <w:rPr>
          <w:rFonts w:cs="Arial"/>
          <w:rtl/>
        </w:rPr>
        <w:t xml:space="preserve"> דלא אתי להוציא לעז על גיטין הראשונים</w:t>
      </w:r>
      <w:r>
        <w:rPr>
          <w:rFonts w:cs="Arial" w:hint="cs"/>
          <w:rtl/>
        </w:rPr>
        <w:t>.</w:t>
      </w:r>
      <w:r w:rsidRPr="007D0A45">
        <w:rPr>
          <w:rFonts w:cs="Arial"/>
          <w:rtl/>
        </w:rPr>
        <w:t xml:space="preserve"> ועיין בש"ע קטנים ד"א שנת תנ"ג</w:t>
      </w:r>
      <w:r>
        <w:rPr>
          <w:rFonts w:cs="Arial" w:hint="cs"/>
          <w:rtl/>
        </w:rPr>
        <w:t>.</w:t>
      </w:r>
      <w:r w:rsidRPr="007D0A45">
        <w:rPr>
          <w:rFonts w:cs="Arial"/>
          <w:rtl/>
        </w:rPr>
        <w:t xml:space="preserve"> ובלבוש כתב בקולמוס של כנף אין הסופרי' נזהרי'</w:t>
      </w:r>
      <w:r w:rsidR="005E4BB1">
        <w:rPr>
          <w:rFonts w:cs="Arial" w:hint="cs"/>
          <w:rtl/>
        </w:rPr>
        <w:t>,</w:t>
      </w:r>
      <w:r w:rsidRPr="007D0A45">
        <w:rPr>
          <w:rFonts w:cs="Arial"/>
          <w:rtl/>
        </w:rPr>
        <w:t xml:space="preserve"> אבל בקולמוס של ברזל יש להקפיד</w:t>
      </w:r>
      <w:r>
        <w:rPr>
          <w:rFonts w:cs="Arial" w:hint="cs"/>
          <w:rtl/>
        </w:rPr>
        <w:t>, ב"ש (סקל"ח).</w:t>
      </w:r>
    </w:p>
  </w:footnote>
  <w:footnote w:id="638">
    <w:p w14:paraId="232BB470" w14:textId="77777777" w:rsidR="00681C57" w:rsidRDefault="00681C57" w:rsidP="00681C57">
      <w:pPr>
        <w:pStyle w:val="a5"/>
      </w:pPr>
      <w:r>
        <w:rPr>
          <w:rStyle w:val="a7"/>
        </w:rPr>
        <w:footnoteRef/>
      </w:r>
      <w:r>
        <w:rPr>
          <w:rtl/>
        </w:rPr>
        <w:t xml:space="preserve"> </w:t>
      </w:r>
      <w:r w:rsidRPr="00172B29">
        <w:rPr>
          <w:rFonts w:cs="Arial"/>
          <w:rtl/>
        </w:rPr>
        <w:t>בטבלא בסכין</w:t>
      </w:r>
      <w:r>
        <w:rPr>
          <w:rFonts w:cs="Arial" w:hint="cs"/>
          <w:rtl/>
        </w:rPr>
        <w:t>, רש"י.</w:t>
      </w:r>
    </w:p>
  </w:footnote>
  <w:footnote w:id="639">
    <w:p w14:paraId="5EB5FD4F" w14:textId="77777777" w:rsidR="00681C57" w:rsidRDefault="00681C57" w:rsidP="00681C57">
      <w:pPr>
        <w:pStyle w:val="a5"/>
      </w:pPr>
      <w:r>
        <w:rPr>
          <w:rStyle w:val="a7"/>
        </w:rPr>
        <w:footnoteRef/>
      </w:r>
      <w:r>
        <w:rPr>
          <w:rtl/>
        </w:rPr>
        <w:t xml:space="preserve"> </w:t>
      </w:r>
      <w:r w:rsidRPr="00172B29">
        <w:rPr>
          <w:rFonts w:cs="Arial"/>
          <w:rtl/>
        </w:rPr>
        <w:t>דף</w:t>
      </w:r>
      <w:r>
        <w:rPr>
          <w:rFonts w:cs="Arial" w:hint="cs"/>
          <w:rtl/>
        </w:rPr>
        <w:t>, רש"י.</w:t>
      </w:r>
    </w:p>
  </w:footnote>
  <w:footnote w:id="640">
    <w:p w14:paraId="06C3AAA0" w14:textId="77777777" w:rsidR="00681C57" w:rsidRDefault="00681C57" w:rsidP="00681C57">
      <w:pPr>
        <w:pStyle w:val="a5"/>
      </w:pPr>
      <w:r>
        <w:rPr>
          <w:rStyle w:val="a7"/>
        </w:rPr>
        <w:footnoteRef/>
      </w:r>
      <w:r>
        <w:rPr>
          <w:rtl/>
        </w:rPr>
        <w:t xml:space="preserve"> </w:t>
      </w:r>
      <w:r w:rsidRPr="00172B29">
        <w:rPr>
          <w:rFonts w:cs="Arial"/>
          <w:rtl/>
        </w:rPr>
        <w:t>כעין אותן של סוחרים שחוקקים עליהן בעט</w:t>
      </w:r>
      <w:r>
        <w:rPr>
          <w:rFonts w:cs="Arial" w:hint="cs"/>
          <w:rtl/>
        </w:rPr>
        <w:t>, רש"י.</w:t>
      </w:r>
    </w:p>
  </w:footnote>
  <w:footnote w:id="641">
    <w:p w14:paraId="1B757752" w14:textId="07AF134E" w:rsidR="00681C57" w:rsidRDefault="00681C57" w:rsidP="00681C57">
      <w:pPr>
        <w:pStyle w:val="a5"/>
      </w:pPr>
      <w:r>
        <w:rPr>
          <w:rStyle w:val="a7"/>
        </w:rPr>
        <w:footnoteRef/>
      </w:r>
      <w:r>
        <w:rPr>
          <w:rtl/>
        </w:rPr>
        <w:t xml:space="preserve"> </w:t>
      </w:r>
      <w:r w:rsidRPr="00172B29">
        <w:rPr>
          <w:rFonts w:cs="Arial"/>
          <w:rtl/>
        </w:rPr>
        <w:t>כעין כובע של צמר ונותנות הנשים תחת צעיף קישוריהן כדאמרי' בבמה אשה יוצאה (שבת נז:)</w:t>
      </w:r>
      <w:r>
        <w:rPr>
          <w:rFonts w:cs="Arial" w:hint="cs"/>
          <w:rtl/>
        </w:rPr>
        <w:t>, רש"י.</w:t>
      </w:r>
    </w:p>
  </w:footnote>
  <w:footnote w:id="642">
    <w:p w14:paraId="25F33615" w14:textId="42DC0CC5" w:rsidR="00D37C0C" w:rsidRDefault="00D37C0C">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hint="cs"/>
          <w:rtl/>
        </w:rPr>
        <w:t xml:space="preserve">אבל לא בכתב שעל כיפה ואנדוכתרי פי' כיפה של צמר ארוגה אם רקם באריגה גט אשה או גט חירות </w:t>
      </w:r>
      <w:r w:rsidR="00A42812">
        <w:rPr>
          <w:rFonts w:cs="Arial"/>
          <w:rtl/>
        </w:rPr>
        <w:t>-</w:t>
      </w:r>
      <w:r>
        <w:rPr>
          <w:rFonts w:cs="Arial" w:hint="cs"/>
          <w:rtl/>
        </w:rPr>
        <w:t xml:space="preserve"> אינו גט.</w:t>
      </w:r>
    </w:p>
  </w:footnote>
  <w:footnote w:id="643">
    <w:p w14:paraId="4AE09D59" w14:textId="451BD6A8" w:rsidR="00F150D0" w:rsidRDefault="00F150D0">
      <w:pPr>
        <w:pStyle w:val="a5"/>
      </w:pPr>
      <w:r>
        <w:rPr>
          <w:rStyle w:val="a7"/>
        </w:rPr>
        <w:footnoteRef/>
      </w:r>
      <w:r>
        <w:rPr>
          <w:rtl/>
        </w:rPr>
        <w:t xml:space="preserve"> </w:t>
      </w:r>
      <w:r w:rsidRPr="00523F05">
        <w:rPr>
          <w:rFonts w:cs="Arial"/>
          <w:rtl/>
        </w:rPr>
        <w:t>ויש לדון בדבריו שאם הוא קבוע כגון שהוא ארוג או שהוא מרוקם כמו שרוקמין הנשים אצלנו שהוא קבוע כתב מיקרי וכשר וצ"ע</w:t>
      </w:r>
      <w:r>
        <w:rPr>
          <w:rFonts w:cs="Arial" w:hint="cs"/>
          <w:rtl/>
        </w:rPr>
        <w:t>, ב"י.</w:t>
      </w:r>
    </w:p>
  </w:footnote>
  <w:footnote w:id="644">
    <w:p w14:paraId="3501E0FA"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וישראל עשאוהו אלא שכתבוהו לשון פרסי, רש"י. </w:t>
      </w:r>
    </w:p>
  </w:footnote>
  <w:footnote w:id="645">
    <w:p w14:paraId="5FFB024D" w14:textId="77777777" w:rsidR="004128F1" w:rsidRDefault="004128F1" w:rsidP="004128F1">
      <w:pPr>
        <w:pStyle w:val="a5"/>
      </w:pPr>
      <w:r>
        <w:rPr>
          <w:rStyle w:val="a7"/>
        </w:rPr>
        <w:footnoteRef/>
      </w:r>
      <w:r>
        <w:rPr>
          <w:rtl/>
        </w:rPr>
        <w:t xml:space="preserve"> </w:t>
      </w:r>
      <w:r>
        <w:rPr>
          <w:rFonts w:asciiTheme="minorBidi" w:hAnsiTheme="minorBidi" w:hint="cs"/>
          <w:rtl/>
        </w:rPr>
        <w:t xml:space="preserve">וז"ל: </w:t>
      </w:r>
      <w:r w:rsidRPr="0049546F">
        <w:rPr>
          <w:rFonts w:asciiTheme="minorBidi" w:hAnsiTheme="minorBidi" w:cs="Arial"/>
          <w:rtl/>
        </w:rPr>
        <w:t>שאלה</w:t>
      </w:r>
      <w:r>
        <w:rPr>
          <w:rFonts w:asciiTheme="minorBidi" w:hAnsiTheme="minorBidi" w:cs="Arial" w:hint="cs"/>
          <w:rtl/>
        </w:rPr>
        <w:t>:</w:t>
      </w:r>
      <w:r w:rsidRPr="0049546F">
        <w:rPr>
          <w:rFonts w:asciiTheme="minorBidi" w:hAnsiTheme="minorBidi" w:cs="Arial"/>
          <w:rtl/>
        </w:rPr>
        <w:t xml:space="preserve"> גט הנכתב בכתב שאין אשורי כגון הכתב שאנו קורין משיט"א אם הוא כשר</w:t>
      </w:r>
      <w:r>
        <w:rPr>
          <w:rFonts w:asciiTheme="minorBidi" w:hAnsiTheme="minorBidi" w:cs="Arial" w:hint="cs"/>
          <w:rtl/>
        </w:rPr>
        <w:t xml:space="preserve">.       </w:t>
      </w:r>
      <w:r w:rsidRPr="0049546F">
        <w:rPr>
          <w:rFonts w:asciiTheme="minorBidi" w:hAnsiTheme="minorBidi" w:cs="Arial"/>
          <w:rtl/>
        </w:rPr>
        <w:t>תשובה</w:t>
      </w:r>
      <w:r w:rsidRPr="0049546F">
        <w:rPr>
          <w:rFonts w:asciiTheme="minorBidi" w:hAnsiTheme="minorBidi" w:cs="Arial" w:hint="cs"/>
          <w:rtl/>
        </w:rPr>
        <w:t>:</w:t>
      </w:r>
      <w:r w:rsidRPr="0049546F">
        <w:rPr>
          <w:rFonts w:asciiTheme="minorBidi" w:hAnsiTheme="minorBidi" w:cs="Arial"/>
          <w:rtl/>
        </w:rPr>
        <w:t xml:space="preserve"> איברא גט מעליא הוא וכשר דלא בעינן כתב אשורי אלא בכל לשון כשר</w:t>
      </w:r>
      <w:r>
        <w:rPr>
          <w:rFonts w:asciiTheme="minorBidi" w:hAnsiTheme="minorBidi" w:cs="Arial" w:hint="cs"/>
          <w:rtl/>
        </w:rPr>
        <w:t>.</w:t>
      </w:r>
    </w:p>
  </w:footnote>
  <w:footnote w:id="646">
    <w:p w14:paraId="24209AA2"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או"ז </w:t>
      </w:r>
      <w:r w:rsidRPr="00351B7D">
        <w:rPr>
          <w:rFonts w:asciiTheme="minorBidi" w:hAnsiTheme="minorBidi"/>
          <w:sz w:val="16"/>
          <w:szCs w:val="16"/>
          <w:rtl/>
        </w:rPr>
        <w:t>(סי' תשטו)</w:t>
      </w:r>
      <w:r w:rsidRPr="00351B7D">
        <w:rPr>
          <w:rFonts w:asciiTheme="minorBidi" w:hAnsiTheme="minorBidi"/>
          <w:rtl/>
        </w:rPr>
        <w:t xml:space="preserve"> תרוה"ד </w:t>
      </w:r>
      <w:r w:rsidRPr="00351B7D">
        <w:rPr>
          <w:rFonts w:asciiTheme="minorBidi" w:hAnsiTheme="minorBidi"/>
          <w:sz w:val="16"/>
          <w:szCs w:val="16"/>
          <w:rtl/>
        </w:rPr>
        <w:t>(סי' ר"ל)</w:t>
      </w:r>
      <w:r w:rsidRPr="00351B7D">
        <w:rPr>
          <w:rFonts w:asciiTheme="minorBidi" w:hAnsiTheme="minorBidi"/>
          <w:rtl/>
        </w:rPr>
        <w:t xml:space="preserve"> וכל בו</w:t>
      </w:r>
      <w:r w:rsidRPr="00351B7D">
        <w:rPr>
          <w:rFonts w:asciiTheme="minorBidi" w:hAnsiTheme="minorBidi"/>
          <w:sz w:val="16"/>
          <w:szCs w:val="16"/>
          <w:rtl/>
        </w:rPr>
        <w:t xml:space="preserve"> (סי' עו מז ע"ד)</w:t>
      </w:r>
    </w:p>
  </w:footnote>
  <w:footnote w:id="647">
    <w:p w14:paraId="11D8FB17" w14:textId="3B93CA51"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משמע שם דכל הכתיבה צריך להיות בכתב אשורי וכתיבה תמה כמו בספר תורה, וכ</w:t>
      </w:r>
      <w:r>
        <w:rPr>
          <w:rFonts w:asciiTheme="minorBidi" w:hAnsiTheme="minorBidi" w:hint="cs"/>
          <w:rtl/>
        </w:rPr>
        <w:t>"</w:t>
      </w:r>
      <w:r w:rsidRPr="00351B7D">
        <w:rPr>
          <w:rFonts w:asciiTheme="minorBidi" w:hAnsiTheme="minorBidi"/>
          <w:rtl/>
        </w:rPr>
        <w:t xml:space="preserve">ה בסדר גיטין שלנו (סי' טו סע' א) שצריך ליזהר שיגע כל דבר הצריך ליגע או שלא ליגע כל דבר שאינו ראוי ליגע כספר תורה תפילין ומזוזות. וכ"מ במרדכי </w:t>
      </w:r>
      <w:r w:rsidR="009334FF">
        <w:rPr>
          <w:rFonts w:asciiTheme="minorBidi" w:hAnsiTheme="minorBidi"/>
          <w:rtl/>
        </w:rPr>
        <w:t>ב</w:t>
      </w:r>
      <w:r w:rsidR="00DB737E">
        <w:rPr>
          <w:rFonts w:asciiTheme="minorBidi" w:hAnsiTheme="minorBidi"/>
          <w:rtl/>
        </w:rPr>
        <w:t>הגהות</w:t>
      </w:r>
      <w:r w:rsidRPr="00351B7D">
        <w:rPr>
          <w:rFonts w:asciiTheme="minorBidi" w:hAnsiTheme="minorBidi"/>
          <w:rtl/>
        </w:rPr>
        <w:t xml:space="preserve"> גיטין (סי' תסז), ועוד האריך בזה מהרא"י בתרוה"ד (סי' רלו) ובפסקיו סי' מה, וכ"כ הכלבו</w:t>
      </w:r>
      <w:r>
        <w:rPr>
          <w:rFonts w:asciiTheme="minorBidi" w:hAnsiTheme="minorBidi" w:hint="cs"/>
          <w:rtl/>
        </w:rPr>
        <w:t>,</w:t>
      </w:r>
      <w:r w:rsidRPr="00C546F0">
        <w:rPr>
          <w:rFonts w:asciiTheme="minorBidi" w:hAnsiTheme="minorBidi"/>
          <w:rtl/>
        </w:rPr>
        <w:t xml:space="preserve"> </w:t>
      </w:r>
      <w:r w:rsidRPr="00351B7D">
        <w:rPr>
          <w:rFonts w:asciiTheme="minorBidi" w:hAnsiTheme="minorBidi"/>
          <w:rtl/>
        </w:rPr>
        <w:t xml:space="preserve">דרכ"מ (אות ב). </w:t>
      </w:r>
      <w:r w:rsidRPr="00744549">
        <w:rPr>
          <w:rFonts w:asciiTheme="minorBidi" w:hAnsiTheme="minorBidi" w:hint="cs"/>
          <w:color w:val="00B0F0"/>
          <w:rtl/>
        </w:rPr>
        <w:t>(</w:t>
      </w:r>
      <w:r>
        <w:rPr>
          <w:rFonts w:asciiTheme="minorBidi" w:hAnsiTheme="minorBidi" w:hint="cs"/>
          <w:color w:val="00B0F0"/>
          <w:rtl/>
        </w:rPr>
        <w:t>וכ</w:t>
      </w:r>
      <w:r>
        <w:rPr>
          <w:rFonts w:asciiTheme="minorBidi" w:hAnsiTheme="minorBidi"/>
          <w:color w:val="00B0F0"/>
          <w:rtl/>
        </w:rPr>
        <w:t>"</w:t>
      </w:r>
      <w:r>
        <w:rPr>
          <w:rFonts w:asciiTheme="minorBidi" w:hAnsiTheme="minorBidi" w:hint="cs"/>
          <w:color w:val="00B0F0"/>
          <w:rtl/>
        </w:rPr>
        <w:t xml:space="preserve">פ </w:t>
      </w:r>
      <w:r w:rsidR="009334FF">
        <w:rPr>
          <w:rFonts w:asciiTheme="minorBidi" w:hAnsiTheme="minorBidi" w:hint="cs"/>
          <w:color w:val="00B0F0"/>
          <w:rtl/>
        </w:rPr>
        <w:t>בהג</w:t>
      </w:r>
      <w:r w:rsidR="009334FF">
        <w:rPr>
          <w:rFonts w:asciiTheme="minorBidi" w:hAnsiTheme="minorBidi"/>
          <w:color w:val="00B0F0"/>
          <w:rtl/>
        </w:rPr>
        <w:t>"</w:t>
      </w:r>
      <w:r w:rsidR="009334FF">
        <w:rPr>
          <w:rFonts w:asciiTheme="minorBidi" w:hAnsiTheme="minorBidi" w:hint="cs"/>
          <w:color w:val="00B0F0"/>
          <w:rtl/>
        </w:rPr>
        <w:t>ה</w:t>
      </w:r>
      <w:r w:rsidRPr="00744549">
        <w:rPr>
          <w:rFonts w:asciiTheme="minorBidi" w:hAnsiTheme="minorBidi" w:hint="cs"/>
          <w:color w:val="00B0F0"/>
          <w:sz w:val="16"/>
          <w:szCs w:val="16"/>
          <w:rtl/>
        </w:rPr>
        <w:t xml:space="preserve"> </w:t>
      </w:r>
      <w:r>
        <w:rPr>
          <w:rFonts w:asciiTheme="minorBidi" w:hAnsiTheme="minorBidi" w:hint="cs"/>
          <w:sz w:val="16"/>
          <w:szCs w:val="16"/>
          <w:rtl/>
        </w:rPr>
        <w:t>[בסי' קכה סע' יב]</w:t>
      </w:r>
      <w:r w:rsidRPr="00744549">
        <w:rPr>
          <w:rFonts w:asciiTheme="minorBidi" w:hAnsiTheme="minorBidi" w:hint="cs"/>
          <w:color w:val="00B0F0"/>
          <w:rtl/>
        </w:rPr>
        <w:t>)</w:t>
      </w:r>
    </w:p>
  </w:footnote>
  <w:footnote w:id="648">
    <w:p w14:paraId="4C256AB6"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ודע דאיכא למירמי תשובה זו דהרא"ש שפוסל בשאינו כתוב בכתיבה אשורית אתשובה אחרת שכתב בכלל הנזכר (סי' יט) שאם כתב וישראל אל"ף למ"ד ביחד דכשר כיון דתינוק קורהו באל"ף למ"ד וההוא ודאי לאו כתב אשורי הוא. וצריך לחלק בין כשכל הגט כתוב בכתב שאינו אשורי להיכא דכולו כתוב אשורי זולת תיבה אחת או אות אחת לבד, אי נמי שאני התם שכתב שאינו אשורי היה בטופס בתיבה שאפילו חסרה כולה לית לן בה, ואע"פ דהרא"ש לא הזכיר טעם זה מכל מקום טעם פשוט הוא אבל אם היה בתורף שמא היה מצריך אחר לכתחלה היכא דאפשר וצ"ע, ב"י.</w:t>
      </w:r>
    </w:p>
  </w:footnote>
  <w:footnote w:id="649">
    <w:p w14:paraId="527B9B49" w14:textId="77777777" w:rsidR="00FA2119" w:rsidRDefault="00FA2119" w:rsidP="00FA2119">
      <w:pPr>
        <w:pStyle w:val="a5"/>
        <w:rPr>
          <w:rtl/>
        </w:rPr>
      </w:pPr>
      <w:r>
        <w:rPr>
          <w:rStyle w:val="a7"/>
        </w:rPr>
        <w:footnoteRef/>
      </w:r>
      <w:r>
        <w:rPr>
          <w:rtl/>
        </w:rPr>
        <w:t xml:space="preserve"> </w:t>
      </w:r>
      <w:r w:rsidRPr="00F4085B">
        <w:rPr>
          <w:rFonts w:asciiTheme="minorBidi" w:hAnsiTheme="minorBidi" w:cs="Arial"/>
          <w:rtl/>
        </w:rPr>
        <w:t>וכן נראה מדברי הרמב"ם שכתב רבינו ירוחם דעד כאן לא פסל ר"י הלוי בכתיבה תלויה מאד אלא משום דלא לישתמע תרי לישני בגיטא הא לאו הכי לא הוה פסיל ליה משום שאינו כתב</w:t>
      </w:r>
      <w:r>
        <w:rPr>
          <w:rFonts w:asciiTheme="minorBidi" w:hAnsiTheme="minorBidi" w:cs="Arial" w:hint="cs"/>
          <w:rtl/>
        </w:rPr>
        <w:t>,</w:t>
      </w:r>
      <w:r w:rsidRPr="00F4085B">
        <w:rPr>
          <w:rFonts w:asciiTheme="minorBidi" w:hAnsiTheme="minorBidi" w:cs="Arial"/>
          <w:rtl/>
        </w:rPr>
        <w:t xml:space="preserve"> ואם כן כתיבת פרובינצא"ל שאינה כתיבה תלויה פשיטא דכותבין בו לכתחלה לדברי ר"י הלוי</w:t>
      </w:r>
      <w:r>
        <w:rPr>
          <w:rFonts w:asciiTheme="minorBidi" w:hAnsiTheme="minorBidi" w:cs="Arial" w:hint="cs"/>
          <w:rtl/>
        </w:rPr>
        <w:t>,</w:t>
      </w:r>
      <w:r w:rsidRPr="00F4085B">
        <w:rPr>
          <w:rFonts w:asciiTheme="minorBidi" w:hAnsiTheme="minorBidi" w:cs="Arial"/>
          <w:rtl/>
        </w:rPr>
        <w:t xml:space="preserve"> ואפשר שזהו כתב מדבד"ב שהנהיג לכתוב בו</w:t>
      </w:r>
      <w:r>
        <w:rPr>
          <w:rFonts w:asciiTheme="minorBidi" w:hAnsiTheme="minorBidi" w:cs="Arial" w:hint="cs"/>
          <w:rtl/>
        </w:rPr>
        <w:t>,</w:t>
      </w:r>
      <w:r w:rsidRPr="00F4085B">
        <w:rPr>
          <w:rFonts w:asciiTheme="minorBidi" w:hAnsiTheme="minorBidi" w:cs="Arial"/>
          <w:rtl/>
        </w:rPr>
        <w:t xml:space="preserve"> וכן מצאתי בארחות חיים (הל' גיטין ד"ה על) שפירש מדבדב מש"ק</w:t>
      </w:r>
      <w:r>
        <w:rPr>
          <w:rFonts w:asciiTheme="minorBidi" w:hAnsiTheme="minorBidi" w:cs="Arial" w:hint="cs"/>
          <w:rtl/>
        </w:rPr>
        <w:t>.</w:t>
      </w:r>
      <w:r w:rsidRPr="00F4085B">
        <w:rPr>
          <w:rFonts w:asciiTheme="minorBidi" w:hAnsiTheme="minorBidi" w:cs="Arial"/>
          <w:rtl/>
        </w:rPr>
        <w:t xml:space="preserve"> ואפילו אם כתב הגט בכתב הנקרא מידיאליט"ר או מועלא"ק כשר</w:t>
      </w:r>
      <w:r>
        <w:rPr>
          <w:rFonts w:asciiTheme="minorBidi" w:hAnsiTheme="minorBidi" w:cs="Arial" w:hint="cs"/>
          <w:rtl/>
        </w:rPr>
        <w:t>,</w:t>
      </w:r>
      <w:r w:rsidRPr="00F4085B">
        <w:rPr>
          <w:rFonts w:asciiTheme="minorBidi" w:hAnsiTheme="minorBidi" w:cs="Arial"/>
          <w:rtl/>
        </w:rPr>
        <w:t xml:space="preserve"> אלא שלכתחלה אין כותבין בהם כי היכי דלא לישתמע תרי לישני בגיטא וכמו שעיכב הר"ר יוסף הלוי מלכתוב בכתיבה תלויה והיא הנקראת מעלא"ק כי היכי דלא לישתמע תרי לישני בגיטא ונראה לי שמשקיי"ט שהזכיר הרשב"א היא פרובינצא"ל אלא שבמקומו קורין אותו משקיי"ט</w:t>
      </w:r>
      <w:r>
        <w:rPr>
          <w:rFonts w:asciiTheme="minorBidi" w:hAnsiTheme="minorBidi" w:cs="Arial" w:hint="cs"/>
          <w:rtl/>
        </w:rPr>
        <w:t>.</w:t>
      </w:r>
      <w:r w:rsidRPr="00F4085B">
        <w:rPr>
          <w:rFonts w:asciiTheme="minorBidi" w:hAnsiTheme="minorBidi" w:cs="Arial"/>
          <w:rtl/>
        </w:rPr>
        <w:t xml:space="preserve"> ועוד אני אומר שאם באנו לחלק בין כתב הדומה לאשורי לשאינו דומה לו איפכא הוא דאיכא לפלוגי ולומר שאין לכתוב הגט בכתב שדומה לאשורי כגון כתב שאנו קורין משק"י דכיון שהוא כתב אשורי צריך לכותבו כתיקון כתב אשורי ממש ואפילו קוצו של יו"ד מעכב אבל כל שאינו דומה לכתב אשורי כתב בפני עצמו הוא ולא גרע מכתב הגוים וכמו שכתבתי. ואפשר שגם אור זרוע והכל בו מודו בהכי ולא אמרו שלא לכתוב משקיי"ט אלא בכתב שאנו קורין משק"י שדומה לאשורי אבל בכתב פרובינצא"ל שאינו דומה מודו דכותבין וגם דברי הרא"ש בתשובה אפשר לפרש כן ודיקא נמי דכתב גט שלא נכתב בכתיבה אשורית מרובעת כלומר אלא נכתב בכתיבה אשורית שאינה מרובעת והיינו כתב הנקרא משק"י אבל בכתב פרובינצא"ל לכולי עלמא כותבין. אבל באמת פשט דברי הרא"ש אין מורין כן אלא שכל שלא נכתב בכתב אשורי מרובע היו פוסלין בארצנו</w:t>
      </w:r>
      <w:r>
        <w:rPr>
          <w:rFonts w:asciiTheme="minorBidi" w:hAnsiTheme="minorBidi" w:cs="Arial" w:hint="cs"/>
          <w:rtl/>
        </w:rPr>
        <w:t>.</w:t>
      </w:r>
      <w:r w:rsidRPr="00F4085B">
        <w:rPr>
          <w:rFonts w:asciiTheme="minorBidi" w:hAnsiTheme="minorBidi" w:cs="Arial"/>
          <w:rtl/>
        </w:rPr>
        <w:t xml:space="preserve"> לא שנא משק"י לא שנא פרובינצא"ל</w:t>
      </w:r>
      <w:r>
        <w:rPr>
          <w:rFonts w:asciiTheme="minorBidi" w:hAnsiTheme="minorBidi" w:cs="Arial" w:hint="cs"/>
          <w:rtl/>
        </w:rPr>
        <w:t>.</w:t>
      </w:r>
      <w:r w:rsidRPr="00F4085B">
        <w:rPr>
          <w:rFonts w:asciiTheme="minorBidi" w:hAnsiTheme="minorBidi" w:cs="Arial"/>
          <w:rtl/>
        </w:rPr>
        <w:t xml:space="preserve"> ומכל מקום חומרא בעלמא הוא שהיו מחמירים ולא מדינא</w:t>
      </w:r>
      <w:r>
        <w:rPr>
          <w:rFonts w:asciiTheme="minorBidi" w:hAnsiTheme="minorBidi" w:cs="Arial" w:hint="cs"/>
          <w:rtl/>
        </w:rPr>
        <w:t>,</w:t>
      </w:r>
      <w:r w:rsidRPr="00F4085B">
        <w:rPr>
          <w:rFonts w:asciiTheme="minorBidi" w:hAnsiTheme="minorBidi" w:cs="Arial"/>
          <w:rtl/>
        </w:rPr>
        <w:t xml:space="preserve"> דאם לא כן אפילו במקום עיגון לא הוה ליה למישרי</w:t>
      </w:r>
      <w:r>
        <w:rPr>
          <w:rFonts w:asciiTheme="minorBidi" w:hAnsiTheme="minorBidi" w:cs="Arial" w:hint="cs"/>
          <w:rtl/>
        </w:rPr>
        <w:t>.</w:t>
      </w:r>
      <w:r w:rsidRPr="00F4085B">
        <w:rPr>
          <w:rFonts w:asciiTheme="minorBidi" w:hAnsiTheme="minorBidi" w:cs="Arial"/>
          <w:rtl/>
        </w:rPr>
        <w:t xml:space="preserve"> ולפי מנהגם משמע דהוא הדין בגט כתוב בכתב הגוים היו פוסלין דבכלל שאינו כתוב בכתיבה אשורית מרובעת הוא</w:t>
      </w:r>
      <w:r>
        <w:rPr>
          <w:rFonts w:hint="cs"/>
          <w:rtl/>
        </w:rPr>
        <w:t>, ב"י.</w:t>
      </w:r>
    </w:p>
  </w:footnote>
  <w:footnote w:id="650">
    <w:p w14:paraId="6B01312F"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וצ"ע על נוסח גיטין שלנו שכולו בלשון תרגום וקצת מלות בו בלשון הקודש. ואפשר לחלק בין ב' לשונות אלו ששניהם ניתנו בסיני וקרובים בלשון וכלשון אחת דמיא ועיין לקמן סימן ק"ל בזה, דרכ"מ (אות א).</w:t>
      </w:r>
    </w:p>
  </w:footnote>
  <w:footnote w:id="651">
    <w:p w14:paraId="27C8C6F8" w14:textId="3D047DA1"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000A0F5A">
        <w:rPr>
          <w:rFonts w:asciiTheme="minorBidi" w:hAnsiTheme="minorBidi"/>
          <w:rtl/>
        </w:rPr>
        <w:t>וז"ל:</w:t>
      </w:r>
      <w:r w:rsidRPr="00351B7D">
        <w:rPr>
          <w:rFonts w:asciiTheme="minorBidi" w:hAnsiTheme="minorBidi"/>
          <w:rtl/>
        </w:rPr>
        <w:t xml:space="preserve"> דבר זה מצאו בתוספתא (פ"ז ה"י) ולא כמו שכתב אלא כך אמרו גט שכתבו בחמשה לשונות וחתמו עליו חמשה עדים בחמשה לשונות פסול אבל אם חתמו עליו באחד מן הלשונות לא שמענו ואפשר שהחתימה מצרפן.</w:t>
      </w:r>
    </w:p>
  </w:footnote>
  <w:footnote w:id="652">
    <w:p w14:paraId="5C85EB56"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בית אחיזה לדבר לאחוז בו ולומר הוכיח שעל ידי ספר זה גירשה אפ"ה הוי בית יד ואמרינן מדכתב גט ויהיב גלי דעתיה דבהאי גיטא גירשה, רש"י.</w:t>
      </w:r>
    </w:p>
  </w:footnote>
  <w:footnote w:id="653">
    <w:p w14:paraId="18A23AE1"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דאמר לה בשעת מסירה הרי את מותרת לכל אדם, רש"י. </w:t>
      </w:r>
    </w:p>
  </w:footnote>
  <w:footnote w:id="654">
    <w:p w14:paraId="22B98E26"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להיות בידה לעדות בכל אשר תלך להראות שהיא פנויה, רש"י.</w:t>
      </w:r>
    </w:p>
  </w:footnote>
  <w:footnote w:id="655">
    <w:p w14:paraId="438F1B6D"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כלומר הלכה כר"י או כרבנן, רש"י.</w:t>
      </w:r>
    </w:p>
  </w:footnote>
  <w:footnote w:id="656">
    <w:p w14:paraId="641BF358"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כל שאר דברים הנכתבים בגט כגון די תיהויין וכו' מי הזכירם רבא בתקנה זו, רש"י.</w:t>
      </w:r>
    </w:p>
  </w:footnote>
  <w:footnote w:id="657">
    <w:p w14:paraId="1F537380"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אף על גב דלא אזכרינהו רבא בעינן דלכתבינהו, רש"י.</w:t>
      </w:r>
    </w:p>
  </w:footnote>
  <w:footnote w:id="658">
    <w:p w14:paraId="5F82CAFE"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ודן, בעינן, ומיהו רבא לא הוצרך לתקן אלא אלו כדמפרש ואזיל, רש"י.</w:t>
      </w:r>
    </w:p>
  </w:footnote>
  <w:footnote w:id="659">
    <w:p w14:paraId="37B255C7"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הרי"ף והרא"ש כתבו בעיא זו ומאי שנאמר עליה אלמא דסבירא להו דבעינן ודין דכיון דבעיין לא איפשיטא אם כן מספקא לן אי הלכה כרבי יהודה ומספיקא בעינן למיכתב ודין, ב"י.</w:t>
      </w:r>
    </w:p>
  </w:footnote>
  <w:footnote w:id="660">
    <w:p w14:paraId="4F919586" w14:textId="16FA43F8"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הר"ן </w:t>
      </w:r>
      <w:r w:rsidRPr="00351B7D">
        <w:rPr>
          <w:rFonts w:asciiTheme="minorBidi" w:hAnsiTheme="minorBidi"/>
          <w:sz w:val="16"/>
          <w:szCs w:val="16"/>
          <w:rtl/>
        </w:rPr>
        <w:t xml:space="preserve">(גיטין מה: סוף דיבור ראשון) </w:t>
      </w:r>
      <w:r w:rsidRPr="00351B7D">
        <w:rPr>
          <w:rFonts w:asciiTheme="minorBidi" w:hAnsiTheme="minorBidi"/>
          <w:rtl/>
        </w:rPr>
        <w:t>ומסתברא דצריך לכתוב ודין בראש הגט או בסופו כדי שיהא מוכיח דאכולה מילתא קאי</w:t>
      </w:r>
      <w:r w:rsidR="008D53E4">
        <w:rPr>
          <w:rFonts w:asciiTheme="minorBidi" w:hAnsiTheme="minorBidi" w:hint="cs"/>
          <w:rtl/>
        </w:rPr>
        <w:t>, ב"י</w:t>
      </w:r>
      <w:r w:rsidRPr="00351B7D">
        <w:rPr>
          <w:rFonts w:asciiTheme="minorBidi" w:hAnsiTheme="minorBidi"/>
          <w:rtl/>
        </w:rPr>
        <w:t>.</w:t>
      </w:r>
    </w:p>
  </w:footnote>
  <w:footnote w:id="661">
    <w:p w14:paraId="1F22148B" w14:textId="4B91731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הרמב"ם</w:t>
      </w:r>
      <w:r w:rsidRPr="00351B7D">
        <w:rPr>
          <w:rFonts w:asciiTheme="minorBidi" w:hAnsiTheme="minorBidi"/>
          <w:sz w:val="14"/>
          <w:szCs w:val="14"/>
          <w:rtl/>
        </w:rPr>
        <w:t xml:space="preserve"> (פ"א ה"ד)</w:t>
      </w:r>
      <w:r w:rsidRPr="00351B7D">
        <w:rPr>
          <w:rFonts w:asciiTheme="minorBidi" w:hAnsiTheme="minorBidi"/>
          <w:rtl/>
        </w:rPr>
        <w:t xml:space="preserve"> כתב</w:t>
      </w:r>
      <w:r w:rsidR="008D53E4">
        <w:rPr>
          <w:rFonts w:asciiTheme="minorBidi" w:hAnsiTheme="minorBidi" w:hint="cs"/>
          <w:rtl/>
        </w:rPr>
        <w:t>:</w:t>
      </w:r>
      <w:r w:rsidRPr="00351B7D">
        <w:rPr>
          <w:rFonts w:asciiTheme="minorBidi" w:hAnsiTheme="minorBidi"/>
          <w:rtl/>
        </w:rPr>
        <w:t xml:space="preserve"> גופו של גט הרי את מותרת לכל אדם. וכ' הר"ן </w:t>
      </w:r>
      <w:r w:rsidR="000A0F5A">
        <w:rPr>
          <w:rFonts w:asciiTheme="minorBidi" w:hAnsiTheme="minorBidi"/>
          <w:rtl/>
        </w:rPr>
        <w:t>וז"ל:</w:t>
      </w:r>
      <w:r w:rsidRPr="00351B7D">
        <w:rPr>
          <w:rFonts w:asciiTheme="minorBidi" w:hAnsiTheme="minorBidi"/>
          <w:rtl/>
        </w:rPr>
        <w:t xml:space="preserve"> נראה שהוא פוסק כרבנן לגמרי, ואע"פ שכתב ודין בטופס הגט שכתב בפ"ד (הי"ב) אין הוכחה משם דבעי ליה לעיכובא, ואין זה מחוור.</w:t>
      </w:r>
    </w:p>
  </w:footnote>
  <w:footnote w:id="662">
    <w:p w14:paraId="797ACA52" w14:textId="665262B6"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דנהי דקיימא לן בודין כרבי יהודה במינאי לא קיימא לן כוותיה כדמשמע בריש נדרים (ה:)</w:t>
      </w:r>
      <w:r w:rsidR="008D53E4">
        <w:rPr>
          <w:rFonts w:asciiTheme="minorBidi" w:hAnsiTheme="minorBidi" w:hint="cs"/>
          <w:rtl/>
        </w:rPr>
        <w:t>, ב"י בשם הר"ן</w:t>
      </w:r>
      <w:r w:rsidRPr="00351B7D">
        <w:rPr>
          <w:rFonts w:asciiTheme="minorBidi" w:hAnsiTheme="minorBidi"/>
          <w:rtl/>
        </w:rPr>
        <w:t>.</w:t>
      </w:r>
    </w:p>
  </w:footnote>
  <w:footnote w:id="663">
    <w:p w14:paraId="76B0A3F9"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כיון שלא פירש אלא כתב הבעיא ומה שנאמר עליה סתם משמע דאי קיימא לן כרבי יהודה בכל מה שאמר בהאי מתניתין קיימא לן כוותיה וכי היכי דבעינן ודין מספיקא הכי נמי בעינן מינאי, ב"י.</w:t>
      </w:r>
    </w:p>
  </w:footnote>
  <w:footnote w:id="664">
    <w:p w14:paraId="718F6EC8"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הראב"ד לא הכשיר למעשה רק שכתב דרך אפשר לומר שאם חתמו העדים בא' מן הלשונות שהחתימה מצרפן וכבר הליצו המ"מ והר"ן בעד הרמב"ם וע"כ אין ראוי לכתוב יש מכשירין במקום שבעל הדעת הזאת לא החליט הדבר ואף שנמצא בנוסחאות שלנו כשר נאמנים הם הרמב"ם וראב"ד שהגירסא בתוספתא הוא פסול, ח"מ (סק"ב)</w:t>
      </w:r>
    </w:p>
  </w:footnote>
  <w:footnote w:id="665">
    <w:p w14:paraId="2699DB14"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משמע הרי את מותרת אינו תורף רק הוספה היא, וכ"כ בתשובת רמ"א (סי' קכ"ח וק"ל), ושם (קכ"ז וקכ"ט) כ' דגדול אחד היה חולק עליו, אבל בש"ס משמע הרי את מותרת תורף הוא, ועיין סוף הסימן, ב"ש (סק"ג).</w:t>
      </w:r>
    </w:p>
  </w:footnote>
  <w:footnote w:id="666">
    <w:p w14:paraId="777661CF"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ומכ"ש דאין להכשיר בלשון אחר כי מי יכול לסדר נוסח אחד בגט בלשון אחר, ח"מ (סק"ה).</w:t>
      </w:r>
    </w:p>
  </w:footnote>
  <w:footnote w:id="667">
    <w:p w14:paraId="13933059" w14:textId="7A41AF7B"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ודוקא לכתחל</w:t>
      </w:r>
      <w:r w:rsidR="000D7F60">
        <w:rPr>
          <w:rFonts w:asciiTheme="minorBidi" w:hAnsiTheme="minorBidi" w:hint="cs"/>
          <w:rtl/>
        </w:rPr>
        <w:t>ה,</w:t>
      </w:r>
      <w:r w:rsidRPr="00351B7D">
        <w:rPr>
          <w:rFonts w:asciiTheme="minorBidi" w:hAnsiTheme="minorBidi"/>
          <w:rtl/>
        </w:rPr>
        <w:t xml:space="preserve"> אבל בדיעבד אין לפסול אם כתב החסר מלא או להיפך</w:t>
      </w:r>
      <w:r w:rsidR="000D7F60">
        <w:rPr>
          <w:rFonts w:asciiTheme="minorBidi" w:hAnsiTheme="minorBidi" w:hint="cs"/>
          <w:rtl/>
        </w:rPr>
        <w:t>,</w:t>
      </w:r>
      <w:r w:rsidRPr="00351B7D">
        <w:rPr>
          <w:rFonts w:asciiTheme="minorBidi" w:hAnsiTheme="minorBidi"/>
          <w:rtl/>
        </w:rPr>
        <w:t xml:space="preserve"> דהא אין הענין משתנה</w:t>
      </w:r>
      <w:r w:rsidR="000D7F60">
        <w:rPr>
          <w:rFonts w:asciiTheme="minorBidi" w:hAnsiTheme="minorBidi" w:hint="cs"/>
          <w:rtl/>
        </w:rPr>
        <w:t>.</w:t>
      </w:r>
      <w:r w:rsidRPr="00351B7D">
        <w:rPr>
          <w:rFonts w:asciiTheme="minorBidi" w:hAnsiTheme="minorBidi"/>
          <w:rtl/>
        </w:rPr>
        <w:t xml:space="preserve"> וכן הוא בסמוך סע' ד' אם כתב שלשה או שמונה מלא כשר, ח"מ (סק"ו) וב"ש (סק"ו).</w:t>
      </w:r>
    </w:p>
  </w:footnote>
  <w:footnote w:id="668">
    <w:p w14:paraId="10B27A69" w14:textId="77777777" w:rsidR="00FA2119" w:rsidRDefault="00FA2119" w:rsidP="00FA2119">
      <w:pPr>
        <w:pStyle w:val="a5"/>
        <w:rPr>
          <w:rtl/>
        </w:rPr>
      </w:pPr>
      <w:r>
        <w:rPr>
          <w:rStyle w:val="a7"/>
        </w:rPr>
        <w:footnoteRef/>
      </w:r>
      <w:r>
        <w:rPr>
          <w:rtl/>
        </w:rPr>
        <w:t xml:space="preserve"> </w:t>
      </w:r>
      <w:r>
        <w:rPr>
          <w:rFonts w:asciiTheme="minorBidi" w:hAnsiTheme="minorBidi" w:cs="Arial" w:hint="cs"/>
          <w:rtl/>
        </w:rPr>
        <w:t xml:space="preserve">ואם </w:t>
      </w:r>
      <w:r w:rsidRPr="00AB6D5C">
        <w:rPr>
          <w:rFonts w:asciiTheme="minorBidi" w:hAnsiTheme="minorBidi" w:cs="Arial"/>
          <w:rtl/>
        </w:rPr>
        <w:t xml:space="preserve">כתוב בו במקום </w:t>
      </w:r>
      <w:r>
        <w:rPr>
          <w:rFonts w:asciiTheme="minorBidi" w:hAnsiTheme="minorBidi" w:cs="Arial" w:hint="cs"/>
          <w:rtl/>
        </w:rPr>
        <w:t>'</w:t>
      </w:r>
      <w:r w:rsidRPr="00AB6D5C">
        <w:rPr>
          <w:rFonts w:asciiTheme="minorBidi" w:hAnsiTheme="minorBidi" w:cs="Arial"/>
          <w:rtl/>
        </w:rPr>
        <w:t>באחד בשבת</w:t>
      </w:r>
      <w:r>
        <w:rPr>
          <w:rFonts w:asciiTheme="minorBidi" w:hAnsiTheme="minorBidi" w:cs="Arial" w:hint="cs"/>
          <w:rtl/>
        </w:rPr>
        <w:t>'</w:t>
      </w:r>
      <w:r w:rsidRPr="00AB6D5C">
        <w:rPr>
          <w:rFonts w:asciiTheme="minorBidi" w:hAnsiTheme="minorBidi" w:cs="Arial"/>
          <w:rtl/>
        </w:rPr>
        <w:t xml:space="preserve"> </w:t>
      </w:r>
      <w:r>
        <w:rPr>
          <w:rFonts w:asciiTheme="minorBidi" w:hAnsiTheme="minorBidi" w:cs="Arial" w:hint="cs"/>
          <w:rtl/>
        </w:rPr>
        <w:t>'</w:t>
      </w:r>
      <w:r w:rsidRPr="00AB6D5C">
        <w:rPr>
          <w:rFonts w:asciiTheme="minorBidi" w:hAnsiTheme="minorBidi" w:cs="Arial"/>
          <w:rtl/>
        </w:rPr>
        <w:t>בראשון בשבת</w:t>
      </w:r>
      <w:r>
        <w:rPr>
          <w:rFonts w:asciiTheme="minorBidi" w:hAnsiTheme="minorBidi" w:cs="Arial" w:hint="cs"/>
          <w:rtl/>
        </w:rPr>
        <w:t>'</w:t>
      </w:r>
      <w:r w:rsidRPr="00AB6D5C">
        <w:rPr>
          <w:rFonts w:asciiTheme="minorBidi" w:hAnsiTheme="minorBidi" w:cs="Arial"/>
          <w:rtl/>
        </w:rPr>
        <w:t xml:space="preserve"> </w:t>
      </w:r>
      <w:r>
        <w:rPr>
          <w:rFonts w:asciiTheme="minorBidi" w:hAnsiTheme="minorBidi" w:cs="Arial" w:hint="cs"/>
          <w:rtl/>
        </w:rPr>
        <w:t xml:space="preserve">- </w:t>
      </w:r>
      <w:r w:rsidRPr="00351B7D">
        <w:rPr>
          <w:rFonts w:asciiTheme="minorBidi" w:hAnsiTheme="minorBidi"/>
          <w:rtl/>
        </w:rPr>
        <w:t>כשר בשעת הדחק</w:t>
      </w:r>
      <w:r>
        <w:rPr>
          <w:rFonts w:asciiTheme="minorBidi" w:hAnsiTheme="minorBidi" w:hint="cs"/>
          <w:rtl/>
        </w:rPr>
        <w:t>,</w:t>
      </w:r>
      <w:r w:rsidRPr="00351B7D">
        <w:rPr>
          <w:rFonts w:asciiTheme="minorBidi" w:hAnsiTheme="minorBidi"/>
          <w:rtl/>
        </w:rPr>
        <w:t xml:space="preserve"> רשד"ם </w:t>
      </w:r>
      <w:r w:rsidRPr="00351B7D">
        <w:rPr>
          <w:rFonts w:asciiTheme="minorBidi" w:hAnsiTheme="minorBidi"/>
          <w:sz w:val="16"/>
          <w:szCs w:val="16"/>
          <w:rtl/>
        </w:rPr>
        <w:t>(סי' מו)</w:t>
      </w:r>
      <w:r w:rsidRPr="00351B7D">
        <w:rPr>
          <w:rFonts w:asciiTheme="minorBidi" w:hAnsiTheme="minorBidi"/>
          <w:rtl/>
        </w:rPr>
        <w:t xml:space="preserve"> וגט פשוט</w:t>
      </w:r>
      <w:r>
        <w:rPr>
          <w:rFonts w:asciiTheme="minorBidi" w:hAnsiTheme="minorBidi" w:hint="cs"/>
          <w:rtl/>
        </w:rPr>
        <w:t xml:space="preserve"> (הביאם הפת"ש סק"ד)</w:t>
      </w:r>
      <w:r>
        <w:rPr>
          <w:rFonts w:hint="cs"/>
          <w:rtl/>
        </w:rPr>
        <w:t>.</w:t>
      </w:r>
    </w:p>
  </w:footnote>
  <w:footnote w:id="669">
    <w:p w14:paraId="2A0ECAD7"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ולא יכתוב לשבת כי אז יש למטעי, כגון אם כותב ביום ג', יאמרו יום ב' הוא ועם שבת הוא יום ג', אע"ג דביום א' ליכא טעות מ"מ בשאר ימים איכא טעות ולכן אין כותבין לשבת אפילו ביום א', אבל לירח ליכא טעות </w:t>
      </w:r>
      <w:r w:rsidRPr="00351B7D">
        <w:rPr>
          <w:rFonts w:asciiTheme="minorBidi" w:hAnsiTheme="minorBidi"/>
          <w:sz w:val="16"/>
          <w:szCs w:val="16"/>
          <w:rtl/>
        </w:rPr>
        <w:t>(דרכ"מ אות ו)</w:t>
      </w:r>
      <w:r w:rsidRPr="00351B7D">
        <w:rPr>
          <w:rFonts w:asciiTheme="minorBidi" w:hAnsiTheme="minorBidi"/>
          <w:rtl/>
        </w:rPr>
        <w:t xml:space="preserve">, </w:t>
      </w:r>
      <w:r w:rsidRPr="00AB6D5C">
        <w:rPr>
          <w:rFonts w:asciiTheme="minorBidi" w:hAnsiTheme="minorBidi"/>
          <w:b/>
          <w:bCs/>
          <w:rtl/>
        </w:rPr>
        <w:t>ב"ש</w:t>
      </w:r>
      <w:r w:rsidRPr="00351B7D">
        <w:rPr>
          <w:rFonts w:asciiTheme="minorBidi" w:hAnsiTheme="minorBidi"/>
          <w:rtl/>
        </w:rPr>
        <w:t xml:space="preserve"> (סק"ז).</w:t>
      </w:r>
      <w:r w:rsidRPr="002D3D97">
        <w:rPr>
          <w:rFonts w:asciiTheme="minorBidi" w:hAnsiTheme="minorBidi"/>
          <w:rtl/>
        </w:rPr>
        <w:t xml:space="preserve"> </w:t>
      </w:r>
      <w:r w:rsidRPr="00351B7D">
        <w:rPr>
          <w:rFonts w:asciiTheme="minorBidi" w:hAnsiTheme="minorBidi"/>
          <w:rtl/>
        </w:rPr>
        <w:t>אם כתב הגט ביום ד' בשבוע וכתוב בגט בד' לשבת בלמ"ד דמשמעו דמשבת מתחיל המנין ויבינו שנכתב ביום ג' אלא שהוא ד' למנין שבת שעבר א"כ הוי גט מוקדם ופסול כמ"ש סי' קכ"ז ס"ב</w:t>
      </w:r>
      <w:r>
        <w:rPr>
          <w:rFonts w:asciiTheme="minorBidi" w:hAnsiTheme="minorBidi" w:hint="cs"/>
          <w:rtl/>
        </w:rPr>
        <w:t>.</w:t>
      </w:r>
      <w:r w:rsidRPr="00351B7D">
        <w:rPr>
          <w:rFonts w:asciiTheme="minorBidi" w:hAnsiTheme="minorBidi"/>
          <w:rtl/>
        </w:rPr>
        <w:t xml:space="preserve"> ומיהו יראה דיש להכשיר בדיעבד בכה"ג, וראיה לדבר ממ"ש מרן סע' כ"א אם כתב ברביעי עשרים יום כו', ה"נ יש לתלות כאן דטעה דחשב דפירוש לשבת הוי כמו בשבת, ואפי' הריב"ש דפליג בההיא יראה דמכשיר בכה"ג</w:t>
      </w:r>
      <w:r>
        <w:rPr>
          <w:rFonts w:asciiTheme="minorBidi" w:hAnsiTheme="minorBidi" w:hint="cs"/>
          <w:rtl/>
        </w:rPr>
        <w:t xml:space="preserve">, </w:t>
      </w:r>
      <w:r w:rsidRPr="00AB6D5C">
        <w:rPr>
          <w:rFonts w:asciiTheme="minorBidi" w:hAnsiTheme="minorBidi"/>
          <w:b/>
          <w:bCs/>
          <w:rtl/>
        </w:rPr>
        <w:t>גט פשוט</w:t>
      </w:r>
      <w:r>
        <w:rPr>
          <w:rFonts w:asciiTheme="minorBidi" w:hAnsiTheme="minorBidi" w:hint="cs"/>
          <w:rtl/>
        </w:rPr>
        <w:t xml:space="preserve"> (הביאו הפת"ש סק"ד)</w:t>
      </w:r>
      <w:r w:rsidRPr="00351B7D">
        <w:rPr>
          <w:rFonts w:asciiTheme="minorBidi" w:hAnsiTheme="minorBidi"/>
          <w:rtl/>
        </w:rPr>
        <w:t>.</w:t>
      </w:r>
    </w:p>
  </w:footnote>
  <w:footnote w:id="670">
    <w:p w14:paraId="14885288" w14:textId="77777777" w:rsidR="00FA2119" w:rsidRDefault="00FA2119" w:rsidP="00FA2119">
      <w:pPr>
        <w:pStyle w:val="a5"/>
        <w:rPr>
          <w:rtl/>
        </w:rPr>
      </w:pPr>
      <w:r>
        <w:rPr>
          <w:rStyle w:val="a7"/>
        </w:rPr>
        <w:footnoteRef/>
      </w:r>
      <w:r>
        <w:rPr>
          <w:rtl/>
        </w:rPr>
        <w:t xml:space="preserve"> </w:t>
      </w:r>
      <w:r w:rsidRPr="007D687C">
        <w:rPr>
          <w:rFonts w:cs="Arial"/>
          <w:rtl/>
        </w:rPr>
        <w:t>וכן משמע לקמן (ס"ו) בדברי הטור</w:t>
      </w:r>
      <w:r>
        <w:rPr>
          <w:rFonts w:hint="cs"/>
          <w:rtl/>
        </w:rPr>
        <w:t>, דרכ"מ (אות ח).</w:t>
      </w:r>
    </w:p>
  </w:footnote>
  <w:footnote w:id="671">
    <w:p w14:paraId="4CD2D644"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מרדכי</w:t>
      </w:r>
      <w:r w:rsidRPr="00351B7D">
        <w:rPr>
          <w:rFonts w:asciiTheme="minorBidi" w:hAnsiTheme="minorBidi"/>
          <w:sz w:val="16"/>
          <w:szCs w:val="16"/>
          <w:rtl/>
        </w:rPr>
        <w:t xml:space="preserve"> (סי' תנד, הביאו הב"י)</w:t>
      </w:r>
      <w:r>
        <w:rPr>
          <w:rFonts w:asciiTheme="minorBidi" w:hAnsiTheme="minorBidi" w:hint="cs"/>
          <w:sz w:val="16"/>
          <w:szCs w:val="16"/>
          <w:rtl/>
        </w:rPr>
        <w:t xml:space="preserve"> </w:t>
      </w:r>
      <w:r w:rsidRPr="00351B7D">
        <w:rPr>
          <w:rFonts w:asciiTheme="minorBidi" w:hAnsiTheme="minorBidi"/>
          <w:rtl/>
        </w:rPr>
        <w:t xml:space="preserve">מהרי"ו </w:t>
      </w:r>
      <w:r w:rsidRPr="00351B7D">
        <w:rPr>
          <w:rFonts w:asciiTheme="minorBidi" w:hAnsiTheme="minorBidi"/>
          <w:sz w:val="16"/>
          <w:szCs w:val="16"/>
          <w:rtl/>
        </w:rPr>
        <w:t>(סי' כ"ז)</w:t>
      </w:r>
      <w:r w:rsidRPr="00351B7D">
        <w:rPr>
          <w:rFonts w:asciiTheme="minorBidi" w:hAnsiTheme="minorBidi"/>
          <w:rtl/>
        </w:rPr>
        <w:t xml:space="preserve"> כל בו </w:t>
      </w:r>
      <w:r w:rsidRPr="00351B7D">
        <w:rPr>
          <w:rFonts w:asciiTheme="minorBidi" w:hAnsiTheme="minorBidi"/>
          <w:sz w:val="16"/>
          <w:szCs w:val="16"/>
          <w:rtl/>
        </w:rPr>
        <w:t xml:space="preserve">(הל' גיטין מח.) </w:t>
      </w:r>
      <w:r w:rsidRPr="00351B7D">
        <w:rPr>
          <w:rFonts w:asciiTheme="minorBidi" w:hAnsiTheme="minorBidi"/>
          <w:rtl/>
        </w:rPr>
        <w:t xml:space="preserve">וסדר גיטין </w:t>
      </w:r>
      <w:r w:rsidRPr="00351B7D">
        <w:rPr>
          <w:rFonts w:asciiTheme="minorBidi" w:hAnsiTheme="minorBidi"/>
          <w:sz w:val="16"/>
          <w:szCs w:val="16"/>
          <w:rtl/>
        </w:rPr>
        <w:t>(סי' טז סע' ג)</w:t>
      </w:r>
      <w:r w:rsidRPr="00351B7D">
        <w:rPr>
          <w:rFonts w:asciiTheme="minorBidi" w:hAnsiTheme="minorBidi"/>
          <w:rtl/>
        </w:rPr>
        <w:t>.</w:t>
      </w:r>
    </w:p>
  </w:footnote>
  <w:footnote w:id="672">
    <w:p w14:paraId="4F72C4A5" w14:textId="77777777" w:rsidR="00FA2119" w:rsidRDefault="00FA2119" w:rsidP="00FA2119">
      <w:pPr>
        <w:pStyle w:val="a5"/>
      </w:pPr>
      <w:r>
        <w:rPr>
          <w:rStyle w:val="a7"/>
        </w:rPr>
        <w:footnoteRef/>
      </w:r>
      <w:r>
        <w:rPr>
          <w:rtl/>
        </w:rPr>
        <w:t xml:space="preserve"> </w:t>
      </w:r>
      <w:r w:rsidRPr="00212303">
        <w:rPr>
          <w:rFonts w:cs="Arial"/>
          <w:rtl/>
        </w:rPr>
        <w:t>ואני ראיתי בגיטין שנכתבו בזמננו שעד י"ט כותבין יום וכשמגיעים לעשרים ומעשרים ואילך כותבין ימים</w:t>
      </w:r>
      <w:r>
        <w:rPr>
          <w:rFonts w:cs="Arial" w:hint="cs"/>
          <w:rtl/>
        </w:rPr>
        <w:t xml:space="preserve">, </w:t>
      </w:r>
      <w:r w:rsidRPr="00571220">
        <w:rPr>
          <w:rFonts w:cs="Arial" w:hint="cs"/>
          <w:b/>
          <w:bCs/>
          <w:rtl/>
        </w:rPr>
        <w:t>ב"י</w:t>
      </w:r>
      <w:r>
        <w:rPr>
          <w:rFonts w:cs="Arial" w:hint="cs"/>
          <w:rtl/>
        </w:rPr>
        <w:t>.</w:t>
      </w:r>
      <w:r w:rsidRPr="00496F83">
        <w:rPr>
          <w:rFonts w:cs="Arial"/>
          <w:rtl/>
        </w:rPr>
        <w:t xml:space="preserve"> ועיין בתשובת מהרי</w:t>
      </w:r>
      <w:r>
        <w:rPr>
          <w:rFonts w:cs="Arial" w:hint="cs"/>
          <w:rtl/>
        </w:rPr>
        <w:t>"</w:t>
      </w:r>
      <w:r w:rsidRPr="00496F83">
        <w:rPr>
          <w:rFonts w:cs="Arial"/>
          <w:rtl/>
        </w:rPr>
        <w:t xml:space="preserve">ו </w:t>
      </w:r>
      <w:r>
        <w:rPr>
          <w:rFonts w:cs="Arial" w:hint="cs"/>
          <w:rtl/>
        </w:rPr>
        <w:t>(</w:t>
      </w:r>
      <w:r w:rsidRPr="00496F83">
        <w:rPr>
          <w:rFonts w:cs="Arial"/>
          <w:rtl/>
        </w:rPr>
        <w:t>סי</w:t>
      </w:r>
      <w:r>
        <w:rPr>
          <w:rFonts w:cs="Arial" w:hint="cs"/>
          <w:rtl/>
        </w:rPr>
        <w:t>'</w:t>
      </w:r>
      <w:r w:rsidRPr="00496F83">
        <w:rPr>
          <w:rFonts w:cs="Arial"/>
          <w:rtl/>
        </w:rPr>
        <w:t xml:space="preserve"> עב</w:t>
      </w:r>
      <w:r>
        <w:rPr>
          <w:rFonts w:cs="Arial" w:hint="cs"/>
          <w:rtl/>
        </w:rPr>
        <w:t>)</w:t>
      </w:r>
      <w:r w:rsidRPr="00496F83">
        <w:rPr>
          <w:rFonts w:cs="Arial"/>
          <w:rtl/>
        </w:rPr>
        <w:t xml:space="preserve"> דמשמע דיש לכתוב יום. וכן הוא בספר כל בו (הל' גיטין מח א)</w:t>
      </w:r>
      <w:r>
        <w:rPr>
          <w:rFonts w:cs="Arial" w:hint="cs"/>
          <w:rtl/>
        </w:rPr>
        <w:t>,</w:t>
      </w:r>
      <w:r w:rsidRPr="00496F83">
        <w:rPr>
          <w:rFonts w:cs="Arial"/>
          <w:rtl/>
        </w:rPr>
        <w:t xml:space="preserve"> וכן משמע מדברי המרדכי (סי' תנד) דלעיל</w:t>
      </w:r>
      <w:r>
        <w:rPr>
          <w:rFonts w:cs="Arial" w:hint="cs"/>
          <w:rtl/>
        </w:rPr>
        <w:t>,</w:t>
      </w:r>
      <w:r w:rsidRPr="00496F83">
        <w:rPr>
          <w:rFonts w:cs="Arial"/>
          <w:rtl/>
        </w:rPr>
        <w:t xml:space="preserve"> וכן הוא בסדר גיטין (סי' טז סעיף ג)</w:t>
      </w:r>
      <w:r>
        <w:rPr>
          <w:rFonts w:cs="Arial" w:hint="cs"/>
          <w:rtl/>
        </w:rPr>
        <w:t>,</w:t>
      </w:r>
      <w:r w:rsidRPr="00496F83">
        <w:rPr>
          <w:rFonts w:cs="Arial"/>
          <w:rtl/>
        </w:rPr>
        <w:t xml:space="preserve"> וכן נוהגין</w:t>
      </w:r>
      <w:r>
        <w:rPr>
          <w:rFonts w:cs="Arial" w:hint="cs"/>
          <w:rtl/>
        </w:rPr>
        <w:t xml:space="preserve">, </w:t>
      </w:r>
      <w:r w:rsidRPr="00571220">
        <w:rPr>
          <w:rFonts w:cs="Arial" w:hint="cs"/>
          <w:b/>
          <w:bCs/>
          <w:rtl/>
        </w:rPr>
        <w:t>דרכ"מ</w:t>
      </w:r>
      <w:r>
        <w:rPr>
          <w:rFonts w:cs="Arial" w:hint="cs"/>
          <w:rtl/>
        </w:rPr>
        <w:t xml:space="preserve"> </w:t>
      </w:r>
      <w:r w:rsidRPr="00496F83">
        <w:rPr>
          <w:rFonts w:cs="Arial"/>
          <w:rtl/>
        </w:rPr>
        <w:t>(</w:t>
      </w:r>
      <w:r>
        <w:rPr>
          <w:rFonts w:cs="Arial" w:hint="cs"/>
          <w:rtl/>
        </w:rPr>
        <w:t xml:space="preserve">אות </w:t>
      </w:r>
      <w:r w:rsidRPr="00496F83">
        <w:rPr>
          <w:rFonts w:cs="Arial"/>
          <w:rtl/>
        </w:rPr>
        <w:t>כז)</w:t>
      </w:r>
      <w:r>
        <w:rPr>
          <w:rFonts w:cs="Arial" w:hint="cs"/>
          <w:rtl/>
        </w:rPr>
        <w:t>.</w:t>
      </w:r>
    </w:p>
  </w:footnote>
  <w:footnote w:id="673">
    <w:p w14:paraId="00EED4E6" w14:textId="6864809A"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מהר"י מינץ בסדר גיטין שלו (סי' מח) אם כתב שלושה ושמונה מלא אין הגט נפסל משום זה</w:t>
      </w:r>
      <w:r w:rsidR="00A940A6">
        <w:rPr>
          <w:rFonts w:asciiTheme="minorBidi" w:hAnsiTheme="minorBidi" w:hint="cs"/>
          <w:rtl/>
        </w:rPr>
        <w:t>, דרכ"מ (אות ט)</w:t>
      </w:r>
      <w:r w:rsidRPr="00351B7D">
        <w:rPr>
          <w:rFonts w:asciiTheme="minorBidi" w:hAnsiTheme="minorBidi"/>
          <w:rtl/>
        </w:rPr>
        <w:t>.</w:t>
      </w:r>
    </w:p>
  </w:footnote>
  <w:footnote w:id="674">
    <w:p w14:paraId="656A1EB2"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משום דבתחלת ספר חגי (א' א') כתיב- ביום אחד לחדש היה דבר ד' ביד חגי וגו'.</w:t>
      </w:r>
    </w:p>
  </w:footnote>
  <w:footnote w:id="675">
    <w:p w14:paraId="332873C6"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משום דבתחלת ספר במדבר סיני (א' א') כתיב- באהל מועד באחד לחדש השני.</w:t>
      </w:r>
    </w:p>
  </w:footnote>
  <w:footnote w:id="676">
    <w:p w14:paraId="31EE4175"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והוא תמוה דהא לשני הדרכים כל אחד יש לו סמיכה מקרא ומאן דעביד כחד מינייהו שפיר ולמה יש למנוע לתת גט בר"ח, ונראה דאפילו ביש צורך קצת נותנים גט בר"ח, וכמו שהעיד מו"ח ז"ל</w:t>
      </w:r>
      <w:r>
        <w:rPr>
          <w:rFonts w:asciiTheme="minorBidi" w:hAnsiTheme="minorBidi" w:hint="cs"/>
          <w:rtl/>
        </w:rPr>
        <w:t>,</w:t>
      </w:r>
      <w:r w:rsidRPr="006D2DDD">
        <w:rPr>
          <w:rFonts w:asciiTheme="minorBidi" w:hAnsiTheme="minorBidi"/>
          <w:rtl/>
        </w:rPr>
        <w:t xml:space="preserve"> </w:t>
      </w:r>
      <w:r w:rsidRPr="00351B7D">
        <w:rPr>
          <w:rFonts w:asciiTheme="minorBidi" w:hAnsiTheme="minorBidi"/>
          <w:rtl/>
        </w:rPr>
        <w:t>ט"ז (סק"ג). וכך</w:t>
      </w:r>
      <w:r>
        <w:rPr>
          <w:rFonts w:asciiTheme="minorBidi" w:hAnsiTheme="minorBidi" w:hint="cs"/>
          <w:rtl/>
        </w:rPr>
        <w:t xml:space="preserve"> היא</w:t>
      </w:r>
      <w:r w:rsidRPr="00351B7D">
        <w:rPr>
          <w:rFonts w:asciiTheme="minorBidi" w:hAnsiTheme="minorBidi"/>
          <w:rtl/>
        </w:rPr>
        <w:t xml:space="preserve"> מסקנת הח"מ </w:t>
      </w:r>
      <w:r>
        <w:rPr>
          <w:rFonts w:asciiTheme="minorBidi" w:hAnsiTheme="minorBidi" w:hint="cs"/>
          <w:rtl/>
        </w:rPr>
        <w:t>(</w:t>
      </w:r>
      <w:r w:rsidRPr="00351B7D">
        <w:rPr>
          <w:rFonts w:asciiTheme="minorBidi" w:hAnsiTheme="minorBidi"/>
          <w:rtl/>
        </w:rPr>
        <w:t>סק"י)</w:t>
      </w:r>
      <w:r>
        <w:rPr>
          <w:rFonts w:asciiTheme="minorBidi" w:hAnsiTheme="minorBidi" w:hint="cs"/>
          <w:rtl/>
        </w:rPr>
        <w:t>.</w:t>
      </w:r>
    </w:p>
  </w:footnote>
  <w:footnote w:id="677">
    <w:p w14:paraId="1C51E6C5"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וסימנך ימים ימימה, פי' במקום ימים כותבים בה"א, </w:t>
      </w:r>
      <w:r w:rsidRPr="005A037D">
        <w:rPr>
          <w:rFonts w:asciiTheme="minorBidi" w:hAnsiTheme="minorBidi"/>
          <w:b/>
          <w:bCs/>
          <w:rtl/>
        </w:rPr>
        <w:t>לבוש וט"ז</w:t>
      </w:r>
      <w:r w:rsidRPr="00351B7D">
        <w:rPr>
          <w:rFonts w:asciiTheme="minorBidi" w:hAnsiTheme="minorBidi"/>
          <w:rtl/>
        </w:rPr>
        <w:t xml:space="preserve">. ובשמנה אין חילוק בכתיבה אלא בקריאה לזכר הנו"ן בקמ"ץ ולנקבה בסג"ל כ"כ בלבוש ובח"מ, ועיין בתוי"ט בטהרות פ"ה כתב לנקבה בקמ"ץ כמו רועה היא, ועיין בד"מ ס"ס קכ"ט מכונה לזכר בסגו"ל ולנקבה בקמ"ץ, </w:t>
      </w:r>
      <w:r w:rsidRPr="005A037D">
        <w:rPr>
          <w:rFonts w:asciiTheme="minorBidi" w:hAnsiTheme="minorBidi"/>
          <w:b/>
          <w:bCs/>
          <w:rtl/>
        </w:rPr>
        <w:t>ב"ש</w:t>
      </w:r>
      <w:r w:rsidRPr="00351B7D">
        <w:rPr>
          <w:rFonts w:asciiTheme="minorBidi" w:hAnsiTheme="minorBidi"/>
          <w:rtl/>
        </w:rPr>
        <w:t xml:space="preserve"> (סק"ט). אך </w:t>
      </w:r>
      <w:r w:rsidRPr="005A037D">
        <w:rPr>
          <w:rFonts w:asciiTheme="minorBidi" w:hAnsiTheme="minorBidi"/>
          <w:b/>
          <w:bCs/>
          <w:rtl/>
        </w:rPr>
        <w:t>הפת"ש</w:t>
      </w:r>
      <w:r w:rsidRPr="00351B7D">
        <w:rPr>
          <w:rFonts w:asciiTheme="minorBidi" w:hAnsiTheme="minorBidi"/>
          <w:rtl/>
        </w:rPr>
        <w:t xml:space="preserve"> (סק"ה) הביא את הס' נשמת אדם סוף הל' פסח (אות ל"ז) שכ' בשם מדקדק אחד שדחה ראייתו דזה דוקא בשאר דברים אבל במספר כו' ודברי הלבוש נכונים.</w:t>
      </w:r>
    </w:p>
  </w:footnote>
  <w:footnote w:id="678">
    <w:p w14:paraId="0D0ECF10"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ואם כ' "יום" לא מיפסל בדיעבד, </w:t>
      </w:r>
      <w:r w:rsidRPr="005A037D">
        <w:rPr>
          <w:rFonts w:asciiTheme="minorBidi" w:hAnsiTheme="minorBidi"/>
          <w:b/>
          <w:bCs/>
          <w:rtl/>
        </w:rPr>
        <w:t>ח"מ</w:t>
      </w:r>
      <w:r w:rsidRPr="00351B7D">
        <w:rPr>
          <w:rFonts w:asciiTheme="minorBidi" w:hAnsiTheme="minorBidi"/>
          <w:rtl/>
        </w:rPr>
        <w:t xml:space="preserve"> (סקי"ב) </w:t>
      </w:r>
      <w:r w:rsidRPr="005A037D">
        <w:rPr>
          <w:rFonts w:asciiTheme="minorBidi" w:hAnsiTheme="minorBidi"/>
          <w:b/>
          <w:bCs/>
          <w:rtl/>
        </w:rPr>
        <w:t>ובאה"ט</w:t>
      </w:r>
      <w:r w:rsidRPr="00351B7D">
        <w:rPr>
          <w:rFonts w:asciiTheme="minorBidi" w:hAnsiTheme="minorBidi"/>
          <w:rtl/>
        </w:rPr>
        <w:t>. ועי' בשו"ת שבס' גבורת אנשים (סי' ז'-ח') בענין אם חסר לגמרי מלת "ימים" רק כתוב בג' לירח פלוני, ודעת הגאון מהר"ר יושע ז"ל דפשיטא דכשר דברוב המקומות כתיב בא' לחדש בעשור לחודש בעשרים לחדש וכיוצא בזה, אך מדברי אא"ז הגאון מהר"ם כ"ץ ז"ל בתשובתו שם נראה שחוכך בזה, דכיון שכתוב בגט ברביעי בשבת בשלשה לירח פלוני איכא למטעי שלשה שבתות לירח ע"ש, ומשמע דמחמשה ואילך גם הוא ז"ל מודה</w:t>
      </w:r>
      <w:r>
        <w:rPr>
          <w:rFonts w:asciiTheme="minorBidi" w:hAnsiTheme="minorBidi" w:hint="cs"/>
          <w:rtl/>
        </w:rPr>
        <w:t>,</w:t>
      </w:r>
      <w:r w:rsidRPr="005A037D">
        <w:rPr>
          <w:rFonts w:asciiTheme="minorBidi" w:hAnsiTheme="minorBidi" w:hint="cs"/>
          <w:b/>
          <w:bCs/>
          <w:rtl/>
        </w:rPr>
        <w:t xml:space="preserve"> פת"ש</w:t>
      </w:r>
      <w:r>
        <w:rPr>
          <w:rFonts w:asciiTheme="minorBidi" w:hAnsiTheme="minorBidi" w:hint="cs"/>
          <w:rtl/>
        </w:rPr>
        <w:t xml:space="preserve"> (סק"ו)</w:t>
      </w:r>
      <w:r w:rsidRPr="00351B7D">
        <w:rPr>
          <w:rFonts w:asciiTheme="minorBidi" w:hAnsiTheme="minorBidi"/>
          <w:rtl/>
        </w:rPr>
        <w:t>.</w:t>
      </w:r>
    </w:p>
  </w:footnote>
  <w:footnote w:id="679">
    <w:p w14:paraId="0C2A54D5"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משום דלפעמים הם כתובין כן ע"פ המסורה, ועוד דהא אין הענין משתנה, ועיין בסדר ר"י מינץ סי' מ"ח, ונראה דה"ה אם כתב שיני ושישי מלא, ואף שלא נמצא במסורה מלא מ"מ אין הענין משתנה במלא וחסר, ח"מ (סקי"ג).</w:t>
      </w:r>
    </w:p>
  </w:footnote>
  <w:footnote w:id="680">
    <w:p w14:paraId="4F0535D0"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ויראה דהיינו דכתב נקודות על אותיות י"ב כו' ע"ש. וכ' עוד (סקע"ג) ויש להסתפק אם דוקא כה"ג י"ב לחודש וכיוצא דרגילי אינשי לכתוב או לומר כה"ג אבל אם כתב הגט בי"ז לחדש וכתב ביום טו"ב לחדש לא, ודעתי נוטה דגם בזה יש להכשיר דלפעמים רגילין לכתוב כה"ג בשטרות ואגרות שלומים. גם במספר השנים רגילים לכתוב פסוקים הרומזים למספר השנה כגון שנה זאת תל"ז כותבין שנת תז"ל כטל ועושין ב' נקודות על תיבת תזל וכיוצא בו כותבין בכל שנה ושנה אם אירע שנכתב בגט כיוצא בזה דעתי נוטה דכשר</w:t>
      </w:r>
      <w:r>
        <w:rPr>
          <w:rFonts w:asciiTheme="minorBidi" w:hAnsiTheme="minorBidi" w:hint="cs"/>
          <w:rtl/>
        </w:rPr>
        <w:t>,</w:t>
      </w:r>
      <w:r w:rsidRPr="005A037D">
        <w:rPr>
          <w:rFonts w:asciiTheme="minorBidi" w:hAnsiTheme="minorBidi"/>
          <w:rtl/>
        </w:rPr>
        <w:t xml:space="preserve"> </w:t>
      </w:r>
      <w:r w:rsidRPr="00351B7D">
        <w:rPr>
          <w:rFonts w:asciiTheme="minorBidi" w:hAnsiTheme="minorBidi"/>
          <w:rtl/>
        </w:rPr>
        <w:t xml:space="preserve">גט פשוט </w:t>
      </w:r>
      <w:r w:rsidRPr="00351B7D">
        <w:rPr>
          <w:rFonts w:asciiTheme="minorBidi" w:hAnsiTheme="minorBidi"/>
          <w:sz w:val="16"/>
          <w:szCs w:val="16"/>
          <w:rtl/>
        </w:rPr>
        <w:t>(סקכ"א, הביאו הפת"ש סק"ז)</w:t>
      </w:r>
      <w:r w:rsidRPr="00351B7D">
        <w:rPr>
          <w:rFonts w:asciiTheme="minorBidi" w:hAnsiTheme="minorBidi"/>
          <w:rtl/>
        </w:rPr>
        <w:t>.</w:t>
      </w:r>
    </w:p>
  </w:footnote>
  <w:footnote w:id="681">
    <w:p w14:paraId="15EE3C84"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משמע אפי' אינו שעה"ד ולא ניתן הגט, ובלבוש כ'... 'אינו כשר אלא בשעה"ד או אם כבר ניתן הגט'</w:t>
      </w:r>
      <w:r w:rsidRPr="00351B7D">
        <w:rPr>
          <w:rFonts w:asciiTheme="minorBidi" w:hAnsiTheme="minorBidi"/>
          <w:sz w:val="14"/>
          <w:szCs w:val="14"/>
          <w:rtl/>
        </w:rPr>
        <w:t xml:space="preserve"> {גם גבי שמנה מלא}</w:t>
      </w:r>
      <w:r w:rsidRPr="00351B7D">
        <w:rPr>
          <w:rFonts w:asciiTheme="minorBidi" w:hAnsiTheme="minorBidi"/>
          <w:rtl/>
        </w:rPr>
        <w:t xml:space="preserve">, </w:t>
      </w:r>
      <w:r w:rsidRPr="005A037D">
        <w:rPr>
          <w:rFonts w:asciiTheme="minorBidi" w:hAnsiTheme="minorBidi"/>
          <w:b/>
          <w:bCs/>
          <w:rtl/>
        </w:rPr>
        <w:t>ב"ש</w:t>
      </w:r>
      <w:r w:rsidRPr="00351B7D">
        <w:rPr>
          <w:rFonts w:asciiTheme="minorBidi" w:hAnsiTheme="minorBidi"/>
          <w:sz w:val="16"/>
          <w:szCs w:val="16"/>
          <w:rtl/>
        </w:rPr>
        <w:t xml:space="preserve"> (סקי"ג)</w:t>
      </w:r>
      <w:r w:rsidRPr="00351B7D">
        <w:rPr>
          <w:rFonts w:asciiTheme="minorBidi" w:hAnsiTheme="minorBidi"/>
          <w:rtl/>
        </w:rPr>
        <w:t xml:space="preserve">. </w:t>
      </w:r>
    </w:p>
    <w:p w14:paraId="6F944029" w14:textId="77777777" w:rsidR="00FA2119" w:rsidRPr="00351B7D" w:rsidRDefault="00FA2119" w:rsidP="00FA2119">
      <w:pPr>
        <w:pStyle w:val="a5"/>
        <w:rPr>
          <w:rFonts w:asciiTheme="minorBidi" w:hAnsiTheme="minorBidi"/>
          <w:rtl/>
        </w:rPr>
      </w:pPr>
      <w:r w:rsidRPr="005A037D">
        <w:rPr>
          <w:rFonts w:asciiTheme="minorBidi" w:hAnsiTheme="minorBidi"/>
          <w:b/>
          <w:bCs/>
          <w:rtl/>
        </w:rPr>
        <w:t>ובגט פשוט</w:t>
      </w:r>
      <w:r w:rsidRPr="00351B7D">
        <w:rPr>
          <w:rFonts w:asciiTheme="minorBidi" w:hAnsiTheme="minorBidi"/>
          <w:rtl/>
        </w:rPr>
        <w:t xml:space="preserve"> (סקע"ג) כ' ג"כ דמסתברא מהיות טוב אין מכשירין לתתו לכתחילה וצריך לכתוב אחר כיון דלא נהגו לכתוב בגיטין ר"ת וגמטריאות, אך אם יש קצת דוחק דאין יכולים לכתוב גט אחר נותנים אותו לכתחילה. וכ' עוד שם ויראה דכי היכא דלענין כתיבת הזמן מכשירין אם כתב י"ב במקום שנים עשר ה"ה לענין התנאי בעת מסירה אם אמר לה ה"ז גיטך אם לא באתי מכאן עד י"ב חדש דהוי תנאה שפיר מה שאמר י"ב במקום שנים עשר דלא כנראה מתשו' הר"ש הלוי א"ח סי' ה' שדבריו תמוהים</w:t>
      </w:r>
      <w:r>
        <w:rPr>
          <w:rFonts w:asciiTheme="minorBidi" w:hAnsiTheme="minorBidi" w:hint="cs"/>
          <w:rtl/>
        </w:rPr>
        <w:t xml:space="preserve">, </w:t>
      </w:r>
      <w:r w:rsidRPr="00E438FA">
        <w:rPr>
          <w:rFonts w:asciiTheme="minorBidi" w:hAnsiTheme="minorBidi" w:hint="cs"/>
          <w:b/>
          <w:bCs/>
          <w:rtl/>
        </w:rPr>
        <w:t>פת"ש</w:t>
      </w:r>
      <w:r>
        <w:rPr>
          <w:rFonts w:asciiTheme="minorBidi" w:hAnsiTheme="minorBidi" w:hint="cs"/>
          <w:rtl/>
        </w:rPr>
        <w:t xml:space="preserve"> (סק"ח)</w:t>
      </w:r>
      <w:r w:rsidRPr="00351B7D">
        <w:rPr>
          <w:rFonts w:asciiTheme="minorBidi" w:hAnsiTheme="minorBidi"/>
          <w:rtl/>
        </w:rPr>
        <w:t>.</w:t>
      </w:r>
    </w:p>
  </w:footnote>
  <w:footnote w:id="682">
    <w:p w14:paraId="256E452E"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אתריה דר' מאיר מונין מנין כלל תחילה ואחר כך פרט, כגון עשרים ואחת עשרים ושתים, ובאתריה דר' יהודה פרט תחילה, שתים ועשרים, שלש ועשרים, רש"י.</w:t>
      </w:r>
    </w:p>
  </w:footnote>
  <w:footnote w:id="683">
    <w:p w14:paraId="1260B8ED"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וכ"כ המרדכי </w:t>
      </w:r>
      <w:r w:rsidRPr="00351B7D">
        <w:rPr>
          <w:rFonts w:asciiTheme="minorBidi" w:hAnsiTheme="minorBidi"/>
          <w:sz w:val="16"/>
          <w:szCs w:val="16"/>
          <w:rtl/>
        </w:rPr>
        <w:t xml:space="preserve">(סי' תנד) </w:t>
      </w:r>
      <w:r w:rsidRPr="00351B7D">
        <w:rPr>
          <w:rFonts w:asciiTheme="minorBidi" w:hAnsiTheme="minorBidi"/>
          <w:rtl/>
        </w:rPr>
        <w:t>במניין הימים.</w:t>
      </w:r>
    </w:p>
  </w:footnote>
  <w:footnote w:id="684">
    <w:p w14:paraId="23A30CF4"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סדר גיטין</w:t>
      </w:r>
      <w:r w:rsidRPr="00351B7D">
        <w:rPr>
          <w:rFonts w:asciiTheme="minorBidi" w:hAnsiTheme="minorBidi"/>
          <w:sz w:val="16"/>
          <w:szCs w:val="16"/>
          <w:rtl/>
        </w:rPr>
        <w:t xml:space="preserve"> (סי' טז סע' ג וסי' יח) </w:t>
      </w:r>
      <w:r w:rsidRPr="00351B7D">
        <w:rPr>
          <w:rFonts w:asciiTheme="minorBidi" w:hAnsiTheme="minorBidi"/>
          <w:rtl/>
        </w:rPr>
        <w:t xml:space="preserve">מהר"י מינץ </w:t>
      </w:r>
      <w:r w:rsidRPr="00351B7D">
        <w:rPr>
          <w:rFonts w:asciiTheme="minorBidi" w:hAnsiTheme="minorBidi"/>
          <w:sz w:val="16"/>
          <w:szCs w:val="16"/>
          <w:rtl/>
        </w:rPr>
        <w:t>(סי' נג)</w:t>
      </w:r>
      <w:r w:rsidRPr="00351B7D">
        <w:rPr>
          <w:rFonts w:asciiTheme="minorBidi" w:hAnsiTheme="minorBidi"/>
          <w:rtl/>
        </w:rPr>
        <w:t xml:space="preserve"> ומהרי"ו </w:t>
      </w:r>
      <w:r w:rsidRPr="00351B7D">
        <w:rPr>
          <w:rFonts w:asciiTheme="minorBidi" w:hAnsiTheme="minorBidi"/>
          <w:sz w:val="16"/>
          <w:szCs w:val="16"/>
          <w:rtl/>
        </w:rPr>
        <w:t>(סי' עב)</w:t>
      </w:r>
    </w:p>
  </w:footnote>
  <w:footnote w:id="685">
    <w:p w14:paraId="4134B09A"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ומשמע עוד מדברי מהרי"ו (סי' עב) דמעשרים ואילך כותבין ג"כ יום ולא ימים, דרכ"מ (אות יא).</w:t>
      </w:r>
    </w:p>
  </w:footnote>
  <w:footnote w:id="686">
    <w:p w14:paraId="1D67D41F"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ה"ר פרץ</w:t>
      </w:r>
      <w:r w:rsidRPr="00351B7D">
        <w:rPr>
          <w:rFonts w:asciiTheme="minorBidi" w:hAnsiTheme="minorBidi"/>
          <w:sz w:val="16"/>
          <w:szCs w:val="16"/>
          <w:rtl/>
        </w:rPr>
        <w:t xml:space="preserve"> (הביאו הטור)</w:t>
      </w:r>
      <w:r w:rsidRPr="00351B7D">
        <w:rPr>
          <w:rFonts w:asciiTheme="minorBidi" w:hAnsiTheme="minorBidi"/>
          <w:rtl/>
        </w:rPr>
        <w:t xml:space="preserve"> מרדכי </w:t>
      </w:r>
      <w:r w:rsidRPr="00351B7D">
        <w:rPr>
          <w:rFonts w:asciiTheme="minorBidi" w:hAnsiTheme="minorBidi"/>
          <w:sz w:val="16"/>
          <w:szCs w:val="16"/>
          <w:rtl/>
        </w:rPr>
        <w:t>(סי' תנד)</w:t>
      </w:r>
      <w:r w:rsidRPr="00351B7D">
        <w:rPr>
          <w:rFonts w:asciiTheme="minorBidi" w:hAnsiTheme="minorBidi"/>
          <w:rtl/>
        </w:rPr>
        <w:t xml:space="preserve"> טור</w:t>
      </w:r>
      <w:r w:rsidRPr="006D2DDD">
        <w:rPr>
          <w:rFonts w:asciiTheme="minorBidi" w:hAnsiTheme="minorBidi"/>
          <w:rtl/>
        </w:rPr>
        <w:t xml:space="preserve"> </w:t>
      </w:r>
      <w:r w:rsidRPr="00351B7D">
        <w:rPr>
          <w:rFonts w:asciiTheme="minorBidi" w:hAnsiTheme="minorBidi"/>
          <w:rtl/>
        </w:rPr>
        <w:t xml:space="preserve">סדר גיטין </w:t>
      </w:r>
      <w:r w:rsidRPr="00351B7D">
        <w:rPr>
          <w:rFonts w:asciiTheme="minorBidi" w:hAnsiTheme="minorBidi"/>
          <w:sz w:val="16"/>
          <w:szCs w:val="16"/>
          <w:rtl/>
        </w:rPr>
        <w:t>(סי' יח)</w:t>
      </w:r>
      <w:r w:rsidRPr="00351B7D">
        <w:rPr>
          <w:rFonts w:asciiTheme="minorBidi" w:hAnsiTheme="minorBidi"/>
          <w:rtl/>
        </w:rPr>
        <w:t>.</w:t>
      </w:r>
    </w:p>
  </w:footnote>
  <w:footnote w:id="687">
    <w:p w14:paraId="33416A60"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בשנים להיפוך מימים דכותב מנין המועט בל' נקיבה ומנין מרובה בל' זכר, ב"ש (סקי"ד).</w:t>
      </w:r>
    </w:p>
  </w:footnote>
  <w:footnote w:id="688">
    <w:p w14:paraId="1DB02E5F" w14:textId="3B15B929"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משמע אפי' לא ניתן ואינו שעת הדחק, </w:t>
      </w:r>
      <w:r w:rsidRPr="00060921">
        <w:rPr>
          <w:rFonts w:asciiTheme="minorBidi" w:hAnsiTheme="minorBidi"/>
          <w:b/>
          <w:bCs/>
          <w:rtl/>
        </w:rPr>
        <w:t>ב"ש</w:t>
      </w:r>
      <w:r w:rsidRPr="00351B7D">
        <w:rPr>
          <w:rFonts w:asciiTheme="minorBidi" w:hAnsiTheme="minorBidi"/>
          <w:rtl/>
        </w:rPr>
        <w:t xml:space="preserve"> (סקט"ז). </w:t>
      </w:r>
      <w:r w:rsidR="00060921">
        <w:rPr>
          <w:rFonts w:asciiTheme="minorBidi" w:hAnsiTheme="minorBidi" w:hint="cs"/>
          <w:rtl/>
        </w:rPr>
        <w:t xml:space="preserve">אך </w:t>
      </w:r>
      <w:r w:rsidR="00060921" w:rsidRPr="00060921">
        <w:rPr>
          <w:rFonts w:asciiTheme="minorBidi" w:hAnsiTheme="minorBidi" w:hint="cs"/>
          <w:b/>
          <w:bCs/>
          <w:rtl/>
        </w:rPr>
        <w:t>ה</w:t>
      </w:r>
      <w:r w:rsidR="00060921" w:rsidRPr="00060921">
        <w:rPr>
          <w:rFonts w:asciiTheme="minorBidi" w:hAnsiTheme="minorBidi"/>
          <w:b/>
          <w:bCs/>
          <w:rtl/>
        </w:rPr>
        <w:t>ח"מ</w:t>
      </w:r>
      <w:r w:rsidR="00060921" w:rsidRPr="00351B7D">
        <w:rPr>
          <w:rFonts w:asciiTheme="minorBidi" w:hAnsiTheme="minorBidi"/>
          <w:sz w:val="16"/>
          <w:szCs w:val="16"/>
          <w:rtl/>
        </w:rPr>
        <w:t xml:space="preserve"> (סקט"ז)</w:t>
      </w:r>
      <w:r w:rsidR="00060921">
        <w:rPr>
          <w:rFonts w:asciiTheme="minorBidi" w:hAnsiTheme="minorBidi" w:hint="cs"/>
          <w:rtl/>
        </w:rPr>
        <w:t xml:space="preserve"> כתב</w:t>
      </w:r>
      <w:r w:rsidR="00060921" w:rsidRPr="00351B7D">
        <w:rPr>
          <w:rFonts w:asciiTheme="minorBidi" w:hAnsiTheme="minorBidi"/>
          <w:rtl/>
        </w:rPr>
        <w:t xml:space="preserve"> </w:t>
      </w:r>
      <w:r w:rsidR="00060921">
        <w:rPr>
          <w:rFonts w:asciiTheme="minorBidi" w:hAnsiTheme="minorBidi" w:hint="cs"/>
          <w:rtl/>
        </w:rPr>
        <w:t>ד</w:t>
      </w:r>
      <w:r w:rsidR="00060921" w:rsidRPr="00351B7D">
        <w:rPr>
          <w:rFonts w:asciiTheme="minorBidi" w:hAnsiTheme="minorBidi"/>
          <w:rtl/>
        </w:rPr>
        <w:t xml:space="preserve">יש להסתפק אם כתב </w:t>
      </w:r>
      <w:r w:rsidR="00060921">
        <w:rPr>
          <w:rFonts w:asciiTheme="minorBidi" w:hAnsiTheme="minorBidi" w:hint="cs"/>
          <w:rtl/>
        </w:rPr>
        <w:t>'</w:t>
      </w:r>
      <w:r w:rsidR="00060921" w:rsidRPr="00351B7D">
        <w:rPr>
          <w:rFonts w:asciiTheme="minorBidi" w:hAnsiTheme="minorBidi"/>
          <w:rtl/>
        </w:rPr>
        <w:t>אחת</w:t>
      </w:r>
      <w:r w:rsidR="00060921">
        <w:rPr>
          <w:rFonts w:asciiTheme="minorBidi" w:hAnsiTheme="minorBidi" w:hint="cs"/>
          <w:rtl/>
        </w:rPr>
        <w:t>'</w:t>
      </w:r>
      <w:r w:rsidR="00060921" w:rsidRPr="00351B7D">
        <w:rPr>
          <w:rFonts w:asciiTheme="minorBidi" w:hAnsiTheme="minorBidi"/>
          <w:rtl/>
        </w:rPr>
        <w:t xml:space="preserve"> במקום שראוי לכתוב </w:t>
      </w:r>
      <w:r w:rsidR="00060921">
        <w:rPr>
          <w:rFonts w:asciiTheme="minorBidi" w:hAnsiTheme="minorBidi" w:hint="cs"/>
          <w:rtl/>
        </w:rPr>
        <w:t>'</w:t>
      </w:r>
      <w:r w:rsidR="00060921" w:rsidRPr="00351B7D">
        <w:rPr>
          <w:rFonts w:asciiTheme="minorBidi" w:hAnsiTheme="minorBidi"/>
          <w:rtl/>
        </w:rPr>
        <w:t>אחד</w:t>
      </w:r>
      <w:r w:rsidR="00060921">
        <w:rPr>
          <w:rFonts w:asciiTheme="minorBidi" w:hAnsiTheme="minorBidi" w:hint="cs"/>
          <w:rtl/>
        </w:rPr>
        <w:t>'</w:t>
      </w:r>
      <w:r w:rsidR="00060921" w:rsidRPr="00351B7D">
        <w:rPr>
          <w:rFonts w:asciiTheme="minorBidi" w:hAnsiTheme="minorBidi"/>
          <w:rtl/>
        </w:rPr>
        <w:t xml:space="preserve"> או להפך אם ג"כ כשר.</w:t>
      </w:r>
    </w:p>
  </w:footnote>
  <w:footnote w:id="689">
    <w:p w14:paraId="0AEFB846" w14:textId="3FF05BE1"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הביאו </w:t>
      </w:r>
      <w:r w:rsidR="009334FF">
        <w:rPr>
          <w:rFonts w:asciiTheme="minorBidi" w:hAnsiTheme="minorBidi"/>
          <w:rtl/>
        </w:rPr>
        <w:t>ב</w:t>
      </w:r>
      <w:r w:rsidR="00DB737E">
        <w:rPr>
          <w:rFonts w:asciiTheme="minorBidi" w:hAnsiTheme="minorBidi"/>
          <w:rtl/>
        </w:rPr>
        <w:t>הגהות</w:t>
      </w:r>
      <w:r w:rsidRPr="00351B7D">
        <w:rPr>
          <w:rFonts w:asciiTheme="minorBidi" w:hAnsiTheme="minorBidi"/>
          <w:rtl/>
        </w:rPr>
        <w:t xml:space="preserve"> בסדר גיטין</w:t>
      </w:r>
      <w:r w:rsidRPr="00351B7D">
        <w:rPr>
          <w:rFonts w:asciiTheme="minorBidi" w:hAnsiTheme="minorBidi"/>
          <w:sz w:val="16"/>
          <w:szCs w:val="16"/>
          <w:rtl/>
        </w:rPr>
        <w:t xml:space="preserve"> (סי' ט"ז הגהה ג)</w:t>
      </w:r>
      <w:r w:rsidRPr="00351B7D">
        <w:rPr>
          <w:rFonts w:asciiTheme="minorBidi" w:hAnsiTheme="minorBidi"/>
          <w:rtl/>
        </w:rPr>
        <w:t>, הביאם הדרכ"מ (אות י).</w:t>
      </w:r>
    </w:p>
  </w:footnote>
  <w:footnote w:id="690">
    <w:p w14:paraId="297D0D07" w14:textId="33EFE5E4"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ופשוט דאם כתב שמונים מלא כשר וכמו בשמנה ועי' סע' ד </w:t>
      </w:r>
      <w:r w:rsidR="009334FF">
        <w:rPr>
          <w:rFonts w:asciiTheme="minorBidi" w:hAnsiTheme="minorBidi"/>
          <w:rtl/>
        </w:rPr>
        <w:t>בהג"ה</w:t>
      </w:r>
      <w:r w:rsidRPr="00351B7D">
        <w:rPr>
          <w:rFonts w:asciiTheme="minorBidi" w:hAnsiTheme="minorBidi"/>
          <w:rtl/>
        </w:rPr>
        <w:t>, וכ"כ בס' ישועות יעקב ס"ס קנ"ד, פת"ש (סק"ט).</w:t>
      </w:r>
    </w:p>
  </w:footnote>
  <w:footnote w:id="691">
    <w:p w14:paraId="3D6996D7"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 הב"י דכן דעת כל הספרים הנזכרים</w:t>
      </w:r>
      <w:r w:rsidRPr="00351B7D">
        <w:rPr>
          <w:rFonts w:asciiTheme="minorBidi" w:hAnsiTheme="minorBidi"/>
          <w:sz w:val="16"/>
          <w:szCs w:val="16"/>
          <w:rtl/>
        </w:rPr>
        <w:t xml:space="preserve"> (היינו סמ"ק מרדכי רא"ש הגה"מ ורי"ו)</w:t>
      </w:r>
      <w:r w:rsidRPr="00351B7D">
        <w:rPr>
          <w:rFonts w:asciiTheme="minorBidi" w:hAnsiTheme="minorBidi"/>
          <w:rtl/>
        </w:rPr>
        <w:t>.</w:t>
      </w:r>
    </w:p>
  </w:footnote>
  <w:footnote w:id="692">
    <w:p w14:paraId="16CC9305"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הרא"ש </w:t>
      </w:r>
      <w:r w:rsidRPr="00351B7D">
        <w:rPr>
          <w:rFonts w:asciiTheme="minorBidi" w:hAnsiTheme="minorBidi"/>
          <w:sz w:val="16"/>
          <w:szCs w:val="16"/>
          <w:rtl/>
        </w:rPr>
        <w:t xml:space="preserve">(כלל מ"ה סי' כב) </w:t>
      </w:r>
      <w:r w:rsidRPr="00351B7D">
        <w:rPr>
          <w:rFonts w:asciiTheme="minorBidi" w:hAnsiTheme="minorBidi"/>
          <w:rtl/>
        </w:rPr>
        <w:t>שנהגו בארצו לכתוב הפוך, דהיינו- 'ביום ראשון לחודש אייר שהוא יום שלשים לחדש ניסן', וכ' עוד דנראה שאין קפידא אם הזכיר תחלה חודש שעבר או חודש הבא.</w:t>
      </w:r>
    </w:p>
  </w:footnote>
  <w:footnote w:id="693">
    <w:p w14:paraId="4130E349"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ר"ת </w:t>
      </w:r>
      <w:r w:rsidRPr="00351B7D">
        <w:rPr>
          <w:rFonts w:asciiTheme="minorBidi" w:hAnsiTheme="minorBidi"/>
          <w:sz w:val="16"/>
          <w:szCs w:val="16"/>
          <w:rtl/>
        </w:rPr>
        <w:t>(תוס' נדרים ס: ד"ה פסק)</w:t>
      </w:r>
      <w:r w:rsidRPr="00351B7D">
        <w:rPr>
          <w:rFonts w:asciiTheme="minorBidi" w:hAnsiTheme="minorBidi"/>
          <w:rtl/>
        </w:rPr>
        <w:t xml:space="preserve"> רשב"א </w:t>
      </w:r>
      <w:r w:rsidRPr="00351B7D">
        <w:rPr>
          <w:rFonts w:asciiTheme="minorBidi" w:hAnsiTheme="minorBidi"/>
          <w:sz w:val="16"/>
          <w:szCs w:val="16"/>
          <w:rtl/>
        </w:rPr>
        <w:t>(נדרים סג: סוד"ה אלא, ובתשו' ח"ו סי' קנא, וכן ב- ח"ג סי' ו)</w:t>
      </w:r>
      <w:r w:rsidRPr="00351B7D">
        <w:rPr>
          <w:rFonts w:asciiTheme="minorBidi" w:hAnsiTheme="minorBidi"/>
          <w:rtl/>
        </w:rPr>
        <w:t xml:space="preserve"> ור"ן </w:t>
      </w:r>
      <w:r w:rsidRPr="00351B7D">
        <w:rPr>
          <w:rFonts w:asciiTheme="minorBidi" w:hAnsiTheme="minorBidi"/>
          <w:sz w:val="16"/>
          <w:szCs w:val="16"/>
          <w:rtl/>
        </w:rPr>
        <w:t>(נדרים ס: ד"ה ומהא)</w:t>
      </w:r>
      <w:r w:rsidRPr="00351B7D">
        <w:rPr>
          <w:rFonts w:asciiTheme="minorBidi" w:hAnsiTheme="minorBidi"/>
          <w:rtl/>
        </w:rPr>
        <w:t>.</w:t>
      </w:r>
    </w:p>
  </w:footnote>
  <w:footnote w:id="694">
    <w:p w14:paraId="0B8C3167" w14:textId="20573A70" w:rsidR="00FA2119" w:rsidRPr="00351B7D" w:rsidRDefault="00FA2119" w:rsidP="00FA2119">
      <w:pPr>
        <w:spacing w:after="0" w:line="240" w:lineRule="auto"/>
        <w:rPr>
          <w:rFonts w:asciiTheme="minorBidi" w:hAnsiTheme="minorBidi"/>
          <w:sz w:val="20"/>
          <w:szCs w:val="20"/>
          <w:rtl/>
        </w:rPr>
      </w:pPr>
      <w:r w:rsidRPr="00351B7D">
        <w:rPr>
          <w:rStyle w:val="a7"/>
          <w:rFonts w:asciiTheme="minorBidi" w:hAnsiTheme="minorBidi"/>
          <w:sz w:val="20"/>
          <w:szCs w:val="20"/>
        </w:rPr>
        <w:footnoteRef/>
      </w:r>
      <w:r w:rsidRPr="00351B7D">
        <w:rPr>
          <w:rFonts w:asciiTheme="minorBidi" w:hAnsiTheme="minorBidi"/>
          <w:sz w:val="20"/>
          <w:szCs w:val="20"/>
          <w:rtl/>
        </w:rPr>
        <w:t xml:space="preserve"> ואם עשה כן השטר מוקדם ופסול, </w:t>
      </w:r>
      <w:r w:rsidRPr="009D7F39">
        <w:rPr>
          <w:rFonts w:asciiTheme="minorBidi" w:hAnsiTheme="minorBidi"/>
          <w:b/>
          <w:bCs/>
          <w:sz w:val="20"/>
          <w:szCs w:val="20"/>
          <w:rtl/>
        </w:rPr>
        <w:t>ר"ן</w:t>
      </w:r>
      <w:r w:rsidR="009D7F39">
        <w:rPr>
          <w:rFonts w:asciiTheme="minorBidi" w:hAnsiTheme="minorBidi" w:hint="cs"/>
          <w:sz w:val="20"/>
          <w:szCs w:val="20"/>
          <w:rtl/>
        </w:rPr>
        <w:t xml:space="preserve"> (שם)</w:t>
      </w:r>
      <w:r w:rsidRPr="00351B7D">
        <w:rPr>
          <w:rFonts w:asciiTheme="minorBidi" w:hAnsiTheme="minorBidi"/>
          <w:sz w:val="20"/>
          <w:szCs w:val="20"/>
          <w:rtl/>
        </w:rPr>
        <w:t xml:space="preserve">. וזאת משום שהשטר נעשה בחודש השני ויאמרו שקודם לכן נעשה, שאין יום ראשון של חודש שני נקרא על שם החודש שעבר בלשון בני אדם </w:t>
      </w:r>
      <w:r w:rsidRPr="00351B7D">
        <w:rPr>
          <w:rFonts w:asciiTheme="minorBidi" w:hAnsiTheme="minorBidi"/>
          <w:sz w:val="16"/>
          <w:szCs w:val="16"/>
          <w:rtl/>
        </w:rPr>
        <w:t>(וכיון דבנדרים הולכין אחר לשון בני אדם ובני אדם ריש ירחא קרו ליה ושטרות דעלמא כנדרים דמו- לשון בני אדם תכריע, ועוד דאפילו תמצא לומר דמיום שני מנינן הוי ליה מאוחר והמאוחרים כשרים)</w:t>
      </w:r>
      <w:r w:rsidRPr="00351B7D">
        <w:rPr>
          <w:rFonts w:asciiTheme="minorBidi" w:hAnsiTheme="minorBidi"/>
          <w:sz w:val="20"/>
          <w:szCs w:val="20"/>
          <w:rtl/>
        </w:rPr>
        <w:t xml:space="preserve">, וביום החודש השני כותב ביום שני לחודש פלוני ומחרתו יום שלישי ואם יכתוב יום שני יפסול משום מוקדם, </w:t>
      </w:r>
      <w:r w:rsidRPr="009D7F39">
        <w:rPr>
          <w:rFonts w:asciiTheme="minorBidi" w:hAnsiTheme="minorBidi"/>
          <w:b/>
          <w:bCs/>
          <w:sz w:val="20"/>
          <w:szCs w:val="20"/>
          <w:rtl/>
        </w:rPr>
        <w:t>רשב"א</w:t>
      </w:r>
      <w:r w:rsidRPr="00351B7D">
        <w:rPr>
          <w:rFonts w:asciiTheme="minorBidi" w:hAnsiTheme="minorBidi"/>
          <w:sz w:val="20"/>
          <w:szCs w:val="20"/>
          <w:rtl/>
        </w:rPr>
        <w:t xml:space="preserve"> </w:t>
      </w:r>
      <w:r w:rsidRPr="00351B7D">
        <w:rPr>
          <w:rFonts w:asciiTheme="minorBidi" w:hAnsiTheme="minorBidi"/>
          <w:sz w:val="16"/>
          <w:szCs w:val="16"/>
          <w:rtl/>
        </w:rPr>
        <w:t>(ח"ו סי' קנא)</w:t>
      </w:r>
      <w:r w:rsidRPr="00351B7D">
        <w:rPr>
          <w:rFonts w:asciiTheme="minorBidi" w:hAnsiTheme="minorBidi"/>
          <w:sz w:val="20"/>
          <w:szCs w:val="20"/>
          <w:rtl/>
        </w:rPr>
        <w:t xml:space="preserve">. </w:t>
      </w:r>
    </w:p>
  </w:footnote>
  <w:footnote w:id="695">
    <w:p w14:paraId="1C4FF3A5" w14:textId="36CFAEF9"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שאני מסתפק מתוך ההלכה </w:t>
      </w:r>
      <w:r w:rsidRPr="00351B7D">
        <w:rPr>
          <w:rFonts w:asciiTheme="minorBidi" w:hAnsiTheme="minorBidi"/>
          <w:sz w:val="16"/>
          <w:szCs w:val="16"/>
          <w:rtl/>
        </w:rPr>
        <w:t>{גבי גיטין}</w:t>
      </w:r>
      <w:r w:rsidRPr="00351B7D">
        <w:rPr>
          <w:rFonts w:asciiTheme="minorBidi" w:hAnsiTheme="minorBidi"/>
          <w:rtl/>
        </w:rPr>
        <w:t xml:space="preserve"> שהמאוחרים פסולין כמו המוקדמים, רשב"א </w:t>
      </w:r>
      <w:r w:rsidRPr="00351B7D">
        <w:rPr>
          <w:rFonts w:asciiTheme="minorBidi" w:hAnsiTheme="minorBidi"/>
          <w:sz w:val="16"/>
          <w:szCs w:val="16"/>
          <w:rtl/>
        </w:rPr>
        <w:t>(ח"ו סי' קנא)</w:t>
      </w:r>
      <w:r w:rsidRPr="00351B7D">
        <w:rPr>
          <w:rFonts w:asciiTheme="minorBidi" w:hAnsiTheme="minorBidi"/>
          <w:rtl/>
        </w:rPr>
        <w:t>.</w:t>
      </w:r>
      <w:r w:rsidRPr="00351B7D">
        <w:rPr>
          <w:rFonts w:asciiTheme="minorBidi" w:hAnsiTheme="minorBidi"/>
          <w:sz w:val="16"/>
          <w:szCs w:val="16"/>
          <w:rtl/>
        </w:rPr>
        <w:t xml:space="preserve"> (וגם הרמב"ם פוסל גט מאוחר)</w:t>
      </w:r>
      <w:r w:rsidR="009D7F39">
        <w:rPr>
          <w:rFonts w:asciiTheme="minorBidi" w:hAnsiTheme="minorBidi" w:hint="cs"/>
          <w:sz w:val="16"/>
          <w:szCs w:val="16"/>
          <w:rtl/>
        </w:rPr>
        <w:t>.</w:t>
      </w:r>
      <w:r w:rsidRPr="00351B7D">
        <w:rPr>
          <w:rFonts w:asciiTheme="minorBidi" w:hAnsiTheme="minorBidi"/>
          <w:rtl/>
        </w:rPr>
        <w:t xml:space="preserve"> </w:t>
      </w:r>
    </w:p>
  </w:footnote>
  <w:footnote w:id="696">
    <w:p w14:paraId="4242AF66"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כך</w:t>
      </w:r>
      <w:r w:rsidRPr="00351B7D">
        <w:rPr>
          <w:rFonts w:asciiTheme="minorBidi" w:hAnsiTheme="minorBidi"/>
          <w:rtl/>
        </w:rPr>
        <w:t xml:space="preserve"> ש</w:t>
      </w:r>
      <w:r>
        <w:rPr>
          <w:rFonts w:asciiTheme="minorBidi" w:hAnsiTheme="minorBidi" w:hint="cs"/>
          <w:rtl/>
        </w:rPr>
        <w:t>ל</w:t>
      </w:r>
      <w:r w:rsidRPr="00351B7D">
        <w:rPr>
          <w:rFonts w:asciiTheme="minorBidi" w:hAnsiTheme="minorBidi"/>
          <w:rtl/>
        </w:rPr>
        <w:t>מסקנ</w:t>
      </w:r>
      <w:r>
        <w:rPr>
          <w:rFonts w:asciiTheme="minorBidi" w:hAnsiTheme="minorBidi" w:hint="cs"/>
          <w:rtl/>
        </w:rPr>
        <w:t>ה מסכימים</w:t>
      </w:r>
      <w:r w:rsidRPr="00351B7D">
        <w:rPr>
          <w:rFonts w:asciiTheme="minorBidi" w:hAnsiTheme="minorBidi"/>
          <w:rtl/>
        </w:rPr>
        <w:t xml:space="preserve"> ר"ת רשב"א ור"ן </w:t>
      </w:r>
      <w:r>
        <w:rPr>
          <w:rFonts w:asciiTheme="minorBidi" w:hAnsiTheme="minorBidi" w:hint="cs"/>
          <w:rtl/>
        </w:rPr>
        <w:t>ל</w:t>
      </w:r>
      <w:r w:rsidRPr="00351B7D">
        <w:rPr>
          <w:rFonts w:asciiTheme="minorBidi" w:hAnsiTheme="minorBidi"/>
          <w:rtl/>
        </w:rPr>
        <w:t>רבנו פרץ וסיעתו</w:t>
      </w:r>
      <w:r>
        <w:rPr>
          <w:rFonts w:asciiTheme="minorBidi" w:hAnsiTheme="minorBidi" w:hint="cs"/>
          <w:rtl/>
        </w:rPr>
        <w:t xml:space="preserve"> </w:t>
      </w:r>
      <w:r w:rsidRPr="00351B7D">
        <w:rPr>
          <w:rFonts w:asciiTheme="minorBidi" w:hAnsiTheme="minorBidi"/>
          <w:sz w:val="16"/>
          <w:szCs w:val="16"/>
          <w:rtl/>
        </w:rPr>
        <w:t>(ונ"ל שמסכימין גם בכתיבת שאר הימים באותו חודש, דהיינו שמונים מהיום השני בגיטין, להפך מש"כ הר"ן גבי שטרות שמונים מהיום הראשון)</w:t>
      </w:r>
      <w:r w:rsidRPr="00351B7D">
        <w:rPr>
          <w:rFonts w:asciiTheme="minorBidi" w:hAnsiTheme="minorBidi"/>
          <w:rtl/>
        </w:rPr>
        <w:t xml:space="preserve">. </w:t>
      </w:r>
    </w:p>
  </w:footnote>
  <w:footnote w:id="697">
    <w:p w14:paraId="71CE7D35" w14:textId="604546DB"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שכתבו שבכתובות ובשטרות כותבין ביום ראש חודש ואין צריך לכתוב ביום שלשים לחודש שעבר שהוא ר"ח פלוני ויש מחמירין לכתוב בגיטין יום שלשים לחודש פלוני שהוא ר"ח פלוני, וכיון שאינו אלא חומרא בעלמא נראה דלא מיפסל אי לא כתביה, ב"י. (ואולי אפ"ל שכן היא דעת הרשב"א</w:t>
      </w:r>
      <w:r w:rsidRPr="00351B7D">
        <w:rPr>
          <w:rFonts w:asciiTheme="minorBidi" w:hAnsiTheme="minorBidi"/>
          <w:sz w:val="16"/>
          <w:szCs w:val="16"/>
          <w:rtl/>
        </w:rPr>
        <w:t xml:space="preserve"> (ח"ג סי' ו, הביאו הב"י)</w:t>
      </w:r>
      <w:r w:rsidRPr="00351B7D">
        <w:rPr>
          <w:rFonts w:asciiTheme="minorBidi" w:hAnsiTheme="minorBidi"/>
          <w:rtl/>
        </w:rPr>
        <w:t xml:space="preserve"> שכ' </w:t>
      </w:r>
      <w:r w:rsidR="000A0F5A">
        <w:rPr>
          <w:rFonts w:asciiTheme="minorBidi" w:hAnsiTheme="minorBidi"/>
          <w:rtl/>
        </w:rPr>
        <w:t>וז"ל:</w:t>
      </w:r>
      <w:r w:rsidRPr="00351B7D">
        <w:rPr>
          <w:rFonts w:asciiTheme="minorBidi" w:hAnsiTheme="minorBidi"/>
          <w:rtl/>
        </w:rPr>
        <w:t xml:space="preserve"> "ולפיכך לענין גיטין שאני מסתפק מתוך ההלכה שהמאוחרים פסולים כמו המוקדמים הנהגתי לכתוב כך וכך ליום החודש הראשון של חודש פלוני". משמע דנוהג זה לשופרא דמילתא הוא)</w:t>
      </w:r>
    </w:p>
  </w:footnote>
  <w:footnote w:id="698">
    <w:p w14:paraId="19A65C1B"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ויראה דיכתוב 'לירח ניסן' וכדלעיל ס"ד, גט פשוט </w:t>
      </w:r>
      <w:r w:rsidRPr="00351B7D">
        <w:rPr>
          <w:rFonts w:asciiTheme="minorBidi" w:hAnsiTheme="minorBidi"/>
          <w:sz w:val="16"/>
          <w:szCs w:val="16"/>
          <w:rtl/>
        </w:rPr>
        <w:t>(סקכ"ט)</w:t>
      </w:r>
      <w:r w:rsidRPr="00351B7D">
        <w:rPr>
          <w:rFonts w:asciiTheme="minorBidi" w:hAnsiTheme="minorBidi"/>
          <w:rtl/>
        </w:rPr>
        <w:t xml:space="preserve">. וכ"כ הח"מ </w:t>
      </w:r>
      <w:r w:rsidRPr="00351B7D">
        <w:rPr>
          <w:rFonts w:asciiTheme="minorBidi" w:hAnsiTheme="minorBidi"/>
          <w:sz w:val="16"/>
          <w:szCs w:val="16"/>
          <w:rtl/>
        </w:rPr>
        <w:t>(סקי"ז)</w:t>
      </w:r>
    </w:p>
  </w:footnote>
  <w:footnote w:id="699">
    <w:p w14:paraId="1E284968"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גם כאן, לאו דוקא 'ראש חדש אייר', אלא 'ראש ירח אייר', וכמ"ש בסע' ד', </w:t>
      </w:r>
      <w:r w:rsidRPr="00E81E77">
        <w:rPr>
          <w:rFonts w:asciiTheme="minorBidi" w:hAnsiTheme="minorBidi"/>
          <w:b/>
          <w:bCs/>
          <w:rtl/>
        </w:rPr>
        <w:t>ח"מ</w:t>
      </w:r>
      <w:r w:rsidRPr="00351B7D">
        <w:rPr>
          <w:rFonts w:asciiTheme="minorBidi" w:hAnsiTheme="minorBidi"/>
          <w:rtl/>
        </w:rPr>
        <w:t xml:space="preserve"> </w:t>
      </w:r>
      <w:r w:rsidRPr="00351B7D">
        <w:rPr>
          <w:rFonts w:asciiTheme="minorBidi" w:hAnsiTheme="minorBidi"/>
          <w:sz w:val="16"/>
          <w:szCs w:val="16"/>
          <w:rtl/>
        </w:rPr>
        <w:t>(סקי"ז)</w:t>
      </w:r>
      <w:r w:rsidRPr="00351B7D">
        <w:rPr>
          <w:rFonts w:asciiTheme="minorBidi" w:hAnsiTheme="minorBidi"/>
          <w:rtl/>
        </w:rPr>
        <w:t xml:space="preserve">. אך </w:t>
      </w:r>
      <w:r w:rsidRPr="00E81E77">
        <w:rPr>
          <w:rFonts w:asciiTheme="minorBidi" w:hAnsiTheme="minorBidi"/>
          <w:b/>
          <w:bCs/>
          <w:rtl/>
        </w:rPr>
        <w:t>הפת"ש</w:t>
      </w:r>
      <w:r w:rsidRPr="00351B7D">
        <w:rPr>
          <w:rFonts w:asciiTheme="minorBidi" w:hAnsiTheme="minorBidi"/>
          <w:rtl/>
        </w:rPr>
        <w:t xml:space="preserve"> </w:t>
      </w:r>
      <w:r w:rsidRPr="00351B7D">
        <w:rPr>
          <w:rFonts w:asciiTheme="minorBidi" w:hAnsiTheme="minorBidi"/>
          <w:sz w:val="16"/>
          <w:szCs w:val="16"/>
          <w:rtl/>
        </w:rPr>
        <w:t xml:space="preserve">(סקי"א) </w:t>
      </w:r>
      <w:r w:rsidRPr="00351B7D">
        <w:rPr>
          <w:rFonts w:asciiTheme="minorBidi" w:hAnsiTheme="minorBidi"/>
          <w:rtl/>
        </w:rPr>
        <w:t>כ' דמשמע קצת דלא ישנה לכתוב 'ראש ירח' כיון שנקרא 'ראש חדש' בלשון העולם.</w:t>
      </w:r>
    </w:p>
  </w:footnote>
  <w:footnote w:id="700">
    <w:p w14:paraId="0A94ED35" w14:textId="77777777" w:rsidR="00FA2119" w:rsidRPr="00E81E77" w:rsidRDefault="00FA2119" w:rsidP="00FA2119">
      <w:pPr>
        <w:pStyle w:val="a5"/>
        <w:rPr>
          <w:rFonts w:asciiTheme="minorBidi" w:hAnsiTheme="minorBidi"/>
          <w:color w:val="000000" w:themeColor="text1"/>
        </w:rPr>
      </w:pPr>
      <w:r w:rsidRPr="00351B7D">
        <w:rPr>
          <w:rStyle w:val="a7"/>
          <w:rFonts w:asciiTheme="minorBidi" w:hAnsiTheme="minorBidi"/>
        </w:rPr>
        <w:footnoteRef/>
      </w:r>
      <w:r w:rsidRPr="00351B7D">
        <w:rPr>
          <w:rFonts w:asciiTheme="minorBidi" w:hAnsiTheme="minorBidi"/>
          <w:rtl/>
        </w:rPr>
        <w:t xml:space="preserve"> ואע"ג דבסעי' ד' פסק דכותבים 'ביום אחד' לירח, כ' ב"ח אם ר"ח רק יום א' אז כותבים 'ביום אחד' שהוא מבורר טפי, וכשר"ח שני ימים לא יכתוב 'ביום אחד' דהוה משמע יום הראשון של ר"ח אלא יכתוב 'באחד' לחודש שלא בא להזכיר אלא מנין הימים </w:t>
      </w:r>
      <w:r w:rsidRPr="00E81E77">
        <w:rPr>
          <w:rFonts w:asciiTheme="minorBidi" w:hAnsiTheme="minorBidi"/>
          <w:color w:val="000000" w:themeColor="text1"/>
          <w:rtl/>
        </w:rPr>
        <w:t>שבחדש, והרמ"א ע"כ לא ס"ל חילוק זה דאל"כ למה לא כותבין ביום השני דהא ליכא ספק כלל ולכ"ע לא כותבים יום, ב"ש</w:t>
      </w:r>
      <w:r w:rsidRPr="00E81E77">
        <w:rPr>
          <w:rFonts w:asciiTheme="minorBidi" w:hAnsiTheme="minorBidi"/>
          <w:color w:val="000000" w:themeColor="text1"/>
          <w:sz w:val="16"/>
          <w:szCs w:val="16"/>
          <w:rtl/>
        </w:rPr>
        <w:t xml:space="preserve"> (סקי"ח)</w:t>
      </w:r>
      <w:r w:rsidRPr="00E81E77">
        <w:rPr>
          <w:rFonts w:asciiTheme="minorBidi" w:hAnsiTheme="minorBidi"/>
          <w:color w:val="000000" w:themeColor="text1"/>
          <w:rtl/>
        </w:rPr>
        <w:t>.</w:t>
      </w:r>
    </w:p>
  </w:footnote>
  <w:footnote w:id="701">
    <w:p w14:paraId="0E5CB63D"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Pr="00351B7D">
        <w:rPr>
          <w:rFonts w:asciiTheme="minorBidi" w:hAnsiTheme="minorBidi"/>
          <w:u w:val="single"/>
          <w:rtl/>
        </w:rPr>
        <w:t>ונחלקו האחרונים בטעם מנהג זה:</w:t>
      </w:r>
    </w:p>
    <w:p w14:paraId="15C80D8A" w14:textId="77777777" w:rsidR="00FA2119" w:rsidRPr="00460C88" w:rsidRDefault="00FA2119" w:rsidP="00FA2119">
      <w:pPr>
        <w:pStyle w:val="a5"/>
        <w:numPr>
          <w:ilvl w:val="0"/>
          <w:numId w:val="13"/>
        </w:numPr>
        <w:rPr>
          <w:rFonts w:asciiTheme="minorBidi" w:hAnsiTheme="minorBidi"/>
          <w:color w:val="000000" w:themeColor="text1"/>
        </w:rPr>
      </w:pPr>
      <w:r w:rsidRPr="00460C88">
        <w:rPr>
          <w:rFonts w:asciiTheme="minorBidi" w:hAnsiTheme="minorBidi"/>
          <w:color w:val="000000" w:themeColor="text1"/>
          <w:rtl/>
        </w:rPr>
        <w:t xml:space="preserve">ח"מ </w:t>
      </w:r>
      <w:r w:rsidRPr="00460C88">
        <w:rPr>
          <w:rFonts w:asciiTheme="minorBidi" w:hAnsiTheme="minorBidi"/>
          <w:color w:val="000000" w:themeColor="text1"/>
          <w:sz w:val="16"/>
          <w:szCs w:val="16"/>
          <w:rtl/>
        </w:rPr>
        <w:t>(סק"כ)</w:t>
      </w:r>
      <w:r w:rsidRPr="00460C88">
        <w:rPr>
          <w:rFonts w:asciiTheme="minorBidi" w:hAnsiTheme="minorBidi"/>
          <w:color w:val="000000" w:themeColor="text1"/>
          <w:rtl/>
        </w:rPr>
        <w:t xml:space="preserve">- דיש פלוגתא בין הפוסקים כמו שהעתיק הב"י דעת הרשב"א והר"ן והרא"ש. </w:t>
      </w:r>
      <w:r w:rsidRPr="00460C88">
        <w:rPr>
          <w:rFonts w:asciiTheme="minorBidi" w:hAnsiTheme="minorBidi"/>
          <w:color w:val="000000" w:themeColor="text1"/>
          <w:sz w:val="16"/>
          <w:szCs w:val="16"/>
          <w:rtl/>
        </w:rPr>
        <w:t>(וצל"ע, שהרי אין פלוגתא בניהם כשכותב כמו שצריך (ביום שלשים לחדש ניסן שהוא ראש חדש אייר), וגם הב"ש הקשה עליו)</w:t>
      </w:r>
    </w:p>
    <w:p w14:paraId="36BC36A2" w14:textId="77777777" w:rsidR="00FA2119" w:rsidRPr="00351B7D" w:rsidRDefault="00FA2119" w:rsidP="00FA2119">
      <w:pPr>
        <w:pStyle w:val="a5"/>
        <w:numPr>
          <w:ilvl w:val="0"/>
          <w:numId w:val="13"/>
        </w:numPr>
        <w:rPr>
          <w:rFonts w:asciiTheme="minorBidi" w:hAnsiTheme="minorBidi"/>
        </w:rPr>
      </w:pPr>
      <w:r w:rsidRPr="00351B7D">
        <w:rPr>
          <w:rFonts w:asciiTheme="minorBidi" w:hAnsiTheme="minorBidi"/>
          <w:rtl/>
        </w:rPr>
        <w:t>ב"ש</w:t>
      </w:r>
      <w:r w:rsidRPr="00351B7D">
        <w:rPr>
          <w:rFonts w:asciiTheme="minorBidi" w:hAnsiTheme="minorBidi"/>
          <w:sz w:val="16"/>
          <w:szCs w:val="16"/>
          <w:rtl/>
        </w:rPr>
        <w:t xml:space="preserve"> (סקי"ח)</w:t>
      </w:r>
      <w:r w:rsidRPr="00351B7D">
        <w:rPr>
          <w:rFonts w:asciiTheme="minorBidi" w:hAnsiTheme="minorBidi"/>
          <w:rtl/>
        </w:rPr>
        <w:t xml:space="preserve">- משום דצריך לכתוב שהוא יום ל' לחדש העבר ושמא יאמרו מוקדם הוא.  </w:t>
      </w:r>
    </w:p>
    <w:p w14:paraId="6D88B3F9" w14:textId="77777777" w:rsidR="00FA2119" w:rsidRPr="00351B7D" w:rsidRDefault="00FA2119" w:rsidP="00FA2119">
      <w:pPr>
        <w:pStyle w:val="a5"/>
        <w:numPr>
          <w:ilvl w:val="0"/>
          <w:numId w:val="13"/>
        </w:numPr>
        <w:rPr>
          <w:rFonts w:asciiTheme="minorBidi" w:hAnsiTheme="minorBidi"/>
        </w:rPr>
      </w:pPr>
      <w:r w:rsidRPr="00351B7D">
        <w:rPr>
          <w:rFonts w:asciiTheme="minorBidi" w:hAnsiTheme="minorBidi"/>
          <w:rtl/>
        </w:rPr>
        <w:t>ט"ז</w:t>
      </w:r>
      <w:r w:rsidRPr="00351B7D">
        <w:rPr>
          <w:rFonts w:asciiTheme="minorBidi" w:hAnsiTheme="minorBidi"/>
          <w:sz w:val="16"/>
          <w:szCs w:val="16"/>
          <w:rtl/>
        </w:rPr>
        <w:t xml:space="preserve"> (סק"ח)</w:t>
      </w:r>
      <w:r w:rsidRPr="00351B7D">
        <w:rPr>
          <w:rFonts w:asciiTheme="minorBidi" w:hAnsiTheme="minorBidi"/>
          <w:rtl/>
        </w:rPr>
        <w:t>- חששא בעלמא כמו בסע' ד, לכן אם יש צורך קצת כותבים ונותנים</w:t>
      </w:r>
      <w:r w:rsidRPr="00184384">
        <w:rPr>
          <w:rFonts w:asciiTheme="minorBidi" w:hAnsiTheme="minorBidi" w:hint="cs"/>
          <w:rtl/>
        </w:rPr>
        <w:t>... ו</w:t>
      </w:r>
      <w:r w:rsidRPr="00184384">
        <w:rPr>
          <w:rFonts w:asciiTheme="minorBidi" w:hAnsiTheme="minorBidi"/>
          <w:rtl/>
        </w:rPr>
        <w:t>איני יודע למה חזר לכתוב דבר זה אחר שכתבו בסע' ד</w:t>
      </w:r>
      <w:r>
        <w:rPr>
          <w:rFonts w:asciiTheme="minorBidi" w:hAnsiTheme="minorBidi" w:hint="cs"/>
          <w:rtl/>
        </w:rPr>
        <w:t>.</w:t>
      </w:r>
      <w:r w:rsidRPr="00351B7D">
        <w:rPr>
          <w:rFonts w:asciiTheme="minorBidi" w:hAnsiTheme="minorBidi"/>
          <w:rtl/>
        </w:rPr>
        <w:t xml:space="preserve"> </w:t>
      </w:r>
    </w:p>
  </w:footnote>
  <w:footnote w:id="702">
    <w:p w14:paraId="306D5078" w14:textId="29357DD6" w:rsidR="00FA2119" w:rsidRDefault="00FA2119" w:rsidP="00FA2119">
      <w:pPr>
        <w:pStyle w:val="a5"/>
      </w:pPr>
      <w:r>
        <w:rPr>
          <w:rStyle w:val="a7"/>
        </w:rPr>
        <w:footnoteRef/>
      </w:r>
      <w:r>
        <w:rPr>
          <w:rtl/>
        </w:rPr>
        <w:t xml:space="preserve"> </w:t>
      </w:r>
      <w:r>
        <w:rPr>
          <w:rFonts w:hint="cs"/>
          <w:rtl/>
        </w:rPr>
        <w:t xml:space="preserve">סימן </w:t>
      </w:r>
      <w:r w:rsidR="00A42812">
        <w:rPr>
          <w:rtl/>
        </w:rPr>
        <w:t>-</w:t>
      </w:r>
      <w:r>
        <w:rPr>
          <w:rFonts w:hint="cs"/>
          <w:rtl/>
        </w:rPr>
        <w:t xml:space="preserve"> סתם גילה.</w:t>
      </w:r>
    </w:p>
  </w:footnote>
  <w:footnote w:id="703">
    <w:p w14:paraId="6CB4CC8E"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הילכך מי שכתב</w:t>
      </w:r>
      <w:r w:rsidRPr="00351B7D">
        <w:rPr>
          <w:rFonts w:asciiTheme="minorBidi" w:hAnsiTheme="minorBidi"/>
          <w:sz w:val="16"/>
          <w:szCs w:val="16"/>
          <w:rtl/>
        </w:rPr>
        <w:t xml:space="preserve"> {באדר שני}</w:t>
      </w:r>
      <w:r w:rsidRPr="00351B7D">
        <w:rPr>
          <w:rFonts w:asciiTheme="minorBidi" w:hAnsiTheme="minorBidi"/>
          <w:rtl/>
        </w:rPr>
        <w:t xml:space="preserve"> אדר סתם השטר מוקדם ופסול דסתם אדר ראשון משמע, ר"ן.</w:t>
      </w:r>
    </w:p>
  </w:footnote>
  <w:footnote w:id="704">
    <w:p w14:paraId="6F184FEE"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 הדרכ"מ </w:t>
      </w:r>
      <w:r w:rsidRPr="00351B7D">
        <w:rPr>
          <w:rFonts w:asciiTheme="minorBidi" w:hAnsiTheme="minorBidi"/>
          <w:sz w:val="16"/>
          <w:szCs w:val="16"/>
          <w:rtl/>
        </w:rPr>
        <w:t xml:space="preserve">(אות יב) </w:t>
      </w:r>
      <w:r w:rsidRPr="00351B7D">
        <w:rPr>
          <w:rFonts w:asciiTheme="minorBidi" w:hAnsiTheme="minorBidi"/>
          <w:rtl/>
        </w:rPr>
        <w:t xml:space="preserve">דכן נראה מדברי השו"ע בחו"מ סי' מג </w:t>
      </w:r>
      <w:r w:rsidRPr="00351B7D">
        <w:rPr>
          <w:rFonts w:asciiTheme="minorBidi" w:hAnsiTheme="minorBidi"/>
          <w:sz w:val="16"/>
          <w:szCs w:val="16"/>
          <w:rtl/>
        </w:rPr>
        <w:t xml:space="preserve">(סכ"ח) </w:t>
      </w:r>
      <w:r w:rsidRPr="00351B7D">
        <w:rPr>
          <w:rFonts w:asciiTheme="minorBidi" w:hAnsiTheme="minorBidi"/>
          <w:rtl/>
        </w:rPr>
        <w:t>לענין שטרות דסתם אדר הוא הראשון, וכ"כ באו"ח סי' תכח בהדיא.</w:t>
      </w:r>
    </w:p>
  </w:footnote>
  <w:footnote w:id="705">
    <w:p w14:paraId="6304FA15" w14:textId="77777777" w:rsidR="00460C88" w:rsidRPr="00351B7D" w:rsidRDefault="00460C88" w:rsidP="00460C88">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דברים אלו לא כ' הרמב"ם בפירוש, אלא משמע מדבריו שפסק כר' מאיר, ואם פסק כר' מאיר אז כך צריך לכתוב.</w:t>
      </w:r>
    </w:p>
  </w:footnote>
  <w:footnote w:id="706">
    <w:p w14:paraId="507F2B44"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ה"ר פרץ</w:t>
      </w:r>
      <w:r w:rsidRPr="00351B7D">
        <w:rPr>
          <w:rFonts w:asciiTheme="minorBidi" w:hAnsiTheme="minorBidi"/>
          <w:sz w:val="16"/>
          <w:szCs w:val="16"/>
          <w:rtl/>
        </w:rPr>
        <w:t xml:space="preserve"> (הביאו הטור)</w:t>
      </w:r>
      <w:r w:rsidRPr="00351B7D">
        <w:rPr>
          <w:rFonts w:asciiTheme="minorBidi" w:hAnsiTheme="minorBidi"/>
          <w:rtl/>
        </w:rPr>
        <w:t xml:space="preserve"> מרדכי </w:t>
      </w:r>
      <w:r w:rsidRPr="00351B7D">
        <w:rPr>
          <w:rFonts w:asciiTheme="minorBidi" w:hAnsiTheme="minorBidi"/>
          <w:sz w:val="16"/>
          <w:szCs w:val="16"/>
          <w:rtl/>
        </w:rPr>
        <w:t xml:space="preserve">(גיטין סי' תנד) </w:t>
      </w:r>
      <w:r w:rsidRPr="00351B7D">
        <w:rPr>
          <w:rFonts w:asciiTheme="minorBidi" w:hAnsiTheme="minorBidi"/>
          <w:rtl/>
        </w:rPr>
        <w:t xml:space="preserve">סדר גיטין </w:t>
      </w:r>
      <w:r w:rsidRPr="00351B7D">
        <w:rPr>
          <w:rFonts w:asciiTheme="minorBidi" w:hAnsiTheme="minorBidi"/>
          <w:sz w:val="16"/>
          <w:szCs w:val="16"/>
          <w:rtl/>
        </w:rPr>
        <w:t>(סי' יז סע' א)</w:t>
      </w:r>
      <w:r w:rsidRPr="00351B7D">
        <w:rPr>
          <w:rFonts w:asciiTheme="minorBidi" w:hAnsiTheme="minorBidi"/>
          <w:rtl/>
        </w:rPr>
        <w:t xml:space="preserve"> וטור.</w:t>
      </w:r>
    </w:p>
  </w:footnote>
  <w:footnote w:id="707">
    <w:p w14:paraId="39ABAC77"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אע"ג דרוב הגט בלשון תרגום הוא, מ"מ זמן כותבים בל' עברי שני ימים ולא תרי יומין, ול' עברי היא ל' קרא, ע"פ ב"ש (סקכ"א).</w:t>
      </w:r>
    </w:p>
  </w:footnote>
  <w:footnote w:id="708">
    <w:p w14:paraId="0A042621"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ונ"ל שאין זה סותר למה שכתב מהרי"ק בשורש קס"ב שימחא באל"ף כלשון התרגום, שכל אחד נדרש לפי מקומו שימחא כתוב אצל לשון תרגום</w:t>
      </w:r>
      <w:r>
        <w:rPr>
          <w:rFonts w:asciiTheme="minorBidi" w:hAnsiTheme="minorBidi" w:hint="cs"/>
          <w:rtl/>
        </w:rPr>
        <w:t xml:space="preserve"> </w:t>
      </w:r>
      <w:r w:rsidRPr="00351B7D">
        <w:rPr>
          <w:rFonts w:asciiTheme="minorBidi" w:hAnsiTheme="minorBidi"/>
          <w:rtl/>
        </w:rPr>
        <w:t>- ואינש לא ימחא בידיכי, אבל כסלו כתוב אצל לשון עברי בשני ימים לירח כסלו, ב"י.</w:t>
      </w:r>
    </w:p>
  </w:footnote>
  <w:footnote w:id="709">
    <w:p w14:paraId="605E73B7" w14:textId="2302CC51" w:rsidR="00460C88" w:rsidRDefault="00460C88">
      <w:pPr>
        <w:pStyle w:val="a5"/>
      </w:pPr>
      <w:r>
        <w:rPr>
          <w:rStyle w:val="a7"/>
        </w:rPr>
        <w:footnoteRef/>
      </w:r>
      <w:r>
        <w:rPr>
          <w:rtl/>
        </w:rPr>
        <w:t xml:space="preserve"> </w:t>
      </w:r>
      <w:r w:rsidRPr="00351B7D">
        <w:rPr>
          <w:rFonts w:asciiTheme="minorBidi" w:hAnsiTheme="minorBidi"/>
          <w:rtl/>
        </w:rPr>
        <w:t>וההוא עובדא דלעיל כבר עברו כמה ימים אחר הנתינה ויצא שם מגורשת על האשה</w:t>
      </w:r>
      <w:r>
        <w:rPr>
          <w:rFonts w:asciiTheme="minorBidi" w:hAnsiTheme="minorBidi" w:hint="cs"/>
          <w:rtl/>
        </w:rPr>
        <w:t>,</w:t>
      </w:r>
      <w:r w:rsidRPr="00351B7D">
        <w:rPr>
          <w:rFonts w:asciiTheme="minorBidi" w:hAnsiTheme="minorBidi"/>
          <w:rtl/>
        </w:rPr>
        <w:t xml:space="preserve"> ואי הוי בעי למיהדר וליתן גט אחר הוי זילותא לבית דין</w:t>
      </w:r>
      <w:r>
        <w:rPr>
          <w:rFonts w:asciiTheme="minorBidi" w:hAnsiTheme="minorBidi" w:hint="cs"/>
          <w:rtl/>
        </w:rPr>
        <w:t>,</w:t>
      </w:r>
      <w:r w:rsidRPr="00351B7D">
        <w:rPr>
          <w:rFonts w:asciiTheme="minorBidi" w:hAnsiTheme="minorBidi"/>
          <w:rtl/>
        </w:rPr>
        <w:t xml:space="preserve"> לכך הכשיר בדיעבד</w:t>
      </w:r>
      <w:r>
        <w:rPr>
          <w:rFonts w:asciiTheme="minorBidi" w:hAnsiTheme="minorBidi" w:hint="cs"/>
          <w:rtl/>
        </w:rPr>
        <w:t>,</w:t>
      </w:r>
      <w:r w:rsidRPr="00351B7D">
        <w:rPr>
          <w:rFonts w:asciiTheme="minorBidi" w:hAnsiTheme="minorBidi"/>
          <w:rtl/>
        </w:rPr>
        <w:t xml:space="preserve"> כן נראה</w:t>
      </w:r>
      <w:r>
        <w:rPr>
          <w:rFonts w:hint="cs"/>
          <w:rtl/>
        </w:rPr>
        <w:t>, תרוה"ד (שם).</w:t>
      </w:r>
    </w:p>
  </w:footnote>
  <w:footnote w:id="710">
    <w:p w14:paraId="5C376BBF"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בהערה לסדר הגט </w:t>
      </w:r>
      <w:r w:rsidRPr="00351B7D">
        <w:rPr>
          <w:rFonts w:asciiTheme="minorBidi" w:hAnsiTheme="minorBidi"/>
          <w:sz w:val="16"/>
          <w:szCs w:val="16"/>
          <w:rtl/>
        </w:rPr>
        <w:t xml:space="preserve">(סי' י"ז) </w:t>
      </w:r>
      <w:r w:rsidRPr="00351B7D">
        <w:rPr>
          <w:rFonts w:asciiTheme="minorBidi" w:hAnsiTheme="minorBidi"/>
          <w:rtl/>
        </w:rPr>
        <w:t>הקשה דזה סותר למש"כ המהרי"ל גופיה בשו"ת סי' קפ"ט דמסקנת רבותינו שבאושטרייך דאייר בשני יודי"ן ושכן נכתב בגיטין דידיה ע"פ מורו</w:t>
      </w:r>
      <w:r w:rsidRPr="00351B7D">
        <w:rPr>
          <w:rFonts w:asciiTheme="minorBidi" w:hAnsiTheme="minorBidi"/>
          <w:sz w:val="16"/>
          <w:szCs w:val="16"/>
          <w:rtl/>
        </w:rPr>
        <w:t xml:space="preserve"> (הגוה"ע אות נט)</w:t>
      </w:r>
      <w:r w:rsidRPr="00351B7D">
        <w:rPr>
          <w:rFonts w:asciiTheme="minorBidi" w:hAnsiTheme="minorBidi"/>
          <w:rtl/>
        </w:rPr>
        <w:t xml:space="preserve">. וכ' </w:t>
      </w:r>
      <w:r w:rsidRPr="00184384">
        <w:rPr>
          <w:rFonts w:asciiTheme="minorBidi" w:hAnsiTheme="minorBidi"/>
          <w:b/>
          <w:bCs/>
          <w:rtl/>
        </w:rPr>
        <w:t>הב"ש</w:t>
      </w:r>
      <w:r w:rsidRPr="00351B7D">
        <w:rPr>
          <w:rFonts w:asciiTheme="minorBidi" w:hAnsiTheme="minorBidi"/>
          <w:rtl/>
        </w:rPr>
        <w:t xml:space="preserve"> (סקכ"א) דהשו"ע השמיט דעתו בזה משום דס"ל דאין ליתן ב' גיטין אלא מחמת הדחק, ואז כשר לכתוב בשני יודין ועדיף טפי, דהא אין כותבים שני גיטין אלא בדוחק.</w:t>
      </w:r>
    </w:p>
  </w:footnote>
  <w:footnote w:id="711">
    <w:p w14:paraId="552D5B39"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בשו"ת מהרי"ל</w:t>
      </w:r>
      <w:r w:rsidRPr="00351B7D">
        <w:rPr>
          <w:rFonts w:asciiTheme="minorBidi" w:hAnsiTheme="minorBidi"/>
          <w:sz w:val="16"/>
          <w:szCs w:val="16"/>
          <w:rtl/>
        </w:rPr>
        <w:t xml:space="preserve"> (סי' קפ"ט) </w:t>
      </w:r>
      <w:r w:rsidRPr="00351B7D">
        <w:rPr>
          <w:rFonts w:asciiTheme="minorBidi" w:hAnsiTheme="minorBidi"/>
          <w:rtl/>
        </w:rPr>
        <w:t>איתא שמה"ר הלל היה נמנע מלתת גט באייר, ונראה שהוא המכונה 'יש נמנעין'</w:t>
      </w:r>
      <w:r w:rsidRPr="00351B7D">
        <w:rPr>
          <w:rFonts w:asciiTheme="minorBidi" w:hAnsiTheme="minorBidi"/>
          <w:sz w:val="16"/>
          <w:szCs w:val="16"/>
          <w:rtl/>
        </w:rPr>
        <w:t xml:space="preserve"> (הגוה"ע שם)</w:t>
      </w:r>
      <w:r w:rsidRPr="00351B7D">
        <w:rPr>
          <w:rFonts w:asciiTheme="minorBidi" w:hAnsiTheme="minorBidi"/>
          <w:rtl/>
        </w:rPr>
        <w:t>.</w:t>
      </w:r>
    </w:p>
  </w:footnote>
  <w:footnote w:id="712">
    <w:p w14:paraId="48117592" w14:textId="332D9F14"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בסדר הגט של ר"י מינץ בסי' נ"א כ' 'אדר הראשון' בה"א הידיעה, כמו 'אדר השני', וכן הוא </w:t>
      </w:r>
      <w:r w:rsidR="009334FF">
        <w:rPr>
          <w:rFonts w:asciiTheme="minorBidi" w:hAnsiTheme="minorBidi"/>
          <w:rtl/>
        </w:rPr>
        <w:t>בהג"ה</w:t>
      </w:r>
      <w:r w:rsidRPr="00351B7D">
        <w:rPr>
          <w:rFonts w:asciiTheme="minorBidi" w:hAnsiTheme="minorBidi"/>
          <w:rtl/>
        </w:rPr>
        <w:t>ת מנהגים, ח"מ (סקכ"א). וכן הוא בטור בשם רבנו פרץ ובמרדכי.</w:t>
      </w:r>
    </w:p>
  </w:footnote>
  <w:footnote w:id="713">
    <w:p w14:paraId="60D8300A"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כן ס"ל לרוב הפוסקים</w:t>
      </w:r>
      <w:r w:rsidRPr="00351B7D">
        <w:rPr>
          <w:rFonts w:asciiTheme="minorBidi" w:hAnsiTheme="minorBidi"/>
          <w:sz w:val="16"/>
          <w:szCs w:val="16"/>
          <w:rtl/>
        </w:rPr>
        <w:t xml:space="preserve"> (סה"ת ראב"ד אגודה בשם ר"י מרדכי רא"ש ר"ן רי"ו, ואף בדברי הרמב"ם יש לומר כן לפי חילוף הגירסאות, ח"מ [סקכ"ב])</w:t>
      </w:r>
      <w:r w:rsidRPr="00351B7D">
        <w:rPr>
          <w:rFonts w:asciiTheme="minorBidi" w:hAnsiTheme="minorBidi"/>
          <w:rtl/>
        </w:rPr>
        <w:t xml:space="preserve"> וכ"כ באו"ח סי' תכז בהג"ה, ובחו"מ סי' מג סע' כ"ח, ואין חילוק בין אם ידע שהוא מעובר ובין אם לא ידע, וביו"ד סי' ר"כ סע' ח' הביא המחבר ד' הרמב"ם דמחלק בין אם ידע</w:t>
      </w:r>
      <w:r w:rsidRPr="00351B7D">
        <w:rPr>
          <w:rFonts w:asciiTheme="minorBidi" w:hAnsiTheme="minorBidi"/>
          <w:sz w:val="16"/>
          <w:szCs w:val="16"/>
          <w:rtl/>
        </w:rPr>
        <w:t xml:space="preserve"> {כשנדר}</w:t>
      </w:r>
      <w:r w:rsidRPr="00351B7D">
        <w:rPr>
          <w:rFonts w:asciiTheme="minorBidi" w:hAnsiTheme="minorBidi"/>
          <w:rtl/>
        </w:rPr>
        <w:t xml:space="preserve"> ובין אם לא ידע, ועיין בש"ך שם </w:t>
      </w:r>
      <w:r w:rsidRPr="00351B7D">
        <w:rPr>
          <w:rFonts w:asciiTheme="minorBidi" w:hAnsiTheme="minorBidi"/>
          <w:sz w:val="16"/>
          <w:szCs w:val="16"/>
          <w:rtl/>
        </w:rPr>
        <w:t>(סקי"ז)</w:t>
      </w:r>
      <w:r w:rsidRPr="00351B7D">
        <w:rPr>
          <w:rFonts w:asciiTheme="minorBidi" w:hAnsiTheme="minorBidi"/>
          <w:rtl/>
        </w:rPr>
        <w:t xml:space="preserve"> דהקשה למה לא חשש כן לד' הרמב"ם, וב"ח פסק ג"כ אם ידע שהוא מעובר ספק גט הוא ואין להקל</w:t>
      </w:r>
      <w:r w:rsidRPr="00351B7D">
        <w:rPr>
          <w:rFonts w:asciiTheme="minorBidi" w:hAnsiTheme="minorBidi"/>
          <w:sz w:val="16"/>
          <w:szCs w:val="16"/>
          <w:rtl/>
        </w:rPr>
        <w:t xml:space="preserve"> {ופסול אפי' בשעה"ד}</w:t>
      </w:r>
      <w:r w:rsidRPr="00351B7D">
        <w:rPr>
          <w:rFonts w:asciiTheme="minorBidi" w:hAnsiTheme="minorBidi"/>
          <w:rtl/>
        </w:rPr>
        <w:t xml:space="preserve">, ולולי דבריהם </w:t>
      </w:r>
      <w:r w:rsidRPr="00351B7D">
        <w:rPr>
          <w:rFonts w:asciiTheme="minorBidi" w:hAnsiTheme="minorBidi"/>
          <w:sz w:val="16"/>
          <w:szCs w:val="16"/>
          <w:rtl/>
        </w:rPr>
        <w:t>{של ב"ח וש"ך}</w:t>
      </w:r>
      <w:r w:rsidRPr="00351B7D">
        <w:rPr>
          <w:rFonts w:asciiTheme="minorBidi" w:hAnsiTheme="minorBidi"/>
          <w:rtl/>
        </w:rPr>
        <w:t xml:space="preserve"> היה נראה לומר דקיי"ל כרוב הפוסקים </w:t>
      </w:r>
      <w:r w:rsidRPr="00351B7D">
        <w:rPr>
          <w:rFonts w:asciiTheme="minorBidi" w:hAnsiTheme="minorBidi"/>
          <w:sz w:val="16"/>
          <w:szCs w:val="16"/>
          <w:rtl/>
        </w:rPr>
        <w:t>(דס"ל סתם אדר הוא אדר ראשון ואין חילוק בין אם ידע ובין אם לא ידע, אלא בנדרים שהוא איסור דאו' חשש לדעת הרמב"ם, אבל כאן ליכא איסור דאו' דהא אף להרמב"ם אינו אלא מאוחר, וגם גט מאוחר כשר לרוב הפוסקים לכן לא חשש כאן להביא ד' הרמב"ם)</w:t>
      </w:r>
      <w:r w:rsidRPr="00351B7D">
        <w:rPr>
          <w:rFonts w:asciiTheme="minorBidi" w:hAnsiTheme="minorBidi"/>
          <w:rtl/>
        </w:rPr>
        <w:t xml:space="preserve">, וכ"כ בט"ז </w:t>
      </w:r>
      <w:r w:rsidRPr="00351B7D">
        <w:rPr>
          <w:rFonts w:asciiTheme="minorBidi" w:hAnsiTheme="minorBidi"/>
          <w:sz w:val="14"/>
          <w:szCs w:val="14"/>
          <w:rtl/>
        </w:rPr>
        <w:t>(סק"ט)</w:t>
      </w:r>
      <w:r w:rsidRPr="00351B7D">
        <w:rPr>
          <w:rFonts w:asciiTheme="minorBidi" w:hAnsiTheme="minorBidi"/>
          <w:rtl/>
        </w:rPr>
        <w:t xml:space="preserve">, ב"ש </w:t>
      </w:r>
      <w:r w:rsidRPr="00351B7D">
        <w:rPr>
          <w:rFonts w:asciiTheme="minorBidi" w:hAnsiTheme="minorBidi"/>
          <w:sz w:val="14"/>
          <w:szCs w:val="14"/>
          <w:rtl/>
        </w:rPr>
        <w:t>(סקי"ט)</w:t>
      </w:r>
      <w:r w:rsidRPr="00351B7D">
        <w:rPr>
          <w:rFonts w:asciiTheme="minorBidi" w:hAnsiTheme="minorBidi"/>
          <w:rtl/>
        </w:rPr>
        <w:t>.</w:t>
      </w:r>
    </w:p>
  </w:footnote>
  <w:footnote w:id="714">
    <w:p w14:paraId="60B7CCD8"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דכן רוב הפעמים בתורה, דרכ"מ (אות יב) מצא כן בתיקון ישן.</w:t>
      </w:r>
    </w:p>
  </w:footnote>
  <w:footnote w:id="715">
    <w:p w14:paraId="063A52D0"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בס' תורת גיטין </w:t>
      </w:r>
      <w:r w:rsidRPr="00351B7D">
        <w:rPr>
          <w:rFonts w:asciiTheme="minorBidi" w:hAnsiTheme="minorBidi"/>
          <w:sz w:val="16"/>
          <w:szCs w:val="16"/>
          <w:rtl/>
        </w:rPr>
        <w:t xml:space="preserve">(ביאורים סק"ד, הביאו הפת"ש סקי"ג) </w:t>
      </w:r>
      <w:r w:rsidRPr="00351B7D">
        <w:rPr>
          <w:rFonts w:asciiTheme="minorBidi" w:hAnsiTheme="minorBidi"/>
          <w:rtl/>
        </w:rPr>
        <w:t>כ'- קשה לי דמאי שנא מהא דמבואר בב"ש סק"ל דאם נחסר שי"ן של ששי או רי"ש של רביעי דכשר, וה"נ ודאי דלא אפשר לבא לידי טעות, ואפשר שפסלוהו כדי שלא ילמדו מגט זה לכתוב תמיד שלא כדין וכן משמע בתרוה"ד (סי' רל"ג).</w:t>
      </w:r>
    </w:p>
  </w:footnote>
  <w:footnote w:id="716">
    <w:p w14:paraId="0687AEF6"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וחד תיבה, ב"ש </w:t>
      </w:r>
      <w:r w:rsidRPr="00351B7D">
        <w:rPr>
          <w:rFonts w:asciiTheme="minorBidi" w:hAnsiTheme="minorBidi"/>
          <w:sz w:val="16"/>
          <w:szCs w:val="16"/>
          <w:rtl/>
        </w:rPr>
        <w:t>(סקכ"א)</w:t>
      </w:r>
      <w:r w:rsidRPr="00351B7D">
        <w:rPr>
          <w:rFonts w:asciiTheme="minorBidi" w:hAnsiTheme="minorBidi"/>
          <w:rtl/>
        </w:rPr>
        <w:t xml:space="preserve">. ואם במקום מרחשון כ' חשון כשר בדיעבד, ואם פסק שם מרחשון מר תיבה אחת וחשון תיבה אחרת צ"ע אם יש להכשיר, ואת"ל כשר, אם כתבו בשני שיטין יש להסתפק אם יהיה כשר, גט פשוט </w:t>
      </w:r>
      <w:r w:rsidRPr="00351B7D">
        <w:rPr>
          <w:rFonts w:asciiTheme="minorBidi" w:hAnsiTheme="minorBidi"/>
          <w:sz w:val="16"/>
          <w:szCs w:val="16"/>
          <w:rtl/>
        </w:rPr>
        <w:t>(סקל"ה, הביאו הפת"ש סקי"ב)</w:t>
      </w:r>
      <w:r w:rsidRPr="00351B7D">
        <w:rPr>
          <w:rFonts w:asciiTheme="minorBidi" w:hAnsiTheme="minorBidi"/>
          <w:rtl/>
        </w:rPr>
        <w:t>.</w:t>
      </w:r>
    </w:p>
  </w:footnote>
  <w:footnote w:id="717">
    <w:p w14:paraId="1E4FCC17"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בתרוה"ד כ' דע"פ התרגום מלא הוא, רק דלית לן למיזל בתר התרגום דנוסח הזמן בגט אנו כותבין בלשון עברי. ומשמע דבדיעבד כשר אם כתב מלא דהא מקצתו בלשון תרגום כשר כמבואר בתחילה הסי', וגם כבר פסק לעיל אם כ' שלשה או שמנה מלא כשר, ח"מ (סקכ"ה). וכ' הב"ש (סקכ"א) דה"ה דיש להכשיר כולם </w:t>
      </w:r>
      <w:r w:rsidRPr="00351B7D">
        <w:rPr>
          <w:rFonts w:asciiTheme="minorBidi" w:hAnsiTheme="minorBidi"/>
          <w:sz w:val="16"/>
          <w:szCs w:val="16"/>
          <w:rtl/>
        </w:rPr>
        <w:t>(אם חיסר את מלא או כתב מלא במקום שהיה צ"ל חסר)</w:t>
      </w:r>
      <w:r w:rsidRPr="00351B7D">
        <w:rPr>
          <w:rFonts w:asciiTheme="minorBidi" w:hAnsiTheme="minorBidi"/>
          <w:rtl/>
        </w:rPr>
        <w:t>.</w:t>
      </w:r>
    </w:p>
  </w:footnote>
  <w:footnote w:id="718">
    <w:p w14:paraId="76555516" w14:textId="77777777" w:rsidR="00FA2119" w:rsidRDefault="00FA2119" w:rsidP="00FA2119">
      <w:pPr>
        <w:pStyle w:val="a5"/>
      </w:pPr>
      <w:r>
        <w:rPr>
          <w:rStyle w:val="a7"/>
        </w:rPr>
        <w:footnoteRef/>
      </w:r>
      <w:r>
        <w:rPr>
          <w:rtl/>
        </w:rPr>
        <w:t xml:space="preserve"> </w:t>
      </w:r>
      <w:r>
        <w:rPr>
          <w:rFonts w:cs="Arial" w:hint="cs"/>
          <w:rtl/>
        </w:rPr>
        <w:t>ונוסחי ההלכות בזה מתחלפות, ש</w:t>
      </w:r>
      <w:r>
        <w:rPr>
          <w:rFonts w:cs="Arial"/>
          <w:rtl/>
        </w:rPr>
        <w:t>בקצת</w:t>
      </w:r>
      <w:r>
        <w:rPr>
          <w:rFonts w:cs="Arial" w:hint="cs"/>
          <w:rtl/>
        </w:rPr>
        <w:t>ן</w:t>
      </w:r>
      <w:r>
        <w:rPr>
          <w:rFonts w:cs="Arial"/>
          <w:rtl/>
        </w:rPr>
        <w:t xml:space="preserve"> כתוב </w:t>
      </w:r>
      <w:r>
        <w:rPr>
          <w:rFonts w:cs="Arial" w:hint="cs"/>
          <w:rtl/>
        </w:rPr>
        <w:t>'</w:t>
      </w:r>
      <w:r w:rsidRPr="00581798">
        <w:rPr>
          <w:rFonts w:cs="Arial"/>
          <w:b/>
          <w:bCs/>
          <w:rtl/>
        </w:rPr>
        <w:t>איך</w:t>
      </w:r>
      <w:r>
        <w:rPr>
          <w:rFonts w:cs="Arial"/>
          <w:rtl/>
        </w:rPr>
        <w:t xml:space="preserve"> אנא פלוני בר פלוני דממתא פלוני וכל שום אחרן וחניכא דאית לי ולאבהתי ולאתרי </w:t>
      </w:r>
      <w:r w:rsidRPr="00581798">
        <w:rPr>
          <w:rFonts w:cs="Arial"/>
          <w:b/>
          <w:bCs/>
          <w:rtl/>
        </w:rPr>
        <w:t>ולאתריהון דאבהתי</w:t>
      </w:r>
      <w:r w:rsidRPr="00581798">
        <w:rPr>
          <w:rFonts w:cs="Arial" w:hint="cs"/>
          <w:b/>
          <w:bCs/>
          <w:rtl/>
        </w:rPr>
        <w:t>'</w:t>
      </w:r>
      <w:r>
        <w:rPr>
          <w:rFonts w:cs="Arial" w:hint="cs"/>
          <w:rtl/>
        </w:rPr>
        <w:t>.</w:t>
      </w:r>
      <w:r>
        <w:rPr>
          <w:rFonts w:cs="Arial"/>
          <w:rtl/>
        </w:rPr>
        <w:t xml:space="preserve"> וכן כתוב בנוסח הגט שכתב הרמב"ם בפ</w:t>
      </w:r>
      <w:r>
        <w:rPr>
          <w:rFonts w:cs="Arial" w:hint="cs"/>
          <w:rtl/>
        </w:rPr>
        <w:t>"</w:t>
      </w:r>
      <w:r>
        <w:rPr>
          <w:rFonts w:cs="Arial"/>
          <w:rtl/>
        </w:rPr>
        <w:t>ד (הי"ב)</w:t>
      </w:r>
      <w:r>
        <w:rPr>
          <w:rFonts w:cs="Arial" w:hint="cs"/>
          <w:rtl/>
        </w:rPr>
        <w:t>.</w:t>
      </w:r>
      <w:r>
        <w:rPr>
          <w:rFonts w:cs="Arial"/>
          <w:rtl/>
        </w:rPr>
        <w:t xml:space="preserve"> אלמא ס"ל דצריך למיכתב </w:t>
      </w:r>
      <w:r>
        <w:rPr>
          <w:rFonts w:cs="Arial" w:hint="cs"/>
          <w:rtl/>
        </w:rPr>
        <w:t>'</w:t>
      </w:r>
      <w:r>
        <w:rPr>
          <w:rFonts w:cs="Arial"/>
          <w:rtl/>
        </w:rPr>
        <w:t>וכל שום</w:t>
      </w:r>
      <w:r>
        <w:rPr>
          <w:rFonts w:cs="Arial" w:hint="cs"/>
          <w:rtl/>
        </w:rPr>
        <w:t>'</w:t>
      </w:r>
      <w:r>
        <w:rPr>
          <w:rFonts w:cs="Arial"/>
          <w:rtl/>
        </w:rPr>
        <w:t xml:space="preserve"> בשמא דאבוה כשם שצריך בשמו</w:t>
      </w:r>
      <w:r>
        <w:rPr>
          <w:rFonts w:cs="Arial" w:hint="cs"/>
          <w:rtl/>
        </w:rPr>
        <w:t>.</w:t>
      </w:r>
      <w:r>
        <w:rPr>
          <w:rFonts w:cs="Arial"/>
          <w:rtl/>
        </w:rPr>
        <w:t xml:space="preserve"> [וכן בשם עירו ושם עירה ושם עיר אבותם צריך למכתב וכל שום]</w:t>
      </w:r>
      <w:r>
        <w:rPr>
          <w:rFonts w:cs="Arial" w:hint="cs"/>
          <w:rtl/>
        </w:rPr>
        <w:t>.</w:t>
      </w:r>
      <w:r>
        <w:rPr>
          <w:rFonts w:cs="Arial"/>
          <w:rtl/>
        </w:rPr>
        <w:t xml:space="preserve"> ולפיכך היה הוא מיהודה ואביו מגליל צריך לכתוב אנא פלוני דמיהודה בר פלוני דמגליל</w:t>
      </w:r>
      <w:r>
        <w:rPr>
          <w:rFonts w:cs="Arial" w:hint="cs"/>
          <w:rtl/>
        </w:rPr>
        <w:t>.</w:t>
      </w:r>
      <w:r>
        <w:rPr>
          <w:rFonts w:cs="Arial"/>
          <w:rtl/>
        </w:rPr>
        <w:t xml:space="preserve"> אבל הרמב"ן </w:t>
      </w:r>
      <w:r>
        <w:rPr>
          <w:rFonts w:cs="Arial" w:hint="cs"/>
          <w:rtl/>
        </w:rPr>
        <w:t xml:space="preserve">(פה: ד"ה וראיתי) </w:t>
      </w:r>
      <w:r>
        <w:rPr>
          <w:rFonts w:cs="Arial"/>
          <w:rtl/>
        </w:rPr>
        <w:t xml:space="preserve">העיד שראה נוסחא ישנה של הרי"ף מוגהת מכתב ידו ואין כתוב בה אלא </w:t>
      </w:r>
      <w:r>
        <w:rPr>
          <w:rFonts w:cs="Arial" w:hint="cs"/>
          <w:rtl/>
        </w:rPr>
        <w:t>'</w:t>
      </w:r>
      <w:r>
        <w:rPr>
          <w:rFonts w:cs="Arial"/>
          <w:rtl/>
        </w:rPr>
        <w:t>אנא פלוני בר פלוני וכל שום דאית לי דממתא פלוני</w:t>
      </w:r>
      <w:r>
        <w:rPr>
          <w:rFonts w:cs="Arial" w:hint="cs"/>
          <w:rtl/>
        </w:rPr>
        <w:t>',</w:t>
      </w:r>
      <w:r>
        <w:rPr>
          <w:rFonts w:cs="Arial"/>
          <w:rtl/>
        </w:rPr>
        <w:t xml:space="preserve"> וכן בשם שלה</w:t>
      </w:r>
      <w:r>
        <w:rPr>
          <w:rFonts w:cs="Arial" w:hint="cs"/>
          <w:rtl/>
        </w:rPr>
        <w:t>, ר"ן (מה: ד"ה והרי"ף, הביאו הב"י).</w:t>
      </w:r>
      <w:r>
        <w:rPr>
          <w:rFonts w:cs="Arial"/>
          <w:rtl/>
        </w:rPr>
        <w:t xml:space="preserve"> ונוסחת הרי"ף שבידינו הוא כנוסחא שהעיד עליה הרמב"ן</w:t>
      </w:r>
      <w:r>
        <w:rPr>
          <w:rFonts w:cs="Arial" w:hint="cs"/>
          <w:rtl/>
        </w:rPr>
        <w:t>, ב"י.</w:t>
      </w:r>
    </w:p>
  </w:footnote>
  <w:footnote w:id="719">
    <w:p w14:paraId="42AE18D0" w14:textId="77777777" w:rsidR="00FA2119" w:rsidRDefault="00FA2119" w:rsidP="00FA2119">
      <w:pPr>
        <w:pStyle w:val="a5"/>
        <w:rPr>
          <w:rtl/>
        </w:rPr>
      </w:pPr>
      <w:r>
        <w:rPr>
          <w:rStyle w:val="a7"/>
        </w:rPr>
        <w:footnoteRef/>
      </w:r>
      <w:r>
        <w:rPr>
          <w:rtl/>
        </w:rPr>
        <w:t xml:space="preserve"> </w:t>
      </w:r>
      <w:r>
        <w:rPr>
          <w:rFonts w:cs="Arial"/>
          <w:rtl/>
        </w:rPr>
        <w:t>דברי טעם הם</w:t>
      </w:r>
      <w:r>
        <w:rPr>
          <w:rFonts w:cs="Arial" w:hint="cs"/>
          <w:rtl/>
        </w:rPr>
        <w:t>.</w:t>
      </w:r>
      <w:r>
        <w:rPr>
          <w:rFonts w:cs="Arial"/>
          <w:rtl/>
        </w:rPr>
        <w:t xml:space="preserve"> ותמהני על מאי דמשמע בגמרא שהיו כותבין </w:t>
      </w:r>
      <w:r>
        <w:rPr>
          <w:rFonts w:cs="Arial" w:hint="cs"/>
          <w:rtl/>
        </w:rPr>
        <w:t>'</w:t>
      </w:r>
      <w:r>
        <w:rPr>
          <w:rFonts w:cs="Arial"/>
          <w:rtl/>
        </w:rPr>
        <w:t>איך</w:t>
      </w:r>
      <w:r>
        <w:rPr>
          <w:rFonts w:cs="Arial" w:hint="cs"/>
          <w:rtl/>
        </w:rPr>
        <w:t>',</w:t>
      </w:r>
      <w:r>
        <w:rPr>
          <w:rFonts w:cs="Arial"/>
          <w:rtl/>
        </w:rPr>
        <w:t xml:space="preserve"> דגרסינן בהמגרש (פה:) גבי הא דאיבעיא לן אי בעינן ודין תא שמע דאתקין רבא בגיטין איך פלוני בר פלוני פטר ותריך</w:t>
      </w:r>
      <w:r>
        <w:rPr>
          <w:rFonts w:hint="cs"/>
          <w:rtl/>
        </w:rPr>
        <w:t>, ב"י.</w:t>
      </w:r>
    </w:p>
  </w:footnote>
  <w:footnote w:id="720">
    <w:p w14:paraId="2BFACC17" w14:textId="3C099778" w:rsidR="00FA2119" w:rsidRDefault="00FA2119" w:rsidP="00FA2119">
      <w:pPr>
        <w:pStyle w:val="a5"/>
      </w:pPr>
      <w:r>
        <w:rPr>
          <w:rStyle w:val="a7"/>
        </w:rPr>
        <w:footnoteRef/>
      </w:r>
      <w:r>
        <w:rPr>
          <w:rtl/>
        </w:rPr>
        <w:t xml:space="preserve"> </w:t>
      </w:r>
      <w:r>
        <w:rPr>
          <w:rFonts w:cs="Arial" w:hint="cs"/>
          <w:rtl/>
        </w:rPr>
        <w:t>הב"י כתב שב</w:t>
      </w:r>
      <w:r>
        <w:rPr>
          <w:rFonts w:cs="Arial"/>
          <w:rtl/>
        </w:rPr>
        <w:t xml:space="preserve">נוסח הגט שכתב הרא"ש </w:t>
      </w:r>
      <w:r>
        <w:rPr>
          <w:rFonts w:cs="Arial" w:hint="cs"/>
          <w:rtl/>
        </w:rPr>
        <w:t>(</w:t>
      </w:r>
      <w:r>
        <w:rPr>
          <w:rFonts w:cs="Arial"/>
          <w:rtl/>
        </w:rPr>
        <w:t>בפסקים (בסוף מס' גיטין) ובתשובות (כלל מה סכ"ט)</w:t>
      </w:r>
      <w:r>
        <w:rPr>
          <w:rFonts w:cs="Arial" w:hint="cs"/>
          <w:rtl/>
        </w:rPr>
        <w:t>)</w:t>
      </w:r>
      <w:r>
        <w:rPr>
          <w:rFonts w:cs="Arial"/>
          <w:rtl/>
        </w:rPr>
        <w:t xml:space="preserve"> אין כתוב בו </w:t>
      </w:r>
      <w:r>
        <w:rPr>
          <w:rFonts w:cs="Arial" w:hint="cs"/>
          <w:rtl/>
        </w:rPr>
        <w:t>'</w:t>
      </w:r>
      <w:r>
        <w:rPr>
          <w:rFonts w:cs="Arial"/>
          <w:rtl/>
        </w:rPr>
        <w:t>איך</w:t>
      </w:r>
      <w:r>
        <w:rPr>
          <w:rFonts w:cs="Arial" w:hint="cs"/>
          <w:rtl/>
        </w:rPr>
        <w:t>',</w:t>
      </w:r>
      <w:r>
        <w:rPr>
          <w:rFonts w:cs="Arial"/>
          <w:rtl/>
        </w:rPr>
        <w:t xml:space="preserve"> וכתוב בו </w:t>
      </w:r>
      <w:r>
        <w:rPr>
          <w:rFonts w:cs="Arial" w:hint="cs"/>
          <w:rtl/>
        </w:rPr>
        <w:t>'</w:t>
      </w:r>
      <w:r>
        <w:rPr>
          <w:rFonts w:cs="Arial"/>
          <w:rtl/>
        </w:rPr>
        <w:t>ולאתריהון דאבהתיכי</w:t>
      </w:r>
      <w:r>
        <w:rPr>
          <w:rFonts w:cs="Arial" w:hint="cs"/>
          <w:rtl/>
        </w:rPr>
        <w:t>'.</w:t>
      </w:r>
      <w:r>
        <w:rPr>
          <w:rFonts w:cs="Arial"/>
          <w:rtl/>
        </w:rPr>
        <w:t xml:space="preserve"> </w:t>
      </w:r>
      <w:r>
        <w:rPr>
          <w:rFonts w:cs="Arial" w:hint="cs"/>
          <w:sz w:val="16"/>
          <w:szCs w:val="16"/>
          <w:rtl/>
        </w:rPr>
        <w:t>(</w:t>
      </w:r>
      <w:r w:rsidRPr="00581798">
        <w:rPr>
          <w:rFonts w:cs="Arial" w:hint="cs"/>
          <w:sz w:val="16"/>
          <w:szCs w:val="16"/>
          <w:rtl/>
        </w:rPr>
        <w:t xml:space="preserve">ולכן כתב </w:t>
      </w:r>
      <w:r w:rsidR="000A0F5A">
        <w:rPr>
          <w:rFonts w:cs="Arial" w:hint="cs"/>
          <w:sz w:val="16"/>
          <w:szCs w:val="16"/>
          <w:rtl/>
        </w:rPr>
        <w:t>וז</w:t>
      </w:r>
      <w:r w:rsidR="000A0F5A">
        <w:rPr>
          <w:rFonts w:cs="Arial"/>
          <w:sz w:val="16"/>
          <w:szCs w:val="16"/>
          <w:rtl/>
        </w:rPr>
        <w:t>"</w:t>
      </w:r>
      <w:r w:rsidR="000A0F5A">
        <w:rPr>
          <w:rFonts w:cs="Arial" w:hint="cs"/>
          <w:sz w:val="16"/>
          <w:szCs w:val="16"/>
          <w:rtl/>
        </w:rPr>
        <w:t>ל:</w:t>
      </w:r>
      <w:r w:rsidRPr="00581798">
        <w:rPr>
          <w:rFonts w:cs="Arial" w:hint="cs"/>
          <w:sz w:val="16"/>
          <w:szCs w:val="16"/>
          <w:rtl/>
        </w:rPr>
        <w:t xml:space="preserve"> </w:t>
      </w:r>
      <w:r w:rsidRPr="00581798">
        <w:rPr>
          <w:rFonts w:cs="Arial"/>
          <w:sz w:val="16"/>
          <w:szCs w:val="16"/>
          <w:rtl/>
        </w:rPr>
        <w:t>ונראה לי הטעם שבנוסח גט שבזמנו היו כותבין ולאתריהון דאבהתיכי</w:t>
      </w:r>
      <w:r w:rsidRPr="00581798">
        <w:rPr>
          <w:rFonts w:cs="Arial" w:hint="cs"/>
          <w:sz w:val="16"/>
          <w:szCs w:val="16"/>
          <w:rtl/>
        </w:rPr>
        <w:t>,</w:t>
      </w:r>
      <w:r w:rsidRPr="00581798">
        <w:rPr>
          <w:rFonts w:cs="Arial"/>
          <w:sz w:val="16"/>
          <w:szCs w:val="16"/>
          <w:rtl/>
        </w:rPr>
        <w:t xml:space="preserve"> וכדמשמע בכלל מ"ה (סכ"א) ששאלו לו על גט שאין כתוב בו ולאתריהון דאבהתיכי אם יפסל בכך</w:t>
      </w:r>
      <w:r w:rsidRPr="00581798">
        <w:rPr>
          <w:rFonts w:cs="Arial" w:hint="cs"/>
          <w:sz w:val="16"/>
          <w:szCs w:val="16"/>
          <w:rtl/>
        </w:rPr>
        <w:t>,</w:t>
      </w:r>
      <w:r w:rsidRPr="00581798">
        <w:rPr>
          <w:rFonts w:cs="Arial"/>
          <w:sz w:val="16"/>
          <w:szCs w:val="16"/>
          <w:rtl/>
        </w:rPr>
        <w:t xml:space="preserve"> ולפיכך תמה על מה נהגו לכתבו</w:t>
      </w:r>
      <w:r w:rsidRPr="00581798">
        <w:rPr>
          <w:rFonts w:cs="Arial" w:hint="cs"/>
          <w:sz w:val="16"/>
          <w:szCs w:val="16"/>
          <w:rtl/>
        </w:rPr>
        <w:t>,</w:t>
      </w:r>
      <w:r w:rsidRPr="00581798">
        <w:rPr>
          <w:rFonts w:cs="Arial"/>
          <w:sz w:val="16"/>
          <w:szCs w:val="16"/>
          <w:rtl/>
        </w:rPr>
        <w:t xml:space="preserve"> ומכל מקום לא רצה למחקו מהטופס כיון שנהגו לכתבו</w:t>
      </w:r>
      <w:r w:rsidRPr="00581798">
        <w:rPr>
          <w:rFonts w:cs="Arial" w:hint="cs"/>
          <w:sz w:val="16"/>
          <w:szCs w:val="16"/>
          <w:rtl/>
        </w:rPr>
        <w:t>.</w:t>
      </w:r>
      <w:r w:rsidRPr="00581798">
        <w:rPr>
          <w:rFonts w:cs="Arial"/>
          <w:sz w:val="16"/>
          <w:szCs w:val="16"/>
          <w:rtl/>
        </w:rPr>
        <w:t xml:space="preserve"> אבל </w:t>
      </w:r>
      <w:r w:rsidRPr="00581798">
        <w:rPr>
          <w:rFonts w:cs="Arial" w:hint="cs"/>
          <w:sz w:val="16"/>
          <w:szCs w:val="16"/>
          <w:rtl/>
        </w:rPr>
        <w:t>'</w:t>
      </w:r>
      <w:r w:rsidRPr="00581798">
        <w:rPr>
          <w:rFonts w:cs="Arial"/>
          <w:sz w:val="16"/>
          <w:szCs w:val="16"/>
          <w:rtl/>
        </w:rPr>
        <w:t>איך</w:t>
      </w:r>
      <w:r w:rsidRPr="00581798">
        <w:rPr>
          <w:rFonts w:cs="Arial" w:hint="cs"/>
          <w:sz w:val="16"/>
          <w:szCs w:val="16"/>
          <w:rtl/>
        </w:rPr>
        <w:t>'</w:t>
      </w:r>
      <w:r w:rsidRPr="00581798">
        <w:rPr>
          <w:rFonts w:cs="Arial"/>
          <w:sz w:val="16"/>
          <w:szCs w:val="16"/>
          <w:rtl/>
        </w:rPr>
        <w:t xml:space="preserve"> לא נהגו בזמנו לכתבו</w:t>
      </w:r>
      <w:r w:rsidRPr="00581798">
        <w:rPr>
          <w:rFonts w:cs="Arial" w:hint="cs"/>
          <w:sz w:val="16"/>
          <w:szCs w:val="16"/>
          <w:rtl/>
        </w:rPr>
        <w:t>,</w:t>
      </w:r>
      <w:r w:rsidRPr="00581798">
        <w:rPr>
          <w:rFonts w:cs="Arial"/>
          <w:sz w:val="16"/>
          <w:szCs w:val="16"/>
          <w:rtl/>
        </w:rPr>
        <w:t xml:space="preserve"> ולפיכך כתב (בסדר כתיבת הגט להרא"ש) אע</w:t>
      </w:r>
      <w:r w:rsidRPr="00581798">
        <w:rPr>
          <w:rFonts w:cs="Arial" w:hint="cs"/>
          <w:sz w:val="16"/>
          <w:szCs w:val="16"/>
          <w:rtl/>
        </w:rPr>
        <w:t>"</w:t>
      </w:r>
      <w:r w:rsidRPr="00581798">
        <w:rPr>
          <w:rFonts w:cs="Arial"/>
          <w:sz w:val="16"/>
          <w:szCs w:val="16"/>
          <w:rtl/>
        </w:rPr>
        <w:t>פ שהרי"ף כתבו המנהג כשר הוא שאין כותבין אותו</w:t>
      </w:r>
      <w:r>
        <w:rPr>
          <w:rFonts w:cs="Arial" w:hint="cs"/>
          <w:sz w:val="16"/>
          <w:szCs w:val="16"/>
          <w:rtl/>
        </w:rPr>
        <w:t>. עכ"ל הב"י</w:t>
      </w:r>
      <w:r w:rsidRPr="00581798">
        <w:rPr>
          <w:rFonts w:cs="Arial" w:hint="cs"/>
          <w:sz w:val="16"/>
          <w:szCs w:val="16"/>
          <w:rtl/>
        </w:rPr>
        <w:t>)</w:t>
      </w:r>
      <w:r>
        <w:rPr>
          <w:rFonts w:cs="Arial" w:hint="cs"/>
          <w:rtl/>
        </w:rPr>
        <w:t>. אך לפנינו לא כתוב בסדר הגט של הרא"ש '</w:t>
      </w:r>
      <w:r>
        <w:rPr>
          <w:rFonts w:cs="Arial"/>
          <w:rtl/>
        </w:rPr>
        <w:t>ולאתריהון דאבהתיכי</w:t>
      </w:r>
      <w:r>
        <w:rPr>
          <w:rFonts w:cs="Arial" w:hint="cs"/>
          <w:rtl/>
        </w:rPr>
        <w:t>'. וגם בתשובה זה מובא בסוגריים, משמע דלא פשיטא דכן כתב הרא"ש.</w:t>
      </w:r>
      <w:r>
        <w:rPr>
          <w:rFonts w:hint="cs"/>
          <w:rtl/>
        </w:rPr>
        <w:t xml:space="preserve"> לכן עולה יפה פסק השו"ע דצריך ליזהר שלא לכותבן.</w:t>
      </w:r>
    </w:p>
  </w:footnote>
  <w:footnote w:id="721">
    <w:p w14:paraId="4F7450BE" w14:textId="77777777" w:rsidR="00FA2119" w:rsidRDefault="00FA2119" w:rsidP="00FA2119">
      <w:pPr>
        <w:pStyle w:val="a5"/>
      </w:pPr>
      <w:r>
        <w:rPr>
          <w:rStyle w:val="a7"/>
        </w:rPr>
        <w:footnoteRef/>
      </w:r>
      <w:r>
        <w:rPr>
          <w:rtl/>
        </w:rPr>
        <w:t xml:space="preserve"> </w:t>
      </w:r>
      <w:r w:rsidRPr="00DA7497">
        <w:rPr>
          <w:rFonts w:cs="Arial"/>
          <w:rtl/>
        </w:rPr>
        <w:t>כ' בס' ג"פ יראה דהיינו בעיר חדשה אבל מקומות שנהגו לכתוב איך אין לשנות כו'</w:t>
      </w:r>
      <w:r>
        <w:rPr>
          <w:rFonts w:cs="Arial" w:hint="cs"/>
          <w:rtl/>
        </w:rPr>
        <w:t>, פת"ש (סקט"ו).</w:t>
      </w:r>
    </w:p>
  </w:footnote>
  <w:footnote w:id="722">
    <w:p w14:paraId="3C4A6051" w14:textId="77777777" w:rsidR="00FA2119" w:rsidRDefault="00FA2119" w:rsidP="00FA2119">
      <w:pPr>
        <w:pStyle w:val="a5"/>
      </w:pPr>
      <w:r>
        <w:rPr>
          <w:rStyle w:val="a7"/>
        </w:rPr>
        <w:footnoteRef/>
      </w:r>
      <w:r>
        <w:rPr>
          <w:rtl/>
        </w:rPr>
        <w:t xml:space="preserve"> </w:t>
      </w:r>
      <w:r w:rsidRPr="005A41EF">
        <w:rPr>
          <w:rFonts w:cs="Arial"/>
          <w:rtl/>
        </w:rPr>
        <w:t>ומיהו אי כת</w:t>
      </w:r>
      <w:r>
        <w:rPr>
          <w:rFonts w:cs="Arial" w:hint="cs"/>
          <w:rtl/>
        </w:rPr>
        <w:t>'</w:t>
      </w:r>
      <w:r w:rsidRPr="005A41EF">
        <w:rPr>
          <w:rFonts w:cs="Arial"/>
          <w:rtl/>
        </w:rPr>
        <w:t xml:space="preserve"> איך ודאי הגט כשר דהא בגמרא מוכח שהיו כותבין איך</w:t>
      </w:r>
      <w:r>
        <w:rPr>
          <w:rFonts w:cs="Arial" w:hint="cs"/>
          <w:rtl/>
        </w:rPr>
        <w:t>..., ח"מ (סקכ"ו).</w:t>
      </w:r>
      <w:r>
        <w:rPr>
          <w:rFonts w:hint="cs"/>
          <w:rtl/>
        </w:rPr>
        <w:t xml:space="preserve"> וכ"כ ב"ש (סקכ"ב).</w:t>
      </w:r>
    </w:p>
  </w:footnote>
  <w:footnote w:id="723">
    <w:p w14:paraId="0C5DCE5C" w14:textId="77777777" w:rsidR="00FA2119" w:rsidRDefault="00FA2119" w:rsidP="00FA2119">
      <w:pPr>
        <w:pStyle w:val="a5"/>
      </w:pPr>
      <w:r>
        <w:rPr>
          <w:rStyle w:val="a7"/>
        </w:rPr>
        <w:footnoteRef/>
      </w:r>
      <w:r>
        <w:rPr>
          <w:rtl/>
        </w:rPr>
        <w:t xml:space="preserve"> </w:t>
      </w:r>
      <w:r>
        <w:rPr>
          <w:rFonts w:hint="cs"/>
          <w:rtl/>
        </w:rPr>
        <w:t xml:space="preserve">והביא דבריו הג"פ </w:t>
      </w:r>
      <w:r w:rsidRPr="005A41EF">
        <w:rPr>
          <w:rFonts w:cs="Arial"/>
          <w:rtl/>
        </w:rPr>
        <w:t>וכ</w:t>
      </w:r>
      <w:r>
        <w:rPr>
          <w:rFonts w:cs="Arial" w:hint="cs"/>
          <w:rtl/>
        </w:rPr>
        <w:t>תב</w:t>
      </w:r>
      <w:r w:rsidRPr="005A41EF">
        <w:rPr>
          <w:rFonts w:cs="Arial"/>
          <w:rtl/>
        </w:rPr>
        <w:t xml:space="preserve"> עליו דלא כל אפי שוין בזה שכ' שלא לנוכח כו' (ע' בח"מ סי' קצ"א ס"ג) והביא דעת כמה גדולים בתשובותיהם להכשיר ע"ש</w:t>
      </w:r>
      <w:r>
        <w:rPr>
          <w:rFonts w:hint="cs"/>
          <w:rtl/>
        </w:rPr>
        <w:t>, פת"ש (סקי"ד).</w:t>
      </w:r>
    </w:p>
  </w:footnote>
  <w:footnote w:id="724">
    <w:p w14:paraId="05C2451D" w14:textId="77777777" w:rsidR="00FA2119" w:rsidRDefault="00FA2119" w:rsidP="00FA2119">
      <w:pPr>
        <w:pStyle w:val="a5"/>
      </w:pPr>
      <w:r>
        <w:rPr>
          <w:rStyle w:val="a7"/>
        </w:rPr>
        <w:footnoteRef/>
      </w:r>
      <w:r>
        <w:rPr>
          <w:rtl/>
        </w:rPr>
        <w:t xml:space="preserve"> </w:t>
      </w:r>
      <w:r w:rsidRPr="00061D30">
        <w:rPr>
          <w:rFonts w:cs="Arial"/>
          <w:rtl/>
        </w:rPr>
        <w:t xml:space="preserve">ופירש </w:t>
      </w:r>
      <w:r w:rsidRPr="00CC6A56">
        <w:rPr>
          <w:rFonts w:cs="Arial"/>
          <w:b/>
          <w:bCs/>
          <w:rtl/>
        </w:rPr>
        <w:t>רש"י</w:t>
      </w:r>
      <w:r w:rsidRPr="00061D30">
        <w:rPr>
          <w:rFonts w:cs="Arial"/>
          <w:rtl/>
        </w:rPr>
        <w:t xml:space="preserve"> (ד"ה לא לכתוב) דאי כתב ודין ביו"ד משמע דין הוא שאגרשך</w:t>
      </w:r>
      <w:r>
        <w:rPr>
          <w:rFonts w:cs="Arial" w:hint="cs"/>
          <w:rtl/>
        </w:rPr>
        <w:t>,</w:t>
      </w:r>
      <w:r w:rsidRPr="00061D30">
        <w:rPr>
          <w:rFonts w:cs="Arial"/>
          <w:rtl/>
        </w:rPr>
        <w:t xml:space="preserve"> אבל אם אינו דין עלי שאגרשך לא תתגרשי</w:t>
      </w:r>
      <w:r>
        <w:rPr>
          <w:rFonts w:cs="Arial" w:hint="cs"/>
          <w:rtl/>
        </w:rPr>
        <w:t>.</w:t>
      </w:r>
      <w:r w:rsidRPr="00061D30">
        <w:rPr>
          <w:rFonts w:cs="Arial"/>
          <w:rtl/>
        </w:rPr>
        <w:t xml:space="preserve"> </w:t>
      </w:r>
      <w:r w:rsidRPr="00CC6A56">
        <w:rPr>
          <w:rFonts w:cs="Arial"/>
          <w:b/>
          <w:bCs/>
          <w:rtl/>
        </w:rPr>
        <w:t>והרמב"ם</w:t>
      </w:r>
      <w:r w:rsidRPr="00061D30">
        <w:rPr>
          <w:rFonts w:cs="Arial"/>
          <w:rtl/>
        </w:rPr>
        <w:t xml:space="preserve"> כתב </w:t>
      </w:r>
      <w:r>
        <w:rPr>
          <w:rFonts w:cs="Arial" w:hint="cs"/>
          <w:rtl/>
        </w:rPr>
        <w:t>(</w:t>
      </w:r>
      <w:r w:rsidRPr="00061D30">
        <w:rPr>
          <w:rFonts w:cs="Arial"/>
          <w:rtl/>
        </w:rPr>
        <w:t>פ</w:t>
      </w:r>
      <w:r>
        <w:rPr>
          <w:rFonts w:cs="Arial" w:hint="cs"/>
          <w:rtl/>
        </w:rPr>
        <w:t>"</w:t>
      </w:r>
      <w:r w:rsidRPr="00061D30">
        <w:rPr>
          <w:rFonts w:cs="Arial"/>
          <w:rtl/>
        </w:rPr>
        <w:t>ד הי"ג) שמא יקרא הקורא ודין</w:t>
      </w:r>
      <w:r>
        <w:rPr>
          <w:rFonts w:cs="Arial" w:hint="cs"/>
          <w:rtl/>
        </w:rPr>
        <w:t>,</w:t>
      </w:r>
      <w:r w:rsidRPr="00061D30">
        <w:rPr>
          <w:rFonts w:cs="Arial"/>
          <w:rtl/>
        </w:rPr>
        <w:t xml:space="preserve"> כלומר משפט יהא ביני וביניך</w:t>
      </w:r>
      <w:r>
        <w:rPr>
          <w:rFonts w:cs="Arial" w:hint="cs"/>
          <w:rtl/>
        </w:rPr>
        <w:t>,</w:t>
      </w:r>
      <w:r w:rsidRPr="00061D30">
        <w:rPr>
          <w:rFonts w:cs="Arial"/>
          <w:rtl/>
        </w:rPr>
        <w:t xml:space="preserve"> כלומר ונמצא מתבטל משמעות דודין</w:t>
      </w:r>
      <w:r>
        <w:rPr>
          <w:rFonts w:cs="Arial" w:hint="cs"/>
          <w:rtl/>
        </w:rPr>
        <w:t>, ב"י.</w:t>
      </w:r>
    </w:p>
  </w:footnote>
  <w:footnote w:id="725">
    <w:p w14:paraId="08E22B07" w14:textId="77777777" w:rsidR="00FA2119" w:rsidRDefault="00FA2119" w:rsidP="00FA2119">
      <w:pPr>
        <w:pStyle w:val="a5"/>
      </w:pPr>
      <w:r>
        <w:rPr>
          <w:rStyle w:val="a7"/>
        </w:rPr>
        <w:footnoteRef/>
      </w:r>
      <w:r>
        <w:rPr>
          <w:rtl/>
        </w:rPr>
        <w:t xml:space="preserve"> </w:t>
      </w:r>
      <w:r w:rsidRPr="00061D30">
        <w:rPr>
          <w:rFonts w:cs="Arial"/>
          <w:rtl/>
        </w:rPr>
        <w:t xml:space="preserve">ובאגרת פירש </w:t>
      </w:r>
      <w:r w:rsidRPr="00CC6A56">
        <w:rPr>
          <w:rFonts w:cs="Arial"/>
          <w:b/>
          <w:bCs/>
          <w:rtl/>
        </w:rPr>
        <w:t>רש"י</w:t>
      </w:r>
      <w:r w:rsidRPr="00061D30">
        <w:rPr>
          <w:rFonts w:cs="Arial"/>
          <w:rtl/>
        </w:rPr>
        <w:t xml:space="preserve"> (ד"ה ולא לכתוב איגרת) דאי כתיב איגרת ביו"ד משמע איגרא לשון גג</w:t>
      </w:r>
      <w:r>
        <w:rPr>
          <w:rFonts w:cs="Arial" w:hint="cs"/>
          <w:rtl/>
        </w:rPr>
        <w:t>.</w:t>
      </w:r>
      <w:r w:rsidRPr="00061D30">
        <w:rPr>
          <w:rFonts w:cs="Arial"/>
          <w:rtl/>
        </w:rPr>
        <w:t xml:space="preserve"> </w:t>
      </w:r>
      <w:r w:rsidRPr="00CC6A56">
        <w:rPr>
          <w:rFonts w:cs="Arial"/>
          <w:b/>
          <w:bCs/>
          <w:rtl/>
        </w:rPr>
        <w:t>והרמב"ם</w:t>
      </w:r>
      <w:r w:rsidRPr="00061D30">
        <w:rPr>
          <w:rFonts w:cs="Arial"/>
          <w:rtl/>
        </w:rPr>
        <w:t xml:space="preserve"> כתב </w:t>
      </w:r>
      <w:r>
        <w:rPr>
          <w:rFonts w:cs="Arial" w:hint="cs"/>
          <w:rtl/>
        </w:rPr>
        <w:t>(</w:t>
      </w:r>
      <w:r w:rsidRPr="00061D30">
        <w:rPr>
          <w:rFonts w:cs="Arial"/>
          <w:rtl/>
        </w:rPr>
        <w:t>פ</w:t>
      </w:r>
      <w:r>
        <w:rPr>
          <w:rFonts w:cs="Arial" w:hint="cs"/>
          <w:rtl/>
        </w:rPr>
        <w:t>"</w:t>
      </w:r>
      <w:r w:rsidRPr="00061D30">
        <w:rPr>
          <w:rFonts w:cs="Arial"/>
          <w:rtl/>
        </w:rPr>
        <w:t xml:space="preserve">ד שם) דאיגרת הוה משמע </w:t>
      </w:r>
      <w:r>
        <w:rPr>
          <w:rFonts w:cs="Arial" w:hint="cs"/>
          <w:rtl/>
        </w:rPr>
        <w:t>'</w:t>
      </w:r>
      <w:r w:rsidRPr="00061D30">
        <w:rPr>
          <w:rFonts w:cs="Arial"/>
          <w:rtl/>
        </w:rPr>
        <w:t>אם זינתה</w:t>
      </w:r>
      <w:r>
        <w:rPr>
          <w:rFonts w:cs="Arial" w:hint="cs"/>
          <w:rtl/>
        </w:rPr>
        <w:t>'.</w:t>
      </w:r>
      <w:r w:rsidRPr="00061D30">
        <w:rPr>
          <w:rFonts w:cs="Arial"/>
          <w:rtl/>
        </w:rPr>
        <w:t xml:space="preserve"> </w:t>
      </w:r>
      <w:r w:rsidRPr="00CC6A56">
        <w:rPr>
          <w:rFonts w:cs="Arial"/>
          <w:b/>
          <w:bCs/>
          <w:rtl/>
        </w:rPr>
        <w:t>והתוספות</w:t>
      </w:r>
      <w:r w:rsidRPr="00061D30">
        <w:rPr>
          <w:rFonts w:cs="Arial"/>
          <w:rtl/>
        </w:rPr>
        <w:t xml:space="preserve"> </w:t>
      </w:r>
      <w:r w:rsidRPr="00CC6A56">
        <w:rPr>
          <w:rFonts w:cs="Arial"/>
          <w:sz w:val="16"/>
          <w:szCs w:val="16"/>
          <w:rtl/>
        </w:rPr>
        <w:t>(פה: ד"ה ולא</w:t>
      </w:r>
      <w:r w:rsidRPr="00CC6A56">
        <w:rPr>
          <w:rFonts w:cs="Arial" w:hint="cs"/>
          <w:sz w:val="16"/>
          <w:szCs w:val="16"/>
          <w:rtl/>
        </w:rPr>
        <w:t>,</w:t>
      </w:r>
      <w:r w:rsidRPr="00CC6A56">
        <w:rPr>
          <w:rFonts w:cs="Arial"/>
          <w:sz w:val="16"/>
          <w:szCs w:val="16"/>
          <w:rtl/>
        </w:rPr>
        <w:t xml:space="preserve"> ו</w:t>
      </w:r>
      <w:r w:rsidRPr="00CC6A56">
        <w:rPr>
          <w:rFonts w:cs="Arial" w:hint="cs"/>
          <w:sz w:val="16"/>
          <w:szCs w:val="16"/>
          <w:rtl/>
        </w:rPr>
        <w:t xml:space="preserve">כ"כ </w:t>
      </w:r>
      <w:r w:rsidRPr="00CC6A56">
        <w:rPr>
          <w:rFonts w:cs="Arial"/>
          <w:sz w:val="16"/>
          <w:szCs w:val="16"/>
          <w:rtl/>
        </w:rPr>
        <w:t>המרדכי (סי' תמו</w:t>
      </w:r>
      <w:r w:rsidRPr="00CC6A56">
        <w:rPr>
          <w:rFonts w:cs="Arial" w:hint="cs"/>
          <w:sz w:val="16"/>
          <w:szCs w:val="16"/>
          <w:rtl/>
        </w:rPr>
        <w:t>,</w:t>
      </w:r>
      <w:r w:rsidRPr="00CC6A56">
        <w:rPr>
          <w:rFonts w:cs="Arial"/>
          <w:sz w:val="16"/>
          <w:szCs w:val="16"/>
          <w:rtl/>
        </w:rPr>
        <w:t xml:space="preserve"> </w:t>
      </w:r>
      <w:r w:rsidRPr="00CC6A56">
        <w:rPr>
          <w:rFonts w:cs="Arial" w:hint="cs"/>
          <w:sz w:val="16"/>
          <w:szCs w:val="16"/>
          <w:rtl/>
        </w:rPr>
        <w:t xml:space="preserve">הביאו הדרכ"מ [אות </w:t>
      </w:r>
      <w:r w:rsidRPr="00CC6A56">
        <w:rPr>
          <w:rFonts w:cs="Arial"/>
          <w:sz w:val="16"/>
          <w:szCs w:val="16"/>
          <w:rtl/>
        </w:rPr>
        <w:t>יג*</w:t>
      </w:r>
      <w:r w:rsidRPr="00CC6A56">
        <w:rPr>
          <w:rFonts w:cs="Arial" w:hint="cs"/>
          <w:sz w:val="16"/>
          <w:szCs w:val="16"/>
          <w:rtl/>
        </w:rPr>
        <w:t>]</w:t>
      </w:r>
      <w:r w:rsidRPr="00CC6A56">
        <w:rPr>
          <w:rFonts w:cs="Arial"/>
          <w:sz w:val="16"/>
          <w:szCs w:val="16"/>
          <w:rtl/>
        </w:rPr>
        <w:t xml:space="preserve">)) </w:t>
      </w:r>
      <w:r w:rsidRPr="00061D30">
        <w:rPr>
          <w:rFonts w:cs="Arial"/>
          <w:rtl/>
        </w:rPr>
        <w:t>כתבו שבתיקון של רבינו יוסף כתוב ולא ליכתוב אגרת בלא וי"ו</w:t>
      </w:r>
      <w:r>
        <w:rPr>
          <w:rFonts w:cs="Arial" w:hint="cs"/>
          <w:rtl/>
        </w:rPr>
        <w:t>,</w:t>
      </w:r>
      <w:r w:rsidRPr="00061D30">
        <w:rPr>
          <w:rFonts w:cs="Arial"/>
          <w:rtl/>
        </w:rPr>
        <w:t xml:space="preserve"> דמשמע אגרתא בעלמא שאדם שולח לחבירו</w:t>
      </w:r>
      <w:r>
        <w:rPr>
          <w:rFonts w:cs="Arial" w:hint="cs"/>
          <w:rtl/>
        </w:rPr>
        <w:t>,</w:t>
      </w:r>
      <w:r w:rsidRPr="00061D30">
        <w:rPr>
          <w:rFonts w:cs="Arial"/>
          <w:rtl/>
        </w:rPr>
        <w:t xml:space="preserve"> אלא ואגרת בוי"ו דמשמע דקאי אגיטא אודין דלעיל</w:t>
      </w:r>
      <w:r>
        <w:rPr>
          <w:rFonts w:cs="Arial" w:hint="cs"/>
          <w:rtl/>
        </w:rPr>
        <w:t>, ב"י.</w:t>
      </w:r>
    </w:p>
  </w:footnote>
  <w:footnote w:id="726">
    <w:p w14:paraId="67995593" w14:textId="3CB19DBC" w:rsidR="00FA2119" w:rsidRDefault="00FA2119" w:rsidP="00FA2119">
      <w:pPr>
        <w:pStyle w:val="a5"/>
      </w:pPr>
      <w:r>
        <w:rPr>
          <w:rStyle w:val="a7"/>
        </w:rPr>
        <w:footnoteRef/>
      </w:r>
      <w:r>
        <w:rPr>
          <w:rtl/>
        </w:rPr>
        <w:t xml:space="preserve"> </w:t>
      </w:r>
      <w:r w:rsidRPr="00E17DE2">
        <w:rPr>
          <w:rFonts w:cs="Arial"/>
          <w:rtl/>
        </w:rPr>
        <w:t>ועיין בס' ג"פ שכ' דנ"מ בין פי' רש"י לפירוש הרמב"ם אם אותה אשה אסורה עליו וחייב מן הדין לגרשה</w:t>
      </w:r>
      <w:r w:rsidR="00036DB8">
        <w:rPr>
          <w:rFonts w:cs="Arial" w:hint="cs"/>
          <w:rtl/>
        </w:rPr>
        <w:t>,</w:t>
      </w:r>
      <w:r w:rsidRPr="00E17DE2">
        <w:rPr>
          <w:rFonts w:cs="Arial"/>
          <w:rtl/>
        </w:rPr>
        <w:t xml:space="preserve"> אם כתב ודין מלא </w:t>
      </w:r>
      <w:r w:rsidR="00036DB8">
        <w:rPr>
          <w:rFonts w:cs="Arial" w:hint="cs"/>
          <w:rtl/>
        </w:rPr>
        <w:t xml:space="preserve">- </w:t>
      </w:r>
      <w:r w:rsidRPr="00E17DE2">
        <w:rPr>
          <w:rFonts w:cs="Arial"/>
          <w:rtl/>
        </w:rPr>
        <w:t>לפרש"י הגט כשר</w:t>
      </w:r>
      <w:r w:rsidR="00036DB8">
        <w:rPr>
          <w:rFonts w:cs="Arial" w:hint="cs"/>
          <w:rtl/>
        </w:rPr>
        <w:t>,</w:t>
      </w:r>
      <w:r w:rsidRPr="00E17DE2">
        <w:rPr>
          <w:rFonts w:cs="Arial"/>
          <w:rtl/>
        </w:rPr>
        <w:t xml:space="preserve"> דאפי' יפרשו דין היא שאגרשך הכי הוא קושטא דמלתא</w:t>
      </w:r>
      <w:r w:rsidR="00036DB8">
        <w:rPr>
          <w:rFonts w:cs="Arial" w:hint="cs"/>
          <w:rtl/>
        </w:rPr>
        <w:t>.</w:t>
      </w:r>
      <w:r w:rsidRPr="00E17DE2">
        <w:rPr>
          <w:rFonts w:cs="Arial"/>
          <w:rtl/>
        </w:rPr>
        <w:t xml:space="preserve"> אבל להרמב"ם הגט פסול</w:t>
      </w:r>
      <w:r w:rsidR="00036DB8">
        <w:rPr>
          <w:rFonts w:cs="Arial" w:hint="cs"/>
          <w:rtl/>
        </w:rPr>
        <w:t>,</w:t>
      </w:r>
      <w:r w:rsidRPr="00E17DE2">
        <w:rPr>
          <w:rFonts w:cs="Arial"/>
          <w:rtl/>
        </w:rPr>
        <w:t xml:space="preserve"> משום דמתבטל משמעות תיבת ודן</w:t>
      </w:r>
      <w:r w:rsidR="00036DB8">
        <w:rPr>
          <w:rFonts w:cs="Arial" w:hint="cs"/>
          <w:rtl/>
        </w:rPr>
        <w:t>,</w:t>
      </w:r>
      <w:r w:rsidRPr="00E17DE2">
        <w:rPr>
          <w:rFonts w:cs="Arial"/>
          <w:rtl/>
        </w:rPr>
        <w:t xml:space="preserve"> ואנן בעינן שיכתוב ודן כדי שיהא מוכיח מתוכו שבגט זה מגרש אותה ובעינן ידים מוכיחות כו' ע"ש עוד</w:t>
      </w:r>
      <w:r>
        <w:rPr>
          <w:rFonts w:cs="Arial" w:hint="cs"/>
          <w:rtl/>
        </w:rPr>
        <w:t xml:space="preserve">, </w:t>
      </w:r>
      <w:r w:rsidRPr="00036DB8">
        <w:rPr>
          <w:rFonts w:cs="Arial" w:hint="cs"/>
          <w:b/>
          <w:bCs/>
          <w:color w:val="000000" w:themeColor="text1"/>
          <w:rtl/>
        </w:rPr>
        <w:t>פת"ש</w:t>
      </w:r>
      <w:r w:rsidRPr="00036DB8">
        <w:rPr>
          <w:rFonts w:cs="Arial" w:hint="cs"/>
          <w:color w:val="000000" w:themeColor="text1"/>
          <w:rtl/>
        </w:rPr>
        <w:t xml:space="preserve"> </w:t>
      </w:r>
      <w:r>
        <w:rPr>
          <w:rFonts w:cs="Arial" w:hint="cs"/>
          <w:rtl/>
        </w:rPr>
        <w:t xml:space="preserve">(סקי"ז). וכתב עוד </w:t>
      </w:r>
      <w:r w:rsidRPr="00036DB8">
        <w:rPr>
          <w:rFonts w:cs="Arial" w:hint="cs"/>
          <w:b/>
          <w:bCs/>
          <w:rtl/>
        </w:rPr>
        <w:t>הג"פ</w:t>
      </w:r>
      <w:r>
        <w:rPr>
          <w:rFonts w:cs="Arial" w:hint="cs"/>
          <w:rtl/>
        </w:rPr>
        <w:t xml:space="preserve"> </w:t>
      </w:r>
      <w:r w:rsidRPr="007D0E91">
        <w:rPr>
          <w:rFonts w:cs="Arial" w:hint="cs"/>
          <w:sz w:val="16"/>
          <w:szCs w:val="16"/>
          <w:rtl/>
        </w:rPr>
        <w:t>(</w:t>
      </w:r>
      <w:r w:rsidRPr="007D0E91">
        <w:rPr>
          <w:rFonts w:cs="Arial"/>
          <w:sz w:val="16"/>
          <w:szCs w:val="16"/>
          <w:rtl/>
        </w:rPr>
        <w:t>סקצ"ו</w:t>
      </w:r>
      <w:r>
        <w:rPr>
          <w:rFonts w:cs="Arial" w:hint="cs"/>
          <w:sz w:val="16"/>
          <w:szCs w:val="16"/>
          <w:rtl/>
        </w:rPr>
        <w:t>, הביאו הפת"ש סקמ"ג</w:t>
      </w:r>
      <w:r w:rsidRPr="007D0E91">
        <w:rPr>
          <w:rFonts w:cs="Arial" w:hint="cs"/>
          <w:sz w:val="16"/>
          <w:szCs w:val="16"/>
          <w:rtl/>
        </w:rPr>
        <w:t>)</w:t>
      </w:r>
      <w:r>
        <w:rPr>
          <w:rFonts w:cs="Arial" w:hint="cs"/>
          <w:sz w:val="16"/>
          <w:szCs w:val="16"/>
          <w:rtl/>
        </w:rPr>
        <w:t xml:space="preserve"> </w:t>
      </w:r>
      <w:r>
        <w:rPr>
          <w:rFonts w:cs="Arial" w:hint="cs"/>
          <w:rtl/>
        </w:rPr>
        <w:t>ד</w:t>
      </w:r>
      <w:r>
        <w:rPr>
          <w:rFonts w:cs="Arial"/>
          <w:rtl/>
        </w:rPr>
        <w:t>אם לא כתב ודן ונתגרשה באותו גט יראה לי דדיינינן לה כספק מגורשת</w:t>
      </w:r>
      <w:r>
        <w:rPr>
          <w:rFonts w:cs="Arial" w:hint="cs"/>
          <w:rtl/>
        </w:rPr>
        <w:t>.</w:t>
      </w:r>
    </w:p>
  </w:footnote>
  <w:footnote w:id="727">
    <w:p w14:paraId="0074E4CA" w14:textId="77777777" w:rsidR="00FA2119" w:rsidRDefault="00FA2119" w:rsidP="00FA2119">
      <w:pPr>
        <w:pStyle w:val="a5"/>
      </w:pPr>
      <w:r>
        <w:rPr>
          <w:rStyle w:val="a7"/>
        </w:rPr>
        <w:footnoteRef/>
      </w:r>
      <w:r>
        <w:rPr>
          <w:rtl/>
        </w:rPr>
        <w:t xml:space="preserve"> </w:t>
      </w:r>
      <w:r w:rsidRPr="005C5D76">
        <w:rPr>
          <w:rFonts w:cs="Arial"/>
          <w:rtl/>
        </w:rPr>
        <w:t>ואיגרת ביו"ד לפרש"י ל' גג הוא</w:t>
      </w:r>
      <w:r>
        <w:rPr>
          <w:rFonts w:cs="Arial" w:hint="cs"/>
          <w:rtl/>
        </w:rPr>
        <w:t>,</w:t>
      </w:r>
      <w:r w:rsidRPr="005C5D76">
        <w:rPr>
          <w:rFonts w:cs="Arial"/>
          <w:rtl/>
        </w:rPr>
        <w:t xml:space="preserve"> לפ"ז הוי שינוי פירוש המלה</w:t>
      </w:r>
      <w:r>
        <w:rPr>
          <w:rFonts w:cs="Arial" w:hint="cs"/>
          <w:rtl/>
        </w:rPr>
        <w:t>.</w:t>
      </w:r>
      <w:r w:rsidRPr="005C5D76">
        <w:rPr>
          <w:rFonts w:cs="Arial"/>
          <w:rtl/>
        </w:rPr>
        <w:t xml:space="preserve"> ולרמב"ם משמע ל' זונה</w:t>
      </w:r>
      <w:r>
        <w:rPr>
          <w:rFonts w:cs="Arial" w:hint="cs"/>
          <w:rtl/>
        </w:rPr>
        <w:t>,</w:t>
      </w:r>
      <w:r w:rsidRPr="005C5D76">
        <w:rPr>
          <w:rFonts w:cs="Arial"/>
          <w:rtl/>
        </w:rPr>
        <w:t xml:space="preserve"> כלומר אם זנית להוי גט ואם לא זנית לא הוי גט</w:t>
      </w:r>
      <w:r>
        <w:rPr>
          <w:rFonts w:cs="Arial" w:hint="cs"/>
          <w:rtl/>
        </w:rPr>
        <w:t>,</w:t>
      </w:r>
      <w:r w:rsidRPr="005C5D76">
        <w:rPr>
          <w:rFonts w:cs="Arial"/>
          <w:rtl/>
        </w:rPr>
        <w:t xml:space="preserve"> א"כ הוי שינוי גט ופסול אפילו בעת הדחק</w:t>
      </w:r>
      <w:r>
        <w:rPr>
          <w:rFonts w:cs="Arial" w:hint="cs"/>
          <w:rtl/>
        </w:rPr>
        <w:t>.</w:t>
      </w:r>
      <w:r w:rsidRPr="005C5D76">
        <w:rPr>
          <w:rFonts w:cs="Arial"/>
          <w:rtl/>
        </w:rPr>
        <w:t xml:space="preserve"> ומ"ש בסעיף כ"ב אם כתב היודי"ן שאמרנו שלא יכתוב ה"ז גט פסול</w:t>
      </w:r>
      <w:r>
        <w:rPr>
          <w:rFonts w:cs="Arial" w:hint="cs"/>
          <w:rtl/>
        </w:rPr>
        <w:t xml:space="preserve"> -</w:t>
      </w:r>
      <w:r w:rsidRPr="005C5D76">
        <w:rPr>
          <w:rFonts w:cs="Arial"/>
          <w:rtl/>
        </w:rPr>
        <w:t xml:space="preserve"> משמע כדעת הרמב"ם</w:t>
      </w:r>
      <w:r>
        <w:rPr>
          <w:rFonts w:cs="Arial" w:hint="cs"/>
          <w:rtl/>
        </w:rPr>
        <w:t>, ב"ש (סקכ"ג).</w:t>
      </w:r>
    </w:p>
  </w:footnote>
  <w:footnote w:id="728">
    <w:p w14:paraId="1F79BA94" w14:textId="77777777" w:rsidR="00FA2119" w:rsidRDefault="00FA2119" w:rsidP="00FA2119">
      <w:pPr>
        <w:pStyle w:val="a5"/>
        <w:rPr>
          <w:rtl/>
        </w:rPr>
      </w:pPr>
      <w:r>
        <w:rPr>
          <w:rStyle w:val="a7"/>
        </w:rPr>
        <w:footnoteRef/>
      </w:r>
      <w:r>
        <w:rPr>
          <w:rtl/>
        </w:rPr>
        <w:t xml:space="preserve"> </w:t>
      </w:r>
      <w:r w:rsidRPr="00E17DE2">
        <w:rPr>
          <w:rFonts w:cs="Arial"/>
          <w:rtl/>
        </w:rPr>
        <w:t>וכמ"ש הטור בשם הרא"ש ס"ס זה. ועמ"ש לעיל סי' קכ"ה ס"ק יו"ד</w:t>
      </w:r>
      <w:r>
        <w:rPr>
          <w:rFonts w:hint="cs"/>
          <w:rtl/>
        </w:rPr>
        <w:t>, פת"ש (סקי"ח).</w:t>
      </w:r>
    </w:p>
  </w:footnote>
  <w:footnote w:id="729">
    <w:p w14:paraId="1BF78527" w14:textId="77777777" w:rsidR="00FA2119" w:rsidRDefault="00FA2119" w:rsidP="00FA2119">
      <w:pPr>
        <w:pStyle w:val="a5"/>
        <w:rPr>
          <w:rtl/>
        </w:rPr>
      </w:pPr>
      <w:r>
        <w:rPr>
          <w:rStyle w:val="a7"/>
        </w:rPr>
        <w:footnoteRef/>
      </w:r>
      <w:r>
        <w:rPr>
          <w:rtl/>
        </w:rPr>
        <w:t xml:space="preserve"> </w:t>
      </w:r>
      <w:r w:rsidRPr="00061D30">
        <w:rPr>
          <w:rFonts w:cs="Arial"/>
          <w:rtl/>
        </w:rPr>
        <w:t xml:space="preserve">ופירש </w:t>
      </w:r>
      <w:r w:rsidRPr="001E5B64">
        <w:rPr>
          <w:rFonts w:cs="Arial"/>
          <w:b/>
          <w:bCs/>
          <w:rtl/>
        </w:rPr>
        <w:t>רש"י</w:t>
      </w:r>
      <w:r w:rsidRPr="00061D30">
        <w:rPr>
          <w:rFonts w:cs="Arial"/>
          <w:rtl/>
        </w:rPr>
        <w:t xml:space="preserve"> (ד"ה די) ג' יודי"ן רצופין</w:t>
      </w:r>
      <w:r>
        <w:rPr>
          <w:rFonts w:cs="Arial" w:hint="cs"/>
          <w:rtl/>
        </w:rPr>
        <w:t>,</w:t>
      </w:r>
      <w:r w:rsidRPr="00061D30">
        <w:rPr>
          <w:rFonts w:cs="Arial"/>
          <w:rtl/>
        </w:rPr>
        <w:t xml:space="preserve"> דניקרי די תיהוייין</w:t>
      </w:r>
      <w:r>
        <w:rPr>
          <w:rFonts w:cs="Arial" w:hint="cs"/>
          <w:rtl/>
        </w:rPr>
        <w:t>.</w:t>
      </w:r>
      <w:r w:rsidRPr="00061D30">
        <w:rPr>
          <w:rFonts w:cs="Arial"/>
          <w:rtl/>
        </w:rPr>
        <w:t xml:space="preserve"> דאי לא שדי ביה אלא תרי יודי"ן</w:t>
      </w:r>
      <w:r>
        <w:rPr>
          <w:rFonts w:cs="Arial" w:hint="cs"/>
          <w:rtl/>
        </w:rPr>
        <w:t>,</w:t>
      </w:r>
      <w:r w:rsidRPr="00061D30">
        <w:rPr>
          <w:rFonts w:cs="Arial"/>
          <w:rtl/>
        </w:rPr>
        <w:t xml:space="preserve"> מתקרי די תהויין </w:t>
      </w:r>
      <w:r>
        <w:rPr>
          <w:rFonts w:cs="Arial" w:hint="cs"/>
          <w:sz w:val="16"/>
          <w:szCs w:val="16"/>
          <w:rtl/>
        </w:rPr>
        <w:t xml:space="preserve">{על} </w:t>
      </w:r>
      <w:r w:rsidRPr="00061D30">
        <w:rPr>
          <w:rFonts w:cs="Arial"/>
          <w:rtl/>
        </w:rPr>
        <w:t>נשין דעלמא</w:t>
      </w:r>
      <w:r>
        <w:rPr>
          <w:rFonts w:cs="Arial" w:hint="cs"/>
          <w:rtl/>
        </w:rPr>
        <w:t>.</w:t>
      </w:r>
      <w:r w:rsidRPr="00061D30">
        <w:rPr>
          <w:rFonts w:cs="Arial"/>
          <w:rtl/>
        </w:rPr>
        <w:t xml:space="preserve"> </w:t>
      </w:r>
      <w:r w:rsidRPr="001E5B64">
        <w:rPr>
          <w:rFonts w:cs="Arial"/>
          <w:rtl/>
        </w:rPr>
        <w:t>וכן די תיצבייין דכי כתב תלתא יודי"ן משמע שתהא רשאה להנשא לכל מי שתרצה</w:t>
      </w:r>
      <w:r>
        <w:rPr>
          <w:rFonts w:cs="Arial" w:hint="cs"/>
          <w:rtl/>
        </w:rPr>
        <w:t>.</w:t>
      </w:r>
      <w:r w:rsidRPr="00061D30">
        <w:rPr>
          <w:rFonts w:cs="Arial"/>
          <w:rtl/>
        </w:rPr>
        <w:t xml:space="preserve"> </w:t>
      </w:r>
      <w:r w:rsidRPr="001E5B64">
        <w:rPr>
          <w:rFonts w:cs="Arial"/>
          <w:b/>
          <w:bCs/>
          <w:rtl/>
        </w:rPr>
        <w:t>והרמב"ם</w:t>
      </w:r>
      <w:r w:rsidRPr="00061D30">
        <w:rPr>
          <w:rFonts w:cs="Arial"/>
          <w:rtl/>
        </w:rPr>
        <w:t xml:space="preserve"> כתב </w:t>
      </w:r>
      <w:r>
        <w:rPr>
          <w:rFonts w:cs="Arial" w:hint="cs"/>
          <w:rtl/>
        </w:rPr>
        <w:t>(</w:t>
      </w:r>
      <w:r w:rsidRPr="00061D30">
        <w:rPr>
          <w:rFonts w:cs="Arial"/>
          <w:rtl/>
        </w:rPr>
        <w:t>פ</w:t>
      </w:r>
      <w:r>
        <w:rPr>
          <w:rFonts w:cs="Arial" w:hint="cs"/>
          <w:rtl/>
        </w:rPr>
        <w:t>"</w:t>
      </w:r>
      <w:r w:rsidRPr="00061D30">
        <w:rPr>
          <w:rFonts w:cs="Arial"/>
          <w:rtl/>
        </w:rPr>
        <w:t>ד שם) שאפשר להשמע שהוא מדבר עם שתי נשים ונמצא שאינו מגרש לזו אלא לשתים אחרות</w:t>
      </w:r>
      <w:r>
        <w:rPr>
          <w:rFonts w:cs="Arial" w:hint="cs"/>
          <w:rtl/>
        </w:rPr>
        <w:t>, ב"י.</w:t>
      </w:r>
    </w:p>
  </w:footnote>
  <w:footnote w:id="730">
    <w:p w14:paraId="01BBEFCB" w14:textId="77777777" w:rsidR="00FA2119" w:rsidRDefault="00FA2119" w:rsidP="00FA2119">
      <w:pPr>
        <w:pStyle w:val="a5"/>
        <w:rPr>
          <w:rtl/>
        </w:rPr>
      </w:pPr>
      <w:r>
        <w:rPr>
          <w:rStyle w:val="a7"/>
        </w:rPr>
        <w:footnoteRef/>
      </w:r>
      <w:r>
        <w:rPr>
          <w:rtl/>
        </w:rPr>
        <w:t xml:space="preserve"> </w:t>
      </w:r>
      <w:r w:rsidRPr="00131F75">
        <w:rPr>
          <w:rFonts w:cs="Arial"/>
          <w:rtl/>
        </w:rPr>
        <w:t>וכתבוהו הרשב"א (פ"ה: סוד"ה אמר) והר"ן ז"ל בהמגרש (מה. ד"ה גרסינן) אהא דאמר אביי דליכתוב די תיהוייין בג' יודי"ן</w:t>
      </w:r>
      <w:r>
        <w:rPr>
          <w:rFonts w:cs="Arial" w:hint="cs"/>
          <w:rtl/>
        </w:rPr>
        <w:t>, ב"י.</w:t>
      </w:r>
    </w:p>
  </w:footnote>
  <w:footnote w:id="731">
    <w:p w14:paraId="21EAE693" w14:textId="77777777" w:rsidR="00FA2119" w:rsidRDefault="00FA2119" w:rsidP="00FA2119">
      <w:pPr>
        <w:pStyle w:val="a5"/>
      </w:pPr>
      <w:r>
        <w:rPr>
          <w:rStyle w:val="a7"/>
        </w:rPr>
        <w:footnoteRef/>
      </w:r>
      <w:r>
        <w:rPr>
          <w:rtl/>
        </w:rPr>
        <w:t xml:space="preserve"> </w:t>
      </w:r>
      <w:r>
        <w:rPr>
          <w:rFonts w:cs="Arial" w:hint="cs"/>
          <w:rtl/>
        </w:rPr>
        <w:t xml:space="preserve">וגם הרי"ף </w:t>
      </w:r>
      <w:r>
        <w:rPr>
          <w:rFonts w:cs="Arial" w:hint="cs"/>
          <w:sz w:val="16"/>
          <w:szCs w:val="16"/>
          <w:rtl/>
        </w:rPr>
        <w:t xml:space="preserve">(מה:) </w:t>
      </w:r>
      <w:r>
        <w:rPr>
          <w:rFonts w:cs="Arial" w:hint="cs"/>
          <w:rtl/>
        </w:rPr>
        <w:t>כתב עם ה' יודי"ן את שתי מילים אלו.</w:t>
      </w:r>
    </w:p>
  </w:footnote>
  <w:footnote w:id="732">
    <w:p w14:paraId="4B9C4A7E" w14:textId="77777777" w:rsidR="00FA2119" w:rsidRDefault="00FA2119" w:rsidP="00FA2119">
      <w:pPr>
        <w:pStyle w:val="a5"/>
        <w:rPr>
          <w:rtl/>
        </w:rPr>
      </w:pPr>
      <w:r>
        <w:rPr>
          <w:rStyle w:val="a7"/>
        </w:rPr>
        <w:footnoteRef/>
      </w:r>
      <w:r>
        <w:rPr>
          <w:rtl/>
        </w:rPr>
        <w:t xml:space="preserve"> </w:t>
      </w:r>
      <w:r w:rsidRPr="00967D9E">
        <w:rPr>
          <w:rFonts w:cs="Arial"/>
          <w:rtl/>
        </w:rPr>
        <w:t>ואני אומר דאף הכותב דתהוייין תיבה אחת אינו טעות</w:t>
      </w:r>
      <w:r>
        <w:rPr>
          <w:rFonts w:cs="Arial" w:hint="cs"/>
          <w:rtl/>
        </w:rPr>
        <w:t xml:space="preserve">, </w:t>
      </w:r>
      <w:r w:rsidRPr="004A00AD">
        <w:rPr>
          <w:rFonts w:cs="Arial" w:hint="cs"/>
          <w:b/>
          <w:bCs/>
          <w:rtl/>
        </w:rPr>
        <w:t>טור בשם הרא"ש</w:t>
      </w:r>
      <w:r>
        <w:rPr>
          <w:rFonts w:cs="Arial" w:hint="cs"/>
          <w:rtl/>
        </w:rPr>
        <w:t>. וז"ל</w:t>
      </w:r>
      <w:r w:rsidRPr="00131F75">
        <w:rPr>
          <w:rFonts w:cs="Arial"/>
          <w:rtl/>
        </w:rPr>
        <w:t xml:space="preserve"> הרא"ש</w:t>
      </w:r>
      <w:r>
        <w:rPr>
          <w:rFonts w:cs="Arial" w:hint="cs"/>
          <w:rtl/>
        </w:rPr>
        <w:t xml:space="preserve"> בפסקיו</w:t>
      </w:r>
      <w:r w:rsidRPr="00131F75">
        <w:rPr>
          <w:rFonts w:cs="Arial"/>
          <w:rtl/>
        </w:rPr>
        <w:t xml:space="preserve"> (גיטין פ"ט ס"ד)</w:t>
      </w:r>
      <w:r>
        <w:rPr>
          <w:rFonts w:cs="Arial" w:hint="cs"/>
          <w:rtl/>
        </w:rPr>
        <w:t>-</w:t>
      </w:r>
      <w:r w:rsidRPr="00131F75">
        <w:rPr>
          <w:rFonts w:cs="Arial"/>
          <w:rtl/>
        </w:rPr>
        <w:t xml:space="preserve"> ונראה לי דבמקום שנהגו לכתוב </w:t>
      </w:r>
      <w:r>
        <w:rPr>
          <w:rFonts w:cs="Arial" w:hint="cs"/>
          <w:rtl/>
        </w:rPr>
        <w:t>'</w:t>
      </w:r>
      <w:r w:rsidRPr="00131F75">
        <w:rPr>
          <w:rFonts w:cs="Arial"/>
          <w:rtl/>
        </w:rPr>
        <w:t>דתצבייין</w:t>
      </w:r>
      <w:r>
        <w:rPr>
          <w:rFonts w:cs="Arial" w:hint="cs"/>
          <w:rtl/>
        </w:rPr>
        <w:t>' -</w:t>
      </w:r>
      <w:r w:rsidRPr="00131F75">
        <w:rPr>
          <w:rFonts w:cs="Arial"/>
          <w:rtl/>
        </w:rPr>
        <w:t xml:space="preserve"> אין קפידא</w:t>
      </w:r>
      <w:r>
        <w:rPr>
          <w:rFonts w:cs="Arial" w:hint="cs"/>
          <w:rtl/>
        </w:rPr>
        <w:t>,</w:t>
      </w:r>
      <w:r w:rsidRPr="00131F75">
        <w:rPr>
          <w:rFonts w:cs="Arial"/>
          <w:rtl/>
        </w:rPr>
        <w:t xml:space="preserve"> דאם אין הדלי"ת במקום אשר</w:t>
      </w:r>
      <w:r>
        <w:rPr>
          <w:rFonts w:cs="Arial" w:hint="cs"/>
          <w:rtl/>
        </w:rPr>
        <w:t>,</w:t>
      </w:r>
      <w:r w:rsidRPr="00131F75">
        <w:rPr>
          <w:rFonts w:cs="Arial"/>
          <w:rtl/>
        </w:rPr>
        <w:t xml:space="preserve"> תהיה במקום שי"ן</w:t>
      </w:r>
      <w:r>
        <w:rPr>
          <w:rFonts w:cs="Arial" w:hint="cs"/>
          <w:rtl/>
        </w:rPr>
        <w:t>,</w:t>
      </w:r>
      <w:r w:rsidRPr="00131F75">
        <w:rPr>
          <w:rFonts w:cs="Arial"/>
          <w:rtl/>
        </w:rPr>
        <w:t xml:space="preserve"> כמו שתהיי שתרצי</w:t>
      </w:r>
      <w:r>
        <w:rPr>
          <w:rFonts w:cs="Arial" w:hint="cs"/>
          <w:rtl/>
        </w:rPr>
        <w:t>.</w:t>
      </w:r>
      <w:r w:rsidRPr="00131F75">
        <w:rPr>
          <w:rFonts w:cs="Arial"/>
          <w:rtl/>
        </w:rPr>
        <w:t xml:space="preserve"> וגם על היו"ד שבין תי"ו לה"א אין להקפיד</w:t>
      </w:r>
      <w:r>
        <w:rPr>
          <w:rFonts w:cs="Arial" w:hint="cs"/>
          <w:rtl/>
        </w:rPr>
        <w:t>.</w:t>
      </w:r>
      <w:r w:rsidRPr="00131F75">
        <w:rPr>
          <w:rFonts w:cs="Arial"/>
          <w:rtl/>
        </w:rPr>
        <w:t xml:space="preserve"> ע</w:t>
      </w:r>
      <w:r>
        <w:rPr>
          <w:rFonts w:cs="Arial" w:hint="cs"/>
          <w:rtl/>
        </w:rPr>
        <w:t>כ"ל.</w:t>
      </w:r>
      <w:r w:rsidRPr="00131F75">
        <w:rPr>
          <w:rFonts w:cs="Arial"/>
          <w:rtl/>
        </w:rPr>
        <w:t xml:space="preserve"> וגם בתשובות </w:t>
      </w:r>
      <w:r>
        <w:rPr>
          <w:rFonts w:cs="Arial" w:hint="cs"/>
          <w:rtl/>
        </w:rPr>
        <w:t>(</w:t>
      </w:r>
      <w:r w:rsidRPr="00131F75">
        <w:rPr>
          <w:rFonts w:cs="Arial"/>
          <w:rtl/>
        </w:rPr>
        <w:t>כלל מה</w:t>
      </w:r>
      <w:r>
        <w:rPr>
          <w:rFonts w:cs="Arial" w:hint="cs"/>
          <w:rtl/>
        </w:rPr>
        <w:t>)</w:t>
      </w:r>
      <w:r w:rsidRPr="00131F75">
        <w:rPr>
          <w:rFonts w:cs="Arial"/>
          <w:rtl/>
        </w:rPr>
        <w:t xml:space="preserve"> כתב כן</w:t>
      </w:r>
      <w:r>
        <w:rPr>
          <w:rFonts w:cs="Arial" w:hint="cs"/>
          <w:rtl/>
        </w:rPr>
        <w:t>.</w:t>
      </w:r>
      <w:r w:rsidRPr="00131F75">
        <w:rPr>
          <w:rFonts w:cs="Arial"/>
          <w:rtl/>
        </w:rPr>
        <w:t xml:space="preserve"> וכן כתוב במרדכי פרק המגרש (סי' תמו) בשם ריצב"א שבדק בכמה תרגומים ולא היה יו"ד בין תי"ו לה"א</w:t>
      </w:r>
      <w:r>
        <w:rPr>
          <w:rFonts w:cs="Arial" w:hint="cs"/>
          <w:rtl/>
        </w:rPr>
        <w:t>.</w:t>
      </w:r>
      <w:r w:rsidRPr="00131F75">
        <w:rPr>
          <w:rFonts w:cs="Arial"/>
          <w:rtl/>
        </w:rPr>
        <w:t xml:space="preserve"> וכתב עוד ומה שאין יו"ד בין תי"ו לצד"י</w:t>
      </w:r>
      <w:r>
        <w:rPr>
          <w:rFonts w:cs="Arial" w:hint="cs"/>
          <w:rtl/>
        </w:rPr>
        <w:t>,</w:t>
      </w:r>
      <w:r w:rsidRPr="00131F75">
        <w:rPr>
          <w:rFonts w:cs="Arial"/>
          <w:rtl/>
        </w:rPr>
        <w:t xml:space="preserve"> גם בזה אין לחוש</w:t>
      </w:r>
      <w:r>
        <w:rPr>
          <w:rFonts w:cs="Arial" w:hint="cs"/>
          <w:rtl/>
        </w:rPr>
        <w:t>,</w:t>
      </w:r>
      <w:r w:rsidRPr="00131F75">
        <w:rPr>
          <w:rFonts w:cs="Arial"/>
          <w:rtl/>
        </w:rPr>
        <w:t xml:space="preserve"> כי אינה ראויה להיות כלל כמו שאינה ראויה בעברי שלנו תרצי עכ"ל</w:t>
      </w:r>
      <w:r>
        <w:rPr>
          <w:rFonts w:cs="Arial" w:hint="cs"/>
          <w:rtl/>
        </w:rPr>
        <w:t xml:space="preserve">, </w:t>
      </w:r>
      <w:r w:rsidRPr="004A00AD">
        <w:rPr>
          <w:rFonts w:cs="Arial" w:hint="cs"/>
          <w:b/>
          <w:bCs/>
          <w:rtl/>
        </w:rPr>
        <w:t>ב"י</w:t>
      </w:r>
      <w:r>
        <w:rPr>
          <w:rFonts w:hint="cs"/>
          <w:rtl/>
        </w:rPr>
        <w:t>.</w:t>
      </w:r>
    </w:p>
  </w:footnote>
  <w:footnote w:id="733">
    <w:p w14:paraId="45E295A2" w14:textId="77777777" w:rsidR="00FA2119" w:rsidRDefault="00FA2119" w:rsidP="00FA2119">
      <w:pPr>
        <w:pStyle w:val="a5"/>
      </w:pPr>
      <w:r>
        <w:rPr>
          <w:rStyle w:val="a7"/>
        </w:rPr>
        <w:footnoteRef/>
      </w:r>
      <w:r>
        <w:rPr>
          <w:rtl/>
        </w:rPr>
        <w:t xml:space="preserve"> </w:t>
      </w:r>
      <w:r w:rsidRPr="0074458B">
        <w:rPr>
          <w:rFonts w:cs="Arial"/>
          <w:rtl/>
        </w:rPr>
        <w:t>אבל בדיעבד אין להקפיד אם לא כתב יוד בין תי"ו לדלית וכן בין תי"ו לה"א</w:t>
      </w:r>
      <w:r>
        <w:rPr>
          <w:rFonts w:cs="Arial" w:hint="cs"/>
          <w:rtl/>
        </w:rPr>
        <w:t>, ח"מ (סקל"א).</w:t>
      </w:r>
    </w:p>
  </w:footnote>
  <w:footnote w:id="734">
    <w:p w14:paraId="20933F85" w14:textId="77777777" w:rsidR="00FA2119" w:rsidRDefault="00FA2119" w:rsidP="00FA2119">
      <w:pPr>
        <w:pStyle w:val="a5"/>
      </w:pPr>
      <w:r>
        <w:rPr>
          <w:rStyle w:val="a7"/>
        </w:rPr>
        <w:footnoteRef/>
      </w:r>
      <w:r>
        <w:rPr>
          <w:rtl/>
        </w:rPr>
        <w:t xml:space="preserve"> </w:t>
      </w:r>
      <w:r w:rsidRPr="00445ABC">
        <w:rPr>
          <w:rFonts w:cs="Arial"/>
          <w:rtl/>
        </w:rPr>
        <w:t>מיהו במקום הדחק או שכבר ניתן כשר דהא ליכא שינוי משמעות הגט</w:t>
      </w:r>
      <w:r>
        <w:rPr>
          <w:rFonts w:cs="Arial" w:hint="cs"/>
          <w:rtl/>
        </w:rPr>
        <w:t>,</w:t>
      </w:r>
      <w:r w:rsidRPr="00445ABC">
        <w:rPr>
          <w:rFonts w:cs="Arial"/>
          <w:rtl/>
        </w:rPr>
        <w:t xml:space="preserve"> גם אין מוכרחים דברי מהרי"ל דפוסל</w:t>
      </w:r>
      <w:r>
        <w:rPr>
          <w:rFonts w:cs="Arial" w:hint="cs"/>
          <w:rtl/>
        </w:rPr>
        <w:t>,</w:t>
      </w:r>
      <w:r w:rsidRPr="00445ABC">
        <w:rPr>
          <w:rFonts w:cs="Arial"/>
          <w:rtl/>
        </w:rPr>
        <w:t xml:space="preserve"> וכ"כ הט"ז</w:t>
      </w:r>
      <w:r>
        <w:rPr>
          <w:rFonts w:cs="Arial" w:hint="cs"/>
          <w:rtl/>
        </w:rPr>
        <w:t xml:space="preserve">, </w:t>
      </w:r>
      <w:r w:rsidRPr="00445ABC">
        <w:rPr>
          <w:rFonts w:cs="Arial" w:hint="cs"/>
          <w:b/>
          <w:bCs/>
          <w:rtl/>
        </w:rPr>
        <w:t>ב"ש</w:t>
      </w:r>
      <w:r>
        <w:rPr>
          <w:rFonts w:cs="Arial" w:hint="cs"/>
          <w:rtl/>
        </w:rPr>
        <w:t xml:space="preserve"> (סקכ"ה).</w:t>
      </w:r>
      <w:r w:rsidRPr="00445ABC">
        <w:rPr>
          <w:rtl/>
        </w:rPr>
        <w:t xml:space="preserve"> </w:t>
      </w:r>
      <w:r w:rsidRPr="00445ABC">
        <w:rPr>
          <w:rFonts w:cs="Arial"/>
          <w:rtl/>
        </w:rPr>
        <w:t>ועיין בס' ג"פ דמשמע דמכשיר אפי' שלא במקום הדחק ע"ש</w:t>
      </w:r>
      <w:r>
        <w:rPr>
          <w:rFonts w:hint="cs"/>
          <w:rtl/>
        </w:rPr>
        <w:t xml:space="preserve">, </w:t>
      </w:r>
      <w:r w:rsidRPr="00445ABC">
        <w:rPr>
          <w:rFonts w:hint="cs"/>
          <w:b/>
          <w:bCs/>
          <w:rtl/>
        </w:rPr>
        <w:t>פת"ש</w:t>
      </w:r>
      <w:r>
        <w:rPr>
          <w:rFonts w:hint="cs"/>
          <w:rtl/>
        </w:rPr>
        <w:t xml:space="preserve"> (סק"כ).</w:t>
      </w:r>
    </w:p>
  </w:footnote>
  <w:footnote w:id="735">
    <w:p w14:paraId="4BF898B9" w14:textId="77777777" w:rsidR="00FA2119" w:rsidRDefault="00FA2119" w:rsidP="00FA2119">
      <w:pPr>
        <w:pStyle w:val="a5"/>
        <w:rPr>
          <w:rtl/>
        </w:rPr>
      </w:pPr>
      <w:r>
        <w:rPr>
          <w:rStyle w:val="a7"/>
        </w:rPr>
        <w:footnoteRef/>
      </w:r>
      <w:r>
        <w:rPr>
          <w:rtl/>
        </w:rPr>
        <w:t xml:space="preserve"> </w:t>
      </w:r>
      <w:r>
        <w:rPr>
          <w:rFonts w:cs="Arial"/>
          <w:rtl/>
        </w:rPr>
        <w:t xml:space="preserve">ופירש </w:t>
      </w:r>
      <w:r w:rsidRPr="001A11BF">
        <w:rPr>
          <w:rFonts w:cs="Arial"/>
          <w:b/>
          <w:bCs/>
          <w:rtl/>
        </w:rPr>
        <w:t>רש"י</w:t>
      </w:r>
      <w:r>
        <w:rPr>
          <w:rFonts w:cs="Arial"/>
          <w:rtl/>
        </w:rPr>
        <w:t xml:space="preserve"> דאי לא מאריך ליה מיחזי כיו"ד משמע ספר תיריכין גרושות דעלמא ואגרת שביקין נשים עזובות דעלמא ולא שלה הוא</w:t>
      </w:r>
      <w:r>
        <w:rPr>
          <w:rFonts w:cs="Arial" w:hint="cs"/>
          <w:rtl/>
        </w:rPr>
        <w:t>.</w:t>
      </w:r>
      <w:r>
        <w:rPr>
          <w:rFonts w:cs="Arial"/>
          <w:rtl/>
        </w:rPr>
        <w:t xml:space="preserve"> ואי לא מאריך וי"ו דוכדו משמע וכדי</w:t>
      </w:r>
      <w:r>
        <w:rPr>
          <w:rFonts w:cs="Arial" w:hint="cs"/>
          <w:rtl/>
        </w:rPr>
        <w:t>,</w:t>
      </w:r>
      <w:r>
        <w:rPr>
          <w:rFonts w:cs="Arial"/>
          <w:rtl/>
        </w:rPr>
        <w:t xml:space="preserve"> כלומר בולא כלום באין ספר כמו כדי נסבה (ר"ה ה.). </w:t>
      </w:r>
      <w:r w:rsidRPr="001A11BF">
        <w:rPr>
          <w:rFonts w:cs="Arial"/>
          <w:b/>
          <w:bCs/>
          <w:rtl/>
        </w:rPr>
        <w:t>והרמב"ם</w:t>
      </w:r>
      <w:r>
        <w:rPr>
          <w:rFonts w:cs="Arial"/>
          <w:rtl/>
        </w:rPr>
        <w:t xml:space="preserve"> כתב </w:t>
      </w:r>
      <w:r>
        <w:rPr>
          <w:rFonts w:cs="Arial" w:hint="cs"/>
          <w:rtl/>
        </w:rPr>
        <w:t>(</w:t>
      </w:r>
      <w:r>
        <w:rPr>
          <w:rFonts w:cs="Arial"/>
          <w:rtl/>
        </w:rPr>
        <w:t>פ</w:t>
      </w:r>
      <w:r>
        <w:rPr>
          <w:rFonts w:cs="Arial" w:hint="cs"/>
          <w:rtl/>
        </w:rPr>
        <w:t>"</w:t>
      </w:r>
      <w:r>
        <w:rPr>
          <w:rFonts w:cs="Arial"/>
          <w:rtl/>
        </w:rPr>
        <w:t>ד</w:t>
      </w:r>
      <w:r>
        <w:rPr>
          <w:rFonts w:cs="Arial" w:hint="cs"/>
          <w:rtl/>
        </w:rPr>
        <w:t xml:space="preserve"> </w:t>
      </w:r>
      <w:r>
        <w:rPr>
          <w:rFonts w:cs="Arial"/>
          <w:rtl/>
        </w:rPr>
        <w:t>הי"ג) דוכדי משמע בתנאי זה אפטור אותך</w:t>
      </w:r>
      <w:r>
        <w:rPr>
          <w:rFonts w:cs="Arial" w:hint="cs"/>
          <w:rtl/>
        </w:rPr>
        <w:t>,</w:t>
      </w:r>
      <w:r>
        <w:rPr>
          <w:rFonts w:cs="Arial"/>
          <w:rtl/>
        </w:rPr>
        <w:t xml:space="preserve"> וכן תריכין ושביקין משמע שהוא אומר לה שהיא שבקה אותו וגירשה אותו</w:t>
      </w:r>
      <w:r>
        <w:rPr>
          <w:rFonts w:cs="Arial" w:hint="cs"/>
          <w:rtl/>
        </w:rPr>
        <w:t>, ב"י.</w:t>
      </w:r>
    </w:p>
  </w:footnote>
  <w:footnote w:id="736">
    <w:p w14:paraId="1B07CF05" w14:textId="77777777" w:rsidR="00FA2119" w:rsidRDefault="00FA2119" w:rsidP="00FA2119">
      <w:pPr>
        <w:pStyle w:val="a5"/>
      </w:pPr>
      <w:r>
        <w:rPr>
          <w:rStyle w:val="a7"/>
        </w:rPr>
        <w:footnoteRef/>
      </w:r>
      <w:r>
        <w:rPr>
          <w:rtl/>
        </w:rPr>
        <w:t xml:space="preserve"> </w:t>
      </w:r>
      <w:r>
        <w:rPr>
          <w:rFonts w:hint="cs"/>
          <w:rtl/>
        </w:rPr>
        <w:t xml:space="preserve">לכאורה משמע להאריך יותר מוי"ו רגילה. </w:t>
      </w:r>
    </w:p>
  </w:footnote>
  <w:footnote w:id="737">
    <w:p w14:paraId="159DB62E" w14:textId="77777777" w:rsidR="00FA2119" w:rsidRDefault="00FA2119" w:rsidP="00FA2119">
      <w:pPr>
        <w:pStyle w:val="a5"/>
      </w:pPr>
      <w:r>
        <w:rPr>
          <w:rStyle w:val="a7"/>
        </w:rPr>
        <w:footnoteRef/>
      </w:r>
      <w:r>
        <w:rPr>
          <w:rtl/>
        </w:rPr>
        <w:t xml:space="preserve"> </w:t>
      </w:r>
      <w:r w:rsidRPr="00061D30">
        <w:rPr>
          <w:rFonts w:cs="Arial"/>
          <w:rtl/>
        </w:rPr>
        <w:t>ולא יותר מדאי שלא תהיה נראה כנו"ן</w:t>
      </w:r>
      <w:r>
        <w:rPr>
          <w:rFonts w:cs="Arial" w:hint="cs"/>
          <w:rtl/>
        </w:rPr>
        <w:t>,</w:t>
      </w:r>
      <w:r w:rsidRPr="001A5B4C">
        <w:rPr>
          <w:rFonts w:cs="Arial"/>
          <w:rtl/>
        </w:rPr>
        <w:t xml:space="preserve"> </w:t>
      </w:r>
      <w:r w:rsidRPr="00061D30">
        <w:rPr>
          <w:rFonts w:cs="Arial"/>
          <w:rtl/>
        </w:rPr>
        <w:t xml:space="preserve">כל בו </w:t>
      </w:r>
      <w:r w:rsidRPr="001A5B4C">
        <w:rPr>
          <w:rFonts w:cs="Arial"/>
          <w:rtl/>
        </w:rPr>
        <w:t>(סי' עו מז ע"ד</w:t>
      </w:r>
      <w:r w:rsidRPr="001A5B4C">
        <w:rPr>
          <w:rFonts w:cs="Arial" w:hint="cs"/>
          <w:rtl/>
        </w:rPr>
        <w:t>, הביאו</w:t>
      </w:r>
      <w:r>
        <w:rPr>
          <w:rFonts w:cs="Arial" w:hint="cs"/>
          <w:rtl/>
        </w:rPr>
        <w:t>הו הב"י [סע' לו]</w:t>
      </w:r>
      <w:r w:rsidRPr="001A5B4C">
        <w:rPr>
          <w:rFonts w:cs="Arial" w:hint="cs"/>
          <w:rtl/>
        </w:rPr>
        <w:t xml:space="preserve"> </w:t>
      </w:r>
      <w:r>
        <w:rPr>
          <w:rFonts w:cs="Arial" w:hint="cs"/>
          <w:rtl/>
        </w:rPr>
        <w:t>ו</w:t>
      </w:r>
      <w:r w:rsidRPr="001A5B4C">
        <w:rPr>
          <w:rFonts w:cs="Arial" w:hint="cs"/>
          <w:rtl/>
        </w:rPr>
        <w:t xml:space="preserve">הדרכ"מ </w:t>
      </w:r>
      <w:r>
        <w:rPr>
          <w:rFonts w:cs="Arial" w:hint="cs"/>
          <w:rtl/>
        </w:rPr>
        <w:t>[</w:t>
      </w:r>
      <w:r w:rsidRPr="001A5B4C">
        <w:rPr>
          <w:rFonts w:cs="Arial" w:hint="cs"/>
          <w:rtl/>
        </w:rPr>
        <w:t xml:space="preserve">אות </w:t>
      </w:r>
      <w:r w:rsidRPr="001A5B4C">
        <w:rPr>
          <w:rFonts w:cs="Arial"/>
          <w:rtl/>
        </w:rPr>
        <w:t>טו</w:t>
      </w:r>
      <w:r>
        <w:rPr>
          <w:rFonts w:cs="Arial" w:hint="cs"/>
          <w:rtl/>
        </w:rPr>
        <w:t>]</w:t>
      </w:r>
      <w:r w:rsidRPr="001A5B4C">
        <w:rPr>
          <w:rFonts w:cs="Arial"/>
          <w:rtl/>
        </w:rPr>
        <w:t>)</w:t>
      </w:r>
      <w:r>
        <w:rPr>
          <w:rFonts w:cs="Arial" w:hint="cs"/>
          <w:rtl/>
        </w:rPr>
        <w:t>.</w:t>
      </w:r>
      <w:r w:rsidRPr="001A5B4C">
        <w:rPr>
          <w:rFonts w:cs="Arial" w:hint="cs"/>
          <w:color w:val="00B0F0"/>
          <w:rtl/>
        </w:rPr>
        <w:t xml:space="preserve"> (וכ"כ בהג"ה)</w:t>
      </w:r>
    </w:p>
  </w:footnote>
  <w:footnote w:id="738">
    <w:p w14:paraId="5E62C180" w14:textId="77777777" w:rsidR="00FA2119" w:rsidRDefault="00FA2119" w:rsidP="00FA2119">
      <w:pPr>
        <w:pStyle w:val="a5"/>
      </w:pPr>
      <w:r>
        <w:rPr>
          <w:rStyle w:val="a7"/>
        </w:rPr>
        <w:footnoteRef/>
      </w:r>
      <w:r>
        <w:rPr>
          <w:rtl/>
        </w:rPr>
        <w:t xml:space="preserve"> </w:t>
      </w:r>
      <w:r w:rsidRPr="004A2096">
        <w:rPr>
          <w:rFonts w:cs="Arial"/>
          <w:rtl/>
        </w:rPr>
        <w:t>ומעשה בגט שלא היה ניכר היטב בין וי"ו ליו"ד שבא לפני רבינו אליהו והביא תינוק דלא חכים ולא טיפש לקרות אותה התיבה כדאמר במנחות גבי תפילין (כט:) זיל אייתי תינוק דלא חכים ולא טיפש אי קרי ויהרג כשר אי לא ייהרג הוא ופסול</w:t>
      </w:r>
      <w:r>
        <w:rPr>
          <w:rFonts w:cs="Arial" w:hint="cs"/>
          <w:rtl/>
        </w:rPr>
        <w:t>, תוס' (שם).</w:t>
      </w:r>
    </w:p>
  </w:footnote>
  <w:footnote w:id="739">
    <w:p w14:paraId="0DA62D96" w14:textId="77777777" w:rsidR="00FA2119" w:rsidRDefault="00FA2119" w:rsidP="00FA2119">
      <w:pPr>
        <w:pStyle w:val="a5"/>
      </w:pPr>
      <w:r>
        <w:rPr>
          <w:rStyle w:val="a7"/>
        </w:rPr>
        <w:footnoteRef/>
      </w:r>
      <w:r>
        <w:rPr>
          <w:rtl/>
        </w:rPr>
        <w:t xml:space="preserve"> </w:t>
      </w:r>
      <w:r>
        <w:rPr>
          <w:rFonts w:cs="Arial"/>
          <w:rtl/>
        </w:rPr>
        <w:t>קשה לי שאם ווי"ן אלו לא היו ארוכות יותר מהראוי כשר גמור היה כיון שתינוק קורא אותם ווי"ן</w:t>
      </w:r>
      <w:r>
        <w:rPr>
          <w:rFonts w:cs="Arial" w:hint="cs"/>
          <w:rtl/>
        </w:rPr>
        <w:t>,</w:t>
      </w:r>
      <w:r>
        <w:rPr>
          <w:rFonts w:cs="Arial"/>
          <w:rtl/>
        </w:rPr>
        <w:t xml:space="preserve"> וכמו שכתב רבינו (יז.) גבי ולורכיה לוי"ו דתרוכין והסכימו בו הרא"ש ושאר מפרשים דלורכיה לאו דוקא</w:t>
      </w:r>
      <w:r>
        <w:rPr>
          <w:rFonts w:cs="Arial" w:hint="cs"/>
          <w:rtl/>
        </w:rPr>
        <w:t>.</w:t>
      </w:r>
      <w:r>
        <w:rPr>
          <w:rFonts w:cs="Arial"/>
          <w:rtl/>
        </w:rPr>
        <w:t xml:space="preserve"> ואם היו קצרות שאינן נקראות ווי"ן היאך הכשיר היכא דניתן לה. ונראה לי דאע"ג דמדינא אין צריך להאריך ווי"ן הנזכרים בתלמוד יותר מדאי כיון שנהגו להאריך קפדינן בהו לכתחלה וכמו שהשיב (כלל מה סי"ג) בגט שאין אותיותיו מוקפות גויל שבארצו נהגו לפסול אע</w:t>
      </w:r>
      <w:r>
        <w:rPr>
          <w:rFonts w:cs="Arial" w:hint="cs"/>
          <w:rtl/>
        </w:rPr>
        <w:t>"</w:t>
      </w:r>
      <w:r>
        <w:rPr>
          <w:rFonts w:cs="Arial"/>
          <w:rtl/>
        </w:rPr>
        <w:t>פ שהוא פסק בפסקים (פ"ב סי' יט) להכשיר</w:t>
      </w:r>
      <w:r>
        <w:rPr>
          <w:rFonts w:cs="Arial" w:hint="cs"/>
          <w:rtl/>
        </w:rPr>
        <w:t xml:space="preserve"> </w:t>
      </w:r>
      <w:r>
        <w:rPr>
          <w:rFonts w:cs="Arial" w:hint="cs"/>
          <w:sz w:val="16"/>
          <w:szCs w:val="16"/>
          <w:rtl/>
        </w:rPr>
        <w:t>{</w:t>
      </w:r>
      <w:r w:rsidRPr="00B0371A">
        <w:rPr>
          <w:rFonts w:cs="Arial" w:hint="cs"/>
          <w:sz w:val="16"/>
          <w:szCs w:val="16"/>
          <w:rtl/>
        </w:rPr>
        <w:t xml:space="preserve">וכן פירש הב"ח (אות ה ד"ה </w:t>
      </w:r>
      <w:r w:rsidRPr="00B0371A">
        <w:rPr>
          <w:rFonts w:cs="Arial"/>
          <w:sz w:val="16"/>
          <w:szCs w:val="16"/>
          <w:rtl/>
        </w:rPr>
        <w:t>ולאו דוקא לורכיה</w:t>
      </w:r>
      <w:r w:rsidRPr="00B0371A">
        <w:rPr>
          <w:rFonts w:cs="Arial" w:hint="cs"/>
          <w:sz w:val="16"/>
          <w:szCs w:val="16"/>
          <w:rtl/>
        </w:rPr>
        <w:t>)</w:t>
      </w:r>
      <w:r w:rsidRPr="00B0371A">
        <w:rPr>
          <w:rFonts w:cs="Arial" w:hint="cs"/>
          <w:sz w:val="16"/>
          <w:szCs w:val="16"/>
        </w:rPr>
        <w:t xml:space="preserve"> </w:t>
      </w:r>
      <w:r w:rsidRPr="00B0371A">
        <w:rPr>
          <w:rFonts w:cs="Arial" w:hint="cs"/>
          <w:sz w:val="16"/>
          <w:szCs w:val="16"/>
          <w:rtl/>
        </w:rPr>
        <w:t>את לשון הטור והרא"ש. אך הב"ש (סקל"ב) לא קיבל פירוש זה</w:t>
      </w:r>
      <w:r>
        <w:rPr>
          <w:rFonts w:cs="Arial" w:hint="cs"/>
          <w:sz w:val="16"/>
          <w:szCs w:val="16"/>
          <w:rtl/>
        </w:rPr>
        <w:t>,</w:t>
      </w:r>
      <w:r w:rsidRPr="00B0371A">
        <w:rPr>
          <w:rFonts w:cs="Arial"/>
          <w:sz w:val="16"/>
          <w:szCs w:val="16"/>
          <w:rtl/>
        </w:rPr>
        <w:t xml:space="preserve"> וכ"פ הט"ז </w:t>
      </w:r>
      <w:r w:rsidRPr="00B0371A">
        <w:rPr>
          <w:rFonts w:cs="Arial" w:hint="cs"/>
          <w:sz w:val="16"/>
          <w:szCs w:val="16"/>
          <w:rtl/>
        </w:rPr>
        <w:t>ד</w:t>
      </w:r>
      <w:r w:rsidRPr="00B0371A">
        <w:rPr>
          <w:rFonts w:cs="Arial"/>
          <w:sz w:val="16"/>
          <w:szCs w:val="16"/>
          <w:rtl/>
        </w:rPr>
        <w:t>אפי' בלא דחק כשר אם לא האריך</w:t>
      </w:r>
      <w:r>
        <w:rPr>
          <w:rFonts w:cs="Arial" w:hint="cs"/>
          <w:sz w:val="16"/>
          <w:szCs w:val="16"/>
          <w:rtl/>
        </w:rPr>
        <w:t>}</w:t>
      </w:r>
      <w:r>
        <w:rPr>
          <w:rFonts w:cs="Arial"/>
          <w:rtl/>
        </w:rPr>
        <w:t>. אי נמי ווי"ן היו נקראים על ידי הדחק ומשום הכי הצריך להאריכן</w:t>
      </w:r>
      <w:r>
        <w:rPr>
          <w:rFonts w:cs="Arial" w:hint="cs"/>
          <w:rtl/>
        </w:rPr>
        <w:t xml:space="preserve">, </w:t>
      </w:r>
      <w:r w:rsidRPr="00212303">
        <w:rPr>
          <w:rFonts w:cs="Arial" w:hint="cs"/>
          <w:b/>
          <w:bCs/>
          <w:rtl/>
        </w:rPr>
        <w:t>ב"י</w:t>
      </w:r>
      <w:r>
        <w:rPr>
          <w:rFonts w:cs="Arial" w:hint="cs"/>
          <w:rtl/>
        </w:rPr>
        <w:t>.</w:t>
      </w:r>
      <w:r w:rsidRPr="00496F83">
        <w:rPr>
          <w:rFonts w:cs="Arial"/>
          <w:rtl/>
        </w:rPr>
        <w:t xml:space="preserve"> ועיין בתשובות בר ששת </w:t>
      </w:r>
      <w:r>
        <w:rPr>
          <w:rFonts w:cs="Arial" w:hint="cs"/>
          <w:rtl/>
        </w:rPr>
        <w:t>(</w:t>
      </w:r>
      <w:r w:rsidRPr="00496F83">
        <w:rPr>
          <w:rFonts w:cs="Arial"/>
          <w:rtl/>
        </w:rPr>
        <w:t>סי</w:t>
      </w:r>
      <w:r>
        <w:rPr>
          <w:rFonts w:cs="Arial" w:hint="cs"/>
          <w:rtl/>
        </w:rPr>
        <w:t>'</w:t>
      </w:r>
      <w:r w:rsidRPr="00496F83">
        <w:rPr>
          <w:rFonts w:cs="Arial"/>
          <w:rtl/>
        </w:rPr>
        <w:t xml:space="preserve"> נו</w:t>
      </w:r>
      <w:r>
        <w:rPr>
          <w:rFonts w:cs="Arial" w:hint="cs"/>
          <w:rtl/>
        </w:rPr>
        <w:t>,</w:t>
      </w:r>
      <w:r w:rsidRPr="00496F83">
        <w:rPr>
          <w:rFonts w:cs="Arial"/>
          <w:rtl/>
        </w:rPr>
        <w:t xml:space="preserve"> וסי</w:t>
      </w:r>
      <w:r>
        <w:rPr>
          <w:rFonts w:cs="Arial" w:hint="cs"/>
          <w:rtl/>
        </w:rPr>
        <w:t>'</w:t>
      </w:r>
      <w:r w:rsidRPr="00496F83">
        <w:rPr>
          <w:rFonts w:cs="Arial"/>
          <w:rtl/>
        </w:rPr>
        <w:t xml:space="preserve"> שטו</w:t>
      </w:r>
      <w:r>
        <w:rPr>
          <w:rFonts w:cs="Arial" w:hint="cs"/>
          <w:rtl/>
        </w:rPr>
        <w:t>)</w:t>
      </w:r>
      <w:r w:rsidRPr="00496F83">
        <w:rPr>
          <w:rFonts w:cs="Arial"/>
          <w:rtl/>
        </w:rPr>
        <w:t xml:space="preserve"> דמשמע קצת דאין נראה לו להכשיר אא</w:t>
      </w:r>
      <w:r>
        <w:rPr>
          <w:rFonts w:cs="Arial" w:hint="cs"/>
          <w:rtl/>
        </w:rPr>
        <w:t>"</w:t>
      </w:r>
      <w:r w:rsidRPr="00496F83">
        <w:rPr>
          <w:rFonts w:cs="Arial"/>
          <w:rtl/>
        </w:rPr>
        <w:t>כ הוא כשאר ווי"ן אלא שאינן ארוכות כראוי להן כגון ו' דתרוכין ופטורין ושבוקין כמו שנתבאר לעיל (ד"מ הארוך סעיף יא ד"ה ולאו דוקא)</w:t>
      </w:r>
      <w:r>
        <w:rPr>
          <w:rFonts w:cs="Arial" w:hint="cs"/>
          <w:rtl/>
        </w:rPr>
        <w:t xml:space="preserve">, </w:t>
      </w:r>
      <w:r w:rsidRPr="00212303">
        <w:rPr>
          <w:rFonts w:cs="Arial" w:hint="cs"/>
          <w:b/>
          <w:bCs/>
          <w:rtl/>
        </w:rPr>
        <w:t>דרכ"מ</w:t>
      </w:r>
      <w:r>
        <w:rPr>
          <w:rFonts w:cs="Arial" w:hint="cs"/>
          <w:rtl/>
        </w:rPr>
        <w:t xml:space="preserve"> </w:t>
      </w:r>
      <w:r w:rsidRPr="00496F83">
        <w:rPr>
          <w:rFonts w:cs="Arial"/>
          <w:rtl/>
        </w:rPr>
        <w:t>(</w:t>
      </w:r>
      <w:r>
        <w:rPr>
          <w:rFonts w:cs="Arial" w:hint="cs"/>
          <w:rtl/>
        </w:rPr>
        <w:t xml:space="preserve">אות </w:t>
      </w:r>
      <w:r w:rsidRPr="00496F83">
        <w:rPr>
          <w:rFonts w:cs="Arial"/>
          <w:rtl/>
        </w:rPr>
        <w:t>כה*)</w:t>
      </w:r>
      <w:r>
        <w:rPr>
          <w:rFonts w:cs="Arial" w:hint="cs"/>
          <w:rtl/>
        </w:rPr>
        <w:t>.</w:t>
      </w:r>
    </w:p>
  </w:footnote>
  <w:footnote w:id="740">
    <w:p w14:paraId="3B2F7E0D" w14:textId="77777777" w:rsidR="00FA2119" w:rsidRPr="004B64DE" w:rsidRDefault="00FA2119" w:rsidP="00FA2119">
      <w:pPr>
        <w:pStyle w:val="a5"/>
      </w:pPr>
      <w:r w:rsidRPr="004B64DE">
        <w:rPr>
          <w:rStyle w:val="a7"/>
        </w:rPr>
        <w:footnoteRef/>
      </w:r>
      <w:r w:rsidRPr="004B64DE">
        <w:rPr>
          <w:rtl/>
        </w:rPr>
        <w:t xml:space="preserve"> </w:t>
      </w:r>
      <w:r w:rsidRPr="004B64DE">
        <w:rPr>
          <w:rFonts w:cs="Arial" w:hint="cs"/>
          <w:rtl/>
        </w:rPr>
        <w:t>ואם לא האריך כשר לכתחילה, ט"ז ב"ש (סקל"ב) ו</w:t>
      </w:r>
      <w:r w:rsidRPr="004B64DE">
        <w:rPr>
          <w:rFonts w:cs="Arial"/>
          <w:rtl/>
        </w:rPr>
        <w:t>פנ</w:t>
      </w:r>
      <w:r w:rsidRPr="004B64DE">
        <w:rPr>
          <w:rFonts w:cs="Arial" w:hint="cs"/>
          <w:rtl/>
        </w:rPr>
        <w:t>מ"א (</w:t>
      </w:r>
      <w:r w:rsidRPr="004B64DE">
        <w:rPr>
          <w:rFonts w:cs="Arial"/>
          <w:rtl/>
        </w:rPr>
        <w:t>ח"ג סי' מז</w:t>
      </w:r>
      <w:r w:rsidRPr="004B64DE">
        <w:rPr>
          <w:rFonts w:cs="Arial" w:hint="cs"/>
          <w:rtl/>
        </w:rPr>
        <w:t>).</w:t>
      </w:r>
    </w:p>
  </w:footnote>
  <w:footnote w:id="741">
    <w:p w14:paraId="28039928" w14:textId="77777777" w:rsidR="00FA2119" w:rsidRDefault="00FA2119" w:rsidP="00FA2119">
      <w:pPr>
        <w:pStyle w:val="a5"/>
        <w:rPr>
          <w:rtl/>
        </w:rPr>
      </w:pPr>
      <w:r>
        <w:rPr>
          <w:rStyle w:val="a7"/>
        </w:rPr>
        <w:footnoteRef/>
      </w:r>
      <w:r>
        <w:rPr>
          <w:rtl/>
        </w:rPr>
        <w:t xml:space="preserve"> </w:t>
      </w:r>
      <w:r w:rsidRPr="004C3D7D">
        <w:rPr>
          <w:rFonts w:cs="Arial"/>
          <w:rtl/>
        </w:rPr>
        <w:t>ולי יראה דיש להכשיר במקום עיגון כיון דתיבת למהך הוא בטופס ואין שום שינוי במשמעות הגירושין ואפילו דלג תיבת למהך יש להכשיר בדיעבד</w:t>
      </w:r>
      <w:r>
        <w:rPr>
          <w:rFonts w:hint="cs"/>
          <w:rtl/>
        </w:rPr>
        <w:t>, ג"פ (סע' יד).</w:t>
      </w:r>
    </w:p>
  </w:footnote>
  <w:footnote w:id="742">
    <w:p w14:paraId="2D17649B" w14:textId="77777777" w:rsidR="00FA2119" w:rsidRDefault="00FA2119" w:rsidP="00FA2119">
      <w:pPr>
        <w:pStyle w:val="a5"/>
      </w:pPr>
      <w:r>
        <w:rPr>
          <w:rStyle w:val="a7"/>
        </w:rPr>
        <w:footnoteRef/>
      </w:r>
      <w:r>
        <w:rPr>
          <w:rtl/>
        </w:rPr>
        <w:t xml:space="preserve"> </w:t>
      </w:r>
      <w:r w:rsidRPr="00061D30">
        <w:rPr>
          <w:rFonts w:cs="Arial"/>
          <w:rtl/>
        </w:rPr>
        <w:t xml:space="preserve">ובתשובת המרדכי </w:t>
      </w:r>
      <w:r>
        <w:rPr>
          <w:rFonts w:cs="Arial" w:hint="cs"/>
          <w:rtl/>
        </w:rPr>
        <w:t>(</w:t>
      </w:r>
      <w:r w:rsidRPr="00061D30">
        <w:rPr>
          <w:rFonts w:cs="Arial"/>
          <w:rtl/>
        </w:rPr>
        <w:t>ריש המגרש סי' תמו) משמע ג"כ דיש לכתבו מלא</w:t>
      </w:r>
      <w:r>
        <w:rPr>
          <w:rFonts w:cs="Arial" w:hint="cs"/>
          <w:rtl/>
        </w:rPr>
        <w:t>,</w:t>
      </w:r>
      <w:r w:rsidRPr="00061D30">
        <w:rPr>
          <w:rFonts w:cs="Arial"/>
          <w:rtl/>
        </w:rPr>
        <w:t xml:space="preserve"> ואם כתבו חסר כשר</w:t>
      </w:r>
      <w:r>
        <w:rPr>
          <w:rFonts w:cs="Arial" w:hint="cs"/>
          <w:rtl/>
        </w:rPr>
        <w:t>, דרכ"מ (אות טז*).</w:t>
      </w:r>
    </w:p>
  </w:footnote>
  <w:footnote w:id="743">
    <w:p w14:paraId="757B5650" w14:textId="77777777" w:rsidR="00FA2119" w:rsidRDefault="00FA2119" w:rsidP="00FA2119">
      <w:pPr>
        <w:pStyle w:val="a5"/>
      </w:pPr>
      <w:r>
        <w:rPr>
          <w:rStyle w:val="a7"/>
        </w:rPr>
        <w:footnoteRef/>
      </w:r>
      <w:r>
        <w:rPr>
          <w:rtl/>
        </w:rPr>
        <w:t xml:space="preserve"> </w:t>
      </w:r>
      <w:r w:rsidRPr="004A5F6D">
        <w:rPr>
          <w:rFonts w:cs="Arial"/>
          <w:rtl/>
        </w:rPr>
        <w:t>וכן כתוב בסמ"ג (עשין נ) שאין יו"ד גם אחר הפ"א</w:t>
      </w:r>
      <w:r>
        <w:rPr>
          <w:rFonts w:cs="Arial" w:hint="cs"/>
          <w:rtl/>
        </w:rPr>
        <w:t xml:space="preserve">, </w:t>
      </w:r>
      <w:r w:rsidRPr="00BC1FD7">
        <w:rPr>
          <w:rFonts w:cs="Arial" w:hint="cs"/>
          <w:b/>
          <w:bCs/>
          <w:rtl/>
        </w:rPr>
        <w:t>ב"י</w:t>
      </w:r>
      <w:r>
        <w:rPr>
          <w:rFonts w:cs="Arial" w:hint="cs"/>
          <w:rtl/>
        </w:rPr>
        <w:t>.</w:t>
      </w:r>
      <w:r w:rsidRPr="00061D30">
        <w:rPr>
          <w:rFonts w:cs="Arial"/>
          <w:rtl/>
        </w:rPr>
        <w:t xml:space="preserve"> וכן הוא בסדר גיטין של מהרי"ל (הל' גיטין ע</w:t>
      </w:r>
      <w:r>
        <w:rPr>
          <w:rFonts w:cs="Arial" w:hint="cs"/>
          <w:rtl/>
        </w:rPr>
        <w:t>:</w:t>
      </w:r>
      <w:r w:rsidRPr="00061D30">
        <w:rPr>
          <w:rFonts w:cs="Arial"/>
          <w:rtl/>
        </w:rPr>
        <w:t>)</w:t>
      </w:r>
      <w:r>
        <w:rPr>
          <w:rFonts w:cs="Arial" w:hint="cs"/>
          <w:rtl/>
        </w:rPr>
        <w:t xml:space="preserve">, </w:t>
      </w:r>
      <w:r w:rsidRPr="00BC1FD7">
        <w:rPr>
          <w:rFonts w:cs="Arial" w:hint="cs"/>
          <w:b/>
          <w:bCs/>
          <w:rtl/>
        </w:rPr>
        <w:t>דרכ"מ</w:t>
      </w:r>
      <w:r>
        <w:rPr>
          <w:rFonts w:cs="Arial" w:hint="cs"/>
          <w:rtl/>
        </w:rPr>
        <w:t xml:space="preserve"> (אות יז).</w:t>
      </w:r>
    </w:p>
  </w:footnote>
  <w:footnote w:id="744">
    <w:p w14:paraId="17AB2A42" w14:textId="77777777" w:rsidR="00FA2119" w:rsidRDefault="00FA2119" w:rsidP="00FA2119">
      <w:pPr>
        <w:pStyle w:val="a5"/>
        <w:rPr>
          <w:rtl/>
        </w:rPr>
      </w:pPr>
      <w:r>
        <w:rPr>
          <w:rStyle w:val="a7"/>
        </w:rPr>
        <w:footnoteRef/>
      </w:r>
      <w:r>
        <w:rPr>
          <w:rtl/>
        </w:rPr>
        <w:t xml:space="preserve"> </w:t>
      </w:r>
      <w:r>
        <w:rPr>
          <w:rFonts w:cs="Arial" w:hint="cs"/>
          <w:rtl/>
        </w:rPr>
        <w:t xml:space="preserve">וכן </w:t>
      </w:r>
      <w:r w:rsidRPr="00061D30">
        <w:rPr>
          <w:rFonts w:cs="Arial"/>
          <w:rtl/>
        </w:rPr>
        <w:t>נהיגין לכתבו חסר</w:t>
      </w:r>
      <w:r>
        <w:rPr>
          <w:rFonts w:cs="Arial" w:hint="cs"/>
          <w:rtl/>
        </w:rPr>
        <w:t>, ולכן</w:t>
      </w:r>
      <w:r w:rsidRPr="00061D30">
        <w:rPr>
          <w:rFonts w:cs="Arial"/>
          <w:rtl/>
        </w:rPr>
        <w:t xml:space="preserve"> גם ו' דפטורין צריך לאורוכי</w:t>
      </w:r>
      <w:r>
        <w:rPr>
          <w:rFonts w:cs="Arial" w:hint="cs"/>
          <w:rtl/>
        </w:rPr>
        <w:t>,</w:t>
      </w:r>
      <w:r w:rsidRPr="00061D30">
        <w:rPr>
          <w:rFonts w:cs="Arial"/>
          <w:rtl/>
        </w:rPr>
        <w:t xml:space="preserve"> וכן המנהג וכן הוא במרדכי (סי' תנד)</w:t>
      </w:r>
      <w:r>
        <w:rPr>
          <w:rFonts w:cs="Arial" w:hint="cs"/>
          <w:rtl/>
        </w:rPr>
        <w:t>, ע"פ דרכ"מ (אות טז)</w:t>
      </w:r>
    </w:p>
  </w:footnote>
  <w:footnote w:id="745">
    <w:p w14:paraId="1C80EEBC" w14:textId="77777777" w:rsidR="00FA2119" w:rsidRDefault="00FA2119" w:rsidP="00FA2119">
      <w:pPr>
        <w:pStyle w:val="a5"/>
        <w:rPr>
          <w:rtl/>
        </w:rPr>
      </w:pPr>
      <w:r>
        <w:rPr>
          <w:rStyle w:val="a7"/>
        </w:rPr>
        <w:footnoteRef/>
      </w:r>
      <w:r>
        <w:rPr>
          <w:rtl/>
        </w:rPr>
        <w:t xml:space="preserve"> </w:t>
      </w:r>
      <w:r w:rsidRPr="00B42E0A">
        <w:rPr>
          <w:rFonts w:cs="Arial"/>
          <w:rtl/>
        </w:rPr>
        <w:t>עיין בס' ג"פ שהאריך בזה ומביא דברי הפוסקים בתשובותיהם מערכה מול מערכה ובסוף העלה דלהספרדים הנוהגים לכתוב פיטורין בב' יודין אם כתב הסופר חסר יוד ראשונה ועדיין לא נמסר הגט ביד האשה יש לכתוב גט אחר בב' יודין אך אם השעה דחוקה כגון גט ש"מ או גט זמן שהבעל נחפז ללכת או גט שבא ממ"ה שהוא חסר י' ראשונה יש להכשיר ולמוסרו ביד האשה לכתחלה ואצ"ל דאם נמסר הגט ביד האשה דאין לחוש לכתוב אחר אפי' אם הבעל בפנינו. וה"ה לבני אשכנז דנהגו לכתוב פטורין חסר יוד ראשונה אם כתבו מלא יש לכתוב גט אחר אם אינו שעת הדחק ואם הוא שעת הדחק או שכבר נמסר ליד האשה אין לחוש לכתוב גט אחר ע"ש ועמ"ש לקמן סמ"ט ס"ק נו"ן</w:t>
      </w:r>
      <w:r>
        <w:rPr>
          <w:rFonts w:hint="cs"/>
          <w:rtl/>
        </w:rPr>
        <w:t>, פת"ש (סקכ"ב).</w:t>
      </w:r>
    </w:p>
  </w:footnote>
  <w:footnote w:id="746">
    <w:p w14:paraId="19536416" w14:textId="77777777" w:rsidR="00FA2119" w:rsidRDefault="00FA2119" w:rsidP="00FA2119">
      <w:pPr>
        <w:pStyle w:val="a5"/>
        <w:rPr>
          <w:rtl/>
        </w:rPr>
      </w:pPr>
      <w:r>
        <w:rPr>
          <w:rStyle w:val="a7"/>
        </w:rPr>
        <w:footnoteRef/>
      </w:r>
      <w:r>
        <w:rPr>
          <w:rtl/>
        </w:rPr>
        <w:t xml:space="preserve"> </w:t>
      </w:r>
      <w:r w:rsidRPr="007330DE">
        <w:rPr>
          <w:rFonts w:cs="Arial"/>
          <w:rtl/>
        </w:rPr>
        <w:t>דמשמע לי מהך</w:t>
      </w:r>
      <w:r>
        <w:rPr>
          <w:rFonts w:cs="Arial" w:hint="cs"/>
          <w:rtl/>
        </w:rPr>
        <w:t xml:space="preserve"> -</w:t>
      </w:r>
      <w:r w:rsidRPr="007330DE">
        <w:rPr>
          <w:rFonts w:cs="Arial"/>
          <w:rtl/>
        </w:rPr>
        <w:t xml:space="preserve"> לי תהי מספר הזה ואילך</w:t>
      </w:r>
      <w:r>
        <w:rPr>
          <w:rFonts w:hint="cs"/>
          <w:rtl/>
        </w:rPr>
        <w:t>, רש"י.</w:t>
      </w:r>
    </w:p>
  </w:footnote>
  <w:footnote w:id="747">
    <w:p w14:paraId="2F3365E7" w14:textId="6B6FB2CB" w:rsidR="00FA2119" w:rsidRDefault="00FA2119" w:rsidP="00FA2119">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5D0F66">
        <w:rPr>
          <w:rFonts w:cs="Arial"/>
          <w:rtl/>
        </w:rPr>
        <w:t>ויזהר שירחיק יפה רגל הה"א דלא לישתמע למחך כי חוכא וכן כל שאר ההי"ן צריך ליזהר שלא יגע רגל הה"א למעלה כדאמרינן בפרק הקומץ רבה מאי טעמא תליה רגליה דה"א</w:t>
      </w:r>
      <w:r>
        <w:rPr>
          <w:rFonts w:cs="Arial" w:hint="cs"/>
          <w:rtl/>
        </w:rPr>
        <w:t>.</w:t>
      </w:r>
      <w:r w:rsidRPr="005D0F66">
        <w:rPr>
          <w:rFonts w:cs="Arial"/>
          <w:rtl/>
        </w:rPr>
        <w:t xml:space="preserve"> אבל בלמהך צריך ליזהר טפי.</w:t>
      </w:r>
    </w:p>
  </w:footnote>
  <w:footnote w:id="748">
    <w:p w14:paraId="61D91473" w14:textId="77777777" w:rsidR="00FA2119" w:rsidRDefault="00FA2119" w:rsidP="00FA2119">
      <w:pPr>
        <w:pStyle w:val="a5"/>
        <w:rPr>
          <w:rtl/>
        </w:rPr>
      </w:pPr>
      <w:r>
        <w:rPr>
          <w:rStyle w:val="a7"/>
        </w:rPr>
        <w:footnoteRef/>
      </w:r>
      <w:r>
        <w:rPr>
          <w:rtl/>
        </w:rPr>
        <w:t xml:space="preserve"> </w:t>
      </w:r>
      <w:r w:rsidRPr="00061D30">
        <w:rPr>
          <w:rFonts w:cs="Arial"/>
          <w:rtl/>
        </w:rPr>
        <w:t xml:space="preserve">כתב בסדר גיטין </w:t>
      </w:r>
      <w:r>
        <w:rPr>
          <w:rFonts w:cs="Arial" w:hint="cs"/>
          <w:rtl/>
        </w:rPr>
        <w:t>(</w:t>
      </w:r>
      <w:r w:rsidRPr="00061D30">
        <w:rPr>
          <w:rFonts w:cs="Arial"/>
          <w:rtl/>
        </w:rPr>
        <w:t>סי</w:t>
      </w:r>
      <w:r>
        <w:rPr>
          <w:rFonts w:cs="Arial" w:hint="cs"/>
          <w:rtl/>
        </w:rPr>
        <w:t>'</w:t>
      </w:r>
      <w:r w:rsidRPr="00061D30">
        <w:rPr>
          <w:rFonts w:cs="Arial"/>
          <w:rtl/>
        </w:rPr>
        <w:t xml:space="preserve"> מח הגהה ד) יזהר הסופר שלא יאריך גגה של ך' של למהך</w:t>
      </w:r>
      <w:r>
        <w:rPr>
          <w:rFonts w:cs="Arial" w:hint="cs"/>
          <w:rtl/>
        </w:rPr>
        <w:t>,</w:t>
      </w:r>
      <w:r w:rsidRPr="00061D30">
        <w:rPr>
          <w:rFonts w:cs="Arial"/>
          <w:rtl/>
        </w:rPr>
        <w:t xml:space="preserve"> כי אז נראה כרי"ש</w:t>
      </w:r>
      <w:r>
        <w:rPr>
          <w:rFonts w:cs="Arial" w:hint="cs"/>
          <w:rtl/>
        </w:rPr>
        <w:t>,</w:t>
      </w:r>
      <w:r w:rsidRPr="00061D30">
        <w:rPr>
          <w:rFonts w:cs="Arial"/>
          <w:rtl/>
        </w:rPr>
        <w:t xml:space="preserve"> כי רגל של הך' צריך להיות כפל מן הגג עכ"ל</w:t>
      </w:r>
      <w:r>
        <w:rPr>
          <w:rFonts w:cs="Arial" w:hint="cs"/>
          <w:rtl/>
        </w:rPr>
        <w:t>, דרכ"מ (אות יח).</w:t>
      </w:r>
    </w:p>
  </w:footnote>
  <w:footnote w:id="749">
    <w:p w14:paraId="5FF26F32" w14:textId="77777777" w:rsidR="00FA2119" w:rsidRDefault="00FA2119" w:rsidP="00FA2119">
      <w:pPr>
        <w:pStyle w:val="a5"/>
      </w:pPr>
      <w:r>
        <w:rPr>
          <w:rStyle w:val="a7"/>
        </w:rPr>
        <w:footnoteRef/>
      </w:r>
      <w:r>
        <w:rPr>
          <w:rtl/>
        </w:rPr>
        <w:t xml:space="preserve"> </w:t>
      </w:r>
      <w:r>
        <w:rPr>
          <w:rFonts w:cs="Arial"/>
          <w:rtl/>
        </w:rPr>
        <w:t xml:space="preserve">וכתב בעל </w:t>
      </w:r>
      <w:r w:rsidRPr="00B7182F">
        <w:rPr>
          <w:rFonts w:cs="Arial"/>
          <w:b/>
          <w:bCs/>
          <w:rtl/>
        </w:rPr>
        <w:t>תרוה</w:t>
      </w:r>
      <w:r w:rsidRPr="00B7182F">
        <w:rPr>
          <w:rFonts w:cs="Arial" w:hint="cs"/>
          <w:b/>
          <w:bCs/>
          <w:rtl/>
        </w:rPr>
        <w:t>"</w:t>
      </w:r>
      <w:r w:rsidRPr="00B7182F">
        <w:rPr>
          <w:rFonts w:cs="Arial"/>
          <w:b/>
          <w:bCs/>
          <w:rtl/>
        </w:rPr>
        <w:t xml:space="preserve">ד </w:t>
      </w:r>
      <w:r>
        <w:rPr>
          <w:rFonts w:cs="Arial" w:hint="cs"/>
          <w:rtl/>
        </w:rPr>
        <w:t>(</w:t>
      </w:r>
      <w:r>
        <w:rPr>
          <w:rFonts w:cs="Arial"/>
          <w:rtl/>
        </w:rPr>
        <w:t>סי</w:t>
      </w:r>
      <w:r>
        <w:rPr>
          <w:rFonts w:cs="Arial" w:hint="cs"/>
          <w:rtl/>
        </w:rPr>
        <w:t>'</w:t>
      </w:r>
      <w:r>
        <w:rPr>
          <w:rFonts w:cs="Arial"/>
          <w:rtl/>
        </w:rPr>
        <w:t xml:space="preserve"> רל</w:t>
      </w:r>
      <w:r>
        <w:rPr>
          <w:rFonts w:cs="Arial" w:hint="cs"/>
          <w:rtl/>
        </w:rPr>
        <w:t>)</w:t>
      </w:r>
      <w:r>
        <w:rPr>
          <w:rFonts w:cs="Arial"/>
          <w:rtl/>
        </w:rPr>
        <w:t xml:space="preserve"> שנראה לפרש דברי הרא"ש שכתב דבה"א דלמהך צריך ליזהר יותר</w:t>
      </w:r>
      <w:r>
        <w:rPr>
          <w:rFonts w:cs="Arial" w:hint="cs"/>
          <w:rtl/>
        </w:rPr>
        <w:t>,</w:t>
      </w:r>
      <w:r>
        <w:rPr>
          <w:rFonts w:cs="Arial"/>
          <w:rtl/>
        </w:rPr>
        <w:t xml:space="preserve"> שר"ל יזהר שירחיקנה יותר</w:t>
      </w:r>
      <w:r>
        <w:rPr>
          <w:rFonts w:cs="Arial" w:hint="cs"/>
          <w:rtl/>
        </w:rPr>
        <w:t>.</w:t>
      </w:r>
      <w:r>
        <w:rPr>
          <w:rFonts w:cs="Arial"/>
          <w:rtl/>
        </w:rPr>
        <w:t xml:space="preserve"> </w:t>
      </w:r>
      <w:r w:rsidRPr="00B7182F">
        <w:rPr>
          <w:rFonts w:cs="Arial"/>
          <w:b/>
          <w:bCs/>
          <w:rtl/>
        </w:rPr>
        <w:t>והתוספות</w:t>
      </w:r>
      <w:r>
        <w:rPr>
          <w:rFonts w:cs="Arial"/>
          <w:rtl/>
        </w:rPr>
        <w:t xml:space="preserve"> (פה: ד"ה ולורכיה) כתבו דשמא אין צריך להרחיק אלא שלא יתחבר בגגה ונהגו להרחיק מיהו אין לפסול אם לא הרחיק יותר מדאי עכ"ל. ואפשר לפרש דברי הרא"ש שאין צריך להרחיק רגל ה"א זו משאר רגלי ההי"ן דומיא דווי"ן שאין צריך להאריכן אלא שיש ליזהר בזו יותר מכל האחרות מפני שבזו משתנה המשמעות ונפסל הגט מה שאין כן בההי"ן אחרות שאע"פ שיהיה מחובר אין המשמעות משתנה ולפיכך אין הגט נפסל בכך</w:t>
      </w:r>
      <w:r>
        <w:rPr>
          <w:rFonts w:cs="Arial" w:hint="cs"/>
          <w:rtl/>
        </w:rPr>
        <w:t>,</w:t>
      </w:r>
      <w:r>
        <w:rPr>
          <w:rFonts w:cs="Arial"/>
          <w:rtl/>
        </w:rPr>
        <w:t xml:space="preserve"> דהאי יותר לאו אשיעור הרחקה קאי אלא אזהירות</w:t>
      </w:r>
      <w:r>
        <w:rPr>
          <w:rFonts w:cs="Arial" w:hint="cs"/>
          <w:rtl/>
        </w:rPr>
        <w:t xml:space="preserve">, </w:t>
      </w:r>
      <w:r w:rsidRPr="00B7182F">
        <w:rPr>
          <w:rFonts w:cs="Arial" w:hint="cs"/>
          <w:b/>
          <w:bCs/>
          <w:rtl/>
        </w:rPr>
        <w:t>ב"י</w:t>
      </w:r>
      <w:r>
        <w:rPr>
          <w:rFonts w:cs="Arial" w:hint="cs"/>
          <w:rtl/>
        </w:rPr>
        <w:t>.</w:t>
      </w:r>
    </w:p>
  </w:footnote>
  <w:footnote w:id="750">
    <w:p w14:paraId="72A0AED2" w14:textId="77777777" w:rsidR="00FA2119" w:rsidRDefault="00FA2119" w:rsidP="00FA2119">
      <w:pPr>
        <w:pStyle w:val="a5"/>
        <w:rPr>
          <w:rtl/>
        </w:rPr>
      </w:pPr>
      <w:r>
        <w:rPr>
          <w:rStyle w:val="a7"/>
        </w:rPr>
        <w:footnoteRef/>
      </w:r>
      <w:r>
        <w:rPr>
          <w:rtl/>
        </w:rPr>
        <w:t xml:space="preserve"> </w:t>
      </w:r>
      <w:r>
        <w:rPr>
          <w:rFonts w:cs="Arial"/>
          <w:rtl/>
        </w:rPr>
        <w:t>ונ"ל שטעות סופרים הוא</w:t>
      </w:r>
      <w:r>
        <w:rPr>
          <w:rFonts w:cs="Arial" w:hint="cs"/>
          <w:rtl/>
        </w:rPr>
        <w:t>,</w:t>
      </w:r>
      <w:r>
        <w:rPr>
          <w:rFonts w:cs="Arial"/>
          <w:rtl/>
        </w:rPr>
        <w:t xml:space="preserve"> דמה ענין כתיבת לימהך ביו"ד ללשון שחוק</w:t>
      </w:r>
      <w:r>
        <w:rPr>
          <w:rFonts w:cs="Arial" w:hint="cs"/>
          <w:rtl/>
        </w:rPr>
        <w:t>.</w:t>
      </w:r>
      <w:r>
        <w:rPr>
          <w:rFonts w:cs="Arial"/>
          <w:rtl/>
        </w:rPr>
        <w:t xml:space="preserve"> לכן נראה לי להגיה </w:t>
      </w:r>
      <w:r>
        <w:rPr>
          <w:rFonts w:cs="Arial" w:hint="cs"/>
          <w:rtl/>
        </w:rPr>
        <w:t>'</w:t>
      </w:r>
      <w:r>
        <w:rPr>
          <w:rFonts w:cs="Arial"/>
          <w:rtl/>
        </w:rPr>
        <w:t xml:space="preserve">ולא ליכתוב לימהך ביו"ד שמא יקרא הקורא לי מהך </w:t>
      </w:r>
      <w:r w:rsidRPr="00A74519">
        <w:rPr>
          <w:rFonts w:cs="Arial"/>
          <w:u w:val="single"/>
          <w:rtl/>
        </w:rPr>
        <w:t>וכן ירחיק רגל הה"א מגגה שמא יקרא למחך</w:t>
      </w:r>
      <w:r>
        <w:rPr>
          <w:rFonts w:cs="Arial" w:hint="cs"/>
          <w:rtl/>
        </w:rPr>
        <w:t xml:space="preserve"> </w:t>
      </w:r>
      <w:r w:rsidRPr="00A74519">
        <w:rPr>
          <w:rFonts w:cs="Arial" w:hint="cs"/>
          <w:sz w:val="16"/>
          <w:szCs w:val="16"/>
          <w:rtl/>
        </w:rPr>
        <w:t>{כלומר לי שחוק}</w:t>
      </w:r>
      <w:r>
        <w:rPr>
          <w:rFonts w:cs="Arial" w:hint="cs"/>
          <w:rtl/>
        </w:rPr>
        <w:t xml:space="preserve">', </w:t>
      </w:r>
      <w:r w:rsidRPr="00A74519">
        <w:rPr>
          <w:rFonts w:cs="Arial" w:hint="cs"/>
          <w:b/>
          <w:bCs/>
          <w:rtl/>
        </w:rPr>
        <w:t>ב"י</w:t>
      </w:r>
      <w:r>
        <w:rPr>
          <w:rFonts w:cs="Arial" w:hint="cs"/>
          <w:rtl/>
        </w:rPr>
        <w:t>.</w:t>
      </w:r>
      <w:r w:rsidRPr="00A74519">
        <w:rPr>
          <w:rtl/>
        </w:rPr>
        <w:t xml:space="preserve"> </w:t>
      </w:r>
      <w:r w:rsidRPr="00A74519">
        <w:rPr>
          <w:rFonts w:cs="Arial"/>
          <w:rtl/>
        </w:rPr>
        <w:t>ואפשר ליישב הגי' דרבינו מפרש דמה שאמר בגמרא דמשמע לי מהך פירוש לי שחוק דנחליף הה"א לח' ונאמר שהוא שחוק כדרך אותיות אחה"ע שמתחלפות וזה הפירוש היינו מפני שא"א לפרש פירוש אחר כיון שהם שתי תיבות ולהכי רבינו לא הזכיר דלא יכתוב לימהך בחי"ת דכל שכן דהוא משמע שחוק ובגמרא לא הזכירו כן לפ' לשון לי מהך דפירושו חוכא ולכך הזכירו בגמרא ולא לכתוב למחך מלשון כי חוכא, אבל רבינו שהזכיר דמשמע לי שחוק א"צ עוד</w:t>
      </w:r>
      <w:r>
        <w:rPr>
          <w:rFonts w:cs="Arial" w:hint="cs"/>
          <w:rtl/>
        </w:rPr>
        <w:t xml:space="preserve">, </w:t>
      </w:r>
      <w:r w:rsidRPr="00A74519">
        <w:rPr>
          <w:rFonts w:cs="Arial" w:hint="cs"/>
          <w:b/>
          <w:bCs/>
          <w:rtl/>
        </w:rPr>
        <w:t>לח"מ</w:t>
      </w:r>
      <w:r>
        <w:rPr>
          <w:rFonts w:cs="Arial" w:hint="cs"/>
          <w:rtl/>
        </w:rPr>
        <w:t xml:space="preserve"> (שם).</w:t>
      </w:r>
      <w:r>
        <w:rPr>
          <w:rFonts w:hint="cs"/>
          <w:rtl/>
        </w:rPr>
        <w:t xml:space="preserve"> </w:t>
      </w:r>
      <w:r w:rsidRPr="006A282A">
        <w:rPr>
          <w:rFonts w:hint="cs"/>
          <w:b/>
          <w:bCs/>
          <w:rtl/>
        </w:rPr>
        <w:t>והח"מ</w:t>
      </w:r>
      <w:r>
        <w:rPr>
          <w:rFonts w:hint="cs"/>
          <w:rtl/>
        </w:rPr>
        <w:t xml:space="preserve"> (סקל"ד) כתב '</w:t>
      </w:r>
      <w:r w:rsidRPr="006A282A">
        <w:rPr>
          <w:rFonts w:cs="Arial"/>
          <w:rtl/>
        </w:rPr>
        <w:t>שירחיקנ</w:t>
      </w:r>
      <w:r>
        <w:rPr>
          <w:rFonts w:cs="Arial" w:hint="cs"/>
          <w:rtl/>
        </w:rPr>
        <w:t>ה</w:t>
      </w:r>
      <w:r w:rsidRPr="006A282A">
        <w:rPr>
          <w:rFonts w:cs="Arial"/>
          <w:rtl/>
        </w:rPr>
        <w:t xml:space="preserve"> מגגה</w:t>
      </w:r>
      <w:r>
        <w:rPr>
          <w:rFonts w:cs="Arial" w:hint="cs"/>
          <w:rtl/>
        </w:rPr>
        <w:t>' -</w:t>
      </w:r>
      <w:r w:rsidRPr="006A282A">
        <w:rPr>
          <w:rFonts w:cs="Arial"/>
          <w:rtl/>
        </w:rPr>
        <w:t xml:space="preserve"> דלא לשתמע למאך</w:t>
      </w:r>
      <w:r>
        <w:rPr>
          <w:rFonts w:cs="Arial" w:hint="cs"/>
          <w:rtl/>
        </w:rPr>
        <w:t>,</w:t>
      </w:r>
      <w:r w:rsidRPr="006A282A">
        <w:rPr>
          <w:rFonts w:cs="Arial"/>
          <w:rtl/>
        </w:rPr>
        <w:t xml:space="preserve"> לצחק</w:t>
      </w:r>
      <w:r>
        <w:rPr>
          <w:rFonts w:cs="Arial" w:hint="cs"/>
          <w:rtl/>
        </w:rPr>
        <w:t>,</w:t>
      </w:r>
      <w:r w:rsidRPr="006A282A">
        <w:rPr>
          <w:rFonts w:cs="Arial"/>
          <w:rtl/>
        </w:rPr>
        <w:t xml:space="preserve"> כלומר </w:t>
      </w:r>
      <w:r w:rsidRPr="006A282A">
        <w:rPr>
          <w:rFonts w:cs="Arial"/>
          <w:b/>
          <w:bCs/>
          <w:rtl/>
        </w:rPr>
        <w:t>מ</w:t>
      </w:r>
      <w:r w:rsidRPr="006A282A">
        <w:rPr>
          <w:rFonts w:cs="Arial"/>
          <w:rtl/>
        </w:rPr>
        <w:t xml:space="preserve">צחק </w:t>
      </w:r>
      <w:r w:rsidRPr="006A282A">
        <w:rPr>
          <w:rFonts w:cs="Arial"/>
          <w:b/>
          <w:bCs/>
          <w:rtl/>
        </w:rPr>
        <w:t>א</w:t>
      </w:r>
      <w:r w:rsidRPr="006A282A">
        <w:rPr>
          <w:rFonts w:cs="Arial"/>
          <w:rtl/>
        </w:rPr>
        <w:t>ני בי</w:t>
      </w:r>
      <w:r w:rsidRPr="006A282A">
        <w:rPr>
          <w:rFonts w:cs="Arial"/>
          <w:b/>
          <w:bCs/>
          <w:rtl/>
        </w:rPr>
        <w:t>ך</w:t>
      </w:r>
      <w:r>
        <w:rPr>
          <w:rFonts w:cs="Arial" w:hint="cs"/>
          <w:rtl/>
        </w:rPr>
        <w:t>,</w:t>
      </w:r>
      <w:r w:rsidRPr="006A282A">
        <w:rPr>
          <w:rFonts w:cs="Arial"/>
          <w:rtl/>
        </w:rPr>
        <w:t xml:space="preserve"> כי חוכא</w:t>
      </w:r>
      <w:r>
        <w:rPr>
          <w:rFonts w:hint="cs"/>
          <w:rtl/>
        </w:rPr>
        <w:t>. עכ"ל. ואולי כוונתו לפרש את כוונת הרמב"ם.</w:t>
      </w:r>
    </w:p>
  </w:footnote>
  <w:footnote w:id="751">
    <w:p w14:paraId="195FB071" w14:textId="77777777" w:rsidR="00FA2119" w:rsidRDefault="00FA2119" w:rsidP="00FA2119">
      <w:pPr>
        <w:pStyle w:val="a5"/>
      </w:pPr>
      <w:r>
        <w:rPr>
          <w:rStyle w:val="a7"/>
        </w:rPr>
        <w:footnoteRef/>
      </w:r>
      <w:r>
        <w:rPr>
          <w:rtl/>
        </w:rPr>
        <w:t xml:space="preserve"> </w:t>
      </w:r>
      <w:r w:rsidRPr="00131FF0">
        <w:rPr>
          <w:rFonts w:cs="Arial"/>
          <w:rtl/>
        </w:rPr>
        <w:t>באלף</w:t>
      </w:r>
      <w:r>
        <w:rPr>
          <w:rFonts w:cs="Arial" w:hint="cs"/>
          <w:rtl/>
        </w:rPr>
        <w:t>,</w:t>
      </w:r>
      <w:r w:rsidRPr="00131FF0">
        <w:rPr>
          <w:rFonts w:cs="Arial"/>
          <w:rtl/>
        </w:rPr>
        <w:t xml:space="preserve"> אלא להתנסבא בה"א</w:t>
      </w:r>
      <w:r>
        <w:rPr>
          <w:rFonts w:cs="Arial" w:hint="cs"/>
          <w:rtl/>
        </w:rPr>
        <w:t>,</w:t>
      </w:r>
      <w:r w:rsidRPr="00131FF0">
        <w:rPr>
          <w:rFonts w:cs="Arial"/>
          <w:rtl/>
        </w:rPr>
        <w:t xml:space="preserve"> שמא ירחיק לא מן יתנסבא ומשמע לא יתנסבא לא תנשא</w:t>
      </w:r>
      <w:r>
        <w:rPr>
          <w:rFonts w:cs="Arial" w:hint="cs"/>
          <w:rtl/>
        </w:rPr>
        <w:t>, רש"י.</w:t>
      </w:r>
    </w:p>
  </w:footnote>
  <w:footnote w:id="752">
    <w:p w14:paraId="0700A629" w14:textId="77777777" w:rsidR="00FA2119" w:rsidRDefault="00FA2119" w:rsidP="00FA2119">
      <w:pPr>
        <w:pStyle w:val="a5"/>
        <w:rPr>
          <w:rtl/>
        </w:rPr>
      </w:pPr>
      <w:r>
        <w:rPr>
          <w:rStyle w:val="a7"/>
        </w:rPr>
        <w:footnoteRef/>
      </w:r>
      <w:r>
        <w:rPr>
          <w:rtl/>
        </w:rPr>
        <w:t xml:space="preserve"> </w:t>
      </w:r>
      <w:r w:rsidRPr="00496F83">
        <w:rPr>
          <w:rFonts w:cs="Arial"/>
          <w:rtl/>
        </w:rPr>
        <w:t>ועיין לקמן סוף סימן קכ"ז (אות ה) מדינים אלו</w:t>
      </w:r>
      <w:r>
        <w:rPr>
          <w:rFonts w:hint="cs"/>
          <w:rtl/>
        </w:rPr>
        <w:t>, דרכ"מ (אות כה).</w:t>
      </w:r>
    </w:p>
  </w:footnote>
  <w:footnote w:id="753">
    <w:p w14:paraId="3EF334D5" w14:textId="77777777" w:rsidR="00FA2119" w:rsidRDefault="00FA2119" w:rsidP="00FA2119">
      <w:pPr>
        <w:pStyle w:val="a5"/>
      </w:pPr>
      <w:r>
        <w:rPr>
          <w:rStyle w:val="a7"/>
        </w:rPr>
        <w:footnoteRef/>
      </w:r>
      <w:r>
        <w:rPr>
          <w:rtl/>
        </w:rPr>
        <w:t xml:space="preserve"> </w:t>
      </w:r>
      <w:r w:rsidRPr="003E5E54">
        <w:rPr>
          <w:rFonts w:cs="Arial"/>
          <w:rtl/>
        </w:rPr>
        <w:t xml:space="preserve">עבה"ט שכ' הטעם שמא ירחיק כו' והוא לשון רש"י </w:t>
      </w:r>
      <w:r>
        <w:rPr>
          <w:rFonts w:cs="Arial" w:hint="cs"/>
          <w:rtl/>
        </w:rPr>
        <w:t>(</w:t>
      </w:r>
      <w:r w:rsidRPr="003E5E54">
        <w:rPr>
          <w:rFonts w:cs="Arial"/>
          <w:rtl/>
        </w:rPr>
        <w:t>פ' המגרש פה</w:t>
      </w:r>
      <w:r>
        <w:rPr>
          <w:rFonts w:cs="Arial" w:hint="cs"/>
          <w:rtl/>
        </w:rPr>
        <w:t>:)</w:t>
      </w:r>
      <w:r w:rsidRPr="003E5E54">
        <w:rPr>
          <w:rFonts w:cs="Arial"/>
          <w:rtl/>
        </w:rPr>
        <w:t>. ומשמע דבדיעבד אם כתב לאתנסבא ולא הרחיק לא מן תנסבא כשר</w:t>
      </w:r>
      <w:r>
        <w:rPr>
          <w:rFonts w:cs="Arial" w:hint="cs"/>
          <w:rtl/>
        </w:rPr>
        <w:t>.</w:t>
      </w:r>
      <w:r w:rsidRPr="003E5E54">
        <w:rPr>
          <w:rFonts w:cs="Arial"/>
          <w:rtl/>
        </w:rPr>
        <w:t xml:space="preserve"> אך בס' ג"פ </w:t>
      </w:r>
      <w:r>
        <w:rPr>
          <w:rFonts w:cs="Arial" w:hint="cs"/>
          <w:rtl/>
        </w:rPr>
        <w:t>(</w:t>
      </w:r>
      <w:r w:rsidRPr="003E5E54">
        <w:rPr>
          <w:rFonts w:cs="Arial"/>
          <w:rtl/>
        </w:rPr>
        <w:t>סקנ"ב</w:t>
      </w:r>
      <w:r>
        <w:rPr>
          <w:rFonts w:cs="Arial" w:hint="cs"/>
          <w:rtl/>
        </w:rPr>
        <w:t>)</w:t>
      </w:r>
      <w:r w:rsidRPr="003E5E54">
        <w:rPr>
          <w:rFonts w:cs="Arial"/>
          <w:rtl/>
        </w:rPr>
        <w:t xml:space="preserve"> הביא תשובת רלב"ח </w:t>
      </w:r>
      <w:r>
        <w:rPr>
          <w:rFonts w:cs="Arial" w:hint="cs"/>
          <w:rtl/>
        </w:rPr>
        <w:t>(</w:t>
      </w:r>
      <w:r w:rsidRPr="003E5E54">
        <w:rPr>
          <w:rFonts w:cs="Arial"/>
          <w:rtl/>
        </w:rPr>
        <w:t>דף ר"א ע"ב</w:t>
      </w:r>
      <w:r>
        <w:rPr>
          <w:rFonts w:cs="Arial" w:hint="cs"/>
          <w:rtl/>
        </w:rPr>
        <w:t>)</w:t>
      </w:r>
      <w:r w:rsidRPr="003E5E54">
        <w:rPr>
          <w:rFonts w:cs="Arial"/>
          <w:rtl/>
        </w:rPr>
        <w:t xml:space="preserve"> שכ' דאע"ג שכ' רש"י ז"ל דטעם זה הפיסול הוא משום שמא ירחיק ויכתוב ב' תיבות עכ"ז אפילו שכתבו תיבה אחת אם כתבו באלף הגט פסול כי מ"ש שמא ירחיק כו' הוא טעם לפיסול ולעולם אפילו בלא הרחק פסול וכן נראה מדברי כל הפוסקים כו' ע"ש</w:t>
      </w:r>
      <w:r>
        <w:rPr>
          <w:rFonts w:cs="Arial" w:hint="cs"/>
          <w:rtl/>
        </w:rPr>
        <w:t>..., פת"ש (סקכ"ד).</w:t>
      </w:r>
    </w:p>
  </w:footnote>
  <w:footnote w:id="754">
    <w:p w14:paraId="133EA33A" w14:textId="77777777" w:rsidR="00FA2119" w:rsidRDefault="00FA2119" w:rsidP="00FA2119">
      <w:pPr>
        <w:pStyle w:val="a5"/>
      </w:pPr>
      <w:r>
        <w:rPr>
          <w:rStyle w:val="a7"/>
        </w:rPr>
        <w:footnoteRef/>
      </w:r>
      <w:r>
        <w:rPr>
          <w:rtl/>
        </w:rPr>
        <w:t xml:space="preserve"> </w:t>
      </w:r>
      <w:r w:rsidRPr="003E5E54">
        <w:rPr>
          <w:rFonts w:cs="Arial"/>
          <w:rtl/>
        </w:rPr>
        <w:t xml:space="preserve">כ' בס' ג"פ יראה דהיינו לכתחלה אבל אם כתבו מלא יוד אינש אין לחוש לפוסלו כי אין שום שינוי במשמעות הגירושין. ועיין בתשו' הרדב"ז </w:t>
      </w:r>
      <w:r>
        <w:rPr>
          <w:rFonts w:cs="Arial" w:hint="cs"/>
          <w:rtl/>
        </w:rPr>
        <w:t>(</w:t>
      </w:r>
      <w:r w:rsidRPr="003E5E54">
        <w:rPr>
          <w:rFonts w:cs="Arial"/>
          <w:rtl/>
        </w:rPr>
        <w:t>ח"ג סי' תצד</w:t>
      </w:r>
      <w:r>
        <w:rPr>
          <w:rFonts w:cs="Arial" w:hint="cs"/>
          <w:rtl/>
        </w:rPr>
        <w:t>)</w:t>
      </w:r>
      <w:r w:rsidRPr="003E5E54">
        <w:rPr>
          <w:rFonts w:cs="Arial"/>
          <w:rtl/>
        </w:rPr>
        <w:t xml:space="preserve"> שכ' דאפילו אם דילג ולא כתב ואנש לא ימחא בידיכי כלל אינו מעכב ע"ש</w:t>
      </w:r>
      <w:r>
        <w:rPr>
          <w:rFonts w:cs="Arial" w:hint="cs"/>
          <w:rtl/>
        </w:rPr>
        <w:t>, פת"ש (סקכ"ה).</w:t>
      </w:r>
    </w:p>
  </w:footnote>
  <w:footnote w:id="755">
    <w:p w14:paraId="6508A55C" w14:textId="77777777" w:rsidR="00FA2119" w:rsidRDefault="00FA2119" w:rsidP="00FA2119">
      <w:pPr>
        <w:pStyle w:val="a5"/>
      </w:pPr>
      <w:r>
        <w:rPr>
          <w:rStyle w:val="a7"/>
        </w:rPr>
        <w:footnoteRef/>
      </w:r>
      <w:r>
        <w:rPr>
          <w:rtl/>
        </w:rPr>
        <w:t xml:space="preserve"> </w:t>
      </w:r>
      <w:r w:rsidRPr="003E5E54">
        <w:rPr>
          <w:rFonts w:cs="Arial"/>
          <w:rtl/>
        </w:rPr>
        <w:t>הוא מדברי תשו' הרשב"א</w:t>
      </w:r>
      <w:r>
        <w:rPr>
          <w:rFonts w:cs="Arial" w:hint="cs"/>
          <w:rtl/>
        </w:rPr>
        <w:t>,</w:t>
      </w:r>
      <w:r w:rsidRPr="003E5E54">
        <w:rPr>
          <w:rFonts w:cs="Arial"/>
          <w:rtl/>
        </w:rPr>
        <w:t xml:space="preserve"> ושם מבואר דאפילו חיסר כל התיבה אינו פסול שהרי כתוב בנוסח הגט והרי את מותרת לכל אדם</w:t>
      </w:r>
      <w:r>
        <w:rPr>
          <w:rFonts w:cs="Arial" w:hint="cs"/>
          <w:rtl/>
        </w:rPr>
        <w:t>.</w:t>
      </w:r>
      <w:r w:rsidRPr="003E5E54">
        <w:rPr>
          <w:rFonts w:cs="Arial"/>
          <w:rtl/>
        </w:rPr>
        <w:t xml:space="preserve"> ועיין בס' ג"פ </w:t>
      </w:r>
      <w:r>
        <w:rPr>
          <w:rFonts w:cs="Arial" w:hint="cs"/>
          <w:rtl/>
        </w:rPr>
        <w:t>(</w:t>
      </w:r>
      <w:r w:rsidRPr="003E5E54">
        <w:rPr>
          <w:rFonts w:cs="Arial"/>
          <w:rtl/>
        </w:rPr>
        <w:t>סקנ"ד וסקצ"ג</w:t>
      </w:r>
      <w:r>
        <w:rPr>
          <w:rFonts w:cs="Arial" w:hint="cs"/>
          <w:rtl/>
        </w:rPr>
        <w:t>)</w:t>
      </w:r>
      <w:r w:rsidRPr="003E5E54">
        <w:rPr>
          <w:rFonts w:cs="Arial"/>
          <w:rtl/>
        </w:rPr>
        <w:t xml:space="preserve"> שהביא תשו' מהריב"ל </w:t>
      </w:r>
      <w:r>
        <w:rPr>
          <w:rFonts w:cs="Arial" w:hint="cs"/>
          <w:rtl/>
        </w:rPr>
        <w:t>(</w:t>
      </w:r>
      <w:r w:rsidRPr="003E5E54">
        <w:rPr>
          <w:rFonts w:cs="Arial"/>
          <w:rtl/>
        </w:rPr>
        <w:t>ח"ג סי' סט</w:t>
      </w:r>
      <w:r>
        <w:rPr>
          <w:rFonts w:cs="Arial" w:hint="cs"/>
          <w:rtl/>
        </w:rPr>
        <w:t>)</w:t>
      </w:r>
      <w:r w:rsidRPr="003E5E54">
        <w:rPr>
          <w:rFonts w:cs="Arial"/>
          <w:rtl/>
        </w:rPr>
        <w:t xml:space="preserve"> שכ' דאף להרשב"א מ"מ לא תתגרש בו לכתחלה אלא דאם כבר נתגרשה תנשא לכתחלה. אך הר"ן בפ' המגרש ס"ל דצריך לכתוב להתנסבא לכל גבר דאי לא משמע שתהיה פנויה ומותרת לכל אדם ולא שתנשא לאחד ותאסר לכולם ולדברי הר"ן יש להחמיר שלא תנשא לכתחלה יע"ש. ושם בסוף ס"ק צ"ו כתב דהיינו שלא במקום עיגון אבל במקום עיגון תנשא לכתחלה ע"ש</w:t>
      </w:r>
      <w:r>
        <w:rPr>
          <w:rFonts w:cs="Arial" w:hint="cs"/>
          <w:rtl/>
        </w:rPr>
        <w:t>, פת"ש (סקכ"ו).</w:t>
      </w:r>
    </w:p>
  </w:footnote>
  <w:footnote w:id="756">
    <w:p w14:paraId="17BCAA98" w14:textId="77777777" w:rsidR="00FA2119" w:rsidRDefault="00FA2119" w:rsidP="00FA2119">
      <w:pPr>
        <w:pStyle w:val="a5"/>
      </w:pPr>
      <w:r>
        <w:rPr>
          <w:rStyle w:val="a7"/>
        </w:rPr>
        <w:footnoteRef/>
      </w:r>
      <w:r>
        <w:rPr>
          <w:rtl/>
        </w:rPr>
        <w:t xml:space="preserve"> </w:t>
      </w:r>
      <w:r w:rsidRPr="00B8579E">
        <w:rPr>
          <w:rFonts w:cs="Arial"/>
          <w:rtl/>
        </w:rPr>
        <w:t>ויראה דה"ה דיש לדקדק וליזהר בלשון שטר השליחות ובלשון תנאי הבעל שאומר בעת מסירת הגט שלא יהא בו משמע ב' ענינים</w:t>
      </w:r>
      <w:r>
        <w:rPr>
          <w:rFonts w:cs="Arial" w:hint="cs"/>
          <w:rtl/>
        </w:rPr>
        <w:t>, ג"פ (הביאו הפת"ש סקכ"ז).</w:t>
      </w:r>
    </w:p>
  </w:footnote>
  <w:footnote w:id="757">
    <w:p w14:paraId="3BE93979" w14:textId="77777777" w:rsidR="00FA2119" w:rsidRDefault="00FA2119" w:rsidP="00FA2119">
      <w:pPr>
        <w:pStyle w:val="a5"/>
      </w:pPr>
      <w:r>
        <w:rPr>
          <w:rStyle w:val="a7"/>
        </w:rPr>
        <w:footnoteRef/>
      </w:r>
      <w:r>
        <w:rPr>
          <w:rtl/>
        </w:rPr>
        <w:t xml:space="preserve"> </w:t>
      </w:r>
      <w:r w:rsidRPr="00C41E43">
        <w:rPr>
          <w:rFonts w:cs="Arial"/>
          <w:rtl/>
        </w:rPr>
        <w:t>והכל בו (שם) כתב שרבינו יחיאל כתבו בה"א</w:t>
      </w:r>
      <w:r>
        <w:rPr>
          <w:rFonts w:cs="Arial" w:hint="cs"/>
          <w:rtl/>
        </w:rPr>
        <w:t>,</w:t>
      </w:r>
      <w:r w:rsidRPr="00C41E43">
        <w:rPr>
          <w:rFonts w:cs="Arial"/>
          <w:rtl/>
        </w:rPr>
        <w:t xml:space="preserve"> ומכל מקום כתב שלא נהגו כן</w:t>
      </w:r>
      <w:r>
        <w:rPr>
          <w:rFonts w:hint="cs"/>
          <w:rtl/>
        </w:rPr>
        <w:t>, ב"י.</w:t>
      </w:r>
    </w:p>
  </w:footnote>
  <w:footnote w:id="758">
    <w:p w14:paraId="7D4EAFE5" w14:textId="1C7F7927" w:rsidR="00FA2119" w:rsidRDefault="00FA2119" w:rsidP="00FA2119">
      <w:pPr>
        <w:pStyle w:val="a5"/>
      </w:pPr>
      <w:r>
        <w:rPr>
          <w:rStyle w:val="a7"/>
        </w:rPr>
        <w:footnoteRef/>
      </w:r>
      <w:r>
        <w:rPr>
          <w:rtl/>
        </w:rPr>
        <w:t xml:space="preserve"> </w:t>
      </w:r>
      <w:r w:rsidRPr="00510DB9">
        <w:rPr>
          <w:rFonts w:cs="Arial"/>
          <w:rtl/>
        </w:rPr>
        <w:t>ומה שנכתב ואנש לא ימחא באלף אם בא הגט ליד האשה אין לפוסלו בכך, כי כמה דברים כותבין בגטין לשופרא דגטין ואינו נפסל בכך אם לא נכתב בו, וגם ידוע שטעות סופר היה</w:t>
      </w:r>
      <w:r>
        <w:rPr>
          <w:rFonts w:cs="Arial" w:hint="cs"/>
          <w:rtl/>
        </w:rPr>
        <w:t xml:space="preserve">, </w:t>
      </w:r>
      <w:r w:rsidRPr="004853FB">
        <w:rPr>
          <w:rFonts w:cs="Arial" w:hint="cs"/>
          <w:b/>
          <w:bCs/>
          <w:rtl/>
        </w:rPr>
        <w:t>רא"ש</w:t>
      </w:r>
      <w:r>
        <w:rPr>
          <w:rFonts w:cs="Arial" w:hint="cs"/>
          <w:rtl/>
        </w:rPr>
        <w:t xml:space="preserve"> (שם).</w:t>
      </w:r>
      <w:r w:rsidRPr="004853FB">
        <w:rPr>
          <w:rFonts w:hint="cs"/>
          <w:rtl/>
        </w:rPr>
        <w:t xml:space="preserve"> </w:t>
      </w:r>
      <w:r>
        <w:rPr>
          <w:rFonts w:hint="cs"/>
          <w:rtl/>
        </w:rPr>
        <w:t xml:space="preserve">וכתב </w:t>
      </w:r>
      <w:r w:rsidRPr="004853FB">
        <w:rPr>
          <w:rFonts w:hint="cs"/>
          <w:b/>
          <w:bCs/>
          <w:rtl/>
        </w:rPr>
        <w:t>הב"י</w:t>
      </w:r>
      <w:r w:rsidR="003B5A95">
        <w:rPr>
          <w:rFonts w:hint="cs"/>
          <w:rtl/>
        </w:rPr>
        <w:t>:</w:t>
      </w:r>
      <w:r>
        <w:rPr>
          <w:rFonts w:hint="cs"/>
          <w:rtl/>
        </w:rPr>
        <w:t xml:space="preserve"> </w:t>
      </w:r>
      <w:r w:rsidRPr="00C41E43">
        <w:rPr>
          <w:rFonts w:cs="Arial"/>
          <w:rtl/>
        </w:rPr>
        <w:t xml:space="preserve">ומתשובה שכתב רבינו בסמוך </w:t>
      </w:r>
      <w:r>
        <w:rPr>
          <w:rFonts w:cs="Arial" w:hint="cs"/>
          <w:rtl/>
        </w:rPr>
        <w:t xml:space="preserve">(התשו' המועתקת כאן, כלל מה סי' יט) </w:t>
      </w:r>
      <w:r w:rsidRPr="00C41E43">
        <w:rPr>
          <w:rFonts w:cs="Arial"/>
          <w:rtl/>
        </w:rPr>
        <w:t>בשם הרא"ש מוכיח בהדיא דלכתחלה יש לכתבו בה"א ואם נכתב באל"ף כל שעדיין לא בא לידה צריך לכתוב גט אחר שיהיה כתוב לא ימחה בה"א</w:t>
      </w:r>
      <w:r>
        <w:rPr>
          <w:rFonts w:hint="cs"/>
          <w:rtl/>
        </w:rPr>
        <w:t>. עכ"ל.</w:t>
      </w:r>
      <w:r w:rsidR="003B5A95">
        <w:rPr>
          <w:rFonts w:hint="cs"/>
          <w:rtl/>
        </w:rPr>
        <w:t xml:space="preserve">    </w:t>
      </w:r>
      <w:r>
        <w:rPr>
          <w:rFonts w:hint="cs"/>
          <w:rtl/>
        </w:rPr>
        <w:t xml:space="preserve"> </w:t>
      </w:r>
      <w:r w:rsidR="003B5A95" w:rsidRPr="003B5A95">
        <w:rPr>
          <w:rFonts w:hint="cs"/>
          <w:color w:val="000000" w:themeColor="text1"/>
          <w:rtl/>
        </w:rPr>
        <w:t>וצל"ע</w:t>
      </w:r>
      <w:r w:rsidRPr="003B5A95">
        <w:rPr>
          <w:rFonts w:hint="cs"/>
          <w:color w:val="000000" w:themeColor="text1"/>
          <w:rtl/>
        </w:rPr>
        <w:t xml:space="preserve"> מדוע עזב השו"ע את ג' עמודי ההוראה והלך אחר דעת התר</w:t>
      </w:r>
      <w:r w:rsidR="003B5A95" w:rsidRPr="003B5A95">
        <w:rPr>
          <w:rFonts w:hint="cs"/>
          <w:color w:val="000000" w:themeColor="text1"/>
          <w:rtl/>
        </w:rPr>
        <w:t>ו</w:t>
      </w:r>
      <w:r w:rsidRPr="003B5A95">
        <w:rPr>
          <w:rFonts w:hint="cs"/>
          <w:color w:val="000000" w:themeColor="text1"/>
          <w:rtl/>
        </w:rPr>
        <w:t xml:space="preserve">מה והסמ"ג לכתוב באל"ף. שאם היה לו לחוש לכתחילה </w:t>
      </w:r>
      <w:r w:rsidR="00A42812" w:rsidRPr="003B5A95">
        <w:rPr>
          <w:color w:val="000000" w:themeColor="text1"/>
          <w:rtl/>
        </w:rPr>
        <w:t>-</w:t>
      </w:r>
      <w:r w:rsidRPr="003B5A95">
        <w:rPr>
          <w:rFonts w:hint="cs"/>
          <w:color w:val="000000" w:themeColor="text1"/>
          <w:rtl/>
        </w:rPr>
        <w:t xml:space="preserve"> היה צריך לחוש להם.</w:t>
      </w:r>
    </w:p>
  </w:footnote>
  <w:footnote w:id="759">
    <w:p w14:paraId="4EBED555" w14:textId="093E10E4" w:rsidR="00FA2119" w:rsidRDefault="00FA2119" w:rsidP="00FA2119">
      <w:pPr>
        <w:pStyle w:val="a5"/>
      </w:pPr>
      <w:r>
        <w:rPr>
          <w:rStyle w:val="a7"/>
        </w:rPr>
        <w:footnoteRef/>
      </w:r>
      <w:r>
        <w:rPr>
          <w:rtl/>
        </w:rPr>
        <w:t xml:space="preserve"> </w:t>
      </w:r>
      <w:r>
        <w:rPr>
          <w:rFonts w:cs="Arial" w:hint="cs"/>
          <w:rtl/>
        </w:rPr>
        <w:t xml:space="preserve">ונראה שדעתו כדעת ר"י האורבלי </w:t>
      </w:r>
      <w:r>
        <w:rPr>
          <w:rFonts w:cs="Arial" w:hint="cs"/>
          <w:sz w:val="16"/>
          <w:szCs w:val="16"/>
          <w:rtl/>
        </w:rPr>
        <w:t>{</w:t>
      </w:r>
      <w:r w:rsidRPr="00F9408D">
        <w:rPr>
          <w:rFonts w:cs="Arial"/>
          <w:sz w:val="16"/>
          <w:szCs w:val="16"/>
          <w:rtl/>
        </w:rPr>
        <w:t>ה"ר יצחק מאורביי"לי בעל המנהל</w:t>
      </w:r>
      <w:r w:rsidRPr="00F9408D">
        <w:rPr>
          <w:rFonts w:cs="Arial" w:hint="cs"/>
          <w:sz w:val="16"/>
          <w:szCs w:val="16"/>
          <w:rtl/>
        </w:rPr>
        <w:t>, מביאו פעמים רבות ר' אהרן הכהן [בעל הכלבו והאורחות חיים]</w:t>
      </w:r>
      <w:r>
        <w:rPr>
          <w:rFonts w:cs="Arial" w:hint="cs"/>
          <w:sz w:val="16"/>
          <w:szCs w:val="16"/>
          <w:rtl/>
        </w:rPr>
        <w:t>}</w:t>
      </w:r>
      <w:r>
        <w:rPr>
          <w:rFonts w:cs="Arial" w:hint="cs"/>
          <w:rtl/>
        </w:rPr>
        <w:t xml:space="preserve"> שהביא הב"י </w:t>
      </w:r>
      <w:r w:rsidRPr="0096770C">
        <w:rPr>
          <w:rFonts w:cs="Arial" w:hint="cs"/>
          <w:sz w:val="16"/>
          <w:szCs w:val="16"/>
          <w:rtl/>
        </w:rPr>
        <w:t>(ומקור הב"י הוא הכלבו סי' עו)</w:t>
      </w:r>
      <w:r>
        <w:rPr>
          <w:rFonts w:cs="Arial" w:hint="cs"/>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C41E43">
        <w:rPr>
          <w:rFonts w:cs="Arial"/>
          <w:rtl/>
        </w:rPr>
        <w:t>האורבלי</w:t>
      </w:r>
      <w:r w:rsidRPr="00F9408D">
        <w:rPr>
          <w:rFonts w:cs="Arial"/>
          <w:sz w:val="16"/>
          <w:szCs w:val="16"/>
          <w:rtl/>
        </w:rPr>
        <w:t xml:space="preserve"> </w:t>
      </w:r>
      <w:r w:rsidRPr="00C41E43">
        <w:rPr>
          <w:rFonts w:cs="Arial"/>
          <w:rtl/>
        </w:rPr>
        <w:t>אומר בשני מקומות הוא בדניאל אחד באל"ף (שם) ואחד בה"א לפיכך אין חששא</w:t>
      </w:r>
      <w:r>
        <w:rPr>
          <w:rFonts w:cs="Arial" w:hint="cs"/>
          <w:rtl/>
        </w:rPr>
        <w:t xml:space="preserve"> </w:t>
      </w:r>
      <w:r w:rsidRPr="00825EAB">
        <w:rPr>
          <w:rFonts w:cs="Arial" w:hint="cs"/>
          <w:sz w:val="16"/>
          <w:szCs w:val="16"/>
          <w:rtl/>
        </w:rPr>
        <w:t>{</w:t>
      </w:r>
      <w:r>
        <w:rPr>
          <w:rFonts w:cs="Arial" w:hint="cs"/>
          <w:sz w:val="16"/>
          <w:szCs w:val="16"/>
          <w:rtl/>
        </w:rPr>
        <w:t xml:space="preserve">והעיר עליו הנחלת שבעה [שטרות סי' מה]- </w:t>
      </w:r>
      <w:r w:rsidRPr="00825EAB">
        <w:rPr>
          <w:rFonts w:cs="Arial"/>
          <w:sz w:val="16"/>
          <w:szCs w:val="16"/>
          <w:rtl/>
        </w:rPr>
        <w:t>לא מצאתי בספר דניאל רק פעם אחד ובאל"ף</w:t>
      </w:r>
      <w:r>
        <w:rPr>
          <w:rFonts w:cs="Arial" w:hint="cs"/>
          <w:sz w:val="16"/>
          <w:szCs w:val="16"/>
          <w:rtl/>
        </w:rPr>
        <w:t>. עכ"ל. וגם אני לא מצאתי</w:t>
      </w:r>
      <w:r w:rsidRPr="00825EAB">
        <w:rPr>
          <w:rFonts w:cs="Arial" w:hint="cs"/>
          <w:sz w:val="16"/>
          <w:szCs w:val="16"/>
          <w:rtl/>
        </w:rPr>
        <w:t>}</w:t>
      </w:r>
      <w:r>
        <w:rPr>
          <w:rFonts w:cs="Arial" w:hint="cs"/>
          <w:rtl/>
        </w:rPr>
        <w:t>.</w:t>
      </w:r>
    </w:p>
  </w:footnote>
  <w:footnote w:id="760">
    <w:p w14:paraId="0A0B0283" w14:textId="77777777" w:rsidR="00FA2119" w:rsidRDefault="00FA2119" w:rsidP="00FA2119">
      <w:pPr>
        <w:pStyle w:val="a5"/>
        <w:rPr>
          <w:rtl/>
        </w:rPr>
      </w:pPr>
      <w:r>
        <w:rPr>
          <w:rStyle w:val="a7"/>
        </w:rPr>
        <w:footnoteRef/>
      </w:r>
      <w:r>
        <w:rPr>
          <w:rtl/>
        </w:rPr>
        <w:t xml:space="preserve"> </w:t>
      </w:r>
      <w:r w:rsidRPr="00C41E43">
        <w:rPr>
          <w:rFonts w:cs="Arial"/>
          <w:rtl/>
        </w:rPr>
        <w:t xml:space="preserve">ומהרי"ק </w:t>
      </w:r>
      <w:r>
        <w:rPr>
          <w:rFonts w:cs="Arial" w:hint="cs"/>
          <w:rtl/>
        </w:rPr>
        <w:t>(</w:t>
      </w:r>
      <w:r w:rsidRPr="00C41E43">
        <w:rPr>
          <w:rFonts w:cs="Arial"/>
          <w:rtl/>
        </w:rPr>
        <w:t>שורש קסב</w:t>
      </w:r>
      <w:r>
        <w:rPr>
          <w:rFonts w:cs="Arial" w:hint="cs"/>
          <w:rtl/>
        </w:rPr>
        <w:t>)</w:t>
      </w:r>
      <w:r w:rsidRPr="00C41E43">
        <w:rPr>
          <w:rFonts w:cs="Arial"/>
          <w:rtl/>
        </w:rPr>
        <w:t xml:space="preserve"> הסכים שיש לכתבו באל"ף שכן הוא בלשון ארמי</w:t>
      </w:r>
      <w:r>
        <w:rPr>
          <w:rFonts w:cs="Arial" w:hint="cs"/>
          <w:rtl/>
        </w:rPr>
        <w:t>.</w:t>
      </w:r>
      <w:r w:rsidRPr="00C41E43">
        <w:rPr>
          <w:rFonts w:cs="Arial"/>
          <w:rtl/>
        </w:rPr>
        <w:t xml:space="preserve"> והפריז על מדותיו נגד המגמגמים על זה</w:t>
      </w:r>
      <w:r>
        <w:rPr>
          <w:rFonts w:cs="Arial" w:hint="cs"/>
          <w:rtl/>
        </w:rPr>
        <w:t>, ב"י.</w:t>
      </w:r>
    </w:p>
  </w:footnote>
  <w:footnote w:id="761">
    <w:p w14:paraId="636C0CE4" w14:textId="77777777" w:rsidR="00FA2119" w:rsidRDefault="00FA2119" w:rsidP="00FA2119">
      <w:pPr>
        <w:pStyle w:val="a5"/>
        <w:rPr>
          <w:rtl/>
        </w:rPr>
      </w:pPr>
      <w:r>
        <w:rPr>
          <w:rStyle w:val="a7"/>
        </w:rPr>
        <w:footnoteRef/>
      </w:r>
      <w:r>
        <w:rPr>
          <w:rtl/>
        </w:rPr>
        <w:t xml:space="preserve"> </w:t>
      </w:r>
      <w:r w:rsidRPr="00C41E43">
        <w:rPr>
          <w:rFonts w:cs="Arial"/>
          <w:rtl/>
        </w:rPr>
        <w:t>ומכל מקום תימה גדול בעיני שכתב רבינו סברת הר"פ בסתם כאילו אין חולק עליו דמשמע דהכי סבירא ליה ואח"כ הביא תשובת הרא"ש שצריך לכתבו בה"א</w:t>
      </w:r>
      <w:r>
        <w:rPr>
          <w:rFonts w:cs="Arial" w:hint="cs"/>
          <w:rtl/>
        </w:rPr>
        <w:t>.</w:t>
      </w:r>
      <w:r w:rsidRPr="00C41E43">
        <w:rPr>
          <w:rFonts w:cs="Arial"/>
          <w:rtl/>
        </w:rPr>
        <w:t xml:space="preserve"> וגם בנוסח שכתב כתוב בה"א</w:t>
      </w:r>
      <w:r>
        <w:rPr>
          <w:rFonts w:cs="Arial" w:hint="cs"/>
          <w:rtl/>
        </w:rPr>
        <w:t>.</w:t>
      </w:r>
      <w:r w:rsidRPr="00C41E43">
        <w:rPr>
          <w:rFonts w:cs="Arial"/>
          <w:rtl/>
        </w:rPr>
        <w:t xml:space="preserve"> </w:t>
      </w:r>
      <w:r w:rsidRPr="00491EE7">
        <w:rPr>
          <w:rFonts w:cs="Arial" w:hint="cs"/>
          <w:sz w:val="16"/>
          <w:szCs w:val="16"/>
          <w:rtl/>
        </w:rPr>
        <w:t>(</w:t>
      </w:r>
      <w:r w:rsidRPr="00491EE7">
        <w:rPr>
          <w:rFonts w:cs="Arial"/>
          <w:sz w:val="16"/>
          <w:szCs w:val="16"/>
          <w:rtl/>
        </w:rPr>
        <w:t>והתימה ממהרי"ק שכתב בשורש קס"ב וכן בספר אבן העזר כתב כן בשם רבינו פרץ משמע דכן סבירא ליה שהרי לא הביא שום חולק עכ"ל. ונעלמה מעיניו תשובת הרא"ש שכתב בסמוך שסובר שצריך לכותבו בה"א</w:t>
      </w:r>
      <w:r w:rsidRPr="00491EE7">
        <w:rPr>
          <w:rFonts w:cs="Arial" w:hint="cs"/>
          <w:sz w:val="16"/>
          <w:szCs w:val="16"/>
          <w:rtl/>
        </w:rPr>
        <w:t>.</w:t>
      </w:r>
      <w:r w:rsidRPr="00491EE7">
        <w:rPr>
          <w:rFonts w:cs="Arial"/>
          <w:sz w:val="16"/>
          <w:szCs w:val="16"/>
          <w:rtl/>
        </w:rPr>
        <w:t xml:space="preserve"> ואין לומר שהיא כתובה אצלנו בטעות וכך יש לגרוס באותה תשובה ומה שכתב לא ימחה בה"א אם בא הגט לידה אין לפסלו בכך וכמו שמצאתי כתוב בנוסחא אחרת</w:t>
      </w:r>
      <w:r w:rsidRPr="00491EE7">
        <w:rPr>
          <w:rFonts w:cs="Arial" w:hint="cs"/>
          <w:sz w:val="16"/>
          <w:szCs w:val="16"/>
          <w:rtl/>
        </w:rPr>
        <w:t>.</w:t>
      </w:r>
      <w:r w:rsidRPr="00491EE7">
        <w:rPr>
          <w:rFonts w:cs="Arial"/>
          <w:sz w:val="16"/>
          <w:szCs w:val="16"/>
          <w:rtl/>
        </w:rPr>
        <w:t xml:space="preserve"> דאם כן היתה כתובה אצלו ה"ל לסייע עצמו מתשובה זו אלא ודאי כיון שראה דברי ה"ר פרץ סתם בלא שום חולק לא אסיק אדעתיה שיבא אח"כ שום חולק עליו ואגב ריהטיה לא שפיל לסיפא דלישניה דרבינו</w:t>
      </w:r>
      <w:r>
        <w:rPr>
          <w:rFonts w:cs="Arial" w:hint="cs"/>
          <w:sz w:val="16"/>
          <w:szCs w:val="16"/>
          <w:rtl/>
        </w:rPr>
        <w:t>)</w:t>
      </w:r>
      <w:r>
        <w:rPr>
          <w:rFonts w:cs="Arial" w:hint="cs"/>
          <w:rtl/>
        </w:rPr>
        <w:t xml:space="preserve">. </w:t>
      </w:r>
      <w:r w:rsidRPr="00491EE7">
        <w:rPr>
          <w:rFonts w:cs="Arial"/>
          <w:rtl/>
        </w:rPr>
        <w:t>והנראה לי בדעת רבינו שיש לכתבו בה"א וכמו שכתב בטופס שלו</w:t>
      </w:r>
      <w:r>
        <w:rPr>
          <w:rFonts w:cs="Arial" w:hint="cs"/>
          <w:rtl/>
        </w:rPr>
        <w:t>,</w:t>
      </w:r>
      <w:r w:rsidRPr="00491EE7">
        <w:rPr>
          <w:rFonts w:cs="Arial"/>
          <w:rtl/>
        </w:rPr>
        <w:t xml:space="preserve"> וכמו שכתב הרא"ש בהדיא בתשובה</w:t>
      </w:r>
      <w:r>
        <w:rPr>
          <w:rFonts w:cs="Arial" w:hint="cs"/>
          <w:rtl/>
        </w:rPr>
        <w:t>,</w:t>
      </w:r>
      <w:r w:rsidRPr="00491EE7">
        <w:rPr>
          <w:rFonts w:cs="Arial"/>
          <w:rtl/>
        </w:rPr>
        <w:t xml:space="preserve"> וכמו שכתוב בנוסחאות שלנו</w:t>
      </w:r>
      <w:r>
        <w:rPr>
          <w:rFonts w:cs="Arial" w:hint="cs"/>
          <w:rtl/>
        </w:rPr>
        <w:t>,</w:t>
      </w:r>
      <w:r w:rsidRPr="00491EE7">
        <w:rPr>
          <w:rFonts w:cs="Arial"/>
          <w:rtl/>
        </w:rPr>
        <w:t xml:space="preserve"> כי אותה נוסחא שמצאתי משובשת היא והגהת שום תלמיד היא שהרגיש בסתירת רבינו בדבריו דזימנין משמע דפוסק כהר"ף וזימנין פוסק דלא כוותיה ולכן הגיה תשובת הרא"ש בענין שתסכים לדברי ה"ר פרץ</w:t>
      </w:r>
      <w:r>
        <w:rPr>
          <w:rFonts w:cs="Arial" w:hint="cs"/>
          <w:rtl/>
        </w:rPr>
        <w:t>.</w:t>
      </w:r>
      <w:r w:rsidRPr="00491EE7">
        <w:rPr>
          <w:rFonts w:cs="Arial"/>
          <w:rtl/>
        </w:rPr>
        <w:t xml:space="preserve"> ולא נזכר להגיה טופסי הגט דהרא"ש ורבינו שכתוב בהם בה"א</w:t>
      </w:r>
      <w:r>
        <w:rPr>
          <w:rFonts w:cs="Arial" w:hint="cs"/>
          <w:rtl/>
        </w:rPr>
        <w:t>.</w:t>
      </w:r>
      <w:r w:rsidRPr="00491EE7">
        <w:rPr>
          <w:rFonts w:cs="Arial"/>
          <w:rtl/>
        </w:rPr>
        <w:t xml:space="preserve"> ואף על פי שהוא סובר שיש לכתבו בה"א כדברי הרא"ש עם כל זה לא נמנע מלכתוב דברי ה"ר פרץ שהם הפך זה</w:t>
      </w:r>
      <w:r>
        <w:rPr>
          <w:rFonts w:cs="Arial" w:hint="cs"/>
          <w:rtl/>
        </w:rPr>
        <w:t>,</w:t>
      </w:r>
      <w:r w:rsidRPr="00491EE7">
        <w:rPr>
          <w:rFonts w:cs="Arial"/>
          <w:rtl/>
        </w:rPr>
        <w:t xml:space="preserve"> שכן דרכו לכתוב כל הסברות. ומה שלא כתב תשובת הרא"ש סמוך לדברי ה"ר פרץ לפי שרצה לכתוב כל תשובות הרא"ש ביחד וסמך על המעיין שיעיין כל הסימן</w:t>
      </w:r>
      <w:r>
        <w:rPr>
          <w:rFonts w:cs="Arial" w:hint="cs"/>
          <w:rtl/>
        </w:rPr>
        <w:t>.</w:t>
      </w:r>
      <w:r w:rsidRPr="00491EE7">
        <w:rPr>
          <w:rFonts w:cs="Arial"/>
          <w:rtl/>
        </w:rPr>
        <w:t xml:space="preserve"> כן נראה לי לדעת רבינו</w:t>
      </w:r>
      <w:r>
        <w:rPr>
          <w:rFonts w:hint="cs"/>
          <w:rtl/>
        </w:rPr>
        <w:t>, ב"י.</w:t>
      </w:r>
    </w:p>
  </w:footnote>
  <w:footnote w:id="762">
    <w:p w14:paraId="43377499" w14:textId="495A1CAD" w:rsidR="00FA2119" w:rsidRDefault="00FA2119" w:rsidP="00FA2119">
      <w:pPr>
        <w:pStyle w:val="a5"/>
        <w:rPr>
          <w:rtl/>
        </w:rPr>
      </w:pPr>
      <w:r>
        <w:rPr>
          <w:rStyle w:val="a7"/>
        </w:rPr>
        <w:footnoteRef/>
      </w:r>
      <w:r>
        <w:rPr>
          <w:rtl/>
        </w:rPr>
        <w:t xml:space="preserve"> </w:t>
      </w:r>
      <w:r w:rsidRPr="00061D30">
        <w:rPr>
          <w:rFonts w:cs="Arial"/>
          <w:rtl/>
        </w:rPr>
        <w:t>וכן הוא בסדר גיטין שלנו (סי' מט) וכן נוהגין. ומצאתי עוד בתיקון ישן אם כתב ימחי ביו"ד לבסוף אין לפסלו בדיעבד בשעת הדחק עכ"ל. וצ"ע דהא לא נמצא כך</w:t>
      </w:r>
      <w:r>
        <w:rPr>
          <w:rFonts w:cs="Arial" w:hint="cs"/>
          <w:rtl/>
        </w:rPr>
        <w:t>, דרכ"מ (אות כ).</w:t>
      </w:r>
      <w:r w:rsidRPr="006B29E0">
        <w:rPr>
          <w:rFonts w:hint="cs"/>
          <w:color w:val="00B0F0"/>
          <w:rtl/>
        </w:rPr>
        <w:t xml:space="preserve"> (</w:t>
      </w:r>
      <w:r>
        <w:rPr>
          <w:rFonts w:hint="cs"/>
          <w:color w:val="00B0F0"/>
          <w:rtl/>
        </w:rPr>
        <w:t>וכ</w:t>
      </w:r>
      <w:r>
        <w:rPr>
          <w:color w:val="00B0F0"/>
          <w:rtl/>
        </w:rPr>
        <w:t>"</w:t>
      </w:r>
      <w:r>
        <w:rPr>
          <w:rFonts w:hint="cs"/>
          <w:color w:val="00B0F0"/>
          <w:rtl/>
        </w:rPr>
        <w:t xml:space="preserve">פ </w:t>
      </w:r>
      <w:r w:rsidR="009334FF">
        <w:rPr>
          <w:rFonts w:hint="cs"/>
          <w:color w:val="00B0F0"/>
          <w:rtl/>
        </w:rPr>
        <w:t>בהג</w:t>
      </w:r>
      <w:r w:rsidR="009334FF">
        <w:rPr>
          <w:color w:val="00B0F0"/>
          <w:rtl/>
        </w:rPr>
        <w:t>"</w:t>
      </w:r>
      <w:r w:rsidR="009334FF">
        <w:rPr>
          <w:rFonts w:hint="cs"/>
          <w:color w:val="00B0F0"/>
          <w:rtl/>
        </w:rPr>
        <w:t>ה</w:t>
      </w:r>
      <w:r w:rsidRPr="006B29E0">
        <w:rPr>
          <w:rFonts w:hint="cs"/>
          <w:color w:val="00B0F0"/>
          <w:rtl/>
        </w:rPr>
        <w:t>)</w:t>
      </w:r>
    </w:p>
  </w:footnote>
  <w:footnote w:id="763">
    <w:p w14:paraId="4180EF64" w14:textId="77777777" w:rsidR="00FA2119" w:rsidRDefault="00FA2119" w:rsidP="00FA2119">
      <w:pPr>
        <w:pStyle w:val="a5"/>
      </w:pPr>
      <w:r>
        <w:rPr>
          <w:rStyle w:val="a7"/>
        </w:rPr>
        <w:footnoteRef/>
      </w:r>
      <w:r>
        <w:rPr>
          <w:rtl/>
        </w:rPr>
        <w:t xml:space="preserve"> </w:t>
      </w:r>
      <w:r>
        <w:rPr>
          <w:rFonts w:hint="cs"/>
          <w:rtl/>
        </w:rPr>
        <w:t xml:space="preserve">סוף נוסח הגט הוא כך: </w:t>
      </w:r>
      <w:r w:rsidRPr="006F485B">
        <w:rPr>
          <w:rFonts w:cs="Arial"/>
          <w:rtl/>
        </w:rPr>
        <w:t>ודן די יהוי ליכי מנאי ספר תרוכין וגט פטורין ואגרת שבוקין כדת משה וישראל.</w:t>
      </w:r>
      <w:r>
        <w:rPr>
          <w:rFonts w:cs="Arial" w:hint="cs"/>
          <w:rtl/>
        </w:rPr>
        <w:t xml:space="preserve"> </w:t>
      </w:r>
      <w:r>
        <w:rPr>
          <w:rFonts w:cs="Arial" w:hint="cs"/>
          <w:sz w:val="16"/>
          <w:szCs w:val="16"/>
          <w:rtl/>
        </w:rPr>
        <w:t>{</w:t>
      </w:r>
      <w:r w:rsidRPr="006F485B">
        <w:rPr>
          <w:rFonts w:cs="Arial" w:hint="cs"/>
          <w:sz w:val="16"/>
          <w:szCs w:val="16"/>
          <w:rtl/>
        </w:rPr>
        <w:t>ולאחר מכן העדים חותמים</w:t>
      </w:r>
      <w:r>
        <w:rPr>
          <w:rFonts w:cs="Arial" w:hint="cs"/>
          <w:sz w:val="16"/>
          <w:szCs w:val="16"/>
          <w:rtl/>
        </w:rPr>
        <w:t>}</w:t>
      </w:r>
    </w:p>
  </w:footnote>
  <w:footnote w:id="764">
    <w:p w14:paraId="0A6CB90E" w14:textId="7264661A"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6E2372">
        <w:rPr>
          <w:rFonts w:cs="Arial"/>
          <w:rtl/>
        </w:rPr>
        <w:t>בימיהם לא היו כותבין שריר וקיים בפשוטין שלהם</w:t>
      </w:r>
      <w:r>
        <w:rPr>
          <w:rFonts w:cs="Arial" w:hint="cs"/>
          <w:rtl/>
        </w:rPr>
        <w:t>,</w:t>
      </w:r>
      <w:r w:rsidRPr="006E2372">
        <w:rPr>
          <w:rFonts w:cs="Arial"/>
          <w:rtl/>
        </w:rPr>
        <w:t xml:space="preserve"> כדאמר גבי מקושר לעיל דכתב שריר וקיים מכלל דבפשוטים לא היו כותבין שריר וקיים</w:t>
      </w:r>
      <w:r>
        <w:rPr>
          <w:rFonts w:cs="Arial" w:hint="cs"/>
          <w:rtl/>
        </w:rPr>
        <w:t>,</w:t>
      </w:r>
      <w:r w:rsidRPr="006E2372">
        <w:rPr>
          <w:rFonts w:cs="Arial"/>
          <w:rtl/>
        </w:rPr>
        <w:t xml:space="preserve"> ולכך לא היו למדין משיטה אחרונה שלא יוכל לזייף בשיטה אחת שהרחיקו העדים</w:t>
      </w:r>
      <w:r>
        <w:rPr>
          <w:rFonts w:cs="Arial" w:hint="cs"/>
          <w:rtl/>
        </w:rPr>
        <w:t>...</w:t>
      </w:r>
      <w:r w:rsidRPr="006E2372">
        <w:rPr>
          <w:rFonts w:cs="Arial"/>
          <w:rtl/>
        </w:rPr>
        <w:t xml:space="preserve"> ויש לתמוה א"כ היאך הורגלנו לכתוב קיום מחקים אחר וקנינא מיניה והא אין למדין משיטה אחרונה</w:t>
      </w:r>
      <w:r>
        <w:rPr>
          <w:rFonts w:cs="Arial" w:hint="cs"/>
          <w:rtl/>
        </w:rPr>
        <w:t>...</w:t>
      </w:r>
      <w:r w:rsidRPr="006E2372">
        <w:rPr>
          <w:rFonts w:cs="Arial"/>
          <w:rtl/>
        </w:rPr>
        <w:t xml:space="preserve"> וי"ל כיון שהורגלנו לכתוב שריר וקיים יהא פסול אם לא נכתב כן אפילו כשאין בו מחק והשתא לא יוכל לבא לידי זיוף לכך אנו כותבין שפיר קיום מחקים אחר וקנינא מיניה ולמדין אנו היטב משיטה אחרונה כיון שאנו כותבין שריר וקיים והא דכותבין וקנינא מיניה וכו' לא הויא חזרת השטר אלא לפי שעדיין עדות הקנין הוא שבתחלה כתב ואמר לנו הוו עלי עדים וקנו ממני ואחר כן וקנינא מיניה והוא הדין שיכול לכתבו באמצע השטר</w:t>
      </w:r>
      <w:r>
        <w:rPr>
          <w:rFonts w:cs="Arial" w:hint="cs"/>
          <w:rtl/>
        </w:rPr>
        <w:t>.</w:t>
      </w:r>
      <w:r w:rsidRPr="006E2372">
        <w:rPr>
          <w:rFonts w:cs="Arial"/>
          <w:rtl/>
        </w:rPr>
        <w:t xml:space="preserve"> ולפי האי פירוש דלא צריך חזרת השטר אם כן הא דכתבינן בגיטין ודין דיהוי ליכי מנאי ספר תירוכין וגט פטורין לא הויא משום חזרת השטר דלא צריך למכתב חזרה כיון דכתבינן שריר וקיים</w:t>
      </w:r>
      <w:r>
        <w:rPr>
          <w:rFonts w:cs="Arial" w:hint="cs"/>
          <w:rtl/>
        </w:rPr>
        <w:t>,</w:t>
      </w:r>
      <w:r w:rsidRPr="006E2372">
        <w:rPr>
          <w:rFonts w:cs="Arial"/>
          <w:rtl/>
        </w:rPr>
        <w:t xml:space="preserve"> ובגיטין כדת משה וישראל הוי במקום שריר וקיים</w:t>
      </w:r>
      <w:r>
        <w:rPr>
          <w:rFonts w:cs="Arial" w:hint="cs"/>
          <w:rtl/>
        </w:rPr>
        <w:t>,</w:t>
      </w:r>
      <w:r w:rsidRPr="006E2372">
        <w:rPr>
          <w:rFonts w:cs="Arial"/>
          <w:rtl/>
        </w:rPr>
        <w:t xml:space="preserve"> ובעיא היא בהמגרש (גיטין פה: ושם) אי בעינן ודין או לא ולא איפשיט</w:t>
      </w:r>
      <w:r>
        <w:rPr>
          <w:rFonts w:cs="Arial" w:hint="cs"/>
          <w:rtl/>
        </w:rPr>
        <w:t>.</w:t>
      </w:r>
      <w:r w:rsidRPr="006E2372">
        <w:rPr>
          <w:rFonts w:cs="Arial"/>
          <w:rtl/>
        </w:rPr>
        <w:t xml:space="preserve"> ולכך נראה שלעיקר גט אנו כותבין ודין</w:t>
      </w:r>
      <w:r>
        <w:rPr>
          <w:rFonts w:cs="Arial" w:hint="cs"/>
          <w:rtl/>
        </w:rPr>
        <w:t>,</w:t>
      </w:r>
      <w:r w:rsidRPr="006E2372">
        <w:rPr>
          <w:rFonts w:cs="Arial"/>
          <w:rtl/>
        </w:rPr>
        <w:t xml:space="preserve"> ואין אנו צריכין חזרה משום טעם שפי'</w:t>
      </w:r>
      <w:r>
        <w:rPr>
          <w:rFonts w:cs="Arial" w:hint="cs"/>
          <w:rtl/>
        </w:rPr>
        <w:t>,</w:t>
      </w:r>
      <w:r w:rsidRPr="006E2372">
        <w:rPr>
          <w:rFonts w:cs="Arial"/>
          <w:rtl/>
        </w:rPr>
        <w:t xml:space="preserve"> ויכולים לכתוב ודין בשיטה אחרונה</w:t>
      </w:r>
      <w:r>
        <w:rPr>
          <w:rFonts w:cs="Arial" w:hint="cs"/>
          <w:rtl/>
        </w:rPr>
        <w:t>,</w:t>
      </w:r>
      <w:r w:rsidRPr="006E2372">
        <w:rPr>
          <w:rFonts w:cs="Arial"/>
          <w:rtl/>
        </w:rPr>
        <w:t xml:space="preserve"> דכדת משה וישראל הוי במקום שריר וקיים</w:t>
      </w:r>
      <w:r>
        <w:rPr>
          <w:rFonts w:cs="Arial" w:hint="cs"/>
          <w:rtl/>
        </w:rPr>
        <w:t>...</w:t>
      </w:r>
      <w:r w:rsidRPr="006E2372">
        <w:rPr>
          <w:rFonts w:cs="Arial"/>
          <w:rtl/>
        </w:rPr>
        <w:t xml:space="preserve"> וזה שאל ר"י לר"ת על קיום מחקים שאנו כותבין בשיטה אחרונה והשיב כמו שפירשתי שאנו סומכין על שריר וקיים</w:t>
      </w:r>
      <w:r>
        <w:rPr>
          <w:rFonts w:cs="Arial" w:hint="cs"/>
          <w:rtl/>
        </w:rPr>
        <w:t>...</w:t>
      </w:r>
      <w:r w:rsidRPr="006E2372">
        <w:rPr>
          <w:rFonts w:cs="Arial"/>
          <w:rtl/>
        </w:rPr>
        <w:t xml:space="preserve"> ולאחר פטירתו של ר"ת מצא ר"י בה"ג שהיה לר"ת בתיקון הגט שעשה</w:t>
      </w:r>
      <w:r>
        <w:rPr>
          <w:rFonts w:cs="Arial" w:hint="cs"/>
          <w:rtl/>
        </w:rPr>
        <w:t>:</w:t>
      </w:r>
      <w:r w:rsidRPr="006E2372">
        <w:rPr>
          <w:rFonts w:cs="Arial"/>
          <w:rtl/>
        </w:rPr>
        <w:t xml:space="preserve"> </w:t>
      </w:r>
      <w:r>
        <w:rPr>
          <w:rFonts w:cs="Arial" w:hint="cs"/>
          <w:rtl/>
        </w:rPr>
        <w:t>'</w:t>
      </w:r>
      <w:r w:rsidRPr="006E2372">
        <w:rPr>
          <w:rFonts w:cs="Arial"/>
          <w:rtl/>
        </w:rPr>
        <w:t>כל דבר שלמדין הימנו אם מחק או תלה צריך לכתוב דעל המחק או דביני חטי קודם שיטה אחרונה לפני וקנינא מיניה</w:t>
      </w:r>
      <w:r>
        <w:rPr>
          <w:rFonts w:cs="Arial" w:hint="cs"/>
          <w:rtl/>
        </w:rPr>
        <w:t>,</w:t>
      </w:r>
      <w:r w:rsidRPr="006E2372">
        <w:rPr>
          <w:rFonts w:cs="Arial"/>
          <w:rtl/>
        </w:rPr>
        <w:t xml:space="preserve"> אך בדברים ששנה עליהם שכתב פעמים ושלש בתוך השטר אז אין עיקר הגט תלוי בו בזה הורגלו לקיים אחר שיטה אחרונה</w:t>
      </w:r>
      <w:r>
        <w:rPr>
          <w:rFonts w:cs="Arial" w:hint="cs"/>
          <w:rtl/>
        </w:rPr>
        <w:t>'.</w:t>
      </w:r>
      <w:r w:rsidRPr="006E2372">
        <w:rPr>
          <w:rFonts w:cs="Arial"/>
          <w:rtl/>
        </w:rPr>
        <w:t xml:space="preserve"> א"כ ס"ל דאין למדין משיטה אחרונה</w:t>
      </w:r>
      <w:r>
        <w:rPr>
          <w:rFonts w:cs="Arial" w:hint="cs"/>
          <w:rtl/>
        </w:rPr>
        <w:t>,</w:t>
      </w:r>
      <w:r w:rsidRPr="006E2372">
        <w:rPr>
          <w:rFonts w:cs="Arial"/>
          <w:rtl/>
        </w:rPr>
        <w:t xml:space="preserve"> וקנינא מיניה הוה חזרת השטר</w:t>
      </w:r>
      <w:r>
        <w:rPr>
          <w:rFonts w:cs="Arial" w:hint="cs"/>
          <w:rtl/>
        </w:rPr>
        <w:t>,</w:t>
      </w:r>
      <w:r w:rsidRPr="006E2372">
        <w:rPr>
          <w:rFonts w:cs="Arial"/>
          <w:rtl/>
        </w:rPr>
        <w:t xml:space="preserve"> ושריר וקיים דכתבינן על חנם הוא</w:t>
      </w:r>
      <w:r>
        <w:rPr>
          <w:rFonts w:cs="Arial" w:hint="cs"/>
          <w:rtl/>
        </w:rPr>
        <w:t>,</w:t>
      </w:r>
      <w:r w:rsidRPr="006E2372">
        <w:rPr>
          <w:rFonts w:cs="Arial"/>
          <w:rtl/>
        </w:rPr>
        <w:t xml:space="preserve"> וצריך ליזהר בגיטין שלא לכתוב ודין דיהוי ליכי מנאי ספר תירוכין בשיטה אחרונה</w:t>
      </w:r>
      <w:r>
        <w:rPr>
          <w:rFonts w:cs="Arial" w:hint="cs"/>
          <w:rtl/>
        </w:rPr>
        <w:t>,</w:t>
      </w:r>
      <w:r w:rsidRPr="006E2372">
        <w:rPr>
          <w:rFonts w:cs="Arial"/>
          <w:rtl/>
        </w:rPr>
        <w:t xml:space="preserve"> אלא מתירוכין ואילך שהוא כפל לשון</w:t>
      </w:r>
      <w:r>
        <w:rPr>
          <w:rFonts w:cs="Arial" w:hint="cs"/>
          <w:rtl/>
        </w:rPr>
        <w:t>,</w:t>
      </w:r>
      <w:r w:rsidRPr="006E2372">
        <w:rPr>
          <w:rFonts w:cs="Arial"/>
          <w:rtl/>
        </w:rPr>
        <w:t xml:space="preserve"> מאחר שאין למדין משיטה אחרונה אף על גב שאנו כותבין שריר וקיים בשטרות וכדת משה וישראל בגיטין</w:t>
      </w:r>
      <w:r>
        <w:rPr>
          <w:rFonts w:cs="Arial" w:hint="cs"/>
          <w:rtl/>
        </w:rPr>
        <w:t>,</w:t>
      </w:r>
      <w:r w:rsidRPr="006E2372">
        <w:rPr>
          <w:rFonts w:cs="Arial"/>
          <w:rtl/>
        </w:rPr>
        <w:t xml:space="preserve"> שאין לכתוב דבר שהוא מעיקר הגט בשיטה אחרונה</w:t>
      </w:r>
      <w:r>
        <w:rPr>
          <w:rFonts w:cs="Arial" w:hint="cs"/>
          <w:rtl/>
        </w:rPr>
        <w:t>.</w:t>
      </w:r>
      <w:r w:rsidRPr="006E2372">
        <w:rPr>
          <w:rFonts w:cs="Arial"/>
          <w:rtl/>
        </w:rPr>
        <w:t xml:space="preserve"> ומבעיא לן בהמגרש (גיטין דף פה:) אי בעינן ודין או לא ולא איפשיט</w:t>
      </w:r>
      <w:r>
        <w:rPr>
          <w:rFonts w:cs="Arial" w:hint="cs"/>
          <w:rtl/>
        </w:rPr>
        <w:t>.</w:t>
      </w:r>
      <w:r w:rsidRPr="006E2372">
        <w:rPr>
          <w:rFonts w:cs="Arial"/>
          <w:rtl/>
        </w:rPr>
        <w:t xml:space="preserve"> וקשיא לר"י על האי פירוש שפירש ר"ת שאין למדין משיטה אחרונה וקיום מחקים שהורגלו לכתוב אחר וקנינא היינו בדברים שאין עיקר השטר תלוי בו</w:t>
      </w:r>
      <w:r>
        <w:rPr>
          <w:rFonts w:cs="Arial" w:hint="cs"/>
          <w:rtl/>
        </w:rPr>
        <w:t>,</w:t>
      </w:r>
      <w:r w:rsidRPr="006E2372">
        <w:rPr>
          <w:rFonts w:cs="Arial"/>
          <w:rtl/>
        </w:rPr>
        <w:t xml:space="preserve"> א"כ יבא לידי זיוף שימחוק בשטר דבר ויכתוב עליהם דבר ששנוי בשטר ויקיימנו בסוף השיטה אחר וקנינא מיניה</w:t>
      </w:r>
      <w:r>
        <w:rPr>
          <w:rFonts w:cs="Arial" w:hint="cs"/>
          <w:rtl/>
        </w:rPr>
        <w:t>.</w:t>
      </w:r>
      <w:r w:rsidRPr="006E2372">
        <w:rPr>
          <w:rFonts w:cs="Arial"/>
          <w:rtl/>
        </w:rPr>
        <w:t xml:space="preserve"> וכמו שאומר ר"ת מתחלה דלמדין משיטה אחרונה</w:t>
      </w:r>
      <w:r>
        <w:rPr>
          <w:rFonts w:cs="Arial" w:hint="cs"/>
          <w:rtl/>
        </w:rPr>
        <w:t>.</w:t>
      </w:r>
      <w:r w:rsidRPr="006E2372">
        <w:rPr>
          <w:rFonts w:cs="Arial"/>
          <w:rtl/>
        </w:rPr>
        <w:t xml:space="preserve"> וכן נראה לר"י מדנהגו לכתוב שריר וקיים בשטרות ובגיטין כדת משה וישראל</w:t>
      </w:r>
      <w:r>
        <w:rPr>
          <w:rFonts w:cs="Arial" w:hint="cs"/>
          <w:rtl/>
        </w:rPr>
        <w:t>..</w:t>
      </w:r>
      <w:r w:rsidRPr="006E2372">
        <w:rPr>
          <w:rFonts w:cs="Arial"/>
          <w:rtl/>
        </w:rPr>
        <w:t>.</w:t>
      </w:r>
    </w:p>
  </w:footnote>
  <w:footnote w:id="765">
    <w:p w14:paraId="08040CE1" w14:textId="77777777" w:rsidR="00FA2119" w:rsidRDefault="00FA2119" w:rsidP="00FA2119">
      <w:pPr>
        <w:pStyle w:val="a5"/>
      </w:pPr>
      <w:r>
        <w:rPr>
          <w:rStyle w:val="a7"/>
        </w:rPr>
        <w:footnoteRef/>
      </w:r>
      <w:r>
        <w:rPr>
          <w:rtl/>
        </w:rPr>
        <w:t xml:space="preserve"> </w:t>
      </w:r>
      <w:r w:rsidRPr="006E2372">
        <w:rPr>
          <w:rFonts w:cs="Arial"/>
          <w:rtl/>
        </w:rPr>
        <w:t>וזה שאל ר"י לר"ת על קיום מחקים שאנו כותבין בשיטה אחרונה והשיב כמו שפירשתי שאנו סומכין על שריר וקיים</w:t>
      </w:r>
      <w:r>
        <w:rPr>
          <w:rFonts w:cs="Arial" w:hint="cs"/>
          <w:rtl/>
        </w:rPr>
        <w:t>...</w:t>
      </w:r>
      <w:r w:rsidRPr="006E2372">
        <w:rPr>
          <w:rFonts w:cs="Arial"/>
          <w:rtl/>
        </w:rPr>
        <w:t xml:space="preserve"> וכן נראה לר"י</w:t>
      </w:r>
      <w:r>
        <w:rPr>
          <w:rFonts w:cs="Arial" w:hint="cs"/>
          <w:rtl/>
        </w:rPr>
        <w:t>, תוס' (שם).</w:t>
      </w:r>
    </w:p>
  </w:footnote>
  <w:footnote w:id="766">
    <w:p w14:paraId="1E6ECF75" w14:textId="77777777" w:rsidR="00FA2119" w:rsidRDefault="00FA2119" w:rsidP="00FA2119">
      <w:pPr>
        <w:pStyle w:val="a5"/>
        <w:rPr>
          <w:rtl/>
        </w:rPr>
      </w:pPr>
      <w:r>
        <w:rPr>
          <w:rStyle w:val="a7"/>
        </w:rPr>
        <w:footnoteRef/>
      </w:r>
      <w:r>
        <w:rPr>
          <w:rtl/>
        </w:rPr>
        <w:t xml:space="preserve"> </w:t>
      </w:r>
      <w:r>
        <w:rPr>
          <w:rFonts w:hint="cs"/>
          <w:rtl/>
        </w:rPr>
        <w:t xml:space="preserve">כך מצא ר"י לאחר פטירת ר"ת בתיקון הגט שעה ר"ת. אך בחייו אמר ר"ת לר"י כפי שפירשו התוס', וכן דעת ר"י. וגם הרא"ש (ב"ב פ"י ס"ב) השמיט את מה שהביא התוס' בשם ר"ת מתיקון הגט שלו, והעתיק את דברי התוס' ור"י </w:t>
      </w:r>
      <w:r w:rsidRPr="00205708">
        <w:rPr>
          <w:rFonts w:hint="cs"/>
          <w:sz w:val="16"/>
          <w:szCs w:val="16"/>
          <w:rtl/>
        </w:rPr>
        <w:t xml:space="preserve">(וז"ל הרא"ש- </w:t>
      </w:r>
      <w:r w:rsidRPr="00205708">
        <w:rPr>
          <w:rFonts w:cs="Arial"/>
          <w:sz w:val="16"/>
          <w:szCs w:val="16"/>
          <w:rtl/>
        </w:rPr>
        <w:t>ולפי זה יכול לכתוב ודין דיהוי ליכי מינאי ספר תירוכין בשיטה אחרונה אע</w:t>
      </w:r>
      <w:r>
        <w:rPr>
          <w:rFonts w:cs="Arial" w:hint="cs"/>
          <w:sz w:val="16"/>
          <w:szCs w:val="16"/>
          <w:rtl/>
        </w:rPr>
        <w:t>"</w:t>
      </w:r>
      <w:r w:rsidRPr="00205708">
        <w:rPr>
          <w:rFonts w:cs="Arial"/>
          <w:sz w:val="16"/>
          <w:szCs w:val="16"/>
          <w:rtl/>
        </w:rPr>
        <w:t>ג דשמה עיקר הגט הוא</w:t>
      </w:r>
      <w:r>
        <w:rPr>
          <w:rFonts w:cs="Arial" w:hint="cs"/>
          <w:sz w:val="16"/>
          <w:szCs w:val="16"/>
          <w:rtl/>
        </w:rPr>
        <w:t>)</w:t>
      </w:r>
      <w:r>
        <w:rPr>
          <w:rFonts w:cs="Arial" w:hint="cs"/>
          <w:rtl/>
        </w:rPr>
        <w:t>.</w:t>
      </w:r>
      <w:r w:rsidRPr="00BE7802">
        <w:rPr>
          <w:rFonts w:cs="Arial" w:hint="cs"/>
          <w:rtl/>
        </w:rPr>
        <w:t xml:space="preserve"> </w:t>
      </w:r>
      <w:r>
        <w:rPr>
          <w:rFonts w:cs="Arial" w:hint="cs"/>
          <w:rtl/>
        </w:rPr>
        <w:t>אך</w:t>
      </w:r>
      <w:r w:rsidRPr="00496F83">
        <w:rPr>
          <w:rFonts w:cs="Arial"/>
          <w:rtl/>
        </w:rPr>
        <w:t xml:space="preserve"> בעל התרומה (סי' קלא לד ע"ג</w:t>
      </w:r>
      <w:r>
        <w:rPr>
          <w:rFonts w:cs="Arial" w:hint="cs"/>
          <w:rtl/>
        </w:rPr>
        <w:t>) כתב שדעת ר"ת למעשה לא לכתוב שיטה אחרונה אלא כדת משה וישראל (ולא סמך ר"ת על מה שאמר בתחילה לר"י).</w:t>
      </w:r>
      <w:r w:rsidRPr="00496F83">
        <w:rPr>
          <w:rFonts w:cs="Arial"/>
          <w:rtl/>
        </w:rPr>
        <w:t xml:space="preserve"> </w:t>
      </w:r>
      <w:r>
        <w:rPr>
          <w:rFonts w:cs="Arial" w:hint="cs"/>
          <w:rtl/>
        </w:rPr>
        <w:t>והעתיק הסמ"ג (עשין נ) דברי התרומה.</w:t>
      </w:r>
    </w:p>
  </w:footnote>
  <w:footnote w:id="767">
    <w:p w14:paraId="1C198C6E" w14:textId="7AAB6D05" w:rsidR="00FA2119" w:rsidRDefault="00FA2119" w:rsidP="00FA2119">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230312">
        <w:rPr>
          <w:rFonts w:cs="Arial"/>
          <w:rtl/>
        </w:rPr>
        <w:t>בשיטה אחרונה כדת משה וישראל ולא יותר</w:t>
      </w:r>
      <w:r>
        <w:rPr>
          <w:rFonts w:cs="Arial" w:hint="cs"/>
          <w:rtl/>
        </w:rPr>
        <w:t>.</w:t>
      </w:r>
    </w:p>
  </w:footnote>
  <w:footnote w:id="768">
    <w:p w14:paraId="1B2D1208" w14:textId="77777777" w:rsidR="00FA2119" w:rsidRDefault="00FA2119" w:rsidP="00FA2119">
      <w:pPr>
        <w:pStyle w:val="a5"/>
        <w:rPr>
          <w:rtl/>
        </w:rPr>
      </w:pPr>
      <w:r>
        <w:rPr>
          <w:rStyle w:val="a7"/>
        </w:rPr>
        <w:footnoteRef/>
      </w:r>
      <w:r>
        <w:rPr>
          <w:rtl/>
        </w:rPr>
        <w:t xml:space="preserve"> </w:t>
      </w:r>
      <w:r w:rsidRPr="00496F83">
        <w:rPr>
          <w:rFonts w:cs="Arial"/>
          <w:rtl/>
        </w:rPr>
        <w:t>והטעם משום דמספקא לן אי בעינן למיכתב ודין דיהוי ליכי וכו' ושמא צריך לכתבו</w:t>
      </w:r>
      <w:r>
        <w:rPr>
          <w:rFonts w:cs="Arial" w:hint="cs"/>
          <w:rtl/>
        </w:rPr>
        <w:t>,</w:t>
      </w:r>
      <w:r w:rsidRPr="00496F83">
        <w:rPr>
          <w:rFonts w:cs="Arial"/>
          <w:rtl/>
        </w:rPr>
        <w:t xml:space="preserve"> ואם כן דבר עיקר הוא ואמרינן בריש גט פשוט דאין למדין משיטה אחרונה</w:t>
      </w:r>
      <w:r>
        <w:rPr>
          <w:rFonts w:hint="cs"/>
          <w:rtl/>
        </w:rPr>
        <w:t>, ב"י.</w:t>
      </w:r>
    </w:p>
  </w:footnote>
  <w:footnote w:id="769">
    <w:p w14:paraId="2B198DFB" w14:textId="77777777" w:rsidR="00FA2119" w:rsidRDefault="00FA2119" w:rsidP="00FA2119">
      <w:pPr>
        <w:pStyle w:val="a5"/>
        <w:rPr>
          <w:rtl/>
        </w:rPr>
      </w:pPr>
      <w:r>
        <w:rPr>
          <w:rStyle w:val="a7"/>
        </w:rPr>
        <w:footnoteRef/>
      </w:r>
      <w:r>
        <w:rPr>
          <w:rtl/>
        </w:rPr>
        <w:t xml:space="preserve"> </w:t>
      </w:r>
      <w:r>
        <w:rPr>
          <w:rFonts w:cs="Arial" w:hint="cs"/>
          <w:rtl/>
        </w:rPr>
        <w:t>ו</w:t>
      </w:r>
      <w:r w:rsidRPr="00496F83">
        <w:rPr>
          <w:rFonts w:cs="Arial"/>
          <w:rtl/>
        </w:rPr>
        <w:t>גם ר</w:t>
      </w:r>
      <w:r>
        <w:rPr>
          <w:rFonts w:cs="Arial" w:hint="cs"/>
          <w:rtl/>
        </w:rPr>
        <w:t>י"ו</w:t>
      </w:r>
      <w:r w:rsidRPr="00496F83">
        <w:rPr>
          <w:rFonts w:cs="Arial"/>
          <w:rtl/>
        </w:rPr>
        <w:t xml:space="preserve"> כתב </w:t>
      </w:r>
      <w:r w:rsidRPr="00BE7802">
        <w:rPr>
          <w:rFonts w:cs="Arial" w:hint="cs"/>
          <w:sz w:val="16"/>
          <w:szCs w:val="16"/>
          <w:rtl/>
        </w:rPr>
        <w:t>(</w:t>
      </w:r>
      <w:r w:rsidRPr="00BE7802">
        <w:rPr>
          <w:rFonts w:cs="Arial"/>
          <w:sz w:val="16"/>
          <w:szCs w:val="16"/>
          <w:rtl/>
        </w:rPr>
        <w:t>ח</w:t>
      </w:r>
      <w:r w:rsidRPr="00BE7802">
        <w:rPr>
          <w:rFonts w:cs="Arial" w:hint="cs"/>
          <w:sz w:val="16"/>
          <w:szCs w:val="16"/>
          <w:rtl/>
        </w:rPr>
        <w:t xml:space="preserve">"ב </w:t>
      </w:r>
      <w:r w:rsidRPr="00BE7802">
        <w:rPr>
          <w:rFonts w:cs="Arial"/>
          <w:sz w:val="16"/>
          <w:szCs w:val="16"/>
          <w:rtl/>
        </w:rPr>
        <w:t>נכ"ד רד ע"ד</w:t>
      </w:r>
      <w:r w:rsidRPr="00BE7802">
        <w:rPr>
          <w:rFonts w:cs="Arial" w:hint="cs"/>
          <w:sz w:val="16"/>
          <w:szCs w:val="16"/>
          <w:rtl/>
        </w:rPr>
        <w:t xml:space="preserve"> - רה ע"א, לאחר שהביא את לשון התוס'</w:t>
      </w:r>
      <w:r w:rsidRPr="00BE7802">
        <w:rPr>
          <w:rFonts w:cs="Arial"/>
          <w:sz w:val="16"/>
          <w:szCs w:val="16"/>
          <w:rtl/>
        </w:rPr>
        <w:t>)</w:t>
      </w:r>
      <w:r w:rsidRPr="00496F83">
        <w:rPr>
          <w:rFonts w:cs="Arial"/>
          <w:rtl/>
        </w:rPr>
        <w:t xml:space="preserve"> </w:t>
      </w:r>
      <w:r>
        <w:rPr>
          <w:rFonts w:cs="Arial" w:hint="cs"/>
          <w:rtl/>
        </w:rPr>
        <w:t>ו</w:t>
      </w:r>
      <w:r w:rsidRPr="00496F83">
        <w:rPr>
          <w:rFonts w:cs="Arial"/>
          <w:rtl/>
        </w:rPr>
        <w:t>מנהג יפה הוא לפי זה לכתוב כדת משה וישראל ולא יותר בשיטה אחרונה.</w:t>
      </w:r>
      <w:r w:rsidRPr="00842923">
        <w:rPr>
          <w:rFonts w:cs="Arial"/>
          <w:rtl/>
        </w:rPr>
        <w:t xml:space="preserve"> </w:t>
      </w:r>
      <w:r w:rsidRPr="00496F83">
        <w:rPr>
          <w:rFonts w:cs="Arial"/>
          <w:rtl/>
        </w:rPr>
        <w:t>ו</w:t>
      </w:r>
      <w:r>
        <w:rPr>
          <w:rFonts w:cs="Arial" w:hint="cs"/>
          <w:rtl/>
        </w:rPr>
        <w:t>כתב הב"י ד</w:t>
      </w:r>
      <w:r w:rsidRPr="00496F83">
        <w:rPr>
          <w:rFonts w:cs="Arial"/>
          <w:rtl/>
        </w:rPr>
        <w:t>כן נהוג עלמא שלא לכתוב בשיטה אחרונה אלא כדת משה וישראל לבד</w:t>
      </w:r>
      <w:r>
        <w:rPr>
          <w:rFonts w:cs="Arial" w:hint="cs"/>
          <w:rtl/>
        </w:rPr>
        <w:t>.</w:t>
      </w:r>
      <w:r w:rsidRPr="00496F83">
        <w:rPr>
          <w:rFonts w:cs="Arial"/>
          <w:rtl/>
        </w:rPr>
        <w:t xml:space="preserve"> וכתב עוד שם הר"ן שיש מקומות שנהגו לכתוב כדת משה וישראל וחתימתן של עדים בשיטה אחת וכשר הדבר ובלבד שיהא אפשר לכתוב במקום כדת משה וישראל פלוני חייב לפלוני מנה דכהאי גוונא ליכא למיחש שמא הרחיקו העדים משום דקיימא לן (ב"ב קסג:) שטר הבא הוא ועדיו בשיטה אחת כשר ויש להם לחוש שלא יהא אפשר לזייף בכך</w:t>
      </w:r>
      <w:r>
        <w:rPr>
          <w:rFonts w:hint="cs"/>
          <w:rtl/>
        </w:rPr>
        <w:t>.</w:t>
      </w:r>
    </w:p>
  </w:footnote>
  <w:footnote w:id="770">
    <w:p w14:paraId="0E689E31" w14:textId="52775309" w:rsidR="00FA2119" w:rsidRDefault="00FA2119" w:rsidP="00FA2119">
      <w:pPr>
        <w:pStyle w:val="a5"/>
        <w:rPr>
          <w:rtl/>
        </w:rPr>
      </w:pPr>
      <w:r>
        <w:rPr>
          <w:rStyle w:val="a7"/>
        </w:rPr>
        <w:footnoteRef/>
      </w:r>
      <w:r>
        <w:rPr>
          <w:rtl/>
        </w:rPr>
        <w:t xml:space="preserve"> </w:t>
      </w:r>
      <w:r>
        <w:rPr>
          <w:rFonts w:hint="cs"/>
          <w:rtl/>
        </w:rPr>
        <w:t>לכתחילה. אך בדיעבד הסכים לדברי התוס' והרא"ש והעתיק את דברי הרא"ש בתשובה (כלל מה סי' יט), והעתיקו הטור גם כן. וז"ל הרא"ש (שם)</w:t>
      </w:r>
      <w:r w:rsidR="00A24092">
        <w:rPr>
          <w:rFonts w:hint="cs"/>
          <w:rtl/>
        </w:rPr>
        <w:t>:</w:t>
      </w:r>
      <w:r w:rsidRPr="00AC6271">
        <w:rPr>
          <w:rtl/>
        </w:rPr>
        <w:t xml:space="preserve"> </w:t>
      </w:r>
      <w:r w:rsidRPr="00AC6271">
        <w:rPr>
          <w:rFonts w:cs="Arial"/>
          <w:rtl/>
        </w:rPr>
        <w:t>ומה ששאלת גט שהיה בשיטה אחרונה תיבות הרבה יותר מכדת משה וישראל אם נפסל בכך. דע כי לא נפסל בכך, כי כדת משה וישראל שכותבין בגט הוא קיום הגט והוא במקום שריר וקיים שכותבין בשטרות.</w:t>
      </w:r>
      <w:r>
        <w:rPr>
          <w:rFonts w:cs="Arial" w:hint="cs"/>
          <w:rtl/>
        </w:rPr>
        <w:t xml:space="preserve"> עכ"ל. </w:t>
      </w:r>
      <w:r w:rsidRPr="00AD395F">
        <w:rPr>
          <w:rFonts w:cs="Arial"/>
          <w:rtl/>
        </w:rPr>
        <w:t>וכ</w:t>
      </w:r>
      <w:r>
        <w:rPr>
          <w:rFonts w:cs="Arial" w:hint="cs"/>
          <w:rtl/>
        </w:rPr>
        <w:t>"</w:t>
      </w:r>
      <w:r w:rsidRPr="00AD395F">
        <w:rPr>
          <w:rFonts w:cs="Arial"/>
          <w:rtl/>
        </w:rPr>
        <w:t xml:space="preserve">כ הרשב"א (סימן תקס"ב ותקצ"ח) </w:t>
      </w:r>
      <w:r>
        <w:rPr>
          <w:rFonts w:cs="Arial" w:hint="cs"/>
          <w:rtl/>
        </w:rPr>
        <w:t>ו</w:t>
      </w:r>
      <w:r w:rsidRPr="00AD395F">
        <w:rPr>
          <w:rFonts w:cs="Arial"/>
          <w:rtl/>
        </w:rPr>
        <w:t xml:space="preserve">הריב"ש </w:t>
      </w:r>
      <w:r>
        <w:rPr>
          <w:rFonts w:cs="Arial" w:hint="cs"/>
          <w:rtl/>
        </w:rPr>
        <w:t>(</w:t>
      </w:r>
      <w:r w:rsidRPr="00AD395F">
        <w:rPr>
          <w:rFonts w:cs="Arial"/>
          <w:rtl/>
        </w:rPr>
        <w:t>סי</w:t>
      </w:r>
      <w:r>
        <w:rPr>
          <w:rFonts w:cs="Arial" w:hint="cs"/>
          <w:rtl/>
        </w:rPr>
        <w:t>'</w:t>
      </w:r>
      <w:r w:rsidRPr="00AD395F">
        <w:rPr>
          <w:rFonts w:cs="Arial"/>
          <w:rtl/>
        </w:rPr>
        <w:t xml:space="preserve"> נד</w:t>
      </w:r>
      <w:r>
        <w:rPr>
          <w:rFonts w:cs="Arial" w:hint="cs"/>
          <w:rtl/>
        </w:rPr>
        <w:t>).</w:t>
      </w:r>
      <w:r w:rsidRPr="00AC6271">
        <w:rPr>
          <w:rFonts w:cs="Arial" w:hint="cs"/>
          <w:color w:val="E36C0A" w:themeColor="accent6" w:themeShade="BF"/>
          <w:rtl/>
        </w:rPr>
        <w:t xml:space="preserve"> </w:t>
      </w:r>
      <w:r w:rsidRPr="00720C95">
        <w:rPr>
          <w:rFonts w:cs="Arial" w:hint="cs"/>
          <w:color w:val="E36C0A" w:themeColor="accent6" w:themeShade="BF"/>
          <w:rtl/>
        </w:rPr>
        <w:t>(וכ"פ בשו"ע)</w:t>
      </w:r>
    </w:p>
  </w:footnote>
  <w:footnote w:id="771">
    <w:p w14:paraId="5E8986A1" w14:textId="77777777" w:rsidR="00FA2119" w:rsidRDefault="00FA2119" w:rsidP="00FA2119">
      <w:pPr>
        <w:pStyle w:val="a5"/>
        <w:rPr>
          <w:rtl/>
        </w:rPr>
      </w:pPr>
      <w:r>
        <w:rPr>
          <w:rStyle w:val="a7"/>
        </w:rPr>
        <w:footnoteRef/>
      </w:r>
      <w:r>
        <w:rPr>
          <w:rtl/>
        </w:rPr>
        <w:t xml:space="preserve"> </w:t>
      </w:r>
      <w:r w:rsidRPr="00967D9E">
        <w:rPr>
          <w:rFonts w:cs="Arial"/>
          <w:rtl/>
        </w:rPr>
        <w:t xml:space="preserve">ובתשובת הרשב"א </w:t>
      </w:r>
      <w:r>
        <w:rPr>
          <w:rFonts w:cs="Arial" w:hint="cs"/>
          <w:rtl/>
        </w:rPr>
        <w:t>(</w:t>
      </w:r>
      <w:r w:rsidRPr="00967D9E">
        <w:rPr>
          <w:rFonts w:cs="Arial"/>
          <w:rtl/>
        </w:rPr>
        <w:t>סי</w:t>
      </w:r>
      <w:r>
        <w:rPr>
          <w:rFonts w:cs="Arial" w:hint="cs"/>
          <w:rtl/>
        </w:rPr>
        <w:t>'</w:t>
      </w:r>
      <w:r w:rsidRPr="00967D9E">
        <w:rPr>
          <w:rFonts w:cs="Arial"/>
          <w:rtl/>
        </w:rPr>
        <w:t xml:space="preserve"> אלף רכ</w:t>
      </w:r>
      <w:r>
        <w:rPr>
          <w:rFonts w:cs="Arial" w:hint="cs"/>
          <w:rtl/>
        </w:rPr>
        <w:t>)</w:t>
      </w:r>
      <w:r w:rsidRPr="00967D9E">
        <w:rPr>
          <w:rFonts w:cs="Arial"/>
          <w:rtl/>
        </w:rPr>
        <w:t xml:space="preserve"> משמע דאם עשו כן כשר</w:t>
      </w:r>
      <w:r>
        <w:rPr>
          <w:rFonts w:cs="Arial" w:hint="cs"/>
          <w:rtl/>
        </w:rPr>
        <w:t>.</w:t>
      </w:r>
      <w:r w:rsidRPr="00967D9E">
        <w:rPr>
          <w:rFonts w:cs="Arial"/>
          <w:rtl/>
        </w:rPr>
        <w:t xml:space="preserve"> וכן הוא בתשובת הריב"ש </w:t>
      </w:r>
      <w:r>
        <w:rPr>
          <w:rFonts w:cs="Arial" w:hint="cs"/>
          <w:rtl/>
        </w:rPr>
        <w:t>(</w:t>
      </w:r>
      <w:r w:rsidRPr="00967D9E">
        <w:rPr>
          <w:rFonts w:cs="Arial"/>
          <w:rtl/>
        </w:rPr>
        <w:t>סי</w:t>
      </w:r>
      <w:r>
        <w:rPr>
          <w:rFonts w:cs="Arial" w:hint="cs"/>
          <w:rtl/>
        </w:rPr>
        <w:t>'</w:t>
      </w:r>
      <w:r w:rsidRPr="00967D9E">
        <w:rPr>
          <w:rFonts w:cs="Arial"/>
          <w:rtl/>
        </w:rPr>
        <w:t xml:space="preserve"> נד</w:t>
      </w:r>
      <w:r>
        <w:rPr>
          <w:rFonts w:cs="Arial" w:hint="cs"/>
          <w:rtl/>
        </w:rPr>
        <w:t>)</w:t>
      </w:r>
      <w:r w:rsidRPr="00967D9E">
        <w:rPr>
          <w:rFonts w:cs="Arial"/>
          <w:rtl/>
        </w:rPr>
        <w:t xml:space="preserve"> ובהר"ן </w:t>
      </w:r>
      <w:r>
        <w:rPr>
          <w:rFonts w:cs="Arial" w:hint="cs"/>
          <w:rtl/>
        </w:rPr>
        <w:t>(פ"ק</w:t>
      </w:r>
      <w:r w:rsidRPr="00967D9E">
        <w:rPr>
          <w:rFonts w:cs="Arial"/>
          <w:rtl/>
        </w:rPr>
        <w:t xml:space="preserve"> דגיטין</w:t>
      </w:r>
      <w:r>
        <w:rPr>
          <w:rFonts w:cs="Arial" w:hint="cs"/>
          <w:rtl/>
        </w:rPr>
        <w:t xml:space="preserve"> </w:t>
      </w:r>
      <w:r w:rsidRPr="00967D9E">
        <w:rPr>
          <w:rFonts w:cs="Arial"/>
          <w:rtl/>
        </w:rPr>
        <w:t>ד: דיבור ראשון)</w:t>
      </w:r>
      <w:r>
        <w:rPr>
          <w:rFonts w:cs="Arial" w:hint="cs"/>
          <w:rtl/>
        </w:rPr>
        <w:t>, דרכ"מ (אות כב).</w:t>
      </w:r>
    </w:p>
  </w:footnote>
  <w:footnote w:id="772">
    <w:p w14:paraId="5CFEBD9B" w14:textId="77777777" w:rsidR="00FA2119" w:rsidRDefault="00FA2119" w:rsidP="00FA2119">
      <w:pPr>
        <w:pStyle w:val="a5"/>
      </w:pPr>
      <w:r>
        <w:rPr>
          <w:rStyle w:val="a7"/>
        </w:rPr>
        <w:footnoteRef/>
      </w:r>
      <w:r>
        <w:rPr>
          <w:rtl/>
        </w:rPr>
        <w:t xml:space="preserve"> </w:t>
      </w:r>
      <w:r>
        <w:rPr>
          <w:rFonts w:cs="Arial" w:hint="cs"/>
          <w:rtl/>
        </w:rPr>
        <w:t>ו</w:t>
      </w:r>
      <w:r w:rsidRPr="009A09AB">
        <w:rPr>
          <w:rFonts w:cs="Arial"/>
          <w:rtl/>
        </w:rPr>
        <w:t>אע"ג דלא החזיר מעניינו של שטר לא מיפסל שטרא משום הכי אלא שאין למדין משיטה אחרונה</w:t>
      </w:r>
      <w:r>
        <w:rPr>
          <w:rFonts w:cs="Arial" w:hint="cs"/>
          <w:rtl/>
        </w:rPr>
        <w:t>,</w:t>
      </w:r>
      <w:r w:rsidRPr="009A09AB">
        <w:rPr>
          <w:rFonts w:cs="Arial"/>
          <w:rtl/>
        </w:rPr>
        <w:t xml:space="preserve"> וכך פשוט בפרק גט פשוט (ב"ב קסב.)</w:t>
      </w:r>
      <w:r>
        <w:rPr>
          <w:rFonts w:cs="Arial" w:hint="cs"/>
          <w:rtl/>
        </w:rPr>
        <w:t>, ר"ן (כ"כ הב"י בשמו)</w:t>
      </w:r>
      <w:r w:rsidRPr="009A09AB">
        <w:rPr>
          <w:rFonts w:cs="Arial" w:hint="cs"/>
          <w:rtl/>
        </w:rPr>
        <w:t>.</w:t>
      </w:r>
      <w:r w:rsidRPr="009A09AB">
        <w:rPr>
          <w:rFonts w:cs="Arial"/>
          <w:rtl/>
        </w:rPr>
        <w:t xml:space="preserve"> ובטור חשן משפט סימן מ"ד (עח:) כתב רבינו שכן דעת הרמב"ן (ב"ב קסב. ד"ה אמר)</w:t>
      </w:r>
      <w:r>
        <w:rPr>
          <w:rFonts w:cs="Arial" w:hint="cs"/>
          <w:rtl/>
        </w:rPr>
        <w:t>,</w:t>
      </w:r>
      <w:r w:rsidRPr="009A09AB">
        <w:rPr>
          <w:rFonts w:cs="Arial"/>
          <w:rtl/>
        </w:rPr>
        <w:t xml:space="preserve"> ושהרא"ש (ב"ב שם) פוסלו כולו</w:t>
      </w:r>
      <w:r>
        <w:rPr>
          <w:rFonts w:cs="Arial" w:hint="cs"/>
          <w:sz w:val="16"/>
          <w:szCs w:val="16"/>
          <w:rtl/>
        </w:rPr>
        <w:t xml:space="preserve"> {היינו כשלא כתב בסוף 'שריר וקיים', ודעת הרא"ש כאן שכדת משה הוי במקום שריר וקיים}</w:t>
      </w:r>
      <w:r>
        <w:rPr>
          <w:rFonts w:cs="Arial" w:hint="cs"/>
          <w:rtl/>
        </w:rPr>
        <w:t>.</w:t>
      </w:r>
      <w:r w:rsidRPr="009A09AB">
        <w:rPr>
          <w:rFonts w:cs="Arial"/>
          <w:rtl/>
        </w:rPr>
        <w:t xml:space="preserve"> וכתבתי מחלוקת זו בכאן משום דמשטר נלמוד לגט</w:t>
      </w:r>
      <w:r>
        <w:rPr>
          <w:rFonts w:cs="Arial" w:hint="cs"/>
          <w:rtl/>
        </w:rPr>
        <w:t>, ב"י.</w:t>
      </w:r>
    </w:p>
  </w:footnote>
  <w:footnote w:id="773">
    <w:p w14:paraId="7C1C7144" w14:textId="77777777" w:rsidR="00E22A25" w:rsidRDefault="00E22A25" w:rsidP="00E22A25">
      <w:pPr>
        <w:pStyle w:val="a5"/>
      </w:pPr>
      <w:r>
        <w:rPr>
          <w:rStyle w:val="a7"/>
        </w:rPr>
        <w:footnoteRef/>
      </w:r>
      <w:r>
        <w:rPr>
          <w:rtl/>
        </w:rPr>
        <w:t xml:space="preserve"> </w:t>
      </w:r>
      <w:r>
        <w:rPr>
          <w:rFonts w:cs="Arial" w:hint="cs"/>
          <w:rtl/>
        </w:rPr>
        <w:t xml:space="preserve">וז"ל: </w:t>
      </w:r>
      <w:r w:rsidRPr="00734056">
        <w:rPr>
          <w:rFonts w:cs="Arial"/>
          <w:rtl/>
        </w:rPr>
        <w:t>ועוד כי הי' אומר ר"י ז"ל שמה שיש לפסול בשכתוב ודין דיהוי ליכי בשטה אחרונה היינו דוקא בגט שהאשה מביאה לב"ד כדי להתיר</w:t>
      </w:r>
      <w:r>
        <w:rPr>
          <w:rFonts w:cs="Arial" w:hint="cs"/>
          <w:rtl/>
        </w:rPr>
        <w:t>ה</w:t>
      </w:r>
      <w:r w:rsidRPr="00734056">
        <w:rPr>
          <w:rFonts w:cs="Arial"/>
          <w:rtl/>
        </w:rPr>
        <w:t xml:space="preserve"> לינשא ע</w:t>
      </w:r>
      <w:r>
        <w:rPr>
          <w:rFonts w:cs="Arial" w:hint="cs"/>
          <w:rtl/>
        </w:rPr>
        <w:t>ל ידו,</w:t>
      </w:r>
      <w:r w:rsidRPr="00734056">
        <w:rPr>
          <w:rFonts w:cs="Arial"/>
          <w:rtl/>
        </w:rPr>
        <w:t xml:space="preserve"> שאין להתירה לפי שמא היא הוסיפה שטה אחרונה</w:t>
      </w:r>
      <w:r>
        <w:rPr>
          <w:rFonts w:cs="Arial" w:hint="cs"/>
          <w:rtl/>
        </w:rPr>
        <w:t>,</w:t>
      </w:r>
      <w:r w:rsidRPr="00734056">
        <w:rPr>
          <w:rFonts w:cs="Arial"/>
          <w:rtl/>
        </w:rPr>
        <w:t xml:space="preserve"> או בגט ששליח הולכה נותן לאשה בפנינו שיש לחוש שמא הוא עצמו הוסיף שטה אחרונה שכתוב בה ודין וגו' לפי ששכרתו האשה</w:t>
      </w:r>
      <w:r>
        <w:rPr>
          <w:rFonts w:cs="Arial" w:hint="cs"/>
          <w:rtl/>
        </w:rPr>
        <w:t>.</w:t>
      </w:r>
      <w:r w:rsidRPr="00734056">
        <w:rPr>
          <w:rFonts w:cs="Arial"/>
          <w:rtl/>
        </w:rPr>
        <w:t xml:space="preserve"> אבל בגט שהבעל נותנו בפנינו לאשה או לשלוחה ואינה שומרתו לראיה</w:t>
      </w:r>
      <w:r>
        <w:rPr>
          <w:rFonts w:cs="Arial" w:hint="cs"/>
          <w:rtl/>
        </w:rPr>
        <w:t>,</w:t>
      </w:r>
      <w:r w:rsidRPr="00734056">
        <w:rPr>
          <w:rFonts w:cs="Arial"/>
          <w:rtl/>
        </w:rPr>
        <w:t xml:space="preserve"> שבמקומה ידוע לכל שהיא מגורש' ואינה זזה ממקומה</w:t>
      </w:r>
      <w:r>
        <w:rPr>
          <w:rFonts w:cs="Arial" w:hint="cs"/>
          <w:rtl/>
        </w:rPr>
        <w:t>,</w:t>
      </w:r>
      <w:r w:rsidRPr="00734056">
        <w:rPr>
          <w:rFonts w:cs="Arial"/>
          <w:rtl/>
        </w:rPr>
        <w:t xml:space="preserve"> אפי' אין עליו עדים </w:t>
      </w:r>
      <w:r>
        <w:rPr>
          <w:rFonts w:cs="Arial" w:hint="cs"/>
          <w:rtl/>
        </w:rPr>
        <w:t xml:space="preserve">- </w:t>
      </w:r>
      <w:r w:rsidRPr="00734056">
        <w:rPr>
          <w:rFonts w:cs="Arial"/>
          <w:rtl/>
        </w:rPr>
        <w:t>מגורשת בעדי מסירה כר' אליעזר (גיטין פ</w:t>
      </w:r>
      <w:r>
        <w:rPr>
          <w:rFonts w:cs="Arial" w:hint="cs"/>
          <w:rtl/>
        </w:rPr>
        <w:t>ו.</w:t>
      </w:r>
      <w:r w:rsidRPr="00734056">
        <w:rPr>
          <w:rFonts w:cs="Arial"/>
          <w:rtl/>
        </w:rPr>
        <w:t>)</w:t>
      </w:r>
      <w:r>
        <w:rPr>
          <w:rFonts w:cs="Arial" w:hint="cs"/>
          <w:rtl/>
        </w:rPr>
        <w:t>.</w:t>
      </w:r>
      <w:r w:rsidRPr="00734056">
        <w:rPr>
          <w:rFonts w:cs="Arial"/>
          <w:rtl/>
        </w:rPr>
        <w:t xml:space="preserve"> והואיל וכך מה לי שטה ראשונ</w:t>
      </w:r>
      <w:r>
        <w:rPr>
          <w:rFonts w:cs="Arial" w:hint="cs"/>
          <w:rtl/>
        </w:rPr>
        <w:t>ה</w:t>
      </w:r>
      <w:r w:rsidRPr="00734056">
        <w:rPr>
          <w:rFonts w:cs="Arial"/>
          <w:rtl/>
        </w:rPr>
        <w:t xml:space="preserve"> מה לי שטה אחרונה</w:t>
      </w:r>
      <w:r>
        <w:rPr>
          <w:rFonts w:cs="Arial" w:hint="cs"/>
          <w:rtl/>
        </w:rPr>
        <w:t>.</w:t>
      </w:r>
      <w:r w:rsidRPr="00734056">
        <w:rPr>
          <w:rFonts w:cs="Arial"/>
          <w:rtl/>
        </w:rPr>
        <w:t xml:space="preserve"> ואפי' יש מחקין ותליו</w:t>
      </w:r>
      <w:r>
        <w:rPr>
          <w:rFonts w:cs="Arial" w:hint="cs"/>
          <w:rtl/>
        </w:rPr>
        <w:t>ת</w:t>
      </w:r>
      <w:r w:rsidRPr="00734056">
        <w:rPr>
          <w:rFonts w:cs="Arial"/>
          <w:rtl/>
        </w:rPr>
        <w:t xml:space="preserve"> בלא קיום כשר בדיעבד</w:t>
      </w:r>
      <w:r>
        <w:rPr>
          <w:rFonts w:cs="Arial" w:hint="cs"/>
          <w:rtl/>
        </w:rPr>
        <w:t>,</w:t>
      </w:r>
      <w:r w:rsidRPr="00734056">
        <w:rPr>
          <w:rFonts w:cs="Arial"/>
          <w:rtl/>
        </w:rPr>
        <w:t xml:space="preserve"> ומתירין אותה להנשא בעדי מסירה</w:t>
      </w:r>
      <w:r>
        <w:rPr>
          <w:rFonts w:cs="Arial" w:hint="cs"/>
          <w:rtl/>
        </w:rPr>
        <w:t>,</w:t>
      </w:r>
      <w:r w:rsidRPr="00734056">
        <w:rPr>
          <w:rFonts w:cs="Arial"/>
          <w:rtl/>
        </w:rPr>
        <w:t xml:space="preserve"> ולכך מותרת בו אפי' עקר התורף בשטה אחרונה</w:t>
      </w:r>
      <w:r>
        <w:rPr>
          <w:rFonts w:cs="Arial" w:hint="cs"/>
          <w:rtl/>
        </w:rPr>
        <w:t>.</w:t>
      </w:r>
    </w:p>
  </w:footnote>
  <w:footnote w:id="774">
    <w:p w14:paraId="33BCCB76" w14:textId="77777777" w:rsidR="00FA2119" w:rsidRDefault="00FA2119" w:rsidP="00FA2119">
      <w:pPr>
        <w:pStyle w:val="a5"/>
        <w:rPr>
          <w:rtl/>
        </w:rPr>
      </w:pPr>
      <w:r>
        <w:rPr>
          <w:rStyle w:val="a7"/>
        </w:rPr>
        <w:footnoteRef/>
      </w:r>
      <w:r>
        <w:rPr>
          <w:rtl/>
        </w:rPr>
        <w:t xml:space="preserve"> </w:t>
      </w:r>
      <w:r w:rsidRPr="00720C95">
        <w:rPr>
          <w:rFonts w:cs="Arial"/>
          <w:rtl/>
        </w:rPr>
        <w:t>וכ"כ הרשב"א והטור</w:t>
      </w:r>
      <w:r>
        <w:rPr>
          <w:rFonts w:cs="Arial" w:hint="cs"/>
          <w:rtl/>
        </w:rPr>
        <w:t>.</w:t>
      </w:r>
      <w:r w:rsidRPr="00720C95">
        <w:rPr>
          <w:rFonts w:cs="Arial"/>
          <w:rtl/>
        </w:rPr>
        <w:t xml:space="preserve"> אבל תוספות וסמ"ג כתבו </w:t>
      </w:r>
      <w:r>
        <w:rPr>
          <w:rFonts w:cs="Arial" w:hint="cs"/>
          <w:rtl/>
        </w:rPr>
        <w:t>'</w:t>
      </w:r>
      <w:r w:rsidRPr="00720C95">
        <w:rPr>
          <w:rFonts w:cs="Arial"/>
          <w:rtl/>
        </w:rPr>
        <w:t>ג</w:t>
      </w:r>
      <w:r>
        <w:rPr>
          <w:rFonts w:cs="Arial" w:hint="cs"/>
          <w:rtl/>
        </w:rPr>
        <w:t xml:space="preserve">ט </w:t>
      </w:r>
      <w:r w:rsidRPr="00720C95">
        <w:rPr>
          <w:rFonts w:cs="Arial"/>
          <w:rtl/>
        </w:rPr>
        <w:t>פ</w:t>
      </w:r>
      <w:r>
        <w:rPr>
          <w:rFonts w:cs="Arial" w:hint="cs"/>
          <w:rtl/>
        </w:rPr>
        <w:t>יטורין</w:t>
      </w:r>
      <w:r w:rsidRPr="00720C95">
        <w:rPr>
          <w:rFonts w:cs="Arial"/>
          <w:rtl/>
        </w:rPr>
        <w:t xml:space="preserve"> וא</w:t>
      </w:r>
      <w:r>
        <w:rPr>
          <w:rFonts w:cs="Arial" w:hint="cs"/>
          <w:rtl/>
        </w:rPr>
        <w:t xml:space="preserve">גרת </w:t>
      </w:r>
      <w:r w:rsidRPr="00720C95">
        <w:rPr>
          <w:rFonts w:cs="Arial"/>
          <w:rtl/>
        </w:rPr>
        <w:t>ש</w:t>
      </w:r>
      <w:r>
        <w:rPr>
          <w:rFonts w:cs="Arial" w:hint="cs"/>
          <w:rtl/>
        </w:rPr>
        <w:t>בוקין'</w:t>
      </w:r>
      <w:r w:rsidRPr="00720C95">
        <w:rPr>
          <w:rFonts w:cs="Arial"/>
          <w:rtl/>
        </w:rPr>
        <w:t xml:space="preserve"> יכול לכתוב בשיטה אחרונה</w:t>
      </w:r>
      <w:r>
        <w:rPr>
          <w:rFonts w:cs="Arial" w:hint="cs"/>
          <w:rtl/>
        </w:rPr>
        <w:t>,</w:t>
      </w:r>
      <w:r w:rsidRPr="00720C95">
        <w:rPr>
          <w:rFonts w:cs="Arial"/>
          <w:rtl/>
        </w:rPr>
        <w:t xml:space="preserve"> דאינו אלא חזרת דברים כיון דכתב ספר תרוכין</w:t>
      </w:r>
      <w:r>
        <w:rPr>
          <w:rFonts w:cs="Arial" w:hint="cs"/>
          <w:rtl/>
        </w:rPr>
        <w:t>.</w:t>
      </w:r>
      <w:r w:rsidRPr="00720C95">
        <w:rPr>
          <w:rFonts w:cs="Arial"/>
          <w:rtl/>
        </w:rPr>
        <w:t xml:space="preserve"> מיהו ספר תרוכין לא יכתוב בש</w:t>
      </w:r>
      <w:r>
        <w:rPr>
          <w:rFonts w:cs="Arial" w:hint="cs"/>
          <w:rtl/>
        </w:rPr>
        <w:t xml:space="preserve">יטה </w:t>
      </w:r>
      <w:r w:rsidRPr="00720C95">
        <w:rPr>
          <w:rFonts w:cs="Arial"/>
          <w:rtl/>
        </w:rPr>
        <w:t>א</w:t>
      </w:r>
      <w:r>
        <w:rPr>
          <w:rFonts w:cs="Arial" w:hint="cs"/>
          <w:rtl/>
        </w:rPr>
        <w:t>חרונה,</w:t>
      </w:r>
      <w:r w:rsidRPr="00720C95">
        <w:rPr>
          <w:rFonts w:cs="Arial"/>
          <w:rtl/>
        </w:rPr>
        <w:t xml:space="preserve"> משום דאין למידים מש</w:t>
      </w:r>
      <w:r>
        <w:rPr>
          <w:rFonts w:cs="Arial" w:hint="cs"/>
          <w:rtl/>
        </w:rPr>
        <w:t>יטה אחרונה</w:t>
      </w:r>
      <w:r w:rsidRPr="00720C95">
        <w:rPr>
          <w:rFonts w:cs="Arial"/>
          <w:rtl/>
        </w:rPr>
        <w:t xml:space="preserve"> והוי כאלו לא נכתב</w:t>
      </w:r>
      <w:r>
        <w:rPr>
          <w:rFonts w:cs="Arial" w:hint="cs"/>
          <w:rtl/>
        </w:rPr>
        <w:t>.</w:t>
      </w:r>
      <w:r w:rsidRPr="00720C95">
        <w:rPr>
          <w:rFonts w:cs="Arial"/>
          <w:rtl/>
        </w:rPr>
        <w:t xml:space="preserve"> אע</w:t>
      </w:r>
      <w:r>
        <w:rPr>
          <w:rFonts w:cs="Arial" w:hint="cs"/>
          <w:rtl/>
        </w:rPr>
        <w:t>"</w:t>
      </w:r>
      <w:r w:rsidRPr="00720C95">
        <w:rPr>
          <w:rFonts w:cs="Arial"/>
          <w:rtl/>
        </w:rPr>
        <w:t xml:space="preserve">ג </w:t>
      </w:r>
      <w:r>
        <w:rPr>
          <w:rFonts w:cs="Arial" w:hint="cs"/>
          <w:rtl/>
        </w:rPr>
        <w:t>ד</w:t>
      </w:r>
      <w:r w:rsidRPr="00720C95">
        <w:rPr>
          <w:rFonts w:cs="Arial"/>
          <w:rtl/>
        </w:rPr>
        <w:t>בנוסח שלהם נכתב ג"כ קודם לזה פטרית ושבקית והרי את מותרת</w:t>
      </w:r>
      <w:r>
        <w:rPr>
          <w:rFonts w:cs="Arial" w:hint="cs"/>
          <w:rtl/>
        </w:rPr>
        <w:t>,</w:t>
      </w:r>
      <w:r w:rsidRPr="00720C95">
        <w:rPr>
          <w:rFonts w:cs="Arial"/>
          <w:rtl/>
        </w:rPr>
        <w:t xml:space="preserve"> מ"מ לא נכתב דגט זה פוטר</w:t>
      </w:r>
      <w:r>
        <w:rPr>
          <w:rFonts w:cs="Arial" w:hint="cs"/>
          <w:rtl/>
        </w:rPr>
        <w:t>,</w:t>
      </w:r>
      <w:r w:rsidRPr="00720C95">
        <w:rPr>
          <w:rFonts w:cs="Arial"/>
          <w:rtl/>
        </w:rPr>
        <w:t xml:space="preserve"> לכן ספר תרוכין מעכב'</w:t>
      </w:r>
      <w:r>
        <w:rPr>
          <w:rFonts w:cs="Arial" w:hint="cs"/>
          <w:rtl/>
        </w:rPr>
        <w:t>.</w:t>
      </w:r>
      <w:r w:rsidRPr="00720C95">
        <w:rPr>
          <w:rFonts w:cs="Arial"/>
          <w:rtl/>
        </w:rPr>
        <w:t xml:space="preserve"> וש"מ מזה </w:t>
      </w:r>
      <w:r>
        <w:rPr>
          <w:rFonts w:cs="Arial" w:hint="cs"/>
          <w:rtl/>
        </w:rPr>
        <w:t>ד</w:t>
      </w:r>
      <w:r w:rsidRPr="00720C95">
        <w:rPr>
          <w:rFonts w:cs="Arial"/>
          <w:rtl/>
        </w:rPr>
        <w:t>ספר תרוכין הוי תורף</w:t>
      </w:r>
      <w:r>
        <w:rPr>
          <w:rFonts w:cs="Arial" w:hint="cs"/>
          <w:rtl/>
        </w:rPr>
        <w:t>,</w:t>
      </w:r>
      <w:r w:rsidRPr="00720C95">
        <w:rPr>
          <w:rFonts w:cs="Arial"/>
          <w:rtl/>
        </w:rPr>
        <w:t xml:space="preserve"> אע</w:t>
      </w:r>
      <w:r>
        <w:rPr>
          <w:rFonts w:cs="Arial" w:hint="cs"/>
          <w:rtl/>
        </w:rPr>
        <w:t>"</w:t>
      </w:r>
      <w:r w:rsidRPr="00720C95">
        <w:rPr>
          <w:rFonts w:cs="Arial"/>
          <w:rtl/>
        </w:rPr>
        <w:t>ג דכתב קודם לזה פט</w:t>
      </w:r>
      <w:r>
        <w:rPr>
          <w:rFonts w:cs="Arial" w:hint="cs"/>
          <w:rtl/>
        </w:rPr>
        <w:t>ר</w:t>
      </w:r>
      <w:r w:rsidRPr="00720C95">
        <w:rPr>
          <w:rFonts w:cs="Arial"/>
          <w:rtl/>
        </w:rPr>
        <w:t>ית ושפ"ת ופש"ת, ונ"מ אם נחסר</w:t>
      </w:r>
      <w:r>
        <w:rPr>
          <w:rFonts w:cs="Arial" w:hint="cs"/>
          <w:rtl/>
        </w:rPr>
        <w:t xml:space="preserve"> -</w:t>
      </w:r>
      <w:r w:rsidRPr="00720C95">
        <w:rPr>
          <w:rFonts w:cs="Arial"/>
          <w:rtl/>
        </w:rPr>
        <w:t xml:space="preserve"> פסול</w:t>
      </w:r>
      <w:r>
        <w:rPr>
          <w:rFonts w:cs="Arial" w:hint="cs"/>
          <w:rtl/>
        </w:rPr>
        <w:t>.</w:t>
      </w:r>
      <w:r w:rsidRPr="00720C95">
        <w:rPr>
          <w:rFonts w:cs="Arial"/>
          <w:rtl/>
        </w:rPr>
        <w:t xml:space="preserve"> מיהו דוקא אם נחסר נמי ג</w:t>
      </w:r>
      <w:r>
        <w:rPr>
          <w:rFonts w:cs="Arial" w:hint="cs"/>
          <w:rtl/>
        </w:rPr>
        <w:t xml:space="preserve">ט </w:t>
      </w:r>
      <w:r w:rsidRPr="00720C95">
        <w:rPr>
          <w:rFonts w:cs="Arial"/>
          <w:rtl/>
        </w:rPr>
        <w:t>פ</w:t>
      </w:r>
      <w:r>
        <w:rPr>
          <w:rFonts w:cs="Arial" w:hint="cs"/>
          <w:rtl/>
        </w:rPr>
        <w:t>יטורין</w:t>
      </w:r>
      <w:r w:rsidRPr="00720C95">
        <w:rPr>
          <w:rFonts w:cs="Arial"/>
          <w:rtl/>
        </w:rPr>
        <w:t xml:space="preserve"> וא</w:t>
      </w:r>
      <w:r>
        <w:rPr>
          <w:rFonts w:cs="Arial" w:hint="cs"/>
          <w:rtl/>
        </w:rPr>
        <w:t xml:space="preserve">גרת </w:t>
      </w:r>
      <w:r w:rsidRPr="00720C95">
        <w:rPr>
          <w:rFonts w:cs="Arial"/>
          <w:rtl/>
        </w:rPr>
        <w:t>ש</w:t>
      </w:r>
      <w:r>
        <w:rPr>
          <w:rFonts w:cs="Arial" w:hint="cs"/>
          <w:rtl/>
        </w:rPr>
        <w:t>בוקין...</w:t>
      </w:r>
      <w:r w:rsidRPr="00720C95">
        <w:rPr>
          <w:rFonts w:cs="Arial"/>
          <w:rtl/>
        </w:rPr>
        <w:t xml:space="preserve"> מיהו לדעת הרשב"א </w:t>
      </w:r>
      <w:r>
        <w:rPr>
          <w:rFonts w:cs="Arial" w:hint="cs"/>
          <w:rtl/>
        </w:rPr>
        <w:t>(</w:t>
      </w:r>
      <w:r w:rsidRPr="00720C95">
        <w:rPr>
          <w:rFonts w:cs="Arial"/>
          <w:rtl/>
        </w:rPr>
        <w:t>בתשובה סי' תקצח</w:t>
      </w:r>
      <w:r>
        <w:rPr>
          <w:rFonts w:cs="Arial" w:hint="cs"/>
          <w:rtl/>
        </w:rPr>
        <w:t>)</w:t>
      </w:r>
      <w:r w:rsidRPr="00720C95">
        <w:rPr>
          <w:rFonts w:cs="Arial"/>
          <w:rtl/>
        </w:rPr>
        <w:t xml:space="preserve"> אף ס"ת כשר בשיטה אחרונה אפי' למ"ד דבעינן ודן וכו'</w:t>
      </w:r>
      <w:r>
        <w:rPr>
          <w:rFonts w:cs="Arial" w:hint="cs"/>
          <w:rtl/>
        </w:rPr>
        <w:t>...</w:t>
      </w:r>
      <w:r w:rsidRPr="00720C95">
        <w:rPr>
          <w:rFonts w:cs="Arial"/>
          <w:rtl/>
        </w:rPr>
        <w:t xml:space="preserve"> </w:t>
      </w:r>
      <w:r>
        <w:rPr>
          <w:rFonts w:cs="Arial" w:hint="cs"/>
          <w:rtl/>
        </w:rPr>
        <w:t xml:space="preserve">וגם </w:t>
      </w:r>
      <w:r w:rsidRPr="00720C95">
        <w:rPr>
          <w:rFonts w:cs="Arial"/>
          <w:rtl/>
        </w:rPr>
        <w:t xml:space="preserve">לרמב"ם </w:t>
      </w:r>
      <w:r>
        <w:rPr>
          <w:rFonts w:cs="Arial" w:hint="cs"/>
          <w:rtl/>
        </w:rPr>
        <w:t xml:space="preserve">(פ"א) </w:t>
      </w:r>
      <w:r w:rsidRPr="00720C95">
        <w:rPr>
          <w:rFonts w:cs="Arial"/>
          <w:rtl/>
        </w:rPr>
        <w:t>ספר תרוכין אין מעכב דהכל הוא טופס</w:t>
      </w:r>
      <w:r>
        <w:rPr>
          <w:rFonts w:cs="Arial" w:hint="cs"/>
          <w:rtl/>
        </w:rPr>
        <w:t>...</w:t>
      </w:r>
      <w:r>
        <w:rPr>
          <w:rFonts w:hint="cs"/>
          <w:rtl/>
        </w:rPr>
        <w:t>, ב"ש (סקכ"ז).</w:t>
      </w:r>
    </w:p>
  </w:footnote>
  <w:footnote w:id="775">
    <w:p w14:paraId="6CD633C6" w14:textId="77777777" w:rsidR="00FA2119" w:rsidRDefault="00FA2119" w:rsidP="00FA2119">
      <w:pPr>
        <w:pStyle w:val="a5"/>
      </w:pPr>
      <w:r>
        <w:rPr>
          <w:rStyle w:val="a7"/>
        </w:rPr>
        <w:footnoteRef/>
      </w:r>
      <w:r>
        <w:rPr>
          <w:rtl/>
        </w:rPr>
        <w:t xml:space="preserve"> </w:t>
      </w:r>
      <w:r w:rsidRPr="00CE60D3">
        <w:rPr>
          <w:rFonts w:cs="Arial"/>
          <w:rtl/>
        </w:rPr>
        <w:t>כ' בס' ג"פ ראיתי מזהירין לסופר שלא יאריך בכ"ף של כדת</w:t>
      </w:r>
      <w:r>
        <w:rPr>
          <w:rFonts w:cs="Arial" w:hint="cs"/>
          <w:rtl/>
        </w:rPr>
        <w:t>,</w:t>
      </w:r>
      <w:r w:rsidRPr="00CE60D3">
        <w:rPr>
          <w:rFonts w:cs="Arial"/>
          <w:rtl/>
        </w:rPr>
        <w:t xml:space="preserve"> וכן במ"ם של משה</w:t>
      </w:r>
      <w:r>
        <w:rPr>
          <w:rFonts w:cs="Arial" w:hint="cs"/>
          <w:rtl/>
        </w:rPr>
        <w:t>,</w:t>
      </w:r>
      <w:r w:rsidRPr="00CE60D3">
        <w:rPr>
          <w:rFonts w:cs="Arial"/>
          <w:rtl/>
        </w:rPr>
        <w:t xml:space="preserve"> וכן שי"ן ואל"ף אם מאריך אותן מפסיד צורתן</w:t>
      </w:r>
      <w:r>
        <w:rPr>
          <w:rFonts w:cs="Arial" w:hint="cs"/>
          <w:rtl/>
        </w:rPr>
        <w:t>.</w:t>
      </w:r>
      <w:r w:rsidRPr="00CE60D3">
        <w:rPr>
          <w:rFonts w:cs="Arial"/>
          <w:rtl/>
        </w:rPr>
        <w:t xml:space="preserve"> אלא יאריך בדלי"ת ותי"ו וה"א ורי"ש ולמ"ד</w:t>
      </w:r>
      <w:r>
        <w:rPr>
          <w:rFonts w:cs="Arial" w:hint="cs"/>
          <w:rtl/>
        </w:rPr>
        <w:t>,</w:t>
      </w:r>
      <w:r w:rsidRPr="00CE60D3">
        <w:rPr>
          <w:rFonts w:cs="Arial"/>
          <w:rtl/>
        </w:rPr>
        <w:t xml:space="preserve"> </w:t>
      </w:r>
      <w:r>
        <w:rPr>
          <w:rFonts w:cs="Arial" w:hint="cs"/>
          <w:rtl/>
        </w:rPr>
        <w:t>ד</w:t>
      </w:r>
      <w:r w:rsidRPr="00CE60D3">
        <w:rPr>
          <w:rFonts w:cs="Arial"/>
          <w:rtl/>
        </w:rPr>
        <w:t>בכל הני אם יאריך בגגן אינו מפסיד צורתן</w:t>
      </w:r>
      <w:r>
        <w:rPr>
          <w:rFonts w:cs="Arial" w:hint="cs"/>
          <w:rtl/>
        </w:rPr>
        <w:t>,</w:t>
      </w:r>
      <w:r w:rsidRPr="00CE60D3">
        <w:rPr>
          <w:rFonts w:cs="Arial"/>
          <w:rtl/>
        </w:rPr>
        <w:t xml:space="preserve"> ונכון ליזהר</w:t>
      </w:r>
      <w:r>
        <w:rPr>
          <w:rFonts w:cs="Arial" w:hint="cs"/>
          <w:rtl/>
        </w:rPr>
        <w:t>.</w:t>
      </w:r>
      <w:r w:rsidRPr="00CE60D3">
        <w:rPr>
          <w:rFonts w:cs="Arial"/>
          <w:rtl/>
        </w:rPr>
        <w:t xml:space="preserve"> אמנם יראה דמדינ</w:t>
      </w:r>
      <w:r>
        <w:rPr>
          <w:rFonts w:cs="Arial" w:hint="cs"/>
          <w:rtl/>
        </w:rPr>
        <w:t>א</w:t>
      </w:r>
      <w:r w:rsidRPr="00CE60D3">
        <w:rPr>
          <w:rFonts w:cs="Arial"/>
          <w:rtl/>
        </w:rPr>
        <w:t xml:space="preserve"> לא מיפסל באותיו</w:t>
      </w:r>
      <w:r>
        <w:rPr>
          <w:rFonts w:cs="Arial" w:hint="cs"/>
          <w:rtl/>
        </w:rPr>
        <w:t>ת</w:t>
      </w:r>
      <w:r w:rsidRPr="00CE60D3">
        <w:rPr>
          <w:rFonts w:cs="Arial"/>
          <w:rtl/>
        </w:rPr>
        <w:t xml:space="preserve"> ארוכות אלא בכף פשוטה אם מאריך גגה פסול משום דתדמה לדלי"ת ורי"ש</w:t>
      </w:r>
      <w:r>
        <w:rPr>
          <w:rFonts w:cs="Arial" w:hint="cs"/>
          <w:rtl/>
        </w:rPr>
        <w:t>,</w:t>
      </w:r>
      <w:r w:rsidRPr="00CE60D3">
        <w:rPr>
          <w:rFonts w:cs="Arial"/>
          <w:rtl/>
        </w:rPr>
        <w:t xml:space="preserve"> וכן החי"ת אם האריך עד שנשתנה צורת הזיינין פסול עכ"ל</w:t>
      </w:r>
      <w:r>
        <w:rPr>
          <w:rFonts w:cs="Arial" w:hint="cs"/>
          <w:rtl/>
        </w:rPr>
        <w:t>.</w:t>
      </w:r>
      <w:r w:rsidRPr="00CE60D3">
        <w:rPr>
          <w:rFonts w:cs="Arial"/>
          <w:rtl/>
        </w:rPr>
        <w:t xml:space="preserve"> ועיין בסדר גיטין </w:t>
      </w:r>
      <w:r>
        <w:rPr>
          <w:rFonts w:cs="Arial" w:hint="cs"/>
          <w:rtl/>
        </w:rPr>
        <w:t>(</w:t>
      </w:r>
      <w:r w:rsidRPr="00CE60D3">
        <w:rPr>
          <w:rFonts w:cs="Arial"/>
          <w:rtl/>
        </w:rPr>
        <w:t>סג"ר אות צב</w:t>
      </w:r>
      <w:r>
        <w:rPr>
          <w:rFonts w:cs="Arial" w:hint="cs"/>
          <w:rtl/>
        </w:rPr>
        <w:t>)</w:t>
      </w:r>
      <w:r w:rsidRPr="00CE60D3">
        <w:rPr>
          <w:rFonts w:cs="Arial"/>
          <w:rtl/>
        </w:rPr>
        <w:t xml:space="preserve"> ומ"ש שם. ועיין בתשובת הרדב"ז </w:t>
      </w:r>
      <w:r>
        <w:rPr>
          <w:rFonts w:cs="Arial" w:hint="cs"/>
          <w:rtl/>
        </w:rPr>
        <w:t>(</w:t>
      </w:r>
      <w:r w:rsidRPr="00CE60D3">
        <w:rPr>
          <w:rFonts w:cs="Arial"/>
          <w:rtl/>
        </w:rPr>
        <w:t>ח"א סי' תכג</w:t>
      </w:r>
      <w:r>
        <w:rPr>
          <w:rFonts w:cs="Arial" w:hint="cs"/>
          <w:rtl/>
        </w:rPr>
        <w:t>), פת"ש (סקכ"ח).</w:t>
      </w:r>
    </w:p>
  </w:footnote>
  <w:footnote w:id="776">
    <w:p w14:paraId="708D1ED3"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 xml:space="preserve">אבל בתשובה אחרת (כלל מה סי' יג) כתב דאם לא נכתב בכתיבה אשורית נפסל אם לא במקום עיגון, ואותיות מחוברות לא הוי כתיבה אשורית. וכתב </w:t>
      </w:r>
      <w:r w:rsidRPr="00510DB9">
        <w:rPr>
          <w:rFonts w:asciiTheme="minorBidi" w:hAnsiTheme="minorBidi" w:hint="cs"/>
          <w:b/>
          <w:bCs/>
          <w:rtl/>
        </w:rPr>
        <w:t>הב"י</w:t>
      </w:r>
      <w:r>
        <w:rPr>
          <w:rFonts w:asciiTheme="minorBidi" w:hAnsiTheme="minorBidi" w:hint="cs"/>
          <w:rtl/>
        </w:rPr>
        <w:t xml:space="preserve"> ד</w:t>
      </w:r>
      <w:r w:rsidRPr="00351B7D">
        <w:rPr>
          <w:rFonts w:asciiTheme="minorBidi" w:hAnsiTheme="minorBidi"/>
          <w:rtl/>
        </w:rPr>
        <w:t>צריך לחלק בין כשכל הגט כתוב בכתב שאינו אשורי להיכא דכולו כתוב אשורי זולת תיבה אחת או אות אחת לבד</w:t>
      </w:r>
      <w:r>
        <w:rPr>
          <w:rFonts w:asciiTheme="minorBidi" w:hAnsiTheme="minorBidi" w:hint="cs"/>
          <w:rtl/>
        </w:rPr>
        <w:t>.</w:t>
      </w:r>
      <w:r w:rsidRPr="00351B7D">
        <w:rPr>
          <w:rFonts w:asciiTheme="minorBidi" w:hAnsiTheme="minorBidi"/>
          <w:rtl/>
        </w:rPr>
        <w:t xml:space="preserve"> אי נמי שאני התם שכתב שאינו אשורי היה בטופס בתיבה שאפילו חסרה כולה לית לן בה, ואע"פ דהרא"ש לא הזכיר טעם זה מכל מקום טעם פשוט הוא</w:t>
      </w:r>
      <w:r>
        <w:rPr>
          <w:rFonts w:asciiTheme="minorBidi" w:hAnsiTheme="minorBidi" w:hint="cs"/>
          <w:rtl/>
        </w:rPr>
        <w:t>,</w:t>
      </w:r>
      <w:r w:rsidRPr="00351B7D">
        <w:rPr>
          <w:rFonts w:asciiTheme="minorBidi" w:hAnsiTheme="minorBidi"/>
          <w:rtl/>
        </w:rPr>
        <w:t xml:space="preserve"> אבל אם היה בתורף שמא היה מצריך אחר לכתחלה היכא דאפשר</w:t>
      </w:r>
      <w:r>
        <w:rPr>
          <w:rFonts w:asciiTheme="minorBidi" w:hAnsiTheme="minorBidi" w:hint="cs"/>
          <w:rtl/>
        </w:rPr>
        <w:t>,</w:t>
      </w:r>
      <w:r w:rsidRPr="00351B7D">
        <w:rPr>
          <w:rFonts w:asciiTheme="minorBidi" w:hAnsiTheme="minorBidi"/>
          <w:rtl/>
        </w:rPr>
        <w:t xml:space="preserve"> וצ"ע</w:t>
      </w:r>
      <w:r>
        <w:rPr>
          <w:rFonts w:asciiTheme="minorBidi" w:hAnsiTheme="minorBidi" w:hint="cs"/>
          <w:rtl/>
        </w:rPr>
        <w:t xml:space="preserve"> </w:t>
      </w:r>
      <w:r>
        <w:rPr>
          <w:rFonts w:asciiTheme="minorBidi" w:hAnsiTheme="minorBidi" w:hint="cs"/>
          <w:sz w:val="16"/>
          <w:szCs w:val="16"/>
          <w:rtl/>
        </w:rPr>
        <w:t>[עכ"ל הב"י]</w:t>
      </w:r>
      <w:r w:rsidRPr="00351B7D">
        <w:rPr>
          <w:rFonts w:asciiTheme="minorBidi" w:hAnsiTheme="minorBidi"/>
          <w:rtl/>
        </w:rPr>
        <w:t>.</w:t>
      </w:r>
    </w:p>
  </w:footnote>
  <w:footnote w:id="777">
    <w:p w14:paraId="70E47411" w14:textId="2A8A1E91" w:rsidR="00FA2119" w:rsidRDefault="00FA2119" w:rsidP="00FA2119">
      <w:pPr>
        <w:pStyle w:val="a5"/>
        <w:rPr>
          <w:rtl/>
        </w:rPr>
      </w:pPr>
      <w:r>
        <w:rPr>
          <w:rStyle w:val="a7"/>
        </w:rPr>
        <w:footnoteRef/>
      </w:r>
      <w:r>
        <w:rPr>
          <w:rtl/>
        </w:rPr>
        <w:t xml:space="preserve"> </w:t>
      </w:r>
      <w:r w:rsidRPr="00AD395F">
        <w:rPr>
          <w:rFonts w:cs="Arial"/>
          <w:rtl/>
        </w:rPr>
        <w:t xml:space="preserve">ומה שהשיב שאם דילג השי"ן של שאנו מונין דכשר כן דעת העיטור </w:t>
      </w:r>
      <w:r>
        <w:rPr>
          <w:rFonts w:cs="Arial" w:hint="cs"/>
          <w:rtl/>
        </w:rPr>
        <w:t>(</w:t>
      </w:r>
      <w:r w:rsidRPr="00AD395F">
        <w:rPr>
          <w:rFonts w:cs="Arial"/>
          <w:rtl/>
        </w:rPr>
        <w:t xml:space="preserve">מאמר ח ח"א לא ע"ד) שכתב </w:t>
      </w:r>
      <w:r w:rsidR="000A0F5A">
        <w:rPr>
          <w:rFonts w:cs="Arial"/>
          <w:rtl/>
        </w:rPr>
        <w:t>וז"ל:</w:t>
      </w:r>
      <w:r w:rsidRPr="00AD395F">
        <w:rPr>
          <w:rFonts w:cs="Arial"/>
          <w:rtl/>
        </w:rPr>
        <w:t xml:space="preserve"> ומסתבר כל שניכר שטעות סופר הוא כגון שלא כתב שי"ן האמצעי בששי או ברביעי רי"ש או תיבה אחרת שניכר שהוא טעות סופר אין לחוש אלא בגוף שמות הבעלים ובגוף הממון עכ"ל</w:t>
      </w:r>
      <w:r>
        <w:rPr>
          <w:rFonts w:cs="Arial" w:hint="cs"/>
          <w:rtl/>
        </w:rPr>
        <w:t>, ב"י</w:t>
      </w:r>
      <w:r w:rsidRPr="00AD395F">
        <w:rPr>
          <w:rFonts w:cs="Arial"/>
          <w:rtl/>
        </w:rPr>
        <w:t>.</w:t>
      </w:r>
      <w:r>
        <w:rPr>
          <w:rFonts w:hint="cs"/>
          <w:rtl/>
        </w:rPr>
        <w:t xml:space="preserve"> </w:t>
      </w:r>
      <w:r w:rsidRPr="00746C42">
        <w:rPr>
          <w:rFonts w:hint="cs"/>
          <w:color w:val="E36C0A" w:themeColor="accent6" w:themeShade="BF"/>
          <w:rtl/>
        </w:rPr>
        <w:t>(וכ"פ בשו"ע)</w:t>
      </w:r>
    </w:p>
  </w:footnote>
  <w:footnote w:id="778">
    <w:p w14:paraId="0745B447" w14:textId="77777777" w:rsidR="00FA2119" w:rsidRDefault="00FA2119" w:rsidP="00FA2119">
      <w:pPr>
        <w:pStyle w:val="a5"/>
        <w:rPr>
          <w:rtl/>
        </w:rPr>
      </w:pPr>
      <w:r>
        <w:rPr>
          <w:rStyle w:val="a7"/>
        </w:rPr>
        <w:footnoteRef/>
      </w:r>
      <w:r>
        <w:rPr>
          <w:rtl/>
        </w:rPr>
        <w:t xml:space="preserve"> </w:t>
      </w:r>
      <w:r>
        <w:rPr>
          <w:rFonts w:cs="Arial" w:hint="cs"/>
          <w:rtl/>
        </w:rPr>
        <w:t>ו</w:t>
      </w:r>
      <w:r w:rsidRPr="00AD395F">
        <w:rPr>
          <w:rFonts w:cs="Arial"/>
          <w:rtl/>
        </w:rPr>
        <w:t>מה שיש לדקדק על תשובת גט שהיה כתוב ברביעי עשרים ימים לירח שבט אכתוב בסימן קכ"ז (כא.) בסייעתא דשמיא</w:t>
      </w:r>
      <w:r>
        <w:rPr>
          <w:rFonts w:hint="cs"/>
          <w:rtl/>
        </w:rPr>
        <w:t>, ב"י.</w:t>
      </w:r>
    </w:p>
  </w:footnote>
  <w:footnote w:id="779">
    <w:p w14:paraId="1821C443" w14:textId="77777777" w:rsidR="00FA2119" w:rsidRDefault="00FA2119" w:rsidP="00FA2119">
      <w:pPr>
        <w:pStyle w:val="a5"/>
      </w:pPr>
      <w:r>
        <w:rPr>
          <w:rStyle w:val="a7"/>
        </w:rPr>
        <w:footnoteRef/>
      </w:r>
      <w:r w:rsidRPr="00967D9E">
        <w:rPr>
          <w:rFonts w:cs="Arial"/>
          <w:rtl/>
        </w:rPr>
        <w:t xml:space="preserve"> וכן משמע במרדכי </w:t>
      </w:r>
      <w:r>
        <w:rPr>
          <w:rFonts w:cs="Arial" w:hint="cs"/>
          <w:rtl/>
        </w:rPr>
        <w:t>(</w:t>
      </w:r>
      <w:r w:rsidRPr="00967D9E">
        <w:rPr>
          <w:rFonts w:cs="Arial"/>
          <w:rtl/>
        </w:rPr>
        <w:t>פ</w:t>
      </w:r>
      <w:r>
        <w:rPr>
          <w:rFonts w:cs="Arial" w:hint="cs"/>
          <w:rtl/>
        </w:rPr>
        <w:t>"</w:t>
      </w:r>
      <w:r w:rsidRPr="00967D9E">
        <w:rPr>
          <w:rFonts w:cs="Arial"/>
          <w:rtl/>
        </w:rPr>
        <w:t>ק דבב</w:t>
      </w:r>
      <w:r>
        <w:rPr>
          <w:rFonts w:cs="Arial" w:hint="cs"/>
          <w:rtl/>
        </w:rPr>
        <w:t>"</w:t>
      </w:r>
      <w:r w:rsidRPr="00967D9E">
        <w:rPr>
          <w:rFonts w:cs="Arial"/>
          <w:rtl/>
        </w:rPr>
        <w:t>מ סי' רמח) דתלינן בטעות</w:t>
      </w:r>
      <w:r>
        <w:rPr>
          <w:rFonts w:cs="Arial" w:hint="cs"/>
          <w:rtl/>
        </w:rPr>
        <w:t>.</w:t>
      </w:r>
      <w:r w:rsidRPr="00967D9E">
        <w:rPr>
          <w:rFonts w:cs="Arial"/>
          <w:rtl/>
        </w:rPr>
        <w:t xml:space="preserve"> אמנם בתשובת ריב"ש </w:t>
      </w:r>
      <w:r>
        <w:rPr>
          <w:rFonts w:cs="Arial" w:hint="cs"/>
          <w:rtl/>
        </w:rPr>
        <w:t>(</w:t>
      </w:r>
      <w:r w:rsidRPr="00967D9E">
        <w:rPr>
          <w:rFonts w:cs="Arial"/>
          <w:rtl/>
        </w:rPr>
        <w:t>סי</w:t>
      </w:r>
      <w:r>
        <w:rPr>
          <w:rFonts w:cs="Arial" w:hint="cs"/>
          <w:rtl/>
        </w:rPr>
        <w:t>'</w:t>
      </w:r>
      <w:r w:rsidRPr="00967D9E">
        <w:rPr>
          <w:rFonts w:cs="Arial"/>
          <w:rtl/>
        </w:rPr>
        <w:t xml:space="preserve"> קיז</w:t>
      </w:r>
      <w:r>
        <w:rPr>
          <w:rFonts w:cs="Arial" w:hint="cs"/>
          <w:rtl/>
        </w:rPr>
        <w:t>)</w:t>
      </w:r>
      <w:r w:rsidRPr="00967D9E">
        <w:rPr>
          <w:rFonts w:cs="Arial"/>
          <w:rtl/>
        </w:rPr>
        <w:t xml:space="preserve"> משמע דיש לפסול בכה</w:t>
      </w:r>
      <w:r>
        <w:rPr>
          <w:rFonts w:cs="Arial" w:hint="cs"/>
          <w:rtl/>
        </w:rPr>
        <w:t>"</w:t>
      </w:r>
      <w:r w:rsidRPr="00967D9E">
        <w:rPr>
          <w:rFonts w:cs="Arial"/>
          <w:rtl/>
        </w:rPr>
        <w:t>ג</w:t>
      </w:r>
      <w:r>
        <w:rPr>
          <w:rFonts w:cs="Arial" w:hint="cs"/>
          <w:rtl/>
        </w:rPr>
        <w:t>.</w:t>
      </w:r>
      <w:r w:rsidRPr="00967D9E">
        <w:rPr>
          <w:rFonts w:cs="Arial"/>
          <w:rtl/>
        </w:rPr>
        <w:t xml:space="preserve"> וכן הוא בכתבי מהר"ר ישראל (תרוה"ד ח"ב סי</w:t>
      </w:r>
      <w:r>
        <w:rPr>
          <w:rFonts w:cs="Arial" w:hint="cs"/>
          <w:rtl/>
        </w:rPr>
        <w:t>'</w:t>
      </w:r>
      <w:r w:rsidRPr="00967D9E">
        <w:rPr>
          <w:rFonts w:cs="Arial"/>
          <w:rtl/>
        </w:rPr>
        <w:t xml:space="preserve"> יא</w:t>
      </w:r>
      <w:r>
        <w:rPr>
          <w:rFonts w:cs="Arial" w:hint="cs"/>
          <w:rtl/>
        </w:rPr>
        <w:t>)</w:t>
      </w:r>
      <w:r w:rsidRPr="00967D9E">
        <w:rPr>
          <w:rFonts w:cs="Arial"/>
          <w:rtl/>
        </w:rPr>
        <w:t xml:space="preserve"> בשם ר</w:t>
      </w:r>
      <w:r>
        <w:rPr>
          <w:rFonts w:cs="Arial" w:hint="cs"/>
          <w:rtl/>
        </w:rPr>
        <w:t>"</w:t>
      </w:r>
      <w:r w:rsidRPr="00967D9E">
        <w:rPr>
          <w:rFonts w:cs="Arial"/>
          <w:rtl/>
        </w:rPr>
        <w:t>ת ועיי"ש. ועיין לקמן ס</w:t>
      </w:r>
      <w:r>
        <w:rPr>
          <w:rFonts w:cs="Arial" w:hint="cs"/>
          <w:rtl/>
        </w:rPr>
        <w:t>"</w:t>
      </w:r>
      <w:r w:rsidRPr="00967D9E">
        <w:rPr>
          <w:rFonts w:cs="Arial"/>
          <w:rtl/>
        </w:rPr>
        <w:t>ס קכ"ז (בד</w:t>
      </w:r>
      <w:r>
        <w:rPr>
          <w:rFonts w:cs="Arial" w:hint="cs"/>
          <w:rtl/>
        </w:rPr>
        <w:t>רכמ"א</w:t>
      </w:r>
      <w:r w:rsidRPr="00967D9E">
        <w:rPr>
          <w:rFonts w:cs="Arial"/>
          <w:rtl/>
        </w:rPr>
        <w:t>)</w:t>
      </w:r>
      <w:r>
        <w:rPr>
          <w:rFonts w:cs="Arial" w:hint="cs"/>
          <w:rtl/>
        </w:rPr>
        <w:t>, דרכ"מ (אות כד).</w:t>
      </w:r>
      <w:r>
        <w:rPr>
          <w:rFonts w:hint="cs"/>
          <w:rtl/>
        </w:rPr>
        <w:t xml:space="preserve"> </w:t>
      </w:r>
      <w:r w:rsidRPr="00E51D5B">
        <w:rPr>
          <w:rFonts w:hint="cs"/>
          <w:color w:val="00B0F0"/>
          <w:rtl/>
        </w:rPr>
        <w:t>(וכ"כ בהג"ה)</w:t>
      </w:r>
    </w:p>
  </w:footnote>
  <w:footnote w:id="780">
    <w:p w14:paraId="62730838" w14:textId="77777777" w:rsidR="00FA2119" w:rsidRDefault="00FA2119" w:rsidP="00FA2119">
      <w:pPr>
        <w:pStyle w:val="a5"/>
      </w:pPr>
      <w:r>
        <w:rPr>
          <w:rStyle w:val="a7"/>
        </w:rPr>
        <w:footnoteRef/>
      </w:r>
      <w:r>
        <w:rPr>
          <w:rtl/>
        </w:rPr>
        <w:t xml:space="preserve"> </w:t>
      </w:r>
      <w:r w:rsidRPr="00E51D5B">
        <w:rPr>
          <w:rFonts w:cs="Arial"/>
          <w:rtl/>
        </w:rPr>
        <w:t>וע' בח</w:t>
      </w:r>
      <w:r>
        <w:rPr>
          <w:rFonts w:cs="Arial" w:hint="cs"/>
          <w:rtl/>
        </w:rPr>
        <w:t>ו"מ</w:t>
      </w:r>
      <w:r w:rsidRPr="00E51D5B">
        <w:rPr>
          <w:rFonts w:cs="Arial"/>
          <w:rtl/>
        </w:rPr>
        <w:t xml:space="preserve"> סי</w:t>
      </w:r>
      <w:r>
        <w:rPr>
          <w:rFonts w:cs="Arial" w:hint="cs"/>
          <w:rtl/>
        </w:rPr>
        <w:t>'</w:t>
      </w:r>
      <w:r w:rsidRPr="00E51D5B">
        <w:rPr>
          <w:rFonts w:cs="Arial"/>
          <w:rtl/>
        </w:rPr>
        <w:t xml:space="preserve"> מ</w:t>
      </w:r>
      <w:r>
        <w:rPr>
          <w:rFonts w:cs="Arial" w:hint="cs"/>
          <w:rtl/>
        </w:rPr>
        <w:t>ג</w:t>
      </w:r>
      <w:r w:rsidRPr="00E51D5B">
        <w:rPr>
          <w:rFonts w:cs="Arial"/>
          <w:rtl/>
        </w:rPr>
        <w:t xml:space="preserve"> </w:t>
      </w:r>
      <w:r>
        <w:rPr>
          <w:rFonts w:cs="Arial" w:hint="cs"/>
          <w:rtl/>
        </w:rPr>
        <w:t xml:space="preserve">(סע' ה) </w:t>
      </w:r>
      <w:r w:rsidRPr="00E51D5B">
        <w:rPr>
          <w:rFonts w:cs="Arial"/>
          <w:rtl/>
        </w:rPr>
        <w:t xml:space="preserve">סתם </w:t>
      </w:r>
      <w:r>
        <w:rPr>
          <w:rFonts w:cs="Arial" w:hint="cs"/>
          <w:sz w:val="16"/>
          <w:szCs w:val="16"/>
          <w:rtl/>
        </w:rPr>
        <w:t xml:space="preserve">{הרמ"א כדעת השו"ע ולא הגיה עליו, ולכן נראה ש-} </w:t>
      </w:r>
      <w:r w:rsidRPr="00E51D5B">
        <w:rPr>
          <w:rFonts w:cs="Arial"/>
          <w:rtl/>
        </w:rPr>
        <w:t>ופסק כדיעה זו</w:t>
      </w:r>
      <w:r>
        <w:rPr>
          <w:rFonts w:cs="Arial" w:hint="cs"/>
          <w:rtl/>
        </w:rPr>
        <w:t>.</w:t>
      </w:r>
      <w:r w:rsidRPr="00E51D5B">
        <w:rPr>
          <w:rFonts w:cs="Arial"/>
          <w:rtl/>
        </w:rPr>
        <w:t xml:space="preserve"> וכאן לענין חשש גט הביא בהג"ה דעת החולקים ה"ה ר"ת והריב"ש כמ"ש בכתבי מהרא"י ס"ס י"א</w:t>
      </w:r>
      <w:r>
        <w:rPr>
          <w:rFonts w:cs="Arial" w:hint="cs"/>
          <w:rtl/>
        </w:rPr>
        <w:t>, ב"ש (סקל"א).</w:t>
      </w:r>
    </w:p>
  </w:footnote>
  <w:footnote w:id="781">
    <w:p w14:paraId="720F29ED" w14:textId="36F25E1B" w:rsidR="00FA2119" w:rsidRDefault="00FA2119" w:rsidP="00FA2119">
      <w:pPr>
        <w:pStyle w:val="a5"/>
      </w:pPr>
      <w:r>
        <w:rPr>
          <w:rStyle w:val="a7"/>
        </w:rPr>
        <w:footnoteRef/>
      </w:r>
      <w:r>
        <w:rPr>
          <w:rtl/>
        </w:rPr>
        <w:t xml:space="preserve"> </w:t>
      </w:r>
      <w:r w:rsidRPr="00257808">
        <w:rPr>
          <w:rFonts w:cs="Arial"/>
          <w:rtl/>
        </w:rPr>
        <w:t xml:space="preserve">עיין בתשו' בגדי כהונה </w:t>
      </w:r>
      <w:r>
        <w:rPr>
          <w:rFonts w:cs="Arial" w:hint="cs"/>
          <w:rtl/>
        </w:rPr>
        <w:t>(</w:t>
      </w:r>
      <w:r w:rsidRPr="00257808">
        <w:rPr>
          <w:rFonts w:cs="Arial"/>
          <w:rtl/>
        </w:rPr>
        <w:t>סי' כז</w:t>
      </w:r>
      <w:r>
        <w:rPr>
          <w:rFonts w:cs="Arial" w:hint="cs"/>
          <w:rtl/>
        </w:rPr>
        <w:t>)</w:t>
      </w:r>
      <w:r w:rsidRPr="00257808">
        <w:rPr>
          <w:rFonts w:cs="Arial"/>
          <w:rtl/>
        </w:rPr>
        <w:t xml:space="preserve"> שכ' דדוקא בכה"ג הוא דחולקין ופוסלין דמיירי לאחר שעבר רובו של חודש ולא ס"ל לחלק בין ע"פ לשטר כדכתב הסמ"ע בח"מ סי' מ"ג סק"ח</w:t>
      </w:r>
      <w:r w:rsidR="00641D00">
        <w:rPr>
          <w:rFonts w:cs="Arial" w:hint="cs"/>
          <w:rtl/>
        </w:rPr>
        <w:t>,</w:t>
      </w:r>
      <w:r w:rsidRPr="00257808">
        <w:rPr>
          <w:rFonts w:cs="Arial"/>
          <w:rtl/>
        </w:rPr>
        <w:t xml:space="preserve"> אבל קודם רובו של חודש כ"ע מודים דתלינן מכח הוכחת הרא"ש הנ"ל דטעו בעיבורא של חודש והגט כשר.</w:t>
      </w:r>
      <w:r>
        <w:rPr>
          <w:rFonts w:cs="Arial" w:hint="cs"/>
          <w:rtl/>
        </w:rPr>
        <w:t>.., פת"ש (סקל"א).</w:t>
      </w:r>
    </w:p>
  </w:footnote>
  <w:footnote w:id="782">
    <w:p w14:paraId="4AC86448" w14:textId="1C88E101" w:rsidR="00FA2119" w:rsidRDefault="00FA2119" w:rsidP="00FA2119">
      <w:pPr>
        <w:pStyle w:val="a5"/>
        <w:rPr>
          <w:rtl/>
        </w:rPr>
      </w:pPr>
      <w:r>
        <w:rPr>
          <w:rStyle w:val="a7"/>
        </w:rPr>
        <w:footnoteRef/>
      </w:r>
      <w:r>
        <w:rPr>
          <w:rtl/>
        </w:rPr>
        <w:t xml:space="preserve"> </w:t>
      </w:r>
      <w:r>
        <w:rPr>
          <w:rFonts w:cs="Arial"/>
          <w:rtl/>
        </w:rPr>
        <w:t>הרשב"א (</w:t>
      </w:r>
      <w:r>
        <w:rPr>
          <w:rFonts w:cs="Arial" w:hint="cs"/>
          <w:rtl/>
        </w:rPr>
        <w:t>בחידושים פה:</w:t>
      </w:r>
      <w:r>
        <w:rPr>
          <w:rFonts w:cs="Arial"/>
          <w:rtl/>
        </w:rPr>
        <w:t xml:space="preserve">) </w:t>
      </w:r>
      <w:r>
        <w:rPr>
          <w:rFonts w:cs="Arial" w:hint="cs"/>
          <w:rtl/>
        </w:rPr>
        <w:t xml:space="preserve">הרא"ש (פ"ט ס"ד) </w:t>
      </w:r>
      <w:r>
        <w:rPr>
          <w:rFonts w:cs="Arial"/>
          <w:rtl/>
        </w:rPr>
        <w:t xml:space="preserve">והר"ן (מה. ד"ה גרסינן) </w:t>
      </w:r>
      <w:r>
        <w:rPr>
          <w:rFonts w:cs="Arial" w:hint="cs"/>
          <w:rtl/>
        </w:rPr>
        <w:t xml:space="preserve">כתבו את כל הדברים הנ"ל </w:t>
      </w:r>
      <w:r>
        <w:rPr>
          <w:rFonts w:cs="Arial"/>
          <w:rtl/>
        </w:rPr>
        <w:t xml:space="preserve">ולא הכריעו </w:t>
      </w:r>
      <w:r w:rsidRPr="00DB2374">
        <w:rPr>
          <w:rFonts w:cs="Arial" w:hint="cs"/>
          <w:sz w:val="16"/>
          <w:szCs w:val="16"/>
          <w:rtl/>
        </w:rPr>
        <w:t>(</w:t>
      </w:r>
      <w:r w:rsidRPr="00DB2374">
        <w:rPr>
          <w:rFonts w:cs="Arial"/>
          <w:sz w:val="16"/>
          <w:szCs w:val="16"/>
          <w:rtl/>
        </w:rPr>
        <w:t>אע</w:t>
      </w:r>
      <w:r w:rsidRPr="00DB2374">
        <w:rPr>
          <w:rFonts w:cs="Arial" w:hint="cs"/>
          <w:sz w:val="16"/>
          <w:szCs w:val="16"/>
          <w:rtl/>
        </w:rPr>
        <w:t>"</w:t>
      </w:r>
      <w:r w:rsidRPr="00DB2374">
        <w:rPr>
          <w:rFonts w:cs="Arial"/>
          <w:sz w:val="16"/>
          <w:szCs w:val="16"/>
          <w:rtl/>
        </w:rPr>
        <w:t>פ שנראים כנוטים לסברת העיטור</w:t>
      </w:r>
      <w:r>
        <w:rPr>
          <w:rFonts w:cs="Arial" w:hint="cs"/>
          <w:sz w:val="16"/>
          <w:szCs w:val="16"/>
          <w:rtl/>
        </w:rPr>
        <w:t xml:space="preserve"> וכן </w:t>
      </w:r>
      <w:r w:rsidRPr="00DB2374">
        <w:rPr>
          <w:rFonts w:cs="Arial"/>
          <w:sz w:val="16"/>
          <w:szCs w:val="16"/>
          <w:rtl/>
        </w:rPr>
        <w:t xml:space="preserve">נראה דעת הראב"ד </w:t>
      </w:r>
      <w:r w:rsidRPr="00DB2374">
        <w:rPr>
          <w:rFonts w:cs="Arial" w:hint="cs"/>
          <w:sz w:val="16"/>
          <w:szCs w:val="16"/>
          <w:rtl/>
        </w:rPr>
        <w:t>(</w:t>
      </w:r>
      <w:r w:rsidRPr="00DB2374">
        <w:rPr>
          <w:rFonts w:cs="Arial"/>
          <w:sz w:val="16"/>
          <w:szCs w:val="16"/>
          <w:rtl/>
        </w:rPr>
        <w:t>פ</w:t>
      </w:r>
      <w:r w:rsidRPr="00DB2374">
        <w:rPr>
          <w:rFonts w:cs="Arial" w:hint="cs"/>
          <w:sz w:val="16"/>
          <w:szCs w:val="16"/>
          <w:rtl/>
        </w:rPr>
        <w:t>"</w:t>
      </w:r>
      <w:r w:rsidRPr="00DB2374">
        <w:rPr>
          <w:rFonts w:cs="Arial"/>
          <w:sz w:val="16"/>
          <w:szCs w:val="16"/>
          <w:rtl/>
        </w:rPr>
        <w:t>ד הי"ד)</w:t>
      </w:r>
      <w:r w:rsidRPr="00DB2374">
        <w:rPr>
          <w:rFonts w:cs="Arial" w:hint="cs"/>
          <w:sz w:val="16"/>
          <w:szCs w:val="16"/>
          <w:rtl/>
        </w:rPr>
        <w:t>, ב"י)</w:t>
      </w:r>
      <w:r>
        <w:rPr>
          <w:rFonts w:cs="Arial" w:hint="cs"/>
          <w:rtl/>
        </w:rPr>
        <w:t>.</w:t>
      </w:r>
      <w:r>
        <w:rPr>
          <w:rFonts w:cs="Arial"/>
          <w:rtl/>
        </w:rPr>
        <w:t xml:space="preserve"> וה</w:t>
      </w:r>
      <w:r>
        <w:rPr>
          <w:rFonts w:cs="Arial" w:hint="cs"/>
          <w:rtl/>
        </w:rPr>
        <w:t>ה"מ</w:t>
      </w:r>
      <w:r>
        <w:rPr>
          <w:rFonts w:cs="Arial"/>
          <w:rtl/>
        </w:rPr>
        <w:t xml:space="preserve"> גם הוא כתב </w:t>
      </w:r>
      <w:r>
        <w:rPr>
          <w:rFonts w:cs="Arial" w:hint="cs"/>
          <w:rtl/>
        </w:rPr>
        <w:t>(</w:t>
      </w:r>
      <w:r>
        <w:rPr>
          <w:rFonts w:cs="Arial"/>
          <w:rtl/>
        </w:rPr>
        <w:t>פ</w:t>
      </w:r>
      <w:r>
        <w:rPr>
          <w:rFonts w:cs="Arial" w:hint="cs"/>
          <w:rtl/>
        </w:rPr>
        <w:t>"</w:t>
      </w:r>
      <w:r>
        <w:rPr>
          <w:rFonts w:cs="Arial"/>
          <w:rtl/>
        </w:rPr>
        <w:t>ד שם) דברי העיטור</w:t>
      </w:r>
      <w:r>
        <w:rPr>
          <w:rFonts w:cs="Arial" w:hint="cs"/>
          <w:rtl/>
        </w:rPr>
        <w:t>,</w:t>
      </w:r>
      <w:r>
        <w:rPr>
          <w:rFonts w:cs="Arial"/>
          <w:rtl/>
        </w:rPr>
        <w:t xml:space="preserve"> וכתב שאין בידו להכריע.</w:t>
      </w:r>
      <w:r>
        <w:rPr>
          <w:rFonts w:cs="Arial" w:hint="cs"/>
          <w:rtl/>
        </w:rPr>
        <w:t xml:space="preserve"> אך הטור כתב שמסקנת הרא"ש </w:t>
      </w:r>
      <w:r>
        <w:rPr>
          <w:rFonts w:hint="cs"/>
          <w:rtl/>
        </w:rPr>
        <w:t>כבהעי"ט ורב האי</w:t>
      </w:r>
      <w:r w:rsidR="00C34EAA">
        <w:rPr>
          <w:rFonts w:cs="Arial" w:hint="cs"/>
          <w:sz w:val="16"/>
          <w:szCs w:val="16"/>
          <w:rtl/>
        </w:rPr>
        <w:t xml:space="preserve"> (</w:t>
      </w:r>
      <w:r w:rsidR="00C34EAA">
        <w:rPr>
          <w:rFonts w:hint="cs"/>
          <w:sz w:val="16"/>
          <w:szCs w:val="16"/>
          <w:rtl/>
        </w:rPr>
        <w:t xml:space="preserve">הרא"ש והטור </w:t>
      </w:r>
      <w:r w:rsidR="00C34EAA" w:rsidRPr="00652EE3">
        <w:rPr>
          <w:rFonts w:hint="cs"/>
          <w:sz w:val="16"/>
          <w:szCs w:val="16"/>
          <w:rtl/>
        </w:rPr>
        <w:t>כתבו אחרי דברי בהעי"ט שכ"כ רב האי, משמע דסבירא להו שמסכ</w:t>
      </w:r>
      <w:r w:rsidR="00C34EAA">
        <w:rPr>
          <w:rFonts w:hint="cs"/>
          <w:sz w:val="16"/>
          <w:szCs w:val="16"/>
          <w:rtl/>
        </w:rPr>
        <w:t>י</w:t>
      </w:r>
      <w:r w:rsidR="00C34EAA" w:rsidRPr="00652EE3">
        <w:rPr>
          <w:rFonts w:hint="cs"/>
          <w:sz w:val="16"/>
          <w:szCs w:val="16"/>
          <w:rtl/>
        </w:rPr>
        <w:t>מים דבריהם בהכל, וצ</w:t>
      </w:r>
      <w:r w:rsidR="00C34EAA">
        <w:rPr>
          <w:rFonts w:hint="cs"/>
          <w:sz w:val="16"/>
          <w:szCs w:val="16"/>
          <w:rtl/>
        </w:rPr>
        <w:t>ל</w:t>
      </w:r>
      <w:r w:rsidR="00C34EAA" w:rsidRPr="00652EE3">
        <w:rPr>
          <w:rFonts w:hint="cs"/>
          <w:sz w:val="16"/>
          <w:szCs w:val="16"/>
          <w:rtl/>
        </w:rPr>
        <w:t>"ע משום שבהעי"ט אמר שתינשא בו</w:t>
      </w:r>
      <w:r w:rsidR="00C34EAA">
        <w:rPr>
          <w:rFonts w:hint="cs"/>
          <w:sz w:val="16"/>
          <w:szCs w:val="16"/>
          <w:rtl/>
        </w:rPr>
        <w:t>, משמע</w:t>
      </w:r>
      <w:r w:rsidR="00C34EAA" w:rsidRPr="00652EE3">
        <w:rPr>
          <w:rFonts w:hint="cs"/>
          <w:sz w:val="16"/>
          <w:szCs w:val="16"/>
          <w:rtl/>
        </w:rPr>
        <w:t xml:space="preserve"> לכתחילה</w:t>
      </w:r>
      <w:r w:rsidR="00C34EAA">
        <w:rPr>
          <w:rFonts w:hint="cs"/>
          <w:sz w:val="16"/>
          <w:szCs w:val="16"/>
          <w:rtl/>
        </w:rPr>
        <w:t>,</w:t>
      </w:r>
      <w:r w:rsidR="00C34EAA" w:rsidRPr="00652EE3">
        <w:rPr>
          <w:rFonts w:hint="cs"/>
          <w:sz w:val="16"/>
          <w:szCs w:val="16"/>
          <w:rtl/>
        </w:rPr>
        <w:t xml:space="preserve"> ורב האי אמר לא מפקינן</w:t>
      </w:r>
      <w:r w:rsidR="00C34EAA">
        <w:rPr>
          <w:rFonts w:hint="cs"/>
          <w:sz w:val="16"/>
          <w:szCs w:val="16"/>
          <w:rtl/>
        </w:rPr>
        <w:t>, משמע בדיעבד</w:t>
      </w:r>
      <w:r w:rsidR="00C34EAA" w:rsidRPr="00652EE3">
        <w:rPr>
          <w:rFonts w:hint="cs"/>
          <w:sz w:val="16"/>
          <w:szCs w:val="16"/>
          <w:rtl/>
        </w:rPr>
        <w:t>)</w:t>
      </w:r>
      <w:r>
        <w:rPr>
          <w:rFonts w:cs="Arial" w:hint="cs"/>
          <w:rtl/>
        </w:rPr>
        <w:t xml:space="preserve">. וכן מדברי הרשב"א בתשובה </w:t>
      </w:r>
      <w:r w:rsidRPr="007E511F">
        <w:rPr>
          <w:rFonts w:cs="Arial" w:hint="cs"/>
          <w:sz w:val="16"/>
          <w:szCs w:val="16"/>
          <w:rtl/>
        </w:rPr>
        <w:t>(</w:t>
      </w:r>
      <w:r w:rsidRPr="007E511F">
        <w:rPr>
          <w:rFonts w:cs="Arial"/>
          <w:sz w:val="16"/>
          <w:szCs w:val="16"/>
          <w:rtl/>
        </w:rPr>
        <w:t>ח"א סי' אלף קסג</w:t>
      </w:r>
      <w:r w:rsidRPr="007E511F">
        <w:rPr>
          <w:rFonts w:cs="Arial" w:hint="cs"/>
          <w:sz w:val="16"/>
          <w:szCs w:val="16"/>
          <w:rtl/>
        </w:rPr>
        <w:t>, ובמיוחסות סי' קמה</w:t>
      </w:r>
      <w:r w:rsidR="00C34EAA">
        <w:rPr>
          <w:rFonts w:cs="Arial" w:hint="cs"/>
          <w:sz w:val="16"/>
          <w:szCs w:val="16"/>
          <w:rtl/>
        </w:rPr>
        <w:t>)</w:t>
      </w:r>
      <w:r w:rsidRPr="007E511F">
        <w:rPr>
          <w:rFonts w:cs="Arial" w:hint="cs"/>
          <w:sz w:val="16"/>
          <w:szCs w:val="16"/>
          <w:rtl/>
        </w:rPr>
        <w:t xml:space="preserve"> </w:t>
      </w:r>
      <w:r w:rsidR="00C34EAA">
        <w:rPr>
          <w:rFonts w:cs="Arial" w:hint="cs"/>
          <w:rtl/>
        </w:rPr>
        <w:t>מוכח שהכריע כדברי בהעי"ט ורב האי</w:t>
      </w:r>
      <w:r w:rsidR="00C34EAA">
        <w:rPr>
          <w:rFonts w:cs="Arial" w:hint="cs"/>
          <w:sz w:val="16"/>
          <w:szCs w:val="16"/>
          <w:rtl/>
        </w:rPr>
        <w:t xml:space="preserve"> (</w:t>
      </w:r>
      <w:r w:rsidR="000A0F5A">
        <w:rPr>
          <w:rFonts w:cs="Arial" w:hint="cs"/>
          <w:sz w:val="16"/>
          <w:szCs w:val="16"/>
          <w:rtl/>
        </w:rPr>
        <w:t>וז</w:t>
      </w:r>
      <w:r w:rsidR="000A0F5A">
        <w:rPr>
          <w:rFonts w:cs="Arial"/>
          <w:sz w:val="16"/>
          <w:szCs w:val="16"/>
          <w:rtl/>
        </w:rPr>
        <w:t>"</w:t>
      </w:r>
      <w:r w:rsidR="000A0F5A">
        <w:rPr>
          <w:rFonts w:cs="Arial" w:hint="cs"/>
          <w:sz w:val="16"/>
          <w:szCs w:val="16"/>
          <w:rtl/>
        </w:rPr>
        <w:t>ל:</w:t>
      </w:r>
      <w:r w:rsidRPr="007E511F">
        <w:rPr>
          <w:rFonts w:cs="Arial" w:hint="cs"/>
          <w:sz w:val="16"/>
          <w:szCs w:val="16"/>
          <w:rtl/>
        </w:rPr>
        <w:t xml:space="preserve"> </w:t>
      </w:r>
      <w:r w:rsidRPr="007E511F">
        <w:rPr>
          <w:rFonts w:cs="Arial"/>
          <w:sz w:val="16"/>
          <w:szCs w:val="16"/>
          <w:rtl/>
        </w:rPr>
        <w:t xml:space="preserve">כבר ראית שכתבתי אני </w:t>
      </w:r>
      <w:r w:rsidRPr="007E511F">
        <w:rPr>
          <w:rFonts w:cs="Arial" w:hint="cs"/>
          <w:sz w:val="16"/>
          <w:szCs w:val="16"/>
          <w:rtl/>
        </w:rPr>
        <w:t xml:space="preserve">(בחידו') </w:t>
      </w:r>
      <w:r w:rsidRPr="007E511F">
        <w:rPr>
          <w:rFonts w:cs="Arial"/>
          <w:sz w:val="16"/>
          <w:szCs w:val="16"/>
          <w:rtl/>
        </w:rPr>
        <w:t>בשם הגאון רבינו האיי ז"ל ומשמן של גדולי הראשונים ז"ל שכל אותן דקדוקין שאמרו שם בפרק המגרש (דף פ"ה) ליכתוב כן אינו אלא כשבא הבעל וערער או שכתב הבעל בעצמו הגט או שצוה הבעל לסופר לכתוב כן. דהשתא יש לחוש שמא בכונה כתב כן כדי לפסלו. הא לאו הכי טעות הסופר הוא ואין לחוש.</w:t>
      </w:r>
      <w:r w:rsidRPr="007E511F">
        <w:rPr>
          <w:rFonts w:cs="Arial" w:hint="cs"/>
          <w:sz w:val="16"/>
          <w:szCs w:val="16"/>
          <w:rtl/>
        </w:rPr>
        <w:t xml:space="preserve"> עכ"ל</w:t>
      </w:r>
      <w:r w:rsidR="00C34EAA">
        <w:rPr>
          <w:rFonts w:cs="Arial" w:hint="cs"/>
          <w:sz w:val="16"/>
          <w:szCs w:val="16"/>
          <w:rtl/>
        </w:rPr>
        <w:t>)</w:t>
      </w:r>
      <w:r>
        <w:rPr>
          <w:rFonts w:hint="cs"/>
          <w:rtl/>
        </w:rPr>
        <w:t>.</w:t>
      </w:r>
    </w:p>
  </w:footnote>
  <w:footnote w:id="783">
    <w:p w14:paraId="04BBE950" w14:textId="66CA135B" w:rsidR="00FA2119" w:rsidRDefault="00FA2119" w:rsidP="00FA2119">
      <w:pPr>
        <w:pStyle w:val="a5"/>
      </w:pPr>
      <w:r>
        <w:rPr>
          <w:rStyle w:val="a7"/>
        </w:rPr>
        <w:footnoteRef/>
      </w:r>
      <w:r>
        <w:rPr>
          <w:rtl/>
        </w:rPr>
        <w:t xml:space="preserve"> </w:t>
      </w:r>
      <w:r w:rsidRPr="004F28C7">
        <w:rPr>
          <w:rFonts w:cs="Arial"/>
          <w:rtl/>
        </w:rPr>
        <w:t>היינו שלא כתב תואר וי"ו אלא כתואר יו"ד</w:t>
      </w:r>
      <w:r>
        <w:rPr>
          <w:rFonts w:cs="Arial" w:hint="cs"/>
          <w:rtl/>
        </w:rPr>
        <w:t>,</w:t>
      </w:r>
      <w:r w:rsidRPr="004F28C7">
        <w:rPr>
          <w:rFonts w:cs="Arial"/>
          <w:rtl/>
        </w:rPr>
        <w:t xml:space="preserve"> מ</w:t>
      </w:r>
      <w:r>
        <w:rPr>
          <w:rFonts w:cs="Arial" w:hint="cs"/>
          <w:rtl/>
        </w:rPr>
        <w:t xml:space="preserve">שום </w:t>
      </w:r>
      <w:r w:rsidRPr="004F28C7">
        <w:rPr>
          <w:rFonts w:cs="Arial"/>
          <w:rtl/>
        </w:rPr>
        <w:t>ה</w:t>
      </w:r>
      <w:r>
        <w:rPr>
          <w:rFonts w:cs="Arial" w:hint="cs"/>
          <w:rtl/>
        </w:rPr>
        <w:t>כי</w:t>
      </w:r>
      <w:r w:rsidRPr="004F28C7">
        <w:rPr>
          <w:rFonts w:cs="Arial"/>
          <w:rtl/>
        </w:rPr>
        <w:t xml:space="preserve"> פסול</w:t>
      </w:r>
      <w:r>
        <w:rPr>
          <w:rFonts w:cs="Arial" w:hint="cs"/>
          <w:rtl/>
        </w:rPr>
        <w:t>.</w:t>
      </w:r>
      <w:r w:rsidRPr="004F28C7">
        <w:rPr>
          <w:rFonts w:cs="Arial"/>
          <w:rtl/>
        </w:rPr>
        <w:t xml:space="preserve"> אבל אם כתב ווי"ן אלא שלא האריך אותם יותר משאר ווי"ן </w:t>
      </w:r>
      <w:r w:rsidR="00A42812">
        <w:rPr>
          <w:rFonts w:cs="Arial"/>
          <w:rtl/>
        </w:rPr>
        <w:t>-</w:t>
      </w:r>
      <w:r>
        <w:rPr>
          <w:rFonts w:cs="Arial" w:hint="cs"/>
          <w:rtl/>
        </w:rPr>
        <w:t xml:space="preserve"> עיין בסעיף יא.</w:t>
      </w:r>
    </w:p>
  </w:footnote>
  <w:footnote w:id="784">
    <w:p w14:paraId="37F25CA8" w14:textId="77777777" w:rsidR="00FA2119" w:rsidRDefault="00FA2119" w:rsidP="00FA2119">
      <w:pPr>
        <w:pStyle w:val="a5"/>
      </w:pPr>
      <w:r>
        <w:rPr>
          <w:rStyle w:val="a7"/>
        </w:rPr>
        <w:footnoteRef/>
      </w:r>
      <w:r>
        <w:rPr>
          <w:rtl/>
        </w:rPr>
        <w:t xml:space="preserve"> </w:t>
      </w:r>
      <w:r w:rsidRPr="004F28C7">
        <w:rPr>
          <w:rFonts w:cs="Arial"/>
          <w:rtl/>
        </w:rPr>
        <w:t>אפילו לא ערער הבעל ואפילו לא כתב בעצמו ואם נשאת לא תצא כמ"ש המגיד פ"ד</w:t>
      </w:r>
      <w:r>
        <w:rPr>
          <w:rFonts w:cs="Arial" w:hint="cs"/>
          <w:sz w:val="16"/>
          <w:szCs w:val="16"/>
          <w:rtl/>
        </w:rPr>
        <w:t xml:space="preserve"> {בדעת הרמב"ם שם}</w:t>
      </w:r>
      <w:r>
        <w:rPr>
          <w:rFonts w:cs="Arial" w:hint="cs"/>
          <w:rtl/>
        </w:rPr>
        <w:t>..., ב"ש (סקל"ב).</w:t>
      </w:r>
    </w:p>
  </w:footnote>
  <w:footnote w:id="785">
    <w:p w14:paraId="67D97484" w14:textId="77777777" w:rsidR="00FA2119" w:rsidRPr="007A12FB" w:rsidRDefault="00FA2119" w:rsidP="00FA2119">
      <w:pPr>
        <w:pStyle w:val="a5"/>
        <w:rPr>
          <w:rtl/>
        </w:rPr>
      </w:pPr>
      <w:r>
        <w:rPr>
          <w:rStyle w:val="a7"/>
        </w:rPr>
        <w:footnoteRef/>
      </w:r>
      <w:r>
        <w:rPr>
          <w:rtl/>
        </w:rPr>
        <w:t xml:space="preserve"> </w:t>
      </w:r>
      <w:r>
        <w:rPr>
          <w:rFonts w:hint="cs"/>
          <w:rtl/>
        </w:rPr>
        <w:t xml:space="preserve">רב האי </w:t>
      </w:r>
      <w:r>
        <w:rPr>
          <w:rFonts w:hint="cs"/>
          <w:sz w:val="16"/>
          <w:szCs w:val="16"/>
          <w:rtl/>
        </w:rPr>
        <w:t>(הביאו בהעי"ט שם)</w:t>
      </w:r>
      <w:r>
        <w:rPr>
          <w:rFonts w:hint="cs"/>
          <w:rtl/>
        </w:rPr>
        <w:t xml:space="preserve"> וראב"ד </w:t>
      </w:r>
      <w:r>
        <w:rPr>
          <w:rFonts w:hint="cs"/>
          <w:sz w:val="16"/>
          <w:szCs w:val="16"/>
          <w:rtl/>
        </w:rPr>
        <w:t>(פ"ד הי"ד)</w:t>
      </w:r>
      <w:r>
        <w:rPr>
          <w:rFonts w:hint="cs"/>
          <w:rtl/>
        </w:rPr>
        <w:t>.</w:t>
      </w:r>
    </w:p>
  </w:footnote>
  <w:footnote w:id="786">
    <w:p w14:paraId="1C57E3D7" w14:textId="77777777" w:rsidR="00FA2119" w:rsidRDefault="00FA2119" w:rsidP="00FA2119">
      <w:pPr>
        <w:pStyle w:val="a5"/>
        <w:rPr>
          <w:rtl/>
        </w:rPr>
      </w:pPr>
      <w:r>
        <w:rPr>
          <w:rStyle w:val="a7"/>
        </w:rPr>
        <w:footnoteRef/>
      </w:r>
      <w:r>
        <w:rPr>
          <w:rtl/>
        </w:rPr>
        <w:t xml:space="preserve"> </w:t>
      </w:r>
      <w:r>
        <w:rPr>
          <w:rFonts w:hint="cs"/>
          <w:rtl/>
        </w:rPr>
        <w:t xml:space="preserve">בהעי"ט </w:t>
      </w:r>
      <w:r>
        <w:rPr>
          <w:rFonts w:hint="cs"/>
          <w:sz w:val="16"/>
          <w:szCs w:val="16"/>
          <w:rtl/>
        </w:rPr>
        <w:t>(שם)</w:t>
      </w:r>
      <w:r>
        <w:rPr>
          <w:rFonts w:hint="cs"/>
          <w:rtl/>
        </w:rPr>
        <w:t xml:space="preserve"> והרשב"א בתשובה </w:t>
      </w:r>
      <w:r w:rsidRPr="007E511F">
        <w:rPr>
          <w:rFonts w:cs="Arial" w:hint="cs"/>
          <w:sz w:val="16"/>
          <w:szCs w:val="16"/>
          <w:rtl/>
        </w:rPr>
        <w:t>(</w:t>
      </w:r>
      <w:r w:rsidRPr="007E511F">
        <w:rPr>
          <w:rFonts w:cs="Arial"/>
          <w:sz w:val="16"/>
          <w:szCs w:val="16"/>
          <w:rtl/>
        </w:rPr>
        <w:t>ח"א סי' אלף קסג</w:t>
      </w:r>
      <w:r w:rsidRPr="007E511F">
        <w:rPr>
          <w:rFonts w:cs="Arial" w:hint="cs"/>
          <w:sz w:val="16"/>
          <w:szCs w:val="16"/>
          <w:rtl/>
        </w:rPr>
        <w:t>, ובמיוחסות סי' קמה</w:t>
      </w:r>
      <w:r>
        <w:rPr>
          <w:rFonts w:cs="Arial" w:hint="cs"/>
          <w:sz w:val="16"/>
          <w:szCs w:val="16"/>
          <w:rtl/>
        </w:rPr>
        <w:t>)</w:t>
      </w:r>
      <w:r>
        <w:rPr>
          <w:rFonts w:hint="cs"/>
          <w:rtl/>
        </w:rPr>
        <w:t>.</w:t>
      </w:r>
    </w:p>
  </w:footnote>
  <w:footnote w:id="787">
    <w:p w14:paraId="72CC7A8E" w14:textId="77777777" w:rsidR="00FA2119" w:rsidRDefault="00FA2119" w:rsidP="00FA2119">
      <w:pPr>
        <w:pStyle w:val="a5"/>
      </w:pPr>
      <w:r>
        <w:rPr>
          <w:rStyle w:val="a7"/>
        </w:rPr>
        <w:footnoteRef/>
      </w:r>
      <w:r>
        <w:rPr>
          <w:rtl/>
        </w:rPr>
        <w:t xml:space="preserve"> </w:t>
      </w:r>
      <w:r w:rsidRPr="004F28C7">
        <w:rPr>
          <w:rFonts w:cs="Arial"/>
          <w:rtl/>
        </w:rPr>
        <w:t>ונראה מדבריו הדין מתחלק לג' אופנים</w:t>
      </w:r>
      <w:r>
        <w:rPr>
          <w:rFonts w:cs="Arial" w:hint="cs"/>
          <w:rtl/>
        </w:rPr>
        <w:t>:</w:t>
      </w:r>
      <w:r w:rsidRPr="004F28C7">
        <w:rPr>
          <w:rFonts w:cs="Arial"/>
          <w:rtl/>
        </w:rPr>
        <w:t xml:space="preserve"> </w:t>
      </w:r>
      <w:r w:rsidRPr="00D9324B">
        <w:rPr>
          <w:rFonts w:cs="Arial"/>
          <w:u w:val="single"/>
          <w:rtl/>
        </w:rPr>
        <w:t>אם</w:t>
      </w:r>
      <w:r w:rsidRPr="004F28C7">
        <w:rPr>
          <w:rFonts w:cs="Arial"/>
          <w:rtl/>
        </w:rPr>
        <w:t xml:space="preserve"> הבעל כתב או הסופר כת</w:t>
      </w:r>
      <w:r>
        <w:rPr>
          <w:rFonts w:cs="Arial" w:hint="cs"/>
          <w:rtl/>
        </w:rPr>
        <w:t>ב</w:t>
      </w:r>
      <w:r w:rsidRPr="004F28C7">
        <w:rPr>
          <w:rFonts w:cs="Arial"/>
          <w:rtl/>
        </w:rPr>
        <w:t xml:space="preserve"> מפיו ובעל מערער שכוונתו היה לקלקל </w:t>
      </w:r>
      <w:r>
        <w:rPr>
          <w:rFonts w:cs="Arial" w:hint="cs"/>
          <w:rtl/>
        </w:rPr>
        <w:t xml:space="preserve">- </w:t>
      </w:r>
      <w:r w:rsidRPr="004F28C7">
        <w:rPr>
          <w:rFonts w:cs="Arial"/>
          <w:rtl/>
        </w:rPr>
        <w:t>תצא מבעלה</w:t>
      </w:r>
      <w:r>
        <w:rPr>
          <w:rFonts w:cs="Arial" w:hint="cs"/>
          <w:rtl/>
        </w:rPr>
        <w:t>.</w:t>
      </w:r>
      <w:r w:rsidRPr="004F28C7">
        <w:rPr>
          <w:rFonts w:cs="Arial"/>
          <w:rtl/>
        </w:rPr>
        <w:t xml:space="preserve"> </w:t>
      </w:r>
      <w:r w:rsidRPr="00D9324B">
        <w:rPr>
          <w:rFonts w:cs="Arial"/>
          <w:u w:val="single"/>
          <w:rtl/>
        </w:rPr>
        <w:t>ואם</w:t>
      </w:r>
      <w:r w:rsidRPr="004F28C7">
        <w:rPr>
          <w:rFonts w:cs="Arial"/>
          <w:rtl/>
        </w:rPr>
        <w:t xml:space="preserve"> הסופר לא כתב מפיו ובעל גם כן אינו מערער </w:t>
      </w:r>
      <w:r>
        <w:rPr>
          <w:rFonts w:cs="Arial" w:hint="cs"/>
          <w:rtl/>
        </w:rPr>
        <w:t xml:space="preserve">- </w:t>
      </w:r>
      <w:r w:rsidRPr="004F28C7">
        <w:rPr>
          <w:rFonts w:cs="Arial"/>
          <w:rtl/>
        </w:rPr>
        <w:t>כשר הגט ותנשא</w:t>
      </w:r>
      <w:r>
        <w:rPr>
          <w:rFonts w:cs="Arial" w:hint="cs"/>
          <w:rtl/>
        </w:rPr>
        <w:t>.</w:t>
      </w:r>
      <w:r w:rsidRPr="004F28C7">
        <w:rPr>
          <w:rFonts w:cs="Arial"/>
          <w:rtl/>
        </w:rPr>
        <w:t xml:space="preserve"> </w:t>
      </w:r>
      <w:r w:rsidRPr="00D9324B">
        <w:rPr>
          <w:rFonts w:cs="Arial"/>
          <w:u w:val="single"/>
          <w:rtl/>
        </w:rPr>
        <w:t>ואם</w:t>
      </w:r>
      <w:r w:rsidRPr="004F28C7">
        <w:rPr>
          <w:rFonts w:cs="Arial"/>
          <w:rtl/>
        </w:rPr>
        <w:t xml:space="preserve"> הבעל כתב או הסופר כתב מפיו ואין הבעל מערער</w:t>
      </w:r>
      <w:r>
        <w:rPr>
          <w:rFonts w:cs="Arial" w:hint="cs"/>
          <w:rtl/>
        </w:rPr>
        <w:t xml:space="preserve"> -</w:t>
      </w:r>
      <w:r w:rsidRPr="004F28C7">
        <w:rPr>
          <w:rFonts w:cs="Arial"/>
          <w:rtl/>
        </w:rPr>
        <w:t xml:space="preserve"> אז לכתחילה לא תנשא</w:t>
      </w:r>
      <w:r>
        <w:rPr>
          <w:rFonts w:cs="Arial" w:hint="cs"/>
          <w:rtl/>
        </w:rPr>
        <w:t>,</w:t>
      </w:r>
      <w:r w:rsidRPr="004F28C7">
        <w:rPr>
          <w:rFonts w:cs="Arial"/>
          <w:rtl/>
        </w:rPr>
        <w:t xml:space="preserve"> וכן אם הסופר כתב מעצמו ובעל מערער לא תנשא</w:t>
      </w:r>
      <w:r>
        <w:rPr>
          <w:rFonts w:cs="Arial" w:hint="cs"/>
          <w:rtl/>
        </w:rPr>
        <w:t>,</w:t>
      </w:r>
      <w:r w:rsidRPr="004F28C7">
        <w:rPr>
          <w:rFonts w:cs="Arial"/>
          <w:rtl/>
        </w:rPr>
        <w:t xml:space="preserve"> ואם נשאת לא תצא</w:t>
      </w:r>
      <w:r>
        <w:rPr>
          <w:rFonts w:cs="Arial" w:hint="cs"/>
          <w:rtl/>
        </w:rPr>
        <w:t>.</w:t>
      </w:r>
      <w:r w:rsidRPr="004F28C7">
        <w:rPr>
          <w:rFonts w:cs="Arial"/>
          <w:rtl/>
        </w:rPr>
        <w:t xml:space="preserve"> ולמ"ש בסמוך בשם הרא"ש נשמע אם הגט בא ממקום אחר וא</w:t>
      </w:r>
      <w:r>
        <w:rPr>
          <w:rFonts w:cs="Arial" w:hint="cs"/>
          <w:rtl/>
        </w:rPr>
        <w:t>"י</w:t>
      </w:r>
      <w:r w:rsidRPr="004F28C7">
        <w:rPr>
          <w:rFonts w:cs="Arial"/>
          <w:rtl/>
        </w:rPr>
        <w:t xml:space="preserve"> מי כת</w:t>
      </w:r>
      <w:r>
        <w:rPr>
          <w:rFonts w:cs="Arial" w:hint="cs"/>
          <w:rtl/>
        </w:rPr>
        <w:t>ב -</w:t>
      </w:r>
      <w:r w:rsidRPr="004F28C7">
        <w:rPr>
          <w:rFonts w:cs="Arial"/>
          <w:rtl/>
        </w:rPr>
        <w:t xml:space="preserve"> לכתחלה לא ינתן לה אלא</w:t>
      </w:r>
      <w:r>
        <w:rPr>
          <w:rFonts w:cs="Arial" w:hint="cs"/>
          <w:rtl/>
        </w:rPr>
        <w:t>"</w:t>
      </w:r>
      <w:r w:rsidRPr="004F28C7">
        <w:rPr>
          <w:rFonts w:cs="Arial"/>
          <w:rtl/>
        </w:rPr>
        <w:t>כ במקום עיגון או אם כבר ניתן לה, ועיין ב"ח שכ' ג</w:t>
      </w:r>
      <w:r>
        <w:rPr>
          <w:rFonts w:cs="Arial" w:hint="cs"/>
          <w:rtl/>
        </w:rPr>
        <w:t>"</w:t>
      </w:r>
      <w:r w:rsidRPr="004F28C7">
        <w:rPr>
          <w:rFonts w:cs="Arial"/>
          <w:rtl/>
        </w:rPr>
        <w:t>כ כמ"ש לדעת העיטור</w:t>
      </w:r>
      <w:r>
        <w:rPr>
          <w:rFonts w:cs="Arial" w:hint="cs"/>
          <w:rtl/>
        </w:rPr>
        <w:t>.</w:t>
      </w:r>
      <w:r w:rsidRPr="004F28C7">
        <w:rPr>
          <w:rFonts w:cs="Arial"/>
          <w:rtl/>
        </w:rPr>
        <w:t xml:space="preserve"> גם המגיד והר"ן כתבו בשם ר"</w:t>
      </w:r>
      <w:r>
        <w:rPr>
          <w:rFonts w:cs="Arial" w:hint="cs"/>
          <w:rtl/>
        </w:rPr>
        <w:t>נ</w:t>
      </w:r>
      <w:r w:rsidRPr="004F28C7">
        <w:rPr>
          <w:rFonts w:cs="Arial"/>
          <w:rtl/>
        </w:rPr>
        <w:t xml:space="preserve"> גאון היכא שכתב הבעל ומערער תצא</w:t>
      </w:r>
      <w:r>
        <w:rPr>
          <w:rFonts w:cs="Arial" w:hint="cs"/>
          <w:rtl/>
        </w:rPr>
        <w:t>.</w:t>
      </w:r>
      <w:r w:rsidRPr="004F28C7">
        <w:rPr>
          <w:rFonts w:cs="Arial"/>
          <w:rtl/>
        </w:rPr>
        <w:t xml:space="preserve"> לפי זה מחולק עם הרמב"ם בשני דינים</w:t>
      </w:r>
      <w:r>
        <w:rPr>
          <w:rFonts w:cs="Arial" w:hint="cs"/>
          <w:rtl/>
        </w:rPr>
        <w:t>:</w:t>
      </w:r>
      <w:r w:rsidRPr="004F28C7">
        <w:rPr>
          <w:rFonts w:cs="Arial"/>
          <w:rtl/>
        </w:rPr>
        <w:t xml:space="preserve"> </w:t>
      </w:r>
      <w:r w:rsidRPr="00D9324B">
        <w:rPr>
          <w:rFonts w:cs="Arial"/>
          <w:u w:val="single"/>
          <w:rtl/>
        </w:rPr>
        <w:t>חדא</w:t>
      </w:r>
      <w:r w:rsidRPr="004F28C7">
        <w:rPr>
          <w:rFonts w:cs="Arial"/>
          <w:rtl/>
        </w:rPr>
        <w:t xml:space="preserve"> דתליא בערעור הבעל</w:t>
      </w:r>
      <w:r>
        <w:rPr>
          <w:rFonts w:cs="Arial" w:hint="cs"/>
          <w:rtl/>
        </w:rPr>
        <w:t>.</w:t>
      </w:r>
      <w:r w:rsidRPr="004F28C7">
        <w:rPr>
          <w:rFonts w:cs="Arial"/>
          <w:rtl/>
        </w:rPr>
        <w:t xml:space="preserve"> </w:t>
      </w:r>
      <w:r w:rsidRPr="00D9324B">
        <w:rPr>
          <w:rFonts w:cs="Arial"/>
          <w:u w:val="single"/>
          <w:rtl/>
        </w:rPr>
        <w:t>שנית</w:t>
      </w:r>
      <w:r w:rsidRPr="004F28C7">
        <w:rPr>
          <w:rFonts w:cs="Arial"/>
          <w:rtl/>
        </w:rPr>
        <w:t xml:space="preserve"> אם ערער תצא</w:t>
      </w:r>
      <w:r>
        <w:rPr>
          <w:rFonts w:cs="Arial" w:hint="cs"/>
          <w:rtl/>
        </w:rPr>
        <w:t>.</w:t>
      </w:r>
      <w:r w:rsidRPr="004F28C7">
        <w:rPr>
          <w:rFonts w:cs="Arial"/>
          <w:rtl/>
        </w:rPr>
        <w:t xml:space="preserve"> ולרמב"ם לעולם פסול ולא תצא</w:t>
      </w:r>
      <w:r>
        <w:rPr>
          <w:rFonts w:cs="Arial" w:hint="cs"/>
          <w:rtl/>
        </w:rPr>
        <w:t>.</w:t>
      </w:r>
      <w:r w:rsidRPr="004F28C7">
        <w:rPr>
          <w:rFonts w:cs="Arial"/>
          <w:rtl/>
        </w:rPr>
        <w:t xml:space="preserve"> והמחבר קיצר מאד שכתב ויש אומרים שאם לא ערער הבעל כשר משמע בזה הם מחולקי' ותו לא</w:t>
      </w:r>
      <w:r>
        <w:rPr>
          <w:rFonts w:cs="Arial" w:hint="cs"/>
          <w:rtl/>
        </w:rPr>
        <w:t>,</w:t>
      </w:r>
      <w:r w:rsidRPr="004F28C7">
        <w:rPr>
          <w:rFonts w:cs="Arial"/>
          <w:rtl/>
        </w:rPr>
        <w:t xml:space="preserve"> ולית</w:t>
      </w:r>
      <w:r>
        <w:rPr>
          <w:rFonts w:cs="Arial" w:hint="cs"/>
          <w:rtl/>
        </w:rPr>
        <w:t>א.</w:t>
      </w:r>
      <w:r w:rsidRPr="004F28C7">
        <w:rPr>
          <w:rFonts w:cs="Arial"/>
          <w:rtl/>
        </w:rPr>
        <w:t xml:space="preserve"> ומבואר שם אם לא הרחיק רגל ההי"א של למהך נמי הדין כן</w:t>
      </w:r>
      <w:r>
        <w:rPr>
          <w:rFonts w:cs="Arial" w:hint="cs"/>
          <w:rtl/>
        </w:rPr>
        <w:t xml:space="preserve">... </w:t>
      </w:r>
      <w:r w:rsidRPr="004F28C7">
        <w:rPr>
          <w:rFonts w:cs="Arial"/>
          <w:rtl/>
        </w:rPr>
        <w:t>ומנין עם וי"ו י"ל דתליא נמי בפלוגת' זו</w:t>
      </w:r>
      <w:r>
        <w:rPr>
          <w:rFonts w:cs="Arial" w:hint="cs"/>
          <w:rtl/>
        </w:rPr>
        <w:t>,</w:t>
      </w:r>
      <w:r w:rsidRPr="004F28C7">
        <w:rPr>
          <w:rFonts w:cs="Arial"/>
          <w:rtl/>
        </w:rPr>
        <w:t xml:space="preserve"> אם הבעל מערער וכת</w:t>
      </w:r>
      <w:r>
        <w:rPr>
          <w:rFonts w:cs="Arial" w:hint="cs"/>
          <w:rtl/>
        </w:rPr>
        <w:t>ב</w:t>
      </w:r>
      <w:r w:rsidRPr="004F28C7">
        <w:rPr>
          <w:rFonts w:cs="Arial"/>
          <w:rtl/>
        </w:rPr>
        <w:t xml:space="preserve"> בעצמו תצא</w:t>
      </w:r>
      <w:r>
        <w:rPr>
          <w:rFonts w:cs="Arial" w:hint="cs"/>
          <w:rtl/>
        </w:rPr>
        <w:t>.</w:t>
      </w:r>
      <w:r w:rsidRPr="004F28C7">
        <w:rPr>
          <w:rFonts w:cs="Arial"/>
          <w:rtl/>
        </w:rPr>
        <w:t xml:space="preserve"> מיהו נרא</w:t>
      </w:r>
      <w:r>
        <w:rPr>
          <w:rFonts w:cs="Arial" w:hint="cs"/>
          <w:rtl/>
        </w:rPr>
        <w:t>ה</w:t>
      </w:r>
      <w:r w:rsidRPr="004F28C7">
        <w:rPr>
          <w:rFonts w:cs="Arial"/>
          <w:rtl/>
        </w:rPr>
        <w:t xml:space="preserve"> עיקר דוקא במה דמפורש בש"ס פליגי</w:t>
      </w:r>
      <w:r>
        <w:rPr>
          <w:rFonts w:cs="Arial" w:hint="cs"/>
          <w:rtl/>
        </w:rPr>
        <w:t>,</w:t>
      </w:r>
      <w:r w:rsidRPr="004F28C7">
        <w:rPr>
          <w:rFonts w:cs="Arial"/>
          <w:rtl/>
        </w:rPr>
        <w:t xml:space="preserve"> אבל מונין לכ"ע לא תצא</w:t>
      </w:r>
      <w:r>
        <w:rPr>
          <w:rFonts w:cs="Arial" w:hint="cs"/>
          <w:rtl/>
        </w:rPr>
        <w:t>...</w:t>
      </w:r>
      <w:r w:rsidRPr="004F28C7">
        <w:rPr>
          <w:rFonts w:cs="Arial"/>
          <w:rtl/>
        </w:rPr>
        <w:t xml:space="preserve"> ואם עדיין לא ניתן הגט ורוצים לתקן נראה דהוי כמו בדבקות ההי"ן סי' קכ"ה</w:t>
      </w:r>
      <w:r>
        <w:rPr>
          <w:rFonts w:cs="Arial" w:hint="cs"/>
          <w:rtl/>
        </w:rPr>
        <w:t>,</w:t>
      </w:r>
      <w:r w:rsidRPr="004F28C7">
        <w:rPr>
          <w:rFonts w:cs="Arial"/>
          <w:rtl/>
        </w:rPr>
        <w:t xml:space="preserve"> וכ"כ בפריש' בשם מהרש"ל וב"ח</w:t>
      </w:r>
      <w:r>
        <w:rPr>
          <w:rFonts w:cs="Arial" w:hint="cs"/>
          <w:rtl/>
        </w:rPr>
        <w:t>,</w:t>
      </w:r>
      <w:r w:rsidRPr="004F28C7">
        <w:rPr>
          <w:rFonts w:cs="Arial"/>
          <w:rtl/>
        </w:rPr>
        <w:t xml:space="preserve"> ובמקום עיגון יכול הסופר לתקן אפילו אחר חתימות העדים כיון דליכא תיקון ממש</w:t>
      </w:r>
      <w:r>
        <w:rPr>
          <w:rFonts w:cs="Arial" w:hint="cs"/>
          <w:rtl/>
        </w:rPr>
        <w:t>, ב"ש (סקל"ב).</w:t>
      </w:r>
    </w:p>
  </w:footnote>
  <w:footnote w:id="788">
    <w:p w14:paraId="2986966B" w14:textId="77777777" w:rsidR="00FA2119" w:rsidRPr="00351B7D" w:rsidRDefault="00FA2119" w:rsidP="00FA211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בהערה לסדר הגט </w:t>
      </w:r>
      <w:r w:rsidRPr="00351B7D">
        <w:rPr>
          <w:rFonts w:asciiTheme="minorBidi" w:hAnsiTheme="minorBidi"/>
          <w:sz w:val="16"/>
          <w:szCs w:val="16"/>
          <w:rtl/>
        </w:rPr>
        <w:t xml:space="preserve">(סי' י"ז) </w:t>
      </w:r>
      <w:r w:rsidRPr="00351B7D">
        <w:rPr>
          <w:rFonts w:asciiTheme="minorBidi" w:hAnsiTheme="minorBidi"/>
          <w:rtl/>
        </w:rPr>
        <w:t>הקשה דזה סותר למש"כ המהרי"ל גופיה בשו"ת סי' קפ"ט דמסקנת רבותינו שבאושטרייך דאייר בשני יודי"ן ושכן נכתב בגיטין דידיה ע"פ מורו</w:t>
      </w:r>
      <w:r w:rsidRPr="00351B7D">
        <w:rPr>
          <w:rFonts w:asciiTheme="minorBidi" w:hAnsiTheme="minorBidi"/>
          <w:sz w:val="16"/>
          <w:szCs w:val="16"/>
          <w:rtl/>
        </w:rPr>
        <w:t xml:space="preserve"> (הגוה"ע אות נט)</w:t>
      </w:r>
      <w:r w:rsidRPr="00351B7D">
        <w:rPr>
          <w:rFonts w:asciiTheme="minorBidi" w:hAnsiTheme="minorBidi"/>
          <w:rtl/>
        </w:rPr>
        <w:t xml:space="preserve">. וכ' </w:t>
      </w:r>
      <w:r w:rsidRPr="00184384">
        <w:rPr>
          <w:rFonts w:asciiTheme="minorBidi" w:hAnsiTheme="minorBidi"/>
          <w:b/>
          <w:bCs/>
          <w:rtl/>
        </w:rPr>
        <w:t>הב"ש</w:t>
      </w:r>
      <w:r w:rsidRPr="00351B7D">
        <w:rPr>
          <w:rFonts w:asciiTheme="minorBidi" w:hAnsiTheme="minorBidi"/>
          <w:rtl/>
        </w:rPr>
        <w:t xml:space="preserve"> (סקכ"א) דהשו"ע השמיט דעתו בזה משום דס"ל דאין ליתן ב' גיטין אלא מחמת הדחק, ואז כשר לכתוב בשני יודין ועדיף טפי, דהא אין כותבים שני גיטין אלא בדוחק.</w:t>
      </w:r>
    </w:p>
  </w:footnote>
  <w:footnote w:id="789">
    <w:p w14:paraId="2B455207"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בשו"ת מהרי"ל</w:t>
      </w:r>
      <w:r w:rsidRPr="00351B7D">
        <w:rPr>
          <w:rFonts w:asciiTheme="minorBidi" w:hAnsiTheme="minorBidi"/>
          <w:sz w:val="16"/>
          <w:szCs w:val="16"/>
          <w:rtl/>
        </w:rPr>
        <w:t xml:space="preserve"> (סי' קפ"ט) </w:t>
      </w:r>
      <w:r w:rsidRPr="00351B7D">
        <w:rPr>
          <w:rFonts w:asciiTheme="minorBidi" w:hAnsiTheme="minorBidi"/>
          <w:rtl/>
        </w:rPr>
        <w:t>איתא שמה"ר הלל היה נמנע מלתת גט באייר, ונראה שהוא המכונה 'יש נמנעין'</w:t>
      </w:r>
      <w:r w:rsidRPr="00351B7D">
        <w:rPr>
          <w:rFonts w:asciiTheme="minorBidi" w:hAnsiTheme="minorBidi"/>
          <w:sz w:val="16"/>
          <w:szCs w:val="16"/>
          <w:rtl/>
        </w:rPr>
        <w:t xml:space="preserve"> (הגוה"ע שם)</w:t>
      </w:r>
      <w:r w:rsidRPr="00351B7D">
        <w:rPr>
          <w:rFonts w:asciiTheme="minorBidi" w:hAnsiTheme="minorBidi"/>
          <w:rtl/>
        </w:rPr>
        <w:t>.</w:t>
      </w:r>
    </w:p>
  </w:footnote>
  <w:footnote w:id="790">
    <w:p w14:paraId="1D689124"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אע"ג דרוב הגט בלשון תרגום הוא, מ"מ זמן כותבים בל' עברי שני ימים ולא תרי יומין, ול' עברי היא ל' קרא, ע"פ ב"ש (סקכ"א).</w:t>
      </w:r>
    </w:p>
  </w:footnote>
  <w:footnote w:id="791">
    <w:p w14:paraId="4F94C734" w14:textId="77777777" w:rsidR="00FA2119" w:rsidRPr="00351B7D" w:rsidRDefault="00FA2119" w:rsidP="00FA211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ונ"ל שאין זה סותר למה שכתב מהרי"ק בשורש קס"ב שימחא באל"ף כלשון התרגום, שכל אחד נדרש לפי מקומו שימחא כתוב אצל לשון תרגום</w:t>
      </w:r>
      <w:r>
        <w:rPr>
          <w:rFonts w:asciiTheme="minorBidi" w:hAnsiTheme="minorBidi" w:hint="cs"/>
          <w:rtl/>
        </w:rPr>
        <w:t xml:space="preserve"> </w:t>
      </w:r>
      <w:r w:rsidRPr="00351B7D">
        <w:rPr>
          <w:rFonts w:asciiTheme="minorBidi" w:hAnsiTheme="minorBidi"/>
          <w:rtl/>
        </w:rPr>
        <w:t>- ואינש לא ימחא בידיכי, אבל כסלו כתוב אצל לשון עברי בשני ימים לירח כסלו, ב"י.</w:t>
      </w:r>
    </w:p>
  </w:footnote>
  <w:footnote w:id="792">
    <w:p w14:paraId="19AAE76A" w14:textId="6A295FAE" w:rsidR="00FA2119" w:rsidRDefault="00FA2119" w:rsidP="00FA2119">
      <w:pPr>
        <w:pStyle w:val="a5"/>
      </w:pPr>
      <w:r>
        <w:rPr>
          <w:rStyle w:val="a7"/>
        </w:rPr>
        <w:footnoteRef/>
      </w:r>
      <w:r>
        <w:rPr>
          <w:rtl/>
        </w:rPr>
        <w:t xml:space="preserve"> </w:t>
      </w:r>
      <w:r w:rsidRPr="00AF1304">
        <w:rPr>
          <w:rFonts w:cs="Arial"/>
          <w:rtl/>
        </w:rPr>
        <w:t>וכן משמע שהוא דעת ר</w:t>
      </w:r>
      <w:r>
        <w:rPr>
          <w:rFonts w:cs="Arial" w:hint="cs"/>
          <w:rtl/>
        </w:rPr>
        <w:t>י"ו</w:t>
      </w:r>
      <w:r w:rsidRPr="00AF1304">
        <w:rPr>
          <w:rFonts w:cs="Arial"/>
          <w:rtl/>
        </w:rPr>
        <w:t xml:space="preserve"> </w:t>
      </w:r>
      <w:r>
        <w:rPr>
          <w:rFonts w:cs="Arial" w:hint="cs"/>
          <w:rtl/>
        </w:rPr>
        <w:t>(</w:t>
      </w:r>
      <w:r w:rsidRPr="00AF1304">
        <w:rPr>
          <w:rFonts w:cs="Arial"/>
          <w:rtl/>
        </w:rPr>
        <w:t>ח</w:t>
      </w:r>
      <w:r>
        <w:rPr>
          <w:rFonts w:cs="Arial" w:hint="cs"/>
          <w:rtl/>
        </w:rPr>
        <w:t>"</w:t>
      </w:r>
      <w:r w:rsidRPr="00AF1304">
        <w:rPr>
          <w:rFonts w:cs="Arial"/>
          <w:rtl/>
        </w:rPr>
        <w:t>ב נכ"ד רה ע"ג) אע</w:t>
      </w:r>
      <w:r>
        <w:rPr>
          <w:rFonts w:cs="Arial" w:hint="cs"/>
          <w:rtl/>
        </w:rPr>
        <w:t>"</w:t>
      </w:r>
      <w:r w:rsidRPr="00AF1304">
        <w:rPr>
          <w:rFonts w:cs="Arial"/>
          <w:rtl/>
        </w:rPr>
        <w:t>פ שכתוב בספרינו בטעות</w:t>
      </w:r>
      <w:r>
        <w:rPr>
          <w:rFonts w:cs="Arial" w:hint="cs"/>
          <w:rtl/>
        </w:rPr>
        <w:t>,</w:t>
      </w:r>
      <w:r w:rsidRPr="00AF1304">
        <w:rPr>
          <w:rFonts w:cs="Arial"/>
          <w:rtl/>
        </w:rPr>
        <w:t xml:space="preserve"> </w:t>
      </w:r>
      <w:r w:rsidR="000A0F5A">
        <w:rPr>
          <w:rFonts w:cs="Arial"/>
          <w:rtl/>
        </w:rPr>
        <w:t>וז"ל:</w:t>
      </w:r>
      <w:r w:rsidRPr="00AF1304">
        <w:rPr>
          <w:rFonts w:cs="Arial"/>
          <w:rtl/>
        </w:rPr>
        <w:t xml:space="preserve"> וכן אם כתב בו בשבעה בשבת בשבעה וכן בדלא אניס וכו' אינו פסול עכ"ל. ונראה לי שיש להגיה אם כתוב בו בז' במקום בשבעה</w:t>
      </w:r>
      <w:r>
        <w:rPr>
          <w:rFonts w:cs="Arial" w:hint="cs"/>
          <w:rtl/>
        </w:rPr>
        <w:t>,</w:t>
      </w:r>
      <w:r w:rsidRPr="00AF1304">
        <w:rPr>
          <w:rFonts w:cs="Arial"/>
          <w:rtl/>
        </w:rPr>
        <w:t xml:space="preserve"> והוא כמו מה שהכשיר הרב מטראנ"י</w:t>
      </w:r>
      <w:r>
        <w:rPr>
          <w:rFonts w:cs="Arial" w:hint="cs"/>
          <w:rtl/>
        </w:rPr>
        <w:t>, ב"י.</w:t>
      </w:r>
    </w:p>
  </w:footnote>
  <w:footnote w:id="793">
    <w:p w14:paraId="4C7C98F6" w14:textId="77777777" w:rsidR="00FA2119" w:rsidRDefault="00FA2119" w:rsidP="00FA2119">
      <w:pPr>
        <w:pStyle w:val="a5"/>
        <w:rPr>
          <w:rtl/>
        </w:rPr>
      </w:pPr>
      <w:r>
        <w:rPr>
          <w:rStyle w:val="a7"/>
        </w:rPr>
        <w:footnoteRef/>
      </w:r>
      <w:r>
        <w:rPr>
          <w:rtl/>
        </w:rPr>
        <w:t xml:space="preserve"> </w:t>
      </w:r>
      <w:r w:rsidRPr="00D314C3">
        <w:rPr>
          <w:rFonts w:cs="Arial"/>
          <w:rtl/>
        </w:rPr>
        <w:t>כתב בספר ג"פ לאפוקי שלא יכתוב שני יודין בין הנונין או לאפוקי שלא יכתוב גם כן יו"ד בין מ"ם לנו"ן וכל זה לכתחילה אבל אם נכתב בתרי יודין יש להכשיר</w:t>
      </w:r>
      <w:r>
        <w:rPr>
          <w:rFonts w:hint="cs"/>
          <w:rtl/>
        </w:rPr>
        <w:t>, פת"ש (סקל"ג).</w:t>
      </w:r>
    </w:p>
  </w:footnote>
  <w:footnote w:id="794">
    <w:p w14:paraId="5D30DA9F" w14:textId="77777777" w:rsidR="00181024" w:rsidRDefault="00181024" w:rsidP="00181024">
      <w:pPr>
        <w:pStyle w:val="a5"/>
        <w:rPr>
          <w:rtl/>
        </w:rPr>
      </w:pPr>
      <w:r>
        <w:rPr>
          <w:rStyle w:val="a7"/>
        </w:rPr>
        <w:footnoteRef/>
      </w:r>
      <w:r w:rsidRPr="00AF1304">
        <w:rPr>
          <w:rFonts w:cs="Arial"/>
          <w:rtl/>
        </w:rPr>
        <w:t xml:space="preserve"> ובתיקון מצאתי פעם אחת היה כתוב מונין בו' ופסל מהר"י ווייל הגט עכ"ל. ונראה דבמקום שנהגו לכתוב כך אין לחוש וכדאי הריב"ש לסמוך עליו</w:t>
      </w:r>
      <w:r>
        <w:rPr>
          <w:rFonts w:cs="Arial" w:hint="cs"/>
          <w:rtl/>
        </w:rPr>
        <w:t>, דרכ"מ (אות ל).</w:t>
      </w:r>
    </w:p>
  </w:footnote>
  <w:footnote w:id="795">
    <w:p w14:paraId="4ED83BBF" w14:textId="77777777" w:rsidR="00FA2119" w:rsidRDefault="00FA2119" w:rsidP="00FA2119">
      <w:pPr>
        <w:pStyle w:val="a5"/>
      </w:pPr>
      <w:r>
        <w:rPr>
          <w:rStyle w:val="a7"/>
        </w:rPr>
        <w:footnoteRef/>
      </w:r>
      <w:r>
        <w:rPr>
          <w:rtl/>
        </w:rPr>
        <w:t xml:space="preserve"> </w:t>
      </w:r>
      <w:r w:rsidRPr="00D314C3">
        <w:rPr>
          <w:rFonts w:cs="Arial"/>
          <w:rtl/>
        </w:rPr>
        <w:t>שאם הוא בוי"ו יש במשמעותו לשון אונאה, ופירוש של שאנו מונין משום דבזמניהם לא היו מונין כולם לבריאת עולם אלא לשאר מנין לכך כותבין שאנו מונין ולא כזמני' הראשונים לבוש</w:t>
      </w:r>
      <w:r>
        <w:rPr>
          <w:rFonts w:cs="Arial" w:hint="cs"/>
          <w:rtl/>
        </w:rPr>
        <w:t>, ב"ש (סקל"ג).</w:t>
      </w:r>
    </w:p>
  </w:footnote>
  <w:footnote w:id="796">
    <w:p w14:paraId="5878E168" w14:textId="77777777" w:rsidR="00FA2119" w:rsidRDefault="00FA2119" w:rsidP="00FA2119">
      <w:pPr>
        <w:pStyle w:val="a5"/>
        <w:rPr>
          <w:rtl/>
        </w:rPr>
      </w:pPr>
      <w:r>
        <w:rPr>
          <w:rStyle w:val="a7"/>
        </w:rPr>
        <w:footnoteRef/>
      </w:r>
      <w:r>
        <w:rPr>
          <w:rtl/>
        </w:rPr>
        <w:t xml:space="preserve"> </w:t>
      </w:r>
      <w:r w:rsidRPr="00D314C3">
        <w:rPr>
          <w:rFonts w:cs="Arial"/>
          <w:rtl/>
        </w:rPr>
        <w:t>עב"ש שמגיה שצ"ל מנין בו. ובאר הגולה מגיה דצ"ל מנין במתא ופי' שלא כתב תיבת כאן וכ"כ בס' ג"פ ע"ש. וכתב עוד דמ"ש בסדר גט דר"י מינץ סימן ע"ה דמהרי"ל פסל גט שהיה כתוב תיבת בו יתירה לא ידעתי טעם לפסול ויראה דכשר ובנוסחת הטור כתוב תיבת בו</w:t>
      </w:r>
      <w:r>
        <w:rPr>
          <w:rFonts w:hint="cs"/>
          <w:rtl/>
        </w:rPr>
        <w:t>, פת"ש (סקל"ד).</w:t>
      </w:r>
    </w:p>
  </w:footnote>
  <w:footnote w:id="797">
    <w:p w14:paraId="306C3683" w14:textId="066F9AD2" w:rsidR="00FA2119" w:rsidRDefault="00FA2119" w:rsidP="00FA2119">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5E795A">
        <w:rPr>
          <w:rFonts w:cs="Arial"/>
          <w:rtl/>
        </w:rPr>
        <w:t>דיתבא על נהר פלוני הכל תיבה אחת כלומר היושבת ואין לכתוב די יתבא אשר יושבת</w:t>
      </w:r>
      <w:r>
        <w:rPr>
          <w:rFonts w:cs="Arial" w:hint="cs"/>
          <w:rtl/>
        </w:rPr>
        <w:t>.</w:t>
      </w:r>
    </w:p>
  </w:footnote>
  <w:footnote w:id="798">
    <w:p w14:paraId="4274105D" w14:textId="77777777" w:rsidR="00FA2119" w:rsidRDefault="00FA2119" w:rsidP="00FA2119">
      <w:pPr>
        <w:pStyle w:val="a5"/>
        <w:rPr>
          <w:rtl/>
        </w:rPr>
      </w:pPr>
      <w:r>
        <w:rPr>
          <w:rStyle w:val="a7"/>
        </w:rPr>
        <w:footnoteRef/>
      </w:r>
      <w:r>
        <w:rPr>
          <w:rtl/>
        </w:rPr>
        <w:t xml:space="preserve"> </w:t>
      </w:r>
      <w:r w:rsidRPr="002D1848">
        <w:rPr>
          <w:rFonts w:cs="Arial"/>
          <w:rtl/>
        </w:rPr>
        <w:t>ואם כתב אותו בשני יודי"ן די יתבא נראה דכש</w:t>
      </w:r>
      <w:r>
        <w:rPr>
          <w:rFonts w:cs="Arial" w:hint="cs"/>
          <w:rtl/>
        </w:rPr>
        <w:t>ר, ב"י (בסי' קכח סע' ד</w:t>
      </w:r>
      <w:r>
        <w:rPr>
          <w:rFonts w:cs="Arial" w:hint="cs"/>
          <w:sz w:val="16"/>
          <w:szCs w:val="16"/>
          <w:rtl/>
        </w:rPr>
        <w:t>(א)</w:t>
      </w:r>
      <w:r>
        <w:rPr>
          <w:rFonts w:cs="Arial" w:hint="cs"/>
          <w:rtl/>
        </w:rPr>
        <w:t xml:space="preserve">, הביאו הדרכ"מ [אות </w:t>
      </w:r>
      <w:r w:rsidRPr="00AF1304">
        <w:rPr>
          <w:rFonts w:cs="Arial"/>
          <w:rtl/>
        </w:rPr>
        <w:t>ל*</w:t>
      </w:r>
      <w:r>
        <w:rPr>
          <w:rFonts w:cs="Arial" w:hint="cs"/>
          <w:rtl/>
        </w:rPr>
        <w:t>]</w:t>
      </w:r>
      <w:r w:rsidRPr="00AF1304">
        <w:rPr>
          <w:rFonts w:cs="Arial"/>
          <w:rtl/>
        </w:rPr>
        <w:t>)</w:t>
      </w:r>
      <w:r>
        <w:rPr>
          <w:rFonts w:cs="Arial" w:hint="cs"/>
          <w:rtl/>
        </w:rPr>
        <w:t>.</w:t>
      </w:r>
      <w:r>
        <w:rPr>
          <w:rFonts w:hint="cs"/>
          <w:rtl/>
        </w:rPr>
        <w:t xml:space="preserve"> </w:t>
      </w:r>
      <w:r w:rsidRPr="005066DE">
        <w:rPr>
          <w:rFonts w:hint="cs"/>
          <w:color w:val="00B0F0"/>
          <w:rtl/>
        </w:rPr>
        <w:t>(וכ"פ הרמ"א)</w:t>
      </w:r>
    </w:p>
  </w:footnote>
  <w:footnote w:id="799">
    <w:p w14:paraId="79A49247" w14:textId="1549C3E2" w:rsidR="00FA2119" w:rsidRDefault="00FA2119" w:rsidP="00FA2119">
      <w:pPr>
        <w:pStyle w:val="a5"/>
        <w:rPr>
          <w:rtl/>
        </w:rPr>
      </w:pPr>
      <w:r>
        <w:rPr>
          <w:rStyle w:val="a7"/>
        </w:rPr>
        <w:footnoteRef/>
      </w:r>
      <w:r>
        <w:rPr>
          <w:rtl/>
        </w:rPr>
        <w:t xml:space="preserve"> </w:t>
      </w:r>
      <w:r w:rsidRPr="005066DE">
        <w:rPr>
          <w:rFonts w:cs="Arial"/>
          <w:rtl/>
        </w:rPr>
        <w:t>עי</w:t>
      </w:r>
      <w:r w:rsidR="00181024">
        <w:rPr>
          <w:rFonts w:cs="Arial" w:hint="cs"/>
          <w:rtl/>
        </w:rPr>
        <w:t>'</w:t>
      </w:r>
      <w:r w:rsidRPr="005066DE">
        <w:rPr>
          <w:rFonts w:cs="Arial"/>
          <w:rtl/>
        </w:rPr>
        <w:t xml:space="preserve"> בס' ג"פ </w:t>
      </w:r>
      <w:r w:rsidR="00181024">
        <w:rPr>
          <w:rFonts w:cs="Arial" w:hint="cs"/>
          <w:rtl/>
        </w:rPr>
        <w:t>(</w:t>
      </w:r>
      <w:r w:rsidRPr="005066DE">
        <w:rPr>
          <w:rFonts w:cs="Arial"/>
          <w:rtl/>
        </w:rPr>
        <w:t>סקע"ז</w:t>
      </w:r>
      <w:r w:rsidR="00181024">
        <w:rPr>
          <w:rFonts w:cs="Arial" w:hint="cs"/>
          <w:rtl/>
        </w:rPr>
        <w:t>)</w:t>
      </w:r>
      <w:r w:rsidRPr="005066DE">
        <w:rPr>
          <w:rFonts w:cs="Arial"/>
          <w:rtl/>
        </w:rPr>
        <w:t xml:space="preserve"> דאפי' אם כתבם בשתי שיטות כשר. וע</w:t>
      </w:r>
      <w:r w:rsidR="00181024">
        <w:rPr>
          <w:rFonts w:cs="Arial" w:hint="cs"/>
          <w:rtl/>
        </w:rPr>
        <w:t>"</w:t>
      </w:r>
      <w:r w:rsidRPr="005066DE">
        <w:rPr>
          <w:rFonts w:cs="Arial"/>
          <w:rtl/>
        </w:rPr>
        <w:t xml:space="preserve">ע שם בסי' קכ"ח </w:t>
      </w:r>
      <w:r w:rsidR="00181024">
        <w:rPr>
          <w:rFonts w:cs="Arial" w:hint="cs"/>
          <w:rtl/>
        </w:rPr>
        <w:t>(</w:t>
      </w:r>
      <w:r w:rsidRPr="005066DE">
        <w:rPr>
          <w:rFonts w:cs="Arial"/>
          <w:rtl/>
        </w:rPr>
        <w:t>סקמ"ז</w:t>
      </w:r>
      <w:r w:rsidR="00181024">
        <w:rPr>
          <w:rFonts w:cs="Arial" w:hint="cs"/>
          <w:rtl/>
        </w:rPr>
        <w:t>)</w:t>
      </w:r>
      <w:r w:rsidRPr="005066DE">
        <w:rPr>
          <w:rFonts w:cs="Arial"/>
          <w:rtl/>
        </w:rPr>
        <w:t xml:space="preserve"> שכ' וז"ל</w:t>
      </w:r>
      <w:r w:rsidR="00181024">
        <w:rPr>
          <w:rFonts w:cs="Arial" w:hint="cs"/>
          <w:rtl/>
        </w:rPr>
        <w:t>:</w:t>
      </w:r>
      <w:r w:rsidRPr="005066DE">
        <w:rPr>
          <w:rFonts w:cs="Arial"/>
          <w:rtl/>
        </w:rPr>
        <w:t xml:space="preserve"> ואיכא למידק מ"ש גבי נהר דכתב מרן ז"ל דיתבא על נהר פ' להקדים תיבת דיתבא וגבי הים כתב (בסי' קכ"ח ס"ד) דעל כיף ימא מותבא ולא קאמר דיתבא על כיף ימא</w:t>
      </w:r>
      <w:r w:rsidR="00181024">
        <w:rPr>
          <w:rFonts w:cs="Arial" w:hint="cs"/>
          <w:rtl/>
        </w:rPr>
        <w:t>,</w:t>
      </w:r>
      <w:r w:rsidRPr="005066DE">
        <w:rPr>
          <w:rFonts w:cs="Arial"/>
          <w:rtl/>
        </w:rPr>
        <w:t xml:space="preserve"> ויראה לע"ד דגם גבי נהר אם יכתוב דעל נהר פ' מותבא או דעל נהר פ' יתבא הכל כשר וכדאמרינן בשנים אוחזין כו'</w:t>
      </w:r>
      <w:r w:rsidR="00181024">
        <w:rPr>
          <w:rFonts w:cs="Arial" w:hint="cs"/>
          <w:rtl/>
        </w:rPr>
        <w:t>,</w:t>
      </w:r>
      <w:r w:rsidRPr="005066DE">
        <w:rPr>
          <w:rFonts w:cs="Arial"/>
          <w:rtl/>
        </w:rPr>
        <w:t xml:space="preserve"> וכן גבי ים אם יכתוב דיתבא על כיף ימא הכל כשר כו' </w:t>
      </w:r>
      <w:r w:rsidR="00181024">
        <w:rPr>
          <w:rFonts w:cs="Arial" w:hint="cs"/>
          <w:rtl/>
        </w:rPr>
        <w:t>.</w:t>
      </w:r>
      <w:r w:rsidRPr="005066DE">
        <w:rPr>
          <w:rFonts w:cs="Arial"/>
          <w:rtl/>
        </w:rPr>
        <w:t>וכ' עוד ואם דילג תיבת יתבא או מותבא אינו מעכב</w:t>
      </w:r>
      <w:r w:rsidR="00181024">
        <w:rPr>
          <w:rFonts w:cs="Arial" w:hint="cs"/>
          <w:rtl/>
        </w:rPr>
        <w:t>,</w:t>
      </w:r>
      <w:r w:rsidRPr="005066DE">
        <w:rPr>
          <w:rFonts w:cs="Arial"/>
          <w:rtl/>
        </w:rPr>
        <w:t xml:space="preserve"> ע"ש</w:t>
      </w:r>
      <w:r>
        <w:rPr>
          <w:rFonts w:hint="cs"/>
          <w:rtl/>
        </w:rPr>
        <w:t>, פת"ש (סקל"ה).</w:t>
      </w:r>
    </w:p>
  </w:footnote>
  <w:footnote w:id="800">
    <w:p w14:paraId="398CAD79" w14:textId="5E8E1508"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8253B0">
        <w:rPr>
          <w:rFonts w:cs="Arial"/>
          <w:rtl/>
        </w:rPr>
        <w:t>ועוד מסופק אני אשר ראיתי בטופס הגט שסדר מורי לאברהם לוק"ר, וכתב בו אנא פב"פ העומד היום במקום פלוני וכל שום וחניכה וכו'</w:t>
      </w:r>
      <w:r>
        <w:rPr>
          <w:rFonts w:cs="Arial" w:hint="cs"/>
          <w:rtl/>
        </w:rPr>
        <w:t xml:space="preserve">. </w:t>
      </w:r>
      <w:r w:rsidRPr="008253B0">
        <w:rPr>
          <w:rFonts w:cs="Arial"/>
          <w:rtl/>
        </w:rPr>
        <w:t>ובטופס שלנו אינו כך אלא אנא פב"פ וכל שום וחניכה העומד היום. לפום משמעות טופס שלנו מכוון קצת יותר, דמה לנו להפסיק בין שם המובהק ובין וכל שום וחניכה, ואף על גב דבטופס ראבי"ה דמייתי לה במרדכי כתב ג"כ העומד היום קודם וכל שום, נראה לע"ד דהיינו משום דהזכיר ג"כ מקום הדירה, ושפיר דמי למכתב הכי כי היכי דליקו נמי וכל שום על מקומו ועל מקום אהבתיה, אבל מר לא כתב כי אם העמידה</w:t>
      </w:r>
      <w:r>
        <w:rPr>
          <w:rFonts w:cs="Arial" w:hint="cs"/>
          <w:rtl/>
        </w:rPr>
        <w:t>...</w:t>
      </w:r>
    </w:p>
  </w:footnote>
  <w:footnote w:id="801">
    <w:p w14:paraId="64E7C236" w14:textId="77777777" w:rsidR="00FA2119" w:rsidRDefault="00FA2119" w:rsidP="00FA2119">
      <w:pPr>
        <w:pStyle w:val="a5"/>
      </w:pPr>
      <w:r>
        <w:rPr>
          <w:rStyle w:val="a7"/>
        </w:rPr>
        <w:footnoteRef/>
      </w:r>
      <w:r>
        <w:rPr>
          <w:rtl/>
        </w:rPr>
        <w:t xml:space="preserve"> </w:t>
      </w:r>
      <w:r>
        <w:rPr>
          <w:rFonts w:hint="cs"/>
          <w:rtl/>
        </w:rPr>
        <w:t>וכתב הב"י דכן משמע בדברי הרא"ש, ולא מצאתי היכן, שהרי בסדר הגט שלו לא הזכיר כן.</w:t>
      </w:r>
    </w:p>
  </w:footnote>
  <w:footnote w:id="802">
    <w:p w14:paraId="2A1287DB" w14:textId="77777777" w:rsidR="00FA2119" w:rsidRDefault="00FA2119" w:rsidP="00FA2119">
      <w:pPr>
        <w:pStyle w:val="a5"/>
      </w:pPr>
      <w:r>
        <w:rPr>
          <w:rStyle w:val="a7"/>
        </w:rPr>
        <w:footnoteRef/>
      </w:r>
      <w:r>
        <w:rPr>
          <w:rtl/>
        </w:rPr>
        <w:t xml:space="preserve"> </w:t>
      </w:r>
      <w:r w:rsidRPr="00A904E4">
        <w:rPr>
          <w:rFonts w:cs="Arial"/>
          <w:rtl/>
        </w:rPr>
        <w:t xml:space="preserve">וכתב הר"ן בפרק המגרש (מה: ד"ה מן) שבקצת נוסחי הלכות גם כן כתוב כך </w:t>
      </w:r>
      <w:r>
        <w:rPr>
          <w:rFonts w:cs="Arial" w:hint="cs"/>
          <w:rtl/>
        </w:rPr>
        <w:t>'</w:t>
      </w:r>
      <w:r w:rsidRPr="00A904E4">
        <w:rPr>
          <w:rFonts w:cs="Arial"/>
          <w:rtl/>
        </w:rPr>
        <w:t>אנא פלוני בר פלוני דממתא פלוני וכל שום וכו' דאית לי ולאבהתי</w:t>
      </w:r>
      <w:r>
        <w:rPr>
          <w:rFonts w:cs="Arial" w:hint="cs"/>
          <w:rtl/>
        </w:rPr>
        <w:t>'.</w:t>
      </w:r>
      <w:r w:rsidRPr="00A904E4">
        <w:rPr>
          <w:rFonts w:cs="Arial"/>
          <w:rtl/>
        </w:rPr>
        <w:t xml:space="preserve"> אבל הרמב"ן העיד שראה נוסחא של הרי"ף מוגהת בכתב ידו ואין כתוב בה אלא אנא פב"פ וכל שום דאית לי דממתא פלוני</w:t>
      </w:r>
      <w:r>
        <w:rPr>
          <w:rFonts w:cs="Arial" w:hint="cs"/>
          <w:rtl/>
        </w:rPr>
        <w:t>,</w:t>
      </w:r>
      <w:r w:rsidRPr="00A904E4">
        <w:rPr>
          <w:rFonts w:cs="Arial"/>
          <w:rtl/>
        </w:rPr>
        <w:t xml:space="preserve"> וכן בשם שלה</w:t>
      </w:r>
      <w:r>
        <w:rPr>
          <w:rFonts w:cs="Arial" w:hint="cs"/>
          <w:rtl/>
        </w:rPr>
        <w:t>, ב"י.</w:t>
      </w:r>
    </w:p>
  </w:footnote>
  <w:footnote w:id="803">
    <w:p w14:paraId="3823589D" w14:textId="77777777" w:rsidR="006F08FF" w:rsidRDefault="006F08FF" w:rsidP="006F08FF">
      <w:pPr>
        <w:pStyle w:val="a5"/>
        <w:rPr>
          <w:rtl/>
        </w:rPr>
      </w:pPr>
      <w:r>
        <w:rPr>
          <w:rStyle w:val="a7"/>
        </w:rPr>
        <w:footnoteRef/>
      </w:r>
      <w:r>
        <w:rPr>
          <w:rtl/>
        </w:rPr>
        <w:t xml:space="preserve"> </w:t>
      </w:r>
      <w:r>
        <w:rPr>
          <w:rFonts w:cs="Arial" w:hint="cs"/>
          <w:rtl/>
        </w:rPr>
        <w:t xml:space="preserve">כן הוא לפני, והב"י כתב אחרת וז"ל: </w:t>
      </w:r>
      <w:r w:rsidRPr="004D0791">
        <w:rPr>
          <w:rFonts w:cs="Arial"/>
          <w:rtl/>
        </w:rPr>
        <w:t xml:space="preserve">ורש"י לא כתב בזה אלא פטרית ותרוכית ולא שבקית וכבר נתן טעם לדבריו מהר"ר ישראל בכתביו </w:t>
      </w:r>
      <w:r>
        <w:rPr>
          <w:rFonts w:cs="Arial" w:hint="cs"/>
          <w:rtl/>
        </w:rPr>
        <w:t>(</w:t>
      </w:r>
      <w:r w:rsidRPr="004D0791">
        <w:rPr>
          <w:rFonts w:cs="Arial"/>
          <w:rtl/>
        </w:rPr>
        <w:t>סי</w:t>
      </w:r>
      <w:r>
        <w:rPr>
          <w:rFonts w:cs="Arial" w:hint="cs"/>
          <w:rtl/>
        </w:rPr>
        <w:t>'</w:t>
      </w:r>
      <w:r w:rsidRPr="004D0791">
        <w:rPr>
          <w:rFonts w:cs="Arial"/>
          <w:rtl/>
        </w:rPr>
        <w:t xml:space="preserve"> רכח</w:t>
      </w:r>
      <w:r>
        <w:rPr>
          <w:rFonts w:cs="Arial" w:hint="cs"/>
          <w:rtl/>
        </w:rPr>
        <w:t>)</w:t>
      </w:r>
      <w:r w:rsidRPr="004D0791">
        <w:rPr>
          <w:rFonts w:cs="Arial"/>
          <w:rtl/>
        </w:rPr>
        <w:t xml:space="preserve"> וכתב שאין קפידא בדבר</w:t>
      </w:r>
      <w:r>
        <w:rPr>
          <w:rFonts w:cs="Arial" w:hint="cs"/>
          <w:rtl/>
        </w:rPr>
        <w:t>.</w:t>
      </w:r>
    </w:p>
  </w:footnote>
  <w:footnote w:id="804">
    <w:p w14:paraId="739DEAED" w14:textId="6EA2B4A5" w:rsidR="006F08FF" w:rsidRDefault="006F08FF">
      <w:pPr>
        <w:pStyle w:val="a5"/>
        <w:rPr>
          <w:rtl/>
        </w:rPr>
      </w:pPr>
      <w:r>
        <w:rPr>
          <w:rStyle w:val="a7"/>
        </w:rPr>
        <w:footnoteRef/>
      </w:r>
      <w:r>
        <w:rPr>
          <w:rtl/>
        </w:rPr>
        <w:t xml:space="preserve"> </w:t>
      </w:r>
      <w:r w:rsidRPr="004D0791">
        <w:rPr>
          <w:rFonts w:cs="Arial"/>
          <w:rtl/>
        </w:rPr>
        <w:t>וכן כתוב בטופס הרמב"ם וכן כתוב בכל בו ו</w:t>
      </w:r>
      <w:r w:rsidR="009334FF">
        <w:rPr>
          <w:rFonts w:cs="Arial"/>
          <w:rtl/>
        </w:rPr>
        <w:t>ב</w:t>
      </w:r>
      <w:r w:rsidR="00DB737E">
        <w:rPr>
          <w:rFonts w:cs="Arial"/>
          <w:rtl/>
        </w:rPr>
        <w:t>הגהות</w:t>
      </w:r>
      <w:r w:rsidRPr="004D0791">
        <w:rPr>
          <w:rFonts w:cs="Arial"/>
          <w:rtl/>
        </w:rPr>
        <w:t xml:space="preserve"> מיימון (פ"ד מגירושין אות ז) בשם סמ"ק (סי' קפד עמ' קמח) וכן בטופס גט שנדפס בסמ"ג (שם) וכן המנהג</w:t>
      </w:r>
      <w:r>
        <w:rPr>
          <w:rFonts w:cs="Arial" w:hint="cs"/>
          <w:rtl/>
        </w:rPr>
        <w:t>, ב"י</w:t>
      </w:r>
      <w:r w:rsidRPr="004D0791">
        <w:rPr>
          <w:rFonts w:cs="Arial"/>
          <w:rtl/>
        </w:rPr>
        <w:t>.</w:t>
      </w:r>
    </w:p>
  </w:footnote>
  <w:footnote w:id="805">
    <w:p w14:paraId="0448CF19" w14:textId="256DC92C" w:rsidR="006F08FF" w:rsidRDefault="006F08FF">
      <w:pPr>
        <w:pStyle w:val="a5"/>
        <w:rPr>
          <w:rtl/>
        </w:rPr>
      </w:pPr>
      <w:r>
        <w:rPr>
          <w:rStyle w:val="a7"/>
        </w:rPr>
        <w:footnoteRef/>
      </w:r>
      <w:r>
        <w:rPr>
          <w:rtl/>
        </w:rPr>
        <w:t xml:space="preserve"> </w:t>
      </w:r>
      <w:r w:rsidRPr="004D0791">
        <w:rPr>
          <w:rFonts w:cs="Arial"/>
          <w:rtl/>
        </w:rPr>
        <w:t>בטופס הרי"ף לא כתב לא שבקית ולא פטרית אלא וכדו תרוכית ולא ידעתי למה</w:t>
      </w:r>
      <w:r>
        <w:rPr>
          <w:rFonts w:hint="cs"/>
          <w:rtl/>
        </w:rPr>
        <w:t>, ב"י.</w:t>
      </w:r>
    </w:p>
  </w:footnote>
  <w:footnote w:id="806">
    <w:p w14:paraId="23F2A82A" w14:textId="77777777" w:rsidR="00FA2119" w:rsidRDefault="00FA2119" w:rsidP="00FA2119">
      <w:pPr>
        <w:pStyle w:val="a5"/>
        <w:rPr>
          <w:rtl/>
        </w:rPr>
      </w:pPr>
      <w:r>
        <w:rPr>
          <w:rStyle w:val="a7"/>
        </w:rPr>
        <w:footnoteRef/>
      </w:r>
      <w:r>
        <w:rPr>
          <w:rtl/>
        </w:rPr>
        <w:t xml:space="preserve"> </w:t>
      </w:r>
      <w:r w:rsidRPr="00570E9C">
        <w:rPr>
          <w:rFonts w:cs="Arial"/>
          <w:rtl/>
        </w:rPr>
        <w:t>וגם כן משמע בכל בו (שם) שכתב בשני התרוכית שבגט ותרוכית הוי"ו גדולה</w:t>
      </w:r>
      <w:r>
        <w:rPr>
          <w:rFonts w:cs="Arial" w:hint="cs"/>
          <w:rtl/>
        </w:rPr>
        <w:t>.</w:t>
      </w:r>
      <w:r w:rsidRPr="00570E9C">
        <w:rPr>
          <w:rFonts w:cs="Arial"/>
          <w:rtl/>
        </w:rPr>
        <w:t xml:space="preserve"> ומשמע שעל וי"ו שאחר הרי"ש קאמר</w:t>
      </w:r>
      <w:r>
        <w:rPr>
          <w:rFonts w:cs="Arial" w:hint="cs"/>
          <w:rtl/>
        </w:rPr>
        <w:t>,</w:t>
      </w:r>
      <w:r w:rsidRPr="00570E9C">
        <w:rPr>
          <w:rFonts w:cs="Arial"/>
          <w:rtl/>
        </w:rPr>
        <w:t xml:space="preserve"> שאם תדמה ליו"ד יקרא תריכית ולישתמע שהיא גירשה אותו</w:t>
      </w:r>
      <w:r>
        <w:rPr>
          <w:rFonts w:cs="Arial" w:hint="cs"/>
          <w:rtl/>
        </w:rPr>
        <w:t>,</w:t>
      </w:r>
      <w:r w:rsidRPr="00570E9C">
        <w:rPr>
          <w:rFonts w:cs="Arial"/>
          <w:rtl/>
        </w:rPr>
        <w:t xml:space="preserve"> דאילו בוי"ו שקודם התי"ו לא נפקא לן מידי בין קצרה לארוכה.</w:t>
      </w:r>
      <w:r>
        <w:rPr>
          <w:rFonts w:cs="Arial" w:hint="cs"/>
          <w:rtl/>
        </w:rPr>
        <w:t>.. ו</w:t>
      </w:r>
      <w:r w:rsidRPr="003F67CD">
        <w:rPr>
          <w:rFonts w:cs="Arial"/>
          <w:rtl/>
        </w:rPr>
        <w:t xml:space="preserve">מצאתי בתשובות הרשב"א </w:t>
      </w:r>
      <w:r w:rsidRPr="003F67CD">
        <w:rPr>
          <w:rFonts w:cs="Arial" w:hint="cs"/>
          <w:rtl/>
        </w:rPr>
        <w:t>(ח"א אלף קסג, וב</w:t>
      </w:r>
      <w:r w:rsidRPr="003F67CD">
        <w:rPr>
          <w:rFonts w:cs="Arial"/>
          <w:rtl/>
        </w:rPr>
        <w:t>מיוחסות סי</w:t>
      </w:r>
      <w:r w:rsidRPr="003F67CD">
        <w:rPr>
          <w:rFonts w:cs="Arial" w:hint="cs"/>
          <w:rtl/>
        </w:rPr>
        <w:t>'</w:t>
      </w:r>
      <w:r w:rsidRPr="003F67CD">
        <w:rPr>
          <w:rFonts w:cs="Arial"/>
          <w:rtl/>
        </w:rPr>
        <w:t xml:space="preserve"> קמה</w:t>
      </w:r>
      <w:r w:rsidRPr="003F67CD">
        <w:rPr>
          <w:rFonts w:cs="Arial" w:hint="cs"/>
          <w:rtl/>
        </w:rPr>
        <w:t>)</w:t>
      </w:r>
      <w:r w:rsidRPr="003F67CD">
        <w:rPr>
          <w:rFonts w:cs="Arial"/>
          <w:rtl/>
        </w:rPr>
        <w:t xml:space="preserve"> ששאלוהו על גט שכתוב בו תרוכית בוי"ו ארוכה במקום תריכית</w:t>
      </w:r>
      <w:r w:rsidRPr="003F67CD">
        <w:rPr>
          <w:rFonts w:cs="Arial" w:hint="cs"/>
          <w:rtl/>
        </w:rPr>
        <w:t>,</w:t>
      </w:r>
      <w:r w:rsidRPr="003F67CD">
        <w:rPr>
          <w:rFonts w:cs="Arial"/>
          <w:rtl/>
        </w:rPr>
        <w:t xml:space="preserve"> הרי בהדיא שצריך לכתוב תריכית ביו"ד. מיהו יש לדחות שעל יו"ד שבין כ"ף לתי"ו קאמר שכתבו וי"ו במקומו וכתבו תרוכות</w:t>
      </w:r>
      <w:r w:rsidRPr="003F67CD">
        <w:rPr>
          <w:rFonts w:cs="Arial" w:hint="cs"/>
          <w:rtl/>
        </w:rPr>
        <w:t>.</w:t>
      </w:r>
      <w:r w:rsidRPr="003F67CD">
        <w:rPr>
          <w:rFonts w:cs="Arial"/>
          <w:rtl/>
        </w:rPr>
        <w:t xml:space="preserve"> אלא שבספרים שבידינו כתוב גט שכתוב בו תרוכית ואיני יודע טעם למצריכים לכתוב תריכית ביו"ד</w:t>
      </w:r>
      <w:r>
        <w:rPr>
          <w:rFonts w:cs="Arial" w:hint="cs"/>
          <w:rtl/>
        </w:rPr>
        <w:t>, ב"י</w:t>
      </w:r>
      <w:r w:rsidRPr="003F67CD">
        <w:rPr>
          <w:rFonts w:cs="Arial" w:hint="cs"/>
          <w:rtl/>
        </w:rPr>
        <w:t>.</w:t>
      </w:r>
    </w:p>
  </w:footnote>
  <w:footnote w:id="807">
    <w:p w14:paraId="2F2A114D" w14:textId="77777777" w:rsidR="00FA2119" w:rsidRDefault="00FA2119" w:rsidP="00FA2119">
      <w:pPr>
        <w:pStyle w:val="a5"/>
        <w:rPr>
          <w:rtl/>
        </w:rPr>
      </w:pPr>
      <w:r>
        <w:rPr>
          <w:rStyle w:val="a7"/>
        </w:rPr>
        <w:footnoteRef/>
      </w:r>
      <w:r>
        <w:rPr>
          <w:rtl/>
        </w:rPr>
        <w:t xml:space="preserve"> </w:t>
      </w:r>
      <w:r w:rsidRPr="00AA71DB">
        <w:rPr>
          <w:rFonts w:cs="Arial"/>
          <w:rtl/>
        </w:rPr>
        <w:t>ומהרדב"ז כ"י סי' ר"מ כתב דלכתחלה ליכי בשני יודין ואם כתבו בחד יוד לא מיפסיל</w:t>
      </w:r>
      <w:r>
        <w:rPr>
          <w:rFonts w:hint="cs"/>
          <w:rtl/>
        </w:rPr>
        <w:t>, גט פשוט (סקפ"ו).</w:t>
      </w:r>
    </w:p>
  </w:footnote>
  <w:footnote w:id="808">
    <w:p w14:paraId="7BE679BB" w14:textId="77777777" w:rsidR="00FA2119" w:rsidRDefault="00FA2119" w:rsidP="00FA2119">
      <w:pPr>
        <w:pStyle w:val="a5"/>
        <w:rPr>
          <w:rtl/>
        </w:rPr>
      </w:pPr>
      <w:r>
        <w:rPr>
          <w:rStyle w:val="a7"/>
        </w:rPr>
        <w:footnoteRef/>
      </w:r>
      <w:r>
        <w:rPr>
          <w:rtl/>
        </w:rPr>
        <w:t xml:space="preserve"> </w:t>
      </w:r>
      <w:r w:rsidRPr="009C1856">
        <w:rPr>
          <w:rFonts w:cs="Arial"/>
          <w:rtl/>
        </w:rPr>
        <w:t>וכן כתוב בטופס הרי"ף שכתב רבינו ירוחם (שם)</w:t>
      </w:r>
      <w:r>
        <w:rPr>
          <w:rFonts w:hint="cs"/>
          <w:rtl/>
        </w:rPr>
        <w:t>, ב"י.</w:t>
      </w:r>
    </w:p>
  </w:footnote>
  <w:footnote w:id="809">
    <w:p w14:paraId="53D8F511" w14:textId="77777777" w:rsidR="00FA2119" w:rsidRDefault="00FA2119" w:rsidP="00FA2119">
      <w:pPr>
        <w:pStyle w:val="a5"/>
      </w:pPr>
      <w:r>
        <w:rPr>
          <w:rStyle w:val="a7"/>
        </w:rPr>
        <w:footnoteRef/>
      </w:r>
      <w:r>
        <w:rPr>
          <w:rtl/>
        </w:rPr>
        <w:t xml:space="preserve"> </w:t>
      </w:r>
      <w:r w:rsidRPr="009C1856">
        <w:rPr>
          <w:rFonts w:cs="Arial"/>
          <w:rtl/>
        </w:rPr>
        <w:t>ויש כותבין די הוית ב' תיבות ואפילו כתב די הוית ב' תיבות בשתי שיטות יראה דכשר עיין ס"ק מ"ז וס"ק מ"ד. ועיין תשובת מהר"ם גלאנטי סי' ו' וסי' י"ט וסי' קכ"ד</w:t>
      </w:r>
      <w:r>
        <w:rPr>
          <w:rFonts w:cs="Arial" w:hint="cs"/>
          <w:rtl/>
        </w:rPr>
        <w:t>, ג"פ (סקפ"ז, הביאו הפת"ש סקל"ז).</w:t>
      </w:r>
    </w:p>
  </w:footnote>
  <w:footnote w:id="810">
    <w:p w14:paraId="453E6A03" w14:textId="77777777" w:rsidR="00FA2119" w:rsidRDefault="00FA2119" w:rsidP="00FA2119">
      <w:pPr>
        <w:pStyle w:val="a5"/>
        <w:rPr>
          <w:rtl/>
        </w:rPr>
      </w:pPr>
      <w:r>
        <w:rPr>
          <w:rStyle w:val="a7"/>
        </w:rPr>
        <w:footnoteRef/>
      </w:r>
      <w:r>
        <w:rPr>
          <w:rtl/>
        </w:rPr>
        <w:t xml:space="preserve"> </w:t>
      </w:r>
      <w:r>
        <w:rPr>
          <w:rFonts w:cs="Arial"/>
          <w:rtl/>
        </w:rPr>
        <w:t xml:space="preserve">בס' ג"פ </w:t>
      </w:r>
      <w:r>
        <w:rPr>
          <w:rFonts w:cs="Arial" w:hint="cs"/>
          <w:rtl/>
        </w:rPr>
        <w:t>(</w:t>
      </w:r>
      <w:r>
        <w:rPr>
          <w:rFonts w:cs="Arial"/>
          <w:rtl/>
        </w:rPr>
        <w:t>סקפ"ט</w:t>
      </w:r>
      <w:r>
        <w:rPr>
          <w:rFonts w:cs="Arial" w:hint="cs"/>
          <w:rtl/>
        </w:rPr>
        <w:t>)</w:t>
      </w:r>
      <w:r>
        <w:rPr>
          <w:rFonts w:cs="Arial"/>
          <w:rtl/>
        </w:rPr>
        <w:t xml:space="preserve"> תמה דמהמשך לשון הרמ"א משמע דאיירי בתיבת אנתתי הב' שבמקום דהוית אנתתי מן קדמת דנא כתב דהוית מן קדמת דנא. ובמראה מקום נרשם הרד"ך. ובאמת בתשו' הרד"ך </w:t>
      </w:r>
      <w:r>
        <w:rPr>
          <w:rFonts w:cs="Arial" w:hint="cs"/>
          <w:rtl/>
        </w:rPr>
        <w:t>(</w:t>
      </w:r>
      <w:r>
        <w:rPr>
          <w:rFonts w:cs="Arial"/>
          <w:rtl/>
        </w:rPr>
        <w:t>בית ד</w:t>
      </w:r>
      <w:r>
        <w:rPr>
          <w:rFonts w:cs="Arial" w:hint="cs"/>
          <w:rtl/>
        </w:rPr>
        <w:t>)</w:t>
      </w:r>
      <w:r>
        <w:rPr>
          <w:rFonts w:cs="Arial"/>
          <w:rtl/>
        </w:rPr>
        <w:t xml:space="preserve"> איירי במי שדלג אנתתי הא' דבמקום ותרוכית יתיכי ליכי אנת אנתתי פב"פ דילג תיבת אנתתי וע"ז השיב דכמה גדולים הרגילו שלא לכותבו דהואיל והוא כתב לה שפטרה לא אתי שפיר לקרותה עתה אשתו כו' וא"כ בדילג אנתתי הב' מנא לן דהיה מכשיר. מ"מ לדינא מסיק דאם דלג שניהם אנתתי קמא ואנתתי הב' </w:t>
      </w:r>
      <w:r>
        <w:rPr>
          <w:rFonts w:cs="Arial" w:hint="cs"/>
          <w:rtl/>
        </w:rPr>
        <w:t xml:space="preserve">- </w:t>
      </w:r>
      <w:r>
        <w:rPr>
          <w:rFonts w:cs="Arial"/>
          <w:rtl/>
        </w:rPr>
        <w:t>הוא גט פסול</w:t>
      </w:r>
      <w:r>
        <w:rPr>
          <w:rFonts w:cs="Arial" w:hint="cs"/>
          <w:rtl/>
        </w:rPr>
        <w:t>,</w:t>
      </w:r>
      <w:r>
        <w:rPr>
          <w:rFonts w:cs="Arial"/>
          <w:rtl/>
        </w:rPr>
        <w:t xml:space="preserve"> דצריך לבאר בגט בידים מוכיחות דאת אשתו הוא מגרש</w:t>
      </w:r>
      <w:r>
        <w:rPr>
          <w:rFonts w:cs="Arial" w:hint="cs"/>
          <w:rtl/>
        </w:rPr>
        <w:t>.</w:t>
      </w:r>
      <w:r>
        <w:rPr>
          <w:rFonts w:cs="Arial"/>
          <w:rtl/>
        </w:rPr>
        <w:t xml:space="preserve"> אבל אם כתב פעם א' אנתתי ודלג הב'</w:t>
      </w:r>
      <w:r>
        <w:rPr>
          <w:rFonts w:cs="Arial" w:hint="cs"/>
          <w:rtl/>
        </w:rPr>
        <w:t>,</w:t>
      </w:r>
      <w:r>
        <w:rPr>
          <w:rFonts w:cs="Arial"/>
          <w:rtl/>
        </w:rPr>
        <w:t xml:space="preserve"> בין שכתב לקמא ודילג לבתרא ובין שכתב לבתרא ודילג לקמא </w:t>
      </w:r>
      <w:r>
        <w:rPr>
          <w:rFonts w:cs="Arial" w:hint="cs"/>
          <w:rtl/>
        </w:rPr>
        <w:t xml:space="preserve">- </w:t>
      </w:r>
      <w:r>
        <w:rPr>
          <w:rFonts w:cs="Arial"/>
          <w:rtl/>
        </w:rPr>
        <w:t>כשר לכתחילה לגרש בו אם כבר נכתב אפילו שלא בשעת הדחק ע"ש</w:t>
      </w:r>
      <w:r>
        <w:rPr>
          <w:rFonts w:cs="Arial" w:hint="cs"/>
          <w:rtl/>
        </w:rPr>
        <w:t>, פת"ש (סקל"ח).</w:t>
      </w:r>
    </w:p>
  </w:footnote>
  <w:footnote w:id="811">
    <w:p w14:paraId="0675D0F5" w14:textId="77777777" w:rsidR="00FA2119" w:rsidRDefault="00FA2119" w:rsidP="00FA2119">
      <w:pPr>
        <w:pStyle w:val="a5"/>
      </w:pPr>
      <w:r>
        <w:rPr>
          <w:rStyle w:val="a7"/>
        </w:rPr>
        <w:footnoteRef/>
      </w:r>
      <w:r>
        <w:rPr>
          <w:rtl/>
        </w:rPr>
        <w:t xml:space="preserve"> </w:t>
      </w:r>
      <w:r>
        <w:rPr>
          <w:rFonts w:cs="Arial"/>
          <w:rtl/>
        </w:rPr>
        <w:t xml:space="preserve">כ' בס' ג"פ מתוך קיצור הלשון משמע דדילג מלת דהוית בלבד וכתב אנתתי מן קדמת דנא אך ראיתי בשורש הדברים בריא"ז הכתוב בשה"ג </w:t>
      </w:r>
      <w:r>
        <w:rPr>
          <w:rFonts w:cs="Arial" w:hint="cs"/>
          <w:rtl/>
        </w:rPr>
        <w:t>(</w:t>
      </w:r>
      <w:r>
        <w:rPr>
          <w:rFonts w:cs="Arial"/>
          <w:rtl/>
        </w:rPr>
        <w:t>דף ת"ר</w:t>
      </w:r>
      <w:r>
        <w:rPr>
          <w:rFonts w:cs="Arial" w:hint="cs"/>
          <w:rtl/>
        </w:rPr>
        <w:t>)</w:t>
      </w:r>
      <w:r>
        <w:rPr>
          <w:rFonts w:cs="Arial"/>
          <w:rtl/>
        </w:rPr>
        <w:t xml:space="preserve"> שכ' דאפי' דילג כל ה' תיבות אלו שלא כתב כלל דהוית אנתתי מן קדמת דנא אפ"ה כשר</w:t>
      </w:r>
      <w:r>
        <w:rPr>
          <w:rFonts w:cs="Arial" w:hint="cs"/>
          <w:rtl/>
        </w:rPr>
        <w:t>,</w:t>
      </w:r>
      <w:r>
        <w:rPr>
          <w:rFonts w:cs="Arial"/>
          <w:rtl/>
        </w:rPr>
        <w:t xml:space="preserve"> והטעם משום דכבר אמר בתחילה אנת אנתתי וכו' ע"ש</w:t>
      </w:r>
      <w:r>
        <w:rPr>
          <w:rFonts w:cs="Arial" w:hint="cs"/>
          <w:rtl/>
        </w:rPr>
        <w:t>, פת"ש (סקל"ט).</w:t>
      </w:r>
    </w:p>
  </w:footnote>
  <w:footnote w:id="812">
    <w:p w14:paraId="70DDEEA3" w14:textId="77777777" w:rsidR="00FA2119" w:rsidRDefault="00FA2119" w:rsidP="00FA2119">
      <w:pPr>
        <w:pStyle w:val="a5"/>
        <w:rPr>
          <w:rtl/>
        </w:rPr>
      </w:pPr>
      <w:r>
        <w:rPr>
          <w:rStyle w:val="a7"/>
        </w:rPr>
        <w:footnoteRef/>
      </w:r>
      <w:r>
        <w:rPr>
          <w:rtl/>
        </w:rPr>
        <w:t xml:space="preserve"> </w:t>
      </w:r>
      <w:r w:rsidRPr="00AA71DB">
        <w:rPr>
          <w:rFonts w:cs="Arial"/>
          <w:rtl/>
        </w:rPr>
        <w:t>כתב הלבוש שפירוש אנתתי אשתי כמו אתתי בתרגום אלא שכותבין אנתתי לשלימות הלשון דדגש שבתי"ו מורה על חסרון הנו"ן לכך כותבין עיקר הלשון דלא ליתי למטעי ויוציאו לעז ע"כ. וכ' בס' ג"פ ויראה לי דאם כתב אתתי בלא נון דהגט כשר דהא בתלמוד איתא בכמה דוכתי ההיא אתתא ולא כתיב בשום דוכתי אנתתא (חידוש שלא הזכיר דבסוף נדרים איתא ד' פעמים אנתתא) ובטופס הגט דהרשב"א בפ' המגרש בשם רש"י כתוב אתתי במקום אנתתי עכ"ל</w:t>
      </w:r>
      <w:r>
        <w:rPr>
          <w:rFonts w:cs="Arial" w:hint="cs"/>
          <w:rtl/>
        </w:rPr>
        <w:t xml:space="preserve">, </w:t>
      </w:r>
      <w:r>
        <w:rPr>
          <w:rFonts w:hint="cs"/>
          <w:rtl/>
        </w:rPr>
        <w:t>פת"ש (סק"מ).</w:t>
      </w:r>
    </w:p>
  </w:footnote>
  <w:footnote w:id="813">
    <w:p w14:paraId="0D18E6CB" w14:textId="77777777" w:rsidR="00FA2119" w:rsidRDefault="00FA2119" w:rsidP="00FA2119">
      <w:pPr>
        <w:pStyle w:val="a5"/>
      </w:pPr>
      <w:r>
        <w:rPr>
          <w:rStyle w:val="a7"/>
        </w:rPr>
        <w:footnoteRef/>
      </w:r>
      <w:r>
        <w:rPr>
          <w:rtl/>
        </w:rPr>
        <w:t xml:space="preserve"> </w:t>
      </w:r>
      <w:r w:rsidRPr="00A1691D">
        <w:rPr>
          <w:rFonts w:cs="Arial"/>
          <w:rtl/>
        </w:rPr>
        <w:t>וכן ראיתי נוהגין בלא יו"ד</w:t>
      </w:r>
      <w:r>
        <w:rPr>
          <w:rFonts w:cs="Arial" w:hint="cs"/>
          <w:rtl/>
        </w:rPr>
        <w:t>,</w:t>
      </w:r>
      <w:r w:rsidRPr="00A1691D">
        <w:rPr>
          <w:rFonts w:cs="Arial"/>
          <w:rtl/>
        </w:rPr>
        <w:t xml:space="preserve"> וכן אנו נוהגים מעשים בכל יום</w:t>
      </w:r>
      <w:r>
        <w:rPr>
          <w:rFonts w:cs="Arial" w:hint="cs"/>
          <w:rtl/>
        </w:rPr>
        <w:t>,</w:t>
      </w:r>
      <w:r w:rsidRPr="00A1691D">
        <w:rPr>
          <w:rFonts w:cs="Arial"/>
          <w:rtl/>
        </w:rPr>
        <w:t xml:space="preserve"> מהרי"ק </w:t>
      </w:r>
      <w:r>
        <w:rPr>
          <w:rFonts w:cs="Arial" w:hint="cs"/>
          <w:rtl/>
        </w:rPr>
        <w:t xml:space="preserve">(סוף </w:t>
      </w:r>
      <w:r w:rsidRPr="00A1691D">
        <w:rPr>
          <w:rFonts w:cs="Arial"/>
          <w:rtl/>
        </w:rPr>
        <w:t>שורש צח</w:t>
      </w:r>
      <w:r>
        <w:rPr>
          <w:rFonts w:cs="Arial" w:hint="cs"/>
          <w:rtl/>
        </w:rPr>
        <w:t>).</w:t>
      </w:r>
    </w:p>
  </w:footnote>
  <w:footnote w:id="814">
    <w:p w14:paraId="0F5AABBA" w14:textId="77777777" w:rsidR="00FA2119" w:rsidRDefault="00FA2119" w:rsidP="00FA2119">
      <w:pPr>
        <w:pStyle w:val="a5"/>
        <w:rPr>
          <w:rtl/>
        </w:rPr>
      </w:pPr>
      <w:r>
        <w:rPr>
          <w:rStyle w:val="a7"/>
        </w:rPr>
        <w:footnoteRef/>
      </w:r>
      <w:r>
        <w:rPr>
          <w:rtl/>
        </w:rPr>
        <w:t xml:space="preserve"> </w:t>
      </w:r>
      <w:r w:rsidRPr="00A1691D">
        <w:rPr>
          <w:rFonts w:cs="Arial"/>
          <w:rtl/>
        </w:rPr>
        <w:t>וכן פשט המנהג לכתבו בשני יודי"ן כדכתוב בהלכות הגט דמרדכי ובכל בו</w:t>
      </w:r>
      <w:r>
        <w:rPr>
          <w:rFonts w:hint="cs"/>
          <w:rtl/>
        </w:rPr>
        <w:t>, ב"י.</w:t>
      </w:r>
      <w:r>
        <w:rPr>
          <w:rFonts w:cs="Arial" w:hint="cs"/>
          <w:rtl/>
        </w:rPr>
        <w:t xml:space="preserve"> </w:t>
      </w:r>
      <w:r w:rsidRPr="00F36BAA">
        <w:rPr>
          <w:rFonts w:cs="Arial" w:hint="cs"/>
          <w:color w:val="E36C0A" w:themeColor="accent6" w:themeShade="BF"/>
          <w:rtl/>
        </w:rPr>
        <w:t>(וכ"פ בשו"ע)</w:t>
      </w:r>
      <w:r>
        <w:rPr>
          <w:rFonts w:cs="Arial" w:hint="cs"/>
          <w:rtl/>
        </w:rPr>
        <w:t>.</w:t>
      </w:r>
      <w:r w:rsidRPr="00F36BAA">
        <w:rPr>
          <w:rFonts w:cs="Arial" w:hint="cs"/>
          <w:rtl/>
        </w:rPr>
        <w:t xml:space="preserve"> </w:t>
      </w:r>
      <w:r>
        <w:rPr>
          <w:rFonts w:cs="Arial" w:hint="cs"/>
          <w:rtl/>
        </w:rPr>
        <w:t>וב</w:t>
      </w:r>
      <w:r w:rsidRPr="00C9640C">
        <w:rPr>
          <w:rFonts w:cs="Arial"/>
          <w:rtl/>
        </w:rPr>
        <w:t xml:space="preserve">סדר הגט </w:t>
      </w:r>
      <w:r w:rsidRPr="00F36BAA">
        <w:rPr>
          <w:rFonts w:cs="Arial"/>
          <w:sz w:val="16"/>
          <w:szCs w:val="16"/>
          <w:rtl/>
        </w:rPr>
        <w:t>(סי' מח הגהה ג)</w:t>
      </w:r>
      <w:r>
        <w:rPr>
          <w:rFonts w:cs="Arial" w:hint="cs"/>
          <w:rtl/>
        </w:rPr>
        <w:t xml:space="preserve"> כתב ד</w:t>
      </w:r>
      <w:r w:rsidRPr="00C9640C">
        <w:rPr>
          <w:rFonts w:cs="Arial"/>
          <w:rtl/>
        </w:rPr>
        <w:t>יש נוהגין לכתבו מלא ויש נוהגין לכתבו חסר</w:t>
      </w:r>
      <w:r>
        <w:rPr>
          <w:rFonts w:cs="Arial" w:hint="cs"/>
          <w:rtl/>
        </w:rPr>
        <w:t xml:space="preserve">, דרכ"מ (אות </w:t>
      </w:r>
      <w:r w:rsidRPr="00C9640C">
        <w:rPr>
          <w:rFonts w:cs="Arial"/>
          <w:rtl/>
        </w:rPr>
        <w:t>ל***)</w:t>
      </w:r>
      <w:r>
        <w:rPr>
          <w:rFonts w:hint="cs"/>
          <w:rtl/>
        </w:rPr>
        <w:t>.</w:t>
      </w:r>
    </w:p>
  </w:footnote>
  <w:footnote w:id="815">
    <w:p w14:paraId="247AB7F8" w14:textId="77777777" w:rsidR="00FA2119" w:rsidRDefault="00FA2119" w:rsidP="00FA2119">
      <w:pPr>
        <w:pStyle w:val="a5"/>
        <w:rPr>
          <w:rtl/>
        </w:rPr>
      </w:pPr>
      <w:r>
        <w:rPr>
          <w:rStyle w:val="a7"/>
        </w:rPr>
        <w:footnoteRef/>
      </w:r>
      <w:r w:rsidRPr="00C9640C">
        <w:rPr>
          <w:rFonts w:cs="Arial"/>
          <w:rtl/>
        </w:rPr>
        <w:t xml:space="preserve"> והיה כותבו בלא יו"ד</w:t>
      </w:r>
      <w:r>
        <w:rPr>
          <w:rFonts w:cs="Arial" w:hint="cs"/>
          <w:rtl/>
        </w:rPr>
        <w:t>,</w:t>
      </w:r>
      <w:r w:rsidRPr="00C9640C">
        <w:rPr>
          <w:rFonts w:cs="Arial"/>
          <w:rtl/>
        </w:rPr>
        <w:t xml:space="preserve"> וכן נוהגין</w:t>
      </w:r>
      <w:r>
        <w:rPr>
          <w:rFonts w:cs="Arial" w:hint="cs"/>
          <w:rtl/>
        </w:rPr>
        <w:t>,</w:t>
      </w:r>
      <w:r w:rsidRPr="00C9640C">
        <w:rPr>
          <w:rFonts w:cs="Arial"/>
          <w:rtl/>
        </w:rPr>
        <w:t xml:space="preserve"> וכן מצאתי בתיקון ישן</w:t>
      </w:r>
      <w:r>
        <w:rPr>
          <w:rFonts w:cs="Arial" w:hint="cs"/>
          <w:rtl/>
        </w:rPr>
        <w:t>, דרכ"מ (אות לא).</w:t>
      </w:r>
    </w:p>
  </w:footnote>
  <w:footnote w:id="816">
    <w:p w14:paraId="12F05DD1" w14:textId="77777777" w:rsidR="00FA2119" w:rsidRDefault="00FA2119" w:rsidP="00FA2119">
      <w:pPr>
        <w:pStyle w:val="a5"/>
      </w:pPr>
      <w:r>
        <w:rPr>
          <w:rStyle w:val="a7"/>
        </w:rPr>
        <w:footnoteRef/>
      </w:r>
      <w:r>
        <w:rPr>
          <w:rtl/>
        </w:rPr>
        <w:t xml:space="preserve"> </w:t>
      </w:r>
      <w:r w:rsidRPr="008D0ECC">
        <w:rPr>
          <w:rFonts w:cs="Arial"/>
          <w:rtl/>
        </w:rPr>
        <w:t>מיניה היום לגמרי אצל כל אדם</w:t>
      </w:r>
      <w:r>
        <w:rPr>
          <w:rFonts w:cs="Arial" w:hint="cs"/>
          <w:rtl/>
        </w:rPr>
        <w:t>, רש"י.</w:t>
      </w:r>
    </w:p>
  </w:footnote>
  <w:footnote w:id="817">
    <w:p w14:paraId="2A4BE1A9" w14:textId="77777777" w:rsidR="00FA2119" w:rsidRDefault="00FA2119" w:rsidP="00FA2119">
      <w:pPr>
        <w:pStyle w:val="a5"/>
      </w:pPr>
      <w:r>
        <w:rPr>
          <w:rStyle w:val="a7"/>
        </w:rPr>
        <w:footnoteRef/>
      </w:r>
      <w:r>
        <w:rPr>
          <w:rtl/>
        </w:rPr>
        <w:t xml:space="preserve"> </w:t>
      </w:r>
      <w:r w:rsidRPr="008D0ECC">
        <w:rPr>
          <w:rFonts w:cs="Arial"/>
          <w:rtl/>
        </w:rPr>
        <w:t>לכל אדם לעולם ושוב אינה אשתו עד שיחזור ויקדשנה הלכך אין תנאי זה כלום</w:t>
      </w:r>
      <w:r>
        <w:rPr>
          <w:rFonts w:cs="Arial" w:hint="cs"/>
          <w:rtl/>
        </w:rPr>
        <w:t>, רש"י.</w:t>
      </w:r>
    </w:p>
  </w:footnote>
  <w:footnote w:id="818">
    <w:p w14:paraId="3C1CD5DB" w14:textId="77777777" w:rsidR="00FA2119" w:rsidRDefault="00FA2119" w:rsidP="00FA2119">
      <w:pPr>
        <w:pStyle w:val="a5"/>
      </w:pPr>
      <w:r>
        <w:rPr>
          <w:rStyle w:val="a7"/>
        </w:rPr>
        <w:footnoteRef/>
      </w:r>
      <w:r>
        <w:rPr>
          <w:rtl/>
        </w:rPr>
        <w:t xml:space="preserve"> </w:t>
      </w:r>
      <w:r w:rsidRPr="00F41D9B">
        <w:rPr>
          <w:rFonts w:cs="Arial"/>
          <w:rtl/>
        </w:rPr>
        <w:t xml:space="preserve">אין צריך לכתוב </w:t>
      </w:r>
      <w:r>
        <w:rPr>
          <w:rFonts w:cs="Arial" w:hint="cs"/>
          <w:rtl/>
        </w:rPr>
        <w:t>'</w:t>
      </w:r>
      <w:r w:rsidRPr="00F41D9B">
        <w:rPr>
          <w:rFonts w:cs="Arial"/>
          <w:rtl/>
        </w:rPr>
        <w:t>מהיום</w:t>
      </w:r>
      <w:r>
        <w:rPr>
          <w:rFonts w:cs="Arial" w:hint="cs"/>
          <w:rtl/>
        </w:rPr>
        <w:t>'</w:t>
      </w:r>
      <w:r w:rsidRPr="00F41D9B">
        <w:rPr>
          <w:rFonts w:cs="Arial"/>
          <w:rtl/>
        </w:rPr>
        <w:t xml:space="preserve"> בגט דשכיב מרע</w:t>
      </w:r>
      <w:r>
        <w:rPr>
          <w:rFonts w:cs="Arial" w:hint="cs"/>
          <w:rtl/>
        </w:rPr>
        <w:t>,</w:t>
      </w:r>
      <w:r w:rsidRPr="00F41D9B">
        <w:rPr>
          <w:rFonts w:cs="Arial"/>
          <w:rtl/>
        </w:rPr>
        <w:t xml:space="preserve"> דזמנו של שטר מוכיח עליו</w:t>
      </w:r>
      <w:r>
        <w:rPr>
          <w:rFonts w:cs="Arial" w:hint="cs"/>
          <w:rtl/>
        </w:rPr>
        <w:t>,</w:t>
      </w:r>
      <w:r w:rsidRPr="00F41D9B">
        <w:rPr>
          <w:rFonts w:cs="Arial"/>
          <w:rtl/>
        </w:rPr>
        <w:t xml:space="preserve"> ולא הוי כגט לאחר מיתה</w:t>
      </w:r>
      <w:r>
        <w:rPr>
          <w:rFonts w:cs="Arial" w:hint="cs"/>
          <w:rtl/>
        </w:rPr>
        <w:t>.</w:t>
      </w:r>
      <w:r w:rsidRPr="00F41D9B">
        <w:rPr>
          <w:rFonts w:cs="Arial"/>
          <w:rtl/>
        </w:rPr>
        <w:t xml:space="preserve"> לכך תקן רבא בכל הגיטין להיות הסופרים רגילין בו</w:t>
      </w:r>
      <w:r>
        <w:rPr>
          <w:rFonts w:cs="Arial" w:hint="cs"/>
          <w:rtl/>
        </w:rPr>
        <w:t>.</w:t>
      </w:r>
      <w:r w:rsidRPr="00F41D9B">
        <w:rPr>
          <w:rFonts w:cs="Arial"/>
          <w:rtl/>
        </w:rPr>
        <w:t xml:space="preserve"> ואע</w:t>
      </w:r>
      <w:r>
        <w:rPr>
          <w:rFonts w:cs="Arial" w:hint="cs"/>
          <w:rtl/>
        </w:rPr>
        <w:t>"</w:t>
      </w:r>
      <w:r w:rsidRPr="00F41D9B">
        <w:rPr>
          <w:rFonts w:cs="Arial"/>
          <w:rtl/>
        </w:rPr>
        <w:t>ג דקיי</w:t>
      </w:r>
      <w:r>
        <w:rPr>
          <w:rFonts w:cs="Arial" w:hint="cs"/>
          <w:rtl/>
        </w:rPr>
        <w:t>"</w:t>
      </w:r>
      <w:r w:rsidRPr="00F41D9B">
        <w:rPr>
          <w:rFonts w:cs="Arial"/>
          <w:rtl/>
        </w:rPr>
        <w:t>ל כר' יוסי בעינן לאפוקי נפשין מפלוגתא שיצא הדבר בהיתר ולא יצא שם פסול אמשפחות ישראל</w:t>
      </w:r>
      <w:r>
        <w:rPr>
          <w:rFonts w:cs="Arial" w:hint="cs"/>
          <w:rtl/>
        </w:rPr>
        <w:t xml:space="preserve">, </w:t>
      </w:r>
      <w:r w:rsidRPr="00B33EC5">
        <w:rPr>
          <w:rFonts w:cs="Arial" w:hint="cs"/>
          <w:b/>
          <w:bCs/>
          <w:rtl/>
        </w:rPr>
        <w:t>רש"י</w:t>
      </w:r>
      <w:r>
        <w:rPr>
          <w:rFonts w:cs="Arial" w:hint="cs"/>
          <w:rtl/>
        </w:rPr>
        <w:t>.</w:t>
      </w:r>
      <w:r w:rsidRPr="00B33EC5">
        <w:rPr>
          <w:rFonts w:cs="Arial"/>
          <w:rtl/>
        </w:rPr>
        <w:t xml:space="preserve"> </w:t>
      </w:r>
      <w:r w:rsidRPr="00B33EC5">
        <w:rPr>
          <w:rFonts w:cs="Arial"/>
          <w:b/>
          <w:bCs/>
          <w:rtl/>
        </w:rPr>
        <w:t xml:space="preserve">ולהרמב"ם </w:t>
      </w:r>
      <w:r>
        <w:rPr>
          <w:rFonts w:cs="Arial" w:hint="cs"/>
          <w:rtl/>
        </w:rPr>
        <w:t>(</w:t>
      </w:r>
      <w:r>
        <w:rPr>
          <w:rFonts w:cs="Arial"/>
          <w:rtl/>
        </w:rPr>
        <w:t>פ</w:t>
      </w:r>
      <w:r>
        <w:rPr>
          <w:rFonts w:cs="Arial" w:hint="cs"/>
          <w:rtl/>
        </w:rPr>
        <w:t>"</w:t>
      </w:r>
      <w:r>
        <w:rPr>
          <w:rFonts w:cs="Arial"/>
          <w:rtl/>
        </w:rPr>
        <w:t>ט מהל</w:t>
      </w:r>
      <w:r>
        <w:rPr>
          <w:rFonts w:cs="Arial" w:hint="cs"/>
          <w:rtl/>
        </w:rPr>
        <w:t>'</w:t>
      </w:r>
      <w:r>
        <w:rPr>
          <w:rFonts w:cs="Arial"/>
          <w:rtl/>
        </w:rPr>
        <w:t xml:space="preserve"> גירושין הי"ב) שפסק דלא כרבי יוסי </w:t>
      </w:r>
      <w:r>
        <w:rPr>
          <w:rFonts w:cs="Arial" w:hint="cs"/>
          <w:rtl/>
        </w:rPr>
        <w:t xml:space="preserve">- </w:t>
      </w:r>
      <w:r>
        <w:rPr>
          <w:rFonts w:cs="Arial"/>
          <w:rtl/>
        </w:rPr>
        <w:t>לאפוקי מדרבי יוסי ממש קאמר דלא קיימא לן כוותיה</w:t>
      </w:r>
      <w:r>
        <w:rPr>
          <w:rFonts w:cs="Arial" w:hint="cs"/>
          <w:rtl/>
        </w:rPr>
        <w:t>,</w:t>
      </w:r>
      <w:r>
        <w:rPr>
          <w:rFonts w:cs="Arial"/>
          <w:rtl/>
        </w:rPr>
        <w:t xml:space="preserve"> ומשום הכי תקין לישנא דלישתמע מיניה דלית הלכתא כרבי יוסי</w:t>
      </w:r>
      <w:r>
        <w:rPr>
          <w:rFonts w:cs="Arial" w:hint="cs"/>
          <w:rtl/>
        </w:rPr>
        <w:t>.</w:t>
      </w:r>
    </w:p>
  </w:footnote>
  <w:footnote w:id="819">
    <w:p w14:paraId="3944F4A5" w14:textId="110BF2B7" w:rsidR="00FA2119" w:rsidRDefault="00FA2119" w:rsidP="00FA2119">
      <w:pPr>
        <w:pStyle w:val="a5"/>
      </w:pPr>
      <w:r>
        <w:rPr>
          <w:rStyle w:val="a7"/>
        </w:rPr>
        <w:footnoteRef/>
      </w:r>
      <w:r>
        <w:rPr>
          <w:rtl/>
        </w:rPr>
        <w:t xml:space="preserve"> </w:t>
      </w:r>
      <w:r w:rsidRPr="00B33EC5">
        <w:rPr>
          <w:rFonts w:cs="Arial"/>
          <w:rtl/>
        </w:rPr>
        <w:t>מהו</w:t>
      </w:r>
      <w:r>
        <w:rPr>
          <w:rFonts w:cs="Arial" w:hint="cs"/>
          <w:rtl/>
        </w:rPr>
        <w:t>?</w:t>
      </w:r>
      <w:r w:rsidRPr="00B33EC5">
        <w:rPr>
          <w:rFonts w:cs="Arial"/>
          <w:rtl/>
        </w:rPr>
        <w:t xml:space="preserve"> ופשט ליה כיון דפסקה פסקה</w:t>
      </w:r>
      <w:r>
        <w:rPr>
          <w:rFonts w:cs="Arial" w:hint="cs"/>
          <w:rtl/>
        </w:rPr>
        <w:t>,</w:t>
      </w:r>
      <w:r w:rsidRPr="00B33EC5">
        <w:rPr>
          <w:rFonts w:cs="Arial"/>
          <w:rtl/>
        </w:rPr>
        <w:t xml:space="preserve"> אפ"ה תקן </w:t>
      </w:r>
      <w:r>
        <w:rPr>
          <w:rFonts w:cs="Arial" w:hint="cs"/>
          <w:sz w:val="14"/>
          <w:szCs w:val="14"/>
          <w:rtl/>
        </w:rPr>
        <w:t xml:space="preserve">{רבא} </w:t>
      </w:r>
      <w:r w:rsidRPr="00B33EC5">
        <w:rPr>
          <w:rFonts w:cs="Arial"/>
          <w:rtl/>
        </w:rPr>
        <w:t>דלא לעביד הכי</w:t>
      </w:r>
      <w:r>
        <w:rPr>
          <w:rFonts w:cs="Arial" w:hint="cs"/>
          <w:rtl/>
        </w:rPr>
        <w:t>,</w:t>
      </w:r>
      <w:r w:rsidRPr="00B33EC5">
        <w:rPr>
          <w:rFonts w:cs="Arial"/>
          <w:rtl/>
        </w:rPr>
        <w:t xml:space="preserve"> שלא להוציא לעז על הגט</w:t>
      </w:r>
      <w:r>
        <w:rPr>
          <w:rFonts w:cs="Arial" w:hint="cs"/>
          <w:rtl/>
        </w:rPr>
        <w:t xml:space="preserve">, </w:t>
      </w:r>
      <w:r w:rsidRPr="00B33EC5">
        <w:rPr>
          <w:rFonts w:cs="Arial" w:hint="cs"/>
          <w:b/>
          <w:bCs/>
          <w:rtl/>
        </w:rPr>
        <w:t>רש"י</w:t>
      </w:r>
      <w:r>
        <w:rPr>
          <w:rFonts w:cs="Arial" w:hint="cs"/>
          <w:rtl/>
        </w:rPr>
        <w:t>.</w:t>
      </w:r>
      <w:r w:rsidRPr="00B33EC5">
        <w:rPr>
          <w:rFonts w:cs="Arial"/>
          <w:rtl/>
        </w:rPr>
        <w:t xml:space="preserve"> </w:t>
      </w:r>
      <w:r w:rsidRPr="00B33EC5">
        <w:rPr>
          <w:rFonts w:cs="Arial"/>
          <w:b/>
          <w:bCs/>
          <w:rtl/>
        </w:rPr>
        <w:t>ולהרמב"ם</w:t>
      </w:r>
      <w:r>
        <w:rPr>
          <w:rFonts w:cs="Arial"/>
          <w:rtl/>
        </w:rPr>
        <w:t xml:space="preserve"> </w:t>
      </w:r>
      <w:r>
        <w:rPr>
          <w:rFonts w:cs="Arial" w:hint="cs"/>
          <w:rtl/>
        </w:rPr>
        <w:t>(</w:t>
      </w:r>
      <w:r>
        <w:rPr>
          <w:rFonts w:cs="Arial"/>
          <w:rtl/>
        </w:rPr>
        <w:t>פ</w:t>
      </w:r>
      <w:r>
        <w:rPr>
          <w:rFonts w:cs="Arial" w:hint="cs"/>
          <w:rtl/>
        </w:rPr>
        <w:t>"</w:t>
      </w:r>
      <w:r>
        <w:rPr>
          <w:rFonts w:cs="Arial"/>
          <w:rtl/>
        </w:rPr>
        <w:t xml:space="preserve">ח ה"ט) שכתב שאם התנה ואמר </w:t>
      </w:r>
      <w:r>
        <w:rPr>
          <w:rFonts w:cs="Arial" w:hint="cs"/>
          <w:rtl/>
        </w:rPr>
        <w:t>'</w:t>
      </w:r>
      <w:r>
        <w:rPr>
          <w:rFonts w:cs="Arial"/>
          <w:rtl/>
        </w:rPr>
        <w:t>היום אין את אשתי ולמחר את אשתי</w:t>
      </w:r>
      <w:r>
        <w:rPr>
          <w:rFonts w:cs="Arial" w:hint="cs"/>
          <w:rtl/>
        </w:rPr>
        <w:t>'</w:t>
      </w:r>
      <w:r>
        <w:rPr>
          <w:rFonts w:cs="Arial"/>
          <w:rtl/>
        </w:rPr>
        <w:t xml:space="preserve"> אינה מגורשת</w:t>
      </w:r>
      <w:r>
        <w:rPr>
          <w:rFonts w:cs="Arial" w:hint="cs"/>
          <w:rtl/>
        </w:rPr>
        <w:t>,</w:t>
      </w:r>
      <w:r>
        <w:rPr>
          <w:rFonts w:cs="Arial"/>
          <w:rtl/>
        </w:rPr>
        <w:t xml:space="preserve"> לאפוקי היינו לומר דתקין לישנא דלישתמע מיניה דכל היכא דאמר היום אי את אשתי </w:t>
      </w:r>
      <w:r>
        <w:rPr>
          <w:rFonts w:cs="Arial" w:hint="cs"/>
          <w:rtl/>
        </w:rPr>
        <w:t xml:space="preserve">- </w:t>
      </w:r>
      <w:r>
        <w:rPr>
          <w:rFonts w:cs="Arial"/>
          <w:rtl/>
        </w:rPr>
        <w:t>אינה מגורשת</w:t>
      </w:r>
      <w:r w:rsidR="00F56B60">
        <w:rPr>
          <w:rFonts w:cs="Arial" w:hint="cs"/>
          <w:rtl/>
        </w:rPr>
        <w:t>, ב"י</w:t>
      </w:r>
      <w:r>
        <w:rPr>
          <w:rFonts w:hint="cs"/>
          <w:rtl/>
        </w:rPr>
        <w:t>.</w:t>
      </w:r>
    </w:p>
  </w:footnote>
  <w:footnote w:id="820">
    <w:p w14:paraId="256A3FBA" w14:textId="77777777" w:rsidR="00FA2119" w:rsidRDefault="00FA2119" w:rsidP="00FA2119">
      <w:pPr>
        <w:pStyle w:val="a5"/>
      </w:pPr>
      <w:r>
        <w:rPr>
          <w:rStyle w:val="a7"/>
        </w:rPr>
        <w:footnoteRef/>
      </w:r>
      <w:r>
        <w:rPr>
          <w:rtl/>
        </w:rPr>
        <w:t xml:space="preserve"> </w:t>
      </w:r>
      <w:r w:rsidRPr="00C9640C">
        <w:rPr>
          <w:rFonts w:cs="Arial"/>
          <w:rtl/>
        </w:rPr>
        <w:t>כ</w:t>
      </w:r>
      <w:r>
        <w:rPr>
          <w:rFonts w:cs="Arial" w:hint="cs"/>
          <w:rtl/>
        </w:rPr>
        <w:t xml:space="preserve">ך העידו </w:t>
      </w:r>
      <w:r w:rsidRPr="00C9640C">
        <w:rPr>
          <w:rFonts w:cs="Arial"/>
          <w:rtl/>
        </w:rPr>
        <w:t>הרשב"א (פה: ד"ה והיכא) ובהעי</w:t>
      </w:r>
      <w:r>
        <w:rPr>
          <w:rFonts w:cs="Arial" w:hint="cs"/>
          <w:rtl/>
        </w:rPr>
        <w:t>"</w:t>
      </w:r>
      <w:r w:rsidRPr="00C9640C">
        <w:rPr>
          <w:rFonts w:cs="Arial"/>
          <w:rtl/>
        </w:rPr>
        <w:t>ט</w:t>
      </w:r>
      <w:r>
        <w:rPr>
          <w:rFonts w:cs="Arial" w:hint="cs"/>
          <w:rtl/>
        </w:rPr>
        <w:t xml:space="preserve"> </w:t>
      </w:r>
      <w:r w:rsidRPr="00C9640C">
        <w:rPr>
          <w:rFonts w:cs="Arial"/>
          <w:rtl/>
        </w:rPr>
        <w:t>(ח"א כז ע"ד)</w:t>
      </w:r>
      <w:r>
        <w:rPr>
          <w:rFonts w:cs="Arial" w:hint="cs"/>
          <w:rtl/>
        </w:rPr>
        <w:t>.</w:t>
      </w:r>
      <w:r w:rsidRPr="00C9640C">
        <w:rPr>
          <w:rFonts w:cs="Arial"/>
          <w:rtl/>
        </w:rPr>
        <w:t xml:space="preserve"> וכתב העיטור שאע"פ שכתוב בהלכות שלנו</w:t>
      </w:r>
      <w:r>
        <w:rPr>
          <w:rFonts w:cs="Arial" w:hint="cs"/>
          <w:rtl/>
        </w:rPr>
        <w:t xml:space="preserve"> (מה:) -</w:t>
      </w:r>
      <w:r w:rsidRPr="00C9640C">
        <w:rPr>
          <w:rFonts w:cs="Arial"/>
          <w:rtl/>
        </w:rPr>
        <w:t xml:space="preserve"> הגהה היא אבל הוא לא כתבו</w:t>
      </w:r>
      <w:r>
        <w:rPr>
          <w:rFonts w:cs="Arial" w:hint="cs"/>
          <w:rtl/>
        </w:rPr>
        <w:t>.</w:t>
      </w:r>
      <w:r>
        <w:rPr>
          <w:rFonts w:hint="cs"/>
          <w:rtl/>
        </w:rPr>
        <w:t xml:space="preserve"> וגם הרמב"ן (פה: ד"ה וצריך) כתב שבהלכות לא הזכיר משפט זה.</w:t>
      </w:r>
    </w:p>
  </w:footnote>
  <w:footnote w:id="821">
    <w:p w14:paraId="781B779E" w14:textId="77777777" w:rsidR="00FA2119" w:rsidRDefault="00FA2119" w:rsidP="00FA2119">
      <w:pPr>
        <w:pStyle w:val="a5"/>
      </w:pPr>
      <w:r>
        <w:rPr>
          <w:rStyle w:val="a7"/>
        </w:rPr>
        <w:footnoteRef/>
      </w:r>
      <w:r>
        <w:rPr>
          <w:rtl/>
        </w:rPr>
        <w:t xml:space="preserve"> </w:t>
      </w:r>
      <w:r>
        <w:rPr>
          <w:rFonts w:cs="Arial" w:hint="cs"/>
          <w:rtl/>
        </w:rPr>
        <w:t>ש</w:t>
      </w:r>
      <w:r w:rsidRPr="00C9640C">
        <w:rPr>
          <w:rFonts w:cs="Arial"/>
          <w:rtl/>
        </w:rPr>
        <w:t xml:space="preserve">בטופס הגט שכתב </w:t>
      </w:r>
      <w:r>
        <w:rPr>
          <w:rFonts w:cs="Arial" w:hint="cs"/>
          <w:rtl/>
        </w:rPr>
        <w:t xml:space="preserve">(פה: ד"ה זהו טופס הגט) </w:t>
      </w:r>
      <w:r w:rsidRPr="00C9640C">
        <w:rPr>
          <w:rFonts w:cs="Arial"/>
          <w:rtl/>
        </w:rPr>
        <w:t>לא כתב הרי את מותרת</w:t>
      </w:r>
      <w:r>
        <w:rPr>
          <w:rFonts w:cs="Arial" w:hint="cs"/>
          <w:rtl/>
        </w:rPr>
        <w:t>.</w:t>
      </w:r>
    </w:p>
  </w:footnote>
  <w:footnote w:id="822">
    <w:p w14:paraId="50C8D951" w14:textId="77777777" w:rsidR="00FA2119" w:rsidRDefault="00FA2119" w:rsidP="00FA2119">
      <w:pPr>
        <w:pStyle w:val="a5"/>
        <w:rPr>
          <w:rtl/>
        </w:rPr>
      </w:pPr>
      <w:r>
        <w:rPr>
          <w:rStyle w:val="a7"/>
        </w:rPr>
        <w:footnoteRef/>
      </w:r>
      <w:r>
        <w:rPr>
          <w:rtl/>
        </w:rPr>
        <w:t xml:space="preserve"> </w:t>
      </w:r>
      <w:r w:rsidRPr="00BB4B89">
        <w:rPr>
          <w:rFonts w:cs="Arial"/>
          <w:rtl/>
        </w:rPr>
        <w:t xml:space="preserve">ומסתברא מדכתב </w:t>
      </w:r>
      <w:r>
        <w:rPr>
          <w:rFonts w:cs="Arial" w:hint="cs"/>
          <w:rtl/>
        </w:rPr>
        <w:t>'</w:t>
      </w:r>
      <w:r w:rsidRPr="00BB4B89">
        <w:rPr>
          <w:rFonts w:cs="Arial"/>
          <w:rtl/>
        </w:rPr>
        <w:t>ודן דהוי ליכי מינאי ולמהך להתנסבא לכל גבר דתיצביין</w:t>
      </w:r>
      <w:r>
        <w:rPr>
          <w:rFonts w:cs="Arial" w:hint="cs"/>
          <w:rtl/>
        </w:rPr>
        <w:t>'</w:t>
      </w:r>
      <w:r w:rsidRPr="00BB4B89">
        <w:rPr>
          <w:rFonts w:cs="Arial"/>
          <w:rtl/>
        </w:rPr>
        <w:t xml:space="preserve"> היינו </w:t>
      </w:r>
      <w:r>
        <w:rPr>
          <w:rFonts w:cs="Arial" w:hint="cs"/>
          <w:rtl/>
        </w:rPr>
        <w:t>'</w:t>
      </w:r>
      <w:r w:rsidRPr="00BB4B89">
        <w:rPr>
          <w:rFonts w:cs="Arial"/>
          <w:rtl/>
        </w:rPr>
        <w:t>את מותרת לכל אדם</w:t>
      </w:r>
      <w:r>
        <w:rPr>
          <w:rFonts w:cs="Arial" w:hint="cs"/>
          <w:rtl/>
        </w:rPr>
        <w:t>'</w:t>
      </w:r>
      <w:r w:rsidRPr="00BB4B89">
        <w:rPr>
          <w:rFonts w:cs="Arial"/>
          <w:rtl/>
        </w:rPr>
        <w:t xml:space="preserve"> ולא צריך תו לאהדוריה</w:t>
      </w:r>
      <w:r>
        <w:rPr>
          <w:rFonts w:cs="Arial" w:hint="cs"/>
          <w:rtl/>
        </w:rPr>
        <w:t>.</w:t>
      </w:r>
      <w:r w:rsidRPr="00BB4B89">
        <w:rPr>
          <w:rFonts w:cs="Arial"/>
          <w:rtl/>
        </w:rPr>
        <w:t xml:space="preserve"> ולישנא להתנסבא</w:t>
      </w:r>
      <w:r>
        <w:rPr>
          <w:rFonts w:cs="Arial" w:hint="cs"/>
          <w:rtl/>
        </w:rPr>
        <w:t>,</w:t>
      </w:r>
      <w:r w:rsidRPr="00BB4B89">
        <w:rPr>
          <w:rFonts w:cs="Arial"/>
          <w:rtl/>
        </w:rPr>
        <w:t xml:space="preserve"> לשון ליקוחין הוא</w:t>
      </w:r>
      <w:r>
        <w:rPr>
          <w:rFonts w:cs="Arial" w:hint="cs"/>
          <w:rtl/>
        </w:rPr>
        <w:t>,</w:t>
      </w:r>
      <w:r w:rsidRPr="00BB4B89">
        <w:rPr>
          <w:rFonts w:cs="Arial"/>
          <w:rtl/>
        </w:rPr>
        <w:t xml:space="preserve"> בין לזנות בין לנישואין</w:t>
      </w:r>
      <w:r>
        <w:rPr>
          <w:rFonts w:cs="Arial" w:hint="cs"/>
          <w:rtl/>
        </w:rPr>
        <w:t>...</w:t>
      </w:r>
      <w:r w:rsidRPr="00BB4B89">
        <w:rPr>
          <w:rFonts w:cs="Arial"/>
          <w:rtl/>
        </w:rPr>
        <w:t xml:space="preserve"> ותו לישנא דר"י</w:t>
      </w:r>
      <w:r>
        <w:rPr>
          <w:rFonts w:cs="Arial" w:hint="cs"/>
          <w:rtl/>
        </w:rPr>
        <w:t>,</w:t>
      </w:r>
      <w:r w:rsidRPr="00BB4B89">
        <w:rPr>
          <w:rFonts w:cs="Arial"/>
          <w:rtl/>
        </w:rPr>
        <w:t xml:space="preserve"> בארמית. ולישנא הרי את מותרת לכל אדם</w:t>
      </w:r>
      <w:r>
        <w:rPr>
          <w:rFonts w:cs="Arial" w:hint="cs"/>
          <w:rtl/>
        </w:rPr>
        <w:t>,</w:t>
      </w:r>
      <w:r w:rsidRPr="00BB4B89">
        <w:rPr>
          <w:rFonts w:cs="Arial"/>
          <w:rtl/>
        </w:rPr>
        <w:t xml:space="preserve"> עברית. אלא הרי את מותרת </w:t>
      </w:r>
      <w:r>
        <w:rPr>
          <w:rFonts w:cs="Arial" w:hint="cs"/>
          <w:rtl/>
        </w:rPr>
        <w:t xml:space="preserve">- </w:t>
      </w:r>
      <w:r w:rsidRPr="00BB4B89">
        <w:rPr>
          <w:rFonts w:cs="Arial"/>
          <w:rtl/>
        </w:rPr>
        <w:t>תוספת הוא ואינו בטופס. ור"ש ורב אלפס לא כתבו</w:t>
      </w:r>
      <w:r>
        <w:rPr>
          <w:rFonts w:cs="Arial" w:hint="cs"/>
          <w:rtl/>
        </w:rPr>
        <w:t>,</w:t>
      </w:r>
      <w:r w:rsidRPr="00BB4B89">
        <w:rPr>
          <w:rFonts w:cs="Arial"/>
          <w:rtl/>
        </w:rPr>
        <w:t xml:space="preserve"> והגהה היא בהלכו</w:t>
      </w:r>
      <w:r>
        <w:rPr>
          <w:rFonts w:cs="Arial" w:hint="cs"/>
          <w:rtl/>
        </w:rPr>
        <w:t>ת</w:t>
      </w:r>
      <w:r w:rsidRPr="00BB4B89">
        <w:rPr>
          <w:rFonts w:cs="Arial"/>
          <w:rtl/>
        </w:rPr>
        <w:t xml:space="preserve"> שלנו. ושמעתי שה"ר הלל מרומניאה פוסלו</w:t>
      </w:r>
      <w:r>
        <w:rPr>
          <w:rFonts w:cs="Arial" w:hint="cs"/>
          <w:rtl/>
        </w:rPr>
        <w:t>,</w:t>
      </w:r>
      <w:r w:rsidRPr="00BB4B89">
        <w:rPr>
          <w:rFonts w:cs="Arial"/>
          <w:rtl/>
        </w:rPr>
        <w:t xml:space="preserve"> וה"ר שבתי חולק עליו. ואנן כתבינן מאי דסבירא לן</w:t>
      </w:r>
      <w:r>
        <w:rPr>
          <w:rFonts w:hint="cs"/>
          <w:rtl/>
        </w:rPr>
        <w:t xml:space="preserve">, </w:t>
      </w:r>
      <w:r w:rsidRPr="00826A81">
        <w:rPr>
          <w:rFonts w:hint="cs"/>
          <w:b/>
          <w:bCs/>
          <w:rtl/>
        </w:rPr>
        <w:t>סה"ת</w:t>
      </w:r>
      <w:r>
        <w:rPr>
          <w:rFonts w:hint="cs"/>
          <w:rtl/>
        </w:rPr>
        <w:t xml:space="preserve"> (שם).</w:t>
      </w:r>
      <w:r w:rsidRPr="00826A81">
        <w:rPr>
          <w:rFonts w:cs="Arial"/>
          <w:rtl/>
        </w:rPr>
        <w:t xml:space="preserve"> </w:t>
      </w:r>
      <w:r>
        <w:rPr>
          <w:rFonts w:cs="Arial" w:hint="cs"/>
          <w:rtl/>
        </w:rPr>
        <w:t xml:space="preserve">וכ"כ </w:t>
      </w:r>
      <w:r w:rsidRPr="00826A81">
        <w:rPr>
          <w:rFonts w:cs="Arial" w:hint="cs"/>
          <w:b/>
          <w:bCs/>
          <w:rtl/>
        </w:rPr>
        <w:t>בהגמ"ר</w:t>
      </w:r>
      <w:r>
        <w:rPr>
          <w:rFonts w:cs="Arial" w:hint="cs"/>
          <w:rtl/>
        </w:rPr>
        <w:t xml:space="preserve"> (גיטין סי' תסז). ועיין </w:t>
      </w:r>
      <w:r w:rsidRPr="000F632A">
        <w:rPr>
          <w:rFonts w:cs="Arial" w:hint="cs"/>
          <w:b/>
          <w:bCs/>
          <w:rtl/>
        </w:rPr>
        <w:t>ברמב"ן</w:t>
      </w:r>
      <w:r>
        <w:rPr>
          <w:rFonts w:cs="Arial" w:hint="cs"/>
          <w:rtl/>
        </w:rPr>
        <w:t xml:space="preserve"> (גיטין פה: ד"ה וצריך למכתב) שדחה את ראיית סה"ת, וכתב </w:t>
      </w:r>
      <w:r w:rsidRPr="00C9640C">
        <w:rPr>
          <w:rFonts w:cs="Arial"/>
          <w:rtl/>
        </w:rPr>
        <w:t>א</w:t>
      </w:r>
      <w:r>
        <w:rPr>
          <w:rFonts w:cs="Arial" w:hint="cs"/>
          <w:rtl/>
        </w:rPr>
        <w:t>ע"ג</w:t>
      </w:r>
      <w:r w:rsidRPr="00C9640C">
        <w:rPr>
          <w:rFonts w:cs="Arial"/>
          <w:rtl/>
        </w:rPr>
        <w:t xml:space="preserve"> דכבר כתב בגט למהך להתנסבא וכו' לא סגי עד שיכתוב הרי את מותרת וכו' דבלאו הכי דילמא דוקא להתנסבא קאמר אבל לא לזנות</w:t>
      </w:r>
      <w:r>
        <w:rPr>
          <w:rFonts w:cs="Arial" w:hint="cs"/>
          <w:rtl/>
        </w:rPr>
        <w:t>,</w:t>
      </w:r>
      <w:r w:rsidRPr="00C9640C">
        <w:rPr>
          <w:rFonts w:cs="Arial"/>
          <w:rtl/>
        </w:rPr>
        <w:t xml:space="preserve"> והוי כאומר הרי זה גיטך חוץ מזנותך דלא הוי גט (גיטין פה</w:t>
      </w:r>
      <w:r>
        <w:rPr>
          <w:rFonts w:cs="Arial" w:hint="cs"/>
          <w:rtl/>
        </w:rPr>
        <w:t>.</w:t>
      </w:r>
      <w:r w:rsidRPr="00C9640C">
        <w:rPr>
          <w:rFonts w:cs="Arial"/>
          <w:rtl/>
        </w:rPr>
        <w:t>) וכו'</w:t>
      </w:r>
      <w:r>
        <w:rPr>
          <w:rFonts w:cs="Arial" w:hint="cs"/>
          <w:rtl/>
        </w:rPr>
        <w:t>.</w:t>
      </w:r>
      <w:r w:rsidRPr="000F632A">
        <w:rPr>
          <w:rFonts w:cs="Arial" w:hint="cs"/>
          <w:rtl/>
        </w:rPr>
        <w:t xml:space="preserve"> </w:t>
      </w:r>
      <w:r>
        <w:rPr>
          <w:rFonts w:cs="Arial" w:hint="cs"/>
          <w:rtl/>
        </w:rPr>
        <w:t xml:space="preserve">וכ"כ </w:t>
      </w:r>
      <w:r w:rsidRPr="00826A81">
        <w:rPr>
          <w:rFonts w:cs="Arial" w:hint="cs"/>
          <w:b/>
          <w:bCs/>
          <w:rtl/>
        </w:rPr>
        <w:t>הנמוק"י</w:t>
      </w:r>
      <w:r w:rsidRPr="00C9640C">
        <w:rPr>
          <w:rFonts w:cs="Arial"/>
          <w:rtl/>
        </w:rPr>
        <w:t xml:space="preserve"> (יבמות כח: ד"ה גרסי')</w:t>
      </w:r>
      <w:r>
        <w:rPr>
          <w:rFonts w:hint="cs"/>
          <w:rtl/>
        </w:rPr>
        <w:t>.</w:t>
      </w:r>
    </w:p>
  </w:footnote>
  <w:footnote w:id="823">
    <w:p w14:paraId="4445C813" w14:textId="76D35C46" w:rsidR="00FA2119" w:rsidRDefault="00FA2119" w:rsidP="00FA2119">
      <w:pPr>
        <w:pStyle w:val="a5"/>
        <w:rPr>
          <w:rtl/>
        </w:rPr>
      </w:pPr>
      <w:r>
        <w:rPr>
          <w:rStyle w:val="a7"/>
        </w:rPr>
        <w:footnoteRef/>
      </w:r>
      <w:r>
        <w:rPr>
          <w:rtl/>
        </w:rPr>
        <w:t xml:space="preserve"> </w:t>
      </w:r>
      <w:r w:rsidRPr="00C9640C">
        <w:rPr>
          <w:rFonts w:cs="Arial"/>
          <w:rtl/>
        </w:rPr>
        <w:t>ודברים הללו כתבם גם המרדכי בפרק הנזכר (סי' שנז)</w:t>
      </w:r>
      <w:r>
        <w:rPr>
          <w:rFonts w:cs="Arial" w:hint="cs"/>
          <w:rtl/>
        </w:rPr>
        <w:t>.</w:t>
      </w:r>
      <w:r w:rsidRPr="00C9640C">
        <w:rPr>
          <w:rFonts w:cs="Arial"/>
          <w:rtl/>
        </w:rPr>
        <w:t xml:space="preserve"> וגם הגהות </w:t>
      </w:r>
      <w:r>
        <w:rPr>
          <w:rFonts w:cs="Arial" w:hint="cs"/>
          <w:rtl/>
        </w:rPr>
        <w:t>(</w:t>
      </w:r>
      <w:r w:rsidRPr="00C9640C">
        <w:rPr>
          <w:rFonts w:cs="Arial"/>
          <w:rtl/>
        </w:rPr>
        <w:t>פ</w:t>
      </w:r>
      <w:r>
        <w:rPr>
          <w:rFonts w:cs="Arial" w:hint="cs"/>
          <w:rtl/>
        </w:rPr>
        <w:t>"</w:t>
      </w:r>
      <w:r w:rsidRPr="00C9640C">
        <w:rPr>
          <w:rFonts w:cs="Arial"/>
          <w:rtl/>
        </w:rPr>
        <w:t>ד אות ז) כתבו כל זה בשם ספר התרומה (סי' קטז) והמצות (עשין קכט ע"ד)</w:t>
      </w:r>
      <w:r>
        <w:rPr>
          <w:rFonts w:cs="Arial" w:hint="cs"/>
          <w:rtl/>
        </w:rPr>
        <w:t>.</w:t>
      </w:r>
      <w:r w:rsidRPr="00C9640C">
        <w:rPr>
          <w:rFonts w:cs="Arial"/>
          <w:rtl/>
        </w:rPr>
        <w:t xml:space="preserve"> ולפי זה אין כותבין אותו</w:t>
      </w:r>
      <w:r w:rsidR="00FB4C2C">
        <w:rPr>
          <w:rFonts w:cs="Arial" w:hint="cs"/>
          <w:rtl/>
        </w:rPr>
        <w:t xml:space="preserve"> {אלא}</w:t>
      </w:r>
      <w:r w:rsidRPr="00C9640C">
        <w:rPr>
          <w:rFonts w:cs="Arial"/>
          <w:rtl/>
        </w:rPr>
        <w:t xml:space="preserve"> לשופרא דמילתא</w:t>
      </w:r>
      <w:r>
        <w:rPr>
          <w:rFonts w:cs="Arial" w:hint="cs"/>
          <w:rtl/>
        </w:rPr>
        <w:t>, ב"י</w:t>
      </w:r>
      <w:r w:rsidRPr="00C9640C">
        <w:rPr>
          <w:rFonts w:cs="Arial"/>
          <w:rtl/>
        </w:rPr>
        <w:t>.</w:t>
      </w:r>
    </w:p>
  </w:footnote>
  <w:footnote w:id="824">
    <w:p w14:paraId="44195DF7" w14:textId="56403CD9" w:rsidR="00FA2119" w:rsidRDefault="00FA2119" w:rsidP="00FA2119">
      <w:pPr>
        <w:pStyle w:val="a5"/>
        <w:rPr>
          <w:rtl/>
        </w:rPr>
      </w:pPr>
      <w:r>
        <w:rPr>
          <w:rStyle w:val="a7"/>
        </w:rPr>
        <w:footnoteRef/>
      </w:r>
      <w:r>
        <w:rPr>
          <w:rFonts w:hint="cs"/>
          <w:rtl/>
        </w:rPr>
        <w:t xml:space="preserve"> ולכאורה יש לומר כן גם בדעת הרמב"ם והרא"ש </w:t>
      </w:r>
      <w:r w:rsidRPr="00BD435D">
        <w:rPr>
          <w:rFonts w:hint="cs"/>
          <w:sz w:val="16"/>
          <w:szCs w:val="16"/>
          <w:rtl/>
        </w:rPr>
        <w:t>(שכתבו ש</w:t>
      </w:r>
      <w:r>
        <w:rPr>
          <w:rFonts w:hint="cs"/>
          <w:sz w:val="16"/>
          <w:szCs w:val="16"/>
          <w:rtl/>
        </w:rPr>
        <w:t>-</w:t>
      </w:r>
      <w:r w:rsidRPr="00BD435D">
        <w:rPr>
          <w:rFonts w:hint="cs"/>
          <w:sz w:val="16"/>
          <w:szCs w:val="16"/>
          <w:rtl/>
        </w:rPr>
        <w:t>הרי את</w:t>
      </w:r>
      <w:r>
        <w:rPr>
          <w:rFonts w:hint="cs"/>
          <w:sz w:val="16"/>
          <w:szCs w:val="16"/>
          <w:rtl/>
        </w:rPr>
        <w:t xml:space="preserve"> וכו'</w:t>
      </w:r>
      <w:r w:rsidRPr="00BD435D">
        <w:rPr>
          <w:rFonts w:hint="cs"/>
          <w:sz w:val="16"/>
          <w:szCs w:val="16"/>
          <w:rtl/>
        </w:rPr>
        <w:t xml:space="preserve"> הוא מגופו של גט, וגם כתבו אותו בטופסי גיטין שלהם)</w:t>
      </w:r>
      <w:r>
        <w:rPr>
          <w:rFonts w:hint="cs"/>
          <w:rtl/>
        </w:rPr>
        <w:t xml:space="preserve"> וכ"כ הב"ש (סקל"ו) בשם הרמב"ם. אך הדרכ"מ </w:t>
      </w:r>
      <w:r w:rsidRPr="00BD435D">
        <w:rPr>
          <w:rFonts w:cs="Arial"/>
          <w:sz w:val="16"/>
          <w:szCs w:val="16"/>
          <w:rtl/>
        </w:rPr>
        <w:t>(</w:t>
      </w:r>
      <w:r w:rsidRPr="00BD435D">
        <w:rPr>
          <w:rFonts w:cs="Arial" w:hint="cs"/>
          <w:sz w:val="16"/>
          <w:szCs w:val="16"/>
          <w:rtl/>
        </w:rPr>
        <w:t xml:space="preserve">אות </w:t>
      </w:r>
      <w:r w:rsidRPr="00BD435D">
        <w:rPr>
          <w:rFonts w:cs="Arial"/>
          <w:sz w:val="16"/>
          <w:szCs w:val="16"/>
          <w:rtl/>
        </w:rPr>
        <w:t xml:space="preserve">לב) </w:t>
      </w:r>
      <w:r>
        <w:rPr>
          <w:rFonts w:cs="Arial" w:hint="cs"/>
          <w:rtl/>
        </w:rPr>
        <w:t xml:space="preserve">כתב </w:t>
      </w:r>
      <w:r w:rsidR="000A0F5A">
        <w:rPr>
          <w:rFonts w:cs="Arial" w:hint="cs"/>
          <w:rtl/>
        </w:rPr>
        <w:t>וז</w:t>
      </w:r>
      <w:r w:rsidR="000A0F5A">
        <w:rPr>
          <w:rFonts w:cs="Arial"/>
          <w:rtl/>
        </w:rPr>
        <w:t>"</w:t>
      </w:r>
      <w:r w:rsidR="000A0F5A">
        <w:rPr>
          <w:rFonts w:cs="Arial" w:hint="cs"/>
          <w:rtl/>
        </w:rPr>
        <w:t>ל:</w:t>
      </w:r>
      <w:r>
        <w:rPr>
          <w:rFonts w:cs="Arial" w:hint="cs"/>
          <w:rtl/>
        </w:rPr>
        <w:t xml:space="preserve"> ו</w:t>
      </w:r>
      <w:r w:rsidRPr="00C9640C">
        <w:rPr>
          <w:rFonts w:cs="Arial"/>
          <w:rtl/>
        </w:rPr>
        <w:t>אינו נראה לי הכרח בדברי הרמב"ם והרא"ש</w:t>
      </w:r>
      <w:r>
        <w:rPr>
          <w:rFonts w:cs="Arial" w:hint="cs"/>
          <w:rtl/>
        </w:rPr>
        <w:t>,</w:t>
      </w:r>
      <w:r w:rsidRPr="00C9640C">
        <w:rPr>
          <w:rFonts w:cs="Arial"/>
          <w:rtl/>
        </w:rPr>
        <w:t xml:space="preserve"> כי לא כתבו רק המשנה המוזכרת פרק המגרש</w:t>
      </w:r>
      <w:r>
        <w:rPr>
          <w:rFonts w:cs="Arial" w:hint="cs"/>
          <w:rtl/>
        </w:rPr>
        <w:t>,</w:t>
      </w:r>
      <w:r w:rsidRPr="00C9640C">
        <w:rPr>
          <w:rFonts w:cs="Arial"/>
          <w:rtl/>
        </w:rPr>
        <w:t xml:space="preserve"> וכבר פירשו המכשירים דאינו ר"ל זה הלשון בעצמו רק ענין מורה על זה</w:t>
      </w:r>
      <w:r>
        <w:rPr>
          <w:rFonts w:cs="Arial" w:hint="cs"/>
          <w:rtl/>
        </w:rPr>
        <w:t>.</w:t>
      </w:r>
      <w:r w:rsidRPr="00C9640C">
        <w:rPr>
          <w:rFonts w:cs="Arial"/>
          <w:rtl/>
        </w:rPr>
        <w:t xml:space="preserve"> ומה שנמצא בטופס שלהם אינו ראיה כי גם ר</w:t>
      </w:r>
      <w:r>
        <w:rPr>
          <w:rFonts w:cs="Arial" w:hint="cs"/>
          <w:rtl/>
        </w:rPr>
        <w:t>"</w:t>
      </w:r>
      <w:r w:rsidRPr="00C9640C">
        <w:rPr>
          <w:rFonts w:cs="Arial"/>
          <w:rtl/>
        </w:rPr>
        <w:t>ת כתב לכותבו לכתחלה. ומדברי הר"ן פ</w:t>
      </w:r>
      <w:r>
        <w:rPr>
          <w:rFonts w:cs="Arial" w:hint="cs"/>
          <w:rtl/>
        </w:rPr>
        <w:t>'</w:t>
      </w:r>
      <w:r w:rsidRPr="00C9640C">
        <w:rPr>
          <w:rFonts w:cs="Arial"/>
          <w:rtl/>
        </w:rPr>
        <w:t xml:space="preserve"> המגרש (מה</w:t>
      </w:r>
      <w:r>
        <w:rPr>
          <w:rFonts w:cs="Arial" w:hint="cs"/>
          <w:rtl/>
        </w:rPr>
        <w:t>:</w:t>
      </w:r>
      <w:r w:rsidRPr="00C9640C">
        <w:rPr>
          <w:rFonts w:cs="Arial"/>
          <w:rtl/>
        </w:rPr>
        <w:t>) מוכח דלא היה כתוב בנוסח הרמב"ם</w:t>
      </w:r>
      <w:r>
        <w:rPr>
          <w:rFonts w:cs="Arial" w:hint="cs"/>
          <w:rtl/>
        </w:rPr>
        <w:t>...</w:t>
      </w:r>
      <w:r>
        <w:rPr>
          <w:rtl/>
        </w:rPr>
        <w:t xml:space="preserve"> </w:t>
      </w:r>
      <w:r w:rsidRPr="00C9640C">
        <w:rPr>
          <w:rFonts w:cs="Arial"/>
          <w:rtl/>
        </w:rPr>
        <w:t xml:space="preserve">ועוד האריך בטעמים בסדר גיטין שלנו </w:t>
      </w:r>
      <w:r w:rsidRPr="00BD435D">
        <w:rPr>
          <w:rFonts w:cs="Arial"/>
          <w:sz w:val="16"/>
          <w:szCs w:val="16"/>
          <w:rtl/>
        </w:rPr>
        <w:t>(סי' נ)</w:t>
      </w:r>
      <w:r w:rsidRPr="00C9640C">
        <w:rPr>
          <w:rFonts w:cs="Arial"/>
          <w:rtl/>
        </w:rPr>
        <w:t>. ועי</w:t>
      </w:r>
      <w:r>
        <w:rPr>
          <w:rFonts w:cs="Arial" w:hint="cs"/>
          <w:rtl/>
        </w:rPr>
        <w:t>'</w:t>
      </w:r>
      <w:r w:rsidRPr="00C9640C">
        <w:rPr>
          <w:rFonts w:cs="Arial"/>
          <w:rtl/>
        </w:rPr>
        <w:t xml:space="preserve"> בתרו</w:t>
      </w:r>
      <w:r>
        <w:rPr>
          <w:rFonts w:cs="Arial" w:hint="cs"/>
          <w:rtl/>
        </w:rPr>
        <w:t>ה"ד</w:t>
      </w:r>
      <w:r w:rsidRPr="00C9640C">
        <w:rPr>
          <w:rFonts w:cs="Arial"/>
          <w:rtl/>
        </w:rPr>
        <w:t xml:space="preserve"> </w:t>
      </w:r>
      <w:r w:rsidRPr="00BD435D">
        <w:rPr>
          <w:rFonts w:cs="Arial" w:hint="cs"/>
          <w:sz w:val="16"/>
          <w:szCs w:val="16"/>
          <w:rtl/>
        </w:rPr>
        <w:t>(</w:t>
      </w:r>
      <w:r w:rsidRPr="00BD435D">
        <w:rPr>
          <w:rFonts w:cs="Arial"/>
          <w:sz w:val="16"/>
          <w:szCs w:val="16"/>
          <w:rtl/>
        </w:rPr>
        <w:t>סי</w:t>
      </w:r>
      <w:r w:rsidRPr="00BD435D">
        <w:rPr>
          <w:rFonts w:cs="Arial" w:hint="cs"/>
          <w:sz w:val="16"/>
          <w:szCs w:val="16"/>
          <w:rtl/>
        </w:rPr>
        <w:t>'</w:t>
      </w:r>
      <w:r w:rsidRPr="00BD435D">
        <w:rPr>
          <w:rFonts w:cs="Arial"/>
          <w:sz w:val="16"/>
          <w:szCs w:val="16"/>
          <w:rtl/>
        </w:rPr>
        <w:t xml:space="preserve"> רלב</w:t>
      </w:r>
      <w:r w:rsidRPr="00BD435D">
        <w:rPr>
          <w:rFonts w:cs="Arial" w:hint="cs"/>
          <w:sz w:val="16"/>
          <w:szCs w:val="16"/>
          <w:rtl/>
        </w:rPr>
        <w:t>)</w:t>
      </w:r>
      <w:r w:rsidRPr="00BD435D">
        <w:rPr>
          <w:rFonts w:cs="Arial"/>
          <w:sz w:val="16"/>
          <w:szCs w:val="16"/>
          <w:rtl/>
        </w:rPr>
        <w:t xml:space="preserve"> </w:t>
      </w:r>
      <w:r w:rsidRPr="00C9640C">
        <w:rPr>
          <w:rFonts w:cs="Arial"/>
          <w:rtl/>
        </w:rPr>
        <w:t>טעם על שאנו מחמירים כמה חומרות בגיטין ואין אנו חוששין להוצאת לעז על הגיטין הראשונים</w:t>
      </w:r>
      <w:r>
        <w:rPr>
          <w:rFonts w:cs="Arial" w:hint="cs"/>
          <w:sz w:val="16"/>
          <w:szCs w:val="16"/>
          <w:rtl/>
        </w:rPr>
        <w:t xml:space="preserve"> [</w:t>
      </w:r>
      <w:r w:rsidRPr="00826A81">
        <w:rPr>
          <w:rFonts w:cs="Arial" w:hint="cs"/>
          <w:sz w:val="16"/>
          <w:szCs w:val="16"/>
          <w:rtl/>
        </w:rPr>
        <w:t>עכ"ל הדרכ"מ]</w:t>
      </w:r>
      <w:r>
        <w:rPr>
          <w:rFonts w:hint="cs"/>
          <w:rtl/>
        </w:rPr>
        <w:t>. וכתב הב"ש (סקל"ו) דאין דברי הדרכ"מ מוכרחים.</w:t>
      </w:r>
    </w:p>
  </w:footnote>
  <w:footnote w:id="825">
    <w:p w14:paraId="1C369723" w14:textId="77777777" w:rsidR="00FA2119" w:rsidRDefault="00FA2119" w:rsidP="00FA2119">
      <w:pPr>
        <w:pStyle w:val="a5"/>
        <w:rPr>
          <w:rtl/>
        </w:rPr>
      </w:pPr>
      <w:r>
        <w:rPr>
          <w:rStyle w:val="a7"/>
        </w:rPr>
        <w:footnoteRef/>
      </w:r>
      <w:r>
        <w:rPr>
          <w:rtl/>
        </w:rPr>
        <w:t xml:space="preserve"> </w:t>
      </w:r>
      <w:r w:rsidRPr="000353A1">
        <w:rPr>
          <w:rFonts w:cs="Arial"/>
          <w:rtl/>
        </w:rPr>
        <w:t>וצריך לכתוב והרי בוי"ו</w:t>
      </w:r>
      <w:r>
        <w:rPr>
          <w:rFonts w:cs="Arial" w:hint="cs"/>
          <w:rtl/>
        </w:rPr>
        <w:t>,</w:t>
      </w:r>
      <w:r w:rsidRPr="000353A1">
        <w:rPr>
          <w:rFonts w:cs="Arial"/>
          <w:rtl/>
        </w:rPr>
        <w:t xml:space="preserve"> </w:t>
      </w:r>
      <w:r>
        <w:rPr>
          <w:rFonts w:cs="Arial" w:hint="cs"/>
          <w:rtl/>
        </w:rPr>
        <w:t>ב"ש (סקל"ו).</w:t>
      </w:r>
    </w:p>
  </w:footnote>
  <w:footnote w:id="826">
    <w:p w14:paraId="7550DB59" w14:textId="77777777" w:rsidR="00FA2119" w:rsidRDefault="00FA2119" w:rsidP="00FA2119">
      <w:pPr>
        <w:pStyle w:val="a5"/>
      </w:pPr>
      <w:r>
        <w:rPr>
          <w:rStyle w:val="a7"/>
        </w:rPr>
        <w:footnoteRef/>
      </w:r>
      <w:r>
        <w:rPr>
          <w:rtl/>
        </w:rPr>
        <w:t xml:space="preserve"> </w:t>
      </w:r>
      <w:r w:rsidRPr="000353A1">
        <w:rPr>
          <w:rFonts w:cs="Arial"/>
          <w:rtl/>
        </w:rPr>
        <w:t>מותרת בוי"ו</w:t>
      </w:r>
      <w:r>
        <w:rPr>
          <w:rFonts w:cs="Arial" w:hint="cs"/>
          <w:rtl/>
        </w:rPr>
        <w:t>,</w:t>
      </w:r>
      <w:r w:rsidRPr="000353A1">
        <w:rPr>
          <w:rFonts w:cs="Arial"/>
          <w:rtl/>
        </w:rPr>
        <w:t xml:space="preserve"> ואם כתב בלא ואו אפשר שפסול אפי' בדיעבד דמשמע שהיא מתרת לאדם אחר </w:t>
      </w:r>
      <w:r>
        <w:rPr>
          <w:rFonts w:cs="Arial" w:hint="cs"/>
          <w:rtl/>
        </w:rPr>
        <w:t>[</w:t>
      </w:r>
      <w:r w:rsidRPr="000353A1">
        <w:rPr>
          <w:rFonts w:cs="Arial"/>
          <w:rtl/>
        </w:rPr>
        <w:t>לבוש</w:t>
      </w:r>
      <w:r>
        <w:rPr>
          <w:rFonts w:cs="Arial" w:hint="cs"/>
          <w:rtl/>
        </w:rPr>
        <w:t>]</w:t>
      </w:r>
      <w:r>
        <w:rPr>
          <w:rFonts w:hint="cs"/>
          <w:rtl/>
        </w:rPr>
        <w:t>, ב"ש (סקל"ו).</w:t>
      </w:r>
    </w:p>
  </w:footnote>
  <w:footnote w:id="827">
    <w:p w14:paraId="39FBEA08" w14:textId="625D7A98" w:rsidR="00FA2119" w:rsidRDefault="00FA2119" w:rsidP="00FA2119">
      <w:pPr>
        <w:pStyle w:val="a5"/>
      </w:pPr>
      <w:r>
        <w:rPr>
          <w:rStyle w:val="a7"/>
        </w:rPr>
        <w:footnoteRef/>
      </w:r>
      <w:r>
        <w:rPr>
          <w:rtl/>
        </w:rPr>
        <w:t xml:space="preserve"> </w:t>
      </w:r>
      <w:r w:rsidRPr="000353A1">
        <w:rPr>
          <w:rFonts w:cs="Arial"/>
          <w:rtl/>
        </w:rPr>
        <w:t xml:space="preserve">כדי שיהא נקרא בבת אחת ולא יפסוק דאם יפסוק י"ל השומע סבר דלא התירה לכל אדם </w:t>
      </w:r>
      <w:r w:rsidR="00FB4C2C">
        <w:rPr>
          <w:rFonts w:cs="Arial" w:hint="cs"/>
          <w:rtl/>
        </w:rPr>
        <w:t>[</w:t>
      </w:r>
      <w:r w:rsidRPr="000353A1">
        <w:rPr>
          <w:rFonts w:cs="Arial"/>
          <w:rtl/>
        </w:rPr>
        <w:t>לבוש</w:t>
      </w:r>
      <w:r w:rsidR="00FB4C2C">
        <w:rPr>
          <w:rFonts w:cs="Arial" w:hint="cs"/>
          <w:rtl/>
        </w:rPr>
        <w:t>].</w:t>
      </w:r>
      <w:r w:rsidRPr="000353A1">
        <w:rPr>
          <w:rFonts w:cs="Arial"/>
          <w:rtl/>
        </w:rPr>
        <w:t xml:space="preserve"> ש"מ הקורא לא יפסיק בקריאה</w:t>
      </w:r>
      <w:r>
        <w:rPr>
          <w:rFonts w:cs="Arial" w:hint="cs"/>
          <w:rtl/>
        </w:rPr>
        <w:t>, ב"ש (סקל"ז).</w:t>
      </w:r>
    </w:p>
  </w:footnote>
  <w:footnote w:id="828">
    <w:p w14:paraId="104E02C3" w14:textId="77777777" w:rsidR="00FA2119" w:rsidRDefault="00FA2119" w:rsidP="00FA2119">
      <w:pPr>
        <w:pStyle w:val="a5"/>
      </w:pPr>
      <w:r>
        <w:rPr>
          <w:rStyle w:val="a7"/>
        </w:rPr>
        <w:footnoteRef/>
      </w:r>
      <w:r>
        <w:rPr>
          <w:rtl/>
        </w:rPr>
        <w:t xml:space="preserve"> </w:t>
      </w:r>
      <w:r w:rsidRPr="00602965">
        <w:rPr>
          <w:rFonts w:cs="Arial"/>
          <w:rtl/>
        </w:rPr>
        <w:t>הסברא הזאת אכתי לא אסיק אדעתי' הגאון ז"ל בעת כתבו התשובה בנו"ב קמ"א סי' פ"ו הנ"ל ולכך הוצרך שם לחפש היתר אחר</w:t>
      </w:r>
      <w:r>
        <w:rPr>
          <w:rFonts w:cs="Arial" w:hint="cs"/>
          <w:rtl/>
        </w:rPr>
        <w:t>, פת"ש (שם).</w:t>
      </w:r>
    </w:p>
  </w:footnote>
  <w:footnote w:id="829">
    <w:p w14:paraId="1BCC9BC1" w14:textId="77777777" w:rsidR="00FA2119" w:rsidRDefault="00FA2119" w:rsidP="00FA2119">
      <w:pPr>
        <w:pStyle w:val="a5"/>
      </w:pPr>
      <w:r>
        <w:rPr>
          <w:rStyle w:val="a7"/>
        </w:rPr>
        <w:footnoteRef/>
      </w:r>
      <w:r>
        <w:rPr>
          <w:rtl/>
        </w:rPr>
        <w:t xml:space="preserve"> </w:t>
      </w:r>
      <w:r w:rsidRPr="00602965">
        <w:rPr>
          <w:rFonts w:cs="Arial"/>
          <w:rtl/>
        </w:rPr>
        <w:t xml:space="preserve">אמנם בתחילת התשובה שם כתב בין חצאי עיגול דאפשר בנ"ד כיון </w:t>
      </w:r>
      <w:r w:rsidRPr="00BD435D">
        <w:rPr>
          <w:rtl/>
        </w:rPr>
        <w:t>דעדיין לא נמסר ליד האשה אפילו בטופס אין להכשיר אם לא במקום עיגון. ועמ"ש בזה לעיל סי' קכ"ה סק"ל</w:t>
      </w:r>
      <w:r>
        <w:rPr>
          <w:rFonts w:hint="cs"/>
          <w:rtl/>
        </w:rPr>
        <w:t>.</w:t>
      </w:r>
      <w:r w:rsidRPr="00065921">
        <w:rPr>
          <w:rtl/>
        </w:rPr>
        <w:t xml:space="preserve"> </w:t>
      </w:r>
      <w:r w:rsidRPr="00BD435D">
        <w:rPr>
          <w:rtl/>
        </w:rPr>
        <w:t xml:space="preserve">ועיין בס' תפארת ישראל </w:t>
      </w:r>
      <w:r>
        <w:rPr>
          <w:rFonts w:hint="cs"/>
          <w:rtl/>
        </w:rPr>
        <w:t>(</w:t>
      </w:r>
      <w:r w:rsidRPr="00BD435D">
        <w:rPr>
          <w:rtl/>
        </w:rPr>
        <w:t>על משניות סוף סדר</w:t>
      </w:r>
      <w:r w:rsidRPr="00602965">
        <w:rPr>
          <w:rFonts w:cs="Arial"/>
          <w:color w:val="00B0F0"/>
          <w:rtl/>
        </w:rPr>
        <w:t xml:space="preserve"> </w:t>
      </w:r>
      <w:r w:rsidRPr="00602965">
        <w:rPr>
          <w:rFonts w:cs="Arial"/>
          <w:rtl/>
        </w:rPr>
        <w:t>נשים ברמזי אה"ע לסי' קכב</w:t>
      </w:r>
      <w:r>
        <w:rPr>
          <w:rFonts w:cs="Arial" w:hint="cs"/>
          <w:rtl/>
        </w:rPr>
        <w:t>)</w:t>
      </w:r>
      <w:r w:rsidRPr="00602965">
        <w:rPr>
          <w:rFonts w:cs="Arial"/>
          <w:rtl/>
        </w:rPr>
        <w:t xml:space="preserve"> </w:t>
      </w:r>
      <w:r>
        <w:rPr>
          <w:rFonts w:cs="Arial" w:hint="cs"/>
          <w:rtl/>
        </w:rPr>
        <w:t>ש</w:t>
      </w:r>
      <w:r w:rsidRPr="00602965">
        <w:rPr>
          <w:rFonts w:cs="Arial"/>
          <w:rtl/>
        </w:rPr>
        <w:t>הזכיר ג"כ דברי תשו' עה"ג הנ"ל בקצרה וכתב עליו</w:t>
      </w:r>
      <w:r>
        <w:rPr>
          <w:rFonts w:cs="Arial" w:hint="cs"/>
          <w:rtl/>
        </w:rPr>
        <w:t>-</w:t>
      </w:r>
      <w:r w:rsidRPr="00602965">
        <w:rPr>
          <w:rFonts w:cs="Arial"/>
          <w:rtl/>
        </w:rPr>
        <w:t xml:space="preserve"> ונ"ל דכמו כן תיבת את דהרי א"צ ניכר מתוכו רק לר"מ כמ"ש הב"ש סימן ק"ל סק"ד כו' ע"ש</w:t>
      </w:r>
      <w:r>
        <w:rPr>
          <w:rFonts w:cs="Arial" w:hint="cs"/>
          <w:rtl/>
        </w:rPr>
        <w:t>,</w:t>
      </w:r>
      <w:r>
        <w:rPr>
          <w:rFonts w:hint="cs"/>
          <w:rtl/>
        </w:rPr>
        <w:t xml:space="preserve"> פת"ש (שם).</w:t>
      </w:r>
    </w:p>
  </w:footnote>
  <w:footnote w:id="830">
    <w:p w14:paraId="137FF556" w14:textId="77777777" w:rsidR="00FA2119" w:rsidRDefault="00FA2119" w:rsidP="00FA2119">
      <w:pPr>
        <w:pStyle w:val="a5"/>
        <w:rPr>
          <w:rtl/>
        </w:rPr>
      </w:pPr>
      <w:r>
        <w:rPr>
          <w:rStyle w:val="a7"/>
        </w:rPr>
        <w:footnoteRef/>
      </w:r>
      <w:r>
        <w:rPr>
          <w:rtl/>
        </w:rPr>
        <w:t xml:space="preserve"> </w:t>
      </w:r>
      <w:r>
        <w:rPr>
          <w:rFonts w:hint="cs"/>
          <w:rtl/>
        </w:rPr>
        <w:t xml:space="preserve">במרדכי כתוב ריצב"א (וכ"כ בדרכ"מ [אות לב*]), אך בסוף התשובה חתום שמו של רבינו שמשון בר אברהם. לכן נראה שזו טעות סופר, וה- י', צ', הם- ש'.  </w:t>
      </w:r>
    </w:p>
  </w:footnote>
  <w:footnote w:id="831">
    <w:p w14:paraId="2EF39CE4" w14:textId="77777777" w:rsidR="00FA2119" w:rsidRDefault="00FA2119" w:rsidP="00FA2119">
      <w:pPr>
        <w:pStyle w:val="a5"/>
      </w:pPr>
      <w:r>
        <w:rPr>
          <w:rStyle w:val="a7"/>
        </w:rPr>
        <w:footnoteRef/>
      </w:r>
      <w:r>
        <w:rPr>
          <w:rtl/>
        </w:rPr>
        <w:t xml:space="preserve"> </w:t>
      </w:r>
      <w:r>
        <w:rPr>
          <w:rFonts w:cs="Arial" w:hint="cs"/>
          <w:rtl/>
        </w:rPr>
        <w:t>אך ב</w:t>
      </w:r>
      <w:r w:rsidRPr="002D1B98">
        <w:rPr>
          <w:rFonts w:cs="Arial"/>
          <w:rtl/>
        </w:rPr>
        <w:t>טופס הרא"ש דרבינו ירוחם</w:t>
      </w:r>
      <w:r>
        <w:rPr>
          <w:rFonts w:cs="Arial" w:hint="cs"/>
          <w:rtl/>
        </w:rPr>
        <w:t xml:space="preserve"> </w:t>
      </w:r>
      <w:r w:rsidRPr="002D1B98">
        <w:rPr>
          <w:rFonts w:cs="Arial"/>
          <w:rtl/>
        </w:rPr>
        <w:t>כתוב די יהוי שתי תיבות</w:t>
      </w:r>
      <w:r>
        <w:rPr>
          <w:rFonts w:cs="Arial" w:hint="cs"/>
          <w:rtl/>
        </w:rPr>
        <w:t>.</w:t>
      </w:r>
    </w:p>
  </w:footnote>
  <w:footnote w:id="832">
    <w:p w14:paraId="52D69697" w14:textId="77777777" w:rsidR="00FA2119" w:rsidRDefault="00FA2119" w:rsidP="00FA2119">
      <w:pPr>
        <w:pStyle w:val="a5"/>
      </w:pPr>
      <w:r>
        <w:rPr>
          <w:rStyle w:val="a7"/>
        </w:rPr>
        <w:footnoteRef/>
      </w:r>
      <w:r>
        <w:rPr>
          <w:rtl/>
        </w:rPr>
        <w:t xml:space="preserve"> </w:t>
      </w:r>
      <w:r>
        <w:rPr>
          <w:rFonts w:cs="Arial" w:hint="cs"/>
          <w:rtl/>
        </w:rPr>
        <w:t>אך ב</w:t>
      </w:r>
      <w:r w:rsidRPr="002D1B98">
        <w:rPr>
          <w:rFonts w:cs="Arial"/>
          <w:rtl/>
        </w:rPr>
        <w:t>טופס הר</w:t>
      </w:r>
      <w:r>
        <w:rPr>
          <w:rFonts w:cs="Arial" w:hint="cs"/>
          <w:rtl/>
        </w:rPr>
        <w:t>י</w:t>
      </w:r>
      <w:r w:rsidRPr="002D1B98">
        <w:rPr>
          <w:rFonts w:cs="Arial"/>
          <w:rtl/>
        </w:rPr>
        <w:t>"</w:t>
      </w:r>
      <w:r>
        <w:rPr>
          <w:rFonts w:cs="Arial" w:hint="cs"/>
          <w:rtl/>
        </w:rPr>
        <w:t>ף</w:t>
      </w:r>
      <w:r w:rsidRPr="002D1B98">
        <w:rPr>
          <w:rFonts w:cs="Arial"/>
          <w:rtl/>
        </w:rPr>
        <w:t xml:space="preserve"> דרבינו ירוחם</w:t>
      </w:r>
      <w:r>
        <w:rPr>
          <w:rFonts w:cs="Arial" w:hint="cs"/>
          <w:rtl/>
        </w:rPr>
        <w:t xml:space="preserve"> </w:t>
      </w:r>
      <w:r w:rsidRPr="002D1B98">
        <w:rPr>
          <w:rFonts w:cs="Arial"/>
          <w:rtl/>
        </w:rPr>
        <w:t xml:space="preserve">כתוב </w:t>
      </w:r>
      <w:r>
        <w:rPr>
          <w:rFonts w:cs="Arial" w:hint="cs"/>
          <w:rtl/>
        </w:rPr>
        <w:t>מנאי.</w:t>
      </w:r>
    </w:p>
  </w:footnote>
  <w:footnote w:id="833">
    <w:p w14:paraId="0D5C0ECD" w14:textId="77777777" w:rsidR="00FA2119" w:rsidRDefault="00FA2119" w:rsidP="00FA2119">
      <w:pPr>
        <w:pStyle w:val="a5"/>
      </w:pPr>
      <w:r>
        <w:rPr>
          <w:rStyle w:val="a7"/>
        </w:rPr>
        <w:footnoteRef/>
      </w:r>
      <w:r>
        <w:rPr>
          <w:rtl/>
        </w:rPr>
        <w:t xml:space="preserve"> </w:t>
      </w:r>
      <w:r w:rsidRPr="00C9640C">
        <w:rPr>
          <w:rFonts w:cs="Arial"/>
          <w:rtl/>
        </w:rPr>
        <w:t>ומצאתי בתיקון ישן אם כתב מינאי מלא אין לפסלו בשעת הדחק עכ"ל</w:t>
      </w:r>
      <w:r>
        <w:rPr>
          <w:rFonts w:cs="Arial" w:hint="cs"/>
          <w:rtl/>
        </w:rPr>
        <w:t>, דרכ"מ (אות לג).</w:t>
      </w:r>
    </w:p>
  </w:footnote>
  <w:footnote w:id="834">
    <w:p w14:paraId="1FB09030" w14:textId="77777777" w:rsidR="00FA2119" w:rsidRDefault="00FA2119" w:rsidP="00FA2119">
      <w:pPr>
        <w:pStyle w:val="a5"/>
      </w:pPr>
      <w:r>
        <w:rPr>
          <w:rStyle w:val="a7"/>
        </w:rPr>
        <w:footnoteRef/>
      </w:r>
      <w:r>
        <w:rPr>
          <w:rtl/>
        </w:rPr>
        <w:t xml:space="preserve"> </w:t>
      </w:r>
      <w:r w:rsidRPr="00420D9C">
        <w:rPr>
          <w:rFonts w:cs="Arial"/>
          <w:rtl/>
        </w:rPr>
        <w:t>כי ביו"ד משמע דרך מינות ויקרא המ"ם בחירק ונו"ן בקמץ ואל"ף בחירק דהוי' הוי"ו בצירי, לבוש</w:t>
      </w:r>
      <w:r>
        <w:rPr>
          <w:rFonts w:cs="Arial" w:hint="cs"/>
          <w:rtl/>
        </w:rPr>
        <w:t xml:space="preserve">, </w:t>
      </w:r>
      <w:r w:rsidRPr="00420D9C">
        <w:rPr>
          <w:rFonts w:cs="Arial" w:hint="cs"/>
          <w:b/>
          <w:bCs/>
          <w:rtl/>
        </w:rPr>
        <w:t>ב"ש</w:t>
      </w:r>
      <w:r>
        <w:rPr>
          <w:rFonts w:cs="Arial" w:hint="cs"/>
          <w:rtl/>
        </w:rPr>
        <w:t xml:space="preserve"> (סקל"ח).</w:t>
      </w:r>
      <w:r w:rsidRPr="00420D9C">
        <w:rPr>
          <w:rFonts w:cs="Arial"/>
          <w:rtl/>
        </w:rPr>
        <w:t xml:space="preserve"> </w:t>
      </w:r>
      <w:r w:rsidRPr="009C1856">
        <w:rPr>
          <w:rFonts w:cs="Arial"/>
          <w:rtl/>
        </w:rPr>
        <w:t xml:space="preserve">ובתשו' מהריב"ל </w:t>
      </w:r>
      <w:r>
        <w:rPr>
          <w:rFonts w:cs="Arial" w:hint="cs"/>
          <w:rtl/>
        </w:rPr>
        <w:t>(</w:t>
      </w:r>
      <w:r w:rsidRPr="009C1856">
        <w:rPr>
          <w:rFonts w:cs="Arial"/>
          <w:rtl/>
        </w:rPr>
        <w:t>ח"ג סי</w:t>
      </w:r>
      <w:r>
        <w:rPr>
          <w:rFonts w:cs="Arial" w:hint="cs"/>
          <w:rtl/>
        </w:rPr>
        <w:t>'</w:t>
      </w:r>
      <w:r w:rsidRPr="009C1856">
        <w:rPr>
          <w:rFonts w:cs="Arial"/>
          <w:rtl/>
        </w:rPr>
        <w:t xml:space="preserve"> סט</w:t>
      </w:r>
      <w:r>
        <w:rPr>
          <w:rFonts w:cs="Arial" w:hint="cs"/>
          <w:rtl/>
        </w:rPr>
        <w:t>)</w:t>
      </w:r>
      <w:r w:rsidRPr="009C1856">
        <w:rPr>
          <w:rFonts w:cs="Arial"/>
          <w:rtl/>
        </w:rPr>
        <w:t xml:space="preserve"> כתב טעם אחר משום דלא לשתמע שמא דגברא דשמיה ינאי</w:t>
      </w:r>
      <w:r>
        <w:rPr>
          <w:rFonts w:cs="Arial" w:hint="cs"/>
          <w:rtl/>
        </w:rPr>
        <w:t>,</w:t>
      </w:r>
      <w:r w:rsidRPr="009C1856">
        <w:rPr>
          <w:rFonts w:cs="Arial"/>
          <w:rtl/>
        </w:rPr>
        <w:t xml:space="preserve"> והספר תרוכין ושבוקין מההוא גברא דשמיה ינאי ולא ממנו כו'</w:t>
      </w:r>
      <w:r>
        <w:rPr>
          <w:rFonts w:cs="Arial" w:hint="cs"/>
          <w:rtl/>
        </w:rPr>
        <w:t>,</w:t>
      </w:r>
      <w:r w:rsidRPr="009C1856">
        <w:rPr>
          <w:rFonts w:cs="Arial"/>
          <w:rtl/>
        </w:rPr>
        <w:t xml:space="preserve"> ע"ש בביאורי לסג"ר אות ק"ג מ"ש בזה</w:t>
      </w:r>
      <w:r>
        <w:rPr>
          <w:rFonts w:hint="cs"/>
          <w:rtl/>
        </w:rPr>
        <w:t>,</w:t>
      </w:r>
      <w:r w:rsidRPr="00420D9C">
        <w:rPr>
          <w:rFonts w:hint="cs"/>
          <w:b/>
          <w:bCs/>
          <w:rtl/>
        </w:rPr>
        <w:t xml:space="preserve"> פת"ש</w:t>
      </w:r>
      <w:r>
        <w:rPr>
          <w:rFonts w:hint="cs"/>
          <w:rtl/>
        </w:rPr>
        <w:t xml:space="preserve"> (סקמ"ה).</w:t>
      </w:r>
    </w:p>
  </w:footnote>
  <w:footnote w:id="835">
    <w:p w14:paraId="53984060" w14:textId="77777777" w:rsidR="00FA2119" w:rsidRDefault="00FA2119" w:rsidP="00FA2119">
      <w:pPr>
        <w:pStyle w:val="a5"/>
      </w:pPr>
      <w:r>
        <w:rPr>
          <w:rStyle w:val="a7"/>
        </w:rPr>
        <w:footnoteRef/>
      </w:r>
      <w:r>
        <w:rPr>
          <w:rtl/>
        </w:rPr>
        <w:t xml:space="preserve"> </w:t>
      </w:r>
      <w:r>
        <w:rPr>
          <w:rFonts w:cs="Arial" w:hint="cs"/>
          <w:rtl/>
        </w:rPr>
        <w:t>ו</w:t>
      </w:r>
      <w:r>
        <w:rPr>
          <w:rFonts w:cs="Arial"/>
          <w:rtl/>
        </w:rPr>
        <w:t>אם לא כתב תיבת מנאי ונתגרשה באותו גט יראה לי דדיינינן לה כספק מגורשת</w:t>
      </w:r>
      <w:r>
        <w:rPr>
          <w:rFonts w:cs="Arial" w:hint="cs"/>
          <w:rtl/>
        </w:rPr>
        <w:t xml:space="preserve">, ג"פ </w:t>
      </w:r>
      <w:r w:rsidRPr="007D0E91">
        <w:rPr>
          <w:rFonts w:cs="Arial" w:hint="cs"/>
          <w:sz w:val="16"/>
          <w:szCs w:val="16"/>
          <w:rtl/>
        </w:rPr>
        <w:t>(</w:t>
      </w:r>
      <w:r w:rsidRPr="007D0E91">
        <w:rPr>
          <w:rFonts w:cs="Arial"/>
          <w:sz w:val="16"/>
          <w:szCs w:val="16"/>
          <w:rtl/>
        </w:rPr>
        <w:t>סקצ"ו</w:t>
      </w:r>
      <w:r>
        <w:rPr>
          <w:rFonts w:cs="Arial" w:hint="cs"/>
          <w:sz w:val="16"/>
          <w:szCs w:val="16"/>
          <w:rtl/>
        </w:rPr>
        <w:t>, הביאו הפת"ש סקמ"ג</w:t>
      </w:r>
      <w:r w:rsidRPr="007D0E91">
        <w:rPr>
          <w:rFonts w:cs="Arial" w:hint="cs"/>
          <w:sz w:val="16"/>
          <w:szCs w:val="16"/>
          <w:rtl/>
        </w:rPr>
        <w:t>)</w:t>
      </w:r>
      <w:r>
        <w:rPr>
          <w:rFonts w:cs="Arial" w:hint="cs"/>
          <w:rtl/>
        </w:rPr>
        <w:t>.</w:t>
      </w:r>
    </w:p>
  </w:footnote>
  <w:footnote w:id="836">
    <w:p w14:paraId="12EA92E5" w14:textId="26405D41" w:rsidR="00FA2119" w:rsidRDefault="00FA2119" w:rsidP="00FA2119">
      <w:pPr>
        <w:pStyle w:val="a5"/>
      </w:pPr>
      <w:r>
        <w:rPr>
          <w:rStyle w:val="a7"/>
        </w:rPr>
        <w:footnoteRef/>
      </w:r>
      <w:r>
        <w:rPr>
          <w:rtl/>
        </w:rPr>
        <w:t xml:space="preserve"> </w:t>
      </w:r>
      <w:r w:rsidRPr="00C9640C">
        <w:rPr>
          <w:rFonts w:cs="Arial"/>
          <w:rtl/>
        </w:rPr>
        <w:t>וכן הוא בחידושי אגודה (פ"ג דגיטין סי' לח). ועיין לעיל סימן קכ"ב (ד"מ הארוך ריש הסימן וב"י עמ' קכ) תשובת הרשב"א בזה</w:t>
      </w:r>
      <w:r w:rsidR="00ED586A">
        <w:rPr>
          <w:rFonts w:cs="Arial" w:hint="cs"/>
          <w:rtl/>
        </w:rPr>
        <w:t>,</w:t>
      </w:r>
      <w:r w:rsidRPr="00C9640C">
        <w:rPr>
          <w:rFonts w:cs="Arial"/>
          <w:rtl/>
        </w:rPr>
        <w:t xml:space="preserve"> וכן כתב רבינו ירוחם</w:t>
      </w:r>
      <w:r w:rsidR="00ED586A">
        <w:rPr>
          <w:rFonts w:cs="Arial" w:hint="cs"/>
          <w:rtl/>
        </w:rPr>
        <w:t>, דרכ"מ (אות לד).</w:t>
      </w:r>
    </w:p>
  </w:footnote>
  <w:footnote w:id="837">
    <w:p w14:paraId="4C3C93A0" w14:textId="77777777" w:rsidR="00ED586A" w:rsidRPr="00ED586A" w:rsidRDefault="00ED586A" w:rsidP="00ED586A">
      <w:pPr>
        <w:pStyle w:val="a5"/>
        <w:rPr>
          <w:color w:val="000000" w:themeColor="text1"/>
          <w:rtl/>
        </w:rPr>
      </w:pPr>
      <w:r w:rsidRPr="00ED586A">
        <w:rPr>
          <w:rStyle w:val="a7"/>
          <w:color w:val="000000" w:themeColor="text1"/>
        </w:rPr>
        <w:footnoteRef/>
      </w:r>
      <w:r w:rsidRPr="00ED586A">
        <w:rPr>
          <w:color w:val="000000" w:themeColor="text1"/>
          <w:rtl/>
        </w:rPr>
        <w:t xml:space="preserve"> </w:t>
      </w:r>
      <w:r w:rsidRPr="00ED586A">
        <w:rPr>
          <w:rFonts w:cs="Arial"/>
          <w:color w:val="000000" w:themeColor="text1"/>
          <w:rtl/>
        </w:rPr>
        <w:t xml:space="preserve">מסתברא שאם אמר להם שיכתבו גט לארוסתו ולא אמר להם שיכתבו בו דהוית אנתתי אלא שהם טעו וכתבו כן </w:t>
      </w:r>
      <w:r w:rsidRPr="00ED586A">
        <w:rPr>
          <w:rFonts w:cs="Arial" w:hint="cs"/>
          <w:color w:val="000000" w:themeColor="text1"/>
          <w:rtl/>
        </w:rPr>
        <w:t xml:space="preserve">- </w:t>
      </w:r>
      <w:r w:rsidRPr="00ED586A">
        <w:rPr>
          <w:rFonts w:cs="Arial"/>
          <w:color w:val="000000" w:themeColor="text1"/>
          <w:rtl/>
        </w:rPr>
        <w:t>הגט כשר</w:t>
      </w:r>
      <w:r w:rsidRPr="00ED586A">
        <w:rPr>
          <w:rFonts w:cs="Arial" w:hint="cs"/>
          <w:color w:val="000000" w:themeColor="text1"/>
          <w:rtl/>
        </w:rPr>
        <w:t>,</w:t>
      </w:r>
      <w:r w:rsidRPr="00ED586A">
        <w:rPr>
          <w:rFonts w:cs="Arial"/>
          <w:color w:val="000000" w:themeColor="text1"/>
          <w:rtl/>
        </w:rPr>
        <w:t xml:space="preserve"> דארוסתו זו היא אשתו</w:t>
      </w:r>
      <w:r w:rsidRPr="00ED586A">
        <w:rPr>
          <w:rFonts w:cs="Arial" w:hint="cs"/>
          <w:color w:val="000000" w:themeColor="text1"/>
          <w:rtl/>
        </w:rPr>
        <w:t>.</w:t>
      </w:r>
      <w:r w:rsidRPr="00ED586A">
        <w:rPr>
          <w:rFonts w:cs="Arial"/>
          <w:color w:val="000000" w:themeColor="text1"/>
          <w:rtl/>
        </w:rPr>
        <w:t xml:space="preserve"> וראיה מאותה שאמרת דהרי את אשתי הרי זו מקודשת</w:t>
      </w:r>
      <w:r w:rsidRPr="00ED586A">
        <w:rPr>
          <w:rFonts w:cs="Arial" w:hint="cs"/>
          <w:color w:val="000000" w:themeColor="text1"/>
          <w:rtl/>
        </w:rPr>
        <w:t>.</w:t>
      </w:r>
      <w:r w:rsidRPr="00ED586A">
        <w:rPr>
          <w:rFonts w:cs="Arial"/>
          <w:color w:val="000000" w:themeColor="text1"/>
          <w:rtl/>
        </w:rPr>
        <w:t xml:space="preserve"> ואין אשתי כנשואתי</w:t>
      </w:r>
      <w:r w:rsidRPr="00ED586A">
        <w:rPr>
          <w:rFonts w:cs="Arial" w:hint="cs"/>
          <w:color w:val="000000" w:themeColor="text1"/>
          <w:rtl/>
        </w:rPr>
        <w:t>,</w:t>
      </w:r>
      <w:r w:rsidRPr="00ED586A">
        <w:rPr>
          <w:rFonts w:cs="Arial"/>
          <w:color w:val="000000" w:themeColor="text1"/>
          <w:rtl/>
        </w:rPr>
        <w:t xml:space="preserve"> שאילו האומר הרי את נשואתי לא שמענו שתהא מקודשת דלא תקרא נשואה עד שתבעל או עד שתכנס לחופה</w:t>
      </w:r>
      <w:r w:rsidRPr="00ED586A">
        <w:rPr>
          <w:rFonts w:hint="cs"/>
          <w:color w:val="000000" w:themeColor="text1"/>
          <w:rtl/>
        </w:rPr>
        <w:t>.</w:t>
      </w:r>
    </w:p>
  </w:footnote>
  <w:footnote w:id="838">
    <w:p w14:paraId="4C1223DF" w14:textId="77777777" w:rsidR="00FA2119" w:rsidRDefault="00FA2119" w:rsidP="00FA2119">
      <w:pPr>
        <w:pStyle w:val="a5"/>
      </w:pPr>
      <w:r>
        <w:rPr>
          <w:rStyle w:val="a7"/>
        </w:rPr>
        <w:footnoteRef/>
      </w:r>
      <w:r>
        <w:rPr>
          <w:rtl/>
        </w:rPr>
        <w:t xml:space="preserve"> </w:t>
      </w:r>
      <w:r w:rsidRPr="00F85BBA">
        <w:rPr>
          <w:rFonts w:cs="Arial"/>
          <w:rtl/>
        </w:rPr>
        <w:t>וכן משמע מדברי התוספות שם (כו: ד"ה הכא) שאם כתב ארוסתי בגט אשה כשר שכתבו בשם רבינו תם שכיון שרואים שכתוב בגט ארוסתי יחתמו אחר הנישואין כי יסברו דעודה ארוסה ואם תמצא לומר שאם כתב לאשתו ארוסתי פסול תיפוק ליה דפסול משום שכתב ארוסתי לנשואה</w:t>
      </w:r>
      <w:r>
        <w:rPr>
          <w:rFonts w:cs="Arial" w:hint="cs"/>
          <w:rtl/>
        </w:rPr>
        <w:t>.</w:t>
      </w:r>
      <w:r w:rsidRPr="00F85BBA">
        <w:rPr>
          <w:rFonts w:cs="Arial"/>
          <w:rtl/>
        </w:rPr>
        <w:t xml:space="preserve"> אלא משמע דכשר וכדברי רבינו ירוחם ותרומת הדשן</w:t>
      </w:r>
      <w:r>
        <w:rPr>
          <w:rFonts w:cs="Arial" w:hint="cs"/>
          <w:rtl/>
        </w:rPr>
        <w:t>, ב"י.</w:t>
      </w:r>
    </w:p>
  </w:footnote>
  <w:footnote w:id="839">
    <w:p w14:paraId="15425F32" w14:textId="77777777" w:rsidR="00FA2119" w:rsidRDefault="00FA2119" w:rsidP="00FA2119">
      <w:pPr>
        <w:pStyle w:val="a5"/>
      </w:pPr>
      <w:r>
        <w:rPr>
          <w:rStyle w:val="a7"/>
        </w:rPr>
        <w:footnoteRef/>
      </w:r>
      <w:r>
        <w:rPr>
          <w:rtl/>
        </w:rPr>
        <w:t xml:space="preserve"> </w:t>
      </w:r>
      <w:r w:rsidRPr="00474D2E">
        <w:rPr>
          <w:rFonts w:cs="Arial"/>
          <w:rtl/>
        </w:rPr>
        <w:t>הב"י כת' דין זה בדרך אפשר ובד"מ הניח בצ"ע ובלבוש חולק על הב"י ולכאורה נרא' הראיה שהבי' הב"י מתוס' היא ראיה גדולה, ובט"ז כתב די"ל דשאני התם בעת שכת' ארוס' בכשרות כתב דהיתה באותו זמן ארוסה ועיין בד"מ סי' קמ"א שם הביא בהרשא' כותבים לארוס בעל</w:t>
      </w:r>
      <w:r>
        <w:rPr>
          <w:rFonts w:cs="Arial" w:hint="cs"/>
          <w:rtl/>
        </w:rPr>
        <w:t>, ב"ש (סקל"ט).</w:t>
      </w:r>
    </w:p>
  </w:footnote>
  <w:footnote w:id="840">
    <w:p w14:paraId="2E4AC653" w14:textId="77777777" w:rsidR="00FA2119" w:rsidRDefault="00FA2119" w:rsidP="00FA2119">
      <w:pPr>
        <w:pStyle w:val="a5"/>
        <w:rPr>
          <w:rtl/>
        </w:rPr>
      </w:pPr>
      <w:r>
        <w:rPr>
          <w:rStyle w:val="a7"/>
        </w:rPr>
        <w:footnoteRef/>
      </w:r>
      <w:r>
        <w:rPr>
          <w:rtl/>
        </w:rPr>
        <w:t xml:space="preserve"> </w:t>
      </w:r>
      <w:r w:rsidRPr="008A35F0">
        <w:rPr>
          <w:rFonts w:cs="Arial"/>
          <w:rtl/>
        </w:rPr>
        <w:t>טעמא לא ידענא דלכאורה יותר נכון לכתוב אנתתי דאף אם באמת היא רק ארוסה כשר לכל הדיעות משא"כ אם יכתוב ארוסתי שמא באמת היא אשתו וע"ז יש מחמירים כמ"ש הב"ש ס"ק ט"ל גם הראי' שהביא מסי' קמ"ג איני מכיר דשם אין שום ספק על הגט הראשון ובודאי יש לכתוב שם ארוסתי וצ"ע</w:t>
      </w:r>
      <w:r>
        <w:rPr>
          <w:rFonts w:hint="cs"/>
          <w:rtl/>
        </w:rPr>
        <w:t>, פת"ש (סקמ"ו).</w:t>
      </w:r>
    </w:p>
  </w:footnote>
  <w:footnote w:id="841">
    <w:p w14:paraId="05A72ABC" w14:textId="77777777" w:rsidR="00FA2119" w:rsidRDefault="00FA2119" w:rsidP="00FA2119">
      <w:pPr>
        <w:pStyle w:val="a5"/>
      </w:pPr>
      <w:r>
        <w:rPr>
          <w:rStyle w:val="a7"/>
        </w:rPr>
        <w:footnoteRef/>
      </w:r>
      <w:r>
        <w:rPr>
          <w:rtl/>
        </w:rPr>
        <w:t xml:space="preserve"> </w:t>
      </w:r>
      <w:r>
        <w:rPr>
          <w:rFonts w:cs="Arial"/>
          <w:rtl/>
        </w:rPr>
        <w:t>כ' בס' ג"פ משמע דיוד שתחתיה אין קפידא אם אינה נוגעת ובסי' קכ"ה סקע"ב כתבתי די"א דאין חילוק בין יוד שע"ג האלף ליוד שתחתי</w:t>
      </w:r>
      <w:r>
        <w:rPr>
          <w:rFonts w:cs="Arial" w:hint="cs"/>
          <w:rtl/>
        </w:rPr>
        <w:t>ה</w:t>
      </w:r>
      <w:r>
        <w:rPr>
          <w:rFonts w:cs="Arial"/>
          <w:rtl/>
        </w:rPr>
        <w:t xml:space="preserve"> יע"ש</w:t>
      </w:r>
      <w:r>
        <w:rPr>
          <w:rFonts w:cs="Arial" w:hint="cs"/>
          <w:rtl/>
        </w:rPr>
        <w:t>, פת"ש (סקמ"ז).</w:t>
      </w:r>
    </w:p>
  </w:footnote>
  <w:footnote w:id="842">
    <w:p w14:paraId="791F13D5" w14:textId="77777777" w:rsidR="00FA2119" w:rsidRDefault="00FA2119" w:rsidP="00FA2119">
      <w:pPr>
        <w:pStyle w:val="a5"/>
      </w:pPr>
      <w:r>
        <w:rPr>
          <w:rStyle w:val="a7"/>
        </w:rPr>
        <w:footnoteRef/>
      </w:r>
      <w:r>
        <w:rPr>
          <w:rtl/>
        </w:rPr>
        <w:t xml:space="preserve"> </w:t>
      </w:r>
      <w:r>
        <w:rPr>
          <w:rFonts w:cs="Arial"/>
          <w:rtl/>
        </w:rPr>
        <w:t>כתב בס' ג"פ</w:t>
      </w:r>
      <w:r>
        <w:rPr>
          <w:rFonts w:cs="Arial" w:hint="cs"/>
          <w:rtl/>
        </w:rPr>
        <w:t>-</w:t>
      </w:r>
      <w:r>
        <w:rPr>
          <w:rFonts w:cs="Arial"/>
          <w:rtl/>
        </w:rPr>
        <w:t xml:space="preserve"> וצ"ע אמאי לא כתב מרן ז"ל דיתקנם לדבקם כמ"ש מרן בסמוך לענין הדבק של רגלי ההי"ן לגגין</w:t>
      </w:r>
      <w:r>
        <w:rPr>
          <w:rFonts w:cs="Arial" w:hint="cs"/>
          <w:rtl/>
        </w:rPr>
        <w:t>.</w:t>
      </w:r>
      <w:r>
        <w:rPr>
          <w:rFonts w:cs="Arial"/>
          <w:rtl/>
        </w:rPr>
        <w:t xml:space="preserve"> ואפשר משום דהך מילתא דיכול לתקן אחר שלא נצטוה מפי הבעל הרא"ש ז"ל קאמר לה בההיא תשובה דלא האריך הווי"ן כמ"ש הטור ס"ס זה</w:t>
      </w:r>
      <w:r>
        <w:rPr>
          <w:rFonts w:cs="Arial" w:hint="cs"/>
          <w:rtl/>
        </w:rPr>
        <w:t>,</w:t>
      </w:r>
      <w:r>
        <w:rPr>
          <w:rFonts w:cs="Arial"/>
          <w:rtl/>
        </w:rPr>
        <w:t xml:space="preserve"> וחזינן להריב"ש </w:t>
      </w:r>
      <w:r>
        <w:rPr>
          <w:rFonts w:cs="Arial" w:hint="cs"/>
          <w:rtl/>
        </w:rPr>
        <w:t>(</w:t>
      </w:r>
      <w:r>
        <w:rPr>
          <w:rFonts w:cs="Arial"/>
          <w:rtl/>
        </w:rPr>
        <w:t>סי' נו ו</w:t>
      </w:r>
      <w:r>
        <w:rPr>
          <w:rFonts w:cs="Arial" w:hint="cs"/>
          <w:rtl/>
        </w:rPr>
        <w:t xml:space="preserve">סי' </w:t>
      </w:r>
      <w:r>
        <w:rPr>
          <w:rFonts w:cs="Arial"/>
          <w:rtl/>
        </w:rPr>
        <w:t>שטו</w:t>
      </w:r>
      <w:r>
        <w:rPr>
          <w:rFonts w:cs="Arial" w:hint="cs"/>
          <w:rtl/>
        </w:rPr>
        <w:t>)</w:t>
      </w:r>
      <w:r>
        <w:rPr>
          <w:rFonts w:cs="Arial"/>
          <w:rtl/>
        </w:rPr>
        <w:t xml:space="preserve"> דס"ל דטפי עדיף ליתנו בלא תיקון כיון שהתינוק קורא אותו ויו</w:t>
      </w:r>
      <w:r>
        <w:rPr>
          <w:rFonts w:cs="Arial" w:hint="cs"/>
          <w:rtl/>
        </w:rPr>
        <w:t>,</w:t>
      </w:r>
      <w:r>
        <w:rPr>
          <w:rFonts w:cs="Arial"/>
          <w:rtl/>
        </w:rPr>
        <w:t xml:space="preserve"> דאם צריך תיקון איך יתקן אחר להאריך הווי"ן וסבר מרן דלענין כתיבה להאריך הווי"ן או לדבק היודין של שי"ן ועי"ן טפי עדיף ליתנו בלא תיקון ע"י אחר כיון שתינוק קורא אותה כתקנה</w:t>
      </w:r>
      <w:r>
        <w:rPr>
          <w:rFonts w:cs="Arial" w:hint="cs"/>
          <w:rtl/>
        </w:rPr>
        <w:t>.</w:t>
      </w:r>
      <w:r>
        <w:rPr>
          <w:rFonts w:cs="Arial"/>
          <w:rtl/>
        </w:rPr>
        <w:t xml:space="preserve"> אבל לענין גרירת דבק רגלי הההי"ן והקופי"ן טפי עדיף ליתנם בתיקון ויגררם אחר אע</w:t>
      </w:r>
      <w:r>
        <w:rPr>
          <w:rFonts w:cs="Arial" w:hint="cs"/>
          <w:rtl/>
        </w:rPr>
        <w:t>"</w:t>
      </w:r>
      <w:r>
        <w:rPr>
          <w:rFonts w:cs="Arial"/>
          <w:rtl/>
        </w:rPr>
        <w:t>ג דלא נצטוה מפי הבעל</w:t>
      </w:r>
      <w:r>
        <w:rPr>
          <w:rFonts w:cs="Arial" w:hint="cs"/>
          <w:rtl/>
        </w:rPr>
        <w:t>...</w:t>
      </w:r>
      <w:r>
        <w:rPr>
          <w:rFonts w:cs="Arial"/>
          <w:rtl/>
        </w:rPr>
        <w:t xml:space="preserve"> וראיתי בת</w:t>
      </w:r>
      <w:r>
        <w:rPr>
          <w:rFonts w:cs="Arial" w:hint="cs"/>
          <w:rtl/>
        </w:rPr>
        <w:t>שו</w:t>
      </w:r>
      <w:r>
        <w:rPr>
          <w:rFonts w:cs="Arial"/>
          <w:rtl/>
        </w:rPr>
        <w:t xml:space="preserve">' רדב"ז </w:t>
      </w:r>
      <w:r>
        <w:rPr>
          <w:rFonts w:cs="Arial" w:hint="cs"/>
          <w:rtl/>
        </w:rPr>
        <w:t>(</w:t>
      </w:r>
      <w:r>
        <w:rPr>
          <w:rFonts w:cs="Arial"/>
          <w:rtl/>
        </w:rPr>
        <w:t>כ"י</w:t>
      </w:r>
      <w:r>
        <w:rPr>
          <w:rFonts w:cs="Arial" w:hint="cs"/>
          <w:rtl/>
        </w:rPr>
        <w:t>)</w:t>
      </w:r>
      <w:r>
        <w:rPr>
          <w:rFonts w:cs="Arial"/>
          <w:rtl/>
        </w:rPr>
        <w:t xml:space="preserve"> בגט שבא מארץ מרחקים והיו רגלי התוין רחוקים מגגן והכשיר הגט ע"י תיקון</w:t>
      </w:r>
      <w:r>
        <w:rPr>
          <w:rFonts w:cs="Arial" w:hint="cs"/>
          <w:rtl/>
        </w:rPr>
        <w:t>.</w:t>
      </w:r>
      <w:r>
        <w:rPr>
          <w:rFonts w:cs="Arial"/>
          <w:rtl/>
        </w:rPr>
        <w:t xml:space="preserve"> ולע"ד יראה דיתנו אותו בלא תיקון ויחזור השליח ויקחנו ויתקנו אותו ויתנו לה פעם שנית עכ"ל</w:t>
      </w:r>
      <w:r>
        <w:rPr>
          <w:rFonts w:cs="Arial" w:hint="cs"/>
          <w:rtl/>
        </w:rPr>
        <w:t>, פת"ש (סקמ"ח).</w:t>
      </w:r>
    </w:p>
  </w:footnote>
  <w:footnote w:id="843">
    <w:p w14:paraId="3848D2A8" w14:textId="7718BFFA" w:rsidR="00FA2119" w:rsidRDefault="00FA2119" w:rsidP="00FA2119">
      <w:pPr>
        <w:pStyle w:val="a5"/>
      </w:pPr>
      <w:r>
        <w:rPr>
          <w:rStyle w:val="a7"/>
        </w:rPr>
        <w:footnoteRef/>
      </w:r>
      <w:r>
        <w:rPr>
          <w:rtl/>
        </w:rPr>
        <w:t xml:space="preserve"> </w:t>
      </w:r>
      <w:r w:rsidRPr="00474D2E">
        <w:rPr>
          <w:rFonts w:cs="Arial"/>
          <w:rtl/>
        </w:rPr>
        <w:t>בסי' הקודם כתבתי לדעת רמ"א בדיעבד שניתן הגט ומקום עיגון כשר באותיות שאינ' נוגעים שפיר או בההי"ן וקופי"ן שנוגעי' לגגין</w:t>
      </w:r>
      <w:r w:rsidR="0040199D">
        <w:rPr>
          <w:rFonts w:cs="Arial" w:hint="cs"/>
          <w:rtl/>
        </w:rPr>
        <w:t>,</w:t>
      </w:r>
      <w:r w:rsidRPr="00474D2E">
        <w:rPr>
          <w:rFonts w:cs="Arial"/>
          <w:rtl/>
        </w:rPr>
        <w:t xml:space="preserve"> וכן הוא בב"י</w:t>
      </w:r>
      <w:r w:rsidR="0040199D">
        <w:rPr>
          <w:rFonts w:cs="Arial" w:hint="cs"/>
          <w:rtl/>
        </w:rPr>
        <w:t>,</w:t>
      </w:r>
      <w:r w:rsidRPr="00474D2E">
        <w:rPr>
          <w:rFonts w:cs="Arial"/>
          <w:rtl/>
        </w:rPr>
        <w:t xml:space="preserve"> ודוחק לומר מ"ש הב"י בדיעבד היינו שנכתב ולא ניתן</w:t>
      </w:r>
      <w:r w:rsidR="0040199D">
        <w:rPr>
          <w:rFonts w:cs="Arial" w:hint="cs"/>
          <w:rtl/>
        </w:rPr>
        <w:t>.</w:t>
      </w:r>
      <w:r w:rsidRPr="00474D2E">
        <w:rPr>
          <w:rFonts w:cs="Arial"/>
          <w:rtl/>
        </w:rPr>
        <w:t xml:space="preserve"> ואם חסר ה"א של ושלטאה וכת' ושלטא כשר </w:t>
      </w:r>
      <w:r w:rsidR="0040199D">
        <w:rPr>
          <w:rFonts w:cs="Arial" w:hint="cs"/>
          <w:rtl/>
        </w:rPr>
        <w:t>[</w:t>
      </w:r>
      <w:r w:rsidRPr="00474D2E">
        <w:rPr>
          <w:rFonts w:cs="Arial"/>
          <w:rtl/>
        </w:rPr>
        <w:t>ט"ז</w:t>
      </w:r>
      <w:r w:rsidR="0040199D">
        <w:rPr>
          <w:rFonts w:cs="Arial" w:hint="cs"/>
          <w:rtl/>
        </w:rPr>
        <w:t>].</w:t>
      </w:r>
      <w:r w:rsidRPr="00474D2E">
        <w:rPr>
          <w:rFonts w:cs="Arial"/>
          <w:rtl/>
        </w:rPr>
        <w:t xml:space="preserve"> וכתב הב"י אם אירע כן בטופס כשר דלא גרע מחסר, ולכאורה קשה דהא אם נוגע ההי"א לגג הוי חית ונשתנה המלה והוי כמו שינוי עלמא</w:t>
      </w:r>
      <w:r w:rsidR="0040199D">
        <w:rPr>
          <w:rFonts w:cs="Arial" w:hint="cs"/>
          <w:rtl/>
        </w:rPr>
        <w:t>.</w:t>
      </w:r>
      <w:r w:rsidRPr="00474D2E">
        <w:rPr>
          <w:rFonts w:cs="Arial"/>
          <w:rtl/>
        </w:rPr>
        <w:t xml:space="preserve"> ואפשר כל שאינו שינוי הגט אלא שינוי המלה ס"ל דכשר</w:t>
      </w:r>
      <w:r w:rsidR="0040199D">
        <w:rPr>
          <w:rFonts w:cs="Arial" w:hint="cs"/>
          <w:rtl/>
        </w:rPr>
        <w:t>,</w:t>
      </w:r>
      <w:r w:rsidRPr="00474D2E">
        <w:rPr>
          <w:rFonts w:cs="Arial"/>
          <w:rtl/>
        </w:rPr>
        <w:t xml:space="preserve"> ועלמא הטעם משום דהוי כאלו אין זמן בגט</w:t>
      </w:r>
      <w:r w:rsidR="0040199D">
        <w:rPr>
          <w:rFonts w:cs="Arial" w:hint="cs"/>
          <w:rtl/>
        </w:rPr>
        <w:t>.</w:t>
      </w:r>
      <w:r w:rsidRPr="00474D2E">
        <w:rPr>
          <w:rFonts w:cs="Arial"/>
          <w:rtl/>
        </w:rPr>
        <w:t xml:space="preserve"> וכן לדברי הרב רמ"א כל שלא נשתנה הגט אע</w:t>
      </w:r>
      <w:r w:rsidR="0040199D">
        <w:rPr>
          <w:rFonts w:cs="Arial" w:hint="cs"/>
          <w:rtl/>
        </w:rPr>
        <w:t>"</w:t>
      </w:r>
      <w:r w:rsidRPr="00474D2E">
        <w:rPr>
          <w:rFonts w:cs="Arial"/>
          <w:rtl/>
        </w:rPr>
        <w:t>ג דנשתנה פירוש המלה כשר</w:t>
      </w:r>
      <w:r w:rsidR="0040199D">
        <w:rPr>
          <w:rFonts w:cs="Arial" w:hint="cs"/>
          <w:rtl/>
        </w:rPr>
        <w:t>,</w:t>
      </w:r>
      <w:r w:rsidRPr="00474D2E">
        <w:rPr>
          <w:rFonts w:cs="Arial"/>
          <w:rtl/>
        </w:rPr>
        <w:t xml:space="preserve"> ועיין בד"מ ס"ס קכ"ז מ"ש בשם תשו' רד"ך</w:t>
      </w:r>
      <w:r>
        <w:rPr>
          <w:rFonts w:cs="Arial" w:hint="cs"/>
          <w:rtl/>
        </w:rPr>
        <w:t>, ב"ש (סק"מ).</w:t>
      </w:r>
    </w:p>
  </w:footnote>
  <w:footnote w:id="844">
    <w:p w14:paraId="5CC64FAC" w14:textId="23308D8A"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F213DA">
        <w:rPr>
          <w:rFonts w:cs="Arial"/>
          <w:rtl/>
        </w:rPr>
        <w:t>יש להכשיר בהיות הרגל מחובר לגג שהרי דבר פשוט הוא דאין לך אדם לא תינוק ולא חכם ולא טפש שיקרא אותה חי"ת אלא הי"א אע</w:t>
      </w:r>
      <w:r>
        <w:rPr>
          <w:rFonts w:cs="Arial" w:hint="cs"/>
          <w:rtl/>
        </w:rPr>
        <w:t>"</w:t>
      </w:r>
      <w:r w:rsidRPr="00F213DA">
        <w:rPr>
          <w:rFonts w:cs="Arial"/>
          <w:rtl/>
        </w:rPr>
        <w:t>פ שהרגל מחובר לגגו. ומ"מ פשיטא ופשיטא שאם היה הרגל מחובר לגגו בענין שהתינוק לא חכם לא טפש יקרא אותה במקום חי"ת היה גט נפסל בכך. ומ"מ אפשר להיות החבור בתיבה שאף אם תקרא בחי"ת במקום הי"א שלא יפסל הגט בכך</w:t>
      </w:r>
      <w:r>
        <w:rPr>
          <w:rFonts w:cs="Arial" w:hint="cs"/>
          <w:rtl/>
        </w:rPr>
        <w:t>...</w:t>
      </w:r>
      <w:r w:rsidRPr="00F213DA">
        <w:rPr>
          <w:rFonts w:cs="Arial"/>
          <w:rtl/>
        </w:rPr>
        <w:t xml:space="preserve"> וא"כ נראה לי להכשיר מכל הני טעמי דלעיל. ועוד שהרי אפילו לענין ס"ת ותפילין כתב המרדכי קטן שמתחלה פסל להפריד בסכין היכא שנדבקו רגלי ההי"א או הקו"ף</w:t>
      </w:r>
      <w:r>
        <w:rPr>
          <w:rFonts w:cs="Arial" w:hint="cs"/>
          <w:rtl/>
        </w:rPr>
        <w:t>,</w:t>
      </w:r>
      <w:r w:rsidRPr="00F213DA">
        <w:rPr>
          <w:rFonts w:cs="Arial"/>
          <w:rtl/>
        </w:rPr>
        <w:t xml:space="preserve"> ושוב חזר בו והכשיר משמע שאין שם האות נפרד לגמרי משום דביקת הרגל בגג דאל"כ לא היה מכשיר בהפרדת הסכין דא"כ היה כמו חק תוכות.</w:t>
      </w:r>
      <w:r>
        <w:rPr>
          <w:rFonts w:cs="Arial" w:hint="cs"/>
          <w:rtl/>
        </w:rPr>
        <w:t>.</w:t>
      </w:r>
      <w:r w:rsidRPr="00F213DA">
        <w:rPr>
          <w:rFonts w:cs="Arial"/>
          <w:rtl/>
        </w:rPr>
        <w:t>. ומ"מ נראה לי להיות הדבר כשר והגון להפריד בסכין כמו שכתוב בטור אבן העזר שכתב תשובה בשם אביו רבינו אשר ז"ל וששאלתם שליח הובאה שהביא גט ולא היה הווי"ן אריכין אם רשאין ב"ד להאריכן והבעל רחוק מכאן לא הייתי פוסלו בשביל</w:t>
      </w:r>
      <w:r>
        <w:rPr>
          <w:rFonts w:cs="Arial" w:hint="cs"/>
          <w:rtl/>
        </w:rPr>
        <w:t xml:space="preserve">... </w:t>
      </w:r>
      <w:r w:rsidRPr="00F213DA">
        <w:rPr>
          <w:rFonts w:cs="Arial"/>
          <w:rtl/>
        </w:rPr>
        <w:t>עכ"ל</w:t>
      </w:r>
      <w:r>
        <w:rPr>
          <w:rFonts w:cs="Arial" w:hint="cs"/>
          <w:rtl/>
        </w:rPr>
        <w:t>.</w:t>
      </w:r>
      <w:r w:rsidRPr="00F213DA">
        <w:rPr>
          <w:rFonts w:cs="Arial"/>
          <w:rtl/>
        </w:rPr>
        <w:t xml:space="preserve"> הרי לך בהדיא שמותר לתקן הגט משום שהובא ממקום רחוק כ"ש וכ"ש הכא שהלך הבעל למדינת הים ואין לך תקנת עיגון גדול מזה לפי הנלע"ד וגם לא שעת הדחק גדול מזה כיון שהבעל הלך לו למדינת הים</w:t>
      </w:r>
      <w:r>
        <w:rPr>
          <w:rFonts w:cs="Arial" w:hint="cs"/>
          <w:rtl/>
        </w:rPr>
        <w:t>.</w:t>
      </w:r>
    </w:p>
  </w:footnote>
  <w:footnote w:id="845">
    <w:p w14:paraId="3EEB4EC1" w14:textId="77777777" w:rsidR="00FA2119" w:rsidRDefault="00FA2119" w:rsidP="00FA2119">
      <w:pPr>
        <w:pStyle w:val="a5"/>
        <w:rPr>
          <w:rtl/>
        </w:rPr>
      </w:pPr>
      <w:r>
        <w:rPr>
          <w:rStyle w:val="a7"/>
        </w:rPr>
        <w:footnoteRef/>
      </w:r>
      <w:r>
        <w:rPr>
          <w:rtl/>
        </w:rPr>
        <w:t xml:space="preserve"> </w:t>
      </w:r>
      <w:r w:rsidRPr="009F2257">
        <w:rPr>
          <w:rFonts w:cs="Arial"/>
          <w:rtl/>
        </w:rPr>
        <w:t>וכן נהגו כל ישראל וכן ראיתי כל רבותינו נוהגין להכתיב גט אחר כל זמן שאות אחת נוגעת שלא כמשפטה אפילו כמלא נימא ולא ראיתי מעולם מי שהקל בזה לכתחילה</w:t>
      </w:r>
      <w:r>
        <w:rPr>
          <w:rFonts w:cs="Arial" w:hint="cs"/>
          <w:rtl/>
        </w:rPr>
        <w:t xml:space="preserve">, </w:t>
      </w:r>
      <w:r w:rsidRPr="009F2257">
        <w:rPr>
          <w:rFonts w:cs="Arial" w:hint="cs"/>
          <w:b/>
          <w:bCs/>
          <w:rtl/>
        </w:rPr>
        <w:t xml:space="preserve">מהרי"ק </w:t>
      </w:r>
      <w:r>
        <w:rPr>
          <w:rFonts w:cs="Arial" w:hint="cs"/>
          <w:rtl/>
        </w:rPr>
        <w:t>(שורש צח).</w:t>
      </w:r>
      <w:r w:rsidRPr="009F2257">
        <w:rPr>
          <w:rFonts w:cs="Arial"/>
          <w:rtl/>
        </w:rPr>
        <w:t xml:space="preserve"> </w:t>
      </w:r>
      <w:r w:rsidRPr="00AA766B">
        <w:rPr>
          <w:rFonts w:cs="Arial"/>
          <w:rtl/>
        </w:rPr>
        <w:t>ותשובה זו דשורש צ"ח היא בודאי היכא דליכא למיחש לעיגון</w:t>
      </w:r>
      <w:r>
        <w:rPr>
          <w:rFonts w:cs="Arial" w:hint="cs"/>
          <w:rtl/>
        </w:rPr>
        <w:t>,</w:t>
      </w:r>
      <w:r w:rsidRPr="00AA766B">
        <w:rPr>
          <w:rFonts w:cs="Arial"/>
          <w:rtl/>
        </w:rPr>
        <w:t xml:space="preserve"> אבל היכא דאיכא למיחש לעיגון אע</w:t>
      </w:r>
      <w:r>
        <w:rPr>
          <w:rFonts w:cs="Arial" w:hint="cs"/>
          <w:rtl/>
        </w:rPr>
        <w:t>"</w:t>
      </w:r>
      <w:r w:rsidRPr="00AA766B">
        <w:rPr>
          <w:rFonts w:cs="Arial"/>
          <w:rtl/>
        </w:rPr>
        <w:t>ג שעדיין לא ניתן חשוב כדיעבד וכמו שכתב בשורש ע"א</w:t>
      </w:r>
      <w:r>
        <w:rPr>
          <w:rFonts w:cs="Arial" w:hint="cs"/>
          <w:rtl/>
        </w:rPr>
        <w:t xml:space="preserve">, </w:t>
      </w:r>
      <w:r w:rsidRPr="00D13118">
        <w:rPr>
          <w:rFonts w:cs="Arial" w:hint="cs"/>
          <w:b/>
          <w:bCs/>
          <w:rtl/>
        </w:rPr>
        <w:t>ב"י</w:t>
      </w:r>
      <w:r>
        <w:rPr>
          <w:rFonts w:cs="Arial" w:hint="cs"/>
          <w:rtl/>
        </w:rPr>
        <w:t xml:space="preserve"> (בסי' קכו).</w:t>
      </w:r>
      <w:r w:rsidRPr="009F2257">
        <w:rPr>
          <w:rFonts w:cs="Arial"/>
          <w:rtl/>
        </w:rPr>
        <w:t xml:space="preserve"> </w:t>
      </w:r>
      <w:r w:rsidRPr="00024824">
        <w:rPr>
          <w:rFonts w:cs="Arial" w:hint="cs"/>
          <w:color w:val="00B0F0"/>
          <w:rtl/>
        </w:rPr>
        <w:t>(וכ"פ הרמ"א)</w:t>
      </w:r>
    </w:p>
  </w:footnote>
  <w:footnote w:id="846">
    <w:p w14:paraId="643910B6" w14:textId="77777777" w:rsidR="00FA2119" w:rsidRDefault="00FA2119" w:rsidP="00FA2119">
      <w:pPr>
        <w:pStyle w:val="a5"/>
      </w:pPr>
      <w:r>
        <w:rPr>
          <w:rStyle w:val="a7"/>
        </w:rPr>
        <w:footnoteRef/>
      </w:r>
      <w:r>
        <w:rPr>
          <w:rtl/>
        </w:rPr>
        <w:t xml:space="preserve"> </w:t>
      </w:r>
      <w:r w:rsidRPr="008C6FDC">
        <w:rPr>
          <w:rFonts w:cs="Arial"/>
          <w:rtl/>
        </w:rPr>
        <w:t>כלומר אפילו תינוק דלא חכים יכול לקרותו</w:t>
      </w:r>
      <w:r>
        <w:rPr>
          <w:rFonts w:cs="Arial" w:hint="cs"/>
          <w:rtl/>
        </w:rPr>
        <w:t>,</w:t>
      </w:r>
      <w:r w:rsidRPr="008C6FDC">
        <w:rPr>
          <w:rFonts w:cs="Arial"/>
          <w:rtl/>
        </w:rPr>
        <w:t xml:space="preserve"> דכל שאין צורת האות עליו כמו שנמסרה למשה מסיני אין שם אות עליו</w:t>
      </w:r>
      <w:r>
        <w:rPr>
          <w:rFonts w:cs="Arial" w:hint="cs"/>
          <w:rtl/>
        </w:rPr>
        <w:t xml:space="preserve">, </w:t>
      </w:r>
      <w:r w:rsidRPr="003D3705">
        <w:rPr>
          <w:rFonts w:cs="Arial" w:hint="cs"/>
          <w:b/>
          <w:bCs/>
          <w:rtl/>
        </w:rPr>
        <w:t>ח"מ</w:t>
      </w:r>
      <w:r w:rsidRPr="008C6FDC">
        <w:rPr>
          <w:rFonts w:cs="Arial" w:hint="cs"/>
          <w:sz w:val="16"/>
          <w:szCs w:val="16"/>
          <w:rtl/>
        </w:rPr>
        <w:t xml:space="preserve"> (סקכ"ב)</w:t>
      </w:r>
      <w:r>
        <w:rPr>
          <w:rFonts w:cs="Arial" w:hint="cs"/>
          <w:rtl/>
        </w:rPr>
        <w:t>.</w:t>
      </w:r>
      <w:r w:rsidRPr="003D3705">
        <w:rPr>
          <w:rFonts w:cs="Arial"/>
          <w:rtl/>
        </w:rPr>
        <w:t xml:space="preserve"> </w:t>
      </w:r>
      <w:r>
        <w:rPr>
          <w:rFonts w:cs="Arial" w:hint="cs"/>
          <w:rtl/>
        </w:rPr>
        <w:t xml:space="preserve">וכתב </w:t>
      </w:r>
      <w:r w:rsidRPr="003D3705">
        <w:rPr>
          <w:rFonts w:cs="Arial" w:hint="cs"/>
          <w:b/>
          <w:bCs/>
          <w:rtl/>
        </w:rPr>
        <w:t>הב"י</w:t>
      </w:r>
      <w:r>
        <w:rPr>
          <w:rFonts w:cs="Arial" w:hint="cs"/>
          <w:rtl/>
        </w:rPr>
        <w:t xml:space="preserve"> ש</w:t>
      </w:r>
      <w:r w:rsidRPr="00061D30">
        <w:rPr>
          <w:rFonts w:cs="Arial"/>
          <w:rtl/>
        </w:rPr>
        <w:t>מדברי בעל תרוה</w:t>
      </w:r>
      <w:r>
        <w:rPr>
          <w:rFonts w:cs="Arial" w:hint="cs"/>
          <w:rtl/>
        </w:rPr>
        <w:t>"</w:t>
      </w:r>
      <w:r w:rsidRPr="00061D30">
        <w:rPr>
          <w:rFonts w:cs="Arial"/>
          <w:rtl/>
        </w:rPr>
        <w:t>ד בסימן הנזכר משמע שהוא סובר דלהרא"ש אם נדבקו רגלי ההי"ן הגט פסול</w:t>
      </w:r>
      <w:r>
        <w:rPr>
          <w:rFonts w:cs="Arial" w:hint="cs"/>
          <w:rtl/>
        </w:rPr>
        <w:t xml:space="preserve"> </w:t>
      </w:r>
      <w:r w:rsidRPr="003D3705">
        <w:rPr>
          <w:rFonts w:cs="Arial" w:hint="cs"/>
          <w:sz w:val="16"/>
          <w:szCs w:val="16"/>
          <w:rtl/>
        </w:rPr>
        <w:t xml:space="preserve">(וז"ל תרוה"ד- </w:t>
      </w:r>
      <w:r w:rsidRPr="003D3705">
        <w:rPr>
          <w:rFonts w:cs="Arial"/>
          <w:sz w:val="16"/>
          <w:szCs w:val="16"/>
          <w:rtl/>
        </w:rPr>
        <w:t>והשתא נראה דע"כ סובר אשירי דפסול בדיעבד, אם הדביק רגל דשאר ההי"ן, דאי לא"ה מה צריך לפרש דצריך להרחיק יותר בה"א דלמהך, נימא דלעולם דא"צ אלא כשאר ה"א, ואפ"ה שפיר מזהיר תלמודא טפי עליה, משום דפסול אפי' בדיעבד אי אתא בעל ומערער, אפי' לדברי רב האי ובעל העיטור כדאיתא באשירי. אלא ע"כ תצטרך לומר דאפי' בשאר ההי"ן פסול בדיעבד אם הדביק הנפרדים, ה"ה נמי אם היה מפריד אותן שדינם להיות נדבקים</w:t>
      </w:r>
      <w:r w:rsidRPr="003D3705">
        <w:rPr>
          <w:rFonts w:cs="Arial" w:hint="cs"/>
          <w:sz w:val="16"/>
          <w:szCs w:val="16"/>
          <w:rtl/>
        </w:rPr>
        <w:t>)</w:t>
      </w:r>
      <w:r w:rsidRPr="00061D30">
        <w:rPr>
          <w:rFonts w:cs="Arial"/>
          <w:rtl/>
        </w:rPr>
        <w:t>.</w:t>
      </w:r>
    </w:p>
  </w:footnote>
  <w:footnote w:id="847">
    <w:p w14:paraId="7C4304B5" w14:textId="1C3A66CA"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986016">
        <w:rPr>
          <w:rFonts w:cs="Arial"/>
          <w:rtl/>
        </w:rPr>
        <w:t>ותליית קופין וההין וטשטושין אין פוסלין בגט כ"ז שתינוק דלא חכים ולא טפש יכול לקרות' יפה וכל מה שהחמירו בזה הוא לכתחלה אבל בדיעבד לא מפסיל אלא היכא דינוקא דלא חכים ולא טפש יכול למיקרייה</w:t>
      </w:r>
      <w:r>
        <w:rPr>
          <w:rFonts w:cs="Arial" w:hint="cs"/>
          <w:rtl/>
        </w:rPr>
        <w:t>.</w:t>
      </w:r>
    </w:p>
  </w:footnote>
  <w:footnote w:id="848">
    <w:p w14:paraId="321897DB" w14:textId="77777777" w:rsidR="00FA2119" w:rsidRDefault="00FA2119" w:rsidP="00FA2119">
      <w:pPr>
        <w:pStyle w:val="a5"/>
        <w:rPr>
          <w:rtl/>
        </w:rPr>
      </w:pPr>
      <w:r>
        <w:rPr>
          <w:rStyle w:val="a7"/>
        </w:rPr>
        <w:footnoteRef/>
      </w:r>
      <w:r>
        <w:rPr>
          <w:rtl/>
        </w:rPr>
        <w:t xml:space="preserve"> </w:t>
      </w:r>
      <w:r w:rsidRPr="00061D30">
        <w:rPr>
          <w:rFonts w:cs="Arial"/>
          <w:rtl/>
        </w:rPr>
        <w:t>וכתב עוד אם שתי תיבות נקראות כאחד לתינוק גם בזה יש לחלק בין תורף לטופס</w:t>
      </w:r>
      <w:r>
        <w:rPr>
          <w:rFonts w:cs="Arial" w:hint="cs"/>
          <w:rtl/>
        </w:rPr>
        <w:t>, ב"י.</w:t>
      </w:r>
    </w:p>
  </w:footnote>
  <w:footnote w:id="849">
    <w:p w14:paraId="74866906" w14:textId="77777777" w:rsidR="00FA2119" w:rsidRDefault="00FA2119" w:rsidP="00FA2119">
      <w:pPr>
        <w:pStyle w:val="a5"/>
        <w:rPr>
          <w:rtl/>
        </w:rPr>
      </w:pPr>
      <w:r>
        <w:rPr>
          <w:rStyle w:val="a7"/>
        </w:rPr>
        <w:footnoteRef/>
      </w:r>
      <w:r>
        <w:rPr>
          <w:rtl/>
        </w:rPr>
        <w:t xml:space="preserve"> </w:t>
      </w:r>
      <w:r w:rsidRPr="00C9640C">
        <w:rPr>
          <w:rFonts w:cs="Arial"/>
          <w:rtl/>
        </w:rPr>
        <w:t>ונראה לי דהיינו דוקא במקום התורף אבל בטופס כשר כמו שכתבתי בסמוך</w:t>
      </w:r>
      <w:r>
        <w:rPr>
          <w:rFonts w:hint="cs"/>
          <w:rtl/>
        </w:rPr>
        <w:t>, ב"י.</w:t>
      </w:r>
    </w:p>
  </w:footnote>
  <w:footnote w:id="850">
    <w:p w14:paraId="6377FB6C" w14:textId="77777777" w:rsidR="00FA2119" w:rsidRDefault="00FA2119" w:rsidP="00FA2119">
      <w:pPr>
        <w:pStyle w:val="a5"/>
        <w:rPr>
          <w:rtl/>
        </w:rPr>
      </w:pPr>
      <w:r>
        <w:rPr>
          <w:rStyle w:val="a7"/>
        </w:rPr>
        <w:footnoteRef/>
      </w:r>
      <w:r>
        <w:rPr>
          <w:rtl/>
        </w:rPr>
        <w:t xml:space="preserve"> </w:t>
      </w:r>
      <w:r w:rsidRPr="00C9640C">
        <w:rPr>
          <w:rFonts w:cs="Arial"/>
          <w:rtl/>
        </w:rPr>
        <w:t>וכן הוא לקמן בתשובת הרא"ש (כלל מה סי' כה) דכל שאין הענין משתנה אין לפסול בחסרון כזה</w:t>
      </w:r>
      <w:r>
        <w:rPr>
          <w:rFonts w:cs="Arial" w:hint="cs"/>
          <w:rtl/>
        </w:rPr>
        <w:t>, דרכ"מ (אות לה).</w:t>
      </w:r>
    </w:p>
  </w:footnote>
  <w:footnote w:id="851">
    <w:p w14:paraId="0CF53BF9" w14:textId="77777777" w:rsidR="00FA2119" w:rsidRDefault="00FA2119" w:rsidP="00FA2119">
      <w:pPr>
        <w:pStyle w:val="a5"/>
      </w:pPr>
      <w:r>
        <w:rPr>
          <w:rStyle w:val="a7"/>
        </w:rPr>
        <w:footnoteRef/>
      </w:r>
      <w:r>
        <w:rPr>
          <w:rtl/>
        </w:rPr>
        <w:t xml:space="preserve"> </w:t>
      </w:r>
      <w:r w:rsidRPr="00CD0F3C">
        <w:rPr>
          <w:rFonts w:cs="Arial"/>
          <w:rtl/>
        </w:rPr>
        <w:t xml:space="preserve">וה"ר דוד כהן כתב בתשובה </w:t>
      </w:r>
      <w:r>
        <w:rPr>
          <w:rFonts w:cs="Arial" w:hint="cs"/>
          <w:rtl/>
        </w:rPr>
        <w:t>(</w:t>
      </w:r>
      <w:r w:rsidRPr="00CD0F3C">
        <w:rPr>
          <w:rFonts w:cs="Arial"/>
          <w:rtl/>
        </w:rPr>
        <w:t>סי</w:t>
      </w:r>
      <w:r>
        <w:rPr>
          <w:rFonts w:cs="Arial" w:hint="cs"/>
          <w:rtl/>
        </w:rPr>
        <w:t>'</w:t>
      </w:r>
      <w:r w:rsidRPr="00CD0F3C">
        <w:rPr>
          <w:rFonts w:cs="Arial"/>
          <w:rtl/>
        </w:rPr>
        <w:t xml:space="preserve"> ד חדר ד) דאף אם הלשון משתנה אם אין לחוש לקלקול הגירושין כמו שכתב לבריאת עלמה בה' שיש לפרש שהוא לשון נערה, ועיי"ש שהאריך בזה. ועיין לעיל ריש סימן קכ"ו אצל נוסח הגט (אות ו ד"ה לבריאת עולם) דיש מכשירין</w:t>
      </w:r>
      <w:r>
        <w:rPr>
          <w:rFonts w:cs="Arial" w:hint="cs"/>
          <w:rtl/>
        </w:rPr>
        <w:t>, דרכ"מ (אות ה).</w:t>
      </w:r>
    </w:p>
  </w:footnote>
  <w:footnote w:id="852">
    <w:p w14:paraId="370A7BDA" w14:textId="77777777" w:rsidR="00FA2119" w:rsidRDefault="00FA2119" w:rsidP="00FA2119">
      <w:pPr>
        <w:pStyle w:val="a5"/>
      </w:pPr>
      <w:r>
        <w:rPr>
          <w:rStyle w:val="a7"/>
        </w:rPr>
        <w:footnoteRef/>
      </w:r>
      <w:r>
        <w:rPr>
          <w:rtl/>
        </w:rPr>
        <w:t xml:space="preserve"> </w:t>
      </w:r>
      <w:r>
        <w:rPr>
          <w:rFonts w:cs="Arial"/>
          <w:rtl/>
        </w:rPr>
        <w:t xml:space="preserve">עיין בס' גט מקושר </w:t>
      </w:r>
      <w:r>
        <w:rPr>
          <w:rFonts w:cs="Arial" w:hint="cs"/>
          <w:rtl/>
        </w:rPr>
        <w:t>(</w:t>
      </w:r>
      <w:r>
        <w:rPr>
          <w:rFonts w:cs="Arial"/>
          <w:rtl/>
        </w:rPr>
        <w:t>סג"ר אות ק"ל</w:t>
      </w:r>
      <w:r>
        <w:rPr>
          <w:rFonts w:cs="Arial" w:hint="cs"/>
          <w:rtl/>
        </w:rPr>
        <w:t>)</w:t>
      </w:r>
      <w:r>
        <w:rPr>
          <w:rFonts w:cs="Arial"/>
          <w:rtl/>
        </w:rPr>
        <w:t xml:space="preserve"> שפקפק ע"ז</w:t>
      </w:r>
      <w:r>
        <w:rPr>
          <w:rFonts w:cs="Arial" w:hint="cs"/>
          <w:rtl/>
        </w:rPr>
        <w:t>,</w:t>
      </w:r>
      <w:r>
        <w:rPr>
          <w:rFonts w:cs="Arial"/>
          <w:rtl/>
        </w:rPr>
        <w:t xml:space="preserve"> דודאי יש שינוי בענין דכדו משמע שעכשיו הוא פוטרה</w:t>
      </w:r>
      <w:r>
        <w:rPr>
          <w:rFonts w:cs="Arial" w:hint="cs"/>
          <w:rtl/>
        </w:rPr>
        <w:t>,</w:t>
      </w:r>
      <w:r>
        <w:rPr>
          <w:rFonts w:cs="Arial"/>
          <w:rtl/>
        </w:rPr>
        <w:t xml:space="preserve"> אבל וכד משמע שפטרה מכבר</w:t>
      </w:r>
      <w:r>
        <w:rPr>
          <w:rFonts w:cs="Arial" w:hint="cs"/>
          <w:rtl/>
        </w:rPr>
        <w:t>,</w:t>
      </w:r>
      <w:r>
        <w:rPr>
          <w:rFonts w:cs="Arial"/>
          <w:rtl/>
        </w:rPr>
        <w:t xml:space="preserve"> וא"כ משנה ענין הגט כו'</w:t>
      </w:r>
      <w:r>
        <w:rPr>
          <w:rFonts w:cs="Arial" w:hint="cs"/>
          <w:rtl/>
        </w:rPr>
        <w:t>.</w:t>
      </w:r>
      <w:r>
        <w:rPr>
          <w:rFonts w:cs="Arial"/>
          <w:rtl/>
        </w:rPr>
        <w:t xml:space="preserve"> ע"ש ויובא דבריו בסג"ר שם</w:t>
      </w:r>
      <w:r>
        <w:rPr>
          <w:rFonts w:cs="Arial" w:hint="cs"/>
          <w:rtl/>
        </w:rPr>
        <w:t>, פת"ש (סקמ"ט).</w:t>
      </w:r>
    </w:p>
  </w:footnote>
  <w:footnote w:id="853">
    <w:p w14:paraId="283E1D1C" w14:textId="77777777" w:rsidR="00FA2119" w:rsidRDefault="00FA2119" w:rsidP="00FA2119">
      <w:pPr>
        <w:pStyle w:val="a5"/>
      </w:pPr>
      <w:r>
        <w:rPr>
          <w:rStyle w:val="a7"/>
        </w:rPr>
        <w:footnoteRef/>
      </w:r>
      <w:r>
        <w:rPr>
          <w:rtl/>
        </w:rPr>
        <w:t xml:space="preserve"> </w:t>
      </w:r>
      <w:r w:rsidRPr="00716A59">
        <w:rPr>
          <w:rFonts w:cs="Arial"/>
          <w:rtl/>
        </w:rPr>
        <w:t>והגט פסול אפילו אם הבעל אינו מערער</w:t>
      </w:r>
      <w:r>
        <w:rPr>
          <w:rFonts w:cs="Arial" w:hint="cs"/>
          <w:rtl/>
        </w:rPr>
        <w:t>.</w:t>
      </w:r>
      <w:r w:rsidRPr="00716A59">
        <w:rPr>
          <w:rFonts w:cs="Arial"/>
          <w:rtl/>
        </w:rPr>
        <w:t xml:space="preserve"> וגרע טפי ממונין בוא"ו דכשר בעת הדחק</w:t>
      </w:r>
      <w:r>
        <w:rPr>
          <w:rFonts w:cs="Arial" w:hint="cs"/>
          <w:rtl/>
        </w:rPr>
        <w:t>,</w:t>
      </w:r>
      <w:r w:rsidRPr="00716A59">
        <w:rPr>
          <w:rFonts w:cs="Arial"/>
          <w:rtl/>
        </w:rPr>
        <w:t xml:space="preserve"> משום </w:t>
      </w:r>
      <w:r>
        <w:rPr>
          <w:rFonts w:cs="Arial" w:hint="cs"/>
          <w:rtl/>
        </w:rPr>
        <w:t>ד</w:t>
      </w:r>
      <w:r w:rsidRPr="00716A59">
        <w:rPr>
          <w:rFonts w:cs="Arial"/>
          <w:rtl/>
        </w:rPr>
        <w:t>עלמ</w:t>
      </w:r>
      <w:r>
        <w:rPr>
          <w:rFonts w:cs="Arial" w:hint="cs"/>
          <w:rtl/>
        </w:rPr>
        <w:t>ה</w:t>
      </w:r>
      <w:r w:rsidRPr="00716A59">
        <w:rPr>
          <w:rFonts w:cs="Arial"/>
          <w:rtl/>
        </w:rPr>
        <w:t xml:space="preserve"> בה"א סובל יותר ל' נערה מלשון עולם</w:t>
      </w:r>
      <w:r>
        <w:rPr>
          <w:rFonts w:cs="Arial" w:hint="cs"/>
          <w:rtl/>
        </w:rPr>
        <w:t>,</w:t>
      </w:r>
      <w:r w:rsidRPr="00716A59">
        <w:rPr>
          <w:rFonts w:cs="Arial"/>
          <w:rtl/>
        </w:rPr>
        <w:t xml:space="preserve"> אבל בוא"ו יותר משמע לשון מנין</w:t>
      </w:r>
      <w:r>
        <w:rPr>
          <w:rFonts w:cs="Arial" w:hint="cs"/>
          <w:rtl/>
        </w:rPr>
        <w:t>.</w:t>
      </w:r>
      <w:r w:rsidRPr="00716A59">
        <w:rPr>
          <w:rFonts w:cs="Arial"/>
          <w:rtl/>
        </w:rPr>
        <w:t xml:space="preserve"> אבל עלמא באל</w:t>
      </w:r>
      <w:r>
        <w:rPr>
          <w:rFonts w:cs="Arial" w:hint="cs"/>
          <w:rtl/>
        </w:rPr>
        <w:t>"</w:t>
      </w:r>
      <w:r w:rsidRPr="00716A59">
        <w:rPr>
          <w:rFonts w:cs="Arial"/>
          <w:rtl/>
        </w:rPr>
        <w:t>ף כשר</w:t>
      </w:r>
      <w:r>
        <w:rPr>
          <w:rFonts w:cs="Arial" w:hint="cs"/>
          <w:rtl/>
        </w:rPr>
        <w:t>.</w:t>
      </w:r>
      <w:r w:rsidRPr="00716A59">
        <w:rPr>
          <w:rFonts w:cs="Arial"/>
          <w:rtl/>
        </w:rPr>
        <w:t xml:space="preserve"> כת' בנ"ש אפי' לכתחלה כשר ועיין פי' הגט בש"ג אצל המרדכי</w:t>
      </w:r>
      <w:r>
        <w:rPr>
          <w:rFonts w:cs="Arial" w:hint="cs"/>
          <w:rtl/>
        </w:rPr>
        <w:t>, ב"ש (סקמ"א).</w:t>
      </w:r>
    </w:p>
  </w:footnote>
  <w:footnote w:id="854">
    <w:p w14:paraId="71EF7683" w14:textId="77777777" w:rsidR="00FA2119" w:rsidRDefault="00FA2119" w:rsidP="00FA2119">
      <w:pPr>
        <w:pStyle w:val="a5"/>
        <w:rPr>
          <w:rtl/>
        </w:rPr>
      </w:pPr>
      <w:r>
        <w:rPr>
          <w:rStyle w:val="a7"/>
        </w:rPr>
        <w:footnoteRef/>
      </w:r>
      <w:r>
        <w:rPr>
          <w:rtl/>
        </w:rPr>
        <w:t xml:space="preserve"> </w:t>
      </w:r>
      <w:r w:rsidRPr="00C9640C">
        <w:rPr>
          <w:rFonts w:cs="Arial"/>
          <w:rtl/>
        </w:rPr>
        <w:t>וכן הוא לקמן סימן קמ"ז</w:t>
      </w:r>
      <w:r>
        <w:rPr>
          <w:rFonts w:cs="Arial" w:hint="cs"/>
          <w:rtl/>
        </w:rPr>
        <w:t>, דרכ"מ (אות לו).</w:t>
      </w:r>
    </w:p>
  </w:footnote>
  <w:footnote w:id="855">
    <w:p w14:paraId="0AA27A67" w14:textId="77777777" w:rsidR="00FA2119" w:rsidRDefault="00FA2119" w:rsidP="00FA2119">
      <w:pPr>
        <w:pStyle w:val="a5"/>
        <w:rPr>
          <w:rtl/>
        </w:rPr>
      </w:pPr>
      <w:r>
        <w:rPr>
          <w:rStyle w:val="a7"/>
        </w:rPr>
        <w:footnoteRef/>
      </w:r>
      <w:r>
        <w:rPr>
          <w:rtl/>
        </w:rPr>
        <w:t xml:space="preserve"> </w:t>
      </w:r>
      <w:r w:rsidRPr="00E80E94">
        <w:rPr>
          <w:rFonts w:cs="Arial"/>
          <w:rtl/>
        </w:rPr>
        <w:t>והיא אשתו ושמא תזנה תחתיו וחס עליה שלא תחנק וכותב לה גט בלא זמן ונותן לה וכשמעידין עליה בבית דין מוציאה גיטה ואומרת גרושה הייתי ופנויה באותה שעה</w:t>
      </w:r>
      <w:r>
        <w:rPr>
          <w:rFonts w:hint="cs"/>
          <w:rtl/>
        </w:rPr>
        <w:t>, רש"י.</w:t>
      </w:r>
    </w:p>
  </w:footnote>
  <w:footnote w:id="856">
    <w:p w14:paraId="163E69CF" w14:textId="77777777" w:rsidR="00FA2119" w:rsidRDefault="00FA2119" w:rsidP="00FA2119">
      <w:pPr>
        <w:pStyle w:val="a5"/>
        <w:rPr>
          <w:rtl/>
        </w:rPr>
      </w:pPr>
      <w:r>
        <w:rPr>
          <w:rStyle w:val="a7"/>
        </w:rPr>
        <w:footnoteRef/>
      </w:r>
      <w:r>
        <w:rPr>
          <w:rtl/>
        </w:rPr>
        <w:t xml:space="preserve"> </w:t>
      </w:r>
      <w:r w:rsidRPr="00E80E94">
        <w:rPr>
          <w:rFonts w:cs="Arial"/>
          <w:rtl/>
        </w:rPr>
        <w:t>שמזמן הגט ואילך אם ימכור הבעל בפירות נכסי מלוג שלה</w:t>
      </w:r>
      <w:r>
        <w:rPr>
          <w:rFonts w:cs="Arial" w:hint="cs"/>
          <w:rtl/>
        </w:rPr>
        <w:t xml:space="preserve"> -</w:t>
      </w:r>
      <w:r w:rsidRPr="00E80E94">
        <w:rPr>
          <w:rFonts w:cs="Arial"/>
          <w:rtl/>
        </w:rPr>
        <w:t xml:space="preserve"> תגבם</w:t>
      </w:r>
      <w:r>
        <w:rPr>
          <w:rFonts w:cs="Arial" w:hint="cs"/>
          <w:rtl/>
        </w:rPr>
        <w:t>.</w:t>
      </w:r>
      <w:r w:rsidRPr="00E80E94">
        <w:rPr>
          <w:rFonts w:cs="Arial"/>
          <w:rtl/>
        </w:rPr>
        <w:t xml:space="preserve"> ואם לא היה בו זמן</w:t>
      </w:r>
      <w:r>
        <w:rPr>
          <w:rFonts w:cs="Arial" w:hint="cs"/>
          <w:rtl/>
        </w:rPr>
        <w:t xml:space="preserve"> </w:t>
      </w:r>
      <w:r w:rsidRPr="00E80E94">
        <w:rPr>
          <w:rFonts w:cs="Arial"/>
          <w:rtl/>
        </w:rPr>
        <w:t>יהיה מוכר והולך</w:t>
      </w:r>
      <w:r>
        <w:rPr>
          <w:rFonts w:cs="Arial" w:hint="cs"/>
          <w:rtl/>
        </w:rPr>
        <w:t>,</w:t>
      </w:r>
      <w:r w:rsidRPr="00E80E94">
        <w:rPr>
          <w:rFonts w:cs="Arial"/>
          <w:rtl/>
        </w:rPr>
        <w:t xml:space="preserve"> וכשתתבע לדין הויא ידה על התחתונה</w:t>
      </w:r>
      <w:r>
        <w:rPr>
          <w:rFonts w:cs="Arial" w:hint="cs"/>
          <w:rtl/>
        </w:rPr>
        <w:t>,</w:t>
      </w:r>
      <w:r w:rsidRPr="00E80E94">
        <w:rPr>
          <w:rFonts w:cs="Arial"/>
          <w:rtl/>
        </w:rPr>
        <w:t xml:space="preserve"> שיאמר לה </w:t>
      </w:r>
      <w:r>
        <w:rPr>
          <w:rFonts w:cs="Arial" w:hint="cs"/>
          <w:rtl/>
        </w:rPr>
        <w:t>'</w:t>
      </w:r>
      <w:r w:rsidRPr="00E80E94">
        <w:rPr>
          <w:rFonts w:cs="Arial"/>
          <w:rtl/>
        </w:rPr>
        <w:t>קודם גירושין מכרתי</w:t>
      </w:r>
      <w:r>
        <w:rPr>
          <w:rFonts w:hint="cs"/>
          <w:rtl/>
        </w:rPr>
        <w:t>', רש"י.</w:t>
      </w:r>
    </w:p>
  </w:footnote>
  <w:footnote w:id="857">
    <w:p w14:paraId="736DDA00" w14:textId="77777777" w:rsidR="00FA2119" w:rsidRDefault="00FA2119" w:rsidP="00FA2119">
      <w:pPr>
        <w:pStyle w:val="a5"/>
      </w:pPr>
      <w:r>
        <w:rPr>
          <w:rStyle w:val="a7"/>
        </w:rPr>
        <w:footnoteRef/>
      </w:r>
      <w:r>
        <w:rPr>
          <w:rtl/>
        </w:rPr>
        <w:t xml:space="preserve"> </w:t>
      </w:r>
      <w:r w:rsidRPr="00E80E94">
        <w:rPr>
          <w:rFonts w:cs="Arial"/>
          <w:rtl/>
        </w:rPr>
        <w:t>הלכך זמן כתיבת גט לא מהני מידי דכי אתיא למיטרף בעיא לאתויי סהדי אימת מטא גיטא לידה</w:t>
      </w:r>
      <w:r>
        <w:rPr>
          <w:rFonts w:cs="Arial" w:hint="cs"/>
          <w:rtl/>
        </w:rPr>
        <w:t xml:space="preserve">, </w:t>
      </w:r>
      <w:r w:rsidRPr="009C24C4">
        <w:rPr>
          <w:rFonts w:cs="Arial" w:hint="cs"/>
          <w:b/>
          <w:bCs/>
          <w:rtl/>
        </w:rPr>
        <w:t>רש"י</w:t>
      </w:r>
      <w:r>
        <w:rPr>
          <w:rFonts w:cs="Arial" w:hint="cs"/>
          <w:rtl/>
        </w:rPr>
        <w:t>.</w:t>
      </w:r>
      <w:r w:rsidRPr="009C24C4">
        <w:rPr>
          <w:rFonts w:cs="Arial"/>
          <w:rtl/>
        </w:rPr>
        <w:t xml:space="preserve"> </w:t>
      </w:r>
      <w:r>
        <w:rPr>
          <w:rFonts w:cs="Arial"/>
          <w:rtl/>
        </w:rPr>
        <w:t>כלומר דס"ל לרש"י דאפילו בגט שיש בו זמן בעיא לאתויי ראיה אימת מטא גיטא לידה</w:t>
      </w:r>
      <w:r>
        <w:rPr>
          <w:rFonts w:cs="Arial" w:hint="cs"/>
          <w:rtl/>
        </w:rPr>
        <w:t>.</w:t>
      </w:r>
      <w:r>
        <w:rPr>
          <w:rFonts w:cs="Arial"/>
          <w:rtl/>
        </w:rPr>
        <w:t xml:space="preserve"> וחלקו עליו </w:t>
      </w:r>
      <w:r w:rsidRPr="009C24C4">
        <w:rPr>
          <w:rFonts w:cs="Arial"/>
          <w:b/>
          <w:bCs/>
          <w:rtl/>
        </w:rPr>
        <w:t>התוספות</w:t>
      </w:r>
      <w:r>
        <w:rPr>
          <w:rFonts w:cs="Arial"/>
          <w:rtl/>
        </w:rPr>
        <w:t xml:space="preserve"> (פו: ד"ה עד) </w:t>
      </w:r>
      <w:r w:rsidRPr="009C24C4">
        <w:rPr>
          <w:rFonts w:cs="Arial"/>
          <w:b/>
          <w:bCs/>
          <w:rtl/>
        </w:rPr>
        <w:t>והרא"ש</w:t>
      </w:r>
      <w:r>
        <w:rPr>
          <w:rFonts w:cs="Arial"/>
          <w:rtl/>
        </w:rPr>
        <w:t xml:space="preserve"> (שם) </w:t>
      </w:r>
      <w:r w:rsidRPr="009C24C4">
        <w:rPr>
          <w:rFonts w:cs="Arial"/>
          <w:b/>
          <w:bCs/>
          <w:rtl/>
        </w:rPr>
        <w:t>והרשב"א</w:t>
      </w:r>
      <w:r>
        <w:rPr>
          <w:rFonts w:cs="Arial"/>
          <w:rtl/>
        </w:rPr>
        <w:t xml:space="preserve"> (יז: ד"ה אמר) </w:t>
      </w:r>
      <w:r w:rsidRPr="009C24C4">
        <w:rPr>
          <w:rFonts w:cs="Arial"/>
          <w:b/>
          <w:bCs/>
          <w:rtl/>
        </w:rPr>
        <w:t>והר"ן</w:t>
      </w:r>
      <w:r>
        <w:rPr>
          <w:rFonts w:cs="Arial"/>
          <w:rtl/>
        </w:rPr>
        <w:t xml:space="preserve"> (ח. ד"ה אבל)</w:t>
      </w:r>
      <w:r>
        <w:rPr>
          <w:rFonts w:cs="Arial" w:hint="cs"/>
          <w:rtl/>
        </w:rPr>
        <w:t>,</w:t>
      </w:r>
      <w:r>
        <w:rPr>
          <w:rFonts w:cs="Arial"/>
          <w:rtl/>
        </w:rPr>
        <w:t xml:space="preserve"> והכריעו דליתא לדרש"י</w:t>
      </w:r>
      <w:r>
        <w:rPr>
          <w:rFonts w:cs="Arial" w:hint="cs"/>
          <w:rtl/>
        </w:rPr>
        <w:t>,</w:t>
      </w:r>
      <w:r>
        <w:rPr>
          <w:rFonts w:cs="Arial"/>
          <w:rtl/>
        </w:rPr>
        <w:t xml:space="preserve"> דכל שיש בו זמן חזקה שביום הכתוב בו נמסר</w:t>
      </w:r>
      <w:r>
        <w:rPr>
          <w:rFonts w:cs="Arial" w:hint="cs"/>
          <w:rtl/>
        </w:rPr>
        <w:t>.</w:t>
      </w:r>
      <w:r>
        <w:rPr>
          <w:rFonts w:cs="Arial"/>
          <w:rtl/>
        </w:rPr>
        <w:t xml:space="preserve"> אלא הכי פירושו</w:t>
      </w:r>
      <w:r>
        <w:rPr>
          <w:rFonts w:cs="Arial" w:hint="cs"/>
          <w:rtl/>
        </w:rPr>
        <w:t xml:space="preserve">, </w:t>
      </w:r>
      <w:r>
        <w:rPr>
          <w:rFonts w:cs="Arial"/>
          <w:rtl/>
        </w:rPr>
        <w:t>דמשום פירות לא הוצרכו לתקן זמן</w:t>
      </w:r>
      <w:r>
        <w:rPr>
          <w:rFonts w:cs="Arial" w:hint="cs"/>
          <w:rtl/>
        </w:rPr>
        <w:t>.</w:t>
      </w:r>
      <w:r>
        <w:rPr>
          <w:rFonts w:cs="Arial"/>
          <w:rtl/>
        </w:rPr>
        <w:t xml:space="preserve"> דכשאין בו זמן נמי כשיבוא הגט ליד האשה יכולה לבוא לבית דין או לפני עדים ותראה להם גיטה ויכתבו לה שבאותו היום נתגרשה</w:t>
      </w:r>
      <w:r>
        <w:rPr>
          <w:rFonts w:hint="cs"/>
          <w:rtl/>
        </w:rPr>
        <w:t>, ב"י.</w:t>
      </w:r>
    </w:p>
  </w:footnote>
  <w:footnote w:id="858">
    <w:p w14:paraId="58512DDB" w14:textId="77777777" w:rsidR="00FA2119" w:rsidRDefault="00FA2119" w:rsidP="00FA2119">
      <w:pPr>
        <w:pStyle w:val="a5"/>
        <w:rPr>
          <w:rtl/>
        </w:rPr>
      </w:pPr>
      <w:r>
        <w:rPr>
          <w:rStyle w:val="a7"/>
        </w:rPr>
        <w:footnoteRef/>
      </w:r>
      <w:r>
        <w:rPr>
          <w:rtl/>
        </w:rPr>
        <w:t xml:space="preserve"> </w:t>
      </w:r>
      <w:r w:rsidRPr="008B3CA9">
        <w:rPr>
          <w:rFonts w:cs="Arial"/>
          <w:rtl/>
        </w:rPr>
        <w:t xml:space="preserve">כתב בתשובת ריב"ש </w:t>
      </w:r>
      <w:r>
        <w:rPr>
          <w:rFonts w:cs="Arial" w:hint="cs"/>
          <w:rtl/>
        </w:rPr>
        <w:t>(</w:t>
      </w:r>
      <w:r w:rsidRPr="008B3CA9">
        <w:rPr>
          <w:rFonts w:cs="Arial"/>
          <w:rtl/>
        </w:rPr>
        <w:t>סי</w:t>
      </w:r>
      <w:r>
        <w:rPr>
          <w:rFonts w:cs="Arial" w:hint="cs"/>
          <w:rtl/>
        </w:rPr>
        <w:t>'</w:t>
      </w:r>
      <w:r w:rsidRPr="008B3CA9">
        <w:rPr>
          <w:rFonts w:cs="Arial"/>
          <w:rtl/>
        </w:rPr>
        <w:t xml:space="preserve"> קיז</w:t>
      </w:r>
      <w:r>
        <w:rPr>
          <w:rFonts w:cs="Arial" w:hint="cs"/>
          <w:rtl/>
        </w:rPr>
        <w:t>)</w:t>
      </w:r>
      <w:r w:rsidRPr="008B3CA9">
        <w:rPr>
          <w:rFonts w:cs="Arial"/>
          <w:rtl/>
        </w:rPr>
        <w:t xml:space="preserve"> עיקר הזמן שתקנו חכמים בגיטין אינו אלא כמה בחודש וכמה לבריאת עולם</w:t>
      </w:r>
      <w:r>
        <w:rPr>
          <w:rFonts w:cs="Arial" w:hint="cs"/>
          <w:rtl/>
        </w:rPr>
        <w:t>,</w:t>
      </w:r>
      <w:r w:rsidRPr="008B3CA9">
        <w:rPr>
          <w:rFonts w:cs="Arial"/>
          <w:rtl/>
        </w:rPr>
        <w:t xml:space="preserve"> אבל כמה בשבוע לא תקנו</w:t>
      </w:r>
      <w:r>
        <w:rPr>
          <w:rFonts w:cs="Arial" w:hint="cs"/>
          <w:rtl/>
        </w:rPr>
        <w:t>.</w:t>
      </w:r>
      <w:r w:rsidRPr="008B3CA9">
        <w:rPr>
          <w:rFonts w:cs="Arial"/>
          <w:rtl/>
        </w:rPr>
        <w:t xml:space="preserve"> ולכן אם לא כתב כמה בשבת </w:t>
      </w:r>
      <w:r>
        <w:rPr>
          <w:rFonts w:cs="Arial" w:hint="cs"/>
          <w:rtl/>
        </w:rPr>
        <w:t xml:space="preserve">- </w:t>
      </w:r>
      <w:r w:rsidRPr="008B3CA9">
        <w:rPr>
          <w:rFonts w:cs="Arial"/>
          <w:rtl/>
        </w:rPr>
        <w:t xml:space="preserve">כשר. </w:t>
      </w:r>
      <w:r w:rsidRPr="00DB0796">
        <w:rPr>
          <w:rFonts w:cs="Arial"/>
          <w:color w:val="FF0000"/>
          <w:rtl/>
        </w:rPr>
        <w:t>ועיין לקמן סוף סימן זה (עמ' קנג) מה שכתב רבינו בשם הרמב"ם בדין זה</w:t>
      </w:r>
      <w:r>
        <w:rPr>
          <w:rFonts w:cs="Arial" w:hint="cs"/>
          <w:rtl/>
        </w:rPr>
        <w:t>, דרכ"מ (אות א).</w:t>
      </w:r>
    </w:p>
  </w:footnote>
  <w:footnote w:id="859">
    <w:p w14:paraId="3D590E24" w14:textId="77777777" w:rsidR="00FA2119" w:rsidRDefault="00FA2119" w:rsidP="00FA2119">
      <w:pPr>
        <w:pStyle w:val="a5"/>
      </w:pPr>
      <w:r>
        <w:rPr>
          <w:rStyle w:val="a7"/>
        </w:rPr>
        <w:footnoteRef/>
      </w:r>
      <w:r>
        <w:rPr>
          <w:rtl/>
        </w:rPr>
        <w:t xml:space="preserve"> </w:t>
      </w:r>
      <w:r>
        <w:rPr>
          <w:rFonts w:cs="Arial"/>
          <w:rtl/>
        </w:rPr>
        <w:t>כלומר אם תאמר שקודם הזנות נתגרשה בגט זה ואע</w:t>
      </w:r>
      <w:r>
        <w:rPr>
          <w:rFonts w:cs="Arial" w:hint="cs"/>
          <w:rtl/>
        </w:rPr>
        <w:t>"</w:t>
      </w:r>
      <w:r>
        <w:rPr>
          <w:rFonts w:cs="Arial"/>
          <w:rtl/>
        </w:rPr>
        <w:t>פ שהוא פסול לפי שאין בו זמן היינו מדרבנן אבל מדאורייתא גט מעליא הוא ואפילו לאחר תקנת חכמים אם נישאת הולד כשר כדתנן בהמגרש (פו.)</w:t>
      </w:r>
      <w:r>
        <w:rPr>
          <w:rFonts w:cs="Arial" w:hint="cs"/>
          <w:rtl/>
        </w:rPr>
        <w:t>.</w:t>
      </w:r>
      <w:r>
        <w:rPr>
          <w:rFonts w:cs="Arial"/>
          <w:rtl/>
        </w:rPr>
        <w:t xml:space="preserve"> ואם תטעון שהזנות היה אחר נתינת גט זה אינה חייבת מיתה ובניה כשרים ולא נאסרה עליו</w:t>
      </w:r>
      <w:r>
        <w:rPr>
          <w:rFonts w:cs="Arial" w:hint="cs"/>
          <w:rtl/>
        </w:rPr>
        <w:t>,</w:t>
      </w:r>
      <w:r>
        <w:rPr>
          <w:rFonts w:cs="Arial"/>
          <w:rtl/>
        </w:rPr>
        <w:t xml:space="preserve"> והוא שתברר בעדים שקיבלה הגט קודם לזנות</w:t>
      </w:r>
      <w:r>
        <w:rPr>
          <w:rFonts w:cs="Arial" w:hint="cs"/>
          <w:rtl/>
        </w:rPr>
        <w:t>, ב"י.</w:t>
      </w:r>
    </w:p>
  </w:footnote>
  <w:footnote w:id="860">
    <w:p w14:paraId="794C335B" w14:textId="57C1B43D" w:rsidR="0089505C" w:rsidRDefault="0089505C" w:rsidP="0089505C">
      <w:pPr>
        <w:pStyle w:val="a5"/>
        <w:rPr>
          <w:rtl/>
        </w:rPr>
      </w:pPr>
      <w:r>
        <w:rPr>
          <w:rStyle w:val="a7"/>
        </w:rPr>
        <w:footnoteRef/>
      </w:r>
      <w:r>
        <w:rPr>
          <w:rtl/>
        </w:rPr>
        <w:t xml:space="preserve"> </w:t>
      </w:r>
      <w:r w:rsidRPr="008B3CA9">
        <w:rPr>
          <w:rFonts w:cs="Arial"/>
          <w:rtl/>
        </w:rPr>
        <w:t xml:space="preserve">וכן הוא </w:t>
      </w:r>
      <w:r w:rsidR="009334FF">
        <w:rPr>
          <w:rFonts w:cs="Arial"/>
          <w:rtl/>
        </w:rPr>
        <w:t>ב</w:t>
      </w:r>
      <w:r w:rsidR="00DB737E">
        <w:rPr>
          <w:rFonts w:cs="Arial"/>
          <w:rtl/>
        </w:rPr>
        <w:t>הגהות</w:t>
      </w:r>
      <w:r w:rsidRPr="008B3CA9">
        <w:rPr>
          <w:rFonts w:cs="Arial"/>
          <w:rtl/>
        </w:rPr>
        <w:t xml:space="preserve"> אלפסי פ"ב דגיטין (ז: אות ב)</w:t>
      </w:r>
      <w:r>
        <w:rPr>
          <w:rFonts w:cs="Arial" w:hint="cs"/>
          <w:rtl/>
        </w:rPr>
        <w:t>, דרכ"מ (אות א*).</w:t>
      </w:r>
    </w:p>
  </w:footnote>
  <w:footnote w:id="861">
    <w:p w14:paraId="7B5B1BA6" w14:textId="77777777" w:rsidR="0089505C" w:rsidRDefault="0089505C" w:rsidP="0089505C">
      <w:pPr>
        <w:pStyle w:val="a5"/>
      </w:pPr>
      <w:r>
        <w:rPr>
          <w:rStyle w:val="a7"/>
        </w:rPr>
        <w:footnoteRef/>
      </w:r>
      <w:r w:rsidRPr="008B3CA9">
        <w:rPr>
          <w:rFonts w:cs="Arial"/>
          <w:rtl/>
        </w:rPr>
        <w:t xml:space="preserve"> </w:t>
      </w:r>
      <w:r w:rsidRPr="004D1E22">
        <w:rPr>
          <w:rFonts w:cs="Arial"/>
          <w:rtl/>
        </w:rPr>
        <w:t>והרמב"ן בחידושיו (ב"ב קעב: ד"ה ומה) דחה דבריו</w:t>
      </w:r>
      <w:r>
        <w:rPr>
          <w:rFonts w:cs="Arial" w:hint="cs"/>
          <w:rtl/>
        </w:rPr>
        <w:t>,</w:t>
      </w:r>
      <w:r w:rsidRPr="004D1E22">
        <w:rPr>
          <w:rFonts w:cs="Arial"/>
          <w:rtl/>
        </w:rPr>
        <w:t xml:space="preserve"> וגם הרמב"ם בפ</w:t>
      </w:r>
      <w:r>
        <w:rPr>
          <w:rFonts w:cs="Arial" w:hint="cs"/>
          <w:rtl/>
        </w:rPr>
        <w:t>"</w:t>
      </w:r>
      <w:r w:rsidRPr="004D1E22">
        <w:rPr>
          <w:rFonts w:cs="Arial"/>
          <w:rtl/>
        </w:rPr>
        <w:t>א מהל</w:t>
      </w:r>
      <w:r>
        <w:rPr>
          <w:rFonts w:cs="Arial" w:hint="cs"/>
          <w:rtl/>
        </w:rPr>
        <w:t>'</w:t>
      </w:r>
      <w:r w:rsidRPr="004D1E22">
        <w:rPr>
          <w:rFonts w:cs="Arial"/>
          <w:rtl/>
        </w:rPr>
        <w:t xml:space="preserve"> גירושין (הכ"ה) כתב סתם דגט שאין בו זמן פסול וכדברי רבינו</w:t>
      </w:r>
      <w:r>
        <w:rPr>
          <w:rFonts w:hint="cs"/>
          <w:rtl/>
        </w:rPr>
        <w:t>, ב"י.</w:t>
      </w:r>
    </w:p>
  </w:footnote>
  <w:footnote w:id="862">
    <w:p w14:paraId="292CBBF4" w14:textId="77777777" w:rsidR="00FA2119" w:rsidRDefault="00FA2119" w:rsidP="00FA2119">
      <w:pPr>
        <w:pStyle w:val="a5"/>
        <w:rPr>
          <w:rtl/>
        </w:rPr>
      </w:pPr>
      <w:r>
        <w:rPr>
          <w:rStyle w:val="a7"/>
        </w:rPr>
        <w:footnoteRef/>
      </w:r>
      <w:r>
        <w:rPr>
          <w:rtl/>
        </w:rPr>
        <w:t xml:space="preserve"> </w:t>
      </w:r>
      <w:r w:rsidRPr="00E95E9E">
        <w:rPr>
          <w:rFonts w:cs="Arial"/>
          <w:rtl/>
        </w:rPr>
        <w:t>ע' לקמן סי' ק"נ ס"א דאפי' לא נבעלה לא תצא. ושם מבואר עוד דכותבין לה גט כשר ונותנין לה והיא תחת בעלה כו' יע"ש</w:t>
      </w:r>
      <w:r>
        <w:rPr>
          <w:rFonts w:hint="cs"/>
          <w:rtl/>
        </w:rPr>
        <w:t>, פת"ש (סק"א).</w:t>
      </w:r>
    </w:p>
  </w:footnote>
  <w:footnote w:id="863">
    <w:p w14:paraId="34334E17" w14:textId="77777777" w:rsidR="00FA2119" w:rsidRDefault="00FA2119" w:rsidP="00FA2119">
      <w:pPr>
        <w:pStyle w:val="a5"/>
      </w:pPr>
      <w:r>
        <w:rPr>
          <w:rStyle w:val="a7"/>
        </w:rPr>
        <w:footnoteRef/>
      </w:r>
      <w:r>
        <w:rPr>
          <w:rtl/>
        </w:rPr>
        <w:t xml:space="preserve"> </w:t>
      </w:r>
      <w:r w:rsidRPr="00186479">
        <w:rPr>
          <w:rFonts w:cs="Arial"/>
          <w:rtl/>
        </w:rPr>
        <w:t>וכי טרפה מזמן כתיבה בדין טרפה</w:t>
      </w:r>
      <w:r>
        <w:rPr>
          <w:rFonts w:cs="Arial" w:hint="cs"/>
          <w:rtl/>
        </w:rPr>
        <w:t>, רש"י.</w:t>
      </w:r>
    </w:p>
  </w:footnote>
  <w:footnote w:id="864">
    <w:p w14:paraId="2F47A904" w14:textId="77777777" w:rsidR="00FA2119" w:rsidRDefault="00FA2119" w:rsidP="00FA2119">
      <w:pPr>
        <w:pStyle w:val="a5"/>
      </w:pPr>
      <w:r>
        <w:rPr>
          <w:rStyle w:val="a7"/>
        </w:rPr>
        <w:footnoteRef/>
      </w:r>
      <w:r>
        <w:rPr>
          <w:rtl/>
        </w:rPr>
        <w:t xml:space="preserve"> </w:t>
      </w:r>
      <w:r w:rsidRPr="008B3CA9">
        <w:rPr>
          <w:rFonts w:cs="Arial"/>
          <w:rtl/>
        </w:rPr>
        <w:t xml:space="preserve">ופירש </w:t>
      </w:r>
      <w:r w:rsidRPr="00186479">
        <w:rPr>
          <w:rFonts w:cs="Arial"/>
          <w:b/>
          <w:bCs/>
          <w:rtl/>
        </w:rPr>
        <w:t>רש"י</w:t>
      </w:r>
      <w:r w:rsidRPr="008B3CA9">
        <w:rPr>
          <w:rFonts w:cs="Arial"/>
          <w:rtl/>
        </w:rPr>
        <w:t xml:space="preserve"> (יח: ד"ה שמא) חיישינן שמא פייס את אשתו בתוך כך ובא עליה והוי גט ישן</w:t>
      </w:r>
      <w:r>
        <w:rPr>
          <w:rFonts w:cs="Arial" w:hint="cs"/>
          <w:rtl/>
        </w:rPr>
        <w:t>.</w:t>
      </w:r>
      <w:r w:rsidRPr="008B3CA9">
        <w:rPr>
          <w:rFonts w:cs="Arial"/>
          <w:rtl/>
        </w:rPr>
        <w:t xml:space="preserve"> </w:t>
      </w:r>
      <w:r w:rsidRPr="00186479">
        <w:rPr>
          <w:rFonts w:cs="Arial"/>
          <w:b/>
          <w:bCs/>
          <w:rtl/>
        </w:rPr>
        <w:t>ור</w:t>
      </w:r>
      <w:r>
        <w:rPr>
          <w:rFonts w:cs="Arial" w:hint="cs"/>
          <w:b/>
          <w:bCs/>
          <w:rtl/>
        </w:rPr>
        <w:t>"ת</w:t>
      </w:r>
      <w:r w:rsidRPr="008B3CA9">
        <w:rPr>
          <w:rFonts w:cs="Arial"/>
          <w:rtl/>
        </w:rPr>
        <w:t xml:space="preserve"> (שם בתוד"ה שמא) פירש שמא פייס וביטל ואמר גט שנתתי בטל הוא</w:t>
      </w:r>
      <w:r>
        <w:rPr>
          <w:rFonts w:cs="Arial" w:hint="cs"/>
          <w:rtl/>
        </w:rPr>
        <w:t>, ב"י.</w:t>
      </w:r>
    </w:p>
  </w:footnote>
  <w:footnote w:id="865">
    <w:p w14:paraId="6B2BBE11" w14:textId="77777777" w:rsidR="00FA2119" w:rsidRDefault="00FA2119" w:rsidP="00FA2119">
      <w:pPr>
        <w:pStyle w:val="a5"/>
      </w:pPr>
      <w:r>
        <w:rPr>
          <w:rStyle w:val="a7"/>
        </w:rPr>
        <w:footnoteRef/>
      </w:r>
      <w:r>
        <w:rPr>
          <w:rtl/>
        </w:rPr>
        <w:t xml:space="preserve"> </w:t>
      </w:r>
      <w:r w:rsidRPr="00186479">
        <w:rPr>
          <w:rFonts w:cs="Arial"/>
          <w:rtl/>
        </w:rPr>
        <w:t>שהשכנים והשכנות שומעין תגר וקטטה שבין איש לאשתו וכאשר ישקוט את ריבם הכל מרגישים</w:t>
      </w:r>
      <w:r>
        <w:rPr>
          <w:rFonts w:cs="Arial" w:hint="cs"/>
          <w:rtl/>
        </w:rPr>
        <w:t>, רש"י.</w:t>
      </w:r>
    </w:p>
  </w:footnote>
  <w:footnote w:id="866">
    <w:p w14:paraId="08277430" w14:textId="77777777" w:rsidR="00FA2119" w:rsidRDefault="00FA2119" w:rsidP="00FA2119">
      <w:pPr>
        <w:pStyle w:val="a5"/>
      </w:pPr>
      <w:r>
        <w:rPr>
          <w:rStyle w:val="a7"/>
        </w:rPr>
        <w:footnoteRef/>
      </w:r>
      <w:r>
        <w:rPr>
          <w:rtl/>
        </w:rPr>
        <w:t xml:space="preserve"> </w:t>
      </w:r>
      <w:r w:rsidRPr="00D025AC">
        <w:rPr>
          <w:rFonts w:cs="Arial"/>
          <w:rtl/>
        </w:rPr>
        <w:t>שהלך זה לדרכו או ניסת כבר בגט זה</w:t>
      </w:r>
      <w:r>
        <w:rPr>
          <w:rFonts w:cs="Arial" w:hint="cs"/>
          <w:rtl/>
        </w:rPr>
        <w:t>, רש"י.</w:t>
      </w:r>
    </w:p>
  </w:footnote>
  <w:footnote w:id="867">
    <w:p w14:paraId="6CA0F907" w14:textId="77777777" w:rsidR="00FA2119" w:rsidRDefault="00FA2119" w:rsidP="00FA2119">
      <w:pPr>
        <w:pStyle w:val="a5"/>
      </w:pPr>
      <w:r>
        <w:rPr>
          <w:rStyle w:val="a7"/>
        </w:rPr>
        <w:footnoteRef/>
      </w:r>
      <w:r>
        <w:rPr>
          <w:rtl/>
        </w:rPr>
        <w:t xml:space="preserve"> </w:t>
      </w:r>
      <w:r w:rsidRPr="00D025AC">
        <w:rPr>
          <w:rFonts w:cs="Arial"/>
          <w:rtl/>
        </w:rPr>
        <w:t>לרבי יהושע בן לוי</w:t>
      </w:r>
      <w:r>
        <w:rPr>
          <w:rFonts w:cs="Arial" w:hint="cs"/>
          <w:rtl/>
        </w:rPr>
        <w:t>, רש"י.</w:t>
      </w:r>
    </w:p>
  </w:footnote>
  <w:footnote w:id="868">
    <w:p w14:paraId="767E6618" w14:textId="77777777" w:rsidR="00FA2119" w:rsidRDefault="00FA2119" w:rsidP="00FA2119">
      <w:pPr>
        <w:pStyle w:val="a5"/>
        <w:rPr>
          <w:rtl/>
        </w:rPr>
      </w:pPr>
      <w:r>
        <w:rPr>
          <w:rStyle w:val="a7"/>
        </w:rPr>
        <w:footnoteRef/>
      </w:r>
      <w:r>
        <w:rPr>
          <w:rtl/>
        </w:rPr>
        <w:t xml:space="preserve"> </w:t>
      </w:r>
      <w:r w:rsidRPr="00D025AC">
        <w:rPr>
          <w:rFonts w:cs="Arial"/>
          <w:rtl/>
        </w:rPr>
        <w:t>ואין כאן הקדמה דתנאי נינהו ואפילו לרבנן כשר</w:t>
      </w:r>
      <w:r>
        <w:rPr>
          <w:rFonts w:hint="cs"/>
          <w:rtl/>
        </w:rPr>
        <w:t>, רש"י.</w:t>
      </w:r>
    </w:p>
  </w:footnote>
  <w:footnote w:id="869">
    <w:p w14:paraId="6A1F9DED" w14:textId="77777777" w:rsidR="00FA2119" w:rsidRDefault="00FA2119" w:rsidP="00FA2119">
      <w:pPr>
        <w:pStyle w:val="a5"/>
      </w:pPr>
      <w:r>
        <w:rPr>
          <w:rStyle w:val="a7"/>
        </w:rPr>
        <w:footnoteRef/>
      </w:r>
      <w:r>
        <w:rPr>
          <w:rtl/>
        </w:rPr>
        <w:t xml:space="preserve"> </w:t>
      </w:r>
      <w:r w:rsidRPr="008B3CA9">
        <w:rPr>
          <w:rFonts w:cs="Arial"/>
          <w:rtl/>
        </w:rPr>
        <w:t xml:space="preserve">כגון שנכתב בעשרה לחודש והקדים וכתב בחמשה </w:t>
      </w:r>
      <w:r>
        <w:rPr>
          <w:rFonts w:cs="Arial" w:hint="cs"/>
          <w:rtl/>
        </w:rPr>
        <w:t xml:space="preserve">- </w:t>
      </w:r>
      <w:r w:rsidRPr="008B3CA9">
        <w:rPr>
          <w:rFonts w:cs="Arial"/>
          <w:rtl/>
        </w:rPr>
        <w:t>פסול</w:t>
      </w:r>
      <w:r>
        <w:rPr>
          <w:rFonts w:cs="Arial" w:hint="cs"/>
          <w:rtl/>
        </w:rPr>
        <w:t>.</w:t>
      </w:r>
      <w:r w:rsidRPr="008B3CA9">
        <w:rPr>
          <w:rFonts w:cs="Arial"/>
          <w:rtl/>
        </w:rPr>
        <w:t xml:space="preserve"> ומכל מקום כשכתב בו היום שנכתב בו הגט אלא שאיחר החתימה עד הלילה דהיינו נכתב ביום ונחתם בלילה פסק הרא"ש שהוא כשר</w:t>
      </w:r>
      <w:r>
        <w:rPr>
          <w:rFonts w:cs="Arial" w:hint="cs"/>
          <w:rtl/>
        </w:rPr>
        <w:t>.</w:t>
      </w:r>
      <w:r w:rsidRPr="008B3CA9">
        <w:rPr>
          <w:rFonts w:cs="Arial"/>
          <w:rtl/>
        </w:rPr>
        <w:t xml:space="preserve"> ואפשר לפרש דהכי קאמר אם הקדים הזמן</w:t>
      </w:r>
      <w:r>
        <w:rPr>
          <w:rFonts w:cs="Arial" w:hint="cs"/>
          <w:rtl/>
        </w:rPr>
        <w:t>,</w:t>
      </w:r>
      <w:r w:rsidRPr="008B3CA9">
        <w:rPr>
          <w:rFonts w:cs="Arial"/>
          <w:rtl/>
        </w:rPr>
        <w:t xml:space="preserve"> כגון נכתב ביום ונחתם בלילה היכא דאינו שעת הדחק</w:t>
      </w:r>
      <w:r>
        <w:rPr>
          <w:rFonts w:cs="Arial" w:hint="cs"/>
          <w:rtl/>
        </w:rPr>
        <w:t>.</w:t>
      </w:r>
      <w:r w:rsidRPr="008B3CA9">
        <w:rPr>
          <w:rFonts w:cs="Arial"/>
          <w:rtl/>
        </w:rPr>
        <w:t xml:space="preserve"> ומכל מקום היכא שהוא שעת הדחק פסק הרא"ש דכשר</w:t>
      </w:r>
      <w:r>
        <w:rPr>
          <w:rFonts w:cs="Arial" w:hint="cs"/>
          <w:rtl/>
        </w:rPr>
        <w:t>, ב"י.</w:t>
      </w:r>
    </w:p>
  </w:footnote>
  <w:footnote w:id="870">
    <w:p w14:paraId="59FA8D00" w14:textId="77777777" w:rsidR="00FA2119" w:rsidRDefault="00FA2119" w:rsidP="00FA2119">
      <w:pPr>
        <w:pStyle w:val="a5"/>
      </w:pPr>
      <w:r>
        <w:rPr>
          <w:rStyle w:val="a7"/>
        </w:rPr>
        <w:footnoteRef/>
      </w:r>
      <w:r>
        <w:rPr>
          <w:rtl/>
        </w:rPr>
        <w:t xml:space="preserve"> </w:t>
      </w:r>
      <w:r w:rsidRPr="00D025AC">
        <w:rPr>
          <w:rFonts w:cs="Arial"/>
          <w:rtl/>
        </w:rPr>
        <w:t xml:space="preserve">מתני' </w:t>
      </w:r>
      <w:r>
        <w:rPr>
          <w:rFonts w:cs="Arial" w:hint="cs"/>
          <w:rtl/>
        </w:rPr>
        <w:t>(</w:t>
      </w:r>
      <w:r w:rsidRPr="00D025AC">
        <w:rPr>
          <w:rFonts w:cs="Arial"/>
          <w:rtl/>
        </w:rPr>
        <w:t>יז</w:t>
      </w:r>
      <w:r>
        <w:rPr>
          <w:rFonts w:cs="Arial" w:hint="cs"/>
          <w:rtl/>
        </w:rPr>
        <w:t xml:space="preserve">.) </w:t>
      </w:r>
      <w:r w:rsidRPr="00D025AC">
        <w:rPr>
          <w:rFonts w:cs="Arial"/>
          <w:rtl/>
        </w:rPr>
        <w:t>וכת"ק</w:t>
      </w:r>
      <w:r>
        <w:rPr>
          <w:rFonts w:cs="Arial" w:hint="cs"/>
          <w:rtl/>
        </w:rPr>
        <w:t>,</w:t>
      </w:r>
      <w:r w:rsidRPr="00D025AC">
        <w:rPr>
          <w:rFonts w:cs="Arial"/>
          <w:rtl/>
        </w:rPr>
        <w:t xml:space="preserve"> וכ"ש מוקדם דאפי' ר"ש מודה</w:t>
      </w:r>
      <w:r>
        <w:rPr>
          <w:rFonts w:cs="Arial" w:hint="cs"/>
          <w:rtl/>
        </w:rPr>
        <w:t>.</w:t>
      </w:r>
      <w:r w:rsidRPr="00D025AC">
        <w:rPr>
          <w:rFonts w:cs="Arial"/>
          <w:rtl/>
        </w:rPr>
        <w:t xml:space="preserve"> דר"ש ל"פ אלא משום דקסבר כיון שנתן עיניו לגרשה כו' כמש"ש בגמ'</w:t>
      </w:r>
      <w:r>
        <w:rPr>
          <w:rFonts w:cs="Arial" w:hint="cs"/>
          <w:rtl/>
        </w:rPr>
        <w:t>,</w:t>
      </w:r>
      <w:r w:rsidRPr="00D025AC">
        <w:rPr>
          <w:rFonts w:cs="Arial"/>
          <w:rtl/>
        </w:rPr>
        <w:t xml:space="preserve"> משא"כ בהקדים לזמן</w:t>
      </w:r>
      <w:r>
        <w:rPr>
          <w:rFonts w:cs="Arial" w:hint="cs"/>
          <w:rtl/>
        </w:rPr>
        <w:t>, גר"א (סק"ב).</w:t>
      </w:r>
    </w:p>
  </w:footnote>
  <w:footnote w:id="871">
    <w:p w14:paraId="7C001529" w14:textId="77777777" w:rsidR="00FA2119" w:rsidRDefault="00FA2119" w:rsidP="00FA2119">
      <w:pPr>
        <w:pStyle w:val="a5"/>
        <w:rPr>
          <w:rtl/>
        </w:rPr>
      </w:pPr>
      <w:r>
        <w:rPr>
          <w:rStyle w:val="a7"/>
        </w:rPr>
        <w:footnoteRef/>
      </w:r>
      <w:r>
        <w:rPr>
          <w:rtl/>
        </w:rPr>
        <w:t xml:space="preserve"> </w:t>
      </w:r>
      <w:r w:rsidRPr="008B3CA9">
        <w:rPr>
          <w:rFonts w:cs="Arial"/>
          <w:rtl/>
        </w:rPr>
        <w:t>הרא"ש הביא בפסקיו (ס"ט) האי עובדא דרבי יהושע בן לוי והביא דברי רבינו האי שכתב בשעת הדחק איכא פלוגתא ביני רבוותא איכא מאן דאמר מדקאמר רבי יהושע בן לוי כדאי הוא רבי שמעון לסמוך עליו בשעת הדחק שמע מינה דהכין הלכתא</w:t>
      </w:r>
      <w:r>
        <w:rPr>
          <w:rFonts w:cs="Arial" w:hint="cs"/>
          <w:rtl/>
        </w:rPr>
        <w:t>.</w:t>
      </w:r>
      <w:r w:rsidRPr="008B3CA9">
        <w:rPr>
          <w:rFonts w:cs="Arial"/>
          <w:rtl/>
        </w:rPr>
        <w:t xml:space="preserve"> ואיכא מאן דאמר משום דחתום תרי מינייהו ביומיה הוא</w:t>
      </w:r>
      <w:r>
        <w:rPr>
          <w:rFonts w:cs="Arial" w:hint="cs"/>
          <w:rtl/>
        </w:rPr>
        <w:t>,</w:t>
      </w:r>
      <w:r w:rsidRPr="008B3CA9">
        <w:rPr>
          <w:rFonts w:cs="Arial"/>
          <w:rtl/>
        </w:rPr>
        <w:t xml:space="preserve"> הא לאו הכי לא</w:t>
      </w:r>
      <w:r>
        <w:rPr>
          <w:rFonts w:cs="Arial" w:hint="cs"/>
          <w:rtl/>
        </w:rPr>
        <w:t>.</w:t>
      </w:r>
      <w:r w:rsidRPr="008B3CA9">
        <w:rPr>
          <w:rFonts w:cs="Arial"/>
          <w:rtl/>
        </w:rPr>
        <w:t xml:space="preserve"> ונראה ד</w:t>
      </w:r>
      <w:r>
        <w:rPr>
          <w:rFonts w:hint="cs"/>
          <w:rtl/>
        </w:rPr>
        <w:t>-...</w:t>
      </w:r>
    </w:p>
  </w:footnote>
  <w:footnote w:id="872">
    <w:p w14:paraId="2A38AFC5" w14:textId="77777777" w:rsidR="00FA2119" w:rsidRDefault="00FA2119" w:rsidP="00FA2119">
      <w:pPr>
        <w:pStyle w:val="a5"/>
        <w:rPr>
          <w:rtl/>
        </w:rPr>
      </w:pPr>
      <w:r>
        <w:rPr>
          <w:rStyle w:val="a7"/>
        </w:rPr>
        <w:footnoteRef/>
      </w:r>
      <w:r>
        <w:rPr>
          <w:rtl/>
        </w:rPr>
        <w:t xml:space="preserve"> </w:t>
      </w:r>
      <w:r>
        <w:rPr>
          <w:rFonts w:cs="Arial"/>
          <w:rtl/>
        </w:rPr>
        <w:t>שא"א ע"י גט אחר</w:t>
      </w:r>
      <w:r>
        <w:rPr>
          <w:rFonts w:hint="cs"/>
          <w:rtl/>
        </w:rPr>
        <w:t>, טור.</w:t>
      </w:r>
    </w:p>
  </w:footnote>
  <w:footnote w:id="873">
    <w:p w14:paraId="5BBBE55E" w14:textId="3AED412A" w:rsidR="00FA2119" w:rsidRDefault="00FA2119" w:rsidP="00FA2119">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אבל </w:t>
      </w:r>
      <w:r w:rsidRPr="008B3CA9">
        <w:rPr>
          <w:rFonts w:cs="Arial"/>
          <w:rtl/>
        </w:rPr>
        <w:t>הרי"ף משמע דסבירא ליה דלא קיימא לן כלל כרבי שמעון שהרי לא הביא עובדא דרבי יהושע בן לוי וכן דעת הרמב"ם שכתב בפרק א' (הכ"ה) נכתב ביום ונחתם בלילה פסול ולא חילק בין שעת הדחק לאינו שעת הדחק</w:t>
      </w:r>
      <w:r>
        <w:rPr>
          <w:rFonts w:cs="Arial" w:hint="cs"/>
          <w:rtl/>
        </w:rPr>
        <w:t>.</w:t>
      </w:r>
      <w:r w:rsidRPr="008B3CA9">
        <w:rPr>
          <w:rFonts w:cs="Arial"/>
          <w:rtl/>
        </w:rPr>
        <w:t xml:space="preserve"> והוא דעת הרמ"ה </w:t>
      </w:r>
      <w:r w:rsidRPr="00B9360C">
        <w:rPr>
          <w:rFonts w:cs="Arial"/>
          <w:sz w:val="16"/>
          <w:szCs w:val="16"/>
          <w:rtl/>
        </w:rPr>
        <w:t>(חידושי הרמ"ה גיטין יח. ד"ה אמר)</w:t>
      </w:r>
      <w:r w:rsidRPr="008B3CA9">
        <w:rPr>
          <w:rFonts w:cs="Arial"/>
          <w:rtl/>
        </w:rPr>
        <w:t xml:space="preserve"> שהזכיר רבינו</w:t>
      </w:r>
      <w:r>
        <w:rPr>
          <w:rFonts w:cs="Arial" w:hint="cs"/>
          <w:rtl/>
        </w:rPr>
        <w:t>.</w:t>
      </w:r>
    </w:p>
  </w:footnote>
  <w:footnote w:id="874">
    <w:p w14:paraId="525B27F4" w14:textId="77777777" w:rsidR="00FA2119" w:rsidRDefault="00FA2119" w:rsidP="00FA2119">
      <w:pPr>
        <w:pStyle w:val="a5"/>
      </w:pPr>
      <w:r>
        <w:rPr>
          <w:rStyle w:val="a7"/>
        </w:rPr>
        <w:footnoteRef/>
      </w:r>
      <w:r>
        <w:rPr>
          <w:rtl/>
        </w:rPr>
        <w:t xml:space="preserve"> </w:t>
      </w:r>
      <w:r>
        <w:rPr>
          <w:rFonts w:hint="cs"/>
          <w:rtl/>
        </w:rPr>
        <w:t xml:space="preserve">וז"ל הטור- </w:t>
      </w:r>
      <w:r>
        <w:rPr>
          <w:rFonts w:cs="Arial"/>
          <w:rtl/>
        </w:rPr>
        <w:t xml:space="preserve">וכתב עוד </w:t>
      </w:r>
      <w:r>
        <w:rPr>
          <w:rFonts w:cs="Arial" w:hint="cs"/>
          <w:rtl/>
        </w:rPr>
        <w:t xml:space="preserve">(הרא"ש [פ"ב סי' ט]) </w:t>
      </w:r>
      <w:r>
        <w:rPr>
          <w:rFonts w:cs="Arial"/>
          <w:rtl/>
        </w:rPr>
        <w:t xml:space="preserve">שאין לסמוך על מה שפסל </w:t>
      </w:r>
      <w:r>
        <w:rPr>
          <w:rFonts w:cs="Arial" w:hint="cs"/>
          <w:rtl/>
        </w:rPr>
        <w:t xml:space="preserve">(גיטין פ"ב ס"ז) </w:t>
      </w:r>
      <w:r>
        <w:rPr>
          <w:rFonts w:cs="Arial"/>
          <w:rtl/>
        </w:rPr>
        <w:t>נכתב ביום ונחתם בלילה אע</w:t>
      </w:r>
      <w:r>
        <w:rPr>
          <w:rFonts w:cs="Arial" w:hint="cs"/>
          <w:rtl/>
        </w:rPr>
        <w:t>"</w:t>
      </w:r>
      <w:r>
        <w:rPr>
          <w:rFonts w:cs="Arial"/>
          <w:rtl/>
        </w:rPr>
        <w:t>פ שעסוקים באותו ענין</w:t>
      </w:r>
      <w:r>
        <w:rPr>
          <w:rFonts w:cs="Arial" w:hint="cs"/>
          <w:rtl/>
        </w:rPr>
        <w:t>.</w:t>
      </w:r>
      <w:r>
        <w:rPr>
          <w:rFonts w:cs="Arial"/>
          <w:rtl/>
        </w:rPr>
        <w:t xml:space="preserve"> </w:t>
      </w:r>
      <w:r>
        <w:rPr>
          <w:rFonts w:hint="cs"/>
          <w:rtl/>
        </w:rPr>
        <w:t>עכ"ל הטור. משמע שאם עסוקין באותו עניין ס"ל דכשר.</w:t>
      </w:r>
    </w:p>
  </w:footnote>
  <w:footnote w:id="875">
    <w:p w14:paraId="0E18AF8F" w14:textId="77777777" w:rsidR="00FA2119" w:rsidRDefault="00FA2119" w:rsidP="00FA2119">
      <w:pPr>
        <w:pStyle w:val="a5"/>
      </w:pPr>
      <w:r>
        <w:rPr>
          <w:rStyle w:val="a7"/>
        </w:rPr>
        <w:footnoteRef/>
      </w:r>
      <w:r>
        <w:rPr>
          <w:rtl/>
        </w:rPr>
        <w:t xml:space="preserve"> </w:t>
      </w:r>
      <w:r w:rsidRPr="008B3CA9">
        <w:rPr>
          <w:rFonts w:cs="Arial"/>
          <w:rtl/>
        </w:rPr>
        <w:t xml:space="preserve">וכדתניא הכא </w:t>
      </w:r>
      <w:r>
        <w:rPr>
          <w:rFonts w:cs="Arial" w:hint="cs"/>
          <w:rtl/>
        </w:rPr>
        <w:t xml:space="preserve">(גיטין יח.) </w:t>
      </w:r>
      <w:r w:rsidRPr="008B3CA9">
        <w:rPr>
          <w:rFonts w:cs="Arial"/>
          <w:rtl/>
        </w:rPr>
        <w:t xml:space="preserve">אמר רבי אלעזר </w:t>
      </w:r>
      <w:r w:rsidRPr="002F378F">
        <w:rPr>
          <w:rFonts w:cs="Arial" w:hint="cs"/>
          <w:sz w:val="16"/>
          <w:szCs w:val="16"/>
          <w:rtl/>
        </w:rPr>
        <w:t>{</w:t>
      </w:r>
      <w:r w:rsidRPr="002F378F">
        <w:rPr>
          <w:rFonts w:cs="Arial"/>
          <w:sz w:val="16"/>
          <w:szCs w:val="16"/>
          <w:rtl/>
        </w:rPr>
        <w:t>בר רבי צדוק לא שנו אלא בשאין עסוקין באותו ענין אבל עסוקין באותו ענין כשר</w:t>
      </w:r>
      <w:r>
        <w:rPr>
          <w:rFonts w:cs="Arial" w:hint="cs"/>
          <w:sz w:val="16"/>
          <w:szCs w:val="16"/>
          <w:rtl/>
        </w:rPr>
        <w:t>}</w:t>
      </w:r>
      <w:r w:rsidRPr="008B3CA9">
        <w:rPr>
          <w:rFonts w:cs="Arial"/>
          <w:rtl/>
        </w:rPr>
        <w:t xml:space="preserve"> וכו'</w:t>
      </w:r>
      <w:r>
        <w:rPr>
          <w:rFonts w:cs="Arial" w:hint="cs"/>
          <w:rtl/>
        </w:rPr>
        <w:t>.</w:t>
      </w:r>
      <w:r w:rsidRPr="008B3CA9">
        <w:rPr>
          <w:rFonts w:cs="Arial"/>
          <w:rtl/>
        </w:rPr>
        <w:t xml:space="preserve"> והרמב"ם (פ"א הכ"ה) שכתב שהוא פסול לא נתברר לי טעמו וצ"ע</w:t>
      </w:r>
      <w:r>
        <w:rPr>
          <w:rFonts w:cs="Arial" w:hint="cs"/>
          <w:rtl/>
        </w:rPr>
        <w:t>.</w:t>
      </w:r>
      <w:r w:rsidRPr="008B3CA9">
        <w:rPr>
          <w:rFonts w:cs="Arial"/>
          <w:rtl/>
        </w:rPr>
        <w:t xml:space="preserve"> עכ"ל</w:t>
      </w:r>
      <w:r>
        <w:rPr>
          <w:rFonts w:cs="Arial" w:hint="cs"/>
          <w:rtl/>
        </w:rPr>
        <w:t xml:space="preserve"> הרשב"א.</w:t>
      </w:r>
      <w:r w:rsidRPr="008B3CA9">
        <w:rPr>
          <w:rFonts w:cs="Arial"/>
          <w:rtl/>
        </w:rPr>
        <w:t xml:space="preserve"> </w:t>
      </w:r>
      <w:r>
        <w:rPr>
          <w:rFonts w:cs="Arial" w:hint="cs"/>
          <w:rtl/>
        </w:rPr>
        <w:t>וכתב הב"י ד</w:t>
      </w:r>
      <w:r w:rsidRPr="008B3CA9">
        <w:rPr>
          <w:rFonts w:cs="Arial"/>
          <w:rtl/>
        </w:rPr>
        <w:t>אפשר דטעמא דהרמב"ם דס"ל דברייתא דרבי אלעזר ב"ר צדוק לא קאי אגט אלא אשטרות הנכתבים ביום ונחתמים בלילה</w:t>
      </w:r>
      <w:r>
        <w:rPr>
          <w:rFonts w:cs="Arial" w:hint="cs"/>
          <w:rtl/>
        </w:rPr>
        <w:t>,</w:t>
      </w:r>
      <w:r w:rsidRPr="008B3CA9">
        <w:rPr>
          <w:rFonts w:cs="Arial"/>
          <w:rtl/>
        </w:rPr>
        <w:t xml:space="preserve"> וכדפירש רש"י (יח. ד"ה לא שנו)</w:t>
      </w:r>
      <w:r>
        <w:rPr>
          <w:rFonts w:cs="Arial" w:hint="cs"/>
          <w:rtl/>
        </w:rPr>
        <w:t>,</w:t>
      </w:r>
      <w:r w:rsidRPr="008B3CA9">
        <w:rPr>
          <w:rFonts w:cs="Arial"/>
          <w:rtl/>
        </w:rPr>
        <w:t xml:space="preserve"> ושפיר איכא לפלוגי בינייהו דבשטרות דין הוא להכשיר בעסוקין באותו ענין משום דבקלא תליא מילתא</w:t>
      </w:r>
      <w:r>
        <w:rPr>
          <w:rFonts w:cs="Arial" w:hint="cs"/>
          <w:rtl/>
        </w:rPr>
        <w:t>,</w:t>
      </w:r>
      <w:r w:rsidRPr="008B3CA9">
        <w:rPr>
          <w:rFonts w:cs="Arial"/>
          <w:rtl/>
        </w:rPr>
        <w:t xml:space="preserve"> כיון דמזומנים לחתום אית ליה קלא כאילו חתמו</w:t>
      </w:r>
      <w:r>
        <w:rPr>
          <w:rFonts w:cs="Arial" w:hint="cs"/>
          <w:rtl/>
        </w:rPr>
        <w:t>.</w:t>
      </w:r>
      <w:r w:rsidRPr="008B3CA9">
        <w:rPr>
          <w:rFonts w:cs="Arial"/>
          <w:rtl/>
        </w:rPr>
        <w:t xml:space="preserve"> אבל בגיטין דאיכא למיחש משום בת אחותו</w:t>
      </w:r>
      <w:r>
        <w:rPr>
          <w:rFonts w:cs="Arial" w:hint="cs"/>
          <w:rtl/>
        </w:rPr>
        <w:t>,</w:t>
      </w:r>
      <w:r w:rsidRPr="008B3CA9">
        <w:rPr>
          <w:rFonts w:cs="Arial"/>
          <w:rtl/>
        </w:rPr>
        <w:t xml:space="preserve"> חיישינן שמא תחפה על זנות דאותו יום</w:t>
      </w:r>
      <w:r>
        <w:rPr>
          <w:rFonts w:cs="Arial" w:hint="cs"/>
          <w:rtl/>
        </w:rPr>
        <w:t>.</w:t>
      </w:r>
      <w:r w:rsidRPr="008B3CA9">
        <w:rPr>
          <w:rFonts w:cs="Arial"/>
          <w:rtl/>
        </w:rPr>
        <w:t xml:space="preserve"> וגם לפירות איכא למיחש</w:t>
      </w:r>
      <w:r>
        <w:rPr>
          <w:rFonts w:cs="Arial" w:hint="cs"/>
          <w:rtl/>
        </w:rPr>
        <w:t>,</w:t>
      </w:r>
      <w:r w:rsidRPr="008B3CA9">
        <w:rPr>
          <w:rFonts w:cs="Arial"/>
          <w:rtl/>
        </w:rPr>
        <w:t xml:space="preserve"> דאע"ג דכל שעסוקין באותו ענין קלא אית ליה מ"מ לית להו ללקוחות לאימנועי מלקנות עד שידעו שנתן לה הגט</w:t>
      </w:r>
      <w:r>
        <w:rPr>
          <w:rFonts w:cs="Arial" w:hint="cs"/>
          <w:rtl/>
        </w:rPr>
        <w:t>,</w:t>
      </w:r>
      <w:r w:rsidRPr="008B3CA9">
        <w:rPr>
          <w:rFonts w:cs="Arial"/>
          <w:rtl/>
        </w:rPr>
        <w:t xml:space="preserve"> דהא יש לבעל פירות עד שעת נתינה</w:t>
      </w:r>
      <w:r>
        <w:rPr>
          <w:rFonts w:cs="Arial" w:hint="cs"/>
          <w:rtl/>
        </w:rPr>
        <w:t>.</w:t>
      </w:r>
      <w:r w:rsidRPr="008B3CA9">
        <w:rPr>
          <w:rFonts w:cs="Arial"/>
          <w:rtl/>
        </w:rPr>
        <w:t xml:space="preserve"> ומשום הכי חיישינן שתטרוף מלקוחות שלקחו ביום הכתיבה פירות שלקטו הבעל או שלוחו בליל החתימה קודם שנתן לה הגט כנ"ל</w:t>
      </w:r>
      <w:r>
        <w:rPr>
          <w:rFonts w:cs="Arial" w:hint="cs"/>
          <w:rtl/>
        </w:rPr>
        <w:t>.</w:t>
      </w:r>
    </w:p>
  </w:footnote>
  <w:footnote w:id="876">
    <w:p w14:paraId="6413B459" w14:textId="77777777" w:rsidR="00FA2119" w:rsidRDefault="00FA2119" w:rsidP="00FA2119">
      <w:pPr>
        <w:pStyle w:val="a5"/>
        <w:rPr>
          <w:rtl/>
        </w:rPr>
      </w:pPr>
      <w:r>
        <w:rPr>
          <w:rStyle w:val="a7"/>
        </w:rPr>
        <w:footnoteRef/>
      </w:r>
      <w:r>
        <w:rPr>
          <w:rFonts w:cs="Arial" w:hint="cs"/>
          <w:rtl/>
        </w:rPr>
        <w:t xml:space="preserve"> </w:t>
      </w:r>
      <w:r w:rsidRPr="008B3CA9">
        <w:rPr>
          <w:rFonts w:cs="Arial"/>
          <w:rtl/>
        </w:rPr>
        <w:t>וכבר כתבתי בסימן זה (יט.) דהרמב"ן והרמב"ם ורבינו חולקים ופוסלים באין בו זמן וממילא משמע דכל שכן דפסלי במוקדם</w:t>
      </w:r>
      <w:r>
        <w:rPr>
          <w:rFonts w:cs="Arial" w:hint="cs"/>
          <w:rtl/>
        </w:rPr>
        <w:t xml:space="preserve">, </w:t>
      </w:r>
      <w:r w:rsidRPr="005A211C">
        <w:rPr>
          <w:rFonts w:cs="Arial" w:hint="cs"/>
          <w:b/>
          <w:bCs/>
          <w:rtl/>
        </w:rPr>
        <w:t>ב"י</w:t>
      </w:r>
      <w:r>
        <w:rPr>
          <w:rFonts w:cs="Arial" w:hint="cs"/>
          <w:rtl/>
        </w:rPr>
        <w:t>.</w:t>
      </w:r>
      <w:r w:rsidRPr="008B3CA9">
        <w:rPr>
          <w:rFonts w:cs="Arial"/>
          <w:rtl/>
        </w:rPr>
        <w:t xml:space="preserve"> וכן נראה מדברי מהרא"י בפסקיו (ת</w:t>
      </w:r>
      <w:r>
        <w:rPr>
          <w:rFonts w:cs="Arial" w:hint="cs"/>
          <w:rtl/>
        </w:rPr>
        <w:t>רו</w:t>
      </w:r>
      <w:r w:rsidRPr="008B3CA9">
        <w:rPr>
          <w:rFonts w:cs="Arial"/>
          <w:rtl/>
        </w:rPr>
        <w:t>ה"ד ח"ב סימן יג</w:t>
      </w:r>
      <w:r>
        <w:rPr>
          <w:rFonts w:cs="Arial" w:hint="cs"/>
          <w:rtl/>
        </w:rPr>
        <w:t>, ובסי' יט)</w:t>
      </w:r>
      <w:r w:rsidRPr="008B3CA9">
        <w:rPr>
          <w:rFonts w:cs="Arial"/>
          <w:rtl/>
        </w:rPr>
        <w:t xml:space="preserve"> ועיי"ש שהאריך בזה</w:t>
      </w:r>
      <w:r>
        <w:rPr>
          <w:rFonts w:cs="Arial" w:hint="cs"/>
          <w:rtl/>
        </w:rPr>
        <w:t xml:space="preserve">, </w:t>
      </w:r>
      <w:r w:rsidRPr="005A211C">
        <w:rPr>
          <w:rFonts w:cs="Arial" w:hint="cs"/>
          <w:b/>
          <w:bCs/>
          <w:rtl/>
        </w:rPr>
        <w:t>דרכ"מ</w:t>
      </w:r>
      <w:r>
        <w:rPr>
          <w:rFonts w:cs="Arial" w:hint="cs"/>
          <w:rtl/>
        </w:rPr>
        <w:t xml:space="preserve"> (אות ב).</w:t>
      </w:r>
    </w:p>
  </w:footnote>
  <w:footnote w:id="877">
    <w:p w14:paraId="62FAAB66" w14:textId="77777777" w:rsidR="00FA2119" w:rsidRDefault="00FA2119" w:rsidP="00FA2119">
      <w:pPr>
        <w:pStyle w:val="a5"/>
      </w:pPr>
      <w:r>
        <w:rPr>
          <w:rStyle w:val="a7"/>
        </w:rPr>
        <w:footnoteRef/>
      </w:r>
      <w:r>
        <w:rPr>
          <w:rtl/>
        </w:rPr>
        <w:t xml:space="preserve"> </w:t>
      </w:r>
      <w:r w:rsidRPr="008B3CA9">
        <w:rPr>
          <w:rFonts w:cs="Arial"/>
          <w:rtl/>
        </w:rPr>
        <w:t>ולא דמי לנכתב ביום ונחתם מכאן עד עשרה ימים דמכשיר הרא"ש בשעת הדחק</w:t>
      </w:r>
      <w:r>
        <w:rPr>
          <w:rFonts w:cs="Arial" w:hint="cs"/>
          <w:rtl/>
        </w:rPr>
        <w:t>,</w:t>
      </w:r>
      <w:r w:rsidRPr="008B3CA9">
        <w:rPr>
          <w:rFonts w:cs="Arial"/>
          <w:rtl/>
        </w:rPr>
        <w:t xml:space="preserve"> דשאני התם</w:t>
      </w:r>
      <w:r>
        <w:rPr>
          <w:rFonts w:cs="Arial" w:hint="cs"/>
          <w:rtl/>
        </w:rPr>
        <w:t>,</w:t>
      </w:r>
      <w:r w:rsidRPr="008B3CA9">
        <w:rPr>
          <w:rFonts w:cs="Arial"/>
          <w:rtl/>
        </w:rPr>
        <w:t xml:space="preserve"> שכשכתב היום הכתוב בגט קושטא קאמר</w:t>
      </w:r>
      <w:r>
        <w:rPr>
          <w:rFonts w:cs="Arial" w:hint="cs"/>
          <w:rtl/>
        </w:rPr>
        <w:t>,</w:t>
      </w:r>
      <w:r w:rsidRPr="008B3CA9">
        <w:rPr>
          <w:rFonts w:cs="Arial"/>
          <w:rtl/>
        </w:rPr>
        <w:t xml:space="preserve"> שבאותו יום נכתב</w:t>
      </w:r>
      <w:r>
        <w:rPr>
          <w:rFonts w:cs="Arial" w:hint="cs"/>
          <w:rtl/>
        </w:rPr>
        <w:t>.</w:t>
      </w:r>
      <w:r w:rsidRPr="008B3CA9">
        <w:rPr>
          <w:rFonts w:cs="Arial"/>
          <w:rtl/>
        </w:rPr>
        <w:t xml:space="preserve"> אבל כשכתב בעשרה לחודש והקדים וכתב בחמשה</w:t>
      </w:r>
      <w:r>
        <w:rPr>
          <w:rFonts w:cs="Arial" w:hint="cs"/>
          <w:rtl/>
        </w:rPr>
        <w:t>,</w:t>
      </w:r>
      <w:r w:rsidRPr="008B3CA9">
        <w:rPr>
          <w:rFonts w:cs="Arial"/>
          <w:rtl/>
        </w:rPr>
        <w:t xml:space="preserve"> כיון שכתב שקר </w:t>
      </w:r>
      <w:r>
        <w:rPr>
          <w:rFonts w:cs="Arial" w:hint="cs"/>
          <w:rtl/>
        </w:rPr>
        <w:t xml:space="preserve">- </w:t>
      </w:r>
      <w:r w:rsidRPr="008B3CA9">
        <w:rPr>
          <w:rFonts w:cs="Arial"/>
          <w:rtl/>
        </w:rPr>
        <w:t>פסול לגמרי</w:t>
      </w:r>
      <w:r>
        <w:rPr>
          <w:rFonts w:cs="Arial" w:hint="cs"/>
          <w:rtl/>
        </w:rPr>
        <w:t>...</w:t>
      </w:r>
      <w:r w:rsidRPr="0060427C">
        <w:rPr>
          <w:rFonts w:cs="Arial"/>
          <w:rtl/>
        </w:rPr>
        <w:t xml:space="preserve"> </w:t>
      </w:r>
      <w:r w:rsidRPr="008B3CA9">
        <w:rPr>
          <w:rFonts w:cs="Arial"/>
          <w:rtl/>
        </w:rPr>
        <w:t xml:space="preserve">ודעת הרא"ש בתשובה זו שסובר דגט מוקדם בטל נמי הוי </w:t>
      </w:r>
      <w:r>
        <w:rPr>
          <w:rFonts w:cs="Arial" w:hint="cs"/>
          <w:rtl/>
        </w:rPr>
        <w:t xml:space="preserve">- </w:t>
      </w:r>
      <w:r w:rsidRPr="008B3CA9">
        <w:rPr>
          <w:rFonts w:cs="Arial"/>
          <w:rtl/>
        </w:rPr>
        <w:t>תמיהא טובא</w:t>
      </w:r>
      <w:r>
        <w:rPr>
          <w:rFonts w:cs="Arial" w:hint="cs"/>
          <w:rtl/>
        </w:rPr>
        <w:t>.</w:t>
      </w:r>
      <w:r w:rsidRPr="008B3CA9">
        <w:rPr>
          <w:rFonts w:cs="Arial"/>
          <w:rtl/>
        </w:rPr>
        <w:t xml:space="preserve"> דמשמע דפיסול מוקדם לא הוי אלא מדרבנן</w:t>
      </w:r>
      <w:r>
        <w:rPr>
          <w:rFonts w:cs="Arial" w:hint="cs"/>
          <w:rtl/>
        </w:rPr>
        <w:t>,</w:t>
      </w:r>
      <w:r w:rsidRPr="008B3CA9">
        <w:rPr>
          <w:rFonts w:cs="Arial"/>
          <w:rtl/>
        </w:rPr>
        <w:t xml:space="preserve"> ואם כן מאי אולמיה דגט מוקדם להיות בטל משאר פיסולי דרבנן</w:t>
      </w:r>
      <w:r>
        <w:rPr>
          <w:rFonts w:cs="Arial" w:hint="cs"/>
          <w:rtl/>
        </w:rPr>
        <w:t>.</w:t>
      </w:r>
      <w:r w:rsidRPr="008B3CA9">
        <w:rPr>
          <w:rFonts w:cs="Arial"/>
          <w:rtl/>
        </w:rPr>
        <w:t xml:space="preserve"> וכן נראה דעת הרמב"ם ז"ל דלא עדיף משאר פיסולי דרבנן</w:t>
      </w:r>
      <w:r>
        <w:rPr>
          <w:rFonts w:cs="Arial" w:hint="cs"/>
          <w:rtl/>
        </w:rPr>
        <w:t>,</w:t>
      </w:r>
      <w:r w:rsidRPr="008B3CA9">
        <w:rPr>
          <w:rFonts w:cs="Arial"/>
          <w:rtl/>
        </w:rPr>
        <w:t xml:space="preserve"> שהרי כתב בפ</w:t>
      </w:r>
      <w:r>
        <w:rPr>
          <w:rFonts w:cs="Arial" w:hint="cs"/>
          <w:rtl/>
        </w:rPr>
        <w:t>"</w:t>
      </w:r>
      <w:r w:rsidRPr="008B3CA9">
        <w:rPr>
          <w:rFonts w:cs="Arial"/>
          <w:rtl/>
        </w:rPr>
        <w:t>א (הכ"ה) דגט מוקדם פסול</w:t>
      </w:r>
      <w:r>
        <w:rPr>
          <w:rFonts w:cs="Arial" w:hint="cs"/>
          <w:rtl/>
        </w:rPr>
        <w:t>.</w:t>
      </w:r>
      <w:r w:rsidRPr="008B3CA9">
        <w:rPr>
          <w:rFonts w:cs="Arial"/>
          <w:rtl/>
        </w:rPr>
        <w:t xml:space="preserve"> וכבר נתבאר מדבריו פ"י (ה"ב) מקום שהזכיר פסול אם נישאת לא תצא</w:t>
      </w:r>
      <w:r>
        <w:rPr>
          <w:rFonts w:cs="Arial" w:hint="cs"/>
          <w:rtl/>
        </w:rPr>
        <w:t>,</w:t>
      </w:r>
      <w:r w:rsidRPr="008B3CA9">
        <w:rPr>
          <w:rFonts w:cs="Arial"/>
          <w:rtl/>
        </w:rPr>
        <w:t xml:space="preserve"> ומדסתם דבריו בפרק א' משמע דבכל מוקדם לא הוי אלא פסול</w:t>
      </w:r>
      <w:r>
        <w:rPr>
          <w:rFonts w:cs="Arial" w:hint="cs"/>
          <w:rtl/>
        </w:rPr>
        <w:t>,</w:t>
      </w:r>
      <w:r w:rsidRPr="008B3CA9">
        <w:rPr>
          <w:rFonts w:cs="Arial"/>
          <w:rtl/>
        </w:rPr>
        <w:t xml:space="preserve"> ואפילו נכתב בעשרה לחודש וכתב בו בחמשה</w:t>
      </w:r>
      <w:r>
        <w:rPr>
          <w:rFonts w:cs="Arial" w:hint="cs"/>
          <w:rtl/>
        </w:rPr>
        <w:t>.</w:t>
      </w:r>
      <w:r w:rsidRPr="008B3CA9">
        <w:rPr>
          <w:rFonts w:cs="Arial"/>
          <w:rtl/>
        </w:rPr>
        <w:t xml:space="preserve"> וכן כתב מהר"ר ישראל בכתביו (תרוה"ד פו"כ סי</w:t>
      </w:r>
      <w:r>
        <w:rPr>
          <w:rFonts w:cs="Arial" w:hint="cs"/>
          <w:rtl/>
        </w:rPr>
        <w:t>'</w:t>
      </w:r>
      <w:r w:rsidRPr="008B3CA9">
        <w:rPr>
          <w:rFonts w:cs="Arial"/>
          <w:rtl/>
        </w:rPr>
        <w:t xml:space="preserve"> יג</w:t>
      </w:r>
      <w:r>
        <w:rPr>
          <w:rFonts w:cs="Arial" w:hint="cs"/>
          <w:rtl/>
        </w:rPr>
        <w:t>)</w:t>
      </w:r>
      <w:r w:rsidRPr="008B3CA9">
        <w:rPr>
          <w:rFonts w:cs="Arial"/>
          <w:rtl/>
        </w:rPr>
        <w:t xml:space="preserve"> שזהו דעת הרמב"ם. וכתב עוד שם דטעמא דאשיר"י דסבר כדברי התוספות בפרק איזהו נשך (עב. ד"ה שטר) דבשטר מוקדם לא גבי אפילו מבני חרי משמע דכמו חספא בעלמא הוא</w:t>
      </w:r>
      <w:r>
        <w:rPr>
          <w:rFonts w:cs="Arial" w:hint="cs"/>
          <w:rtl/>
        </w:rPr>
        <w:t>.</w:t>
      </w:r>
      <w:r w:rsidRPr="008B3CA9">
        <w:rPr>
          <w:rFonts w:cs="Arial"/>
          <w:rtl/>
        </w:rPr>
        <w:t xml:space="preserve"> ומ"מ אכתי קשה לי דמנא ליה להרא"ש שהעמידו חכמים דבריהם בפיסול זה להחשיבו כחרס גם לענין גט אשה שנמצאו עוקרים דבר תורה שאם פשטה ידה וקיבלה קידושין מאחר לא תצטרך גט. ועוד דמאחר דלהרמב"ם אינו פסול אלא מדרבנן הוה ליה להרא"ש ז"ל למיחש לדבריו ולא להתירה בפשיטות כשקיבלה קידושין משני וצ"ע</w:t>
      </w:r>
      <w:r>
        <w:rPr>
          <w:rFonts w:cs="Arial" w:hint="cs"/>
          <w:rtl/>
        </w:rPr>
        <w:t>, ב"י.</w:t>
      </w:r>
    </w:p>
  </w:footnote>
  <w:footnote w:id="878">
    <w:p w14:paraId="458E4591" w14:textId="346C0EE5" w:rsidR="00FA2119" w:rsidRDefault="00FA2119" w:rsidP="00FA2119">
      <w:pPr>
        <w:pStyle w:val="a5"/>
      </w:pPr>
      <w:r>
        <w:rPr>
          <w:rStyle w:val="a7"/>
        </w:rPr>
        <w:footnoteRef/>
      </w:r>
      <w:r>
        <w:rPr>
          <w:rtl/>
        </w:rPr>
        <w:t xml:space="preserve"> </w:t>
      </w:r>
      <w:r w:rsidR="000A0F5A">
        <w:rPr>
          <w:rFonts w:cs="Arial"/>
          <w:rtl/>
        </w:rPr>
        <w:t>וז"ל:</w:t>
      </w:r>
      <w:r>
        <w:rPr>
          <w:rFonts w:cs="Arial" w:hint="cs"/>
          <w:rtl/>
        </w:rPr>
        <w:t xml:space="preserve"> </w:t>
      </w:r>
      <w:r w:rsidRPr="00B351E4">
        <w:rPr>
          <w:rFonts w:cs="Arial"/>
          <w:rtl/>
        </w:rPr>
        <w:t>דברי הר"ן בהמגרש (מו: דיבור ראשון) משמע שהם דלא כהרא"ש</w:t>
      </w:r>
      <w:r>
        <w:rPr>
          <w:rFonts w:cs="Arial" w:hint="cs"/>
          <w:rtl/>
        </w:rPr>
        <w:t>.</w:t>
      </w:r>
      <w:r w:rsidRPr="00B351E4">
        <w:rPr>
          <w:rFonts w:cs="Arial"/>
          <w:rtl/>
        </w:rPr>
        <w:t xml:space="preserve"> דבגמרא ג' גיטין פסולין כתב דבפיסולי דרבנן תצא כל שאין לה בנים</w:t>
      </w:r>
      <w:r>
        <w:rPr>
          <w:rFonts w:cs="Arial" w:hint="cs"/>
          <w:rtl/>
        </w:rPr>
        <w:t>.</w:t>
      </w:r>
      <w:r w:rsidRPr="00B351E4">
        <w:rPr>
          <w:rFonts w:cs="Arial"/>
          <w:rtl/>
        </w:rPr>
        <w:t xml:space="preserve"> וכתב אחר כך (שם ד"ה וגט) וגט מוקדם דקיימא לן דפסול איכא מאן דאמר דאם נישאת לא תצא כגט שאין בו זמן</w:t>
      </w:r>
      <w:r>
        <w:rPr>
          <w:rFonts w:cs="Arial" w:hint="cs"/>
          <w:rtl/>
        </w:rPr>
        <w:t>,</w:t>
      </w:r>
      <w:r w:rsidRPr="00B351E4">
        <w:rPr>
          <w:rFonts w:cs="Arial"/>
          <w:rtl/>
        </w:rPr>
        <w:t xml:space="preserve"> והיינו לדברי רש"י (יז: ד"ה עד) אבל לדברי האומרים דבגט שלא נפל אינה צריכה להביא ראיה אימת מטא גיטא לידה גט מוקדם פסול דאתי למיטרף לקוחות שלקחו פירות שלא כדין</w:t>
      </w:r>
      <w:r>
        <w:rPr>
          <w:rFonts w:cs="Arial" w:hint="cs"/>
          <w:rtl/>
        </w:rPr>
        <w:t>.</w:t>
      </w:r>
      <w:r w:rsidRPr="00B351E4">
        <w:rPr>
          <w:rFonts w:cs="Arial"/>
          <w:rtl/>
        </w:rPr>
        <w:t xml:space="preserve"> ואפילו לדברי רש"י יש להחמיר דכיון דמוקדם בשאר שטרות פסול</w:t>
      </w:r>
      <w:r>
        <w:rPr>
          <w:rFonts w:cs="Arial" w:hint="cs"/>
          <w:rtl/>
        </w:rPr>
        <w:t>,</w:t>
      </w:r>
      <w:r w:rsidRPr="00B351E4">
        <w:rPr>
          <w:rFonts w:cs="Arial"/>
          <w:rtl/>
        </w:rPr>
        <w:t xml:space="preserve"> בגט נמי פסול</w:t>
      </w:r>
      <w:r>
        <w:rPr>
          <w:rFonts w:cs="Arial" w:hint="cs"/>
          <w:rtl/>
        </w:rPr>
        <w:t>,</w:t>
      </w:r>
      <w:r w:rsidRPr="00B351E4">
        <w:rPr>
          <w:rFonts w:cs="Arial"/>
          <w:rtl/>
        </w:rPr>
        <w:t xml:space="preserve"> ואפילו נישאת תצא כל שאין לה בנים עכ"ל</w:t>
      </w:r>
      <w:r>
        <w:rPr>
          <w:rFonts w:cs="Arial" w:hint="cs"/>
          <w:rtl/>
        </w:rPr>
        <w:t>.</w:t>
      </w:r>
      <w:r w:rsidRPr="00B351E4">
        <w:rPr>
          <w:rFonts w:cs="Arial"/>
          <w:rtl/>
        </w:rPr>
        <w:t xml:space="preserve"> ומדסתם דבריו משמע דבכל גווני מוקדם קאמר ועד כאן לא קאמר דפליגי אלא אי תצא אי לא תצא אבל לכולי עלמא משמע דלא מיפסל אלא מדרבנן דאם לא כן הוה ליה לפרושי</w:t>
      </w:r>
      <w:r>
        <w:rPr>
          <w:rFonts w:cs="Arial" w:hint="cs"/>
          <w:rtl/>
        </w:rPr>
        <w:t xml:space="preserve">. </w:t>
      </w:r>
      <w:r w:rsidRPr="00162DE6">
        <w:rPr>
          <w:rFonts w:cs="Arial"/>
          <w:rtl/>
        </w:rPr>
        <w:t>וגם הרשב"א סובר דלא כהרא"ש</w:t>
      </w:r>
      <w:r>
        <w:rPr>
          <w:rFonts w:cs="Arial" w:hint="cs"/>
          <w:rtl/>
        </w:rPr>
        <w:t>,</w:t>
      </w:r>
      <w:r w:rsidRPr="00162DE6">
        <w:rPr>
          <w:rFonts w:cs="Arial"/>
          <w:rtl/>
        </w:rPr>
        <w:t xml:space="preserve"> שהרי דעתו להכשיר גט מוקדם אם נתנו לה ע"י שליח</w:t>
      </w:r>
      <w:r>
        <w:rPr>
          <w:rFonts w:cs="Arial" w:hint="cs"/>
          <w:rtl/>
        </w:rPr>
        <w:t>,</w:t>
      </w:r>
      <w:r w:rsidRPr="00162DE6">
        <w:rPr>
          <w:rFonts w:cs="Arial"/>
          <w:rtl/>
        </w:rPr>
        <w:t xml:space="preserve"> וכמו שאכתוב בסמוך (ד"ה וכתב הרשב"א) בסייעתא דשמיא</w:t>
      </w:r>
      <w:r w:rsidRPr="00162DE6">
        <w:rPr>
          <w:rFonts w:cs="Arial" w:hint="cs"/>
          <w:rtl/>
        </w:rPr>
        <w:t>.</w:t>
      </w:r>
      <w:r w:rsidRPr="00162DE6">
        <w:rPr>
          <w:rFonts w:cs="Arial"/>
          <w:rtl/>
        </w:rPr>
        <w:t xml:space="preserve"> ואף הר"ן דפליג עליה ופסל ודאי משמע דלא הוי אלא כשאר פסולין דרבנן דליכא למימר דלמר כשר ולמר בטל</w:t>
      </w:r>
      <w:r w:rsidRPr="00162DE6">
        <w:rPr>
          <w:rFonts w:cs="Arial" w:hint="cs"/>
          <w:rtl/>
        </w:rPr>
        <w:t>,</w:t>
      </w:r>
      <w:r w:rsidRPr="00162DE6">
        <w:rPr>
          <w:rFonts w:cs="Arial"/>
          <w:rtl/>
        </w:rPr>
        <w:t xml:space="preserve"> ובכל גווני מוקדם קמיירי מדסתמו דבריהם</w:t>
      </w:r>
      <w:r>
        <w:rPr>
          <w:rFonts w:cs="Arial" w:hint="cs"/>
          <w:rtl/>
        </w:rPr>
        <w:t>.</w:t>
      </w:r>
    </w:p>
  </w:footnote>
  <w:footnote w:id="879">
    <w:p w14:paraId="7E0F9986" w14:textId="77777777" w:rsidR="00FA2119" w:rsidRDefault="00FA2119" w:rsidP="00FA2119">
      <w:pPr>
        <w:pStyle w:val="a5"/>
        <w:rPr>
          <w:rtl/>
        </w:rPr>
      </w:pPr>
      <w:r>
        <w:rPr>
          <w:rStyle w:val="a7"/>
        </w:rPr>
        <w:footnoteRef/>
      </w:r>
      <w:r>
        <w:rPr>
          <w:rtl/>
        </w:rPr>
        <w:t xml:space="preserve"> </w:t>
      </w:r>
      <w:r w:rsidRPr="0099628E">
        <w:rPr>
          <w:rFonts w:cs="Arial"/>
          <w:rtl/>
        </w:rPr>
        <w:t>והגיה הר"פ מיהו נהגו העולם להקפיד שינתן בו ביום רק מגט שאדם שולח לאשתו ממקום אחר דהתם לא אפשר עכ"ל וכבר נתבאר בסימן זה (יט:) בדברי רבינו</w:t>
      </w:r>
      <w:r>
        <w:rPr>
          <w:rFonts w:hint="cs"/>
          <w:rtl/>
        </w:rPr>
        <w:t xml:space="preserve">, ב"י. וכתב הדרכ"מ (אות ד) </w:t>
      </w:r>
      <w:r>
        <w:rPr>
          <w:rFonts w:cs="Arial" w:hint="cs"/>
          <w:rtl/>
        </w:rPr>
        <w:t>ש</w:t>
      </w:r>
      <w:r w:rsidRPr="00C51FB7">
        <w:rPr>
          <w:rFonts w:cs="Arial"/>
          <w:rtl/>
        </w:rPr>
        <w:t>נראה מדברי ה"ר פרץ דאפילו אם רוצה למוסרו לה ע"י שליח נוהגין להחמיר הואיל ואפשר לכתוב אחר</w:t>
      </w:r>
      <w:r>
        <w:rPr>
          <w:rFonts w:cs="Arial" w:hint="cs"/>
          <w:rtl/>
        </w:rPr>
        <w:t>.</w:t>
      </w:r>
      <w:r w:rsidRPr="00C51FB7">
        <w:rPr>
          <w:rFonts w:cs="Arial"/>
          <w:rtl/>
        </w:rPr>
        <w:t xml:space="preserve"> וכן נוהגין האידנא</w:t>
      </w:r>
      <w:r>
        <w:rPr>
          <w:rFonts w:hint="cs"/>
          <w:rtl/>
        </w:rPr>
        <w:t>.</w:t>
      </w:r>
    </w:p>
  </w:footnote>
  <w:footnote w:id="880">
    <w:p w14:paraId="37819F51" w14:textId="77777777" w:rsidR="00FA2119" w:rsidRDefault="00FA2119" w:rsidP="00FA2119">
      <w:pPr>
        <w:pStyle w:val="a5"/>
      </w:pPr>
      <w:r>
        <w:rPr>
          <w:rStyle w:val="a7"/>
        </w:rPr>
        <w:footnoteRef/>
      </w:r>
      <w:r>
        <w:rPr>
          <w:rtl/>
        </w:rPr>
        <w:t xml:space="preserve"> </w:t>
      </w:r>
      <w:r w:rsidRPr="00E95E9E">
        <w:rPr>
          <w:rFonts w:cs="Arial"/>
          <w:rtl/>
        </w:rPr>
        <w:t>ולא תנשא בו</w:t>
      </w:r>
      <w:r>
        <w:rPr>
          <w:rFonts w:cs="Arial" w:hint="cs"/>
          <w:rtl/>
        </w:rPr>
        <w:t>,</w:t>
      </w:r>
      <w:r w:rsidRPr="00E95E9E">
        <w:rPr>
          <w:rFonts w:cs="Arial"/>
          <w:rtl/>
        </w:rPr>
        <w:t xml:space="preserve"> ואם נשאת לא תצא אפילו במוקדם</w:t>
      </w:r>
      <w:r>
        <w:rPr>
          <w:rFonts w:cs="Arial" w:hint="cs"/>
          <w:rtl/>
        </w:rPr>
        <w:t>,</w:t>
      </w:r>
      <w:r w:rsidRPr="00E95E9E">
        <w:rPr>
          <w:rFonts w:cs="Arial"/>
          <w:rtl/>
        </w:rPr>
        <w:t xml:space="preserve"> וצריכה גט אחר כמ"ש בסי' ק"נ</w:t>
      </w:r>
      <w:r>
        <w:rPr>
          <w:rFonts w:cs="Arial" w:hint="cs"/>
          <w:rtl/>
        </w:rPr>
        <w:t>.</w:t>
      </w:r>
      <w:r w:rsidRPr="00E95E9E">
        <w:rPr>
          <w:rFonts w:cs="Arial"/>
          <w:rtl/>
        </w:rPr>
        <w:t xml:space="preserve"> אלא הר"ן ס"ל דתצא אם אין לה בנים ממנו</w:t>
      </w:r>
      <w:r>
        <w:rPr>
          <w:rFonts w:cs="Arial" w:hint="cs"/>
          <w:rtl/>
        </w:rPr>
        <w:t>.</w:t>
      </w:r>
      <w:r w:rsidRPr="00E95E9E">
        <w:rPr>
          <w:rFonts w:cs="Arial"/>
          <w:rtl/>
        </w:rPr>
        <w:t xml:space="preserve"> והרא"ש ס"ל דתצא אפילו היה לה בנים</w:t>
      </w:r>
      <w:r>
        <w:rPr>
          <w:rFonts w:cs="Arial" w:hint="cs"/>
          <w:rtl/>
        </w:rPr>
        <w:t>.</w:t>
      </w:r>
      <w:r w:rsidRPr="00E95E9E">
        <w:rPr>
          <w:rFonts w:cs="Arial"/>
          <w:rtl/>
        </w:rPr>
        <w:t xml:space="preserve"> ועי' ר"ס קכ"ח</w:t>
      </w:r>
      <w:r>
        <w:rPr>
          <w:rFonts w:cs="Arial" w:hint="cs"/>
          <w:rtl/>
        </w:rPr>
        <w:t>, ב"ש (סק"ב).</w:t>
      </w:r>
    </w:p>
  </w:footnote>
  <w:footnote w:id="881">
    <w:p w14:paraId="02C9C72A" w14:textId="77777777" w:rsidR="00FA2119" w:rsidRDefault="00FA2119" w:rsidP="00FA2119">
      <w:pPr>
        <w:pStyle w:val="a5"/>
      </w:pPr>
      <w:r>
        <w:rPr>
          <w:rStyle w:val="a7"/>
        </w:rPr>
        <w:footnoteRef/>
      </w:r>
      <w:r>
        <w:rPr>
          <w:rtl/>
        </w:rPr>
        <w:t xml:space="preserve"> </w:t>
      </w:r>
      <w:r w:rsidRPr="002507DB">
        <w:rPr>
          <w:rFonts w:cs="Arial"/>
          <w:rtl/>
        </w:rPr>
        <w:t>ומשמע דוקא בכה"ג מהני עת הדחק אבל אם הוא מוקדם ולא ידע הבעל שהקדימו אפילו בעת הדחק פסול דאז לא שייך לומר כיון שנתן עיניו בגרושין וכו' לפ"ז אין צריך לומר החילוקים מ"ש בתשובת מהר"מ מינץ סי' י"ט</w:t>
      </w:r>
      <w:r>
        <w:rPr>
          <w:rFonts w:cs="Arial" w:hint="cs"/>
          <w:rtl/>
        </w:rPr>
        <w:t>..., ב"ש (סק"ד).</w:t>
      </w:r>
    </w:p>
  </w:footnote>
  <w:footnote w:id="882">
    <w:p w14:paraId="11EA367B" w14:textId="77777777" w:rsidR="00FA2119" w:rsidRDefault="00FA2119" w:rsidP="00FA2119">
      <w:pPr>
        <w:pStyle w:val="a5"/>
        <w:rPr>
          <w:rtl/>
        </w:rPr>
      </w:pPr>
      <w:r>
        <w:rPr>
          <w:rStyle w:val="a7"/>
        </w:rPr>
        <w:footnoteRef/>
      </w:r>
      <w:r>
        <w:rPr>
          <w:rtl/>
        </w:rPr>
        <w:t xml:space="preserve"> </w:t>
      </w:r>
      <w:r>
        <w:rPr>
          <w:rFonts w:cs="Arial"/>
          <w:rtl/>
        </w:rPr>
        <w:t>כ' הב"ש לאפוקי מדעת הרא"ש דס"ל דגט מוקדם בטל וא"צ גט משני כו' ועיין בס' ג"פ האריך בזה ומסיק דמ"מ יש לחוש לדברי הרא"ש להחמיר דאם נתגרשה בגט מוקדם שהקדמת זמן הוא שקר ונשאת לב' דתצא מזה ומזה ודיינינן לה כספק מגורשת ע"ש וכן מסיק בס' ב"מ דראוי להחמיר כדעת הרא"ש ז"ל דתצא ואפי' יש לה בנים ע"ש</w:t>
      </w:r>
      <w:r>
        <w:rPr>
          <w:rFonts w:hint="cs"/>
          <w:rtl/>
        </w:rPr>
        <w:t>, פת"ש (סק"ג).</w:t>
      </w:r>
    </w:p>
  </w:footnote>
  <w:footnote w:id="883">
    <w:p w14:paraId="6138C435" w14:textId="77777777" w:rsidR="00FA2119" w:rsidRDefault="00FA2119" w:rsidP="00FA2119">
      <w:pPr>
        <w:pStyle w:val="a5"/>
      </w:pPr>
      <w:r>
        <w:rPr>
          <w:rStyle w:val="a7"/>
        </w:rPr>
        <w:footnoteRef/>
      </w:r>
      <w:r>
        <w:rPr>
          <w:rtl/>
        </w:rPr>
        <w:t xml:space="preserve"> </w:t>
      </w:r>
      <w:r w:rsidRPr="00B3339C">
        <w:rPr>
          <w:rFonts w:cs="Arial"/>
          <w:rtl/>
        </w:rPr>
        <w:t xml:space="preserve">וע' בס' ג"פ </w:t>
      </w:r>
      <w:r>
        <w:rPr>
          <w:rFonts w:cs="Arial" w:hint="cs"/>
          <w:rtl/>
        </w:rPr>
        <w:t>(</w:t>
      </w:r>
      <w:r w:rsidRPr="00B3339C">
        <w:rPr>
          <w:rFonts w:cs="Arial"/>
          <w:rtl/>
        </w:rPr>
        <w:t>סקכ"ט</w:t>
      </w:r>
      <w:r>
        <w:rPr>
          <w:rFonts w:cs="Arial" w:hint="cs"/>
          <w:rtl/>
        </w:rPr>
        <w:t>)</w:t>
      </w:r>
      <w:r w:rsidRPr="00B3339C">
        <w:rPr>
          <w:rFonts w:cs="Arial"/>
          <w:rtl/>
        </w:rPr>
        <w:t xml:space="preserve"> שמצדד לו' דאפילו נכתב ונחתם בתשרי וכתוב בו במרחשון אלא שלא נתנו ביד האשה עד שהגיע זמן הכתוב בגט ג"כ כשר ע"ש. וע' בס' שעה"מ </w:t>
      </w:r>
      <w:r>
        <w:rPr>
          <w:rFonts w:cs="Arial" w:hint="cs"/>
          <w:rtl/>
        </w:rPr>
        <w:t>(</w:t>
      </w:r>
      <w:r w:rsidRPr="00B3339C">
        <w:rPr>
          <w:rFonts w:cs="Arial"/>
          <w:rtl/>
        </w:rPr>
        <w:t xml:space="preserve">פ"א מה"ג </w:t>
      </w:r>
      <w:r>
        <w:rPr>
          <w:rFonts w:cs="Arial" w:hint="cs"/>
          <w:rtl/>
        </w:rPr>
        <w:t>ה</w:t>
      </w:r>
      <w:r w:rsidRPr="00B3339C">
        <w:rPr>
          <w:rFonts w:cs="Arial"/>
          <w:rtl/>
        </w:rPr>
        <w:t>כ</w:t>
      </w:r>
      <w:r>
        <w:rPr>
          <w:rFonts w:cs="Arial" w:hint="cs"/>
          <w:rtl/>
        </w:rPr>
        <w:t>"</w:t>
      </w:r>
      <w:r w:rsidRPr="00B3339C">
        <w:rPr>
          <w:rFonts w:cs="Arial"/>
          <w:rtl/>
        </w:rPr>
        <w:t>ה</w:t>
      </w:r>
      <w:r>
        <w:rPr>
          <w:rFonts w:cs="Arial" w:hint="cs"/>
          <w:rtl/>
        </w:rPr>
        <w:t>)</w:t>
      </w:r>
      <w:r w:rsidRPr="00B3339C">
        <w:rPr>
          <w:rFonts w:cs="Arial"/>
          <w:rtl/>
        </w:rPr>
        <w:t xml:space="preserve"> שכ' דמדברי הרמב"ן והר"ן ומרן בכ</w:t>
      </w:r>
      <w:r>
        <w:rPr>
          <w:rFonts w:cs="Arial" w:hint="cs"/>
          <w:rtl/>
        </w:rPr>
        <w:t>ס</w:t>
      </w:r>
      <w:r w:rsidRPr="00B3339C">
        <w:rPr>
          <w:rFonts w:cs="Arial"/>
          <w:rtl/>
        </w:rPr>
        <w:t>"מ שם שהביאו ראיה לדברי הרמב"ם מהא דענן בר חייא (ביבמות קטז</w:t>
      </w:r>
      <w:r>
        <w:rPr>
          <w:rFonts w:cs="Arial" w:hint="cs"/>
          <w:rtl/>
        </w:rPr>
        <w:t>.</w:t>
      </w:r>
      <w:r w:rsidRPr="00B3339C">
        <w:rPr>
          <w:rFonts w:cs="Arial"/>
          <w:rtl/>
        </w:rPr>
        <w:t>) מוכח דס"ל שלא כדברי הג"</w:t>
      </w:r>
      <w:r>
        <w:rPr>
          <w:rFonts w:cs="Arial" w:hint="cs"/>
          <w:rtl/>
        </w:rPr>
        <w:t>פ</w:t>
      </w:r>
      <w:r w:rsidRPr="00B3339C">
        <w:rPr>
          <w:rFonts w:cs="Arial"/>
          <w:rtl/>
        </w:rPr>
        <w:t xml:space="preserve"> ושלא כדברי ה"ה הנ"ל אלא דבכל ענין פסול משום לא פלוג ע"ש. ועיין בב"ש ר"ס קל"ב וס"ס קל"ו מענין זה</w:t>
      </w:r>
      <w:r>
        <w:rPr>
          <w:rFonts w:hint="cs"/>
          <w:rtl/>
        </w:rPr>
        <w:t>, פת"ש (סקי"ד).</w:t>
      </w:r>
    </w:p>
  </w:footnote>
  <w:footnote w:id="884">
    <w:p w14:paraId="59CC0696" w14:textId="77777777" w:rsidR="00FA2119" w:rsidRDefault="00FA2119" w:rsidP="00FA2119">
      <w:pPr>
        <w:pStyle w:val="a5"/>
      </w:pPr>
      <w:r>
        <w:rPr>
          <w:rStyle w:val="a7"/>
        </w:rPr>
        <w:footnoteRef/>
      </w:r>
      <w:r>
        <w:rPr>
          <w:rtl/>
        </w:rPr>
        <w:t xml:space="preserve"> </w:t>
      </w:r>
      <w:r w:rsidRPr="00CB590B">
        <w:rPr>
          <w:rFonts w:cs="Arial"/>
          <w:rtl/>
        </w:rPr>
        <w:t>כ</w:t>
      </w:r>
      <w:r>
        <w:rPr>
          <w:rFonts w:cs="Arial" w:hint="cs"/>
          <w:rtl/>
        </w:rPr>
        <w:t>תב</w:t>
      </w:r>
      <w:r w:rsidRPr="00CB590B">
        <w:rPr>
          <w:rFonts w:cs="Arial"/>
          <w:rtl/>
        </w:rPr>
        <w:t xml:space="preserve"> בס' ג"פ</w:t>
      </w:r>
      <w:r>
        <w:rPr>
          <w:rFonts w:cs="Arial" w:hint="cs"/>
          <w:rtl/>
        </w:rPr>
        <w:t>-</w:t>
      </w:r>
      <w:r w:rsidRPr="00CB590B">
        <w:rPr>
          <w:rFonts w:cs="Arial"/>
          <w:rtl/>
        </w:rPr>
        <w:t xml:space="preserve"> יראה לי דאם הוא שעת הדחק</w:t>
      </w:r>
      <w:r>
        <w:rPr>
          <w:rFonts w:cs="Arial" w:hint="cs"/>
          <w:rtl/>
        </w:rPr>
        <w:t>,</w:t>
      </w:r>
      <w:r w:rsidRPr="00CB590B">
        <w:rPr>
          <w:rFonts w:cs="Arial"/>
          <w:rtl/>
        </w:rPr>
        <w:t xml:space="preserve"> כגון גט ש"מ שלא תשאר זקוקה ליבם קטן</w:t>
      </w:r>
      <w:r>
        <w:rPr>
          <w:rFonts w:cs="Arial" w:hint="cs"/>
          <w:rtl/>
        </w:rPr>
        <w:t>,</w:t>
      </w:r>
      <w:r w:rsidRPr="00CB590B">
        <w:rPr>
          <w:rFonts w:cs="Arial"/>
          <w:rtl/>
        </w:rPr>
        <w:t xml:space="preserve"> יש לעשות כן אפי' לכתחלה אע</w:t>
      </w:r>
      <w:r>
        <w:rPr>
          <w:rFonts w:cs="Arial" w:hint="cs"/>
          <w:rtl/>
        </w:rPr>
        <w:t>"</w:t>
      </w:r>
      <w:r w:rsidRPr="00CB590B">
        <w:rPr>
          <w:rFonts w:cs="Arial"/>
          <w:rtl/>
        </w:rPr>
        <w:t>פ שמוסיף על הגט יותר מי"ב שיטין</w:t>
      </w:r>
      <w:r>
        <w:rPr>
          <w:rFonts w:cs="Arial" w:hint="cs"/>
          <w:rtl/>
        </w:rPr>
        <w:t>.</w:t>
      </w:r>
      <w:r w:rsidRPr="00CB590B">
        <w:rPr>
          <w:rFonts w:cs="Arial"/>
          <w:rtl/>
        </w:rPr>
        <w:t xml:space="preserve"> אבל בלאו הכי </w:t>
      </w:r>
      <w:r>
        <w:rPr>
          <w:rFonts w:cs="Arial" w:hint="cs"/>
          <w:rtl/>
        </w:rPr>
        <w:t xml:space="preserve">- </w:t>
      </w:r>
      <w:r w:rsidRPr="00CB590B">
        <w:rPr>
          <w:rFonts w:cs="Arial"/>
          <w:rtl/>
        </w:rPr>
        <w:t>אין לעשות כן ולכתוב גיטא דנן כו' לכתחלה</w:t>
      </w:r>
      <w:r>
        <w:rPr>
          <w:rFonts w:cs="Arial" w:hint="cs"/>
          <w:rtl/>
        </w:rPr>
        <w:t>,</w:t>
      </w:r>
      <w:r w:rsidRPr="00CB590B">
        <w:rPr>
          <w:rFonts w:cs="Arial"/>
          <w:rtl/>
        </w:rPr>
        <w:t xml:space="preserve"> רק בדיעבד שנכתב וניתן כבר יש להכשיר</w:t>
      </w:r>
      <w:r>
        <w:rPr>
          <w:rFonts w:cs="Arial" w:hint="cs"/>
          <w:rtl/>
        </w:rPr>
        <w:t>.</w:t>
      </w:r>
      <w:r w:rsidRPr="00CB590B">
        <w:rPr>
          <w:rFonts w:cs="Arial"/>
          <w:rtl/>
        </w:rPr>
        <w:t xml:space="preserve"> גם יראה דדוקא קודם חתימה אם כתבו גיטא דנן כו' כשר</w:t>
      </w:r>
      <w:r>
        <w:rPr>
          <w:rFonts w:cs="Arial" w:hint="cs"/>
          <w:rtl/>
        </w:rPr>
        <w:t>,</w:t>
      </w:r>
      <w:r w:rsidRPr="00CB590B">
        <w:rPr>
          <w:rFonts w:cs="Arial"/>
          <w:rtl/>
        </w:rPr>
        <w:t xml:space="preserve"> אבל אחר שחתמו העדים לא מהני שיכתוב כן</w:t>
      </w:r>
      <w:r>
        <w:rPr>
          <w:rFonts w:cs="Arial" w:hint="cs"/>
          <w:rtl/>
        </w:rPr>
        <w:t>,</w:t>
      </w:r>
      <w:r w:rsidRPr="00CB590B">
        <w:rPr>
          <w:rFonts w:cs="Arial"/>
          <w:rtl/>
        </w:rPr>
        <w:t xml:space="preserve"> משום דחיישינן שיגזוז אותה שיטה שכתוב בו גיטא דנן. עוד יראה דאם חתם עד א'</w:t>
      </w:r>
      <w:r>
        <w:rPr>
          <w:rFonts w:cs="Arial" w:hint="cs"/>
          <w:rtl/>
        </w:rPr>
        <w:t>,</w:t>
      </w:r>
      <w:r w:rsidRPr="00CB590B">
        <w:rPr>
          <w:rFonts w:cs="Arial"/>
          <w:rtl/>
        </w:rPr>
        <w:t xml:space="preserve"> וקודם שחתם העד הב' כתבו גיטא דנן כו' וחזרו וחתמו שניהם </w:t>
      </w:r>
      <w:r>
        <w:rPr>
          <w:rFonts w:cs="Arial" w:hint="cs"/>
          <w:rtl/>
        </w:rPr>
        <w:t xml:space="preserve">- </w:t>
      </w:r>
      <w:r w:rsidRPr="00CB590B">
        <w:rPr>
          <w:rFonts w:cs="Arial"/>
          <w:rtl/>
        </w:rPr>
        <w:t>הגט כשר</w:t>
      </w:r>
      <w:r>
        <w:rPr>
          <w:rFonts w:cs="Arial" w:hint="cs"/>
          <w:rtl/>
        </w:rPr>
        <w:t>,</w:t>
      </w:r>
      <w:r w:rsidRPr="00CB590B">
        <w:rPr>
          <w:rFonts w:cs="Arial"/>
          <w:rtl/>
        </w:rPr>
        <w:t xml:space="preserve"> וראי' מתשובות המיוחסות להרמב"ן סי' נ"ד פסקה מרן בח"מ ס"ס מ"ד ע"ש</w:t>
      </w:r>
      <w:r>
        <w:rPr>
          <w:rFonts w:cs="Arial" w:hint="cs"/>
          <w:rtl/>
        </w:rPr>
        <w:t>, פת"ש (סק"ד).</w:t>
      </w:r>
    </w:p>
  </w:footnote>
  <w:footnote w:id="885">
    <w:p w14:paraId="03258076" w14:textId="77777777" w:rsidR="00FA2119" w:rsidRDefault="00FA2119" w:rsidP="00FA2119">
      <w:pPr>
        <w:pStyle w:val="a5"/>
        <w:rPr>
          <w:rtl/>
        </w:rPr>
      </w:pPr>
      <w:r>
        <w:rPr>
          <w:rStyle w:val="a7"/>
        </w:rPr>
        <w:footnoteRef/>
      </w:r>
      <w:r>
        <w:rPr>
          <w:rtl/>
        </w:rPr>
        <w:t xml:space="preserve"> </w:t>
      </w:r>
      <w:r w:rsidRPr="008B3CA9">
        <w:rPr>
          <w:rFonts w:cs="Arial"/>
          <w:rtl/>
        </w:rPr>
        <w:t>ופירש רש"י קלא אית להו ובין לענין זנות ובין לענין פירות בעיא לאתויי ראיה אימת מטא גיטא לידה. וכתבו התוס</w:t>
      </w:r>
      <w:r>
        <w:rPr>
          <w:rFonts w:cs="Arial" w:hint="cs"/>
          <w:rtl/>
        </w:rPr>
        <w:t>'</w:t>
      </w:r>
      <w:r w:rsidRPr="008B3CA9">
        <w:rPr>
          <w:rFonts w:cs="Arial"/>
          <w:rtl/>
        </w:rPr>
        <w:t xml:space="preserve"> (ד"ה הנהו) תימה דלענין זנות נהי דידוע שלא בא לידה ביום הכתוב בו מ"מ יכול הוא לחפות ולומר שנתן לה קודם שזנתה כמו קודם שתקנו הזמן</w:t>
      </w:r>
      <w:r>
        <w:rPr>
          <w:rFonts w:cs="Arial" w:hint="cs"/>
          <w:rtl/>
        </w:rPr>
        <w:t>.</w:t>
      </w:r>
      <w:r w:rsidRPr="008B3CA9">
        <w:rPr>
          <w:rFonts w:cs="Arial"/>
          <w:rtl/>
        </w:rPr>
        <w:t xml:space="preserve"> ואומר ר"י קלא אית להו</w:t>
      </w:r>
      <w:r>
        <w:rPr>
          <w:rFonts w:cs="Arial" w:hint="cs"/>
          <w:rtl/>
        </w:rPr>
        <w:t>,</w:t>
      </w:r>
      <w:r w:rsidRPr="008B3CA9">
        <w:rPr>
          <w:rFonts w:cs="Arial"/>
          <w:rtl/>
        </w:rPr>
        <w:t xml:space="preserve"> כשרואים שזמן הכתיבה היא קודם זמן המסירה אית לה קלא למילתא ומסקי אדעתייהו לידע יום המסירה</w:t>
      </w:r>
      <w:r>
        <w:rPr>
          <w:rFonts w:cs="Arial" w:hint="cs"/>
          <w:rtl/>
        </w:rPr>
        <w:t>.</w:t>
      </w:r>
      <w:r w:rsidRPr="008B3CA9">
        <w:rPr>
          <w:rFonts w:cs="Arial"/>
          <w:rtl/>
        </w:rPr>
        <w:t xml:space="preserve"> ואם תאמר ובההוא למה תקנו זמן</w:t>
      </w:r>
      <w:r>
        <w:rPr>
          <w:rFonts w:cs="Arial" w:hint="cs"/>
          <w:rtl/>
        </w:rPr>
        <w:t>,</w:t>
      </w:r>
      <w:r w:rsidRPr="008B3CA9">
        <w:rPr>
          <w:rFonts w:cs="Arial"/>
          <w:rtl/>
        </w:rPr>
        <w:t xml:space="preserve"> ויש לומר ע"י הזמן יש לו קול לפי שרואין ע</w:t>
      </w:r>
      <w:r>
        <w:rPr>
          <w:rFonts w:cs="Arial" w:hint="cs"/>
          <w:rtl/>
        </w:rPr>
        <w:t>"</w:t>
      </w:r>
      <w:r w:rsidRPr="008B3CA9">
        <w:rPr>
          <w:rFonts w:cs="Arial"/>
          <w:rtl/>
        </w:rPr>
        <w:t>י הזמן שבו שהנתינה אינה ביום הכתיבה עכ"ל</w:t>
      </w:r>
      <w:r>
        <w:rPr>
          <w:rFonts w:hint="cs"/>
          <w:rtl/>
        </w:rPr>
        <w:t>, ב"י.</w:t>
      </w:r>
    </w:p>
  </w:footnote>
  <w:footnote w:id="886">
    <w:p w14:paraId="50BDEBC8" w14:textId="77777777" w:rsidR="00FA2119" w:rsidRDefault="00FA2119" w:rsidP="00FA2119">
      <w:pPr>
        <w:pStyle w:val="a5"/>
        <w:rPr>
          <w:rtl/>
        </w:rPr>
      </w:pPr>
      <w:r>
        <w:rPr>
          <w:rStyle w:val="a7"/>
        </w:rPr>
        <w:footnoteRef/>
      </w:r>
      <w:r>
        <w:rPr>
          <w:rtl/>
        </w:rPr>
        <w:t xml:space="preserve"> </w:t>
      </w:r>
      <w:r w:rsidRPr="008B3CA9">
        <w:rPr>
          <w:rFonts w:cs="Arial"/>
          <w:rtl/>
        </w:rPr>
        <w:t>ופירש רש"י קלא אית להו ובין לענין זנות ובין לענין פירות בעיא לאתויי ראיה אימת מטא גיטא לידה. וכתבו התוס</w:t>
      </w:r>
      <w:r>
        <w:rPr>
          <w:rFonts w:cs="Arial" w:hint="cs"/>
          <w:rtl/>
        </w:rPr>
        <w:t>'</w:t>
      </w:r>
      <w:r w:rsidRPr="008B3CA9">
        <w:rPr>
          <w:rFonts w:cs="Arial"/>
          <w:rtl/>
        </w:rPr>
        <w:t xml:space="preserve"> (ד"ה הנהו) תימה דלענין זנות נהי דידוע שלא בא לידה ביום הכתוב בו מ"מ יכול הוא לחפות ולומר שנתן לה קודם שזנתה</w:t>
      </w:r>
      <w:r>
        <w:rPr>
          <w:rFonts w:cs="Arial" w:hint="cs"/>
          <w:rtl/>
        </w:rPr>
        <w:t>,</w:t>
      </w:r>
      <w:r w:rsidRPr="008B3CA9">
        <w:rPr>
          <w:rFonts w:cs="Arial"/>
          <w:rtl/>
        </w:rPr>
        <w:t xml:space="preserve"> כמו קודם שתקנו הזמן</w:t>
      </w:r>
      <w:r>
        <w:rPr>
          <w:rFonts w:cs="Arial" w:hint="cs"/>
          <w:rtl/>
        </w:rPr>
        <w:t>.</w:t>
      </w:r>
      <w:r w:rsidRPr="008B3CA9">
        <w:rPr>
          <w:rFonts w:cs="Arial"/>
          <w:rtl/>
        </w:rPr>
        <w:t xml:space="preserve"> ואומר ר"י קלא אית להו</w:t>
      </w:r>
      <w:r>
        <w:rPr>
          <w:rFonts w:cs="Arial" w:hint="cs"/>
          <w:rtl/>
        </w:rPr>
        <w:t>,</w:t>
      </w:r>
      <w:r w:rsidRPr="008B3CA9">
        <w:rPr>
          <w:rFonts w:cs="Arial"/>
          <w:rtl/>
        </w:rPr>
        <w:t xml:space="preserve"> כשרואים שזמן הכתיבה היא קודם זמן המסירה אית לה קלא למילתא ומסקי אדעתייהו לידע יום המסירה</w:t>
      </w:r>
      <w:r>
        <w:rPr>
          <w:rFonts w:cs="Arial" w:hint="cs"/>
          <w:rtl/>
        </w:rPr>
        <w:t>.</w:t>
      </w:r>
      <w:r w:rsidRPr="008B3CA9">
        <w:rPr>
          <w:rFonts w:cs="Arial"/>
          <w:rtl/>
        </w:rPr>
        <w:t xml:space="preserve"> ואם תאמר ובההוא למה תקנו זמן</w:t>
      </w:r>
      <w:r>
        <w:rPr>
          <w:rFonts w:cs="Arial" w:hint="cs"/>
          <w:rtl/>
        </w:rPr>
        <w:t>,</w:t>
      </w:r>
      <w:r w:rsidRPr="008B3CA9">
        <w:rPr>
          <w:rFonts w:cs="Arial"/>
          <w:rtl/>
        </w:rPr>
        <w:t xml:space="preserve"> ויש לומר ע"י הזמן יש לו קול לפי שרואין ע</w:t>
      </w:r>
      <w:r>
        <w:rPr>
          <w:rFonts w:cs="Arial" w:hint="cs"/>
          <w:rtl/>
        </w:rPr>
        <w:t>"</w:t>
      </w:r>
      <w:r w:rsidRPr="008B3CA9">
        <w:rPr>
          <w:rFonts w:cs="Arial"/>
          <w:rtl/>
        </w:rPr>
        <w:t>י הזמן שבו שהנתינה אינה ביום הכתיבה עכ"ל</w:t>
      </w:r>
      <w:r>
        <w:rPr>
          <w:rFonts w:hint="cs"/>
          <w:rtl/>
        </w:rPr>
        <w:t>, ב"י.</w:t>
      </w:r>
    </w:p>
  </w:footnote>
  <w:footnote w:id="887">
    <w:p w14:paraId="210B4B5A" w14:textId="2602029E" w:rsidR="00FA2119" w:rsidRDefault="00FA2119" w:rsidP="00FA2119">
      <w:pPr>
        <w:pStyle w:val="a5"/>
      </w:pPr>
      <w:r>
        <w:rPr>
          <w:rStyle w:val="a7"/>
        </w:rPr>
        <w:footnoteRef/>
      </w:r>
      <w:r>
        <w:rPr>
          <w:rtl/>
        </w:rPr>
        <w:t xml:space="preserve"> </w:t>
      </w:r>
      <w:r>
        <w:rPr>
          <w:rFonts w:cs="Arial" w:hint="cs"/>
          <w:rtl/>
        </w:rPr>
        <w:t xml:space="preserve">וז"ל הרא"ש </w:t>
      </w:r>
      <w:r>
        <w:rPr>
          <w:rFonts w:cs="Arial" w:hint="cs"/>
          <w:sz w:val="16"/>
          <w:szCs w:val="16"/>
          <w:rtl/>
        </w:rPr>
        <w:t>(</w:t>
      </w:r>
      <w:r w:rsidRPr="00BB32D3">
        <w:rPr>
          <w:rFonts w:cs="Arial"/>
          <w:sz w:val="16"/>
          <w:szCs w:val="16"/>
          <w:rtl/>
        </w:rPr>
        <w:t>פ</w:t>
      </w:r>
      <w:r w:rsidRPr="00BB32D3">
        <w:rPr>
          <w:rFonts w:cs="Arial" w:hint="cs"/>
          <w:sz w:val="16"/>
          <w:szCs w:val="16"/>
          <w:rtl/>
        </w:rPr>
        <w:t>"ב</w:t>
      </w:r>
      <w:r w:rsidRPr="00BB32D3">
        <w:rPr>
          <w:rFonts w:cs="Arial"/>
          <w:sz w:val="16"/>
          <w:szCs w:val="16"/>
          <w:rtl/>
        </w:rPr>
        <w:t xml:space="preserve"> דגיטין סי' ד-ה</w:t>
      </w:r>
      <w:r>
        <w:rPr>
          <w:rFonts w:cs="Arial" w:hint="cs"/>
          <w:sz w:val="16"/>
          <w:szCs w:val="16"/>
          <w:rtl/>
        </w:rPr>
        <w:t>)</w:t>
      </w:r>
      <w:r w:rsidR="00DB1DBD">
        <w:rPr>
          <w:rFonts w:cs="Arial" w:hint="cs"/>
          <w:rtl/>
        </w:rPr>
        <w:t>:</w:t>
      </w:r>
      <w:r>
        <w:rPr>
          <w:rFonts w:cs="Arial" w:hint="cs"/>
          <w:rtl/>
        </w:rPr>
        <w:t xml:space="preserve"> </w:t>
      </w:r>
      <w:r>
        <w:rPr>
          <w:rFonts w:cs="Arial"/>
          <w:rtl/>
        </w:rPr>
        <w:t>הא דכותבין גט לאיש אע</w:t>
      </w:r>
      <w:r>
        <w:rPr>
          <w:rFonts w:cs="Arial" w:hint="cs"/>
          <w:rtl/>
        </w:rPr>
        <w:t>"</w:t>
      </w:r>
      <w:r>
        <w:rPr>
          <w:rFonts w:cs="Arial"/>
          <w:rtl/>
        </w:rPr>
        <w:t>פ שאין אשתו עמו (ב"ב קסז.) ולא חיישינן שמא כתב ליתן בניסן ולא נתנו עד תשרי משום דגט צריך למסרו בעדים וכיון דיש עדים בשעת מסירה וחזו דזמן כתיבה מוקדם ליום המסירה מפקי לקלא שלא נמסר ביום הכתיבה ומסקי אדעתייהו לומר אייתי ראיה אימת מטא גיטא לידך</w:t>
      </w:r>
      <w:r>
        <w:rPr>
          <w:rFonts w:cs="Arial" w:hint="cs"/>
          <w:rtl/>
        </w:rPr>
        <w:t>.</w:t>
      </w:r>
      <w:r>
        <w:rPr>
          <w:rFonts w:cs="Arial"/>
          <w:rtl/>
        </w:rPr>
        <w:t xml:space="preserve"> ולקמן דפריך מגיטין הבאים ממדינת הים דמה הועילו חכמים בתקנתם ומשני הנהו קלא אית להו </w:t>
      </w:r>
      <w:r>
        <w:rPr>
          <w:rFonts w:cs="Arial" w:hint="cs"/>
          <w:rtl/>
        </w:rPr>
        <w:t xml:space="preserve">- </w:t>
      </w:r>
      <w:r>
        <w:rPr>
          <w:rFonts w:cs="Arial"/>
          <w:rtl/>
        </w:rPr>
        <w:t>הוא הדין לכל גיטין שלא נמסרו ביום הכתיבה אית להו קלא</w:t>
      </w:r>
      <w:r>
        <w:rPr>
          <w:rFonts w:cs="Arial" w:hint="cs"/>
          <w:rtl/>
        </w:rPr>
        <w:t>,</w:t>
      </w:r>
      <w:r>
        <w:rPr>
          <w:rFonts w:cs="Arial"/>
          <w:rtl/>
        </w:rPr>
        <w:t xml:space="preserve"> אלא על שהקשה לו מבאים ממדינת הים</w:t>
      </w:r>
      <w:r>
        <w:rPr>
          <w:rFonts w:cs="Arial" w:hint="cs"/>
          <w:rtl/>
        </w:rPr>
        <w:t>,</w:t>
      </w:r>
      <w:r>
        <w:rPr>
          <w:rFonts w:cs="Arial"/>
          <w:rtl/>
        </w:rPr>
        <w:t xml:space="preserve"> תירץ לו</w:t>
      </w:r>
      <w:r>
        <w:rPr>
          <w:rFonts w:cs="Arial" w:hint="cs"/>
          <w:rtl/>
        </w:rPr>
        <w:t>.</w:t>
      </w:r>
      <w:r>
        <w:rPr>
          <w:rFonts w:cs="Arial"/>
          <w:rtl/>
        </w:rPr>
        <w:t xml:space="preserve"> ומה שלא הקשה לו מכל גיטין שלא ניתנו ביום הכתיבה</w:t>
      </w:r>
      <w:r>
        <w:rPr>
          <w:rFonts w:cs="Arial" w:hint="cs"/>
          <w:rtl/>
        </w:rPr>
        <w:t>,</w:t>
      </w:r>
      <w:r>
        <w:rPr>
          <w:rFonts w:cs="Arial"/>
          <w:rtl/>
        </w:rPr>
        <w:t xml:space="preserve"> משום דלא שכיחא</w:t>
      </w:r>
      <w:r>
        <w:rPr>
          <w:rFonts w:cs="Arial" w:hint="cs"/>
          <w:rtl/>
        </w:rPr>
        <w:t>,</w:t>
      </w:r>
      <w:r>
        <w:rPr>
          <w:rFonts w:cs="Arial"/>
          <w:rtl/>
        </w:rPr>
        <w:t xml:space="preserve"> כדקאמר (גיטין יח.) דלא מקדים איניש פורענותא לנפשיה</w:t>
      </w:r>
      <w:r>
        <w:rPr>
          <w:rFonts w:cs="Arial" w:hint="cs"/>
          <w:rtl/>
        </w:rPr>
        <w:t>.</w:t>
      </w:r>
      <w:r>
        <w:rPr>
          <w:rFonts w:cs="Arial"/>
          <w:rtl/>
        </w:rPr>
        <w:t xml:space="preserve"> אי נמי להכי כותבין גט לאיש אע</w:t>
      </w:r>
      <w:r>
        <w:rPr>
          <w:rFonts w:cs="Arial" w:hint="cs"/>
          <w:rtl/>
        </w:rPr>
        <w:t>"</w:t>
      </w:r>
      <w:r>
        <w:rPr>
          <w:rFonts w:cs="Arial"/>
          <w:rtl/>
        </w:rPr>
        <w:t>פ שאין אשתו עמו</w:t>
      </w:r>
      <w:r>
        <w:rPr>
          <w:rFonts w:cs="Arial" w:hint="cs"/>
          <w:rtl/>
        </w:rPr>
        <w:t>,</w:t>
      </w:r>
      <w:r>
        <w:rPr>
          <w:rFonts w:cs="Arial"/>
          <w:rtl/>
        </w:rPr>
        <w:t xml:space="preserve"> משום דלא שכיח דכתב גט קודם הנתינה דלא מקדים פורענותא לנפשיה</w:t>
      </w:r>
      <w:r>
        <w:rPr>
          <w:rFonts w:cs="Arial" w:hint="cs"/>
          <w:rtl/>
        </w:rPr>
        <w:t>,</w:t>
      </w:r>
      <w:r>
        <w:rPr>
          <w:rFonts w:cs="Arial"/>
          <w:rtl/>
        </w:rPr>
        <w:t xml:space="preserve"> ואחר הכתיבה נותנו מיד לידה</w:t>
      </w:r>
      <w:r>
        <w:rPr>
          <w:rFonts w:cs="Arial" w:hint="cs"/>
          <w:rtl/>
        </w:rPr>
        <w:t>,</w:t>
      </w:r>
      <w:r>
        <w:rPr>
          <w:rFonts w:cs="Arial"/>
          <w:rtl/>
        </w:rPr>
        <w:t xml:space="preserve"> או ליד שליח לקבלה</w:t>
      </w:r>
      <w:r>
        <w:rPr>
          <w:rFonts w:cs="Arial" w:hint="cs"/>
          <w:rtl/>
        </w:rPr>
        <w:t>,</w:t>
      </w:r>
      <w:r>
        <w:rPr>
          <w:rFonts w:cs="Arial"/>
          <w:rtl/>
        </w:rPr>
        <w:t xml:space="preserve"> או מוסרו ליד שליח להוליך לה</w:t>
      </w:r>
      <w:r>
        <w:rPr>
          <w:rFonts w:cs="Arial" w:hint="cs"/>
          <w:rtl/>
        </w:rPr>
        <w:t>,</w:t>
      </w:r>
      <w:r>
        <w:rPr>
          <w:rFonts w:cs="Arial"/>
          <w:rtl/>
        </w:rPr>
        <w:t xml:space="preserve"> ואז הוי כמו גיטין הבאים ממדינת הים דאית להו קלא</w:t>
      </w:r>
      <w:r>
        <w:rPr>
          <w:rFonts w:cs="Arial" w:hint="cs"/>
          <w:rtl/>
        </w:rPr>
        <w:t>,</w:t>
      </w:r>
      <w:r>
        <w:rPr>
          <w:rFonts w:cs="Arial"/>
          <w:rtl/>
        </w:rPr>
        <w:t xml:space="preserve"> לפי שיש קול להליכת השליח ולביאתו ומידע ידעי זמן המסירה</w:t>
      </w:r>
      <w:r>
        <w:rPr>
          <w:rFonts w:cs="Arial" w:hint="cs"/>
          <w:rtl/>
        </w:rPr>
        <w:t>.</w:t>
      </w:r>
      <w:r>
        <w:rPr>
          <w:rFonts w:cs="Arial"/>
          <w:rtl/>
        </w:rPr>
        <w:t xml:space="preserve"> ולפי טעם זה אי איתרמי הכי שלא נמסר ביום שנכתב </w:t>
      </w:r>
      <w:r>
        <w:rPr>
          <w:rFonts w:cs="Arial" w:hint="cs"/>
          <w:rtl/>
        </w:rPr>
        <w:t xml:space="preserve">- </w:t>
      </w:r>
      <w:r>
        <w:rPr>
          <w:rFonts w:cs="Arial"/>
          <w:rtl/>
        </w:rPr>
        <w:t>תו לא מתכשר האי גיטא אם לא ע"י שליח להולכה דאית ליה קלא</w:t>
      </w:r>
      <w:r>
        <w:rPr>
          <w:rFonts w:cs="Arial" w:hint="cs"/>
          <w:rtl/>
        </w:rPr>
        <w:t>.</w:t>
      </w:r>
      <w:r>
        <w:rPr>
          <w:rFonts w:cs="Arial"/>
          <w:rtl/>
        </w:rPr>
        <w:t xml:space="preserve"> דאם היה הבעל נותנו לאשה</w:t>
      </w:r>
      <w:r>
        <w:rPr>
          <w:rFonts w:cs="Arial" w:hint="cs"/>
          <w:rtl/>
        </w:rPr>
        <w:t>,</w:t>
      </w:r>
      <w:r>
        <w:rPr>
          <w:rFonts w:cs="Arial"/>
          <w:rtl/>
        </w:rPr>
        <w:t xml:space="preserve"> לית ליה קלא ואתי למיטרף לקוחות שלא כדין מיום שנכתב עכ"ל.</w:t>
      </w:r>
      <w:r>
        <w:rPr>
          <w:rFonts w:cs="Arial" w:hint="cs"/>
          <w:rtl/>
        </w:rPr>
        <w:t xml:space="preserve"> </w:t>
      </w:r>
      <w:r>
        <w:rPr>
          <w:rFonts w:cs="Arial" w:hint="cs"/>
          <w:sz w:val="16"/>
          <w:szCs w:val="16"/>
          <w:rtl/>
        </w:rPr>
        <w:t>(</w:t>
      </w:r>
      <w:r w:rsidRPr="00886836">
        <w:rPr>
          <w:rFonts w:cs="Arial"/>
          <w:b/>
          <w:bCs/>
          <w:sz w:val="16"/>
          <w:szCs w:val="16"/>
          <w:rtl/>
        </w:rPr>
        <w:t>ולפי תירוץ ראשון</w:t>
      </w:r>
      <w:r w:rsidRPr="00B82A0C">
        <w:rPr>
          <w:rFonts w:cs="Arial"/>
          <w:sz w:val="16"/>
          <w:szCs w:val="16"/>
          <w:rtl/>
        </w:rPr>
        <w:t xml:space="preserve"> כל גיטין שנמסרו שלא ביום כתיבתן כשרים אפילו שלא ע"י שליח</w:t>
      </w:r>
      <w:r w:rsidRPr="00B82A0C">
        <w:rPr>
          <w:rFonts w:cs="Arial" w:hint="cs"/>
          <w:sz w:val="16"/>
          <w:szCs w:val="16"/>
          <w:rtl/>
        </w:rPr>
        <w:t>.</w:t>
      </w:r>
      <w:r w:rsidRPr="00B82A0C">
        <w:rPr>
          <w:rFonts w:cs="Arial"/>
          <w:sz w:val="16"/>
          <w:szCs w:val="16"/>
          <w:rtl/>
        </w:rPr>
        <w:t xml:space="preserve"> ולא דמי להקדים זמן הגט דבטל נמי הוי לדעת הרא"ש משום דכי כתב שקרא כתב</w:t>
      </w:r>
      <w:r w:rsidRPr="00B82A0C">
        <w:rPr>
          <w:rFonts w:cs="Arial" w:hint="cs"/>
          <w:sz w:val="16"/>
          <w:szCs w:val="16"/>
          <w:rtl/>
        </w:rPr>
        <w:t>,</w:t>
      </w:r>
      <w:r w:rsidRPr="00B82A0C">
        <w:rPr>
          <w:rFonts w:cs="Arial"/>
          <w:sz w:val="16"/>
          <w:szCs w:val="16"/>
          <w:rtl/>
        </w:rPr>
        <w:t xml:space="preserve"> וכמו שכתבתי למעלה (יט:). </w:t>
      </w:r>
      <w:r w:rsidRPr="00886836">
        <w:rPr>
          <w:rFonts w:cs="Arial"/>
          <w:b/>
          <w:bCs/>
          <w:sz w:val="16"/>
          <w:szCs w:val="16"/>
          <w:rtl/>
        </w:rPr>
        <w:t>ורבינו תפס תירוץ שני עיקר</w:t>
      </w:r>
      <w:r w:rsidRPr="00B82A0C">
        <w:rPr>
          <w:rFonts w:cs="Arial"/>
          <w:sz w:val="16"/>
          <w:szCs w:val="16"/>
          <w:rtl/>
        </w:rPr>
        <w:t xml:space="preserve"> דלא מכשירינן גט שנמסר שלא ביום כתיבתו אלא ע"י שליח דוקא</w:t>
      </w:r>
      <w:r>
        <w:rPr>
          <w:rFonts w:cs="Arial" w:hint="cs"/>
          <w:sz w:val="16"/>
          <w:szCs w:val="16"/>
          <w:rtl/>
        </w:rPr>
        <w:t>, ב"י)</w:t>
      </w:r>
      <w:r w:rsidRPr="00B82A0C">
        <w:rPr>
          <w:rFonts w:cs="Arial" w:hint="cs"/>
          <w:sz w:val="16"/>
          <w:szCs w:val="16"/>
          <w:rtl/>
        </w:rPr>
        <w:t>.</w:t>
      </w:r>
    </w:p>
  </w:footnote>
  <w:footnote w:id="888">
    <w:p w14:paraId="49567132" w14:textId="77777777" w:rsidR="00FA2119" w:rsidRDefault="00FA2119" w:rsidP="00FA2119">
      <w:pPr>
        <w:pStyle w:val="a5"/>
      </w:pPr>
      <w:r>
        <w:rPr>
          <w:rStyle w:val="a7"/>
        </w:rPr>
        <w:footnoteRef/>
      </w:r>
      <w:r>
        <w:rPr>
          <w:rtl/>
        </w:rPr>
        <w:t xml:space="preserve"> </w:t>
      </w:r>
      <w:r>
        <w:rPr>
          <w:rFonts w:cs="Arial" w:hint="cs"/>
          <w:rtl/>
        </w:rPr>
        <w:t>וכן דעת תרוה"ד (</w:t>
      </w:r>
      <w:r>
        <w:rPr>
          <w:rFonts w:cs="Arial"/>
          <w:rtl/>
        </w:rPr>
        <w:t>כתבי</w:t>
      </w:r>
      <w:r>
        <w:rPr>
          <w:rFonts w:cs="Arial" w:hint="cs"/>
          <w:rtl/>
        </w:rPr>
        <w:t>ם</w:t>
      </w:r>
      <w:r>
        <w:rPr>
          <w:rFonts w:cs="Arial"/>
          <w:rtl/>
        </w:rPr>
        <w:t xml:space="preserve"> סי</w:t>
      </w:r>
      <w:r>
        <w:rPr>
          <w:rFonts w:cs="Arial" w:hint="cs"/>
          <w:rtl/>
        </w:rPr>
        <w:t>'</w:t>
      </w:r>
      <w:r>
        <w:rPr>
          <w:rFonts w:cs="Arial"/>
          <w:rtl/>
        </w:rPr>
        <w:t xml:space="preserve"> יט</w:t>
      </w:r>
      <w:r>
        <w:rPr>
          <w:rFonts w:cs="Arial" w:hint="cs"/>
          <w:rtl/>
        </w:rPr>
        <w:t>).</w:t>
      </w:r>
      <w:r>
        <w:rPr>
          <w:rFonts w:cs="Arial"/>
          <w:rtl/>
        </w:rPr>
        <w:t xml:space="preserve"> וגם התוספות בפרק הנזכר (יז: ד"ה עד) גבי הא דאמרינן קסבר רבי יוחנן יש לבעל פירות עד שעת נתינה העלו בסוף דבריהם דלא שייך למימר קלא אית להו אלא כשמגרש ע"י שליח</w:t>
      </w:r>
      <w:r>
        <w:rPr>
          <w:rFonts w:cs="Arial" w:hint="cs"/>
          <w:rtl/>
        </w:rPr>
        <w:t>, ב"י.</w:t>
      </w:r>
    </w:p>
  </w:footnote>
  <w:footnote w:id="889">
    <w:p w14:paraId="1441592B" w14:textId="59728799" w:rsidR="00FA2119" w:rsidRDefault="00FA2119" w:rsidP="00FA2119">
      <w:pPr>
        <w:pStyle w:val="a5"/>
      </w:pPr>
      <w:r>
        <w:rPr>
          <w:rStyle w:val="a7"/>
        </w:rPr>
        <w:footnoteRef/>
      </w:r>
      <w:r>
        <w:rPr>
          <w:rtl/>
        </w:rPr>
        <w:t xml:space="preserve"> </w:t>
      </w:r>
      <w:r>
        <w:rPr>
          <w:rFonts w:cs="Arial"/>
          <w:rtl/>
        </w:rPr>
        <w:t xml:space="preserve">ואין נראה כן מדברי הרמב"ם </w:t>
      </w:r>
      <w:r>
        <w:rPr>
          <w:rFonts w:cs="Arial" w:hint="cs"/>
          <w:rtl/>
        </w:rPr>
        <w:t>(פ"א הכ"ח)</w:t>
      </w:r>
      <w:r w:rsidRPr="00497840">
        <w:rPr>
          <w:rFonts w:cs="Arial"/>
          <w:rtl/>
        </w:rPr>
        <w:t xml:space="preserve"> </w:t>
      </w:r>
      <w:r>
        <w:rPr>
          <w:rFonts w:cs="Arial"/>
          <w:rtl/>
        </w:rPr>
        <w:t>שכתב הרי שאמר לשנים לכתוב גט</w:t>
      </w:r>
      <w:r>
        <w:rPr>
          <w:rFonts w:cs="Arial" w:hint="cs"/>
          <w:rtl/>
        </w:rPr>
        <w:t xml:space="preserve">..., </w:t>
      </w:r>
      <w:r w:rsidRPr="00497840">
        <w:rPr>
          <w:rFonts w:cs="Arial" w:hint="cs"/>
          <w:b/>
          <w:bCs/>
          <w:rtl/>
        </w:rPr>
        <w:t>טור</w:t>
      </w:r>
      <w:r>
        <w:rPr>
          <w:rFonts w:cs="Arial" w:hint="cs"/>
          <w:rtl/>
        </w:rPr>
        <w:t>.</w:t>
      </w:r>
      <w:r>
        <w:rPr>
          <w:rFonts w:cs="Arial"/>
          <w:rtl/>
        </w:rPr>
        <w:t xml:space="preserve"> </w:t>
      </w:r>
      <w:r>
        <w:rPr>
          <w:rFonts w:cs="Arial" w:hint="cs"/>
          <w:rtl/>
        </w:rPr>
        <w:t>וכתב</w:t>
      </w:r>
      <w:r w:rsidRPr="00497840">
        <w:rPr>
          <w:rFonts w:cs="Arial" w:hint="cs"/>
          <w:b/>
          <w:bCs/>
          <w:rtl/>
        </w:rPr>
        <w:t xml:space="preserve"> הב"י</w:t>
      </w:r>
      <w:r>
        <w:rPr>
          <w:rFonts w:cs="Arial" w:hint="cs"/>
          <w:rtl/>
        </w:rPr>
        <w:t xml:space="preserve">- </w:t>
      </w:r>
      <w:r>
        <w:rPr>
          <w:rFonts w:cs="Arial"/>
          <w:rtl/>
        </w:rPr>
        <w:t>דברי רבינו תמוהים בעיני דמה ענין דברי הרמב"ם דמיירי בשלא נכתב עדיין הגט</w:t>
      </w:r>
      <w:r>
        <w:rPr>
          <w:rFonts w:cs="Arial" w:hint="cs"/>
          <w:rtl/>
        </w:rPr>
        <w:t>,</w:t>
      </w:r>
      <w:r>
        <w:rPr>
          <w:rFonts w:cs="Arial"/>
          <w:rtl/>
        </w:rPr>
        <w:t xml:space="preserve"> לענין דברי ר"י דמיירי בנכתב הגט ולא נמסר ביום כתיבתו</w:t>
      </w:r>
      <w:r>
        <w:rPr>
          <w:rFonts w:cs="Arial" w:hint="cs"/>
          <w:rtl/>
        </w:rPr>
        <w:t>,</w:t>
      </w:r>
      <w:r>
        <w:rPr>
          <w:rFonts w:cs="Arial"/>
          <w:rtl/>
        </w:rPr>
        <w:t xml:space="preserve"> דכל שלא נכתב עדיין הגט משמע דלכולי עלמא אין כותבין יום האמירה </w:t>
      </w:r>
      <w:r w:rsidRPr="00A13A32">
        <w:rPr>
          <w:rFonts w:cs="Arial" w:hint="cs"/>
          <w:sz w:val="16"/>
          <w:szCs w:val="16"/>
          <w:rtl/>
        </w:rPr>
        <w:t>(</w:t>
      </w:r>
      <w:r w:rsidRPr="00A13A32">
        <w:rPr>
          <w:rFonts w:cs="Arial"/>
          <w:sz w:val="16"/>
          <w:szCs w:val="16"/>
          <w:rtl/>
        </w:rPr>
        <w:t>וכדאשכחן גבי המקום דאין כותבין מקום האמירה וכדאמר להו רב לספריה (ב"ב קעב.) כי יתביתו בהיני כתובו בהיני אע</w:t>
      </w:r>
      <w:r w:rsidRPr="00A13A32">
        <w:rPr>
          <w:rFonts w:cs="Arial" w:hint="cs"/>
          <w:sz w:val="16"/>
          <w:szCs w:val="16"/>
          <w:rtl/>
        </w:rPr>
        <w:t>"</w:t>
      </w:r>
      <w:r w:rsidRPr="00A13A32">
        <w:rPr>
          <w:rFonts w:cs="Arial"/>
          <w:sz w:val="16"/>
          <w:szCs w:val="16"/>
          <w:rtl/>
        </w:rPr>
        <w:t>ג דמימסרן לכו מילי בשילי ובפרק בתרא דיבמות (קטז.) ההוא גיטא דאשתכח בסורא וכתיב ביה הכי בסורא מתא אנא ענן בר חייא פטרית וכו' ואתו סהדי ואמרי דההוא יומא דאיכתיב גיטא ענן בר חייא גבן הוה ואמר רבא אף לדידי הכא חיישינן וכו' אי נמי מילי מסר וכדאמר להו רב לספריה וכו' ואם איתא דכותבין יום האמירה כי מסר מילי מאי הוי נחזי יום הכתוב בגט אי הוה בסורא ולישנא דאתו סהדי ואמרי דההוא יומא דאיכתיב ביה גיטא משמע דאיום שנכתב בו הגט מסהדי אלא ודאי דיום שנכתב בו הגט הוא היום הכתוב בגט וכדברי הרמב"ם</w:t>
      </w:r>
      <w:r w:rsidRPr="00A13A32">
        <w:rPr>
          <w:rFonts w:cs="Arial" w:hint="cs"/>
          <w:sz w:val="16"/>
          <w:szCs w:val="16"/>
          <w:rtl/>
        </w:rPr>
        <w:t>)</w:t>
      </w:r>
      <w:r>
        <w:rPr>
          <w:rFonts w:cs="Arial" w:hint="cs"/>
          <w:rtl/>
        </w:rPr>
        <w:t>.</w:t>
      </w:r>
      <w:r>
        <w:rPr>
          <w:rFonts w:cs="Arial"/>
          <w:rtl/>
        </w:rPr>
        <w:t xml:space="preserve"> והרי הרא"ש דפסק כדברי ר"י וכתב בתשובה </w:t>
      </w:r>
      <w:r>
        <w:rPr>
          <w:rFonts w:cs="Arial" w:hint="cs"/>
          <w:rtl/>
        </w:rPr>
        <w:t>(</w:t>
      </w:r>
      <w:r>
        <w:rPr>
          <w:rFonts w:cs="Arial"/>
          <w:rtl/>
        </w:rPr>
        <w:t>כלל מה סי</w:t>
      </w:r>
      <w:r>
        <w:rPr>
          <w:rFonts w:cs="Arial" w:hint="cs"/>
          <w:rtl/>
        </w:rPr>
        <w:t>'</w:t>
      </w:r>
      <w:r>
        <w:rPr>
          <w:rFonts w:cs="Arial"/>
          <w:rtl/>
        </w:rPr>
        <w:t xml:space="preserve"> יד</w:t>
      </w:r>
      <w:r>
        <w:rPr>
          <w:rFonts w:cs="Arial" w:hint="cs"/>
          <w:rtl/>
        </w:rPr>
        <w:t>)</w:t>
      </w:r>
      <w:r>
        <w:rPr>
          <w:rFonts w:cs="Arial"/>
          <w:rtl/>
        </w:rPr>
        <w:t xml:space="preserve"> כדברי הרמב"ם שכותבין יום הנתינה</w:t>
      </w:r>
      <w:r>
        <w:rPr>
          <w:rFonts w:cs="Arial" w:hint="cs"/>
          <w:rtl/>
        </w:rPr>
        <w:t>.</w:t>
      </w:r>
      <w:r>
        <w:rPr>
          <w:rFonts w:cs="Arial"/>
          <w:rtl/>
        </w:rPr>
        <w:t xml:space="preserve"> וגם הרשב"א נראה שסובר כדברי ר"י וכתב בתשובה שכותבין יום הכתיבה לא יום האמירה. וראיתי להעתיק פה תשובת הרשב"א שמתוכה יראה שמה שהטעה לרבינו הוא שלא חילק בין קדימה לקדימה כמו שחילק הרשב"א</w:t>
      </w:r>
      <w:r>
        <w:rPr>
          <w:rFonts w:cs="Arial" w:hint="cs"/>
          <w:rtl/>
        </w:rPr>
        <w:t>,</w:t>
      </w:r>
      <w:r>
        <w:rPr>
          <w:rFonts w:cs="Arial"/>
          <w:rtl/>
        </w:rPr>
        <w:t xml:space="preserve"> </w:t>
      </w:r>
      <w:r w:rsidR="000A0F5A">
        <w:rPr>
          <w:rFonts w:cs="Arial"/>
          <w:rtl/>
        </w:rPr>
        <w:t>וז"ל:</w:t>
      </w:r>
      <w:r>
        <w:rPr>
          <w:rFonts w:cs="Arial"/>
          <w:rtl/>
        </w:rPr>
        <w:t xml:space="preserve"> שאלת</w:t>
      </w:r>
      <w:r>
        <w:rPr>
          <w:rFonts w:cs="Arial" w:hint="cs"/>
          <w:rtl/>
        </w:rPr>
        <w:t>:</w:t>
      </w:r>
      <w:r>
        <w:rPr>
          <w:rFonts w:cs="Arial"/>
          <w:rtl/>
        </w:rPr>
        <w:t xml:space="preserve"> מי שצוה לכתוב ולחתום גט לאשתו ביום פלוני ונתאחר הכותב ולא כתבו באותו יום</w:t>
      </w:r>
      <w:r>
        <w:rPr>
          <w:rFonts w:cs="Arial" w:hint="cs"/>
          <w:rtl/>
        </w:rPr>
        <w:t>,</w:t>
      </w:r>
      <w:r>
        <w:rPr>
          <w:rFonts w:cs="Arial"/>
          <w:rtl/>
        </w:rPr>
        <w:t xml:space="preserve"> אם יכתוב זמן קבלת הדברים או זמן הכתיבה</w:t>
      </w:r>
      <w:r>
        <w:rPr>
          <w:rFonts w:cs="Arial" w:hint="cs"/>
          <w:rtl/>
        </w:rPr>
        <w:t>.</w:t>
      </w:r>
      <w:r>
        <w:rPr>
          <w:rFonts w:cs="Arial"/>
          <w:rtl/>
        </w:rPr>
        <w:t xml:space="preserve"> תשובה</w:t>
      </w:r>
      <w:r>
        <w:rPr>
          <w:rFonts w:cs="Arial" w:hint="cs"/>
          <w:rtl/>
        </w:rPr>
        <w:t>:</w:t>
      </w:r>
      <w:r>
        <w:rPr>
          <w:rFonts w:cs="Arial"/>
          <w:rtl/>
        </w:rPr>
        <w:t xml:space="preserve"> אע</w:t>
      </w:r>
      <w:r>
        <w:rPr>
          <w:rFonts w:cs="Arial" w:hint="cs"/>
          <w:rtl/>
        </w:rPr>
        <w:t>"</w:t>
      </w:r>
      <w:r>
        <w:rPr>
          <w:rFonts w:cs="Arial"/>
          <w:rtl/>
        </w:rPr>
        <w:t>פ שבא הלשון מסופק במה שכתבת במה שצוה לכתוב ביום פלוני ולא נתברר מתוך לשון זה אם הכוונה לומר שצוה להם ביום ר"ח ניסן לכתוב גט לאשתו</w:t>
      </w:r>
      <w:r>
        <w:rPr>
          <w:rFonts w:cs="Arial" w:hint="cs"/>
          <w:rtl/>
        </w:rPr>
        <w:t>,</w:t>
      </w:r>
      <w:r>
        <w:rPr>
          <w:rFonts w:cs="Arial"/>
          <w:rtl/>
        </w:rPr>
        <w:t xml:space="preserve"> או שצוה לכתוב לה הגט בר"ח ניסן</w:t>
      </w:r>
      <w:r>
        <w:rPr>
          <w:rFonts w:cs="Arial" w:hint="cs"/>
          <w:rtl/>
        </w:rPr>
        <w:t>.</w:t>
      </w:r>
      <w:r>
        <w:rPr>
          <w:rFonts w:cs="Arial"/>
          <w:rtl/>
        </w:rPr>
        <w:t xml:space="preserve"> ואם כלשון זה האחרון הרי זה גט פסול</w:t>
      </w:r>
      <w:r>
        <w:rPr>
          <w:rFonts w:cs="Arial" w:hint="cs"/>
          <w:rtl/>
        </w:rPr>
        <w:t>,</w:t>
      </w:r>
      <w:r>
        <w:rPr>
          <w:rFonts w:cs="Arial"/>
          <w:rtl/>
        </w:rPr>
        <w:t xml:space="preserve"> וזה פשוט</w:t>
      </w:r>
      <w:r>
        <w:rPr>
          <w:rFonts w:cs="Arial" w:hint="cs"/>
          <w:rtl/>
        </w:rPr>
        <w:t>.</w:t>
      </w:r>
      <w:r>
        <w:rPr>
          <w:rFonts w:cs="Arial"/>
          <w:rtl/>
        </w:rPr>
        <w:t xml:space="preserve"> ואם כלשון הראשון שהצואה היתה בר"ח ניסן ולא היה קובע להם זמן כתיבה בזה ודאי כשר</w:t>
      </w:r>
      <w:r>
        <w:rPr>
          <w:rFonts w:cs="Arial" w:hint="cs"/>
          <w:rtl/>
        </w:rPr>
        <w:t>.</w:t>
      </w:r>
      <w:r>
        <w:rPr>
          <w:rFonts w:cs="Arial"/>
          <w:rtl/>
        </w:rPr>
        <w:t xml:space="preserve"> ומ"מ צריכים הם לכתוב זמן הכתיבה ולא זמן האמירה</w:t>
      </w:r>
      <w:r>
        <w:rPr>
          <w:rFonts w:cs="Arial" w:hint="cs"/>
          <w:rtl/>
        </w:rPr>
        <w:t>,</w:t>
      </w:r>
      <w:r>
        <w:rPr>
          <w:rFonts w:cs="Arial"/>
          <w:rtl/>
        </w:rPr>
        <w:t xml:space="preserve"> ואם כתבו זמן האמירה ודאי פסול</w:t>
      </w:r>
      <w:r>
        <w:rPr>
          <w:rFonts w:cs="Arial" w:hint="cs"/>
          <w:rtl/>
        </w:rPr>
        <w:t>,</w:t>
      </w:r>
      <w:r>
        <w:rPr>
          <w:rFonts w:cs="Arial"/>
          <w:rtl/>
        </w:rPr>
        <w:t xml:space="preserve"> דה"ל מוקדם</w:t>
      </w:r>
      <w:r>
        <w:rPr>
          <w:rFonts w:cs="Arial" w:hint="cs"/>
          <w:rtl/>
        </w:rPr>
        <w:t>.</w:t>
      </w:r>
      <w:r>
        <w:rPr>
          <w:rFonts w:cs="Arial"/>
          <w:rtl/>
        </w:rPr>
        <w:t xml:space="preserve"> ואל תשיבני מגיטין הבאים ממדינת הים שאין ההקדמות שוות</w:t>
      </w:r>
      <w:r>
        <w:rPr>
          <w:rFonts w:cs="Arial" w:hint="cs"/>
          <w:rtl/>
        </w:rPr>
        <w:t>,</w:t>
      </w:r>
      <w:r>
        <w:rPr>
          <w:rFonts w:cs="Arial"/>
          <w:rtl/>
        </w:rPr>
        <w:t xml:space="preserve"> שהקדמת הכתיבה לחתימה</w:t>
      </w:r>
      <w:r>
        <w:rPr>
          <w:rFonts w:cs="Arial" w:hint="cs"/>
          <w:rtl/>
        </w:rPr>
        <w:t>,</w:t>
      </w:r>
      <w:r>
        <w:rPr>
          <w:rFonts w:cs="Arial"/>
          <w:rtl/>
        </w:rPr>
        <w:t xml:space="preserve"> וכל שכן הקדמה גמורה ככותב באייר והקדים וכתב בניסן שזה מוקדם גמור ופסול</w:t>
      </w:r>
      <w:r>
        <w:rPr>
          <w:rFonts w:cs="Arial" w:hint="cs"/>
          <w:rtl/>
        </w:rPr>
        <w:t>.</w:t>
      </w:r>
      <w:r>
        <w:rPr>
          <w:rFonts w:cs="Arial"/>
          <w:rtl/>
        </w:rPr>
        <w:t xml:space="preserve"> אבל כשקדמה כתיבתו וחתימתו לנתינתו זו היא שהכשירו</w:t>
      </w:r>
      <w:r>
        <w:rPr>
          <w:rFonts w:cs="Arial" w:hint="cs"/>
          <w:rtl/>
        </w:rPr>
        <w:t>,</w:t>
      </w:r>
      <w:r>
        <w:rPr>
          <w:rFonts w:cs="Arial"/>
          <w:rtl/>
        </w:rPr>
        <w:t xml:space="preserve"> ומשום דאית להו קלא ואמרינן לה אייתי ראיה אימת מטא גיטא לידך</w:t>
      </w:r>
      <w:r>
        <w:rPr>
          <w:rFonts w:cs="Arial" w:hint="cs"/>
          <w:rtl/>
        </w:rPr>
        <w:t>.</w:t>
      </w:r>
      <w:r>
        <w:rPr>
          <w:rFonts w:cs="Arial"/>
          <w:rtl/>
        </w:rPr>
        <w:t xml:space="preserve"> ודברים אלו ברורים הם בעיני ואיני רואה בהם שום פקפוק עכ"ל</w:t>
      </w:r>
      <w:r>
        <w:rPr>
          <w:rFonts w:cs="Arial" w:hint="cs"/>
          <w:rtl/>
        </w:rPr>
        <w:t>.</w:t>
      </w:r>
    </w:p>
  </w:footnote>
  <w:footnote w:id="890">
    <w:p w14:paraId="2A067D78" w14:textId="35F7A9AE" w:rsidR="00FA2119" w:rsidRDefault="00FA2119" w:rsidP="00FA2119">
      <w:pPr>
        <w:pStyle w:val="a5"/>
      </w:pPr>
      <w:r>
        <w:rPr>
          <w:rStyle w:val="a7"/>
        </w:rPr>
        <w:footnoteRef/>
      </w:r>
      <w:r>
        <w:rPr>
          <w:rtl/>
        </w:rPr>
        <w:t xml:space="preserve"> </w:t>
      </w:r>
      <w:r w:rsidRPr="00874571">
        <w:rPr>
          <w:rFonts w:cs="Arial"/>
          <w:rtl/>
        </w:rPr>
        <w:t xml:space="preserve">כתב הרמב"ם רפ"ב </w:t>
      </w:r>
      <w:r>
        <w:rPr>
          <w:rFonts w:cs="Arial" w:hint="cs"/>
          <w:rtl/>
        </w:rPr>
        <w:t>'</w:t>
      </w:r>
      <w:r w:rsidRPr="00874571">
        <w:rPr>
          <w:rFonts w:cs="Arial"/>
          <w:rtl/>
        </w:rPr>
        <w:t>כותבים וחותמים לו הגט והוא מגרש בכל עת שירצה</w:t>
      </w:r>
      <w:r>
        <w:rPr>
          <w:rFonts w:cs="Arial" w:hint="cs"/>
          <w:rtl/>
        </w:rPr>
        <w:t>'.</w:t>
      </w:r>
      <w:r w:rsidRPr="00874571">
        <w:rPr>
          <w:rFonts w:cs="Arial"/>
          <w:rtl/>
        </w:rPr>
        <w:t xml:space="preserve"> משמע דס"ל תירץ הראשון מ"ש הרא"ש</w:t>
      </w:r>
      <w:r>
        <w:rPr>
          <w:rFonts w:cs="Arial" w:hint="cs"/>
          <w:rtl/>
        </w:rPr>
        <w:t xml:space="preserve"> </w:t>
      </w:r>
      <w:r>
        <w:rPr>
          <w:rFonts w:cs="Arial" w:hint="cs"/>
          <w:sz w:val="16"/>
          <w:szCs w:val="16"/>
          <w:rtl/>
        </w:rPr>
        <w:t>{</w:t>
      </w:r>
      <w:r w:rsidRPr="00874571">
        <w:rPr>
          <w:rFonts w:cs="Arial" w:hint="cs"/>
          <w:sz w:val="16"/>
          <w:szCs w:val="16"/>
          <w:rtl/>
        </w:rPr>
        <w:t>וכמסקנת הרשב"א</w:t>
      </w:r>
      <w:r>
        <w:rPr>
          <w:rFonts w:cs="Arial" w:hint="cs"/>
          <w:sz w:val="16"/>
          <w:szCs w:val="16"/>
          <w:rtl/>
        </w:rPr>
        <w:t>}</w:t>
      </w:r>
      <w:r w:rsidRPr="00874571">
        <w:rPr>
          <w:rFonts w:cs="Arial"/>
          <w:rtl/>
        </w:rPr>
        <w:t xml:space="preserve"> דגט שלא נמסר ביום הכתיבה רשאי למסור מידו לידה</w:t>
      </w:r>
      <w:r>
        <w:rPr>
          <w:rFonts w:cs="Arial" w:hint="cs"/>
          <w:rtl/>
        </w:rPr>
        <w:t>,</w:t>
      </w:r>
      <w:r w:rsidRPr="00874571">
        <w:rPr>
          <w:rFonts w:cs="Arial"/>
          <w:rtl/>
        </w:rPr>
        <w:t xml:space="preserve"> כי עידי מסירה זוכרים יום המסירה כיון שלא נמסר ביום הכתיבה</w:t>
      </w:r>
      <w:r>
        <w:rPr>
          <w:rFonts w:cs="Arial" w:hint="cs"/>
          <w:rtl/>
        </w:rPr>
        <w:t>.</w:t>
      </w:r>
      <w:r w:rsidRPr="00874571">
        <w:rPr>
          <w:rFonts w:cs="Arial"/>
          <w:rtl/>
        </w:rPr>
        <w:t xml:space="preserve"> אע</w:t>
      </w:r>
      <w:r>
        <w:rPr>
          <w:rFonts w:cs="Arial" w:hint="cs"/>
          <w:rtl/>
        </w:rPr>
        <w:t>"</w:t>
      </w:r>
      <w:r w:rsidRPr="00874571">
        <w:rPr>
          <w:rFonts w:cs="Arial"/>
          <w:rtl/>
        </w:rPr>
        <w:t xml:space="preserve">ג </w:t>
      </w:r>
      <w:r>
        <w:rPr>
          <w:rFonts w:cs="Arial" w:hint="cs"/>
          <w:rtl/>
        </w:rPr>
        <w:t>ד</w:t>
      </w:r>
      <w:r w:rsidRPr="00874571">
        <w:rPr>
          <w:rFonts w:cs="Arial"/>
          <w:rtl/>
        </w:rPr>
        <w:t>להרמב"ם בדיעבד כשר הגט בלא ע"מ כמ"ש בסי' קל"ג</w:t>
      </w:r>
      <w:r>
        <w:rPr>
          <w:rFonts w:cs="Arial" w:hint="cs"/>
          <w:rtl/>
        </w:rPr>
        <w:t>,</w:t>
      </w:r>
      <w:r w:rsidRPr="00874571">
        <w:rPr>
          <w:rFonts w:cs="Arial"/>
          <w:rtl/>
        </w:rPr>
        <w:t xml:space="preserve"> מ"מ לכתחלה בעינן ע"מ אמרינן דיזכרו יום המסירה</w:t>
      </w:r>
      <w:r>
        <w:rPr>
          <w:rFonts w:cs="Arial" w:hint="cs"/>
          <w:rtl/>
        </w:rPr>
        <w:t>.</w:t>
      </w:r>
      <w:r w:rsidRPr="00874571">
        <w:rPr>
          <w:rFonts w:cs="Arial"/>
          <w:rtl/>
        </w:rPr>
        <w:t xml:space="preserve"> והא דפוסל כשנחתם בלילה אחר הכתיבה צ"ל משום דהחתימה היה בפסול</w:t>
      </w:r>
      <w:r>
        <w:rPr>
          <w:rFonts w:cs="Arial" w:hint="cs"/>
          <w:rtl/>
        </w:rPr>
        <w:t>,</w:t>
      </w:r>
      <w:r w:rsidRPr="00874571">
        <w:rPr>
          <w:rFonts w:cs="Arial"/>
          <w:rtl/>
        </w:rPr>
        <w:t xml:space="preserve"> אבל אם הכתיבה והחתימה היה בכשרות רשאי למסור מידו לידה</w:t>
      </w:r>
      <w:r>
        <w:rPr>
          <w:rFonts w:cs="Arial" w:hint="cs"/>
          <w:rtl/>
        </w:rPr>
        <w:t>.</w:t>
      </w:r>
      <w:r w:rsidRPr="00874571">
        <w:rPr>
          <w:rFonts w:cs="Arial"/>
          <w:rtl/>
        </w:rPr>
        <w:t xml:space="preserve"> ועל הטור קשה איך כתב דהרמב"ם ס"ל אם נתאחר הגט אחר החתימה אין לו תקנה דהא להדיא משמע מהרמב"ם להיפוך</w:t>
      </w:r>
      <w:r>
        <w:rPr>
          <w:rFonts w:cs="Arial" w:hint="cs"/>
          <w:rtl/>
        </w:rPr>
        <w:t>.</w:t>
      </w:r>
      <w:r w:rsidRPr="00874571">
        <w:rPr>
          <w:rFonts w:cs="Arial"/>
          <w:rtl/>
        </w:rPr>
        <w:t xml:space="preserve"> וכן הקשה בחדושי רש"ך</w:t>
      </w:r>
      <w:r>
        <w:rPr>
          <w:rFonts w:cs="Arial" w:hint="cs"/>
          <w:rtl/>
        </w:rPr>
        <w:t xml:space="preserve">, </w:t>
      </w:r>
      <w:r w:rsidRPr="00801CA8">
        <w:rPr>
          <w:rFonts w:cs="Arial" w:hint="cs"/>
          <w:b/>
          <w:bCs/>
          <w:rtl/>
        </w:rPr>
        <w:t>ב"ש</w:t>
      </w:r>
      <w:r>
        <w:rPr>
          <w:rFonts w:cs="Arial" w:hint="cs"/>
          <w:rtl/>
        </w:rPr>
        <w:t xml:space="preserve"> (סק"ז).</w:t>
      </w:r>
      <w:r w:rsidR="00DB1DBD">
        <w:rPr>
          <w:rFonts w:cs="Arial" w:hint="cs"/>
          <w:rtl/>
        </w:rPr>
        <w:t xml:space="preserve">    </w:t>
      </w:r>
      <w:r w:rsidRPr="00801CA8">
        <w:rPr>
          <w:rFonts w:cs="Arial"/>
          <w:rtl/>
        </w:rPr>
        <w:t xml:space="preserve"> </w:t>
      </w:r>
      <w:r>
        <w:rPr>
          <w:rFonts w:cs="Arial"/>
          <w:rtl/>
        </w:rPr>
        <w:t xml:space="preserve">ועיין בס' ג"פ </w:t>
      </w:r>
      <w:r>
        <w:rPr>
          <w:rFonts w:cs="Arial" w:hint="cs"/>
          <w:rtl/>
        </w:rPr>
        <w:t>(</w:t>
      </w:r>
      <w:r>
        <w:rPr>
          <w:rFonts w:cs="Arial"/>
          <w:rtl/>
        </w:rPr>
        <w:t>סקי"ג</w:t>
      </w:r>
      <w:r>
        <w:rPr>
          <w:rFonts w:cs="Arial" w:hint="cs"/>
          <w:rtl/>
        </w:rPr>
        <w:t>)</w:t>
      </w:r>
      <w:r>
        <w:rPr>
          <w:rFonts w:cs="Arial"/>
          <w:rtl/>
        </w:rPr>
        <w:t xml:space="preserve"> הביא שם דברי הנ"י </w:t>
      </w:r>
      <w:r>
        <w:rPr>
          <w:rFonts w:cs="Arial" w:hint="cs"/>
          <w:rtl/>
        </w:rPr>
        <w:t>(</w:t>
      </w:r>
      <w:r>
        <w:rPr>
          <w:rFonts w:cs="Arial"/>
          <w:rtl/>
        </w:rPr>
        <w:t>פ"ק דב"מ</w:t>
      </w:r>
      <w:r>
        <w:rPr>
          <w:rFonts w:cs="Arial" w:hint="cs"/>
          <w:rtl/>
        </w:rPr>
        <w:t>)</w:t>
      </w:r>
      <w:r>
        <w:rPr>
          <w:rFonts w:cs="Arial"/>
          <w:rtl/>
        </w:rPr>
        <w:t xml:space="preserve"> שכ' דכן הסכים הרמב"ן ז"ל משום דמלתא דלא שכיחא היא דלא מקדים אינש כו' (גם בביאור הגר"א ז"ל סק"ו הביא דברי הנ"י בזה)</w:t>
      </w:r>
      <w:r>
        <w:rPr>
          <w:rFonts w:cs="Arial" w:hint="cs"/>
          <w:rtl/>
        </w:rPr>
        <w:t>.</w:t>
      </w:r>
      <w:r>
        <w:rPr>
          <w:rFonts w:cs="Arial"/>
          <w:rtl/>
        </w:rPr>
        <w:t xml:space="preserve"> וכ"כ בספר תומת ישרים </w:t>
      </w:r>
      <w:r>
        <w:rPr>
          <w:rFonts w:cs="Arial" w:hint="cs"/>
          <w:rtl/>
        </w:rPr>
        <w:t>(</w:t>
      </w:r>
      <w:r>
        <w:rPr>
          <w:rFonts w:cs="Arial"/>
          <w:rtl/>
        </w:rPr>
        <w:t>סי' נה</w:t>
      </w:r>
      <w:r>
        <w:rPr>
          <w:rFonts w:cs="Arial" w:hint="cs"/>
          <w:rtl/>
        </w:rPr>
        <w:t>)</w:t>
      </w:r>
      <w:r>
        <w:rPr>
          <w:rFonts w:cs="Arial"/>
          <w:rtl/>
        </w:rPr>
        <w:t xml:space="preserve"> בשם הרמב"ן ובעל העיטור ובעל ההשלמה והכל בו. ע"ש ובסקי"ד תמה הג"פ על מרן ז"ל איך לא הזכיר דברי הנך רבוותא דמתירין אפי' ע"י הבעל ע"ש. ועיין בס' ב"מ מ"ש בזה ומסיים ולכן לפ"ד במקום עיגון כגון בעוזב דת שנתאחר הנתינה מיום הכתיבה והחתימה ואינו רוצה לצוות לכתוב גט אחר ואף לא לגרש ע"י שליח הסומך על הרמב"ם והרמב"ן ודעימי</w:t>
      </w:r>
      <w:r>
        <w:rPr>
          <w:rFonts w:cs="Arial" w:hint="cs"/>
          <w:rtl/>
        </w:rPr>
        <w:t>ה</w:t>
      </w:r>
      <w:r>
        <w:rPr>
          <w:rFonts w:cs="Arial"/>
          <w:rtl/>
        </w:rPr>
        <w:t xml:space="preserve"> לא הפסיד ע"ש</w:t>
      </w:r>
      <w:r>
        <w:rPr>
          <w:rFonts w:hint="cs"/>
          <w:rtl/>
        </w:rPr>
        <w:t xml:space="preserve">, </w:t>
      </w:r>
      <w:r w:rsidRPr="00801CA8">
        <w:rPr>
          <w:rFonts w:hint="cs"/>
          <w:b/>
          <w:bCs/>
          <w:rtl/>
        </w:rPr>
        <w:t>פת"ש</w:t>
      </w:r>
      <w:r>
        <w:rPr>
          <w:rFonts w:hint="cs"/>
          <w:rtl/>
        </w:rPr>
        <w:t xml:space="preserve"> (סק"ו).</w:t>
      </w:r>
    </w:p>
  </w:footnote>
  <w:footnote w:id="891">
    <w:p w14:paraId="56083CEF" w14:textId="4B84A525" w:rsidR="00FA2119" w:rsidRDefault="00FA2119" w:rsidP="00FA2119">
      <w:pPr>
        <w:pStyle w:val="a5"/>
      </w:pPr>
      <w:r>
        <w:rPr>
          <w:rStyle w:val="a7"/>
        </w:rPr>
        <w:footnoteRef/>
      </w:r>
      <w:r>
        <w:rPr>
          <w:rtl/>
        </w:rPr>
        <w:t xml:space="preserve"> </w:t>
      </w:r>
      <w:r>
        <w:rPr>
          <w:rFonts w:hint="cs"/>
          <w:rtl/>
        </w:rPr>
        <w:t>גט שבזמן כתיבתו נכתב זמן מוקדם. וכ"כ הב"י בשם הרשב"א (</w:t>
      </w:r>
      <w:r w:rsidR="000A0F5A">
        <w:rPr>
          <w:rFonts w:hint="cs"/>
          <w:rtl/>
        </w:rPr>
        <w:t>וז</w:t>
      </w:r>
      <w:r w:rsidR="000A0F5A">
        <w:rPr>
          <w:rtl/>
        </w:rPr>
        <w:t>"</w:t>
      </w:r>
      <w:r w:rsidR="000A0F5A">
        <w:rPr>
          <w:rFonts w:hint="cs"/>
          <w:rtl/>
        </w:rPr>
        <w:t>ל:</w:t>
      </w:r>
      <w:r>
        <w:rPr>
          <w:rFonts w:hint="cs"/>
          <w:rtl/>
        </w:rPr>
        <w:t xml:space="preserve"> </w:t>
      </w:r>
      <w:r w:rsidRPr="0039014B">
        <w:rPr>
          <w:rFonts w:cs="Arial"/>
          <w:rtl/>
        </w:rPr>
        <w:t>וגם הרשב"א סובר דלא כהרא"ש שהרי דעתו להכשיר גט מוקדם אם נתנו לה ע"י שליח</w:t>
      </w:r>
      <w:r>
        <w:rPr>
          <w:rFonts w:cs="Arial" w:hint="cs"/>
          <w:rtl/>
        </w:rPr>
        <w:t>. עכ"ל. ואם מיירי הב"י לא בגט המוקדם כנ"ל, אם כן הרשב"א לא חולק על הרא"ש)</w:t>
      </w:r>
      <w:r>
        <w:rPr>
          <w:rFonts w:hint="cs"/>
          <w:rtl/>
        </w:rPr>
        <w:t>.</w:t>
      </w:r>
    </w:p>
  </w:footnote>
  <w:footnote w:id="892">
    <w:p w14:paraId="15167C96" w14:textId="77777777" w:rsidR="00FA2119" w:rsidRDefault="00FA2119" w:rsidP="00FA2119">
      <w:pPr>
        <w:pStyle w:val="a5"/>
      </w:pPr>
      <w:r>
        <w:rPr>
          <w:rStyle w:val="a7"/>
        </w:rPr>
        <w:footnoteRef/>
      </w:r>
      <w:r>
        <w:rPr>
          <w:rtl/>
        </w:rPr>
        <w:t xml:space="preserve"> </w:t>
      </w:r>
      <w:r>
        <w:rPr>
          <w:rFonts w:cs="Arial" w:hint="cs"/>
          <w:rtl/>
        </w:rPr>
        <w:t xml:space="preserve">בגלל שיש לכאורה סתירה בדברי הרשב"א </w:t>
      </w:r>
      <w:r w:rsidRPr="00EF4AB5">
        <w:rPr>
          <w:rFonts w:cs="Arial" w:hint="cs"/>
          <w:sz w:val="16"/>
          <w:szCs w:val="16"/>
          <w:rtl/>
        </w:rPr>
        <w:t>(בין דבריו בחידושים</w:t>
      </w:r>
      <w:r>
        <w:rPr>
          <w:rFonts w:cs="Arial" w:hint="cs"/>
          <w:sz w:val="16"/>
          <w:szCs w:val="16"/>
          <w:rtl/>
        </w:rPr>
        <w:t xml:space="preserve"> [שם]</w:t>
      </w:r>
      <w:r w:rsidRPr="00EF4AB5">
        <w:rPr>
          <w:rFonts w:cs="Arial" w:hint="cs"/>
          <w:sz w:val="16"/>
          <w:szCs w:val="16"/>
          <w:rtl/>
        </w:rPr>
        <w:t xml:space="preserve"> לבין דבריו בשו"ת [החדשות (מכת"י) סי' רי])</w:t>
      </w:r>
      <w:r>
        <w:rPr>
          <w:rFonts w:cs="Arial" w:hint="cs"/>
          <w:rtl/>
        </w:rPr>
        <w:t xml:space="preserve"> ראיתי להביא את לשונו כמעט במלואה, וז"ל </w:t>
      </w:r>
      <w:r w:rsidRPr="00EF4AB5">
        <w:rPr>
          <w:rFonts w:cs="Arial" w:hint="cs"/>
          <w:sz w:val="16"/>
          <w:szCs w:val="16"/>
          <w:rtl/>
        </w:rPr>
        <w:t>(יז:)</w:t>
      </w:r>
      <w:r>
        <w:rPr>
          <w:rFonts w:cs="Arial" w:hint="cs"/>
          <w:rtl/>
        </w:rPr>
        <w:t xml:space="preserve">- </w:t>
      </w:r>
      <w:r w:rsidRPr="009B65A3">
        <w:rPr>
          <w:rFonts w:cs="Arial"/>
          <w:rtl/>
        </w:rPr>
        <w:t>כגיטין הבאין ממדה"י דאמרי' דאית להו קלא והכל יודעין מתי נמסר לידה, וכן נמי במשליש גט לאשתו קלא אית ליה והכל יודעין באיזה זמן מסרו שליח לידה דקול יוצא לגט הניתן ע"י שליח וע"י שליש. ומיהו לפי פי' זה אם איתרמי דלא מסרו ביום כתיבתו אינו רשאי ליתנו אלא ע"י שליח כדי שיצא עליו קול שלא נמסר ביום שנכתב ולא תבוא לטרוף שלא כדין. ואי נמי י"ל דכיון שהגט צריך ליתנו בעידי מסירה וצריכין העדים לקרותו, כשרואין שזמנו קודם לנתינתו מוציאין קול שזמנו קודם וכי אתיא למיטרף אמרי לה לקוחות אייתי ראיה אימת מטא גיטא לידך, א"נ שע"י הקול הכל זוכרין יום מסירתו.</w:t>
      </w:r>
      <w:r>
        <w:rPr>
          <w:rFonts w:cs="Arial" w:hint="cs"/>
          <w:rtl/>
        </w:rPr>
        <w:t>..</w:t>
      </w:r>
      <w:r w:rsidRPr="009B65A3">
        <w:rPr>
          <w:rFonts w:cs="Arial"/>
          <w:rtl/>
        </w:rPr>
        <w:t xml:space="preserve"> ולפי פירוש זה אי איתרמי הכי שלא נמסר ביום כתיבתו אין בכך כלום ונותנו לה בפני שנים וקורין אותו והקול יוצא וכשתבא לטרוף אמרי' לה אייתי ראייה אימת מטא גיטא לידה. ולקמן גבי גיטין הבאין ממדה"י נאריך בה יותר בס"ד.</w:t>
      </w:r>
      <w:r>
        <w:rPr>
          <w:rFonts w:cs="Arial" w:hint="cs"/>
          <w:rtl/>
        </w:rPr>
        <w:t xml:space="preserve">.. </w:t>
      </w:r>
      <w:r w:rsidRPr="00EF4AB5">
        <w:rPr>
          <w:rFonts w:cs="Arial" w:hint="cs"/>
          <w:sz w:val="16"/>
          <w:szCs w:val="16"/>
          <w:rtl/>
        </w:rPr>
        <w:t>(כאן דילגתי לדף יח.)</w:t>
      </w:r>
      <w:r w:rsidRPr="009B65A3">
        <w:rPr>
          <w:rtl/>
        </w:rPr>
        <w:t xml:space="preserve"> </w:t>
      </w:r>
      <w:r w:rsidRPr="009B65A3">
        <w:rPr>
          <w:rFonts w:cs="Arial"/>
          <w:rtl/>
        </w:rPr>
        <w:t>גיטין הבאין ממדינת הים מה הועילו חכמים בתקנתן הנהו קלא אית להו, פרש"י ז"ל ובין לענין זנות בין לענין פירות בעיא לאיתויי ראיה אימת מטא גיטא לידה, ותימה דלענין זנות אף על פי שידוע שנכתב קודם מסירתו מ"מ ספק נפשות להקל ויכולה לומר דקודם שזינתה נתנו לה, ויש לפרש הנהו קלא אית להו דכיון שרואין שזמן הגט מוקדם לנתינתו אית לה קלא למלתא ורמו אנפשייהו ומדכר דכירי מתי נמסר לה, וקשיא לי א"כ גט מוקדם אמאי פסול שהרי כיון שזמנו קודם לנתינתו קול יוצא ורמו אנפשייהו ומדכרי, ושמא נאמר שמא לא סמכו על יציאת קול אלא בגיטין הבאין ממדינת הים דאי אפשר בלאו הכי ומשום עגונא הקלו אבל בגיטין דעלמא דאפשר ליתנו ביום כתיבתו לא הקילו. אלא דמשליש גט לאשתו קשיא דאפשר בלא"ה, אלא נראה כלשון הראשון שכתבתי למעלה דדוקא בגט המשתלח או הניתן ע"י שליש הוא דאמרי' דיש לו קול אבל בגיטין דעלמא לא, ולפי פי' זה</w:t>
      </w:r>
      <w:r>
        <w:rPr>
          <w:rFonts w:cs="Arial" w:hint="cs"/>
          <w:rtl/>
        </w:rPr>
        <w:t>-...</w:t>
      </w:r>
    </w:p>
  </w:footnote>
  <w:footnote w:id="893">
    <w:p w14:paraId="1AB63F37" w14:textId="775B9864" w:rsidR="00FA2119" w:rsidRPr="0039014B" w:rsidRDefault="00FA2119" w:rsidP="00FA2119">
      <w:pPr>
        <w:pStyle w:val="a5"/>
        <w:rPr>
          <w:rFonts w:cs="Arial"/>
        </w:rPr>
      </w:pPr>
      <w:r>
        <w:rPr>
          <w:rStyle w:val="a7"/>
        </w:rPr>
        <w:footnoteRef/>
      </w:r>
      <w:r>
        <w:rPr>
          <w:rtl/>
        </w:rPr>
        <w:t xml:space="preserve"> </w:t>
      </w:r>
      <w:r>
        <w:rPr>
          <w:rFonts w:hint="cs"/>
          <w:rtl/>
        </w:rPr>
        <w:t xml:space="preserve">וקשה, שבשו"ת (החדשות מכת"י סי' רי) כתב הרשב"א שפסול, </w:t>
      </w:r>
      <w:r w:rsidR="000A0F5A">
        <w:rPr>
          <w:rFonts w:hint="cs"/>
          <w:rtl/>
        </w:rPr>
        <w:t>וז</w:t>
      </w:r>
      <w:r w:rsidR="000A0F5A">
        <w:rPr>
          <w:rtl/>
        </w:rPr>
        <w:t>"</w:t>
      </w:r>
      <w:r w:rsidR="000A0F5A">
        <w:rPr>
          <w:rFonts w:hint="cs"/>
          <w:rtl/>
        </w:rPr>
        <w:t>ל:</w:t>
      </w:r>
      <w:r>
        <w:rPr>
          <w:rFonts w:hint="cs"/>
          <w:rtl/>
        </w:rPr>
        <w:t xml:space="preserve"> </w:t>
      </w:r>
      <w:r w:rsidRPr="0039014B">
        <w:rPr>
          <w:rFonts w:cs="Arial"/>
          <w:rtl/>
        </w:rPr>
        <w:t>ואל תשיבני גיטין הבאין ממדינת הים, שאין ההקדמות שוות. שהקדמת הכתיבה לחתימה, וכל שכן הקדמה גמורה ככותב באייר והקדים וכתב זמן מניסן, שזה מוקדם גמור ופסול. אבל בשקדמה כתיבתו וחתימתו לנתינתו, הקדמה זו היא שהכשירו, ומשום דאית להו קלא ואמרינן לה אייתי ראיה אימת מטא גיטא לידך. ודברים אלו ברורים בעיני ואיני רואה בזה צד פקפוק.</w:t>
      </w:r>
      <w:r>
        <w:rPr>
          <w:rFonts w:cs="Arial" w:hint="cs"/>
          <w:rtl/>
        </w:rPr>
        <w:t xml:space="preserve"> עכ"ל. ואולי אפשר לומר דלא נקט כל צדדי ההיתר, ואה"נ מותר לתת לה ע"י שליח ומתיכשר בהכי. וכך נראה מדברי הב"י, שהרי הבי"א הב"י את דברי הרשב"א בחידושים ובשו"ת בהדי הדדי, ואם היתה סתירה בין דברי </w:t>
      </w:r>
      <w:r w:rsidR="00A42812">
        <w:rPr>
          <w:rFonts w:cs="Arial"/>
          <w:rtl/>
        </w:rPr>
        <w:t>-</w:t>
      </w:r>
      <w:r>
        <w:rPr>
          <w:rFonts w:cs="Arial" w:hint="cs"/>
          <w:rtl/>
        </w:rPr>
        <w:t xml:space="preserve"> היה הב"י מעיר על זאת. </w:t>
      </w:r>
      <w:r w:rsidRPr="0098377B">
        <w:rPr>
          <w:rFonts w:cs="Arial" w:hint="cs"/>
          <w:sz w:val="16"/>
          <w:szCs w:val="16"/>
          <w:rtl/>
        </w:rPr>
        <w:t xml:space="preserve">(כך נראה לי. </w:t>
      </w:r>
      <w:r>
        <w:rPr>
          <w:rFonts w:cs="Arial" w:hint="cs"/>
          <w:sz w:val="16"/>
          <w:szCs w:val="16"/>
          <w:rtl/>
        </w:rPr>
        <w:t>ולאחר כותבי ראיתי שכן תירץ</w:t>
      </w:r>
      <w:r w:rsidRPr="0098377B">
        <w:rPr>
          <w:rFonts w:cs="Arial" w:hint="cs"/>
          <w:sz w:val="16"/>
          <w:szCs w:val="16"/>
          <w:rtl/>
        </w:rPr>
        <w:t xml:space="preserve"> </w:t>
      </w:r>
      <w:r>
        <w:rPr>
          <w:rFonts w:cs="Arial" w:hint="cs"/>
          <w:sz w:val="16"/>
          <w:szCs w:val="16"/>
          <w:rtl/>
        </w:rPr>
        <w:t>ה</w:t>
      </w:r>
      <w:r w:rsidRPr="0098377B">
        <w:rPr>
          <w:rFonts w:cs="Arial" w:hint="cs"/>
          <w:sz w:val="16"/>
          <w:szCs w:val="16"/>
          <w:rtl/>
        </w:rPr>
        <w:t>מהרי"ט (ח"א סי' קמג)</w:t>
      </w:r>
      <w:r>
        <w:rPr>
          <w:rFonts w:cs="Arial" w:hint="cs"/>
          <w:sz w:val="16"/>
          <w:szCs w:val="16"/>
          <w:rtl/>
        </w:rPr>
        <w:t xml:space="preserve">, וכ"כ הג"פ (סקי"ג), ומכל מקום דעת הג"פ שם שיש </w:t>
      </w:r>
      <w:r w:rsidRPr="0098377B">
        <w:rPr>
          <w:rFonts w:cs="Arial" w:hint="cs"/>
          <w:sz w:val="16"/>
          <w:szCs w:val="16"/>
          <w:rtl/>
        </w:rPr>
        <w:t xml:space="preserve">לילך אחר דעת הרשב"א בחידושים. </w:t>
      </w:r>
      <w:r>
        <w:rPr>
          <w:rFonts w:cs="Arial" w:hint="cs"/>
          <w:sz w:val="16"/>
          <w:szCs w:val="16"/>
          <w:rtl/>
        </w:rPr>
        <w:t>ו</w:t>
      </w:r>
      <w:r w:rsidRPr="0098377B">
        <w:rPr>
          <w:rFonts w:cs="Arial" w:hint="cs"/>
          <w:sz w:val="16"/>
          <w:szCs w:val="16"/>
          <w:rtl/>
        </w:rPr>
        <w:t xml:space="preserve">בשו"ת דרכי נועם (אהע"ז סי' יב) כתב שדעת הרשב"א להחמיר לכתכילה ורק במקום עיגון להכשיר ע"י שליח. ודעת הבית מאיר (ס"ד) שהרשב"א חזר בו בתשובה ממה שכתב בחידושים. ועיין ברעק"א </w:t>
      </w:r>
      <w:r>
        <w:rPr>
          <w:rFonts w:cs="Arial" w:hint="cs"/>
          <w:sz w:val="16"/>
          <w:szCs w:val="16"/>
          <w:rtl/>
        </w:rPr>
        <w:t xml:space="preserve">(יח: ד"ה דחתום) </w:t>
      </w:r>
      <w:r w:rsidRPr="0098377B">
        <w:rPr>
          <w:rFonts w:cs="Arial" w:hint="cs"/>
          <w:sz w:val="16"/>
          <w:szCs w:val="16"/>
          <w:rtl/>
        </w:rPr>
        <w:t>שתמה על על הסוברים שבמוקדם ממש יש להכשיר)</w:t>
      </w:r>
      <w:r>
        <w:rPr>
          <w:rFonts w:cs="Arial" w:hint="cs"/>
          <w:rtl/>
        </w:rPr>
        <w:t xml:space="preserve">. וכתב הג"פ (סקי"ג) דכל שכן </w:t>
      </w:r>
      <w:r>
        <w:rPr>
          <w:rFonts w:cs="Arial"/>
          <w:rtl/>
        </w:rPr>
        <w:t>אם אין באותו גט עדי חתימה או שטעה בעיבורא דירחא או שטעו וכתבו יום האמירה</w:t>
      </w:r>
      <w:r>
        <w:rPr>
          <w:rFonts w:cs="Arial" w:hint="cs"/>
          <w:rtl/>
        </w:rPr>
        <w:t>,</w:t>
      </w:r>
      <w:r>
        <w:rPr>
          <w:rFonts w:cs="Arial"/>
          <w:rtl/>
        </w:rPr>
        <w:t xml:space="preserve"> שטעו בדין באופן דע</w:t>
      </w:r>
      <w:r>
        <w:rPr>
          <w:rFonts w:cs="Arial" w:hint="cs"/>
          <w:rtl/>
        </w:rPr>
        <w:t xml:space="preserve">די </w:t>
      </w:r>
      <w:r>
        <w:rPr>
          <w:rFonts w:cs="Arial"/>
          <w:rtl/>
        </w:rPr>
        <w:t>ח</w:t>
      </w:r>
      <w:r>
        <w:rPr>
          <w:rFonts w:cs="Arial" w:hint="cs"/>
          <w:rtl/>
        </w:rPr>
        <w:t>תימה</w:t>
      </w:r>
      <w:r>
        <w:rPr>
          <w:rFonts w:cs="Arial"/>
          <w:rtl/>
        </w:rPr>
        <w:t xml:space="preserve"> לא נפסלו </w:t>
      </w:r>
      <w:r>
        <w:rPr>
          <w:rFonts w:cs="Arial" w:hint="cs"/>
          <w:rtl/>
        </w:rPr>
        <w:t xml:space="preserve">- </w:t>
      </w:r>
      <w:r>
        <w:rPr>
          <w:rFonts w:cs="Arial"/>
          <w:rtl/>
        </w:rPr>
        <w:t>יש להכשיר ולתתו ע"י שליח דכל ע"י שליח יש לו קול וליכא למיחש למידי</w:t>
      </w:r>
      <w:r>
        <w:rPr>
          <w:rFonts w:cs="Arial" w:hint="cs"/>
          <w:rtl/>
        </w:rPr>
        <w:t>.</w:t>
      </w:r>
    </w:p>
  </w:footnote>
  <w:footnote w:id="894">
    <w:p w14:paraId="5CA3E7B6" w14:textId="77777777" w:rsidR="00FA2119" w:rsidRDefault="00FA2119" w:rsidP="00FA2119">
      <w:pPr>
        <w:pStyle w:val="a5"/>
      </w:pPr>
      <w:r>
        <w:rPr>
          <w:rStyle w:val="a7"/>
        </w:rPr>
        <w:footnoteRef/>
      </w:r>
      <w:r>
        <w:rPr>
          <w:rtl/>
        </w:rPr>
        <w:t xml:space="preserve"> </w:t>
      </w:r>
      <w:r w:rsidRPr="00F534EE">
        <w:rPr>
          <w:rFonts w:cs="Arial"/>
          <w:rtl/>
        </w:rPr>
        <w:t>גם הר"ן (ח. ד"ה ודאמרי') כתב כדברי הרשב"א</w:t>
      </w:r>
      <w:r w:rsidRPr="00F534EE">
        <w:rPr>
          <w:rFonts w:cs="Arial" w:hint="cs"/>
          <w:rtl/>
        </w:rPr>
        <w:t>,</w:t>
      </w:r>
      <w:r w:rsidRPr="00F534EE">
        <w:rPr>
          <w:rFonts w:cs="Arial"/>
          <w:rtl/>
        </w:rPr>
        <w:t xml:space="preserve"> ואח</w:t>
      </w:r>
      <w:r w:rsidRPr="00F534EE">
        <w:rPr>
          <w:rFonts w:cs="Arial" w:hint="cs"/>
          <w:rtl/>
        </w:rPr>
        <w:t>"</w:t>
      </w:r>
      <w:r w:rsidRPr="00F534EE">
        <w:rPr>
          <w:rFonts w:cs="Arial"/>
          <w:rtl/>
        </w:rPr>
        <w:t>כ כתב</w:t>
      </w:r>
      <w:r w:rsidRPr="00F534EE">
        <w:rPr>
          <w:rFonts w:cs="Arial" w:hint="cs"/>
          <w:rtl/>
        </w:rPr>
        <w:t>-</w:t>
      </w:r>
      <w:r w:rsidRPr="00F534EE">
        <w:rPr>
          <w:rFonts w:cs="Arial"/>
          <w:rtl/>
        </w:rPr>
        <w:t xml:space="preserve"> וזו קולא יתירה בעיני</w:t>
      </w:r>
      <w:r w:rsidRPr="00F534EE">
        <w:rPr>
          <w:rFonts w:cs="Arial" w:hint="cs"/>
          <w:rtl/>
        </w:rPr>
        <w:t>,</w:t>
      </w:r>
      <w:r w:rsidRPr="00F534EE">
        <w:rPr>
          <w:rFonts w:cs="Arial"/>
          <w:rtl/>
        </w:rPr>
        <w:t xml:space="preserve"> ולפיכך נראה לי ד</w:t>
      </w:r>
      <w:r>
        <w:rPr>
          <w:rFonts w:cs="Arial" w:hint="cs"/>
          <w:rtl/>
        </w:rPr>
        <w:t>-...</w:t>
      </w:r>
    </w:p>
  </w:footnote>
  <w:footnote w:id="895">
    <w:p w14:paraId="16FD1CF1" w14:textId="77777777" w:rsidR="00FA2119" w:rsidRDefault="00FA2119" w:rsidP="00FA2119">
      <w:pPr>
        <w:pStyle w:val="a5"/>
      </w:pPr>
      <w:r>
        <w:rPr>
          <w:rStyle w:val="a7"/>
        </w:rPr>
        <w:footnoteRef/>
      </w:r>
      <w:r>
        <w:rPr>
          <w:rtl/>
        </w:rPr>
        <w:t xml:space="preserve"> </w:t>
      </w:r>
      <w:r>
        <w:rPr>
          <w:rFonts w:hint="cs"/>
          <w:rtl/>
        </w:rPr>
        <w:t>אבל לא בגט מוקדם, משום שהגט לא נכתב ונחתם בכשרות, כ"כ הב"ש (סק"ח) בשם התוס' והרא"ש הרמב"ם והר"ן.</w:t>
      </w:r>
    </w:p>
  </w:footnote>
  <w:footnote w:id="896">
    <w:p w14:paraId="074C0BA4" w14:textId="77777777" w:rsidR="00FA2119" w:rsidRDefault="00FA2119" w:rsidP="00FA2119">
      <w:pPr>
        <w:pStyle w:val="a5"/>
        <w:rPr>
          <w:rtl/>
        </w:rPr>
      </w:pPr>
      <w:r>
        <w:rPr>
          <w:rStyle w:val="a7"/>
        </w:rPr>
        <w:footnoteRef/>
      </w:r>
      <w:r>
        <w:rPr>
          <w:rtl/>
        </w:rPr>
        <w:t xml:space="preserve"> </w:t>
      </w:r>
      <w:r w:rsidRPr="00E80E94">
        <w:rPr>
          <w:rFonts w:cs="Arial"/>
          <w:rtl/>
        </w:rPr>
        <w:t>והיא אשתו ושמא תזנה תחתיו וחס עליה שלא תחנק וכותב לה גט בלא זמן ונותן לה וכשמעידין עליה בבית דין מוציאה גיטה ואומרת גרושה הייתי ופנויה באותה שעה</w:t>
      </w:r>
      <w:r>
        <w:rPr>
          <w:rFonts w:hint="cs"/>
          <w:rtl/>
        </w:rPr>
        <w:t>, רש"י.</w:t>
      </w:r>
    </w:p>
  </w:footnote>
  <w:footnote w:id="897">
    <w:p w14:paraId="0B674E00" w14:textId="77777777" w:rsidR="00FA2119" w:rsidRDefault="00FA2119" w:rsidP="00FA2119">
      <w:pPr>
        <w:pStyle w:val="a5"/>
        <w:rPr>
          <w:rtl/>
        </w:rPr>
      </w:pPr>
      <w:r>
        <w:rPr>
          <w:rStyle w:val="a7"/>
        </w:rPr>
        <w:footnoteRef/>
      </w:r>
      <w:r>
        <w:rPr>
          <w:rtl/>
        </w:rPr>
        <w:t xml:space="preserve"> </w:t>
      </w:r>
      <w:r w:rsidRPr="00E80E94">
        <w:rPr>
          <w:rFonts w:cs="Arial"/>
          <w:rtl/>
        </w:rPr>
        <w:t>שמזמן הגט ואילך אם ימכור הבעל בפירות נכסי מלוג שלה</w:t>
      </w:r>
      <w:r>
        <w:rPr>
          <w:rFonts w:cs="Arial" w:hint="cs"/>
          <w:rtl/>
        </w:rPr>
        <w:t xml:space="preserve"> -</w:t>
      </w:r>
      <w:r w:rsidRPr="00E80E94">
        <w:rPr>
          <w:rFonts w:cs="Arial"/>
          <w:rtl/>
        </w:rPr>
        <w:t xml:space="preserve"> תגבם</w:t>
      </w:r>
      <w:r>
        <w:rPr>
          <w:rFonts w:cs="Arial" w:hint="cs"/>
          <w:rtl/>
        </w:rPr>
        <w:t>.</w:t>
      </w:r>
      <w:r w:rsidRPr="00E80E94">
        <w:rPr>
          <w:rFonts w:cs="Arial"/>
          <w:rtl/>
        </w:rPr>
        <w:t xml:space="preserve"> ואם לא היה בו זמן</w:t>
      </w:r>
      <w:r>
        <w:rPr>
          <w:rFonts w:cs="Arial" w:hint="cs"/>
          <w:rtl/>
        </w:rPr>
        <w:t xml:space="preserve"> </w:t>
      </w:r>
      <w:r w:rsidRPr="00E80E94">
        <w:rPr>
          <w:rFonts w:cs="Arial"/>
          <w:rtl/>
        </w:rPr>
        <w:t>יהיה מוכר והולך</w:t>
      </w:r>
      <w:r>
        <w:rPr>
          <w:rFonts w:cs="Arial" w:hint="cs"/>
          <w:rtl/>
        </w:rPr>
        <w:t>,</w:t>
      </w:r>
      <w:r w:rsidRPr="00E80E94">
        <w:rPr>
          <w:rFonts w:cs="Arial"/>
          <w:rtl/>
        </w:rPr>
        <w:t xml:space="preserve"> וכשתתבע לדין הויא ידה על התחתונה</w:t>
      </w:r>
      <w:r>
        <w:rPr>
          <w:rFonts w:cs="Arial" w:hint="cs"/>
          <w:rtl/>
        </w:rPr>
        <w:t>,</w:t>
      </w:r>
      <w:r w:rsidRPr="00E80E94">
        <w:rPr>
          <w:rFonts w:cs="Arial"/>
          <w:rtl/>
        </w:rPr>
        <w:t xml:space="preserve"> שיאמר לה </w:t>
      </w:r>
      <w:r>
        <w:rPr>
          <w:rFonts w:cs="Arial" w:hint="cs"/>
          <w:rtl/>
        </w:rPr>
        <w:t>'</w:t>
      </w:r>
      <w:r w:rsidRPr="00E80E94">
        <w:rPr>
          <w:rFonts w:cs="Arial"/>
          <w:rtl/>
        </w:rPr>
        <w:t>קודם גירושין מכרתי</w:t>
      </w:r>
      <w:r>
        <w:rPr>
          <w:rFonts w:hint="cs"/>
          <w:rtl/>
        </w:rPr>
        <w:t>', רש"י.</w:t>
      </w:r>
    </w:p>
  </w:footnote>
  <w:footnote w:id="898">
    <w:p w14:paraId="15280B0D" w14:textId="0F98D5F1" w:rsidR="00FA2119" w:rsidRDefault="00FA2119" w:rsidP="00FA2119">
      <w:pPr>
        <w:pStyle w:val="a5"/>
      </w:pPr>
      <w:r>
        <w:rPr>
          <w:rStyle w:val="a7"/>
        </w:rPr>
        <w:footnoteRef/>
      </w:r>
      <w:r>
        <w:rPr>
          <w:rtl/>
        </w:rPr>
        <w:t xml:space="preserve"> </w:t>
      </w:r>
      <w:r>
        <w:rPr>
          <w:rFonts w:cs="Arial"/>
          <w:rtl/>
        </w:rPr>
        <w:t>היינו דוקא כשהבעל והאשה שניהם בעיר ויכולים לגרש בגט אחר</w:t>
      </w:r>
      <w:r>
        <w:rPr>
          <w:rFonts w:cs="Arial" w:hint="cs"/>
          <w:rtl/>
        </w:rPr>
        <w:t>,</w:t>
      </w:r>
      <w:r>
        <w:rPr>
          <w:rFonts w:cs="Arial"/>
          <w:rtl/>
        </w:rPr>
        <w:t xml:space="preserve"> אבל אם שלחו גט מוקדם ממדה"י כגון שכתבו יום האמירה או שטעו בעיבורא דירחא נראה דמצינן למיעבד עובדא לתתו כיון דבא הגט ע"י שליח וליכא למיחש למידי</w:t>
      </w:r>
      <w:r>
        <w:rPr>
          <w:rFonts w:cs="Arial" w:hint="cs"/>
          <w:rtl/>
        </w:rPr>
        <w:t xml:space="preserve">, </w:t>
      </w:r>
      <w:r w:rsidRPr="00B0318F">
        <w:rPr>
          <w:rFonts w:cs="Arial" w:hint="cs"/>
          <w:b/>
          <w:bCs/>
          <w:rtl/>
        </w:rPr>
        <w:t>ג"פ</w:t>
      </w:r>
      <w:r>
        <w:rPr>
          <w:rFonts w:cs="Arial" w:hint="cs"/>
          <w:rtl/>
        </w:rPr>
        <w:t xml:space="preserve"> (סקט"ו).</w:t>
      </w:r>
      <w:r>
        <w:rPr>
          <w:rFonts w:hint="cs"/>
          <w:rtl/>
        </w:rPr>
        <w:t xml:space="preserve"> וכ"כ</w:t>
      </w:r>
      <w:r>
        <w:rPr>
          <w:rFonts w:cs="Arial"/>
          <w:rtl/>
        </w:rPr>
        <w:t xml:space="preserve"> בתשו' שמן רוקח </w:t>
      </w:r>
      <w:r>
        <w:rPr>
          <w:rFonts w:cs="Arial" w:hint="cs"/>
          <w:rtl/>
        </w:rPr>
        <w:t>(</w:t>
      </w:r>
      <w:r>
        <w:rPr>
          <w:rFonts w:cs="Arial"/>
          <w:rtl/>
        </w:rPr>
        <w:t>ח"ב סי' נב</w:t>
      </w:r>
      <w:r>
        <w:rPr>
          <w:rFonts w:cs="Arial" w:hint="cs"/>
          <w:rtl/>
        </w:rPr>
        <w:t xml:space="preserve">) </w:t>
      </w:r>
      <w:r>
        <w:rPr>
          <w:rFonts w:cs="Arial"/>
          <w:rtl/>
        </w:rPr>
        <w:t>דהרמ"א כאן איירי במי שמוסר הגט במקום הכתיבה והיה כוונתו למוסרו ביומו ואח"כ נתעכב ע"י איזה סיבה ורוצה למוסרו ביום מחר</w:t>
      </w:r>
      <w:r>
        <w:rPr>
          <w:rFonts w:cs="Arial" w:hint="cs"/>
          <w:rtl/>
        </w:rPr>
        <w:t>,</w:t>
      </w:r>
      <w:r>
        <w:rPr>
          <w:rFonts w:cs="Arial"/>
          <w:rtl/>
        </w:rPr>
        <w:t xml:space="preserve"> בזה נהגו להחמיר ולכתוב אחר וגם המחבר בסעיף זה מיירי באופן זה</w:t>
      </w:r>
      <w:r>
        <w:rPr>
          <w:rFonts w:cs="Arial" w:hint="cs"/>
          <w:rtl/>
        </w:rPr>
        <w:t>.</w:t>
      </w:r>
      <w:r>
        <w:rPr>
          <w:rFonts w:cs="Arial"/>
          <w:rtl/>
        </w:rPr>
        <w:t xml:space="preserve"> אבל היכא דנכתב בעיר אחרת בזה סובר הרמ"א דגם בעצמו יכול למסור</w:t>
      </w:r>
      <w:r>
        <w:rPr>
          <w:rFonts w:cs="Arial" w:hint="cs"/>
          <w:rtl/>
        </w:rPr>
        <w:t>,</w:t>
      </w:r>
      <w:r>
        <w:rPr>
          <w:rFonts w:cs="Arial"/>
          <w:rtl/>
        </w:rPr>
        <w:t xml:space="preserve"> וכנראה מדבריו בסי' קמ"ב הנ"ל</w:t>
      </w:r>
      <w:r w:rsidR="00B0318F">
        <w:rPr>
          <w:rFonts w:cs="Arial" w:hint="cs"/>
          <w:rtl/>
        </w:rPr>
        <w:t xml:space="preserve">, </w:t>
      </w:r>
      <w:r w:rsidR="00B0318F" w:rsidRPr="00B0318F">
        <w:rPr>
          <w:rFonts w:cs="Arial" w:hint="cs"/>
          <w:b/>
          <w:bCs/>
          <w:rtl/>
        </w:rPr>
        <w:t>פת"ש</w:t>
      </w:r>
      <w:r w:rsidR="00B0318F">
        <w:rPr>
          <w:rFonts w:cs="Arial" w:hint="cs"/>
          <w:rtl/>
        </w:rPr>
        <w:t xml:space="preserve"> (סק"ח)</w:t>
      </w:r>
      <w:r>
        <w:rPr>
          <w:rFonts w:cs="Arial" w:hint="cs"/>
          <w:rtl/>
        </w:rPr>
        <w:t>.</w:t>
      </w:r>
    </w:p>
  </w:footnote>
  <w:footnote w:id="899">
    <w:p w14:paraId="3C3CBC47" w14:textId="77777777" w:rsidR="00FA2119" w:rsidRDefault="00FA2119" w:rsidP="00FA2119">
      <w:pPr>
        <w:pStyle w:val="a5"/>
      </w:pPr>
      <w:r>
        <w:rPr>
          <w:rStyle w:val="a7"/>
        </w:rPr>
        <w:footnoteRef/>
      </w:r>
      <w:r>
        <w:rPr>
          <w:rtl/>
        </w:rPr>
        <w:t xml:space="preserve"> </w:t>
      </w:r>
      <w:r>
        <w:rPr>
          <w:rFonts w:cs="Arial"/>
          <w:rtl/>
        </w:rPr>
        <w:t>כ' בס' ג"פ לפי מה שפסק מרן סי' ק"ל סי"ח דיש ליזהר שלא לחתום הסופר לעד לאו דוקא נקט הכי לשנים אלא דהכא לא נחית כו'</w:t>
      </w:r>
      <w:r>
        <w:rPr>
          <w:rFonts w:cs="Arial" w:hint="cs"/>
          <w:rtl/>
        </w:rPr>
        <w:t>, פת"ש (סק"ט).</w:t>
      </w:r>
    </w:p>
  </w:footnote>
  <w:footnote w:id="900">
    <w:p w14:paraId="010FBF5F" w14:textId="77777777" w:rsidR="00FA2119" w:rsidRDefault="00FA2119" w:rsidP="00FA2119">
      <w:pPr>
        <w:pStyle w:val="a5"/>
      </w:pPr>
      <w:r>
        <w:rPr>
          <w:rStyle w:val="a7"/>
        </w:rPr>
        <w:footnoteRef/>
      </w:r>
      <w:r>
        <w:rPr>
          <w:rtl/>
        </w:rPr>
        <w:t xml:space="preserve"> </w:t>
      </w:r>
      <w:r>
        <w:rPr>
          <w:rFonts w:cs="Arial"/>
          <w:rtl/>
        </w:rPr>
        <w:t>כ' בס' ג"פ לאו דוקא נמצא בטל אלא אפי' נמצא פסול מדרבנן כדלעיל סי' קכ"ב ס"א</w:t>
      </w:r>
      <w:r>
        <w:rPr>
          <w:rFonts w:cs="Arial" w:hint="cs"/>
          <w:rtl/>
        </w:rPr>
        <w:t>, פת"ש (סקי"א).</w:t>
      </w:r>
    </w:p>
  </w:footnote>
  <w:footnote w:id="901">
    <w:p w14:paraId="542D4F3D" w14:textId="594C1D5C" w:rsidR="00FA2119" w:rsidRDefault="00FA2119" w:rsidP="00FA2119">
      <w:pPr>
        <w:pStyle w:val="a5"/>
      </w:pPr>
      <w:r>
        <w:rPr>
          <w:rStyle w:val="a7"/>
        </w:rPr>
        <w:footnoteRef/>
      </w:r>
      <w:r>
        <w:rPr>
          <w:rtl/>
        </w:rPr>
        <w:t xml:space="preserve"> </w:t>
      </w:r>
      <w:r>
        <w:rPr>
          <w:rFonts w:cs="Arial"/>
          <w:rtl/>
        </w:rPr>
        <w:t xml:space="preserve">עיין בס' ג"פ </w:t>
      </w:r>
      <w:r>
        <w:rPr>
          <w:rFonts w:cs="Arial" w:hint="cs"/>
          <w:rtl/>
        </w:rPr>
        <w:t>(</w:t>
      </w:r>
      <w:r>
        <w:rPr>
          <w:rFonts w:cs="Arial"/>
          <w:rtl/>
        </w:rPr>
        <w:t>סק"</w:t>
      </w:r>
      <w:r>
        <w:rPr>
          <w:rFonts w:cs="Arial" w:hint="cs"/>
          <w:rtl/>
        </w:rPr>
        <w:t>כ)</w:t>
      </w:r>
      <w:r>
        <w:rPr>
          <w:rFonts w:cs="Arial"/>
          <w:rtl/>
        </w:rPr>
        <w:t xml:space="preserve"> לענין דיעבד אם כתבו זמן האמירה ומקום האמירה מה דינו</w:t>
      </w:r>
      <w:r>
        <w:rPr>
          <w:rFonts w:cs="Arial" w:hint="cs"/>
          <w:rtl/>
        </w:rPr>
        <w:t>...</w:t>
      </w:r>
      <w:r>
        <w:rPr>
          <w:rFonts w:cs="Arial"/>
          <w:rtl/>
        </w:rPr>
        <w:t xml:space="preserve"> </w:t>
      </w:r>
      <w:r w:rsidR="000A0F5A">
        <w:rPr>
          <w:rFonts w:cs="Arial"/>
          <w:rtl/>
        </w:rPr>
        <w:t>וז"ל:</w:t>
      </w:r>
      <w:r>
        <w:rPr>
          <w:rFonts w:cs="Arial"/>
          <w:rtl/>
        </w:rPr>
        <w:t xml:space="preserve"> העולה מכל הך שקלא וטריא הוא דמ"ש הרמב"ם ומרן דאין כותבין לא הזמן שא"ל הבעל ולא אותו המקום</w:t>
      </w:r>
      <w:r>
        <w:rPr>
          <w:rFonts w:cs="Arial" w:hint="cs"/>
          <w:rtl/>
        </w:rPr>
        <w:t>,</w:t>
      </w:r>
      <w:r>
        <w:rPr>
          <w:rFonts w:cs="Arial"/>
          <w:rtl/>
        </w:rPr>
        <w:t xml:space="preserve"> אם בדיעבד כתבו זמן שצוה להם הבעל שהוא יום האמירה ואותו הגט נמסר ע"י שליח</w:t>
      </w:r>
      <w:r>
        <w:rPr>
          <w:rFonts w:cs="Arial" w:hint="cs"/>
          <w:rtl/>
        </w:rPr>
        <w:t xml:space="preserve"> -</w:t>
      </w:r>
      <w:r>
        <w:rPr>
          <w:rFonts w:cs="Arial"/>
          <w:rtl/>
        </w:rPr>
        <w:t xml:space="preserve"> כשר בדיעבד דליכא למיחש למידי</w:t>
      </w:r>
      <w:r>
        <w:rPr>
          <w:rFonts w:cs="Arial" w:hint="cs"/>
          <w:rtl/>
        </w:rPr>
        <w:t>.</w:t>
      </w:r>
      <w:r>
        <w:rPr>
          <w:rFonts w:cs="Arial"/>
          <w:rtl/>
        </w:rPr>
        <w:t xml:space="preserve"> ולענין המקום אם כתבו מקום האמירה שצוה הבעל</w:t>
      </w:r>
      <w:r>
        <w:rPr>
          <w:rFonts w:cs="Arial" w:hint="cs"/>
          <w:rtl/>
        </w:rPr>
        <w:t xml:space="preserve"> </w:t>
      </w:r>
      <w:r w:rsidR="00A42812">
        <w:rPr>
          <w:rFonts w:cs="Arial"/>
          <w:rtl/>
        </w:rPr>
        <w:t>-</w:t>
      </w:r>
      <w:r>
        <w:rPr>
          <w:rFonts w:cs="Arial"/>
          <w:rtl/>
        </w:rPr>
        <w:t xml:space="preserve"> פסול</w:t>
      </w:r>
      <w:r>
        <w:rPr>
          <w:rFonts w:cs="Arial" w:hint="cs"/>
          <w:rtl/>
        </w:rPr>
        <w:t>. עכ"ל</w:t>
      </w:r>
      <w:r>
        <w:rPr>
          <w:rFonts w:cs="Arial"/>
          <w:rtl/>
        </w:rPr>
        <w:t>.</w:t>
      </w:r>
      <w:r>
        <w:rPr>
          <w:rFonts w:cs="Arial" w:hint="cs"/>
          <w:rtl/>
        </w:rPr>
        <w:t>..</w:t>
      </w:r>
      <w:r>
        <w:rPr>
          <w:rFonts w:cs="Arial"/>
          <w:rtl/>
        </w:rPr>
        <w:t xml:space="preserve"> וכבר כתבתי </w:t>
      </w:r>
      <w:r>
        <w:rPr>
          <w:rFonts w:cs="Arial" w:hint="cs"/>
          <w:rtl/>
        </w:rPr>
        <w:t>(סק"ז)</w:t>
      </w:r>
      <w:r>
        <w:rPr>
          <w:rFonts w:cs="Arial"/>
          <w:rtl/>
        </w:rPr>
        <w:t xml:space="preserve"> דבס' ב"מ חולק עליו בדין ההוא </w:t>
      </w:r>
      <w:r w:rsidRPr="009C4002">
        <w:rPr>
          <w:rFonts w:cs="Arial"/>
          <w:sz w:val="16"/>
          <w:szCs w:val="16"/>
          <w:rtl/>
        </w:rPr>
        <w:t>(וכעת ראיתי שהג"פ עצמו בסקל"ה מהסס בזה ואינו מחליט הדבר רק בשעת הדחק במקום עיגון דעתו נוטה להכשיר)</w:t>
      </w:r>
      <w:r>
        <w:rPr>
          <w:rFonts w:cs="Arial"/>
          <w:rtl/>
        </w:rPr>
        <w:t xml:space="preserve"> וגם בדין זה דכתבו יום האמירה מפקפק ג"כ בס' ב"מ מכח דברי הרשב"א בתשו' שהביא הב"י דכ' בהדיא דאם כתב זמן האמירה ודאי פסול ומ"ש הג"פ דהרשב"א מיירי במגרש ע"י עצמו ליתא ע"ש</w:t>
      </w:r>
      <w:r>
        <w:rPr>
          <w:rFonts w:cs="Arial" w:hint="cs"/>
          <w:rtl/>
        </w:rPr>
        <w:t>, פת"ש (סקי"ב).</w:t>
      </w:r>
    </w:p>
  </w:footnote>
  <w:footnote w:id="902">
    <w:p w14:paraId="6945CC0C" w14:textId="77777777" w:rsidR="00FA2119" w:rsidRDefault="00FA2119" w:rsidP="00FA2119">
      <w:pPr>
        <w:pStyle w:val="a5"/>
      </w:pPr>
      <w:r>
        <w:rPr>
          <w:rStyle w:val="a7"/>
        </w:rPr>
        <w:footnoteRef/>
      </w:r>
      <w:r>
        <w:rPr>
          <w:rtl/>
        </w:rPr>
        <w:t xml:space="preserve"> </w:t>
      </w:r>
      <w:r>
        <w:rPr>
          <w:rFonts w:cs="Arial"/>
          <w:rtl/>
        </w:rPr>
        <w:t xml:space="preserve">עיין בס' ג"פ </w:t>
      </w:r>
      <w:r>
        <w:rPr>
          <w:rFonts w:cs="Arial" w:hint="cs"/>
          <w:rtl/>
        </w:rPr>
        <w:t>(</w:t>
      </w:r>
      <w:r>
        <w:rPr>
          <w:rFonts w:cs="Arial"/>
          <w:rtl/>
        </w:rPr>
        <w:t>סקכ"ב</w:t>
      </w:r>
      <w:r>
        <w:rPr>
          <w:rFonts w:cs="Arial" w:hint="cs"/>
          <w:rtl/>
        </w:rPr>
        <w:t>)</w:t>
      </w:r>
      <w:r>
        <w:rPr>
          <w:rFonts w:cs="Arial"/>
          <w:rtl/>
        </w:rPr>
        <w:t xml:space="preserve"> שפקפק בזה מכח דברי הרשב"ם ונ"י </w:t>
      </w:r>
      <w:r>
        <w:rPr>
          <w:rFonts w:cs="Arial" w:hint="cs"/>
          <w:rtl/>
        </w:rPr>
        <w:t>(</w:t>
      </w:r>
      <w:r>
        <w:rPr>
          <w:rFonts w:cs="Arial"/>
          <w:rtl/>
        </w:rPr>
        <w:t>בפ' ג"פ</w:t>
      </w:r>
      <w:r>
        <w:rPr>
          <w:rFonts w:cs="Arial" w:hint="cs"/>
          <w:rtl/>
        </w:rPr>
        <w:t>)</w:t>
      </w:r>
      <w:r>
        <w:rPr>
          <w:rFonts w:cs="Arial"/>
          <w:rtl/>
        </w:rPr>
        <w:t xml:space="preserve"> ומדברי ה</w:t>
      </w:r>
      <w:r>
        <w:rPr>
          <w:rFonts w:cs="Arial" w:hint="cs"/>
          <w:rtl/>
        </w:rPr>
        <w:t>ה"מ</w:t>
      </w:r>
      <w:r>
        <w:rPr>
          <w:rFonts w:cs="Arial"/>
          <w:rtl/>
        </w:rPr>
        <w:t xml:space="preserve"> בשם הרשב"א </w:t>
      </w:r>
      <w:r>
        <w:rPr>
          <w:rFonts w:cs="Arial" w:hint="cs"/>
          <w:rtl/>
        </w:rPr>
        <w:t>(</w:t>
      </w:r>
      <w:r>
        <w:rPr>
          <w:rFonts w:cs="Arial"/>
          <w:rtl/>
        </w:rPr>
        <w:t>הובא בח"מ סי' מג סע</w:t>
      </w:r>
      <w:r>
        <w:rPr>
          <w:rFonts w:cs="Arial" w:hint="cs"/>
          <w:rtl/>
        </w:rPr>
        <w:t>'</w:t>
      </w:r>
      <w:r>
        <w:rPr>
          <w:rFonts w:cs="Arial"/>
          <w:rtl/>
        </w:rPr>
        <w:t xml:space="preserve"> כ</w:t>
      </w:r>
      <w:r>
        <w:rPr>
          <w:rFonts w:cs="Arial" w:hint="cs"/>
          <w:rtl/>
        </w:rPr>
        <w:t>)</w:t>
      </w:r>
      <w:r>
        <w:rPr>
          <w:rFonts w:cs="Arial"/>
          <w:rtl/>
        </w:rPr>
        <w:t xml:space="preserve"> ולכן מסיק דלצאת מידי כל החששות בדין זה אם אירע כה"ג דצוה הבעל בירושלים בתשרי ונתאחר הדבר עד ניסן והרי הם בלוד</w:t>
      </w:r>
      <w:r>
        <w:rPr>
          <w:rFonts w:cs="Arial" w:hint="cs"/>
          <w:rtl/>
        </w:rPr>
        <w:t xml:space="preserve"> -</w:t>
      </w:r>
      <w:r>
        <w:rPr>
          <w:rFonts w:cs="Arial"/>
          <w:rtl/>
        </w:rPr>
        <w:t xml:space="preserve"> יכתבו בגט מניסן ובלוד ובסוף הגט יכתבו קודם חתימה גיטא דנן צוה אלינו הבעל פ' בזמן פלוני בעיר פלוני שנכתוב גט לאשתו פלונית ונתאחרה כתיבתו עד יום פלוני בעיר פלוני כדת משה וישראל. ואם לא כתבו הכי יש לחוש לפוסלו משום מיחזי כשיקרא לדעת כמה רבוותא. ובשעת הדחק והוא מקום עיגון כו' יש להקל ולסמוך אסברת המכשירין הסוברין דכותבין סתמא מניסן ובלוד </w:t>
      </w:r>
      <w:r w:rsidRPr="000D6180">
        <w:rPr>
          <w:rFonts w:cs="Arial"/>
          <w:sz w:val="16"/>
          <w:szCs w:val="16"/>
          <w:rtl/>
        </w:rPr>
        <w:t>(וע' בת' שבו"י סי' קטו</w:t>
      </w:r>
      <w:r>
        <w:rPr>
          <w:rFonts w:cs="Arial" w:hint="cs"/>
          <w:sz w:val="16"/>
          <w:szCs w:val="16"/>
          <w:rtl/>
        </w:rPr>
        <w:t>,</w:t>
      </w:r>
      <w:r w:rsidRPr="000D6180">
        <w:rPr>
          <w:rFonts w:cs="Arial"/>
          <w:sz w:val="16"/>
          <w:szCs w:val="16"/>
          <w:rtl/>
        </w:rPr>
        <w:t xml:space="preserve"> ובת' פנמ</w:t>
      </w:r>
      <w:r>
        <w:rPr>
          <w:rFonts w:cs="Arial" w:hint="cs"/>
          <w:sz w:val="16"/>
          <w:szCs w:val="16"/>
          <w:rtl/>
        </w:rPr>
        <w:t>"</w:t>
      </w:r>
      <w:r w:rsidRPr="000D6180">
        <w:rPr>
          <w:rFonts w:cs="Arial"/>
          <w:sz w:val="16"/>
          <w:szCs w:val="16"/>
          <w:rtl/>
        </w:rPr>
        <w:t>א ח"ב סי' סט</w:t>
      </w:r>
      <w:r>
        <w:rPr>
          <w:rFonts w:cs="Arial" w:hint="cs"/>
          <w:sz w:val="16"/>
          <w:szCs w:val="16"/>
          <w:rtl/>
        </w:rPr>
        <w:t>,</w:t>
      </w:r>
      <w:r w:rsidRPr="000D6180">
        <w:rPr>
          <w:rFonts w:cs="Arial"/>
          <w:sz w:val="16"/>
          <w:szCs w:val="16"/>
          <w:rtl/>
        </w:rPr>
        <w:t xml:space="preserve"> ובתשו' שב יעקב סי' לה</w:t>
      </w:r>
      <w:r>
        <w:rPr>
          <w:rFonts w:cs="Arial" w:hint="cs"/>
          <w:sz w:val="16"/>
          <w:szCs w:val="16"/>
          <w:rtl/>
        </w:rPr>
        <w:t>,</w:t>
      </w:r>
      <w:r w:rsidRPr="000D6180">
        <w:rPr>
          <w:rFonts w:cs="Arial"/>
          <w:sz w:val="16"/>
          <w:szCs w:val="16"/>
          <w:rtl/>
        </w:rPr>
        <w:t xml:space="preserve"> ויובא קצת לקמן ס"ס קנ"ד בסה"ג ס"ל סקי"ט)</w:t>
      </w:r>
      <w:r>
        <w:rPr>
          <w:rFonts w:cs="Arial" w:hint="cs"/>
          <w:rtl/>
        </w:rPr>
        <w:t>, פת"ש (סקי"ג).</w:t>
      </w:r>
    </w:p>
  </w:footnote>
  <w:footnote w:id="903">
    <w:p w14:paraId="35B1DB73" w14:textId="5B01E26A" w:rsidR="00FA2119" w:rsidRDefault="00FA2119" w:rsidP="00FA2119">
      <w:pPr>
        <w:pStyle w:val="a5"/>
        <w:rPr>
          <w:rtl/>
        </w:rPr>
      </w:pPr>
      <w:r>
        <w:rPr>
          <w:rStyle w:val="a7"/>
        </w:rPr>
        <w:footnoteRef/>
      </w:r>
      <w:r>
        <w:rPr>
          <w:rtl/>
        </w:rPr>
        <w:t xml:space="preserve"> </w:t>
      </w:r>
      <w:r>
        <w:rPr>
          <w:rFonts w:cs="Arial"/>
          <w:rtl/>
        </w:rPr>
        <w:t>זמנו בשבוע פלוני של יובל ולא כתב איזו שנה</w:t>
      </w:r>
      <w:r>
        <w:rPr>
          <w:rFonts w:cs="Arial" w:hint="cs"/>
          <w:rtl/>
        </w:rPr>
        <w:t>,</w:t>
      </w:r>
      <w:r>
        <w:rPr>
          <w:rFonts w:cs="Arial"/>
          <w:rtl/>
        </w:rPr>
        <w:t xml:space="preserve"> או כתב שנה ולא כתב חדש</w:t>
      </w:r>
      <w:r>
        <w:rPr>
          <w:rFonts w:cs="Arial" w:hint="cs"/>
          <w:rtl/>
        </w:rPr>
        <w:t>,</w:t>
      </w:r>
      <w:r>
        <w:rPr>
          <w:rFonts w:cs="Arial"/>
          <w:rtl/>
        </w:rPr>
        <w:t xml:space="preserve"> או כתב חדש ולא כתב שבת</w:t>
      </w:r>
      <w:r>
        <w:rPr>
          <w:rFonts w:cs="Arial" w:hint="cs"/>
          <w:rtl/>
        </w:rPr>
        <w:t>,</w:t>
      </w:r>
      <w:r>
        <w:rPr>
          <w:rFonts w:cs="Arial"/>
          <w:rtl/>
        </w:rPr>
        <w:t xml:space="preserve"> או כתב שבת ולא כתב יום</w:t>
      </w:r>
      <w:r>
        <w:rPr>
          <w:rFonts w:cs="Arial" w:hint="cs"/>
          <w:rtl/>
        </w:rPr>
        <w:t xml:space="preserve"> </w:t>
      </w:r>
      <w:r w:rsidR="00A42812">
        <w:rPr>
          <w:rFonts w:cs="Arial"/>
          <w:rtl/>
        </w:rPr>
        <w:t>-</w:t>
      </w:r>
      <w:r>
        <w:rPr>
          <w:rFonts w:cs="Arial"/>
          <w:rtl/>
        </w:rPr>
        <w:t xml:space="preserve"> מאי</w:t>
      </w:r>
      <w:r>
        <w:rPr>
          <w:rFonts w:cs="Arial" w:hint="cs"/>
          <w:rtl/>
        </w:rPr>
        <w:t>?</w:t>
      </w:r>
      <w:r>
        <w:rPr>
          <w:rFonts w:hint="cs"/>
          <w:rtl/>
        </w:rPr>
        <w:t>, רש"י.</w:t>
      </w:r>
    </w:p>
  </w:footnote>
  <w:footnote w:id="904">
    <w:p w14:paraId="033CA49F" w14:textId="77777777" w:rsidR="00FA2119" w:rsidRDefault="00FA2119" w:rsidP="00FA2119">
      <w:pPr>
        <w:pStyle w:val="a5"/>
      </w:pPr>
      <w:r>
        <w:rPr>
          <w:rStyle w:val="a7"/>
        </w:rPr>
        <w:footnoteRef/>
      </w:r>
      <w:r>
        <w:rPr>
          <w:rtl/>
        </w:rPr>
        <w:t xml:space="preserve"> </w:t>
      </w:r>
      <w:r>
        <w:rPr>
          <w:rFonts w:hint="cs"/>
          <w:rtl/>
        </w:rPr>
        <w:t>לכתחילה, רש"י.</w:t>
      </w:r>
    </w:p>
  </w:footnote>
  <w:footnote w:id="905">
    <w:p w14:paraId="48841312" w14:textId="77777777" w:rsidR="00FA2119" w:rsidRDefault="00FA2119" w:rsidP="00FA2119">
      <w:pPr>
        <w:pStyle w:val="a5"/>
        <w:rPr>
          <w:rtl/>
        </w:rPr>
      </w:pPr>
      <w:r>
        <w:rPr>
          <w:rStyle w:val="a7"/>
        </w:rPr>
        <w:footnoteRef/>
      </w:r>
      <w:r>
        <w:rPr>
          <w:rtl/>
        </w:rPr>
        <w:t xml:space="preserve"> </w:t>
      </w:r>
      <w:r w:rsidRPr="00AE4DDB">
        <w:rPr>
          <w:rFonts w:cs="Arial"/>
          <w:rtl/>
        </w:rPr>
        <w:t>הא לא ממנעי מלמכתביה נהליה</w:t>
      </w:r>
      <w:r>
        <w:rPr>
          <w:rFonts w:hint="cs"/>
          <w:rtl/>
        </w:rPr>
        <w:t xml:space="preserve">, רש"י. </w:t>
      </w:r>
      <w:r w:rsidRPr="00620076">
        <w:rPr>
          <w:rFonts w:hint="cs"/>
          <w:sz w:val="16"/>
          <w:szCs w:val="16"/>
          <w:rtl/>
        </w:rPr>
        <w:t xml:space="preserve">(פירוש- מה הועילו חכמים בתקנתן והרי </w:t>
      </w:r>
      <w:r w:rsidRPr="00620076">
        <w:rPr>
          <w:rFonts w:cs="Arial"/>
          <w:sz w:val="16"/>
          <w:szCs w:val="16"/>
          <w:rtl/>
        </w:rPr>
        <w:t>כל בעל שירצה לחפות על אשתו, יכתוב בגט בשנה פלונית, ותאמר האשה נתגרשתי בתחילת השנה לפני הזנות, וכן לגבי פירות, הבעל יכתוב שנה פלונית, וימשיך לאכול פירות. וכשתתבענו לבית דין, יאמר לה עכשיו גרשתיך</w:t>
      </w:r>
      <w:r w:rsidRPr="00620076">
        <w:rPr>
          <w:rFonts w:hint="cs"/>
          <w:sz w:val="16"/>
          <w:szCs w:val="16"/>
          <w:rtl/>
        </w:rPr>
        <w:t>)</w:t>
      </w:r>
      <w:r>
        <w:rPr>
          <w:rFonts w:hint="cs"/>
          <w:rtl/>
        </w:rPr>
        <w:t>.</w:t>
      </w:r>
    </w:p>
  </w:footnote>
  <w:footnote w:id="906">
    <w:p w14:paraId="0DDC72EF" w14:textId="77777777" w:rsidR="00FA2119" w:rsidRDefault="00FA2119" w:rsidP="00FA2119">
      <w:pPr>
        <w:pStyle w:val="a5"/>
      </w:pPr>
      <w:r>
        <w:rPr>
          <w:rStyle w:val="a7"/>
        </w:rPr>
        <w:footnoteRef/>
      </w:r>
      <w:r>
        <w:rPr>
          <w:rtl/>
        </w:rPr>
        <w:t xml:space="preserve"> </w:t>
      </w:r>
      <w:r w:rsidRPr="00AE4DDB">
        <w:rPr>
          <w:rFonts w:cs="Arial"/>
          <w:rtl/>
        </w:rPr>
        <w:t>שאם זינתה תיהרג</w:t>
      </w:r>
      <w:r>
        <w:rPr>
          <w:rFonts w:cs="Arial" w:hint="cs"/>
          <w:rtl/>
        </w:rPr>
        <w:t>, רש"י.</w:t>
      </w:r>
    </w:p>
  </w:footnote>
  <w:footnote w:id="907">
    <w:p w14:paraId="5D31F9B0" w14:textId="77777777" w:rsidR="00FA2119" w:rsidRDefault="00FA2119" w:rsidP="00FA2119">
      <w:pPr>
        <w:pStyle w:val="a5"/>
      </w:pPr>
      <w:r>
        <w:rPr>
          <w:rStyle w:val="a7"/>
        </w:rPr>
        <w:footnoteRef/>
      </w:r>
      <w:r>
        <w:rPr>
          <w:rtl/>
        </w:rPr>
        <w:t xml:space="preserve"> </w:t>
      </w:r>
      <w:r w:rsidRPr="00AE4DDB">
        <w:rPr>
          <w:rFonts w:cs="Arial"/>
          <w:rtl/>
        </w:rPr>
        <w:t xml:space="preserve">לפירות שאם ימכור בהם תוציא גיטה ותגבם </w:t>
      </w:r>
      <w:r>
        <w:rPr>
          <w:rFonts w:cs="Arial" w:hint="cs"/>
          <w:sz w:val="16"/>
          <w:szCs w:val="16"/>
          <w:rtl/>
        </w:rPr>
        <w:t>(</w:t>
      </w:r>
      <w:r w:rsidRPr="00AE4DDB">
        <w:rPr>
          <w:rFonts w:cs="Arial"/>
          <w:sz w:val="16"/>
          <w:szCs w:val="16"/>
          <w:rtl/>
        </w:rPr>
        <w:t>ואי אפשר לפרש דלשבוע דקמיה אהני לפירות שלא תטרפם מלקוחות דבלאו זמן נמי לא טרפה דידה על התחתונה עד דמייתה ראיה דבתר גירושין זבין ולשבוע דבתרא לא מהני לזנות דלא תיקטול דבלאו זמן נמי לא מיקטלה דספק נפשות להקל</w:t>
      </w:r>
      <w:r w:rsidRPr="00AE4DDB">
        <w:rPr>
          <w:rFonts w:cs="Arial" w:hint="cs"/>
          <w:sz w:val="16"/>
          <w:szCs w:val="16"/>
          <w:rtl/>
        </w:rPr>
        <w:t>)</w:t>
      </w:r>
      <w:r>
        <w:rPr>
          <w:rFonts w:cs="Arial" w:hint="cs"/>
          <w:rtl/>
        </w:rPr>
        <w:t>, רש"י.</w:t>
      </w:r>
    </w:p>
  </w:footnote>
  <w:footnote w:id="908">
    <w:p w14:paraId="6144BDFC" w14:textId="77777777" w:rsidR="00FA2119" w:rsidRDefault="00FA2119" w:rsidP="00FA2119">
      <w:pPr>
        <w:pStyle w:val="a5"/>
      </w:pPr>
      <w:r>
        <w:rPr>
          <w:rStyle w:val="a7"/>
        </w:rPr>
        <w:footnoteRef/>
      </w:r>
      <w:r>
        <w:rPr>
          <w:rtl/>
        </w:rPr>
        <w:t xml:space="preserve"> </w:t>
      </w:r>
      <w:r>
        <w:rPr>
          <w:rFonts w:hint="cs"/>
          <w:rtl/>
        </w:rPr>
        <w:t>היינו שכתב באיזה שבע שנים (מהשמיטות) נכתב ביחס ליובל.</w:t>
      </w:r>
    </w:p>
  </w:footnote>
  <w:footnote w:id="909">
    <w:p w14:paraId="25395FB7" w14:textId="77777777" w:rsidR="00FA2119" w:rsidRDefault="00FA2119" w:rsidP="00FA2119">
      <w:pPr>
        <w:pStyle w:val="a5"/>
      </w:pPr>
      <w:r>
        <w:rPr>
          <w:rStyle w:val="a7"/>
        </w:rPr>
        <w:footnoteRef/>
      </w:r>
      <w:r>
        <w:rPr>
          <w:rtl/>
        </w:rPr>
        <w:t xml:space="preserve"> </w:t>
      </w:r>
      <w:r w:rsidRPr="00BF0A63">
        <w:rPr>
          <w:rFonts w:cs="Arial"/>
          <w:rtl/>
        </w:rPr>
        <w:t>בב"ד להתגרש האשה משמע וחשבינן ליה כזמן גמור</w:t>
      </w:r>
      <w:r>
        <w:rPr>
          <w:rFonts w:cs="Arial" w:hint="cs"/>
          <w:rtl/>
        </w:rPr>
        <w:t>, רשב"ם.</w:t>
      </w:r>
    </w:p>
  </w:footnote>
  <w:footnote w:id="910">
    <w:p w14:paraId="2519A9ED" w14:textId="77777777" w:rsidR="00FA2119" w:rsidRDefault="00FA2119" w:rsidP="00FA2119">
      <w:pPr>
        <w:pStyle w:val="a5"/>
        <w:rPr>
          <w:rtl/>
        </w:rPr>
      </w:pPr>
      <w:r>
        <w:rPr>
          <w:rStyle w:val="a7"/>
        </w:rPr>
        <w:footnoteRef/>
      </w:r>
      <w:r>
        <w:rPr>
          <w:rtl/>
        </w:rPr>
        <w:t xml:space="preserve"> </w:t>
      </w:r>
      <w:r>
        <w:rPr>
          <w:rFonts w:hint="cs"/>
          <w:rtl/>
        </w:rPr>
        <w:t>אולי צריך לומר רשב"ם, כי לא מצאתי מקום שרש"י התייחס לזה. וכמה פעמים מתייחס הב"י לפירוש רשב"ם כפירוש רש"י.</w:t>
      </w:r>
    </w:p>
  </w:footnote>
  <w:footnote w:id="911">
    <w:p w14:paraId="6498B6A6" w14:textId="77777777" w:rsidR="00FA2119" w:rsidRDefault="00FA2119" w:rsidP="00FA2119">
      <w:pPr>
        <w:pStyle w:val="a5"/>
      </w:pPr>
      <w:r>
        <w:rPr>
          <w:rStyle w:val="a7"/>
        </w:rPr>
        <w:footnoteRef/>
      </w:r>
      <w:r>
        <w:rPr>
          <w:rtl/>
        </w:rPr>
        <w:t xml:space="preserve"> </w:t>
      </w:r>
      <w:r w:rsidRPr="00101C67">
        <w:rPr>
          <w:rFonts w:cs="Arial"/>
          <w:rtl/>
        </w:rPr>
        <w:t>מי שהיה בבבל וכתב בשנת כך וכך למלכות אחרת ובגמרא מפרש אמאי קרי לה שאינה הוגנת או שכתב לשם מדי כו' לפי שצריך לכתוב לשם מלכות שנכתב בה כדמפרש בגמ'</w:t>
      </w:r>
      <w:r>
        <w:rPr>
          <w:rFonts w:cs="Arial" w:hint="cs"/>
          <w:rtl/>
        </w:rPr>
        <w:t>, רש"י.</w:t>
      </w:r>
    </w:p>
  </w:footnote>
  <w:footnote w:id="912">
    <w:p w14:paraId="51A3D811" w14:textId="77777777" w:rsidR="00FA2119" w:rsidRDefault="00FA2119" w:rsidP="00FA2119">
      <w:pPr>
        <w:pStyle w:val="a5"/>
      </w:pPr>
      <w:r>
        <w:rPr>
          <w:rStyle w:val="a7"/>
        </w:rPr>
        <w:footnoteRef/>
      </w:r>
      <w:r>
        <w:rPr>
          <w:rtl/>
        </w:rPr>
        <w:t xml:space="preserve"> </w:t>
      </w:r>
      <w:r w:rsidRPr="00CA2E42">
        <w:rPr>
          <w:rFonts w:cs="Arial"/>
          <w:rtl/>
        </w:rPr>
        <w:t>או שכתבה לבנין הבית או לחורבנו פסול - מפני שלא כתב לשם המלכות</w:t>
      </w:r>
      <w:r>
        <w:rPr>
          <w:rFonts w:cs="Arial" w:hint="cs"/>
          <w:rtl/>
        </w:rPr>
        <w:t>, רש"י.</w:t>
      </w:r>
    </w:p>
  </w:footnote>
  <w:footnote w:id="913">
    <w:p w14:paraId="15A4F53F" w14:textId="77777777" w:rsidR="00FA2119" w:rsidRDefault="00FA2119" w:rsidP="00FA2119">
      <w:pPr>
        <w:pStyle w:val="a5"/>
      </w:pPr>
      <w:r>
        <w:rPr>
          <w:rStyle w:val="a7"/>
        </w:rPr>
        <w:footnoteRef/>
      </w:r>
      <w:r>
        <w:rPr>
          <w:rtl/>
        </w:rPr>
        <w:t xml:space="preserve"> </w:t>
      </w:r>
      <w:r w:rsidRPr="00EF013D">
        <w:rPr>
          <w:rFonts w:cs="Arial"/>
          <w:rtl/>
        </w:rPr>
        <w:t>דגט נפסל משום שלום מלכות</w:t>
      </w:r>
      <w:r>
        <w:rPr>
          <w:rFonts w:cs="Arial" w:hint="cs"/>
          <w:rtl/>
        </w:rPr>
        <w:t>, רש"י.</w:t>
      </w:r>
    </w:p>
  </w:footnote>
  <w:footnote w:id="914">
    <w:p w14:paraId="74612908" w14:textId="77777777" w:rsidR="00FA2119" w:rsidRDefault="00FA2119" w:rsidP="00FA2119">
      <w:pPr>
        <w:pStyle w:val="a5"/>
      </w:pPr>
      <w:r>
        <w:rPr>
          <w:rStyle w:val="a7"/>
        </w:rPr>
        <w:footnoteRef/>
      </w:r>
      <w:r>
        <w:rPr>
          <w:rtl/>
        </w:rPr>
        <w:t xml:space="preserve"> </w:t>
      </w:r>
      <w:r w:rsidRPr="00EF013D">
        <w:rPr>
          <w:rFonts w:cs="Arial"/>
          <w:rtl/>
        </w:rPr>
        <w:t>מפרש בבבא בתרא (סח</w:t>
      </w:r>
      <w:r>
        <w:rPr>
          <w:rFonts w:cs="Arial" w:hint="cs"/>
          <w:rtl/>
        </w:rPr>
        <w:t>.</w:t>
      </w:r>
      <w:r w:rsidRPr="00EF013D">
        <w:rPr>
          <w:rFonts w:cs="Arial"/>
          <w:rtl/>
        </w:rPr>
        <w:t xml:space="preserve">) </w:t>
      </w:r>
      <w:r>
        <w:rPr>
          <w:rFonts w:cs="Arial" w:hint="cs"/>
          <w:rtl/>
        </w:rPr>
        <w:t>'</w:t>
      </w:r>
      <w:r w:rsidRPr="00EF013D">
        <w:rPr>
          <w:rFonts w:cs="Arial"/>
          <w:rtl/>
        </w:rPr>
        <w:t>בר מחווניא</w:t>
      </w:r>
      <w:r>
        <w:rPr>
          <w:rFonts w:cs="Arial" w:hint="cs"/>
          <w:rtl/>
        </w:rPr>
        <w:t>' -</w:t>
      </w:r>
      <w:r w:rsidRPr="00EF013D">
        <w:rPr>
          <w:rFonts w:cs="Arial"/>
          <w:rtl/>
        </w:rPr>
        <w:t xml:space="preserve"> זקן הממונה להיות בקי בנחלת גבול שדה כל איש ואיש</w:t>
      </w:r>
      <w:r>
        <w:rPr>
          <w:rFonts w:cs="Arial" w:hint="cs"/>
          <w:rtl/>
        </w:rPr>
        <w:t>, רש"י.</w:t>
      </w:r>
    </w:p>
  </w:footnote>
  <w:footnote w:id="915">
    <w:p w14:paraId="4E700C1F" w14:textId="77777777" w:rsidR="00FA2119" w:rsidRDefault="00FA2119" w:rsidP="00FA2119">
      <w:pPr>
        <w:pStyle w:val="a5"/>
      </w:pPr>
      <w:r>
        <w:rPr>
          <w:rStyle w:val="a7"/>
        </w:rPr>
        <w:footnoteRef/>
      </w:r>
      <w:r>
        <w:rPr>
          <w:rtl/>
        </w:rPr>
        <w:t xml:space="preserve"> </w:t>
      </w:r>
      <w:r w:rsidRPr="008C6CAB">
        <w:rPr>
          <w:rFonts w:cs="Arial"/>
          <w:rtl/>
        </w:rPr>
        <w:t>אשלום מלכות קאי</w:t>
      </w:r>
      <w:r>
        <w:rPr>
          <w:rFonts w:cs="Arial" w:hint="cs"/>
          <w:rtl/>
        </w:rPr>
        <w:t>, רש"י. אך ר"ת (בתוס' פ: ד"ה זו) ה</w:t>
      </w:r>
      <w:r w:rsidRPr="00904162">
        <w:rPr>
          <w:rFonts w:cs="Arial"/>
          <w:rtl/>
        </w:rPr>
        <w:t>קשה דא"כ פליגי אדרב יהודה אמר שמואל דלעיל דאמר אבל חכמים אומרים אפי' לא כתב אלא לשם סנטר שבעיר הרי זו מגורשת</w:t>
      </w:r>
      <w:r>
        <w:rPr>
          <w:rFonts w:cs="Arial" w:hint="cs"/>
          <w:rtl/>
        </w:rPr>
        <w:t>,</w:t>
      </w:r>
      <w:r w:rsidRPr="00904162">
        <w:rPr>
          <w:rFonts w:cs="Arial"/>
          <w:rtl/>
        </w:rPr>
        <w:t xml:space="preserve"> דמשמע מגורשת ותינשא לכתחילה אף על פי שלא נכתב לשם מלכות</w:t>
      </w:r>
      <w:r>
        <w:rPr>
          <w:rFonts w:cs="Arial" w:hint="cs"/>
          <w:rtl/>
        </w:rPr>
        <w:t>,</w:t>
      </w:r>
      <w:r w:rsidRPr="00904162">
        <w:rPr>
          <w:rFonts w:cs="Arial"/>
          <w:rtl/>
        </w:rPr>
        <w:t xml:space="preserve"> א"כ היאך אנו כותבין בגיטין לבריאת עולם הא קיי"ל כרב באיסורי ולדידיה אסור לגרש בו לכתחילה</w:t>
      </w:r>
      <w:r>
        <w:rPr>
          <w:rFonts w:cs="Arial" w:hint="cs"/>
          <w:rtl/>
        </w:rPr>
        <w:t>...</w:t>
      </w:r>
      <w:r w:rsidRPr="00904162">
        <w:rPr>
          <w:rFonts w:cs="Arial"/>
          <w:rtl/>
        </w:rPr>
        <w:t xml:space="preserve"> </w:t>
      </w:r>
      <w:r>
        <w:rPr>
          <w:rFonts w:cs="Arial" w:hint="cs"/>
          <w:sz w:val="16"/>
          <w:szCs w:val="16"/>
          <w:rtl/>
        </w:rPr>
        <w:t>{ולכן}</w:t>
      </w:r>
      <w:r>
        <w:rPr>
          <w:rFonts w:cs="Arial" w:hint="cs"/>
          <w:rtl/>
        </w:rPr>
        <w:t xml:space="preserve"> מ</w:t>
      </w:r>
      <w:r w:rsidRPr="0038228A">
        <w:rPr>
          <w:rFonts w:cs="Arial"/>
          <w:rtl/>
        </w:rPr>
        <w:t>פרש דלאו אשלום מלכות קאי זו דברי ר"מ אלא אהיה במזרח וכתב במערב אבל לשום מלכות אחרת מותר לגרש בו לכתחילה לרבנן ולא פליג אדרב יהודה דלעיל</w:t>
      </w:r>
      <w:r>
        <w:rPr>
          <w:rFonts w:cs="Arial" w:hint="cs"/>
          <w:rtl/>
        </w:rPr>
        <w:t>.</w:t>
      </w:r>
    </w:p>
  </w:footnote>
  <w:footnote w:id="916">
    <w:p w14:paraId="3B8DD09D" w14:textId="7E806BB3" w:rsidR="00FA2119" w:rsidRDefault="00FA2119" w:rsidP="00FA2119">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604968">
        <w:rPr>
          <w:rFonts w:cs="Arial"/>
          <w:rtl/>
        </w:rPr>
        <w:t>לשום מלכות אחרת מותר לגרש בו לכתחילה לרבנן</w:t>
      </w:r>
      <w:r>
        <w:rPr>
          <w:rFonts w:cs="Arial" w:hint="cs"/>
          <w:rtl/>
        </w:rPr>
        <w:t>...</w:t>
      </w:r>
      <w:r w:rsidRPr="00604968">
        <w:rPr>
          <w:rFonts w:cs="Arial"/>
          <w:rtl/>
        </w:rPr>
        <w:t xml:space="preserve"> ומגורשת היינו שתתגרש בו לכתחילה קאמר אפי' נכתב לשם סנטר דזילא בהו מילתא</w:t>
      </w:r>
      <w:r>
        <w:rPr>
          <w:rFonts w:cs="Arial" w:hint="cs"/>
          <w:rtl/>
        </w:rPr>
        <w:t>,</w:t>
      </w:r>
      <w:r w:rsidRPr="00604968">
        <w:rPr>
          <w:rFonts w:cs="Arial"/>
          <w:rtl/>
        </w:rPr>
        <w:t xml:space="preserve"> וכל שכן השתא שמותר לכתוב </w:t>
      </w:r>
      <w:r>
        <w:rPr>
          <w:rFonts w:cs="Arial" w:hint="cs"/>
          <w:rtl/>
        </w:rPr>
        <w:t>'</w:t>
      </w:r>
      <w:r w:rsidRPr="00604968">
        <w:rPr>
          <w:rFonts w:cs="Arial"/>
          <w:rtl/>
        </w:rPr>
        <w:t>לבריאת עולם</w:t>
      </w:r>
      <w:r>
        <w:rPr>
          <w:rFonts w:cs="Arial" w:hint="cs"/>
          <w:rtl/>
        </w:rPr>
        <w:t>'</w:t>
      </w:r>
      <w:r w:rsidRPr="00604968">
        <w:rPr>
          <w:rFonts w:cs="Arial"/>
          <w:rtl/>
        </w:rPr>
        <w:t xml:space="preserve"> דלא זילא בהו מילתא כלל דלא מתקנאים בזה</w:t>
      </w:r>
      <w:r>
        <w:rPr>
          <w:rFonts w:cs="Arial" w:hint="cs"/>
          <w:rtl/>
        </w:rPr>
        <w:t>.</w:t>
      </w:r>
      <w:r w:rsidRPr="00604968">
        <w:rPr>
          <w:rFonts w:cs="Arial"/>
          <w:rtl/>
        </w:rPr>
        <w:t xml:space="preserve"> וקיי"ל כחכמים</w:t>
      </w:r>
      <w:r>
        <w:rPr>
          <w:rFonts w:cs="Arial" w:hint="cs"/>
          <w:rtl/>
        </w:rPr>
        <w:t>.</w:t>
      </w:r>
    </w:p>
  </w:footnote>
  <w:footnote w:id="917">
    <w:p w14:paraId="4A88D839" w14:textId="77777777" w:rsidR="00FA2119" w:rsidRDefault="00FA2119" w:rsidP="00FA2119">
      <w:pPr>
        <w:pStyle w:val="a5"/>
        <w:rPr>
          <w:rtl/>
        </w:rPr>
      </w:pPr>
      <w:r>
        <w:rPr>
          <w:rStyle w:val="a7"/>
        </w:rPr>
        <w:footnoteRef/>
      </w:r>
      <w:r>
        <w:rPr>
          <w:rtl/>
        </w:rPr>
        <w:t xml:space="preserve"> </w:t>
      </w:r>
      <w:r>
        <w:rPr>
          <w:rFonts w:cs="Arial" w:hint="cs"/>
          <w:rtl/>
        </w:rPr>
        <w:t>ז"ל הב"י- ו</w:t>
      </w:r>
      <w:r w:rsidRPr="00973016">
        <w:rPr>
          <w:rFonts w:cs="Arial"/>
          <w:rtl/>
        </w:rPr>
        <w:t>אם בזמן הזה אם מנה לבנין הבית או לחרבנו או לשם מלכות אחרת אע</w:t>
      </w:r>
      <w:r w:rsidRPr="00973016">
        <w:rPr>
          <w:rFonts w:cs="Arial" w:hint="cs"/>
          <w:rtl/>
        </w:rPr>
        <w:t>"</w:t>
      </w:r>
      <w:r w:rsidRPr="00973016">
        <w:rPr>
          <w:rFonts w:cs="Arial"/>
          <w:rtl/>
        </w:rPr>
        <w:t xml:space="preserve">פ שאין דרך אנשי אותו המקום למנות בו </w:t>
      </w:r>
      <w:r w:rsidRPr="00973016">
        <w:rPr>
          <w:rFonts w:cs="Arial" w:hint="cs"/>
          <w:rtl/>
        </w:rPr>
        <w:t xml:space="preserve">- </w:t>
      </w:r>
      <w:r w:rsidRPr="00973016">
        <w:rPr>
          <w:rFonts w:cs="Arial"/>
          <w:rtl/>
        </w:rPr>
        <w:t>לא משמע מדבריהם דמיפסל</w:t>
      </w:r>
      <w:r w:rsidRPr="00973016">
        <w:rPr>
          <w:rFonts w:cs="Arial" w:hint="cs"/>
          <w:rtl/>
        </w:rPr>
        <w:t>.</w:t>
      </w:r>
      <w:r w:rsidRPr="00973016">
        <w:rPr>
          <w:rFonts w:cs="Arial"/>
          <w:rtl/>
        </w:rPr>
        <w:t xml:space="preserve"> דאע"ג דתנן (עט:) כתב לשם מלכות שאינה הוגנת וכו' כלומר שאם היה במלכות זה וכתב לשם מלכות אחרת פסול</w:t>
      </w:r>
      <w:r w:rsidRPr="00973016">
        <w:rPr>
          <w:rFonts w:cs="Arial" w:hint="cs"/>
          <w:rtl/>
        </w:rPr>
        <w:t>,</w:t>
      </w:r>
      <w:r w:rsidRPr="00973016">
        <w:rPr>
          <w:rFonts w:cs="Arial"/>
          <w:rtl/>
        </w:rPr>
        <w:t xml:space="preserve"> היינו בזמנם שהיו המלכיות מקפידות על כך</w:t>
      </w:r>
      <w:r w:rsidRPr="00973016">
        <w:rPr>
          <w:rFonts w:cs="Arial" w:hint="cs"/>
          <w:rtl/>
        </w:rPr>
        <w:t>,</w:t>
      </w:r>
      <w:r w:rsidRPr="00973016">
        <w:rPr>
          <w:rFonts w:cs="Arial"/>
          <w:rtl/>
        </w:rPr>
        <w:t xml:space="preserve"> אבל</w:t>
      </w:r>
      <w:r>
        <w:rPr>
          <w:rFonts w:hint="cs"/>
          <w:rtl/>
        </w:rPr>
        <w:t>-...</w:t>
      </w:r>
    </w:p>
  </w:footnote>
  <w:footnote w:id="918">
    <w:p w14:paraId="7EDBDD97" w14:textId="77777777" w:rsidR="00FA2119" w:rsidRDefault="00FA2119" w:rsidP="00FA2119">
      <w:pPr>
        <w:pStyle w:val="a5"/>
      </w:pPr>
      <w:r>
        <w:rPr>
          <w:rStyle w:val="a7"/>
        </w:rPr>
        <w:footnoteRef/>
      </w:r>
      <w:r>
        <w:rPr>
          <w:rtl/>
        </w:rPr>
        <w:t xml:space="preserve"> </w:t>
      </w:r>
      <w:r>
        <w:rPr>
          <w:rFonts w:cs="Arial"/>
          <w:rtl/>
        </w:rPr>
        <w:t xml:space="preserve">משמע דלשם מלכות אחרת </w:t>
      </w:r>
      <w:r>
        <w:rPr>
          <w:rFonts w:cs="Arial" w:hint="cs"/>
          <w:rtl/>
        </w:rPr>
        <w:t xml:space="preserve">- </w:t>
      </w:r>
      <w:r>
        <w:rPr>
          <w:rFonts w:cs="Arial"/>
          <w:rtl/>
        </w:rPr>
        <w:t>פסול</w:t>
      </w:r>
      <w:r>
        <w:rPr>
          <w:rFonts w:cs="Arial" w:hint="cs"/>
          <w:rtl/>
        </w:rPr>
        <w:t>.</w:t>
      </w:r>
      <w:r>
        <w:rPr>
          <w:rFonts w:cs="Arial"/>
          <w:rtl/>
        </w:rPr>
        <w:t xml:space="preserve"> </w:t>
      </w:r>
      <w:r w:rsidRPr="00E36490">
        <w:rPr>
          <w:rFonts w:cs="Arial" w:hint="cs"/>
          <w:sz w:val="16"/>
          <w:szCs w:val="16"/>
          <w:rtl/>
        </w:rPr>
        <w:t>(</w:t>
      </w:r>
      <w:r w:rsidRPr="00E36490">
        <w:rPr>
          <w:rFonts w:cs="Arial"/>
          <w:sz w:val="16"/>
          <w:szCs w:val="16"/>
          <w:rtl/>
        </w:rPr>
        <w:t>ונראה שטעמו משום דאע"פ שאין המלכיות מקפידות עכשיו בכך אולי כשיראו שכותבין לשם מלכות אחרת יקפידו ויאמרו שהם מורדים כיון שמחשיבים למלכות אחרת יותר ממלכותם ולא דמי למה שכתב שנהגו לכתוב למלכות אלכסנדרוס דשאני התם דלא שייך לומר שהם מורדים כיון דכבר עבר מלכותו ולא נשאר לו שורש וענף ועוד דבמקום שנהגו ליכא למיחש וכמו שכתב הוא ז"ל שם לשם מלכות שאינה מלכות אותה מדינה או לבנין הבית או לחרבן הבית אם דרך אנשי אותו המקום למנות בו כשר. ואם תאמר אמאי פסל באם כתב בזמן הזה לשם מלכות אחרת משום שלום מלכות</w:t>
      </w:r>
      <w:r w:rsidRPr="00E36490">
        <w:rPr>
          <w:rFonts w:cs="Arial" w:hint="cs"/>
          <w:sz w:val="16"/>
          <w:szCs w:val="16"/>
          <w:rtl/>
        </w:rPr>
        <w:t>,</w:t>
      </w:r>
      <w:r w:rsidRPr="00E36490">
        <w:rPr>
          <w:rFonts w:cs="Arial"/>
          <w:sz w:val="16"/>
          <w:szCs w:val="16"/>
          <w:rtl/>
        </w:rPr>
        <w:t xml:space="preserve"> הא כיון דאין מלכיות מקפידות עכשיו הוה ליה כמו במקום שדרך אנשי המקום למנות לשם מלכות אחרת</w:t>
      </w:r>
      <w:r w:rsidRPr="00E36490">
        <w:rPr>
          <w:rFonts w:cs="Arial" w:hint="cs"/>
          <w:sz w:val="16"/>
          <w:szCs w:val="16"/>
          <w:rtl/>
        </w:rPr>
        <w:t>,</w:t>
      </w:r>
      <w:r w:rsidRPr="00E36490">
        <w:rPr>
          <w:rFonts w:cs="Arial"/>
          <w:sz w:val="16"/>
          <w:szCs w:val="16"/>
          <w:rtl/>
        </w:rPr>
        <w:t xml:space="preserve"> דאפילו בזמן דקפדי מלכיות מכשרינן משום דכיון דחזינן דלא קפיד מלכות זה כשר. י"ל דשאני התם שכיון דדרך אנשי המקום למנות כן</w:t>
      </w:r>
      <w:r w:rsidRPr="00E36490">
        <w:rPr>
          <w:rFonts w:cs="Arial" w:hint="cs"/>
          <w:sz w:val="16"/>
          <w:szCs w:val="16"/>
          <w:rtl/>
        </w:rPr>
        <w:t>,</w:t>
      </w:r>
      <w:r w:rsidRPr="00E36490">
        <w:rPr>
          <w:rFonts w:cs="Arial"/>
          <w:sz w:val="16"/>
          <w:szCs w:val="16"/>
          <w:rtl/>
        </w:rPr>
        <w:t xml:space="preserve"> ודאי ידעי בני מלכות זו ולא קפדי</w:t>
      </w:r>
      <w:r w:rsidRPr="00E36490">
        <w:rPr>
          <w:rFonts w:cs="Arial" w:hint="cs"/>
          <w:sz w:val="16"/>
          <w:szCs w:val="16"/>
          <w:rtl/>
        </w:rPr>
        <w:t>,</w:t>
      </w:r>
      <w:r w:rsidRPr="00E36490">
        <w:rPr>
          <w:rFonts w:cs="Arial"/>
          <w:sz w:val="16"/>
          <w:szCs w:val="16"/>
          <w:rtl/>
        </w:rPr>
        <w:t xml:space="preserve"> אבל כשאין דרך אנשי המקום למנות כן וזה בא עכשיו למנות לשם אותה מלכות</w:t>
      </w:r>
      <w:r w:rsidRPr="00E36490">
        <w:rPr>
          <w:rFonts w:cs="Arial" w:hint="cs"/>
          <w:sz w:val="16"/>
          <w:szCs w:val="16"/>
          <w:rtl/>
        </w:rPr>
        <w:t>,</w:t>
      </w:r>
      <w:r w:rsidRPr="00E36490">
        <w:rPr>
          <w:rFonts w:cs="Arial"/>
          <w:sz w:val="16"/>
          <w:szCs w:val="16"/>
          <w:rtl/>
        </w:rPr>
        <w:t xml:space="preserve"> דילמא כי שמעי בני מלכות זו יקפידו אפילו בזמן הזה להחשיבם כמורדים</w:t>
      </w:r>
      <w:r>
        <w:rPr>
          <w:rFonts w:cs="Arial" w:hint="cs"/>
          <w:sz w:val="16"/>
          <w:szCs w:val="16"/>
          <w:rtl/>
        </w:rPr>
        <w:t>)</w:t>
      </w:r>
      <w:r>
        <w:rPr>
          <w:rFonts w:cs="Arial" w:hint="cs"/>
          <w:rtl/>
        </w:rPr>
        <w:t>, ב"י.</w:t>
      </w:r>
    </w:p>
  </w:footnote>
  <w:footnote w:id="919">
    <w:p w14:paraId="53D0F6B8" w14:textId="77777777" w:rsidR="00FA2119" w:rsidRDefault="00FA2119" w:rsidP="00FA2119">
      <w:pPr>
        <w:pStyle w:val="a5"/>
      </w:pPr>
      <w:r>
        <w:rPr>
          <w:rStyle w:val="a7"/>
        </w:rPr>
        <w:footnoteRef/>
      </w:r>
      <w:r>
        <w:rPr>
          <w:rtl/>
        </w:rPr>
        <w:t xml:space="preserve"> </w:t>
      </w:r>
      <w:r w:rsidRPr="00D01C9B">
        <w:rPr>
          <w:rFonts w:cs="Arial"/>
          <w:rtl/>
        </w:rPr>
        <w:t xml:space="preserve">כ"כ בתשו' הריב"ש </w:t>
      </w:r>
      <w:r>
        <w:rPr>
          <w:rFonts w:cs="Arial" w:hint="cs"/>
          <w:rtl/>
        </w:rPr>
        <w:t>(</w:t>
      </w:r>
      <w:r w:rsidRPr="00D01C9B">
        <w:rPr>
          <w:rFonts w:cs="Arial"/>
          <w:rtl/>
        </w:rPr>
        <w:t>סי' קיז</w:t>
      </w:r>
      <w:r>
        <w:rPr>
          <w:rFonts w:cs="Arial" w:hint="cs"/>
          <w:rtl/>
        </w:rPr>
        <w:t>)</w:t>
      </w:r>
      <w:r w:rsidRPr="00D01C9B">
        <w:rPr>
          <w:rFonts w:cs="Arial"/>
          <w:rtl/>
        </w:rPr>
        <w:t xml:space="preserve"> איזה יום בשבת לא מעלה ולא מוריד ולא מצינו זמן הכתובה בתורה שיהיה לימי השבת</w:t>
      </w:r>
      <w:r>
        <w:rPr>
          <w:rFonts w:cs="Arial" w:hint="cs"/>
          <w:rtl/>
        </w:rPr>
        <w:t>, ב"ש (סקי"א).</w:t>
      </w:r>
    </w:p>
  </w:footnote>
  <w:footnote w:id="920">
    <w:p w14:paraId="1295DD45" w14:textId="77777777" w:rsidR="00FA2119" w:rsidRDefault="00FA2119" w:rsidP="00FA2119">
      <w:pPr>
        <w:pStyle w:val="a5"/>
      </w:pPr>
      <w:r>
        <w:rPr>
          <w:rStyle w:val="a7"/>
        </w:rPr>
        <w:footnoteRef/>
      </w:r>
      <w:r>
        <w:rPr>
          <w:rtl/>
        </w:rPr>
        <w:t xml:space="preserve"> </w:t>
      </w:r>
      <w:r w:rsidRPr="00D01C9B">
        <w:rPr>
          <w:rFonts w:cs="Arial"/>
          <w:rtl/>
        </w:rPr>
        <w:t>משום דמהני עכ"פ לשבוע קמיה ול"ד למוקדם או נכתב ביום ונחתם בלילה דשם לא כתב כתיקון חז"ל ונכתב בשקר אבל כאן ליכא שקר ומהני לשבוע קמיה ועיין ברש"י שכתב אפי' לכתחלה כשר לגרש ביה וכתב הב"י אפשר אף לרמב"ם לכתחלה כותבין כן ומ"ש לשון כשר משום דאין דרך לכתוב כן ולכאורה נראה ממ"ש הפוסקים שלא ליתן גט באייר משמע לא כרש"י דאל"כ ל"ל להזכיר שם החדש וכן יכול לגרש בר"ח ולא להזכיר היום וא"ל בעת הדחק למה כותבים אייר בב' יודין ולמה לא סומכים על דעת רש"י דהא לא מצינו מי שחולק עליו בפי' וי"ל אייר עיקר הוא לכתוב ב' יודין וכן עיקר הוא לכתוב בא' לחודש ואינו אלא חומרא בעלמא מה שמחמירים שלא לכתוב באייר או בר"ח לכן יותר טוב לכתוב ב' יודין</w:t>
      </w:r>
      <w:r>
        <w:rPr>
          <w:rFonts w:cs="Arial" w:hint="cs"/>
          <w:rtl/>
        </w:rPr>
        <w:t>, ב"ש (סקי"ב).</w:t>
      </w:r>
    </w:p>
  </w:footnote>
  <w:footnote w:id="921">
    <w:p w14:paraId="1A564D2D" w14:textId="77777777" w:rsidR="00FA2119" w:rsidRDefault="00FA2119" w:rsidP="00FA2119">
      <w:pPr>
        <w:pStyle w:val="a5"/>
      </w:pPr>
      <w:r>
        <w:rPr>
          <w:rStyle w:val="a7"/>
        </w:rPr>
        <w:footnoteRef/>
      </w:r>
      <w:r>
        <w:rPr>
          <w:rtl/>
        </w:rPr>
        <w:t xml:space="preserve"> </w:t>
      </w:r>
      <w:r w:rsidRPr="00991E57">
        <w:rPr>
          <w:rFonts w:cs="Arial"/>
          <w:rtl/>
        </w:rPr>
        <w:t>ואחד מהם יש עליו עדים ואין בו זמן</w:t>
      </w:r>
      <w:r>
        <w:rPr>
          <w:rFonts w:cs="Arial" w:hint="cs"/>
          <w:rtl/>
        </w:rPr>
        <w:t>,</w:t>
      </w:r>
      <w:r w:rsidRPr="00991E57">
        <w:rPr>
          <w:rFonts w:cs="Arial"/>
          <w:rtl/>
        </w:rPr>
        <w:t xml:space="preserve"> ותנן דאם ניסת הולד כשר</w:t>
      </w:r>
      <w:r>
        <w:rPr>
          <w:rFonts w:cs="Arial" w:hint="cs"/>
          <w:rtl/>
        </w:rPr>
        <w:t>,</w:t>
      </w:r>
      <w:r w:rsidRPr="00991E57">
        <w:rPr>
          <w:rFonts w:cs="Arial"/>
          <w:rtl/>
        </w:rPr>
        <w:t xml:space="preserve"> כיון דאי עבד</w:t>
      </w:r>
      <w:r>
        <w:rPr>
          <w:rFonts w:cs="Arial" w:hint="cs"/>
          <w:rtl/>
        </w:rPr>
        <w:t xml:space="preserve"> -</w:t>
      </w:r>
      <w:r w:rsidRPr="00991E57">
        <w:rPr>
          <w:rFonts w:cs="Arial"/>
          <w:rtl/>
        </w:rPr>
        <w:t xml:space="preserve"> שפיר דמי</w:t>
      </w:r>
      <w:r>
        <w:rPr>
          <w:rFonts w:cs="Arial" w:hint="cs"/>
          <w:rtl/>
        </w:rPr>
        <w:t>, רש"י.</w:t>
      </w:r>
    </w:p>
  </w:footnote>
  <w:footnote w:id="922">
    <w:p w14:paraId="7BDB7828" w14:textId="77777777" w:rsidR="00FA2119" w:rsidRDefault="00FA2119" w:rsidP="00FA2119">
      <w:pPr>
        <w:pStyle w:val="a5"/>
        <w:rPr>
          <w:rtl/>
        </w:rPr>
      </w:pPr>
      <w:r>
        <w:rPr>
          <w:rStyle w:val="a7"/>
        </w:rPr>
        <w:footnoteRef/>
      </w:r>
      <w:r>
        <w:rPr>
          <w:rtl/>
        </w:rPr>
        <w:t xml:space="preserve"> </w:t>
      </w:r>
      <w:r w:rsidRPr="00991E57">
        <w:rPr>
          <w:rFonts w:cs="Arial"/>
          <w:rtl/>
        </w:rPr>
        <w:t>משום בת אחותו ומשום פירות</w:t>
      </w:r>
      <w:r>
        <w:rPr>
          <w:rFonts w:hint="cs"/>
          <w:rtl/>
        </w:rPr>
        <w:t>, רש"י.</w:t>
      </w:r>
    </w:p>
  </w:footnote>
  <w:footnote w:id="923">
    <w:p w14:paraId="2D9D9B4E" w14:textId="77777777" w:rsidR="00FA2119" w:rsidRDefault="00FA2119" w:rsidP="00FA2119">
      <w:pPr>
        <w:pStyle w:val="a5"/>
      </w:pPr>
      <w:r>
        <w:rPr>
          <w:rStyle w:val="a7"/>
        </w:rPr>
        <w:footnoteRef/>
      </w:r>
      <w:r>
        <w:rPr>
          <w:rtl/>
        </w:rPr>
        <w:t xml:space="preserve"> </w:t>
      </w:r>
      <w:r w:rsidRPr="00991E57">
        <w:rPr>
          <w:rFonts w:cs="Arial"/>
          <w:rtl/>
        </w:rPr>
        <w:t>וכיון דהכי הוא</w:t>
      </w:r>
      <w:r>
        <w:rPr>
          <w:rFonts w:cs="Arial" w:hint="cs"/>
          <w:rtl/>
        </w:rPr>
        <w:t>,</w:t>
      </w:r>
      <w:r w:rsidRPr="00991E57">
        <w:rPr>
          <w:rFonts w:cs="Arial"/>
          <w:rtl/>
        </w:rPr>
        <w:t xml:space="preserve"> אי בעי לכתוב גט בלא זמן לחפות על בת אחותו או למכור בפירות </w:t>
      </w:r>
      <w:r>
        <w:rPr>
          <w:rFonts w:cs="Arial" w:hint="cs"/>
          <w:rtl/>
        </w:rPr>
        <w:t xml:space="preserve">- </w:t>
      </w:r>
      <w:r w:rsidRPr="00991E57">
        <w:rPr>
          <w:rFonts w:cs="Arial"/>
          <w:rtl/>
        </w:rPr>
        <w:t>לא כתבו ליה סופרי הדיינים ולא חתמי עליה סהדי</w:t>
      </w:r>
      <w:r>
        <w:rPr>
          <w:rFonts w:cs="Arial" w:hint="cs"/>
          <w:rtl/>
        </w:rPr>
        <w:t>, רש"י.</w:t>
      </w:r>
    </w:p>
  </w:footnote>
  <w:footnote w:id="924">
    <w:p w14:paraId="125BD415" w14:textId="77777777" w:rsidR="00FA2119" w:rsidRDefault="00FA2119" w:rsidP="00FA2119">
      <w:pPr>
        <w:pStyle w:val="a5"/>
      </w:pPr>
      <w:r>
        <w:rPr>
          <w:rStyle w:val="a7"/>
        </w:rPr>
        <w:footnoteRef/>
      </w:r>
      <w:r>
        <w:rPr>
          <w:rtl/>
        </w:rPr>
        <w:t xml:space="preserve"> </w:t>
      </w:r>
      <w:r w:rsidRPr="00991E57">
        <w:rPr>
          <w:rFonts w:cs="Arial"/>
          <w:rtl/>
        </w:rPr>
        <w:t>לאחר שכתב בו זמן חתכו כדי לחפות על בת אחותו או למכור בפירות ויהביה ניהלה</w:t>
      </w:r>
      <w:r>
        <w:rPr>
          <w:rFonts w:cs="Arial" w:hint="cs"/>
          <w:rtl/>
        </w:rPr>
        <w:t>,</w:t>
      </w:r>
      <w:r w:rsidRPr="00991E57">
        <w:rPr>
          <w:rFonts w:cs="Arial"/>
          <w:rtl/>
        </w:rPr>
        <w:t xml:space="preserve"> ואמרי</w:t>
      </w:r>
      <w:r>
        <w:rPr>
          <w:rFonts w:cs="Arial" w:hint="cs"/>
          <w:rtl/>
        </w:rPr>
        <w:t>נן</w:t>
      </w:r>
      <w:r w:rsidRPr="00991E57">
        <w:rPr>
          <w:rFonts w:cs="Arial"/>
          <w:rtl/>
        </w:rPr>
        <w:t xml:space="preserve"> דגט שאין בו זמן אם ניסת הולד כשר</w:t>
      </w:r>
      <w:r>
        <w:rPr>
          <w:rFonts w:cs="Arial" w:hint="cs"/>
          <w:rtl/>
        </w:rPr>
        <w:t>,</w:t>
      </w:r>
      <w:r w:rsidRPr="00991E57">
        <w:rPr>
          <w:rFonts w:cs="Arial"/>
          <w:rtl/>
        </w:rPr>
        <w:t xml:space="preserve"> וכשמוציאתו הרי היא בחזקת מגורשת ולא מיקטלה</w:t>
      </w:r>
      <w:r>
        <w:rPr>
          <w:rFonts w:cs="Arial" w:hint="cs"/>
          <w:rtl/>
        </w:rPr>
        <w:t>,</w:t>
      </w:r>
      <w:r w:rsidRPr="00991E57">
        <w:rPr>
          <w:rFonts w:cs="Arial"/>
          <w:rtl/>
        </w:rPr>
        <w:t xml:space="preserve"> מה הועילו חכמים בתקנתן</w:t>
      </w:r>
      <w:r>
        <w:rPr>
          <w:rFonts w:cs="Arial" w:hint="cs"/>
          <w:rtl/>
        </w:rPr>
        <w:t>, רש"י.</w:t>
      </w:r>
    </w:p>
  </w:footnote>
  <w:footnote w:id="925">
    <w:p w14:paraId="67E3EDD0" w14:textId="77777777" w:rsidR="00FA2119" w:rsidRDefault="00FA2119" w:rsidP="00FA2119">
      <w:pPr>
        <w:pStyle w:val="a5"/>
      </w:pPr>
      <w:r>
        <w:rPr>
          <w:rStyle w:val="a7"/>
        </w:rPr>
        <w:footnoteRef/>
      </w:r>
      <w:r>
        <w:rPr>
          <w:rtl/>
        </w:rPr>
        <w:t xml:space="preserve"> </w:t>
      </w:r>
      <w:r w:rsidRPr="00F95E78">
        <w:rPr>
          <w:rFonts w:cs="Arial"/>
          <w:rtl/>
        </w:rPr>
        <w:t>לרמאות כזה שהוא ניכר ונגלה לא עבידי אינשי דעבדי ולא חשו רבנן להכי</w:t>
      </w:r>
      <w:r>
        <w:rPr>
          <w:rFonts w:cs="Arial" w:hint="cs"/>
          <w:rtl/>
        </w:rPr>
        <w:t>, רש"י.</w:t>
      </w:r>
    </w:p>
  </w:footnote>
  <w:footnote w:id="926">
    <w:p w14:paraId="2E2729A4" w14:textId="77777777" w:rsidR="00FA2119" w:rsidRDefault="00FA2119" w:rsidP="00FA2119">
      <w:pPr>
        <w:pStyle w:val="a5"/>
        <w:rPr>
          <w:rtl/>
        </w:rPr>
      </w:pPr>
      <w:r>
        <w:rPr>
          <w:rStyle w:val="a7"/>
        </w:rPr>
        <w:footnoteRef/>
      </w:r>
      <w:r>
        <w:rPr>
          <w:rtl/>
        </w:rPr>
        <w:t xml:space="preserve"> </w:t>
      </w:r>
      <w:r>
        <w:rPr>
          <w:rFonts w:cs="Arial"/>
          <w:rtl/>
        </w:rPr>
        <w:t>ואיני יודע היאך מכשיר חתך ממנו הזמן דהיינו אין בו זמן וכן השיג עליו הראב"ד</w:t>
      </w:r>
      <w:r>
        <w:rPr>
          <w:rFonts w:hint="cs"/>
          <w:rtl/>
        </w:rPr>
        <w:t>, טור.</w:t>
      </w:r>
    </w:p>
  </w:footnote>
  <w:footnote w:id="927">
    <w:p w14:paraId="2F7553B1" w14:textId="77777777" w:rsidR="00FA2119" w:rsidRDefault="00FA2119" w:rsidP="00FA2119">
      <w:pPr>
        <w:pStyle w:val="a5"/>
        <w:rPr>
          <w:rtl/>
        </w:rPr>
      </w:pPr>
      <w:r>
        <w:rPr>
          <w:rStyle w:val="a7"/>
        </w:rPr>
        <w:footnoteRef/>
      </w:r>
      <w:r>
        <w:rPr>
          <w:rtl/>
        </w:rPr>
        <w:t xml:space="preserve"> </w:t>
      </w:r>
      <w:r>
        <w:rPr>
          <w:rFonts w:hint="cs"/>
          <w:rtl/>
        </w:rPr>
        <w:t>וכתב הב"ש (סקי"ג) דכן דעת הרשב"א והר"ן.</w:t>
      </w:r>
    </w:p>
  </w:footnote>
  <w:footnote w:id="928">
    <w:p w14:paraId="43188258" w14:textId="77777777" w:rsidR="00FA2119" w:rsidRDefault="00FA2119" w:rsidP="00FA2119">
      <w:pPr>
        <w:pStyle w:val="a5"/>
        <w:rPr>
          <w:rtl/>
        </w:rPr>
      </w:pPr>
      <w:r>
        <w:rPr>
          <w:rStyle w:val="a7"/>
        </w:rPr>
        <w:footnoteRef/>
      </w:r>
      <w:r>
        <w:rPr>
          <w:rtl/>
        </w:rPr>
        <w:t xml:space="preserve"> </w:t>
      </w:r>
      <w:r>
        <w:rPr>
          <w:rFonts w:hint="cs"/>
          <w:rtl/>
        </w:rPr>
        <w:t>וכ"כ הטור.</w:t>
      </w:r>
    </w:p>
  </w:footnote>
  <w:footnote w:id="929">
    <w:p w14:paraId="1E4D4A07" w14:textId="77777777" w:rsidR="00FA2119" w:rsidRDefault="00FA2119" w:rsidP="00FA2119">
      <w:pPr>
        <w:pStyle w:val="a5"/>
        <w:rPr>
          <w:rtl/>
        </w:rPr>
      </w:pPr>
      <w:r>
        <w:rPr>
          <w:rStyle w:val="a7"/>
        </w:rPr>
        <w:footnoteRef/>
      </w:r>
      <w:r>
        <w:rPr>
          <w:rtl/>
        </w:rPr>
        <w:t xml:space="preserve"> </w:t>
      </w:r>
      <w:r>
        <w:rPr>
          <w:rFonts w:cs="Arial" w:hint="cs"/>
          <w:rtl/>
        </w:rPr>
        <w:t>ויישבו</w:t>
      </w:r>
      <w:r w:rsidRPr="008B3CA9">
        <w:rPr>
          <w:rFonts w:cs="Arial"/>
          <w:rtl/>
        </w:rPr>
        <w:t xml:space="preserve"> הרשב"א (יז. ד"ה ריש לקיש) והרא"ש (ס"ה) דהיינו דוקא כשנכתב הזמן מאוחר מדעת האשה</w:t>
      </w:r>
      <w:r>
        <w:rPr>
          <w:rFonts w:cs="Arial" w:hint="cs"/>
          <w:rtl/>
        </w:rPr>
        <w:t>,</w:t>
      </w:r>
      <w:r w:rsidRPr="008B3CA9">
        <w:rPr>
          <w:rFonts w:cs="Arial"/>
          <w:rtl/>
        </w:rPr>
        <w:t xml:space="preserve"> אז מחלה פירותיה לבעל עד זמן הכתוב בגט</w:t>
      </w:r>
      <w:r>
        <w:rPr>
          <w:rFonts w:cs="Arial" w:hint="cs"/>
          <w:rtl/>
        </w:rPr>
        <w:t>,</w:t>
      </w:r>
      <w:r w:rsidRPr="008B3CA9">
        <w:rPr>
          <w:rFonts w:cs="Arial"/>
          <w:rtl/>
        </w:rPr>
        <w:t xml:space="preserve"> והגט כשר כדין שטר מאוחר דכשר</w:t>
      </w:r>
      <w:r>
        <w:rPr>
          <w:rFonts w:cs="Arial" w:hint="cs"/>
          <w:rtl/>
        </w:rPr>
        <w:t>.</w:t>
      </w:r>
      <w:r w:rsidRPr="008B3CA9">
        <w:rPr>
          <w:rFonts w:cs="Arial"/>
          <w:rtl/>
        </w:rPr>
        <w:t xml:space="preserve"> ואם נכתב שלא מדעת האשה תראה האשה גיטה בבית דין</w:t>
      </w:r>
      <w:r>
        <w:rPr>
          <w:rFonts w:cs="Arial" w:hint="cs"/>
          <w:rtl/>
        </w:rPr>
        <w:t>,</w:t>
      </w:r>
      <w:r w:rsidRPr="008B3CA9">
        <w:rPr>
          <w:rFonts w:cs="Arial"/>
          <w:rtl/>
        </w:rPr>
        <w:t xml:space="preserve"> ויכתבו לה בית דין שהיום נתגרשה</w:t>
      </w:r>
      <w:r>
        <w:rPr>
          <w:rFonts w:cs="Arial" w:hint="cs"/>
          <w:rtl/>
        </w:rPr>
        <w:t>,</w:t>
      </w:r>
      <w:r w:rsidRPr="008B3CA9">
        <w:rPr>
          <w:rFonts w:cs="Arial"/>
          <w:rtl/>
        </w:rPr>
        <w:t xml:space="preserve"> וזכתה האשה בפירותיה עד שיביא הבעל ראיה שמדעתה נכתב הזמן מאוחר בגט</w:t>
      </w:r>
      <w:r>
        <w:rPr>
          <w:rFonts w:cs="Arial" w:hint="cs"/>
          <w:rtl/>
        </w:rPr>
        <w:t xml:space="preserve">. </w:t>
      </w:r>
      <w:r w:rsidRPr="008B3CA9">
        <w:rPr>
          <w:rFonts w:cs="Arial"/>
          <w:rtl/>
        </w:rPr>
        <w:t>ודברי הרשב"א נוטים לדעת הראב"ד</w:t>
      </w:r>
      <w:r>
        <w:rPr>
          <w:rFonts w:cs="Arial" w:hint="cs"/>
          <w:rtl/>
        </w:rPr>
        <w:t>.</w:t>
      </w:r>
      <w:r>
        <w:rPr>
          <w:rFonts w:cs="Arial"/>
        </w:rPr>
        <w:t xml:space="preserve"> </w:t>
      </w:r>
      <w:r w:rsidRPr="008B3CA9">
        <w:rPr>
          <w:rFonts w:cs="Arial"/>
          <w:rtl/>
        </w:rPr>
        <w:t>אבל הרא"ש כתב ומכל מקום מסתבר להחמיר כדברי ר"י דלא תהא מגורשת בגט מאוחר עד זמן הכתוב בו כדאמרינן בעלמא (ב"ב קלו.) זמנו של שטר מוכיח עליו והוי כאילו כתוב בו מהיום הכא נמי הוי כאילו אמר לה הרי זה גיטך ולא תתגרשי בו עד אותו זמן עכ"ל</w:t>
      </w:r>
      <w:r>
        <w:rPr>
          <w:rFonts w:hint="cs"/>
          <w:rtl/>
        </w:rPr>
        <w:t>, ב"י.</w:t>
      </w:r>
    </w:p>
  </w:footnote>
  <w:footnote w:id="930">
    <w:p w14:paraId="161DC324" w14:textId="7912FFD4" w:rsidR="00FA2119" w:rsidRPr="005D7554" w:rsidRDefault="00FA2119" w:rsidP="00FA2119">
      <w:pPr>
        <w:pStyle w:val="a5"/>
        <w:rPr>
          <w:color w:val="000000" w:themeColor="text1"/>
          <w:rtl/>
        </w:rPr>
      </w:pPr>
      <w:r>
        <w:rPr>
          <w:rStyle w:val="a7"/>
        </w:rPr>
        <w:footnoteRef/>
      </w:r>
      <w:r>
        <w:rPr>
          <w:rtl/>
        </w:rPr>
        <w:t xml:space="preserve"> </w:t>
      </w:r>
      <w:r w:rsidRPr="008B3CA9">
        <w:rPr>
          <w:rFonts w:cs="Arial"/>
          <w:rtl/>
        </w:rPr>
        <w:t xml:space="preserve">וכתב </w:t>
      </w:r>
      <w:r>
        <w:rPr>
          <w:rFonts w:cs="Arial" w:hint="cs"/>
          <w:rtl/>
        </w:rPr>
        <w:t>ה</w:t>
      </w:r>
      <w:r w:rsidRPr="008B3CA9">
        <w:rPr>
          <w:rFonts w:cs="Arial"/>
          <w:rtl/>
        </w:rPr>
        <w:t xml:space="preserve">ר"ן </w:t>
      </w:r>
      <w:r w:rsidRPr="00B67C4C">
        <w:rPr>
          <w:rFonts w:cs="Arial" w:hint="cs"/>
          <w:sz w:val="16"/>
          <w:szCs w:val="16"/>
          <w:rtl/>
        </w:rPr>
        <w:t>(</w:t>
      </w:r>
      <w:r w:rsidRPr="00B67C4C">
        <w:rPr>
          <w:rFonts w:cs="Arial"/>
          <w:sz w:val="16"/>
          <w:szCs w:val="16"/>
          <w:rtl/>
        </w:rPr>
        <w:t>גיט</w:t>
      </w:r>
      <w:r w:rsidRPr="00B67C4C">
        <w:rPr>
          <w:rFonts w:cs="Arial" w:hint="cs"/>
          <w:sz w:val="16"/>
          <w:szCs w:val="16"/>
          <w:rtl/>
        </w:rPr>
        <w:t>י</w:t>
      </w:r>
      <w:r w:rsidRPr="00B67C4C">
        <w:rPr>
          <w:rFonts w:cs="Arial"/>
          <w:sz w:val="16"/>
          <w:szCs w:val="16"/>
          <w:rtl/>
        </w:rPr>
        <w:t>ן ח. ד"ה אבל)</w:t>
      </w:r>
      <w:r>
        <w:rPr>
          <w:rFonts w:cs="Arial" w:hint="cs"/>
          <w:rtl/>
        </w:rPr>
        <w:t xml:space="preserve"> </w:t>
      </w:r>
      <w:r w:rsidRPr="008B3CA9">
        <w:rPr>
          <w:rFonts w:cs="Arial"/>
          <w:rtl/>
        </w:rPr>
        <w:t>דמאי דמשמע בגט פשוט דגט מאוחר כשר</w:t>
      </w:r>
      <w:r>
        <w:rPr>
          <w:rFonts w:cs="Arial" w:hint="cs"/>
          <w:rtl/>
        </w:rPr>
        <w:t>,</w:t>
      </w:r>
      <w:r w:rsidRPr="008B3CA9">
        <w:rPr>
          <w:rFonts w:cs="Arial"/>
          <w:rtl/>
        </w:rPr>
        <w:t xml:space="preserve"> אפשר דהיינו בגט חוב אבל לא בגט אשה</w:t>
      </w:r>
      <w:r>
        <w:rPr>
          <w:rFonts w:cs="Arial" w:hint="cs"/>
          <w:rtl/>
        </w:rPr>
        <w:t>.</w:t>
      </w:r>
      <w:r w:rsidRPr="008B3CA9">
        <w:rPr>
          <w:rFonts w:cs="Arial"/>
          <w:rtl/>
        </w:rPr>
        <w:t xml:space="preserve"> וכן מה </w:t>
      </w:r>
      <w:r w:rsidRPr="005D7554">
        <w:rPr>
          <w:rFonts w:cs="Arial"/>
          <w:color w:val="000000" w:themeColor="text1"/>
          <w:rtl/>
        </w:rPr>
        <w:t>שאמרו בתוספתא (חולין פ"א הי"ג</w:t>
      </w:r>
      <w:r w:rsidRPr="005D7554">
        <w:rPr>
          <w:rFonts w:cs="Arial" w:hint="cs"/>
          <w:color w:val="000000" w:themeColor="text1"/>
          <w:rtl/>
        </w:rPr>
        <w:t xml:space="preserve">, </w:t>
      </w:r>
      <w:r w:rsidR="005D7554">
        <w:rPr>
          <w:rFonts w:cs="Arial" w:hint="cs"/>
          <w:color w:val="000000" w:themeColor="text1"/>
          <w:rtl/>
        </w:rPr>
        <w:t>צל"ע ד</w:t>
      </w:r>
      <w:r w:rsidRPr="005D7554">
        <w:rPr>
          <w:rFonts w:cs="Arial" w:hint="cs"/>
          <w:color w:val="000000" w:themeColor="text1"/>
          <w:rtl/>
        </w:rPr>
        <w:t>לא מצאתי</w:t>
      </w:r>
      <w:r w:rsidR="005D7554">
        <w:rPr>
          <w:rFonts w:cs="Arial" w:hint="cs"/>
          <w:color w:val="000000" w:themeColor="text1"/>
          <w:rtl/>
        </w:rPr>
        <w:t xml:space="preserve"> שם</w:t>
      </w:r>
      <w:r w:rsidRPr="005D7554">
        <w:rPr>
          <w:rFonts w:cs="Arial"/>
          <w:color w:val="000000" w:themeColor="text1"/>
          <w:rtl/>
        </w:rPr>
        <w:t>) דגט מאוחר כשר</w:t>
      </w:r>
      <w:r w:rsidRPr="005D7554">
        <w:rPr>
          <w:rFonts w:cs="Arial" w:hint="cs"/>
          <w:color w:val="000000" w:themeColor="text1"/>
          <w:rtl/>
        </w:rPr>
        <w:t>,</w:t>
      </w:r>
      <w:r w:rsidRPr="005D7554">
        <w:rPr>
          <w:rFonts w:cs="Arial"/>
          <w:color w:val="000000" w:themeColor="text1"/>
          <w:rtl/>
        </w:rPr>
        <w:t xml:space="preserve"> היינו גט חוב</w:t>
      </w:r>
      <w:r w:rsidRPr="005D7554">
        <w:rPr>
          <w:rFonts w:cs="Arial" w:hint="cs"/>
          <w:color w:val="000000" w:themeColor="text1"/>
          <w:rtl/>
        </w:rPr>
        <w:t>,</w:t>
      </w:r>
      <w:r w:rsidRPr="005D7554">
        <w:rPr>
          <w:rFonts w:cs="Arial"/>
          <w:color w:val="000000" w:themeColor="text1"/>
          <w:rtl/>
        </w:rPr>
        <w:t xml:space="preserve"> אבל גט אשה פסול הוא</w:t>
      </w:r>
      <w:r w:rsidRPr="005D7554">
        <w:rPr>
          <w:rFonts w:cs="Arial" w:hint="cs"/>
          <w:color w:val="000000" w:themeColor="text1"/>
          <w:rtl/>
        </w:rPr>
        <w:t>, ב"י.</w:t>
      </w:r>
    </w:p>
  </w:footnote>
  <w:footnote w:id="931">
    <w:p w14:paraId="0ED3F254" w14:textId="77777777" w:rsidR="00FA2119" w:rsidRDefault="00FA2119" w:rsidP="00FA2119">
      <w:pPr>
        <w:pStyle w:val="a5"/>
      </w:pPr>
      <w:r>
        <w:rPr>
          <w:rStyle w:val="a7"/>
        </w:rPr>
        <w:footnoteRef/>
      </w:r>
      <w:r>
        <w:rPr>
          <w:rtl/>
        </w:rPr>
        <w:t xml:space="preserve"> </w:t>
      </w:r>
      <w:r w:rsidRPr="001F5043">
        <w:rPr>
          <w:rFonts w:cs="Arial"/>
          <w:rtl/>
        </w:rPr>
        <w:t>דעת הרשב"א נוט</w:t>
      </w:r>
      <w:r>
        <w:rPr>
          <w:rFonts w:cs="Arial" w:hint="cs"/>
          <w:rtl/>
        </w:rPr>
        <w:t>ה</w:t>
      </w:r>
      <w:r w:rsidRPr="001F5043">
        <w:rPr>
          <w:rFonts w:cs="Arial"/>
          <w:rtl/>
        </w:rPr>
        <w:t xml:space="preserve"> לדברי הראב"ד</w:t>
      </w:r>
      <w:r>
        <w:rPr>
          <w:rFonts w:cs="Arial" w:hint="cs"/>
          <w:rtl/>
        </w:rPr>
        <w:t>,</w:t>
      </w:r>
      <w:r w:rsidRPr="001F5043">
        <w:rPr>
          <w:rFonts w:cs="Arial"/>
          <w:rtl/>
        </w:rPr>
        <w:t xml:space="preserve"> ונ"מ גם כן אם קדשה אחר להראב"ד תופסים בה הקדושין</w:t>
      </w:r>
      <w:r>
        <w:rPr>
          <w:rFonts w:cs="Arial" w:hint="cs"/>
          <w:rtl/>
        </w:rPr>
        <w:t>.</w:t>
      </w:r>
      <w:r w:rsidRPr="001F5043">
        <w:rPr>
          <w:rFonts w:cs="Arial"/>
          <w:rtl/>
        </w:rPr>
        <w:t xml:space="preserve"> וכן משמע מהרא"ש לחומרא</w:t>
      </w:r>
      <w:r>
        <w:rPr>
          <w:rFonts w:cs="Arial" w:hint="cs"/>
          <w:rtl/>
        </w:rPr>
        <w:t>,</w:t>
      </w:r>
      <w:r w:rsidRPr="001F5043">
        <w:rPr>
          <w:rFonts w:cs="Arial"/>
          <w:rtl/>
        </w:rPr>
        <w:t xml:space="preserve"> </w:t>
      </w:r>
      <w:r>
        <w:rPr>
          <w:rFonts w:cs="Arial" w:hint="cs"/>
          <w:rtl/>
        </w:rPr>
        <w:t>ד</w:t>
      </w:r>
      <w:r w:rsidRPr="001F5043">
        <w:rPr>
          <w:rFonts w:cs="Arial"/>
          <w:rtl/>
        </w:rPr>
        <w:t>ס"ל כראב"ד דתופסים בה קידושין של אחר</w:t>
      </w:r>
      <w:r>
        <w:rPr>
          <w:rFonts w:cs="Arial" w:hint="cs"/>
          <w:rtl/>
        </w:rPr>
        <w:t>,</w:t>
      </w:r>
      <w:r w:rsidRPr="001F5043">
        <w:rPr>
          <w:rFonts w:cs="Arial"/>
          <w:rtl/>
        </w:rPr>
        <w:t xml:space="preserve"> ופוסק כתוס' לחומרא ולא לקולא</w:t>
      </w:r>
      <w:r>
        <w:rPr>
          <w:rFonts w:cs="Arial" w:hint="cs"/>
          <w:rtl/>
        </w:rPr>
        <w:t>, ב"ש (סקט"ו).</w:t>
      </w:r>
      <w:r>
        <w:rPr>
          <w:rFonts w:hint="cs"/>
          <w:rtl/>
        </w:rPr>
        <w:t xml:space="preserve"> וכתב עוד הב"ש (סקט"ז) דלפי פירוש הכס"מ בדברי הרמב"ם </w:t>
      </w:r>
      <w:r w:rsidRPr="00A73608">
        <w:rPr>
          <w:rFonts w:cs="Arial"/>
          <w:rtl/>
        </w:rPr>
        <w:t>נשמע גם להרמב"ם הקידושין תופסין בה</w:t>
      </w:r>
      <w:r>
        <w:rPr>
          <w:rFonts w:cs="Arial" w:hint="cs"/>
          <w:rtl/>
        </w:rPr>
        <w:t xml:space="preserve"> </w:t>
      </w:r>
      <w:r w:rsidRPr="00A73608">
        <w:rPr>
          <w:rFonts w:cs="Arial" w:hint="cs"/>
          <w:sz w:val="16"/>
          <w:szCs w:val="16"/>
          <w:rtl/>
        </w:rPr>
        <w:t>{לחומרא</w:t>
      </w:r>
      <w:r>
        <w:rPr>
          <w:rFonts w:cs="Arial" w:hint="cs"/>
          <w:sz w:val="16"/>
          <w:szCs w:val="16"/>
          <w:rtl/>
        </w:rPr>
        <w:t>}</w:t>
      </w:r>
      <w:r>
        <w:rPr>
          <w:rFonts w:cs="Arial" w:hint="cs"/>
          <w:rtl/>
        </w:rPr>
        <w:t>.</w:t>
      </w:r>
    </w:p>
  </w:footnote>
  <w:footnote w:id="932">
    <w:p w14:paraId="74044778" w14:textId="77777777" w:rsidR="00FA2119" w:rsidRDefault="00FA2119" w:rsidP="00FA2119">
      <w:pPr>
        <w:pStyle w:val="a5"/>
        <w:rPr>
          <w:rtl/>
        </w:rPr>
      </w:pPr>
      <w:r>
        <w:rPr>
          <w:rStyle w:val="a7"/>
        </w:rPr>
        <w:footnoteRef/>
      </w:r>
      <w:r>
        <w:rPr>
          <w:rtl/>
        </w:rPr>
        <w:t xml:space="preserve"> </w:t>
      </w:r>
      <w:r w:rsidRPr="008B3CA9">
        <w:rPr>
          <w:rFonts w:cs="Arial"/>
          <w:rtl/>
        </w:rPr>
        <w:t>וא</w:t>
      </w:r>
      <w:r>
        <w:rPr>
          <w:rFonts w:cs="Arial" w:hint="cs"/>
          <w:rtl/>
        </w:rPr>
        <w:t>ע"פ</w:t>
      </w:r>
      <w:r w:rsidRPr="008B3CA9">
        <w:rPr>
          <w:rFonts w:cs="Arial"/>
          <w:rtl/>
        </w:rPr>
        <w:t xml:space="preserve"> שלא נזכר בדברי הספרים גט אלא שטר</w:t>
      </w:r>
      <w:r>
        <w:rPr>
          <w:rFonts w:cs="Arial" w:hint="cs"/>
          <w:rtl/>
        </w:rPr>
        <w:t>,</w:t>
      </w:r>
      <w:r w:rsidRPr="008B3CA9">
        <w:rPr>
          <w:rFonts w:cs="Arial"/>
          <w:rtl/>
        </w:rPr>
        <w:t xml:space="preserve"> מדברי מהר"ר ישראל בכתביו (תרוה"ד פו"כ) סימן י"א משמע דהוא הדין לגט והכי מסתבר</w:t>
      </w:r>
      <w:r>
        <w:rPr>
          <w:rFonts w:cs="Arial" w:hint="cs"/>
          <w:rtl/>
        </w:rPr>
        <w:t>, ב"י.</w:t>
      </w:r>
    </w:p>
  </w:footnote>
  <w:footnote w:id="933">
    <w:p w14:paraId="6336C752" w14:textId="77777777" w:rsidR="00FA2119" w:rsidRDefault="00FA2119" w:rsidP="00FA2119">
      <w:pPr>
        <w:pStyle w:val="a5"/>
      </w:pPr>
      <w:r>
        <w:rPr>
          <w:rStyle w:val="a7"/>
        </w:rPr>
        <w:footnoteRef/>
      </w:r>
      <w:r>
        <w:rPr>
          <w:rtl/>
        </w:rPr>
        <w:t xml:space="preserve"> </w:t>
      </w:r>
      <w:r w:rsidRPr="00CD0F3C">
        <w:rPr>
          <w:rFonts w:cs="Arial"/>
          <w:rtl/>
        </w:rPr>
        <w:t xml:space="preserve">אפי' לא כתב רק פרט האחרון כגון שלשה כשר </w:t>
      </w:r>
      <w:r>
        <w:rPr>
          <w:rFonts w:cs="Arial" w:hint="cs"/>
          <w:rtl/>
        </w:rPr>
        <w:t>[</w:t>
      </w:r>
      <w:r w:rsidRPr="00CD0F3C">
        <w:rPr>
          <w:rFonts w:cs="Arial"/>
          <w:rtl/>
        </w:rPr>
        <w:t>ב"י בח</w:t>
      </w:r>
      <w:r>
        <w:rPr>
          <w:rFonts w:cs="Arial" w:hint="cs"/>
          <w:rtl/>
        </w:rPr>
        <w:t>ו"מ</w:t>
      </w:r>
      <w:r w:rsidRPr="00CD0F3C">
        <w:rPr>
          <w:rFonts w:cs="Arial"/>
          <w:rtl/>
        </w:rPr>
        <w:t xml:space="preserve"> </w:t>
      </w:r>
      <w:r>
        <w:rPr>
          <w:rFonts w:cs="Arial" w:hint="cs"/>
          <w:rtl/>
        </w:rPr>
        <w:t>(</w:t>
      </w:r>
      <w:r w:rsidRPr="00CD0F3C">
        <w:rPr>
          <w:rFonts w:cs="Arial"/>
          <w:rtl/>
        </w:rPr>
        <w:t>סי' מג</w:t>
      </w:r>
      <w:r>
        <w:rPr>
          <w:rFonts w:cs="Arial" w:hint="cs"/>
          <w:rtl/>
        </w:rPr>
        <w:t xml:space="preserve">)], </w:t>
      </w:r>
      <w:r w:rsidRPr="00A23340">
        <w:rPr>
          <w:rFonts w:cs="Arial" w:hint="cs"/>
          <w:b/>
          <w:bCs/>
          <w:rtl/>
        </w:rPr>
        <w:t>ב"ש</w:t>
      </w:r>
      <w:r>
        <w:rPr>
          <w:rFonts w:cs="Arial" w:hint="cs"/>
          <w:rtl/>
        </w:rPr>
        <w:t xml:space="preserve"> (סקי"ח).</w:t>
      </w:r>
      <w:r w:rsidRPr="00A23340">
        <w:rPr>
          <w:rtl/>
        </w:rPr>
        <w:t xml:space="preserve"> </w:t>
      </w:r>
      <w:r w:rsidRPr="00A23340">
        <w:rPr>
          <w:rFonts w:cs="Arial"/>
          <w:rtl/>
        </w:rPr>
        <w:t>ועיין בס' תו"ג שתמה על הב"ש בזה שאין ראיה מדברי הב"י דשאני התם גבי שטר כו' ומסיק דאם לא כתב רק הפרט קטן כגון שכתב ד' לפרט פסול דיש בו חשש חיפוי דב"א ע"ש</w:t>
      </w:r>
      <w:r>
        <w:rPr>
          <w:rFonts w:hint="cs"/>
          <w:rtl/>
        </w:rPr>
        <w:t xml:space="preserve">, </w:t>
      </w:r>
      <w:r w:rsidRPr="00A23340">
        <w:rPr>
          <w:rFonts w:hint="cs"/>
          <w:b/>
          <w:bCs/>
          <w:rtl/>
        </w:rPr>
        <w:t>פת"ש</w:t>
      </w:r>
      <w:r>
        <w:rPr>
          <w:rFonts w:hint="cs"/>
          <w:rtl/>
        </w:rPr>
        <w:t xml:space="preserve"> (סקי"ז).</w:t>
      </w:r>
    </w:p>
  </w:footnote>
  <w:footnote w:id="934">
    <w:p w14:paraId="47897107" w14:textId="77777777" w:rsidR="00FA2119" w:rsidRDefault="00FA2119" w:rsidP="00FA2119">
      <w:pPr>
        <w:pStyle w:val="a5"/>
      </w:pPr>
      <w:r>
        <w:rPr>
          <w:rStyle w:val="a7"/>
        </w:rPr>
        <w:footnoteRef/>
      </w:r>
      <w:r>
        <w:rPr>
          <w:rtl/>
        </w:rPr>
        <w:t xml:space="preserve"> </w:t>
      </w:r>
      <w:r w:rsidRPr="000103F0">
        <w:rPr>
          <w:rFonts w:cs="Arial"/>
          <w:rtl/>
        </w:rPr>
        <w:t xml:space="preserve">ובכתבי מהר"ר ישראל </w:t>
      </w:r>
      <w:r>
        <w:rPr>
          <w:rFonts w:cs="Arial" w:hint="cs"/>
          <w:rtl/>
        </w:rPr>
        <w:t>(</w:t>
      </w:r>
      <w:r w:rsidRPr="000103F0">
        <w:rPr>
          <w:rFonts w:cs="Arial"/>
          <w:rtl/>
        </w:rPr>
        <w:t>סי</w:t>
      </w:r>
      <w:r>
        <w:rPr>
          <w:rFonts w:cs="Arial" w:hint="cs"/>
          <w:rtl/>
        </w:rPr>
        <w:t>'</w:t>
      </w:r>
      <w:r w:rsidRPr="000103F0">
        <w:rPr>
          <w:rFonts w:cs="Arial"/>
          <w:rtl/>
        </w:rPr>
        <w:t xml:space="preserve"> יא</w:t>
      </w:r>
      <w:r>
        <w:rPr>
          <w:rFonts w:cs="Arial" w:hint="cs"/>
          <w:rtl/>
        </w:rPr>
        <w:t>)</w:t>
      </w:r>
      <w:r w:rsidRPr="000103F0">
        <w:rPr>
          <w:rFonts w:cs="Arial"/>
          <w:rtl/>
        </w:rPr>
        <w:t xml:space="preserve"> כתוב לחלק בין דין זה להיכא דכתב לכללא קמא</w:t>
      </w:r>
      <w:r>
        <w:rPr>
          <w:rFonts w:cs="Arial" w:hint="cs"/>
          <w:rtl/>
        </w:rPr>
        <w:t>,</w:t>
      </w:r>
      <w:r w:rsidRPr="000103F0">
        <w:rPr>
          <w:rFonts w:cs="Arial"/>
          <w:rtl/>
        </w:rPr>
        <w:t xml:space="preserve"> ושבק פרטא מציעא</w:t>
      </w:r>
      <w:r>
        <w:rPr>
          <w:rFonts w:cs="Arial" w:hint="cs"/>
          <w:rtl/>
        </w:rPr>
        <w:t>,</w:t>
      </w:r>
      <w:r w:rsidRPr="000103F0">
        <w:rPr>
          <w:rFonts w:cs="Arial"/>
          <w:rtl/>
        </w:rPr>
        <w:t xml:space="preserve"> והדר כתב לפרט בתרא</w:t>
      </w:r>
      <w:r>
        <w:rPr>
          <w:rFonts w:cs="Arial" w:hint="cs"/>
          <w:rtl/>
        </w:rPr>
        <w:t>,</w:t>
      </w:r>
      <w:r w:rsidRPr="000103F0">
        <w:rPr>
          <w:rFonts w:cs="Arial"/>
          <w:rtl/>
        </w:rPr>
        <w:t xml:space="preserve"> דפסול כמו שכתבתי בסמוך</w:t>
      </w:r>
      <w:r>
        <w:rPr>
          <w:rFonts w:cs="Arial" w:hint="cs"/>
          <w:rtl/>
        </w:rPr>
        <w:t>, ב"י.</w:t>
      </w:r>
    </w:p>
  </w:footnote>
  <w:footnote w:id="935">
    <w:p w14:paraId="7EC1E405" w14:textId="77777777" w:rsidR="00FA2119" w:rsidRDefault="00FA2119" w:rsidP="00FA2119">
      <w:pPr>
        <w:pStyle w:val="a5"/>
      </w:pPr>
      <w:r>
        <w:rPr>
          <w:rStyle w:val="a7"/>
        </w:rPr>
        <w:footnoteRef/>
      </w:r>
      <w:r>
        <w:rPr>
          <w:rtl/>
        </w:rPr>
        <w:t xml:space="preserve"> </w:t>
      </w:r>
      <w:r w:rsidRPr="00A23340">
        <w:rPr>
          <w:rFonts w:cs="Arial"/>
          <w:rtl/>
        </w:rPr>
        <w:t>ו</w:t>
      </w:r>
      <w:r>
        <w:rPr>
          <w:rFonts w:cs="Arial" w:hint="cs"/>
          <w:rtl/>
        </w:rPr>
        <w:t xml:space="preserve">כתב הב"י שכן </w:t>
      </w:r>
      <w:r w:rsidRPr="00A23340">
        <w:rPr>
          <w:rFonts w:cs="Arial"/>
          <w:rtl/>
        </w:rPr>
        <w:t>דעת הריב"ש בתשובה</w:t>
      </w:r>
      <w:r>
        <w:rPr>
          <w:rFonts w:cs="Arial" w:hint="cs"/>
          <w:rtl/>
        </w:rPr>
        <w:t>.</w:t>
      </w:r>
    </w:p>
  </w:footnote>
  <w:footnote w:id="936">
    <w:p w14:paraId="6F5582C8" w14:textId="77777777" w:rsidR="00FA2119" w:rsidRDefault="00FA2119" w:rsidP="00FA2119">
      <w:pPr>
        <w:pStyle w:val="a5"/>
      </w:pPr>
      <w:r>
        <w:rPr>
          <w:rStyle w:val="a7"/>
        </w:rPr>
        <w:footnoteRef/>
      </w:r>
      <w:r>
        <w:rPr>
          <w:rtl/>
        </w:rPr>
        <w:t xml:space="preserve"> </w:t>
      </w:r>
      <w:r w:rsidRPr="00A23340">
        <w:rPr>
          <w:rFonts w:cs="Arial"/>
          <w:rtl/>
        </w:rPr>
        <w:t xml:space="preserve">עיין בס' ג"פ </w:t>
      </w:r>
      <w:r>
        <w:rPr>
          <w:rFonts w:cs="Arial" w:hint="cs"/>
          <w:rtl/>
        </w:rPr>
        <w:t>(</w:t>
      </w:r>
      <w:r w:rsidRPr="00A23340">
        <w:rPr>
          <w:rFonts w:cs="Arial"/>
          <w:rtl/>
        </w:rPr>
        <w:t>סקל"ו</w:t>
      </w:r>
      <w:r>
        <w:rPr>
          <w:rFonts w:cs="Arial" w:hint="cs"/>
          <w:rtl/>
        </w:rPr>
        <w:t>)</w:t>
      </w:r>
      <w:r w:rsidRPr="00A23340">
        <w:rPr>
          <w:rFonts w:cs="Arial"/>
          <w:rtl/>
        </w:rPr>
        <w:t xml:space="preserve"> שכ' וז"ל הנה נתבאר דאם דילג הפרט האמצעי של המאות דהוא פסול משום חומרא</w:t>
      </w:r>
      <w:r>
        <w:rPr>
          <w:rFonts w:cs="Arial" w:hint="cs"/>
          <w:rtl/>
        </w:rPr>
        <w:t>,</w:t>
      </w:r>
      <w:r w:rsidRPr="00A23340">
        <w:rPr>
          <w:rFonts w:cs="Arial"/>
          <w:rtl/>
        </w:rPr>
        <w:t xml:space="preserve"> דיש צדדין להקל</w:t>
      </w:r>
      <w:r>
        <w:rPr>
          <w:rFonts w:cs="Arial" w:hint="cs"/>
          <w:rtl/>
        </w:rPr>
        <w:t>,</w:t>
      </w:r>
      <w:r w:rsidRPr="00A23340">
        <w:rPr>
          <w:rFonts w:cs="Arial"/>
          <w:rtl/>
        </w:rPr>
        <w:t xml:space="preserve"> והו"ל ספק פסול</w:t>
      </w:r>
      <w:r>
        <w:rPr>
          <w:rFonts w:cs="Arial" w:hint="cs"/>
          <w:rtl/>
        </w:rPr>
        <w:t>.</w:t>
      </w:r>
      <w:r w:rsidRPr="00A23340">
        <w:rPr>
          <w:rFonts w:cs="Arial"/>
          <w:rtl/>
        </w:rPr>
        <w:t xml:space="preserve"> ולכן יראה דאם יצטרף ספק אחר כגון דגט זה שלחו אותו ע"י שליח דיש פנים וצדדין להכשיר גט מוקדם ע"י שליח אף על גב דהקדים זמנו לכתיבתו משום דאיכא ס"ס כו' אע</w:t>
      </w:r>
      <w:r>
        <w:rPr>
          <w:rFonts w:cs="Arial" w:hint="cs"/>
          <w:rtl/>
        </w:rPr>
        <w:t>"</w:t>
      </w:r>
      <w:r w:rsidRPr="00A23340">
        <w:rPr>
          <w:rFonts w:cs="Arial"/>
          <w:rtl/>
        </w:rPr>
        <w:t>ג דהעליתי להחמיר בחד ספיקא</w:t>
      </w:r>
      <w:r>
        <w:rPr>
          <w:rFonts w:cs="Arial" w:hint="cs"/>
          <w:rtl/>
        </w:rPr>
        <w:t>,</w:t>
      </w:r>
      <w:r w:rsidRPr="00A23340">
        <w:rPr>
          <w:rFonts w:cs="Arial"/>
          <w:rtl/>
        </w:rPr>
        <w:t xml:space="preserve"> אם יצטרפו הנך תרי טעמי</w:t>
      </w:r>
      <w:r>
        <w:rPr>
          <w:rFonts w:cs="Arial" w:hint="cs"/>
          <w:rtl/>
        </w:rPr>
        <w:t xml:space="preserve"> -</w:t>
      </w:r>
      <w:r w:rsidRPr="00A23340">
        <w:rPr>
          <w:rFonts w:cs="Arial"/>
          <w:rtl/>
        </w:rPr>
        <w:t xml:space="preserve"> דעתי נוטה להקל דהו"ל כס"ס במידי דרבנן</w:t>
      </w:r>
      <w:r>
        <w:rPr>
          <w:rFonts w:cs="Arial" w:hint="cs"/>
          <w:rtl/>
        </w:rPr>
        <w:t>,</w:t>
      </w:r>
      <w:r w:rsidRPr="00A23340">
        <w:rPr>
          <w:rFonts w:cs="Arial"/>
          <w:rtl/>
        </w:rPr>
        <w:t xml:space="preserve"> דפיסול דמוקדם הוי מדרבנן ע</w:t>
      </w:r>
      <w:r>
        <w:rPr>
          <w:rFonts w:cs="Arial" w:hint="cs"/>
          <w:rtl/>
        </w:rPr>
        <w:t>כ"ל, פת"ש (סקי"ט).</w:t>
      </w:r>
    </w:p>
  </w:footnote>
  <w:footnote w:id="937">
    <w:p w14:paraId="3E87334F" w14:textId="77777777" w:rsidR="00FA2119" w:rsidRDefault="00FA2119" w:rsidP="00FA2119">
      <w:pPr>
        <w:pStyle w:val="a5"/>
      </w:pPr>
      <w:r>
        <w:rPr>
          <w:rStyle w:val="a7"/>
        </w:rPr>
        <w:footnoteRef/>
      </w:r>
      <w:r>
        <w:rPr>
          <w:rtl/>
        </w:rPr>
        <w:t xml:space="preserve"> </w:t>
      </w:r>
      <w:r w:rsidRPr="00A23340">
        <w:rPr>
          <w:rFonts w:cs="Arial"/>
          <w:rtl/>
        </w:rPr>
        <w:t>כ' בס' ג"פ דמרן סבור דאע"ג דבעלמא בגט פסול דרבנן קיי"ל דמצריכין לה גט כשר כו' היינו היכא דהוא פסול בודאי</w:t>
      </w:r>
      <w:r>
        <w:rPr>
          <w:rFonts w:cs="Arial" w:hint="cs"/>
          <w:rtl/>
        </w:rPr>
        <w:t>,</w:t>
      </w:r>
      <w:r w:rsidRPr="00A23340">
        <w:rPr>
          <w:rFonts w:cs="Arial"/>
          <w:rtl/>
        </w:rPr>
        <w:t xml:space="preserve"> אבל הכא דיש צדדין להקל דלא מיפסל</w:t>
      </w:r>
      <w:r>
        <w:rPr>
          <w:rFonts w:cs="Arial" w:hint="cs"/>
          <w:rtl/>
        </w:rPr>
        <w:t>,</w:t>
      </w:r>
      <w:r w:rsidRPr="00A23340">
        <w:rPr>
          <w:rFonts w:cs="Arial"/>
          <w:rtl/>
        </w:rPr>
        <w:t xml:space="preserve"> דיינו שנפסוק להחמיר דלא תנשא</w:t>
      </w:r>
      <w:r>
        <w:rPr>
          <w:rFonts w:cs="Arial" w:hint="cs"/>
          <w:rtl/>
        </w:rPr>
        <w:t>,</w:t>
      </w:r>
      <w:r w:rsidRPr="00A23340">
        <w:rPr>
          <w:rFonts w:cs="Arial"/>
          <w:rtl/>
        </w:rPr>
        <w:t xml:space="preserve"> אבל אם נשאת נראה לי שהיא חומרא להצריכה גט אחר</w:t>
      </w:r>
      <w:r>
        <w:rPr>
          <w:rFonts w:cs="Arial" w:hint="cs"/>
          <w:rtl/>
        </w:rPr>
        <w:t>,</w:t>
      </w:r>
      <w:r w:rsidRPr="00A23340">
        <w:rPr>
          <w:rFonts w:cs="Arial"/>
          <w:rtl/>
        </w:rPr>
        <w:t xml:space="preserve"> לכן כתבה בשם יש מי שאומר כלומר דלי</w:t>
      </w:r>
      <w:r>
        <w:rPr>
          <w:rFonts w:cs="Arial" w:hint="cs"/>
          <w:rtl/>
        </w:rPr>
        <w:t>ה</w:t>
      </w:r>
      <w:r w:rsidRPr="00A23340">
        <w:rPr>
          <w:rFonts w:cs="Arial"/>
          <w:rtl/>
        </w:rPr>
        <w:t xml:space="preserve"> לא ס"ל הכי ע"ש</w:t>
      </w:r>
      <w:r>
        <w:rPr>
          <w:rFonts w:cs="Arial" w:hint="cs"/>
          <w:rtl/>
        </w:rPr>
        <w:t xml:space="preserve">, </w:t>
      </w:r>
      <w:r w:rsidRPr="00133C49">
        <w:rPr>
          <w:rFonts w:cs="Arial" w:hint="cs"/>
          <w:b/>
          <w:bCs/>
          <w:rtl/>
        </w:rPr>
        <w:t>פת"ש</w:t>
      </w:r>
      <w:r>
        <w:rPr>
          <w:rFonts w:cs="Arial" w:hint="cs"/>
          <w:rtl/>
        </w:rPr>
        <w:t xml:space="preserve"> (סק"כ).</w:t>
      </w:r>
      <w:r>
        <w:rPr>
          <w:rFonts w:hint="cs"/>
          <w:rtl/>
        </w:rPr>
        <w:t xml:space="preserve"> וגם </w:t>
      </w:r>
      <w:r w:rsidRPr="00133C49">
        <w:rPr>
          <w:rFonts w:hint="cs"/>
          <w:b/>
          <w:bCs/>
          <w:rtl/>
        </w:rPr>
        <w:t>הב"ש</w:t>
      </w:r>
      <w:r>
        <w:rPr>
          <w:rFonts w:hint="cs"/>
          <w:rtl/>
        </w:rPr>
        <w:t xml:space="preserve"> (סקכ"ב) </w:t>
      </w:r>
      <w:r>
        <w:rPr>
          <w:rFonts w:cs="Arial" w:hint="cs"/>
          <w:rtl/>
        </w:rPr>
        <w:t xml:space="preserve">כתב דכאן </w:t>
      </w:r>
      <w:r w:rsidRPr="00266F86">
        <w:rPr>
          <w:rFonts w:cs="Arial" w:hint="cs"/>
          <w:rtl/>
        </w:rPr>
        <w:t>משמע</w:t>
      </w:r>
      <w:r w:rsidRPr="00266F86">
        <w:rPr>
          <w:rFonts w:cs="Arial"/>
          <w:rtl/>
        </w:rPr>
        <w:t xml:space="preserve"> </w:t>
      </w:r>
      <w:r w:rsidRPr="00266F86">
        <w:rPr>
          <w:rFonts w:cs="Arial" w:hint="cs"/>
          <w:rtl/>
        </w:rPr>
        <w:t>לדיעה</w:t>
      </w:r>
      <w:r w:rsidRPr="00266F86">
        <w:rPr>
          <w:rFonts w:cs="Arial"/>
          <w:rtl/>
        </w:rPr>
        <w:t xml:space="preserve"> </w:t>
      </w:r>
      <w:r w:rsidRPr="00266F86">
        <w:rPr>
          <w:rFonts w:cs="Arial" w:hint="cs"/>
          <w:rtl/>
        </w:rPr>
        <w:t>קמייתא</w:t>
      </w:r>
      <w:r w:rsidRPr="00266F86">
        <w:rPr>
          <w:rFonts w:cs="Arial"/>
          <w:rtl/>
        </w:rPr>
        <w:t xml:space="preserve"> </w:t>
      </w:r>
      <w:r w:rsidRPr="00266F86">
        <w:rPr>
          <w:rFonts w:cs="Arial" w:hint="cs"/>
          <w:rtl/>
        </w:rPr>
        <w:t>א</w:t>
      </w:r>
      <w:r w:rsidRPr="00266F86">
        <w:rPr>
          <w:rFonts w:cs="Arial"/>
          <w:rtl/>
        </w:rPr>
        <w:t>"</w:t>
      </w:r>
      <w:r w:rsidRPr="00266F86">
        <w:rPr>
          <w:rFonts w:cs="Arial" w:hint="cs"/>
          <w:rtl/>
        </w:rPr>
        <w:t>צ</w:t>
      </w:r>
      <w:r w:rsidRPr="00266F86">
        <w:rPr>
          <w:rFonts w:cs="Arial"/>
          <w:rtl/>
        </w:rPr>
        <w:t xml:space="preserve"> </w:t>
      </w:r>
      <w:r w:rsidRPr="00266F86">
        <w:rPr>
          <w:rFonts w:cs="Arial" w:hint="cs"/>
          <w:rtl/>
        </w:rPr>
        <w:t>גט</w:t>
      </w:r>
      <w:r w:rsidRPr="00266F86">
        <w:rPr>
          <w:rFonts w:cs="Arial"/>
          <w:rtl/>
        </w:rPr>
        <w:t xml:space="preserve"> </w:t>
      </w:r>
      <w:r w:rsidRPr="00266F86">
        <w:rPr>
          <w:rFonts w:cs="Arial" w:hint="cs"/>
          <w:rtl/>
        </w:rPr>
        <w:t>אחר</w:t>
      </w:r>
      <w:r>
        <w:rPr>
          <w:rFonts w:cs="Arial" w:hint="cs"/>
          <w:rtl/>
        </w:rPr>
        <w:t>,</w:t>
      </w:r>
      <w:r w:rsidRPr="00266F86">
        <w:rPr>
          <w:rFonts w:cs="Arial"/>
          <w:rtl/>
        </w:rPr>
        <w:t xml:space="preserve"> </w:t>
      </w:r>
      <w:r w:rsidRPr="00266F86">
        <w:rPr>
          <w:rFonts w:cs="Arial" w:hint="cs"/>
          <w:rtl/>
        </w:rPr>
        <w:t>ולא</w:t>
      </w:r>
      <w:r w:rsidRPr="00266F86">
        <w:rPr>
          <w:rFonts w:cs="Arial"/>
          <w:rtl/>
        </w:rPr>
        <w:t xml:space="preserve"> </w:t>
      </w:r>
      <w:r w:rsidRPr="00266F86">
        <w:rPr>
          <w:rFonts w:cs="Arial" w:hint="cs"/>
          <w:rtl/>
        </w:rPr>
        <w:t>נמצא</w:t>
      </w:r>
      <w:r w:rsidRPr="00266F86">
        <w:rPr>
          <w:rFonts w:cs="Arial"/>
          <w:rtl/>
        </w:rPr>
        <w:t xml:space="preserve"> </w:t>
      </w:r>
      <w:r w:rsidRPr="00266F86">
        <w:rPr>
          <w:rFonts w:cs="Arial" w:hint="cs"/>
          <w:rtl/>
        </w:rPr>
        <w:t>דעה</w:t>
      </w:r>
      <w:r w:rsidRPr="00266F86">
        <w:rPr>
          <w:rFonts w:cs="Arial"/>
          <w:rtl/>
        </w:rPr>
        <w:t xml:space="preserve"> </w:t>
      </w:r>
      <w:r w:rsidRPr="00266F86">
        <w:rPr>
          <w:rFonts w:cs="Arial" w:hint="cs"/>
          <w:rtl/>
        </w:rPr>
        <w:t>זו</w:t>
      </w:r>
      <w:r w:rsidRPr="00266F86">
        <w:rPr>
          <w:rFonts w:cs="Arial"/>
          <w:rtl/>
        </w:rPr>
        <w:t xml:space="preserve"> </w:t>
      </w:r>
      <w:r w:rsidRPr="00266F86">
        <w:rPr>
          <w:rFonts w:cs="Arial" w:hint="cs"/>
          <w:rtl/>
        </w:rPr>
        <w:t>מפורש</w:t>
      </w:r>
      <w:r>
        <w:rPr>
          <w:rFonts w:cs="Arial" w:hint="cs"/>
          <w:rtl/>
        </w:rPr>
        <w:t>,</w:t>
      </w:r>
      <w:r w:rsidRPr="00266F86">
        <w:rPr>
          <w:rFonts w:cs="Arial"/>
          <w:rtl/>
        </w:rPr>
        <w:t xml:space="preserve"> </w:t>
      </w:r>
      <w:r w:rsidRPr="00266F86">
        <w:rPr>
          <w:rFonts w:cs="Arial" w:hint="cs"/>
          <w:rtl/>
        </w:rPr>
        <w:t>ואפשר</w:t>
      </w:r>
      <w:r w:rsidRPr="00266F86">
        <w:rPr>
          <w:rFonts w:cs="Arial"/>
          <w:rtl/>
        </w:rPr>
        <w:t xml:space="preserve"> </w:t>
      </w:r>
      <w:r w:rsidRPr="00266F86">
        <w:rPr>
          <w:rFonts w:cs="Arial" w:hint="cs"/>
          <w:rtl/>
        </w:rPr>
        <w:t>מסברא</w:t>
      </w:r>
      <w:r w:rsidRPr="00266F86">
        <w:rPr>
          <w:rFonts w:cs="Arial"/>
          <w:rtl/>
        </w:rPr>
        <w:t xml:space="preserve"> </w:t>
      </w:r>
      <w:r w:rsidRPr="00266F86">
        <w:rPr>
          <w:rFonts w:cs="Arial" w:hint="cs"/>
          <w:rtl/>
        </w:rPr>
        <w:t>כ</w:t>
      </w:r>
      <w:r w:rsidRPr="00266F86">
        <w:rPr>
          <w:rFonts w:cs="Arial"/>
          <w:rtl/>
        </w:rPr>
        <w:t>"</w:t>
      </w:r>
      <w:r w:rsidRPr="00266F86">
        <w:rPr>
          <w:rFonts w:cs="Arial" w:hint="cs"/>
          <w:rtl/>
        </w:rPr>
        <w:t>כ</w:t>
      </w:r>
      <w:r w:rsidRPr="00266F86">
        <w:rPr>
          <w:rFonts w:cs="Arial"/>
          <w:rtl/>
        </w:rPr>
        <w:t xml:space="preserve"> </w:t>
      </w:r>
      <w:r w:rsidRPr="00266F86">
        <w:rPr>
          <w:rFonts w:cs="Arial" w:hint="cs"/>
          <w:rtl/>
        </w:rPr>
        <w:t>הואיל</w:t>
      </w:r>
      <w:r w:rsidRPr="00266F86">
        <w:rPr>
          <w:rFonts w:cs="Arial"/>
          <w:rtl/>
        </w:rPr>
        <w:t xml:space="preserve"> </w:t>
      </w:r>
      <w:r w:rsidRPr="00266F86">
        <w:rPr>
          <w:rFonts w:cs="Arial" w:hint="cs"/>
          <w:rtl/>
        </w:rPr>
        <w:t>דדומה</w:t>
      </w:r>
      <w:r w:rsidRPr="00266F86">
        <w:rPr>
          <w:rFonts w:cs="Arial"/>
          <w:rtl/>
        </w:rPr>
        <w:t xml:space="preserve"> </w:t>
      </w:r>
      <w:r w:rsidRPr="00266F86">
        <w:rPr>
          <w:rFonts w:cs="Arial" w:hint="cs"/>
          <w:rtl/>
        </w:rPr>
        <w:t>קצת</w:t>
      </w:r>
      <w:r w:rsidRPr="00266F86">
        <w:rPr>
          <w:rFonts w:cs="Arial"/>
          <w:rtl/>
        </w:rPr>
        <w:t xml:space="preserve"> </w:t>
      </w:r>
      <w:r w:rsidRPr="00266F86">
        <w:rPr>
          <w:rFonts w:cs="Arial" w:hint="cs"/>
          <w:rtl/>
        </w:rPr>
        <w:t>למוכח</w:t>
      </w:r>
      <w:r w:rsidRPr="00266F86">
        <w:rPr>
          <w:rFonts w:cs="Arial"/>
          <w:rtl/>
        </w:rPr>
        <w:t xml:space="preserve"> </w:t>
      </w:r>
      <w:r w:rsidRPr="00266F86">
        <w:rPr>
          <w:rFonts w:cs="Arial" w:hint="cs"/>
          <w:rtl/>
        </w:rPr>
        <w:t>מתוכו</w:t>
      </w:r>
      <w:r>
        <w:rPr>
          <w:rFonts w:cs="Arial" w:hint="cs"/>
          <w:rtl/>
        </w:rPr>
        <w:t>.</w:t>
      </w:r>
      <w:r w:rsidRPr="00266F86">
        <w:rPr>
          <w:rFonts w:cs="Arial"/>
          <w:rtl/>
        </w:rPr>
        <w:t xml:space="preserve"> </w:t>
      </w:r>
      <w:r w:rsidRPr="00266F86">
        <w:rPr>
          <w:rFonts w:cs="Arial" w:hint="cs"/>
          <w:rtl/>
        </w:rPr>
        <w:t>ועיין</w:t>
      </w:r>
      <w:r w:rsidRPr="00266F86">
        <w:rPr>
          <w:rFonts w:cs="Arial"/>
          <w:rtl/>
        </w:rPr>
        <w:t xml:space="preserve"> </w:t>
      </w:r>
      <w:r w:rsidRPr="00266F86">
        <w:rPr>
          <w:rFonts w:cs="Arial" w:hint="cs"/>
          <w:rtl/>
        </w:rPr>
        <w:t>בתשו</w:t>
      </w:r>
      <w:r w:rsidRPr="00266F86">
        <w:rPr>
          <w:rFonts w:cs="Arial"/>
          <w:rtl/>
        </w:rPr>
        <w:t xml:space="preserve">' </w:t>
      </w:r>
      <w:r w:rsidRPr="00266F86">
        <w:rPr>
          <w:rFonts w:cs="Arial" w:hint="cs"/>
          <w:rtl/>
        </w:rPr>
        <w:t>מהר</w:t>
      </w:r>
      <w:r w:rsidRPr="00266F86">
        <w:rPr>
          <w:rFonts w:cs="Arial"/>
          <w:rtl/>
        </w:rPr>
        <w:t>"</w:t>
      </w:r>
      <w:r w:rsidRPr="00266F86">
        <w:rPr>
          <w:rFonts w:cs="Arial" w:hint="cs"/>
          <w:rtl/>
        </w:rPr>
        <w:t>מ</w:t>
      </w:r>
      <w:r w:rsidRPr="00266F86">
        <w:rPr>
          <w:rFonts w:cs="Arial"/>
          <w:rtl/>
        </w:rPr>
        <w:t xml:space="preserve"> </w:t>
      </w:r>
      <w:r w:rsidRPr="00266F86">
        <w:rPr>
          <w:rFonts w:cs="Arial" w:hint="cs"/>
          <w:rtl/>
        </w:rPr>
        <w:t>מינץ</w:t>
      </w:r>
      <w:r w:rsidRPr="00266F86">
        <w:rPr>
          <w:rFonts w:cs="Arial"/>
          <w:rtl/>
        </w:rPr>
        <w:t xml:space="preserve"> </w:t>
      </w:r>
      <w:r w:rsidRPr="00266F86">
        <w:rPr>
          <w:rFonts w:cs="Arial" w:hint="cs"/>
          <w:rtl/>
        </w:rPr>
        <w:t>שם</w:t>
      </w:r>
      <w:r w:rsidRPr="00266F86">
        <w:rPr>
          <w:rFonts w:cs="Arial"/>
          <w:rtl/>
        </w:rPr>
        <w:t xml:space="preserve"> </w:t>
      </w:r>
      <w:r w:rsidRPr="00266F86">
        <w:rPr>
          <w:rFonts w:cs="Arial" w:hint="cs"/>
          <w:rtl/>
        </w:rPr>
        <w:t>כתב</w:t>
      </w:r>
      <w:r w:rsidRPr="00266F86">
        <w:rPr>
          <w:rFonts w:cs="Arial"/>
          <w:rtl/>
        </w:rPr>
        <w:t xml:space="preserve"> </w:t>
      </w:r>
      <w:r w:rsidRPr="00266F86">
        <w:rPr>
          <w:rFonts w:cs="Arial" w:hint="cs"/>
          <w:rtl/>
        </w:rPr>
        <w:t>ג</w:t>
      </w:r>
      <w:r w:rsidRPr="00266F86">
        <w:rPr>
          <w:rFonts w:cs="Arial"/>
          <w:rtl/>
        </w:rPr>
        <w:t>"</w:t>
      </w:r>
      <w:r w:rsidRPr="00266F86">
        <w:rPr>
          <w:rFonts w:cs="Arial" w:hint="cs"/>
          <w:rtl/>
        </w:rPr>
        <w:t>כ</w:t>
      </w:r>
      <w:r w:rsidRPr="00266F86">
        <w:rPr>
          <w:rFonts w:cs="Arial"/>
          <w:rtl/>
        </w:rPr>
        <w:t xml:space="preserve"> </w:t>
      </w:r>
      <w:r w:rsidRPr="00266F86">
        <w:rPr>
          <w:rFonts w:cs="Arial" w:hint="cs"/>
          <w:rtl/>
        </w:rPr>
        <w:t>דכשר</w:t>
      </w:r>
      <w:r w:rsidRPr="00266F86">
        <w:rPr>
          <w:rFonts w:cs="Arial"/>
          <w:rtl/>
        </w:rPr>
        <w:t xml:space="preserve"> </w:t>
      </w:r>
      <w:r w:rsidRPr="00266F86">
        <w:rPr>
          <w:rFonts w:cs="Arial" w:hint="cs"/>
          <w:rtl/>
        </w:rPr>
        <w:t>בלא</w:t>
      </w:r>
      <w:r w:rsidRPr="00266F86">
        <w:rPr>
          <w:rFonts w:cs="Arial"/>
          <w:rtl/>
        </w:rPr>
        <w:t xml:space="preserve"> </w:t>
      </w:r>
      <w:r w:rsidRPr="00266F86">
        <w:rPr>
          <w:rFonts w:cs="Arial" w:hint="cs"/>
          <w:rtl/>
        </w:rPr>
        <w:t>גט</w:t>
      </w:r>
      <w:r w:rsidRPr="00266F86">
        <w:rPr>
          <w:rFonts w:cs="Arial"/>
          <w:rtl/>
        </w:rPr>
        <w:t xml:space="preserve"> </w:t>
      </w:r>
      <w:r w:rsidRPr="00266F86">
        <w:rPr>
          <w:rFonts w:cs="Arial" w:hint="cs"/>
          <w:rtl/>
        </w:rPr>
        <w:t>אחר</w:t>
      </w:r>
      <w:r>
        <w:rPr>
          <w:rFonts w:hint="cs"/>
          <w:rtl/>
        </w:rPr>
        <w:t>.</w:t>
      </w:r>
    </w:p>
  </w:footnote>
  <w:footnote w:id="938">
    <w:p w14:paraId="63C832E4" w14:textId="77777777" w:rsidR="00FA2119" w:rsidRDefault="00FA2119" w:rsidP="00FA2119">
      <w:pPr>
        <w:pStyle w:val="a5"/>
      </w:pPr>
      <w:r>
        <w:rPr>
          <w:rStyle w:val="a7"/>
        </w:rPr>
        <w:footnoteRef/>
      </w:r>
      <w:r>
        <w:rPr>
          <w:rtl/>
        </w:rPr>
        <w:t xml:space="preserve"> </w:t>
      </w:r>
      <w:r w:rsidRPr="00EF013D">
        <w:rPr>
          <w:rFonts w:cs="Arial"/>
          <w:rtl/>
        </w:rPr>
        <w:t>מפרש בבבא בתרא (סח</w:t>
      </w:r>
      <w:r>
        <w:rPr>
          <w:rFonts w:cs="Arial" w:hint="cs"/>
          <w:rtl/>
        </w:rPr>
        <w:t>.</w:t>
      </w:r>
      <w:r w:rsidRPr="00EF013D">
        <w:rPr>
          <w:rFonts w:cs="Arial"/>
          <w:rtl/>
        </w:rPr>
        <w:t xml:space="preserve">) </w:t>
      </w:r>
      <w:r>
        <w:rPr>
          <w:rFonts w:cs="Arial" w:hint="cs"/>
          <w:rtl/>
        </w:rPr>
        <w:t>'</w:t>
      </w:r>
      <w:r w:rsidRPr="00EF013D">
        <w:rPr>
          <w:rFonts w:cs="Arial"/>
          <w:rtl/>
        </w:rPr>
        <w:t>בר מחווניא</w:t>
      </w:r>
      <w:r>
        <w:rPr>
          <w:rFonts w:cs="Arial" w:hint="cs"/>
          <w:rtl/>
        </w:rPr>
        <w:t>' -</w:t>
      </w:r>
      <w:r w:rsidRPr="00EF013D">
        <w:rPr>
          <w:rFonts w:cs="Arial"/>
          <w:rtl/>
        </w:rPr>
        <w:t xml:space="preserve"> זקן הממונה להיות בקי בנחלת גבול שדה כל איש ואיש</w:t>
      </w:r>
      <w:r>
        <w:rPr>
          <w:rFonts w:cs="Arial" w:hint="cs"/>
          <w:rtl/>
        </w:rPr>
        <w:t>, רש"י.</w:t>
      </w:r>
    </w:p>
  </w:footnote>
  <w:footnote w:id="939">
    <w:p w14:paraId="125542D3" w14:textId="77777777" w:rsidR="00FA2119" w:rsidRDefault="00FA2119" w:rsidP="00FA2119">
      <w:pPr>
        <w:pStyle w:val="a5"/>
      </w:pPr>
      <w:r>
        <w:rPr>
          <w:rStyle w:val="a7"/>
        </w:rPr>
        <w:footnoteRef/>
      </w:r>
      <w:r>
        <w:rPr>
          <w:rtl/>
        </w:rPr>
        <w:t xml:space="preserve"> </w:t>
      </w:r>
      <w:r w:rsidRPr="008C6CAB">
        <w:rPr>
          <w:rFonts w:cs="Arial"/>
          <w:rtl/>
        </w:rPr>
        <w:t>אשלום מלכות קאי</w:t>
      </w:r>
      <w:r>
        <w:rPr>
          <w:rFonts w:cs="Arial" w:hint="cs"/>
          <w:rtl/>
        </w:rPr>
        <w:t>, רש"י. אך ר"ת (בתוס' פ: ד"ה זו) ה</w:t>
      </w:r>
      <w:r w:rsidRPr="00904162">
        <w:rPr>
          <w:rFonts w:cs="Arial"/>
          <w:rtl/>
        </w:rPr>
        <w:t>קשה דא"כ פליגי אדרב יהודה אמר שמואל דלעיל</w:t>
      </w:r>
      <w:r>
        <w:rPr>
          <w:rFonts w:cs="Arial" w:hint="cs"/>
          <w:rtl/>
        </w:rPr>
        <w:t>...</w:t>
      </w:r>
      <w:r w:rsidRPr="00904162">
        <w:rPr>
          <w:rFonts w:cs="Arial"/>
          <w:rtl/>
        </w:rPr>
        <w:t xml:space="preserve"> </w:t>
      </w:r>
      <w:r>
        <w:rPr>
          <w:rFonts w:cs="Arial" w:hint="cs"/>
          <w:rtl/>
        </w:rPr>
        <w:t>ו</w:t>
      </w:r>
      <w:r w:rsidRPr="00904162">
        <w:rPr>
          <w:rFonts w:cs="Arial"/>
          <w:rtl/>
        </w:rPr>
        <w:t>א"כ היאך אנו כותבין בגיטין לבריאת עולם הא קיי"ל כרב באיסורי ולדידיה אסור לגרש בו לכתחילה</w:t>
      </w:r>
      <w:r>
        <w:rPr>
          <w:rFonts w:cs="Arial" w:hint="cs"/>
          <w:rtl/>
        </w:rPr>
        <w:t>...</w:t>
      </w:r>
      <w:r w:rsidRPr="00904162">
        <w:rPr>
          <w:rFonts w:cs="Arial"/>
          <w:rtl/>
        </w:rPr>
        <w:t xml:space="preserve"> </w:t>
      </w:r>
      <w:r>
        <w:rPr>
          <w:rFonts w:cs="Arial" w:hint="cs"/>
          <w:sz w:val="16"/>
          <w:szCs w:val="16"/>
          <w:rtl/>
        </w:rPr>
        <w:t>{ולכן}</w:t>
      </w:r>
      <w:r>
        <w:rPr>
          <w:rFonts w:cs="Arial" w:hint="cs"/>
          <w:rtl/>
        </w:rPr>
        <w:t xml:space="preserve"> מ</w:t>
      </w:r>
      <w:r w:rsidRPr="0038228A">
        <w:rPr>
          <w:rFonts w:cs="Arial"/>
          <w:rtl/>
        </w:rPr>
        <w:t>פרש דלאו אשלום מלכות קאי זו דברי ר"מ אלא אהיה במזרח וכתב במערב</w:t>
      </w:r>
      <w:r>
        <w:rPr>
          <w:rFonts w:cs="Arial" w:hint="cs"/>
          <w:sz w:val="16"/>
          <w:szCs w:val="16"/>
          <w:rtl/>
        </w:rPr>
        <w:t xml:space="preserve"> [עכ"ל התוס' בשמו]</w:t>
      </w:r>
      <w:r>
        <w:rPr>
          <w:rFonts w:cs="Arial" w:hint="cs"/>
          <w:rtl/>
        </w:rPr>
        <w:t>. וכתב הב"י דלפי</w:t>
      </w:r>
      <w:r>
        <w:rPr>
          <w:rFonts w:cs="Arial"/>
          <w:rtl/>
        </w:rPr>
        <w:t xml:space="preserve"> </w:t>
      </w:r>
      <w:r>
        <w:rPr>
          <w:rFonts w:cs="Arial" w:hint="cs"/>
          <w:rtl/>
        </w:rPr>
        <w:t>זה</w:t>
      </w:r>
      <w:r>
        <w:rPr>
          <w:rFonts w:cs="Arial"/>
          <w:rtl/>
        </w:rPr>
        <w:t xml:space="preserve"> </w:t>
      </w:r>
      <w:r>
        <w:rPr>
          <w:rFonts w:cs="Arial" w:hint="cs"/>
          <w:rtl/>
        </w:rPr>
        <w:t>קיי"ל</w:t>
      </w:r>
      <w:r>
        <w:rPr>
          <w:rFonts w:cs="Arial"/>
          <w:rtl/>
        </w:rPr>
        <w:t xml:space="preserve"> </w:t>
      </w:r>
      <w:r>
        <w:rPr>
          <w:rFonts w:cs="Arial" w:hint="cs"/>
          <w:rtl/>
        </w:rPr>
        <w:t>כרבנן</w:t>
      </w:r>
      <w:r>
        <w:rPr>
          <w:rFonts w:cs="Arial"/>
          <w:rtl/>
        </w:rPr>
        <w:t xml:space="preserve"> </w:t>
      </w:r>
      <w:r>
        <w:rPr>
          <w:rFonts w:cs="Arial" w:hint="cs"/>
          <w:rtl/>
        </w:rPr>
        <w:t>דאמרי</w:t>
      </w:r>
      <w:r>
        <w:rPr>
          <w:rFonts w:cs="Arial"/>
          <w:rtl/>
        </w:rPr>
        <w:t xml:space="preserve"> </w:t>
      </w:r>
      <w:r>
        <w:rPr>
          <w:rFonts w:cs="Arial" w:hint="cs"/>
          <w:rtl/>
        </w:rPr>
        <w:t>הולד</w:t>
      </w:r>
      <w:r>
        <w:rPr>
          <w:rFonts w:cs="Arial"/>
          <w:rtl/>
        </w:rPr>
        <w:t xml:space="preserve"> </w:t>
      </w:r>
      <w:r>
        <w:rPr>
          <w:rFonts w:cs="Arial" w:hint="cs"/>
          <w:rtl/>
        </w:rPr>
        <w:t>כשר</w:t>
      </w:r>
      <w:r>
        <w:rPr>
          <w:rFonts w:cs="Arial"/>
          <w:rtl/>
        </w:rPr>
        <w:t xml:space="preserve"> </w:t>
      </w:r>
      <w:r>
        <w:rPr>
          <w:rFonts w:cs="Arial" w:hint="cs"/>
          <w:rtl/>
        </w:rPr>
        <w:t>כלומר</w:t>
      </w:r>
      <w:r>
        <w:rPr>
          <w:rFonts w:cs="Arial"/>
          <w:rtl/>
        </w:rPr>
        <w:t xml:space="preserve"> </w:t>
      </w:r>
      <w:r>
        <w:rPr>
          <w:rFonts w:cs="Arial" w:hint="cs"/>
          <w:rtl/>
        </w:rPr>
        <w:t>ולכתחלה</w:t>
      </w:r>
      <w:r>
        <w:rPr>
          <w:rFonts w:cs="Arial"/>
          <w:rtl/>
        </w:rPr>
        <w:t xml:space="preserve"> </w:t>
      </w:r>
      <w:r>
        <w:rPr>
          <w:rFonts w:cs="Arial" w:hint="cs"/>
          <w:rtl/>
        </w:rPr>
        <w:t>לא</w:t>
      </w:r>
      <w:r>
        <w:rPr>
          <w:rFonts w:cs="Arial"/>
          <w:rtl/>
        </w:rPr>
        <w:t xml:space="preserve"> </w:t>
      </w:r>
      <w:r>
        <w:rPr>
          <w:rFonts w:cs="Arial" w:hint="cs"/>
          <w:rtl/>
        </w:rPr>
        <w:t>תנשא.</w:t>
      </w:r>
    </w:p>
  </w:footnote>
  <w:footnote w:id="940">
    <w:p w14:paraId="6BF16500" w14:textId="57174599" w:rsidR="00FA2119" w:rsidRDefault="00FA2119" w:rsidP="00FA2119">
      <w:pPr>
        <w:pStyle w:val="a5"/>
        <w:rPr>
          <w:rtl/>
        </w:rPr>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גט</w:t>
      </w:r>
      <w:r>
        <w:rPr>
          <w:rFonts w:cs="Arial"/>
          <w:rtl/>
        </w:rPr>
        <w:t xml:space="preserve"> </w:t>
      </w:r>
      <w:r>
        <w:rPr>
          <w:rFonts w:cs="Arial" w:hint="cs"/>
          <w:rtl/>
        </w:rPr>
        <w:t>שיש</w:t>
      </w:r>
      <w:r>
        <w:rPr>
          <w:rFonts w:cs="Arial"/>
          <w:rtl/>
        </w:rPr>
        <w:t xml:space="preserve"> </w:t>
      </w:r>
      <w:r>
        <w:rPr>
          <w:rFonts w:cs="Arial" w:hint="cs"/>
          <w:rtl/>
        </w:rPr>
        <w:t>עליו</w:t>
      </w:r>
      <w:r>
        <w:rPr>
          <w:rFonts w:cs="Arial"/>
          <w:rtl/>
        </w:rPr>
        <w:t xml:space="preserve"> </w:t>
      </w:r>
      <w:r>
        <w:rPr>
          <w:rFonts w:cs="Arial" w:hint="cs"/>
          <w:rtl/>
        </w:rPr>
        <w:t>עדים</w:t>
      </w:r>
      <w:r>
        <w:rPr>
          <w:rFonts w:cs="Arial"/>
          <w:rtl/>
        </w:rPr>
        <w:t xml:space="preserve"> </w:t>
      </w:r>
      <w:r>
        <w:rPr>
          <w:rFonts w:cs="Arial" w:hint="cs"/>
          <w:rtl/>
        </w:rPr>
        <w:t>ואין</w:t>
      </w:r>
      <w:r>
        <w:rPr>
          <w:rFonts w:cs="Arial"/>
          <w:rtl/>
        </w:rPr>
        <w:t xml:space="preserve"> </w:t>
      </w:r>
      <w:r>
        <w:rPr>
          <w:rFonts w:cs="Arial" w:hint="cs"/>
          <w:rtl/>
        </w:rPr>
        <w:t>בו</w:t>
      </w:r>
      <w:r>
        <w:rPr>
          <w:rFonts w:cs="Arial"/>
          <w:rtl/>
        </w:rPr>
        <w:t xml:space="preserve"> </w:t>
      </w:r>
      <w:r>
        <w:rPr>
          <w:rFonts w:cs="Arial" w:hint="cs"/>
          <w:rtl/>
        </w:rPr>
        <w:t>זמן...</w:t>
      </w:r>
      <w:r>
        <w:rPr>
          <w:rFonts w:cs="Arial"/>
          <w:rtl/>
        </w:rPr>
        <w:t xml:space="preserve"> </w:t>
      </w:r>
      <w:r>
        <w:rPr>
          <w:rFonts w:cs="Arial" w:hint="cs"/>
          <w:rtl/>
        </w:rPr>
        <w:t>או</w:t>
      </w:r>
      <w:r>
        <w:rPr>
          <w:rFonts w:cs="Arial"/>
          <w:rtl/>
        </w:rPr>
        <w:t xml:space="preserve"> </w:t>
      </w:r>
      <w:r>
        <w:rPr>
          <w:rFonts w:cs="Arial" w:hint="cs"/>
          <w:rtl/>
        </w:rPr>
        <w:t>כתב</w:t>
      </w:r>
      <w:r>
        <w:rPr>
          <w:rFonts w:cs="Arial"/>
          <w:rtl/>
        </w:rPr>
        <w:t xml:space="preserve"> </w:t>
      </w:r>
      <w:r>
        <w:rPr>
          <w:rFonts w:cs="Arial" w:hint="cs"/>
          <w:rtl/>
        </w:rPr>
        <w:t>את</w:t>
      </w:r>
      <w:r>
        <w:rPr>
          <w:rFonts w:cs="Arial"/>
          <w:rtl/>
        </w:rPr>
        <w:t xml:space="preserve"> </w:t>
      </w:r>
      <w:r>
        <w:rPr>
          <w:rFonts w:cs="Arial" w:hint="cs"/>
          <w:rtl/>
        </w:rPr>
        <w:t>הגט</w:t>
      </w:r>
      <w:r>
        <w:rPr>
          <w:rFonts w:cs="Arial"/>
          <w:rtl/>
        </w:rPr>
        <w:t xml:space="preserve"> </w:t>
      </w:r>
      <w:r>
        <w:rPr>
          <w:rFonts w:cs="Arial" w:hint="cs"/>
          <w:rtl/>
        </w:rPr>
        <w:t>בירושלם</w:t>
      </w:r>
      <w:r>
        <w:rPr>
          <w:rFonts w:cs="Arial"/>
          <w:rtl/>
        </w:rPr>
        <w:t xml:space="preserve"> </w:t>
      </w:r>
      <w:r>
        <w:rPr>
          <w:rFonts w:cs="Arial" w:hint="cs"/>
          <w:rtl/>
        </w:rPr>
        <w:t>וטעה</w:t>
      </w:r>
      <w:r>
        <w:rPr>
          <w:rFonts w:cs="Arial"/>
          <w:rtl/>
        </w:rPr>
        <w:t xml:space="preserve"> </w:t>
      </w:r>
      <w:r>
        <w:rPr>
          <w:rFonts w:cs="Arial" w:hint="cs"/>
          <w:rtl/>
        </w:rPr>
        <w:t>וכתב</w:t>
      </w:r>
      <w:r>
        <w:rPr>
          <w:rFonts w:cs="Arial"/>
          <w:rtl/>
        </w:rPr>
        <w:t xml:space="preserve"> </w:t>
      </w:r>
      <w:r>
        <w:rPr>
          <w:rFonts w:cs="Arial" w:hint="cs"/>
          <w:rtl/>
        </w:rPr>
        <w:t>בלוד</w:t>
      </w:r>
      <w:r>
        <w:rPr>
          <w:rFonts w:cs="Arial"/>
          <w:rtl/>
        </w:rPr>
        <w:t xml:space="preserve"> </w:t>
      </w:r>
      <w:r>
        <w:rPr>
          <w:rFonts w:cs="Arial" w:hint="cs"/>
          <w:rtl/>
        </w:rPr>
        <w:t>- כל</w:t>
      </w:r>
      <w:r>
        <w:rPr>
          <w:rFonts w:cs="Arial"/>
          <w:rtl/>
        </w:rPr>
        <w:t xml:space="preserve"> </w:t>
      </w:r>
      <w:r>
        <w:rPr>
          <w:rFonts w:cs="Arial" w:hint="cs"/>
          <w:rtl/>
        </w:rPr>
        <w:t>אלו</w:t>
      </w:r>
      <w:r>
        <w:rPr>
          <w:rFonts w:cs="Arial"/>
          <w:rtl/>
        </w:rPr>
        <w:t xml:space="preserve"> </w:t>
      </w:r>
      <w:r>
        <w:rPr>
          <w:rFonts w:cs="Arial" w:hint="cs"/>
          <w:rtl/>
        </w:rPr>
        <w:t>פסולין</w:t>
      </w:r>
      <w:r>
        <w:rPr>
          <w:rFonts w:cs="Arial"/>
          <w:rtl/>
        </w:rPr>
        <w:t xml:space="preserve"> </w:t>
      </w:r>
      <w:r>
        <w:rPr>
          <w:rFonts w:cs="Arial" w:hint="cs"/>
          <w:rtl/>
        </w:rPr>
        <w:t>עד</w:t>
      </w:r>
      <w:r>
        <w:rPr>
          <w:rFonts w:cs="Arial"/>
          <w:rtl/>
        </w:rPr>
        <w:t xml:space="preserve"> </w:t>
      </w:r>
      <w:r>
        <w:rPr>
          <w:rFonts w:cs="Arial" w:hint="cs"/>
          <w:rtl/>
        </w:rPr>
        <w:t>שיחתמו</w:t>
      </w:r>
      <w:r>
        <w:rPr>
          <w:rFonts w:cs="Arial"/>
          <w:rtl/>
        </w:rPr>
        <w:t xml:space="preserve"> </w:t>
      </w:r>
      <w:r>
        <w:rPr>
          <w:rFonts w:cs="Arial" w:hint="cs"/>
          <w:rtl/>
        </w:rPr>
        <w:t>בו</w:t>
      </w:r>
      <w:r>
        <w:rPr>
          <w:rFonts w:cs="Arial"/>
          <w:rtl/>
        </w:rPr>
        <w:t xml:space="preserve"> </w:t>
      </w:r>
      <w:r>
        <w:rPr>
          <w:rFonts w:cs="Arial" w:hint="cs"/>
          <w:rtl/>
        </w:rPr>
        <w:t>בזמן</w:t>
      </w:r>
      <w:r>
        <w:rPr>
          <w:rFonts w:cs="Arial"/>
          <w:rtl/>
        </w:rPr>
        <w:t xml:space="preserve"> </w:t>
      </w:r>
      <w:r>
        <w:rPr>
          <w:rFonts w:cs="Arial" w:hint="cs"/>
          <w:rtl/>
        </w:rPr>
        <w:t>כתיבתו</w:t>
      </w:r>
      <w:r>
        <w:rPr>
          <w:rFonts w:cs="Arial"/>
          <w:rtl/>
        </w:rPr>
        <w:t xml:space="preserve"> </w:t>
      </w:r>
      <w:r>
        <w:rPr>
          <w:rFonts w:cs="Arial" w:hint="cs"/>
          <w:rtl/>
        </w:rPr>
        <w:t>ובמקום</w:t>
      </w:r>
      <w:r>
        <w:rPr>
          <w:rFonts w:cs="Arial"/>
          <w:rtl/>
        </w:rPr>
        <w:t xml:space="preserve"> </w:t>
      </w:r>
      <w:r>
        <w:rPr>
          <w:rFonts w:cs="Arial" w:hint="cs"/>
          <w:rtl/>
        </w:rPr>
        <w:t>כתיבתו.</w:t>
      </w:r>
      <w:r>
        <w:rPr>
          <w:rFonts w:cs="Arial"/>
          <w:rtl/>
        </w:rPr>
        <w:t xml:space="preserve"> </w:t>
      </w:r>
      <w:r w:rsidRPr="00E562BA">
        <w:rPr>
          <w:rFonts w:cs="Arial" w:hint="cs"/>
          <w:sz w:val="16"/>
          <w:szCs w:val="16"/>
          <w:rtl/>
        </w:rPr>
        <w:t>(וכתב הב"י דמדנקט</w:t>
      </w:r>
      <w:r w:rsidRPr="00E562BA">
        <w:rPr>
          <w:rFonts w:cs="Arial"/>
          <w:sz w:val="16"/>
          <w:szCs w:val="16"/>
          <w:rtl/>
        </w:rPr>
        <w:t xml:space="preserve"> </w:t>
      </w:r>
      <w:r w:rsidRPr="00E562BA">
        <w:rPr>
          <w:rFonts w:cs="Arial" w:hint="cs"/>
          <w:sz w:val="16"/>
          <w:szCs w:val="16"/>
          <w:rtl/>
        </w:rPr>
        <w:t>במקום</w:t>
      </w:r>
      <w:r w:rsidRPr="00E562BA">
        <w:rPr>
          <w:rFonts w:cs="Arial"/>
          <w:sz w:val="16"/>
          <w:szCs w:val="16"/>
          <w:rtl/>
        </w:rPr>
        <w:t xml:space="preserve"> </w:t>
      </w:r>
      <w:r w:rsidRPr="00E562BA">
        <w:rPr>
          <w:rFonts w:cs="Arial" w:hint="cs"/>
          <w:sz w:val="16"/>
          <w:szCs w:val="16"/>
          <w:rtl/>
        </w:rPr>
        <w:t>כתיבתו</w:t>
      </w:r>
      <w:r w:rsidRPr="00E562BA">
        <w:rPr>
          <w:rFonts w:cs="Arial"/>
          <w:sz w:val="16"/>
          <w:szCs w:val="16"/>
          <w:rtl/>
        </w:rPr>
        <w:t xml:space="preserve"> </w:t>
      </w:r>
      <w:r w:rsidRPr="00E562BA">
        <w:rPr>
          <w:rFonts w:cs="Arial" w:hint="cs"/>
          <w:sz w:val="16"/>
          <w:szCs w:val="16"/>
          <w:rtl/>
        </w:rPr>
        <w:t>חתימה</w:t>
      </w:r>
      <w:r w:rsidRPr="00E562BA">
        <w:rPr>
          <w:rFonts w:cs="Arial"/>
          <w:sz w:val="16"/>
          <w:szCs w:val="16"/>
          <w:rtl/>
        </w:rPr>
        <w:t xml:space="preserve"> </w:t>
      </w:r>
      <w:r w:rsidRPr="00E562BA">
        <w:rPr>
          <w:rFonts w:cs="Arial" w:hint="cs"/>
          <w:sz w:val="16"/>
          <w:szCs w:val="16"/>
          <w:rtl/>
        </w:rPr>
        <w:t>לחוד,</w:t>
      </w:r>
      <w:r w:rsidRPr="00E562BA">
        <w:rPr>
          <w:rFonts w:cs="Arial"/>
          <w:sz w:val="16"/>
          <w:szCs w:val="16"/>
          <w:rtl/>
        </w:rPr>
        <w:t xml:space="preserve"> </w:t>
      </w:r>
      <w:r w:rsidRPr="00E562BA">
        <w:rPr>
          <w:rFonts w:cs="Arial" w:hint="cs"/>
          <w:sz w:val="16"/>
          <w:szCs w:val="16"/>
          <w:rtl/>
        </w:rPr>
        <w:t>ולא</w:t>
      </w:r>
      <w:r w:rsidRPr="00E562BA">
        <w:rPr>
          <w:rFonts w:cs="Arial"/>
          <w:sz w:val="16"/>
          <w:szCs w:val="16"/>
          <w:rtl/>
        </w:rPr>
        <w:t xml:space="preserve"> </w:t>
      </w:r>
      <w:r w:rsidRPr="00E562BA">
        <w:rPr>
          <w:rFonts w:cs="Arial" w:hint="cs"/>
          <w:sz w:val="16"/>
          <w:szCs w:val="16"/>
          <w:rtl/>
        </w:rPr>
        <w:t>כתב</w:t>
      </w:r>
      <w:r w:rsidRPr="00E562BA">
        <w:rPr>
          <w:rFonts w:cs="Arial"/>
          <w:sz w:val="16"/>
          <w:szCs w:val="16"/>
          <w:rtl/>
        </w:rPr>
        <w:t xml:space="preserve"> </w:t>
      </w:r>
      <w:r w:rsidRPr="00E562BA">
        <w:rPr>
          <w:rFonts w:cs="Arial" w:hint="cs"/>
          <w:sz w:val="16"/>
          <w:szCs w:val="16"/>
          <w:rtl/>
        </w:rPr>
        <w:t>עד</w:t>
      </w:r>
      <w:r w:rsidRPr="00E562BA">
        <w:rPr>
          <w:rFonts w:cs="Arial"/>
          <w:sz w:val="16"/>
          <w:szCs w:val="16"/>
          <w:rtl/>
        </w:rPr>
        <w:t xml:space="preserve"> </w:t>
      </w:r>
      <w:r w:rsidRPr="00E562BA">
        <w:rPr>
          <w:rFonts w:cs="Arial" w:hint="cs"/>
          <w:sz w:val="16"/>
          <w:szCs w:val="16"/>
          <w:rtl/>
        </w:rPr>
        <w:t>שיכתב</w:t>
      </w:r>
      <w:r w:rsidRPr="00E562BA">
        <w:rPr>
          <w:rFonts w:cs="Arial"/>
          <w:sz w:val="16"/>
          <w:szCs w:val="16"/>
          <w:rtl/>
        </w:rPr>
        <w:t xml:space="preserve"> </w:t>
      </w:r>
      <w:r w:rsidRPr="00E562BA">
        <w:rPr>
          <w:rFonts w:cs="Arial" w:hint="cs"/>
          <w:sz w:val="16"/>
          <w:szCs w:val="16"/>
          <w:rtl/>
        </w:rPr>
        <w:t>ויחתם</w:t>
      </w:r>
      <w:r w:rsidRPr="00E562BA">
        <w:rPr>
          <w:rFonts w:cs="Arial"/>
          <w:sz w:val="16"/>
          <w:szCs w:val="16"/>
          <w:rtl/>
        </w:rPr>
        <w:t xml:space="preserve"> </w:t>
      </w:r>
      <w:r w:rsidRPr="00E562BA">
        <w:rPr>
          <w:rFonts w:cs="Arial" w:hint="cs"/>
          <w:sz w:val="16"/>
          <w:szCs w:val="16"/>
          <w:rtl/>
        </w:rPr>
        <w:t>במקום</w:t>
      </w:r>
      <w:r w:rsidRPr="00E562BA">
        <w:rPr>
          <w:rFonts w:cs="Arial"/>
          <w:sz w:val="16"/>
          <w:szCs w:val="16"/>
          <w:rtl/>
        </w:rPr>
        <w:t xml:space="preserve"> </w:t>
      </w:r>
      <w:r w:rsidRPr="00E562BA">
        <w:rPr>
          <w:rFonts w:cs="Arial" w:hint="cs"/>
          <w:sz w:val="16"/>
          <w:szCs w:val="16"/>
          <w:rtl/>
        </w:rPr>
        <w:t>כתיבתו</w:t>
      </w:r>
      <w:r w:rsidRPr="00E562BA">
        <w:rPr>
          <w:rFonts w:cs="Arial"/>
          <w:sz w:val="16"/>
          <w:szCs w:val="16"/>
          <w:rtl/>
        </w:rPr>
        <w:t xml:space="preserve"> </w:t>
      </w:r>
      <w:r w:rsidRPr="00E562BA">
        <w:rPr>
          <w:rFonts w:cs="Arial" w:hint="cs"/>
          <w:sz w:val="16"/>
          <w:szCs w:val="16"/>
          <w:rtl/>
        </w:rPr>
        <w:t>- משמע</w:t>
      </w:r>
      <w:r w:rsidRPr="00E562BA">
        <w:rPr>
          <w:rFonts w:cs="Arial"/>
          <w:sz w:val="16"/>
          <w:szCs w:val="16"/>
          <w:rtl/>
        </w:rPr>
        <w:t xml:space="preserve"> </w:t>
      </w:r>
      <w:r w:rsidRPr="00E562BA">
        <w:rPr>
          <w:rFonts w:cs="Arial" w:hint="cs"/>
          <w:sz w:val="16"/>
          <w:szCs w:val="16"/>
          <w:rtl/>
        </w:rPr>
        <w:t>דאמקום</w:t>
      </w:r>
      <w:r w:rsidRPr="00E562BA">
        <w:rPr>
          <w:rFonts w:cs="Arial"/>
          <w:sz w:val="16"/>
          <w:szCs w:val="16"/>
          <w:rtl/>
        </w:rPr>
        <w:t xml:space="preserve"> </w:t>
      </w:r>
      <w:r w:rsidRPr="00E562BA">
        <w:rPr>
          <w:rFonts w:cs="Arial" w:hint="cs"/>
          <w:sz w:val="16"/>
          <w:szCs w:val="16"/>
          <w:rtl/>
        </w:rPr>
        <w:t>חתימת</w:t>
      </w:r>
      <w:r w:rsidRPr="00E562BA">
        <w:rPr>
          <w:rFonts w:cs="Arial"/>
          <w:sz w:val="16"/>
          <w:szCs w:val="16"/>
          <w:rtl/>
        </w:rPr>
        <w:t xml:space="preserve"> </w:t>
      </w:r>
      <w:r w:rsidRPr="00E562BA">
        <w:rPr>
          <w:rFonts w:cs="Arial" w:hint="cs"/>
          <w:sz w:val="16"/>
          <w:szCs w:val="16"/>
          <w:rtl/>
        </w:rPr>
        <w:t>עדים</w:t>
      </w:r>
      <w:r w:rsidRPr="00E562BA">
        <w:rPr>
          <w:rFonts w:cs="Arial"/>
          <w:sz w:val="16"/>
          <w:szCs w:val="16"/>
          <w:rtl/>
        </w:rPr>
        <w:t xml:space="preserve"> </w:t>
      </w:r>
      <w:r w:rsidRPr="00E562BA">
        <w:rPr>
          <w:rFonts w:cs="Arial" w:hint="cs"/>
          <w:sz w:val="16"/>
          <w:szCs w:val="16"/>
          <w:rtl/>
        </w:rPr>
        <w:t>לחוד</w:t>
      </w:r>
      <w:r w:rsidRPr="00E562BA">
        <w:rPr>
          <w:rFonts w:cs="Arial"/>
          <w:sz w:val="16"/>
          <w:szCs w:val="16"/>
          <w:rtl/>
        </w:rPr>
        <w:t xml:space="preserve"> </w:t>
      </w:r>
      <w:r w:rsidRPr="00E562BA">
        <w:rPr>
          <w:rFonts w:cs="Arial" w:hint="cs"/>
          <w:sz w:val="16"/>
          <w:szCs w:val="16"/>
          <w:rtl/>
        </w:rPr>
        <w:t>הוא</w:t>
      </w:r>
      <w:r w:rsidRPr="00E562BA">
        <w:rPr>
          <w:rFonts w:cs="Arial"/>
          <w:sz w:val="16"/>
          <w:szCs w:val="16"/>
          <w:rtl/>
        </w:rPr>
        <w:t xml:space="preserve"> </w:t>
      </w:r>
      <w:r w:rsidRPr="00E562BA">
        <w:rPr>
          <w:rFonts w:cs="Arial" w:hint="cs"/>
          <w:sz w:val="16"/>
          <w:szCs w:val="16"/>
          <w:rtl/>
        </w:rPr>
        <w:t>דקפדינן</w:t>
      </w:r>
      <w:r>
        <w:rPr>
          <w:rFonts w:cs="Arial" w:hint="cs"/>
          <w:sz w:val="16"/>
          <w:szCs w:val="16"/>
          <w:rtl/>
        </w:rPr>
        <w:t>,</w:t>
      </w:r>
      <w:r w:rsidRPr="00E562BA">
        <w:rPr>
          <w:rFonts w:cs="Arial"/>
          <w:sz w:val="16"/>
          <w:szCs w:val="16"/>
          <w:rtl/>
        </w:rPr>
        <w:t xml:space="preserve"> </w:t>
      </w:r>
      <w:r w:rsidRPr="00E562BA">
        <w:rPr>
          <w:rFonts w:cs="Arial" w:hint="cs"/>
          <w:sz w:val="16"/>
          <w:szCs w:val="16"/>
          <w:rtl/>
        </w:rPr>
        <w:t>וכדברי</w:t>
      </w:r>
      <w:r w:rsidRPr="00E562BA">
        <w:rPr>
          <w:rFonts w:cs="Arial"/>
          <w:sz w:val="16"/>
          <w:szCs w:val="16"/>
          <w:rtl/>
        </w:rPr>
        <w:t xml:space="preserve"> </w:t>
      </w:r>
      <w:r w:rsidRPr="00E562BA">
        <w:rPr>
          <w:rFonts w:cs="Arial" w:hint="cs"/>
          <w:sz w:val="16"/>
          <w:szCs w:val="16"/>
          <w:rtl/>
        </w:rPr>
        <w:t>הרא</w:t>
      </w:r>
      <w:r w:rsidRPr="00E562BA">
        <w:rPr>
          <w:rFonts w:cs="Arial"/>
          <w:sz w:val="16"/>
          <w:szCs w:val="16"/>
          <w:rtl/>
        </w:rPr>
        <w:t>"</w:t>
      </w:r>
      <w:r w:rsidRPr="00E562BA">
        <w:rPr>
          <w:rFonts w:cs="Arial" w:hint="cs"/>
          <w:sz w:val="16"/>
          <w:szCs w:val="16"/>
          <w:rtl/>
        </w:rPr>
        <w:t>ש</w:t>
      </w:r>
      <w:r>
        <w:rPr>
          <w:rFonts w:cs="Arial" w:hint="cs"/>
          <w:sz w:val="16"/>
          <w:szCs w:val="16"/>
          <w:rtl/>
        </w:rPr>
        <w:t>)</w:t>
      </w:r>
      <w:r>
        <w:rPr>
          <w:rFonts w:hint="cs"/>
          <w:rtl/>
        </w:rPr>
        <w:t>.</w:t>
      </w:r>
    </w:p>
  </w:footnote>
  <w:footnote w:id="941">
    <w:p w14:paraId="26BCB4BA" w14:textId="52DF01C2"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285AD4">
        <w:rPr>
          <w:rFonts w:cs="Arial"/>
          <w:rtl/>
        </w:rPr>
        <w:t>האי דקאמר אלא אסופר לאו דווקא אלא משום חששת העדים דצריך לכתוב בשטר שם העיר שהעדים חותמין בו אפי' נכתב בעיר אחרת שלא יאמרו לעדים עמנו הייתם באותו היום במקום אחר ואין חוששין אם שינה בשטר הכתיבה. תדע דאמרינן לעיל (ג</w:t>
      </w:r>
      <w:r>
        <w:rPr>
          <w:rFonts w:cs="Arial" w:hint="cs"/>
          <w:rtl/>
        </w:rPr>
        <w:t>:</w:t>
      </w:r>
      <w:r w:rsidRPr="00285AD4">
        <w:rPr>
          <w:rFonts w:cs="Arial"/>
          <w:rtl/>
        </w:rPr>
        <w:t>) מצאו באשפה חתמו ונתנו לה כשר לר' מאיר ואמאי לא חיישינן שמא לא נכתב בו מקום הכתיבה ונפסל וזרקו לאשפה אלא ודאי אין חשש בזה.</w:t>
      </w:r>
    </w:p>
  </w:footnote>
  <w:footnote w:id="942">
    <w:p w14:paraId="306E03A3" w14:textId="1D2D693F" w:rsidR="00FA2119" w:rsidRDefault="00FA2119" w:rsidP="00FA2119">
      <w:pPr>
        <w:pStyle w:val="a5"/>
      </w:pPr>
      <w:r>
        <w:rPr>
          <w:rStyle w:val="a7"/>
        </w:rPr>
        <w:footnoteRef/>
      </w:r>
      <w:r>
        <w:rPr>
          <w:rtl/>
        </w:rPr>
        <w:t xml:space="preserve"> </w:t>
      </w:r>
      <w:r>
        <w:rPr>
          <w:rFonts w:cs="Arial" w:hint="cs"/>
          <w:rtl/>
        </w:rPr>
        <w:t>וכ"כ</w:t>
      </w:r>
      <w:r>
        <w:rPr>
          <w:rFonts w:cs="Arial"/>
          <w:rtl/>
        </w:rPr>
        <w:t xml:space="preserve"> </w:t>
      </w:r>
      <w:r>
        <w:rPr>
          <w:rFonts w:cs="Arial" w:hint="cs"/>
          <w:rtl/>
        </w:rPr>
        <w:t>בסמ</w:t>
      </w:r>
      <w:r>
        <w:rPr>
          <w:rFonts w:cs="Arial"/>
          <w:rtl/>
        </w:rPr>
        <w:t>"</w:t>
      </w:r>
      <w:r>
        <w:rPr>
          <w:rFonts w:cs="Arial" w:hint="cs"/>
          <w:rtl/>
        </w:rPr>
        <w:t>ג</w:t>
      </w:r>
      <w:r>
        <w:rPr>
          <w:rFonts w:cs="Arial"/>
          <w:rtl/>
        </w:rPr>
        <w:t xml:space="preserve"> (</w:t>
      </w:r>
      <w:r>
        <w:rPr>
          <w:rFonts w:cs="Arial" w:hint="cs"/>
          <w:rtl/>
        </w:rPr>
        <w:t>עשין</w:t>
      </w:r>
      <w:r>
        <w:rPr>
          <w:rFonts w:cs="Arial"/>
          <w:rtl/>
        </w:rPr>
        <w:t xml:space="preserve"> </w:t>
      </w:r>
      <w:r>
        <w:rPr>
          <w:rFonts w:cs="Arial" w:hint="cs"/>
          <w:rtl/>
        </w:rPr>
        <w:t>נ</w:t>
      </w:r>
      <w:r>
        <w:rPr>
          <w:rFonts w:cs="Arial"/>
          <w:rtl/>
        </w:rPr>
        <w:t xml:space="preserve"> </w:t>
      </w:r>
      <w:r>
        <w:rPr>
          <w:rFonts w:cs="Arial" w:hint="cs"/>
          <w:rtl/>
        </w:rPr>
        <w:t>קלא</w:t>
      </w:r>
      <w:r>
        <w:rPr>
          <w:rFonts w:cs="Arial"/>
          <w:rtl/>
        </w:rPr>
        <w:t xml:space="preserve"> </w:t>
      </w:r>
      <w:r>
        <w:rPr>
          <w:rFonts w:cs="Arial" w:hint="cs"/>
          <w:rtl/>
        </w:rPr>
        <w:t>ע</w:t>
      </w:r>
      <w:r>
        <w:rPr>
          <w:rFonts w:cs="Arial"/>
          <w:rtl/>
        </w:rPr>
        <w:t>"</w:t>
      </w:r>
      <w:r>
        <w:rPr>
          <w:rFonts w:cs="Arial" w:hint="cs"/>
          <w:rtl/>
        </w:rPr>
        <w:t>ג</w:t>
      </w:r>
      <w:r>
        <w:rPr>
          <w:rFonts w:cs="Arial"/>
          <w:rtl/>
        </w:rPr>
        <w:t xml:space="preserve">) </w:t>
      </w:r>
      <w:r>
        <w:rPr>
          <w:rFonts w:cs="Arial" w:hint="cs"/>
          <w:rtl/>
        </w:rPr>
        <w:t>וכ"כ</w:t>
      </w:r>
      <w:r>
        <w:rPr>
          <w:rFonts w:cs="Arial"/>
          <w:rtl/>
        </w:rPr>
        <w:t xml:space="preserve"> </w:t>
      </w:r>
      <w:r>
        <w:rPr>
          <w:rFonts w:cs="Arial" w:hint="cs"/>
          <w:rtl/>
        </w:rPr>
        <w:t>הגה"מ</w:t>
      </w:r>
      <w:r>
        <w:rPr>
          <w:rFonts w:cs="Arial"/>
          <w:rtl/>
        </w:rPr>
        <w:t xml:space="preserve"> </w:t>
      </w:r>
      <w:r>
        <w:rPr>
          <w:rFonts w:cs="Arial" w:hint="cs"/>
          <w:rtl/>
        </w:rPr>
        <w:t>בפ"א</w:t>
      </w:r>
      <w:r>
        <w:rPr>
          <w:rFonts w:cs="Arial"/>
          <w:rtl/>
        </w:rPr>
        <w:t xml:space="preserve"> </w:t>
      </w:r>
      <w:r>
        <w:rPr>
          <w:rFonts w:cs="Arial" w:hint="cs"/>
          <w:rtl/>
        </w:rPr>
        <w:t>מהל'</w:t>
      </w:r>
      <w:r>
        <w:rPr>
          <w:rFonts w:cs="Arial"/>
          <w:rtl/>
        </w:rPr>
        <w:t xml:space="preserve"> </w:t>
      </w:r>
      <w:r>
        <w:rPr>
          <w:rFonts w:cs="Arial" w:hint="cs"/>
          <w:rtl/>
        </w:rPr>
        <w:t>גירושין</w:t>
      </w:r>
      <w:r>
        <w:rPr>
          <w:rFonts w:cs="Arial"/>
          <w:rtl/>
        </w:rPr>
        <w:t xml:space="preserve"> (</w:t>
      </w:r>
      <w:r>
        <w:rPr>
          <w:rFonts w:cs="Arial" w:hint="cs"/>
          <w:rtl/>
        </w:rPr>
        <w:t>אות</w:t>
      </w:r>
      <w:r>
        <w:rPr>
          <w:rFonts w:cs="Arial"/>
          <w:rtl/>
        </w:rPr>
        <w:t xml:space="preserve"> </w:t>
      </w:r>
      <w:r>
        <w:rPr>
          <w:rFonts w:cs="Arial" w:hint="cs"/>
          <w:rtl/>
        </w:rPr>
        <w:t>ק</w:t>
      </w:r>
      <w:r>
        <w:rPr>
          <w:rFonts w:cs="Arial"/>
          <w:rtl/>
        </w:rPr>
        <w:t>)</w:t>
      </w:r>
      <w:r>
        <w:rPr>
          <w:rFonts w:cs="Arial" w:hint="cs"/>
          <w:rtl/>
        </w:rPr>
        <w:t>, ב"י</w:t>
      </w:r>
      <w:r>
        <w:rPr>
          <w:rFonts w:hint="cs"/>
          <w:rtl/>
        </w:rPr>
        <w:t xml:space="preserve">. וכתב עוד הב"י </w:t>
      </w:r>
      <w:r>
        <w:rPr>
          <w:rFonts w:cs="Arial" w:hint="cs"/>
          <w:rtl/>
        </w:rPr>
        <w:t>ש</w:t>
      </w:r>
      <w:r>
        <w:rPr>
          <w:rFonts w:cs="Arial"/>
          <w:rtl/>
        </w:rPr>
        <w:tab/>
      </w:r>
      <w:r>
        <w:rPr>
          <w:rFonts w:cs="Arial" w:hint="cs"/>
          <w:rtl/>
        </w:rPr>
        <w:t>המרדכי</w:t>
      </w:r>
      <w:r>
        <w:rPr>
          <w:rFonts w:cs="Arial"/>
          <w:rtl/>
        </w:rPr>
        <w:t xml:space="preserve"> </w:t>
      </w:r>
      <w:r>
        <w:rPr>
          <w:rFonts w:cs="Arial" w:hint="cs"/>
          <w:rtl/>
        </w:rPr>
        <w:t xml:space="preserve">בפרק הזורק </w:t>
      </w:r>
      <w:r w:rsidRPr="00CF40F8">
        <w:rPr>
          <w:rFonts w:cs="Arial"/>
          <w:sz w:val="16"/>
          <w:szCs w:val="16"/>
          <w:rtl/>
        </w:rPr>
        <w:t>(</w:t>
      </w:r>
      <w:r w:rsidRPr="00CF40F8">
        <w:rPr>
          <w:rFonts w:cs="Arial" w:hint="cs"/>
          <w:sz w:val="16"/>
          <w:szCs w:val="16"/>
          <w:rtl/>
        </w:rPr>
        <w:t>גיטין פ"ח סי</w:t>
      </w:r>
      <w:r w:rsidRPr="00CF40F8">
        <w:rPr>
          <w:rFonts w:cs="Arial"/>
          <w:sz w:val="16"/>
          <w:szCs w:val="16"/>
          <w:rtl/>
        </w:rPr>
        <w:t xml:space="preserve">' </w:t>
      </w:r>
      <w:r w:rsidRPr="00CF40F8">
        <w:rPr>
          <w:rFonts w:cs="Arial" w:hint="cs"/>
          <w:sz w:val="16"/>
          <w:szCs w:val="16"/>
          <w:rtl/>
        </w:rPr>
        <w:t>תמ, ו</w:t>
      </w:r>
      <w:r>
        <w:rPr>
          <w:rFonts w:cs="Arial" w:hint="cs"/>
          <w:sz w:val="16"/>
          <w:szCs w:val="16"/>
          <w:rtl/>
        </w:rPr>
        <w:t xml:space="preserve">כתב הדרכ"מ [אות א*] שכן הוא </w:t>
      </w:r>
      <w:r w:rsidRPr="00CF40F8">
        <w:rPr>
          <w:rFonts w:cs="Arial" w:hint="cs"/>
          <w:sz w:val="16"/>
          <w:szCs w:val="16"/>
          <w:rtl/>
        </w:rPr>
        <w:t>בפרק גט פשוט סי' תרמו</w:t>
      </w:r>
      <w:r w:rsidRPr="00CF40F8">
        <w:rPr>
          <w:rFonts w:cs="Arial"/>
          <w:sz w:val="16"/>
          <w:szCs w:val="16"/>
          <w:rtl/>
        </w:rPr>
        <w:t>)</w:t>
      </w:r>
      <w:r>
        <w:rPr>
          <w:rFonts w:cs="Arial"/>
          <w:rtl/>
        </w:rPr>
        <w:t xml:space="preserve"> </w:t>
      </w:r>
      <w:r>
        <w:rPr>
          <w:rFonts w:cs="Arial" w:hint="cs"/>
          <w:rtl/>
        </w:rPr>
        <w:t>כתב</w:t>
      </w:r>
      <w:r>
        <w:rPr>
          <w:rFonts w:cs="Arial"/>
          <w:rtl/>
        </w:rPr>
        <w:t xml:space="preserve"> </w:t>
      </w:r>
      <w:r>
        <w:rPr>
          <w:rFonts w:cs="Arial" w:hint="cs"/>
          <w:rtl/>
        </w:rPr>
        <w:t xml:space="preserve">כדברי הרא"ש </w:t>
      </w:r>
      <w:r w:rsidRPr="00285AD4">
        <w:rPr>
          <w:rFonts w:cs="Arial" w:hint="cs"/>
          <w:sz w:val="16"/>
          <w:szCs w:val="16"/>
          <w:rtl/>
        </w:rPr>
        <w:t>(</w:t>
      </w:r>
      <w:r w:rsidR="000A0F5A">
        <w:rPr>
          <w:rFonts w:cs="Arial" w:hint="cs"/>
          <w:sz w:val="16"/>
          <w:szCs w:val="16"/>
          <w:rtl/>
        </w:rPr>
        <w:t>וז</w:t>
      </w:r>
      <w:r w:rsidR="000A0F5A">
        <w:rPr>
          <w:rFonts w:cs="Arial"/>
          <w:sz w:val="16"/>
          <w:szCs w:val="16"/>
          <w:rtl/>
        </w:rPr>
        <w:t>"</w:t>
      </w:r>
      <w:r w:rsidR="000A0F5A">
        <w:rPr>
          <w:rFonts w:cs="Arial" w:hint="cs"/>
          <w:sz w:val="16"/>
          <w:szCs w:val="16"/>
          <w:rtl/>
        </w:rPr>
        <w:t>ל:</w:t>
      </w:r>
      <w:r w:rsidRPr="00285AD4">
        <w:rPr>
          <w:rFonts w:cs="Arial" w:hint="cs"/>
          <w:sz w:val="16"/>
          <w:szCs w:val="16"/>
          <w:rtl/>
        </w:rPr>
        <w:t xml:space="preserve"> ושמא</w:t>
      </w:r>
      <w:r w:rsidRPr="00285AD4">
        <w:rPr>
          <w:rFonts w:cs="Arial"/>
          <w:sz w:val="16"/>
          <w:szCs w:val="16"/>
          <w:rtl/>
        </w:rPr>
        <w:t xml:space="preserve"> </w:t>
      </w:r>
      <w:r w:rsidRPr="00285AD4">
        <w:rPr>
          <w:rFonts w:cs="Arial" w:hint="cs"/>
          <w:sz w:val="16"/>
          <w:szCs w:val="16"/>
          <w:rtl/>
        </w:rPr>
        <w:t>י</w:t>
      </w:r>
      <w:r w:rsidRPr="00285AD4">
        <w:rPr>
          <w:rFonts w:cs="Arial"/>
          <w:sz w:val="16"/>
          <w:szCs w:val="16"/>
          <w:rtl/>
        </w:rPr>
        <w:t>"</w:t>
      </w:r>
      <w:r w:rsidRPr="00285AD4">
        <w:rPr>
          <w:rFonts w:cs="Arial" w:hint="cs"/>
          <w:sz w:val="16"/>
          <w:szCs w:val="16"/>
          <w:rtl/>
        </w:rPr>
        <w:t>ל</w:t>
      </w:r>
      <w:r w:rsidRPr="00285AD4">
        <w:rPr>
          <w:rFonts w:cs="Arial"/>
          <w:sz w:val="16"/>
          <w:szCs w:val="16"/>
          <w:rtl/>
        </w:rPr>
        <w:t xml:space="preserve"> </w:t>
      </w:r>
      <w:r w:rsidRPr="00285AD4">
        <w:rPr>
          <w:rFonts w:cs="Arial" w:hint="cs"/>
          <w:sz w:val="16"/>
          <w:szCs w:val="16"/>
          <w:rtl/>
        </w:rPr>
        <w:t>דבסופר</w:t>
      </w:r>
      <w:r w:rsidRPr="00285AD4">
        <w:rPr>
          <w:rFonts w:cs="Arial"/>
          <w:sz w:val="16"/>
          <w:szCs w:val="16"/>
          <w:rtl/>
        </w:rPr>
        <w:t xml:space="preserve"> </w:t>
      </w:r>
      <w:r w:rsidRPr="00285AD4">
        <w:rPr>
          <w:rFonts w:cs="Arial" w:hint="cs"/>
          <w:sz w:val="16"/>
          <w:szCs w:val="16"/>
          <w:rtl/>
        </w:rPr>
        <w:t>ליכא</w:t>
      </w:r>
      <w:r w:rsidRPr="00285AD4">
        <w:rPr>
          <w:rFonts w:cs="Arial"/>
          <w:sz w:val="16"/>
          <w:szCs w:val="16"/>
          <w:rtl/>
        </w:rPr>
        <w:t xml:space="preserve"> </w:t>
      </w:r>
      <w:r w:rsidRPr="00285AD4">
        <w:rPr>
          <w:rFonts w:cs="Arial" w:hint="cs"/>
          <w:sz w:val="16"/>
          <w:szCs w:val="16"/>
          <w:rtl/>
        </w:rPr>
        <w:t>קפידא,</w:t>
      </w:r>
      <w:r w:rsidRPr="00285AD4">
        <w:rPr>
          <w:rFonts w:cs="Arial"/>
          <w:sz w:val="16"/>
          <w:szCs w:val="16"/>
          <w:rtl/>
        </w:rPr>
        <w:t xml:space="preserve"> </w:t>
      </w:r>
      <w:r w:rsidRPr="00285AD4">
        <w:rPr>
          <w:rFonts w:cs="Arial" w:hint="cs"/>
          <w:sz w:val="16"/>
          <w:szCs w:val="16"/>
          <w:rtl/>
        </w:rPr>
        <w:t>דמאי</w:t>
      </w:r>
      <w:r w:rsidRPr="00285AD4">
        <w:rPr>
          <w:rFonts w:cs="Arial"/>
          <w:sz w:val="16"/>
          <w:szCs w:val="16"/>
          <w:rtl/>
        </w:rPr>
        <w:t xml:space="preserve"> </w:t>
      </w:r>
      <w:r w:rsidRPr="00285AD4">
        <w:rPr>
          <w:rFonts w:cs="Arial" w:hint="cs"/>
          <w:sz w:val="16"/>
          <w:szCs w:val="16"/>
          <w:rtl/>
        </w:rPr>
        <w:t>חששא</w:t>
      </w:r>
      <w:r w:rsidRPr="00285AD4">
        <w:rPr>
          <w:rFonts w:cs="Arial"/>
          <w:sz w:val="16"/>
          <w:szCs w:val="16"/>
          <w:rtl/>
        </w:rPr>
        <w:t xml:space="preserve"> </w:t>
      </w:r>
      <w:r w:rsidRPr="00285AD4">
        <w:rPr>
          <w:rFonts w:cs="Arial" w:hint="cs"/>
          <w:sz w:val="16"/>
          <w:szCs w:val="16"/>
          <w:rtl/>
        </w:rPr>
        <w:t>איכא,</w:t>
      </w:r>
      <w:r w:rsidRPr="00285AD4">
        <w:rPr>
          <w:rFonts w:cs="Arial"/>
          <w:sz w:val="16"/>
          <w:szCs w:val="16"/>
          <w:rtl/>
        </w:rPr>
        <w:t xml:space="preserve"> </w:t>
      </w:r>
      <w:r w:rsidRPr="00285AD4">
        <w:rPr>
          <w:rFonts w:cs="Arial" w:hint="cs"/>
          <w:sz w:val="16"/>
          <w:szCs w:val="16"/>
          <w:rtl/>
        </w:rPr>
        <w:t>אלא</w:t>
      </w:r>
      <w:r w:rsidRPr="00285AD4">
        <w:rPr>
          <w:rFonts w:cs="Arial"/>
          <w:sz w:val="16"/>
          <w:szCs w:val="16"/>
          <w:rtl/>
        </w:rPr>
        <w:t xml:space="preserve"> </w:t>
      </w:r>
      <w:r w:rsidRPr="00285AD4">
        <w:rPr>
          <w:rFonts w:cs="Arial" w:hint="cs"/>
          <w:sz w:val="16"/>
          <w:szCs w:val="16"/>
          <w:rtl/>
        </w:rPr>
        <w:t>הפיסול</w:t>
      </w:r>
      <w:r w:rsidRPr="00285AD4">
        <w:rPr>
          <w:rFonts w:cs="Arial"/>
          <w:sz w:val="16"/>
          <w:szCs w:val="16"/>
          <w:rtl/>
        </w:rPr>
        <w:t xml:space="preserve"> </w:t>
      </w:r>
      <w:r w:rsidRPr="00285AD4">
        <w:rPr>
          <w:rFonts w:cs="Arial" w:hint="cs"/>
          <w:sz w:val="16"/>
          <w:szCs w:val="16"/>
          <w:rtl/>
        </w:rPr>
        <w:t>הוא</w:t>
      </w:r>
      <w:r w:rsidRPr="00285AD4">
        <w:rPr>
          <w:rFonts w:cs="Arial"/>
          <w:sz w:val="16"/>
          <w:szCs w:val="16"/>
          <w:rtl/>
        </w:rPr>
        <w:t xml:space="preserve"> </w:t>
      </w:r>
      <w:r w:rsidRPr="00285AD4">
        <w:rPr>
          <w:rFonts w:cs="Arial" w:hint="cs"/>
          <w:sz w:val="16"/>
          <w:szCs w:val="16"/>
          <w:rtl/>
        </w:rPr>
        <w:t>משום</w:t>
      </w:r>
      <w:r w:rsidRPr="00285AD4">
        <w:rPr>
          <w:rFonts w:cs="Arial"/>
          <w:sz w:val="16"/>
          <w:szCs w:val="16"/>
          <w:rtl/>
        </w:rPr>
        <w:t xml:space="preserve"> </w:t>
      </w:r>
      <w:r w:rsidRPr="00285AD4">
        <w:rPr>
          <w:rFonts w:cs="Arial" w:hint="cs"/>
          <w:sz w:val="16"/>
          <w:szCs w:val="16"/>
          <w:rtl/>
        </w:rPr>
        <w:t>עדים</w:t>
      </w:r>
      <w:r w:rsidRPr="00285AD4">
        <w:rPr>
          <w:rFonts w:cs="Arial"/>
          <w:sz w:val="16"/>
          <w:szCs w:val="16"/>
          <w:rtl/>
        </w:rPr>
        <w:t xml:space="preserve"> </w:t>
      </w:r>
      <w:r w:rsidRPr="00285AD4">
        <w:rPr>
          <w:rFonts w:cs="Arial" w:hint="cs"/>
          <w:sz w:val="16"/>
          <w:szCs w:val="16"/>
          <w:rtl/>
        </w:rPr>
        <w:t>דרגילות</w:t>
      </w:r>
      <w:r w:rsidRPr="00285AD4">
        <w:rPr>
          <w:rFonts w:cs="Arial"/>
          <w:sz w:val="16"/>
          <w:szCs w:val="16"/>
          <w:rtl/>
        </w:rPr>
        <w:t xml:space="preserve"> </w:t>
      </w:r>
      <w:r w:rsidRPr="00285AD4">
        <w:rPr>
          <w:rFonts w:cs="Arial" w:hint="cs"/>
          <w:sz w:val="16"/>
          <w:szCs w:val="16"/>
          <w:rtl/>
        </w:rPr>
        <w:t>הוא</w:t>
      </w:r>
      <w:r w:rsidRPr="00285AD4">
        <w:rPr>
          <w:rFonts w:cs="Arial"/>
          <w:sz w:val="16"/>
          <w:szCs w:val="16"/>
          <w:rtl/>
        </w:rPr>
        <w:t xml:space="preserve"> </w:t>
      </w:r>
      <w:r w:rsidRPr="00285AD4">
        <w:rPr>
          <w:rFonts w:cs="Arial" w:hint="cs"/>
          <w:sz w:val="16"/>
          <w:szCs w:val="16"/>
          <w:rtl/>
        </w:rPr>
        <w:t>דמקום</w:t>
      </w:r>
      <w:r w:rsidRPr="00285AD4">
        <w:rPr>
          <w:rFonts w:cs="Arial"/>
          <w:sz w:val="16"/>
          <w:szCs w:val="16"/>
          <w:rtl/>
        </w:rPr>
        <w:t xml:space="preserve"> </w:t>
      </w:r>
      <w:r w:rsidRPr="00285AD4">
        <w:rPr>
          <w:rFonts w:cs="Arial" w:hint="cs"/>
          <w:sz w:val="16"/>
          <w:szCs w:val="16"/>
          <w:rtl/>
        </w:rPr>
        <w:t>שהסופר</w:t>
      </w:r>
      <w:r w:rsidRPr="00285AD4">
        <w:rPr>
          <w:rFonts w:cs="Arial"/>
          <w:sz w:val="16"/>
          <w:szCs w:val="16"/>
          <w:rtl/>
        </w:rPr>
        <w:t xml:space="preserve"> </w:t>
      </w:r>
      <w:r w:rsidRPr="00285AD4">
        <w:rPr>
          <w:rFonts w:cs="Arial" w:hint="cs"/>
          <w:sz w:val="16"/>
          <w:szCs w:val="16"/>
          <w:rtl/>
        </w:rPr>
        <w:t>שם</w:t>
      </w:r>
      <w:r w:rsidRPr="00285AD4">
        <w:rPr>
          <w:rFonts w:cs="Arial"/>
          <w:sz w:val="16"/>
          <w:szCs w:val="16"/>
          <w:rtl/>
        </w:rPr>
        <w:t xml:space="preserve"> </w:t>
      </w:r>
      <w:r w:rsidRPr="00285AD4">
        <w:rPr>
          <w:rFonts w:cs="Arial" w:hint="cs"/>
          <w:sz w:val="16"/>
          <w:szCs w:val="16"/>
          <w:rtl/>
        </w:rPr>
        <w:t>שם</w:t>
      </w:r>
      <w:r w:rsidRPr="00285AD4">
        <w:rPr>
          <w:rFonts w:cs="Arial"/>
          <w:sz w:val="16"/>
          <w:szCs w:val="16"/>
          <w:rtl/>
        </w:rPr>
        <w:t xml:space="preserve"> </w:t>
      </w:r>
      <w:r w:rsidRPr="00285AD4">
        <w:rPr>
          <w:rFonts w:cs="Arial" w:hint="cs"/>
          <w:sz w:val="16"/>
          <w:szCs w:val="16"/>
          <w:rtl/>
        </w:rPr>
        <w:t>עדים</w:t>
      </w:r>
      <w:r w:rsidRPr="00285AD4">
        <w:rPr>
          <w:rFonts w:cs="Arial"/>
          <w:sz w:val="16"/>
          <w:szCs w:val="16"/>
          <w:rtl/>
        </w:rPr>
        <w:t xml:space="preserve"> </w:t>
      </w:r>
      <w:r w:rsidRPr="00285AD4">
        <w:rPr>
          <w:rFonts w:cs="Arial" w:hint="cs"/>
          <w:sz w:val="16"/>
          <w:szCs w:val="16"/>
          <w:rtl/>
        </w:rPr>
        <w:t>חותמים.</w:t>
      </w:r>
      <w:r w:rsidRPr="00285AD4">
        <w:rPr>
          <w:rFonts w:cs="Arial"/>
          <w:sz w:val="16"/>
          <w:szCs w:val="16"/>
          <w:rtl/>
        </w:rPr>
        <w:t xml:space="preserve"> </w:t>
      </w:r>
      <w:r w:rsidRPr="00285AD4">
        <w:rPr>
          <w:rFonts w:cs="Arial" w:hint="cs"/>
          <w:sz w:val="16"/>
          <w:szCs w:val="16"/>
          <w:rtl/>
        </w:rPr>
        <w:t>ורב</w:t>
      </w:r>
      <w:r w:rsidRPr="00285AD4">
        <w:rPr>
          <w:rFonts w:cs="Arial"/>
          <w:sz w:val="16"/>
          <w:szCs w:val="16"/>
          <w:rtl/>
        </w:rPr>
        <w:t xml:space="preserve"> </w:t>
      </w:r>
      <w:r w:rsidRPr="00285AD4">
        <w:rPr>
          <w:rFonts w:cs="Arial" w:hint="cs"/>
          <w:sz w:val="16"/>
          <w:szCs w:val="16"/>
          <w:rtl/>
        </w:rPr>
        <w:t>נמי</w:t>
      </w:r>
      <w:r w:rsidRPr="00285AD4">
        <w:rPr>
          <w:rFonts w:cs="Arial"/>
          <w:sz w:val="16"/>
          <w:szCs w:val="16"/>
          <w:rtl/>
        </w:rPr>
        <w:t xml:space="preserve"> </w:t>
      </w:r>
      <w:r w:rsidRPr="00285AD4">
        <w:rPr>
          <w:rFonts w:cs="Arial" w:hint="cs"/>
          <w:sz w:val="16"/>
          <w:szCs w:val="16"/>
          <w:rtl/>
        </w:rPr>
        <w:t>דאמר</w:t>
      </w:r>
      <w:r w:rsidRPr="00285AD4">
        <w:rPr>
          <w:rFonts w:cs="Arial"/>
          <w:sz w:val="16"/>
          <w:szCs w:val="16"/>
          <w:rtl/>
        </w:rPr>
        <w:t xml:space="preserve"> </w:t>
      </w:r>
      <w:r w:rsidRPr="00285AD4">
        <w:rPr>
          <w:rFonts w:cs="Arial" w:hint="cs"/>
          <w:sz w:val="16"/>
          <w:szCs w:val="16"/>
          <w:rtl/>
        </w:rPr>
        <w:t>לספריה</w:t>
      </w:r>
      <w:r w:rsidRPr="00285AD4">
        <w:rPr>
          <w:rFonts w:cs="Arial"/>
          <w:sz w:val="16"/>
          <w:szCs w:val="16"/>
          <w:rtl/>
        </w:rPr>
        <w:t xml:space="preserve"> </w:t>
      </w:r>
      <w:r w:rsidRPr="00285AD4">
        <w:rPr>
          <w:rFonts w:cs="Arial" w:hint="cs"/>
          <w:sz w:val="16"/>
          <w:szCs w:val="16"/>
          <w:rtl/>
        </w:rPr>
        <w:t>לא</w:t>
      </w:r>
      <w:r w:rsidRPr="00285AD4">
        <w:rPr>
          <w:rFonts w:cs="Arial"/>
          <w:sz w:val="16"/>
          <w:szCs w:val="16"/>
          <w:rtl/>
        </w:rPr>
        <w:t xml:space="preserve"> </w:t>
      </w:r>
      <w:r w:rsidRPr="00285AD4">
        <w:rPr>
          <w:rFonts w:cs="Arial" w:hint="cs"/>
          <w:sz w:val="16"/>
          <w:szCs w:val="16"/>
          <w:rtl/>
        </w:rPr>
        <w:t>חשש</w:t>
      </w:r>
      <w:r w:rsidRPr="00285AD4">
        <w:rPr>
          <w:rFonts w:cs="Arial"/>
          <w:sz w:val="16"/>
          <w:szCs w:val="16"/>
          <w:rtl/>
        </w:rPr>
        <w:t xml:space="preserve"> </w:t>
      </w:r>
      <w:r w:rsidRPr="00285AD4">
        <w:rPr>
          <w:rFonts w:cs="Arial" w:hint="cs"/>
          <w:sz w:val="16"/>
          <w:szCs w:val="16"/>
          <w:rtl/>
        </w:rPr>
        <w:t>אלא</w:t>
      </w:r>
      <w:r w:rsidRPr="00285AD4">
        <w:rPr>
          <w:rFonts w:cs="Arial"/>
          <w:sz w:val="16"/>
          <w:szCs w:val="16"/>
          <w:rtl/>
        </w:rPr>
        <w:t xml:space="preserve"> </w:t>
      </w:r>
      <w:r w:rsidRPr="00285AD4">
        <w:rPr>
          <w:rFonts w:cs="Arial" w:hint="cs"/>
          <w:sz w:val="16"/>
          <w:szCs w:val="16"/>
          <w:rtl/>
        </w:rPr>
        <w:t>משום</w:t>
      </w:r>
      <w:r w:rsidRPr="00285AD4">
        <w:rPr>
          <w:rFonts w:cs="Arial"/>
          <w:sz w:val="16"/>
          <w:szCs w:val="16"/>
          <w:rtl/>
        </w:rPr>
        <w:t xml:space="preserve"> </w:t>
      </w:r>
      <w:r w:rsidRPr="00285AD4">
        <w:rPr>
          <w:rFonts w:cs="Arial" w:hint="cs"/>
          <w:sz w:val="16"/>
          <w:szCs w:val="16"/>
          <w:rtl/>
        </w:rPr>
        <w:t>עדים</w:t>
      </w:r>
      <w:r>
        <w:rPr>
          <w:rFonts w:cs="Arial" w:hint="cs"/>
          <w:sz w:val="16"/>
          <w:szCs w:val="16"/>
          <w:rtl/>
        </w:rPr>
        <w:t>)</w:t>
      </w:r>
      <w:r>
        <w:rPr>
          <w:rFonts w:cs="Arial"/>
          <w:rtl/>
        </w:rPr>
        <w:t>.</w:t>
      </w:r>
      <w:r w:rsidRPr="00285AD4">
        <w:rPr>
          <w:rFonts w:cs="Arial" w:hint="cs"/>
          <w:rtl/>
        </w:rPr>
        <w:t xml:space="preserve"> </w:t>
      </w:r>
      <w:r>
        <w:rPr>
          <w:rFonts w:cs="Arial" w:hint="cs"/>
          <w:rtl/>
        </w:rPr>
        <w:t>אך בפרק</w:t>
      </w:r>
      <w:r>
        <w:rPr>
          <w:rFonts w:cs="Arial"/>
          <w:rtl/>
        </w:rPr>
        <w:t xml:space="preserve"> </w:t>
      </w:r>
      <w:r>
        <w:rPr>
          <w:rFonts w:cs="Arial" w:hint="cs"/>
          <w:rtl/>
        </w:rPr>
        <w:t>השולח</w:t>
      </w:r>
      <w:r w:rsidRPr="00CF40F8">
        <w:rPr>
          <w:rFonts w:cs="Arial"/>
          <w:sz w:val="16"/>
          <w:szCs w:val="16"/>
          <w:rtl/>
        </w:rPr>
        <w:t xml:space="preserve"> (</w:t>
      </w:r>
      <w:r w:rsidRPr="00CF40F8">
        <w:rPr>
          <w:rFonts w:cs="Arial" w:hint="cs"/>
          <w:sz w:val="16"/>
          <w:szCs w:val="16"/>
          <w:rtl/>
        </w:rPr>
        <w:t>סי</w:t>
      </w:r>
      <w:r w:rsidRPr="00CF40F8">
        <w:rPr>
          <w:rFonts w:cs="Arial"/>
          <w:sz w:val="16"/>
          <w:szCs w:val="16"/>
          <w:rtl/>
        </w:rPr>
        <w:t xml:space="preserve">' </w:t>
      </w:r>
      <w:r w:rsidRPr="00CF40F8">
        <w:rPr>
          <w:rFonts w:cs="Arial" w:hint="cs"/>
          <w:sz w:val="16"/>
          <w:szCs w:val="16"/>
          <w:rtl/>
        </w:rPr>
        <w:t>שסח</w:t>
      </w:r>
      <w:r w:rsidRPr="00CF40F8">
        <w:rPr>
          <w:rFonts w:cs="Arial"/>
          <w:sz w:val="16"/>
          <w:szCs w:val="16"/>
          <w:rtl/>
        </w:rPr>
        <w:t>)</w:t>
      </w:r>
      <w:r>
        <w:rPr>
          <w:rFonts w:cs="Arial"/>
          <w:rtl/>
        </w:rPr>
        <w:t xml:space="preserve"> </w:t>
      </w:r>
      <w:r>
        <w:rPr>
          <w:rFonts w:cs="Arial" w:hint="cs"/>
          <w:rtl/>
        </w:rPr>
        <w:t>כתב</w:t>
      </w:r>
      <w:r>
        <w:rPr>
          <w:rFonts w:cs="Arial"/>
          <w:rtl/>
        </w:rPr>
        <w:t xml:space="preserve"> </w:t>
      </w:r>
      <w:r>
        <w:rPr>
          <w:rFonts w:cs="Arial" w:hint="cs"/>
          <w:rtl/>
        </w:rPr>
        <w:t xml:space="preserve">כדברי בעל התרומה </w:t>
      </w:r>
      <w:r w:rsidRPr="00285AD4">
        <w:rPr>
          <w:rFonts w:cs="Arial" w:hint="cs"/>
          <w:sz w:val="16"/>
          <w:szCs w:val="16"/>
          <w:rtl/>
        </w:rPr>
        <w:t>(</w:t>
      </w:r>
      <w:r w:rsidR="000A0F5A">
        <w:rPr>
          <w:rFonts w:cs="Arial" w:hint="cs"/>
          <w:sz w:val="16"/>
          <w:szCs w:val="16"/>
          <w:rtl/>
        </w:rPr>
        <w:t>וז</w:t>
      </w:r>
      <w:r w:rsidR="000A0F5A">
        <w:rPr>
          <w:rFonts w:cs="Arial"/>
          <w:sz w:val="16"/>
          <w:szCs w:val="16"/>
          <w:rtl/>
        </w:rPr>
        <w:t>"</w:t>
      </w:r>
      <w:r w:rsidR="000A0F5A">
        <w:rPr>
          <w:rFonts w:cs="Arial" w:hint="cs"/>
          <w:sz w:val="16"/>
          <w:szCs w:val="16"/>
          <w:rtl/>
        </w:rPr>
        <w:t>ל:</w:t>
      </w:r>
      <w:r w:rsidRPr="00285AD4">
        <w:rPr>
          <w:rFonts w:cs="Arial" w:hint="cs"/>
          <w:sz w:val="16"/>
          <w:szCs w:val="16"/>
          <w:rtl/>
        </w:rPr>
        <w:t xml:space="preserve"> אבל</w:t>
      </w:r>
      <w:r w:rsidRPr="00285AD4">
        <w:rPr>
          <w:rFonts w:cs="Arial"/>
          <w:sz w:val="16"/>
          <w:szCs w:val="16"/>
          <w:rtl/>
        </w:rPr>
        <w:t xml:space="preserve"> </w:t>
      </w:r>
      <w:r w:rsidRPr="00285AD4">
        <w:rPr>
          <w:rFonts w:cs="Arial" w:hint="cs"/>
          <w:sz w:val="16"/>
          <w:szCs w:val="16"/>
          <w:rtl/>
        </w:rPr>
        <w:t>הסופר</w:t>
      </w:r>
      <w:r w:rsidRPr="00285AD4">
        <w:rPr>
          <w:rFonts w:cs="Arial"/>
          <w:sz w:val="16"/>
          <w:szCs w:val="16"/>
          <w:rtl/>
        </w:rPr>
        <w:t xml:space="preserve"> </w:t>
      </w:r>
      <w:r w:rsidRPr="00285AD4">
        <w:rPr>
          <w:rFonts w:cs="Arial" w:hint="cs"/>
          <w:sz w:val="16"/>
          <w:szCs w:val="16"/>
          <w:rtl/>
        </w:rPr>
        <w:t>שכותב</w:t>
      </w:r>
      <w:r w:rsidRPr="00285AD4">
        <w:rPr>
          <w:rFonts w:cs="Arial"/>
          <w:sz w:val="16"/>
          <w:szCs w:val="16"/>
          <w:rtl/>
        </w:rPr>
        <w:t xml:space="preserve"> </w:t>
      </w:r>
      <w:r w:rsidRPr="00285AD4">
        <w:rPr>
          <w:rFonts w:cs="Arial" w:hint="cs"/>
          <w:sz w:val="16"/>
          <w:szCs w:val="16"/>
          <w:rtl/>
        </w:rPr>
        <w:t>מנין</w:t>
      </w:r>
      <w:r w:rsidRPr="00285AD4">
        <w:rPr>
          <w:rFonts w:cs="Arial"/>
          <w:sz w:val="16"/>
          <w:szCs w:val="16"/>
          <w:rtl/>
        </w:rPr>
        <w:t xml:space="preserve"> </w:t>
      </w:r>
      <w:r w:rsidRPr="00285AD4">
        <w:rPr>
          <w:rFonts w:cs="Arial" w:hint="cs"/>
          <w:sz w:val="16"/>
          <w:szCs w:val="16"/>
          <w:rtl/>
        </w:rPr>
        <w:t>שאנו</w:t>
      </w:r>
      <w:r w:rsidRPr="00285AD4">
        <w:rPr>
          <w:rFonts w:cs="Arial"/>
          <w:sz w:val="16"/>
          <w:szCs w:val="16"/>
          <w:rtl/>
        </w:rPr>
        <w:t xml:space="preserve"> </w:t>
      </w:r>
      <w:r w:rsidRPr="00285AD4">
        <w:rPr>
          <w:rFonts w:cs="Arial" w:hint="cs"/>
          <w:sz w:val="16"/>
          <w:szCs w:val="16"/>
          <w:rtl/>
        </w:rPr>
        <w:t>מונין</w:t>
      </w:r>
      <w:r w:rsidRPr="00285AD4">
        <w:rPr>
          <w:rFonts w:cs="Arial"/>
          <w:sz w:val="16"/>
          <w:szCs w:val="16"/>
          <w:rtl/>
        </w:rPr>
        <w:t xml:space="preserve"> </w:t>
      </w:r>
      <w:r w:rsidRPr="00285AD4">
        <w:rPr>
          <w:rFonts w:cs="Arial" w:hint="cs"/>
          <w:sz w:val="16"/>
          <w:szCs w:val="16"/>
          <w:rtl/>
        </w:rPr>
        <w:t>בו</w:t>
      </w:r>
      <w:r w:rsidRPr="00285AD4">
        <w:rPr>
          <w:rFonts w:cs="Arial"/>
          <w:sz w:val="16"/>
          <w:szCs w:val="16"/>
          <w:rtl/>
        </w:rPr>
        <w:t xml:space="preserve"> </w:t>
      </w:r>
      <w:r w:rsidRPr="00285AD4">
        <w:rPr>
          <w:rFonts w:cs="Arial" w:hint="cs"/>
          <w:sz w:val="16"/>
          <w:szCs w:val="16"/>
          <w:rtl/>
        </w:rPr>
        <w:t>כאן</w:t>
      </w:r>
      <w:r w:rsidRPr="00285AD4">
        <w:rPr>
          <w:rFonts w:cs="Arial"/>
          <w:sz w:val="16"/>
          <w:szCs w:val="16"/>
          <w:rtl/>
        </w:rPr>
        <w:t xml:space="preserve"> </w:t>
      </w:r>
      <w:r w:rsidRPr="00285AD4">
        <w:rPr>
          <w:rFonts w:cs="Arial" w:hint="cs"/>
          <w:sz w:val="16"/>
          <w:szCs w:val="16"/>
          <w:rtl/>
        </w:rPr>
        <w:t>יש</w:t>
      </w:r>
      <w:r w:rsidRPr="00285AD4">
        <w:rPr>
          <w:rFonts w:cs="Arial"/>
          <w:sz w:val="16"/>
          <w:szCs w:val="16"/>
          <w:rtl/>
        </w:rPr>
        <w:t xml:space="preserve"> </w:t>
      </w:r>
      <w:r w:rsidRPr="00285AD4">
        <w:rPr>
          <w:rFonts w:cs="Arial" w:hint="cs"/>
          <w:sz w:val="16"/>
          <w:szCs w:val="16"/>
          <w:rtl/>
        </w:rPr>
        <w:t>לו</w:t>
      </w:r>
      <w:r w:rsidRPr="00285AD4">
        <w:rPr>
          <w:rFonts w:cs="Arial"/>
          <w:sz w:val="16"/>
          <w:szCs w:val="16"/>
          <w:rtl/>
        </w:rPr>
        <w:t xml:space="preserve"> </w:t>
      </w:r>
      <w:r w:rsidRPr="00285AD4">
        <w:rPr>
          <w:rFonts w:cs="Arial" w:hint="cs"/>
          <w:sz w:val="16"/>
          <w:szCs w:val="16"/>
          <w:rtl/>
        </w:rPr>
        <w:t>לכתוב</w:t>
      </w:r>
      <w:r w:rsidRPr="00285AD4">
        <w:rPr>
          <w:rFonts w:cs="Arial"/>
          <w:sz w:val="16"/>
          <w:szCs w:val="16"/>
          <w:rtl/>
        </w:rPr>
        <w:t xml:space="preserve"> </w:t>
      </w:r>
      <w:r w:rsidRPr="00285AD4">
        <w:rPr>
          <w:rFonts w:cs="Arial" w:hint="cs"/>
          <w:sz w:val="16"/>
          <w:szCs w:val="16"/>
          <w:rtl/>
        </w:rPr>
        <w:t>מקום</w:t>
      </w:r>
      <w:r w:rsidRPr="00285AD4">
        <w:rPr>
          <w:rFonts w:cs="Arial"/>
          <w:sz w:val="16"/>
          <w:szCs w:val="16"/>
          <w:rtl/>
        </w:rPr>
        <w:t xml:space="preserve"> </w:t>
      </w:r>
      <w:r w:rsidRPr="00285AD4">
        <w:rPr>
          <w:rFonts w:cs="Arial" w:hint="cs"/>
          <w:sz w:val="16"/>
          <w:szCs w:val="16"/>
          <w:rtl/>
        </w:rPr>
        <w:t>שעומד</w:t>
      </w:r>
      <w:r w:rsidRPr="00285AD4">
        <w:rPr>
          <w:rFonts w:cs="Arial"/>
          <w:sz w:val="16"/>
          <w:szCs w:val="16"/>
          <w:rtl/>
        </w:rPr>
        <w:t xml:space="preserve"> </w:t>
      </w:r>
      <w:r w:rsidRPr="00285AD4">
        <w:rPr>
          <w:rFonts w:cs="Arial" w:hint="cs"/>
          <w:sz w:val="16"/>
          <w:szCs w:val="16"/>
          <w:rtl/>
        </w:rPr>
        <w:t>בשעה</w:t>
      </w:r>
      <w:r w:rsidRPr="00285AD4">
        <w:rPr>
          <w:rFonts w:cs="Arial"/>
          <w:sz w:val="16"/>
          <w:szCs w:val="16"/>
          <w:rtl/>
        </w:rPr>
        <w:t xml:space="preserve"> </w:t>
      </w:r>
      <w:r w:rsidRPr="00285AD4">
        <w:rPr>
          <w:rFonts w:cs="Arial" w:hint="cs"/>
          <w:sz w:val="16"/>
          <w:szCs w:val="16"/>
          <w:rtl/>
        </w:rPr>
        <w:t>שכותב</w:t>
      </w:r>
      <w:r w:rsidRPr="00285AD4">
        <w:rPr>
          <w:rFonts w:cs="Arial"/>
          <w:sz w:val="16"/>
          <w:szCs w:val="16"/>
          <w:rtl/>
        </w:rPr>
        <w:t xml:space="preserve"> </w:t>
      </w:r>
      <w:r w:rsidRPr="00285AD4">
        <w:rPr>
          <w:rFonts w:cs="Arial" w:hint="cs"/>
          <w:sz w:val="16"/>
          <w:szCs w:val="16"/>
          <w:rtl/>
        </w:rPr>
        <w:t>הגט</w:t>
      </w:r>
      <w:r w:rsidRPr="00285AD4">
        <w:rPr>
          <w:rFonts w:cs="Arial"/>
          <w:sz w:val="16"/>
          <w:szCs w:val="16"/>
          <w:rtl/>
        </w:rPr>
        <w:t xml:space="preserve"> </w:t>
      </w:r>
      <w:r w:rsidRPr="00285AD4">
        <w:rPr>
          <w:rFonts w:cs="Arial" w:hint="cs"/>
          <w:sz w:val="16"/>
          <w:szCs w:val="16"/>
          <w:rtl/>
        </w:rPr>
        <w:t>אע</w:t>
      </w:r>
      <w:r>
        <w:rPr>
          <w:rFonts w:cs="Arial" w:hint="cs"/>
          <w:sz w:val="16"/>
          <w:szCs w:val="16"/>
          <w:rtl/>
        </w:rPr>
        <w:t>"</w:t>
      </w:r>
      <w:r w:rsidRPr="00285AD4">
        <w:rPr>
          <w:rFonts w:cs="Arial" w:hint="cs"/>
          <w:sz w:val="16"/>
          <w:szCs w:val="16"/>
          <w:rtl/>
        </w:rPr>
        <w:t>פ</w:t>
      </w:r>
      <w:r w:rsidRPr="00285AD4">
        <w:rPr>
          <w:rFonts w:cs="Arial"/>
          <w:sz w:val="16"/>
          <w:szCs w:val="16"/>
          <w:rtl/>
        </w:rPr>
        <w:t xml:space="preserve"> </w:t>
      </w:r>
      <w:r w:rsidRPr="00285AD4">
        <w:rPr>
          <w:rFonts w:cs="Arial" w:hint="cs"/>
          <w:sz w:val="16"/>
          <w:szCs w:val="16"/>
          <w:rtl/>
        </w:rPr>
        <w:t>שאינו</w:t>
      </w:r>
      <w:r w:rsidRPr="00285AD4">
        <w:rPr>
          <w:rFonts w:cs="Arial"/>
          <w:sz w:val="16"/>
          <w:szCs w:val="16"/>
          <w:rtl/>
        </w:rPr>
        <w:t xml:space="preserve"> </w:t>
      </w:r>
      <w:r w:rsidRPr="00285AD4">
        <w:rPr>
          <w:rFonts w:cs="Arial" w:hint="cs"/>
          <w:sz w:val="16"/>
          <w:szCs w:val="16"/>
          <w:rtl/>
        </w:rPr>
        <w:t>מקום</w:t>
      </w:r>
      <w:r w:rsidRPr="00285AD4">
        <w:rPr>
          <w:rFonts w:cs="Arial"/>
          <w:sz w:val="16"/>
          <w:szCs w:val="16"/>
          <w:rtl/>
        </w:rPr>
        <w:t xml:space="preserve"> </w:t>
      </w:r>
      <w:r w:rsidRPr="00285AD4">
        <w:rPr>
          <w:rFonts w:cs="Arial" w:hint="cs"/>
          <w:sz w:val="16"/>
          <w:szCs w:val="16"/>
          <w:rtl/>
        </w:rPr>
        <w:t>דירתו</w:t>
      </w:r>
      <w:r w:rsidRPr="00285AD4">
        <w:rPr>
          <w:rFonts w:cs="Arial"/>
          <w:sz w:val="16"/>
          <w:szCs w:val="16"/>
          <w:rtl/>
        </w:rPr>
        <w:t xml:space="preserve"> </w:t>
      </w:r>
      <w:r w:rsidRPr="00285AD4">
        <w:rPr>
          <w:rFonts w:cs="Arial" w:hint="cs"/>
          <w:sz w:val="16"/>
          <w:szCs w:val="16"/>
          <w:rtl/>
        </w:rPr>
        <w:t>כדתנן</w:t>
      </w:r>
      <w:r w:rsidRPr="00285AD4">
        <w:rPr>
          <w:rFonts w:cs="Arial"/>
          <w:sz w:val="16"/>
          <w:szCs w:val="16"/>
          <w:rtl/>
        </w:rPr>
        <w:t xml:space="preserve"> </w:t>
      </w:r>
      <w:r w:rsidRPr="00285AD4">
        <w:rPr>
          <w:rFonts w:cs="Arial" w:hint="cs"/>
          <w:sz w:val="16"/>
          <w:szCs w:val="16"/>
          <w:rtl/>
        </w:rPr>
        <w:t>היה</w:t>
      </w:r>
      <w:r w:rsidRPr="00285AD4">
        <w:rPr>
          <w:rFonts w:cs="Arial"/>
          <w:sz w:val="16"/>
          <w:szCs w:val="16"/>
          <w:rtl/>
        </w:rPr>
        <w:t xml:space="preserve"> </w:t>
      </w:r>
      <w:r w:rsidRPr="00285AD4">
        <w:rPr>
          <w:rFonts w:cs="Arial" w:hint="cs"/>
          <w:sz w:val="16"/>
          <w:szCs w:val="16"/>
          <w:rtl/>
        </w:rPr>
        <w:t>במזרח</w:t>
      </w:r>
      <w:r w:rsidRPr="00285AD4">
        <w:rPr>
          <w:rFonts w:cs="Arial"/>
          <w:sz w:val="16"/>
          <w:szCs w:val="16"/>
          <w:rtl/>
        </w:rPr>
        <w:t xml:space="preserve"> </w:t>
      </w:r>
      <w:r w:rsidRPr="00285AD4">
        <w:rPr>
          <w:rFonts w:cs="Arial" w:hint="cs"/>
          <w:sz w:val="16"/>
          <w:szCs w:val="16"/>
          <w:rtl/>
        </w:rPr>
        <w:t>וכו</w:t>
      </w:r>
      <w:r w:rsidRPr="00285AD4">
        <w:rPr>
          <w:rFonts w:cs="Arial"/>
          <w:sz w:val="16"/>
          <w:szCs w:val="16"/>
          <w:rtl/>
        </w:rPr>
        <w:t xml:space="preserve">' </w:t>
      </w:r>
      <w:r w:rsidRPr="00285AD4">
        <w:rPr>
          <w:rFonts w:cs="Arial" w:hint="cs"/>
          <w:sz w:val="16"/>
          <w:szCs w:val="16"/>
          <w:rtl/>
        </w:rPr>
        <w:t>ומוקי</w:t>
      </w:r>
      <w:r w:rsidRPr="00285AD4">
        <w:rPr>
          <w:rFonts w:cs="Arial"/>
          <w:sz w:val="16"/>
          <w:szCs w:val="16"/>
          <w:rtl/>
        </w:rPr>
        <w:t xml:space="preserve"> </w:t>
      </w:r>
      <w:r w:rsidRPr="00285AD4">
        <w:rPr>
          <w:rFonts w:cs="Arial" w:hint="cs"/>
          <w:sz w:val="16"/>
          <w:szCs w:val="16"/>
          <w:rtl/>
        </w:rPr>
        <w:t>לה</w:t>
      </w:r>
      <w:r w:rsidRPr="00285AD4">
        <w:rPr>
          <w:rFonts w:cs="Arial"/>
          <w:sz w:val="16"/>
          <w:szCs w:val="16"/>
          <w:rtl/>
        </w:rPr>
        <w:t xml:space="preserve"> </w:t>
      </w:r>
      <w:r w:rsidRPr="00285AD4">
        <w:rPr>
          <w:rFonts w:cs="Arial" w:hint="cs"/>
          <w:sz w:val="16"/>
          <w:szCs w:val="16"/>
          <w:rtl/>
        </w:rPr>
        <w:t>בסופר</w:t>
      </w:r>
      <w:r>
        <w:rPr>
          <w:rFonts w:cs="Arial" w:hint="cs"/>
          <w:sz w:val="16"/>
          <w:szCs w:val="16"/>
          <w:rtl/>
        </w:rPr>
        <w:t>)</w:t>
      </w:r>
      <w:r>
        <w:rPr>
          <w:rFonts w:cs="Arial"/>
          <w:rtl/>
        </w:rPr>
        <w:t>.</w:t>
      </w:r>
    </w:p>
  </w:footnote>
  <w:footnote w:id="943">
    <w:p w14:paraId="078E434F" w14:textId="77777777" w:rsidR="00FA2119" w:rsidRDefault="00FA2119" w:rsidP="00FA2119">
      <w:pPr>
        <w:pStyle w:val="a5"/>
      </w:pPr>
      <w:r>
        <w:rPr>
          <w:rStyle w:val="a7"/>
        </w:rPr>
        <w:footnoteRef/>
      </w:r>
      <w:r>
        <w:rPr>
          <w:rtl/>
        </w:rPr>
        <w:t xml:space="preserve"> </w:t>
      </w:r>
      <w:r>
        <w:rPr>
          <w:rFonts w:cs="Arial" w:hint="cs"/>
          <w:rtl/>
        </w:rPr>
        <w:t>הרמב</w:t>
      </w:r>
      <w:r>
        <w:rPr>
          <w:rFonts w:cs="Arial"/>
          <w:rtl/>
        </w:rPr>
        <w:t>"</w:t>
      </w:r>
      <w:r>
        <w:rPr>
          <w:rFonts w:cs="Arial" w:hint="cs"/>
          <w:rtl/>
        </w:rPr>
        <w:t>ם</w:t>
      </w:r>
      <w:r>
        <w:rPr>
          <w:rFonts w:cs="Arial"/>
          <w:rtl/>
        </w:rPr>
        <w:t xml:space="preserve"> </w:t>
      </w:r>
      <w:r>
        <w:rPr>
          <w:rFonts w:cs="Arial" w:hint="cs"/>
          <w:rtl/>
        </w:rPr>
        <w:t>כתב</w:t>
      </w:r>
      <w:r>
        <w:rPr>
          <w:rFonts w:cs="Arial"/>
          <w:rtl/>
        </w:rPr>
        <w:t xml:space="preserve"> </w:t>
      </w:r>
      <w:r>
        <w:rPr>
          <w:rFonts w:cs="Arial" w:hint="cs"/>
          <w:rtl/>
        </w:rPr>
        <w:t>בפרק</w:t>
      </w:r>
      <w:r>
        <w:rPr>
          <w:rFonts w:cs="Arial"/>
          <w:rtl/>
        </w:rPr>
        <w:t xml:space="preserve"> </w:t>
      </w:r>
      <w:r>
        <w:rPr>
          <w:rFonts w:cs="Arial" w:hint="cs"/>
          <w:rtl/>
        </w:rPr>
        <w:t>א</w:t>
      </w:r>
      <w:r>
        <w:rPr>
          <w:rFonts w:cs="Arial"/>
          <w:rtl/>
        </w:rPr>
        <w:t>' (</w:t>
      </w:r>
      <w:r>
        <w:rPr>
          <w:rFonts w:cs="Arial" w:hint="cs"/>
          <w:rtl/>
        </w:rPr>
        <w:t>הכ</w:t>
      </w:r>
      <w:r>
        <w:rPr>
          <w:rFonts w:cs="Arial"/>
          <w:rtl/>
        </w:rPr>
        <w:t>"</w:t>
      </w:r>
      <w:r>
        <w:rPr>
          <w:rFonts w:cs="Arial" w:hint="cs"/>
          <w:rtl/>
        </w:rPr>
        <w:t>ה</w:t>
      </w:r>
      <w:r>
        <w:rPr>
          <w:rFonts w:cs="Arial"/>
          <w:rtl/>
        </w:rPr>
        <w:t xml:space="preserve">) </w:t>
      </w:r>
      <w:r>
        <w:rPr>
          <w:rFonts w:cs="Arial" w:hint="cs"/>
          <w:rtl/>
        </w:rPr>
        <w:t>דפסול,</w:t>
      </w:r>
      <w:r>
        <w:rPr>
          <w:rFonts w:cs="Arial"/>
          <w:rtl/>
        </w:rPr>
        <w:t xml:space="preserve"> </w:t>
      </w:r>
      <w:r>
        <w:rPr>
          <w:rFonts w:cs="Arial" w:hint="cs"/>
          <w:rtl/>
        </w:rPr>
        <w:t>ובפרק</w:t>
      </w:r>
      <w:r>
        <w:rPr>
          <w:rFonts w:cs="Arial"/>
          <w:rtl/>
        </w:rPr>
        <w:t xml:space="preserve"> </w:t>
      </w:r>
      <w:r>
        <w:rPr>
          <w:rFonts w:cs="Arial" w:hint="cs"/>
          <w:rtl/>
        </w:rPr>
        <w:t>י</w:t>
      </w:r>
      <w:r>
        <w:rPr>
          <w:rFonts w:cs="Arial"/>
          <w:rtl/>
        </w:rPr>
        <w:t>' (</w:t>
      </w:r>
      <w:r>
        <w:rPr>
          <w:rFonts w:cs="Arial" w:hint="cs"/>
          <w:rtl/>
        </w:rPr>
        <w:t>ה</w:t>
      </w:r>
      <w:r>
        <w:rPr>
          <w:rFonts w:cs="Arial"/>
          <w:rtl/>
        </w:rPr>
        <w:t>"</w:t>
      </w:r>
      <w:r>
        <w:rPr>
          <w:rFonts w:cs="Arial" w:hint="cs"/>
          <w:rtl/>
        </w:rPr>
        <w:t>ב</w:t>
      </w:r>
      <w:r>
        <w:rPr>
          <w:rFonts w:cs="Arial"/>
          <w:rtl/>
        </w:rPr>
        <w:t xml:space="preserve">) </w:t>
      </w:r>
      <w:r>
        <w:rPr>
          <w:rFonts w:cs="Arial" w:hint="cs"/>
          <w:rtl/>
        </w:rPr>
        <w:t>כתב</w:t>
      </w:r>
      <w:r>
        <w:rPr>
          <w:rFonts w:cs="Arial"/>
          <w:rtl/>
        </w:rPr>
        <w:t xml:space="preserve"> </w:t>
      </w:r>
      <w:r>
        <w:rPr>
          <w:rFonts w:cs="Arial" w:hint="cs"/>
          <w:rtl/>
        </w:rPr>
        <w:t>דכל</w:t>
      </w:r>
      <w:r>
        <w:rPr>
          <w:rFonts w:cs="Arial"/>
          <w:rtl/>
        </w:rPr>
        <w:t xml:space="preserve"> </w:t>
      </w:r>
      <w:r>
        <w:rPr>
          <w:rFonts w:cs="Arial" w:hint="cs"/>
          <w:rtl/>
        </w:rPr>
        <w:t>מקום</w:t>
      </w:r>
      <w:r>
        <w:rPr>
          <w:rFonts w:cs="Arial"/>
          <w:rtl/>
        </w:rPr>
        <w:t xml:space="preserve"> </w:t>
      </w:r>
      <w:r>
        <w:rPr>
          <w:rFonts w:cs="Arial" w:hint="cs"/>
          <w:rtl/>
        </w:rPr>
        <w:t>שכתב</w:t>
      </w:r>
      <w:r>
        <w:rPr>
          <w:rFonts w:cs="Arial"/>
          <w:rtl/>
        </w:rPr>
        <w:t xml:space="preserve"> </w:t>
      </w:r>
      <w:r>
        <w:rPr>
          <w:rFonts w:cs="Arial" w:hint="cs"/>
          <w:rtl/>
        </w:rPr>
        <w:t>פסול</w:t>
      </w:r>
      <w:r>
        <w:rPr>
          <w:rFonts w:cs="Arial"/>
          <w:rtl/>
        </w:rPr>
        <w:t xml:space="preserve"> </w:t>
      </w:r>
      <w:r>
        <w:rPr>
          <w:rFonts w:cs="Arial" w:hint="cs"/>
          <w:rtl/>
        </w:rPr>
        <w:t>אם</w:t>
      </w:r>
      <w:r>
        <w:rPr>
          <w:rFonts w:cs="Arial"/>
          <w:rtl/>
        </w:rPr>
        <w:t xml:space="preserve"> </w:t>
      </w:r>
      <w:r>
        <w:rPr>
          <w:rFonts w:cs="Arial" w:hint="cs"/>
          <w:rtl/>
        </w:rPr>
        <w:t>נישאת</w:t>
      </w:r>
      <w:r>
        <w:rPr>
          <w:rFonts w:cs="Arial"/>
          <w:rtl/>
        </w:rPr>
        <w:t xml:space="preserve"> </w:t>
      </w:r>
      <w:r>
        <w:rPr>
          <w:rFonts w:cs="Arial" w:hint="cs"/>
          <w:rtl/>
        </w:rPr>
        <w:t>לא</w:t>
      </w:r>
      <w:r>
        <w:rPr>
          <w:rFonts w:cs="Arial"/>
          <w:rtl/>
        </w:rPr>
        <w:t xml:space="preserve"> </w:t>
      </w:r>
      <w:r>
        <w:rPr>
          <w:rFonts w:cs="Arial" w:hint="cs"/>
          <w:rtl/>
        </w:rPr>
        <w:t>תצא, ב"י.</w:t>
      </w:r>
    </w:p>
  </w:footnote>
  <w:footnote w:id="944">
    <w:p w14:paraId="77B8DEED" w14:textId="2F0EC2C6"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3C7C89">
        <w:rPr>
          <w:rFonts w:cs="Arial" w:hint="cs"/>
          <w:rtl/>
        </w:rPr>
        <w:t>ואם</w:t>
      </w:r>
      <w:r w:rsidRPr="003C7C89">
        <w:rPr>
          <w:rFonts w:cs="Arial"/>
          <w:rtl/>
        </w:rPr>
        <w:t xml:space="preserve"> </w:t>
      </w:r>
      <w:r w:rsidRPr="003C7C89">
        <w:rPr>
          <w:rFonts w:cs="Arial" w:hint="cs"/>
          <w:rtl/>
        </w:rPr>
        <w:t>שינה</w:t>
      </w:r>
      <w:r w:rsidRPr="003C7C89">
        <w:rPr>
          <w:rFonts w:cs="Arial"/>
          <w:rtl/>
        </w:rPr>
        <w:t xml:space="preserve"> </w:t>
      </w:r>
      <w:r w:rsidRPr="003C7C89">
        <w:rPr>
          <w:rFonts w:cs="Arial" w:hint="cs"/>
          <w:rtl/>
        </w:rPr>
        <w:t>והזכיר</w:t>
      </w:r>
      <w:r w:rsidRPr="003C7C89">
        <w:rPr>
          <w:rFonts w:cs="Arial"/>
          <w:rtl/>
        </w:rPr>
        <w:t xml:space="preserve"> </w:t>
      </w:r>
      <w:r w:rsidRPr="003C7C89">
        <w:rPr>
          <w:rFonts w:cs="Arial" w:hint="cs"/>
          <w:rtl/>
        </w:rPr>
        <w:t>בו</w:t>
      </w:r>
      <w:r w:rsidRPr="003C7C89">
        <w:rPr>
          <w:rFonts w:cs="Arial"/>
          <w:rtl/>
        </w:rPr>
        <w:t xml:space="preserve"> </w:t>
      </w:r>
      <w:r w:rsidRPr="003C7C89">
        <w:rPr>
          <w:rFonts w:cs="Arial" w:hint="cs"/>
          <w:rtl/>
        </w:rPr>
        <w:t>מקום</w:t>
      </w:r>
      <w:r w:rsidRPr="003C7C89">
        <w:rPr>
          <w:rFonts w:cs="Arial"/>
          <w:rtl/>
        </w:rPr>
        <w:t xml:space="preserve"> </w:t>
      </w:r>
      <w:r w:rsidRPr="003C7C89">
        <w:rPr>
          <w:rFonts w:cs="Arial" w:hint="cs"/>
          <w:rtl/>
        </w:rPr>
        <w:t>אחר</w:t>
      </w:r>
      <w:r w:rsidRPr="003C7C89">
        <w:rPr>
          <w:rFonts w:cs="Arial"/>
          <w:rtl/>
        </w:rPr>
        <w:t xml:space="preserve"> </w:t>
      </w:r>
      <w:r w:rsidR="00A42812">
        <w:rPr>
          <w:rFonts w:cs="Arial"/>
          <w:rtl/>
        </w:rPr>
        <w:t>-</w:t>
      </w:r>
      <w:r>
        <w:rPr>
          <w:rFonts w:cs="Arial" w:hint="cs"/>
          <w:rtl/>
        </w:rPr>
        <w:t xml:space="preserve"> </w:t>
      </w:r>
      <w:r w:rsidRPr="003C7C89">
        <w:rPr>
          <w:rFonts w:cs="Arial" w:hint="cs"/>
          <w:rtl/>
        </w:rPr>
        <w:t>פסול</w:t>
      </w:r>
      <w:r>
        <w:rPr>
          <w:rFonts w:cs="Arial" w:hint="cs"/>
          <w:rtl/>
        </w:rPr>
        <w:t>.</w:t>
      </w:r>
    </w:p>
  </w:footnote>
  <w:footnote w:id="945">
    <w:p w14:paraId="0A4D10E7" w14:textId="77777777" w:rsidR="00FA2119" w:rsidRDefault="00FA2119" w:rsidP="00FA2119">
      <w:pPr>
        <w:pStyle w:val="a5"/>
      </w:pPr>
      <w:r>
        <w:rPr>
          <w:rStyle w:val="a7"/>
        </w:rPr>
        <w:footnoteRef/>
      </w:r>
      <w:r>
        <w:rPr>
          <w:rtl/>
        </w:rPr>
        <w:t xml:space="preserve"> </w:t>
      </w:r>
      <w:r>
        <w:rPr>
          <w:rFonts w:cs="Arial" w:hint="cs"/>
          <w:rtl/>
        </w:rPr>
        <w:t>וכן</w:t>
      </w:r>
      <w:r>
        <w:rPr>
          <w:rFonts w:cs="Arial"/>
          <w:rtl/>
        </w:rPr>
        <w:t xml:space="preserve"> </w:t>
      </w:r>
      <w:r>
        <w:rPr>
          <w:rFonts w:cs="Arial" w:hint="cs"/>
          <w:rtl/>
        </w:rPr>
        <w:t>דעת</w:t>
      </w:r>
      <w:r>
        <w:rPr>
          <w:rFonts w:cs="Arial"/>
          <w:rtl/>
        </w:rPr>
        <w:t xml:space="preserve"> </w:t>
      </w:r>
      <w:r>
        <w:rPr>
          <w:rFonts w:cs="Arial" w:hint="cs"/>
          <w:rtl/>
        </w:rPr>
        <w:t>הרי</w:t>
      </w:r>
      <w:r>
        <w:rPr>
          <w:rFonts w:cs="Arial"/>
          <w:rtl/>
        </w:rPr>
        <w:t>"</w:t>
      </w:r>
      <w:r>
        <w:rPr>
          <w:rFonts w:cs="Arial" w:hint="cs"/>
          <w:rtl/>
        </w:rPr>
        <w:t>ף</w:t>
      </w:r>
      <w:r>
        <w:rPr>
          <w:rFonts w:cs="Arial"/>
          <w:rtl/>
        </w:rPr>
        <w:t xml:space="preserve"> </w:t>
      </w:r>
      <w:r w:rsidRPr="000F4AE6">
        <w:rPr>
          <w:rFonts w:cs="Arial"/>
          <w:sz w:val="16"/>
          <w:szCs w:val="16"/>
          <w:rtl/>
        </w:rPr>
        <w:t>(</w:t>
      </w:r>
      <w:r w:rsidRPr="000F4AE6">
        <w:rPr>
          <w:rFonts w:cs="Arial" w:hint="cs"/>
          <w:sz w:val="16"/>
          <w:szCs w:val="16"/>
          <w:rtl/>
        </w:rPr>
        <w:t>מו</w:t>
      </w:r>
      <w:r w:rsidRPr="000F4AE6">
        <w:rPr>
          <w:rFonts w:cs="Arial"/>
          <w:sz w:val="16"/>
          <w:szCs w:val="16"/>
          <w:rtl/>
        </w:rPr>
        <w:t xml:space="preserve">.) </w:t>
      </w:r>
      <w:r>
        <w:rPr>
          <w:rFonts w:cs="Arial" w:hint="cs"/>
          <w:rtl/>
        </w:rPr>
        <w:t>לפי</w:t>
      </w:r>
      <w:r>
        <w:rPr>
          <w:rFonts w:cs="Arial"/>
          <w:rtl/>
        </w:rPr>
        <w:t xml:space="preserve"> </w:t>
      </w:r>
      <w:r>
        <w:rPr>
          <w:rFonts w:cs="Arial" w:hint="cs"/>
          <w:rtl/>
        </w:rPr>
        <w:t>דברי</w:t>
      </w:r>
      <w:r>
        <w:rPr>
          <w:rFonts w:cs="Arial"/>
          <w:rtl/>
        </w:rPr>
        <w:t xml:space="preserve"> </w:t>
      </w:r>
      <w:r>
        <w:rPr>
          <w:rFonts w:cs="Arial" w:hint="cs"/>
          <w:rtl/>
        </w:rPr>
        <w:t>הר</w:t>
      </w:r>
      <w:r>
        <w:rPr>
          <w:rFonts w:cs="Arial"/>
          <w:rtl/>
        </w:rPr>
        <w:t>"</w:t>
      </w:r>
      <w:r>
        <w:rPr>
          <w:rFonts w:cs="Arial" w:hint="cs"/>
          <w:rtl/>
        </w:rPr>
        <w:t>ן</w:t>
      </w:r>
      <w:r>
        <w:rPr>
          <w:rFonts w:cs="Arial"/>
          <w:rtl/>
        </w:rPr>
        <w:t xml:space="preserve"> </w:t>
      </w:r>
      <w:r w:rsidRPr="000F4AE6">
        <w:rPr>
          <w:rFonts w:cs="Arial"/>
          <w:sz w:val="16"/>
          <w:szCs w:val="16"/>
          <w:rtl/>
        </w:rPr>
        <w:t>(</w:t>
      </w:r>
      <w:r w:rsidRPr="000F4AE6">
        <w:rPr>
          <w:rFonts w:cs="Arial" w:hint="cs"/>
          <w:sz w:val="16"/>
          <w:szCs w:val="16"/>
          <w:rtl/>
        </w:rPr>
        <w:t>מו</w:t>
      </w:r>
      <w:r w:rsidRPr="000F4AE6">
        <w:rPr>
          <w:rFonts w:cs="Arial"/>
          <w:sz w:val="16"/>
          <w:szCs w:val="16"/>
          <w:rtl/>
        </w:rPr>
        <w:t xml:space="preserve">: </w:t>
      </w:r>
      <w:r w:rsidRPr="000F4AE6">
        <w:rPr>
          <w:rFonts w:cs="Arial" w:hint="cs"/>
          <w:sz w:val="16"/>
          <w:szCs w:val="16"/>
          <w:rtl/>
        </w:rPr>
        <w:t>דיבור</w:t>
      </w:r>
      <w:r w:rsidRPr="000F4AE6">
        <w:rPr>
          <w:rFonts w:cs="Arial"/>
          <w:sz w:val="16"/>
          <w:szCs w:val="16"/>
          <w:rtl/>
        </w:rPr>
        <w:t xml:space="preserve"> </w:t>
      </w:r>
      <w:r w:rsidRPr="000F4AE6">
        <w:rPr>
          <w:rFonts w:cs="Arial" w:hint="cs"/>
          <w:sz w:val="16"/>
          <w:szCs w:val="16"/>
          <w:rtl/>
        </w:rPr>
        <w:t>ראשון</w:t>
      </w:r>
      <w:r w:rsidRPr="000F4AE6">
        <w:rPr>
          <w:rFonts w:cs="Arial"/>
          <w:sz w:val="16"/>
          <w:szCs w:val="16"/>
          <w:rtl/>
        </w:rPr>
        <w:t>)</w:t>
      </w:r>
      <w:r>
        <w:rPr>
          <w:rFonts w:cs="Arial"/>
          <w:rtl/>
        </w:rPr>
        <w:t xml:space="preserve">. </w:t>
      </w:r>
      <w:r>
        <w:rPr>
          <w:rFonts w:cs="Arial" w:hint="cs"/>
          <w:rtl/>
        </w:rPr>
        <w:t>וכתב</w:t>
      </w:r>
      <w:r>
        <w:rPr>
          <w:rFonts w:cs="Arial"/>
          <w:rtl/>
        </w:rPr>
        <w:t xml:space="preserve"> </w:t>
      </w:r>
      <w:r>
        <w:rPr>
          <w:rFonts w:cs="Arial" w:hint="cs"/>
          <w:rtl/>
        </w:rPr>
        <w:t>רי"ו</w:t>
      </w:r>
      <w:r>
        <w:rPr>
          <w:rFonts w:cs="Arial"/>
          <w:rtl/>
        </w:rPr>
        <w:t xml:space="preserve"> </w:t>
      </w:r>
      <w:r w:rsidRPr="000F4AE6">
        <w:rPr>
          <w:rFonts w:cs="Arial" w:hint="cs"/>
          <w:sz w:val="16"/>
          <w:szCs w:val="16"/>
          <w:rtl/>
        </w:rPr>
        <w:t>(ח"ב נכ</w:t>
      </w:r>
      <w:r w:rsidRPr="000F4AE6">
        <w:rPr>
          <w:rFonts w:cs="Arial"/>
          <w:sz w:val="16"/>
          <w:szCs w:val="16"/>
          <w:rtl/>
        </w:rPr>
        <w:t>"</w:t>
      </w:r>
      <w:r w:rsidRPr="000F4AE6">
        <w:rPr>
          <w:rFonts w:cs="Arial" w:hint="cs"/>
          <w:sz w:val="16"/>
          <w:szCs w:val="16"/>
          <w:rtl/>
        </w:rPr>
        <w:t>ד</w:t>
      </w:r>
      <w:r w:rsidRPr="000F4AE6">
        <w:rPr>
          <w:rFonts w:cs="Arial"/>
          <w:sz w:val="16"/>
          <w:szCs w:val="16"/>
          <w:rtl/>
        </w:rPr>
        <w:t xml:space="preserve"> </w:t>
      </w:r>
      <w:r w:rsidRPr="000F4AE6">
        <w:rPr>
          <w:rFonts w:cs="Arial" w:hint="cs"/>
          <w:sz w:val="16"/>
          <w:szCs w:val="16"/>
          <w:rtl/>
        </w:rPr>
        <w:t>רה</w:t>
      </w:r>
      <w:r w:rsidRPr="000F4AE6">
        <w:rPr>
          <w:rFonts w:cs="Arial"/>
          <w:sz w:val="16"/>
          <w:szCs w:val="16"/>
          <w:rtl/>
        </w:rPr>
        <w:t xml:space="preserve"> </w:t>
      </w:r>
      <w:r w:rsidRPr="000F4AE6">
        <w:rPr>
          <w:rFonts w:cs="Arial" w:hint="cs"/>
          <w:sz w:val="16"/>
          <w:szCs w:val="16"/>
          <w:rtl/>
        </w:rPr>
        <w:t>ע</w:t>
      </w:r>
      <w:r w:rsidRPr="000F4AE6">
        <w:rPr>
          <w:rFonts w:cs="Arial"/>
          <w:sz w:val="16"/>
          <w:szCs w:val="16"/>
          <w:rtl/>
        </w:rPr>
        <w:t>"</w:t>
      </w:r>
      <w:r w:rsidRPr="000F4AE6">
        <w:rPr>
          <w:rFonts w:cs="Arial" w:hint="cs"/>
          <w:sz w:val="16"/>
          <w:szCs w:val="16"/>
          <w:rtl/>
        </w:rPr>
        <w:t>ג</w:t>
      </w:r>
      <w:r w:rsidRPr="000F4AE6">
        <w:rPr>
          <w:rFonts w:cs="Arial"/>
          <w:sz w:val="16"/>
          <w:szCs w:val="16"/>
          <w:rtl/>
        </w:rPr>
        <w:t xml:space="preserve">) </w:t>
      </w:r>
      <w:r>
        <w:rPr>
          <w:rFonts w:cs="Arial" w:hint="cs"/>
          <w:rtl/>
        </w:rPr>
        <w:t>והר</w:t>
      </w:r>
      <w:r>
        <w:rPr>
          <w:rFonts w:cs="Arial"/>
          <w:rtl/>
        </w:rPr>
        <w:t>"</w:t>
      </w:r>
      <w:r>
        <w:rPr>
          <w:rFonts w:cs="Arial" w:hint="cs"/>
          <w:rtl/>
        </w:rPr>
        <w:t>ן</w:t>
      </w:r>
      <w:r>
        <w:rPr>
          <w:rFonts w:cs="Arial"/>
          <w:rtl/>
        </w:rPr>
        <w:t xml:space="preserve"> </w:t>
      </w:r>
      <w:r>
        <w:rPr>
          <w:rFonts w:cs="Arial" w:hint="cs"/>
          <w:rtl/>
        </w:rPr>
        <w:t>בהמגרש</w:t>
      </w:r>
      <w:r>
        <w:rPr>
          <w:rFonts w:cs="Arial"/>
          <w:rtl/>
        </w:rPr>
        <w:t xml:space="preserve"> </w:t>
      </w:r>
      <w:r w:rsidRPr="000F4AE6">
        <w:rPr>
          <w:rFonts w:cs="Arial"/>
          <w:sz w:val="16"/>
          <w:szCs w:val="16"/>
          <w:rtl/>
        </w:rPr>
        <w:t>(</w:t>
      </w:r>
      <w:r w:rsidRPr="000F4AE6">
        <w:rPr>
          <w:rFonts w:cs="Arial" w:hint="cs"/>
          <w:sz w:val="16"/>
          <w:szCs w:val="16"/>
          <w:rtl/>
        </w:rPr>
        <w:t>שם</w:t>
      </w:r>
      <w:r w:rsidRPr="000F4AE6">
        <w:rPr>
          <w:rFonts w:cs="Arial"/>
          <w:sz w:val="16"/>
          <w:szCs w:val="16"/>
          <w:rtl/>
        </w:rPr>
        <w:t>)</w:t>
      </w:r>
      <w:r>
        <w:rPr>
          <w:rFonts w:cs="Arial"/>
          <w:rtl/>
        </w:rPr>
        <w:t xml:space="preserve"> </w:t>
      </w:r>
      <w:r>
        <w:rPr>
          <w:rFonts w:cs="Arial" w:hint="cs"/>
          <w:rtl/>
        </w:rPr>
        <w:t>שכן</w:t>
      </w:r>
      <w:r>
        <w:rPr>
          <w:rFonts w:cs="Arial"/>
          <w:rtl/>
        </w:rPr>
        <w:t xml:space="preserve"> </w:t>
      </w:r>
      <w:r>
        <w:rPr>
          <w:rFonts w:cs="Arial" w:hint="cs"/>
          <w:rtl/>
        </w:rPr>
        <w:t>דעת</w:t>
      </w:r>
      <w:r>
        <w:rPr>
          <w:rFonts w:cs="Arial"/>
          <w:rtl/>
        </w:rPr>
        <w:t xml:space="preserve"> </w:t>
      </w:r>
      <w:r>
        <w:rPr>
          <w:rFonts w:cs="Arial" w:hint="cs"/>
          <w:rtl/>
        </w:rPr>
        <w:t>רבינו</w:t>
      </w:r>
      <w:r>
        <w:rPr>
          <w:rFonts w:cs="Arial"/>
          <w:rtl/>
        </w:rPr>
        <w:t xml:space="preserve"> </w:t>
      </w:r>
      <w:r>
        <w:rPr>
          <w:rFonts w:cs="Arial" w:hint="cs"/>
          <w:rtl/>
        </w:rPr>
        <w:t>האי ז"ל, ב"י.</w:t>
      </w:r>
    </w:p>
  </w:footnote>
  <w:footnote w:id="946">
    <w:p w14:paraId="498E297C" w14:textId="77777777" w:rsidR="00FA2119" w:rsidRDefault="00FA2119" w:rsidP="00FA2119">
      <w:pPr>
        <w:pStyle w:val="a5"/>
      </w:pPr>
      <w:r>
        <w:rPr>
          <w:rStyle w:val="a7"/>
        </w:rPr>
        <w:footnoteRef/>
      </w:r>
      <w:r>
        <w:rPr>
          <w:rtl/>
        </w:rPr>
        <w:t xml:space="preserve"> </w:t>
      </w:r>
      <w:r>
        <w:rPr>
          <w:rFonts w:cs="Arial" w:hint="cs"/>
          <w:rtl/>
        </w:rPr>
        <w:t>רש</w:t>
      </w:r>
      <w:r>
        <w:rPr>
          <w:rFonts w:cs="Arial"/>
          <w:rtl/>
        </w:rPr>
        <w:t>"</w:t>
      </w:r>
      <w:r>
        <w:rPr>
          <w:rFonts w:cs="Arial" w:hint="cs"/>
          <w:rtl/>
        </w:rPr>
        <w:t>י</w:t>
      </w:r>
      <w:r>
        <w:rPr>
          <w:rFonts w:cs="Arial"/>
          <w:rtl/>
        </w:rPr>
        <w:t xml:space="preserve"> </w:t>
      </w:r>
      <w:r>
        <w:rPr>
          <w:rFonts w:cs="Arial" w:hint="cs"/>
          <w:rtl/>
        </w:rPr>
        <w:t>פירש</w:t>
      </w:r>
      <w:r>
        <w:rPr>
          <w:rFonts w:cs="Arial"/>
          <w:rtl/>
        </w:rPr>
        <w:t xml:space="preserve"> </w:t>
      </w:r>
      <w:r>
        <w:rPr>
          <w:rFonts w:cs="Arial" w:hint="cs"/>
          <w:rtl/>
        </w:rPr>
        <w:t>ד'זו</w:t>
      </w:r>
      <w:r>
        <w:rPr>
          <w:rFonts w:cs="Arial"/>
          <w:rtl/>
        </w:rPr>
        <w:t xml:space="preserve"> </w:t>
      </w:r>
      <w:r>
        <w:rPr>
          <w:rFonts w:cs="Arial" w:hint="cs"/>
          <w:rtl/>
        </w:rPr>
        <w:t>דברי</w:t>
      </w:r>
      <w:r>
        <w:rPr>
          <w:rFonts w:cs="Arial"/>
          <w:rtl/>
        </w:rPr>
        <w:t xml:space="preserve"> </w:t>
      </w:r>
      <w:r>
        <w:rPr>
          <w:rFonts w:cs="Arial" w:hint="cs"/>
          <w:rtl/>
        </w:rPr>
        <w:t>רבי</w:t>
      </w:r>
      <w:r>
        <w:rPr>
          <w:rFonts w:cs="Arial"/>
          <w:rtl/>
        </w:rPr>
        <w:t xml:space="preserve"> </w:t>
      </w:r>
      <w:r>
        <w:rPr>
          <w:rFonts w:cs="Arial" w:hint="cs"/>
          <w:rtl/>
        </w:rPr>
        <w:t>מאיר'</w:t>
      </w:r>
      <w:r>
        <w:rPr>
          <w:rFonts w:cs="Arial"/>
          <w:rtl/>
        </w:rPr>
        <w:t xml:space="preserve"> </w:t>
      </w:r>
      <w:r>
        <w:rPr>
          <w:rFonts w:cs="Arial" w:hint="cs"/>
          <w:rtl/>
        </w:rPr>
        <w:t>אשלום</w:t>
      </w:r>
      <w:r>
        <w:rPr>
          <w:rFonts w:cs="Arial"/>
          <w:rtl/>
        </w:rPr>
        <w:t xml:space="preserve"> </w:t>
      </w:r>
      <w:r>
        <w:rPr>
          <w:rFonts w:cs="Arial" w:hint="cs"/>
          <w:rtl/>
        </w:rPr>
        <w:t>מלכות</w:t>
      </w:r>
      <w:r>
        <w:rPr>
          <w:rFonts w:cs="Arial"/>
          <w:rtl/>
        </w:rPr>
        <w:t xml:space="preserve"> </w:t>
      </w:r>
      <w:r>
        <w:rPr>
          <w:rFonts w:cs="Arial" w:hint="cs"/>
          <w:rtl/>
        </w:rPr>
        <w:t>קאי... וכתב</w:t>
      </w:r>
      <w:r>
        <w:rPr>
          <w:rFonts w:cs="Arial"/>
          <w:rtl/>
        </w:rPr>
        <w:t xml:space="preserve"> </w:t>
      </w:r>
      <w:r>
        <w:rPr>
          <w:rFonts w:cs="Arial" w:hint="cs"/>
          <w:rtl/>
        </w:rPr>
        <w:t>הרא</w:t>
      </w:r>
      <w:r>
        <w:rPr>
          <w:rFonts w:cs="Arial"/>
          <w:rtl/>
        </w:rPr>
        <w:t>"</w:t>
      </w:r>
      <w:r>
        <w:rPr>
          <w:rFonts w:cs="Arial" w:hint="cs"/>
          <w:rtl/>
        </w:rPr>
        <w:t>ש</w:t>
      </w:r>
      <w:r>
        <w:rPr>
          <w:rFonts w:cs="Arial"/>
          <w:rtl/>
        </w:rPr>
        <w:t xml:space="preserve"> </w:t>
      </w:r>
      <w:r>
        <w:rPr>
          <w:rFonts w:cs="Arial" w:hint="cs"/>
          <w:rtl/>
        </w:rPr>
        <w:t xml:space="preserve">דלשאר מפרשים </w:t>
      </w:r>
      <w:r>
        <w:rPr>
          <w:rFonts w:cs="Arial" w:hint="cs"/>
          <w:sz w:val="16"/>
          <w:szCs w:val="16"/>
          <w:rtl/>
        </w:rPr>
        <w:t>{היינו דעת רש"י וסיעתו}</w:t>
      </w:r>
      <w:r>
        <w:rPr>
          <w:rFonts w:cs="Arial" w:hint="cs"/>
          <w:rtl/>
        </w:rPr>
        <w:t xml:space="preserve"> רבנן</w:t>
      </w:r>
      <w:r>
        <w:rPr>
          <w:rFonts w:cs="Arial"/>
          <w:rtl/>
        </w:rPr>
        <w:t xml:space="preserve"> </w:t>
      </w:r>
      <w:r>
        <w:rPr>
          <w:rFonts w:cs="Arial" w:hint="cs"/>
          <w:rtl/>
        </w:rPr>
        <w:t>לא</w:t>
      </w:r>
      <w:r>
        <w:rPr>
          <w:rFonts w:cs="Arial"/>
          <w:rtl/>
        </w:rPr>
        <w:t xml:space="preserve"> </w:t>
      </w:r>
      <w:r>
        <w:rPr>
          <w:rFonts w:cs="Arial" w:hint="cs"/>
          <w:rtl/>
        </w:rPr>
        <w:t>מודו</w:t>
      </w:r>
      <w:r>
        <w:rPr>
          <w:rFonts w:cs="Arial"/>
          <w:rtl/>
        </w:rPr>
        <w:t xml:space="preserve"> </w:t>
      </w:r>
      <w:r>
        <w:rPr>
          <w:rFonts w:cs="Arial" w:hint="cs"/>
          <w:rtl/>
        </w:rPr>
        <w:t>לרבי</w:t>
      </w:r>
      <w:r>
        <w:rPr>
          <w:rFonts w:cs="Arial"/>
          <w:rtl/>
        </w:rPr>
        <w:t xml:space="preserve"> </w:t>
      </w:r>
      <w:r>
        <w:rPr>
          <w:rFonts w:cs="Arial" w:hint="cs"/>
          <w:rtl/>
        </w:rPr>
        <w:t>מאיר</w:t>
      </w:r>
      <w:r>
        <w:rPr>
          <w:rFonts w:cs="Arial"/>
          <w:rtl/>
        </w:rPr>
        <w:t xml:space="preserve"> </w:t>
      </w:r>
      <w:r>
        <w:rPr>
          <w:rFonts w:cs="Arial" w:hint="cs"/>
          <w:rtl/>
        </w:rPr>
        <w:t>אלא</w:t>
      </w:r>
      <w:r>
        <w:rPr>
          <w:rFonts w:cs="Arial"/>
          <w:rtl/>
        </w:rPr>
        <w:t xml:space="preserve"> </w:t>
      </w:r>
      <w:r>
        <w:rPr>
          <w:rFonts w:cs="Arial" w:hint="cs"/>
          <w:rtl/>
        </w:rPr>
        <w:t>בשינה</w:t>
      </w:r>
      <w:r>
        <w:rPr>
          <w:rFonts w:cs="Arial"/>
          <w:rtl/>
        </w:rPr>
        <w:t xml:space="preserve"> </w:t>
      </w:r>
      <w:r>
        <w:rPr>
          <w:rFonts w:cs="Arial" w:hint="cs"/>
          <w:rtl/>
        </w:rPr>
        <w:t>שמו,</w:t>
      </w:r>
      <w:r>
        <w:rPr>
          <w:rFonts w:cs="Arial"/>
          <w:rtl/>
        </w:rPr>
        <w:t xml:space="preserve"> </w:t>
      </w:r>
      <w:r>
        <w:rPr>
          <w:rFonts w:cs="Arial" w:hint="cs"/>
          <w:rtl/>
        </w:rPr>
        <w:t>אבל</w:t>
      </w:r>
      <w:r>
        <w:rPr>
          <w:rFonts w:cs="Arial"/>
          <w:rtl/>
        </w:rPr>
        <w:t xml:space="preserve"> </w:t>
      </w:r>
      <w:r>
        <w:rPr>
          <w:rFonts w:cs="Arial" w:hint="cs"/>
          <w:rtl/>
        </w:rPr>
        <w:t>היה</w:t>
      </w:r>
      <w:r>
        <w:rPr>
          <w:rFonts w:cs="Arial"/>
          <w:rtl/>
        </w:rPr>
        <w:t xml:space="preserve"> </w:t>
      </w:r>
      <w:r>
        <w:rPr>
          <w:rFonts w:cs="Arial" w:hint="cs"/>
          <w:rtl/>
        </w:rPr>
        <w:t>במזרח</w:t>
      </w:r>
      <w:r>
        <w:rPr>
          <w:rFonts w:cs="Arial"/>
          <w:rtl/>
        </w:rPr>
        <w:t xml:space="preserve"> </w:t>
      </w:r>
      <w:r>
        <w:rPr>
          <w:rFonts w:cs="Arial" w:hint="cs"/>
          <w:rtl/>
        </w:rPr>
        <w:t>וכתב</w:t>
      </w:r>
      <w:r>
        <w:rPr>
          <w:rFonts w:cs="Arial"/>
          <w:rtl/>
        </w:rPr>
        <w:t xml:space="preserve"> </w:t>
      </w:r>
      <w:r>
        <w:rPr>
          <w:rFonts w:cs="Arial" w:hint="cs"/>
          <w:rtl/>
        </w:rPr>
        <w:t>במערב</w:t>
      </w:r>
      <w:r>
        <w:rPr>
          <w:rFonts w:cs="Arial"/>
          <w:rtl/>
        </w:rPr>
        <w:t xml:space="preserve"> </w:t>
      </w:r>
      <w:r>
        <w:rPr>
          <w:rFonts w:cs="Arial" w:hint="cs"/>
          <w:rtl/>
        </w:rPr>
        <w:t>מכשרי</w:t>
      </w:r>
      <w:r>
        <w:rPr>
          <w:rFonts w:cs="Arial"/>
          <w:rtl/>
        </w:rPr>
        <w:t xml:space="preserve"> </w:t>
      </w:r>
      <w:r>
        <w:rPr>
          <w:rFonts w:cs="Arial" w:hint="cs"/>
          <w:rtl/>
        </w:rPr>
        <w:t>רבנן</w:t>
      </w:r>
      <w:r>
        <w:rPr>
          <w:rFonts w:cs="Arial"/>
          <w:rtl/>
        </w:rPr>
        <w:t xml:space="preserve"> </w:t>
      </w:r>
      <w:r>
        <w:rPr>
          <w:rFonts w:cs="Arial" w:hint="cs"/>
          <w:rtl/>
        </w:rPr>
        <w:t>לגמרי</w:t>
      </w:r>
      <w:r>
        <w:rPr>
          <w:rFonts w:cs="Arial"/>
          <w:rtl/>
        </w:rPr>
        <w:t xml:space="preserve"> </w:t>
      </w:r>
      <w:r>
        <w:rPr>
          <w:rFonts w:cs="Arial" w:hint="cs"/>
          <w:rtl/>
        </w:rPr>
        <w:t>עכ</w:t>
      </w:r>
      <w:r>
        <w:rPr>
          <w:rFonts w:cs="Arial"/>
          <w:rtl/>
        </w:rPr>
        <w:t>"</w:t>
      </w:r>
      <w:r>
        <w:rPr>
          <w:rFonts w:cs="Arial" w:hint="cs"/>
          <w:rtl/>
        </w:rPr>
        <w:t>ל</w:t>
      </w:r>
      <w:r>
        <w:rPr>
          <w:rFonts w:cs="Arial"/>
          <w:rtl/>
        </w:rPr>
        <w:t>.</w:t>
      </w:r>
      <w:r>
        <w:rPr>
          <w:rFonts w:cs="Arial" w:hint="cs"/>
          <w:rtl/>
        </w:rPr>
        <w:t xml:space="preserve"> משמע</w:t>
      </w:r>
      <w:r>
        <w:rPr>
          <w:rFonts w:cs="Arial"/>
          <w:rtl/>
        </w:rPr>
        <w:t xml:space="preserve"> </w:t>
      </w:r>
      <w:r>
        <w:rPr>
          <w:rFonts w:cs="Arial" w:hint="cs"/>
          <w:rtl/>
        </w:rPr>
        <w:t>מדבריו</w:t>
      </w:r>
      <w:r>
        <w:rPr>
          <w:rFonts w:cs="Arial"/>
          <w:rtl/>
        </w:rPr>
        <w:t xml:space="preserve"> </w:t>
      </w:r>
      <w:r>
        <w:rPr>
          <w:rFonts w:cs="Arial" w:hint="cs"/>
          <w:rtl/>
        </w:rPr>
        <w:t>דלפירוש</w:t>
      </w:r>
      <w:r>
        <w:rPr>
          <w:rFonts w:cs="Arial"/>
          <w:rtl/>
        </w:rPr>
        <w:t xml:space="preserve"> </w:t>
      </w:r>
      <w:r>
        <w:rPr>
          <w:rFonts w:cs="Arial" w:hint="cs"/>
          <w:rtl/>
        </w:rPr>
        <w:t>רש</w:t>
      </w:r>
      <w:r>
        <w:rPr>
          <w:rFonts w:cs="Arial"/>
          <w:rtl/>
        </w:rPr>
        <w:t>"</w:t>
      </w:r>
      <w:r>
        <w:rPr>
          <w:rFonts w:cs="Arial" w:hint="cs"/>
          <w:rtl/>
        </w:rPr>
        <w:t>י</w:t>
      </w:r>
      <w:r>
        <w:rPr>
          <w:rFonts w:cs="Arial"/>
          <w:rtl/>
        </w:rPr>
        <w:t xml:space="preserve"> </w:t>
      </w:r>
      <w:r>
        <w:rPr>
          <w:rFonts w:cs="Arial" w:hint="cs"/>
          <w:rtl/>
        </w:rPr>
        <w:t>הא</w:t>
      </w:r>
      <w:r>
        <w:rPr>
          <w:rFonts w:cs="Arial"/>
          <w:rtl/>
        </w:rPr>
        <w:t xml:space="preserve"> </w:t>
      </w:r>
      <w:r>
        <w:rPr>
          <w:rFonts w:cs="Arial" w:hint="cs"/>
          <w:rtl/>
        </w:rPr>
        <w:t>דאמר</w:t>
      </w:r>
      <w:r>
        <w:rPr>
          <w:rFonts w:cs="Arial"/>
          <w:rtl/>
        </w:rPr>
        <w:t xml:space="preserve"> </w:t>
      </w:r>
      <w:r>
        <w:rPr>
          <w:rFonts w:cs="Arial" w:hint="cs"/>
          <w:rtl/>
        </w:rPr>
        <w:t>'זו</w:t>
      </w:r>
      <w:r>
        <w:rPr>
          <w:rFonts w:cs="Arial"/>
          <w:rtl/>
        </w:rPr>
        <w:t xml:space="preserve"> </w:t>
      </w:r>
      <w:r>
        <w:rPr>
          <w:rFonts w:cs="Arial" w:hint="cs"/>
          <w:rtl/>
        </w:rPr>
        <w:t>דברי</w:t>
      </w:r>
      <w:r>
        <w:rPr>
          <w:rFonts w:cs="Arial"/>
          <w:rtl/>
        </w:rPr>
        <w:t xml:space="preserve"> </w:t>
      </w:r>
      <w:r>
        <w:rPr>
          <w:rFonts w:cs="Arial" w:hint="cs"/>
          <w:rtl/>
        </w:rPr>
        <w:t>רבי</w:t>
      </w:r>
      <w:r>
        <w:rPr>
          <w:rFonts w:cs="Arial"/>
          <w:rtl/>
        </w:rPr>
        <w:t xml:space="preserve"> </w:t>
      </w:r>
      <w:r>
        <w:rPr>
          <w:rFonts w:cs="Arial" w:hint="cs"/>
          <w:rtl/>
        </w:rPr>
        <w:t>מאיר</w:t>
      </w:r>
      <w:r>
        <w:rPr>
          <w:rFonts w:cs="Arial"/>
          <w:rtl/>
        </w:rPr>
        <w:t xml:space="preserve"> </w:t>
      </w:r>
      <w:r>
        <w:rPr>
          <w:rFonts w:cs="Arial" w:hint="cs"/>
          <w:rtl/>
        </w:rPr>
        <w:t>אבל</w:t>
      </w:r>
      <w:r>
        <w:rPr>
          <w:rFonts w:cs="Arial"/>
          <w:rtl/>
        </w:rPr>
        <w:t xml:space="preserve"> </w:t>
      </w:r>
      <w:r>
        <w:rPr>
          <w:rFonts w:cs="Arial" w:hint="cs"/>
          <w:rtl/>
        </w:rPr>
        <w:t>חכמים</w:t>
      </w:r>
      <w:r>
        <w:rPr>
          <w:rFonts w:cs="Arial"/>
          <w:rtl/>
        </w:rPr>
        <w:t xml:space="preserve"> </w:t>
      </w:r>
      <w:r>
        <w:rPr>
          <w:rFonts w:cs="Arial" w:hint="cs"/>
          <w:rtl/>
        </w:rPr>
        <w:t>אומרים</w:t>
      </w:r>
      <w:r>
        <w:rPr>
          <w:rFonts w:cs="Arial"/>
          <w:rtl/>
        </w:rPr>
        <w:t xml:space="preserve"> </w:t>
      </w:r>
      <w:r>
        <w:rPr>
          <w:rFonts w:cs="Arial" w:hint="cs"/>
          <w:rtl/>
        </w:rPr>
        <w:t>הולד</w:t>
      </w:r>
      <w:r>
        <w:rPr>
          <w:rFonts w:cs="Arial"/>
          <w:rtl/>
        </w:rPr>
        <w:t xml:space="preserve"> </w:t>
      </w:r>
      <w:r>
        <w:rPr>
          <w:rFonts w:cs="Arial" w:hint="cs"/>
          <w:rtl/>
        </w:rPr>
        <w:t>כשר'</w:t>
      </w:r>
      <w:r>
        <w:rPr>
          <w:rFonts w:cs="Arial"/>
          <w:rtl/>
        </w:rPr>
        <w:t xml:space="preserve"> </w:t>
      </w:r>
      <w:r>
        <w:rPr>
          <w:rFonts w:cs="Arial" w:hint="cs"/>
          <w:rtl/>
        </w:rPr>
        <w:t>- לא</w:t>
      </w:r>
      <w:r>
        <w:rPr>
          <w:rFonts w:cs="Arial"/>
          <w:rtl/>
        </w:rPr>
        <w:t xml:space="preserve"> </w:t>
      </w:r>
      <w:r>
        <w:rPr>
          <w:rFonts w:cs="Arial" w:hint="cs"/>
          <w:rtl/>
        </w:rPr>
        <w:t>קאי</w:t>
      </w:r>
      <w:r>
        <w:rPr>
          <w:rFonts w:cs="Arial"/>
          <w:rtl/>
        </w:rPr>
        <w:t xml:space="preserve"> </w:t>
      </w:r>
      <w:r>
        <w:rPr>
          <w:rFonts w:cs="Arial" w:hint="cs"/>
          <w:rtl/>
        </w:rPr>
        <w:t>אלא</w:t>
      </w:r>
      <w:r>
        <w:rPr>
          <w:rFonts w:cs="Arial"/>
          <w:rtl/>
        </w:rPr>
        <w:t xml:space="preserve"> </w:t>
      </w:r>
      <w:r>
        <w:rPr>
          <w:rFonts w:cs="Arial" w:hint="cs"/>
          <w:rtl/>
        </w:rPr>
        <w:t>לשלום</w:t>
      </w:r>
      <w:r>
        <w:rPr>
          <w:rFonts w:cs="Arial"/>
          <w:rtl/>
        </w:rPr>
        <w:t xml:space="preserve"> </w:t>
      </w:r>
      <w:r>
        <w:rPr>
          <w:rFonts w:cs="Arial" w:hint="cs"/>
          <w:rtl/>
        </w:rPr>
        <w:t>מלכות</w:t>
      </w:r>
      <w:r>
        <w:rPr>
          <w:rFonts w:cs="Arial"/>
          <w:rtl/>
        </w:rPr>
        <w:t xml:space="preserve"> </w:t>
      </w:r>
      <w:r w:rsidRPr="001345A0">
        <w:rPr>
          <w:rFonts w:cs="Arial" w:hint="cs"/>
          <w:b/>
          <w:bCs/>
          <w:rtl/>
        </w:rPr>
        <w:t>דוקא</w:t>
      </w:r>
      <w:r>
        <w:rPr>
          <w:rFonts w:cs="Arial" w:hint="cs"/>
          <w:rtl/>
        </w:rPr>
        <w:t>.</w:t>
      </w:r>
      <w:r>
        <w:rPr>
          <w:rFonts w:cs="Arial"/>
          <w:rtl/>
        </w:rPr>
        <w:t xml:space="preserve"> </w:t>
      </w:r>
      <w:r>
        <w:rPr>
          <w:rFonts w:cs="Arial" w:hint="cs"/>
          <w:rtl/>
        </w:rPr>
        <w:t>כלומר</w:t>
      </w:r>
      <w:r>
        <w:rPr>
          <w:rFonts w:cs="Arial"/>
          <w:rtl/>
        </w:rPr>
        <w:t xml:space="preserve"> </w:t>
      </w:r>
      <w:r>
        <w:rPr>
          <w:rFonts w:cs="Arial" w:hint="cs"/>
          <w:rtl/>
        </w:rPr>
        <w:t>דבהא</w:t>
      </w:r>
      <w:r>
        <w:rPr>
          <w:rFonts w:cs="Arial"/>
          <w:rtl/>
        </w:rPr>
        <w:t xml:space="preserve"> </w:t>
      </w:r>
      <w:r>
        <w:rPr>
          <w:rFonts w:cs="Arial" w:hint="cs"/>
          <w:rtl/>
        </w:rPr>
        <w:t>הוא</w:t>
      </w:r>
      <w:r>
        <w:rPr>
          <w:rFonts w:cs="Arial"/>
          <w:rtl/>
        </w:rPr>
        <w:t xml:space="preserve"> </w:t>
      </w:r>
      <w:r>
        <w:rPr>
          <w:rFonts w:cs="Arial" w:hint="cs"/>
          <w:rtl/>
        </w:rPr>
        <w:t>דפליגי</w:t>
      </w:r>
      <w:r>
        <w:rPr>
          <w:rFonts w:cs="Arial"/>
          <w:rtl/>
        </w:rPr>
        <w:t xml:space="preserve"> </w:t>
      </w:r>
      <w:r>
        <w:rPr>
          <w:rFonts w:cs="Arial" w:hint="cs"/>
          <w:rtl/>
        </w:rPr>
        <w:t>רבנן</w:t>
      </w:r>
      <w:r>
        <w:rPr>
          <w:rFonts w:cs="Arial"/>
          <w:rtl/>
        </w:rPr>
        <w:t xml:space="preserve"> </w:t>
      </w:r>
      <w:r>
        <w:rPr>
          <w:rFonts w:cs="Arial" w:hint="cs"/>
          <w:rtl/>
        </w:rPr>
        <w:t>לומר</w:t>
      </w:r>
      <w:r>
        <w:rPr>
          <w:rFonts w:cs="Arial"/>
          <w:rtl/>
        </w:rPr>
        <w:t xml:space="preserve"> </w:t>
      </w:r>
      <w:r>
        <w:rPr>
          <w:rFonts w:cs="Arial" w:hint="cs"/>
          <w:rtl/>
        </w:rPr>
        <w:t>הולד</w:t>
      </w:r>
      <w:r>
        <w:rPr>
          <w:rFonts w:cs="Arial"/>
          <w:rtl/>
        </w:rPr>
        <w:t xml:space="preserve"> </w:t>
      </w:r>
      <w:r>
        <w:rPr>
          <w:rFonts w:cs="Arial" w:hint="cs"/>
          <w:rtl/>
        </w:rPr>
        <w:t>כשר</w:t>
      </w:r>
      <w:r>
        <w:rPr>
          <w:rFonts w:cs="Arial"/>
          <w:rtl/>
        </w:rPr>
        <w:t xml:space="preserve"> </w:t>
      </w:r>
      <w:r>
        <w:rPr>
          <w:rFonts w:cs="Arial" w:hint="cs"/>
          <w:rtl/>
        </w:rPr>
        <w:t>ולכתחלה</w:t>
      </w:r>
      <w:r>
        <w:rPr>
          <w:rFonts w:cs="Arial"/>
          <w:rtl/>
        </w:rPr>
        <w:t xml:space="preserve"> </w:t>
      </w:r>
      <w:r>
        <w:rPr>
          <w:rFonts w:cs="Arial" w:hint="cs"/>
          <w:rtl/>
        </w:rPr>
        <w:t>לא</w:t>
      </w:r>
      <w:r>
        <w:rPr>
          <w:rFonts w:cs="Arial"/>
          <w:rtl/>
        </w:rPr>
        <w:t xml:space="preserve"> </w:t>
      </w:r>
      <w:r>
        <w:rPr>
          <w:rFonts w:cs="Arial" w:hint="cs"/>
          <w:rtl/>
        </w:rPr>
        <w:t>תנשא,</w:t>
      </w:r>
      <w:r>
        <w:rPr>
          <w:rFonts w:cs="Arial"/>
          <w:rtl/>
        </w:rPr>
        <w:t xml:space="preserve"> </w:t>
      </w:r>
      <w:r>
        <w:rPr>
          <w:rFonts w:cs="Arial" w:hint="cs"/>
          <w:rtl/>
        </w:rPr>
        <w:t>אבל</w:t>
      </w:r>
      <w:r>
        <w:rPr>
          <w:rFonts w:cs="Arial"/>
          <w:rtl/>
        </w:rPr>
        <w:t xml:space="preserve"> </w:t>
      </w:r>
      <w:r>
        <w:rPr>
          <w:rFonts w:cs="Arial" w:hint="cs"/>
          <w:rtl/>
        </w:rPr>
        <w:t>בשאר</w:t>
      </w:r>
      <w:r>
        <w:rPr>
          <w:rFonts w:cs="Arial"/>
          <w:rtl/>
        </w:rPr>
        <w:t xml:space="preserve"> </w:t>
      </w:r>
      <w:r>
        <w:rPr>
          <w:rFonts w:cs="Arial" w:hint="cs"/>
          <w:rtl/>
        </w:rPr>
        <w:t>בבי</w:t>
      </w:r>
      <w:r>
        <w:rPr>
          <w:rFonts w:cs="Arial"/>
          <w:rtl/>
        </w:rPr>
        <w:t xml:space="preserve"> </w:t>
      </w:r>
      <w:r>
        <w:rPr>
          <w:rFonts w:cs="Arial" w:hint="cs"/>
          <w:rtl/>
        </w:rPr>
        <w:t>דמתניתין</w:t>
      </w:r>
      <w:r>
        <w:rPr>
          <w:rFonts w:cs="Arial"/>
          <w:rtl/>
        </w:rPr>
        <w:t xml:space="preserve"> </w:t>
      </w:r>
      <w:r>
        <w:rPr>
          <w:rFonts w:cs="Arial" w:hint="cs"/>
          <w:rtl/>
        </w:rPr>
        <w:t>פליגי</w:t>
      </w:r>
      <w:r>
        <w:rPr>
          <w:rFonts w:cs="Arial"/>
          <w:rtl/>
        </w:rPr>
        <w:t xml:space="preserve"> </w:t>
      </w:r>
      <w:r>
        <w:rPr>
          <w:rFonts w:cs="Arial" w:hint="cs"/>
          <w:rtl/>
        </w:rPr>
        <w:t>עליה</w:t>
      </w:r>
      <w:r>
        <w:rPr>
          <w:rFonts w:cs="Arial"/>
          <w:rtl/>
        </w:rPr>
        <w:t xml:space="preserve"> </w:t>
      </w:r>
      <w:r>
        <w:rPr>
          <w:rFonts w:cs="Arial" w:hint="cs"/>
          <w:rtl/>
        </w:rPr>
        <w:t>לומר</w:t>
      </w:r>
      <w:r>
        <w:rPr>
          <w:rFonts w:cs="Arial"/>
          <w:rtl/>
        </w:rPr>
        <w:t xml:space="preserve"> </w:t>
      </w:r>
      <w:r>
        <w:rPr>
          <w:rFonts w:cs="Arial" w:hint="cs"/>
          <w:rtl/>
        </w:rPr>
        <w:t>דאפילו</w:t>
      </w:r>
      <w:r>
        <w:rPr>
          <w:rFonts w:cs="Arial"/>
          <w:rtl/>
        </w:rPr>
        <w:t xml:space="preserve"> </w:t>
      </w:r>
      <w:r>
        <w:rPr>
          <w:rFonts w:cs="Arial" w:hint="cs"/>
          <w:rtl/>
        </w:rPr>
        <w:t>לכתחלה</w:t>
      </w:r>
      <w:r>
        <w:rPr>
          <w:rFonts w:cs="Arial"/>
          <w:rtl/>
        </w:rPr>
        <w:t xml:space="preserve"> </w:t>
      </w:r>
      <w:r>
        <w:rPr>
          <w:rFonts w:cs="Arial" w:hint="cs"/>
          <w:rtl/>
        </w:rPr>
        <w:t>תנשא.</w:t>
      </w:r>
      <w:r>
        <w:rPr>
          <w:rFonts w:cs="Arial"/>
          <w:rtl/>
        </w:rPr>
        <w:t xml:space="preserve"> </w:t>
      </w:r>
      <w:r>
        <w:rPr>
          <w:rFonts w:cs="Arial" w:hint="cs"/>
          <w:rtl/>
        </w:rPr>
        <w:t>דמדאמר</w:t>
      </w:r>
      <w:r>
        <w:rPr>
          <w:rFonts w:cs="Arial"/>
          <w:rtl/>
        </w:rPr>
        <w:t xml:space="preserve"> </w:t>
      </w:r>
      <w:r>
        <w:rPr>
          <w:rFonts w:cs="Arial" w:hint="cs"/>
          <w:rtl/>
        </w:rPr>
        <w:t>דבשלום</w:t>
      </w:r>
      <w:r>
        <w:rPr>
          <w:rFonts w:cs="Arial"/>
          <w:rtl/>
        </w:rPr>
        <w:t xml:space="preserve"> </w:t>
      </w:r>
      <w:r>
        <w:rPr>
          <w:rFonts w:cs="Arial" w:hint="cs"/>
          <w:rtl/>
        </w:rPr>
        <w:t>מלכות</w:t>
      </w:r>
      <w:r>
        <w:rPr>
          <w:rFonts w:cs="Arial"/>
          <w:rtl/>
        </w:rPr>
        <w:t xml:space="preserve"> </w:t>
      </w:r>
      <w:r>
        <w:rPr>
          <w:rFonts w:cs="Arial" w:hint="cs"/>
          <w:rtl/>
        </w:rPr>
        <w:t>אמרי</w:t>
      </w:r>
      <w:r>
        <w:rPr>
          <w:rFonts w:cs="Arial"/>
          <w:rtl/>
        </w:rPr>
        <w:t xml:space="preserve"> </w:t>
      </w:r>
      <w:r>
        <w:rPr>
          <w:rFonts w:cs="Arial" w:hint="cs"/>
          <w:rtl/>
        </w:rPr>
        <w:t>רבנן</w:t>
      </w:r>
      <w:r>
        <w:rPr>
          <w:rFonts w:cs="Arial"/>
          <w:rtl/>
        </w:rPr>
        <w:t xml:space="preserve"> </w:t>
      </w:r>
      <w:r>
        <w:rPr>
          <w:rFonts w:cs="Arial" w:hint="cs"/>
          <w:rtl/>
        </w:rPr>
        <w:t>הולד</w:t>
      </w:r>
      <w:r>
        <w:rPr>
          <w:rFonts w:cs="Arial"/>
          <w:rtl/>
        </w:rPr>
        <w:t xml:space="preserve"> </w:t>
      </w:r>
      <w:r>
        <w:rPr>
          <w:rFonts w:cs="Arial" w:hint="cs"/>
          <w:rtl/>
        </w:rPr>
        <w:t>כשר,</w:t>
      </w:r>
      <w:r>
        <w:rPr>
          <w:rFonts w:cs="Arial"/>
          <w:rtl/>
        </w:rPr>
        <w:t xml:space="preserve"> </w:t>
      </w:r>
      <w:r>
        <w:rPr>
          <w:rFonts w:cs="Arial" w:hint="cs"/>
          <w:rtl/>
        </w:rPr>
        <w:t>כלומר</w:t>
      </w:r>
      <w:r>
        <w:rPr>
          <w:rFonts w:cs="Arial"/>
          <w:rtl/>
        </w:rPr>
        <w:t xml:space="preserve"> </w:t>
      </w:r>
      <w:r>
        <w:rPr>
          <w:rFonts w:cs="Arial" w:hint="cs"/>
          <w:rtl/>
        </w:rPr>
        <w:t>ולכתחלה</w:t>
      </w:r>
      <w:r>
        <w:rPr>
          <w:rFonts w:cs="Arial"/>
          <w:rtl/>
        </w:rPr>
        <w:t xml:space="preserve"> </w:t>
      </w:r>
      <w:r>
        <w:rPr>
          <w:rFonts w:cs="Arial" w:hint="cs"/>
          <w:rtl/>
        </w:rPr>
        <w:t>לא</w:t>
      </w:r>
      <w:r>
        <w:rPr>
          <w:rFonts w:cs="Arial"/>
          <w:rtl/>
        </w:rPr>
        <w:t xml:space="preserve"> </w:t>
      </w:r>
      <w:r>
        <w:rPr>
          <w:rFonts w:cs="Arial" w:hint="cs"/>
          <w:rtl/>
        </w:rPr>
        <w:t>תנשא,</w:t>
      </w:r>
      <w:r>
        <w:rPr>
          <w:rFonts w:cs="Arial"/>
          <w:rtl/>
        </w:rPr>
        <w:t xml:space="preserve"> </w:t>
      </w:r>
      <w:r>
        <w:rPr>
          <w:rFonts w:cs="Arial" w:hint="cs"/>
          <w:rtl/>
        </w:rPr>
        <w:t>שמעינן</w:t>
      </w:r>
      <w:r>
        <w:rPr>
          <w:rFonts w:cs="Arial"/>
          <w:rtl/>
        </w:rPr>
        <w:t xml:space="preserve"> </w:t>
      </w:r>
      <w:r>
        <w:rPr>
          <w:rFonts w:cs="Arial" w:hint="cs"/>
          <w:rtl/>
        </w:rPr>
        <w:t>מינה</w:t>
      </w:r>
      <w:r>
        <w:rPr>
          <w:rFonts w:cs="Arial"/>
          <w:rtl/>
        </w:rPr>
        <w:t xml:space="preserve"> </w:t>
      </w:r>
      <w:r>
        <w:rPr>
          <w:rFonts w:cs="Arial" w:hint="cs"/>
          <w:rtl/>
        </w:rPr>
        <w:t>דבשאר</w:t>
      </w:r>
      <w:r>
        <w:rPr>
          <w:rFonts w:cs="Arial"/>
          <w:rtl/>
        </w:rPr>
        <w:t xml:space="preserve"> </w:t>
      </w:r>
      <w:r>
        <w:rPr>
          <w:rFonts w:cs="Arial" w:hint="cs"/>
          <w:rtl/>
        </w:rPr>
        <w:t>בבי</w:t>
      </w:r>
      <w:r>
        <w:rPr>
          <w:rFonts w:cs="Arial"/>
          <w:rtl/>
        </w:rPr>
        <w:t xml:space="preserve"> </w:t>
      </w:r>
      <w:r>
        <w:rPr>
          <w:rFonts w:cs="Arial" w:hint="cs"/>
          <w:rtl/>
        </w:rPr>
        <w:t>לית</w:t>
      </w:r>
      <w:r>
        <w:rPr>
          <w:rFonts w:cs="Arial"/>
          <w:rtl/>
        </w:rPr>
        <w:t xml:space="preserve"> </w:t>
      </w:r>
      <w:r>
        <w:rPr>
          <w:rFonts w:cs="Arial" w:hint="cs"/>
          <w:rtl/>
        </w:rPr>
        <w:t>להו</w:t>
      </w:r>
      <w:r>
        <w:rPr>
          <w:rFonts w:cs="Arial"/>
          <w:rtl/>
        </w:rPr>
        <w:t xml:space="preserve"> </w:t>
      </w:r>
      <w:r>
        <w:rPr>
          <w:rFonts w:cs="Arial" w:hint="cs"/>
          <w:rtl/>
        </w:rPr>
        <w:t>האי</w:t>
      </w:r>
      <w:r>
        <w:rPr>
          <w:rFonts w:cs="Arial"/>
          <w:rtl/>
        </w:rPr>
        <w:t xml:space="preserve"> </w:t>
      </w:r>
      <w:r>
        <w:rPr>
          <w:rFonts w:cs="Arial" w:hint="cs"/>
          <w:rtl/>
        </w:rPr>
        <w:t>סברא.</w:t>
      </w:r>
      <w:r>
        <w:rPr>
          <w:rFonts w:cs="Arial"/>
          <w:rtl/>
        </w:rPr>
        <w:t xml:space="preserve"> </w:t>
      </w:r>
      <w:r>
        <w:rPr>
          <w:rFonts w:cs="Arial" w:hint="cs"/>
          <w:rtl/>
        </w:rPr>
        <w:t>ואי</w:t>
      </w:r>
      <w:r>
        <w:rPr>
          <w:rFonts w:cs="Arial"/>
          <w:rtl/>
        </w:rPr>
        <w:t xml:space="preserve"> </w:t>
      </w:r>
      <w:r>
        <w:rPr>
          <w:rFonts w:cs="Arial" w:hint="cs"/>
          <w:rtl/>
        </w:rPr>
        <w:t>אפשר</w:t>
      </w:r>
      <w:r>
        <w:rPr>
          <w:rFonts w:cs="Arial"/>
          <w:rtl/>
        </w:rPr>
        <w:t xml:space="preserve"> </w:t>
      </w:r>
      <w:r>
        <w:rPr>
          <w:rFonts w:cs="Arial" w:hint="cs"/>
          <w:rtl/>
        </w:rPr>
        <w:t>לומר</w:t>
      </w:r>
      <w:r>
        <w:rPr>
          <w:rFonts w:cs="Arial"/>
          <w:rtl/>
        </w:rPr>
        <w:t xml:space="preserve"> </w:t>
      </w:r>
      <w:r>
        <w:rPr>
          <w:rFonts w:cs="Arial" w:hint="cs"/>
          <w:rtl/>
        </w:rPr>
        <w:t>דסבירא</w:t>
      </w:r>
      <w:r>
        <w:rPr>
          <w:rFonts w:cs="Arial"/>
          <w:rtl/>
        </w:rPr>
        <w:t xml:space="preserve"> </w:t>
      </w:r>
      <w:r>
        <w:rPr>
          <w:rFonts w:cs="Arial" w:hint="cs"/>
          <w:rtl/>
        </w:rPr>
        <w:t>ליה</w:t>
      </w:r>
      <w:r>
        <w:rPr>
          <w:rFonts w:cs="Arial"/>
          <w:rtl/>
        </w:rPr>
        <w:t xml:space="preserve"> </w:t>
      </w:r>
      <w:r>
        <w:rPr>
          <w:rFonts w:cs="Arial" w:hint="cs"/>
          <w:rtl/>
        </w:rPr>
        <w:t>באינך</w:t>
      </w:r>
      <w:r>
        <w:rPr>
          <w:rFonts w:cs="Arial"/>
          <w:rtl/>
        </w:rPr>
        <w:t xml:space="preserve"> </w:t>
      </w:r>
      <w:r>
        <w:rPr>
          <w:rFonts w:cs="Arial" w:hint="cs"/>
          <w:rtl/>
        </w:rPr>
        <w:t>בבי</w:t>
      </w:r>
      <w:r>
        <w:rPr>
          <w:rFonts w:cs="Arial"/>
          <w:rtl/>
        </w:rPr>
        <w:t xml:space="preserve"> </w:t>
      </w:r>
      <w:r>
        <w:rPr>
          <w:rFonts w:cs="Arial" w:hint="cs"/>
          <w:rtl/>
        </w:rPr>
        <w:t>כרבי</w:t>
      </w:r>
      <w:r>
        <w:rPr>
          <w:rFonts w:cs="Arial"/>
          <w:rtl/>
        </w:rPr>
        <w:t xml:space="preserve"> </w:t>
      </w:r>
      <w:r>
        <w:rPr>
          <w:rFonts w:cs="Arial" w:hint="cs"/>
          <w:rtl/>
        </w:rPr>
        <w:t>מאיר,</w:t>
      </w:r>
      <w:r>
        <w:rPr>
          <w:rFonts w:cs="Arial"/>
          <w:rtl/>
        </w:rPr>
        <w:t xml:space="preserve"> </w:t>
      </w:r>
      <w:r>
        <w:rPr>
          <w:rFonts w:cs="Arial" w:hint="cs"/>
          <w:rtl/>
        </w:rPr>
        <w:t>דאם</w:t>
      </w:r>
      <w:r>
        <w:rPr>
          <w:rFonts w:cs="Arial"/>
          <w:rtl/>
        </w:rPr>
        <w:t xml:space="preserve"> </w:t>
      </w:r>
      <w:r>
        <w:rPr>
          <w:rFonts w:cs="Arial" w:hint="cs"/>
          <w:rtl/>
        </w:rPr>
        <w:t>כן</w:t>
      </w:r>
      <w:r>
        <w:rPr>
          <w:rFonts w:cs="Arial"/>
          <w:rtl/>
        </w:rPr>
        <w:t xml:space="preserve"> </w:t>
      </w:r>
      <w:r>
        <w:rPr>
          <w:rFonts w:cs="Arial" w:hint="cs"/>
          <w:rtl/>
        </w:rPr>
        <w:t>מאי</w:t>
      </w:r>
      <w:r>
        <w:rPr>
          <w:rFonts w:cs="Arial"/>
          <w:rtl/>
        </w:rPr>
        <w:t xml:space="preserve"> </w:t>
      </w:r>
      <w:r>
        <w:rPr>
          <w:rFonts w:cs="Arial" w:hint="cs"/>
          <w:rtl/>
        </w:rPr>
        <w:t>ומודים</w:t>
      </w:r>
      <w:r>
        <w:rPr>
          <w:rFonts w:cs="Arial"/>
          <w:rtl/>
        </w:rPr>
        <w:t xml:space="preserve"> </w:t>
      </w:r>
      <w:r>
        <w:rPr>
          <w:rFonts w:cs="Arial" w:hint="cs"/>
          <w:rtl/>
        </w:rPr>
        <w:t>שאם</w:t>
      </w:r>
      <w:r>
        <w:rPr>
          <w:rFonts w:cs="Arial"/>
          <w:rtl/>
        </w:rPr>
        <w:t xml:space="preserve"> </w:t>
      </w:r>
      <w:r>
        <w:rPr>
          <w:rFonts w:cs="Arial" w:hint="cs"/>
          <w:rtl/>
        </w:rPr>
        <w:t>שינה</w:t>
      </w:r>
      <w:r>
        <w:rPr>
          <w:rFonts w:cs="Arial"/>
          <w:rtl/>
        </w:rPr>
        <w:t xml:space="preserve"> </w:t>
      </w:r>
      <w:r>
        <w:rPr>
          <w:rFonts w:cs="Arial" w:hint="cs"/>
          <w:rtl/>
        </w:rPr>
        <w:t>שמו</w:t>
      </w:r>
      <w:r>
        <w:rPr>
          <w:rFonts w:cs="Arial"/>
          <w:rtl/>
        </w:rPr>
        <w:t xml:space="preserve"> </w:t>
      </w:r>
      <w:r>
        <w:rPr>
          <w:rFonts w:cs="Arial" w:hint="cs"/>
          <w:rtl/>
        </w:rPr>
        <w:t>ושמה,</w:t>
      </w:r>
      <w:r>
        <w:rPr>
          <w:rFonts w:cs="Arial"/>
          <w:rtl/>
        </w:rPr>
        <w:t xml:space="preserve"> </w:t>
      </w:r>
      <w:r>
        <w:rPr>
          <w:rFonts w:cs="Arial" w:hint="cs"/>
          <w:rtl/>
        </w:rPr>
        <w:t>הא</w:t>
      </w:r>
      <w:r>
        <w:rPr>
          <w:rFonts w:cs="Arial"/>
          <w:rtl/>
        </w:rPr>
        <w:t xml:space="preserve"> </w:t>
      </w:r>
      <w:r>
        <w:rPr>
          <w:rFonts w:cs="Arial" w:hint="cs"/>
          <w:rtl/>
        </w:rPr>
        <w:t>בכולהו</w:t>
      </w:r>
      <w:r>
        <w:rPr>
          <w:rFonts w:cs="Arial"/>
          <w:rtl/>
        </w:rPr>
        <w:t xml:space="preserve"> </w:t>
      </w:r>
      <w:r>
        <w:rPr>
          <w:rFonts w:cs="Arial" w:hint="cs"/>
          <w:rtl/>
        </w:rPr>
        <w:t>בבי</w:t>
      </w:r>
      <w:r>
        <w:rPr>
          <w:rFonts w:cs="Arial"/>
          <w:rtl/>
        </w:rPr>
        <w:t xml:space="preserve"> </w:t>
      </w:r>
      <w:r>
        <w:rPr>
          <w:rFonts w:cs="Arial" w:hint="cs"/>
          <w:rtl/>
        </w:rPr>
        <w:t>נמי</w:t>
      </w:r>
      <w:r>
        <w:rPr>
          <w:rFonts w:cs="Arial"/>
          <w:rtl/>
        </w:rPr>
        <w:t xml:space="preserve"> </w:t>
      </w:r>
      <w:r>
        <w:rPr>
          <w:rFonts w:cs="Arial" w:hint="cs"/>
          <w:rtl/>
        </w:rPr>
        <w:t>מודים.</w:t>
      </w:r>
      <w:r>
        <w:rPr>
          <w:rFonts w:cs="Arial"/>
          <w:rtl/>
        </w:rPr>
        <w:t xml:space="preserve"> </w:t>
      </w:r>
      <w:r>
        <w:rPr>
          <w:rFonts w:cs="Arial" w:hint="cs"/>
          <w:rtl/>
        </w:rPr>
        <w:t>הילכך</w:t>
      </w:r>
      <w:r>
        <w:rPr>
          <w:rFonts w:cs="Arial"/>
          <w:rtl/>
        </w:rPr>
        <w:t xml:space="preserve"> </w:t>
      </w:r>
      <w:r>
        <w:rPr>
          <w:rFonts w:cs="Arial" w:hint="cs"/>
          <w:rtl/>
        </w:rPr>
        <w:t>ע</w:t>
      </w:r>
      <w:r>
        <w:rPr>
          <w:rFonts w:cs="Arial"/>
          <w:rtl/>
        </w:rPr>
        <w:t>"</w:t>
      </w:r>
      <w:r>
        <w:rPr>
          <w:rFonts w:cs="Arial" w:hint="cs"/>
          <w:rtl/>
        </w:rPr>
        <w:t>כ</w:t>
      </w:r>
      <w:r>
        <w:rPr>
          <w:rFonts w:cs="Arial"/>
          <w:rtl/>
        </w:rPr>
        <w:t xml:space="preserve"> </w:t>
      </w:r>
      <w:r>
        <w:rPr>
          <w:rFonts w:cs="Arial" w:hint="cs"/>
          <w:rtl/>
        </w:rPr>
        <w:t>לומר</w:t>
      </w:r>
      <w:r>
        <w:rPr>
          <w:rFonts w:cs="Arial"/>
          <w:rtl/>
        </w:rPr>
        <w:t xml:space="preserve"> </w:t>
      </w:r>
      <w:r>
        <w:rPr>
          <w:rFonts w:cs="Arial" w:hint="cs"/>
          <w:rtl/>
        </w:rPr>
        <w:t>דבאינך</w:t>
      </w:r>
      <w:r>
        <w:rPr>
          <w:rFonts w:cs="Arial"/>
          <w:rtl/>
        </w:rPr>
        <w:t xml:space="preserve"> </w:t>
      </w:r>
      <w:r>
        <w:rPr>
          <w:rFonts w:cs="Arial" w:hint="cs"/>
          <w:rtl/>
        </w:rPr>
        <w:t>בבי</w:t>
      </w:r>
      <w:r>
        <w:rPr>
          <w:rFonts w:cs="Arial"/>
          <w:rtl/>
        </w:rPr>
        <w:t xml:space="preserve"> </w:t>
      </w:r>
      <w:r>
        <w:rPr>
          <w:rFonts w:cs="Arial" w:hint="cs"/>
          <w:rtl/>
        </w:rPr>
        <w:t>מכשרי</w:t>
      </w:r>
      <w:r>
        <w:rPr>
          <w:rFonts w:cs="Arial"/>
          <w:rtl/>
        </w:rPr>
        <w:t xml:space="preserve"> </w:t>
      </w:r>
      <w:r>
        <w:rPr>
          <w:rFonts w:cs="Arial" w:hint="cs"/>
          <w:rtl/>
        </w:rPr>
        <w:t>לגמרי</w:t>
      </w:r>
      <w:r>
        <w:rPr>
          <w:rFonts w:cs="Arial"/>
          <w:rtl/>
        </w:rPr>
        <w:t xml:space="preserve"> </w:t>
      </w:r>
      <w:r>
        <w:rPr>
          <w:rFonts w:cs="Arial" w:hint="cs"/>
          <w:rtl/>
        </w:rPr>
        <w:t>לומר</w:t>
      </w:r>
      <w:r>
        <w:rPr>
          <w:rFonts w:cs="Arial"/>
          <w:rtl/>
        </w:rPr>
        <w:t xml:space="preserve"> </w:t>
      </w:r>
      <w:r>
        <w:rPr>
          <w:rFonts w:cs="Arial" w:hint="cs"/>
          <w:rtl/>
        </w:rPr>
        <w:t>דתנשא</w:t>
      </w:r>
      <w:r>
        <w:rPr>
          <w:rFonts w:cs="Arial"/>
          <w:rtl/>
        </w:rPr>
        <w:t xml:space="preserve"> </w:t>
      </w:r>
      <w:r>
        <w:rPr>
          <w:rFonts w:cs="Arial" w:hint="cs"/>
          <w:rtl/>
        </w:rPr>
        <w:t>לכתחלה, ב"י.</w:t>
      </w:r>
    </w:p>
  </w:footnote>
  <w:footnote w:id="947">
    <w:p w14:paraId="6DDA6365" w14:textId="77777777" w:rsidR="00FA2119" w:rsidRDefault="00FA2119" w:rsidP="00FA2119">
      <w:pPr>
        <w:pStyle w:val="a5"/>
      </w:pPr>
      <w:r>
        <w:rPr>
          <w:rStyle w:val="a7"/>
        </w:rPr>
        <w:footnoteRef/>
      </w:r>
      <w:r>
        <w:rPr>
          <w:rtl/>
        </w:rPr>
        <w:t xml:space="preserve"> </w:t>
      </w:r>
      <w:r>
        <w:rPr>
          <w:rFonts w:cs="Arial" w:hint="cs"/>
          <w:rtl/>
        </w:rPr>
        <w:t>כתב</w:t>
      </w:r>
      <w:r>
        <w:rPr>
          <w:rFonts w:cs="Arial"/>
          <w:rtl/>
        </w:rPr>
        <w:t xml:space="preserve"> </w:t>
      </w:r>
      <w:r>
        <w:rPr>
          <w:rFonts w:cs="Arial" w:hint="cs"/>
          <w:rtl/>
        </w:rPr>
        <w:t>הרא</w:t>
      </w:r>
      <w:r>
        <w:rPr>
          <w:rFonts w:cs="Arial"/>
          <w:rtl/>
        </w:rPr>
        <w:t>"</w:t>
      </w:r>
      <w:r>
        <w:rPr>
          <w:rFonts w:cs="Arial" w:hint="cs"/>
          <w:rtl/>
        </w:rPr>
        <w:t>ש</w:t>
      </w:r>
      <w:r>
        <w:rPr>
          <w:rFonts w:cs="Arial"/>
          <w:rtl/>
        </w:rPr>
        <w:t xml:space="preserve"> (</w:t>
      </w:r>
      <w:r>
        <w:rPr>
          <w:rFonts w:cs="Arial" w:hint="cs"/>
          <w:rtl/>
        </w:rPr>
        <w:t>פ</w:t>
      </w:r>
      <w:r>
        <w:rPr>
          <w:rFonts w:cs="Arial"/>
          <w:rtl/>
        </w:rPr>
        <w:t>"</w:t>
      </w:r>
      <w:r>
        <w:rPr>
          <w:rFonts w:cs="Arial" w:hint="cs"/>
          <w:rtl/>
        </w:rPr>
        <w:t>ח</w:t>
      </w:r>
      <w:r>
        <w:rPr>
          <w:rFonts w:cs="Arial"/>
          <w:rtl/>
        </w:rPr>
        <w:t xml:space="preserve"> </w:t>
      </w:r>
      <w:r>
        <w:rPr>
          <w:rFonts w:cs="Arial" w:hint="cs"/>
          <w:rtl/>
        </w:rPr>
        <w:t>ס</w:t>
      </w:r>
      <w:r>
        <w:rPr>
          <w:rFonts w:cs="Arial"/>
          <w:rtl/>
        </w:rPr>
        <w:t>"</w:t>
      </w:r>
      <w:r>
        <w:rPr>
          <w:rFonts w:cs="Arial" w:hint="cs"/>
          <w:rtl/>
        </w:rPr>
        <w:t>ט</w:t>
      </w:r>
      <w:r>
        <w:rPr>
          <w:rFonts w:cs="Arial"/>
          <w:rtl/>
        </w:rPr>
        <w:t xml:space="preserve">) </w:t>
      </w:r>
      <w:r>
        <w:rPr>
          <w:rFonts w:cs="Arial" w:hint="cs"/>
          <w:rtl/>
        </w:rPr>
        <w:t>שר"ח כתב</w:t>
      </w:r>
      <w:r>
        <w:rPr>
          <w:rFonts w:cs="Arial"/>
          <w:rtl/>
        </w:rPr>
        <w:t xml:space="preserve"> </w:t>
      </w:r>
      <w:r>
        <w:rPr>
          <w:rFonts w:cs="Arial" w:hint="cs"/>
          <w:rtl/>
        </w:rPr>
        <w:t>דהלכה</w:t>
      </w:r>
      <w:r>
        <w:rPr>
          <w:rFonts w:cs="Arial"/>
          <w:rtl/>
        </w:rPr>
        <w:t xml:space="preserve"> </w:t>
      </w:r>
      <w:r>
        <w:rPr>
          <w:rFonts w:cs="Arial" w:hint="cs"/>
          <w:rtl/>
        </w:rPr>
        <w:t>כרבי</w:t>
      </w:r>
      <w:r>
        <w:rPr>
          <w:rFonts w:cs="Arial"/>
          <w:rtl/>
        </w:rPr>
        <w:t xml:space="preserve"> </w:t>
      </w:r>
      <w:r>
        <w:rPr>
          <w:rFonts w:cs="Arial" w:hint="cs"/>
          <w:rtl/>
        </w:rPr>
        <w:t>מאיר</w:t>
      </w:r>
      <w:r>
        <w:rPr>
          <w:rFonts w:cs="Arial"/>
          <w:rtl/>
        </w:rPr>
        <w:t xml:space="preserve"> </w:t>
      </w:r>
      <w:r>
        <w:rPr>
          <w:rFonts w:cs="Arial" w:hint="cs"/>
          <w:rtl/>
        </w:rPr>
        <w:t>בהיה</w:t>
      </w:r>
      <w:r>
        <w:rPr>
          <w:rFonts w:cs="Arial"/>
          <w:rtl/>
        </w:rPr>
        <w:t xml:space="preserve"> </w:t>
      </w:r>
      <w:r>
        <w:rPr>
          <w:rFonts w:cs="Arial" w:hint="cs"/>
          <w:rtl/>
        </w:rPr>
        <w:t>במזרח</w:t>
      </w:r>
      <w:r>
        <w:rPr>
          <w:rFonts w:cs="Arial"/>
          <w:rtl/>
        </w:rPr>
        <w:t xml:space="preserve"> </w:t>
      </w:r>
      <w:r>
        <w:rPr>
          <w:rFonts w:cs="Arial" w:hint="cs"/>
          <w:rtl/>
        </w:rPr>
        <w:t>וכתב</w:t>
      </w:r>
      <w:r>
        <w:rPr>
          <w:rFonts w:cs="Arial"/>
          <w:rtl/>
        </w:rPr>
        <w:t xml:space="preserve"> </w:t>
      </w:r>
      <w:r>
        <w:rPr>
          <w:rFonts w:cs="Arial" w:hint="cs"/>
          <w:rtl/>
        </w:rPr>
        <w:t>במערב</w:t>
      </w:r>
      <w:r>
        <w:rPr>
          <w:rFonts w:cs="Arial"/>
          <w:rtl/>
        </w:rPr>
        <w:t xml:space="preserve"> </w:t>
      </w:r>
      <w:r>
        <w:rPr>
          <w:rFonts w:cs="Arial" w:hint="cs"/>
          <w:rtl/>
        </w:rPr>
        <w:t>מדחזינן</w:t>
      </w:r>
      <w:r>
        <w:rPr>
          <w:rFonts w:cs="Arial"/>
          <w:rtl/>
        </w:rPr>
        <w:t xml:space="preserve"> </w:t>
      </w:r>
      <w:r>
        <w:rPr>
          <w:rFonts w:cs="Arial" w:hint="cs"/>
          <w:rtl/>
        </w:rPr>
        <w:t>לרב</w:t>
      </w:r>
      <w:r>
        <w:rPr>
          <w:rFonts w:cs="Arial"/>
          <w:rtl/>
        </w:rPr>
        <w:t xml:space="preserve"> </w:t>
      </w:r>
      <w:r>
        <w:rPr>
          <w:rFonts w:cs="Arial" w:hint="cs"/>
          <w:rtl/>
        </w:rPr>
        <w:t>ולרב</w:t>
      </w:r>
      <w:r>
        <w:rPr>
          <w:rFonts w:cs="Arial"/>
          <w:rtl/>
        </w:rPr>
        <w:t xml:space="preserve"> </w:t>
      </w:r>
      <w:r>
        <w:rPr>
          <w:rFonts w:cs="Arial" w:hint="cs"/>
          <w:rtl/>
        </w:rPr>
        <w:t>הונא</w:t>
      </w:r>
      <w:r>
        <w:rPr>
          <w:rFonts w:cs="Arial"/>
          <w:rtl/>
        </w:rPr>
        <w:t xml:space="preserve"> </w:t>
      </w:r>
      <w:r>
        <w:rPr>
          <w:rFonts w:cs="Arial" w:hint="cs"/>
          <w:rtl/>
        </w:rPr>
        <w:t>דחיישי</w:t>
      </w:r>
      <w:r>
        <w:rPr>
          <w:rFonts w:cs="Arial"/>
          <w:rtl/>
        </w:rPr>
        <w:t xml:space="preserve"> </w:t>
      </w:r>
      <w:r>
        <w:rPr>
          <w:rFonts w:cs="Arial" w:hint="cs"/>
          <w:rtl/>
        </w:rPr>
        <w:t>להכי,</w:t>
      </w:r>
      <w:r>
        <w:rPr>
          <w:rFonts w:cs="Arial"/>
          <w:rtl/>
        </w:rPr>
        <w:t xml:space="preserve"> </w:t>
      </w:r>
      <w:r>
        <w:rPr>
          <w:rFonts w:cs="Arial" w:hint="cs"/>
          <w:rtl/>
        </w:rPr>
        <w:t>כלומר</w:t>
      </w:r>
      <w:r>
        <w:rPr>
          <w:rFonts w:cs="Arial"/>
          <w:rtl/>
        </w:rPr>
        <w:t xml:space="preserve"> </w:t>
      </w:r>
      <w:r>
        <w:rPr>
          <w:rFonts w:cs="Arial" w:hint="cs"/>
          <w:rtl/>
        </w:rPr>
        <w:t>דאמרי</w:t>
      </w:r>
      <w:r>
        <w:rPr>
          <w:rFonts w:cs="Arial"/>
          <w:rtl/>
        </w:rPr>
        <w:t xml:space="preserve"> </w:t>
      </w:r>
      <w:r>
        <w:rPr>
          <w:rFonts w:cs="Arial" w:hint="cs"/>
          <w:rtl/>
        </w:rPr>
        <w:t>לספריה</w:t>
      </w:r>
      <w:r>
        <w:rPr>
          <w:rFonts w:cs="Arial"/>
          <w:rtl/>
        </w:rPr>
        <w:t xml:space="preserve"> </w:t>
      </w:r>
      <w:r>
        <w:rPr>
          <w:rFonts w:cs="Arial" w:hint="cs"/>
          <w:rtl/>
        </w:rPr>
        <w:t>כי</w:t>
      </w:r>
      <w:r>
        <w:rPr>
          <w:rFonts w:cs="Arial"/>
          <w:rtl/>
        </w:rPr>
        <w:t xml:space="preserve"> </w:t>
      </w:r>
      <w:r>
        <w:rPr>
          <w:rFonts w:cs="Arial" w:hint="cs"/>
          <w:rtl/>
        </w:rPr>
        <w:t>יתביתו</w:t>
      </w:r>
      <w:r>
        <w:rPr>
          <w:rFonts w:cs="Arial"/>
          <w:rtl/>
        </w:rPr>
        <w:t xml:space="preserve"> </w:t>
      </w:r>
      <w:r>
        <w:rPr>
          <w:rFonts w:cs="Arial" w:hint="cs"/>
          <w:rtl/>
        </w:rPr>
        <w:t>בהיני</w:t>
      </w:r>
      <w:r>
        <w:rPr>
          <w:rFonts w:cs="Arial"/>
          <w:rtl/>
        </w:rPr>
        <w:t xml:space="preserve"> </w:t>
      </w:r>
      <w:r>
        <w:rPr>
          <w:rFonts w:cs="Arial" w:hint="cs"/>
          <w:rtl/>
        </w:rPr>
        <w:t>כתובו</w:t>
      </w:r>
      <w:r>
        <w:rPr>
          <w:rFonts w:cs="Arial"/>
          <w:rtl/>
        </w:rPr>
        <w:t xml:space="preserve"> </w:t>
      </w:r>
      <w:r>
        <w:rPr>
          <w:rFonts w:cs="Arial" w:hint="cs"/>
          <w:rtl/>
        </w:rPr>
        <w:t>בהיני</w:t>
      </w:r>
      <w:r>
        <w:rPr>
          <w:rFonts w:cs="Arial"/>
          <w:rtl/>
        </w:rPr>
        <w:t xml:space="preserve"> </w:t>
      </w:r>
      <w:r>
        <w:rPr>
          <w:rFonts w:cs="Arial" w:hint="cs"/>
          <w:rtl/>
        </w:rPr>
        <w:t>אע"ג</w:t>
      </w:r>
      <w:r>
        <w:rPr>
          <w:rFonts w:cs="Arial"/>
          <w:rtl/>
        </w:rPr>
        <w:t xml:space="preserve"> </w:t>
      </w:r>
      <w:r>
        <w:rPr>
          <w:rFonts w:cs="Arial" w:hint="cs"/>
          <w:rtl/>
        </w:rPr>
        <w:t>דמימסרן</w:t>
      </w:r>
      <w:r>
        <w:rPr>
          <w:rFonts w:cs="Arial"/>
          <w:rtl/>
        </w:rPr>
        <w:t xml:space="preserve"> </w:t>
      </w:r>
      <w:r>
        <w:rPr>
          <w:rFonts w:cs="Arial" w:hint="cs"/>
          <w:rtl/>
        </w:rPr>
        <w:t>לכו</w:t>
      </w:r>
      <w:r>
        <w:rPr>
          <w:rFonts w:cs="Arial"/>
          <w:rtl/>
        </w:rPr>
        <w:t xml:space="preserve"> </w:t>
      </w:r>
      <w:r>
        <w:rPr>
          <w:rFonts w:cs="Arial" w:hint="cs"/>
          <w:rtl/>
        </w:rPr>
        <w:t>מילי</w:t>
      </w:r>
      <w:r>
        <w:rPr>
          <w:rFonts w:cs="Arial"/>
          <w:rtl/>
        </w:rPr>
        <w:t xml:space="preserve"> </w:t>
      </w:r>
      <w:r>
        <w:rPr>
          <w:rFonts w:cs="Arial" w:hint="cs"/>
          <w:rtl/>
        </w:rPr>
        <w:t>בשילי.</w:t>
      </w:r>
      <w:r>
        <w:rPr>
          <w:rFonts w:cs="Arial"/>
          <w:rtl/>
        </w:rPr>
        <w:t xml:space="preserve"> </w:t>
      </w:r>
      <w:r>
        <w:rPr>
          <w:rFonts w:cs="Arial" w:hint="cs"/>
          <w:rtl/>
        </w:rPr>
        <w:t>משמע</w:t>
      </w:r>
      <w:r>
        <w:rPr>
          <w:rFonts w:cs="Arial"/>
          <w:rtl/>
        </w:rPr>
        <w:t xml:space="preserve"> </w:t>
      </w:r>
      <w:r>
        <w:rPr>
          <w:rFonts w:cs="Arial" w:hint="cs"/>
          <w:rtl/>
        </w:rPr>
        <w:t>דאיהו</w:t>
      </w:r>
      <w:r>
        <w:rPr>
          <w:rFonts w:cs="Arial"/>
          <w:rtl/>
        </w:rPr>
        <w:t xml:space="preserve"> </w:t>
      </w:r>
      <w:r>
        <w:rPr>
          <w:rFonts w:cs="Arial" w:hint="cs"/>
          <w:rtl/>
        </w:rPr>
        <w:t>מפרש</w:t>
      </w:r>
      <w:r>
        <w:rPr>
          <w:rFonts w:cs="Arial"/>
          <w:rtl/>
        </w:rPr>
        <w:t xml:space="preserve"> </w:t>
      </w:r>
      <w:r>
        <w:rPr>
          <w:rFonts w:cs="Arial" w:hint="cs"/>
          <w:rtl/>
        </w:rPr>
        <w:t>מילתיה</w:t>
      </w:r>
      <w:r>
        <w:rPr>
          <w:rFonts w:cs="Arial"/>
          <w:rtl/>
        </w:rPr>
        <w:t xml:space="preserve"> </w:t>
      </w:r>
      <w:r>
        <w:rPr>
          <w:rFonts w:cs="Arial" w:hint="cs"/>
          <w:rtl/>
        </w:rPr>
        <w:t>דרב</w:t>
      </w:r>
      <w:r>
        <w:rPr>
          <w:rFonts w:cs="Arial"/>
          <w:rtl/>
        </w:rPr>
        <w:t xml:space="preserve"> </w:t>
      </w:r>
      <w:r>
        <w:rPr>
          <w:rFonts w:cs="Arial" w:hint="cs"/>
          <w:rtl/>
        </w:rPr>
        <w:t>אשלום</w:t>
      </w:r>
      <w:r>
        <w:rPr>
          <w:rFonts w:cs="Arial"/>
          <w:rtl/>
        </w:rPr>
        <w:t xml:space="preserve"> </w:t>
      </w:r>
      <w:r>
        <w:rPr>
          <w:rFonts w:cs="Arial" w:hint="cs"/>
          <w:rtl/>
        </w:rPr>
        <w:t>מלכות.</w:t>
      </w:r>
      <w:r>
        <w:rPr>
          <w:rFonts w:cs="Arial"/>
          <w:rtl/>
        </w:rPr>
        <w:t xml:space="preserve"> </w:t>
      </w:r>
      <w:r>
        <w:rPr>
          <w:rFonts w:cs="Arial" w:hint="cs"/>
          <w:rtl/>
        </w:rPr>
        <w:t>ומה</w:t>
      </w:r>
      <w:r>
        <w:rPr>
          <w:rFonts w:cs="Arial"/>
          <w:rtl/>
        </w:rPr>
        <w:t xml:space="preserve"> </w:t>
      </w:r>
      <w:r>
        <w:rPr>
          <w:rFonts w:cs="Arial" w:hint="cs"/>
          <w:rtl/>
        </w:rPr>
        <w:t>שפסק</w:t>
      </w:r>
      <w:r>
        <w:rPr>
          <w:rFonts w:cs="Arial"/>
          <w:rtl/>
        </w:rPr>
        <w:t xml:space="preserve"> </w:t>
      </w:r>
      <w:r>
        <w:rPr>
          <w:rFonts w:cs="Arial" w:hint="cs"/>
          <w:rtl/>
        </w:rPr>
        <w:t>כרבי</w:t>
      </w:r>
      <w:r>
        <w:rPr>
          <w:rFonts w:cs="Arial"/>
          <w:rtl/>
        </w:rPr>
        <w:t xml:space="preserve"> </w:t>
      </w:r>
      <w:r>
        <w:rPr>
          <w:rFonts w:cs="Arial" w:hint="cs"/>
          <w:rtl/>
        </w:rPr>
        <w:t>מאיר</w:t>
      </w:r>
      <w:r>
        <w:rPr>
          <w:rFonts w:cs="Arial"/>
          <w:rtl/>
        </w:rPr>
        <w:t xml:space="preserve"> </w:t>
      </w:r>
      <w:r>
        <w:rPr>
          <w:rFonts w:cs="Arial" w:hint="cs"/>
          <w:rtl/>
        </w:rPr>
        <w:t>משום</w:t>
      </w:r>
      <w:r>
        <w:rPr>
          <w:rFonts w:cs="Arial"/>
          <w:rtl/>
        </w:rPr>
        <w:t xml:space="preserve"> </w:t>
      </w:r>
      <w:r>
        <w:rPr>
          <w:rFonts w:cs="Arial" w:hint="cs"/>
          <w:rtl/>
        </w:rPr>
        <w:t>דרב</w:t>
      </w:r>
      <w:r>
        <w:rPr>
          <w:rFonts w:cs="Arial"/>
          <w:rtl/>
        </w:rPr>
        <w:t xml:space="preserve"> </w:t>
      </w:r>
      <w:r>
        <w:rPr>
          <w:rFonts w:cs="Arial" w:hint="cs"/>
          <w:rtl/>
        </w:rPr>
        <w:t>הונא</w:t>
      </w:r>
      <w:r>
        <w:rPr>
          <w:rFonts w:cs="Arial"/>
          <w:rtl/>
        </w:rPr>
        <w:t xml:space="preserve"> </w:t>
      </w:r>
      <w:r>
        <w:rPr>
          <w:rFonts w:cs="Arial" w:hint="cs"/>
          <w:rtl/>
        </w:rPr>
        <w:t>ורב</w:t>
      </w:r>
      <w:r>
        <w:rPr>
          <w:rFonts w:cs="Arial"/>
          <w:rtl/>
        </w:rPr>
        <w:t xml:space="preserve"> </w:t>
      </w:r>
      <w:r>
        <w:rPr>
          <w:rFonts w:cs="Arial" w:hint="cs"/>
          <w:rtl/>
        </w:rPr>
        <w:t>חיישי</w:t>
      </w:r>
      <w:r>
        <w:rPr>
          <w:rFonts w:cs="Arial"/>
          <w:rtl/>
        </w:rPr>
        <w:t xml:space="preserve"> </w:t>
      </w:r>
      <w:r>
        <w:rPr>
          <w:rFonts w:cs="Arial" w:hint="cs"/>
          <w:rtl/>
        </w:rPr>
        <w:t>להכי</w:t>
      </w:r>
      <w:r>
        <w:rPr>
          <w:rFonts w:cs="Arial"/>
          <w:rtl/>
        </w:rPr>
        <w:t xml:space="preserve"> </w:t>
      </w:r>
      <w:r>
        <w:rPr>
          <w:rFonts w:cs="Arial" w:hint="cs"/>
          <w:rtl/>
        </w:rPr>
        <w:t>- אין</w:t>
      </w:r>
      <w:r>
        <w:rPr>
          <w:rFonts w:cs="Arial"/>
          <w:rtl/>
        </w:rPr>
        <w:t xml:space="preserve"> </w:t>
      </w:r>
      <w:r>
        <w:rPr>
          <w:rFonts w:cs="Arial" w:hint="cs"/>
          <w:rtl/>
        </w:rPr>
        <w:t>נראה</w:t>
      </w:r>
      <w:r>
        <w:rPr>
          <w:rFonts w:cs="Arial"/>
          <w:rtl/>
        </w:rPr>
        <w:t xml:space="preserve"> </w:t>
      </w:r>
      <w:r>
        <w:rPr>
          <w:rFonts w:cs="Arial" w:hint="cs"/>
          <w:rtl/>
        </w:rPr>
        <w:t>לי</w:t>
      </w:r>
      <w:r>
        <w:rPr>
          <w:rFonts w:cs="Arial"/>
          <w:rtl/>
        </w:rPr>
        <w:t xml:space="preserve"> </w:t>
      </w:r>
      <w:r>
        <w:rPr>
          <w:rFonts w:cs="Arial" w:hint="cs"/>
          <w:rtl/>
        </w:rPr>
        <w:t>ראיה,</w:t>
      </w:r>
      <w:r>
        <w:rPr>
          <w:rFonts w:cs="Arial"/>
          <w:rtl/>
        </w:rPr>
        <w:t xml:space="preserve"> </w:t>
      </w:r>
      <w:r>
        <w:rPr>
          <w:rFonts w:cs="Arial" w:hint="cs"/>
          <w:rtl/>
        </w:rPr>
        <w:t>דגם</w:t>
      </w:r>
      <w:r>
        <w:rPr>
          <w:rFonts w:cs="Arial"/>
          <w:rtl/>
        </w:rPr>
        <w:t xml:space="preserve"> </w:t>
      </w:r>
      <w:r>
        <w:rPr>
          <w:rFonts w:cs="Arial" w:hint="cs"/>
          <w:rtl/>
        </w:rPr>
        <w:t>רבנן</w:t>
      </w:r>
      <w:r>
        <w:rPr>
          <w:rFonts w:cs="Arial"/>
          <w:rtl/>
        </w:rPr>
        <w:t xml:space="preserve"> </w:t>
      </w:r>
      <w:r>
        <w:rPr>
          <w:rFonts w:cs="Arial" w:hint="cs"/>
          <w:rtl/>
        </w:rPr>
        <w:t>מודו</w:t>
      </w:r>
      <w:r>
        <w:rPr>
          <w:rFonts w:cs="Arial"/>
          <w:rtl/>
        </w:rPr>
        <w:t xml:space="preserve"> </w:t>
      </w:r>
      <w:r>
        <w:rPr>
          <w:rFonts w:cs="Arial" w:hint="cs"/>
          <w:rtl/>
        </w:rPr>
        <w:t>דלכתחלה</w:t>
      </w:r>
      <w:r>
        <w:rPr>
          <w:rFonts w:cs="Arial"/>
          <w:rtl/>
        </w:rPr>
        <w:t xml:space="preserve"> </w:t>
      </w:r>
      <w:r>
        <w:rPr>
          <w:rFonts w:cs="Arial" w:hint="cs"/>
          <w:rtl/>
        </w:rPr>
        <w:t>איכא</w:t>
      </w:r>
      <w:r>
        <w:rPr>
          <w:rFonts w:cs="Arial"/>
          <w:rtl/>
        </w:rPr>
        <w:t xml:space="preserve"> </w:t>
      </w:r>
      <w:r>
        <w:rPr>
          <w:rFonts w:cs="Arial" w:hint="cs"/>
          <w:rtl/>
        </w:rPr>
        <w:t>למיחש</w:t>
      </w:r>
      <w:r>
        <w:rPr>
          <w:rFonts w:cs="Arial"/>
          <w:rtl/>
        </w:rPr>
        <w:t xml:space="preserve"> [</w:t>
      </w:r>
      <w:r>
        <w:rPr>
          <w:rFonts w:cs="Arial" w:hint="cs"/>
          <w:rtl/>
        </w:rPr>
        <w:t>עכ</w:t>
      </w:r>
      <w:r>
        <w:rPr>
          <w:rFonts w:cs="Arial"/>
          <w:rtl/>
        </w:rPr>
        <w:t>"</w:t>
      </w:r>
      <w:r>
        <w:rPr>
          <w:rFonts w:cs="Arial" w:hint="cs"/>
          <w:rtl/>
        </w:rPr>
        <w:t>ל</w:t>
      </w:r>
      <w:r>
        <w:rPr>
          <w:rFonts w:cs="Arial"/>
          <w:rtl/>
        </w:rPr>
        <w:t>].</w:t>
      </w:r>
    </w:p>
  </w:footnote>
  <w:footnote w:id="948">
    <w:p w14:paraId="6E24025D" w14:textId="77777777" w:rsidR="00FA2119" w:rsidRDefault="00FA2119" w:rsidP="00FA2119">
      <w:pPr>
        <w:pStyle w:val="a5"/>
        <w:rPr>
          <w:rtl/>
        </w:rPr>
      </w:pPr>
      <w:r>
        <w:rPr>
          <w:rStyle w:val="a7"/>
        </w:rPr>
        <w:footnoteRef/>
      </w:r>
      <w:r>
        <w:rPr>
          <w:rtl/>
        </w:rPr>
        <w:t xml:space="preserve"> </w:t>
      </w:r>
      <w:r>
        <w:rPr>
          <w:rFonts w:cs="Arial" w:hint="cs"/>
          <w:rtl/>
        </w:rPr>
        <w:t>ונשאר</w:t>
      </w:r>
      <w:r>
        <w:rPr>
          <w:rFonts w:cs="Arial"/>
          <w:rtl/>
        </w:rPr>
        <w:t xml:space="preserve"> </w:t>
      </w:r>
      <w:r>
        <w:rPr>
          <w:rFonts w:cs="Arial" w:hint="cs"/>
          <w:rtl/>
        </w:rPr>
        <w:t>לנו</w:t>
      </w:r>
      <w:r>
        <w:rPr>
          <w:rFonts w:cs="Arial"/>
          <w:rtl/>
        </w:rPr>
        <w:t xml:space="preserve"> </w:t>
      </w:r>
      <w:r>
        <w:rPr>
          <w:rFonts w:cs="Arial" w:hint="cs"/>
          <w:rtl/>
        </w:rPr>
        <w:t>לבאר</w:t>
      </w:r>
      <w:r>
        <w:rPr>
          <w:rFonts w:cs="Arial"/>
          <w:rtl/>
        </w:rPr>
        <w:t xml:space="preserve"> </w:t>
      </w:r>
      <w:r>
        <w:rPr>
          <w:rFonts w:cs="Arial" w:hint="cs"/>
          <w:rtl/>
        </w:rPr>
        <w:t>דעת</w:t>
      </w:r>
      <w:r>
        <w:rPr>
          <w:rFonts w:cs="Arial"/>
          <w:rtl/>
        </w:rPr>
        <w:t xml:space="preserve"> </w:t>
      </w:r>
      <w:r>
        <w:rPr>
          <w:rFonts w:cs="Arial" w:hint="cs"/>
          <w:rtl/>
        </w:rPr>
        <w:t>הרמ</w:t>
      </w:r>
      <w:r>
        <w:rPr>
          <w:rFonts w:cs="Arial"/>
          <w:rtl/>
        </w:rPr>
        <w:t>"</w:t>
      </w:r>
      <w:r>
        <w:rPr>
          <w:rFonts w:cs="Arial" w:hint="cs"/>
          <w:rtl/>
        </w:rPr>
        <w:t>ה</w:t>
      </w:r>
      <w:r>
        <w:rPr>
          <w:rFonts w:cs="Arial"/>
          <w:rtl/>
        </w:rPr>
        <w:t xml:space="preserve"> </w:t>
      </w:r>
      <w:r w:rsidRPr="00F652E1">
        <w:rPr>
          <w:rFonts w:cs="Arial"/>
          <w:sz w:val="16"/>
          <w:szCs w:val="16"/>
          <w:rtl/>
        </w:rPr>
        <w:t>(</w:t>
      </w:r>
      <w:r w:rsidRPr="00F652E1">
        <w:rPr>
          <w:rFonts w:cs="Arial" w:hint="cs"/>
          <w:sz w:val="16"/>
          <w:szCs w:val="16"/>
          <w:rtl/>
        </w:rPr>
        <w:t>חידושי</w:t>
      </w:r>
      <w:r w:rsidRPr="00F652E1">
        <w:rPr>
          <w:rFonts w:cs="Arial"/>
          <w:sz w:val="16"/>
          <w:szCs w:val="16"/>
          <w:rtl/>
        </w:rPr>
        <w:t xml:space="preserve"> </w:t>
      </w:r>
      <w:r w:rsidRPr="00F652E1">
        <w:rPr>
          <w:rFonts w:cs="Arial" w:hint="cs"/>
          <w:sz w:val="16"/>
          <w:szCs w:val="16"/>
          <w:rtl/>
        </w:rPr>
        <w:t>הרמ</w:t>
      </w:r>
      <w:r w:rsidRPr="00F652E1">
        <w:rPr>
          <w:rFonts w:cs="Arial"/>
          <w:sz w:val="16"/>
          <w:szCs w:val="16"/>
          <w:rtl/>
        </w:rPr>
        <w:t>"</w:t>
      </w:r>
      <w:r w:rsidRPr="00F652E1">
        <w:rPr>
          <w:rFonts w:cs="Arial" w:hint="cs"/>
          <w:sz w:val="16"/>
          <w:szCs w:val="16"/>
          <w:rtl/>
        </w:rPr>
        <w:t>ה</w:t>
      </w:r>
      <w:r w:rsidRPr="00F652E1">
        <w:rPr>
          <w:rFonts w:cs="Arial"/>
          <w:sz w:val="16"/>
          <w:szCs w:val="16"/>
          <w:rtl/>
        </w:rPr>
        <w:t xml:space="preserve"> </w:t>
      </w:r>
      <w:r w:rsidRPr="00F652E1">
        <w:rPr>
          <w:rFonts w:cs="Arial" w:hint="cs"/>
          <w:sz w:val="16"/>
          <w:szCs w:val="16"/>
          <w:rtl/>
        </w:rPr>
        <w:t>גיטין</w:t>
      </w:r>
      <w:r w:rsidRPr="00F652E1">
        <w:rPr>
          <w:rFonts w:cs="Arial"/>
          <w:sz w:val="16"/>
          <w:szCs w:val="16"/>
          <w:rtl/>
        </w:rPr>
        <w:t xml:space="preserve"> </w:t>
      </w:r>
      <w:r w:rsidRPr="00F652E1">
        <w:rPr>
          <w:rFonts w:cs="Arial" w:hint="cs"/>
          <w:sz w:val="16"/>
          <w:szCs w:val="16"/>
          <w:rtl/>
        </w:rPr>
        <w:t>פ</w:t>
      </w:r>
      <w:r w:rsidRPr="00F652E1">
        <w:rPr>
          <w:rFonts w:cs="Arial"/>
          <w:sz w:val="16"/>
          <w:szCs w:val="16"/>
          <w:rtl/>
        </w:rPr>
        <w:t xml:space="preserve">. </w:t>
      </w:r>
      <w:r w:rsidRPr="00F652E1">
        <w:rPr>
          <w:rFonts w:cs="Arial" w:hint="cs"/>
          <w:sz w:val="16"/>
          <w:szCs w:val="16"/>
          <w:rtl/>
        </w:rPr>
        <w:t>ד</w:t>
      </w:r>
      <w:r w:rsidRPr="00F652E1">
        <w:rPr>
          <w:rFonts w:cs="Arial"/>
          <w:sz w:val="16"/>
          <w:szCs w:val="16"/>
          <w:rtl/>
        </w:rPr>
        <w:t>"</w:t>
      </w:r>
      <w:r w:rsidRPr="00F652E1">
        <w:rPr>
          <w:rFonts w:cs="Arial" w:hint="cs"/>
          <w:sz w:val="16"/>
          <w:szCs w:val="16"/>
          <w:rtl/>
        </w:rPr>
        <w:t>ה</w:t>
      </w:r>
      <w:r w:rsidRPr="00F652E1">
        <w:rPr>
          <w:rFonts w:cs="Arial"/>
          <w:sz w:val="16"/>
          <w:szCs w:val="16"/>
          <w:rtl/>
        </w:rPr>
        <w:t xml:space="preserve"> </w:t>
      </w:r>
      <w:r w:rsidRPr="00F652E1">
        <w:rPr>
          <w:rFonts w:cs="Arial" w:hint="cs"/>
          <w:sz w:val="16"/>
          <w:szCs w:val="16"/>
          <w:rtl/>
        </w:rPr>
        <w:t>והא</w:t>
      </w:r>
      <w:r w:rsidRPr="00F652E1">
        <w:rPr>
          <w:rFonts w:cs="Arial"/>
          <w:sz w:val="16"/>
          <w:szCs w:val="16"/>
          <w:rtl/>
        </w:rPr>
        <w:t>)</w:t>
      </w:r>
      <w:r>
        <w:rPr>
          <w:rFonts w:cs="Arial"/>
          <w:rtl/>
        </w:rPr>
        <w:t xml:space="preserve"> </w:t>
      </w:r>
      <w:r>
        <w:rPr>
          <w:rFonts w:cs="Arial" w:hint="cs"/>
          <w:rtl/>
        </w:rPr>
        <w:t>דלכאורה</w:t>
      </w:r>
      <w:r>
        <w:rPr>
          <w:rFonts w:cs="Arial"/>
          <w:rtl/>
        </w:rPr>
        <w:t xml:space="preserve"> </w:t>
      </w:r>
      <w:r>
        <w:rPr>
          <w:rFonts w:cs="Arial" w:hint="cs"/>
          <w:rtl/>
        </w:rPr>
        <w:t>משמע</w:t>
      </w:r>
      <w:r>
        <w:rPr>
          <w:rFonts w:cs="Arial"/>
          <w:rtl/>
        </w:rPr>
        <w:t xml:space="preserve"> </w:t>
      </w:r>
      <w:r>
        <w:rPr>
          <w:rFonts w:cs="Arial" w:hint="cs"/>
          <w:rtl/>
        </w:rPr>
        <w:t>דסבירא</w:t>
      </w:r>
      <w:r>
        <w:rPr>
          <w:rFonts w:cs="Arial"/>
          <w:rtl/>
        </w:rPr>
        <w:t xml:space="preserve"> </w:t>
      </w:r>
      <w:r>
        <w:rPr>
          <w:rFonts w:cs="Arial" w:hint="cs"/>
          <w:rtl/>
        </w:rPr>
        <w:t>ליה</w:t>
      </w:r>
      <w:r>
        <w:rPr>
          <w:rFonts w:cs="Arial"/>
          <w:rtl/>
        </w:rPr>
        <w:t xml:space="preserve"> </w:t>
      </w:r>
      <w:r>
        <w:rPr>
          <w:rFonts w:cs="Arial" w:hint="cs"/>
          <w:rtl/>
        </w:rPr>
        <w:t>כרבי</w:t>
      </w:r>
      <w:r>
        <w:rPr>
          <w:rFonts w:cs="Arial"/>
          <w:rtl/>
        </w:rPr>
        <w:t xml:space="preserve"> </w:t>
      </w:r>
      <w:r>
        <w:rPr>
          <w:rFonts w:cs="Arial" w:hint="cs"/>
          <w:rtl/>
        </w:rPr>
        <w:t>מאיר,</w:t>
      </w:r>
      <w:r>
        <w:rPr>
          <w:rFonts w:cs="Arial"/>
          <w:rtl/>
        </w:rPr>
        <w:t xml:space="preserve"> </w:t>
      </w:r>
      <w:r>
        <w:rPr>
          <w:rFonts w:cs="Arial" w:hint="cs"/>
          <w:rtl/>
        </w:rPr>
        <w:t>ואם</w:t>
      </w:r>
      <w:r>
        <w:rPr>
          <w:rFonts w:cs="Arial"/>
          <w:rtl/>
        </w:rPr>
        <w:t xml:space="preserve"> </w:t>
      </w:r>
      <w:r>
        <w:rPr>
          <w:rFonts w:cs="Arial" w:hint="cs"/>
          <w:rtl/>
        </w:rPr>
        <w:t>כן</w:t>
      </w:r>
      <w:r>
        <w:rPr>
          <w:rFonts w:cs="Arial"/>
          <w:rtl/>
        </w:rPr>
        <w:t xml:space="preserve"> </w:t>
      </w:r>
      <w:r>
        <w:rPr>
          <w:rFonts w:cs="Arial" w:hint="cs"/>
          <w:rtl/>
        </w:rPr>
        <w:t>האיך</w:t>
      </w:r>
      <w:r>
        <w:rPr>
          <w:rFonts w:cs="Arial"/>
          <w:rtl/>
        </w:rPr>
        <w:t xml:space="preserve"> </w:t>
      </w:r>
      <w:r>
        <w:rPr>
          <w:rFonts w:cs="Arial" w:hint="cs"/>
          <w:rtl/>
        </w:rPr>
        <w:t>כתב</w:t>
      </w:r>
      <w:r>
        <w:rPr>
          <w:rFonts w:cs="Arial"/>
          <w:rtl/>
        </w:rPr>
        <w:t xml:space="preserve"> </w:t>
      </w:r>
      <w:r>
        <w:rPr>
          <w:rFonts w:cs="Arial" w:hint="cs"/>
          <w:rtl/>
        </w:rPr>
        <w:t>שהולד</w:t>
      </w:r>
      <w:r>
        <w:rPr>
          <w:rFonts w:cs="Arial"/>
          <w:rtl/>
        </w:rPr>
        <w:t xml:space="preserve"> </w:t>
      </w:r>
      <w:r>
        <w:rPr>
          <w:rFonts w:cs="Arial" w:hint="cs"/>
          <w:rtl/>
        </w:rPr>
        <w:t>כשר</w:t>
      </w:r>
      <w:r>
        <w:rPr>
          <w:rFonts w:cs="Arial"/>
          <w:rtl/>
        </w:rPr>
        <w:t xml:space="preserve"> </w:t>
      </w:r>
      <w:r>
        <w:rPr>
          <w:rFonts w:cs="Arial" w:hint="cs"/>
          <w:rtl/>
        </w:rPr>
        <w:t>מהשני,</w:t>
      </w:r>
      <w:r>
        <w:rPr>
          <w:rFonts w:cs="Arial"/>
          <w:rtl/>
        </w:rPr>
        <w:t xml:space="preserve"> </w:t>
      </w:r>
      <w:r>
        <w:rPr>
          <w:rFonts w:cs="Arial" w:hint="cs"/>
          <w:rtl/>
        </w:rPr>
        <w:t>הא</w:t>
      </w:r>
      <w:r>
        <w:rPr>
          <w:rFonts w:cs="Arial"/>
          <w:rtl/>
        </w:rPr>
        <w:t xml:space="preserve"> </w:t>
      </w:r>
      <w:r>
        <w:rPr>
          <w:rFonts w:cs="Arial" w:hint="cs"/>
          <w:rtl/>
        </w:rPr>
        <w:t>לרבי</w:t>
      </w:r>
      <w:r>
        <w:rPr>
          <w:rFonts w:cs="Arial"/>
          <w:rtl/>
        </w:rPr>
        <w:t xml:space="preserve"> </w:t>
      </w:r>
      <w:r>
        <w:rPr>
          <w:rFonts w:cs="Arial" w:hint="cs"/>
          <w:rtl/>
        </w:rPr>
        <w:t>מאיר</w:t>
      </w:r>
      <w:r>
        <w:rPr>
          <w:rFonts w:cs="Arial"/>
          <w:rtl/>
        </w:rPr>
        <w:t xml:space="preserve"> </w:t>
      </w:r>
      <w:r>
        <w:rPr>
          <w:rFonts w:cs="Arial" w:hint="cs"/>
          <w:rtl/>
        </w:rPr>
        <w:t>הולד</w:t>
      </w:r>
      <w:r>
        <w:rPr>
          <w:rFonts w:cs="Arial"/>
          <w:rtl/>
        </w:rPr>
        <w:t xml:space="preserve"> </w:t>
      </w:r>
      <w:r>
        <w:rPr>
          <w:rFonts w:cs="Arial" w:hint="cs"/>
          <w:rtl/>
        </w:rPr>
        <w:t>ממזר</w:t>
      </w:r>
      <w:r>
        <w:rPr>
          <w:rFonts w:cs="Arial"/>
          <w:rtl/>
        </w:rPr>
        <w:t xml:space="preserve"> </w:t>
      </w:r>
      <w:r>
        <w:rPr>
          <w:rFonts w:cs="Arial" w:hint="cs"/>
          <w:rtl/>
        </w:rPr>
        <w:t>מזה</w:t>
      </w:r>
      <w:r>
        <w:rPr>
          <w:rFonts w:cs="Arial"/>
          <w:rtl/>
        </w:rPr>
        <w:t xml:space="preserve"> </w:t>
      </w:r>
      <w:r>
        <w:rPr>
          <w:rFonts w:cs="Arial" w:hint="cs"/>
          <w:rtl/>
        </w:rPr>
        <w:t>ומזה</w:t>
      </w:r>
      <w:r>
        <w:rPr>
          <w:rFonts w:cs="Arial"/>
          <w:rtl/>
        </w:rPr>
        <w:t xml:space="preserve">. </w:t>
      </w:r>
      <w:r>
        <w:rPr>
          <w:rFonts w:cs="Arial" w:hint="cs"/>
          <w:rtl/>
        </w:rPr>
        <w:t>ונראה</w:t>
      </w:r>
      <w:r>
        <w:rPr>
          <w:rFonts w:cs="Arial"/>
          <w:rtl/>
        </w:rPr>
        <w:t xml:space="preserve"> </w:t>
      </w:r>
      <w:r>
        <w:rPr>
          <w:rFonts w:cs="Arial" w:hint="cs"/>
          <w:rtl/>
        </w:rPr>
        <w:t>לי</w:t>
      </w:r>
      <w:r>
        <w:rPr>
          <w:rFonts w:cs="Arial"/>
          <w:rtl/>
        </w:rPr>
        <w:t xml:space="preserve"> </w:t>
      </w:r>
      <w:r>
        <w:rPr>
          <w:rFonts w:cs="Arial" w:hint="cs"/>
          <w:rtl/>
        </w:rPr>
        <w:t>דאע</w:t>
      </w:r>
      <w:r>
        <w:rPr>
          <w:rFonts w:cs="Arial"/>
          <w:rtl/>
        </w:rPr>
        <w:t>"</w:t>
      </w:r>
      <w:r>
        <w:rPr>
          <w:rFonts w:cs="Arial" w:hint="cs"/>
          <w:rtl/>
        </w:rPr>
        <w:t>ג</w:t>
      </w:r>
      <w:r>
        <w:rPr>
          <w:rFonts w:cs="Arial"/>
          <w:rtl/>
        </w:rPr>
        <w:t xml:space="preserve"> </w:t>
      </w:r>
      <w:r>
        <w:rPr>
          <w:rFonts w:cs="Arial" w:hint="cs"/>
          <w:rtl/>
        </w:rPr>
        <w:t>דר"ח</w:t>
      </w:r>
      <w:r>
        <w:rPr>
          <w:rFonts w:cs="Arial"/>
          <w:rtl/>
        </w:rPr>
        <w:t xml:space="preserve"> </w:t>
      </w:r>
      <w:r>
        <w:rPr>
          <w:rFonts w:cs="Arial" w:hint="cs"/>
          <w:rtl/>
        </w:rPr>
        <w:t>והרמ</w:t>
      </w:r>
      <w:r>
        <w:rPr>
          <w:rFonts w:cs="Arial"/>
          <w:rtl/>
        </w:rPr>
        <w:t>"</w:t>
      </w:r>
      <w:r>
        <w:rPr>
          <w:rFonts w:cs="Arial" w:hint="cs"/>
          <w:rtl/>
        </w:rPr>
        <w:t>ה</w:t>
      </w:r>
      <w:r>
        <w:rPr>
          <w:rFonts w:cs="Arial"/>
          <w:rtl/>
        </w:rPr>
        <w:t xml:space="preserve"> </w:t>
      </w:r>
      <w:r>
        <w:rPr>
          <w:rFonts w:cs="Arial" w:hint="cs"/>
          <w:rtl/>
        </w:rPr>
        <w:t>השוו</w:t>
      </w:r>
      <w:r>
        <w:rPr>
          <w:rFonts w:cs="Arial"/>
          <w:rtl/>
        </w:rPr>
        <w:t xml:space="preserve"> </w:t>
      </w:r>
      <w:r>
        <w:rPr>
          <w:rFonts w:cs="Arial" w:hint="cs"/>
          <w:rtl/>
        </w:rPr>
        <w:t>מדותיהם</w:t>
      </w:r>
      <w:r>
        <w:rPr>
          <w:rFonts w:cs="Arial"/>
          <w:rtl/>
        </w:rPr>
        <w:t xml:space="preserve"> </w:t>
      </w:r>
      <w:r>
        <w:rPr>
          <w:rFonts w:cs="Arial" w:hint="cs"/>
          <w:rtl/>
        </w:rPr>
        <w:t>לפסוק</w:t>
      </w:r>
      <w:r>
        <w:rPr>
          <w:rFonts w:cs="Arial"/>
          <w:rtl/>
        </w:rPr>
        <w:t xml:space="preserve"> </w:t>
      </w:r>
      <w:r>
        <w:rPr>
          <w:rFonts w:cs="Arial" w:hint="cs"/>
          <w:rtl/>
        </w:rPr>
        <w:t>כרבי</w:t>
      </w:r>
      <w:r>
        <w:rPr>
          <w:rFonts w:cs="Arial"/>
          <w:rtl/>
        </w:rPr>
        <w:t xml:space="preserve"> </w:t>
      </w:r>
      <w:r>
        <w:rPr>
          <w:rFonts w:cs="Arial" w:hint="cs"/>
          <w:rtl/>
        </w:rPr>
        <w:t>מאיר,</w:t>
      </w:r>
      <w:r>
        <w:rPr>
          <w:rFonts w:cs="Arial"/>
          <w:rtl/>
        </w:rPr>
        <w:t xml:space="preserve"> </w:t>
      </w:r>
      <w:r>
        <w:rPr>
          <w:rFonts w:cs="Arial" w:hint="cs"/>
          <w:rtl/>
        </w:rPr>
        <w:t>מכל</w:t>
      </w:r>
      <w:r>
        <w:rPr>
          <w:rFonts w:cs="Arial"/>
          <w:rtl/>
        </w:rPr>
        <w:t xml:space="preserve"> </w:t>
      </w:r>
      <w:r>
        <w:rPr>
          <w:rFonts w:cs="Arial" w:hint="cs"/>
          <w:rtl/>
        </w:rPr>
        <w:t>מקום</w:t>
      </w:r>
      <w:r>
        <w:rPr>
          <w:rFonts w:cs="Arial"/>
          <w:rtl/>
        </w:rPr>
        <w:t xml:space="preserve"> </w:t>
      </w:r>
      <w:r>
        <w:rPr>
          <w:rFonts w:cs="Arial" w:hint="cs"/>
          <w:rtl/>
        </w:rPr>
        <w:t>בפירוש</w:t>
      </w:r>
      <w:r>
        <w:rPr>
          <w:rFonts w:cs="Arial"/>
          <w:rtl/>
        </w:rPr>
        <w:t xml:space="preserve"> </w:t>
      </w:r>
      <w:r>
        <w:rPr>
          <w:rFonts w:cs="Arial" w:hint="cs"/>
          <w:rtl/>
        </w:rPr>
        <w:t>דברי</w:t>
      </w:r>
      <w:r>
        <w:rPr>
          <w:rFonts w:cs="Arial"/>
          <w:rtl/>
        </w:rPr>
        <w:t xml:space="preserve"> </w:t>
      </w:r>
      <w:r>
        <w:rPr>
          <w:rFonts w:cs="Arial" w:hint="cs"/>
          <w:rtl/>
        </w:rPr>
        <w:t>רבי</w:t>
      </w:r>
      <w:r>
        <w:rPr>
          <w:rFonts w:cs="Arial"/>
          <w:rtl/>
        </w:rPr>
        <w:t xml:space="preserve"> </w:t>
      </w:r>
      <w:r>
        <w:rPr>
          <w:rFonts w:cs="Arial" w:hint="cs"/>
          <w:rtl/>
        </w:rPr>
        <w:t>מאיר</w:t>
      </w:r>
      <w:r>
        <w:rPr>
          <w:rFonts w:cs="Arial"/>
          <w:rtl/>
        </w:rPr>
        <w:t xml:space="preserve"> </w:t>
      </w:r>
      <w:r>
        <w:rPr>
          <w:rFonts w:cs="Arial" w:hint="cs"/>
          <w:rtl/>
        </w:rPr>
        <w:t>פליגי.</w:t>
      </w:r>
      <w:r>
        <w:rPr>
          <w:rFonts w:cs="Arial"/>
          <w:rtl/>
        </w:rPr>
        <w:t xml:space="preserve"> </w:t>
      </w:r>
      <w:r>
        <w:rPr>
          <w:rFonts w:cs="Arial" w:hint="cs"/>
          <w:rtl/>
        </w:rPr>
        <w:t>דלר"ח</w:t>
      </w:r>
      <w:r>
        <w:rPr>
          <w:rFonts w:cs="Arial"/>
          <w:rtl/>
        </w:rPr>
        <w:t xml:space="preserve"> </w:t>
      </w:r>
      <w:r>
        <w:rPr>
          <w:rFonts w:cs="Arial" w:hint="cs"/>
          <w:rtl/>
        </w:rPr>
        <w:t>כי</w:t>
      </w:r>
      <w:r>
        <w:rPr>
          <w:rFonts w:cs="Arial"/>
          <w:rtl/>
        </w:rPr>
        <w:t xml:space="preserve"> </w:t>
      </w:r>
      <w:r>
        <w:rPr>
          <w:rFonts w:cs="Arial" w:hint="cs"/>
          <w:rtl/>
        </w:rPr>
        <w:t>אמר</w:t>
      </w:r>
      <w:r>
        <w:rPr>
          <w:rFonts w:cs="Arial"/>
          <w:rtl/>
        </w:rPr>
        <w:t xml:space="preserve"> </w:t>
      </w:r>
      <w:r>
        <w:rPr>
          <w:rFonts w:cs="Arial" w:hint="cs"/>
          <w:rtl/>
        </w:rPr>
        <w:t>בגמרא</w:t>
      </w:r>
      <w:r>
        <w:rPr>
          <w:rFonts w:cs="Arial"/>
          <w:rtl/>
        </w:rPr>
        <w:t xml:space="preserve"> </w:t>
      </w:r>
      <w:r>
        <w:rPr>
          <w:rFonts w:cs="Arial" w:hint="cs"/>
          <w:rtl/>
        </w:rPr>
        <w:t>דסבירא</w:t>
      </w:r>
      <w:r>
        <w:rPr>
          <w:rFonts w:cs="Arial"/>
          <w:rtl/>
        </w:rPr>
        <w:t xml:space="preserve"> </w:t>
      </w:r>
      <w:r>
        <w:rPr>
          <w:rFonts w:cs="Arial" w:hint="cs"/>
          <w:rtl/>
        </w:rPr>
        <w:t>ליה</w:t>
      </w:r>
      <w:r>
        <w:rPr>
          <w:rFonts w:cs="Arial"/>
          <w:rtl/>
        </w:rPr>
        <w:t xml:space="preserve"> </w:t>
      </w:r>
      <w:r>
        <w:rPr>
          <w:rFonts w:cs="Arial" w:hint="cs"/>
          <w:rtl/>
        </w:rPr>
        <w:t>לרבי</w:t>
      </w:r>
      <w:r>
        <w:rPr>
          <w:rFonts w:cs="Arial"/>
          <w:rtl/>
        </w:rPr>
        <w:t xml:space="preserve"> </w:t>
      </w:r>
      <w:r>
        <w:rPr>
          <w:rFonts w:cs="Arial" w:hint="cs"/>
          <w:rtl/>
        </w:rPr>
        <w:t>מאיר</w:t>
      </w:r>
      <w:r>
        <w:rPr>
          <w:rFonts w:cs="Arial"/>
          <w:rtl/>
        </w:rPr>
        <w:t xml:space="preserve"> </w:t>
      </w:r>
      <w:r>
        <w:rPr>
          <w:rFonts w:cs="Arial" w:hint="cs"/>
          <w:rtl/>
        </w:rPr>
        <w:t>דכל</w:t>
      </w:r>
      <w:r>
        <w:rPr>
          <w:rFonts w:cs="Arial"/>
          <w:rtl/>
        </w:rPr>
        <w:t xml:space="preserve"> </w:t>
      </w:r>
      <w:r>
        <w:rPr>
          <w:rFonts w:cs="Arial" w:hint="cs"/>
          <w:rtl/>
        </w:rPr>
        <w:t>המשנה</w:t>
      </w:r>
      <w:r>
        <w:rPr>
          <w:rFonts w:cs="Arial"/>
          <w:rtl/>
        </w:rPr>
        <w:t xml:space="preserve"> </w:t>
      </w:r>
      <w:r>
        <w:rPr>
          <w:rFonts w:cs="Arial" w:hint="cs"/>
          <w:rtl/>
        </w:rPr>
        <w:t>ממטבע</w:t>
      </w:r>
      <w:r>
        <w:rPr>
          <w:rFonts w:cs="Arial"/>
          <w:rtl/>
        </w:rPr>
        <w:t xml:space="preserve"> </w:t>
      </w:r>
      <w:r>
        <w:rPr>
          <w:rFonts w:cs="Arial" w:hint="cs"/>
          <w:rtl/>
        </w:rPr>
        <w:t>שטבעו</w:t>
      </w:r>
      <w:r>
        <w:rPr>
          <w:rFonts w:cs="Arial"/>
          <w:rtl/>
        </w:rPr>
        <w:t xml:space="preserve"> </w:t>
      </w:r>
      <w:r>
        <w:rPr>
          <w:rFonts w:cs="Arial" w:hint="cs"/>
          <w:rtl/>
        </w:rPr>
        <w:t>חכמים</w:t>
      </w:r>
      <w:r>
        <w:rPr>
          <w:rFonts w:cs="Arial"/>
          <w:rtl/>
        </w:rPr>
        <w:t xml:space="preserve"> </w:t>
      </w:r>
      <w:r>
        <w:rPr>
          <w:rFonts w:cs="Arial" w:hint="cs"/>
          <w:rtl/>
        </w:rPr>
        <w:t>בגיטין</w:t>
      </w:r>
      <w:r>
        <w:rPr>
          <w:rFonts w:cs="Arial"/>
          <w:rtl/>
        </w:rPr>
        <w:t xml:space="preserve"> </w:t>
      </w:r>
      <w:r>
        <w:rPr>
          <w:rFonts w:cs="Arial" w:hint="cs"/>
          <w:rtl/>
        </w:rPr>
        <w:t>יוציא</w:t>
      </w:r>
      <w:r>
        <w:rPr>
          <w:rFonts w:cs="Arial"/>
          <w:rtl/>
        </w:rPr>
        <w:t xml:space="preserve"> </w:t>
      </w:r>
      <w:r>
        <w:rPr>
          <w:rFonts w:cs="Arial" w:hint="cs"/>
          <w:rtl/>
        </w:rPr>
        <w:t>והולד</w:t>
      </w:r>
      <w:r>
        <w:rPr>
          <w:rFonts w:cs="Arial"/>
          <w:rtl/>
        </w:rPr>
        <w:t xml:space="preserve"> </w:t>
      </w:r>
      <w:r>
        <w:rPr>
          <w:rFonts w:cs="Arial" w:hint="cs"/>
          <w:rtl/>
        </w:rPr>
        <w:t>ממזר,</w:t>
      </w:r>
      <w:r>
        <w:rPr>
          <w:rFonts w:cs="Arial"/>
          <w:rtl/>
        </w:rPr>
        <w:t xml:space="preserve"> </w:t>
      </w:r>
      <w:r>
        <w:rPr>
          <w:rFonts w:cs="Arial" w:hint="cs"/>
          <w:rtl/>
        </w:rPr>
        <w:t>היינו</w:t>
      </w:r>
      <w:r>
        <w:rPr>
          <w:rFonts w:cs="Arial"/>
          <w:rtl/>
        </w:rPr>
        <w:t xml:space="preserve"> </w:t>
      </w:r>
      <w:r>
        <w:rPr>
          <w:rFonts w:cs="Arial" w:hint="cs"/>
          <w:rtl/>
        </w:rPr>
        <w:t>לומר</w:t>
      </w:r>
      <w:r>
        <w:rPr>
          <w:rFonts w:cs="Arial"/>
          <w:rtl/>
        </w:rPr>
        <w:t xml:space="preserve"> </w:t>
      </w:r>
      <w:r>
        <w:rPr>
          <w:rFonts w:cs="Arial" w:hint="cs"/>
          <w:rtl/>
        </w:rPr>
        <w:t>שעשאוהו</w:t>
      </w:r>
      <w:r>
        <w:rPr>
          <w:rFonts w:cs="Arial"/>
          <w:rtl/>
        </w:rPr>
        <w:t xml:space="preserve"> </w:t>
      </w:r>
      <w:r>
        <w:rPr>
          <w:rFonts w:cs="Arial" w:hint="cs"/>
          <w:rtl/>
        </w:rPr>
        <w:t>ממזר</w:t>
      </w:r>
      <w:r>
        <w:rPr>
          <w:rFonts w:cs="Arial"/>
          <w:rtl/>
        </w:rPr>
        <w:t xml:space="preserve"> </w:t>
      </w:r>
      <w:r>
        <w:rPr>
          <w:rFonts w:cs="Arial" w:hint="cs"/>
          <w:rtl/>
        </w:rPr>
        <w:t>גמור</w:t>
      </w:r>
      <w:r>
        <w:rPr>
          <w:rFonts w:cs="Arial"/>
          <w:rtl/>
        </w:rPr>
        <w:t xml:space="preserve"> </w:t>
      </w:r>
      <w:r>
        <w:rPr>
          <w:rFonts w:cs="Arial" w:hint="cs"/>
          <w:rtl/>
        </w:rPr>
        <w:t>כממזר</w:t>
      </w:r>
      <w:r>
        <w:rPr>
          <w:rFonts w:cs="Arial"/>
          <w:rtl/>
        </w:rPr>
        <w:t xml:space="preserve"> </w:t>
      </w:r>
      <w:r>
        <w:rPr>
          <w:rFonts w:cs="Arial" w:hint="cs"/>
          <w:rtl/>
        </w:rPr>
        <w:t>של</w:t>
      </w:r>
      <w:r>
        <w:rPr>
          <w:rFonts w:cs="Arial"/>
          <w:rtl/>
        </w:rPr>
        <w:t xml:space="preserve"> </w:t>
      </w:r>
      <w:r>
        <w:rPr>
          <w:rFonts w:cs="Arial" w:hint="cs"/>
          <w:rtl/>
        </w:rPr>
        <w:t>תורה</w:t>
      </w:r>
      <w:r>
        <w:rPr>
          <w:rFonts w:cs="Arial"/>
          <w:rtl/>
        </w:rPr>
        <w:t xml:space="preserve"> </w:t>
      </w:r>
      <w:r>
        <w:rPr>
          <w:rFonts w:cs="Arial" w:hint="cs"/>
          <w:rtl/>
        </w:rPr>
        <w:t>ומותר</w:t>
      </w:r>
      <w:r>
        <w:rPr>
          <w:rFonts w:cs="Arial"/>
          <w:rtl/>
        </w:rPr>
        <w:t xml:space="preserve"> </w:t>
      </w:r>
      <w:r>
        <w:rPr>
          <w:rFonts w:cs="Arial" w:hint="cs"/>
          <w:rtl/>
        </w:rPr>
        <w:t>בממזרת.</w:t>
      </w:r>
      <w:r>
        <w:rPr>
          <w:rFonts w:cs="Arial"/>
          <w:rtl/>
        </w:rPr>
        <w:t xml:space="preserve"> </w:t>
      </w:r>
      <w:r>
        <w:rPr>
          <w:rFonts w:cs="Arial" w:hint="cs"/>
          <w:rtl/>
        </w:rPr>
        <w:t>והרמ</w:t>
      </w:r>
      <w:r>
        <w:rPr>
          <w:rFonts w:cs="Arial"/>
          <w:rtl/>
        </w:rPr>
        <w:t>"</w:t>
      </w:r>
      <w:r>
        <w:rPr>
          <w:rFonts w:cs="Arial" w:hint="cs"/>
          <w:rtl/>
        </w:rPr>
        <w:t>ה</w:t>
      </w:r>
      <w:r>
        <w:rPr>
          <w:rFonts w:cs="Arial"/>
          <w:rtl/>
        </w:rPr>
        <w:t xml:space="preserve"> </w:t>
      </w:r>
      <w:r>
        <w:rPr>
          <w:rFonts w:cs="Arial" w:hint="cs"/>
          <w:rtl/>
        </w:rPr>
        <w:t>סובר</w:t>
      </w:r>
      <w:r>
        <w:rPr>
          <w:rFonts w:cs="Arial"/>
          <w:rtl/>
        </w:rPr>
        <w:t xml:space="preserve"> </w:t>
      </w:r>
      <w:r>
        <w:rPr>
          <w:rFonts w:cs="Arial" w:hint="cs"/>
          <w:rtl/>
        </w:rPr>
        <w:t>דלא</w:t>
      </w:r>
      <w:r>
        <w:rPr>
          <w:rFonts w:cs="Arial"/>
          <w:rtl/>
        </w:rPr>
        <w:t xml:space="preserve"> </w:t>
      </w:r>
      <w:r>
        <w:rPr>
          <w:rFonts w:cs="Arial" w:hint="cs"/>
          <w:rtl/>
        </w:rPr>
        <w:t>עשאוהו</w:t>
      </w:r>
      <w:r>
        <w:rPr>
          <w:rFonts w:cs="Arial"/>
          <w:rtl/>
        </w:rPr>
        <w:t xml:space="preserve"> </w:t>
      </w:r>
      <w:r>
        <w:rPr>
          <w:rFonts w:cs="Arial" w:hint="cs"/>
          <w:rtl/>
        </w:rPr>
        <w:t>כממזר</w:t>
      </w:r>
      <w:r>
        <w:rPr>
          <w:rFonts w:cs="Arial"/>
          <w:rtl/>
        </w:rPr>
        <w:t xml:space="preserve"> </w:t>
      </w:r>
      <w:r>
        <w:rPr>
          <w:rFonts w:cs="Arial" w:hint="cs"/>
          <w:rtl/>
        </w:rPr>
        <w:t>של</w:t>
      </w:r>
      <w:r>
        <w:rPr>
          <w:rFonts w:cs="Arial"/>
          <w:rtl/>
        </w:rPr>
        <w:t xml:space="preserve"> </w:t>
      </w:r>
      <w:r>
        <w:rPr>
          <w:rFonts w:cs="Arial" w:hint="cs"/>
          <w:rtl/>
        </w:rPr>
        <w:t>תורה</w:t>
      </w:r>
      <w:r>
        <w:rPr>
          <w:rFonts w:cs="Arial"/>
          <w:rtl/>
        </w:rPr>
        <w:t xml:space="preserve"> </w:t>
      </w:r>
      <w:r>
        <w:rPr>
          <w:rFonts w:cs="Arial" w:hint="cs"/>
          <w:rtl/>
        </w:rPr>
        <w:t>ולא</w:t>
      </w:r>
      <w:r>
        <w:rPr>
          <w:rFonts w:cs="Arial"/>
          <w:rtl/>
        </w:rPr>
        <w:t xml:space="preserve"> </w:t>
      </w:r>
      <w:r>
        <w:rPr>
          <w:rFonts w:cs="Arial" w:hint="cs"/>
          <w:rtl/>
        </w:rPr>
        <w:t>הוי</w:t>
      </w:r>
      <w:r>
        <w:rPr>
          <w:rFonts w:cs="Arial"/>
          <w:rtl/>
        </w:rPr>
        <w:t xml:space="preserve"> </w:t>
      </w:r>
      <w:r>
        <w:rPr>
          <w:rFonts w:cs="Arial" w:hint="cs"/>
          <w:rtl/>
        </w:rPr>
        <w:t>אלא</w:t>
      </w:r>
      <w:r>
        <w:rPr>
          <w:rFonts w:cs="Arial"/>
          <w:rtl/>
        </w:rPr>
        <w:t xml:space="preserve"> </w:t>
      </w:r>
      <w:r>
        <w:rPr>
          <w:rFonts w:cs="Arial" w:hint="cs"/>
          <w:rtl/>
        </w:rPr>
        <w:t>ממזר</w:t>
      </w:r>
      <w:r>
        <w:rPr>
          <w:rFonts w:cs="Arial"/>
          <w:rtl/>
        </w:rPr>
        <w:t xml:space="preserve"> </w:t>
      </w:r>
      <w:r>
        <w:rPr>
          <w:rFonts w:cs="Arial" w:hint="cs"/>
          <w:rtl/>
        </w:rPr>
        <w:t>דרבנן</w:t>
      </w:r>
      <w:r>
        <w:rPr>
          <w:rFonts w:cs="Arial"/>
          <w:rtl/>
        </w:rPr>
        <w:t xml:space="preserve"> </w:t>
      </w:r>
      <w:r>
        <w:rPr>
          <w:rFonts w:cs="Arial" w:hint="cs"/>
          <w:rtl/>
        </w:rPr>
        <w:t>ואסור</w:t>
      </w:r>
      <w:r>
        <w:rPr>
          <w:rFonts w:cs="Arial"/>
          <w:rtl/>
        </w:rPr>
        <w:t xml:space="preserve"> </w:t>
      </w:r>
      <w:r>
        <w:rPr>
          <w:rFonts w:cs="Arial" w:hint="cs"/>
          <w:rtl/>
        </w:rPr>
        <w:t>בממזרת.</w:t>
      </w:r>
      <w:r>
        <w:rPr>
          <w:rFonts w:cs="Arial"/>
          <w:rtl/>
        </w:rPr>
        <w:t xml:space="preserve"> </w:t>
      </w:r>
      <w:r>
        <w:rPr>
          <w:rFonts w:cs="Arial" w:hint="cs"/>
          <w:rtl/>
        </w:rPr>
        <w:t>ולפיכך</w:t>
      </w:r>
      <w:r>
        <w:rPr>
          <w:rFonts w:cs="Arial"/>
          <w:rtl/>
        </w:rPr>
        <w:t xml:space="preserve"> </w:t>
      </w:r>
      <w:r>
        <w:rPr>
          <w:rFonts w:cs="Arial" w:hint="cs"/>
          <w:rtl/>
        </w:rPr>
        <w:t>הולד</w:t>
      </w:r>
      <w:r>
        <w:rPr>
          <w:rFonts w:cs="Arial"/>
          <w:rtl/>
        </w:rPr>
        <w:t xml:space="preserve"> </w:t>
      </w:r>
      <w:r>
        <w:rPr>
          <w:rFonts w:cs="Arial" w:hint="cs"/>
          <w:rtl/>
        </w:rPr>
        <w:t>כשר</w:t>
      </w:r>
      <w:r>
        <w:rPr>
          <w:rFonts w:cs="Arial"/>
          <w:rtl/>
        </w:rPr>
        <w:t xml:space="preserve"> </w:t>
      </w:r>
      <w:r>
        <w:rPr>
          <w:rFonts w:cs="Arial" w:hint="cs"/>
          <w:rtl/>
        </w:rPr>
        <w:t>דקאמר</w:t>
      </w:r>
      <w:r>
        <w:rPr>
          <w:rFonts w:cs="Arial"/>
          <w:rtl/>
        </w:rPr>
        <w:t xml:space="preserve"> </w:t>
      </w:r>
      <w:r>
        <w:rPr>
          <w:rFonts w:cs="Arial" w:hint="cs"/>
          <w:rtl/>
        </w:rPr>
        <w:t>הרמ</w:t>
      </w:r>
      <w:r>
        <w:rPr>
          <w:rFonts w:cs="Arial"/>
          <w:rtl/>
        </w:rPr>
        <w:t>"</w:t>
      </w:r>
      <w:r>
        <w:rPr>
          <w:rFonts w:cs="Arial" w:hint="cs"/>
          <w:rtl/>
        </w:rPr>
        <w:t>ה</w:t>
      </w:r>
      <w:r>
        <w:rPr>
          <w:rFonts w:cs="Arial"/>
          <w:rtl/>
        </w:rPr>
        <w:t xml:space="preserve"> </w:t>
      </w:r>
      <w:r>
        <w:rPr>
          <w:rFonts w:cs="Arial" w:hint="cs"/>
          <w:rtl/>
        </w:rPr>
        <w:t>לאו</w:t>
      </w:r>
      <w:r>
        <w:rPr>
          <w:rFonts w:cs="Arial"/>
          <w:rtl/>
        </w:rPr>
        <w:t xml:space="preserve"> </w:t>
      </w:r>
      <w:r>
        <w:rPr>
          <w:rFonts w:cs="Arial" w:hint="cs"/>
          <w:rtl/>
        </w:rPr>
        <w:t>כשר</w:t>
      </w:r>
      <w:r>
        <w:rPr>
          <w:rFonts w:cs="Arial"/>
          <w:rtl/>
        </w:rPr>
        <w:t xml:space="preserve"> </w:t>
      </w:r>
      <w:r>
        <w:rPr>
          <w:rFonts w:cs="Arial" w:hint="cs"/>
          <w:rtl/>
        </w:rPr>
        <w:t>ממש</w:t>
      </w:r>
      <w:r>
        <w:rPr>
          <w:rFonts w:cs="Arial"/>
          <w:rtl/>
        </w:rPr>
        <w:t xml:space="preserve"> </w:t>
      </w:r>
      <w:r>
        <w:rPr>
          <w:rFonts w:cs="Arial" w:hint="cs"/>
          <w:rtl/>
        </w:rPr>
        <w:t>קאמר,</w:t>
      </w:r>
      <w:r>
        <w:rPr>
          <w:rFonts w:cs="Arial"/>
          <w:rtl/>
        </w:rPr>
        <w:t xml:space="preserve"> </w:t>
      </w:r>
      <w:r>
        <w:rPr>
          <w:rFonts w:cs="Arial" w:hint="cs"/>
          <w:rtl/>
        </w:rPr>
        <w:t>אלא</w:t>
      </w:r>
      <w:r>
        <w:rPr>
          <w:rFonts w:cs="Arial"/>
          <w:rtl/>
        </w:rPr>
        <w:t xml:space="preserve"> </w:t>
      </w:r>
      <w:r>
        <w:rPr>
          <w:rFonts w:cs="Arial" w:hint="cs"/>
          <w:rtl/>
        </w:rPr>
        <w:t>לומר</w:t>
      </w:r>
      <w:r>
        <w:rPr>
          <w:rFonts w:cs="Arial"/>
          <w:rtl/>
        </w:rPr>
        <w:t xml:space="preserve"> </w:t>
      </w:r>
      <w:r>
        <w:rPr>
          <w:rFonts w:cs="Arial" w:hint="cs"/>
          <w:rtl/>
        </w:rPr>
        <w:t>שאסור</w:t>
      </w:r>
      <w:r>
        <w:rPr>
          <w:rFonts w:cs="Arial"/>
          <w:rtl/>
        </w:rPr>
        <w:t xml:space="preserve"> </w:t>
      </w:r>
      <w:r>
        <w:rPr>
          <w:rFonts w:cs="Arial" w:hint="cs"/>
          <w:rtl/>
        </w:rPr>
        <w:t>בממזרת</w:t>
      </w:r>
      <w:r>
        <w:rPr>
          <w:rFonts w:cs="Arial"/>
          <w:rtl/>
        </w:rPr>
        <w:t xml:space="preserve">. </w:t>
      </w:r>
      <w:r>
        <w:rPr>
          <w:rFonts w:cs="Arial" w:hint="cs"/>
          <w:rtl/>
        </w:rPr>
        <w:t>ומה</w:t>
      </w:r>
      <w:r>
        <w:rPr>
          <w:rFonts w:cs="Arial"/>
          <w:rtl/>
        </w:rPr>
        <w:t xml:space="preserve"> </w:t>
      </w:r>
      <w:r>
        <w:rPr>
          <w:rFonts w:cs="Arial" w:hint="cs"/>
          <w:rtl/>
        </w:rPr>
        <w:t>שכתב</w:t>
      </w:r>
      <w:r>
        <w:rPr>
          <w:rFonts w:cs="Arial"/>
          <w:rtl/>
        </w:rPr>
        <w:t xml:space="preserve"> </w:t>
      </w:r>
      <w:r>
        <w:rPr>
          <w:rFonts w:cs="Arial" w:hint="cs"/>
          <w:rtl/>
        </w:rPr>
        <w:t>'אבל</w:t>
      </w:r>
      <w:r>
        <w:rPr>
          <w:rFonts w:cs="Arial"/>
          <w:rtl/>
        </w:rPr>
        <w:t xml:space="preserve"> </w:t>
      </w:r>
      <w:r>
        <w:rPr>
          <w:rFonts w:cs="Arial" w:hint="cs"/>
          <w:rtl/>
        </w:rPr>
        <w:t>מן</w:t>
      </w:r>
      <w:r>
        <w:rPr>
          <w:rFonts w:cs="Arial"/>
          <w:rtl/>
        </w:rPr>
        <w:t xml:space="preserve"> </w:t>
      </w:r>
      <w:r>
        <w:rPr>
          <w:rFonts w:cs="Arial" w:hint="cs"/>
          <w:rtl/>
        </w:rPr>
        <w:t>הראשון</w:t>
      </w:r>
      <w:r>
        <w:rPr>
          <w:rFonts w:cs="Arial"/>
          <w:rtl/>
        </w:rPr>
        <w:t xml:space="preserve"> </w:t>
      </w:r>
      <w:r>
        <w:rPr>
          <w:rFonts w:cs="Arial" w:hint="cs"/>
          <w:rtl/>
        </w:rPr>
        <w:t>הוי</w:t>
      </w:r>
      <w:r>
        <w:rPr>
          <w:rFonts w:cs="Arial"/>
          <w:rtl/>
        </w:rPr>
        <w:t xml:space="preserve"> </w:t>
      </w:r>
      <w:r>
        <w:rPr>
          <w:rFonts w:cs="Arial" w:hint="cs"/>
          <w:rtl/>
        </w:rPr>
        <w:t>ממזר'</w:t>
      </w:r>
      <w:r>
        <w:rPr>
          <w:rFonts w:cs="Arial"/>
          <w:rtl/>
        </w:rPr>
        <w:t xml:space="preserve"> </w:t>
      </w:r>
      <w:r>
        <w:rPr>
          <w:rFonts w:cs="Arial" w:hint="cs"/>
          <w:rtl/>
        </w:rPr>
        <w:t>היינו</w:t>
      </w:r>
      <w:r>
        <w:rPr>
          <w:rFonts w:cs="Arial"/>
          <w:rtl/>
        </w:rPr>
        <w:t xml:space="preserve"> </w:t>
      </w:r>
      <w:r>
        <w:rPr>
          <w:rFonts w:cs="Arial" w:hint="cs"/>
          <w:rtl/>
        </w:rPr>
        <w:t>לומר</w:t>
      </w:r>
      <w:r>
        <w:rPr>
          <w:rFonts w:cs="Arial"/>
          <w:rtl/>
        </w:rPr>
        <w:t xml:space="preserve"> </w:t>
      </w:r>
      <w:r>
        <w:rPr>
          <w:rFonts w:cs="Arial" w:hint="cs"/>
          <w:rtl/>
        </w:rPr>
        <w:t>שאם</w:t>
      </w:r>
      <w:r>
        <w:rPr>
          <w:rFonts w:cs="Arial"/>
          <w:rtl/>
        </w:rPr>
        <w:t xml:space="preserve"> </w:t>
      </w:r>
      <w:r>
        <w:rPr>
          <w:rFonts w:cs="Arial" w:hint="cs"/>
          <w:rtl/>
        </w:rPr>
        <w:t>החזירה</w:t>
      </w:r>
      <w:r>
        <w:rPr>
          <w:rFonts w:cs="Arial"/>
          <w:rtl/>
        </w:rPr>
        <w:t xml:space="preserve"> </w:t>
      </w:r>
      <w:r>
        <w:rPr>
          <w:rFonts w:cs="Arial" w:hint="cs"/>
          <w:rtl/>
        </w:rPr>
        <w:t>ראשון</w:t>
      </w:r>
      <w:r>
        <w:rPr>
          <w:rFonts w:cs="Arial"/>
          <w:rtl/>
        </w:rPr>
        <w:t xml:space="preserve"> </w:t>
      </w:r>
      <w:r>
        <w:rPr>
          <w:rFonts w:cs="Arial" w:hint="cs"/>
          <w:rtl/>
        </w:rPr>
        <w:t>בלא</w:t>
      </w:r>
      <w:r>
        <w:rPr>
          <w:rFonts w:cs="Arial"/>
          <w:rtl/>
        </w:rPr>
        <w:t xml:space="preserve"> </w:t>
      </w:r>
      <w:r>
        <w:rPr>
          <w:rFonts w:cs="Arial" w:hint="cs"/>
          <w:rtl/>
        </w:rPr>
        <w:t>קבלת</w:t>
      </w:r>
      <w:r>
        <w:rPr>
          <w:rFonts w:cs="Arial"/>
          <w:rtl/>
        </w:rPr>
        <w:t xml:space="preserve"> </w:t>
      </w:r>
      <w:r>
        <w:rPr>
          <w:rFonts w:cs="Arial" w:hint="cs"/>
          <w:rtl/>
        </w:rPr>
        <w:t>גט</w:t>
      </w:r>
      <w:r>
        <w:rPr>
          <w:rFonts w:cs="Arial"/>
          <w:rtl/>
        </w:rPr>
        <w:t xml:space="preserve"> </w:t>
      </w:r>
      <w:r>
        <w:rPr>
          <w:rFonts w:cs="Arial" w:hint="cs"/>
          <w:rtl/>
        </w:rPr>
        <w:t>משני</w:t>
      </w:r>
      <w:r>
        <w:rPr>
          <w:rFonts w:cs="Arial"/>
          <w:rtl/>
        </w:rPr>
        <w:t xml:space="preserve"> </w:t>
      </w:r>
      <w:r>
        <w:rPr>
          <w:rFonts w:cs="Arial" w:hint="cs"/>
          <w:rtl/>
        </w:rPr>
        <w:t>- הולד</w:t>
      </w:r>
      <w:r>
        <w:rPr>
          <w:rFonts w:cs="Arial"/>
          <w:rtl/>
        </w:rPr>
        <w:t xml:space="preserve"> </w:t>
      </w:r>
      <w:r>
        <w:rPr>
          <w:rFonts w:cs="Arial" w:hint="cs"/>
          <w:rtl/>
        </w:rPr>
        <w:t>ממזר,</w:t>
      </w:r>
      <w:r>
        <w:rPr>
          <w:rFonts w:cs="Arial"/>
          <w:rtl/>
        </w:rPr>
        <w:t xml:space="preserve"> </w:t>
      </w:r>
      <w:r>
        <w:rPr>
          <w:rFonts w:cs="Arial" w:hint="cs"/>
          <w:rtl/>
        </w:rPr>
        <w:t>שאשת</w:t>
      </w:r>
      <w:r>
        <w:rPr>
          <w:rFonts w:cs="Arial"/>
          <w:rtl/>
        </w:rPr>
        <w:t xml:space="preserve"> </w:t>
      </w:r>
      <w:r>
        <w:rPr>
          <w:rFonts w:cs="Arial" w:hint="cs"/>
          <w:rtl/>
        </w:rPr>
        <w:t>איש</w:t>
      </w:r>
      <w:r>
        <w:rPr>
          <w:rFonts w:cs="Arial"/>
          <w:rtl/>
        </w:rPr>
        <w:t xml:space="preserve"> </w:t>
      </w:r>
      <w:r>
        <w:rPr>
          <w:rFonts w:cs="Arial" w:hint="cs"/>
          <w:rtl/>
        </w:rPr>
        <w:t>גמורה</w:t>
      </w:r>
      <w:r>
        <w:rPr>
          <w:rFonts w:cs="Arial"/>
          <w:rtl/>
        </w:rPr>
        <w:t xml:space="preserve"> </w:t>
      </w:r>
      <w:r>
        <w:rPr>
          <w:rFonts w:cs="Arial" w:hint="cs"/>
          <w:rtl/>
        </w:rPr>
        <w:t>היא,</w:t>
      </w:r>
      <w:r>
        <w:rPr>
          <w:rFonts w:cs="Arial"/>
          <w:rtl/>
        </w:rPr>
        <w:t xml:space="preserve"> </w:t>
      </w:r>
      <w:r>
        <w:rPr>
          <w:rFonts w:cs="Arial" w:hint="cs"/>
          <w:rtl/>
        </w:rPr>
        <w:t>דהא</w:t>
      </w:r>
      <w:r>
        <w:rPr>
          <w:rFonts w:cs="Arial"/>
          <w:rtl/>
        </w:rPr>
        <w:t xml:space="preserve"> </w:t>
      </w:r>
      <w:r>
        <w:rPr>
          <w:rFonts w:cs="Arial" w:hint="cs"/>
          <w:rtl/>
        </w:rPr>
        <w:t>תפסו</w:t>
      </w:r>
      <w:r>
        <w:rPr>
          <w:rFonts w:cs="Arial"/>
          <w:rtl/>
        </w:rPr>
        <w:t xml:space="preserve"> </w:t>
      </w:r>
      <w:r>
        <w:rPr>
          <w:rFonts w:cs="Arial" w:hint="cs"/>
          <w:rtl/>
        </w:rPr>
        <w:t>בה</w:t>
      </w:r>
      <w:r>
        <w:rPr>
          <w:rFonts w:cs="Arial"/>
          <w:rtl/>
        </w:rPr>
        <w:t xml:space="preserve"> </w:t>
      </w:r>
      <w:r>
        <w:rPr>
          <w:rFonts w:cs="Arial" w:hint="cs"/>
          <w:rtl/>
        </w:rPr>
        <w:t>קידושי</w:t>
      </w:r>
      <w:r>
        <w:rPr>
          <w:rFonts w:cs="Arial"/>
          <w:rtl/>
        </w:rPr>
        <w:t xml:space="preserve"> </w:t>
      </w:r>
      <w:r>
        <w:rPr>
          <w:rFonts w:cs="Arial" w:hint="cs"/>
          <w:rtl/>
        </w:rPr>
        <w:t>שני</w:t>
      </w:r>
      <w:r>
        <w:rPr>
          <w:rFonts w:cs="Arial"/>
          <w:rtl/>
        </w:rPr>
        <w:t xml:space="preserve">. </w:t>
      </w:r>
      <w:r w:rsidRPr="0008149A">
        <w:rPr>
          <w:rFonts w:cs="Arial" w:hint="cs"/>
          <w:sz w:val="16"/>
          <w:szCs w:val="16"/>
          <w:rtl/>
        </w:rPr>
        <w:t>(ולפי</w:t>
      </w:r>
      <w:r w:rsidRPr="0008149A">
        <w:rPr>
          <w:rFonts w:cs="Arial"/>
          <w:sz w:val="16"/>
          <w:szCs w:val="16"/>
          <w:rtl/>
        </w:rPr>
        <w:t xml:space="preserve"> </w:t>
      </w:r>
      <w:r w:rsidRPr="0008149A">
        <w:rPr>
          <w:rFonts w:cs="Arial" w:hint="cs"/>
          <w:sz w:val="16"/>
          <w:szCs w:val="16"/>
          <w:rtl/>
        </w:rPr>
        <w:t>זה</w:t>
      </w:r>
      <w:r w:rsidRPr="0008149A">
        <w:rPr>
          <w:rFonts w:cs="Arial"/>
          <w:sz w:val="16"/>
          <w:szCs w:val="16"/>
          <w:rtl/>
        </w:rPr>
        <w:t xml:space="preserve"> </w:t>
      </w:r>
      <w:r w:rsidRPr="0008149A">
        <w:rPr>
          <w:rFonts w:cs="Arial" w:hint="cs"/>
          <w:sz w:val="16"/>
          <w:szCs w:val="16"/>
          <w:rtl/>
        </w:rPr>
        <w:t>מה</w:t>
      </w:r>
      <w:r w:rsidRPr="0008149A">
        <w:rPr>
          <w:rFonts w:cs="Arial"/>
          <w:sz w:val="16"/>
          <w:szCs w:val="16"/>
          <w:rtl/>
        </w:rPr>
        <w:t xml:space="preserve"> </w:t>
      </w:r>
      <w:r w:rsidRPr="0008149A">
        <w:rPr>
          <w:rFonts w:cs="Arial" w:hint="cs"/>
          <w:sz w:val="16"/>
          <w:szCs w:val="16"/>
          <w:rtl/>
        </w:rPr>
        <w:t>שכתב</w:t>
      </w:r>
      <w:r w:rsidRPr="0008149A">
        <w:rPr>
          <w:rFonts w:cs="Arial"/>
          <w:sz w:val="16"/>
          <w:szCs w:val="16"/>
          <w:rtl/>
        </w:rPr>
        <w:t xml:space="preserve"> </w:t>
      </w:r>
      <w:r w:rsidRPr="0008149A">
        <w:rPr>
          <w:rFonts w:cs="Arial" w:hint="cs"/>
          <w:sz w:val="16"/>
          <w:szCs w:val="16"/>
          <w:rtl/>
        </w:rPr>
        <w:t>רבינו</w:t>
      </w:r>
      <w:r>
        <w:rPr>
          <w:rFonts w:cs="Arial" w:hint="cs"/>
          <w:sz w:val="16"/>
          <w:szCs w:val="16"/>
          <w:rtl/>
        </w:rPr>
        <w:t xml:space="preserve"> </w:t>
      </w:r>
      <w:r>
        <w:rPr>
          <w:rFonts w:cs="Arial" w:hint="cs"/>
          <w:sz w:val="14"/>
          <w:szCs w:val="14"/>
          <w:rtl/>
        </w:rPr>
        <w:t>{אחרי דברי ר"ח והרמ"ה}</w:t>
      </w:r>
      <w:r w:rsidRPr="0008149A">
        <w:rPr>
          <w:rFonts w:cs="Arial"/>
          <w:sz w:val="16"/>
          <w:szCs w:val="16"/>
          <w:rtl/>
        </w:rPr>
        <w:t xml:space="preserve"> </w:t>
      </w:r>
      <w:r>
        <w:rPr>
          <w:rFonts w:cs="Arial" w:hint="cs"/>
          <w:sz w:val="16"/>
          <w:szCs w:val="16"/>
          <w:rtl/>
        </w:rPr>
        <w:t>'</w:t>
      </w:r>
      <w:r w:rsidRPr="0008149A">
        <w:rPr>
          <w:rFonts w:cs="Arial" w:hint="cs"/>
          <w:sz w:val="16"/>
          <w:szCs w:val="16"/>
          <w:rtl/>
        </w:rPr>
        <w:t>ולא</w:t>
      </w:r>
      <w:r w:rsidRPr="0008149A">
        <w:rPr>
          <w:rFonts w:cs="Arial"/>
          <w:sz w:val="16"/>
          <w:szCs w:val="16"/>
          <w:rtl/>
        </w:rPr>
        <w:t xml:space="preserve"> </w:t>
      </w:r>
      <w:r w:rsidRPr="0008149A">
        <w:rPr>
          <w:rFonts w:cs="Arial" w:hint="cs"/>
          <w:sz w:val="16"/>
          <w:szCs w:val="16"/>
          <w:rtl/>
        </w:rPr>
        <w:t>נהירא</w:t>
      </w:r>
      <w:r w:rsidRPr="0008149A">
        <w:rPr>
          <w:rFonts w:cs="Arial"/>
          <w:sz w:val="16"/>
          <w:szCs w:val="16"/>
          <w:rtl/>
        </w:rPr>
        <w:t xml:space="preserve"> </w:t>
      </w:r>
      <w:r w:rsidRPr="0008149A">
        <w:rPr>
          <w:rFonts w:cs="Arial" w:hint="cs"/>
          <w:sz w:val="16"/>
          <w:szCs w:val="16"/>
          <w:rtl/>
        </w:rPr>
        <w:t>לאדוני</w:t>
      </w:r>
      <w:r w:rsidRPr="0008149A">
        <w:rPr>
          <w:rFonts w:cs="Arial"/>
          <w:sz w:val="16"/>
          <w:szCs w:val="16"/>
          <w:rtl/>
        </w:rPr>
        <w:t xml:space="preserve"> </w:t>
      </w:r>
      <w:r w:rsidRPr="0008149A">
        <w:rPr>
          <w:rFonts w:cs="Arial" w:hint="cs"/>
          <w:sz w:val="16"/>
          <w:szCs w:val="16"/>
          <w:rtl/>
        </w:rPr>
        <w:t>אבי</w:t>
      </w:r>
      <w:r w:rsidRPr="0008149A">
        <w:rPr>
          <w:rFonts w:cs="Arial"/>
          <w:sz w:val="16"/>
          <w:szCs w:val="16"/>
          <w:rtl/>
        </w:rPr>
        <w:t xml:space="preserve"> </w:t>
      </w:r>
      <w:r w:rsidRPr="0008149A">
        <w:rPr>
          <w:rFonts w:cs="Arial" w:hint="cs"/>
          <w:sz w:val="16"/>
          <w:szCs w:val="16"/>
          <w:rtl/>
        </w:rPr>
        <w:t>ז</w:t>
      </w:r>
      <w:r w:rsidRPr="0008149A">
        <w:rPr>
          <w:rFonts w:cs="Arial"/>
          <w:sz w:val="16"/>
          <w:szCs w:val="16"/>
          <w:rtl/>
        </w:rPr>
        <w:t>"</w:t>
      </w:r>
      <w:r w:rsidRPr="0008149A">
        <w:rPr>
          <w:rFonts w:cs="Arial" w:hint="cs"/>
          <w:sz w:val="16"/>
          <w:szCs w:val="16"/>
          <w:rtl/>
        </w:rPr>
        <w:t>ל</w:t>
      </w:r>
      <w:r>
        <w:rPr>
          <w:rFonts w:cs="Arial" w:hint="cs"/>
          <w:sz w:val="16"/>
          <w:szCs w:val="16"/>
          <w:rtl/>
        </w:rPr>
        <w:t>'</w:t>
      </w:r>
      <w:r w:rsidRPr="0008149A">
        <w:rPr>
          <w:rFonts w:cs="Arial"/>
          <w:sz w:val="16"/>
          <w:szCs w:val="16"/>
          <w:rtl/>
        </w:rPr>
        <w:t xml:space="preserve"> </w:t>
      </w:r>
      <w:r w:rsidRPr="0008149A">
        <w:rPr>
          <w:rFonts w:cs="Arial" w:hint="cs"/>
          <w:sz w:val="16"/>
          <w:szCs w:val="16"/>
          <w:rtl/>
        </w:rPr>
        <w:t>קאי</w:t>
      </w:r>
      <w:r w:rsidRPr="0008149A">
        <w:rPr>
          <w:rFonts w:cs="Arial"/>
          <w:sz w:val="16"/>
          <w:szCs w:val="16"/>
          <w:rtl/>
        </w:rPr>
        <w:t xml:space="preserve"> </w:t>
      </w:r>
      <w:r w:rsidRPr="0008149A">
        <w:rPr>
          <w:rFonts w:cs="Arial" w:hint="cs"/>
          <w:sz w:val="16"/>
          <w:szCs w:val="16"/>
          <w:rtl/>
        </w:rPr>
        <w:t>למה</w:t>
      </w:r>
      <w:r w:rsidRPr="0008149A">
        <w:rPr>
          <w:rFonts w:cs="Arial"/>
          <w:sz w:val="16"/>
          <w:szCs w:val="16"/>
          <w:rtl/>
        </w:rPr>
        <w:t xml:space="preserve"> </w:t>
      </w:r>
      <w:r w:rsidRPr="0008149A">
        <w:rPr>
          <w:rFonts w:cs="Arial" w:hint="cs"/>
          <w:sz w:val="16"/>
          <w:szCs w:val="16"/>
          <w:rtl/>
        </w:rPr>
        <w:t>שפסקו</w:t>
      </w:r>
      <w:r w:rsidRPr="0008149A">
        <w:rPr>
          <w:rFonts w:cs="Arial"/>
          <w:sz w:val="16"/>
          <w:szCs w:val="16"/>
          <w:rtl/>
        </w:rPr>
        <w:t xml:space="preserve"> </w:t>
      </w:r>
      <w:r w:rsidRPr="0008149A">
        <w:rPr>
          <w:rFonts w:cs="Arial" w:hint="cs"/>
          <w:sz w:val="16"/>
          <w:szCs w:val="16"/>
          <w:rtl/>
        </w:rPr>
        <w:t>כרבי</w:t>
      </w:r>
      <w:r w:rsidRPr="0008149A">
        <w:rPr>
          <w:rFonts w:cs="Arial"/>
          <w:sz w:val="16"/>
          <w:szCs w:val="16"/>
          <w:rtl/>
        </w:rPr>
        <w:t xml:space="preserve"> </w:t>
      </w:r>
      <w:r w:rsidRPr="0008149A">
        <w:rPr>
          <w:rFonts w:cs="Arial" w:hint="cs"/>
          <w:sz w:val="16"/>
          <w:szCs w:val="16"/>
          <w:rtl/>
        </w:rPr>
        <w:t>מאיר</w:t>
      </w:r>
      <w:r>
        <w:rPr>
          <w:rFonts w:cs="Arial" w:hint="cs"/>
          <w:sz w:val="16"/>
          <w:szCs w:val="16"/>
          <w:rtl/>
        </w:rPr>
        <w:t>,</w:t>
      </w:r>
      <w:r w:rsidRPr="0008149A">
        <w:rPr>
          <w:rFonts w:cs="Arial"/>
          <w:sz w:val="16"/>
          <w:szCs w:val="16"/>
          <w:rtl/>
        </w:rPr>
        <w:t xml:space="preserve"> </w:t>
      </w:r>
      <w:r w:rsidRPr="0008149A">
        <w:rPr>
          <w:rFonts w:cs="Arial" w:hint="cs"/>
          <w:sz w:val="16"/>
          <w:szCs w:val="16"/>
          <w:rtl/>
        </w:rPr>
        <w:t>שהרי</w:t>
      </w:r>
      <w:r w:rsidRPr="0008149A">
        <w:rPr>
          <w:rFonts w:cs="Arial"/>
          <w:sz w:val="16"/>
          <w:szCs w:val="16"/>
          <w:rtl/>
        </w:rPr>
        <w:t xml:space="preserve"> </w:t>
      </w:r>
      <w:r w:rsidRPr="0008149A">
        <w:rPr>
          <w:rFonts w:cs="Arial" w:hint="cs"/>
          <w:sz w:val="16"/>
          <w:szCs w:val="16"/>
          <w:rtl/>
        </w:rPr>
        <w:t>כתב</w:t>
      </w:r>
      <w:r w:rsidRPr="0008149A">
        <w:rPr>
          <w:rFonts w:cs="Arial"/>
          <w:sz w:val="16"/>
          <w:szCs w:val="16"/>
          <w:rtl/>
        </w:rPr>
        <w:t xml:space="preserve"> </w:t>
      </w:r>
      <w:r w:rsidRPr="0008149A">
        <w:rPr>
          <w:rFonts w:cs="Arial" w:hint="cs"/>
          <w:sz w:val="16"/>
          <w:szCs w:val="16"/>
          <w:rtl/>
        </w:rPr>
        <w:t>הרא</w:t>
      </w:r>
      <w:r w:rsidRPr="0008149A">
        <w:rPr>
          <w:rFonts w:cs="Arial"/>
          <w:sz w:val="16"/>
          <w:szCs w:val="16"/>
          <w:rtl/>
        </w:rPr>
        <w:t>"</w:t>
      </w:r>
      <w:r w:rsidRPr="0008149A">
        <w:rPr>
          <w:rFonts w:cs="Arial" w:hint="cs"/>
          <w:sz w:val="16"/>
          <w:szCs w:val="16"/>
          <w:rtl/>
        </w:rPr>
        <w:t>ש</w:t>
      </w:r>
      <w:r w:rsidRPr="0008149A">
        <w:rPr>
          <w:rFonts w:cs="Arial"/>
          <w:sz w:val="16"/>
          <w:szCs w:val="16"/>
          <w:rtl/>
        </w:rPr>
        <w:t xml:space="preserve"> </w:t>
      </w:r>
      <w:r w:rsidRPr="0008149A">
        <w:rPr>
          <w:rFonts w:cs="Arial" w:hint="cs"/>
          <w:sz w:val="16"/>
          <w:szCs w:val="16"/>
          <w:rtl/>
        </w:rPr>
        <w:t>שאין</w:t>
      </w:r>
      <w:r w:rsidRPr="0008149A">
        <w:rPr>
          <w:rFonts w:cs="Arial"/>
          <w:sz w:val="16"/>
          <w:szCs w:val="16"/>
          <w:rtl/>
        </w:rPr>
        <w:t xml:space="preserve"> </w:t>
      </w:r>
      <w:r w:rsidRPr="0008149A">
        <w:rPr>
          <w:rFonts w:cs="Arial" w:hint="cs"/>
          <w:sz w:val="16"/>
          <w:szCs w:val="16"/>
          <w:rtl/>
        </w:rPr>
        <w:t>נ</w:t>
      </w:r>
      <w:r w:rsidRPr="0008149A">
        <w:rPr>
          <w:rFonts w:cs="Arial"/>
          <w:sz w:val="16"/>
          <w:szCs w:val="16"/>
          <w:rtl/>
        </w:rPr>
        <w:t>"</w:t>
      </w:r>
      <w:r w:rsidRPr="0008149A">
        <w:rPr>
          <w:rFonts w:cs="Arial" w:hint="cs"/>
          <w:sz w:val="16"/>
          <w:szCs w:val="16"/>
          <w:rtl/>
        </w:rPr>
        <w:t>ל</w:t>
      </w:r>
      <w:r w:rsidRPr="0008149A">
        <w:rPr>
          <w:rFonts w:cs="Arial"/>
          <w:sz w:val="16"/>
          <w:szCs w:val="16"/>
          <w:rtl/>
        </w:rPr>
        <w:t xml:space="preserve"> </w:t>
      </w:r>
      <w:r w:rsidRPr="0008149A">
        <w:rPr>
          <w:rFonts w:cs="Arial" w:hint="cs"/>
          <w:sz w:val="16"/>
          <w:szCs w:val="16"/>
          <w:rtl/>
        </w:rPr>
        <w:t>ראיה</w:t>
      </w:r>
      <w:r w:rsidRPr="0008149A">
        <w:rPr>
          <w:rFonts w:cs="Arial"/>
          <w:sz w:val="16"/>
          <w:szCs w:val="16"/>
          <w:rtl/>
        </w:rPr>
        <w:t xml:space="preserve"> </w:t>
      </w:r>
      <w:r w:rsidRPr="0008149A">
        <w:rPr>
          <w:rFonts w:cs="Arial" w:hint="cs"/>
          <w:sz w:val="16"/>
          <w:szCs w:val="16"/>
          <w:rtl/>
        </w:rPr>
        <w:t>לפסוק</w:t>
      </w:r>
      <w:r w:rsidRPr="0008149A">
        <w:rPr>
          <w:rFonts w:cs="Arial"/>
          <w:sz w:val="16"/>
          <w:szCs w:val="16"/>
          <w:rtl/>
        </w:rPr>
        <w:t xml:space="preserve"> </w:t>
      </w:r>
      <w:r w:rsidRPr="0008149A">
        <w:rPr>
          <w:rFonts w:cs="Arial" w:hint="cs"/>
          <w:sz w:val="16"/>
          <w:szCs w:val="16"/>
          <w:rtl/>
        </w:rPr>
        <w:t>כרבי</w:t>
      </w:r>
      <w:r w:rsidRPr="0008149A">
        <w:rPr>
          <w:rFonts w:cs="Arial"/>
          <w:sz w:val="16"/>
          <w:szCs w:val="16"/>
          <w:rtl/>
        </w:rPr>
        <w:t xml:space="preserve"> </w:t>
      </w:r>
      <w:r w:rsidRPr="0008149A">
        <w:rPr>
          <w:rFonts w:cs="Arial" w:hint="cs"/>
          <w:sz w:val="16"/>
          <w:szCs w:val="16"/>
          <w:rtl/>
        </w:rPr>
        <w:t>מאיר</w:t>
      </w:r>
      <w:r w:rsidRPr="0008149A">
        <w:rPr>
          <w:rFonts w:cs="Arial"/>
          <w:sz w:val="16"/>
          <w:szCs w:val="16"/>
          <w:rtl/>
        </w:rPr>
        <w:t xml:space="preserve"> </w:t>
      </w:r>
      <w:r w:rsidRPr="0008149A">
        <w:rPr>
          <w:rFonts w:cs="Arial" w:hint="cs"/>
          <w:sz w:val="16"/>
          <w:szCs w:val="16"/>
          <w:rtl/>
        </w:rPr>
        <w:t>מדאמר</w:t>
      </w:r>
      <w:r w:rsidRPr="0008149A">
        <w:rPr>
          <w:rFonts w:cs="Arial"/>
          <w:sz w:val="16"/>
          <w:szCs w:val="16"/>
          <w:rtl/>
        </w:rPr>
        <w:t xml:space="preserve"> </w:t>
      </w:r>
      <w:r w:rsidRPr="0008149A">
        <w:rPr>
          <w:rFonts w:cs="Arial" w:hint="cs"/>
          <w:sz w:val="16"/>
          <w:szCs w:val="16"/>
          <w:rtl/>
        </w:rPr>
        <w:t>להו</w:t>
      </w:r>
      <w:r w:rsidRPr="0008149A">
        <w:rPr>
          <w:rFonts w:cs="Arial"/>
          <w:sz w:val="16"/>
          <w:szCs w:val="16"/>
          <w:rtl/>
        </w:rPr>
        <w:t xml:space="preserve"> </w:t>
      </w:r>
      <w:r w:rsidRPr="0008149A">
        <w:rPr>
          <w:rFonts w:cs="Arial" w:hint="cs"/>
          <w:sz w:val="16"/>
          <w:szCs w:val="16"/>
          <w:rtl/>
        </w:rPr>
        <w:t>רב</w:t>
      </w:r>
      <w:r w:rsidRPr="0008149A">
        <w:rPr>
          <w:rFonts w:cs="Arial"/>
          <w:sz w:val="16"/>
          <w:szCs w:val="16"/>
          <w:rtl/>
        </w:rPr>
        <w:t xml:space="preserve"> </w:t>
      </w:r>
      <w:r w:rsidRPr="0008149A">
        <w:rPr>
          <w:rFonts w:cs="Arial" w:hint="cs"/>
          <w:sz w:val="16"/>
          <w:szCs w:val="16"/>
          <w:rtl/>
        </w:rPr>
        <w:t>לספריה</w:t>
      </w:r>
      <w:r w:rsidRPr="0008149A">
        <w:rPr>
          <w:rFonts w:cs="Arial"/>
          <w:sz w:val="16"/>
          <w:szCs w:val="16"/>
          <w:rtl/>
        </w:rPr>
        <w:t xml:space="preserve"> </w:t>
      </w:r>
      <w:r w:rsidRPr="0008149A">
        <w:rPr>
          <w:rFonts w:cs="Arial" w:hint="cs"/>
          <w:sz w:val="16"/>
          <w:szCs w:val="16"/>
          <w:rtl/>
        </w:rPr>
        <w:t>וכו</w:t>
      </w:r>
      <w:r w:rsidRPr="0008149A">
        <w:rPr>
          <w:rFonts w:cs="Arial"/>
          <w:sz w:val="16"/>
          <w:szCs w:val="16"/>
          <w:rtl/>
        </w:rPr>
        <w:t>'</w:t>
      </w:r>
      <w:r>
        <w:rPr>
          <w:rFonts w:cs="Arial" w:hint="cs"/>
          <w:sz w:val="16"/>
          <w:szCs w:val="16"/>
          <w:rtl/>
        </w:rPr>
        <w:t>.</w:t>
      </w:r>
      <w:r w:rsidRPr="0008149A">
        <w:rPr>
          <w:rFonts w:cs="Arial"/>
          <w:sz w:val="16"/>
          <w:szCs w:val="16"/>
          <w:rtl/>
        </w:rPr>
        <w:t xml:space="preserve"> </w:t>
      </w:r>
      <w:r w:rsidRPr="0008149A">
        <w:rPr>
          <w:rFonts w:cs="Arial" w:hint="cs"/>
          <w:sz w:val="16"/>
          <w:szCs w:val="16"/>
          <w:rtl/>
        </w:rPr>
        <w:t>גם</w:t>
      </w:r>
      <w:r w:rsidRPr="0008149A">
        <w:rPr>
          <w:rFonts w:cs="Arial"/>
          <w:sz w:val="16"/>
          <w:szCs w:val="16"/>
          <w:rtl/>
        </w:rPr>
        <w:t xml:space="preserve"> </w:t>
      </w:r>
      <w:r w:rsidRPr="0008149A">
        <w:rPr>
          <w:rFonts w:cs="Arial" w:hint="cs"/>
          <w:sz w:val="16"/>
          <w:szCs w:val="16"/>
          <w:rtl/>
        </w:rPr>
        <w:t>בהמגרש</w:t>
      </w:r>
      <w:r w:rsidRPr="0008149A">
        <w:rPr>
          <w:rFonts w:cs="Arial"/>
          <w:sz w:val="16"/>
          <w:szCs w:val="16"/>
          <w:rtl/>
        </w:rPr>
        <w:t xml:space="preserve"> </w:t>
      </w:r>
      <w:r w:rsidRPr="0008149A">
        <w:rPr>
          <w:rFonts w:cs="Arial" w:hint="cs"/>
          <w:sz w:val="16"/>
          <w:szCs w:val="16"/>
          <w:rtl/>
        </w:rPr>
        <w:t>גבי</w:t>
      </w:r>
      <w:r w:rsidRPr="0008149A">
        <w:rPr>
          <w:rFonts w:cs="Arial"/>
          <w:sz w:val="16"/>
          <w:szCs w:val="16"/>
          <w:rtl/>
        </w:rPr>
        <w:t xml:space="preserve"> </w:t>
      </w:r>
      <w:r w:rsidRPr="0008149A">
        <w:rPr>
          <w:rFonts w:cs="Arial" w:hint="cs"/>
          <w:sz w:val="16"/>
          <w:szCs w:val="16"/>
          <w:rtl/>
        </w:rPr>
        <w:t>ג</w:t>
      </w:r>
      <w:r w:rsidRPr="0008149A">
        <w:rPr>
          <w:rFonts w:cs="Arial"/>
          <w:sz w:val="16"/>
          <w:szCs w:val="16"/>
          <w:rtl/>
        </w:rPr>
        <w:t xml:space="preserve">' </w:t>
      </w:r>
      <w:r w:rsidRPr="0008149A">
        <w:rPr>
          <w:rFonts w:cs="Arial" w:hint="cs"/>
          <w:sz w:val="16"/>
          <w:szCs w:val="16"/>
          <w:rtl/>
        </w:rPr>
        <w:t>גיטין</w:t>
      </w:r>
      <w:r w:rsidRPr="0008149A">
        <w:rPr>
          <w:rFonts w:cs="Arial"/>
          <w:sz w:val="16"/>
          <w:szCs w:val="16"/>
          <w:rtl/>
        </w:rPr>
        <w:t xml:space="preserve"> </w:t>
      </w:r>
      <w:r w:rsidRPr="0008149A">
        <w:rPr>
          <w:rFonts w:cs="Arial" w:hint="cs"/>
          <w:sz w:val="16"/>
          <w:szCs w:val="16"/>
          <w:rtl/>
        </w:rPr>
        <w:t>פסולין</w:t>
      </w:r>
      <w:r w:rsidRPr="0008149A">
        <w:rPr>
          <w:rFonts w:cs="Arial"/>
          <w:sz w:val="16"/>
          <w:szCs w:val="16"/>
          <w:rtl/>
        </w:rPr>
        <w:t xml:space="preserve"> (</w:t>
      </w:r>
      <w:r w:rsidRPr="0008149A">
        <w:rPr>
          <w:rFonts w:cs="Arial" w:hint="cs"/>
          <w:sz w:val="16"/>
          <w:szCs w:val="16"/>
          <w:rtl/>
        </w:rPr>
        <w:t>פו</w:t>
      </w:r>
      <w:r w:rsidRPr="0008149A">
        <w:rPr>
          <w:rFonts w:cs="Arial"/>
          <w:sz w:val="16"/>
          <w:szCs w:val="16"/>
          <w:rtl/>
        </w:rPr>
        <w:t xml:space="preserve">.) </w:t>
      </w:r>
      <w:r w:rsidRPr="0008149A">
        <w:rPr>
          <w:rFonts w:cs="Arial" w:hint="cs"/>
          <w:sz w:val="16"/>
          <w:szCs w:val="16"/>
          <w:rtl/>
        </w:rPr>
        <w:t>כתב</w:t>
      </w:r>
      <w:r w:rsidRPr="0008149A">
        <w:rPr>
          <w:rFonts w:cs="Arial"/>
          <w:sz w:val="16"/>
          <w:szCs w:val="16"/>
          <w:rtl/>
        </w:rPr>
        <w:t xml:space="preserve"> (</w:t>
      </w:r>
      <w:r w:rsidRPr="0008149A">
        <w:rPr>
          <w:rFonts w:cs="Arial" w:hint="cs"/>
          <w:sz w:val="16"/>
          <w:szCs w:val="16"/>
          <w:rtl/>
        </w:rPr>
        <w:t>סי</w:t>
      </w:r>
      <w:r w:rsidRPr="0008149A">
        <w:rPr>
          <w:rFonts w:cs="Arial"/>
          <w:sz w:val="16"/>
          <w:szCs w:val="16"/>
          <w:rtl/>
        </w:rPr>
        <w:t xml:space="preserve">' </w:t>
      </w:r>
      <w:r w:rsidRPr="0008149A">
        <w:rPr>
          <w:rFonts w:cs="Arial" w:hint="cs"/>
          <w:sz w:val="16"/>
          <w:szCs w:val="16"/>
          <w:rtl/>
        </w:rPr>
        <w:t>ו</w:t>
      </w:r>
      <w:r w:rsidRPr="0008149A">
        <w:rPr>
          <w:rFonts w:cs="Arial"/>
          <w:sz w:val="16"/>
          <w:szCs w:val="16"/>
          <w:rtl/>
        </w:rPr>
        <w:t xml:space="preserve">) </w:t>
      </w:r>
      <w:r w:rsidRPr="0008149A">
        <w:rPr>
          <w:rFonts w:cs="Arial" w:hint="cs"/>
          <w:sz w:val="16"/>
          <w:szCs w:val="16"/>
          <w:rtl/>
        </w:rPr>
        <w:t>בהדיא</w:t>
      </w:r>
      <w:r w:rsidRPr="0008149A">
        <w:rPr>
          <w:rFonts w:cs="Arial"/>
          <w:sz w:val="16"/>
          <w:szCs w:val="16"/>
          <w:rtl/>
        </w:rPr>
        <w:t xml:space="preserve"> </w:t>
      </w:r>
      <w:r w:rsidRPr="0008149A">
        <w:rPr>
          <w:rFonts w:cs="Arial" w:hint="cs"/>
          <w:sz w:val="16"/>
          <w:szCs w:val="16"/>
          <w:rtl/>
        </w:rPr>
        <w:t>דלא</w:t>
      </w:r>
      <w:r w:rsidRPr="0008149A">
        <w:rPr>
          <w:rFonts w:cs="Arial"/>
          <w:sz w:val="16"/>
          <w:szCs w:val="16"/>
          <w:rtl/>
        </w:rPr>
        <w:t xml:space="preserve"> </w:t>
      </w:r>
      <w:r w:rsidRPr="0008149A">
        <w:rPr>
          <w:rFonts w:cs="Arial" w:hint="cs"/>
          <w:sz w:val="16"/>
          <w:szCs w:val="16"/>
          <w:rtl/>
        </w:rPr>
        <w:t>קי</w:t>
      </w:r>
      <w:r>
        <w:rPr>
          <w:rFonts w:cs="Arial" w:hint="cs"/>
          <w:sz w:val="16"/>
          <w:szCs w:val="16"/>
          <w:rtl/>
        </w:rPr>
        <w:t>י"</w:t>
      </w:r>
      <w:r w:rsidRPr="0008149A">
        <w:rPr>
          <w:rFonts w:cs="Arial" w:hint="cs"/>
          <w:sz w:val="16"/>
          <w:szCs w:val="16"/>
          <w:rtl/>
        </w:rPr>
        <w:t>ל</w:t>
      </w:r>
      <w:r w:rsidRPr="0008149A">
        <w:rPr>
          <w:rFonts w:cs="Arial"/>
          <w:sz w:val="16"/>
          <w:szCs w:val="16"/>
          <w:rtl/>
        </w:rPr>
        <w:t xml:space="preserve"> </w:t>
      </w:r>
      <w:r w:rsidRPr="0008149A">
        <w:rPr>
          <w:rFonts w:cs="Arial" w:hint="cs"/>
          <w:sz w:val="16"/>
          <w:szCs w:val="16"/>
          <w:rtl/>
        </w:rPr>
        <w:t>כרבי</w:t>
      </w:r>
      <w:r w:rsidRPr="0008149A">
        <w:rPr>
          <w:rFonts w:cs="Arial"/>
          <w:sz w:val="16"/>
          <w:szCs w:val="16"/>
          <w:rtl/>
        </w:rPr>
        <w:t xml:space="preserve"> </w:t>
      </w:r>
      <w:r w:rsidRPr="0008149A">
        <w:rPr>
          <w:rFonts w:cs="Arial" w:hint="cs"/>
          <w:sz w:val="16"/>
          <w:szCs w:val="16"/>
          <w:rtl/>
        </w:rPr>
        <w:t>מאיר</w:t>
      </w:r>
      <w:r>
        <w:rPr>
          <w:rFonts w:cs="Arial" w:hint="cs"/>
          <w:sz w:val="16"/>
          <w:szCs w:val="16"/>
          <w:rtl/>
        </w:rPr>
        <w:t>)</w:t>
      </w:r>
      <w:r>
        <w:rPr>
          <w:rFonts w:cs="Arial" w:hint="cs"/>
          <w:rtl/>
        </w:rPr>
        <w:t>. ועוד</w:t>
      </w:r>
      <w:r>
        <w:rPr>
          <w:rFonts w:cs="Arial"/>
          <w:rtl/>
        </w:rPr>
        <w:t xml:space="preserve"> </w:t>
      </w:r>
      <w:r>
        <w:rPr>
          <w:rFonts w:cs="Arial" w:hint="cs"/>
          <w:rtl/>
        </w:rPr>
        <w:t>יש</w:t>
      </w:r>
      <w:r>
        <w:rPr>
          <w:rFonts w:cs="Arial"/>
          <w:rtl/>
        </w:rPr>
        <w:t xml:space="preserve"> </w:t>
      </w:r>
      <w:r>
        <w:rPr>
          <w:rFonts w:cs="Arial" w:hint="cs"/>
          <w:rtl/>
        </w:rPr>
        <w:t>לומר</w:t>
      </w:r>
      <w:r>
        <w:rPr>
          <w:rFonts w:cs="Arial"/>
          <w:rtl/>
        </w:rPr>
        <w:t xml:space="preserve"> </w:t>
      </w:r>
      <w:r>
        <w:rPr>
          <w:rFonts w:cs="Arial" w:hint="cs"/>
          <w:rtl/>
        </w:rPr>
        <w:t>דהרמ</w:t>
      </w:r>
      <w:r>
        <w:rPr>
          <w:rFonts w:cs="Arial"/>
          <w:rtl/>
        </w:rPr>
        <w:t>"</w:t>
      </w:r>
      <w:r>
        <w:rPr>
          <w:rFonts w:cs="Arial" w:hint="cs"/>
          <w:rtl/>
        </w:rPr>
        <w:t>ה</w:t>
      </w:r>
      <w:r>
        <w:rPr>
          <w:rFonts w:cs="Arial"/>
          <w:rtl/>
        </w:rPr>
        <w:t xml:space="preserve"> </w:t>
      </w:r>
      <w:r>
        <w:rPr>
          <w:rFonts w:cs="Arial" w:hint="cs"/>
          <w:rtl/>
        </w:rPr>
        <w:t>פוסק</w:t>
      </w:r>
      <w:r>
        <w:rPr>
          <w:rFonts w:cs="Arial"/>
          <w:rtl/>
        </w:rPr>
        <w:t xml:space="preserve"> </w:t>
      </w:r>
      <w:r>
        <w:rPr>
          <w:rFonts w:cs="Arial" w:hint="cs"/>
          <w:rtl/>
        </w:rPr>
        <w:t>כחכמים</w:t>
      </w:r>
      <w:r>
        <w:rPr>
          <w:rFonts w:cs="Arial"/>
          <w:rtl/>
        </w:rPr>
        <w:t xml:space="preserve"> </w:t>
      </w:r>
      <w:r>
        <w:rPr>
          <w:rFonts w:cs="Arial" w:hint="cs"/>
          <w:rtl/>
        </w:rPr>
        <w:t>שאומרים</w:t>
      </w:r>
      <w:r>
        <w:rPr>
          <w:rFonts w:cs="Arial"/>
          <w:rtl/>
        </w:rPr>
        <w:t xml:space="preserve"> </w:t>
      </w:r>
      <w:r>
        <w:rPr>
          <w:rFonts w:cs="Arial" w:hint="cs"/>
          <w:rtl/>
        </w:rPr>
        <w:t>הולד</w:t>
      </w:r>
      <w:r>
        <w:rPr>
          <w:rFonts w:cs="Arial"/>
          <w:rtl/>
        </w:rPr>
        <w:t xml:space="preserve"> </w:t>
      </w:r>
      <w:r>
        <w:rPr>
          <w:rFonts w:cs="Arial" w:hint="cs"/>
          <w:rtl/>
        </w:rPr>
        <w:t>כשר,</w:t>
      </w:r>
      <w:r>
        <w:rPr>
          <w:rFonts w:cs="Arial"/>
          <w:rtl/>
        </w:rPr>
        <w:t xml:space="preserve"> </w:t>
      </w:r>
      <w:r>
        <w:rPr>
          <w:rFonts w:cs="Arial" w:hint="cs"/>
          <w:rtl/>
        </w:rPr>
        <w:t>וסבירא</w:t>
      </w:r>
      <w:r>
        <w:rPr>
          <w:rFonts w:cs="Arial"/>
          <w:rtl/>
        </w:rPr>
        <w:t xml:space="preserve"> </w:t>
      </w:r>
      <w:r>
        <w:rPr>
          <w:rFonts w:cs="Arial" w:hint="cs"/>
          <w:rtl/>
        </w:rPr>
        <w:t>ליה</w:t>
      </w:r>
      <w:r>
        <w:rPr>
          <w:rFonts w:cs="Arial"/>
          <w:rtl/>
        </w:rPr>
        <w:t xml:space="preserve"> </w:t>
      </w:r>
      <w:r>
        <w:rPr>
          <w:rFonts w:cs="Arial" w:hint="cs"/>
          <w:rtl/>
        </w:rPr>
        <w:t>דנהי</w:t>
      </w:r>
      <w:r>
        <w:rPr>
          <w:rFonts w:cs="Arial"/>
          <w:rtl/>
        </w:rPr>
        <w:t xml:space="preserve"> </w:t>
      </w:r>
      <w:r>
        <w:rPr>
          <w:rFonts w:cs="Arial" w:hint="cs"/>
          <w:rtl/>
        </w:rPr>
        <w:t>דהולד</w:t>
      </w:r>
      <w:r>
        <w:rPr>
          <w:rFonts w:cs="Arial"/>
          <w:rtl/>
        </w:rPr>
        <w:t xml:space="preserve"> </w:t>
      </w:r>
      <w:r>
        <w:rPr>
          <w:rFonts w:cs="Arial" w:hint="cs"/>
          <w:rtl/>
        </w:rPr>
        <w:t>כשר</w:t>
      </w:r>
      <w:r>
        <w:rPr>
          <w:rFonts w:cs="Arial"/>
          <w:rtl/>
        </w:rPr>
        <w:t xml:space="preserve"> </w:t>
      </w:r>
      <w:r>
        <w:rPr>
          <w:rFonts w:cs="Arial" w:hint="cs"/>
          <w:rtl/>
        </w:rPr>
        <w:t>מ</w:t>
      </w:r>
      <w:r>
        <w:rPr>
          <w:rFonts w:cs="Arial"/>
          <w:rtl/>
        </w:rPr>
        <w:t>"</w:t>
      </w:r>
      <w:r>
        <w:rPr>
          <w:rFonts w:cs="Arial" w:hint="cs"/>
          <w:rtl/>
        </w:rPr>
        <w:t>מ</w:t>
      </w:r>
      <w:r>
        <w:rPr>
          <w:rFonts w:cs="Arial"/>
          <w:rtl/>
        </w:rPr>
        <w:t xml:space="preserve"> </w:t>
      </w:r>
      <w:r>
        <w:rPr>
          <w:rFonts w:cs="Arial" w:hint="cs"/>
          <w:rtl/>
        </w:rPr>
        <w:t>אם</w:t>
      </w:r>
      <w:r>
        <w:rPr>
          <w:rFonts w:cs="Arial"/>
          <w:rtl/>
        </w:rPr>
        <w:t xml:space="preserve"> </w:t>
      </w:r>
      <w:r>
        <w:rPr>
          <w:rFonts w:cs="Arial" w:hint="cs"/>
          <w:rtl/>
        </w:rPr>
        <w:t>נישאת</w:t>
      </w:r>
      <w:r>
        <w:rPr>
          <w:rFonts w:cs="Arial"/>
          <w:rtl/>
        </w:rPr>
        <w:t xml:space="preserve"> </w:t>
      </w:r>
      <w:r>
        <w:rPr>
          <w:rFonts w:cs="Arial" w:hint="cs"/>
          <w:rtl/>
        </w:rPr>
        <w:t>תצא,</w:t>
      </w:r>
      <w:r>
        <w:rPr>
          <w:rFonts w:cs="Arial"/>
          <w:rtl/>
        </w:rPr>
        <w:t xml:space="preserve"> </w:t>
      </w:r>
      <w:r>
        <w:rPr>
          <w:rFonts w:cs="Arial" w:hint="cs"/>
          <w:rtl/>
        </w:rPr>
        <w:t>ואם</w:t>
      </w:r>
      <w:r>
        <w:rPr>
          <w:rFonts w:cs="Arial"/>
          <w:rtl/>
        </w:rPr>
        <w:t xml:space="preserve"> </w:t>
      </w:r>
      <w:r>
        <w:rPr>
          <w:rFonts w:cs="Arial" w:hint="cs"/>
          <w:rtl/>
        </w:rPr>
        <w:t>החזירה</w:t>
      </w:r>
      <w:r>
        <w:rPr>
          <w:rFonts w:cs="Arial"/>
          <w:rtl/>
        </w:rPr>
        <w:t xml:space="preserve"> </w:t>
      </w:r>
      <w:r>
        <w:rPr>
          <w:rFonts w:cs="Arial" w:hint="cs"/>
          <w:rtl/>
        </w:rPr>
        <w:t>ראשון</w:t>
      </w:r>
      <w:r>
        <w:rPr>
          <w:rFonts w:cs="Arial"/>
          <w:rtl/>
        </w:rPr>
        <w:t xml:space="preserve"> </w:t>
      </w:r>
      <w:r>
        <w:rPr>
          <w:rFonts w:cs="Arial" w:hint="cs"/>
          <w:rtl/>
        </w:rPr>
        <w:t>בלא</w:t>
      </w:r>
      <w:r>
        <w:rPr>
          <w:rFonts w:cs="Arial"/>
          <w:rtl/>
        </w:rPr>
        <w:t xml:space="preserve"> </w:t>
      </w:r>
      <w:r>
        <w:rPr>
          <w:rFonts w:cs="Arial" w:hint="cs"/>
          <w:rtl/>
        </w:rPr>
        <w:t>קבלת</w:t>
      </w:r>
      <w:r>
        <w:rPr>
          <w:rFonts w:cs="Arial"/>
          <w:rtl/>
        </w:rPr>
        <w:t xml:space="preserve"> </w:t>
      </w:r>
      <w:r>
        <w:rPr>
          <w:rFonts w:cs="Arial" w:hint="cs"/>
          <w:rtl/>
        </w:rPr>
        <w:t>גט</w:t>
      </w:r>
      <w:r>
        <w:rPr>
          <w:rFonts w:cs="Arial"/>
          <w:rtl/>
        </w:rPr>
        <w:t xml:space="preserve"> </w:t>
      </w:r>
      <w:r>
        <w:rPr>
          <w:rFonts w:cs="Arial" w:hint="cs"/>
          <w:rtl/>
        </w:rPr>
        <w:t>משני</w:t>
      </w:r>
      <w:r>
        <w:rPr>
          <w:rFonts w:cs="Arial"/>
          <w:rtl/>
        </w:rPr>
        <w:t xml:space="preserve"> </w:t>
      </w:r>
      <w:r>
        <w:rPr>
          <w:rFonts w:cs="Arial" w:hint="cs"/>
          <w:rtl/>
        </w:rPr>
        <w:t>פשיטא</w:t>
      </w:r>
      <w:r>
        <w:rPr>
          <w:rFonts w:cs="Arial"/>
          <w:rtl/>
        </w:rPr>
        <w:t xml:space="preserve"> </w:t>
      </w:r>
      <w:r>
        <w:rPr>
          <w:rFonts w:cs="Arial" w:hint="cs"/>
          <w:rtl/>
        </w:rPr>
        <w:t>דממזר</w:t>
      </w:r>
      <w:r>
        <w:rPr>
          <w:rFonts w:cs="Arial"/>
          <w:rtl/>
        </w:rPr>
        <w:t xml:space="preserve"> </w:t>
      </w:r>
      <w:r>
        <w:rPr>
          <w:rFonts w:cs="Arial" w:hint="cs"/>
          <w:rtl/>
        </w:rPr>
        <w:t>גמור</w:t>
      </w:r>
      <w:r>
        <w:rPr>
          <w:rFonts w:cs="Arial"/>
          <w:rtl/>
        </w:rPr>
        <w:t xml:space="preserve"> </w:t>
      </w:r>
      <w:r>
        <w:rPr>
          <w:rFonts w:cs="Arial" w:hint="cs"/>
          <w:rtl/>
        </w:rPr>
        <w:t>הוא</w:t>
      </w:r>
      <w:r>
        <w:rPr>
          <w:rFonts w:cs="Arial"/>
          <w:rtl/>
        </w:rPr>
        <w:t xml:space="preserve">. </w:t>
      </w:r>
      <w:r w:rsidRPr="0008149A">
        <w:rPr>
          <w:rFonts w:cs="Arial" w:hint="cs"/>
          <w:sz w:val="16"/>
          <w:szCs w:val="16"/>
          <w:rtl/>
        </w:rPr>
        <w:t>(ולפי</w:t>
      </w:r>
      <w:r w:rsidRPr="0008149A">
        <w:rPr>
          <w:rFonts w:cs="Arial"/>
          <w:sz w:val="16"/>
          <w:szCs w:val="16"/>
          <w:rtl/>
        </w:rPr>
        <w:t xml:space="preserve"> </w:t>
      </w:r>
      <w:r w:rsidRPr="0008149A">
        <w:rPr>
          <w:rFonts w:cs="Arial" w:hint="cs"/>
          <w:sz w:val="16"/>
          <w:szCs w:val="16"/>
          <w:rtl/>
        </w:rPr>
        <w:t>זה</w:t>
      </w:r>
      <w:r w:rsidRPr="0008149A">
        <w:rPr>
          <w:rFonts w:cs="Arial"/>
          <w:sz w:val="16"/>
          <w:szCs w:val="16"/>
          <w:rtl/>
        </w:rPr>
        <w:t xml:space="preserve"> </w:t>
      </w:r>
      <w:r w:rsidRPr="0008149A">
        <w:rPr>
          <w:rFonts w:cs="Arial" w:hint="cs"/>
          <w:sz w:val="16"/>
          <w:szCs w:val="16"/>
          <w:rtl/>
        </w:rPr>
        <w:t>מה</w:t>
      </w:r>
      <w:r w:rsidRPr="0008149A">
        <w:rPr>
          <w:rFonts w:cs="Arial"/>
          <w:sz w:val="16"/>
          <w:szCs w:val="16"/>
          <w:rtl/>
        </w:rPr>
        <w:t xml:space="preserve"> </w:t>
      </w:r>
      <w:r w:rsidRPr="0008149A">
        <w:rPr>
          <w:rFonts w:cs="Arial" w:hint="cs"/>
          <w:sz w:val="16"/>
          <w:szCs w:val="16"/>
          <w:rtl/>
        </w:rPr>
        <w:t>שכתב</w:t>
      </w:r>
      <w:r w:rsidRPr="0008149A">
        <w:rPr>
          <w:rFonts w:cs="Arial"/>
          <w:sz w:val="16"/>
          <w:szCs w:val="16"/>
          <w:rtl/>
        </w:rPr>
        <w:t xml:space="preserve"> </w:t>
      </w:r>
      <w:r w:rsidRPr="0008149A">
        <w:rPr>
          <w:rFonts w:cs="Arial" w:hint="cs"/>
          <w:sz w:val="16"/>
          <w:szCs w:val="16"/>
          <w:rtl/>
        </w:rPr>
        <w:t>רבינו</w:t>
      </w:r>
      <w:r w:rsidRPr="0008149A">
        <w:rPr>
          <w:rFonts w:cs="Arial"/>
          <w:sz w:val="16"/>
          <w:szCs w:val="16"/>
          <w:rtl/>
        </w:rPr>
        <w:t xml:space="preserve"> </w:t>
      </w:r>
      <w:r>
        <w:rPr>
          <w:rFonts w:cs="Arial" w:hint="cs"/>
          <w:sz w:val="16"/>
          <w:szCs w:val="16"/>
          <w:rtl/>
        </w:rPr>
        <w:t>'</w:t>
      </w:r>
      <w:r w:rsidRPr="0008149A">
        <w:rPr>
          <w:rFonts w:cs="Arial" w:hint="cs"/>
          <w:sz w:val="16"/>
          <w:szCs w:val="16"/>
          <w:rtl/>
        </w:rPr>
        <w:t>ולא</w:t>
      </w:r>
      <w:r w:rsidRPr="0008149A">
        <w:rPr>
          <w:rFonts w:cs="Arial"/>
          <w:sz w:val="16"/>
          <w:szCs w:val="16"/>
          <w:rtl/>
        </w:rPr>
        <w:t xml:space="preserve"> </w:t>
      </w:r>
      <w:r w:rsidRPr="0008149A">
        <w:rPr>
          <w:rFonts w:cs="Arial" w:hint="cs"/>
          <w:sz w:val="16"/>
          <w:szCs w:val="16"/>
          <w:rtl/>
        </w:rPr>
        <w:t>נהירא</w:t>
      </w:r>
      <w:r w:rsidRPr="0008149A">
        <w:rPr>
          <w:rFonts w:cs="Arial"/>
          <w:sz w:val="16"/>
          <w:szCs w:val="16"/>
          <w:rtl/>
        </w:rPr>
        <w:t xml:space="preserve"> </w:t>
      </w:r>
      <w:r w:rsidRPr="0008149A">
        <w:rPr>
          <w:rFonts w:cs="Arial" w:hint="cs"/>
          <w:sz w:val="16"/>
          <w:szCs w:val="16"/>
          <w:rtl/>
        </w:rPr>
        <w:t>לאדוני</w:t>
      </w:r>
      <w:r w:rsidRPr="0008149A">
        <w:rPr>
          <w:rFonts w:cs="Arial"/>
          <w:sz w:val="16"/>
          <w:szCs w:val="16"/>
          <w:rtl/>
        </w:rPr>
        <w:t xml:space="preserve"> </w:t>
      </w:r>
      <w:r w:rsidRPr="0008149A">
        <w:rPr>
          <w:rFonts w:cs="Arial" w:hint="cs"/>
          <w:sz w:val="16"/>
          <w:szCs w:val="16"/>
          <w:rtl/>
        </w:rPr>
        <w:t>אבי</w:t>
      </w:r>
      <w:r w:rsidRPr="0008149A">
        <w:rPr>
          <w:rFonts w:cs="Arial"/>
          <w:sz w:val="16"/>
          <w:szCs w:val="16"/>
          <w:rtl/>
        </w:rPr>
        <w:t xml:space="preserve"> </w:t>
      </w:r>
      <w:r w:rsidRPr="0008149A">
        <w:rPr>
          <w:rFonts w:cs="Arial" w:hint="cs"/>
          <w:sz w:val="16"/>
          <w:szCs w:val="16"/>
          <w:rtl/>
        </w:rPr>
        <w:t>הרא</w:t>
      </w:r>
      <w:r w:rsidRPr="0008149A">
        <w:rPr>
          <w:rFonts w:cs="Arial"/>
          <w:sz w:val="16"/>
          <w:szCs w:val="16"/>
          <w:rtl/>
        </w:rPr>
        <w:t>"</w:t>
      </w:r>
      <w:r w:rsidRPr="0008149A">
        <w:rPr>
          <w:rFonts w:cs="Arial" w:hint="cs"/>
          <w:sz w:val="16"/>
          <w:szCs w:val="16"/>
          <w:rtl/>
        </w:rPr>
        <w:t>ש</w:t>
      </w:r>
      <w:r>
        <w:rPr>
          <w:rFonts w:cs="Arial" w:hint="cs"/>
          <w:sz w:val="16"/>
          <w:szCs w:val="16"/>
          <w:rtl/>
        </w:rPr>
        <w:t>'</w:t>
      </w:r>
      <w:r w:rsidRPr="0008149A">
        <w:rPr>
          <w:rFonts w:cs="Arial"/>
          <w:sz w:val="16"/>
          <w:szCs w:val="16"/>
          <w:rtl/>
        </w:rPr>
        <w:t xml:space="preserve"> </w:t>
      </w:r>
      <w:r w:rsidRPr="0008149A">
        <w:rPr>
          <w:rFonts w:cs="Arial" w:hint="cs"/>
          <w:sz w:val="16"/>
          <w:szCs w:val="16"/>
          <w:rtl/>
        </w:rPr>
        <w:t>קאי</w:t>
      </w:r>
      <w:r w:rsidRPr="0008149A">
        <w:rPr>
          <w:rFonts w:cs="Arial"/>
          <w:sz w:val="16"/>
          <w:szCs w:val="16"/>
          <w:rtl/>
        </w:rPr>
        <w:t xml:space="preserve"> </w:t>
      </w:r>
      <w:r w:rsidRPr="0008149A">
        <w:rPr>
          <w:rFonts w:cs="Arial" w:hint="cs"/>
          <w:sz w:val="16"/>
          <w:szCs w:val="16"/>
          <w:rtl/>
        </w:rPr>
        <w:t>לרבינו</w:t>
      </w:r>
      <w:r w:rsidRPr="0008149A">
        <w:rPr>
          <w:rFonts w:cs="Arial"/>
          <w:sz w:val="16"/>
          <w:szCs w:val="16"/>
          <w:rtl/>
        </w:rPr>
        <w:t xml:space="preserve"> </w:t>
      </w:r>
      <w:r w:rsidRPr="0008149A">
        <w:rPr>
          <w:rFonts w:cs="Arial" w:hint="cs"/>
          <w:sz w:val="16"/>
          <w:szCs w:val="16"/>
          <w:rtl/>
        </w:rPr>
        <w:t>חננאל</w:t>
      </w:r>
      <w:r w:rsidRPr="0008149A">
        <w:rPr>
          <w:rFonts w:cs="Arial"/>
          <w:sz w:val="16"/>
          <w:szCs w:val="16"/>
          <w:rtl/>
        </w:rPr>
        <w:t xml:space="preserve"> </w:t>
      </w:r>
      <w:r w:rsidRPr="0008149A">
        <w:rPr>
          <w:rFonts w:cs="Arial" w:hint="cs"/>
          <w:sz w:val="16"/>
          <w:szCs w:val="16"/>
          <w:rtl/>
        </w:rPr>
        <w:t>ולהרמ</w:t>
      </w:r>
      <w:r w:rsidRPr="0008149A">
        <w:rPr>
          <w:rFonts w:cs="Arial"/>
          <w:sz w:val="16"/>
          <w:szCs w:val="16"/>
          <w:rtl/>
        </w:rPr>
        <w:t>"</w:t>
      </w:r>
      <w:r w:rsidRPr="0008149A">
        <w:rPr>
          <w:rFonts w:cs="Arial" w:hint="cs"/>
          <w:sz w:val="16"/>
          <w:szCs w:val="16"/>
          <w:rtl/>
        </w:rPr>
        <w:t>ה</w:t>
      </w:r>
      <w:r w:rsidRPr="0008149A">
        <w:rPr>
          <w:rFonts w:cs="Arial"/>
          <w:sz w:val="16"/>
          <w:szCs w:val="16"/>
          <w:rtl/>
        </w:rPr>
        <w:t xml:space="preserve"> </w:t>
      </w:r>
      <w:r w:rsidRPr="0008149A">
        <w:rPr>
          <w:rFonts w:cs="Arial" w:hint="cs"/>
          <w:sz w:val="16"/>
          <w:szCs w:val="16"/>
          <w:rtl/>
        </w:rPr>
        <w:t>ולאו</w:t>
      </w:r>
      <w:r w:rsidRPr="0008149A">
        <w:rPr>
          <w:rFonts w:cs="Arial"/>
          <w:sz w:val="16"/>
          <w:szCs w:val="16"/>
          <w:rtl/>
        </w:rPr>
        <w:t xml:space="preserve"> </w:t>
      </w:r>
      <w:r w:rsidRPr="0008149A">
        <w:rPr>
          <w:rFonts w:cs="Arial" w:hint="cs"/>
          <w:sz w:val="16"/>
          <w:szCs w:val="16"/>
          <w:rtl/>
        </w:rPr>
        <w:t>מחד</w:t>
      </w:r>
      <w:r w:rsidRPr="0008149A">
        <w:rPr>
          <w:rFonts w:cs="Arial"/>
          <w:sz w:val="16"/>
          <w:szCs w:val="16"/>
          <w:rtl/>
        </w:rPr>
        <w:t xml:space="preserve"> </w:t>
      </w:r>
      <w:r w:rsidRPr="0008149A">
        <w:rPr>
          <w:rFonts w:cs="Arial" w:hint="cs"/>
          <w:sz w:val="16"/>
          <w:szCs w:val="16"/>
          <w:rtl/>
        </w:rPr>
        <w:t>טעמא</w:t>
      </w:r>
      <w:r>
        <w:rPr>
          <w:rFonts w:cs="Arial" w:hint="cs"/>
          <w:sz w:val="16"/>
          <w:szCs w:val="16"/>
          <w:rtl/>
        </w:rPr>
        <w:t>.</w:t>
      </w:r>
      <w:r w:rsidRPr="0008149A">
        <w:rPr>
          <w:rFonts w:cs="Arial"/>
          <w:sz w:val="16"/>
          <w:szCs w:val="16"/>
          <w:rtl/>
        </w:rPr>
        <w:t xml:space="preserve"> </w:t>
      </w:r>
      <w:r w:rsidRPr="0008149A">
        <w:rPr>
          <w:rFonts w:cs="Arial" w:hint="cs"/>
          <w:sz w:val="16"/>
          <w:szCs w:val="16"/>
          <w:rtl/>
        </w:rPr>
        <w:t>דלא</w:t>
      </w:r>
      <w:r w:rsidRPr="0008149A">
        <w:rPr>
          <w:rFonts w:cs="Arial"/>
          <w:sz w:val="16"/>
          <w:szCs w:val="16"/>
          <w:rtl/>
        </w:rPr>
        <w:t xml:space="preserve"> </w:t>
      </w:r>
      <w:r w:rsidRPr="0008149A">
        <w:rPr>
          <w:rFonts w:cs="Arial" w:hint="cs"/>
          <w:sz w:val="16"/>
          <w:szCs w:val="16"/>
          <w:rtl/>
        </w:rPr>
        <w:t>נהירא</w:t>
      </w:r>
      <w:r w:rsidRPr="0008149A">
        <w:rPr>
          <w:rFonts w:cs="Arial"/>
          <w:sz w:val="16"/>
          <w:szCs w:val="16"/>
          <w:rtl/>
        </w:rPr>
        <w:t xml:space="preserve"> </w:t>
      </w:r>
      <w:r w:rsidRPr="0008149A">
        <w:rPr>
          <w:rFonts w:cs="Arial" w:hint="cs"/>
          <w:sz w:val="16"/>
          <w:szCs w:val="16"/>
          <w:rtl/>
        </w:rPr>
        <w:t>ליה</w:t>
      </w:r>
      <w:r w:rsidRPr="0008149A">
        <w:rPr>
          <w:rFonts w:cs="Arial"/>
          <w:sz w:val="16"/>
          <w:szCs w:val="16"/>
          <w:rtl/>
        </w:rPr>
        <w:t xml:space="preserve"> </w:t>
      </w:r>
      <w:r w:rsidRPr="0008149A">
        <w:rPr>
          <w:rFonts w:cs="Arial" w:hint="cs"/>
          <w:sz w:val="16"/>
          <w:szCs w:val="16"/>
          <w:rtl/>
        </w:rPr>
        <w:t>דר</w:t>
      </w:r>
      <w:r w:rsidRPr="0008149A">
        <w:rPr>
          <w:rFonts w:cs="Arial"/>
          <w:sz w:val="16"/>
          <w:szCs w:val="16"/>
          <w:rtl/>
        </w:rPr>
        <w:t>"</w:t>
      </w:r>
      <w:r w:rsidRPr="0008149A">
        <w:rPr>
          <w:rFonts w:cs="Arial" w:hint="cs"/>
          <w:sz w:val="16"/>
          <w:szCs w:val="16"/>
          <w:rtl/>
        </w:rPr>
        <w:t>ח</w:t>
      </w:r>
      <w:r w:rsidRPr="0008149A">
        <w:rPr>
          <w:rFonts w:cs="Arial"/>
          <w:sz w:val="16"/>
          <w:szCs w:val="16"/>
          <w:rtl/>
        </w:rPr>
        <w:t xml:space="preserve"> </w:t>
      </w:r>
      <w:r w:rsidRPr="0008149A">
        <w:rPr>
          <w:rFonts w:cs="Arial" w:hint="cs"/>
          <w:sz w:val="16"/>
          <w:szCs w:val="16"/>
          <w:rtl/>
        </w:rPr>
        <w:t>משום</w:t>
      </w:r>
      <w:r w:rsidRPr="0008149A">
        <w:rPr>
          <w:rFonts w:cs="Arial"/>
          <w:sz w:val="16"/>
          <w:szCs w:val="16"/>
          <w:rtl/>
        </w:rPr>
        <w:t xml:space="preserve"> </w:t>
      </w:r>
      <w:r w:rsidRPr="0008149A">
        <w:rPr>
          <w:rFonts w:cs="Arial" w:hint="cs"/>
          <w:sz w:val="16"/>
          <w:szCs w:val="16"/>
          <w:rtl/>
        </w:rPr>
        <w:t>דהרא</w:t>
      </w:r>
      <w:r w:rsidRPr="0008149A">
        <w:rPr>
          <w:rFonts w:cs="Arial"/>
          <w:sz w:val="16"/>
          <w:szCs w:val="16"/>
          <w:rtl/>
        </w:rPr>
        <w:t>"</w:t>
      </w:r>
      <w:r w:rsidRPr="0008149A">
        <w:rPr>
          <w:rFonts w:cs="Arial" w:hint="cs"/>
          <w:sz w:val="16"/>
          <w:szCs w:val="16"/>
          <w:rtl/>
        </w:rPr>
        <w:t>ש</w:t>
      </w:r>
      <w:r w:rsidRPr="0008149A">
        <w:rPr>
          <w:rFonts w:cs="Arial"/>
          <w:sz w:val="16"/>
          <w:szCs w:val="16"/>
          <w:rtl/>
        </w:rPr>
        <w:t xml:space="preserve"> </w:t>
      </w:r>
      <w:r w:rsidRPr="0008149A">
        <w:rPr>
          <w:rFonts w:cs="Arial" w:hint="cs"/>
          <w:sz w:val="16"/>
          <w:szCs w:val="16"/>
          <w:rtl/>
        </w:rPr>
        <w:t>סבר</w:t>
      </w:r>
      <w:r w:rsidRPr="0008149A">
        <w:rPr>
          <w:rFonts w:cs="Arial"/>
          <w:sz w:val="16"/>
          <w:szCs w:val="16"/>
          <w:rtl/>
        </w:rPr>
        <w:t xml:space="preserve"> </w:t>
      </w:r>
      <w:r w:rsidRPr="0008149A">
        <w:rPr>
          <w:rFonts w:cs="Arial" w:hint="cs"/>
          <w:sz w:val="16"/>
          <w:szCs w:val="16"/>
          <w:rtl/>
        </w:rPr>
        <w:t>דלא</w:t>
      </w:r>
      <w:r w:rsidRPr="0008149A">
        <w:rPr>
          <w:rFonts w:cs="Arial"/>
          <w:sz w:val="16"/>
          <w:szCs w:val="16"/>
          <w:rtl/>
        </w:rPr>
        <w:t xml:space="preserve"> </w:t>
      </w:r>
      <w:r w:rsidRPr="0008149A">
        <w:rPr>
          <w:rFonts w:cs="Arial" w:hint="cs"/>
          <w:sz w:val="16"/>
          <w:szCs w:val="16"/>
          <w:rtl/>
        </w:rPr>
        <w:t>קיי</w:t>
      </w:r>
      <w:r w:rsidRPr="0008149A">
        <w:rPr>
          <w:rFonts w:cs="Arial"/>
          <w:sz w:val="16"/>
          <w:szCs w:val="16"/>
          <w:rtl/>
        </w:rPr>
        <w:t>"</w:t>
      </w:r>
      <w:r w:rsidRPr="0008149A">
        <w:rPr>
          <w:rFonts w:cs="Arial" w:hint="cs"/>
          <w:sz w:val="16"/>
          <w:szCs w:val="16"/>
          <w:rtl/>
        </w:rPr>
        <w:t>ל</w:t>
      </w:r>
      <w:r w:rsidRPr="0008149A">
        <w:rPr>
          <w:rFonts w:cs="Arial"/>
          <w:sz w:val="16"/>
          <w:szCs w:val="16"/>
          <w:rtl/>
        </w:rPr>
        <w:t xml:space="preserve"> </w:t>
      </w:r>
      <w:r w:rsidRPr="0008149A">
        <w:rPr>
          <w:rFonts w:cs="Arial" w:hint="cs"/>
          <w:sz w:val="16"/>
          <w:szCs w:val="16"/>
          <w:rtl/>
        </w:rPr>
        <w:t>כרבי</w:t>
      </w:r>
      <w:r w:rsidRPr="0008149A">
        <w:rPr>
          <w:rFonts w:cs="Arial"/>
          <w:sz w:val="16"/>
          <w:szCs w:val="16"/>
          <w:rtl/>
        </w:rPr>
        <w:t xml:space="preserve"> </w:t>
      </w:r>
      <w:r w:rsidRPr="0008149A">
        <w:rPr>
          <w:rFonts w:cs="Arial" w:hint="cs"/>
          <w:sz w:val="16"/>
          <w:szCs w:val="16"/>
          <w:rtl/>
        </w:rPr>
        <w:t>מאיר.</w:t>
      </w:r>
      <w:r w:rsidRPr="0008149A">
        <w:rPr>
          <w:rFonts w:cs="Arial"/>
          <w:sz w:val="16"/>
          <w:szCs w:val="16"/>
          <w:rtl/>
        </w:rPr>
        <w:t xml:space="preserve"> </w:t>
      </w:r>
      <w:r w:rsidRPr="0008149A">
        <w:rPr>
          <w:rFonts w:cs="Arial" w:hint="cs"/>
          <w:sz w:val="16"/>
          <w:szCs w:val="16"/>
          <w:rtl/>
        </w:rPr>
        <w:t>ולא</w:t>
      </w:r>
      <w:r w:rsidRPr="0008149A">
        <w:rPr>
          <w:rFonts w:cs="Arial"/>
          <w:sz w:val="16"/>
          <w:szCs w:val="16"/>
          <w:rtl/>
        </w:rPr>
        <w:t xml:space="preserve"> </w:t>
      </w:r>
      <w:r w:rsidRPr="0008149A">
        <w:rPr>
          <w:rFonts w:cs="Arial" w:hint="cs"/>
          <w:sz w:val="16"/>
          <w:szCs w:val="16"/>
          <w:rtl/>
        </w:rPr>
        <w:t>נהירא</w:t>
      </w:r>
      <w:r w:rsidRPr="0008149A">
        <w:rPr>
          <w:rFonts w:cs="Arial"/>
          <w:sz w:val="16"/>
          <w:szCs w:val="16"/>
          <w:rtl/>
        </w:rPr>
        <w:t xml:space="preserve"> </w:t>
      </w:r>
      <w:r w:rsidRPr="0008149A">
        <w:rPr>
          <w:rFonts w:cs="Arial" w:hint="cs"/>
          <w:sz w:val="16"/>
          <w:szCs w:val="16"/>
          <w:rtl/>
        </w:rPr>
        <w:t>ליה</w:t>
      </w:r>
      <w:r w:rsidRPr="0008149A">
        <w:rPr>
          <w:rFonts w:cs="Arial"/>
          <w:sz w:val="16"/>
          <w:szCs w:val="16"/>
          <w:rtl/>
        </w:rPr>
        <w:t xml:space="preserve"> </w:t>
      </w:r>
      <w:r w:rsidRPr="0008149A">
        <w:rPr>
          <w:rFonts w:cs="Arial" w:hint="cs"/>
          <w:sz w:val="16"/>
          <w:szCs w:val="16"/>
          <w:rtl/>
        </w:rPr>
        <w:t>דהרמ</w:t>
      </w:r>
      <w:r w:rsidRPr="0008149A">
        <w:rPr>
          <w:rFonts w:cs="Arial"/>
          <w:sz w:val="16"/>
          <w:szCs w:val="16"/>
          <w:rtl/>
        </w:rPr>
        <w:t>"</w:t>
      </w:r>
      <w:r w:rsidRPr="0008149A">
        <w:rPr>
          <w:rFonts w:cs="Arial" w:hint="cs"/>
          <w:sz w:val="16"/>
          <w:szCs w:val="16"/>
          <w:rtl/>
        </w:rPr>
        <w:t>ה</w:t>
      </w:r>
      <w:r w:rsidRPr="0008149A">
        <w:rPr>
          <w:rFonts w:cs="Arial"/>
          <w:sz w:val="16"/>
          <w:szCs w:val="16"/>
          <w:rtl/>
        </w:rPr>
        <w:t xml:space="preserve"> </w:t>
      </w:r>
      <w:r w:rsidRPr="0008149A">
        <w:rPr>
          <w:rFonts w:cs="Arial" w:hint="cs"/>
          <w:sz w:val="16"/>
          <w:szCs w:val="16"/>
          <w:rtl/>
        </w:rPr>
        <w:t>משום</w:t>
      </w:r>
      <w:r w:rsidRPr="0008149A">
        <w:rPr>
          <w:rFonts w:cs="Arial"/>
          <w:sz w:val="16"/>
          <w:szCs w:val="16"/>
          <w:rtl/>
        </w:rPr>
        <w:t xml:space="preserve"> </w:t>
      </w:r>
      <w:r w:rsidRPr="0008149A">
        <w:rPr>
          <w:rFonts w:cs="Arial" w:hint="cs"/>
          <w:sz w:val="16"/>
          <w:szCs w:val="16"/>
          <w:rtl/>
        </w:rPr>
        <w:t>דסובר</w:t>
      </w:r>
      <w:r w:rsidRPr="0008149A">
        <w:rPr>
          <w:rFonts w:cs="Arial"/>
          <w:sz w:val="16"/>
          <w:szCs w:val="16"/>
          <w:rtl/>
        </w:rPr>
        <w:t xml:space="preserve"> </w:t>
      </w:r>
      <w:r w:rsidRPr="0008149A">
        <w:rPr>
          <w:rFonts w:cs="Arial" w:hint="cs"/>
          <w:sz w:val="16"/>
          <w:szCs w:val="16"/>
          <w:rtl/>
        </w:rPr>
        <w:t>דאם</w:t>
      </w:r>
      <w:r w:rsidRPr="0008149A">
        <w:rPr>
          <w:rFonts w:cs="Arial"/>
          <w:sz w:val="16"/>
          <w:szCs w:val="16"/>
          <w:rtl/>
        </w:rPr>
        <w:t xml:space="preserve"> </w:t>
      </w:r>
      <w:r w:rsidRPr="0008149A">
        <w:rPr>
          <w:rFonts w:cs="Arial" w:hint="cs"/>
          <w:sz w:val="16"/>
          <w:szCs w:val="16"/>
          <w:rtl/>
        </w:rPr>
        <w:t>נישאת</w:t>
      </w:r>
      <w:r w:rsidRPr="0008149A">
        <w:rPr>
          <w:rFonts w:cs="Arial"/>
          <w:sz w:val="16"/>
          <w:szCs w:val="16"/>
          <w:rtl/>
        </w:rPr>
        <w:t xml:space="preserve"> </w:t>
      </w:r>
      <w:r w:rsidRPr="0008149A">
        <w:rPr>
          <w:rFonts w:cs="Arial" w:hint="cs"/>
          <w:sz w:val="16"/>
          <w:szCs w:val="16"/>
          <w:rtl/>
        </w:rPr>
        <w:t>לא</w:t>
      </w:r>
      <w:r w:rsidRPr="0008149A">
        <w:rPr>
          <w:rFonts w:cs="Arial"/>
          <w:sz w:val="16"/>
          <w:szCs w:val="16"/>
          <w:rtl/>
        </w:rPr>
        <w:t xml:space="preserve"> </w:t>
      </w:r>
      <w:r w:rsidRPr="0008149A">
        <w:rPr>
          <w:rFonts w:cs="Arial" w:hint="cs"/>
          <w:sz w:val="16"/>
          <w:szCs w:val="16"/>
          <w:rtl/>
        </w:rPr>
        <w:t>תצא</w:t>
      </w:r>
      <w:r>
        <w:rPr>
          <w:rFonts w:cs="Arial" w:hint="cs"/>
          <w:sz w:val="16"/>
          <w:szCs w:val="16"/>
          <w:rtl/>
        </w:rPr>
        <w:t>,</w:t>
      </w:r>
      <w:r w:rsidRPr="0008149A">
        <w:rPr>
          <w:rFonts w:cs="Arial"/>
          <w:sz w:val="16"/>
          <w:szCs w:val="16"/>
          <w:rtl/>
        </w:rPr>
        <w:t xml:space="preserve"> </w:t>
      </w:r>
      <w:r w:rsidRPr="0008149A">
        <w:rPr>
          <w:rFonts w:cs="Arial" w:hint="cs"/>
          <w:sz w:val="16"/>
          <w:szCs w:val="16"/>
          <w:rtl/>
        </w:rPr>
        <w:t>וכמבואר</w:t>
      </w:r>
      <w:r w:rsidRPr="0008149A">
        <w:rPr>
          <w:rFonts w:cs="Arial"/>
          <w:sz w:val="16"/>
          <w:szCs w:val="16"/>
          <w:rtl/>
        </w:rPr>
        <w:t xml:space="preserve"> </w:t>
      </w:r>
      <w:r w:rsidRPr="0008149A">
        <w:rPr>
          <w:rFonts w:cs="Arial" w:hint="cs"/>
          <w:sz w:val="16"/>
          <w:szCs w:val="16"/>
          <w:rtl/>
        </w:rPr>
        <w:t>בדבריו</w:t>
      </w:r>
      <w:r w:rsidRPr="0008149A">
        <w:rPr>
          <w:rFonts w:cs="Arial"/>
          <w:sz w:val="16"/>
          <w:szCs w:val="16"/>
          <w:rtl/>
        </w:rPr>
        <w:t xml:space="preserve"> </w:t>
      </w:r>
      <w:r w:rsidRPr="0008149A">
        <w:rPr>
          <w:rFonts w:cs="Arial" w:hint="cs"/>
          <w:sz w:val="16"/>
          <w:szCs w:val="16"/>
          <w:rtl/>
        </w:rPr>
        <w:t>בפרק</w:t>
      </w:r>
      <w:r w:rsidRPr="0008149A">
        <w:rPr>
          <w:rFonts w:cs="Arial"/>
          <w:sz w:val="16"/>
          <w:szCs w:val="16"/>
          <w:rtl/>
        </w:rPr>
        <w:t xml:space="preserve"> </w:t>
      </w:r>
      <w:r w:rsidRPr="0008149A">
        <w:rPr>
          <w:rFonts w:cs="Arial" w:hint="cs"/>
          <w:sz w:val="16"/>
          <w:szCs w:val="16"/>
          <w:rtl/>
        </w:rPr>
        <w:t>המגרש</w:t>
      </w:r>
      <w:r w:rsidRPr="0008149A">
        <w:rPr>
          <w:rFonts w:cs="Arial"/>
          <w:sz w:val="16"/>
          <w:szCs w:val="16"/>
          <w:rtl/>
        </w:rPr>
        <w:t xml:space="preserve"> </w:t>
      </w:r>
      <w:r w:rsidRPr="0008149A">
        <w:rPr>
          <w:rFonts w:cs="Arial" w:hint="cs"/>
          <w:sz w:val="16"/>
          <w:szCs w:val="16"/>
          <w:rtl/>
        </w:rPr>
        <w:t>אמתניתין</w:t>
      </w:r>
      <w:r w:rsidRPr="0008149A">
        <w:rPr>
          <w:rFonts w:cs="Arial"/>
          <w:sz w:val="16"/>
          <w:szCs w:val="16"/>
          <w:rtl/>
        </w:rPr>
        <w:t xml:space="preserve"> </w:t>
      </w:r>
      <w:r w:rsidRPr="0008149A">
        <w:rPr>
          <w:rFonts w:cs="Arial" w:hint="cs"/>
          <w:sz w:val="16"/>
          <w:szCs w:val="16"/>
          <w:rtl/>
        </w:rPr>
        <w:t>דג</w:t>
      </w:r>
      <w:r w:rsidRPr="0008149A">
        <w:rPr>
          <w:rFonts w:cs="Arial"/>
          <w:sz w:val="16"/>
          <w:szCs w:val="16"/>
          <w:rtl/>
        </w:rPr>
        <w:t xml:space="preserve">' </w:t>
      </w:r>
      <w:r w:rsidRPr="0008149A">
        <w:rPr>
          <w:rFonts w:cs="Arial" w:hint="cs"/>
          <w:sz w:val="16"/>
          <w:szCs w:val="16"/>
          <w:rtl/>
        </w:rPr>
        <w:t>גיטין</w:t>
      </w:r>
      <w:r w:rsidRPr="0008149A">
        <w:rPr>
          <w:rFonts w:cs="Arial"/>
          <w:sz w:val="16"/>
          <w:szCs w:val="16"/>
          <w:rtl/>
        </w:rPr>
        <w:t xml:space="preserve"> </w:t>
      </w:r>
      <w:r w:rsidRPr="0008149A">
        <w:rPr>
          <w:rFonts w:cs="Arial" w:hint="cs"/>
          <w:sz w:val="16"/>
          <w:szCs w:val="16"/>
          <w:rtl/>
        </w:rPr>
        <w:t>פסולין</w:t>
      </w:r>
      <w:r w:rsidRPr="0008149A">
        <w:rPr>
          <w:rFonts w:cs="Arial"/>
          <w:sz w:val="16"/>
          <w:szCs w:val="16"/>
          <w:rtl/>
        </w:rPr>
        <w:t xml:space="preserve"> (</w:t>
      </w:r>
      <w:r w:rsidRPr="0008149A">
        <w:rPr>
          <w:rFonts w:cs="Arial" w:hint="cs"/>
          <w:sz w:val="16"/>
          <w:szCs w:val="16"/>
          <w:rtl/>
        </w:rPr>
        <w:t>שם</w:t>
      </w:r>
      <w:r w:rsidRPr="0008149A">
        <w:rPr>
          <w:rFonts w:cs="Arial"/>
          <w:sz w:val="16"/>
          <w:szCs w:val="16"/>
          <w:rtl/>
        </w:rPr>
        <w:t>)</w:t>
      </w:r>
      <w:r>
        <w:rPr>
          <w:rFonts w:cs="Arial" w:hint="cs"/>
          <w:sz w:val="16"/>
          <w:szCs w:val="16"/>
          <w:rtl/>
        </w:rPr>
        <w:t>)</w:t>
      </w:r>
      <w:r>
        <w:rPr>
          <w:rFonts w:cs="Arial" w:hint="cs"/>
          <w:rtl/>
        </w:rPr>
        <w:t>.</w:t>
      </w:r>
    </w:p>
  </w:footnote>
  <w:footnote w:id="949">
    <w:p w14:paraId="767BA08B" w14:textId="14AD53CD" w:rsidR="00FA2119" w:rsidRDefault="00FA2119" w:rsidP="00FA2119">
      <w:pPr>
        <w:pStyle w:val="a5"/>
      </w:pPr>
      <w:r>
        <w:rPr>
          <w:rStyle w:val="a7"/>
        </w:rPr>
        <w:footnoteRef/>
      </w:r>
      <w:r>
        <w:rPr>
          <w:rtl/>
        </w:rPr>
        <w:t xml:space="preserve"> </w:t>
      </w:r>
      <w:r w:rsidRPr="00FA14D8">
        <w:rPr>
          <w:rFonts w:cs="Arial"/>
          <w:rtl/>
        </w:rPr>
        <w:t>ומשמע דאיכא קפידא בדבר אף בדיעבד</w:t>
      </w:r>
      <w:r>
        <w:rPr>
          <w:rFonts w:cs="Arial" w:hint="cs"/>
          <w:rtl/>
        </w:rPr>
        <w:t>.</w:t>
      </w:r>
      <w:r w:rsidRPr="00FA14D8">
        <w:rPr>
          <w:rFonts w:cs="Arial"/>
          <w:rtl/>
        </w:rPr>
        <w:t xml:space="preserve"> מיהו הרא"ש ורוב הפוסקים כתבו שם מקום איש ואשה אין קפידא אם לא כתב</w:t>
      </w:r>
      <w:r>
        <w:rPr>
          <w:rFonts w:cs="Arial" w:hint="cs"/>
          <w:rtl/>
        </w:rPr>
        <w:t>,</w:t>
      </w:r>
      <w:r w:rsidRPr="00FA14D8">
        <w:rPr>
          <w:rFonts w:cs="Arial"/>
          <w:rtl/>
        </w:rPr>
        <w:t xml:space="preserve"> ומתני' לא פסלי אלא בשנוי</w:t>
      </w:r>
      <w:r>
        <w:rPr>
          <w:rFonts w:cs="Arial" w:hint="cs"/>
          <w:rtl/>
        </w:rPr>
        <w:t>.</w:t>
      </w:r>
      <w:r w:rsidRPr="00FA14D8">
        <w:rPr>
          <w:rFonts w:cs="Arial"/>
          <w:rtl/>
        </w:rPr>
        <w:t xml:space="preserve"> לפ"ז מ</w:t>
      </w:r>
      <w:r>
        <w:rPr>
          <w:rFonts w:cs="Arial" w:hint="cs"/>
          <w:rtl/>
        </w:rPr>
        <w:t xml:space="preserve">כל </w:t>
      </w:r>
      <w:r w:rsidRPr="00FA14D8">
        <w:rPr>
          <w:rFonts w:cs="Arial"/>
          <w:rtl/>
        </w:rPr>
        <w:t>ש</w:t>
      </w:r>
      <w:r>
        <w:rPr>
          <w:rFonts w:cs="Arial" w:hint="cs"/>
          <w:rtl/>
        </w:rPr>
        <w:t>כן</w:t>
      </w:r>
      <w:r w:rsidRPr="00FA14D8">
        <w:rPr>
          <w:rFonts w:cs="Arial"/>
          <w:rtl/>
        </w:rPr>
        <w:t xml:space="preserve"> מקום העדים והסופר</w:t>
      </w:r>
      <w:r>
        <w:rPr>
          <w:rFonts w:cs="Arial" w:hint="cs"/>
          <w:rtl/>
        </w:rPr>
        <w:t>.</w:t>
      </w:r>
      <w:r w:rsidRPr="00FA14D8">
        <w:rPr>
          <w:rFonts w:cs="Arial"/>
          <w:rtl/>
        </w:rPr>
        <w:t xml:space="preserve"> ואפילו מאן דפסל שם י"ל דמכשיר כאן</w:t>
      </w:r>
      <w:r>
        <w:rPr>
          <w:rFonts w:cs="Arial" w:hint="cs"/>
          <w:rtl/>
        </w:rPr>
        <w:t>.</w:t>
      </w:r>
      <w:r w:rsidRPr="00FA14D8">
        <w:rPr>
          <w:rFonts w:cs="Arial"/>
          <w:rtl/>
        </w:rPr>
        <w:t xml:space="preserve"> ועיין בסמוך</w:t>
      </w:r>
      <w:r>
        <w:rPr>
          <w:rFonts w:cs="Arial" w:hint="cs"/>
          <w:rtl/>
        </w:rPr>
        <w:t xml:space="preserve">..., </w:t>
      </w:r>
      <w:r w:rsidRPr="008C223B">
        <w:rPr>
          <w:rFonts w:cs="Arial" w:hint="cs"/>
          <w:b/>
          <w:bCs/>
          <w:rtl/>
        </w:rPr>
        <w:t>ב"ש</w:t>
      </w:r>
      <w:r>
        <w:rPr>
          <w:rFonts w:cs="Arial" w:hint="cs"/>
          <w:rtl/>
        </w:rPr>
        <w:t xml:space="preserve"> (סק"א).</w:t>
      </w:r>
      <w:r w:rsidRPr="008C223B">
        <w:rPr>
          <w:rFonts w:cs="Arial"/>
          <w:rtl/>
        </w:rPr>
        <w:t xml:space="preserve"> </w:t>
      </w:r>
      <w:r>
        <w:rPr>
          <w:rFonts w:cs="Arial"/>
          <w:rtl/>
        </w:rPr>
        <w:t xml:space="preserve">וכן פסק בשו"ת שבס' גבורת אנשים </w:t>
      </w:r>
      <w:r>
        <w:rPr>
          <w:rFonts w:cs="Arial" w:hint="cs"/>
          <w:rtl/>
        </w:rPr>
        <w:t>(</w:t>
      </w:r>
      <w:r>
        <w:rPr>
          <w:rFonts w:cs="Arial"/>
          <w:rtl/>
        </w:rPr>
        <w:t>סי' א</w:t>
      </w:r>
      <w:r>
        <w:rPr>
          <w:rFonts w:cs="Arial" w:hint="cs"/>
          <w:rtl/>
        </w:rPr>
        <w:t>)</w:t>
      </w:r>
      <w:r>
        <w:rPr>
          <w:rFonts w:cs="Arial"/>
          <w:rtl/>
        </w:rPr>
        <w:t xml:space="preserve"> בתשובת אא"ז הגאון מהר"ם כ"ץ ז"ל דאם לא כתב מקום עמידת העדים הוא כשר ונותנין אותו הגט לכתחלה</w:t>
      </w:r>
      <w:r>
        <w:rPr>
          <w:rFonts w:cs="Arial" w:hint="cs"/>
          <w:rtl/>
        </w:rPr>
        <w:t>.</w:t>
      </w:r>
      <w:r>
        <w:rPr>
          <w:rFonts w:cs="Arial"/>
          <w:rtl/>
        </w:rPr>
        <w:t xml:space="preserve"> וגם הגאון מהר"ר יושע שם הסכים עמו בזה ע"ש</w:t>
      </w:r>
      <w:r>
        <w:rPr>
          <w:rFonts w:cs="Arial" w:hint="cs"/>
          <w:rtl/>
        </w:rPr>
        <w:t>.</w:t>
      </w:r>
      <w:r>
        <w:rPr>
          <w:rFonts w:cs="Arial"/>
          <w:rtl/>
        </w:rPr>
        <w:t xml:space="preserve"> גם בס' ג"פ סק"א מסיק ג"כ להכשיר אלא דמסיים בזה"ל דאם אירע כה"ג שלא כתב למנין שאנו מנין כאן במתא פ</w:t>
      </w:r>
      <w:r>
        <w:rPr>
          <w:rFonts w:cs="Arial" w:hint="cs"/>
          <w:rtl/>
        </w:rPr>
        <w:t>לונית</w:t>
      </w:r>
      <w:r>
        <w:rPr>
          <w:rFonts w:cs="Arial"/>
          <w:rtl/>
        </w:rPr>
        <w:t xml:space="preserve"> יש להקל בשעת הדחק ומקום עיגון ע"ש. וכ' עוד הג"פ בסק</w:t>
      </w:r>
      <w:r w:rsidR="00134650">
        <w:rPr>
          <w:rFonts w:cs="Arial" w:hint="cs"/>
          <w:rtl/>
        </w:rPr>
        <w:t>"</w:t>
      </w:r>
      <w:r>
        <w:rPr>
          <w:rFonts w:cs="Arial"/>
          <w:rtl/>
        </w:rPr>
        <w:t>ה וז"ל ואם נכתב הגט בלוד וכתב למנין שמנין בירושלים יראה לי דהגט כשר ולא חשיב שינוי מקום עמידת העדים כיון דלא כתבו שאנו מנין כאן. ואפי' לא דילגו תיבת שאנו אלא דילגו תיבת כאן כו' ע"ש וצ"ע בזה</w:t>
      </w:r>
      <w:r>
        <w:rPr>
          <w:rFonts w:hint="cs"/>
          <w:rtl/>
        </w:rPr>
        <w:t xml:space="preserve">, </w:t>
      </w:r>
      <w:r w:rsidRPr="008C223B">
        <w:rPr>
          <w:rFonts w:hint="cs"/>
          <w:b/>
          <w:bCs/>
          <w:rtl/>
        </w:rPr>
        <w:t>פת"ש</w:t>
      </w:r>
      <w:r>
        <w:rPr>
          <w:rFonts w:hint="cs"/>
          <w:rtl/>
        </w:rPr>
        <w:t xml:space="preserve"> (סק"ב).</w:t>
      </w:r>
    </w:p>
  </w:footnote>
  <w:footnote w:id="950">
    <w:p w14:paraId="7FCAF0F3" w14:textId="6F2CD2BE" w:rsidR="00FA2119" w:rsidRDefault="00FA2119" w:rsidP="00FA2119">
      <w:pPr>
        <w:pStyle w:val="a5"/>
      </w:pPr>
      <w:r>
        <w:rPr>
          <w:rStyle w:val="a7"/>
        </w:rPr>
        <w:footnoteRef/>
      </w:r>
      <w:r>
        <w:rPr>
          <w:rtl/>
        </w:rPr>
        <w:t xml:space="preserve"> </w:t>
      </w:r>
      <w:r>
        <w:rPr>
          <w:rFonts w:cs="Arial"/>
          <w:rtl/>
        </w:rPr>
        <w:t xml:space="preserve">כ' בס' </w:t>
      </w:r>
      <w:r w:rsidRPr="00134650">
        <w:rPr>
          <w:rFonts w:cs="Arial"/>
          <w:b/>
          <w:bCs/>
          <w:rtl/>
        </w:rPr>
        <w:t xml:space="preserve">ג"פ </w:t>
      </w:r>
      <w:r w:rsidR="00134650">
        <w:rPr>
          <w:rFonts w:cs="Arial" w:hint="cs"/>
          <w:rtl/>
        </w:rPr>
        <w:t>(</w:t>
      </w:r>
      <w:r>
        <w:rPr>
          <w:rFonts w:cs="Arial"/>
          <w:rtl/>
        </w:rPr>
        <w:t>סק"ג</w:t>
      </w:r>
      <w:r w:rsidR="00134650">
        <w:rPr>
          <w:rFonts w:cs="Arial" w:hint="cs"/>
          <w:rtl/>
        </w:rPr>
        <w:t>)</w:t>
      </w:r>
      <w:r>
        <w:rPr>
          <w:rFonts w:cs="Arial"/>
          <w:rtl/>
        </w:rPr>
        <w:t xml:space="preserve"> יראה דלאו דוקא דכתב וחתם את הגט בירושלים וטעה וכתב בלוד</w:t>
      </w:r>
      <w:r w:rsidR="00134650">
        <w:rPr>
          <w:rFonts w:cs="Arial" w:hint="cs"/>
          <w:rtl/>
        </w:rPr>
        <w:t>,</w:t>
      </w:r>
      <w:r>
        <w:rPr>
          <w:rFonts w:cs="Arial"/>
          <w:rtl/>
        </w:rPr>
        <w:t xml:space="preserve"> אלא דאפי' טעה בשם העיר מקרי שינה כדאשכחן בפ' התקבל ההיא דהוו קרי לה נפתא אזול סהדי כתבו טפתא כו'</w:t>
      </w:r>
      <w:r w:rsidR="00134650">
        <w:rPr>
          <w:rFonts w:cs="Arial" w:hint="cs"/>
          <w:rtl/>
        </w:rPr>
        <w:t>.</w:t>
      </w:r>
      <w:r>
        <w:rPr>
          <w:rFonts w:cs="Arial"/>
          <w:rtl/>
        </w:rPr>
        <w:t xml:space="preserve"> ומרן הב"י כתב בשם הרשב"ץ אם כ' שם עירו ושם עירה בבלבול כגון תנס במקום תונס פסול כו' ע"ש באריכות. ועיין בס' </w:t>
      </w:r>
      <w:r w:rsidRPr="00134650">
        <w:rPr>
          <w:rFonts w:cs="Arial"/>
          <w:b/>
          <w:bCs/>
          <w:rtl/>
        </w:rPr>
        <w:t>בית מאיר</w:t>
      </w:r>
      <w:r>
        <w:rPr>
          <w:rFonts w:cs="Arial"/>
          <w:rtl/>
        </w:rPr>
        <w:t xml:space="preserve"> שכ' דצ"ע בזה</w:t>
      </w:r>
      <w:r>
        <w:rPr>
          <w:rFonts w:cs="Arial" w:hint="cs"/>
          <w:rtl/>
        </w:rPr>
        <w:t>,</w:t>
      </w:r>
      <w:r>
        <w:rPr>
          <w:rFonts w:cs="Arial"/>
          <w:rtl/>
        </w:rPr>
        <w:t xml:space="preserve"> כי באמת לשון המשנה והרמב"ם והטור בתחילת לשונו והש"ע אינם משמעים אלא דוקא לשינה לשם מקום אחר</w:t>
      </w:r>
      <w:r>
        <w:rPr>
          <w:rFonts w:cs="Arial" w:hint="cs"/>
          <w:rtl/>
        </w:rPr>
        <w:t>,</w:t>
      </w:r>
      <w:r>
        <w:rPr>
          <w:rFonts w:cs="Arial"/>
          <w:rtl/>
        </w:rPr>
        <w:t xml:space="preserve"> אבל שינה מקום העמידה לתיבה שאינו שם מקום אחר י"ל דאינו אלא כאילו לא נכתב כלל</w:t>
      </w:r>
      <w:r>
        <w:rPr>
          <w:rFonts w:cs="Arial" w:hint="cs"/>
          <w:rtl/>
        </w:rPr>
        <w:t>,</w:t>
      </w:r>
      <w:r>
        <w:rPr>
          <w:rFonts w:cs="Arial"/>
          <w:rtl/>
        </w:rPr>
        <w:t xml:space="preserve"> שמסקנת הג"פ וב"ש סק"א דכשר כו'</w:t>
      </w:r>
      <w:r>
        <w:rPr>
          <w:rFonts w:cs="Arial" w:hint="cs"/>
          <w:rtl/>
        </w:rPr>
        <w:t>.</w:t>
      </w:r>
      <w:r>
        <w:rPr>
          <w:rFonts w:cs="Arial"/>
          <w:rtl/>
        </w:rPr>
        <w:t xml:space="preserve"> </w:t>
      </w:r>
      <w:r w:rsidRPr="007E2A7B">
        <w:rPr>
          <w:rFonts w:cs="Arial" w:hint="cs"/>
          <w:sz w:val="16"/>
          <w:szCs w:val="16"/>
          <w:rtl/>
        </w:rPr>
        <w:t>(</w:t>
      </w:r>
      <w:r w:rsidRPr="007E2A7B">
        <w:rPr>
          <w:rFonts w:cs="Arial"/>
          <w:sz w:val="16"/>
          <w:szCs w:val="16"/>
          <w:rtl/>
        </w:rPr>
        <w:t>ומן הרשב"ץ שבב"י אין ראי' חדא דכבר כ' הרח"ש הובא בג"פ דהי' נודע שהי' עיר אחרת ששמה תנס ועוד דהתם איירי בשם דירה כו'</w:t>
      </w:r>
      <w:r w:rsidRPr="007E2A7B">
        <w:rPr>
          <w:rFonts w:cs="Arial" w:hint="cs"/>
          <w:sz w:val="16"/>
          <w:szCs w:val="16"/>
          <w:rtl/>
        </w:rPr>
        <w:t>.</w:t>
      </w:r>
      <w:r w:rsidRPr="007E2A7B">
        <w:rPr>
          <w:rFonts w:cs="Arial"/>
          <w:sz w:val="16"/>
          <w:szCs w:val="16"/>
          <w:rtl/>
        </w:rPr>
        <w:t xml:space="preserve"> והאריך בזה ומסיים </w:t>
      </w:r>
      <w:r w:rsidR="000A0F5A">
        <w:rPr>
          <w:rFonts w:cs="Arial"/>
          <w:sz w:val="16"/>
          <w:szCs w:val="16"/>
          <w:rtl/>
        </w:rPr>
        <w:t>וז"ל:</w:t>
      </w:r>
      <w:r>
        <w:rPr>
          <w:rFonts w:cs="Arial" w:hint="cs"/>
          <w:sz w:val="16"/>
          <w:szCs w:val="16"/>
          <w:rtl/>
        </w:rPr>
        <w:t>)</w:t>
      </w:r>
      <w:r>
        <w:rPr>
          <w:rFonts w:cs="Arial"/>
          <w:rtl/>
        </w:rPr>
        <w:t xml:space="preserve"> הנה לא באתי להקל להלכה ומכ"ש למעשה אך הריני כנושא ונותן לידע יסוד ראי' לדין זה דצ"ע. ובפרט היכא דאותיות שם המקום כולם כתובים על הסדר אלא שחסר אות א' באמצע</w:t>
      </w:r>
      <w:r w:rsidR="00134650">
        <w:rPr>
          <w:rFonts w:cs="Arial" w:hint="cs"/>
          <w:rtl/>
        </w:rPr>
        <w:t>,</w:t>
      </w:r>
      <w:r>
        <w:rPr>
          <w:rFonts w:cs="Arial"/>
          <w:rtl/>
        </w:rPr>
        <w:t xml:space="preserve"> ועם חסרון זה אכתי לא נקרא בשם זה מקום אחר ואינו נקרא אלא לשם עיר זו רק שלא בדיוק</w:t>
      </w:r>
      <w:r w:rsidR="00134650">
        <w:rPr>
          <w:rFonts w:cs="Arial" w:hint="cs"/>
          <w:rtl/>
        </w:rPr>
        <w:t>,</w:t>
      </w:r>
      <w:r>
        <w:rPr>
          <w:rFonts w:cs="Arial"/>
          <w:rtl/>
        </w:rPr>
        <w:t xml:space="preserve"> כמו בעובדא דתשו' נו"ב </w:t>
      </w:r>
      <w:r>
        <w:rPr>
          <w:rFonts w:cs="Arial" w:hint="cs"/>
          <w:rtl/>
        </w:rPr>
        <w:t>(</w:t>
      </w:r>
      <w:r>
        <w:rPr>
          <w:rFonts w:cs="Arial"/>
          <w:rtl/>
        </w:rPr>
        <w:t>סי' פז</w:t>
      </w:r>
      <w:r>
        <w:rPr>
          <w:rFonts w:cs="Arial" w:hint="cs"/>
          <w:rtl/>
        </w:rPr>
        <w:t>)</w:t>
      </w:r>
      <w:r>
        <w:rPr>
          <w:rFonts w:cs="Arial"/>
          <w:rtl/>
        </w:rPr>
        <w:t xml:space="preserve"> שהי' ראוי לכתוב פילטץ וכתבו פילץ דזה לע"ד אף לדעת הג"פ לאו שינה מקרי אלא חסרון מבפנים ולא שמי' חסרון</w:t>
      </w:r>
      <w:r w:rsidR="00134650">
        <w:rPr>
          <w:rFonts w:cs="Arial" w:hint="cs"/>
          <w:rtl/>
        </w:rPr>
        <w:t>,</w:t>
      </w:r>
      <w:r>
        <w:rPr>
          <w:rFonts w:cs="Arial"/>
          <w:rtl/>
        </w:rPr>
        <w:t xml:space="preserve"> די"ל דלא גרע מחניכה הניכרת זה ודאי צ"ע לפסול בדיעבד</w:t>
      </w:r>
      <w:r>
        <w:rPr>
          <w:rFonts w:cs="Arial" w:hint="cs"/>
          <w:rtl/>
        </w:rPr>
        <w:t>.</w:t>
      </w:r>
      <w:r>
        <w:rPr>
          <w:rFonts w:cs="Arial"/>
          <w:rtl/>
        </w:rPr>
        <w:t xml:space="preserve"> עכ"ד</w:t>
      </w:r>
      <w:r>
        <w:rPr>
          <w:rFonts w:cs="Arial" w:hint="cs"/>
          <w:rtl/>
        </w:rPr>
        <w:t>.</w:t>
      </w:r>
      <w:r>
        <w:rPr>
          <w:rFonts w:cs="Arial"/>
          <w:rtl/>
        </w:rPr>
        <w:t xml:space="preserve"> </w:t>
      </w:r>
      <w:r w:rsidRPr="007E2A7B">
        <w:rPr>
          <w:rFonts w:cs="Arial" w:hint="cs"/>
          <w:sz w:val="16"/>
          <w:szCs w:val="16"/>
          <w:rtl/>
        </w:rPr>
        <w:t>(</w:t>
      </w:r>
      <w:r w:rsidRPr="007E2A7B">
        <w:rPr>
          <w:rFonts w:cs="Arial"/>
          <w:sz w:val="16"/>
          <w:szCs w:val="16"/>
          <w:rtl/>
        </w:rPr>
        <w:t xml:space="preserve">ע"ש גם בס' גט מקושר </w:t>
      </w:r>
      <w:r w:rsidRPr="007E2A7B">
        <w:rPr>
          <w:rFonts w:cs="Arial" w:hint="cs"/>
          <w:sz w:val="16"/>
          <w:szCs w:val="16"/>
          <w:rtl/>
        </w:rPr>
        <w:t>(</w:t>
      </w:r>
      <w:r w:rsidRPr="007E2A7B">
        <w:rPr>
          <w:rFonts w:cs="Arial"/>
          <w:sz w:val="16"/>
          <w:szCs w:val="16"/>
          <w:rtl/>
        </w:rPr>
        <w:t>בסג"ר אות ק"ח</w:t>
      </w:r>
      <w:r w:rsidRPr="007E2A7B">
        <w:rPr>
          <w:rFonts w:cs="Arial" w:hint="cs"/>
          <w:sz w:val="16"/>
          <w:szCs w:val="16"/>
          <w:rtl/>
        </w:rPr>
        <w:t>)</w:t>
      </w:r>
      <w:r w:rsidRPr="007E2A7B">
        <w:rPr>
          <w:rFonts w:cs="Arial"/>
          <w:sz w:val="16"/>
          <w:szCs w:val="16"/>
          <w:rtl/>
        </w:rPr>
        <w:t xml:space="preserve"> חולק על הנו"ב הנ"ל בענין פילטץ או פילץ ומסיק דאין להחמיר כלל בכיוצא בזה מאחר שאין אנו כותבין מקום דירה רק מקום עמידה וכל שיש לפרט השם כפשוטו אין להחמיר</w:t>
      </w:r>
      <w:r w:rsidRPr="007E2A7B">
        <w:rPr>
          <w:rFonts w:cs="Arial" w:hint="cs"/>
          <w:sz w:val="16"/>
          <w:szCs w:val="16"/>
          <w:rtl/>
        </w:rPr>
        <w:t>.</w:t>
      </w:r>
      <w:r w:rsidRPr="007E2A7B">
        <w:rPr>
          <w:rFonts w:cs="Arial"/>
          <w:sz w:val="16"/>
          <w:szCs w:val="16"/>
          <w:rtl/>
        </w:rPr>
        <w:t xml:space="preserve"> ע"ש גם בס' תורת גיטין חולק על הנו"ב בזה כמו שיובא לקמן סקי"א ע"ש</w:t>
      </w:r>
      <w:r>
        <w:rPr>
          <w:rFonts w:cs="Arial" w:hint="cs"/>
          <w:sz w:val="16"/>
          <w:szCs w:val="16"/>
          <w:rtl/>
        </w:rPr>
        <w:t>)</w:t>
      </w:r>
      <w:r>
        <w:rPr>
          <w:rFonts w:cs="Arial" w:hint="cs"/>
          <w:rtl/>
        </w:rPr>
        <w:t>, פת"ש (סק"ג).</w:t>
      </w:r>
    </w:p>
  </w:footnote>
  <w:footnote w:id="951">
    <w:p w14:paraId="278A8F3E" w14:textId="7F6E2AB8" w:rsidR="00FA2119" w:rsidRDefault="00FA2119" w:rsidP="00FA2119">
      <w:pPr>
        <w:pStyle w:val="a5"/>
      </w:pPr>
      <w:r>
        <w:rPr>
          <w:rStyle w:val="a7"/>
        </w:rPr>
        <w:footnoteRef/>
      </w:r>
      <w:r>
        <w:rPr>
          <w:rtl/>
        </w:rPr>
        <w:t xml:space="preserve"> </w:t>
      </w:r>
      <w:r>
        <w:rPr>
          <w:rFonts w:cs="Arial"/>
          <w:rtl/>
        </w:rPr>
        <w:t xml:space="preserve">עב"ש </w:t>
      </w:r>
      <w:r>
        <w:rPr>
          <w:rFonts w:cs="Arial" w:hint="cs"/>
          <w:rtl/>
        </w:rPr>
        <w:t>(</w:t>
      </w:r>
      <w:r>
        <w:rPr>
          <w:rFonts w:cs="Arial"/>
          <w:rtl/>
        </w:rPr>
        <w:t>סק"ג</w:t>
      </w:r>
      <w:r>
        <w:rPr>
          <w:rFonts w:cs="Arial" w:hint="cs"/>
          <w:rtl/>
        </w:rPr>
        <w:t>)</w:t>
      </w:r>
      <w:r>
        <w:rPr>
          <w:rFonts w:cs="Arial"/>
          <w:rtl/>
        </w:rPr>
        <w:t xml:space="preserve"> שהביא כל הדיעות בזה ומסיים ולמעשה צ"ע אם תצא. ועיין בג"פ </w:t>
      </w:r>
      <w:r>
        <w:rPr>
          <w:rFonts w:cs="Arial" w:hint="cs"/>
          <w:rtl/>
        </w:rPr>
        <w:t>(</w:t>
      </w:r>
      <w:r>
        <w:rPr>
          <w:rFonts w:cs="Arial"/>
          <w:rtl/>
        </w:rPr>
        <w:t>סק"ד</w:t>
      </w:r>
      <w:r>
        <w:rPr>
          <w:rFonts w:cs="Arial" w:hint="cs"/>
          <w:rtl/>
        </w:rPr>
        <w:t>-</w:t>
      </w:r>
      <w:r>
        <w:rPr>
          <w:rFonts w:cs="Arial"/>
          <w:rtl/>
        </w:rPr>
        <w:t>ה</w:t>
      </w:r>
      <w:r>
        <w:rPr>
          <w:rFonts w:cs="Arial" w:hint="cs"/>
          <w:rtl/>
        </w:rPr>
        <w:t>)</w:t>
      </w:r>
      <w:r>
        <w:rPr>
          <w:rFonts w:cs="Arial"/>
          <w:rtl/>
        </w:rPr>
        <w:t xml:space="preserve"> דמסיק דהעיקר כפסק מרן ז"ל דלכתחילה לא תנשא</w:t>
      </w:r>
      <w:r w:rsidR="00134650">
        <w:rPr>
          <w:rFonts w:cs="Arial" w:hint="cs"/>
          <w:rtl/>
        </w:rPr>
        <w:t>,</w:t>
      </w:r>
      <w:r>
        <w:rPr>
          <w:rFonts w:cs="Arial"/>
          <w:rtl/>
        </w:rPr>
        <w:t xml:space="preserve"> ואפי' במקום עיגון ושעת הדחק דא"א להשיג גט אחר אין להקל דתנשא לכתחלה</w:t>
      </w:r>
      <w:r w:rsidR="00134650">
        <w:rPr>
          <w:rFonts w:cs="Arial" w:hint="cs"/>
          <w:rtl/>
        </w:rPr>
        <w:t>,</w:t>
      </w:r>
      <w:r>
        <w:rPr>
          <w:rFonts w:cs="Arial"/>
          <w:rtl/>
        </w:rPr>
        <w:t xml:space="preserve"> אבל אם נשאת לא תצא. ועיין בס' גט מקושר </w:t>
      </w:r>
      <w:r>
        <w:rPr>
          <w:rFonts w:cs="Arial" w:hint="cs"/>
          <w:rtl/>
        </w:rPr>
        <w:t>(</w:t>
      </w:r>
      <w:r>
        <w:rPr>
          <w:rFonts w:cs="Arial"/>
          <w:rtl/>
        </w:rPr>
        <w:t>אות קח</w:t>
      </w:r>
      <w:r>
        <w:rPr>
          <w:rFonts w:cs="Arial" w:hint="cs"/>
          <w:rtl/>
        </w:rPr>
        <w:t>)</w:t>
      </w:r>
      <w:r>
        <w:rPr>
          <w:rFonts w:cs="Arial"/>
          <w:rtl/>
        </w:rPr>
        <w:t xml:space="preserve"> האריך בזה ומסיק לענין דינא נראה שאין ללמוד קולא להקל בהי</w:t>
      </w:r>
      <w:r w:rsidR="00134650">
        <w:rPr>
          <w:rFonts w:cs="Arial" w:hint="cs"/>
          <w:rtl/>
        </w:rPr>
        <w:t>ו</w:t>
      </w:r>
      <w:r>
        <w:rPr>
          <w:rFonts w:cs="Arial"/>
          <w:rtl/>
        </w:rPr>
        <w:t xml:space="preserve"> במזרח טפי משאר פסולי דרבנן</w:t>
      </w:r>
      <w:r>
        <w:rPr>
          <w:rFonts w:cs="Arial" w:hint="cs"/>
          <w:rtl/>
        </w:rPr>
        <w:t>,</w:t>
      </w:r>
      <w:r>
        <w:rPr>
          <w:rFonts w:cs="Arial"/>
          <w:rtl/>
        </w:rPr>
        <w:t xml:space="preserve"> אלא דמ"מ כפי מה שסתם בש"ע סי' ק"ן דבפסולי דרבנן לא תצא וגם הב"ח שם פסק כן אפשר להקל אם נשאת ע"ש. וכ' עוד בג"פ שם דאין להקל בזה אם בא גט זה ע"י שליח ממדה"י כי היכי דמכשרינן גט מוקדם שע"י שליח מטעמא דקלא אית לי' </w:t>
      </w:r>
      <w:r>
        <w:rPr>
          <w:rFonts w:cs="Arial" w:hint="cs"/>
          <w:rtl/>
        </w:rPr>
        <w:t>(</w:t>
      </w:r>
      <w:r>
        <w:rPr>
          <w:rFonts w:cs="Arial"/>
          <w:rtl/>
        </w:rPr>
        <w:t>כדלעיל סי' קכז ס"ד</w:t>
      </w:r>
      <w:r>
        <w:rPr>
          <w:rFonts w:cs="Arial" w:hint="cs"/>
          <w:rtl/>
        </w:rPr>
        <w:t>)</w:t>
      </w:r>
      <w:r>
        <w:rPr>
          <w:rFonts w:cs="Arial"/>
          <w:rtl/>
        </w:rPr>
        <w:t xml:space="preserve"> כי יש לחלק שפיר בין הזמן לענין שינה מקום עמידת העדים כו'</w:t>
      </w:r>
      <w:r>
        <w:rPr>
          <w:rFonts w:cs="Arial" w:hint="cs"/>
          <w:rtl/>
        </w:rPr>
        <w:t>.</w:t>
      </w:r>
      <w:r>
        <w:rPr>
          <w:rFonts w:cs="Arial"/>
          <w:rtl/>
        </w:rPr>
        <w:t xml:space="preserve"> וכן מבואר מדברי הריב"ש סי' נ"ז ומדברי הרא"ם ח"א סי' ס"ו ומהרי"ט ומהרח"ש סי' ג' ע"ש</w:t>
      </w:r>
      <w:r>
        <w:rPr>
          <w:rFonts w:cs="Arial" w:hint="cs"/>
          <w:rtl/>
        </w:rPr>
        <w:t>, פת"ש (סק"ד).</w:t>
      </w:r>
    </w:p>
  </w:footnote>
  <w:footnote w:id="952">
    <w:p w14:paraId="09A605D5" w14:textId="361F2AB1" w:rsidR="00FA2119" w:rsidRDefault="00FA2119" w:rsidP="00FA2119">
      <w:pPr>
        <w:pStyle w:val="a5"/>
      </w:pPr>
      <w:r>
        <w:rPr>
          <w:rStyle w:val="a7"/>
        </w:rPr>
        <w:footnoteRef/>
      </w:r>
      <w:r>
        <w:rPr>
          <w:rtl/>
        </w:rPr>
        <w:t xml:space="preserve"> </w:t>
      </w:r>
      <w:r>
        <w:rPr>
          <w:rFonts w:cs="Arial"/>
          <w:rtl/>
        </w:rPr>
        <w:t>עיין בג"פ סק"ז דמסיק דבשעת הדחק ומקום עיגון יכולים אנו לסמוך ע"ד הפוסקים דעל מקום עמידת הסופר אין לחוש ואם נתגרשה תנשא לכתחילה</w:t>
      </w:r>
      <w:r w:rsidR="00134650">
        <w:rPr>
          <w:rFonts w:cs="Arial" w:hint="cs"/>
          <w:rtl/>
        </w:rPr>
        <w:t>,</w:t>
      </w:r>
      <w:r>
        <w:rPr>
          <w:rFonts w:cs="Arial"/>
          <w:rtl/>
        </w:rPr>
        <w:t xml:space="preserve"> ע"ש</w:t>
      </w:r>
      <w:r w:rsidR="00134650">
        <w:rPr>
          <w:rFonts w:cs="Arial" w:hint="cs"/>
          <w:rtl/>
        </w:rPr>
        <w:t>.</w:t>
      </w:r>
      <w:r>
        <w:rPr>
          <w:rFonts w:cs="Arial"/>
          <w:rtl/>
        </w:rPr>
        <w:t xml:space="preserve"> וע' בס' גט מקושר בסג"ר אות ק"ח מ"ש בזה</w:t>
      </w:r>
      <w:r>
        <w:rPr>
          <w:rFonts w:cs="Arial" w:hint="cs"/>
          <w:rtl/>
        </w:rPr>
        <w:t>, פת"ש (סק"ה).</w:t>
      </w:r>
    </w:p>
  </w:footnote>
  <w:footnote w:id="953">
    <w:p w14:paraId="413A7AB8" w14:textId="50F6871A" w:rsidR="00FA2119" w:rsidRDefault="00FA2119" w:rsidP="00FA2119">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Pr>
          <w:rFonts w:cs="Arial"/>
          <w:rtl/>
        </w:rPr>
        <w:t>ההוא גיטא דנכתב בשיודוט</w:t>
      </w:r>
      <w:r>
        <w:rPr>
          <w:rFonts w:cs="Arial" w:hint="cs"/>
          <w:rtl/>
        </w:rPr>
        <w:t>,</w:t>
      </w:r>
      <w:r>
        <w:rPr>
          <w:rFonts w:cs="Arial"/>
          <w:rtl/>
        </w:rPr>
        <w:t xml:space="preserve"> והאשה לא היתה בתוך העיר בשעה שנכתב הגט אלא היתה אצל שער העיר</w:t>
      </w:r>
      <w:r>
        <w:rPr>
          <w:rFonts w:cs="Arial" w:hint="cs"/>
          <w:rtl/>
        </w:rPr>
        <w:t>,</w:t>
      </w:r>
      <w:r>
        <w:rPr>
          <w:rFonts w:cs="Arial"/>
          <w:rtl/>
        </w:rPr>
        <w:t xml:space="preserve"> וכתבו </w:t>
      </w:r>
      <w:r>
        <w:rPr>
          <w:rFonts w:cs="Arial" w:hint="cs"/>
          <w:rtl/>
        </w:rPr>
        <w:t>'</w:t>
      </w:r>
      <w:r>
        <w:rPr>
          <w:rFonts w:cs="Arial"/>
          <w:rtl/>
        </w:rPr>
        <w:t>העומדת היום בשיודוט</w:t>
      </w:r>
      <w:r>
        <w:rPr>
          <w:rFonts w:cs="Arial" w:hint="cs"/>
          <w:rtl/>
        </w:rPr>
        <w:t>'</w:t>
      </w:r>
      <w:r>
        <w:rPr>
          <w:rFonts w:cs="Arial"/>
          <w:rtl/>
        </w:rPr>
        <w:t>.</w:t>
      </w:r>
      <w:r>
        <w:rPr>
          <w:rFonts w:cs="Arial" w:hint="cs"/>
          <w:rtl/>
        </w:rPr>
        <w:t>..</w:t>
      </w:r>
      <w:r>
        <w:rPr>
          <w:rFonts w:cs="Arial"/>
          <w:rtl/>
        </w:rPr>
        <w:t xml:space="preserve"> נראה דאם היתה האשה בתוך עיבורה של עיר </w:t>
      </w:r>
      <w:r>
        <w:rPr>
          <w:rFonts w:cs="Arial" w:hint="cs"/>
          <w:rtl/>
        </w:rPr>
        <w:t xml:space="preserve">- </w:t>
      </w:r>
      <w:r>
        <w:rPr>
          <w:rFonts w:cs="Arial"/>
          <w:rtl/>
        </w:rPr>
        <w:t>אין כאן בית מיחוש</w:t>
      </w:r>
      <w:r>
        <w:rPr>
          <w:rFonts w:cs="Arial" w:hint="cs"/>
          <w:rtl/>
        </w:rPr>
        <w:t>,</w:t>
      </w:r>
      <w:r>
        <w:rPr>
          <w:rFonts w:cs="Arial"/>
          <w:rtl/>
        </w:rPr>
        <w:t xml:space="preserve"> דעיבורה של עיר הוי כמו עיר ממש. כדאיתא בנדרים פרק הנודר מן הירק הנודר מן העיר אסור ליכנס בעיבורה של עיר</w:t>
      </w:r>
      <w:r>
        <w:rPr>
          <w:rFonts w:cs="Arial" w:hint="cs"/>
          <w:rtl/>
        </w:rPr>
        <w:t>...</w:t>
      </w:r>
      <w:r>
        <w:rPr>
          <w:rFonts w:cs="Arial"/>
          <w:rtl/>
        </w:rPr>
        <w:t xml:space="preserve"> וגדול מזה כתב רבינו שמשון בתשובה במיימוני בעיר שהית' הנהר חוץ לעיבורה של עיר שכותבים שם הנהר בגט ומייתי ראיה דאפי' חוץ לעיבורה של עיר בתוך התחום חשיב כעיר ע"ש</w:t>
      </w:r>
      <w:r>
        <w:rPr>
          <w:rFonts w:cs="Arial" w:hint="cs"/>
          <w:rtl/>
        </w:rPr>
        <w:t>...</w:t>
      </w:r>
      <w:r>
        <w:rPr>
          <w:rFonts w:cs="Arial"/>
          <w:rtl/>
        </w:rPr>
        <w:t xml:space="preserve"> ומה שחילקת בין היכא דעיבורה של עיר פנוי בלא בתים ובלא שדות ובלא כרמים</w:t>
      </w:r>
      <w:r>
        <w:rPr>
          <w:rFonts w:cs="Arial" w:hint="cs"/>
          <w:rtl/>
        </w:rPr>
        <w:t>,</w:t>
      </w:r>
      <w:r>
        <w:rPr>
          <w:rFonts w:cs="Arial"/>
          <w:rtl/>
        </w:rPr>
        <w:t xml:space="preserve"> אבל היכא דאינו פנוי אז לא הוי כעיר. איברא לאו הכי הוא דהא בית העומד בעיבורה של עיר מיניה משחינן תחום שבת אפילו לרבנן דפליגי אר' מאיר וסברי דאין נותנין קרפיף לעיר מכל מקום מודו רבנן דבית העומד בתוך עיבורה של עיר דמיניה שמחינן. ומה שכתבת מבתי ערי חומה מבית העומד מקצתה חוץ לחומה דלא הוי כעיר שאני התם דבחומה ממש תלי רחמנא, וכה"ג מחלק תלמודא גבי מעשר שני בפרק אילו הן הגולין</w:t>
      </w:r>
      <w:r>
        <w:rPr>
          <w:rFonts w:cs="Arial" w:hint="cs"/>
          <w:rtl/>
        </w:rPr>
        <w:t>.</w:t>
      </w:r>
    </w:p>
  </w:footnote>
  <w:footnote w:id="954">
    <w:p w14:paraId="7B82C37A" w14:textId="77777777" w:rsidR="00FA2119" w:rsidRDefault="00FA2119" w:rsidP="00FA2119">
      <w:pPr>
        <w:pStyle w:val="a5"/>
      </w:pPr>
      <w:r>
        <w:rPr>
          <w:rStyle w:val="a7"/>
        </w:rPr>
        <w:footnoteRef/>
      </w:r>
      <w:r>
        <w:rPr>
          <w:rtl/>
        </w:rPr>
        <w:t xml:space="preserve"> </w:t>
      </w:r>
      <w:r w:rsidRPr="007F6918">
        <w:rPr>
          <w:rFonts w:cs="Arial"/>
          <w:rtl/>
        </w:rPr>
        <w:t>ומבואר מזה דאם הוא חוץ לעיבורה אין יכולין לכתוב שם העיר ואפשר דאף בדיעבד פסול</w:t>
      </w:r>
      <w:r>
        <w:rPr>
          <w:rFonts w:cs="Arial" w:hint="cs"/>
          <w:rtl/>
        </w:rPr>
        <w:t>, פת"ש (שם).</w:t>
      </w:r>
    </w:p>
  </w:footnote>
  <w:footnote w:id="955">
    <w:p w14:paraId="629208F8" w14:textId="77777777" w:rsidR="00FA2119" w:rsidRDefault="00FA2119" w:rsidP="00FA2119">
      <w:pPr>
        <w:pStyle w:val="a5"/>
        <w:rPr>
          <w:rtl/>
        </w:rPr>
      </w:pPr>
      <w:r>
        <w:rPr>
          <w:rStyle w:val="a7"/>
        </w:rPr>
        <w:footnoteRef/>
      </w:r>
      <w:r>
        <w:rPr>
          <w:rtl/>
        </w:rPr>
        <w:t xml:space="preserve"> </w:t>
      </w:r>
      <w:r w:rsidRPr="007F6918">
        <w:rPr>
          <w:rFonts w:cs="Arial"/>
          <w:rtl/>
        </w:rPr>
        <w:t>ו</w:t>
      </w:r>
      <w:r>
        <w:rPr>
          <w:rFonts w:cs="Arial" w:hint="cs"/>
          <w:rtl/>
        </w:rPr>
        <w:t>כתב ה</w:t>
      </w:r>
      <w:r>
        <w:rPr>
          <w:rFonts w:hint="cs"/>
          <w:rtl/>
        </w:rPr>
        <w:t xml:space="preserve">פת"ש (סק"א)- </w:t>
      </w:r>
      <w:r w:rsidRPr="007F6918">
        <w:rPr>
          <w:rFonts w:cs="Arial"/>
          <w:rtl/>
        </w:rPr>
        <w:t>תמה אני מ"ש דמוכח מגמ' דמכות הנ"ל דאף חוץ לעיבורה נקרא ע"ש העיר. יותר הי"ל לומר דמוכח משם דאף חוץ לתחומה נקרא ע"ש העיר</w:t>
      </w:r>
      <w:r>
        <w:rPr>
          <w:rFonts w:cs="Arial" w:hint="cs"/>
          <w:rtl/>
        </w:rPr>
        <w:t>..</w:t>
      </w:r>
      <w:r w:rsidRPr="007F6918">
        <w:rPr>
          <w:rFonts w:cs="Arial"/>
          <w:rtl/>
        </w:rPr>
        <w:t xml:space="preserve">. וע' בת' גאוני בתראי </w:t>
      </w:r>
      <w:r>
        <w:rPr>
          <w:rFonts w:cs="Arial" w:hint="cs"/>
          <w:rtl/>
        </w:rPr>
        <w:t>(</w:t>
      </w:r>
      <w:r w:rsidRPr="007F6918">
        <w:rPr>
          <w:rFonts w:cs="Arial"/>
          <w:rtl/>
        </w:rPr>
        <w:t>סי' כז</w:t>
      </w:r>
      <w:r>
        <w:rPr>
          <w:rFonts w:cs="Arial" w:hint="cs"/>
          <w:rtl/>
        </w:rPr>
        <w:t>)...</w:t>
      </w:r>
      <w:r w:rsidRPr="007F6918">
        <w:rPr>
          <w:rFonts w:cs="Arial"/>
          <w:rtl/>
        </w:rPr>
        <w:t xml:space="preserve"> </w:t>
      </w:r>
      <w:r>
        <w:rPr>
          <w:rFonts w:cs="Arial" w:hint="cs"/>
          <w:rtl/>
        </w:rPr>
        <w:t>ד</w:t>
      </w:r>
      <w:r w:rsidRPr="007F6918">
        <w:rPr>
          <w:rFonts w:cs="Arial"/>
          <w:rtl/>
        </w:rPr>
        <w:t xml:space="preserve">מבואר שהבין ג"כ דאף חוץ לתחום נקרא על שם העיר. </w:t>
      </w:r>
      <w:r w:rsidRPr="00560EF3">
        <w:rPr>
          <w:rFonts w:cs="Arial"/>
          <w:rtl/>
        </w:rPr>
        <w:t>ושוב ראיתי בגוף התשובה של מהרי"ו סי' ע"א דמהרי"ו עצמו מביא ראי' זו מגמ' דמכות הנ"ל למה שמצדד שם דאפי' חוץ לתחום איקרי על שם העיר. וכפי הנראה מדבריו שם לא ניחא לי' לחלק כחילוקו של הגאון מהרי"מ הנ"ל לומר דאם נבנה איזה בתים מתקרי טפי על שם העיר.</w:t>
      </w:r>
      <w:r>
        <w:rPr>
          <w:rFonts w:cs="Arial" w:hint="cs"/>
          <w:rtl/>
        </w:rPr>
        <w:t>.</w:t>
      </w:r>
      <w:r w:rsidRPr="00560EF3">
        <w:rPr>
          <w:rFonts w:cs="Arial"/>
          <w:rtl/>
        </w:rPr>
        <w:t>. גם מדברי אא"ז בתשו' פמ"א שהבאתי לעיל מבואר דלא ס"ל לחלק בכך</w:t>
      </w:r>
      <w:r>
        <w:rPr>
          <w:rFonts w:cs="Arial" w:hint="cs"/>
          <w:rtl/>
        </w:rPr>
        <w:t>,</w:t>
      </w:r>
      <w:r w:rsidRPr="00560EF3">
        <w:rPr>
          <w:rFonts w:cs="Arial"/>
          <w:rtl/>
        </w:rPr>
        <w:t xml:space="preserve"> וצ"ע.</w:t>
      </w:r>
      <w:r w:rsidRPr="00FD2E0D">
        <w:rPr>
          <w:rtl/>
        </w:rPr>
        <w:t xml:space="preserve"> </w:t>
      </w:r>
      <w:r w:rsidRPr="00FD2E0D">
        <w:rPr>
          <w:rFonts w:cs="Arial"/>
          <w:rtl/>
        </w:rPr>
        <w:t>ולענין הלכה נראה כדברי הג"פ שהבאתי לעיל (שם)</w:t>
      </w:r>
      <w:r>
        <w:rPr>
          <w:rFonts w:hint="cs"/>
          <w:rtl/>
        </w:rPr>
        <w:t>.</w:t>
      </w:r>
    </w:p>
  </w:footnote>
  <w:footnote w:id="956">
    <w:p w14:paraId="176EF06E" w14:textId="77777777" w:rsidR="00FA2119" w:rsidRDefault="00FA2119" w:rsidP="00FA2119">
      <w:pPr>
        <w:pStyle w:val="a5"/>
      </w:pPr>
      <w:r>
        <w:rPr>
          <w:rStyle w:val="a7"/>
        </w:rPr>
        <w:footnoteRef/>
      </w:r>
      <w:r>
        <w:rPr>
          <w:rtl/>
        </w:rPr>
        <w:t xml:space="preserve"> </w:t>
      </w:r>
      <w:r w:rsidRPr="000606A5">
        <w:rPr>
          <w:rFonts w:cs="Arial"/>
          <w:rtl/>
        </w:rPr>
        <w:t>כשהיו לו שני שמות אחד כאן ואחד במדינת הים היה מגרשה בשם הנוהג במקום כתיבת הגט ולא היה מקפיד לכתוב שניהם</w:t>
      </w:r>
      <w:r>
        <w:rPr>
          <w:rFonts w:cs="Arial" w:hint="cs"/>
          <w:rtl/>
        </w:rPr>
        <w:t>, רש"י.</w:t>
      </w:r>
    </w:p>
  </w:footnote>
  <w:footnote w:id="957">
    <w:p w14:paraId="160A79BD" w14:textId="77777777" w:rsidR="00FA2119" w:rsidRDefault="00FA2119" w:rsidP="00FA2119">
      <w:pPr>
        <w:pStyle w:val="a5"/>
      </w:pPr>
      <w:r>
        <w:rPr>
          <w:rStyle w:val="a7"/>
        </w:rPr>
        <w:footnoteRef/>
      </w:r>
      <w:r>
        <w:rPr>
          <w:rtl/>
        </w:rPr>
        <w:t xml:space="preserve"> </w:t>
      </w:r>
      <w:r w:rsidRPr="00A270DB">
        <w:rPr>
          <w:rFonts w:cs="Arial"/>
          <w:rtl/>
        </w:rPr>
        <w:t>שצריך לכתוב שם העיר שהוא והיא ממנה פירוש בגליל מתא אנא פלוני דמיהודה</w:t>
      </w:r>
      <w:r>
        <w:rPr>
          <w:rFonts w:cs="Arial" w:hint="cs"/>
          <w:rtl/>
        </w:rPr>
        <w:t>, רא"ש (פ"ד סי' ז).</w:t>
      </w:r>
      <w:r>
        <w:rPr>
          <w:rFonts w:hint="cs"/>
          <w:rtl/>
        </w:rPr>
        <w:t xml:space="preserve"> וכ"כ הרשב"א (לד:).</w:t>
      </w:r>
    </w:p>
  </w:footnote>
  <w:footnote w:id="958">
    <w:p w14:paraId="2AED0FF8" w14:textId="77777777" w:rsidR="00FA2119" w:rsidRDefault="00FA2119" w:rsidP="00FA2119">
      <w:pPr>
        <w:pStyle w:val="a5"/>
      </w:pPr>
      <w:r>
        <w:rPr>
          <w:rStyle w:val="a7"/>
        </w:rPr>
        <w:footnoteRef/>
      </w:r>
      <w:r>
        <w:rPr>
          <w:rtl/>
        </w:rPr>
        <w:t xml:space="preserve"> </w:t>
      </w:r>
      <w:r w:rsidRPr="00E37813">
        <w:rPr>
          <w:rFonts w:cs="Arial"/>
          <w:rtl/>
        </w:rPr>
        <w:t xml:space="preserve">שינה שמו ושמה כו' - </w:t>
      </w:r>
      <w:r w:rsidRPr="00F8793A">
        <w:rPr>
          <w:rFonts w:cs="Arial"/>
          <w:rtl/>
        </w:rPr>
        <w:t>לא שינה ממש</w:t>
      </w:r>
      <w:r>
        <w:rPr>
          <w:rFonts w:cs="Arial" w:hint="cs"/>
          <w:rtl/>
        </w:rPr>
        <w:t>,</w:t>
      </w:r>
      <w:r w:rsidRPr="00F8793A">
        <w:rPr>
          <w:rFonts w:cs="Arial"/>
          <w:rtl/>
        </w:rPr>
        <w:t xml:space="preserve"> כדאמר בפ"ב (לד:)</w:t>
      </w:r>
      <w:r>
        <w:rPr>
          <w:rFonts w:cs="Arial" w:hint="cs"/>
          <w:sz w:val="16"/>
          <w:szCs w:val="16"/>
          <w:rtl/>
        </w:rPr>
        <w:t xml:space="preserve"> {ומבואר שם שבמקום אחד קוראים לו כך ובמקום שני קוראים לו כך}</w:t>
      </w:r>
      <w:r>
        <w:rPr>
          <w:rFonts w:cs="Arial" w:hint="cs"/>
          <w:rtl/>
        </w:rPr>
        <w:t>,</w:t>
      </w:r>
      <w:r w:rsidRPr="00F8793A">
        <w:rPr>
          <w:rFonts w:cs="Arial"/>
          <w:rtl/>
        </w:rPr>
        <w:t xml:space="preserve"> וכן שם עירו ושם עירה </w:t>
      </w:r>
      <w:r>
        <w:rPr>
          <w:rFonts w:cs="Arial" w:hint="cs"/>
          <w:rtl/>
        </w:rPr>
        <w:t xml:space="preserve">- </w:t>
      </w:r>
      <w:r w:rsidRPr="00F8793A">
        <w:rPr>
          <w:rFonts w:cs="Arial"/>
          <w:rtl/>
        </w:rPr>
        <w:t>לא ששינה ממש</w:t>
      </w:r>
      <w:r>
        <w:rPr>
          <w:rFonts w:cs="Arial" w:hint="cs"/>
          <w:rtl/>
        </w:rPr>
        <w:t>,</w:t>
      </w:r>
      <w:r w:rsidRPr="00F8793A">
        <w:rPr>
          <w:rFonts w:cs="Arial"/>
          <w:rtl/>
        </w:rPr>
        <w:t xml:space="preserve"> אלא שיש לאותה העיר שני שמות בשני מקומות</w:t>
      </w:r>
      <w:r>
        <w:rPr>
          <w:rFonts w:cs="Arial" w:hint="cs"/>
          <w:rtl/>
        </w:rPr>
        <w:t>, תוס' (פ. ד"ה שינה).</w:t>
      </w:r>
    </w:p>
  </w:footnote>
  <w:footnote w:id="959">
    <w:p w14:paraId="638A5B6F" w14:textId="77777777" w:rsidR="00FA2119" w:rsidRDefault="00FA2119" w:rsidP="00FA2119">
      <w:pPr>
        <w:pStyle w:val="a5"/>
      </w:pPr>
      <w:r>
        <w:rPr>
          <w:rStyle w:val="a7"/>
        </w:rPr>
        <w:footnoteRef/>
      </w:r>
      <w:r>
        <w:rPr>
          <w:rtl/>
        </w:rPr>
        <w:t xml:space="preserve"> </w:t>
      </w:r>
      <w:r w:rsidRPr="001B30C3">
        <w:rPr>
          <w:rFonts w:cs="Arial" w:hint="cs"/>
          <w:rtl/>
        </w:rPr>
        <w:t>וז</w:t>
      </w:r>
      <w:r w:rsidRPr="001B30C3">
        <w:rPr>
          <w:rFonts w:cs="Arial"/>
          <w:rtl/>
        </w:rPr>
        <w:t>"</w:t>
      </w:r>
      <w:r w:rsidRPr="001B30C3">
        <w:rPr>
          <w:rFonts w:cs="Arial" w:hint="cs"/>
          <w:rtl/>
        </w:rPr>
        <w:t>ל</w:t>
      </w:r>
      <w:r>
        <w:rPr>
          <w:rFonts w:cs="Arial" w:hint="cs"/>
          <w:sz w:val="16"/>
          <w:szCs w:val="16"/>
          <w:rtl/>
        </w:rPr>
        <w:t xml:space="preserve"> (הכלבו וסמ"ק)</w:t>
      </w:r>
      <w:r>
        <w:rPr>
          <w:rFonts w:cs="Arial" w:hint="cs"/>
          <w:rtl/>
        </w:rPr>
        <w:t>-</w:t>
      </w:r>
      <w:r w:rsidRPr="001B30C3">
        <w:rPr>
          <w:rFonts w:cs="Arial"/>
          <w:rtl/>
        </w:rPr>
        <w:t xml:space="preserve"> </w:t>
      </w:r>
      <w:r w:rsidRPr="001B30C3">
        <w:rPr>
          <w:rFonts w:cs="Arial" w:hint="cs"/>
          <w:rtl/>
        </w:rPr>
        <w:t>ועכשיו</w:t>
      </w:r>
      <w:r w:rsidRPr="001B30C3">
        <w:rPr>
          <w:rFonts w:cs="Arial"/>
          <w:rtl/>
        </w:rPr>
        <w:t xml:space="preserve"> </w:t>
      </w:r>
      <w:r w:rsidRPr="001B30C3">
        <w:rPr>
          <w:rFonts w:cs="Arial" w:hint="cs"/>
          <w:rtl/>
        </w:rPr>
        <w:t>שאין</w:t>
      </w:r>
      <w:r w:rsidRPr="001B30C3">
        <w:rPr>
          <w:rFonts w:cs="Arial"/>
          <w:rtl/>
        </w:rPr>
        <w:t xml:space="preserve"> </w:t>
      </w:r>
      <w:r w:rsidRPr="001B30C3">
        <w:rPr>
          <w:rFonts w:cs="Arial" w:hint="cs"/>
          <w:rtl/>
        </w:rPr>
        <w:t>אנו</w:t>
      </w:r>
      <w:r w:rsidRPr="001B30C3">
        <w:rPr>
          <w:rFonts w:cs="Arial"/>
          <w:rtl/>
        </w:rPr>
        <w:t xml:space="preserve"> </w:t>
      </w:r>
      <w:r w:rsidRPr="001B30C3">
        <w:rPr>
          <w:rFonts w:cs="Arial" w:hint="cs"/>
          <w:rtl/>
        </w:rPr>
        <w:t>יודעים</w:t>
      </w:r>
      <w:r w:rsidRPr="001B30C3">
        <w:rPr>
          <w:rFonts w:cs="Arial"/>
          <w:rtl/>
        </w:rPr>
        <w:t xml:space="preserve"> </w:t>
      </w:r>
      <w:r w:rsidRPr="001B30C3">
        <w:rPr>
          <w:rFonts w:cs="Arial" w:hint="cs"/>
          <w:rtl/>
        </w:rPr>
        <w:t>עיקר</w:t>
      </w:r>
      <w:r w:rsidRPr="001B30C3">
        <w:rPr>
          <w:rFonts w:cs="Arial"/>
          <w:rtl/>
        </w:rPr>
        <w:t xml:space="preserve"> </w:t>
      </w:r>
      <w:r w:rsidRPr="001B30C3">
        <w:rPr>
          <w:rFonts w:cs="Arial" w:hint="cs"/>
          <w:rtl/>
        </w:rPr>
        <w:t>דירתם</w:t>
      </w:r>
      <w:r w:rsidRPr="001B30C3">
        <w:rPr>
          <w:rFonts w:cs="Arial"/>
          <w:rtl/>
        </w:rPr>
        <w:t xml:space="preserve"> </w:t>
      </w:r>
      <w:r w:rsidRPr="001B30C3">
        <w:rPr>
          <w:rFonts w:cs="Arial" w:hint="cs"/>
          <w:rtl/>
        </w:rPr>
        <w:t>כותבין</w:t>
      </w:r>
      <w:r w:rsidRPr="001B30C3">
        <w:rPr>
          <w:rFonts w:cs="Arial"/>
          <w:rtl/>
        </w:rPr>
        <w:t xml:space="preserve"> </w:t>
      </w:r>
      <w:r w:rsidRPr="001B30C3">
        <w:rPr>
          <w:rFonts w:cs="Arial" w:hint="cs"/>
          <w:rtl/>
        </w:rPr>
        <w:t>מקום</w:t>
      </w:r>
      <w:r w:rsidRPr="001B30C3">
        <w:rPr>
          <w:rFonts w:cs="Arial"/>
          <w:rtl/>
        </w:rPr>
        <w:t xml:space="preserve"> </w:t>
      </w:r>
      <w:r w:rsidRPr="001B30C3">
        <w:rPr>
          <w:rFonts w:cs="Arial" w:hint="cs"/>
          <w:rtl/>
        </w:rPr>
        <w:t>עמידתם</w:t>
      </w:r>
      <w:r w:rsidRPr="001B30C3">
        <w:rPr>
          <w:rFonts w:cs="Arial"/>
          <w:rtl/>
        </w:rPr>
        <w:t xml:space="preserve"> </w:t>
      </w:r>
      <w:r w:rsidRPr="001B30C3">
        <w:rPr>
          <w:rFonts w:cs="Arial" w:hint="cs"/>
          <w:rtl/>
        </w:rPr>
        <w:t>בשעת</w:t>
      </w:r>
      <w:r w:rsidRPr="001B30C3">
        <w:rPr>
          <w:rFonts w:cs="Arial"/>
          <w:rtl/>
        </w:rPr>
        <w:t xml:space="preserve"> </w:t>
      </w:r>
      <w:r w:rsidRPr="001B30C3">
        <w:rPr>
          <w:rFonts w:cs="Arial" w:hint="cs"/>
          <w:rtl/>
        </w:rPr>
        <w:t>כתיבת</w:t>
      </w:r>
      <w:r w:rsidRPr="001B30C3">
        <w:rPr>
          <w:rFonts w:cs="Arial"/>
          <w:rtl/>
        </w:rPr>
        <w:t xml:space="preserve"> </w:t>
      </w:r>
      <w:r w:rsidRPr="001B30C3">
        <w:rPr>
          <w:rFonts w:cs="Arial" w:hint="cs"/>
          <w:rtl/>
        </w:rPr>
        <w:t>הגט</w:t>
      </w:r>
      <w:r w:rsidRPr="001B30C3">
        <w:rPr>
          <w:rFonts w:cs="Arial"/>
          <w:rtl/>
        </w:rPr>
        <w:t xml:space="preserve"> </w:t>
      </w:r>
      <w:r w:rsidRPr="001B30C3">
        <w:rPr>
          <w:rFonts w:cs="Arial" w:hint="cs"/>
          <w:rtl/>
        </w:rPr>
        <w:t>ואם</w:t>
      </w:r>
      <w:r w:rsidRPr="001B30C3">
        <w:rPr>
          <w:rFonts w:cs="Arial"/>
          <w:rtl/>
        </w:rPr>
        <w:t xml:space="preserve"> </w:t>
      </w:r>
      <w:r w:rsidRPr="001B30C3">
        <w:rPr>
          <w:rFonts w:cs="Arial" w:hint="cs"/>
          <w:rtl/>
        </w:rPr>
        <w:t>כותבין</w:t>
      </w:r>
      <w:r w:rsidRPr="001B30C3">
        <w:rPr>
          <w:rFonts w:cs="Arial"/>
          <w:rtl/>
        </w:rPr>
        <w:t xml:space="preserve"> </w:t>
      </w:r>
      <w:r w:rsidRPr="001B30C3">
        <w:rPr>
          <w:rFonts w:cs="Arial" w:hint="cs"/>
          <w:rtl/>
        </w:rPr>
        <w:t>גט</w:t>
      </w:r>
      <w:r w:rsidRPr="001B30C3">
        <w:rPr>
          <w:rFonts w:cs="Arial"/>
          <w:rtl/>
        </w:rPr>
        <w:t xml:space="preserve"> </w:t>
      </w:r>
      <w:r w:rsidRPr="001B30C3">
        <w:rPr>
          <w:rFonts w:cs="Arial" w:hint="cs"/>
          <w:rtl/>
        </w:rPr>
        <w:t>לאיש</w:t>
      </w:r>
      <w:r w:rsidRPr="001B30C3">
        <w:rPr>
          <w:rFonts w:cs="Arial"/>
          <w:rtl/>
        </w:rPr>
        <w:t xml:space="preserve"> </w:t>
      </w:r>
      <w:r w:rsidRPr="001B30C3">
        <w:rPr>
          <w:rFonts w:cs="Arial" w:hint="cs"/>
          <w:rtl/>
        </w:rPr>
        <w:t>לשלוח</w:t>
      </w:r>
      <w:r w:rsidRPr="001B30C3">
        <w:rPr>
          <w:rFonts w:cs="Arial"/>
          <w:rtl/>
        </w:rPr>
        <w:t xml:space="preserve"> </w:t>
      </w:r>
      <w:r w:rsidRPr="001B30C3">
        <w:rPr>
          <w:rFonts w:cs="Arial" w:hint="cs"/>
          <w:rtl/>
        </w:rPr>
        <w:t>לאשתו</w:t>
      </w:r>
      <w:r w:rsidRPr="001B30C3">
        <w:rPr>
          <w:rFonts w:cs="Arial"/>
          <w:rtl/>
        </w:rPr>
        <w:t xml:space="preserve"> </w:t>
      </w:r>
      <w:r w:rsidRPr="001B30C3">
        <w:rPr>
          <w:rFonts w:cs="Arial" w:hint="cs"/>
          <w:rtl/>
        </w:rPr>
        <w:t>שהיא</w:t>
      </w:r>
      <w:r w:rsidRPr="001B30C3">
        <w:rPr>
          <w:rFonts w:cs="Arial"/>
          <w:rtl/>
        </w:rPr>
        <w:t xml:space="preserve"> </w:t>
      </w:r>
      <w:r w:rsidRPr="001B30C3">
        <w:rPr>
          <w:rFonts w:cs="Arial" w:hint="cs"/>
          <w:rtl/>
        </w:rPr>
        <w:t>במקום</w:t>
      </w:r>
      <w:r w:rsidRPr="001B30C3">
        <w:rPr>
          <w:rFonts w:cs="Arial"/>
          <w:rtl/>
        </w:rPr>
        <w:t xml:space="preserve"> </w:t>
      </w:r>
      <w:r w:rsidRPr="001B30C3">
        <w:rPr>
          <w:rFonts w:cs="Arial" w:hint="cs"/>
          <w:rtl/>
        </w:rPr>
        <w:t>אחר</w:t>
      </w:r>
      <w:r w:rsidRPr="001B30C3">
        <w:rPr>
          <w:rFonts w:cs="Arial"/>
          <w:rtl/>
        </w:rPr>
        <w:t xml:space="preserve"> </w:t>
      </w:r>
      <w:r w:rsidRPr="001B30C3">
        <w:rPr>
          <w:rFonts w:cs="Arial" w:hint="cs"/>
          <w:rtl/>
        </w:rPr>
        <w:t>אין</w:t>
      </w:r>
      <w:r w:rsidRPr="001B30C3">
        <w:rPr>
          <w:rFonts w:cs="Arial"/>
          <w:rtl/>
        </w:rPr>
        <w:t xml:space="preserve"> </w:t>
      </w:r>
      <w:r w:rsidRPr="001B30C3">
        <w:rPr>
          <w:rFonts w:cs="Arial" w:hint="cs"/>
          <w:rtl/>
        </w:rPr>
        <w:t>כותבין</w:t>
      </w:r>
      <w:r w:rsidRPr="001B30C3">
        <w:rPr>
          <w:rFonts w:cs="Arial"/>
          <w:rtl/>
        </w:rPr>
        <w:t xml:space="preserve"> </w:t>
      </w:r>
      <w:r w:rsidRPr="001B30C3">
        <w:rPr>
          <w:rFonts w:cs="Arial" w:hint="cs"/>
          <w:rtl/>
        </w:rPr>
        <w:t>מקום</w:t>
      </w:r>
      <w:r w:rsidRPr="001B30C3">
        <w:rPr>
          <w:rFonts w:cs="Arial"/>
          <w:rtl/>
        </w:rPr>
        <w:t xml:space="preserve"> </w:t>
      </w:r>
      <w:r w:rsidRPr="001B30C3">
        <w:rPr>
          <w:rFonts w:cs="Arial" w:hint="cs"/>
          <w:rtl/>
        </w:rPr>
        <w:t>האשה</w:t>
      </w:r>
      <w:r w:rsidRPr="001B30C3">
        <w:rPr>
          <w:rFonts w:cs="Arial"/>
          <w:rtl/>
        </w:rPr>
        <w:t xml:space="preserve"> </w:t>
      </w:r>
      <w:r w:rsidRPr="001B30C3">
        <w:rPr>
          <w:rFonts w:cs="Arial" w:hint="cs"/>
          <w:rtl/>
        </w:rPr>
        <w:t>כלל</w:t>
      </w:r>
      <w:r>
        <w:rPr>
          <w:rFonts w:cs="Arial" w:hint="cs"/>
          <w:rtl/>
        </w:rPr>
        <w:t>.</w:t>
      </w:r>
    </w:p>
  </w:footnote>
  <w:footnote w:id="960">
    <w:p w14:paraId="4DE28FF5" w14:textId="77777777" w:rsidR="00FA2119" w:rsidRDefault="00FA2119" w:rsidP="00FA2119">
      <w:pPr>
        <w:pStyle w:val="a5"/>
        <w:rPr>
          <w:rtl/>
        </w:rPr>
      </w:pPr>
      <w:r>
        <w:rPr>
          <w:rStyle w:val="a7"/>
        </w:rPr>
        <w:footnoteRef/>
      </w:r>
      <w:r>
        <w:rPr>
          <w:rtl/>
        </w:rPr>
        <w:t xml:space="preserve"> </w:t>
      </w:r>
      <w:r w:rsidRPr="001B30C3">
        <w:rPr>
          <w:rFonts w:cs="Arial" w:hint="cs"/>
          <w:rtl/>
        </w:rPr>
        <w:t>וגם</w:t>
      </w:r>
      <w:r w:rsidRPr="001B30C3">
        <w:rPr>
          <w:rFonts w:cs="Arial"/>
          <w:rtl/>
        </w:rPr>
        <w:t xml:space="preserve"> </w:t>
      </w:r>
      <w:r w:rsidRPr="001B30C3">
        <w:rPr>
          <w:rFonts w:cs="Arial" w:hint="cs"/>
          <w:rtl/>
        </w:rPr>
        <w:t>ר</w:t>
      </w:r>
      <w:r>
        <w:rPr>
          <w:rFonts w:cs="Arial" w:hint="cs"/>
          <w:rtl/>
        </w:rPr>
        <w:t>י"ו</w:t>
      </w:r>
      <w:r w:rsidRPr="001B30C3">
        <w:rPr>
          <w:rFonts w:cs="Arial"/>
          <w:rtl/>
        </w:rPr>
        <w:t xml:space="preserve"> </w:t>
      </w:r>
      <w:r w:rsidRPr="001B30C3">
        <w:rPr>
          <w:rFonts w:cs="Arial" w:hint="cs"/>
          <w:rtl/>
        </w:rPr>
        <w:t>כתב</w:t>
      </w:r>
      <w:r w:rsidRPr="001B30C3">
        <w:rPr>
          <w:rFonts w:cs="Arial"/>
          <w:rtl/>
        </w:rPr>
        <w:t xml:space="preserve"> </w:t>
      </w:r>
      <w:r>
        <w:rPr>
          <w:rFonts w:cs="Arial" w:hint="cs"/>
          <w:rtl/>
        </w:rPr>
        <w:t>(</w:t>
      </w:r>
      <w:r w:rsidRPr="001B30C3">
        <w:rPr>
          <w:rFonts w:cs="Arial" w:hint="cs"/>
          <w:rtl/>
        </w:rPr>
        <w:t>ח</w:t>
      </w:r>
      <w:r>
        <w:rPr>
          <w:rFonts w:cs="Arial" w:hint="cs"/>
          <w:rtl/>
        </w:rPr>
        <w:t>"</w:t>
      </w:r>
      <w:r w:rsidRPr="001B30C3">
        <w:rPr>
          <w:rFonts w:cs="Arial" w:hint="cs"/>
          <w:rtl/>
        </w:rPr>
        <w:t>ב</w:t>
      </w:r>
      <w:r w:rsidRPr="001B30C3">
        <w:rPr>
          <w:rFonts w:cs="Arial"/>
          <w:rtl/>
        </w:rPr>
        <w:t xml:space="preserve"> </w:t>
      </w:r>
      <w:r w:rsidRPr="001B30C3">
        <w:rPr>
          <w:rFonts w:cs="Arial" w:hint="cs"/>
          <w:rtl/>
        </w:rPr>
        <w:t>נכ</w:t>
      </w:r>
      <w:r w:rsidRPr="001B30C3">
        <w:rPr>
          <w:rFonts w:cs="Arial"/>
          <w:rtl/>
        </w:rPr>
        <w:t>"</w:t>
      </w:r>
      <w:r w:rsidRPr="001B30C3">
        <w:rPr>
          <w:rFonts w:cs="Arial" w:hint="cs"/>
          <w:rtl/>
        </w:rPr>
        <w:t>ד</w:t>
      </w:r>
      <w:r w:rsidRPr="001B30C3">
        <w:rPr>
          <w:rFonts w:cs="Arial"/>
          <w:rtl/>
        </w:rPr>
        <w:t xml:space="preserve"> </w:t>
      </w:r>
      <w:r w:rsidRPr="001B30C3">
        <w:rPr>
          <w:rFonts w:cs="Arial" w:hint="cs"/>
          <w:rtl/>
        </w:rPr>
        <w:t>רה</w:t>
      </w:r>
      <w:r w:rsidRPr="001B30C3">
        <w:rPr>
          <w:rFonts w:cs="Arial"/>
          <w:rtl/>
        </w:rPr>
        <w:t xml:space="preserve"> </w:t>
      </w:r>
      <w:r w:rsidRPr="001B30C3">
        <w:rPr>
          <w:rFonts w:cs="Arial" w:hint="cs"/>
          <w:rtl/>
        </w:rPr>
        <w:t>ע</w:t>
      </w:r>
      <w:r w:rsidRPr="001B30C3">
        <w:rPr>
          <w:rFonts w:cs="Arial"/>
          <w:rtl/>
        </w:rPr>
        <w:t>"</w:t>
      </w:r>
      <w:r w:rsidRPr="001B30C3">
        <w:rPr>
          <w:rFonts w:cs="Arial" w:hint="cs"/>
          <w:rtl/>
        </w:rPr>
        <w:t>א</w:t>
      </w:r>
      <w:r w:rsidRPr="001B30C3">
        <w:rPr>
          <w:rFonts w:cs="Arial"/>
          <w:rtl/>
        </w:rPr>
        <w:t xml:space="preserve">) </w:t>
      </w:r>
      <w:r w:rsidRPr="001B30C3">
        <w:rPr>
          <w:rFonts w:cs="Arial" w:hint="cs"/>
          <w:rtl/>
        </w:rPr>
        <w:t>להכשיר</w:t>
      </w:r>
      <w:r w:rsidRPr="001B30C3">
        <w:rPr>
          <w:rFonts w:cs="Arial"/>
          <w:rtl/>
        </w:rPr>
        <w:t xml:space="preserve"> </w:t>
      </w:r>
      <w:r w:rsidRPr="001B30C3">
        <w:rPr>
          <w:rFonts w:cs="Arial" w:hint="cs"/>
          <w:rtl/>
        </w:rPr>
        <w:t>בשם</w:t>
      </w:r>
      <w:r w:rsidRPr="001B30C3">
        <w:rPr>
          <w:rFonts w:cs="Arial"/>
          <w:rtl/>
        </w:rPr>
        <w:t xml:space="preserve"> </w:t>
      </w:r>
      <w:r w:rsidRPr="001B30C3">
        <w:rPr>
          <w:rFonts w:cs="Arial" w:hint="cs"/>
          <w:rtl/>
        </w:rPr>
        <w:t>התוספות</w:t>
      </w:r>
      <w:r w:rsidRPr="001B30C3">
        <w:rPr>
          <w:rFonts w:cs="Arial"/>
          <w:rtl/>
        </w:rPr>
        <w:t xml:space="preserve"> (</w:t>
      </w:r>
      <w:r w:rsidRPr="001B30C3">
        <w:rPr>
          <w:rFonts w:cs="Arial" w:hint="cs"/>
          <w:rtl/>
        </w:rPr>
        <w:t>פ</w:t>
      </w:r>
      <w:r w:rsidRPr="001B30C3">
        <w:rPr>
          <w:rFonts w:cs="Arial"/>
          <w:rtl/>
        </w:rPr>
        <w:t xml:space="preserve">. </w:t>
      </w:r>
      <w:r w:rsidRPr="001B30C3">
        <w:rPr>
          <w:rFonts w:cs="Arial" w:hint="cs"/>
          <w:rtl/>
        </w:rPr>
        <w:t>ד</w:t>
      </w:r>
      <w:r w:rsidRPr="001B30C3">
        <w:rPr>
          <w:rFonts w:cs="Arial"/>
          <w:rtl/>
        </w:rPr>
        <w:t>"</w:t>
      </w:r>
      <w:r w:rsidRPr="001B30C3">
        <w:rPr>
          <w:rFonts w:cs="Arial" w:hint="cs"/>
          <w:rtl/>
        </w:rPr>
        <w:t>ה</w:t>
      </w:r>
      <w:r w:rsidRPr="001B30C3">
        <w:rPr>
          <w:rFonts w:cs="Arial"/>
          <w:rtl/>
        </w:rPr>
        <w:t xml:space="preserve"> </w:t>
      </w:r>
      <w:r w:rsidRPr="001B30C3">
        <w:rPr>
          <w:rFonts w:cs="Arial" w:hint="cs"/>
          <w:rtl/>
        </w:rPr>
        <w:t>ושם</w:t>
      </w:r>
      <w:r w:rsidRPr="001B30C3">
        <w:rPr>
          <w:rFonts w:cs="Arial"/>
          <w:rtl/>
        </w:rPr>
        <w:t>)</w:t>
      </w:r>
      <w:r>
        <w:rPr>
          <w:rFonts w:cs="Arial" w:hint="cs"/>
          <w:rtl/>
        </w:rPr>
        <w:t>.</w:t>
      </w:r>
      <w:r w:rsidRPr="001B30C3">
        <w:rPr>
          <w:rFonts w:cs="Arial"/>
          <w:rtl/>
        </w:rPr>
        <w:t xml:space="preserve"> </w:t>
      </w:r>
      <w:r w:rsidRPr="001B30C3">
        <w:rPr>
          <w:rFonts w:cs="Arial" w:hint="cs"/>
          <w:rtl/>
        </w:rPr>
        <w:t>וכן</w:t>
      </w:r>
      <w:r w:rsidRPr="001B30C3">
        <w:rPr>
          <w:rFonts w:cs="Arial"/>
          <w:rtl/>
        </w:rPr>
        <w:t xml:space="preserve"> </w:t>
      </w:r>
      <w:r w:rsidRPr="001B30C3">
        <w:rPr>
          <w:rFonts w:cs="Arial" w:hint="cs"/>
          <w:rtl/>
        </w:rPr>
        <w:t>נראה</w:t>
      </w:r>
      <w:r w:rsidRPr="001B30C3">
        <w:rPr>
          <w:rFonts w:cs="Arial"/>
          <w:rtl/>
        </w:rPr>
        <w:t xml:space="preserve"> </w:t>
      </w:r>
      <w:r w:rsidRPr="001B30C3">
        <w:rPr>
          <w:rFonts w:cs="Arial" w:hint="cs"/>
          <w:rtl/>
        </w:rPr>
        <w:t>שהוא</w:t>
      </w:r>
      <w:r w:rsidRPr="001B30C3">
        <w:rPr>
          <w:rFonts w:cs="Arial"/>
          <w:rtl/>
        </w:rPr>
        <w:t xml:space="preserve"> </w:t>
      </w:r>
      <w:r w:rsidRPr="001B30C3">
        <w:rPr>
          <w:rFonts w:cs="Arial" w:hint="cs"/>
          <w:rtl/>
        </w:rPr>
        <w:t>דעת</w:t>
      </w:r>
      <w:r w:rsidRPr="001B30C3">
        <w:rPr>
          <w:rFonts w:cs="Arial"/>
          <w:rtl/>
        </w:rPr>
        <w:t xml:space="preserve"> </w:t>
      </w:r>
      <w:r w:rsidRPr="001B30C3">
        <w:rPr>
          <w:rFonts w:cs="Arial" w:hint="cs"/>
          <w:rtl/>
        </w:rPr>
        <w:t>סמ</w:t>
      </w:r>
      <w:r w:rsidRPr="001B30C3">
        <w:rPr>
          <w:rFonts w:cs="Arial"/>
          <w:rtl/>
        </w:rPr>
        <w:t>"</w:t>
      </w:r>
      <w:r w:rsidRPr="001B30C3">
        <w:rPr>
          <w:rFonts w:cs="Arial" w:hint="cs"/>
          <w:rtl/>
        </w:rPr>
        <w:t>ג</w:t>
      </w:r>
      <w:r w:rsidRPr="001B30C3">
        <w:rPr>
          <w:rFonts w:cs="Arial"/>
          <w:rtl/>
        </w:rPr>
        <w:t xml:space="preserve"> (</w:t>
      </w:r>
      <w:r w:rsidRPr="001B30C3">
        <w:rPr>
          <w:rFonts w:cs="Arial" w:hint="cs"/>
          <w:rtl/>
        </w:rPr>
        <w:t>שם</w:t>
      </w:r>
      <w:r w:rsidRPr="001B30C3">
        <w:rPr>
          <w:rFonts w:cs="Arial"/>
          <w:rtl/>
        </w:rPr>
        <w:t xml:space="preserve">) </w:t>
      </w:r>
      <w:r w:rsidRPr="001B30C3">
        <w:rPr>
          <w:rFonts w:cs="Arial" w:hint="cs"/>
          <w:rtl/>
        </w:rPr>
        <w:t>שכתב</w:t>
      </w:r>
      <w:r>
        <w:rPr>
          <w:rFonts w:cs="Arial" w:hint="cs"/>
          <w:rtl/>
        </w:rPr>
        <w:t>-</w:t>
      </w:r>
      <w:r w:rsidRPr="001B30C3">
        <w:rPr>
          <w:rFonts w:cs="Arial"/>
          <w:rtl/>
        </w:rPr>
        <w:t xml:space="preserve"> </w:t>
      </w:r>
      <w:r>
        <w:rPr>
          <w:rFonts w:cs="Arial" w:hint="cs"/>
          <w:rtl/>
        </w:rPr>
        <w:t>'</w:t>
      </w:r>
      <w:r w:rsidRPr="001B30C3">
        <w:rPr>
          <w:rFonts w:cs="Arial" w:hint="cs"/>
          <w:rtl/>
        </w:rPr>
        <w:t>וכן</w:t>
      </w:r>
      <w:r w:rsidRPr="001B30C3">
        <w:rPr>
          <w:rFonts w:cs="Arial"/>
          <w:rtl/>
        </w:rPr>
        <w:t xml:space="preserve"> </w:t>
      </w:r>
      <w:r w:rsidRPr="001B30C3">
        <w:rPr>
          <w:rFonts w:cs="Arial" w:hint="cs"/>
          <w:rtl/>
        </w:rPr>
        <w:t>כתב</w:t>
      </w:r>
      <w:r w:rsidRPr="001B30C3">
        <w:rPr>
          <w:rFonts w:cs="Arial"/>
          <w:rtl/>
        </w:rPr>
        <w:t xml:space="preserve"> </w:t>
      </w:r>
      <w:r w:rsidRPr="001B30C3">
        <w:rPr>
          <w:rFonts w:cs="Arial" w:hint="cs"/>
          <w:rtl/>
        </w:rPr>
        <w:t>רבינו</w:t>
      </w:r>
      <w:r w:rsidRPr="001B30C3">
        <w:rPr>
          <w:rFonts w:cs="Arial"/>
          <w:rtl/>
        </w:rPr>
        <w:t xml:space="preserve"> </w:t>
      </w:r>
      <w:r w:rsidRPr="001B30C3">
        <w:rPr>
          <w:rFonts w:cs="Arial" w:hint="cs"/>
          <w:rtl/>
        </w:rPr>
        <w:t>יחיאל</w:t>
      </w:r>
      <w:r w:rsidRPr="001B30C3">
        <w:rPr>
          <w:rFonts w:cs="Arial"/>
          <w:rtl/>
        </w:rPr>
        <w:t xml:space="preserve"> </w:t>
      </w:r>
      <w:r w:rsidRPr="001B30C3">
        <w:rPr>
          <w:rFonts w:cs="Arial" w:hint="cs"/>
          <w:rtl/>
        </w:rPr>
        <w:t>גם</w:t>
      </w:r>
      <w:r w:rsidRPr="001B30C3">
        <w:rPr>
          <w:rFonts w:cs="Arial"/>
          <w:rtl/>
        </w:rPr>
        <w:t xml:space="preserve"> </w:t>
      </w:r>
      <w:r w:rsidRPr="001B30C3">
        <w:rPr>
          <w:rFonts w:cs="Arial" w:hint="cs"/>
          <w:rtl/>
        </w:rPr>
        <w:t>על</w:t>
      </w:r>
      <w:r w:rsidRPr="001B30C3">
        <w:rPr>
          <w:rFonts w:cs="Arial"/>
          <w:rtl/>
        </w:rPr>
        <w:t xml:space="preserve"> </w:t>
      </w:r>
      <w:r w:rsidRPr="001B30C3">
        <w:rPr>
          <w:rFonts w:cs="Arial" w:hint="cs"/>
          <w:rtl/>
        </w:rPr>
        <w:t>עיקר</w:t>
      </w:r>
      <w:r w:rsidRPr="001B30C3">
        <w:rPr>
          <w:rFonts w:cs="Arial"/>
          <w:rtl/>
        </w:rPr>
        <w:t xml:space="preserve"> </w:t>
      </w:r>
      <w:r w:rsidRPr="001B30C3">
        <w:rPr>
          <w:rFonts w:cs="Arial" w:hint="cs"/>
          <w:rtl/>
        </w:rPr>
        <w:t>הדירה</w:t>
      </w:r>
      <w:r w:rsidRPr="001B30C3">
        <w:rPr>
          <w:rFonts w:cs="Arial"/>
          <w:rtl/>
        </w:rPr>
        <w:t xml:space="preserve"> </w:t>
      </w:r>
      <w:r w:rsidRPr="001B30C3">
        <w:rPr>
          <w:rFonts w:cs="Arial" w:hint="cs"/>
          <w:rtl/>
        </w:rPr>
        <w:t>אם</w:t>
      </w:r>
      <w:r w:rsidRPr="001B30C3">
        <w:rPr>
          <w:rFonts w:cs="Arial"/>
          <w:rtl/>
        </w:rPr>
        <w:t xml:space="preserve"> </w:t>
      </w:r>
      <w:r w:rsidRPr="001B30C3">
        <w:rPr>
          <w:rFonts w:cs="Arial" w:hint="cs"/>
          <w:rtl/>
        </w:rPr>
        <w:t>אינו</w:t>
      </w:r>
      <w:r w:rsidRPr="001B30C3">
        <w:rPr>
          <w:rFonts w:cs="Arial"/>
          <w:rtl/>
        </w:rPr>
        <w:t xml:space="preserve"> </w:t>
      </w:r>
      <w:r w:rsidRPr="001B30C3">
        <w:rPr>
          <w:rFonts w:cs="Arial" w:hint="cs"/>
          <w:rtl/>
        </w:rPr>
        <w:t>ידוע</w:t>
      </w:r>
      <w:r w:rsidRPr="001B30C3">
        <w:rPr>
          <w:rFonts w:cs="Arial"/>
          <w:rtl/>
        </w:rPr>
        <w:t xml:space="preserve"> </w:t>
      </w:r>
      <w:r w:rsidRPr="001B30C3">
        <w:rPr>
          <w:rFonts w:cs="Arial" w:hint="cs"/>
          <w:rtl/>
        </w:rPr>
        <w:t>בודאי</w:t>
      </w:r>
      <w:r w:rsidRPr="001B30C3">
        <w:rPr>
          <w:rFonts w:cs="Arial"/>
          <w:rtl/>
        </w:rPr>
        <w:t xml:space="preserve"> </w:t>
      </w:r>
      <w:r w:rsidRPr="001B30C3">
        <w:rPr>
          <w:rFonts w:cs="Arial" w:hint="cs"/>
          <w:rtl/>
        </w:rPr>
        <w:t>אל</w:t>
      </w:r>
      <w:r w:rsidRPr="001B30C3">
        <w:rPr>
          <w:rFonts w:cs="Arial"/>
          <w:rtl/>
        </w:rPr>
        <w:t xml:space="preserve"> </w:t>
      </w:r>
      <w:r w:rsidRPr="001B30C3">
        <w:rPr>
          <w:rFonts w:cs="Arial" w:hint="cs"/>
          <w:rtl/>
        </w:rPr>
        <w:t>יכתבוהו</w:t>
      </w:r>
      <w:r w:rsidRPr="001B30C3">
        <w:rPr>
          <w:rFonts w:cs="Arial"/>
          <w:rtl/>
        </w:rPr>
        <w:t xml:space="preserve"> </w:t>
      </w:r>
      <w:r w:rsidRPr="001B30C3">
        <w:rPr>
          <w:rFonts w:cs="Arial" w:hint="cs"/>
          <w:rtl/>
        </w:rPr>
        <w:t>כלל</w:t>
      </w:r>
      <w:r>
        <w:rPr>
          <w:rFonts w:cs="Arial" w:hint="cs"/>
          <w:rtl/>
        </w:rPr>
        <w:t>'.</w:t>
      </w:r>
      <w:r w:rsidRPr="001B30C3">
        <w:rPr>
          <w:rFonts w:cs="Arial"/>
          <w:rtl/>
        </w:rPr>
        <w:t xml:space="preserve"> </w:t>
      </w:r>
      <w:r w:rsidRPr="001B30C3">
        <w:rPr>
          <w:rFonts w:cs="Arial" w:hint="cs"/>
          <w:rtl/>
        </w:rPr>
        <w:t>וכתבו</w:t>
      </w:r>
      <w:r w:rsidRPr="001B30C3">
        <w:rPr>
          <w:rFonts w:cs="Arial"/>
          <w:rtl/>
        </w:rPr>
        <w:t xml:space="preserve"> </w:t>
      </w:r>
      <w:r w:rsidRPr="001B30C3">
        <w:rPr>
          <w:rFonts w:cs="Arial" w:hint="cs"/>
          <w:rtl/>
        </w:rPr>
        <w:t>כן</w:t>
      </w:r>
      <w:r w:rsidRPr="001B30C3">
        <w:rPr>
          <w:rFonts w:cs="Arial"/>
          <w:rtl/>
        </w:rPr>
        <w:t xml:space="preserve"> </w:t>
      </w:r>
      <w:r w:rsidRPr="001B30C3">
        <w:rPr>
          <w:rFonts w:cs="Arial" w:hint="cs"/>
          <w:rtl/>
        </w:rPr>
        <w:t>הגה</w:t>
      </w:r>
      <w:r>
        <w:rPr>
          <w:rFonts w:cs="Arial" w:hint="cs"/>
          <w:rtl/>
        </w:rPr>
        <w:t>"מ</w:t>
      </w:r>
      <w:r w:rsidRPr="001B30C3">
        <w:rPr>
          <w:rFonts w:cs="Arial"/>
          <w:rtl/>
        </w:rPr>
        <w:t xml:space="preserve"> </w:t>
      </w:r>
      <w:r w:rsidRPr="001B30C3">
        <w:rPr>
          <w:rFonts w:cs="Arial" w:hint="cs"/>
          <w:rtl/>
        </w:rPr>
        <w:t>בפ</w:t>
      </w:r>
      <w:r>
        <w:rPr>
          <w:rFonts w:cs="Arial" w:hint="cs"/>
          <w:rtl/>
        </w:rPr>
        <w:t>"</w:t>
      </w:r>
      <w:r w:rsidRPr="001B30C3">
        <w:rPr>
          <w:rFonts w:cs="Arial" w:hint="cs"/>
          <w:rtl/>
        </w:rPr>
        <w:t>ד</w:t>
      </w:r>
      <w:r w:rsidRPr="001B30C3">
        <w:rPr>
          <w:rFonts w:cs="Arial"/>
          <w:rtl/>
        </w:rPr>
        <w:t xml:space="preserve"> </w:t>
      </w:r>
      <w:r w:rsidRPr="001B30C3">
        <w:rPr>
          <w:rFonts w:cs="Arial" w:hint="cs"/>
          <w:rtl/>
        </w:rPr>
        <w:t>מהלכות</w:t>
      </w:r>
      <w:r w:rsidRPr="001B30C3">
        <w:rPr>
          <w:rFonts w:cs="Arial"/>
          <w:rtl/>
        </w:rPr>
        <w:t xml:space="preserve"> </w:t>
      </w:r>
      <w:r w:rsidRPr="001B30C3">
        <w:rPr>
          <w:rFonts w:cs="Arial" w:hint="cs"/>
          <w:rtl/>
        </w:rPr>
        <w:t>גירושין</w:t>
      </w:r>
      <w:r w:rsidRPr="001B30C3">
        <w:rPr>
          <w:rFonts w:cs="Arial"/>
          <w:rtl/>
        </w:rPr>
        <w:t xml:space="preserve"> (</w:t>
      </w:r>
      <w:r w:rsidRPr="001B30C3">
        <w:rPr>
          <w:rFonts w:cs="Arial" w:hint="cs"/>
          <w:rtl/>
        </w:rPr>
        <w:t>אות</w:t>
      </w:r>
      <w:r w:rsidRPr="001B30C3">
        <w:rPr>
          <w:rFonts w:cs="Arial"/>
          <w:rtl/>
        </w:rPr>
        <w:t xml:space="preserve"> </w:t>
      </w:r>
      <w:r w:rsidRPr="001B30C3">
        <w:rPr>
          <w:rFonts w:cs="Arial" w:hint="cs"/>
          <w:rtl/>
        </w:rPr>
        <w:t>ז</w:t>
      </w:r>
      <w:r w:rsidRPr="001B30C3">
        <w:rPr>
          <w:rFonts w:cs="Arial"/>
          <w:rtl/>
        </w:rPr>
        <w:t>)</w:t>
      </w:r>
      <w:r>
        <w:rPr>
          <w:rFonts w:cs="Arial" w:hint="cs"/>
          <w:rtl/>
        </w:rPr>
        <w:t>.</w:t>
      </w:r>
      <w:r w:rsidRPr="001B30C3">
        <w:rPr>
          <w:rFonts w:cs="Arial"/>
          <w:rtl/>
        </w:rPr>
        <w:t xml:space="preserve"> </w:t>
      </w:r>
      <w:r w:rsidRPr="001B30C3">
        <w:rPr>
          <w:rFonts w:cs="Arial" w:hint="cs"/>
          <w:rtl/>
        </w:rPr>
        <w:t>וכן</w:t>
      </w:r>
      <w:r w:rsidRPr="001B30C3">
        <w:rPr>
          <w:rFonts w:cs="Arial"/>
          <w:rtl/>
        </w:rPr>
        <w:t xml:space="preserve"> </w:t>
      </w:r>
      <w:r w:rsidRPr="001B30C3">
        <w:rPr>
          <w:rFonts w:cs="Arial" w:hint="cs"/>
          <w:rtl/>
        </w:rPr>
        <w:t>דעת</w:t>
      </w:r>
      <w:r w:rsidRPr="001B30C3">
        <w:rPr>
          <w:rFonts w:cs="Arial"/>
          <w:rtl/>
        </w:rPr>
        <w:t xml:space="preserve"> </w:t>
      </w:r>
      <w:r w:rsidRPr="001B30C3">
        <w:rPr>
          <w:rFonts w:cs="Arial" w:hint="cs"/>
          <w:rtl/>
        </w:rPr>
        <w:t>בהעי</w:t>
      </w:r>
      <w:r>
        <w:rPr>
          <w:rFonts w:cs="Arial" w:hint="cs"/>
          <w:rtl/>
        </w:rPr>
        <w:t>"</w:t>
      </w:r>
      <w:r w:rsidRPr="001B30C3">
        <w:rPr>
          <w:rFonts w:cs="Arial" w:hint="cs"/>
          <w:rtl/>
        </w:rPr>
        <w:t>ט</w:t>
      </w:r>
      <w:r w:rsidRPr="001B30C3">
        <w:rPr>
          <w:rFonts w:cs="Arial"/>
          <w:rtl/>
        </w:rPr>
        <w:t xml:space="preserve"> (</w:t>
      </w:r>
      <w:r w:rsidRPr="001B30C3">
        <w:rPr>
          <w:rFonts w:cs="Arial" w:hint="cs"/>
          <w:rtl/>
        </w:rPr>
        <w:t>ח</w:t>
      </w:r>
      <w:r w:rsidRPr="001B30C3">
        <w:rPr>
          <w:rFonts w:cs="Arial"/>
          <w:rtl/>
        </w:rPr>
        <w:t>"</w:t>
      </w:r>
      <w:r w:rsidRPr="001B30C3">
        <w:rPr>
          <w:rFonts w:cs="Arial" w:hint="cs"/>
          <w:rtl/>
        </w:rPr>
        <w:t>א</w:t>
      </w:r>
      <w:r w:rsidRPr="001B30C3">
        <w:rPr>
          <w:rFonts w:cs="Arial"/>
          <w:rtl/>
        </w:rPr>
        <w:t xml:space="preserve"> </w:t>
      </w:r>
      <w:r w:rsidRPr="001B30C3">
        <w:rPr>
          <w:rFonts w:cs="Arial" w:hint="cs"/>
          <w:rtl/>
        </w:rPr>
        <w:t>מאמר</w:t>
      </w:r>
      <w:r w:rsidRPr="001B30C3">
        <w:rPr>
          <w:rFonts w:cs="Arial"/>
          <w:rtl/>
        </w:rPr>
        <w:t xml:space="preserve"> </w:t>
      </w:r>
      <w:r w:rsidRPr="001B30C3">
        <w:rPr>
          <w:rFonts w:cs="Arial" w:hint="cs"/>
          <w:rtl/>
        </w:rPr>
        <w:t>ששי</w:t>
      </w:r>
      <w:r w:rsidRPr="001B30C3">
        <w:rPr>
          <w:rFonts w:cs="Arial"/>
          <w:rtl/>
        </w:rPr>
        <w:t xml:space="preserve"> </w:t>
      </w:r>
      <w:r w:rsidRPr="001B30C3">
        <w:rPr>
          <w:rFonts w:cs="Arial" w:hint="cs"/>
          <w:rtl/>
        </w:rPr>
        <w:t>כה</w:t>
      </w:r>
      <w:r w:rsidRPr="001B30C3">
        <w:rPr>
          <w:rFonts w:cs="Arial"/>
          <w:rtl/>
        </w:rPr>
        <w:t xml:space="preserve"> </w:t>
      </w:r>
      <w:r w:rsidRPr="001B30C3">
        <w:rPr>
          <w:rFonts w:cs="Arial" w:hint="cs"/>
          <w:rtl/>
        </w:rPr>
        <w:t>ע</w:t>
      </w:r>
      <w:r w:rsidRPr="001B30C3">
        <w:rPr>
          <w:rFonts w:cs="Arial"/>
          <w:rtl/>
        </w:rPr>
        <w:t>"</w:t>
      </w:r>
      <w:r w:rsidRPr="001B30C3">
        <w:rPr>
          <w:rFonts w:cs="Arial" w:hint="cs"/>
          <w:rtl/>
        </w:rPr>
        <w:t>א</w:t>
      </w:r>
      <w:r w:rsidRPr="001B30C3">
        <w:rPr>
          <w:rFonts w:cs="Arial"/>
          <w:rtl/>
        </w:rPr>
        <w:t>)</w:t>
      </w:r>
      <w:r>
        <w:rPr>
          <w:rFonts w:hint="cs"/>
          <w:rtl/>
        </w:rPr>
        <w:t>, ב"י.</w:t>
      </w:r>
      <w:r w:rsidRPr="00B04144">
        <w:rPr>
          <w:rFonts w:cs="Arial" w:hint="cs"/>
          <w:rtl/>
        </w:rPr>
        <w:t xml:space="preserve"> </w:t>
      </w:r>
      <w:r w:rsidRPr="001B30C3">
        <w:rPr>
          <w:rFonts w:cs="Arial" w:hint="cs"/>
          <w:rtl/>
        </w:rPr>
        <w:t>ו</w:t>
      </w:r>
      <w:r>
        <w:rPr>
          <w:rFonts w:cs="Arial" w:hint="cs"/>
          <w:rtl/>
        </w:rPr>
        <w:t>כ"כ ה</w:t>
      </w:r>
      <w:r w:rsidRPr="001B30C3">
        <w:rPr>
          <w:rFonts w:cs="Arial" w:hint="cs"/>
          <w:rtl/>
        </w:rPr>
        <w:t>מרדכי</w:t>
      </w:r>
      <w:r w:rsidRPr="001B30C3">
        <w:rPr>
          <w:rFonts w:cs="Arial"/>
          <w:rtl/>
        </w:rPr>
        <w:t xml:space="preserve"> (</w:t>
      </w:r>
      <w:r w:rsidRPr="001B30C3">
        <w:rPr>
          <w:rFonts w:cs="Arial" w:hint="cs"/>
          <w:rtl/>
        </w:rPr>
        <w:t>סי</w:t>
      </w:r>
      <w:r w:rsidRPr="001B30C3">
        <w:rPr>
          <w:rFonts w:cs="Arial"/>
          <w:rtl/>
        </w:rPr>
        <w:t xml:space="preserve">' </w:t>
      </w:r>
      <w:r w:rsidRPr="001B30C3">
        <w:rPr>
          <w:rFonts w:cs="Arial" w:hint="cs"/>
          <w:rtl/>
        </w:rPr>
        <w:t>שסח</w:t>
      </w:r>
      <w:r w:rsidRPr="001B30C3">
        <w:rPr>
          <w:rFonts w:cs="Arial"/>
          <w:rtl/>
        </w:rPr>
        <w:t xml:space="preserve">) </w:t>
      </w:r>
      <w:r w:rsidRPr="001B30C3">
        <w:rPr>
          <w:rFonts w:cs="Arial" w:hint="cs"/>
          <w:rtl/>
        </w:rPr>
        <w:t>בשם</w:t>
      </w:r>
      <w:r w:rsidRPr="001B30C3">
        <w:rPr>
          <w:rFonts w:cs="Arial"/>
          <w:rtl/>
        </w:rPr>
        <w:t xml:space="preserve"> </w:t>
      </w:r>
      <w:r w:rsidRPr="001B30C3">
        <w:rPr>
          <w:rFonts w:cs="Arial" w:hint="cs"/>
          <w:rtl/>
        </w:rPr>
        <w:t>ר</w:t>
      </w:r>
      <w:r w:rsidRPr="001B30C3">
        <w:rPr>
          <w:rFonts w:cs="Arial"/>
          <w:rtl/>
        </w:rPr>
        <w:t>"</w:t>
      </w:r>
      <w:r w:rsidRPr="001B30C3">
        <w:rPr>
          <w:rFonts w:cs="Arial" w:hint="cs"/>
          <w:rtl/>
        </w:rPr>
        <w:t>י</w:t>
      </w:r>
      <w:r>
        <w:rPr>
          <w:rFonts w:hint="cs"/>
          <w:rtl/>
        </w:rPr>
        <w:t>.</w:t>
      </w:r>
    </w:p>
  </w:footnote>
  <w:footnote w:id="961">
    <w:p w14:paraId="07B993A8" w14:textId="77777777" w:rsidR="00FA2119" w:rsidRDefault="00FA2119" w:rsidP="00FA2119">
      <w:pPr>
        <w:pStyle w:val="a5"/>
        <w:rPr>
          <w:rtl/>
        </w:rPr>
      </w:pPr>
      <w:r>
        <w:rPr>
          <w:rStyle w:val="a7"/>
        </w:rPr>
        <w:footnoteRef/>
      </w:r>
      <w:r>
        <w:rPr>
          <w:rtl/>
        </w:rPr>
        <w:t xml:space="preserve"> </w:t>
      </w:r>
      <w:r w:rsidRPr="001B30C3">
        <w:rPr>
          <w:rFonts w:cs="Arial" w:hint="cs"/>
          <w:rtl/>
        </w:rPr>
        <w:t>ו</w:t>
      </w:r>
      <w:r>
        <w:rPr>
          <w:rFonts w:cs="Arial" w:hint="cs"/>
          <w:rtl/>
        </w:rPr>
        <w:t>כ"כ ה</w:t>
      </w:r>
      <w:r w:rsidRPr="001B30C3">
        <w:rPr>
          <w:rFonts w:cs="Arial" w:hint="cs"/>
          <w:rtl/>
        </w:rPr>
        <w:t>מרדכי</w:t>
      </w:r>
      <w:r w:rsidRPr="001B30C3">
        <w:rPr>
          <w:rFonts w:cs="Arial"/>
          <w:rtl/>
        </w:rPr>
        <w:t xml:space="preserve"> (</w:t>
      </w:r>
      <w:r w:rsidRPr="001B30C3">
        <w:rPr>
          <w:rFonts w:cs="Arial" w:hint="cs"/>
          <w:rtl/>
        </w:rPr>
        <w:t>סי</w:t>
      </w:r>
      <w:r w:rsidRPr="001B30C3">
        <w:rPr>
          <w:rFonts w:cs="Arial"/>
          <w:rtl/>
        </w:rPr>
        <w:t xml:space="preserve">' </w:t>
      </w:r>
      <w:r w:rsidRPr="001B30C3">
        <w:rPr>
          <w:rFonts w:cs="Arial" w:hint="cs"/>
          <w:rtl/>
        </w:rPr>
        <w:t>שסח</w:t>
      </w:r>
      <w:r w:rsidRPr="001B30C3">
        <w:rPr>
          <w:rFonts w:cs="Arial"/>
          <w:rtl/>
        </w:rPr>
        <w:t xml:space="preserve">) </w:t>
      </w:r>
      <w:r w:rsidRPr="001B30C3">
        <w:rPr>
          <w:rFonts w:cs="Arial" w:hint="cs"/>
          <w:rtl/>
        </w:rPr>
        <w:t>בשם</w:t>
      </w:r>
      <w:r w:rsidRPr="001B30C3">
        <w:rPr>
          <w:rFonts w:cs="Arial"/>
          <w:rtl/>
        </w:rPr>
        <w:t xml:space="preserve"> </w:t>
      </w:r>
      <w:r w:rsidRPr="001B30C3">
        <w:rPr>
          <w:rFonts w:cs="Arial" w:hint="cs"/>
          <w:rtl/>
        </w:rPr>
        <w:t>ר</w:t>
      </w:r>
      <w:r w:rsidRPr="001B30C3">
        <w:rPr>
          <w:rFonts w:cs="Arial"/>
          <w:rtl/>
        </w:rPr>
        <w:t>"</w:t>
      </w:r>
      <w:r>
        <w:rPr>
          <w:rFonts w:cs="Arial" w:hint="cs"/>
          <w:rtl/>
        </w:rPr>
        <w:t>ת.</w:t>
      </w:r>
      <w:r>
        <w:rPr>
          <w:rFonts w:hint="cs"/>
          <w:rtl/>
        </w:rPr>
        <w:t xml:space="preserve"> וכן מסקנת המרדכי שם. </w:t>
      </w:r>
    </w:p>
  </w:footnote>
  <w:footnote w:id="962">
    <w:p w14:paraId="75624BDA" w14:textId="77777777" w:rsidR="00FA2119" w:rsidRDefault="00FA2119" w:rsidP="00FA2119">
      <w:pPr>
        <w:pStyle w:val="a5"/>
      </w:pPr>
      <w:r>
        <w:rPr>
          <w:rStyle w:val="a7"/>
        </w:rPr>
        <w:footnoteRef/>
      </w:r>
      <w:r w:rsidRPr="0090777D">
        <w:rPr>
          <w:rFonts w:cs="Arial"/>
          <w:rtl/>
        </w:rPr>
        <w:t xml:space="preserve"> </w:t>
      </w:r>
      <w:r w:rsidRPr="0090777D">
        <w:rPr>
          <w:rFonts w:cs="Arial" w:hint="cs"/>
          <w:rtl/>
        </w:rPr>
        <w:t>וכן</w:t>
      </w:r>
      <w:r w:rsidRPr="0090777D">
        <w:rPr>
          <w:rFonts w:cs="Arial"/>
          <w:rtl/>
        </w:rPr>
        <w:t xml:space="preserve"> </w:t>
      </w:r>
      <w:r w:rsidRPr="0090777D">
        <w:rPr>
          <w:rFonts w:cs="Arial" w:hint="cs"/>
          <w:rtl/>
        </w:rPr>
        <w:t>נוהגין</w:t>
      </w:r>
      <w:r>
        <w:rPr>
          <w:rFonts w:cs="Arial" w:hint="cs"/>
          <w:rtl/>
        </w:rPr>
        <w:t>,</w:t>
      </w:r>
      <w:r w:rsidRPr="0090777D">
        <w:rPr>
          <w:rFonts w:cs="Arial"/>
          <w:rtl/>
        </w:rPr>
        <w:t xml:space="preserve"> </w:t>
      </w:r>
      <w:r w:rsidRPr="0090777D">
        <w:rPr>
          <w:rFonts w:cs="Arial" w:hint="cs"/>
          <w:rtl/>
        </w:rPr>
        <w:t>כמו</w:t>
      </w:r>
      <w:r w:rsidRPr="0090777D">
        <w:rPr>
          <w:rFonts w:cs="Arial"/>
          <w:rtl/>
        </w:rPr>
        <w:t xml:space="preserve"> </w:t>
      </w:r>
      <w:r w:rsidRPr="0090777D">
        <w:rPr>
          <w:rFonts w:cs="Arial" w:hint="cs"/>
          <w:rtl/>
        </w:rPr>
        <w:t>שתראה</w:t>
      </w:r>
      <w:r w:rsidRPr="0090777D">
        <w:rPr>
          <w:rFonts w:cs="Arial"/>
          <w:rtl/>
        </w:rPr>
        <w:t xml:space="preserve"> </w:t>
      </w:r>
      <w:r w:rsidRPr="0090777D">
        <w:rPr>
          <w:rFonts w:cs="Arial" w:hint="cs"/>
          <w:rtl/>
        </w:rPr>
        <w:t>בנוסח</w:t>
      </w:r>
      <w:r w:rsidRPr="0090777D">
        <w:rPr>
          <w:rFonts w:cs="Arial"/>
          <w:rtl/>
        </w:rPr>
        <w:t xml:space="preserve"> </w:t>
      </w:r>
      <w:r w:rsidRPr="0090777D">
        <w:rPr>
          <w:rFonts w:cs="Arial" w:hint="cs"/>
          <w:rtl/>
        </w:rPr>
        <w:t>הגט</w:t>
      </w:r>
      <w:r w:rsidRPr="0090777D">
        <w:rPr>
          <w:rFonts w:cs="Arial"/>
          <w:rtl/>
        </w:rPr>
        <w:t xml:space="preserve"> </w:t>
      </w:r>
      <w:r w:rsidRPr="0090777D">
        <w:rPr>
          <w:rFonts w:cs="Arial" w:hint="cs"/>
          <w:rtl/>
        </w:rPr>
        <w:t>שכתבתי</w:t>
      </w:r>
      <w:r w:rsidRPr="0090777D">
        <w:rPr>
          <w:rFonts w:cs="Arial"/>
          <w:rtl/>
        </w:rPr>
        <w:t xml:space="preserve"> </w:t>
      </w:r>
      <w:r w:rsidRPr="0090777D">
        <w:rPr>
          <w:rFonts w:cs="Arial" w:hint="cs"/>
          <w:rtl/>
        </w:rPr>
        <w:t>סימן</w:t>
      </w:r>
      <w:r w:rsidRPr="0090777D">
        <w:rPr>
          <w:rFonts w:cs="Arial"/>
          <w:rtl/>
        </w:rPr>
        <w:t xml:space="preserve"> </w:t>
      </w:r>
      <w:r w:rsidRPr="0090777D">
        <w:rPr>
          <w:rFonts w:cs="Arial" w:hint="cs"/>
          <w:rtl/>
        </w:rPr>
        <w:t>קכ</w:t>
      </w:r>
      <w:r w:rsidRPr="0090777D">
        <w:rPr>
          <w:rFonts w:cs="Arial"/>
          <w:rtl/>
        </w:rPr>
        <w:t>"</w:t>
      </w:r>
      <w:r w:rsidRPr="0090777D">
        <w:rPr>
          <w:rFonts w:cs="Arial" w:hint="cs"/>
          <w:rtl/>
        </w:rPr>
        <w:t>ו</w:t>
      </w:r>
      <w:r w:rsidRPr="0090777D">
        <w:rPr>
          <w:rFonts w:cs="Arial"/>
          <w:rtl/>
        </w:rPr>
        <w:t xml:space="preserve"> (</w:t>
      </w:r>
      <w:r w:rsidRPr="0090777D">
        <w:rPr>
          <w:rFonts w:cs="Arial" w:hint="cs"/>
          <w:rtl/>
        </w:rPr>
        <w:t>אות</w:t>
      </w:r>
      <w:r w:rsidRPr="0090777D">
        <w:rPr>
          <w:rFonts w:cs="Arial"/>
          <w:rtl/>
        </w:rPr>
        <w:t xml:space="preserve"> </w:t>
      </w:r>
      <w:r w:rsidRPr="0090777D">
        <w:rPr>
          <w:rFonts w:cs="Arial" w:hint="cs"/>
          <w:rtl/>
        </w:rPr>
        <w:t>ו</w:t>
      </w:r>
      <w:r w:rsidRPr="0090777D">
        <w:rPr>
          <w:rFonts w:cs="Arial"/>
          <w:rtl/>
        </w:rPr>
        <w:t>)</w:t>
      </w:r>
      <w:r>
        <w:rPr>
          <w:rFonts w:cs="Arial" w:hint="cs"/>
          <w:rtl/>
        </w:rPr>
        <w:t>, דרכ"מ (אות ב).</w:t>
      </w:r>
    </w:p>
  </w:footnote>
  <w:footnote w:id="963">
    <w:p w14:paraId="5704D065" w14:textId="77777777" w:rsidR="00FA2119" w:rsidRDefault="00FA2119" w:rsidP="00FA2119">
      <w:pPr>
        <w:pStyle w:val="a5"/>
        <w:rPr>
          <w:rtl/>
        </w:rPr>
      </w:pPr>
      <w:r>
        <w:rPr>
          <w:rStyle w:val="a7"/>
        </w:rPr>
        <w:footnoteRef/>
      </w:r>
      <w:r>
        <w:rPr>
          <w:rtl/>
        </w:rPr>
        <w:t xml:space="preserve"> </w:t>
      </w:r>
      <w:r w:rsidRPr="00FC0D1D">
        <w:rPr>
          <w:rFonts w:hint="cs"/>
          <w:u w:val="single"/>
          <w:rtl/>
        </w:rPr>
        <w:t>מספר תשובות בעניין שינוי שם מקום דירתם:</w:t>
      </w:r>
      <w:r>
        <w:rPr>
          <w:rFonts w:hint="cs"/>
          <w:rtl/>
        </w:rPr>
        <w:t xml:space="preserve"> </w:t>
      </w:r>
    </w:p>
    <w:p w14:paraId="6EBBA99A" w14:textId="77777777" w:rsidR="00FA2119" w:rsidRPr="00FC0D1D" w:rsidRDefault="00FA2119" w:rsidP="00FA2119">
      <w:pPr>
        <w:pStyle w:val="a5"/>
        <w:numPr>
          <w:ilvl w:val="0"/>
          <w:numId w:val="65"/>
        </w:numPr>
      </w:pPr>
      <w:r w:rsidRPr="00236E86">
        <w:rPr>
          <w:rFonts w:cs="Arial" w:hint="cs"/>
          <w:rtl/>
        </w:rPr>
        <w:t>ריב</w:t>
      </w:r>
      <w:r w:rsidRPr="00236E86">
        <w:rPr>
          <w:rFonts w:cs="Arial"/>
          <w:rtl/>
        </w:rPr>
        <w:t>"</w:t>
      </w:r>
      <w:r w:rsidRPr="00236E86">
        <w:rPr>
          <w:rFonts w:cs="Arial" w:hint="cs"/>
          <w:rtl/>
        </w:rPr>
        <w:t>ש</w:t>
      </w:r>
      <w:r w:rsidRPr="00236E86">
        <w:rPr>
          <w:rFonts w:cs="Arial"/>
          <w:rtl/>
        </w:rPr>
        <w:t xml:space="preserve"> </w:t>
      </w:r>
      <w:r w:rsidRPr="007C027B">
        <w:rPr>
          <w:rFonts w:cs="Arial" w:hint="cs"/>
          <w:sz w:val="16"/>
          <w:szCs w:val="16"/>
          <w:rtl/>
        </w:rPr>
        <w:t>(סי'</w:t>
      </w:r>
      <w:r w:rsidRPr="007C027B">
        <w:rPr>
          <w:rFonts w:cs="Arial"/>
          <w:sz w:val="16"/>
          <w:szCs w:val="16"/>
          <w:rtl/>
        </w:rPr>
        <w:t xml:space="preserve"> </w:t>
      </w:r>
      <w:r w:rsidRPr="007C027B">
        <w:rPr>
          <w:rFonts w:cs="Arial" w:hint="cs"/>
          <w:sz w:val="16"/>
          <w:szCs w:val="16"/>
          <w:rtl/>
        </w:rPr>
        <w:t>נז)</w:t>
      </w:r>
      <w:r>
        <w:rPr>
          <w:rFonts w:cs="Arial" w:hint="cs"/>
          <w:rtl/>
        </w:rPr>
        <w:t>-</w:t>
      </w:r>
      <w:r w:rsidRPr="00236E86">
        <w:rPr>
          <w:rFonts w:cs="Arial"/>
          <w:rtl/>
        </w:rPr>
        <w:t xml:space="preserve"> </w:t>
      </w:r>
      <w:r w:rsidRPr="00236E86">
        <w:rPr>
          <w:rFonts w:cs="Arial" w:hint="cs"/>
          <w:rtl/>
        </w:rPr>
        <w:t>מה</w:t>
      </w:r>
      <w:r w:rsidRPr="00236E86">
        <w:rPr>
          <w:rFonts w:cs="Arial"/>
          <w:rtl/>
        </w:rPr>
        <w:t xml:space="preserve"> </w:t>
      </w:r>
      <w:r w:rsidRPr="00236E86">
        <w:rPr>
          <w:rFonts w:cs="Arial" w:hint="cs"/>
          <w:rtl/>
        </w:rPr>
        <w:t>שכתוב</w:t>
      </w:r>
      <w:r w:rsidRPr="00236E86">
        <w:rPr>
          <w:rFonts w:cs="Arial"/>
          <w:rtl/>
        </w:rPr>
        <w:t xml:space="preserve"> </w:t>
      </w:r>
      <w:r w:rsidRPr="00236E86">
        <w:rPr>
          <w:rFonts w:cs="Arial" w:hint="cs"/>
          <w:rtl/>
        </w:rPr>
        <w:t>בגט</w:t>
      </w:r>
      <w:r w:rsidRPr="00236E86">
        <w:rPr>
          <w:rFonts w:cs="Arial"/>
          <w:rtl/>
        </w:rPr>
        <w:t xml:space="preserve"> </w:t>
      </w:r>
      <w:r w:rsidRPr="00236E86">
        <w:rPr>
          <w:rFonts w:cs="Arial" w:hint="cs"/>
          <w:rtl/>
        </w:rPr>
        <w:t>אנת</w:t>
      </w:r>
      <w:r w:rsidRPr="00236E86">
        <w:rPr>
          <w:rFonts w:cs="Arial"/>
          <w:rtl/>
        </w:rPr>
        <w:t xml:space="preserve"> </w:t>
      </w:r>
      <w:r w:rsidRPr="00236E86">
        <w:rPr>
          <w:rFonts w:cs="Arial" w:hint="cs"/>
          <w:rtl/>
        </w:rPr>
        <w:t>פלונית</w:t>
      </w:r>
      <w:r w:rsidRPr="00236E86">
        <w:rPr>
          <w:rFonts w:cs="Arial"/>
          <w:rtl/>
        </w:rPr>
        <w:t xml:space="preserve"> </w:t>
      </w:r>
      <w:r w:rsidRPr="00236E86">
        <w:rPr>
          <w:rFonts w:cs="Arial" w:hint="cs"/>
          <w:rtl/>
        </w:rPr>
        <w:t>הדרה</w:t>
      </w:r>
      <w:r w:rsidRPr="00236E86">
        <w:rPr>
          <w:rFonts w:cs="Arial"/>
          <w:rtl/>
        </w:rPr>
        <w:t xml:space="preserve"> </w:t>
      </w:r>
      <w:r w:rsidRPr="00236E86">
        <w:rPr>
          <w:rFonts w:cs="Arial" w:hint="cs"/>
          <w:rtl/>
        </w:rPr>
        <w:t>במקום</w:t>
      </w:r>
      <w:r w:rsidRPr="00236E86">
        <w:rPr>
          <w:rFonts w:cs="Arial"/>
          <w:rtl/>
        </w:rPr>
        <w:t xml:space="preserve"> </w:t>
      </w:r>
      <w:r w:rsidRPr="00236E86">
        <w:rPr>
          <w:rFonts w:cs="Arial" w:hint="cs"/>
          <w:rtl/>
        </w:rPr>
        <w:t>תלמסאן.</w:t>
      </w:r>
      <w:r w:rsidRPr="00236E86">
        <w:rPr>
          <w:rFonts w:cs="Arial"/>
          <w:rtl/>
        </w:rPr>
        <w:t xml:space="preserve"> </w:t>
      </w:r>
      <w:r w:rsidRPr="00236E86">
        <w:rPr>
          <w:rFonts w:cs="Arial" w:hint="cs"/>
          <w:rtl/>
        </w:rPr>
        <w:t>והיא</w:t>
      </w:r>
      <w:r w:rsidRPr="00236E86">
        <w:rPr>
          <w:rFonts w:cs="Arial"/>
          <w:rtl/>
        </w:rPr>
        <w:t xml:space="preserve"> </w:t>
      </w:r>
      <w:r w:rsidRPr="00236E86">
        <w:rPr>
          <w:rFonts w:cs="Arial" w:hint="cs"/>
          <w:rtl/>
        </w:rPr>
        <w:t>לא</w:t>
      </w:r>
      <w:r w:rsidRPr="00236E86">
        <w:rPr>
          <w:rFonts w:cs="Arial"/>
          <w:rtl/>
        </w:rPr>
        <w:t xml:space="preserve"> </w:t>
      </w:r>
      <w:r w:rsidRPr="00236E86">
        <w:rPr>
          <w:rFonts w:cs="Arial" w:hint="cs"/>
          <w:rtl/>
        </w:rPr>
        <w:t>היתה</w:t>
      </w:r>
      <w:r w:rsidRPr="00236E86">
        <w:rPr>
          <w:rFonts w:cs="Arial"/>
          <w:rtl/>
        </w:rPr>
        <w:t xml:space="preserve"> </w:t>
      </w:r>
      <w:r w:rsidRPr="00236E86">
        <w:rPr>
          <w:rFonts w:cs="Arial" w:hint="cs"/>
          <w:rtl/>
        </w:rPr>
        <w:t>דרה</w:t>
      </w:r>
      <w:r w:rsidRPr="00236E86">
        <w:rPr>
          <w:rFonts w:cs="Arial"/>
          <w:rtl/>
        </w:rPr>
        <w:t xml:space="preserve"> </w:t>
      </w:r>
      <w:r w:rsidRPr="00236E86">
        <w:rPr>
          <w:rFonts w:cs="Arial" w:hint="cs"/>
          <w:rtl/>
        </w:rPr>
        <w:t>שם</w:t>
      </w:r>
      <w:r w:rsidRPr="00236E86">
        <w:rPr>
          <w:rFonts w:cs="Arial"/>
          <w:rtl/>
        </w:rPr>
        <w:t xml:space="preserve"> </w:t>
      </w:r>
      <w:r w:rsidRPr="00236E86">
        <w:rPr>
          <w:rFonts w:cs="Arial" w:hint="cs"/>
          <w:rtl/>
        </w:rPr>
        <w:t>בשעת</w:t>
      </w:r>
      <w:r w:rsidRPr="00236E86">
        <w:rPr>
          <w:rFonts w:cs="Arial"/>
          <w:rtl/>
        </w:rPr>
        <w:t xml:space="preserve"> </w:t>
      </w:r>
      <w:r w:rsidRPr="00236E86">
        <w:rPr>
          <w:rFonts w:cs="Arial" w:hint="cs"/>
          <w:rtl/>
        </w:rPr>
        <w:t>כתיבת</w:t>
      </w:r>
      <w:r w:rsidRPr="00236E86">
        <w:rPr>
          <w:rFonts w:cs="Arial"/>
          <w:rtl/>
        </w:rPr>
        <w:t xml:space="preserve"> </w:t>
      </w:r>
      <w:r w:rsidRPr="00236E86">
        <w:rPr>
          <w:rFonts w:cs="Arial" w:hint="cs"/>
          <w:rtl/>
        </w:rPr>
        <w:t>הגט,</w:t>
      </w:r>
      <w:r w:rsidRPr="00236E86">
        <w:rPr>
          <w:rFonts w:cs="Arial"/>
          <w:rtl/>
        </w:rPr>
        <w:t xml:space="preserve"> </w:t>
      </w:r>
      <w:r w:rsidRPr="00236E86">
        <w:rPr>
          <w:rFonts w:cs="Arial" w:hint="cs"/>
          <w:rtl/>
        </w:rPr>
        <w:t>וגם</w:t>
      </w:r>
      <w:r w:rsidRPr="00236E86">
        <w:rPr>
          <w:rFonts w:cs="Arial"/>
          <w:rtl/>
        </w:rPr>
        <w:t xml:space="preserve"> </w:t>
      </w:r>
      <w:r w:rsidRPr="00236E86">
        <w:rPr>
          <w:rFonts w:cs="Arial" w:hint="cs"/>
          <w:rtl/>
        </w:rPr>
        <w:t>לא</w:t>
      </w:r>
      <w:r w:rsidRPr="00236E86">
        <w:rPr>
          <w:rFonts w:cs="Arial"/>
          <w:rtl/>
        </w:rPr>
        <w:t xml:space="preserve"> </w:t>
      </w:r>
      <w:r w:rsidRPr="00236E86">
        <w:rPr>
          <w:rFonts w:cs="Arial" w:hint="cs"/>
          <w:rtl/>
        </w:rPr>
        <w:t>עתה.</w:t>
      </w:r>
      <w:r w:rsidRPr="00236E86">
        <w:rPr>
          <w:rFonts w:cs="Arial"/>
          <w:rtl/>
        </w:rPr>
        <w:t xml:space="preserve"> </w:t>
      </w:r>
      <w:r w:rsidRPr="007C027B">
        <w:rPr>
          <w:rFonts w:cs="Arial"/>
          <w:rtl/>
        </w:rPr>
        <w:t xml:space="preserve">ולזה חזרתי על כל צדדי ההיתר בזה ולא מצאתי. לבד זה מצאתי </w:t>
      </w:r>
      <w:r w:rsidRPr="00236E86">
        <w:rPr>
          <w:rFonts w:cs="Arial" w:hint="cs"/>
          <w:rtl/>
        </w:rPr>
        <w:t>שנאמר</w:t>
      </w:r>
      <w:r w:rsidRPr="00236E86">
        <w:rPr>
          <w:rFonts w:cs="Arial"/>
          <w:rtl/>
        </w:rPr>
        <w:t xml:space="preserve"> </w:t>
      </w:r>
      <w:r w:rsidRPr="00236E86">
        <w:rPr>
          <w:rFonts w:cs="Arial" w:hint="cs"/>
          <w:rtl/>
        </w:rPr>
        <w:t>שהדרה</w:t>
      </w:r>
      <w:r w:rsidRPr="00236E86">
        <w:rPr>
          <w:rFonts w:cs="Arial"/>
          <w:rtl/>
        </w:rPr>
        <w:t xml:space="preserve"> </w:t>
      </w:r>
      <w:r w:rsidRPr="00236E86">
        <w:rPr>
          <w:rFonts w:cs="Arial" w:hint="cs"/>
          <w:rtl/>
        </w:rPr>
        <w:t>בתלמסאן</w:t>
      </w:r>
      <w:r w:rsidRPr="00236E86">
        <w:rPr>
          <w:rFonts w:cs="Arial"/>
          <w:rtl/>
        </w:rPr>
        <w:t xml:space="preserve"> </w:t>
      </w:r>
      <w:r w:rsidRPr="00236E86">
        <w:rPr>
          <w:rFonts w:cs="Arial" w:hint="cs"/>
          <w:rtl/>
        </w:rPr>
        <w:t>פירושו</w:t>
      </w:r>
      <w:r w:rsidRPr="00236E86">
        <w:rPr>
          <w:rFonts w:cs="Arial"/>
          <w:rtl/>
        </w:rPr>
        <w:t xml:space="preserve"> </w:t>
      </w:r>
      <w:r w:rsidRPr="00236E86">
        <w:rPr>
          <w:rFonts w:cs="Arial" w:hint="cs"/>
          <w:rtl/>
        </w:rPr>
        <w:t>שהיתה</w:t>
      </w:r>
      <w:r w:rsidRPr="00236E86">
        <w:rPr>
          <w:rFonts w:cs="Arial"/>
          <w:rtl/>
        </w:rPr>
        <w:t xml:space="preserve"> </w:t>
      </w:r>
      <w:r w:rsidRPr="00236E86">
        <w:rPr>
          <w:rFonts w:cs="Arial" w:hint="cs"/>
          <w:rtl/>
        </w:rPr>
        <w:t>דרה</w:t>
      </w:r>
      <w:r w:rsidRPr="00236E86">
        <w:rPr>
          <w:rFonts w:cs="Arial"/>
          <w:rtl/>
        </w:rPr>
        <w:t xml:space="preserve"> </w:t>
      </w:r>
      <w:r w:rsidRPr="00236E86">
        <w:rPr>
          <w:rFonts w:cs="Arial" w:hint="cs"/>
          <w:rtl/>
        </w:rPr>
        <w:t>מקדם</w:t>
      </w:r>
      <w:r>
        <w:rPr>
          <w:rFonts w:cs="Arial" w:hint="cs"/>
          <w:rtl/>
        </w:rPr>
        <w:t>,</w:t>
      </w:r>
      <w:r w:rsidRPr="00236E86">
        <w:rPr>
          <w:rFonts w:cs="Arial"/>
          <w:rtl/>
        </w:rPr>
        <w:t xml:space="preserve"> </w:t>
      </w:r>
      <w:r w:rsidRPr="00236E86">
        <w:rPr>
          <w:rFonts w:cs="Arial" w:hint="cs"/>
          <w:rtl/>
        </w:rPr>
        <w:t>ומלת</w:t>
      </w:r>
      <w:r w:rsidRPr="00236E86">
        <w:rPr>
          <w:rFonts w:cs="Arial"/>
          <w:rtl/>
        </w:rPr>
        <w:t xml:space="preserve"> </w:t>
      </w:r>
      <w:r w:rsidRPr="00236E86">
        <w:rPr>
          <w:rFonts w:cs="Arial" w:hint="cs"/>
          <w:rtl/>
        </w:rPr>
        <w:t>הדרה</w:t>
      </w:r>
      <w:r w:rsidRPr="00236E86">
        <w:rPr>
          <w:rFonts w:cs="Arial"/>
          <w:rtl/>
        </w:rPr>
        <w:t xml:space="preserve"> </w:t>
      </w:r>
      <w:r w:rsidRPr="00236E86">
        <w:rPr>
          <w:rFonts w:cs="Arial" w:hint="cs"/>
          <w:rtl/>
        </w:rPr>
        <w:t>היא</w:t>
      </w:r>
      <w:r w:rsidRPr="00236E86">
        <w:rPr>
          <w:rFonts w:cs="Arial"/>
          <w:rtl/>
        </w:rPr>
        <w:t xml:space="preserve"> </w:t>
      </w:r>
      <w:r w:rsidRPr="00236E86">
        <w:rPr>
          <w:rFonts w:cs="Arial" w:hint="cs"/>
          <w:rtl/>
        </w:rPr>
        <w:t>מלעיל</w:t>
      </w:r>
      <w:r w:rsidRPr="00236E86">
        <w:rPr>
          <w:rFonts w:cs="Arial"/>
          <w:rtl/>
        </w:rPr>
        <w:t xml:space="preserve"> </w:t>
      </w:r>
      <w:r w:rsidRPr="00236E86">
        <w:rPr>
          <w:rFonts w:cs="Arial" w:hint="cs"/>
          <w:rtl/>
        </w:rPr>
        <w:t>כלשון</w:t>
      </w:r>
      <w:r w:rsidRPr="00236E86">
        <w:rPr>
          <w:rFonts w:cs="Arial"/>
          <w:rtl/>
        </w:rPr>
        <w:t xml:space="preserve"> (</w:t>
      </w:r>
      <w:r w:rsidRPr="00236E86">
        <w:rPr>
          <w:rFonts w:cs="Arial" w:hint="cs"/>
          <w:rtl/>
        </w:rPr>
        <w:t>רות</w:t>
      </w:r>
      <w:r w:rsidRPr="00236E86">
        <w:rPr>
          <w:rFonts w:cs="Arial"/>
          <w:rtl/>
        </w:rPr>
        <w:t xml:space="preserve"> </w:t>
      </w:r>
      <w:r w:rsidRPr="00236E86">
        <w:rPr>
          <w:rFonts w:cs="Arial" w:hint="cs"/>
          <w:rtl/>
        </w:rPr>
        <w:t>ב</w:t>
      </w:r>
      <w:r w:rsidRPr="00236E86">
        <w:rPr>
          <w:rFonts w:cs="Arial"/>
          <w:rtl/>
        </w:rPr>
        <w:t xml:space="preserve"> </w:t>
      </w:r>
      <w:r w:rsidRPr="00236E86">
        <w:rPr>
          <w:rFonts w:cs="Arial" w:hint="cs"/>
          <w:rtl/>
        </w:rPr>
        <w:t>ו</w:t>
      </w:r>
      <w:r w:rsidRPr="00236E86">
        <w:rPr>
          <w:rFonts w:cs="Arial"/>
          <w:rtl/>
        </w:rPr>
        <w:t xml:space="preserve">) </w:t>
      </w:r>
      <w:r w:rsidRPr="00236E86">
        <w:rPr>
          <w:rFonts w:cs="Arial" w:hint="cs"/>
          <w:rtl/>
        </w:rPr>
        <w:t>השבה</w:t>
      </w:r>
      <w:r w:rsidRPr="00236E86">
        <w:rPr>
          <w:rFonts w:cs="Arial"/>
          <w:rtl/>
        </w:rPr>
        <w:t xml:space="preserve"> </w:t>
      </w:r>
      <w:r w:rsidRPr="00236E86">
        <w:rPr>
          <w:rFonts w:cs="Arial" w:hint="cs"/>
          <w:rtl/>
        </w:rPr>
        <w:t>עם</w:t>
      </w:r>
      <w:r w:rsidRPr="00236E86">
        <w:rPr>
          <w:rFonts w:cs="Arial"/>
          <w:rtl/>
        </w:rPr>
        <w:t xml:space="preserve"> </w:t>
      </w:r>
      <w:r w:rsidRPr="00236E86">
        <w:rPr>
          <w:rFonts w:cs="Arial" w:hint="cs"/>
          <w:rtl/>
        </w:rPr>
        <w:t>נעמי... ונשאתי</w:t>
      </w:r>
      <w:r w:rsidRPr="00236E86">
        <w:rPr>
          <w:rFonts w:cs="Arial"/>
          <w:rtl/>
        </w:rPr>
        <w:t xml:space="preserve"> </w:t>
      </w:r>
      <w:r w:rsidRPr="00236E86">
        <w:rPr>
          <w:rFonts w:cs="Arial" w:hint="cs"/>
          <w:rtl/>
        </w:rPr>
        <w:t>ונתתי</w:t>
      </w:r>
      <w:r w:rsidRPr="00236E86">
        <w:rPr>
          <w:rFonts w:cs="Arial"/>
          <w:rtl/>
        </w:rPr>
        <w:t xml:space="preserve"> </w:t>
      </w:r>
      <w:r w:rsidRPr="00236E86">
        <w:rPr>
          <w:rFonts w:cs="Arial" w:hint="cs"/>
          <w:rtl/>
        </w:rPr>
        <w:t>עם</w:t>
      </w:r>
      <w:r w:rsidRPr="00236E86">
        <w:rPr>
          <w:rFonts w:cs="Arial"/>
          <w:rtl/>
        </w:rPr>
        <w:t xml:space="preserve"> </w:t>
      </w:r>
      <w:r w:rsidRPr="00236E86">
        <w:rPr>
          <w:rFonts w:cs="Arial" w:hint="cs"/>
          <w:rtl/>
        </w:rPr>
        <w:t>חכמי</w:t>
      </w:r>
      <w:r w:rsidRPr="00236E86">
        <w:rPr>
          <w:rFonts w:cs="Arial"/>
          <w:rtl/>
        </w:rPr>
        <w:t xml:space="preserve"> </w:t>
      </w:r>
      <w:r w:rsidRPr="00236E86">
        <w:rPr>
          <w:rFonts w:cs="Arial" w:hint="cs"/>
          <w:rtl/>
        </w:rPr>
        <w:t>הדור,</w:t>
      </w:r>
      <w:r w:rsidRPr="00236E86">
        <w:rPr>
          <w:rFonts w:cs="Arial"/>
          <w:rtl/>
        </w:rPr>
        <w:t xml:space="preserve"> </w:t>
      </w:r>
      <w:r w:rsidRPr="00236E86">
        <w:rPr>
          <w:rFonts w:cs="Arial" w:hint="cs"/>
          <w:rtl/>
        </w:rPr>
        <w:t>ורבי</w:t>
      </w:r>
      <w:r w:rsidRPr="00236E86">
        <w:rPr>
          <w:rFonts w:cs="Arial"/>
          <w:rtl/>
        </w:rPr>
        <w:t xml:space="preserve"> </w:t>
      </w:r>
      <w:r w:rsidRPr="00236E86">
        <w:rPr>
          <w:rFonts w:cs="Arial" w:hint="cs"/>
          <w:rtl/>
        </w:rPr>
        <w:t>דוראן</w:t>
      </w:r>
      <w:r w:rsidRPr="00236E86">
        <w:rPr>
          <w:rFonts w:cs="Arial"/>
          <w:rtl/>
        </w:rPr>
        <w:t xml:space="preserve"> </w:t>
      </w:r>
      <w:r w:rsidRPr="00236E86">
        <w:rPr>
          <w:rFonts w:cs="Arial" w:hint="cs"/>
          <w:rtl/>
        </w:rPr>
        <w:t>נטה</w:t>
      </w:r>
      <w:r w:rsidRPr="00236E86">
        <w:rPr>
          <w:rFonts w:cs="Arial"/>
          <w:rtl/>
        </w:rPr>
        <w:t xml:space="preserve"> </w:t>
      </w:r>
      <w:r w:rsidRPr="00236E86">
        <w:rPr>
          <w:rFonts w:cs="Arial" w:hint="cs"/>
          <w:rtl/>
        </w:rPr>
        <w:t>להקל,</w:t>
      </w:r>
      <w:r w:rsidRPr="00236E86">
        <w:rPr>
          <w:rFonts w:cs="Arial"/>
          <w:rtl/>
        </w:rPr>
        <w:t xml:space="preserve"> </w:t>
      </w:r>
      <w:r w:rsidRPr="00236E86">
        <w:rPr>
          <w:rFonts w:cs="Arial" w:hint="cs"/>
          <w:rtl/>
        </w:rPr>
        <w:t>והר</w:t>
      </w:r>
      <w:r w:rsidRPr="00236E86">
        <w:rPr>
          <w:rFonts w:cs="Arial"/>
          <w:rtl/>
        </w:rPr>
        <w:t>"</w:t>
      </w:r>
      <w:r w:rsidRPr="00236E86">
        <w:rPr>
          <w:rFonts w:cs="Arial" w:hint="cs"/>
          <w:rtl/>
        </w:rPr>
        <w:t>ר</w:t>
      </w:r>
      <w:r w:rsidRPr="00236E86">
        <w:rPr>
          <w:rFonts w:cs="Arial"/>
          <w:rtl/>
        </w:rPr>
        <w:t xml:space="preserve"> </w:t>
      </w:r>
      <w:r w:rsidRPr="00236E86">
        <w:rPr>
          <w:rFonts w:cs="Arial" w:hint="cs"/>
          <w:rtl/>
        </w:rPr>
        <w:t>יצחק</w:t>
      </w:r>
      <w:r w:rsidRPr="00236E86">
        <w:rPr>
          <w:rFonts w:cs="Arial"/>
          <w:rtl/>
        </w:rPr>
        <w:t xml:space="preserve"> </w:t>
      </w:r>
      <w:r w:rsidRPr="00236E86">
        <w:rPr>
          <w:rFonts w:cs="Arial" w:hint="cs"/>
          <w:rtl/>
        </w:rPr>
        <w:t>בונשטרוק</w:t>
      </w:r>
      <w:r w:rsidRPr="00236E86">
        <w:rPr>
          <w:rFonts w:cs="Arial"/>
          <w:rtl/>
        </w:rPr>
        <w:t xml:space="preserve"> </w:t>
      </w:r>
      <w:r w:rsidRPr="00236E86">
        <w:rPr>
          <w:rFonts w:cs="Arial" w:hint="cs"/>
          <w:rtl/>
        </w:rPr>
        <w:t>היה</w:t>
      </w:r>
      <w:r w:rsidRPr="00236E86">
        <w:rPr>
          <w:rFonts w:cs="Arial"/>
          <w:rtl/>
        </w:rPr>
        <w:t xml:space="preserve"> </w:t>
      </w:r>
      <w:r w:rsidRPr="00236E86">
        <w:rPr>
          <w:rFonts w:cs="Arial" w:hint="cs"/>
          <w:rtl/>
        </w:rPr>
        <w:t>חוכך</w:t>
      </w:r>
      <w:r w:rsidRPr="00236E86">
        <w:rPr>
          <w:rFonts w:cs="Arial"/>
          <w:rtl/>
        </w:rPr>
        <w:t xml:space="preserve"> </w:t>
      </w:r>
      <w:r w:rsidRPr="00236E86">
        <w:rPr>
          <w:rFonts w:cs="Arial" w:hint="cs"/>
          <w:rtl/>
        </w:rPr>
        <w:t>להחמיר,</w:t>
      </w:r>
      <w:r w:rsidRPr="00236E86">
        <w:rPr>
          <w:rFonts w:cs="Arial"/>
          <w:rtl/>
        </w:rPr>
        <w:t xml:space="preserve"> </w:t>
      </w:r>
      <w:r w:rsidRPr="00236E86">
        <w:rPr>
          <w:rFonts w:cs="Arial" w:hint="cs"/>
          <w:rtl/>
        </w:rPr>
        <w:t>ומפני</w:t>
      </w:r>
      <w:r w:rsidRPr="00236E86">
        <w:rPr>
          <w:rFonts w:cs="Arial"/>
          <w:rtl/>
        </w:rPr>
        <w:t xml:space="preserve"> </w:t>
      </w:r>
      <w:r w:rsidRPr="00236E86">
        <w:rPr>
          <w:rFonts w:cs="Arial" w:hint="cs"/>
          <w:rtl/>
        </w:rPr>
        <w:t>החומר</w:t>
      </w:r>
      <w:r w:rsidRPr="00236E86">
        <w:rPr>
          <w:rFonts w:cs="Arial"/>
          <w:rtl/>
        </w:rPr>
        <w:t xml:space="preserve"> </w:t>
      </w:r>
      <w:r w:rsidRPr="00236E86">
        <w:rPr>
          <w:rFonts w:cs="Arial" w:hint="cs"/>
          <w:rtl/>
        </w:rPr>
        <w:t>שיש</w:t>
      </w:r>
      <w:r w:rsidRPr="00236E86">
        <w:rPr>
          <w:rFonts w:cs="Arial"/>
          <w:rtl/>
        </w:rPr>
        <w:t xml:space="preserve"> </w:t>
      </w:r>
      <w:r w:rsidRPr="00236E86">
        <w:rPr>
          <w:rFonts w:cs="Arial" w:hint="cs"/>
          <w:rtl/>
        </w:rPr>
        <w:t>בשינה</w:t>
      </w:r>
      <w:r w:rsidRPr="00236E86">
        <w:rPr>
          <w:rFonts w:cs="Arial"/>
          <w:rtl/>
        </w:rPr>
        <w:t xml:space="preserve"> </w:t>
      </w:r>
      <w:r w:rsidRPr="00236E86">
        <w:rPr>
          <w:rFonts w:cs="Arial" w:hint="cs"/>
          <w:rtl/>
        </w:rPr>
        <w:t>שמו</w:t>
      </w:r>
      <w:r w:rsidRPr="00236E86">
        <w:rPr>
          <w:rFonts w:cs="Arial"/>
          <w:rtl/>
        </w:rPr>
        <w:t xml:space="preserve"> </w:t>
      </w:r>
      <w:r w:rsidRPr="00236E86">
        <w:rPr>
          <w:rFonts w:cs="Arial" w:hint="cs"/>
          <w:rtl/>
        </w:rPr>
        <w:t>ושמה</w:t>
      </w:r>
      <w:r w:rsidRPr="00236E86">
        <w:rPr>
          <w:rFonts w:cs="Arial"/>
          <w:rtl/>
        </w:rPr>
        <w:t xml:space="preserve"> </w:t>
      </w:r>
      <w:r w:rsidRPr="00236E86">
        <w:rPr>
          <w:rFonts w:cs="Arial" w:hint="cs"/>
          <w:rtl/>
        </w:rPr>
        <w:t>וכו</w:t>
      </w:r>
      <w:r w:rsidRPr="00236E86">
        <w:rPr>
          <w:rFonts w:cs="Arial"/>
          <w:rtl/>
        </w:rPr>
        <w:t xml:space="preserve">' </w:t>
      </w:r>
      <w:r w:rsidRPr="00236E86">
        <w:rPr>
          <w:rFonts w:cs="Arial" w:hint="cs"/>
          <w:rtl/>
        </w:rPr>
        <w:t>איני</w:t>
      </w:r>
      <w:r w:rsidRPr="00236E86">
        <w:rPr>
          <w:rFonts w:cs="Arial"/>
          <w:rtl/>
        </w:rPr>
        <w:t xml:space="preserve"> </w:t>
      </w:r>
      <w:r w:rsidRPr="00236E86">
        <w:rPr>
          <w:rFonts w:cs="Arial" w:hint="cs"/>
          <w:rtl/>
        </w:rPr>
        <w:t>רוצה</w:t>
      </w:r>
      <w:r w:rsidRPr="00236E86">
        <w:rPr>
          <w:rFonts w:cs="Arial"/>
          <w:rtl/>
        </w:rPr>
        <w:t xml:space="preserve"> </w:t>
      </w:r>
      <w:r w:rsidRPr="00236E86">
        <w:rPr>
          <w:rFonts w:cs="Arial" w:hint="cs"/>
          <w:rtl/>
        </w:rPr>
        <w:t>לסמוך</w:t>
      </w:r>
      <w:r w:rsidRPr="00236E86">
        <w:rPr>
          <w:rFonts w:cs="Arial"/>
          <w:rtl/>
        </w:rPr>
        <w:t xml:space="preserve"> </w:t>
      </w:r>
      <w:r w:rsidRPr="00236E86">
        <w:rPr>
          <w:rFonts w:cs="Arial" w:hint="cs"/>
          <w:rtl/>
        </w:rPr>
        <w:t>על</w:t>
      </w:r>
      <w:r w:rsidRPr="00236E86">
        <w:rPr>
          <w:rFonts w:cs="Arial"/>
          <w:rtl/>
        </w:rPr>
        <w:t xml:space="preserve"> </w:t>
      </w:r>
      <w:r w:rsidRPr="00236E86">
        <w:rPr>
          <w:rFonts w:cs="Arial" w:hint="cs"/>
          <w:rtl/>
        </w:rPr>
        <w:t>דעתי.</w:t>
      </w:r>
      <w:r w:rsidRPr="00236E86">
        <w:rPr>
          <w:rFonts w:cs="Arial"/>
          <w:rtl/>
        </w:rPr>
        <w:t xml:space="preserve"> </w:t>
      </w:r>
      <w:r w:rsidRPr="00236E86">
        <w:rPr>
          <w:rFonts w:cs="Arial" w:hint="cs"/>
          <w:rtl/>
        </w:rPr>
        <w:t>אמנם</w:t>
      </w:r>
      <w:r w:rsidRPr="00236E86">
        <w:rPr>
          <w:rFonts w:cs="Arial"/>
          <w:rtl/>
        </w:rPr>
        <w:t xml:space="preserve"> </w:t>
      </w:r>
      <w:r w:rsidRPr="00236E86">
        <w:rPr>
          <w:rFonts w:cs="Arial" w:hint="cs"/>
          <w:rtl/>
        </w:rPr>
        <w:t>אם</w:t>
      </w:r>
      <w:r w:rsidRPr="00236E86">
        <w:rPr>
          <w:rFonts w:cs="Arial"/>
          <w:rtl/>
        </w:rPr>
        <w:t xml:space="preserve"> </w:t>
      </w:r>
      <w:r w:rsidRPr="00236E86">
        <w:rPr>
          <w:rFonts w:cs="Arial" w:hint="cs"/>
          <w:rtl/>
        </w:rPr>
        <w:t>יראה</w:t>
      </w:r>
      <w:r w:rsidRPr="00236E86">
        <w:rPr>
          <w:rFonts w:cs="Arial"/>
          <w:rtl/>
        </w:rPr>
        <w:t xml:space="preserve"> </w:t>
      </w:r>
      <w:r w:rsidRPr="00236E86">
        <w:rPr>
          <w:rFonts w:cs="Arial" w:hint="cs"/>
          <w:rtl/>
        </w:rPr>
        <w:t>בעיניך</w:t>
      </w:r>
      <w:r w:rsidRPr="00236E86">
        <w:rPr>
          <w:rFonts w:cs="Arial"/>
          <w:rtl/>
        </w:rPr>
        <w:t xml:space="preserve"> </w:t>
      </w:r>
      <w:r w:rsidRPr="00236E86">
        <w:rPr>
          <w:rFonts w:cs="Arial" w:hint="cs"/>
          <w:rtl/>
        </w:rPr>
        <w:t>עם</w:t>
      </w:r>
      <w:r w:rsidRPr="00236E86">
        <w:rPr>
          <w:rFonts w:cs="Arial"/>
          <w:rtl/>
        </w:rPr>
        <w:t xml:space="preserve"> </w:t>
      </w:r>
      <w:r w:rsidRPr="00236E86">
        <w:rPr>
          <w:rFonts w:cs="Arial" w:hint="cs"/>
          <w:rtl/>
        </w:rPr>
        <w:t>משכילי</w:t>
      </w:r>
      <w:r w:rsidRPr="00236E86">
        <w:rPr>
          <w:rFonts w:cs="Arial"/>
          <w:rtl/>
        </w:rPr>
        <w:t xml:space="preserve"> </w:t>
      </w:r>
      <w:r w:rsidRPr="00236E86">
        <w:rPr>
          <w:rFonts w:cs="Arial" w:hint="cs"/>
          <w:rtl/>
        </w:rPr>
        <w:t>עירך</w:t>
      </w:r>
      <w:r w:rsidRPr="00236E86">
        <w:rPr>
          <w:rFonts w:cs="Arial"/>
          <w:rtl/>
        </w:rPr>
        <w:t xml:space="preserve"> </w:t>
      </w:r>
      <w:r w:rsidRPr="00236E86">
        <w:rPr>
          <w:rFonts w:cs="Arial" w:hint="cs"/>
          <w:rtl/>
        </w:rPr>
        <w:t>שאפשר</w:t>
      </w:r>
      <w:r w:rsidRPr="00236E86">
        <w:rPr>
          <w:rFonts w:cs="Arial"/>
          <w:rtl/>
        </w:rPr>
        <w:t xml:space="preserve"> </w:t>
      </w:r>
      <w:r w:rsidRPr="00236E86">
        <w:rPr>
          <w:rFonts w:cs="Arial" w:hint="cs"/>
          <w:rtl/>
        </w:rPr>
        <w:t>לסמוך</w:t>
      </w:r>
      <w:r w:rsidRPr="00236E86">
        <w:rPr>
          <w:rFonts w:cs="Arial"/>
          <w:rtl/>
        </w:rPr>
        <w:t xml:space="preserve"> </w:t>
      </w:r>
      <w:r w:rsidRPr="00236E86">
        <w:rPr>
          <w:rFonts w:cs="Arial" w:hint="cs"/>
          <w:rtl/>
        </w:rPr>
        <w:t>על</w:t>
      </w:r>
      <w:r w:rsidRPr="00236E86">
        <w:rPr>
          <w:rFonts w:cs="Arial"/>
          <w:rtl/>
        </w:rPr>
        <w:t xml:space="preserve"> </w:t>
      </w:r>
      <w:r w:rsidRPr="00236E86">
        <w:rPr>
          <w:rFonts w:cs="Arial" w:hint="cs"/>
          <w:rtl/>
        </w:rPr>
        <w:t>זה</w:t>
      </w:r>
      <w:r w:rsidRPr="00236E86">
        <w:rPr>
          <w:rFonts w:cs="Arial"/>
          <w:rtl/>
        </w:rPr>
        <w:t xml:space="preserve"> </w:t>
      </w:r>
      <w:r w:rsidRPr="00236E86">
        <w:rPr>
          <w:rFonts w:cs="Arial" w:hint="cs"/>
          <w:rtl/>
        </w:rPr>
        <w:t>לחוש</w:t>
      </w:r>
      <w:r w:rsidRPr="00236E86">
        <w:rPr>
          <w:rFonts w:cs="Arial"/>
          <w:rtl/>
        </w:rPr>
        <w:t xml:space="preserve"> </w:t>
      </w:r>
      <w:r w:rsidRPr="00236E86">
        <w:rPr>
          <w:rFonts w:cs="Arial" w:hint="cs"/>
          <w:rtl/>
        </w:rPr>
        <w:t>לעיגון</w:t>
      </w:r>
      <w:r w:rsidRPr="00236E86">
        <w:rPr>
          <w:rFonts w:cs="Arial"/>
          <w:rtl/>
        </w:rPr>
        <w:t xml:space="preserve"> </w:t>
      </w:r>
      <w:r w:rsidRPr="00236E86">
        <w:rPr>
          <w:rFonts w:cs="Arial" w:hint="cs"/>
          <w:rtl/>
        </w:rPr>
        <w:t>האשה</w:t>
      </w:r>
      <w:r w:rsidRPr="00236E86">
        <w:rPr>
          <w:rFonts w:cs="Arial"/>
          <w:rtl/>
        </w:rPr>
        <w:t xml:space="preserve"> </w:t>
      </w:r>
      <w:r w:rsidRPr="00236E86">
        <w:rPr>
          <w:rFonts w:cs="Arial" w:hint="cs"/>
          <w:rtl/>
        </w:rPr>
        <w:t>עשו</w:t>
      </w:r>
      <w:r w:rsidRPr="00236E86">
        <w:rPr>
          <w:rFonts w:cs="Arial"/>
          <w:rtl/>
        </w:rPr>
        <w:t xml:space="preserve"> </w:t>
      </w:r>
      <w:r w:rsidRPr="00236E86">
        <w:rPr>
          <w:rFonts w:cs="Arial" w:hint="cs"/>
          <w:rtl/>
        </w:rPr>
        <w:t>כטוב</w:t>
      </w:r>
      <w:r w:rsidRPr="00236E86">
        <w:rPr>
          <w:rFonts w:cs="Arial"/>
          <w:rtl/>
        </w:rPr>
        <w:t xml:space="preserve"> </w:t>
      </w:r>
      <w:r w:rsidRPr="00236E86">
        <w:rPr>
          <w:rFonts w:cs="Arial" w:hint="cs"/>
          <w:rtl/>
        </w:rPr>
        <w:t>בעיניכם.</w:t>
      </w:r>
      <w:r w:rsidRPr="00236E86">
        <w:rPr>
          <w:rFonts w:cs="Arial"/>
          <w:rtl/>
        </w:rPr>
        <w:t xml:space="preserve"> </w:t>
      </w:r>
      <w:r w:rsidRPr="00236E86">
        <w:rPr>
          <w:rFonts w:cs="Arial" w:hint="cs"/>
          <w:rtl/>
        </w:rPr>
        <w:t>ואע"פ</w:t>
      </w:r>
      <w:r w:rsidRPr="00236E86">
        <w:rPr>
          <w:rFonts w:cs="Arial"/>
          <w:rtl/>
        </w:rPr>
        <w:t xml:space="preserve"> </w:t>
      </w:r>
      <w:r w:rsidRPr="00236E86">
        <w:rPr>
          <w:rFonts w:cs="Arial" w:hint="cs"/>
          <w:rtl/>
        </w:rPr>
        <w:t>שכל</w:t>
      </w:r>
      <w:r w:rsidRPr="00236E86">
        <w:rPr>
          <w:rFonts w:cs="Arial"/>
          <w:rtl/>
        </w:rPr>
        <w:t xml:space="preserve"> </w:t>
      </w:r>
      <w:r w:rsidRPr="00236E86">
        <w:rPr>
          <w:rFonts w:cs="Arial" w:hint="cs"/>
          <w:rtl/>
        </w:rPr>
        <w:t>שיש</w:t>
      </w:r>
      <w:r w:rsidRPr="00236E86">
        <w:rPr>
          <w:rFonts w:cs="Arial"/>
          <w:rtl/>
        </w:rPr>
        <w:t xml:space="preserve"> </w:t>
      </w:r>
      <w:r w:rsidRPr="00236E86">
        <w:rPr>
          <w:rFonts w:cs="Arial" w:hint="cs"/>
          <w:rtl/>
        </w:rPr>
        <w:t>בגט</w:t>
      </w:r>
      <w:r w:rsidRPr="00236E86">
        <w:rPr>
          <w:rFonts w:cs="Arial"/>
          <w:rtl/>
        </w:rPr>
        <w:t xml:space="preserve"> </w:t>
      </w:r>
      <w:r w:rsidRPr="00236E86">
        <w:rPr>
          <w:rFonts w:cs="Arial" w:hint="cs"/>
          <w:rtl/>
        </w:rPr>
        <w:t>לשונות</w:t>
      </w:r>
      <w:r w:rsidRPr="00236E86">
        <w:rPr>
          <w:rFonts w:cs="Arial"/>
          <w:rtl/>
        </w:rPr>
        <w:t xml:space="preserve"> </w:t>
      </w:r>
      <w:r w:rsidRPr="00236E86">
        <w:rPr>
          <w:rFonts w:cs="Arial" w:hint="cs"/>
          <w:rtl/>
        </w:rPr>
        <w:t>מסופקים</w:t>
      </w:r>
      <w:r w:rsidRPr="00236E86">
        <w:rPr>
          <w:rFonts w:cs="Arial"/>
          <w:rtl/>
        </w:rPr>
        <w:t xml:space="preserve"> </w:t>
      </w:r>
      <w:r w:rsidRPr="00236E86">
        <w:rPr>
          <w:rFonts w:cs="Arial" w:hint="cs"/>
          <w:rtl/>
        </w:rPr>
        <w:t>הגט</w:t>
      </w:r>
      <w:r w:rsidRPr="00236E86">
        <w:rPr>
          <w:rFonts w:cs="Arial"/>
          <w:rtl/>
        </w:rPr>
        <w:t xml:space="preserve"> </w:t>
      </w:r>
      <w:r w:rsidRPr="00236E86">
        <w:rPr>
          <w:rFonts w:cs="Arial" w:hint="cs"/>
          <w:rtl/>
        </w:rPr>
        <w:t>פסול,</w:t>
      </w:r>
      <w:r w:rsidRPr="00236E86">
        <w:rPr>
          <w:rFonts w:cs="Arial"/>
          <w:rtl/>
        </w:rPr>
        <w:t xml:space="preserve"> </w:t>
      </w:r>
      <w:r w:rsidRPr="00236E86">
        <w:rPr>
          <w:rFonts w:cs="Arial" w:hint="cs"/>
          <w:rtl/>
        </w:rPr>
        <w:t>כבר</w:t>
      </w:r>
      <w:r w:rsidRPr="00236E86">
        <w:rPr>
          <w:rFonts w:cs="Arial"/>
          <w:rtl/>
        </w:rPr>
        <w:t xml:space="preserve"> </w:t>
      </w:r>
      <w:r w:rsidRPr="00236E86">
        <w:rPr>
          <w:rFonts w:cs="Arial" w:hint="cs"/>
          <w:rtl/>
        </w:rPr>
        <w:t>כתבתי</w:t>
      </w:r>
      <w:r w:rsidRPr="00236E86">
        <w:rPr>
          <w:rFonts w:cs="Arial"/>
          <w:rtl/>
        </w:rPr>
        <w:t xml:space="preserve"> </w:t>
      </w:r>
      <w:r w:rsidRPr="00236E86">
        <w:rPr>
          <w:rFonts w:cs="Arial" w:hint="cs"/>
          <w:rtl/>
        </w:rPr>
        <w:t>שזהו</w:t>
      </w:r>
      <w:r w:rsidRPr="00236E86">
        <w:rPr>
          <w:rFonts w:cs="Arial"/>
          <w:rtl/>
        </w:rPr>
        <w:t xml:space="preserve"> </w:t>
      </w:r>
      <w:r w:rsidRPr="00236E86">
        <w:rPr>
          <w:rFonts w:cs="Arial" w:hint="cs"/>
          <w:rtl/>
        </w:rPr>
        <w:t>כשהבעל</w:t>
      </w:r>
      <w:r w:rsidRPr="00236E86">
        <w:rPr>
          <w:rFonts w:cs="Arial"/>
          <w:rtl/>
        </w:rPr>
        <w:t xml:space="preserve"> </w:t>
      </w:r>
      <w:r w:rsidRPr="00236E86">
        <w:rPr>
          <w:rFonts w:cs="Arial" w:hint="cs"/>
          <w:rtl/>
        </w:rPr>
        <w:t>מערער,</w:t>
      </w:r>
      <w:r w:rsidRPr="00236E86">
        <w:rPr>
          <w:rFonts w:cs="Arial"/>
          <w:rtl/>
        </w:rPr>
        <w:t xml:space="preserve"> </w:t>
      </w:r>
      <w:r w:rsidRPr="00236E86">
        <w:rPr>
          <w:rFonts w:cs="Arial" w:hint="cs"/>
          <w:rtl/>
        </w:rPr>
        <w:t>וגם</w:t>
      </w:r>
      <w:r w:rsidRPr="00236E86">
        <w:rPr>
          <w:rFonts w:cs="Arial"/>
          <w:rtl/>
        </w:rPr>
        <w:t xml:space="preserve"> </w:t>
      </w:r>
      <w:r w:rsidRPr="00236E86">
        <w:rPr>
          <w:rFonts w:cs="Arial" w:hint="cs"/>
          <w:rtl/>
        </w:rPr>
        <w:t>בכאן</w:t>
      </w:r>
      <w:r w:rsidRPr="00236E86">
        <w:rPr>
          <w:rFonts w:cs="Arial"/>
          <w:rtl/>
        </w:rPr>
        <w:t xml:space="preserve"> </w:t>
      </w:r>
      <w:r w:rsidRPr="00236E86">
        <w:rPr>
          <w:rFonts w:cs="Arial" w:hint="cs"/>
          <w:rtl/>
        </w:rPr>
        <w:t>אם</w:t>
      </w:r>
      <w:r w:rsidRPr="00236E86">
        <w:rPr>
          <w:rFonts w:cs="Arial"/>
          <w:rtl/>
        </w:rPr>
        <w:t xml:space="preserve"> </w:t>
      </w:r>
      <w:r w:rsidRPr="00236E86">
        <w:rPr>
          <w:rFonts w:cs="Arial" w:hint="cs"/>
          <w:rtl/>
        </w:rPr>
        <w:t>יבוא</w:t>
      </w:r>
      <w:r w:rsidRPr="00236E86">
        <w:rPr>
          <w:rFonts w:cs="Arial"/>
          <w:rtl/>
        </w:rPr>
        <w:t xml:space="preserve"> </w:t>
      </w:r>
      <w:r w:rsidRPr="00236E86">
        <w:rPr>
          <w:rFonts w:cs="Arial" w:hint="cs"/>
          <w:rtl/>
        </w:rPr>
        <w:t>הבעל</w:t>
      </w:r>
      <w:r w:rsidRPr="00236E86">
        <w:rPr>
          <w:rFonts w:cs="Arial"/>
          <w:rtl/>
        </w:rPr>
        <w:t xml:space="preserve"> </w:t>
      </w:r>
      <w:r w:rsidRPr="00236E86">
        <w:rPr>
          <w:rFonts w:cs="Arial" w:hint="cs"/>
          <w:rtl/>
        </w:rPr>
        <w:t>ויערער</w:t>
      </w:r>
      <w:r w:rsidRPr="00236E86">
        <w:rPr>
          <w:rFonts w:cs="Arial"/>
          <w:rtl/>
        </w:rPr>
        <w:t xml:space="preserve"> </w:t>
      </w:r>
      <w:r w:rsidRPr="00236E86">
        <w:rPr>
          <w:rFonts w:cs="Arial" w:hint="cs"/>
          <w:rtl/>
        </w:rPr>
        <w:t>לומר</w:t>
      </w:r>
      <w:r w:rsidRPr="00236E86">
        <w:rPr>
          <w:rFonts w:cs="Arial"/>
          <w:rtl/>
        </w:rPr>
        <w:t xml:space="preserve"> </w:t>
      </w:r>
      <w:r w:rsidRPr="00236E86">
        <w:rPr>
          <w:rFonts w:cs="Arial" w:hint="cs"/>
          <w:rtl/>
        </w:rPr>
        <w:t>שלשינוי</w:t>
      </w:r>
      <w:r w:rsidRPr="00236E86">
        <w:rPr>
          <w:rFonts w:cs="Arial"/>
          <w:rtl/>
        </w:rPr>
        <w:t xml:space="preserve"> </w:t>
      </w:r>
      <w:r w:rsidRPr="00236E86">
        <w:rPr>
          <w:rFonts w:cs="Arial" w:hint="cs"/>
          <w:rtl/>
        </w:rPr>
        <w:t>שם</w:t>
      </w:r>
      <w:r w:rsidRPr="00236E86">
        <w:rPr>
          <w:rFonts w:cs="Arial"/>
          <w:rtl/>
        </w:rPr>
        <w:t xml:space="preserve"> </w:t>
      </w:r>
      <w:r w:rsidRPr="00236E86">
        <w:rPr>
          <w:rFonts w:cs="Arial" w:hint="cs"/>
          <w:rtl/>
        </w:rPr>
        <w:t>עירה</w:t>
      </w:r>
      <w:r w:rsidRPr="00236E86">
        <w:rPr>
          <w:rFonts w:cs="Arial"/>
          <w:rtl/>
        </w:rPr>
        <w:t xml:space="preserve"> </w:t>
      </w:r>
      <w:r w:rsidRPr="00236E86">
        <w:rPr>
          <w:rFonts w:cs="Arial" w:hint="cs"/>
          <w:rtl/>
        </w:rPr>
        <w:t>נתכוין -</w:t>
      </w:r>
      <w:r w:rsidRPr="00236E86">
        <w:rPr>
          <w:rFonts w:cs="Arial"/>
          <w:rtl/>
        </w:rPr>
        <w:t xml:space="preserve"> </w:t>
      </w:r>
      <w:r w:rsidRPr="00236E86">
        <w:rPr>
          <w:rFonts w:cs="Arial" w:hint="cs"/>
          <w:rtl/>
        </w:rPr>
        <w:t>תצא.</w:t>
      </w:r>
      <w:r w:rsidRPr="00236E86">
        <w:rPr>
          <w:rFonts w:cs="Arial"/>
          <w:rtl/>
        </w:rPr>
        <w:t xml:space="preserve"> </w:t>
      </w:r>
      <w:r w:rsidRPr="00236E86">
        <w:rPr>
          <w:rFonts w:cs="Arial" w:hint="cs"/>
          <w:rtl/>
        </w:rPr>
        <w:t>אבל</w:t>
      </w:r>
      <w:r w:rsidRPr="00236E86">
        <w:rPr>
          <w:rFonts w:cs="Arial"/>
          <w:rtl/>
        </w:rPr>
        <w:t xml:space="preserve"> </w:t>
      </w:r>
      <w:r w:rsidRPr="00236E86">
        <w:rPr>
          <w:rFonts w:cs="Arial" w:hint="cs"/>
          <w:rtl/>
        </w:rPr>
        <w:t>מ</w:t>
      </w:r>
      <w:r w:rsidRPr="00236E86">
        <w:rPr>
          <w:rFonts w:cs="Arial"/>
          <w:rtl/>
        </w:rPr>
        <w:t>"</w:t>
      </w:r>
      <w:r w:rsidRPr="00236E86">
        <w:rPr>
          <w:rFonts w:cs="Arial" w:hint="cs"/>
          <w:rtl/>
        </w:rPr>
        <w:t>מ</w:t>
      </w:r>
      <w:r w:rsidRPr="00236E86">
        <w:rPr>
          <w:rFonts w:cs="Arial"/>
          <w:rtl/>
        </w:rPr>
        <w:t xml:space="preserve"> </w:t>
      </w:r>
      <w:r w:rsidRPr="00236E86">
        <w:rPr>
          <w:rFonts w:cs="Arial" w:hint="cs"/>
          <w:rtl/>
        </w:rPr>
        <w:t>אין</w:t>
      </w:r>
      <w:r w:rsidRPr="00236E86">
        <w:rPr>
          <w:rFonts w:cs="Arial"/>
          <w:rtl/>
        </w:rPr>
        <w:t xml:space="preserve"> </w:t>
      </w:r>
      <w:r w:rsidRPr="00236E86">
        <w:rPr>
          <w:rFonts w:cs="Arial" w:hint="cs"/>
          <w:rtl/>
        </w:rPr>
        <w:t>מונעין</w:t>
      </w:r>
      <w:r w:rsidRPr="00236E86">
        <w:rPr>
          <w:rFonts w:cs="Arial"/>
          <w:rtl/>
        </w:rPr>
        <w:t xml:space="preserve"> </w:t>
      </w:r>
      <w:r w:rsidRPr="00236E86">
        <w:rPr>
          <w:rFonts w:cs="Arial" w:hint="cs"/>
          <w:rtl/>
        </w:rPr>
        <w:t>אותה</w:t>
      </w:r>
      <w:r w:rsidRPr="00236E86">
        <w:rPr>
          <w:rFonts w:cs="Arial"/>
          <w:rtl/>
        </w:rPr>
        <w:t xml:space="preserve"> </w:t>
      </w:r>
      <w:r w:rsidRPr="00236E86">
        <w:rPr>
          <w:rFonts w:cs="Arial" w:hint="cs"/>
          <w:rtl/>
        </w:rPr>
        <w:t>מלהנשא</w:t>
      </w:r>
      <w:r w:rsidRPr="00236E86">
        <w:rPr>
          <w:rFonts w:cs="Arial"/>
          <w:rtl/>
        </w:rPr>
        <w:t xml:space="preserve"> </w:t>
      </w:r>
      <w:r w:rsidRPr="00236E86">
        <w:rPr>
          <w:rFonts w:cs="Arial" w:hint="cs"/>
          <w:rtl/>
        </w:rPr>
        <w:t>והיא</w:t>
      </w:r>
      <w:r w:rsidRPr="00236E86">
        <w:rPr>
          <w:rFonts w:cs="Arial"/>
          <w:rtl/>
        </w:rPr>
        <w:t xml:space="preserve"> </w:t>
      </w:r>
      <w:r w:rsidRPr="00236E86">
        <w:rPr>
          <w:rFonts w:cs="Arial" w:hint="cs"/>
          <w:rtl/>
        </w:rPr>
        <w:t>תחוש</w:t>
      </w:r>
      <w:r w:rsidRPr="00236E86">
        <w:rPr>
          <w:rFonts w:cs="Arial"/>
          <w:rtl/>
        </w:rPr>
        <w:t xml:space="preserve"> </w:t>
      </w:r>
      <w:r w:rsidRPr="00236E86">
        <w:rPr>
          <w:rFonts w:cs="Arial" w:hint="cs"/>
          <w:rtl/>
        </w:rPr>
        <w:t>לעצמה,</w:t>
      </w:r>
      <w:r w:rsidRPr="00236E86">
        <w:rPr>
          <w:rFonts w:cs="Arial"/>
          <w:rtl/>
        </w:rPr>
        <w:t xml:space="preserve"> </w:t>
      </w:r>
      <w:r w:rsidRPr="00236E86">
        <w:rPr>
          <w:rFonts w:cs="Arial" w:hint="cs"/>
          <w:rtl/>
        </w:rPr>
        <w:t>דומיא</w:t>
      </w:r>
      <w:r w:rsidRPr="00236E86">
        <w:rPr>
          <w:rFonts w:cs="Arial"/>
          <w:rtl/>
        </w:rPr>
        <w:t xml:space="preserve"> </w:t>
      </w:r>
      <w:r w:rsidRPr="00236E86">
        <w:rPr>
          <w:rFonts w:cs="Arial" w:hint="cs"/>
          <w:rtl/>
        </w:rPr>
        <w:t>דהמביא</w:t>
      </w:r>
      <w:r w:rsidRPr="00236E86">
        <w:rPr>
          <w:rFonts w:cs="Arial"/>
          <w:rtl/>
        </w:rPr>
        <w:t xml:space="preserve"> </w:t>
      </w:r>
      <w:r w:rsidRPr="00236E86">
        <w:rPr>
          <w:rFonts w:cs="Arial" w:hint="cs"/>
          <w:rtl/>
        </w:rPr>
        <w:t>גט</w:t>
      </w:r>
      <w:r w:rsidRPr="00236E86">
        <w:rPr>
          <w:rFonts w:cs="Arial"/>
          <w:rtl/>
        </w:rPr>
        <w:t xml:space="preserve"> </w:t>
      </w:r>
      <w:r w:rsidRPr="00236E86">
        <w:rPr>
          <w:rFonts w:cs="Arial" w:hint="cs"/>
          <w:rtl/>
        </w:rPr>
        <w:t>בארץ</w:t>
      </w:r>
      <w:r w:rsidRPr="00236E86">
        <w:rPr>
          <w:rFonts w:cs="Arial"/>
          <w:rtl/>
        </w:rPr>
        <w:t xml:space="preserve"> </w:t>
      </w:r>
      <w:r w:rsidRPr="00236E86">
        <w:rPr>
          <w:rFonts w:cs="Arial" w:hint="cs"/>
          <w:rtl/>
        </w:rPr>
        <w:t>ישראל</w:t>
      </w:r>
      <w:r>
        <w:rPr>
          <w:rFonts w:cs="Arial" w:hint="cs"/>
          <w:rtl/>
        </w:rPr>
        <w:t>...</w:t>
      </w:r>
      <w:r w:rsidRPr="0090777D">
        <w:rPr>
          <w:rFonts w:cs="Arial"/>
          <w:rtl/>
        </w:rPr>
        <w:t xml:space="preserve"> </w:t>
      </w:r>
      <w:r>
        <w:rPr>
          <w:rFonts w:cs="Arial" w:hint="cs"/>
          <w:rtl/>
        </w:rPr>
        <w:t>ו</w:t>
      </w:r>
      <w:r w:rsidRPr="0090777D">
        <w:rPr>
          <w:rFonts w:cs="Arial" w:hint="cs"/>
          <w:rtl/>
        </w:rPr>
        <w:t>אם</w:t>
      </w:r>
      <w:r w:rsidRPr="0090777D">
        <w:rPr>
          <w:rFonts w:cs="Arial"/>
          <w:rtl/>
        </w:rPr>
        <w:t xml:space="preserve"> </w:t>
      </w:r>
      <w:r w:rsidRPr="0090777D">
        <w:rPr>
          <w:rFonts w:cs="Arial" w:hint="cs"/>
          <w:rtl/>
        </w:rPr>
        <w:t>היתה</w:t>
      </w:r>
      <w:r w:rsidRPr="0090777D">
        <w:rPr>
          <w:rFonts w:cs="Arial"/>
          <w:rtl/>
        </w:rPr>
        <w:t xml:space="preserve"> </w:t>
      </w:r>
      <w:r w:rsidRPr="0090777D">
        <w:rPr>
          <w:rFonts w:cs="Arial" w:hint="cs"/>
          <w:rtl/>
        </w:rPr>
        <w:t>דרה</w:t>
      </w:r>
      <w:r w:rsidRPr="0090777D">
        <w:rPr>
          <w:rFonts w:cs="Arial"/>
          <w:rtl/>
        </w:rPr>
        <w:t xml:space="preserve"> </w:t>
      </w:r>
      <w:r w:rsidRPr="0090777D">
        <w:rPr>
          <w:rFonts w:cs="Arial" w:hint="cs"/>
          <w:rtl/>
        </w:rPr>
        <w:t>שם</w:t>
      </w:r>
      <w:r w:rsidRPr="0090777D">
        <w:rPr>
          <w:rFonts w:cs="Arial"/>
          <w:rtl/>
        </w:rPr>
        <w:t xml:space="preserve"> </w:t>
      </w:r>
      <w:r w:rsidRPr="0090777D">
        <w:rPr>
          <w:rFonts w:cs="Arial" w:hint="cs"/>
          <w:rtl/>
        </w:rPr>
        <w:t>בשעת</w:t>
      </w:r>
      <w:r w:rsidRPr="0090777D">
        <w:rPr>
          <w:rFonts w:cs="Arial"/>
          <w:rtl/>
        </w:rPr>
        <w:t xml:space="preserve"> </w:t>
      </w:r>
      <w:r w:rsidRPr="0090777D">
        <w:rPr>
          <w:rFonts w:cs="Arial" w:hint="cs"/>
          <w:rtl/>
        </w:rPr>
        <w:t>כתיבה</w:t>
      </w:r>
      <w:r w:rsidRPr="0090777D">
        <w:rPr>
          <w:rFonts w:cs="Arial"/>
          <w:rtl/>
        </w:rPr>
        <w:t xml:space="preserve"> </w:t>
      </w:r>
      <w:r w:rsidRPr="0090777D">
        <w:rPr>
          <w:rFonts w:cs="Arial" w:hint="cs"/>
          <w:rtl/>
        </w:rPr>
        <w:t>אע</w:t>
      </w:r>
      <w:r>
        <w:rPr>
          <w:rFonts w:cs="Arial" w:hint="cs"/>
          <w:rtl/>
        </w:rPr>
        <w:t>"</w:t>
      </w:r>
      <w:r w:rsidRPr="0090777D">
        <w:rPr>
          <w:rFonts w:cs="Arial" w:hint="cs"/>
          <w:rtl/>
        </w:rPr>
        <w:t>ג</w:t>
      </w:r>
      <w:r w:rsidRPr="0090777D">
        <w:rPr>
          <w:rFonts w:cs="Arial"/>
          <w:rtl/>
        </w:rPr>
        <w:t xml:space="preserve"> </w:t>
      </w:r>
      <w:r w:rsidRPr="0090777D">
        <w:rPr>
          <w:rFonts w:cs="Arial" w:hint="cs"/>
          <w:rtl/>
        </w:rPr>
        <w:t>דבשעת</w:t>
      </w:r>
      <w:r w:rsidRPr="0090777D">
        <w:rPr>
          <w:rFonts w:cs="Arial"/>
          <w:rtl/>
        </w:rPr>
        <w:t xml:space="preserve"> </w:t>
      </w:r>
      <w:r w:rsidRPr="0090777D">
        <w:rPr>
          <w:rFonts w:cs="Arial" w:hint="cs"/>
          <w:rtl/>
        </w:rPr>
        <w:t>נתינה</w:t>
      </w:r>
      <w:r w:rsidRPr="0090777D">
        <w:rPr>
          <w:rFonts w:cs="Arial"/>
          <w:rtl/>
        </w:rPr>
        <w:t xml:space="preserve"> </w:t>
      </w:r>
      <w:r w:rsidRPr="0090777D">
        <w:rPr>
          <w:rFonts w:cs="Arial" w:hint="cs"/>
          <w:rtl/>
        </w:rPr>
        <w:t>אינה</w:t>
      </w:r>
      <w:r w:rsidRPr="0090777D">
        <w:rPr>
          <w:rFonts w:cs="Arial"/>
          <w:rtl/>
        </w:rPr>
        <w:t xml:space="preserve"> </w:t>
      </w:r>
      <w:r w:rsidRPr="0090777D">
        <w:rPr>
          <w:rFonts w:cs="Arial" w:hint="cs"/>
          <w:rtl/>
        </w:rPr>
        <w:t>דרה</w:t>
      </w:r>
      <w:r w:rsidRPr="0090777D">
        <w:rPr>
          <w:rFonts w:cs="Arial"/>
          <w:rtl/>
        </w:rPr>
        <w:t xml:space="preserve"> </w:t>
      </w:r>
      <w:r w:rsidRPr="0090777D">
        <w:rPr>
          <w:rFonts w:cs="Arial" w:hint="cs"/>
          <w:rtl/>
        </w:rPr>
        <w:t>שם</w:t>
      </w:r>
      <w:r w:rsidRPr="0090777D">
        <w:rPr>
          <w:rFonts w:cs="Arial"/>
          <w:rtl/>
        </w:rPr>
        <w:t xml:space="preserve"> </w:t>
      </w:r>
      <w:r w:rsidRPr="0090777D">
        <w:rPr>
          <w:rFonts w:cs="Arial" w:hint="cs"/>
          <w:rtl/>
        </w:rPr>
        <w:t>יש</w:t>
      </w:r>
      <w:r w:rsidRPr="0090777D">
        <w:rPr>
          <w:rFonts w:cs="Arial"/>
          <w:rtl/>
        </w:rPr>
        <w:t xml:space="preserve"> </w:t>
      </w:r>
      <w:r w:rsidRPr="0090777D">
        <w:rPr>
          <w:rFonts w:cs="Arial" w:hint="cs"/>
          <w:rtl/>
        </w:rPr>
        <w:t>להכשירו</w:t>
      </w:r>
      <w:r w:rsidRPr="0090777D">
        <w:rPr>
          <w:rFonts w:cs="Arial"/>
          <w:rtl/>
        </w:rPr>
        <w:t xml:space="preserve">. </w:t>
      </w:r>
    </w:p>
    <w:p w14:paraId="30665CE7" w14:textId="5B2BA847" w:rsidR="00FA2119" w:rsidRPr="00FC0D1D" w:rsidRDefault="00FA2119" w:rsidP="00FA2119">
      <w:pPr>
        <w:pStyle w:val="a5"/>
        <w:numPr>
          <w:ilvl w:val="0"/>
          <w:numId w:val="65"/>
        </w:numPr>
      </w:pPr>
      <w:r>
        <w:rPr>
          <w:rFonts w:cs="Arial" w:hint="cs"/>
          <w:rtl/>
        </w:rPr>
        <w:t xml:space="preserve">רשב"ץ </w:t>
      </w:r>
      <w:r>
        <w:rPr>
          <w:rFonts w:cs="Arial" w:hint="cs"/>
          <w:sz w:val="16"/>
          <w:szCs w:val="16"/>
          <w:rtl/>
        </w:rPr>
        <w:t>(כ"כ הב"י בשמו)</w:t>
      </w:r>
      <w:r>
        <w:rPr>
          <w:rFonts w:cs="Arial" w:hint="cs"/>
          <w:rtl/>
        </w:rPr>
        <w:t>-</w:t>
      </w:r>
      <w:r w:rsidRPr="00236E86">
        <w:rPr>
          <w:rFonts w:cs="Arial"/>
          <w:rtl/>
        </w:rPr>
        <w:t xml:space="preserve"> </w:t>
      </w:r>
      <w:r w:rsidRPr="00236E86">
        <w:rPr>
          <w:rFonts w:cs="Arial" w:hint="cs"/>
          <w:rtl/>
        </w:rPr>
        <w:t>אם</w:t>
      </w:r>
      <w:r w:rsidRPr="00236E86">
        <w:rPr>
          <w:rFonts w:cs="Arial"/>
          <w:rtl/>
        </w:rPr>
        <w:t xml:space="preserve"> </w:t>
      </w:r>
      <w:r w:rsidRPr="00236E86">
        <w:rPr>
          <w:rFonts w:cs="Arial" w:hint="cs"/>
          <w:rtl/>
        </w:rPr>
        <w:t>כתב</w:t>
      </w:r>
      <w:r w:rsidRPr="00236E86">
        <w:rPr>
          <w:rFonts w:cs="Arial"/>
          <w:rtl/>
        </w:rPr>
        <w:t xml:space="preserve"> </w:t>
      </w:r>
      <w:r w:rsidRPr="00236E86">
        <w:rPr>
          <w:rFonts w:cs="Arial" w:hint="cs"/>
          <w:rtl/>
        </w:rPr>
        <w:t>שם</w:t>
      </w:r>
      <w:r w:rsidRPr="00236E86">
        <w:rPr>
          <w:rFonts w:cs="Arial"/>
          <w:rtl/>
        </w:rPr>
        <w:t xml:space="preserve"> </w:t>
      </w:r>
      <w:r w:rsidRPr="00236E86">
        <w:rPr>
          <w:rFonts w:cs="Arial" w:hint="cs"/>
          <w:rtl/>
        </w:rPr>
        <w:t>עירו</w:t>
      </w:r>
      <w:r w:rsidRPr="00236E86">
        <w:rPr>
          <w:rFonts w:cs="Arial"/>
          <w:rtl/>
        </w:rPr>
        <w:t xml:space="preserve"> </w:t>
      </w:r>
      <w:r w:rsidRPr="00236E86">
        <w:rPr>
          <w:rFonts w:cs="Arial" w:hint="cs"/>
          <w:rtl/>
        </w:rPr>
        <w:t>ועירה</w:t>
      </w:r>
      <w:r w:rsidRPr="00236E86">
        <w:rPr>
          <w:rFonts w:cs="Arial"/>
          <w:rtl/>
        </w:rPr>
        <w:t xml:space="preserve"> </w:t>
      </w:r>
      <w:r w:rsidRPr="00236E86">
        <w:rPr>
          <w:rFonts w:cs="Arial" w:hint="cs"/>
          <w:rtl/>
        </w:rPr>
        <w:t>בבלבול</w:t>
      </w:r>
      <w:r w:rsidRPr="00236E86">
        <w:rPr>
          <w:rFonts w:cs="Arial"/>
          <w:rtl/>
        </w:rPr>
        <w:t xml:space="preserve"> </w:t>
      </w:r>
      <w:r w:rsidRPr="00236E86">
        <w:rPr>
          <w:rFonts w:cs="Arial" w:hint="cs"/>
          <w:rtl/>
        </w:rPr>
        <w:t>כגון</w:t>
      </w:r>
      <w:r w:rsidRPr="00236E86">
        <w:rPr>
          <w:rFonts w:cs="Arial"/>
          <w:rtl/>
        </w:rPr>
        <w:t xml:space="preserve"> </w:t>
      </w:r>
      <w:r w:rsidRPr="00236E86">
        <w:rPr>
          <w:rFonts w:cs="Arial" w:hint="cs"/>
          <w:rtl/>
        </w:rPr>
        <w:t>שבמקום</w:t>
      </w:r>
      <w:r w:rsidRPr="00236E86">
        <w:rPr>
          <w:rFonts w:cs="Arial"/>
          <w:rtl/>
        </w:rPr>
        <w:t xml:space="preserve"> </w:t>
      </w:r>
      <w:r w:rsidRPr="00236E86">
        <w:rPr>
          <w:rFonts w:cs="Arial" w:hint="cs"/>
          <w:rtl/>
        </w:rPr>
        <w:t>תונ</w:t>
      </w:r>
      <w:r w:rsidRPr="00236E86">
        <w:rPr>
          <w:rFonts w:cs="Arial"/>
          <w:rtl/>
        </w:rPr>
        <w:t>"</w:t>
      </w:r>
      <w:r w:rsidRPr="00236E86">
        <w:rPr>
          <w:rFonts w:cs="Arial" w:hint="cs"/>
          <w:rtl/>
        </w:rPr>
        <w:t>ס</w:t>
      </w:r>
      <w:r w:rsidRPr="00236E86">
        <w:rPr>
          <w:rFonts w:cs="Arial"/>
          <w:rtl/>
        </w:rPr>
        <w:t xml:space="preserve"> </w:t>
      </w:r>
      <w:r w:rsidRPr="00236E86">
        <w:rPr>
          <w:rFonts w:cs="Arial" w:hint="cs"/>
          <w:rtl/>
        </w:rPr>
        <w:t>כתב</w:t>
      </w:r>
      <w:r w:rsidRPr="00236E86">
        <w:rPr>
          <w:rFonts w:cs="Arial"/>
          <w:rtl/>
        </w:rPr>
        <w:t xml:space="preserve"> </w:t>
      </w:r>
      <w:r w:rsidRPr="00236E86">
        <w:rPr>
          <w:rFonts w:cs="Arial" w:hint="cs"/>
          <w:rtl/>
        </w:rPr>
        <w:t>תנ</w:t>
      </w:r>
      <w:r w:rsidRPr="00236E86">
        <w:rPr>
          <w:rFonts w:cs="Arial"/>
          <w:rtl/>
        </w:rPr>
        <w:t>"</w:t>
      </w:r>
      <w:r w:rsidRPr="00236E86">
        <w:rPr>
          <w:rFonts w:cs="Arial" w:hint="cs"/>
          <w:rtl/>
        </w:rPr>
        <w:t>ס</w:t>
      </w:r>
      <w:r w:rsidRPr="00236E86">
        <w:rPr>
          <w:rFonts w:cs="Arial"/>
          <w:rtl/>
        </w:rPr>
        <w:t xml:space="preserve"> </w:t>
      </w:r>
      <w:r w:rsidR="00A42812">
        <w:rPr>
          <w:rFonts w:cs="Arial"/>
          <w:rtl/>
        </w:rPr>
        <w:t>-</w:t>
      </w:r>
      <w:r>
        <w:rPr>
          <w:rFonts w:cs="Arial" w:hint="cs"/>
          <w:rtl/>
        </w:rPr>
        <w:t xml:space="preserve"> </w:t>
      </w:r>
      <w:r w:rsidRPr="00236E86">
        <w:rPr>
          <w:rFonts w:cs="Arial" w:hint="cs"/>
          <w:rtl/>
        </w:rPr>
        <w:t>פסול</w:t>
      </w:r>
      <w:r>
        <w:rPr>
          <w:rFonts w:cs="Arial" w:hint="cs"/>
          <w:rtl/>
        </w:rPr>
        <w:t>.</w:t>
      </w:r>
      <w:r w:rsidRPr="00236E86">
        <w:rPr>
          <w:rFonts w:cs="Arial"/>
          <w:rtl/>
        </w:rPr>
        <w:t xml:space="preserve"> </w:t>
      </w:r>
      <w:r w:rsidRPr="00236E86">
        <w:rPr>
          <w:rFonts w:cs="Arial" w:hint="cs"/>
          <w:rtl/>
        </w:rPr>
        <w:t>ואם</w:t>
      </w:r>
      <w:r w:rsidRPr="00236E86">
        <w:rPr>
          <w:rFonts w:cs="Arial"/>
          <w:rtl/>
        </w:rPr>
        <w:t xml:space="preserve"> </w:t>
      </w:r>
      <w:r w:rsidRPr="00236E86">
        <w:rPr>
          <w:rFonts w:cs="Arial" w:hint="cs"/>
          <w:rtl/>
        </w:rPr>
        <w:t>אינו</w:t>
      </w:r>
      <w:r w:rsidRPr="00236E86">
        <w:rPr>
          <w:rFonts w:cs="Arial"/>
          <w:rtl/>
        </w:rPr>
        <w:t xml:space="preserve"> </w:t>
      </w:r>
      <w:r w:rsidRPr="00236E86">
        <w:rPr>
          <w:rFonts w:cs="Arial" w:hint="cs"/>
          <w:rtl/>
        </w:rPr>
        <w:t>נקרא</w:t>
      </w:r>
      <w:r w:rsidRPr="00236E86">
        <w:rPr>
          <w:rFonts w:cs="Arial"/>
          <w:rtl/>
        </w:rPr>
        <w:t xml:space="preserve"> </w:t>
      </w:r>
      <w:r w:rsidRPr="00236E86">
        <w:rPr>
          <w:rFonts w:cs="Arial" w:hint="cs"/>
          <w:rtl/>
        </w:rPr>
        <w:t>יפה</w:t>
      </w:r>
      <w:r w:rsidRPr="00236E86">
        <w:rPr>
          <w:rFonts w:cs="Arial"/>
          <w:rtl/>
        </w:rPr>
        <w:t xml:space="preserve"> </w:t>
      </w:r>
      <w:r>
        <w:rPr>
          <w:rFonts w:cs="Arial" w:hint="cs"/>
          <w:rtl/>
        </w:rPr>
        <w:t xml:space="preserve">- </w:t>
      </w:r>
      <w:r w:rsidRPr="00236E86">
        <w:rPr>
          <w:rFonts w:cs="Arial" w:hint="cs"/>
          <w:rtl/>
        </w:rPr>
        <w:t>הרי</w:t>
      </w:r>
      <w:r w:rsidRPr="00236E86">
        <w:rPr>
          <w:rFonts w:cs="Arial"/>
          <w:rtl/>
        </w:rPr>
        <w:t xml:space="preserve"> </w:t>
      </w:r>
      <w:r w:rsidRPr="00236E86">
        <w:rPr>
          <w:rFonts w:cs="Arial" w:hint="cs"/>
          <w:rtl/>
        </w:rPr>
        <w:t>הוא</w:t>
      </w:r>
      <w:r w:rsidRPr="00236E86">
        <w:rPr>
          <w:rFonts w:cs="Arial"/>
          <w:rtl/>
        </w:rPr>
        <w:t xml:space="preserve"> </w:t>
      </w:r>
      <w:r w:rsidRPr="00236E86">
        <w:rPr>
          <w:rFonts w:cs="Arial" w:hint="cs"/>
          <w:rtl/>
        </w:rPr>
        <w:t>כמי</w:t>
      </w:r>
      <w:r w:rsidRPr="00236E86">
        <w:rPr>
          <w:rFonts w:cs="Arial"/>
          <w:rtl/>
        </w:rPr>
        <w:t xml:space="preserve"> </w:t>
      </w:r>
      <w:r w:rsidRPr="00236E86">
        <w:rPr>
          <w:rFonts w:cs="Arial" w:hint="cs"/>
          <w:rtl/>
        </w:rPr>
        <w:t>שאינו</w:t>
      </w:r>
      <w:r w:rsidRPr="00236E86">
        <w:rPr>
          <w:rFonts w:cs="Arial"/>
          <w:rtl/>
        </w:rPr>
        <w:t>.</w:t>
      </w:r>
    </w:p>
    <w:p w14:paraId="6206C961" w14:textId="77777777" w:rsidR="00FA2119" w:rsidRDefault="00FA2119" w:rsidP="00FA2119">
      <w:pPr>
        <w:pStyle w:val="a5"/>
        <w:numPr>
          <w:ilvl w:val="0"/>
          <w:numId w:val="65"/>
        </w:numPr>
        <w:rPr>
          <w:rtl/>
        </w:rPr>
      </w:pPr>
      <w:r w:rsidRPr="0090777D">
        <w:rPr>
          <w:rFonts w:cs="Arial" w:hint="cs"/>
          <w:rtl/>
        </w:rPr>
        <w:t>מרדכי</w:t>
      </w:r>
      <w:r w:rsidRPr="0090777D">
        <w:rPr>
          <w:rFonts w:cs="Arial"/>
          <w:rtl/>
        </w:rPr>
        <w:t xml:space="preserve"> </w:t>
      </w:r>
      <w:r w:rsidRPr="00FC0D1D">
        <w:rPr>
          <w:rFonts w:cs="Arial"/>
          <w:sz w:val="16"/>
          <w:szCs w:val="16"/>
          <w:rtl/>
        </w:rPr>
        <w:t>(</w:t>
      </w:r>
      <w:r w:rsidRPr="00FC0D1D">
        <w:rPr>
          <w:rFonts w:cs="Arial" w:hint="cs"/>
          <w:sz w:val="16"/>
          <w:szCs w:val="16"/>
          <w:rtl/>
        </w:rPr>
        <w:t>סי</w:t>
      </w:r>
      <w:r w:rsidRPr="00FC0D1D">
        <w:rPr>
          <w:rFonts w:cs="Arial"/>
          <w:sz w:val="16"/>
          <w:szCs w:val="16"/>
          <w:rtl/>
        </w:rPr>
        <w:t xml:space="preserve">' </w:t>
      </w:r>
      <w:r w:rsidRPr="00FC0D1D">
        <w:rPr>
          <w:rFonts w:cs="Arial" w:hint="cs"/>
          <w:sz w:val="16"/>
          <w:szCs w:val="16"/>
          <w:rtl/>
        </w:rPr>
        <w:t>תמו, הביאו הדרכ"מ אות ד</w:t>
      </w:r>
      <w:r w:rsidRPr="00FC0D1D">
        <w:rPr>
          <w:rFonts w:cs="Arial"/>
          <w:sz w:val="16"/>
          <w:szCs w:val="16"/>
          <w:rtl/>
        </w:rPr>
        <w:t>)</w:t>
      </w:r>
      <w:r>
        <w:rPr>
          <w:rFonts w:cs="Arial" w:hint="cs"/>
          <w:rtl/>
        </w:rPr>
        <w:t>-</w:t>
      </w:r>
      <w:r w:rsidRPr="0090777D">
        <w:rPr>
          <w:rFonts w:cs="Arial"/>
          <w:rtl/>
        </w:rPr>
        <w:t xml:space="preserve"> </w:t>
      </w:r>
      <w:r w:rsidRPr="0090777D">
        <w:rPr>
          <w:rFonts w:cs="Arial" w:hint="cs"/>
          <w:rtl/>
        </w:rPr>
        <w:t>גט</w:t>
      </w:r>
      <w:r w:rsidRPr="0090777D">
        <w:rPr>
          <w:rFonts w:cs="Arial"/>
          <w:rtl/>
        </w:rPr>
        <w:t xml:space="preserve"> </w:t>
      </w:r>
      <w:r w:rsidRPr="0090777D">
        <w:rPr>
          <w:rFonts w:cs="Arial" w:hint="cs"/>
          <w:rtl/>
        </w:rPr>
        <w:t>שבא</w:t>
      </w:r>
      <w:r w:rsidRPr="0090777D">
        <w:rPr>
          <w:rFonts w:cs="Arial"/>
          <w:rtl/>
        </w:rPr>
        <w:t xml:space="preserve"> </w:t>
      </w:r>
      <w:r w:rsidRPr="0090777D">
        <w:rPr>
          <w:rFonts w:cs="Arial" w:hint="cs"/>
          <w:rtl/>
        </w:rPr>
        <w:t>מארץ</w:t>
      </w:r>
      <w:r w:rsidRPr="0090777D">
        <w:rPr>
          <w:rFonts w:cs="Arial"/>
          <w:rtl/>
        </w:rPr>
        <w:t xml:space="preserve"> </w:t>
      </w:r>
      <w:r w:rsidRPr="0090777D">
        <w:rPr>
          <w:rFonts w:cs="Arial" w:hint="cs"/>
          <w:rtl/>
        </w:rPr>
        <w:t>הגר</w:t>
      </w:r>
      <w:r w:rsidRPr="0090777D">
        <w:rPr>
          <w:rFonts w:cs="Arial"/>
          <w:rtl/>
        </w:rPr>
        <w:t xml:space="preserve"> </w:t>
      </w:r>
      <w:r w:rsidRPr="0090777D">
        <w:rPr>
          <w:rFonts w:cs="Arial" w:hint="cs"/>
          <w:rtl/>
        </w:rPr>
        <w:t>והיה</w:t>
      </w:r>
      <w:r w:rsidRPr="0090777D">
        <w:rPr>
          <w:rFonts w:cs="Arial"/>
          <w:rtl/>
        </w:rPr>
        <w:t xml:space="preserve"> </w:t>
      </w:r>
      <w:r w:rsidRPr="0090777D">
        <w:rPr>
          <w:rFonts w:cs="Arial" w:hint="cs"/>
          <w:rtl/>
        </w:rPr>
        <w:t>נקרא</w:t>
      </w:r>
      <w:r w:rsidRPr="0090777D">
        <w:rPr>
          <w:rFonts w:cs="Arial"/>
          <w:rtl/>
        </w:rPr>
        <w:t xml:space="preserve"> </w:t>
      </w:r>
      <w:r w:rsidRPr="0090777D">
        <w:rPr>
          <w:rFonts w:cs="Arial" w:hint="cs"/>
          <w:rtl/>
        </w:rPr>
        <w:t>שם</w:t>
      </w:r>
      <w:r w:rsidRPr="0090777D">
        <w:rPr>
          <w:rFonts w:cs="Arial"/>
          <w:rtl/>
        </w:rPr>
        <w:t xml:space="preserve"> </w:t>
      </w:r>
      <w:r w:rsidRPr="0090777D">
        <w:rPr>
          <w:rFonts w:cs="Arial" w:hint="cs"/>
          <w:rtl/>
        </w:rPr>
        <w:t>העיר</w:t>
      </w:r>
      <w:r w:rsidRPr="0090777D">
        <w:rPr>
          <w:rFonts w:cs="Arial"/>
          <w:rtl/>
        </w:rPr>
        <w:t xml:space="preserve"> </w:t>
      </w:r>
      <w:r w:rsidRPr="0090777D">
        <w:rPr>
          <w:rFonts w:cs="Arial" w:hint="cs"/>
          <w:rtl/>
        </w:rPr>
        <w:t>בורדיי</w:t>
      </w:r>
      <w:r w:rsidRPr="0090777D">
        <w:rPr>
          <w:rFonts w:cs="Arial"/>
          <w:rtl/>
        </w:rPr>
        <w:t>"</w:t>
      </w:r>
      <w:r w:rsidRPr="0090777D">
        <w:rPr>
          <w:rFonts w:cs="Arial" w:hint="cs"/>
          <w:rtl/>
        </w:rPr>
        <w:t>ש</w:t>
      </w:r>
      <w:r w:rsidRPr="0090777D">
        <w:rPr>
          <w:rFonts w:cs="Arial"/>
          <w:rtl/>
        </w:rPr>
        <w:t xml:space="preserve"> </w:t>
      </w:r>
      <w:r w:rsidRPr="0090777D">
        <w:rPr>
          <w:rFonts w:cs="Arial" w:hint="cs"/>
          <w:rtl/>
        </w:rPr>
        <w:t>ואנו</w:t>
      </w:r>
      <w:r w:rsidRPr="0090777D">
        <w:rPr>
          <w:rFonts w:cs="Arial"/>
          <w:rtl/>
        </w:rPr>
        <w:t xml:space="preserve"> </w:t>
      </w:r>
      <w:r w:rsidRPr="0090777D">
        <w:rPr>
          <w:rFonts w:cs="Arial" w:hint="cs"/>
          <w:rtl/>
        </w:rPr>
        <w:t>קורין</w:t>
      </w:r>
      <w:r w:rsidRPr="0090777D">
        <w:rPr>
          <w:rFonts w:cs="Arial"/>
          <w:rtl/>
        </w:rPr>
        <w:t xml:space="preserve"> </w:t>
      </w:r>
      <w:r w:rsidRPr="0090777D">
        <w:rPr>
          <w:rFonts w:cs="Arial" w:hint="cs"/>
          <w:rtl/>
        </w:rPr>
        <w:t>בוריי</w:t>
      </w:r>
      <w:r w:rsidRPr="0090777D">
        <w:rPr>
          <w:rFonts w:cs="Arial"/>
          <w:rtl/>
        </w:rPr>
        <w:t>"</w:t>
      </w:r>
      <w:r w:rsidRPr="0090777D">
        <w:rPr>
          <w:rFonts w:cs="Arial" w:hint="cs"/>
          <w:rtl/>
        </w:rPr>
        <w:t>ש</w:t>
      </w:r>
      <w:r w:rsidRPr="0090777D">
        <w:rPr>
          <w:rFonts w:cs="Arial"/>
          <w:rtl/>
        </w:rPr>
        <w:t xml:space="preserve"> </w:t>
      </w:r>
      <w:r w:rsidRPr="0090777D">
        <w:rPr>
          <w:rFonts w:cs="Arial" w:hint="cs"/>
          <w:rtl/>
        </w:rPr>
        <w:t>נראה</w:t>
      </w:r>
      <w:r w:rsidRPr="0090777D">
        <w:rPr>
          <w:rFonts w:cs="Arial"/>
          <w:rtl/>
        </w:rPr>
        <w:t xml:space="preserve"> </w:t>
      </w:r>
      <w:r w:rsidRPr="0090777D">
        <w:rPr>
          <w:rFonts w:cs="Arial" w:hint="cs"/>
          <w:rtl/>
        </w:rPr>
        <w:t>כיון</w:t>
      </w:r>
      <w:r w:rsidRPr="0090777D">
        <w:rPr>
          <w:rFonts w:cs="Arial"/>
          <w:rtl/>
        </w:rPr>
        <w:t xml:space="preserve"> </w:t>
      </w:r>
      <w:r w:rsidRPr="0090777D">
        <w:rPr>
          <w:rFonts w:cs="Arial" w:hint="cs"/>
          <w:rtl/>
        </w:rPr>
        <w:t>דניכר</w:t>
      </w:r>
      <w:r w:rsidRPr="0090777D">
        <w:rPr>
          <w:rFonts w:cs="Arial"/>
          <w:rtl/>
        </w:rPr>
        <w:t xml:space="preserve"> </w:t>
      </w:r>
      <w:r w:rsidRPr="0090777D">
        <w:rPr>
          <w:rFonts w:cs="Arial" w:hint="cs"/>
          <w:rtl/>
        </w:rPr>
        <w:t>דמארץ</w:t>
      </w:r>
      <w:r w:rsidRPr="0090777D">
        <w:rPr>
          <w:rFonts w:cs="Arial"/>
          <w:rtl/>
        </w:rPr>
        <w:t xml:space="preserve"> </w:t>
      </w:r>
      <w:r w:rsidRPr="0090777D">
        <w:rPr>
          <w:rFonts w:cs="Arial" w:hint="cs"/>
          <w:rtl/>
        </w:rPr>
        <w:t>הגר</w:t>
      </w:r>
      <w:r w:rsidRPr="0090777D">
        <w:rPr>
          <w:rFonts w:cs="Arial"/>
          <w:rtl/>
        </w:rPr>
        <w:t xml:space="preserve"> </w:t>
      </w:r>
      <w:r w:rsidRPr="0090777D">
        <w:rPr>
          <w:rFonts w:cs="Arial" w:hint="cs"/>
          <w:rtl/>
        </w:rPr>
        <w:t>בא</w:t>
      </w:r>
      <w:r w:rsidRPr="0090777D">
        <w:rPr>
          <w:rFonts w:cs="Arial"/>
          <w:rtl/>
        </w:rPr>
        <w:t xml:space="preserve"> </w:t>
      </w:r>
      <w:r w:rsidRPr="0090777D">
        <w:rPr>
          <w:rFonts w:cs="Arial" w:hint="cs"/>
          <w:rtl/>
        </w:rPr>
        <w:t>ודרך</w:t>
      </w:r>
      <w:r w:rsidRPr="0090777D">
        <w:rPr>
          <w:rFonts w:cs="Arial"/>
          <w:rtl/>
        </w:rPr>
        <w:t xml:space="preserve"> </w:t>
      </w:r>
      <w:r w:rsidRPr="0090777D">
        <w:rPr>
          <w:rFonts w:cs="Arial" w:hint="cs"/>
          <w:rtl/>
        </w:rPr>
        <w:t>לשונם</w:t>
      </w:r>
      <w:r w:rsidRPr="0090777D">
        <w:rPr>
          <w:rFonts w:cs="Arial"/>
          <w:rtl/>
        </w:rPr>
        <w:t xml:space="preserve"> </w:t>
      </w:r>
      <w:r w:rsidRPr="0090777D">
        <w:rPr>
          <w:rFonts w:cs="Arial" w:hint="cs"/>
          <w:rtl/>
        </w:rPr>
        <w:t>לדבר</w:t>
      </w:r>
      <w:r w:rsidRPr="0090777D">
        <w:rPr>
          <w:rFonts w:cs="Arial"/>
          <w:rtl/>
        </w:rPr>
        <w:t xml:space="preserve"> </w:t>
      </w:r>
      <w:r w:rsidRPr="0090777D">
        <w:rPr>
          <w:rFonts w:cs="Arial" w:hint="cs"/>
          <w:rtl/>
        </w:rPr>
        <w:t>בלשון</w:t>
      </w:r>
      <w:r w:rsidRPr="0090777D">
        <w:rPr>
          <w:rFonts w:cs="Arial"/>
          <w:rtl/>
        </w:rPr>
        <w:t xml:space="preserve"> </w:t>
      </w:r>
      <w:r w:rsidRPr="0090777D">
        <w:rPr>
          <w:rFonts w:cs="Arial" w:hint="cs"/>
          <w:rtl/>
        </w:rPr>
        <w:t>קלילא</w:t>
      </w:r>
      <w:r w:rsidRPr="0090777D">
        <w:rPr>
          <w:rFonts w:cs="Arial"/>
          <w:rtl/>
        </w:rPr>
        <w:t xml:space="preserve"> </w:t>
      </w:r>
      <w:r w:rsidRPr="0090777D">
        <w:rPr>
          <w:rFonts w:cs="Arial" w:hint="cs"/>
          <w:rtl/>
        </w:rPr>
        <w:t>אין</w:t>
      </w:r>
      <w:r w:rsidRPr="0090777D">
        <w:rPr>
          <w:rFonts w:cs="Arial"/>
          <w:rtl/>
        </w:rPr>
        <w:t xml:space="preserve"> </w:t>
      </w:r>
      <w:r w:rsidRPr="0090777D">
        <w:rPr>
          <w:rFonts w:cs="Arial" w:hint="cs"/>
          <w:rtl/>
        </w:rPr>
        <w:t>להקפיד</w:t>
      </w:r>
      <w:r>
        <w:rPr>
          <w:rFonts w:hint="cs"/>
          <w:rtl/>
        </w:rPr>
        <w:t>.</w:t>
      </w:r>
    </w:p>
  </w:footnote>
  <w:footnote w:id="964">
    <w:p w14:paraId="396888AC" w14:textId="77777777" w:rsidR="00FA2119" w:rsidRDefault="00FA2119" w:rsidP="00FA2119">
      <w:pPr>
        <w:pStyle w:val="a5"/>
        <w:rPr>
          <w:rtl/>
        </w:rPr>
      </w:pPr>
      <w:r>
        <w:rPr>
          <w:rStyle w:val="a7"/>
        </w:rPr>
        <w:footnoteRef/>
      </w:r>
      <w:r>
        <w:rPr>
          <w:rtl/>
        </w:rPr>
        <w:t xml:space="preserve"> </w:t>
      </w:r>
      <w:r>
        <w:rPr>
          <w:rFonts w:cs="Arial" w:hint="cs"/>
          <w:rtl/>
        </w:rPr>
        <w:t xml:space="preserve">כדאיתא בגמרא </w:t>
      </w:r>
      <w:r>
        <w:rPr>
          <w:rFonts w:cs="Arial" w:hint="cs"/>
          <w:b/>
          <w:bCs/>
          <w:rtl/>
        </w:rPr>
        <w:t>בבא בתרא</w:t>
      </w:r>
      <w:r>
        <w:rPr>
          <w:rFonts w:cs="Arial"/>
          <w:b/>
          <w:bCs/>
          <w:rtl/>
        </w:rPr>
        <w:t xml:space="preserve"> </w:t>
      </w:r>
      <w:r>
        <w:rPr>
          <w:rFonts w:cs="Arial"/>
          <w:b/>
          <w:bCs/>
          <w:szCs w:val="16"/>
          <w:rtl/>
        </w:rPr>
        <w:t>(פ</w:t>
      </w:r>
      <w:r>
        <w:rPr>
          <w:rFonts w:cs="Arial" w:hint="cs"/>
          <w:b/>
          <w:bCs/>
          <w:szCs w:val="16"/>
          <w:rtl/>
        </w:rPr>
        <w:t>"ק</w:t>
      </w:r>
      <w:r>
        <w:rPr>
          <w:rFonts w:cs="Arial"/>
          <w:b/>
          <w:bCs/>
          <w:szCs w:val="16"/>
          <w:rtl/>
        </w:rPr>
        <w:t xml:space="preserve">) </w:t>
      </w:r>
      <w:r>
        <w:rPr>
          <w:rFonts w:cs="Arial" w:hint="cs"/>
          <w:b/>
          <w:bCs/>
          <w:rtl/>
        </w:rPr>
        <w:t>ז</w:t>
      </w:r>
      <w:r>
        <w:rPr>
          <w:rFonts w:cs="Arial"/>
          <w:b/>
          <w:bCs/>
          <w:rtl/>
        </w:rPr>
        <w:t xml:space="preserve"> ע"</w:t>
      </w:r>
      <w:r>
        <w:rPr>
          <w:rFonts w:cs="Arial" w:hint="cs"/>
          <w:b/>
          <w:bCs/>
          <w:rtl/>
        </w:rPr>
        <w:t>ב</w:t>
      </w:r>
      <w:r>
        <w:rPr>
          <w:rFonts w:cs="Arial"/>
          <w:b/>
          <w:bCs/>
          <w:rtl/>
        </w:rPr>
        <w:t>:</w:t>
      </w:r>
      <w:r w:rsidRPr="00137DED">
        <w:rPr>
          <w:rtl/>
        </w:rPr>
        <w:t xml:space="preserve"> </w:t>
      </w:r>
      <w:r w:rsidRPr="00137DED">
        <w:rPr>
          <w:rFonts w:cs="Arial" w:hint="cs"/>
          <w:u w:val="double"/>
          <w:rtl/>
        </w:rPr>
        <w:t>מתני'</w:t>
      </w:r>
      <w:r>
        <w:rPr>
          <w:rFonts w:cs="Arial" w:hint="cs"/>
          <w:rtl/>
        </w:rPr>
        <w:t xml:space="preserve">:... </w:t>
      </w:r>
      <w:r w:rsidRPr="00137DED">
        <w:rPr>
          <w:rFonts w:cs="Arial"/>
          <w:rtl/>
        </w:rPr>
        <w:t>כמה יהא בעיר ויהא כאנשי העיר? י"ב חדש. קנה בה בית דירה - הרי הוא כאנשי העיר מיד.</w:t>
      </w:r>
    </w:p>
  </w:footnote>
  <w:footnote w:id="965">
    <w:p w14:paraId="7A5000AD" w14:textId="39E47721" w:rsidR="00FA2119" w:rsidRDefault="00FA2119" w:rsidP="00FA2119">
      <w:pPr>
        <w:pStyle w:val="a5"/>
      </w:pPr>
      <w:r>
        <w:rPr>
          <w:rStyle w:val="a7"/>
        </w:rPr>
        <w:footnoteRef/>
      </w:r>
      <w:r>
        <w:rPr>
          <w:rtl/>
        </w:rPr>
        <w:t xml:space="preserve"> </w:t>
      </w:r>
      <w:r>
        <w:rPr>
          <w:rFonts w:cs="Arial" w:hint="cs"/>
          <w:rtl/>
        </w:rPr>
        <w:t>ולא</w:t>
      </w:r>
      <w:r>
        <w:rPr>
          <w:rFonts w:cs="Arial"/>
          <w:rtl/>
        </w:rPr>
        <w:t xml:space="preserve"> </w:t>
      </w:r>
      <w:r>
        <w:rPr>
          <w:rFonts w:cs="Arial" w:hint="cs"/>
          <w:rtl/>
        </w:rPr>
        <w:t>ידענא</w:t>
      </w:r>
      <w:r>
        <w:rPr>
          <w:rFonts w:cs="Arial"/>
          <w:rtl/>
        </w:rPr>
        <w:t xml:space="preserve"> </w:t>
      </w:r>
      <w:r>
        <w:rPr>
          <w:rFonts w:cs="Arial" w:hint="cs"/>
          <w:rtl/>
        </w:rPr>
        <w:t>אמאי</w:t>
      </w:r>
      <w:r>
        <w:rPr>
          <w:rFonts w:cs="Arial"/>
          <w:rtl/>
        </w:rPr>
        <w:t xml:space="preserve"> </w:t>
      </w:r>
      <w:r>
        <w:rPr>
          <w:rFonts w:cs="Arial" w:hint="cs"/>
          <w:rtl/>
        </w:rPr>
        <w:t>פשיטא</w:t>
      </w:r>
      <w:r>
        <w:rPr>
          <w:rFonts w:cs="Arial"/>
          <w:rtl/>
        </w:rPr>
        <w:t xml:space="preserve"> </w:t>
      </w:r>
      <w:r>
        <w:rPr>
          <w:rFonts w:cs="Arial" w:hint="cs"/>
          <w:rtl/>
        </w:rPr>
        <w:t>ליה</w:t>
      </w:r>
      <w:r>
        <w:rPr>
          <w:rFonts w:cs="Arial"/>
          <w:rtl/>
        </w:rPr>
        <w:t xml:space="preserve"> </w:t>
      </w:r>
      <w:r>
        <w:rPr>
          <w:rFonts w:cs="Arial" w:hint="cs"/>
          <w:rtl/>
        </w:rPr>
        <w:t>טפי</w:t>
      </w:r>
      <w:r>
        <w:rPr>
          <w:rFonts w:cs="Arial"/>
          <w:rtl/>
        </w:rPr>
        <w:t xml:space="preserve"> </w:t>
      </w:r>
      <w:r>
        <w:rPr>
          <w:rFonts w:cs="Arial" w:hint="cs"/>
          <w:rtl/>
        </w:rPr>
        <w:t>דכששהה</w:t>
      </w:r>
      <w:r>
        <w:rPr>
          <w:rFonts w:cs="Arial"/>
          <w:rtl/>
        </w:rPr>
        <w:t xml:space="preserve"> </w:t>
      </w:r>
      <w:r>
        <w:rPr>
          <w:rFonts w:cs="Arial" w:hint="cs"/>
          <w:rtl/>
        </w:rPr>
        <w:t>בעיר</w:t>
      </w:r>
      <w:r>
        <w:rPr>
          <w:rFonts w:cs="Arial"/>
          <w:rtl/>
        </w:rPr>
        <w:t xml:space="preserve"> </w:t>
      </w:r>
      <w:r>
        <w:rPr>
          <w:rFonts w:cs="Arial" w:hint="cs"/>
          <w:rtl/>
        </w:rPr>
        <w:t>י</w:t>
      </w:r>
      <w:r>
        <w:rPr>
          <w:rFonts w:cs="Arial"/>
          <w:rtl/>
        </w:rPr>
        <w:t>"</w:t>
      </w:r>
      <w:r>
        <w:rPr>
          <w:rFonts w:cs="Arial" w:hint="cs"/>
          <w:rtl/>
        </w:rPr>
        <w:t>ב</w:t>
      </w:r>
      <w:r>
        <w:rPr>
          <w:rFonts w:cs="Arial"/>
          <w:rtl/>
        </w:rPr>
        <w:t xml:space="preserve"> </w:t>
      </w:r>
      <w:r>
        <w:rPr>
          <w:rFonts w:cs="Arial" w:hint="cs"/>
          <w:rtl/>
        </w:rPr>
        <w:t>חודש</w:t>
      </w:r>
      <w:r>
        <w:rPr>
          <w:rFonts w:cs="Arial"/>
          <w:rtl/>
        </w:rPr>
        <w:t xml:space="preserve"> </w:t>
      </w:r>
      <w:r>
        <w:rPr>
          <w:rFonts w:cs="Arial" w:hint="cs"/>
          <w:rtl/>
        </w:rPr>
        <w:t>נחשב</w:t>
      </w:r>
      <w:r>
        <w:rPr>
          <w:rFonts w:cs="Arial"/>
          <w:rtl/>
        </w:rPr>
        <w:t xml:space="preserve"> </w:t>
      </w:r>
      <w:r>
        <w:rPr>
          <w:rFonts w:cs="Arial" w:hint="cs"/>
          <w:rtl/>
        </w:rPr>
        <w:t>כאנשי</w:t>
      </w:r>
      <w:r>
        <w:rPr>
          <w:rFonts w:cs="Arial"/>
          <w:rtl/>
        </w:rPr>
        <w:t xml:space="preserve"> </w:t>
      </w:r>
      <w:r>
        <w:rPr>
          <w:rFonts w:cs="Arial" w:hint="cs"/>
          <w:rtl/>
        </w:rPr>
        <w:t>העיר</w:t>
      </w:r>
      <w:r>
        <w:rPr>
          <w:rFonts w:cs="Arial"/>
          <w:rtl/>
        </w:rPr>
        <w:t xml:space="preserve"> </w:t>
      </w:r>
      <w:r>
        <w:rPr>
          <w:rFonts w:cs="Arial" w:hint="cs"/>
          <w:rtl/>
        </w:rPr>
        <w:t>ליקרא</w:t>
      </w:r>
      <w:r>
        <w:rPr>
          <w:rFonts w:cs="Arial"/>
          <w:rtl/>
        </w:rPr>
        <w:t xml:space="preserve"> </w:t>
      </w:r>
      <w:r>
        <w:rPr>
          <w:rFonts w:cs="Arial" w:hint="cs"/>
          <w:rtl/>
        </w:rPr>
        <w:t>מקום</w:t>
      </w:r>
      <w:r>
        <w:rPr>
          <w:rFonts w:cs="Arial"/>
          <w:rtl/>
        </w:rPr>
        <w:t xml:space="preserve"> </w:t>
      </w:r>
      <w:r>
        <w:rPr>
          <w:rFonts w:cs="Arial" w:hint="cs"/>
          <w:rtl/>
        </w:rPr>
        <w:t>דירה</w:t>
      </w:r>
      <w:r>
        <w:rPr>
          <w:rFonts w:cs="Arial"/>
          <w:rtl/>
        </w:rPr>
        <w:t xml:space="preserve"> </w:t>
      </w:r>
      <w:r>
        <w:rPr>
          <w:rFonts w:cs="Arial" w:hint="cs"/>
          <w:rtl/>
        </w:rPr>
        <w:t>טפי</w:t>
      </w:r>
      <w:r>
        <w:rPr>
          <w:rFonts w:cs="Arial"/>
          <w:rtl/>
        </w:rPr>
        <w:t xml:space="preserve"> </w:t>
      </w:r>
      <w:r>
        <w:rPr>
          <w:rFonts w:cs="Arial" w:hint="cs"/>
          <w:rtl/>
        </w:rPr>
        <w:t>משקנה</w:t>
      </w:r>
      <w:r>
        <w:rPr>
          <w:rFonts w:cs="Arial"/>
          <w:rtl/>
        </w:rPr>
        <w:t xml:space="preserve"> </w:t>
      </w:r>
      <w:r>
        <w:rPr>
          <w:rFonts w:cs="Arial" w:hint="cs"/>
          <w:rtl/>
        </w:rPr>
        <w:t>בית</w:t>
      </w:r>
      <w:r>
        <w:rPr>
          <w:rFonts w:cs="Arial"/>
          <w:rtl/>
        </w:rPr>
        <w:t xml:space="preserve"> </w:t>
      </w:r>
      <w:r>
        <w:rPr>
          <w:rFonts w:cs="Arial" w:hint="cs"/>
          <w:rtl/>
        </w:rPr>
        <w:t>דירה,</w:t>
      </w:r>
      <w:r>
        <w:rPr>
          <w:rFonts w:cs="Arial"/>
          <w:rtl/>
        </w:rPr>
        <w:t xml:space="preserve"> </w:t>
      </w:r>
      <w:r>
        <w:rPr>
          <w:rFonts w:cs="Arial" w:hint="cs"/>
          <w:rtl/>
        </w:rPr>
        <w:t>דהא</w:t>
      </w:r>
      <w:r>
        <w:rPr>
          <w:rFonts w:cs="Arial"/>
          <w:rtl/>
        </w:rPr>
        <w:t xml:space="preserve"> </w:t>
      </w:r>
      <w:r>
        <w:rPr>
          <w:rFonts w:cs="Arial" w:hint="cs"/>
          <w:rtl/>
        </w:rPr>
        <w:t>בקנה</w:t>
      </w:r>
      <w:r>
        <w:rPr>
          <w:rFonts w:cs="Arial"/>
          <w:rtl/>
        </w:rPr>
        <w:t xml:space="preserve"> </w:t>
      </w:r>
      <w:r>
        <w:rPr>
          <w:rFonts w:cs="Arial" w:hint="cs"/>
          <w:rtl/>
        </w:rPr>
        <w:t>בית</w:t>
      </w:r>
      <w:r>
        <w:rPr>
          <w:rFonts w:cs="Arial"/>
          <w:rtl/>
        </w:rPr>
        <w:t xml:space="preserve"> </w:t>
      </w:r>
      <w:r>
        <w:rPr>
          <w:rFonts w:cs="Arial" w:hint="cs"/>
          <w:rtl/>
        </w:rPr>
        <w:t>דירה</w:t>
      </w:r>
      <w:r>
        <w:rPr>
          <w:rFonts w:cs="Arial"/>
          <w:rtl/>
        </w:rPr>
        <w:t xml:space="preserve"> </w:t>
      </w:r>
      <w:r>
        <w:rPr>
          <w:rFonts w:cs="Arial" w:hint="cs"/>
          <w:rtl/>
        </w:rPr>
        <w:t>נמי</w:t>
      </w:r>
      <w:r>
        <w:rPr>
          <w:rFonts w:cs="Arial"/>
          <w:rtl/>
        </w:rPr>
        <w:t xml:space="preserve"> </w:t>
      </w:r>
      <w:r>
        <w:rPr>
          <w:rFonts w:cs="Arial" w:hint="cs"/>
          <w:rtl/>
        </w:rPr>
        <w:t>תנן</w:t>
      </w:r>
      <w:r>
        <w:rPr>
          <w:rFonts w:cs="Arial"/>
          <w:rtl/>
        </w:rPr>
        <w:t xml:space="preserve"> </w:t>
      </w:r>
      <w:r>
        <w:rPr>
          <w:rFonts w:cs="Arial" w:hint="cs"/>
          <w:rtl/>
        </w:rPr>
        <w:t>דהוי</w:t>
      </w:r>
      <w:r>
        <w:rPr>
          <w:rFonts w:cs="Arial"/>
          <w:rtl/>
        </w:rPr>
        <w:t xml:space="preserve"> </w:t>
      </w:r>
      <w:r>
        <w:rPr>
          <w:rFonts w:cs="Arial" w:hint="cs"/>
          <w:rtl/>
        </w:rPr>
        <w:t>כאנשי</w:t>
      </w:r>
      <w:r>
        <w:rPr>
          <w:rFonts w:cs="Arial"/>
          <w:rtl/>
        </w:rPr>
        <w:t xml:space="preserve"> </w:t>
      </w:r>
      <w:r>
        <w:rPr>
          <w:rFonts w:cs="Arial" w:hint="cs"/>
          <w:rtl/>
        </w:rPr>
        <w:t>העיר</w:t>
      </w:r>
      <w:r>
        <w:rPr>
          <w:rFonts w:cs="Arial"/>
          <w:rtl/>
        </w:rPr>
        <w:t xml:space="preserve"> </w:t>
      </w:r>
      <w:r>
        <w:rPr>
          <w:rFonts w:cs="Arial" w:hint="cs"/>
          <w:rtl/>
        </w:rPr>
        <w:t>מיד</w:t>
      </w:r>
      <w:r>
        <w:rPr>
          <w:rFonts w:cs="Arial"/>
          <w:rtl/>
        </w:rPr>
        <w:t xml:space="preserve">. </w:t>
      </w:r>
      <w:r>
        <w:rPr>
          <w:rFonts w:cs="Arial" w:hint="cs"/>
          <w:rtl/>
        </w:rPr>
        <w:t>ואפשר</w:t>
      </w:r>
      <w:r>
        <w:rPr>
          <w:rFonts w:cs="Arial"/>
          <w:rtl/>
        </w:rPr>
        <w:t xml:space="preserve"> </w:t>
      </w:r>
      <w:r>
        <w:rPr>
          <w:rFonts w:cs="Arial" w:hint="cs"/>
          <w:rtl/>
        </w:rPr>
        <w:t>דאע</w:t>
      </w:r>
      <w:r>
        <w:rPr>
          <w:rFonts w:cs="Arial"/>
          <w:rtl/>
        </w:rPr>
        <w:t>"</w:t>
      </w:r>
      <w:r>
        <w:rPr>
          <w:rFonts w:cs="Arial" w:hint="cs"/>
          <w:rtl/>
        </w:rPr>
        <w:t>ג</w:t>
      </w:r>
      <w:r>
        <w:rPr>
          <w:rFonts w:cs="Arial"/>
          <w:rtl/>
        </w:rPr>
        <w:t xml:space="preserve"> </w:t>
      </w:r>
      <w:r>
        <w:rPr>
          <w:rFonts w:cs="Arial" w:hint="cs"/>
          <w:rtl/>
        </w:rPr>
        <w:t>דתנן</w:t>
      </w:r>
      <w:r>
        <w:rPr>
          <w:rFonts w:cs="Arial"/>
          <w:rtl/>
        </w:rPr>
        <w:t xml:space="preserve"> </w:t>
      </w:r>
      <w:r>
        <w:rPr>
          <w:rFonts w:cs="Arial" w:hint="cs"/>
          <w:rtl/>
        </w:rPr>
        <w:t>קנה</w:t>
      </w:r>
      <w:r>
        <w:rPr>
          <w:rFonts w:cs="Arial"/>
          <w:rtl/>
        </w:rPr>
        <w:t xml:space="preserve"> </w:t>
      </w:r>
      <w:r>
        <w:rPr>
          <w:rFonts w:cs="Arial" w:hint="cs"/>
          <w:rtl/>
        </w:rPr>
        <w:t>בית</w:t>
      </w:r>
      <w:r>
        <w:rPr>
          <w:rFonts w:cs="Arial"/>
          <w:rtl/>
        </w:rPr>
        <w:t xml:space="preserve"> </w:t>
      </w:r>
      <w:r>
        <w:rPr>
          <w:rFonts w:cs="Arial" w:hint="cs"/>
          <w:rtl/>
        </w:rPr>
        <w:t>דירה</w:t>
      </w:r>
      <w:r>
        <w:rPr>
          <w:rFonts w:cs="Arial"/>
          <w:rtl/>
        </w:rPr>
        <w:t xml:space="preserve"> </w:t>
      </w:r>
      <w:r>
        <w:rPr>
          <w:rFonts w:cs="Arial" w:hint="cs"/>
          <w:rtl/>
        </w:rPr>
        <w:t>חשוב</w:t>
      </w:r>
      <w:r>
        <w:rPr>
          <w:rFonts w:cs="Arial"/>
          <w:rtl/>
        </w:rPr>
        <w:t xml:space="preserve"> </w:t>
      </w:r>
      <w:r>
        <w:rPr>
          <w:rFonts w:cs="Arial" w:hint="cs"/>
          <w:rtl/>
        </w:rPr>
        <w:t>כאנשי</w:t>
      </w:r>
      <w:r>
        <w:rPr>
          <w:rFonts w:cs="Arial"/>
          <w:rtl/>
        </w:rPr>
        <w:t xml:space="preserve"> </w:t>
      </w:r>
      <w:r>
        <w:rPr>
          <w:rFonts w:cs="Arial" w:hint="cs"/>
          <w:rtl/>
        </w:rPr>
        <w:t>העיר</w:t>
      </w:r>
      <w:r>
        <w:rPr>
          <w:rFonts w:cs="Arial"/>
          <w:rtl/>
        </w:rPr>
        <w:t xml:space="preserve"> </w:t>
      </w:r>
      <w:r>
        <w:rPr>
          <w:rFonts w:cs="Arial" w:hint="cs"/>
          <w:rtl/>
        </w:rPr>
        <w:t>מיד</w:t>
      </w:r>
      <w:r>
        <w:rPr>
          <w:rFonts w:cs="Arial"/>
          <w:rtl/>
        </w:rPr>
        <w:t xml:space="preserve"> </w:t>
      </w:r>
      <w:r>
        <w:rPr>
          <w:rFonts w:cs="Arial" w:hint="cs"/>
          <w:rtl/>
        </w:rPr>
        <w:t>איכא</w:t>
      </w:r>
      <w:r>
        <w:rPr>
          <w:rFonts w:cs="Arial"/>
          <w:rtl/>
        </w:rPr>
        <w:t xml:space="preserve"> </w:t>
      </w:r>
      <w:r>
        <w:rPr>
          <w:rFonts w:cs="Arial" w:hint="cs"/>
          <w:rtl/>
        </w:rPr>
        <w:t>למימר</w:t>
      </w:r>
      <w:r>
        <w:rPr>
          <w:rFonts w:cs="Arial"/>
          <w:rtl/>
        </w:rPr>
        <w:t xml:space="preserve"> </w:t>
      </w:r>
      <w:r>
        <w:rPr>
          <w:rFonts w:cs="Arial" w:hint="cs"/>
          <w:rtl/>
        </w:rPr>
        <w:t>דהיינו</w:t>
      </w:r>
      <w:r>
        <w:rPr>
          <w:rFonts w:cs="Arial"/>
          <w:rtl/>
        </w:rPr>
        <w:t xml:space="preserve"> </w:t>
      </w:r>
      <w:r>
        <w:rPr>
          <w:rFonts w:cs="Arial" w:hint="cs"/>
          <w:rtl/>
        </w:rPr>
        <w:t>לשאת</w:t>
      </w:r>
      <w:r>
        <w:rPr>
          <w:rFonts w:cs="Arial"/>
          <w:rtl/>
        </w:rPr>
        <w:t xml:space="preserve"> </w:t>
      </w:r>
      <w:r>
        <w:rPr>
          <w:rFonts w:cs="Arial" w:hint="cs"/>
          <w:rtl/>
        </w:rPr>
        <w:t>בעול</w:t>
      </w:r>
      <w:r>
        <w:rPr>
          <w:rFonts w:cs="Arial"/>
          <w:rtl/>
        </w:rPr>
        <w:t xml:space="preserve"> </w:t>
      </w:r>
      <w:r>
        <w:rPr>
          <w:rFonts w:cs="Arial" w:hint="cs"/>
          <w:rtl/>
        </w:rPr>
        <w:t>עם</w:t>
      </w:r>
      <w:r>
        <w:rPr>
          <w:rFonts w:cs="Arial"/>
          <w:rtl/>
        </w:rPr>
        <w:t xml:space="preserve"> </w:t>
      </w:r>
      <w:r>
        <w:rPr>
          <w:rFonts w:cs="Arial" w:hint="cs"/>
          <w:rtl/>
        </w:rPr>
        <w:t>אנשי</w:t>
      </w:r>
      <w:r>
        <w:rPr>
          <w:rFonts w:cs="Arial"/>
          <w:rtl/>
        </w:rPr>
        <w:t xml:space="preserve"> </w:t>
      </w:r>
      <w:r>
        <w:rPr>
          <w:rFonts w:cs="Arial" w:hint="cs"/>
          <w:rtl/>
        </w:rPr>
        <w:t>העיר</w:t>
      </w:r>
      <w:r>
        <w:rPr>
          <w:rFonts w:cs="Arial"/>
          <w:rtl/>
        </w:rPr>
        <w:t xml:space="preserve"> </w:t>
      </w:r>
      <w:r>
        <w:rPr>
          <w:rFonts w:cs="Arial" w:hint="cs"/>
          <w:rtl/>
        </w:rPr>
        <w:t>מפני</w:t>
      </w:r>
      <w:r>
        <w:rPr>
          <w:rFonts w:cs="Arial"/>
          <w:rtl/>
        </w:rPr>
        <w:t xml:space="preserve"> </w:t>
      </w:r>
      <w:r>
        <w:rPr>
          <w:rFonts w:cs="Arial" w:hint="cs"/>
          <w:rtl/>
        </w:rPr>
        <w:t>שהמס</w:t>
      </w:r>
      <w:r>
        <w:rPr>
          <w:rFonts w:cs="Arial"/>
          <w:rtl/>
        </w:rPr>
        <w:t xml:space="preserve"> </w:t>
      </w:r>
      <w:r>
        <w:rPr>
          <w:rFonts w:cs="Arial" w:hint="cs"/>
          <w:rtl/>
        </w:rPr>
        <w:t>מוטל</w:t>
      </w:r>
      <w:r>
        <w:rPr>
          <w:rFonts w:cs="Arial"/>
          <w:rtl/>
        </w:rPr>
        <w:t xml:space="preserve"> </w:t>
      </w:r>
      <w:r>
        <w:rPr>
          <w:rFonts w:cs="Arial" w:hint="cs"/>
          <w:rtl/>
        </w:rPr>
        <w:t>על</w:t>
      </w:r>
      <w:r>
        <w:rPr>
          <w:rFonts w:cs="Arial"/>
          <w:rtl/>
        </w:rPr>
        <w:t xml:space="preserve"> </w:t>
      </w:r>
      <w:r>
        <w:rPr>
          <w:rFonts w:cs="Arial" w:hint="cs"/>
          <w:rtl/>
        </w:rPr>
        <w:t>הבית,</w:t>
      </w:r>
      <w:r>
        <w:rPr>
          <w:rFonts w:cs="Arial"/>
          <w:rtl/>
        </w:rPr>
        <w:t xml:space="preserve"> </w:t>
      </w:r>
      <w:r>
        <w:rPr>
          <w:rFonts w:cs="Arial" w:hint="cs"/>
          <w:rtl/>
        </w:rPr>
        <w:t>אבל</w:t>
      </w:r>
      <w:r>
        <w:rPr>
          <w:rFonts w:cs="Arial"/>
          <w:rtl/>
        </w:rPr>
        <w:t xml:space="preserve"> </w:t>
      </w:r>
      <w:r>
        <w:rPr>
          <w:rFonts w:cs="Arial" w:hint="cs"/>
          <w:rtl/>
        </w:rPr>
        <w:t>לא</w:t>
      </w:r>
      <w:r>
        <w:rPr>
          <w:rFonts w:cs="Arial"/>
          <w:rtl/>
        </w:rPr>
        <w:t xml:space="preserve"> </w:t>
      </w:r>
      <w:r>
        <w:rPr>
          <w:rFonts w:cs="Arial" w:hint="cs"/>
          <w:rtl/>
        </w:rPr>
        <w:t>יחשב</w:t>
      </w:r>
      <w:r>
        <w:rPr>
          <w:rFonts w:cs="Arial"/>
          <w:rtl/>
        </w:rPr>
        <w:t xml:space="preserve"> </w:t>
      </w:r>
      <w:r>
        <w:rPr>
          <w:rFonts w:cs="Arial" w:hint="cs"/>
          <w:rtl/>
        </w:rPr>
        <w:t>מפני</w:t>
      </w:r>
      <w:r>
        <w:rPr>
          <w:rFonts w:cs="Arial"/>
          <w:rtl/>
        </w:rPr>
        <w:t xml:space="preserve"> </w:t>
      </w:r>
      <w:r>
        <w:rPr>
          <w:rFonts w:cs="Arial" w:hint="cs"/>
          <w:rtl/>
        </w:rPr>
        <w:t>כך</w:t>
      </w:r>
      <w:r>
        <w:rPr>
          <w:rFonts w:cs="Arial"/>
          <w:rtl/>
        </w:rPr>
        <w:t xml:space="preserve"> </w:t>
      </w:r>
      <w:r>
        <w:rPr>
          <w:rFonts w:cs="Arial" w:hint="cs"/>
          <w:rtl/>
        </w:rPr>
        <w:t>שזו</w:t>
      </w:r>
      <w:r>
        <w:rPr>
          <w:rFonts w:cs="Arial"/>
          <w:rtl/>
        </w:rPr>
        <w:t xml:space="preserve"> </w:t>
      </w:r>
      <w:r>
        <w:rPr>
          <w:rFonts w:cs="Arial" w:hint="cs"/>
          <w:rtl/>
        </w:rPr>
        <w:t>עיר</w:t>
      </w:r>
      <w:r>
        <w:rPr>
          <w:rFonts w:cs="Arial"/>
          <w:rtl/>
        </w:rPr>
        <w:t xml:space="preserve"> </w:t>
      </w:r>
      <w:r>
        <w:rPr>
          <w:rFonts w:cs="Arial" w:hint="cs"/>
          <w:rtl/>
        </w:rPr>
        <w:t>דירתו</w:t>
      </w:r>
      <w:r>
        <w:rPr>
          <w:rFonts w:cs="Arial"/>
          <w:rtl/>
        </w:rPr>
        <w:t xml:space="preserve"> </w:t>
      </w:r>
      <w:r>
        <w:rPr>
          <w:rFonts w:cs="Arial" w:hint="cs"/>
          <w:rtl/>
        </w:rPr>
        <w:t>לענין</w:t>
      </w:r>
      <w:r>
        <w:rPr>
          <w:rFonts w:cs="Arial"/>
          <w:rtl/>
        </w:rPr>
        <w:t xml:space="preserve"> </w:t>
      </w:r>
      <w:r>
        <w:rPr>
          <w:rFonts w:cs="Arial" w:hint="cs"/>
          <w:rtl/>
        </w:rPr>
        <w:t>גט,</w:t>
      </w:r>
      <w:r>
        <w:rPr>
          <w:rFonts w:cs="Arial"/>
          <w:rtl/>
        </w:rPr>
        <w:t xml:space="preserve"> </w:t>
      </w:r>
      <w:r>
        <w:rPr>
          <w:rFonts w:cs="Arial" w:hint="cs"/>
          <w:rtl/>
        </w:rPr>
        <w:t>דהא</w:t>
      </w:r>
      <w:r>
        <w:rPr>
          <w:rFonts w:cs="Arial"/>
          <w:rtl/>
        </w:rPr>
        <w:t xml:space="preserve"> </w:t>
      </w:r>
      <w:r>
        <w:rPr>
          <w:rFonts w:cs="Arial" w:hint="cs"/>
          <w:rtl/>
        </w:rPr>
        <w:t>כמה</w:t>
      </w:r>
      <w:r>
        <w:rPr>
          <w:rFonts w:cs="Arial"/>
          <w:rtl/>
        </w:rPr>
        <w:t xml:space="preserve"> </w:t>
      </w:r>
      <w:r>
        <w:rPr>
          <w:rFonts w:cs="Arial" w:hint="cs"/>
          <w:rtl/>
        </w:rPr>
        <w:t>אנשים</w:t>
      </w:r>
      <w:r>
        <w:rPr>
          <w:rFonts w:cs="Arial"/>
          <w:rtl/>
        </w:rPr>
        <w:t xml:space="preserve"> </w:t>
      </w:r>
      <w:r>
        <w:rPr>
          <w:rFonts w:cs="Arial" w:hint="cs"/>
          <w:rtl/>
        </w:rPr>
        <w:t>יש</w:t>
      </w:r>
      <w:r>
        <w:rPr>
          <w:rFonts w:cs="Arial"/>
          <w:rtl/>
        </w:rPr>
        <w:t xml:space="preserve"> </w:t>
      </w:r>
      <w:r>
        <w:rPr>
          <w:rFonts w:cs="Arial" w:hint="cs"/>
          <w:rtl/>
        </w:rPr>
        <w:t>להם</w:t>
      </w:r>
      <w:r>
        <w:rPr>
          <w:rFonts w:cs="Arial"/>
          <w:rtl/>
        </w:rPr>
        <w:t xml:space="preserve"> </w:t>
      </w:r>
      <w:r>
        <w:rPr>
          <w:rFonts w:cs="Arial" w:hint="cs"/>
          <w:rtl/>
        </w:rPr>
        <w:t>בתים</w:t>
      </w:r>
      <w:r>
        <w:rPr>
          <w:rFonts w:cs="Arial"/>
          <w:rtl/>
        </w:rPr>
        <w:t xml:space="preserve"> </w:t>
      </w:r>
      <w:r>
        <w:rPr>
          <w:rFonts w:cs="Arial" w:hint="cs"/>
          <w:rtl/>
        </w:rPr>
        <w:t>שלא</w:t>
      </w:r>
      <w:r>
        <w:rPr>
          <w:rFonts w:cs="Arial"/>
          <w:rtl/>
        </w:rPr>
        <w:t xml:space="preserve"> </w:t>
      </w:r>
      <w:r>
        <w:rPr>
          <w:rFonts w:cs="Arial" w:hint="cs"/>
          <w:rtl/>
        </w:rPr>
        <w:t>במקום</w:t>
      </w:r>
      <w:r>
        <w:rPr>
          <w:rFonts w:cs="Arial"/>
          <w:rtl/>
        </w:rPr>
        <w:t xml:space="preserve"> </w:t>
      </w:r>
      <w:r>
        <w:rPr>
          <w:rFonts w:cs="Arial" w:hint="cs"/>
          <w:rtl/>
        </w:rPr>
        <w:t>דירתם.</w:t>
      </w:r>
      <w:r>
        <w:rPr>
          <w:rFonts w:cs="Arial"/>
          <w:rtl/>
        </w:rPr>
        <w:t xml:space="preserve"> </w:t>
      </w:r>
      <w:r>
        <w:rPr>
          <w:rFonts w:cs="Arial" w:hint="cs"/>
          <w:rtl/>
        </w:rPr>
        <w:t>אבל</w:t>
      </w:r>
      <w:r>
        <w:rPr>
          <w:rFonts w:cs="Arial"/>
          <w:rtl/>
        </w:rPr>
        <w:t xml:space="preserve"> </w:t>
      </w:r>
      <w:r>
        <w:rPr>
          <w:rFonts w:cs="Arial" w:hint="cs"/>
          <w:rtl/>
        </w:rPr>
        <w:t>כששהה</w:t>
      </w:r>
      <w:r>
        <w:rPr>
          <w:rFonts w:cs="Arial"/>
          <w:rtl/>
        </w:rPr>
        <w:t xml:space="preserve"> </w:t>
      </w:r>
      <w:r>
        <w:rPr>
          <w:rFonts w:cs="Arial" w:hint="cs"/>
          <w:rtl/>
        </w:rPr>
        <w:t>שם</w:t>
      </w:r>
      <w:r>
        <w:rPr>
          <w:rFonts w:cs="Arial"/>
          <w:rtl/>
        </w:rPr>
        <w:t xml:space="preserve"> </w:t>
      </w:r>
      <w:r>
        <w:rPr>
          <w:rFonts w:cs="Arial" w:hint="cs"/>
          <w:rtl/>
        </w:rPr>
        <w:t>י</w:t>
      </w:r>
      <w:r>
        <w:rPr>
          <w:rFonts w:cs="Arial"/>
          <w:rtl/>
        </w:rPr>
        <w:t>"</w:t>
      </w:r>
      <w:r>
        <w:rPr>
          <w:rFonts w:cs="Arial" w:hint="cs"/>
          <w:rtl/>
        </w:rPr>
        <w:t>ב</w:t>
      </w:r>
      <w:r>
        <w:rPr>
          <w:rFonts w:cs="Arial"/>
          <w:rtl/>
        </w:rPr>
        <w:t xml:space="preserve"> </w:t>
      </w:r>
      <w:r>
        <w:rPr>
          <w:rFonts w:cs="Arial" w:hint="cs"/>
          <w:rtl/>
        </w:rPr>
        <w:t>חודש</w:t>
      </w:r>
      <w:r>
        <w:rPr>
          <w:rFonts w:cs="Arial"/>
          <w:rtl/>
        </w:rPr>
        <w:t xml:space="preserve"> </w:t>
      </w:r>
      <w:r>
        <w:rPr>
          <w:rFonts w:cs="Arial" w:hint="cs"/>
          <w:rtl/>
        </w:rPr>
        <w:t>ודאי</w:t>
      </w:r>
      <w:r>
        <w:rPr>
          <w:rFonts w:cs="Arial"/>
          <w:rtl/>
        </w:rPr>
        <w:t xml:space="preserve"> </w:t>
      </w:r>
      <w:r>
        <w:rPr>
          <w:rFonts w:cs="Arial" w:hint="cs"/>
          <w:rtl/>
        </w:rPr>
        <w:t>דלכל</w:t>
      </w:r>
      <w:r>
        <w:rPr>
          <w:rFonts w:cs="Arial"/>
          <w:rtl/>
        </w:rPr>
        <w:t xml:space="preserve"> </w:t>
      </w:r>
      <w:r>
        <w:rPr>
          <w:rFonts w:cs="Arial" w:hint="cs"/>
          <w:rtl/>
        </w:rPr>
        <w:t>מילי</w:t>
      </w:r>
      <w:r>
        <w:rPr>
          <w:rFonts w:cs="Arial"/>
          <w:rtl/>
        </w:rPr>
        <w:t xml:space="preserve"> </w:t>
      </w:r>
      <w:r>
        <w:rPr>
          <w:rFonts w:cs="Arial" w:hint="cs"/>
          <w:rtl/>
        </w:rPr>
        <w:t>חשיבא</w:t>
      </w:r>
      <w:r>
        <w:rPr>
          <w:rFonts w:cs="Arial"/>
          <w:rtl/>
        </w:rPr>
        <w:t xml:space="preserve"> </w:t>
      </w:r>
      <w:r>
        <w:rPr>
          <w:rFonts w:cs="Arial" w:hint="cs"/>
          <w:rtl/>
        </w:rPr>
        <w:t>עיר</w:t>
      </w:r>
      <w:r>
        <w:rPr>
          <w:rFonts w:cs="Arial"/>
          <w:rtl/>
        </w:rPr>
        <w:t xml:space="preserve"> </w:t>
      </w:r>
      <w:r>
        <w:rPr>
          <w:rFonts w:cs="Arial" w:hint="cs"/>
          <w:rtl/>
        </w:rPr>
        <w:t>דירתו,</w:t>
      </w:r>
      <w:r>
        <w:rPr>
          <w:rFonts w:cs="Arial"/>
          <w:rtl/>
        </w:rPr>
        <w:t xml:space="preserve"> </w:t>
      </w:r>
      <w:r>
        <w:rPr>
          <w:rFonts w:cs="Arial" w:hint="cs"/>
          <w:rtl/>
        </w:rPr>
        <w:t>דהא</w:t>
      </w:r>
      <w:r>
        <w:rPr>
          <w:rFonts w:cs="Arial"/>
          <w:rtl/>
        </w:rPr>
        <w:t xml:space="preserve"> </w:t>
      </w:r>
      <w:r>
        <w:rPr>
          <w:rFonts w:cs="Arial" w:hint="cs"/>
          <w:rtl/>
        </w:rPr>
        <w:t>מקמי</w:t>
      </w:r>
      <w:r>
        <w:rPr>
          <w:rFonts w:cs="Arial"/>
          <w:rtl/>
        </w:rPr>
        <w:t xml:space="preserve"> </w:t>
      </w:r>
      <w:r>
        <w:rPr>
          <w:rFonts w:cs="Arial" w:hint="cs"/>
          <w:rtl/>
        </w:rPr>
        <w:t>הכי</w:t>
      </w:r>
      <w:r>
        <w:rPr>
          <w:rFonts w:cs="Arial"/>
          <w:rtl/>
        </w:rPr>
        <w:t xml:space="preserve"> </w:t>
      </w:r>
      <w:r>
        <w:rPr>
          <w:rFonts w:cs="Arial" w:hint="cs"/>
          <w:rtl/>
        </w:rPr>
        <w:t>חייב</w:t>
      </w:r>
      <w:r>
        <w:rPr>
          <w:rFonts w:cs="Arial"/>
          <w:rtl/>
        </w:rPr>
        <w:t xml:space="preserve"> </w:t>
      </w:r>
      <w:r>
        <w:rPr>
          <w:rFonts w:cs="Arial" w:hint="cs"/>
          <w:rtl/>
        </w:rPr>
        <w:t>בקצת</w:t>
      </w:r>
      <w:r>
        <w:rPr>
          <w:rFonts w:cs="Arial"/>
          <w:rtl/>
        </w:rPr>
        <w:t xml:space="preserve"> </w:t>
      </w:r>
      <w:r>
        <w:rPr>
          <w:rFonts w:cs="Arial" w:hint="cs"/>
          <w:rtl/>
        </w:rPr>
        <w:t>דברים,</w:t>
      </w:r>
      <w:r>
        <w:rPr>
          <w:rFonts w:cs="Arial"/>
          <w:rtl/>
        </w:rPr>
        <w:t xml:space="preserve"> </w:t>
      </w:r>
      <w:r>
        <w:rPr>
          <w:rFonts w:cs="Arial" w:hint="cs"/>
          <w:rtl/>
        </w:rPr>
        <w:t>וכששהה</w:t>
      </w:r>
      <w:r>
        <w:rPr>
          <w:rFonts w:cs="Arial"/>
          <w:rtl/>
        </w:rPr>
        <w:t xml:space="preserve"> </w:t>
      </w:r>
      <w:r>
        <w:rPr>
          <w:rFonts w:cs="Arial" w:hint="cs"/>
          <w:rtl/>
        </w:rPr>
        <w:t>י</w:t>
      </w:r>
      <w:r>
        <w:rPr>
          <w:rFonts w:cs="Arial"/>
          <w:rtl/>
        </w:rPr>
        <w:t>"</w:t>
      </w:r>
      <w:r>
        <w:rPr>
          <w:rFonts w:cs="Arial" w:hint="cs"/>
          <w:rtl/>
        </w:rPr>
        <w:t>ב</w:t>
      </w:r>
      <w:r>
        <w:rPr>
          <w:rFonts w:cs="Arial"/>
          <w:rtl/>
        </w:rPr>
        <w:t xml:space="preserve"> </w:t>
      </w:r>
      <w:r>
        <w:rPr>
          <w:rFonts w:cs="Arial" w:hint="cs"/>
          <w:rtl/>
        </w:rPr>
        <w:t>חודש</w:t>
      </w:r>
      <w:r>
        <w:rPr>
          <w:rFonts w:cs="Arial"/>
          <w:rtl/>
        </w:rPr>
        <w:t xml:space="preserve"> </w:t>
      </w:r>
      <w:r>
        <w:rPr>
          <w:rFonts w:cs="Arial" w:hint="cs"/>
          <w:rtl/>
        </w:rPr>
        <w:t>חייב</w:t>
      </w:r>
      <w:r>
        <w:rPr>
          <w:rFonts w:cs="Arial"/>
          <w:rtl/>
        </w:rPr>
        <w:t xml:space="preserve"> </w:t>
      </w:r>
      <w:r>
        <w:rPr>
          <w:rFonts w:cs="Arial" w:hint="cs"/>
          <w:rtl/>
        </w:rPr>
        <w:t>בכולן.</w:t>
      </w:r>
      <w:r>
        <w:rPr>
          <w:rFonts w:cs="Arial"/>
          <w:rtl/>
        </w:rPr>
        <w:t xml:space="preserve"> </w:t>
      </w:r>
      <w:r>
        <w:rPr>
          <w:rFonts w:cs="Arial" w:hint="cs"/>
          <w:rtl/>
        </w:rPr>
        <w:t>וכדתניא</w:t>
      </w:r>
      <w:r>
        <w:rPr>
          <w:rFonts w:cs="Arial"/>
          <w:rtl/>
        </w:rPr>
        <w:t xml:space="preserve"> </w:t>
      </w:r>
      <w:r>
        <w:rPr>
          <w:rFonts w:cs="Arial" w:hint="cs"/>
          <w:rtl/>
        </w:rPr>
        <w:t>בפרק</w:t>
      </w:r>
      <w:r>
        <w:rPr>
          <w:rFonts w:cs="Arial"/>
          <w:rtl/>
        </w:rPr>
        <w:t xml:space="preserve"> </w:t>
      </w:r>
      <w:r>
        <w:rPr>
          <w:rFonts w:cs="Arial" w:hint="cs"/>
          <w:rtl/>
        </w:rPr>
        <w:t>קמא</w:t>
      </w:r>
      <w:r>
        <w:rPr>
          <w:rFonts w:cs="Arial"/>
          <w:rtl/>
        </w:rPr>
        <w:t xml:space="preserve"> </w:t>
      </w:r>
      <w:r>
        <w:rPr>
          <w:rFonts w:cs="Arial" w:hint="cs"/>
          <w:rtl/>
        </w:rPr>
        <w:t>דבתרא</w:t>
      </w:r>
      <w:r>
        <w:rPr>
          <w:rFonts w:cs="Arial"/>
          <w:rtl/>
        </w:rPr>
        <w:t xml:space="preserve"> (</w:t>
      </w:r>
      <w:r>
        <w:rPr>
          <w:rFonts w:cs="Arial" w:hint="cs"/>
          <w:rtl/>
        </w:rPr>
        <w:t>ח</w:t>
      </w:r>
      <w:r>
        <w:rPr>
          <w:rFonts w:cs="Arial"/>
          <w:rtl/>
        </w:rPr>
        <w:t xml:space="preserve">.) </w:t>
      </w:r>
      <w:r>
        <w:rPr>
          <w:rFonts w:cs="Arial" w:hint="cs"/>
          <w:rtl/>
        </w:rPr>
        <w:t>שלשים</w:t>
      </w:r>
      <w:r>
        <w:rPr>
          <w:rFonts w:cs="Arial"/>
          <w:rtl/>
        </w:rPr>
        <w:t xml:space="preserve"> </w:t>
      </w:r>
      <w:r>
        <w:rPr>
          <w:rFonts w:cs="Arial" w:hint="cs"/>
          <w:rtl/>
        </w:rPr>
        <w:t>יום</w:t>
      </w:r>
      <w:r>
        <w:rPr>
          <w:rFonts w:cs="Arial"/>
          <w:rtl/>
        </w:rPr>
        <w:t xml:space="preserve"> </w:t>
      </w:r>
      <w:r>
        <w:rPr>
          <w:rFonts w:cs="Arial" w:hint="cs"/>
          <w:rtl/>
        </w:rPr>
        <w:t>לתמחוי,</w:t>
      </w:r>
      <w:r>
        <w:rPr>
          <w:rFonts w:cs="Arial"/>
          <w:rtl/>
        </w:rPr>
        <w:t xml:space="preserve"> </w:t>
      </w:r>
      <w:r>
        <w:rPr>
          <w:rFonts w:cs="Arial" w:hint="cs"/>
          <w:rtl/>
        </w:rPr>
        <w:t>שלשה</w:t>
      </w:r>
      <w:r>
        <w:rPr>
          <w:rFonts w:cs="Arial"/>
          <w:rtl/>
        </w:rPr>
        <w:t xml:space="preserve"> </w:t>
      </w:r>
      <w:r>
        <w:rPr>
          <w:rFonts w:cs="Arial" w:hint="cs"/>
          <w:rtl/>
        </w:rPr>
        <w:t>חדשים</w:t>
      </w:r>
      <w:r>
        <w:rPr>
          <w:rFonts w:cs="Arial"/>
          <w:rtl/>
        </w:rPr>
        <w:t xml:space="preserve"> </w:t>
      </w:r>
      <w:r>
        <w:rPr>
          <w:rFonts w:cs="Arial" w:hint="cs"/>
          <w:rtl/>
        </w:rPr>
        <w:t>לקופה,</w:t>
      </w:r>
      <w:r>
        <w:rPr>
          <w:rFonts w:cs="Arial"/>
          <w:rtl/>
        </w:rPr>
        <w:t xml:space="preserve"> </w:t>
      </w:r>
      <w:r>
        <w:rPr>
          <w:rFonts w:cs="Arial" w:hint="cs"/>
          <w:rtl/>
        </w:rPr>
        <w:t>ששה</w:t>
      </w:r>
      <w:r>
        <w:rPr>
          <w:rFonts w:cs="Arial"/>
          <w:rtl/>
        </w:rPr>
        <w:t xml:space="preserve"> </w:t>
      </w:r>
      <w:r>
        <w:rPr>
          <w:rFonts w:cs="Arial" w:hint="cs"/>
          <w:rtl/>
        </w:rPr>
        <w:t>לכסות,</w:t>
      </w:r>
      <w:r>
        <w:rPr>
          <w:rFonts w:cs="Arial"/>
          <w:rtl/>
        </w:rPr>
        <w:t xml:space="preserve"> </w:t>
      </w:r>
      <w:r>
        <w:rPr>
          <w:rFonts w:cs="Arial" w:hint="cs"/>
          <w:rtl/>
        </w:rPr>
        <w:t>תשעה</w:t>
      </w:r>
      <w:r>
        <w:rPr>
          <w:rFonts w:cs="Arial"/>
          <w:rtl/>
        </w:rPr>
        <w:t xml:space="preserve"> </w:t>
      </w:r>
      <w:r>
        <w:rPr>
          <w:rFonts w:cs="Arial" w:hint="cs"/>
          <w:rtl/>
        </w:rPr>
        <w:t>לקבורה,</w:t>
      </w:r>
      <w:r>
        <w:rPr>
          <w:rFonts w:cs="Arial"/>
          <w:rtl/>
        </w:rPr>
        <w:t xml:space="preserve"> </w:t>
      </w:r>
      <w:r>
        <w:rPr>
          <w:rFonts w:cs="Arial" w:hint="cs"/>
          <w:rtl/>
        </w:rPr>
        <w:t>שנים</w:t>
      </w:r>
      <w:r>
        <w:rPr>
          <w:rFonts w:cs="Arial"/>
          <w:rtl/>
        </w:rPr>
        <w:t xml:space="preserve"> </w:t>
      </w:r>
      <w:r>
        <w:rPr>
          <w:rFonts w:cs="Arial" w:hint="cs"/>
          <w:rtl/>
        </w:rPr>
        <w:t>עשר</w:t>
      </w:r>
      <w:r>
        <w:rPr>
          <w:rFonts w:cs="Arial"/>
          <w:rtl/>
        </w:rPr>
        <w:t xml:space="preserve"> </w:t>
      </w:r>
      <w:r>
        <w:rPr>
          <w:rFonts w:cs="Arial" w:hint="cs"/>
          <w:rtl/>
        </w:rPr>
        <w:t>לפסי</w:t>
      </w:r>
      <w:r>
        <w:rPr>
          <w:rFonts w:cs="Arial"/>
          <w:rtl/>
        </w:rPr>
        <w:t xml:space="preserve"> </w:t>
      </w:r>
      <w:r>
        <w:rPr>
          <w:rFonts w:cs="Arial" w:hint="cs"/>
          <w:rtl/>
        </w:rPr>
        <w:t>העיר.</w:t>
      </w:r>
      <w:r>
        <w:rPr>
          <w:rFonts w:cs="Arial"/>
          <w:rtl/>
        </w:rPr>
        <w:t xml:space="preserve"> </w:t>
      </w:r>
      <w:r>
        <w:rPr>
          <w:rFonts w:cs="Arial" w:hint="cs"/>
          <w:rtl/>
        </w:rPr>
        <w:t>וכיון</w:t>
      </w:r>
      <w:r>
        <w:rPr>
          <w:rFonts w:cs="Arial"/>
          <w:rtl/>
        </w:rPr>
        <w:t xml:space="preserve"> </w:t>
      </w:r>
      <w:r>
        <w:rPr>
          <w:rFonts w:cs="Arial" w:hint="cs"/>
          <w:rtl/>
        </w:rPr>
        <w:t>דכששהה</w:t>
      </w:r>
      <w:r>
        <w:rPr>
          <w:rFonts w:cs="Arial"/>
          <w:rtl/>
        </w:rPr>
        <w:t xml:space="preserve"> </w:t>
      </w:r>
      <w:r>
        <w:rPr>
          <w:rFonts w:cs="Arial" w:hint="cs"/>
          <w:rtl/>
        </w:rPr>
        <w:t>י</w:t>
      </w:r>
      <w:r>
        <w:rPr>
          <w:rFonts w:cs="Arial"/>
          <w:rtl/>
        </w:rPr>
        <w:t>"</w:t>
      </w:r>
      <w:r>
        <w:rPr>
          <w:rFonts w:cs="Arial" w:hint="cs"/>
          <w:rtl/>
        </w:rPr>
        <w:t>ב</w:t>
      </w:r>
      <w:r>
        <w:rPr>
          <w:rFonts w:cs="Arial"/>
          <w:rtl/>
        </w:rPr>
        <w:t xml:space="preserve"> </w:t>
      </w:r>
      <w:r>
        <w:rPr>
          <w:rFonts w:cs="Arial" w:hint="cs"/>
          <w:rtl/>
        </w:rPr>
        <w:t>חודש</w:t>
      </w:r>
      <w:r>
        <w:rPr>
          <w:rFonts w:cs="Arial"/>
          <w:rtl/>
        </w:rPr>
        <w:t xml:space="preserve"> </w:t>
      </w:r>
      <w:r>
        <w:rPr>
          <w:rFonts w:cs="Arial" w:hint="cs"/>
          <w:rtl/>
        </w:rPr>
        <w:t>חייב</w:t>
      </w:r>
      <w:r>
        <w:rPr>
          <w:rFonts w:cs="Arial"/>
          <w:rtl/>
        </w:rPr>
        <w:t xml:space="preserve"> </w:t>
      </w:r>
      <w:r>
        <w:rPr>
          <w:rFonts w:cs="Arial" w:hint="cs"/>
          <w:rtl/>
        </w:rPr>
        <w:t>לשאת</w:t>
      </w:r>
      <w:r>
        <w:rPr>
          <w:rFonts w:cs="Arial"/>
          <w:rtl/>
        </w:rPr>
        <w:t xml:space="preserve"> </w:t>
      </w:r>
      <w:r>
        <w:rPr>
          <w:rFonts w:cs="Arial" w:hint="cs"/>
          <w:rtl/>
        </w:rPr>
        <w:t>בכל</w:t>
      </w:r>
      <w:r>
        <w:rPr>
          <w:rFonts w:cs="Arial"/>
          <w:rtl/>
        </w:rPr>
        <w:t xml:space="preserve"> </w:t>
      </w:r>
      <w:r>
        <w:rPr>
          <w:rFonts w:cs="Arial" w:hint="cs"/>
          <w:rtl/>
        </w:rPr>
        <w:t>עולי</w:t>
      </w:r>
      <w:r>
        <w:rPr>
          <w:rFonts w:cs="Arial"/>
          <w:rtl/>
        </w:rPr>
        <w:t xml:space="preserve"> </w:t>
      </w:r>
      <w:r>
        <w:rPr>
          <w:rFonts w:cs="Arial" w:hint="cs"/>
          <w:rtl/>
        </w:rPr>
        <w:t>העיר,</w:t>
      </w:r>
      <w:r>
        <w:rPr>
          <w:rFonts w:cs="Arial"/>
          <w:rtl/>
        </w:rPr>
        <w:t xml:space="preserve"> </w:t>
      </w:r>
      <w:r>
        <w:rPr>
          <w:rFonts w:cs="Arial" w:hint="cs"/>
          <w:rtl/>
        </w:rPr>
        <w:t>אלמא</w:t>
      </w:r>
      <w:r>
        <w:rPr>
          <w:rFonts w:cs="Arial"/>
          <w:rtl/>
        </w:rPr>
        <w:t xml:space="preserve"> </w:t>
      </w:r>
      <w:r>
        <w:rPr>
          <w:rFonts w:cs="Arial" w:hint="cs"/>
          <w:rtl/>
        </w:rPr>
        <w:t>עיר</w:t>
      </w:r>
      <w:r>
        <w:rPr>
          <w:rFonts w:cs="Arial"/>
          <w:rtl/>
        </w:rPr>
        <w:t xml:space="preserve"> </w:t>
      </w:r>
      <w:r>
        <w:rPr>
          <w:rFonts w:cs="Arial" w:hint="cs"/>
          <w:rtl/>
        </w:rPr>
        <w:t>דירתו</w:t>
      </w:r>
      <w:r>
        <w:rPr>
          <w:rFonts w:cs="Arial"/>
          <w:rtl/>
        </w:rPr>
        <w:t xml:space="preserve"> </w:t>
      </w:r>
      <w:r>
        <w:rPr>
          <w:rFonts w:cs="Arial" w:hint="cs"/>
          <w:rtl/>
        </w:rPr>
        <w:t>חשיבא</w:t>
      </w:r>
      <w:r>
        <w:rPr>
          <w:rFonts w:cs="Arial"/>
          <w:rtl/>
        </w:rPr>
        <w:t xml:space="preserve"> </w:t>
      </w:r>
      <w:r>
        <w:rPr>
          <w:rFonts w:cs="Arial" w:hint="cs"/>
          <w:rtl/>
        </w:rPr>
        <w:t>לגמרי.</w:t>
      </w:r>
      <w:r>
        <w:rPr>
          <w:rFonts w:cs="Arial"/>
          <w:rtl/>
        </w:rPr>
        <w:t xml:space="preserve"> </w:t>
      </w:r>
      <w:r>
        <w:rPr>
          <w:rFonts w:cs="Arial" w:hint="cs"/>
          <w:rtl/>
        </w:rPr>
        <w:t>ומשום</w:t>
      </w:r>
      <w:r>
        <w:rPr>
          <w:rFonts w:cs="Arial"/>
          <w:rtl/>
        </w:rPr>
        <w:t xml:space="preserve"> </w:t>
      </w:r>
      <w:r>
        <w:rPr>
          <w:rFonts w:cs="Arial" w:hint="cs"/>
          <w:rtl/>
        </w:rPr>
        <w:t>הכי</w:t>
      </w:r>
      <w:r>
        <w:rPr>
          <w:rFonts w:cs="Arial"/>
          <w:rtl/>
        </w:rPr>
        <w:t xml:space="preserve"> </w:t>
      </w:r>
      <w:r>
        <w:rPr>
          <w:rFonts w:cs="Arial" w:hint="cs"/>
          <w:rtl/>
        </w:rPr>
        <w:t>פשיטא</w:t>
      </w:r>
      <w:r>
        <w:rPr>
          <w:rFonts w:cs="Arial"/>
          <w:rtl/>
        </w:rPr>
        <w:t xml:space="preserve"> </w:t>
      </w:r>
      <w:r>
        <w:rPr>
          <w:rFonts w:cs="Arial" w:hint="cs"/>
          <w:rtl/>
        </w:rPr>
        <w:t>ליה</w:t>
      </w:r>
      <w:r>
        <w:rPr>
          <w:rFonts w:cs="Arial"/>
          <w:rtl/>
        </w:rPr>
        <w:t xml:space="preserve"> </w:t>
      </w:r>
      <w:r>
        <w:rPr>
          <w:rFonts w:cs="Arial" w:hint="cs"/>
          <w:rtl/>
        </w:rPr>
        <w:t>דבשהה</w:t>
      </w:r>
      <w:r>
        <w:rPr>
          <w:rFonts w:cs="Arial"/>
          <w:rtl/>
        </w:rPr>
        <w:t xml:space="preserve"> </w:t>
      </w:r>
      <w:r>
        <w:rPr>
          <w:rFonts w:cs="Arial" w:hint="cs"/>
          <w:rtl/>
        </w:rPr>
        <w:t>י</w:t>
      </w:r>
      <w:r>
        <w:rPr>
          <w:rFonts w:cs="Arial"/>
          <w:rtl/>
        </w:rPr>
        <w:t>"</w:t>
      </w:r>
      <w:r>
        <w:rPr>
          <w:rFonts w:cs="Arial" w:hint="cs"/>
          <w:rtl/>
        </w:rPr>
        <w:t>ב</w:t>
      </w:r>
      <w:r>
        <w:rPr>
          <w:rFonts w:cs="Arial"/>
          <w:rtl/>
        </w:rPr>
        <w:t xml:space="preserve"> </w:t>
      </w:r>
      <w:r>
        <w:rPr>
          <w:rFonts w:cs="Arial" w:hint="cs"/>
          <w:rtl/>
        </w:rPr>
        <w:t>חודש</w:t>
      </w:r>
      <w:r>
        <w:rPr>
          <w:rFonts w:cs="Arial"/>
          <w:rtl/>
        </w:rPr>
        <w:t xml:space="preserve"> </w:t>
      </w:r>
      <w:r>
        <w:rPr>
          <w:rFonts w:cs="Arial" w:hint="cs"/>
          <w:rtl/>
        </w:rPr>
        <w:t>חשיבא</w:t>
      </w:r>
      <w:r>
        <w:rPr>
          <w:rFonts w:cs="Arial"/>
          <w:rtl/>
        </w:rPr>
        <w:t xml:space="preserve"> </w:t>
      </w:r>
      <w:r>
        <w:rPr>
          <w:rFonts w:cs="Arial" w:hint="cs"/>
          <w:rtl/>
        </w:rPr>
        <w:t>עיר</w:t>
      </w:r>
      <w:r>
        <w:rPr>
          <w:rFonts w:cs="Arial"/>
          <w:rtl/>
        </w:rPr>
        <w:t xml:space="preserve"> </w:t>
      </w:r>
      <w:r>
        <w:rPr>
          <w:rFonts w:cs="Arial" w:hint="cs"/>
          <w:rtl/>
        </w:rPr>
        <w:t>דירתו,</w:t>
      </w:r>
      <w:r>
        <w:rPr>
          <w:rFonts w:cs="Arial"/>
          <w:rtl/>
        </w:rPr>
        <w:t xml:space="preserve"> </w:t>
      </w:r>
      <w:r>
        <w:rPr>
          <w:rFonts w:cs="Arial" w:hint="cs"/>
          <w:rtl/>
        </w:rPr>
        <w:t>ובקנה</w:t>
      </w:r>
      <w:r>
        <w:rPr>
          <w:rFonts w:cs="Arial"/>
          <w:rtl/>
        </w:rPr>
        <w:t xml:space="preserve"> </w:t>
      </w:r>
      <w:r>
        <w:rPr>
          <w:rFonts w:cs="Arial" w:hint="cs"/>
          <w:rtl/>
        </w:rPr>
        <w:t>בית</w:t>
      </w:r>
      <w:r>
        <w:rPr>
          <w:rFonts w:cs="Arial"/>
          <w:rtl/>
        </w:rPr>
        <w:t xml:space="preserve"> </w:t>
      </w:r>
      <w:r>
        <w:rPr>
          <w:rFonts w:cs="Arial" w:hint="cs"/>
          <w:rtl/>
        </w:rPr>
        <w:t>דירה</w:t>
      </w:r>
      <w:r>
        <w:rPr>
          <w:rFonts w:cs="Arial"/>
          <w:rtl/>
        </w:rPr>
        <w:t xml:space="preserve"> </w:t>
      </w:r>
      <w:r>
        <w:rPr>
          <w:rFonts w:cs="Arial" w:hint="cs"/>
          <w:rtl/>
        </w:rPr>
        <w:t>מספקא</w:t>
      </w:r>
      <w:r>
        <w:rPr>
          <w:rFonts w:cs="Arial"/>
          <w:rtl/>
        </w:rPr>
        <w:t xml:space="preserve"> </w:t>
      </w:r>
      <w:r>
        <w:rPr>
          <w:rFonts w:cs="Arial" w:hint="cs"/>
          <w:rtl/>
        </w:rPr>
        <w:t xml:space="preserve">ליה, </w:t>
      </w:r>
      <w:r w:rsidRPr="001F602D">
        <w:rPr>
          <w:rFonts w:cs="Arial" w:hint="cs"/>
          <w:b/>
          <w:bCs/>
          <w:rtl/>
        </w:rPr>
        <w:t>ב"י</w:t>
      </w:r>
      <w:r>
        <w:rPr>
          <w:rFonts w:cs="Arial" w:hint="cs"/>
          <w:rtl/>
        </w:rPr>
        <w:t>.</w:t>
      </w:r>
      <w:r>
        <w:rPr>
          <w:rFonts w:hint="cs"/>
          <w:rtl/>
        </w:rPr>
        <w:t xml:space="preserve"> </w:t>
      </w:r>
      <w:r w:rsidRPr="001F602D">
        <w:rPr>
          <w:rFonts w:hint="cs"/>
          <w:b/>
          <w:bCs/>
          <w:rtl/>
        </w:rPr>
        <w:t>ובשיטת הקדמונים</w:t>
      </w:r>
      <w:r>
        <w:rPr>
          <w:rFonts w:hint="cs"/>
          <w:rtl/>
        </w:rPr>
        <w:t xml:space="preserve"> (גיטין לד:) כתוב </w:t>
      </w:r>
      <w:r w:rsidR="000A0F5A">
        <w:rPr>
          <w:rFonts w:hint="cs"/>
          <w:rtl/>
        </w:rPr>
        <w:t>וז</w:t>
      </w:r>
      <w:r w:rsidR="000A0F5A">
        <w:rPr>
          <w:rtl/>
        </w:rPr>
        <w:t>"</w:t>
      </w:r>
      <w:r w:rsidR="000A0F5A">
        <w:rPr>
          <w:rFonts w:hint="cs"/>
          <w:rtl/>
        </w:rPr>
        <w:t>ל:</w:t>
      </w:r>
      <w:r>
        <w:rPr>
          <w:rFonts w:hint="cs"/>
          <w:rtl/>
        </w:rPr>
        <w:t xml:space="preserve"> דלא מיקריא עירו אלא ההוא דמקרי איהו לגבה מבני אותה העיר. ותניא המודר הנאה מבני העיר כל ששהו שם י"ב חדש אסור להינות ממנו, אבל קניית בית דירה מספקא לן בין לענין גט בין לענין נדרים אי מהניא למהוי כבני מאתא כמה דמהני לפסי העיר, מדלא תני ליה גבי נדרים.</w:t>
      </w:r>
    </w:p>
  </w:footnote>
  <w:footnote w:id="966">
    <w:p w14:paraId="6A36F703" w14:textId="77777777" w:rsidR="00FA2119" w:rsidRDefault="00FA2119" w:rsidP="00FA2119">
      <w:pPr>
        <w:pStyle w:val="a5"/>
        <w:rPr>
          <w:rtl/>
        </w:rPr>
      </w:pPr>
      <w:r>
        <w:rPr>
          <w:rStyle w:val="a7"/>
        </w:rPr>
        <w:footnoteRef/>
      </w:r>
      <w:r>
        <w:rPr>
          <w:rtl/>
        </w:rPr>
        <w:t xml:space="preserve"> </w:t>
      </w:r>
      <w:r w:rsidRPr="00BF3A57">
        <w:rPr>
          <w:rFonts w:cs="Arial" w:hint="cs"/>
          <w:rtl/>
        </w:rPr>
        <w:t>ונראה</w:t>
      </w:r>
      <w:r w:rsidRPr="00BF3A57">
        <w:rPr>
          <w:rFonts w:cs="Arial"/>
          <w:rtl/>
        </w:rPr>
        <w:t xml:space="preserve"> </w:t>
      </w:r>
      <w:r w:rsidRPr="00BF3A57">
        <w:rPr>
          <w:rFonts w:cs="Arial" w:hint="cs"/>
          <w:rtl/>
        </w:rPr>
        <w:t>לי</w:t>
      </w:r>
      <w:r w:rsidRPr="00BF3A57">
        <w:rPr>
          <w:rFonts w:cs="Arial"/>
          <w:rtl/>
        </w:rPr>
        <w:t xml:space="preserve"> </w:t>
      </w:r>
      <w:r w:rsidRPr="00BF3A57">
        <w:rPr>
          <w:rFonts w:cs="Arial" w:hint="cs"/>
          <w:rtl/>
        </w:rPr>
        <w:t>שאין</w:t>
      </w:r>
      <w:r w:rsidRPr="00BF3A57">
        <w:rPr>
          <w:rFonts w:cs="Arial"/>
          <w:rtl/>
        </w:rPr>
        <w:t xml:space="preserve"> </w:t>
      </w:r>
      <w:r w:rsidRPr="00BF3A57">
        <w:rPr>
          <w:rFonts w:cs="Arial" w:hint="cs"/>
          <w:rtl/>
        </w:rPr>
        <w:t>זה</w:t>
      </w:r>
      <w:r w:rsidRPr="00BF3A57">
        <w:rPr>
          <w:rFonts w:cs="Arial"/>
          <w:rtl/>
        </w:rPr>
        <w:t xml:space="preserve"> </w:t>
      </w:r>
      <w:r w:rsidRPr="00BF3A57">
        <w:rPr>
          <w:rFonts w:cs="Arial" w:hint="cs"/>
          <w:rtl/>
        </w:rPr>
        <w:t>סותר</w:t>
      </w:r>
      <w:r w:rsidRPr="00BF3A57">
        <w:rPr>
          <w:rFonts w:cs="Arial"/>
          <w:rtl/>
        </w:rPr>
        <w:t xml:space="preserve"> </w:t>
      </w:r>
      <w:r w:rsidRPr="00BF3A57">
        <w:rPr>
          <w:rFonts w:cs="Arial" w:hint="cs"/>
          <w:rtl/>
        </w:rPr>
        <w:t>למה</w:t>
      </w:r>
      <w:r w:rsidRPr="00BF3A57">
        <w:rPr>
          <w:rFonts w:cs="Arial"/>
          <w:rtl/>
        </w:rPr>
        <w:t xml:space="preserve"> </w:t>
      </w:r>
      <w:r w:rsidRPr="00BF3A57">
        <w:rPr>
          <w:rFonts w:cs="Arial" w:hint="cs"/>
          <w:rtl/>
        </w:rPr>
        <w:t>שכתב</w:t>
      </w:r>
      <w:r w:rsidRPr="00BF3A57">
        <w:rPr>
          <w:rFonts w:cs="Arial"/>
          <w:rtl/>
        </w:rPr>
        <w:t xml:space="preserve"> </w:t>
      </w:r>
      <w:r w:rsidRPr="00BF3A57">
        <w:rPr>
          <w:rFonts w:cs="Arial" w:hint="cs"/>
          <w:rtl/>
        </w:rPr>
        <w:t>רבינו</w:t>
      </w:r>
      <w:r w:rsidRPr="00BF3A57">
        <w:rPr>
          <w:rFonts w:cs="Arial"/>
          <w:rtl/>
        </w:rPr>
        <w:t xml:space="preserve"> </w:t>
      </w:r>
      <w:r w:rsidRPr="00BF3A57">
        <w:rPr>
          <w:rFonts w:cs="Arial" w:hint="cs"/>
          <w:rtl/>
        </w:rPr>
        <w:t>בשם</w:t>
      </w:r>
      <w:r w:rsidRPr="00BF3A57">
        <w:rPr>
          <w:rFonts w:cs="Arial"/>
          <w:rtl/>
        </w:rPr>
        <w:t xml:space="preserve"> </w:t>
      </w:r>
      <w:r w:rsidRPr="00BF3A57">
        <w:rPr>
          <w:rFonts w:cs="Arial" w:hint="cs"/>
          <w:rtl/>
        </w:rPr>
        <w:t>הרמ</w:t>
      </w:r>
      <w:r w:rsidRPr="00BF3A57">
        <w:rPr>
          <w:rFonts w:cs="Arial"/>
          <w:rtl/>
        </w:rPr>
        <w:t>"</w:t>
      </w:r>
      <w:r w:rsidRPr="00BF3A57">
        <w:rPr>
          <w:rFonts w:cs="Arial" w:hint="cs"/>
          <w:rtl/>
        </w:rPr>
        <w:t>ה</w:t>
      </w:r>
      <w:r w:rsidRPr="00BF3A57">
        <w:rPr>
          <w:rFonts w:cs="Arial"/>
          <w:rtl/>
        </w:rPr>
        <w:t xml:space="preserve"> </w:t>
      </w:r>
      <w:r w:rsidRPr="00BF3A57">
        <w:rPr>
          <w:rFonts w:cs="Arial" w:hint="cs"/>
          <w:rtl/>
        </w:rPr>
        <w:t>שהרגיל</w:t>
      </w:r>
      <w:r w:rsidRPr="00BF3A57">
        <w:rPr>
          <w:rFonts w:cs="Arial"/>
          <w:rtl/>
        </w:rPr>
        <w:t xml:space="preserve"> </w:t>
      </w:r>
      <w:r w:rsidRPr="00BF3A57">
        <w:rPr>
          <w:rFonts w:cs="Arial" w:hint="cs"/>
          <w:rtl/>
        </w:rPr>
        <w:t>בשני</w:t>
      </w:r>
      <w:r w:rsidRPr="00BF3A57">
        <w:rPr>
          <w:rFonts w:cs="Arial"/>
          <w:rtl/>
        </w:rPr>
        <w:t xml:space="preserve"> </w:t>
      </w:r>
      <w:r w:rsidRPr="00BF3A57">
        <w:rPr>
          <w:rFonts w:cs="Arial" w:hint="cs"/>
          <w:rtl/>
        </w:rPr>
        <w:t>מקומות</w:t>
      </w:r>
      <w:r w:rsidRPr="00BF3A57">
        <w:rPr>
          <w:rFonts w:cs="Arial"/>
          <w:rtl/>
        </w:rPr>
        <w:t xml:space="preserve"> </w:t>
      </w:r>
      <w:r w:rsidRPr="00BF3A57">
        <w:rPr>
          <w:rFonts w:cs="Arial" w:hint="cs"/>
          <w:rtl/>
        </w:rPr>
        <w:t>כותבים</w:t>
      </w:r>
      <w:r w:rsidRPr="00BF3A57">
        <w:rPr>
          <w:rFonts w:cs="Arial"/>
          <w:rtl/>
        </w:rPr>
        <w:t xml:space="preserve"> </w:t>
      </w:r>
      <w:r w:rsidRPr="00BF3A57">
        <w:rPr>
          <w:rFonts w:cs="Arial" w:hint="cs"/>
          <w:rtl/>
        </w:rPr>
        <w:t>מקום</w:t>
      </w:r>
      <w:r w:rsidRPr="00BF3A57">
        <w:rPr>
          <w:rFonts w:cs="Arial"/>
          <w:rtl/>
        </w:rPr>
        <w:t xml:space="preserve"> </w:t>
      </w:r>
      <w:r w:rsidRPr="00BF3A57">
        <w:rPr>
          <w:rFonts w:cs="Arial" w:hint="cs"/>
          <w:rtl/>
        </w:rPr>
        <w:t>עיקר</w:t>
      </w:r>
      <w:r w:rsidRPr="00BF3A57">
        <w:rPr>
          <w:rFonts w:cs="Arial"/>
          <w:rtl/>
        </w:rPr>
        <w:t xml:space="preserve"> </w:t>
      </w:r>
      <w:r w:rsidRPr="00BF3A57">
        <w:rPr>
          <w:rFonts w:cs="Arial" w:hint="cs"/>
          <w:rtl/>
        </w:rPr>
        <w:t>דירתו</w:t>
      </w:r>
      <w:r w:rsidRPr="00BF3A57">
        <w:rPr>
          <w:rFonts w:cs="Arial"/>
          <w:rtl/>
        </w:rPr>
        <w:t xml:space="preserve"> </w:t>
      </w:r>
      <w:r w:rsidRPr="00BF3A57">
        <w:rPr>
          <w:rFonts w:cs="Arial" w:hint="cs"/>
          <w:rtl/>
        </w:rPr>
        <w:t>והוא</w:t>
      </w:r>
      <w:r w:rsidRPr="00BF3A57">
        <w:rPr>
          <w:rFonts w:cs="Arial"/>
          <w:rtl/>
        </w:rPr>
        <w:t xml:space="preserve"> </w:t>
      </w:r>
      <w:r w:rsidRPr="00BF3A57">
        <w:rPr>
          <w:rFonts w:cs="Arial" w:hint="cs"/>
          <w:rtl/>
        </w:rPr>
        <w:t>אותו</w:t>
      </w:r>
      <w:r w:rsidRPr="00BF3A57">
        <w:rPr>
          <w:rFonts w:cs="Arial"/>
          <w:rtl/>
        </w:rPr>
        <w:t xml:space="preserve"> </w:t>
      </w:r>
      <w:r w:rsidRPr="00BF3A57">
        <w:rPr>
          <w:rFonts w:cs="Arial" w:hint="cs"/>
          <w:rtl/>
        </w:rPr>
        <w:t>שדר</w:t>
      </w:r>
      <w:r w:rsidRPr="00BF3A57">
        <w:rPr>
          <w:rFonts w:cs="Arial"/>
          <w:rtl/>
        </w:rPr>
        <w:t xml:space="preserve"> </w:t>
      </w:r>
      <w:r w:rsidRPr="00BF3A57">
        <w:rPr>
          <w:rFonts w:cs="Arial" w:hint="cs"/>
          <w:rtl/>
        </w:rPr>
        <w:t>בו</w:t>
      </w:r>
      <w:r w:rsidRPr="00BF3A57">
        <w:rPr>
          <w:rFonts w:cs="Arial"/>
          <w:rtl/>
        </w:rPr>
        <w:t xml:space="preserve"> </w:t>
      </w:r>
      <w:r w:rsidRPr="00BF3A57">
        <w:rPr>
          <w:rFonts w:cs="Arial" w:hint="cs"/>
          <w:rtl/>
        </w:rPr>
        <w:t>י</w:t>
      </w:r>
      <w:r w:rsidRPr="00BF3A57">
        <w:rPr>
          <w:rFonts w:cs="Arial"/>
          <w:rtl/>
        </w:rPr>
        <w:t>"</w:t>
      </w:r>
      <w:r w:rsidRPr="00BF3A57">
        <w:rPr>
          <w:rFonts w:cs="Arial" w:hint="cs"/>
          <w:rtl/>
        </w:rPr>
        <w:t>ב</w:t>
      </w:r>
      <w:r w:rsidRPr="00BF3A57">
        <w:rPr>
          <w:rFonts w:cs="Arial"/>
          <w:rtl/>
        </w:rPr>
        <w:t xml:space="preserve"> </w:t>
      </w:r>
      <w:r w:rsidRPr="00BF3A57">
        <w:rPr>
          <w:rFonts w:cs="Arial" w:hint="cs"/>
          <w:rtl/>
        </w:rPr>
        <w:t>חודש</w:t>
      </w:r>
      <w:r>
        <w:rPr>
          <w:rFonts w:cs="Arial" w:hint="cs"/>
          <w:rtl/>
        </w:rPr>
        <w:t>,</w:t>
      </w:r>
      <w:r w:rsidRPr="00BF3A57">
        <w:rPr>
          <w:rFonts w:cs="Arial"/>
          <w:rtl/>
        </w:rPr>
        <w:t xml:space="preserve"> </w:t>
      </w:r>
      <w:r w:rsidRPr="00BF3A57">
        <w:rPr>
          <w:rFonts w:cs="Arial" w:hint="cs"/>
          <w:rtl/>
        </w:rPr>
        <w:t>דשאני</w:t>
      </w:r>
      <w:r w:rsidRPr="00BF3A57">
        <w:rPr>
          <w:rFonts w:cs="Arial"/>
          <w:rtl/>
        </w:rPr>
        <w:t xml:space="preserve"> </w:t>
      </w:r>
      <w:r w:rsidRPr="00BF3A57">
        <w:rPr>
          <w:rFonts w:cs="Arial" w:hint="cs"/>
          <w:rtl/>
        </w:rPr>
        <w:t>התם</w:t>
      </w:r>
      <w:r w:rsidRPr="00BF3A57">
        <w:rPr>
          <w:rFonts w:cs="Arial"/>
          <w:rtl/>
        </w:rPr>
        <w:t xml:space="preserve"> </w:t>
      </w:r>
      <w:r w:rsidRPr="00BF3A57">
        <w:rPr>
          <w:rFonts w:cs="Arial" w:hint="cs"/>
          <w:rtl/>
        </w:rPr>
        <w:t>דרגיל</w:t>
      </w:r>
      <w:r w:rsidRPr="00BF3A57">
        <w:rPr>
          <w:rFonts w:cs="Arial"/>
          <w:rtl/>
        </w:rPr>
        <w:t xml:space="preserve"> </w:t>
      </w:r>
      <w:r w:rsidRPr="00BF3A57">
        <w:rPr>
          <w:rFonts w:cs="Arial" w:hint="cs"/>
          <w:rtl/>
        </w:rPr>
        <w:t>לדור</w:t>
      </w:r>
      <w:r w:rsidRPr="00BF3A57">
        <w:rPr>
          <w:rFonts w:cs="Arial"/>
          <w:rtl/>
        </w:rPr>
        <w:t xml:space="preserve"> </w:t>
      </w:r>
      <w:r w:rsidRPr="00BF3A57">
        <w:rPr>
          <w:rFonts w:cs="Arial" w:hint="cs"/>
          <w:rtl/>
        </w:rPr>
        <w:t>בשני</w:t>
      </w:r>
      <w:r w:rsidRPr="00BF3A57">
        <w:rPr>
          <w:rFonts w:cs="Arial"/>
          <w:rtl/>
        </w:rPr>
        <w:t xml:space="preserve"> </w:t>
      </w:r>
      <w:r w:rsidRPr="00BF3A57">
        <w:rPr>
          <w:rFonts w:cs="Arial" w:hint="cs"/>
          <w:rtl/>
        </w:rPr>
        <w:t>המקומות</w:t>
      </w:r>
      <w:r w:rsidRPr="00BF3A57">
        <w:rPr>
          <w:rFonts w:cs="Arial"/>
          <w:rtl/>
        </w:rPr>
        <w:t xml:space="preserve"> </w:t>
      </w:r>
      <w:r w:rsidRPr="00BF3A57">
        <w:rPr>
          <w:rFonts w:cs="Arial" w:hint="cs"/>
          <w:rtl/>
        </w:rPr>
        <w:t>הילכך</w:t>
      </w:r>
      <w:r w:rsidRPr="00BF3A57">
        <w:rPr>
          <w:rFonts w:cs="Arial"/>
          <w:rtl/>
        </w:rPr>
        <w:t xml:space="preserve"> </w:t>
      </w:r>
      <w:r w:rsidRPr="00BF3A57">
        <w:rPr>
          <w:rFonts w:cs="Arial" w:hint="cs"/>
          <w:rtl/>
        </w:rPr>
        <w:t>לא</w:t>
      </w:r>
      <w:r w:rsidRPr="00BF3A57">
        <w:rPr>
          <w:rFonts w:cs="Arial"/>
          <w:rtl/>
        </w:rPr>
        <w:t xml:space="preserve"> </w:t>
      </w:r>
      <w:r w:rsidRPr="00BF3A57">
        <w:rPr>
          <w:rFonts w:cs="Arial" w:hint="cs"/>
          <w:rtl/>
        </w:rPr>
        <w:t>מיקרי</w:t>
      </w:r>
      <w:r w:rsidRPr="00BF3A57">
        <w:rPr>
          <w:rFonts w:cs="Arial"/>
          <w:rtl/>
        </w:rPr>
        <w:t xml:space="preserve"> </w:t>
      </w:r>
      <w:r w:rsidRPr="00BF3A57">
        <w:rPr>
          <w:rFonts w:cs="Arial" w:hint="cs"/>
          <w:rtl/>
        </w:rPr>
        <w:t>עיקר</w:t>
      </w:r>
      <w:r w:rsidRPr="00BF3A57">
        <w:rPr>
          <w:rFonts w:cs="Arial"/>
          <w:rtl/>
        </w:rPr>
        <w:t xml:space="preserve"> </w:t>
      </w:r>
      <w:r w:rsidRPr="00BF3A57">
        <w:rPr>
          <w:rFonts w:cs="Arial" w:hint="cs"/>
          <w:rtl/>
        </w:rPr>
        <w:t>דירתו</w:t>
      </w:r>
      <w:r w:rsidRPr="00BF3A57">
        <w:rPr>
          <w:rFonts w:cs="Arial"/>
          <w:rtl/>
        </w:rPr>
        <w:t xml:space="preserve"> </w:t>
      </w:r>
      <w:r w:rsidRPr="00BF3A57">
        <w:rPr>
          <w:rFonts w:cs="Arial" w:hint="cs"/>
          <w:rtl/>
        </w:rPr>
        <w:t>עד</w:t>
      </w:r>
      <w:r w:rsidRPr="00BF3A57">
        <w:rPr>
          <w:rFonts w:cs="Arial"/>
          <w:rtl/>
        </w:rPr>
        <w:t xml:space="preserve"> </w:t>
      </w:r>
      <w:r w:rsidRPr="00BF3A57">
        <w:rPr>
          <w:rFonts w:cs="Arial" w:hint="cs"/>
          <w:rtl/>
        </w:rPr>
        <w:t>שידור</w:t>
      </w:r>
      <w:r w:rsidRPr="00BF3A57">
        <w:rPr>
          <w:rFonts w:cs="Arial"/>
          <w:rtl/>
        </w:rPr>
        <w:t xml:space="preserve"> </w:t>
      </w:r>
      <w:r w:rsidRPr="00BF3A57">
        <w:rPr>
          <w:rFonts w:cs="Arial" w:hint="cs"/>
          <w:rtl/>
        </w:rPr>
        <w:t>בו</w:t>
      </w:r>
      <w:r w:rsidRPr="00BF3A57">
        <w:rPr>
          <w:rFonts w:cs="Arial"/>
          <w:rtl/>
        </w:rPr>
        <w:t xml:space="preserve"> </w:t>
      </w:r>
      <w:r w:rsidRPr="00BF3A57">
        <w:rPr>
          <w:rFonts w:cs="Arial" w:hint="cs"/>
          <w:rtl/>
        </w:rPr>
        <w:t>י</w:t>
      </w:r>
      <w:r w:rsidRPr="00BF3A57">
        <w:rPr>
          <w:rFonts w:cs="Arial"/>
          <w:rtl/>
        </w:rPr>
        <w:t>"</w:t>
      </w:r>
      <w:r w:rsidRPr="00BF3A57">
        <w:rPr>
          <w:rFonts w:cs="Arial" w:hint="cs"/>
          <w:rtl/>
        </w:rPr>
        <w:t>ב</w:t>
      </w:r>
      <w:r w:rsidRPr="00BF3A57">
        <w:rPr>
          <w:rFonts w:cs="Arial"/>
          <w:rtl/>
        </w:rPr>
        <w:t xml:space="preserve"> </w:t>
      </w:r>
      <w:r w:rsidRPr="00BF3A57">
        <w:rPr>
          <w:rFonts w:cs="Arial" w:hint="cs"/>
          <w:rtl/>
        </w:rPr>
        <w:t>חודש</w:t>
      </w:r>
      <w:r>
        <w:rPr>
          <w:rFonts w:cs="Arial" w:hint="cs"/>
          <w:rtl/>
        </w:rPr>
        <w:t>.</w:t>
      </w:r>
      <w:r w:rsidRPr="00BF3A57">
        <w:rPr>
          <w:rFonts w:cs="Arial"/>
          <w:rtl/>
        </w:rPr>
        <w:t xml:space="preserve"> </w:t>
      </w:r>
      <w:r w:rsidRPr="00BF3A57">
        <w:rPr>
          <w:rFonts w:cs="Arial" w:hint="cs"/>
          <w:rtl/>
        </w:rPr>
        <w:t>אבל</w:t>
      </w:r>
      <w:r w:rsidRPr="00BF3A57">
        <w:rPr>
          <w:rFonts w:cs="Arial"/>
          <w:rtl/>
        </w:rPr>
        <w:t xml:space="preserve"> </w:t>
      </w:r>
      <w:r w:rsidRPr="00BF3A57">
        <w:rPr>
          <w:rFonts w:cs="Arial" w:hint="cs"/>
          <w:rtl/>
        </w:rPr>
        <w:t>היכא</w:t>
      </w:r>
      <w:r w:rsidRPr="00BF3A57">
        <w:rPr>
          <w:rFonts w:cs="Arial"/>
          <w:rtl/>
        </w:rPr>
        <w:t xml:space="preserve"> </w:t>
      </w:r>
      <w:r w:rsidRPr="00BF3A57">
        <w:rPr>
          <w:rFonts w:cs="Arial" w:hint="cs"/>
          <w:rtl/>
        </w:rPr>
        <w:t>שנעקר</w:t>
      </w:r>
      <w:r w:rsidRPr="00BF3A57">
        <w:rPr>
          <w:rFonts w:cs="Arial"/>
          <w:rtl/>
        </w:rPr>
        <w:t xml:space="preserve"> </w:t>
      </w:r>
      <w:r w:rsidRPr="00BF3A57">
        <w:rPr>
          <w:rFonts w:cs="Arial" w:hint="cs"/>
          <w:rtl/>
        </w:rPr>
        <w:t>ממקומו</w:t>
      </w:r>
      <w:r w:rsidRPr="00BF3A57">
        <w:rPr>
          <w:rFonts w:cs="Arial"/>
          <w:rtl/>
        </w:rPr>
        <w:t xml:space="preserve"> </w:t>
      </w:r>
      <w:r w:rsidRPr="00BF3A57">
        <w:rPr>
          <w:rFonts w:cs="Arial" w:hint="cs"/>
          <w:rtl/>
        </w:rPr>
        <w:t>הראשון</w:t>
      </w:r>
      <w:r w:rsidRPr="00BF3A57">
        <w:rPr>
          <w:rFonts w:cs="Arial"/>
          <w:rtl/>
        </w:rPr>
        <w:t xml:space="preserve"> </w:t>
      </w:r>
      <w:r w:rsidRPr="00BF3A57">
        <w:rPr>
          <w:rFonts w:cs="Arial" w:hint="cs"/>
          <w:rtl/>
        </w:rPr>
        <w:t>ובא</w:t>
      </w:r>
      <w:r w:rsidRPr="00BF3A57">
        <w:rPr>
          <w:rFonts w:cs="Arial"/>
          <w:rtl/>
        </w:rPr>
        <w:t xml:space="preserve"> </w:t>
      </w:r>
      <w:r w:rsidRPr="00BF3A57">
        <w:rPr>
          <w:rFonts w:cs="Arial" w:hint="cs"/>
          <w:rtl/>
        </w:rPr>
        <w:t>לקבוע</w:t>
      </w:r>
      <w:r w:rsidRPr="00BF3A57">
        <w:rPr>
          <w:rFonts w:cs="Arial"/>
          <w:rtl/>
        </w:rPr>
        <w:t xml:space="preserve"> </w:t>
      </w:r>
      <w:r w:rsidRPr="00BF3A57">
        <w:rPr>
          <w:rFonts w:cs="Arial" w:hint="cs"/>
          <w:rtl/>
        </w:rPr>
        <w:t>דירתו</w:t>
      </w:r>
      <w:r w:rsidRPr="00BF3A57">
        <w:rPr>
          <w:rFonts w:cs="Arial"/>
          <w:rtl/>
        </w:rPr>
        <w:t xml:space="preserve"> </w:t>
      </w:r>
      <w:r w:rsidRPr="00BF3A57">
        <w:rPr>
          <w:rFonts w:cs="Arial" w:hint="cs"/>
          <w:rtl/>
        </w:rPr>
        <w:t>במקום</w:t>
      </w:r>
      <w:r w:rsidRPr="00BF3A57">
        <w:rPr>
          <w:rFonts w:cs="Arial"/>
          <w:rtl/>
        </w:rPr>
        <w:t xml:space="preserve"> </w:t>
      </w:r>
      <w:r w:rsidRPr="00BF3A57">
        <w:rPr>
          <w:rFonts w:cs="Arial" w:hint="cs"/>
          <w:rtl/>
        </w:rPr>
        <w:t>זה</w:t>
      </w:r>
      <w:r w:rsidRPr="00BF3A57">
        <w:rPr>
          <w:rFonts w:cs="Arial"/>
          <w:rtl/>
        </w:rPr>
        <w:t xml:space="preserve"> </w:t>
      </w:r>
      <w:r>
        <w:rPr>
          <w:rFonts w:cs="Arial" w:hint="cs"/>
          <w:rtl/>
        </w:rPr>
        <w:t xml:space="preserve">- </w:t>
      </w:r>
      <w:r w:rsidRPr="00BF3A57">
        <w:rPr>
          <w:rFonts w:cs="Arial" w:hint="cs"/>
          <w:rtl/>
        </w:rPr>
        <w:t>בשלשים</w:t>
      </w:r>
      <w:r w:rsidRPr="00BF3A57">
        <w:rPr>
          <w:rFonts w:cs="Arial"/>
          <w:rtl/>
        </w:rPr>
        <w:t xml:space="preserve"> </w:t>
      </w:r>
      <w:r w:rsidRPr="00BF3A57">
        <w:rPr>
          <w:rFonts w:cs="Arial" w:hint="cs"/>
          <w:rtl/>
        </w:rPr>
        <w:t>יום</w:t>
      </w:r>
      <w:r w:rsidRPr="00BF3A57">
        <w:rPr>
          <w:rFonts w:cs="Arial"/>
          <w:rtl/>
        </w:rPr>
        <w:t xml:space="preserve"> </w:t>
      </w:r>
      <w:r w:rsidRPr="00BF3A57">
        <w:rPr>
          <w:rFonts w:cs="Arial" w:hint="cs"/>
          <w:rtl/>
        </w:rPr>
        <w:t>סגי</w:t>
      </w:r>
      <w:r w:rsidRPr="00BF3A57">
        <w:rPr>
          <w:rFonts w:cs="Arial"/>
          <w:rtl/>
        </w:rPr>
        <w:t xml:space="preserve"> </w:t>
      </w:r>
      <w:r w:rsidRPr="00BF3A57">
        <w:rPr>
          <w:rFonts w:cs="Arial" w:hint="cs"/>
          <w:rtl/>
        </w:rPr>
        <w:t>שהוא</w:t>
      </w:r>
      <w:r w:rsidRPr="00BF3A57">
        <w:rPr>
          <w:rFonts w:cs="Arial"/>
          <w:rtl/>
        </w:rPr>
        <w:t xml:space="preserve"> </w:t>
      </w:r>
      <w:r w:rsidRPr="00BF3A57">
        <w:rPr>
          <w:rFonts w:cs="Arial" w:hint="cs"/>
          <w:rtl/>
        </w:rPr>
        <w:t>חשוב</w:t>
      </w:r>
      <w:r w:rsidRPr="00BF3A57">
        <w:rPr>
          <w:rFonts w:cs="Arial"/>
          <w:rtl/>
        </w:rPr>
        <w:t xml:space="preserve"> </w:t>
      </w:r>
      <w:r w:rsidRPr="00BF3A57">
        <w:rPr>
          <w:rFonts w:cs="Arial" w:hint="cs"/>
          <w:rtl/>
        </w:rPr>
        <w:t>כבני</w:t>
      </w:r>
      <w:r w:rsidRPr="00BF3A57">
        <w:rPr>
          <w:rFonts w:cs="Arial"/>
          <w:rtl/>
        </w:rPr>
        <w:t xml:space="preserve"> </w:t>
      </w:r>
      <w:r w:rsidRPr="00BF3A57">
        <w:rPr>
          <w:rFonts w:cs="Arial" w:hint="cs"/>
          <w:rtl/>
        </w:rPr>
        <w:t>העיר</w:t>
      </w:r>
      <w:r w:rsidRPr="00BF3A57">
        <w:rPr>
          <w:rFonts w:cs="Arial"/>
          <w:rtl/>
        </w:rPr>
        <w:t xml:space="preserve"> </w:t>
      </w:r>
      <w:r w:rsidRPr="00BF3A57">
        <w:rPr>
          <w:rFonts w:cs="Arial" w:hint="cs"/>
          <w:rtl/>
        </w:rPr>
        <w:t>לתמחוי</w:t>
      </w:r>
      <w:r w:rsidRPr="00BF3A57">
        <w:rPr>
          <w:rFonts w:cs="Arial"/>
          <w:rtl/>
        </w:rPr>
        <w:t xml:space="preserve"> </w:t>
      </w:r>
      <w:r w:rsidRPr="00BF3A57">
        <w:rPr>
          <w:rFonts w:cs="Arial" w:hint="cs"/>
          <w:rtl/>
        </w:rPr>
        <w:t>כדאיתא</w:t>
      </w:r>
      <w:r w:rsidRPr="00BF3A57">
        <w:rPr>
          <w:rFonts w:cs="Arial"/>
          <w:rtl/>
        </w:rPr>
        <w:t xml:space="preserve"> </w:t>
      </w:r>
      <w:r w:rsidRPr="00BF3A57">
        <w:rPr>
          <w:rFonts w:cs="Arial" w:hint="cs"/>
          <w:rtl/>
        </w:rPr>
        <w:t>בפ</w:t>
      </w:r>
      <w:r>
        <w:rPr>
          <w:rFonts w:cs="Arial" w:hint="cs"/>
          <w:rtl/>
        </w:rPr>
        <w:t>"</w:t>
      </w:r>
      <w:r w:rsidRPr="00BF3A57">
        <w:rPr>
          <w:rFonts w:cs="Arial" w:hint="cs"/>
          <w:rtl/>
        </w:rPr>
        <w:t>ק</w:t>
      </w:r>
      <w:r w:rsidRPr="00BF3A57">
        <w:rPr>
          <w:rFonts w:cs="Arial"/>
          <w:rtl/>
        </w:rPr>
        <w:t xml:space="preserve"> </w:t>
      </w:r>
      <w:r w:rsidRPr="00BF3A57">
        <w:rPr>
          <w:rFonts w:cs="Arial" w:hint="cs"/>
          <w:rtl/>
        </w:rPr>
        <w:t>דבתרא</w:t>
      </w:r>
      <w:r w:rsidRPr="00BF3A57">
        <w:rPr>
          <w:rFonts w:cs="Arial"/>
          <w:rtl/>
        </w:rPr>
        <w:t xml:space="preserve"> (</w:t>
      </w:r>
      <w:r w:rsidRPr="00BF3A57">
        <w:rPr>
          <w:rFonts w:cs="Arial" w:hint="cs"/>
          <w:rtl/>
        </w:rPr>
        <w:t>שם</w:t>
      </w:r>
      <w:r w:rsidRPr="00BF3A57">
        <w:rPr>
          <w:rFonts w:cs="Arial"/>
          <w:rtl/>
        </w:rPr>
        <w:t>)</w:t>
      </w:r>
      <w:r>
        <w:rPr>
          <w:rFonts w:hint="cs"/>
          <w:rtl/>
        </w:rPr>
        <w:t>, ב"י.</w:t>
      </w:r>
    </w:p>
  </w:footnote>
  <w:footnote w:id="967">
    <w:p w14:paraId="59AF2C31" w14:textId="7ECDDB80" w:rsidR="00FA2119" w:rsidRDefault="00FA2119" w:rsidP="00FA2119">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F8793A">
        <w:rPr>
          <w:rFonts w:cs="Arial"/>
          <w:rtl/>
        </w:rPr>
        <w:t>אומר ר' יצחק דהיינו דווקא עיר שדרין בה</w:t>
      </w:r>
      <w:r>
        <w:rPr>
          <w:rFonts w:cs="Arial" w:hint="cs"/>
          <w:rtl/>
        </w:rPr>
        <w:t>,</w:t>
      </w:r>
      <w:r w:rsidRPr="00F8793A">
        <w:rPr>
          <w:rFonts w:cs="Arial"/>
          <w:rtl/>
        </w:rPr>
        <w:t xml:space="preserve"> אבל עיר שנולד בה אפי' שינה כשר כיון שא"צ לכותבו כלל</w:t>
      </w:r>
      <w:r>
        <w:rPr>
          <w:rFonts w:cs="Arial" w:hint="cs"/>
          <w:rtl/>
        </w:rPr>
        <w:t>.</w:t>
      </w:r>
      <w:r w:rsidRPr="00F8793A">
        <w:rPr>
          <w:rFonts w:cs="Arial"/>
          <w:rtl/>
        </w:rPr>
        <w:t xml:space="preserve"> שהקדמונים שהרגילו לכותבו משום שאם יארע שיש שם יוסף בן שמעון אחר יהיה בו סימן ע"י מקום לידה</w:t>
      </w:r>
      <w:r>
        <w:rPr>
          <w:rFonts w:cs="Arial" w:hint="cs"/>
          <w:rtl/>
        </w:rPr>
        <w:t>...</w:t>
      </w:r>
      <w:r w:rsidRPr="00F8793A">
        <w:rPr>
          <w:rFonts w:cs="Arial"/>
          <w:rtl/>
        </w:rPr>
        <w:t xml:space="preserve"> מה לנו לתקן לכתוב מקום הלידה בחנם כיון שע"י כך יכול לבא לידי פסול אם ישנה</w:t>
      </w:r>
      <w:r>
        <w:rPr>
          <w:rFonts w:cs="Arial" w:hint="cs"/>
          <w:rtl/>
        </w:rPr>
        <w:t>,</w:t>
      </w:r>
      <w:r w:rsidRPr="00F8793A">
        <w:rPr>
          <w:rFonts w:cs="Arial"/>
          <w:rtl/>
        </w:rPr>
        <w:t xml:space="preserve"> אלא ודאי אפי' שינה כשר</w:t>
      </w:r>
      <w:r>
        <w:rPr>
          <w:rFonts w:cs="Arial" w:hint="cs"/>
          <w:rtl/>
        </w:rPr>
        <w:t>.</w:t>
      </w:r>
      <w:r w:rsidRPr="00F8793A">
        <w:rPr>
          <w:rFonts w:cs="Arial"/>
          <w:rtl/>
        </w:rPr>
        <w:t xml:space="preserve"> ור"ת הביא ראיה שאין שטר נפסל כשנשתנה בו דבר שאין צריך מדאמר בפ"ב דכתובות (כד:) דאין מעלין משטרות ליוחסין</w:t>
      </w:r>
      <w:r>
        <w:rPr>
          <w:rFonts w:cs="Arial" w:hint="cs"/>
          <w:rtl/>
        </w:rPr>
        <w:t>,</w:t>
      </w:r>
      <w:r w:rsidRPr="00F8793A">
        <w:rPr>
          <w:rFonts w:cs="Arial"/>
          <w:rtl/>
        </w:rPr>
        <w:t xml:space="preserve"> דלאו אכולה מילתא קא מסהדי אלא אמנה שבשטר ולא על מה שכתוב שהוא כהן</w:t>
      </w:r>
      <w:r>
        <w:rPr>
          <w:rFonts w:cs="Arial" w:hint="cs"/>
          <w:rtl/>
        </w:rPr>
        <w:t>.</w:t>
      </w:r>
      <w:r w:rsidRPr="00F8793A">
        <w:rPr>
          <w:rFonts w:cs="Arial"/>
          <w:rtl/>
        </w:rPr>
        <w:t xml:space="preserve"> אלמא אפילו אינו כהן השטר כשר</w:t>
      </w:r>
      <w:r>
        <w:rPr>
          <w:rFonts w:cs="Arial" w:hint="cs"/>
          <w:rtl/>
        </w:rPr>
        <w:t>.</w:t>
      </w:r>
      <w:r w:rsidRPr="00F8793A">
        <w:rPr>
          <w:rFonts w:cs="Arial"/>
          <w:rtl/>
        </w:rPr>
        <w:t xml:space="preserve"> וסברא הוא דעדים לא קיימי אלא על עיקר מעשה</w:t>
      </w:r>
      <w:r>
        <w:rPr>
          <w:rFonts w:cs="Arial" w:hint="cs"/>
          <w:rtl/>
        </w:rPr>
        <w:t>.</w:t>
      </w:r>
      <w:r w:rsidRPr="00F8793A">
        <w:rPr>
          <w:rFonts w:cs="Arial"/>
          <w:rtl/>
        </w:rPr>
        <w:t xml:space="preserve"> ומעשה באחד ששינה בגט מקום לידתו והכשירו ר"י</w:t>
      </w:r>
      <w:r>
        <w:rPr>
          <w:rFonts w:cs="Arial" w:hint="cs"/>
          <w:rtl/>
        </w:rPr>
        <w:t>.</w:t>
      </w:r>
      <w:r w:rsidRPr="00F8793A">
        <w:rPr>
          <w:rFonts w:cs="Arial"/>
          <w:rtl/>
        </w:rPr>
        <w:t xml:space="preserve"> והרבה פעמים כשלא היה להם ברור מקום הלידה הי' אומר אל תכתבוהו כלל</w:t>
      </w:r>
      <w:r>
        <w:rPr>
          <w:rFonts w:cs="Arial" w:hint="cs"/>
          <w:rtl/>
        </w:rPr>
        <w:t>.</w:t>
      </w:r>
      <w:r w:rsidRPr="00F8793A">
        <w:rPr>
          <w:rFonts w:cs="Arial"/>
          <w:rtl/>
        </w:rPr>
        <w:t xml:space="preserve"> ומקום עמידה נמי א"צ לכתוב</w:t>
      </w:r>
      <w:r>
        <w:rPr>
          <w:rFonts w:cs="Arial" w:hint="cs"/>
          <w:rtl/>
        </w:rPr>
        <w:t>,</w:t>
      </w:r>
      <w:r w:rsidRPr="00F8793A">
        <w:rPr>
          <w:rFonts w:cs="Arial"/>
          <w:rtl/>
        </w:rPr>
        <w:t xml:space="preserve"> דהא כל גיטין הבאים ממדינת הים אין כותבין מקום עמידת האשה</w:t>
      </w:r>
      <w:r>
        <w:rPr>
          <w:rFonts w:cs="Arial" w:hint="cs"/>
          <w:rtl/>
        </w:rPr>
        <w:t>.</w:t>
      </w:r>
      <w:r w:rsidRPr="00F8793A">
        <w:rPr>
          <w:rFonts w:cs="Arial"/>
          <w:rtl/>
        </w:rPr>
        <w:t xml:space="preserve"> ולהכי לא מוקי ליה בבעל ובשינה מקום עמידתו כדמוקי אסופר</w:t>
      </w:r>
      <w:r>
        <w:rPr>
          <w:rFonts w:cs="Arial" w:hint="cs"/>
          <w:rtl/>
        </w:rPr>
        <w:t>,</w:t>
      </w:r>
      <w:r w:rsidRPr="00F8793A">
        <w:rPr>
          <w:rFonts w:cs="Arial"/>
          <w:rtl/>
        </w:rPr>
        <w:t xml:space="preserve"> משום דפשיטא דאין צריך לכתוב מקום עמידתו.</w:t>
      </w:r>
    </w:p>
  </w:footnote>
  <w:footnote w:id="968">
    <w:p w14:paraId="303F488A" w14:textId="2E103C23"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CD3FDA">
        <w:rPr>
          <w:rFonts w:cs="Arial"/>
          <w:rtl/>
        </w:rPr>
        <w:t>ומדלא מוקי לה הכי משמע שאין צריך לכתוב מקום עמידת הבעל והאשה ביום הכתיבה</w:t>
      </w:r>
      <w:r>
        <w:rPr>
          <w:rFonts w:cs="Arial" w:hint="cs"/>
          <w:rtl/>
        </w:rPr>
        <w:t>,</w:t>
      </w:r>
      <w:r w:rsidRPr="00CD3FDA">
        <w:rPr>
          <w:rFonts w:cs="Arial"/>
          <w:rtl/>
        </w:rPr>
        <w:t xml:space="preserve"> דכל גיטין הבאין ממדינת הים מי יודע באיזה מקום האשה עומדת</w:t>
      </w:r>
      <w:r>
        <w:rPr>
          <w:rFonts w:cs="Arial" w:hint="cs"/>
          <w:rtl/>
        </w:rPr>
        <w:t>.</w:t>
      </w:r>
      <w:r w:rsidRPr="00CD3FDA">
        <w:rPr>
          <w:rFonts w:cs="Arial"/>
          <w:rtl/>
        </w:rPr>
        <w:t xml:space="preserve"> והוא הדין באיש נמי</w:t>
      </w:r>
      <w:r>
        <w:rPr>
          <w:rFonts w:cs="Arial" w:hint="cs"/>
          <w:rtl/>
        </w:rPr>
        <w:t>.</w:t>
      </w:r>
      <w:r w:rsidRPr="00CD3FDA">
        <w:rPr>
          <w:rFonts w:cs="Arial"/>
          <w:rtl/>
        </w:rPr>
        <w:t xml:space="preserve"> וגם מקום הלידה אין צריך לכתוב</w:t>
      </w:r>
      <w:r>
        <w:rPr>
          <w:rFonts w:cs="Arial" w:hint="cs"/>
          <w:rtl/>
        </w:rPr>
        <w:t>,</w:t>
      </w:r>
      <w:r w:rsidRPr="00CD3FDA">
        <w:rPr>
          <w:rFonts w:cs="Arial"/>
          <w:rtl/>
        </w:rPr>
        <w:t xml:space="preserve"> דעירו ועירה אמקום עיקר הדירה קאי כיהודה וגליל דלעיל בפרק השולח (לד</w:t>
      </w:r>
      <w:r>
        <w:rPr>
          <w:rFonts w:cs="Arial" w:hint="cs"/>
          <w:rtl/>
        </w:rPr>
        <w:t>:</w:t>
      </w:r>
      <w:r w:rsidRPr="00CD3FDA">
        <w:rPr>
          <w:rFonts w:cs="Arial"/>
          <w:rtl/>
        </w:rPr>
        <w:t>)</w:t>
      </w:r>
      <w:r>
        <w:rPr>
          <w:rFonts w:cs="Arial" w:hint="cs"/>
          <w:rtl/>
        </w:rPr>
        <w:t>.</w:t>
      </w:r>
      <w:r w:rsidRPr="00CD3FDA">
        <w:rPr>
          <w:rFonts w:cs="Arial"/>
          <w:rtl/>
        </w:rPr>
        <w:t xml:space="preserve"> וגם עירו ועירה אין עיכוב בכתיבתו</w:t>
      </w:r>
      <w:r>
        <w:rPr>
          <w:rFonts w:cs="Arial" w:hint="cs"/>
          <w:rtl/>
        </w:rPr>
        <w:t>,</w:t>
      </w:r>
      <w:r w:rsidRPr="00CD3FDA">
        <w:rPr>
          <w:rFonts w:cs="Arial"/>
          <w:rtl/>
        </w:rPr>
        <w:t xml:space="preserve"> דמתניתין לא קאמר אלא שינה אבל אם לא כתב כלל לא מיפסיל גיטא בהכי</w:t>
      </w:r>
      <w:r>
        <w:rPr>
          <w:rFonts w:cs="Arial" w:hint="cs"/>
          <w:rtl/>
        </w:rPr>
        <w:t>.</w:t>
      </w:r>
      <w:r w:rsidRPr="00CD3FDA">
        <w:rPr>
          <w:rFonts w:cs="Arial"/>
          <w:rtl/>
        </w:rPr>
        <w:t xml:space="preserve"> ונהגו באשכנז ובצרפת לכתוב מקום הלידה ועמידה ודירה היכא דיודעין משום חששת דשני יוסף בן שמעון</w:t>
      </w:r>
      <w:r>
        <w:rPr>
          <w:rFonts w:cs="Arial" w:hint="cs"/>
          <w:rtl/>
        </w:rPr>
        <w:t>.</w:t>
      </w:r>
      <w:r w:rsidRPr="00CD3FDA">
        <w:rPr>
          <w:rFonts w:cs="Arial"/>
          <w:rtl/>
        </w:rPr>
        <w:t xml:space="preserve"> ואם טעו ושינו מקום הלידה</w:t>
      </w:r>
      <w:r>
        <w:rPr>
          <w:rFonts w:cs="Arial" w:hint="cs"/>
          <w:rtl/>
        </w:rPr>
        <w:t>,</w:t>
      </w:r>
      <w:r w:rsidRPr="00CD3FDA">
        <w:rPr>
          <w:rFonts w:cs="Arial"/>
          <w:rtl/>
        </w:rPr>
        <w:t xml:space="preserve"> מעשה היה והכשירו ר"ת ז"ל</w:t>
      </w:r>
      <w:r>
        <w:rPr>
          <w:rFonts w:cs="Arial" w:hint="cs"/>
          <w:rtl/>
        </w:rPr>
        <w:t>,</w:t>
      </w:r>
      <w:r w:rsidRPr="00CD3FDA">
        <w:rPr>
          <w:rFonts w:cs="Arial"/>
          <w:rtl/>
        </w:rPr>
        <w:t xml:space="preserve"> דדווקא שינה מקום הדירה הוא דאיכא חששא משום שהוא ידוע לכל שכל אדם נקרא על שם מקום דירתו פלוני ממקום פלוני וכשרואין שינוי מקום אומרים לא גירש זה אלא אחר הוא שגירש</w:t>
      </w:r>
      <w:r>
        <w:rPr>
          <w:rFonts w:cs="Arial" w:hint="cs"/>
          <w:rtl/>
        </w:rPr>
        <w:t>.</w:t>
      </w:r>
      <w:r w:rsidRPr="00CD3FDA">
        <w:rPr>
          <w:rFonts w:cs="Arial"/>
          <w:rtl/>
        </w:rPr>
        <w:t xml:space="preserve"> אבל מקום לידת האדם אינו ידוע וגם אינו נקרא על מקום לידתו וליכא חששא</w:t>
      </w:r>
      <w:r w:rsidRPr="00630399">
        <w:rPr>
          <w:rFonts w:cs="Arial" w:hint="cs"/>
          <w:rtl/>
        </w:rPr>
        <w:t>.</w:t>
      </w:r>
    </w:p>
  </w:footnote>
  <w:footnote w:id="969">
    <w:p w14:paraId="06CEAFD3" w14:textId="77777777" w:rsidR="00FA2119" w:rsidRDefault="00FA2119" w:rsidP="00FA2119">
      <w:pPr>
        <w:pStyle w:val="a5"/>
        <w:rPr>
          <w:rtl/>
        </w:rPr>
      </w:pPr>
      <w:r>
        <w:rPr>
          <w:rStyle w:val="a7"/>
        </w:rPr>
        <w:footnoteRef/>
      </w:r>
      <w:r>
        <w:rPr>
          <w:rtl/>
        </w:rPr>
        <w:t xml:space="preserve"> </w:t>
      </w:r>
      <w:r>
        <w:rPr>
          <w:rFonts w:cs="Arial" w:hint="cs"/>
          <w:rtl/>
        </w:rPr>
        <w:t>וגם</w:t>
      </w:r>
      <w:r>
        <w:rPr>
          <w:rFonts w:cs="Arial"/>
          <w:rtl/>
        </w:rPr>
        <w:t xml:space="preserve"> </w:t>
      </w:r>
      <w:r>
        <w:rPr>
          <w:rFonts w:cs="Arial" w:hint="cs"/>
          <w:rtl/>
        </w:rPr>
        <w:t>בספר</w:t>
      </w:r>
      <w:r>
        <w:rPr>
          <w:rFonts w:cs="Arial"/>
          <w:rtl/>
        </w:rPr>
        <w:t xml:space="preserve"> </w:t>
      </w:r>
      <w:r>
        <w:rPr>
          <w:rFonts w:cs="Arial" w:hint="cs"/>
          <w:rtl/>
        </w:rPr>
        <w:t>התרומה</w:t>
      </w:r>
      <w:r>
        <w:rPr>
          <w:rFonts w:cs="Arial"/>
          <w:rtl/>
        </w:rPr>
        <w:t xml:space="preserve"> (</w:t>
      </w:r>
      <w:r>
        <w:rPr>
          <w:rFonts w:cs="Arial" w:hint="cs"/>
          <w:rtl/>
        </w:rPr>
        <w:t>סי</w:t>
      </w:r>
      <w:r>
        <w:rPr>
          <w:rFonts w:cs="Arial"/>
          <w:rtl/>
        </w:rPr>
        <w:t xml:space="preserve">' </w:t>
      </w:r>
      <w:r>
        <w:rPr>
          <w:rFonts w:cs="Arial" w:hint="cs"/>
          <w:rtl/>
        </w:rPr>
        <w:t>קכט</w:t>
      </w:r>
      <w:r>
        <w:rPr>
          <w:rFonts w:cs="Arial"/>
          <w:rtl/>
        </w:rPr>
        <w:t xml:space="preserve">) </w:t>
      </w:r>
      <w:r>
        <w:rPr>
          <w:rFonts w:cs="Arial" w:hint="cs"/>
          <w:rtl/>
        </w:rPr>
        <w:t>כתב</w:t>
      </w:r>
      <w:r>
        <w:rPr>
          <w:rFonts w:cs="Arial"/>
          <w:rtl/>
        </w:rPr>
        <w:t xml:space="preserve"> </w:t>
      </w:r>
      <w:r>
        <w:rPr>
          <w:rFonts w:cs="Arial" w:hint="cs"/>
          <w:rtl/>
        </w:rPr>
        <w:t>שאין</w:t>
      </w:r>
      <w:r>
        <w:rPr>
          <w:rFonts w:cs="Arial"/>
          <w:rtl/>
        </w:rPr>
        <w:t xml:space="preserve"> </w:t>
      </w:r>
      <w:r>
        <w:rPr>
          <w:rFonts w:cs="Arial" w:hint="cs"/>
          <w:rtl/>
        </w:rPr>
        <w:t>לכתוב</w:t>
      </w:r>
      <w:r>
        <w:rPr>
          <w:rFonts w:cs="Arial"/>
          <w:rtl/>
        </w:rPr>
        <w:t xml:space="preserve"> </w:t>
      </w:r>
      <w:r>
        <w:rPr>
          <w:rFonts w:cs="Arial" w:hint="cs"/>
          <w:rtl/>
        </w:rPr>
        <w:t>מקום</w:t>
      </w:r>
      <w:r>
        <w:rPr>
          <w:rFonts w:cs="Arial"/>
          <w:rtl/>
        </w:rPr>
        <w:t xml:space="preserve"> </w:t>
      </w:r>
      <w:r>
        <w:rPr>
          <w:rFonts w:cs="Arial" w:hint="cs"/>
          <w:rtl/>
        </w:rPr>
        <w:t>הלידה</w:t>
      </w:r>
      <w:r>
        <w:rPr>
          <w:rFonts w:cs="Arial"/>
          <w:rtl/>
        </w:rPr>
        <w:t xml:space="preserve"> </w:t>
      </w:r>
      <w:r>
        <w:rPr>
          <w:rFonts w:cs="Arial" w:hint="cs"/>
          <w:rtl/>
        </w:rPr>
        <w:t>ולא</w:t>
      </w:r>
      <w:r>
        <w:rPr>
          <w:rFonts w:cs="Arial"/>
          <w:rtl/>
        </w:rPr>
        <w:t xml:space="preserve"> </w:t>
      </w:r>
      <w:r>
        <w:rPr>
          <w:rFonts w:cs="Arial" w:hint="cs"/>
          <w:rtl/>
        </w:rPr>
        <w:t>מקום</w:t>
      </w:r>
      <w:r>
        <w:rPr>
          <w:rFonts w:cs="Arial"/>
          <w:rtl/>
        </w:rPr>
        <w:t xml:space="preserve"> </w:t>
      </w:r>
      <w:r>
        <w:rPr>
          <w:rFonts w:cs="Arial" w:hint="cs"/>
          <w:rtl/>
        </w:rPr>
        <w:t>העמידה...</w:t>
      </w:r>
      <w:r>
        <w:rPr>
          <w:rFonts w:cs="Arial"/>
          <w:rtl/>
        </w:rPr>
        <w:t xml:space="preserve"> </w:t>
      </w:r>
      <w:r>
        <w:rPr>
          <w:rFonts w:cs="Arial" w:hint="cs"/>
          <w:rtl/>
        </w:rPr>
        <w:t>ולא</w:t>
      </w:r>
      <w:r>
        <w:rPr>
          <w:rFonts w:cs="Arial"/>
          <w:rtl/>
        </w:rPr>
        <w:t xml:space="preserve"> </w:t>
      </w:r>
      <w:r>
        <w:rPr>
          <w:rFonts w:cs="Arial" w:hint="cs"/>
          <w:rtl/>
        </w:rPr>
        <w:t>הזכיר</w:t>
      </w:r>
      <w:r>
        <w:rPr>
          <w:rFonts w:cs="Arial"/>
          <w:rtl/>
        </w:rPr>
        <w:t xml:space="preserve"> </w:t>
      </w:r>
      <w:r>
        <w:rPr>
          <w:rFonts w:cs="Arial" w:hint="cs"/>
          <w:rtl/>
        </w:rPr>
        <w:t>שינה</w:t>
      </w:r>
      <w:r>
        <w:rPr>
          <w:rFonts w:cs="Arial"/>
          <w:rtl/>
        </w:rPr>
        <w:t xml:space="preserve"> </w:t>
      </w:r>
      <w:r>
        <w:rPr>
          <w:rFonts w:cs="Arial" w:hint="cs"/>
          <w:rtl/>
        </w:rPr>
        <w:t>מקום</w:t>
      </w:r>
      <w:r>
        <w:rPr>
          <w:rFonts w:cs="Arial"/>
          <w:rtl/>
        </w:rPr>
        <w:t xml:space="preserve"> </w:t>
      </w:r>
      <w:r>
        <w:rPr>
          <w:rFonts w:cs="Arial" w:hint="cs"/>
          <w:rtl/>
        </w:rPr>
        <w:t>הלידה.</w:t>
      </w:r>
      <w:r>
        <w:rPr>
          <w:rFonts w:cs="Arial"/>
          <w:rtl/>
        </w:rPr>
        <w:t xml:space="preserve"> </w:t>
      </w:r>
      <w:r>
        <w:rPr>
          <w:rFonts w:cs="Arial" w:hint="cs"/>
          <w:rtl/>
        </w:rPr>
        <w:t>ולא</w:t>
      </w:r>
      <w:r>
        <w:rPr>
          <w:rFonts w:cs="Arial"/>
          <w:rtl/>
        </w:rPr>
        <w:t xml:space="preserve"> </w:t>
      </w:r>
      <w:r>
        <w:rPr>
          <w:rFonts w:cs="Arial" w:hint="cs"/>
          <w:rtl/>
        </w:rPr>
        <w:t>ידעתי</w:t>
      </w:r>
      <w:r>
        <w:rPr>
          <w:rFonts w:cs="Arial"/>
          <w:rtl/>
        </w:rPr>
        <w:t xml:space="preserve"> </w:t>
      </w:r>
      <w:r>
        <w:rPr>
          <w:rFonts w:cs="Arial" w:hint="cs"/>
          <w:rtl/>
        </w:rPr>
        <w:t>למה</w:t>
      </w:r>
      <w:r>
        <w:rPr>
          <w:rFonts w:cs="Arial"/>
          <w:rtl/>
        </w:rPr>
        <w:t xml:space="preserve"> </w:t>
      </w:r>
      <w:r>
        <w:rPr>
          <w:rFonts w:cs="Arial" w:hint="cs"/>
          <w:rtl/>
        </w:rPr>
        <w:t>מאחר</w:t>
      </w:r>
      <w:r>
        <w:rPr>
          <w:rFonts w:cs="Arial"/>
          <w:rtl/>
        </w:rPr>
        <w:t xml:space="preserve"> </w:t>
      </w:r>
      <w:r>
        <w:rPr>
          <w:rFonts w:cs="Arial" w:hint="cs"/>
          <w:rtl/>
        </w:rPr>
        <w:t>שהתוספות</w:t>
      </w:r>
      <w:r>
        <w:rPr>
          <w:rFonts w:cs="Arial"/>
          <w:rtl/>
        </w:rPr>
        <w:t xml:space="preserve"> </w:t>
      </w:r>
      <w:r>
        <w:rPr>
          <w:rFonts w:cs="Arial" w:hint="cs"/>
          <w:rtl/>
        </w:rPr>
        <w:t>כתבו</w:t>
      </w:r>
      <w:r>
        <w:rPr>
          <w:rFonts w:cs="Arial"/>
          <w:rtl/>
        </w:rPr>
        <w:t xml:space="preserve"> </w:t>
      </w:r>
      <w:r>
        <w:rPr>
          <w:rFonts w:cs="Arial" w:hint="cs"/>
          <w:rtl/>
        </w:rPr>
        <w:t>שר</w:t>
      </w:r>
      <w:r>
        <w:rPr>
          <w:rFonts w:cs="Arial"/>
          <w:rtl/>
        </w:rPr>
        <w:t>"</w:t>
      </w:r>
      <w:r>
        <w:rPr>
          <w:rFonts w:cs="Arial" w:hint="cs"/>
          <w:rtl/>
        </w:rPr>
        <w:t>י</w:t>
      </w:r>
      <w:r>
        <w:rPr>
          <w:rFonts w:cs="Arial"/>
          <w:rtl/>
        </w:rPr>
        <w:t xml:space="preserve"> </w:t>
      </w:r>
      <w:r>
        <w:rPr>
          <w:rFonts w:cs="Arial" w:hint="cs"/>
          <w:rtl/>
        </w:rPr>
        <w:t>הכשיר</w:t>
      </w:r>
      <w:r>
        <w:rPr>
          <w:rFonts w:cs="Arial"/>
          <w:rtl/>
        </w:rPr>
        <w:t xml:space="preserve"> </w:t>
      </w:r>
      <w:r>
        <w:rPr>
          <w:rFonts w:cs="Arial" w:hint="cs"/>
          <w:rtl/>
        </w:rPr>
        <w:t>הלכה</w:t>
      </w:r>
      <w:r>
        <w:rPr>
          <w:rFonts w:cs="Arial"/>
          <w:rtl/>
        </w:rPr>
        <w:t xml:space="preserve"> </w:t>
      </w:r>
      <w:r>
        <w:rPr>
          <w:rFonts w:cs="Arial" w:hint="cs"/>
          <w:rtl/>
        </w:rPr>
        <w:t>למעשה, ב"י</w:t>
      </w:r>
      <w:r>
        <w:rPr>
          <w:rFonts w:cs="Arial"/>
          <w:rtl/>
        </w:rPr>
        <w:t>.</w:t>
      </w:r>
    </w:p>
  </w:footnote>
  <w:footnote w:id="970">
    <w:p w14:paraId="423BF563" w14:textId="77777777" w:rsidR="00FA2119" w:rsidRDefault="00FA2119" w:rsidP="00FA2119">
      <w:pPr>
        <w:pStyle w:val="a5"/>
      </w:pPr>
      <w:r>
        <w:rPr>
          <w:rStyle w:val="a7"/>
        </w:rPr>
        <w:footnoteRef/>
      </w:r>
      <w:r>
        <w:rPr>
          <w:rtl/>
        </w:rPr>
        <w:t xml:space="preserve"> </w:t>
      </w:r>
      <w:r>
        <w:rPr>
          <w:rFonts w:cs="Arial" w:hint="cs"/>
          <w:rtl/>
        </w:rPr>
        <w:t>משמע</w:t>
      </w:r>
      <w:r>
        <w:rPr>
          <w:rFonts w:cs="Arial"/>
          <w:rtl/>
        </w:rPr>
        <w:t xml:space="preserve"> </w:t>
      </w:r>
      <w:r>
        <w:rPr>
          <w:rFonts w:cs="Arial" w:hint="cs"/>
          <w:rtl/>
        </w:rPr>
        <w:t>ליה</w:t>
      </w:r>
      <w:r>
        <w:rPr>
          <w:rFonts w:cs="Arial"/>
          <w:rtl/>
        </w:rPr>
        <w:t xml:space="preserve"> </w:t>
      </w:r>
      <w:r>
        <w:rPr>
          <w:rFonts w:cs="Arial" w:hint="cs"/>
          <w:rtl/>
        </w:rPr>
        <w:t>דלא</w:t>
      </w:r>
      <w:r>
        <w:rPr>
          <w:rFonts w:cs="Arial"/>
          <w:rtl/>
        </w:rPr>
        <w:t xml:space="preserve"> </w:t>
      </w:r>
      <w:r>
        <w:rPr>
          <w:rFonts w:cs="Arial" w:hint="cs"/>
          <w:rtl/>
        </w:rPr>
        <w:t>הוזכרה</w:t>
      </w:r>
      <w:r>
        <w:rPr>
          <w:rFonts w:cs="Arial"/>
          <w:rtl/>
        </w:rPr>
        <w:t xml:space="preserve"> </w:t>
      </w:r>
      <w:r>
        <w:rPr>
          <w:rFonts w:cs="Arial" w:hint="cs"/>
          <w:rtl/>
        </w:rPr>
        <w:t>מקום</w:t>
      </w:r>
      <w:r>
        <w:rPr>
          <w:rFonts w:cs="Arial"/>
          <w:rtl/>
        </w:rPr>
        <w:t xml:space="preserve"> </w:t>
      </w:r>
      <w:r>
        <w:rPr>
          <w:rFonts w:cs="Arial" w:hint="cs"/>
          <w:rtl/>
        </w:rPr>
        <w:t>הלידה</w:t>
      </w:r>
      <w:r>
        <w:rPr>
          <w:rFonts w:cs="Arial"/>
          <w:rtl/>
        </w:rPr>
        <w:t xml:space="preserve"> </w:t>
      </w:r>
      <w:r>
        <w:rPr>
          <w:rFonts w:cs="Arial" w:hint="cs"/>
          <w:rtl/>
        </w:rPr>
        <w:t>לא</w:t>
      </w:r>
      <w:r>
        <w:rPr>
          <w:rFonts w:cs="Arial"/>
          <w:rtl/>
        </w:rPr>
        <w:t xml:space="preserve"> </w:t>
      </w:r>
      <w:r>
        <w:rPr>
          <w:rFonts w:cs="Arial" w:hint="cs"/>
          <w:rtl/>
        </w:rPr>
        <w:t>במשנה</w:t>
      </w:r>
      <w:r>
        <w:rPr>
          <w:rFonts w:cs="Arial"/>
          <w:rtl/>
        </w:rPr>
        <w:t xml:space="preserve"> </w:t>
      </w:r>
      <w:r>
        <w:rPr>
          <w:rFonts w:cs="Arial" w:hint="cs"/>
          <w:rtl/>
        </w:rPr>
        <w:t>ולא</w:t>
      </w:r>
      <w:r>
        <w:rPr>
          <w:rFonts w:cs="Arial"/>
          <w:rtl/>
        </w:rPr>
        <w:t xml:space="preserve"> </w:t>
      </w:r>
      <w:r>
        <w:rPr>
          <w:rFonts w:cs="Arial" w:hint="cs"/>
          <w:rtl/>
        </w:rPr>
        <w:t>בגמרא</w:t>
      </w:r>
      <w:r>
        <w:rPr>
          <w:rFonts w:cs="Arial"/>
          <w:rtl/>
        </w:rPr>
        <w:t xml:space="preserve"> </w:t>
      </w:r>
      <w:r>
        <w:rPr>
          <w:rFonts w:cs="Arial" w:hint="cs"/>
          <w:rtl/>
        </w:rPr>
        <w:t>משום</w:t>
      </w:r>
      <w:r>
        <w:rPr>
          <w:rFonts w:cs="Arial"/>
          <w:rtl/>
        </w:rPr>
        <w:t xml:space="preserve"> </w:t>
      </w:r>
      <w:r>
        <w:rPr>
          <w:rFonts w:cs="Arial" w:hint="cs"/>
          <w:rtl/>
        </w:rPr>
        <w:t>דחיישינן</w:t>
      </w:r>
      <w:r>
        <w:rPr>
          <w:rFonts w:cs="Arial"/>
          <w:rtl/>
        </w:rPr>
        <w:t xml:space="preserve"> </w:t>
      </w:r>
      <w:r>
        <w:rPr>
          <w:rFonts w:cs="Arial" w:hint="cs"/>
          <w:rtl/>
        </w:rPr>
        <w:t>שמא</w:t>
      </w:r>
      <w:r>
        <w:rPr>
          <w:rFonts w:cs="Arial"/>
          <w:rtl/>
        </w:rPr>
        <w:t xml:space="preserve"> </w:t>
      </w:r>
      <w:r>
        <w:rPr>
          <w:rFonts w:cs="Arial" w:hint="cs"/>
          <w:rtl/>
        </w:rPr>
        <w:t>יטעה,</w:t>
      </w:r>
      <w:r>
        <w:rPr>
          <w:rFonts w:cs="Arial"/>
          <w:rtl/>
        </w:rPr>
        <w:t xml:space="preserve"> </w:t>
      </w:r>
      <w:r>
        <w:rPr>
          <w:rFonts w:cs="Arial" w:hint="cs"/>
          <w:rtl/>
        </w:rPr>
        <w:t>אבל</w:t>
      </w:r>
      <w:r>
        <w:rPr>
          <w:rFonts w:cs="Arial"/>
          <w:rtl/>
        </w:rPr>
        <w:t xml:space="preserve"> </w:t>
      </w:r>
      <w:r>
        <w:rPr>
          <w:rFonts w:cs="Arial" w:hint="cs"/>
          <w:rtl/>
        </w:rPr>
        <w:t>מן</w:t>
      </w:r>
      <w:r>
        <w:rPr>
          <w:rFonts w:cs="Arial"/>
          <w:rtl/>
        </w:rPr>
        <w:t xml:space="preserve"> </w:t>
      </w:r>
      <w:r>
        <w:rPr>
          <w:rFonts w:cs="Arial" w:hint="cs"/>
          <w:rtl/>
        </w:rPr>
        <w:t>הדין</w:t>
      </w:r>
      <w:r>
        <w:rPr>
          <w:rFonts w:cs="Arial"/>
          <w:rtl/>
        </w:rPr>
        <w:t xml:space="preserve"> </w:t>
      </w:r>
      <w:r>
        <w:rPr>
          <w:rFonts w:cs="Arial" w:hint="cs"/>
          <w:rtl/>
        </w:rPr>
        <w:t>היה</w:t>
      </w:r>
      <w:r>
        <w:rPr>
          <w:rFonts w:cs="Arial"/>
          <w:rtl/>
        </w:rPr>
        <w:t xml:space="preserve"> </w:t>
      </w:r>
      <w:r>
        <w:rPr>
          <w:rFonts w:cs="Arial" w:hint="cs"/>
          <w:rtl/>
        </w:rPr>
        <w:t>צריך</w:t>
      </w:r>
      <w:r>
        <w:rPr>
          <w:rFonts w:cs="Arial"/>
          <w:rtl/>
        </w:rPr>
        <w:t xml:space="preserve"> </w:t>
      </w:r>
      <w:r>
        <w:rPr>
          <w:rFonts w:cs="Arial" w:hint="cs"/>
          <w:rtl/>
        </w:rPr>
        <w:t>לכתבו, ב"י.</w:t>
      </w:r>
    </w:p>
  </w:footnote>
  <w:footnote w:id="971">
    <w:p w14:paraId="1141B899" w14:textId="77777777" w:rsidR="00FA2119" w:rsidRDefault="00FA2119" w:rsidP="00FA2119">
      <w:pPr>
        <w:pStyle w:val="a5"/>
        <w:rPr>
          <w:rtl/>
        </w:rPr>
      </w:pPr>
      <w:r>
        <w:rPr>
          <w:rStyle w:val="a7"/>
        </w:rPr>
        <w:footnoteRef/>
      </w:r>
      <w:r>
        <w:rPr>
          <w:rtl/>
        </w:rPr>
        <w:t xml:space="preserve"> </w:t>
      </w:r>
      <w:r>
        <w:rPr>
          <w:rFonts w:cs="Arial" w:hint="cs"/>
          <w:rtl/>
        </w:rPr>
        <w:t>מ</w:t>
      </w:r>
      <w:r>
        <w:rPr>
          <w:rFonts w:cs="Arial"/>
          <w:rtl/>
        </w:rPr>
        <w:t>"</w:t>
      </w:r>
      <w:r>
        <w:rPr>
          <w:rFonts w:cs="Arial" w:hint="cs"/>
          <w:rtl/>
        </w:rPr>
        <w:t>ש</w:t>
      </w:r>
      <w:r>
        <w:rPr>
          <w:rFonts w:cs="Arial"/>
          <w:rtl/>
        </w:rPr>
        <w:t xml:space="preserve"> </w:t>
      </w:r>
      <w:r>
        <w:rPr>
          <w:rFonts w:cs="Arial" w:hint="cs"/>
          <w:rtl/>
        </w:rPr>
        <w:t>ואם</w:t>
      </w:r>
      <w:r>
        <w:rPr>
          <w:rFonts w:cs="Arial"/>
          <w:rtl/>
        </w:rPr>
        <w:t xml:space="preserve"> </w:t>
      </w:r>
      <w:r>
        <w:rPr>
          <w:rFonts w:cs="Arial" w:hint="cs"/>
          <w:rtl/>
        </w:rPr>
        <w:t>כתבה</w:t>
      </w:r>
      <w:r>
        <w:rPr>
          <w:rFonts w:cs="Arial"/>
          <w:rtl/>
        </w:rPr>
        <w:t xml:space="preserve"> </w:t>
      </w:r>
      <w:r>
        <w:rPr>
          <w:rFonts w:cs="Arial" w:hint="cs"/>
          <w:rtl/>
        </w:rPr>
        <w:t>ולא</w:t>
      </w:r>
      <w:r>
        <w:rPr>
          <w:rFonts w:cs="Arial"/>
          <w:rtl/>
        </w:rPr>
        <w:t xml:space="preserve"> </w:t>
      </w:r>
      <w:r>
        <w:rPr>
          <w:rFonts w:cs="Arial" w:hint="cs"/>
          <w:rtl/>
        </w:rPr>
        <w:t>טעה</w:t>
      </w:r>
      <w:r>
        <w:rPr>
          <w:rFonts w:cs="Arial"/>
          <w:rtl/>
        </w:rPr>
        <w:t xml:space="preserve"> </w:t>
      </w:r>
      <w:r>
        <w:rPr>
          <w:rFonts w:cs="Arial" w:hint="cs"/>
          <w:rtl/>
        </w:rPr>
        <w:t>כשר -</w:t>
      </w:r>
      <w:r>
        <w:rPr>
          <w:rFonts w:cs="Arial"/>
          <w:rtl/>
        </w:rPr>
        <w:t xml:space="preserve"> </w:t>
      </w:r>
      <w:r>
        <w:rPr>
          <w:rFonts w:cs="Arial" w:hint="cs"/>
          <w:rtl/>
        </w:rPr>
        <w:t>לאו</w:t>
      </w:r>
      <w:r>
        <w:rPr>
          <w:rFonts w:cs="Arial"/>
          <w:rtl/>
        </w:rPr>
        <w:t xml:space="preserve"> </w:t>
      </w:r>
      <w:r>
        <w:rPr>
          <w:rFonts w:cs="Arial" w:hint="cs"/>
          <w:rtl/>
        </w:rPr>
        <w:t>לגופיה</w:t>
      </w:r>
      <w:r>
        <w:rPr>
          <w:rFonts w:cs="Arial"/>
          <w:rtl/>
        </w:rPr>
        <w:t xml:space="preserve"> </w:t>
      </w:r>
      <w:r>
        <w:rPr>
          <w:rFonts w:cs="Arial" w:hint="cs"/>
          <w:rtl/>
        </w:rPr>
        <w:t>איצטריך,</w:t>
      </w:r>
      <w:r>
        <w:rPr>
          <w:rFonts w:cs="Arial"/>
          <w:rtl/>
        </w:rPr>
        <w:t xml:space="preserve"> </w:t>
      </w:r>
      <w:r>
        <w:rPr>
          <w:rFonts w:cs="Arial" w:hint="cs"/>
          <w:rtl/>
        </w:rPr>
        <w:t>אלא</w:t>
      </w:r>
      <w:r>
        <w:rPr>
          <w:rFonts w:cs="Arial"/>
          <w:rtl/>
        </w:rPr>
        <w:t xml:space="preserve"> </w:t>
      </w:r>
      <w:r>
        <w:rPr>
          <w:rFonts w:cs="Arial" w:hint="cs"/>
          <w:rtl/>
        </w:rPr>
        <w:t>לדיוקא,</w:t>
      </w:r>
      <w:r>
        <w:rPr>
          <w:rFonts w:cs="Arial"/>
          <w:rtl/>
        </w:rPr>
        <w:t xml:space="preserve"> </w:t>
      </w:r>
      <w:r>
        <w:rPr>
          <w:rFonts w:cs="Arial" w:hint="cs"/>
          <w:rtl/>
        </w:rPr>
        <w:t>'הא</w:t>
      </w:r>
      <w:r>
        <w:rPr>
          <w:rFonts w:cs="Arial"/>
          <w:rtl/>
        </w:rPr>
        <w:t xml:space="preserve"> </w:t>
      </w:r>
      <w:r>
        <w:rPr>
          <w:rFonts w:cs="Arial" w:hint="cs"/>
          <w:rtl/>
        </w:rPr>
        <w:t>אם</w:t>
      </w:r>
      <w:r>
        <w:rPr>
          <w:rFonts w:cs="Arial"/>
          <w:rtl/>
        </w:rPr>
        <w:t xml:space="preserve"> </w:t>
      </w:r>
      <w:r>
        <w:rPr>
          <w:rFonts w:cs="Arial" w:hint="cs"/>
          <w:rtl/>
        </w:rPr>
        <w:t>טעה</w:t>
      </w:r>
      <w:r>
        <w:rPr>
          <w:rFonts w:cs="Arial"/>
          <w:rtl/>
        </w:rPr>
        <w:t xml:space="preserve"> </w:t>
      </w:r>
      <w:r>
        <w:rPr>
          <w:rFonts w:cs="Arial" w:hint="cs"/>
          <w:rtl/>
        </w:rPr>
        <w:t>בה</w:t>
      </w:r>
      <w:r>
        <w:rPr>
          <w:rFonts w:cs="Arial"/>
          <w:rtl/>
        </w:rPr>
        <w:t xml:space="preserve"> </w:t>
      </w:r>
      <w:r>
        <w:rPr>
          <w:rFonts w:cs="Arial" w:hint="cs"/>
          <w:rtl/>
        </w:rPr>
        <w:t>- פסול'.</w:t>
      </w:r>
      <w:r>
        <w:rPr>
          <w:rFonts w:cs="Arial"/>
          <w:rtl/>
        </w:rPr>
        <w:t xml:space="preserve"> </w:t>
      </w:r>
      <w:r>
        <w:rPr>
          <w:rFonts w:cs="Arial" w:hint="cs"/>
          <w:rtl/>
        </w:rPr>
        <w:t>אי</w:t>
      </w:r>
      <w:r>
        <w:rPr>
          <w:rFonts w:cs="Arial"/>
          <w:rtl/>
        </w:rPr>
        <w:t xml:space="preserve"> </w:t>
      </w:r>
      <w:r>
        <w:rPr>
          <w:rFonts w:cs="Arial" w:hint="cs"/>
          <w:rtl/>
        </w:rPr>
        <w:t>נמי</w:t>
      </w:r>
      <w:r>
        <w:rPr>
          <w:rFonts w:cs="Arial"/>
          <w:rtl/>
        </w:rPr>
        <w:t xml:space="preserve"> </w:t>
      </w:r>
      <w:r>
        <w:rPr>
          <w:rFonts w:cs="Arial" w:hint="cs"/>
          <w:rtl/>
        </w:rPr>
        <w:t>לגופיה</w:t>
      </w:r>
      <w:r>
        <w:rPr>
          <w:rFonts w:cs="Arial"/>
          <w:rtl/>
        </w:rPr>
        <w:t xml:space="preserve"> </w:t>
      </w:r>
      <w:r>
        <w:rPr>
          <w:rFonts w:cs="Arial" w:hint="cs"/>
          <w:rtl/>
        </w:rPr>
        <w:t>נמי</w:t>
      </w:r>
      <w:r>
        <w:rPr>
          <w:rFonts w:cs="Arial"/>
          <w:rtl/>
        </w:rPr>
        <w:t xml:space="preserve"> </w:t>
      </w:r>
      <w:r>
        <w:rPr>
          <w:rFonts w:cs="Arial" w:hint="cs"/>
          <w:rtl/>
        </w:rPr>
        <w:t>איצטריך,</w:t>
      </w:r>
      <w:r>
        <w:rPr>
          <w:rFonts w:cs="Arial"/>
          <w:rtl/>
        </w:rPr>
        <w:t xml:space="preserve"> </w:t>
      </w:r>
      <w:r>
        <w:rPr>
          <w:rFonts w:cs="Arial" w:hint="cs"/>
          <w:rtl/>
        </w:rPr>
        <w:t>דלא</w:t>
      </w:r>
      <w:r>
        <w:rPr>
          <w:rFonts w:cs="Arial"/>
          <w:rtl/>
        </w:rPr>
        <w:t xml:space="preserve"> </w:t>
      </w:r>
      <w:r>
        <w:rPr>
          <w:rFonts w:cs="Arial" w:hint="cs"/>
          <w:rtl/>
        </w:rPr>
        <w:t>תימא</w:t>
      </w:r>
      <w:r>
        <w:rPr>
          <w:rFonts w:cs="Arial"/>
          <w:rtl/>
        </w:rPr>
        <w:t xml:space="preserve"> </w:t>
      </w:r>
      <w:r>
        <w:rPr>
          <w:rFonts w:cs="Arial" w:hint="cs"/>
          <w:rtl/>
        </w:rPr>
        <w:t>כיון</w:t>
      </w:r>
      <w:r>
        <w:rPr>
          <w:rFonts w:cs="Arial"/>
          <w:rtl/>
        </w:rPr>
        <w:t xml:space="preserve"> </w:t>
      </w:r>
      <w:r>
        <w:rPr>
          <w:rFonts w:cs="Arial" w:hint="cs"/>
          <w:rtl/>
        </w:rPr>
        <w:t>שלא</w:t>
      </w:r>
      <w:r>
        <w:rPr>
          <w:rFonts w:cs="Arial"/>
          <w:rtl/>
        </w:rPr>
        <w:t xml:space="preserve"> </w:t>
      </w:r>
      <w:r>
        <w:rPr>
          <w:rFonts w:cs="Arial" w:hint="cs"/>
          <w:rtl/>
        </w:rPr>
        <w:t>נזכר</w:t>
      </w:r>
      <w:r>
        <w:rPr>
          <w:rFonts w:cs="Arial"/>
          <w:rtl/>
        </w:rPr>
        <w:t xml:space="preserve"> </w:t>
      </w:r>
      <w:r>
        <w:rPr>
          <w:rFonts w:cs="Arial" w:hint="cs"/>
          <w:rtl/>
        </w:rPr>
        <w:t>מקום</w:t>
      </w:r>
      <w:r>
        <w:rPr>
          <w:rFonts w:cs="Arial"/>
          <w:rtl/>
        </w:rPr>
        <w:t xml:space="preserve"> </w:t>
      </w:r>
      <w:r>
        <w:rPr>
          <w:rFonts w:cs="Arial" w:hint="cs"/>
          <w:rtl/>
        </w:rPr>
        <w:t>הלידה</w:t>
      </w:r>
      <w:r>
        <w:rPr>
          <w:rFonts w:cs="Arial"/>
          <w:rtl/>
        </w:rPr>
        <w:t xml:space="preserve"> </w:t>
      </w:r>
      <w:r>
        <w:rPr>
          <w:rFonts w:cs="Arial" w:hint="cs"/>
          <w:rtl/>
        </w:rPr>
        <w:t>בדברי</w:t>
      </w:r>
      <w:r>
        <w:rPr>
          <w:rFonts w:cs="Arial"/>
          <w:rtl/>
        </w:rPr>
        <w:t xml:space="preserve"> </w:t>
      </w:r>
      <w:r>
        <w:rPr>
          <w:rFonts w:cs="Arial" w:hint="cs"/>
          <w:rtl/>
        </w:rPr>
        <w:t>חכמים,</w:t>
      </w:r>
      <w:r>
        <w:rPr>
          <w:rFonts w:cs="Arial"/>
          <w:rtl/>
        </w:rPr>
        <w:t xml:space="preserve"> </w:t>
      </w:r>
      <w:r>
        <w:rPr>
          <w:rFonts w:cs="Arial" w:hint="cs"/>
          <w:rtl/>
        </w:rPr>
        <w:t>כשכתבו</w:t>
      </w:r>
      <w:r>
        <w:rPr>
          <w:rFonts w:cs="Arial"/>
          <w:rtl/>
        </w:rPr>
        <w:t xml:space="preserve"> </w:t>
      </w:r>
      <w:r>
        <w:rPr>
          <w:rFonts w:cs="Arial" w:hint="cs"/>
          <w:rtl/>
        </w:rPr>
        <w:t>הוי</w:t>
      </w:r>
      <w:r>
        <w:rPr>
          <w:rFonts w:cs="Arial"/>
          <w:rtl/>
        </w:rPr>
        <w:t xml:space="preserve"> </w:t>
      </w:r>
      <w:r>
        <w:rPr>
          <w:rFonts w:cs="Arial" w:hint="cs"/>
          <w:rtl/>
        </w:rPr>
        <w:t>כמשנה</w:t>
      </w:r>
      <w:r>
        <w:rPr>
          <w:rFonts w:cs="Arial"/>
          <w:rtl/>
        </w:rPr>
        <w:t xml:space="preserve"> </w:t>
      </w:r>
      <w:r>
        <w:rPr>
          <w:rFonts w:cs="Arial" w:hint="cs"/>
          <w:rtl/>
        </w:rPr>
        <w:t>ממטבע</w:t>
      </w:r>
      <w:r>
        <w:rPr>
          <w:rFonts w:cs="Arial"/>
          <w:rtl/>
        </w:rPr>
        <w:t xml:space="preserve"> </w:t>
      </w:r>
      <w:r>
        <w:rPr>
          <w:rFonts w:cs="Arial" w:hint="cs"/>
          <w:rtl/>
        </w:rPr>
        <w:t>שטבעו</w:t>
      </w:r>
      <w:r>
        <w:rPr>
          <w:rFonts w:cs="Arial"/>
          <w:rtl/>
        </w:rPr>
        <w:t xml:space="preserve"> </w:t>
      </w:r>
      <w:r>
        <w:rPr>
          <w:rFonts w:cs="Arial" w:hint="cs"/>
          <w:rtl/>
        </w:rPr>
        <w:t>חכמים</w:t>
      </w:r>
      <w:r>
        <w:rPr>
          <w:rFonts w:cs="Arial"/>
          <w:rtl/>
        </w:rPr>
        <w:t xml:space="preserve"> </w:t>
      </w:r>
      <w:r>
        <w:rPr>
          <w:rFonts w:cs="Arial" w:hint="cs"/>
          <w:rtl/>
        </w:rPr>
        <w:t>וגט</w:t>
      </w:r>
      <w:r>
        <w:rPr>
          <w:rFonts w:cs="Arial"/>
          <w:rtl/>
        </w:rPr>
        <w:t xml:space="preserve"> </w:t>
      </w:r>
      <w:r>
        <w:rPr>
          <w:rFonts w:cs="Arial" w:hint="cs"/>
          <w:rtl/>
        </w:rPr>
        <w:t>פסול</w:t>
      </w:r>
      <w:r>
        <w:rPr>
          <w:rFonts w:cs="Arial"/>
          <w:rtl/>
        </w:rPr>
        <w:t xml:space="preserve"> </w:t>
      </w:r>
      <w:r>
        <w:rPr>
          <w:rFonts w:cs="Arial" w:hint="cs"/>
          <w:rtl/>
        </w:rPr>
        <w:t>מיהא</w:t>
      </w:r>
      <w:r>
        <w:rPr>
          <w:rFonts w:cs="Arial"/>
          <w:rtl/>
        </w:rPr>
        <w:t xml:space="preserve"> </w:t>
      </w:r>
      <w:r>
        <w:rPr>
          <w:rFonts w:cs="Arial" w:hint="cs"/>
          <w:rtl/>
        </w:rPr>
        <w:t>הוי,</w:t>
      </w:r>
      <w:r>
        <w:rPr>
          <w:rFonts w:cs="Arial"/>
          <w:rtl/>
        </w:rPr>
        <w:t xml:space="preserve"> </w:t>
      </w:r>
      <w:r>
        <w:rPr>
          <w:rFonts w:cs="Arial" w:hint="cs"/>
          <w:rtl/>
        </w:rPr>
        <w:t>קמ"ל, ב"י.</w:t>
      </w:r>
    </w:p>
  </w:footnote>
  <w:footnote w:id="972">
    <w:p w14:paraId="2153930F" w14:textId="4BBC1E56" w:rsidR="00FA2119" w:rsidRDefault="00FA2119" w:rsidP="00FA2119">
      <w:pPr>
        <w:pStyle w:val="a5"/>
        <w:rPr>
          <w:rtl/>
        </w:rPr>
      </w:pPr>
      <w:r>
        <w:rPr>
          <w:rStyle w:val="a7"/>
        </w:rPr>
        <w:footnoteRef/>
      </w:r>
      <w:r>
        <w:rPr>
          <w:rtl/>
        </w:rPr>
        <w:t xml:space="preserve"> </w:t>
      </w:r>
      <w:r>
        <w:rPr>
          <w:rFonts w:cs="Arial" w:hint="cs"/>
          <w:rtl/>
        </w:rPr>
        <w:t>וכ"כ בתשובה אחרת ב</w:t>
      </w:r>
      <w:r w:rsidRPr="00F3730C">
        <w:rPr>
          <w:rFonts w:cs="Arial" w:hint="cs"/>
          <w:rtl/>
        </w:rPr>
        <w:t>ח</w:t>
      </w:r>
      <w:r w:rsidRPr="00F3730C">
        <w:rPr>
          <w:rFonts w:cs="Arial"/>
          <w:rtl/>
        </w:rPr>
        <w:t>"</w:t>
      </w:r>
      <w:r w:rsidRPr="00F3730C">
        <w:rPr>
          <w:rFonts w:cs="Arial" w:hint="cs"/>
          <w:rtl/>
        </w:rPr>
        <w:t>א</w:t>
      </w:r>
      <w:r w:rsidRPr="00F3730C">
        <w:rPr>
          <w:rFonts w:cs="Arial"/>
          <w:rtl/>
        </w:rPr>
        <w:t xml:space="preserve"> </w:t>
      </w:r>
      <w:r w:rsidRPr="00C301DD">
        <w:rPr>
          <w:rFonts w:cs="Arial" w:hint="cs"/>
          <w:rtl/>
        </w:rPr>
        <w:t>סי</w:t>
      </w:r>
      <w:r w:rsidRPr="00C301DD">
        <w:rPr>
          <w:rFonts w:cs="Arial"/>
          <w:rtl/>
        </w:rPr>
        <w:t xml:space="preserve">' </w:t>
      </w:r>
      <w:r w:rsidRPr="00C301DD">
        <w:rPr>
          <w:rFonts w:cs="Arial" w:hint="cs"/>
          <w:rtl/>
        </w:rPr>
        <w:t>אלף</w:t>
      </w:r>
      <w:r w:rsidRPr="00C301DD">
        <w:rPr>
          <w:rFonts w:cs="Arial"/>
          <w:rtl/>
        </w:rPr>
        <w:t xml:space="preserve"> </w:t>
      </w:r>
      <w:r w:rsidRPr="00C301DD">
        <w:rPr>
          <w:rFonts w:cs="Arial" w:hint="cs"/>
          <w:rtl/>
        </w:rPr>
        <w:t>רכב</w:t>
      </w:r>
      <w:r w:rsidRPr="00C301DD">
        <w:rPr>
          <w:rFonts w:cs="Arial"/>
          <w:sz w:val="16"/>
          <w:szCs w:val="16"/>
          <w:rtl/>
        </w:rPr>
        <w:t xml:space="preserve"> </w:t>
      </w:r>
      <w:r>
        <w:rPr>
          <w:rFonts w:cs="Arial" w:hint="cs"/>
          <w:sz w:val="16"/>
          <w:szCs w:val="16"/>
          <w:rtl/>
        </w:rPr>
        <w:t>(</w:t>
      </w:r>
      <w:r w:rsidR="000A0F5A">
        <w:rPr>
          <w:rFonts w:cs="Arial" w:hint="cs"/>
          <w:sz w:val="16"/>
          <w:szCs w:val="16"/>
          <w:rtl/>
        </w:rPr>
        <w:t>וז</w:t>
      </w:r>
      <w:r w:rsidR="000A0F5A">
        <w:rPr>
          <w:rFonts w:cs="Arial"/>
          <w:sz w:val="16"/>
          <w:szCs w:val="16"/>
          <w:rtl/>
        </w:rPr>
        <w:t>"</w:t>
      </w:r>
      <w:r w:rsidR="000A0F5A">
        <w:rPr>
          <w:rFonts w:cs="Arial" w:hint="cs"/>
          <w:sz w:val="16"/>
          <w:szCs w:val="16"/>
          <w:rtl/>
        </w:rPr>
        <w:t>ל:</w:t>
      </w:r>
      <w:r w:rsidRPr="00C301DD">
        <w:rPr>
          <w:rFonts w:cs="Arial"/>
          <w:sz w:val="16"/>
          <w:szCs w:val="16"/>
          <w:rtl/>
        </w:rPr>
        <w:t xml:space="preserve"> </w:t>
      </w:r>
      <w:r w:rsidRPr="00C301DD">
        <w:rPr>
          <w:rFonts w:cs="Arial" w:hint="cs"/>
          <w:sz w:val="16"/>
          <w:szCs w:val="16"/>
          <w:rtl/>
        </w:rPr>
        <w:t>ולענין</w:t>
      </w:r>
      <w:r w:rsidRPr="00C301DD">
        <w:rPr>
          <w:rFonts w:cs="Arial"/>
          <w:sz w:val="16"/>
          <w:szCs w:val="16"/>
          <w:rtl/>
        </w:rPr>
        <w:t xml:space="preserve"> </w:t>
      </w:r>
      <w:r w:rsidRPr="00C301DD">
        <w:rPr>
          <w:rFonts w:cs="Arial" w:hint="cs"/>
          <w:sz w:val="16"/>
          <w:szCs w:val="16"/>
          <w:rtl/>
        </w:rPr>
        <w:t>מה</w:t>
      </w:r>
      <w:r w:rsidRPr="00C301DD">
        <w:rPr>
          <w:rFonts w:cs="Arial"/>
          <w:sz w:val="16"/>
          <w:szCs w:val="16"/>
          <w:rtl/>
        </w:rPr>
        <w:t xml:space="preserve"> </w:t>
      </w:r>
      <w:r w:rsidRPr="00C301DD">
        <w:rPr>
          <w:rFonts w:cs="Arial" w:hint="cs"/>
          <w:sz w:val="16"/>
          <w:szCs w:val="16"/>
          <w:rtl/>
        </w:rPr>
        <w:t>ששאלת</w:t>
      </w:r>
      <w:r w:rsidRPr="00C301DD">
        <w:rPr>
          <w:rFonts w:cs="Arial"/>
          <w:sz w:val="16"/>
          <w:szCs w:val="16"/>
          <w:rtl/>
        </w:rPr>
        <w:t xml:space="preserve"> </w:t>
      </w:r>
      <w:r w:rsidRPr="00C301DD">
        <w:rPr>
          <w:rFonts w:cs="Arial" w:hint="cs"/>
          <w:sz w:val="16"/>
          <w:szCs w:val="16"/>
          <w:rtl/>
        </w:rPr>
        <w:t>מפני</w:t>
      </w:r>
      <w:r w:rsidRPr="00C301DD">
        <w:rPr>
          <w:rFonts w:cs="Arial"/>
          <w:sz w:val="16"/>
          <w:szCs w:val="16"/>
          <w:rtl/>
        </w:rPr>
        <w:t xml:space="preserve"> </w:t>
      </w:r>
      <w:r w:rsidRPr="00C301DD">
        <w:rPr>
          <w:rFonts w:cs="Arial" w:hint="cs"/>
          <w:sz w:val="16"/>
          <w:szCs w:val="16"/>
          <w:rtl/>
        </w:rPr>
        <w:t>מה</w:t>
      </w:r>
      <w:r w:rsidRPr="00C301DD">
        <w:rPr>
          <w:rFonts w:cs="Arial"/>
          <w:sz w:val="16"/>
          <w:szCs w:val="16"/>
          <w:rtl/>
        </w:rPr>
        <w:t xml:space="preserve"> </w:t>
      </w:r>
      <w:r w:rsidRPr="00C301DD">
        <w:rPr>
          <w:rFonts w:cs="Arial" w:hint="cs"/>
          <w:sz w:val="16"/>
          <w:szCs w:val="16"/>
          <w:rtl/>
        </w:rPr>
        <w:t>אנו</w:t>
      </w:r>
      <w:r w:rsidRPr="00C301DD">
        <w:rPr>
          <w:rFonts w:cs="Arial"/>
          <w:sz w:val="16"/>
          <w:szCs w:val="16"/>
          <w:rtl/>
        </w:rPr>
        <w:t xml:space="preserve"> </w:t>
      </w:r>
      <w:r w:rsidRPr="00C301DD">
        <w:rPr>
          <w:rFonts w:cs="Arial" w:hint="cs"/>
          <w:sz w:val="16"/>
          <w:szCs w:val="16"/>
          <w:rtl/>
        </w:rPr>
        <w:t>צריכין</w:t>
      </w:r>
      <w:r w:rsidRPr="00C301DD">
        <w:rPr>
          <w:rFonts w:cs="Arial"/>
          <w:sz w:val="16"/>
          <w:szCs w:val="16"/>
          <w:rtl/>
        </w:rPr>
        <w:t xml:space="preserve"> </w:t>
      </w:r>
      <w:r w:rsidRPr="00C301DD">
        <w:rPr>
          <w:rFonts w:cs="Arial" w:hint="cs"/>
          <w:sz w:val="16"/>
          <w:szCs w:val="16"/>
          <w:rtl/>
        </w:rPr>
        <w:t>לכתוב</w:t>
      </w:r>
      <w:r w:rsidRPr="00C301DD">
        <w:rPr>
          <w:rFonts w:cs="Arial"/>
          <w:sz w:val="16"/>
          <w:szCs w:val="16"/>
          <w:rtl/>
        </w:rPr>
        <w:t xml:space="preserve"> </w:t>
      </w:r>
      <w:r w:rsidRPr="00C301DD">
        <w:rPr>
          <w:rFonts w:cs="Arial" w:hint="cs"/>
          <w:sz w:val="16"/>
          <w:szCs w:val="16"/>
          <w:rtl/>
        </w:rPr>
        <w:t>בגט</w:t>
      </w:r>
      <w:r w:rsidRPr="00C301DD">
        <w:rPr>
          <w:rFonts w:cs="Arial"/>
          <w:sz w:val="16"/>
          <w:szCs w:val="16"/>
          <w:rtl/>
        </w:rPr>
        <w:t xml:space="preserve"> </w:t>
      </w:r>
      <w:r w:rsidRPr="00C301DD">
        <w:rPr>
          <w:rFonts w:cs="Arial" w:hint="cs"/>
          <w:sz w:val="16"/>
          <w:szCs w:val="16"/>
          <w:rtl/>
        </w:rPr>
        <w:t>אני</w:t>
      </w:r>
      <w:r w:rsidRPr="00C301DD">
        <w:rPr>
          <w:rFonts w:cs="Arial"/>
          <w:sz w:val="16"/>
          <w:szCs w:val="16"/>
          <w:rtl/>
        </w:rPr>
        <w:t xml:space="preserve"> </w:t>
      </w:r>
      <w:r w:rsidRPr="00C301DD">
        <w:rPr>
          <w:rFonts w:cs="Arial" w:hint="cs"/>
          <w:sz w:val="16"/>
          <w:szCs w:val="16"/>
          <w:rtl/>
        </w:rPr>
        <w:t>פלוני</w:t>
      </w:r>
      <w:r w:rsidRPr="00C301DD">
        <w:rPr>
          <w:rFonts w:cs="Arial"/>
          <w:sz w:val="16"/>
          <w:szCs w:val="16"/>
          <w:rtl/>
        </w:rPr>
        <w:t xml:space="preserve"> </w:t>
      </w:r>
      <w:r w:rsidRPr="00C301DD">
        <w:rPr>
          <w:rFonts w:cs="Arial" w:hint="cs"/>
          <w:sz w:val="16"/>
          <w:szCs w:val="16"/>
          <w:rtl/>
        </w:rPr>
        <w:t>שנולדתי</w:t>
      </w:r>
      <w:r w:rsidRPr="00C301DD">
        <w:rPr>
          <w:rFonts w:cs="Arial"/>
          <w:sz w:val="16"/>
          <w:szCs w:val="16"/>
          <w:rtl/>
        </w:rPr>
        <w:t xml:space="preserve"> </w:t>
      </w:r>
      <w:r w:rsidRPr="00C301DD">
        <w:rPr>
          <w:rFonts w:cs="Arial" w:hint="cs"/>
          <w:sz w:val="16"/>
          <w:szCs w:val="16"/>
          <w:rtl/>
        </w:rPr>
        <w:t>במקום</w:t>
      </w:r>
      <w:r w:rsidRPr="00C301DD">
        <w:rPr>
          <w:rFonts w:cs="Arial"/>
          <w:sz w:val="16"/>
          <w:szCs w:val="16"/>
          <w:rtl/>
        </w:rPr>
        <w:t xml:space="preserve"> </w:t>
      </w:r>
      <w:r w:rsidRPr="00C301DD">
        <w:rPr>
          <w:rFonts w:cs="Arial" w:hint="cs"/>
          <w:sz w:val="16"/>
          <w:szCs w:val="16"/>
          <w:rtl/>
        </w:rPr>
        <w:t>פלוני,</w:t>
      </w:r>
      <w:r w:rsidRPr="00C301DD">
        <w:rPr>
          <w:rFonts w:cs="Arial"/>
          <w:sz w:val="16"/>
          <w:szCs w:val="16"/>
          <w:rtl/>
        </w:rPr>
        <w:t xml:space="preserve"> </w:t>
      </w:r>
      <w:r w:rsidRPr="00C301DD">
        <w:rPr>
          <w:rFonts w:cs="Arial" w:hint="cs"/>
          <w:sz w:val="16"/>
          <w:szCs w:val="16"/>
          <w:rtl/>
        </w:rPr>
        <w:t>דע</w:t>
      </w:r>
      <w:r w:rsidRPr="00C301DD">
        <w:rPr>
          <w:rFonts w:cs="Arial"/>
          <w:sz w:val="16"/>
          <w:szCs w:val="16"/>
          <w:rtl/>
        </w:rPr>
        <w:t xml:space="preserve"> </w:t>
      </w:r>
      <w:r w:rsidRPr="00C301DD">
        <w:rPr>
          <w:rFonts w:cs="Arial" w:hint="cs"/>
          <w:sz w:val="16"/>
          <w:szCs w:val="16"/>
          <w:rtl/>
        </w:rPr>
        <w:t>שכך</w:t>
      </w:r>
      <w:r w:rsidRPr="00C301DD">
        <w:rPr>
          <w:rFonts w:cs="Arial"/>
          <w:sz w:val="16"/>
          <w:szCs w:val="16"/>
          <w:rtl/>
        </w:rPr>
        <w:t xml:space="preserve"> </w:t>
      </w:r>
      <w:r w:rsidRPr="00C301DD">
        <w:rPr>
          <w:rFonts w:cs="Arial" w:hint="cs"/>
          <w:sz w:val="16"/>
          <w:szCs w:val="16"/>
          <w:rtl/>
        </w:rPr>
        <w:t>כתוב</w:t>
      </w:r>
      <w:r w:rsidRPr="00C301DD">
        <w:rPr>
          <w:rFonts w:cs="Arial"/>
          <w:sz w:val="16"/>
          <w:szCs w:val="16"/>
          <w:rtl/>
        </w:rPr>
        <w:t xml:space="preserve"> </w:t>
      </w:r>
      <w:r w:rsidRPr="00C301DD">
        <w:rPr>
          <w:rFonts w:cs="Arial" w:hint="cs"/>
          <w:sz w:val="16"/>
          <w:szCs w:val="16"/>
          <w:rtl/>
        </w:rPr>
        <w:t>בטופסי</w:t>
      </w:r>
      <w:r w:rsidRPr="00C301DD">
        <w:rPr>
          <w:rFonts w:cs="Arial"/>
          <w:sz w:val="16"/>
          <w:szCs w:val="16"/>
          <w:rtl/>
        </w:rPr>
        <w:t xml:space="preserve"> </w:t>
      </w:r>
      <w:r w:rsidRPr="00C301DD">
        <w:rPr>
          <w:rFonts w:cs="Arial" w:hint="cs"/>
          <w:sz w:val="16"/>
          <w:szCs w:val="16"/>
          <w:rtl/>
        </w:rPr>
        <w:t>גיטין</w:t>
      </w:r>
      <w:r w:rsidRPr="00C301DD">
        <w:rPr>
          <w:rFonts w:cs="Arial"/>
          <w:sz w:val="16"/>
          <w:szCs w:val="16"/>
          <w:rtl/>
        </w:rPr>
        <w:t xml:space="preserve"> </w:t>
      </w:r>
      <w:r w:rsidRPr="00C301DD">
        <w:rPr>
          <w:rFonts w:cs="Arial" w:hint="cs"/>
          <w:sz w:val="16"/>
          <w:szCs w:val="16"/>
          <w:rtl/>
        </w:rPr>
        <w:t>שבחיבורי</w:t>
      </w:r>
      <w:r w:rsidRPr="00C301DD">
        <w:rPr>
          <w:rFonts w:cs="Arial"/>
          <w:sz w:val="16"/>
          <w:szCs w:val="16"/>
          <w:rtl/>
        </w:rPr>
        <w:t xml:space="preserve"> </w:t>
      </w:r>
      <w:r w:rsidRPr="00C301DD">
        <w:rPr>
          <w:rFonts w:cs="Arial" w:hint="cs"/>
          <w:sz w:val="16"/>
          <w:szCs w:val="16"/>
          <w:rtl/>
        </w:rPr>
        <w:t>רבותינו</w:t>
      </w:r>
      <w:r w:rsidRPr="00C301DD">
        <w:rPr>
          <w:rFonts w:cs="Arial"/>
          <w:sz w:val="16"/>
          <w:szCs w:val="16"/>
          <w:rtl/>
        </w:rPr>
        <w:t xml:space="preserve"> </w:t>
      </w:r>
      <w:r w:rsidRPr="00C301DD">
        <w:rPr>
          <w:rFonts w:cs="Arial" w:hint="cs"/>
          <w:sz w:val="16"/>
          <w:szCs w:val="16"/>
          <w:rtl/>
        </w:rPr>
        <w:t>הצרפתים</w:t>
      </w:r>
      <w:r w:rsidRPr="00C301DD">
        <w:rPr>
          <w:rFonts w:cs="Arial"/>
          <w:sz w:val="16"/>
          <w:szCs w:val="16"/>
          <w:rtl/>
        </w:rPr>
        <w:t xml:space="preserve"> </w:t>
      </w:r>
      <w:r w:rsidRPr="00C301DD">
        <w:rPr>
          <w:rFonts w:cs="Arial" w:hint="cs"/>
          <w:sz w:val="16"/>
          <w:szCs w:val="16"/>
          <w:rtl/>
        </w:rPr>
        <w:t>וכן</w:t>
      </w:r>
      <w:r w:rsidRPr="00C301DD">
        <w:rPr>
          <w:rFonts w:cs="Arial"/>
          <w:sz w:val="16"/>
          <w:szCs w:val="16"/>
          <w:rtl/>
        </w:rPr>
        <w:t xml:space="preserve"> </w:t>
      </w:r>
      <w:r w:rsidRPr="00C301DD">
        <w:rPr>
          <w:rFonts w:cs="Arial" w:hint="cs"/>
          <w:sz w:val="16"/>
          <w:szCs w:val="16"/>
          <w:rtl/>
        </w:rPr>
        <w:t>כתבוהו</w:t>
      </w:r>
      <w:r w:rsidRPr="00C301DD">
        <w:rPr>
          <w:rFonts w:cs="Arial"/>
          <w:sz w:val="16"/>
          <w:szCs w:val="16"/>
          <w:rtl/>
        </w:rPr>
        <w:t xml:space="preserve"> </w:t>
      </w:r>
      <w:r w:rsidRPr="00C301DD">
        <w:rPr>
          <w:rFonts w:cs="Arial" w:hint="cs"/>
          <w:sz w:val="16"/>
          <w:szCs w:val="16"/>
          <w:rtl/>
        </w:rPr>
        <w:t>מקצת</w:t>
      </w:r>
      <w:r w:rsidRPr="00C301DD">
        <w:rPr>
          <w:rFonts w:cs="Arial"/>
          <w:sz w:val="16"/>
          <w:szCs w:val="16"/>
          <w:rtl/>
        </w:rPr>
        <w:t xml:space="preserve"> </w:t>
      </w:r>
      <w:r w:rsidRPr="00C301DD">
        <w:rPr>
          <w:rFonts w:cs="Arial" w:hint="cs"/>
          <w:sz w:val="16"/>
          <w:szCs w:val="16"/>
          <w:rtl/>
        </w:rPr>
        <w:t>רבותינו.</w:t>
      </w:r>
      <w:r w:rsidRPr="00C301DD">
        <w:rPr>
          <w:rFonts w:cs="Arial"/>
          <w:sz w:val="16"/>
          <w:szCs w:val="16"/>
          <w:rtl/>
        </w:rPr>
        <w:t xml:space="preserve"> </w:t>
      </w:r>
      <w:r w:rsidRPr="00C301DD">
        <w:rPr>
          <w:rFonts w:cs="Arial" w:hint="cs"/>
          <w:sz w:val="16"/>
          <w:szCs w:val="16"/>
          <w:rtl/>
        </w:rPr>
        <w:t>וכן</w:t>
      </w:r>
      <w:r w:rsidRPr="00C301DD">
        <w:rPr>
          <w:rFonts w:cs="Arial"/>
          <w:sz w:val="16"/>
          <w:szCs w:val="16"/>
          <w:rtl/>
        </w:rPr>
        <w:t xml:space="preserve"> </w:t>
      </w:r>
      <w:r w:rsidRPr="00C301DD">
        <w:rPr>
          <w:rFonts w:cs="Arial" w:hint="cs"/>
          <w:sz w:val="16"/>
          <w:szCs w:val="16"/>
          <w:rtl/>
        </w:rPr>
        <w:t>משמע</w:t>
      </w:r>
      <w:r w:rsidRPr="00C301DD">
        <w:rPr>
          <w:rFonts w:cs="Arial"/>
          <w:sz w:val="16"/>
          <w:szCs w:val="16"/>
          <w:rtl/>
        </w:rPr>
        <w:t xml:space="preserve"> </w:t>
      </w:r>
      <w:r w:rsidRPr="00C301DD">
        <w:rPr>
          <w:rFonts w:cs="Arial" w:hint="cs"/>
          <w:sz w:val="16"/>
          <w:szCs w:val="16"/>
          <w:rtl/>
        </w:rPr>
        <w:t>מדאמרינן</w:t>
      </w:r>
      <w:r w:rsidRPr="00C301DD">
        <w:rPr>
          <w:rFonts w:cs="Arial"/>
          <w:sz w:val="16"/>
          <w:szCs w:val="16"/>
          <w:rtl/>
        </w:rPr>
        <w:t xml:space="preserve"> </w:t>
      </w:r>
      <w:r w:rsidRPr="00C301DD">
        <w:rPr>
          <w:rFonts w:cs="Arial" w:hint="cs"/>
          <w:sz w:val="16"/>
          <w:szCs w:val="16"/>
          <w:rtl/>
        </w:rPr>
        <w:t>ביבמות</w:t>
      </w:r>
      <w:r w:rsidRPr="00C301DD">
        <w:rPr>
          <w:rFonts w:cs="Arial"/>
          <w:sz w:val="16"/>
          <w:szCs w:val="16"/>
          <w:rtl/>
        </w:rPr>
        <w:t xml:space="preserve"> (</w:t>
      </w:r>
      <w:r w:rsidRPr="00C301DD">
        <w:rPr>
          <w:rFonts w:cs="Arial" w:hint="cs"/>
          <w:sz w:val="16"/>
          <w:szCs w:val="16"/>
          <w:rtl/>
        </w:rPr>
        <w:t>קטו</w:t>
      </w:r>
      <w:r w:rsidRPr="00C301DD">
        <w:rPr>
          <w:rFonts w:cs="Arial"/>
          <w:sz w:val="16"/>
          <w:szCs w:val="16"/>
          <w:rtl/>
        </w:rPr>
        <w:t xml:space="preserve">:) </w:t>
      </w:r>
      <w:r w:rsidRPr="00C301DD">
        <w:rPr>
          <w:rFonts w:cs="Arial" w:hint="cs"/>
          <w:sz w:val="16"/>
          <w:szCs w:val="16"/>
          <w:rtl/>
        </w:rPr>
        <w:t>בקלניא</w:t>
      </w:r>
      <w:r w:rsidRPr="00C301DD">
        <w:rPr>
          <w:rFonts w:cs="Arial"/>
          <w:sz w:val="16"/>
          <w:szCs w:val="16"/>
          <w:rtl/>
        </w:rPr>
        <w:t xml:space="preserve"> </w:t>
      </w:r>
      <w:r w:rsidRPr="00C301DD">
        <w:rPr>
          <w:rFonts w:cs="Arial" w:hint="cs"/>
          <w:sz w:val="16"/>
          <w:szCs w:val="16"/>
          <w:rtl/>
        </w:rPr>
        <w:t>מתא</w:t>
      </w:r>
      <w:r w:rsidRPr="00C301DD">
        <w:rPr>
          <w:rFonts w:cs="Arial"/>
          <w:sz w:val="16"/>
          <w:szCs w:val="16"/>
          <w:rtl/>
        </w:rPr>
        <w:t xml:space="preserve"> </w:t>
      </w:r>
      <w:r w:rsidRPr="00C301DD">
        <w:rPr>
          <w:rFonts w:cs="Arial" w:hint="cs"/>
          <w:sz w:val="16"/>
          <w:szCs w:val="16"/>
          <w:rtl/>
        </w:rPr>
        <w:t>אנו</w:t>
      </w:r>
      <w:r w:rsidRPr="00C301DD">
        <w:rPr>
          <w:rFonts w:cs="Arial"/>
          <w:sz w:val="16"/>
          <w:szCs w:val="16"/>
          <w:rtl/>
        </w:rPr>
        <w:t xml:space="preserve"> </w:t>
      </w:r>
      <w:r w:rsidRPr="00C301DD">
        <w:rPr>
          <w:rFonts w:cs="Arial" w:hint="cs"/>
          <w:sz w:val="16"/>
          <w:szCs w:val="16"/>
          <w:rtl/>
        </w:rPr>
        <w:t>אנדרנולאי</w:t>
      </w:r>
      <w:r w:rsidRPr="00C301DD">
        <w:rPr>
          <w:rFonts w:cs="Arial"/>
          <w:sz w:val="16"/>
          <w:szCs w:val="16"/>
          <w:rtl/>
        </w:rPr>
        <w:t xml:space="preserve"> </w:t>
      </w:r>
      <w:r w:rsidRPr="00C301DD">
        <w:rPr>
          <w:rFonts w:cs="Arial" w:hint="cs"/>
          <w:sz w:val="16"/>
          <w:szCs w:val="16"/>
          <w:rtl/>
        </w:rPr>
        <w:t>נהרדעא.</w:t>
      </w:r>
      <w:r w:rsidRPr="00C301DD">
        <w:rPr>
          <w:rFonts w:cs="Arial"/>
          <w:sz w:val="16"/>
          <w:szCs w:val="16"/>
          <w:rtl/>
        </w:rPr>
        <w:t xml:space="preserve"> </w:t>
      </w:r>
      <w:r w:rsidRPr="00C301DD">
        <w:rPr>
          <w:rFonts w:cs="Arial" w:hint="cs"/>
          <w:sz w:val="16"/>
          <w:szCs w:val="16"/>
          <w:rtl/>
        </w:rPr>
        <w:t>ותנן</w:t>
      </w:r>
      <w:r w:rsidRPr="00C301DD">
        <w:rPr>
          <w:rFonts w:cs="Arial"/>
          <w:sz w:val="16"/>
          <w:szCs w:val="16"/>
          <w:rtl/>
        </w:rPr>
        <w:t xml:space="preserve"> </w:t>
      </w:r>
      <w:r w:rsidRPr="00C301DD">
        <w:rPr>
          <w:rFonts w:cs="Arial" w:hint="cs"/>
          <w:sz w:val="16"/>
          <w:szCs w:val="16"/>
          <w:rtl/>
        </w:rPr>
        <w:t>בהזורק</w:t>
      </w:r>
      <w:r w:rsidRPr="00C301DD">
        <w:rPr>
          <w:rFonts w:cs="Arial"/>
          <w:sz w:val="16"/>
          <w:szCs w:val="16"/>
          <w:rtl/>
        </w:rPr>
        <w:t xml:space="preserve"> </w:t>
      </w:r>
      <w:r w:rsidRPr="00C301DD">
        <w:rPr>
          <w:rFonts w:cs="Arial" w:hint="cs"/>
          <w:sz w:val="16"/>
          <w:szCs w:val="16"/>
          <w:rtl/>
        </w:rPr>
        <w:t>היה</w:t>
      </w:r>
      <w:r w:rsidRPr="00C301DD">
        <w:rPr>
          <w:rFonts w:cs="Arial"/>
          <w:sz w:val="16"/>
          <w:szCs w:val="16"/>
          <w:rtl/>
        </w:rPr>
        <w:t xml:space="preserve"> </w:t>
      </w:r>
      <w:r w:rsidRPr="00C301DD">
        <w:rPr>
          <w:rFonts w:cs="Arial" w:hint="cs"/>
          <w:sz w:val="16"/>
          <w:szCs w:val="16"/>
          <w:rtl/>
        </w:rPr>
        <w:t>במזרח</w:t>
      </w:r>
      <w:r w:rsidRPr="00C301DD">
        <w:rPr>
          <w:rFonts w:cs="Arial"/>
          <w:sz w:val="16"/>
          <w:szCs w:val="16"/>
          <w:rtl/>
        </w:rPr>
        <w:t xml:space="preserve"> </w:t>
      </w:r>
      <w:r w:rsidRPr="00C301DD">
        <w:rPr>
          <w:rFonts w:cs="Arial" w:hint="cs"/>
          <w:sz w:val="16"/>
          <w:szCs w:val="16"/>
          <w:rtl/>
        </w:rPr>
        <w:t>וכתב</w:t>
      </w:r>
      <w:r w:rsidRPr="00C301DD">
        <w:rPr>
          <w:rFonts w:cs="Arial"/>
          <w:sz w:val="16"/>
          <w:szCs w:val="16"/>
          <w:rtl/>
        </w:rPr>
        <w:t xml:space="preserve"> </w:t>
      </w:r>
      <w:r w:rsidRPr="00C301DD">
        <w:rPr>
          <w:rFonts w:cs="Arial" w:hint="cs"/>
          <w:sz w:val="16"/>
          <w:szCs w:val="16"/>
          <w:rtl/>
        </w:rPr>
        <w:t>במערב</w:t>
      </w:r>
      <w:r w:rsidRPr="00C301DD">
        <w:rPr>
          <w:rFonts w:cs="Arial"/>
          <w:sz w:val="16"/>
          <w:szCs w:val="16"/>
          <w:rtl/>
        </w:rPr>
        <w:t xml:space="preserve"> </w:t>
      </w:r>
      <w:r w:rsidRPr="00C301DD">
        <w:rPr>
          <w:rFonts w:cs="Arial" w:hint="cs"/>
          <w:sz w:val="16"/>
          <w:szCs w:val="16"/>
          <w:rtl/>
        </w:rPr>
        <w:t>וכו</w:t>
      </w:r>
      <w:r w:rsidRPr="00C301DD">
        <w:rPr>
          <w:rFonts w:cs="Arial"/>
          <w:sz w:val="16"/>
          <w:szCs w:val="16"/>
          <w:rtl/>
        </w:rPr>
        <w:t xml:space="preserve">' </w:t>
      </w:r>
      <w:r w:rsidRPr="00C301DD">
        <w:rPr>
          <w:rFonts w:cs="Arial" w:hint="cs"/>
          <w:sz w:val="16"/>
          <w:szCs w:val="16"/>
          <w:rtl/>
        </w:rPr>
        <w:t>מאן</w:t>
      </w:r>
      <w:r w:rsidRPr="00C301DD">
        <w:rPr>
          <w:rFonts w:cs="Arial"/>
          <w:sz w:val="16"/>
          <w:szCs w:val="16"/>
          <w:rtl/>
        </w:rPr>
        <w:t xml:space="preserve"> </w:t>
      </w:r>
      <w:r w:rsidRPr="00C301DD">
        <w:rPr>
          <w:rFonts w:cs="Arial" w:hint="cs"/>
          <w:sz w:val="16"/>
          <w:szCs w:val="16"/>
          <w:rtl/>
        </w:rPr>
        <w:t>אילימא</w:t>
      </w:r>
      <w:r w:rsidRPr="00C301DD">
        <w:rPr>
          <w:rFonts w:cs="Arial"/>
          <w:sz w:val="16"/>
          <w:szCs w:val="16"/>
          <w:rtl/>
        </w:rPr>
        <w:t xml:space="preserve"> </w:t>
      </w:r>
      <w:r w:rsidRPr="00C301DD">
        <w:rPr>
          <w:rFonts w:cs="Arial" w:hint="cs"/>
          <w:sz w:val="16"/>
          <w:szCs w:val="16"/>
          <w:rtl/>
        </w:rPr>
        <w:t>בעל</w:t>
      </w:r>
      <w:r w:rsidRPr="00C301DD">
        <w:rPr>
          <w:rFonts w:cs="Arial"/>
          <w:sz w:val="16"/>
          <w:szCs w:val="16"/>
          <w:rtl/>
        </w:rPr>
        <w:t xml:space="preserve"> </w:t>
      </w:r>
      <w:r w:rsidRPr="00C301DD">
        <w:rPr>
          <w:rFonts w:cs="Arial" w:hint="cs"/>
          <w:sz w:val="16"/>
          <w:szCs w:val="16"/>
          <w:rtl/>
        </w:rPr>
        <w:t>וכו</w:t>
      </w:r>
      <w:r w:rsidRPr="00C301DD">
        <w:rPr>
          <w:rFonts w:cs="Arial"/>
          <w:sz w:val="16"/>
          <w:szCs w:val="16"/>
          <w:rtl/>
        </w:rPr>
        <w:t>'</w:t>
      </w:r>
      <w:r w:rsidRPr="00C301DD">
        <w:rPr>
          <w:rFonts w:cs="Arial" w:hint="cs"/>
          <w:sz w:val="16"/>
          <w:szCs w:val="16"/>
          <w:rtl/>
        </w:rPr>
        <w:t>.</w:t>
      </w:r>
      <w:r w:rsidRPr="00C301DD">
        <w:rPr>
          <w:rFonts w:cs="Arial"/>
          <w:sz w:val="16"/>
          <w:szCs w:val="16"/>
          <w:rtl/>
        </w:rPr>
        <w:t xml:space="preserve"> </w:t>
      </w:r>
      <w:r w:rsidRPr="00C301DD">
        <w:rPr>
          <w:rFonts w:cs="Arial" w:hint="cs"/>
          <w:sz w:val="16"/>
          <w:szCs w:val="16"/>
          <w:rtl/>
        </w:rPr>
        <w:t>אלמא</w:t>
      </w:r>
      <w:r w:rsidRPr="00C301DD">
        <w:rPr>
          <w:rFonts w:cs="Arial"/>
          <w:sz w:val="16"/>
          <w:szCs w:val="16"/>
          <w:rtl/>
        </w:rPr>
        <w:t xml:space="preserve"> </w:t>
      </w:r>
      <w:r w:rsidRPr="00C301DD">
        <w:rPr>
          <w:rFonts w:cs="Arial" w:hint="cs"/>
          <w:sz w:val="16"/>
          <w:szCs w:val="16"/>
          <w:rtl/>
        </w:rPr>
        <w:t>מזכירין</w:t>
      </w:r>
      <w:r w:rsidRPr="00C301DD">
        <w:rPr>
          <w:rFonts w:cs="Arial"/>
          <w:sz w:val="16"/>
          <w:szCs w:val="16"/>
          <w:rtl/>
        </w:rPr>
        <w:t xml:space="preserve"> </w:t>
      </w:r>
      <w:r w:rsidRPr="00C301DD">
        <w:rPr>
          <w:rFonts w:cs="Arial" w:hint="cs"/>
          <w:sz w:val="16"/>
          <w:szCs w:val="16"/>
          <w:rtl/>
        </w:rPr>
        <w:t>בגט</w:t>
      </w:r>
      <w:r w:rsidRPr="00C301DD">
        <w:rPr>
          <w:rFonts w:cs="Arial"/>
          <w:sz w:val="16"/>
          <w:szCs w:val="16"/>
          <w:rtl/>
        </w:rPr>
        <w:t xml:space="preserve"> </w:t>
      </w:r>
      <w:r w:rsidRPr="00C301DD">
        <w:rPr>
          <w:rFonts w:cs="Arial" w:hint="cs"/>
          <w:sz w:val="16"/>
          <w:szCs w:val="16"/>
          <w:rtl/>
        </w:rPr>
        <w:t>פלוני</w:t>
      </w:r>
      <w:r w:rsidRPr="00C301DD">
        <w:rPr>
          <w:rFonts w:cs="Arial"/>
          <w:sz w:val="16"/>
          <w:szCs w:val="16"/>
          <w:rtl/>
        </w:rPr>
        <w:t xml:space="preserve"> </w:t>
      </w:r>
      <w:r w:rsidRPr="00C301DD">
        <w:rPr>
          <w:rFonts w:cs="Arial" w:hint="cs"/>
          <w:sz w:val="16"/>
          <w:szCs w:val="16"/>
          <w:rtl/>
        </w:rPr>
        <w:t>שממקום</w:t>
      </w:r>
      <w:r w:rsidRPr="00C301DD">
        <w:rPr>
          <w:rFonts w:cs="Arial"/>
          <w:sz w:val="16"/>
          <w:szCs w:val="16"/>
          <w:rtl/>
        </w:rPr>
        <w:t xml:space="preserve"> </w:t>
      </w:r>
      <w:r w:rsidRPr="00C301DD">
        <w:rPr>
          <w:rFonts w:cs="Arial" w:hint="cs"/>
          <w:sz w:val="16"/>
          <w:szCs w:val="16"/>
          <w:rtl/>
        </w:rPr>
        <w:t>פלוני</w:t>
      </w:r>
      <w:r w:rsidRPr="00C301DD">
        <w:rPr>
          <w:rFonts w:cs="Arial"/>
          <w:sz w:val="16"/>
          <w:szCs w:val="16"/>
          <w:rtl/>
        </w:rPr>
        <w:t xml:space="preserve"> </w:t>
      </w:r>
      <w:r w:rsidRPr="00C301DD">
        <w:rPr>
          <w:rFonts w:cs="Arial" w:hint="cs"/>
          <w:sz w:val="16"/>
          <w:szCs w:val="16"/>
          <w:rtl/>
        </w:rPr>
        <w:t>מלבד</w:t>
      </w:r>
      <w:r w:rsidRPr="00C301DD">
        <w:rPr>
          <w:rFonts w:cs="Arial"/>
          <w:sz w:val="16"/>
          <w:szCs w:val="16"/>
          <w:rtl/>
        </w:rPr>
        <w:t xml:space="preserve"> </w:t>
      </w:r>
      <w:r w:rsidRPr="00C301DD">
        <w:rPr>
          <w:rFonts w:cs="Arial" w:hint="cs"/>
          <w:sz w:val="16"/>
          <w:szCs w:val="16"/>
          <w:rtl/>
        </w:rPr>
        <w:t>מה</w:t>
      </w:r>
      <w:r w:rsidRPr="00C301DD">
        <w:rPr>
          <w:rFonts w:cs="Arial"/>
          <w:sz w:val="16"/>
          <w:szCs w:val="16"/>
          <w:rtl/>
        </w:rPr>
        <w:t xml:space="preserve"> </w:t>
      </w:r>
      <w:r w:rsidRPr="00C301DD">
        <w:rPr>
          <w:rFonts w:cs="Arial" w:hint="cs"/>
          <w:sz w:val="16"/>
          <w:szCs w:val="16"/>
          <w:rtl/>
        </w:rPr>
        <w:t>שכותבין</w:t>
      </w:r>
      <w:r w:rsidRPr="00C301DD">
        <w:rPr>
          <w:rFonts w:cs="Arial"/>
          <w:sz w:val="16"/>
          <w:szCs w:val="16"/>
          <w:rtl/>
        </w:rPr>
        <w:t xml:space="preserve"> </w:t>
      </w:r>
      <w:r w:rsidRPr="00C301DD">
        <w:rPr>
          <w:rFonts w:cs="Arial" w:hint="cs"/>
          <w:sz w:val="16"/>
          <w:szCs w:val="16"/>
          <w:rtl/>
        </w:rPr>
        <w:t>שם</w:t>
      </w:r>
      <w:r w:rsidRPr="00C301DD">
        <w:rPr>
          <w:rFonts w:cs="Arial"/>
          <w:sz w:val="16"/>
          <w:szCs w:val="16"/>
          <w:rtl/>
        </w:rPr>
        <w:t xml:space="preserve"> </w:t>
      </w:r>
      <w:r w:rsidRPr="00C301DD">
        <w:rPr>
          <w:rFonts w:cs="Arial" w:hint="cs"/>
          <w:sz w:val="16"/>
          <w:szCs w:val="16"/>
          <w:rtl/>
        </w:rPr>
        <w:t>מקום</w:t>
      </w:r>
      <w:r w:rsidRPr="00C301DD">
        <w:rPr>
          <w:rFonts w:cs="Arial"/>
          <w:sz w:val="16"/>
          <w:szCs w:val="16"/>
          <w:rtl/>
        </w:rPr>
        <w:t xml:space="preserve"> </w:t>
      </w:r>
      <w:r w:rsidRPr="00C301DD">
        <w:rPr>
          <w:rFonts w:cs="Arial" w:hint="cs"/>
          <w:sz w:val="16"/>
          <w:szCs w:val="16"/>
          <w:rtl/>
        </w:rPr>
        <w:t>הכתיבה.</w:t>
      </w:r>
      <w:r w:rsidRPr="00C301DD">
        <w:rPr>
          <w:rFonts w:cs="Arial"/>
          <w:sz w:val="16"/>
          <w:szCs w:val="16"/>
          <w:rtl/>
        </w:rPr>
        <w:t xml:space="preserve"> </w:t>
      </w:r>
      <w:r w:rsidRPr="00C301DD">
        <w:rPr>
          <w:rFonts w:cs="Arial" w:hint="cs"/>
          <w:sz w:val="16"/>
          <w:szCs w:val="16"/>
          <w:rtl/>
        </w:rPr>
        <w:t>ולפי</w:t>
      </w:r>
      <w:r w:rsidRPr="00C301DD">
        <w:rPr>
          <w:rFonts w:cs="Arial"/>
          <w:sz w:val="16"/>
          <w:szCs w:val="16"/>
          <w:rtl/>
        </w:rPr>
        <w:t xml:space="preserve"> </w:t>
      </w:r>
      <w:r w:rsidRPr="00C301DD">
        <w:rPr>
          <w:rFonts w:cs="Arial" w:hint="cs"/>
          <w:sz w:val="16"/>
          <w:szCs w:val="16"/>
          <w:rtl/>
        </w:rPr>
        <w:t>מה</w:t>
      </w:r>
      <w:r w:rsidRPr="00C301DD">
        <w:rPr>
          <w:rFonts w:cs="Arial"/>
          <w:sz w:val="16"/>
          <w:szCs w:val="16"/>
          <w:rtl/>
        </w:rPr>
        <w:t xml:space="preserve"> </w:t>
      </w:r>
      <w:r w:rsidRPr="00C301DD">
        <w:rPr>
          <w:rFonts w:cs="Arial" w:hint="cs"/>
          <w:sz w:val="16"/>
          <w:szCs w:val="16"/>
          <w:rtl/>
        </w:rPr>
        <w:t>שאמרו</w:t>
      </w:r>
      <w:r w:rsidRPr="00C301DD">
        <w:rPr>
          <w:rFonts w:cs="Arial"/>
          <w:sz w:val="16"/>
          <w:szCs w:val="16"/>
          <w:rtl/>
        </w:rPr>
        <w:t xml:space="preserve"> </w:t>
      </w:r>
      <w:r w:rsidRPr="00C301DD">
        <w:rPr>
          <w:rFonts w:cs="Arial" w:hint="cs"/>
          <w:sz w:val="16"/>
          <w:szCs w:val="16"/>
          <w:rtl/>
        </w:rPr>
        <w:t>בירושלמי</w:t>
      </w:r>
      <w:r w:rsidRPr="00C301DD">
        <w:rPr>
          <w:rFonts w:cs="Arial"/>
          <w:sz w:val="16"/>
          <w:szCs w:val="16"/>
          <w:rtl/>
        </w:rPr>
        <w:t xml:space="preserve"> (</w:t>
      </w:r>
      <w:r w:rsidRPr="00C301DD">
        <w:rPr>
          <w:rFonts w:cs="Arial" w:hint="cs"/>
          <w:sz w:val="16"/>
          <w:szCs w:val="16"/>
          <w:rtl/>
        </w:rPr>
        <w:t>פ</w:t>
      </w:r>
      <w:r w:rsidRPr="00C301DD">
        <w:rPr>
          <w:rFonts w:cs="Arial"/>
          <w:sz w:val="16"/>
          <w:szCs w:val="16"/>
          <w:rtl/>
        </w:rPr>
        <w:t>"</w:t>
      </w:r>
      <w:r w:rsidRPr="00C301DD">
        <w:rPr>
          <w:rFonts w:cs="Arial" w:hint="cs"/>
          <w:sz w:val="16"/>
          <w:szCs w:val="16"/>
          <w:rtl/>
        </w:rPr>
        <w:t>ד</w:t>
      </w:r>
      <w:r w:rsidRPr="00C301DD">
        <w:rPr>
          <w:rFonts w:cs="Arial"/>
          <w:sz w:val="16"/>
          <w:szCs w:val="16"/>
          <w:rtl/>
        </w:rPr>
        <w:t xml:space="preserve"> </w:t>
      </w:r>
      <w:r w:rsidRPr="00C301DD">
        <w:rPr>
          <w:rFonts w:cs="Arial" w:hint="cs"/>
          <w:sz w:val="16"/>
          <w:szCs w:val="16"/>
          <w:rtl/>
        </w:rPr>
        <w:t>ה</w:t>
      </w:r>
      <w:r w:rsidRPr="00C301DD">
        <w:rPr>
          <w:rFonts w:cs="Arial"/>
          <w:sz w:val="16"/>
          <w:szCs w:val="16"/>
          <w:rtl/>
        </w:rPr>
        <w:t>"</w:t>
      </w:r>
      <w:r w:rsidRPr="00C301DD">
        <w:rPr>
          <w:rFonts w:cs="Arial" w:hint="cs"/>
          <w:sz w:val="16"/>
          <w:szCs w:val="16"/>
          <w:rtl/>
        </w:rPr>
        <w:t>ב</w:t>
      </w:r>
      <w:r w:rsidRPr="00C301DD">
        <w:rPr>
          <w:rFonts w:cs="Arial"/>
          <w:sz w:val="16"/>
          <w:szCs w:val="16"/>
          <w:rtl/>
        </w:rPr>
        <w:t xml:space="preserve">) </w:t>
      </w:r>
      <w:r w:rsidRPr="00C301DD">
        <w:rPr>
          <w:rFonts w:cs="Arial" w:hint="cs"/>
          <w:sz w:val="16"/>
          <w:szCs w:val="16"/>
          <w:rtl/>
        </w:rPr>
        <w:t>משמע</w:t>
      </w:r>
      <w:r w:rsidRPr="00C301DD">
        <w:rPr>
          <w:rFonts w:cs="Arial"/>
          <w:sz w:val="16"/>
          <w:szCs w:val="16"/>
          <w:rtl/>
        </w:rPr>
        <w:t xml:space="preserve"> </w:t>
      </w:r>
      <w:r w:rsidRPr="00C301DD">
        <w:rPr>
          <w:rFonts w:cs="Arial" w:hint="cs"/>
          <w:sz w:val="16"/>
          <w:szCs w:val="16"/>
          <w:rtl/>
        </w:rPr>
        <w:t>שאם</w:t>
      </w:r>
      <w:r w:rsidRPr="00C301DD">
        <w:rPr>
          <w:rFonts w:cs="Arial"/>
          <w:sz w:val="16"/>
          <w:szCs w:val="16"/>
          <w:rtl/>
        </w:rPr>
        <w:t xml:space="preserve"> </w:t>
      </w:r>
      <w:r w:rsidRPr="00C301DD">
        <w:rPr>
          <w:rFonts w:cs="Arial" w:hint="cs"/>
          <w:sz w:val="16"/>
          <w:szCs w:val="16"/>
          <w:rtl/>
        </w:rPr>
        <w:t>נולד</w:t>
      </w:r>
      <w:r w:rsidRPr="00C301DD">
        <w:rPr>
          <w:rFonts w:cs="Arial"/>
          <w:sz w:val="16"/>
          <w:szCs w:val="16"/>
          <w:rtl/>
        </w:rPr>
        <w:t xml:space="preserve"> </w:t>
      </w:r>
      <w:r w:rsidRPr="00C301DD">
        <w:rPr>
          <w:rFonts w:cs="Arial" w:hint="cs"/>
          <w:sz w:val="16"/>
          <w:szCs w:val="16"/>
          <w:rtl/>
        </w:rPr>
        <w:t>במקום</w:t>
      </w:r>
      <w:r w:rsidRPr="00C301DD">
        <w:rPr>
          <w:rFonts w:cs="Arial"/>
          <w:sz w:val="16"/>
          <w:szCs w:val="16"/>
          <w:rtl/>
        </w:rPr>
        <w:t xml:space="preserve"> </w:t>
      </w:r>
      <w:r w:rsidRPr="00C301DD">
        <w:rPr>
          <w:rFonts w:cs="Arial" w:hint="cs"/>
          <w:sz w:val="16"/>
          <w:szCs w:val="16"/>
          <w:rtl/>
        </w:rPr>
        <w:t>אחד</w:t>
      </w:r>
      <w:r w:rsidRPr="00C301DD">
        <w:rPr>
          <w:rFonts w:cs="Arial"/>
          <w:sz w:val="16"/>
          <w:szCs w:val="16"/>
          <w:rtl/>
        </w:rPr>
        <w:t xml:space="preserve"> </w:t>
      </w:r>
      <w:r w:rsidRPr="00C301DD">
        <w:rPr>
          <w:rFonts w:cs="Arial" w:hint="cs"/>
          <w:sz w:val="16"/>
          <w:szCs w:val="16"/>
          <w:rtl/>
        </w:rPr>
        <w:t>ודר</w:t>
      </w:r>
      <w:r w:rsidRPr="00C301DD">
        <w:rPr>
          <w:rFonts w:cs="Arial"/>
          <w:sz w:val="16"/>
          <w:szCs w:val="16"/>
          <w:rtl/>
        </w:rPr>
        <w:t xml:space="preserve"> </w:t>
      </w:r>
      <w:r w:rsidRPr="00C301DD">
        <w:rPr>
          <w:rFonts w:cs="Arial" w:hint="cs"/>
          <w:sz w:val="16"/>
          <w:szCs w:val="16"/>
          <w:rtl/>
        </w:rPr>
        <w:t>במקום</w:t>
      </w:r>
      <w:r w:rsidRPr="00C301DD">
        <w:rPr>
          <w:rFonts w:cs="Arial"/>
          <w:sz w:val="16"/>
          <w:szCs w:val="16"/>
          <w:rtl/>
        </w:rPr>
        <w:t xml:space="preserve"> </w:t>
      </w:r>
      <w:r w:rsidRPr="00C301DD">
        <w:rPr>
          <w:rFonts w:cs="Arial" w:hint="cs"/>
          <w:sz w:val="16"/>
          <w:szCs w:val="16"/>
          <w:rtl/>
        </w:rPr>
        <w:t>אחר</w:t>
      </w:r>
      <w:r w:rsidRPr="00C301DD">
        <w:rPr>
          <w:rFonts w:cs="Arial"/>
          <w:sz w:val="16"/>
          <w:szCs w:val="16"/>
          <w:rtl/>
        </w:rPr>
        <w:t xml:space="preserve"> </w:t>
      </w:r>
      <w:r w:rsidRPr="00C301DD">
        <w:rPr>
          <w:rFonts w:cs="Arial" w:hint="cs"/>
          <w:sz w:val="16"/>
          <w:szCs w:val="16"/>
          <w:rtl/>
        </w:rPr>
        <w:t>ועוד</w:t>
      </w:r>
      <w:r w:rsidRPr="00C301DD">
        <w:rPr>
          <w:rFonts w:cs="Arial"/>
          <w:sz w:val="16"/>
          <w:szCs w:val="16"/>
          <w:rtl/>
        </w:rPr>
        <w:t xml:space="preserve"> </w:t>
      </w:r>
      <w:r w:rsidRPr="00C301DD">
        <w:rPr>
          <w:rFonts w:cs="Arial" w:hint="cs"/>
          <w:sz w:val="16"/>
          <w:szCs w:val="16"/>
          <w:rtl/>
        </w:rPr>
        <w:t>עקר</w:t>
      </w:r>
      <w:r w:rsidRPr="00C301DD">
        <w:rPr>
          <w:rFonts w:cs="Arial"/>
          <w:sz w:val="16"/>
          <w:szCs w:val="16"/>
          <w:rtl/>
        </w:rPr>
        <w:t xml:space="preserve"> </w:t>
      </w:r>
      <w:r w:rsidRPr="00C301DD">
        <w:rPr>
          <w:rFonts w:cs="Arial" w:hint="cs"/>
          <w:sz w:val="16"/>
          <w:szCs w:val="16"/>
          <w:rtl/>
        </w:rPr>
        <w:t>דירתו</w:t>
      </w:r>
      <w:r w:rsidRPr="00C301DD">
        <w:rPr>
          <w:rFonts w:cs="Arial"/>
          <w:sz w:val="16"/>
          <w:szCs w:val="16"/>
          <w:rtl/>
        </w:rPr>
        <w:t xml:space="preserve"> </w:t>
      </w:r>
      <w:r w:rsidRPr="00C301DD">
        <w:rPr>
          <w:rFonts w:cs="Arial" w:hint="cs"/>
          <w:sz w:val="16"/>
          <w:szCs w:val="16"/>
          <w:rtl/>
        </w:rPr>
        <w:t>משם</w:t>
      </w:r>
      <w:r w:rsidRPr="00C301DD">
        <w:rPr>
          <w:rFonts w:cs="Arial"/>
          <w:sz w:val="16"/>
          <w:szCs w:val="16"/>
          <w:rtl/>
        </w:rPr>
        <w:t xml:space="preserve"> </w:t>
      </w:r>
      <w:r w:rsidRPr="00C301DD">
        <w:rPr>
          <w:rFonts w:cs="Arial" w:hint="cs"/>
          <w:sz w:val="16"/>
          <w:szCs w:val="16"/>
          <w:rtl/>
        </w:rPr>
        <w:t>והלך</w:t>
      </w:r>
      <w:r w:rsidRPr="00C301DD">
        <w:rPr>
          <w:rFonts w:cs="Arial"/>
          <w:sz w:val="16"/>
          <w:szCs w:val="16"/>
          <w:rtl/>
        </w:rPr>
        <w:t xml:space="preserve"> </w:t>
      </w:r>
      <w:r w:rsidRPr="00C301DD">
        <w:rPr>
          <w:rFonts w:cs="Arial" w:hint="cs"/>
          <w:sz w:val="16"/>
          <w:szCs w:val="16"/>
          <w:rtl/>
        </w:rPr>
        <w:t>ודר</w:t>
      </w:r>
      <w:r w:rsidRPr="00C301DD">
        <w:rPr>
          <w:rFonts w:cs="Arial"/>
          <w:sz w:val="16"/>
          <w:szCs w:val="16"/>
          <w:rtl/>
        </w:rPr>
        <w:t xml:space="preserve"> </w:t>
      </w:r>
      <w:r w:rsidRPr="00C301DD">
        <w:rPr>
          <w:rFonts w:cs="Arial" w:hint="cs"/>
          <w:sz w:val="16"/>
          <w:szCs w:val="16"/>
          <w:rtl/>
        </w:rPr>
        <w:t>במקום</w:t>
      </w:r>
      <w:r w:rsidRPr="00C301DD">
        <w:rPr>
          <w:rFonts w:cs="Arial"/>
          <w:sz w:val="16"/>
          <w:szCs w:val="16"/>
          <w:rtl/>
        </w:rPr>
        <w:t xml:space="preserve"> </w:t>
      </w:r>
      <w:r w:rsidRPr="00C301DD">
        <w:rPr>
          <w:rFonts w:cs="Arial" w:hint="cs"/>
          <w:sz w:val="16"/>
          <w:szCs w:val="16"/>
          <w:rtl/>
        </w:rPr>
        <w:t>אחר</w:t>
      </w:r>
      <w:r w:rsidRPr="00C301DD">
        <w:rPr>
          <w:rFonts w:cs="Arial"/>
          <w:sz w:val="16"/>
          <w:szCs w:val="16"/>
          <w:rtl/>
        </w:rPr>
        <w:t xml:space="preserve"> </w:t>
      </w:r>
      <w:r w:rsidRPr="00C301DD">
        <w:rPr>
          <w:rFonts w:cs="Arial" w:hint="cs"/>
          <w:sz w:val="16"/>
          <w:szCs w:val="16"/>
          <w:rtl/>
        </w:rPr>
        <w:t>שצריך</w:t>
      </w:r>
      <w:r w:rsidRPr="00C301DD">
        <w:rPr>
          <w:rFonts w:cs="Arial"/>
          <w:sz w:val="16"/>
          <w:szCs w:val="16"/>
          <w:rtl/>
        </w:rPr>
        <w:t xml:space="preserve"> </w:t>
      </w:r>
      <w:r w:rsidRPr="00C301DD">
        <w:rPr>
          <w:rFonts w:cs="Arial" w:hint="cs"/>
          <w:sz w:val="16"/>
          <w:szCs w:val="16"/>
          <w:rtl/>
        </w:rPr>
        <w:t>לכתוב</w:t>
      </w:r>
      <w:r w:rsidRPr="00C301DD">
        <w:rPr>
          <w:rFonts w:cs="Arial"/>
          <w:sz w:val="16"/>
          <w:szCs w:val="16"/>
          <w:rtl/>
        </w:rPr>
        <w:t xml:space="preserve"> </w:t>
      </w:r>
      <w:r w:rsidRPr="00C301DD">
        <w:rPr>
          <w:rFonts w:cs="Arial" w:hint="cs"/>
          <w:sz w:val="16"/>
          <w:szCs w:val="16"/>
          <w:rtl/>
        </w:rPr>
        <w:t>שם</w:t>
      </w:r>
      <w:r w:rsidRPr="00C301DD">
        <w:rPr>
          <w:rFonts w:cs="Arial"/>
          <w:sz w:val="16"/>
          <w:szCs w:val="16"/>
          <w:rtl/>
        </w:rPr>
        <w:t xml:space="preserve"> </w:t>
      </w:r>
      <w:r w:rsidRPr="00C301DD">
        <w:rPr>
          <w:rFonts w:cs="Arial" w:hint="cs"/>
          <w:sz w:val="16"/>
          <w:szCs w:val="16"/>
          <w:rtl/>
        </w:rPr>
        <w:t>שלשתן.</w:t>
      </w:r>
      <w:r w:rsidRPr="00C301DD">
        <w:rPr>
          <w:rFonts w:cs="Arial"/>
          <w:sz w:val="16"/>
          <w:szCs w:val="16"/>
          <w:rtl/>
        </w:rPr>
        <w:t xml:space="preserve"> </w:t>
      </w:r>
      <w:r w:rsidRPr="00C301DD">
        <w:rPr>
          <w:rFonts w:cs="Arial" w:hint="cs"/>
          <w:sz w:val="16"/>
          <w:szCs w:val="16"/>
          <w:rtl/>
        </w:rPr>
        <w:t>שהרי</w:t>
      </w:r>
      <w:r w:rsidRPr="00C301DD">
        <w:rPr>
          <w:rFonts w:cs="Arial"/>
          <w:sz w:val="16"/>
          <w:szCs w:val="16"/>
          <w:rtl/>
        </w:rPr>
        <w:t xml:space="preserve"> </w:t>
      </w:r>
      <w:r w:rsidRPr="00C301DD">
        <w:rPr>
          <w:rFonts w:cs="Arial" w:hint="cs"/>
          <w:sz w:val="16"/>
          <w:szCs w:val="16"/>
          <w:rtl/>
        </w:rPr>
        <w:t>עשו</w:t>
      </w:r>
      <w:r w:rsidRPr="00C301DD">
        <w:rPr>
          <w:rFonts w:cs="Arial"/>
          <w:sz w:val="16"/>
          <w:szCs w:val="16"/>
          <w:rtl/>
        </w:rPr>
        <w:t xml:space="preserve"> </w:t>
      </w:r>
      <w:r w:rsidRPr="00C301DD">
        <w:rPr>
          <w:rFonts w:cs="Arial" w:hint="cs"/>
          <w:sz w:val="16"/>
          <w:szCs w:val="16"/>
          <w:rtl/>
        </w:rPr>
        <w:t>במשנתינו</w:t>
      </w:r>
      <w:r w:rsidRPr="00C301DD">
        <w:rPr>
          <w:rFonts w:cs="Arial"/>
          <w:sz w:val="16"/>
          <w:szCs w:val="16"/>
          <w:rtl/>
        </w:rPr>
        <w:t xml:space="preserve"> </w:t>
      </w:r>
      <w:r w:rsidRPr="00C301DD">
        <w:rPr>
          <w:rFonts w:cs="Arial" w:hint="cs"/>
          <w:sz w:val="16"/>
          <w:szCs w:val="16"/>
          <w:rtl/>
        </w:rPr>
        <w:t>שם</w:t>
      </w:r>
      <w:r w:rsidRPr="00C301DD">
        <w:rPr>
          <w:rFonts w:cs="Arial"/>
          <w:sz w:val="16"/>
          <w:szCs w:val="16"/>
          <w:rtl/>
        </w:rPr>
        <w:t xml:space="preserve"> </w:t>
      </w:r>
      <w:r w:rsidRPr="00C301DD">
        <w:rPr>
          <w:rFonts w:cs="Arial" w:hint="cs"/>
          <w:sz w:val="16"/>
          <w:szCs w:val="16"/>
          <w:rtl/>
        </w:rPr>
        <w:t>עירו</w:t>
      </w:r>
      <w:r w:rsidRPr="00C301DD">
        <w:rPr>
          <w:rFonts w:cs="Arial"/>
          <w:sz w:val="16"/>
          <w:szCs w:val="16"/>
          <w:rtl/>
        </w:rPr>
        <w:t xml:space="preserve"> </w:t>
      </w:r>
      <w:r w:rsidRPr="00C301DD">
        <w:rPr>
          <w:rFonts w:cs="Arial" w:hint="cs"/>
          <w:sz w:val="16"/>
          <w:szCs w:val="16"/>
          <w:rtl/>
        </w:rPr>
        <w:t>ושם</w:t>
      </w:r>
      <w:r w:rsidRPr="00C301DD">
        <w:rPr>
          <w:rFonts w:cs="Arial"/>
          <w:sz w:val="16"/>
          <w:szCs w:val="16"/>
          <w:rtl/>
        </w:rPr>
        <w:t xml:space="preserve"> </w:t>
      </w:r>
      <w:r w:rsidRPr="00C301DD">
        <w:rPr>
          <w:rFonts w:cs="Arial" w:hint="cs"/>
          <w:sz w:val="16"/>
          <w:szCs w:val="16"/>
          <w:rtl/>
        </w:rPr>
        <w:t>עירה</w:t>
      </w:r>
      <w:r w:rsidRPr="00C301DD">
        <w:rPr>
          <w:rFonts w:cs="Arial"/>
          <w:sz w:val="16"/>
          <w:szCs w:val="16"/>
          <w:rtl/>
        </w:rPr>
        <w:t xml:space="preserve"> </w:t>
      </w:r>
      <w:r w:rsidRPr="00C301DD">
        <w:rPr>
          <w:rFonts w:cs="Arial" w:hint="cs"/>
          <w:sz w:val="16"/>
          <w:szCs w:val="16"/>
          <w:rtl/>
        </w:rPr>
        <w:t>כשמו</w:t>
      </w:r>
      <w:r w:rsidRPr="00C301DD">
        <w:rPr>
          <w:rFonts w:cs="Arial"/>
          <w:sz w:val="16"/>
          <w:szCs w:val="16"/>
          <w:rtl/>
        </w:rPr>
        <w:t xml:space="preserve"> </w:t>
      </w:r>
      <w:r w:rsidRPr="00C301DD">
        <w:rPr>
          <w:rFonts w:cs="Arial" w:hint="cs"/>
          <w:sz w:val="16"/>
          <w:szCs w:val="16"/>
          <w:rtl/>
        </w:rPr>
        <w:t>ושמה,</w:t>
      </w:r>
      <w:r w:rsidRPr="00C301DD">
        <w:rPr>
          <w:rFonts w:cs="Arial"/>
          <w:sz w:val="16"/>
          <w:szCs w:val="16"/>
          <w:rtl/>
        </w:rPr>
        <w:t xml:space="preserve"> </w:t>
      </w:r>
      <w:r w:rsidRPr="00C301DD">
        <w:rPr>
          <w:rFonts w:cs="Arial" w:hint="cs"/>
          <w:sz w:val="16"/>
          <w:szCs w:val="16"/>
          <w:rtl/>
        </w:rPr>
        <w:t>ובשמו</w:t>
      </w:r>
      <w:r w:rsidRPr="00C301DD">
        <w:rPr>
          <w:rFonts w:cs="Arial"/>
          <w:sz w:val="16"/>
          <w:szCs w:val="16"/>
          <w:rtl/>
        </w:rPr>
        <w:t xml:space="preserve"> </w:t>
      </w:r>
      <w:r w:rsidRPr="00C301DD">
        <w:rPr>
          <w:rFonts w:cs="Arial" w:hint="cs"/>
          <w:sz w:val="16"/>
          <w:szCs w:val="16"/>
          <w:rtl/>
        </w:rPr>
        <w:t>ושמה</w:t>
      </w:r>
      <w:r w:rsidRPr="00C301DD">
        <w:rPr>
          <w:rFonts w:cs="Arial"/>
          <w:sz w:val="16"/>
          <w:szCs w:val="16"/>
          <w:rtl/>
        </w:rPr>
        <w:t xml:space="preserve"> </w:t>
      </w:r>
      <w:r w:rsidRPr="00C301DD">
        <w:rPr>
          <w:rFonts w:cs="Arial" w:hint="cs"/>
          <w:sz w:val="16"/>
          <w:szCs w:val="16"/>
          <w:rtl/>
        </w:rPr>
        <w:t>גרסינן</w:t>
      </w:r>
      <w:r w:rsidRPr="00C301DD">
        <w:rPr>
          <w:rFonts w:cs="Arial"/>
          <w:sz w:val="16"/>
          <w:szCs w:val="16"/>
          <w:rtl/>
        </w:rPr>
        <w:t xml:space="preserve"> </w:t>
      </w:r>
      <w:r w:rsidRPr="00C301DD">
        <w:rPr>
          <w:rFonts w:cs="Arial" w:hint="cs"/>
          <w:sz w:val="16"/>
          <w:szCs w:val="16"/>
          <w:rtl/>
        </w:rPr>
        <w:t>בירושלמי</w:t>
      </w:r>
      <w:r w:rsidRPr="00C301DD">
        <w:rPr>
          <w:rFonts w:cs="Arial"/>
          <w:sz w:val="16"/>
          <w:szCs w:val="16"/>
          <w:rtl/>
        </w:rPr>
        <w:t xml:space="preserve"> </w:t>
      </w:r>
      <w:r w:rsidRPr="00C301DD">
        <w:rPr>
          <w:rFonts w:cs="Arial" w:hint="cs"/>
          <w:sz w:val="16"/>
          <w:szCs w:val="16"/>
          <w:rtl/>
        </w:rPr>
        <w:t>מתניתא</w:t>
      </w:r>
      <w:r w:rsidRPr="00C301DD">
        <w:rPr>
          <w:rFonts w:cs="Arial"/>
          <w:sz w:val="16"/>
          <w:szCs w:val="16"/>
          <w:rtl/>
        </w:rPr>
        <w:t xml:space="preserve"> </w:t>
      </w:r>
      <w:r w:rsidRPr="00C301DD">
        <w:rPr>
          <w:rFonts w:cs="Arial" w:hint="cs"/>
          <w:sz w:val="16"/>
          <w:szCs w:val="16"/>
          <w:rtl/>
        </w:rPr>
        <w:t>בשהיה</w:t>
      </w:r>
      <w:r w:rsidRPr="00C301DD">
        <w:rPr>
          <w:rFonts w:cs="Arial"/>
          <w:sz w:val="16"/>
          <w:szCs w:val="16"/>
          <w:rtl/>
        </w:rPr>
        <w:t xml:space="preserve"> </w:t>
      </w:r>
      <w:r w:rsidRPr="00C301DD">
        <w:rPr>
          <w:rFonts w:cs="Arial" w:hint="cs"/>
          <w:sz w:val="16"/>
          <w:szCs w:val="16"/>
          <w:rtl/>
        </w:rPr>
        <w:t>מיהודה</w:t>
      </w:r>
      <w:r w:rsidRPr="00C301DD">
        <w:rPr>
          <w:rFonts w:cs="Arial"/>
          <w:sz w:val="16"/>
          <w:szCs w:val="16"/>
          <w:rtl/>
        </w:rPr>
        <w:t xml:space="preserve"> </w:t>
      </w:r>
      <w:r w:rsidRPr="00C301DD">
        <w:rPr>
          <w:rFonts w:cs="Arial" w:hint="cs"/>
          <w:sz w:val="16"/>
          <w:szCs w:val="16"/>
          <w:rtl/>
        </w:rPr>
        <w:t>וכתב</w:t>
      </w:r>
      <w:r w:rsidRPr="00C301DD">
        <w:rPr>
          <w:rFonts w:cs="Arial"/>
          <w:sz w:val="16"/>
          <w:szCs w:val="16"/>
          <w:rtl/>
        </w:rPr>
        <w:t xml:space="preserve"> </w:t>
      </w:r>
      <w:r w:rsidRPr="00C301DD">
        <w:rPr>
          <w:rFonts w:cs="Arial" w:hint="cs"/>
          <w:sz w:val="16"/>
          <w:szCs w:val="16"/>
          <w:rtl/>
        </w:rPr>
        <w:t>לגרש</w:t>
      </w:r>
      <w:r w:rsidRPr="00C301DD">
        <w:rPr>
          <w:rFonts w:cs="Arial"/>
          <w:sz w:val="16"/>
          <w:szCs w:val="16"/>
          <w:rtl/>
        </w:rPr>
        <w:t xml:space="preserve"> </w:t>
      </w:r>
      <w:r w:rsidRPr="00C301DD">
        <w:rPr>
          <w:rFonts w:cs="Arial" w:hint="cs"/>
          <w:sz w:val="16"/>
          <w:szCs w:val="16"/>
          <w:rtl/>
        </w:rPr>
        <w:t>בגליל</w:t>
      </w:r>
      <w:r w:rsidRPr="00C301DD">
        <w:rPr>
          <w:rFonts w:cs="Arial"/>
          <w:sz w:val="16"/>
          <w:szCs w:val="16"/>
          <w:rtl/>
        </w:rPr>
        <w:t xml:space="preserve"> </w:t>
      </w:r>
      <w:r w:rsidRPr="00C301DD">
        <w:rPr>
          <w:rFonts w:cs="Arial" w:hint="cs"/>
          <w:sz w:val="16"/>
          <w:szCs w:val="16"/>
          <w:rtl/>
        </w:rPr>
        <w:t>וכו</w:t>
      </w:r>
      <w:r w:rsidRPr="00C301DD">
        <w:rPr>
          <w:rFonts w:cs="Arial"/>
          <w:sz w:val="16"/>
          <w:szCs w:val="16"/>
          <w:rtl/>
        </w:rPr>
        <w:t xml:space="preserve">' </w:t>
      </w:r>
      <w:r w:rsidRPr="00C301DD">
        <w:rPr>
          <w:rFonts w:cs="Arial" w:hint="cs"/>
          <w:sz w:val="16"/>
          <w:szCs w:val="16"/>
          <w:rtl/>
        </w:rPr>
        <w:t>אמר</w:t>
      </w:r>
      <w:r w:rsidRPr="00C301DD">
        <w:rPr>
          <w:rFonts w:cs="Arial"/>
          <w:sz w:val="16"/>
          <w:szCs w:val="16"/>
          <w:rtl/>
        </w:rPr>
        <w:t xml:space="preserve"> </w:t>
      </w:r>
      <w:r w:rsidRPr="00C301DD">
        <w:rPr>
          <w:rFonts w:cs="Arial" w:hint="cs"/>
          <w:sz w:val="16"/>
          <w:szCs w:val="16"/>
          <w:rtl/>
        </w:rPr>
        <w:t>ר</w:t>
      </w:r>
      <w:r w:rsidRPr="00C301DD">
        <w:rPr>
          <w:rFonts w:cs="Arial"/>
          <w:sz w:val="16"/>
          <w:szCs w:val="16"/>
          <w:rtl/>
        </w:rPr>
        <w:t xml:space="preserve">' </w:t>
      </w:r>
      <w:r w:rsidRPr="00C301DD">
        <w:rPr>
          <w:rFonts w:cs="Arial" w:hint="cs"/>
          <w:sz w:val="16"/>
          <w:szCs w:val="16"/>
          <w:rtl/>
        </w:rPr>
        <w:t>יוסא</w:t>
      </w:r>
      <w:r w:rsidRPr="00C301DD">
        <w:rPr>
          <w:rFonts w:cs="Arial"/>
          <w:sz w:val="16"/>
          <w:szCs w:val="16"/>
          <w:rtl/>
        </w:rPr>
        <w:t xml:space="preserve"> </w:t>
      </w:r>
      <w:r w:rsidRPr="00C301DD">
        <w:rPr>
          <w:rFonts w:cs="Arial" w:hint="cs"/>
          <w:sz w:val="16"/>
          <w:szCs w:val="16"/>
          <w:rtl/>
        </w:rPr>
        <w:t>אם</w:t>
      </w:r>
      <w:r w:rsidRPr="00C301DD">
        <w:rPr>
          <w:rFonts w:cs="Arial"/>
          <w:sz w:val="16"/>
          <w:szCs w:val="16"/>
          <w:rtl/>
        </w:rPr>
        <w:t xml:space="preserve"> (</w:t>
      </w:r>
      <w:r w:rsidRPr="00C301DD">
        <w:rPr>
          <w:rFonts w:cs="Arial" w:hint="cs"/>
          <w:sz w:val="16"/>
          <w:szCs w:val="16"/>
          <w:rtl/>
        </w:rPr>
        <w:t>כתב</w:t>
      </w:r>
      <w:r w:rsidRPr="00C301DD">
        <w:rPr>
          <w:rFonts w:cs="Arial"/>
          <w:sz w:val="16"/>
          <w:szCs w:val="16"/>
          <w:rtl/>
        </w:rPr>
        <w:t xml:space="preserve"> </w:t>
      </w:r>
      <w:r w:rsidRPr="00C301DD">
        <w:rPr>
          <w:rFonts w:cs="Arial" w:hint="cs"/>
          <w:sz w:val="16"/>
          <w:szCs w:val="16"/>
          <w:rtl/>
        </w:rPr>
        <w:t>לו</w:t>
      </w:r>
      <w:r w:rsidRPr="00C301DD">
        <w:rPr>
          <w:rFonts w:cs="Arial"/>
          <w:sz w:val="16"/>
          <w:szCs w:val="16"/>
          <w:rtl/>
        </w:rPr>
        <w:t xml:space="preserve">) </w:t>
      </w:r>
      <w:r w:rsidRPr="00C301DD">
        <w:rPr>
          <w:rFonts w:cs="Arial" w:hint="cs"/>
          <w:sz w:val="16"/>
          <w:szCs w:val="16"/>
          <w:rtl/>
        </w:rPr>
        <w:t>יצא</w:t>
      </w:r>
      <w:r w:rsidRPr="00C301DD">
        <w:rPr>
          <w:rFonts w:cs="Arial"/>
          <w:sz w:val="16"/>
          <w:szCs w:val="16"/>
          <w:rtl/>
        </w:rPr>
        <w:t xml:space="preserve"> </w:t>
      </w:r>
      <w:r w:rsidRPr="00C301DD">
        <w:rPr>
          <w:rFonts w:cs="Arial" w:hint="cs"/>
          <w:sz w:val="16"/>
          <w:szCs w:val="16"/>
          <w:rtl/>
        </w:rPr>
        <w:t>לו</w:t>
      </w:r>
      <w:r w:rsidRPr="00C301DD">
        <w:rPr>
          <w:rFonts w:cs="Arial"/>
          <w:sz w:val="16"/>
          <w:szCs w:val="16"/>
          <w:rtl/>
        </w:rPr>
        <w:t xml:space="preserve"> </w:t>
      </w:r>
      <w:r w:rsidRPr="00C301DD">
        <w:rPr>
          <w:rFonts w:cs="Arial" w:hint="cs"/>
          <w:sz w:val="16"/>
          <w:szCs w:val="16"/>
          <w:rtl/>
        </w:rPr>
        <w:t>שם</w:t>
      </w:r>
      <w:r w:rsidRPr="00C301DD">
        <w:rPr>
          <w:rFonts w:cs="Arial"/>
          <w:sz w:val="16"/>
          <w:szCs w:val="16"/>
          <w:rtl/>
        </w:rPr>
        <w:t xml:space="preserve"> </w:t>
      </w:r>
      <w:r w:rsidRPr="00C301DD">
        <w:rPr>
          <w:rFonts w:cs="Arial" w:hint="cs"/>
          <w:sz w:val="16"/>
          <w:szCs w:val="16"/>
          <w:rtl/>
        </w:rPr>
        <w:t>במקום</w:t>
      </w:r>
      <w:r w:rsidRPr="00C301DD">
        <w:rPr>
          <w:rFonts w:cs="Arial"/>
          <w:sz w:val="16"/>
          <w:szCs w:val="16"/>
          <w:rtl/>
        </w:rPr>
        <w:t xml:space="preserve"> </w:t>
      </w:r>
      <w:r w:rsidRPr="00C301DD">
        <w:rPr>
          <w:rFonts w:cs="Arial" w:hint="cs"/>
          <w:sz w:val="16"/>
          <w:szCs w:val="16"/>
          <w:rtl/>
        </w:rPr>
        <w:t>אחר</w:t>
      </w:r>
      <w:r w:rsidRPr="00C301DD">
        <w:rPr>
          <w:rFonts w:cs="Arial"/>
          <w:sz w:val="16"/>
          <w:szCs w:val="16"/>
          <w:rtl/>
        </w:rPr>
        <w:t xml:space="preserve"> </w:t>
      </w:r>
      <w:r w:rsidRPr="00C301DD">
        <w:rPr>
          <w:rFonts w:cs="Arial" w:hint="cs"/>
          <w:sz w:val="16"/>
          <w:szCs w:val="16"/>
          <w:rtl/>
        </w:rPr>
        <w:t>צריך</w:t>
      </w:r>
      <w:r w:rsidRPr="00C301DD">
        <w:rPr>
          <w:rFonts w:cs="Arial"/>
          <w:sz w:val="16"/>
          <w:szCs w:val="16"/>
          <w:rtl/>
        </w:rPr>
        <w:t xml:space="preserve"> </w:t>
      </w:r>
      <w:r w:rsidRPr="00C301DD">
        <w:rPr>
          <w:rFonts w:cs="Arial" w:hint="cs"/>
          <w:sz w:val="16"/>
          <w:szCs w:val="16"/>
          <w:rtl/>
        </w:rPr>
        <w:t>להזכיר</w:t>
      </w:r>
      <w:r w:rsidRPr="00C301DD">
        <w:rPr>
          <w:rFonts w:cs="Arial"/>
          <w:sz w:val="16"/>
          <w:szCs w:val="16"/>
          <w:rtl/>
        </w:rPr>
        <w:t xml:space="preserve"> </w:t>
      </w:r>
      <w:r w:rsidRPr="00C301DD">
        <w:rPr>
          <w:rFonts w:cs="Arial" w:hint="cs"/>
          <w:sz w:val="16"/>
          <w:szCs w:val="16"/>
          <w:rtl/>
        </w:rPr>
        <w:t>שלשתן.</w:t>
      </w:r>
      <w:r w:rsidRPr="00C301DD">
        <w:rPr>
          <w:rFonts w:cs="Arial"/>
          <w:sz w:val="16"/>
          <w:szCs w:val="16"/>
          <w:rtl/>
        </w:rPr>
        <w:t xml:space="preserve"> </w:t>
      </w:r>
      <w:r w:rsidRPr="00C301DD">
        <w:rPr>
          <w:rFonts w:cs="Arial" w:hint="cs"/>
          <w:sz w:val="16"/>
          <w:szCs w:val="16"/>
          <w:rtl/>
        </w:rPr>
        <w:t>ומכאן</w:t>
      </w:r>
      <w:r w:rsidRPr="00C301DD">
        <w:rPr>
          <w:rFonts w:cs="Arial"/>
          <w:sz w:val="16"/>
          <w:szCs w:val="16"/>
          <w:rtl/>
        </w:rPr>
        <w:t xml:space="preserve"> </w:t>
      </w:r>
      <w:r w:rsidRPr="00C301DD">
        <w:rPr>
          <w:rFonts w:cs="Arial" w:hint="cs"/>
          <w:sz w:val="16"/>
          <w:szCs w:val="16"/>
          <w:rtl/>
        </w:rPr>
        <w:t>נראה</w:t>
      </w:r>
      <w:r w:rsidRPr="00C301DD">
        <w:rPr>
          <w:rFonts w:cs="Arial"/>
          <w:sz w:val="16"/>
          <w:szCs w:val="16"/>
          <w:rtl/>
        </w:rPr>
        <w:t xml:space="preserve"> </w:t>
      </w:r>
      <w:r w:rsidRPr="00C301DD">
        <w:rPr>
          <w:rFonts w:cs="Arial" w:hint="cs"/>
          <w:sz w:val="16"/>
          <w:szCs w:val="16"/>
          <w:rtl/>
        </w:rPr>
        <w:t>שיצא</w:t>
      </w:r>
      <w:r w:rsidRPr="00C301DD">
        <w:rPr>
          <w:rFonts w:cs="Arial"/>
          <w:sz w:val="16"/>
          <w:szCs w:val="16"/>
          <w:rtl/>
        </w:rPr>
        <w:t xml:space="preserve"> </w:t>
      </w:r>
      <w:r w:rsidRPr="00C301DD">
        <w:rPr>
          <w:rFonts w:cs="Arial" w:hint="cs"/>
          <w:sz w:val="16"/>
          <w:szCs w:val="16"/>
          <w:rtl/>
        </w:rPr>
        <w:t>לראשונים</w:t>
      </w:r>
      <w:r w:rsidRPr="00C301DD">
        <w:rPr>
          <w:rFonts w:cs="Arial"/>
          <w:sz w:val="16"/>
          <w:szCs w:val="16"/>
          <w:rtl/>
        </w:rPr>
        <w:t xml:space="preserve"> </w:t>
      </w:r>
      <w:r w:rsidRPr="00C301DD">
        <w:rPr>
          <w:rFonts w:cs="Arial" w:hint="cs"/>
          <w:sz w:val="16"/>
          <w:szCs w:val="16"/>
          <w:rtl/>
        </w:rPr>
        <w:t>מה</w:t>
      </w:r>
      <w:r w:rsidRPr="00C301DD">
        <w:rPr>
          <w:rFonts w:cs="Arial"/>
          <w:sz w:val="16"/>
          <w:szCs w:val="16"/>
          <w:rtl/>
        </w:rPr>
        <w:t xml:space="preserve"> </w:t>
      </w:r>
      <w:r w:rsidRPr="00C301DD">
        <w:rPr>
          <w:rFonts w:cs="Arial" w:hint="cs"/>
          <w:sz w:val="16"/>
          <w:szCs w:val="16"/>
          <w:rtl/>
        </w:rPr>
        <w:t>שאמרו</w:t>
      </w:r>
      <w:r w:rsidRPr="00C301DD">
        <w:rPr>
          <w:rFonts w:cs="Arial"/>
          <w:sz w:val="16"/>
          <w:szCs w:val="16"/>
          <w:rtl/>
        </w:rPr>
        <w:t xml:space="preserve"> </w:t>
      </w:r>
      <w:r w:rsidRPr="00C301DD">
        <w:rPr>
          <w:rFonts w:cs="Arial" w:hint="cs"/>
          <w:sz w:val="16"/>
          <w:szCs w:val="16"/>
          <w:rtl/>
        </w:rPr>
        <w:t>וכתבו</w:t>
      </w:r>
      <w:r w:rsidRPr="00C301DD">
        <w:rPr>
          <w:rFonts w:cs="Arial"/>
          <w:sz w:val="16"/>
          <w:szCs w:val="16"/>
          <w:rtl/>
        </w:rPr>
        <w:t xml:space="preserve"> </w:t>
      </w:r>
      <w:r w:rsidRPr="00C301DD">
        <w:rPr>
          <w:rFonts w:cs="Arial" w:hint="cs"/>
          <w:sz w:val="16"/>
          <w:szCs w:val="16"/>
          <w:rtl/>
        </w:rPr>
        <w:t>בטופסין</w:t>
      </w:r>
      <w:r>
        <w:rPr>
          <w:rFonts w:cs="Arial" w:hint="cs"/>
          <w:sz w:val="16"/>
          <w:szCs w:val="16"/>
          <w:rtl/>
        </w:rPr>
        <w:t>)</w:t>
      </w:r>
      <w:r>
        <w:rPr>
          <w:rFonts w:cs="Arial" w:hint="cs"/>
          <w:rtl/>
        </w:rPr>
        <w:t>. ושם</w:t>
      </w:r>
      <w:r w:rsidRPr="00F3730C">
        <w:rPr>
          <w:rFonts w:cs="Arial"/>
          <w:rtl/>
        </w:rPr>
        <w:t xml:space="preserve"> </w:t>
      </w:r>
      <w:r w:rsidRPr="00F3730C">
        <w:rPr>
          <w:rFonts w:cs="Arial" w:hint="cs"/>
          <w:rtl/>
        </w:rPr>
        <w:t>סי</w:t>
      </w:r>
      <w:r w:rsidRPr="00F3730C">
        <w:rPr>
          <w:rFonts w:cs="Arial"/>
          <w:rtl/>
        </w:rPr>
        <w:t xml:space="preserve">' </w:t>
      </w:r>
      <w:r w:rsidRPr="00F3730C">
        <w:rPr>
          <w:rFonts w:cs="Arial" w:hint="cs"/>
          <w:rtl/>
        </w:rPr>
        <w:t>אלף</w:t>
      </w:r>
      <w:r w:rsidRPr="00F3730C">
        <w:rPr>
          <w:rFonts w:cs="Arial"/>
          <w:rtl/>
        </w:rPr>
        <w:t xml:space="preserve"> </w:t>
      </w:r>
      <w:r w:rsidRPr="00F3730C">
        <w:rPr>
          <w:rFonts w:cs="Arial" w:hint="cs"/>
          <w:rtl/>
        </w:rPr>
        <w:t>רלט</w:t>
      </w:r>
      <w:r w:rsidRPr="00F3730C">
        <w:rPr>
          <w:rFonts w:cs="Arial"/>
          <w:rtl/>
        </w:rPr>
        <w:t xml:space="preserve"> </w:t>
      </w:r>
      <w:r w:rsidRPr="00C301DD">
        <w:rPr>
          <w:rFonts w:cs="Arial" w:hint="cs"/>
          <w:sz w:val="16"/>
          <w:szCs w:val="16"/>
          <w:rtl/>
        </w:rPr>
        <w:t>(</w:t>
      </w:r>
      <w:r w:rsidR="000A0F5A">
        <w:rPr>
          <w:rFonts w:cs="Arial" w:hint="cs"/>
          <w:sz w:val="16"/>
          <w:szCs w:val="16"/>
          <w:rtl/>
        </w:rPr>
        <w:t>וז</w:t>
      </w:r>
      <w:r w:rsidR="000A0F5A">
        <w:rPr>
          <w:rFonts w:cs="Arial"/>
          <w:sz w:val="16"/>
          <w:szCs w:val="16"/>
          <w:rtl/>
        </w:rPr>
        <w:t>"</w:t>
      </w:r>
      <w:r w:rsidR="000A0F5A">
        <w:rPr>
          <w:rFonts w:cs="Arial" w:hint="cs"/>
          <w:sz w:val="16"/>
          <w:szCs w:val="16"/>
          <w:rtl/>
        </w:rPr>
        <w:t>ל:</w:t>
      </w:r>
      <w:r w:rsidRPr="00C301DD">
        <w:rPr>
          <w:rFonts w:cs="Arial" w:hint="cs"/>
          <w:sz w:val="16"/>
          <w:szCs w:val="16"/>
          <w:rtl/>
        </w:rPr>
        <w:t xml:space="preserve"> מה</w:t>
      </w:r>
      <w:r w:rsidRPr="00C301DD">
        <w:rPr>
          <w:rFonts w:cs="Arial"/>
          <w:sz w:val="16"/>
          <w:szCs w:val="16"/>
          <w:rtl/>
        </w:rPr>
        <w:t xml:space="preserve"> </w:t>
      </w:r>
      <w:r w:rsidRPr="00C301DD">
        <w:rPr>
          <w:rFonts w:cs="Arial" w:hint="cs"/>
          <w:sz w:val="16"/>
          <w:szCs w:val="16"/>
          <w:rtl/>
        </w:rPr>
        <w:t>ששאלתם</w:t>
      </w:r>
      <w:r w:rsidRPr="00C301DD">
        <w:rPr>
          <w:rFonts w:cs="Arial"/>
          <w:sz w:val="16"/>
          <w:szCs w:val="16"/>
          <w:rtl/>
        </w:rPr>
        <w:t xml:space="preserve"> </w:t>
      </w:r>
      <w:r w:rsidRPr="00C301DD">
        <w:rPr>
          <w:rFonts w:cs="Arial" w:hint="cs"/>
          <w:sz w:val="16"/>
          <w:szCs w:val="16"/>
          <w:rtl/>
        </w:rPr>
        <w:t>אם</w:t>
      </w:r>
      <w:r w:rsidRPr="00C301DD">
        <w:rPr>
          <w:rFonts w:cs="Arial"/>
          <w:sz w:val="16"/>
          <w:szCs w:val="16"/>
          <w:rtl/>
        </w:rPr>
        <w:t xml:space="preserve"> </w:t>
      </w:r>
      <w:r w:rsidRPr="00C301DD">
        <w:rPr>
          <w:rFonts w:cs="Arial" w:hint="cs"/>
          <w:sz w:val="16"/>
          <w:szCs w:val="16"/>
          <w:rtl/>
        </w:rPr>
        <w:t>הוא</w:t>
      </w:r>
      <w:r w:rsidRPr="00C301DD">
        <w:rPr>
          <w:rFonts w:cs="Arial"/>
          <w:sz w:val="16"/>
          <w:szCs w:val="16"/>
          <w:rtl/>
        </w:rPr>
        <w:t xml:space="preserve"> </w:t>
      </w:r>
      <w:r w:rsidRPr="00C301DD">
        <w:rPr>
          <w:rFonts w:cs="Arial" w:hint="cs"/>
          <w:sz w:val="16"/>
          <w:szCs w:val="16"/>
          <w:rtl/>
        </w:rPr>
        <w:t>בשעת</w:t>
      </w:r>
      <w:r w:rsidRPr="00C301DD">
        <w:rPr>
          <w:rFonts w:cs="Arial"/>
          <w:sz w:val="16"/>
          <w:szCs w:val="16"/>
          <w:rtl/>
        </w:rPr>
        <w:t xml:space="preserve"> </w:t>
      </w:r>
      <w:r w:rsidRPr="00C301DD">
        <w:rPr>
          <w:rFonts w:cs="Arial" w:hint="cs"/>
          <w:sz w:val="16"/>
          <w:szCs w:val="16"/>
          <w:rtl/>
        </w:rPr>
        <w:t>הגירושין</w:t>
      </w:r>
      <w:r w:rsidRPr="00C301DD">
        <w:rPr>
          <w:rFonts w:cs="Arial"/>
          <w:sz w:val="16"/>
          <w:szCs w:val="16"/>
          <w:rtl/>
        </w:rPr>
        <w:t xml:space="preserve"> </w:t>
      </w:r>
      <w:r w:rsidRPr="00C301DD">
        <w:rPr>
          <w:rFonts w:cs="Arial" w:hint="cs"/>
          <w:sz w:val="16"/>
          <w:szCs w:val="16"/>
          <w:rtl/>
        </w:rPr>
        <w:t>בהיני</w:t>
      </w:r>
      <w:r w:rsidRPr="00C301DD">
        <w:rPr>
          <w:rFonts w:cs="Arial"/>
          <w:sz w:val="16"/>
          <w:szCs w:val="16"/>
          <w:rtl/>
        </w:rPr>
        <w:t xml:space="preserve"> </w:t>
      </w:r>
      <w:r w:rsidRPr="00C301DD">
        <w:rPr>
          <w:rFonts w:cs="Arial" w:hint="cs"/>
          <w:sz w:val="16"/>
          <w:szCs w:val="16"/>
          <w:rtl/>
        </w:rPr>
        <w:t>ובתחלה</w:t>
      </w:r>
      <w:r w:rsidRPr="00C301DD">
        <w:rPr>
          <w:rFonts w:cs="Arial"/>
          <w:sz w:val="16"/>
          <w:szCs w:val="16"/>
          <w:rtl/>
        </w:rPr>
        <w:t xml:space="preserve"> </w:t>
      </w:r>
      <w:r w:rsidRPr="00C301DD">
        <w:rPr>
          <w:rFonts w:cs="Arial" w:hint="cs"/>
          <w:sz w:val="16"/>
          <w:szCs w:val="16"/>
          <w:rtl/>
        </w:rPr>
        <w:t>היה</w:t>
      </w:r>
      <w:r w:rsidRPr="00C301DD">
        <w:rPr>
          <w:rFonts w:cs="Arial"/>
          <w:sz w:val="16"/>
          <w:szCs w:val="16"/>
          <w:rtl/>
        </w:rPr>
        <w:t xml:space="preserve"> </w:t>
      </w:r>
      <w:r w:rsidRPr="00C301DD">
        <w:rPr>
          <w:rFonts w:cs="Arial" w:hint="cs"/>
          <w:sz w:val="16"/>
          <w:szCs w:val="16"/>
          <w:rtl/>
        </w:rPr>
        <w:t>דר</w:t>
      </w:r>
      <w:r w:rsidRPr="00C301DD">
        <w:rPr>
          <w:rFonts w:cs="Arial"/>
          <w:sz w:val="16"/>
          <w:szCs w:val="16"/>
          <w:rtl/>
        </w:rPr>
        <w:t xml:space="preserve"> </w:t>
      </w:r>
      <w:r w:rsidRPr="00C301DD">
        <w:rPr>
          <w:rFonts w:cs="Arial" w:hint="cs"/>
          <w:sz w:val="16"/>
          <w:szCs w:val="16"/>
          <w:rtl/>
        </w:rPr>
        <w:t>בשילי</w:t>
      </w:r>
      <w:r w:rsidRPr="00C301DD">
        <w:rPr>
          <w:rFonts w:cs="Arial"/>
          <w:sz w:val="16"/>
          <w:szCs w:val="16"/>
          <w:rtl/>
        </w:rPr>
        <w:t xml:space="preserve"> </w:t>
      </w:r>
      <w:r w:rsidRPr="00C301DD">
        <w:rPr>
          <w:rFonts w:cs="Arial" w:hint="cs"/>
          <w:sz w:val="16"/>
          <w:szCs w:val="16"/>
          <w:rtl/>
        </w:rPr>
        <w:t>אם</w:t>
      </w:r>
      <w:r w:rsidRPr="00C301DD">
        <w:rPr>
          <w:rFonts w:cs="Arial"/>
          <w:sz w:val="16"/>
          <w:szCs w:val="16"/>
          <w:rtl/>
        </w:rPr>
        <w:t xml:space="preserve"> </w:t>
      </w:r>
      <w:r w:rsidRPr="00C301DD">
        <w:rPr>
          <w:rFonts w:cs="Arial" w:hint="cs"/>
          <w:sz w:val="16"/>
          <w:szCs w:val="16"/>
          <w:rtl/>
        </w:rPr>
        <w:t>הוא</w:t>
      </w:r>
      <w:r w:rsidRPr="00C301DD">
        <w:rPr>
          <w:rFonts w:cs="Arial"/>
          <w:sz w:val="16"/>
          <w:szCs w:val="16"/>
          <w:rtl/>
        </w:rPr>
        <w:t xml:space="preserve"> </w:t>
      </w:r>
      <w:r w:rsidRPr="00C301DD">
        <w:rPr>
          <w:rFonts w:cs="Arial" w:hint="cs"/>
          <w:sz w:val="16"/>
          <w:szCs w:val="16"/>
          <w:rtl/>
        </w:rPr>
        <w:t>צריך</w:t>
      </w:r>
      <w:r w:rsidRPr="00C301DD">
        <w:rPr>
          <w:rFonts w:cs="Arial"/>
          <w:sz w:val="16"/>
          <w:szCs w:val="16"/>
          <w:rtl/>
        </w:rPr>
        <w:t xml:space="preserve"> </w:t>
      </w:r>
      <w:r w:rsidRPr="00C301DD">
        <w:rPr>
          <w:rFonts w:cs="Arial" w:hint="cs"/>
          <w:sz w:val="16"/>
          <w:szCs w:val="16"/>
          <w:rtl/>
        </w:rPr>
        <w:t>להזכיר</w:t>
      </w:r>
      <w:r w:rsidRPr="00C301DD">
        <w:rPr>
          <w:rFonts w:cs="Arial"/>
          <w:sz w:val="16"/>
          <w:szCs w:val="16"/>
          <w:rtl/>
        </w:rPr>
        <w:t xml:space="preserve"> </w:t>
      </w:r>
      <w:r w:rsidRPr="00C301DD">
        <w:rPr>
          <w:rFonts w:cs="Arial" w:hint="cs"/>
          <w:sz w:val="16"/>
          <w:szCs w:val="16"/>
          <w:rtl/>
        </w:rPr>
        <w:t>בגט</w:t>
      </w:r>
      <w:r w:rsidRPr="00C301DD">
        <w:rPr>
          <w:rFonts w:cs="Arial"/>
          <w:sz w:val="16"/>
          <w:szCs w:val="16"/>
          <w:rtl/>
        </w:rPr>
        <w:t xml:space="preserve"> </w:t>
      </w:r>
      <w:r w:rsidRPr="00C301DD">
        <w:rPr>
          <w:rFonts w:cs="Arial" w:hint="cs"/>
          <w:sz w:val="16"/>
          <w:szCs w:val="16"/>
          <w:rtl/>
        </w:rPr>
        <w:t>העיר</w:t>
      </w:r>
      <w:r w:rsidRPr="00C301DD">
        <w:rPr>
          <w:rFonts w:cs="Arial"/>
          <w:sz w:val="16"/>
          <w:szCs w:val="16"/>
          <w:rtl/>
        </w:rPr>
        <w:t xml:space="preserve"> </w:t>
      </w:r>
      <w:r w:rsidRPr="00C301DD">
        <w:rPr>
          <w:rFonts w:cs="Arial" w:hint="cs"/>
          <w:sz w:val="16"/>
          <w:szCs w:val="16"/>
          <w:rtl/>
        </w:rPr>
        <w:t>שהיה</w:t>
      </w:r>
      <w:r w:rsidRPr="00C301DD">
        <w:rPr>
          <w:rFonts w:cs="Arial"/>
          <w:sz w:val="16"/>
          <w:szCs w:val="16"/>
          <w:rtl/>
        </w:rPr>
        <w:t xml:space="preserve"> </w:t>
      </w:r>
      <w:r w:rsidRPr="00C301DD">
        <w:rPr>
          <w:rFonts w:cs="Arial" w:hint="cs"/>
          <w:sz w:val="16"/>
          <w:szCs w:val="16"/>
          <w:rtl/>
        </w:rPr>
        <w:t>דר</w:t>
      </w:r>
      <w:r w:rsidRPr="00C301DD">
        <w:rPr>
          <w:rFonts w:cs="Arial"/>
          <w:sz w:val="16"/>
          <w:szCs w:val="16"/>
          <w:rtl/>
        </w:rPr>
        <w:t xml:space="preserve"> </w:t>
      </w:r>
      <w:r w:rsidRPr="00C301DD">
        <w:rPr>
          <w:rFonts w:cs="Arial" w:hint="cs"/>
          <w:sz w:val="16"/>
          <w:szCs w:val="16"/>
          <w:rtl/>
        </w:rPr>
        <w:t>בה</w:t>
      </w:r>
      <w:r w:rsidRPr="00C301DD">
        <w:rPr>
          <w:rFonts w:cs="Arial"/>
          <w:sz w:val="16"/>
          <w:szCs w:val="16"/>
          <w:rtl/>
        </w:rPr>
        <w:t xml:space="preserve"> </w:t>
      </w:r>
      <w:r w:rsidRPr="00C301DD">
        <w:rPr>
          <w:rFonts w:cs="Arial" w:hint="cs"/>
          <w:sz w:val="16"/>
          <w:szCs w:val="16"/>
          <w:rtl/>
        </w:rPr>
        <w:t>קודם</w:t>
      </w:r>
      <w:r w:rsidRPr="00C301DD">
        <w:rPr>
          <w:rFonts w:cs="Arial"/>
          <w:sz w:val="16"/>
          <w:szCs w:val="16"/>
          <w:rtl/>
        </w:rPr>
        <w:t xml:space="preserve"> </w:t>
      </w:r>
      <w:r w:rsidRPr="00C301DD">
        <w:rPr>
          <w:rFonts w:cs="Arial" w:hint="cs"/>
          <w:sz w:val="16"/>
          <w:szCs w:val="16"/>
          <w:rtl/>
        </w:rPr>
        <w:t>לכן</w:t>
      </w:r>
      <w:r w:rsidRPr="00C301DD">
        <w:rPr>
          <w:rFonts w:cs="Arial"/>
          <w:sz w:val="16"/>
          <w:szCs w:val="16"/>
          <w:rtl/>
        </w:rPr>
        <w:t xml:space="preserve"> </w:t>
      </w:r>
      <w:r w:rsidRPr="00C301DD">
        <w:rPr>
          <w:rFonts w:cs="Arial" w:hint="cs"/>
          <w:sz w:val="16"/>
          <w:szCs w:val="16"/>
          <w:rtl/>
        </w:rPr>
        <w:t>או</w:t>
      </w:r>
      <w:r w:rsidRPr="00C301DD">
        <w:rPr>
          <w:rFonts w:cs="Arial"/>
          <w:sz w:val="16"/>
          <w:szCs w:val="16"/>
          <w:rtl/>
        </w:rPr>
        <w:t xml:space="preserve"> </w:t>
      </w:r>
      <w:r w:rsidRPr="00C301DD">
        <w:rPr>
          <w:rFonts w:cs="Arial" w:hint="cs"/>
          <w:sz w:val="16"/>
          <w:szCs w:val="16"/>
          <w:rtl/>
        </w:rPr>
        <w:t>די</w:t>
      </w:r>
      <w:r w:rsidRPr="00C301DD">
        <w:rPr>
          <w:rFonts w:cs="Arial"/>
          <w:sz w:val="16"/>
          <w:szCs w:val="16"/>
          <w:rtl/>
        </w:rPr>
        <w:t xml:space="preserve"> </w:t>
      </w:r>
      <w:r w:rsidRPr="00C301DD">
        <w:rPr>
          <w:rFonts w:cs="Arial" w:hint="cs"/>
          <w:sz w:val="16"/>
          <w:szCs w:val="16"/>
          <w:rtl/>
        </w:rPr>
        <w:t>במה</w:t>
      </w:r>
      <w:r w:rsidRPr="00C301DD">
        <w:rPr>
          <w:rFonts w:cs="Arial"/>
          <w:sz w:val="16"/>
          <w:szCs w:val="16"/>
          <w:rtl/>
        </w:rPr>
        <w:t xml:space="preserve"> </w:t>
      </w:r>
      <w:r w:rsidRPr="00C301DD">
        <w:rPr>
          <w:rFonts w:cs="Arial" w:hint="cs"/>
          <w:sz w:val="16"/>
          <w:szCs w:val="16"/>
          <w:rtl/>
        </w:rPr>
        <w:t>שהוא</w:t>
      </w:r>
      <w:r w:rsidRPr="00C301DD">
        <w:rPr>
          <w:rFonts w:cs="Arial"/>
          <w:sz w:val="16"/>
          <w:szCs w:val="16"/>
          <w:rtl/>
        </w:rPr>
        <w:t xml:space="preserve"> </w:t>
      </w:r>
      <w:r w:rsidRPr="00C301DD">
        <w:rPr>
          <w:rFonts w:cs="Arial" w:hint="cs"/>
          <w:sz w:val="16"/>
          <w:szCs w:val="16"/>
          <w:rtl/>
        </w:rPr>
        <w:t>מזכיר</w:t>
      </w:r>
      <w:r w:rsidRPr="00C301DD">
        <w:rPr>
          <w:rFonts w:cs="Arial"/>
          <w:sz w:val="16"/>
          <w:szCs w:val="16"/>
          <w:rtl/>
        </w:rPr>
        <w:t xml:space="preserve"> </w:t>
      </w:r>
      <w:r w:rsidRPr="00C301DD">
        <w:rPr>
          <w:rFonts w:cs="Arial" w:hint="cs"/>
          <w:sz w:val="16"/>
          <w:szCs w:val="16"/>
          <w:rtl/>
        </w:rPr>
        <w:t>העיר</w:t>
      </w:r>
      <w:r w:rsidRPr="00C301DD">
        <w:rPr>
          <w:rFonts w:cs="Arial"/>
          <w:sz w:val="16"/>
          <w:szCs w:val="16"/>
          <w:rtl/>
        </w:rPr>
        <w:t xml:space="preserve"> </w:t>
      </w:r>
      <w:r w:rsidRPr="00C301DD">
        <w:rPr>
          <w:rFonts w:cs="Arial" w:hint="cs"/>
          <w:sz w:val="16"/>
          <w:szCs w:val="16"/>
          <w:rtl/>
        </w:rPr>
        <w:t>שהוא</w:t>
      </w:r>
      <w:r w:rsidRPr="00C301DD">
        <w:rPr>
          <w:rFonts w:cs="Arial"/>
          <w:sz w:val="16"/>
          <w:szCs w:val="16"/>
          <w:rtl/>
        </w:rPr>
        <w:t xml:space="preserve"> </w:t>
      </w:r>
      <w:r w:rsidRPr="00C301DD">
        <w:rPr>
          <w:rFonts w:cs="Arial" w:hint="cs"/>
          <w:sz w:val="16"/>
          <w:szCs w:val="16"/>
          <w:rtl/>
        </w:rPr>
        <w:t>דר</w:t>
      </w:r>
      <w:r w:rsidRPr="00C301DD">
        <w:rPr>
          <w:rFonts w:cs="Arial"/>
          <w:sz w:val="16"/>
          <w:szCs w:val="16"/>
          <w:rtl/>
        </w:rPr>
        <w:t xml:space="preserve"> </w:t>
      </w:r>
      <w:r w:rsidRPr="00C301DD">
        <w:rPr>
          <w:rFonts w:cs="Arial" w:hint="cs"/>
          <w:sz w:val="16"/>
          <w:szCs w:val="16"/>
          <w:rtl/>
        </w:rPr>
        <w:t>בה</w:t>
      </w:r>
      <w:r w:rsidRPr="00C301DD">
        <w:rPr>
          <w:rFonts w:cs="Arial"/>
          <w:sz w:val="16"/>
          <w:szCs w:val="16"/>
          <w:rtl/>
        </w:rPr>
        <w:t xml:space="preserve"> </w:t>
      </w:r>
      <w:r w:rsidRPr="00C301DD">
        <w:rPr>
          <w:rFonts w:cs="Arial" w:hint="cs"/>
          <w:sz w:val="16"/>
          <w:szCs w:val="16"/>
          <w:rtl/>
        </w:rPr>
        <w:t>עכשיו</w:t>
      </w:r>
      <w:r w:rsidRPr="00C301DD">
        <w:rPr>
          <w:rFonts w:cs="Arial"/>
          <w:sz w:val="16"/>
          <w:szCs w:val="16"/>
          <w:rtl/>
        </w:rPr>
        <w:t xml:space="preserve">. </w:t>
      </w:r>
      <w:r w:rsidRPr="00C301DD">
        <w:rPr>
          <w:rFonts w:cs="Arial" w:hint="cs"/>
          <w:sz w:val="16"/>
          <w:szCs w:val="16"/>
          <w:rtl/>
        </w:rPr>
        <w:t xml:space="preserve">   תשובה:</w:t>
      </w:r>
      <w:r w:rsidRPr="00C301DD">
        <w:rPr>
          <w:rFonts w:cs="Arial"/>
          <w:sz w:val="16"/>
          <w:szCs w:val="16"/>
          <w:rtl/>
        </w:rPr>
        <w:t xml:space="preserve"> </w:t>
      </w:r>
      <w:r w:rsidRPr="00C301DD">
        <w:rPr>
          <w:rFonts w:cs="Arial" w:hint="cs"/>
          <w:sz w:val="16"/>
          <w:szCs w:val="16"/>
          <w:rtl/>
        </w:rPr>
        <w:t>מדברי</w:t>
      </w:r>
      <w:r w:rsidRPr="00C301DD">
        <w:rPr>
          <w:rFonts w:cs="Arial"/>
          <w:sz w:val="16"/>
          <w:szCs w:val="16"/>
          <w:rtl/>
        </w:rPr>
        <w:t xml:space="preserve"> </w:t>
      </w:r>
      <w:r w:rsidRPr="00C301DD">
        <w:rPr>
          <w:rFonts w:cs="Arial" w:hint="cs"/>
          <w:sz w:val="16"/>
          <w:szCs w:val="16"/>
          <w:rtl/>
        </w:rPr>
        <w:t>התוספתא</w:t>
      </w:r>
      <w:r w:rsidRPr="00C301DD">
        <w:rPr>
          <w:rFonts w:cs="Arial"/>
          <w:sz w:val="16"/>
          <w:szCs w:val="16"/>
          <w:rtl/>
        </w:rPr>
        <w:t xml:space="preserve"> (</w:t>
      </w:r>
      <w:r w:rsidRPr="00C301DD">
        <w:rPr>
          <w:rFonts w:cs="Arial" w:hint="cs"/>
          <w:sz w:val="16"/>
          <w:szCs w:val="16"/>
          <w:rtl/>
        </w:rPr>
        <w:t>גיטין</w:t>
      </w:r>
      <w:r w:rsidRPr="00C301DD">
        <w:rPr>
          <w:rFonts w:cs="Arial"/>
          <w:sz w:val="16"/>
          <w:szCs w:val="16"/>
          <w:rtl/>
        </w:rPr>
        <w:t xml:space="preserve"> </w:t>
      </w:r>
      <w:r w:rsidRPr="00C301DD">
        <w:rPr>
          <w:rFonts w:cs="Arial" w:hint="cs"/>
          <w:sz w:val="16"/>
          <w:szCs w:val="16"/>
          <w:rtl/>
        </w:rPr>
        <w:t>פ</w:t>
      </w:r>
      <w:r w:rsidRPr="00C301DD">
        <w:rPr>
          <w:rFonts w:cs="Arial"/>
          <w:sz w:val="16"/>
          <w:szCs w:val="16"/>
          <w:rtl/>
        </w:rPr>
        <w:t>"</w:t>
      </w:r>
      <w:r w:rsidRPr="00C301DD">
        <w:rPr>
          <w:rFonts w:cs="Arial" w:hint="cs"/>
          <w:sz w:val="16"/>
          <w:szCs w:val="16"/>
          <w:rtl/>
        </w:rPr>
        <w:t>ו</w:t>
      </w:r>
      <w:r w:rsidRPr="00C301DD">
        <w:rPr>
          <w:rFonts w:cs="Arial"/>
          <w:sz w:val="16"/>
          <w:szCs w:val="16"/>
          <w:rtl/>
        </w:rPr>
        <w:t xml:space="preserve"> </w:t>
      </w:r>
      <w:r w:rsidRPr="00C301DD">
        <w:rPr>
          <w:rFonts w:cs="Arial" w:hint="cs"/>
          <w:sz w:val="16"/>
          <w:szCs w:val="16"/>
          <w:rtl/>
        </w:rPr>
        <w:t>ה</w:t>
      </w:r>
      <w:r w:rsidRPr="00C301DD">
        <w:rPr>
          <w:rFonts w:cs="Arial"/>
          <w:sz w:val="16"/>
          <w:szCs w:val="16"/>
          <w:rtl/>
        </w:rPr>
        <w:t>"</w:t>
      </w:r>
      <w:r w:rsidRPr="00C301DD">
        <w:rPr>
          <w:rFonts w:cs="Arial" w:hint="cs"/>
          <w:sz w:val="16"/>
          <w:szCs w:val="16"/>
          <w:rtl/>
        </w:rPr>
        <w:t>ז</w:t>
      </w:r>
      <w:r w:rsidRPr="00C301DD">
        <w:rPr>
          <w:rFonts w:cs="Arial"/>
          <w:sz w:val="16"/>
          <w:szCs w:val="16"/>
          <w:rtl/>
        </w:rPr>
        <w:t xml:space="preserve">) </w:t>
      </w:r>
      <w:r w:rsidRPr="00C301DD">
        <w:rPr>
          <w:rFonts w:cs="Arial" w:hint="cs"/>
          <w:sz w:val="16"/>
          <w:szCs w:val="16"/>
          <w:rtl/>
        </w:rPr>
        <w:t>והירושלמי</w:t>
      </w:r>
      <w:r w:rsidRPr="00C301DD">
        <w:rPr>
          <w:rFonts w:cs="Arial"/>
          <w:sz w:val="16"/>
          <w:szCs w:val="16"/>
          <w:rtl/>
        </w:rPr>
        <w:t xml:space="preserve"> (</w:t>
      </w:r>
      <w:r w:rsidRPr="00C301DD">
        <w:rPr>
          <w:rFonts w:cs="Arial" w:hint="cs"/>
          <w:sz w:val="16"/>
          <w:szCs w:val="16"/>
          <w:rtl/>
        </w:rPr>
        <w:t>שם</w:t>
      </w:r>
      <w:r w:rsidRPr="00C301DD">
        <w:rPr>
          <w:rFonts w:cs="Arial"/>
          <w:sz w:val="16"/>
          <w:szCs w:val="16"/>
          <w:rtl/>
        </w:rPr>
        <w:t xml:space="preserve">) </w:t>
      </w:r>
      <w:r w:rsidRPr="00C301DD">
        <w:rPr>
          <w:rFonts w:cs="Arial" w:hint="cs"/>
          <w:sz w:val="16"/>
          <w:szCs w:val="16"/>
          <w:rtl/>
        </w:rPr>
        <w:t>נראה</w:t>
      </w:r>
      <w:r w:rsidRPr="00C301DD">
        <w:rPr>
          <w:rFonts w:cs="Arial"/>
          <w:sz w:val="16"/>
          <w:szCs w:val="16"/>
          <w:rtl/>
        </w:rPr>
        <w:t xml:space="preserve"> </w:t>
      </w:r>
      <w:r w:rsidRPr="00C301DD">
        <w:rPr>
          <w:rFonts w:cs="Arial" w:hint="cs"/>
          <w:sz w:val="16"/>
          <w:szCs w:val="16"/>
          <w:rtl/>
        </w:rPr>
        <w:t>לי</w:t>
      </w:r>
      <w:r w:rsidRPr="00C301DD">
        <w:rPr>
          <w:rFonts w:cs="Arial"/>
          <w:sz w:val="16"/>
          <w:szCs w:val="16"/>
          <w:rtl/>
        </w:rPr>
        <w:t xml:space="preserve"> </w:t>
      </w:r>
      <w:r w:rsidRPr="00C301DD">
        <w:rPr>
          <w:rFonts w:cs="Arial" w:hint="cs"/>
          <w:sz w:val="16"/>
          <w:szCs w:val="16"/>
          <w:rtl/>
        </w:rPr>
        <w:t>שהוא</w:t>
      </w:r>
      <w:r w:rsidRPr="00C301DD">
        <w:rPr>
          <w:rFonts w:cs="Arial"/>
          <w:sz w:val="16"/>
          <w:szCs w:val="16"/>
          <w:rtl/>
        </w:rPr>
        <w:t xml:space="preserve"> </w:t>
      </w:r>
      <w:r w:rsidRPr="00C301DD">
        <w:rPr>
          <w:rFonts w:cs="Arial" w:hint="cs"/>
          <w:sz w:val="16"/>
          <w:szCs w:val="16"/>
          <w:rtl/>
        </w:rPr>
        <w:t>צריך</w:t>
      </w:r>
      <w:r w:rsidRPr="00C301DD">
        <w:rPr>
          <w:rFonts w:cs="Arial"/>
          <w:sz w:val="16"/>
          <w:szCs w:val="16"/>
          <w:rtl/>
        </w:rPr>
        <w:t xml:space="preserve"> </w:t>
      </w:r>
      <w:r w:rsidRPr="00C301DD">
        <w:rPr>
          <w:rFonts w:cs="Arial" w:hint="cs"/>
          <w:sz w:val="16"/>
          <w:szCs w:val="16"/>
          <w:rtl/>
        </w:rPr>
        <w:t>להזכיר</w:t>
      </w:r>
      <w:r w:rsidRPr="00C301DD">
        <w:rPr>
          <w:rFonts w:cs="Arial"/>
          <w:sz w:val="16"/>
          <w:szCs w:val="16"/>
          <w:rtl/>
        </w:rPr>
        <w:t xml:space="preserve"> </w:t>
      </w:r>
      <w:r w:rsidRPr="00C301DD">
        <w:rPr>
          <w:rFonts w:cs="Arial" w:hint="cs"/>
          <w:sz w:val="16"/>
          <w:szCs w:val="16"/>
          <w:rtl/>
        </w:rPr>
        <w:t>כולן</w:t>
      </w:r>
      <w:r w:rsidRPr="00C301DD">
        <w:rPr>
          <w:rFonts w:cs="Arial"/>
          <w:sz w:val="16"/>
          <w:szCs w:val="16"/>
          <w:rtl/>
        </w:rPr>
        <w:t xml:space="preserve"> </w:t>
      </w:r>
      <w:r w:rsidRPr="00C301DD">
        <w:rPr>
          <w:rFonts w:cs="Arial" w:hint="cs"/>
          <w:sz w:val="16"/>
          <w:szCs w:val="16"/>
          <w:rtl/>
        </w:rPr>
        <w:t>כמו</w:t>
      </w:r>
      <w:r w:rsidRPr="00C301DD">
        <w:rPr>
          <w:rFonts w:cs="Arial"/>
          <w:sz w:val="16"/>
          <w:szCs w:val="16"/>
          <w:rtl/>
        </w:rPr>
        <w:t xml:space="preserve"> </w:t>
      </w:r>
      <w:r w:rsidRPr="00C301DD">
        <w:rPr>
          <w:rFonts w:cs="Arial" w:hint="cs"/>
          <w:sz w:val="16"/>
          <w:szCs w:val="16"/>
          <w:rtl/>
        </w:rPr>
        <w:t>שצריך</w:t>
      </w:r>
      <w:r w:rsidRPr="00C301DD">
        <w:rPr>
          <w:rFonts w:cs="Arial"/>
          <w:sz w:val="16"/>
          <w:szCs w:val="16"/>
          <w:rtl/>
        </w:rPr>
        <w:t xml:space="preserve"> </w:t>
      </w:r>
      <w:r w:rsidRPr="00C301DD">
        <w:rPr>
          <w:rFonts w:cs="Arial" w:hint="cs"/>
          <w:sz w:val="16"/>
          <w:szCs w:val="16"/>
          <w:rtl/>
        </w:rPr>
        <w:t>להזכיר</w:t>
      </w:r>
      <w:r w:rsidRPr="00C301DD">
        <w:rPr>
          <w:rFonts w:cs="Arial"/>
          <w:sz w:val="16"/>
          <w:szCs w:val="16"/>
          <w:rtl/>
        </w:rPr>
        <w:t xml:space="preserve"> </w:t>
      </w:r>
      <w:r w:rsidRPr="00C301DD">
        <w:rPr>
          <w:rFonts w:cs="Arial" w:hint="cs"/>
          <w:sz w:val="16"/>
          <w:szCs w:val="16"/>
          <w:rtl/>
        </w:rPr>
        <w:t>כל</w:t>
      </w:r>
      <w:r w:rsidRPr="00C301DD">
        <w:rPr>
          <w:rFonts w:cs="Arial"/>
          <w:sz w:val="16"/>
          <w:szCs w:val="16"/>
          <w:rtl/>
        </w:rPr>
        <w:t xml:space="preserve"> </w:t>
      </w:r>
      <w:r w:rsidRPr="00C301DD">
        <w:rPr>
          <w:rFonts w:cs="Arial" w:hint="cs"/>
          <w:sz w:val="16"/>
          <w:szCs w:val="16"/>
          <w:rtl/>
        </w:rPr>
        <w:t>השמות</w:t>
      </w:r>
      <w:r w:rsidRPr="00C301DD">
        <w:rPr>
          <w:rFonts w:cs="Arial"/>
          <w:sz w:val="16"/>
          <w:szCs w:val="16"/>
          <w:rtl/>
        </w:rPr>
        <w:t xml:space="preserve"> </w:t>
      </w:r>
      <w:r w:rsidRPr="00C301DD">
        <w:rPr>
          <w:rFonts w:cs="Arial" w:hint="cs"/>
          <w:sz w:val="16"/>
          <w:szCs w:val="16"/>
          <w:rtl/>
        </w:rPr>
        <w:t>שיש</w:t>
      </w:r>
      <w:r w:rsidRPr="00C301DD">
        <w:rPr>
          <w:rFonts w:cs="Arial"/>
          <w:sz w:val="16"/>
          <w:szCs w:val="16"/>
          <w:rtl/>
        </w:rPr>
        <w:t xml:space="preserve"> </w:t>
      </w:r>
      <w:r w:rsidRPr="00C301DD">
        <w:rPr>
          <w:rFonts w:cs="Arial" w:hint="cs"/>
          <w:sz w:val="16"/>
          <w:szCs w:val="16"/>
          <w:rtl/>
        </w:rPr>
        <w:t>לו</w:t>
      </w:r>
      <w:r w:rsidRPr="00C301DD">
        <w:rPr>
          <w:rFonts w:cs="Arial"/>
          <w:sz w:val="16"/>
          <w:szCs w:val="16"/>
          <w:rtl/>
        </w:rPr>
        <w:t xml:space="preserve"> </w:t>
      </w:r>
      <w:r w:rsidRPr="00C301DD">
        <w:rPr>
          <w:rFonts w:cs="Arial" w:hint="cs"/>
          <w:sz w:val="16"/>
          <w:szCs w:val="16"/>
          <w:rtl/>
        </w:rPr>
        <w:t>בכל</w:t>
      </w:r>
      <w:r w:rsidRPr="00C301DD">
        <w:rPr>
          <w:rFonts w:cs="Arial"/>
          <w:sz w:val="16"/>
          <w:szCs w:val="16"/>
          <w:rtl/>
        </w:rPr>
        <w:t xml:space="preserve"> </w:t>
      </w:r>
      <w:r w:rsidRPr="00C301DD">
        <w:rPr>
          <w:rFonts w:cs="Arial" w:hint="cs"/>
          <w:sz w:val="16"/>
          <w:szCs w:val="16"/>
          <w:rtl/>
        </w:rPr>
        <w:t>מקום</w:t>
      </w:r>
      <w:r w:rsidRPr="00C301DD">
        <w:rPr>
          <w:rFonts w:cs="Arial"/>
          <w:sz w:val="16"/>
          <w:szCs w:val="16"/>
          <w:rtl/>
        </w:rPr>
        <w:t xml:space="preserve"> </w:t>
      </w:r>
      <w:r w:rsidRPr="00C301DD">
        <w:rPr>
          <w:rFonts w:cs="Arial" w:hint="cs"/>
          <w:sz w:val="16"/>
          <w:szCs w:val="16"/>
          <w:rtl/>
        </w:rPr>
        <w:t>ומקום</w:t>
      </w:r>
      <w:r>
        <w:rPr>
          <w:rFonts w:cs="Arial" w:hint="cs"/>
          <w:sz w:val="16"/>
          <w:szCs w:val="16"/>
          <w:rtl/>
        </w:rPr>
        <w:t>)</w:t>
      </w:r>
      <w:r>
        <w:rPr>
          <w:rFonts w:cs="Arial" w:hint="cs"/>
          <w:rtl/>
        </w:rPr>
        <w:t>.</w:t>
      </w:r>
      <w:r w:rsidRPr="00F3730C">
        <w:rPr>
          <w:rFonts w:cs="Arial"/>
          <w:rtl/>
        </w:rPr>
        <w:t xml:space="preserve"> </w:t>
      </w:r>
      <w:r>
        <w:rPr>
          <w:rFonts w:cs="Arial" w:hint="cs"/>
          <w:rtl/>
        </w:rPr>
        <w:t>וכתב הדרכ"מ (אות ב</w:t>
      </w:r>
      <w:r w:rsidRPr="0090777D">
        <w:rPr>
          <w:rFonts w:cs="Arial"/>
          <w:rtl/>
        </w:rPr>
        <w:t xml:space="preserve">*) </w:t>
      </w:r>
      <w:r>
        <w:rPr>
          <w:rFonts w:cs="Arial" w:hint="cs"/>
          <w:rtl/>
        </w:rPr>
        <w:t>ד</w:t>
      </w:r>
      <w:r w:rsidRPr="0090777D">
        <w:rPr>
          <w:rFonts w:cs="Arial" w:hint="cs"/>
          <w:rtl/>
        </w:rPr>
        <w:t>כן</w:t>
      </w:r>
      <w:r w:rsidRPr="0090777D">
        <w:rPr>
          <w:rFonts w:cs="Arial"/>
          <w:rtl/>
        </w:rPr>
        <w:t xml:space="preserve"> </w:t>
      </w:r>
      <w:r w:rsidRPr="0090777D">
        <w:rPr>
          <w:rFonts w:cs="Arial" w:hint="cs"/>
          <w:rtl/>
        </w:rPr>
        <w:t>כתב</w:t>
      </w:r>
      <w:r w:rsidRPr="0090777D">
        <w:rPr>
          <w:rFonts w:cs="Arial"/>
          <w:rtl/>
        </w:rPr>
        <w:t xml:space="preserve"> </w:t>
      </w:r>
      <w:r w:rsidRPr="0090777D">
        <w:rPr>
          <w:rFonts w:cs="Arial" w:hint="cs"/>
          <w:rtl/>
        </w:rPr>
        <w:t>בתשובה</w:t>
      </w:r>
      <w:r w:rsidRPr="0090777D">
        <w:rPr>
          <w:rFonts w:cs="Arial"/>
          <w:rtl/>
        </w:rPr>
        <w:t xml:space="preserve"> </w:t>
      </w:r>
      <w:r w:rsidRPr="0090777D">
        <w:rPr>
          <w:rFonts w:cs="Arial" w:hint="cs"/>
          <w:rtl/>
        </w:rPr>
        <w:t>סימן</w:t>
      </w:r>
      <w:r w:rsidRPr="0090777D">
        <w:rPr>
          <w:rFonts w:cs="Arial"/>
          <w:rtl/>
        </w:rPr>
        <w:t xml:space="preserve"> </w:t>
      </w:r>
      <w:r w:rsidRPr="0090777D">
        <w:rPr>
          <w:rFonts w:cs="Arial" w:hint="cs"/>
          <w:rtl/>
        </w:rPr>
        <w:t>אלף</w:t>
      </w:r>
      <w:r w:rsidRPr="0090777D">
        <w:rPr>
          <w:rFonts w:cs="Arial"/>
          <w:rtl/>
        </w:rPr>
        <w:t xml:space="preserve"> </w:t>
      </w:r>
      <w:r w:rsidRPr="0090777D">
        <w:rPr>
          <w:rFonts w:cs="Arial" w:hint="cs"/>
          <w:rtl/>
        </w:rPr>
        <w:t>ר</w:t>
      </w:r>
      <w:r w:rsidRPr="0090777D">
        <w:rPr>
          <w:rFonts w:cs="Arial"/>
          <w:rtl/>
        </w:rPr>
        <w:t>"</w:t>
      </w:r>
      <w:r w:rsidRPr="0090777D">
        <w:rPr>
          <w:rFonts w:cs="Arial" w:hint="cs"/>
          <w:rtl/>
        </w:rPr>
        <w:t>ח</w:t>
      </w:r>
      <w:r w:rsidRPr="0090777D">
        <w:rPr>
          <w:rFonts w:cs="Arial"/>
          <w:rtl/>
        </w:rPr>
        <w:t xml:space="preserve">. </w:t>
      </w:r>
      <w:r w:rsidRPr="0090777D">
        <w:rPr>
          <w:rFonts w:cs="Arial" w:hint="cs"/>
          <w:rtl/>
        </w:rPr>
        <w:t>אמנם</w:t>
      </w:r>
      <w:r w:rsidRPr="0090777D">
        <w:rPr>
          <w:rFonts w:cs="Arial"/>
          <w:rtl/>
        </w:rPr>
        <w:t xml:space="preserve"> </w:t>
      </w:r>
      <w:r w:rsidRPr="0090777D">
        <w:rPr>
          <w:rFonts w:cs="Arial" w:hint="cs"/>
          <w:rtl/>
        </w:rPr>
        <w:t>במרדכי</w:t>
      </w:r>
      <w:r w:rsidRPr="0090777D">
        <w:rPr>
          <w:rFonts w:cs="Arial"/>
          <w:rtl/>
        </w:rPr>
        <w:t xml:space="preserve"> </w:t>
      </w:r>
      <w:r w:rsidRPr="0090777D">
        <w:rPr>
          <w:rFonts w:cs="Arial" w:hint="cs"/>
          <w:rtl/>
        </w:rPr>
        <w:t>פרק</w:t>
      </w:r>
      <w:r w:rsidRPr="0090777D">
        <w:rPr>
          <w:rFonts w:cs="Arial"/>
          <w:rtl/>
        </w:rPr>
        <w:t xml:space="preserve"> </w:t>
      </w:r>
      <w:r w:rsidRPr="0090777D">
        <w:rPr>
          <w:rFonts w:cs="Arial" w:hint="cs"/>
          <w:rtl/>
        </w:rPr>
        <w:t>השולח</w:t>
      </w:r>
      <w:r w:rsidRPr="0090777D">
        <w:rPr>
          <w:rFonts w:cs="Arial"/>
          <w:rtl/>
        </w:rPr>
        <w:t xml:space="preserve"> (</w:t>
      </w:r>
      <w:r w:rsidRPr="0090777D">
        <w:rPr>
          <w:rFonts w:cs="Arial" w:hint="cs"/>
          <w:rtl/>
        </w:rPr>
        <w:t>סי</w:t>
      </w:r>
      <w:r w:rsidRPr="0090777D">
        <w:rPr>
          <w:rFonts w:cs="Arial"/>
          <w:rtl/>
        </w:rPr>
        <w:t xml:space="preserve">' </w:t>
      </w:r>
      <w:r w:rsidRPr="0090777D">
        <w:rPr>
          <w:rFonts w:cs="Arial" w:hint="cs"/>
          <w:rtl/>
        </w:rPr>
        <w:t>שסח</w:t>
      </w:r>
      <w:r w:rsidRPr="0090777D">
        <w:rPr>
          <w:rFonts w:cs="Arial"/>
          <w:rtl/>
        </w:rPr>
        <w:t xml:space="preserve"> </w:t>
      </w:r>
      <w:r w:rsidRPr="0090777D">
        <w:rPr>
          <w:rFonts w:cs="Arial" w:hint="cs"/>
          <w:rtl/>
        </w:rPr>
        <w:t>ג</w:t>
      </w:r>
      <w:r w:rsidRPr="0090777D">
        <w:rPr>
          <w:rFonts w:cs="Arial"/>
          <w:rtl/>
        </w:rPr>
        <w:t xml:space="preserve"> </w:t>
      </w:r>
      <w:r w:rsidRPr="0090777D">
        <w:rPr>
          <w:rFonts w:cs="Arial" w:hint="cs"/>
          <w:rtl/>
        </w:rPr>
        <w:t>ע</w:t>
      </w:r>
      <w:r w:rsidRPr="0090777D">
        <w:rPr>
          <w:rFonts w:cs="Arial"/>
          <w:rtl/>
        </w:rPr>
        <w:t>"</w:t>
      </w:r>
      <w:r w:rsidRPr="0090777D">
        <w:rPr>
          <w:rFonts w:cs="Arial" w:hint="cs"/>
          <w:rtl/>
        </w:rPr>
        <w:t>ג</w:t>
      </w:r>
      <w:r w:rsidRPr="0090777D">
        <w:rPr>
          <w:rFonts w:cs="Arial"/>
          <w:rtl/>
        </w:rPr>
        <w:t xml:space="preserve">) </w:t>
      </w:r>
      <w:r w:rsidRPr="0090777D">
        <w:rPr>
          <w:rFonts w:cs="Arial" w:hint="cs"/>
          <w:rtl/>
        </w:rPr>
        <w:t>כתב</w:t>
      </w:r>
      <w:r w:rsidRPr="0090777D">
        <w:rPr>
          <w:rFonts w:cs="Arial"/>
          <w:rtl/>
        </w:rPr>
        <w:t xml:space="preserve"> </w:t>
      </w:r>
      <w:r w:rsidRPr="0090777D">
        <w:rPr>
          <w:rFonts w:cs="Arial" w:hint="cs"/>
          <w:rtl/>
        </w:rPr>
        <w:t>דאין</w:t>
      </w:r>
      <w:r w:rsidRPr="0090777D">
        <w:rPr>
          <w:rFonts w:cs="Arial"/>
          <w:rtl/>
        </w:rPr>
        <w:t xml:space="preserve"> </w:t>
      </w:r>
      <w:r w:rsidRPr="0090777D">
        <w:rPr>
          <w:rFonts w:cs="Arial" w:hint="cs"/>
          <w:rtl/>
        </w:rPr>
        <w:t>צריך</w:t>
      </w:r>
      <w:r w:rsidRPr="0090777D">
        <w:rPr>
          <w:rFonts w:cs="Arial"/>
          <w:rtl/>
        </w:rPr>
        <w:t xml:space="preserve"> </w:t>
      </w:r>
      <w:r w:rsidRPr="0090777D">
        <w:rPr>
          <w:rFonts w:cs="Arial" w:hint="cs"/>
          <w:rtl/>
        </w:rPr>
        <w:t>לכתוב</w:t>
      </w:r>
      <w:r w:rsidRPr="0090777D">
        <w:rPr>
          <w:rFonts w:cs="Arial"/>
          <w:rtl/>
        </w:rPr>
        <w:t xml:space="preserve"> </w:t>
      </w:r>
      <w:r w:rsidRPr="0090777D">
        <w:rPr>
          <w:rFonts w:cs="Arial" w:hint="cs"/>
          <w:rtl/>
        </w:rPr>
        <w:t>רק</w:t>
      </w:r>
      <w:r w:rsidRPr="0090777D">
        <w:rPr>
          <w:rFonts w:cs="Arial"/>
          <w:rtl/>
        </w:rPr>
        <w:t xml:space="preserve"> </w:t>
      </w:r>
      <w:r w:rsidRPr="0090777D">
        <w:rPr>
          <w:rFonts w:cs="Arial" w:hint="cs"/>
          <w:rtl/>
        </w:rPr>
        <w:t>האחרון</w:t>
      </w:r>
      <w:r w:rsidRPr="0090777D">
        <w:rPr>
          <w:rFonts w:cs="Arial"/>
          <w:rtl/>
        </w:rPr>
        <w:t xml:space="preserve"> </w:t>
      </w:r>
      <w:r w:rsidRPr="0090777D">
        <w:rPr>
          <w:rFonts w:cs="Arial" w:hint="cs"/>
          <w:rtl/>
        </w:rPr>
        <w:t>ועיין</w:t>
      </w:r>
      <w:r w:rsidRPr="0090777D">
        <w:rPr>
          <w:rFonts w:cs="Arial"/>
          <w:rtl/>
        </w:rPr>
        <w:t xml:space="preserve"> </w:t>
      </w:r>
      <w:r w:rsidRPr="0090777D">
        <w:rPr>
          <w:rFonts w:cs="Arial" w:hint="cs"/>
          <w:rtl/>
        </w:rPr>
        <w:t>שם</w:t>
      </w:r>
      <w:r w:rsidRPr="0090777D">
        <w:rPr>
          <w:rFonts w:cs="Arial"/>
          <w:rtl/>
        </w:rPr>
        <w:t xml:space="preserve">. </w:t>
      </w:r>
      <w:r w:rsidRPr="0090777D">
        <w:rPr>
          <w:rFonts w:cs="Arial" w:hint="cs"/>
          <w:rtl/>
        </w:rPr>
        <w:t>וכל</w:t>
      </w:r>
      <w:r w:rsidRPr="0090777D">
        <w:rPr>
          <w:rFonts w:cs="Arial"/>
          <w:rtl/>
        </w:rPr>
        <w:t xml:space="preserve"> </w:t>
      </w:r>
      <w:r w:rsidRPr="0090777D">
        <w:rPr>
          <w:rFonts w:cs="Arial" w:hint="cs"/>
          <w:rtl/>
        </w:rPr>
        <w:t>זה</w:t>
      </w:r>
      <w:r w:rsidRPr="0090777D">
        <w:rPr>
          <w:rFonts w:cs="Arial"/>
          <w:rtl/>
        </w:rPr>
        <w:t xml:space="preserve"> </w:t>
      </w:r>
      <w:r w:rsidRPr="0090777D">
        <w:rPr>
          <w:rFonts w:cs="Arial" w:hint="cs"/>
          <w:rtl/>
        </w:rPr>
        <w:t>לפי</w:t>
      </w:r>
      <w:r w:rsidRPr="0090777D">
        <w:rPr>
          <w:rFonts w:cs="Arial"/>
          <w:rtl/>
        </w:rPr>
        <w:t xml:space="preserve"> </w:t>
      </w:r>
      <w:r w:rsidRPr="0090777D">
        <w:rPr>
          <w:rFonts w:cs="Arial" w:hint="cs"/>
          <w:rtl/>
        </w:rPr>
        <w:t>סברת</w:t>
      </w:r>
      <w:r w:rsidRPr="0090777D">
        <w:rPr>
          <w:rFonts w:cs="Arial"/>
          <w:rtl/>
        </w:rPr>
        <w:t xml:space="preserve"> </w:t>
      </w:r>
      <w:r w:rsidRPr="0090777D">
        <w:rPr>
          <w:rFonts w:cs="Arial" w:hint="cs"/>
          <w:rtl/>
        </w:rPr>
        <w:t>המחמירים</w:t>
      </w:r>
      <w:r w:rsidRPr="0090777D">
        <w:rPr>
          <w:rFonts w:cs="Arial"/>
          <w:rtl/>
        </w:rPr>
        <w:t xml:space="preserve"> </w:t>
      </w:r>
      <w:r w:rsidRPr="0090777D">
        <w:rPr>
          <w:rFonts w:cs="Arial" w:hint="cs"/>
          <w:rtl/>
        </w:rPr>
        <w:t>דסבירא</w:t>
      </w:r>
      <w:r w:rsidRPr="0090777D">
        <w:rPr>
          <w:rFonts w:cs="Arial"/>
          <w:rtl/>
        </w:rPr>
        <w:t xml:space="preserve"> </w:t>
      </w:r>
      <w:r w:rsidRPr="0090777D">
        <w:rPr>
          <w:rFonts w:cs="Arial" w:hint="cs"/>
          <w:rtl/>
        </w:rPr>
        <w:t>להו</w:t>
      </w:r>
      <w:r w:rsidRPr="0090777D">
        <w:rPr>
          <w:rFonts w:cs="Arial"/>
          <w:rtl/>
        </w:rPr>
        <w:t xml:space="preserve"> </w:t>
      </w:r>
      <w:r w:rsidRPr="0090777D">
        <w:rPr>
          <w:rFonts w:cs="Arial" w:hint="cs"/>
          <w:rtl/>
        </w:rPr>
        <w:t>דצריך</w:t>
      </w:r>
      <w:r w:rsidRPr="0090777D">
        <w:rPr>
          <w:rFonts w:cs="Arial"/>
          <w:rtl/>
        </w:rPr>
        <w:t xml:space="preserve"> </w:t>
      </w:r>
      <w:r w:rsidRPr="0090777D">
        <w:rPr>
          <w:rFonts w:cs="Arial" w:hint="cs"/>
          <w:rtl/>
        </w:rPr>
        <w:t>לכתוב</w:t>
      </w:r>
      <w:r w:rsidRPr="0090777D">
        <w:rPr>
          <w:rFonts w:cs="Arial"/>
          <w:rtl/>
        </w:rPr>
        <w:t xml:space="preserve"> </w:t>
      </w:r>
      <w:r w:rsidRPr="0090777D">
        <w:rPr>
          <w:rFonts w:cs="Arial" w:hint="cs"/>
          <w:rtl/>
        </w:rPr>
        <w:t>כל</w:t>
      </w:r>
      <w:r w:rsidRPr="0090777D">
        <w:rPr>
          <w:rFonts w:cs="Arial"/>
          <w:rtl/>
        </w:rPr>
        <w:t xml:space="preserve"> </w:t>
      </w:r>
      <w:r w:rsidRPr="0090777D">
        <w:rPr>
          <w:rFonts w:cs="Arial" w:hint="cs"/>
          <w:rtl/>
        </w:rPr>
        <w:t>המקומות</w:t>
      </w:r>
      <w:r w:rsidRPr="0090777D">
        <w:rPr>
          <w:rFonts w:cs="Arial"/>
          <w:rtl/>
        </w:rPr>
        <w:t xml:space="preserve"> </w:t>
      </w:r>
      <w:r w:rsidRPr="0090777D">
        <w:rPr>
          <w:rFonts w:cs="Arial" w:hint="cs"/>
          <w:rtl/>
        </w:rPr>
        <w:t>וכמו</w:t>
      </w:r>
      <w:r w:rsidRPr="0090777D">
        <w:rPr>
          <w:rFonts w:cs="Arial"/>
          <w:rtl/>
        </w:rPr>
        <w:t xml:space="preserve"> </w:t>
      </w:r>
      <w:r w:rsidRPr="0090777D">
        <w:rPr>
          <w:rFonts w:cs="Arial" w:hint="cs"/>
          <w:rtl/>
        </w:rPr>
        <w:t>שכתב</w:t>
      </w:r>
      <w:r w:rsidRPr="0090777D">
        <w:rPr>
          <w:rFonts w:cs="Arial"/>
          <w:rtl/>
        </w:rPr>
        <w:t xml:space="preserve"> </w:t>
      </w:r>
      <w:r w:rsidRPr="0090777D">
        <w:rPr>
          <w:rFonts w:cs="Arial" w:hint="cs"/>
          <w:rtl/>
        </w:rPr>
        <w:t>רבינו</w:t>
      </w:r>
      <w:r w:rsidRPr="0090777D">
        <w:rPr>
          <w:rFonts w:cs="Arial"/>
          <w:rtl/>
        </w:rPr>
        <w:t xml:space="preserve"> </w:t>
      </w:r>
      <w:r w:rsidRPr="0090777D">
        <w:rPr>
          <w:rFonts w:cs="Arial" w:hint="cs"/>
          <w:rtl/>
        </w:rPr>
        <w:t>דנוהגין</w:t>
      </w:r>
      <w:r w:rsidRPr="0090777D">
        <w:rPr>
          <w:rFonts w:cs="Arial"/>
          <w:rtl/>
        </w:rPr>
        <w:t xml:space="preserve"> </w:t>
      </w:r>
      <w:r w:rsidRPr="0090777D">
        <w:rPr>
          <w:rFonts w:cs="Arial" w:hint="cs"/>
          <w:rtl/>
        </w:rPr>
        <w:t>באשכנז</w:t>
      </w:r>
      <w:r w:rsidRPr="0090777D">
        <w:rPr>
          <w:rFonts w:cs="Arial"/>
          <w:rtl/>
        </w:rPr>
        <w:t xml:space="preserve"> </w:t>
      </w:r>
      <w:r w:rsidRPr="0090777D">
        <w:rPr>
          <w:rFonts w:cs="Arial" w:hint="cs"/>
          <w:rtl/>
        </w:rPr>
        <w:t>וצרפת</w:t>
      </w:r>
      <w:r w:rsidRPr="0090777D">
        <w:rPr>
          <w:rFonts w:cs="Arial"/>
          <w:rtl/>
        </w:rPr>
        <w:t xml:space="preserve"> </w:t>
      </w:r>
      <w:r w:rsidRPr="0090777D">
        <w:rPr>
          <w:rFonts w:cs="Arial" w:hint="cs"/>
          <w:rtl/>
        </w:rPr>
        <w:t>לכתוב</w:t>
      </w:r>
      <w:r w:rsidRPr="0090777D">
        <w:rPr>
          <w:rFonts w:cs="Arial"/>
          <w:rtl/>
        </w:rPr>
        <w:t xml:space="preserve"> </w:t>
      </w:r>
      <w:r w:rsidRPr="0090777D">
        <w:rPr>
          <w:rFonts w:cs="Arial" w:hint="cs"/>
          <w:rtl/>
        </w:rPr>
        <w:t>הכל</w:t>
      </w:r>
      <w:r>
        <w:rPr>
          <w:rFonts w:cs="Arial" w:hint="cs"/>
          <w:rtl/>
        </w:rPr>
        <w:t>,</w:t>
      </w:r>
      <w:r w:rsidRPr="0090777D">
        <w:rPr>
          <w:rFonts w:cs="Arial"/>
          <w:rtl/>
        </w:rPr>
        <w:t xml:space="preserve"> </w:t>
      </w:r>
      <w:r w:rsidRPr="0090777D">
        <w:rPr>
          <w:rFonts w:cs="Arial" w:hint="cs"/>
          <w:rtl/>
        </w:rPr>
        <w:t>אבל</w:t>
      </w:r>
      <w:r w:rsidRPr="0090777D">
        <w:rPr>
          <w:rFonts w:cs="Arial"/>
          <w:rtl/>
        </w:rPr>
        <w:t xml:space="preserve"> </w:t>
      </w:r>
      <w:r w:rsidRPr="0090777D">
        <w:rPr>
          <w:rFonts w:cs="Arial" w:hint="cs"/>
          <w:rtl/>
        </w:rPr>
        <w:t>כבר</w:t>
      </w:r>
      <w:r w:rsidRPr="0090777D">
        <w:rPr>
          <w:rFonts w:cs="Arial"/>
          <w:rtl/>
        </w:rPr>
        <w:t xml:space="preserve"> </w:t>
      </w:r>
      <w:r w:rsidRPr="0090777D">
        <w:rPr>
          <w:rFonts w:cs="Arial" w:hint="cs"/>
          <w:rtl/>
        </w:rPr>
        <w:t>נתבאר</w:t>
      </w:r>
      <w:r w:rsidRPr="0090777D">
        <w:rPr>
          <w:rFonts w:cs="Arial"/>
          <w:rtl/>
        </w:rPr>
        <w:t xml:space="preserve"> </w:t>
      </w:r>
      <w:r w:rsidRPr="0090777D">
        <w:rPr>
          <w:rFonts w:cs="Arial" w:hint="cs"/>
          <w:rtl/>
        </w:rPr>
        <w:t>דעת</w:t>
      </w:r>
      <w:r w:rsidRPr="0090777D">
        <w:rPr>
          <w:rFonts w:cs="Arial"/>
          <w:rtl/>
        </w:rPr>
        <w:t xml:space="preserve"> </w:t>
      </w:r>
      <w:r w:rsidRPr="0090777D">
        <w:rPr>
          <w:rFonts w:cs="Arial" w:hint="cs"/>
          <w:rtl/>
        </w:rPr>
        <w:t>הפוסקים</w:t>
      </w:r>
      <w:r w:rsidRPr="0090777D">
        <w:rPr>
          <w:rFonts w:cs="Arial"/>
          <w:rtl/>
        </w:rPr>
        <w:t xml:space="preserve"> </w:t>
      </w:r>
      <w:r w:rsidRPr="0090777D">
        <w:rPr>
          <w:rFonts w:cs="Arial" w:hint="cs"/>
          <w:rtl/>
        </w:rPr>
        <w:t>שאין</w:t>
      </w:r>
      <w:r w:rsidRPr="0090777D">
        <w:rPr>
          <w:rFonts w:cs="Arial"/>
          <w:rtl/>
        </w:rPr>
        <w:t xml:space="preserve"> </w:t>
      </w:r>
      <w:r w:rsidRPr="0090777D">
        <w:rPr>
          <w:rFonts w:cs="Arial" w:hint="cs"/>
          <w:rtl/>
        </w:rPr>
        <w:t>צריך</w:t>
      </w:r>
      <w:r w:rsidRPr="0090777D">
        <w:rPr>
          <w:rFonts w:cs="Arial"/>
          <w:rtl/>
        </w:rPr>
        <w:t xml:space="preserve"> </w:t>
      </w:r>
      <w:r w:rsidRPr="0090777D">
        <w:rPr>
          <w:rFonts w:cs="Arial" w:hint="cs"/>
          <w:rtl/>
        </w:rPr>
        <w:t>לכתוב</w:t>
      </w:r>
      <w:r w:rsidRPr="0090777D">
        <w:rPr>
          <w:rFonts w:cs="Arial"/>
          <w:rtl/>
        </w:rPr>
        <w:t xml:space="preserve"> </w:t>
      </w:r>
      <w:r w:rsidRPr="0090777D">
        <w:rPr>
          <w:rFonts w:cs="Arial" w:hint="cs"/>
          <w:rtl/>
        </w:rPr>
        <w:t>רק</w:t>
      </w:r>
      <w:r w:rsidRPr="0090777D">
        <w:rPr>
          <w:rFonts w:cs="Arial"/>
          <w:rtl/>
        </w:rPr>
        <w:t xml:space="preserve"> </w:t>
      </w:r>
      <w:r w:rsidRPr="0090777D">
        <w:rPr>
          <w:rFonts w:cs="Arial" w:hint="cs"/>
          <w:rtl/>
        </w:rPr>
        <w:t>עיקר</w:t>
      </w:r>
      <w:r w:rsidRPr="0090777D">
        <w:rPr>
          <w:rFonts w:cs="Arial"/>
          <w:rtl/>
        </w:rPr>
        <w:t xml:space="preserve"> </w:t>
      </w:r>
      <w:r w:rsidRPr="0090777D">
        <w:rPr>
          <w:rFonts w:cs="Arial" w:hint="cs"/>
          <w:rtl/>
        </w:rPr>
        <w:t>מקום</w:t>
      </w:r>
      <w:r w:rsidRPr="0090777D">
        <w:rPr>
          <w:rFonts w:cs="Arial"/>
          <w:rtl/>
        </w:rPr>
        <w:t xml:space="preserve"> </w:t>
      </w:r>
      <w:r w:rsidRPr="0090777D">
        <w:rPr>
          <w:rFonts w:cs="Arial" w:hint="cs"/>
          <w:rtl/>
        </w:rPr>
        <w:t>דירתו</w:t>
      </w:r>
      <w:r>
        <w:rPr>
          <w:rFonts w:cs="Arial" w:hint="cs"/>
          <w:rtl/>
        </w:rPr>
        <w:t>.</w:t>
      </w:r>
    </w:p>
  </w:footnote>
  <w:footnote w:id="973">
    <w:p w14:paraId="1E3D793F" w14:textId="77777777" w:rsidR="00FA2119" w:rsidRDefault="00FA2119" w:rsidP="00FA2119">
      <w:pPr>
        <w:pStyle w:val="a5"/>
        <w:rPr>
          <w:rtl/>
        </w:rPr>
      </w:pPr>
      <w:r>
        <w:rPr>
          <w:rStyle w:val="a7"/>
        </w:rPr>
        <w:footnoteRef/>
      </w:r>
      <w:r>
        <w:rPr>
          <w:rtl/>
        </w:rPr>
        <w:t xml:space="preserve"> </w:t>
      </w:r>
      <w:r w:rsidRPr="001B30C3">
        <w:rPr>
          <w:rFonts w:cs="Arial" w:hint="cs"/>
          <w:rtl/>
        </w:rPr>
        <w:t>אבל</w:t>
      </w:r>
      <w:r w:rsidRPr="001B30C3">
        <w:rPr>
          <w:rFonts w:cs="Arial"/>
          <w:rtl/>
        </w:rPr>
        <w:t xml:space="preserve"> </w:t>
      </w:r>
      <w:r w:rsidRPr="001B30C3">
        <w:rPr>
          <w:rFonts w:cs="Arial" w:hint="cs"/>
          <w:rtl/>
        </w:rPr>
        <w:t>בספר</w:t>
      </w:r>
      <w:r w:rsidRPr="001B30C3">
        <w:rPr>
          <w:rFonts w:cs="Arial"/>
          <w:rtl/>
        </w:rPr>
        <w:t xml:space="preserve"> </w:t>
      </w:r>
      <w:r w:rsidRPr="001B30C3">
        <w:rPr>
          <w:rFonts w:cs="Arial" w:hint="cs"/>
          <w:rtl/>
        </w:rPr>
        <w:t>התרומה</w:t>
      </w:r>
      <w:r w:rsidRPr="001B30C3">
        <w:rPr>
          <w:rFonts w:cs="Arial"/>
          <w:rtl/>
        </w:rPr>
        <w:t xml:space="preserve"> (</w:t>
      </w:r>
      <w:r w:rsidRPr="001B30C3">
        <w:rPr>
          <w:rFonts w:cs="Arial" w:hint="cs"/>
          <w:rtl/>
        </w:rPr>
        <w:t>סי</w:t>
      </w:r>
      <w:r w:rsidRPr="001B30C3">
        <w:rPr>
          <w:rFonts w:cs="Arial"/>
          <w:rtl/>
        </w:rPr>
        <w:t xml:space="preserve">' </w:t>
      </w:r>
      <w:r w:rsidRPr="001B30C3">
        <w:rPr>
          <w:rFonts w:cs="Arial" w:hint="cs"/>
          <w:rtl/>
        </w:rPr>
        <w:t>קכט</w:t>
      </w:r>
      <w:r w:rsidRPr="001B30C3">
        <w:rPr>
          <w:rFonts w:cs="Arial"/>
          <w:rtl/>
        </w:rPr>
        <w:t xml:space="preserve">) </w:t>
      </w:r>
      <w:r w:rsidRPr="001B30C3">
        <w:rPr>
          <w:rFonts w:cs="Arial" w:hint="cs"/>
          <w:rtl/>
        </w:rPr>
        <w:t>נראה</w:t>
      </w:r>
      <w:r w:rsidRPr="001B30C3">
        <w:rPr>
          <w:rFonts w:cs="Arial"/>
          <w:rtl/>
        </w:rPr>
        <w:t xml:space="preserve"> </w:t>
      </w:r>
      <w:r w:rsidRPr="001B30C3">
        <w:rPr>
          <w:rFonts w:cs="Arial" w:hint="cs"/>
          <w:rtl/>
        </w:rPr>
        <w:t>דספוקי</w:t>
      </w:r>
      <w:r w:rsidRPr="001B30C3">
        <w:rPr>
          <w:rFonts w:cs="Arial"/>
          <w:rtl/>
        </w:rPr>
        <w:t xml:space="preserve"> </w:t>
      </w:r>
      <w:r w:rsidRPr="001B30C3">
        <w:rPr>
          <w:rFonts w:cs="Arial" w:hint="cs"/>
          <w:rtl/>
        </w:rPr>
        <w:t>מספקא</w:t>
      </w:r>
      <w:r w:rsidRPr="001B30C3">
        <w:rPr>
          <w:rFonts w:cs="Arial"/>
          <w:rtl/>
        </w:rPr>
        <w:t xml:space="preserve"> </w:t>
      </w:r>
      <w:r w:rsidRPr="001B30C3">
        <w:rPr>
          <w:rFonts w:cs="Arial" w:hint="cs"/>
          <w:rtl/>
        </w:rPr>
        <w:t>ליה</w:t>
      </w:r>
      <w:r>
        <w:rPr>
          <w:rFonts w:cs="Arial" w:hint="cs"/>
          <w:rtl/>
        </w:rPr>
        <w:t>.</w:t>
      </w:r>
      <w:r w:rsidRPr="001B30C3">
        <w:rPr>
          <w:rFonts w:cs="Arial"/>
          <w:rtl/>
        </w:rPr>
        <w:t xml:space="preserve"> </w:t>
      </w:r>
      <w:r w:rsidRPr="001B30C3">
        <w:rPr>
          <w:rFonts w:cs="Arial" w:hint="cs"/>
          <w:rtl/>
        </w:rPr>
        <w:t>ואפשר</w:t>
      </w:r>
      <w:r w:rsidRPr="001B30C3">
        <w:rPr>
          <w:rFonts w:cs="Arial"/>
          <w:rtl/>
        </w:rPr>
        <w:t xml:space="preserve"> </w:t>
      </w:r>
      <w:r w:rsidRPr="001B30C3">
        <w:rPr>
          <w:rFonts w:cs="Arial" w:hint="cs"/>
          <w:rtl/>
        </w:rPr>
        <w:t>שאע</w:t>
      </w:r>
      <w:r w:rsidRPr="001B30C3">
        <w:rPr>
          <w:rFonts w:cs="Arial"/>
          <w:rtl/>
        </w:rPr>
        <w:t>"</w:t>
      </w:r>
      <w:r w:rsidRPr="001B30C3">
        <w:rPr>
          <w:rFonts w:cs="Arial" w:hint="cs"/>
          <w:rtl/>
        </w:rPr>
        <w:t>פ</w:t>
      </w:r>
      <w:r w:rsidRPr="001B30C3">
        <w:rPr>
          <w:rFonts w:cs="Arial"/>
          <w:rtl/>
        </w:rPr>
        <w:t xml:space="preserve"> </w:t>
      </w:r>
      <w:r w:rsidRPr="001B30C3">
        <w:rPr>
          <w:rFonts w:cs="Arial" w:hint="cs"/>
          <w:rtl/>
        </w:rPr>
        <w:t>שיפסוק</w:t>
      </w:r>
      <w:r w:rsidRPr="001B30C3">
        <w:rPr>
          <w:rFonts w:cs="Arial"/>
          <w:rtl/>
        </w:rPr>
        <w:t xml:space="preserve"> </w:t>
      </w:r>
      <w:r w:rsidRPr="001B30C3">
        <w:rPr>
          <w:rFonts w:cs="Arial" w:hint="cs"/>
          <w:rtl/>
        </w:rPr>
        <w:t>בשינה</w:t>
      </w:r>
      <w:r w:rsidRPr="001B30C3">
        <w:rPr>
          <w:rFonts w:cs="Arial"/>
          <w:rtl/>
        </w:rPr>
        <w:t xml:space="preserve"> </w:t>
      </w:r>
      <w:r w:rsidRPr="001B30C3">
        <w:rPr>
          <w:rFonts w:cs="Arial" w:hint="cs"/>
          <w:rtl/>
        </w:rPr>
        <w:t>מקום</w:t>
      </w:r>
      <w:r w:rsidRPr="001B30C3">
        <w:rPr>
          <w:rFonts w:cs="Arial"/>
          <w:rtl/>
        </w:rPr>
        <w:t xml:space="preserve"> </w:t>
      </w:r>
      <w:r w:rsidRPr="001B30C3">
        <w:rPr>
          <w:rFonts w:cs="Arial" w:hint="cs"/>
          <w:rtl/>
        </w:rPr>
        <w:t>הלידה</w:t>
      </w:r>
      <w:r w:rsidRPr="001B30C3">
        <w:rPr>
          <w:rFonts w:cs="Arial"/>
          <w:rtl/>
        </w:rPr>
        <w:t xml:space="preserve"> </w:t>
      </w:r>
      <w:r w:rsidRPr="001B30C3">
        <w:rPr>
          <w:rFonts w:cs="Arial" w:hint="cs"/>
          <w:rtl/>
        </w:rPr>
        <w:t>להכשיר</w:t>
      </w:r>
      <w:r w:rsidRPr="001B30C3">
        <w:rPr>
          <w:rFonts w:cs="Arial"/>
          <w:rtl/>
        </w:rPr>
        <w:t xml:space="preserve"> </w:t>
      </w:r>
      <w:r w:rsidRPr="001B30C3">
        <w:rPr>
          <w:rFonts w:cs="Arial" w:hint="cs"/>
          <w:rtl/>
        </w:rPr>
        <w:t>כדברי</w:t>
      </w:r>
      <w:r w:rsidRPr="001B30C3">
        <w:rPr>
          <w:rFonts w:cs="Arial"/>
          <w:rtl/>
        </w:rPr>
        <w:t xml:space="preserve"> </w:t>
      </w:r>
      <w:r w:rsidRPr="001B30C3">
        <w:rPr>
          <w:rFonts w:cs="Arial" w:hint="cs"/>
          <w:rtl/>
        </w:rPr>
        <w:t>התוספות</w:t>
      </w:r>
      <w:r>
        <w:rPr>
          <w:rFonts w:cs="Arial" w:hint="cs"/>
          <w:rtl/>
        </w:rPr>
        <w:t>,</w:t>
      </w:r>
      <w:r w:rsidRPr="001B30C3">
        <w:rPr>
          <w:rFonts w:cs="Arial"/>
          <w:rtl/>
        </w:rPr>
        <w:t xml:space="preserve"> </w:t>
      </w:r>
      <w:r w:rsidRPr="001B30C3">
        <w:rPr>
          <w:rFonts w:cs="Arial" w:hint="cs"/>
          <w:rtl/>
        </w:rPr>
        <w:t>מספקא</w:t>
      </w:r>
      <w:r w:rsidRPr="001B30C3">
        <w:rPr>
          <w:rFonts w:cs="Arial"/>
          <w:rtl/>
        </w:rPr>
        <w:t xml:space="preserve"> </w:t>
      </w:r>
      <w:r w:rsidRPr="001B30C3">
        <w:rPr>
          <w:rFonts w:cs="Arial" w:hint="cs"/>
          <w:rtl/>
        </w:rPr>
        <w:t>ליה</w:t>
      </w:r>
      <w:r w:rsidRPr="001B30C3">
        <w:rPr>
          <w:rFonts w:cs="Arial"/>
          <w:rtl/>
        </w:rPr>
        <w:t xml:space="preserve"> </w:t>
      </w:r>
      <w:r w:rsidRPr="001B30C3">
        <w:rPr>
          <w:rFonts w:cs="Arial" w:hint="cs"/>
          <w:rtl/>
        </w:rPr>
        <w:t>בשינה</w:t>
      </w:r>
      <w:r w:rsidRPr="001B30C3">
        <w:rPr>
          <w:rFonts w:cs="Arial"/>
          <w:rtl/>
        </w:rPr>
        <w:t xml:space="preserve"> </w:t>
      </w:r>
      <w:r w:rsidRPr="001B30C3">
        <w:rPr>
          <w:rFonts w:cs="Arial" w:hint="cs"/>
          <w:rtl/>
        </w:rPr>
        <w:t>מקום</w:t>
      </w:r>
      <w:r w:rsidRPr="001B30C3">
        <w:rPr>
          <w:rFonts w:cs="Arial"/>
          <w:rtl/>
        </w:rPr>
        <w:t xml:space="preserve"> </w:t>
      </w:r>
      <w:r w:rsidRPr="001B30C3">
        <w:rPr>
          <w:rFonts w:cs="Arial" w:hint="cs"/>
          <w:rtl/>
        </w:rPr>
        <w:t>העמידה</w:t>
      </w:r>
      <w:r w:rsidRPr="001B30C3">
        <w:rPr>
          <w:rFonts w:cs="Arial"/>
          <w:rtl/>
        </w:rPr>
        <w:t xml:space="preserve"> </w:t>
      </w:r>
      <w:r w:rsidRPr="001B30C3">
        <w:rPr>
          <w:rFonts w:cs="Arial" w:hint="cs"/>
          <w:rtl/>
        </w:rPr>
        <w:t>משום</w:t>
      </w:r>
      <w:r w:rsidRPr="001B30C3">
        <w:rPr>
          <w:rFonts w:cs="Arial"/>
          <w:rtl/>
        </w:rPr>
        <w:t xml:space="preserve"> </w:t>
      </w:r>
      <w:r w:rsidRPr="001B30C3">
        <w:rPr>
          <w:rFonts w:cs="Arial" w:hint="cs"/>
          <w:rtl/>
        </w:rPr>
        <w:t>דלא</w:t>
      </w:r>
      <w:r w:rsidRPr="001B30C3">
        <w:rPr>
          <w:rFonts w:cs="Arial"/>
          <w:rtl/>
        </w:rPr>
        <w:t xml:space="preserve"> </w:t>
      </w:r>
      <w:r w:rsidRPr="001B30C3">
        <w:rPr>
          <w:rFonts w:cs="Arial" w:hint="cs"/>
          <w:rtl/>
        </w:rPr>
        <w:t>דמי</w:t>
      </w:r>
      <w:r w:rsidRPr="001B30C3">
        <w:rPr>
          <w:rFonts w:cs="Arial"/>
          <w:rtl/>
        </w:rPr>
        <w:t xml:space="preserve"> </w:t>
      </w:r>
      <w:r w:rsidRPr="001B30C3">
        <w:rPr>
          <w:rFonts w:cs="Arial" w:hint="cs"/>
          <w:rtl/>
        </w:rPr>
        <w:t>למקום</w:t>
      </w:r>
      <w:r w:rsidRPr="001B30C3">
        <w:rPr>
          <w:rFonts w:cs="Arial"/>
          <w:rtl/>
        </w:rPr>
        <w:t xml:space="preserve"> </w:t>
      </w:r>
      <w:r w:rsidRPr="001B30C3">
        <w:rPr>
          <w:rFonts w:cs="Arial" w:hint="cs"/>
          <w:rtl/>
        </w:rPr>
        <w:t>לידה</w:t>
      </w:r>
      <w:r>
        <w:rPr>
          <w:rFonts w:cs="Arial" w:hint="cs"/>
          <w:rtl/>
        </w:rPr>
        <w:t>,</w:t>
      </w:r>
      <w:r w:rsidRPr="001B30C3">
        <w:rPr>
          <w:rFonts w:cs="Arial"/>
          <w:rtl/>
        </w:rPr>
        <w:t xml:space="preserve"> </w:t>
      </w:r>
      <w:r w:rsidRPr="001B30C3">
        <w:rPr>
          <w:rFonts w:cs="Arial" w:hint="cs"/>
          <w:rtl/>
        </w:rPr>
        <w:t>דשינוי</w:t>
      </w:r>
      <w:r w:rsidRPr="001B30C3">
        <w:rPr>
          <w:rFonts w:cs="Arial"/>
          <w:rtl/>
        </w:rPr>
        <w:t xml:space="preserve"> </w:t>
      </w:r>
      <w:r w:rsidRPr="001B30C3">
        <w:rPr>
          <w:rFonts w:cs="Arial" w:hint="cs"/>
          <w:rtl/>
        </w:rPr>
        <w:t>מקום</w:t>
      </w:r>
      <w:r w:rsidRPr="001B30C3">
        <w:rPr>
          <w:rFonts w:cs="Arial"/>
          <w:rtl/>
        </w:rPr>
        <w:t xml:space="preserve"> </w:t>
      </w:r>
      <w:r w:rsidRPr="001B30C3">
        <w:rPr>
          <w:rFonts w:cs="Arial" w:hint="cs"/>
          <w:rtl/>
        </w:rPr>
        <w:t>העמידה</w:t>
      </w:r>
      <w:r w:rsidRPr="001B30C3">
        <w:rPr>
          <w:rFonts w:cs="Arial"/>
          <w:rtl/>
        </w:rPr>
        <w:t xml:space="preserve"> </w:t>
      </w:r>
      <w:r w:rsidRPr="001B30C3">
        <w:rPr>
          <w:rFonts w:cs="Arial" w:hint="cs"/>
          <w:rtl/>
        </w:rPr>
        <w:t>הוא</w:t>
      </w:r>
      <w:r w:rsidRPr="001B30C3">
        <w:rPr>
          <w:rFonts w:cs="Arial"/>
          <w:rtl/>
        </w:rPr>
        <w:t xml:space="preserve"> </w:t>
      </w:r>
      <w:r w:rsidRPr="001B30C3">
        <w:rPr>
          <w:rFonts w:cs="Arial" w:hint="cs"/>
          <w:rtl/>
        </w:rPr>
        <w:t>ניכר</w:t>
      </w:r>
      <w:r w:rsidRPr="001B30C3">
        <w:rPr>
          <w:rFonts w:cs="Arial"/>
          <w:rtl/>
        </w:rPr>
        <w:t xml:space="preserve"> </w:t>
      </w:r>
      <w:r w:rsidRPr="001B30C3">
        <w:rPr>
          <w:rFonts w:cs="Arial" w:hint="cs"/>
          <w:rtl/>
        </w:rPr>
        <w:t>יותר</w:t>
      </w:r>
      <w:r w:rsidRPr="001B30C3">
        <w:rPr>
          <w:rFonts w:cs="Arial"/>
          <w:rtl/>
        </w:rPr>
        <w:t xml:space="preserve"> </w:t>
      </w:r>
      <w:r w:rsidRPr="001B30C3">
        <w:rPr>
          <w:rFonts w:cs="Arial" w:hint="cs"/>
          <w:rtl/>
        </w:rPr>
        <w:t>משינוי</w:t>
      </w:r>
      <w:r w:rsidRPr="001B30C3">
        <w:rPr>
          <w:rFonts w:cs="Arial"/>
          <w:rtl/>
        </w:rPr>
        <w:t xml:space="preserve"> </w:t>
      </w:r>
      <w:r w:rsidRPr="001B30C3">
        <w:rPr>
          <w:rFonts w:cs="Arial" w:hint="cs"/>
          <w:rtl/>
        </w:rPr>
        <w:t>מקום</w:t>
      </w:r>
      <w:r w:rsidRPr="001B30C3">
        <w:rPr>
          <w:rFonts w:cs="Arial"/>
          <w:rtl/>
        </w:rPr>
        <w:t xml:space="preserve"> </w:t>
      </w:r>
      <w:r w:rsidRPr="001B30C3">
        <w:rPr>
          <w:rFonts w:cs="Arial" w:hint="cs"/>
          <w:rtl/>
        </w:rPr>
        <w:t>הלידה</w:t>
      </w:r>
      <w:r w:rsidRPr="001B30C3">
        <w:rPr>
          <w:rFonts w:cs="Arial"/>
          <w:rtl/>
        </w:rPr>
        <w:t xml:space="preserve">. </w:t>
      </w:r>
      <w:r w:rsidRPr="001B30C3">
        <w:rPr>
          <w:rFonts w:cs="Arial" w:hint="cs"/>
          <w:rtl/>
        </w:rPr>
        <w:t>וכתב</w:t>
      </w:r>
      <w:r w:rsidRPr="001B30C3">
        <w:rPr>
          <w:rFonts w:cs="Arial"/>
          <w:rtl/>
        </w:rPr>
        <w:t xml:space="preserve"> </w:t>
      </w:r>
      <w:r w:rsidRPr="001B30C3">
        <w:rPr>
          <w:rFonts w:cs="Arial" w:hint="cs"/>
          <w:rtl/>
        </w:rPr>
        <w:t>מהרי</w:t>
      </w:r>
      <w:r w:rsidRPr="001B30C3">
        <w:rPr>
          <w:rFonts w:cs="Arial"/>
          <w:rtl/>
        </w:rPr>
        <w:t>"</w:t>
      </w:r>
      <w:r w:rsidRPr="001B30C3">
        <w:rPr>
          <w:rFonts w:cs="Arial" w:hint="cs"/>
          <w:rtl/>
        </w:rPr>
        <w:t>ק</w:t>
      </w:r>
      <w:r w:rsidRPr="001B30C3">
        <w:rPr>
          <w:rFonts w:cs="Arial"/>
          <w:rtl/>
        </w:rPr>
        <w:t xml:space="preserve"> </w:t>
      </w:r>
      <w:r w:rsidRPr="00FD6125">
        <w:rPr>
          <w:rFonts w:cs="Arial" w:hint="cs"/>
          <w:sz w:val="16"/>
          <w:szCs w:val="16"/>
          <w:rtl/>
        </w:rPr>
        <w:t>(שורש</w:t>
      </w:r>
      <w:r w:rsidRPr="00FD6125">
        <w:rPr>
          <w:rFonts w:cs="Arial"/>
          <w:sz w:val="16"/>
          <w:szCs w:val="16"/>
          <w:rtl/>
        </w:rPr>
        <w:t xml:space="preserve"> </w:t>
      </w:r>
      <w:r w:rsidRPr="00FD6125">
        <w:rPr>
          <w:rFonts w:cs="Arial" w:hint="cs"/>
          <w:sz w:val="16"/>
          <w:szCs w:val="16"/>
          <w:rtl/>
        </w:rPr>
        <w:t>קו)</w:t>
      </w:r>
      <w:r w:rsidRPr="001B30C3">
        <w:rPr>
          <w:rFonts w:cs="Arial"/>
          <w:rtl/>
        </w:rPr>
        <w:t xml:space="preserve"> </w:t>
      </w:r>
      <w:r w:rsidRPr="001B30C3">
        <w:rPr>
          <w:rFonts w:cs="Arial" w:hint="cs"/>
          <w:rtl/>
        </w:rPr>
        <w:t>שבשינוי</w:t>
      </w:r>
      <w:r w:rsidRPr="001B30C3">
        <w:rPr>
          <w:rFonts w:cs="Arial"/>
          <w:rtl/>
        </w:rPr>
        <w:t xml:space="preserve"> </w:t>
      </w:r>
      <w:r w:rsidRPr="001B30C3">
        <w:rPr>
          <w:rFonts w:cs="Arial" w:hint="cs"/>
          <w:rtl/>
        </w:rPr>
        <w:t>יש</w:t>
      </w:r>
      <w:r w:rsidRPr="001B30C3">
        <w:rPr>
          <w:rFonts w:cs="Arial"/>
          <w:rtl/>
        </w:rPr>
        <w:t xml:space="preserve"> </w:t>
      </w:r>
      <w:r w:rsidRPr="001B30C3">
        <w:rPr>
          <w:rFonts w:cs="Arial" w:hint="cs"/>
          <w:rtl/>
        </w:rPr>
        <w:t>פוסלין</w:t>
      </w:r>
      <w:r w:rsidRPr="001B30C3">
        <w:rPr>
          <w:rFonts w:cs="Arial"/>
          <w:rtl/>
        </w:rPr>
        <w:t xml:space="preserve"> </w:t>
      </w:r>
      <w:r w:rsidRPr="001B30C3">
        <w:rPr>
          <w:rFonts w:cs="Arial" w:hint="cs"/>
          <w:rtl/>
        </w:rPr>
        <w:t>אפילו</w:t>
      </w:r>
      <w:r w:rsidRPr="001B30C3">
        <w:rPr>
          <w:rFonts w:cs="Arial"/>
          <w:rtl/>
        </w:rPr>
        <w:t xml:space="preserve"> </w:t>
      </w:r>
      <w:r w:rsidRPr="001B30C3">
        <w:rPr>
          <w:rFonts w:cs="Arial" w:hint="cs"/>
          <w:rtl/>
        </w:rPr>
        <w:t>בדבר</w:t>
      </w:r>
      <w:r w:rsidRPr="001B30C3">
        <w:rPr>
          <w:rFonts w:cs="Arial"/>
          <w:rtl/>
        </w:rPr>
        <w:t xml:space="preserve"> </w:t>
      </w:r>
      <w:r w:rsidRPr="001B30C3">
        <w:rPr>
          <w:rFonts w:cs="Arial" w:hint="cs"/>
          <w:rtl/>
        </w:rPr>
        <w:t>שאילו</w:t>
      </w:r>
      <w:r w:rsidRPr="001B30C3">
        <w:rPr>
          <w:rFonts w:cs="Arial"/>
          <w:rtl/>
        </w:rPr>
        <w:t xml:space="preserve"> </w:t>
      </w:r>
      <w:r w:rsidRPr="001B30C3">
        <w:rPr>
          <w:rFonts w:cs="Arial" w:hint="cs"/>
          <w:rtl/>
        </w:rPr>
        <w:t>חסרו</w:t>
      </w:r>
      <w:r w:rsidRPr="001B30C3">
        <w:rPr>
          <w:rFonts w:cs="Arial"/>
          <w:rtl/>
        </w:rPr>
        <w:t xml:space="preserve"> </w:t>
      </w:r>
      <w:r w:rsidRPr="001B30C3">
        <w:rPr>
          <w:rFonts w:cs="Arial" w:hint="cs"/>
          <w:rtl/>
        </w:rPr>
        <w:t>אינו</w:t>
      </w:r>
      <w:r w:rsidRPr="001B30C3">
        <w:rPr>
          <w:rFonts w:cs="Arial"/>
          <w:rtl/>
        </w:rPr>
        <w:t xml:space="preserve"> </w:t>
      </w:r>
      <w:r w:rsidRPr="001B30C3">
        <w:rPr>
          <w:rFonts w:cs="Arial" w:hint="cs"/>
          <w:rtl/>
        </w:rPr>
        <w:t>נפסל</w:t>
      </w:r>
      <w:r w:rsidRPr="001B30C3">
        <w:rPr>
          <w:rFonts w:cs="Arial"/>
          <w:rtl/>
        </w:rPr>
        <w:t xml:space="preserve"> </w:t>
      </w:r>
      <w:r w:rsidRPr="001B30C3">
        <w:rPr>
          <w:rFonts w:cs="Arial" w:hint="cs"/>
          <w:rtl/>
        </w:rPr>
        <w:t>בכך</w:t>
      </w:r>
      <w:r>
        <w:rPr>
          <w:rFonts w:cs="Arial" w:hint="cs"/>
          <w:rtl/>
        </w:rPr>
        <w:t>.</w:t>
      </w:r>
      <w:r w:rsidRPr="001B30C3">
        <w:rPr>
          <w:rFonts w:cs="Arial"/>
          <w:rtl/>
        </w:rPr>
        <w:t xml:space="preserve"> </w:t>
      </w:r>
      <w:r w:rsidRPr="001B30C3">
        <w:rPr>
          <w:rFonts w:cs="Arial" w:hint="cs"/>
          <w:rtl/>
        </w:rPr>
        <w:t>ונראה</w:t>
      </w:r>
      <w:r w:rsidRPr="001B30C3">
        <w:rPr>
          <w:rFonts w:cs="Arial"/>
          <w:rtl/>
        </w:rPr>
        <w:t xml:space="preserve"> </w:t>
      </w:r>
      <w:r w:rsidRPr="001B30C3">
        <w:rPr>
          <w:rFonts w:cs="Arial" w:hint="cs"/>
          <w:rtl/>
        </w:rPr>
        <w:t>לי</w:t>
      </w:r>
      <w:r w:rsidRPr="001B30C3">
        <w:rPr>
          <w:rFonts w:cs="Arial"/>
          <w:rtl/>
        </w:rPr>
        <w:t xml:space="preserve"> </w:t>
      </w:r>
      <w:r w:rsidRPr="001B30C3">
        <w:rPr>
          <w:rFonts w:cs="Arial" w:hint="cs"/>
          <w:rtl/>
        </w:rPr>
        <w:t>שעל</w:t>
      </w:r>
      <w:r w:rsidRPr="001B30C3">
        <w:rPr>
          <w:rFonts w:cs="Arial"/>
          <w:rtl/>
        </w:rPr>
        <w:t xml:space="preserve"> </w:t>
      </w:r>
      <w:r w:rsidRPr="001B30C3">
        <w:rPr>
          <w:rFonts w:cs="Arial" w:hint="cs"/>
          <w:rtl/>
        </w:rPr>
        <w:t>בעל</w:t>
      </w:r>
      <w:r w:rsidRPr="001B30C3">
        <w:rPr>
          <w:rFonts w:cs="Arial"/>
          <w:rtl/>
        </w:rPr>
        <w:t xml:space="preserve"> </w:t>
      </w:r>
      <w:r w:rsidRPr="001B30C3">
        <w:rPr>
          <w:rFonts w:cs="Arial" w:hint="cs"/>
          <w:rtl/>
        </w:rPr>
        <w:t>התרומה</w:t>
      </w:r>
      <w:r w:rsidRPr="001B30C3">
        <w:rPr>
          <w:rFonts w:cs="Arial"/>
          <w:rtl/>
        </w:rPr>
        <w:t xml:space="preserve"> </w:t>
      </w:r>
      <w:r w:rsidRPr="001B30C3">
        <w:rPr>
          <w:rFonts w:cs="Arial" w:hint="cs"/>
          <w:rtl/>
        </w:rPr>
        <w:t>נתכוין</w:t>
      </w:r>
      <w:r>
        <w:rPr>
          <w:rFonts w:cs="Arial" w:hint="cs"/>
          <w:rtl/>
        </w:rPr>
        <w:t xml:space="preserve">, </w:t>
      </w:r>
      <w:r w:rsidRPr="005C7C0D">
        <w:rPr>
          <w:rFonts w:cs="Arial" w:hint="cs"/>
          <w:b/>
          <w:bCs/>
          <w:rtl/>
        </w:rPr>
        <w:t>ב"י</w:t>
      </w:r>
      <w:r>
        <w:rPr>
          <w:rFonts w:cs="Arial" w:hint="cs"/>
          <w:rtl/>
        </w:rPr>
        <w:t xml:space="preserve">. </w:t>
      </w:r>
      <w:r w:rsidRPr="0090777D">
        <w:rPr>
          <w:rFonts w:cs="Arial" w:hint="cs"/>
          <w:rtl/>
        </w:rPr>
        <w:t>ואין</w:t>
      </w:r>
      <w:r w:rsidRPr="0090777D">
        <w:rPr>
          <w:rFonts w:cs="Arial"/>
          <w:rtl/>
        </w:rPr>
        <w:t xml:space="preserve"> </w:t>
      </w:r>
      <w:r w:rsidRPr="0090777D">
        <w:rPr>
          <w:rFonts w:cs="Arial" w:hint="cs"/>
          <w:rtl/>
        </w:rPr>
        <w:t>צורך</w:t>
      </w:r>
      <w:r w:rsidRPr="0090777D">
        <w:rPr>
          <w:rFonts w:cs="Arial"/>
          <w:rtl/>
        </w:rPr>
        <w:t xml:space="preserve"> </w:t>
      </w:r>
      <w:r w:rsidRPr="0090777D">
        <w:rPr>
          <w:rFonts w:cs="Arial" w:hint="cs"/>
          <w:rtl/>
        </w:rPr>
        <w:t>בדבריו</w:t>
      </w:r>
      <w:r w:rsidRPr="0090777D">
        <w:rPr>
          <w:rFonts w:cs="Arial"/>
          <w:rtl/>
        </w:rPr>
        <w:t xml:space="preserve"> </w:t>
      </w:r>
      <w:r w:rsidRPr="0090777D">
        <w:rPr>
          <w:rFonts w:cs="Arial" w:hint="cs"/>
          <w:rtl/>
        </w:rPr>
        <w:t>בזה</w:t>
      </w:r>
      <w:r w:rsidRPr="0090777D">
        <w:rPr>
          <w:rFonts w:cs="Arial"/>
          <w:rtl/>
        </w:rPr>
        <w:t xml:space="preserve"> </w:t>
      </w:r>
      <w:r w:rsidRPr="0090777D">
        <w:rPr>
          <w:rFonts w:cs="Arial" w:hint="cs"/>
          <w:rtl/>
        </w:rPr>
        <w:t>כי</w:t>
      </w:r>
      <w:r w:rsidRPr="0090777D">
        <w:rPr>
          <w:rFonts w:cs="Arial"/>
          <w:rtl/>
        </w:rPr>
        <w:t xml:space="preserve"> </w:t>
      </w:r>
      <w:r w:rsidRPr="0090777D">
        <w:rPr>
          <w:rFonts w:cs="Arial" w:hint="cs"/>
          <w:rtl/>
        </w:rPr>
        <w:t>כבר</w:t>
      </w:r>
      <w:r w:rsidRPr="0090777D">
        <w:rPr>
          <w:rFonts w:cs="Arial"/>
          <w:rtl/>
        </w:rPr>
        <w:t xml:space="preserve"> </w:t>
      </w:r>
      <w:r w:rsidRPr="0090777D">
        <w:rPr>
          <w:rFonts w:cs="Arial" w:hint="cs"/>
          <w:rtl/>
        </w:rPr>
        <w:t>נתבאר</w:t>
      </w:r>
      <w:r w:rsidRPr="0090777D">
        <w:rPr>
          <w:rFonts w:cs="Arial"/>
          <w:rtl/>
        </w:rPr>
        <w:t xml:space="preserve"> </w:t>
      </w:r>
      <w:r w:rsidRPr="0090777D">
        <w:rPr>
          <w:rFonts w:cs="Arial" w:hint="cs"/>
          <w:rtl/>
        </w:rPr>
        <w:t>דהראבי</w:t>
      </w:r>
      <w:r w:rsidRPr="0090777D">
        <w:rPr>
          <w:rFonts w:cs="Arial"/>
          <w:rtl/>
        </w:rPr>
        <w:t>"</w:t>
      </w:r>
      <w:r w:rsidRPr="0090777D">
        <w:rPr>
          <w:rFonts w:cs="Arial" w:hint="cs"/>
          <w:rtl/>
        </w:rPr>
        <w:t>ה</w:t>
      </w:r>
      <w:r w:rsidRPr="0090777D">
        <w:rPr>
          <w:rFonts w:cs="Arial"/>
          <w:rtl/>
        </w:rPr>
        <w:t xml:space="preserve"> </w:t>
      </w:r>
      <w:r w:rsidRPr="0090777D">
        <w:rPr>
          <w:rFonts w:cs="Arial" w:hint="cs"/>
          <w:rtl/>
        </w:rPr>
        <w:t>ורשב</w:t>
      </w:r>
      <w:r w:rsidRPr="0090777D">
        <w:rPr>
          <w:rFonts w:cs="Arial"/>
          <w:rtl/>
        </w:rPr>
        <w:t>"</w:t>
      </w:r>
      <w:r w:rsidRPr="0090777D">
        <w:rPr>
          <w:rFonts w:cs="Arial" w:hint="cs"/>
          <w:rtl/>
        </w:rPr>
        <w:t>א</w:t>
      </w:r>
      <w:r w:rsidRPr="0090777D">
        <w:rPr>
          <w:rFonts w:cs="Arial"/>
          <w:rtl/>
        </w:rPr>
        <w:t xml:space="preserve"> </w:t>
      </w:r>
      <w:r w:rsidRPr="0090777D">
        <w:rPr>
          <w:rFonts w:cs="Arial" w:hint="cs"/>
          <w:rtl/>
        </w:rPr>
        <w:t>פוסלין</w:t>
      </w:r>
      <w:r w:rsidRPr="0090777D">
        <w:rPr>
          <w:rFonts w:cs="Arial"/>
          <w:rtl/>
        </w:rPr>
        <w:t xml:space="preserve"> </w:t>
      </w:r>
      <w:r w:rsidRPr="0090777D">
        <w:rPr>
          <w:rFonts w:cs="Arial" w:hint="cs"/>
          <w:rtl/>
        </w:rPr>
        <w:t>בשינוי</w:t>
      </w:r>
      <w:r w:rsidRPr="0090777D">
        <w:rPr>
          <w:rFonts w:cs="Arial"/>
          <w:rtl/>
        </w:rPr>
        <w:t xml:space="preserve"> </w:t>
      </w:r>
      <w:r w:rsidRPr="0090777D">
        <w:rPr>
          <w:rFonts w:cs="Arial" w:hint="cs"/>
          <w:rtl/>
        </w:rPr>
        <w:t>מקום</w:t>
      </w:r>
      <w:r w:rsidRPr="0090777D">
        <w:rPr>
          <w:rFonts w:cs="Arial"/>
          <w:rtl/>
        </w:rPr>
        <w:t xml:space="preserve"> </w:t>
      </w:r>
      <w:r w:rsidRPr="0090777D">
        <w:rPr>
          <w:rFonts w:cs="Arial" w:hint="cs"/>
          <w:rtl/>
        </w:rPr>
        <w:t>הלידה</w:t>
      </w:r>
      <w:r w:rsidRPr="0090777D">
        <w:rPr>
          <w:rFonts w:cs="Arial"/>
          <w:rtl/>
        </w:rPr>
        <w:t xml:space="preserve"> </w:t>
      </w:r>
      <w:r w:rsidRPr="0090777D">
        <w:rPr>
          <w:rFonts w:cs="Arial" w:hint="cs"/>
          <w:rtl/>
        </w:rPr>
        <w:t>ועליהם</w:t>
      </w:r>
      <w:r w:rsidRPr="0090777D">
        <w:rPr>
          <w:rFonts w:cs="Arial"/>
          <w:rtl/>
        </w:rPr>
        <w:t xml:space="preserve"> </w:t>
      </w:r>
      <w:r w:rsidRPr="0090777D">
        <w:rPr>
          <w:rFonts w:cs="Arial" w:hint="cs"/>
          <w:rtl/>
        </w:rPr>
        <w:t>נתכוין</w:t>
      </w:r>
      <w:r w:rsidRPr="0090777D">
        <w:rPr>
          <w:rFonts w:cs="Arial"/>
          <w:rtl/>
        </w:rPr>
        <w:t xml:space="preserve"> </w:t>
      </w:r>
      <w:r w:rsidRPr="0090777D">
        <w:rPr>
          <w:rFonts w:cs="Arial" w:hint="cs"/>
          <w:rtl/>
        </w:rPr>
        <w:t>מהרי</w:t>
      </w:r>
      <w:r w:rsidRPr="0090777D">
        <w:rPr>
          <w:rFonts w:cs="Arial"/>
          <w:rtl/>
        </w:rPr>
        <w:t>"</w:t>
      </w:r>
      <w:r w:rsidRPr="0090777D">
        <w:rPr>
          <w:rFonts w:cs="Arial" w:hint="cs"/>
          <w:rtl/>
        </w:rPr>
        <w:t>ק</w:t>
      </w:r>
      <w:r w:rsidRPr="0090777D">
        <w:rPr>
          <w:rFonts w:cs="Arial"/>
          <w:rtl/>
        </w:rPr>
        <w:t xml:space="preserve">. </w:t>
      </w:r>
      <w:r w:rsidRPr="0090777D">
        <w:rPr>
          <w:rFonts w:cs="Arial" w:hint="cs"/>
          <w:rtl/>
        </w:rPr>
        <w:t>ועיין</w:t>
      </w:r>
      <w:r w:rsidRPr="0090777D">
        <w:rPr>
          <w:rFonts w:cs="Arial"/>
          <w:rtl/>
        </w:rPr>
        <w:t xml:space="preserve"> </w:t>
      </w:r>
      <w:r w:rsidRPr="0090777D">
        <w:rPr>
          <w:rFonts w:cs="Arial" w:hint="cs"/>
          <w:rtl/>
        </w:rPr>
        <w:t>לקמן</w:t>
      </w:r>
      <w:r w:rsidRPr="0090777D">
        <w:rPr>
          <w:rFonts w:cs="Arial"/>
          <w:rtl/>
        </w:rPr>
        <w:t xml:space="preserve"> </w:t>
      </w:r>
      <w:r w:rsidRPr="0090777D">
        <w:rPr>
          <w:rFonts w:cs="Arial" w:hint="cs"/>
          <w:rtl/>
        </w:rPr>
        <w:t>סוף</w:t>
      </w:r>
      <w:r w:rsidRPr="0090777D">
        <w:rPr>
          <w:rFonts w:cs="Arial"/>
          <w:rtl/>
        </w:rPr>
        <w:t xml:space="preserve"> </w:t>
      </w:r>
      <w:r w:rsidRPr="0090777D">
        <w:rPr>
          <w:rFonts w:cs="Arial" w:hint="cs"/>
          <w:rtl/>
        </w:rPr>
        <w:t>סימן</w:t>
      </w:r>
      <w:r w:rsidRPr="0090777D">
        <w:rPr>
          <w:rFonts w:cs="Arial"/>
          <w:rtl/>
        </w:rPr>
        <w:t xml:space="preserve"> </w:t>
      </w:r>
      <w:r w:rsidRPr="0090777D">
        <w:rPr>
          <w:rFonts w:cs="Arial" w:hint="cs"/>
          <w:rtl/>
        </w:rPr>
        <w:t>קכ</w:t>
      </w:r>
      <w:r w:rsidRPr="0090777D">
        <w:rPr>
          <w:rFonts w:cs="Arial"/>
          <w:rtl/>
        </w:rPr>
        <w:t>"</w:t>
      </w:r>
      <w:r w:rsidRPr="0090777D">
        <w:rPr>
          <w:rFonts w:cs="Arial" w:hint="cs"/>
          <w:rtl/>
        </w:rPr>
        <w:t>ט</w:t>
      </w:r>
      <w:r w:rsidRPr="0090777D">
        <w:rPr>
          <w:rFonts w:cs="Arial"/>
          <w:rtl/>
        </w:rPr>
        <w:t xml:space="preserve"> (</w:t>
      </w:r>
      <w:r w:rsidRPr="0090777D">
        <w:rPr>
          <w:rFonts w:cs="Arial" w:hint="cs"/>
          <w:rtl/>
        </w:rPr>
        <w:t>אות</w:t>
      </w:r>
      <w:r w:rsidRPr="0090777D">
        <w:rPr>
          <w:rFonts w:cs="Arial"/>
          <w:rtl/>
        </w:rPr>
        <w:t xml:space="preserve"> </w:t>
      </w:r>
      <w:r w:rsidRPr="0090777D">
        <w:rPr>
          <w:rFonts w:cs="Arial" w:hint="cs"/>
          <w:rtl/>
        </w:rPr>
        <w:t>כט</w:t>
      </w:r>
      <w:r w:rsidRPr="0090777D">
        <w:rPr>
          <w:rFonts w:cs="Arial"/>
          <w:rtl/>
        </w:rPr>
        <w:t xml:space="preserve">) </w:t>
      </w:r>
      <w:r w:rsidRPr="0090777D">
        <w:rPr>
          <w:rFonts w:cs="Arial" w:hint="cs"/>
          <w:rtl/>
        </w:rPr>
        <w:t>מדין</w:t>
      </w:r>
      <w:r w:rsidRPr="0090777D">
        <w:rPr>
          <w:rFonts w:cs="Arial"/>
          <w:rtl/>
        </w:rPr>
        <w:t xml:space="preserve"> </w:t>
      </w:r>
      <w:r w:rsidRPr="0090777D">
        <w:rPr>
          <w:rFonts w:cs="Arial" w:hint="cs"/>
          <w:rtl/>
        </w:rPr>
        <w:t>זה</w:t>
      </w:r>
      <w:r>
        <w:rPr>
          <w:rFonts w:cs="Arial" w:hint="cs"/>
          <w:rtl/>
        </w:rPr>
        <w:t xml:space="preserve">, </w:t>
      </w:r>
      <w:r w:rsidRPr="005C7C0D">
        <w:rPr>
          <w:rFonts w:cs="Arial" w:hint="cs"/>
          <w:b/>
          <w:bCs/>
          <w:rtl/>
        </w:rPr>
        <w:t>דרכ"מ</w:t>
      </w:r>
      <w:r>
        <w:rPr>
          <w:rFonts w:cs="Arial" w:hint="cs"/>
          <w:rtl/>
        </w:rPr>
        <w:t xml:space="preserve"> (אות א).</w:t>
      </w:r>
    </w:p>
  </w:footnote>
  <w:footnote w:id="974">
    <w:p w14:paraId="06F32F36" w14:textId="0BD234D8" w:rsidR="00AA1079" w:rsidRDefault="00AA1079" w:rsidP="00AA1079">
      <w:pPr>
        <w:pStyle w:val="a5"/>
        <w:rPr>
          <w:rtl/>
        </w:rPr>
      </w:pPr>
      <w:r>
        <w:rPr>
          <w:rStyle w:val="a7"/>
        </w:rPr>
        <w:footnoteRef/>
      </w:r>
      <w:r>
        <w:rPr>
          <w:rtl/>
        </w:rPr>
        <w:t xml:space="preserve"> </w:t>
      </w:r>
      <w:r>
        <w:rPr>
          <w:rFonts w:cs="Arial" w:hint="cs"/>
          <w:rtl/>
        </w:rPr>
        <w:t>וז"ל:</w:t>
      </w:r>
      <w:r w:rsidRPr="00743C99">
        <w:rPr>
          <w:rFonts w:cs="Arial" w:hint="cs"/>
          <w:sz w:val="16"/>
          <w:szCs w:val="16"/>
          <w:rtl/>
        </w:rPr>
        <w:t xml:space="preserve"> </w:t>
      </w:r>
      <w:r w:rsidRPr="00AA1079">
        <w:rPr>
          <w:rFonts w:cs="Arial"/>
          <w:rtl/>
        </w:rPr>
        <w:t>תשובת ריצב"א על גט שבא מארץ הגר</w:t>
      </w:r>
      <w:r>
        <w:rPr>
          <w:rFonts w:cs="Arial" w:hint="cs"/>
          <w:rtl/>
        </w:rPr>
        <w:t>...</w:t>
      </w:r>
      <w:r w:rsidRPr="00AA1079">
        <w:rPr>
          <w:rFonts w:cs="Arial"/>
          <w:rtl/>
        </w:rPr>
        <w:t xml:space="preserve"> </w:t>
      </w:r>
      <w:r w:rsidRPr="005E0F0B">
        <w:rPr>
          <w:rFonts w:cs="Arial" w:hint="cs"/>
          <w:rtl/>
        </w:rPr>
        <w:t>כי</w:t>
      </w:r>
      <w:r w:rsidRPr="005E0F0B">
        <w:rPr>
          <w:rFonts w:cs="Arial"/>
          <w:rtl/>
        </w:rPr>
        <w:t xml:space="preserve"> </w:t>
      </w:r>
      <w:r w:rsidRPr="005E0F0B">
        <w:rPr>
          <w:rFonts w:cs="Arial" w:hint="cs"/>
          <w:rtl/>
        </w:rPr>
        <w:t>אשר</w:t>
      </w:r>
      <w:r w:rsidRPr="005E0F0B">
        <w:rPr>
          <w:rFonts w:cs="Arial"/>
          <w:rtl/>
        </w:rPr>
        <w:t xml:space="preserve"> </w:t>
      </w:r>
      <w:r w:rsidRPr="005E0F0B">
        <w:rPr>
          <w:rFonts w:cs="Arial" w:hint="cs"/>
          <w:rtl/>
        </w:rPr>
        <w:t>נהגו</w:t>
      </w:r>
      <w:r w:rsidRPr="005E0F0B">
        <w:rPr>
          <w:rFonts w:cs="Arial"/>
          <w:rtl/>
        </w:rPr>
        <w:t xml:space="preserve"> </w:t>
      </w:r>
      <w:r w:rsidRPr="005E0F0B">
        <w:rPr>
          <w:rFonts w:cs="Arial" w:hint="cs"/>
          <w:rtl/>
        </w:rPr>
        <w:t>לכתוב</w:t>
      </w:r>
      <w:r w:rsidRPr="005E0F0B">
        <w:rPr>
          <w:rFonts w:cs="Arial"/>
          <w:rtl/>
        </w:rPr>
        <w:t xml:space="preserve"> </w:t>
      </w:r>
      <w:r w:rsidRPr="005E0F0B">
        <w:rPr>
          <w:rFonts w:cs="Arial" w:hint="cs"/>
          <w:rtl/>
        </w:rPr>
        <w:t>מגרש</w:t>
      </w:r>
      <w:r w:rsidRPr="005E0F0B">
        <w:rPr>
          <w:rFonts w:cs="Arial"/>
          <w:rtl/>
        </w:rPr>
        <w:t xml:space="preserve"> </w:t>
      </w:r>
      <w:r w:rsidRPr="005E0F0B">
        <w:rPr>
          <w:rFonts w:cs="Arial" w:hint="cs"/>
          <w:rtl/>
        </w:rPr>
        <w:t>אפילו</w:t>
      </w:r>
      <w:r w:rsidRPr="005E0F0B">
        <w:rPr>
          <w:rFonts w:cs="Arial"/>
          <w:rtl/>
        </w:rPr>
        <w:t xml:space="preserve"> </w:t>
      </w:r>
      <w:r w:rsidRPr="005E0F0B">
        <w:rPr>
          <w:rFonts w:cs="Arial" w:hint="cs"/>
          <w:rtl/>
        </w:rPr>
        <w:t>בעיירות</w:t>
      </w:r>
      <w:r w:rsidRPr="005E0F0B">
        <w:rPr>
          <w:rFonts w:cs="Arial"/>
          <w:rtl/>
        </w:rPr>
        <w:t xml:space="preserve"> </w:t>
      </w:r>
      <w:r w:rsidRPr="005E0F0B">
        <w:rPr>
          <w:rFonts w:cs="Arial" w:hint="cs"/>
          <w:rtl/>
        </w:rPr>
        <w:t>גדולות</w:t>
      </w:r>
      <w:r w:rsidRPr="005E0F0B">
        <w:rPr>
          <w:rFonts w:cs="Arial"/>
          <w:rtl/>
        </w:rPr>
        <w:t xml:space="preserve"> </w:t>
      </w:r>
      <w:r w:rsidRPr="005E0F0B">
        <w:rPr>
          <w:rFonts w:cs="Arial" w:hint="cs"/>
          <w:rtl/>
        </w:rPr>
        <w:t>כגון</w:t>
      </w:r>
      <w:r w:rsidRPr="005E0F0B">
        <w:rPr>
          <w:rFonts w:cs="Arial"/>
          <w:rtl/>
        </w:rPr>
        <w:t xml:space="preserve"> </w:t>
      </w:r>
      <w:r w:rsidRPr="005E0F0B">
        <w:rPr>
          <w:rFonts w:cs="Arial" w:hint="cs"/>
          <w:rtl/>
        </w:rPr>
        <w:t>טריו</w:t>
      </w:r>
      <w:r w:rsidRPr="005E0F0B">
        <w:rPr>
          <w:rFonts w:cs="Arial"/>
          <w:rtl/>
        </w:rPr>
        <w:t>"</w:t>
      </w:r>
      <w:r w:rsidRPr="005E0F0B">
        <w:rPr>
          <w:rFonts w:cs="Arial" w:hint="cs"/>
          <w:rtl/>
        </w:rPr>
        <w:t>ש</w:t>
      </w:r>
      <w:r w:rsidRPr="005E0F0B">
        <w:rPr>
          <w:rFonts w:cs="Arial"/>
          <w:rtl/>
        </w:rPr>
        <w:t xml:space="preserve"> </w:t>
      </w:r>
      <w:r w:rsidRPr="005E0F0B">
        <w:rPr>
          <w:rFonts w:cs="Arial" w:hint="cs"/>
          <w:rtl/>
        </w:rPr>
        <w:t>ואע</w:t>
      </w:r>
      <w:r>
        <w:rPr>
          <w:rFonts w:cs="Arial" w:hint="cs"/>
          <w:rtl/>
        </w:rPr>
        <w:t>"</w:t>
      </w:r>
      <w:r w:rsidRPr="005E0F0B">
        <w:rPr>
          <w:rFonts w:cs="Arial" w:hint="cs"/>
          <w:rtl/>
        </w:rPr>
        <w:t>פ</w:t>
      </w:r>
      <w:r w:rsidRPr="005E0F0B">
        <w:rPr>
          <w:rFonts w:cs="Arial"/>
          <w:rtl/>
        </w:rPr>
        <w:t xml:space="preserve"> </w:t>
      </w:r>
      <w:r w:rsidRPr="005E0F0B">
        <w:rPr>
          <w:rFonts w:cs="Arial" w:hint="cs"/>
          <w:rtl/>
        </w:rPr>
        <w:t>שלשון</w:t>
      </w:r>
      <w:r w:rsidRPr="005E0F0B">
        <w:rPr>
          <w:rFonts w:cs="Arial"/>
          <w:rtl/>
        </w:rPr>
        <w:t xml:space="preserve"> </w:t>
      </w:r>
      <w:r w:rsidRPr="005E0F0B">
        <w:rPr>
          <w:rFonts w:cs="Arial" w:hint="cs"/>
          <w:rtl/>
        </w:rPr>
        <w:t>מגרש</w:t>
      </w:r>
      <w:r w:rsidRPr="005E0F0B">
        <w:rPr>
          <w:rFonts w:cs="Arial"/>
          <w:rtl/>
        </w:rPr>
        <w:t xml:space="preserve"> </w:t>
      </w:r>
      <w:r w:rsidRPr="005E0F0B">
        <w:rPr>
          <w:rFonts w:cs="Arial" w:hint="cs"/>
          <w:rtl/>
        </w:rPr>
        <w:t>הוא</w:t>
      </w:r>
      <w:r w:rsidRPr="005E0F0B">
        <w:rPr>
          <w:rFonts w:cs="Arial"/>
          <w:rtl/>
        </w:rPr>
        <w:t xml:space="preserve"> </w:t>
      </w:r>
      <w:r w:rsidRPr="005E0F0B">
        <w:rPr>
          <w:rFonts w:cs="Arial" w:hint="cs"/>
          <w:rtl/>
        </w:rPr>
        <w:t>קרקע</w:t>
      </w:r>
      <w:r w:rsidRPr="005E0F0B">
        <w:rPr>
          <w:rFonts w:cs="Arial"/>
          <w:rtl/>
        </w:rPr>
        <w:t xml:space="preserve"> </w:t>
      </w:r>
      <w:r w:rsidRPr="005E0F0B">
        <w:rPr>
          <w:rFonts w:cs="Arial" w:hint="cs"/>
          <w:rtl/>
        </w:rPr>
        <w:t>שסביבות</w:t>
      </w:r>
      <w:r w:rsidRPr="005E0F0B">
        <w:rPr>
          <w:rFonts w:cs="Arial"/>
          <w:rtl/>
        </w:rPr>
        <w:t xml:space="preserve"> </w:t>
      </w:r>
      <w:r w:rsidRPr="005E0F0B">
        <w:rPr>
          <w:rFonts w:cs="Arial" w:hint="cs"/>
          <w:rtl/>
        </w:rPr>
        <w:t>העיר</w:t>
      </w:r>
      <w:r w:rsidRPr="005E0F0B">
        <w:rPr>
          <w:rFonts w:cs="Arial"/>
          <w:rtl/>
        </w:rPr>
        <w:t xml:space="preserve"> </w:t>
      </w:r>
      <w:r w:rsidRPr="005E0F0B">
        <w:rPr>
          <w:rFonts w:cs="Arial" w:hint="cs"/>
          <w:rtl/>
        </w:rPr>
        <w:t>כדכתיב</w:t>
      </w:r>
      <w:r w:rsidRPr="005E0F0B">
        <w:rPr>
          <w:rFonts w:cs="Arial"/>
          <w:rtl/>
        </w:rPr>
        <w:t xml:space="preserve"> </w:t>
      </w:r>
      <w:r w:rsidRPr="005E0F0B">
        <w:rPr>
          <w:rFonts w:cs="Arial" w:hint="cs"/>
          <w:rtl/>
        </w:rPr>
        <w:t>מגרשי</w:t>
      </w:r>
      <w:r w:rsidRPr="005E0F0B">
        <w:rPr>
          <w:rFonts w:cs="Arial"/>
          <w:rtl/>
        </w:rPr>
        <w:t xml:space="preserve"> </w:t>
      </w:r>
      <w:r w:rsidRPr="005E0F0B">
        <w:rPr>
          <w:rFonts w:cs="Arial" w:hint="cs"/>
          <w:rtl/>
        </w:rPr>
        <w:t>העיר</w:t>
      </w:r>
      <w:r w:rsidRPr="005E0F0B">
        <w:rPr>
          <w:rFonts w:cs="Arial"/>
          <w:rtl/>
        </w:rPr>
        <w:t xml:space="preserve"> </w:t>
      </w:r>
      <w:r w:rsidRPr="005E0F0B">
        <w:rPr>
          <w:rFonts w:cs="Arial" w:hint="cs"/>
          <w:rtl/>
        </w:rPr>
        <w:t>אשר</w:t>
      </w:r>
      <w:r w:rsidRPr="005E0F0B">
        <w:rPr>
          <w:rFonts w:cs="Arial"/>
          <w:rtl/>
        </w:rPr>
        <w:t xml:space="preserve"> </w:t>
      </w:r>
      <w:r w:rsidRPr="005E0F0B">
        <w:rPr>
          <w:rFonts w:cs="Arial" w:hint="cs"/>
          <w:rtl/>
        </w:rPr>
        <w:t>סביבותיה</w:t>
      </w:r>
      <w:r w:rsidRPr="005E0F0B">
        <w:rPr>
          <w:rFonts w:cs="Arial"/>
          <w:rtl/>
        </w:rPr>
        <w:t xml:space="preserve"> </w:t>
      </w:r>
      <w:r w:rsidRPr="005E0F0B">
        <w:rPr>
          <w:rFonts w:cs="Arial" w:hint="cs"/>
          <w:rtl/>
        </w:rPr>
        <w:t>וכדאמר</w:t>
      </w:r>
      <w:r w:rsidRPr="005E0F0B">
        <w:rPr>
          <w:rFonts w:cs="Arial"/>
          <w:rtl/>
        </w:rPr>
        <w:t xml:space="preserve"> </w:t>
      </w:r>
      <w:r w:rsidRPr="00743C99">
        <w:rPr>
          <w:rFonts w:cs="Arial"/>
          <w:sz w:val="16"/>
          <w:szCs w:val="16"/>
          <w:rtl/>
        </w:rPr>
        <w:t>(</w:t>
      </w:r>
      <w:r w:rsidRPr="00743C99">
        <w:rPr>
          <w:rFonts w:cs="Arial" w:hint="cs"/>
          <w:sz w:val="16"/>
          <w:szCs w:val="16"/>
          <w:rtl/>
        </w:rPr>
        <w:t>סוטה</w:t>
      </w:r>
      <w:r w:rsidRPr="00743C99">
        <w:rPr>
          <w:rFonts w:cs="Arial"/>
          <w:sz w:val="16"/>
          <w:szCs w:val="16"/>
          <w:rtl/>
        </w:rPr>
        <w:t xml:space="preserve"> </w:t>
      </w:r>
      <w:r w:rsidRPr="00743C99">
        <w:rPr>
          <w:rFonts w:cs="Arial" w:hint="cs"/>
          <w:sz w:val="16"/>
          <w:szCs w:val="16"/>
          <w:rtl/>
        </w:rPr>
        <w:t>כז</w:t>
      </w:r>
      <w:r w:rsidRPr="00743C99">
        <w:rPr>
          <w:rFonts w:cs="Arial"/>
          <w:sz w:val="16"/>
          <w:szCs w:val="16"/>
          <w:rtl/>
        </w:rPr>
        <w:t xml:space="preserve">:) </w:t>
      </w:r>
      <w:r w:rsidRPr="005E0F0B">
        <w:rPr>
          <w:rFonts w:cs="Arial" w:hint="cs"/>
          <w:rtl/>
        </w:rPr>
        <w:t>אלף</w:t>
      </w:r>
      <w:r w:rsidRPr="005E0F0B">
        <w:rPr>
          <w:rFonts w:cs="Arial"/>
          <w:rtl/>
        </w:rPr>
        <w:t xml:space="preserve"> </w:t>
      </w:r>
      <w:r w:rsidRPr="005E0F0B">
        <w:rPr>
          <w:rFonts w:cs="Arial" w:hint="cs"/>
          <w:rtl/>
        </w:rPr>
        <w:t>אמה</w:t>
      </w:r>
      <w:r w:rsidRPr="005E0F0B">
        <w:rPr>
          <w:rFonts w:cs="Arial"/>
          <w:rtl/>
        </w:rPr>
        <w:t xml:space="preserve"> </w:t>
      </w:r>
      <w:r w:rsidRPr="005E0F0B">
        <w:rPr>
          <w:rFonts w:cs="Arial" w:hint="cs"/>
          <w:rtl/>
        </w:rPr>
        <w:t>מגרש</w:t>
      </w:r>
      <w:r>
        <w:rPr>
          <w:rFonts w:cs="Arial" w:hint="cs"/>
          <w:rtl/>
        </w:rPr>
        <w:t>,</w:t>
      </w:r>
      <w:r w:rsidRPr="005E0F0B">
        <w:rPr>
          <w:rFonts w:cs="Arial"/>
          <w:rtl/>
        </w:rPr>
        <w:t xml:space="preserve"> </w:t>
      </w:r>
      <w:r w:rsidRPr="005E0F0B">
        <w:rPr>
          <w:rFonts w:cs="Arial" w:hint="cs"/>
          <w:rtl/>
        </w:rPr>
        <w:t>ממה</w:t>
      </w:r>
      <w:r w:rsidRPr="005E0F0B">
        <w:rPr>
          <w:rFonts w:cs="Arial"/>
          <w:rtl/>
        </w:rPr>
        <w:t xml:space="preserve"> </w:t>
      </w:r>
      <w:r w:rsidRPr="005E0F0B">
        <w:rPr>
          <w:rFonts w:cs="Arial" w:hint="cs"/>
          <w:rtl/>
        </w:rPr>
        <w:t>שנהגו</w:t>
      </w:r>
      <w:r w:rsidRPr="005E0F0B">
        <w:rPr>
          <w:rFonts w:cs="Arial"/>
          <w:rtl/>
        </w:rPr>
        <w:t xml:space="preserve"> </w:t>
      </w:r>
      <w:r w:rsidRPr="005E0F0B">
        <w:rPr>
          <w:rFonts w:cs="Arial" w:hint="cs"/>
          <w:rtl/>
        </w:rPr>
        <w:t>כך</w:t>
      </w:r>
      <w:r w:rsidRPr="005E0F0B">
        <w:rPr>
          <w:rFonts w:cs="Arial"/>
          <w:rtl/>
        </w:rPr>
        <w:t xml:space="preserve"> </w:t>
      </w:r>
      <w:r w:rsidRPr="005E0F0B">
        <w:rPr>
          <w:rFonts w:cs="Arial" w:hint="cs"/>
          <w:rtl/>
        </w:rPr>
        <w:t>אני</w:t>
      </w:r>
      <w:r w:rsidRPr="005E0F0B">
        <w:rPr>
          <w:rFonts w:cs="Arial"/>
          <w:rtl/>
        </w:rPr>
        <w:t xml:space="preserve"> </w:t>
      </w:r>
      <w:r w:rsidRPr="005E0F0B">
        <w:rPr>
          <w:rFonts w:cs="Arial" w:hint="cs"/>
          <w:rtl/>
        </w:rPr>
        <w:t>אומר</w:t>
      </w:r>
      <w:r w:rsidRPr="005E0F0B">
        <w:rPr>
          <w:rFonts w:cs="Arial"/>
          <w:rtl/>
        </w:rPr>
        <w:t xml:space="preserve"> </w:t>
      </w:r>
      <w:r w:rsidRPr="005E0F0B">
        <w:rPr>
          <w:rFonts w:cs="Arial" w:hint="cs"/>
          <w:rtl/>
        </w:rPr>
        <w:t>שכך</w:t>
      </w:r>
      <w:r w:rsidRPr="005E0F0B">
        <w:rPr>
          <w:rFonts w:cs="Arial"/>
          <w:rtl/>
        </w:rPr>
        <w:t xml:space="preserve"> </w:t>
      </w:r>
      <w:r w:rsidRPr="005E0F0B">
        <w:rPr>
          <w:rFonts w:cs="Arial" w:hint="cs"/>
          <w:rtl/>
        </w:rPr>
        <w:t>ר</w:t>
      </w:r>
      <w:r w:rsidRPr="005E0F0B">
        <w:rPr>
          <w:rFonts w:cs="Arial"/>
          <w:rtl/>
        </w:rPr>
        <w:t>"</w:t>
      </w:r>
      <w:r w:rsidRPr="005E0F0B">
        <w:rPr>
          <w:rFonts w:cs="Arial" w:hint="cs"/>
          <w:rtl/>
        </w:rPr>
        <w:t>ל</w:t>
      </w:r>
      <w:r w:rsidRPr="005E0F0B">
        <w:rPr>
          <w:rFonts w:cs="Arial"/>
          <w:rtl/>
        </w:rPr>
        <w:t xml:space="preserve"> </w:t>
      </w:r>
      <w:r w:rsidRPr="005E0F0B">
        <w:rPr>
          <w:rFonts w:cs="Arial" w:hint="cs"/>
          <w:rtl/>
        </w:rPr>
        <w:t>במגרש</w:t>
      </w:r>
      <w:r w:rsidRPr="005E0F0B">
        <w:rPr>
          <w:rFonts w:cs="Arial"/>
          <w:rtl/>
        </w:rPr>
        <w:t xml:space="preserve"> </w:t>
      </w:r>
      <w:r w:rsidRPr="005E0F0B">
        <w:rPr>
          <w:rFonts w:cs="Arial" w:hint="cs"/>
          <w:rtl/>
        </w:rPr>
        <w:t>פלוני</w:t>
      </w:r>
      <w:r w:rsidRPr="005E0F0B">
        <w:rPr>
          <w:rFonts w:cs="Arial"/>
          <w:rtl/>
        </w:rPr>
        <w:t xml:space="preserve"> </w:t>
      </w:r>
      <w:r w:rsidRPr="005E0F0B">
        <w:rPr>
          <w:rFonts w:cs="Arial" w:hint="cs"/>
          <w:rtl/>
        </w:rPr>
        <w:t>אשר</w:t>
      </w:r>
      <w:r w:rsidRPr="005E0F0B">
        <w:rPr>
          <w:rFonts w:cs="Arial"/>
          <w:rtl/>
        </w:rPr>
        <w:t xml:space="preserve"> </w:t>
      </w:r>
      <w:r w:rsidRPr="005E0F0B">
        <w:rPr>
          <w:rFonts w:cs="Arial" w:hint="cs"/>
          <w:rtl/>
        </w:rPr>
        <w:t>אני</w:t>
      </w:r>
      <w:r w:rsidRPr="005E0F0B">
        <w:rPr>
          <w:rFonts w:cs="Arial"/>
          <w:rtl/>
        </w:rPr>
        <w:t xml:space="preserve"> </w:t>
      </w:r>
      <w:r w:rsidRPr="005E0F0B">
        <w:rPr>
          <w:rFonts w:cs="Arial" w:hint="cs"/>
          <w:rtl/>
        </w:rPr>
        <w:t>עומד</w:t>
      </w:r>
      <w:r w:rsidRPr="005E0F0B">
        <w:rPr>
          <w:rFonts w:cs="Arial"/>
          <w:rtl/>
        </w:rPr>
        <w:t xml:space="preserve"> </w:t>
      </w:r>
      <w:r w:rsidRPr="005E0F0B">
        <w:rPr>
          <w:rFonts w:cs="Arial" w:hint="cs"/>
          <w:rtl/>
        </w:rPr>
        <w:t>בה</w:t>
      </w:r>
      <w:r w:rsidRPr="005E0F0B">
        <w:rPr>
          <w:rFonts w:cs="Arial"/>
          <w:rtl/>
        </w:rPr>
        <w:t xml:space="preserve"> </w:t>
      </w:r>
      <w:r w:rsidRPr="005E0F0B">
        <w:rPr>
          <w:rFonts w:cs="Arial" w:hint="cs"/>
          <w:rtl/>
        </w:rPr>
        <w:t>והרי</w:t>
      </w:r>
      <w:r w:rsidRPr="005E0F0B">
        <w:rPr>
          <w:rFonts w:cs="Arial"/>
          <w:rtl/>
        </w:rPr>
        <w:t xml:space="preserve"> </w:t>
      </w:r>
      <w:r w:rsidRPr="005E0F0B">
        <w:rPr>
          <w:rFonts w:cs="Arial" w:hint="cs"/>
          <w:rtl/>
        </w:rPr>
        <w:t>עיר</w:t>
      </w:r>
      <w:r w:rsidRPr="005E0F0B">
        <w:rPr>
          <w:rFonts w:cs="Arial"/>
          <w:rtl/>
        </w:rPr>
        <w:t xml:space="preserve"> </w:t>
      </w:r>
      <w:r w:rsidRPr="005E0F0B">
        <w:rPr>
          <w:rFonts w:cs="Arial" w:hint="cs"/>
          <w:rtl/>
        </w:rPr>
        <w:t>בכלל</w:t>
      </w:r>
      <w:r w:rsidRPr="005E0F0B">
        <w:rPr>
          <w:rFonts w:cs="Arial"/>
          <w:rtl/>
        </w:rPr>
        <w:t xml:space="preserve"> </w:t>
      </w:r>
      <w:r w:rsidRPr="005E0F0B">
        <w:rPr>
          <w:rFonts w:cs="Arial" w:hint="cs"/>
          <w:rtl/>
        </w:rPr>
        <w:t>תוך</w:t>
      </w:r>
      <w:r w:rsidRPr="005E0F0B">
        <w:rPr>
          <w:rFonts w:cs="Arial"/>
          <w:rtl/>
        </w:rPr>
        <w:t xml:space="preserve"> </w:t>
      </w:r>
      <w:r w:rsidRPr="005E0F0B">
        <w:rPr>
          <w:rFonts w:cs="Arial" w:hint="cs"/>
          <w:rtl/>
        </w:rPr>
        <w:t>המגרש</w:t>
      </w:r>
      <w:r>
        <w:rPr>
          <w:rFonts w:cs="Arial" w:hint="cs"/>
          <w:rtl/>
        </w:rPr>
        <w:t>,</w:t>
      </w:r>
      <w:r w:rsidRPr="005E0F0B">
        <w:rPr>
          <w:rFonts w:cs="Arial"/>
          <w:rtl/>
        </w:rPr>
        <w:t xml:space="preserve"> </w:t>
      </w:r>
      <w:r w:rsidRPr="005E0F0B">
        <w:rPr>
          <w:rFonts w:cs="Arial" w:hint="cs"/>
          <w:rtl/>
        </w:rPr>
        <w:t>שהרי</w:t>
      </w:r>
      <w:r w:rsidRPr="005E0F0B">
        <w:rPr>
          <w:rFonts w:cs="Arial"/>
          <w:rtl/>
        </w:rPr>
        <w:t xml:space="preserve"> </w:t>
      </w:r>
      <w:r w:rsidRPr="005E0F0B">
        <w:rPr>
          <w:rFonts w:cs="Arial" w:hint="cs"/>
          <w:rtl/>
        </w:rPr>
        <w:t>המגרש</w:t>
      </w:r>
      <w:r w:rsidRPr="005E0F0B">
        <w:rPr>
          <w:rFonts w:cs="Arial"/>
          <w:rtl/>
        </w:rPr>
        <w:t xml:space="preserve"> </w:t>
      </w:r>
      <w:r w:rsidRPr="005E0F0B">
        <w:rPr>
          <w:rFonts w:cs="Arial" w:hint="cs"/>
          <w:rtl/>
        </w:rPr>
        <w:t>מקיפה</w:t>
      </w:r>
      <w:r>
        <w:rPr>
          <w:rFonts w:cs="Arial" w:hint="cs"/>
          <w:rtl/>
        </w:rPr>
        <w:t>.</w:t>
      </w:r>
      <w:r w:rsidRPr="005E0F0B">
        <w:rPr>
          <w:rFonts w:cs="Arial"/>
          <w:rtl/>
        </w:rPr>
        <w:t xml:space="preserve"> </w:t>
      </w:r>
      <w:r w:rsidRPr="005E0F0B">
        <w:rPr>
          <w:rFonts w:cs="Arial" w:hint="cs"/>
          <w:rtl/>
        </w:rPr>
        <w:t>ונראה</w:t>
      </w:r>
      <w:r w:rsidRPr="005E0F0B">
        <w:rPr>
          <w:rFonts w:cs="Arial"/>
          <w:rtl/>
        </w:rPr>
        <w:t xml:space="preserve"> </w:t>
      </w:r>
      <w:r w:rsidRPr="005E0F0B">
        <w:rPr>
          <w:rFonts w:cs="Arial" w:hint="cs"/>
          <w:rtl/>
        </w:rPr>
        <w:t>שלכך</w:t>
      </w:r>
      <w:r w:rsidRPr="005E0F0B">
        <w:rPr>
          <w:rFonts w:cs="Arial"/>
          <w:rtl/>
        </w:rPr>
        <w:t xml:space="preserve"> </w:t>
      </w:r>
      <w:r w:rsidRPr="005E0F0B">
        <w:rPr>
          <w:rFonts w:cs="Arial" w:hint="cs"/>
          <w:rtl/>
        </w:rPr>
        <w:t>נהגו</w:t>
      </w:r>
      <w:r w:rsidRPr="005E0F0B">
        <w:rPr>
          <w:rFonts w:cs="Arial"/>
          <w:rtl/>
        </w:rPr>
        <w:t xml:space="preserve"> </w:t>
      </w:r>
      <w:r w:rsidRPr="005E0F0B">
        <w:rPr>
          <w:rFonts w:cs="Arial" w:hint="cs"/>
          <w:rtl/>
        </w:rPr>
        <w:t>לכתוב</w:t>
      </w:r>
      <w:r w:rsidRPr="005E0F0B">
        <w:rPr>
          <w:rFonts w:cs="Arial"/>
          <w:rtl/>
        </w:rPr>
        <w:t xml:space="preserve"> </w:t>
      </w:r>
      <w:r w:rsidRPr="005E0F0B">
        <w:rPr>
          <w:rFonts w:cs="Arial" w:hint="cs"/>
          <w:rtl/>
        </w:rPr>
        <w:t>כך</w:t>
      </w:r>
      <w:r>
        <w:rPr>
          <w:rFonts w:cs="Arial" w:hint="cs"/>
          <w:rtl/>
        </w:rPr>
        <w:t>,</w:t>
      </w:r>
      <w:r w:rsidRPr="005E0F0B">
        <w:rPr>
          <w:rFonts w:cs="Arial"/>
          <w:rtl/>
        </w:rPr>
        <w:t xml:space="preserve"> </w:t>
      </w:r>
      <w:r w:rsidRPr="005E0F0B">
        <w:rPr>
          <w:rFonts w:cs="Arial" w:hint="cs"/>
          <w:rtl/>
        </w:rPr>
        <w:t>לפי</w:t>
      </w:r>
      <w:r w:rsidRPr="005E0F0B">
        <w:rPr>
          <w:rFonts w:cs="Arial"/>
          <w:rtl/>
        </w:rPr>
        <w:t xml:space="preserve"> </w:t>
      </w:r>
      <w:r w:rsidRPr="005E0F0B">
        <w:rPr>
          <w:rFonts w:cs="Arial" w:hint="cs"/>
          <w:rtl/>
        </w:rPr>
        <w:t>שפעמים</w:t>
      </w:r>
      <w:r w:rsidRPr="005E0F0B">
        <w:rPr>
          <w:rFonts w:cs="Arial"/>
          <w:rtl/>
        </w:rPr>
        <w:t xml:space="preserve"> </w:t>
      </w:r>
      <w:r w:rsidRPr="005E0F0B">
        <w:rPr>
          <w:rFonts w:cs="Arial" w:hint="cs"/>
          <w:rtl/>
        </w:rPr>
        <w:t>דר</w:t>
      </w:r>
      <w:r w:rsidRPr="005E0F0B">
        <w:rPr>
          <w:rFonts w:cs="Arial"/>
          <w:rtl/>
        </w:rPr>
        <w:t xml:space="preserve"> </w:t>
      </w:r>
      <w:r w:rsidRPr="005E0F0B">
        <w:rPr>
          <w:rFonts w:cs="Arial" w:hint="cs"/>
          <w:rtl/>
        </w:rPr>
        <w:t>בבתים</w:t>
      </w:r>
      <w:r w:rsidRPr="005E0F0B">
        <w:rPr>
          <w:rFonts w:cs="Arial"/>
          <w:rtl/>
        </w:rPr>
        <w:t xml:space="preserve"> </w:t>
      </w:r>
      <w:r w:rsidRPr="005E0F0B">
        <w:rPr>
          <w:rFonts w:cs="Arial" w:hint="cs"/>
          <w:rtl/>
        </w:rPr>
        <w:t>שבולטים</w:t>
      </w:r>
      <w:r w:rsidRPr="005E0F0B">
        <w:rPr>
          <w:rFonts w:cs="Arial"/>
          <w:rtl/>
        </w:rPr>
        <w:t xml:space="preserve"> </w:t>
      </w:r>
      <w:r w:rsidRPr="005E0F0B">
        <w:rPr>
          <w:rFonts w:cs="Arial" w:hint="cs"/>
          <w:rtl/>
        </w:rPr>
        <w:t>ויוצאים</w:t>
      </w:r>
      <w:r w:rsidRPr="005E0F0B">
        <w:rPr>
          <w:rFonts w:cs="Arial"/>
          <w:rtl/>
        </w:rPr>
        <w:t xml:space="preserve"> </w:t>
      </w:r>
      <w:r w:rsidRPr="005E0F0B">
        <w:rPr>
          <w:rFonts w:cs="Arial" w:hint="cs"/>
          <w:rtl/>
        </w:rPr>
        <w:t>חוץ</w:t>
      </w:r>
      <w:r w:rsidRPr="005E0F0B">
        <w:rPr>
          <w:rFonts w:cs="Arial"/>
          <w:rtl/>
        </w:rPr>
        <w:t xml:space="preserve"> </w:t>
      </w:r>
      <w:r w:rsidRPr="005E0F0B">
        <w:rPr>
          <w:rFonts w:cs="Arial" w:hint="cs"/>
          <w:rtl/>
        </w:rPr>
        <w:t>לעיר</w:t>
      </w:r>
      <w:r>
        <w:rPr>
          <w:rFonts w:cs="Arial" w:hint="cs"/>
          <w:rtl/>
        </w:rPr>
        <w:t>,</w:t>
      </w:r>
      <w:r w:rsidRPr="005E0F0B">
        <w:rPr>
          <w:rFonts w:cs="Arial"/>
          <w:rtl/>
        </w:rPr>
        <w:t xml:space="preserve"> </w:t>
      </w:r>
      <w:r w:rsidRPr="005E0F0B">
        <w:rPr>
          <w:rFonts w:cs="Arial" w:hint="cs"/>
          <w:rtl/>
        </w:rPr>
        <w:t>ובלשון</w:t>
      </w:r>
      <w:r w:rsidRPr="005E0F0B">
        <w:rPr>
          <w:rFonts w:cs="Arial"/>
          <w:rtl/>
        </w:rPr>
        <w:t xml:space="preserve"> </w:t>
      </w:r>
      <w:r w:rsidRPr="005E0F0B">
        <w:rPr>
          <w:rFonts w:cs="Arial" w:hint="cs"/>
          <w:rtl/>
        </w:rPr>
        <w:t>בני</w:t>
      </w:r>
      <w:r w:rsidRPr="005E0F0B">
        <w:rPr>
          <w:rFonts w:cs="Arial"/>
          <w:rtl/>
        </w:rPr>
        <w:t xml:space="preserve"> </w:t>
      </w:r>
      <w:r w:rsidRPr="005E0F0B">
        <w:rPr>
          <w:rFonts w:cs="Arial" w:hint="cs"/>
          <w:rtl/>
        </w:rPr>
        <w:t>אדם</w:t>
      </w:r>
      <w:r w:rsidRPr="005E0F0B">
        <w:rPr>
          <w:rFonts w:cs="Arial"/>
          <w:rtl/>
        </w:rPr>
        <w:t xml:space="preserve"> </w:t>
      </w:r>
      <w:r w:rsidRPr="005E0F0B">
        <w:rPr>
          <w:rFonts w:cs="Arial" w:hint="cs"/>
          <w:rtl/>
        </w:rPr>
        <w:t>אין</w:t>
      </w:r>
      <w:r w:rsidRPr="005E0F0B">
        <w:rPr>
          <w:rFonts w:cs="Arial"/>
          <w:rtl/>
        </w:rPr>
        <w:t xml:space="preserve"> </w:t>
      </w:r>
      <w:r w:rsidRPr="005E0F0B">
        <w:rPr>
          <w:rFonts w:cs="Arial" w:hint="cs"/>
          <w:rtl/>
        </w:rPr>
        <w:t>שם</w:t>
      </w:r>
      <w:r w:rsidRPr="005E0F0B">
        <w:rPr>
          <w:rFonts w:cs="Arial"/>
          <w:rtl/>
        </w:rPr>
        <w:t xml:space="preserve"> </w:t>
      </w:r>
      <w:r w:rsidRPr="005E0F0B">
        <w:rPr>
          <w:rFonts w:cs="Arial" w:hint="cs"/>
          <w:rtl/>
        </w:rPr>
        <w:t>העיר</w:t>
      </w:r>
      <w:r w:rsidRPr="005E0F0B">
        <w:rPr>
          <w:rFonts w:cs="Arial"/>
          <w:rtl/>
        </w:rPr>
        <w:t xml:space="preserve"> </w:t>
      </w:r>
      <w:r w:rsidRPr="005E0F0B">
        <w:rPr>
          <w:rFonts w:cs="Arial" w:hint="cs"/>
          <w:rtl/>
        </w:rPr>
        <w:t>עליהם</w:t>
      </w:r>
      <w:r>
        <w:rPr>
          <w:rFonts w:cs="Arial" w:hint="cs"/>
          <w:rtl/>
        </w:rPr>
        <w:t>,</w:t>
      </w:r>
      <w:r w:rsidRPr="005E0F0B">
        <w:rPr>
          <w:rFonts w:cs="Arial"/>
          <w:rtl/>
        </w:rPr>
        <w:t xml:space="preserve"> </w:t>
      </w:r>
      <w:r w:rsidRPr="005E0F0B">
        <w:rPr>
          <w:rFonts w:cs="Arial" w:hint="cs"/>
          <w:rtl/>
        </w:rPr>
        <w:t>ובלשונם</w:t>
      </w:r>
      <w:r w:rsidRPr="005E0F0B">
        <w:rPr>
          <w:rFonts w:cs="Arial"/>
          <w:rtl/>
        </w:rPr>
        <w:t xml:space="preserve"> </w:t>
      </w:r>
      <w:r w:rsidRPr="005E0F0B">
        <w:rPr>
          <w:rFonts w:cs="Arial" w:hint="cs"/>
          <w:rtl/>
        </w:rPr>
        <w:t>שכתב</w:t>
      </w:r>
      <w:r w:rsidRPr="005E0F0B">
        <w:rPr>
          <w:rFonts w:cs="Arial"/>
          <w:rtl/>
        </w:rPr>
        <w:t xml:space="preserve"> </w:t>
      </w:r>
      <w:r w:rsidRPr="005E0F0B">
        <w:rPr>
          <w:rFonts w:cs="Arial" w:hint="cs"/>
          <w:rtl/>
        </w:rPr>
        <w:t>מגרש</w:t>
      </w:r>
      <w:r w:rsidRPr="005E0F0B">
        <w:rPr>
          <w:rFonts w:cs="Arial"/>
          <w:rtl/>
        </w:rPr>
        <w:t xml:space="preserve"> </w:t>
      </w:r>
      <w:r w:rsidRPr="005E0F0B">
        <w:rPr>
          <w:rFonts w:cs="Arial" w:hint="cs"/>
          <w:rtl/>
        </w:rPr>
        <w:t>הכל</w:t>
      </w:r>
      <w:r w:rsidRPr="005E0F0B">
        <w:rPr>
          <w:rFonts w:cs="Arial"/>
          <w:rtl/>
        </w:rPr>
        <w:t xml:space="preserve"> </w:t>
      </w:r>
      <w:r w:rsidRPr="005E0F0B">
        <w:rPr>
          <w:rFonts w:cs="Arial" w:hint="cs"/>
          <w:rtl/>
        </w:rPr>
        <w:t>בכלל</w:t>
      </w:r>
      <w:r>
        <w:rPr>
          <w:rFonts w:cs="Arial" w:hint="cs"/>
          <w:rtl/>
        </w:rPr>
        <w:t>,</w:t>
      </w:r>
      <w:r w:rsidRPr="005E0F0B">
        <w:rPr>
          <w:rFonts w:cs="Arial"/>
          <w:rtl/>
        </w:rPr>
        <w:t xml:space="preserve"> </w:t>
      </w:r>
      <w:r w:rsidRPr="005E0F0B">
        <w:rPr>
          <w:rFonts w:cs="Arial" w:hint="cs"/>
          <w:rtl/>
        </w:rPr>
        <w:t>ומנהג</w:t>
      </w:r>
      <w:r w:rsidRPr="005E0F0B">
        <w:rPr>
          <w:rFonts w:cs="Arial"/>
          <w:rtl/>
        </w:rPr>
        <w:t xml:space="preserve"> </w:t>
      </w:r>
      <w:r w:rsidRPr="005E0F0B">
        <w:rPr>
          <w:rFonts w:cs="Arial" w:hint="cs"/>
          <w:rtl/>
        </w:rPr>
        <w:t>כשר</w:t>
      </w:r>
      <w:r w:rsidRPr="005E0F0B">
        <w:rPr>
          <w:rFonts w:cs="Arial"/>
          <w:rtl/>
        </w:rPr>
        <w:t xml:space="preserve"> </w:t>
      </w:r>
      <w:r w:rsidRPr="005E0F0B">
        <w:rPr>
          <w:rFonts w:cs="Arial" w:hint="cs"/>
          <w:rtl/>
        </w:rPr>
        <w:t>הוא</w:t>
      </w:r>
      <w:r>
        <w:rPr>
          <w:rFonts w:hint="cs"/>
          <w:rtl/>
        </w:rPr>
        <w:t>.</w:t>
      </w:r>
    </w:p>
  </w:footnote>
  <w:footnote w:id="975">
    <w:p w14:paraId="27300741" w14:textId="2AA44C8F" w:rsidR="00FA2119" w:rsidRDefault="00FA2119" w:rsidP="00FA2119">
      <w:pPr>
        <w:pStyle w:val="a5"/>
        <w:rPr>
          <w:rtl/>
        </w:rPr>
      </w:pPr>
      <w:r>
        <w:rPr>
          <w:rStyle w:val="a7"/>
        </w:rPr>
        <w:footnoteRef/>
      </w:r>
      <w:r>
        <w:rPr>
          <w:rtl/>
        </w:rPr>
        <w:t xml:space="preserve"> </w:t>
      </w:r>
      <w:r w:rsidRPr="005E0F0B">
        <w:rPr>
          <w:rFonts w:cs="Arial" w:hint="cs"/>
          <w:rtl/>
        </w:rPr>
        <w:t>ואע</w:t>
      </w:r>
      <w:r>
        <w:rPr>
          <w:rFonts w:cs="Arial" w:hint="cs"/>
          <w:rtl/>
        </w:rPr>
        <w:t>"</w:t>
      </w:r>
      <w:r w:rsidRPr="005E0F0B">
        <w:rPr>
          <w:rFonts w:cs="Arial" w:hint="cs"/>
          <w:rtl/>
        </w:rPr>
        <w:t>פ</w:t>
      </w:r>
      <w:r w:rsidRPr="005E0F0B">
        <w:rPr>
          <w:rFonts w:cs="Arial"/>
          <w:rtl/>
        </w:rPr>
        <w:t xml:space="preserve"> </w:t>
      </w:r>
      <w:r w:rsidRPr="005E0F0B">
        <w:rPr>
          <w:rFonts w:cs="Arial" w:hint="cs"/>
          <w:rtl/>
        </w:rPr>
        <w:t>שיש</w:t>
      </w:r>
      <w:r w:rsidRPr="005E0F0B">
        <w:rPr>
          <w:rFonts w:cs="Arial"/>
          <w:rtl/>
        </w:rPr>
        <w:t xml:space="preserve"> </w:t>
      </w:r>
      <w:r w:rsidRPr="005E0F0B">
        <w:rPr>
          <w:rFonts w:cs="Arial" w:hint="cs"/>
          <w:rtl/>
        </w:rPr>
        <w:t>אומרים</w:t>
      </w:r>
      <w:r w:rsidRPr="005E0F0B">
        <w:rPr>
          <w:rFonts w:cs="Arial"/>
          <w:rtl/>
        </w:rPr>
        <w:t xml:space="preserve"> </w:t>
      </w:r>
      <w:r w:rsidRPr="005E0F0B">
        <w:rPr>
          <w:rFonts w:cs="Arial" w:hint="cs"/>
          <w:rtl/>
        </w:rPr>
        <w:t>שמדינה</w:t>
      </w:r>
      <w:r w:rsidRPr="005E0F0B">
        <w:rPr>
          <w:rFonts w:cs="Arial"/>
          <w:rtl/>
        </w:rPr>
        <w:t xml:space="preserve"> </w:t>
      </w:r>
      <w:r w:rsidRPr="005E0F0B">
        <w:rPr>
          <w:rFonts w:cs="Arial" w:hint="cs"/>
          <w:rtl/>
        </w:rPr>
        <w:t>פירושו</w:t>
      </w:r>
      <w:r w:rsidRPr="005E0F0B">
        <w:rPr>
          <w:rFonts w:cs="Arial"/>
          <w:rtl/>
        </w:rPr>
        <w:t xml:space="preserve"> </w:t>
      </w:r>
      <w:r w:rsidRPr="005E0F0B">
        <w:rPr>
          <w:rFonts w:cs="Arial" w:hint="cs"/>
          <w:rtl/>
        </w:rPr>
        <w:t>מחוז</w:t>
      </w:r>
      <w:r>
        <w:rPr>
          <w:rFonts w:cs="Arial" w:hint="cs"/>
          <w:rtl/>
        </w:rPr>
        <w:t>,</w:t>
      </w:r>
      <w:r w:rsidRPr="005E0F0B">
        <w:rPr>
          <w:rFonts w:cs="Arial"/>
          <w:rtl/>
        </w:rPr>
        <w:t xml:space="preserve"> </w:t>
      </w:r>
      <w:r w:rsidRPr="005E0F0B">
        <w:rPr>
          <w:rFonts w:cs="Arial" w:hint="cs"/>
          <w:rtl/>
        </w:rPr>
        <w:t>וכן</w:t>
      </w:r>
      <w:r w:rsidRPr="005E0F0B">
        <w:rPr>
          <w:rFonts w:cs="Arial"/>
          <w:rtl/>
        </w:rPr>
        <w:t xml:space="preserve"> </w:t>
      </w:r>
      <w:r w:rsidRPr="005E0F0B">
        <w:rPr>
          <w:rFonts w:cs="Arial" w:hint="cs"/>
          <w:rtl/>
        </w:rPr>
        <w:t>דעת</w:t>
      </w:r>
      <w:r w:rsidRPr="005E0F0B">
        <w:rPr>
          <w:rFonts w:cs="Arial"/>
          <w:rtl/>
        </w:rPr>
        <w:t xml:space="preserve"> </w:t>
      </w:r>
      <w:r w:rsidRPr="005E0F0B">
        <w:rPr>
          <w:rFonts w:cs="Arial" w:hint="cs"/>
          <w:rtl/>
        </w:rPr>
        <w:t>המתרגם</w:t>
      </w:r>
      <w:r w:rsidRPr="005E0F0B">
        <w:rPr>
          <w:rFonts w:cs="Arial"/>
          <w:rtl/>
        </w:rPr>
        <w:t xml:space="preserve"> </w:t>
      </w:r>
      <w:r w:rsidRPr="005E0F0B">
        <w:rPr>
          <w:rFonts w:cs="Arial" w:hint="cs"/>
          <w:rtl/>
        </w:rPr>
        <w:t>שתרגם</w:t>
      </w:r>
      <w:r w:rsidRPr="005E0F0B">
        <w:rPr>
          <w:rFonts w:cs="Arial"/>
          <w:rtl/>
        </w:rPr>
        <w:t xml:space="preserve"> </w:t>
      </w:r>
      <w:r w:rsidRPr="005E0F0B">
        <w:rPr>
          <w:rFonts w:cs="Arial" w:hint="cs"/>
          <w:rtl/>
        </w:rPr>
        <w:t>שבע</w:t>
      </w:r>
      <w:r w:rsidRPr="005E0F0B">
        <w:rPr>
          <w:rFonts w:cs="Arial"/>
          <w:rtl/>
        </w:rPr>
        <w:t xml:space="preserve"> </w:t>
      </w:r>
      <w:r w:rsidRPr="005E0F0B">
        <w:rPr>
          <w:rFonts w:cs="Arial" w:hint="cs"/>
          <w:rtl/>
        </w:rPr>
        <w:t>ועשרים</w:t>
      </w:r>
      <w:r w:rsidRPr="005E0F0B">
        <w:rPr>
          <w:rFonts w:cs="Arial"/>
          <w:rtl/>
        </w:rPr>
        <w:t xml:space="preserve"> </w:t>
      </w:r>
      <w:r w:rsidRPr="005E0F0B">
        <w:rPr>
          <w:rFonts w:cs="Arial" w:hint="cs"/>
          <w:rtl/>
        </w:rPr>
        <w:t>ומאה</w:t>
      </w:r>
      <w:r w:rsidRPr="005E0F0B">
        <w:rPr>
          <w:rFonts w:cs="Arial"/>
          <w:rtl/>
        </w:rPr>
        <w:t xml:space="preserve"> </w:t>
      </w:r>
      <w:r w:rsidRPr="005E0F0B">
        <w:rPr>
          <w:rFonts w:cs="Arial" w:hint="cs"/>
          <w:rtl/>
        </w:rPr>
        <w:t>מדינה</w:t>
      </w:r>
      <w:r w:rsidRPr="005E0F0B">
        <w:rPr>
          <w:rFonts w:cs="Arial"/>
          <w:rtl/>
        </w:rPr>
        <w:t xml:space="preserve"> (</w:t>
      </w:r>
      <w:r w:rsidRPr="005E0F0B">
        <w:rPr>
          <w:rFonts w:cs="Arial" w:hint="cs"/>
          <w:rtl/>
        </w:rPr>
        <w:t>אסתר</w:t>
      </w:r>
      <w:r w:rsidRPr="005E0F0B">
        <w:rPr>
          <w:rFonts w:cs="Arial"/>
          <w:rtl/>
        </w:rPr>
        <w:t xml:space="preserve"> </w:t>
      </w:r>
      <w:r w:rsidRPr="005E0F0B">
        <w:rPr>
          <w:rFonts w:cs="Arial" w:hint="cs"/>
          <w:rtl/>
        </w:rPr>
        <w:t>א</w:t>
      </w:r>
      <w:r w:rsidRPr="005E0F0B">
        <w:rPr>
          <w:rFonts w:cs="Arial"/>
          <w:rtl/>
        </w:rPr>
        <w:t xml:space="preserve"> </w:t>
      </w:r>
      <w:r w:rsidRPr="005E0F0B">
        <w:rPr>
          <w:rFonts w:cs="Arial" w:hint="cs"/>
          <w:rtl/>
        </w:rPr>
        <w:t>א</w:t>
      </w:r>
      <w:r w:rsidRPr="005E0F0B">
        <w:rPr>
          <w:rFonts w:cs="Arial"/>
          <w:rtl/>
        </w:rPr>
        <w:t xml:space="preserve">) </w:t>
      </w:r>
      <w:r w:rsidRPr="005E0F0B">
        <w:rPr>
          <w:rFonts w:cs="Arial" w:hint="cs"/>
          <w:rtl/>
        </w:rPr>
        <w:t>קכ</w:t>
      </w:r>
      <w:r w:rsidRPr="005E0F0B">
        <w:rPr>
          <w:rFonts w:cs="Arial"/>
          <w:rtl/>
        </w:rPr>
        <w:t>"</w:t>
      </w:r>
      <w:r w:rsidRPr="005E0F0B">
        <w:rPr>
          <w:rFonts w:cs="Arial" w:hint="cs"/>
          <w:rtl/>
        </w:rPr>
        <w:t>ז</w:t>
      </w:r>
      <w:r w:rsidRPr="005E0F0B">
        <w:rPr>
          <w:rFonts w:cs="Arial"/>
          <w:rtl/>
        </w:rPr>
        <w:t xml:space="preserve"> </w:t>
      </w:r>
      <w:r w:rsidRPr="005E0F0B">
        <w:rPr>
          <w:rFonts w:cs="Arial" w:hint="cs"/>
          <w:rtl/>
        </w:rPr>
        <w:t>פלכין</w:t>
      </w:r>
      <w:r w:rsidRPr="005E0F0B">
        <w:rPr>
          <w:rFonts w:cs="Arial"/>
          <w:rtl/>
        </w:rPr>
        <w:t xml:space="preserve">, </w:t>
      </w:r>
      <w:r w:rsidRPr="005E0F0B">
        <w:rPr>
          <w:rFonts w:cs="Arial" w:hint="cs"/>
          <w:rtl/>
        </w:rPr>
        <w:t>הראב</w:t>
      </w:r>
      <w:r>
        <w:rPr>
          <w:rFonts w:cs="Arial" w:hint="cs"/>
          <w:rtl/>
        </w:rPr>
        <w:t>"</w:t>
      </w:r>
      <w:r w:rsidRPr="005E0F0B">
        <w:rPr>
          <w:rFonts w:cs="Arial" w:hint="cs"/>
          <w:rtl/>
        </w:rPr>
        <w:t>ע</w:t>
      </w:r>
      <w:r w:rsidRPr="005E0F0B">
        <w:rPr>
          <w:rFonts w:cs="Arial"/>
          <w:rtl/>
        </w:rPr>
        <w:t xml:space="preserve"> </w:t>
      </w:r>
      <w:r w:rsidRPr="005E0F0B">
        <w:rPr>
          <w:rFonts w:cs="Arial" w:hint="cs"/>
          <w:rtl/>
        </w:rPr>
        <w:t>בפירוש</w:t>
      </w:r>
      <w:r w:rsidRPr="005E0F0B">
        <w:rPr>
          <w:rFonts w:cs="Arial"/>
          <w:rtl/>
        </w:rPr>
        <w:t xml:space="preserve"> </w:t>
      </w:r>
      <w:r w:rsidRPr="005E0F0B">
        <w:rPr>
          <w:rFonts w:cs="Arial" w:hint="cs"/>
          <w:rtl/>
        </w:rPr>
        <w:t>דניאל</w:t>
      </w:r>
      <w:r w:rsidRPr="005E0F0B">
        <w:rPr>
          <w:rFonts w:cs="Arial"/>
          <w:rtl/>
        </w:rPr>
        <w:t xml:space="preserve"> </w:t>
      </w:r>
      <w:r w:rsidRPr="005E0F0B">
        <w:rPr>
          <w:rFonts w:cs="Arial" w:hint="cs"/>
          <w:rtl/>
        </w:rPr>
        <w:t>על</w:t>
      </w:r>
      <w:r w:rsidRPr="005E0F0B">
        <w:rPr>
          <w:rFonts w:cs="Arial"/>
          <w:rtl/>
        </w:rPr>
        <w:t xml:space="preserve"> </w:t>
      </w:r>
      <w:r w:rsidRPr="005E0F0B">
        <w:rPr>
          <w:rFonts w:cs="Arial" w:hint="cs"/>
          <w:rtl/>
        </w:rPr>
        <w:t>פסוק</w:t>
      </w:r>
      <w:r w:rsidRPr="005E0F0B">
        <w:rPr>
          <w:rFonts w:cs="Arial"/>
          <w:rtl/>
        </w:rPr>
        <w:t xml:space="preserve"> (</w:t>
      </w:r>
      <w:r w:rsidRPr="005E0F0B">
        <w:rPr>
          <w:rFonts w:cs="Arial" w:hint="cs"/>
          <w:rtl/>
        </w:rPr>
        <w:t>דניאל</w:t>
      </w:r>
      <w:r w:rsidRPr="005E0F0B">
        <w:rPr>
          <w:rFonts w:cs="Arial"/>
          <w:rtl/>
        </w:rPr>
        <w:t xml:space="preserve"> </w:t>
      </w:r>
      <w:r w:rsidRPr="005E0F0B">
        <w:rPr>
          <w:rFonts w:cs="Arial" w:hint="cs"/>
          <w:rtl/>
        </w:rPr>
        <w:t>ב</w:t>
      </w:r>
      <w:r w:rsidRPr="005E0F0B">
        <w:rPr>
          <w:rFonts w:cs="Arial"/>
          <w:rtl/>
        </w:rPr>
        <w:t xml:space="preserve"> </w:t>
      </w:r>
      <w:r w:rsidRPr="005E0F0B">
        <w:rPr>
          <w:rFonts w:cs="Arial" w:hint="cs"/>
          <w:rtl/>
        </w:rPr>
        <w:t>מט</w:t>
      </w:r>
      <w:r w:rsidRPr="005E0F0B">
        <w:rPr>
          <w:rFonts w:cs="Arial"/>
          <w:rtl/>
        </w:rPr>
        <w:t xml:space="preserve">) </w:t>
      </w:r>
      <w:r w:rsidRPr="005E0F0B">
        <w:rPr>
          <w:rFonts w:cs="Arial" w:hint="cs"/>
          <w:rtl/>
        </w:rPr>
        <w:t>ודניאל</w:t>
      </w:r>
      <w:r w:rsidRPr="005E0F0B">
        <w:rPr>
          <w:rFonts w:cs="Arial"/>
          <w:rtl/>
        </w:rPr>
        <w:t xml:space="preserve"> </w:t>
      </w:r>
      <w:r w:rsidRPr="005E0F0B">
        <w:rPr>
          <w:rFonts w:cs="Arial" w:hint="cs"/>
          <w:rtl/>
        </w:rPr>
        <w:t>בעא</w:t>
      </w:r>
      <w:r w:rsidRPr="005E0F0B">
        <w:rPr>
          <w:rFonts w:cs="Arial"/>
          <w:rtl/>
        </w:rPr>
        <w:t xml:space="preserve"> </w:t>
      </w:r>
      <w:r w:rsidRPr="005E0F0B">
        <w:rPr>
          <w:rFonts w:cs="Arial" w:hint="cs"/>
          <w:rtl/>
        </w:rPr>
        <w:t>מן</w:t>
      </w:r>
      <w:r w:rsidRPr="005E0F0B">
        <w:rPr>
          <w:rFonts w:cs="Arial"/>
          <w:rtl/>
        </w:rPr>
        <w:t xml:space="preserve"> </w:t>
      </w:r>
      <w:r w:rsidRPr="005E0F0B">
        <w:rPr>
          <w:rFonts w:cs="Arial" w:hint="cs"/>
          <w:rtl/>
        </w:rPr>
        <w:t>מלכא</w:t>
      </w:r>
      <w:r w:rsidRPr="005E0F0B">
        <w:rPr>
          <w:rFonts w:cs="Arial"/>
          <w:rtl/>
        </w:rPr>
        <w:t xml:space="preserve"> </w:t>
      </w:r>
      <w:r w:rsidRPr="005E0F0B">
        <w:rPr>
          <w:rFonts w:cs="Arial" w:hint="cs"/>
          <w:rtl/>
        </w:rPr>
        <w:t>ומני</w:t>
      </w:r>
      <w:r w:rsidRPr="005E0F0B">
        <w:rPr>
          <w:rFonts w:cs="Arial"/>
          <w:rtl/>
        </w:rPr>
        <w:t xml:space="preserve"> </w:t>
      </w:r>
      <w:r w:rsidRPr="005E0F0B">
        <w:rPr>
          <w:rFonts w:cs="Arial" w:hint="cs"/>
          <w:rtl/>
        </w:rPr>
        <w:t>על</w:t>
      </w:r>
      <w:r w:rsidRPr="005E0F0B">
        <w:rPr>
          <w:rFonts w:cs="Arial"/>
          <w:rtl/>
        </w:rPr>
        <w:t xml:space="preserve"> </w:t>
      </w:r>
      <w:r w:rsidRPr="005E0F0B">
        <w:rPr>
          <w:rFonts w:cs="Arial" w:hint="cs"/>
          <w:rtl/>
        </w:rPr>
        <w:t>עבידתא</w:t>
      </w:r>
      <w:r w:rsidRPr="005E0F0B">
        <w:rPr>
          <w:rFonts w:cs="Arial"/>
          <w:rtl/>
        </w:rPr>
        <w:t xml:space="preserve"> </w:t>
      </w:r>
      <w:r w:rsidRPr="005E0F0B">
        <w:rPr>
          <w:rFonts w:cs="Arial" w:hint="cs"/>
          <w:rtl/>
        </w:rPr>
        <w:t>די</w:t>
      </w:r>
      <w:r w:rsidRPr="005E0F0B">
        <w:rPr>
          <w:rFonts w:cs="Arial"/>
          <w:rtl/>
        </w:rPr>
        <w:t xml:space="preserve"> </w:t>
      </w:r>
      <w:r w:rsidRPr="005E0F0B">
        <w:rPr>
          <w:rFonts w:cs="Arial" w:hint="cs"/>
          <w:rtl/>
        </w:rPr>
        <w:t>מדינת</w:t>
      </w:r>
      <w:r w:rsidRPr="005E0F0B">
        <w:rPr>
          <w:rFonts w:cs="Arial"/>
          <w:rtl/>
        </w:rPr>
        <w:t xml:space="preserve"> </w:t>
      </w:r>
      <w:r w:rsidRPr="005E0F0B">
        <w:rPr>
          <w:rFonts w:cs="Arial" w:hint="cs"/>
          <w:rtl/>
        </w:rPr>
        <w:t>בבל</w:t>
      </w:r>
      <w:r w:rsidRPr="005E0F0B">
        <w:rPr>
          <w:rFonts w:cs="Arial"/>
          <w:rtl/>
        </w:rPr>
        <w:t xml:space="preserve"> </w:t>
      </w:r>
      <w:r w:rsidRPr="005E0F0B">
        <w:rPr>
          <w:rFonts w:cs="Arial" w:hint="cs"/>
          <w:rtl/>
        </w:rPr>
        <w:t>לשדרך</w:t>
      </w:r>
      <w:r w:rsidRPr="005E0F0B">
        <w:rPr>
          <w:rFonts w:cs="Arial"/>
          <w:rtl/>
        </w:rPr>
        <w:t xml:space="preserve"> </w:t>
      </w:r>
      <w:r w:rsidRPr="005E0F0B">
        <w:rPr>
          <w:rFonts w:cs="Arial" w:hint="cs"/>
          <w:rtl/>
        </w:rPr>
        <w:t>מישך</w:t>
      </w:r>
      <w:r w:rsidRPr="005E0F0B">
        <w:rPr>
          <w:rFonts w:cs="Arial"/>
          <w:rtl/>
        </w:rPr>
        <w:t xml:space="preserve"> </w:t>
      </w:r>
      <w:r w:rsidRPr="005E0F0B">
        <w:rPr>
          <w:rFonts w:cs="Arial" w:hint="cs"/>
          <w:rtl/>
        </w:rPr>
        <w:t>ועבד</w:t>
      </w:r>
      <w:r w:rsidRPr="005E0F0B">
        <w:rPr>
          <w:rFonts w:cs="Arial"/>
          <w:rtl/>
        </w:rPr>
        <w:t xml:space="preserve"> </w:t>
      </w:r>
      <w:r w:rsidRPr="005E0F0B">
        <w:rPr>
          <w:rFonts w:cs="Arial" w:hint="cs"/>
          <w:rtl/>
        </w:rPr>
        <w:t>נגו</w:t>
      </w:r>
      <w:r w:rsidRPr="005E0F0B">
        <w:rPr>
          <w:rFonts w:cs="Arial"/>
          <w:rtl/>
        </w:rPr>
        <w:t xml:space="preserve"> </w:t>
      </w:r>
      <w:r w:rsidRPr="005E0F0B">
        <w:rPr>
          <w:rFonts w:cs="Arial" w:hint="cs"/>
          <w:rtl/>
        </w:rPr>
        <w:t>כתב</w:t>
      </w:r>
      <w:r w:rsidRPr="005E0F0B">
        <w:rPr>
          <w:rFonts w:cs="Arial"/>
          <w:rtl/>
        </w:rPr>
        <w:t xml:space="preserve"> (</w:t>
      </w:r>
      <w:r w:rsidRPr="005E0F0B">
        <w:rPr>
          <w:rFonts w:cs="Arial" w:hint="cs"/>
          <w:rtl/>
        </w:rPr>
        <w:t>שם</w:t>
      </w:r>
      <w:r w:rsidRPr="005E0F0B">
        <w:rPr>
          <w:rFonts w:cs="Arial"/>
          <w:rtl/>
        </w:rPr>
        <w:t xml:space="preserve"> </w:t>
      </w:r>
      <w:r w:rsidRPr="005E0F0B">
        <w:rPr>
          <w:rFonts w:cs="Arial" w:hint="cs"/>
          <w:rtl/>
        </w:rPr>
        <w:t>פסוק</w:t>
      </w:r>
      <w:r w:rsidRPr="005E0F0B">
        <w:rPr>
          <w:rFonts w:cs="Arial"/>
          <w:rtl/>
        </w:rPr>
        <w:t xml:space="preserve"> </w:t>
      </w:r>
      <w:r w:rsidRPr="005E0F0B">
        <w:rPr>
          <w:rFonts w:cs="Arial" w:hint="cs"/>
          <w:rtl/>
        </w:rPr>
        <w:t>מח</w:t>
      </w:r>
      <w:r w:rsidRPr="005E0F0B">
        <w:rPr>
          <w:rFonts w:cs="Arial"/>
          <w:rtl/>
        </w:rPr>
        <w:t xml:space="preserve">) </w:t>
      </w:r>
      <w:r w:rsidRPr="005E0F0B">
        <w:rPr>
          <w:rFonts w:cs="Arial" w:hint="cs"/>
          <w:rtl/>
        </w:rPr>
        <w:t>יש</w:t>
      </w:r>
      <w:r w:rsidRPr="005E0F0B">
        <w:rPr>
          <w:rFonts w:cs="Arial"/>
          <w:rtl/>
        </w:rPr>
        <w:t xml:space="preserve"> </w:t>
      </w:r>
      <w:r w:rsidRPr="005E0F0B">
        <w:rPr>
          <w:rFonts w:cs="Arial" w:hint="cs"/>
          <w:rtl/>
        </w:rPr>
        <w:t>אומרים</w:t>
      </w:r>
      <w:r w:rsidRPr="005E0F0B">
        <w:rPr>
          <w:rFonts w:cs="Arial"/>
          <w:rtl/>
        </w:rPr>
        <w:t xml:space="preserve"> </w:t>
      </w:r>
      <w:r w:rsidRPr="005E0F0B">
        <w:rPr>
          <w:rFonts w:cs="Arial" w:hint="cs"/>
          <w:rtl/>
        </w:rPr>
        <w:t>כי</w:t>
      </w:r>
      <w:r w:rsidRPr="005E0F0B">
        <w:rPr>
          <w:rFonts w:cs="Arial"/>
          <w:rtl/>
        </w:rPr>
        <w:t xml:space="preserve"> </w:t>
      </w:r>
      <w:r w:rsidRPr="005E0F0B">
        <w:rPr>
          <w:rFonts w:cs="Arial" w:hint="cs"/>
          <w:rtl/>
        </w:rPr>
        <w:t>מדינה</w:t>
      </w:r>
      <w:r w:rsidRPr="005E0F0B">
        <w:rPr>
          <w:rFonts w:cs="Arial"/>
          <w:rtl/>
        </w:rPr>
        <w:t xml:space="preserve"> </w:t>
      </w:r>
      <w:r w:rsidRPr="005E0F0B">
        <w:rPr>
          <w:rFonts w:cs="Arial" w:hint="cs"/>
          <w:rtl/>
        </w:rPr>
        <w:t>שם</w:t>
      </w:r>
      <w:r w:rsidRPr="005E0F0B">
        <w:rPr>
          <w:rFonts w:cs="Arial"/>
          <w:rtl/>
        </w:rPr>
        <w:t xml:space="preserve"> </w:t>
      </w:r>
      <w:r w:rsidRPr="005E0F0B">
        <w:rPr>
          <w:rFonts w:cs="Arial" w:hint="cs"/>
          <w:rtl/>
        </w:rPr>
        <w:t>מחוז</w:t>
      </w:r>
      <w:r>
        <w:rPr>
          <w:rFonts w:cs="Arial" w:hint="cs"/>
          <w:rtl/>
        </w:rPr>
        <w:t>,</w:t>
      </w:r>
      <w:r w:rsidRPr="005E0F0B">
        <w:rPr>
          <w:rFonts w:cs="Arial"/>
          <w:rtl/>
        </w:rPr>
        <w:t xml:space="preserve"> </w:t>
      </w:r>
      <w:r w:rsidRPr="005E0F0B">
        <w:rPr>
          <w:rFonts w:cs="Arial" w:hint="cs"/>
          <w:rtl/>
        </w:rPr>
        <w:t>אם</w:t>
      </w:r>
      <w:r w:rsidRPr="005E0F0B">
        <w:rPr>
          <w:rFonts w:cs="Arial"/>
          <w:rtl/>
        </w:rPr>
        <w:t xml:space="preserve"> </w:t>
      </w:r>
      <w:r w:rsidRPr="005E0F0B">
        <w:rPr>
          <w:rFonts w:cs="Arial" w:hint="cs"/>
          <w:rtl/>
        </w:rPr>
        <w:t>כן</w:t>
      </w:r>
      <w:r w:rsidRPr="005E0F0B">
        <w:rPr>
          <w:rFonts w:cs="Arial"/>
          <w:rtl/>
        </w:rPr>
        <w:t xml:space="preserve"> </w:t>
      </w:r>
      <w:r w:rsidRPr="005E0F0B">
        <w:rPr>
          <w:rFonts w:cs="Arial" w:hint="cs"/>
          <w:rtl/>
        </w:rPr>
        <w:t>איך</w:t>
      </w:r>
      <w:r w:rsidRPr="005E0F0B">
        <w:rPr>
          <w:rFonts w:cs="Arial"/>
          <w:rtl/>
        </w:rPr>
        <w:t xml:space="preserve"> </w:t>
      </w:r>
      <w:r w:rsidRPr="005E0F0B">
        <w:rPr>
          <w:rFonts w:cs="Arial" w:hint="cs"/>
          <w:rtl/>
        </w:rPr>
        <w:t>היו</w:t>
      </w:r>
      <w:r w:rsidRPr="005E0F0B">
        <w:rPr>
          <w:rFonts w:cs="Arial"/>
          <w:rtl/>
        </w:rPr>
        <w:t xml:space="preserve"> </w:t>
      </w:r>
      <w:r w:rsidRPr="005E0F0B">
        <w:rPr>
          <w:rFonts w:cs="Arial" w:hint="cs"/>
          <w:rtl/>
        </w:rPr>
        <w:t>לאחשורוש</w:t>
      </w:r>
      <w:r w:rsidRPr="005E0F0B">
        <w:rPr>
          <w:rFonts w:cs="Arial"/>
          <w:rtl/>
        </w:rPr>
        <w:t xml:space="preserve"> </w:t>
      </w:r>
      <w:r w:rsidRPr="005E0F0B">
        <w:rPr>
          <w:rFonts w:cs="Arial" w:hint="cs"/>
          <w:rtl/>
        </w:rPr>
        <w:t>קכ</w:t>
      </w:r>
      <w:r w:rsidRPr="005E0F0B">
        <w:rPr>
          <w:rFonts w:cs="Arial"/>
          <w:rtl/>
        </w:rPr>
        <w:t>"</w:t>
      </w:r>
      <w:r w:rsidRPr="005E0F0B">
        <w:rPr>
          <w:rFonts w:cs="Arial" w:hint="cs"/>
          <w:rtl/>
        </w:rPr>
        <w:t>ז</w:t>
      </w:r>
      <w:r w:rsidRPr="005E0F0B">
        <w:rPr>
          <w:rFonts w:cs="Arial"/>
          <w:rtl/>
        </w:rPr>
        <w:t xml:space="preserve"> </w:t>
      </w:r>
      <w:r w:rsidRPr="005E0F0B">
        <w:rPr>
          <w:rFonts w:cs="Arial" w:hint="cs"/>
          <w:rtl/>
        </w:rPr>
        <w:t>מדינה</w:t>
      </w:r>
      <w:r>
        <w:rPr>
          <w:rFonts w:cs="Arial" w:hint="cs"/>
          <w:rtl/>
        </w:rPr>
        <w:t>,</w:t>
      </w:r>
      <w:r w:rsidRPr="005E0F0B">
        <w:rPr>
          <w:rFonts w:cs="Arial"/>
          <w:rtl/>
        </w:rPr>
        <w:t xml:space="preserve"> </w:t>
      </w:r>
      <w:r w:rsidRPr="005E0F0B">
        <w:rPr>
          <w:rFonts w:cs="Arial" w:hint="cs"/>
          <w:rtl/>
        </w:rPr>
        <w:t>ומלך</w:t>
      </w:r>
      <w:r w:rsidRPr="005E0F0B">
        <w:rPr>
          <w:rFonts w:cs="Arial"/>
          <w:rtl/>
        </w:rPr>
        <w:t xml:space="preserve"> </w:t>
      </w:r>
      <w:r w:rsidRPr="005E0F0B">
        <w:rPr>
          <w:rFonts w:cs="Arial" w:hint="cs"/>
          <w:rtl/>
        </w:rPr>
        <w:t>שיש</w:t>
      </w:r>
      <w:r w:rsidRPr="005E0F0B">
        <w:rPr>
          <w:rFonts w:cs="Arial"/>
          <w:rtl/>
        </w:rPr>
        <w:t xml:space="preserve"> </w:t>
      </w:r>
      <w:r w:rsidRPr="005E0F0B">
        <w:rPr>
          <w:rFonts w:cs="Arial" w:hint="cs"/>
          <w:rtl/>
        </w:rPr>
        <w:t>לו</w:t>
      </w:r>
      <w:r w:rsidRPr="005E0F0B">
        <w:rPr>
          <w:rFonts w:cs="Arial"/>
          <w:rtl/>
        </w:rPr>
        <w:t xml:space="preserve"> </w:t>
      </w:r>
      <w:r w:rsidRPr="005E0F0B">
        <w:rPr>
          <w:rFonts w:cs="Arial" w:hint="cs"/>
          <w:rtl/>
        </w:rPr>
        <w:t>עשרה</w:t>
      </w:r>
      <w:r w:rsidRPr="005E0F0B">
        <w:rPr>
          <w:rFonts w:cs="Arial"/>
          <w:rtl/>
        </w:rPr>
        <w:t xml:space="preserve"> </w:t>
      </w:r>
      <w:r w:rsidRPr="005E0F0B">
        <w:rPr>
          <w:rFonts w:cs="Arial" w:hint="cs"/>
          <w:rtl/>
        </w:rPr>
        <w:t>הוא</w:t>
      </w:r>
      <w:r w:rsidRPr="005E0F0B">
        <w:rPr>
          <w:rFonts w:cs="Arial"/>
          <w:rtl/>
        </w:rPr>
        <w:t xml:space="preserve"> </w:t>
      </w:r>
      <w:r w:rsidRPr="005E0F0B">
        <w:rPr>
          <w:rFonts w:cs="Arial" w:hint="cs"/>
          <w:rtl/>
        </w:rPr>
        <w:t>מלך</w:t>
      </w:r>
      <w:r w:rsidRPr="005E0F0B">
        <w:rPr>
          <w:rFonts w:cs="Arial"/>
          <w:rtl/>
        </w:rPr>
        <w:t xml:space="preserve"> </w:t>
      </w:r>
      <w:r w:rsidRPr="005E0F0B">
        <w:rPr>
          <w:rFonts w:cs="Arial" w:hint="cs"/>
          <w:rtl/>
        </w:rPr>
        <w:t>גדול</w:t>
      </w:r>
      <w:r>
        <w:rPr>
          <w:rFonts w:cs="Arial" w:hint="cs"/>
          <w:rtl/>
        </w:rPr>
        <w:t>.</w:t>
      </w:r>
      <w:r w:rsidRPr="005E0F0B">
        <w:rPr>
          <w:rFonts w:cs="Arial"/>
          <w:rtl/>
        </w:rPr>
        <w:t xml:space="preserve"> </w:t>
      </w:r>
      <w:r w:rsidRPr="005E0F0B">
        <w:rPr>
          <w:rFonts w:cs="Arial" w:hint="cs"/>
          <w:rtl/>
        </w:rPr>
        <w:t>וכתוב</w:t>
      </w:r>
      <w:r w:rsidRPr="005E0F0B">
        <w:rPr>
          <w:rFonts w:cs="Arial"/>
          <w:rtl/>
        </w:rPr>
        <w:t xml:space="preserve"> (</w:t>
      </w:r>
      <w:r w:rsidRPr="005E0F0B">
        <w:rPr>
          <w:rFonts w:cs="Arial" w:hint="cs"/>
          <w:rtl/>
        </w:rPr>
        <w:t>קהלת</w:t>
      </w:r>
      <w:r w:rsidRPr="005E0F0B">
        <w:rPr>
          <w:rFonts w:cs="Arial"/>
          <w:rtl/>
        </w:rPr>
        <w:t xml:space="preserve"> </w:t>
      </w:r>
      <w:r w:rsidRPr="005E0F0B">
        <w:rPr>
          <w:rFonts w:cs="Arial" w:hint="cs"/>
          <w:rtl/>
        </w:rPr>
        <w:t>ה</w:t>
      </w:r>
      <w:r w:rsidRPr="005E0F0B">
        <w:rPr>
          <w:rFonts w:cs="Arial"/>
          <w:rtl/>
        </w:rPr>
        <w:t xml:space="preserve"> </w:t>
      </w:r>
      <w:r w:rsidRPr="005E0F0B">
        <w:rPr>
          <w:rFonts w:cs="Arial" w:hint="cs"/>
          <w:rtl/>
        </w:rPr>
        <w:t>ז</w:t>
      </w:r>
      <w:r w:rsidRPr="005E0F0B">
        <w:rPr>
          <w:rFonts w:cs="Arial"/>
          <w:rtl/>
        </w:rPr>
        <w:t xml:space="preserve">) </w:t>
      </w:r>
      <w:r w:rsidRPr="005E0F0B">
        <w:rPr>
          <w:rFonts w:cs="Arial" w:hint="cs"/>
          <w:rtl/>
        </w:rPr>
        <w:t>וגזל</w:t>
      </w:r>
      <w:r w:rsidRPr="005E0F0B">
        <w:rPr>
          <w:rFonts w:cs="Arial"/>
          <w:rtl/>
        </w:rPr>
        <w:t xml:space="preserve"> </w:t>
      </w:r>
      <w:r w:rsidRPr="005E0F0B">
        <w:rPr>
          <w:rFonts w:cs="Arial" w:hint="cs"/>
          <w:rtl/>
        </w:rPr>
        <w:t>משפט</w:t>
      </w:r>
      <w:r w:rsidRPr="005E0F0B">
        <w:rPr>
          <w:rFonts w:cs="Arial"/>
          <w:rtl/>
        </w:rPr>
        <w:t xml:space="preserve"> </w:t>
      </w:r>
      <w:r w:rsidRPr="005E0F0B">
        <w:rPr>
          <w:rFonts w:cs="Arial" w:hint="cs"/>
          <w:rtl/>
        </w:rPr>
        <w:t>וצדק</w:t>
      </w:r>
      <w:r w:rsidRPr="005E0F0B">
        <w:rPr>
          <w:rFonts w:cs="Arial"/>
          <w:rtl/>
        </w:rPr>
        <w:t xml:space="preserve"> </w:t>
      </w:r>
      <w:r w:rsidRPr="005E0F0B">
        <w:rPr>
          <w:rFonts w:cs="Arial" w:hint="cs"/>
          <w:rtl/>
        </w:rPr>
        <w:t>תראה</w:t>
      </w:r>
      <w:r w:rsidRPr="005E0F0B">
        <w:rPr>
          <w:rFonts w:cs="Arial"/>
          <w:rtl/>
        </w:rPr>
        <w:t xml:space="preserve"> </w:t>
      </w:r>
      <w:r w:rsidRPr="005E0F0B">
        <w:rPr>
          <w:rFonts w:cs="Arial" w:hint="cs"/>
          <w:rtl/>
        </w:rPr>
        <w:t>במדינה</w:t>
      </w:r>
      <w:r>
        <w:rPr>
          <w:rFonts w:cs="Arial" w:hint="cs"/>
          <w:rtl/>
        </w:rPr>
        <w:t>,</w:t>
      </w:r>
      <w:r w:rsidRPr="005E0F0B">
        <w:rPr>
          <w:rFonts w:cs="Arial"/>
          <w:rtl/>
        </w:rPr>
        <w:t xml:space="preserve"> </w:t>
      </w:r>
      <w:r w:rsidRPr="005E0F0B">
        <w:rPr>
          <w:rFonts w:cs="Arial" w:hint="cs"/>
          <w:rtl/>
        </w:rPr>
        <w:t>שהטעם</w:t>
      </w:r>
      <w:r w:rsidRPr="005E0F0B">
        <w:rPr>
          <w:rFonts w:cs="Arial"/>
          <w:rtl/>
        </w:rPr>
        <w:t xml:space="preserve"> </w:t>
      </w:r>
      <w:r w:rsidRPr="005E0F0B">
        <w:rPr>
          <w:rFonts w:cs="Arial" w:hint="cs"/>
          <w:rtl/>
        </w:rPr>
        <w:t>עיר</w:t>
      </w:r>
      <w:r w:rsidRPr="005E0F0B">
        <w:rPr>
          <w:rFonts w:cs="Arial"/>
          <w:rtl/>
        </w:rPr>
        <w:t xml:space="preserve"> </w:t>
      </w:r>
      <w:r w:rsidRPr="005E0F0B">
        <w:rPr>
          <w:rFonts w:cs="Arial" w:hint="cs"/>
          <w:rtl/>
        </w:rPr>
        <w:t>המלוכה</w:t>
      </w:r>
      <w:r>
        <w:rPr>
          <w:rFonts w:cs="Arial" w:hint="cs"/>
          <w:rtl/>
        </w:rPr>
        <w:t>.</w:t>
      </w:r>
      <w:r w:rsidRPr="005E0F0B">
        <w:rPr>
          <w:rFonts w:cs="Arial"/>
          <w:rtl/>
        </w:rPr>
        <w:t xml:space="preserve"> </w:t>
      </w:r>
      <w:r w:rsidRPr="005E0F0B">
        <w:rPr>
          <w:rFonts w:cs="Arial" w:hint="cs"/>
          <w:rtl/>
        </w:rPr>
        <w:t>וכתוב</w:t>
      </w:r>
      <w:r w:rsidRPr="005E0F0B">
        <w:rPr>
          <w:rFonts w:cs="Arial"/>
          <w:rtl/>
        </w:rPr>
        <w:t xml:space="preserve"> (</w:t>
      </w:r>
      <w:r w:rsidRPr="005E0F0B">
        <w:rPr>
          <w:rFonts w:cs="Arial" w:hint="cs"/>
          <w:rtl/>
        </w:rPr>
        <w:t>עזרא</w:t>
      </w:r>
      <w:r w:rsidRPr="005E0F0B">
        <w:rPr>
          <w:rFonts w:cs="Arial"/>
          <w:rtl/>
        </w:rPr>
        <w:t xml:space="preserve"> </w:t>
      </w:r>
      <w:r w:rsidRPr="005E0F0B">
        <w:rPr>
          <w:rFonts w:cs="Arial" w:hint="cs"/>
          <w:rtl/>
        </w:rPr>
        <w:t>ה</w:t>
      </w:r>
      <w:r w:rsidRPr="005E0F0B">
        <w:rPr>
          <w:rFonts w:cs="Arial"/>
          <w:rtl/>
        </w:rPr>
        <w:t xml:space="preserve"> </w:t>
      </w:r>
      <w:r w:rsidRPr="005E0F0B">
        <w:rPr>
          <w:rFonts w:cs="Arial" w:hint="cs"/>
          <w:rtl/>
        </w:rPr>
        <w:t>ח</w:t>
      </w:r>
      <w:r w:rsidRPr="005E0F0B">
        <w:rPr>
          <w:rFonts w:cs="Arial"/>
          <w:rtl/>
        </w:rPr>
        <w:t xml:space="preserve">) </w:t>
      </w:r>
      <w:r w:rsidRPr="005E0F0B">
        <w:rPr>
          <w:rFonts w:cs="Arial" w:hint="cs"/>
          <w:rtl/>
        </w:rPr>
        <w:t>ליהוד</w:t>
      </w:r>
      <w:r w:rsidRPr="005E0F0B">
        <w:rPr>
          <w:rFonts w:cs="Arial"/>
          <w:rtl/>
        </w:rPr>
        <w:t xml:space="preserve"> </w:t>
      </w:r>
      <w:r w:rsidRPr="005E0F0B">
        <w:rPr>
          <w:rFonts w:cs="Arial" w:hint="cs"/>
          <w:rtl/>
        </w:rPr>
        <w:t>מדינתא</w:t>
      </w:r>
      <w:r w:rsidRPr="005E0F0B">
        <w:rPr>
          <w:rFonts w:cs="Arial"/>
          <w:rtl/>
        </w:rPr>
        <w:t xml:space="preserve"> </w:t>
      </w:r>
      <w:r w:rsidRPr="005E0F0B">
        <w:rPr>
          <w:rFonts w:cs="Arial" w:hint="cs"/>
          <w:rtl/>
        </w:rPr>
        <w:t>לבית</w:t>
      </w:r>
      <w:r w:rsidRPr="005E0F0B">
        <w:rPr>
          <w:rFonts w:cs="Arial"/>
          <w:rtl/>
        </w:rPr>
        <w:t xml:space="preserve"> </w:t>
      </w:r>
      <w:r w:rsidRPr="005E0F0B">
        <w:rPr>
          <w:rFonts w:cs="Arial" w:hint="cs"/>
          <w:rtl/>
        </w:rPr>
        <w:t>אלהא</w:t>
      </w:r>
      <w:r w:rsidRPr="005E0F0B">
        <w:rPr>
          <w:rFonts w:cs="Arial"/>
          <w:rtl/>
        </w:rPr>
        <w:t xml:space="preserve"> </w:t>
      </w:r>
      <w:r w:rsidRPr="005E0F0B">
        <w:rPr>
          <w:rFonts w:cs="Arial" w:hint="cs"/>
          <w:rtl/>
        </w:rPr>
        <w:t>רבא</w:t>
      </w:r>
      <w:r>
        <w:rPr>
          <w:rFonts w:cs="Arial" w:hint="cs"/>
          <w:rtl/>
        </w:rPr>
        <w:t>.</w:t>
      </w:r>
      <w:r w:rsidRPr="005E0F0B">
        <w:rPr>
          <w:rFonts w:cs="Arial"/>
          <w:rtl/>
        </w:rPr>
        <w:t xml:space="preserve"> </w:t>
      </w:r>
      <w:r w:rsidRPr="005E0F0B">
        <w:rPr>
          <w:rFonts w:cs="Arial" w:hint="cs"/>
          <w:rtl/>
        </w:rPr>
        <w:t>ועוד</w:t>
      </w:r>
      <w:r w:rsidRPr="005E0F0B">
        <w:rPr>
          <w:rFonts w:cs="Arial"/>
          <w:rtl/>
        </w:rPr>
        <w:t xml:space="preserve"> (</w:t>
      </w:r>
      <w:r w:rsidRPr="005E0F0B">
        <w:rPr>
          <w:rFonts w:cs="Arial" w:hint="cs"/>
          <w:rtl/>
        </w:rPr>
        <w:t>דניאל</w:t>
      </w:r>
      <w:r w:rsidRPr="005E0F0B">
        <w:rPr>
          <w:rFonts w:cs="Arial"/>
          <w:rtl/>
        </w:rPr>
        <w:t xml:space="preserve"> </w:t>
      </w:r>
      <w:r w:rsidRPr="005E0F0B">
        <w:rPr>
          <w:rFonts w:cs="Arial" w:hint="cs"/>
          <w:rtl/>
        </w:rPr>
        <w:t>ח</w:t>
      </w:r>
      <w:r w:rsidRPr="005E0F0B">
        <w:rPr>
          <w:rFonts w:cs="Arial"/>
          <w:rtl/>
        </w:rPr>
        <w:t xml:space="preserve"> </w:t>
      </w:r>
      <w:r w:rsidRPr="005E0F0B">
        <w:rPr>
          <w:rFonts w:cs="Arial" w:hint="cs"/>
          <w:rtl/>
        </w:rPr>
        <w:t>ב</w:t>
      </w:r>
      <w:r w:rsidRPr="005E0F0B">
        <w:rPr>
          <w:rFonts w:cs="Arial"/>
          <w:rtl/>
        </w:rPr>
        <w:t xml:space="preserve">) </w:t>
      </w:r>
      <w:r w:rsidRPr="005E0F0B">
        <w:rPr>
          <w:rFonts w:cs="Arial" w:hint="cs"/>
          <w:rtl/>
        </w:rPr>
        <w:t>ואני</w:t>
      </w:r>
      <w:r w:rsidRPr="005E0F0B">
        <w:rPr>
          <w:rFonts w:cs="Arial"/>
          <w:rtl/>
        </w:rPr>
        <w:t xml:space="preserve"> </w:t>
      </w:r>
      <w:r w:rsidRPr="005E0F0B">
        <w:rPr>
          <w:rFonts w:cs="Arial" w:hint="cs"/>
          <w:rtl/>
        </w:rPr>
        <w:t>בשושן</w:t>
      </w:r>
      <w:r w:rsidRPr="005E0F0B">
        <w:rPr>
          <w:rFonts w:cs="Arial"/>
          <w:rtl/>
        </w:rPr>
        <w:t xml:space="preserve"> </w:t>
      </w:r>
      <w:r w:rsidRPr="005E0F0B">
        <w:rPr>
          <w:rFonts w:cs="Arial" w:hint="cs"/>
          <w:rtl/>
        </w:rPr>
        <w:t>הבירה</w:t>
      </w:r>
      <w:r w:rsidRPr="005E0F0B">
        <w:rPr>
          <w:rFonts w:cs="Arial"/>
          <w:rtl/>
        </w:rPr>
        <w:t xml:space="preserve"> </w:t>
      </w:r>
      <w:r w:rsidRPr="005E0F0B">
        <w:rPr>
          <w:rFonts w:cs="Arial" w:hint="cs"/>
          <w:rtl/>
        </w:rPr>
        <w:t>אשר</w:t>
      </w:r>
      <w:r w:rsidRPr="005E0F0B">
        <w:rPr>
          <w:rFonts w:cs="Arial"/>
          <w:rtl/>
        </w:rPr>
        <w:t xml:space="preserve"> </w:t>
      </w:r>
      <w:r w:rsidRPr="005E0F0B">
        <w:rPr>
          <w:rFonts w:cs="Arial" w:hint="cs"/>
          <w:rtl/>
        </w:rPr>
        <w:t>בעילם</w:t>
      </w:r>
      <w:r w:rsidRPr="005E0F0B">
        <w:rPr>
          <w:rFonts w:cs="Arial"/>
          <w:rtl/>
        </w:rPr>
        <w:t xml:space="preserve"> </w:t>
      </w:r>
      <w:r w:rsidRPr="005E0F0B">
        <w:rPr>
          <w:rFonts w:cs="Arial" w:hint="cs"/>
          <w:rtl/>
        </w:rPr>
        <w:t>המדינה</w:t>
      </w:r>
      <w:r>
        <w:rPr>
          <w:rFonts w:cs="Arial" w:hint="cs"/>
          <w:rtl/>
        </w:rPr>
        <w:t>.</w:t>
      </w:r>
      <w:r w:rsidRPr="005E0F0B">
        <w:rPr>
          <w:rFonts w:cs="Arial"/>
          <w:rtl/>
        </w:rPr>
        <w:t xml:space="preserve"> </w:t>
      </w:r>
      <w:r w:rsidRPr="005E0F0B">
        <w:rPr>
          <w:rFonts w:cs="Arial" w:hint="cs"/>
          <w:rtl/>
        </w:rPr>
        <w:t>ואם</w:t>
      </w:r>
      <w:r w:rsidRPr="005E0F0B">
        <w:rPr>
          <w:rFonts w:cs="Arial"/>
          <w:rtl/>
        </w:rPr>
        <w:t xml:space="preserve"> </w:t>
      </w:r>
      <w:r w:rsidRPr="005E0F0B">
        <w:rPr>
          <w:rFonts w:cs="Arial" w:hint="cs"/>
          <w:rtl/>
        </w:rPr>
        <w:t>עילם</w:t>
      </w:r>
      <w:r w:rsidRPr="005E0F0B">
        <w:rPr>
          <w:rFonts w:cs="Arial"/>
          <w:rtl/>
        </w:rPr>
        <w:t xml:space="preserve"> </w:t>
      </w:r>
      <w:r w:rsidRPr="005E0F0B">
        <w:rPr>
          <w:rFonts w:cs="Arial" w:hint="cs"/>
          <w:rtl/>
        </w:rPr>
        <w:t>מחוז</w:t>
      </w:r>
      <w:r>
        <w:rPr>
          <w:rFonts w:cs="Arial" w:hint="cs"/>
          <w:rtl/>
        </w:rPr>
        <w:t>,</w:t>
      </w:r>
      <w:r w:rsidRPr="005E0F0B">
        <w:rPr>
          <w:rFonts w:cs="Arial"/>
          <w:rtl/>
        </w:rPr>
        <w:t xml:space="preserve"> </w:t>
      </w:r>
      <w:r w:rsidRPr="005E0F0B">
        <w:rPr>
          <w:rFonts w:cs="Arial" w:hint="cs"/>
          <w:rtl/>
        </w:rPr>
        <w:t>למה</w:t>
      </w:r>
      <w:r w:rsidRPr="005E0F0B">
        <w:rPr>
          <w:rFonts w:cs="Arial"/>
          <w:rtl/>
        </w:rPr>
        <w:t xml:space="preserve"> </w:t>
      </w:r>
      <w:r w:rsidRPr="005E0F0B">
        <w:rPr>
          <w:rFonts w:cs="Arial" w:hint="cs"/>
          <w:rtl/>
        </w:rPr>
        <w:t>לא</w:t>
      </w:r>
      <w:r w:rsidRPr="005E0F0B">
        <w:rPr>
          <w:rFonts w:cs="Arial"/>
          <w:rtl/>
        </w:rPr>
        <w:t xml:space="preserve"> </w:t>
      </w:r>
      <w:r w:rsidRPr="005E0F0B">
        <w:rPr>
          <w:rFonts w:cs="Arial" w:hint="cs"/>
          <w:rtl/>
        </w:rPr>
        <w:t>אמר</w:t>
      </w:r>
      <w:r w:rsidRPr="005E0F0B">
        <w:rPr>
          <w:rFonts w:cs="Arial"/>
          <w:rtl/>
        </w:rPr>
        <w:t xml:space="preserve"> </w:t>
      </w:r>
      <w:r w:rsidRPr="005E0F0B">
        <w:rPr>
          <w:rFonts w:cs="Arial" w:hint="cs"/>
          <w:rtl/>
        </w:rPr>
        <w:t>במדינת</w:t>
      </w:r>
      <w:r w:rsidRPr="005E0F0B">
        <w:rPr>
          <w:rFonts w:cs="Arial"/>
          <w:rtl/>
        </w:rPr>
        <w:t xml:space="preserve"> </w:t>
      </w:r>
      <w:r w:rsidRPr="005E0F0B">
        <w:rPr>
          <w:rFonts w:cs="Arial" w:hint="cs"/>
          <w:rtl/>
        </w:rPr>
        <w:t>עילם</w:t>
      </w:r>
      <w:r w:rsidRPr="005E0F0B">
        <w:rPr>
          <w:rFonts w:cs="Arial"/>
          <w:rtl/>
        </w:rPr>
        <w:t xml:space="preserve"> </w:t>
      </w:r>
      <w:r w:rsidRPr="005E0F0B">
        <w:rPr>
          <w:rFonts w:cs="Arial" w:hint="cs"/>
          <w:rtl/>
        </w:rPr>
        <w:t>כאשר</w:t>
      </w:r>
      <w:r w:rsidRPr="005E0F0B">
        <w:rPr>
          <w:rFonts w:cs="Arial"/>
          <w:rtl/>
        </w:rPr>
        <w:t xml:space="preserve"> </w:t>
      </w:r>
      <w:r w:rsidRPr="005E0F0B">
        <w:rPr>
          <w:rFonts w:cs="Arial" w:hint="cs"/>
          <w:rtl/>
        </w:rPr>
        <w:t>פירשו</w:t>
      </w:r>
      <w:r w:rsidRPr="005E0F0B">
        <w:rPr>
          <w:rFonts w:cs="Arial"/>
          <w:rtl/>
        </w:rPr>
        <w:t xml:space="preserve"> </w:t>
      </w:r>
      <w:r w:rsidRPr="005E0F0B">
        <w:rPr>
          <w:rFonts w:cs="Arial" w:hint="cs"/>
          <w:rtl/>
        </w:rPr>
        <w:t>במדינת</w:t>
      </w:r>
      <w:r w:rsidRPr="005E0F0B">
        <w:rPr>
          <w:rFonts w:cs="Arial"/>
          <w:rtl/>
        </w:rPr>
        <w:t xml:space="preserve"> </w:t>
      </w:r>
      <w:r w:rsidRPr="005E0F0B">
        <w:rPr>
          <w:rFonts w:cs="Arial" w:hint="cs"/>
          <w:rtl/>
        </w:rPr>
        <w:t>בבל</w:t>
      </w:r>
      <w:r w:rsidRPr="005E0F0B">
        <w:rPr>
          <w:rFonts w:cs="Arial"/>
          <w:rtl/>
        </w:rPr>
        <w:t xml:space="preserve">. </w:t>
      </w:r>
      <w:r w:rsidRPr="005E0F0B">
        <w:rPr>
          <w:rFonts w:cs="Arial" w:hint="cs"/>
          <w:rtl/>
        </w:rPr>
        <w:t>וגם</w:t>
      </w:r>
      <w:r w:rsidRPr="005E0F0B">
        <w:rPr>
          <w:rFonts w:cs="Arial"/>
          <w:rtl/>
        </w:rPr>
        <w:t xml:space="preserve"> </w:t>
      </w:r>
      <w:r w:rsidRPr="005E0F0B">
        <w:rPr>
          <w:rFonts w:cs="Arial" w:hint="cs"/>
          <w:rtl/>
        </w:rPr>
        <w:t>הרד</w:t>
      </w:r>
      <w:r w:rsidRPr="005E0F0B">
        <w:rPr>
          <w:rFonts w:cs="Arial"/>
          <w:rtl/>
        </w:rPr>
        <w:t>"</w:t>
      </w:r>
      <w:r w:rsidRPr="005E0F0B">
        <w:rPr>
          <w:rFonts w:cs="Arial" w:hint="cs"/>
          <w:rtl/>
        </w:rPr>
        <w:t>ק</w:t>
      </w:r>
      <w:r w:rsidRPr="005E0F0B">
        <w:rPr>
          <w:rFonts w:cs="Arial"/>
          <w:rtl/>
        </w:rPr>
        <w:t xml:space="preserve"> </w:t>
      </w:r>
      <w:r w:rsidRPr="005E0F0B">
        <w:rPr>
          <w:rFonts w:cs="Arial" w:hint="cs"/>
          <w:rtl/>
        </w:rPr>
        <w:t>עם</w:t>
      </w:r>
      <w:r w:rsidRPr="005E0F0B">
        <w:rPr>
          <w:rFonts w:cs="Arial"/>
          <w:rtl/>
        </w:rPr>
        <w:t xml:space="preserve"> </w:t>
      </w:r>
      <w:r w:rsidRPr="005E0F0B">
        <w:rPr>
          <w:rFonts w:cs="Arial" w:hint="cs"/>
          <w:rtl/>
        </w:rPr>
        <w:t>שהוא</w:t>
      </w:r>
      <w:r w:rsidRPr="005E0F0B">
        <w:rPr>
          <w:rFonts w:cs="Arial"/>
          <w:rtl/>
        </w:rPr>
        <w:t xml:space="preserve"> </w:t>
      </w:r>
      <w:r w:rsidRPr="005E0F0B">
        <w:rPr>
          <w:rFonts w:cs="Arial" w:hint="cs"/>
          <w:rtl/>
        </w:rPr>
        <w:t>מסכים</w:t>
      </w:r>
      <w:r w:rsidRPr="005E0F0B">
        <w:rPr>
          <w:rFonts w:cs="Arial"/>
          <w:rtl/>
        </w:rPr>
        <w:t xml:space="preserve"> </w:t>
      </w:r>
      <w:r w:rsidRPr="005E0F0B">
        <w:rPr>
          <w:rFonts w:cs="Arial" w:hint="cs"/>
          <w:rtl/>
        </w:rPr>
        <w:t>שפירוש</w:t>
      </w:r>
      <w:r w:rsidRPr="005E0F0B">
        <w:rPr>
          <w:rFonts w:cs="Arial"/>
          <w:rtl/>
        </w:rPr>
        <w:t xml:space="preserve"> </w:t>
      </w:r>
      <w:r w:rsidRPr="005E0F0B">
        <w:rPr>
          <w:rFonts w:cs="Arial" w:hint="cs"/>
          <w:rtl/>
        </w:rPr>
        <w:t>מדינה</w:t>
      </w:r>
      <w:r w:rsidRPr="005E0F0B">
        <w:rPr>
          <w:rFonts w:cs="Arial"/>
          <w:rtl/>
        </w:rPr>
        <w:t xml:space="preserve"> </w:t>
      </w:r>
      <w:r w:rsidRPr="005E0F0B">
        <w:rPr>
          <w:rFonts w:cs="Arial" w:hint="cs"/>
          <w:rtl/>
        </w:rPr>
        <w:t>מחוז</w:t>
      </w:r>
      <w:r w:rsidRPr="005E0F0B">
        <w:rPr>
          <w:rFonts w:cs="Arial"/>
          <w:rtl/>
        </w:rPr>
        <w:t xml:space="preserve"> </w:t>
      </w:r>
      <w:r w:rsidRPr="005E0F0B">
        <w:rPr>
          <w:rFonts w:cs="Arial" w:hint="cs"/>
          <w:rtl/>
        </w:rPr>
        <w:t>מכל</w:t>
      </w:r>
      <w:r w:rsidRPr="005E0F0B">
        <w:rPr>
          <w:rFonts w:cs="Arial"/>
          <w:rtl/>
        </w:rPr>
        <w:t xml:space="preserve"> </w:t>
      </w:r>
      <w:r w:rsidRPr="005E0F0B">
        <w:rPr>
          <w:rFonts w:cs="Arial" w:hint="cs"/>
          <w:rtl/>
        </w:rPr>
        <w:t>מקום</w:t>
      </w:r>
      <w:r w:rsidRPr="005E0F0B">
        <w:rPr>
          <w:rFonts w:cs="Arial"/>
          <w:rtl/>
        </w:rPr>
        <w:t xml:space="preserve"> </w:t>
      </w:r>
      <w:r w:rsidRPr="005E0F0B">
        <w:rPr>
          <w:rFonts w:cs="Arial" w:hint="cs"/>
          <w:rtl/>
        </w:rPr>
        <w:t>סובר</w:t>
      </w:r>
      <w:r w:rsidRPr="005E0F0B">
        <w:rPr>
          <w:rFonts w:cs="Arial"/>
          <w:rtl/>
        </w:rPr>
        <w:t xml:space="preserve"> </w:t>
      </w:r>
      <w:r w:rsidRPr="005E0F0B">
        <w:rPr>
          <w:rFonts w:cs="Arial" w:hint="cs"/>
          <w:rtl/>
        </w:rPr>
        <w:t>שגם</w:t>
      </w:r>
      <w:r w:rsidRPr="005E0F0B">
        <w:rPr>
          <w:rFonts w:cs="Arial"/>
          <w:rtl/>
        </w:rPr>
        <w:t xml:space="preserve"> </w:t>
      </w:r>
      <w:r w:rsidRPr="005E0F0B">
        <w:rPr>
          <w:rFonts w:cs="Arial" w:hint="cs"/>
          <w:rtl/>
        </w:rPr>
        <w:t>כן</w:t>
      </w:r>
      <w:r w:rsidRPr="005E0F0B">
        <w:rPr>
          <w:rFonts w:cs="Arial"/>
          <w:rtl/>
        </w:rPr>
        <w:t xml:space="preserve"> </w:t>
      </w:r>
      <w:r w:rsidRPr="005E0F0B">
        <w:rPr>
          <w:rFonts w:cs="Arial" w:hint="cs"/>
          <w:rtl/>
        </w:rPr>
        <w:t>על</w:t>
      </w:r>
      <w:r w:rsidRPr="005E0F0B">
        <w:rPr>
          <w:rFonts w:cs="Arial"/>
          <w:rtl/>
        </w:rPr>
        <w:t xml:space="preserve"> </w:t>
      </w:r>
      <w:r w:rsidRPr="005E0F0B">
        <w:rPr>
          <w:rFonts w:cs="Arial" w:hint="cs"/>
          <w:rtl/>
        </w:rPr>
        <w:t>עיר</w:t>
      </w:r>
      <w:r w:rsidRPr="005E0F0B">
        <w:rPr>
          <w:rFonts w:cs="Arial"/>
          <w:rtl/>
        </w:rPr>
        <w:t xml:space="preserve"> </w:t>
      </w:r>
      <w:r w:rsidRPr="005E0F0B">
        <w:rPr>
          <w:rFonts w:cs="Arial" w:hint="cs"/>
          <w:rtl/>
        </w:rPr>
        <w:t>אחת</w:t>
      </w:r>
      <w:r w:rsidRPr="005E0F0B">
        <w:rPr>
          <w:rFonts w:cs="Arial"/>
          <w:rtl/>
        </w:rPr>
        <w:t xml:space="preserve"> </w:t>
      </w:r>
      <w:r w:rsidRPr="005E0F0B">
        <w:rPr>
          <w:rFonts w:cs="Arial" w:hint="cs"/>
          <w:rtl/>
        </w:rPr>
        <w:t>יפול</w:t>
      </w:r>
      <w:r w:rsidRPr="005E0F0B">
        <w:rPr>
          <w:rFonts w:cs="Arial"/>
          <w:rtl/>
        </w:rPr>
        <w:t xml:space="preserve"> </w:t>
      </w:r>
      <w:r w:rsidRPr="005E0F0B">
        <w:rPr>
          <w:rFonts w:cs="Arial" w:hint="cs"/>
          <w:rtl/>
        </w:rPr>
        <w:t>שם</w:t>
      </w:r>
      <w:r w:rsidRPr="005E0F0B">
        <w:rPr>
          <w:rFonts w:cs="Arial"/>
          <w:rtl/>
        </w:rPr>
        <w:t xml:space="preserve"> </w:t>
      </w:r>
      <w:r w:rsidRPr="005E0F0B">
        <w:rPr>
          <w:rFonts w:cs="Arial" w:hint="cs"/>
          <w:rtl/>
        </w:rPr>
        <w:t>מדינה</w:t>
      </w:r>
      <w:r>
        <w:rPr>
          <w:rFonts w:cs="Arial" w:hint="cs"/>
          <w:rtl/>
        </w:rPr>
        <w:t>,</w:t>
      </w:r>
      <w:r w:rsidRPr="005E0F0B">
        <w:rPr>
          <w:rFonts w:cs="Arial"/>
          <w:rtl/>
        </w:rPr>
        <w:t xml:space="preserve"> </w:t>
      </w:r>
      <w:r w:rsidRPr="005E0F0B">
        <w:rPr>
          <w:rFonts w:cs="Arial" w:hint="cs"/>
          <w:rtl/>
        </w:rPr>
        <w:t>שכתב</w:t>
      </w:r>
      <w:r w:rsidRPr="005E0F0B">
        <w:rPr>
          <w:rFonts w:cs="Arial"/>
          <w:rtl/>
        </w:rPr>
        <w:t xml:space="preserve"> </w:t>
      </w:r>
      <w:r w:rsidRPr="005E0F0B">
        <w:rPr>
          <w:rFonts w:cs="Arial" w:hint="cs"/>
          <w:rtl/>
        </w:rPr>
        <w:t>בשרשים</w:t>
      </w:r>
      <w:r w:rsidRPr="005E0F0B">
        <w:rPr>
          <w:rFonts w:cs="Arial"/>
          <w:rtl/>
        </w:rPr>
        <w:t xml:space="preserve"> (</w:t>
      </w:r>
      <w:r w:rsidRPr="005E0F0B">
        <w:rPr>
          <w:rFonts w:cs="Arial" w:hint="cs"/>
          <w:rtl/>
        </w:rPr>
        <w:t>שרש</w:t>
      </w:r>
      <w:r w:rsidRPr="005E0F0B">
        <w:rPr>
          <w:rFonts w:cs="Arial"/>
          <w:rtl/>
        </w:rPr>
        <w:t xml:space="preserve"> </w:t>
      </w:r>
      <w:r w:rsidRPr="005E0F0B">
        <w:rPr>
          <w:rFonts w:cs="Arial" w:hint="cs"/>
          <w:rtl/>
        </w:rPr>
        <w:t>מדן</w:t>
      </w:r>
      <w:r w:rsidRPr="005E0F0B">
        <w:rPr>
          <w:rFonts w:cs="Arial"/>
          <w:rtl/>
        </w:rPr>
        <w:t xml:space="preserve">) </w:t>
      </w:r>
      <w:r w:rsidR="000A0F5A">
        <w:rPr>
          <w:rFonts w:cs="Arial" w:hint="cs"/>
          <w:rtl/>
        </w:rPr>
        <w:t>וז</w:t>
      </w:r>
      <w:r w:rsidR="000A0F5A">
        <w:rPr>
          <w:rFonts w:cs="Arial"/>
          <w:rtl/>
        </w:rPr>
        <w:t>"</w:t>
      </w:r>
      <w:r w:rsidR="000A0F5A">
        <w:rPr>
          <w:rFonts w:cs="Arial" w:hint="cs"/>
          <w:rtl/>
        </w:rPr>
        <w:t>ל:</w:t>
      </w:r>
      <w:r w:rsidRPr="005E0F0B">
        <w:rPr>
          <w:rFonts w:cs="Arial"/>
          <w:rtl/>
        </w:rPr>
        <w:t xml:space="preserve"> </w:t>
      </w:r>
      <w:r w:rsidRPr="005E0F0B">
        <w:rPr>
          <w:rFonts w:cs="Arial" w:hint="cs"/>
          <w:rtl/>
        </w:rPr>
        <w:t>מדינה</w:t>
      </w:r>
      <w:r w:rsidRPr="005E0F0B">
        <w:rPr>
          <w:rFonts w:cs="Arial"/>
          <w:rtl/>
        </w:rPr>
        <w:t xml:space="preserve"> </w:t>
      </w:r>
      <w:r w:rsidRPr="005E0F0B">
        <w:rPr>
          <w:rFonts w:cs="Arial" w:hint="cs"/>
          <w:rtl/>
        </w:rPr>
        <w:t>ומדינה</w:t>
      </w:r>
      <w:r w:rsidRPr="005E0F0B">
        <w:rPr>
          <w:rFonts w:cs="Arial"/>
          <w:rtl/>
        </w:rPr>
        <w:t xml:space="preserve"> </w:t>
      </w:r>
      <w:r w:rsidRPr="005E0F0B">
        <w:rPr>
          <w:rFonts w:cs="Arial" w:hint="cs"/>
          <w:rtl/>
        </w:rPr>
        <w:t>ככתבה</w:t>
      </w:r>
      <w:r>
        <w:rPr>
          <w:rFonts w:cs="Arial" w:hint="cs"/>
          <w:rtl/>
        </w:rPr>
        <w:t>,</w:t>
      </w:r>
      <w:r w:rsidRPr="005E0F0B">
        <w:rPr>
          <w:rFonts w:cs="Arial"/>
          <w:rtl/>
        </w:rPr>
        <w:t xml:space="preserve"> </w:t>
      </w:r>
      <w:r w:rsidRPr="005E0F0B">
        <w:rPr>
          <w:rFonts w:cs="Arial" w:hint="cs"/>
          <w:rtl/>
        </w:rPr>
        <w:t>ידוע</w:t>
      </w:r>
      <w:r w:rsidRPr="005E0F0B">
        <w:rPr>
          <w:rFonts w:cs="Arial"/>
          <w:rtl/>
        </w:rPr>
        <w:t xml:space="preserve"> </w:t>
      </w:r>
      <w:r w:rsidRPr="005E0F0B">
        <w:rPr>
          <w:rFonts w:cs="Arial" w:hint="cs"/>
          <w:rtl/>
        </w:rPr>
        <w:t>והיא</w:t>
      </w:r>
      <w:r w:rsidRPr="005E0F0B">
        <w:rPr>
          <w:rFonts w:cs="Arial"/>
          <w:rtl/>
        </w:rPr>
        <w:t xml:space="preserve"> </w:t>
      </w:r>
      <w:r w:rsidRPr="005E0F0B">
        <w:rPr>
          <w:rFonts w:cs="Arial" w:hint="cs"/>
          <w:rtl/>
        </w:rPr>
        <w:t>כוללת</w:t>
      </w:r>
      <w:r w:rsidRPr="005E0F0B">
        <w:rPr>
          <w:rFonts w:cs="Arial"/>
          <w:rtl/>
        </w:rPr>
        <w:t xml:space="preserve"> </w:t>
      </w:r>
      <w:r w:rsidRPr="005E0F0B">
        <w:rPr>
          <w:rFonts w:cs="Arial" w:hint="cs"/>
          <w:rtl/>
        </w:rPr>
        <w:t>ערים</w:t>
      </w:r>
      <w:r w:rsidRPr="005E0F0B">
        <w:rPr>
          <w:rFonts w:cs="Arial"/>
          <w:rtl/>
        </w:rPr>
        <w:t xml:space="preserve"> </w:t>
      </w:r>
      <w:r w:rsidRPr="005E0F0B">
        <w:rPr>
          <w:rFonts w:cs="Arial" w:hint="cs"/>
          <w:rtl/>
        </w:rPr>
        <w:t>רבים</w:t>
      </w:r>
      <w:r>
        <w:rPr>
          <w:rFonts w:cs="Arial" w:hint="cs"/>
          <w:rtl/>
        </w:rPr>
        <w:t>,</w:t>
      </w:r>
      <w:r w:rsidRPr="005E0F0B">
        <w:rPr>
          <w:rFonts w:cs="Arial"/>
          <w:rtl/>
        </w:rPr>
        <w:t xml:space="preserve"> </w:t>
      </w:r>
      <w:r w:rsidRPr="005E0F0B">
        <w:rPr>
          <w:rFonts w:cs="Arial" w:hint="cs"/>
          <w:rtl/>
        </w:rPr>
        <w:t>וכן</w:t>
      </w:r>
      <w:r w:rsidRPr="005E0F0B">
        <w:rPr>
          <w:rFonts w:cs="Arial"/>
          <w:rtl/>
        </w:rPr>
        <w:t xml:space="preserve"> </w:t>
      </w:r>
      <w:r w:rsidRPr="005E0F0B">
        <w:rPr>
          <w:rFonts w:cs="Arial" w:hint="cs"/>
          <w:rtl/>
        </w:rPr>
        <w:t>בעילם</w:t>
      </w:r>
      <w:r w:rsidRPr="005E0F0B">
        <w:rPr>
          <w:rFonts w:cs="Arial"/>
          <w:rtl/>
        </w:rPr>
        <w:t xml:space="preserve"> </w:t>
      </w:r>
      <w:r w:rsidRPr="005E0F0B">
        <w:rPr>
          <w:rFonts w:cs="Arial" w:hint="cs"/>
          <w:rtl/>
        </w:rPr>
        <w:t>המדינה</w:t>
      </w:r>
      <w:r w:rsidRPr="005E0F0B">
        <w:rPr>
          <w:rFonts w:cs="Arial"/>
          <w:rtl/>
        </w:rPr>
        <w:t xml:space="preserve"> (</w:t>
      </w:r>
      <w:r w:rsidRPr="005E0F0B">
        <w:rPr>
          <w:rFonts w:cs="Arial" w:hint="cs"/>
          <w:rtl/>
        </w:rPr>
        <w:t>דניאל</w:t>
      </w:r>
      <w:r w:rsidRPr="005E0F0B">
        <w:rPr>
          <w:rFonts w:cs="Arial"/>
          <w:rtl/>
        </w:rPr>
        <w:t xml:space="preserve"> </w:t>
      </w:r>
      <w:r w:rsidRPr="005E0F0B">
        <w:rPr>
          <w:rFonts w:cs="Arial" w:hint="cs"/>
          <w:rtl/>
        </w:rPr>
        <w:t>שם</w:t>
      </w:r>
      <w:r w:rsidRPr="005E0F0B">
        <w:rPr>
          <w:rFonts w:cs="Arial"/>
          <w:rtl/>
        </w:rPr>
        <w:t>)</w:t>
      </w:r>
      <w:r>
        <w:rPr>
          <w:rFonts w:cs="Arial" w:hint="cs"/>
          <w:rtl/>
        </w:rPr>
        <w:t>,</w:t>
      </w:r>
      <w:r w:rsidRPr="005E0F0B">
        <w:rPr>
          <w:rFonts w:cs="Arial"/>
          <w:rtl/>
        </w:rPr>
        <w:t xml:space="preserve"> </w:t>
      </w:r>
      <w:r w:rsidRPr="005E0F0B">
        <w:rPr>
          <w:rFonts w:cs="Arial" w:hint="cs"/>
          <w:rtl/>
        </w:rPr>
        <w:t>או</w:t>
      </w:r>
      <w:r w:rsidRPr="005E0F0B">
        <w:rPr>
          <w:rFonts w:cs="Arial"/>
          <w:rtl/>
        </w:rPr>
        <w:t xml:space="preserve"> </w:t>
      </w:r>
      <w:r w:rsidRPr="005E0F0B">
        <w:rPr>
          <w:rFonts w:cs="Arial" w:hint="cs"/>
          <w:rtl/>
        </w:rPr>
        <w:t>היא</w:t>
      </w:r>
      <w:r w:rsidRPr="005E0F0B">
        <w:rPr>
          <w:rFonts w:cs="Arial"/>
          <w:rtl/>
        </w:rPr>
        <w:t xml:space="preserve"> </w:t>
      </w:r>
      <w:r w:rsidRPr="005E0F0B">
        <w:rPr>
          <w:rFonts w:cs="Arial" w:hint="cs"/>
          <w:rtl/>
        </w:rPr>
        <w:t>פעם</w:t>
      </w:r>
      <w:r w:rsidRPr="005E0F0B">
        <w:rPr>
          <w:rFonts w:cs="Arial"/>
          <w:rtl/>
        </w:rPr>
        <w:t xml:space="preserve"> </w:t>
      </w:r>
      <w:r w:rsidRPr="005E0F0B">
        <w:rPr>
          <w:rFonts w:cs="Arial" w:hint="cs"/>
          <w:rtl/>
        </w:rPr>
        <w:t>כלל</w:t>
      </w:r>
      <w:r w:rsidRPr="005E0F0B">
        <w:rPr>
          <w:rFonts w:cs="Arial"/>
          <w:rtl/>
        </w:rPr>
        <w:t xml:space="preserve"> </w:t>
      </w:r>
      <w:r w:rsidRPr="005E0F0B">
        <w:rPr>
          <w:rFonts w:cs="Arial" w:hint="cs"/>
          <w:rtl/>
        </w:rPr>
        <w:t>פעם</w:t>
      </w:r>
      <w:r w:rsidRPr="005E0F0B">
        <w:rPr>
          <w:rFonts w:cs="Arial"/>
          <w:rtl/>
        </w:rPr>
        <w:t xml:space="preserve"> </w:t>
      </w:r>
      <w:r w:rsidRPr="005E0F0B">
        <w:rPr>
          <w:rFonts w:cs="Arial" w:hint="cs"/>
          <w:rtl/>
        </w:rPr>
        <w:t>פרט</w:t>
      </w:r>
      <w:r w:rsidRPr="005E0F0B">
        <w:rPr>
          <w:rFonts w:cs="Arial"/>
          <w:rtl/>
        </w:rPr>
        <w:t xml:space="preserve"> </w:t>
      </w:r>
      <w:r w:rsidRPr="005E0F0B">
        <w:rPr>
          <w:rFonts w:cs="Arial" w:hint="cs"/>
          <w:rtl/>
        </w:rPr>
        <w:t>עכ</w:t>
      </w:r>
      <w:r w:rsidRPr="005E0F0B">
        <w:rPr>
          <w:rFonts w:cs="Arial"/>
          <w:rtl/>
        </w:rPr>
        <w:t>"</w:t>
      </w:r>
      <w:r w:rsidRPr="005E0F0B">
        <w:rPr>
          <w:rFonts w:cs="Arial" w:hint="cs"/>
          <w:rtl/>
        </w:rPr>
        <w:t>ל</w:t>
      </w:r>
      <w:r w:rsidRPr="005E0F0B">
        <w:rPr>
          <w:rFonts w:cs="Arial"/>
          <w:rtl/>
        </w:rPr>
        <w:t xml:space="preserve">. </w:t>
      </w:r>
      <w:r w:rsidRPr="002C4F0A">
        <w:rPr>
          <w:rFonts w:cs="Arial" w:hint="cs"/>
          <w:rtl/>
        </w:rPr>
        <w:t>ובפירוש</w:t>
      </w:r>
      <w:r w:rsidRPr="002C4F0A">
        <w:rPr>
          <w:rFonts w:cs="Arial"/>
          <w:rtl/>
        </w:rPr>
        <w:t xml:space="preserve"> </w:t>
      </w:r>
      <w:r w:rsidRPr="002C4F0A">
        <w:rPr>
          <w:rFonts w:cs="Arial" w:hint="cs"/>
          <w:rtl/>
        </w:rPr>
        <w:t>הגט</w:t>
      </w:r>
      <w:r w:rsidRPr="002C4F0A">
        <w:rPr>
          <w:rFonts w:cs="Arial"/>
          <w:rtl/>
        </w:rPr>
        <w:t xml:space="preserve"> </w:t>
      </w:r>
      <w:r w:rsidRPr="002C4F0A">
        <w:rPr>
          <w:rFonts w:cs="Arial" w:hint="cs"/>
          <w:rtl/>
        </w:rPr>
        <w:t>למה</w:t>
      </w:r>
      <w:r w:rsidRPr="002C4F0A">
        <w:rPr>
          <w:rFonts w:cs="Arial"/>
          <w:rtl/>
        </w:rPr>
        <w:t>"</w:t>
      </w:r>
      <w:r w:rsidRPr="002C4F0A">
        <w:rPr>
          <w:rFonts w:cs="Arial" w:hint="cs"/>
          <w:rtl/>
        </w:rPr>
        <w:t>ר</w:t>
      </w:r>
      <w:r w:rsidRPr="002C4F0A">
        <w:rPr>
          <w:rFonts w:cs="Arial"/>
          <w:rtl/>
        </w:rPr>
        <w:t xml:space="preserve"> </w:t>
      </w:r>
      <w:r w:rsidRPr="002C4F0A">
        <w:rPr>
          <w:rFonts w:cs="Arial" w:hint="cs"/>
          <w:rtl/>
        </w:rPr>
        <w:t>שמעון</w:t>
      </w:r>
      <w:r w:rsidRPr="002C4F0A">
        <w:rPr>
          <w:rFonts w:cs="Arial"/>
          <w:rtl/>
        </w:rPr>
        <w:t xml:space="preserve"> </w:t>
      </w:r>
      <w:r w:rsidRPr="002C4F0A">
        <w:rPr>
          <w:rFonts w:cs="Arial" w:hint="cs"/>
          <w:rtl/>
        </w:rPr>
        <w:t>בר</w:t>
      </w:r>
      <w:r w:rsidRPr="002C4F0A">
        <w:rPr>
          <w:rFonts w:cs="Arial"/>
          <w:rtl/>
        </w:rPr>
        <w:t xml:space="preserve"> </w:t>
      </w:r>
      <w:r w:rsidRPr="002C4F0A">
        <w:rPr>
          <w:rFonts w:cs="Arial" w:hint="cs"/>
          <w:rtl/>
        </w:rPr>
        <w:t>צמח</w:t>
      </w:r>
      <w:r w:rsidRPr="002C4F0A">
        <w:rPr>
          <w:rFonts w:cs="Arial"/>
          <w:rtl/>
        </w:rPr>
        <w:t xml:space="preserve"> </w:t>
      </w:r>
      <w:r w:rsidRPr="002C4F0A">
        <w:rPr>
          <w:rFonts w:cs="Arial" w:hint="cs"/>
          <w:rtl/>
        </w:rPr>
        <w:t>שיש</w:t>
      </w:r>
      <w:r w:rsidRPr="002C4F0A">
        <w:rPr>
          <w:rFonts w:cs="Arial"/>
          <w:rtl/>
        </w:rPr>
        <w:t xml:space="preserve"> </w:t>
      </w:r>
      <w:r w:rsidRPr="002C4F0A">
        <w:rPr>
          <w:rFonts w:cs="Arial" w:hint="cs"/>
          <w:rtl/>
        </w:rPr>
        <w:t>מקומות</w:t>
      </w:r>
      <w:r w:rsidRPr="002C4F0A">
        <w:rPr>
          <w:rFonts w:cs="Arial"/>
          <w:rtl/>
        </w:rPr>
        <w:t xml:space="preserve"> </w:t>
      </w:r>
      <w:r w:rsidRPr="002C4F0A">
        <w:rPr>
          <w:rFonts w:cs="Arial" w:hint="cs"/>
          <w:rtl/>
        </w:rPr>
        <w:t>בספרד</w:t>
      </w:r>
      <w:r w:rsidRPr="002C4F0A">
        <w:rPr>
          <w:rFonts w:cs="Arial"/>
          <w:rtl/>
        </w:rPr>
        <w:t xml:space="preserve"> </w:t>
      </w:r>
      <w:r w:rsidRPr="002C4F0A">
        <w:rPr>
          <w:rFonts w:cs="Arial" w:hint="cs"/>
          <w:rtl/>
        </w:rPr>
        <w:t>ובאשכנז</w:t>
      </w:r>
      <w:r w:rsidRPr="002C4F0A">
        <w:rPr>
          <w:rFonts w:cs="Arial"/>
          <w:rtl/>
        </w:rPr>
        <w:t xml:space="preserve"> </w:t>
      </w:r>
      <w:r w:rsidRPr="002C4F0A">
        <w:rPr>
          <w:rFonts w:cs="Arial" w:hint="cs"/>
          <w:rtl/>
        </w:rPr>
        <w:t>כשהעיר</w:t>
      </w:r>
      <w:r w:rsidRPr="002C4F0A">
        <w:rPr>
          <w:rFonts w:cs="Arial"/>
          <w:rtl/>
        </w:rPr>
        <w:t xml:space="preserve"> </w:t>
      </w:r>
      <w:r w:rsidRPr="002C4F0A">
        <w:rPr>
          <w:rFonts w:cs="Arial" w:hint="cs"/>
          <w:rtl/>
        </w:rPr>
        <w:t>גדולה</w:t>
      </w:r>
      <w:r w:rsidRPr="002C4F0A">
        <w:rPr>
          <w:rFonts w:cs="Arial"/>
          <w:rtl/>
        </w:rPr>
        <w:t xml:space="preserve"> </w:t>
      </w:r>
      <w:r w:rsidRPr="002C4F0A">
        <w:rPr>
          <w:rFonts w:cs="Arial" w:hint="cs"/>
          <w:rtl/>
        </w:rPr>
        <w:t>כותבין</w:t>
      </w:r>
      <w:r w:rsidRPr="002C4F0A">
        <w:rPr>
          <w:rFonts w:cs="Arial"/>
          <w:rtl/>
        </w:rPr>
        <w:t xml:space="preserve"> </w:t>
      </w:r>
      <w:r w:rsidRPr="002C4F0A">
        <w:rPr>
          <w:rFonts w:cs="Arial" w:hint="cs"/>
          <w:rtl/>
        </w:rPr>
        <w:t>במדינה</w:t>
      </w:r>
      <w:r w:rsidRPr="002C4F0A">
        <w:rPr>
          <w:rFonts w:cs="Arial"/>
          <w:rtl/>
        </w:rPr>
        <w:t xml:space="preserve"> </w:t>
      </w:r>
      <w:r w:rsidRPr="002C4F0A">
        <w:rPr>
          <w:rFonts w:cs="Arial" w:hint="cs"/>
          <w:rtl/>
        </w:rPr>
        <w:t>פלונית,</w:t>
      </w:r>
      <w:r w:rsidRPr="002C4F0A">
        <w:rPr>
          <w:rFonts w:cs="Arial"/>
          <w:rtl/>
        </w:rPr>
        <w:t xml:space="preserve"> </w:t>
      </w:r>
      <w:r w:rsidRPr="002C4F0A">
        <w:rPr>
          <w:rFonts w:cs="Arial" w:hint="cs"/>
          <w:rtl/>
        </w:rPr>
        <w:t>ובגלילי</w:t>
      </w:r>
      <w:r w:rsidRPr="002C4F0A">
        <w:rPr>
          <w:rFonts w:cs="Arial"/>
          <w:rtl/>
        </w:rPr>
        <w:t xml:space="preserve"> </w:t>
      </w:r>
      <w:r w:rsidRPr="002C4F0A">
        <w:rPr>
          <w:rFonts w:cs="Arial" w:hint="cs"/>
          <w:rtl/>
        </w:rPr>
        <w:t>צרפת</w:t>
      </w:r>
      <w:r w:rsidRPr="002C4F0A">
        <w:rPr>
          <w:rFonts w:cs="Arial"/>
          <w:rtl/>
        </w:rPr>
        <w:t xml:space="preserve"> </w:t>
      </w:r>
      <w:r w:rsidRPr="002C4F0A">
        <w:rPr>
          <w:rFonts w:cs="Arial" w:hint="cs"/>
          <w:rtl/>
        </w:rPr>
        <w:t>אינם</w:t>
      </w:r>
      <w:r w:rsidRPr="002C4F0A">
        <w:rPr>
          <w:rFonts w:cs="Arial"/>
          <w:rtl/>
        </w:rPr>
        <w:t xml:space="preserve"> </w:t>
      </w:r>
      <w:r w:rsidRPr="002C4F0A">
        <w:rPr>
          <w:rFonts w:cs="Arial" w:hint="cs"/>
          <w:rtl/>
        </w:rPr>
        <w:t>נוהגים</w:t>
      </w:r>
      <w:r w:rsidRPr="002C4F0A">
        <w:rPr>
          <w:rFonts w:cs="Arial"/>
          <w:rtl/>
        </w:rPr>
        <w:t xml:space="preserve"> </w:t>
      </w:r>
      <w:r w:rsidRPr="002C4F0A">
        <w:rPr>
          <w:rFonts w:cs="Arial" w:hint="cs"/>
          <w:rtl/>
        </w:rPr>
        <w:t>כן,</w:t>
      </w:r>
      <w:r w:rsidRPr="002C4F0A">
        <w:rPr>
          <w:rFonts w:cs="Arial"/>
          <w:rtl/>
        </w:rPr>
        <w:t xml:space="preserve"> </w:t>
      </w:r>
      <w:r w:rsidRPr="002C4F0A">
        <w:rPr>
          <w:rFonts w:cs="Arial" w:hint="cs"/>
          <w:rtl/>
        </w:rPr>
        <w:t>דמשמע</w:t>
      </w:r>
      <w:r w:rsidRPr="002C4F0A">
        <w:rPr>
          <w:rFonts w:cs="Arial"/>
          <w:rtl/>
        </w:rPr>
        <w:t xml:space="preserve"> </w:t>
      </w:r>
      <w:r w:rsidRPr="002C4F0A">
        <w:rPr>
          <w:rFonts w:cs="Arial" w:hint="cs"/>
          <w:rtl/>
        </w:rPr>
        <w:t>לשון</w:t>
      </w:r>
      <w:r w:rsidRPr="002C4F0A">
        <w:rPr>
          <w:rFonts w:cs="Arial"/>
          <w:rtl/>
        </w:rPr>
        <w:t xml:space="preserve"> </w:t>
      </w:r>
      <w:r w:rsidRPr="002C4F0A">
        <w:rPr>
          <w:rFonts w:cs="Arial" w:hint="cs"/>
          <w:rtl/>
        </w:rPr>
        <w:t>מדינה</w:t>
      </w:r>
      <w:r w:rsidRPr="002C4F0A">
        <w:rPr>
          <w:rFonts w:cs="Arial"/>
          <w:rtl/>
        </w:rPr>
        <w:t xml:space="preserve"> </w:t>
      </w:r>
      <w:r w:rsidRPr="002C4F0A">
        <w:rPr>
          <w:rFonts w:cs="Arial" w:hint="cs"/>
          <w:rtl/>
        </w:rPr>
        <w:t>ארץ</w:t>
      </w:r>
      <w:r w:rsidRPr="002C4F0A">
        <w:rPr>
          <w:rFonts w:cs="Arial"/>
          <w:rtl/>
        </w:rPr>
        <w:t xml:space="preserve"> </w:t>
      </w:r>
      <w:r w:rsidRPr="002C4F0A">
        <w:rPr>
          <w:rFonts w:cs="Arial" w:hint="cs"/>
          <w:rtl/>
        </w:rPr>
        <w:t>אחת,</w:t>
      </w:r>
      <w:r w:rsidRPr="002C4F0A">
        <w:rPr>
          <w:rFonts w:cs="Arial"/>
          <w:rtl/>
        </w:rPr>
        <w:t xml:space="preserve"> </w:t>
      </w:r>
      <w:r w:rsidRPr="002C4F0A">
        <w:rPr>
          <w:rFonts w:cs="Arial" w:hint="cs"/>
          <w:rtl/>
        </w:rPr>
        <w:t>כמו</w:t>
      </w:r>
      <w:r w:rsidRPr="002C4F0A">
        <w:rPr>
          <w:rFonts w:cs="Arial"/>
          <w:rtl/>
        </w:rPr>
        <w:t xml:space="preserve"> </w:t>
      </w:r>
      <w:r w:rsidRPr="002C4F0A">
        <w:rPr>
          <w:rFonts w:cs="Arial" w:hint="cs"/>
          <w:rtl/>
        </w:rPr>
        <w:t>צרפת,</w:t>
      </w:r>
      <w:r w:rsidRPr="002C4F0A">
        <w:rPr>
          <w:rFonts w:cs="Arial"/>
          <w:rtl/>
        </w:rPr>
        <w:t xml:space="preserve"> </w:t>
      </w:r>
      <w:r w:rsidRPr="002C4F0A">
        <w:rPr>
          <w:rFonts w:cs="Arial" w:hint="cs"/>
          <w:rtl/>
        </w:rPr>
        <w:t>ע</w:t>
      </w:r>
      <w:r w:rsidRPr="002C4F0A">
        <w:rPr>
          <w:rFonts w:cs="Arial"/>
          <w:rtl/>
        </w:rPr>
        <w:t>"</w:t>
      </w:r>
      <w:r w:rsidRPr="002C4F0A">
        <w:rPr>
          <w:rFonts w:cs="Arial" w:hint="cs"/>
          <w:rtl/>
        </w:rPr>
        <w:t>ד</w:t>
      </w:r>
      <w:r w:rsidRPr="002C4F0A">
        <w:rPr>
          <w:rFonts w:cs="Arial"/>
          <w:rtl/>
        </w:rPr>
        <w:t xml:space="preserve"> </w:t>
      </w:r>
      <w:r w:rsidRPr="002C4F0A">
        <w:rPr>
          <w:rFonts w:cs="Arial" w:hint="cs"/>
          <w:rtl/>
        </w:rPr>
        <w:t>לשון</w:t>
      </w:r>
      <w:r w:rsidRPr="002C4F0A">
        <w:rPr>
          <w:rFonts w:cs="Arial"/>
          <w:rtl/>
        </w:rPr>
        <w:t xml:space="preserve"> </w:t>
      </w:r>
      <w:r w:rsidRPr="002C4F0A">
        <w:rPr>
          <w:rFonts w:cs="Arial" w:hint="cs"/>
          <w:rtl/>
        </w:rPr>
        <w:t>לעז</w:t>
      </w:r>
      <w:r w:rsidRPr="002C4F0A">
        <w:rPr>
          <w:rFonts w:cs="Arial"/>
          <w:rtl/>
        </w:rPr>
        <w:t xml:space="preserve"> </w:t>
      </w:r>
      <w:r w:rsidRPr="002C4F0A">
        <w:rPr>
          <w:rFonts w:cs="Arial" w:hint="cs"/>
          <w:rtl/>
        </w:rPr>
        <w:t>הלועזים</w:t>
      </w:r>
      <w:r w:rsidRPr="002C4F0A">
        <w:rPr>
          <w:rFonts w:cs="Arial"/>
          <w:rtl/>
        </w:rPr>
        <w:t xml:space="preserve"> </w:t>
      </w:r>
      <w:r w:rsidRPr="002C4F0A">
        <w:rPr>
          <w:rFonts w:cs="Arial" w:hint="cs"/>
          <w:rtl/>
        </w:rPr>
        <w:t>מדינה</w:t>
      </w:r>
      <w:r w:rsidRPr="002C4F0A">
        <w:rPr>
          <w:rFonts w:cs="Arial"/>
          <w:rtl/>
        </w:rPr>
        <w:t xml:space="preserve"> </w:t>
      </w:r>
      <w:r w:rsidRPr="002C4F0A">
        <w:rPr>
          <w:rFonts w:cs="Arial" w:hint="cs"/>
          <w:rtl/>
        </w:rPr>
        <w:t>פייש.</w:t>
      </w:r>
      <w:r w:rsidRPr="002C4F0A">
        <w:rPr>
          <w:rFonts w:cs="Arial"/>
          <w:rtl/>
        </w:rPr>
        <w:t xml:space="preserve"> </w:t>
      </w:r>
      <w:r w:rsidRPr="002C4F0A">
        <w:rPr>
          <w:rFonts w:cs="Arial" w:hint="cs"/>
          <w:rtl/>
        </w:rPr>
        <w:t>אמנם</w:t>
      </w:r>
      <w:r w:rsidRPr="002C4F0A">
        <w:rPr>
          <w:rFonts w:cs="Arial"/>
          <w:rtl/>
        </w:rPr>
        <w:t xml:space="preserve"> </w:t>
      </w:r>
      <w:r w:rsidRPr="002C4F0A">
        <w:rPr>
          <w:rFonts w:cs="Arial" w:hint="cs"/>
          <w:rtl/>
        </w:rPr>
        <w:t>מביאים</w:t>
      </w:r>
      <w:r w:rsidRPr="002C4F0A">
        <w:rPr>
          <w:rFonts w:cs="Arial"/>
          <w:rtl/>
        </w:rPr>
        <w:t xml:space="preserve"> </w:t>
      </w:r>
      <w:r w:rsidRPr="002C4F0A">
        <w:rPr>
          <w:rFonts w:cs="Arial" w:hint="cs"/>
          <w:rtl/>
        </w:rPr>
        <w:t>ראיה</w:t>
      </w:r>
      <w:r w:rsidRPr="002C4F0A">
        <w:rPr>
          <w:rFonts w:cs="Arial"/>
          <w:rtl/>
        </w:rPr>
        <w:t xml:space="preserve"> </w:t>
      </w:r>
      <w:r w:rsidRPr="002C4F0A">
        <w:rPr>
          <w:rFonts w:cs="Arial" w:hint="cs"/>
          <w:rtl/>
        </w:rPr>
        <w:t>לדבריהם</w:t>
      </w:r>
      <w:r w:rsidRPr="002C4F0A">
        <w:rPr>
          <w:rFonts w:cs="Arial"/>
          <w:rtl/>
        </w:rPr>
        <w:t xml:space="preserve"> </w:t>
      </w:r>
      <w:r w:rsidRPr="002C4F0A">
        <w:rPr>
          <w:rFonts w:cs="Arial" w:hint="cs"/>
          <w:rtl/>
        </w:rPr>
        <w:t>שמצינו</w:t>
      </w:r>
      <w:r w:rsidRPr="002C4F0A">
        <w:rPr>
          <w:rFonts w:cs="Arial"/>
          <w:rtl/>
        </w:rPr>
        <w:t xml:space="preserve"> </w:t>
      </w:r>
      <w:r w:rsidRPr="002C4F0A">
        <w:rPr>
          <w:rFonts w:cs="Arial" w:hint="cs"/>
          <w:rtl/>
        </w:rPr>
        <w:t>עיר</w:t>
      </w:r>
      <w:r w:rsidRPr="002C4F0A">
        <w:rPr>
          <w:rFonts w:cs="Arial"/>
          <w:rtl/>
        </w:rPr>
        <w:t xml:space="preserve"> </w:t>
      </w:r>
      <w:r w:rsidRPr="002C4F0A">
        <w:rPr>
          <w:rFonts w:cs="Arial" w:hint="cs"/>
          <w:rtl/>
        </w:rPr>
        <w:t>גדולה</w:t>
      </w:r>
      <w:r w:rsidRPr="002C4F0A">
        <w:rPr>
          <w:rFonts w:cs="Arial"/>
          <w:rtl/>
        </w:rPr>
        <w:t xml:space="preserve"> </w:t>
      </w:r>
      <w:r w:rsidRPr="002C4F0A">
        <w:rPr>
          <w:rFonts w:cs="Arial" w:hint="cs"/>
          <w:rtl/>
        </w:rPr>
        <w:t>נקראת</w:t>
      </w:r>
      <w:r w:rsidRPr="002C4F0A">
        <w:rPr>
          <w:rFonts w:cs="Arial"/>
          <w:rtl/>
        </w:rPr>
        <w:t xml:space="preserve"> </w:t>
      </w:r>
      <w:r w:rsidRPr="002C4F0A">
        <w:rPr>
          <w:rFonts w:cs="Arial" w:hint="cs"/>
          <w:rtl/>
        </w:rPr>
        <w:t>מדינה.</w:t>
      </w:r>
      <w:r w:rsidRPr="002C4F0A">
        <w:rPr>
          <w:rFonts w:cs="Arial"/>
          <w:rtl/>
        </w:rPr>
        <w:t xml:space="preserve"> </w:t>
      </w:r>
      <w:r w:rsidRPr="002C4F0A">
        <w:rPr>
          <w:rFonts w:cs="Arial" w:hint="cs"/>
          <w:rtl/>
        </w:rPr>
        <w:t>והביא</w:t>
      </w:r>
      <w:r w:rsidRPr="002C4F0A">
        <w:rPr>
          <w:rFonts w:cs="Arial"/>
          <w:rtl/>
        </w:rPr>
        <w:t xml:space="preserve"> </w:t>
      </w:r>
      <w:r w:rsidRPr="002C4F0A">
        <w:rPr>
          <w:rFonts w:cs="Arial" w:hint="cs"/>
          <w:rtl/>
        </w:rPr>
        <w:t>כמה</w:t>
      </w:r>
      <w:r w:rsidRPr="002C4F0A">
        <w:rPr>
          <w:rFonts w:cs="Arial"/>
          <w:rtl/>
        </w:rPr>
        <w:t xml:space="preserve"> </w:t>
      </w:r>
      <w:r w:rsidRPr="002C4F0A">
        <w:rPr>
          <w:rFonts w:cs="Arial" w:hint="cs"/>
          <w:rtl/>
        </w:rPr>
        <w:t>ראיות</w:t>
      </w:r>
      <w:r w:rsidRPr="002C4F0A">
        <w:rPr>
          <w:rFonts w:cs="Arial"/>
          <w:rtl/>
        </w:rPr>
        <w:t xml:space="preserve"> </w:t>
      </w:r>
      <w:r w:rsidRPr="002C4F0A">
        <w:rPr>
          <w:rFonts w:cs="Arial" w:hint="cs"/>
          <w:rtl/>
        </w:rPr>
        <w:t>וכתב</w:t>
      </w:r>
      <w:r w:rsidRPr="002C4F0A">
        <w:rPr>
          <w:rFonts w:cs="Arial"/>
          <w:rtl/>
        </w:rPr>
        <w:t xml:space="preserve"> </w:t>
      </w:r>
      <w:r w:rsidRPr="002C4F0A">
        <w:rPr>
          <w:rFonts w:cs="Arial" w:hint="cs"/>
          <w:rtl/>
        </w:rPr>
        <w:t>שאולי</w:t>
      </w:r>
      <w:r w:rsidRPr="002C4F0A">
        <w:rPr>
          <w:rFonts w:cs="Arial"/>
          <w:rtl/>
        </w:rPr>
        <w:t xml:space="preserve"> </w:t>
      </w:r>
      <w:r w:rsidRPr="002C4F0A">
        <w:rPr>
          <w:rFonts w:cs="Arial" w:hint="cs"/>
          <w:rtl/>
        </w:rPr>
        <w:t>על</w:t>
      </w:r>
      <w:r w:rsidRPr="002C4F0A">
        <w:rPr>
          <w:rFonts w:cs="Arial"/>
          <w:rtl/>
        </w:rPr>
        <w:t xml:space="preserve"> </w:t>
      </w:r>
      <w:r w:rsidRPr="002C4F0A">
        <w:rPr>
          <w:rFonts w:cs="Arial" w:hint="cs"/>
          <w:rtl/>
        </w:rPr>
        <w:t>כן</w:t>
      </w:r>
      <w:r w:rsidRPr="002C4F0A">
        <w:rPr>
          <w:rFonts w:cs="Arial"/>
          <w:rtl/>
        </w:rPr>
        <w:t xml:space="preserve"> </w:t>
      </w:r>
      <w:r w:rsidRPr="002C4F0A">
        <w:rPr>
          <w:rFonts w:cs="Arial" w:hint="cs"/>
          <w:rtl/>
        </w:rPr>
        <w:t>לא</w:t>
      </w:r>
      <w:r w:rsidRPr="002C4F0A">
        <w:rPr>
          <w:rFonts w:cs="Arial"/>
          <w:rtl/>
        </w:rPr>
        <w:t xml:space="preserve"> </w:t>
      </w:r>
      <w:r w:rsidRPr="002C4F0A">
        <w:rPr>
          <w:rFonts w:cs="Arial" w:hint="cs"/>
          <w:rtl/>
        </w:rPr>
        <w:t>נהגו</w:t>
      </w:r>
      <w:r w:rsidRPr="002C4F0A">
        <w:rPr>
          <w:rFonts w:cs="Arial"/>
          <w:rtl/>
        </w:rPr>
        <w:t xml:space="preserve"> </w:t>
      </w:r>
      <w:r w:rsidRPr="002C4F0A">
        <w:rPr>
          <w:rFonts w:cs="Arial" w:hint="cs"/>
          <w:rtl/>
        </w:rPr>
        <w:t>בגלילי</w:t>
      </w:r>
      <w:r w:rsidRPr="002C4F0A">
        <w:rPr>
          <w:rFonts w:cs="Arial"/>
          <w:rtl/>
        </w:rPr>
        <w:t xml:space="preserve"> </w:t>
      </w:r>
      <w:r w:rsidRPr="002C4F0A">
        <w:rPr>
          <w:rFonts w:cs="Arial" w:hint="cs"/>
          <w:rtl/>
        </w:rPr>
        <w:t>צרפת,</w:t>
      </w:r>
      <w:r w:rsidRPr="002C4F0A">
        <w:rPr>
          <w:rFonts w:cs="Arial"/>
          <w:rtl/>
        </w:rPr>
        <w:t xml:space="preserve"> </w:t>
      </w:r>
      <w:r w:rsidRPr="002C4F0A">
        <w:rPr>
          <w:rFonts w:cs="Arial" w:hint="cs"/>
          <w:rtl/>
        </w:rPr>
        <w:t>דלא</w:t>
      </w:r>
      <w:r w:rsidRPr="002C4F0A">
        <w:rPr>
          <w:rFonts w:cs="Arial"/>
          <w:rtl/>
        </w:rPr>
        <w:t xml:space="preserve"> </w:t>
      </w:r>
      <w:r w:rsidRPr="002C4F0A">
        <w:rPr>
          <w:rFonts w:cs="Arial" w:hint="cs"/>
          <w:rtl/>
        </w:rPr>
        <w:t>ידעו</w:t>
      </w:r>
      <w:r w:rsidRPr="002C4F0A">
        <w:rPr>
          <w:rFonts w:cs="Arial"/>
          <w:rtl/>
        </w:rPr>
        <w:t xml:space="preserve"> </w:t>
      </w:r>
      <w:r w:rsidRPr="002C4F0A">
        <w:rPr>
          <w:rFonts w:cs="Arial" w:hint="cs"/>
          <w:rtl/>
        </w:rPr>
        <w:t>שיעור</w:t>
      </w:r>
      <w:r w:rsidRPr="002C4F0A">
        <w:rPr>
          <w:rFonts w:cs="Arial"/>
          <w:rtl/>
        </w:rPr>
        <w:t xml:space="preserve"> </w:t>
      </w:r>
      <w:r w:rsidRPr="002C4F0A">
        <w:rPr>
          <w:rFonts w:cs="Arial" w:hint="cs"/>
          <w:rtl/>
        </w:rPr>
        <w:t>עיר</w:t>
      </w:r>
      <w:r w:rsidRPr="002C4F0A">
        <w:rPr>
          <w:rFonts w:cs="Arial"/>
          <w:rtl/>
        </w:rPr>
        <w:t xml:space="preserve"> </w:t>
      </w:r>
      <w:r w:rsidRPr="002C4F0A">
        <w:rPr>
          <w:rFonts w:cs="Arial" w:hint="cs"/>
          <w:rtl/>
        </w:rPr>
        <w:t>להקרא</w:t>
      </w:r>
      <w:r w:rsidRPr="002C4F0A">
        <w:rPr>
          <w:rFonts w:cs="Arial"/>
          <w:rtl/>
        </w:rPr>
        <w:t xml:space="preserve"> </w:t>
      </w:r>
      <w:r w:rsidRPr="002C4F0A">
        <w:rPr>
          <w:rFonts w:cs="Arial" w:hint="cs"/>
          <w:rtl/>
        </w:rPr>
        <w:t>מדינה</w:t>
      </w:r>
      <w:r w:rsidRPr="002C4F0A">
        <w:rPr>
          <w:rFonts w:cs="Arial"/>
          <w:rtl/>
        </w:rPr>
        <w:t xml:space="preserve"> </w:t>
      </w:r>
      <w:r w:rsidRPr="002C4F0A">
        <w:rPr>
          <w:rFonts w:cs="Arial" w:hint="cs"/>
          <w:rtl/>
        </w:rPr>
        <w:t>אם</w:t>
      </w:r>
      <w:r w:rsidRPr="002C4F0A">
        <w:rPr>
          <w:rFonts w:cs="Arial"/>
          <w:rtl/>
        </w:rPr>
        <w:t xml:space="preserve"> </w:t>
      </w:r>
      <w:r w:rsidRPr="002C4F0A">
        <w:rPr>
          <w:rFonts w:cs="Arial" w:hint="cs"/>
          <w:rtl/>
        </w:rPr>
        <w:t>כביתר</w:t>
      </w:r>
      <w:r w:rsidRPr="002C4F0A">
        <w:rPr>
          <w:rFonts w:cs="Arial"/>
          <w:rtl/>
        </w:rPr>
        <w:t xml:space="preserve"> </w:t>
      </w:r>
      <w:r w:rsidRPr="002C4F0A">
        <w:rPr>
          <w:rFonts w:cs="Arial" w:hint="cs"/>
          <w:rtl/>
        </w:rPr>
        <w:t>או</w:t>
      </w:r>
      <w:r w:rsidRPr="002C4F0A">
        <w:rPr>
          <w:rFonts w:cs="Arial"/>
          <w:rtl/>
        </w:rPr>
        <w:t xml:space="preserve"> </w:t>
      </w:r>
      <w:r w:rsidRPr="002C4F0A">
        <w:rPr>
          <w:rFonts w:cs="Arial" w:hint="cs"/>
          <w:rtl/>
        </w:rPr>
        <w:t>כאנטוכיא</w:t>
      </w:r>
      <w:r w:rsidRPr="002C4F0A">
        <w:rPr>
          <w:rFonts w:cs="Arial"/>
          <w:rtl/>
        </w:rPr>
        <w:t xml:space="preserve"> </w:t>
      </w:r>
      <w:r w:rsidRPr="002C4F0A">
        <w:rPr>
          <w:rFonts w:cs="Arial" w:hint="cs"/>
          <w:rtl/>
        </w:rPr>
        <w:t>או</w:t>
      </w:r>
      <w:r w:rsidRPr="002C4F0A">
        <w:rPr>
          <w:rFonts w:cs="Arial"/>
          <w:rtl/>
        </w:rPr>
        <w:t xml:space="preserve"> </w:t>
      </w:r>
      <w:r w:rsidRPr="002C4F0A">
        <w:rPr>
          <w:rFonts w:cs="Arial" w:hint="cs"/>
          <w:rtl/>
        </w:rPr>
        <w:t>כיוצא</w:t>
      </w:r>
      <w:r w:rsidRPr="002C4F0A">
        <w:rPr>
          <w:rFonts w:cs="Arial"/>
          <w:rtl/>
        </w:rPr>
        <w:t xml:space="preserve"> </w:t>
      </w:r>
      <w:r w:rsidRPr="002C4F0A">
        <w:rPr>
          <w:rFonts w:cs="Arial" w:hint="cs"/>
          <w:rtl/>
        </w:rPr>
        <w:t>באלו,</w:t>
      </w:r>
      <w:r w:rsidRPr="002C4F0A">
        <w:rPr>
          <w:rFonts w:cs="Arial"/>
          <w:rtl/>
        </w:rPr>
        <w:t xml:space="preserve"> </w:t>
      </w:r>
      <w:r w:rsidRPr="002C4F0A">
        <w:rPr>
          <w:rFonts w:cs="Arial" w:hint="cs"/>
          <w:rtl/>
        </w:rPr>
        <w:t>וכתבו</w:t>
      </w:r>
      <w:r w:rsidRPr="002C4F0A">
        <w:rPr>
          <w:rFonts w:cs="Arial"/>
          <w:rtl/>
        </w:rPr>
        <w:t xml:space="preserve"> </w:t>
      </w:r>
      <w:r w:rsidRPr="002C4F0A">
        <w:rPr>
          <w:rFonts w:cs="Arial" w:hint="cs"/>
          <w:rtl/>
        </w:rPr>
        <w:t>מתא</w:t>
      </w:r>
      <w:r w:rsidRPr="002C4F0A">
        <w:rPr>
          <w:rFonts w:cs="Arial"/>
          <w:rtl/>
        </w:rPr>
        <w:t xml:space="preserve"> </w:t>
      </w:r>
      <w:r w:rsidRPr="002C4F0A">
        <w:rPr>
          <w:rFonts w:cs="Arial" w:hint="cs"/>
          <w:rtl/>
        </w:rPr>
        <w:t>דמפקא</w:t>
      </w:r>
      <w:r w:rsidRPr="002C4F0A">
        <w:rPr>
          <w:rFonts w:cs="Arial"/>
          <w:rtl/>
        </w:rPr>
        <w:t xml:space="preserve"> </w:t>
      </w:r>
      <w:r w:rsidRPr="002C4F0A">
        <w:rPr>
          <w:rFonts w:cs="Arial" w:hint="cs"/>
          <w:rtl/>
        </w:rPr>
        <w:t>מכרך</w:t>
      </w:r>
      <w:r w:rsidRPr="002C4F0A">
        <w:rPr>
          <w:rFonts w:cs="Arial"/>
          <w:rtl/>
        </w:rPr>
        <w:t xml:space="preserve"> </w:t>
      </w:r>
      <w:r w:rsidRPr="002C4F0A">
        <w:rPr>
          <w:rFonts w:cs="Arial" w:hint="cs"/>
          <w:rtl/>
        </w:rPr>
        <w:t>ומפקא</w:t>
      </w:r>
      <w:r w:rsidRPr="002C4F0A">
        <w:rPr>
          <w:rFonts w:cs="Arial"/>
          <w:rtl/>
        </w:rPr>
        <w:t xml:space="preserve"> </w:t>
      </w:r>
      <w:r w:rsidRPr="002C4F0A">
        <w:rPr>
          <w:rFonts w:cs="Arial" w:hint="cs"/>
          <w:rtl/>
        </w:rPr>
        <w:t>מכפר,</w:t>
      </w:r>
      <w:r w:rsidRPr="002C4F0A">
        <w:rPr>
          <w:rFonts w:cs="Arial"/>
          <w:rtl/>
        </w:rPr>
        <w:t xml:space="preserve"> </w:t>
      </w:r>
      <w:r w:rsidRPr="002C4F0A">
        <w:rPr>
          <w:rFonts w:cs="Arial" w:hint="cs"/>
          <w:rtl/>
        </w:rPr>
        <w:t>כמו</w:t>
      </w:r>
      <w:r w:rsidRPr="002C4F0A">
        <w:rPr>
          <w:rFonts w:cs="Arial"/>
          <w:rtl/>
        </w:rPr>
        <w:t xml:space="preserve"> </w:t>
      </w:r>
      <w:r w:rsidRPr="002C4F0A">
        <w:rPr>
          <w:rFonts w:cs="Arial" w:hint="cs"/>
          <w:rtl/>
        </w:rPr>
        <w:t>שאמרו</w:t>
      </w:r>
      <w:r w:rsidRPr="002C4F0A">
        <w:rPr>
          <w:rFonts w:cs="Arial"/>
          <w:rtl/>
        </w:rPr>
        <w:t xml:space="preserve"> </w:t>
      </w:r>
      <w:r w:rsidRPr="002C4F0A">
        <w:rPr>
          <w:rFonts w:cs="Arial" w:hint="cs"/>
          <w:rtl/>
        </w:rPr>
        <w:t>במתא</w:t>
      </w:r>
      <w:r w:rsidRPr="002C4F0A">
        <w:rPr>
          <w:rFonts w:cs="Arial"/>
          <w:rtl/>
        </w:rPr>
        <w:t xml:space="preserve"> </w:t>
      </w:r>
      <w:r w:rsidRPr="002C4F0A">
        <w:rPr>
          <w:rFonts w:cs="Arial" w:hint="cs"/>
          <w:rtl/>
        </w:rPr>
        <w:t>מחסיא</w:t>
      </w:r>
      <w:r w:rsidRPr="002C4F0A">
        <w:rPr>
          <w:rFonts w:cs="Arial"/>
          <w:rtl/>
        </w:rPr>
        <w:t xml:space="preserve"> </w:t>
      </w:r>
      <w:r w:rsidRPr="002C4F0A">
        <w:rPr>
          <w:rFonts w:cs="Arial" w:hint="cs"/>
          <w:rtl/>
        </w:rPr>
        <w:t>בפ</w:t>
      </w:r>
      <w:r>
        <w:rPr>
          <w:rFonts w:cs="Arial" w:hint="cs"/>
          <w:rtl/>
        </w:rPr>
        <w:t>"</w:t>
      </w:r>
      <w:r w:rsidRPr="002C4F0A">
        <w:rPr>
          <w:rFonts w:cs="Arial" w:hint="cs"/>
          <w:rtl/>
        </w:rPr>
        <w:t>ק</w:t>
      </w:r>
      <w:r w:rsidRPr="002C4F0A">
        <w:rPr>
          <w:rFonts w:cs="Arial"/>
          <w:rtl/>
        </w:rPr>
        <w:t xml:space="preserve"> </w:t>
      </w:r>
      <w:r w:rsidRPr="002C4F0A">
        <w:rPr>
          <w:rFonts w:cs="Arial" w:hint="cs"/>
          <w:rtl/>
        </w:rPr>
        <w:t>דכתובות</w:t>
      </w:r>
      <w:r w:rsidRPr="002C4F0A">
        <w:rPr>
          <w:rFonts w:cs="Arial"/>
          <w:rtl/>
        </w:rPr>
        <w:t xml:space="preserve"> (</w:t>
      </w:r>
      <w:r w:rsidRPr="002C4F0A">
        <w:rPr>
          <w:rFonts w:cs="Arial" w:hint="cs"/>
          <w:rtl/>
        </w:rPr>
        <w:t>ד</w:t>
      </w:r>
      <w:r w:rsidRPr="002C4F0A">
        <w:rPr>
          <w:rFonts w:cs="Arial"/>
          <w:rtl/>
        </w:rPr>
        <w:t>.)</w:t>
      </w:r>
      <w:r>
        <w:rPr>
          <w:rFonts w:cs="Arial" w:hint="cs"/>
          <w:rtl/>
        </w:rPr>
        <w:t xml:space="preserve">, </w:t>
      </w:r>
      <w:r w:rsidRPr="002C4F0A">
        <w:rPr>
          <w:rFonts w:cs="Arial" w:hint="cs"/>
          <w:b/>
          <w:bCs/>
          <w:rtl/>
        </w:rPr>
        <w:t>ב"י</w:t>
      </w:r>
      <w:r>
        <w:rPr>
          <w:rFonts w:cs="Arial" w:hint="cs"/>
          <w:rtl/>
        </w:rPr>
        <w:t>.</w:t>
      </w:r>
      <w:r w:rsidRPr="003C7C89">
        <w:rPr>
          <w:rFonts w:cs="Arial"/>
          <w:rtl/>
        </w:rPr>
        <w:t xml:space="preserve"> </w:t>
      </w:r>
      <w:r>
        <w:rPr>
          <w:rFonts w:cs="Arial" w:hint="cs"/>
          <w:rtl/>
        </w:rPr>
        <w:t xml:space="preserve">וכתב </w:t>
      </w:r>
      <w:r w:rsidRPr="002C4F0A">
        <w:rPr>
          <w:rFonts w:cs="Arial" w:hint="cs"/>
          <w:b/>
          <w:bCs/>
          <w:rtl/>
        </w:rPr>
        <w:t xml:space="preserve">הדרכ"מ </w:t>
      </w:r>
      <w:r w:rsidRPr="003C7C89">
        <w:rPr>
          <w:rFonts w:cs="Arial"/>
          <w:rtl/>
        </w:rPr>
        <w:t>(</w:t>
      </w:r>
      <w:r>
        <w:rPr>
          <w:rFonts w:cs="Arial" w:hint="cs"/>
          <w:rtl/>
        </w:rPr>
        <w:t xml:space="preserve">אות </w:t>
      </w:r>
      <w:r w:rsidRPr="003C7C89">
        <w:rPr>
          <w:rFonts w:cs="Arial" w:hint="cs"/>
          <w:rtl/>
        </w:rPr>
        <w:t>ה</w:t>
      </w:r>
      <w:r w:rsidRPr="003C7C89">
        <w:rPr>
          <w:rFonts w:cs="Arial"/>
          <w:rtl/>
        </w:rPr>
        <w:t>)</w:t>
      </w:r>
      <w:r w:rsidR="00AA1079">
        <w:rPr>
          <w:rFonts w:cs="Arial" w:hint="cs"/>
          <w:rtl/>
        </w:rPr>
        <w:t xml:space="preserve">: </w:t>
      </w:r>
      <w:r w:rsidRPr="003C7C89">
        <w:rPr>
          <w:rFonts w:cs="Arial" w:hint="cs"/>
          <w:rtl/>
        </w:rPr>
        <w:t>ובסדר</w:t>
      </w:r>
      <w:r w:rsidRPr="003C7C89">
        <w:rPr>
          <w:rFonts w:cs="Arial"/>
          <w:rtl/>
        </w:rPr>
        <w:t xml:space="preserve"> </w:t>
      </w:r>
      <w:r w:rsidRPr="003C7C89">
        <w:rPr>
          <w:rFonts w:cs="Arial" w:hint="cs"/>
          <w:rtl/>
        </w:rPr>
        <w:t>גיטין</w:t>
      </w:r>
      <w:r w:rsidRPr="003C7C89">
        <w:rPr>
          <w:rFonts w:cs="Arial"/>
          <w:rtl/>
        </w:rPr>
        <w:t xml:space="preserve"> </w:t>
      </w:r>
      <w:r w:rsidRPr="003C7C89">
        <w:rPr>
          <w:rFonts w:cs="Arial" w:hint="cs"/>
          <w:rtl/>
        </w:rPr>
        <w:t>שלנו</w:t>
      </w:r>
      <w:r w:rsidRPr="003C7C89">
        <w:rPr>
          <w:rFonts w:cs="Arial"/>
          <w:rtl/>
        </w:rPr>
        <w:t xml:space="preserve"> </w:t>
      </w:r>
      <w:r>
        <w:rPr>
          <w:rFonts w:cs="Arial" w:hint="cs"/>
          <w:rtl/>
        </w:rPr>
        <w:t>(</w:t>
      </w:r>
      <w:r w:rsidRPr="003C7C89">
        <w:rPr>
          <w:rFonts w:cs="Arial" w:hint="cs"/>
          <w:rtl/>
        </w:rPr>
        <w:t>סי</w:t>
      </w:r>
      <w:r>
        <w:rPr>
          <w:rFonts w:cs="Arial" w:hint="cs"/>
          <w:rtl/>
        </w:rPr>
        <w:t>'</w:t>
      </w:r>
      <w:r w:rsidRPr="003C7C89">
        <w:rPr>
          <w:rFonts w:cs="Arial"/>
          <w:rtl/>
        </w:rPr>
        <w:t xml:space="preserve"> </w:t>
      </w:r>
      <w:r w:rsidRPr="003C7C89">
        <w:rPr>
          <w:rFonts w:cs="Arial" w:hint="cs"/>
          <w:rtl/>
        </w:rPr>
        <w:t>יט</w:t>
      </w:r>
      <w:r w:rsidRPr="003C7C89">
        <w:rPr>
          <w:rFonts w:cs="Arial"/>
          <w:rtl/>
        </w:rPr>
        <w:t xml:space="preserve"> </w:t>
      </w:r>
      <w:r w:rsidRPr="003C7C89">
        <w:rPr>
          <w:rFonts w:cs="Arial" w:hint="cs"/>
          <w:rtl/>
        </w:rPr>
        <w:t>סע</w:t>
      </w:r>
      <w:r>
        <w:rPr>
          <w:rFonts w:cs="Arial" w:hint="cs"/>
          <w:rtl/>
        </w:rPr>
        <w:t>'</w:t>
      </w:r>
      <w:r w:rsidRPr="003C7C89">
        <w:rPr>
          <w:rFonts w:cs="Arial"/>
          <w:rtl/>
        </w:rPr>
        <w:t xml:space="preserve"> </w:t>
      </w:r>
      <w:r w:rsidRPr="003C7C89">
        <w:rPr>
          <w:rFonts w:cs="Arial" w:hint="cs"/>
          <w:rtl/>
        </w:rPr>
        <w:t>ט</w:t>
      </w:r>
      <w:r w:rsidRPr="003C7C89">
        <w:rPr>
          <w:rFonts w:cs="Arial"/>
          <w:rtl/>
        </w:rPr>
        <w:t xml:space="preserve">) </w:t>
      </w:r>
      <w:r w:rsidRPr="003C7C89">
        <w:rPr>
          <w:rFonts w:cs="Arial" w:hint="cs"/>
          <w:rtl/>
        </w:rPr>
        <w:t>כתב</w:t>
      </w:r>
      <w:r w:rsidRPr="003C7C89">
        <w:rPr>
          <w:rFonts w:cs="Arial"/>
          <w:rtl/>
        </w:rPr>
        <w:t xml:space="preserve"> </w:t>
      </w:r>
      <w:r w:rsidRPr="003C7C89">
        <w:rPr>
          <w:rFonts w:cs="Arial" w:hint="cs"/>
          <w:rtl/>
        </w:rPr>
        <w:t>דאין</w:t>
      </w:r>
      <w:r w:rsidRPr="003C7C89">
        <w:rPr>
          <w:rFonts w:cs="Arial"/>
          <w:rtl/>
        </w:rPr>
        <w:t xml:space="preserve"> </w:t>
      </w:r>
      <w:r w:rsidRPr="003C7C89">
        <w:rPr>
          <w:rFonts w:cs="Arial" w:hint="cs"/>
          <w:rtl/>
        </w:rPr>
        <w:t>לכתוב</w:t>
      </w:r>
      <w:r w:rsidRPr="003C7C89">
        <w:rPr>
          <w:rFonts w:cs="Arial"/>
          <w:rtl/>
        </w:rPr>
        <w:t xml:space="preserve"> </w:t>
      </w:r>
      <w:r w:rsidRPr="003C7C89">
        <w:rPr>
          <w:rFonts w:cs="Arial" w:hint="cs"/>
          <w:rtl/>
        </w:rPr>
        <w:t>מדינה</w:t>
      </w:r>
      <w:r w:rsidRPr="003C7C89">
        <w:rPr>
          <w:rFonts w:cs="Arial"/>
          <w:rtl/>
        </w:rPr>
        <w:t xml:space="preserve"> </w:t>
      </w:r>
      <w:r w:rsidRPr="003C7C89">
        <w:rPr>
          <w:rFonts w:cs="Arial" w:hint="cs"/>
          <w:rtl/>
        </w:rPr>
        <w:t>אלא</w:t>
      </w:r>
      <w:r w:rsidRPr="003C7C89">
        <w:rPr>
          <w:rFonts w:cs="Arial"/>
          <w:rtl/>
        </w:rPr>
        <w:t xml:space="preserve"> </w:t>
      </w:r>
      <w:r w:rsidRPr="003C7C89">
        <w:rPr>
          <w:rFonts w:cs="Arial" w:hint="cs"/>
          <w:rtl/>
        </w:rPr>
        <w:t>כשכל</w:t>
      </w:r>
      <w:r w:rsidRPr="003C7C89">
        <w:rPr>
          <w:rFonts w:cs="Arial"/>
          <w:rtl/>
        </w:rPr>
        <w:t xml:space="preserve"> </w:t>
      </w:r>
      <w:r w:rsidRPr="003C7C89">
        <w:rPr>
          <w:rFonts w:cs="Arial" w:hint="cs"/>
          <w:rtl/>
        </w:rPr>
        <w:t>הפלך</w:t>
      </w:r>
      <w:r w:rsidRPr="003C7C89">
        <w:rPr>
          <w:rFonts w:cs="Arial"/>
          <w:rtl/>
        </w:rPr>
        <w:t xml:space="preserve"> </w:t>
      </w:r>
      <w:r w:rsidRPr="003C7C89">
        <w:rPr>
          <w:rFonts w:cs="Arial" w:hint="cs"/>
          <w:rtl/>
        </w:rPr>
        <w:t>נקרא</w:t>
      </w:r>
      <w:r w:rsidRPr="003C7C89">
        <w:rPr>
          <w:rFonts w:cs="Arial"/>
          <w:rtl/>
        </w:rPr>
        <w:t xml:space="preserve"> </w:t>
      </w:r>
      <w:r w:rsidRPr="003C7C89">
        <w:rPr>
          <w:rFonts w:cs="Arial" w:hint="cs"/>
          <w:rtl/>
        </w:rPr>
        <w:t>על</w:t>
      </w:r>
      <w:r w:rsidRPr="003C7C89">
        <w:rPr>
          <w:rFonts w:cs="Arial"/>
          <w:rtl/>
        </w:rPr>
        <w:t xml:space="preserve"> </w:t>
      </w:r>
      <w:r w:rsidRPr="003C7C89">
        <w:rPr>
          <w:rFonts w:cs="Arial" w:hint="cs"/>
          <w:rtl/>
        </w:rPr>
        <w:t>שם</w:t>
      </w:r>
      <w:r w:rsidRPr="003C7C89">
        <w:rPr>
          <w:rFonts w:cs="Arial"/>
          <w:rtl/>
        </w:rPr>
        <w:t xml:space="preserve"> </w:t>
      </w:r>
      <w:r w:rsidRPr="003C7C89">
        <w:rPr>
          <w:rFonts w:cs="Arial" w:hint="cs"/>
          <w:rtl/>
        </w:rPr>
        <w:t>אותה</w:t>
      </w:r>
      <w:r w:rsidRPr="003C7C89">
        <w:rPr>
          <w:rFonts w:cs="Arial"/>
          <w:rtl/>
        </w:rPr>
        <w:t xml:space="preserve"> </w:t>
      </w:r>
      <w:r w:rsidRPr="003C7C89">
        <w:rPr>
          <w:rFonts w:cs="Arial" w:hint="cs"/>
          <w:rtl/>
        </w:rPr>
        <w:t>העיר</w:t>
      </w:r>
      <w:r>
        <w:rPr>
          <w:rFonts w:cs="Arial" w:hint="cs"/>
          <w:rtl/>
        </w:rPr>
        <w:t>.</w:t>
      </w:r>
      <w:r w:rsidRPr="003C7C89">
        <w:rPr>
          <w:rFonts w:cs="Arial"/>
          <w:rtl/>
        </w:rPr>
        <w:t xml:space="preserve"> </w:t>
      </w:r>
      <w:r w:rsidRPr="003C7C89">
        <w:rPr>
          <w:rFonts w:cs="Arial" w:hint="cs"/>
          <w:rtl/>
        </w:rPr>
        <w:t>ובסי</w:t>
      </w:r>
      <w:r>
        <w:rPr>
          <w:rFonts w:cs="Arial" w:hint="cs"/>
          <w:rtl/>
        </w:rPr>
        <w:t>'</w:t>
      </w:r>
      <w:r w:rsidRPr="003C7C89">
        <w:rPr>
          <w:rFonts w:cs="Arial"/>
          <w:rtl/>
        </w:rPr>
        <w:t xml:space="preserve"> </w:t>
      </w:r>
      <w:r w:rsidRPr="003C7C89">
        <w:rPr>
          <w:rFonts w:cs="Arial" w:hint="cs"/>
          <w:rtl/>
        </w:rPr>
        <w:t>ל</w:t>
      </w:r>
      <w:r w:rsidRPr="003C7C89">
        <w:rPr>
          <w:rFonts w:cs="Arial"/>
          <w:rtl/>
        </w:rPr>
        <w:t>"</w:t>
      </w:r>
      <w:r w:rsidRPr="003C7C89">
        <w:rPr>
          <w:rFonts w:cs="Arial" w:hint="cs"/>
          <w:rtl/>
        </w:rPr>
        <w:t>ז</w:t>
      </w:r>
      <w:r w:rsidRPr="003C7C89">
        <w:rPr>
          <w:rFonts w:cs="Arial"/>
          <w:rtl/>
        </w:rPr>
        <w:t xml:space="preserve"> (</w:t>
      </w:r>
      <w:r w:rsidRPr="003C7C89">
        <w:rPr>
          <w:rFonts w:cs="Arial" w:hint="cs"/>
          <w:rtl/>
        </w:rPr>
        <w:t>סע</w:t>
      </w:r>
      <w:r>
        <w:rPr>
          <w:rFonts w:cs="Arial" w:hint="cs"/>
          <w:rtl/>
        </w:rPr>
        <w:t>'</w:t>
      </w:r>
      <w:r w:rsidRPr="003C7C89">
        <w:rPr>
          <w:rFonts w:cs="Arial"/>
          <w:rtl/>
        </w:rPr>
        <w:t xml:space="preserve"> </w:t>
      </w:r>
      <w:r w:rsidRPr="003C7C89">
        <w:rPr>
          <w:rFonts w:cs="Arial" w:hint="cs"/>
          <w:rtl/>
        </w:rPr>
        <w:t>ג</w:t>
      </w:r>
      <w:r w:rsidRPr="003C7C89">
        <w:rPr>
          <w:rFonts w:cs="Arial"/>
          <w:rtl/>
        </w:rPr>
        <w:t xml:space="preserve">) </w:t>
      </w:r>
      <w:r w:rsidRPr="003C7C89">
        <w:rPr>
          <w:rFonts w:cs="Arial" w:hint="cs"/>
          <w:rtl/>
        </w:rPr>
        <w:t>כתב</w:t>
      </w:r>
      <w:r w:rsidRPr="003C7C89">
        <w:rPr>
          <w:rFonts w:cs="Arial"/>
          <w:rtl/>
        </w:rPr>
        <w:t xml:space="preserve"> </w:t>
      </w:r>
      <w:r w:rsidRPr="003C7C89">
        <w:rPr>
          <w:rFonts w:cs="Arial" w:hint="cs"/>
          <w:rtl/>
        </w:rPr>
        <w:t>דאפילו</w:t>
      </w:r>
      <w:r w:rsidRPr="003C7C89">
        <w:rPr>
          <w:rFonts w:cs="Arial"/>
          <w:rtl/>
        </w:rPr>
        <w:t xml:space="preserve"> </w:t>
      </w:r>
      <w:r w:rsidRPr="003C7C89">
        <w:rPr>
          <w:rFonts w:cs="Arial" w:hint="cs"/>
          <w:rtl/>
        </w:rPr>
        <w:t>בכה</w:t>
      </w:r>
      <w:r>
        <w:rPr>
          <w:rFonts w:cs="Arial" w:hint="cs"/>
          <w:rtl/>
        </w:rPr>
        <w:t>"</w:t>
      </w:r>
      <w:r w:rsidRPr="003C7C89">
        <w:rPr>
          <w:rFonts w:cs="Arial" w:hint="cs"/>
          <w:rtl/>
        </w:rPr>
        <w:t>ג</w:t>
      </w:r>
      <w:r w:rsidRPr="003C7C89">
        <w:rPr>
          <w:rFonts w:cs="Arial"/>
          <w:rtl/>
        </w:rPr>
        <w:t xml:space="preserve"> </w:t>
      </w:r>
      <w:r w:rsidRPr="003C7C89">
        <w:rPr>
          <w:rFonts w:cs="Arial" w:hint="cs"/>
          <w:rtl/>
        </w:rPr>
        <w:t>אין</w:t>
      </w:r>
      <w:r w:rsidRPr="003C7C89">
        <w:rPr>
          <w:rFonts w:cs="Arial"/>
          <w:rtl/>
        </w:rPr>
        <w:t xml:space="preserve"> </w:t>
      </w:r>
      <w:r w:rsidRPr="003C7C89">
        <w:rPr>
          <w:rFonts w:cs="Arial" w:hint="cs"/>
          <w:rtl/>
        </w:rPr>
        <w:t>לכתוב</w:t>
      </w:r>
      <w:r w:rsidRPr="003C7C89">
        <w:rPr>
          <w:rFonts w:cs="Arial"/>
          <w:rtl/>
        </w:rPr>
        <w:t xml:space="preserve"> </w:t>
      </w:r>
      <w:r w:rsidRPr="003C7C89">
        <w:rPr>
          <w:rFonts w:cs="Arial" w:hint="cs"/>
          <w:rtl/>
        </w:rPr>
        <w:t>מדינה</w:t>
      </w:r>
      <w:r w:rsidRPr="003C7C89">
        <w:rPr>
          <w:rFonts w:cs="Arial"/>
          <w:rtl/>
        </w:rPr>
        <w:t xml:space="preserve"> </w:t>
      </w:r>
      <w:r w:rsidRPr="003C7C89">
        <w:rPr>
          <w:rFonts w:cs="Arial" w:hint="cs"/>
          <w:rtl/>
        </w:rPr>
        <w:t>אא</w:t>
      </w:r>
      <w:r>
        <w:rPr>
          <w:rFonts w:cs="Arial" w:hint="cs"/>
          <w:rtl/>
        </w:rPr>
        <w:t>"</w:t>
      </w:r>
      <w:r w:rsidRPr="003C7C89">
        <w:rPr>
          <w:rFonts w:cs="Arial" w:hint="cs"/>
          <w:rtl/>
        </w:rPr>
        <w:t>כ</w:t>
      </w:r>
      <w:r w:rsidRPr="003C7C89">
        <w:rPr>
          <w:rFonts w:cs="Arial"/>
          <w:rtl/>
        </w:rPr>
        <w:t xml:space="preserve"> </w:t>
      </w:r>
      <w:r w:rsidRPr="003C7C89">
        <w:rPr>
          <w:rFonts w:cs="Arial" w:hint="cs"/>
          <w:rtl/>
        </w:rPr>
        <w:t>השררה</w:t>
      </w:r>
      <w:r w:rsidRPr="003C7C89">
        <w:rPr>
          <w:rFonts w:cs="Arial"/>
          <w:rtl/>
        </w:rPr>
        <w:t xml:space="preserve"> </w:t>
      </w:r>
      <w:r w:rsidRPr="003C7C89">
        <w:rPr>
          <w:rFonts w:cs="Arial" w:hint="cs"/>
          <w:rtl/>
        </w:rPr>
        <w:t>של</w:t>
      </w:r>
      <w:r w:rsidRPr="003C7C89">
        <w:rPr>
          <w:rFonts w:cs="Arial"/>
          <w:rtl/>
        </w:rPr>
        <w:t xml:space="preserve"> </w:t>
      </w:r>
      <w:r w:rsidRPr="003C7C89">
        <w:rPr>
          <w:rFonts w:cs="Arial" w:hint="cs"/>
          <w:rtl/>
        </w:rPr>
        <w:t>אותו</w:t>
      </w:r>
      <w:r w:rsidRPr="003C7C89">
        <w:rPr>
          <w:rFonts w:cs="Arial"/>
          <w:rtl/>
        </w:rPr>
        <w:t xml:space="preserve"> </w:t>
      </w:r>
      <w:r w:rsidRPr="003C7C89">
        <w:rPr>
          <w:rFonts w:cs="Arial" w:hint="cs"/>
          <w:rtl/>
        </w:rPr>
        <w:t>מלכות</w:t>
      </w:r>
      <w:r w:rsidRPr="003C7C89">
        <w:rPr>
          <w:rFonts w:cs="Arial"/>
          <w:rtl/>
        </w:rPr>
        <w:t xml:space="preserve"> </w:t>
      </w:r>
      <w:r w:rsidRPr="003C7C89">
        <w:rPr>
          <w:rFonts w:cs="Arial" w:hint="cs"/>
          <w:rtl/>
        </w:rPr>
        <w:t>דר</w:t>
      </w:r>
      <w:r w:rsidRPr="003C7C89">
        <w:rPr>
          <w:rFonts w:cs="Arial"/>
          <w:rtl/>
        </w:rPr>
        <w:t xml:space="preserve"> </w:t>
      </w:r>
      <w:r w:rsidRPr="003C7C89">
        <w:rPr>
          <w:rFonts w:cs="Arial" w:hint="cs"/>
          <w:rtl/>
        </w:rPr>
        <w:t>שם</w:t>
      </w:r>
      <w:r w:rsidRPr="003C7C89">
        <w:rPr>
          <w:rFonts w:cs="Arial"/>
          <w:rtl/>
        </w:rPr>
        <w:t xml:space="preserve"> </w:t>
      </w:r>
      <w:r w:rsidRPr="003C7C89">
        <w:rPr>
          <w:rFonts w:cs="Arial" w:hint="cs"/>
          <w:rtl/>
        </w:rPr>
        <w:t>ונבחר</w:t>
      </w:r>
      <w:r w:rsidRPr="003C7C89">
        <w:rPr>
          <w:rFonts w:cs="Arial"/>
          <w:rtl/>
        </w:rPr>
        <w:t xml:space="preserve"> </w:t>
      </w:r>
      <w:r w:rsidRPr="003C7C89">
        <w:rPr>
          <w:rFonts w:cs="Arial" w:hint="cs"/>
          <w:rtl/>
        </w:rPr>
        <w:t>באותה</w:t>
      </w:r>
      <w:r w:rsidRPr="003C7C89">
        <w:rPr>
          <w:rFonts w:cs="Arial"/>
          <w:rtl/>
        </w:rPr>
        <w:t xml:space="preserve"> </w:t>
      </w:r>
      <w:r w:rsidRPr="003C7C89">
        <w:rPr>
          <w:rFonts w:cs="Arial" w:hint="cs"/>
          <w:rtl/>
        </w:rPr>
        <w:t>העיר</w:t>
      </w:r>
      <w:r w:rsidRPr="003C7C89">
        <w:rPr>
          <w:rFonts w:cs="Arial"/>
          <w:rtl/>
        </w:rPr>
        <w:t xml:space="preserve"> </w:t>
      </w:r>
      <w:r w:rsidRPr="003C7C89">
        <w:rPr>
          <w:rFonts w:cs="Arial" w:hint="cs"/>
          <w:rtl/>
        </w:rPr>
        <w:t>על</w:t>
      </w:r>
      <w:r w:rsidRPr="003C7C89">
        <w:rPr>
          <w:rFonts w:cs="Arial"/>
          <w:rtl/>
        </w:rPr>
        <w:t xml:space="preserve"> </w:t>
      </w:r>
      <w:r w:rsidRPr="003C7C89">
        <w:rPr>
          <w:rFonts w:cs="Arial" w:hint="cs"/>
          <w:rtl/>
        </w:rPr>
        <w:t>המדינה</w:t>
      </w:r>
      <w:r>
        <w:rPr>
          <w:rFonts w:cs="Arial" w:hint="cs"/>
          <w:rtl/>
        </w:rPr>
        <w:t>.</w:t>
      </w:r>
    </w:p>
  </w:footnote>
  <w:footnote w:id="976">
    <w:p w14:paraId="789319FB" w14:textId="1B0B72EB" w:rsidR="00FA2119" w:rsidRDefault="00FA2119" w:rsidP="00FA2119">
      <w:pPr>
        <w:pStyle w:val="a5"/>
        <w:rPr>
          <w:rtl/>
        </w:rPr>
      </w:pPr>
      <w:r>
        <w:rPr>
          <w:rStyle w:val="a7"/>
        </w:rPr>
        <w:footnoteRef/>
      </w:r>
      <w:r>
        <w:rPr>
          <w:rtl/>
        </w:rPr>
        <w:t xml:space="preserve"> </w:t>
      </w:r>
      <w:r>
        <w:rPr>
          <w:rFonts w:cs="Arial" w:hint="cs"/>
          <w:rtl/>
        </w:rPr>
        <w:t>ו</w:t>
      </w:r>
      <w:r w:rsidRPr="003C7C89">
        <w:rPr>
          <w:rFonts w:cs="Arial" w:hint="cs"/>
          <w:rtl/>
        </w:rPr>
        <w:t>אם</w:t>
      </w:r>
      <w:r w:rsidRPr="003C7C89">
        <w:rPr>
          <w:rFonts w:cs="Arial"/>
          <w:rtl/>
        </w:rPr>
        <w:t xml:space="preserve"> </w:t>
      </w:r>
      <w:r w:rsidRPr="003C7C89">
        <w:rPr>
          <w:rFonts w:cs="Arial" w:hint="cs"/>
          <w:rtl/>
        </w:rPr>
        <w:t>דילג</w:t>
      </w:r>
      <w:r w:rsidRPr="003C7C89">
        <w:rPr>
          <w:rFonts w:cs="Arial"/>
          <w:rtl/>
        </w:rPr>
        <w:t xml:space="preserve"> </w:t>
      </w:r>
      <w:r w:rsidRPr="003C7C89">
        <w:rPr>
          <w:rFonts w:cs="Arial" w:hint="cs"/>
          <w:rtl/>
        </w:rPr>
        <w:t>לכתוב</w:t>
      </w:r>
      <w:r w:rsidRPr="003C7C89">
        <w:rPr>
          <w:rFonts w:cs="Arial"/>
          <w:rtl/>
        </w:rPr>
        <w:t xml:space="preserve"> </w:t>
      </w:r>
      <w:r w:rsidRPr="003C7C89">
        <w:rPr>
          <w:rFonts w:cs="Arial" w:hint="cs"/>
          <w:rtl/>
        </w:rPr>
        <w:t>מתא</w:t>
      </w:r>
      <w:r w:rsidRPr="003C7C89">
        <w:rPr>
          <w:rFonts w:cs="Arial"/>
          <w:rtl/>
        </w:rPr>
        <w:t xml:space="preserve"> </w:t>
      </w:r>
      <w:r w:rsidRPr="003C7C89">
        <w:rPr>
          <w:rFonts w:cs="Arial" w:hint="cs"/>
          <w:rtl/>
        </w:rPr>
        <w:t>הגט</w:t>
      </w:r>
      <w:r w:rsidRPr="003C7C89">
        <w:rPr>
          <w:rFonts w:cs="Arial"/>
          <w:rtl/>
        </w:rPr>
        <w:t xml:space="preserve"> </w:t>
      </w:r>
      <w:r w:rsidRPr="003C7C89">
        <w:rPr>
          <w:rFonts w:cs="Arial" w:hint="cs"/>
          <w:rtl/>
        </w:rPr>
        <w:t>כשר</w:t>
      </w:r>
      <w:r>
        <w:rPr>
          <w:rFonts w:cs="Arial" w:hint="cs"/>
          <w:rtl/>
        </w:rPr>
        <w:t>,</w:t>
      </w:r>
      <w:r w:rsidRPr="002C4F0A">
        <w:rPr>
          <w:rFonts w:cs="Arial" w:hint="cs"/>
          <w:rtl/>
        </w:rPr>
        <w:t xml:space="preserve"> </w:t>
      </w:r>
      <w:r w:rsidRPr="003C7C89">
        <w:rPr>
          <w:rFonts w:cs="Arial" w:hint="cs"/>
          <w:rtl/>
        </w:rPr>
        <w:t>מהר</w:t>
      </w:r>
      <w:r w:rsidRPr="003C7C89">
        <w:rPr>
          <w:rFonts w:cs="Arial"/>
          <w:rtl/>
        </w:rPr>
        <w:t>"</w:t>
      </w:r>
      <w:r w:rsidRPr="003C7C89">
        <w:rPr>
          <w:rFonts w:cs="Arial" w:hint="cs"/>
          <w:rtl/>
        </w:rPr>
        <w:t>ם</w:t>
      </w:r>
      <w:r w:rsidRPr="003C7C89">
        <w:rPr>
          <w:rFonts w:cs="Arial"/>
          <w:rtl/>
        </w:rPr>
        <w:t xml:space="preserve"> </w:t>
      </w:r>
      <w:r w:rsidRPr="003C7C89">
        <w:rPr>
          <w:rFonts w:cs="Arial" w:hint="cs"/>
          <w:rtl/>
        </w:rPr>
        <w:t>פאדו</w:t>
      </w:r>
      <w:r w:rsidRPr="003C7C89">
        <w:rPr>
          <w:rFonts w:cs="Arial"/>
          <w:rtl/>
        </w:rPr>
        <w:t>"</w:t>
      </w:r>
      <w:r w:rsidRPr="003C7C89">
        <w:rPr>
          <w:rFonts w:cs="Arial" w:hint="cs"/>
          <w:rtl/>
        </w:rPr>
        <w:t>ה</w:t>
      </w:r>
      <w:r w:rsidRPr="003C7C89">
        <w:rPr>
          <w:rFonts w:cs="Arial"/>
          <w:rtl/>
        </w:rPr>
        <w:t xml:space="preserve"> </w:t>
      </w:r>
      <w:r>
        <w:rPr>
          <w:rFonts w:cs="Arial" w:hint="cs"/>
          <w:rtl/>
        </w:rPr>
        <w:t>(</w:t>
      </w:r>
      <w:r w:rsidRPr="003C7C89">
        <w:rPr>
          <w:rFonts w:cs="Arial" w:hint="cs"/>
          <w:rtl/>
        </w:rPr>
        <w:t>סי</w:t>
      </w:r>
      <w:r>
        <w:rPr>
          <w:rFonts w:cs="Arial" w:hint="cs"/>
          <w:rtl/>
        </w:rPr>
        <w:t>'</w:t>
      </w:r>
      <w:r w:rsidRPr="003C7C89">
        <w:rPr>
          <w:rFonts w:cs="Arial"/>
          <w:rtl/>
        </w:rPr>
        <w:t xml:space="preserve"> </w:t>
      </w:r>
      <w:r w:rsidRPr="003C7C89">
        <w:rPr>
          <w:rFonts w:cs="Arial" w:hint="cs"/>
          <w:rtl/>
        </w:rPr>
        <w:t>יב</w:t>
      </w:r>
      <w:r>
        <w:rPr>
          <w:rFonts w:cs="Arial" w:hint="cs"/>
          <w:rtl/>
        </w:rPr>
        <w:t>, הביאו הדרכ"מ [אות ו]).</w:t>
      </w:r>
      <w:r w:rsidRPr="007A2F9E">
        <w:rPr>
          <w:rFonts w:hint="cs"/>
          <w:color w:val="00B0F0"/>
          <w:rtl/>
        </w:rPr>
        <w:t xml:space="preserve"> (</w:t>
      </w:r>
      <w:r>
        <w:rPr>
          <w:rFonts w:hint="cs"/>
          <w:color w:val="00B0F0"/>
          <w:rtl/>
        </w:rPr>
        <w:t>וכ</w:t>
      </w:r>
      <w:r>
        <w:rPr>
          <w:color w:val="00B0F0"/>
          <w:rtl/>
        </w:rPr>
        <w:t>"</w:t>
      </w:r>
      <w:r>
        <w:rPr>
          <w:rFonts w:hint="cs"/>
          <w:color w:val="00B0F0"/>
          <w:rtl/>
        </w:rPr>
        <w:t xml:space="preserve">פ </w:t>
      </w:r>
      <w:r w:rsidR="009334FF">
        <w:rPr>
          <w:rFonts w:hint="cs"/>
          <w:color w:val="00B0F0"/>
          <w:rtl/>
        </w:rPr>
        <w:t>בהג</w:t>
      </w:r>
      <w:r w:rsidR="009334FF">
        <w:rPr>
          <w:color w:val="00B0F0"/>
          <w:rtl/>
        </w:rPr>
        <w:t>"</w:t>
      </w:r>
      <w:r w:rsidR="009334FF">
        <w:rPr>
          <w:rFonts w:hint="cs"/>
          <w:color w:val="00B0F0"/>
          <w:rtl/>
        </w:rPr>
        <w:t>ה</w:t>
      </w:r>
      <w:r w:rsidRPr="007A2F9E">
        <w:rPr>
          <w:rFonts w:hint="cs"/>
          <w:color w:val="00B0F0"/>
          <w:rtl/>
        </w:rPr>
        <w:t>)</w:t>
      </w:r>
    </w:p>
  </w:footnote>
  <w:footnote w:id="977">
    <w:p w14:paraId="3E58BC6D" w14:textId="6D534DAA" w:rsidR="00FA2119" w:rsidRDefault="00FA2119" w:rsidP="00FA2119">
      <w:pPr>
        <w:pStyle w:val="a5"/>
      </w:pPr>
      <w:r>
        <w:rPr>
          <w:rStyle w:val="a7"/>
        </w:rPr>
        <w:footnoteRef/>
      </w:r>
      <w:r>
        <w:rPr>
          <w:rtl/>
        </w:rPr>
        <w:t xml:space="preserve"> </w:t>
      </w:r>
      <w:r>
        <w:rPr>
          <w:rFonts w:hint="cs"/>
          <w:rtl/>
        </w:rPr>
        <w:t xml:space="preserve">וכעין זה כתב </w:t>
      </w:r>
      <w:r w:rsidR="009334FF">
        <w:rPr>
          <w:rFonts w:cs="Arial" w:hint="cs"/>
          <w:rtl/>
        </w:rPr>
        <w:t>ב</w:t>
      </w:r>
      <w:r w:rsidR="00DB737E">
        <w:rPr>
          <w:rFonts w:cs="Arial" w:hint="cs"/>
          <w:rtl/>
        </w:rPr>
        <w:t>הגהות</w:t>
      </w:r>
      <w:r w:rsidRPr="007424C0">
        <w:rPr>
          <w:rFonts w:cs="Arial"/>
          <w:rtl/>
        </w:rPr>
        <w:t xml:space="preserve"> </w:t>
      </w:r>
      <w:r w:rsidRPr="007424C0">
        <w:rPr>
          <w:rFonts w:cs="Arial" w:hint="cs"/>
          <w:rtl/>
        </w:rPr>
        <w:t>אלפסי</w:t>
      </w:r>
      <w:r w:rsidRPr="007424C0">
        <w:rPr>
          <w:rFonts w:cs="Arial"/>
          <w:rtl/>
        </w:rPr>
        <w:t xml:space="preserve"> </w:t>
      </w:r>
      <w:r w:rsidRPr="007424C0">
        <w:rPr>
          <w:rFonts w:cs="Arial" w:hint="cs"/>
          <w:rtl/>
        </w:rPr>
        <w:t>פרק</w:t>
      </w:r>
      <w:r w:rsidRPr="007424C0">
        <w:rPr>
          <w:rFonts w:cs="Arial"/>
          <w:rtl/>
        </w:rPr>
        <w:t xml:space="preserve"> </w:t>
      </w:r>
      <w:r w:rsidRPr="007424C0">
        <w:rPr>
          <w:rFonts w:cs="Arial" w:hint="cs"/>
          <w:rtl/>
        </w:rPr>
        <w:t>המגרש</w:t>
      </w:r>
      <w:r w:rsidRPr="007424C0">
        <w:rPr>
          <w:rFonts w:cs="Arial"/>
          <w:rtl/>
        </w:rPr>
        <w:t xml:space="preserve"> (</w:t>
      </w:r>
      <w:r w:rsidRPr="007424C0">
        <w:rPr>
          <w:rFonts w:cs="Arial" w:hint="cs"/>
          <w:rtl/>
        </w:rPr>
        <w:t>מה</w:t>
      </w:r>
      <w:r w:rsidRPr="007424C0">
        <w:rPr>
          <w:rFonts w:cs="Arial"/>
          <w:rtl/>
        </w:rPr>
        <w:t xml:space="preserve">: </w:t>
      </w:r>
      <w:r w:rsidRPr="007424C0">
        <w:rPr>
          <w:rFonts w:cs="Arial" w:hint="cs"/>
          <w:rtl/>
        </w:rPr>
        <w:t>לשון</w:t>
      </w:r>
      <w:r w:rsidRPr="007424C0">
        <w:rPr>
          <w:rFonts w:cs="Arial"/>
          <w:rtl/>
        </w:rPr>
        <w:t xml:space="preserve"> </w:t>
      </w:r>
      <w:r w:rsidRPr="007424C0">
        <w:rPr>
          <w:rFonts w:cs="Arial" w:hint="cs"/>
          <w:rtl/>
        </w:rPr>
        <w:t>ריא</w:t>
      </w:r>
      <w:r w:rsidRPr="007424C0">
        <w:rPr>
          <w:rFonts w:cs="Arial"/>
          <w:rtl/>
        </w:rPr>
        <w:t>"</w:t>
      </w:r>
      <w:r w:rsidRPr="007424C0">
        <w:rPr>
          <w:rFonts w:cs="Arial" w:hint="cs"/>
          <w:rtl/>
        </w:rPr>
        <w:t>ז</w:t>
      </w:r>
      <w:r w:rsidRPr="007424C0">
        <w:rPr>
          <w:rFonts w:cs="Arial"/>
          <w:rtl/>
        </w:rPr>
        <w:t xml:space="preserve"> </w:t>
      </w:r>
      <w:r w:rsidRPr="007424C0">
        <w:rPr>
          <w:rFonts w:cs="Arial" w:hint="cs"/>
          <w:rtl/>
        </w:rPr>
        <w:t>אות</w:t>
      </w:r>
      <w:r w:rsidRPr="007424C0">
        <w:rPr>
          <w:rFonts w:cs="Arial"/>
          <w:rtl/>
        </w:rPr>
        <w:t xml:space="preserve"> </w:t>
      </w:r>
      <w:r w:rsidRPr="007424C0">
        <w:rPr>
          <w:rFonts w:cs="Arial" w:hint="cs"/>
          <w:rtl/>
        </w:rPr>
        <w:t>ד</w:t>
      </w:r>
      <w:r w:rsidRPr="007424C0">
        <w:rPr>
          <w:rFonts w:cs="Arial"/>
          <w:rtl/>
        </w:rPr>
        <w:t xml:space="preserve">) </w:t>
      </w:r>
      <w:r w:rsidRPr="007424C0">
        <w:rPr>
          <w:rFonts w:cs="Arial" w:hint="cs"/>
          <w:rtl/>
        </w:rPr>
        <w:t>מי</w:t>
      </w:r>
      <w:r w:rsidRPr="007424C0">
        <w:rPr>
          <w:rFonts w:cs="Arial"/>
          <w:rtl/>
        </w:rPr>
        <w:t xml:space="preserve"> </w:t>
      </w:r>
      <w:r w:rsidRPr="007424C0">
        <w:rPr>
          <w:rFonts w:cs="Arial" w:hint="cs"/>
          <w:rtl/>
        </w:rPr>
        <w:t>שדר</w:t>
      </w:r>
      <w:r w:rsidRPr="007424C0">
        <w:rPr>
          <w:rFonts w:cs="Arial"/>
          <w:rtl/>
        </w:rPr>
        <w:t xml:space="preserve"> </w:t>
      </w:r>
      <w:r w:rsidRPr="007424C0">
        <w:rPr>
          <w:rFonts w:cs="Arial" w:hint="cs"/>
          <w:rtl/>
        </w:rPr>
        <w:t>באנטוכיא</w:t>
      </w:r>
      <w:r w:rsidRPr="007424C0">
        <w:rPr>
          <w:rFonts w:cs="Arial"/>
          <w:rtl/>
        </w:rPr>
        <w:t xml:space="preserve"> </w:t>
      </w:r>
      <w:r w:rsidRPr="007424C0">
        <w:rPr>
          <w:rFonts w:cs="Arial" w:hint="cs"/>
          <w:rtl/>
        </w:rPr>
        <w:t>לא</w:t>
      </w:r>
      <w:r w:rsidRPr="007424C0">
        <w:rPr>
          <w:rFonts w:cs="Arial"/>
          <w:rtl/>
        </w:rPr>
        <w:t xml:space="preserve"> </w:t>
      </w:r>
      <w:r w:rsidRPr="007424C0">
        <w:rPr>
          <w:rFonts w:cs="Arial" w:hint="cs"/>
          <w:rtl/>
        </w:rPr>
        <w:t>יכתוב</w:t>
      </w:r>
      <w:r w:rsidRPr="007424C0">
        <w:rPr>
          <w:rFonts w:cs="Arial"/>
          <w:rtl/>
        </w:rPr>
        <w:t xml:space="preserve"> </w:t>
      </w:r>
      <w:r w:rsidRPr="007424C0">
        <w:rPr>
          <w:rFonts w:cs="Arial" w:hint="cs"/>
          <w:rtl/>
        </w:rPr>
        <w:t>פלוני</w:t>
      </w:r>
      <w:r w:rsidRPr="007424C0">
        <w:rPr>
          <w:rFonts w:cs="Arial"/>
          <w:rtl/>
        </w:rPr>
        <w:t xml:space="preserve"> </w:t>
      </w:r>
      <w:r w:rsidRPr="007424C0">
        <w:rPr>
          <w:rFonts w:cs="Arial" w:hint="cs"/>
          <w:rtl/>
        </w:rPr>
        <w:t>אנטוכי</w:t>
      </w:r>
      <w:r w:rsidRPr="007424C0">
        <w:rPr>
          <w:rFonts w:cs="Arial"/>
          <w:rtl/>
        </w:rPr>
        <w:t xml:space="preserve"> </w:t>
      </w:r>
      <w:r w:rsidRPr="007424C0">
        <w:rPr>
          <w:rFonts w:cs="Arial" w:hint="cs"/>
          <w:rtl/>
        </w:rPr>
        <w:t>שזה</w:t>
      </w:r>
      <w:r w:rsidRPr="007424C0">
        <w:rPr>
          <w:rFonts w:cs="Arial"/>
          <w:rtl/>
        </w:rPr>
        <w:t xml:space="preserve"> </w:t>
      </w:r>
      <w:r w:rsidRPr="007424C0">
        <w:rPr>
          <w:rFonts w:cs="Arial" w:hint="cs"/>
          <w:rtl/>
        </w:rPr>
        <w:t>משמע</w:t>
      </w:r>
      <w:r w:rsidRPr="007424C0">
        <w:rPr>
          <w:rFonts w:cs="Arial"/>
          <w:rtl/>
        </w:rPr>
        <w:t xml:space="preserve"> </w:t>
      </w:r>
      <w:r w:rsidRPr="007424C0">
        <w:rPr>
          <w:rFonts w:cs="Arial" w:hint="cs"/>
          <w:rtl/>
        </w:rPr>
        <w:t>שנולד</w:t>
      </w:r>
      <w:r w:rsidRPr="007424C0">
        <w:rPr>
          <w:rFonts w:cs="Arial"/>
          <w:rtl/>
        </w:rPr>
        <w:t xml:space="preserve"> </w:t>
      </w:r>
      <w:r w:rsidRPr="007424C0">
        <w:rPr>
          <w:rFonts w:cs="Arial" w:hint="cs"/>
          <w:rtl/>
        </w:rPr>
        <w:t>שם</w:t>
      </w:r>
      <w:r w:rsidRPr="007424C0">
        <w:rPr>
          <w:rFonts w:cs="Arial"/>
          <w:rtl/>
        </w:rPr>
        <w:t xml:space="preserve"> </w:t>
      </w:r>
      <w:r w:rsidRPr="007424C0">
        <w:rPr>
          <w:rFonts w:cs="Arial" w:hint="cs"/>
          <w:rtl/>
        </w:rPr>
        <w:t>רק</w:t>
      </w:r>
      <w:r w:rsidRPr="007424C0">
        <w:rPr>
          <w:rFonts w:cs="Arial"/>
          <w:rtl/>
        </w:rPr>
        <w:t xml:space="preserve"> </w:t>
      </w:r>
      <w:r w:rsidRPr="007424C0">
        <w:rPr>
          <w:rFonts w:cs="Arial" w:hint="cs"/>
          <w:rtl/>
        </w:rPr>
        <w:t>אנא</w:t>
      </w:r>
      <w:r w:rsidRPr="007424C0">
        <w:rPr>
          <w:rFonts w:cs="Arial"/>
          <w:rtl/>
        </w:rPr>
        <w:t xml:space="preserve"> </w:t>
      </w:r>
      <w:r w:rsidRPr="007424C0">
        <w:rPr>
          <w:rFonts w:cs="Arial" w:hint="cs"/>
          <w:rtl/>
        </w:rPr>
        <w:t>ממתא</w:t>
      </w:r>
      <w:r w:rsidRPr="007424C0">
        <w:rPr>
          <w:rFonts w:cs="Arial"/>
          <w:rtl/>
        </w:rPr>
        <w:t xml:space="preserve"> </w:t>
      </w:r>
      <w:r w:rsidRPr="007424C0">
        <w:rPr>
          <w:rFonts w:cs="Arial" w:hint="cs"/>
          <w:rtl/>
        </w:rPr>
        <w:t>אנטוכיא</w:t>
      </w:r>
      <w:r w:rsidRPr="007424C0">
        <w:rPr>
          <w:rFonts w:cs="Arial"/>
          <w:rtl/>
        </w:rPr>
        <w:t xml:space="preserve"> </w:t>
      </w:r>
      <w:r w:rsidRPr="007424C0">
        <w:rPr>
          <w:rFonts w:cs="Arial" w:hint="cs"/>
          <w:rtl/>
        </w:rPr>
        <w:t>וכו</w:t>
      </w:r>
      <w:r w:rsidRPr="007424C0">
        <w:rPr>
          <w:rFonts w:cs="Arial"/>
          <w:rtl/>
        </w:rPr>
        <w:t>'</w:t>
      </w:r>
      <w:r>
        <w:rPr>
          <w:rFonts w:cs="Arial" w:hint="cs"/>
          <w:rtl/>
        </w:rPr>
        <w:t>, דרכ"מ (אות טז).</w:t>
      </w:r>
    </w:p>
  </w:footnote>
  <w:footnote w:id="978">
    <w:p w14:paraId="6D418061" w14:textId="77777777" w:rsidR="00FA2119" w:rsidRDefault="00FA2119" w:rsidP="00FA2119">
      <w:pPr>
        <w:pStyle w:val="a5"/>
      </w:pPr>
      <w:r>
        <w:rPr>
          <w:rStyle w:val="a7"/>
        </w:rPr>
        <w:footnoteRef/>
      </w:r>
      <w:r>
        <w:rPr>
          <w:rtl/>
        </w:rPr>
        <w:t xml:space="preserve"> </w:t>
      </w:r>
      <w:r>
        <w:rPr>
          <w:rFonts w:cs="Arial"/>
          <w:rtl/>
        </w:rPr>
        <w:t xml:space="preserve">עיין בג"פ </w:t>
      </w:r>
      <w:r>
        <w:rPr>
          <w:rFonts w:cs="Arial" w:hint="cs"/>
          <w:rtl/>
        </w:rPr>
        <w:t>(</w:t>
      </w:r>
      <w:r>
        <w:rPr>
          <w:rFonts w:cs="Arial"/>
          <w:rtl/>
        </w:rPr>
        <w:t>סק"י</w:t>
      </w:r>
      <w:r>
        <w:rPr>
          <w:rFonts w:cs="Arial" w:hint="cs"/>
          <w:rtl/>
        </w:rPr>
        <w:t>)</w:t>
      </w:r>
      <w:r>
        <w:rPr>
          <w:rFonts w:cs="Arial"/>
          <w:rtl/>
        </w:rPr>
        <w:t xml:space="preserve"> שהאריך ליישב מנהגינו בזה אף כי לב האדם מהסס בו לפום ריהטא וכתב שם שדעת ריא"ז </w:t>
      </w:r>
      <w:r w:rsidRPr="00B8441F">
        <w:rPr>
          <w:rFonts w:cs="Arial"/>
          <w:sz w:val="16"/>
          <w:szCs w:val="16"/>
          <w:rtl/>
        </w:rPr>
        <w:t>(שהובא בב"ש בשם ש</w:t>
      </w:r>
      <w:r w:rsidRPr="00B8441F">
        <w:rPr>
          <w:rFonts w:cs="Arial" w:hint="cs"/>
          <w:sz w:val="16"/>
          <w:szCs w:val="16"/>
          <w:rtl/>
        </w:rPr>
        <w:t>לט</w:t>
      </w:r>
      <w:r w:rsidRPr="00B8441F">
        <w:rPr>
          <w:rFonts w:cs="Arial"/>
          <w:sz w:val="16"/>
          <w:szCs w:val="16"/>
          <w:rtl/>
        </w:rPr>
        <w:t xml:space="preserve">"ג פ' הזורק) </w:t>
      </w:r>
      <w:r>
        <w:rPr>
          <w:rFonts w:cs="Arial"/>
          <w:rtl/>
        </w:rPr>
        <w:t>דס"ל דאם לא כתב מקום דירה הגט בטל מה"ת</w:t>
      </w:r>
      <w:r>
        <w:rPr>
          <w:rFonts w:cs="Arial" w:hint="cs"/>
          <w:rtl/>
        </w:rPr>
        <w:t xml:space="preserve"> -</w:t>
      </w:r>
      <w:r>
        <w:rPr>
          <w:rFonts w:cs="Arial"/>
          <w:rtl/>
        </w:rPr>
        <w:t xml:space="preserve"> בטילה דעתו כי יחיד הוא בדבר זה ואין לחוש לזה כלל ע"ש. ועיין בס' גט מקושר </w:t>
      </w:r>
      <w:r>
        <w:rPr>
          <w:rFonts w:cs="Arial" w:hint="cs"/>
          <w:rtl/>
        </w:rPr>
        <w:t>(</w:t>
      </w:r>
      <w:r>
        <w:rPr>
          <w:rFonts w:cs="Arial"/>
          <w:rtl/>
        </w:rPr>
        <w:t>סג"ר אות קיח</w:t>
      </w:r>
      <w:r>
        <w:rPr>
          <w:rFonts w:cs="Arial" w:hint="cs"/>
          <w:rtl/>
        </w:rPr>
        <w:t>)</w:t>
      </w:r>
      <w:r>
        <w:rPr>
          <w:rFonts w:cs="Arial"/>
          <w:rtl/>
        </w:rPr>
        <w:t xml:space="preserve"> </w:t>
      </w:r>
      <w:r>
        <w:rPr>
          <w:rFonts w:cs="Arial" w:hint="cs"/>
          <w:rtl/>
        </w:rPr>
        <w:t>ש</w:t>
      </w:r>
      <w:r>
        <w:rPr>
          <w:rFonts w:cs="Arial"/>
          <w:rtl/>
        </w:rPr>
        <w:t>הזכיר דברי הג"פ הנ"ל וכתב עליו שאין דבריו מספיקים ליישב מנהגינו בזה</w:t>
      </w:r>
      <w:r>
        <w:rPr>
          <w:rFonts w:cs="Arial" w:hint="cs"/>
          <w:rtl/>
        </w:rPr>
        <w:t>,</w:t>
      </w:r>
      <w:r>
        <w:rPr>
          <w:rFonts w:cs="Arial"/>
          <w:rtl/>
        </w:rPr>
        <w:t xml:space="preserve"> וגם לא הרגיש כלל בעיקר המבוכה שיש בזה מחמת חששת הראב"ד והר"ן בתשו' שהובא בב"י ס"ס זה שיש לחוש שיגרש אשת חבירו</w:t>
      </w:r>
      <w:r>
        <w:rPr>
          <w:rFonts w:cs="Arial" w:hint="cs"/>
          <w:rtl/>
        </w:rPr>
        <w:t>,</w:t>
      </w:r>
      <w:r>
        <w:rPr>
          <w:rFonts w:cs="Arial"/>
          <w:rtl/>
        </w:rPr>
        <w:t xml:space="preserve"> שהרי בכל העולם ודאי הוחזקו יוסף בן שמעון טובי </w:t>
      </w:r>
      <w:r w:rsidRPr="00B8441F">
        <w:rPr>
          <w:rFonts w:cs="Arial"/>
          <w:sz w:val="16"/>
          <w:szCs w:val="16"/>
          <w:rtl/>
        </w:rPr>
        <w:t>(ושם באות י"ח האריך יותר לבאר החשש בזה וכתב שם דביותר תמוה בגט הנשלח ממקום למקום ע"י שליח שאין כותבים מקום עמידה של האשה ולפעמים גם מקום עמידה של בעל אין כותבין</w:t>
      </w:r>
      <w:r w:rsidRPr="00B8441F">
        <w:rPr>
          <w:rFonts w:cs="Arial" w:hint="cs"/>
          <w:sz w:val="16"/>
          <w:szCs w:val="16"/>
          <w:rtl/>
        </w:rPr>
        <w:t>,</w:t>
      </w:r>
      <w:r w:rsidRPr="00B8441F">
        <w:rPr>
          <w:rFonts w:cs="Arial"/>
          <w:sz w:val="16"/>
          <w:szCs w:val="16"/>
          <w:rtl/>
        </w:rPr>
        <w:t xml:space="preserve"> א"כ אין יודעים כלל שבעלה של זו שלח הגט ועל השמות אין לסמוך כי כמה יב"ש איכא בעלמא)</w:t>
      </w:r>
      <w:r>
        <w:rPr>
          <w:rFonts w:cs="Arial" w:hint="cs"/>
          <w:rtl/>
        </w:rPr>
        <w:t>.</w:t>
      </w:r>
      <w:r>
        <w:rPr>
          <w:rFonts w:cs="Arial"/>
          <w:rtl/>
        </w:rPr>
        <w:t xml:space="preserve"> וכתב הוא ז"ל באופן אחר ליישב מנהגינו על נכון</w:t>
      </w:r>
      <w:r>
        <w:rPr>
          <w:rFonts w:cs="Arial" w:hint="cs"/>
          <w:rtl/>
        </w:rPr>
        <w:t>.</w:t>
      </w:r>
      <w:r>
        <w:rPr>
          <w:rFonts w:cs="Arial"/>
          <w:rtl/>
        </w:rPr>
        <w:t xml:space="preserve"> ומסיק לצאת מחששת הראב"ד ז"ל הנה למנהגינו שקורעין הגט אחר הנתינה ממילא כיון שאין הגט בידה צריך ליתן לה מעשה ב"ד שנתגרשה כדת יש לבאר במעשה ב"ד לפרש מקומות דירת הזוג באופן שיהא נודע ע"פ שם עירן שנתגרשה מבעלה</w:t>
      </w:r>
      <w:r>
        <w:rPr>
          <w:rFonts w:cs="Arial" w:hint="cs"/>
          <w:rtl/>
        </w:rPr>
        <w:t>,</w:t>
      </w:r>
      <w:r>
        <w:rPr>
          <w:rFonts w:cs="Arial"/>
          <w:rtl/>
        </w:rPr>
        <w:t xml:space="preserve"> לא מצד השמות לחוד</w:t>
      </w:r>
      <w:r>
        <w:rPr>
          <w:rFonts w:cs="Arial" w:hint="cs"/>
          <w:rtl/>
        </w:rPr>
        <w:t xml:space="preserve">, </w:t>
      </w:r>
      <w:r>
        <w:rPr>
          <w:rFonts w:cs="Arial"/>
          <w:rtl/>
        </w:rPr>
        <w:t>ולא תוכל למסור לאשה אחרת</w:t>
      </w:r>
      <w:r>
        <w:rPr>
          <w:rFonts w:cs="Arial" w:hint="cs"/>
          <w:rtl/>
        </w:rPr>
        <w:t>.</w:t>
      </w:r>
      <w:r>
        <w:rPr>
          <w:rFonts w:cs="Arial"/>
          <w:rtl/>
        </w:rPr>
        <w:t xml:space="preserve"> ובגט הנשלח צריכין לפרש בכתב הרשאה או בכתב פרטי שמות המקומות שהיו דרים הזוג באופן שיצא ספק מלבינו ונדע בבירור שלאשה זו שהיא אשתו באמת נשלח הגט וכן ראוי לנהוג ע"ש</w:t>
      </w:r>
      <w:r>
        <w:rPr>
          <w:rFonts w:cs="Arial" w:hint="cs"/>
          <w:rtl/>
        </w:rPr>
        <w:t>, פת"ש (סק"ו).</w:t>
      </w:r>
    </w:p>
  </w:footnote>
  <w:footnote w:id="979">
    <w:p w14:paraId="04E700D4" w14:textId="77777777" w:rsidR="00FA2119" w:rsidRDefault="00FA2119" w:rsidP="00FA2119">
      <w:pPr>
        <w:pStyle w:val="a5"/>
      </w:pPr>
      <w:r>
        <w:rPr>
          <w:rStyle w:val="a7"/>
        </w:rPr>
        <w:footnoteRef/>
      </w:r>
      <w:r>
        <w:rPr>
          <w:rtl/>
        </w:rPr>
        <w:t xml:space="preserve"> </w:t>
      </w:r>
      <w:r>
        <w:rPr>
          <w:rFonts w:cs="Arial"/>
          <w:rtl/>
        </w:rPr>
        <w:t>ע' בס' תו"ג שתמה ע"ז דהפוסקים שהכשירו שינוי מקום העמידה היינו בזמן הש"ס שהיו כותבין מקום דירה כו' ולכן כתב דנראה דדוקא כשכתב מקום דירה או שידוע שאין בהמקום שנכתב בגט איש ששמו כשם זה אבל אם יש במקום השינוי שנכתב בהגט איש ששמו כשם זה ולא נכתב מקום דירה פסול דעיקר תקנת כתיבת שם עירו לא נתקן רק בשביל חשש זה כמבואר בב"י ע"ש. ולכאורה נראה שנמשך בזה לשיטתו לעיל שהובא בס"ק הקודם אבל לדברי הגט מקושר שם גם זה אינו</w:t>
      </w:r>
      <w:r>
        <w:rPr>
          <w:rFonts w:cs="Arial" w:hint="cs"/>
          <w:rtl/>
        </w:rPr>
        <w:t>, פת"ש (סק"ז).</w:t>
      </w:r>
    </w:p>
  </w:footnote>
  <w:footnote w:id="980">
    <w:p w14:paraId="2D177499" w14:textId="77777777" w:rsidR="00FA2119" w:rsidRDefault="00FA2119" w:rsidP="00FA2119">
      <w:pPr>
        <w:pStyle w:val="a5"/>
        <w:rPr>
          <w:rtl/>
        </w:rPr>
      </w:pPr>
      <w:r>
        <w:rPr>
          <w:rStyle w:val="a7"/>
        </w:rPr>
        <w:footnoteRef/>
      </w:r>
      <w:r>
        <w:rPr>
          <w:rtl/>
        </w:rPr>
        <w:t xml:space="preserve"> </w:t>
      </w:r>
      <w:r>
        <w:rPr>
          <w:rFonts w:cs="Arial"/>
          <w:rtl/>
        </w:rPr>
        <w:t xml:space="preserve">ע' בג"פ </w:t>
      </w:r>
      <w:r>
        <w:rPr>
          <w:rFonts w:cs="Arial" w:hint="cs"/>
          <w:rtl/>
        </w:rPr>
        <w:t>(</w:t>
      </w:r>
      <w:r>
        <w:rPr>
          <w:rFonts w:cs="Arial"/>
          <w:rtl/>
        </w:rPr>
        <w:t>סקי"א</w:t>
      </w:r>
      <w:r>
        <w:rPr>
          <w:rFonts w:cs="Arial" w:hint="cs"/>
          <w:rtl/>
        </w:rPr>
        <w:t>)</w:t>
      </w:r>
      <w:r>
        <w:rPr>
          <w:rFonts w:cs="Arial"/>
          <w:rtl/>
        </w:rPr>
        <w:t xml:space="preserve"> דכן נראה לו עיקר להקל בשעת הדחק. וכ' עוד בסקי"ז דבתשו' הרא"ם </w:t>
      </w:r>
      <w:r>
        <w:rPr>
          <w:rFonts w:cs="Arial" w:hint="cs"/>
          <w:rtl/>
        </w:rPr>
        <w:t>(</w:t>
      </w:r>
      <w:r>
        <w:rPr>
          <w:rFonts w:cs="Arial"/>
          <w:rtl/>
        </w:rPr>
        <w:t>ח"א סי' סו</w:t>
      </w:r>
      <w:r>
        <w:rPr>
          <w:rFonts w:cs="Arial" w:hint="cs"/>
          <w:rtl/>
        </w:rPr>
        <w:t>)</w:t>
      </w:r>
      <w:r>
        <w:rPr>
          <w:rFonts w:cs="Arial"/>
          <w:rtl/>
        </w:rPr>
        <w:t xml:space="preserve"> כתב דגם להרא"ש וטור דס"ל כדברי ר"י להכשיר מודים הם דאם שינה מקום עמידתו ולא היה לו מקום דירה אחרת שאז נקרא בשם מקום עמידתו שהוא פסול</w:t>
      </w:r>
      <w:r>
        <w:rPr>
          <w:rFonts w:cs="Arial" w:hint="cs"/>
          <w:rtl/>
        </w:rPr>
        <w:t>.</w:t>
      </w:r>
      <w:r>
        <w:rPr>
          <w:rFonts w:cs="Arial"/>
          <w:rtl/>
        </w:rPr>
        <w:t xml:space="preserve"> והביא דבריו הרא"ש בתשובה דף ק"ד</w:t>
      </w:r>
      <w:r>
        <w:rPr>
          <w:rFonts w:cs="Arial" w:hint="cs"/>
          <w:rtl/>
        </w:rPr>
        <w:t>.</w:t>
      </w:r>
      <w:r>
        <w:rPr>
          <w:rFonts w:cs="Arial"/>
          <w:rtl/>
        </w:rPr>
        <w:t xml:space="preserve"> ויראה לי דיש לחוש לחילוק זה דהרא"ם ואם שינה מקום עמידה ולא הי' לו דירה אחרת אין להקל להכשיר אפי' במקום עיגון ושעת הדחק</w:t>
      </w:r>
      <w:r>
        <w:rPr>
          <w:rFonts w:cs="Arial" w:hint="cs"/>
          <w:rtl/>
        </w:rPr>
        <w:t>.</w:t>
      </w:r>
      <w:r>
        <w:rPr>
          <w:rFonts w:cs="Arial"/>
          <w:rtl/>
        </w:rPr>
        <w:t xml:space="preserve"> אך אפשר דיש להקל שלא תצא ע"ש וע"ל סק"ו. ועיין בת' נו"ב תניינא סי' ק"ט יובא לקמן סי' קכ"ט סקכ"א</w:t>
      </w:r>
      <w:r>
        <w:rPr>
          <w:rFonts w:cs="Arial" w:hint="cs"/>
          <w:rtl/>
        </w:rPr>
        <w:t>, פת"ש (סק"ח).</w:t>
      </w:r>
    </w:p>
  </w:footnote>
  <w:footnote w:id="981">
    <w:p w14:paraId="5635B7E7" w14:textId="198A6852" w:rsidR="00434B8D" w:rsidRDefault="00434B8D">
      <w:pPr>
        <w:pStyle w:val="a5"/>
        <w:rPr>
          <w:rtl/>
        </w:rPr>
      </w:pPr>
      <w:r>
        <w:rPr>
          <w:rStyle w:val="a7"/>
        </w:rPr>
        <w:footnoteRef/>
      </w:r>
      <w:r>
        <w:rPr>
          <w:rtl/>
        </w:rPr>
        <w:t xml:space="preserve"> </w:t>
      </w:r>
      <w:r w:rsidRPr="00434B8D">
        <w:rPr>
          <w:rFonts w:cs="Arial"/>
          <w:rtl/>
        </w:rPr>
        <w:t>והיינו כשאין שם נהר שאין כותבין דיתבא, אבל כשכותבין דיתבא על נהר כותבין פלונית מתא דיתבא, כי תיבת מתא דבוק הוא לויתבא.</w:t>
      </w:r>
      <w:r>
        <w:rPr>
          <w:rFonts w:cs="Arial" w:hint="cs"/>
          <w:rtl/>
        </w:rPr>
        <w:t>..</w:t>
      </w:r>
      <w:r>
        <w:rPr>
          <w:rFonts w:hint="cs"/>
          <w:rtl/>
        </w:rPr>
        <w:t>, תורת גיטין (סק"ז).</w:t>
      </w:r>
    </w:p>
  </w:footnote>
  <w:footnote w:id="982">
    <w:p w14:paraId="77E0D22B" w14:textId="77777777" w:rsidR="00FA2119" w:rsidRDefault="00FA2119" w:rsidP="00FA2119">
      <w:pPr>
        <w:pStyle w:val="a5"/>
        <w:rPr>
          <w:rtl/>
        </w:rPr>
      </w:pPr>
      <w:r>
        <w:rPr>
          <w:rStyle w:val="a7"/>
        </w:rPr>
        <w:footnoteRef/>
      </w:r>
      <w:r>
        <w:rPr>
          <w:rtl/>
        </w:rPr>
        <w:t xml:space="preserve"> </w:t>
      </w:r>
      <w:r>
        <w:rPr>
          <w:rFonts w:cs="Arial" w:hint="cs"/>
          <w:rtl/>
        </w:rPr>
        <w:t xml:space="preserve">ועיין בספר </w:t>
      </w:r>
      <w:r w:rsidRPr="00F422F2">
        <w:rPr>
          <w:rFonts w:cs="Arial"/>
          <w:rtl/>
        </w:rPr>
        <w:t xml:space="preserve">ג"מ </w:t>
      </w:r>
      <w:r w:rsidRPr="00F422F2">
        <w:rPr>
          <w:rFonts w:cs="Arial" w:hint="cs"/>
          <w:sz w:val="16"/>
          <w:szCs w:val="16"/>
          <w:rtl/>
        </w:rPr>
        <w:t>(</w:t>
      </w:r>
      <w:r w:rsidRPr="00F422F2">
        <w:rPr>
          <w:rFonts w:cs="Arial"/>
          <w:sz w:val="16"/>
          <w:szCs w:val="16"/>
          <w:rtl/>
        </w:rPr>
        <w:t>אות קיח</w:t>
      </w:r>
      <w:r w:rsidRPr="00F422F2">
        <w:rPr>
          <w:rFonts w:cs="Arial" w:hint="cs"/>
          <w:sz w:val="16"/>
          <w:szCs w:val="16"/>
          <w:rtl/>
        </w:rPr>
        <w:t>)</w:t>
      </w:r>
      <w:r w:rsidRPr="00F422F2">
        <w:rPr>
          <w:rFonts w:cs="Arial"/>
          <w:rtl/>
        </w:rPr>
        <w:t xml:space="preserve"> שנשא ונתן בענין זה עם הגאון מליסא ז"ל בעל תו"ג הנ"ל והנראה מדבריו שם שחולק על עיקר סברת התו"ג הנ"ל במ"ש שהאשה נאמנת שהבעל ממקום עמידה משום כאן נמצא כאן היה</w:t>
      </w:r>
      <w:r w:rsidRPr="00F422F2">
        <w:rPr>
          <w:rFonts w:cs="Arial" w:hint="cs"/>
          <w:rtl/>
        </w:rPr>
        <w:t>.</w:t>
      </w:r>
      <w:r w:rsidRPr="00F422F2">
        <w:rPr>
          <w:rFonts w:cs="Arial"/>
          <w:rtl/>
        </w:rPr>
        <w:t xml:space="preserve"> וכתב שהוא דחיק ורחוק</w:t>
      </w:r>
      <w:r w:rsidRPr="00F422F2">
        <w:rPr>
          <w:rFonts w:cs="Arial" w:hint="cs"/>
          <w:rtl/>
        </w:rPr>
        <w:t>,</w:t>
      </w:r>
      <w:r w:rsidRPr="00F422F2">
        <w:rPr>
          <w:rFonts w:cs="Arial"/>
          <w:rtl/>
        </w:rPr>
        <w:t xml:space="preserve"> דא"כ איך כותבין מקום עמידה כשהוא ממקום אחר כיון דמחזקינן ליה שהוא ממקום עמידה יהיה בו חשש שינוי שם העיר</w:t>
      </w:r>
      <w:r w:rsidRPr="00F422F2">
        <w:rPr>
          <w:rFonts w:cs="Arial" w:hint="cs"/>
          <w:rtl/>
        </w:rPr>
        <w:t>.</w:t>
      </w:r>
      <w:r w:rsidRPr="00F422F2">
        <w:rPr>
          <w:rFonts w:cs="Arial"/>
          <w:rtl/>
        </w:rPr>
        <w:t xml:space="preserve"> ועוד דסברא זו כאן נמצא כ</w:t>
      </w:r>
      <w:r w:rsidRPr="00F422F2">
        <w:rPr>
          <w:rFonts w:cs="Arial" w:hint="cs"/>
          <w:rtl/>
        </w:rPr>
        <w:t>אן הי</w:t>
      </w:r>
      <w:r w:rsidRPr="00F422F2">
        <w:rPr>
          <w:rFonts w:cs="Arial"/>
          <w:rtl/>
        </w:rPr>
        <w:t>ה לא אמרי</w:t>
      </w:r>
      <w:r w:rsidRPr="00F422F2">
        <w:rPr>
          <w:rFonts w:cs="Arial" w:hint="cs"/>
          <w:rtl/>
        </w:rPr>
        <w:t>נן</w:t>
      </w:r>
      <w:r w:rsidRPr="00F422F2">
        <w:rPr>
          <w:rFonts w:cs="Arial"/>
          <w:rtl/>
        </w:rPr>
        <w:t xml:space="preserve"> רק באשה שמת בעלה ולא בגירושין ע"ש עוד</w:t>
      </w:r>
      <w:r>
        <w:rPr>
          <w:rFonts w:hint="cs"/>
          <w:rtl/>
        </w:rPr>
        <w:t>, פת"ש (סק"ו).</w:t>
      </w:r>
    </w:p>
  </w:footnote>
  <w:footnote w:id="983">
    <w:p w14:paraId="06EBAB7E" w14:textId="77777777" w:rsidR="00FA2119" w:rsidRDefault="00FA2119" w:rsidP="00FA2119">
      <w:pPr>
        <w:pStyle w:val="a5"/>
      </w:pPr>
      <w:r>
        <w:rPr>
          <w:rStyle w:val="a7"/>
        </w:rPr>
        <w:footnoteRef/>
      </w:r>
      <w:r>
        <w:rPr>
          <w:rtl/>
        </w:rPr>
        <w:t xml:space="preserve"> </w:t>
      </w:r>
      <w:r>
        <w:rPr>
          <w:rFonts w:hint="cs"/>
          <w:rtl/>
        </w:rPr>
        <w:t>לעיר. והב"י הוסיף בשם הרמ"ה והטור דהוא הדין אם יש לנהר שליד העיר שני שמות.</w:t>
      </w:r>
      <w:r w:rsidRPr="00053B8B">
        <w:rPr>
          <w:rFonts w:cs="Arial"/>
          <w:rtl/>
        </w:rPr>
        <w:t xml:space="preserve"> </w:t>
      </w:r>
      <w:r w:rsidRPr="00566424">
        <w:rPr>
          <w:rFonts w:hint="cs"/>
          <w:color w:val="00B0F0"/>
          <w:rtl/>
        </w:rPr>
        <w:t xml:space="preserve">(וכ"פ </w:t>
      </w:r>
      <w:r>
        <w:rPr>
          <w:rFonts w:hint="cs"/>
          <w:color w:val="00B0F0"/>
          <w:rtl/>
        </w:rPr>
        <w:t>הרמ"א</w:t>
      </w:r>
      <w:r w:rsidRPr="00566424">
        <w:rPr>
          <w:rFonts w:hint="cs"/>
          <w:color w:val="00B0F0"/>
          <w:rtl/>
        </w:rPr>
        <w:t>)</w:t>
      </w:r>
      <w:r>
        <w:rPr>
          <w:rFonts w:cs="Arial" w:hint="cs"/>
          <w:rtl/>
        </w:rPr>
        <w:t xml:space="preserve">. וכתב </w:t>
      </w:r>
      <w:r w:rsidRPr="00053B8B">
        <w:rPr>
          <w:rFonts w:cs="Arial" w:hint="cs"/>
          <w:b/>
          <w:bCs/>
          <w:rtl/>
        </w:rPr>
        <w:t>הדרכ"מ</w:t>
      </w:r>
      <w:r>
        <w:rPr>
          <w:rFonts w:cs="Arial" w:hint="cs"/>
          <w:rtl/>
        </w:rPr>
        <w:t xml:space="preserve"> </w:t>
      </w:r>
      <w:r w:rsidRPr="007424C0">
        <w:rPr>
          <w:rFonts w:cs="Arial"/>
          <w:rtl/>
        </w:rPr>
        <w:t>(</w:t>
      </w:r>
      <w:r>
        <w:rPr>
          <w:rFonts w:cs="Arial" w:hint="cs"/>
          <w:rtl/>
        </w:rPr>
        <w:t xml:space="preserve">אות </w:t>
      </w:r>
      <w:r w:rsidRPr="007424C0">
        <w:rPr>
          <w:rFonts w:cs="Arial" w:hint="cs"/>
          <w:rtl/>
        </w:rPr>
        <w:t>ט</w:t>
      </w:r>
      <w:r w:rsidRPr="007424C0">
        <w:rPr>
          <w:rFonts w:cs="Arial"/>
          <w:rtl/>
        </w:rPr>
        <w:t xml:space="preserve">) </w:t>
      </w:r>
      <w:r>
        <w:rPr>
          <w:rFonts w:cs="Arial" w:hint="cs"/>
          <w:rtl/>
        </w:rPr>
        <w:t>ד</w:t>
      </w:r>
      <w:r w:rsidRPr="007424C0">
        <w:rPr>
          <w:rFonts w:cs="Arial" w:hint="cs"/>
          <w:rtl/>
        </w:rPr>
        <w:t>זהו</w:t>
      </w:r>
      <w:r w:rsidRPr="007424C0">
        <w:rPr>
          <w:rFonts w:cs="Arial"/>
          <w:rtl/>
        </w:rPr>
        <w:t xml:space="preserve"> </w:t>
      </w:r>
      <w:r w:rsidRPr="007424C0">
        <w:rPr>
          <w:rFonts w:cs="Arial" w:hint="cs"/>
          <w:rtl/>
        </w:rPr>
        <w:t>דלא</w:t>
      </w:r>
      <w:r w:rsidRPr="007424C0">
        <w:rPr>
          <w:rFonts w:cs="Arial"/>
          <w:rtl/>
        </w:rPr>
        <w:t xml:space="preserve"> </w:t>
      </w:r>
      <w:r w:rsidRPr="007424C0">
        <w:rPr>
          <w:rFonts w:cs="Arial" w:hint="cs"/>
          <w:rtl/>
        </w:rPr>
        <w:t>כתשובת</w:t>
      </w:r>
      <w:r w:rsidRPr="007424C0">
        <w:rPr>
          <w:rFonts w:cs="Arial"/>
          <w:rtl/>
        </w:rPr>
        <w:t xml:space="preserve"> </w:t>
      </w:r>
      <w:r w:rsidRPr="007424C0">
        <w:rPr>
          <w:rFonts w:cs="Arial" w:hint="cs"/>
          <w:rtl/>
        </w:rPr>
        <w:t>מוהר</w:t>
      </w:r>
      <w:r w:rsidRPr="007424C0">
        <w:rPr>
          <w:rFonts w:cs="Arial"/>
          <w:rtl/>
        </w:rPr>
        <w:t>"</w:t>
      </w:r>
      <w:r w:rsidRPr="007424C0">
        <w:rPr>
          <w:rFonts w:cs="Arial" w:hint="cs"/>
          <w:rtl/>
        </w:rPr>
        <w:t>ם</w:t>
      </w:r>
      <w:r w:rsidRPr="007424C0">
        <w:rPr>
          <w:rFonts w:cs="Arial"/>
          <w:rtl/>
        </w:rPr>
        <w:t xml:space="preserve"> </w:t>
      </w:r>
      <w:r w:rsidRPr="007424C0">
        <w:rPr>
          <w:rFonts w:cs="Arial" w:hint="cs"/>
          <w:rtl/>
        </w:rPr>
        <w:t>פאדו</w:t>
      </w:r>
      <w:r w:rsidRPr="007424C0">
        <w:rPr>
          <w:rFonts w:cs="Arial"/>
          <w:rtl/>
        </w:rPr>
        <w:t>"</w:t>
      </w:r>
      <w:r w:rsidRPr="007424C0">
        <w:rPr>
          <w:rFonts w:cs="Arial" w:hint="cs"/>
          <w:rtl/>
        </w:rPr>
        <w:t>ה</w:t>
      </w:r>
      <w:r w:rsidRPr="007424C0">
        <w:rPr>
          <w:rFonts w:cs="Arial"/>
          <w:rtl/>
        </w:rPr>
        <w:t xml:space="preserve"> </w:t>
      </w:r>
      <w:r>
        <w:rPr>
          <w:rFonts w:cs="Arial" w:hint="cs"/>
          <w:rtl/>
        </w:rPr>
        <w:t>(</w:t>
      </w:r>
      <w:r w:rsidRPr="007424C0">
        <w:rPr>
          <w:rFonts w:cs="Arial" w:hint="cs"/>
          <w:rtl/>
        </w:rPr>
        <w:t>סי</w:t>
      </w:r>
      <w:r>
        <w:rPr>
          <w:rFonts w:cs="Arial" w:hint="cs"/>
          <w:rtl/>
        </w:rPr>
        <w:t>'</w:t>
      </w:r>
      <w:r w:rsidRPr="007424C0">
        <w:rPr>
          <w:rFonts w:cs="Arial"/>
          <w:rtl/>
        </w:rPr>
        <w:t xml:space="preserve"> </w:t>
      </w:r>
      <w:r w:rsidRPr="007424C0">
        <w:rPr>
          <w:rFonts w:cs="Arial" w:hint="cs"/>
          <w:rtl/>
        </w:rPr>
        <w:t>ה</w:t>
      </w:r>
      <w:r>
        <w:rPr>
          <w:rFonts w:cs="Arial" w:hint="cs"/>
          <w:rtl/>
        </w:rPr>
        <w:t>)</w:t>
      </w:r>
      <w:r w:rsidRPr="007424C0">
        <w:rPr>
          <w:rFonts w:cs="Arial"/>
          <w:rtl/>
        </w:rPr>
        <w:t xml:space="preserve"> </w:t>
      </w:r>
      <w:r w:rsidRPr="007424C0">
        <w:rPr>
          <w:rFonts w:cs="Arial" w:hint="cs"/>
          <w:rtl/>
        </w:rPr>
        <w:t>דכתב</w:t>
      </w:r>
      <w:r w:rsidRPr="007424C0">
        <w:rPr>
          <w:rFonts w:cs="Arial"/>
          <w:rtl/>
        </w:rPr>
        <w:t xml:space="preserve"> </w:t>
      </w:r>
      <w:r w:rsidRPr="007424C0">
        <w:rPr>
          <w:rFonts w:cs="Arial" w:hint="cs"/>
          <w:rtl/>
        </w:rPr>
        <w:t>דאין</w:t>
      </w:r>
      <w:r w:rsidRPr="007424C0">
        <w:rPr>
          <w:rFonts w:cs="Arial"/>
          <w:rtl/>
        </w:rPr>
        <w:t xml:space="preserve"> </w:t>
      </w:r>
      <w:r w:rsidRPr="007424C0">
        <w:rPr>
          <w:rFonts w:cs="Arial" w:hint="cs"/>
          <w:rtl/>
        </w:rPr>
        <w:t>צריך</w:t>
      </w:r>
      <w:r w:rsidRPr="007424C0">
        <w:rPr>
          <w:rFonts w:cs="Arial"/>
          <w:rtl/>
        </w:rPr>
        <w:t xml:space="preserve"> </w:t>
      </w:r>
      <w:r w:rsidRPr="007424C0">
        <w:rPr>
          <w:rFonts w:cs="Arial" w:hint="cs"/>
          <w:rtl/>
        </w:rPr>
        <w:t>לכתוב</w:t>
      </w:r>
      <w:r w:rsidRPr="007424C0">
        <w:rPr>
          <w:rFonts w:cs="Arial"/>
          <w:rtl/>
        </w:rPr>
        <w:t xml:space="preserve"> </w:t>
      </w:r>
      <w:r w:rsidRPr="007424C0">
        <w:rPr>
          <w:rFonts w:cs="Arial" w:hint="cs"/>
          <w:rtl/>
        </w:rPr>
        <w:t>ב</w:t>
      </w:r>
      <w:r w:rsidRPr="007424C0">
        <w:rPr>
          <w:rFonts w:cs="Arial"/>
          <w:rtl/>
        </w:rPr>
        <w:t xml:space="preserve">' </w:t>
      </w:r>
      <w:r w:rsidRPr="007424C0">
        <w:rPr>
          <w:rFonts w:cs="Arial" w:hint="cs"/>
          <w:rtl/>
        </w:rPr>
        <w:t>השמות</w:t>
      </w:r>
      <w:r w:rsidRPr="007424C0">
        <w:rPr>
          <w:rFonts w:cs="Arial"/>
          <w:rtl/>
        </w:rPr>
        <w:t xml:space="preserve"> </w:t>
      </w:r>
      <w:r w:rsidRPr="007424C0">
        <w:rPr>
          <w:rFonts w:cs="Arial" w:hint="cs"/>
          <w:rtl/>
        </w:rPr>
        <w:t>של</w:t>
      </w:r>
      <w:r w:rsidRPr="007424C0">
        <w:rPr>
          <w:rFonts w:cs="Arial"/>
          <w:rtl/>
        </w:rPr>
        <w:t xml:space="preserve"> </w:t>
      </w:r>
      <w:r w:rsidRPr="007424C0">
        <w:rPr>
          <w:rFonts w:cs="Arial" w:hint="cs"/>
          <w:rtl/>
        </w:rPr>
        <w:t>הנהר</w:t>
      </w:r>
      <w:r>
        <w:rPr>
          <w:rFonts w:cs="Arial" w:hint="cs"/>
          <w:rtl/>
        </w:rPr>
        <w:t>.</w:t>
      </w:r>
    </w:p>
  </w:footnote>
  <w:footnote w:id="984">
    <w:p w14:paraId="1A1EBB98" w14:textId="41DE98CC" w:rsidR="00FA2119" w:rsidRDefault="00FA2119" w:rsidP="00FA2119">
      <w:pPr>
        <w:pStyle w:val="a5"/>
      </w:pPr>
      <w:r>
        <w:rPr>
          <w:rStyle w:val="a7"/>
        </w:rPr>
        <w:footnoteRef/>
      </w:r>
      <w:r>
        <w:rPr>
          <w:rtl/>
        </w:rPr>
        <w:t xml:space="preserve"> </w:t>
      </w:r>
      <w:r>
        <w:rPr>
          <w:rFonts w:cs="Arial" w:hint="cs"/>
          <w:rtl/>
        </w:rPr>
        <w:t>זה</w:t>
      </w:r>
      <w:r>
        <w:rPr>
          <w:rFonts w:cs="Arial"/>
          <w:rtl/>
        </w:rPr>
        <w:t xml:space="preserve"> </w:t>
      </w:r>
      <w:r>
        <w:rPr>
          <w:rFonts w:cs="Arial" w:hint="cs"/>
          <w:rtl/>
        </w:rPr>
        <w:t>נלמד</w:t>
      </w:r>
      <w:r>
        <w:rPr>
          <w:rFonts w:cs="Arial"/>
          <w:rtl/>
        </w:rPr>
        <w:t xml:space="preserve"> </w:t>
      </w:r>
      <w:r>
        <w:rPr>
          <w:rFonts w:cs="Arial" w:hint="cs"/>
          <w:rtl/>
        </w:rPr>
        <w:t>משם</w:t>
      </w:r>
      <w:r>
        <w:rPr>
          <w:rFonts w:cs="Arial"/>
          <w:rtl/>
        </w:rPr>
        <w:t xml:space="preserve"> </w:t>
      </w:r>
      <w:r>
        <w:rPr>
          <w:rFonts w:cs="Arial" w:hint="cs"/>
          <w:rtl/>
        </w:rPr>
        <w:t>האיש</w:t>
      </w:r>
      <w:r>
        <w:rPr>
          <w:rFonts w:cs="Arial"/>
          <w:rtl/>
        </w:rPr>
        <w:t xml:space="preserve"> </w:t>
      </w:r>
      <w:r>
        <w:rPr>
          <w:rFonts w:cs="Arial" w:hint="cs"/>
          <w:rtl/>
        </w:rPr>
        <w:t>והאשה</w:t>
      </w:r>
      <w:r>
        <w:rPr>
          <w:rFonts w:cs="Arial"/>
          <w:rtl/>
        </w:rPr>
        <w:t xml:space="preserve"> </w:t>
      </w:r>
      <w:r>
        <w:rPr>
          <w:rFonts w:cs="Arial" w:hint="cs"/>
          <w:rtl/>
        </w:rPr>
        <w:t>שיתבאר</w:t>
      </w:r>
      <w:r>
        <w:rPr>
          <w:rFonts w:cs="Arial"/>
          <w:rtl/>
        </w:rPr>
        <w:t xml:space="preserve"> </w:t>
      </w:r>
      <w:r>
        <w:rPr>
          <w:rFonts w:cs="Arial" w:hint="cs"/>
          <w:rtl/>
        </w:rPr>
        <w:t>בסימן</w:t>
      </w:r>
      <w:r>
        <w:rPr>
          <w:rFonts w:cs="Arial"/>
          <w:rtl/>
        </w:rPr>
        <w:t xml:space="preserve"> </w:t>
      </w:r>
      <w:r>
        <w:rPr>
          <w:rFonts w:cs="Arial" w:hint="cs"/>
          <w:rtl/>
        </w:rPr>
        <w:t>שאחר</w:t>
      </w:r>
      <w:r>
        <w:rPr>
          <w:rFonts w:cs="Arial"/>
          <w:rtl/>
        </w:rPr>
        <w:t xml:space="preserve"> </w:t>
      </w:r>
      <w:r>
        <w:rPr>
          <w:rFonts w:cs="Arial" w:hint="cs"/>
          <w:rtl/>
        </w:rPr>
        <w:t>זה, ב"י.</w:t>
      </w:r>
    </w:p>
  </w:footnote>
  <w:footnote w:id="985">
    <w:p w14:paraId="280F8040" w14:textId="3FC1EF32" w:rsidR="00FA2119" w:rsidRDefault="00FA2119" w:rsidP="00FA2119">
      <w:pPr>
        <w:pStyle w:val="a5"/>
        <w:rPr>
          <w:rtl/>
        </w:rPr>
      </w:pPr>
      <w:r>
        <w:rPr>
          <w:rStyle w:val="a7"/>
        </w:rPr>
        <w:footnoteRef/>
      </w:r>
      <w:r>
        <w:rPr>
          <w:rtl/>
        </w:rPr>
        <w:t xml:space="preserve"> </w:t>
      </w:r>
      <w:r w:rsidRPr="00C62CA4">
        <w:rPr>
          <w:rFonts w:cs="Arial" w:hint="cs"/>
          <w:rtl/>
        </w:rPr>
        <w:t>וכשיכתוב</w:t>
      </w:r>
      <w:r w:rsidRPr="00C62CA4">
        <w:rPr>
          <w:rFonts w:cs="Arial"/>
          <w:rtl/>
        </w:rPr>
        <w:t xml:space="preserve"> </w:t>
      </w:r>
      <w:r w:rsidRPr="00C62CA4">
        <w:rPr>
          <w:rFonts w:cs="Arial" w:hint="cs"/>
          <w:rtl/>
        </w:rPr>
        <w:t>השם</w:t>
      </w:r>
      <w:r w:rsidRPr="00C62CA4">
        <w:rPr>
          <w:rFonts w:cs="Arial"/>
          <w:rtl/>
        </w:rPr>
        <w:t xml:space="preserve"> </w:t>
      </w:r>
      <w:r w:rsidRPr="00C62CA4">
        <w:rPr>
          <w:rFonts w:cs="Arial" w:hint="cs"/>
          <w:rtl/>
        </w:rPr>
        <w:t>השני</w:t>
      </w:r>
      <w:r w:rsidRPr="00C62CA4">
        <w:rPr>
          <w:rFonts w:cs="Arial"/>
          <w:rtl/>
        </w:rPr>
        <w:t xml:space="preserve"> </w:t>
      </w:r>
      <w:r w:rsidRPr="00C62CA4">
        <w:rPr>
          <w:rFonts w:cs="Arial" w:hint="cs"/>
          <w:rtl/>
        </w:rPr>
        <w:t>יכתוב</w:t>
      </w:r>
      <w:r w:rsidRPr="00C62CA4">
        <w:rPr>
          <w:rFonts w:cs="Arial"/>
          <w:rtl/>
        </w:rPr>
        <w:t xml:space="preserve"> </w:t>
      </w:r>
      <w:r w:rsidRPr="00C62CA4">
        <w:rPr>
          <w:rFonts w:cs="Arial" w:hint="cs"/>
          <w:rtl/>
        </w:rPr>
        <w:t>'דמתקריא</w:t>
      </w:r>
      <w:r w:rsidRPr="00C62CA4">
        <w:rPr>
          <w:rFonts w:cs="Arial"/>
          <w:rtl/>
        </w:rPr>
        <w:t xml:space="preserve"> </w:t>
      </w:r>
      <w:r w:rsidRPr="00C62CA4">
        <w:rPr>
          <w:rFonts w:cs="Arial" w:hint="cs"/>
          <w:rtl/>
        </w:rPr>
        <w:t>כך'</w:t>
      </w:r>
      <w:r w:rsidRPr="00C62CA4">
        <w:rPr>
          <w:rFonts w:cs="Arial"/>
          <w:rtl/>
        </w:rPr>
        <w:t xml:space="preserve"> </w:t>
      </w:r>
      <w:r w:rsidRPr="00C62CA4">
        <w:rPr>
          <w:rFonts w:cs="Arial" w:hint="cs"/>
          <w:rtl/>
        </w:rPr>
        <w:t>או</w:t>
      </w:r>
      <w:r w:rsidRPr="00C62CA4">
        <w:rPr>
          <w:rFonts w:cs="Arial"/>
          <w:rtl/>
        </w:rPr>
        <w:t xml:space="preserve"> </w:t>
      </w:r>
      <w:r w:rsidRPr="00C62CA4">
        <w:rPr>
          <w:rFonts w:cs="Arial" w:hint="cs"/>
          <w:rtl/>
        </w:rPr>
        <w:t>'דמתקרית'</w:t>
      </w:r>
      <w:r w:rsidRPr="00C62CA4">
        <w:rPr>
          <w:rFonts w:cs="Arial"/>
          <w:rtl/>
        </w:rPr>
        <w:t xml:space="preserve"> </w:t>
      </w:r>
      <w:r w:rsidRPr="00C62CA4">
        <w:rPr>
          <w:rFonts w:cs="Arial" w:hint="cs"/>
          <w:rtl/>
        </w:rPr>
        <w:t>בלשון</w:t>
      </w:r>
      <w:r w:rsidRPr="00C62CA4">
        <w:rPr>
          <w:rFonts w:cs="Arial"/>
          <w:rtl/>
        </w:rPr>
        <w:t xml:space="preserve"> </w:t>
      </w:r>
      <w:r w:rsidRPr="00C62CA4">
        <w:rPr>
          <w:rFonts w:cs="Arial" w:hint="cs"/>
          <w:rtl/>
        </w:rPr>
        <w:t>נקבה,</w:t>
      </w:r>
      <w:r w:rsidRPr="00C62CA4">
        <w:rPr>
          <w:rFonts w:cs="Arial"/>
          <w:rtl/>
        </w:rPr>
        <w:t xml:space="preserve"> </w:t>
      </w:r>
      <w:r w:rsidRPr="00C62CA4">
        <w:rPr>
          <w:rFonts w:cs="Arial" w:hint="cs"/>
          <w:rtl/>
        </w:rPr>
        <w:t>דעיר</w:t>
      </w:r>
      <w:r w:rsidRPr="00C62CA4">
        <w:rPr>
          <w:rFonts w:cs="Arial"/>
          <w:rtl/>
        </w:rPr>
        <w:t xml:space="preserve"> </w:t>
      </w:r>
      <w:r w:rsidRPr="00C62CA4">
        <w:rPr>
          <w:rFonts w:cs="Arial" w:hint="cs"/>
          <w:rtl/>
        </w:rPr>
        <w:t>לשון</w:t>
      </w:r>
      <w:r w:rsidRPr="00C62CA4">
        <w:rPr>
          <w:rFonts w:cs="Arial"/>
          <w:rtl/>
        </w:rPr>
        <w:t xml:space="preserve"> </w:t>
      </w:r>
      <w:r w:rsidRPr="00C62CA4">
        <w:rPr>
          <w:rFonts w:cs="Arial" w:hint="cs"/>
          <w:rtl/>
        </w:rPr>
        <w:t>נקבה</w:t>
      </w:r>
      <w:r w:rsidRPr="00C62CA4">
        <w:rPr>
          <w:rFonts w:cs="Arial"/>
          <w:rtl/>
        </w:rPr>
        <w:t xml:space="preserve"> </w:t>
      </w:r>
      <w:r w:rsidRPr="00C62CA4">
        <w:rPr>
          <w:rFonts w:cs="Arial" w:hint="cs"/>
          <w:rtl/>
        </w:rPr>
        <w:t>היא</w:t>
      </w:r>
      <w:r w:rsidRPr="00C62CA4">
        <w:rPr>
          <w:rFonts w:cs="Arial"/>
          <w:rtl/>
        </w:rPr>
        <w:t xml:space="preserve"> </w:t>
      </w:r>
      <w:r w:rsidRPr="00C62CA4">
        <w:rPr>
          <w:rFonts w:cs="Arial" w:hint="cs"/>
          <w:rtl/>
        </w:rPr>
        <w:t>כמו</w:t>
      </w:r>
      <w:r w:rsidRPr="00C62CA4">
        <w:rPr>
          <w:rFonts w:cs="Arial"/>
          <w:rtl/>
        </w:rPr>
        <w:t xml:space="preserve"> </w:t>
      </w:r>
      <w:r w:rsidRPr="00C62CA4">
        <w:rPr>
          <w:rFonts w:cs="Arial" w:hint="cs"/>
          <w:rtl/>
        </w:rPr>
        <w:t>העיר</w:t>
      </w:r>
      <w:r w:rsidRPr="00C62CA4">
        <w:rPr>
          <w:rFonts w:cs="Arial"/>
          <w:rtl/>
        </w:rPr>
        <w:t xml:space="preserve"> </w:t>
      </w:r>
      <w:r w:rsidRPr="00C62CA4">
        <w:rPr>
          <w:rFonts w:cs="Arial" w:hint="cs"/>
          <w:rtl/>
        </w:rPr>
        <w:t>הזאת</w:t>
      </w:r>
      <w:r w:rsidRPr="00C62CA4">
        <w:rPr>
          <w:rFonts w:cs="Arial"/>
          <w:rtl/>
        </w:rPr>
        <w:t xml:space="preserve"> (</w:t>
      </w:r>
      <w:r w:rsidRPr="00C62CA4">
        <w:rPr>
          <w:rFonts w:cs="Arial" w:hint="cs"/>
          <w:rtl/>
        </w:rPr>
        <w:t>בראשית</w:t>
      </w:r>
      <w:r w:rsidRPr="00C62CA4">
        <w:rPr>
          <w:rFonts w:cs="Arial"/>
          <w:rtl/>
        </w:rPr>
        <w:t xml:space="preserve"> </w:t>
      </w:r>
      <w:r w:rsidRPr="00C62CA4">
        <w:rPr>
          <w:rFonts w:cs="Arial" w:hint="cs"/>
          <w:rtl/>
        </w:rPr>
        <w:t>יט</w:t>
      </w:r>
      <w:r w:rsidRPr="00C62CA4">
        <w:rPr>
          <w:rFonts w:cs="Arial"/>
          <w:rtl/>
        </w:rPr>
        <w:t xml:space="preserve"> </w:t>
      </w:r>
      <w:r w:rsidRPr="00C62CA4">
        <w:rPr>
          <w:rFonts w:cs="Arial" w:hint="cs"/>
          <w:rtl/>
        </w:rPr>
        <w:t>כ</w:t>
      </w:r>
      <w:r w:rsidRPr="00C62CA4">
        <w:rPr>
          <w:rFonts w:cs="Arial"/>
          <w:rtl/>
        </w:rPr>
        <w:t xml:space="preserve">) </w:t>
      </w:r>
      <w:r w:rsidRPr="00C62CA4">
        <w:rPr>
          <w:rFonts w:cs="Arial" w:hint="cs"/>
          <w:rtl/>
        </w:rPr>
        <w:t>כן</w:t>
      </w:r>
      <w:r w:rsidRPr="00C62CA4">
        <w:rPr>
          <w:rFonts w:cs="Arial"/>
          <w:rtl/>
        </w:rPr>
        <w:t xml:space="preserve"> </w:t>
      </w:r>
      <w:r w:rsidRPr="00C62CA4">
        <w:rPr>
          <w:rFonts w:cs="Arial" w:hint="cs"/>
          <w:rtl/>
        </w:rPr>
        <w:t>כתב</w:t>
      </w:r>
      <w:r w:rsidRPr="00C62CA4">
        <w:rPr>
          <w:rFonts w:cs="Arial"/>
          <w:rtl/>
        </w:rPr>
        <w:t xml:space="preserve"> </w:t>
      </w:r>
      <w:r w:rsidRPr="00C62CA4">
        <w:rPr>
          <w:rFonts w:cs="Arial" w:hint="cs"/>
          <w:rtl/>
        </w:rPr>
        <w:t>מהר</w:t>
      </w:r>
      <w:r w:rsidRPr="00C62CA4">
        <w:rPr>
          <w:rFonts w:cs="Arial"/>
          <w:rtl/>
        </w:rPr>
        <w:t>"</w:t>
      </w:r>
      <w:r w:rsidRPr="00C62CA4">
        <w:rPr>
          <w:rFonts w:cs="Arial" w:hint="cs"/>
          <w:rtl/>
        </w:rPr>
        <w:t>ר</w:t>
      </w:r>
      <w:r w:rsidRPr="00C62CA4">
        <w:rPr>
          <w:rFonts w:cs="Arial"/>
          <w:rtl/>
        </w:rPr>
        <w:t xml:space="preserve"> </w:t>
      </w:r>
      <w:r w:rsidRPr="00C62CA4">
        <w:rPr>
          <w:rFonts w:cs="Arial" w:hint="cs"/>
          <w:rtl/>
        </w:rPr>
        <w:t>ישראל</w:t>
      </w:r>
      <w:r w:rsidRPr="00C62CA4">
        <w:rPr>
          <w:rFonts w:cs="Arial"/>
          <w:rtl/>
        </w:rPr>
        <w:t xml:space="preserve"> </w:t>
      </w:r>
      <w:r w:rsidRPr="00C62CA4">
        <w:rPr>
          <w:rFonts w:cs="Arial" w:hint="cs"/>
          <w:rtl/>
        </w:rPr>
        <w:t>בכתביו</w:t>
      </w:r>
      <w:r w:rsidRPr="00C62CA4">
        <w:rPr>
          <w:rFonts w:cs="Arial"/>
          <w:rtl/>
        </w:rPr>
        <w:t xml:space="preserve"> </w:t>
      </w:r>
      <w:r>
        <w:rPr>
          <w:rFonts w:cs="Arial" w:hint="cs"/>
          <w:rtl/>
        </w:rPr>
        <w:t>(</w:t>
      </w:r>
      <w:r w:rsidRPr="00C62CA4">
        <w:rPr>
          <w:rFonts w:cs="Arial" w:hint="cs"/>
          <w:rtl/>
        </w:rPr>
        <w:t>סי</w:t>
      </w:r>
      <w:r>
        <w:rPr>
          <w:rFonts w:cs="Arial" w:hint="cs"/>
          <w:rtl/>
        </w:rPr>
        <w:t>'</w:t>
      </w:r>
      <w:r w:rsidRPr="00C62CA4">
        <w:rPr>
          <w:rFonts w:cs="Arial"/>
          <w:rtl/>
        </w:rPr>
        <w:t xml:space="preserve"> </w:t>
      </w:r>
      <w:r w:rsidRPr="00C62CA4">
        <w:rPr>
          <w:rFonts w:cs="Arial" w:hint="cs"/>
          <w:rtl/>
        </w:rPr>
        <w:t>קפה</w:t>
      </w:r>
      <w:r>
        <w:rPr>
          <w:rFonts w:cs="Arial" w:hint="cs"/>
          <w:rtl/>
        </w:rPr>
        <w:t xml:space="preserve">), </w:t>
      </w:r>
      <w:r w:rsidRPr="00C62CA4">
        <w:rPr>
          <w:rFonts w:cs="Arial" w:hint="cs"/>
          <w:b/>
          <w:bCs/>
          <w:rtl/>
        </w:rPr>
        <w:t>ב"י</w:t>
      </w:r>
      <w:r>
        <w:rPr>
          <w:rFonts w:cs="Arial" w:hint="cs"/>
          <w:rtl/>
        </w:rPr>
        <w:t>.</w:t>
      </w:r>
      <w:r w:rsidRPr="003C7C89">
        <w:rPr>
          <w:rFonts w:cs="Arial"/>
          <w:rtl/>
        </w:rPr>
        <w:t xml:space="preserve"> </w:t>
      </w:r>
      <w:r w:rsidRPr="00566424">
        <w:rPr>
          <w:rFonts w:hint="cs"/>
          <w:color w:val="00B0F0"/>
          <w:rtl/>
        </w:rPr>
        <w:t xml:space="preserve">(וכ"פ </w:t>
      </w:r>
      <w:r>
        <w:rPr>
          <w:rFonts w:hint="cs"/>
          <w:color w:val="00B0F0"/>
          <w:rtl/>
        </w:rPr>
        <w:t>הרמ"א</w:t>
      </w:r>
      <w:r w:rsidRPr="00566424">
        <w:rPr>
          <w:rFonts w:hint="cs"/>
          <w:color w:val="00B0F0"/>
          <w:rtl/>
        </w:rPr>
        <w:t>)</w:t>
      </w:r>
      <w:r>
        <w:rPr>
          <w:rFonts w:cs="Arial" w:hint="cs"/>
          <w:rtl/>
        </w:rPr>
        <w:t xml:space="preserve">. </w:t>
      </w:r>
      <w:r w:rsidRPr="003C7C89">
        <w:rPr>
          <w:rFonts w:cs="Arial" w:hint="cs"/>
          <w:rtl/>
        </w:rPr>
        <w:t>ומיהו</w:t>
      </w:r>
      <w:r w:rsidRPr="003C7C89">
        <w:rPr>
          <w:rFonts w:cs="Arial"/>
          <w:rtl/>
        </w:rPr>
        <w:t xml:space="preserve"> </w:t>
      </w:r>
      <w:r w:rsidRPr="003C7C89">
        <w:rPr>
          <w:rFonts w:cs="Arial" w:hint="cs"/>
          <w:rtl/>
        </w:rPr>
        <w:t>משמע</w:t>
      </w:r>
      <w:r w:rsidRPr="003C7C89">
        <w:rPr>
          <w:rFonts w:cs="Arial"/>
          <w:rtl/>
        </w:rPr>
        <w:t xml:space="preserve"> </w:t>
      </w:r>
      <w:r w:rsidRPr="003C7C89">
        <w:rPr>
          <w:rFonts w:cs="Arial" w:hint="cs"/>
          <w:rtl/>
        </w:rPr>
        <w:t>מדברי</w:t>
      </w:r>
      <w:r w:rsidRPr="003C7C89">
        <w:rPr>
          <w:rFonts w:cs="Arial"/>
          <w:rtl/>
        </w:rPr>
        <w:t xml:space="preserve"> </w:t>
      </w:r>
      <w:r w:rsidRPr="003C7C89">
        <w:rPr>
          <w:rFonts w:cs="Arial" w:hint="cs"/>
          <w:rtl/>
        </w:rPr>
        <w:t>מהרא</w:t>
      </w:r>
      <w:r w:rsidRPr="003C7C89">
        <w:rPr>
          <w:rFonts w:cs="Arial"/>
          <w:rtl/>
        </w:rPr>
        <w:t>"</w:t>
      </w:r>
      <w:r w:rsidRPr="003C7C89">
        <w:rPr>
          <w:rFonts w:cs="Arial" w:hint="cs"/>
          <w:rtl/>
        </w:rPr>
        <w:t>י</w:t>
      </w:r>
      <w:r w:rsidRPr="003C7C89">
        <w:rPr>
          <w:rFonts w:cs="Arial"/>
          <w:rtl/>
        </w:rPr>
        <w:t xml:space="preserve"> (</w:t>
      </w:r>
      <w:r w:rsidRPr="003C7C89">
        <w:rPr>
          <w:rFonts w:cs="Arial" w:hint="cs"/>
          <w:rtl/>
        </w:rPr>
        <w:t>תרוה</w:t>
      </w:r>
      <w:r w:rsidRPr="003C7C89">
        <w:rPr>
          <w:rFonts w:cs="Arial"/>
          <w:rtl/>
        </w:rPr>
        <w:t>"</w:t>
      </w:r>
      <w:r w:rsidRPr="003C7C89">
        <w:rPr>
          <w:rFonts w:cs="Arial" w:hint="cs"/>
          <w:rtl/>
        </w:rPr>
        <w:t>ד</w:t>
      </w:r>
      <w:r w:rsidRPr="003C7C89">
        <w:rPr>
          <w:rFonts w:cs="Arial"/>
          <w:rtl/>
        </w:rPr>
        <w:t xml:space="preserve"> </w:t>
      </w:r>
      <w:r w:rsidRPr="003C7C89">
        <w:rPr>
          <w:rFonts w:cs="Arial" w:hint="cs"/>
          <w:rtl/>
        </w:rPr>
        <w:t>ח</w:t>
      </w:r>
      <w:r w:rsidRPr="003C7C89">
        <w:rPr>
          <w:rFonts w:cs="Arial"/>
          <w:rtl/>
        </w:rPr>
        <w:t>"</w:t>
      </w:r>
      <w:r w:rsidRPr="003C7C89">
        <w:rPr>
          <w:rFonts w:cs="Arial" w:hint="cs"/>
          <w:rtl/>
        </w:rPr>
        <w:t>ב</w:t>
      </w:r>
      <w:r w:rsidRPr="003C7C89">
        <w:rPr>
          <w:rFonts w:cs="Arial"/>
          <w:rtl/>
        </w:rPr>
        <w:t xml:space="preserve"> </w:t>
      </w:r>
      <w:r w:rsidRPr="003C7C89">
        <w:rPr>
          <w:rFonts w:cs="Arial" w:hint="cs"/>
          <w:rtl/>
        </w:rPr>
        <w:t>סי</w:t>
      </w:r>
      <w:r w:rsidR="00A54E2C">
        <w:rPr>
          <w:rFonts w:cs="Arial" w:hint="cs"/>
          <w:rtl/>
        </w:rPr>
        <w:t>'</w:t>
      </w:r>
      <w:r w:rsidRPr="003C7C89">
        <w:rPr>
          <w:rFonts w:cs="Arial"/>
          <w:rtl/>
        </w:rPr>
        <w:t xml:space="preserve"> </w:t>
      </w:r>
      <w:r w:rsidRPr="003C7C89">
        <w:rPr>
          <w:rFonts w:cs="Arial" w:hint="cs"/>
          <w:rtl/>
        </w:rPr>
        <w:t>ט</w:t>
      </w:r>
      <w:r w:rsidR="00A54E2C">
        <w:rPr>
          <w:rFonts w:cs="Arial" w:hint="cs"/>
          <w:rtl/>
        </w:rPr>
        <w:t>)</w:t>
      </w:r>
      <w:r w:rsidRPr="003C7C89">
        <w:rPr>
          <w:rFonts w:cs="Arial"/>
          <w:rtl/>
        </w:rPr>
        <w:t xml:space="preserve"> </w:t>
      </w:r>
      <w:r w:rsidRPr="003C7C89">
        <w:rPr>
          <w:rFonts w:cs="Arial" w:hint="cs"/>
          <w:rtl/>
        </w:rPr>
        <w:t>דאין</w:t>
      </w:r>
      <w:r w:rsidRPr="003C7C89">
        <w:rPr>
          <w:rFonts w:cs="Arial"/>
          <w:rtl/>
        </w:rPr>
        <w:t xml:space="preserve"> </w:t>
      </w:r>
      <w:r w:rsidRPr="003C7C89">
        <w:rPr>
          <w:rFonts w:cs="Arial" w:hint="cs"/>
          <w:rtl/>
        </w:rPr>
        <w:t>צריך</w:t>
      </w:r>
      <w:r w:rsidRPr="003C7C89">
        <w:rPr>
          <w:rFonts w:cs="Arial"/>
          <w:rtl/>
        </w:rPr>
        <w:t xml:space="preserve"> </w:t>
      </w:r>
      <w:r w:rsidRPr="003C7C89">
        <w:rPr>
          <w:rFonts w:cs="Arial" w:hint="cs"/>
          <w:rtl/>
        </w:rPr>
        <w:t>לכתוב</w:t>
      </w:r>
      <w:r w:rsidRPr="003C7C89">
        <w:rPr>
          <w:rFonts w:cs="Arial"/>
          <w:rtl/>
        </w:rPr>
        <w:t xml:space="preserve"> </w:t>
      </w:r>
      <w:r>
        <w:rPr>
          <w:rFonts w:cs="Arial" w:hint="cs"/>
          <w:rtl/>
        </w:rPr>
        <w:t>שני שמות</w:t>
      </w:r>
      <w:r w:rsidRPr="003C7C89">
        <w:rPr>
          <w:rFonts w:cs="Arial"/>
          <w:rtl/>
        </w:rPr>
        <w:t xml:space="preserve"> </w:t>
      </w:r>
      <w:r w:rsidRPr="003C7C89">
        <w:rPr>
          <w:rFonts w:cs="Arial" w:hint="cs"/>
          <w:rtl/>
        </w:rPr>
        <w:t>של</w:t>
      </w:r>
      <w:r w:rsidRPr="003C7C89">
        <w:rPr>
          <w:rFonts w:cs="Arial"/>
          <w:rtl/>
        </w:rPr>
        <w:t xml:space="preserve"> </w:t>
      </w:r>
      <w:r w:rsidRPr="003C7C89">
        <w:rPr>
          <w:rFonts w:cs="Arial" w:hint="cs"/>
          <w:rtl/>
        </w:rPr>
        <w:t>עיר</w:t>
      </w:r>
      <w:r w:rsidRPr="003C7C89">
        <w:rPr>
          <w:rFonts w:cs="Arial"/>
          <w:rtl/>
        </w:rPr>
        <w:t xml:space="preserve"> </w:t>
      </w:r>
      <w:r w:rsidRPr="003C7C89">
        <w:rPr>
          <w:rFonts w:cs="Arial" w:hint="cs"/>
          <w:rtl/>
        </w:rPr>
        <w:t>אלא</w:t>
      </w:r>
      <w:r w:rsidRPr="003C7C89">
        <w:rPr>
          <w:rFonts w:cs="Arial"/>
          <w:rtl/>
        </w:rPr>
        <w:t xml:space="preserve"> </w:t>
      </w:r>
      <w:r w:rsidRPr="003C7C89">
        <w:rPr>
          <w:rFonts w:cs="Arial" w:hint="cs"/>
          <w:rtl/>
        </w:rPr>
        <w:t>כשכותבין</w:t>
      </w:r>
      <w:r w:rsidRPr="003C7C89">
        <w:rPr>
          <w:rFonts w:cs="Arial"/>
          <w:rtl/>
        </w:rPr>
        <w:t xml:space="preserve"> </w:t>
      </w:r>
      <w:r w:rsidRPr="003C7C89">
        <w:rPr>
          <w:rFonts w:cs="Arial" w:hint="cs"/>
          <w:rtl/>
        </w:rPr>
        <w:t>שם</w:t>
      </w:r>
      <w:r w:rsidRPr="003C7C89">
        <w:rPr>
          <w:rFonts w:cs="Arial"/>
          <w:rtl/>
        </w:rPr>
        <w:t xml:space="preserve"> </w:t>
      </w:r>
      <w:r w:rsidRPr="003C7C89">
        <w:rPr>
          <w:rFonts w:cs="Arial" w:hint="cs"/>
          <w:rtl/>
        </w:rPr>
        <w:t>הדירה</w:t>
      </w:r>
      <w:r w:rsidR="00A54E2C">
        <w:rPr>
          <w:rFonts w:cs="Arial" w:hint="cs"/>
          <w:rtl/>
        </w:rPr>
        <w:t>,</w:t>
      </w:r>
      <w:r w:rsidRPr="003C7C89">
        <w:rPr>
          <w:rFonts w:cs="Arial"/>
          <w:rtl/>
        </w:rPr>
        <w:t xml:space="preserve"> </w:t>
      </w:r>
      <w:r w:rsidRPr="003C7C89">
        <w:rPr>
          <w:rFonts w:cs="Arial" w:hint="cs"/>
          <w:rtl/>
        </w:rPr>
        <w:t>אבל</w:t>
      </w:r>
      <w:r w:rsidRPr="003C7C89">
        <w:rPr>
          <w:rFonts w:cs="Arial"/>
          <w:rtl/>
        </w:rPr>
        <w:t xml:space="preserve"> </w:t>
      </w:r>
      <w:r w:rsidRPr="003C7C89">
        <w:rPr>
          <w:rFonts w:cs="Arial" w:hint="cs"/>
          <w:rtl/>
        </w:rPr>
        <w:t>במקום</w:t>
      </w:r>
      <w:r w:rsidRPr="003C7C89">
        <w:rPr>
          <w:rFonts w:cs="Arial"/>
          <w:rtl/>
        </w:rPr>
        <w:t xml:space="preserve"> </w:t>
      </w:r>
      <w:r w:rsidRPr="003C7C89">
        <w:rPr>
          <w:rFonts w:cs="Arial" w:hint="cs"/>
          <w:rtl/>
        </w:rPr>
        <w:t>דאין</w:t>
      </w:r>
      <w:r w:rsidRPr="003C7C89">
        <w:rPr>
          <w:rFonts w:cs="Arial"/>
          <w:rtl/>
        </w:rPr>
        <w:t xml:space="preserve"> </w:t>
      </w:r>
      <w:r w:rsidRPr="003C7C89">
        <w:rPr>
          <w:rFonts w:cs="Arial" w:hint="cs"/>
          <w:rtl/>
        </w:rPr>
        <w:t>כותבין</w:t>
      </w:r>
      <w:r w:rsidRPr="003C7C89">
        <w:rPr>
          <w:rFonts w:cs="Arial"/>
          <w:rtl/>
        </w:rPr>
        <w:t xml:space="preserve"> </w:t>
      </w:r>
      <w:r w:rsidRPr="003C7C89">
        <w:rPr>
          <w:rFonts w:cs="Arial" w:hint="cs"/>
          <w:rtl/>
        </w:rPr>
        <w:t>רק</w:t>
      </w:r>
      <w:r w:rsidRPr="003C7C89">
        <w:rPr>
          <w:rFonts w:cs="Arial"/>
          <w:rtl/>
        </w:rPr>
        <w:t xml:space="preserve"> </w:t>
      </w:r>
      <w:r w:rsidRPr="003C7C89">
        <w:rPr>
          <w:rFonts w:cs="Arial" w:hint="cs"/>
          <w:rtl/>
        </w:rPr>
        <w:t>מקום</w:t>
      </w:r>
      <w:r w:rsidRPr="003C7C89">
        <w:rPr>
          <w:rFonts w:cs="Arial"/>
          <w:rtl/>
        </w:rPr>
        <w:t xml:space="preserve"> </w:t>
      </w:r>
      <w:r w:rsidRPr="003C7C89">
        <w:rPr>
          <w:rFonts w:cs="Arial" w:hint="cs"/>
          <w:rtl/>
        </w:rPr>
        <w:t>העמידה</w:t>
      </w:r>
      <w:r w:rsidRPr="003C7C89">
        <w:rPr>
          <w:rFonts w:cs="Arial"/>
          <w:rtl/>
        </w:rPr>
        <w:t xml:space="preserve"> </w:t>
      </w:r>
      <w:r w:rsidRPr="003C7C89">
        <w:rPr>
          <w:rFonts w:cs="Arial" w:hint="cs"/>
          <w:rtl/>
        </w:rPr>
        <w:t>אין</w:t>
      </w:r>
      <w:r w:rsidRPr="003C7C89">
        <w:rPr>
          <w:rFonts w:cs="Arial"/>
          <w:rtl/>
        </w:rPr>
        <w:t xml:space="preserve"> </w:t>
      </w:r>
      <w:r w:rsidRPr="003C7C89">
        <w:rPr>
          <w:rFonts w:cs="Arial" w:hint="cs"/>
          <w:rtl/>
        </w:rPr>
        <w:t>לחוש</w:t>
      </w:r>
      <w:r w:rsidRPr="003C7C89">
        <w:rPr>
          <w:rFonts w:cs="Arial"/>
          <w:rtl/>
        </w:rPr>
        <w:t xml:space="preserve">. </w:t>
      </w:r>
      <w:r w:rsidRPr="003C7C89">
        <w:rPr>
          <w:rFonts w:cs="Arial" w:hint="cs"/>
          <w:rtl/>
        </w:rPr>
        <w:t>ואין</w:t>
      </w:r>
      <w:r w:rsidRPr="003C7C89">
        <w:rPr>
          <w:rFonts w:cs="Arial"/>
          <w:rtl/>
        </w:rPr>
        <w:t xml:space="preserve"> </w:t>
      </w:r>
      <w:r w:rsidRPr="003C7C89">
        <w:rPr>
          <w:rFonts w:cs="Arial" w:hint="cs"/>
          <w:rtl/>
        </w:rPr>
        <w:t>נוהגין</w:t>
      </w:r>
      <w:r w:rsidRPr="003C7C89">
        <w:rPr>
          <w:rFonts w:cs="Arial"/>
          <w:rtl/>
        </w:rPr>
        <w:t xml:space="preserve"> </w:t>
      </w:r>
      <w:r w:rsidRPr="003C7C89">
        <w:rPr>
          <w:rFonts w:cs="Arial" w:hint="cs"/>
          <w:rtl/>
        </w:rPr>
        <w:t>כדבריו</w:t>
      </w:r>
      <w:r w:rsidRPr="003C7C89">
        <w:rPr>
          <w:rFonts w:cs="Arial"/>
          <w:rtl/>
        </w:rPr>
        <w:t xml:space="preserve"> </w:t>
      </w:r>
      <w:r w:rsidRPr="003C7C89">
        <w:rPr>
          <w:rFonts w:cs="Arial" w:hint="cs"/>
          <w:rtl/>
        </w:rPr>
        <w:t>אלא</w:t>
      </w:r>
      <w:r w:rsidRPr="003C7C89">
        <w:rPr>
          <w:rFonts w:cs="Arial"/>
          <w:rtl/>
        </w:rPr>
        <w:t xml:space="preserve"> </w:t>
      </w:r>
      <w:r w:rsidRPr="003C7C89">
        <w:rPr>
          <w:rFonts w:cs="Arial" w:hint="cs"/>
          <w:rtl/>
        </w:rPr>
        <w:t>כותבין</w:t>
      </w:r>
      <w:r w:rsidRPr="003C7C89">
        <w:rPr>
          <w:rFonts w:cs="Arial"/>
          <w:rtl/>
        </w:rPr>
        <w:t xml:space="preserve"> </w:t>
      </w:r>
      <w:r w:rsidRPr="003C7C89">
        <w:rPr>
          <w:rFonts w:cs="Arial" w:hint="cs"/>
          <w:rtl/>
        </w:rPr>
        <w:t>שתיהן</w:t>
      </w:r>
      <w:r w:rsidRPr="003C7C89">
        <w:rPr>
          <w:rFonts w:cs="Arial"/>
          <w:rtl/>
        </w:rPr>
        <w:t xml:space="preserve">, </w:t>
      </w:r>
      <w:r w:rsidRPr="003C7C89">
        <w:rPr>
          <w:rFonts w:cs="Arial" w:hint="cs"/>
          <w:rtl/>
        </w:rPr>
        <w:t>ועיין</w:t>
      </w:r>
      <w:r w:rsidRPr="003C7C89">
        <w:rPr>
          <w:rFonts w:cs="Arial"/>
          <w:rtl/>
        </w:rPr>
        <w:t xml:space="preserve"> </w:t>
      </w:r>
      <w:r w:rsidRPr="003C7C89">
        <w:rPr>
          <w:rFonts w:cs="Arial" w:hint="cs"/>
          <w:rtl/>
        </w:rPr>
        <w:t>בזו</w:t>
      </w:r>
      <w:r w:rsidRPr="003C7C89">
        <w:rPr>
          <w:rFonts w:cs="Arial"/>
          <w:rtl/>
        </w:rPr>
        <w:t xml:space="preserve"> </w:t>
      </w:r>
      <w:r w:rsidRPr="003C7C89">
        <w:rPr>
          <w:rFonts w:cs="Arial" w:hint="cs"/>
          <w:rtl/>
        </w:rPr>
        <w:t>בתשובת</w:t>
      </w:r>
      <w:r w:rsidRPr="003C7C89">
        <w:rPr>
          <w:rFonts w:cs="Arial"/>
          <w:rtl/>
        </w:rPr>
        <w:t xml:space="preserve"> </w:t>
      </w:r>
      <w:r w:rsidRPr="003C7C89">
        <w:rPr>
          <w:rFonts w:cs="Arial" w:hint="cs"/>
          <w:rtl/>
        </w:rPr>
        <w:t>מהר</w:t>
      </w:r>
      <w:r w:rsidRPr="003C7C89">
        <w:rPr>
          <w:rFonts w:cs="Arial"/>
          <w:rtl/>
        </w:rPr>
        <w:t>"</w:t>
      </w:r>
      <w:r w:rsidRPr="003C7C89">
        <w:rPr>
          <w:rFonts w:cs="Arial" w:hint="cs"/>
          <w:rtl/>
        </w:rPr>
        <w:t>ם</w:t>
      </w:r>
      <w:r w:rsidRPr="003C7C89">
        <w:rPr>
          <w:rFonts w:cs="Arial"/>
          <w:rtl/>
        </w:rPr>
        <w:t xml:space="preserve"> </w:t>
      </w:r>
      <w:r w:rsidRPr="003C7C89">
        <w:rPr>
          <w:rFonts w:cs="Arial" w:hint="cs"/>
          <w:rtl/>
        </w:rPr>
        <w:t>פאדו</w:t>
      </w:r>
      <w:r w:rsidRPr="003C7C89">
        <w:rPr>
          <w:rFonts w:cs="Arial"/>
          <w:rtl/>
        </w:rPr>
        <w:t>"</w:t>
      </w:r>
      <w:r w:rsidRPr="003C7C89">
        <w:rPr>
          <w:rFonts w:cs="Arial" w:hint="cs"/>
          <w:rtl/>
        </w:rPr>
        <w:t>ה</w:t>
      </w:r>
      <w:r w:rsidRPr="003C7C89">
        <w:rPr>
          <w:rFonts w:cs="Arial"/>
          <w:rtl/>
        </w:rPr>
        <w:t xml:space="preserve"> </w:t>
      </w:r>
      <w:r>
        <w:rPr>
          <w:rFonts w:cs="Arial" w:hint="cs"/>
          <w:rtl/>
        </w:rPr>
        <w:t>(</w:t>
      </w:r>
      <w:r w:rsidRPr="003C7C89">
        <w:rPr>
          <w:rFonts w:cs="Arial" w:hint="cs"/>
          <w:rtl/>
        </w:rPr>
        <w:t>סי</w:t>
      </w:r>
      <w:r>
        <w:rPr>
          <w:rFonts w:cs="Arial" w:hint="cs"/>
          <w:rtl/>
        </w:rPr>
        <w:t>'</w:t>
      </w:r>
      <w:r w:rsidRPr="003C7C89">
        <w:rPr>
          <w:rFonts w:cs="Arial"/>
          <w:rtl/>
        </w:rPr>
        <w:t xml:space="preserve"> </w:t>
      </w:r>
      <w:r w:rsidRPr="003C7C89">
        <w:rPr>
          <w:rFonts w:cs="Arial" w:hint="cs"/>
          <w:rtl/>
        </w:rPr>
        <w:t>ה</w:t>
      </w:r>
      <w:r>
        <w:rPr>
          <w:rFonts w:cs="Arial" w:hint="cs"/>
          <w:rtl/>
        </w:rPr>
        <w:t>),</w:t>
      </w:r>
      <w:r w:rsidRPr="00C62CA4">
        <w:rPr>
          <w:rFonts w:cs="Arial" w:hint="cs"/>
          <w:b/>
          <w:bCs/>
          <w:rtl/>
        </w:rPr>
        <w:t xml:space="preserve"> דרכ"מ </w:t>
      </w:r>
      <w:r>
        <w:rPr>
          <w:rFonts w:cs="Arial" w:hint="cs"/>
          <w:rtl/>
        </w:rPr>
        <w:t>(אות ח).</w:t>
      </w:r>
      <w:r w:rsidRPr="00E62232">
        <w:rPr>
          <w:rFonts w:cs="Arial" w:hint="cs"/>
          <w:rtl/>
        </w:rPr>
        <w:t xml:space="preserve"> </w:t>
      </w:r>
      <w:r>
        <w:rPr>
          <w:rFonts w:cs="Arial" w:hint="cs"/>
          <w:rtl/>
        </w:rPr>
        <w:t xml:space="preserve">וכתב עוד הדרכ"מ </w:t>
      </w:r>
      <w:r w:rsidRPr="007424C0">
        <w:rPr>
          <w:rFonts w:cs="Arial"/>
          <w:rtl/>
        </w:rPr>
        <w:t>(</w:t>
      </w:r>
      <w:r>
        <w:rPr>
          <w:rFonts w:cs="Arial" w:hint="cs"/>
          <w:rtl/>
        </w:rPr>
        <w:t xml:space="preserve">אות </w:t>
      </w:r>
      <w:r w:rsidRPr="007424C0">
        <w:rPr>
          <w:rFonts w:cs="Arial" w:hint="cs"/>
          <w:rtl/>
        </w:rPr>
        <w:t>טו</w:t>
      </w:r>
      <w:r w:rsidRPr="007424C0">
        <w:rPr>
          <w:rFonts w:cs="Arial"/>
          <w:rtl/>
        </w:rPr>
        <w:t xml:space="preserve">) </w:t>
      </w:r>
      <w:r>
        <w:rPr>
          <w:rFonts w:cs="Arial" w:hint="cs"/>
          <w:rtl/>
        </w:rPr>
        <w:t>ד</w:t>
      </w:r>
      <w:r w:rsidRPr="007424C0">
        <w:rPr>
          <w:rFonts w:cs="Arial" w:hint="cs"/>
          <w:rtl/>
        </w:rPr>
        <w:t>נראה</w:t>
      </w:r>
      <w:r w:rsidRPr="007424C0">
        <w:rPr>
          <w:rFonts w:cs="Arial"/>
          <w:rtl/>
        </w:rPr>
        <w:t xml:space="preserve"> </w:t>
      </w:r>
      <w:r w:rsidRPr="007424C0">
        <w:rPr>
          <w:rFonts w:cs="Arial" w:hint="cs"/>
          <w:rtl/>
        </w:rPr>
        <w:t>דלדידן</w:t>
      </w:r>
      <w:r w:rsidRPr="007424C0">
        <w:rPr>
          <w:rFonts w:cs="Arial"/>
          <w:rtl/>
        </w:rPr>
        <w:t xml:space="preserve"> </w:t>
      </w:r>
      <w:r w:rsidRPr="007424C0">
        <w:rPr>
          <w:rFonts w:cs="Arial" w:hint="cs"/>
          <w:rtl/>
        </w:rPr>
        <w:t>דלא</w:t>
      </w:r>
      <w:r w:rsidRPr="007424C0">
        <w:rPr>
          <w:rFonts w:cs="Arial"/>
          <w:rtl/>
        </w:rPr>
        <w:t xml:space="preserve"> </w:t>
      </w:r>
      <w:r w:rsidRPr="007424C0">
        <w:rPr>
          <w:rFonts w:cs="Arial" w:hint="cs"/>
          <w:rtl/>
        </w:rPr>
        <w:t>כתבינן</w:t>
      </w:r>
      <w:r w:rsidRPr="007424C0">
        <w:rPr>
          <w:rFonts w:cs="Arial"/>
          <w:rtl/>
        </w:rPr>
        <w:t xml:space="preserve"> </w:t>
      </w:r>
      <w:r w:rsidRPr="007424C0">
        <w:rPr>
          <w:rFonts w:cs="Arial" w:hint="cs"/>
          <w:rtl/>
        </w:rPr>
        <w:t>כל</w:t>
      </w:r>
      <w:r w:rsidRPr="007424C0">
        <w:rPr>
          <w:rFonts w:cs="Arial"/>
          <w:rtl/>
        </w:rPr>
        <w:t xml:space="preserve"> </w:t>
      </w:r>
      <w:r w:rsidRPr="007424C0">
        <w:rPr>
          <w:rFonts w:cs="Arial" w:hint="cs"/>
          <w:rtl/>
        </w:rPr>
        <w:t>שום</w:t>
      </w:r>
      <w:r w:rsidRPr="007424C0">
        <w:rPr>
          <w:rFonts w:cs="Arial"/>
          <w:rtl/>
        </w:rPr>
        <w:t xml:space="preserve"> </w:t>
      </w:r>
      <w:r w:rsidRPr="007424C0">
        <w:rPr>
          <w:rFonts w:cs="Arial" w:hint="cs"/>
          <w:rtl/>
        </w:rPr>
        <w:t>וחניכא</w:t>
      </w:r>
      <w:r w:rsidRPr="007424C0">
        <w:rPr>
          <w:rFonts w:cs="Arial"/>
          <w:rtl/>
        </w:rPr>
        <w:t xml:space="preserve"> </w:t>
      </w:r>
      <w:r w:rsidRPr="007424C0">
        <w:rPr>
          <w:rFonts w:cs="Arial" w:hint="cs"/>
          <w:rtl/>
        </w:rPr>
        <w:t>בשמות</w:t>
      </w:r>
      <w:r w:rsidRPr="007424C0">
        <w:rPr>
          <w:rFonts w:cs="Arial"/>
          <w:rtl/>
        </w:rPr>
        <w:t xml:space="preserve"> </w:t>
      </w:r>
      <w:r w:rsidRPr="007424C0">
        <w:rPr>
          <w:rFonts w:cs="Arial" w:hint="cs"/>
          <w:rtl/>
        </w:rPr>
        <w:t>הבעל</w:t>
      </w:r>
      <w:r w:rsidRPr="007424C0">
        <w:rPr>
          <w:rFonts w:cs="Arial"/>
          <w:rtl/>
        </w:rPr>
        <w:t xml:space="preserve"> </w:t>
      </w:r>
      <w:r w:rsidRPr="007424C0">
        <w:rPr>
          <w:rFonts w:cs="Arial" w:hint="cs"/>
          <w:rtl/>
        </w:rPr>
        <w:t>והאשה</w:t>
      </w:r>
      <w:r w:rsidRPr="007424C0">
        <w:rPr>
          <w:rFonts w:cs="Arial"/>
          <w:rtl/>
        </w:rPr>
        <w:t xml:space="preserve"> </w:t>
      </w:r>
      <w:r>
        <w:rPr>
          <w:rFonts w:cs="Arial" w:hint="cs"/>
          <w:rtl/>
        </w:rPr>
        <w:t xml:space="preserve">- </w:t>
      </w:r>
      <w:r w:rsidRPr="007424C0">
        <w:rPr>
          <w:rFonts w:cs="Arial" w:hint="cs"/>
          <w:rtl/>
        </w:rPr>
        <w:t>הוא</w:t>
      </w:r>
      <w:r w:rsidRPr="007424C0">
        <w:rPr>
          <w:rFonts w:cs="Arial"/>
          <w:rtl/>
        </w:rPr>
        <w:t xml:space="preserve"> </w:t>
      </w:r>
      <w:r w:rsidRPr="007424C0">
        <w:rPr>
          <w:rFonts w:cs="Arial" w:hint="cs"/>
          <w:rtl/>
        </w:rPr>
        <w:t>הדין</w:t>
      </w:r>
      <w:r w:rsidRPr="007424C0">
        <w:rPr>
          <w:rFonts w:cs="Arial"/>
          <w:rtl/>
        </w:rPr>
        <w:t xml:space="preserve"> </w:t>
      </w:r>
      <w:r w:rsidRPr="007424C0">
        <w:rPr>
          <w:rFonts w:cs="Arial" w:hint="cs"/>
          <w:rtl/>
        </w:rPr>
        <w:t>בשמות</w:t>
      </w:r>
      <w:r w:rsidRPr="007424C0">
        <w:rPr>
          <w:rFonts w:cs="Arial"/>
          <w:rtl/>
        </w:rPr>
        <w:t xml:space="preserve"> </w:t>
      </w:r>
      <w:r w:rsidRPr="007424C0">
        <w:rPr>
          <w:rFonts w:cs="Arial" w:hint="cs"/>
          <w:rtl/>
        </w:rPr>
        <w:t>המקומות</w:t>
      </w:r>
      <w:r>
        <w:rPr>
          <w:rFonts w:cs="Arial" w:hint="cs"/>
          <w:rtl/>
        </w:rPr>
        <w:t>,</w:t>
      </w:r>
      <w:r w:rsidRPr="007424C0">
        <w:rPr>
          <w:rFonts w:cs="Arial"/>
          <w:rtl/>
        </w:rPr>
        <w:t xml:space="preserve"> </w:t>
      </w:r>
      <w:r w:rsidRPr="007424C0">
        <w:rPr>
          <w:rFonts w:cs="Arial" w:hint="cs"/>
          <w:rtl/>
        </w:rPr>
        <w:t>אלא</w:t>
      </w:r>
      <w:r w:rsidRPr="007424C0">
        <w:rPr>
          <w:rFonts w:cs="Arial"/>
          <w:rtl/>
        </w:rPr>
        <w:t xml:space="preserve"> </w:t>
      </w:r>
      <w:r w:rsidRPr="007424C0">
        <w:rPr>
          <w:rFonts w:cs="Arial" w:hint="cs"/>
          <w:rtl/>
        </w:rPr>
        <w:t>כותבין</w:t>
      </w:r>
      <w:r w:rsidRPr="007424C0">
        <w:rPr>
          <w:rFonts w:cs="Arial"/>
          <w:rtl/>
        </w:rPr>
        <w:t xml:space="preserve"> </w:t>
      </w:r>
      <w:r w:rsidRPr="007424C0">
        <w:rPr>
          <w:rFonts w:cs="Arial" w:hint="cs"/>
          <w:rtl/>
        </w:rPr>
        <w:t>דמתקריא</w:t>
      </w:r>
      <w:r w:rsidRPr="007424C0">
        <w:rPr>
          <w:rFonts w:cs="Arial"/>
          <w:rtl/>
        </w:rPr>
        <w:t xml:space="preserve"> </w:t>
      </w:r>
      <w:r w:rsidRPr="007424C0">
        <w:rPr>
          <w:rFonts w:cs="Arial" w:hint="cs"/>
          <w:rtl/>
        </w:rPr>
        <w:t>או</w:t>
      </w:r>
      <w:r w:rsidRPr="007424C0">
        <w:rPr>
          <w:rFonts w:cs="Arial"/>
          <w:rtl/>
        </w:rPr>
        <w:t xml:space="preserve"> </w:t>
      </w:r>
      <w:r w:rsidRPr="007424C0">
        <w:rPr>
          <w:rFonts w:cs="Arial" w:hint="cs"/>
          <w:rtl/>
        </w:rPr>
        <w:t>מתקרית</w:t>
      </w:r>
      <w:r w:rsidRPr="007424C0">
        <w:rPr>
          <w:rFonts w:cs="Arial"/>
          <w:rtl/>
        </w:rPr>
        <w:t xml:space="preserve"> </w:t>
      </w:r>
      <w:r w:rsidRPr="007424C0">
        <w:rPr>
          <w:rFonts w:cs="Arial" w:hint="cs"/>
          <w:rtl/>
        </w:rPr>
        <w:t>פלונית</w:t>
      </w:r>
      <w:r w:rsidRPr="007424C0">
        <w:rPr>
          <w:rFonts w:cs="Arial"/>
          <w:rtl/>
        </w:rPr>
        <w:t xml:space="preserve">, </w:t>
      </w:r>
      <w:r w:rsidRPr="007424C0">
        <w:rPr>
          <w:rFonts w:cs="Arial" w:hint="cs"/>
          <w:rtl/>
        </w:rPr>
        <w:t>וכן</w:t>
      </w:r>
      <w:r w:rsidRPr="007424C0">
        <w:rPr>
          <w:rFonts w:cs="Arial"/>
          <w:rtl/>
        </w:rPr>
        <w:t xml:space="preserve"> </w:t>
      </w:r>
      <w:r w:rsidRPr="007424C0">
        <w:rPr>
          <w:rFonts w:cs="Arial" w:hint="cs"/>
          <w:rtl/>
        </w:rPr>
        <w:t>נוהגין</w:t>
      </w:r>
      <w:r w:rsidRPr="007424C0">
        <w:rPr>
          <w:rFonts w:cs="Arial"/>
          <w:rtl/>
        </w:rPr>
        <w:t xml:space="preserve"> </w:t>
      </w:r>
      <w:r w:rsidRPr="007424C0">
        <w:rPr>
          <w:rFonts w:cs="Arial" w:hint="cs"/>
          <w:rtl/>
        </w:rPr>
        <w:t>כמו</w:t>
      </w:r>
      <w:r w:rsidRPr="007424C0">
        <w:rPr>
          <w:rFonts w:cs="Arial"/>
          <w:rtl/>
        </w:rPr>
        <w:t xml:space="preserve"> </w:t>
      </w:r>
      <w:r w:rsidRPr="007424C0">
        <w:rPr>
          <w:rFonts w:cs="Arial" w:hint="cs"/>
          <w:rtl/>
        </w:rPr>
        <w:t>שנתבאר</w:t>
      </w:r>
      <w:r w:rsidRPr="007424C0">
        <w:rPr>
          <w:rFonts w:cs="Arial"/>
          <w:rtl/>
        </w:rPr>
        <w:t xml:space="preserve"> </w:t>
      </w:r>
      <w:r w:rsidRPr="007424C0">
        <w:rPr>
          <w:rFonts w:cs="Arial" w:hint="cs"/>
          <w:rtl/>
        </w:rPr>
        <w:t>בנוסח</w:t>
      </w:r>
      <w:r w:rsidRPr="007424C0">
        <w:rPr>
          <w:rFonts w:cs="Arial"/>
          <w:rtl/>
        </w:rPr>
        <w:t xml:space="preserve"> </w:t>
      </w:r>
      <w:r w:rsidRPr="007424C0">
        <w:rPr>
          <w:rFonts w:cs="Arial" w:hint="cs"/>
          <w:rtl/>
        </w:rPr>
        <w:t>הגט</w:t>
      </w:r>
      <w:r w:rsidRPr="007424C0">
        <w:rPr>
          <w:rFonts w:cs="Arial"/>
          <w:rtl/>
        </w:rPr>
        <w:t xml:space="preserve"> </w:t>
      </w:r>
      <w:r w:rsidRPr="007424C0">
        <w:rPr>
          <w:rFonts w:cs="Arial" w:hint="cs"/>
          <w:rtl/>
        </w:rPr>
        <w:t>שכתבתי</w:t>
      </w:r>
      <w:r w:rsidRPr="007424C0">
        <w:rPr>
          <w:rFonts w:cs="Arial"/>
          <w:rtl/>
        </w:rPr>
        <w:t xml:space="preserve"> </w:t>
      </w:r>
      <w:r w:rsidRPr="007424C0">
        <w:rPr>
          <w:rFonts w:cs="Arial" w:hint="cs"/>
          <w:rtl/>
        </w:rPr>
        <w:t>סימן</w:t>
      </w:r>
      <w:r w:rsidRPr="007424C0">
        <w:rPr>
          <w:rFonts w:cs="Arial"/>
          <w:rtl/>
        </w:rPr>
        <w:t xml:space="preserve"> </w:t>
      </w:r>
      <w:r w:rsidRPr="007424C0">
        <w:rPr>
          <w:rFonts w:cs="Arial" w:hint="cs"/>
          <w:rtl/>
        </w:rPr>
        <w:t>קכ</w:t>
      </w:r>
      <w:r w:rsidRPr="007424C0">
        <w:rPr>
          <w:rFonts w:cs="Arial"/>
          <w:rtl/>
        </w:rPr>
        <w:t>"</w:t>
      </w:r>
      <w:r w:rsidRPr="007424C0">
        <w:rPr>
          <w:rFonts w:cs="Arial" w:hint="cs"/>
          <w:rtl/>
        </w:rPr>
        <w:t>ו</w:t>
      </w:r>
      <w:r w:rsidRPr="007424C0">
        <w:rPr>
          <w:rFonts w:cs="Arial"/>
          <w:rtl/>
        </w:rPr>
        <w:t xml:space="preserve"> (</w:t>
      </w:r>
      <w:r w:rsidRPr="007424C0">
        <w:rPr>
          <w:rFonts w:cs="Arial" w:hint="cs"/>
          <w:rtl/>
        </w:rPr>
        <w:t>אות</w:t>
      </w:r>
      <w:r w:rsidRPr="007424C0">
        <w:rPr>
          <w:rFonts w:cs="Arial"/>
          <w:rtl/>
        </w:rPr>
        <w:t xml:space="preserve"> </w:t>
      </w:r>
      <w:r w:rsidRPr="007424C0">
        <w:rPr>
          <w:rFonts w:cs="Arial" w:hint="cs"/>
          <w:rtl/>
        </w:rPr>
        <w:t>ו</w:t>
      </w:r>
      <w:r w:rsidRPr="007424C0">
        <w:rPr>
          <w:rFonts w:cs="Arial"/>
          <w:rtl/>
        </w:rPr>
        <w:t>)</w:t>
      </w:r>
      <w:r>
        <w:rPr>
          <w:rFonts w:cs="Arial" w:hint="cs"/>
          <w:rtl/>
        </w:rPr>
        <w:t>.</w:t>
      </w:r>
      <w:r>
        <w:rPr>
          <w:rFonts w:hint="cs"/>
          <w:rtl/>
        </w:rPr>
        <w:t xml:space="preserve"> </w:t>
      </w:r>
      <w:r w:rsidRPr="00566424">
        <w:rPr>
          <w:rFonts w:hint="cs"/>
          <w:color w:val="00B0F0"/>
          <w:rtl/>
        </w:rPr>
        <w:t>(</w:t>
      </w:r>
      <w:r>
        <w:rPr>
          <w:rFonts w:hint="cs"/>
          <w:color w:val="00B0F0"/>
          <w:rtl/>
        </w:rPr>
        <w:t>וכ</w:t>
      </w:r>
      <w:r>
        <w:rPr>
          <w:color w:val="00B0F0"/>
          <w:rtl/>
        </w:rPr>
        <w:t>"</w:t>
      </w:r>
      <w:r>
        <w:rPr>
          <w:rFonts w:hint="cs"/>
          <w:color w:val="00B0F0"/>
          <w:rtl/>
        </w:rPr>
        <w:t>פ בהג</w:t>
      </w:r>
      <w:r w:rsidR="008E79D8">
        <w:rPr>
          <w:rFonts w:hint="cs"/>
          <w:color w:val="00B0F0"/>
          <w:rtl/>
        </w:rPr>
        <w:t>"</w:t>
      </w:r>
      <w:r>
        <w:rPr>
          <w:rFonts w:hint="cs"/>
          <w:color w:val="00B0F0"/>
          <w:rtl/>
        </w:rPr>
        <w:t>ה</w:t>
      </w:r>
      <w:r w:rsidRPr="00566424">
        <w:rPr>
          <w:rFonts w:hint="cs"/>
          <w:color w:val="00B0F0"/>
          <w:rtl/>
        </w:rPr>
        <w:t>)</w:t>
      </w:r>
    </w:p>
  </w:footnote>
  <w:footnote w:id="986">
    <w:p w14:paraId="75B7DC68" w14:textId="77777777" w:rsidR="00FA2119" w:rsidRDefault="00FA2119" w:rsidP="00FA2119">
      <w:pPr>
        <w:pStyle w:val="a5"/>
      </w:pPr>
      <w:r>
        <w:rPr>
          <w:rStyle w:val="a7"/>
        </w:rPr>
        <w:footnoteRef/>
      </w:r>
      <w:r>
        <w:rPr>
          <w:rtl/>
        </w:rPr>
        <w:t xml:space="preserve"> </w:t>
      </w:r>
      <w:r>
        <w:rPr>
          <w:rFonts w:hint="cs"/>
          <w:rtl/>
        </w:rPr>
        <w:t xml:space="preserve">כלומר </w:t>
      </w:r>
      <w:r>
        <w:rPr>
          <w:rFonts w:cs="Arial" w:hint="cs"/>
          <w:rtl/>
        </w:rPr>
        <w:t>דכיון</w:t>
      </w:r>
      <w:r>
        <w:rPr>
          <w:rFonts w:cs="Arial"/>
          <w:rtl/>
        </w:rPr>
        <w:t xml:space="preserve"> </w:t>
      </w:r>
      <w:r>
        <w:rPr>
          <w:rFonts w:cs="Arial" w:hint="cs"/>
          <w:rtl/>
        </w:rPr>
        <w:t>דכשיש</w:t>
      </w:r>
      <w:r>
        <w:rPr>
          <w:rFonts w:cs="Arial"/>
          <w:rtl/>
        </w:rPr>
        <w:t xml:space="preserve"> </w:t>
      </w:r>
      <w:r>
        <w:rPr>
          <w:rFonts w:cs="Arial" w:hint="cs"/>
          <w:rtl/>
        </w:rPr>
        <w:t>לה</w:t>
      </w:r>
      <w:r>
        <w:rPr>
          <w:rFonts w:cs="Arial"/>
          <w:rtl/>
        </w:rPr>
        <w:t xml:space="preserve"> </w:t>
      </w:r>
      <w:r>
        <w:rPr>
          <w:rFonts w:cs="Arial" w:hint="cs"/>
          <w:rtl/>
        </w:rPr>
        <w:t>שני שמות</w:t>
      </w:r>
      <w:r>
        <w:rPr>
          <w:rFonts w:cs="Arial"/>
          <w:rtl/>
        </w:rPr>
        <w:t xml:space="preserve"> </w:t>
      </w:r>
      <w:r>
        <w:rPr>
          <w:rFonts w:cs="Arial" w:hint="cs"/>
          <w:rtl/>
        </w:rPr>
        <w:t>צריך</w:t>
      </w:r>
      <w:r>
        <w:rPr>
          <w:rFonts w:cs="Arial"/>
          <w:rtl/>
        </w:rPr>
        <w:t xml:space="preserve"> </w:t>
      </w:r>
      <w:r>
        <w:rPr>
          <w:rFonts w:cs="Arial" w:hint="cs"/>
          <w:rtl/>
        </w:rPr>
        <w:t>לכתוב</w:t>
      </w:r>
      <w:r>
        <w:rPr>
          <w:rFonts w:cs="Arial"/>
          <w:rtl/>
        </w:rPr>
        <w:t xml:space="preserve"> </w:t>
      </w:r>
      <w:r>
        <w:rPr>
          <w:rFonts w:cs="Arial" w:hint="cs"/>
          <w:rtl/>
        </w:rPr>
        <w:t>'וכל</w:t>
      </w:r>
      <w:r>
        <w:rPr>
          <w:rFonts w:cs="Arial"/>
          <w:rtl/>
        </w:rPr>
        <w:t xml:space="preserve"> </w:t>
      </w:r>
      <w:r>
        <w:rPr>
          <w:rFonts w:cs="Arial" w:hint="cs"/>
          <w:rtl/>
        </w:rPr>
        <w:t>שום',</w:t>
      </w:r>
      <w:r>
        <w:rPr>
          <w:rFonts w:cs="Arial"/>
          <w:rtl/>
        </w:rPr>
        <w:t xml:space="preserve"> </w:t>
      </w:r>
      <w:r>
        <w:rPr>
          <w:rFonts w:cs="Arial" w:hint="cs"/>
          <w:rtl/>
        </w:rPr>
        <w:t>לכך</w:t>
      </w:r>
      <w:r>
        <w:rPr>
          <w:rFonts w:cs="Arial"/>
          <w:rtl/>
        </w:rPr>
        <w:t xml:space="preserve"> </w:t>
      </w:r>
      <w:r>
        <w:rPr>
          <w:rFonts w:cs="Arial" w:hint="cs"/>
          <w:rtl/>
        </w:rPr>
        <w:t>אפילו</w:t>
      </w:r>
      <w:r>
        <w:rPr>
          <w:rFonts w:cs="Arial"/>
          <w:rtl/>
        </w:rPr>
        <w:t xml:space="preserve"> </w:t>
      </w:r>
      <w:r>
        <w:rPr>
          <w:rFonts w:cs="Arial" w:hint="cs"/>
          <w:rtl/>
        </w:rPr>
        <w:t>כשאין</w:t>
      </w:r>
      <w:r>
        <w:rPr>
          <w:rFonts w:cs="Arial"/>
          <w:rtl/>
        </w:rPr>
        <w:t xml:space="preserve"> </w:t>
      </w:r>
      <w:r>
        <w:rPr>
          <w:rFonts w:cs="Arial" w:hint="cs"/>
          <w:rtl/>
        </w:rPr>
        <w:t>ידוע</w:t>
      </w:r>
      <w:r>
        <w:rPr>
          <w:rFonts w:cs="Arial"/>
          <w:rtl/>
        </w:rPr>
        <w:t xml:space="preserve"> </w:t>
      </w:r>
      <w:r>
        <w:rPr>
          <w:rFonts w:cs="Arial" w:hint="cs"/>
          <w:rtl/>
        </w:rPr>
        <w:t>שיש</w:t>
      </w:r>
      <w:r>
        <w:rPr>
          <w:rFonts w:cs="Arial"/>
          <w:rtl/>
        </w:rPr>
        <w:t xml:space="preserve"> </w:t>
      </w:r>
      <w:r>
        <w:rPr>
          <w:rFonts w:cs="Arial" w:hint="cs"/>
          <w:rtl/>
        </w:rPr>
        <w:t>לה</w:t>
      </w:r>
      <w:r>
        <w:rPr>
          <w:rFonts w:cs="Arial"/>
          <w:rtl/>
        </w:rPr>
        <w:t xml:space="preserve"> </w:t>
      </w:r>
      <w:r>
        <w:rPr>
          <w:rFonts w:cs="Arial" w:hint="cs"/>
          <w:rtl/>
        </w:rPr>
        <w:t>שתי</w:t>
      </w:r>
      <w:r>
        <w:rPr>
          <w:rFonts w:cs="Arial"/>
          <w:rtl/>
        </w:rPr>
        <w:t xml:space="preserve"> </w:t>
      </w:r>
      <w:r>
        <w:rPr>
          <w:rFonts w:cs="Arial" w:hint="cs"/>
          <w:rtl/>
        </w:rPr>
        <w:t>שמות</w:t>
      </w:r>
      <w:r>
        <w:rPr>
          <w:rFonts w:cs="Arial"/>
          <w:rtl/>
        </w:rPr>
        <w:t xml:space="preserve"> </w:t>
      </w:r>
      <w:r>
        <w:rPr>
          <w:rFonts w:cs="Arial" w:hint="cs"/>
          <w:rtl/>
        </w:rPr>
        <w:t>טוב</w:t>
      </w:r>
      <w:r>
        <w:rPr>
          <w:rFonts w:cs="Arial"/>
          <w:rtl/>
        </w:rPr>
        <w:t xml:space="preserve"> </w:t>
      </w:r>
      <w:r>
        <w:rPr>
          <w:rFonts w:cs="Arial" w:hint="cs"/>
          <w:rtl/>
        </w:rPr>
        <w:t>לכתוב</w:t>
      </w:r>
      <w:r>
        <w:rPr>
          <w:rFonts w:cs="Arial"/>
          <w:rtl/>
        </w:rPr>
        <w:t xml:space="preserve"> </w:t>
      </w:r>
      <w:r>
        <w:rPr>
          <w:rFonts w:cs="Arial" w:hint="cs"/>
          <w:rtl/>
        </w:rPr>
        <w:t>'וכל</w:t>
      </w:r>
      <w:r>
        <w:rPr>
          <w:rFonts w:cs="Arial"/>
          <w:rtl/>
        </w:rPr>
        <w:t xml:space="preserve"> </w:t>
      </w:r>
      <w:r>
        <w:rPr>
          <w:rFonts w:cs="Arial" w:hint="cs"/>
          <w:rtl/>
        </w:rPr>
        <w:t>שום'</w:t>
      </w:r>
      <w:r>
        <w:rPr>
          <w:rFonts w:cs="Arial"/>
          <w:rtl/>
        </w:rPr>
        <w:t xml:space="preserve"> </w:t>
      </w:r>
      <w:r>
        <w:rPr>
          <w:rFonts w:cs="Arial" w:hint="cs"/>
          <w:rtl/>
        </w:rPr>
        <w:t>משום</w:t>
      </w:r>
      <w:r>
        <w:rPr>
          <w:rFonts w:cs="Arial"/>
          <w:rtl/>
        </w:rPr>
        <w:t xml:space="preserve"> </w:t>
      </w:r>
      <w:r>
        <w:rPr>
          <w:rFonts w:cs="Arial" w:hint="cs"/>
          <w:rtl/>
        </w:rPr>
        <w:t>שמא</w:t>
      </w:r>
      <w:r>
        <w:rPr>
          <w:rFonts w:cs="Arial"/>
          <w:rtl/>
        </w:rPr>
        <w:t xml:space="preserve"> </w:t>
      </w:r>
      <w:r>
        <w:rPr>
          <w:rFonts w:cs="Arial" w:hint="cs"/>
          <w:rtl/>
        </w:rPr>
        <w:t>יהיו</w:t>
      </w:r>
      <w:r>
        <w:rPr>
          <w:rFonts w:cs="Arial"/>
          <w:rtl/>
        </w:rPr>
        <w:t xml:space="preserve"> </w:t>
      </w:r>
      <w:r>
        <w:rPr>
          <w:rFonts w:cs="Arial" w:hint="cs"/>
          <w:rtl/>
        </w:rPr>
        <w:t>לה</w:t>
      </w:r>
      <w:r>
        <w:rPr>
          <w:rFonts w:cs="Arial"/>
          <w:rtl/>
        </w:rPr>
        <w:t xml:space="preserve"> </w:t>
      </w:r>
      <w:r>
        <w:rPr>
          <w:rFonts w:cs="Arial" w:hint="cs"/>
          <w:rtl/>
        </w:rPr>
        <w:t>שתי</w:t>
      </w:r>
      <w:r>
        <w:rPr>
          <w:rFonts w:cs="Arial"/>
          <w:rtl/>
        </w:rPr>
        <w:t xml:space="preserve"> </w:t>
      </w:r>
      <w:r>
        <w:rPr>
          <w:rFonts w:cs="Arial" w:hint="cs"/>
          <w:rtl/>
        </w:rPr>
        <w:t>שמות, ב"י.</w:t>
      </w:r>
    </w:p>
  </w:footnote>
  <w:footnote w:id="987">
    <w:p w14:paraId="298F74B9" w14:textId="77777777" w:rsidR="00FA2119" w:rsidRDefault="00FA2119" w:rsidP="00FA2119">
      <w:pPr>
        <w:pStyle w:val="a5"/>
      </w:pPr>
      <w:r>
        <w:rPr>
          <w:rStyle w:val="a7"/>
        </w:rPr>
        <w:footnoteRef/>
      </w:r>
      <w:r>
        <w:rPr>
          <w:rtl/>
        </w:rPr>
        <w:t xml:space="preserve"> </w:t>
      </w:r>
      <w:r w:rsidRPr="00E62232">
        <w:rPr>
          <w:rFonts w:cs="Arial" w:hint="cs"/>
          <w:rtl/>
        </w:rPr>
        <w:t>ומהרי</w:t>
      </w:r>
      <w:r w:rsidRPr="00E62232">
        <w:rPr>
          <w:rFonts w:cs="Arial"/>
          <w:rtl/>
        </w:rPr>
        <w:t>"</w:t>
      </w:r>
      <w:r w:rsidRPr="00E62232">
        <w:rPr>
          <w:rFonts w:cs="Arial" w:hint="cs"/>
          <w:rtl/>
        </w:rPr>
        <w:t>ק</w:t>
      </w:r>
      <w:r w:rsidRPr="00E62232">
        <w:rPr>
          <w:rFonts w:cs="Arial"/>
          <w:rtl/>
        </w:rPr>
        <w:t xml:space="preserve"> </w:t>
      </w:r>
      <w:r w:rsidRPr="00E62232">
        <w:rPr>
          <w:rFonts w:cs="Arial" w:hint="cs"/>
          <w:rtl/>
        </w:rPr>
        <w:t>כתב</w:t>
      </w:r>
      <w:r w:rsidRPr="00E62232">
        <w:rPr>
          <w:rFonts w:cs="Arial"/>
          <w:rtl/>
        </w:rPr>
        <w:t xml:space="preserve"> </w:t>
      </w:r>
      <w:r w:rsidRPr="00E62232">
        <w:rPr>
          <w:rFonts w:cs="Arial" w:hint="cs"/>
          <w:rtl/>
        </w:rPr>
        <w:t>(שורש</w:t>
      </w:r>
      <w:r w:rsidRPr="00E62232">
        <w:rPr>
          <w:rFonts w:cs="Arial"/>
          <w:rtl/>
        </w:rPr>
        <w:t xml:space="preserve"> </w:t>
      </w:r>
      <w:r w:rsidRPr="00E62232">
        <w:rPr>
          <w:rFonts w:cs="Arial" w:hint="cs"/>
          <w:rtl/>
        </w:rPr>
        <w:t>קו)</w:t>
      </w:r>
      <w:r w:rsidRPr="00E62232">
        <w:rPr>
          <w:rFonts w:cs="Arial"/>
          <w:rtl/>
        </w:rPr>
        <w:t xml:space="preserve"> </w:t>
      </w:r>
      <w:r w:rsidRPr="00E62232">
        <w:rPr>
          <w:rFonts w:cs="Arial" w:hint="cs"/>
          <w:rtl/>
        </w:rPr>
        <w:t>תשובה</w:t>
      </w:r>
      <w:r w:rsidRPr="00E62232">
        <w:rPr>
          <w:rFonts w:cs="Arial"/>
          <w:rtl/>
        </w:rPr>
        <w:t xml:space="preserve"> </w:t>
      </w:r>
      <w:r w:rsidRPr="00E62232">
        <w:rPr>
          <w:rFonts w:cs="Arial" w:hint="cs"/>
          <w:rtl/>
        </w:rPr>
        <w:t>לר</w:t>
      </w:r>
      <w:r w:rsidRPr="00E62232">
        <w:rPr>
          <w:rFonts w:cs="Arial"/>
          <w:rtl/>
        </w:rPr>
        <w:t xml:space="preserve">' </w:t>
      </w:r>
      <w:r w:rsidRPr="00E62232">
        <w:rPr>
          <w:rFonts w:cs="Arial" w:hint="cs"/>
          <w:rtl/>
        </w:rPr>
        <w:t>אביגדור</w:t>
      </w:r>
      <w:r w:rsidRPr="00E62232">
        <w:rPr>
          <w:rFonts w:cs="Arial"/>
          <w:rtl/>
        </w:rPr>
        <w:t xml:space="preserve"> </w:t>
      </w:r>
      <w:r w:rsidRPr="00E62232">
        <w:rPr>
          <w:rFonts w:cs="Arial" w:hint="cs"/>
          <w:rtl/>
        </w:rPr>
        <w:t>דאיזה</w:t>
      </w:r>
      <w:r w:rsidRPr="00E62232">
        <w:rPr>
          <w:rFonts w:cs="Arial"/>
          <w:rtl/>
        </w:rPr>
        <w:t xml:space="preserve"> </w:t>
      </w:r>
      <w:r w:rsidRPr="00E62232">
        <w:rPr>
          <w:rFonts w:cs="Arial" w:hint="cs"/>
          <w:rtl/>
        </w:rPr>
        <w:t>מהם</w:t>
      </w:r>
      <w:r w:rsidRPr="00E62232">
        <w:rPr>
          <w:rFonts w:cs="Arial"/>
          <w:rtl/>
        </w:rPr>
        <w:t xml:space="preserve"> </w:t>
      </w:r>
      <w:r w:rsidRPr="00E62232">
        <w:rPr>
          <w:rFonts w:cs="Arial" w:hint="cs"/>
          <w:rtl/>
        </w:rPr>
        <w:t>שיכתוב</w:t>
      </w:r>
      <w:r w:rsidRPr="00E62232">
        <w:rPr>
          <w:rFonts w:cs="Arial"/>
          <w:rtl/>
        </w:rPr>
        <w:t xml:space="preserve"> </w:t>
      </w:r>
      <w:r w:rsidRPr="00E62232">
        <w:rPr>
          <w:rFonts w:cs="Arial" w:hint="cs"/>
          <w:rtl/>
        </w:rPr>
        <w:t>בלא</w:t>
      </w:r>
      <w:r w:rsidRPr="00E62232">
        <w:rPr>
          <w:rFonts w:cs="Arial"/>
          <w:rtl/>
        </w:rPr>
        <w:t xml:space="preserve"> </w:t>
      </w:r>
      <w:r w:rsidRPr="00E62232">
        <w:rPr>
          <w:rFonts w:cs="Arial" w:hint="cs"/>
          <w:rtl/>
        </w:rPr>
        <w:t>חבירו</w:t>
      </w:r>
      <w:r w:rsidRPr="00E62232">
        <w:rPr>
          <w:rFonts w:cs="Arial"/>
          <w:rtl/>
        </w:rPr>
        <w:t xml:space="preserve"> </w:t>
      </w:r>
      <w:r w:rsidRPr="00E62232">
        <w:rPr>
          <w:rFonts w:cs="Arial" w:hint="cs"/>
          <w:rtl/>
        </w:rPr>
        <w:t>כשר</w:t>
      </w:r>
      <w:r w:rsidRPr="00E62232">
        <w:rPr>
          <w:rFonts w:cs="Arial"/>
          <w:rtl/>
        </w:rPr>
        <w:t xml:space="preserve"> </w:t>
      </w:r>
      <w:r w:rsidRPr="00E62232">
        <w:rPr>
          <w:rFonts w:cs="Arial" w:hint="cs"/>
          <w:rtl/>
        </w:rPr>
        <w:t>כיון</w:t>
      </w:r>
      <w:r w:rsidRPr="00E62232">
        <w:rPr>
          <w:rFonts w:cs="Arial"/>
          <w:rtl/>
        </w:rPr>
        <w:t xml:space="preserve"> </w:t>
      </w:r>
      <w:r w:rsidRPr="00E62232">
        <w:rPr>
          <w:rFonts w:cs="Arial" w:hint="cs"/>
          <w:rtl/>
        </w:rPr>
        <w:t>שמכירין</w:t>
      </w:r>
      <w:r w:rsidRPr="00E62232">
        <w:rPr>
          <w:rFonts w:cs="Arial"/>
          <w:rtl/>
        </w:rPr>
        <w:t xml:space="preserve"> </w:t>
      </w:r>
      <w:r w:rsidRPr="00E62232">
        <w:rPr>
          <w:rFonts w:cs="Arial" w:hint="cs"/>
          <w:rtl/>
        </w:rPr>
        <w:t>שם</w:t>
      </w:r>
      <w:r w:rsidRPr="00E62232">
        <w:rPr>
          <w:rFonts w:cs="Arial"/>
          <w:rtl/>
        </w:rPr>
        <w:t xml:space="preserve"> </w:t>
      </w:r>
      <w:r w:rsidRPr="00E62232">
        <w:rPr>
          <w:rFonts w:cs="Arial" w:hint="cs"/>
          <w:rtl/>
        </w:rPr>
        <w:t>שניהם</w:t>
      </w:r>
      <w:r>
        <w:rPr>
          <w:rFonts w:cs="Arial" w:hint="cs"/>
          <w:rtl/>
        </w:rPr>
        <w:t>.</w:t>
      </w:r>
      <w:r w:rsidRPr="00E62232">
        <w:rPr>
          <w:rFonts w:cs="Arial"/>
          <w:rtl/>
        </w:rPr>
        <w:t xml:space="preserve"> </w:t>
      </w:r>
      <w:r w:rsidRPr="00E62232">
        <w:rPr>
          <w:rFonts w:cs="Arial" w:hint="cs"/>
          <w:rtl/>
        </w:rPr>
        <w:t>וכ</w:t>
      </w:r>
      <w:r>
        <w:rPr>
          <w:rFonts w:cs="Arial" w:hint="cs"/>
          <w:rtl/>
        </w:rPr>
        <w:t>"</w:t>
      </w:r>
      <w:r w:rsidRPr="00E62232">
        <w:rPr>
          <w:rFonts w:cs="Arial" w:hint="cs"/>
          <w:rtl/>
        </w:rPr>
        <w:t>כ</w:t>
      </w:r>
      <w:r w:rsidRPr="00E62232">
        <w:rPr>
          <w:rFonts w:cs="Arial"/>
          <w:rtl/>
        </w:rPr>
        <w:t xml:space="preserve"> </w:t>
      </w:r>
      <w:r w:rsidRPr="00E62232">
        <w:rPr>
          <w:rFonts w:cs="Arial" w:hint="cs"/>
          <w:rtl/>
        </w:rPr>
        <w:t>בהגמ</w:t>
      </w:r>
      <w:r>
        <w:rPr>
          <w:rFonts w:cs="Arial" w:hint="cs"/>
          <w:rtl/>
        </w:rPr>
        <w:t>"</w:t>
      </w:r>
      <w:r w:rsidRPr="00E62232">
        <w:rPr>
          <w:rFonts w:cs="Arial" w:hint="cs"/>
          <w:rtl/>
        </w:rPr>
        <w:t>ר</w:t>
      </w:r>
      <w:r w:rsidRPr="00E62232">
        <w:rPr>
          <w:rFonts w:cs="Arial"/>
          <w:rtl/>
        </w:rPr>
        <w:t xml:space="preserve"> </w:t>
      </w:r>
      <w:r w:rsidRPr="00E62232">
        <w:rPr>
          <w:rFonts w:cs="Arial" w:hint="cs"/>
          <w:rtl/>
        </w:rPr>
        <w:t>דגיטין</w:t>
      </w:r>
      <w:r w:rsidRPr="00E62232">
        <w:rPr>
          <w:rFonts w:cs="Arial"/>
          <w:rtl/>
        </w:rPr>
        <w:t xml:space="preserve"> (</w:t>
      </w:r>
      <w:r w:rsidRPr="00E62232">
        <w:rPr>
          <w:rFonts w:cs="Arial" w:hint="cs"/>
          <w:rtl/>
        </w:rPr>
        <w:t>סי</w:t>
      </w:r>
      <w:r w:rsidRPr="00E62232">
        <w:rPr>
          <w:rFonts w:cs="Arial"/>
          <w:rtl/>
        </w:rPr>
        <w:t xml:space="preserve">' </w:t>
      </w:r>
      <w:r w:rsidRPr="00E62232">
        <w:rPr>
          <w:rFonts w:cs="Arial" w:hint="cs"/>
          <w:rtl/>
        </w:rPr>
        <w:t>שסח</w:t>
      </w:r>
      <w:r w:rsidRPr="00E62232">
        <w:rPr>
          <w:rFonts w:cs="Arial"/>
          <w:rtl/>
        </w:rPr>
        <w:t xml:space="preserve">) </w:t>
      </w:r>
      <w:r w:rsidRPr="00E62232">
        <w:rPr>
          <w:rFonts w:cs="Arial" w:hint="cs"/>
          <w:rtl/>
        </w:rPr>
        <w:t>בשם</w:t>
      </w:r>
      <w:r w:rsidRPr="00E62232">
        <w:rPr>
          <w:rFonts w:cs="Arial"/>
          <w:rtl/>
        </w:rPr>
        <w:t xml:space="preserve"> </w:t>
      </w:r>
      <w:r w:rsidRPr="00E62232">
        <w:rPr>
          <w:rFonts w:cs="Arial" w:hint="cs"/>
          <w:rtl/>
        </w:rPr>
        <w:t>ר</w:t>
      </w:r>
      <w:r w:rsidRPr="00E62232">
        <w:rPr>
          <w:rFonts w:cs="Arial"/>
          <w:rtl/>
        </w:rPr>
        <w:t>"</w:t>
      </w:r>
      <w:r w:rsidRPr="00E62232">
        <w:rPr>
          <w:rFonts w:cs="Arial" w:hint="cs"/>
          <w:rtl/>
        </w:rPr>
        <w:t>י.</w:t>
      </w:r>
      <w:r w:rsidRPr="00E62232">
        <w:rPr>
          <w:rFonts w:cs="Arial"/>
          <w:rtl/>
        </w:rPr>
        <w:t xml:space="preserve"> </w:t>
      </w:r>
      <w:r w:rsidRPr="00481A1D">
        <w:rPr>
          <w:rFonts w:cs="Arial" w:hint="cs"/>
          <w:rtl/>
        </w:rPr>
        <w:t>ובדיעבד</w:t>
      </w:r>
      <w:r w:rsidRPr="00481A1D">
        <w:rPr>
          <w:rFonts w:cs="Arial"/>
          <w:rtl/>
        </w:rPr>
        <w:t xml:space="preserve"> </w:t>
      </w:r>
      <w:r w:rsidRPr="00481A1D">
        <w:rPr>
          <w:rFonts w:cs="Arial" w:hint="cs"/>
          <w:rtl/>
        </w:rPr>
        <w:t>ודאי</w:t>
      </w:r>
      <w:r w:rsidRPr="00481A1D">
        <w:rPr>
          <w:rFonts w:cs="Arial"/>
          <w:rtl/>
        </w:rPr>
        <w:t xml:space="preserve"> </w:t>
      </w:r>
      <w:r w:rsidRPr="00481A1D">
        <w:rPr>
          <w:rFonts w:cs="Arial" w:hint="cs"/>
          <w:rtl/>
        </w:rPr>
        <w:t>לכולי</w:t>
      </w:r>
      <w:r w:rsidRPr="00481A1D">
        <w:rPr>
          <w:rFonts w:cs="Arial"/>
          <w:rtl/>
        </w:rPr>
        <w:t xml:space="preserve"> </w:t>
      </w:r>
      <w:r w:rsidRPr="00481A1D">
        <w:rPr>
          <w:rFonts w:cs="Arial" w:hint="cs"/>
          <w:rtl/>
        </w:rPr>
        <w:t>עלמא</w:t>
      </w:r>
      <w:r w:rsidRPr="00481A1D">
        <w:rPr>
          <w:rFonts w:cs="Arial"/>
          <w:rtl/>
        </w:rPr>
        <w:t xml:space="preserve"> </w:t>
      </w:r>
      <w:r w:rsidRPr="00481A1D">
        <w:rPr>
          <w:rFonts w:cs="Arial" w:hint="cs"/>
          <w:rtl/>
        </w:rPr>
        <w:t>כשר</w:t>
      </w:r>
      <w:r w:rsidRPr="00481A1D">
        <w:rPr>
          <w:rFonts w:cs="Arial"/>
          <w:rtl/>
        </w:rPr>
        <w:t xml:space="preserve"> </w:t>
      </w:r>
      <w:r w:rsidRPr="00481A1D">
        <w:rPr>
          <w:rFonts w:cs="Arial" w:hint="cs"/>
          <w:rtl/>
        </w:rPr>
        <w:t>כדאשכחן</w:t>
      </w:r>
      <w:r w:rsidRPr="00481A1D">
        <w:rPr>
          <w:rFonts w:cs="Arial"/>
          <w:rtl/>
        </w:rPr>
        <w:t xml:space="preserve"> </w:t>
      </w:r>
      <w:r w:rsidRPr="00481A1D">
        <w:rPr>
          <w:rFonts w:cs="Arial" w:hint="cs"/>
          <w:rtl/>
        </w:rPr>
        <w:t>בשמו</w:t>
      </w:r>
      <w:r w:rsidRPr="00481A1D">
        <w:rPr>
          <w:rFonts w:cs="Arial"/>
          <w:rtl/>
        </w:rPr>
        <w:t xml:space="preserve"> </w:t>
      </w:r>
      <w:r w:rsidRPr="00481A1D">
        <w:rPr>
          <w:rFonts w:cs="Arial" w:hint="cs"/>
          <w:rtl/>
        </w:rPr>
        <w:t>ושמה</w:t>
      </w:r>
      <w:r w:rsidRPr="00481A1D">
        <w:rPr>
          <w:rFonts w:cs="Arial"/>
          <w:rtl/>
        </w:rPr>
        <w:t xml:space="preserve"> </w:t>
      </w:r>
      <w:r w:rsidRPr="00481A1D">
        <w:rPr>
          <w:rFonts w:cs="Arial" w:hint="cs"/>
          <w:rtl/>
        </w:rPr>
        <w:t>אבל</w:t>
      </w:r>
      <w:r w:rsidRPr="00481A1D">
        <w:rPr>
          <w:rFonts w:cs="Arial"/>
          <w:rtl/>
        </w:rPr>
        <w:t xml:space="preserve"> </w:t>
      </w:r>
      <w:r w:rsidRPr="00481A1D">
        <w:rPr>
          <w:rFonts w:cs="Arial" w:hint="cs"/>
          <w:rtl/>
        </w:rPr>
        <w:t>לכתחלה</w:t>
      </w:r>
      <w:r w:rsidRPr="00481A1D">
        <w:rPr>
          <w:rFonts w:cs="Arial"/>
          <w:rtl/>
        </w:rPr>
        <w:t xml:space="preserve"> </w:t>
      </w:r>
      <w:r w:rsidRPr="00481A1D">
        <w:rPr>
          <w:rFonts w:cs="Arial" w:hint="cs"/>
          <w:rtl/>
        </w:rPr>
        <w:t>צריך</w:t>
      </w:r>
      <w:r w:rsidRPr="00481A1D">
        <w:rPr>
          <w:rFonts w:cs="Arial"/>
          <w:rtl/>
        </w:rPr>
        <w:t xml:space="preserve"> </w:t>
      </w:r>
      <w:r w:rsidRPr="00481A1D">
        <w:rPr>
          <w:rFonts w:cs="Arial" w:hint="cs"/>
          <w:rtl/>
        </w:rPr>
        <w:t>לכתוב</w:t>
      </w:r>
      <w:r w:rsidRPr="00481A1D">
        <w:rPr>
          <w:rFonts w:cs="Arial"/>
          <w:rtl/>
        </w:rPr>
        <w:t xml:space="preserve"> </w:t>
      </w:r>
      <w:r w:rsidRPr="00481A1D">
        <w:rPr>
          <w:rFonts w:cs="Arial" w:hint="cs"/>
          <w:rtl/>
        </w:rPr>
        <w:t>כמו</w:t>
      </w:r>
      <w:r w:rsidRPr="00481A1D">
        <w:rPr>
          <w:rFonts w:cs="Arial"/>
          <w:rtl/>
        </w:rPr>
        <w:t xml:space="preserve"> </w:t>
      </w:r>
      <w:r w:rsidRPr="00481A1D">
        <w:rPr>
          <w:rFonts w:cs="Arial" w:hint="cs"/>
          <w:rtl/>
        </w:rPr>
        <w:t>שכתב</w:t>
      </w:r>
      <w:r w:rsidRPr="00481A1D">
        <w:rPr>
          <w:rFonts w:cs="Arial"/>
          <w:rtl/>
        </w:rPr>
        <w:t xml:space="preserve"> </w:t>
      </w:r>
      <w:r w:rsidRPr="00481A1D">
        <w:rPr>
          <w:rFonts w:cs="Arial" w:hint="cs"/>
          <w:rtl/>
        </w:rPr>
        <w:t>הרמ</w:t>
      </w:r>
      <w:r w:rsidRPr="00481A1D">
        <w:rPr>
          <w:rFonts w:cs="Arial"/>
          <w:rtl/>
        </w:rPr>
        <w:t>"</w:t>
      </w:r>
      <w:r w:rsidRPr="00481A1D">
        <w:rPr>
          <w:rFonts w:cs="Arial" w:hint="cs"/>
          <w:rtl/>
        </w:rPr>
        <w:t>ה</w:t>
      </w:r>
      <w:r w:rsidRPr="00481A1D">
        <w:rPr>
          <w:rFonts w:cs="Arial"/>
          <w:rtl/>
        </w:rPr>
        <w:t xml:space="preserve"> </w:t>
      </w:r>
      <w:r w:rsidRPr="00481A1D">
        <w:rPr>
          <w:rFonts w:cs="Arial" w:hint="cs"/>
          <w:rtl/>
        </w:rPr>
        <w:t>דומיא</w:t>
      </w:r>
      <w:r w:rsidRPr="00481A1D">
        <w:rPr>
          <w:rFonts w:cs="Arial"/>
          <w:rtl/>
        </w:rPr>
        <w:t xml:space="preserve"> </w:t>
      </w:r>
      <w:r w:rsidRPr="00481A1D">
        <w:rPr>
          <w:rFonts w:cs="Arial" w:hint="cs"/>
          <w:rtl/>
        </w:rPr>
        <w:t>דשמו</w:t>
      </w:r>
      <w:r w:rsidRPr="00481A1D">
        <w:rPr>
          <w:rFonts w:cs="Arial"/>
          <w:rtl/>
        </w:rPr>
        <w:t xml:space="preserve"> </w:t>
      </w:r>
      <w:r w:rsidRPr="00481A1D">
        <w:rPr>
          <w:rFonts w:cs="Arial" w:hint="cs"/>
          <w:rtl/>
        </w:rPr>
        <w:t>ושמה</w:t>
      </w:r>
      <w:r>
        <w:rPr>
          <w:rFonts w:cs="Arial" w:hint="cs"/>
          <w:rtl/>
        </w:rPr>
        <w:t>, ב"י.</w:t>
      </w:r>
    </w:p>
  </w:footnote>
  <w:footnote w:id="988">
    <w:p w14:paraId="7F7DA941" w14:textId="77777777" w:rsidR="00FA2119" w:rsidRDefault="00FA2119" w:rsidP="00FA2119">
      <w:pPr>
        <w:pStyle w:val="a5"/>
        <w:rPr>
          <w:rtl/>
        </w:rPr>
      </w:pPr>
      <w:r>
        <w:rPr>
          <w:rStyle w:val="a7"/>
        </w:rPr>
        <w:footnoteRef/>
      </w:r>
      <w:r>
        <w:rPr>
          <w:rtl/>
        </w:rPr>
        <w:t xml:space="preserve"> </w:t>
      </w:r>
      <w:r w:rsidRPr="00C8189C">
        <w:rPr>
          <w:rFonts w:cs="Arial" w:hint="cs"/>
          <w:rtl/>
        </w:rPr>
        <w:t>וכ</w:t>
      </w:r>
      <w:r>
        <w:rPr>
          <w:rFonts w:cs="Arial" w:hint="cs"/>
          <w:rtl/>
        </w:rPr>
        <w:t>"</w:t>
      </w:r>
      <w:r w:rsidRPr="00C8189C">
        <w:rPr>
          <w:rFonts w:cs="Arial" w:hint="cs"/>
          <w:rtl/>
        </w:rPr>
        <w:t>כ</w:t>
      </w:r>
      <w:r w:rsidRPr="00C8189C">
        <w:rPr>
          <w:rFonts w:cs="Arial"/>
          <w:rtl/>
        </w:rPr>
        <w:t xml:space="preserve"> </w:t>
      </w:r>
      <w:r w:rsidRPr="00C8189C">
        <w:rPr>
          <w:rFonts w:cs="Arial" w:hint="cs"/>
          <w:rtl/>
        </w:rPr>
        <w:t>התוספות</w:t>
      </w:r>
      <w:r w:rsidRPr="00C8189C">
        <w:rPr>
          <w:rFonts w:cs="Arial"/>
          <w:rtl/>
        </w:rPr>
        <w:t xml:space="preserve"> </w:t>
      </w:r>
      <w:r w:rsidRPr="00C8189C">
        <w:rPr>
          <w:rFonts w:cs="Arial" w:hint="cs"/>
          <w:rtl/>
        </w:rPr>
        <w:t>בהשולח</w:t>
      </w:r>
      <w:r w:rsidRPr="00C8189C">
        <w:rPr>
          <w:rFonts w:cs="Arial"/>
          <w:rtl/>
        </w:rPr>
        <w:t xml:space="preserve"> (</w:t>
      </w:r>
      <w:r w:rsidRPr="00C8189C">
        <w:rPr>
          <w:rFonts w:cs="Arial" w:hint="cs"/>
          <w:rtl/>
        </w:rPr>
        <w:t>לד</w:t>
      </w:r>
      <w:r w:rsidRPr="00C8189C">
        <w:rPr>
          <w:rFonts w:cs="Arial"/>
          <w:rtl/>
        </w:rPr>
        <w:t xml:space="preserve">: </w:t>
      </w:r>
      <w:r w:rsidRPr="00C8189C">
        <w:rPr>
          <w:rFonts w:cs="Arial" w:hint="cs"/>
          <w:rtl/>
        </w:rPr>
        <w:t>ד</w:t>
      </w:r>
      <w:r w:rsidRPr="00C8189C">
        <w:rPr>
          <w:rFonts w:cs="Arial"/>
          <w:rtl/>
        </w:rPr>
        <w:t>"</w:t>
      </w:r>
      <w:r w:rsidRPr="00C8189C">
        <w:rPr>
          <w:rFonts w:cs="Arial" w:hint="cs"/>
          <w:rtl/>
        </w:rPr>
        <w:t>ה</w:t>
      </w:r>
      <w:r w:rsidRPr="00C8189C">
        <w:rPr>
          <w:rFonts w:cs="Arial"/>
          <w:rtl/>
        </w:rPr>
        <w:t xml:space="preserve"> </w:t>
      </w:r>
      <w:r w:rsidRPr="00C8189C">
        <w:rPr>
          <w:rFonts w:cs="Arial" w:hint="cs"/>
          <w:rtl/>
        </w:rPr>
        <w:t>והוא</w:t>
      </w:r>
      <w:r w:rsidRPr="00C8189C">
        <w:rPr>
          <w:rFonts w:cs="Arial"/>
          <w:rtl/>
        </w:rPr>
        <w:t xml:space="preserve">) </w:t>
      </w:r>
      <w:r w:rsidRPr="00C8189C">
        <w:rPr>
          <w:rFonts w:cs="Arial" w:hint="cs"/>
          <w:rtl/>
        </w:rPr>
        <w:t>ובהזורק</w:t>
      </w:r>
      <w:r w:rsidRPr="00C8189C">
        <w:rPr>
          <w:rFonts w:cs="Arial"/>
          <w:rtl/>
        </w:rPr>
        <w:t xml:space="preserve"> (</w:t>
      </w:r>
      <w:r w:rsidRPr="00C8189C">
        <w:rPr>
          <w:rFonts w:cs="Arial" w:hint="cs"/>
          <w:rtl/>
        </w:rPr>
        <w:t>פ</w:t>
      </w:r>
      <w:r w:rsidRPr="00C8189C">
        <w:rPr>
          <w:rFonts w:cs="Arial"/>
          <w:rtl/>
        </w:rPr>
        <w:t xml:space="preserve">. </w:t>
      </w:r>
      <w:r w:rsidRPr="00C8189C">
        <w:rPr>
          <w:rFonts w:cs="Arial" w:hint="cs"/>
          <w:rtl/>
        </w:rPr>
        <w:t>ד</w:t>
      </w:r>
      <w:r w:rsidRPr="00C8189C">
        <w:rPr>
          <w:rFonts w:cs="Arial"/>
          <w:rtl/>
        </w:rPr>
        <w:t>"</w:t>
      </w:r>
      <w:r w:rsidRPr="00C8189C">
        <w:rPr>
          <w:rFonts w:cs="Arial" w:hint="cs"/>
          <w:rtl/>
        </w:rPr>
        <w:t>ה</w:t>
      </w:r>
      <w:r w:rsidRPr="00C8189C">
        <w:rPr>
          <w:rFonts w:cs="Arial"/>
          <w:rtl/>
        </w:rPr>
        <w:t xml:space="preserve"> </w:t>
      </w:r>
      <w:r w:rsidRPr="00C8189C">
        <w:rPr>
          <w:rFonts w:cs="Arial" w:hint="cs"/>
          <w:rtl/>
        </w:rPr>
        <w:t>שינה</w:t>
      </w:r>
      <w:r w:rsidRPr="00C8189C">
        <w:rPr>
          <w:rFonts w:cs="Arial"/>
          <w:rtl/>
        </w:rPr>
        <w:t xml:space="preserve">) </w:t>
      </w:r>
      <w:r w:rsidRPr="00C8189C">
        <w:rPr>
          <w:rFonts w:cs="Arial" w:hint="cs"/>
          <w:rtl/>
        </w:rPr>
        <w:t>דהא</w:t>
      </w:r>
      <w:r w:rsidRPr="00C8189C">
        <w:rPr>
          <w:rFonts w:cs="Arial"/>
          <w:rtl/>
        </w:rPr>
        <w:t xml:space="preserve"> </w:t>
      </w:r>
      <w:r w:rsidRPr="00C8189C">
        <w:rPr>
          <w:rFonts w:cs="Arial" w:hint="cs"/>
          <w:rtl/>
        </w:rPr>
        <w:t>דתנן</w:t>
      </w:r>
      <w:r w:rsidRPr="00C8189C">
        <w:rPr>
          <w:rFonts w:cs="Arial"/>
          <w:rtl/>
        </w:rPr>
        <w:t xml:space="preserve"> </w:t>
      </w:r>
      <w:r w:rsidRPr="00C8189C">
        <w:rPr>
          <w:rFonts w:cs="Arial" w:hint="cs"/>
          <w:rtl/>
        </w:rPr>
        <w:t>בהשולח</w:t>
      </w:r>
      <w:r w:rsidRPr="00C8189C">
        <w:rPr>
          <w:rFonts w:cs="Arial"/>
          <w:rtl/>
        </w:rPr>
        <w:t xml:space="preserve"> </w:t>
      </w:r>
      <w:r w:rsidRPr="00C8189C">
        <w:rPr>
          <w:rFonts w:cs="Arial" w:hint="cs"/>
          <w:rtl/>
        </w:rPr>
        <w:t>בראשונה</w:t>
      </w:r>
      <w:r w:rsidRPr="00C8189C">
        <w:rPr>
          <w:rFonts w:cs="Arial"/>
          <w:rtl/>
        </w:rPr>
        <w:t xml:space="preserve"> </w:t>
      </w:r>
      <w:r w:rsidRPr="00C8189C">
        <w:rPr>
          <w:rFonts w:cs="Arial" w:hint="cs"/>
          <w:rtl/>
        </w:rPr>
        <w:t>היה</w:t>
      </w:r>
      <w:r w:rsidRPr="00C8189C">
        <w:rPr>
          <w:rFonts w:cs="Arial"/>
          <w:rtl/>
        </w:rPr>
        <w:t xml:space="preserve"> </w:t>
      </w:r>
      <w:r w:rsidRPr="00C8189C">
        <w:rPr>
          <w:rFonts w:cs="Arial" w:hint="cs"/>
          <w:rtl/>
        </w:rPr>
        <w:t>משנה</w:t>
      </w:r>
      <w:r w:rsidRPr="00C8189C">
        <w:rPr>
          <w:rFonts w:cs="Arial"/>
          <w:rtl/>
        </w:rPr>
        <w:t xml:space="preserve"> </w:t>
      </w:r>
      <w:r w:rsidRPr="00C8189C">
        <w:rPr>
          <w:rFonts w:cs="Arial" w:hint="cs"/>
          <w:rtl/>
        </w:rPr>
        <w:t>שמו</w:t>
      </w:r>
      <w:r w:rsidRPr="00C8189C">
        <w:rPr>
          <w:rFonts w:cs="Arial"/>
          <w:rtl/>
        </w:rPr>
        <w:t xml:space="preserve"> </w:t>
      </w:r>
      <w:r w:rsidRPr="00C8189C">
        <w:rPr>
          <w:rFonts w:cs="Arial" w:hint="cs"/>
          <w:rtl/>
        </w:rPr>
        <w:t>ושמה</w:t>
      </w:r>
      <w:r w:rsidRPr="00C8189C">
        <w:rPr>
          <w:rFonts w:cs="Arial"/>
          <w:rtl/>
        </w:rPr>
        <w:t xml:space="preserve"> </w:t>
      </w:r>
      <w:r w:rsidRPr="00C8189C">
        <w:rPr>
          <w:rFonts w:cs="Arial" w:hint="cs"/>
          <w:rtl/>
        </w:rPr>
        <w:t>ושם</w:t>
      </w:r>
      <w:r w:rsidRPr="00C8189C">
        <w:rPr>
          <w:rFonts w:cs="Arial"/>
          <w:rtl/>
        </w:rPr>
        <w:t xml:space="preserve"> </w:t>
      </w:r>
      <w:r w:rsidRPr="00C8189C">
        <w:rPr>
          <w:rFonts w:cs="Arial" w:hint="cs"/>
          <w:rtl/>
        </w:rPr>
        <w:t>עירו</w:t>
      </w:r>
      <w:r w:rsidRPr="00C8189C">
        <w:rPr>
          <w:rFonts w:cs="Arial"/>
          <w:rtl/>
        </w:rPr>
        <w:t xml:space="preserve"> </w:t>
      </w:r>
      <w:r w:rsidRPr="00C8189C">
        <w:rPr>
          <w:rFonts w:cs="Arial" w:hint="cs"/>
          <w:rtl/>
        </w:rPr>
        <w:t>ושם</w:t>
      </w:r>
      <w:r w:rsidRPr="00C8189C">
        <w:rPr>
          <w:rFonts w:cs="Arial"/>
          <w:rtl/>
        </w:rPr>
        <w:t xml:space="preserve"> </w:t>
      </w:r>
      <w:r w:rsidRPr="00C8189C">
        <w:rPr>
          <w:rFonts w:cs="Arial" w:hint="cs"/>
          <w:rtl/>
        </w:rPr>
        <w:t>עירה,</w:t>
      </w:r>
      <w:r w:rsidRPr="00C8189C">
        <w:rPr>
          <w:rFonts w:cs="Arial"/>
          <w:rtl/>
        </w:rPr>
        <w:t xml:space="preserve"> </w:t>
      </w:r>
      <w:r w:rsidRPr="00C8189C">
        <w:rPr>
          <w:rFonts w:cs="Arial" w:hint="cs"/>
          <w:rtl/>
        </w:rPr>
        <w:t>ובהזורק</w:t>
      </w:r>
      <w:r w:rsidRPr="00C8189C">
        <w:rPr>
          <w:rFonts w:cs="Arial"/>
          <w:rtl/>
        </w:rPr>
        <w:t xml:space="preserve"> </w:t>
      </w:r>
      <w:r w:rsidRPr="00C8189C">
        <w:rPr>
          <w:rFonts w:cs="Arial" w:hint="cs"/>
          <w:rtl/>
        </w:rPr>
        <w:t>תנן</w:t>
      </w:r>
      <w:r w:rsidRPr="00C8189C">
        <w:rPr>
          <w:rFonts w:cs="Arial"/>
          <w:rtl/>
        </w:rPr>
        <w:t xml:space="preserve"> </w:t>
      </w:r>
      <w:r w:rsidRPr="00C8189C">
        <w:rPr>
          <w:rFonts w:cs="Arial" w:hint="cs"/>
          <w:rtl/>
        </w:rPr>
        <w:t>שינה</w:t>
      </w:r>
      <w:r w:rsidRPr="00C8189C">
        <w:rPr>
          <w:rFonts w:cs="Arial"/>
          <w:rtl/>
        </w:rPr>
        <w:t xml:space="preserve"> </w:t>
      </w:r>
      <w:r w:rsidRPr="00C8189C">
        <w:rPr>
          <w:rFonts w:cs="Arial" w:hint="cs"/>
          <w:rtl/>
        </w:rPr>
        <w:t>שמו</w:t>
      </w:r>
      <w:r w:rsidRPr="00C8189C">
        <w:rPr>
          <w:rFonts w:cs="Arial"/>
          <w:rtl/>
        </w:rPr>
        <w:t xml:space="preserve"> </w:t>
      </w:r>
      <w:r w:rsidRPr="00C8189C">
        <w:rPr>
          <w:rFonts w:cs="Arial" w:hint="cs"/>
          <w:rtl/>
        </w:rPr>
        <w:t>ושמה</w:t>
      </w:r>
      <w:r w:rsidRPr="00C8189C">
        <w:rPr>
          <w:rFonts w:cs="Arial"/>
          <w:rtl/>
        </w:rPr>
        <w:t xml:space="preserve"> </w:t>
      </w:r>
      <w:r w:rsidRPr="00C8189C">
        <w:rPr>
          <w:rFonts w:cs="Arial" w:hint="cs"/>
          <w:rtl/>
        </w:rPr>
        <w:t>שם</w:t>
      </w:r>
      <w:r w:rsidRPr="00C8189C">
        <w:rPr>
          <w:rFonts w:cs="Arial"/>
          <w:rtl/>
        </w:rPr>
        <w:t xml:space="preserve"> </w:t>
      </w:r>
      <w:r w:rsidRPr="00C8189C">
        <w:rPr>
          <w:rFonts w:cs="Arial" w:hint="cs"/>
          <w:rtl/>
        </w:rPr>
        <w:t>עירו</w:t>
      </w:r>
      <w:r w:rsidRPr="00C8189C">
        <w:rPr>
          <w:rFonts w:cs="Arial"/>
          <w:rtl/>
        </w:rPr>
        <w:t xml:space="preserve"> </w:t>
      </w:r>
      <w:r w:rsidRPr="00C8189C">
        <w:rPr>
          <w:rFonts w:cs="Arial" w:hint="cs"/>
          <w:rtl/>
        </w:rPr>
        <w:t>ושם</w:t>
      </w:r>
      <w:r w:rsidRPr="00C8189C">
        <w:rPr>
          <w:rFonts w:cs="Arial"/>
          <w:rtl/>
        </w:rPr>
        <w:t xml:space="preserve"> </w:t>
      </w:r>
      <w:r w:rsidRPr="00C8189C">
        <w:rPr>
          <w:rFonts w:cs="Arial" w:hint="cs"/>
          <w:rtl/>
        </w:rPr>
        <w:t>עירה</w:t>
      </w:r>
      <w:r w:rsidRPr="00C8189C">
        <w:rPr>
          <w:rFonts w:cs="Arial"/>
          <w:rtl/>
        </w:rPr>
        <w:t xml:space="preserve"> </w:t>
      </w:r>
      <w:r w:rsidRPr="00C8189C">
        <w:rPr>
          <w:rFonts w:cs="Arial" w:hint="cs"/>
          <w:rtl/>
        </w:rPr>
        <w:t>- שינוי</w:t>
      </w:r>
      <w:r w:rsidRPr="00C8189C">
        <w:rPr>
          <w:rFonts w:cs="Arial"/>
          <w:rtl/>
        </w:rPr>
        <w:t xml:space="preserve"> </w:t>
      </w:r>
      <w:r w:rsidRPr="00C8189C">
        <w:rPr>
          <w:rFonts w:cs="Arial" w:hint="cs"/>
          <w:rtl/>
        </w:rPr>
        <w:t>העיר</w:t>
      </w:r>
      <w:r w:rsidRPr="00C8189C">
        <w:rPr>
          <w:rFonts w:cs="Arial"/>
          <w:rtl/>
        </w:rPr>
        <w:t xml:space="preserve"> </w:t>
      </w:r>
      <w:r w:rsidRPr="00C8189C">
        <w:rPr>
          <w:rFonts w:cs="Arial" w:hint="cs"/>
          <w:rtl/>
        </w:rPr>
        <w:t>הוי</w:t>
      </w:r>
      <w:r w:rsidRPr="00C8189C">
        <w:rPr>
          <w:rFonts w:cs="Arial"/>
          <w:rtl/>
        </w:rPr>
        <w:t xml:space="preserve"> </w:t>
      </w:r>
      <w:r w:rsidRPr="00C8189C">
        <w:rPr>
          <w:rFonts w:cs="Arial" w:hint="cs"/>
          <w:rtl/>
        </w:rPr>
        <w:t>דומיא</w:t>
      </w:r>
      <w:r w:rsidRPr="00C8189C">
        <w:rPr>
          <w:rFonts w:cs="Arial"/>
          <w:rtl/>
        </w:rPr>
        <w:t xml:space="preserve"> </w:t>
      </w:r>
      <w:r w:rsidRPr="00C8189C">
        <w:rPr>
          <w:rFonts w:cs="Arial" w:hint="cs"/>
          <w:rtl/>
        </w:rPr>
        <w:t>דשינוי</w:t>
      </w:r>
      <w:r w:rsidRPr="00C8189C">
        <w:rPr>
          <w:rFonts w:cs="Arial"/>
          <w:rtl/>
        </w:rPr>
        <w:t xml:space="preserve"> </w:t>
      </w:r>
      <w:r w:rsidRPr="00C8189C">
        <w:rPr>
          <w:rFonts w:cs="Arial" w:hint="cs"/>
          <w:rtl/>
        </w:rPr>
        <w:t>השם.</w:t>
      </w:r>
      <w:r w:rsidRPr="00C8189C">
        <w:rPr>
          <w:rFonts w:cs="Arial"/>
          <w:rtl/>
        </w:rPr>
        <w:t xml:space="preserve"> </w:t>
      </w:r>
      <w:r w:rsidRPr="00C8189C">
        <w:rPr>
          <w:rFonts w:cs="Arial" w:hint="cs"/>
          <w:rtl/>
        </w:rPr>
        <w:t>וכן</w:t>
      </w:r>
      <w:r w:rsidRPr="00C8189C">
        <w:rPr>
          <w:rFonts w:cs="Arial"/>
          <w:rtl/>
        </w:rPr>
        <w:t xml:space="preserve"> </w:t>
      </w:r>
      <w:r w:rsidRPr="00C8189C">
        <w:rPr>
          <w:rFonts w:cs="Arial" w:hint="cs"/>
          <w:rtl/>
        </w:rPr>
        <w:t>כתבו</w:t>
      </w:r>
      <w:r w:rsidRPr="00C8189C">
        <w:rPr>
          <w:rFonts w:cs="Arial"/>
          <w:rtl/>
        </w:rPr>
        <w:t xml:space="preserve"> </w:t>
      </w:r>
      <w:r w:rsidRPr="00C8189C">
        <w:rPr>
          <w:rFonts w:cs="Arial" w:hint="cs"/>
          <w:rtl/>
        </w:rPr>
        <w:t>הרא</w:t>
      </w:r>
      <w:r w:rsidRPr="00C8189C">
        <w:rPr>
          <w:rFonts w:cs="Arial"/>
          <w:rtl/>
        </w:rPr>
        <w:t>"</w:t>
      </w:r>
      <w:r w:rsidRPr="00C8189C">
        <w:rPr>
          <w:rFonts w:cs="Arial" w:hint="cs"/>
          <w:rtl/>
        </w:rPr>
        <w:t>ש</w:t>
      </w:r>
      <w:r w:rsidRPr="00C8189C">
        <w:rPr>
          <w:rFonts w:cs="Arial"/>
          <w:rtl/>
        </w:rPr>
        <w:t xml:space="preserve"> (</w:t>
      </w:r>
      <w:r w:rsidRPr="00C8189C">
        <w:rPr>
          <w:rFonts w:cs="Arial" w:hint="cs"/>
          <w:rtl/>
        </w:rPr>
        <w:t>פ</w:t>
      </w:r>
      <w:r w:rsidRPr="00C8189C">
        <w:rPr>
          <w:rFonts w:cs="Arial"/>
          <w:rtl/>
        </w:rPr>
        <w:t>"</w:t>
      </w:r>
      <w:r w:rsidRPr="00C8189C">
        <w:rPr>
          <w:rFonts w:cs="Arial" w:hint="cs"/>
          <w:rtl/>
        </w:rPr>
        <w:t>ד</w:t>
      </w:r>
      <w:r w:rsidRPr="00C8189C">
        <w:rPr>
          <w:rFonts w:cs="Arial"/>
          <w:rtl/>
        </w:rPr>
        <w:t xml:space="preserve"> </w:t>
      </w:r>
      <w:r w:rsidRPr="00C8189C">
        <w:rPr>
          <w:rFonts w:cs="Arial" w:hint="cs"/>
          <w:rtl/>
        </w:rPr>
        <w:t>ס</w:t>
      </w:r>
      <w:r w:rsidRPr="00C8189C">
        <w:rPr>
          <w:rFonts w:cs="Arial"/>
          <w:rtl/>
        </w:rPr>
        <w:t>"</w:t>
      </w:r>
      <w:r w:rsidRPr="00C8189C">
        <w:rPr>
          <w:rFonts w:cs="Arial" w:hint="cs"/>
          <w:rtl/>
        </w:rPr>
        <w:t>ז</w:t>
      </w:r>
      <w:r w:rsidRPr="00C8189C">
        <w:rPr>
          <w:rFonts w:cs="Arial"/>
          <w:rtl/>
        </w:rPr>
        <w:t xml:space="preserve">) </w:t>
      </w:r>
      <w:r w:rsidRPr="00C8189C">
        <w:rPr>
          <w:rFonts w:cs="Arial" w:hint="cs"/>
          <w:rtl/>
        </w:rPr>
        <w:t>והרשב</w:t>
      </w:r>
      <w:r w:rsidRPr="00C8189C">
        <w:rPr>
          <w:rFonts w:cs="Arial"/>
          <w:rtl/>
        </w:rPr>
        <w:t>"</w:t>
      </w:r>
      <w:r w:rsidRPr="00C8189C">
        <w:rPr>
          <w:rFonts w:cs="Arial" w:hint="cs"/>
          <w:rtl/>
        </w:rPr>
        <w:t>א</w:t>
      </w:r>
      <w:r w:rsidRPr="00C8189C">
        <w:rPr>
          <w:rFonts w:cs="Arial"/>
          <w:rtl/>
        </w:rPr>
        <w:t xml:space="preserve"> (</w:t>
      </w:r>
      <w:r w:rsidRPr="00C8189C">
        <w:rPr>
          <w:rFonts w:cs="Arial" w:hint="cs"/>
          <w:rtl/>
        </w:rPr>
        <w:t>לד</w:t>
      </w:r>
      <w:r w:rsidRPr="00C8189C">
        <w:rPr>
          <w:rFonts w:cs="Arial"/>
          <w:rtl/>
        </w:rPr>
        <w:t xml:space="preserve">: </w:t>
      </w:r>
      <w:r w:rsidRPr="00C8189C">
        <w:rPr>
          <w:rFonts w:cs="Arial" w:hint="cs"/>
          <w:rtl/>
        </w:rPr>
        <w:t>ד</w:t>
      </w:r>
      <w:r w:rsidRPr="00C8189C">
        <w:rPr>
          <w:rFonts w:cs="Arial"/>
          <w:rtl/>
        </w:rPr>
        <w:t>"</w:t>
      </w:r>
      <w:r w:rsidRPr="00C8189C">
        <w:rPr>
          <w:rFonts w:cs="Arial" w:hint="cs"/>
          <w:rtl/>
        </w:rPr>
        <w:t>ה</w:t>
      </w:r>
      <w:r w:rsidRPr="00C8189C">
        <w:rPr>
          <w:rFonts w:cs="Arial"/>
          <w:rtl/>
        </w:rPr>
        <w:t xml:space="preserve"> </w:t>
      </w:r>
      <w:r w:rsidRPr="00C8189C">
        <w:rPr>
          <w:rFonts w:cs="Arial" w:hint="cs"/>
          <w:rtl/>
        </w:rPr>
        <w:t>מתני</w:t>
      </w:r>
      <w:r w:rsidRPr="00C8189C">
        <w:rPr>
          <w:rFonts w:cs="Arial"/>
          <w:rtl/>
        </w:rPr>
        <w:t xml:space="preserve">') </w:t>
      </w:r>
      <w:r w:rsidRPr="00C8189C">
        <w:rPr>
          <w:rFonts w:cs="Arial" w:hint="cs"/>
          <w:rtl/>
        </w:rPr>
        <w:t>והר</w:t>
      </w:r>
      <w:r w:rsidRPr="00C8189C">
        <w:rPr>
          <w:rFonts w:cs="Arial"/>
          <w:rtl/>
        </w:rPr>
        <w:t>"</w:t>
      </w:r>
      <w:r w:rsidRPr="00C8189C">
        <w:rPr>
          <w:rFonts w:cs="Arial" w:hint="cs"/>
          <w:rtl/>
        </w:rPr>
        <w:t>ן</w:t>
      </w:r>
      <w:r w:rsidRPr="00C8189C">
        <w:rPr>
          <w:rFonts w:cs="Arial"/>
          <w:rtl/>
        </w:rPr>
        <w:t xml:space="preserve"> (</w:t>
      </w:r>
      <w:r w:rsidRPr="00C8189C">
        <w:rPr>
          <w:rFonts w:cs="Arial" w:hint="cs"/>
          <w:rtl/>
        </w:rPr>
        <w:t>יז</w:t>
      </w:r>
      <w:r w:rsidRPr="00C8189C">
        <w:rPr>
          <w:rFonts w:cs="Arial"/>
          <w:rtl/>
        </w:rPr>
        <w:t xml:space="preserve">. </w:t>
      </w:r>
      <w:r w:rsidRPr="00C8189C">
        <w:rPr>
          <w:rFonts w:cs="Arial" w:hint="cs"/>
          <w:rtl/>
        </w:rPr>
        <w:t>ד</w:t>
      </w:r>
      <w:r w:rsidRPr="00C8189C">
        <w:rPr>
          <w:rFonts w:cs="Arial"/>
          <w:rtl/>
        </w:rPr>
        <w:t>"</w:t>
      </w:r>
      <w:r w:rsidRPr="00C8189C">
        <w:rPr>
          <w:rFonts w:cs="Arial" w:hint="cs"/>
          <w:rtl/>
        </w:rPr>
        <w:t>ה</w:t>
      </w:r>
      <w:r w:rsidRPr="00C8189C">
        <w:rPr>
          <w:rFonts w:cs="Arial"/>
          <w:rtl/>
        </w:rPr>
        <w:t xml:space="preserve"> </w:t>
      </w:r>
      <w:r w:rsidRPr="00C8189C">
        <w:rPr>
          <w:rFonts w:cs="Arial" w:hint="cs"/>
          <w:rtl/>
        </w:rPr>
        <w:t>מתני</w:t>
      </w:r>
      <w:r w:rsidRPr="00C8189C">
        <w:rPr>
          <w:rFonts w:cs="Arial"/>
          <w:rtl/>
        </w:rPr>
        <w:t xml:space="preserve">') </w:t>
      </w:r>
      <w:r w:rsidRPr="00C8189C">
        <w:rPr>
          <w:rFonts w:cs="Arial" w:hint="cs"/>
          <w:rtl/>
        </w:rPr>
        <w:t>בהשולח</w:t>
      </w:r>
      <w:r w:rsidRPr="00C8189C">
        <w:rPr>
          <w:rFonts w:cs="Arial"/>
          <w:rtl/>
        </w:rPr>
        <w:t xml:space="preserve"> </w:t>
      </w:r>
      <w:r w:rsidRPr="00C8189C">
        <w:rPr>
          <w:rFonts w:cs="Arial" w:hint="cs"/>
          <w:rtl/>
        </w:rPr>
        <w:t>אמתניתין</w:t>
      </w:r>
      <w:r w:rsidRPr="00C8189C">
        <w:rPr>
          <w:rFonts w:cs="Arial"/>
          <w:rtl/>
        </w:rPr>
        <w:t xml:space="preserve"> </w:t>
      </w:r>
      <w:r w:rsidRPr="00C8189C">
        <w:rPr>
          <w:rFonts w:cs="Arial" w:hint="cs"/>
          <w:rtl/>
        </w:rPr>
        <w:t>דבראשונה</w:t>
      </w:r>
      <w:r w:rsidRPr="00C8189C">
        <w:rPr>
          <w:rFonts w:cs="Arial"/>
          <w:rtl/>
        </w:rPr>
        <w:t xml:space="preserve"> </w:t>
      </w:r>
      <w:r w:rsidRPr="00C8189C">
        <w:rPr>
          <w:rFonts w:cs="Arial" w:hint="cs"/>
          <w:rtl/>
        </w:rPr>
        <w:t>היה</w:t>
      </w:r>
      <w:r w:rsidRPr="00C8189C">
        <w:rPr>
          <w:rFonts w:cs="Arial"/>
          <w:rtl/>
        </w:rPr>
        <w:t xml:space="preserve"> </w:t>
      </w:r>
      <w:r w:rsidRPr="00C8189C">
        <w:rPr>
          <w:rFonts w:cs="Arial" w:hint="cs"/>
          <w:rtl/>
        </w:rPr>
        <w:t>משנה</w:t>
      </w:r>
      <w:r w:rsidRPr="00C8189C">
        <w:rPr>
          <w:rFonts w:cs="Arial"/>
          <w:rtl/>
        </w:rPr>
        <w:t xml:space="preserve"> </w:t>
      </w:r>
      <w:r w:rsidRPr="00C8189C">
        <w:rPr>
          <w:rFonts w:cs="Arial" w:hint="cs"/>
          <w:rtl/>
        </w:rPr>
        <w:t>שמו</w:t>
      </w:r>
      <w:r w:rsidRPr="00C8189C">
        <w:rPr>
          <w:rFonts w:cs="Arial"/>
          <w:rtl/>
        </w:rPr>
        <w:t xml:space="preserve"> </w:t>
      </w:r>
      <w:r w:rsidRPr="00C8189C">
        <w:rPr>
          <w:rFonts w:cs="Arial" w:hint="cs"/>
          <w:rtl/>
        </w:rPr>
        <w:t>ושמה</w:t>
      </w:r>
      <w:r w:rsidRPr="00C8189C">
        <w:rPr>
          <w:rFonts w:cs="Arial"/>
          <w:rtl/>
        </w:rPr>
        <w:t xml:space="preserve"> </w:t>
      </w:r>
      <w:r w:rsidRPr="00C8189C">
        <w:rPr>
          <w:rFonts w:cs="Arial" w:hint="cs"/>
          <w:rtl/>
        </w:rPr>
        <w:t>ושם</w:t>
      </w:r>
      <w:r w:rsidRPr="00C8189C">
        <w:rPr>
          <w:rFonts w:cs="Arial"/>
          <w:rtl/>
        </w:rPr>
        <w:t xml:space="preserve"> </w:t>
      </w:r>
      <w:r w:rsidRPr="00C8189C">
        <w:rPr>
          <w:rFonts w:cs="Arial" w:hint="cs"/>
          <w:rtl/>
        </w:rPr>
        <w:t>עירו</w:t>
      </w:r>
      <w:r w:rsidRPr="00C8189C">
        <w:rPr>
          <w:rFonts w:cs="Arial"/>
          <w:rtl/>
        </w:rPr>
        <w:t xml:space="preserve"> </w:t>
      </w:r>
      <w:r w:rsidRPr="00C8189C">
        <w:rPr>
          <w:rFonts w:cs="Arial" w:hint="cs"/>
          <w:rtl/>
        </w:rPr>
        <w:t>ושם</w:t>
      </w:r>
      <w:r w:rsidRPr="00C8189C">
        <w:rPr>
          <w:rFonts w:cs="Arial"/>
          <w:rtl/>
        </w:rPr>
        <w:t xml:space="preserve"> </w:t>
      </w:r>
      <w:r w:rsidRPr="00C8189C">
        <w:rPr>
          <w:rFonts w:cs="Arial" w:hint="cs"/>
          <w:rtl/>
        </w:rPr>
        <w:t>עירה,</w:t>
      </w:r>
      <w:r w:rsidRPr="00C8189C">
        <w:rPr>
          <w:rFonts w:cs="Arial"/>
          <w:rtl/>
        </w:rPr>
        <w:t xml:space="preserve"> </w:t>
      </w:r>
      <w:r w:rsidRPr="00C8189C">
        <w:rPr>
          <w:rFonts w:cs="Arial" w:hint="cs"/>
          <w:rtl/>
        </w:rPr>
        <w:t>שצריך</w:t>
      </w:r>
      <w:r w:rsidRPr="00C8189C">
        <w:rPr>
          <w:rFonts w:cs="Arial"/>
          <w:rtl/>
        </w:rPr>
        <w:t xml:space="preserve"> </w:t>
      </w:r>
      <w:r w:rsidRPr="00C8189C">
        <w:rPr>
          <w:rFonts w:cs="Arial" w:hint="cs"/>
          <w:rtl/>
        </w:rPr>
        <w:t>לכתוב</w:t>
      </w:r>
      <w:r w:rsidRPr="00C8189C">
        <w:rPr>
          <w:rFonts w:cs="Arial"/>
          <w:rtl/>
        </w:rPr>
        <w:t xml:space="preserve"> </w:t>
      </w:r>
      <w:r w:rsidRPr="00C8189C">
        <w:rPr>
          <w:rFonts w:cs="Arial" w:hint="cs"/>
          <w:rtl/>
        </w:rPr>
        <w:t>שם</w:t>
      </w:r>
      <w:r w:rsidRPr="00C8189C">
        <w:rPr>
          <w:rFonts w:cs="Arial"/>
          <w:rtl/>
        </w:rPr>
        <w:t xml:space="preserve"> </w:t>
      </w:r>
      <w:r w:rsidRPr="00C8189C">
        <w:rPr>
          <w:rFonts w:cs="Arial" w:hint="cs"/>
          <w:rtl/>
        </w:rPr>
        <w:t>העיר</w:t>
      </w:r>
      <w:r w:rsidRPr="00C8189C">
        <w:rPr>
          <w:rFonts w:cs="Arial"/>
          <w:rtl/>
        </w:rPr>
        <w:t xml:space="preserve"> </w:t>
      </w:r>
      <w:r w:rsidRPr="00C8189C">
        <w:rPr>
          <w:rFonts w:cs="Arial" w:hint="cs"/>
          <w:rtl/>
        </w:rPr>
        <w:t>שהוא</w:t>
      </w:r>
      <w:r w:rsidRPr="00C8189C">
        <w:rPr>
          <w:rFonts w:cs="Arial"/>
          <w:rtl/>
        </w:rPr>
        <w:t xml:space="preserve"> </w:t>
      </w:r>
      <w:r w:rsidRPr="00C8189C">
        <w:rPr>
          <w:rFonts w:cs="Arial" w:hint="cs"/>
          <w:rtl/>
        </w:rPr>
        <w:t>והיא</w:t>
      </w:r>
      <w:r w:rsidRPr="00C8189C">
        <w:rPr>
          <w:rFonts w:cs="Arial"/>
          <w:rtl/>
        </w:rPr>
        <w:t xml:space="preserve"> </w:t>
      </w:r>
      <w:r w:rsidRPr="00C8189C">
        <w:rPr>
          <w:rFonts w:cs="Arial" w:hint="cs"/>
          <w:rtl/>
        </w:rPr>
        <w:t>ממנה.</w:t>
      </w:r>
      <w:r w:rsidRPr="00C8189C">
        <w:rPr>
          <w:rFonts w:cs="Arial"/>
          <w:rtl/>
        </w:rPr>
        <w:t xml:space="preserve"> </w:t>
      </w:r>
      <w:r w:rsidRPr="00C8189C">
        <w:rPr>
          <w:rFonts w:cs="Arial" w:hint="cs"/>
          <w:rtl/>
        </w:rPr>
        <w:t>פירוש</w:t>
      </w:r>
      <w:r w:rsidRPr="00C8189C">
        <w:rPr>
          <w:rFonts w:cs="Arial"/>
          <w:rtl/>
        </w:rPr>
        <w:t xml:space="preserve"> </w:t>
      </w:r>
      <w:r w:rsidRPr="00C8189C">
        <w:rPr>
          <w:rFonts w:cs="Arial" w:hint="cs"/>
          <w:rtl/>
        </w:rPr>
        <w:t>'בגליל</w:t>
      </w:r>
      <w:r w:rsidRPr="00C8189C">
        <w:rPr>
          <w:rFonts w:cs="Arial"/>
          <w:rtl/>
        </w:rPr>
        <w:t xml:space="preserve"> </w:t>
      </w:r>
      <w:r w:rsidRPr="00C8189C">
        <w:rPr>
          <w:rFonts w:cs="Arial" w:hint="cs"/>
          <w:rtl/>
        </w:rPr>
        <w:t>מתא</w:t>
      </w:r>
      <w:r w:rsidRPr="00C8189C">
        <w:rPr>
          <w:rFonts w:cs="Arial"/>
          <w:rtl/>
        </w:rPr>
        <w:t xml:space="preserve"> </w:t>
      </w:r>
      <w:r w:rsidRPr="00C8189C">
        <w:rPr>
          <w:rFonts w:cs="Arial" w:hint="cs"/>
          <w:rtl/>
        </w:rPr>
        <w:t>אנא</w:t>
      </w:r>
      <w:r w:rsidRPr="00C8189C">
        <w:rPr>
          <w:rFonts w:cs="Arial"/>
          <w:rtl/>
        </w:rPr>
        <w:t xml:space="preserve"> </w:t>
      </w:r>
      <w:r w:rsidRPr="00C8189C">
        <w:rPr>
          <w:rFonts w:cs="Arial" w:hint="cs"/>
          <w:rtl/>
        </w:rPr>
        <w:t>פלוני</w:t>
      </w:r>
      <w:r w:rsidRPr="00C8189C">
        <w:rPr>
          <w:rFonts w:cs="Arial"/>
          <w:rtl/>
        </w:rPr>
        <w:t xml:space="preserve"> </w:t>
      </w:r>
      <w:r w:rsidRPr="00C8189C">
        <w:rPr>
          <w:rFonts w:cs="Arial" w:hint="cs"/>
          <w:rtl/>
        </w:rPr>
        <w:t>דמיהודה',</w:t>
      </w:r>
      <w:r w:rsidRPr="00C8189C">
        <w:rPr>
          <w:rFonts w:cs="Arial"/>
          <w:rtl/>
        </w:rPr>
        <w:t xml:space="preserve"> </w:t>
      </w:r>
      <w:r w:rsidRPr="00C8189C">
        <w:rPr>
          <w:rFonts w:cs="Arial" w:hint="cs"/>
          <w:rtl/>
        </w:rPr>
        <w:t>ואם</w:t>
      </w:r>
      <w:r w:rsidRPr="00C8189C">
        <w:rPr>
          <w:rFonts w:cs="Arial"/>
          <w:rtl/>
        </w:rPr>
        <w:t xml:space="preserve"> </w:t>
      </w:r>
      <w:r w:rsidRPr="00C8189C">
        <w:rPr>
          <w:rFonts w:cs="Arial" w:hint="cs"/>
          <w:rtl/>
        </w:rPr>
        <w:t>לא</w:t>
      </w:r>
      <w:r w:rsidRPr="00C8189C">
        <w:rPr>
          <w:rFonts w:cs="Arial"/>
          <w:rtl/>
        </w:rPr>
        <w:t xml:space="preserve"> </w:t>
      </w:r>
      <w:r w:rsidRPr="00C8189C">
        <w:rPr>
          <w:rFonts w:cs="Arial" w:hint="cs"/>
          <w:rtl/>
        </w:rPr>
        <w:t>כתב</w:t>
      </w:r>
      <w:r w:rsidRPr="00C8189C">
        <w:rPr>
          <w:rFonts w:cs="Arial"/>
          <w:rtl/>
        </w:rPr>
        <w:t xml:space="preserve"> </w:t>
      </w:r>
      <w:r w:rsidRPr="00C8189C">
        <w:rPr>
          <w:rFonts w:cs="Arial" w:hint="cs"/>
          <w:rtl/>
        </w:rPr>
        <w:t>- מיקרי</w:t>
      </w:r>
      <w:r w:rsidRPr="00C8189C">
        <w:rPr>
          <w:rFonts w:cs="Arial"/>
          <w:rtl/>
        </w:rPr>
        <w:t xml:space="preserve"> </w:t>
      </w:r>
      <w:r w:rsidRPr="00C8189C">
        <w:rPr>
          <w:rFonts w:cs="Arial" w:hint="cs"/>
          <w:rtl/>
        </w:rPr>
        <w:t>שינה</w:t>
      </w:r>
      <w:r w:rsidRPr="00C8189C">
        <w:rPr>
          <w:rFonts w:cs="Arial"/>
          <w:rtl/>
        </w:rPr>
        <w:t xml:space="preserve"> </w:t>
      </w:r>
      <w:r w:rsidRPr="00C8189C">
        <w:rPr>
          <w:rFonts w:cs="Arial" w:hint="cs"/>
          <w:rtl/>
        </w:rPr>
        <w:t>שם</w:t>
      </w:r>
      <w:r w:rsidRPr="00C8189C">
        <w:rPr>
          <w:rFonts w:cs="Arial"/>
          <w:rtl/>
        </w:rPr>
        <w:t xml:space="preserve"> </w:t>
      </w:r>
      <w:r w:rsidRPr="00C8189C">
        <w:rPr>
          <w:rFonts w:cs="Arial" w:hint="cs"/>
          <w:rtl/>
        </w:rPr>
        <w:t>עירו,</w:t>
      </w:r>
      <w:r w:rsidRPr="00C8189C">
        <w:rPr>
          <w:rFonts w:cs="Arial"/>
          <w:rtl/>
        </w:rPr>
        <w:t xml:space="preserve"> </w:t>
      </w:r>
      <w:r w:rsidRPr="00C8189C">
        <w:rPr>
          <w:rFonts w:cs="Arial" w:hint="cs"/>
          <w:rtl/>
        </w:rPr>
        <w:t>ותצא</w:t>
      </w:r>
      <w:r w:rsidRPr="00C8189C">
        <w:rPr>
          <w:rFonts w:cs="Arial"/>
          <w:rtl/>
        </w:rPr>
        <w:t xml:space="preserve"> </w:t>
      </w:r>
      <w:r w:rsidRPr="00C8189C">
        <w:rPr>
          <w:rFonts w:cs="Arial" w:hint="cs"/>
          <w:rtl/>
        </w:rPr>
        <w:t>מזה</w:t>
      </w:r>
      <w:r w:rsidRPr="00C8189C">
        <w:rPr>
          <w:rFonts w:cs="Arial"/>
          <w:rtl/>
        </w:rPr>
        <w:t xml:space="preserve"> </w:t>
      </w:r>
      <w:r w:rsidRPr="00C8189C">
        <w:rPr>
          <w:rFonts w:cs="Arial" w:hint="cs"/>
          <w:rtl/>
        </w:rPr>
        <w:t>ומזה</w:t>
      </w:r>
      <w:r w:rsidRPr="00C8189C">
        <w:rPr>
          <w:rFonts w:cs="Arial"/>
          <w:rtl/>
        </w:rPr>
        <w:t xml:space="preserve"> </w:t>
      </w:r>
      <w:r w:rsidRPr="00C8189C">
        <w:rPr>
          <w:rFonts w:cs="Arial" w:hint="cs"/>
          <w:rtl/>
        </w:rPr>
        <w:t>וכל</w:t>
      </w:r>
      <w:r w:rsidRPr="00C8189C">
        <w:rPr>
          <w:rFonts w:cs="Arial"/>
          <w:rtl/>
        </w:rPr>
        <w:t xml:space="preserve"> </w:t>
      </w:r>
      <w:r w:rsidRPr="00C8189C">
        <w:rPr>
          <w:rFonts w:cs="Arial" w:hint="cs"/>
          <w:rtl/>
        </w:rPr>
        <w:t>הדרכים</w:t>
      </w:r>
      <w:r w:rsidRPr="00C8189C">
        <w:rPr>
          <w:rFonts w:cs="Arial"/>
          <w:rtl/>
        </w:rPr>
        <w:t xml:space="preserve"> </w:t>
      </w:r>
      <w:r w:rsidRPr="00C8189C">
        <w:rPr>
          <w:rFonts w:cs="Arial" w:hint="cs"/>
          <w:rtl/>
        </w:rPr>
        <w:t>האלו</w:t>
      </w:r>
      <w:r w:rsidRPr="00C8189C">
        <w:rPr>
          <w:rFonts w:cs="Arial"/>
          <w:rtl/>
        </w:rPr>
        <w:t xml:space="preserve"> </w:t>
      </w:r>
      <w:r w:rsidRPr="00C8189C">
        <w:rPr>
          <w:rFonts w:cs="Arial" w:hint="cs"/>
          <w:rtl/>
        </w:rPr>
        <w:t>בה.</w:t>
      </w:r>
      <w:r w:rsidRPr="00C8189C">
        <w:rPr>
          <w:rFonts w:cs="Arial"/>
          <w:rtl/>
        </w:rPr>
        <w:t xml:space="preserve"> </w:t>
      </w:r>
      <w:r w:rsidRPr="00C8189C">
        <w:rPr>
          <w:rFonts w:cs="Arial" w:hint="cs"/>
          <w:rtl/>
        </w:rPr>
        <w:t>מיהו</w:t>
      </w:r>
      <w:r w:rsidRPr="00C8189C">
        <w:rPr>
          <w:rFonts w:cs="Arial"/>
          <w:rtl/>
        </w:rPr>
        <w:t xml:space="preserve"> </w:t>
      </w:r>
      <w:r w:rsidRPr="00C8189C">
        <w:rPr>
          <w:rFonts w:cs="Arial" w:hint="cs"/>
          <w:rtl/>
        </w:rPr>
        <w:t>היינו</w:t>
      </w:r>
      <w:r w:rsidRPr="00C8189C">
        <w:rPr>
          <w:rFonts w:cs="Arial"/>
          <w:rtl/>
        </w:rPr>
        <w:t xml:space="preserve"> </w:t>
      </w:r>
      <w:r w:rsidRPr="00C8189C">
        <w:rPr>
          <w:rFonts w:cs="Arial" w:hint="cs"/>
          <w:rtl/>
        </w:rPr>
        <w:t>מדרבנן</w:t>
      </w:r>
      <w:r w:rsidRPr="00C8189C">
        <w:rPr>
          <w:rFonts w:cs="Arial"/>
          <w:rtl/>
        </w:rPr>
        <w:t xml:space="preserve"> </w:t>
      </w:r>
      <w:r w:rsidRPr="00C8189C">
        <w:rPr>
          <w:rFonts w:cs="Arial" w:hint="cs"/>
          <w:rtl/>
        </w:rPr>
        <w:t>וכמו</w:t>
      </w:r>
      <w:r w:rsidRPr="00C8189C">
        <w:rPr>
          <w:rFonts w:cs="Arial"/>
          <w:rtl/>
        </w:rPr>
        <w:t xml:space="preserve"> </w:t>
      </w:r>
      <w:r w:rsidRPr="00C8189C">
        <w:rPr>
          <w:rFonts w:cs="Arial" w:hint="cs"/>
          <w:rtl/>
        </w:rPr>
        <w:t>שאכתוב</w:t>
      </w:r>
      <w:r w:rsidRPr="00C8189C">
        <w:rPr>
          <w:rFonts w:cs="Arial"/>
          <w:rtl/>
        </w:rPr>
        <w:t xml:space="preserve"> </w:t>
      </w:r>
      <w:r w:rsidRPr="00C8189C">
        <w:rPr>
          <w:rFonts w:cs="Arial" w:hint="cs"/>
          <w:rtl/>
        </w:rPr>
        <w:t>בסימן</w:t>
      </w:r>
      <w:r w:rsidRPr="00C8189C">
        <w:rPr>
          <w:rFonts w:cs="Arial"/>
          <w:rtl/>
        </w:rPr>
        <w:t xml:space="preserve"> </w:t>
      </w:r>
      <w:r w:rsidRPr="00C8189C">
        <w:rPr>
          <w:rFonts w:cs="Arial" w:hint="cs"/>
          <w:rtl/>
        </w:rPr>
        <w:t>שאחר</w:t>
      </w:r>
      <w:r w:rsidRPr="00C8189C">
        <w:rPr>
          <w:rFonts w:cs="Arial"/>
          <w:rtl/>
        </w:rPr>
        <w:t xml:space="preserve"> </w:t>
      </w:r>
      <w:r w:rsidRPr="00C8189C">
        <w:rPr>
          <w:rFonts w:cs="Arial" w:hint="cs"/>
          <w:rtl/>
        </w:rPr>
        <w:t>זה</w:t>
      </w:r>
      <w:r w:rsidRPr="00C8189C">
        <w:rPr>
          <w:rFonts w:cs="Arial"/>
          <w:rtl/>
        </w:rPr>
        <w:t xml:space="preserve"> (</w:t>
      </w:r>
      <w:r w:rsidRPr="00C8189C">
        <w:rPr>
          <w:rFonts w:cs="Arial" w:hint="cs"/>
          <w:rtl/>
        </w:rPr>
        <w:t>כד</w:t>
      </w:r>
      <w:r w:rsidRPr="00C8189C">
        <w:rPr>
          <w:rFonts w:cs="Arial"/>
          <w:rtl/>
        </w:rPr>
        <w:t>:)</w:t>
      </w:r>
      <w:r w:rsidRPr="00C8189C">
        <w:rPr>
          <w:rFonts w:cs="Arial" w:hint="cs"/>
          <w:rtl/>
        </w:rPr>
        <w:t>.</w:t>
      </w:r>
      <w:r>
        <w:rPr>
          <w:rFonts w:hint="cs"/>
          <w:rtl/>
        </w:rPr>
        <w:t xml:space="preserve"> </w:t>
      </w:r>
      <w:r>
        <w:rPr>
          <w:rFonts w:cs="Arial" w:hint="cs"/>
          <w:sz w:val="16"/>
          <w:szCs w:val="16"/>
          <w:rtl/>
        </w:rPr>
        <w:t>(</w:t>
      </w:r>
      <w:r w:rsidRPr="00E60E2C">
        <w:rPr>
          <w:rFonts w:cs="Arial" w:hint="cs"/>
          <w:sz w:val="16"/>
          <w:szCs w:val="16"/>
          <w:rtl/>
        </w:rPr>
        <w:t>אך</w:t>
      </w:r>
      <w:r w:rsidRPr="00E60E2C">
        <w:rPr>
          <w:rFonts w:cs="Arial"/>
          <w:sz w:val="16"/>
          <w:szCs w:val="16"/>
          <w:rtl/>
        </w:rPr>
        <w:t xml:space="preserve"> </w:t>
      </w:r>
      <w:r w:rsidRPr="00E60E2C">
        <w:rPr>
          <w:rFonts w:cs="Arial" w:hint="cs"/>
          <w:sz w:val="16"/>
          <w:szCs w:val="16"/>
          <w:rtl/>
        </w:rPr>
        <w:t>יש</w:t>
      </w:r>
      <w:r w:rsidRPr="00E60E2C">
        <w:rPr>
          <w:rFonts w:cs="Arial"/>
          <w:sz w:val="16"/>
          <w:szCs w:val="16"/>
          <w:rtl/>
        </w:rPr>
        <w:t xml:space="preserve"> </w:t>
      </w:r>
      <w:r w:rsidRPr="00E60E2C">
        <w:rPr>
          <w:rFonts w:cs="Arial" w:hint="cs"/>
          <w:sz w:val="16"/>
          <w:szCs w:val="16"/>
          <w:rtl/>
        </w:rPr>
        <w:t>לדקדק</w:t>
      </w:r>
      <w:r w:rsidRPr="00E60E2C">
        <w:rPr>
          <w:rFonts w:cs="Arial"/>
          <w:sz w:val="16"/>
          <w:szCs w:val="16"/>
          <w:rtl/>
        </w:rPr>
        <w:t xml:space="preserve"> </w:t>
      </w:r>
      <w:r w:rsidRPr="00E60E2C">
        <w:rPr>
          <w:rFonts w:cs="Arial" w:hint="cs"/>
          <w:sz w:val="16"/>
          <w:szCs w:val="16"/>
          <w:rtl/>
        </w:rPr>
        <w:t>דבשלמא</w:t>
      </w:r>
      <w:r w:rsidRPr="00E60E2C">
        <w:rPr>
          <w:rFonts w:cs="Arial"/>
          <w:sz w:val="16"/>
          <w:szCs w:val="16"/>
          <w:rtl/>
        </w:rPr>
        <w:t xml:space="preserve"> </w:t>
      </w:r>
      <w:r w:rsidRPr="00E60E2C">
        <w:rPr>
          <w:rFonts w:cs="Arial" w:hint="cs"/>
          <w:sz w:val="16"/>
          <w:szCs w:val="16"/>
          <w:rtl/>
        </w:rPr>
        <w:t>בשינה</w:t>
      </w:r>
      <w:r w:rsidRPr="00E60E2C">
        <w:rPr>
          <w:rFonts w:cs="Arial"/>
          <w:sz w:val="16"/>
          <w:szCs w:val="16"/>
          <w:rtl/>
        </w:rPr>
        <w:t xml:space="preserve"> </w:t>
      </w:r>
      <w:r w:rsidRPr="00E60E2C">
        <w:rPr>
          <w:rFonts w:cs="Arial" w:hint="cs"/>
          <w:sz w:val="16"/>
          <w:szCs w:val="16"/>
          <w:rtl/>
        </w:rPr>
        <w:t>שמו</w:t>
      </w:r>
      <w:r w:rsidRPr="00E60E2C">
        <w:rPr>
          <w:rFonts w:cs="Arial"/>
          <w:sz w:val="16"/>
          <w:szCs w:val="16"/>
          <w:rtl/>
        </w:rPr>
        <w:t xml:space="preserve"> </w:t>
      </w:r>
      <w:r w:rsidRPr="00E60E2C">
        <w:rPr>
          <w:rFonts w:cs="Arial" w:hint="cs"/>
          <w:sz w:val="16"/>
          <w:szCs w:val="16"/>
          <w:rtl/>
        </w:rPr>
        <w:t>ושמה,</w:t>
      </w:r>
      <w:r w:rsidRPr="00E60E2C">
        <w:rPr>
          <w:rFonts w:cs="Arial"/>
          <w:sz w:val="16"/>
          <w:szCs w:val="16"/>
          <w:rtl/>
        </w:rPr>
        <w:t xml:space="preserve"> </w:t>
      </w:r>
      <w:r w:rsidRPr="00E60E2C">
        <w:rPr>
          <w:rFonts w:cs="Arial" w:hint="cs"/>
          <w:sz w:val="16"/>
          <w:szCs w:val="16"/>
          <w:rtl/>
        </w:rPr>
        <w:t>דמפרש</w:t>
      </w:r>
      <w:r w:rsidRPr="00E60E2C">
        <w:rPr>
          <w:rFonts w:cs="Arial"/>
          <w:sz w:val="16"/>
          <w:szCs w:val="16"/>
          <w:rtl/>
        </w:rPr>
        <w:t xml:space="preserve"> </w:t>
      </w:r>
      <w:r w:rsidRPr="00E60E2C">
        <w:rPr>
          <w:rFonts w:cs="Arial" w:hint="cs"/>
          <w:sz w:val="16"/>
          <w:szCs w:val="16"/>
          <w:rtl/>
        </w:rPr>
        <w:t>התם</w:t>
      </w:r>
      <w:r w:rsidRPr="00E60E2C">
        <w:rPr>
          <w:rFonts w:cs="Arial"/>
          <w:sz w:val="16"/>
          <w:szCs w:val="16"/>
          <w:rtl/>
        </w:rPr>
        <w:t xml:space="preserve"> </w:t>
      </w:r>
      <w:r w:rsidRPr="00E60E2C">
        <w:rPr>
          <w:rFonts w:cs="Arial" w:hint="cs"/>
          <w:sz w:val="16"/>
          <w:szCs w:val="16"/>
          <w:rtl/>
        </w:rPr>
        <w:t>דכתב</w:t>
      </w:r>
      <w:r w:rsidRPr="00E60E2C">
        <w:rPr>
          <w:rFonts w:cs="Arial"/>
          <w:sz w:val="16"/>
          <w:szCs w:val="16"/>
          <w:rtl/>
        </w:rPr>
        <w:t xml:space="preserve"> </w:t>
      </w:r>
      <w:r w:rsidRPr="00E60E2C">
        <w:rPr>
          <w:rFonts w:cs="Arial" w:hint="cs"/>
          <w:sz w:val="16"/>
          <w:szCs w:val="16"/>
          <w:rtl/>
        </w:rPr>
        <w:t>שם</w:t>
      </w:r>
      <w:r w:rsidRPr="00E60E2C">
        <w:rPr>
          <w:rFonts w:cs="Arial"/>
          <w:sz w:val="16"/>
          <w:szCs w:val="16"/>
          <w:rtl/>
        </w:rPr>
        <w:t xml:space="preserve"> </w:t>
      </w:r>
      <w:r w:rsidRPr="00E60E2C">
        <w:rPr>
          <w:rFonts w:cs="Arial" w:hint="cs"/>
          <w:sz w:val="16"/>
          <w:szCs w:val="16"/>
          <w:rtl/>
        </w:rPr>
        <w:t>מקום</w:t>
      </w:r>
      <w:r w:rsidRPr="00E60E2C">
        <w:rPr>
          <w:rFonts w:cs="Arial"/>
          <w:sz w:val="16"/>
          <w:szCs w:val="16"/>
          <w:rtl/>
        </w:rPr>
        <w:t xml:space="preserve"> </w:t>
      </w:r>
      <w:r w:rsidRPr="00E60E2C">
        <w:rPr>
          <w:rFonts w:cs="Arial" w:hint="cs"/>
          <w:sz w:val="16"/>
          <w:szCs w:val="16"/>
          <w:rtl/>
        </w:rPr>
        <w:t>הנתינה</w:t>
      </w:r>
      <w:r w:rsidRPr="00E60E2C">
        <w:rPr>
          <w:rFonts w:cs="Arial"/>
          <w:sz w:val="16"/>
          <w:szCs w:val="16"/>
          <w:rtl/>
        </w:rPr>
        <w:t xml:space="preserve"> </w:t>
      </w:r>
      <w:r w:rsidRPr="00E60E2C">
        <w:rPr>
          <w:rFonts w:cs="Arial" w:hint="cs"/>
          <w:sz w:val="16"/>
          <w:szCs w:val="16"/>
          <w:rtl/>
        </w:rPr>
        <w:t>ולא</w:t>
      </w:r>
      <w:r w:rsidRPr="00E60E2C">
        <w:rPr>
          <w:rFonts w:cs="Arial"/>
          <w:sz w:val="16"/>
          <w:szCs w:val="16"/>
          <w:rtl/>
        </w:rPr>
        <w:t xml:space="preserve"> </w:t>
      </w:r>
      <w:r w:rsidRPr="00E60E2C">
        <w:rPr>
          <w:rFonts w:cs="Arial" w:hint="cs"/>
          <w:sz w:val="16"/>
          <w:szCs w:val="16"/>
          <w:rtl/>
        </w:rPr>
        <w:t>שם</w:t>
      </w:r>
      <w:r w:rsidRPr="00E60E2C">
        <w:rPr>
          <w:rFonts w:cs="Arial"/>
          <w:sz w:val="16"/>
          <w:szCs w:val="16"/>
          <w:rtl/>
        </w:rPr>
        <w:t xml:space="preserve"> </w:t>
      </w:r>
      <w:r w:rsidRPr="00E60E2C">
        <w:rPr>
          <w:rFonts w:cs="Arial" w:hint="cs"/>
          <w:sz w:val="16"/>
          <w:szCs w:val="16"/>
          <w:rtl/>
        </w:rPr>
        <w:t>דמקום</w:t>
      </w:r>
      <w:r w:rsidRPr="00E60E2C">
        <w:rPr>
          <w:rFonts w:cs="Arial"/>
          <w:sz w:val="16"/>
          <w:szCs w:val="16"/>
          <w:rtl/>
        </w:rPr>
        <w:t xml:space="preserve"> </w:t>
      </w:r>
      <w:r w:rsidRPr="00E60E2C">
        <w:rPr>
          <w:rFonts w:cs="Arial" w:hint="cs"/>
          <w:sz w:val="16"/>
          <w:szCs w:val="16"/>
          <w:rtl/>
        </w:rPr>
        <w:t>כתיבה</w:t>
      </w:r>
      <w:r w:rsidRPr="00E60E2C">
        <w:rPr>
          <w:rFonts w:cs="Arial"/>
          <w:sz w:val="16"/>
          <w:szCs w:val="16"/>
          <w:rtl/>
        </w:rPr>
        <w:t xml:space="preserve"> </w:t>
      </w:r>
      <w:r w:rsidRPr="00E60E2C">
        <w:rPr>
          <w:rFonts w:cs="Arial" w:hint="cs"/>
          <w:sz w:val="16"/>
          <w:szCs w:val="16"/>
          <w:rtl/>
        </w:rPr>
        <w:t>או</w:t>
      </w:r>
      <w:r w:rsidRPr="00E60E2C">
        <w:rPr>
          <w:rFonts w:cs="Arial"/>
          <w:sz w:val="16"/>
          <w:szCs w:val="16"/>
          <w:rtl/>
        </w:rPr>
        <w:t xml:space="preserve"> </w:t>
      </w:r>
      <w:r w:rsidRPr="00E60E2C">
        <w:rPr>
          <w:rFonts w:cs="Arial" w:hint="cs"/>
          <w:sz w:val="16"/>
          <w:szCs w:val="16"/>
          <w:rtl/>
        </w:rPr>
        <w:t>איפכא,</w:t>
      </w:r>
      <w:r w:rsidRPr="00E60E2C">
        <w:rPr>
          <w:rFonts w:cs="Arial"/>
          <w:sz w:val="16"/>
          <w:szCs w:val="16"/>
          <w:rtl/>
        </w:rPr>
        <w:t xml:space="preserve"> </w:t>
      </w:r>
      <w:r w:rsidRPr="00E60E2C">
        <w:rPr>
          <w:rFonts w:cs="Arial" w:hint="cs"/>
          <w:sz w:val="16"/>
          <w:szCs w:val="16"/>
          <w:rtl/>
        </w:rPr>
        <w:t>איכא</w:t>
      </w:r>
      <w:r w:rsidRPr="00E60E2C">
        <w:rPr>
          <w:rFonts w:cs="Arial"/>
          <w:sz w:val="16"/>
          <w:szCs w:val="16"/>
          <w:rtl/>
        </w:rPr>
        <w:t xml:space="preserve"> </w:t>
      </w:r>
      <w:r w:rsidRPr="00E60E2C">
        <w:rPr>
          <w:rFonts w:cs="Arial" w:hint="cs"/>
          <w:sz w:val="16"/>
          <w:szCs w:val="16"/>
          <w:rtl/>
        </w:rPr>
        <w:t>למיחש</w:t>
      </w:r>
      <w:r w:rsidRPr="00E60E2C">
        <w:rPr>
          <w:rFonts w:cs="Arial"/>
          <w:sz w:val="16"/>
          <w:szCs w:val="16"/>
          <w:rtl/>
        </w:rPr>
        <w:t xml:space="preserve"> </w:t>
      </w:r>
      <w:r w:rsidRPr="00E60E2C">
        <w:rPr>
          <w:rFonts w:cs="Arial" w:hint="cs"/>
          <w:sz w:val="16"/>
          <w:szCs w:val="16"/>
          <w:rtl/>
        </w:rPr>
        <w:t>לקלקולא</w:t>
      </w:r>
      <w:r w:rsidRPr="00E60E2C">
        <w:rPr>
          <w:rFonts w:cs="Arial"/>
          <w:sz w:val="16"/>
          <w:szCs w:val="16"/>
          <w:rtl/>
        </w:rPr>
        <w:t xml:space="preserve"> </w:t>
      </w:r>
      <w:r w:rsidRPr="00E60E2C">
        <w:rPr>
          <w:rFonts w:cs="Arial" w:hint="cs"/>
          <w:sz w:val="16"/>
          <w:szCs w:val="16"/>
          <w:rtl/>
        </w:rPr>
        <w:t>כמו</w:t>
      </w:r>
      <w:r w:rsidRPr="00E60E2C">
        <w:rPr>
          <w:rFonts w:cs="Arial"/>
          <w:sz w:val="16"/>
          <w:szCs w:val="16"/>
          <w:rtl/>
        </w:rPr>
        <w:t xml:space="preserve"> </w:t>
      </w:r>
      <w:r w:rsidRPr="00E60E2C">
        <w:rPr>
          <w:rFonts w:cs="Arial" w:hint="cs"/>
          <w:sz w:val="16"/>
          <w:szCs w:val="16"/>
          <w:rtl/>
        </w:rPr>
        <w:t>שכתב</w:t>
      </w:r>
      <w:r w:rsidRPr="00E60E2C">
        <w:rPr>
          <w:rFonts w:cs="Arial"/>
          <w:sz w:val="16"/>
          <w:szCs w:val="16"/>
          <w:rtl/>
        </w:rPr>
        <w:t xml:space="preserve"> </w:t>
      </w:r>
      <w:r w:rsidRPr="00E60E2C">
        <w:rPr>
          <w:rFonts w:cs="Arial" w:hint="cs"/>
          <w:sz w:val="16"/>
          <w:szCs w:val="16"/>
          <w:rtl/>
        </w:rPr>
        <w:t>הרא</w:t>
      </w:r>
      <w:r w:rsidRPr="00E60E2C">
        <w:rPr>
          <w:rFonts w:cs="Arial"/>
          <w:sz w:val="16"/>
          <w:szCs w:val="16"/>
          <w:rtl/>
        </w:rPr>
        <w:t>"</w:t>
      </w:r>
      <w:r w:rsidRPr="00E60E2C">
        <w:rPr>
          <w:rFonts w:cs="Arial" w:hint="cs"/>
          <w:sz w:val="16"/>
          <w:szCs w:val="16"/>
          <w:rtl/>
        </w:rPr>
        <w:t>ש.</w:t>
      </w:r>
      <w:r w:rsidRPr="00E60E2C">
        <w:rPr>
          <w:rFonts w:cs="Arial"/>
          <w:sz w:val="16"/>
          <w:szCs w:val="16"/>
          <w:rtl/>
        </w:rPr>
        <w:t xml:space="preserve"> </w:t>
      </w:r>
      <w:r w:rsidRPr="00E60E2C">
        <w:rPr>
          <w:rFonts w:cs="Arial" w:hint="cs"/>
          <w:sz w:val="16"/>
          <w:szCs w:val="16"/>
          <w:rtl/>
        </w:rPr>
        <w:t>אבל</w:t>
      </w:r>
      <w:r w:rsidRPr="00E60E2C">
        <w:rPr>
          <w:rFonts w:cs="Arial"/>
          <w:sz w:val="16"/>
          <w:szCs w:val="16"/>
          <w:rtl/>
        </w:rPr>
        <w:t xml:space="preserve"> </w:t>
      </w:r>
      <w:r w:rsidRPr="00E60E2C">
        <w:rPr>
          <w:rFonts w:cs="Arial" w:hint="cs"/>
          <w:sz w:val="16"/>
          <w:szCs w:val="16"/>
          <w:rtl/>
        </w:rPr>
        <w:t>כשכותב</w:t>
      </w:r>
      <w:r w:rsidRPr="00E60E2C">
        <w:rPr>
          <w:rFonts w:cs="Arial"/>
          <w:sz w:val="16"/>
          <w:szCs w:val="16"/>
          <w:rtl/>
        </w:rPr>
        <w:t xml:space="preserve"> </w:t>
      </w:r>
      <w:r w:rsidRPr="00E60E2C">
        <w:rPr>
          <w:rFonts w:cs="Arial" w:hint="cs"/>
          <w:sz w:val="16"/>
          <w:szCs w:val="16"/>
          <w:rtl/>
        </w:rPr>
        <w:t>'בגליל</w:t>
      </w:r>
      <w:r w:rsidRPr="00E60E2C">
        <w:rPr>
          <w:rFonts w:cs="Arial"/>
          <w:sz w:val="16"/>
          <w:szCs w:val="16"/>
          <w:rtl/>
        </w:rPr>
        <w:t xml:space="preserve"> </w:t>
      </w:r>
      <w:r w:rsidRPr="00E60E2C">
        <w:rPr>
          <w:rFonts w:cs="Arial" w:hint="cs"/>
          <w:sz w:val="16"/>
          <w:szCs w:val="16"/>
          <w:rtl/>
        </w:rPr>
        <w:t>מתא</w:t>
      </w:r>
      <w:r w:rsidRPr="00E60E2C">
        <w:rPr>
          <w:rFonts w:cs="Arial"/>
          <w:sz w:val="16"/>
          <w:szCs w:val="16"/>
          <w:rtl/>
        </w:rPr>
        <w:t xml:space="preserve"> </w:t>
      </w:r>
      <w:r w:rsidRPr="00E60E2C">
        <w:rPr>
          <w:rFonts w:cs="Arial" w:hint="cs"/>
          <w:sz w:val="16"/>
          <w:szCs w:val="16"/>
          <w:rtl/>
        </w:rPr>
        <w:t>אנא</w:t>
      </w:r>
      <w:r w:rsidRPr="00E60E2C">
        <w:rPr>
          <w:rFonts w:cs="Arial"/>
          <w:sz w:val="16"/>
          <w:szCs w:val="16"/>
          <w:rtl/>
        </w:rPr>
        <w:t xml:space="preserve"> </w:t>
      </w:r>
      <w:r w:rsidRPr="00E60E2C">
        <w:rPr>
          <w:rFonts w:cs="Arial" w:hint="cs"/>
          <w:sz w:val="16"/>
          <w:szCs w:val="16"/>
          <w:rtl/>
        </w:rPr>
        <w:t>פלוני'</w:t>
      </w:r>
      <w:r w:rsidRPr="00E60E2C">
        <w:rPr>
          <w:rFonts w:cs="Arial"/>
          <w:sz w:val="16"/>
          <w:szCs w:val="16"/>
          <w:rtl/>
        </w:rPr>
        <w:t xml:space="preserve"> </w:t>
      </w:r>
      <w:r w:rsidRPr="00E60E2C">
        <w:rPr>
          <w:rFonts w:cs="Arial" w:hint="cs"/>
          <w:sz w:val="16"/>
          <w:szCs w:val="16"/>
          <w:rtl/>
        </w:rPr>
        <w:t>ולא</w:t>
      </w:r>
      <w:r w:rsidRPr="00E60E2C">
        <w:rPr>
          <w:rFonts w:cs="Arial"/>
          <w:sz w:val="16"/>
          <w:szCs w:val="16"/>
          <w:rtl/>
        </w:rPr>
        <w:t xml:space="preserve"> </w:t>
      </w:r>
      <w:r w:rsidRPr="00E60E2C">
        <w:rPr>
          <w:rFonts w:cs="Arial" w:hint="cs"/>
          <w:sz w:val="16"/>
          <w:szCs w:val="16"/>
          <w:rtl/>
        </w:rPr>
        <w:t>כתב</w:t>
      </w:r>
      <w:r w:rsidRPr="00E60E2C">
        <w:rPr>
          <w:rFonts w:cs="Arial"/>
          <w:sz w:val="16"/>
          <w:szCs w:val="16"/>
          <w:rtl/>
        </w:rPr>
        <w:t xml:space="preserve"> </w:t>
      </w:r>
      <w:r w:rsidRPr="00E60E2C">
        <w:rPr>
          <w:rFonts w:cs="Arial" w:hint="cs"/>
          <w:sz w:val="16"/>
          <w:szCs w:val="16"/>
          <w:rtl/>
        </w:rPr>
        <w:t>שם</w:t>
      </w:r>
      <w:r w:rsidRPr="00E60E2C">
        <w:rPr>
          <w:rFonts w:cs="Arial"/>
          <w:sz w:val="16"/>
          <w:szCs w:val="16"/>
          <w:rtl/>
        </w:rPr>
        <w:t xml:space="preserve"> </w:t>
      </w:r>
      <w:r w:rsidRPr="00E60E2C">
        <w:rPr>
          <w:rFonts w:cs="Arial" w:hint="cs"/>
          <w:sz w:val="16"/>
          <w:szCs w:val="16"/>
          <w:rtl/>
        </w:rPr>
        <w:t>עירו,</w:t>
      </w:r>
      <w:r w:rsidRPr="00E60E2C">
        <w:rPr>
          <w:rFonts w:cs="Arial"/>
          <w:sz w:val="16"/>
          <w:szCs w:val="16"/>
          <w:rtl/>
        </w:rPr>
        <w:t xml:space="preserve"> </w:t>
      </w:r>
      <w:r w:rsidRPr="00E60E2C">
        <w:rPr>
          <w:rFonts w:cs="Arial" w:hint="cs"/>
          <w:sz w:val="16"/>
          <w:szCs w:val="16"/>
          <w:rtl/>
        </w:rPr>
        <w:t>או</w:t>
      </w:r>
      <w:r w:rsidRPr="00E60E2C">
        <w:rPr>
          <w:rFonts w:cs="Arial"/>
          <w:sz w:val="16"/>
          <w:szCs w:val="16"/>
          <w:rtl/>
        </w:rPr>
        <w:t xml:space="preserve"> </w:t>
      </w:r>
      <w:r w:rsidRPr="00E60E2C">
        <w:rPr>
          <w:rFonts w:cs="Arial" w:hint="cs"/>
          <w:sz w:val="16"/>
          <w:szCs w:val="16"/>
          <w:rtl/>
        </w:rPr>
        <w:t>שכתב</w:t>
      </w:r>
      <w:r w:rsidRPr="00E60E2C">
        <w:rPr>
          <w:rFonts w:cs="Arial"/>
          <w:sz w:val="16"/>
          <w:szCs w:val="16"/>
          <w:rtl/>
        </w:rPr>
        <w:t xml:space="preserve"> </w:t>
      </w:r>
      <w:r w:rsidRPr="00E60E2C">
        <w:rPr>
          <w:rFonts w:cs="Arial" w:hint="cs"/>
          <w:sz w:val="16"/>
          <w:szCs w:val="16"/>
          <w:rtl/>
        </w:rPr>
        <w:t>'אנא</w:t>
      </w:r>
      <w:r w:rsidRPr="00E60E2C">
        <w:rPr>
          <w:rFonts w:cs="Arial"/>
          <w:sz w:val="16"/>
          <w:szCs w:val="16"/>
          <w:rtl/>
        </w:rPr>
        <w:t xml:space="preserve"> </w:t>
      </w:r>
      <w:r w:rsidRPr="00E60E2C">
        <w:rPr>
          <w:rFonts w:cs="Arial" w:hint="cs"/>
          <w:sz w:val="16"/>
          <w:szCs w:val="16"/>
          <w:rtl/>
        </w:rPr>
        <w:t>פלוני</w:t>
      </w:r>
      <w:r w:rsidRPr="00E60E2C">
        <w:rPr>
          <w:rFonts w:cs="Arial"/>
          <w:sz w:val="16"/>
          <w:szCs w:val="16"/>
          <w:rtl/>
        </w:rPr>
        <w:t xml:space="preserve"> </w:t>
      </w:r>
      <w:r w:rsidRPr="00E60E2C">
        <w:rPr>
          <w:rFonts w:cs="Arial" w:hint="cs"/>
          <w:sz w:val="16"/>
          <w:szCs w:val="16"/>
          <w:rtl/>
        </w:rPr>
        <w:t>דממקום</w:t>
      </w:r>
      <w:r w:rsidRPr="00E60E2C">
        <w:rPr>
          <w:rFonts w:cs="Arial"/>
          <w:sz w:val="16"/>
          <w:szCs w:val="16"/>
          <w:rtl/>
        </w:rPr>
        <w:t xml:space="preserve"> </w:t>
      </w:r>
      <w:r w:rsidRPr="00E60E2C">
        <w:rPr>
          <w:rFonts w:cs="Arial" w:hint="cs"/>
          <w:sz w:val="16"/>
          <w:szCs w:val="16"/>
          <w:rtl/>
        </w:rPr>
        <w:t>פלוני'</w:t>
      </w:r>
      <w:r w:rsidRPr="00E60E2C">
        <w:rPr>
          <w:rFonts w:cs="Arial"/>
          <w:sz w:val="16"/>
          <w:szCs w:val="16"/>
          <w:rtl/>
        </w:rPr>
        <w:t xml:space="preserve"> </w:t>
      </w:r>
      <w:r w:rsidRPr="00E60E2C">
        <w:rPr>
          <w:rFonts w:cs="Arial" w:hint="cs"/>
          <w:sz w:val="16"/>
          <w:szCs w:val="16"/>
          <w:rtl/>
        </w:rPr>
        <w:t>ולא</w:t>
      </w:r>
      <w:r w:rsidRPr="00E60E2C">
        <w:rPr>
          <w:rFonts w:cs="Arial"/>
          <w:sz w:val="16"/>
          <w:szCs w:val="16"/>
          <w:rtl/>
        </w:rPr>
        <w:t xml:space="preserve"> </w:t>
      </w:r>
      <w:r w:rsidRPr="00E60E2C">
        <w:rPr>
          <w:rFonts w:cs="Arial" w:hint="cs"/>
          <w:sz w:val="16"/>
          <w:szCs w:val="16"/>
          <w:rtl/>
        </w:rPr>
        <w:t>כתב</w:t>
      </w:r>
      <w:r w:rsidRPr="00E60E2C">
        <w:rPr>
          <w:rFonts w:cs="Arial"/>
          <w:sz w:val="16"/>
          <w:szCs w:val="16"/>
          <w:rtl/>
        </w:rPr>
        <w:t xml:space="preserve"> </w:t>
      </w:r>
      <w:r w:rsidRPr="00E60E2C">
        <w:rPr>
          <w:rFonts w:cs="Arial" w:hint="cs"/>
          <w:sz w:val="16"/>
          <w:szCs w:val="16"/>
          <w:rtl/>
        </w:rPr>
        <w:t>בגליל</w:t>
      </w:r>
      <w:r w:rsidRPr="00E60E2C">
        <w:rPr>
          <w:rFonts w:cs="Arial"/>
          <w:sz w:val="16"/>
          <w:szCs w:val="16"/>
          <w:rtl/>
        </w:rPr>
        <w:t xml:space="preserve"> </w:t>
      </w:r>
      <w:r w:rsidRPr="00E60E2C">
        <w:rPr>
          <w:rFonts w:cs="Arial" w:hint="cs"/>
          <w:sz w:val="16"/>
          <w:szCs w:val="16"/>
          <w:rtl/>
        </w:rPr>
        <w:t>מתא,</w:t>
      </w:r>
      <w:r w:rsidRPr="00E60E2C">
        <w:rPr>
          <w:rFonts w:cs="Arial"/>
          <w:sz w:val="16"/>
          <w:szCs w:val="16"/>
          <w:rtl/>
        </w:rPr>
        <w:t xml:space="preserve"> </w:t>
      </w:r>
      <w:r w:rsidRPr="00E60E2C">
        <w:rPr>
          <w:rFonts w:cs="Arial" w:hint="cs"/>
          <w:sz w:val="16"/>
          <w:szCs w:val="16"/>
          <w:rtl/>
        </w:rPr>
        <w:t>כיון</w:t>
      </w:r>
      <w:r w:rsidRPr="00E60E2C">
        <w:rPr>
          <w:rFonts w:cs="Arial"/>
          <w:sz w:val="16"/>
          <w:szCs w:val="16"/>
          <w:rtl/>
        </w:rPr>
        <w:t xml:space="preserve"> </w:t>
      </w:r>
      <w:r w:rsidRPr="00E60E2C">
        <w:rPr>
          <w:rFonts w:cs="Arial" w:hint="cs"/>
          <w:sz w:val="16"/>
          <w:szCs w:val="16"/>
          <w:rtl/>
        </w:rPr>
        <w:t>דלא</w:t>
      </w:r>
      <w:r w:rsidRPr="00E60E2C">
        <w:rPr>
          <w:rFonts w:cs="Arial"/>
          <w:sz w:val="16"/>
          <w:szCs w:val="16"/>
          <w:rtl/>
        </w:rPr>
        <w:t xml:space="preserve"> </w:t>
      </w:r>
      <w:r w:rsidRPr="00E60E2C">
        <w:rPr>
          <w:rFonts w:cs="Arial" w:hint="cs"/>
          <w:sz w:val="16"/>
          <w:szCs w:val="16"/>
          <w:rtl/>
        </w:rPr>
        <w:t>שייך</w:t>
      </w:r>
      <w:r w:rsidRPr="00E60E2C">
        <w:rPr>
          <w:rFonts w:cs="Arial"/>
          <w:sz w:val="16"/>
          <w:szCs w:val="16"/>
          <w:rtl/>
        </w:rPr>
        <w:t xml:space="preserve"> </w:t>
      </w:r>
      <w:r w:rsidRPr="00E60E2C">
        <w:rPr>
          <w:rFonts w:cs="Arial" w:hint="cs"/>
          <w:sz w:val="16"/>
          <w:szCs w:val="16"/>
          <w:rtl/>
        </w:rPr>
        <w:t>קלקולא</w:t>
      </w:r>
      <w:r w:rsidRPr="00E60E2C">
        <w:rPr>
          <w:rFonts w:cs="Arial"/>
          <w:sz w:val="16"/>
          <w:szCs w:val="16"/>
          <w:rtl/>
        </w:rPr>
        <w:t xml:space="preserve"> </w:t>
      </w:r>
      <w:r w:rsidRPr="00E60E2C">
        <w:rPr>
          <w:rFonts w:cs="Arial" w:hint="cs"/>
          <w:sz w:val="16"/>
          <w:szCs w:val="16"/>
          <w:rtl/>
        </w:rPr>
        <w:t>אמאי</w:t>
      </w:r>
      <w:r w:rsidRPr="00E60E2C">
        <w:rPr>
          <w:rFonts w:cs="Arial"/>
          <w:sz w:val="16"/>
          <w:szCs w:val="16"/>
          <w:rtl/>
        </w:rPr>
        <w:t xml:space="preserve"> </w:t>
      </w:r>
      <w:r w:rsidRPr="00E60E2C">
        <w:rPr>
          <w:rFonts w:cs="Arial" w:hint="cs"/>
          <w:sz w:val="16"/>
          <w:szCs w:val="16"/>
          <w:rtl/>
        </w:rPr>
        <w:t>תצא</w:t>
      </w:r>
      <w:r w:rsidRPr="00E60E2C">
        <w:rPr>
          <w:rFonts w:cs="Arial"/>
          <w:sz w:val="16"/>
          <w:szCs w:val="16"/>
          <w:rtl/>
        </w:rPr>
        <w:t xml:space="preserve"> </w:t>
      </w:r>
      <w:r w:rsidRPr="00E60E2C">
        <w:rPr>
          <w:rFonts w:cs="Arial" w:hint="cs"/>
          <w:sz w:val="16"/>
          <w:szCs w:val="16"/>
          <w:rtl/>
        </w:rPr>
        <w:t>מזה</w:t>
      </w:r>
      <w:r w:rsidRPr="00E60E2C">
        <w:rPr>
          <w:rFonts w:cs="Arial"/>
          <w:sz w:val="16"/>
          <w:szCs w:val="16"/>
          <w:rtl/>
        </w:rPr>
        <w:t xml:space="preserve"> </w:t>
      </w:r>
      <w:r w:rsidRPr="00E60E2C">
        <w:rPr>
          <w:rFonts w:cs="Arial" w:hint="cs"/>
          <w:sz w:val="16"/>
          <w:szCs w:val="16"/>
          <w:rtl/>
        </w:rPr>
        <w:t>ומזה</w:t>
      </w:r>
      <w:r w:rsidRPr="00E60E2C">
        <w:rPr>
          <w:rFonts w:cs="Arial"/>
          <w:sz w:val="16"/>
          <w:szCs w:val="16"/>
          <w:rtl/>
        </w:rPr>
        <w:t xml:space="preserve"> </w:t>
      </w:r>
      <w:r w:rsidRPr="00E60E2C">
        <w:rPr>
          <w:rFonts w:cs="Arial" w:hint="cs"/>
          <w:sz w:val="16"/>
          <w:szCs w:val="16"/>
          <w:rtl/>
        </w:rPr>
        <w:t>וכו</w:t>
      </w:r>
      <w:r w:rsidRPr="00E60E2C">
        <w:rPr>
          <w:rFonts w:cs="Arial"/>
          <w:sz w:val="16"/>
          <w:szCs w:val="16"/>
          <w:rtl/>
        </w:rPr>
        <w:t xml:space="preserve">'. </w:t>
      </w:r>
      <w:r w:rsidRPr="00E60E2C">
        <w:rPr>
          <w:rFonts w:cs="Arial" w:hint="cs"/>
          <w:sz w:val="16"/>
          <w:szCs w:val="16"/>
          <w:rtl/>
        </w:rPr>
        <w:t>ואפשר</w:t>
      </w:r>
      <w:r w:rsidRPr="00E60E2C">
        <w:rPr>
          <w:rFonts w:cs="Arial"/>
          <w:sz w:val="16"/>
          <w:szCs w:val="16"/>
          <w:rtl/>
        </w:rPr>
        <w:t xml:space="preserve"> </w:t>
      </w:r>
      <w:r w:rsidRPr="00E60E2C">
        <w:rPr>
          <w:rFonts w:cs="Arial" w:hint="cs"/>
          <w:sz w:val="16"/>
          <w:szCs w:val="16"/>
          <w:rtl/>
        </w:rPr>
        <w:t>דמשום</w:t>
      </w:r>
      <w:r w:rsidRPr="00E60E2C">
        <w:rPr>
          <w:rFonts w:cs="Arial"/>
          <w:sz w:val="16"/>
          <w:szCs w:val="16"/>
          <w:rtl/>
        </w:rPr>
        <w:t xml:space="preserve"> </w:t>
      </w:r>
      <w:r w:rsidRPr="00E60E2C">
        <w:rPr>
          <w:rFonts w:cs="Arial" w:hint="cs"/>
          <w:sz w:val="16"/>
          <w:szCs w:val="16"/>
          <w:rtl/>
        </w:rPr>
        <w:t>דדמי</w:t>
      </w:r>
      <w:r w:rsidRPr="00E60E2C">
        <w:rPr>
          <w:rFonts w:cs="Arial"/>
          <w:sz w:val="16"/>
          <w:szCs w:val="16"/>
          <w:rtl/>
        </w:rPr>
        <w:t xml:space="preserve"> </w:t>
      </w:r>
      <w:r w:rsidRPr="00E60E2C">
        <w:rPr>
          <w:rFonts w:cs="Arial" w:hint="cs"/>
          <w:sz w:val="16"/>
          <w:szCs w:val="16"/>
          <w:rtl/>
        </w:rPr>
        <w:t>לשינה</w:t>
      </w:r>
      <w:r w:rsidRPr="00E60E2C">
        <w:rPr>
          <w:rFonts w:cs="Arial"/>
          <w:sz w:val="16"/>
          <w:szCs w:val="16"/>
          <w:rtl/>
        </w:rPr>
        <w:t xml:space="preserve"> </w:t>
      </w:r>
      <w:r w:rsidRPr="00E60E2C">
        <w:rPr>
          <w:rFonts w:cs="Arial" w:hint="cs"/>
          <w:sz w:val="16"/>
          <w:szCs w:val="16"/>
          <w:rtl/>
        </w:rPr>
        <w:t>שמו</w:t>
      </w:r>
      <w:r w:rsidRPr="00E60E2C">
        <w:rPr>
          <w:rFonts w:cs="Arial"/>
          <w:sz w:val="16"/>
          <w:szCs w:val="16"/>
          <w:rtl/>
        </w:rPr>
        <w:t xml:space="preserve"> </w:t>
      </w:r>
      <w:r w:rsidRPr="00E60E2C">
        <w:rPr>
          <w:rFonts w:cs="Arial" w:hint="cs"/>
          <w:sz w:val="16"/>
          <w:szCs w:val="16"/>
          <w:rtl/>
        </w:rPr>
        <w:t>ראו</w:t>
      </w:r>
      <w:r w:rsidRPr="00E60E2C">
        <w:rPr>
          <w:rFonts w:cs="Arial"/>
          <w:sz w:val="16"/>
          <w:szCs w:val="16"/>
          <w:rtl/>
        </w:rPr>
        <w:t xml:space="preserve"> </w:t>
      </w:r>
      <w:r w:rsidRPr="00E60E2C">
        <w:rPr>
          <w:rFonts w:cs="Arial" w:hint="cs"/>
          <w:sz w:val="16"/>
          <w:szCs w:val="16"/>
          <w:rtl/>
        </w:rPr>
        <w:t>חכמים</w:t>
      </w:r>
      <w:r w:rsidRPr="00E60E2C">
        <w:rPr>
          <w:rFonts w:cs="Arial"/>
          <w:sz w:val="16"/>
          <w:szCs w:val="16"/>
          <w:rtl/>
        </w:rPr>
        <w:t xml:space="preserve"> </w:t>
      </w:r>
      <w:r w:rsidRPr="00E60E2C">
        <w:rPr>
          <w:rFonts w:cs="Arial" w:hint="cs"/>
          <w:sz w:val="16"/>
          <w:szCs w:val="16"/>
          <w:rtl/>
        </w:rPr>
        <w:t>שלא</w:t>
      </w:r>
      <w:r w:rsidRPr="00E60E2C">
        <w:rPr>
          <w:rFonts w:cs="Arial"/>
          <w:sz w:val="16"/>
          <w:szCs w:val="16"/>
          <w:rtl/>
        </w:rPr>
        <w:t xml:space="preserve"> </w:t>
      </w:r>
      <w:r w:rsidRPr="00E60E2C">
        <w:rPr>
          <w:rFonts w:cs="Arial" w:hint="cs"/>
          <w:sz w:val="16"/>
          <w:szCs w:val="16"/>
          <w:rtl/>
        </w:rPr>
        <w:t>לחלק</w:t>
      </w:r>
      <w:r w:rsidRPr="00E60E2C">
        <w:rPr>
          <w:rFonts w:cs="Arial"/>
          <w:sz w:val="16"/>
          <w:szCs w:val="16"/>
          <w:rtl/>
        </w:rPr>
        <w:t xml:space="preserve"> </w:t>
      </w:r>
      <w:r w:rsidRPr="00E60E2C">
        <w:rPr>
          <w:rFonts w:cs="Arial" w:hint="cs"/>
          <w:sz w:val="16"/>
          <w:szCs w:val="16"/>
          <w:rtl/>
        </w:rPr>
        <w:t>ביניהם</w:t>
      </w:r>
      <w:r w:rsidRPr="00E60E2C">
        <w:rPr>
          <w:rFonts w:cs="Arial"/>
          <w:sz w:val="16"/>
          <w:szCs w:val="16"/>
          <w:rtl/>
        </w:rPr>
        <w:t xml:space="preserve">. </w:t>
      </w:r>
      <w:r w:rsidRPr="00E60E2C">
        <w:rPr>
          <w:rFonts w:cs="Arial" w:hint="cs"/>
          <w:sz w:val="16"/>
          <w:szCs w:val="16"/>
          <w:rtl/>
        </w:rPr>
        <w:t>אי</w:t>
      </w:r>
      <w:r w:rsidRPr="00E60E2C">
        <w:rPr>
          <w:rFonts w:cs="Arial"/>
          <w:sz w:val="16"/>
          <w:szCs w:val="16"/>
          <w:rtl/>
        </w:rPr>
        <w:t xml:space="preserve"> </w:t>
      </w:r>
      <w:r w:rsidRPr="00E60E2C">
        <w:rPr>
          <w:rFonts w:cs="Arial" w:hint="cs"/>
          <w:sz w:val="16"/>
          <w:szCs w:val="16"/>
          <w:rtl/>
        </w:rPr>
        <w:t>נמי</w:t>
      </w:r>
      <w:r w:rsidRPr="00E60E2C">
        <w:rPr>
          <w:rFonts w:cs="Arial"/>
          <w:sz w:val="16"/>
          <w:szCs w:val="16"/>
          <w:rtl/>
        </w:rPr>
        <w:t xml:space="preserve"> </w:t>
      </w:r>
      <w:r w:rsidRPr="00E60E2C">
        <w:rPr>
          <w:rFonts w:cs="Arial" w:hint="cs"/>
          <w:sz w:val="16"/>
          <w:szCs w:val="16"/>
          <w:rtl/>
        </w:rPr>
        <w:t>דכשלא</w:t>
      </w:r>
      <w:r w:rsidRPr="00E60E2C">
        <w:rPr>
          <w:rFonts w:cs="Arial"/>
          <w:sz w:val="16"/>
          <w:szCs w:val="16"/>
          <w:rtl/>
        </w:rPr>
        <w:t xml:space="preserve"> </w:t>
      </w:r>
      <w:r w:rsidRPr="00E60E2C">
        <w:rPr>
          <w:rFonts w:cs="Arial" w:hint="cs"/>
          <w:sz w:val="16"/>
          <w:szCs w:val="16"/>
          <w:rtl/>
        </w:rPr>
        <w:t>יכתבו</w:t>
      </w:r>
      <w:r w:rsidRPr="00E60E2C">
        <w:rPr>
          <w:rFonts w:cs="Arial"/>
          <w:sz w:val="16"/>
          <w:szCs w:val="16"/>
          <w:rtl/>
        </w:rPr>
        <w:t xml:space="preserve"> </w:t>
      </w:r>
      <w:r w:rsidRPr="00E60E2C">
        <w:rPr>
          <w:rFonts w:cs="Arial" w:hint="cs"/>
          <w:sz w:val="16"/>
          <w:szCs w:val="16"/>
          <w:rtl/>
        </w:rPr>
        <w:t>אלא</w:t>
      </w:r>
      <w:r w:rsidRPr="00E60E2C">
        <w:rPr>
          <w:rFonts w:cs="Arial"/>
          <w:sz w:val="16"/>
          <w:szCs w:val="16"/>
          <w:rtl/>
        </w:rPr>
        <w:t xml:space="preserve"> </w:t>
      </w:r>
      <w:r w:rsidRPr="00E60E2C">
        <w:rPr>
          <w:rFonts w:cs="Arial" w:hint="cs"/>
          <w:sz w:val="16"/>
          <w:szCs w:val="16"/>
          <w:rtl/>
        </w:rPr>
        <w:t>בגליל</w:t>
      </w:r>
      <w:r w:rsidRPr="00E60E2C">
        <w:rPr>
          <w:rFonts w:cs="Arial"/>
          <w:sz w:val="16"/>
          <w:szCs w:val="16"/>
          <w:rtl/>
        </w:rPr>
        <w:t xml:space="preserve"> </w:t>
      </w:r>
      <w:r w:rsidRPr="00E60E2C">
        <w:rPr>
          <w:rFonts w:cs="Arial" w:hint="cs"/>
          <w:sz w:val="16"/>
          <w:szCs w:val="16"/>
          <w:rtl/>
        </w:rPr>
        <w:t>מתא</w:t>
      </w:r>
      <w:r w:rsidRPr="00E60E2C">
        <w:rPr>
          <w:rFonts w:cs="Arial"/>
          <w:sz w:val="16"/>
          <w:szCs w:val="16"/>
          <w:rtl/>
        </w:rPr>
        <w:t xml:space="preserve"> </w:t>
      </w:r>
      <w:r w:rsidRPr="00E60E2C">
        <w:rPr>
          <w:rFonts w:cs="Arial" w:hint="cs"/>
          <w:sz w:val="16"/>
          <w:szCs w:val="16"/>
          <w:rtl/>
        </w:rPr>
        <w:t>משמע</w:t>
      </w:r>
      <w:r w:rsidRPr="00E60E2C">
        <w:rPr>
          <w:rFonts w:cs="Arial"/>
          <w:sz w:val="16"/>
          <w:szCs w:val="16"/>
          <w:rtl/>
        </w:rPr>
        <w:t xml:space="preserve"> </w:t>
      </w:r>
      <w:r w:rsidRPr="00E60E2C">
        <w:rPr>
          <w:rFonts w:cs="Arial" w:hint="cs"/>
          <w:sz w:val="16"/>
          <w:szCs w:val="16"/>
          <w:rtl/>
        </w:rPr>
        <w:t>שהמגרש</w:t>
      </w:r>
      <w:r w:rsidRPr="00E60E2C">
        <w:rPr>
          <w:rFonts w:cs="Arial"/>
          <w:sz w:val="16"/>
          <w:szCs w:val="16"/>
          <w:rtl/>
        </w:rPr>
        <w:t xml:space="preserve"> </w:t>
      </w:r>
      <w:r w:rsidRPr="00E60E2C">
        <w:rPr>
          <w:rFonts w:cs="Arial" w:hint="cs"/>
          <w:sz w:val="16"/>
          <w:szCs w:val="16"/>
          <w:rtl/>
        </w:rPr>
        <w:t>הוא</w:t>
      </w:r>
      <w:r w:rsidRPr="00E60E2C">
        <w:rPr>
          <w:rFonts w:cs="Arial"/>
          <w:sz w:val="16"/>
          <w:szCs w:val="16"/>
          <w:rtl/>
        </w:rPr>
        <w:t xml:space="preserve"> </w:t>
      </w:r>
      <w:r w:rsidRPr="00E60E2C">
        <w:rPr>
          <w:rFonts w:cs="Arial" w:hint="cs"/>
          <w:sz w:val="16"/>
          <w:szCs w:val="16"/>
          <w:rtl/>
        </w:rPr>
        <w:t>מגליל</w:t>
      </w:r>
      <w:r w:rsidRPr="00E60E2C">
        <w:rPr>
          <w:rFonts w:cs="Arial"/>
          <w:sz w:val="16"/>
          <w:szCs w:val="16"/>
          <w:rtl/>
        </w:rPr>
        <w:t xml:space="preserve"> </w:t>
      </w:r>
      <w:r w:rsidRPr="00E60E2C">
        <w:rPr>
          <w:rFonts w:cs="Arial" w:hint="cs"/>
          <w:sz w:val="16"/>
          <w:szCs w:val="16"/>
          <w:rtl/>
        </w:rPr>
        <w:t>ואינו</w:t>
      </w:r>
      <w:r w:rsidRPr="00E60E2C">
        <w:rPr>
          <w:rFonts w:cs="Arial"/>
          <w:sz w:val="16"/>
          <w:szCs w:val="16"/>
          <w:rtl/>
        </w:rPr>
        <w:t xml:space="preserve"> </w:t>
      </w:r>
      <w:r w:rsidRPr="00E60E2C">
        <w:rPr>
          <w:rFonts w:cs="Arial" w:hint="cs"/>
          <w:sz w:val="16"/>
          <w:szCs w:val="16"/>
          <w:rtl/>
        </w:rPr>
        <w:t>אותו</w:t>
      </w:r>
      <w:r w:rsidRPr="00E60E2C">
        <w:rPr>
          <w:rFonts w:cs="Arial"/>
          <w:sz w:val="16"/>
          <w:szCs w:val="16"/>
          <w:rtl/>
        </w:rPr>
        <w:t xml:space="preserve"> </w:t>
      </w:r>
      <w:r w:rsidRPr="00E60E2C">
        <w:rPr>
          <w:rFonts w:cs="Arial" w:hint="cs"/>
          <w:sz w:val="16"/>
          <w:szCs w:val="16"/>
          <w:rtl/>
        </w:rPr>
        <w:t>שמארץ</w:t>
      </w:r>
      <w:r w:rsidRPr="00E60E2C">
        <w:rPr>
          <w:rFonts w:cs="Arial"/>
          <w:sz w:val="16"/>
          <w:szCs w:val="16"/>
          <w:rtl/>
        </w:rPr>
        <w:t xml:space="preserve"> </w:t>
      </w:r>
      <w:r w:rsidRPr="00E60E2C">
        <w:rPr>
          <w:rFonts w:cs="Arial" w:hint="cs"/>
          <w:sz w:val="16"/>
          <w:szCs w:val="16"/>
          <w:rtl/>
        </w:rPr>
        <w:t>יהודה</w:t>
      </w:r>
      <w:r w:rsidRPr="00E60E2C">
        <w:rPr>
          <w:rFonts w:cs="Arial"/>
          <w:sz w:val="16"/>
          <w:szCs w:val="16"/>
          <w:rtl/>
        </w:rPr>
        <w:t xml:space="preserve"> </w:t>
      </w:r>
      <w:r w:rsidRPr="00E60E2C">
        <w:rPr>
          <w:rFonts w:cs="Arial" w:hint="cs"/>
          <w:sz w:val="16"/>
          <w:szCs w:val="16"/>
          <w:rtl/>
        </w:rPr>
        <w:t>ואתו</w:t>
      </w:r>
      <w:r w:rsidRPr="00E60E2C">
        <w:rPr>
          <w:rFonts w:cs="Arial"/>
          <w:sz w:val="16"/>
          <w:szCs w:val="16"/>
          <w:rtl/>
        </w:rPr>
        <w:t xml:space="preserve"> </w:t>
      </w:r>
      <w:r w:rsidRPr="00E60E2C">
        <w:rPr>
          <w:rFonts w:cs="Arial" w:hint="cs"/>
          <w:sz w:val="16"/>
          <w:szCs w:val="16"/>
          <w:rtl/>
        </w:rPr>
        <w:t>לקלקולא</w:t>
      </w:r>
      <w:r w:rsidRPr="00E60E2C">
        <w:rPr>
          <w:rFonts w:cs="Arial"/>
          <w:sz w:val="16"/>
          <w:szCs w:val="16"/>
          <w:rtl/>
        </w:rPr>
        <w:t xml:space="preserve">. </w:t>
      </w:r>
      <w:r w:rsidRPr="00E60E2C">
        <w:rPr>
          <w:rFonts w:cs="Arial" w:hint="cs"/>
          <w:sz w:val="16"/>
          <w:szCs w:val="16"/>
          <w:rtl/>
        </w:rPr>
        <w:t>ואפשר</w:t>
      </w:r>
      <w:r w:rsidRPr="00E60E2C">
        <w:rPr>
          <w:rFonts w:cs="Arial"/>
          <w:sz w:val="16"/>
          <w:szCs w:val="16"/>
          <w:rtl/>
        </w:rPr>
        <w:t xml:space="preserve"> </w:t>
      </w:r>
      <w:r w:rsidRPr="00E60E2C">
        <w:rPr>
          <w:rFonts w:cs="Arial" w:hint="cs"/>
          <w:sz w:val="16"/>
          <w:szCs w:val="16"/>
          <w:rtl/>
        </w:rPr>
        <w:t>לפרש</w:t>
      </w:r>
      <w:r w:rsidRPr="00E60E2C">
        <w:rPr>
          <w:rFonts w:cs="Arial"/>
          <w:sz w:val="16"/>
          <w:szCs w:val="16"/>
          <w:rtl/>
        </w:rPr>
        <w:t xml:space="preserve"> </w:t>
      </w:r>
      <w:r w:rsidRPr="00E60E2C">
        <w:rPr>
          <w:rFonts w:cs="Arial" w:hint="cs"/>
          <w:sz w:val="16"/>
          <w:szCs w:val="16"/>
          <w:rtl/>
        </w:rPr>
        <w:t>עוד</w:t>
      </w:r>
      <w:r w:rsidRPr="00E60E2C">
        <w:rPr>
          <w:rFonts w:cs="Arial"/>
          <w:sz w:val="16"/>
          <w:szCs w:val="16"/>
          <w:rtl/>
        </w:rPr>
        <w:t xml:space="preserve"> </w:t>
      </w:r>
      <w:r w:rsidRPr="00E60E2C">
        <w:rPr>
          <w:rFonts w:cs="Arial" w:hint="cs"/>
          <w:sz w:val="16"/>
          <w:szCs w:val="16"/>
          <w:rtl/>
        </w:rPr>
        <w:t>שאם</w:t>
      </w:r>
      <w:r w:rsidRPr="00E60E2C">
        <w:rPr>
          <w:rFonts w:cs="Arial"/>
          <w:sz w:val="16"/>
          <w:szCs w:val="16"/>
          <w:rtl/>
        </w:rPr>
        <w:t xml:space="preserve"> </w:t>
      </w:r>
      <w:r w:rsidRPr="00E60E2C">
        <w:rPr>
          <w:rFonts w:cs="Arial" w:hint="cs"/>
          <w:sz w:val="16"/>
          <w:szCs w:val="16"/>
          <w:rtl/>
        </w:rPr>
        <w:t>עיר</w:t>
      </w:r>
      <w:r w:rsidRPr="00E60E2C">
        <w:rPr>
          <w:rFonts w:cs="Arial"/>
          <w:sz w:val="16"/>
          <w:szCs w:val="16"/>
          <w:rtl/>
        </w:rPr>
        <w:t xml:space="preserve"> </w:t>
      </w:r>
      <w:r w:rsidRPr="00E60E2C">
        <w:rPr>
          <w:rFonts w:cs="Arial" w:hint="cs"/>
          <w:sz w:val="16"/>
          <w:szCs w:val="16"/>
          <w:rtl/>
        </w:rPr>
        <w:t>הכתיבה</w:t>
      </w:r>
      <w:r w:rsidRPr="00E60E2C">
        <w:rPr>
          <w:rFonts w:cs="Arial"/>
          <w:sz w:val="16"/>
          <w:szCs w:val="16"/>
          <w:rtl/>
        </w:rPr>
        <w:t xml:space="preserve"> </w:t>
      </w:r>
      <w:r w:rsidRPr="00E60E2C">
        <w:rPr>
          <w:rFonts w:cs="Arial" w:hint="cs"/>
          <w:sz w:val="16"/>
          <w:szCs w:val="16"/>
          <w:rtl/>
        </w:rPr>
        <w:t>או</w:t>
      </w:r>
      <w:r w:rsidRPr="00E60E2C">
        <w:rPr>
          <w:rFonts w:cs="Arial"/>
          <w:sz w:val="16"/>
          <w:szCs w:val="16"/>
          <w:rtl/>
        </w:rPr>
        <w:t xml:space="preserve"> </w:t>
      </w:r>
      <w:r w:rsidRPr="00E60E2C">
        <w:rPr>
          <w:rFonts w:cs="Arial" w:hint="cs"/>
          <w:sz w:val="16"/>
          <w:szCs w:val="16"/>
          <w:rtl/>
        </w:rPr>
        <w:t>עיר</w:t>
      </w:r>
      <w:r w:rsidRPr="00E60E2C">
        <w:rPr>
          <w:rFonts w:cs="Arial"/>
          <w:sz w:val="16"/>
          <w:szCs w:val="16"/>
          <w:rtl/>
        </w:rPr>
        <w:t xml:space="preserve"> </w:t>
      </w:r>
      <w:r w:rsidRPr="00E60E2C">
        <w:rPr>
          <w:rFonts w:cs="Arial" w:hint="cs"/>
          <w:sz w:val="16"/>
          <w:szCs w:val="16"/>
          <w:rtl/>
        </w:rPr>
        <w:t>המגרש</w:t>
      </w:r>
      <w:r w:rsidRPr="00E60E2C">
        <w:rPr>
          <w:rFonts w:cs="Arial"/>
          <w:sz w:val="16"/>
          <w:szCs w:val="16"/>
          <w:rtl/>
        </w:rPr>
        <w:t xml:space="preserve"> </w:t>
      </w:r>
      <w:r w:rsidRPr="00E60E2C">
        <w:rPr>
          <w:rFonts w:cs="Arial" w:hint="cs"/>
          <w:sz w:val="16"/>
          <w:szCs w:val="16"/>
          <w:rtl/>
        </w:rPr>
        <w:t>היו</w:t>
      </w:r>
      <w:r w:rsidRPr="00E60E2C">
        <w:rPr>
          <w:rFonts w:cs="Arial"/>
          <w:sz w:val="16"/>
          <w:szCs w:val="16"/>
          <w:rtl/>
        </w:rPr>
        <w:t xml:space="preserve"> </w:t>
      </w:r>
      <w:r w:rsidRPr="00E60E2C">
        <w:rPr>
          <w:rFonts w:cs="Arial" w:hint="cs"/>
          <w:sz w:val="16"/>
          <w:szCs w:val="16"/>
          <w:rtl/>
        </w:rPr>
        <w:t>לה</w:t>
      </w:r>
      <w:r w:rsidRPr="00E60E2C">
        <w:rPr>
          <w:rFonts w:cs="Arial"/>
          <w:sz w:val="16"/>
          <w:szCs w:val="16"/>
          <w:rtl/>
        </w:rPr>
        <w:t xml:space="preserve"> </w:t>
      </w:r>
      <w:r w:rsidRPr="00E60E2C">
        <w:rPr>
          <w:rFonts w:cs="Arial" w:hint="cs"/>
          <w:sz w:val="16"/>
          <w:szCs w:val="16"/>
          <w:rtl/>
        </w:rPr>
        <w:t>שתי</w:t>
      </w:r>
      <w:r w:rsidRPr="00E60E2C">
        <w:rPr>
          <w:rFonts w:cs="Arial"/>
          <w:sz w:val="16"/>
          <w:szCs w:val="16"/>
          <w:rtl/>
        </w:rPr>
        <w:t xml:space="preserve"> </w:t>
      </w:r>
      <w:r w:rsidRPr="00E60E2C">
        <w:rPr>
          <w:rFonts w:cs="Arial" w:hint="cs"/>
          <w:sz w:val="16"/>
          <w:szCs w:val="16"/>
          <w:rtl/>
        </w:rPr>
        <w:t>שמות</w:t>
      </w:r>
      <w:r w:rsidRPr="00E60E2C">
        <w:rPr>
          <w:rFonts w:cs="Arial"/>
          <w:sz w:val="16"/>
          <w:szCs w:val="16"/>
          <w:rtl/>
        </w:rPr>
        <w:t xml:space="preserve"> </w:t>
      </w:r>
      <w:r w:rsidRPr="00E60E2C">
        <w:rPr>
          <w:rFonts w:cs="Arial" w:hint="cs"/>
          <w:sz w:val="16"/>
          <w:szCs w:val="16"/>
          <w:rtl/>
        </w:rPr>
        <w:t>אחד</w:t>
      </w:r>
      <w:r w:rsidRPr="00E60E2C">
        <w:rPr>
          <w:rFonts w:cs="Arial"/>
          <w:sz w:val="16"/>
          <w:szCs w:val="16"/>
          <w:rtl/>
        </w:rPr>
        <w:t xml:space="preserve"> </w:t>
      </w:r>
      <w:r w:rsidRPr="00E60E2C">
        <w:rPr>
          <w:rFonts w:cs="Arial" w:hint="cs"/>
          <w:sz w:val="16"/>
          <w:szCs w:val="16"/>
          <w:rtl/>
        </w:rPr>
        <w:t>במקום</w:t>
      </w:r>
      <w:r w:rsidRPr="00E60E2C">
        <w:rPr>
          <w:rFonts w:cs="Arial"/>
          <w:sz w:val="16"/>
          <w:szCs w:val="16"/>
          <w:rtl/>
        </w:rPr>
        <w:t xml:space="preserve"> </w:t>
      </w:r>
      <w:r w:rsidRPr="00E60E2C">
        <w:rPr>
          <w:rFonts w:cs="Arial" w:hint="cs"/>
          <w:sz w:val="16"/>
          <w:szCs w:val="16"/>
          <w:rtl/>
        </w:rPr>
        <w:t>הכתיבה</w:t>
      </w:r>
      <w:r w:rsidRPr="00E60E2C">
        <w:rPr>
          <w:rFonts w:cs="Arial"/>
          <w:sz w:val="16"/>
          <w:szCs w:val="16"/>
          <w:rtl/>
        </w:rPr>
        <w:t xml:space="preserve"> </w:t>
      </w:r>
      <w:r w:rsidRPr="00E60E2C">
        <w:rPr>
          <w:rFonts w:cs="Arial" w:hint="cs"/>
          <w:sz w:val="16"/>
          <w:szCs w:val="16"/>
          <w:rtl/>
        </w:rPr>
        <w:t>ואחד</w:t>
      </w:r>
      <w:r w:rsidRPr="00E60E2C">
        <w:rPr>
          <w:rFonts w:cs="Arial"/>
          <w:sz w:val="16"/>
          <w:szCs w:val="16"/>
          <w:rtl/>
        </w:rPr>
        <w:t xml:space="preserve"> </w:t>
      </w:r>
      <w:r w:rsidRPr="00E60E2C">
        <w:rPr>
          <w:rFonts w:cs="Arial" w:hint="cs"/>
          <w:sz w:val="16"/>
          <w:szCs w:val="16"/>
          <w:rtl/>
        </w:rPr>
        <w:t>במקום</w:t>
      </w:r>
      <w:r w:rsidRPr="00E60E2C">
        <w:rPr>
          <w:rFonts w:cs="Arial"/>
          <w:sz w:val="16"/>
          <w:szCs w:val="16"/>
          <w:rtl/>
        </w:rPr>
        <w:t xml:space="preserve"> </w:t>
      </w:r>
      <w:r w:rsidRPr="00E60E2C">
        <w:rPr>
          <w:rFonts w:cs="Arial" w:hint="cs"/>
          <w:sz w:val="16"/>
          <w:szCs w:val="16"/>
          <w:rtl/>
        </w:rPr>
        <w:t>הנתינה</w:t>
      </w:r>
      <w:r w:rsidRPr="00E60E2C">
        <w:rPr>
          <w:rFonts w:cs="Arial"/>
          <w:sz w:val="16"/>
          <w:szCs w:val="16"/>
          <w:rtl/>
        </w:rPr>
        <w:t xml:space="preserve"> </w:t>
      </w:r>
      <w:r w:rsidRPr="00E60E2C">
        <w:rPr>
          <w:rFonts w:cs="Arial" w:hint="cs"/>
          <w:sz w:val="16"/>
          <w:szCs w:val="16"/>
          <w:rtl/>
        </w:rPr>
        <w:t>וכתב</w:t>
      </w:r>
      <w:r w:rsidRPr="00E60E2C">
        <w:rPr>
          <w:rFonts w:cs="Arial"/>
          <w:sz w:val="16"/>
          <w:szCs w:val="16"/>
          <w:rtl/>
        </w:rPr>
        <w:t xml:space="preserve"> </w:t>
      </w:r>
      <w:r w:rsidRPr="00E60E2C">
        <w:rPr>
          <w:rFonts w:cs="Arial" w:hint="cs"/>
          <w:sz w:val="16"/>
          <w:szCs w:val="16"/>
          <w:rtl/>
        </w:rPr>
        <w:t>שם</w:t>
      </w:r>
      <w:r w:rsidRPr="00E60E2C">
        <w:rPr>
          <w:rFonts w:cs="Arial"/>
          <w:sz w:val="16"/>
          <w:szCs w:val="16"/>
          <w:rtl/>
        </w:rPr>
        <w:t xml:space="preserve"> </w:t>
      </w:r>
      <w:r w:rsidRPr="00E60E2C">
        <w:rPr>
          <w:rFonts w:cs="Arial" w:hint="cs"/>
          <w:sz w:val="16"/>
          <w:szCs w:val="16"/>
          <w:rtl/>
        </w:rPr>
        <w:t>אחד</w:t>
      </w:r>
      <w:r w:rsidRPr="00E60E2C">
        <w:rPr>
          <w:rFonts w:cs="Arial"/>
          <w:sz w:val="16"/>
          <w:szCs w:val="16"/>
          <w:rtl/>
        </w:rPr>
        <w:t xml:space="preserve"> </w:t>
      </w:r>
      <w:r w:rsidRPr="00E60E2C">
        <w:rPr>
          <w:rFonts w:cs="Arial" w:hint="cs"/>
          <w:sz w:val="16"/>
          <w:szCs w:val="16"/>
          <w:rtl/>
        </w:rPr>
        <w:t>מהם</w:t>
      </w:r>
      <w:r w:rsidRPr="00E60E2C">
        <w:rPr>
          <w:rFonts w:cs="Arial"/>
          <w:sz w:val="16"/>
          <w:szCs w:val="16"/>
          <w:rtl/>
        </w:rPr>
        <w:t xml:space="preserve"> </w:t>
      </w:r>
      <w:r w:rsidRPr="00E60E2C">
        <w:rPr>
          <w:rFonts w:cs="Arial" w:hint="cs"/>
          <w:sz w:val="16"/>
          <w:szCs w:val="16"/>
          <w:rtl/>
        </w:rPr>
        <w:t>לבד</w:t>
      </w:r>
      <w:r w:rsidRPr="00E60E2C">
        <w:rPr>
          <w:rFonts w:cs="Arial"/>
          <w:sz w:val="16"/>
          <w:szCs w:val="16"/>
          <w:rtl/>
        </w:rPr>
        <w:t xml:space="preserve"> </w:t>
      </w:r>
      <w:r w:rsidRPr="00E60E2C">
        <w:rPr>
          <w:rFonts w:cs="Arial" w:hint="cs"/>
          <w:sz w:val="16"/>
          <w:szCs w:val="16"/>
          <w:rtl/>
        </w:rPr>
        <w:t>דהשתא</w:t>
      </w:r>
      <w:r w:rsidRPr="00E60E2C">
        <w:rPr>
          <w:rFonts w:cs="Arial"/>
          <w:sz w:val="16"/>
          <w:szCs w:val="16"/>
          <w:rtl/>
        </w:rPr>
        <w:t xml:space="preserve"> </w:t>
      </w:r>
      <w:r w:rsidRPr="00E60E2C">
        <w:rPr>
          <w:rFonts w:cs="Arial" w:hint="cs"/>
          <w:sz w:val="16"/>
          <w:szCs w:val="16"/>
          <w:rtl/>
        </w:rPr>
        <w:t>הוי</w:t>
      </w:r>
      <w:r w:rsidRPr="00E60E2C">
        <w:rPr>
          <w:rFonts w:cs="Arial"/>
          <w:sz w:val="16"/>
          <w:szCs w:val="16"/>
          <w:rtl/>
        </w:rPr>
        <w:t xml:space="preserve"> </w:t>
      </w:r>
      <w:r w:rsidRPr="00E60E2C">
        <w:rPr>
          <w:rFonts w:cs="Arial" w:hint="cs"/>
          <w:sz w:val="16"/>
          <w:szCs w:val="16"/>
          <w:rtl/>
        </w:rPr>
        <w:t>שם</w:t>
      </w:r>
      <w:r w:rsidRPr="00E60E2C">
        <w:rPr>
          <w:rFonts w:cs="Arial"/>
          <w:sz w:val="16"/>
          <w:szCs w:val="16"/>
          <w:rtl/>
        </w:rPr>
        <w:t xml:space="preserve"> </w:t>
      </w:r>
      <w:r w:rsidRPr="00E60E2C">
        <w:rPr>
          <w:rFonts w:cs="Arial" w:hint="cs"/>
          <w:sz w:val="16"/>
          <w:szCs w:val="16"/>
          <w:rtl/>
        </w:rPr>
        <w:t>עירו</w:t>
      </w:r>
      <w:r w:rsidRPr="00E60E2C">
        <w:rPr>
          <w:rFonts w:cs="Arial"/>
          <w:sz w:val="16"/>
          <w:szCs w:val="16"/>
          <w:rtl/>
        </w:rPr>
        <w:t xml:space="preserve"> </w:t>
      </w:r>
      <w:r w:rsidRPr="00E60E2C">
        <w:rPr>
          <w:rFonts w:cs="Arial" w:hint="cs"/>
          <w:sz w:val="16"/>
          <w:szCs w:val="16"/>
          <w:rtl/>
        </w:rPr>
        <w:t>ושם</w:t>
      </w:r>
      <w:r w:rsidRPr="00E60E2C">
        <w:rPr>
          <w:rFonts w:cs="Arial"/>
          <w:sz w:val="16"/>
          <w:szCs w:val="16"/>
          <w:rtl/>
        </w:rPr>
        <w:t xml:space="preserve"> </w:t>
      </w:r>
      <w:r w:rsidRPr="00E60E2C">
        <w:rPr>
          <w:rFonts w:cs="Arial" w:hint="cs"/>
          <w:sz w:val="16"/>
          <w:szCs w:val="16"/>
          <w:rtl/>
        </w:rPr>
        <w:t>עירה</w:t>
      </w:r>
      <w:r w:rsidRPr="00E60E2C">
        <w:rPr>
          <w:rFonts w:cs="Arial"/>
          <w:sz w:val="16"/>
          <w:szCs w:val="16"/>
          <w:rtl/>
        </w:rPr>
        <w:t xml:space="preserve"> </w:t>
      </w:r>
      <w:r w:rsidRPr="00E60E2C">
        <w:rPr>
          <w:rFonts w:cs="Arial" w:hint="cs"/>
          <w:sz w:val="16"/>
          <w:szCs w:val="16"/>
          <w:rtl/>
        </w:rPr>
        <w:t>דומיא</w:t>
      </w:r>
      <w:r w:rsidRPr="00E60E2C">
        <w:rPr>
          <w:rFonts w:cs="Arial"/>
          <w:sz w:val="16"/>
          <w:szCs w:val="16"/>
          <w:rtl/>
        </w:rPr>
        <w:t xml:space="preserve"> </w:t>
      </w:r>
      <w:r w:rsidRPr="00E60E2C">
        <w:rPr>
          <w:rFonts w:cs="Arial" w:hint="cs"/>
          <w:sz w:val="16"/>
          <w:szCs w:val="16"/>
          <w:rtl/>
        </w:rPr>
        <w:t>דשמו</w:t>
      </w:r>
      <w:r w:rsidRPr="00E60E2C">
        <w:rPr>
          <w:rFonts w:cs="Arial"/>
          <w:sz w:val="16"/>
          <w:szCs w:val="16"/>
          <w:rtl/>
        </w:rPr>
        <w:t xml:space="preserve"> </w:t>
      </w:r>
      <w:r w:rsidRPr="00E60E2C">
        <w:rPr>
          <w:rFonts w:cs="Arial" w:hint="cs"/>
          <w:sz w:val="16"/>
          <w:szCs w:val="16"/>
          <w:rtl/>
        </w:rPr>
        <w:t>ושמה</w:t>
      </w:r>
      <w:r w:rsidRPr="00E60E2C">
        <w:rPr>
          <w:rFonts w:cs="Arial"/>
          <w:sz w:val="16"/>
          <w:szCs w:val="16"/>
          <w:rtl/>
        </w:rPr>
        <w:t xml:space="preserve"> </w:t>
      </w:r>
      <w:r w:rsidRPr="00E60E2C">
        <w:rPr>
          <w:rFonts w:cs="Arial" w:hint="cs"/>
          <w:sz w:val="16"/>
          <w:szCs w:val="16"/>
          <w:rtl/>
        </w:rPr>
        <w:t>ממש,</w:t>
      </w:r>
      <w:r w:rsidRPr="00E60E2C">
        <w:rPr>
          <w:rFonts w:cs="Arial"/>
          <w:sz w:val="16"/>
          <w:szCs w:val="16"/>
          <w:rtl/>
        </w:rPr>
        <w:t xml:space="preserve"> </w:t>
      </w:r>
      <w:r w:rsidRPr="00E60E2C">
        <w:rPr>
          <w:rFonts w:cs="Arial" w:hint="cs"/>
          <w:sz w:val="16"/>
          <w:szCs w:val="16"/>
          <w:rtl/>
        </w:rPr>
        <w:t>וכן</w:t>
      </w:r>
      <w:r w:rsidRPr="00E60E2C">
        <w:rPr>
          <w:rFonts w:cs="Arial"/>
          <w:sz w:val="16"/>
          <w:szCs w:val="16"/>
          <w:rtl/>
        </w:rPr>
        <w:t xml:space="preserve"> </w:t>
      </w:r>
      <w:r w:rsidRPr="00E60E2C">
        <w:rPr>
          <w:rFonts w:cs="Arial" w:hint="cs"/>
          <w:sz w:val="16"/>
          <w:szCs w:val="16"/>
          <w:rtl/>
        </w:rPr>
        <w:t>משמע</w:t>
      </w:r>
      <w:r w:rsidRPr="00E60E2C">
        <w:rPr>
          <w:rFonts w:cs="Arial"/>
          <w:sz w:val="16"/>
          <w:szCs w:val="16"/>
          <w:rtl/>
        </w:rPr>
        <w:t xml:space="preserve"> </w:t>
      </w:r>
      <w:r w:rsidRPr="00E60E2C">
        <w:rPr>
          <w:rFonts w:cs="Arial" w:hint="cs"/>
          <w:sz w:val="16"/>
          <w:szCs w:val="16"/>
          <w:rtl/>
        </w:rPr>
        <w:t>מדברי</w:t>
      </w:r>
      <w:r w:rsidRPr="00E60E2C">
        <w:rPr>
          <w:rFonts w:cs="Arial"/>
          <w:sz w:val="16"/>
          <w:szCs w:val="16"/>
          <w:rtl/>
        </w:rPr>
        <w:t xml:space="preserve"> </w:t>
      </w:r>
      <w:r w:rsidRPr="00E60E2C">
        <w:rPr>
          <w:rFonts w:cs="Arial" w:hint="cs"/>
          <w:sz w:val="16"/>
          <w:szCs w:val="16"/>
          <w:rtl/>
        </w:rPr>
        <w:t>הרשב</w:t>
      </w:r>
      <w:r w:rsidRPr="00E60E2C">
        <w:rPr>
          <w:rFonts w:cs="Arial"/>
          <w:sz w:val="16"/>
          <w:szCs w:val="16"/>
          <w:rtl/>
        </w:rPr>
        <w:t>"</w:t>
      </w:r>
      <w:r w:rsidRPr="00E60E2C">
        <w:rPr>
          <w:rFonts w:cs="Arial" w:hint="cs"/>
          <w:sz w:val="16"/>
          <w:szCs w:val="16"/>
          <w:rtl/>
        </w:rPr>
        <w:t>א</w:t>
      </w:r>
      <w:r w:rsidRPr="00E60E2C">
        <w:rPr>
          <w:rFonts w:cs="Arial"/>
          <w:sz w:val="16"/>
          <w:szCs w:val="16"/>
          <w:rtl/>
        </w:rPr>
        <w:t xml:space="preserve"> (</w:t>
      </w:r>
      <w:r w:rsidRPr="00E60E2C">
        <w:rPr>
          <w:rFonts w:cs="Arial" w:hint="cs"/>
          <w:sz w:val="16"/>
          <w:szCs w:val="16"/>
          <w:rtl/>
        </w:rPr>
        <w:t>שם</w:t>
      </w:r>
      <w:r w:rsidRPr="00E60E2C">
        <w:rPr>
          <w:rFonts w:cs="Arial"/>
          <w:sz w:val="16"/>
          <w:szCs w:val="16"/>
          <w:rtl/>
        </w:rPr>
        <w:t>)</w:t>
      </w:r>
      <w:r w:rsidRPr="00E60E2C">
        <w:rPr>
          <w:rFonts w:cs="Arial" w:hint="cs"/>
          <w:sz w:val="16"/>
          <w:szCs w:val="16"/>
          <w:rtl/>
        </w:rPr>
        <w:t>)</w:t>
      </w:r>
      <w:r>
        <w:rPr>
          <w:rFonts w:hint="cs"/>
          <w:rtl/>
        </w:rPr>
        <w:t>, ב"י.</w:t>
      </w:r>
    </w:p>
  </w:footnote>
  <w:footnote w:id="989">
    <w:p w14:paraId="12D330D5" w14:textId="03BEE9BA" w:rsidR="00FA2119" w:rsidRDefault="00FA2119" w:rsidP="00FA2119">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E60E2C">
        <w:rPr>
          <w:rFonts w:cs="Arial" w:hint="cs"/>
          <w:rtl/>
        </w:rPr>
        <w:t>אע"פ</w:t>
      </w:r>
      <w:r w:rsidRPr="00E60E2C">
        <w:rPr>
          <w:rFonts w:cs="Arial"/>
          <w:rtl/>
        </w:rPr>
        <w:t xml:space="preserve"> </w:t>
      </w:r>
      <w:r w:rsidRPr="00E60E2C">
        <w:rPr>
          <w:rFonts w:cs="Arial" w:hint="cs"/>
          <w:rtl/>
        </w:rPr>
        <w:t>שבכתב</w:t>
      </w:r>
      <w:r w:rsidRPr="00E60E2C">
        <w:rPr>
          <w:rFonts w:cs="Arial"/>
          <w:rtl/>
        </w:rPr>
        <w:t xml:space="preserve"> </w:t>
      </w:r>
      <w:r w:rsidRPr="00E60E2C">
        <w:rPr>
          <w:rFonts w:cs="Arial" w:hint="cs"/>
          <w:rtl/>
        </w:rPr>
        <w:t>גלחות</w:t>
      </w:r>
      <w:r w:rsidRPr="00E60E2C">
        <w:rPr>
          <w:rFonts w:cs="Arial"/>
          <w:rtl/>
        </w:rPr>
        <w:t xml:space="preserve"> </w:t>
      </w:r>
      <w:r w:rsidRPr="00E60E2C">
        <w:rPr>
          <w:rFonts w:cs="Arial" w:hint="cs"/>
          <w:rtl/>
        </w:rPr>
        <w:t>שבחותם</w:t>
      </w:r>
      <w:r w:rsidRPr="00E60E2C">
        <w:rPr>
          <w:rFonts w:cs="Arial"/>
          <w:rtl/>
        </w:rPr>
        <w:t xml:space="preserve"> </w:t>
      </w:r>
      <w:r w:rsidRPr="00E60E2C">
        <w:rPr>
          <w:rFonts w:cs="Arial" w:hint="cs"/>
          <w:rtl/>
        </w:rPr>
        <w:t>העיר</w:t>
      </w:r>
      <w:r w:rsidRPr="00E60E2C">
        <w:rPr>
          <w:rFonts w:cs="Arial"/>
          <w:rtl/>
        </w:rPr>
        <w:t xml:space="preserve"> </w:t>
      </w:r>
      <w:r w:rsidRPr="00E60E2C">
        <w:rPr>
          <w:rFonts w:cs="Arial" w:hint="cs"/>
          <w:rtl/>
        </w:rPr>
        <w:t>כתוב</w:t>
      </w:r>
      <w:r w:rsidRPr="00E60E2C">
        <w:rPr>
          <w:rFonts w:cs="Arial"/>
          <w:rtl/>
        </w:rPr>
        <w:t xml:space="preserve"> </w:t>
      </w:r>
      <w:r w:rsidRPr="00E60E2C">
        <w:rPr>
          <w:rFonts w:cs="Arial" w:hint="cs"/>
          <w:rtl/>
        </w:rPr>
        <w:t>שם</w:t>
      </w:r>
      <w:r w:rsidRPr="00E60E2C">
        <w:rPr>
          <w:rFonts w:cs="Arial"/>
          <w:rtl/>
        </w:rPr>
        <w:t xml:space="preserve"> </w:t>
      </w:r>
      <w:r w:rsidRPr="00E60E2C">
        <w:rPr>
          <w:rFonts w:cs="Arial" w:hint="cs"/>
          <w:rtl/>
        </w:rPr>
        <w:t>העיר</w:t>
      </w:r>
      <w:r w:rsidRPr="00E60E2C">
        <w:rPr>
          <w:rFonts w:cs="Arial"/>
          <w:rtl/>
        </w:rPr>
        <w:t xml:space="preserve"> </w:t>
      </w:r>
      <w:r w:rsidRPr="00E60E2C">
        <w:rPr>
          <w:rFonts w:cs="Arial" w:hint="cs"/>
          <w:rtl/>
        </w:rPr>
        <w:t>בגימ</w:t>
      </w:r>
      <w:r w:rsidRPr="00E60E2C">
        <w:rPr>
          <w:rFonts w:cs="Arial"/>
          <w:rtl/>
        </w:rPr>
        <w:t>"</w:t>
      </w:r>
      <w:r w:rsidRPr="00E60E2C">
        <w:rPr>
          <w:rFonts w:cs="Arial" w:hint="cs"/>
          <w:rtl/>
        </w:rPr>
        <w:t>ל</w:t>
      </w:r>
      <w:r w:rsidRPr="00E60E2C">
        <w:rPr>
          <w:rFonts w:cs="Arial"/>
          <w:rtl/>
        </w:rPr>
        <w:t xml:space="preserve"> </w:t>
      </w:r>
      <w:r w:rsidRPr="00E60E2C">
        <w:rPr>
          <w:rFonts w:cs="Arial" w:hint="cs"/>
          <w:rtl/>
        </w:rPr>
        <w:t>בסוף</w:t>
      </w:r>
      <w:r w:rsidRPr="00E60E2C">
        <w:rPr>
          <w:rFonts w:cs="Arial"/>
          <w:rtl/>
        </w:rPr>
        <w:t xml:space="preserve"> </w:t>
      </w:r>
      <w:r w:rsidRPr="00E60E2C">
        <w:rPr>
          <w:rFonts w:cs="Arial" w:hint="cs"/>
          <w:rtl/>
        </w:rPr>
        <w:t>מכל</w:t>
      </w:r>
      <w:r w:rsidRPr="00E60E2C">
        <w:rPr>
          <w:rFonts w:cs="Arial"/>
          <w:rtl/>
        </w:rPr>
        <w:t xml:space="preserve"> </w:t>
      </w:r>
      <w:r w:rsidRPr="00E60E2C">
        <w:rPr>
          <w:rFonts w:cs="Arial" w:hint="cs"/>
          <w:rtl/>
        </w:rPr>
        <w:t>מקום</w:t>
      </w:r>
      <w:r w:rsidRPr="00E60E2C">
        <w:rPr>
          <w:rFonts w:cs="Arial"/>
          <w:rtl/>
        </w:rPr>
        <w:t xml:space="preserve"> </w:t>
      </w:r>
      <w:r w:rsidRPr="00E60E2C">
        <w:rPr>
          <w:rFonts w:cs="Arial" w:hint="cs"/>
          <w:rtl/>
        </w:rPr>
        <w:t>אין</w:t>
      </w:r>
      <w:r w:rsidRPr="00E60E2C">
        <w:rPr>
          <w:rFonts w:cs="Arial"/>
          <w:rtl/>
        </w:rPr>
        <w:t xml:space="preserve"> </w:t>
      </w:r>
      <w:r w:rsidRPr="00E60E2C">
        <w:rPr>
          <w:rFonts w:cs="Arial" w:hint="cs"/>
          <w:rtl/>
        </w:rPr>
        <w:t>כותבין</w:t>
      </w:r>
      <w:r w:rsidRPr="00E60E2C">
        <w:rPr>
          <w:rFonts w:cs="Arial"/>
          <w:rtl/>
        </w:rPr>
        <w:t xml:space="preserve"> </w:t>
      </w:r>
      <w:r w:rsidRPr="00E60E2C">
        <w:rPr>
          <w:rFonts w:cs="Arial" w:hint="cs"/>
          <w:rtl/>
        </w:rPr>
        <w:t>אותו</w:t>
      </w:r>
      <w:r w:rsidRPr="00E60E2C">
        <w:rPr>
          <w:rFonts w:cs="Arial"/>
          <w:rtl/>
        </w:rPr>
        <w:t xml:space="preserve"> </w:t>
      </w:r>
      <w:r w:rsidRPr="00E60E2C">
        <w:rPr>
          <w:rFonts w:cs="Arial" w:hint="cs"/>
          <w:rtl/>
        </w:rPr>
        <w:t>אלא</w:t>
      </w:r>
      <w:r w:rsidRPr="00E60E2C">
        <w:rPr>
          <w:rFonts w:cs="Arial"/>
          <w:rtl/>
        </w:rPr>
        <w:t xml:space="preserve"> </w:t>
      </w:r>
      <w:r w:rsidRPr="00E60E2C">
        <w:rPr>
          <w:rFonts w:cs="Arial" w:hint="cs"/>
          <w:rtl/>
        </w:rPr>
        <w:t>בקו</w:t>
      </w:r>
      <w:r w:rsidRPr="00E60E2C">
        <w:rPr>
          <w:rFonts w:cs="Arial"/>
          <w:rtl/>
        </w:rPr>
        <w:t>"</w:t>
      </w:r>
      <w:r w:rsidRPr="00E60E2C">
        <w:rPr>
          <w:rFonts w:cs="Arial" w:hint="cs"/>
          <w:rtl/>
        </w:rPr>
        <w:t>ף</w:t>
      </w:r>
      <w:r w:rsidRPr="00E60E2C">
        <w:rPr>
          <w:rFonts w:cs="Arial"/>
          <w:rtl/>
        </w:rPr>
        <w:t xml:space="preserve"> </w:t>
      </w:r>
      <w:r w:rsidRPr="00E60E2C">
        <w:rPr>
          <w:rFonts w:cs="Arial" w:hint="cs"/>
          <w:rtl/>
        </w:rPr>
        <w:t>לפי</w:t>
      </w:r>
      <w:r w:rsidRPr="00E60E2C">
        <w:rPr>
          <w:rFonts w:cs="Arial"/>
          <w:rtl/>
        </w:rPr>
        <w:t xml:space="preserve"> </w:t>
      </w:r>
      <w:r w:rsidRPr="00E60E2C">
        <w:rPr>
          <w:rFonts w:cs="Arial" w:hint="cs"/>
          <w:rtl/>
        </w:rPr>
        <w:t>שמוצא</w:t>
      </w:r>
      <w:r w:rsidRPr="00E60E2C">
        <w:rPr>
          <w:rFonts w:cs="Arial"/>
          <w:rtl/>
        </w:rPr>
        <w:t xml:space="preserve"> </w:t>
      </w:r>
      <w:r w:rsidRPr="00E60E2C">
        <w:rPr>
          <w:rFonts w:cs="Arial" w:hint="cs"/>
          <w:rtl/>
        </w:rPr>
        <w:t>הלשון</w:t>
      </w:r>
      <w:r w:rsidRPr="00E60E2C">
        <w:rPr>
          <w:rFonts w:cs="Arial"/>
          <w:rtl/>
        </w:rPr>
        <w:t xml:space="preserve"> </w:t>
      </w:r>
      <w:r w:rsidRPr="00E60E2C">
        <w:rPr>
          <w:rFonts w:cs="Arial" w:hint="cs"/>
          <w:rtl/>
        </w:rPr>
        <w:t>שנון</w:t>
      </w:r>
      <w:r w:rsidRPr="00E60E2C">
        <w:rPr>
          <w:rFonts w:cs="Arial"/>
          <w:rtl/>
        </w:rPr>
        <w:t xml:space="preserve"> </w:t>
      </w:r>
      <w:r w:rsidRPr="00E60E2C">
        <w:rPr>
          <w:rFonts w:cs="Arial" w:hint="cs"/>
          <w:rtl/>
        </w:rPr>
        <w:t>וצח</w:t>
      </w:r>
      <w:r w:rsidRPr="00E60E2C">
        <w:rPr>
          <w:rFonts w:cs="Arial"/>
          <w:rtl/>
        </w:rPr>
        <w:t xml:space="preserve"> </w:t>
      </w:r>
      <w:r w:rsidRPr="00E60E2C">
        <w:rPr>
          <w:rFonts w:cs="Arial" w:hint="cs"/>
          <w:rtl/>
        </w:rPr>
        <w:t>יותר</w:t>
      </w:r>
      <w:r w:rsidRPr="00E60E2C">
        <w:rPr>
          <w:rFonts w:cs="Arial"/>
          <w:rtl/>
        </w:rPr>
        <w:t xml:space="preserve"> </w:t>
      </w:r>
      <w:r w:rsidRPr="00E60E2C">
        <w:rPr>
          <w:rFonts w:cs="Arial" w:hint="cs"/>
          <w:rtl/>
        </w:rPr>
        <w:t>מבגימ</w:t>
      </w:r>
      <w:r w:rsidRPr="00E60E2C">
        <w:rPr>
          <w:rFonts w:cs="Arial"/>
          <w:rtl/>
        </w:rPr>
        <w:t>"</w:t>
      </w:r>
      <w:r w:rsidRPr="00E60E2C">
        <w:rPr>
          <w:rFonts w:cs="Arial" w:hint="cs"/>
          <w:rtl/>
        </w:rPr>
        <w:t>ל,</w:t>
      </w:r>
      <w:r w:rsidRPr="00E60E2C">
        <w:rPr>
          <w:rFonts w:cs="Arial"/>
          <w:rtl/>
        </w:rPr>
        <w:t xml:space="preserve"> </w:t>
      </w:r>
      <w:r w:rsidRPr="00E60E2C">
        <w:rPr>
          <w:rFonts w:cs="Arial" w:hint="cs"/>
          <w:rtl/>
        </w:rPr>
        <w:t>ובמדינה</w:t>
      </w:r>
      <w:r w:rsidRPr="00E60E2C">
        <w:rPr>
          <w:rFonts w:cs="Arial"/>
          <w:rtl/>
        </w:rPr>
        <w:t xml:space="preserve"> </w:t>
      </w:r>
      <w:r w:rsidRPr="00E60E2C">
        <w:rPr>
          <w:rFonts w:cs="Arial" w:hint="cs"/>
          <w:rtl/>
        </w:rPr>
        <w:t>שמזכירין</w:t>
      </w:r>
      <w:r w:rsidRPr="00E60E2C">
        <w:rPr>
          <w:rFonts w:cs="Arial"/>
          <w:rtl/>
        </w:rPr>
        <w:t xml:space="preserve"> </w:t>
      </w:r>
      <w:r w:rsidRPr="00E60E2C">
        <w:rPr>
          <w:rFonts w:cs="Arial" w:hint="cs"/>
          <w:rtl/>
        </w:rPr>
        <w:t>לשון</w:t>
      </w:r>
      <w:r w:rsidRPr="00E60E2C">
        <w:rPr>
          <w:rFonts w:cs="Arial"/>
          <w:rtl/>
        </w:rPr>
        <w:t xml:space="preserve"> </w:t>
      </w:r>
      <w:r w:rsidRPr="00E60E2C">
        <w:rPr>
          <w:rFonts w:cs="Arial" w:hint="cs"/>
          <w:rtl/>
        </w:rPr>
        <w:t>אשכנז</w:t>
      </w:r>
      <w:r w:rsidRPr="00E60E2C">
        <w:rPr>
          <w:rFonts w:cs="Arial"/>
          <w:rtl/>
        </w:rPr>
        <w:t xml:space="preserve"> </w:t>
      </w:r>
      <w:r w:rsidRPr="00E60E2C">
        <w:rPr>
          <w:rFonts w:cs="Arial" w:hint="cs"/>
          <w:rtl/>
        </w:rPr>
        <w:t>צח</w:t>
      </w:r>
      <w:r w:rsidRPr="00E60E2C">
        <w:rPr>
          <w:rFonts w:cs="Arial"/>
          <w:rtl/>
        </w:rPr>
        <w:t xml:space="preserve"> </w:t>
      </w:r>
      <w:r w:rsidRPr="00E60E2C">
        <w:rPr>
          <w:rFonts w:cs="Arial" w:hint="cs"/>
          <w:rtl/>
        </w:rPr>
        <w:t>ושנון</w:t>
      </w:r>
      <w:r w:rsidRPr="00E60E2C">
        <w:rPr>
          <w:rFonts w:cs="Arial"/>
          <w:rtl/>
        </w:rPr>
        <w:t xml:space="preserve"> </w:t>
      </w:r>
      <w:r w:rsidRPr="00E60E2C">
        <w:rPr>
          <w:rFonts w:cs="Arial" w:hint="cs"/>
          <w:rtl/>
        </w:rPr>
        <w:t>מדברים</w:t>
      </w:r>
      <w:r w:rsidRPr="00E60E2C">
        <w:rPr>
          <w:rFonts w:cs="Arial"/>
          <w:rtl/>
        </w:rPr>
        <w:t xml:space="preserve"> </w:t>
      </w:r>
      <w:r w:rsidRPr="00E60E2C">
        <w:rPr>
          <w:rFonts w:cs="Arial" w:hint="cs"/>
          <w:rtl/>
        </w:rPr>
        <w:t>כך,</w:t>
      </w:r>
      <w:r w:rsidRPr="00E60E2C">
        <w:rPr>
          <w:rFonts w:cs="Arial"/>
          <w:rtl/>
        </w:rPr>
        <w:t xml:space="preserve"> </w:t>
      </w:r>
      <w:r w:rsidRPr="00E60E2C">
        <w:rPr>
          <w:rFonts w:cs="Arial" w:hint="cs"/>
          <w:rtl/>
        </w:rPr>
        <w:t>ואחר</w:t>
      </w:r>
      <w:r w:rsidRPr="00E60E2C">
        <w:rPr>
          <w:rFonts w:cs="Arial"/>
          <w:rtl/>
        </w:rPr>
        <w:t xml:space="preserve"> </w:t>
      </w:r>
      <w:r w:rsidRPr="00E60E2C">
        <w:rPr>
          <w:rFonts w:cs="Arial" w:hint="cs"/>
          <w:rtl/>
        </w:rPr>
        <w:t>שינון</w:t>
      </w:r>
      <w:r w:rsidRPr="00E60E2C">
        <w:rPr>
          <w:rFonts w:cs="Arial"/>
          <w:rtl/>
        </w:rPr>
        <w:t xml:space="preserve"> </w:t>
      </w:r>
      <w:r w:rsidRPr="00E60E2C">
        <w:rPr>
          <w:rFonts w:cs="Arial" w:hint="cs"/>
          <w:rtl/>
        </w:rPr>
        <w:t>לשון</w:t>
      </w:r>
      <w:r w:rsidRPr="00E60E2C">
        <w:rPr>
          <w:rFonts w:cs="Arial"/>
          <w:rtl/>
        </w:rPr>
        <w:t xml:space="preserve"> </w:t>
      </w:r>
      <w:r w:rsidRPr="00E60E2C">
        <w:rPr>
          <w:rFonts w:cs="Arial" w:hint="cs"/>
          <w:rtl/>
        </w:rPr>
        <w:t>אשכנז</w:t>
      </w:r>
      <w:r w:rsidRPr="00E60E2C">
        <w:rPr>
          <w:rFonts w:cs="Arial"/>
          <w:rtl/>
        </w:rPr>
        <w:t xml:space="preserve"> </w:t>
      </w:r>
      <w:r w:rsidRPr="00E60E2C">
        <w:rPr>
          <w:rFonts w:cs="Arial" w:hint="cs"/>
          <w:rtl/>
        </w:rPr>
        <w:t>אנו</w:t>
      </w:r>
      <w:r w:rsidRPr="00E60E2C">
        <w:rPr>
          <w:rFonts w:cs="Arial"/>
          <w:rtl/>
        </w:rPr>
        <w:t xml:space="preserve"> </w:t>
      </w:r>
      <w:r w:rsidRPr="00E60E2C">
        <w:rPr>
          <w:rFonts w:cs="Arial" w:hint="cs"/>
          <w:rtl/>
        </w:rPr>
        <w:t>כותבין</w:t>
      </w:r>
      <w:r w:rsidRPr="00E60E2C">
        <w:rPr>
          <w:rFonts w:cs="Arial"/>
          <w:rtl/>
        </w:rPr>
        <w:t xml:space="preserve"> </w:t>
      </w:r>
      <w:r w:rsidRPr="00E60E2C">
        <w:rPr>
          <w:rFonts w:cs="Arial" w:hint="cs"/>
          <w:rtl/>
        </w:rPr>
        <w:t>בגיטין</w:t>
      </w:r>
      <w:r w:rsidRPr="00E60E2C">
        <w:rPr>
          <w:rFonts w:cs="Arial"/>
          <w:rtl/>
        </w:rPr>
        <w:t xml:space="preserve"> </w:t>
      </w:r>
      <w:r w:rsidRPr="00E60E2C">
        <w:rPr>
          <w:rFonts w:cs="Arial" w:hint="cs"/>
          <w:rtl/>
        </w:rPr>
        <w:t>עכ</w:t>
      </w:r>
      <w:r w:rsidRPr="00E60E2C">
        <w:rPr>
          <w:rFonts w:cs="Arial"/>
          <w:rtl/>
        </w:rPr>
        <w:t>"</w:t>
      </w:r>
      <w:r w:rsidRPr="00E60E2C">
        <w:rPr>
          <w:rFonts w:cs="Arial" w:hint="cs"/>
          <w:rtl/>
        </w:rPr>
        <w:t>ל</w:t>
      </w:r>
      <w:r w:rsidRPr="00E60E2C">
        <w:rPr>
          <w:rFonts w:cs="Arial"/>
          <w:rtl/>
        </w:rPr>
        <w:t xml:space="preserve"> </w:t>
      </w:r>
      <w:r w:rsidRPr="00E60E2C">
        <w:rPr>
          <w:rFonts w:cs="Arial" w:hint="cs"/>
          <w:sz w:val="16"/>
          <w:szCs w:val="16"/>
          <w:rtl/>
        </w:rPr>
        <w:t>(הרי</w:t>
      </w:r>
      <w:r w:rsidRPr="00E60E2C">
        <w:rPr>
          <w:rFonts w:cs="Arial"/>
          <w:sz w:val="16"/>
          <w:szCs w:val="16"/>
          <w:rtl/>
        </w:rPr>
        <w:t xml:space="preserve"> </w:t>
      </w:r>
      <w:r w:rsidRPr="00E60E2C">
        <w:rPr>
          <w:rFonts w:cs="Arial" w:hint="cs"/>
          <w:sz w:val="16"/>
          <w:szCs w:val="16"/>
          <w:rtl/>
        </w:rPr>
        <w:t>דאינו</w:t>
      </w:r>
      <w:r w:rsidRPr="00E60E2C">
        <w:rPr>
          <w:rFonts w:cs="Arial"/>
          <w:sz w:val="16"/>
          <w:szCs w:val="16"/>
          <w:rtl/>
        </w:rPr>
        <w:t xml:space="preserve"> </w:t>
      </w:r>
      <w:r w:rsidRPr="00E60E2C">
        <w:rPr>
          <w:rFonts w:cs="Arial" w:hint="cs"/>
          <w:sz w:val="16"/>
          <w:szCs w:val="16"/>
          <w:rtl/>
        </w:rPr>
        <w:t>חושש</w:t>
      </w:r>
      <w:r w:rsidRPr="00E60E2C">
        <w:rPr>
          <w:rFonts w:cs="Arial"/>
          <w:sz w:val="16"/>
          <w:szCs w:val="16"/>
          <w:rtl/>
        </w:rPr>
        <w:t xml:space="preserve"> </w:t>
      </w:r>
      <w:r w:rsidRPr="00E60E2C">
        <w:rPr>
          <w:rFonts w:cs="Arial" w:hint="cs"/>
          <w:sz w:val="16"/>
          <w:szCs w:val="16"/>
          <w:rtl/>
        </w:rPr>
        <w:t>על</w:t>
      </w:r>
      <w:r w:rsidRPr="00E60E2C">
        <w:rPr>
          <w:rFonts w:cs="Arial"/>
          <w:sz w:val="16"/>
          <w:szCs w:val="16"/>
          <w:rtl/>
        </w:rPr>
        <w:t xml:space="preserve"> </w:t>
      </w:r>
      <w:r w:rsidRPr="00E60E2C">
        <w:rPr>
          <w:rFonts w:cs="Arial" w:hint="cs"/>
          <w:sz w:val="16"/>
          <w:szCs w:val="16"/>
          <w:rtl/>
        </w:rPr>
        <w:t>כתב</w:t>
      </w:r>
      <w:r w:rsidRPr="00E60E2C">
        <w:rPr>
          <w:rFonts w:cs="Arial"/>
          <w:sz w:val="16"/>
          <w:szCs w:val="16"/>
          <w:rtl/>
        </w:rPr>
        <w:t xml:space="preserve"> </w:t>
      </w:r>
      <w:r w:rsidRPr="00E60E2C">
        <w:rPr>
          <w:rFonts w:cs="Arial" w:hint="cs"/>
          <w:sz w:val="16"/>
          <w:szCs w:val="16"/>
          <w:rtl/>
        </w:rPr>
        <w:t>גלחות</w:t>
      </w:r>
      <w:r w:rsidRPr="00E60E2C">
        <w:rPr>
          <w:rFonts w:cs="Arial"/>
          <w:sz w:val="16"/>
          <w:szCs w:val="16"/>
          <w:rtl/>
        </w:rPr>
        <w:t xml:space="preserve"> </w:t>
      </w:r>
      <w:r w:rsidRPr="00E60E2C">
        <w:rPr>
          <w:rFonts w:cs="Arial" w:hint="cs"/>
          <w:sz w:val="16"/>
          <w:szCs w:val="16"/>
          <w:rtl/>
        </w:rPr>
        <w:t>אלא</w:t>
      </w:r>
      <w:r w:rsidRPr="00E60E2C">
        <w:rPr>
          <w:rFonts w:cs="Arial"/>
          <w:sz w:val="16"/>
          <w:szCs w:val="16"/>
          <w:rtl/>
        </w:rPr>
        <w:t xml:space="preserve"> </w:t>
      </w:r>
      <w:r w:rsidRPr="00E60E2C">
        <w:rPr>
          <w:rFonts w:cs="Arial" w:hint="cs"/>
          <w:sz w:val="16"/>
          <w:szCs w:val="16"/>
          <w:rtl/>
        </w:rPr>
        <w:t>על</w:t>
      </w:r>
      <w:r w:rsidRPr="00E60E2C">
        <w:rPr>
          <w:rFonts w:cs="Arial"/>
          <w:sz w:val="16"/>
          <w:szCs w:val="16"/>
          <w:rtl/>
        </w:rPr>
        <w:t xml:space="preserve"> </w:t>
      </w:r>
      <w:r w:rsidRPr="00E60E2C">
        <w:rPr>
          <w:rFonts w:cs="Arial" w:hint="cs"/>
          <w:sz w:val="16"/>
          <w:szCs w:val="16"/>
          <w:rtl/>
        </w:rPr>
        <w:t>לשון</w:t>
      </w:r>
      <w:r w:rsidRPr="00E60E2C">
        <w:rPr>
          <w:rFonts w:cs="Arial"/>
          <w:sz w:val="16"/>
          <w:szCs w:val="16"/>
          <w:rtl/>
        </w:rPr>
        <w:t xml:space="preserve"> </w:t>
      </w:r>
      <w:r w:rsidRPr="00E60E2C">
        <w:rPr>
          <w:rFonts w:cs="Arial" w:hint="cs"/>
          <w:sz w:val="16"/>
          <w:szCs w:val="16"/>
          <w:rtl/>
        </w:rPr>
        <w:t>אשכנז</w:t>
      </w:r>
      <w:r w:rsidRPr="00E60E2C">
        <w:rPr>
          <w:rFonts w:cs="Arial"/>
          <w:sz w:val="16"/>
          <w:szCs w:val="16"/>
          <w:rtl/>
        </w:rPr>
        <w:t xml:space="preserve"> </w:t>
      </w:r>
      <w:r w:rsidRPr="00E60E2C">
        <w:rPr>
          <w:rFonts w:cs="Arial" w:hint="cs"/>
          <w:sz w:val="16"/>
          <w:szCs w:val="16"/>
          <w:rtl/>
        </w:rPr>
        <w:t>שהוא</w:t>
      </w:r>
      <w:r w:rsidRPr="00E60E2C">
        <w:rPr>
          <w:rFonts w:cs="Arial"/>
          <w:sz w:val="16"/>
          <w:szCs w:val="16"/>
          <w:rtl/>
        </w:rPr>
        <w:t xml:space="preserve"> </w:t>
      </w:r>
      <w:r w:rsidRPr="00E60E2C">
        <w:rPr>
          <w:rFonts w:cs="Arial" w:hint="cs"/>
          <w:sz w:val="16"/>
          <w:szCs w:val="16"/>
          <w:rtl/>
        </w:rPr>
        <w:t>המפורסם</w:t>
      </w:r>
      <w:r w:rsidRPr="00E60E2C">
        <w:rPr>
          <w:rFonts w:cs="Arial"/>
          <w:sz w:val="16"/>
          <w:szCs w:val="16"/>
          <w:rtl/>
        </w:rPr>
        <w:t xml:space="preserve"> </w:t>
      </w:r>
      <w:r w:rsidRPr="00E60E2C">
        <w:rPr>
          <w:rFonts w:cs="Arial" w:hint="cs"/>
          <w:sz w:val="16"/>
          <w:szCs w:val="16"/>
          <w:rtl/>
        </w:rPr>
        <w:t>בין</w:t>
      </w:r>
      <w:r w:rsidRPr="00E60E2C">
        <w:rPr>
          <w:rFonts w:cs="Arial"/>
          <w:sz w:val="16"/>
          <w:szCs w:val="16"/>
          <w:rtl/>
        </w:rPr>
        <w:t xml:space="preserve"> </w:t>
      </w:r>
      <w:r w:rsidRPr="00E60E2C">
        <w:rPr>
          <w:rFonts w:cs="Arial" w:hint="cs"/>
          <w:sz w:val="16"/>
          <w:szCs w:val="16"/>
          <w:rtl/>
        </w:rPr>
        <w:t>העברים, ב"י)</w:t>
      </w:r>
      <w:r>
        <w:rPr>
          <w:rFonts w:hint="cs"/>
          <w:rtl/>
        </w:rPr>
        <w:t>.</w:t>
      </w:r>
    </w:p>
  </w:footnote>
  <w:footnote w:id="990">
    <w:p w14:paraId="4B050590" w14:textId="77777777" w:rsidR="00FA2119" w:rsidRDefault="00FA2119" w:rsidP="00FA2119">
      <w:pPr>
        <w:pStyle w:val="a5"/>
      </w:pPr>
      <w:r>
        <w:rPr>
          <w:rStyle w:val="a7"/>
        </w:rPr>
        <w:footnoteRef/>
      </w:r>
      <w:r>
        <w:rPr>
          <w:rtl/>
        </w:rPr>
        <w:t xml:space="preserve"> </w:t>
      </w:r>
      <w:r w:rsidRPr="007424C0">
        <w:rPr>
          <w:rFonts w:cs="Arial" w:hint="cs"/>
          <w:rtl/>
        </w:rPr>
        <w:t>וסיים</w:t>
      </w:r>
      <w:r w:rsidRPr="007424C0">
        <w:rPr>
          <w:rFonts w:cs="Arial"/>
          <w:rtl/>
        </w:rPr>
        <w:t xml:space="preserve"> </w:t>
      </w:r>
      <w:r w:rsidRPr="007424C0">
        <w:rPr>
          <w:rFonts w:cs="Arial" w:hint="cs"/>
          <w:rtl/>
        </w:rPr>
        <w:t>שם</w:t>
      </w:r>
      <w:r>
        <w:rPr>
          <w:rFonts w:cs="Arial" w:hint="cs"/>
          <w:rtl/>
        </w:rPr>
        <w:t xml:space="preserve"> (בתרוה"ד)</w:t>
      </w:r>
      <w:r w:rsidRPr="007424C0">
        <w:rPr>
          <w:rFonts w:cs="Arial"/>
          <w:rtl/>
        </w:rPr>
        <w:t xml:space="preserve"> </w:t>
      </w:r>
      <w:r w:rsidRPr="007424C0">
        <w:rPr>
          <w:rFonts w:cs="Arial" w:hint="cs"/>
          <w:rtl/>
        </w:rPr>
        <w:t>ולכן</w:t>
      </w:r>
      <w:r w:rsidRPr="007424C0">
        <w:rPr>
          <w:rFonts w:cs="Arial"/>
          <w:rtl/>
        </w:rPr>
        <w:t xml:space="preserve"> </w:t>
      </w:r>
      <w:r w:rsidRPr="007424C0">
        <w:rPr>
          <w:rFonts w:cs="Arial" w:hint="cs"/>
          <w:rtl/>
        </w:rPr>
        <w:t>יש</w:t>
      </w:r>
      <w:r w:rsidRPr="007424C0">
        <w:rPr>
          <w:rFonts w:cs="Arial"/>
          <w:rtl/>
        </w:rPr>
        <w:t xml:space="preserve"> </w:t>
      </w:r>
      <w:r w:rsidRPr="007424C0">
        <w:rPr>
          <w:rFonts w:cs="Arial" w:hint="cs"/>
          <w:rtl/>
        </w:rPr>
        <w:t>לכתוב</w:t>
      </w:r>
      <w:r w:rsidRPr="007424C0">
        <w:rPr>
          <w:rFonts w:cs="Arial"/>
          <w:rtl/>
        </w:rPr>
        <w:t xml:space="preserve"> </w:t>
      </w:r>
      <w:r w:rsidRPr="007424C0">
        <w:rPr>
          <w:rFonts w:cs="Arial" w:hint="cs"/>
          <w:rtl/>
        </w:rPr>
        <w:t>רוטנבור</w:t>
      </w:r>
      <w:r w:rsidRPr="007424C0">
        <w:rPr>
          <w:rFonts w:cs="Arial"/>
          <w:rtl/>
        </w:rPr>
        <w:t>"</w:t>
      </w:r>
      <w:r w:rsidRPr="007424C0">
        <w:rPr>
          <w:rFonts w:cs="Arial" w:hint="cs"/>
          <w:rtl/>
        </w:rPr>
        <w:t>ק</w:t>
      </w:r>
      <w:r w:rsidRPr="007424C0">
        <w:rPr>
          <w:rFonts w:cs="Arial"/>
          <w:rtl/>
        </w:rPr>
        <w:t xml:space="preserve"> </w:t>
      </w:r>
      <w:r w:rsidRPr="007424C0">
        <w:rPr>
          <w:rFonts w:cs="Arial" w:hint="cs"/>
          <w:rtl/>
        </w:rPr>
        <w:t>שטרוסבור</w:t>
      </w:r>
      <w:r w:rsidRPr="007424C0">
        <w:rPr>
          <w:rFonts w:cs="Arial"/>
          <w:rtl/>
        </w:rPr>
        <w:t>"</w:t>
      </w:r>
      <w:r w:rsidRPr="007424C0">
        <w:rPr>
          <w:rFonts w:cs="Arial" w:hint="cs"/>
          <w:rtl/>
        </w:rPr>
        <w:t>ק</w:t>
      </w:r>
      <w:r w:rsidRPr="007424C0">
        <w:rPr>
          <w:rFonts w:cs="Arial"/>
          <w:rtl/>
        </w:rPr>
        <w:t xml:space="preserve"> </w:t>
      </w:r>
      <w:r w:rsidRPr="007424C0">
        <w:rPr>
          <w:rFonts w:cs="Arial" w:hint="cs"/>
          <w:rtl/>
        </w:rPr>
        <w:t>וכדומה</w:t>
      </w:r>
      <w:r w:rsidRPr="007424C0">
        <w:rPr>
          <w:rFonts w:cs="Arial"/>
          <w:rtl/>
        </w:rPr>
        <w:t xml:space="preserve"> </w:t>
      </w:r>
      <w:r w:rsidRPr="007424C0">
        <w:rPr>
          <w:rFonts w:cs="Arial" w:hint="cs"/>
          <w:rtl/>
        </w:rPr>
        <w:t>בק</w:t>
      </w:r>
      <w:r w:rsidRPr="007424C0">
        <w:rPr>
          <w:rFonts w:cs="Arial"/>
          <w:rtl/>
        </w:rPr>
        <w:t xml:space="preserve">' </w:t>
      </w:r>
      <w:r w:rsidRPr="007424C0">
        <w:rPr>
          <w:rFonts w:cs="Arial" w:hint="cs"/>
          <w:rtl/>
        </w:rPr>
        <w:t>לבסוף</w:t>
      </w:r>
      <w:r>
        <w:rPr>
          <w:rFonts w:cs="Arial" w:hint="cs"/>
          <w:rtl/>
        </w:rPr>
        <w:t>,</w:t>
      </w:r>
      <w:r w:rsidRPr="007424C0">
        <w:rPr>
          <w:rFonts w:cs="Arial"/>
          <w:rtl/>
        </w:rPr>
        <w:t xml:space="preserve"> </w:t>
      </w:r>
      <w:r w:rsidRPr="007424C0">
        <w:rPr>
          <w:rFonts w:cs="Arial" w:hint="cs"/>
          <w:rtl/>
        </w:rPr>
        <w:t>כדרך</w:t>
      </w:r>
      <w:r w:rsidRPr="007424C0">
        <w:rPr>
          <w:rFonts w:cs="Arial"/>
          <w:rtl/>
        </w:rPr>
        <w:t xml:space="preserve"> </w:t>
      </w:r>
      <w:r w:rsidRPr="007424C0">
        <w:rPr>
          <w:rFonts w:cs="Arial" w:hint="cs"/>
          <w:rtl/>
        </w:rPr>
        <w:t>שמדברים</w:t>
      </w:r>
      <w:r w:rsidRPr="007424C0">
        <w:rPr>
          <w:rFonts w:cs="Arial"/>
          <w:rtl/>
        </w:rPr>
        <w:t xml:space="preserve"> </w:t>
      </w:r>
      <w:r w:rsidRPr="007424C0">
        <w:rPr>
          <w:rFonts w:cs="Arial" w:hint="cs"/>
          <w:rtl/>
        </w:rPr>
        <w:t>האשכנזים</w:t>
      </w:r>
      <w:r w:rsidRPr="007424C0">
        <w:rPr>
          <w:rFonts w:cs="Arial"/>
          <w:rtl/>
        </w:rPr>
        <w:t xml:space="preserve"> </w:t>
      </w:r>
      <w:r w:rsidRPr="007424C0">
        <w:rPr>
          <w:rFonts w:cs="Arial" w:hint="cs"/>
          <w:rtl/>
        </w:rPr>
        <w:t>שלשונם</w:t>
      </w:r>
      <w:r w:rsidRPr="007424C0">
        <w:rPr>
          <w:rFonts w:cs="Arial"/>
          <w:rtl/>
        </w:rPr>
        <w:t xml:space="preserve"> </w:t>
      </w:r>
      <w:r w:rsidRPr="007424C0">
        <w:rPr>
          <w:rFonts w:cs="Arial" w:hint="cs"/>
          <w:rtl/>
        </w:rPr>
        <w:t>שנון</w:t>
      </w:r>
      <w:r w:rsidRPr="007424C0">
        <w:rPr>
          <w:rFonts w:cs="Arial"/>
          <w:rtl/>
        </w:rPr>
        <w:t xml:space="preserve"> </w:t>
      </w:r>
      <w:r w:rsidRPr="007424C0">
        <w:rPr>
          <w:rFonts w:cs="Arial" w:hint="cs"/>
          <w:rtl/>
        </w:rPr>
        <w:t>וצח</w:t>
      </w:r>
      <w:r w:rsidRPr="007424C0">
        <w:rPr>
          <w:rFonts w:cs="Arial"/>
          <w:rtl/>
        </w:rPr>
        <w:t xml:space="preserve"> </w:t>
      </w:r>
      <w:r w:rsidRPr="007424C0">
        <w:rPr>
          <w:rFonts w:cs="Arial" w:hint="cs"/>
          <w:rtl/>
        </w:rPr>
        <w:t>יותר</w:t>
      </w:r>
      <w:r w:rsidRPr="007424C0">
        <w:rPr>
          <w:rFonts w:cs="Arial"/>
          <w:rtl/>
        </w:rPr>
        <w:t xml:space="preserve"> </w:t>
      </w:r>
      <w:r w:rsidRPr="007424C0">
        <w:rPr>
          <w:rFonts w:cs="Arial" w:hint="cs"/>
          <w:rtl/>
        </w:rPr>
        <w:t>מלשון</w:t>
      </w:r>
      <w:r w:rsidRPr="007424C0">
        <w:rPr>
          <w:rFonts w:cs="Arial"/>
          <w:rtl/>
        </w:rPr>
        <w:t xml:space="preserve"> </w:t>
      </w:r>
      <w:r w:rsidRPr="007424C0">
        <w:rPr>
          <w:rFonts w:cs="Arial" w:hint="cs"/>
          <w:rtl/>
        </w:rPr>
        <w:t>גלחות</w:t>
      </w:r>
      <w:r w:rsidRPr="007424C0">
        <w:rPr>
          <w:rFonts w:cs="Arial"/>
          <w:rtl/>
        </w:rPr>
        <w:t xml:space="preserve"> </w:t>
      </w:r>
      <w:r w:rsidRPr="007424C0">
        <w:rPr>
          <w:rFonts w:cs="Arial" w:hint="cs"/>
          <w:rtl/>
        </w:rPr>
        <w:t>שכותבין</w:t>
      </w:r>
      <w:r w:rsidRPr="007424C0">
        <w:rPr>
          <w:rFonts w:cs="Arial"/>
          <w:rtl/>
        </w:rPr>
        <w:t xml:space="preserve"> </w:t>
      </w:r>
      <w:r w:rsidRPr="007424C0">
        <w:rPr>
          <w:rFonts w:cs="Arial" w:hint="cs"/>
          <w:rtl/>
        </w:rPr>
        <w:t>בג</w:t>
      </w:r>
      <w:r w:rsidRPr="007424C0">
        <w:rPr>
          <w:rFonts w:cs="Arial"/>
          <w:rtl/>
        </w:rPr>
        <w:t xml:space="preserve">'. </w:t>
      </w:r>
      <w:r w:rsidRPr="007424C0">
        <w:rPr>
          <w:rFonts w:cs="Arial" w:hint="cs"/>
          <w:rtl/>
        </w:rPr>
        <w:t>ובסימן</w:t>
      </w:r>
      <w:r w:rsidRPr="007424C0">
        <w:rPr>
          <w:rFonts w:cs="Arial"/>
          <w:rtl/>
        </w:rPr>
        <w:t xml:space="preserve"> </w:t>
      </w:r>
      <w:r w:rsidRPr="007424C0">
        <w:rPr>
          <w:rFonts w:cs="Arial" w:hint="cs"/>
          <w:rtl/>
        </w:rPr>
        <w:t>רנא</w:t>
      </w:r>
      <w:r w:rsidRPr="007424C0">
        <w:rPr>
          <w:rFonts w:cs="Arial"/>
          <w:rtl/>
        </w:rPr>
        <w:t xml:space="preserve"> </w:t>
      </w:r>
      <w:r>
        <w:rPr>
          <w:rFonts w:cs="Arial" w:hint="cs"/>
          <w:rtl/>
        </w:rPr>
        <w:t>(</w:t>
      </w:r>
      <w:r w:rsidRPr="007424C0">
        <w:rPr>
          <w:rFonts w:cs="Arial" w:hint="cs"/>
          <w:rtl/>
        </w:rPr>
        <w:t>שם</w:t>
      </w:r>
      <w:r w:rsidRPr="007424C0">
        <w:rPr>
          <w:rFonts w:cs="Arial"/>
          <w:rtl/>
        </w:rPr>
        <w:t xml:space="preserve"> </w:t>
      </w:r>
      <w:r w:rsidRPr="007424C0">
        <w:rPr>
          <w:rFonts w:cs="Arial" w:hint="cs"/>
          <w:rtl/>
        </w:rPr>
        <w:t>בכתביו</w:t>
      </w:r>
      <w:r>
        <w:rPr>
          <w:rFonts w:cs="Arial" w:hint="cs"/>
          <w:rtl/>
        </w:rPr>
        <w:t>) כתב</w:t>
      </w:r>
      <w:r w:rsidRPr="007424C0">
        <w:rPr>
          <w:rFonts w:cs="Arial"/>
          <w:rtl/>
        </w:rPr>
        <w:t xml:space="preserve"> </w:t>
      </w:r>
      <w:r w:rsidRPr="007424C0">
        <w:rPr>
          <w:rFonts w:cs="Arial" w:hint="cs"/>
          <w:rtl/>
        </w:rPr>
        <w:t>על</w:t>
      </w:r>
      <w:r w:rsidRPr="007424C0">
        <w:rPr>
          <w:rFonts w:cs="Arial"/>
          <w:rtl/>
        </w:rPr>
        <w:t xml:space="preserve"> </w:t>
      </w:r>
      <w:r w:rsidRPr="007424C0">
        <w:rPr>
          <w:rFonts w:cs="Arial" w:hint="cs"/>
          <w:rtl/>
        </w:rPr>
        <w:t>עיר</w:t>
      </w:r>
      <w:r w:rsidRPr="007424C0">
        <w:rPr>
          <w:rFonts w:cs="Arial"/>
          <w:rtl/>
        </w:rPr>
        <w:t xml:space="preserve"> </w:t>
      </w:r>
      <w:r w:rsidRPr="007424C0">
        <w:rPr>
          <w:rFonts w:cs="Arial" w:hint="cs"/>
          <w:rtl/>
        </w:rPr>
        <w:t>רעדי</w:t>
      </w:r>
      <w:r w:rsidRPr="007424C0">
        <w:rPr>
          <w:rFonts w:cs="Arial"/>
          <w:rtl/>
        </w:rPr>
        <w:t>"</w:t>
      </w:r>
      <w:r w:rsidRPr="007424C0">
        <w:rPr>
          <w:rFonts w:cs="Arial" w:hint="cs"/>
          <w:rtl/>
        </w:rPr>
        <w:t>ש</w:t>
      </w:r>
      <w:r w:rsidRPr="007424C0">
        <w:rPr>
          <w:rFonts w:cs="Arial"/>
          <w:rtl/>
        </w:rPr>
        <w:t xml:space="preserve"> </w:t>
      </w:r>
      <w:r w:rsidRPr="007424C0">
        <w:rPr>
          <w:rFonts w:cs="Arial" w:hint="cs"/>
          <w:rtl/>
        </w:rPr>
        <w:t>שכותבין</w:t>
      </w:r>
      <w:r w:rsidRPr="007424C0">
        <w:rPr>
          <w:rFonts w:cs="Arial"/>
          <w:rtl/>
        </w:rPr>
        <w:t xml:space="preserve"> </w:t>
      </w:r>
      <w:r w:rsidRPr="007424C0">
        <w:rPr>
          <w:rFonts w:cs="Arial" w:hint="cs"/>
          <w:rtl/>
        </w:rPr>
        <w:t>אותו</w:t>
      </w:r>
      <w:r w:rsidRPr="007424C0">
        <w:rPr>
          <w:rFonts w:cs="Arial"/>
          <w:rtl/>
        </w:rPr>
        <w:t xml:space="preserve"> </w:t>
      </w:r>
      <w:r w:rsidRPr="007424C0">
        <w:rPr>
          <w:rFonts w:cs="Arial" w:hint="cs"/>
          <w:rtl/>
        </w:rPr>
        <w:t>כך</w:t>
      </w:r>
      <w:r w:rsidRPr="007424C0">
        <w:rPr>
          <w:rFonts w:cs="Arial"/>
          <w:rtl/>
        </w:rPr>
        <w:t xml:space="preserve"> </w:t>
      </w:r>
      <w:r w:rsidRPr="007424C0">
        <w:rPr>
          <w:rFonts w:cs="Arial" w:hint="cs"/>
          <w:rtl/>
        </w:rPr>
        <w:t>בגט</w:t>
      </w:r>
      <w:r w:rsidRPr="007424C0">
        <w:rPr>
          <w:rFonts w:cs="Arial"/>
          <w:rtl/>
        </w:rPr>
        <w:t xml:space="preserve"> </w:t>
      </w:r>
      <w:r w:rsidRPr="007424C0">
        <w:rPr>
          <w:rFonts w:cs="Arial" w:hint="cs"/>
          <w:rtl/>
        </w:rPr>
        <w:t>אע</w:t>
      </w:r>
      <w:r>
        <w:rPr>
          <w:rFonts w:cs="Arial" w:hint="cs"/>
          <w:rtl/>
        </w:rPr>
        <w:t>"</w:t>
      </w:r>
      <w:r w:rsidRPr="007424C0">
        <w:rPr>
          <w:rFonts w:cs="Arial" w:hint="cs"/>
          <w:rtl/>
        </w:rPr>
        <w:t>פ</w:t>
      </w:r>
      <w:r w:rsidRPr="007424C0">
        <w:rPr>
          <w:rFonts w:cs="Arial"/>
          <w:rtl/>
        </w:rPr>
        <w:t xml:space="preserve"> </w:t>
      </w:r>
      <w:r w:rsidRPr="007424C0">
        <w:rPr>
          <w:rFonts w:cs="Arial" w:hint="cs"/>
          <w:rtl/>
        </w:rPr>
        <w:t>שבלשון</w:t>
      </w:r>
      <w:r w:rsidRPr="007424C0">
        <w:rPr>
          <w:rFonts w:cs="Arial"/>
          <w:rtl/>
        </w:rPr>
        <w:t xml:space="preserve"> </w:t>
      </w:r>
      <w:r w:rsidRPr="007424C0">
        <w:rPr>
          <w:rFonts w:cs="Arial" w:hint="cs"/>
          <w:rtl/>
        </w:rPr>
        <w:t>גוים</w:t>
      </w:r>
      <w:r w:rsidRPr="007424C0">
        <w:rPr>
          <w:rFonts w:cs="Arial"/>
          <w:rtl/>
        </w:rPr>
        <w:t xml:space="preserve"> </w:t>
      </w:r>
      <w:r w:rsidRPr="007424C0">
        <w:rPr>
          <w:rFonts w:cs="Arial" w:hint="cs"/>
          <w:rtl/>
        </w:rPr>
        <w:t>נקרא</w:t>
      </w:r>
      <w:r w:rsidRPr="007424C0">
        <w:rPr>
          <w:rFonts w:cs="Arial"/>
          <w:rtl/>
        </w:rPr>
        <w:t xml:space="preserve"> </w:t>
      </w:r>
      <w:r w:rsidRPr="007424C0">
        <w:rPr>
          <w:rFonts w:cs="Arial" w:hint="cs"/>
          <w:rtl/>
        </w:rPr>
        <w:t>הרעדי</w:t>
      </w:r>
      <w:r w:rsidRPr="007424C0">
        <w:rPr>
          <w:rFonts w:cs="Arial"/>
          <w:rtl/>
        </w:rPr>
        <w:t>"</w:t>
      </w:r>
      <w:r w:rsidRPr="007424C0">
        <w:rPr>
          <w:rFonts w:cs="Arial" w:hint="cs"/>
          <w:rtl/>
        </w:rPr>
        <w:t>ש</w:t>
      </w:r>
      <w:r>
        <w:rPr>
          <w:rFonts w:cs="Arial" w:hint="cs"/>
          <w:rtl/>
        </w:rPr>
        <w:t>,</w:t>
      </w:r>
      <w:r w:rsidRPr="007424C0">
        <w:rPr>
          <w:rFonts w:cs="Arial"/>
          <w:rtl/>
        </w:rPr>
        <w:t xml:space="preserve"> </w:t>
      </w:r>
      <w:r w:rsidRPr="007424C0">
        <w:rPr>
          <w:rFonts w:cs="Arial" w:hint="cs"/>
          <w:rtl/>
        </w:rPr>
        <w:t>דהכל</w:t>
      </w:r>
      <w:r w:rsidRPr="007424C0">
        <w:rPr>
          <w:rFonts w:cs="Arial"/>
          <w:rtl/>
        </w:rPr>
        <w:t xml:space="preserve"> </w:t>
      </w:r>
      <w:r w:rsidRPr="007424C0">
        <w:rPr>
          <w:rFonts w:cs="Arial" w:hint="cs"/>
          <w:rtl/>
        </w:rPr>
        <w:t>אחד</w:t>
      </w:r>
      <w:r w:rsidRPr="007424C0">
        <w:rPr>
          <w:rFonts w:cs="Arial"/>
          <w:rtl/>
        </w:rPr>
        <w:t xml:space="preserve"> </w:t>
      </w:r>
      <w:r w:rsidRPr="007424C0">
        <w:rPr>
          <w:rFonts w:cs="Arial" w:hint="cs"/>
          <w:rtl/>
        </w:rPr>
        <w:t>הוא</w:t>
      </w:r>
      <w:r>
        <w:rPr>
          <w:rFonts w:cs="Arial" w:hint="cs"/>
          <w:rtl/>
        </w:rPr>
        <w:t>,</w:t>
      </w:r>
      <w:r w:rsidRPr="007424C0">
        <w:rPr>
          <w:rFonts w:cs="Arial"/>
          <w:rtl/>
        </w:rPr>
        <w:t xml:space="preserve"> </w:t>
      </w:r>
      <w:r w:rsidRPr="007424C0">
        <w:rPr>
          <w:rFonts w:cs="Arial" w:hint="cs"/>
          <w:rtl/>
        </w:rPr>
        <w:t>אלא</w:t>
      </w:r>
      <w:r w:rsidRPr="007424C0">
        <w:rPr>
          <w:rFonts w:cs="Arial"/>
          <w:rtl/>
        </w:rPr>
        <w:t xml:space="preserve"> </w:t>
      </w:r>
      <w:r w:rsidRPr="007424C0">
        <w:rPr>
          <w:rFonts w:cs="Arial" w:hint="cs"/>
          <w:rtl/>
        </w:rPr>
        <w:t>שהאשכנזים</w:t>
      </w:r>
      <w:r w:rsidRPr="007424C0">
        <w:rPr>
          <w:rFonts w:cs="Arial"/>
          <w:rtl/>
        </w:rPr>
        <w:t xml:space="preserve"> </w:t>
      </w:r>
      <w:r w:rsidRPr="007424C0">
        <w:rPr>
          <w:rFonts w:cs="Arial" w:hint="cs"/>
          <w:rtl/>
        </w:rPr>
        <w:t>מקצרים</w:t>
      </w:r>
      <w:r w:rsidRPr="007424C0">
        <w:rPr>
          <w:rFonts w:cs="Arial"/>
          <w:rtl/>
        </w:rPr>
        <w:t xml:space="preserve"> </w:t>
      </w:r>
      <w:r w:rsidRPr="007424C0">
        <w:rPr>
          <w:rFonts w:cs="Arial" w:hint="cs"/>
          <w:rtl/>
        </w:rPr>
        <w:t>הלשון</w:t>
      </w:r>
      <w:r w:rsidRPr="007424C0">
        <w:rPr>
          <w:rFonts w:cs="Arial"/>
          <w:rtl/>
        </w:rPr>
        <w:t xml:space="preserve">. </w:t>
      </w:r>
      <w:r w:rsidRPr="007424C0">
        <w:rPr>
          <w:rFonts w:cs="Arial" w:hint="cs"/>
          <w:rtl/>
        </w:rPr>
        <w:t>ומשמע</w:t>
      </w:r>
      <w:r w:rsidRPr="007424C0">
        <w:rPr>
          <w:rFonts w:cs="Arial"/>
          <w:rtl/>
        </w:rPr>
        <w:t xml:space="preserve"> </w:t>
      </w:r>
      <w:r w:rsidRPr="007424C0">
        <w:rPr>
          <w:rFonts w:cs="Arial" w:hint="cs"/>
          <w:rtl/>
        </w:rPr>
        <w:t>הא</w:t>
      </w:r>
      <w:r w:rsidRPr="007424C0">
        <w:rPr>
          <w:rFonts w:cs="Arial"/>
          <w:rtl/>
        </w:rPr>
        <w:t xml:space="preserve"> </w:t>
      </w:r>
      <w:r w:rsidRPr="007424C0">
        <w:rPr>
          <w:rFonts w:cs="Arial" w:hint="cs"/>
          <w:rtl/>
        </w:rPr>
        <w:t>בלאו</w:t>
      </w:r>
      <w:r w:rsidRPr="007424C0">
        <w:rPr>
          <w:rFonts w:cs="Arial"/>
          <w:rtl/>
        </w:rPr>
        <w:t xml:space="preserve"> </w:t>
      </w:r>
      <w:r w:rsidRPr="007424C0">
        <w:rPr>
          <w:rFonts w:cs="Arial" w:hint="cs"/>
          <w:rtl/>
        </w:rPr>
        <w:t>הכי</w:t>
      </w:r>
      <w:r w:rsidRPr="007424C0">
        <w:rPr>
          <w:rFonts w:cs="Arial"/>
          <w:rtl/>
        </w:rPr>
        <w:t xml:space="preserve"> </w:t>
      </w:r>
      <w:r w:rsidRPr="007424C0">
        <w:rPr>
          <w:rFonts w:cs="Arial" w:hint="cs"/>
          <w:rtl/>
        </w:rPr>
        <w:t>יש</w:t>
      </w:r>
      <w:r w:rsidRPr="007424C0">
        <w:rPr>
          <w:rFonts w:cs="Arial"/>
          <w:rtl/>
        </w:rPr>
        <w:t xml:space="preserve"> </w:t>
      </w:r>
      <w:r w:rsidRPr="007424C0">
        <w:rPr>
          <w:rFonts w:cs="Arial" w:hint="cs"/>
          <w:rtl/>
        </w:rPr>
        <w:t>לכתוב</w:t>
      </w:r>
      <w:r w:rsidRPr="007424C0">
        <w:rPr>
          <w:rFonts w:cs="Arial"/>
          <w:rtl/>
        </w:rPr>
        <w:t xml:space="preserve"> </w:t>
      </w:r>
      <w:r w:rsidRPr="007424C0">
        <w:rPr>
          <w:rFonts w:cs="Arial" w:hint="cs"/>
          <w:rtl/>
        </w:rPr>
        <w:t>ב</w:t>
      </w:r>
      <w:r w:rsidRPr="007424C0">
        <w:rPr>
          <w:rFonts w:cs="Arial"/>
          <w:rtl/>
        </w:rPr>
        <w:t xml:space="preserve">' </w:t>
      </w:r>
      <w:r w:rsidRPr="007424C0">
        <w:rPr>
          <w:rFonts w:cs="Arial" w:hint="cs"/>
          <w:rtl/>
        </w:rPr>
        <w:t>השמות</w:t>
      </w:r>
      <w:r>
        <w:rPr>
          <w:rFonts w:cs="Arial" w:hint="cs"/>
          <w:rtl/>
        </w:rPr>
        <w:t>.</w:t>
      </w:r>
      <w:r w:rsidRPr="007424C0">
        <w:rPr>
          <w:rFonts w:cs="Arial"/>
          <w:rtl/>
        </w:rPr>
        <w:t xml:space="preserve"> </w:t>
      </w:r>
      <w:r w:rsidRPr="007424C0">
        <w:rPr>
          <w:rFonts w:cs="Arial" w:hint="cs"/>
          <w:rtl/>
        </w:rPr>
        <w:t>וכן</w:t>
      </w:r>
      <w:r w:rsidRPr="007424C0">
        <w:rPr>
          <w:rFonts w:cs="Arial"/>
          <w:rtl/>
        </w:rPr>
        <w:t xml:space="preserve"> </w:t>
      </w:r>
      <w:r w:rsidRPr="007424C0">
        <w:rPr>
          <w:rFonts w:cs="Arial" w:hint="cs"/>
          <w:rtl/>
        </w:rPr>
        <w:t>נוהגין</w:t>
      </w:r>
      <w:r w:rsidRPr="007424C0">
        <w:rPr>
          <w:rFonts w:cs="Arial"/>
          <w:rtl/>
        </w:rPr>
        <w:t xml:space="preserve"> </w:t>
      </w:r>
      <w:r w:rsidRPr="007424C0">
        <w:rPr>
          <w:rFonts w:cs="Arial" w:hint="cs"/>
          <w:rtl/>
        </w:rPr>
        <w:t>כמו</w:t>
      </w:r>
      <w:r w:rsidRPr="007424C0">
        <w:rPr>
          <w:rFonts w:cs="Arial"/>
          <w:rtl/>
        </w:rPr>
        <w:t xml:space="preserve"> </w:t>
      </w:r>
      <w:r w:rsidRPr="007424C0">
        <w:rPr>
          <w:rFonts w:cs="Arial" w:hint="cs"/>
          <w:rtl/>
        </w:rPr>
        <w:t>שתראה</w:t>
      </w:r>
      <w:r w:rsidRPr="007424C0">
        <w:rPr>
          <w:rFonts w:cs="Arial"/>
          <w:rtl/>
        </w:rPr>
        <w:t xml:space="preserve"> </w:t>
      </w:r>
      <w:r w:rsidRPr="007424C0">
        <w:rPr>
          <w:rFonts w:cs="Arial" w:hint="cs"/>
          <w:rtl/>
        </w:rPr>
        <w:t>בנוסח</w:t>
      </w:r>
      <w:r w:rsidRPr="007424C0">
        <w:rPr>
          <w:rFonts w:cs="Arial"/>
          <w:rtl/>
        </w:rPr>
        <w:t xml:space="preserve"> </w:t>
      </w:r>
      <w:r w:rsidRPr="007424C0">
        <w:rPr>
          <w:rFonts w:cs="Arial" w:hint="cs"/>
          <w:rtl/>
        </w:rPr>
        <w:t>הגט</w:t>
      </w:r>
      <w:r w:rsidRPr="007424C0">
        <w:rPr>
          <w:rFonts w:cs="Arial"/>
          <w:rtl/>
        </w:rPr>
        <w:t xml:space="preserve"> </w:t>
      </w:r>
      <w:r w:rsidRPr="007424C0">
        <w:rPr>
          <w:rFonts w:cs="Arial" w:hint="cs"/>
          <w:rtl/>
        </w:rPr>
        <w:t>שכתבתי</w:t>
      </w:r>
      <w:r w:rsidRPr="007424C0">
        <w:rPr>
          <w:rFonts w:cs="Arial"/>
          <w:rtl/>
        </w:rPr>
        <w:t xml:space="preserve"> </w:t>
      </w:r>
      <w:r w:rsidRPr="007424C0">
        <w:rPr>
          <w:rFonts w:cs="Arial" w:hint="cs"/>
          <w:rtl/>
        </w:rPr>
        <w:t>לעיל</w:t>
      </w:r>
      <w:r w:rsidRPr="007424C0">
        <w:rPr>
          <w:rFonts w:cs="Arial"/>
          <w:rtl/>
        </w:rPr>
        <w:t xml:space="preserve"> (</w:t>
      </w:r>
      <w:r w:rsidRPr="007424C0">
        <w:rPr>
          <w:rFonts w:cs="Arial" w:hint="cs"/>
          <w:rtl/>
        </w:rPr>
        <w:t>סי</w:t>
      </w:r>
      <w:r w:rsidRPr="007424C0">
        <w:rPr>
          <w:rFonts w:cs="Arial"/>
          <w:rtl/>
        </w:rPr>
        <w:t xml:space="preserve">' </w:t>
      </w:r>
      <w:r w:rsidRPr="007424C0">
        <w:rPr>
          <w:rFonts w:cs="Arial" w:hint="cs"/>
          <w:rtl/>
        </w:rPr>
        <w:t>קכו</w:t>
      </w:r>
      <w:r w:rsidRPr="007424C0">
        <w:rPr>
          <w:rFonts w:cs="Arial"/>
          <w:rtl/>
        </w:rPr>
        <w:t xml:space="preserve"> </w:t>
      </w:r>
      <w:r w:rsidRPr="007424C0">
        <w:rPr>
          <w:rFonts w:cs="Arial" w:hint="cs"/>
          <w:rtl/>
        </w:rPr>
        <w:t>אות</w:t>
      </w:r>
      <w:r w:rsidRPr="007424C0">
        <w:rPr>
          <w:rFonts w:cs="Arial"/>
          <w:rtl/>
        </w:rPr>
        <w:t xml:space="preserve"> </w:t>
      </w:r>
      <w:r w:rsidRPr="007424C0">
        <w:rPr>
          <w:rFonts w:cs="Arial" w:hint="cs"/>
          <w:rtl/>
        </w:rPr>
        <w:t>ו</w:t>
      </w:r>
      <w:r w:rsidRPr="007424C0">
        <w:rPr>
          <w:rFonts w:cs="Arial"/>
          <w:rtl/>
        </w:rPr>
        <w:t xml:space="preserve">). </w:t>
      </w:r>
      <w:r w:rsidRPr="007424C0">
        <w:rPr>
          <w:rFonts w:cs="Arial" w:hint="cs"/>
          <w:rtl/>
        </w:rPr>
        <w:t>וכתב</w:t>
      </w:r>
      <w:r w:rsidRPr="007424C0">
        <w:rPr>
          <w:rFonts w:cs="Arial"/>
          <w:rtl/>
        </w:rPr>
        <w:t xml:space="preserve"> </w:t>
      </w:r>
      <w:r w:rsidRPr="007424C0">
        <w:rPr>
          <w:rFonts w:cs="Arial" w:hint="cs"/>
          <w:rtl/>
        </w:rPr>
        <w:t>עוד</w:t>
      </w:r>
      <w:r w:rsidRPr="007424C0">
        <w:rPr>
          <w:rFonts w:cs="Arial"/>
          <w:rtl/>
        </w:rPr>
        <w:t xml:space="preserve"> </w:t>
      </w:r>
      <w:r w:rsidRPr="007424C0">
        <w:rPr>
          <w:rFonts w:cs="Arial" w:hint="cs"/>
          <w:rtl/>
        </w:rPr>
        <w:t>שם</w:t>
      </w:r>
      <w:r w:rsidRPr="007424C0">
        <w:rPr>
          <w:rFonts w:cs="Arial"/>
          <w:rtl/>
        </w:rPr>
        <w:t xml:space="preserve"> </w:t>
      </w:r>
      <w:r>
        <w:rPr>
          <w:rFonts w:cs="Arial" w:hint="cs"/>
          <w:rtl/>
        </w:rPr>
        <w:t>(</w:t>
      </w:r>
      <w:r w:rsidRPr="007424C0">
        <w:rPr>
          <w:rFonts w:cs="Arial" w:hint="cs"/>
          <w:rtl/>
        </w:rPr>
        <w:t>סי</w:t>
      </w:r>
      <w:r>
        <w:rPr>
          <w:rFonts w:cs="Arial" w:hint="cs"/>
          <w:rtl/>
        </w:rPr>
        <w:t>'</w:t>
      </w:r>
      <w:r w:rsidRPr="007424C0">
        <w:rPr>
          <w:rFonts w:cs="Arial"/>
          <w:rtl/>
        </w:rPr>
        <w:t xml:space="preserve"> </w:t>
      </w:r>
      <w:r w:rsidRPr="007424C0">
        <w:rPr>
          <w:rFonts w:cs="Arial" w:hint="cs"/>
          <w:rtl/>
        </w:rPr>
        <w:t>קמב</w:t>
      </w:r>
      <w:r>
        <w:rPr>
          <w:rFonts w:cs="Arial" w:hint="cs"/>
          <w:rtl/>
        </w:rPr>
        <w:t>)</w:t>
      </w:r>
      <w:r w:rsidRPr="007424C0">
        <w:rPr>
          <w:rFonts w:cs="Arial"/>
          <w:rtl/>
        </w:rPr>
        <w:t xml:space="preserve"> </w:t>
      </w:r>
      <w:r w:rsidRPr="007424C0">
        <w:rPr>
          <w:rFonts w:cs="Arial" w:hint="cs"/>
          <w:rtl/>
        </w:rPr>
        <w:t>דכותבין</w:t>
      </w:r>
      <w:r w:rsidRPr="007424C0">
        <w:rPr>
          <w:rFonts w:cs="Arial"/>
          <w:rtl/>
        </w:rPr>
        <w:t xml:space="preserve"> </w:t>
      </w:r>
      <w:r w:rsidRPr="007424C0">
        <w:rPr>
          <w:rFonts w:cs="Arial" w:hint="cs"/>
          <w:rtl/>
        </w:rPr>
        <w:t>בשמות</w:t>
      </w:r>
      <w:r w:rsidRPr="007424C0">
        <w:rPr>
          <w:rFonts w:cs="Arial"/>
          <w:rtl/>
        </w:rPr>
        <w:t xml:space="preserve"> </w:t>
      </w:r>
      <w:r w:rsidRPr="007424C0">
        <w:rPr>
          <w:rFonts w:cs="Arial" w:hint="cs"/>
          <w:rtl/>
        </w:rPr>
        <w:t>עיירות</w:t>
      </w:r>
      <w:r w:rsidRPr="007424C0">
        <w:rPr>
          <w:rFonts w:cs="Arial"/>
          <w:rtl/>
        </w:rPr>
        <w:t xml:space="preserve"> </w:t>
      </w:r>
      <w:r w:rsidRPr="007424C0">
        <w:rPr>
          <w:rFonts w:cs="Arial" w:hint="cs"/>
          <w:rtl/>
        </w:rPr>
        <w:t>הקצרים</w:t>
      </w:r>
      <w:r w:rsidRPr="007424C0">
        <w:rPr>
          <w:rFonts w:cs="Arial"/>
          <w:rtl/>
        </w:rPr>
        <w:t xml:space="preserve"> </w:t>
      </w:r>
      <w:r w:rsidRPr="007424C0">
        <w:rPr>
          <w:rFonts w:cs="Arial" w:hint="cs"/>
          <w:rtl/>
        </w:rPr>
        <w:t>א</w:t>
      </w:r>
      <w:r w:rsidRPr="007424C0">
        <w:rPr>
          <w:rFonts w:cs="Arial"/>
          <w:rtl/>
        </w:rPr>
        <w:t xml:space="preserve">' </w:t>
      </w:r>
      <w:r w:rsidRPr="007424C0">
        <w:rPr>
          <w:rFonts w:cs="Arial" w:hint="cs"/>
          <w:rtl/>
        </w:rPr>
        <w:t>לבסוף</w:t>
      </w:r>
      <w:r w:rsidRPr="007424C0">
        <w:rPr>
          <w:rFonts w:cs="Arial"/>
          <w:rtl/>
        </w:rPr>
        <w:t xml:space="preserve"> </w:t>
      </w:r>
      <w:r w:rsidRPr="007424C0">
        <w:rPr>
          <w:rFonts w:cs="Arial" w:hint="cs"/>
          <w:rtl/>
        </w:rPr>
        <w:t>אע</w:t>
      </w:r>
      <w:r>
        <w:rPr>
          <w:rFonts w:cs="Arial" w:hint="cs"/>
          <w:rtl/>
        </w:rPr>
        <w:t>"</w:t>
      </w:r>
      <w:r w:rsidRPr="007424C0">
        <w:rPr>
          <w:rFonts w:cs="Arial" w:hint="cs"/>
          <w:rtl/>
        </w:rPr>
        <w:t>פ</w:t>
      </w:r>
      <w:r w:rsidRPr="007424C0">
        <w:rPr>
          <w:rFonts w:cs="Arial"/>
          <w:rtl/>
        </w:rPr>
        <w:t xml:space="preserve"> </w:t>
      </w:r>
      <w:r w:rsidRPr="007424C0">
        <w:rPr>
          <w:rFonts w:cs="Arial" w:hint="cs"/>
          <w:rtl/>
        </w:rPr>
        <w:t>שאינו</w:t>
      </w:r>
      <w:r w:rsidRPr="007424C0">
        <w:rPr>
          <w:rFonts w:cs="Arial"/>
          <w:rtl/>
        </w:rPr>
        <w:t xml:space="preserve"> </w:t>
      </w:r>
      <w:r w:rsidRPr="007424C0">
        <w:rPr>
          <w:rFonts w:cs="Arial" w:hint="cs"/>
          <w:rtl/>
        </w:rPr>
        <w:t>נקרא</w:t>
      </w:r>
      <w:r w:rsidRPr="007424C0">
        <w:rPr>
          <w:rFonts w:cs="Arial"/>
          <w:rtl/>
        </w:rPr>
        <w:t xml:space="preserve"> </w:t>
      </w:r>
      <w:r w:rsidRPr="007424C0">
        <w:rPr>
          <w:rFonts w:cs="Arial" w:hint="cs"/>
          <w:rtl/>
        </w:rPr>
        <w:t>כגון</w:t>
      </w:r>
      <w:r w:rsidRPr="007424C0">
        <w:rPr>
          <w:rFonts w:cs="Arial"/>
          <w:rtl/>
        </w:rPr>
        <w:t xml:space="preserve"> </w:t>
      </w:r>
      <w:r w:rsidRPr="007424C0">
        <w:rPr>
          <w:rFonts w:cs="Arial" w:hint="cs"/>
          <w:rtl/>
        </w:rPr>
        <w:t>בזל</w:t>
      </w:r>
      <w:r w:rsidRPr="007424C0">
        <w:rPr>
          <w:rFonts w:cs="Arial"/>
          <w:rtl/>
        </w:rPr>
        <w:t>"</w:t>
      </w:r>
      <w:r w:rsidRPr="007424C0">
        <w:rPr>
          <w:rFonts w:cs="Arial" w:hint="cs"/>
          <w:rtl/>
        </w:rPr>
        <w:t>א</w:t>
      </w:r>
      <w:r w:rsidRPr="007424C0">
        <w:rPr>
          <w:rFonts w:cs="Arial"/>
          <w:rtl/>
        </w:rPr>
        <w:t xml:space="preserve"> </w:t>
      </w:r>
      <w:r w:rsidRPr="007424C0">
        <w:rPr>
          <w:rFonts w:cs="Arial" w:hint="cs"/>
          <w:rtl/>
        </w:rPr>
        <w:t>וינ</w:t>
      </w:r>
      <w:r w:rsidRPr="007424C0">
        <w:rPr>
          <w:rFonts w:cs="Arial"/>
          <w:rtl/>
        </w:rPr>
        <w:t>"</w:t>
      </w:r>
      <w:r w:rsidRPr="007424C0">
        <w:rPr>
          <w:rFonts w:cs="Arial" w:hint="cs"/>
          <w:rtl/>
        </w:rPr>
        <w:t>א</w:t>
      </w:r>
      <w:r w:rsidRPr="007424C0">
        <w:rPr>
          <w:rFonts w:cs="Arial"/>
          <w:rtl/>
        </w:rPr>
        <w:t xml:space="preserve"> </w:t>
      </w:r>
      <w:r w:rsidRPr="007424C0">
        <w:rPr>
          <w:rFonts w:cs="Arial" w:hint="cs"/>
          <w:rtl/>
        </w:rPr>
        <w:t>וכו</w:t>
      </w:r>
      <w:r w:rsidRPr="007424C0">
        <w:rPr>
          <w:rFonts w:cs="Arial"/>
          <w:rtl/>
        </w:rPr>
        <w:t>'</w:t>
      </w:r>
      <w:r>
        <w:rPr>
          <w:rFonts w:cs="Arial" w:hint="cs"/>
          <w:rtl/>
        </w:rPr>
        <w:t>.</w:t>
      </w:r>
      <w:r w:rsidRPr="007424C0">
        <w:rPr>
          <w:rFonts w:cs="Arial"/>
          <w:rtl/>
        </w:rPr>
        <w:t xml:space="preserve"> </w:t>
      </w:r>
      <w:r w:rsidRPr="007424C0">
        <w:rPr>
          <w:rFonts w:cs="Arial" w:hint="cs"/>
          <w:rtl/>
        </w:rPr>
        <w:t>ועיי</w:t>
      </w:r>
      <w:r w:rsidRPr="007424C0">
        <w:rPr>
          <w:rFonts w:cs="Arial"/>
          <w:rtl/>
        </w:rPr>
        <w:t>"</w:t>
      </w:r>
      <w:r w:rsidRPr="007424C0">
        <w:rPr>
          <w:rFonts w:cs="Arial" w:hint="cs"/>
          <w:rtl/>
        </w:rPr>
        <w:t>ש</w:t>
      </w:r>
      <w:r w:rsidRPr="007424C0">
        <w:rPr>
          <w:rFonts w:cs="Arial"/>
          <w:rtl/>
        </w:rPr>
        <w:t xml:space="preserve"> </w:t>
      </w:r>
      <w:r w:rsidRPr="007424C0">
        <w:rPr>
          <w:rFonts w:cs="Arial" w:hint="cs"/>
          <w:rtl/>
        </w:rPr>
        <w:t>שהאריך</w:t>
      </w:r>
      <w:r w:rsidRPr="007424C0">
        <w:rPr>
          <w:rFonts w:cs="Arial"/>
          <w:rtl/>
        </w:rPr>
        <w:t xml:space="preserve"> </w:t>
      </w:r>
      <w:r w:rsidRPr="007424C0">
        <w:rPr>
          <w:rFonts w:cs="Arial" w:hint="cs"/>
          <w:rtl/>
        </w:rPr>
        <w:t>באלו</w:t>
      </w:r>
      <w:r w:rsidRPr="007424C0">
        <w:rPr>
          <w:rFonts w:cs="Arial"/>
          <w:rtl/>
        </w:rPr>
        <w:t xml:space="preserve"> </w:t>
      </w:r>
      <w:r w:rsidRPr="007424C0">
        <w:rPr>
          <w:rFonts w:cs="Arial" w:hint="cs"/>
          <w:rtl/>
        </w:rPr>
        <w:t>הדברים</w:t>
      </w:r>
      <w:r>
        <w:rPr>
          <w:rFonts w:cs="Arial" w:hint="cs"/>
          <w:rtl/>
        </w:rPr>
        <w:t>, דרכ"מ (אות טז)</w:t>
      </w:r>
      <w:r w:rsidRPr="007424C0">
        <w:rPr>
          <w:rFonts w:cs="Arial"/>
          <w:rtl/>
        </w:rPr>
        <w:t xml:space="preserve">. </w:t>
      </w:r>
    </w:p>
  </w:footnote>
  <w:footnote w:id="991">
    <w:p w14:paraId="1AB34945" w14:textId="3686AF20" w:rsidR="00FA2119" w:rsidRDefault="00FA2119" w:rsidP="00FA2119">
      <w:pPr>
        <w:pStyle w:val="a5"/>
      </w:pPr>
      <w:r>
        <w:rPr>
          <w:rStyle w:val="a7"/>
        </w:rPr>
        <w:footnoteRef/>
      </w:r>
      <w:r>
        <w:rPr>
          <w:rtl/>
        </w:rPr>
        <w:t xml:space="preserve"> </w:t>
      </w:r>
      <w:r w:rsidRPr="008C1A5E">
        <w:rPr>
          <w:rFonts w:cs="Arial" w:hint="cs"/>
          <w:rtl/>
        </w:rPr>
        <w:t>כתב</w:t>
      </w:r>
      <w:r w:rsidRPr="008C1A5E">
        <w:rPr>
          <w:rFonts w:cs="Arial"/>
          <w:rtl/>
        </w:rPr>
        <w:t xml:space="preserve"> </w:t>
      </w:r>
      <w:r w:rsidRPr="008C1A5E">
        <w:rPr>
          <w:rFonts w:cs="Arial" w:hint="cs"/>
          <w:rtl/>
        </w:rPr>
        <w:t>הר</w:t>
      </w:r>
      <w:r w:rsidRPr="008C1A5E">
        <w:rPr>
          <w:rFonts w:cs="Arial"/>
          <w:rtl/>
        </w:rPr>
        <w:t>"</w:t>
      </w:r>
      <w:r w:rsidRPr="008C1A5E">
        <w:rPr>
          <w:rFonts w:cs="Arial" w:hint="cs"/>
          <w:rtl/>
        </w:rPr>
        <w:t>ן</w:t>
      </w:r>
      <w:r w:rsidRPr="00E62054">
        <w:rPr>
          <w:rFonts w:cs="Arial"/>
          <w:sz w:val="16"/>
          <w:szCs w:val="16"/>
          <w:rtl/>
        </w:rPr>
        <w:t xml:space="preserve"> (</w:t>
      </w:r>
      <w:r w:rsidRPr="00E62054">
        <w:rPr>
          <w:rFonts w:cs="Arial" w:hint="cs"/>
          <w:sz w:val="16"/>
          <w:szCs w:val="16"/>
          <w:rtl/>
        </w:rPr>
        <w:t>ב</w:t>
      </w:r>
      <w:r w:rsidRPr="00E62054">
        <w:rPr>
          <w:rFonts w:cs="Arial"/>
          <w:sz w:val="16"/>
          <w:szCs w:val="16"/>
          <w:rtl/>
        </w:rPr>
        <w:t>"</w:t>
      </w:r>
      <w:r w:rsidRPr="00E62054">
        <w:rPr>
          <w:rFonts w:cs="Arial" w:hint="cs"/>
          <w:sz w:val="16"/>
          <w:szCs w:val="16"/>
          <w:rtl/>
        </w:rPr>
        <w:t>ב</w:t>
      </w:r>
      <w:r w:rsidRPr="00E62054">
        <w:rPr>
          <w:rFonts w:cs="Arial"/>
          <w:sz w:val="16"/>
          <w:szCs w:val="16"/>
          <w:rtl/>
        </w:rPr>
        <w:t xml:space="preserve"> </w:t>
      </w:r>
      <w:r w:rsidRPr="00E62054">
        <w:rPr>
          <w:rFonts w:cs="Arial" w:hint="cs"/>
          <w:sz w:val="16"/>
          <w:szCs w:val="16"/>
          <w:rtl/>
        </w:rPr>
        <w:t>קסז</w:t>
      </w:r>
      <w:r w:rsidRPr="00E62054">
        <w:rPr>
          <w:rFonts w:cs="Arial"/>
          <w:sz w:val="16"/>
          <w:szCs w:val="16"/>
          <w:rtl/>
        </w:rPr>
        <w:t xml:space="preserve">: </w:t>
      </w:r>
      <w:r w:rsidRPr="00E62054">
        <w:rPr>
          <w:rFonts w:cs="Arial" w:hint="cs"/>
          <w:sz w:val="16"/>
          <w:szCs w:val="16"/>
          <w:rtl/>
        </w:rPr>
        <w:t>ד</w:t>
      </w:r>
      <w:r w:rsidRPr="00E62054">
        <w:rPr>
          <w:rFonts w:cs="Arial"/>
          <w:sz w:val="16"/>
          <w:szCs w:val="16"/>
          <w:rtl/>
        </w:rPr>
        <w:t>"</w:t>
      </w:r>
      <w:r w:rsidRPr="00E62054">
        <w:rPr>
          <w:rFonts w:cs="Arial" w:hint="cs"/>
          <w:sz w:val="16"/>
          <w:szCs w:val="16"/>
          <w:rtl/>
        </w:rPr>
        <w:t>ה</w:t>
      </w:r>
      <w:r w:rsidRPr="00E62054">
        <w:rPr>
          <w:rFonts w:cs="Arial"/>
          <w:sz w:val="16"/>
          <w:szCs w:val="16"/>
          <w:rtl/>
        </w:rPr>
        <w:t xml:space="preserve"> </w:t>
      </w:r>
      <w:r w:rsidRPr="00E62054">
        <w:rPr>
          <w:rFonts w:cs="Arial" w:hint="cs"/>
          <w:sz w:val="16"/>
          <w:szCs w:val="16"/>
          <w:rtl/>
        </w:rPr>
        <w:t>כל,</w:t>
      </w:r>
      <w:r w:rsidRPr="00E62054">
        <w:rPr>
          <w:rFonts w:cs="Arial"/>
          <w:sz w:val="16"/>
          <w:szCs w:val="16"/>
          <w:rtl/>
        </w:rPr>
        <w:t xml:space="preserve"> </w:t>
      </w:r>
      <w:r w:rsidRPr="00E62054">
        <w:rPr>
          <w:rFonts w:cs="Arial" w:hint="cs"/>
          <w:sz w:val="16"/>
          <w:szCs w:val="16"/>
          <w:rtl/>
        </w:rPr>
        <w:t>אהא</w:t>
      </w:r>
      <w:r w:rsidRPr="00E62054">
        <w:rPr>
          <w:rFonts w:cs="Arial"/>
          <w:sz w:val="16"/>
          <w:szCs w:val="16"/>
          <w:rtl/>
        </w:rPr>
        <w:t xml:space="preserve"> </w:t>
      </w:r>
      <w:r w:rsidRPr="00E62054">
        <w:rPr>
          <w:rFonts w:cs="Arial" w:hint="cs"/>
          <w:sz w:val="16"/>
          <w:szCs w:val="16"/>
          <w:rtl/>
        </w:rPr>
        <w:t>דאמרינן</w:t>
      </w:r>
      <w:r w:rsidRPr="00E62054">
        <w:rPr>
          <w:rFonts w:cs="Arial"/>
          <w:sz w:val="16"/>
          <w:szCs w:val="16"/>
          <w:rtl/>
        </w:rPr>
        <w:t xml:space="preserve"> (</w:t>
      </w:r>
      <w:r w:rsidRPr="00E62054">
        <w:rPr>
          <w:rFonts w:cs="Arial" w:hint="cs"/>
          <w:sz w:val="16"/>
          <w:szCs w:val="16"/>
          <w:rtl/>
        </w:rPr>
        <w:t>שם</w:t>
      </w:r>
      <w:r w:rsidRPr="00E62054">
        <w:rPr>
          <w:rFonts w:cs="Arial"/>
          <w:sz w:val="16"/>
          <w:szCs w:val="16"/>
          <w:rtl/>
        </w:rPr>
        <w:t xml:space="preserve">) </w:t>
      </w:r>
      <w:r w:rsidRPr="00E62054">
        <w:rPr>
          <w:rFonts w:cs="Arial" w:hint="cs"/>
          <w:sz w:val="16"/>
          <w:szCs w:val="16"/>
          <w:rtl/>
        </w:rPr>
        <w:t>כל</w:t>
      </w:r>
      <w:r w:rsidRPr="00E62054">
        <w:rPr>
          <w:rFonts w:cs="Arial"/>
          <w:sz w:val="16"/>
          <w:szCs w:val="16"/>
          <w:rtl/>
        </w:rPr>
        <w:t xml:space="preserve"> </w:t>
      </w:r>
      <w:r w:rsidRPr="00E62054">
        <w:rPr>
          <w:rFonts w:cs="Arial" w:hint="cs"/>
          <w:sz w:val="16"/>
          <w:szCs w:val="16"/>
          <w:rtl/>
        </w:rPr>
        <w:t>שהוחזק</w:t>
      </w:r>
      <w:r w:rsidRPr="00E62054">
        <w:rPr>
          <w:rFonts w:cs="Arial"/>
          <w:sz w:val="16"/>
          <w:szCs w:val="16"/>
          <w:rtl/>
        </w:rPr>
        <w:t xml:space="preserve"> </w:t>
      </w:r>
      <w:r w:rsidRPr="00E62054">
        <w:rPr>
          <w:rFonts w:cs="Arial" w:hint="cs"/>
          <w:sz w:val="16"/>
          <w:szCs w:val="16"/>
          <w:rtl/>
        </w:rPr>
        <w:t>שמו</w:t>
      </w:r>
      <w:r w:rsidRPr="00E62054">
        <w:rPr>
          <w:rFonts w:cs="Arial"/>
          <w:sz w:val="16"/>
          <w:szCs w:val="16"/>
          <w:rtl/>
        </w:rPr>
        <w:t xml:space="preserve"> </w:t>
      </w:r>
      <w:r w:rsidRPr="00E62054">
        <w:rPr>
          <w:rFonts w:cs="Arial" w:hint="cs"/>
          <w:sz w:val="16"/>
          <w:szCs w:val="16"/>
          <w:rtl/>
        </w:rPr>
        <w:t>בעיר</w:t>
      </w:r>
      <w:r w:rsidRPr="00E62054">
        <w:rPr>
          <w:rFonts w:cs="Arial"/>
          <w:sz w:val="16"/>
          <w:szCs w:val="16"/>
          <w:rtl/>
        </w:rPr>
        <w:t xml:space="preserve"> </w:t>
      </w:r>
      <w:r w:rsidRPr="00E62054">
        <w:rPr>
          <w:rFonts w:cs="Arial" w:hint="cs"/>
          <w:sz w:val="16"/>
          <w:szCs w:val="16"/>
          <w:rtl/>
        </w:rPr>
        <w:t>שלשים</w:t>
      </w:r>
      <w:r w:rsidRPr="00E62054">
        <w:rPr>
          <w:rFonts w:cs="Arial"/>
          <w:sz w:val="16"/>
          <w:szCs w:val="16"/>
          <w:rtl/>
        </w:rPr>
        <w:t xml:space="preserve"> </w:t>
      </w:r>
      <w:r w:rsidRPr="00E62054">
        <w:rPr>
          <w:rFonts w:cs="Arial" w:hint="cs"/>
          <w:sz w:val="16"/>
          <w:szCs w:val="16"/>
          <w:rtl/>
        </w:rPr>
        <w:t>יום</w:t>
      </w:r>
      <w:r w:rsidRPr="00E62054">
        <w:rPr>
          <w:rFonts w:cs="Arial"/>
          <w:sz w:val="16"/>
          <w:szCs w:val="16"/>
          <w:rtl/>
        </w:rPr>
        <w:t xml:space="preserve"> </w:t>
      </w:r>
      <w:r w:rsidRPr="00E62054">
        <w:rPr>
          <w:rFonts w:cs="Arial" w:hint="cs"/>
          <w:sz w:val="16"/>
          <w:szCs w:val="16"/>
          <w:rtl/>
        </w:rPr>
        <w:t>אין</w:t>
      </w:r>
      <w:r w:rsidRPr="00E62054">
        <w:rPr>
          <w:rFonts w:cs="Arial"/>
          <w:sz w:val="16"/>
          <w:szCs w:val="16"/>
          <w:rtl/>
        </w:rPr>
        <w:t xml:space="preserve"> </w:t>
      </w:r>
      <w:r w:rsidRPr="00E62054">
        <w:rPr>
          <w:rFonts w:cs="Arial" w:hint="cs"/>
          <w:sz w:val="16"/>
          <w:szCs w:val="16"/>
          <w:rtl/>
        </w:rPr>
        <w:t>חוששין</w:t>
      </w:r>
      <w:r w:rsidRPr="00E62054">
        <w:rPr>
          <w:rFonts w:cs="Arial"/>
          <w:sz w:val="16"/>
          <w:szCs w:val="16"/>
          <w:rtl/>
        </w:rPr>
        <w:t xml:space="preserve"> </w:t>
      </w:r>
      <w:r w:rsidRPr="00E62054">
        <w:rPr>
          <w:rFonts w:cs="Arial" w:hint="cs"/>
          <w:sz w:val="16"/>
          <w:szCs w:val="16"/>
          <w:rtl/>
        </w:rPr>
        <w:t>לו)</w:t>
      </w:r>
      <w:r>
        <w:rPr>
          <w:rFonts w:cs="Arial" w:hint="cs"/>
          <w:rtl/>
        </w:rPr>
        <w:t xml:space="preserve">, </w:t>
      </w:r>
      <w:r w:rsidR="000A0F5A">
        <w:rPr>
          <w:rFonts w:cs="Arial" w:hint="cs"/>
          <w:rtl/>
        </w:rPr>
        <w:t>וז</w:t>
      </w:r>
      <w:r w:rsidR="000A0F5A">
        <w:rPr>
          <w:rFonts w:cs="Arial"/>
          <w:rtl/>
        </w:rPr>
        <w:t>"</w:t>
      </w:r>
      <w:r w:rsidR="000A0F5A">
        <w:rPr>
          <w:rFonts w:cs="Arial" w:hint="cs"/>
          <w:rtl/>
        </w:rPr>
        <w:t>ל:</w:t>
      </w:r>
      <w:r w:rsidRPr="008C1A5E">
        <w:rPr>
          <w:rFonts w:cs="Arial"/>
          <w:rtl/>
        </w:rPr>
        <w:t xml:space="preserve"> </w:t>
      </w:r>
      <w:r w:rsidRPr="008C1A5E">
        <w:rPr>
          <w:rFonts w:cs="Arial" w:hint="cs"/>
          <w:rtl/>
        </w:rPr>
        <w:t>כתב</w:t>
      </w:r>
      <w:r w:rsidRPr="008C1A5E">
        <w:rPr>
          <w:rFonts w:cs="Arial"/>
          <w:rtl/>
        </w:rPr>
        <w:t xml:space="preserve"> </w:t>
      </w:r>
      <w:r w:rsidRPr="008C1A5E">
        <w:rPr>
          <w:rFonts w:cs="Arial" w:hint="cs"/>
          <w:rtl/>
        </w:rPr>
        <w:t>הראב</w:t>
      </w:r>
      <w:r w:rsidRPr="008C1A5E">
        <w:rPr>
          <w:rFonts w:cs="Arial"/>
          <w:rtl/>
        </w:rPr>
        <w:t>"</w:t>
      </w:r>
      <w:r w:rsidRPr="008C1A5E">
        <w:rPr>
          <w:rFonts w:cs="Arial" w:hint="cs"/>
          <w:rtl/>
        </w:rPr>
        <w:t>ד</w:t>
      </w:r>
      <w:r w:rsidRPr="008C1A5E">
        <w:rPr>
          <w:rFonts w:cs="Arial"/>
          <w:rtl/>
        </w:rPr>
        <w:t xml:space="preserve"> </w:t>
      </w:r>
      <w:r w:rsidRPr="008C1A5E">
        <w:rPr>
          <w:rFonts w:cs="Arial" w:hint="cs"/>
          <w:rtl/>
        </w:rPr>
        <w:t>דמדלא</w:t>
      </w:r>
      <w:r w:rsidRPr="008C1A5E">
        <w:rPr>
          <w:rFonts w:cs="Arial"/>
          <w:rtl/>
        </w:rPr>
        <w:t xml:space="preserve"> </w:t>
      </w:r>
      <w:r w:rsidRPr="008C1A5E">
        <w:rPr>
          <w:rFonts w:cs="Arial" w:hint="cs"/>
          <w:rtl/>
        </w:rPr>
        <w:t>חיישינן</w:t>
      </w:r>
      <w:r w:rsidRPr="008C1A5E">
        <w:rPr>
          <w:rFonts w:cs="Arial"/>
          <w:rtl/>
        </w:rPr>
        <w:t xml:space="preserve"> </w:t>
      </w:r>
      <w:r w:rsidRPr="008C1A5E">
        <w:rPr>
          <w:rFonts w:cs="Arial" w:hint="cs"/>
          <w:rtl/>
        </w:rPr>
        <w:t>דילמא</w:t>
      </w:r>
      <w:r w:rsidRPr="008C1A5E">
        <w:rPr>
          <w:rFonts w:cs="Arial"/>
          <w:rtl/>
        </w:rPr>
        <w:t xml:space="preserve"> </w:t>
      </w:r>
      <w:r w:rsidRPr="008C1A5E">
        <w:rPr>
          <w:rFonts w:cs="Arial" w:hint="cs"/>
          <w:rtl/>
        </w:rPr>
        <w:t>איכא</w:t>
      </w:r>
      <w:r w:rsidRPr="008C1A5E">
        <w:rPr>
          <w:rFonts w:cs="Arial"/>
          <w:rtl/>
        </w:rPr>
        <w:t xml:space="preserve"> </w:t>
      </w:r>
      <w:r w:rsidRPr="008C1A5E">
        <w:rPr>
          <w:rFonts w:cs="Arial" w:hint="cs"/>
          <w:rtl/>
        </w:rPr>
        <w:t>יוסף</w:t>
      </w:r>
      <w:r w:rsidRPr="008C1A5E">
        <w:rPr>
          <w:rFonts w:cs="Arial"/>
          <w:rtl/>
        </w:rPr>
        <w:t xml:space="preserve"> </w:t>
      </w:r>
      <w:r w:rsidRPr="008C1A5E">
        <w:rPr>
          <w:rFonts w:cs="Arial" w:hint="cs"/>
          <w:rtl/>
        </w:rPr>
        <w:t>בן</w:t>
      </w:r>
      <w:r w:rsidRPr="008C1A5E">
        <w:rPr>
          <w:rFonts w:cs="Arial"/>
          <w:rtl/>
        </w:rPr>
        <w:t xml:space="preserve"> </w:t>
      </w:r>
      <w:r w:rsidRPr="008C1A5E">
        <w:rPr>
          <w:rFonts w:cs="Arial" w:hint="cs"/>
          <w:rtl/>
        </w:rPr>
        <w:t>שמעון</w:t>
      </w:r>
      <w:r w:rsidRPr="008C1A5E">
        <w:rPr>
          <w:rFonts w:cs="Arial"/>
          <w:rtl/>
        </w:rPr>
        <w:t xml:space="preserve"> </w:t>
      </w:r>
      <w:r w:rsidRPr="008C1A5E">
        <w:rPr>
          <w:rFonts w:cs="Arial" w:hint="cs"/>
          <w:rtl/>
        </w:rPr>
        <w:t>אחרינא</w:t>
      </w:r>
      <w:r w:rsidRPr="008C1A5E">
        <w:rPr>
          <w:rFonts w:cs="Arial"/>
          <w:rtl/>
        </w:rPr>
        <w:t xml:space="preserve"> </w:t>
      </w:r>
      <w:r w:rsidRPr="008C1A5E">
        <w:rPr>
          <w:rFonts w:cs="Arial" w:hint="cs"/>
          <w:rtl/>
        </w:rPr>
        <w:t>במתא</w:t>
      </w:r>
      <w:r w:rsidRPr="008C1A5E">
        <w:rPr>
          <w:rFonts w:cs="Arial"/>
          <w:rtl/>
        </w:rPr>
        <w:t xml:space="preserve"> </w:t>
      </w:r>
      <w:r w:rsidRPr="008C1A5E">
        <w:rPr>
          <w:rFonts w:cs="Arial" w:hint="cs"/>
          <w:rtl/>
        </w:rPr>
        <w:t>אחריתא</w:t>
      </w:r>
      <w:r w:rsidRPr="008C1A5E">
        <w:rPr>
          <w:rFonts w:cs="Arial"/>
          <w:rtl/>
        </w:rPr>
        <w:t xml:space="preserve"> </w:t>
      </w:r>
      <w:r w:rsidRPr="008C1A5E">
        <w:rPr>
          <w:rFonts w:cs="Arial" w:hint="cs"/>
          <w:rtl/>
        </w:rPr>
        <w:t>וכתיב</w:t>
      </w:r>
      <w:r w:rsidRPr="008C1A5E">
        <w:rPr>
          <w:rFonts w:cs="Arial"/>
          <w:rtl/>
        </w:rPr>
        <w:t xml:space="preserve"> </w:t>
      </w:r>
      <w:r w:rsidRPr="008C1A5E">
        <w:rPr>
          <w:rFonts w:cs="Arial" w:hint="cs"/>
          <w:rtl/>
        </w:rPr>
        <w:t>האי</w:t>
      </w:r>
      <w:r w:rsidRPr="008C1A5E">
        <w:rPr>
          <w:rFonts w:cs="Arial"/>
          <w:rtl/>
        </w:rPr>
        <w:t xml:space="preserve"> </w:t>
      </w:r>
      <w:r w:rsidRPr="008C1A5E">
        <w:rPr>
          <w:rFonts w:cs="Arial" w:hint="cs"/>
          <w:rtl/>
        </w:rPr>
        <w:t>גיטא</w:t>
      </w:r>
      <w:r w:rsidRPr="008C1A5E">
        <w:rPr>
          <w:rFonts w:cs="Arial"/>
          <w:rtl/>
        </w:rPr>
        <w:t xml:space="preserve"> </w:t>
      </w:r>
      <w:r w:rsidRPr="008C1A5E">
        <w:rPr>
          <w:rFonts w:cs="Arial" w:hint="cs"/>
          <w:rtl/>
        </w:rPr>
        <w:t>הכא</w:t>
      </w:r>
      <w:r w:rsidRPr="008C1A5E">
        <w:rPr>
          <w:rFonts w:cs="Arial"/>
          <w:rtl/>
        </w:rPr>
        <w:t xml:space="preserve"> </w:t>
      </w:r>
      <w:r w:rsidRPr="008C1A5E">
        <w:rPr>
          <w:rFonts w:cs="Arial" w:hint="cs"/>
          <w:rtl/>
        </w:rPr>
        <w:t>וממטי</w:t>
      </w:r>
      <w:r w:rsidRPr="008C1A5E">
        <w:rPr>
          <w:rFonts w:cs="Arial"/>
          <w:rtl/>
        </w:rPr>
        <w:t xml:space="preserve"> </w:t>
      </w:r>
      <w:r w:rsidRPr="008C1A5E">
        <w:rPr>
          <w:rFonts w:cs="Arial" w:hint="cs"/>
          <w:rtl/>
        </w:rPr>
        <w:t>ליה</w:t>
      </w:r>
      <w:r w:rsidRPr="008C1A5E">
        <w:rPr>
          <w:rFonts w:cs="Arial"/>
          <w:rtl/>
        </w:rPr>
        <w:t xml:space="preserve"> </w:t>
      </w:r>
      <w:r w:rsidRPr="008C1A5E">
        <w:rPr>
          <w:rFonts w:cs="Arial" w:hint="cs"/>
          <w:rtl/>
        </w:rPr>
        <w:t>לההיא</w:t>
      </w:r>
      <w:r w:rsidRPr="008C1A5E">
        <w:rPr>
          <w:rFonts w:cs="Arial"/>
          <w:rtl/>
        </w:rPr>
        <w:t xml:space="preserve"> </w:t>
      </w:r>
      <w:r w:rsidRPr="008C1A5E">
        <w:rPr>
          <w:rFonts w:cs="Arial" w:hint="cs"/>
          <w:rtl/>
        </w:rPr>
        <w:t>מתא</w:t>
      </w:r>
      <w:r w:rsidRPr="008C1A5E">
        <w:rPr>
          <w:rFonts w:cs="Arial"/>
          <w:rtl/>
        </w:rPr>
        <w:t xml:space="preserve"> </w:t>
      </w:r>
      <w:r w:rsidRPr="008C1A5E">
        <w:rPr>
          <w:rFonts w:cs="Arial" w:hint="cs"/>
          <w:rtl/>
        </w:rPr>
        <w:t>לאנתתיה</w:t>
      </w:r>
      <w:r w:rsidRPr="008C1A5E">
        <w:rPr>
          <w:rFonts w:cs="Arial"/>
          <w:rtl/>
        </w:rPr>
        <w:t xml:space="preserve"> </w:t>
      </w:r>
      <w:r w:rsidRPr="008C1A5E">
        <w:rPr>
          <w:rFonts w:cs="Arial" w:hint="cs"/>
          <w:rtl/>
        </w:rPr>
        <w:t>דהאיך</w:t>
      </w:r>
      <w:r w:rsidRPr="008C1A5E">
        <w:rPr>
          <w:rFonts w:cs="Arial"/>
          <w:rtl/>
        </w:rPr>
        <w:t xml:space="preserve"> </w:t>
      </w:r>
      <w:r w:rsidRPr="008C1A5E">
        <w:rPr>
          <w:rFonts w:cs="Arial" w:hint="cs"/>
          <w:rtl/>
        </w:rPr>
        <w:t>שמעינן</w:t>
      </w:r>
      <w:r w:rsidRPr="008C1A5E">
        <w:rPr>
          <w:rFonts w:cs="Arial"/>
          <w:rtl/>
        </w:rPr>
        <w:t xml:space="preserve"> </w:t>
      </w:r>
      <w:r w:rsidRPr="008C1A5E">
        <w:rPr>
          <w:rFonts w:cs="Arial" w:hint="cs"/>
          <w:rtl/>
        </w:rPr>
        <w:t>מינה</w:t>
      </w:r>
      <w:r w:rsidRPr="008C1A5E">
        <w:rPr>
          <w:rFonts w:cs="Arial"/>
          <w:rtl/>
        </w:rPr>
        <w:t xml:space="preserve"> </w:t>
      </w:r>
      <w:r w:rsidRPr="008C1A5E">
        <w:rPr>
          <w:rFonts w:cs="Arial" w:hint="cs"/>
          <w:rtl/>
        </w:rPr>
        <w:t>דשם</w:t>
      </w:r>
      <w:r w:rsidRPr="008C1A5E">
        <w:rPr>
          <w:rFonts w:cs="Arial"/>
          <w:rtl/>
        </w:rPr>
        <w:t xml:space="preserve"> </w:t>
      </w:r>
      <w:r w:rsidRPr="008C1A5E">
        <w:rPr>
          <w:rFonts w:cs="Arial" w:hint="cs"/>
          <w:rtl/>
        </w:rPr>
        <w:t>עירו</w:t>
      </w:r>
      <w:r w:rsidRPr="008C1A5E">
        <w:rPr>
          <w:rFonts w:cs="Arial"/>
          <w:rtl/>
        </w:rPr>
        <w:t xml:space="preserve"> </w:t>
      </w:r>
      <w:r w:rsidRPr="008C1A5E">
        <w:rPr>
          <w:rFonts w:cs="Arial" w:hint="cs"/>
          <w:rtl/>
        </w:rPr>
        <w:t>ושם</w:t>
      </w:r>
      <w:r w:rsidRPr="008C1A5E">
        <w:rPr>
          <w:rFonts w:cs="Arial"/>
          <w:rtl/>
        </w:rPr>
        <w:t xml:space="preserve"> </w:t>
      </w:r>
      <w:r w:rsidRPr="008C1A5E">
        <w:rPr>
          <w:rFonts w:cs="Arial" w:hint="cs"/>
          <w:rtl/>
        </w:rPr>
        <w:t>עירה</w:t>
      </w:r>
      <w:r w:rsidRPr="008C1A5E">
        <w:rPr>
          <w:rFonts w:cs="Arial"/>
          <w:rtl/>
        </w:rPr>
        <w:t xml:space="preserve"> </w:t>
      </w:r>
      <w:r w:rsidRPr="008C1A5E">
        <w:rPr>
          <w:rFonts w:cs="Arial" w:hint="cs"/>
          <w:rtl/>
        </w:rPr>
        <w:t>מעכבים</w:t>
      </w:r>
      <w:r w:rsidRPr="008C1A5E">
        <w:rPr>
          <w:rFonts w:cs="Arial"/>
          <w:rtl/>
        </w:rPr>
        <w:t xml:space="preserve"> </w:t>
      </w:r>
      <w:r w:rsidRPr="008C1A5E">
        <w:rPr>
          <w:rFonts w:cs="Arial" w:hint="cs"/>
          <w:rtl/>
        </w:rPr>
        <w:t>בגט</w:t>
      </w:r>
      <w:r w:rsidRPr="008C1A5E">
        <w:rPr>
          <w:rFonts w:cs="Arial"/>
          <w:rtl/>
        </w:rPr>
        <w:t xml:space="preserve"> </w:t>
      </w:r>
      <w:r w:rsidRPr="008C1A5E">
        <w:rPr>
          <w:rFonts w:cs="Arial" w:hint="cs"/>
          <w:rtl/>
        </w:rPr>
        <w:t>דתו</w:t>
      </w:r>
      <w:r w:rsidRPr="008C1A5E">
        <w:rPr>
          <w:rFonts w:cs="Arial"/>
          <w:rtl/>
        </w:rPr>
        <w:t xml:space="preserve"> </w:t>
      </w:r>
      <w:r w:rsidRPr="008C1A5E">
        <w:rPr>
          <w:rFonts w:cs="Arial" w:hint="cs"/>
          <w:rtl/>
        </w:rPr>
        <w:t>ליכא</w:t>
      </w:r>
      <w:r w:rsidRPr="008C1A5E">
        <w:rPr>
          <w:rFonts w:cs="Arial"/>
          <w:rtl/>
        </w:rPr>
        <w:t xml:space="preserve"> </w:t>
      </w:r>
      <w:r w:rsidRPr="008C1A5E">
        <w:rPr>
          <w:rFonts w:cs="Arial" w:hint="cs"/>
          <w:rtl/>
        </w:rPr>
        <w:t>למיחש</w:t>
      </w:r>
      <w:r w:rsidRPr="008C1A5E">
        <w:rPr>
          <w:rFonts w:cs="Arial"/>
          <w:rtl/>
        </w:rPr>
        <w:t xml:space="preserve"> </w:t>
      </w:r>
      <w:r w:rsidRPr="008C1A5E">
        <w:rPr>
          <w:rFonts w:cs="Arial" w:hint="cs"/>
          <w:rtl/>
        </w:rPr>
        <w:t>למידי.</w:t>
      </w:r>
      <w:r w:rsidRPr="008C1A5E">
        <w:rPr>
          <w:rFonts w:cs="Arial"/>
          <w:rtl/>
        </w:rPr>
        <w:t xml:space="preserve"> </w:t>
      </w:r>
      <w:r w:rsidRPr="008C1A5E">
        <w:rPr>
          <w:rFonts w:cs="Arial" w:hint="cs"/>
          <w:rtl/>
        </w:rPr>
        <w:t>ומדבריו</w:t>
      </w:r>
      <w:r w:rsidRPr="008C1A5E">
        <w:rPr>
          <w:rFonts w:cs="Arial"/>
          <w:rtl/>
        </w:rPr>
        <w:t xml:space="preserve"> </w:t>
      </w:r>
      <w:r w:rsidRPr="008C1A5E">
        <w:rPr>
          <w:rFonts w:cs="Arial" w:hint="cs"/>
          <w:rtl/>
        </w:rPr>
        <w:t>אתה</w:t>
      </w:r>
      <w:r w:rsidRPr="008C1A5E">
        <w:rPr>
          <w:rFonts w:cs="Arial"/>
          <w:rtl/>
        </w:rPr>
        <w:t xml:space="preserve"> </w:t>
      </w:r>
      <w:r w:rsidRPr="008C1A5E">
        <w:rPr>
          <w:rFonts w:cs="Arial" w:hint="cs"/>
          <w:rtl/>
        </w:rPr>
        <w:t>למד</w:t>
      </w:r>
      <w:r w:rsidRPr="008C1A5E">
        <w:rPr>
          <w:rFonts w:cs="Arial"/>
          <w:rtl/>
        </w:rPr>
        <w:t xml:space="preserve"> </w:t>
      </w:r>
      <w:r w:rsidRPr="008C1A5E">
        <w:rPr>
          <w:rFonts w:cs="Arial" w:hint="cs"/>
          <w:rtl/>
        </w:rPr>
        <w:t>ש</w:t>
      </w:r>
      <w:r>
        <w:rPr>
          <w:rFonts w:cs="Arial" w:hint="cs"/>
          <w:rtl/>
        </w:rPr>
        <w:t>-...</w:t>
      </w:r>
    </w:p>
  </w:footnote>
  <w:footnote w:id="992">
    <w:p w14:paraId="6B0E9B61" w14:textId="77777777" w:rsidR="00FA2119" w:rsidRDefault="00FA2119" w:rsidP="00FA2119">
      <w:pPr>
        <w:pStyle w:val="a5"/>
        <w:rPr>
          <w:rtl/>
        </w:rPr>
      </w:pPr>
      <w:r>
        <w:rPr>
          <w:rStyle w:val="a7"/>
        </w:rPr>
        <w:footnoteRef/>
      </w:r>
      <w:r w:rsidRPr="0090777D">
        <w:rPr>
          <w:rFonts w:cs="Arial"/>
          <w:rtl/>
        </w:rPr>
        <w:t xml:space="preserve"> </w:t>
      </w:r>
      <w:r w:rsidRPr="0090777D">
        <w:rPr>
          <w:rFonts w:cs="Arial" w:hint="cs"/>
          <w:rtl/>
        </w:rPr>
        <w:t>וכבר</w:t>
      </w:r>
      <w:r w:rsidRPr="0090777D">
        <w:rPr>
          <w:rFonts w:cs="Arial"/>
          <w:rtl/>
        </w:rPr>
        <w:t xml:space="preserve"> </w:t>
      </w:r>
      <w:r w:rsidRPr="0090777D">
        <w:rPr>
          <w:rFonts w:cs="Arial" w:hint="cs"/>
          <w:rtl/>
        </w:rPr>
        <w:t>נתבאר</w:t>
      </w:r>
      <w:r w:rsidRPr="0090777D">
        <w:rPr>
          <w:rFonts w:cs="Arial"/>
          <w:rtl/>
        </w:rPr>
        <w:t xml:space="preserve"> (</w:t>
      </w:r>
      <w:r w:rsidRPr="0090777D">
        <w:rPr>
          <w:rFonts w:cs="Arial" w:hint="cs"/>
          <w:rtl/>
        </w:rPr>
        <w:t>ד</w:t>
      </w:r>
      <w:r>
        <w:rPr>
          <w:rFonts w:cs="Arial" w:hint="cs"/>
          <w:rtl/>
        </w:rPr>
        <w:t>רכ</w:t>
      </w:r>
      <w:r w:rsidRPr="0090777D">
        <w:rPr>
          <w:rFonts w:cs="Arial"/>
          <w:rtl/>
        </w:rPr>
        <w:t>"</w:t>
      </w:r>
      <w:r w:rsidRPr="0090777D">
        <w:rPr>
          <w:rFonts w:cs="Arial" w:hint="cs"/>
          <w:rtl/>
        </w:rPr>
        <w:t>מ</w:t>
      </w:r>
      <w:r w:rsidRPr="0090777D">
        <w:rPr>
          <w:rFonts w:cs="Arial"/>
          <w:rtl/>
        </w:rPr>
        <w:t xml:space="preserve"> </w:t>
      </w:r>
      <w:r w:rsidRPr="0090777D">
        <w:rPr>
          <w:rFonts w:cs="Arial" w:hint="cs"/>
          <w:rtl/>
        </w:rPr>
        <w:t>אות</w:t>
      </w:r>
      <w:r w:rsidRPr="0090777D">
        <w:rPr>
          <w:rFonts w:cs="Arial"/>
          <w:rtl/>
        </w:rPr>
        <w:t xml:space="preserve"> </w:t>
      </w:r>
      <w:r w:rsidRPr="0090777D">
        <w:rPr>
          <w:rFonts w:cs="Arial" w:hint="cs"/>
          <w:rtl/>
        </w:rPr>
        <w:t>ב</w:t>
      </w:r>
      <w:r w:rsidRPr="0090777D">
        <w:rPr>
          <w:rFonts w:cs="Arial"/>
          <w:rtl/>
        </w:rPr>
        <w:t xml:space="preserve">) </w:t>
      </w:r>
      <w:r w:rsidRPr="0090777D">
        <w:rPr>
          <w:rFonts w:cs="Arial" w:hint="cs"/>
          <w:rtl/>
        </w:rPr>
        <w:t>שאין</w:t>
      </w:r>
      <w:r w:rsidRPr="0090777D">
        <w:rPr>
          <w:rFonts w:cs="Arial"/>
          <w:rtl/>
        </w:rPr>
        <w:t xml:space="preserve"> </w:t>
      </w:r>
      <w:r w:rsidRPr="0090777D">
        <w:rPr>
          <w:rFonts w:cs="Arial" w:hint="cs"/>
          <w:rtl/>
        </w:rPr>
        <w:t>אנו</w:t>
      </w:r>
      <w:r w:rsidRPr="0090777D">
        <w:rPr>
          <w:rFonts w:cs="Arial"/>
          <w:rtl/>
        </w:rPr>
        <w:t xml:space="preserve"> </w:t>
      </w:r>
      <w:r w:rsidRPr="0090777D">
        <w:rPr>
          <w:rFonts w:cs="Arial" w:hint="cs"/>
          <w:rtl/>
        </w:rPr>
        <w:t>כותבין</w:t>
      </w:r>
      <w:r w:rsidRPr="0090777D">
        <w:rPr>
          <w:rFonts w:cs="Arial"/>
          <w:rtl/>
        </w:rPr>
        <w:t xml:space="preserve"> </w:t>
      </w:r>
      <w:r w:rsidRPr="0090777D">
        <w:rPr>
          <w:rFonts w:cs="Arial" w:hint="cs"/>
          <w:rtl/>
        </w:rPr>
        <w:t>רק</w:t>
      </w:r>
      <w:r w:rsidRPr="0090777D">
        <w:rPr>
          <w:rFonts w:cs="Arial"/>
          <w:rtl/>
        </w:rPr>
        <w:t xml:space="preserve"> </w:t>
      </w:r>
      <w:r w:rsidRPr="0090777D">
        <w:rPr>
          <w:rFonts w:cs="Arial" w:hint="cs"/>
          <w:rtl/>
        </w:rPr>
        <w:t>מקום</w:t>
      </w:r>
      <w:r w:rsidRPr="0090777D">
        <w:rPr>
          <w:rFonts w:cs="Arial"/>
          <w:rtl/>
        </w:rPr>
        <w:t xml:space="preserve"> </w:t>
      </w:r>
      <w:r w:rsidRPr="0090777D">
        <w:rPr>
          <w:rFonts w:cs="Arial" w:hint="cs"/>
          <w:rtl/>
        </w:rPr>
        <w:t>העמידה</w:t>
      </w:r>
      <w:r>
        <w:rPr>
          <w:rFonts w:cs="Arial" w:hint="cs"/>
          <w:rtl/>
        </w:rPr>
        <w:t>, דרכ"מ (אות יז).</w:t>
      </w:r>
    </w:p>
  </w:footnote>
  <w:footnote w:id="993">
    <w:p w14:paraId="2A6BC4BC" w14:textId="77777777" w:rsidR="00FA2119" w:rsidRDefault="00FA2119" w:rsidP="00FA2119">
      <w:pPr>
        <w:pStyle w:val="a5"/>
        <w:rPr>
          <w:rtl/>
        </w:rPr>
      </w:pPr>
      <w:r>
        <w:rPr>
          <w:rStyle w:val="a7"/>
        </w:rPr>
        <w:footnoteRef/>
      </w:r>
      <w:r>
        <w:rPr>
          <w:rtl/>
        </w:rPr>
        <w:t xml:space="preserve"> </w:t>
      </w:r>
      <w:r w:rsidRPr="007424C0">
        <w:rPr>
          <w:rFonts w:cs="Arial" w:hint="cs"/>
          <w:rtl/>
        </w:rPr>
        <w:t>ואין</w:t>
      </w:r>
      <w:r w:rsidRPr="007424C0">
        <w:rPr>
          <w:rFonts w:cs="Arial"/>
          <w:rtl/>
        </w:rPr>
        <w:t xml:space="preserve"> </w:t>
      </w:r>
      <w:r w:rsidRPr="007424C0">
        <w:rPr>
          <w:rFonts w:cs="Arial" w:hint="cs"/>
          <w:rtl/>
        </w:rPr>
        <w:t>נראה</w:t>
      </w:r>
      <w:r w:rsidRPr="007424C0">
        <w:rPr>
          <w:rFonts w:cs="Arial"/>
          <w:rtl/>
        </w:rPr>
        <w:t xml:space="preserve"> </w:t>
      </w:r>
      <w:r w:rsidRPr="007424C0">
        <w:rPr>
          <w:rFonts w:cs="Arial" w:hint="cs"/>
          <w:rtl/>
        </w:rPr>
        <w:t>לי</w:t>
      </w:r>
      <w:r w:rsidRPr="007424C0">
        <w:rPr>
          <w:rFonts w:cs="Arial"/>
          <w:rtl/>
        </w:rPr>
        <w:t xml:space="preserve"> </w:t>
      </w:r>
      <w:r w:rsidRPr="007424C0">
        <w:rPr>
          <w:rFonts w:cs="Arial" w:hint="cs"/>
          <w:rtl/>
        </w:rPr>
        <w:t>לפסול</w:t>
      </w:r>
      <w:r w:rsidRPr="007424C0">
        <w:rPr>
          <w:rFonts w:cs="Arial"/>
          <w:rtl/>
        </w:rPr>
        <w:t xml:space="preserve"> </w:t>
      </w:r>
      <w:r w:rsidRPr="007424C0">
        <w:rPr>
          <w:rFonts w:cs="Arial" w:hint="cs"/>
          <w:rtl/>
        </w:rPr>
        <w:t>בשכתב</w:t>
      </w:r>
      <w:r w:rsidRPr="007424C0">
        <w:rPr>
          <w:rFonts w:cs="Arial"/>
          <w:rtl/>
        </w:rPr>
        <w:t xml:space="preserve"> </w:t>
      </w:r>
      <w:r w:rsidRPr="007424C0">
        <w:rPr>
          <w:rFonts w:cs="Arial" w:hint="cs"/>
          <w:rtl/>
        </w:rPr>
        <w:t>שתיהן</w:t>
      </w:r>
      <w:r>
        <w:rPr>
          <w:rFonts w:hint="cs"/>
          <w:rtl/>
        </w:rPr>
        <w:t>, דרכ"מ (אות טז).</w:t>
      </w:r>
    </w:p>
  </w:footnote>
  <w:footnote w:id="994">
    <w:p w14:paraId="03673ABD" w14:textId="77777777" w:rsidR="00FA2119" w:rsidRDefault="00FA2119" w:rsidP="00FA2119">
      <w:pPr>
        <w:pStyle w:val="a5"/>
      </w:pPr>
      <w:r>
        <w:rPr>
          <w:rStyle w:val="a7"/>
        </w:rPr>
        <w:footnoteRef/>
      </w:r>
      <w:r>
        <w:rPr>
          <w:rtl/>
        </w:rPr>
        <w:t xml:space="preserve"> </w:t>
      </w:r>
      <w:r w:rsidRPr="00D13F1C">
        <w:rPr>
          <w:rFonts w:cs="Arial"/>
          <w:rtl/>
        </w:rPr>
        <w:t>ואם שינה שם מקום הדירה דינו כמו בשמות הבעל מיהו שינוי כזה לכ"ע מדרבנן הוא הואיל ויש שני שמות למקום דירתו ב"י בסימן קכ"ט וע"ש</w:t>
      </w:r>
      <w:r>
        <w:rPr>
          <w:rFonts w:cs="Arial" w:hint="cs"/>
          <w:rtl/>
        </w:rPr>
        <w:t xml:space="preserve">..., </w:t>
      </w:r>
      <w:r w:rsidRPr="00655455">
        <w:rPr>
          <w:rFonts w:cs="Arial" w:hint="cs"/>
          <w:b/>
          <w:bCs/>
          <w:rtl/>
        </w:rPr>
        <w:t>ב"ש</w:t>
      </w:r>
      <w:r>
        <w:rPr>
          <w:rFonts w:cs="Arial" w:hint="cs"/>
          <w:rtl/>
        </w:rPr>
        <w:t xml:space="preserve"> (סק"ח).</w:t>
      </w:r>
      <w:r w:rsidRPr="00655455">
        <w:rPr>
          <w:rFonts w:cs="Arial"/>
          <w:rtl/>
        </w:rPr>
        <w:t xml:space="preserve"> </w:t>
      </w:r>
      <w:r>
        <w:rPr>
          <w:rFonts w:cs="Arial"/>
          <w:rtl/>
        </w:rPr>
        <w:t>אבל לפי הנהוג בכל הגיטין לדידן שאין כותבין רק מקום עמידה באמת אין דינו כבשמות הבעל וכשר במקום דחק כדלעיל ס"ב</w:t>
      </w:r>
      <w:r>
        <w:rPr>
          <w:rFonts w:cs="Arial" w:hint="cs"/>
          <w:rtl/>
        </w:rPr>
        <w:t xml:space="preserve">, </w:t>
      </w:r>
      <w:r w:rsidRPr="00655455">
        <w:rPr>
          <w:rFonts w:cs="Arial" w:hint="cs"/>
          <w:b/>
          <w:bCs/>
          <w:rtl/>
        </w:rPr>
        <w:t>פת"ש</w:t>
      </w:r>
      <w:r>
        <w:rPr>
          <w:rFonts w:cs="Arial" w:hint="cs"/>
          <w:rtl/>
        </w:rPr>
        <w:t xml:space="preserve"> (סקי"א)</w:t>
      </w:r>
      <w:r>
        <w:rPr>
          <w:rFonts w:cs="Arial"/>
          <w:rtl/>
        </w:rPr>
        <w:t>.</w:t>
      </w:r>
    </w:p>
  </w:footnote>
  <w:footnote w:id="995">
    <w:p w14:paraId="2A45215B" w14:textId="77777777" w:rsidR="00FA2119" w:rsidRDefault="00FA2119" w:rsidP="00FA2119">
      <w:pPr>
        <w:pStyle w:val="a5"/>
      </w:pPr>
      <w:r>
        <w:rPr>
          <w:rStyle w:val="a7"/>
        </w:rPr>
        <w:footnoteRef/>
      </w:r>
      <w:r>
        <w:rPr>
          <w:rtl/>
        </w:rPr>
        <w:t xml:space="preserve"> </w:t>
      </w:r>
      <w:r>
        <w:rPr>
          <w:rFonts w:hint="cs"/>
          <w:rtl/>
        </w:rPr>
        <w:t xml:space="preserve">ואם כתב רק את השם הנהוג בפי הגוים - </w:t>
      </w:r>
      <w:r>
        <w:rPr>
          <w:rFonts w:cs="Arial"/>
          <w:rtl/>
        </w:rPr>
        <w:t>בשם העיר יש לצדד להקל בדיעבד</w:t>
      </w:r>
      <w:r>
        <w:rPr>
          <w:rFonts w:cs="Arial" w:hint="cs"/>
          <w:rtl/>
        </w:rPr>
        <w:t>,</w:t>
      </w:r>
      <w:r>
        <w:rPr>
          <w:rFonts w:cs="Arial"/>
          <w:rtl/>
        </w:rPr>
        <w:t xml:space="preserve"> משום דמסתמא נתייסדה העיר שנים רבות קודם שנתיישבו ישראל בתוכה ואז היה שמה מסתמא </w:t>
      </w:r>
      <w:r>
        <w:rPr>
          <w:rFonts w:cs="Arial" w:hint="cs"/>
          <w:rtl/>
        </w:rPr>
        <w:t>כשם הגוים</w:t>
      </w:r>
      <w:r>
        <w:rPr>
          <w:rFonts w:cs="Arial"/>
          <w:rtl/>
        </w:rPr>
        <w:t xml:space="preserve"> לחוד ומאחר שזהו שמה הראשון יש להכשיר בדיעבד</w:t>
      </w:r>
      <w:r>
        <w:rPr>
          <w:rFonts w:cs="Arial" w:hint="cs"/>
          <w:rtl/>
        </w:rPr>
        <w:t xml:space="preserve">, </w:t>
      </w:r>
      <w:r w:rsidRPr="004271AB">
        <w:rPr>
          <w:rFonts w:cs="Arial" w:hint="cs"/>
          <w:b/>
          <w:bCs/>
          <w:rtl/>
        </w:rPr>
        <w:t>רש"ז מלאדי</w:t>
      </w:r>
      <w:r>
        <w:rPr>
          <w:rFonts w:cs="Arial" w:hint="cs"/>
          <w:rtl/>
        </w:rPr>
        <w:t xml:space="preserve"> </w:t>
      </w:r>
      <w:r w:rsidRPr="004271AB">
        <w:rPr>
          <w:rFonts w:cs="Arial" w:hint="cs"/>
          <w:sz w:val="16"/>
          <w:szCs w:val="16"/>
          <w:rtl/>
        </w:rPr>
        <w:t>(כ"כ הפת"ש [סקי"ג] בשמו)</w:t>
      </w:r>
      <w:r>
        <w:rPr>
          <w:rFonts w:cs="Arial" w:hint="cs"/>
          <w:rtl/>
        </w:rPr>
        <w:t>. ו</w:t>
      </w:r>
      <w:r>
        <w:rPr>
          <w:rFonts w:cs="Arial"/>
          <w:rtl/>
        </w:rPr>
        <w:t>אף אם היה שינוי גמור בין שם ישראל לשם של ה</w:t>
      </w:r>
      <w:r>
        <w:rPr>
          <w:rFonts w:cs="Arial" w:hint="cs"/>
          <w:rtl/>
        </w:rPr>
        <w:t xml:space="preserve">גוים, </w:t>
      </w:r>
      <w:r w:rsidRPr="004271AB">
        <w:rPr>
          <w:rFonts w:cs="Arial" w:hint="cs"/>
          <w:b/>
          <w:bCs/>
          <w:rtl/>
        </w:rPr>
        <w:t>משכנות יעקב</w:t>
      </w:r>
      <w:r>
        <w:rPr>
          <w:rFonts w:cs="Arial" w:hint="cs"/>
          <w:rtl/>
        </w:rPr>
        <w:t xml:space="preserve"> </w:t>
      </w:r>
      <w:r w:rsidRPr="004271AB">
        <w:rPr>
          <w:rFonts w:cs="Arial" w:hint="cs"/>
          <w:sz w:val="16"/>
          <w:szCs w:val="16"/>
          <w:rtl/>
        </w:rPr>
        <w:t>(סי' כד, הביאו הפת"ש סקט"ו)</w:t>
      </w:r>
      <w:r>
        <w:rPr>
          <w:rFonts w:cs="Arial" w:hint="cs"/>
          <w:rtl/>
        </w:rPr>
        <w:t>.</w:t>
      </w:r>
      <w:r w:rsidRPr="004271AB">
        <w:rPr>
          <w:rFonts w:cs="Arial"/>
          <w:rtl/>
        </w:rPr>
        <w:t xml:space="preserve"> </w:t>
      </w:r>
      <w:r>
        <w:rPr>
          <w:rFonts w:cs="Arial" w:hint="cs"/>
          <w:rtl/>
        </w:rPr>
        <w:t>ו</w:t>
      </w:r>
      <w:r>
        <w:rPr>
          <w:rFonts w:cs="Arial"/>
          <w:rtl/>
        </w:rPr>
        <w:t>אם יש ספק כיצד כותבין שם של ה</w:t>
      </w:r>
      <w:r>
        <w:rPr>
          <w:rFonts w:cs="Arial" w:hint="cs"/>
          <w:rtl/>
        </w:rPr>
        <w:t>גוים -</w:t>
      </w:r>
      <w:r>
        <w:rPr>
          <w:rFonts w:cs="Arial"/>
          <w:rtl/>
        </w:rPr>
        <w:t xml:space="preserve"> יש לכתוב רק שם של ישראל בלא מתקרי כלל</w:t>
      </w:r>
      <w:r>
        <w:rPr>
          <w:rFonts w:cs="Arial" w:hint="cs"/>
          <w:rtl/>
        </w:rPr>
        <w:t>,</w:t>
      </w:r>
      <w:r>
        <w:rPr>
          <w:rFonts w:cs="Arial"/>
          <w:rtl/>
        </w:rPr>
        <w:t xml:space="preserve"> דאפי' בשמו כשר חניכה אפילו לכתחלה וכמ"ש הב"ש ר"ס קכ"ט</w:t>
      </w:r>
      <w:r>
        <w:rPr>
          <w:rFonts w:cs="Arial" w:hint="cs"/>
          <w:rtl/>
        </w:rPr>
        <w:t>,</w:t>
      </w:r>
      <w:r>
        <w:rPr>
          <w:rFonts w:cs="Arial"/>
          <w:rtl/>
        </w:rPr>
        <w:t xml:space="preserve"> וא"כ בשם מקום אין להחמיר כלל</w:t>
      </w:r>
      <w:r>
        <w:rPr>
          <w:rFonts w:cs="Arial" w:hint="cs"/>
          <w:rtl/>
        </w:rPr>
        <w:t>,</w:t>
      </w:r>
      <w:r>
        <w:rPr>
          <w:rFonts w:cs="Arial"/>
          <w:rtl/>
        </w:rPr>
        <w:t xml:space="preserve"> </w:t>
      </w:r>
      <w:r w:rsidRPr="004271AB">
        <w:rPr>
          <w:rFonts w:cs="Arial" w:hint="cs"/>
          <w:b/>
          <w:bCs/>
          <w:rtl/>
        </w:rPr>
        <w:t>גט מקושר</w:t>
      </w:r>
      <w:r>
        <w:rPr>
          <w:rFonts w:cs="Arial"/>
          <w:rtl/>
        </w:rPr>
        <w:t xml:space="preserve"> </w:t>
      </w:r>
      <w:r>
        <w:rPr>
          <w:rFonts w:cs="Arial" w:hint="cs"/>
          <w:rtl/>
        </w:rPr>
        <w:t>(</w:t>
      </w:r>
      <w:r>
        <w:rPr>
          <w:rFonts w:cs="Arial"/>
          <w:rtl/>
        </w:rPr>
        <w:t>אות קט</w:t>
      </w:r>
      <w:r>
        <w:rPr>
          <w:rFonts w:cs="Arial" w:hint="cs"/>
          <w:rtl/>
        </w:rPr>
        <w:t>, הביאו הפת"ש סקט"ז).</w:t>
      </w:r>
    </w:p>
  </w:footnote>
  <w:footnote w:id="996">
    <w:p w14:paraId="391D587B" w14:textId="77777777" w:rsidR="00FA2119" w:rsidRDefault="00FA2119" w:rsidP="00FA2119">
      <w:pPr>
        <w:pStyle w:val="a5"/>
      </w:pPr>
      <w:r>
        <w:rPr>
          <w:rStyle w:val="a7"/>
        </w:rPr>
        <w:footnoteRef/>
      </w:r>
      <w:r>
        <w:rPr>
          <w:rtl/>
        </w:rPr>
        <w:t xml:space="preserve"> </w:t>
      </w:r>
      <w:r w:rsidRPr="00D07538">
        <w:rPr>
          <w:rFonts w:cs="Arial"/>
          <w:rtl/>
        </w:rPr>
        <w:t>ועיין סי' קכ"ט בשמות לעז כותבים המכונה. וכאן בשמות המקומות כותבין דמתקריא</w:t>
      </w:r>
      <w:r>
        <w:rPr>
          <w:rFonts w:cs="Arial" w:hint="cs"/>
          <w:rtl/>
        </w:rPr>
        <w:t>,</w:t>
      </w:r>
      <w:r w:rsidRPr="00D07538">
        <w:rPr>
          <w:rFonts w:cs="Arial"/>
          <w:rtl/>
        </w:rPr>
        <w:t xml:space="preserve"> </w:t>
      </w:r>
      <w:r w:rsidRPr="00D07538">
        <w:rPr>
          <w:rFonts w:cs="Arial"/>
          <w:b/>
          <w:bCs/>
          <w:rtl/>
        </w:rPr>
        <w:t>ב</w:t>
      </w:r>
      <w:r w:rsidRPr="00D07538">
        <w:rPr>
          <w:rFonts w:cs="Arial" w:hint="cs"/>
          <w:b/>
          <w:bCs/>
          <w:rtl/>
        </w:rPr>
        <w:t>א</w:t>
      </w:r>
      <w:r w:rsidRPr="00D07538">
        <w:rPr>
          <w:rFonts w:cs="Arial"/>
          <w:b/>
          <w:bCs/>
          <w:rtl/>
        </w:rPr>
        <w:t>ה"ט</w:t>
      </w:r>
      <w:r>
        <w:rPr>
          <w:rFonts w:cs="Arial" w:hint="cs"/>
          <w:rtl/>
        </w:rPr>
        <w:t xml:space="preserve"> (סק"ד).</w:t>
      </w:r>
      <w:r>
        <w:rPr>
          <w:rFonts w:cs="Arial"/>
          <w:rtl/>
        </w:rPr>
        <w:t xml:space="preserve"> ועיין בתשו' מהרי"מ מבריסק </w:t>
      </w:r>
      <w:r>
        <w:rPr>
          <w:rFonts w:cs="Arial" w:hint="cs"/>
          <w:rtl/>
        </w:rPr>
        <w:t>(</w:t>
      </w:r>
      <w:r>
        <w:rPr>
          <w:rFonts w:cs="Arial"/>
          <w:rtl/>
        </w:rPr>
        <w:t>סי' כט</w:t>
      </w:r>
      <w:r>
        <w:rPr>
          <w:rFonts w:cs="Arial" w:hint="cs"/>
          <w:rtl/>
        </w:rPr>
        <w:t>)</w:t>
      </w:r>
      <w:r>
        <w:rPr>
          <w:rFonts w:cs="Arial"/>
          <w:rtl/>
        </w:rPr>
        <w:t xml:space="preserve"> שכ' דאין זה תימה כלל דהא הב"ש עצמו בסי' קכ"ט </w:t>
      </w:r>
      <w:r>
        <w:rPr>
          <w:rFonts w:cs="Arial" w:hint="cs"/>
          <w:rtl/>
        </w:rPr>
        <w:t>(</w:t>
      </w:r>
      <w:r>
        <w:rPr>
          <w:rFonts w:cs="Arial"/>
          <w:rtl/>
        </w:rPr>
        <w:t>סקכ"ה</w:t>
      </w:r>
      <w:r>
        <w:rPr>
          <w:rFonts w:cs="Arial" w:hint="cs"/>
          <w:rtl/>
        </w:rPr>
        <w:t>)</w:t>
      </w:r>
      <w:r>
        <w:rPr>
          <w:rFonts w:cs="Arial"/>
          <w:rtl/>
        </w:rPr>
        <w:t xml:space="preserve"> כתב דהא דכותבין המכונה על לשון לעז היינו היכא דשם הראשון הוא לשון קודש</w:t>
      </w:r>
      <w:r>
        <w:rPr>
          <w:rFonts w:cs="Arial" w:hint="cs"/>
          <w:rtl/>
        </w:rPr>
        <w:t>,</w:t>
      </w:r>
      <w:r>
        <w:rPr>
          <w:rFonts w:cs="Arial"/>
          <w:rtl/>
        </w:rPr>
        <w:t xml:space="preserve"> אבל אם גם הראשון הוא לעז כותבין גם על השני דמתקרי</w:t>
      </w:r>
      <w:r>
        <w:rPr>
          <w:rFonts w:cs="Arial" w:hint="cs"/>
          <w:rtl/>
        </w:rPr>
        <w:t>.</w:t>
      </w:r>
      <w:r>
        <w:rPr>
          <w:rFonts w:cs="Arial"/>
          <w:rtl/>
        </w:rPr>
        <w:t xml:space="preserve"> והרי שמות מקומות כולן ל' לעז הם</w:t>
      </w:r>
      <w:r>
        <w:rPr>
          <w:rFonts w:cs="Arial" w:hint="cs"/>
          <w:rtl/>
        </w:rPr>
        <w:t>,</w:t>
      </w:r>
      <w:r>
        <w:rPr>
          <w:rFonts w:cs="Arial"/>
          <w:rtl/>
        </w:rPr>
        <w:t xml:space="preserve"> וכמעט לא תמצא שם עיר דהוא לשון קודש</w:t>
      </w:r>
      <w:r>
        <w:rPr>
          <w:rFonts w:cs="Arial" w:hint="cs"/>
          <w:rtl/>
        </w:rPr>
        <w:t>.</w:t>
      </w:r>
      <w:r>
        <w:rPr>
          <w:rFonts w:cs="Arial"/>
          <w:rtl/>
        </w:rPr>
        <w:t xml:space="preserve"> ואם תמצא אין לה עוד שם אחר</w:t>
      </w:r>
      <w:r>
        <w:rPr>
          <w:rFonts w:cs="Arial" w:hint="cs"/>
          <w:rtl/>
        </w:rPr>
        <w:t>.</w:t>
      </w:r>
      <w:r>
        <w:rPr>
          <w:rFonts w:cs="Arial"/>
          <w:rtl/>
        </w:rPr>
        <w:t xml:space="preserve"> א"כ כולהו חד דינא אית להו עכ"ד</w:t>
      </w:r>
      <w:r>
        <w:rPr>
          <w:rFonts w:cs="Arial" w:hint="cs"/>
          <w:rtl/>
        </w:rPr>
        <w:t>.</w:t>
      </w:r>
      <w:r>
        <w:rPr>
          <w:rFonts w:cs="Arial"/>
          <w:rtl/>
        </w:rPr>
        <w:t xml:space="preserve"> וכבר קדמוהו בזה בס' ט"ג </w:t>
      </w:r>
      <w:r>
        <w:rPr>
          <w:rFonts w:cs="Arial" w:hint="cs"/>
          <w:rtl/>
        </w:rPr>
        <w:t>(</w:t>
      </w:r>
      <w:r>
        <w:rPr>
          <w:rFonts w:cs="Arial"/>
          <w:rtl/>
        </w:rPr>
        <w:t>בשמות עיירות ונהרות אות כ"ו</w:t>
      </w:r>
      <w:r>
        <w:rPr>
          <w:rFonts w:cs="Arial" w:hint="cs"/>
          <w:rtl/>
        </w:rPr>
        <w:t xml:space="preserve">), </w:t>
      </w:r>
      <w:r w:rsidRPr="00D07538">
        <w:rPr>
          <w:rFonts w:cs="Arial" w:hint="cs"/>
          <w:b/>
          <w:bCs/>
          <w:rtl/>
        </w:rPr>
        <w:t>פת"ש</w:t>
      </w:r>
      <w:r>
        <w:rPr>
          <w:rFonts w:cs="Arial" w:hint="cs"/>
          <w:rtl/>
        </w:rPr>
        <w:t xml:space="preserve"> (סקי"ז)</w:t>
      </w:r>
      <w:r>
        <w:rPr>
          <w:rFonts w:cs="Arial"/>
          <w:rtl/>
        </w:rPr>
        <w:t>.</w:t>
      </w:r>
    </w:p>
  </w:footnote>
  <w:footnote w:id="997">
    <w:p w14:paraId="35D837E8" w14:textId="77777777" w:rsidR="00FA2119" w:rsidRDefault="00FA2119" w:rsidP="00FA2119">
      <w:pPr>
        <w:pStyle w:val="a5"/>
        <w:rPr>
          <w:rtl/>
        </w:rPr>
      </w:pPr>
      <w:r>
        <w:rPr>
          <w:rStyle w:val="a7"/>
        </w:rPr>
        <w:footnoteRef/>
      </w:r>
      <w:r>
        <w:rPr>
          <w:rtl/>
        </w:rPr>
        <w:t xml:space="preserve"> </w:t>
      </w:r>
      <w:r>
        <w:rPr>
          <w:rFonts w:cs="Arial" w:hint="cs"/>
          <w:rtl/>
        </w:rPr>
        <w:t xml:space="preserve">וחלק על סברא זו בספר שיבת ציון (שם), ומכל מקום בסוף דבריו כתב- </w:t>
      </w:r>
      <w:r w:rsidRPr="00DF0AD1">
        <w:rPr>
          <w:rFonts w:cs="Arial"/>
          <w:rtl/>
        </w:rPr>
        <w:t>אמנם ידוע ליהוי דכל זה הוא לכתחלה אבל בדיעבד אם כתבו דמתקריא אין קפידא וכן בא מעשה לידינו בגט שנשלח לכאן והיה מקום עיגון קצת והכשרנו את הגט למסרו מיד השליח ליד האשה עכ"ד</w:t>
      </w:r>
      <w:r>
        <w:rPr>
          <w:rFonts w:hint="cs"/>
          <w:rtl/>
        </w:rPr>
        <w:t>, פת"ש (סק"י).</w:t>
      </w:r>
    </w:p>
  </w:footnote>
  <w:footnote w:id="998">
    <w:p w14:paraId="42E59539" w14:textId="77C3D4B7" w:rsidR="00FA2119" w:rsidRDefault="00FA2119" w:rsidP="00FA2119">
      <w:pPr>
        <w:pStyle w:val="a5"/>
      </w:pPr>
      <w:r>
        <w:rPr>
          <w:rStyle w:val="a7"/>
        </w:rPr>
        <w:footnoteRef/>
      </w:r>
      <w:r>
        <w:rPr>
          <w:rtl/>
        </w:rPr>
        <w:t xml:space="preserve"> </w:t>
      </w:r>
      <w:r w:rsidRPr="003A21A0">
        <w:rPr>
          <w:rFonts w:cs="Arial" w:hint="cs"/>
          <w:rtl/>
        </w:rPr>
        <w:t>וכמו</w:t>
      </w:r>
      <w:r w:rsidRPr="003A21A0">
        <w:rPr>
          <w:rFonts w:cs="Arial"/>
          <w:rtl/>
        </w:rPr>
        <w:t xml:space="preserve"> </w:t>
      </w:r>
      <w:r w:rsidRPr="003A21A0">
        <w:rPr>
          <w:rFonts w:cs="Arial" w:hint="cs"/>
          <w:rtl/>
        </w:rPr>
        <w:t>שכתוב</w:t>
      </w:r>
      <w:r w:rsidRPr="003A21A0">
        <w:rPr>
          <w:rFonts w:cs="Arial"/>
          <w:rtl/>
        </w:rPr>
        <w:t xml:space="preserve"> </w:t>
      </w:r>
      <w:r w:rsidR="009334FF">
        <w:rPr>
          <w:rFonts w:cs="Arial" w:hint="cs"/>
          <w:rtl/>
        </w:rPr>
        <w:t>בהג</w:t>
      </w:r>
      <w:r w:rsidR="009334FF">
        <w:rPr>
          <w:rFonts w:cs="Arial"/>
          <w:rtl/>
        </w:rPr>
        <w:t>"</w:t>
      </w:r>
      <w:r w:rsidR="009334FF">
        <w:rPr>
          <w:rFonts w:cs="Arial" w:hint="cs"/>
          <w:rtl/>
        </w:rPr>
        <w:t>ה</w:t>
      </w:r>
      <w:r>
        <w:rPr>
          <w:rFonts w:cs="Arial" w:hint="cs"/>
          <w:rtl/>
        </w:rPr>
        <w:t>"מ (</w:t>
      </w:r>
      <w:r w:rsidRPr="003A21A0">
        <w:rPr>
          <w:rFonts w:cs="Arial" w:hint="cs"/>
          <w:rtl/>
        </w:rPr>
        <w:t>בתשובות</w:t>
      </w:r>
      <w:r w:rsidRPr="003A21A0">
        <w:rPr>
          <w:rFonts w:cs="Arial"/>
          <w:rtl/>
        </w:rPr>
        <w:t xml:space="preserve"> </w:t>
      </w:r>
      <w:r w:rsidRPr="003A21A0">
        <w:rPr>
          <w:rFonts w:cs="Arial" w:hint="cs"/>
          <w:rtl/>
        </w:rPr>
        <w:t>דשייכי</w:t>
      </w:r>
      <w:r w:rsidRPr="003A21A0">
        <w:rPr>
          <w:rFonts w:cs="Arial"/>
          <w:rtl/>
        </w:rPr>
        <w:t xml:space="preserve"> </w:t>
      </w:r>
      <w:r w:rsidRPr="003A21A0">
        <w:rPr>
          <w:rFonts w:cs="Arial" w:hint="cs"/>
          <w:rtl/>
        </w:rPr>
        <w:t>לספר</w:t>
      </w:r>
      <w:r w:rsidRPr="003A21A0">
        <w:rPr>
          <w:rFonts w:cs="Arial"/>
          <w:rtl/>
        </w:rPr>
        <w:t xml:space="preserve"> </w:t>
      </w:r>
      <w:r w:rsidRPr="003A21A0">
        <w:rPr>
          <w:rFonts w:cs="Arial" w:hint="cs"/>
          <w:rtl/>
        </w:rPr>
        <w:t>נשים</w:t>
      </w:r>
      <w:r w:rsidRPr="003A21A0">
        <w:rPr>
          <w:rFonts w:cs="Arial"/>
          <w:rtl/>
        </w:rPr>
        <w:t xml:space="preserve"> </w:t>
      </w:r>
      <w:r w:rsidRPr="003A21A0">
        <w:rPr>
          <w:rFonts w:cs="Arial" w:hint="cs"/>
          <w:rtl/>
        </w:rPr>
        <w:t>סי</w:t>
      </w:r>
      <w:r w:rsidRPr="003A21A0">
        <w:rPr>
          <w:rFonts w:cs="Arial"/>
          <w:rtl/>
        </w:rPr>
        <w:t xml:space="preserve">' </w:t>
      </w:r>
      <w:r w:rsidRPr="003A21A0">
        <w:rPr>
          <w:rFonts w:cs="Arial" w:hint="cs"/>
          <w:rtl/>
        </w:rPr>
        <w:t>כב</w:t>
      </w:r>
      <w:r w:rsidRPr="003A21A0">
        <w:rPr>
          <w:rFonts w:cs="Arial"/>
          <w:rtl/>
        </w:rPr>
        <w:t xml:space="preserve">) </w:t>
      </w:r>
      <w:r w:rsidRPr="003A21A0">
        <w:rPr>
          <w:rFonts w:cs="Arial" w:hint="cs"/>
          <w:rtl/>
        </w:rPr>
        <w:t>ואין</w:t>
      </w:r>
      <w:r w:rsidRPr="003A21A0">
        <w:rPr>
          <w:rFonts w:cs="Arial"/>
          <w:rtl/>
        </w:rPr>
        <w:t xml:space="preserve"> </w:t>
      </w:r>
      <w:r w:rsidRPr="003A21A0">
        <w:rPr>
          <w:rFonts w:cs="Arial" w:hint="cs"/>
          <w:rtl/>
        </w:rPr>
        <w:t>כותבין</w:t>
      </w:r>
      <w:r w:rsidRPr="003A21A0">
        <w:rPr>
          <w:rFonts w:cs="Arial"/>
          <w:rtl/>
        </w:rPr>
        <w:t xml:space="preserve"> </w:t>
      </w:r>
      <w:r w:rsidRPr="003A21A0">
        <w:rPr>
          <w:rFonts w:cs="Arial" w:hint="cs"/>
          <w:rtl/>
        </w:rPr>
        <w:t>שם</w:t>
      </w:r>
      <w:r w:rsidRPr="003A21A0">
        <w:rPr>
          <w:rFonts w:cs="Arial"/>
          <w:rtl/>
        </w:rPr>
        <w:t xml:space="preserve"> </w:t>
      </w:r>
      <w:r w:rsidRPr="003A21A0">
        <w:rPr>
          <w:rFonts w:cs="Arial" w:hint="cs"/>
          <w:rtl/>
        </w:rPr>
        <w:t>הנהר</w:t>
      </w:r>
      <w:r w:rsidRPr="003A21A0">
        <w:rPr>
          <w:rFonts w:cs="Arial"/>
          <w:rtl/>
        </w:rPr>
        <w:t xml:space="preserve"> </w:t>
      </w:r>
      <w:r w:rsidRPr="003A21A0">
        <w:rPr>
          <w:rFonts w:cs="Arial" w:hint="cs"/>
          <w:rtl/>
        </w:rPr>
        <w:t>אלא</w:t>
      </w:r>
      <w:r w:rsidRPr="003A21A0">
        <w:rPr>
          <w:rFonts w:cs="Arial"/>
          <w:rtl/>
        </w:rPr>
        <w:t xml:space="preserve"> </w:t>
      </w:r>
      <w:r w:rsidRPr="003A21A0">
        <w:rPr>
          <w:rFonts w:cs="Arial" w:hint="cs"/>
          <w:rtl/>
        </w:rPr>
        <w:t>משום</w:t>
      </w:r>
      <w:r w:rsidRPr="003A21A0">
        <w:rPr>
          <w:rFonts w:cs="Arial"/>
          <w:rtl/>
        </w:rPr>
        <w:t xml:space="preserve"> </w:t>
      </w:r>
      <w:r w:rsidRPr="003A21A0">
        <w:rPr>
          <w:rFonts w:cs="Arial" w:hint="cs"/>
          <w:rtl/>
        </w:rPr>
        <w:t>סימן</w:t>
      </w:r>
      <w:r w:rsidRPr="003A21A0">
        <w:rPr>
          <w:rFonts w:cs="Arial"/>
          <w:rtl/>
        </w:rPr>
        <w:t xml:space="preserve"> </w:t>
      </w:r>
      <w:r w:rsidRPr="003A21A0">
        <w:rPr>
          <w:rFonts w:cs="Arial" w:hint="cs"/>
          <w:rtl/>
        </w:rPr>
        <w:t>שלא</w:t>
      </w:r>
      <w:r w:rsidRPr="003A21A0">
        <w:rPr>
          <w:rFonts w:cs="Arial"/>
          <w:rtl/>
        </w:rPr>
        <w:t xml:space="preserve"> </w:t>
      </w:r>
      <w:r w:rsidRPr="003A21A0">
        <w:rPr>
          <w:rFonts w:cs="Arial" w:hint="cs"/>
          <w:rtl/>
        </w:rPr>
        <w:t>לטעות</w:t>
      </w:r>
      <w:r w:rsidRPr="003A21A0">
        <w:rPr>
          <w:rFonts w:cs="Arial"/>
          <w:rtl/>
        </w:rPr>
        <w:t xml:space="preserve"> </w:t>
      </w:r>
      <w:r w:rsidRPr="003A21A0">
        <w:rPr>
          <w:rFonts w:cs="Arial" w:hint="cs"/>
          <w:rtl/>
        </w:rPr>
        <w:t>בעיר</w:t>
      </w:r>
      <w:r w:rsidRPr="003A21A0">
        <w:rPr>
          <w:rFonts w:cs="Arial"/>
          <w:rtl/>
        </w:rPr>
        <w:t xml:space="preserve"> </w:t>
      </w:r>
      <w:r w:rsidRPr="003A21A0">
        <w:rPr>
          <w:rFonts w:cs="Arial" w:hint="cs"/>
          <w:rtl/>
        </w:rPr>
        <w:t>אחרת</w:t>
      </w:r>
      <w:r w:rsidRPr="003A21A0">
        <w:rPr>
          <w:rFonts w:cs="Arial"/>
          <w:rtl/>
        </w:rPr>
        <w:t xml:space="preserve"> </w:t>
      </w:r>
      <w:r w:rsidRPr="003A21A0">
        <w:rPr>
          <w:rFonts w:cs="Arial" w:hint="cs"/>
          <w:rtl/>
        </w:rPr>
        <w:t>ששמה</w:t>
      </w:r>
      <w:r w:rsidRPr="003A21A0">
        <w:rPr>
          <w:rFonts w:cs="Arial"/>
          <w:rtl/>
        </w:rPr>
        <w:t xml:space="preserve"> </w:t>
      </w:r>
      <w:r w:rsidRPr="003A21A0">
        <w:rPr>
          <w:rFonts w:cs="Arial" w:hint="cs"/>
          <w:rtl/>
        </w:rPr>
        <w:t>כשמה.</w:t>
      </w:r>
      <w:r w:rsidRPr="003A21A0">
        <w:rPr>
          <w:rFonts w:cs="Arial"/>
          <w:rtl/>
        </w:rPr>
        <w:t xml:space="preserve"> </w:t>
      </w:r>
      <w:r w:rsidRPr="003A21A0">
        <w:rPr>
          <w:rFonts w:cs="Arial" w:hint="cs"/>
          <w:rtl/>
        </w:rPr>
        <w:t>וכ</w:t>
      </w:r>
      <w:r>
        <w:rPr>
          <w:rFonts w:cs="Arial" w:hint="cs"/>
          <w:rtl/>
        </w:rPr>
        <w:t>"</w:t>
      </w:r>
      <w:r w:rsidRPr="003A21A0">
        <w:rPr>
          <w:rFonts w:cs="Arial" w:hint="cs"/>
          <w:rtl/>
        </w:rPr>
        <w:t>כ</w:t>
      </w:r>
      <w:r w:rsidRPr="003A21A0">
        <w:rPr>
          <w:rFonts w:cs="Arial"/>
          <w:rtl/>
        </w:rPr>
        <w:t xml:space="preserve"> </w:t>
      </w:r>
      <w:r w:rsidRPr="003A21A0">
        <w:rPr>
          <w:rFonts w:cs="Arial" w:hint="cs"/>
          <w:rtl/>
        </w:rPr>
        <w:t>הר</w:t>
      </w:r>
      <w:r w:rsidRPr="003A21A0">
        <w:rPr>
          <w:rFonts w:cs="Arial"/>
          <w:rtl/>
        </w:rPr>
        <w:t>"</w:t>
      </w:r>
      <w:r w:rsidRPr="003A21A0">
        <w:rPr>
          <w:rFonts w:cs="Arial" w:hint="cs"/>
          <w:rtl/>
        </w:rPr>
        <w:t>ן</w:t>
      </w:r>
      <w:r w:rsidRPr="003A21A0">
        <w:rPr>
          <w:rFonts w:cs="Arial"/>
          <w:rtl/>
        </w:rPr>
        <w:t xml:space="preserve"> </w:t>
      </w:r>
      <w:r w:rsidRPr="003A21A0">
        <w:rPr>
          <w:rFonts w:cs="Arial" w:hint="cs"/>
          <w:rtl/>
        </w:rPr>
        <w:t>בתשובה</w:t>
      </w:r>
      <w:r w:rsidRPr="003A21A0">
        <w:rPr>
          <w:rFonts w:cs="Arial"/>
          <w:rtl/>
        </w:rPr>
        <w:t xml:space="preserve"> (</w:t>
      </w:r>
      <w:r w:rsidRPr="003A21A0">
        <w:rPr>
          <w:rFonts w:cs="Arial" w:hint="cs"/>
          <w:rtl/>
        </w:rPr>
        <w:t>סי</w:t>
      </w:r>
      <w:r w:rsidRPr="003A21A0">
        <w:rPr>
          <w:rFonts w:cs="Arial"/>
          <w:rtl/>
        </w:rPr>
        <w:t xml:space="preserve">' </w:t>
      </w:r>
      <w:r w:rsidRPr="003A21A0">
        <w:rPr>
          <w:rFonts w:cs="Arial" w:hint="cs"/>
          <w:rtl/>
        </w:rPr>
        <w:t>מב</w:t>
      </w:r>
      <w:r w:rsidRPr="003A21A0">
        <w:rPr>
          <w:rFonts w:cs="Arial"/>
          <w:rtl/>
        </w:rPr>
        <w:t>)</w:t>
      </w:r>
      <w:r w:rsidRPr="003A21A0">
        <w:rPr>
          <w:rFonts w:cs="Arial" w:hint="cs"/>
          <w:rtl/>
        </w:rPr>
        <w:t>.</w:t>
      </w:r>
      <w:r>
        <w:rPr>
          <w:rFonts w:cs="Arial" w:hint="cs"/>
          <w:rtl/>
        </w:rPr>
        <w:t>..</w:t>
      </w:r>
      <w:r w:rsidRPr="003A21A0">
        <w:rPr>
          <w:rFonts w:cs="Arial"/>
          <w:rtl/>
        </w:rPr>
        <w:t xml:space="preserve"> </w:t>
      </w:r>
      <w:r w:rsidRPr="003A21A0">
        <w:rPr>
          <w:rFonts w:cs="Arial" w:hint="cs"/>
          <w:rtl/>
        </w:rPr>
        <w:t>וכ</w:t>
      </w:r>
      <w:r>
        <w:rPr>
          <w:rFonts w:cs="Arial" w:hint="cs"/>
          <w:rtl/>
        </w:rPr>
        <w:t>"</w:t>
      </w:r>
      <w:r w:rsidRPr="003A21A0">
        <w:rPr>
          <w:rFonts w:cs="Arial" w:hint="cs"/>
          <w:rtl/>
        </w:rPr>
        <w:t>כ</w:t>
      </w:r>
      <w:r w:rsidRPr="003A21A0">
        <w:rPr>
          <w:rFonts w:cs="Arial"/>
          <w:rtl/>
        </w:rPr>
        <w:t xml:space="preserve"> </w:t>
      </w:r>
      <w:r w:rsidRPr="003A21A0">
        <w:rPr>
          <w:rFonts w:cs="Arial" w:hint="cs"/>
          <w:rtl/>
        </w:rPr>
        <w:t>המרדכי</w:t>
      </w:r>
      <w:r w:rsidRPr="003A21A0">
        <w:rPr>
          <w:rFonts w:cs="Arial"/>
          <w:rtl/>
        </w:rPr>
        <w:t xml:space="preserve"> </w:t>
      </w:r>
      <w:r w:rsidRPr="003A21A0">
        <w:rPr>
          <w:rFonts w:cs="Arial" w:hint="cs"/>
          <w:rtl/>
        </w:rPr>
        <w:t>בהשולח</w:t>
      </w:r>
      <w:r w:rsidRPr="003A21A0">
        <w:rPr>
          <w:rFonts w:cs="Arial"/>
          <w:rtl/>
        </w:rPr>
        <w:t xml:space="preserve"> (</w:t>
      </w:r>
      <w:r w:rsidRPr="003A21A0">
        <w:rPr>
          <w:rFonts w:cs="Arial" w:hint="cs"/>
          <w:rtl/>
        </w:rPr>
        <w:t>סי</w:t>
      </w:r>
      <w:r w:rsidRPr="003A21A0">
        <w:rPr>
          <w:rFonts w:cs="Arial"/>
          <w:rtl/>
        </w:rPr>
        <w:t xml:space="preserve">' </w:t>
      </w:r>
      <w:r w:rsidRPr="003A21A0">
        <w:rPr>
          <w:rFonts w:cs="Arial" w:hint="cs"/>
          <w:rtl/>
        </w:rPr>
        <w:t>שסח</w:t>
      </w:r>
      <w:r w:rsidRPr="003A21A0">
        <w:rPr>
          <w:rFonts w:cs="Arial"/>
          <w:rtl/>
        </w:rPr>
        <w:t xml:space="preserve">) </w:t>
      </w:r>
      <w:r w:rsidRPr="003A21A0">
        <w:rPr>
          <w:rFonts w:cs="Arial" w:hint="cs"/>
          <w:rtl/>
        </w:rPr>
        <w:t>וגם</w:t>
      </w:r>
      <w:r w:rsidRPr="003A21A0">
        <w:rPr>
          <w:rFonts w:cs="Arial"/>
          <w:rtl/>
        </w:rPr>
        <w:t xml:space="preserve"> </w:t>
      </w:r>
      <w:r w:rsidR="009334FF">
        <w:rPr>
          <w:rFonts w:cs="Arial" w:hint="cs"/>
          <w:rtl/>
        </w:rPr>
        <w:t>ב</w:t>
      </w:r>
      <w:r w:rsidR="00DB737E">
        <w:rPr>
          <w:rFonts w:cs="Arial" w:hint="cs"/>
          <w:rtl/>
        </w:rPr>
        <w:t>הגהות</w:t>
      </w:r>
      <w:r w:rsidRPr="003A21A0">
        <w:rPr>
          <w:rFonts w:cs="Arial" w:hint="cs"/>
          <w:rtl/>
        </w:rPr>
        <w:t>יו</w:t>
      </w:r>
      <w:r w:rsidRPr="003A21A0">
        <w:rPr>
          <w:rFonts w:cs="Arial"/>
          <w:rtl/>
        </w:rPr>
        <w:t xml:space="preserve"> (</w:t>
      </w:r>
      <w:r w:rsidRPr="003A21A0">
        <w:rPr>
          <w:rFonts w:cs="Arial" w:hint="cs"/>
          <w:rtl/>
        </w:rPr>
        <w:t>סי</w:t>
      </w:r>
      <w:r w:rsidRPr="003A21A0">
        <w:rPr>
          <w:rFonts w:cs="Arial"/>
          <w:rtl/>
        </w:rPr>
        <w:t xml:space="preserve">' </w:t>
      </w:r>
      <w:r w:rsidRPr="003A21A0">
        <w:rPr>
          <w:rFonts w:cs="Arial" w:hint="cs"/>
          <w:rtl/>
        </w:rPr>
        <w:t>תנו</w:t>
      </w:r>
      <w:r w:rsidRPr="003A21A0">
        <w:rPr>
          <w:rFonts w:cs="Arial"/>
          <w:rtl/>
        </w:rPr>
        <w:t xml:space="preserve">). </w:t>
      </w:r>
      <w:r w:rsidRPr="003A21A0">
        <w:rPr>
          <w:rFonts w:cs="Arial" w:hint="cs"/>
          <w:rtl/>
        </w:rPr>
        <w:t>וגם</w:t>
      </w:r>
      <w:r w:rsidRPr="003A21A0">
        <w:rPr>
          <w:rFonts w:cs="Arial"/>
          <w:rtl/>
        </w:rPr>
        <w:t xml:space="preserve"> </w:t>
      </w:r>
      <w:r w:rsidRPr="003A21A0">
        <w:rPr>
          <w:rFonts w:cs="Arial" w:hint="cs"/>
          <w:rtl/>
        </w:rPr>
        <w:t>הרא</w:t>
      </w:r>
      <w:r w:rsidRPr="003A21A0">
        <w:rPr>
          <w:rFonts w:cs="Arial"/>
          <w:rtl/>
        </w:rPr>
        <w:t>"</w:t>
      </w:r>
      <w:r w:rsidRPr="003A21A0">
        <w:rPr>
          <w:rFonts w:cs="Arial" w:hint="cs"/>
          <w:rtl/>
        </w:rPr>
        <w:t>ש</w:t>
      </w:r>
      <w:r w:rsidRPr="003A21A0">
        <w:rPr>
          <w:rFonts w:cs="Arial"/>
          <w:rtl/>
        </w:rPr>
        <w:t xml:space="preserve"> </w:t>
      </w:r>
      <w:r w:rsidRPr="003A21A0">
        <w:rPr>
          <w:rFonts w:cs="Arial" w:hint="cs"/>
          <w:rtl/>
        </w:rPr>
        <w:t>כתב</w:t>
      </w:r>
      <w:r w:rsidRPr="003A21A0">
        <w:rPr>
          <w:rFonts w:cs="Arial"/>
          <w:rtl/>
        </w:rPr>
        <w:t xml:space="preserve"> </w:t>
      </w:r>
      <w:r w:rsidRPr="003A21A0">
        <w:rPr>
          <w:rFonts w:cs="Arial" w:hint="cs"/>
          <w:rtl/>
        </w:rPr>
        <w:t>בתשובה</w:t>
      </w:r>
      <w:r w:rsidRPr="003A21A0">
        <w:rPr>
          <w:rFonts w:cs="Arial"/>
          <w:rtl/>
        </w:rPr>
        <w:t xml:space="preserve"> </w:t>
      </w:r>
      <w:r w:rsidRPr="003A21A0">
        <w:rPr>
          <w:rFonts w:cs="Arial" w:hint="cs"/>
          <w:rtl/>
        </w:rPr>
        <w:t>(כלל</w:t>
      </w:r>
      <w:r w:rsidRPr="003A21A0">
        <w:rPr>
          <w:rFonts w:cs="Arial"/>
          <w:rtl/>
        </w:rPr>
        <w:t xml:space="preserve"> </w:t>
      </w:r>
      <w:r w:rsidRPr="003A21A0">
        <w:rPr>
          <w:rFonts w:cs="Arial" w:hint="cs"/>
          <w:rtl/>
        </w:rPr>
        <w:t>מה</w:t>
      </w:r>
      <w:r w:rsidRPr="003A21A0">
        <w:rPr>
          <w:rFonts w:cs="Arial"/>
          <w:rtl/>
        </w:rPr>
        <w:t xml:space="preserve"> </w:t>
      </w:r>
      <w:r w:rsidRPr="003A21A0">
        <w:rPr>
          <w:rFonts w:cs="Arial" w:hint="cs"/>
          <w:rtl/>
        </w:rPr>
        <w:t>סי'</w:t>
      </w:r>
      <w:r w:rsidRPr="003A21A0">
        <w:rPr>
          <w:rFonts w:cs="Arial"/>
          <w:rtl/>
        </w:rPr>
        <w:t xml:space="preserve"> </w:t>
      </w:r>
      <w:r w:rsidRPr="003A21A0">
        <w:rPr>
          <w:rFonts w:cs="Arial" w:hint="cs"/>
          <w:rtl/>
        </w:rPr>
        <w:t>כא)</w:t>
      </w:r>
      <w:r w:rsidRPr="003A21A0">
        <w:rPr>
          <w:rFonts w:cs="Arial"/>
          <w:rtl/>
        </w:rPr>
        <w:t xml:space="preserve"> </w:t>
      </w:r>
      <w:r w:rsidRPr="003A21A0">
        <w:rPr>
          <w:rFonts w:cs="Arial" w:hint="cs"/>
          <w:rtl/>
        </w:rPr>
        <w:t>ועוד</w:t>
      </w:r>
      <w:r w:rsidRPr="003A21A0">
        <w:rPr>
          <w:rFonts w:cs="Arial"/>
          <w:rtl/>
        </w:rPr>
        <w:t xml:space="preserve"> </w:t>
      </w:r>
      <w:r w:rsidRPr="003A21A0">
        <w:rPr>
          <w:rFonts w:cs="Arial" w:hint="cs"/>
          <w:rtl/>
        </w:rPr>
        <w:t>שאלת</w:t>
      </w:r>
      <w:r w:rsidRPr="003A21A0">
        <w:rPr>
          <w:rFonts w:cs="Arial"/>
          <w:rtl/>
        </w:rPr>
        <w:t xml:space="preserve"> </w:t>
      </w:r>
      <w:r w:rsidRPr="003A21A0">
        <w:rPr>
          <w:rFonts w:cs="Arial" w:hint="cs"/>
          <w:rtl/>
        </w:rPr>
        <w:t>גט</w:t>
      </w:r>
      <w:r w:rsidRPr="003A21A0">
        <w:rPr>
          <w:rFonts w:cs="Arial"/>
          <w:rtl/>
        </w:rPr>
        <w:t xml:space="preserve"> </w:t>
      </w:r>
      <w:r w:rsidRPr="003A21A0">
        <w:rPr>
          <w:rFonts w:cs="Arial" w:hint="cs"/>
          <w:rtl/>
        </w:rPr>
        <w:t>שבא</w:t>
      </w:r>
      <w:r w:rsidRPr="003A21A0">
        <w:rPr>
          <w:rFonts w:cs="Arial"/>
          <w:rtl/>
        </w:rPr>
        <w:t xml:space="preserve"> </w:t>
      </w:r>
      <w:r w:rsidRPr="003A21A0">
        <w:rPr>
          <w:rFonts w:cs="Arial" w:hint="cs"/>
          <w:rtl/>
        </w:rPr>
        <w:t>ממקום</w:t>
      </w:r>
      <w:r w:rsidRPr="003A21A0">
        <w:rPr>
          <w:rFonts w:cs="Arial"/>
          <w:rtl/>
        </w:rPr>
        <w:t xml:space="preserve"> </w:t>
      </w:r>
      <w:r w:rsidRPr="003A21A0">
        <w:rPr>
          <w:rFonts w:cs="Arial" w:hint="cs"/>
          <w:rtl/>
        </w:rPr>
        <w:t>אחד</w:t>
      </w:r>
      <w:r w:rsidRPr="003A21A0">
        <w:rPr>
          <w:rFonts w:cs="Arial"/>
          <w:rtl/>
        </w:rPr>
        <w:t xml:space="preserve"> </w:t>
      </w:r>
      <w:r w:rsidRPr="003A21A0">
        <w:rPr>
          <w:rFonts w:cs="Arial" w:hint="cs"/>
          <w:rtl/>
        </w:rPr>
        <w:t>ולא</w:t>
      </w:r>
      <w:r w:rsidRPr="003A21A0">
        <w:rPr>
          <w:rFonts w:cs="Arial"/>
          <w:rtl/>
        </w:rPr>
        <w:t xml:space="preserve"> </w:t>
      </w:r>
      <w:r w:rsidRPr="003A21A0">
        <w:rPr>
          <w:rFonts w:cs="Arial" w:hint="cs"/>
          <w:rtl/>
        </w:rPr>
        <w:t>היה</w:t>
      </w:r>
      <w:r w:rsidRPr="003A21A0">
        <w:rPr>
          <w:rFonts w:cs="Arial"/>
          <w:rtl/>
        </w:rPr>
        <w:t xml:space="preserve"> </w:t>
      </w:r>
      <w:r w:rsidRPr="003A21A0">
        <w:rPr>
          <w:rFonts w:cs="Arial" w:hint="cs"/>
          <w:rtl/>
        </w:rPr>
        <w:t>כתוב</w:t>
      </w:r>
      <w:r w:rsidRPr="003A21A0">
        <w:rPr>
          <w:rFonts w:cs="Arial"/>
          <w:rtl/>
        </w:rPr>
        <w:t xml:space="preserve"> </w:t>
      </w:r>
      <w:r w:rsidRPr="003A21A0">
        <w:rPr>
          <w:rFonts w:cs="Arial" w:hint="cs"/>
          <w:rtl/>
        </w:rPr>
        <w:t>בו</w:t>
      </w:r>
      <w:r w:rsidRPr="003A21A0">
        <w:rPr>
          <w:rFonts w:cs="Arial"/>
          <w:rtl/>
        </w:rPr>
        <w:t xml:space="preserve"> </w:t>
      </w:r>
      <w:r w:rsidRPr="003A21A0">
        <w:rPr>
          <w:rFonts w:cs="Arial" w:hint="cs"/>
          <w:rtl/>
        </w:rPr>
        <w:t>שם</w:t>
      </w:r>
      <w:r w:rsidRPr="003A21A0">
        <w:rPr>
          <w:rFonts w:cs="Arial"/>
          <w:rtl/>
        </w:rPr>
        <w:t xml:space="preserve"> </w:t>
      </w:r>
      <w:r w:rsidRPr="003A21A0">
        <w:rPr>
          <w:rFonts w:cs="Arial" w:hint="cs"/>
          <w:rtl/>
        </w:rPr>
        <w:t>הנהר</w:t>
      </w:r>
      <w:r w:rsidRPr="003A21A0">
        <w:rPr>
          <w:rFonts w:cs="Arial"/>
          <w:rtl/>
        </w:rPr>
        <w:t xml:space="preserve"> </w:t>
      </w:r>
      <w:r w:rsidRPr="003A21A0">
        <w:rPr>
          <w:rFonts w:cs="Arial" w:hint="cs"/>
          <w:rtl/>
        </w:rPr>
        <w:t>אם</w:t>
      </w:r>
      <w:r w:rsidRPr="003A21A0">
        <w:rPr>
          <w:rFonts w:cs="Arial"/>
          <w:rtl/>
        </w:rPr>
        <w:t xml:space="preserve"> </w:t>
      </w:r>
      <w:r w:rsidRPr="003A21A0">
        <w:rPr>
          <w:rFonts w:cs="Arial" w:hint="cs"/>
          <w:rtl/>
        </w:rPr>
        <w:t>יש</w:t>
      </w:r>
      <w:r w:rsidRPr="003A21A0">
        <w:rPr>
          <w:rFonts w:cs="Arial"/>
          <w:rtl/>
        </w:rPr>
        <w:t xml:space="preserve"> </w:t>
      </w:r>
      <w:r w:rsidRPr="003A21A0">
        <w:rPr>
          <w:rFonts w:cs="Arial" w:hint="cs"/>
          <w:rtl/>
        </w:rPr>
        <w:t>שום</w:t>
      </w:r>
      <w:r w:rsidRPr="003A21A0">
        <w:rPr>
          <w:rFonts w:cs="Arial"/>
          <w:rtl/>
        </w:rPr>
        <w:t xml:space="preserve"> </w:t>
      </w:r>
      <w:r w:rsidRPr="003A21A0">
        <w:rPr>
          <w:rFonts w:cs="Arial" w:hint="cs"/>
          <w:rtl/>
        </w:rPr>
        <w:t>חשש</w:t>
      </w:r>
      <w:r w:rsidRPr="003A21A0">
        <w:rPr>
          <w:rFonts w:cs="Arial"/>
          <w:rtl/>
        </w:rPr>
        <w:t xml:space="preserve"> </w:t>
      </w:r>
      <w:r w:rsidRPr="003A21A0">
        <w:rPr>
          <w:rFonts w:cs="Arial" w:hint="cs"/>
          <w:rtl/>
        </w:rPr>
        <w:t>בדבר</w:t>
      </w:r>
      <w:r>
        <w:rPr>
          <w:rFonts w:cs="Arial" w:hint="cs"/>
          <w:rtl/>
        </w:rPr>
        <w:t xml:space="preserve"> -</w:t>
      </w:r>
      <w:r w:rsidRPr="003A21A0">
        <w:rPr>
          <w:rFonts w:cs="Arial"/>
          <w:rtl/>
        </w:rPr>
        <w:t xml:space="preserve"> </w:t>
      </w:r>
      <w:r w:rsidRPr="003A21A0">
        <w:rPr>
          <w:rFonts w:cs="Arial" w:hint="cs"/>
          <w:rtl/>
        </w:rPr>
        <w:t>דע</w:t>
      </w:r>
      <w:r w:rsidRPr="003A21A0">
        <w:rPr>
          <w:rFonts w:cs="Arial"/>
          <w:rtl/>
        </w:rPr>
        <w:t xml:space="preserve"> </w:t>
      </w:r>
      <w:r w:rsidRPr="003A21A0">
        <w:rPr>
          <w:rFonts w:cs="Arial" w:hint="cs"/>
          <w:rtl/>
        </w:rPr>
        <w:t>כי</w:t>
      </w:r>
      <w:r w:rsidRPr="003A21A0">
        <w:rPr>
          <w:rFonts w:cs="Arial"/>
          <w:rtl/>
        </w:rPr>
        <w:t xml:space="preserve"> </w:t>
      </w:r>
      <w:r w:rsidRPr="003A21A0">
        <w:rPr>
          <w:rFonts w:cs="Arial" w:hint="cs"/>
          <w:rtl/>
        </w:rPr>
        <w:t>אין</w:t>
      </w:r>
      <w:r w:rsidRPr="003A21A0">
        <w:rPr>
          <w:rFonts w:cs="Arial"/>
          <w:rtl/>
        </w:rPr>
        <w:t xml:space="preserve"> </w:t>
      </w:r>
      <w:r w:rsidRPr="003A21A0">
        <w:rPr>
          <w:rFonts w:cs="Arial" w:hint="cs"/>
          <w:rtl/>
        </w:rPr>
        <w:t>חשש</w:t>
      </w:r>
      <w:r w:rsidRPr="003A21A0">
        <w:rPr>
          <w:rFonts w:cs="Arial"/>
          <w:rtl/>
        </w:rPr>
        <w:t xml:space="preserve"> </w:t>
      </w:r>
      <w:r w:rsidRPr="003A21A0">
        <w:rPr>
          <w:rFonts w:cs="Arial" w:hint="cs"/>
          <w:rtl/>
        </w:rPr>
        <w:t>בכתיבת</w:t>
      </w:r>
      <w:r w:rsidRPr="003A21A0">
        <w:rPr>
          <w:rFonts w:cs="Arial"/>
          <w:rtl/>
        </w:rPr>
        <w:t xml:space="preserve"> </w:t>
      </w:r>
      <w:r w:rsidRPr="003A21A0">
        <w:rPr>
          <w:rFonts w:cs="Arial" w:hint="cs"/>
          <w:rtl/>
        </w:rPr>
        <w:t>שם</w:t>
      </w:r>
      <w:r w:rsidRPr="003A21A0">
        <w:rPr>
          <w:rFonts w:cs="Arial"/>
          <w:rtl/>
        </w:rPr>
        <w:t xml:space="preserve"> </w:t>
      </w:r>
      <w:r w:rsidRPr="003A21A0">
        <w:rPr>
          <w:rFonts w:cs="Arial" w:hint="cs"/>
          <w:rtl/>
        </w:rPr>
        <w:t>הנהר.</w:t>
      </w:r>
      <w:r w:rsidRPr="003A21A0">
        <w:rPr>
          <w:rFonts w:cs="Arial"/>
          <w:rtl/>
        </w:rPr>
        <w:t xml:space="preserve"> </w:t>
      </w:r>
      <w:r w:rsidRPr="003A21A0">
        <w:rPr>
          <w:rFonts w:cs="Arial" w:hint="cs"/>
          <w:rtl/>
        </w:rPr>
        <w:t>וכן</w:t>
      </w:r>
      <w:r w:rsidRPr="003A21A0">
        <w:rPr>
          <w:rFonts w:cs="Arial"/>
          <w:rtl/>
        </w:rPr>
        <w:t xml:space="preserve"> </w:t>
      </w:r>
      <w:r w:rsidRPr="003A21A0">
        <w:rPr>
          <w:rFonts w:cs="Arial" w:hint="cs"/>
          <w:rtl/>
        </w:rPr>
        <w:t>כתב</w:t>
      </w:r>
      <w:r w:rsidRPr="003A21A0">
        <w:rPr>
          <w:rFonts w:cs="Arial"/>
          <w:rtl/>
        </w:rPr>
        <w:t xml:space="preserve"> </w:t>
      </w:r>
      <w:r w:rsidRPr="003A21A0">
        <w:rPr>
          <w:rFonts w:cs="Arial" w:hint="cs"/>
          <w:rtl/>
        </w:rPr>
        <w:t>בתשובת</w:t>
      </w:r>
      <w:r w:rsidRPr="003A21A0">
        <w:rPr>
          <w:rFonts w:cs="Arial"/>
          <w:rtl/>
        </w:rPr>
        <w:t xml:space="preserve"> </w:t>
      </w:r>
      <w:r w:rsidRPr="003A21A0">
        <w:rPr>
          <w:rFonts w:cs="Arial" w:hint="cs"/>
          <w:rtl/>
        </w:rPr>
        <w:t>ה</w:t>
      </w:r>
      <w:r w:rsidRPr="003A21A0">
        <w:rPr>
          <w:rFonts w:cs="Arial"/>
          <w:rtl/>
        </w:rPr>
        <w:t>"</w:t>
      </w:r>
      <w:r w:rsidRPr="003A21A0">
        <w:rPr>
          <w:rFonts w:cs="Arial" w:hint="cs"/>
          <w:rtl/>
        </w:rPr>
        <w:t>ר</w:t>
      </w:r>
      <w:r w:rsidRPr="003A21A0">
        <w:rPr>
          <w:rFonts w:cs="Arial"/>
          <w:rtl/>
        </w:rPr>
        <w:t xml:space="preserve"> </w:t>
      </w:r>
      <w:r w:rsidRPr="003A21A0">
        <w:rPr>
          <w:rFonts w:cs="Arial" w:hint="cs"/>
          <w:rtl/>
        </w:rPr>
        <w:t>יהודה</w:t>
      </w:r>
      <w:r w:rsidRPr="003A21A0">
        <w:rPr>
          <w:rFonts w:cs="Arial"/>
          <w:rtl/>
        </w:rPr>
        <w:t xml:space="preserve"> </w:t>
      </w:r>
      <w:r w:rsidRPr="003A21A0">
        <w:rPr>
          <w:rFonts w:cs="Arial" w:hint="cs"/>
          <w:rtl/>
        </w:rPr>
        <w:t>בנו</w:t>
      </w:r>
      <w:r w:rsidRPr="003A21A0">
        <w:rPr>
          <w:rFonts w:cs="Arial"/>
          <w:rtl/>
        </w:rPr>
        <w:t xml:space="preserve"> (</w:t>
      </w:r>
      <w:r w:rsidRPr="003A21A0">
        <w:rPr>
          <w:rFonts w:cs="Arial" w:hint="cs"/>
          <w:rtl/>
        </w:rPr>
        <w:t>שו</w:t>
      </w:r>
      <w:r w:rsidRPr="003A21A0">
        <w:rPr>
          <w:rFonts w:cs="Arial"/>
          <w:rtl/>
        </w:rPr>
        <w:t>"</w:t>
      </w:r>
      <w:r w:rsidRPr="003A21A0">
        <w:rPr>
          <w:rFonts w:cs="Arial" w:hint="cs"/>
          <w:rtl/>
        </w:rPr>
        <w:t>ת</w:t>
      </w:r>
      <w:r w:rsidRPr="003A21A0">
        <w:rPr>
          <w:rFonts w:cs="Arial"/>
          <w:rtl/>
        </w:rPr>
        <w:t xml:space="preserve"> </w:t>
      </w:r>
      <w:r w:rsidRPr="003A21A0">
        <w:rPr>
          <w:rFonts w:cs="Arial" w:hint="cs"/>
          <w:rtl/>
        </w:rPr>
        <w:t>זכרון</w:t>
      </w:r>
      <w:r w:rsidRPr="003A21A0">
        <w:rPr>
          <w:rFonts w:cs="Arial"/>
          <w:rtl/>
        </w:rPr>
        <w:t xml:space="preserve"> </w:t>
      </w:r>
      <w:r w:rsidRPr="003A21A0">
        <w:rPr>
          <w:rFonts w:cs="Arial" w:hint="cs"/>
          <w:rtl/>
        </w:rPr>
        <w:t>יהודה</w:t>
      </w:r>
      <w:r w:rsidRPr="003A21A0">
        <w:rPr>
          <w:rFonts w:cs="Arial"/>
          <w:rtl/>
        </w:rPr>
        <w:t xml:space="preserve"> </w:t>
      </w:r>
      <w:r w:rsidRPr="003A21A0">
        <w:rPr>
          <w:rFonts w:cs="Arial" w:hint="cs"/>
          <w:rtl/>
        </w:rPr>
        <w:t>סי</w:t>
      </w:r>
      <w:r w:rsidRPr="003A21A0">
        <w:rPr>
          <w:rFonts w:cs="Arial"/>
          <w:rtl/>
        </w:rPr>
        <w:t xml:space="preserve">' </w:t>
      </w:r>
      <w:r w:rsidRPr="003A21A0">
        <w:rPr>
          <w:rFonts w:cs="Arial" w:hint="cs"/>
          <w:rtl/>
        </w:rPr>
        <w:t>ה</w:t>
      </w:r>
      <w:r w:rsidRPr="003A21A0">
        <w:rPr>
          <w:rFonts w:cs="Arial"/>
          <w:rtl/>
        </w:rPr>
        <w:t xml:space="preserve">) </w:t>
      </w:r>
      <w:r w:rsidRPr="003A21A0">
        <w:rPr>
          <w:rFonts w:cs="Arial" w:hint="cs"/>
          <w:rtl/>
        </w:rPr>
        <w:t>מה</w:t>
      </w:r>
      <w:r w:rsidRPr="003A21A0">
        <w:rPr>
          <w:rFonts w:cs="Arial"/>
          <w:rtl/>
        </w:rPr>
        <w:t xml:space="preserve"> </w:t>
      </w:r>
      <w:r w:rsidRPr="003A21A0">
        <w:rPr>
          <w:rFonts w:cs="Arial" w:hint="cs"/>
          <w:rtl/>
        </w:rPr>
        <w:t>שלא</w:t>
      </w:r>
      <w:r w:rsidRPr="003A21A0">
        <w:rPr>
          <w:rFonts w:cs="Arial"/>
          <w:rtl/>
        </w:rPr>
        <w:t xml:space="preserve"> </w:t>
      </w:r>
      <w:r w:rsidRPr="003A21A0">
        <w:rPr>
          <w:rFonts w:cs="Arial" w:hint="cs"/>
          <w:rtl/>
        </w:rPr>
        <w:t>כתבו</w:t>
      </w:r>
      <w:r w:rsidRPr="003A21A0">
        <w:rPr>
          <w:rFonts w:cs="Arial"/>
          <w:rtl/>
        </w:rPr>
        <w:t xml:space="preserve"> </w:t>
      </w:r>
      <w:r w:rsidRPr="003A21A0">
        <w:rPr>
          <w:rFonts w:cs="Arial" w:hint="cs"/>
          <w:rtl/>
        </w:rPr>
        <w:t>שם</w:t>
      </w:r>
      <w:r w:rsidRPr="003A21A0">
        <w:rPr>
          <w:rFonts w:cs="Arial"/>
          <w:rtl/>
        </w:rPr>
        <w:t xml:space="preserve"> </w:t>
      </w:r>
      <w:r w:rsidRPr="003A21A0">
        <w:rPr>
          <w:rFonts w:cs="Arial" w:hint="cs"/>
          <w:rtl/>
        </w:rPr>
        <w:t>הנהר</w:t>
      </w:r>
      <w:r w:rsidRPr="003A21A0">
        <w:rPr>
          <w:rFonts w:cs="Arial"/>
          <w:rtl/>
        </w:rPr>
        <w:t xml:space="preserve"> </w:t>
      </w:r>
      <w:r w:rsidRPr="003A21A0">
        <w:rPr>
          <w:rFonts w:cs="Arial" w:hint="cs"/>
          <w:rtl/>
        </w:rPr>
        <w:t>בגט</w:t>
      </w:r>
      <w:r w:rsidRPr="003A21A0">
        <w:rPr>
          <w:rFonts w:cs="Arial"/>
          <w:rtl/>
        </w:rPr>
        <w:t xml:space="preserve"> </w:t>
      </w:r>
      <w:r>
        <w:rPr>
          <w:rFonts w:cs="Arial" w:hint="cs"/>
          <w:rtl/>
        </w:rPr>
        <w:t xml:space="preserve">- </w:t>
      </w:r>
      <w:r w:rsidRPr="003A21A0">
        <w:rPr>
          <w:rFonts w:cs="Arial" w:hint="cs"/>
          <w:rtl/>
        </w:rPr>
        <w:t>אין</w:t>
      </w:r>
      <w:r w:rsidRPr="003A21A0">
        <w:rPr>
          <w:rFonts w:cs="Arial"/>
          <w:rtl/>
        </w:rPr>
        <w:t xml:space="preserve"> </w:t>
      </w:r>
      <w:r w:rsidRPr="003A21A0">
        <w:rPr>
          <w:rFonts w:cs="Arial" w:hint="cs"/>
          <w:rtl/>
        </w:rPr>
        <w:t>לפסלו</w:t>
      </w:r>
      <w:r w:rsidRPr="003A21A0">
        <w:rPr>
          <w:rFonts w:cs="Arial"/>
          <w:rtl/>
        </w:rPr>
        <w:t xml:space="preserve"> </w:t>
      </w:r>
      <w:r w:rsidRPr="003A21A0">
        <w:rPr>
          <w:rFonts w:cs="Arial" w:hint="cs"/>
          <w:rtl/>
        </w:rPr>
        <w:t>בכך</w:t>
      </w:r>
      <w:r w:rsidRPr="003A21A0">
        <w:rPr>
          <w:rFonts w:cs="Arial"/>
          <w:rtl/>
        </w:rPr>
        <w:t xml:space="preserve"> </w:t>
      </w:r>
      <w:r w:rsidRPr="003A21A0">
        <w:rPr>
          <w:rFonts w:cs="Arial" w:hint="cs"/>
          <w:rtl/>
        </w:rPr>
        <w:t>וכמדומה</w:t>
      </w:r>
      <w:r w:rsidRPr="003A21A0">
        <w:rPr>
          <w:rFonts w:cs="Arial"/>
          <w:rtl/>
        </w:rPr>
        <w:t xml:space="preserve"> </w:t>
      </w:r>
      <w:r w:rsidRPr="003A21A0">
        <w:rPr>
          <w:rFonts w:cs="Arial" w:hint="cs"/>
          <w:rtl/>
        </w:rPr>
        <w:t>שפה</w:t>
      </w:r>
      <w:r w:rsidRPr="003A21A0">
        <w:rPr>
          <w:rFonts w:cs="Arial"/>
          <w:rtl/>
        </w:rPr>
        <w:t xml:space="preserve"> </w:t>
      </w:r>
      <w:r w:rsidRPr="003A21A0">
        <w:rPr>
          <w:rFonts w:cs="Arial" w:hint="cs"/>
          <w:rtl/>
        </w:rPr>
        <w:t>טוליטולה</w:t>
      </w:r>
      <w:r w:rsidRPr="003A21A0">
        <w:rPr>
          <w:rFonts w:cs="Arial"/>
          <w:rtl/>
        </w:rPr>
        <w:t xml:space="preserve"> </w:t>
      </w:r>
      <w:r w:rsidRPr="003A21A0">
        <w:rPr>
          <w:rFonts w:cs="Arial" w:hint="cs"/>
          <w:rtl/>
        </w:rPr>
        <w:t>אין</w:t>
      </w:r>
      <w:r w:rsidRPr="003A21A0">
        <w:rPr>
          <w:rFonts w:cs="Arial"/>
          <w:rtl/>
        </w:rPr>
        <w:t xml:space="preserve"> </w:t>
      </w:r>
      <w:r w:rsidRPr="003A21A0">
        <w:rPr>
          <w:rFonts w:cs="Arial" w:hint="cs"/>
          <w:rtl/>
        </w:rPr>
        <w:t>כותבין</w:t>
      </w:r>
      <w:r w:rsidRPr="003A21A0">
        <w:rPr>
          <w:rFonts w:cs="Arial"/>
          <w:rtl/>
        </w:rPr>
        <w:t xml:space="preserve"> </w:t>
      </w:r>
      <w:r w:rsidRPr="003A21A0">
        <w:rPr>
          <w:rFonts w:cs="Arial" w:hint="cs"/>
          <w:rtl/>
        </w:rPr>
        <w:t>שם</w:t>
      </w:r>
      <w:r w:rsidRPr="003A21A0">
        <w:rPr>
          <w:rFonts w:cs="Arial"/>
          <w:rtl/>
        </w:rPr>
        <w:t xml:space="preserve"> </w:t>
      </w:r>
      <w:r w:rsidRPr="003A21A0">
        <w:rPr>
          <w:rFonts w:cs="Arial" w:hint="cs"/>
          <w:rtl/>
        </w:rPr>
        <w:t>הנהר</w:t>
      </w:r>
      <w:r w:rsidRPr="003A21A0">
        <w:rPr>
          <w:rFonts w:cs="Arial"/>
          <w:rtl/>
        </w:rPr>
        <w:t xml:space="preserve"> </w:t>
      </w:r>
      <w:r w:rsidRPr="003A21A0">
        <w:rPr>
          <w:rFonts w:cs="Arial" w:hint="cs"/>
          <w:rtl/>
        </w:rPr>
        <w:t>בגט</w:t>
      </w:r>
      <w:r w:rsidRPr="003A21A0">
        <w:rPr>
          <w:rFonts w:cs="Arial"/>
          <w:rtl/>
        </w:rPr>
        <w:t xml:space="preserve"> </w:t>
      </w:r>
      <w:r w:rsidRPr="003A21A0">
        <w:rPr>
          <w:rFonts w:cs="Arial" w:hint="cs"/>
          <w:rtl/>
        </w:rPr>
        <w:t>עכ</w:t>
      </w:r>
      <w:r w:rsidRPr="003A21A0">
        <w:rPr>
          <w:rFonts w:cs="Arial"/>
          <w:rtl/>
        </w:rPr>
        <w:t>"</w:t>
      </w:r>
      <w:r w:rsidRPr="003A21A0">
        <w:rPr>
          <w:rFonts w:cs="Arial" w:hint="cs"/>
          <w:rtl/>
        </w:rPr>
        <w:t>ל</w:t>
      </w:r>
      <w:r>
        <w:rPr>
          <w:rFonts w:cs="Arial" w:hint="cs"/>
          <w:rtl/>
        </w:rPr>
        <w:t>, ב"י.</w:t>
      </w:r>
    </w:p>
  </w:footnote>
  <w:footnote w:id="999">
    <w:p w14:paraId="7C9A92A8" w14:textId="77777777" w:rsidR="00FA2119" w:rsidRDefault="00FA2119" w:rsidP="00FA2119">
      <w:pPr>
        <w:pStyle w:val="a5"/>
      </w:pPr>
      <w:r>
        <w:rPr>
          <w:rStyle w:val="a7"/>
        </w:rPr>
        <w:footnoteRef/>
      </w:r>
      <w:r>
        <w:rPr>
          <w:rtl/>
        </w:rPr>
        <w:t xml:space="preserve"> </w:t>
      </w:r>
      <w:r w:rsidRPr="00BB2FEA">
        <w:rPr>
          <w:rFonts w:cs="Arial" w:hint="cs"/>
          <w:rtl/>
        </w:rPr>
        <w:t>ואם</w:t>
      </w:r>
      <w:r w:rsidRPr="00BB2FEA">
        <w:rPr>
          <w:rFonts w:cs="Arial"/>
          <w:rtl/>
        </w:rPr>
        <w:t xml:space="preserve"> </w:t>
      </w:r>
      <w:r w:rsidRPr="00BB2FEA">
        <w:rPr>
          <w:rFonts w:cs="Arial" w:hint="cs"/>
          <w:rtl/>
        </w:rPr>
        <w:t>כתב</w:t>
      </w:r>
      <w:r w:rsidRPr="00BB2FEA">
        <w:rPr>
          <w:rFonts w:cs="Arial"/>
          <w:rtl/>
        </w:rPr>
        <w:t xml:space="preserve"> </w:t>
      </w:r>
      <w:r w:rsidRPr="00BB2FEA">
        <w:rPr>
          <w:rFonts w:cs="Arial" w:hint="cs"/>
          <w:rtl/>
        </w:rPr>
        <w:t>אותו</w:t>
      </w:r>
      <w:r w:rsidRPr="00BB2FEA">
        <w:rPr>
          <w:rFonts w:cs="Arial"/>
          <w:rtl/>
        </w:rPr>
        <w:t xml:space="preserve"> </w:t>
      </w:r>
      <w:r w:rsidRPr="00BB2FEA">
        <w:rPr>
          <w:rFonts w:cs="Arial" w:hint="cs"/>
          <w:rtl/>
        </w:rPr>
        <w:t>בשני</w:t>
      </w:r>
      <w:r w:rsidRPr="00BB2FEA">
        <w:rPr>
          <w:rFonts w:cs="Arial"/>
          <w:rtl/>
        </w:rPr>
        <w:t xml:space="preserve"> </w:t>
      </w:r>
      <w:r w:rsidRPr="00BB2FEA">
        <w:rPr>
          <w:rFonts w:cs="Arial" w:hint="cs"/>
          <w:rtl/>
        </w:rPr>
        <w:t>יודי</w:t>
      </w:r>
      <w:r w:rsidRPr="00BB2FEA">
        <w:rPr>
          <w:rFonts w:cs="Arial"/>
          <w:rtl/>
        </w:rPr>
        <w:t>"</w:t>
      </w:r>
      <w:r w:rsidRPr="00BB2FEA">
        <w:rPr>
          <w:rFonts w:cs="Arial" w:hint="cs"/>
          <w:rtl/>
        </w:rPr>
        <w:t>ן</w:t>
      </w:r>
      <w:r w:rsidRPr="00BB2FEA">
        <w:rPr>
          <w:rFonts w:cs="Arial"/>
          <w:rtl/>
        </w:rPr>
        <w:t xml:space="preserve"> </w:t>
      </w:r>
      <w:r w:rsidRPr="00BB2FEA">
        <w:rPr>
          <w:rFonts w:cs="Arial" w:hint="cs"/>
          <w:rtl/>
        </w:rPr>
        <w:t>די</w:t>
      </w:r>
      <w:r w:rsidRPr="00BB2FEA">
        <w:rPr>
          <w:rFonts w:cs="Arial"/>
          <w:rtl/>
        </w:rPr>
        <w:t xml:space="preserve"> </w:t>
      </w:r>
      <w:r w:rsidRPr="00BB2FEA">
        <w:rPr>
          <w:rFonts w:cs="Arial" w:hint="cs"/>
          <w:rtl/>
        </w:rPr>
        <w:t>יתבא</w:t>
      </w:r>
      <w:r w:rsidRPr="00BB2FEA">
        <w:rPr>
          <w:rFonts w:cs="Arial"/>
          <w:rtl/>
        </w:rPr>
        <w:t xml:space="preserve"> </w:t>
      </w:r>
      <w:r w:rsidRPr="00BB2FEA">
        <w:rPr>
          <w:rFonts w:cs="Arial" w:hint="cs"/>
          <w:rtl/>
        </w:rPr>
        <w:t>נראה</w:t>
      </w:r>
      <w:r w:rsidRPr="00BB2FEA">
        <w:rPr>
          <w:rFonts w:cs="Arial"/>
          <w:rtl/>
        </w:rPr>
        <w:t xml:space="preserve"> </w:t>
      </w:r>
      <w:r w:rsidRPr="00BB2FEA">
        <w:rPr>
          <w:rFonts w:cs="Arial" w:hint="cs"/>
          <w:rtl/>
        </w:rPr>
        <w:t>דכשר</w:t>
      </w:r>
      <w:r>
        <w:rPr>
          <w:rFonts w:cs="Arial" w:hint="cs"/>
          <w:rtl/>
        </w:rPr>
        <w:t>, ב"י.</w:t>
      </w:r>
    </w:p>
  </w:footnote>
  <w:footnote w:id="1000">
    <w:p w14:paraId="50F926E6" w14:textId="77777777" w:rsidR="00FA2119" w:rsidRDefault="00FA2119" w:rsidP="00FA2119">
      <w:pPr>
        <w:pStyle w:val="a5"/>
        <w:rPr>
          <w:rtl/>
        </w:rPr>
      </w:pPr>
      <w:r>
        <w:rPr>
          <w:rStyle w:val="a7"/>
        </w:rPr>
        <w:footnoteRef/>
      </w:r>
      <w:r>
        <w:rPr>
          <w:rtl/>
        </w:rPr>
        <w:t xml:space="preserve"> </w:t>
      </w:r>
      <w:r w:rsidRPr="00BB2FEA">
        <w:rPr>
          <w:rFonts w:cs="Arial" w:hint="cs"/>
          <w:rtl/>
        </w:rPr>
        <w:t>הרי</w:t>
      </w:r>
      <w:r w:rsidRPr="00BB2FEA">
        <w:rPr>
          <w:rFonts w:cs="Arial"/>
          <w:rtl/>
        </w:rPr>
        <w:t xml:space="preserve"> </w:t>
      </w:r>
      <w:r w:rsidRPr="00BB2FEA">
        <w:rPr>
          <w:rFonts w:cs="Arial" w:hint="cs"/>
          <w:rtl/>
        </w:rPr>
        <w:t>דכל</w:t>
      </w:r>
      <w:r w:rsidRPr="00BB2FEA">
        <w:rPr>
          <w:rFonts w:cs="Arial"/>
          <w:rtl/>
        </w:rPr>
        <w:t xml:space="preserve"> </w:t>
      </w:r>
      <w:r w:rsidRPr="00BB2FEA">
        <w:rPr>
          <w:rFonts w:cs="Arial" w:hint="cs"/>
          <w:rtl/>
        </w:rPr>
        <w:t>שהוא</w:t>
      </w:r>
      <w:r w:rsidRPr="00BB2FEA">
        <w:rPr>
          <w:rFonts w:cs="Arial"/>
          <w:rtl/>
        </w:rPr>
        <w:t xml:space="preserve"> </w:t>
      </w:r>
      <w:r w:rsidRPr="00BB2FEA">
        <w:rPr>
          <w:rFonts w:cs="Arial" w:hint="cs"/>
          <w:rtl/>
        </w:rPr>
        <w:t>חוץ</w:t>
      </w:r>
      <w:r w:rsidRPr="00BB2FEA">
        <w:rPr>
          <w:rFonts w:cs="Arial"/>
          <w:rtl/>
        </w:rPr>
        <w:t xml:space="preserve"> </w:t>
      </w:r>
      <w:r w:rsidRPr="00BB2FEA">
        <w:rPr>
          <w:rFonts w:cs="Arial" w:hint="cs"/>
          <w:rtl/>
        </w:rPr>
        <w:t>לעיבורה</w:t>
      </w:r>
      <w:r w:rsidRPr="00BB2FEA">
        <w:rPr>
          <w:rFonts w:cs="Arial"/>
          <w:rtl/>
        </w:rPr>
        <w:t xml:space="preserve"> </w:t>
      </w:r>
      <w:r w:rsidRPr="00BB2FEA">
        <w:rPr>
          <w:rFonts w:cs="Arial" w:hint="cs"/>
          <w:rtl/>
        </w:rPr>
        <w:t>של</w:t>
      </w:r>
      <w:r w:rsidRPr="00BB2FEA">
        <w:rPr>
          <w:rFonts w:cs="Arial"/>
          <w:rtl/>
        </w:rPr>
        <w:t xml:space="preserve"> </w:t>
      </w:r>
      <w:r w:rsidRPr="00BB2FEA">
        <w:rPr>
          <w:rFonts w:cs="Arial" w:hint="cs"/>
          <w:rtl/>
        </w:rPr>
        <w:t>עיר</w:t>
      </w:r>
      <w:r w:rsidRPr="00BB2FEA">
        <w:rPr>
          <w:rFonts w:cs="Arial"/>
          <w:rtl/>
        </w:rPr>
        <w:t xml:space="preserve"> </w:t>
      </w:r>
      <w:r w:rsidRPr="00BB2FEA">
        <w:rPr>
          <w:rFonts w:cs="Arial" w:hint="cs"/>
          <w:rtl/>
        </w:rPr>
        <w:t>אם</w:t>
      </w:r>
      <w:r w:rsidRPr="00BB2FEA">
        <w:rPr>
          <w:rFonts w:cs="Arial"/>
          <w:rtl/>
        </w:rPr>
        <w:t xml:space="preserve"> </w:t>
      </w:r>
      <w:r w:rsidRPr="00BB2FEA">
        <w:rPr>
          <w:rFonts w:cs="Arial" w:hint="cs"/>
          <w:rtl/>
        </w:rPr>
        <w:t>אין</w:t>
      </w:r>
      <w:r w:rsidRPr="00BB2FEA">
        <w:rPr>
          <w:rFonts w:cs="Arial"/>
          <w:rtl/>
        </w:rPr>
        <w:t xml:space="preserve"> </w:t>
      </w:r>
      <w:r w:rsidRPr="00BB2FEA">
        <w:rPr>
          <w:rFonts w:cs="Arial" w:hint="cs"/>
          <w:rtl/>
        </w:rPr>
        <w:t>מסתפקין</w:t>
      </w:r>
      <w:r w:rsidRPr="00BB2FEA">
        <w:rPr>
          <w:rFonts w:cs="Arial"/>
          <w:rtl/>
        </w:rPr>
        <w:t xml:space="preserve"> </w:t>
      </w:r>
      <w:r w:rsidRPr="00BB2FEA">
        <w:rPr>
          <w:rFonts w:cs="Arial" w:hint="cs"/>
          <w:rtl/>
        </w:rPr>
        <w:t>ממנו</w:t>
      </w:r>
      <w:r w:rsidRPr="00BB2FEA">
        <w:rPr>
          <w:rFonts w:cs="Arial"/>
          <w:rtl/>
        </w:rPr>
        <w:t xml:space="preserve"> </w:t>
      </w:r>
      <w:r w:rsidRPr="001125DE">
        <w:rPr>
          <w:rFonts w:cs="Arial" w:hint="cs"/>
          <w:b/>
          <w:bCs/>
          <w:rtl/>
        </w:rPr>
        <w:t>לכל</w:t>
      </w:r>
      <w:r w:rsidRPr="00BB2FEA">
        <w:rPr>
          <w:rFonts w:cs="Arial"/>
          <w:rtl/>
        </w:rPr>
        <w:t xml:space="preserve"> </w:t>
      </w:r>
      <w:r w:rsidRPr="00BB2FEA">
        <w:rPr>
          <w:rFonts w:cs="Arial" w:hint="cs"/>
          <w:rtl/>
        </w:rPr>
        <w:t>תשמישן</w:t>
      </w:r>
      <w:r w:rsidRPr="00BB2FEA">
        <w:rPr>
          <w:rFonts w:cs="Arial"/>
          <w:rtl/>
        </w:rPr>
        <w:t xml:space="preserve"> </w:t>
      </w:r>
      <w:r w:rsidRPr="00BB2FEA">
        <w:rPr>
          <w:rFonts w:cs="Arial" w:hint="cs"/>
          <w:rtl/>
        </w:rPr>
        <w:t>אין</w:t>
      </w:r>
      <w:r w:rsidRPr="00BB2FEA">
        <w:rPr>
          <w:rFonts w:cs="Arial"/>
          <w:rtl/>
        </w:rPr>
        <w:t xml:space="preserve"> </w:t>
      </w:r>
      <w:r w:rsidRPr="00BB2FEA">
        <w:rPr>
          <w:rFonts w:cs="Arial" w:hint="cs"/>
          <w:rtl/>
        </w:rPr>
        <w:t>כותבין</w:t>
      </w:r>
      <w:r w:rsidRPr="00BB2FEA">
        <w:rPr>
          <w:rFonts w:cs="Arial"/>
          <w:rtl/>
        </w:rPr>
        <w:t xml:space="preserve"> </w:t>
      </w:r>
      <w:r w:rsidRPr="00BB2FEA">
        <w:rPr>
          <w:rFonts w:cs="Arial" w:hint="cs"/>
          <w:rtl/>
        </w:rPr>
        <w:t>אותו</w:t>
      </w:r>
      <w:r w:rsidRPr="00BB2FEA">
        <w:rPr>
          <w:rFonts w:cs="Arial"/>
          <w:rtl/>
        </w:rPr>
        <w:t xml:space="preserve"> </w:t>
      </w:r>
      <w:r w:rsidRPr="00BB2FEA">
        <w:rPr>
          <w:rFonts w:cs="Arial" w:hint="cs"/>
          <w:rtl/>
        </w:rPr>
        <w:t>לכתחלה</w:t>
      </w:r>
      <w:r>
        <w:rPr>
          <w:rFonts w:cs="Arial" w:hint="cs"/>
          <w:rtl/>
        </w:rPr>
        <w:t>.</w:t>
      </w:r>
      <w:r w:rsidRPr="00BB2FEA">
        <w:rPr>
          <w:rFonts w:cs="Arial"/>
          <w:rtl/>
        </w:rPr>
        <w:t xml:space="preserve"> </w:t>
      </w:r>
      <w:r w:rsidRPr="00BB2FEA">
        <w:rPr>
          <w:rFonts w:cs="Arial" w:hint="cs"/>
          <w:rtl/>
        </w:rPr>
        <w:t>ואם</w:t>
      </w:r>
      <w:r w:rsidRPr="00BB2FEA">
        <w:rPr>
          <w:rFonts w:cs="Arial"/>
          <w:rtl/>
        </w:rPr>
        <w:t xml:space="preserve"> </w:t>
      </w:r>
      <w:r w:rsidRPr="00BB2FEA">
        <w:rPr>
          <w:rFonts w:cs="Arial" w:hint="cs"/>
          <w:rtl/>
        </w:rPr>
        <w:t>היה</w:t>
      </w:r>
      <w:r w:rsidRPr="00BB2FEA">
        <w:rPr>
          <w:rFonts w:cs="Arial"/>
          <w:rtl/>
        </w:rPr>
        <w:t xml:space="preserve"> </w:t>
      </w:r>
      <w:r w:rsidRPr="00BB2FEA">
        <w:rPr>
          <w:rFonts w:cs="Arial" w:hint="cs"/>
          <w:rtl/>
        </w:rPr>
        <w:t>חוץ</w:t>
      </w:r>
      <w:r w:rsidRPr="00BB2FEA">
        <w:rPr>
          <w:rFonts w:cs="Arial"/>
          <w:rtl/>
        </w:rPr>
        <w:t xml:space="preserve"> </w:t>
      </w:r>
      <w:r w:rsidRPr="00BB2FEA">
        <w:rPr>
          <w:rFonts w:cs="Arial" w:hint="cs"/>
          <w:rtl/>
        </w:rPr>
        <w:t>לתחום</w:t>
      </w:r>
      <w:r w:rsidRPr="00BB2FEA">
        <w:rPr>
          <w:rFonts w:cs="Arial"/>
          <w:rtl/>
        </w:rPr>
        <w:t xml:space="preserve"> </w:t>
      </w:r>
      <w:r w:rsidRPr="00BB2FEA">
        <w:rPr>
          <w:rFonts w:cs="Arial" w:hint="cs"/>
          <w:rtl/>
        </w:rPr>
        <w:t>ואינו</w:t>
      </w:r>
      <w:r w:rsidRPr="00BB2FEA">
        <w:rPr>
          <w:rFonts w:cs="Arial"/>
          <w:rtl/>
        </w:rPr>
        <w:t xml:space="preserve"> </w:t>
      </w:r>
      <w:r w:rsidRPr="00BB2FEA">
        <w:rPr>
          <w:rFonts w:cs="Arial" w:hint="cs"/>
          <w:rtl/>
        </w:rPr>
        <w:t>נראה</w:t>
      </w:r>
      <w:r w:rsidRPr="00BB2FEA">
        <w:rPr>
          <w:rFonts w:cs="Arial"/>
          <w:rtl/>
        </w:rPr>
        <w:t xml:space="preserve"> </w:t>
      </w:r>
      <w:r w:rsidRPr="00BB2FEA">
        <w:rPr>
          <w:rFonts w:cs="Arial" w:hint="cs"/>
          <w:rtl/>
        </w:rPr>
        <w:t>עמו</w:t>
      </w:r>
      <w:r w:rsidRPr="00BB2FEA">
        <w:rPr>
          <w:rFonts w:cs="Arial"/>
          <w:rtl/>
        </w:rPr>
        <w:t xml:space="preserve"> </w:t>
      </w:r>
      <w:r w:rsidRPr="00BB2FEA">
        <w:rPr>
          <w:rFonts w:cs="Arial" w:hint="cs"/>
          <w:rtl/>
        </w:rPr>
        <w:t>בדיעבד</w:t>
      </w:r>
      <w:r w:rsidRPr="00BB2FEA">
        <w:rPr>
          <w:rFonts w:cs="Arial"/>
          <w:rtl/>
        </w:rPr>
        <w:t xml:space="preserve"> </w:t>
      </w:r>
      <w:r w:rsidRPr="00BB2FEA">
        <w:rPr>
          <w:rFonts w:cs="Arial" w:hint="cs"/>
          <w:rtl/>
        </w:rPr>
        <w:t>נמי</w:t>
      </w:r>
      <w:r w:rsidRPr="00BB2FEA">
        <w:rPr>
          <w:rFonts w:cs="Arial"/>
          <w:rtl/>
        </w:rPr>
        <w:t xml:space="preserve"> </w:t>
      </w:r>
      <w:r w:rsidRPr="00BB2FEA">
        <w:rPr>
          <w:rFonts w:cs="Arial" w:hint="cs"/>
          <w:rtl/>
        </w:rPr>
        <w:t>פסול</w:t>
      </w:r>
      <w:r>
        <w:rPr>
          <w:rFonts w:cs="Arial" w:hint="cs"/>
          <w:rtl/>
        </w:rPr>
        <w:t>.</w:t>
      </w:r>
      <w:r w:rsidRPr="00BB2FEA">
        <w:rPr>
          <w:rFonts w:cs="Arial"/>
          <w:rtl/>
        </w:rPr>
        <w:t xml:space="preserve"> </w:t>
      </w:r>
      <w:r w:rsidRPr="00BB2FEA">
        <w:rPr>
          <w:rFonts w:cs="Arial" w:hint="cs"/>
          <w:rtl/>
        </w:rPr>
        <w:t>ומשמע</w:t>
      </w:r>
      <w:r w:rsidRPr="00BB2FEA">
        <w:rPr>
          <w:rFonts w:cs="Arial"/>
          <w:rtl/>
        </w:rPr>
        <w:t xml:space="preserve"> </w:t>
      </w:r>
      <w:r w:rsidRPr="00BB2FEA">
        <w:rPr>
          <w:rFonts w:cs="Arial" w:hint="cs"/>
          <w:rtl/>
        </w:rPr>
        <w:t>דאפילו</w:t>
      </w:r>
      <w:r w:rsidRPr="00BB2FEA">
        <w:rPr>
          <w:rFonts w:cs="Arial"/>
          <w:rtl/>
        </w:rPr>
        <w:t xml:space="preserve"> </w:t>
      </w:r>
      <w:r w:rsidRPr="00BB2FEA">
        <w:rPr>
          <w:rFonts w:cs="Arial" w:hint="cs"/>
          <w:rtl/>
        </w:rPr>
        <w:t>במסתפקין</w:t>
      </w:r>
      <w:r w:rsidRPr="00BB2FEA">
        <w:rPr>
          <w:rFonts w:cs="Arial"/>
          <w:rtl/>
        </w:rPr>
        <w:t xml:space="preserve"> </w:t>
      </w:r>
      <w:r w:rsidRPr="00BB2FEA">
        <w:rPr>
          <w:rFonts w:cs="Arial" w:hint="cs"/>
          <w:rtl/>
        </w:rPr>
        <w:t>ממנו</w:t>
      </w:r>
      <w:r w:rsidRPr="00BB2FEA">
        <w:rPr>
          <w:rFonts w:cs="Arial"/>
          <w:rtl/>
        </w:rPr>
        <w:t xml:space="preserve"> </w:t>
      </w:r>
      <w:r w:rsidRPr="00BB2FEA">
        <w:rPr>
          <w:rFonts w:cs="Arial" w:hint="cs"/>
          <w:rtl/>
        </w:rPr>
        <w:t>פסול</w:t>
      </w:r>
      <w:r>
        <w:rPr>
          <w:rFonts w:cs="Arial" w:hint="cs"/>
          <w:rtl/>
        </w:rPr>
        <w:t>, ב"י</w:t>
      </w:r>
      <w:r w:rsidRPr="00BB2FEA">
        <w:rPr>
          <w:rFonts w:cs="Arial"/>
          <w:rtl/>
        </w:rPr>
        <w:t>.</w:t>
      </w:r>
      <w:r>
        <w:rPr>
          <w:rFonts w:hint="cs"/>
          <w:rtl/>
        </w:rPr>
        <w:t xml:space="preserve"> וכתב עוד הב"י שכן נראה מתרוה"ד</w:t>
      </w:r>
      <w:r w:rsidRPr="00BB2FEA">
        <w:rPr>
          <w:rFonts w:cs="Arial"/>
          <w:rtl/>
        </w:rPr>
        <w:t xml:space="preserve"> </w:t>
      </w:r>
      <w:r w:rsidRPr="00E929CD">
        <w:rPr>
          <w:rFonts w:cs="Arial" w:hint="cs"/>
          <w:sz w:val="16"/>
          <w:szCs w:val="16"/>
          <w:rtl/>
        </w:rPr>
        <w:t>(כתבים ח</w:t>
      </w:r>
      <w:r w:rsidRPr="00E929CD">
        <w:rPr>
          <w:rFonts w:cs="Arial"/>
          <w:sz w:val="16"/>
          <w:szCs w:val="16"/>
          <w:rtl/>
        </w:rPr>
        <w:t>"</w:t>
      </w:r>
      <w:r w:rsidRPr="00E929CD">
        <w:rPr>
          <w:rFonts w:cs="Arial" w:hint="cs"/>
          <w:sz w:val="16"/>
          <w:szCs w:val="16"/>
          <w:rtl/>
        </w:rPr>
        <w:t>ב</w:t>
      </w:r>
      <w:r w:rsidRPr="00E929CD">
        <w:rPr>
          <w:rFonts w:cs="Arial"/>
          <w:sz w:val="16"/>
          <w:szCs w:val="16"/>
          <w:rtl/>
        </w:rPr>
        <w:t xml:space="preserve"> </w:t>
      </w:r>
      <w:r w:rsidRPr="00E929CD">
        <w:rPr>
          <w:rFonts w:cs="Arial" w:hint="cs"/>
          <w:sz w:val="16"/>
          <w:szCs w:val="16"/>
          <w:rtl/>
        </w:rPr>
        <w:t>סי'</w:t>
      </w:r>
      <w:r w:rsidRPr="00E929CD">
        <w:rPr>
          <w:rFonts w:cs="Arial"/>
          <w:sz w:val="16"/>
          <w:szCs w:val="16"/>
          <w:rtl/>
        </w:rPr>
        <w:t xml:space="preserve"> </w:t>
      </w:r>
      <w:r w:rsidRPr="00E929CD">
        <w:rPr>
          <w:rFonts w:cs="Arial" w:hint="cs"/>
          <w:sz w:val="16"/>
          <w:szCs w:val="16"/>
          <w:rtl/>
        </w:rPr>
        <w:t>קמב)</w:t>
      </w:r>
      <w:r>
        <w:rPr>
          <w:rFonts w:cs="Arial" w:hint="cs"/>
          <w:rtl/>
        </w:rPr>
        <w:t>.</w:t>
      </w:r>
    </w:p>
  </w:footnote>
  <w:footnote w:id="1001">
    <w:p w14:paraId="015626BE" w14:textId="77777777" w:rsidR="00FA2119" w:rsidRDefault="00FA2119" w:rsidP="00FA2119">
      <w:pPr>
        <w:pStyle w:val="a5"/>
      </w:pPr>
      <w:r>
        <w:rPr>
          <w:rStyle w:val="a7"/>
        </w:rPr>
        <w:footnoteRef/>
      </w:r>
      <w:r>
        <w:rPr>
          <w:rtl/>
        </w:rPr>
        <w:t xml:space="preserve"> </w:t>
      </w:r>
      <w:r w:rsidRPr="00BB2FEA">
        <w:rPr>
          <w:rFonts w:cs="Arial" w:hint="cs"/>
          <w:rtl/>
        </w:rPr>
        <w:t>והראיות</w:t>
      </w:r>
      <w:r w:rsidRPr="00BB2FEA">
        <w:rPr>
          <w:rFonts w:cs="Arial"/>
          <w:rtl/>
        </w:rPr>
        <w:t xml:space="preserve"> </w:t>
      </w:r>
      <w:r w:rsidRPr="00BB2FEA">
        <w:rPr>
          <w:rFonts w:cs="Arial" w:hint="cs"/>
          <w:rtl/>
        </w:rPr>
        <w:t>שהביא</w:t>
      </w:r>
      <w:r w:rsidRPr="00BB2FEA">
        <w:rPr>
          <w:rFonts w:cs="Arial"/>
          <w:rtl/>
        </w:rPr>
        <w:t xml:space="preserve"> </w:t>
      </w:r>
      <w:r w:rsidRPr="00BB2FEA">
        <w:rPr>
          <w:rFonts w:cs="Arial" w:hint="cs"/>
          <w:rtl/>
        </w:rPr>
        <w:t>לא</w:t>
      </w:r>
      <w:r w:rsidRPr="00BB2FEA">
        <w:rPr>
          <w:rFonts w:cs="Arial"/>
          <w:rtl/>
        </w:rPr>
        <w:t xml:space="preserve"> </w:t>
      </w:r>
      <w:r w:rsidRPr="00BB2FEA">
        <w:rPr>
          <w:rFonts w:cs="Arial" w:hint="cs"/>
          <w:rtl/>
        </w:rPr>
        <w:t>הביאם</w:t>
      </w:r>
      <w:r w:rsidRPr="00BB2FEA">
        <w:rPr>
          <w:rFonts w:cs="Arial"/>
          <w:rtl/>
        </w:rPr>
        <w:t xml:space="preserve"> </w:t>
      </w:r>
      <w:r w:rsidRPr="00BB2FEA">
        <w:rPr>
          <w:rFonts w:cs="Arial" w:hint="cs"/>
          <w:rtl/>
        </w:rPr>
        <w:t>לראיה</w:t>
      </w:r>
      <w:r w:rsidRPr="00BB2FEA">
        <w:rPr>
          <w:rFonts w:cs="Arial"/>
          <w:rtl/>
        </w:rPr>
        <w:t xml:space="preserve"> </w:t>
      </w:r>
      <w:r w:rsidRPr="00BB2FEA">
        <w:rPr>
          <w:rFonts w:cs="Arial" w:hint="cs"/>
          <w:rtl/>
        </w:rPr>
        <w:t>גמורה</w:t>
      </w:r>
      <w:r w:rsidRPr="00BB2FEA">
        <w:rPr>
          <w:rFonts w:cs="Arial"/>
          <w:rtl/>
        </w:rPr>
        <w:t xml:space="preserve"> </w:t>
      </w:r>
      <w:r w:rsidRPr="00BB2FEA">
        <w:rPr>
          <w:rFonts w:cs="Arial" w:hint="cs"/>
          <w:rtl/>
        </w:rPr>
        <w:t>אלא</w:t>
      </w:r>
      <w:r w:rsidRPr="00BB2FEA">
        <w:rPr>
          <w:rFonts w:cs="Arial"/>
          <w:rtl/>
        </w:rPr>
        <w:t xml:space="preserve"> </w:t>
      </w:r>
      <w:r w:rsidRPr="00BB2FEA">
        <w:rPr>
          <w:rFonts w:cs="Arial" w:hint="cs"/>
          <w:rtl/>
        </w:rPr>
        <w:t>לדמיון</w:t>
      </w:r>
      <w:r w:rsidRPr="00BB2FEA">
        <w:rPr>
          <w:rFonts w:cs="Arial"/>
          <w:rtl/>
        </w:rPr>
        <w:t xml:space="preserve"> </w:t>
      </w:r>
      <w:r w:rsidRPr="00BB2FEA">
        <w:rPr>
          <w:rFonts w:cs="Arial" w:hint="cs"/>
          <w:rtl/>
        </w:rPr>
        <w:t>בעלמא</w:t>
      </w:r>
      <w:r w:rsidRPr="00BB2FEA">
        <w:rPr>
          <w:rFonts w:cs="Arial"/>
          <w:rtl/>
        </w:rPr>
        <w:t xml:space="preserve"> </w:t>
      </w:r>
      <w:r w:rsidRPr="00BB2FEA">
        <w:rPr>
          <w:rFonts w:cs="Arial" w:hint="cs"/>
          <w:rtl/>
        </w:rPr>
        <w:t>אלא</w:t>
      </w:r>
      <w:r w:rsidRPr="00BB2FEA">
        <w:rPr>
          <w:rFonts w:cs="Arial"/>
          <w:rtl/>
        </w:rPr>
        <w:t xml:space="preserve"> </w:t>
      </w:r>
      <w:r w:rsidRPr="00BB2FEA">
        <w:rPr>
          <w:rFonts w:cs="Arial" w:hint="cs"/>
          <w:rtl/>
        </w:rPr>
        <w:t>הסברא</w:t>
      </w:r>
      <w:r w:rsidRPr="00BB2FEA">
        <w:rPr>
          <w:rFonts w:cs="Arial"/>
          <w:rtl/>
        </w:rPr>
        <w:t xml:space="preserve"> </w:t>
      </w:r>
      <w:r w:rsidRPr="00BB2FEA">
        <w:rPr>
          <w:rFonts w:cs="Arial" w:hint="cs"/>
          <w:rtl/>
        </w:rPr>
        <w:t>היה</w:t>
      </w:r>
      <w:r w:rsidRPr="00BB2FEA">
        <w:rPr>
          <w:rFonts w:cs="Arial"/>
          <w:rtl/>
        </w:rPr>
        <w:t xml:space="preserve"> </w:t>
      </w:r>
      <w:r w:rsidRPr="00BB2FEA">
        <w:rPr>
          <w:rFonts w:cs="Arial" w:hint="cs"/>
          <w:rtl/>
        </w:rPr>
        <w:t>נראה</w:t>
      </w:r>
      <w:r w:rsidRPr="00BB2FEA">
        <w:rPr>
          <w:rFonts w:cs="Arial"/>
          <w:rtl/>
        </w:rPr>
        <w:t xml:space="preserve"> </w:t>
      </w:r>
      <w:r w:rsidRPr="00BB2FEA">
        <w:rPr>
          <w:rFonts w:cs="Arial" w:hint="cs"/>
          <w:rtl/>
        </w:rPr>
        <w:t>לו</w:t>
      </w:r>
      <w:r w:rsidRPr="00BB2FEA">
        <w:rPr>
          <w:rFonts w:cs="Arial"/>
          <w:rtl/>
        </w:rPr>
        <w:t xml:space="preserve"> </w:t>
      </w:r>
      <w:r w:rsidRPr="00BB2FEA">
        <w:rPr>
          <w:rFonts w:cs="Arial" w:hint="cs"/>
          <w:rtl/>
        </w:rPr>
        <w:t>כך</w:t>
      </w:r>
      <w:r>
        <w:rPr>
          <w:rFonts w:cs="Arial" w:hint="cs"/>
          <w:rtl/>
        </w:rPr>
        <w:t>,</w:t>
      </w:r>
      <w:r w:rsidRPr="00734BD9">
        <w:rPr>
          <w:rFonts w:hint="cs"/>
          <w:rtl/>
        </w:rPr>
        <w:t xml:space="preserve"> </w:t>
      </w:r>
      <w:r>
        <w:rPr>
          <w:rFonts w:hint="cs"/>
          <w:rtl/>
        </w:rPr>
        <w:t>תרוה"ד</w:t>
      </w:r>
      <w:r w:rsidRPr="00BB2FEA">
        <w:rPr>
          <w:rFonts w:cs="Arial"/>
          <w:rtl/>
        </w:rPr>
        <w:t xml:space="preserve"> </w:t>
      </w:r>
      <w:r w:rsidRPr="00E929CD">
        <w:rPr>
          <w:rFonts w:cs="Arial" w:hint="cs"/>
          <w:sz w:val="16"/>
          <w:szCs w:val="16"/>
          <w:rtl/>
        </w:rPr>
        <w:t>(כתבים ח</w:t>
      </w:r>
      <w:r w:rsidRPr="00E929CD">
        <w:rPr>
          <w:rFonts w:cs="Arial"/>
          <w:sz w:val="16"/>
          <w:szCs w:val="16"/>
          <w:rtl/>
        </w:rPr>
        <w:t>"</w:t>
      </w:r>
      <w:r w:rsidRPr="00E929CD">
        <w:rPr>
          <w:rFonts w:cs="Arial" w:hint="cs"/>
          <w:sz w:val="16"/>
          <w:szCs w:val="16"/>
          <w:rtl/>
        </w:rPr>
        <w:t>ב</w:t>
      </w:r>
      <w:r w:rsidRPr="00E929CD">
        <w:rPr>
          <w:rFonts w:cs="Arial"/>
          <w:sz w:val="16"/>
          <w:szCs w:val="16"/>
          <w:rtl/>
        </w:rPr>
        <w:t xml:space="preserve"> </w:t>
      </w:r>
      <w:r w:rsidRPr="00E929CD">
        <w:rPr>
          <w:rFonts w:cs="Arial" w:hint="cs"/>
          <w:sz w:val="16"/>
          <w:szCs w:val="16"/>
          <w:rtl/>
        </w:rPr>
        <w:t>סי'</w:t>
      </w:r>
      <w:r w:rsidRPr="00E929CD">
        <w:rPr>
          <w:rFonts w:cs="Arial"/>
          <w:sz w:val="16"/>
          <w:szCs w:val="16"/>
          <w:rtl/>
        </w:rPr>
        <w:t xml:space="preserve"> </w:t>
      </w:r>
      <w:r w:rsidRPr="00E929CD">
        <w:rPr>
          <w:rFonts w:cs="Arial" w:hint="cs"/>
          <w:sz w:val="16"/>
          <w:szCs w:val="16"/>
          <w:rtl/>
        </w:rPr>
        <w:t>קמב)</w:t>
      </w:r>
      <w:r>
        <w:rPr>
          <w:rFonts w:cs="Arial" w:hint="cs"/>
          <w:rtl/>
        </w:rPr>
        <w:t>.</w:t>
      </w:r>
      <w:r w:rsidRPr="00BB2FEA">
        <w:rPr>
          <w:rFonts w:cs="Arial"/>
          <w:rtl/>
        </w:rPr>
        <w:t xml:space="preserve"> </w:t>
      </w:r>
      <w:r w:rsidRPr="00BB2FEA">
        <w:rPr>
          <w:rFonts w:cs="Arial" w:hint="cs"/>
          <w:rtl/>
        </w:rPr>
        <w:t>כלומר</w:t>
      </w:r>
      <w:r w:rsidRPr="00BB2FEA">
        <w:rPr>
          <w:rFonts w:cs="Arial"/>
          <w:rtl/>
        </w:rPr>
        <w:t xml:space="preserve"> </w:t>
      </w:r>
      <w:r w:rsidRPr="00BB2FEA">
        <w:rPr>
          <w:rFonts w:cs="Arial" w:hint="cs"/>
          <w:rtl/>
        </w:rPr>
        <w:t>דכל</w:t>
      </w:r>
      <w:r w:rsidRPr="00BB2FEA">
        <w:rPr>
          <w:rFonts w:cs="Arial"/>
          <w:rtl/>
        </w:rPr>
        <w:t xml:space="preserve"> </w:t>
      </w:r>
      <w:r w:rsidRPr="00BB2FEA">
        <w:rPr>
          <w:rFonts w:cs="Arial" w:hint="cs"/>
          <w:rtl/>
        </w:rPr>
        <w:t>שהוא</w:t>
      </w:r>
      <w:r w:rsidRPr="00BB2FEA">
        <w:rPr>
          <w:rFonts w:cs="Arial"/>
          <w:rtl/>
        </w:rPr>
        <w:t xml:space="preserve"> </w:t>
      </w:r>
      <w:r w:rsidRPr="00BB2FEA">
        <w:rPr>
          <w:rFonts w:cs="Arial" w:hint="cs"/>
          <w:rtl/>
        </w:rPr>
        <w:t>חוץ</w:t>
      </w:r>
      <w:r w:rsidRPr="00BB2FEA">
        <w:rPr>
          <w:rFonts w:cs="Arial"/>
          <w:rtl/>
        </w:rPr>
        <w:t xml:space="preserve"> </w:t>
      </w:r>
      <w:r w:rsidRPr="00BB2FEA">
        <w:rPr>
          <w:rFonts w:cs="Arial" w:hint="cs"/>
          <w:rtl/>
        </w:rPr>
        <w:t>לעיבורה</w:t>
      </w:r>
      <w:r w:rsidRPr="00BB2FEA">
        <w:rPr>
          <w:rFonts w:cs="Arial"/>
          <w:rtl/>
        </w:rPr>
        <w:t xml:space="preserve"> </w:t>
      </w:r>
      <w:r w:rsidRPr="00BB2FEA">
        <w:rPr>
          <w:rFonts w:cs="Arial" w:hint="cs"/>
          <w:rtl/>
        </w:rPr>
        <w:t>אפשר</w:t>
      </w:r>
      <w:r w:rsidRPr="00BB2FEA">
        <w:rPr>
          <w:rFonts w:cs="Arial"/>
          <w:rtl/>
        </w:rPr>
        <w:t xml:space="preserve"> </w:t>
      </w:r>
      <w:r w:rsidRPr="00BB2FEA">
        <w:rPr>
          <w:rFonts w:cs="Arial" w:hint="cs"/>
          <w:rtl/>
        </w:rPr>
        <w:t>שאינו</w:t>
      </w:r>
      <w:r w:rsidRPr="00BB2FEA">
        <w:rPr>
          <w:rFonts w:cs="Arial"/>
          <w:rtl/>
        </w:rPr>
        <w:t xml:space="preserve"> </w:t>
      </w:r>
      <w:r w:rsidRPr="00BB2FEA">
        <w:rPr>
          <w:rFonts w:cs="Arial" w:hint="cs"/>
          <w:rtl/>
        </w:rPr>
        <w:t>נחשב</w:t>
      </w:r>
      <w:r w:rsidRPr="00BB2FEA">
        <w:rPr>
          <w:rFonts w:cs="Arial"/>
          <w:rtl/>
        </w:rPr>
        <w:t xml:space="preserve"> </w:t>
      </w:r>
      <w:r w:rsidRPr="00BB2FEA">
        <w:rPr>
          <w:rFonts w:cs="Arial" w:hint="cs"/>
          <w:rtl/>
        </w:rPr>
        <w:t>מהעיר</w:t>
      </w:r>
      <w:r w:rsidRPr="00BB2FEA">
        <w:rPr>
          <w:rFonts w:cs="Arial"/>
          <w:rtl/>
        </w:rPr>
        <w:t xml:space="preserve"> </w:t>
      </w:r>
      <w:r w:rsidRPr="00BB2FEA">
        <w:rPr>
          <w:rFonts w:cs="Arial" w:hint="cs"/>
          <w:rtl/>
        </w:rPr>
        <w:t>אע</w:t>
      </w:r>
      <w:r>
        <w:rPr>
          <w:rFonts w:cs="Arial" w:hint="cs"/>
          <w:rtl/>
        </w:rPr>
        <w:t>"</w:t>
      </w:r>
      <w:r w:rsidRPr="00BB2FEA">
        <w:rPr>
          <w:rFonts w:cs="Arial" w:hint="cs"/>
          <w:rtl/>
        </w:rPr>
        <w:t>פ</w:t>
      </w:r>
      <w:r w:rsidRPr="00BB2FEA">
        <w:rPr>
          <w:rFonts w:cs="Arial"/>
          <w:rtl/>
        </w:rPr>
        <w:t xml:space="preserve"> </w:t>
      </w:r>
      <w:r w:rsidRPr="00BB2FEA">
        <w:rPr>
          <w:rFonts w:cs="Arial" w:hint="cs"/>
          <w:rtl/>
        </w:rPr>
        <w:t>שמסתפקין</w:t>
      </w:r>
      <w:r w:rsidRPr="00BB2FEA">
        <w:rPr>
          <w:rFonts w:cs="Arial"/>
          <w:rtl/>
        </w:rPr>
        <w:t xml:space="preserve"> </w:t>
      </w:r>
      <w:r w:rsidRPr="00BB2FEA">
        <w:rPr>
          <w:rFonts w:cs="Arial" w:hint="cs"/>
          <w:rtl/>
        </w:rPr>
        <w:t>ממנו</w:t>
      </w:r>
      <w:r>
        <w:rPr>
          <w:rFonts w:cs="Arial" w:hint="cs"/>
          <w:rtl/>
        </w:rPr>
        <w:t>, ב"י.</w:t>
      </w:r>
    </w:p>
  </w:footnote>
  <w:footnote w:id="1002">
    <w:p w14:paraId="6118EAB0" w14:textId="77777777" w:rsidR="00FA2119" w:rsidRDefault="00FA2119" w:rsidP="00FA2119">
      <w:pPr>
        <w:pStyle w:val="a5"/>
        <w:rPr>
          <w:rtl/>
        </w:rPr>
      </w:pPr>
      <w:r>
        <w:rPr>
          <w:rStyle w:val="a7"/>
        </w:rPr>
        <w:footnoteRef/>
      </w:r>
      <w:r>
        <w:rPr>
          <w:rtl/>
        </w:rPr>
        <w:t xml:space="preserve"> </w:t>
      </w:r>
      <w:r w:rsidRPr="00BB2FEA">
        <w:rPr>
          <w:rFonts w:cs="Arial" w:hint="cs"/>
          <w:rtl/>
        </w:rPr>
        <w:t>ובודאי</w:t>
      </w:r>
      <w:r w:rsidRPr="00BB2FEA">
        <w:rPr>
          <w:rFonts w:cs="Arial"/>
          <w:rtl/>
        </w:rPr>
        <w:t xml:space="preserve"> </w:t>
      </w:r>
      <w:r w:rsidRPr="00BB2FEA">
        <w:rPr>
          <w:rFonts w:cs="Arial" w:hint="cs"/>
          <w:rtl/>
        </w:rPr>
        <w:t>שהראיה</w:t>
      </w:r>
      <w:r w:rsidRPr="00BB2FEA">
        <w:rPr>
          <w:rFonts w:cs="Arial"/>
          <w:rtl/>
        </w:rPr>
        <w:t xml:space="preserve"> </w:t>
      </w:r>
      <w:r>
        <w:rPr>
          <w:rFonts w:cs="Arial" w:hint="cs"/>
          <w:rtl/>
        </w:rPr>
        <w:t>הזו</w:t>
      </w:r>
      <w:r w:rsidRPr="00BB2FEA">
        <w:rPr>
          <w:rFonts w:cs="Arial"/>
          <w:rtl/>
        </w:rPr>
        <w:t xml:space="preserve"> </w:t>
      </w:r>
      <w:r w:rsidRPr="00BB2FEA">
        <w:rPr>
          <w:rFonts w:cs="Arial" w:hint="cs"/>
          <w:rtl/>
        </w:rPr>
        <w:t>ליתא</w:t>
      </w:r>
      <w:r w:rsidRPr="00BB2FEA">
        <w:rPr>
          <w:rFonts w:cs="Arial"/>
          <w:rtl/>
        </w:rPr>
        <w:t xml:space="preserve"> </w:t>
      </w:r>
      <w:r w:rsidRPr="00BB2FEA">
        <w:rPr>
          <w:rFonts w:cs="Arial" w:hint="cs"/>
          <w:rtl/>
        </w:rPr>
        <w:t>לדעת</w:t>
      </w:r>
      <w:r w:rsidRPr="00BB2FEA">
        <w:rPr>
          <w:rFonts w:cs="Arial"/>
          <w:rtl/>
        </w:rPr>
        <w:t xml:space="preserve"> </w:t>
      </w:r>
      <w:r w:rsidRPr="00BB2FEA">
        <w:rPr>
          <w:rFonts w:cs="Arial" w:hint="cs"/>
          <w:rtl/>
        </w:rPr>
        <w:t>הרמב</w:t>
      </w:r>
      <w:r w:rsidRPr="00BB2FEA">
        <w:rPr>
          <w:rFonts w:cs="Arial"/>
          <w:rtl/>
        </w:rPr>
        <w:t>"</w:t>
      </w:r>
      <w:r w:rsidRPr="00BB2FEA">
        <w:rPr>
          <w:rFonts w:cs="Arial" w:hint="cs"/>
          <w:rtl/>
        </w:rPr>
        <w:t>ם</w:t>
      </w:r>
      <w:r w:rsidRPr="00BB2FEA">
        <w:rPr>
          <w:rFonts w:cs="Arial"/>
          <w:rtl/>
        </w:rPr>
        <w:t xml:space="preserve"> (</w:t>
      </w:r>
      <w:r w:rsidRPr="00BB2FEA">
        <w:rPr>
          <w:rFonts w:cs="Arial" w:hint="cs"/>
          <w:rtl/>
        </w:rPr>
        <w:t>פ</w:t>
      </w:r>
      <w:r w:rsidRPr="00BB2FEA">
        <w:rPr>
          <w:rFonts w:cs="Arial"/>
          <w:rtl/>
        </w:rPr>
        <w:t>"</w:t>
      </w:r>
      <w:r w:rsidRPr="00BB2FEA">
        <w:rPr>
          <w:rFonts w:cs="Arial" w:hint="cs"/>
          <w:rtl/>
        </w:rPr>
        <w:t>א</w:t>
      </w:r>
      <w:r w:rsidRPr="00BB2FEA">
        <w:rPr>
          <w:rFonts w:cs="Arial"/>
          <w:rtl/>
        </w:rPr>
        <w:t xml:space="preserve"> </w:t>
      </w:r>
      <w:r w:rsidRPr="00BB2FEA">
        <w:rPr>
          <w:rFonts w:cs="Arial" w:hint="cs"/>
          <w:rtl/>
        </w:rPr>
        <w:t>ממגילה</w:t>
      </w:r>
      <w:r w:rsidRPr="00BB2FEA">
        <w:rPr>
          <w:rFonts w:cs="Arial"/>
          <w:rtl/>
        </w:rPr>
        <w:t xml:space="preserve"> </w:t>
      </w:r>
      <w:r w:rsidRPr="00BB2FEA">
        <w:rPr>
          <w:rFonts w:cs="Arial" w:hint="cs"/>
          <w:rtl/>
        </w:rPr>
        <w:t>ה</w:t>
      </w:r>
      <w:r w:rsidRPr="00BB2FEA">
        <w:rPr>
          <w:rFonts w:cs="Arial"/>
          <w:rtl/>
        </w:rPr>
        <w:t>"</w:t>
      </w:r>
      <w:r w:rsidRPr="00BB2FEA">
        <w:rPr>
          <w:rFonts w:cs="Arial" w:hint="cs"/>
          <w:rtl/>
        </w:rPr>
        <w:t>י</w:t>
      </w:r>
      <w:r w:rsidRPr="00BB2FEA">
        <w:rPr>
          <w:rFonts w:cs="Arial"/>
          <w:rtl/>
        </w:rPr>
        <w:t xml:space="preserve">) </w:t>
      </w:r>
      <w:r w:rsidRPr="00BB2FEA">
        <w:rPr>
          <w:rFonts w:cs="Arial" w:hint="cs"/>
          <w:rtl/>
        </w:rPr>
        <w:t>והטור</w:t>
      </w:r>
      <w:r w:rsidRPr="00BB2FEA">
        <w:rPr>
          <w:rFonts w:cs="Arial"/>
          <w:rtl/>
        </w:rPr>
        <w:t xml:space="preserve"> (</w:t>
      </w:r>
      <w:r w:rsidRPr="00BB2FEA">
        <w:rPr>
          <w:rFonts w:cs="Arial" w:hint="cs"/>
          <w:rtl/>
        </w:rPr>
        <w:t>או</w:t>
      </w:r>
      <w:r w:rsidRPr="00BB2FEA">
        <w:rPr>
          <w:rFonts w:cs="Arial"/>
          <w:rtl/>
        </w:rPr>
        <w:t>"</w:t>
      </w:r>
      <w:r w:rsidRPr="00BB2FEA">
        <w:rPr>
          <w:rFonts w:cs="Arial" w:hint="cs"/>
          <w:rtl/>
        </w:rPr>
        <w:t>ח</w:t>
      </w:r>
      <w:r w:rsidRPr="00BB2FEA">
        <w:rPr>
          <w:rFonts w:cs="Arial"/>
          <w:rtl/>
        </w:rPr>
        <w:t xml:space="preserve"> </w:t>
      </w:r>
      <w:r w:rsidRPr="00BB2FEA">
        <w:rPr>
          <w:rFonts w:cs="Arial" w:hint="cs"/>
          <w:rtl/>
        </w:rPr>
        <w:t>סי</w:t>
      </w:r>
      <w:r w:rsidRPr="00BB2FEA">
        <w:rPr>
          <w:rFonts w:cs="Arial"/>
          <w:rtl/>
        </w:rPr>
        <w:t xml:space="preserve">' </w:t>
      </w:r>
      <w:r w:rsidRPr="00BB2FEA">
        <w:rPr>
          <w:rFonts w:cs="Arial" w:hint="cs"/>
          <w:rtl/>
        </w:rPr>
        <w:t>תרפח</w:t>
      </w:r>
      <w:r w:rsidRPr="00BB2FEA">
        <w:rPr>
          <w:rFonts w:cs="Arial"/>
          <w:rtl/>
        </w:rPr>
        <w:t xml:space="preserve">) </w:t>
      </w:r>
      <w:r w:rsidRPr="00BB2FEA">
        <w:rPr>
          <w:rFonts w:cs="Arial" w:hint="cs"/>
          <w:rtl/>
        </w:rPr>
        <w:t>והר</w:t>
      </w:r>
      <w:r w:rsidRPr="00BB2FEA">
        <w:rPr>
          <w:rFonts w:cs="Arial"/>
          <w:rtl/>
        </w:rPr>
        <w:t>"</w:t>
      </w:r>
      <w:r w:rsidRPr="00BB2FEA">
        <w:rPr>
          <w:rFonts w:cs="Arial" w:hint="cs"/>
          <w:rtl/>
        </w:rPr>
        <w:t>ן</w:t>
      </w:r>
      <w:r w:rsidRPr="00BB2FEA">
        <w:rPr>
          <w:rFonts w:cs="Arial"/>
          <w:rtl/>
        </w:rPr>
        <w:t xml:space="preserve"> (</w:t>
      </w:r>
      <w:r w:rsidRPr="00BB2FEA">
        <w:rPr>
          <w:rFonts w:cs="Arial" w:hint="cs"/>
          <w:rtl/>
        </w:rPr>
        <w:t>מגילה</w:t>
      </w:r>
      <w:r w:rsidRPr="00BB2FEA">
        <w:rPr>
          <w:rFonts w:cs="Arial"/>
          <w:rtl/>
        </w:rPr>
        <w:t xml:space="preserve"> </w:t>
      </w:r>
      <w:r w:rsidRPr="00BB2FEA">
        <w:rPr>
          <w:rFonts w:cs="Arial" w:hint="cs"/>
          <w:rtl/>
        </w:rPr>
        <w:t>ב</w:t>
      </w:r>
      <w:r w:rsidRPr="00BB2FEA">
        <w:rPr>
          <w:rFonts w:cs="Arial"/>
          <w:rtl/>
        </w:rPr>
        <w:t xml:space="preserve">. </w:t>
      </w:r>
      <w:r w:rsidRPr="00BB2FEA">
        <w:rPr>
          <w:rFonts w:cs="Arial" w:hint="cs"/>
          <w:rtl/>
        </w:rPr>
        <w:t>ד</w:t>
      </w:r>
      <w:r w:rsidRPr="00BB2FEA">
        <w:rPr>
          <w:rFonts w:cs="Arial"/>
          <w:rtl/>
        </w:rPr>
        <w:t>"</w:t>
      </w:r>
      <w:r w:rsidRPr="00BB2FEA">
        <w:rPr>
          <w:rFonts w:cs="Arial" w:hint="cs"/>
          <w:rtl/>
        </w:rPr>
        <w:t>ה</w:t>
      </w:r>
      <w:r w:rsidRPr="00BB2FEA">
        <w:rPr>
          <w:rFonts w:cs="Arial"/>
          <w:rtl/>
        </w:rPr>
        <w:t xml:space="preserve"> </w:t>
      </w:r>
      <w:r w:rsidRPr="00BB2FEA">
        <w:rPr>
          <w:rFonts w:cs="Arial" w:hint="cs"/>
          <w:rtl/>
        </w:rPr>
        <w:t>אמר</w:t>
      </w:r>
      <w:r w:rsidRPr="00BB2FEA">
        <w:rPr>
          <w:rFonts w:cs="Arial"/>
          <w:rtl/>
        </w:rPr>
        <w:t>)</w:t>
      </w:r>
      <w:r>
        <w:rPr>
          <w:rFonts w:cs="Arial" w:hint="cs"/>
          <w:rtl/>
        </w:rPr>
        <w:t>,</w:t>
      </w:r>
      <w:r w:rsidRPr="00BB2FEA">
        <w:rPr>
          <w:rFonts w:cs="Arial"/>
          <w:rtl/>
        </w:rPr>
        <w:t xml:space="preserve"> </w:t>
      </w:r>
      <w:r w:rsidRPr="00BB2FEA">
        <w:rPr>
          <w:rFonts w:cs="Arial" w:hint="cs"/>
          <w:rtl/>
        </w:rPr>
        <w:t>שהם</w:t>
      </w:r>
      <w:r w:rsidRPr="00BB2FEA">
        <w:rPr>
          <w:rFonts w:cs="Arial"/>
          <w:rtl/>
        </w:rPr>
        <w:t xml:space="preserve"> </w:t>
      </w:r>
      <w:r w:rsidRPr="00BB2FEA">
        <w:rPr>
          <w:rFonts w:cs="Arial" w:hint="cs"/>
          <w:rtl/>
        </w:rPr>
        <w:t>מפרשים</w:t>
      </w:r>
      <w:r w:rsidRPr="00BB2FEA">
        <w:rPr>
          <w:rFonts w:cs="Arial"/>
          <w:rtl/>
        </w:rPr>
        <w:t xml:space="preserve"> </w:t>
      </w:r>
      <w:r w:rsidRPr="00BB2FEA">
        <w:rPr>
          <w:rFonts w:cs="Arial" w:hint="cs"/>
          <w:rtl/>
        </w:rPr>
        <w:t>דאינו</w:t>
      </w:r>
      <w:r w:rsidRPr="00BB2FEA">
        <w:rPr>
          <w:rFonts w:cs="Arial"/>
          <w:rtl/>
        </w:rPr>
        <w:t xml:space="preserve"> </w:t>
      </w:r>
      <w:r w:rsidRPr="00BB2FEA">
        <w:rPr>
          <w:rFonts w:cs="Arial" w:hint="cs"/>
          <w:rtl/>
        </w:rPr>
        <w:t>נחשב</w:t>
      </w:r>
      <w:r w:rsidRPr="00BB2FEA">
        <w:rPr>
          <w:rFonts w:cs="Arial"/>
          <w:rtl/>
        </w:rPr>
        <w:t xml:space="preserve"> </w:t>
      </w:r>
      <w:r w:rsidRPr="00BB2FEA">
        <w:rPr>
          <w:rFonts w:cs="Arial" w:hint="cs"/>
          <w:rtl/>
        </w:rPr>
        <w:t>עם</w:t>
      </w:r>
      <w:r w:rsidRPr="00BB2FEA">
        <w:rPr>
          <w:rFonts w:cs="Arial"/>
          <w:rtl/>
        </w:rPr>
        <w:t xml:space="preserve"> </w:t>
      </w:r>
      <w:r w:rsidRPr="00BB2FEA">
        <w:rPr>
          <w:rFonts w:cs="Arial" w:hint="cs"/>
          <w:rtl/>
        </w:rPr>
        <w:t>העיר</w:t>
      </w:r>
      <w:r w:rsidRPr="00BB2FEA">
        <w:rPr>
          <w:rFonts w:cs="Arial"/>
          <w:rtl/>
        </w:rPr>
        <w:t xml:space="preserve"> </w:t>
      </w:r>
      <w:r w:rsidRPr="00BB2FEA">
        <w:rPr>
          <w:rFonts w:cs="Arial" w:hint="cs"/>
          <w:rtl/>
        </w:rPr>
        <w:t>אע</w:t>
      </w:r>
      <w:r>
        <w:rPr>
          <w:rFonts w:cs="Arial" w:hint="cs"/>
          <w:rtl/>
        </w:rPr>
        <w:t>"</w:t>
      </w:r>
      <w:r w:rsidRPr="00BB2FEA">
        <w:rPr>
          <w:rFonts w:cs="Arial" w:hint="cs"/>
          <w:rtl/>
        </w:rPr>
        <w:t>פ</w:t>
      </w:r>
      <w:r w:rsidRPr="00BB2FEA">
        <w:rPr>
          <w:rFonts w:cs="Arial"/>
          <w:rtl/>
        </w:rPr>
        <w:t xml:space="preserve"> </w:t>
      </w:r>
      <w:r w:rsidRPr="00BB2FEA">
        <w:rPr>
          <w:rFonts w:cs="Arial" w:hint="cs"/>
          <w:rtl/>
        </w:rPr>
        <w:t>שנראה</w:t>
      </w:r>
      <w:r w:rsidRPr="00BB2FEA">
        <w:rPr>
          <w:rFonts w:cs="Arial"/>
          <w:rtl/>
        </w:rPr>
        <w:t xml:space="preserve"> </w:t>
      </w:r>
      <w:r w:rsidRPr="00BB2FEA">
        <w:rPr>
          <w:rFonts w:cs="Arial" w:hint="cs"/>
          <w:rtl/>
        </w:rPr>
        <w:t>עמה</w:t>
      </w:r>
      <w:r w:rsidRPr="00BB2FEA">
        <w:rPr>
          <w:rFonts w:cs="Arial"/>
          <w:rtl/>
        </w:rPr>
        <w:t xml:space="preserve"> </w:t>
      </w:r>
      <w:r w:rsidRPr="00BB2FEA">
        <w:rPr>
          <w:rFonts w:cs="Arial" w:hint="cs"/>
          <w:rtl/>
        </w:rPr>
        <w:t>אא</w:t>
      </w:r>
      <w:r>
        <w:rPr>
          <w:rFonts w:cs="Arial" w:hint="cs"/>
          <w:rtl/>
        </w:rPr>
        <w:t>"</w:t>
      </w:r>
      <w:r w:rsidRPr="00BB2FEA">
        <w:rPr>
          <w:rFonts w:cs="Arial" w:hint="cs"/>
          <w:rtl/>
        </w:rPr>
        <w:t>כ</w:t>
      </w:r>
      <w:r w:rsidRPr="00BB2FEA">
        <w:rPr>
          <w:rFonts w:cs="Arial"/>
          <w:rtl/>
        </w:rPr>
        <w:t xml:space="preserve"> </w:t>
      </w:r>
      <w:r w:rsidRPr="00BB2FEA">
        <w:rPr>
          <w:rFonts w:cs="Arial" w:hint="cs"/>
          <w:rtl/>
        </w:rPr>
        <w:t>הוא</w:t>
      </w:r>
      <w:r w:rsidRPr="00BB2FEA">
        <w:rPr>
          <w:rFonts w:cs="Arial"/>
          <w:rtl/>
        </w:rPr>
        <w:t xml:space="preserve"> </w:t>
      </w:r>
      <w:r w:rsidRPr="00BB2FEA">
        <w:rPr>
          <w:rFonts w:cs="Arial" w:hint="cs"/>
          <w:rtl/>
        </w:rPr>
        <w:t>תוך</w:t>
      </w:r>
      <w:r w:rsidRPr="00BB2FEA">
        <w:rPr>
          <w:rFonts w:cs="Arial"/>
          <w:rtl/>
        </w:rPr>
        <w:t xml:space="preserve"> </w:t>
      </w:r>
      <w:r w:rsidRPr="00BB2FEA">
        <w:rPr>
          <w:rFonts w:cs="Arial" w:hint="cs"/>
          <w:rtl/>
        </w:rPr>
        <w:t>התחום</w:t>
      </w:r>
      <w:r w:rsidRPr="00BB2FEA">
        <w:rPr>
          <w:rFonts w:cs="Arial"/>
          <w:rtl/>
        </w:rPr>
        <w:t xml:space="preserve"> </w:t>
      </w:r>
      <w:r w:rsidRPr="00BB2FEA">
        <w:rPr>
          <w:rFonts w:cs="Arial" w:hint="cs"/>
          <w:rtl/>
        </w:rPr>
        <w:t>דוקא</w:t>
      </w:r>
      <w:r>
        <w:rPr>
          <w:rFonts w:hint="cs"/>
          <w:rtl/>
        </w:rPr>
        <w:t>.</w:t>
      </w:r>
      <w:r w:rsidRPr="00734BD9">
        <w:rPr>
          <w:rFonts w:cs="Arial" w:hint="cs"/>
          <w:rtl/>
        </w:rPr>
        <w:t xml:space="preserve"> </w:t>
      </w:r>
      <w:r w:rsidRPr="00BB2FEA">
        <w:rPr>
          <w:rFonts w:cs="Arial" w:hint="cs"/>
          <w:rtl/>
        </w:rPr>
        <w:t>ובהג</w:t>
      </w:r>
      <w:r>
        <w:rPr>
          <w:rFonts w:cs="Arial" w:hint="cs"/>
          <w:rtl/>
        </w:rPr>
        <w:t>מ"ר</w:t>
      </w:r>
      <w:r w:rsidRPr="00BB2FEA">
        <w:rPr>
          <w:rFonts w:cs="Arial"/>
          <w:rtl/>
        </w:rPr>
        <w:t xml:space="preserve"> </w:t>
      </w:r>
      <w:r w:rsidRPr="00BB2FEA">
        <w:rPr>
          <w:rFonts w:cs="Arial" w:hint="cs"/>
          <w:rtl/>
        </w:rPr>
        <w:t>פרק</w:t>
      </w:r>
      <w:r w:rsidRPr="00BB2FEA">
        <w:rPr>
          <w:rFonts w:cs="Arial"/>
          <w:rtl/>
        </w:rPr>
        <w:t xml:space="preserve"> </w:t>
      </w:r>
      <w:r w:rsidRPr="00BB2FEA">
        <w:rPr>
          <w:rFonts w:cs="Arial" w:hint="cs"/>
          <w:rtl/>
        </w:rPr>
        <w:t>מי</w:t>
      </w:r>
      <w:r w:rsidRPr="00BB2FEA">
        <w:rPr>
          <w:rFonts w:cs="Arial"/>
          <w:rtl/>
        </w:rPr>
        <w:t xml:space="preserve"> </w:t>
      </w:r>
      <w:r w:rsidRPr="00BB2FEA">
        <w:rPr>
          <w:rFonts w:cs="Arial" w:hint="cs"/>
          <w:rtl/>
        </w:rPr>
        <w:t>שאחזו</w:t>
      </w:r>
      <w:r w:rsidRPr="00BB2FEA">
        <w:rPr>
          <w:rFonts w:cs="Arial"/>
          <w:rtl/>
        </w:rPr>
        <w:t xml:space="preserve"> (</w:t>
      </w:r>
      <w:r w:rsidRPr="00BB2FEA">
        <w:rPr>
          <w:rFonts w:cs="Arial" w:hint="cs"/>
          <w:rtl/>
        </w:rPr>
        <w:t>סי</w:t>
      </w:r>
      <w:r w:rsidRPr="00BB2FEA">
        <w:rPr>
          <w:rFonts w:cs="Arial"/>
          <w:rtl/>
        </w:rPr>
        <w:t xml:space="preserve">' </w:t>
      </w:r>
      <w:r w:rsidRPr="00BB2FEA">
        <w:rPr>
          <w:rFonts w:cs="Arial" w:hint="cs"/>
          <w:rtl/>
        </w:rPr>
        <w:t>תכז</w:t>
      </w:r>
      <w:r w:rsidRPr="00BB2FEA">
        <w:rPr>
          <w:rFonts w:cs="Arial"/>
          <w:rtl/>
        </w:rPr>
        <w:t xml:space="preserve">) </w:t>
      </w:r>
      <w:r w:rsidRPr="00BB2FEA">
        <w:rPr>
          <w:rFonts w:cs="Arial" w:hint="cs"/>
          <w:rtl/>
        </w:rPr>
        <w:t>כתוב</w:t>
      </w:r>
      <w:r w:rsidRPr="00BB2FEA">
        <w:rPr>
          <w:rFonts w:cs="Arial"/>
          <w:rtl/>
        </w:rPr>
        <w:t xml:space="preserve"> </w:t>
      </w:r>
      <w:r w:rsidRPr="00BB2FEA">
        <w:rPr>
          <w:rFonts w:cs="Arial" w:hint="cs"/>
          <w:rtl/>
        </w:rPr>
        <w:t>יש</w:t>
      </w:r>
      <w:r w:rsidRPr="00BB2FEA">
        <w:rPr>
          <w:rFonts w:cs="Arial"/>
          <w:rtl/>
        </w:rPr>
        <w:t xml:space="preserve"> </w:t>
      </w:r>
      <w:r w:rsidRPr="00BB2FEA">
        <w:rPr>
          <w:rFonts w:cs="Arial" w:hint="cs"/>
          <w:rtl/>
        </w:rPr>
        <w:t>מפרשים</w:t>
      </w:r>
      <w:r w:rsidRPr="00BB2FEA">
        <w:rPr>
          <w:rFonts w:cs="Arial"/>
          <w:rtl/>
        </w:rPr>
        <w:t xml:space="preserve"> </w:t>
      </w:r>
      <w:r w:rsidRPr="00BB2FEA">
        <w:rPr>
          <w:rFonts w:cs="Arial" w:hint="cs"/>
          <w:rtl/>
        </w:rPr>
        <w:t>שצריך</w:t>
      </w:r>
      <w:r w:rsidRPr="00BB2FEA">
        <w:rPr>
          <w:rFonts w:cs="Arial"/>
          <w:rtl/>
        </w:rPr>
        <w:t xml:space="preserve"> </w:t>
      </w:r>
      <w:r w:rsidRPr="00BB2FEA">
        <w:rPr>
          <w:rFonts w:cs="Arial" w:hint="cs"/>
          <w:rtl/>
        </w:rPr>
        <w:t>לכתוב</w:t>
      </w:r>
      <w:r w:rsidRPr="00BB2FEA">
        <w:rPr>
          <w:rFonts w:cs="Arial"/>
          <w:rtl/>
        </w:rPr>
        <w:t xml:space="preserve"> </w:t>
      </w:r>
      <w:r w:rsidRPr="00BB2FEA">
        <w:rPr>
          <w:rFonts w:cs="Arial" w:hint="cs"/>
          <w:rtl/>
        </w:rPr>
        <w:t>כל</w:t>
      </w:r>
      <w:r w:rsidRPr="00BB2FEA">
        <w:rPr>
          <w:rFonts w:cs="Arial"/>
          <w:rtl/>
        </w:rPr>
        <w:t xml:space="preserve"> </w:t>
      </w:r>
      <w:r w:rsidRPr="00BB2FEA">
        <w:rPr>
          <w:rFonts w:cs="Arial" w:hint="cs"/>
          <w:rtl/>
        </w:rPr>
        <w:t>הנהרות</w:t>
      </w:r>
      <w:r w:rsidRPr="00BB2FEA">
        <w:rPr>
          <w:rFonts w:cs="Arial"/>
          <w:rtl/>
        </w:rPr>
        <w:t xml:space="preserve"> </w:t>
      </w:r>
      <w:r w:rsidRPr="00BB2FEA">
        <w:rPr>
          <w:rFonts w:cs="Arial" w:hint="cs"/>
          <w:rtl/>
        </w:rPr>
        <w:t>שבתוך</w:t>
      </w:r>
      <w:r w:rsidRPr="00BB2FEA">
        <w:rPr>
          <w:rFonts w:cs="Arial"/>
          <w:rtl/>
        </w:rPr>
        <w:t xml:space="preserve"> </w:t>
      </w:r>
      <w:r w:rsidRPr="00BB2FEA">
        <w:rPr>
          <w:rFonts w:cs="Arial" w:hint="cs"/>
          <w:rtl/>
        </w:rPr>
        <w:t>תחום</w:t>
      </w:r>
      <w:r w:rsidRPr="00BB2FEA">
        <w:rPr>
          <w:rFonts w:cs="Arial"/>
          <w:rtl/>
        </w:rPr>
        <w:t xml:space="preserve"> </w:t>
      </w:r>
      <w:r w:rsidRPr="00BB2FEA">
        <w:rPr>
          <w:rFonts w:cs="Arial" w:hint="cs"/>
          <w:rtl/>
        </w:rPr>
        <w:t>העיר</w:t>
      </w:r>
      <w:r>
        <w:rPr>
          <w:rFonts w:cs="Arial" w:hint="cs"/>
          <w:rtl/>
        </w:rPr>
        <w:t>,</w:t>
      </w:r>
      <w:r w:rsidRPr="00BB2FEA">
        <w:rPr>
          <w:rFonts w:cs="Arial"/>
          <w:rtl/>
        </w:rPr>
        <w:t xml:space="preserve"> </w:t>
      </w:r>
      <w:r w:rsidRPr="00BB2FEA">
        <w:rPr>
          <w:rFonts w:cs="Arial" w:hint="cs"/>
          <w:rtl/>
        </w:rPr>
        <w:t>דכל</w:t>
      </w:r>
      <w:r w:rsidRPr="00BB2FEA">
        <w:rPr>
          <w:rFonts w:cs="Arial"/>
          <w:rtl/>
        </w:rPr>
        <w:t xml:space="preserve"> </w:t>
      </w:r>
      <w:r w:rsidRPr="00BB2FEA">
        <w:rPr>
          <w:rFonts w:cs="Arial" w:hint="cs"/>
          <w:rtl/>
        </w:rPr>
        <w:t>תוך</w:t>
      </w:r>
      <w:r w:rsidRPr="00BB2FEA">
        <w:rPr>
          <w:rFonts w:cs="Arial"/>
          <w:rtl/>
        </w:rPr>
        <w:t xml:space="preserve"> </w:t>
      </w:r>
      <w:r w:rsidRPr="00BB2FEA">
        <w:rPr>
          <w:rFonts w:cs="Arial" w:hint="cs"/>
          <w:rtl/>
        </w:rPr>
        <w:t>תחום</w:t>
      </w:r>
      <w:r w:rsidRPr="00BB2FEA">
        <w:rPr>
          <w:rFonts w:cs="Arial"/>
          <w:rtl/>
        </w:rPr>
        <w:t xml:space="preserve"> </w:t>
      </w:r>
      <w:r w:rsidRPr="00BB2FEA">
        <w:rPr>
          <w:rFonts w:cs="Arial" w:hint="cs"/>
          <w:rtl/>
        </w:rPr>
        <w:t>העיר</w:t>
      </w:r>
      <w:r w:rsidRPr="00BB2FEA">
        <w:rPr>
          <w:rFonts w:cs="Arial"/>
          <w:rtl/>
        </w:rPr>
        <w:t xml:space="preserve"> </w:t>
      </w:r>
      <w:r w:rsidRPr="00BB2FEA">
        <w:rPr>
          <w:rFonts w:cs="Arial" w:hint="cs"/>
          <w:rtl/>
        </w:rPr>
        <w:t>הוי</w:t>
      </w:r>
      <w:r w:rsidRPr="00BB2FEA">
        <w:rPr>
          <w:rFonts w:cs="Arial"/>
          <w:rtl/>
        </w:rPr>
        <w:t xml:space="preserve"> </w:t>
      </w:r>
      <w:r w:rsidRPr="00BB2FEA">
        <w:rPr>
          <w:rFonts w:cs="Arial" w:hint="cs"/>
          <w:rtl/>
        </w:rPr>
        <w:t>בכלל</w:t>
      </w:r>
      <w:r w:rsidRPr="00BB2FEA">
        <w:rPr>
          <w:rFonts w:cs="Arial"/>
          <w:rtl/>
        </w:rPr>
        <w:t xml:space="preserve"> </w:t>
      </w:r>
      <w:r w:rsidRPr="00BB2FEA">
        <w:rPr>
          <w:rFonts w:cs="Arial" w:hint="cs"/>
          <w:rtl/>
        </w:rPr>
        <w:t>העיר</w:t>
      </w:r>
      <w:r w:rsidRPr="00BB2FEA">
        <w:rPr>
          <w:rFonts w:cs="Arial"/>
          <w:rtl/>
        </w:rPr>
        <w:t xml:space="preserve"> </w:t>
      </w:r>
      <w:r w:rsidRPr="00BB2FEA">
        <w:rPr>
          <w:rFonts w:cs="Arial" w:hint="cs"/>
          <w:rtl/>
        </w:rPr>
        <w:t>וראייתם</w:t>
      </w:r>
      <w:r w:rsidRPr="00BB2FEA">
        <w:rPr>
          <w:rFonts w:cs="Arial"/>
          <w:rtl/>
        </w:rPr>
        <w:t xml:space="preserve"> </w:t>
      </w:r>
      <w:r w:rsidRPr="00BB2FEA">
        <w:rPr>
          <w:rFonts w:cs="Arial" w:hint="cs"/>
          <w:rtl/>
        </w:rPr>
        <w:t>מפרק</w:t>
      </w:r>
      <w:r w:rsidRPr="00BB2FEA">
        <w:rPr>
          <w:rFonts w:cs="Arial"/>
          <w:rtl/>
        </w:rPr>
        <w:t xml:space="preserve"> </w:t>
      </w:r>
      <w:r w:rsidRPr="00BB2FEA">
        <w:rPr>
          <w:rFonts w:cs="Arial" w:hint="cs"/>
          <w:rtl/>
        </w:rPr>
        <w:t>כל</w:t>
      </w:r>
      <w:r w:rsidRPr="00BB2FEA">
        <w:rPr>
          <w:rFonts w:cs="Arial"/>
          <w:rtl/>
        </w:rPr>
        <w:t xml:space="preserve"> </w:t>
      </w:r>
      <w:r w:rsidRPr="00BB2FEA">
        <w:rPr>
          <w:rFonts w:cs="Arial" w:hint="cs"/>
          <w:rtl/>
        </w:rPr>
        <w:t>הבשר</w:t>
      </w:r>
      <w:r w:rsidRPr="00BB2FEA">
        <w:rPr>
          <w:rFonts w:cs="Arial"/>
          <w:rtl/>
        </w:rPr>
        <w:t xml:space="preserve"> (</w:t>
      </w:r>
      <w:r w:rsidRPr="00BB2FEA">
        <w:rPr>
          <w:rFonts w:cs="Arial" w:hint="cs"/>
          <w:rtl/>
        </w:rPr>
        <w:t>חולין</w:t>
      </w:r>
      <w:r w:rsidRPr="00BB2FEA">
        <w:rPr>
          <w:rFonts w:cs="Arial"/>
          <w:rtl/>
        </w:rPr>
        <w:t xml:space="preserve"> </w:t>
      </w:r>
      <w:r w:rsidRPr="00BB2FEA">
        <w:rPr>
          <w:rFonts w:cs="Arial" w:hint="cs"/>
          <w:rtl/>
        </w:rPr>
        <w:t>קי</w:t>
      </w:r>
      <w:r w:rsidRPr="00BB2FEA">
        <w:rPr>
          <w:rFonts w:cs="Arial"/>
          <w:rtl/>
        </w:rPr>
        <w:t>.)</w:t>
      </w:r>
      <w:r>
        <w:rPr>
          <w:rFonts w:cs="Arial" w:hint="cs"/>
          <w:rtl/>
        </w:rPr>
        <w:t>.</w:t>
      </w:r>
      <w:r w:rsidRPr="00BB2FEA">
        <w:rPr>
          <w:rFonts w:cs="Arial"/>
          <w:rtl/>
        </w:rPr>
        <w:t xml:space="preserve"> </w:t>
      </w:r>
      <w:r w:rsidRPr="00BB2FEA">
        <w:rPr>
          <w:rFonts w:cs="Arial" w:hint="cs"/>
          <w:rtl/>
        </w:rPr>
        <w:t>אך</w:t>
      </w:r>
      <w:r w:rsidRPr="00BB2FEA">
        <w:rPr>
          <w:rFonts w:cs="Arial"/>
          <w:rtl/>
        </w:rPr>
        <w:t xml:space="preserve"> </w:t>
      </w:r>
      <w:r w:rsidRPr="00BB2FEA">
        <w:rPr>
          <w:rFonts w:cs="Arial" w:hint="cs"/>
          <w:rtl/>
        </w:rPr>
        <w:t>בפרק</w:t>
      </w:r>
      <w:r w:rsidRPr="00BB2FEA">
        <w:rPr>
          <w:rFonts w:cs="Arial"/>
          <w:rtl/>
        </w:rPr>
        <w:t xml:space="preserve"> </w:t>
      </w:r>
      <w:r w:rsidRPr="00BB2FEA">
        <w:rPr>
          <w:rFonts w:cs="Arial" w:hint="cs"/>
          <w:rtl/>
        </w:rPr>
        <w:t>הנודר</w:t>
      </w:r>
      <w:r w:rsidRPr="00BB2FEA">
        <w:rPr>
          <w:rFonts w:cs="Arial"/>
          <w:rtl/>
        </w:rPr>
        <w:t xml:space="preserve"> </w:t>
      </w:r>
      <w:r w:rsidRPr="00BB2FEA">
        <w:rPr>
          <w:rFonts w:cs="Arial" w:hint="cs"/>
          <w:rtl/>
        </w:rPr>
        <w:t>מן</w:t>
      </w:r>
      <w:r w:rsidRPr="00BB2FEA">
        <w:rPr>
          <w:rFonts w:cs="Arial"/>
          <w:rtl/>
        </w:rPr>
        <w:t xml:space="preserve"> </w:t>
      </w:r>
      <w:r w:rsidRPr="00BB2FEA">
        <w:rPr>
          <w:rFonts w:cs="Arial" w:hint="cs"/>
          <w:rtl/>
        </w:rPr>
        <w:t>הירק</w:t>
      </w:r>
      <w:r w:rsidRPr="00BB2FEA">
        <w:rPr>
          <w:rFonts w:cs="Arial"/>
          <w:rtl/>
        </w:rPr>
        <w:t xml:space="preserve"> (</w:t>
      </w:r>
      <w:r w:rsidRPr="00BB2FEA">
        <w:rPr>
          <w:rFonts w:cs="Arial" w:hint="cs"/>
          <w:rtl/>
        </w:rPr>
        <w:t>נדרים</w:t>
      </w:r>
      <w:r w:rsidRPr="00BB2FEA">
        <w:rPr>
          <w:rFonts w:cs="Arial"/>
          <w:rtl/>
        </w:rPr>
        <w:t xml:space="preserve"> </w:t>
      </w:r>
      <w:r w:rsidRPr="00BB2FEA">
        <w:rPr>
          <w:rFonts w:cs="Arial" w:hint="cs"/>
          <w:rtl/>
        </w:rPr>
        <w:t>נו</w:t>
      </w:r>
      <w:r w:rsidRPr="00BB2FEA">
        <w:rPr>
          <w:rFonts w:cs="Arial"/>
          <w:rtl/>
        </w:rPr>
        <w:t xml:space="preserve">:) </w:t>
      </w:r>
      <w:r w:rsidRPr="00BB2FEA">
        <w:rPr>
          <w:rFonts w:cs="Arial" w:hint="cs"/>
          <w:rtl/>
        </w:rPr>
        <w:t>לא</w:t>
      </w:r>
      <w:r w:rsidRPr="00BB2FEA">
        <w:rPr>
          <w:rFonts w:cs="Arial"/>
          <w:rtl/>
        </w:rPr>
        <w:t xml:space="preserve"> </w:t>
      </w:r>
      <w:r w:rsidRPr="00BB2FEA">
        <w:rPr>
          <w:rFonts w:cs="Arial" w:hint="cs"/>
          <w:rtl/>
        </w:rPr>
        <w:t>משמע</w:t>
      </w:r>
      <w:r w:rsidRPr="00BB2FEA">
        <w:rPr>
          <w:rFonts w:cs="Arial"/>
          <w:rtl/>
        </w:rPr>
        <w:t xml:space="preserve"> </w:t>
      </w:r>
      <w:r w:rsidRPr="00BB2FEA">
        <w:rPr>
          <w:rFonts w:cs="Arial" w:hint="cs"/>
          <w:rtl/>
        </w:rPr>
        <w:t>כן</w:t>
      </w:r>
      <w:r w:rsidRPr="00BB2FEA">
        <w:rPr>
          <w:rFonts w:cs="Arial"/>
          <w:rtl/>
        </w:rPr>
        <w:t xml:space="preserve"> </w:t>
      </w:r>
      <w:r w:rsidRPr="00BB2FEA">
        <w:rPr>
          <w:rFonts w:cs="Arial" w:hint="cs"/>
          <w:rtl/>
        </w:rPr>
        <w:t>אלא</w:t>
      </w:r>
      <w:r w:rsidRPr="00BB2FEA">
        <w:rPr>
          <w:rFonts w:cs="Arial"/>
          <w:rtl/>
        </w:rPr>
        <w:t xml:space="preserve"> </w:t>
      </w:r>
      <w:r w:rsidRPr="00BB2FEA">
        <w:rPr>
          <w:rFonts w:cs="Arial" w:hint="cs"/>
          <w:rtl/>
        </w:rPr>
        <w:t>דוקא</w:t>
      </w:r>
      <w:r w:rsidRPr="00BB2FEA">
        <w:rPr>
          <w:rFonts w:cs="Arial"/>
          <w:rtl/>
        </w:rPr>
        <w:t xml:space="preserve"> </w:t>
      </w:r>
      <w:r w:rsidRPr="00BB2FEA">
        <w:rPr>
          <w:rFonts w:cs="Arial" w:hint="cs"/>
          <w:rtl/>
        </w:rPr>
        <w:t>תוך</w:t>
      </w:r>
      <w:r w:rsidRPr="00BB2FEA">
        <w:rPr>
          <w:rFonts w:cs="Arial"/>
          <w:rtl/>
        </w:rPr>
        <w:t xml:space="preserve"> </w:t>
      </w:r>
      <w:r w:rsidRPr="00BB2FEA">
        <w:rPr>
          <w:rFonts w:cs="Arial" w:hint="cs"/>
          <w:rtl/>
        </w:rPr>
        <w:t>עיבורה</w:t>
      </w:r>
      <w:r w:rsidRPr="00BB2FEA">
        <w:rPr>
          <w:rFonts w:cs="Arial"/>
          <w:rtl/>
        </w:rPr>
        <w:t xml:space="preserve"> </w:t>
      </w:r>
      <w:r w:rsidRPr="00BB2FEA">
        <w:rPr>
          <w:rFonts w:cs="Arial" w:hint="cs"/>
          <w:rtl/>
        </w:rPr>
        <w:t>של</w:t>
      </w:r>
      <w:r w:rsidRPr="00BB2FEA">
        <w:rPr>
          <w:rFonts w:cs="Arial"/>
          <w:rtl/>
        </w:rPr>
        <w:t xml:space="preserve"> </w:t>
      </w:r>
      <w:r w:rsidRPr="00BB2FEA">
        <w:rPr>
          <w:rFonts w:cs="Arial" w:hint="cs"/>
          <w:rtl/>
        </w:rPr>
        <w:t>עיר</w:t>
      </w:r>
      <w:r w:rsidRPr="00BB2FEA">
        <w:rPr>
          <w:rFonts w:cs="Arial"/>
          <w:rtl/>
        </w:rPr>
        <w:t xml:space="preserve"> </w:t>
      </w:r>
      <w:r w:rsidRPr="00BB2FEA">
        <w:rPr>
          <w:rFonts w:cs="Arial" w:hint="cs"/>
          <w:rtl/>
        </w:rPr>
        <w:t>הוי</w:t>
      </w:r>
      <w:r w:rsidRPr="00BB2FEA">
        <w:rPr>
          <w:rFonts w:cs="Arial"/>
          <w:rtl/>
        </w:rPr>
        <w:t xml:space="preserve"> </w:t>
      </w:r>
      <w:r w:rsidRPr="00BB2FEA">
        <w:rPr>
          <w:rFonts w:cs="Arial" w:hint="cs"/>
          <w:rtl/>
        </w:rPr>
        <w:t>כתוך</w:t>
      </w:r>
      <w:r w:rsidRPr="00BB2FEA">
        <w:rPr>
          <w:rFonts w:cs="Arial"/>
          <w:rtl/>
        </w:rPr>
        <w:t xml:space="preserve"> </w:t>
      </w:r>
      <w:r w:rsidRPr="00BB2FEA">
        <w:rPr>
          <w:rFonts w:cs="Arial" w:hint="cs"/>
          <w:rtl/>
        </w:rPr>
        <w:t>העיר</w:t>
      </w:r>
      <w:r w:rsidRPr="00BB2FEA">
        <w:rPr>
          <w:rFonts w:cs="Arial"/>
          <w:rtl/>
        </w:rPr>
        <w:t xml:space="preserve"> </w:t>
      </w:r>
      <w:r w:rsidRPr="00BB2FEA">
        <w:rPr>
          <w:rFonts w:cs="Arial" w:hint="cs"/>
          <w:rtl/>
        </w:rPr>
        <w:t>עכ</w:t>
      </w:r>
      <w:r w:rsidRPr="00BB2FEA">
        <w:rPr>
          <w:rFonts w:cs="Arial"/>
          <w:rtl/>
        </w:rPr>
        <w:t>"</w:t>
      </w:r>
      <w:r w:rsidRPr="00BB2FEA">
        <w:rPr>
          <w:rFonts w:cs="Arial" w:hint="cs"/>
          <w:rtl/>
        </w:rPr>
        <w:t>ל</w:t>
      </w:r>
      <w:r>
        <w:rPr>
          <w:rFonts w:cs="Arial" w:hint="cs"/>
          <w:rtl/>
        </w:rPr>
        <w:t>.</w:t>
      </w:r>
      <w:r w:rsidRPr="00BB2FEA">
        <w:rPr>
          <w:rFonts w:cs="Arial"/>
          <w:rtl/>
        </w:rPr>
        <w:t xml:space="preserve"> </w:t>
      </w:r>
      <w:r w:rsidRPr="00BB2FEA">
        <w:rPr>
          <w:rFonts w:cs="Arial" w:hint="cs"/>
          <w:rtl/>
        </w:rPr>
        <w:t>ומשמע</w:t>
      </w:r>
      <w:r w:rsidRPr="00BB2FEA">
        <w:rPr>
          <w:rFonts w:cs="Arial"/>
          <w:rtl/>
        </w:rPr>
        <w:t xml:space="preserve"> </w:t>
      </w:r>
      <w:r w:rsidRPr="00BB2FEA">
        <w:rPr>
          <w:rFonts w:cs="Arial" w:hint="cs"/>
          <w:rtl/>
        </w:rPr>
        <w:t>לי</w:t>
      </w:r>
      <w:r w:rsidRPr="00BB2FEA">
        <w:rPr>
          <w:rFonts w:cs="Arial"/>
          <w:rtl/>
        </w:rPr>
        <w:t xml:space="preserve"> </w:t>
      </w:r>
      <w:r w:rsidRPr="00BB2FEA">
        <w:rPr>
          <w:rFonts w:cs="Arial" w:hint="cs"/>
          <w:rtl/>
        </w:rPr>
        <w:t>דאפילו</w:t>
      </w:r>
      <w:r w:rsidRPr="00BB2FEA">
        <w:rPr>
          <w:rFonts w:cs="Arial"/>
          <w:rtl/>
        </w:rPr>
        <w:t xml:space="preserve"> </w:t>
      </w:r>
      <w:r w:rsidRPr="00BB2FEA">
        <w:rPr>
          <w:rFonts w:cs="Arial" w:hint="cs"/>
          <w:rtl/>
        </w:rPr>
        <w:t>במסתפקין</w:t>
      </w:r>
      <w:r w:rsidRPr="00BB2FEA">
        <w:rPr>
          <w:rFonts w:cs="Arial"/>
          <w:rtl/>
        </w:rPr>
        <w:t xml:space="preserve"> </w:t>
      </w:r>
      <w:r w:rsidRPr="00BB2FEA">
        <w:rPr>
          <w:rFonts w:cs="Arial" w:hint="cs"/>
          <w:rtl/>
        </w:rPr>
        <w:t>ממנו</w:t>
      </w:r>
      <w:r w:rsidRPr="00BB2FEA">
        <w:rPr>
          <w:rFonts w:cs="Arial"/>
          <w:rtl/>
        </w:rPr>
        <w:t xml:space="preserve"> </w:t>
      </w:r>
      <w:r w:rsidRPr="00BB2FEA">
        <w:rPr>
          <w:rFonts w:cs="Arial" w:hint="cs"/>
          <w:rtl/>
        </w:rPr>
        <w:t>קאמר</w:t>
      </w:r>
      <w:r>
        <w:rPr>
          <w:rFonts w:hint="cs"/>
          <w:rtl/>
        </w:rPr>
        <w:t>, ב"י.</w:t>
      </w:r>
    </w:p>
  </w:footnote>
  <w:footnote w:id="1003">
    <w:p w14:paraId="13F04D77" w14:textId="77777777" w:rsidR="00FA2119" w:rsidRDefault="00FA2119" w:rsidP="00FA2119">
      <w:pPr>
        <w:pStyle w:val="a5"/>
        <w:rPr>
          <w:rtl/>
        </w:rPr>
      </w:pPr>
      <w:r>
        <w:rPr>
          <w:rStyle w:val="a7"/>
        </w:rPr>
        <w:footnoteRef/>
      </w:r>
      <w:r>
        <w:rPr>
          <w:rtl/>
        </w:rPr>
        <w:t xml:space="preserve"> </w:t>
      </w:r>
      <w:r w:rsidRPr="00BB2FEA">
        <w:rPr>
          <w:rFonts w:cs="Arial" w:hint="cs"/>
          <w:rtl/>
        </w:rPr>
        <w:t>ולי</w:t>
      </w:r>
      <w:r w:rsidRPr="00BB2FEA">
        <w:rPr>
          <w:rFonts w:cs="Arial"/>
          <w:rtl/>
        </w:rPr>
        <w:t xml:space="preserve"> </w:t>
      </w:r>
      <w:r w:rsidRPr="00BB2FEA">
        <w:rPr>
          <w:rFonts w:cs="Arial" w:hint="cs"/>
          <w:rtl/>
        </w:rPr>
        <w:t>נראה</w:t>
      </w:r>
      <w:r w:rsidRPr="00BB2FEA">
        <w:rPr>
          <w:rFonts w:cs="Arial"/>
          <w:rtl/>
        </w:rPr>
        <w:t xml:space="preserve"> </w:t>
      </w:r>
      <w:r w:rsidRPr="00BB2FEA">
        <w:rPr>
          <w:rFonts w:cs="Arial" w:hint="cs"/>
          <w:rtl/>
        </w:rPr>
        <w:t>דאין</w:t>
      </w:r>
      <w:r w:rsidRPr="00BB2FEA">
        <w:rPr>
          <w:rFonts w:cs="Arial"/>
          <w:rtl/>
        </w:rPr>
        <w:t xml:space="preserve"> </w:t>
      </w:r>
      <w:r w:rsidRPr="00BB2FEA">
        <w:rPr>
          <w:rFonts w:cs="Arial" w:hint="cs"/>
          <w:rtl/>
        </w:rPr>
        <w:t>לכתבו</w:t>
      </w:r>
      <w:r w:rsidRPr="00BB2FEA">
        <w:rPr>
          <w:rFonts w:cs="Arial"/>
          <w:rtl/>
        </w:rPr>
        <w:t xml:space="preserve"> </w:t>
      </w:r>
      <w:r w:rsidRPr="00BB2FEA">
        <w:rPr>
          <w:rFonts w:cs="Arial" w:hint="cs"/>
          <w:rtl/>
        </w:rPr>
        <w:t>אם</w:t>
      </w:r>
      <w:r w:rsidRPr="00BB2FEA">
        <w:rPr>
          <w:rFonts w:cs="Arial"/>
          <w:rtl/>
        </w:rPr>
        <w:t xml:space="preserve"> </w:t>
      </w:r>
      <w:r w:rsidRPr="00BB2FEA">
        <w:rPr>
          <w:rFonts w:cs="Arial" w:hint="cs"/>
          <w:rtl/>
        </w:rPr>
        <w:t>הוא</w:t>
      </w:r>
      <w:r w:rsidRPr="00BB2FEA">
        <w:rPr>
          <w:rFonts w:cs="Arial"/>
          <w:rtl/>
        </w:rPr>
        <w:t xml:space="preserve"> </w:t>
      </w:r>
      <w:r w:rsidRPr="00BB2FEA">
        <w:rPr>
          <w:rFonts w:cs="Arial" w:hint="cs"/>
          <w:rtl/>
        </w:rPr>
        <w:t>חוץ</w:t>
      </w:r>
      <w:r w:rsidRPr="00BB2FEA">
        <w:rPr>
          <w:rFonts w:cs="Arial"/>
          <w:rtl/>
        </w:rPr>
        <w:t xml:space="preserve"> </w:t>
      </w:r>
      <w:r w:rsidRPr="00BB2FEA">
        <w:rPr>
          <w:rFonts w:cs="Arial" w:hint="cs"/>
          <w:rtl/>
        </w:rPr>
        <w:t>לעיבורה</w:t>
      </w:r>
      <w:r w:rsidRPr="00BB2FEA">
        <w:rPr>
          <w:rFonts w:cs="Arial"/>
          <w:rtl/>
        </w:rPr>
        <w:t xml:space="preserve"> </w:t>
      </w:r>
      <w:r w:rsidRPr="00BB2FEA">
        <w:rPr>
          <w:rFonts w:cs="Arial" w:hint="cs"/>
          <w:rtl/>
        </w:rPr>
        <w:t>של</w:t>
      </w:r>
      <w:r w:rsidRPr="00BB2FEA">
        <w:rPr>
          <w:rFonts w:cs="Arial"/>
          <w:rtl/>
        </w:rPr>
        <w:t xml:space="preserve"> </w:t>
      </w:r>
      <w:r w:rsidRPr="00BB2FEA">
        <w:rPr>
          <w:rFonts w:cs="Arial" w:hint="cs"/>
          <w:rtl/>
        </w:rPr>
        <w:t>עיר</w:t>
      </w:r>
      <w:r w:rsidRPr="00BB2FEA">
        <w:rPr>
          <w:rFonts w:cs="Arial"/>
          <w:rtl/>
        </w:rPr>
        <w:t xml:space="preserve"> </w:t>
      </w:r>
      <w:r w:rsidRPr="00BB2FEA">
        <w:rPr>
          <w:rFonts w:cs="Arial" w:hint="cs"/>
          <w:rtl/>
        </w:rPr>
        <w:t>וכתשובת</w:t>
      </w:r>
      <w:r w:rsidRPr="00BB2FEA">
        <w:rPr>
          <w:rFonts w:cs="Arial"/>
          <w:rtl/>
        </w:rPr>
        <w:t xml:space="preserve"> </w:t>
      </w:r>
      <w:r w:rsidRPr="00BB2FEA">
        <w:rPr>
          <w:rFonts w:cs="Arial" w:hint="cs"/>
          <w:rtl/>
        </w:rPr>
        <w:t>הרשב</w:t>
      </w:r>
      <w:r w:rsidRPr="00BB2FEA">
        <w:rPr>
          <w:rFonts w:cs="Arial"/>
          <w:rtl/>
        </w:rPr>
        <w:t>"</w:t>
      </w:r>
      <w:r w:rsidRPr="00BB2FEA">
        <w:rPr>
          <w:rFonts w:cs="Arial" w:hint="cs"/>
          <w:rtl/>
        </w:rPr>
        <w:t>א</w:t>
      </w:r>
      <w:r w:rsidRPr="00BB2FEA">
        <w:rPr>
          <w:rFonts w:cs="Arial"/>
          <w:rtl/>
        </w:rPr>
        <w:t xml:space="preserve"> </w:t>
      </w:r>
      <w:r w:rsidRPr="00BB2FEA">
        <w:rPr>
          <w:rFonts w:cs="Arial" w:hint="cs"/>
          <w:rtl/>
        </w:rPr>
        <w:t>שכתבתי</w:t>
      </w:r>
      <w:r w:rsidRPr="00BB2FEA">
        <w:rPr>
          <w:rFonts w:cs="Arial"/>
          <w:rtl/>
        </w:rPr>
        <w:t xml:space="preserve"> </w:t>
      </w:r>
      <w:r w:rsidRPr="00BB2FEA">
        <w:rPr>
          <w:rFonts w:cs="Arial" w:hint="cs"/>
          <w:rtl/>
        </w:rPr>
        <w:t>בסמוך</w:t>
      </w:r>
      <w:r>
        <w:rPr>
          <w:rFonts w:hint="cs"/>
          <w:rtl/>
        </w:rPr>
        <w:t>, ב"י.</w:t>
      </w:r>
    </w:p>
  </w:footnote>
  <w:footnote w:id="1004">
    <w:p w14:paraId="04D87FE9" w14:textId="77777777" w:rsidR="00FA2119" w:rsidRDefault="00FA2119" w:rsidP="00FA2119">
      <w:pPr>
        <w:pStyle w:val="a5"/>
        <w:rPr>
          <w:rtl/>
        </w:rPr>
      </w:pPr>
      <w:r>
        <w:rPr>
          <w:rStyle w:val="a7"/>
        </w:rPr>
        <w:footnoteRef/>
      </w:r>
      <w:r>
        <w:rPr>
          <w:rtl/>
        </w:rPr>
        <w:t xml:space="preserve"> </w:t>
      </w:r>
      <w:r w:rsidRPr="0090777D">
        <w:rPr>
          <w:rFonts w:cs="Arial" w:hint="cs"/>
          <w:rtl/>
        </w:rPr>
        <w:t>וכן</w:t>
      </w:r>
      <w:r w:rsidRPr="0090777D">
        <w:rPr>
          <w:rFonts w:cs="Arial"/>
          <w:rtl/>
        </w:rPr>
        <w:t xml:space="preserve"> </w:t>
      </w:r>
      <w:r w:rsidRPr="0090777D">
        <w:rPr>
          <w:rFonts w:cs="Arial" w:hint="cs"/>
          <w:rtl/>
        </w:rPr>
        <w:t>כתב</w:t>
      </w:r>
      <w:r w:rsidRPr="0090777D">
        <w:rPr>
          <w:rFonts w:cs="Arial"/>
          <w:rtl/>
        </w:rPr>
        <w:t xml:space="preserve"> </w:t>
      </w:r>
      <w:r w:rsidRPr="0090777D">
        <w:rPr>
          <w:rFonts w:cs="Arial" w:hint="cs"/>
          <w:rtl/>
        </w:rPr>
        <w:t>בנימן</w:t>
      </w:r>
      <w:r w:rsidRPr="0090777D">
        <w:rPr>
          <w:rFonts w:cs="Arial"/>
          <w:rtl/>
        </w:rPr>
        <w:t xml:space="preserve"> </w:t>
      </w:r>
      <w:r w:rsidRPr="0090777D">
        <w:rPr>
          <w:rFonts w:cs="Arial" w:hint="cs"/>
          <w:rtl/>
        </w:rPr>
        <w:t>זאב</w:t>
      </w:r>
      <w:r w:rsidRPr="0090777D">
        <w:rPr>
          <w:rFonts w:cs="Arial"/>
          <w:rtl/>
        </w:rPr>
        <w:t xml:space="preserve"> </w:t>
      </w:r>
      <w:r>
        <w:rPr>
          <w:rFonts w:cs="Arial" w:hint="cs"/>
          <w:rtl/>
        </w:rPr>
        <w:t>(</w:t>
      </w:r>
      <w:r w:rsidRPr="0090777D">
        <w:rPr>
          <w:rFonts w:cs="Arial" w:hint="cs"/>
          <w:rtl/>
        </w:rPr>
        <w:t>סי</w:t>
      </w:r>
      <w:r>
        <w:rPr>
          <w:rFonts w:cs="Arial" w:hint="cs"/>
          <w:rtl/>
        </w:rPr>
        <w:t>'</w:t>
      </w:r>
      <w:r w:rsidRPr="0090777D">
        <w:rPr>
          <w:rFonts w:cs="Arial"/>
          <w:rtl/>
        </w:rPr>
        <w:t xml:space="preserve"> </w:t>
      </w:r>
      <w:r w:rsidRPr="0090777D">
        <w:rPr>
          <w:rFonts w:cs="Arial" w:hint="cs"/>
          <w:rtl/>
        </w:rPr>
        <w:t>יח</w:t>
      </w:r>
      <w:r>
        <w:rPr>
          <w:rFonts w:cs="Arial" w:hint="cs"/>
          <w:rtl/>
        </w:rPr>
        <w:t>)</w:t>
      </w:r>
      <w:r w:rsidRPr="0090777D">
        <w:rPr>
          <w:rFonts w:cs="Arial"/>
          <w:rtl/>
        </w:rPr>
        <w:t xml:space="preserve"> </w:t>
      </w:r>
      <w:r w:rsidRPr="0090777D">
        <w:rPr>
          <w:rFonts w:cs="Arial" w:hint="cs"/>
          <w:rtl/>
        </w:rPr>
        <w:t>דאם</w:t>
      </w:r>
      <w:r w:rsidRPr="0090777D">
        <w:rPr>
          <w:rFonts w:cs="Arial"/>
          <w:rtl/>
        </w:rPr>
        <w:t xml:space="preserve"> </w:t>
      </w:r>
      <w:r w:rsidRPr="0090777D">
        <w:rPr>
          <w:rFonts w:cs="Arial" w:hint="cs"/>
          <w:rtl/>
        </w:rPr>
        <w:t>העיר</w:t>
      </w:r>
      <w:r w:rsidRPr="0090777D">
        <w:rPr>
          <w:rFonts w:cs="Arial"/>
          <w:rtl/>
        </w:rPr>
        <w:t xml:space="preserve"> </w:t>
      </w:r>
      <w:r w:rsidRPr="0090777D">
        <w:rPr>
          <w:rFonts w:cs="Arial" w:hint="cs"/>
          <w:rtl/>
        </w:rPr>
        <w:t>עומדת</w:t>
      </w:r>
      <w:r w:rsidRPr="0090777D">
        <w:rPr>
          <w:rFonts w:cs="Arial"/>
          <w:rtl/>
        </w:rPr>
        <w:t xml:space="preserve"> </w:t>
      </w:r>
      <w:r w:rsidRPr="0090777D">
        <w:rPr>
          <w:rFonts w:cs="Arial" w:hint="cs"/>
          <w:rtl/>
        </w:rPr>
        <w:t>על</w:t>
      </w:r>
      <w:r w:rsidRPr="0090777D">
        <w:rPr>
          <w:rFonts w:cs="Arial"/>
          <w:rtl/>
        </w:rPr>
        <w:t xml:space="preserve"> </w:t>
      </w:r>
      <w:r w:rsidRPr="0090777D">
        <w:rPr>
          <w:rFonts w:cs="Arial" w:hint="cs"/>
          <w:rtl/>
        </w:rPr>
        <w:t>הים</w:t>
      </w:r>
      <w:r w:rsidRPr="0090777D">
        <w:rPr>
          <w:rFonts w:cs="Arial"/>
          <w:rtl/>
        </w:rPr>
        <w:t xml:space="preserve"> </w:t>
      </w:r>
      <w:r w:rsidRPr="0090777D">
        <w:rPr>
          <w:rFonts w:cs="Arial" w:hint="cs"/>
          <w:rtl/>
        </w:rPr>
        <w:t>כותבין</w:t>
      </w:r>
      <w:r w:rsidRPr="0090777D">
        <w:rPr>
          <w:rFonts w:cs="Arial"/>
          <w:rtl/>
        </w:rPr>
        <w:t xml:space="preserve"> </w:t>
      </w:r>
      <w:r w:rsidRPr="0090777D">
        <w:rPr>
          <w:rFonts w:cs="Arial" w:hint="cs"/>
          <w:rtl/>
        </w:rPr>
        <w:t>דיתבא</w:t>
      </w:r>
      <w:r w:rsidRPr="0090777D">
        <w:rPr>
          <w:rFonts w:cs="Arial"/>
          <w:rtl/>
        </w:rPr>
        <w:t xml:space="preserve"> </w:t>
      </w:r>
      <w:r w:rsidRPr="0090777D">
        <w:rPr>
          <w:rFonts w:cs="Arial" w:hint="cs"/>
          <w:rtl/>
        </w:rPr>
        <w:t>על</w:t>
      </w:r>
      <w:r w:rsidRPr="0090777D">
        <w:rPr>
          <w:rFonts w:cs="Arial"/>
          <w:rtl/>
        </w:rPr>
        <w:t xml:space="preserve"> </w:t>
      </w:r>
      <w:r w:rsidRPr="0090777D">
        <w:rPr>
          <w:rFonts w:cs="Arial" w:hint="cs"/>
          <w:rtl/>
        </w:rPr>
        <w:t>כיף</w:t>
      </w:r>
      <w:r w:rsidRPr="0090777D">
        <w:rPr>
          <w:rFonts w:cs="Arial"/>
          <w:rtl/>
        </w:rPr>
        <w:t xml:space="preserve"> </w:t>
      </w:r>
      <w:r w:rsidRPr="0090777D">
        <w:rPr>
          <w:rFonts w:cs="Arial" w:hint="cs"/>
          <w:rtl/>
        </w:rPr>
        <w:t>ימא</w:t>
      </w:r>
      <w:r>
        <w:rPr>
          <w:rFonts w:cs="Arial" w:hint="cs"/>
          <w:rtl/>
        </w:rPr>
        <w:t>, דרכ"מ (אות י).</w:t>
      </w:r>
    </w:p>
  </w:footnote>
  <w:footnote w:id="1005">
    <w:p w14:paraId="00AFD189" w14:textId="54B4D554" w:rsidR="00FA2119" w:rsidRDefault="00FA2119" w:rsidP="00FA2119">
      <w:pPr>
        <w:pStyle w:val="a5"/>
        <w:rPr>
          <w:rtl/>
        </w:rPr>
      </w:pPr>
      <w:r>
        <w:rPr>
          <w:rStyle w:val="a7"/>
        </w:rPr>
        <w:footnoteRef/>
      </w:r>
      <w:r>
        <w:rPr>
          <w:rtl/>
        </w:rPr>
        <w:t xml:space="preserve"> </w:t>
      </w:r>
      <w:r w:rsidRPr="0090777D">
        <w:rPr>
          <w:rFonts w:cs="Arial" w:hint="cs"/>
          <w:rtl/>
        </w:rPr>
        <w:t>כתב</w:t>
      </w:r>
      <w:r w:rsidRPr="0090777D">
        <w:rPr>
          <w:rFonts w:cs="Arial"/>
          <w:rtl/>
        </w:rPr>
        <w:t xml:space="preserve"> </w:t>
      </w:r>
      <w:r w:rsidRPr="0090777D">
        <w:rPr>
          <w:rFonts w:cs="Arial" w:hint="cs"/>
          <w:rtl/>
        </w:rPr>
        <w:t>בסדר</w:t>
      </w:r>
      <w:r w:rsidRPr="0090777D">
        <w:rPr>
          <w:rFonts w:cs="Arial"/>
          <w:rtl/>
        </w:rPr>
        <w:t xml:space="preserve"> </w:t>
      </w:r>
      <w:r w:rsidRPr="0090777D">
        <w:rPr>
          <w:rFonts w:cs="Arial" w:hint="cs"/>
          <w:rtl/>
        </w:rPr>
        <w:t>גיטין</w:t>
      </w:r>
      <w:r w:rsidRPr="0090777D">
        <w:rPr>
          <w:rFonts w:cs="Arial"/>
          <w:rtl/>
        </w:rPr>
        <w:t xml:space="preserve"> (</w:t>
      </w:r>
      <w:r w:rsidRPr="0090777D">
        <w:rPr>
          <w:rFonts w:cs="Arial" w:hint="cs"/>
          <w:rtl/>
        </w:rPr>
        <w:t>סי</w:t>
      </w:r>
      <w:r w:rsidRPr="0090777D">
        <w:rPr>
          <w:rFonts w:cs="Arial"/>
          <w:rtl/>
        </w:rPr>
        <w:t xml:space="preserve">' </w:t>
      </w:r>
      <w:r w:rsidRPr="0090777D">
        <w:rPr>
          <w:rFonts w:cs="Arial" w:hint="cs"/>
          <w:rtl/>
        </w:rPr>
        <w:t>יט</w:t>
      </w:r>
      <w:r w:rsidRPr="0090777D">
        <w:rPr>
          <w:rFonts w:cs="Arial"/>
          <w:rtl/>
        </w:rPr>
        <w:t xml:space="preserve"> </w:t>
      </w:r>
      <w:r w:rsidRPr="0090777D">
        <w:rPr>
          <w:rFonts w:cs="Arial" w:hint="cs"/>
          <w:rtl/>
        </w:rPr>
        <w:t>הגהה</w:t>
      </w:r>
      <w:r w:rsidRPr="0090777D">
        <w:rPr>
          <w:rFonts w:cs="Arial"/>
          <w:rtl/>
        </w:rPr>
        <w:t xml:space="preserve"> </w:t>
      </w:r>
      <w:r w:rsidRPr="0090777D">
        <w:rPr>
          <w:rFonts w:cs="Arial" w:hint="cs"/>
          <w:rtl/>
        </w:rPr>
        <w:t>ז</w:t>
      </w:r>
      <w:r w:rsidRPr="0090777D">
        <w:rPr>
          <w:rFonts w:cs="Arial"/>
          <w:rtl/>
        </w:rPr>
        <w:t xml:space="preserve">) </w:t>
      </w:r>
      <w:r w:rsidRPr="0090777D">
        <w:rPr>
          <w:rFonts w:cs="Arial" w:hint="cs"/>
          <w:rtl/>
        </w:rPr>
        <w:t>בארת</w:t>
      </w:r>
      <w:r w:rsidRPr="0090777D">
        <w:rPr>
          <w:rFonts w:cs="Arial"/>
          <w:rtl/>
        </w:rPr>
        <w:t xml:space="preserve"> </w:t>
      </w:r>
      <w:r w:rsidRPr="0090777D">
        <w:rPr>
          <w:rFonts w:cs="Arial" w:hint="cs"/>
          <w:rtl/>
        </w:rPr>
        <w:t>חסר</w:t>
      </w:r>
      <w:r w:rsidRPr="0090777D">
        <w:rPr>
          <w:rFonts w:cs="Arial"/>
          <w:rtl/>
        </w:rPr>
        <w:t xml:space="preserve"> </w:t>
      </w:r>
      <w:r w:rsidRPr="0090777D">
        <w:rPr>
          <w:rFonts w:cs="Arial" w:hint="cs"/>
          <w:rtl/>
        </w:rPr>
        <w:t>וי</w:t>
      </w:r>
      <w:r w:rsidRPr="0090777D">
        <w:rPr>
          <w:rFonts w:cs="Arial"/>
          <w:rtl/>
        </w:rPr>
        <w:t>"</w:t>
      </w:r>
      <w:r w:rsidRPr="0090777D">
        <w:rPr>
          <w:rFonts w:cs="Arial" w:hint="cs"/>
          <w:rtl/>
        </w:rPr>
        <w:t>ו</w:t>
      </w:r>
      <w:r>
        <w:rPr>
          <w:rFonts w:cs="Arial" w:hint="cs"/>
          <w:rtl/>
        </w:rPr>
        <w:t>, דרכ"מ (אות יא).</w:t>
      </w:r>
      <w:r w:rsidRPr="00EB4A74">
        <w:rPr>
          <w:rFonts w:cs="Arial" w:hint="cs"/>
          <w:color w:val="00B0F0"/>
          <w:rtl/>
        </w:rPr>
        <w:t xml:space="preserve"> (</w:t>
      </w:r>
      <w:r>
        <w:rPr>
          <w:rFonts w:cs="Arial" w:hint="cs"/>
          <w:color w:val="00B0F0"/>
          <w:rtl/>
        </w:rPr>
        <w:t>וכ</w:t>
      </w:r>
      <w:r>
        <w:rPr>
          <w:rFonts w:cs="Arial"/>
          <w:color w:val="00B0F0"/>
          <w:rtl/>
        </w:rPr>
        <w:t>"</w:t>
      </w:r>
      <w:r>
        <w:rPr>
          <w:rFonts w:cs="Arial" w:hint="cs"/>
          <w:color w:val="00B0F0"/>
          <w:rtl/>
        </w:rPr>
        <w:t xml:space="preserve">פ </w:t>
      </w:r>
      <w:r w:rsidR="009334FF">
        <w:rPr>
          <w:rFonts w:cs="Arial" w:hint="cs"/>
          <w:color w:val="00B0F0"/>
          <w:rtl/>
        </w:rPr>
        <w:t>בהג</w:t>
      </w:r>
      <w:r w:rsidR="009334FF">
        <w:rPr>
          <w:rFonts w:cs="Arial"/>
          <w:color w:val="00B0F0"/>
          <w:rtl/>
        </w:rPr>
        <w:t>"</w:t>
      </w:r>
      <w:r w:rsidR="009334FF">
        <w:rPr>
          <w:rFonts w:cs="Arial" w:hint="cs"/>
          <w:color w:val="00B0F0"/>
          <w:rtl/>
        </w:rPr>
        <w:t>ה</w:t>
      </w:r>
      <w:r w:rsidRPr="00EB4A74">
        <w:rPr>
          <w:rFonts w:cs="Arial" w:hint="cs"/>
          <w:color w:val="00B0F0"/>
          <w:rtl/>
        </w:rPr>
        <w:t>)</w:t>
      </w:r>
    </w:p>
  </w:footnote>
  <w:footnote w:id="1006">
    <w:p w14:paraId="7406179C" w14:textId="77777777" w:rsidR="00FA2119" w:rsidRDefault="00FA2119" w:rsidP="00FA2119">
      <w:pPr>
        <w:pStyle w:val="a5"/>
      </w:pPr>
      <w:r>
        <w:rPr>
          <w:rStyle w:val="a7"/>
        </w:rPr>
        <w:footnoteRef/>
      </w:r>
      <w:r>
        <w:rPr>
          <w:rtl/>
        </w:rPr>
        <w:t xml:space="preserve"> </w:t>
      </w:r>
      <w:r>
        <w:rPr>
          <w:rFonts w:hint="cs"/>
          <w:rtl/>
        </w:rPr>
        <w:t xml:space="preserve">וכ"כ </w:t>
      </w:r>
      <w:r w:rsidRPr="00BB2FEA">
        <w:rPr>
          <w:rFonts w:cs="Arial" w:hint="cs"/>
          <w:rtl/>
        </w:rPr>
        <w:t>מרדכי</w:t>
      </w:r>
      <w:r w:rsidRPr="00BB2FEA">
        <w:rPr>
          <w:rFonts w:cs="Arial"/>
          <w:rtl/>
        </w:rPr>
        <w:t xml:space="preserve"> </w:t>
      </w:r>
      <w:r w:rsidRPr="007639BC">
        <w:rPr>
          <w:rFonts w:cs="Arial"/>
          <w:sz w:val="16"/>
          <w:szCs w:val="16"/>
          <w:rtl/>
        </w:rPr>
        <w:t>(</w:t>
      </w:r>
      <w:r w:rsidRPr="007639BC">
        <w:rPr>
          <w:rFonts w:cs="Arial" w:hint="cs"/>
          <w:sz w:val="16"/>
          <w:szCs w:val="16"/>
          <w:rtl/>
        </w:rPr>
        <w:t>סי</w:t>
      </w:r>
      <w:r w:rsidRPr="007639BC">
        <w:rPr>
          <w:rFonts w:cs="Arial"/>
          <w:sz w:val="16"/>
          <w:szCs w:val="16"/>
          <w:rtl/>
        </w:rPr>
        <w:t xml:space="preserve">' </w:t>
      </w:r>
      <w:r w:rsidRPr="007639BC">
        <w:rPr>
          <w:rFonts w:cs="Arial" w:hint="cs"/>
          <w:sz w:val="16"/>
          <w:szCs w:val="16"/>
          <w:rtl/>
        </w:rPr>
        <w:t>תנד</w:t>
      </w:r>
      <w:r w:rsidRPr="007639BC">
        <w:rPr>
          <w:rFonts w:cs="Arial"/>
          <w:sz w:val="16"/>
          <w:szCs w:val="16"/>
          <w:rtl/>
        </w:rPr>
        <w:t xml:space="preserve">) </w:t>
      </w:r>
      <w:r w:rsidRPr="00BB2FEA">
        <w:rPr>
          <w:rFonts w:cs="Arial" w:hint="cs"/>
          <w:rtl/>
        </w:rPr>
        <w:t>וכל</w:t>
      </w:r>
      <w:r w:rsidRPr="00BB2FEA">
        <w:rPr>
          <w:rFonts w:cs="Arial"/>
          <w:rtl/>
        </w:rPr>
        <w:t xml:space="preserve"> </w:t>
      </w:r>
      <w:r w:rsidRPr="00BB2FEA">
        <w:rPr>
          <w:rFonts w:cs="Arial" w:hint="cs"/>
          <w:rtl/>
        </w:rPr>
        <w:t>בו</w:t>
      </w:r>
      <w:r w:rsidRPr="00BB2FEA">
        <w:rPr>
          <w:rFonts w:cs="Arial"/>
          <w:rtl/>
        </w:rPr>
        <w:t xml:space="preserve"> </w:t>
      </w:r>
      <w:r w:rsidRPr="007639BC">
        <w:rPr>
          <w:rFonts w:cs="Arial"/>
          <w:sz w:val="16"/>
          <w:szCs w:val="16"/>
          <w:rtl/>
        </w:rPr>
        <w:t>(</w:t>
      </w:r>
      <w:r w:rsidRPr="007639BC">
        <w:rPr>
          <w:rFonts w:cs="Arial" w:hint="cs"/>
          <w:sz w:val="16"/>
          <w:szCs w:val="16"/>
          <w:rtl/>
        </w:rPr>
        <w:t>שם</w:t>
      </w:r>
      <w:r w:rsidRPr="007639BC">
        <w:rPr>
          <w:rFonts w:cs="Arial"/>
          <w:sz w:val="16"/>
          <w:szCs w:val="16"/>
          <w:rtl/>
        </w:rPr>
        <w:t xml:space="preserve"> </w:t>
      </w:r>
      <w:r w:rsidRPr="007639BC">
        <w:rPr>
          <w:rFonts w:cs="Arial" w:hint="cs"/>
          <w:sz w:val="16"/>
          <w:szCs w:val="16"/>
          <w:rtl/>
        </w:rPr>
        <w:t>מז</w:t>
      </w:r>
      <w:r w:rsidRPr="007639BC">
        <w:rPr>
          <w:rFonts w:cs="Arial"/>
          <w:sz w:val="16"/>
          <w:szCs w:val="16"/>
          <w:rtl/>
        </w:rPr>
        <w:t xml:space="preserve"> </w:t>
      </w:r>
      <w:r w:rsidRPr="007639BC">
        <w:rPr>
          <w:rFonts w:cs="Arial" w:hint="cs"/>
          <w:sz w:val="16"/>
          <w:szCs w:val="16"/>
          <w:rtl/>
        </w:rPr>
        <w:t>ע</w:t>
      </w:r>
      <w:r w:rsidRPr="007639BC">
        <w:rPr>
          <w:rFonts w:cs="Arial"/>
          <w:sz w:val="16"/>
          <w:szCs w:val="16"/>
          <w:rtl/>
        </w:rPr>
        <w:t>"</w:t>
      </w:r>
      <w:r w:rsidRPr="007639BC">
        <w:rPr>
          <w:rFonts w:cs="Arial" w:hint="cs"/>
          <w:sz w:val="16"/>
          <w:szCs w:val="16"/>
          <w:rtl/>
        </w:rPr>
        <w:t>ד</w:t>
      </w:r>
      <w:r w:rsidRPr="007639BC">
        <w:rPr>
          <w:rFonts w:cs="Arial"/>
          <w:sz w:val="16"/>
          <w:szCs w:val="16"/>
          <w:rtl/>
        </w:rPr>
        <w:t>)</w:t>
      </w:r>
      <w:r>
        <w:rPr>
          <w:rFonts w:cs="Arial" w:hint="cs"/>
          <w:sz w:val="16"/>
          <w:szCs w:val="16"/>
          <w:rtl/>
        </w:rPr>
        <w:t xml:space="preserve"> </w:t>
      </w:r>
      <w:r w:rsidRPr="00476384">
        <w:rPr>
          <w:rFonts w:cs="Arial" w:hint="cs"/>
          <w:rtl/>
        </w:rPr>
        <w:t>בחד יו"ד.</w:t>
      </w:r>
    </w:p>
  </w:footnote>
  <w:footnote w:id="1007">
    <w:p w14:paraId="28C4A746" w14:textId="3E5DBB31" w:rsidR="00FA2119" w:rsidRPr="0086400C" w:rsidRDefault="00FA2119" w:rsidP="00FA2119">
      <w:pPr>
        <w:pStyle w:val="a5"/>
        <w:rPr>
          <w:rFonts w:cs="Arial"/>
          <w:sz w:val="16"/>
          <w:szCs w:val="16"/>
        </w:rPr>
      </w:pPr>
      <w:r>
        <w:rPr>
          <w:rStyle w:val="a7"/>
        </w:rPr>
        <w:footnoteRef/>
      </w:r>
      <w:r w:rsidRPr="0090777D">
        <w:rPr>
          <w:rFonts w:cs="Arial"/>
          <w:rtl/>
        </w:rPr>
        <w:t xml:space="preserve"> </w:t>
      </w:r>
      <w:r w:rsidRPr="0090777D">
        <w:rPr>
          <w:rFonts w:cs="Arial" w:hint="cs"/>
          <w:rtl/>
        </w:rPr>
        <w:t>ונראה</w:t>
      </w:r>
      <w:r w:rsidRPr="0090777D">
        <w:rPr>
          <w:rFonts w:cs="Arial"/>
          <w:rtl/>
        </w:rPr>
        <w:t xml:space="preserve"> </w:t>
      </w:r>
      <w:r w:rsidRPr="0090777D">
        <w:rPr>
          <w:rFonts w:cs="Arial" w:hint="cs"/>
          <w:rtl/>
        </w:rPr>
        <w:t>לי</w:t>
      </w:r>
      <w:r w:rsidRPr="0090777D">
        <w:rPr>
          <w:rFonts w:cs="Arial"/>
          <w:rtl/>
        </w:rPr>
        <w:t xml:space="preserve"> </w:t>
      </w:r>
      <w:r w:rsidRPr="0090777D">
        <w:rPr>
          <w:rFonts w:cs="Arial" w:hint="cs"/>
          <w:rtl/>
        </w:rPr>
        <w:t>דמהאי</w:t>
      </w:r>
      <w:r w:rsidRPr="0090777D">
        <w:rPr>
          <w:rFonts w:cs="Arial"/>
          <w:rtl/>
        </w:rPr>
        <w:t xml:space="preserve"> </w:t>
      </w:r>
      <w:r w:rsidRPr="0090777D">
        <w:rPr>
          <w:rFonts w:cs="Arial" w:hint="cs"/>
          <w:rtl/>
        </w:rPr>
        <w:t>חששא</w:t>
      </w:r>
      <w:r w:rsidRPr="0090777D">
        <w:rPr>
          <w:rFonts w:cs="Arial"/>
          <w:rtl/>
        </w:rPr>
        <w:t xml:space="preserve"> </w:t>
      </w:r>
      <w:r w:rsidRPr="0090777D">
        <w:rPr>
          <w:rFonts w:cs="Arial" w:hint="cs"/>
          <w:rtl/>
        </w:rPr>
        <w:t>נשתרבב</w:t>
      </w:r>
      <w:r w:rsidRPr="0090777D">
        <w:rPr>
          <w:rFonts w:cs="Arial"/>
          <w:rtl/>
        </w:rPr>
        <w:t xml:space="preserve"> </w:t>
      </w:r>
      <w:r w:rsidRPr="0090777D">
        <w:rPr>
          <w:rFonts w:cs="Arial" w:hint="cs"/>
          <w:rtl/>
        </w:rPr>
        <w:t>המנהג</w:t>
      </w:r>
      <w:r w:rsidRPr="0090777D">
        <w:rPr>
          <w:rFonts w:cs="Arial"/>
          <w:rtl/>
        </w:rPr>
        <w:t xml:space="preserve"> </w:t>
      </w:r>
      <w:r w:rsidRPr="0090777D">
        <w:rPr>
          <w:rFonts w:cs="Arial" w:hint="cs"/>
          <w:rtl/>
        </w:rPr>
        <w:t>לכתוב</w:t>
      </w:r>
      <w:r w:rsidRPr="0090777D">
        <w:rPr>
          <w:rFonts w:cs="Arial"/>
          <w:rtl/>
        </w:rPr>
        <w:t xml:space="preserve"> </w:t>
      </w:r>
      <w:r w:rsidRPr="0090777D">
        <w:rPr>
          <w:rFonts w:cs="Arial" w:hint="cs"/>
          <w:rtl/>
        </w:rPr>
        <w:t>בגט</w:t>
      </w:r>
      <w:r w:rsidRPr="0090777D">
        <w:rPr>
          <w:rFonts w:cs="Arial"/>
          <w:rtl/>
        </w:rPr>
        <w:t xml:space="preserve"> </w:t>
      </w:r>
      <w:r w:rsidRPr="0090777D">
        <w:rPr>
          <w:rFonts w:cs="Arial" w:hint="cs"/>
          <w:rtl/>
        </w:rPr>
        <w:t>ב</w:t>
      </w:r>
      <w:r w:rsidRPr="0090777D">
        <w:rPr>
          <w:rFonts w:cs="Arial"/>
          <w:rtl/>
        </w:rPr>
        <w:t xml:space="preserve">' </w:t>
      </w:r>
      <w:r w:rsidRPr="0090777D">
        <w:rPr>
          <w:rFonts w:cs="Arial" w:hint="cs"/>
          <w:rtl/>
        </w:rPr>
        <w:t>נהרות</w:t>
      </w:r>
      <w:r>
        <w:rPr>
          <w:rFonts w:cs="Arial" w:hint="cs"/>
          <w:rtl/>
        </w:rPr>
        <w:t>,</w:t>
      </w:r>
      <w:r w:rsidRPr="0090777D">
        <w:rPr>
          <w:rFonts w:cs="Arial"/>
          <w:rtl/>
        </w:rPr>
        <w:t xml:space="preserve"> </w:t>
      </w:r>
      <w:r w:rsidRPr="0090777D">
        <w:rPr>
          <w:rFonts w:cs="Arial" w:hint="cs"/>
          <w:rtl/>
        </w:rPr>
        <w:t>דתו</w:t>
      </w:r>
      <w:r w:rsidRPr="0090777D">
        <w:rPr>
          <w:rFonts w:cs="Arial"/>
          <w:rtl/>
        </w:rPr>
        <w:t xml:space="preserve"> </w:t>
      </w:r>
      <w:r w:rsidRPr="0090777D">
        <w:rPr>
          <w:rFonts w:cs="Arial" w:hint="cs"/>
          <w:rtl/>
        </w:rPr>
        <w:t>ליכא</w:t>
      </w:r>
      <w:r w:rsidRPr="0090777D">
        <w:rPr>
          <w:rFonts w:cs="Arial"/>
          <w:rtl/>
        </w:rPr>
        <w:t xml:space="preserve"> </w:t>
      </w:r>
      <w:r w:rsidRPr="0090777D">
        <w:rPr>
          <w:rFonts w:cs="Arial" w:hint="cs"/>
          <w:rtl/>
        </w:rPr>
        <w:t>למיחש</w:t>
      </w:r>
      <w:r w:rsidRPr="0090777D">
        <w:rPr>
          <w:rFonts w:cs="Arial"/>
          <w:rtl/>
        </w:rPr>
        <w:t xml:space="preserve"> </w:t>
      </w:r>
      <w:r w:rsidRPr="0090777D">
        <w:rPr>
          <w:rFonts w:cs="Arial" w:hint="cs"/>
          <w:rtl/>
        </w:rPr>
        <w:t>דמתרמי</w:t>
      </w:r>
      <w:r w:rsidRPr="0090777D">
        <w:rPr>
          <w:rFonts w:cs="Arial"/>
          <w:rtl/>
        </w:rPr>
        <w:t xml:space="preserve"> </w:t>
      </w:r>
      <w:r w:rsidRPr="0090777D">
        <w:rPr>
          <w:rFonts w:cs="Arial" w:hint="cs"/>
          <w:rtl/>
        </w:rPr>
        <w:t>כולי</w:t>
      </w:r>
      <w:r w:rsidRPr="0090777D">
        <w:rPr>
          <w:rFonts w:cs="Arial"/>
          <w:rtl/>
        </w:rPr>
        <w:t xml:space="preserve"> </w:t>
      </w:r>
      <w:r w:rsidRPr="0090777D">
        <w:rPr>
          <w:rFonts w:cs="Arial" w:hint="cs"/>
          <w:rtl/>
        </w:rPr>
        <w:t>האי</w:t>
      </w:r>
      <w:r w:rsidRPr="0090777D">
        <w:rPr>
          <w:rFonts w:cs="Arial"/>
          <w:rtl/>
        </w:rPr>
        <w:t xml:space="preserve"> </w:t>
      </w:r>
      <w:r w:rsidRPr="0090777D">
        <w:rPr>
          <w:rFonts w:cs="Arial" w:hint="cs"/>
          <w:rtl/>
        </w:rPr>
        <w:t>שתהא</w:t>
      </w:r>
      <w:r w:rsidRPr="0090777D">
        <w:rPr>
          <w:rFonts w:cs="Arial"/>
          <w:rtl/>
        </w:rPr>
        <w:t xml:space="preserve"> </w:t>
      </w:r>
      <w:r w:rsidRPr="0090777D">
        <w:rPr>
          <w:rFonts w:cs="Arial" w:hint="cs"/>
          <w:rtl/>
        </w:rPr>
        <w:t>עיר</w:t>
      </w:r>
      <w:r w:rsidRPr="0090777D">
        <w:rPr>
          <w:rFonts w:cs="Arial"/>
          <w:rtl/>
        </w:rPr>
        <w:t xml:space="preserve"> </w:t>
      </w:r>
      <w:r w:rsidRPr="0090777D">
        <w:rPr>
          <w:rFonts w:cs="Arial" w:hint="cs"/>
          <w:rtl/>
        </w:rPr>
        <w:t>אחרת</w:t>
      </w:r>
      <w:r w:rsidRPr="0090777D">
        <w:rPr>
          <w:rFonts w:cs="Arial"/>
          <w:rtl/>
        </w:rPr>
        <w:t xml:space="preserve"> </w:t>
      </w:r>
      <w:r w:rsidRPr="0090777D">
        <w:rPr>
          <w:rFonts w:cs="Arial" w:hint="cs"/>
          <w:rtl/>
        </w:rPr>
        <w:t>עם</w:t>
      </w:r>
      <w:r w:rsidRPr="0090777D">
        <w:rPr>
          <w:rFonts w:cs="Arial"/>
          <w:rtl/>
        </w:rPr>
        <w:t xml:space="preserve"> </w:t>
      </w:r>
      <w:r w:rsidRPr="0090777D">
        <w:rPr>
          <w:rFonts w:cs="Arial" w:hint="cs"/>
          <w:rtl/>
        </w:rPr>
        <w:t>ב</w:t>
      </w:r>
      <w:r w:rsidRPr="0090777D">
        <w:rPr>
          <w:rFonts w:cs="Arial"/>
          <w:rtl/>
        </w:rPr>
        <w:t xml:space="preserve">' </w:t>
      </w:r>
      <w:r w:rsidRPr="0090777D">
        <w:rPr>
          <w:rFonts w:cs="Arial" w:hint="cs"/>
          <w:rtl/>
        </w:rPr>
        <w:t>נהרות</w:t>
      </w:r>
      <w:r w:rsidRPr="0090777D">
        <w:rPr>
          <w:rFonts w:cs="Arial"/>
          <w:rtl/>
        </w:rPr>
        <w:t xml:space="preserve"> </w:t>
      </w:r>
      <w:r w:rsidRPr="0090777D">
        <w:rPr>
          <w:rFonts w:cs="Arial" w:hint="cs"/>
          <w:rtl/>
        </w:rPr>
        <w:t>נקראים</w:t>
      </w:r>
      <w:r w:rsidRPr="0090777D">
        <w:rPr>
          <w:rFonts w:cs="Arial"/>
          <w:rtl/>
        </w:rPr>
        <w:t xml:space="preserve"> </w:t>
      </w:r>
      <w:r w:rsidRPr="0090777D">
        <w:rPr>
          <w:rFonts w:cs="Arial" w:hint="cs"/>
          <w:rtl/>
        </w:rPr>
        <w:t>כן</w:t>
      </w:r>
      <w:r w:rsidRPr="0090777D">
        <w:rPr>
          <w:rFonts w:cs="Arial"/>
          <w:rtl/>
        </w:rPr>
        <w:t xml:space="preserve">. </w:t>
      </w:r>
      <w:r w:rsidRPr="0090777D">
        <w:rPr>
          <w:rFonts w:cs="Arial" w:hint="cs"/>
          <w:rtl/>
        </w:rPr>
        <w:t>מיהו</w:t>
      </w:r>
      <w:r w:rsidRPr="0090777D">
        <w:rPr>
          <w:rFonts w:cs="Arial"/>
          <w:rtl/>
        </w:rPr>
        <w:t xml:space="preserve"> </w:t>
      </w:r>
      <w:r w:rsidRPr="0090777D">
        <w:rPr>
          <w:rFonts w:cs="Arial" w:hint="cs"/>
          <w:rtl/>
        </w:rPr>
        <w:t>במקום</w:t>
      </w:r>
      <w:r w:rsidRPr="0090777D">
        <w:rPr>
          <w:rFonts w:cs="Arial"/>
          <w:rtl/>
        </w:rPr>
        <w:t xml:space="preserve"> </w:t>
      </w:r>
      <w:r w:rsidRPr="0090777D">
        <w:rPr>
          <w:rFonts w:cs="Arial" w:hint="cs"/>
          <w:rtl/>
        </w:rPr>
        <w:t>דליכא</w:t>
      </w:r>
      <w:r w:rsidRPr="0090777D">
        <w:rPr>
          <w:rFonts w:cs="Arial"/>
          <w:rtl/>
        </w:rPr>
        <w:t xml:space="preserve"> </w:t>
      </w:r>
      <w:r w:rsidRPr="0090777D">
        <w:rPr>
          <w:rFonts w:cs="Arial" w:hint="cs"/>
          <w:rtl/>
        </w:rPr>
        <w:t>ב</w:t>
      </w:r>
      <w:r w:rsidRPr="0090777D">
        <w:rPr>
          <w:rFonts w:cs="Arial"/>
          <w:rtl/>
        </w:rPr>
        <w:t xml:space="preserve">' </w:t>
      </w:r>
      <w:r w:rsidRPr="0090777D">
        <w:rPr>
          <w:rFonts w:cs="Arial" w:hint="cs"/>
          <w:rtl/>
        </w:rPr>
        <w:t>נהרות</w:t>
      </w:r>
      <w:r w:rsidRPr="0090777D">
        <w:rPr>
          <w:rFonts w:cs="Arial"/>
          <w:rtl/>
        </w:rPr>
        <w:t xml:space="preserve"> </w:t>
      </w:r>
      <w:r w:rsidRPr="0090777D">
        <w:rPr>
          <w:rFonts w:cs="Arial" w:hint="cs"/>
          <w:rtl/>
        </w:rPr>
        <w:t>ואיכא</w:t>
      </w:r>
      <w:r w:rsidRPr="0090777D">
        <w:rPr>
          <w:rFonts w:cs="Arial"/>
          <w:rtl/>
        </w:rPr>
        <w:t xml:space="preserve"> </w:t>
      </w:r>
      <w:r w:rsidRPr="0090777D">
        <w:rPr>
          <w:rFonts w:cs="Arial" w:hint="cs"/>
          <w:rtl/>
        </w:rPr>
        <w:t>למיחש</w:t>
      </w:r>
      <w:r w:rsidRPr="0090777D">
        <w:rPr>
          <w:rFonts w:cs="Arial"/>
          <w:rtl/>
        </w:rPr>
        <w:t xml:space="preserve"> </w:t>
      </w:r>
      <w:r w:rsidRPr="0090777D">
        <w:rPr>
          <w:rFonts w:cs="Arial" w:hint="cs"/>
          <w:rtl/>
        </w:rPr>
        <w:t>לעיגון</w:t>
      </w:r>
      <w:r w:rsidRPr="0090777D">
        <w:rPr>
          <w:rFonts w:cs="Arial"/>
          <w:rtl/>
        </w:rPr>
        <w:t xml:space="preserve"> </w:t>
      </w:r>
      <w:r w:rsidRPr="0090777D">
        <w:rPr>
          <w:rFonts w:cs="Arial" w:hint="cs"/>
          <w:rtl/>
        </w:rPr>
        <w:t>או</w:t>
      </w:r>
      <w:r w:rsidRPr="0090777D">
        <w:rPr>
          <w:rFonts w:cs="Arial"/>
          <w:rtl/>
        </w:rPr>
        <w:t xml:space="preserve"> </w:t>
      </w:r>
      <w:r w:rsidRPr="0090777D">
        <w:rPr>
          <w:rFonts w:cs="Arial" w:hint="cs"/>
          <w:rtl/>
        </w:rPr>
        <w:t>בדיעבד</w:t>
      </w:r>
      <w:r w:rsidRPr="0090777D">
        <w:rPr>
          <w:rFonts w:cs="Arial"/>
          <w:rtl/>
        </w:rPr>
        <w:t xml:space="preserve"> </w:t>
      </w:r>
      <w:r>
        <w:rPr>
          <w:rFonts w:cs="Arial" w:hint="cs"/>
          <w:rtl/>
        </w:rPr>
        <w:t xml:space="preserve">- </w:t>
      </w:r>
      <w:r w:rsidRPr="0090777D">
        <w:rPr>
          <w:rFonts w:cs="Arial" w:hint="cs"/>
          <w:rtl/>
        </w:rPr>
        <w:t>אין</w:t>
      </w:r>
      <w:r w:rsidRPr="0090777D">
        <w:rPr>
          <w:rFonts w:cs="Arial"/>
          <w:rtl/>
        </w:rPr>
        <w:t xml:space="preserve"> </w:t>
      </w:r>
      <w:r w:rsidRPr="0090777D">
        <w:rPr>
          <w:rFonts w:cs="Arial" w:hint="cs"/>
          <w:rtl/>
        </w:rPr>
        <w:t>לחוש</w:t>
      </w:r>
      <w:r>
        <w:rPr>
          <w:rFonts w:cs="Arial" w:hint="cs"/>
          <w:rtl/>
        </w:rPr>
        <w:t xml:space="preserve">..., </w:t>
      </w:r>
      <w:r w:rsidRPr="0086400C">
        <w:rPr>
          <w:rFonts w:cs="Arial" w:hint="cs"/>
          <w:b/>
          <w:bCs/>
          <w:rtl/>
        </w:rPr>
        <w:t xml:space="preserve">דרכ"מ </w:t>
      </w:r>
      <w:r>
        <w:rPr>
          <w:rFonts w:cs="Arial" w:hint="cs"/>
          <w:rtl/>
        </w:rPr>
        <w:t>(אות יח)</w:t>
      </w:r>
      <w:r w:rsidRPr="0090777D">
        <w:rPr>
          <w:rFonts w:cs="Arial"/>
          <w:rtl/>
        </w:rPr>
        <w:t>.</w:t>
      </w:r>
      <w:r w:rsidRPr="0086400C">
        <w:rPr>
          <w:rFonts w:cs="Arial"/>
          <w:rtl/>
        </w:rPr>
        <w:t xml:space="preserve"> </w:t>
      </w:r>
      <w:r>
        <w:rPr>
          <w:rFonts w:cs="Arial"/>
          <w:rtl/>
        </w:rPr>
        <w:t xml:space="preserve">ועיין בתשו' </w:t>
      </w:r>
      <w:r w:rsidRPr="0086400C">
        <w:rPr>
          <w:rFonts w:cs="Arial"/>
          <w:b/>
          <w:bCs/>
          <w:rtl/>
        </w:rPr>
        <w:t xml:space="preserve">נו"ב </w:t>
      </w:r>
      <w:r>
        <w:rPr>
          <w:rFonts w:cs="Arial" w:hint="cs"/>
          <w:rtl/>
        </w:rPr>
        <w:t>(</w:t>
      </w:r>
      <w:r>
        <w:rPr>
          <w:rFonts w:cs="Arial"/>
          <w:rtl/>
        </w:rPr>
        <w:t>סי' פו</w:t>
      </w:r>
      <w:r>
        <w:rPr>
          <w:rFonts w:cs="Arial" w:hint="cs"/>
          <w:rtl/>
        </w:rPr>
        <w:t>)</w:t>
      </w:r>
      <w:r>
        <w:rPr>
          <w:rFonts w:cs="Arial"/>
          <w:rtl/>
        </w:rPr>
        <w:t xml:space="preserve"> דמדהשמיט הרמ"א ז"ל ולא הביאו </w:t>
      </w:r>
      <w:r w:rsidR="009334FF">
        <w:rPr>
          <w:rFonts w:cs="Arial"/>
          <w:rtl/>
        </w:rPr>
        <w:t>בהג"ה</w:t>
      </w:r>
      <w:r>
        <w:rPr>
          <w:rFonts w:cs="Arial"/>
          <w:rtl/>
        </w:rPr>
        <w:t>ת ש"ע מכלל דלא הוה ברור לי' מנהג זה כ"כ</w:t>
      </w:r>
      <w:r>
        <w:rPr>
          <w:rFonts w:cs="Arial" w:hint="cs"/>
          <w:rtl/>
        </w:rPr>
        <w:t>.</w:t>
      </w:r>
      <w:r>
        <w:rPr>
          <w:rFonts w:cs="Arial"/>
          <w:rtl/>
        </w:rPr>
        <w:t xml:space="preserve"> והאריך להביא ראיה דא"צ לחוש לחומרא זו</w:t>
      </w:r>
      <w:r>
        <w:rPr>
          <w:rFonts w:cs="Arial" w:hint="cs"/>
          <w:rtl/>
        </w:rPr>
        <w:t>.</w:t>
      </w:r>
      <w:r>
        <w:rPr>
          <w:rFonts w:cs="Arial"/>
          <w:rtl/>
        </w:rPr>
        <w:t xml:space="preserve"> ומסיק אמנם חלילה לנו להורות כ"כ בנקל נגד תורת משה הוא הרב רמ"א ז"ל היכא שיש להמציא תקנה אחרת</w:t>
      </w:r>
      <w:r>
        <w:rPr>
          <w:rFonts w:cs="Arial" w:hint="cs"/>
          <w:rtl/>
        </w:rPr>
        <w:t>,</w:t>
      </w:r>
      <w:r>
        <w:rPr>
          <w:rFonts w:cs="Arial"/>
          <w:rtl/>
        </w:rPr>
        <w:t xml:space="preserve"> לכן נראה שעיקר הטעם שיהי' שני סימנים וא"כ אם יש נהר א' וגם שאר מעינות ג"כ מיחשב ב' סימנים וכותבין דיתבא על נהר פ' ועל מי מעינות</w:t>
      </w:r>
      <w:r>
        <w:rPr>
          <w:rFonts w:cs="Arial" w:hint="cs"/>
          <w:rtl/>
        </w:rPr>
        <w:t>,</w:t>
      </w:r>
      <w:r>
        <w:rPr>
          <w:rFonts w:cs="Arial"/>
          <w:rtl/>
        </w:rPr>
        <w:t xml:space="preserve"> וכן אם ימצא עיר שיש בה רק נהר א' ולא שום מעינות </w:t>
      </w:r>
      <w:r w:rsidRPr="0086400C">
        <w:rPr>
          <w:rFonts w:cs="Arial"/>
          <w:sz w:val="16"/>
          <w:szCs w:val="16"/>
          <w:rtl/>
        </w:rPr>
        <w:t xml:space="preserve">(וה"ה כשאין שם שום נהר רק שיש שם מעינות ובארות. כן מבואר בנו"ב תניינא ס"ס קטז) </w:t>
      </w:r>
      <w:r>
        <w:rPr>
          <w:rFonts w:cs="Arial"/>
          <w:rtl/>
        </w:rPr>
        <w:t xml:space="preserve">רק שיש להעיר שם אחר בל' האומות באופן שצריך לכתוב מתא פ' דמתקריא פ' אף שיש נהר א' סגי דמה דמתקרי בשם האחר הוא סימן והנהר הוי סימן הב' והעלה כן הלכה למעשה ע"ש. גם בתשו' </w:t>
      </w:r>
      <w:r w:rsidRPr="0086400C">
        <w:rPr>
          <w:rFonts w:cs="Arial"/>
          <w:b/>
          <w:bCs/>
          <w:rtl/>
        </w:rPr>
        <w:t xml:space="preserve">רבינו עקיבא איגר </w:t>
      </w:r>
      <w:r>
        <w:rPr>
          <w:rFonts w:cs="Arial" w:hint="cs"/>
          <w:rtl/>
        </w:rPr>
        <w:t>(</w:t>
      </w:r>
      <w:r>
        <w:rPr>
          <w:rFonts w:cs="Arial"/>
          <w:rtl/>
        </w:rPr>
        <w:t>סי' קטו</w:t>
      </w:r>
      <w:r>
        <w:rPr>
          <w:rFonts w:cs="Arial" w:hint="cs"/>
          <w:rtl/>
        </w:rPr>
        <w:t>)</w:t>
      </w:r>
      <w:r>
        <w:rPr>
          <w:rFonts w:cs="Arial"/>
          <w:rtl/>
        </w:rPr>
        <w:t xml:space="preserve"> כתב דיסוד הדין דאין לכתוב גט בעיר שיש לו רק נהר אחד הוא חומרא גדולה והרמ"א </w:t>
      </w:r>
      <w:r w:rsidR="009334FF">
        <w:rPr>
          <w:rFonts w:cs="Arial"/>
          <w:rtl/>
        </w:rPr>
        <w:t>ב</w:t>
      </w:r>
      <w:r w:rsidR="00DB737E">
        <w:rPr>
          <w:rFonts w:cs="Arial"/>
          <w:rtl/>
        </w:rPr>
        <w:t>הגהות</w:t>
      </w:r>
      <w:r>
        <w:rPr>
          <w:rFonts w:cs="Arial"/>
          <w:rtl/>
        </w:rPr>
        <w:t xml:space="preserve">יו השמיטו א"כ הרשות נתונה לומר דדברי הד"מ רק בעיר שאין לה מעינות ובארות וא"א לסמן רק בנהר בזה בעי ב' נהרות אבל בנ"ד שיש ג"כ מעינות ובארות יש לומר דמספיק בסימן נהר א' ומעינות ע"ש. ועי' בס' </w:t>
      </w:r>
      <w:r w:rsidRPr="0086400C">
        <w:rPr>
          <w:rFonts w:cs="Arial"/>
          <w:b/>
          <w:bCs/>
          <w:rtl/>
        </w:rPr>
        <w:t xml:space="preserve">בית מאיר </w:t>
      </w:r>
      <w:r>
        <w:rPr>
          <w:rFonts w:cs="Arial" w:hint="cs"/>
          <w:rtl/>
        </w:rPr>
        <w:t>(</w:t>
      </w:r>
      <w:r>
        <w:rPr>
          <w:rFonts w:cs="Arial"/>
          <w:rtl/>
        </w:rPr>
        <w:t>ס"ד</w:t>
      </w:r>
      <w:r>
        <w:rPr>
          <w:rFonts w:cs="Arial" w:hint="cs"/>
          <w:rtl/>
        </w:rPr>
        <w:t>)</w:t>
      </w:r>
      <w:r>
        <w:rPr>
          <w:rFonts w:cs="Arial"/>
          <w:rtl/>
        </w:rPr>
        <w:t xml:space="preserve"> שכ' ואני מעיד שראיתי מסדרי גיטין בכל יום בק"ק ליסא ואין שם שום נהר כ"א מי מעינות ובלי ספק משום דכל שעת הדחק כדיעבד ואם בקהילה תמיד יצטרכו ללכת אל עיר אחרת לסדר גיטין אין לך שעת הדחק גדול מזה וגם לפעמים יתרמי ע"י זה עיגון והוי כדיעבד גמור ע"ש גם בס' גט מקושר אות ק"ח דעתו להקל בזה ע"ש</w:t>
      </w:r>
      <w:r>
        <w:rPr>
          <w:rFonts w:hint="cs"/>
          <w:rtl/>
        </w:rPr>
        <w:t>,</w:t>
      </w:r>
      <w:r w:rsidRPr="0086400C">
        <w:rPr>
          <w:rFonts w:hint="cs"/>
          <w:b/>
          <w:bCs/>
          <w:rtl/>
        </w:rPr>
        <w:t xml:space="preserve"> פת"ש</w:t>
      </w:r>
      <w:r>
        <w:rPr>
          <w:rFonts w:hint="cs"/>
          <w:rtl/>
        </w:rPr>
        <w:t xml:space="preserve"> (סקל"ג).</w:t>
      </w:r>
    </w:p>
  </w:footnote>
  <w:footnote w:id="1008">
    <w:p w14:paraId="1B51E127" w14:textId="77777777" w:rsidR="00FA2119" w:rsidRDefault="00FA2119" w:rsidP="00FA2119">
      <w:pPr>
        <w:pStyle w:val="a5"/>
        <w:rPr>
          <w:rtl/>
        </w:rPr>
      </w:pPr>
      <w:r>
        <w:rPr>
          <w:rStyle w:val="a7"/>
        </w:rPr>
        <w:footnoteRef/>
      </w:r>
      <w:r>
        <w:rPr>
          <w:rtl/>
        </w:rPr>
        <w:t xml:space="preserve"> </w:t>
      </w:r>
      <w:r>
        <w:rPr>
          <w:rFonts w:cs="Arial"/>
          <w:rtl/>
        </w:rPr>
        <w:t>כ' בג"פ סקל"ה לכתחלה יש לכתוב סדר הנהרות כסדר שנהגו ראשון ראשון ואחרון אחרון ובדיעבד ששינה סדרן אין להקפיד ומסתברא דנהר שמסתפקין בו ביותר יזכירנו קודם</w:t>
      </w:r>
      <w:r>
        <w:rPr>
          <w:rFonts w:hint="cs"/>
          <w:rtl/>
        </w:rPr>
        <w:t>, פת"ש (סקי"ח).</w:t>
      </w:r>
    </w:p>
  </w:footnote>
  <w:footnote w:id="1009">
    <w:p w14:paraId="2F375BE7" w14:textId="77777777" w:rsidR="00FA2119" w:rsidRDefault="00FA2119" w:rsidP="00FA2119">
      <w:pPr>
        <w:pStyle w:val="a5"/>
        <w:rPr>
          <w:rtl/>
        </w:rPr>
      </w:pPr>
      <w:r>
        <w:rPr>
          <w:rStyle w:val="a7"/>
        </w:rPr>
        <w:footnoteRef/>
      </w:r>
      <w:r>
        <w:rPr>
          <w:rtl/>
        </w:rPr>
        <w:t xml:space="preserve"> </w:t>
      </w:r>
      <w:r>
        <w:rPr>
          <w:rFonts w:cs="Arial"/>
          <w:rtl/>
        </w:rPr>
        <w:t xml:space="preserve">כ' בג"פ </w:t>
      </w:r>
      <w:r>
        <w:rPr>
          <w:rFonts w:cs="Arial" w:hint="cs"/>
          <w:rtl/>
        </w:rPr>
        <w:t>(</w:t>
      </w:r>
      <w:r>
        <w:rPr>
          <w:rFonts w:cs="Arial"/>
          <w:rtl/>
        </w:rPr>
        <w:t>סקל"ו</w:t>
      </w:r>
      <w:r>
        <w:rPr>
          <w:rFonts w:cs="Arial" w:hint="cs"/>
          <w:rtl/>
        </w:rPr>
        <w:t>)</w:t>
      </w:r>
      <w:r>
        <w:rPr>
          <w:rFonts w:cs="Arial"/>
          <w:rtl/>
        </w:rPr>
        <w:t xml:space="preserve"> משמע דא"צ לכתוב על נהר רק בראשונה אמנם יש טופסי גיטין כותבין על נהר פ' ועל נהר פ' כמ"ש הרמ"א בסוף סדר הגט</w:t>
      </w:r>
      <w:r>
        <w:rPr>
          <w:rFonts w:cs="Arial" w:hint="cs"/>
          <w:rtl/>
        </w:rPr>
        <w:t>.</w:t>
      </w:r>
      <w:r>
        <w:rPr>
          <w:rFonts w:cs="Arial"/>
          <w:rtl/>
        </w:rPr>
        <w:t xml:space="preserve"> וכ"כ בטופס גט שבסמ"ק כו'</w:t>
      </w:r>
      <w:r>
        <w:rPr>
          <w:rFonts w:cs="Arial" w:hint="cs"/>
          <w:rtl/>
        </w:rPr>
        <w:t>.</w:t>
      </w:r>
      <w:r>
        <w:rPr>
          <w:rFonts w:cs="Arial"/>
          <w:rtl/>
        </w:rPr>
        <w:t xml:space="preserve"> ויש כותבין על נהרי פ' ופ' ביוד בסוף תיבת נהר כו'</w:t>
      </w:r>
      <w:r>
        <w:rPr>
          <w:rFonts w:cs="Arial" w:hint="cs"/>
          <w:rtl/>
        </w:rPr>
        <w:t>,</w:t>
      </w:r>
      <w:r>
        <w:rPr>
          <w:rFonts w:cs="Arial"/>
          <w:rtl/>
        </w:rPr>
        <w:t xml:space="preserve"> ונ"ל דהני טופסי דייקי טפי</w:t>
      </w:r>
      <w:r>
        <w:rPr>
          <w:rFonts w:cs="Arial" w:hint="cs"/>
          <w:rtl/>
        </w:rPr>
        <w:t>.</w:t>
      </w:r>
      <w:r>
        <w:rPr>
          <w:rFonts w:cs="Arial"/>
          <w:rtl/>
        </w:rPr>
        <w:t xml:space="preserve"> אבל לכתוב על נהר פ' ופ' בלא יוד כדמוכח מל' מרן יש לגמגם דאפשר שיטעה האדם לומר דנהר א' הוא שיש לו שמות הרבה עכ"ד. וע' בתשו' שארית יהודה </w:t>
      </w:r>
      <w:r>
        <w:rPr>
          <w:rFonts w:cs="Arial" w:hint="cs"/>
          <w:rtl/>
        </w:rPr>
        <w:t>(</w:t>
      </w:r>
      <w:r>
        <w:rPr>
          <w:rFonts w:cs="Arial"/>
          <w:rtl/>
        </w:rPr>
        <w:t>סי</w:t>
      </w:r>
      <w:r>
        <w:rPr>
          <w:rFonts w:cs="Arial" w:hint="cs"/>
          <w:rtl/>
        </w:rPr>
        <w:t>'</w:t>
      </w:r>
      <w:r>
        <w:rPr>
          <w:rFonts w:cs="Arial"/>
          <w:rtl/>
        </w:rPr>
        <w:t xml:space="preserve"> ט</w:t>
      </w:r>
      <w:r>
        <w:rPr>
          <w:rFonts w:cs="Arial" w:hint="cs"/>
          <w:rtl/>
        </w:rPr>
        <w:t>(</w:t>
      </w:r>
      <w:r>
        <w:rPr>
          <w:rFonts w:cs="Arial"/>
          <w:rtl/>
        </w:rPr>
        <w:t xml:space="preserve"> בגט שבא ע"י שליח מעיר שיש בו ב' נהרות ונכתב בו מתא דיתבא על נהר פ' פ' בלא ו' דמשמעותו שאין שם אלא נהר א' שנקרא בשני שמות וא"כ הוי שינוי בשם הנהר והשואל רצה להחמיר ע"פ דברי ס' מכתב מאליהו </w:t>
      </w:r>
      <w:r>
        <w:rPr>
          <w:rFonts w:cs="Arial" w:hint="cs"/>
          <w:rtl/>
        </w:rPr>
        <w:t>(</w:t>
      </w:r>
      <w:r>
        <w:rPr>
          <w:rFonts w:cs="Arial"/>
          <w:rtl/>
        </w:rPr>
        <w:t>שער ג' סי' יג</w:t>
      </w:r>
      <w:r>
        <w:rPr>
          <w:rFonts w:cs="Arial" w:hint="cs"/>
          <w:rtl/>
        </w:rPr>
        <w:t>)</w:t>
      </w:r>
      <w:r>
        <w:rPr>
          <w:rFonts w:cs="Arial"/>
          <w:rtl/>
        </w:rPr>
        <w:t xml:space="preserve"> שהחמיר בשינה שם הנהר אף במקום עיגון. והוא ז"ל האריך בזה ומסיק להכשיר הגט במקום עיגון אף שהיה זה הטעות גם במקום עמידת העדים אצל למנין שאנו מנין כאן כו' ע"ש</w:t>
      </w:r>
      <w:r>
        <w:rPr>
          <w:rFonts w:hint="cs"/>
          <w:rtl/>
        </w:rPr>
        <w:t>, פת"ש (סקי"ט).</w:t>
      </w:r>
    </w:p>
  </w:footnote>
  <w:footnote w:id="1010">
    <w:p w14:paraId="79CD7260" w14:textId="77777777" w:rsidR="00FA2119" w:rsidRDefault="00FA2119" w:rsidP="00FA2119">
      <w:pPr>
        <w:pStyle w:val="a5"/>
        <w:rPr>
          <w:rtl/>
        </w:rPr>
      </w:pPr>
      <w:r>
        <w:rPr>
          <w:rStyle w:val="a7"/>
        </w:rPr>
        <w:footnoteRef/>
      </w:r>
      <w:r>
        <w:rPr>
          <w:rtl/>
        </w:rPr>
        <w:t xml:space="preserve"> </w:t>
      </w:r>
      <w:r>
        <w:rPr>
          <w:rFonts w:cs="Arial"/>
          <w:rtl/>
        </w:rPr>
        <w:t xml:space="preserve">עיין בתשו' משכנות יעקב </w:t>
      </w:r>
      <w:r>
        <w:rPr>
          <w:rFonts w:cs="Arial" w:hint="cs"/>
          <w:rtl/>
        </w:rPr>
        <w:t>(</w:t>
      </w:r>
      <w:r>
        <w:rPr>
          <w:rFonts w:cs="Arial"/>
          <w:rtl/>
        </w:rPr>
        <w:t>סי' כד</w:t>
      </w:r>
      <w:r>
        <w:rPr>
          <w:rFonts w:cs="Arial" w:hint="cs"/>
          <w:rtl/>
        </w:rPr>
        <w:t>)</w:t>
      </w:r>
      <w:r>
        <w:rPr>
          <w:rFonts w:cs="Arial"/>
          <w:rtl/>
        </w:rPr>
        <w:t xml:space="preserve"> אודות הגט שנכתב בכפר פאזירקא סמוך לעיר אנטפאליא ופקפקו לפוסלו מחמת שהוא רחוק מן העיר יותר מן תחום שבת. והשיב דאין שום חשש בזה דבאמת מצינו כמה מקומות בש"ס דנקרא סמוך אפי' כמה פרסאות והעיקר בזה דלפי גודל הענין ולפי ערך הדבר הנסמך או הסומך ההוא יקרא סמוך לפי לשון בני אדם</w:t>
      </w:r>
      <w:r>
        <w:rPr>
          <w:rFonts w:hint="cs"/>
          <w:rtl/>
        </w:rPr>
        <w:t xml:space="preserve">..., </w:t>
      </w:r>
      <w:r w:rsidRPr="00141E45">
        <w:rPr>
          <w:rFonts w:hint="cs"/>
          <w:b/>
          <w:bCs/>
          <w:rtl/>
        </w:rPr>
        <w:t>פת"ש</w:t>
      </w:r>
      <w:r>
        <w:rPr>
          <w:rFonts w:hint="cs"/>
          <w:rtl/>
        </w:rPr>
        <w:t xml:space="preserve"> (סקכ"ד).</w:t>
      </w:r>
      <w:r w:rsidRPr="00141E45">
        <w:rPr>
          <w:rFonts w:cs="Arial"/>
          <w:rtl/>
        </w:rPr>
        <w:t xml:space="preserve"> </w:t>
      </w:r>
      <w:r>
        <w:rPr>
          <w:rFonts w:cs="Arial"/>
          <w:rtl/>
        </w:rPr>
        <w:t>ועי' בס' תו"ג שכ' דהעיקר בזה כמ"ש הג"פ (סקמ"ב) דודאי גם בזה שכתב הנהר שהוא חוץ לתחום כשר. והא דכתב הרמ"א דיש פוסלין נראה דלא כתב זה רק לטעם הא דאין כותבין אותו בגט ע"ז כ' הטעם כיון דיש פוסלין לכן יותר טוב שלא לכותבו אבל בודאי דס"ל להרמ"א שבדיעבד כשר עכ"ד</w:t>
      </w:r>
      <w:r>
        <w:rPr>
          <w:rFonts w:cs="Arial" w:hint="cs"/>
          <w:rtl/>
        </w:rPr>
        <w:t>.</w:t>
      </w:r>
      <w:r>
        <w:rPr>
          <w:rFonts w:cs="Arial"/>
          <w:rtl/>
        </w:rPr>
        <w:t xml:space="preserve"> ועיין בג"פ שם מבואר דאינו כשר אלא בעת הדחק וע' לעיל סקכ"ג. וכ' עוד הג"פ בסקמ"א דבדיעבד אם כתב הנהר שהוא חוץ לתחום והוא נראה מן העיר יש לסמוך ע"ד הרשב"א שבב"י ומהרי"ו סי' ע"א ומהריק"ש דלא חשיב שינוי</w:t>
      </w:r>
      <w:r>
        <w:rPr>
          <w:rFonts w:cs="Arial" w:hint="cs"/>
          <w:rtl/>
        </w:rPr>
        <w:t>.</w:t>
      </w:r>
      <w:r>
        <w:rPr>
          <w:rFonts w:cs="Arial"/>
          <w:rtl/>
        </w:rPr>
        <w:t xml:space="preserve"> ובפרט דיש לצרף דהכלבו ס"ל דצריך לכותבו לכתחלה</w:t>
      </w:r>
      <w:r>
        <w:rPr>
          <w:rFonts w:cs="Arial" w:hint="cs"/>
          <w:rtl/>
        </w:rPr>
        <w:t>.</w:t>
      </w:r>
      <w:r>
        <w:rPr>
          <w:rFonts w:cs="Arial"/>
          <w:rtl/>
        </w:rPr>
        <w:t xml:space="preserve"> גם יש לצרף דאפי' בשינוי גמור שם הנהר לגמרי יש מכשירין כו' ע"ש</w:t>
      </w:r>
      <w:r>
        <w:rPr>
          <w:rFonts w:cs="Arial" w:hint="cs"/>
          <w:rtl/>
        </w:rPr>
        <w:t>.</w:t>
      </w:r>
      <w:r>
        <w:rPr>
          <w:rFonts w:cs="Arial"/>
          <w:rtl/>
        </w:rPr>
        <w:t xml:space="preserve"> ונ"ל דכוונתו דבזה יש להכשיר אפי' שלא בשעת הדחק</w:t>
      </w:r>
      <w:r>
        <w:rPr>
          <w:rFonts w:hint="cs"/>
          <w:rtl/>
        </w:rPr>
        <w:t xml:space="preserve">, </w:t>
      </w:r>
      <w:r w:rsidRPr="00141E45">
        <w:rPr>
          <w:rFonts w:hint="cs"/>
          <w:b/>
          <w:bCs/>
          <w:rtl/>
        </w:rPr>
        <w:t>פת"ש</w:t>
      </w:r>
      <w:r>
        <w:rPr>
          <w:rFonts w:hint="cs"/>
          <w:rtl/>
        </w:rPr>
        <w:t xml:space="preserve"> (סקכ"ד).</w:t>
      </w:r>
    </w:p>
  </w:footnote>
  <w:footnote w:id="1011">
    <w:p w14:paraId="59A9B553" w14:textId="77777777" w:rsidR="00FA2119" w:rsidRDefault="00FA2119" w:rsidP="00FA2119">
      <w:pPr>
        <w:pStyle w:val="a5"/>
      </w:pPr>
      <w:r>
        <w:rPr>
          <w:rStyle w:val="a7"/>
        </w:rPr>
        <w:footnoteRef/>
      </w:r>
      <w:r>
        <w:rPr>
          <w:rtl/>
        </w:rPr>
        <w:t xml:space="preserve"> </w:t>
      </w:r>
      <w:r w:rsidRPr="00802B2C">
        <w:rPr>
          <w:rFonts w:cs="Arial"/>
          <w:rtl/>
        </w:rPr>
        <w:t>משמע תוך העיבור כותבים אפי' אם קצת תשמישו ממנו</w:t>
      </w:r>
      <w:r>
        <w:rPr>
          <w:rFonts w:cs="Arial" w:hint="cs"/>
          <w:rtl/>
        </w:rPr>
        <w:t>..., ב"ש (סקי"ד).</w:t>
      </w:r>
    </w:p>
  </w:footnote>
  <w:footnote w:id="1012">
    <w:p w14:paraId="5E9E1315" w14:textId="77777777" w:rsidR="00FA2119" w:rsidRDefault="00FA2119" w:rsidP="00FA2119">
      <w:pPr>
        <w:pStyle w:val="a5"/>
      </w:pPr>
      <w:r>
        <w:rPr>
          <w:rStyle w:val="a7"/>
        </w:rPr>
        <w:footnoteRef/>
      </w:r>
      <w:r>
        <w:rPr>
          <w:rtl/>
        </w:rPr>
        <w:t xml:space="preserve"> </w:t>
      </w:r>
      <w:r w:rsidRPr="00802B2C">
        <w:rPr>
          <w:rFonts w:cs="Arial"/>
          <w:rtl/>
        </w:rPr>
        <w:t>היינו משרה וכביסה וטחינה</w:t>
      </w:r>
      <w:r>
        <w:rPr>
          <w:rFonts w:cs="Arial" w:hint="cs"/>
          <w:rtl/>
        </w:rPr>
        <w:t>, ב"ש (סקט"ו).</w:t>
      </w:r>
    </w:p>
  </w:footnote>
  <w:footnote w:id="1013">
    <w:p w14:paraId="714EF5FA" w14:textId="77777777" w:rsidR="00FA2119" w:rsidRDefault="00FA2119" w:rsidP="00FA2119">
      <w:pPr>
        <w:pStyle w:val="a5"/>
      </w:pPr>
      <w:r>
        <w:rPr>
          <w:rStyle w:val="a7"/>
        </w:rPr>
        <w:footnoteRef/>
      </w:r>
      <w:r>
        <w:rPr>
          <w:rtl/>
        </w:rPr>
        <w:t xml:space="preserve"> </w:t>
      </w:r>
      <w:r>
        <w:rPr>
          <w:rFonts w:cs="Arial"/>
          <w:rtl/>
        </w:rPr>
        <w:t xml:space="preserve">ועיין בג"פ </w:t>
      </w:r>
      <w:r>
        <w:rPr>
          <w:rFonts w:cs="Arial" w:hint="cs"/>
          <w:rtl/>
        </w:rPr>
        <w:t>(</w:t>
      </w:r>
      <w:r>
        <w:rPr>
          <w:rFonts w:cs="Arial"/>
          <w:rtl/>
        </w:rPr>
        <w:t>סקמ"ג</w:t>
      </w:r>
      <w:r>
        <w:rPr>
          <w:rFonts w:cs="Arial" w:hint="cs"/>
          <w:rtl/>
        </w:rPr>
        <w:t>)</w:t>
      </w:r>
      <w:r>
        <w:rPr>
          <w:rFonts w:cs="Arial"/>
          <w:rtl/>
        </w:rPr>
        <w:t xml:space="preserve"> שכ' דמ"מ אם כבר נהגו לכותבו אע</w:t>
      </w:r>
      <w:r>
        <w:rPr>
          <w:rFonts w:cs="Arial" w:hint="cs"/>
          <w:rtl/>
        </w:rPr>
        <w:t>"</w:t>
      </w:r>
      <w:r>
        <w:rPr>
          <w:rFonts w:cs="Arial"/>
          <w:rtl/>
        </w:rPr>
        <w:t>ג דאין מסתפקין ממנו רק למקצת תשמישין אין מוחין בידם שלא לכותבו</w:t>
      </w:r>
      <w:r>
        <w:rPr>
          <w:rFonts w:cs="Arial" w:hint="cs"/>
          <w:rtl/>
        </w:rPr>
        <w:t>.</w:t>
      </w:r>
      <w:r>
        <w:rPr>
          <w:rFonts w:cs="Arial"/>
          <w:rtl/>
        </w:rPr>
        <w:t xml:space="preserve"> וע"ש עוד דאם הוא נראה מן העיר א</w:t>
      </w:r>
      <w:r>
        <w:rPr>
          <w:rFonts w:cs="Arial" w:hint="cs"/>
          <w:rtl/>
        </w:rPr>
        <w:t>ע"ג</w:t>
      </w:r>
      <w:r>
        <w:rPr>
          <w:rFonts w:cs="Arial"/>
          <w:rtl/>
        </w:rPr>
        <w:t xml:space="preserve"> דאין מסתפקין רק לצורך בית השלחין והוא חוץ לעיבור רק בתוך התחום כותבין אותו לכתחילה ע"ש</w:t>
      </w:r>
      <w:r>
        <w:rPr>
          <w:rFonts w:cs="Arial" w:hint="cs"/>
          <w:rtl/>
        </w:rPr>
        <w:t>, פת"ש (סקכ"ז).</w:t>
      </w:r>
    </w:p>
  </w:footnote>
  <w:footnote w:id="1014">
    <w:p w14:paraId="7D3F607E" w14:textId="77777777" w:rsidR="00FA2119" w:rsidRDefault="00FA2119" w:rsidP="00FA2119">
      <w:pPr>
        <w:pStyle w:val="a5"/>
      </w:pPr>
      <w:r>
        <w:rPr>
          <w:rStyle w:val="a7"/>
        </w:rPr>
        <w:footnoteRef/>
      </w:r>
      <w:r>
        <w:rPr>
          <w:rtl/>
        </w:rPr>
        <w:t xml:space="preserve"> </w:t>
      </w:r>
      <w:r w:rsidRPr="00BE28BE">
        <w:rPr>
          <w:rFonts w:cs="Arial"/>
          <w:rtl/>
        </w:rPr>
        <w:t>כתב ב"ה שכותבים נהרות ומעיינות ולא בארות, באמת המנהג כך הוא דאין כותבים בארות אבל צריך טעם למה לא כותבים בארות ואפשר משום לפעמים מתקלקלי' לכן לא כותבים כלל כדי שלא תחלוק בין גיטין אלו לבין גיטין הראשונים ואפשר דנכלל בכלל מי מעיינות כי בארות ג"כ מי מעיינות אלא שחופרי' עד שנמצא המעיין</w:t>
      </w:r>
      <w:r>
        <w:rPr>
          <w:rFonts w:cs="Arial" w:hint="cs"/>
          <w:rtl/>
        </w:rPr>
        <w:t>, ב"ש (סקט"ז*).</w:t>
      </w:r>
    </w:p>
  </w:footnote>
  <w:footnote w:id="1015">
    <w:p w14:paraId="0365B88A" w14:textId="77777777" w:rsidR="00FA2119" w:rsidRDefault="00FA2119" w:rsidP="00FA2119">
      <w:pPr>
        <w:pStyle w:val="a5"/>
      </w:pPr>
      <w:r>
        <w:rPr>
          <w:rStyle w:val="a7"/>
        </w:rPr>
        <w:footnoteRef/>
      </w:r>
      <w:r>
        <w:rPr>
          <w:rtl/>
        </w:rPr>
        <w:t xml:space="preserve"> </w:t>
      </w:r>
      <w:r>
        <w:rPr>
          <w:rFonts w:cs="Arial"/>
          <w:rtl/>
        </w:rPr>
        <w:t xml:space="preserve">כ' הג"פ </w:t>
      </w:r>
      <w:r>
        <w:rPr>
          <w:rFonts w:cs="Arial" w:hint="cs"/>
          <w:sz w:val="16"/>
          <w:szCs w:val="16"/>
          <w:rtl/>
        </w:rPr>
        <w:t>(</w:t>
      </w:r>
      <w:r w:rsidRPr="007E66B2">
        <w:rPr>
          <w:rFonts w:cs="Arial"/>
          <w:sz w:val="16"/>
          <w:szCs w:val="16"/>
          <w:rtl/>
        </w:rPr>
        <w:t>סק"ן</w:t>
      </w:r>
      <w:r w:rsidRPr="007E66B2">
        <w:rPr>
          <w:rFonts w:cs="Arial" w:hint="cs"/>
          <w:sz w:val="16"/>
          <w:szCs w:val="16"/>
          <w:rtl/>
        </w:rPr>
        <w:t>)</w:t>
      </w:r>
      <w:r>
        <w:rPr>
          <w:rFonts w:cs="Arial"/>
          <w:rtl/>
        </w:rPr>
        <w:t xml:space="preserve"> אם אין בעיר רק מעין א' שמסתפקין ממנו לא יכתוב מי מעינות בלשון רבים </w:t>
      </w:r>
      <w:r w:rsidRPr="007E66B2">
        <w:rPr>
          <w:rFonts w:cs="Arial"/>
          <w:sz w:val="16"/>
          <w:szCs w:val="16"/>
          <w:rtl/>
        </w:rPr>
        <w:t xml:space="preserve">(וכ"כ בסדר מהר"ם אות קי"ד ע"ש) </w:t>
      </w:r>
      <w:r>
        <w:rPr>
          <w:rFonts w:cs="Arial"/>
          <w:rtl/>
        </w:rPr>
        <w:t>ואם כתב מעינות הוי גט פסול לדעת הפוסלים שינה שם הנהר ושם עיר הלידה כן יש להוכיח מתוך דברי מרן הב"י ז"ל</w:t>
      </w:r>
      <w:r>
        <w:rPr>
          <w:rFonts w:cs="Arial" w:hint="cs"/>
          <w:rtl/>
        </w:rPr>
        <w:t>, פת"ש (סקכ"ט).</w:t>
      </w:r>
    </w:p>
  </w:footnote>
  <w:footnote w:id="1016">
    <w:p w14:paraId="706535DC" w14:textId="77777777" w:rsidR="00FA2119" w:rsidRDefault="00FA2119" w:rsidP="00FA2119">
      <w:pPr>
        <w:pStyle w:val="a5"/>
      </w:pPr>
      <w:r>
        <w:rPr>
          <w:rStyle w:val="a7"/>
        </w:rPr>
        <w:footnoteRef/>
      </w:r>
      <w:r>
        <w:rPr>
          <w:rtl/>
        </w:rPr>
        <w:t xml:space="preserve"> </w:t>
      </w:r>
      <w:r w:rsidRPr="007E66B2">
        <w:rPr>
          <w:rFonts w:cs="Arial" w:hint="cs"/>
          <w:rtl/>
        </w:rPr>
        <w:t>ונראה</w:t>
      </w:r>
      <w:r w:rsidRPr="007E66B2">
        <w:rPr>
          <w:rFonts w:cs="Arial"/>
          <w:rtl/>
        </w:rPr>
        <w:t xml:space="preserve"> </w:t>
      </w:r>
      <w:r w:rsidRPr="007E66B2">
        <w:rPr>
          <w:rFonts w:cs="Arial" w:hint="cs"/>
          <w:rtl/>
        </w:rPr>
        <w:t>לי</w:t>
      </w:r>
      <w:r w:rsidRPr="007E66B2">
        <w:rPr>
          <w:rFonts w:cs="Arial"/>
          <w:rtl/>
        </w:rPr>
        <w:t xml:space="preserve"> </w:t>
      </w:r>
      <w:r w:rsidRPr="007E66B2">
        <w:rPr>
          <w:rFonts w:cs="Arial" w:hint="cs"/>
          <w:rtl/>
        </w:rPr>
        <w:t>שמה</w:t>
      </w:r>
      <w:r w:rsidRPr="007E66B2">
        <w:rPr>
          <w:rFonts w:cs="Arial"/>
          <w:rtl/>
        </w:rPr>
        <w:t xml:space="preserve"> </w:t>
      </w:r>
      <w:r w:rsidRPr="007E66B2">
        <w:rPr>
          <w:rFonts w:cs="Arial" w:hint="cs"/>
          <w:rtl/>
        </w:rPr>
        <w:t>שכתב</w:t>
      </w:r>
      <w:r w:rsidRPr="007E66B2">
        <w:rPr>
          <w:rFonts w:cs="Arial"/>
          <w:rtl/>
        </w:rPr>
        <w:t xml:space="preserve"> </w:t>
      </w:r>
      <w:r>
        <w:rPr>
          <w:rFonts w:cs="Arial" w:hint="cs"/>
          <w:rtl/>
        </w:rPr>
        <w:t>'</w:t>
      </w:r>
      <w:r w:rsidRPr="007E66B2">
        <w:rPr>
          <w:rFonts w:cs="Arial" w:hint="cs"/>
          <w:rtl/>
        </w:rPr>
        <w:t>שאין</w:t>
      </w:r>
      <w:r w:rsidRPr="007E66B2">
        <w:rPr>
          <w:rFonts w:cs="Arial"/>
          <w:rtl/>
        </w:rPr>
        <w:t xml:space="preserve"> </w:t>
      </w:r>
      <w:r w:rsidRPr="007E66B2">
        <w:rPr>
          <w:rFonts w:cs="Arial" w:hint="cs"/>
          <w:rtl/>
        </w:rPr>
        <w:t>לכתוב</w:t>
      </w:r>
      <w:r>
        <w:rPr>
          <w:rFonts w:cs="Arial" w:hint="cs"/>
          <w:rtl/>
        </w:rPr>
        <w:t>'</w:t>
      </w:r>
      <w:r w:rsidRPr="007E66B2">
        <w:rPr>
          <w:rFonts w:cs="Arial"/>
          <w:rtl/>
        </w:rPr>
        <w:t xml:space="preserve"> </w:t>
      </w:r>
      <w:r w:rsidRPr="007E66B2">
        <w:rPr>
          <w:rFonts w:cs="Arial" w:hint="cs"/>
          <w:rtl/>
        </w:rPr>
        <w:t>טעות</w:t>
      </w:r>
      <w:r w:rsidRPr="007E66B2">
        <w:rPr>
          <w:rFonts w:cs="Arial"/>
          <w:rtl/>
        </w:rPr>
        <w:t xml:space="preserve"> </w:t>
      </w:r>
      <w:r w:rsidRPr="007E66B2">
        <w:rPr>
          <w:rFonts w:cs="Arial" w:hint="cs"/>
          <w:rtl/>
        </w:rPr>
        <w:t>סופר</w:t>
      </w:r>
      <w:r w:rsidRPr="007E66B2">
        <w:rPr>
          <w:rFonts w:cs="Arial"/>
          <w:rtl/>
        </w:rPr>
        <w:t xml:space="preserve"> </w:t>
      </w:r>
      <w:r w:rsidRPr="007E66B2">
        <w:rPr>
          <w:rFonts w:cs="Arial" w:hint="cs"/>
          <w:rtl/>
        </w:rPr>
        <w:t>הוא</w:t>
      </w:r>
      <w:r>
        <w:rPr>
          <w:rFonts w:cs="Arial" w:hint="cs"/>
          <w:rtl/>
        </w:rPr>
        <w:t>,</w:t>
      </w:r>
      <w:r w:rsidRPr="007E66B2">
        <w:rPr>
          <w:rFonts w:cs="Arial"/>
          <w:rtl/>
        </w:rPr>
        <w:t xml:space="preserve"> </w:t>
      </w:r>
      <w:r w:rsidRPr="007E66B2">
        <w:rPr>
          <w:rFonts w:cs="Arial" w:hint="cs"/>
          <w:rtl/>
        </w:rPr>
        <w:t>ויש</w:t>
      </w:r>
      <w:r w:rsidRPr="007E66B2">
        <w:rPr>
          <w:rFonts w:cs="Arial"/>
          <w:rtl/>
        </w:rPr>
        <w:t xml:space="preserve"> </w:t>
      </w:r>
      <w:r w:rsidRPr="007E66B2">
        <w:rPr>
          <w:rFonts w:cs="Arial" w:hint="cs"/>
          <w:rtl/>
        </w:rPr>
        <w:t>להגיה</w:t>
      </w:r>
      <w:r w:rsidRPr="007E66B2">
        <w:rPr>
          <w:rFonts w:cs="Arial"/>
          <w:rtl/>
        </w:rPr>
        <w:t xml:space="preserve"> </w:t>
      </w:r>
      <w:r>
        <w:rPr>
          <w:rFonts w:cs="Arial" w:hint="cs"/>
          <w:rtl/>
        </w:rPr>
        <w:t>'</w:t>
      </w:r>
      <w:r w:rsidRPr="007E66B2">
        <w:rPr>
          <w:rFonts w:cs="Arial" w:hint="cs"/>
          <w:rtl/>
        </w:rPr>
        <w:t>שיש</w:t>
      </w:r>
      <w:r w:rsidRPr="007E66B2">
        <w:rPr>
          <w:rFonts w:cs="Arial"/>
          <w:rtl/>
        </w:rPr>
        <w:t xml:space="preserve"> </w:t>
      </w:r>
      <w:r w:rsidRPr="007E66B2">
        <w:rPr>
          <w:rFonts w:cs="Arial" w:hint="cs"/>
          <w:rtl/>
        </w:rPr>
        <w:t>לכתוב</w:t>
      </w:r>
      <w:r w:rsidRPr="007E66B2">
        <w:rPr>
          <w:rFonts w:cs="Arial"/>
          <w:rtl/>
        </w:rPr>
        <w:t xml:space="preserve"> </w:t>
      </w:r>
      <w:r w:rsidRPr="007E66B2">
        <w:rPr>
          <w:rFonts w:cs="Arial" w:hint="cs"/>
          <w:rtl/>
        </w:rPr>
        <w:t>בארות</w:t>
      </w:r>
      <w:r>
        <w:rPr>
          <w:rFonts w:cs="Arial" w:hint="cs"/>
          <w:rtl/>
        </w:rPr>
        <w:t>'.</w:t>
      </w:r>
      <w:r w:rsidRPr="007E66B2">
        <w:rPr>
          <w:rFonts w:cs="Arial"/>
          <w:rtl/>
        </w:rPr>
        <w:t xml:space="preserve"> </w:t>
      </w:r>
      <w:r w:rsidRPr="007E66B2">
        <w:rPr>
          <w:rFonts w:cs="Arial" w:hint="cs"/>
          <w:rtl/>
        </w:rPr>
        <w:t>ומכל</w:t>
      </w:r>
      <w:r w:rsidRPr="007E66B2">
        <w:rPr>
          <w:rFonts w:cs="Arial"/>
          <w:rtl/>
        </w:rPr>
        <w:t xml:space="preserve"> </w:t>
      </w:r>
      <w:r w:rsidRPr="007E66B2">
        <w:rPr>
          <w:rFonts w:cs="Arial" w:hint="cs"/>
          <w:rtl/>
        </w:rPr>
        <w:t>מקום</w:t>
      </w:r>
      <w:r w:rsidRPr="007E66B2">
        <w:rPr>
          <w:rFonts w:cs="Arial"/>
          <w:rtl/>
        </w:rPr>
        <w:t xml:space="preserve"> </w:t>
      </w:r>
      <w:r w:rsidRPr="007E66B2">
        <w:rPr>
          <w:rFonts w:cs="Arial" w:hint="cs"/>
          <w:rtl/>
        </w:rPr>
        <w:t>בטעם</w:t>
      </w:r>
      <w:r w:rsidRPr="007E66B2">
        <w:rPr>
          <w:rFonts w:cs="Arial"/>
          <w:rtl/>
        </w:rPr>
        <w:t xml:space="preserve"> </w:t>
      </w:r>
      <w:r w:rsidRPr="007E66B2">
        <w:rPr>
          <w:rFonts w:cs="Arial" w:hint="cs"/>
          <w:rtl/>
        </w:rPr>
        <w:t>הפיסול</w:t>
      </w:r>
      <w:r w:rsidRPr="007E66B2">
        <w:rPr>
          <w:rFonts w:cs="Arial"/>
          <w:rtl/>
        </w:rPr>
        <w:t xml:space="preserve"> </w:t>
      </w:r>
      <w:r w:rsidRPr="007E66B2">
        <w:rPr>
          <w:rFonts w:cs="Arial" w:hint="cs"/>
          <w:rtl/>
        </w:rPr>
        <w:t>סתם</w:t>
      </w:r>
      <w:r w:rsidRPr="007E66B2">
        <w:rPr>
          <w:rFonts w:cs="Arial"/>
          <w:rtl/>
        </w:rPr>
        <w:t xml:space="preserve"> </w:t>
      </w:r>
      <w:r w:rsidRPr="007E66B2">
        <w:rPr>
          <w:rFonts w:cs="Arial" w:hint="cs"/>
          <w:rtl/>
        </w:rPr>
        <w:t>דבריו</w:t>
      </w:r>
      <w:r w:rsidRPr="007E66B2">
        <w:rPr>
          <w:rFonts w:cs="Arial"/>
          <w:rtl/>
        </w:rPr>
        <w:t xml:space="preserve"> </w:t>
      </w:r>
      <w:r w:rsidRPr="007E66B2">
        <w:rPr>
          <w:rFonts w:cs="Arial" w:hint="cs"/>
          <w:rtl/>
        </w:rPr>
        <w:t>ולא</w:t>
      </w:r>
      <w:r w:rsidRPr="007E66B2">
        <w:rPr>
          <w:rFonts w:cs="Arial"/>
          <w:rtl/>
        </w:rPr>
        <w:t xml:space="preserve"> </w:t>
      </w:r>
      <w:r w:rsidRPr="007E66B2">
        <w:rPr>
          <w:rFonts w:cs="Arial" w:hint="cs"/>
          <w:rtl/>
        </w:rPr>
        <w:t>פירש</w:t>
      </w:r>
      <w:r w:rsidRPr="007E66B2">
        <w:rPr>
          <w:rFonts w:cs="Arial"/>
          <w:rtl/>
        </w:rPr>
        <w:t xml:space="preserve"> </w:t>
      </w:r>
      <w:r w:rsidRPr="007E66B2">
        <w:rPr>
          <w:rFonts w:cs="Arial" w:hint="cs"/>
          <w:rtl/>
        </w:rPr>
        <w:t>אם</w:t>
      </w:r>
      <w:r w:rsidRPr="007E66B2">
        <w:rPr>
          <w:rFonts w:cs="Arial"/>
          <w:rtl/>
        </w:rPr>
        <w:t xml:space="preserve"> </w:t>
      </w:r>
      <w:r w:rsidRPr="007E66B2">
        <w:rPr>
          <w:rFonts w:cs="Arial" w:hint="cs"/>
          <w:rtl/>
        </w:rPr>
        <w:t>הוא</w:t>
      </w:r>
      <w:r w:rsidRPr="007E66B2">
        <w:rPr>
          <w:rFonts w:cs="Arial"/>
          <w:rtl/>
        </w:rPr>
        <w:t xml:space="preserve"> </w:t>
      </w:r>
      <w:r w:rsidRPr="007E66B2">
        <w:rPr>
          <w:rFonts w:cs="Arial" w:hint="cs"/>
          <w:rtl/>
        </w:rPr>
        <w:t>מפני</w:t>
      </w:r>
      <w:r w:rsidRPr="007E66B2">
        <w:rPr>
          <w:rFonts w:cs="Arial"/>
          <w:rtl/>
        </w:rPr>
        <w:t xml:space="preserve"> </w:t>
      </w:r>
      <w:r w:rsidRPr="007E66B2">
        <w:rPr>
          <w:rFonts w:cs="Arial" w:hint="cs"/>
          <w:rtl/>
        </w:rPr>
        <w:t>שהמעין</w:t>
      </w:r>
      <w:r w:rsidRPr="007E66B2">
        <w:rPr>
          <w:rFonts w:cs="Arial"/>
          <w:rtl/>
        </w:rPr>
        <w:t xml:space="preserve"> </w:t>
      </w:r>
      <w:r w:rsidRPr="007E66B2">
        <w:rPr>
          <w:rFonts w:cs="Arial" w:hint="cs"/>
          <w:rtl/>
        </w:rPr>
        <w:t>רחוק</w:t>
      </w:r>
      <w:r>
        <w:rPr>
          <w:rFonts w:cs="Arial" w:hint="cs"/>
          <w:rtl/>
        </w:rPr>
        <w:t>,</w:t>
      </w:r>
      <w:r w:rsidRPr="007E66B2">
        <w:rPr>
          <w:rFonts w:cs="Arial"/>
          <w:rtl/>
        </w:rPr>
        <w:t xml:space="preserve"> </w:t>
      </w:r>
      <w:r w:rsidRPr="007E66B2">
        <w:rPr>
          <w:rFonts w:cs="Arial" w:hint="cs"/>
          <w:rtl/>
        </w:rPr>
        <w:t>אבל</w:t>
      </w:r>
      <w:r w:rsidRPr="007E66B2">
        <w:rPr>
          <w:rFonts w:cs="Arial"/>
          <w:rtl/>
        </w:rPr>
        <w:t xml:space="preserve"> </w:t>
      </w:r>
      <w:r w:rsidRPr="007E66B2">
        <w:rPr>
          <w:rFonts w:cs="Arial" w:hint="cs"/>
          <w:rtl/>
        </w:rPr>
        <w:t>אם</w:t>
      </w:r>
      <w:r w:rsidRPr="007E66B2">
        <w:rPr>
          <w:rFonts w:cs="Arial"/>
          <w:rtl/>
        </w:rPr>
        <w:t xml:space="preserve"> </w:t>
      </w:r>
      <w:r w:rsidRPr="007E66B2">
        <w:rPr>
          <w:rFonts w:cs="Arial" w:hint="cs"/>
          <w:rtl/>
        </w:rPr>
        <w:t>היה</w:t>
      </w:r>
      <w:r w:rsidRPr="007E66B2">
        <w:rPr>
          <w:rFonts w:cs="Arial"/>
          <w:rtl/>
        </w:rPr>
        <w:t xml:space="preserve"> </w:t>
      </w:r>
      <w:r w:rsidRPr="007E66B2">
        <w:rPr>
          <w:rFonts w:cs="Arial" w:hint="cs"/>
          <w:rtl/>
        </w:rPr>
        <w:t>קרוב</w:t>
      </w:r>
      <w:r w:rsidRPr="007E66B2">
        <w:rPr>
          <w:rFonts w:cs="Arial"/>
          <w:rtl/>
        </w:rPr>
        <w:t xml:space="preserve"> </w:t>
      </w:r>
      <w:r w:rsidRPr="007E66B2">
        <w:rPr>
          <w:rFonts w:cs="Arial" w:hint="cs"/>
          <w:rtl/>
        </w:rPr>
        <w:t>היה</w:t>
      </w:r>
      <w:r w:rsidRPr="007E66B2">
        <w:rPr>
          <w:rFonts w:cs="Arial"/>
          <w:rtl/>
        </w:rPr>
        <w:t xml:space="preserve"> </w:t>
      </w:r>
      <w:r w:rsidRPr="007E66B2">
        <w:rPr>
          <w:rFonts w:cs="Arial" w:hint="cs"/>
          <w:rtl/>
        </w:rPr>
        <w:t>מכשיר</w:t>
      </w:r>
      <w:r>
        <w:rPr>
          <w:rFonts w:cs="Arial" w:hint="cs"/>
          <w:rtl/>
        </w:rPr>
        <w:t>.</w:t>
      </w:r>
      <w:r w:rsidRPr="007E66B2">
        <w:rPr>
          <w:rFonts w:cs="Arial"/>
          <w:rtl/>
        </w:rPr>
        <w:t xml:space="preserve"> </w:t>
      </w:r>
      <w:r w:rsidRPr="007E66B2">
        <w:rPr>
          <w:rFonts w:cs="Arial" w:hint="cs"/>
          <w:rtl/>
        </w:rPr>
        <w:t>או</w:t>
      </w:r>
      <w:r w:rsidRPr="007E66B2">
        <w:rPr>
          <w:rFonts w:cs="Arial"/>
          <w:rtl/>
        </w:rPr>
        <w:t xml:space="preserve"> </w:t>
      </w:r>
      <w:r w:rsidRPr="007E66B2">
        <w:rPr>
          <w:rFonts w:cs="Arial" w:hint="cs"/>
          <w:rtl/>
        </w:rPr>
        <w:t>אם</w:t>
      </w:r>
      <w:r w:rsidRPr="007E66B2">
        <w:rPr>
          <w:rFonts w:cs="Arial"/>
          <w:rtl/>
        </w:rPr>
        <w:t xml:space="preserve"> </w:t>
      </w:r>
      <w:r w:rsidRPr="007E66B2">
        <w:rPr>
          <w:rFonts w:cs="Arial" w:hint="cs"/>
          <w:rtl/>
        </w:rPr>
        <w:t>הטעם</w:t>
      </w:r>
      <w:r w:rsidRPr="007E66B2">
        <w:rPr>
          <w:rFonts w:cs="Arial"/>
          <w:rtl/>
        </w:rPr>
        <w:t xml:space="preserve"> </w:t>
      </w:r>
      <w:r w:rsidRPr="007E66B2">
        <w:rPr>
          <w:rFonts w:cs="Arial" w:hint="cs"/>
          <w:rtl/>
        </w:rPr>
        <w:t>מפני</w:t>
      </w:r>
      <w:r w:rsidRPr="007E66B2">
        <w:rPr>
          <w:rFonts w:cs="Arial"/>
          <w:rtl/>
        </w:rPr>
        <w:t xml:space="preserve"> </w:t>
      </w:r>
      <w:r w:rsidRPr="007E66B2">
        <w:rPr>
          <w:rFonts w:cs="Arial" w:hint="cs"/>
          <w:rtl/>
        </w:rPr>
        <w:t>שרוב</w:t>
      </w:r>
      <w:r w:rsidRPr="007E66B2">
        <w:rPr>
          <w:rFonts w:cs="Arial"/>
          <w:rtl/>
        </w:rPr>
        <w:t xml:space="preserve"> </w:t>
      </w:r>
      <w:r w:rsidRPr="007E66B2">
        <w:rPr>
          <w:rFonts w:cs="Arial" w:hint="cs"/>
          <w:rtl/>
        </w:rPr>
        <w:t>סיפוק</w:t>
      </w:r>
      <w:r w:rsidRPr="007E66B2">
        <w:rPr>
          <w:rFonts w:cs="Arial"/>
          <w:rtl/>
        </w:rPr>
        <w:t xml:space="preserve"> </w:t>
      </w:r>
      <w:r w:rsidRPr="007E66B2">
        <w:rPr>
          <w:rFonts w:cs="Arial" w:hint="cs"/>
          <w:rtl/>
        </w:rPr>
        <w:t>העיר</w:t>
      </w:r>
      <w:r w:rsidRPr="007E66B2">
        <w:rPr>
          <w:rFonts w:cs="Arial"/>
          <w:rtl/>
        </w:rPr>
        <w:t xml:space="preserve"> </w:t>
      </w:r>
      <w:r w:rsidRPr="007E66B2">
        <w:rPr>
          <w:rFonts w:cs="Arial" w:hint="cs"/>
          <w:rtl/>
        </w:rPr>
        <w:t>היה</w:t>
      </w:r>
      <w:r w:rsidRPr="007E66B2">
        <w:rPr>
          <w:rFonts w:cs="Arial"/>
          <w:rtl/>
        </w:rPr>
        <w:t xml:space="preserve"> </w:t>
      </w:r>
      <w:r w:rsidRPr="007E66B2">
        <w:rPr>
          <w:rFonts w:cs="Arial" w:hint="cs"/>
          <w:rtl/>
        </w:rPr>
        <w:t>מהבארות</w:t>
      </w:r>
      <w:r>
        <w:rPr>
          <w:rFonts w:cs="Arial" w:hint="cs"/>
          <w:rtl/>
        </w:rPr>
        <w:t>,</w:t>
      </w:r>
      <w:r w:rsidRPr="007E66B2">
        <w:rPr>
          <w:rFonts w:cs="Arial"/>
          <w:rtl/>
        </w:rPr>
        <w:t xml:space="preserve"> </w:t>
      </w:r>
      <w:r w:rsidRPr="007E66B2">
        <w:rPr>
          <w:rFonts w:cs="Arial" w:hint="cs"/>
          <w:rtl/>
        </w:rPr>
        <w:t>ואם</w:t>
      </w:r>
      <w:r w:rsidRPr="007E66B2">
        <w:rPr>
          <w:rFonts w:cs="Arial"/>
          <w:rtl/>
        </w:rPr>
        <w:t xml:space="preserve"> </w:t>
      </w:r>
      <w:r w:rsidRPr="007E66B2">
        <w:rPr>
          <w:rFonts w:cs="Arial" w:hint="cs"/>
          <w:rtl/>
        </w:rPr>
        <w:t>כן</w:t>
      </w:r>
      <w:r w:rsidRPr="007E66B2">
        <w:rPr>
          <w:rFonts w:cs="Arial"/>
          <w:rtl/>
        </w:rPr>
        <w:t xml:space="preserve"> </w:t>
      </w:r>
      <w:r w:rsidRPr="007E66B2">
        <w:rPr>
          <w:rFonts w:cs="Arial" w:hint="cs"/>
          <w:rtl/>
        </w:rPr>
        <w:t>אפילו</w:t>
      </w:r>
      <w:r w:rsidRPr="007E66B2">
        <w:rPr>
          <w:rFonts w:cs="Arial"/>
          <w:rtl/>
        </w:rPr>
        <w:t xml:space="preserve"> </w:t>
      </w:r>
      <w:r w:rsidRPr="007E66B2">
        <w:rPr>
          <w:rFonts w:cs="Arial" w:hint="cs"/>
          <w:rtl/>
        </w:rPr>
        <w:t>היה</w:t>
      </w:r>
      <w:r w:rsidRPr="007E66B2">
        <w:rPr>
          <w:rFonts w:cs="Arial"/>
          <w:rtl/>
        </w:rPr>
        <w:t xml:space="preserve"> </w:t>
      </w:r>
      <w:r w:rsidRPr="007E66B2">
        <w:rPr>
          <w:rFonts w:cs="Arial" w:hint="cs"/>
          <w:rtl/>
        </w:rPr>
        <w:t>המעין</w:t>
      </w:r>
      <w:r w:rsidRPr="007E66B2">
        <w:rPr>
          <w:rFonts w:cs="Arial"/>
          <w:rtl/>
        </w:rPr>
        <w:t xml:space="preserve"> </w:t>
      </w:r>
      <w:r w:rsidRPr="007E66B2">
        <w:rPr>
          <w:rFonts w:cs="Arial" w:hint="cs"/>
          <w:rtl/>
        </w:rPr>
        <w:t>בתוך</w:t>
      </w:r>
      <w:r w:rsidRPr="007E66B2">
        <w:rPr>
          <w:rFonts w:cs="Arial"/>
          <w:rtl/>
        </w:rPr>
        <w:t xml:space="preserve"> </w:t>
      </w:r>
      <w:r w:rsidRPr="007E66B2">
        <w:rPr>
          <w:rFonts w:cs="Arial" w:hint="cs"/>
          <w:rtl/>
        </w:rPr>
        <w:t>העיר</w:t>
      </w:r>
      <w:r w:rsidRPr="007E66B2">
        <w:rPr>
          <w:rFonts w:cs="Arial"/>
          <w:rtl/>
        </w:rPr>
        <w:t xml:space="preserve"> </w:t>
      </w:r>
      <w:r w:rsidRPr="007E66B2">
        <w:rPr>
          <w:rFonts w:cs="Arial" w:hint="cs"/>
          <w:rtl/>
        </w:rPr>
        <w:t>היה</w:t>
      </w:r>
      <w:r w:rsidRPr="007E66B2">
        <w:rPr>
          <w:rFonts w:cs="Arial"/>
          <w:rtl/>
        </w:rPr>
        <w:t xml:space="preserve"> </w:t>
      </w:r>
      <w:r w:rsidRPr="007E66B2">
        <w:rPr>
          <w:rFonts w:cs="Arial" w:hint="cs"/>
          <w:rtl/>
        </w:rPr>
        <w:t>פוסלו</w:t>
      </w:r>
      <w:r>
        <w:rPr>
          <w:rFonts w:cs="Arial" w:hint="cs"/>
          <w:rtl/>
        </w:rPr>
        <w:t>.</w:t>
      </w:r>
      <w:r w:rsidRPr="007E66B2">
        <w:rPr>
          <w:rFonts w:cs="Arial"/>
          <w:rtl/>
        </w:rPr>
        <w:t xml:space="preserve"> </w:t>
      </w:r>
      <w:r w:rsidRPr="007E66B2">
        <w:rPr>
          <w:rFonts w:cs="Arial" w:hint="cs"/>
          <w:rtl/>
        </w:rPr>
        <w:t>או</w:t>
      </w:r>
      <w:r w:rsidRPr="007E66B2">
        <w:rPr>
          <w:rFonts w:cs="Arial"/>
          <w:rtl/>
        </w:rPr>
        <w:t xml:space="preserve"> </w:t>
      </w:r>
      <w:r w:rsidRPr="007E66B2">
        <w:rPr>
          <w:rFonts w:cs="Arial" w:hint="cs"/>
          <w:rtl/>
        </w:rPr>
        <w:t>אם</w:t>
      </w:r>
      <w:r w:rsidRPr="007E66B2">
        <w:rPr>
          <w:rFonts w:cs="Arial"/>
          <w:rtl/>
        </w:rPr>
        <w:t xml:space="preserve"> </w:t>
      </w:r>
      <w:r w:rsidRPr="007E66B2">
        <w:rPr>
          <w:rFonts w:cs="Arial" w:hint="cs"/>
          <w:rtl/>
        </w:rPr>
        <w:t>הטעם</w:t>
      </w:r>
      <w:r w:rsidRPr="007E66B2">
        <w:rPr>
          <w:rFonts w:cs="Arial"/>
          <w:rtl/>
        </w:rPr>
        <w:t xml:space="preserve"> </w:t>
      </w:r>
      <w:r w:rsidRPr="007E66B2">
        <w:rPr>
          <w:rFonts w:cs="Arial" w:hint="cs"/>
          <w:rtl/>
        </w:rPr>
        <w:t>מפני</w:t>
      </w:r>
      <w:r w:rsidRPr="007E66B2">
        <w:rPr>
          <w:rFonts w:cs="Arial"/>
          <w:rtl/>
        </w:rPr>
        <w:t xml:space="preserve"> </w:t>
      </w:r>
      <w:r w:rsidRPr="007E66B2">
        <w:rPr>
          <w:rFonts w:cs="Arial" w:hint="cs"/>
          <w:rtl/>
        </w:rPr>
        <w:t>שכתב</w:t>
      </w:r>
      <w:r w:rsidRPr="007E66B2">
        <w:rPr>
          <w:rFonts w:cs="Arial"/>
          <w:rtl/>
        </w:rPr>
        <w:t xml:space="preserve"> </w:t>
      </w:r>
      <w:r w:rsidRPr="007E66B2">
        <w:rPr>
          <w:rFonts w:cs="Arial" w:hint="cs"/>
          <w:rtl/>
        </w:rPr>
        <w:t>מעינות</w:t>
      </w:r>
      <w:r w:rsidRPr="007E66B2">
        <w:rPr>
          <w:rFonts w:cs="Arial"/>
          <w:rtl/>
        </w:rPr>
        <w:t xml:space="preserve"> </w:t>
      </w:r>
      <w:r w:rsidRPr="007E66B2">
        <w:rPr>
          <w:rFonts w:cs="Arial" w:hint="cs"/>
          <w:rtl/>
        </w:rPr>
        <w:t>לשון</w:t>
      </w:r>
      <w:r w:rsidRPr="007E66B2">
        <w:rPr>
          <w:rFonts w:cs="Arial"/>
          <w:rtl/>
        </w:rPr>
        <w:t xml:space="preserve"> </w:t>
      </w:r>
      <w:r w:rsidRPr="007E66B2">
        <w:rPr>
          <w:rFonts w:cs="Arial" w:hint="cs"/>
          <w:rtl/>
        </w:rPr>
        <w:t>רבים</w:t>
      </w:r>
      <w:r w:rsidRPr="007E66B2">
        <w:rPr>
          <w:rFonts w:cs="Arial"/>
          <w:rtl/>
        </w:rPr>
        <w:t xml:space="preserve"> </w:t>
      </w:r>
      <w:r w:rsidRPr="007E66B2">
        <w:rPr>
          <w:rFonts w:cs="Arial" w:hint="cs"/>
          <w:rtl/>
        </w:rPr>
        <w:t>ואינו</w:t>
      </w:r>
      <w:r w:rsidRPr="007E66B2">
        <w:rPr>
          <w:rFonts w:cs="Arial"/>
          <w:rtl/>
        </w:rPr>
        <w:t xml:space="preserve"> </w:t>
      </w:r>
      <w:r w:rsidRPr="007E66B2">
        <w:rPr>
          <w:rFonts w:cs="Arial" w:hint="cs"/>
          <w:rtl/>
        </w:rPr>
        <w:t>אלא</w:t>
      </w:r>
      <w:r w:rsidRPr="007E66B2">
        <w:rPr>
          <w:rFonts w:cs="Arial"/>
          <w:rtl/>
        </w:rPr>
        <w:t xml:space="preserve"> </w:t>
      </w:r>
      <w:r w:rsidRPr="007E66B2">
        <w:rPr>
          <w:rFonts w:cs="Arial" w:hint="cs"/>
          <w:rtl/>
        </w:rPr>
        <w:t>מעין</w:t>
      </w:r>
      <w:r>
        <w:rPr>
          <w:rFonts w:cs="Arial" w:hint="cs"/>
          <w:rtl/>
        </w:rPr>
        <w:t>, ב"י.</w:t>
      </w:r>
    </w:p>
  </w:footnote>
  <w:footnote w:id="1017">
    <w:p w14:paraId="75D02DCF" w14:textId="77777777" w:rsidR="00FA2119" w:rsidRDefault="00FA2119" w:rsidP="00FA2119">
      <w:pPr>
        <w:pStyle w:val="a5"/>
      </w:pPr>
      <w:r>
        <w:rPr>
          <w:rStyle w:val="a7"/>
        </w:rPr>
        <w:footnoteRef/>
      </w:r>
      <w:r>
        <w:rPr>
          <w:rtl/>
        </w:rPr>
        <w:t xml:space="preserve"> </w:t>
      </w:r>
      <w:r w:rsidRPr="00BE28BE">
        <w:rPr>
          <w:rFonts w:cs="Arial"/>
          <w:rtl/>
        </w:rPr>
        <w:t>עיין בג"פ ס"ק נ"ב דאינו מכשיר רק בדיעבד שכבר ניתן הגט. וכ' עוד ויש לחקור אם יש בעיר בורות מכונסין מי גשמים דכותבין דיתבא על מי בורות כמו שכותבין פה עה"ק ירושלים אם במקום בורות כתב בארות מהו והנה מהגמ' פ' עושין פסין מוכח דבורות לא מקרי בארות כו' ומ"מ יראה דבמקום עיגון ושעת הדחק יש להכשיר מטעם פסק ר"י וחבריו כיון דשינה בדבר שא"צ לכותבו ע"ש.</w:t>
      </w:r>
      <w:r>
        <w:rPr>
          <w:rFonts w:cs="Arial" w:hint="cs"/>
          <w:rtl/>
        </w:rPr>
        <w:t>.., פת"ש (סק"ל).</w:t>
      </w:r>
    </w:p>
  </w:footnote>
  <w:footnote w:id="1018">
    <w:p w14:paraId="4E7A45D3" w14:textId="1DA7C4F0" w:rsidR="00FA2119" w:rsidRDefault="00FA2119" w:rsidP="00FA2119">
      <w:pPr>
        <w:pStyle w:val="a5"/>
      </w:pPr>
      <w:r>
        <w:rPr>
          <w:rStyle w:val="a7"/>
        </w:rPr>
        <w:footnoteRef/>
      </w:r>
      <w:r>
        <w:rPr>
          <w:rtl/>
        </w:rPr>
        <w:t xml:space="preserve"> </w:t>
      </w:r>
      <w:r w:rsidRPr="00BE28BE">
        <w:rPr>
          <w:rFonts w:cs="Arial" w:hint="cs"/>
          <w:rtl/>
        </w:rPr>
        <w:t>ודברי</w:t>
      </w:r>
      <w:r w:rsidRPr="00BE28BE">
        <w:rPr>
          <w:rFonts w:cs="Arial"/>
          <w:rtl/>
        </w:rPr>
        <w:t xml:space="preserve"> </w:t>
      </w:r>
      <w:r w:rsidRPr="00BE28BE">
        <w:rPr>
          <w:rFonts w:cs="Arial" w:hint="cs"/>
          <w:rtl/>
        </w:rPr>
        <w:t>הפוסקים</w:t>
      </w:r>
      <w:r w:rsidRPr="00BE28BE">
        <w:rPr>
          <w:rFonts w:cs="Arial"/>
          <w:rtl/>
        </w:rPr>
        <w:t xml:space="preserve"> </w:t>
      </w:r>
      <w:r w:rsidRPr="00BE28BE">
        <w:rPr>
          <w:rFonts w:cs="Arial" w:hint="cs"/>
          <w:rtl/>
        </w:rPr>
        <w:t>האומרים</w:t>
      </w:r>
      <w:r w:rsidRPr="00BE28BE">
        <w:rPr>
          <w:rFonts w:cs="Arial"/>
          <w:rtl/>
        </w:rPr>
        <w:t xml:space="preserve"> </w:t>
      </w:r>
      <w:r w:rsidRPr="00BE28BE">
        <w:rPr>
          <w:rFonts w:cs="Arial" w:hint="cs"/>
          <w:rtl/>
        </w:rPr>
        <w:t>לכתוב</w:t>
      </w:r>
      <w:r w:rsidRPr="00BE28BE">
        <w:rPr>
          <w:rFonts w:cs="Arial"/>
          <w:rtl/>
        </w:rPr>
        <w:t xml:space="preserve"> </w:t>
      </w:r>
      <w:r w:rsidRPr="00BE28BE">
        <w:rPr>
          <w:rFonts w:cs="Arial" w:hint="cs"/>
          <w:rtl/>
        </w:rPr>
        <w:t>כל</w:t>
      </w:r>
      <w:r w:rsidRPr="00BE28BE">
        <w:rPr>
          <w:rFonts w:cs="Arial"/>
          <w:rtl/>
        </w:rPr>
        <w:t xml:space="preserve"> </w:t>
      </w:r>
      <w:r w:rsidRPr="00BE28BE">
        <w:rPr>
          <w:rFonts w:cs="Arial" w:hint="cs"/>
          <w:rtl/>
        </w:rPr>
        <w:t>מימי</w:t>
      </w:r>
      <w:r w:rsidRPr="00BE28BE">
        <w:rPr>
          <w:rFonts w:cs="Arial"/>
          <w:rtl/>
        </w:rPr>
        <w:t xml:space="preserve"> </w:t>
      </w:r>
      <w:r w:rsidRPr="00BE28BE">
        <w:rPr>
          <w:rFonts w:cs="Arial" w:hint="cs"/>
          <w:rtl/>
        </w:rPr>
        <w:t>הסיפוק</w:t>
      </w:r>
      <w:r>
        <w:rPr>
          <w:rFonts w:cs="Arial" w:hint="cs"/>
          <w:rtl/>
        </w:rPr>
        <w:t>,</w:t>
      </w:r>
      <w:r w:rsidRPr="00BE28BE">
        <w:rPr>
          <w:rFonts w:cs="Arial"/>
          <w:rtl/>
        </w:rPr>
        <w:t xml:space="preserve"> </w:t>
      </w:r>
      <w:r w:rsidRPr="00BE28BE">
        <w:rPr>
          <w:rFonts w:cs="Arial" w:hint="cs"/>
          <w:rtl/>
        </w:rPr>
        <w:t>והמונעים</w:t>
      </w:r>
      <w:r w:rsidRPr="00BE28BE">
        <w:rPr>
          <w:rFonts w:cs="Arial"/>
          <w:rtl/>
        </w:rPr>
        <w:t xml:space="preserve"> </w:t>
      </w:r>
      <w:r w:rsidRPr="00BE28BE">
        <w:rPr>
          <w:rFonts w:cs="Arial" w:hint="cs"/>
          <w:rtl/>
        </w:rPr>
        <w:t>מלכתוב</w:t>
      </w:r>
      <w:r w:rsidRPr="00BE28BE">
        <w:rPr>
          <w:rFonts w:cs="Arial"/>
          <w:rtl/>
        </w:rPr>
        <w:t xml:space="preserve"> </w:t>
      </w:r>
      <w:r w:rsidRPr="00BE28BE">
        <w:rPr>
          <w:rFonts w:cs="Arial" w:hint="cs"/>
          <w:rtl/>
        </w:rPr>
        <w:t>בארות</w:t>
      </w:r>
      <w:r w:rsidRPr="00BE28BE">
        <w:rPr>
          <w:rFonts w:cs="Arial"/>
          <w:rtl/>
        </w:rPr>
        <w:t xml:space="preserve"> </w:t>
      </w:r>
      <w:r w:rsidRPr="00BE28BE">
        <w:rPr>
          <w:rFonts w:cs="Arial" w:hint="cs"/>
          <w:rtl/>
        </w:rPr>
        <w:t>ומעינות</w:t>
      </w:r>
      <w:r w:rsidRPr="00BE28BE">
        <w:rPr>
          <w:rFonts w:cs="Arial"/>
          <w:rtl/>
        </w:rPr>
        <w:t xml:space="preserve"> </w:t>
      </w:r>
      <w:r w:rsidRPr="00BE28BE">
        <w:rPr>
          <w:rFonts w:cs="Arial" w:hint="cs"/>
          <w:rtl/>
        </w:rPr>
        <w:t>בעיר</w:t>
      </w:r>
      <w:r w:rsidRPr="00BE28BE">
        <w:rPr>
          <w:rFonts w:cs="Arial"/>
          <w:rtl/>
        </w:rPr>
        <w:t xml:space="preserve"> </w:t>
      </w:r>
      <w:r w:rsidRPr="00BE28BE">
        <w:rPr>
          <w:rFonts w:cs="Arial" w:hint="cs"/>
          <w:rtl/>
        </w:rPr>
        <w:t>שיש</w:t>
      </w:r>
      <w:r w:rsidRPr="00BE28BE">
        <w:rPr>
          <w:rFonts w:cs="Arial"/>
          <w:rtl/>
        </w:rPr>
        <w:t xml:space="preserve"> </w:t>
      </w:r>
      <w:r w:rsidRPr="00BE28BE">
        <w:rPr>
          <w:rFonts w:cs="Arial" w:hint="cs"/>
          <w:rtl/>
        </w:rPr>
        <w:t>בה</w:t>
      </w:r>
      <w:r w:rsidRPr="00BE28BE">
        <w:rPr>
          <w:rFonts w:cs="Arial"/>
          <w:rtl/>
        </w:rPr>
        <w:t xml:space="preserve"> </w:t>
      </w:r>
      <w:r w:rsidRPr="00BE28BE">
        <w:rPr>
          <w:rFonts w:cs="Arial" w:hint="cs"/>
          <w:rtl/>
        </w:rPr>
        <w:t>נהר</w:t>
      </w:r>
      <w:r w:rsidRPr="00BE28BE">
        <w:rPr>
          <w:rFonts w:cs="Arial"/>
          <w:rtl/>
        </w:rPr>
        <w:t xml:space="preserve"> </w:t>
      </w:r>
      <w:r w:rsidRPr="00BE28BE">
        <w:rPr>
          <w:rFonts w:cs="Arial" w:hint="cs"/>
          <w:rtl/>
        </w:rPr>
        <w:t>הלא</w:t>
      </w:r>
      <w:r w:rsidRPr="00BE28BE">
        <w:rPr>
          <w:rFonts w:cs="Arial"/>
          <w:rtl/>
        </w:rPr>
        <w:t xml:space="preserve"> </w:t>
      </w:r>
      <w:r w:rsidRPr="00BE28BE">
        <w:rPr>
          <w:rFonts w:cs="Arial" w:hint="cs"/>
          <w:rtl/>
        </w:rPr>
        <w:t>הם</w:t>
      </w:r>
      <w:r w:rsidRPr="00BE28BE">
        <w:rPr>
          <w:rFonts w:cs="Arial"/>
          <w:rtl/>
        </w:rPr>
        <w:t xml:space="preserve"> </w:t>
      </w:r>
      <w:r w:rsidRPr="00BE28BE">
        <w:rPr>
          <w:rFonts w:cs="Arial" w:hint="cs"/>
          <w:rtl/>
        </w:rPr>
        <w:t>כתובים</w:t>
      </w:r>
      <w:r w:rsidRPr="00BE28BE">
        <w:rPr>
          <w:rFonts w:cs="Arial"/>
          <w:rtl/>
        </w:rPr>
        <w:t xml:space="preserve"> </w:t>
      </w:r>
      <w:r w:rsidR="009334FF">
        <w:rPr>
          <w:rFonts w:cs="Arial" w:hint="cs"/>
          <w:rtl/>
        </w:rPr>
        <w:t>ב</w:t>
      </w:r>
      <w:r w:rsidR="00DB737E">
        <w:rPr>
          <w:rFonts w:cs="Arial" w:hint="cs"/>
          <w:rtl/>
        </w:rPr>
        <w:t>הגהות</w:t>
      </w:r>
      <w:r w:rsidRPr="00BE28BE">
        <w:rPr>
          <w:rFonts w:cs="Arial"/>
          <w:rtl/>
        </w:rPr>
        <w:t xml:space="preserve"> </w:t>
      </w:r>
      <w:r w:rsidRPr="00BE28BE">
        <w:rPr>
          <w:rFonts w:cs="Arial" w:hint="cs"/>
          <w:rtl/>
        </w:rPr>
        <w:t>מרדכי</w:t>
      </w:r>
      <w:r w:rsidRPr="00BE28BE">
        <w:rPr>
          <w:rFonts w:cs="Arial"/>
          <w:rtl/>
        </w:rPr>
        <w:t xml:space="preserve"> </w:t>
      </w:r>
      <w:r w:rsidRPr="00BE28BE">
        <w:rPr>
          <w:rFonts w:cs="Arial" w:hint="cs"/>
          <w:rtl/>
        </w:rPr>
        <w:t>בסוף</w:t>
      </w:r>
      <w:r w:rsidRPr="00BE28BE">
        <w:rPr>
          <w:rFonts w:cs="Arial"/>
          <w:rtl/>
        </w:rPr>
        <w:t xml:space="preserve"> </w:t>
      </w:r>
      <w:r w:rsidRPr="00BE28BE">
        <w:rPr>
          <w:rFonts w:cs="Arial" w:hint="cs"/>
          <w:rtl/>
        </w:rPr>
        <w:t>גיטין</w:t>
      </w:r>
      <w:r w:rsidRPr="00BE28BE">
        <w:rPr>
          <w:rFonts w:cs="Arial"/>
          <w:rtl/>
        </w:rPr>
        <w:t xml:space="preserve"> (</w:t>
      </w:r>
      <w:r w:rsidRPr="00BE28BE">
        <w:rPr>
          <w:rFonts w:cs="Arial" w:hint="cs"/>
          <w:rtl/>
        </w:rPr>
        <w:t>סי</w:t>
      </w:r>
      <w:r w:rsidRPr="00BE28BE">
        <w:rPr>
          <w:rFonts w:cs="Arial"/>
          <w:rtl/>
        </w:rPr>
        <w:t xml:space="preserve">' </w:t>
      </w:r>
      <w:r w:rsidRPr="00BE28BE">
        <w:rPr>
          <w:rFonts w:cs="Arial" w:hint="cs"/>
          <w:rtl/>
        </w:rPr>
        <w:t>תסז</w:t>
      </w:r>
      <w:r w:rsidRPr="00BE28BE">
        <w:rPr>
          <w:rFonts w:cs="Arial"/>
          <w:rtl/>
        </w:rPr>
        <w:t>)</w:t>
      </w:r>
      <w:r>
        <w:rPr>
          <w:rFonts w:cs="Arial" w:hint="cs"/>
          <w:rtl/>
        </w:rPr>
        <w:t xml:space="preserve">, </w:t>
      </w:r>
      <w:r w:rsidRPr="009C6B2F">
        <w:rPr>
          <w:rFonts w:cs="Arial" w:hint="cs"/>
          <w:b/>
          <w:bCs/>
          <w:rtl/>
        </w:rPr>
        <w:t>ב"י</w:t>
      </w:r>
      <w:r>
        <w:rPr>
          <w:rFonts w:cs="Arial" w:hint="cs"/>
          <w:rtl/>
        </w:rPr>
        <w:t>.</w:t>
      </w:r>
      <w:r w:rsidRPr="0090777D">
        <w:rPr>
          <w:rFonts w:cs="Arial"/>
          <w:rtl/>
        </w:rPr>
        <w:t xml:space="preserve"> </w:t>
      </w:r>
      <w:r w:rsidRPr="0090777D">
        <w:rPr>
          <w:rFonts w:cs="Arial" w:hint="cs"/>
          <w:rtl/>
        </w:rPr>
        <w:t>וכתב</w:t>
      </w:r>
      <w:r w:rsidRPr="0090777D">
        <w:rPr>
          <w:rFonts w:cs="Arial"/>
          <w:rtl/>
        </w:rPr>
        <w:t xml:space="preserve"> </w:t>
      </w:r>
      <w:r w:rsidRPr="0090777D">
        <w:rPr>
          <w:rFonts w:cs="Arial" w:hint="cs"/>
          <w:rtl/>
        </w:rPr>
        <w:t>בסדר</w:t>
      </w:r>
      <w:r w:rsidRPr="0090777D">
        <w:rPr>
          <w:rFonts w:cs="Arial"/>
          <w:rtl/>
        </w:rPr>
        <w:t xml:space="preserve"> </w:t>
      </w:r>
      <w:r w:rsidRPr="0090777D">
        <w:rPr>
          <w:rFonts w:cs="Arial" w:hint="cs"/>
          <w:rtl/>
        </w:rPr>
        <w:t>גיטין</w:t>
      </w:r>
      <w:r w:rsidRPr="0090777D">
        <w:rPr>
          <w:rFonts w:cs="Arial"/>
          <w:rtl/>
        </w:rPr>
        <w:t xml:space="preserve"> (</w:t>
      </w:r>
      <w:r w:rsidRPr="0090777D">
        <w:rPr>
          <w:rFonts w:cs="Arial" w:hint="cs"/>
          <w:rtl/>
        </w:rPr>
        <w:t>סי</w:t>
      </w:r>
      <w:r w:rsidRPr="0090777D">
        <w:rPr>
          <w:rFonts w:cs="Arial"/>
          <w:rtl/>
        </w:rPr>
        <w:t xml:space="preserve">' </w:t>
      </w:r>
      <w:r w:rsidRPr="0090777D">
        <w:rPr>
          <w:rFonts w:cs="Arial" w:hint="cs"/>
          <w:rtl/>
        </w:rPr>
        <w:t>לז</w:t>
      </w:r>
      <w:r w:rsidRPr="0090777D">
        <w:rPr>
          <w:rFonts w:cs="Arial"/>
          <w:rtl/>
        </w:rPr>
        <w:t xml:space="preserve"> </w:t>
      </w:r>
      <w:r w:rsidRPr="0090777D">
        <w:rPr>
          <w:rFonts w:cs="Arial" w:hint="cs"/>
          <w:rtl/>
        </w:rPr>
        <w:t>סעיף</w:t>
      </w:r>
      <w:r w:rsidRPr="0090777D">
        <w:rPr>
          <w:rFonts w:cs="Arial"/>
          <w:rtl/>
        </w:rPr>
        <w:t xml:space="preserve"> </w:t>
      </w:r>
      <w:r w:rsidRPr="0090777D">
        <w:rPr>
          <w:rFonts w:cs="Arial" w:hint="cs"/>
          <w:rtl/>
        </w:rPr>
        <w:t>י</w:t>
      </w:r>
      <w:r w:rsidRPr="0090777D">
        <w:rPr>
          <w:rFonts w:cs="Arial"/>
          <w:rtl/>
        </w:rPr>
        <w:t xml:space="preserve">) </w:t>
      </w:r>
      <w:r w:rsidRPr="0090777D">
        <w:rPr>
          <w:rFonts w:cs="Arial" w:hint="cs"/>
          <w:rtl/>
        </w:rPr>
        <w:t>במקום</w:t>
      </w:r>
      <w:r w:rsidRPr="0090777D">
        <w:rPr>
          <w:rFonts w:cs="Arial"/>
          <w:rtl/>
        </w:rPr>
        <w:t xml:space="preserve"> </w:t>
      </w:r>
      <w:r w:rsidRPr="0090777D">
        <w:rPr>
          <w:rFonts w:cs="Arial" w:hint="cs"/>
          <w:rtl/>
        </w:rPr>
        <w:t>דנהגו</w:t>
      </w:r>
      <w:r w:rsidRPr="0090777D">
        <w:rPr>
          <w:rFonts w:cs="Arial"/>
          <w:rtl/>
        </w:rPr>
        <w:t xml:space="preserve"> </w:t>
      </w:r>
      <w:r w:rsidRPr="0090777D">
        <w:rPr>
          <w:rFonts w:cs="Arial" w:hint="cs"/>
          <w:rtl/>
        </w:rPr>
        <w:t>שלא</w:t>
      </w:r>
      <w:r w:rsidRPr="0090777D">
        <w:rPr>
          <w:rFonts w:cs="Arial"/>
          <w:rtl/>
        </w:rPr>
        <w:t xml:space="preserve"> </w:t>
      </w:r>
      <w:r w:rsidRPr="0090777D">
        <w:rPr>
          <w:rFonts w:cs="Arial" w:hint="cs"/>
          <w:rtl/>
        </w:rPr>
        <w:t>לכתוב</w:t>
      </w:r>
      <w:r w:rsidRPr="0090777D">
        <w:rPr>
          <w:rFonts w:cs="Arial"/>
          <w:rtl/>
        </w:rPr>
        <w:t xml:space="preserve"> </w:t>
      </w:r>
      <w:r w:rsidRPr="0090777D">
        <w:rPr>
          <w:rFonts w:cs="Arial" w:hint="cs"/>
          <w:rtl/>
        </w:rPr>
        <w:t>מי</w:t>
      </w:r>
      <w:r w:rsidRPr="0090777D">
        <w:rPr>
          <w:rFonts w:cs="Arial"/>
          <w:rtl/>
        </w:rPr>
        <w:t xml:space="preserve"> </w:t>
      </w:r>
      <w:r w:rsidRPr="0090777D">
        <w:rPr>
          <w:rFonts w:cs="Arial" w:hint="cs"/>
          <w:rtl/>
        </w:rPr>
        <w:t>מעינות</w:t>
      </w:r>
      <w:r w:rsidRPr="0090777D">
        <w:rPr>
          <w:rFonts w:cs="Arial"/>
          <w:rtl/>
        </w:rPr>
        <w:t xml:space="preserve"> </w:t>
      </w:r>
      <w:r w:rsidRPr="0090777D">
        <w:rPr>
          <w:rFonts w:cs="Arial" w:hint="cs"/>
          <w:rtl/>
        </w:rPr>
        <w:t>אין</w:t>
      </w:r>
      <w:r w:rsidRPr="0090777D">
        <w:rPr>
          <w:rFonts w:cs="Arial"/>
          <w:rtl/>
        </w:rPr>
        <w:t xml:space="preserve"> </w:t>
      </w:r>
      <w:r w:rsidRPr="0090777D">
        <w:rPr>
          <w:rFonts w:cs="Arial" w:hint="cs"/>
          <w:rtl/>
        </w:rPr>
        <w:t>לכתבן</w:t>
      </w:r>
      <w:r w:rsidRPr="0090777D">
        <w:rPr>
          <w:rFonts w:cs="Arial"/>
          <w:rtl/>
        </w:rPr>
        <w:t xml:space="preserve"> </w:t>
      </w:r>
      <w:r w:rsidRPr="0090777D">
        <w:rPr>
          <w:rFonts w:cs="Arial" w:hint="cs"/>
          <w:rtl/>
        </w:rPr>
        <w:t>שלא</w:t>
      </w:r>
      <w:r w:rsidRPr="0090777D">
        <w:rPr>
          <w:rFonts w:cs="Arial"/>
          <w:rtl/>
        </w:rPr>
        <w:t xml:space="preserve"> </w:t>
      </w:r>
      <w:r w:rsidRPr="0090777D">
        <w:rPr>
          <w:rFonts w:cs="Arial" w:hint="cs"/>
          <w:rtl/>
        </w:rPr>
        <w:t>להוציא</w:t>
      </w:r>
      <w:r w:rsidRPr="0090777D">
        <w:rPr>
          <w:rFonts w:cs="Arial"/>
          <w:rtl/>
        </w:rPr>
        <w:t xml:space="preserve"> </w:t>
      </w:r>
      <w:r w:rsidRPr="0090777D">
        <w:rPr>
          <w:rFonts w:cs="Arial" w:hint="cs"/>
          <w:rtl/>
        </w:rPr>
        <w:t>לעז</w:t>
      </w:r>
      <w:r w:rsidRPr="0090777D">
        <w:rPr>
          <w:rFonts w:cs="Arial"/>
          <w:rtl/>
        </w:rPr>
        <w:t xml:space="preserve"> </w:t>
      </w:r>
      <w:r w:rsidRPr="0090777D">
        <w:rPr>
          <w:rFonts w:cs="Arial" w:hint="cs"/>
          <w:rtl/>
        </w:rPr>
        <w:t>על</w:t>
      </w:r>
      <w:r w:rsidRPr="0090777D">
        <w:rPr>
          <w:rFonts w:cs="Arial"/>
          <w:rtl/>
        </w:rPr>
        <w:t xml:space="preserve"> </w:t>
      </w:r>
      <w:r w:rsidRPr="0090777D">
        <w:rPr>
          <w:rFonts w:cs="Arial" w:hint="cs"/>
          <w:rtl/>
        </w:rPr>
        <w:t>גיטין</w:t>
      </w:r>
      <w:r w:rsidRPr="0090777D">
        <w:rPr>
          <w:rFonts w:cs="Arial"/>
          <w:rtl/>
        </w:rPr>
        <w:t xml:space="preserve"> </w:t>
      </w:r>
      <w:r w:rsidRPr="0090777D">
        <w:rPr>
          <w:rFonts w:cs="Arial" w:hint="cs"/>
          <w:rtl/>
        </w:rPr>
        <w:t>הראשונים</w:t>
      </w:r>
      <w:r>
        <w:rPr>
          <w:rFonts w:cs="Arial" w:hint="cs"/>
          <w:rtl/>
        </w:rPr>
        <w:t xml:space="preserve">, </w:t>
      </w:r>
      <w:r w:rsidRPr="009C6B2F">
        <w:rPr>
          <w:rFonts w:cs="Arial" w:hint="cs"/>
          <w:b/>
          <w:bCs/>
          <w:rtl/>
        </w:rPr>
        <w:t>דרכ"מ</w:t>
      </w:r>
      <w:r>
        <w:rPr>
          <w:rFonts w:cs="Arial" w:hint="cs"/>
          <w:rtl/>
        </w:rPr>
        <w:t xml:space="preserve"> (אות יב).</w:t>
      </w:r>
    </w:p>
  </w:footnote>
  <w:footnote w:id="1019">
    <w:p w14:paraId="43D59195" w14:textId="77777777" w:rsidR="00FA2119" w:rsidRDefault="00FA2119" w:rsidP="00FA2119">
      <w:pPr>
        <w:pStyle w:val="a5"/>
        <w:rPr>
          <w:rtl/>
        </w:rPr>
      </w:pPr>
      <w:r>
        <w:rPr>
          <w:rStyle w:val="a7"/>
        </w:rPr>
        <w:footnoteRef/>
      </w:r>
      <w:r>
        <w:rPr>
          <w:rtl/>
        </w:rPr>
        <w:t xml:space="preserve"> </w:t>
      </w:r>
      <w:r w:rsidRPr="009C6B2F">
        <w:rPr>
          <w:rFonts w:cs="Arial"/>
          <w:rtl/>
        </w:rPr>
        <w:t>ור"י מפריש חולק ואומר שאין לכתוב כ"א עיקר סיפוק המים</w:t>
      </w:r>
      <w:r>
        <w:rPr>
          <w:rFonts w:hint="cs"/>
          <w:rtl/>
        </w:rPr>
        <w:t>, מרדכי (שם).</w:t>
      </w:r>
    </w:p>
  </w:footnote>
  <w:footnote w:id="1020">
    <w:p w14:paraId="733EEA7A" w14:textId="77777777" w:rsidR="00FA2119" w:rsidRDefault="00FA2119" w:rsidP="00FA2119">
      <w:pPr>
        <w:pStyle w:val="a5"/>
        <w:rPr>
          <w:rtl/>
        </w:rPr>
      </w:pPr>
      <w:r>
        <w:rPr>
          <w:rStyle w:val="a7"/>
        </w:rPr>
        <w:footnoteRef/>
      </w:r>
      <w:r>
        <w:rPr>
          <w:rtl/>
        </w:rPr>
        <w:t xml:space="preserve"> </w:t>
      </w:r>
      <w:r w:rsidRPr="00BE28BE">
        <w:rPr>
          <w:rFonts w:cs="Arial" w:hint="cs"/>
          <w:rtl/>
        </w:rPr>
        <w:t>ונראה</w:t>
      </w:r>
      <w:r w:rsidRPr="00BE28BE">
        <w:rPr>
          <w:rFonts w:cs="Arial"/>
          <w:rtl/>
        </w:rPr>
        <w:t xml:space="preserve"> </w:t>
      </w:r>
      <w:r w:rsidRPr="00BE28BE">
        <w:rPr>
          <w:rFonts w:cs="Arial" w:hint="cs"/>
          <w:rtl/>
        </w:rPr>
        <w:t>לי</w:t>
      </w:r>
      <w:r w:rsidRPr="00BE28BE">
        <w:rPr>
          <w:rFonts w:cs="Arial"/>
          <w:rtl/>
        </w:rPr>
        <w:t xml:space="preserve"> </w:t>
      </w:r>
      <w:r w:rsidRPr="00BE28BE">
        <w:rPr>
          <w:rFonts w:cs="Arial" w:hint="cs"/>
          <w:rtl/>
        </w:rPr>
        <w:t>דמה</w:t>
      </w:r>
      <w:r w:rsidRPr="00BE28BE">
        <w:rPr>
          <w:rFonts w:cs="Arial"/>
          <w:rtl/>
        </w:rPr>
        <w:t xml:space="preserve"> </w:t>
      </w:r>
      <w:r w:rsidRPr="00BE28BE">
        <w:rPr>
          <w:rFonts w:cs="Arial" w:hint="cs"/>
          <w:rtl/>
        </w:rPr>
        <w:t>שכתב</w:t>
      </w:r>
      <w:r w:rsidRPr="00BE28BE">
        <w:rPr>
          <w:rFonts w:cs="Arial"/>
          <w:rtl/>
        </w:rPr>
        <w:t xml:space="preserve"> </w:t>
      </w:r>
      <w:r w:rsidRPr="00BE28BE">
        <w:rPr>
          <w:rFonts w:cs="Arial" w:hint="cs"/>
          <w:rtl/>
        </w:rPr>
        <w:t>דבשינוי</w:t>
      </w:r>
      <w:r w:rsidRPr="00BE28BE">
        <w:rPr>
          <w:rFonts w:cs="Arial"/>
          <w:rtl/>
        </w:rPr>
        <w:t xml:space="preserve"> </w:t>
      </w:r>
      <w:r w:rsidRPr="00BE28BE">
        <w:rPr>
          <w:rFonts w:cs="Arial" w:hint="cs"/>
          <w:rtl/>
        </w:rPr>
        <w:t>יש</w:t>
      </w:r>
      <w:r w:rsidRPr="00BE28BE">
        <w:rPr>
          <w:rFonts w:cs="Arial"/>
          <w:rtl/>
        </w:rPr>
        <w:t xml:space="preserve"> </w:t>
      </w:r>
      <w:r w:rsidRPr="00BE28BE">
        <w:rPr>
          <w:rFonts w:cs="Arial" w:hint="cs"/>
          <w:rtl/>
        </w:rPr>
        <w:t>פוסלין</w:t>
      </w:r>
      <w:r w:rsidRPr="00BE28BE">
        <w:rPr>
          <w:rFonts w:cs="Arial"/>
          <w:rtl/>
        </w:rPr>
        <w:t xml:space="preserve"> </w:t>
      </w:r>
      <w:r w:rsidRPr="00BE28BE">
        <w:rPr>
          <w:rFonts w:cs="Arial" w:hint="cs"/>
          <w:rtl/>
        </w:rPr>
        <w:t>אפילו</w:t>
      </w:r>
      <w:r w:rsidRPr="00BE28BE">
        <w:rPr>
          <w:rFonts w:cs="Arial"/>
          <w:rtl/>
        </w:rPr>
        <w:t xml:space="preserve"> </w:t>
      </w:r>
      <w:r w:rsidRPr="00BE28BE">
        <w:rPr>
          <w:rFonts w:cs="Arial" w:hint="cs"/>
          <w:rtl/>
        </w:rPr>
        <w:t>בדבר</w:t>
      </w:r>
      <w:r w:rsidRPr="00BE28BE">
        <w:rPr>
          <w:rFonts w:cs="Arial"/>
          <w:rtl/>
        </w:rPr>
        <w:t xml:space="preserve"> </w:t>
      </w:r>
      <w:r w:rsidRPr="00BE28BE">
        <w:rPr>
          <w:rFonts w:cs="Arial" w:hint="cs"/>
          <w:rtl/>
        </w:rPr>
        <w:t>שאילו</w:t>
      </w:r>
      <w:r w:rsidRPr="00BE28BE">
        <w:rPr>
          <w:rFonts w:cs="Arial"/>
          <w:rtl/>
        </w:rPr>
        <w:t xml:space="preserve"> </w:t>
      </w:r>
      <w:r w:rsidRPr="00BE28BE">
        <w:rPr>
          <w:rFonts w:cs="Arial" w:hint="cs"/>
          <w:rtl/>
        </w:rPr>
        <w:t>חסרו</w:t>
      </w:r>
      <w:r w:rsidRPr="00BE28BE">
        <w:rPr>
          <w:rFonts w:cs="Arial"/>
          <w:rtl/>
        </w:rPr>
        <w:t xml:space="preserve"> </w:t>
      </w:r>
      <w:r w:rsidRPr="00BE28BE">
        <w:rPr>
          <w:rFonts w:cs="Arial" w:hint="cs"/>
          <w:rtl/>
        </w:rPr>
        <w:t>לא</w:t>
      </w:r>
      <w:r w:rsidRPr="00BE28BE">
        <w:rPr>
          <w:rFonts w:cs="Arial"/>
          <w:rtl/>
        </w:rPr>
        <w:t xml:space="preserve"> </w:t>
      </w:r>
      <w:r w:rsidRPr="00BE28BE">
        <w:rPr>
          <w:rFonts w:cs="Arial" w:hint="cs"/>
          <w:rtl/>
        </w:rPr>
        <w:t>נפסל</w:t>
      </w:r>
      <w:r w:rsidRPr="00BE28BE">
        <w:rPr>
          <w:rFonts w:cs="Arial"/>
          <w:rtl/>
        </w:rPr>
        <w:t xml:space="preserve"> </w:t>
      </w:r>
      <w:r w:rsidRPr="00BE28BE">
        <w:rPr>
          <w:rFonts w:cs="Arial" w:hint="cs"/>
          <w:rtl/>
        </w:rPr>
        <w:t>בכך</w:t>
      </w:r>
      <w:r w:rsidRPr="00BE28BE">
        <w:rPr>
          <w:rFonts w:cs="Arial"/>
          <w:rtl/>
        </w:rPr>
        <w:t xml:space="preserve"> </w:t>
      </w:r>
      <w:r w:rsidRPr="00BE28BE">
        <w:rPr>
          <w:rFonts w:cs="Arial" w:hint="cs"/>
          <w:rtl/>
        </w:rPr>
        <w:t>הוא</w:t>
      </w:r>
      <w:r w:rsidRPr="00BE28BE">
        <w:rPr>
          <w:rFonts w:cs="Arial"/>
          <w:rtl/>
        </w:rPr>
        <w:t xml:space="preserve"> </w:t>
      </w:r>
      <w:r w:rsidRPr="00BE28BE">
        <w:rPr>
          <w:rFonts w:cs="Arial" w:hint="cs"/>
          <w:rtl/>
        </w:rPr>
        <w:t>בעל</w:t>
      </w:r>
      <w:r w:rsidRPr="00BE28BE">
        <w:rPr>
          <w:rFonts w:cs="Arial"/>
          <w:rtl/>
        </w:rPr>
        <w:t xml:space="preserve"> </w:t>
      </w:r>
      <w:r w:rsidRPr="00BE28BE">
        <w:rPr>
          <w:rFonts w:cs="Arial" w:hint="cs"/>
          <w:rtl/>
        </w:rPr>
        <w:t>התרומה</w:t>
      </w:r>
      <w:r w:rsidRPr="00BE28BE">
        <w:rPr>
          <w:rFonts w:cs="Arial"/>
          <w:rtl/>
        </w:rPr>
        <w:t xml:space="preserve"> (</w:t>
      </w:r>
      <w:r w:rsidRPr="00BE28BE">
        <w:rPr>
          <w:rFonts w:cs="Arial" w:hint="cs"/>
          <w:rtl/>
        </w:rPr>
        <w:t>סי</w:t>
      </w:r>
      <w:r w:rsidRPr="00BE28BE">
        <w:rPr>
          <w:rFonts w:cs="Arial"/>
          <w:rtl/>
        </w:rPr>
        <w:t xml:space="preserve">' </w:t>
      </w:r>
      <w:r w:rsidRPr="00BE28BE">
        <w:rPr>
          <w:rFonts w:cs="Arial" w:hint="cs"/>
          <w:rtl/>
        </w:rPr>
        <w:t>קכט</w:t>
      </w:r>
      <w:r w:rsidRPr="00BE28BE">
        <w:rPr>
          <w:rFonts w:cs="Arial"/>
          <w:rtl/>
        </w:rPr>
        <w:t xml:space="preserve">) </w:t>
      </w:r>
      <w:r w:rsidRPr="00BE28BE">
        <w:rPr>
          <w:rFonts w:cs="Arial" w:hint="cs"/>
          <w:rtl/>
        </w:rPr>
        <w:t>המסתפק</w:t>
      </w:r>
      <w:r w:rsidRPr="00BE28BE">
        <w:rPr>
          <w:rFonts w:cs="Arial"/>
          <w:rtl/>
        </w:rPr>
        <w:t xml:space="preserve"> </w:t>
      </w:r>
      <w:r w:rsidRPr="00BE28BE">
        <w:rPr>
          <w:rFonts w:cs="Arial" w:hint="cs"/>
          <w:rtl/>
        </w:rPr>
        <w:t>בשינה</w:t>
      </w:r>
      <w:r w:rsidRPr="00BE28BE">
        <w:rPr>
          <w:rFonts w:cs="Arial"/>
          <w:rtl/>
        </w:rPr>
        <w:t xml:space="preserve"> </w:t>
      </w:r>
      <w:r w:rsidRPr="00BE28BE">
        <w:rPr>
          <w:rFonts w:cs="Arial" w:hint="cs"/>
          <w:rtl/>
        </w:rPr>
        <w:t>מקום</w:t>
      </w:r>
      <w:r w:rsidRPr="00BE28BE">
        <w:rPr>
          <w:rFonts w:cs="Arial"/>
          <w:rtl/>
        </w:rPr>
        <w:t xml:space="preserve"> </w:t>
      </w:r>
      <w:r w:rsidRPr="00BE28BE">
        <w:rPr>
          <w:rFonts w:cs="Arial" w:hint="cs"/>
          <w:rtl/>
        </w:rPr>
        <w:t>העמידה</w:t>
      </w:r>
      <w:r w:rsidRPr="00BE28BE">
        <w:rPr>
          <w:rFonts w:cs="Arial"/>
          <w:rtl/>
        </w:rPr>
        <w:t xml:space="preserve"> </w:t>
      </w:r>
      <w:r w:rsidRPr="00BE28BE">
        <w:rPr>
          <w:rFonts w:cs="Arial" w:hint="cs"/>
          <w:rtl/>
        </w:rPr>
        <w:t>אם</w:t>
      </w:r>
      <w:r w:rsidRPr="00BE28BE">
        <w:rPr>
          <w:rFonts w:cs="Arial"/>
          <w:rtl/>
        </w:rPr>
        <w:t xml:space="preserve"> </w:t>
      </w:r>
      <w:r w:rsidRPr="00BE28BE">
        <w:rPr>
          <w:rFonts w:cs="Arial" w:hint="cs"/>
          <w:rtl/>
        </w:rPr>
        <w:t>הוא</w:t>
      </w:r>
      <w:r w:rsidRPr="00BE28BE">
        <w:rPr>
          <w:rFonts w:cs="Arial"/>
          <w:rtl/>
        </w:rPr>
        <w:t xml:space="preserve"> </w:t>
      </w:r>
      <w:r w:rsidRPr="00BE28BE">
        <w:rPr>
          <w:rFonts w:cs="Arial" w:hint="cs"/>
          <w:rtl/>
        </w:rPr>
        <w:t>פסול</w:t>
      </w:r>
      <w:r w:rsidRPr="00BE28BE">
        <w:rPr>
          <w:rFonts w:cs="Arial"/>
          <w:rtl/>
        </w:rPr>
        <w:t xml:space="preserve"> </w:t>
      </w:r>
      <w:r w:rsidRPr="00BE28BE">
        <w:rPr>
          <w:rFonts w:cs="Arial" w:hint="cs"/>
          <w:rtl/>
        </w:rPr>
        <w:t>וכמו</w:t>
      </w:r>
      <w:r w:rsidRPr="00BE28BE">
        <w:rPr>
          <w:rFonts w:cs="Arial"/>
          <w:rtl/>
        </w:rPr>
        <w:t xml:space="preserve"> </w:t>
      </w:r>
      <w:r w:rsidRPr="00BE28BE">
        <w:rPr>
          <w:rFonts w:cs="Arial" w:hint="cs"/>
          <w:rtl/>
        </w:rPr>
        <w:t>שכתבתי</w:t>
      </w:r>
      <w:r w:rsidRPr="00BE28BE">
        <w:rPr>
          <w:rFonts w:cs="Arial"/>
          <w:rtl/>
        </w:rPr>
        <w:t xml:space="preserve"> </w:t>
      </w:r>
      <w:r w:rsidRPr="00BE28BE">
        <w:rPr>
          <w:rFonts w:cs="Arial" w:hint="cs"/>
          <w:rtl/>
        </w:rPr>
        <w:t>בסימן</w:t>
      </w:r>
      <w:r w:rsidRPr="00BE28BE">
        <w:rPr>
          <w:rFonts w:cs="Arial"/>
          <w:rtl/>
        </w:rPr>
        <w:t xml:space="preserve"> </w:t>
      </w:r>
      <w:r w:rsidRPr="00BE28BE">
        <w:rPr>
          <w:rFonts w:cs="Arial" w:hint="cs"/>
          <w:rtl/>
        </w:rPr>
        <w:t>זה</w:t>
      </w:r>
      <w:r w:rsidRPr="00BE28BE">
        <w:rPr>
          <w:rFonts w:cs="Arial"/>
          <w:rtl/>
        </w:rPr>
        <w:t xml:space="preserve"> (</w:t>
      </w:r>
      <w:r w:rsidRPr="00BE28BE">
        <w:rPr>
          <w:rFonts w:cs="Arial" w:hint="cs"/>
          <w:rtl/>
        </w:rPr>
        <w:t>כב</w:t>
      </w:r>
      <w:r w:rsidRPr="00BE28BE">
        <w:rPr>
          <w:rFonts w:cs="Arial"/>
          <w:rtl/>
        </w:rPr>
        <w:t>.)</w:t>
      </w:r>
      <w:r>
        <w:rPr>
          <w:rFonts w:cs="Arial" w:hint="cs"/>
          <w:rtl/>
        </w:rPr>
        <w:t xml:space="preserve">, </w:t>
      </w:r>
      <w:r w:rsidRPr="00A81F1E">
        <w:rPr>
          <w:rFonts w:cs="Arial" w:hint="cs"/>
          <w:b/>
          <w:bCs/>
          <w:rtl/>
        </w:rPr>
        <w:t>ב"י</w:t>
      </w:r>
      <w:r>
        <w:rPr>
          <w:rFonts w:cs="Arial" w:hint="cs"/>
          <w:rtl/>
        </w:rPr>
        <w:t>.</w:t>
      </w:r>
      <w:r w:rsidRPr="0090777D">
        <w:rPr>
          <w:rFonts w:cs="Arial"/>
          <w:rtl/>
        </w:rPr>
        <w:t xml:space="preserve"> </w:t>
      </w:r>
      <w:r w:rsidRPr="0090777D">
        <w:rPr>
          <w:rFonts w:cs="Arial" w:hint="cs"/>
          <w:rtl/>
        </w:rPr>
        <w:t>וכבר</w:t>
      </w:r>
      <w:r w:rsidRPr="0090777D">
        <w:rPr>
          <w:rFonts w:cs="Arial"/>
          <w:rtl/>
        </w:rPr>
        <w:t xml:space="preserve"> </w:t>
      </w:r>
      <w:r w:rsidRPr="0090777D">
        <w:rPr>
          <w:rFonts w:cs="Arial" w:hint="cs"/>
          <w:rtl/>
        </w:rPr>
        <w:t>כתבתי</w:t>
      </w:r>
      <w:r w:rsidRPr="0090777D">
        <w:rPr>
          <w:rFonts w:cs="Arial"/>
          <w:rtl/>
        </w:rPr>
        <w:t xml:space="preserve"> </w:t>
      </w:r>
      <w:r w:rsidRPr="007B3849">
        <w:rPr>
          <w:rFonts w:cs="Arial"/>
          <w:sz w:val="16"/>
          <w:szCs w:val="16"/>
          <w:rtl/>
        </w:rPr>
        <w:t>(</w:t>
      </w:r>
      <w:r w:rsidRPr="007B3849">
        <w:rPr>
          <w:rFonts w:cs="Arial" w:hint="cs"/>
          <w:sz w:val="16"/>
          <w:szCs w:val="16"/>
          <w:rtl/>
        </w:rPr>
        <w:t>בד</w:t>
      </w:r>
      <w:r w:rsidRPr="007B3849">
        <w:rPr>
          <w:rFonts w:cs="Arial"/>
          <w:sz w:val="16"/>
          <w:szCs w:val="16"/>
          <w:rtl/>
        </w:rPr>
        <w:t>"</w:t>
      </w:r>
      <w:r w:rsidRPr="007B3849">
        <w:rPr>
          <w:rFonts w:cs="Arial" w:hint="cs"/>
          <w:sz w:val="16"/>
          <w:szCs w:val="16"/>
          <w:rtl/>
        </w:rPr>
        <w:t>מ</w:t>
      </w:r>
      <w:r w:rsidRPr="007B3849">
        <w:rPr>
          <w:rFonts w:cs="Arial"/>
          <w:sz w:val="16"/>
          <w:szCs w:val="16"/>
          <w:rtl/>
        </w:rPr>
        <w:t xml:space="preserve"> </w:t>
      </w:r>
      <w:r w:rsidRPr="007B3849">
        <w:rPr>
          <w:rFonts w:cs="Arial" w:hint="cs"/>
          <w:sz w:val="16"/>
          <w:szCs w:val="16"/>
          <w:rtl/>
        </w:rPr>
        <w:t>הארוך</w:t>
      </w:r>
      <w:r w:rsidRPr="007B3849">
        <w:rPr>
          <w:rFonts w:cs="Arial"/>
          <w:sz w:val="16"/>
          <w:szCs w:val="16"/>
          <w:rtl/>
        </w:rPr>
        <w:t xml:space="preserve"> </w:t>
      </w:r>
      <w:r w:rsidRPr="007B3849">
        <w:rPr>
          <w:rFonts w:cs="Arial" w:hint="cs"/>
          <w:sz w:val="16"/>
          <w:szCs w:val="16"/>
          <w:rtl/>
        </w:rPr>
        <w:t>ריש</w:t>
      </w:r>
      <w:r w:rsidRPr="007B3849">
        <w:rPr>
          <w:rFonts w:cs="Arial"/>
          <w:sz w:val="16"/>
          <w:szCs w:val="16"/>
          <w:rtl/>
        </w:rPr>
        <w:t xml:space="preserve"> </w:t>
      </w:r>
      <w:r w:rsidRPr="007B3849">
        <w:rPr>
          <w:rFonts w:cs="Arial" w:hint="cs"/>
          <w:sz w:val="16"/>
          <w:szCs w:val="16"/>
          <w:rtl/>
        </w:rPr>
        <w:t>סעיף</w:t>
      </w:r>
      <w:r w:rsidRPr="007B3849">
        <w:rPr>
          <w:rFonts w:cs="Arial"/>
          <w:sz w:val="16"/>
          <w:szCs w:val="16"/>
          <w:rtl/>
        </w:rPr>
        <w:t xml:space="preserve"> </w:t>
      </w:r>
      <w:r w:rsidRPr="007B3849">
        <w:rPr>
          <w:rFonts w:cs="Arial" w:hint="cs"/>
          <w:sz w:val="16"/>
          <w:szCs w:val="16"/>
          <w:rtl/>
        </w:rPr>
        <w:t>ב</w:t>
      </w:r>
      <w:r w:rsidRPr="007B3849">
        <w:rPr>
          <w:rFonts w:cs="Arial"/>
          <w:sz w:val="16"/>
          <w:szCs w:val="16"/>
          <w:rtl/>
        </w:rPr>
        <w:t>(</w:t>
      </w:r>
      <w:r w:rsidRPr="007B3849">
        <w:rPr>
          <w:rFonts w:cs="Arial" w:hint="cs"/>
          <w:sz w:val="16"/>
          <w:szCs w:val="16"/>
          <w:rtl/>
        </w:rPr>
        <w:t>ב</w:t>
      </w:r>
      <w:r w:rsidRPr="007B3849">
        <w:rPr>
          <w:rFonts w:cs="Arial"/>
          <w:sz w:val="16"/>
          <w:szCs w:val="16"/>
          <w:rtl/>
        </w:rPr>
        <w:t xml:space="preserve">) </w:t>
      </w:r>
      <w:r w:rsidRPr="007B3849">
        <w:rPr>
          <w:rFonts w:cs="Arial" w:hint="cs"/>
          <w:sz w:val="16"/>
          <w:szCs w:val="16"/>
          <w:rtl/>
        </w:rPr>
        <w:t>ובד</w:t>
      </w:r>
      <w:r w:rsidRPr="007B3849">
        <w:rPr>
          <w:rFonts w:cs="Arial"/>
          <w:sz w:val="16"/>
          <w:szCs w:val="16"/>
          <w:rtl/>
        </w:rPr>
        <w:t>"</w:t>
      </w:r>
      <w:r w:rsidRPr="007B3849">
        <w:rPr>
          <w:rFonts w:cs="Arial" w:hint="cs"/>
          <w:sz w:val="16"/>
          <w:szCs w:val="16"/>
          <w:rtl/>
        </w:rPr>
        <w:t>מ</w:t>
      </w:r>
      <w:r w:rsidRPr="007B3849">
        <w:rPr>
          <w:rFonts w:cs="Arial"/>
          <w:sz w:val="16"/>
          <w:szCs w:val="16"/>
          <w:rtl/>
        </w:rPr>
        <w:t xml:space="preserve"> </w:t>
      </w:r>
      <w:r w:rsidRPr="007B3849">
        <w:rPr>
          <w:rFonts w:cs="Arial" w:hint="cs"/>
          <w:sz w:val="16"/>
          <w:szCs w:val="16"/>
          <w:rtl/>
        </w:rPr>
        <w:t>הקצר</w:t>
      </w:r>
      <w:r w:rsidRPr="007B3849">
        <w:rPr>
          <w:rFonts w:cs="Arial"/>
          <w:sz w:val="16"/>
          <w:szCs w:val="16"/>
          <w:rtl/>
        </w:rPr>
        <w:t xml:space="preserve"> </w:t>
      </w:r>
      <w:r w:rsidRPr="007B3849">
        <w:rPr>
          <w:rFonts w:cs="Arial" w:hint="cs"/>
          <w:sz w:val="16"/>
          <w:szCs w:val="16"/>
          <w:rtl/>
        </w:rPr>
        <w:t>אות</w:t>
      </w:r>
      <w:r w:rsidRPr="007B3849">
        <w:rPr>
          <w:rFonts w:cs="Arial"/>
          <w:sz w:val="16"/>
          <w:szCs w:val="16"/>
          <w:rtl/>
        </w:rPr>
        <w:t xml:space="preserve"> </w:t>
      </w:r>
      <w:r w:rsidRPr="007B3849">
        <w:rPr>
          <w:rFonts w:cs="Arial" w:hint="cs"/>
          <w:sz w:val="16"/>
          <w:szCs w:val="16"/>
          <w:rtl/>
        </w:rPr>
        <w:t>א</w:t>
      </w:r>
      <w:r w:rsidRPr="007B3849">
        <w:rPr>
          <w:rFonts w:cs="Arial"/>
          <w:sz w:val="16"/>
          <w:szCs w:val="16"/>
          <w:rtl/>
        </w:rPr>
        <w:t>)</w:t>
      </w:r>
      <w:r w:rsidRPr="0090777D">
        <w:rPr>
          <w:rFonts w:cs="Arial"/>
          <w:rtl/>
        </w:rPr>
        <w:t xml:space="preserve"> </w:t>
      </w:r>
      <w:r w:rsidRPr="0090777D">
        <w:rPr>
          <w:rFonts w:cs="Arial" w:hint="cs"/>
          <w:rtl/>
        </w:rPr>
        <w:t>דברי</w:t>
      </w:r>
      <w:r w:rsidRPr="0090777D">
        <w:rPr>
          <w:rFonts w:cs="Arial"/>
          <w:rtl/>
        </w:rPr>
        <w:t xml:space="preserve"> </w:t>
      </w:r>
      <w:r w:rsidRPr="0090777D">
        <w:rPr>
          <w:rFonts w:cs="Arial" w:hint="cs"/>
          <w:rtl/>
        </w:rPr>
        <w:t>הפוסקים</w:t>
      </w:r>
      <w:r w:rsidRPr="0090777D">
        <w:rPr>
          <w:rFonts w:cs="Arial"/>
          <w:rtl/>
        </w:rPr>
        <w:t xml:space="preserve"> </w:t>
      </w:r>
      <w:r w:rsidRPr="0090777D">
        <w:rPr>
          <w:rFonts w:cs="Arial" w:hint="cs"/>
          <w:rtl/>
        </w:rPr>
        <w:t>בזה</w:t>
      </w:r>
      <w:r w:rsidRPr="0090777D">
        <w:rPr>
          <w:rFonts w:cs="Arial"/>
          <w:rtl/>
        </w:rPr>
        <w:t xml:space="preserve">. </w:t>
      </w:r>
      <w:r w:rsidRPr="0090777D">
        <w:rPr>
          <w:rFonts w:cs="Arial" w:hint="cs"/>
          <w:rtl/>
        </w:rPr>
        <w:t>ותשובת</w:t>
      </w:r>
      <w:r w:rsidRPr="0090777D">
        <w:rPr>
          <w:rFonts w:cs="Arial"/>
          <w:rtl/>
        </w:rPr>
        <w:t xml:space="preserve"> </w:t>
      </w:r>
      <w:r w:rsidRPr="0090777D">
        <w:rPr>
          <w:rFonts w:cs="Arial" w:hint="cs"/>
          <w:rtl/>
        </w:rPr>
        <w:t>מהרי</w:t>
      </w:r>
      <w:r w:rsidRPr="0090777D">
        <w:rPr>
          <w:rFonts w:cs="Arial"/>
          <w:rtl/>
        </w:rPr>
        <w:t>"</w:t>
      </w:r>
      <w:r w:rsidRPr="0090777D">
        <w:rPr>
          <w:rFonts w:cs="Arial" w:hint="cs"/>
          <w:rtl/>
        </w:rPr>
        <w:t>ל</w:t>
      </w:r>
      <w:r w:rsidRPr="0090777D">
        <w:rPr>
          <w:rFonts w:cs="Arial"/>
          <w:rtl/>
        </w:rPr>
        <w:t xml:space="preserve"> </w:t>
      </w:r>
      <w:r w:rsidRPr="0090777D">
        <w:rPr>
          <w:rFonts w:cs="Arial" w:hint="cs"/>
          <w:rtl/>
        </w:rPr>
        <w:t>דלעיל</w:t>
      </w:r>
      <w:r w:rsidRPr="0090777D">
        <w:rPr>
          <w:rFonts w:cs="Arial"/>
          <w:rtl/>
        </w:rPr>
        <w:t xml:space="preserve"> </w:t>
      </w:r>
      <w:r w:rsidRPr="007B3849">
        <w:rPr>
          <w:rFonts w:cs="Arial"/>
          <w:sz w:val="16"/>
          <w:szCs w:val="16"/>
          <w:rtl/>
        </w:rPr>
        <w:t>(</w:t>
      </w:r>
      <w:r w:rsidRPr="007B3849">
        <w:rPr>
          <w:rFonts w:cs="Arial" w:hint="cs"/>
          <w:sz w:val="16"/>
          <w:szCs w:val="16"/>
          <w:rtl/>
        </w:rPr>
        <w:t>בד</w:t>
      </w:r>
      <w:r w:rsidRPr="007B3849">
        <w:rPr>
          <w:rFonts w:cs="Arial"/>
          <w:sz w:val="16"/>
          <w:szCs w:val="16"/>
          <w:rtl/>
        </w:rPr>
        <w:t>"</w:t>
      </w:r>
      <w:r w:rsidRPr="007B3849">
        <w:rPr>
          <w:rFonts w:cs="Arial" w:hint="cs"/>
          <w:sz w:val="16"/>
          <w:szCs w:val="16"/>
          <w:rtl/>
        </w:rPr>
        <w:t>מ</w:t>
      </w:r>
      <w:r w:rsidRPr="007B3849">
        <w:rPr>
          <w:rFonts w:cs="Arial"/>
          <w:sz w:val="16"/>
          <w:szCs w:val="16"/>
          <w:rtl/>
        </w:rPr>
        <w:t xml:space="preserve"> </w:t>
      </w:r>
      <w:r w:rsidRPr="007B3849">
        <w:rPr>
          <w:rFonts w:cs="Arial" w:hint="cs"/>
          <w:sz w:val="16"/>
          <w:szCs w:val="16"/>
          <w:rtl/>
        </w:rPr>
        <w:t>הארוך</w:t>
      </w:r>
      <w:r w:rsidRPr="007B3849">
        <w:rPr>
          <w:rFonts w:cs="Arial"/>
          <w:sz w:val="16"/>
          <w:szCs w:val="16"/>
          <w:rtl/>
        </w:rPr>
        <w:t xml:space="preserve">, </w:t>
      </w:r>
      <w:r w:rsidRPr="007B3849">
        <w:rPr>
          <w:rFonts w:cs="Arial" w:hint="cs"/>
          <w:sz w:val="16"/>
          <w:szCs w:val="16"/>
          <w:rtl/>
        </w:rPr>
        <w:t>ובב</w:t>
      </w:r>
      <w:r w:rsidRPr="007B3849">
        <w:rPr>
          <w:rFonts w:cs="Arial"/>
          <w:sz w:val="16"/>
          <w:szCs w:val="16"/>
          <w:rtl/>
        </w:rPr>
        <w:t>"</w:t>
      </w:r>
      <w:r w:rsidRPr="007B3849">
        <w:rPr>
          <w:rFonts w:cs="Arial" w:hint="cs"/>
          <w:sz w:val="16"/>
          <w:szCs w:val="16"/>
          <w:rtl/>
        </w:rPr>
        <w:t>י</w:t>
      </w:r>
      <w:r w:rsidRPr="007B3849">
        <w:rPr>
          <w:rFonts w:cs="Arial"/>
          <w:sz w:val="16"/>
          <w:szCs w:val="16"/>
          <w:rtl/>
        </w:rPr>
        <w:t xml:space="preserve"> </w:t>
      </w:r>
      <w:r w:rsidRPr="007B3849">
        <w:rPr>
          <w:rFonts w:cs="Arial" w:hint="cs"/>
          <w:sz w:val="16"/>
          <w:szCs w:val="16"/>
          <w:rtl/>
        </w:rPr>
        <w:t>סוף</w:t>
      </w:r>
      <w:r w:rsidRPr="007B3849">
        <w:rPr>
          <w:rFonts w:cs="Arial"/>
          <w:sz w:val="16"/>
          <w:szCs w:val="16"/>
          <w:rtl/>
        </w:rPr>
        <w:t xml:space="preserve"> </w:t>
      </w:r>
      <w:r w:rsidRPr="007B3849">
        <w:rPr>
          <w:rFonts w:cs="Arial" w:hint="cs"/>
          <w:sz w:val="16"/>
          <w:szCs w:val="16"/>
          <w:rtl/>
        </w:rPr>
        <w:t>סעיף</w:t>
      </w:r>
      <w:r w:rsidRPr="007B3849">
        <w:rPr>
          <w:rFonts w:cs="Arial"/>
          <w:sz w:val="16"/>
          <w:szCs w:val="16"/>
          <w:rtl/>
        </w:rPr>
        <w:t xml:space="preserve"> </w:t>
      </w:r>
      <w:r w:rsidRPr="007B3849">
        <w:rPr>
          <w:rFonts w:cs="Arial" w:hint="cs"/>
          <w:sz w:val="16"/>
          <w:szCs w:val="16"/>
          <w:rtl/>
        </w:rPr>
        <w:t>ד</w:t>
      </w:r>
      <w:r w:rsidRPr="007B3849">
        <w:rPr>
          <w:rFonts w:cs="Arial"/>
          <w:sz w:val="16"/>
          <w:szCs w:val="16"/>
          <w:rtl/>
        </w:rPr>
        <w:t>)</w:t>
      </w:r>
      <w:r w:rsidRPr="0090777D">
        <w:rPr>
          <w:rFonts w:cs="Arial"/>
          <w:rtl/>
        </w:rPr>
        <w:t xml:space="preserve">, </w:t>
      </w:r>
      <w:r w:rsidRPr="0090777D">
        <w:rPr>
          <w:rFonts w:cs="Arial" w:hint="cs"/>
          <w:rtl/>
        </w:rPr>
        <w:t>שלא</w:t>
      </w:r>
      <w:r w:rsidRPr="0090777D">
        <w:rPr>
          <w:rFonts w:cs="Arial"/>
          <w:rtl/>
        </w:rPr>
        <w:t xml:space="preserve"> </w:t>
      </w:r>
      <w:r w:rsidRPr="0090777D">
        <w:rPr>
          <w:rFonts w:cs="Arial" w:hint="cs"/>
          <w:rtl/>
        </w:rPr>
        <w:t>כדברי</w:t>
      </w:r>
      <w:r w:rsidRPr="0090777D">
        <w:rPr>
          <w:rFonts w:cs="Arial"/>
          <w:rtl/>
        </w:rPr>
        <w:t xml:space="preserve"> </w:t>
      </w:r>
      <w:r w:rsidRPr="0090777D">
        <w:rPr>
          <w:rFonts w:cs="Arial" w:hint="cs"/>
          <w:rtl/>
        </w:rPr>
        <w:t>מהרי</w:t>
      </w:r>
      <w:r w:rsidRPr="0090777D">
        <w:rPr>
          <w:rFonts w:cs="Arial"/>
          <w:rtl/>
        </w:rPr>
        <w:t>"</w:t>
      </w:r>
      <w:r w:rsidRPr="0090777D">
        <w:rPr>
          <w:rFonts w:cs="Arial" w:hint="cs"/>
          <w:rtl/>
        </w:rPr>
        <w:t>ק</w:t>
      </w:r>
      <w:r w:rsidRPr="0090777D">
        <w:rPr>
          <w:rFonts w:cs="Arial"/>
          <w:rtl/>
        </w:rPr>
        <w:t xml:space="preserve"> </w:t>
      </w:r>
      <w:r w:rsidRPr="0090777D">
        <w:rPr>
          <w:rFonts w:cs="Arial" w:hint="cs"/>
          <w:rtl/>
        </w:rPr>
        <w:t>שכתב</w:t>
      </w:r>
      <w:r w:rsidRPr="0090777D">
        <w:rPr>
          <w:rFonts w:cs="Arial"/>
          <w:rtl/>
        </w:rPr>
        <w:t xml:space="preserve"> </w:t>
      </w:r>
      <w:r w:rsidRPr="0090777D">
        <w:rPr>
          <w:rFonts w:cs="Arial" w:hint="cs"/>
          <w:rtl/>
        </w:rPr>
        <w:t>שבשינוי</w:t>
      </w:r>
      <w:r w:rsidRPr="0090777D">
        <w:rPr>
          <w:rFonts w:cs="Arial"/>
          <w:rtl/>
        </w:rPr>
        <w:t xml:space="preserve"> </w:t>
      </w:r>
      <w:r w:rsidRPr="0090777D">
        <w:rPr>
          <w:rFonts w:cs="Arial" w:hint="cs"/>
          <w:rtl/>
        </w:rPr>
        <w:t>שם</w:t>
      </w:r>
      <w:r w:rsidRPr="0090777D">
        <w:rPr>
          <w:rFonts w:cs="Arial"/>
          <w:rtl/>
        </w:rPr>
        <w:t xml:space="preserve"> </w:t>
      </w:r>
      <w:r w:rsidRPr="0090777D">
        <w:rPr>
          <w:rFonts w:cs="Arial" w:hint="cs"/>
          <w:rtl/>
        </w:rPr>
        <w:t>הנהר</w:t>
      </w:r>
      <w:r w:rsidRPr="0090777D">
        <w:rPr>
          <w:rFonts w:cs="Arial"/>
          <w:rtl/>
        </w:rPr>
        <w:t xml:space="preserve"> </w:t>
      </w:r>
      <w:r w:rsidRPr="0090777D">
        <w:rPr>
          <w:rFonts w:cs="Arial" w:hint="cs"/>
          <w:rtl/>
        </w:rPr>
        <w:t>אפילו</w:t>
      </w:r>
      <w:r w:rsidRPr="0090777D">
        <w:rPr>
          <w:rFonts w:cs="Arial"/>
          <w:rtl/>
        </w:rPr>
        <w:t xml:space="preserve"> </w:t>
      </w:r>
      <w:r w:rsidRPr="0090777D">
        <w:rPr>
          <w:rFonts w:cs="Arial" w:hint="cs"/>
          <w:rtl/>
        </w:rPr>
        <w:t>דיעבד</w:t>
      </w:r>
      <w:r w:rsidRPr="0090777D">
        <w:rPr>
          <w:rFonts w:cs="Arial"/>
          <w:rtl/>
        </w:rPr>
        <w:t xml:space="preserve"> </w:t>
      </w:r>
      <w:r w:rsidRPr="0090777D">
        <w:rPr>
          <w:rFonts w:cs="Arial" w:hint="cs"/>
          <w:rtl/>
        </w:rPr>
        <w:t>יש</w:t>
      </w:r>
      <w:r w:rsidRPr="0090777D">
        <w:rPr>
          <w:rFonts w:cs="Arial"/>
          <w:rtl/>
        </w:rPr>
        <w:t xml:space="preserve"> </w:t>
      </w:r>
      <w:r w:rsidRPr="0090777D">
        <w:rPr>
          <w:rFonts w:cs="Arial" w:hint="cs"/>
          <w:rtl/>
        </w:rPr>
        <w:t>לפוסלו</w:t>
      </w:r>
      <w:r>
        <w:rPr>
          <w:rFonts w:cs="Arial" w:hint="cs"/>
          <w:rtl/>
        </w:rPr>
        <w:t xml:space="preserve">, </w:t>
      </w:r>
      <w:r w:rsidRPr="00A81F1E">
        <w:rPr>
          <w:rFonts w:cs="Arial" w:hint="cs"/>
          <w:b/>
          <w:bCs/>
          <w:rtl/>
        </w:rPr>
        <w:t>דרכ"מ</w:t>
      </w:r>
      <w:r>
        <w:rPr>
          <w:rFonts w:cs="Arial" w:hint="cs"/>
          <w:rtl/>
        </w:rPr>
        <w:t xml:space="preserve"> (אות יד).</w:t>
      </w:r>
    </w:p>
  </w:footnote>
  <w:footnote w:id="1021">
    <w:p w14:paraId="4FB632FF" w14:textId="77777777" w:rsidR="00FA2119" w:rsidRDefault="00FA2119" w:rsidP="00FA2119">
      <w:pPr>
        <w:pStyle w:val="a5"/>
        <w:rPr>
          <w:rtl/>
        </w:rPr>
      </w:pPr>
      <w:r>
        <w:rPr>
          <w:rStyle w:val="a7"/>
        </w:rPr>
        <w:footnoteRef/>
      </w:r>
      <w:r>
        <w:rPr>
          <w:rtl/>
        </w:rPr>
        <w:t xml:space="preserve"> </w:t>
      </w:r>
      <w:r w:rsidRPr="00380C96">
        <w:rPr>
          <w:rFonts w:cs="Arial"/>
          <w:rtl/>
        </w:rPr>
        <w:t>היינו שרוב קוראי</w:t>
      </w:r>
      <w:r>
        <w:rPr>
          <w:rFonts w:cs="Arial" w:hint="cs"/>
          <w:rtl/>
        </w:rPr>
        <w:t>ם</w:t>
      </w:r>
      <w:r w:rsidRPr="00380C96">
        <w:rPr>
          <w:rFonts w:cs="Arial"/>
          <w:rtl/>
        </w:rPr>
        <w:t xml:space="preserve"> רק שם א'</w:t>
      </w:r>
      <w:r>
        <w:rPr>
          <w:rFonts w:cs="Arial" w:hint="cs"/>
          <w:rtl/>
        </w:rPr>
        <w:t>...</w:t>
      </w:r>
      <w:r w:rsidRPr="00380C96">
        <w:rPr>
          <w:rFonts w:cs="Arial"/>
          <w:rtl/>
        </w:rPr>
        <w:t xml:space="preserve"> ודוקא אם נאבד שם הקטן אבל אם נאבד שם הגדול מזכירים שם שניהם</w:t>
      </w:r>
      <w:r>
        <w:rPr>
          <w:rFonts w:cs="Arial" w:hint="cs"/>
          <w:rtl/>
        </w:rPr>
        <w:t>.</w:t>
      </w:r>
      <w:r w:rsidRPr="00380C96">
        <w:rPr>
          <w:rFonts w:cs="Arial"/>
          <w:rtl/>
        </w:rPr>
        <w:t xml:space="preserve"> ואם ספק הוא היינו קצת אנשים קורין שם זה</w:t>
      </w:r>
      <w:r>
        <w:rPr>
          <w:rFonts w:cs="Arial" w:hint="cs"/>
          <w:rtl/>
        </w:rPr>
        <w:t>,</w:t>
      </w:r>
      <w:r w:rsidRPr="00380C96">
        <w:rPr>
          <w:rFonts w:cs="Arial"/>
          <w:rtl/>
        </w:rPr>
        <w:t xml:space="preserve"> וקצת שם זה </w:t>
      </w:r>
      <w:r>
        <w:rPr>
          <w:rFonts w:cs="Arial" w:hint="cs"/>
          <w:rtl/>
        </w:rPr>
        <w:t xml:space="preserve">- </w:t>
      </w:r>
      <w:r w:rsidRPr="00380C96">
        <w:rPr>
          <w:rFonts w:cs="Arial"/>
          <w:rtl/>
        </w:rPr>
        <w:t>כותבי</w:t>
      </w:r>
      <w:r>
        <w:rPr>
          <w:rFonts w:cs="Arial" w:hint="cs"/>
          <w:rtl/>
        </w:rPr>
        <w:t>ם</w:t>
      </w:r>
      <w:r w:rsidRPr="00380C96">
        <w:rPr>
          <w:rFonts w:cs="Arial"/>
          <w:rtl/>
        </w:rPr>
        <w:t xml:space="preserve"> שם הגדול לבד ואין כותבים שם שניהם</w:t>
      </w:r>
      <w:r>
        <w:rPr>
          <w:rFonts w:cs="Arial" w:hint="cs"/>
          <w:rtl/>
        </w:rPr>
        <w:t>,</w:t>
      </w:r>
      <w:r w:rsidRPr="00380C96">
        <w:rPr>
          <w:rFonts w:cs="Arial"/>
          <w:rtl/>
        </w:rPr>
        <w:t xml:space="preserve"> כי שמא הגדול עיקר והוי שינוי</w:t>
      </w:r>
      <w:r>
        <w:rPr>
          <w:rFonts w:cs="Arial" w:hint="cs"/>
          <w:rtl/>
        </w:rPr>
        <w:t>.</w:t>
      </w:r>
      <w:r w:rsidRPr="00380C96">
        <w:rPr>
          <w:rFonts w:cs="Arial"/>
          <w:rtl/>
        </w:rPr>
        <w:t xml:space="preserve"> אבל להיפוך אין חשש</w:t>
      </w:r>
      <w:r>
        <w:rPr>
          <w:rFonts w:cs="Arial" w:hint="cs"/>
          <w:rtl/>
        </w:rPr>
        <w:t>,</w:t>
      </w:r>
      <w:r w:rsidRPr="00380C96">
        <w:rPr>
          <w:rFonts w:cs="Arial"/>
          <w:rtl/>
        </w:rPr>
        <w:t xml:space="preserve"> דגדול אינו נדחה</w:t>
      </w:r>
      <w:r>
        <w:rPr>
          <w:rFonts w:cs="Arial" w:hint="cs"/>
          <w:rtl/>
        </w:rPr>
        <w:t xml:space="preserve">..., </w:t>
      </w:r>
      <w:r w:rsidRPr="0086400C">
        <w:rPr>
          <w:rFonts w:cs="Arial" w:hint="cs"/>
          <w:b/>
          <w:bCs/>
          <w:rtl/>
        </w:rPr>
        <w:t>ב"ש</w:t>
      </w:r>
      <w:r>
        <w:rPr>
          <w:rFonts w:cs="Arial" w:hint="cs"/>
          <w:rtl/>
        </w:rPr>
        <w:t xml:space="preserve"> (סקי"ח) </w:t>
      </w:r>
      <w:r w:rsidRPr="0086400C">
        <w:rPr>
          <w:rFonts w:cs="Arial" w:hint="cs"/>
          <w:b/>
          <w:bCs/>
          <w:rtl/>
        </w:rPr>
        <w:t>בשם הלבוש</w:t>
      </w:r>
      <w:r>
        <w:rPr>
          <w:rFonts w:cs="Arial" w:hint="cs"/>
          <w:rtl/>
        </w:rPr>
        <w:t>.</w:t>
      </w:r>
      <w:r w:rsidRPr="00380C96">
        <w:rPr>
          <w:rFonts w:cs="Arial"/>
          <w:rtl/>
        </w:rPr>
        <w:t xml:space="preserve"> </w:t>
      </w:r>
      <w:r>
        <w:rPr>
          <w:rFonts w:cs="Arial" w:hint="cs"/>
          <w:rtl/>
        </w:rPr>
        <w:t xml:space="preserve">וכתב עוד </w:t>
      </w:r>
      <w:r w:rsidRPr="0086400C">
        <w:rPr>
          <w:rFonts w:cs="Arial" w:hint="cs"/>
          <w:b/>
          <w:bCs/>
          <w:rtl/>
        </w:rPr>
        <w:t>הב"ש</w:t>
      </w:r>
      <w:r>
        <w:rPr>
          <w:rFonts w:cs="Arial" w:hint="cs"/>
          <w:rtl/>
        </w:rPr>
        <w:t xml:space="preserve"> (שם) </w:t>
      </w:r>
      <w:r w:rsidRPr="00380C96">
        <w:rPr>
          <w:rFonts w:cs="Arial"/>
          <w:rtl/>
        </w:rPr>
        <w:t xml:space="preserve">נהר או עיר ששמה כמו </w:t>
      </w:r>
      <w:r>
        <w:rPr>
          <w:rFonts w:cs="Arial"/>
          <w:rtl/>
        </w:rPr>
        <w:t>שני שמות</w:t>
      </w:r>
      <w:r>
        <w:rPr>
          <w:rFonts w:cs="Arial" w:hint="cs"/>
          <w:rtl/>
        </w:rPr>
        <w:t>,</w:t>
      </w:r>
      <w:r w:rsidRPr="00380C96">
        <w:rPr>
          <w:rFonts w:cs="Arial"/>
          <w:rtl/>
        </w:rPr>
        <w:t xml:space="preserve"> כמו רעגין שפורג וכיוצא בזה</w:t>
      </w:r>
      <w:r>
        <w:rPr>
          <w:rFonts w:cs="Arial" w:hint="cs"/>
          <w:rtl/>
        </w:rPr>
        <w:t xml:space="preserve">, </w:t>
      </w:r>
      <w:r w:rsidRPr="00380C96">
        <w:rPr>
          <w:rFonts w:cs="Arial"/>
          <w:rtl/>
        </w:rPr>
        <w:t>חד שם הוא</w:t>
      </w:r>
      <w:r>
        <w:rPr>
          <w:rFonts w:cs="Arial" w:hint="cs"/>
          <w:rtl/>
        </w:rPr>
        <w:t>,</w:t>
      </w:r>
      <w:r w:rsidRPr="00380C96">
        <w:rPr>
          <w:rFonts w:cs="Arial"/>
          <w:rtl/>
        </w:rPr>
        <w:t xml:space="preserve"> וצריך לכתוב בחד תיבה</w:t>
      </w:r>
      <w:r>
        <w:rPr>
          <w:rFonts w:cs="Arial" w:hint="cs"/>
          <w:rtl/>
        </w:rPr>
        <w:t>,</w:t>
      </w:r>
      <w:r w:rsidRPr="00380C96">
        <w:rPr>
          <w:rFonts w:cs="Arial"/>
          <w:rtl/>
        </w:rPr>
        <w:t xml:space="preserve"> ועיין תשו' מהר"מ מינץ </w:t>
      </w:r>
      <w:r>
        <w:rPr>
          <w:rFonts w:cs="Arial" w:hint="cs"/>
          <w:rtl/>
        </w:rPr>
        <w:t>(</w:t>
      </w:r>
      <w:r w:rsidRPr="00380C96">
        <w:rPr>
          <w:rFonts w:cs="Arial"/>
          <w:rtl/>
        </w:rPr>
        <w:t>סי</w:t>
      </w:r>
      <w:r>
        <w:rPr>
          <w:rFonts w:cs="Arial" w:hint="cs"/>
          <w:rtl/>
        </w:rPr>
        <w:t>'</w:t>
      </w:r>
      <w:r w:rsidRPr="00380C96">
        <w:rPr>
          <w:rFonts w:cs="Arial"/>
          <w:rtl/>
        </w:rPr>
        <w:t xml:space="preserve"> סח</w:t>
      </w:r>
      <w:r>
        <w:rPr>
          <w:rFonts w:cs="Arial" w:hint="cs"/>
          <w:rtl/>
        </w:rPr>
        <w:t>)</w:t>
      </w:r>
      <w:r>
        <w:rPr>
          <w:rFonts w:hint="cs"/>
          <w:rtl/>
        </w:rPr>
        <w:t xml:space="preserve">. </w:t>
      </w:r>
    </w:p>
  </w:footnote>
  <w:footnote w:id="1022">
    <w:p w14:paraId="1BCF310A" w14:textId="77777777" w:rsidR="00FA2119" w:rsidRDefault="00FA2119" w:rsidP="00FA2119">
      <w:pPr>
        <w:pStyle w:val="a5"/>
        <w:rPr>
          <w:rtl/>
        </w:rPr>
      </w:pPr>
      <w:r>
        <w:rPr>
          <w:rStyle w:val="a7"/>
        </w:rPr>
        <w:footnoteRef/>
      </w:r>
      <w:r>
        <w:rPr>
          <w:rtl/>
        </w:rPr>
        <w:t xml:space="preserve"> </w:t>
      </w:r>
      <w:r w:rsidRPr="00FD3E45">
        <w:rPr>
          <w:rFonts w:cs="Arial"/>
          <w:rtl/>
        </w:rPr>
        <w:t>מיעוט בני עירם היו קוראין את שמה שרה</w:t>
      </w:r>
      <w:r>
        <w:rPr>
          <w:rFonts w:hint="cs"/>
          <w:rtl/>
        </w:rPr>
        <w:t>, רש"י.</w:t>
      </w:r>
    </w:p>
  </w:footnote>
  <w:footnote w:id="1023">
    <w:p w14:paraId="7698FC49" w14:textId="77777777" w:rsidR="00FA2119" w:rsidRDefault="00FA2119" w:rsidP="00FA2119">
      <w:pPr>
        <w:pStyle w:val="a5"/>
        <w:rPr>
          <w:rtl/>
        </w:rPr>
      </w:pPr>
      <w:r>
        <w:rPr>
          <w:rStyle w:val="a7"/>
        </w:rPr>
        <w:footnoteRef/>
      </w:r>
      <w:r>
        <w:rPr>
          <w:rtl/>
        </w:rPr>
        <w:t xml:space="preserve"> </w:t>
      </w:r>
      <w:r w:rsidRPr="00FD3E45">
        <w:rPr>
          <w:rFonts w:cs="Arial"/>
          <w:rtl/>
        </w:rPr>
        <w:t>צריך לכתוב בגט</w:t>
      </w:r>
      <w:r>
        <w:rPr>
          <w:rFonts w:cs="Arial" w:hint="cs"/>
          <w:rtl/>
        </w:rPr>
        <w:t>,</w:t>
      </w:r>
      <w:r w:rsidRPr="00FD3E45">
        <w:rPr>
          <w:rFonts w:cs="Arial"/>
          <w:rtl/>
        </w:rPr>
        <w:t xml:space="preserve"> שהוא עיקר והדר וכל שום דאית לה</w:t>
      </w:r>
      <w:r>
        <w:rPr>
          <w:rFonts w:hint="cs"/>
          <w:rtl/>
        </w:rPr>
        <w:t>, רש"י.</w:t>
      </w:r>
    </w:p>
  </w:footnote>
  <w:footnote w:id="1024">
    <w:p w14:paraId="66136A70" w14:textId="77777777" w:rsidR="00FA2119" w:rsidRDefault="00FA2119" w:rsidP="00FA2119">
      <w:pPr>
        <w:pStyle w:val="a5"/>
        <w:rPr>
          <w:rtl/>
        </w:rPr>
      </w:pPr>
      <w:r>
        <w:rPr>
          <w:rStyle w:val="a7"/>
        </w:rPr>
        <w:footnoteRef/>
      </w:r>
      <w:r>
        <w:rPr>
          <w:rtl/>
        </w:rPr>
        <w:t xml:space="preserve"> </w:t>
      </w:r>
      <w:r w:rsidRPr="00982F20">
        <w:rPr>
          <w:rFonts w:cs="Arial"/>
          <w:rtl/>
        </w:rPr>
        <w:t>שלא ביהודה ולא בגליל</w:t>
      </w:r>
      <w:r>
        <w:rPr>
          <w:rFonts w:hint="cs"/>
          <w:rtl/>
        </w:rPr>
        <w:t>, פני משה.</w:t>
      </w:r>
    </w:p>
  </w:footnote>
  <w:footnote w:id="1025">
    <w:p w14:paraId="11E73683" w14:textId="77777777" w:rsidR="00FA2119" w:rsidRDefault="00FA2119" w:rsidP="00FA2119">
      <w:pPr>
        <w:pStyle w:val="a5"/>
      </w:pPr>
      <w:r>
        <w:rPr>
          <w:rStyle w:val="a7"/>
        </w:rPr>
        <w:footnoteRef/>
      </w:r>
      <w:r>
        <w:rPr>
          <w:rtl/>
        </w:rPr>
        <w:t xml:space="preserve"> </w:t>
      </w:r>
      <w:r w:rsidRPr="00982F20">
        <w:rPr>
          <w:rFonts w:cs="Arial"/>
          <w:rtl/>
        </w:rPr>
        <w:t>באיזה שם שירצה מכיון דלא הוחזק שם בשני שמות</w:t>
      </w:r>
      <w:r>
        <w:rPr>
          <w:rFonts w:cs="Arial" w:hint="cs"/>
          <w:rtl/>
        </w:rPr>
        <w:t>, פני משה.</w:t>
      </w:r>
    </w:p>
  </w:footnote>
  <w:footnote w:id="1026">
    <w:p w14:paraId="6E2301AD" w14:textId="77777777" w:rsidR="00FA2119" w:rsidRDefault="00FA2119" w:rsidP="00FA2119">
      <w:pPr>
        <w:pStyle w:val="a5"/>
      </w:pPr>
      <w:r>
        <w:rPr>
          <w:rStyle w:val="a7"/>
        </w:rPr>
        <w:footnoteRef/>
      </w:r>
      <w:r>
        <w:rPr>
          <w:rtl/>
        </w:rPr>
        <w:t xml:space="preserve"> </w:t>
      </w:r>
      <w:r w:rsidRPr="00982F20">
        <w:rPr>
          <w:rFonts w:cs="Arial"/>
          <w:rtl/>
        </w:rPr>
        <w:t>בדיעבד כשר הוא אבל לכתחילה צריך למיעבד כהדא דר' אילי ולכתוב עם כל שם שיש לי ביהודה ובגליל</w:t>
      </w:r>
      <w:r>
        <w:rPr>
          <w:rFonts w:cs="Arial" w:hint="cs"/>
          <w:rtl/>
        </w:rPr>
        <w:t>, פני משה.</w:t>
      </w:r>
    </w:p>
  </w:footnote>
  <w:footnote w:id="1027">
    <w:p w14:paraId="50042BA1" w14:textId="77777777" w:rsidR="00FA2119" w:rsidRDefault="00FA2119" w:rsidP="00FA2119">
      <w:pPr>
        <w:pStyle w:val="a5"/>
      </w:pPr>
      <w:r>
        <w:rPr>
          <w:rStyle w:val="a7"/>
        </w:rPr>
        <w:footnoteRef/>
      </w:r>
      <w:r>
        <w:rPr>
          <w:rtl/>
        </w:rPr>
        <w:t xml:space="preserve"> </w:t>
      </w:r>
      <w:r>
        <w:rPr>
          <w:rFonts w:hint="cs"/>
          <w:rtl/>
        </w:rPr>
        <w:t>היינו שהיה במקום שלישי, וגירש עם אחד משמותיו, או עם השם מגליל או עם השם מיהודה.</w:t>
      </w:r>
    </w:p>
  </w:footnote>
  <w:footnote w:id="1028">
    <w:p w14:paraId="4B0A9AFA" w14:textId="5D6E309E"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942B46">
        <w:rPr>
          <w:rFonts w:cs="Arial"/>
          <w:rtl/>
        </w:rPr>
        <w:t>והוא דאתחזק בתרי שמי - שאלו לר"ת על מומר לעבודת כוכבים שגירש את אשתו ולא נכתב בגט אלא שם של יהדות ולא שם של עובד כוכבים</w:t>
      </w:r>
      <w:r>
        <w:rPr>
          <w:rFonts w:cs="Arial" w:hint="cs"/>
          <w:rtl/>
        </w:rPr>
        <w:t>.</w:t>
      </w:r>
      <w:r w:rsidRPr="00942B46">
        <w:rPr>
          <w:rFonts w:cs="Arial"/>
          <w:rtl/>
        </w:rPr>
        <w:t xml:space="preserve"> והשיב ר"ת חלילה להזכיר שם עובד כוכבים בתורת משה וישראל</w:t>
      </w:r>
      <w:r>
        <w:rPr>
          <w:rFonts w:cs="Arial" w:hint="cs"/>
          <w:rtl/>
        </w:rPr>
        <w:t>.</w:t>
      </w:r>
      <w:r w:rsidRPr="00942B46">
        <w:rPr>
          <w:rFonts w:cs="Arial"/>
          <w:rtl/>
        </w:rPr>
        <w:t xml:space="preserve"> והביא ראיה מדאמר בתוספתא (פ"ו) גר ששינה שמו לשם עובדי כוכבים וגרש בו כשר</w:t>
      </w:r>
      <w:r>
        <w:rPr>
          <w:rFonts w:cs="Arial" w:hint="cs"/>
          <w:rtl/>
        </w:rPr>
        <w:t>.</w:t>
      </w:r>
      <w:r w:rsidRPr="00942B46">
        <w:rPr>
          <w:rFonts w:cs="Arial"/>
          <w:rtl/>
        </w:rPr>
        <w:t xml:space="preserve"> וה"ה במומר</w:t>
      </w:r>
      <w:r>
        <w:rPr>
          <w:rFonts w:cs="Arial" w:hint="cs"/>
          <w:rtl/>
        </w:rPr>
        <w:t>,</w:t>
      </w:r>
      <w:r w:rsidRPr="00942B46">
        <w:rPr>
          <w:rFonts w:cs="Arial"/>
          <w:rtl/>
        </w:rPr>
        <w:t xml:space="preserve"> דשם יהדות כשר אף לכתחלה</w:t>
      </w:r>
      <w:r>
        <w:rPr>
          <w:rFonts w:cs="Arial" w:hint="cs"/>
          <w:rtl/>
        </w:rPr>
        <w:t>.</w:t>
      </w:r>
      <w:r w:rsidRPr="00942B46">
        <w:rPr>
          <w:rFonts w:cs="Arial"/>
          <w:rtl/>
        </w:rPr>
        <w:t xml:space="preserve"> וכתב חניכתו וחניכתה אמרי' לקמן דכשר</w:t>
      </w:r>
      <w:r>
        <w:rPr>
          <w:rFonts w:cs="Arial" w:hint="cs"/>
          <w:rtl/>
        </w:rPr>
        <w:t>,</w:t>
      </w:r>
      <w:r w:rsidRPr="00942B46">
        <w:rPr>
          <w:rFonts w:cs="Arial"/>
          <w:rtl/>
        </w:rPr>
        <w:t xml:space="preserve"> ופי' בערוך אע</w:t>
      </w:r>
      <w:r>
        <w:rPr>
          <w:rFonts w:cs="Arial" w:hint="cs"/>
          <w:rtl/>
        </w:rPr>
        <w:t>"</w:t>
      </w:r>
      <w:r w:rsidRPr="00942B46">
        <w:rPr>
          <w:rFonts w:cs="Arial"/>
          <w:rtl/>
        </w:rPr>
        <w:t>פ שלא נכתב שם מובהק</w:t>
      </w:r>
      <w:r>
        <w:rPr>
          <w:rFonts w:cs="Arial" w:hint="cs"/>
          <w:rtl/>
        </w:rPr>
        <w:t>,</w:t>
      </w:r>
      <w:r w:rsidRPr="00942B46">
        <w:rPr>
          <w:rFonts w:cs="Arial"/>
          <w:rtl/>
        </w:rPr>
        <w:t xml:space="preserve"> וכה"ג מפרש מתני' דבפרק בתרא (לקמן פז:) וכך היו נקיי הדעת שבירושלים עושים כן היינו שהיו כותבין חניכתו וחניכתה</w:t>
      </w:r>
      <w:r>
        <w:rPr>
          <w:rFonts w:cs="Arial" w:hint="cs"/>
          <w:rtl/>
        </w:rPr>
        <w:t xml:space="preserve">. </w:t>
      </w:r>
      <w:r w:rsidRPr="00942B46">
        <w:rPr>
          <w:rFonts w:cs="Arial"/>
          <w:rtl/>
        </w:rPr>
        <w:t>והא דקתני בברייתא דבסמוך דאינה מגורשת עד שיכתוב שם דיהודה ושם דגליל עמו</w:t>
      </w:r>
      <w:r>
        <w:rPr>
          <w:rFonts w:cs="Arial" w:hint="cs"/>
          <w:rtl/>
        </w:rPr>
        <w:t>,</w:t>
      </w:r>
      <w:r w:rsidRPr="00942B46">
        <w:rPr>
          <w:rFonts w:cs="Arial"/>
          <w:rtl/>
        </w:rPr>
        <w:t xml:space="preserve"> היינו דוקא דאיתחזק בשני שמות בב' המקומות</w:t>
      </w:r>
      <w:r>
        <w:rPr>
          <w:rFonts w:cs="Arial" w:hint="cs"/>
          <w:rtl/>
        </w:rPr>
        <w:t>,</w:t>
      </w:r>
      <w:r w:rsidRPr="00942B46">
        <w:rPr>
          <w:rFonts w:cs="Arial"/>
          <w:rtl/>
        </w:rPr>
        <w:t xml:space="preserve"> חד במקום הכתיבה וחד במקום הנתינה</w:t>
      </w:r>
      <w:r>
        <w:rPr>
          <w:rFonts w:cs="Arial" w:hint="cs"/>
          <w:rtl/>
        </w:rPr>
        <w:t>,</w:t>
      </w:r>
      <w:r w:rsidRPr="00942B46">
        <w:rPr>
          <w:rFonts w:cs="Arial"/>
          <w:rtl/>
        </w:rPr>
        <w:t xml:space="preserve"> דהא לא קתני היו לו שני שמות ביהודה או שני שמות סתם שיגרש בשני שמותיו אלא כשיש לו שני שמות אחד ביהודה ואחד בגליל</w:t>
      </w:r>
      <w:r>
        <w:rPr>
          <w:rFonts w:cs="Arial" w:hint="cs"/>
          <w:rtl/>
        </w:rPr>
        <w:t>,</w:t>
      </w:r>
      <w:r w:rsidRPr="00942B46">
        <w:rPr>
          <w:rFonts w:cs="Arial"/>
          <w:rtl/>
        </w:rPr>
        <w:t xml:space="preserve"> דאז צריך לכתוב שניהם מקום הכתיבה ומקום הנתינה</w:t>
      </w:r>
      <w:r>
        <w:rPr>
          <w:rFonts w:cs="Arial" w:hint="cs"/>
          <w:rtl/>
        </w:rPr>
        <w:t>,</w:t>
      </w:r>
      <w:r w:rsidRPr="00942B46">
        <w:rPr>
          <w:rFonts w:cs="Arial"/>
          <w:rtl/>
        </w:rPr>
        <w:t xml:space="preserve"> דאותן שבגליל לא יכירו שם דיהודה ויאמרו שלא גירש ויוציאו לעז על בניה מן השני</w:t>
      </w:r>
      <w:r>
        <w:rPr>
          <w:rFonts w:cs="Arial" w:hint="cs"/>
          <w:rtl/>
        </w:rPr>
        <w:t>.</w:t>
      </w:r>
      <w:r w:rsidRPr="00942B46">
        <w:rPr>
          <w:rFonts w:cs="Arial"/>
          <w:rtl/>
        </w:rPr>
        <w:t xml:space="preserve"> אבל בהוחזק בשני שמות במקום אחד </w:t>
      </w:r>
      <w:r>
        <w:rPr>
          <w:rFonts w:cs="Arial" w:hint="cs"/>
          <w:rtl/>
        </w:rPr>
        <w:t xml:space="preserve">- </w:t>
      </w:r>
      <w:r w:rsidRPr="00942B46">
        <w:rPr>
          <w:rFonts w:cs="Arial"/>
          <w:rtl/>
        </w:rPr>
        <w:t>כשר בדיעבד אפי' באחד מהן ואפי' בחניכה</w:t>
      </w:r>
      <w:r>
        <w:rPr>
          <w:rFonts w:cs="Arial" w:hint="cs"/>
          <w:rtl/>
        </w:rPr>
        <w:t>.</w:t>
      </w:r>
      <w:r w:rsidRPr="00942B46">
        <w:rPr>
          <w:rFonts w:cs="Arial"/>
          <w:rtl/>
        </w:rPr>
        <w:t xml:space="preserve"> ומיהו לכתחילה צריך לכתוב שניהם אפילו כתיבה ונתינה במקום אחד</w:t>
      </w:r>
      <w:r>
        <w:rPr>
          <w:rFonts w:cs="Arial" w:hint="cs"/>
          <w:rtl/>
        </w:rPr>
        <w:t>,</w:t>
      </w:r>
      <w:r w:rsidRPr="00942B46">
        <w:rPr>
          <w:rFonts w:cs="Arial"/>
          <w:rtl/>
        </w:rPr>
        <w:t xml:space="preserve"> כדאמר בסמוך רובא מרים ומיעוט שרה מרים וכל שום שיש לה</w:t>
      </w:r>
      <w:r>
        <w:rPr>
          <w:rFonts w:cs="Arial" w:hint="cs"/>
          <w:rtl/>
        </w:rPr>
        <w:t>,</w:t>
      </w:r>
      <w:r w:rsidRPr="00942B46">
        <w:rPr>
          <w:rFonts w:cs="Arial"/>
          <w:rtl/>
        </w:rPr>
        <w:t xml:space="preserve"> משמע דבחד מקום קרו לה הכי והכי</w:t>
      </w:r>
      <w:r>
        <w:rPr>
          <w:rFonts w:cs="Arial" w:hint="cs"/>
          <w:rtl/>
        </w:rPr>
        <w:t>.</w:t>
      </w:r>
      <w:r w:rsidRPr="00942B46">
        <w:rPr>
          <w:rFonts w:cs="Arial"/>
          <w:rtl/>
        </w:rPr>
        <w:t xml:space="preserve"> וכן משמע בירושלמי על הך ברייתא דהכא מתני' כשהיה ביהודה וכתב לגרש את אשתו שבגליל או שהיה בגליל וכתב לגרש את אשתו שביהודה</w:t>
      </w:r>
      <w:r>
        <w:rPr>
          <w:rFonts w:cs="Arial" w:hint="cs"/>
          <w:rtl/>
        </w:rPr>
        <w:t>,</w:t>
      </w:r>
      <w:r w:rsidRPr="00942B46">
        <w:rPr>
          <w:rFonts w:cs="Arial"/>
          <w:rtl/>
        </w:rPr>
        <w:t xml:space="preserve"> אבל אם היה ביהודה וכתב לגרש אשתו שביהודה כו' הרי זו מגורשת</w:t>
      </w:r>
      <w:r>
        <w:rPr>
          <w:rFonts w:cs="Arial" w:hint="cs"/>
          <w:rtl/>
        </w:rPr>
        <w:t>.</w:t>
      </w:r>
      <w:r w:rsidRPr="00942B46">
        <w:rPr>
          <w:rFonts w:cs="Arial"/>
          <w:rtl/>
        </w:rPr>
        <w:t xml:space="preserve"> אמר רבי יוסי הדא דתימא בדיעבד אבל לכתחלה צריך לכתוב שניהם</w:t>
      </w:r>
      <w:r>
        <w:rPr>
          <w:rFonts w:cs="Arial" w:hint="cs"/>
          <w:rtl/>
        </w:rPr>
        <w:t>.</w:t>
      </w:r>
      <w:r w:rsidRPr="00942B46">
        <w:rPr>
          <w:rFonts w:cs="Arial"/>
          <w:rtl/>
        </w:rPr>
        <w:t xml:space="preserve"> והכא עושה שם מקום הנתינה עיקר ושל מקום הכתיבה טפל</w:t>
      </w:r>
      <w:r>
        <w:rPr>
          <w:rFonts w:cs="Arial" w:hint="cs"/>
          <w:rtl/>
        </w:rPr>
        <w:t>,</w:t>
      </w:r>
      <w:r w:rsidRPr="00942B46">
        <w:rPr>
          <w:rFonts w:cs="Arial"/>
          <w:rtl/>
        </w:rPr>
        <w:t xml:space="preserve"> כדקתני עד שיגרש אשתו שבגליל בשמו שבגליל ושם דיהודה עמו כו'</w:t>
      </w:r>
      <w:r>
        <w:rPr>
          <w:rFonts w:cs="Arial" w:hint="cs"/>
          <w:rtl/>
        </w:rPr>
        <w:t>.</w:t>
      </w:r>
      <w:r w:rsidRPr="00942B46">
        <w:rPr>
          <w:rFonts w:cs="Arial"/>
          <w:rtl/>
        </w:rPr>
        <w:t xml:space="preserve"> אבל בתוספתא עושה מקום כתיבת הגט עיקר</w:t>
      </w:r>
      <w:r>
        <w:rPr>
          <w:rFonts w:cs="Arial" w:hint="cs"/>
          <w:rtl/>
        </w:rPr>
        <w:t>,</w:t>
      </w:r>
      <w:r w:rsidRPr="00942B46">
        <w:rPr>
          <w:rFonts w:cs="Arial"/>
          <w:rtl/>
        </w:rPr>
        <w:t xml:space="preserve"> וכן איתא התם</w:t>
      </w:r>
      <w:r>
        <w:rPr>
          <w:rFonts w:cs="Arial" w:hint="cs"/>
          <w:rtl/>
        </w:rPr>
        <w:t>:</w:t>
      </w:r>
      <w:r w:rsidRPr="00942B46">
        <w:rPr>
          <w:rFonts w:cs="Arial"/>
          <w:rtl/>
        </w:rPr>
        <w:t xml:space="preserve"> יש לו ב' נשים אחת בגליל ואחת ביהודה</w:t>
      </w:r>
      <w:r>
        <w:rPr>
          <w:rFonts w:cs="Arial" w:hint="cs"/>
          <w:rtl/>
        </w:rPr>
        <w:t>,</w:t>
      </w:r>
      <w:r w:rsidRPr="00942B46">
        <w:rPr>
          <w:rFonts w:cs="Arial"/>
          <w:rtl/>
        </w:rPr>
        <w:t xml:space="preserve"> גירש אשתו שביהודה בשם שבגליל ואשתו שבגליל בשם שביהודה פסול</w:t>
      </w:r>
      <w:r>
        <w:rPr>
          <w:rFonts w:cs="Arial" w:hint="cs"/>
          <w:rtl/>
        </w:rPr>
        <w:t>.</w:t>
      </w:r>
      <w:r w:rsidRPr="00942B46">
        <w:rPr>
          <w:rFonts w:cs="Arial"/>
          <w:rtl/>
        </w:rPr>
        <w:t xml:space="preserve"> ואם אמר אני פלוני שביהודה עם השם שיש לי בגליל או שהיה במקום אחר וכתב אחד מהן כשר</w:t>
      </w:r>
      <w:r>
        <w:rPr>
          <w:rFonts w:cs="Arial" w:hint="cs"/>
          <w:rtl/>
        </w:rPr>
        <w:t>.</w:t>
      </w:r>
      <w:r w:rsidRPr="00942B46">
        <w:rPr>
          <w:rFonts w:cs="Arial"/>
          <w:rtl/>
        </w:rPr>
        <w:t xml:space="preserve"> רשב"ג אומר אפי' כתב שם דיהודה בגליל ושם דגליל ביהודה כשר</w:t>
      </w:r>
      <w:r>
        <w:rPr>
          <w:rFonts w:cs="Arial" w:hint="cs"/>
          <w:rtl/>
        </w:rPr>
        <w:t>.</w:t>
      </w:r>
      <w:r w:rsidRPr="00942B46">
        <w:rPr>
          <w:rFonts w:cs="Arial"/>
          <w:rtl/>
        </w:rPr>
        <w:t xml:space="preserve"> ומהתם נמי משמע דבמגרש בגליל אותה שביהודה מיירי</w:t>
      </w:r>
      <w:r>
        <w:rPr>
          <w:rFonts w:cs="Arial" w:hint="cs"/>
          <w:rtl/>
        </w:rPr>
        <w:t>.</w:t>
      </w:r>
      <w:r w:rsidRPr="00942B46">
        <w:rPr>
          <w:rFonts w:cs="Arial"/>
          <w:rtl/>
        </w:rPr>
        <w:t xml:space="preserve"> והשתא בראשונה היה משנה שמו ושמה קורא שינוי מה שאינו כותב אלא שם אחד משני המקומות</w:t>
      </w:r>
      <w:r>
        <w:rPr>
          <w:rFonts w:cs="Arial" w:hint="cs"/>
          <w:rtl/>
        </w:rPr>
        <w:t>,</w:t>
      </w:r>
      <w:r w:rsidRPr="00942B46">
        <w:rPr>
          <w:rFonts w:cs="Arial"/>
          <w:rtl/>
        </w:rPr>
        <w:t xml:space="preserve"> לפי שאין מכירין בו במקום אחר</w:t>
      </w:r>
      <w:r>
        <w:rPr>
          <w:rFonts w:cs="Arial" w:hint="cs"/>
          <w:rtl/>
        </w:rPr>
        <w:t>.</w:t>
      </w:r>
      <w:r w:rsidRPr="00942B46">
        <w:rPr>
          <w:rFonts w:cs="Arial"/>
          <w:rtl/>
        </w:rPr>
        <w:t xml:space="preserve"> ודומה להם שינוי שמו ושמה וכן יש לפרש שם עירו ושם עירה</w:t>
      </w:r>
      <w:r>
        <w:rPr>
          <w:rFonts w:cs="Arial" w:hint="cs"/>
          <w:rtl/>
        </w:rPr>
        <w:t>.</w:t>
      </w:r>
      <w:r w:rsidRPr="00942B46">
        <w:rPr>
          <w:rFonts w:cs="Arial"/>
          <w:rtl/>
        </w:rPr>
        <w:t xml:space="preserve"> והא דקאמר בהמגרש (לקמן פז:) כתב חניכתו וחניכתה כשר וכך היו נקיי הדעת שבירושלים עושים כן</w:t>
      </w:r>
      <w:r>
        <w:rPr>
          <w:rFonts w:cs="Arial" w:hint="cs"/>
          <w:rtl/>
        </w:rPr>
        <w:t>,</w:t>
      </w:r>
      <w:r w:rsidRPr="00942B46">
        <w:rPr>
          <w:rFonts w:cs="Arial"/>
          <w:rtl/>
        </w:rPr>
        <w:t xml:space="preserve"> משמע אפילו לכתחלה אין צריך לכתוב שניהם</w:t>
      </w:r>
      <w:r>
        <w:rPr>
          <w:rFonts w:cs="Arial" w:hint="cs"/>
          <w:rtl/>
        </w:rPr>
        <w:t>,</w:t>
      </w:r>
      <w:r w:rsidRPr="00942B46">
        <w:rPr>
          <w:rFonts w:cs="Arial"/>
          <w:rtl/>
        </w:rPr>
        <w:t xml:space="preserve"> אע</w:t>
      </w:r>
      <w:r>
        <w:rPr>
          <w:rFonts w:cs="Arial" w:hint="cs"/>
          <w:rtl/>
        </w:rPr>
        <w:t>"</w:t>
      </w:r>
      <w:r w:rsidRPr="00942B46">
        <w:rPr>
          <w:rFonts w:cs="Arial"/>
          <w:rtl/>
        </w:rPr>
        <w:t>ג דגבי מרים שבסמוך ובירושלמי אמרינן דדוקא בדיעבד כשר</w:t>
      </w:r>
      <w:r>
        <w:rPr>
          <w:rFonts w:cs="Arial" w:hint="cs"/>
          <w:rtl/>
        </w:rPr>
        <w:t>,</w:t>
      </w:r>
      <w:r w:rsidRPr="00942B46">
        <w:rPr>
          <w:rFonts w:cs="Arial"/>
          <w:rtl/>
        </w:rPr>
        <w:t xml:space="preserve"> צ"ל דנקיי הדעת שבירושלים היו שמותיהן ידועים וליכא לעז</w:t>
      </w:r>
      <w:r>
        <w:rPr>
          <w:rFonts w:cs="Arial" w:hint="cs"/>
          <w:rtl/>
        </w:rPr>
        <w:t>.</w:t>
      </w:r>
      <w:r w:rsidRPr="00942B46">
        <w:rPr>
          <w:rFonts w:cs="Arial"/>
          <w:rtl/>
        </w:rPr>
        <w:t xml:space="preserve"> אי נמי כשהשמות דומין זה לזה שהכנוי דומה לשם</w:t>
      </w:r>
      <w:r>
        <w:rPr>
          <w:rFonts w:cs="Arial" w:hint="cs"/>
          <w:rtl/>
        </w:rPr>
        <w:t xml:space="preserve"> -</w:t>
      </w:r>
      <w:r w:rsidRPr="00942B46">
        <w:rPr>
          <w:rFonts w:cs="Arial"/>
          <w:rtl/>
        </w:rPr>
        <w:t xml:space="preserve"> לכתחילה כשר אף בכינוי.</w:t>
      </w:r>
    </w:p>
  </w:footnote>
  <w:footnote w:id="1029">
    <w:p w14:paraId="70E83A57" w14:textId="77777777" w:rsidR="00FA2119" w:rsidRDefault="00FA2119" w:rsidP="00FA2119">
      <w:pPr>
        <w:pStyle w:val="a5"/>
      </w:pPr>
      <w:r>
        <w:rPr>
          <w:rStyle w:val="a7"/>
        </w:rPr>
        <w:footnoteRef/>
      </w:r>
      <w:r>
        <w:rPr>
          <w:rtl/>
        </w:rPr>
        <w:t xml:space="preserve"> </w:t>
      </w:r>
      <w:r>
        <w:rPr>
          <w:rFonts w:cs="Arial"/>
          <w:rtl/>
        </w:rPr>
        <w:t xml:space="preserve">ר"ת </w:t>
      </w:r>
      <w:r w:rsidRPr="00E401E7">
        <w:rPr>
          <w:rFonts w:cs="Arial"/>
          <w:sz w:val="16"/>
          <w:szCs w:val="16"/>
          <w:rtl/>
        </w:rPr>
        <w:t xml:space="preserve">(ספר הישר </w:t>
      </w:r>
      <w:r>
        <w:rPr>
          <w:rFonts w:cs="Arial" w:hint="cs"/>
          <w:sz w:val="16"/>
          <w:szCs w:val="16"/>
          <w:rtl/>
        </w:rPr>
        <w:t>[</w:t>
      </w:r>
      <w:r w:rsidRPr="00E401E7">
        <w:rPr>
          <w:rFonts w:cs="Arial"/>
          <w:sz w:val="16"/>
          <w:szCs w:val="16"/>
          <w:rtl/>
        </w:rPr>
        <w:t>שו"ת סי' כו</w:t>
      </w:r>
      <w:r>
        <w:rPr>
          <w:rFonts w:cs="Arial" w:hint="cs"/>
          <w:sz w:val="16"/>
          <w:szCs w:val="16"/>
          <w:rtl/>
        </w:rPr>
        <w:t>,</w:t>
      </w:r>
      <w:r w:rsidRPr="00E401E7">
        <w:rPr>
          <w:rFonts w:cs="Arial"/>
          <w:sz w:val="16"/>
          <w:szCs w:val="16"/>
          <w:rtl/>
        </w:rPr>
        <w:t xml:space="preserve"> חידושים סי' תשסו</w:t>
      </w:r>
      <w:r>
        <w:rPr>
          <w:rFonts w:cs="Arial" w:hint="cs"/>
          <w:sz w:val="16"/>
          <w:szCs w:val="16"/>
          <w:rtl/>
        </w:rPr>
        <w:t>]</w:t>
      </w:r>
      <w:r w:rsidRPr="00E401E7">
        <w:rPr>
          <w:rFonts w:cs="Arial"/>
          <w:sz w:val="16"/>
          <w:szCs w:val="16"/>
          <w:rtl/>
        </w:rPr>
        <w:t>)</w:t>
      </w:r>
      <w:r>
        <w:rPr>
          <w:rFonts w:cs="Arial" w:hint="cs"/>
          <w:rtl/>
        </w:rPr>
        <w:t xml:space="preserve"> </w:t>
      </w:r>
      <w:r>
        <w:rPr>
          <w:rFonts w:cs="Arial"/>
          <w:rtl/>
        </w:rPr>
        <w:t xml:space="preserve">תוס' </w:t>
      </w:r>
      <w:r w:rsidRPr="00C72F43">
        <w:rPr>
          <w:rFonts w:cs="Arial"/>
          <w:sz w:val="16"/>
          <w:szCs w:val="16"/>
          <w:rtl/>
        </w:rPr>
        <w:t>(לד: ד"ה והוא)</w:t>
      </w:r>
      <w:r>
        <w:rPr>
          <w:rFonts w:cs="Arial" w:hint="cs"/>
          <w:rtl/>
        </w:rPr>
        <w:t xml:space="preserve"> </w:t>
      </w:r>
      <w:r>
        <w:rPr>
          <w:rFonts w:cs="Arial"/>
          <w:rtl/>
        </w:rPr>
        <w:t xml:space="preserve">רמב"ן </w:t>
      </w:r>
      <w:r w:rsidRPr="00446BDB">
        <w:rPr>
          <w:rFonts w:cs="Arial"/>
          <w:sz w:val="16"/>
          <w:szCs w:val="16"/>
          <w:rtl/>
        </w:rPr>
        <w:t>(שם ד"ה מתניתין)</w:t>
      </w:r>
      <w:r w:rsidRPr="00446BDB">
        <w:rPr>
          <w:rFonts w:cs="Arial" w:hint="cs"/>
          <w:sz w:val="16"/>
          <w:szCs w:val="16"/>
          <w:rtl/>
        </w:rPr>
        <w:t xml:space="preserve"> </w:t>
      </w:r>
      <w:r>
        <w:rPr>
          <w:rFonts w:cs="Arial" w:hint="cs"/>
          <w:rtl/>
        </w:rPr>
        <w:t xml:space="preserve">רא"ש </w:t>
      </w:r>
      <w:r w:rsidRPr="00C72F43">
        <w:rPr>
          <w:rFonts w:cs="Arial"/>
          <w:sz w:val="16"/>
          <w:szCs w:val="16"/>
          <w:rtl/>
        </w:rPr>
        <w:t>(</w:t>
      </w:r>
      <w:r w:rsidRPr="00C72F43">
        <w:rPr>
          <w:rFonts w:cs="Arial" w:hint="cs"/>
          <w:sz w:val="16"/>
          <w:szCs w:val="16"/>
          <w:rtl/>
        </w:rPr>
        <w:t xml:space="preserve">פ"ד </w:t>
      </w:r>
      <w:r w:rsidRPr="00C72F43">
        <w:rPr>
          <w:rFonts w:cs="Arial"/>
          <w:sz w:val="16"/>
          <w:szCs w:val="16"/>
          <w:rtl/>
        </w:rPr>
        <w:t>סי' ז)</w:t>
      </w:r>
      <w:r>
        <w:rPr>
          <w:rFonts w:cs="Arial" w:hint="cs"/>
          <w:rtl/>
        </w:rPr>
        <w:t xml:space="preserve"> הה"מ </w:t>
      </w:r>
      <w:r w:rsidRPr="00446BDB">
        <w:rPr>
          <w:rFonts w:cs="Arial" w:hint="cs"/>
          <w:sz w:val="16"/>
          <w:szCs w:val="16"/>
          <w:rtl/>
        </w:rPr>
        <w:t>(</w:t>
      </w:r>
      <w:r w:rsidRPr="00446BDB">
        <w:rPr>
          <w:rFonts w:cs="Arial"/>
          <w:sz w:val="16"/>
          <w:szCs w:val="16"/>
          <w:rtl/>
        </w:rPr>
        <w:t>פ</w:t>
      </w:r>
      <w:r w:rsidRPr="00446BDB">
        <w:rPr>
          <w:rFonts w:cs="Arial" w:hint="cs"/>
          <w:sz w:val="16"/>
          <w:szCs w:val="16"/>
          <w:rtl/>
        </w:rPr>
        <w:t>"</w:t>
      </w:r>
      <w:r w:rsidRPr="00446BDB">
        <w:rPr>
          <w:rFonts w:cs="Arial"/>
          <w:sz w:val="16"/>
          <w:szCs w:val="16"/>
          <w:rtl/>
        </w:rPr>
        <w:t>ג</w:t>
      </w:r>
      <w:r w:rsidRPr="00446BDB">
        <w:rPr>
          <w:rFonts w:cs="Arial" w:hint="cs"/>
          <w:sz w:val="16"/>
          <w:szCs w:val="16"/>
          <w:rtl/>
        </w:rPr>
        <w:t xml:space="preserve"> </w:t>
      </w:r>
      <w:r w:rsidRPr="00446BDB">
        <w:rPr>
          <w:rFonts w:cs="Arial"/>
          <w:sz w:val="16"/>
          <w:szCs w:val="16"/>
          <w:rtl/>
        </w:rPr>
        <w:t>הי"ג)</w:t>
      </w:r>
      <w:r>
        <w:rPr>
          <w:rFonts w:cs="Arial" w:hint="cs"/>
          <w:rtl/>
        </w:rPr>
        <w:t xml:space="preserve"> וטור.</w:t>
      </w:r>
    </w:p>
  </w:footnote>
  <w:footnote w:id="1030">
    <w:p w14:paraId="18130D6D" w14:textId="77777777" w:rsidR="00FA2119" w:rsidRDefault="00FA2119" w:rsidP="00FA2119">
      <w:pPr>
        <w:pStyle w:val="a5"/>
      </w:pPr>
      <w:r>
        <w:rPr>
          <w:rStyle w:val="a7"/>
        </w:rPr>
        <w:footnoteRef/>
      </w:r>
      <w:r>
        <w:rPr>
          <w:rtl/>
        </w:rPr>
        <w:t xml:space="preserve"> </w:t>
      </w:r>
      <w:r w:rsidRPr="008D6412">
        <w:rPr>
          <w:rFonts w:cs="Arial"/>
          <w:rtl/>
        </w:rPr>
        <w:t>והא דכשר בדיעבד כשכתב שם הטפל וכל שום וחניכה דאית ליה</w:t>
      </w:r>
      <w:r w:rsidRPr="008D6412">
        <w:rPr>
          <w:rFonts w:cs="Arial" w:hint="cs"/>
          <w:rtl/>
        </w:rPr>
        <w:t>,</w:t>
      </w:r>
      <w:r w:rsidRPr="008D6412">
        <w:rPr>
          <w:rFonts w:cs="Arial"/>
          <w:rtl/>
        </w:rPr>
        <w:t xml:space="preserve"> דוקא למגרש במקום הכתיבה</w:t>
      </w:r>
      <w:r>
        <w:rPr>
          <w:rFonts w:cs="Arial" w:hint="cs"/>
          <w:rtl/>
        </w:rPr>
        <w:t xml:space="preserve">, טור. וכמו שיתבאר בסע' ג. </w:t>
      </w:r>
    </w:p>
  </w:footnote>
  <w:footnote w:id="1031">
    <w:p w14:paraId="2DF6BEC7" w14:textId="77777777" w:rsidR="00FA2119" w:rsidRDefault="00FA2119" w:rsidP="00FA2119">
      <w:pPr>
        <w:pStyle w:val="a5"/>
      </w:pPr>
      <w:r>
        <w:rPr>
          <w:rStyle w:val="a7"/>
        </w:rPr>
        <w:footnoteRef/>
      </w:r>
      <w:r>
        <w:rPr>
          <w:rtl/>
        </w:rPr>
        <w:t xml:space="preserve"> </w:t>
      </w:r>
      <w:r>
        <w:rPr>
          <w:rFonts w:cs="Arial"/>
          <w:rtl/>
        </w:rPr>
        <w:t>חניכא גריעא משם טפל</w:t>
      </w:r>
      <w:r>
        <w:rPr>
          <w:rFonts w:cs="Arial" w:hint="cs"/>
          <w:rtl/>
        </w:rPr>
        <w:t>,</w:t>
      </w:r>
      <w:r>
        <w:rPr>
          <w:rFonts w:cs="Arial"/>
          <w:rtl/>
        </w:rPr>
        <w:t xml:space="preserve"> ואפ"ה כשר בדיעבד כיון שלא כתב וכל שום</w:t>
      </w:r>
      <w:r>
        <w:rPr>
          <w:rFonts w:cs="Arial" w:hint="cs"/>
          <w:rtl/>
        </w:rPr>
        <w:t>.</w:t>
      </w:r>
      <w:r>
        <w:rPr>
          <w:rFonts w:cs="Arial"/>
          <w:rtl/>
        </w:rPr>
        <w:t xml:space="preserve"> אבל</w:t>
      </w:r>
      <w:r>
        <w:rPr>
          <w:rFonts w:cs="Arial" w:hint="cs"/>
          <w:rtl/>
        </w:rPr>
        <w:t>...</w:t>
      </w:r>
      <w:r>
        <w:rPr>
          <w:rFonts w:cs="Arial"/>
          <w:rtl/>
        </w:rPr>
        <w:t xml:space="preserve"> אם כתב וכל שום עם חניכתו שהוא טפל ביותר </w:t>
      </w:r>
      <w:r>
        <w:rPr>
          <w:rFonts w:cs="Arial" w:hint="cs"/>
          <w:rtl/>
        </w:rPr>
        <w:t xml:space="preserve">- </w:t>
      </w:r>
      <w:r>
        <w:rPr>
          <w:rFonts w:cs="Arial"/>
          <w:rtl/>
        </w:rPr>
        <w:t>פסול</w:t>
      </w:r>
      <w:r>
        <w:rPr>
          <w:rFonts w:cs="Arial" w:hint="cs"/>
          <w:rtl/>
        </w:rPr>
        <w:t>, ב"י.</w:t>
      </w:r>
    </w:p>
  </w:footnote>
  <w:footnote w:id="1032">
    <w:p w14:paraId="6E01AA43" w14:textId="77777777" w:rsidR="00FA2119" w:rsidRDefault="00FA2119" w:rsidP="00FA2119">
      <w:pPr>
        <w:pStyle w:val="a5"/>
        <w:rPr>
          <w:rtl/>
        </w:rPr>
      </w:pPr>
      <w:r>
        <w:rPr>
          <w:rStyle w:val="a7"/>
        </w:rPr>
        <w:footnoteRef/>
      </w:r>
      <w:r>
        <w:rPr>
          <w:rtl/>
        </w:rPr>
        <w:t xml:space="preserve"> </w:t>
      </w:r>
      <w:r w:rsidRPr="00390632">
        <w:rPr>
          <w:rFonts w:cs="Arial"/>
          <w:rtl/>
        </w:rPr>
        <w:t>מיהו אנו נוהגין לכתחלה כדברי הפוסקים המצריכים לכתוב שניהם</w:t>
      </w:r>
      <w:r>
        <w:rPr>
          <w:rFonts w:cs="Arial" w:hint="cs"/>
          <w:rtl/>
        </w:rPr>
        <w:t>, דרכ"מ (אות א).</w:t>
      </w:r>
    </w:p>
  </w:footnote>
  <w:footnote w:id="1033">
    <w:p w14:paraId="50EDC19A" w14:textId="77777777" w:rsidR="00FA2119" w:rsidRDefault="00FA2119" w:rsidP="00FA2119">
      <w:pPr>
        <w:pStyle w:val="a5"/>
        <w:rPr>
          <w:rtl/>
        </w:rPr>
      </w:pPr>
      <w:r>
        <w:rPr>
          <w:rStyle w:val="a7"/>
        </w:rPr>
        <w:footnoteRef/>
      </w:r>
      <w:r>
        <w:rPr>
          <w:rtl/>
        </w:rPr>
        <w:t xml:space="preserve"> </w:t>
      </w:r>
      <w:r w:rsidRPr="00942B46">
        <w:rPr>
          <w:rFonts w:cs="Arial"/>
          <w:rtl/>
        </w:rPr>
        <w:t>משום דקשיא לי חניכה דתנן (פז</w:t>
      </w:r>
      <w:r>
        <w:rPr>
          <w:rFonts w:cs="Arial" w:hint="cs"/>
          <w:rtl/>
        </w:rPr>
        <w:t>:</w:t>
      </w:r>
      <w:r w:rsidRPr="00942B46">
        <w:rPr>
          <w:rFonts w:cs="Arial"/>
          <w:rtl/>
        </w:rPr>
        <w:t>) כך היו בקיאי הדעת שבירושלים כותבין אלמא אפי' לכתחלה מגרש באחד דלא עדיפא חניכא מאחד מעיקרי שמותיו, ועוד מדאמר רב אשי גבי תקנתו של רבן גמליאל והוא דאתחזק בתרי שמי, ש"מ ואפי' לכתחלה אין צריך אלא בשהוחזק בשני שמות בשני מקומות כגון מקום כתיבה ומקום נתינה ומשום לעז וכדתניא כותיה דרב אשי אבל בשהוחזק בשני שמות במקום אחד דליכא לעז כותב איזה שירצה, והיינו דרב אשי והיינו חניכה</w:t>
      </w:r>
      <w:r>
        <w:rPr>
          <w:rFonts w:cs="Arial" w:hint="cs"/>
          <w:rtl/>
        </w:rPr>
        <w:t>.</w:t>
      </w:r>
      <w:r w:rsidRPr="00942B46">
        <w:rPr>
          <w:rFonts w:cs="Arial"/>
          <w:rtl/>
        </w:rPr>
        <w:t xml:space="preserve"> ואע</w:t>
      </w:r>
      <w:r>
        <w:rPr>
          <w:rFonts w:cs="Arial" w:hint="cs"/>
          <w:rtl/>
        </w:rPr>
        <w:t>"</w:t>
      </w:r>
      <w:r w:rsidRPr="00942B46">
        <w:rPr>
          <w:rFonts w:cs="Arial"/>
          <w:rtl/>
        </w:rPr>
        <w:t>ג דתניא בברייתא מגורשת וגרש דמשמע דיעבד</w:t>
      </w:r>
      <w:r>
        <w:rPr>
          <w:rFonts w:cs="Arial" w:hint="cs"/>
          <w:rtl/>
        </w:rPr>
        <w:t>,</w:t>
      </w:r>
      <w:r w:rsidRPr="00942B46">
        <w:rPr>
          <w:rFonts w:cs="Arial"/>
          <w:rtl/>
        </w:rPr>
        <w:t xml:space="preserve"> אינו קשה</w:t>
      </w:r>
      <w:r>
        <w:rPr>
          <w:rFonts w:cs="Arial" w:hint="cs"/>
          <w:rtl/>
        </w:rPr>
        <w:t>,</w:t>
      </w:r>
      <w:r w:rsidRPr="00942B46">
        <w:rPr>
          <w:rFonts w:cs="Arial"/>
          <w:rtl/>
        </w:rPr>
        <w:t xml:space="preserve"> דלאו דוקא אלא מדתנא ברישא אינה מגורשת תנא בסופא מגורשת והוא הדין לכתחלה, וההיא דרובא קרו לה מרים ופורתא שרה לא קשיא דהתם ה"ק אם בא לכתוב שניהם לא יכתוב הטפל עיקר והעיקר טפל שאין דרך העולם בכך ואיכא לעז, וטפי עדיף לכתוב שם הטפל לבדו ממה שיכתוב שניהם ויכתוב שם הטפל בעיקר והעיקר בטפל שזה דרכן של בריות וזה אין דרכן, כנ"ל עיקר, ואע</w:t>
      </w:r>
      <w:r>
        <w:rPr>
          <w:rFonts w:cs="Arial" w:hint="cs"/>
          <w:rtl/>
        </w:rPr>
        <w:t>"</w:t>
      </w:r>
      <w:r w:rsidRPr="00942B46">
        <w:rPr>
          <w:rFonts w:cs="Arial"/>
          <w:rtl/>
        </w:rPr>
        <w:t>פ שבגירסא הירושלמית שהבאנו למעלה לא נראה כן אנו אין לנו אלא כגמרתנו</w:t>
      </w:r>
      <w:r>
        <w:rPr>
          <w:rFonts w:hint="cs"/>
          <w:rtl/>
        </w:rPr>
        <w:t>, רשב"א (שם).</w:t>
      </w:r>
    </w:p>
  </w:footnote>
  <w:footnote w:id="1034">
    <w:p w14:paraId="4C291520" w14:textId="18DD9A44" w:rsidR="00FA2119" w:rsidRDefault="00FA2119" w:rsidP="00FA2119">
      <w:pPr>
        <w:pStyle w:val="a5"/>
        <w:rPr>
          <w:rtl/>
        </w:rPr>
      </w:pPr>
      <w:r>
        <w:rPr>
          <w:rStyle w:val="a7"/>
        </w:rPr>
        <w:footnoteRef/>
      </w:r>
      <w:r>
        <w:rPr>
          <w:rtl/>
        </w:rPr>
        <w:t xml:space="preserve"> </w:t>
      </w:r>
      <w:r w:rsidRPr="00B35483">
        <w:rPr>
          <w:rFonts w:cs="Arial" w:hint="cs"/>
          <w:b/>
          <w:bCs/>
          <w:rtl/>
        </w:rPr>
        <w:t>הב"י</w:t>
      </w:r>
      <w:r>
        <w:rPr>
          <w:rFonts w:cs="Arial" w:hint="cs"/>
          <w:rtl/>
        </w:rPr>
        <w:t xml:space="preserve"> הבין מדברי הטור הללו</w:t>
      </w:r>
      <w:r w:rsidRPr="00884E33">
        <w:rPr>
          <w:rFonts w:cs="Arial" w:hint="cs"/>
          <w:rtl/>
        </w:rPr>
        <w:t xml:space="preserve"> </w:t>
      </w:r>
      <w:r>
        <w:rPr>
          <w:rFonts w:cs="Arial" w:hint="cs"/>
          <w:rtl/>
        </w:rPr>
        <w:t>ש</w:t>
      </w:r>
      <w:r w:rsidRPr="00884E33">
        <w:rPr>
          <w:rFonts w:cs="Arial"/>
          <w:rtl/>
        </w:rPr>
        <w:t xml:space="preserve">אפילו כותב שם העיקר כל שלא כתב וכל שום </w:t>
      </w:r>
      <w:r w:rsidR="00A42812">
        <w:rPr>
          <w:rFonts w:cs="Arial"/>
          <w:rtl/>
        </w:rPr>
        <w:t>-</w:t>
      </w:r>
      <w:r w:rsidRPr="00884E33">
        <w:rPr>
          <w:rFonts w:cs="Arial" w:hint="cs"/>
          <w:rtl/>
        </w:rPr>
        <w:t xml:space="preserve"> </w:t>
      </w:r>
      <w:r w:rsidRPr="00884E33">
        <w:rPr>
          <w:rFonts w:cs="Arial"/>
          <w:rtl/>
        </w:rPr>
        <w:t>פסול</w:t>
      </w:r>
      <w:r>
        <w:rPr>
          <w:rFonts w:cs="Arial" w:hint="cs"/>
          <w:sz w:val="16"/>
          <w:szCs w:val="16"/>
          <w:rtl/>
        </w:rPr>
        <w:t xml:space="preserve"> (ל' הב"י)</w:t>
      </w:r>
      <w:r w:rsidRPr="00884E33">
        <w:rPr>
          <w:rFonts w:cs="Arial"/>
          <w:rtl/>
        </w:rPr>
        <w:t xml:space="preserve">. </w:t>
      </w:r>
      <w:r w:rsidRPr="00B35483">
        <w:rPr>
          <w:rFonts w:cs="Arial" w:hint="cs"/>
          <w:b/>
          <w:bCs/>
          <w:rtl/>
        </w:rPr>
        <w:t>והדרכ"מ</w:t>
      </w:r>
      <w:r>
        <w:rPr>
          <w:rFonts w:cs="Arial" w:hint="cs"/>
          <w:rtl/>
        </w:rPr>
        <w:t xml:space="preserve"> (אות ב) כתב ד</w:t>
      </w:r>
      <w:r w:rsidRPr="00B35483">
        <w:rPr>
          <w:rFonts w:cs="Arial"/>
          <w:rtl/>
        </w:rPr>
        <w:t>פשט דברי רבינו משמע דכשר אם לא כתב רק שם אחד ולא כתב כל שום וחניכא</w:t>
      </w:r>
      <w:r>
        <w:rPr>
          <w:rFonts w:cs="Arial" w:hint="cs"/>
          <w:rtl/>
        </w:rPr>
        <w:t>.</w:t>
      </w:r>
    </w:p>
  </w:footnote>
  <w:footnote w:id="1035">
    <w:p w14:paraId="5F1C40D8" w14:textId="77777777" w:rsidR="00FA2119" w:rsidRDefault="00FA2119" w:rsidP="00FA2119">
      <w:pPr>
        <w:pStyle w:val="a5"/>
      </w:pPr>
      <w:r>
        <w:rPr>
          <w:rStyle w:val="a7"/>
        </w:rPr>
        <w:footnoteRef/>
      </w:r>
      <w:r>
        <w:rPr>
          <w:rtl/>
        </w:rPr>
        <w:t xml:space="preserve"> </w:t>
      </w:r>
      <w:r w:rsidRPr="008C0D9D">
        <w:rPr>
          <w:rFonts w:cs="Arial"/>
          <w:rtl/>
        </w:rPr>
        <w:t>ול</w:t>
      </w:r>
      <w:r>
        <w:rPr>
          <w:rFonts w:cs="Arial" w:hint="cs"/>
          <w:rtl/>
        </w:rPr>
        <w:t xml:space="preserve">א </w:t>
      </w:r>
      <w:r w:rsidRPr="008C0D9D">
        <w:rPr>
          <w:rFonts w:cs="Arial"/>
          <w:rtl/>
        </w:rPr>
        <w:t>נ</w:t>
      </w:r>
      <w:r>
        <w:rPr>
          <w:rFonts w:cs="Arial" w:hint="cs"/>
          <w:rtl/>
        </w:rPr>
        <w:t>ראה,</w:t>
      </w:r>
      <w:r w:rsidRPr="008C0D9D">
        <w:rPr>
          <w:rFonts w:cs="Arial"/>
          <w:rtl/>
        </w:rPr>
        <w:t xml:space="preserve"> וגם דברי הרמב"ם לא מ</w:t>
      </w:r>
      <w:r>
        <w:rPr>
          <w:rFonts w:cs="Arial" w:hint="cs"/>
          <w:rtl/>
        </w:rPr>
        <w:t>שמע</w:t>
      </w:r>
      <w:r w:rsidRPr="008C0D9D">
        <w:rPr>
          <w:rFonts w:cs="Arial"/>
          <w:rtl/>
        </w:rPr>
        <w:t xml:space="preserve"> כן</w:t>
      </w:r>
      <w:r>
        <w:rPr>
          <w:rFonts w:cs="Arial" w:hint="cs"/>
          <w:rtl/>
        </w:rPr>
        <w:t>,</w:t>
      </w:r>
      <w:r w:rsidRPr="008C0D9D">
        <w:rPr>
          <w:rFonts w:cs="Arial"/>
          <w:rtl/>
        </w:rPr>
        <w:t xml:space="preserve"> אלא דס"ל שם טפל לבד פסול</w:t>
      </w:r>
      <w:r>
        <w:rPr>
          <w:rFonts w:cs="Arial" w:hint="cs"/>
          <w:rtl/>
        </w:rPr>
        <w:t>,</w:t>
      </w:r>
      <w:r w:rsidRPr="008C0D9D">
        <w:rPr>
          <w:rFonts w:cs="Arial"/>
          <w:rtl/>
        </w:rPr>
        <w:t xml:space="preserve"> ול</w:t>
      </w:r>
      <w:r>
        <w:rPr>
          <w:rFonts w:cs="Arial" w:hint="cs"/>
          <w:rtl/>
        </w:rPr>
        <w:t xml:space="preserve">א </w:t>
      </w:r>
      <w:r w:rsidRPr="008C0D9D">
        <w:rPr>
          <w:rFonts w:cs="Arial"/>
          <w:rtl/>
        </w:rPr>
        <w:t>ד</w:t>
      </w:r>
      <w:r>
        <w:rPr>
          <w:rFonts w:cs="Arial" w:hint="cs"/>
          <w:rtl/>
        </w:rPr>
        <w:t>מי</w:t>
      </w:r>
      <w:r w:rsidRPr="008C0D9D">
        <w:rPr>
          <w:rFonts w:cs="Arial"/>
          <w:rtl/>
        </w:rPr>
        <w:t xml:space="preserve"> לחניכה שהכל מכירים בו וידוע לכל</w:t>
      </w:r>
      <w:r>
        <w:rPr>
          <w:rFonts w:cs="Arial" w:hint="cs"/>
          <w:rtl/>
        </w:rPr>
        <w:t>,</w:t>
      </w:r>
      <w:r w:rsidRPr="008C0D9D">
        <w:rPr>
          <w:rFonts w:cs="Arial"/>
          <w:rtl/>
        </w:rPr>
        <w:t xml:space="preserve"> וכ</w:t>
      </w:r>
      <w:r>
        <w:rPr>
          <w:rFonts w:cs="Arial" w:hint="cs"/>
          <w:rtl/>
        </w:rPr>
        <w:t xml:space="preserve">מו </w:t>
      </w:r>
      <w:r w:rsidRPr="008C0D9D">
        <w:rPr>
          <w:rFonts w:cs="Arial"/>
          <w:rtl/>
        </w:rPr>
        <w:t>ש</w:t>
      </w:r>
      <w:r>
        <w:rPr>
          <w:rFonts w:cs="Arial" w:hint="cs"/>
          <w:rtl/>
        </w:rPr>
        <w:t>כתב</w:t>
      </w:r>
      <w:r w:rsidRPr="008C0D9D">
        <w:rPr>
          <w:rFonts w:cs="Arial"/>
          <w:rtl/>
        </w:rPr>
        <w:t xml:space="preserve"> שאינם כו'</w:t>
      </w:r>
      <w:r>
        <w:rPr>
          <w:rFonts w:cs="Arial" w:hint="cs"/>
          <w:rtl/>
        </w:rPr>
        <w:t>.</w:t>
      </w:r>
      <w:r w:rsidRPr="008C0D9D">
        <w:rPr>
          <w:rFonts w:cs="Arial"/>
          <w:rtl/>
        </w:rPr>
        <w:t xml:space="preserve"> וכ"מ בטור שפי' דברי הרמב"ם כן</w:t>
      </w:r>
      <w:r>
        <w:rPr>
          <w:rFonts w:cs="Arial" w:hint="cs"/>
          <w:rtl/>
        </w:rPr>
        <w:t>,</w:t>
      </w:r>
      <w:r w:rsidRPr="008C0D9D">
        <w:rPr>
          <w:rFonts w:cs="Arial"/>
          <w:rtl/>
        </w:rPr>
        <w:t xml:space="preserve"> דלא כב"י וד"מ</w:t>
      </w:r>
      <w:r>
        <w:rPr>
          <w:rFonts w:cs="Arial" w:hint="cs"/>
          <w:rtl/>
        </w:rPr>
        <w:t>, גר"א (סק"ז).</w:t>
      </w:r>
    </w:p>
  </w:footnote>
  <w:footnote w:id="1036">
    <w:p w14:paraId="59F07E9A" w14:textId="77777777" w:rsidR="00FA2119" w:rsidRDefault="00FA2119" w:rsidP="00FA2119">
      <w:pPr>
        <w:pStyle w:val="a5"/>
      </w:pPr>
      <w:r>
        <w:rPr>
          <w:rStyle w:val="a7"/>
        </w:rPr>
        <w:footnoteRef/>
      </w:r>
      <w:r>
        <w:rPr>
          <w:rtl/>
        </w:rPr>
        <w:t xml:space="preserve"> </w:t>
      </w:r>
      <w:r w:rsidRPr="00884E33">
        <w:rPr>
          <w:rFonts w:cs="Arial"/>
          <w:rtl/>
        </w:rPr>
        <w:t>ולא פסל בכתב שם טפל אלא כשכתב עמו וכל שום</w:t>
      </w:r>
      <w:r w:rsidRPr="00884E33">
        <w:rPr>
          <w:rFonts w:cs="Arial" w:hint="cs"/>
          <w:rtl/>
        </w:rPr>
        <w:t>,</w:t>
      </w:r>
      <w:r w:rsidRPr="00884E33">
        <w:rPr>
          <w:rFonts w:cs="Arial"/>
          <w:rtl/>
        </w:rPr>
        <w:t xml:space="preserve"> משום דטפי עדיף לכתוב שם הטפל לבדו ממה שיכתוב שניהם ויכתוב שם הטפל בעיקר והעיקר בטפל</w:t>
      </w:r>
      <w:r w:rsidRPr="00884E33">
        <w:rPr>
          <w:rFonts w:cs="Arial" w:hint="cs"/>
          <w:rtl/>
        </w:rPr>
        <w:t>,</w:t>
      </w:r>
      <w:r w:rsidRPr="00884E33">
        <w:rPr>
          <w:rFonts w:cs="Arial"/>
          <w:rtl/>
        </w:rPr>
        <w:t xml:space="preserve"> וכמו שכתב הרשב"א (לד: ד"ה גמרא)</w:t>
      </w:r>
      <w:r w:rsidRPr="00884E33">
        <w:rPr>
          <w:rFonts w:cs="Arial" w:hint="cs"/>
          <w:rtl/>
        </w:rPr>
        <w:t>,</w:t>
      </w:r>
      <w:r w:rsidRPr="00884E33">
        <w:rPr>
          <w:rFonts w:cs="Arial"/>
          <w:rtl/>
        </w:rPr>
        <w:t xml:space="preserve"> ומילי דסברא נינהו.</w:t>
      </w:r>
      <w:r w:rsidRPr="00884E33">
        <w:rPr>
          <w:rFonts w:cs="Arial" w:hint="cs"/>
          <w:rtl/>
        </w:rPr>
        <w:t>..</w:t>
      </w:r>
      <w:r w:rsidRPr="00884E33">
        <w:rPr>
          <w:rFonts w:cs="Arial"/>
          <w:rtl/>
        </w:rPr>
        <w:t xml:space="preserve"> ואצ"ל אם כתב וכל שום עם חניכתו שהוא טפל ביותר דפסול</w:t>
      </w:r>
      <w:r>
        <w:rPr>
          <w:rFonts w:cs="Arial" w:hint="cs"/>
          <w:rtl/>
        </w:rPr>
        <w:t>,</w:t>
      </w:r>
      <w:r w:rsidRPr="000D2E92">
        <w:rPr>
          <w:rFonts w:cs="Arial" w:hint="cs"/>
          <w:b/>
          <w:bCs/>
          <w:rtl/>
        </w:rPr>
        <w:t xml:space="preserve"> ב"י</w:t>
      </w:r>
      <w:r>
        <w:rPr>
          <w:rFonts w:cs="Arial" w:hint="cs"/>
          <w:rtl/>
        </w:rPr>
        <w:t>.</w:t>
      </w:r>
      <w:r w:rsidRPr="00390632">
        <w:rPr>
          <w:rFonts w:cs="Arial"/>
          <w:rtl/>
        </w:rPr>
        <w:t xml:space="preserve"> </w:t>
      </w:r>
      <w:r>
        <w:rPr>
          <w:rFonts w:cs="Arial" w:hint="cs"/>
          <w:rtl/>
        </w:rPr>
        <w:t xml:space="preserve">אך </w:t>
      </w:r>
      <w:r w:rsidRPr="000D2E92">
        <w:rPr>
          <w:rFonts w:cs="Arial" w:hint="cs"/>
          <w:b/>
          <w:bCs/>
          <w:rtl/>
        </w:rPr>
        <w:t xml:space="preserve">הדרכ"מ </w:t>
      </w:r>
      <w:r w:rsidRPr="00390632">
        <w:rPr>
          <w:rFonts w:cs="Arial"/>
          <w:rtl/>
        </w:rPr>
        <w:t>(</w:t>
      </w:r>
      <w:r>
        <w:rPr>
          <w:rFonts w:cs="Arial" w:hint="cs"/>
          <w:rtl/>
        </w:rPr>
        <w:t xml:space="preserve">אות </w:t>
      </w:r>
      <w:r w:rsidRPr="00390632">
        <w:rPr>
          <w:rFonts w:cs="Arial"/>
          <w:rtl/>
        </w:rPr>
        <w:t>ב)</w:t>
      </w:r>
      <w:r>
        <w:rPr>
          <w:rFonts w:cs="Arial" w:hint="cs"/>
          <w:rtl/>
        </w:rPr>
        <w:t xml:space="preserve"> חלק על הבנת הב"י בדברי הטור, וסיים דבריו שמכיוון שאף הב"י מודה שאין הלכה כדברי הטור (לפי' פירושו של הב"י) </w:t>
      </w:r>
      <w:r w:rsidRPr="00390632">
        <w:rPr>
          <w:rFonts w:cs="Arial"/>
          <w:rtl/>
        </w:rPr>
        <w:t>לכן אין נפקותא בזה לענין הלכתא ועזבתיו</w:t>
      </w:r>
      <w:r>
        <w:rPr>
          <w:rFonts w:cs="Arial" w:hint="cs"/>
          <w:rtl/>
        </w:rPr>
        <w:t>.</w:t>
      </w:r>
    </w:p>
  </w:footnote>
  <w:footnote w:id="1037">
    <w:p w14:paraId="7A35B581" w14:textId="77777777" w:rsidR="00FA2119" w:rsidRDefault="00FA2119" w:rsidP="00FA2119">
      <w:pPr>
        <w:pStyle w:val="a5"/>
      </w:pPr>
      <w:r>
        <w:rPr>
          <w:rStyle w:val="a7"/>
        </w:rPr>
        <w:footnoteRef/>
      </w:r>
      <w:r>
        <w:rPr>
          <w:rtl/>
        </w:rPr>
        <w:t xml:space="preserve"> </w:t>
      </w:r>
      <w:r>
        <w:rPr>
          <w:rFonts w:cs="Arial"/>
          <w:rtl/>
        </w:rPr>
        <w:t>חניכא גריעא משם טפל</w:t>
      </w:r>
      <w:r>
        <w:rPr>
          <w:rFonts w:cs="Arial" w:hint="cs"/>
          <w:rtl/>
        </w:rPr>
        <w:t>,</w:t>
      </w:r>
      <w:r>
        <w:rPr>
          <w:rFonts w:cs="Arial"/>
          <w:rtl/>
        </w:rPr>
        <w:t xml:space="preserve"> ואפ"ה כשר בדיעבד כיון שלא כתב וכל שום</w:t>
      </w:r>
      <w:r>
        <w:rPr>
          <w:rFonts w:cs="Arial" w:hint="cs"/>
          <w:rtl/>
        </w:rPr>
        <w:t>.</w:t>
      </w:r>
      <w:r>
        <w:rPr>
          <w:rFonts w:cs="Arial"/>
          <w:rtl/>
        </w:rPr>
        <w:t xml:space="preserve"> אבל</w:t>
      </w:r>
      <w:r>
        <w:rPr>
          <w:rFonts w:cs="Arial" w:hint="cs"/>
          <w:rtl/>
        </w:rPr>
        <w:t>...</w:t>
      </w:r>
      <w:r>
        <w:rPr>
          <w:rFonts w:cs="Arial"/>
          <w:rtl/>
        </w:rPr>
        <w:t xml:space="preserve"> אם כתב וכל שום עם חניכתו שהוא טפל ביותר </w:t>
      </w:r>
      <w:r>
        <w:rPr>
          <w:rFonts w:cs="Arial" w:hint="cs"/>
          <w:rtl/>
        </w:rPr>
        <w:t xml:space="preserve">- </w:t>
      </w:r>
      <w:r>
        <w:rPr>
          <w:rFonts w:cs="Arial"/>
          <w:rtl/>
        </w:rPr>
        <w:t>פסול</w:t>
      </w:r>
      <w:r>
        <w:rPr>
          <w:rFonts w:cs="Arial" w:hint="cs"/>
          <w:rtl/>
        </w:rPr>
        <w:t>, ב"י.</w:t>
      </w:r>
    </w:p>
  </w:footnote>
  <w:footnote w:id="1038">
    <w:p w14:paraId="798114B7" w14:textId="60B85FB0" w:rsidR="00FA2119" w:rsidRDefault="00FA2119" w:rsidP="00FA2119">
      <w:pPr>
        <w:pStyle w:val="a5"/>
        <w:rPr>
          <w:rtl/>
        </w:rPr>
      </w:pPr>
      <w:r>
        <w:rPr>
          <w:rStyle w:val="a7"/>
        </w:rPr>
        <w:footnoteRef/>
      </w:r>
      <w:r>
        <w:rPr>
          <w:rtl/>
        </w:rPr>
        <w:t xml:space="preserve"> </w:t>
      </w:r>
      <w:r>
        <w:rPr>
          <w:rFonts w:cs="Arial"/>
          <w:rtl/>
        </w:rPr>
        <w:t>טעם מחלוקת הרמב"ם והרא"ש בחניכתו וחניכתה</w:t>
      </w:r>
      <w:r>
        <w:rPr>
          <w:rFonts w:cs="Arial" w:hint="cs"/>
          <w:rtl/>
        </w:rPr>
        <w:t>...</w:t>
      </w:r>
      <w:r>
        <w:rPr>
          <w:rFonts w:cs="Arial"/>
          <w:rtl/>
        </w:rPr>
        <w:t xml:space="preserve"> הוא תלוי לדעתי בחלוקת גירסת המשנה בפרק המגרש (פז:) דהרא"ש גריס כגירסת </w:t>
      </w:r>
      <w:r>
        <w:rPr>
          <w:rFonts w:cs="Arial" w:hint="cs"/>
          <w:rtl/>
        </w:rPr>
        <w:t xml:space="preserve">ר"ח ור"ת </w:t>
      </w:r>
      <w:r>
        <w:rPr>
          <w:rFonts w:cs="Arial"/>
          <w:rtl/>
        </w:rPr>
        <w:t xml:space="preserve">שכתבו שם התוספות (פח. ד"ה וכך) </w:t>
      </w:r>
      <w:r>
        <w:rPr>
          <w:rFonts w:cs="Arial" w:hint="cs"/>
          <w:rtl/>
        </w:rPr>
        <w:t>'</w:t>
      </w:r>
      <w:r>
        <w:rPr>
          <w:rFonts w:cs="Arial"/>
          <w:rtl/>
        </w:rPr>
        <w:t>איש פלוני בן איש פלוני ולא כתב עד כשר כתב חניכתו וחניכתה כשר וכך היו נקיי הדעת שבירושלים כותבין</w:t>
      </w:r>
      <w:r>
        <w:rPr>
          <w:rFonts w:cs="Arial" w:hint="cs"/>
          <w:rtl/>
        </w:rPr>
        <w:t>'.</w:t>
      </w:r>
      <w:r>
        <w:rPr>
          <w:rFonts w:cs="Arial"/>
          <w:rtl/>
        </w:rPr>
        <w:t xml:space="preserve"> פירוש שלא היו כותבין אלא חניכתו וחניכתה לבד</w:t>
      </w:r>
      <w:r>
        <w:rPr>
          <w:rFonts w:cs="Arial" w:hint="cs"/>
          <w:rtl/>
        </w:rPr>
        <w:t>.</w:t>
      </w:r>
      <w:r>
        <w:rPr>
          <w:rFonts w:cs="Arial"/>
          <w:rtl/>
        </w:rPr>
        <w:t xml:space="preserve"> הרי דלכתחלה לא היו כותבין אלא חניכתו וחניכתה לבד. והרמב"ם גריס כגירסת רש"י דכתב חניכתו וחניכתה שנוי אחר וכך היו נקיי הדעת וכו' דלא קאי כך היו נקיי הדעת כותבין אלא לכותב איש פלוני ולא כתב עד דכשר וקאמר דנקיי הדעת שלשונם קצרה לא היו חותמים עד אלא פלוני בן פלוני ומאחר שמה ששנינו שכך היו נקיי הדעת לא קאי לכתב חניכתו וחניכתה מהי תיתי לן להתיר לכתוב כן לכתחלה דכתב חניכתו וחניכתה כשר בדיעבד משמע</w:t>
      </w:r>
      <w:r>
        <w:rPr>
          <w:rFonts w:cs="Arial" w:hint="cs"/>
          <w:rtl/>
        </w:rPr>
        <w:t xml:space="preserve">, </w:t>
      </w:r>
      <w:r w:rsidRPr="001064DB">
        <w:rPr>
          <w:rFonts w:cs="Arial" w:hint="cs"/>
          <w:b/>
          <w:bCs/>
          <w:rtl/>
        </w:rPr>
        <w:t>ב"י</w:t>
      </w:r>
      <w:r>
        <w:rPr>
          <w:rFonts w:cs="Arial" w:hint="cs"/>
          <w:rtl/>
        </w:rPr>
        <w:t>.</w:t>
      </w:r>
      <w:r>
        <w:rPr>
          <w:rFonts w:hint="cs"/>
          <w:rtl/>
        </w:rPr>
        <w:t xml:space="preserve"> וכתב </w:t>
      </w:r>
      <w:r w:rsidRPr="001064DB">
        <w:rPr>
          <w:rFonts w:hint="cs"/>
          <w:b/>
          <w:bCs/>
          <w:rtl/>
        </w:rPr>
        <w:t>הב"ש</w:t>
      </w:r>
      <w:r>
        <w:rPr>
          <w:rFonts w:hint="cs"/>
          <w:rtl/>
        </w:rPr>
        <w:t xml:space="preserve"> (סק"א) </w:t>
      </w:r>
      <w:r>
        <w:rPr>
          <w:rFonts w:cs="Arial" w:hint="cs"/>
          <w:rtl/>
        </w:rPr>
        <w:t>ש</w:t>
      </w:r>
      <w:r w:rsidRPr="001064DB">
        <w:rPr>
          <w:rFonts w:cs="Arial"/>
          <w:rtl/>
        </w:rPr>
        <w:t>דברי</w:t>
      </w:r>
      <w:r>
        <w:rPr>
          <w:rFonts w:cs="Arial" w:hint="cs"/>
          <w:rtl/>
        </w:rPr>
        <w:t xml:space="preserve"> הב"י</w:t>
      </w:r>
      <w:r w:rsidRPr="001064DB">
        <w:rPr>
          <w:rFonts w:cs="Arial"/>
          <w:rtl/>
        </w:rPr>
        <w:t xml:space="preserve"> אי</w:t>
      </w:r>
      <w:r>
        <w:rPr>
          <w:rFonts w:cs="Arial" w:hint="cs"/>
          <w:rtl/>
        </w:rPr>
        <w:t>נם</w:t>
      </w:r>
      <w:r w:rsidRPr="001064DB">
        <w:rPr>
          <w:rFonts w:cs="Arial"/>
          <w:rtl/>
        </w:rPr>
        <w:t xml:space="preserve"> מוכרחים</w:t>
      </w:r>
      <w:r>
        <w:rPr>
          <w:rFonts w:cs="Arial" w:hint="cs"/>
          <w:rtl/>
        </w:rPr>
        <w:t>,</w:t>
      </w:r>
      <w:r w:rsidRPr="001064DB">
        <w:rPr>
          <w:rFonts w:cs="Arial"/>
          <w:rtl/>
        </w:rPr>
        <w:t xml:space="preserve"> </w:t>
      </w:r>
      <w:r>
        <w:rPr>
          <w:rFonts w:cs="Arial" w:hint="cs"/>
          <w:rtl/>
        </w:rPr>
        <w:t>ד</w:t>
      </w:r>
      <w:r w:rsidRPr="001064DB">
        <w:rPr>
          <w:rFonts w:cs="Arial"/>
          <w:rtl/>
        </w:rPr>
        <w:t>י"ל הרמב"ם מודה בחניכה שהכל קורין בו אלא הוא איירי בחניכה שאין הכל קורין בו</w:t>
      </w:r>
      <w:r>
        <w:rPr>
          <w:rFonts w:cs="Arial" w:hint="cs"/>
          <w:rtl/>
        </w:rPr>
        <w:t>,</w:t>
      </w:r>
      <w:r w:rsidRPr="001064DB">
        <w:rPr>
          <w:rFonts w:cs="Arial"/>
          <w:rtl/>
        </w:rPr>
        <w:t xml:space="preserve"> כי לגירס' שלו במתני' פ' המגרש תנא לשון דיעבד בחניכה</w:t>
      </w:r>
      <w:r>
        <w:rPr>
          <w:rFonts w:cs="Arial" w:hint="cs"/>
          <w:rtl/>
        </w:rPr>
        <w:t>,</w:t>
      </w:r>
      <w:r w:rsidRPr="001064DB">
        <w:rPr>
          <w:rFonts w:cs="Arial"/>
          <w:rtl/>
        </w:rPr>
        <w:t xml:space="preserve"> והיינו חניכה שאין הכל קורין אותו בו</w:t>
      </w:r>
      <w:r>
        <w:rPr>
          <w:rFonts w:cs="Arial" w:hint="cs"/>
          <w:rtl/>
        </w:rPr>
        <w:t>,</w:t>
      </w:r>
      <w:r w:rsidRPr="001064DB">
        <w:rPr>
          <w:rFonts w:cs="Arial"/>
          <w:rtl/>
        </w:rPr>
        <w:t xml:space="preserve"> מ</w:t>
      </w:r>
      <w:r>
        <w:rPr>
          <w:rFonts w:cs="Arial" w:hint="cs"/>
          <w:rtl/>
        </w:rPr>
        <w:t>שום הכי</w:t>
      </w:r>
      <w:r w:rsidRPr="001064DB">
        <w:rPr>
          <w:rFonts w:cs="Arial"/>
          <w:rtl/>
        </w:rPr>
        <w:t xml:space="preserve"> כתב הרמב"ם הדין מה דמפורש במתניתין כדרכו כי לדידי</w:t>
      </w:r>
      <w:r>
        <w:rPr>
          <w:rFonts w:cs="Arial" w:hint="cs"/>
          <w:rtl/>
        </w:rPr>
        <w:t>ה</w:t>
      </w:r>
      <w:r w:rsidRPr="001064DB">
        <w:rPr>
          <w:rFonts w:cs="Arial"/>
          <w:rtl/>
        </w:rPr>
        <w:t xml:space="preserve"> לא נזכר בש"ס חניכה שהכל קורין אותו בו</w:t>
      </w:r>
      <w:r>
        <w:rPr>
          <w:rFonts w:cs="Arial" w:hint="cs"/>
          <w:rtl/>
        </w:rPr>
        <w:t>,</w:t>
      </w:r>
      <w:r w:rsidRPr="001064DB">
        <w:rPr>
          <w:rFonts w:cs="Arial"/>
          <w:rtl/>
        </w:rPr>
        <w:t xml:space="preserve"> אבל הוא נמי ס"ל חניכה שהכל קורין אותו בו כותבים לכתחלה</w:t>
      </w:r>
      <w:r>
        <w:rPr>
          <w:rFonts w:cs="Arial" w:hint="cs"/>
          <w:rtl/>
        </w:rPr>
        <w:t>. עכ"ל.</w:t>
      </w:r>
      <w:r w:rsidRPr="001064DB">
        <w:rPr>
          <w:rFonts w:hint="cs"/>
          <w:rtl/>
        </w:rPr>
        <w:t xml:space="preserve"> </w:t>
      </w:r>
      <w:r>
        <w:rPr>
          <w:rFonts w:hint="cs"/>
          <w:rtl/>
        </w:rPr>
        <w:t xml:space="preserve">וכ"כ </w:t>
      </w:r>
      <w:r w:rsidRPr="00CF35DE">
        <w:rPr>
          <w:rFonts w:hint="cs"/>
          <w:b/>
          <w:bCs/>
          <w:rtl/>
        </w:rPr>
        <w:t>בגט מקושר</w:t>
      </w:r>
      <w:r>
        <w:rPr>
          <w:rFonts w:hint="cs"/>
          <w:rtl/>
        </w:rPr>
        <w:t xml:space="preserve"> (כללי השמות אות ו). ועיין </w:t>
      </w:r>
      <w:r w:rsidRPr="001064DB">
        <w:rPr>
          <w:rFonts w:hint="cs"/>
          <w:b/>
          <w:bCs/>
          <w:rtl/>
        </w:rPr>
        <w:t>בערוה"ש</w:t>
      </w:r>
      <w:r>
        <w:rPr>
          <w:rFonts w:hint="cs"/>
          <w:rtl/>
        </w:rPr>
        <w:t xml:space="preserve"> </w:t>
      </w:r>
      <w:r w:rsidRPr="00CD043D">
        <w:rPr>
          <w:rFonts w:hint="cs"/>
          <w:sz w:val="16"/>
          <w:szCs w:val="16"/>
          <w:rtl/>
        </w:rPr>
        <w:t xml:space="preserve">(סי' קכט סע' צח) </w:t>
      </w:r>
      <w:r>
        <w:rPr>
          <w:rFonts w:hint="cs"/>
          <w:rtl/>
        </w:rPr>
        <w:t xml:space="preserve">שכתב </w:t>
      </w:r>
      <w:r>
        <w:rPr>
          <w:rFonts w:cs="Arial" w:hint="cs"/>
          <w:rtl/>
        </w:rPr>
        <w:t>ד</w:t>
      </w:r>
      <w:r w:rsidRPr="00CD043D">
        <w:rPr>
          <w:rFonts w:cs="Arial"/>
          <w:rtl/>
        </w:rPr>
        <w:t xml:space="preserve">יש מי שאומר שהרמב"ם מכשיר לכתחלה </w:t>
      </w:r>
      <w:r w:rsidRPr="00CD043D">
        <w:rPr>
          <w:rFonts w:cs="Arial"/>
          <w:sz w:val="16"/>
          <w:szCs w:val="16"/>
          <w:rtl/>
        </w:rPr>
        <w:t xml:space="preserve">[תוי"ט פ"ט מ"ח] </w:t>
      </w:r>
      <w:r w:rsidRPr="00CD043D">
        <w:rPr>
          <w:rFonts w:cs="Arial"/>
          <w:rtl/>
        </w:rPr>
        <w:t>ולפי סגנון לשונו מוכח כן ע"ש</w:t>
      </w:r>
      <w:r>
        <w:rPr>
          <w:rFonts w:hint="cs"/>
          <w:rtl/>
        </w:rPr>
        <w:t xml:space="preserve">. עכ"ל. ועיין </w:t>
      </w:r>
      <w:r w:rsidRPr="00CF35DE">
        <w:rPr>
          <w:rFonts w:hint="cs"/>
          <w:b/>
          <w:bCs/>
          <w:rtl/>
        </w:rPr>
        <w:t>בפת"ש</w:t>
      </w:r>
      <w:r>
        <w:rPr>
          <w:rFonts w:hint="cs"/>
          <w:rtl/>
        </w:rPr>
        <w:t xml:space="preserve"> (סק"ב) </w:t>
      </w:r>
      <w:r>
        <w:rPr>
          <w:rFonts w:cs="Arial" w:hint="cs"/>
          <w:rtl/>
        </w:rPr>
        <w:t xml:space="preserve">דמי שיש לו כינוי שהכל קוראים לו כך, ואין ידוע מה בדיוק שמו המקורי </w:t>
      </w:r>
      <w:r w:rsidR="00A42812">
        <w:rPr>
          <w:rFonts w:cs="Arial"/>
          <w:rtl/>
        </w:rPr>
        <w:t>-</w:t>
      </w:r>
      <w:r>
        <w:rPr>
          <w:rFonts w:cs="Arial" w:hint="cs"/>
          <w:rtl/>
        </w:rPr>
        <w:t xml:space="preserve"> שרי לכתוב כינויו לכתחילה בגט. וכתב כן בשם </w:t>
      </w:r>
      <w:r w:rsidRPr="00CF35DE">
        <w:rPr>
          <w:rFonts w:cs="Arial"/>
          <w:rtl/>
        </w:rPr>
        <w:t xml:space="preserve">גט מקושר </w:t>
      </w:r>
      <w:r>
        <w:rPr>
          <w:rFonts w:cs="Arial" w:hint="cs"/>
          <w:rtl/>
        </w:rPr>
        <w:t>(</w:t>
      </w:r>
      <w:r w:rsidRPr="00CF35DE">
        <w:rPr>
          <w:rFonts w:cs="Arial"/>
          <w:rtl/>
        </w:rPr>
        <w:t>כללי השמות אות ו</w:t>
      </w:r>
      <w:r>
        <w:rPr>
          <w:rFonts w:cs="Arial" w:hint="cs"/>
          <w:rtl/>
        </w:rPr>
        <w:t>),</w:t>
      </w:r>
      <w:r w:rsidRPr="00CF35DE">
        <w:rPr>
          <w:rFonts w:cs="Arial"/>
          <w:rtl/>
        </w:rPr>
        <w:t xml:space="preserve"> תשו' שיבת ציון </w:t>
      </w:r>
      <w:r>
        <w:rPr>
          <w:rFonts w:cs="Arial" w:hint="cs"/>
          <w:rtl/>
        </w:rPr>
        <w:t>(</w:t>
      </w:r>
      <w:r w:rsidRPr="00CF35DE">
        <w:rPr>
          <w:rFonts w:cs="Arial"/>
          <w:rtl/>
        </w:rPr>
        <w:t>סי' פז</w:t>
      </w:r>
      <w:r>
        <w:rPr>
          <w:rFonts w:cs="Arial" w:hint="cs"/>
          <w:rtl/>
        </w:rPr>
        <w:t>)</w:t>
      </w:r>
      <w:r w:rsidRPr="00CF35DE">
        <w:rPr>
          <w:rFonts w:cs="Arial"/>
          <w:rtl/>
        </w:rPr>
        <w:t xml:space="preserve"> שהביא כן הלכה למעשה מאביו הגאון בעל נו"ב ז"ל</w:t>
      </w:r>
      <w:r>
        <w:rPr>
          <w:rFonts w:cs="Arial" w:hint="cs"/>
          <w:rtl/>
        </w:rPr>
        <w:t>,</w:t>
      </w:r>
      <w:r w:rsidRPr="00CF35DE">
        <w:rPr>
          <w:rFonts w:cs="Arial"/>
          <w:rtl/>
        </w:rPr>
        <w:t xml:space="preserve"> ג"פ </w:t>
      </w:r>
      <w:r>
        <w:rPr>
          <w:rFonts w:cs="Arial" w:hint="cs"/>
          <w:rtl/>
        </w:rPr>
        <w:t>(</w:t>
      </w:r>
      <w:r w:rsidRPr="00CF35DE">
        <w:rPr>
          <w:rFonts w:cs="Arial"/>
          <w:rtl/>
        </w:rPr>
        <w:t>בסי' זה סקקל"ב</w:t>
      </w:r>
      <w:r>
        <w:rPr>
          <w:rFonts w:cs="Arial" w:hint="cs"/>
          <w:rtl/>
        </w:rPr>
        <w:t>),</w:t>
      </w:r>
      <w:r w:rsidRPr="00CF35DE">
        <w:rPr>
          <w:rFonts w:cs="Arial"/>
          <w:rtl/>
        </w:rPr>
        <w:t xml:space="preserve"> שו"ת תשובה מאהבה </w:t>
      </w:r>
      <w:r>
        <w:rPr>
          <w:rFonts w:cs="Arial" w:hint="cs"/>
          <w:rtl/>
        </w:rPr>
        <w:t>(</w:t>
      </w:r>
      <w:r w:rsidRPr="00CF35DE">
        <w:rPr>
          <w:rFonts w:cs="Arial"/>
          <w:rtl/>
        </w:rPr>
        <w:t>ח"א סי' נב</w:t>
      </w:r>
      <w:r>
        <w:rPr>
          <w:rFonts w:cs="Arial" w:hint="cs"/>
          <w:rtl/>
        </w:rPr>
        <w:t>)</w:t>
      </w:r>
      <w:r w:rsidRPr="00CF35DE">
        <w:rPr>
          <w:rFonts w:cs="Arial"/>
          <w:rtl/>
        </w:rPr>
        <w:t xml:space="preserve"> שהביא ג"כ זה בשם רבו הגאון נו"ב ז"ל והזכיר שם שאמר ששמע כן מהגאון בעל פ"י ז"ל</w:t>
      </w:r>
      <w:r>
        <w:rPr>
          <w:rFonts w:cs="Arial" w:hint="cs"/>
          <w:rtl/>
        </w:rPr>
        <w:t>,</w:t>
      </w:r>
      <w:r w:rsidRPr="00CF35DE">
        <w:rPr>
          <w:rFonts w:cs="Arial"/>
          <w:rtl/>
        </w:rPr>
        <w:t xml:space="preserve"> גם בס' טיב גיטין </w:t>
      </w:r>
      <w:r>
        <w:rPr>
          <w:rFonts w:cs="Arial" w:hint="cs"/>
          <w:rtl/>
        </w:rPr>
        <w:t>(</w:t>
      </w:r>
      <w:r w:rsidRPr="00CF35DE">
        <w:rPr>
          <w:rFonts w:cs="Arial"/>
          <w:rtl/>
        </w:rPr>
        <w:t>דיני שמות שנשתנה מ"ח סקי"ד</w:t>
      </w:r>
      <w:r>
        <w:rPr>
          <w:rFonts w:cs="Arial" w:hint="cs"/>
          <w:rtl/>
        </w:rPr>
        <w:t>)</w:t>
      </w:r>
      <w:r w:rsidRPr="00CF35DE">
        <w:rPr>
          <w:rFonts w:cs="Arial"/>
          <w:rtl/>
        </w:rPr>
        <w:t xml:space="preserve"> הביא כן בשם תשובת בגדי כהונה </w:t>
      </w:r>
      <w:r>
        <w:rPr>
          <w:rFonts w:cs="Arial" w:hint="cs"/>
          <w:rtl/>
        </w:rPr>
        <w:t>(</w:t>
      </w:r>
      <w:r w:rsidRPr="00CF35DE">
        <w:rPr>
          <w:rFonts w:cs="Arial"/>
          <w:rtl/>
        </w:rPr>
        <w:t>סי' כט</w:t>
      </w:r>
      <w:r>
        <w:rPr>
          <w:rFonts w:cs="Arial" w:hint="cs"/>
          <w:rtl/>
        </w:rPr>
        <w:t>)</w:t>
      </w:r>
      <w:r w:rsidRPr="00CF35DE">
        <w:rPr>
          <w:rFonts w:cs="Arial"/>
          <w:rtl/>
        </w:rPr>
        <w:t xml:space="preserve"> </w:t>
      </w:r>
      <w:r>
        <w:rPr>
          <w:rFonts w:cs="Arial" w:hint="cs"/>
          <w:rtl/>
        </w:rPr>
        <w:t>כעין זה. עיי"ש.</w:t>
      </w:r>
    </w:p>
  </w:footnote>
  <w:footnote w:id="1039">
    <w:p w14:paraId="68049E40" w14:textId="6C666225"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F01BA9">
        <w:rPr>
          <w:rFonts w:cs="Arial"/>
          <w:rtl/>
        </w:rPr>
        <w:t>וכך היו נקיי הדעת שבירושלים כותבין</w:t>
      </w:r>
      <w:r>
        <w:rPr>
          <w:rFonts w:cs="Arial" w:hint="cs"/>
          <w:rtl/>
        </w:rPr>
        <w:t>,</w:t>
      </w:r>
      <w:r w:rsidRPr="00F01BA9">
        <w:rPr>
          <w:rFonts w:cs="Arial"/>
          <w:rtl/>
        </w:rPr>
        <w:t xml:space="preserve"> פירוש שלא היו כותבין אלא חניכתם</w:t>
      </w:r>
      <w:r>
        <w:rPr>
          <w:rFonts w:cs="Arial" w:hint="cs"/>
          <w:rtl/>
        </w:rPr>
        <w:t>.</w:t>
      </w:r>
      <w:r w:rsidRPr="00F01BA9">
        <w:rPr>
          <w:rFonts w:cs="Arial"/>
          <w:rtl/>
        </w:rPr>
        <w:t xml:space="preserve"> וחניכת אבות דבגמרא לא איירי בחניכת האיש כדהכא</w:t>
      </w:r>
      <w:r>
        <w:rPr>
          <w:rFonts w:cs="Arial" w:hint="cs"/>
          <w:rtl/>
        </w:rPr>
        <w:t>,</w:t>
      </w:r>
      <w:r w:rsidRPr="00F01BA9">
        <w:rPr>
          <w:rFonts w:cs="Arial"/>
          <w:rtl/>
        </w:rPr>
        <w:t xml:space="preserve"> אלא חניכה שהמשפחה נקראת על שמה</w:t>
      </w:r>
      <w:r>
        <w:rPr>
          <w:rFonts w:cs="Arial" w:hint="cs"/>
          <w:rtl/>
        </w:rPr>
        <w:t>.</w:t>
      </w:r>
    </w:p>
  </w:footnote>
  <w:footnote w:id="1040">
    <w:p w14:paraId="1437DB23" w14:textId="77777777" w:rsidR="00FA2119" w:rsidRDefault="00FA2119" w:rsidP="00FA2119">
      <w:pPr>
        <w:pStyle w:val="a5"/>
      </w:pPr>
      <w:r>
        <w:rPr>
          <w:rStyle w:val="a7"/>
        </w:rPr>
        <w:footnoteRef/>
      </w:r>
      <w:r>
        <w:rPr>
          <w:rtl/>
        </w:rPr>
        <w:t xml:space="preserve"> </w:t>
      </w:r>
      <w:r>
        <w:rPr>
          <w:rFonts w:hint="cs"/>
          <w:rtl/>
        </w:rPr>
        <w:t xml:space="preserve">רש"י סובר שהחניכה המוזכרת במשנה היא חניכת אבות המוזכרת בגמרא. </w:t>
      </w:r>
      <w:r>
        <w:rPr>
          <w:rFonts w:cs="Arial" w:hint="cs"/>
          <w:rtl/>
        </w:rPr>
        <w:t>וכתב הב"י ד</w:t>
      </w:r>
      <w:r w:rsidRPr="0096582E">
        <w:rPr>
          <w:rFonts w:cs="Arial"/>
          <w:rtl/>
        </w:rPr>
        <w:t>אפילו לדעת רש"י נראה ליה דשם לווי האיש עצמו חשיב שפיר לכתוב בגט</w:t>
      </w:r>
      <w:r w:rsidRPr="0096582E">
        <w:rPr>
          <w:rFonts w:cs="Arial" w:hint="cs"/>
          <w:rtl/>
        </w:rPr>
        <w:t>,</w:t>
      </w:r>
      <w:r w:rsidRPr="0096582E">
        <w:rPr>
          <w:rFonts w:cs="Arial"/>
          <w:rtl/>
        </w:rPr>
        <w:t xml:space="preserve"> דסברא הוא דעדיף מחניכת המשפחה</w:t>
      </w:r>
      <w:r w:rsidRPr="0096582E">
        <w:rPr>
          <w:rFonts w:cs="Arial" w:hint="cs"/>
          <w:rtl/>
        </w:rPr>
        <w:t>.</w:t>
      </w:r>
      <w:r w:rsidRPr="0096582E">
        <w:rPr>
          <w:rFonts w:cs="Arial"/>
          <w:rtl/>
        </w:rPr>
        <w:t xml:space="preserve"> ומשום הכי כתב רבינו ב' החניכות סתם</w:t>
      </w:r>
      <w:r w:rsidRPr="0096582E">
        <w:rPr>
          <w:rFonts w:cs="Arial" w:hint="cs"/>
          <w:rtl/>
        </w:rPr>
        <w:t>,</w:t>
      </w:r>
      <w:r w:rsidRPr="0096582E">
        <w:rPr>
          <w:rFonts w:cs="Arial"/>
          <w:rtl/>
        </w:rPr>
        <w:t xml:space="preserve"> משום דלכו</w:t>
      </w:r>
      <w:r>
        <w:rPr>
          <w:rFonts w:cs="Arial" w:hint="cs"/>
          <w:rtl/>
        </w:rPr>
        <w:t>"ע</w:t>
      </w:r>
      <w:r w:rsidRPr="0096582E">
        <w:rPr>
          <w:rFonts w:cs="Arial"/>
          <w:rtl/>
        </w:rPr>
        <w:t xml:space="preserve"> באיזה מהם מתכשר גיטא</w:t>
      </w:r>
      <w:r w:rsidRPr="0096582E">
        <w:rPr>
          <w:rFonts w:cs="Arial" w:hint="cs"/>
          <w:rtl/>
        </w:rPr>
        <w:t>.</w:t>
      </w:r>
      <w:r w:rsidRPr="0096582E">
        <w:rPr>
          <w:rFonts w:cs="Arial"/>
          <w:rtl/>
        </w:rPr>
        <w:t xml:space="preserve"> וזה נראה שהיה דעת הרמב"ם (פ"ג הי"ג) שסתם לכתוב כתב חניכתו וחניכתה כשר ולא הזכיר חניכת אבות ולא חניכת לווי. אלא שיש לתמוה למה לא הזכיר עד כמה דורות הוא דמתכשר גיטא שכתב בו החניכא</w:t>
      </w:r>
      <w:r w:rsidRPr="0096582E">
        <w:rPr>
          <w:rFonts w:cs="Arial" w:hint="cs"/>
          <w:rtl/>
        </w:rPr>
        <w:t>.</w:t>
      </w:r>
    </w:p>
  </w:footnote>
  <w:footnote w:id="1041">
    <w:p w14:paraId="3DDE980B" w14:textId="77777777" w:rsidR="00FA2119" w:rsidRDefault="00FA2119" w:rsidP="00FA2119">
      <w:pPr>
        <w:pStyle w:val="a5"/>
        <w:rPr>
          <w:rtl/>
        </w:rPr>
      </w:pPr>
      <w:r>
        <w:rPr>
          <w:rStyle w:val="a7"/>
        </w:rPr>
        <w:footnoteRef/>
      </w:r>
      <w:r>
        <w:rPr>
          <w:rtl/>
        </w:rPr>
        <w:t xml:space="preserve"> </w:t>
      </w:r>
      <w:r w:rsidRPr="00390632">
        <w:rPr>
          <w:rFonts w:cs="Arial"/>
          <w:rtl/>
        </w:rPr>
        <w:t>וזהו שלא כדברי המרדכי דסבירא ליה דמיירי בעדי מסירה</w:t>
      </w:r>
      <w:r>
        <w:rPr>
          <w:rFonts w:cs="Arial" w:hint="cs"/>
          <w:rtl/>
        </w:rPr>
        <w:t>.</w:t>
      </w:r>
      <w:r w:rsidRPr="00390632">
        <w:rPr>
          <w:rFonts w:cs="Arial"/>
          <w:rtl/>
        </w:rPr>
        <w:t xml:space="preserve"> והמרדכי לטעמיה דסבירא ליה דלא בעינן שיהא ניכר מתוך הגט ולכן כתב שם ר</w:t>
      </w:r>
      <w:r>
        <w:rPr>
          <w:rFonts w:cs="Arial" w:hint="cs"/>
          <w:rtl/>
        </w:rPr>
        <w:t>"</w:t>
      </w:r>
      <w:r w:rsidRPr="00390632">
        <w:rPr>
          <w:rFonts w:cs="Arial"/>
          <w:rtl/>
        </w:rPr>
        <w:t>פ כל הגט דאפילו לא הזכיר שם האיש והאשה כלל הגט כשר ועיי"ש</w:t>
      </w:r>
      <w:r>
        <w:rPr>
          <w:rFonts w:cs="Arial" w:hint="cs"/>
          <w:rtl/>
        </w:rPr>
        <w:t>.</w:t>
      </w:r>
      <w:r w:rsidRPr="00390632">
        <w:rPr>
          <w:rFonts w:cs="Arial"/>
          <w:rtl/>
        </w:rPr>
        <w:t xml:space="preserve"> אמנם בהג</w:t>
      </w:r>
      <w:r>
        <w:rPr>
          <w:rFonts w:cs="Arial" w:hint="cs"/>
          <w:rtl/>
        </w:rPr>
        <w:t>"</w:t>
      </w:r>
      <w:r w:rsidRPr="00390632">
        <w:rPr>
          <w:rFonts w:cs="Arial"/>
          <w:rtl/>
        </w:rPr>
        <w:t xml:space="preserve">א </w:t>
      </w:r>
      <w:r>
        <w:rPr>
          <w:rFonts w:cs="Arial" w:hint="cs"/>
          <w:rtl/>
        </w:rPr>
        <w:t xml:space="preserve">(פ"ב </w:t>
      </w:r>
      <w:r w:rsidRPr="00390632">
        <w:rPr>
          <w:rFonts w:cs="Arial"/>
          <w:rtl/>
        </w:rPr>
        <w:t xml:space="preserve">סי' יז) </w:t>
      </w:r>
      <w:r>
        <w:rPr>
          <w:rFonts w:cs="Arial" w:hint="cs"/>
          <w:rtl/>
        </w:rPr>
        <w:t xml:space="preserve">כתב </w:t>
      </w:r>
      <w:r w:rsidRPr="00390632">
        <w:rPr>
          <w:rFonts w:cs="Arial"/>
          <w:rtl/>
        </w:rPr>
        <w:t>בשם או</w:t>
      </w:r>
      <w:r>
        <w:rPr>
          <w:rFonts w:cs="Arial" w:hint="cs"/>
          <w:rtl/>
        </w:rPr>
        <w:t>"</w:t>
      </w:r>
      <w:r w:rsidRPr="00390632">
        <w:rPr>
          <w:rFonts w:cs="Arial"/>
          <w:rtl/>
        </w:rPr>
        <w:t>ז (סוף סימן תשמה) דאם לא הזכיר שם האיש והאשה הגט פסול ובניה ממזרים. וכתב ב</w:t>
      </w:r>
      <w:r>
        <w:rPr>
          <w:rFonts w:cs="Arial" w:hint="cs"/>
          <w:rtl/>
        </w:rPr>
        <w:t>"</w:t>
      </w:r>
      <w:r w:rsidRPr="00390632">
        <w:rPr>
          <w:rFonts w:cs="Arial"/>
          <w:rtl/>
        </w:rPr>
        <w:t xml:space="preserve">י בסימן זה (עמ' קסז ד"ה אם לא) דכן משמע מדברי התוספות </w:t>
      </w:r>
      <w:r>
        <w:rPr>
          <w:rFonts w:cs="Arial" w:hint="cs"/>
          <w:rtl/>
        </w:rPr>
        <w:t>(</w:t>
      </w:r>
      <w:r w:rsidRPr="00390632">
        <w:rPr>
          <w:rFonts w:cs="Arial"/>
          <w:rtl/>
        </w:rPr>
        <w:t>כ. ד"ה הא בעינן) גבי ההוא דשקל ספר תורה ויהיב לדביתהו ועיי"ש</w:t>
      </w:r>
      <w:r>
        <w:rPr>
          <w:rFonts w:cs="Arial" w:hint="cs"/>
          <w:rtl/>
        </w:rPr>
        <w:t>, דרכ"מ (אות ד).</w:t>
      </w:r>
    </w:p>
  </w:footnote>
  <w:footnote w:id="1042">
    <w:p w14:paraId="1F7BBF08" w14:textId="7DB4D123" w:rsidR="00FA2119" w:rsidRDefault="00FA2119" w:rsidP="00FA2119">
      <w:pPr>
        <w:pStyle w:val="a5"/>
        <w:rPr>
          <w:rtl/>
        </w:rPr>
      </w:pPr>
      <w:r>
        <w:rPr>
          <w:rStyle w:val="a7"/>
        </w:rPr>
        <w:footnoteRef/>
      </w:r>
      <w:r>
        <w:rPr>
          <w:rtl/>
        </w:rPr>
        <w:t xml:space="preserve"> </w:t>
      </w:r>
      <w:r>
        <w:rPr>
          <w:rFonts w:cs="Arial" w:hint="cs"/>
          <w:rtl/>
        </w:rPr>
        <w:t xml:space="preserve">כתב הראבי"ה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6620BE">
        <w:rPr>
          <w:rFonts w:cs="Arial"/>
          <w:rtl/>
        </w:rPr>
        <w:t>אי לאו דמסתפינא מחברי' נראין הדברים אפילו לא היה מזכיר שם האיש והאשה בגט שהוא כשר</w:t>
      </w:r>
      <w:r>
        <w:rPr>
          <w:rFonts w:cs="Arial" w:hint="cs"/>
          <w:rtl/>
        </w:rPr>
        <w:t>,</w:t>
      </w:r>
      <w:r w:rsidRPr="006620BE">
        <w:rPr>
          <w:rFonts w:cs="Arial"/>
          <w:rtl/>
        </w:rPr>
        <w:t xml:space="preserve"> רק שיהא כתוב כהלכתו. ואליבא דר' אלעזר דאית ליה עידי מסירה כרתי (גיטין ט</w:t>
      </w:r>
      <w:r>
        <w:rPr>
          <w:rFonts w:cs="Arial" w:hint="cs"/>
          <w:rtl/>
        </w:rPr>
        <w:t>:</w:t>
      </w:r>
      <w:r w:rsidRPr="006620BE">
        <w:rPr>
          <w:rFonts w:cs="Arial"/>
          <w:rtl/>
        </w:rPr>
        <w:t>) וקיימא לן כוותיה (שם פו</w:t>
      </w:r>
      <w:r>
        <w:rPr>
          <w:rFonts w:cs="Arial" w:hint="cs"/>
          <w:rtl/>
        </w:rPr>
        <w:t>:</w:t>
      </w:r>
      <w:r w:rsidRPr="006620BE">
        <w:rPr>
          <w:rFonts w:cs="Arial"/>
          <w:rtl/>
        </w:rPr>
        <w:t>). וכיון דקיימי עדים קמן ואמרי דנמסר לזו שהגט בידה מיד בעלה, מה לנו להזכיר שמותן. וראייה מדאמרינן בר</w:t>
      </w:r>
      <w:r>
        <w:rPr>
          <w:rFonts w:cs="Arial" w:hint="cs"/>
          <w:rtl/>
        </w:rPr>
        <w:t>"</w:t>
      </w:r>
      <w:r w:rsidRPr="006620BE">
        <w:rPr>
          <w:rFonts w:cs="Arial"/>
          <w:rtl/>
        </w:rPr>
        <w:t>פ כל הגט (כד</w:t>
      </w:r>
      <w:r>
        <w:rPr>
          <w:rFonts w:cs="Arial" w:hint="cs"/>
          <w:rtl/>
        </w:rPr>
        <w:t>:</w:t>
      </w:r>
      <w:r w:rsidRPr="006620BE">
        <w:rPr>
          <w:rFonts w:cs="Arial"/>
          <w:rtl/>
        </w:rPr>
        <w:t>)</w:t>
      </w:r>
      <w:r>
        <w:rPr>
          <w:rFonts w:cs="Arial" w:hint="cs"/>
          <w:rtl/>
        </w:rPr>
        <w:t>...</w:t>
      </w:r>
      <w:r w:rsidRPr="006620BE">
        <w:rPr>
          <w:rFonts w:cs="Arial"/>
          <w:rtl/>
        </w:rPr>
        <w:t xml:space="preserve"> ותו ד</w:t>
      </w:r>
      <w:r>
        <w:rPr>
          <w:rFonts w:hint="cs"/>
          <w:rtl/>
        </w:rPr>
        <w:t>-...</w:t>
      </w:r>
    </w:p>
  </w:footnote>
  <w:footnote w:id="1043">
    <w:p w14:paraId="695C51FF" w14:textId="5E153BFC" w:rsidR="00FA2119" w:rsidRPr="009937CF" w:rsidRDefault="00FA2119" w:rsidP="00FA2119">
      <w:pPr>
        <w:pStyle w:val="a5"/>
        <w:rPr>
          <w:color w:val="000000" w:themeColor="text1"/>
          <w:rtl/>
        </w:rPr>
      </w:pPr>
      <w:r>
        <w:rPr>
          <w:rStyle w:val="a7"/>
        </w:rPr>
        <w:footnoteRef/>
      </w:r>
      <w:r>
        <w:rPr>
          <w:rtl/>
        </w:rPr>
        <w:t xml:space="preserve"> </w:t>
      </w:r>
      <w:r>
        <w:rPr>
          <w:rFonts w:hint="cs"/>
          <w:rtl/>
        </w:rPr>
        <w:t xml:space="preserve">ובסוף התשובה חזר בו ראבי"ה ממה שרצה לומר בתחילת דבריו (שבעדי מסירה הגט כשר גם ללא שמו ושמה או ללא זמן), </w:t>
      </w:r>
      <w:r w:rsidR="000A0F5A">
        <w:rPr>
          <w:rFonts w:hint="cs"/>
          <w:rtl/>
        </w:rPr>
        <w:t>וז</w:t>
      </w:r>
      <w:r w:rsidR="000A0F5A">
        <w:rPr>
          <w:rtl/>
        </w:rPr>
        <w:t>"</w:t>
      </w:r>
      <w:r w:rsidR="000A0F5A">
        <w:rPr>
          <w:rFonts w:hint="cs"/>
          <w:rtl/>
        </w:rPr>
        <w:t>ל:</w:t>
      </w:r>
      <w:r>
        <w:rPr>
          <w:rFonts w:hint="cs"/>
          <w:rtl/>
        </w:rPr>
        <w:t xml:space="preserve"> </w:t>
      </w:r>
      <w:r w:rsidRPr="008C5F1F">
        <w:rPr>
          <w:rFonts w:cs="Arial"/>
          <w:rtl/>
        </w:rPr>
        <w:t>ומיהו בפ"ב דגיטין (יט</w:t>
      </w:r>
      <w:r>
        <w:rPr>
          <w:rFonts w:cs="Arial" w:hint="cs"/>
          <w:rtl/>
        </w:rPr>
        <w:t>:</w:t>
      </w:r>
      <w:r w:rsidRPr="008C5F1F">
        <w:rPr>
          <w:rFonts w:cs="Arial"/>
          <w:rtl/>
        </w:rPr>
        <w:t>) גרסינן ההוא גברא דעל לבי כנישתא שקל ס"ת והב לדביתהו ואמר לה הרי זה גיטך. ואסקי' וכי תימא ליחוש דילמא אקדים והב ליה זוזא לספרא מעיקרא הא בעינן שינה שמו ושמה וכו'. אלמא דצריך לכתוב שמם. והאי מעשה בדיעבד הוא ומשמע דפסול.</w:t>
      </w:r>
      <w:r>
        <w:rPr>
          <w:rFonts w:cs="Arial" w:hint="cs"/>
          <w:rtl/>
        </w:rPr>
        <w:t>.</w:t>
      </w:r>
      <w:r w:rsidRPr="008C5F1F">
        <w:rPr>
          <w:rFonts w:cs="Arial"/>
          <w:rtl/>
        </w:rPr>
        <w:t>.</w:t>
      </w:r>
      <w:r>
        <w:rPr>
          <w:rFonts w:cs="Arial" w:hint="cs"/>
          <w:sz w:val="16"/>
          <w:szCs w:val="16"/>
          <w:rtl/>
        </w:rPr>
        <w:t xml:space="preserve"> {והביא שם עוד ראיה שפסול, אך דחה אותה, ואז כתב-}</w:t>
      </w:r>
      <w:r w:rsidRPr="008C5F1F">
        <w:rPr>
          <w:rFonts w:cs="Arial"/>
          <w:rtl/>
        </w:rPr>
        <w:t xml:space="preserve"> אך מיהא דספר תורה דאייתינן לעיל </w:t>
      </w:r>
      <w:r w:rsidRPr="008C5F1F">
        <w:rPr>
          <w:rFonts w:cs="Arial"/>
          <w:b/>
          <w:bCs/>
          <w:rtl/>
        </w:rPr>
        <w:t>ראייה היא</w:t>
      </w:r>
      <w:r w:rsidRPr="008C5F1F">
        <w:rPr>
          <w:rFonts w:cs="Arial"/>
          <w:rtl/>
        </w:rPr>
        <w:t xml:space="preserve"> </w:t>
      </w:r>
      <w:r w:rsidRPr="009937CF">
        <w:rPr>
          <w:rFonts w:cs="Arial"/>
          <w:b/>
          <w:bCs/>
          <w:color w:val="000000" w:themeColor="text1"/>
          <w:rtl/>
        </w:rPr>
        <w:t>ונלמד ממנה</w:t>
      </w:r>
      <w:r w:rsidRPr="009937CF">
        <w:rPr>
          <w:rFonts w:cs="Arial"/>
          <w:color w:val="000000" w:themeColor="text1"/>
          <w:rtl/>
        </w:rPr>
        <w:t>.</w:t>
      </w:r>
      <w:r w:rsidRPr="009937CF">
        <w:rPr>
          <w:rFonts w:hint="cs"/>
          <w:color w:val="000000" w:themeColor="text1"/>
          <w:rtl/>
        </w:rPr>
        <w:t xml:space="preserve"> עכ"ל. </w:t>
      </w:r>
      <w:r w:rsidR="009937CF" w:rsidRPr="009937CF">
        <w:rPr>
          <w:rFonts w:hint="cs"/>
          <w:color w:val="000000" w:themeColor="text1"/>
          <w:rtl/>
        </w:rPr>
        <w:t>וצל"ע</w:t>
      </w:r>
      <w:r w:rsidRPr="009937CF">
        <w:rPr>
          <w:rFonts w:hint="cs"/>
          <w:color w:val="000000" w:themeColor="text1"/>
          <w:rtl/>
        </w:rPr>
        <w:t xml:space="preserve"> </w:t>
      </w:r>
      <w:r w:rsidR="00E13077">
        <w:rPr>
          <w:rFonts w:hint="cs"/>
          <w:color w:val="000000" w:themeColor="text1"/>
          <w:rtl/>
        </w:rPr>
        <w:t>מדוע</w:t>
      </w:r>
      <w:r w:rsidRPr="009937CF">
        <w:rPr>
          <w:rFonts w:hint="cs"/>
          <w:color w:val="000000" w:themeColor="text1"/>
          <w:rtl/>
        </w:rPr>
        <w:t xml:space="preserve"> לא הביאו המרדכי הב"י והדרכ"מ אות סוף דברי הראבי"ה דמשמע מינה דלא פליג על כולם.</w:t>
      </w:r>
    </w:p>
  </w:footnote>
  <w:footnote w:id="1044">
    <w:p w14:paraId="15C29767" w14:textId="3F607AF1" w:rsidR="00FA2119" w:rsidRDefault="00FA2119" w:rsidP="00FA2119">
      <w:pPr>
        <w:pStyle w:val="a5"/>
      </w:pPr>
      <w:r>
        <w:rPr>
          <w:rStyle w:val="a7"/>
        </w:rPr>
        <w:footnoteRef/>
      </w:r>
      <w:r>
        <w:rPr>
          <w:rtl/>
        </w:rPr>
        <w:t xml:space="preserve"> </w:t>
      </w:r>
      <w:r w:rsidRPr="008C0D9D">
        <w:rPr>
          <w:rFonts w:cs="Arial"/>
          <w:rtl/>
        </w:rPr>
        <w:t>ול</w:t>
      </w:r>
      <w:r>
        <w:rPr>
          <w:rFonts w:cs="Arial" w:hint="cs"/>
          <w:rtl/>
        </w:rPr>
        <w:t xml:space="preserve">א </w:t>
      </w:r>
      <w:r w:rsidRPr="008C0D9D">
        <w:rPr>
          <w:rFonts w:cs="Arial"/>
          <w:rtl/>
        </w:rPr>
        <w:t>נ</w:t>
      </w:r>
      <w:r>
        <w:rPr>
          <w:rFonts w:cs="Arial" w:hint="cs"/>
          <w:rtl/>
        </w:rPr>
        <w:t>ראה,</w:t>
      </w:r>
      <w:r w:rsidRPr="008C0D9D">
        <w:rPr>
          <w:rFonts w:cs="Arial"/>
          <w:rtl/>
        </w:rPr>
        <w:t xml:space="preserve"> וגם דברי הרמב"ם לא מ</w:t>
      </w:r>
      <w:r>
        <w:rPr>
          <w:rFonts w:cs="Arial" w:hint="cs"/>
          <w:rtl/>
        </w:rPr>
        <w:t>שמע</w:t>
      </w:r>
      <w:r w:rsidRPr="008C0D9D">
        <w:rPr>
          <w:rFonts w:cs="Arial"/>
          <w:rtl/>
        </w:rPr>
        <w:t xml:space="preserve"> כן</w:t>
      </w:r>
      <w:r>
        <w:rPr>
          <w:rFonts w:cs="Arial" w:hint="cs"/>
          <w:rtl/>
        </w:rPr>
        <w:t>,</w:t>
      </w:r>
      <w:r w:rsidRPr="008C0D9D">
        <w:rPr>
          <w:rFonts w:cs="Arial"/>
          <w:rtl/>
        </w:rPr>
        <w:t xml:space="preserve"> אלא דס"ל שם טפל לבד פסול</w:t>
      </w:r>
      <w:r>
        <w:rPr>
          <w:rFonts w:cs="Arial" w:hint="cs"/>
          <w:rtl/>
        </w:rPr>
        <w:t>,</w:t>
      </w:r>
      <w:r w:rsidRPr="008C0D9D">
        <w:rPr>
          <w:rFonts w:cs="Arial"/>
          <w:rtl/>
        </w:rPr>
        <w:t xml:space="preserve"> ול</w:t>
      </w:r>
      <w:r>
        <w:rPr>
          <w:rFonts w:cs="Arial" w:hint="cs"/>
          <w:rtl/>
        </w:rPr>
        <w:t xml:space="preserve">א </w:t>
      </w:r>
      <w:r w:rsidRPr="008C0D9D">
        <w:rPr>
          <w:rFonts w:cs="Arial"/>
          <w:rtl/>
        </w:rPr>
        <w:t>ד</w:t>
      </w:r>
      <w:r>
        <w:rPr>
          <w:rFonts w:cs="Arial" w:hint="cs"/>
          <w:rtl/>
        </w:rPr>
        <w:t>מי</w:t>
      </w:r>
      <w:r w:rsidRPr="008C0D9D">
        <w:rPr>
          <w:rFonts w:cs="Arial"/>
          <w:rtl/>
        </w:rPr>
        <w:t xml:space="preserve"> לחניכה שהכל מכירים בו וידוע לכל</w:t>
      </w:r>
      <w:r>
        <w:rPr>
          <w:rFonts w:cs="Arial" w:hint="cs"/>
          <w:rtl/>
        </w:rPr>
        <w:t>,</w:t>
      </w:r>
      <w:r w:rsidRPr="008C0D9D">
        <w:rPr>
          <w:rFonts w:cs="Arial"/>
          <w:rtl/>
        </w:rPr>
        <w:t xml:space="preserve"> וכ</w:t>
      </w:r>
      <w:r>
        <w:rPr>
          <w:rFonts w:cs="Arial" w:hint="cs"/>
          <w:rtl/>
        </w:rPr>
        <w:t xml:space="preserve">מו </w:t>
      </w:r>
      <w:r w:rsidRPr="008C0D9D">
        <w:rPr>
          <w:rFonts w:cs="Arial"/>
          <w:rtl/>
        </w:rPr>
        <w:t>ש</w:t>
      </w:r>
      <w:r>
        <w:rPr>
          <w:rFonts w:cs="Arial" w:hint="cs"/>
          <w:rtl/>
        </w:rPr>
        <w:t>כתב</w:t>
      </w:r>
      <w:r w:rsidRPr="008C0D9D">
        <w:rPr>
          <w:rFonts w:cs="Arial"/>
          <w:rtl/>
        </w:rPr>
        <w:t xml:space="preserve"> שאינם כו'</w:t>
      </w:r>
      <w:r>
        <w:rPr>
          <w:rFonts w:cs="Arial" w:hint="cs"/>
          <w:rtl/>
        </w:rPr>
        <w:t>.</w:t>
      </w:r>
      <w:r w:rsidRPr="008C0D9D">
        <w:rPr>
          <w:rFonts w:cs="Arial"/>
          <w:rtl/>
        </w:rPr>
        <w:t xml:space="preserve"> וכ"מ בטור שפי' דברי הרמב"ם כן</w:t>
      </w:r>
      <w:r>
        <w:rPr>
          <w:rFonts w:cs="Arial" w:hint="cs"/>
          <w:rtl/>
        </w:rPr>
        <w:t>,</w:t>
      </w:r>
      <w:r w:rsidRPr="008C0D9D">
        <w:rPr>
          <w:rFonts w:cs="Arial"/>
          <w:rtl/>
        </w:rPr>
        <w:t xml:space="preserve"> דלא כב"י וד"מ</w:t>
      </w:r>
      <w:r>
        <w:rPr>
          <w:rFonts w:cs="Arial" w:hint="cs"/>
          <w:rtl/>
        </w:rPr>
        <w:t xml:space="preserve">, </w:t>
      </w:r>
      <w:r w:rsidRPr="00362B9F">
        <w:rPr>
          <w:rFonts w:cs="Arial" w:hint="cs"/>
          <w:b/>
          <w:bCs/>
          <w:rtl/>
        </w:rPr>
        <w:t>גר"א</w:t>
      </w:r>
      <w:r>
        <w:rPr>
          <w:rFonts w:cs="Arial" w:hint="cs"/>
          <w:rtl/>
        </w:rPr>
        <w:t xml:space="preserve"> (סק"ז).</w:t>
      </w:r>
      <w:r>
        <w:rPr>
          <w:rFonts w:hint="cs"/>
          <w:rtl/>
        </w:rPr>
        <w:t xml:space="preserve"> וגם </w:t>
      </w:r>
      <w:r w:rsidRPr="00925BA2">
        <w:rPr>
          <w:rFonts w:hint="cs"/>
          <w:b/>
          <w:bCs/>
          <w:rtl/>
        </w:rPr>
        <w:t>הב"ש</w:t>
      </w:r>
      <w:r>
        <w:rPr>
          <w:rFonts w:hint="cs"/>
          <w:rtl/>
        </w:rPr>
        <w:t xml:space="preserve"> (סק"ג) כתב </w:t>
      </w:r>
      <w:r>
        <w:rPr>
          <w:rFonts w:cs="Arial" w:hint="cs"/>
          <w:rtl/>
        </w:rPr>
        <w:t>ד</w:t>
      </w:r>
      <w:r w:rsidRPr="00925BA2">
        <w:rPr>
          <w:rFonts w:cs="Arial"/>
          <w:rtl/>
        </w:rPr>
        <w:t xml:space="preserve">כל זה צ"ל לפירושו ברמב"ם </w:t>
      </w:r>
      <w:r>
        <w:rPr>
          <w:rFonts w:cs="Arial" w:hint="cs"/>
          <w:rtl/>
        </w:rPr>
        <w:t>ד</w:t>
      </w:r>
      <w:r w:rsidRPr="00925BA2">
        <w:rPr>
          <w:rFonts w:cs="Arial"/>
          <w:rtl/>
        </w:rPr>
        <w:t>מ"ש כתב חניכתו כשר</w:t>
      </w:r>
      <w:r>
        <w:rPr>
          <w:rFonts w:cs="Arial" w:hint="cs"/>
          <w:rtl/>
        </w:rPr>
        <w:t>,</w:t>
      </w:r>
      <w:r w:rsidRPr="00925BA2">
        <w:rPr>
          <w:rFonts w:cs="Arial"/>
          <w:rtl/>
        </w:rPr>
        <w:t xml:space="preserve"> היינו שם הטפל</w:t>
      </w:r>
      <w:r>
        <w:rPr>
          <w:rFonts w:cs="Arial" w:hint="cs"/>
          <w:rtl/>
        </w:rPr>
        <w:t>.</w:t>
      </w:r>
      <w:r w:rsidRPr="00925BA2">
        <w:rPr>
          <w:rFonts w:cs="Arial"/>
          <w:rtl/>
        </w:rPr>
        <w:t xml:space="preserve"> ומ"מ בכותב שם הטפל וכתב וכל שום פוסל מכח חילוק הנ"ל, אבל אין מוכרח פירושו ברמב"ם</w:t>
      </w:r>
      <w:r>
        <w:rPr>
          <w:rFonts w:cs="Arial" w:hint="cs"/>
          <w:rtl/>
        </w:rPr>
        <w:t>.</w:t>
      </w:r>
      <w:r w:rsidRPr="00925BA2">
        <w:rPr>
          <w:rFonts w:cs="Arial"/>
          <w:rtl/>
        </w:rPr>
        <w:t xml:space="preserve"> וי"ל הפי' ברמב"ם כמ"ש בסק"א</w:t>
      </w:r>
      <w:r>
        <w:rPr>
          <w:rFonts w:cs="Arial" w:hint="cs"/>
          <w:rtl/>
        </w:rPr>
        <w:t>.</w:t>
      </w:r>
      <w:r w:rsidRPr="00925BA2">
        <w:rPr>
          <w:rFonts w:cs="Arial"/>
          <w:rtl/>
        </w:rPr>
        <w:t xml:space="preserve"> לפ"ז י"ל לא עדיף שם הטפל לבדו משם הטפל וכל שום</w:t>
      </w:r>
      <w:r>
        <w:rPr>
          <w:rFonts w:cs="Arial" w:hint="cs"/>
          <w:rtl/>
        </w:rPr>
        <w:t>.</w:t>
      </w:r>
      <w:r w:rsidRPr="00925BA2">
        <w:rPr>
          <w:rFonts w:cs="Arial"/>
          <w:rtl/>
        </w:rPr>
        <w:t xml:space="preserve"> והרא"ש דמכשיר שם טפל לבדו </w:t>
      </w:r>
      <w:r w:rsidR="00A42812">
        <w:rPr>
          <w:rFonts w:cs="Arial"/>
          <w:rtl/>
        </w:rPr>
        <w:t>-</w:t>
      </w:r>
      <w:r>
        <w:rPr>
          <w:rFonts w:cs="Arial" w:hint="cs"/>
          <w:rtl/>
        </w:rPr>
        <w:t xml:space="preserve"> </w:t>
      </w:r>
      <w:r w:rsidRPr="00925BA2">
        <w:rPr>
          <w:rFonts w:cs="Arial"/>
          <w:rtl/>
        </w:rPr>
        <w:t>מכ</w:t>
      </w:r>
      <w:r>
        <w:rPr>
          <w:rFonts w:cs="Arial" w:hint="cs"/>
          <w:rtl/>
        </w:rPr>
        <w:t xml:space="preserve">ל </w:t>
      </w:r>
      <w:r w:rsidRPr="00925BA2">
        <w:rPr>
          <w:rFonts w:cs="Arial"/>
          <w:rtl/>
        </w:rPr>
        <w:t>ש</w:t>
      </w:r>
      <w:r>
        <w:rPr>
          <w:rFonts w:cs="Arial" w:hint="cs"/>
          <w:rtl/>
        </w:rPr>
        <w:t>כן</w:t>
      </w:r>
      <w:r w:rsidRPr="00925BA2">
        <w:rPr>
          <w:rFonts w:cs="Arial"/>
          <w:rtl/>
        </w:rPr>
        <w:t xml:space="preserve"> אם כתב שם הטפל וכל שום</w:t>
      </w:r>
      <w:r>
        <w:rPr>
          <w:rFonts w:cs="Arial" w:hint="cs"/>
          <w:rtl/>
        </w:rPr>
        <w:t>.</w:t>
      </w:r>
      <w:r w:rsidRPr="00925BA2">
        <w:rPr>
          <w:rFonts w:cs="Arial"/>
          <w:rtl/>
        </w:rPr>
        <w:t xml:space="preserve"> וכן לדעת הרמ"א שהביא הטור</w:t>
      </w:r>
      <w:r>
        <w:rPr>
          <w:rFonts w:cs="Arial" w:hint="cs"/>
          <w:rtl/>
        </w:rPr>
        <w:t>.</w:t>
      </w:r>
      <w:r w:rsidRPr="00925BA2">
        <w:rPr>
          <w:rFonts w:cs="Arial"/>
          <w:rtl/>
        </w:rPr>
        <w:t xml:space="preserve"> וכבר האריכו בזה הדרישה וב"ח ובחדושי רש"ך</w:t>
      </w:r>
      <w:r>
        <w:rPr>
          <w:rFonts w:cs="Arial" w:hint="cs"/>
          <w:rtl/>
        </w:rPr>
        <w:t>,</w:t>
      </w:r>
      <w:r w:rsidRPr="00925BA2">
        <w:rPr>
          <w:rFonts w:cs="Arial"/>
          <w:rtl/>
        </w:rPr>
        <w:t xml:space="preserve"> וכן נראה עיקר דפסול בין אם כתב שם טפל לבדו ובין אם כותב שם הטפל וכל שום</w:t>
      </w:r>
      <w:r>
        <w:rPr>
          <w:rFonts w:cs="Arial" w:hint="cs"/>
          <w:rtl/>
        </w:rPr>
        <w:t>,</w:t>
      </w:r>
      <w:r w:rsidRPr="00925BA2">
        <w:rPr>
          <w:rFonts w:cs="Arial"/>
          <w:rtl/>
        </w:rPr>
        <w:t xml:space="preserve"> וכן פסק בלבוש</w:t>
      </w:r>
      <w:r>
        <w:rPr>
          <w:rFonts w:cs="Arial" w:hint="cs"/>
          <w:rtl/>
        </w:rPr>
        <w:t>.</w:t>
      </w:r>
    </w:p>
  </w:footnote>
  <w:footnote w:id="1045">
    <w:p w14:paraId="6537163E" w14:textId="77777777" w:rsidR="00FA2119" w:rsidRDefault="00FA2119" w:rsidP="00FA2119">
      <w:pPr>
        <w:pStyle w:val="a5"/>
      </w:pPr>
      <w:r>
        <w:rPr>
          <w:rStyle w:val="a7"/>
        </w:rPr>
        <w:footnoteRef/>
      </w:r>
      <w:r>
        <w:rPr>
          <w:rtl/>
        </w:rPr>
        <w:t xml:space="preserve"> </w:t>
      </w:r>
      <w:r w:rsidRPr="008112CE">
        <w:rPr>
          <w:rFonts w:cs="Arial"/>
          <w:rtl/>
        </w:rPr>
        <w:t>הא דקתני שהיה משנה שמו לא שהיה כותב שם אחר שאינו שלו אלא כדמפרש בגמרא שהיו לו שני שמות אחד ביהודה ואחד בגליל</w:t>
      </w:r>
      <w:r>
        <w:rPr>
          <w:rFonts w:cs="Arial" w:hint="cs"/>
          <w:sz w:val="16"/>
          <w:szCs w:val="16"/>
          <w:rtl/>
        </w:rPr>
        <w:t xml:space="preserve"> (</w:t>
      </w:r>
      <w:r w:rsidRPr="008112CE">
        <w:rPr>
          <w:rFonts w:cs="Arial"/>
          <w:sz w:val="16"/>
          <w:szCs w:val="16"/>
          <w:rtl/>
        </w:rPr>
        <w:t xml:space="preserve">וכן פירשו </w:t>
      </w:r>
      <w:r>
        <w:rPr>
          <w:rFonts w:cs="Arial" w:hint="cs"/>
          <w:sz w:val="16"/>
          <w:szCs w:val="16"/>
          <w:rtl/>
        </w:rPr>
        <w:t>רש"י ו</w:t>
      </w:r>
      <w:r w:rsidRPr="008112CE">
        <w:rPr>
          <w:rFonts w:cs="Arial"/>
          <w:sz w:val="16"/>
          <w:szCs w:val="16"/>
          <w:rtl/>
        </w:rPr>
        <w:t>הר"ן (יז. ד"ה מתני')</w:t>
      </w:r>
      <w:r>
        <w:rPr>
          <w:rFonts w:cs="Arial" w:hint="cs"/>
          <w:sz w:val="16"/>
          <w:szCs w:val="16"/>
          <w:rtl/>
        </w:rPr>
        <w:t>)</w:t>
      </w:r>
      <w:r>
        <w:rPr>
          <w:rFonts w:cs="Arial" w:hint="cs"/>
          <w:rtl/>
        </w:rPr>
        <w:t>,</w:t>
      </w:r>
      <w:r w:rsidRPr="008112CE">
        <w:rPr>
          <w:rFonts w:cs="Arial"/>
          <w:rtl/>
        </w:rPr>
        <w:t xml:space="preserve"> שכן דרך בני אדם הגולים ממקומם מחמת ממון או מחמת מרדין שמשנים את שמם פן יחקרו אחר מקום חנייתן וירדפו אחריהם</w:t>
      </w:r>
      <w:r>
        <w:rPr>
          <w:rFonts w:cs="Arial" w:hint="cs"/>
          <w:rtl/>
        </w:rPr>
        <w:t>.</w:t>
      </w:r>
      <w:r w:rsidRPr="008112CE">
        <w:rPr>
          <w:rFonts w:cs="Arial"/>
          <w:rtl/>
        </w:rPr>
        <w:t xml:space="preserve"> ואם הוא מגרש באחד מן השמות </w:t>
      </w:r>
      <w:r>
        <w:rPr>
          <w:rFonts w:cs="Arial" w:hint="cs"/>
          <w:rtl/>
        </w:rPr>
        <w:t xml:space="preserve">- </w:t>
      </w:r>
      <w:r w:rsidRPr="008112CE">
        <w:rPr>
          <w:rFonts w:cs="Arial"/>
          <w:rtl/>
        </w:rPr>
        <w:t>זהו קורא שינוי</w:t>
      </w:r>
      <w:r>
        <w:rPr>
          <w:rFonts w:cs="Arial" w:hint="cs"/>
          <w:rtl/>
        </w:rPr>
        <w:t>.</w:t>
      </w:r>
      <w:r w:rsidRPr="008112CE">
        <w:rPr>
          <w:rFonts w:cs="Arial"/>
          <w:rtl/>
        </w:rPr>
        <w:t xml:space="preserve"> שאם יגרש באותו שם שיש לו במקום שהוא עומד</w:t>
      </w:r>
      <w:r>
        <w:rPr>
          <w:rFonts w:cs="Arial" w:hint="cs"/>
          <w:rtl/>
        </w:rPr>
        <w:t>,</w:t>
      </w:r>
      <w:r w:rsidRPr="008112CE">
        <w:rPr>
          <w:rFonts w:cs="Arial"/>
          <w:rtl/>
        </w:rPr>
        <w:t xml:space="preserve"> נקרא שינוי לבני אנשי המקום שהאשה עומדת</w:t>
      </w:r>
      <w:r>
        <w:rPr>
          <w:rFonts w:cs="Arial" w:hint="cs"/>
          <w:rtl/>
        </w:rPr>
        <w:t>,</w:t>
      </w:r>
      <w:r w:rsidRPr="008112CE">
        <w:rPr>
          <w:rFonts w:cs="Arial"/>
          <w:rtl/>
        </w:rPr>
        <w:t xml:space="preserve"> כי יאמרו שאינה מגורשת כי אינם יודעין שיש לבעלה שם זה במקום אחר</w:t>
      </w:r>
      <w:r>
        <w:rPr>
          <w:rFonts w:cs="Arial" w:hint="cs"/>
          <w:rtl/>
        </w:rPr>
        <w:t>.</w:t>
      </w:r>
      <w:r w:rsidRPr="008112CE">
        <w:rPr>
          <w:rFonts w:cs="Arial"/>
          <w:rtl/>
        </w:rPr>
        <w:t xml:space="preserve"> ואם יגרש בשם שיש לו במקום שהאשה עומדת</w:t>
      </w:r>
      <w:r>
        <w:rPr>
          <w:rFonts w:cs="Arial" w:hint="cs"/>
          <w:rtl/>
        </w:rPr>
        <w:t>,</w:t>
      </w:r>
      <w:r w:rsidRPr="008112CE">
        <w:rPr>
          <w:rFonts w:cs="Arial"/>
          <w:rtl/>
        </w:rPr>
        <w:t xml:space="preserve"> נקרא שינוי לבני אותו המקום שהוא עומד</w:t>
      </w:r>
      <w:r>
        <w:rPr>
          <w:rFonts w:cs="Arial" w:hint="cs"/>
          <w:rtl/>
        </w:rPr>
        <w:t>.</w:t>
      </w:r>
      <w:r w:rsidRPr="008112CE">
        <w:rPr>
          <w:rFonts w:cs="Arial"/>
          <w:rtl/>
        </w:rPr>
        <w:t xml:space="preserve"> ואם תבוא האשה לגבות מנכסיו או לינשא באותו מקום יאמרו שאינה מגורשת</w:t>
      </w:r>
      <w:r>
        <w:rPr>
          <w:rFonts w:cs="Arial" w:hint="cs"/>
          <w:rtl/>
        </w:rPr>
        <w:t>,</w:t>
      </w:r>
      <w:r w:rsidRPr="008112CE">
        <w:rPr>
          <w:rFonts w:cs="Arial"/>
          <w:rtl/>
        </w:rPr>
        <w:t xml:space="preserve"> לפי שאינן מכירים באותו שם הכתוב בגט</w:t>
      </w:r>
      <w:r>
        <w:rPr>
          <w:rFonts w:cs="Arial" w:hint="cs"/>
          <w:rtl/>
        </w:rPr>
        <w:t>.</w:t>
      </w:r>
      <w:r w:rsidRPr="008112CE">
        <w:rPr>
          <w:rFonts w:cs="Arial"/>
          <w:rtl/>
        </w:rPr>
        <w:t xml:space="preserve"> לכך התקין רבן גמליאל איש פלוני וכל שם שיש לו</w:t>
      </w:r>
      <w:r>
        <w:rPr>
          <w:rFonts w:cs="Arial" w:hint="cs"/>
          <w:rtl/>
        </w:rPr>
        <w:t>.</w:t>
      </w:r>
      <w:r w:rsidRPr="008112CE">
        <w:rPr>
          <w:rFonts w:cs="Arial"/>
          <w:rtl/>
        </w:rPr>
        <w:t xml:space="preserve"> פירוש</w:t>
      </w:r>
      <w:r>
        <w:rPr>
          <w:rFonts w:cs="Arial" w:hint="cs"/>
          <w:rtl/>
        </w:rPr>
        <w:t>,</w:t>
      </w:r>
      <w:r w:rsidRPr="008112CE">
        <w:rPr>
          <w:rFonts w:cs="Arial"/>
          <w:rtl/>
        </w:rPr>
        <w:t xml:space="preserve"> שם הנקרא לו במקום </w:t>
      </w:r>
      <w:r w:rsidRPr="0042794E">
        <w:rPr>
          <w:rFonts w:cs="Arial"/>
          <w:u w:val="single"/>
          <w:rtl/>
        </w:rPr>
        <w:t>הנתינה</w:t>
      </w:r>
      <w:r w:rsidRPr="008112CE">
        <w:rPr>
          <w:rFonts w:cs="Arial"/>
          <w:rtl/>
        </w:rPr>
        <w:t xml:space="preserve"> שהוא עיקר להתיר האשה במקום שהיא עומדת</w:t>
      </w:r>
      <w:r>
        <w:rPr>
          <w:rFonts w:cs="Arial" w:hint="cs"/>
          <w:rtl/>
        </w:rPr>
        <w:t>.</w:t>
      </w:r>
      <w:r w:rsidRPr="008112CE">
        <w:rPr>
          <w:rFonts w:cs="Arial"/>
          <w:rtl/>
        </w:rPr>
        <w:t xml:space="preserve"> וכן מוכח בגמרא דקאמר עד שיגרש אשתו שביהודה בשמו שביהודה ושם דגליל עמו</w:t>
      </w:r>
      <w:r>
        <w:rPr>
          <w:rFonts w:cs="Arial" w:hint="cs"/>
          <w:rtl/>
        </w:rPr>
        <w:t>,</w:t>
      </w:r>
      <w:r w:rsidRPr="008112CE">
        <w:rPr>
          <w:rFonts w:cs="Arial"/>
          <w:rtl/>
        </w:rPr>
        <w:t xml:space="preserve"> משמע דשם הנתינה הוא עיקר ושם הכתיבה טפל</w:t>
      </w:r>
      <w:r>
        <w:rPr>
          <w:rFonts w:cs="Arial" w:hint="cs"/>
          <w:rtl/>
        </w:rPr>
        <w:t xml:space="preserve">, </w:t>
      </w:r>
      <w:r w:rsidRPr="00DE5896">
        <w:rPr>
          <w:rFonts w:cs="Arial" w:hint="cs"/>
          <w:b/>
          <w:bCs/>
          <w:rtl/>
        </w:rPr>
        <w:t xml:space="preserve">רא"ש </w:t>
      </w:r>
      <w:r>
        <w:rPr>
          <w:rFonts w:cs="Arial" w:hint="cs"/>
          <w:rtl/>
        </w:rPr>
        <w:t>(פ"ד סי' ז).</w:t>
      </w:r>
      <w:r w:rsidRPr="00DE5896">
        <w:rPr>
          <w:rFonts w:cs="Arial"/>
          <w:rtl/>
        </w:rPr>
        <w:t xml:space="preserve"> </w:t>
      </w:r>
      <w:r>
        <w:rPr>
          <w:rFonts w:cs="Arial"/>
          <w:rtl/>
        </w:rPr>
        <w:t xml:space="preserve">וכן כתב </w:t>
      </w:r>
      <w:r w:rsidRPr="00DE5896">
        <w:rPr>
          <w:rFonts w:cs="Arial"/>
          <w:b/>
          <w:bCs/>
          <w:rtl/>
        </w:rPr>
        <w:t xml:space="preserve">הרשב"א </w:t>
      </w:r>
      <w:r>
        <w:rPr>
          <w:rFonts w:cs="Arial"/>
          <w:rtl/>
        </w:rPr>
        <w:t xml:space="preserve">בהשולח </w:t>
      </w:r>
      <w:r w:rsidRPr="00DE5896">
        <w:rPr>
          <w:rFonts w:cs="Arial"/>
          <w:sz w:val="16"/>
          <w:szCs w:val="16"/>
          <w:rtl/>
        </w:rPr>
        <w:t>(לד: ד"ה גמ')</w:t>
      </w:r>
      <w:r>
        <w:rPr>
          <w:rFonts w:cs="Arial" w:hint="cs"/>
          <w:rtl/>
        </w:rPr>
        <w:t>,</w:t>
      </w:r>
      <w:r>
        <w:rPr>
          <w:rFonts w:cs="Arial"/>
          <w:rtl/>
        </w:rPr>
        <w:t xml:space="preserve"> וז"ל</w:t>
      </w:r>
      <w:r>
        <w:rPr>
          <w:rFonts w:cs="Arial" w:hint="cs"/>
          <w:rtl/>
        </w:rPr>
        <w:t>:</w:t>
      </w:r>
      <w:r>
        <w:rPr>
          <w:rFonts w:cs="Arial"/>
          <w:rtl/>
        </w:rPr>
        <w:t xml:space="preserve"> ולעולם עושה שם של מקום נתינת הגט עיקר</w:t>
      </w:r>
      <w:r>
        <w:rPr>
          <w:rFonts w:cs="Arial" w:hint="cs"/>
          <w:rtl/>
        </w:rPr>
        <w:t>,</w:t>
      </w:r>
      <w:r>
        <w:rPr>
          <w:rFonts w:cs="Arial"/>
          <w:rtl/>
        </w:rPr>
        <w:t xml:space="preserve"> ושם של מקום כתיבה כולל בכלל כל שם שיש לו</w:t>
      </w:r>
      <w:r>
        <w:rPr>
          <w:rFonts w:cs="Arial" w:hint="cs"/>
          <w:rtl/>
        </w:rPr>
        <w:t>.</w:t>
      </w:r>
      <w:r>
        <w:rPr>
          <w:rFonts w:cs="Arial"/>
          <w:rtl/>
        </w:rPr>
        <w:t xml:space="preserve"> ואע"פ שבמקום הכתיבה אין מכירין אותו באותו שם</w:t>
      </w:r>
      <w:r>
        <w:rPr>
          <w:rFonts w:cs="Arial" w:hint="cs"/>
          <w:rtl/>
        </w:rPr>
        <w:t>,</w:t>
      </w:r>
      <w:r>
        <w:rPr>
          <w:rFonts w:cs="Arial"/>
          <w:rtl/>
        </w:rPr>
        <w:t xml:space="preserve"> כיון שכותב עם כל שם שיש לו בגליל אין מוציאין עליו לעז עכ"ל. וכן כתב </w:t>
      </w:r>
      <w:r w:rsidRPr="00DE5896">
        <w:rPr>
          <w:rFonts w:cs="Arial"/>
          <w:b/>
          <w:bCs/>
          <w:rtl/>
        </w:rPr>
        <w:t>הה</w:t>
      </w:r>
      <w:r w:rsidRPr="00DE5896">
        <w:rPr>
          <w:rFonts w:cs="Arial" w:hint="cs"/>
          <w:b/>
          <w:bCs/>
          <w:rtl/>
        </w:rPr>
        <w:t>"</w:t>
      </w:r>
      <w:r w:rsidRPr="00DE5896">
        <w:rPr>
          <w:rFonts w:cs="Arial"/>
          <w:b/>
          <w:bCs/>
          <w:rtl/>
        </w:rPr>
        <w:t xml:space="preserve">מ </w:t>
      </w:r>
      <w:r w:rsidRPr="00DE5896">
        <w:rPr>
          <w:rFonts w:cs="Arial" w:hint="cs"/>
          <w:sz w:val="16"/>
          <w:szCs w:val="16"/>
          <w:rtl/>
        </w:rPr>
        <w:t>(</w:t>
      </w:r>
      <w:r w:rsidRPr="00DE5896">
        <w:rPr>
          <w:rFonts w:cs="Arial"/>
          <w:sz w:val="16"/>
          <w:szCs w:val="16"/>
          <w:rtl/>
        </w:rPr>
        <w:t>פ</w:t>
      </w:r>
      <w:r w:rsidRPr="00DE5896">
        <w:rPr>
          <w:rFonts w:cs="Arial" w:hint="cs"/>
          <w:sz w:val="16"/>
          <w:szCs w:val="16"/>
          <w:rtl/>
        </w:rPr>
        <w:t>"</w:t>
      </w:r>
      <w:r w:rsidRPr="00DE5896">
        <w:rPr>
          <w:rFonts w:cs="Arial"/>
          <w:sz w:val="16"/>
          <w:szCs w:val="16"/>
          <w:rtl/>
        </w:rPr>
        <w:t>ג מהל</w:t>
      </w:r>
      <w:r w:rsidRPr="00DE5896">
        <w:rPr>
          <w:rFonts w:cs="Arial" w:hint="cs"/>
          <w:sz w:val="16"/>
          <w:szCs w:val="16"/>
          <w:rtl/>
        </w:rPr>
        <w:t xml:space="preserve">' </w:t>
      </w:r>
      <w:r w:rsidRPr="00DE5896">
        <w:rPr>
          <w:rFonts w:cs="Arial"/>
          <w:sz w:val="16"/>
          <w:szCs w:val="16"/>
          <w:rtl/>
        </w:rPr>
        <w:t>גירושין הי"ג)</w:t>
      </w:r>
      <w:r>
        <w:rPr>
          <w:rFonts w:cs="Arial" w:hint="cs"/>
          <w:rtl/>
        </w:rPr>
        <w:t>.</w:t>
      </w:r>
      <w:r>
        <w:rPr>
          <w:rFonts w:cs="Arial"/>
          <w:rtl/>
        </w:rPr>
        <w:t xml:space="preserve"> וכן כתבו </w:t>
      </w:r>
      <w:r w:rsidRPr="00DE5896">
        <w:rPr>
          <w:rFonts w:cs="Arial"/>
          <w:b/>
          <w:bCs/>
          <w:rtl/>
        </w:rPr>
        <w:t xml:space="preserve">בספר התרומה </w:t>
      </w:r>
      <w:r w:rsidRPr="00DE5896">
        <w:rPr>
          <w:rFonts w:cs="Arial"/>
          <w:sz w:val="16"/>
          <w:szCs w:val="16"/>
          <w:rtl/>
        </w:rPr>
        <w:t xml:space="preserve">(סי' קכז) </w:t>
      </w:r>
      <w:r w:rsidRPr="00DE5896">
        <w:rPr>
          <w:rFonts w:cs="Arial"/>
          <w:b/>
          <w:bCs/>
          <w:rtl/>
        </w:rPr>
        <w:t>וסמ"ג</w:t>
      </w:r>
      <w:r>
        <w:rPr>
          <w:rFonts w:cs="Arial"/>
          <w:rtl/>
        </w:rPr>
        <w:t xml:space="preserve"> </w:t>
      </w:r>
      <w:r w:rsidRPr="00DE5896">
        <w:rPr>
          <w:rFonts w:cs="Arial"/>
          <w:sz w:val="16"/>
          <w:szCs w:val="16"/>
          <w:rtl/>
        </w:rPr>
        <w:t xml:space="preserve">(עשין נ קל ע"ד) </w:t>
      </w:r>
      <w:r>
        <w:rPr>
          <w:rFonts w:cs="Arial"/>
          <w:rtl/>
        </w:rPr>
        <w:t>שעושה שם דמקום הנתינה עיקר</w:t>
      </w:r>
      <w:r>
        <w:rPr>
          <w:rFonts w:cs="Arial" w:hint="cs"/>
          <w:rtl/>
        </w:rPr>
        <w:t>.</w:t>
      </w:r>
      <w:r>
        <w:rPr>
          <w:rFonts w:cs="Arial"/>
          <w:rtl/>
        </w:rPr>
        <w:t xml:space="preserve"> וכן כתב </w:t>
      </w:r>
      <w:r w:rsidRPr="00DE5896">
        <w:rPr>
          <w:rFonts w:cs="Arial"/>
          <w:b/>
          <w:bCs/>
          <w:rtl/>
        </w:rPr>
        <w:t>המרדכי ב</w:t>
      </w:r>
      <w:r>
        <w:rPr>
          <w:rFonts w:cs="Arial"/>
          <w:rtl/>
        </w:rPr>
        <w:t xml:space="preserve">פרק השולח </w:t>
      </w:r>
      <w:r w:rsidRPr="00DE5896">
        <w:rPr>
          <w:rFonts w:cs="Arial"/>
          <w:sz w:val="16"/>
          <w:szCs w:val="16"/>
          <w:rtl/>
        </w:rPr>
        <w:t>(סי' שסח)</w:t>
      </w:r>
      <w:r>
        <w:rPr>
          <w:rFonts w:cs="Arial" w:hint="cs"/>
          <w:rtl/>
        </w:rPr>
        <w:t>.</w:t>
      </w:r>
      <w:r>
        <w:rPr>
          <w:rFonts w:cs="Arial"/>
          <w:rtl/>
        </w:rPr>
        <w:t xml:space="preserve"> וגם </w:t>
      </w:r>
      <w:r w:rsidRPr="00DE5896">
        <w:rPr>
          <w:rFonts w:cs="Arial"/>
          <w:b/>
          <w:bCs/>
          <w:rtl/>
        </w:rPr>
        <w:t>הר"ן</w:t>
      </w:r>
      <w:r>
        <w:rPr>
          <w:rFonts w:cs="Arial"/>
          <w:rtl/>
        </w:rPr>
        <w:t xml:space="preserve"> כתב כן בפרק הנזכר </w:t>
      </w:r>
      <w:r w:rsidRPr="00DE5896">
        <w:rPr>
          <w:rFonts w:cs="Arial"/>
          <w:sz w:val="16"/>
          <w:szCs w:val="16"/>
          <w:rtl/>
        </w:rPr>
        <w:t>(יז: ד"ה ואין זה)</w:t>
      </w:r>
      <w:r>
        <w:rPr>
          <w:rFonts w:cs="Arial"/>
          <w:rtl/>
        </w:rPr>
        <w:t>. ואע</w:t>
      </w:r>
      <w:r>
        <w:rPr>
          <w:rFonts w:cs="Arial" w:hint="cs"/>
          <w:rtl/>
        </w:rPr>
        <w:t>"</w:t>
      </w:r>
      <w:r>
        <w:rPr>
          <w:rFonts w:cs="Arial"/>
          <w:rtl/>
        </w:rPr>
        <w:t xml:space="preserve">פ שבתוספתא (פ"ו ה"ז) עושה מקום כתיבה עיקר כמו שכתבו </w:t>
      </w:r>
      <w:r w:rsidRPr="00DE5896">
        <w:rPr>
          <w:rFonts w:cs="Arial"/>
          <w:b/>
          <w:bCs/>
          <w:rtl/>
        </w:rPr>
        <w:t>התוספות</w:t>
      </w:r>
      <w:r>
        <w:rPr>
          <w:rFonts w:cs="Arial"/>
          <w:rtl/>
        </w:rPr>
        <w:t xml:space="preserve"> בהשולח (לד: ד"ה והוא), מ"מ תפסו עיקר הברייתא השנויה בגמרא דידן שעושה מקום נתינה עיקר</w:t>
      </w:r>
      <w:r>
        <w:rPr>
          <w:rFonts w:hint="cs"/>
          <w:rtl/>
        </w:rPr>
        <w:t xml:space="preserve">, </w:t>
      </w:r>
      <w:r w:rsidRPr="00DE5896">
        <w:rPr>
          <w:rFonts w:hint="cs"/>
          <w:b/>
          <w:bCs/>
          <w:rtl/>
        </w:rPr>
        <w:t>ב"י</w:t>
      </w:r>
      <w:r>
        <w:rPr>
          <w:rFonts w:hint="cs"/>
          <w:rtl/>
        </w:rPr>
        <w:t>.</w:t>
      </w:r>
    </w:p>
  </w:footnote>
  <w:footnote w:id="1046">
    <w:p w14:paraId="0D5D41D6" w14:textId="77777777" w:rsidR="00FA2119" w:rsidRDefault="00FA2119" w:rsidP="00FA2119">
      <w:pPr>
        <w:pStyle w:val="a5"/>
        <w:rPr>
          <w:rtl/>
        </w:rPr>
      </w:pPr>
      <w:r>
        <w:rPr>
          <w:rStyle w:val="a7"/>
        </w:rPr>
        <w:footnoteRef/>
      </w:r>
      <w:r>
        <w:rPr>
          <w:rtl/>
        </w:rPr>
        <w:t xml:space="preserve"> </w:t>
      </w:r>
      <w:r w:rsidRPr="0054579F">
        <w:rPr>
          <w:rFonts w:cs="Arial"/>
          <w:rtl/>
        </w:rPr>
        <w:t>אבל לא אתחזק כאן שיש לו שני שמות אין צריך לכתוב וכל שום שיש לו</w:t>
      </w:r>
      <w:r>
        <w:rPr>
          <w:rFonts w:cs="Arial" w:hint="cs"/>
          <w:rtl/>
        </w:rPr>
        <w:t>,</w:t>
      </w:r>
      <w:r w:rsidRPr="0054579F">
        <w:rPr>
          <w:rFonts w:cs="Arial"/>
          <w:rtl/>
        </w:rPr>
        <w:t xml:space="preserve"> ואפי' נודע לאחר זמן שיש לו שם אחר הוי הגט כשר שאין לנו אלא שם שקרא הוא לעצמו בפנינו והוחזק בו</w:t>
      </w:r>
      <w:r>
        <w:rPr>
          <w:rFonts w:hint="cs"/>
          <w:rtl/>
        </w:rPr>
        <w:t>, רש"י.</w:t>
      </w:r>
      <w:r w:rsidRPr="0054579F">
        <w:rPr>
          <w:rFonts w:cs="Arial"/>
          <w:rtl/>
        </w:rPr>
        <w:t xml:space="preserve"> </w:t>
      </w:r>
      <w:r>
        <w:rPr>
          <w:rFonts w:cs="Arial"/>
          <w:rtl/>
        </w:rPr>
        <w:t>וכן דעת הר"ן (שם)</w:t>
      </w:r>
      <w:r>
        <w:rPr>
          <w:rFonts w:cs="Arial" w:hint="cs"/>
          <w:rtl/>
        </w:rPr>
        <w:t>.</w:t>
      </w:r>
      <w:r>
        <w:rPr>
          <w:rFonts w:cs="Arial"/>
          <w:rtl/>
        </w:rPr>
        <w:t xml:space="preserve"> וגם הוא דעת הרא"ש (סי' ז)</w:t>
      </w:r>
      <w:r>
        <w:rPr>
          <w:rFonts w:hint="cs"/>
          <w:rtl/>
        </w:rPr>
        <w:t>.</w:t>
      </w:r>
    </w:p>
  </w:footnote>
  <w:footnote w:id="1047">
    <w:p w14:paraId="40706174" w14:textId="5BC0E488" w:rsidR="000653A7" w:rsidRDefault="000653A7">
      <w:pPr>
        <w:pStyle w:val="a5"/>
      </w:pPr>
      <w:r>
        <w:rPr>
          <w:rStyle w:val="a7"/>
        </w:rPr>
        <w:footnoteRef/>
      </w:r>
      <w:r>
        <w:rPr>
          <w:rtl/>
        </w:rPr>
        <w:t xml:space="preserve"> </w:t>
      </w:r>
      <w:r w:rsidRPr="000653A7">
        <w:rPr>
          <w:rFonts w:cs="Arial"/>
          <w:rtl/>
        </w:rPr>
        <w:t>שאינו ביהודה וגליל</w:t>
      </w:r>
      <w:r>
        <w:rPr>
          <w:rFonts w:cs="Arial" w:hint="cs"/>
          <w:rtl/>
        </w:rPr>
        <w:t>, רש"י.</w:t>
      </w:r>
    </w:p>
  </w:footnote>
  <w:footnote w:id="1048">
    <w:p w14:paraId="78605FA0" w14:textId="455F1DF0" w:rsidR="000653A7" w:rsidRDefault="000653A7">
      <w:pPr>
        <w:pStyle w:val="a5"/>
      </w:pPr>
      <w:r>
        <w:rPr>
          <w:rStyle w:val="a7"/>
        </w:rPr>
        <w:footnoteRef/>
      </w:r>
      <w:r>
        <w:rPr>
          <w:rtl/>
        </w:rPr>
        <w:t xml:space="preserve"> </w:t>
      </w:r>
      <w:r w:rsidRPr="000653A7">
        <w:rPr>
          <w:rFonts w:cs="Arial"/>
          <w:rtl/>
        </w:rPr>
        <w:t>משום דבאותו מקום לא היו מוחזקין שיהיו לו שני שמות אבל ביהודה היו יודעים שיש לו שם אחר לפיכך הוצרכו כל שמותיו שהחזיק עצמו בהם לפניהם דבתר חזקה אזלינן</w:t>
      </w:r>
      <w:r>
        <w:rPr>
          <w:rFonts w:cs="Arial" w:hint="cs"/>
          <w:rtl/>
        </w:rPr>
        <w:t>, רש"י.</w:t>
      </w:r>
    </w:p>
  </w:footnote>
  <w:footnote w:id="1049">
    <w:p w14:paraId="4DB36524" w14:textId="77777777" w:rsidR="00FA2119" w:rsidRDefault="00FA2119" w:rsidP="00FA2119">
      <w:pPr>
        <w:pStyle w:val="a5"/>
      </w:pPr>
      <w:r>
        <w:rPr>
          <w:rStyle w:val="a7"/>
        </w:rPr>
        <w:footnoteRef/>
      </w:r>
      <w:r>
        <w:rPr>
          <w:rtl/>
        </w:rPr>
        <w:t xml:space="preserve"> </w:t>
      </w:r>
      <w:r w:rsidRPr="00E37813">
        <w:rPr>
          <w:rFonts w:cs="Arial"/>
          <w:rtl/>
        </w:rPr>
        <w:t xml:space="preserve">שינה שמו ושמה כו' - </w:t>
      </w:r>
      <w:r w:rsidRPr="00F8793A">
        <w:rPr>
          <w:rFonts w:cs="Arial"/>
          <w:rtl/>
        </w:rPr>
        <w:t>לא שינה ממש</w:t>
      </w:r>
      <w:r>
        <w:rPr>
          <w:rFonts w:cs="Arial" w:hint="cs"/>
          <w:rtl/>
        </w:rPr>
        <w:t>,</w:t>
      </w:r>
      <w:r w:rsidRPr="00F8793A">
        <w:rPr>
          <w:rFonts w:cs="Arial"/>
          <w:rtl/>
        </w:rPr>
        <w:t xml:space="preserve"> כדאמר בפ"ב (לד:)</w:t>
      </w:r>
      <w:r>
        <w:rPr>
          <w:rFonts w:cs="Arial" w:hint="cs"/>
          <w:sz w:val="16"/>
          <w:szCs w:val="16"/>
          <w:rtl/>
        </w:rPr>
        <w:t xml:space="preserve"> {ומבואר שם שבמקום אחד קוראים לו כך ובמקום שני קוראים לו כך}</w:t>
      </w:r>
      <w:r>
        <w:rPr>
          <w:rFonts w:cs="Arial" w:hint="cs"/>
          <w:rtl/>
        </w:rPr>
        <w:t>,</w:t>
      </w:r>
      <w:r w:rsidRPr="00F8793A">
        <w:rPr>
          <w:rFonts w:cs="Arial"/>
          <w:rtl/>
        </w:rPr>
        <w:t xml:space="preserve"> וכן שם עירו ושם עירה </w:t>
      </w:r>
      <w:r>
        <w:rPr>
          <w:rFonts w:cs="Arial" w:hint="cs"/>
          <w:rtl/>
        </w:rPr>
        <w:t xml:space="preserve">- </w:t>
      </w:r>
      <w:r w:rsidRPr="00F8793A">
        <w:rPr>
          <w:rFonts w:cs="Arial"/>
          <w:rtl/>
        </w:rPr>
        <w:t>לא ששינה ממש</w:t>
      </w:r>
      <w:r>
        <w:rPr>
          <w:rFonts w:cs="Arial" w:hint="cs"/>
          <w:rtl/>
        </w:rPr>
        <w:t>,</w:t>
      </w:r>
      <w:r w:rsidRPr="00F8793A">
        <w:rPr>
          <w:rFonts w:cs="Arial"/>
          <w:rtl/>
        </w:rPr>
        <w:t xml:space="preserve"> אלא שיש לאותה העיר שני שמות בשני מקומות</w:t>
      </w:r>
      <w:r>
        <w:rPr>
          <w:rFonts w:cs="Arial" w:hint="cs"/>
          <w:rtl/>
        </w:rPr>
        <w:t>, תוס' (פ. ד"ה שינה).</w:t>
      </w:r>
    </w:p>
  </w:footnote>
  <w:footnote w:id="1050">
    <w:p w14:paraId="763BEAF8" w14:textId="0B132165" w:rsidR="00FA2119" w:rsidRDefault="00FA2119" w:rsidP="00FA2119">
      <w:pPr>
        <w:pStyle w:val="a5"/>
        <w:rPr>
          <w:rtl/>
        </w:rPr>
      </w:pPr>
      <w:r>
        <w:rPr>
          <w:rStyle w:val="a7"/>
        </w:rPr>
        <w:footnoteRef/>
      </w:r>
      <w:r>
        <w:rPr>
          <w:rtl/>
        </w:rPr>
        <w:t xml:space="preserve"> </w:t>
      </w:r>
      <w:r>
        <w:rPr>
          <w:rFonts w:hint="cs"/>
          <w:rtl/>
        </w:rPr>
        <w:t xml:space="preserve">לפי דברי הב"י לעיל שפירוש המשנה (של שינה שמו ושמה) הוא על מי שאתחזק בשתי מקומות בשמות אחרים </w:t>
      </w:r>
      <w:r w:rsidR="00A42812">
        <w:rPr>
          <w:rtl/>
        </w:rPr>
        <w:t>-</w:t>
      </w:r>
      <w:r>
        <w:rPr>
          <w:rFonts w:hint="cs"/>
          <w:rtl/>
        </w:rPr>
        <w:t xml:space="preserve"> קשה למה הביא השו"ע את לשון הרמב"ם שהיא כלשון המשנה, וסעיף אח"כ הביא את פירוש הראשנים למשנה זו. וי"ל שהרמב"ם התכוון לפירוש הפשוט כפי שפירשו כל הראשונים, דמיירי באתחזק כנ"ל,</w:t>
      </w:r>
      <w:r w:rsidRPr="00722180">
        <w:rPr>
          <w:rFonts w:hint="cs"/>
          <w:rtl/>
        </w:rPr>
        <w:t xml:space="preserve"> </w:t>
      </w:r>
      <w:r>
        <w:rPr>
          <w:rFonts w:hint="cs"/>
          <w:rtl/>
        </w:rPr>
        <w:t>ולכן לא הביא דין מי שאתחזק בשתי מקומות אלא העתיק את המשנה כלשונה. אבל בשו"ע החליט להעתיקו כדי להביא את עיקר הדין, ואח"כ גם להביא את דין אתחזק, וזאת כדי לפרש יותר את הדברים למי שלא קרא את דבריו בב"י.</w:t>
      </w:r>
    </w:p>
  </w:footnote>
  <w:footnote w:id="1051">
    <w:p w14:paraId="73B22493" w14:textId="6AE0A42B" w:rsidR="00FA2119" w:rsidRDefault="00FA2119" w:rsidP="00FA2119">
      <w:pPr>
        <w:pStyle w:val="a5"/>
        <w:rPr>
          <w:rtl/>
        </w:rPr>
      </w:pPr>
      <w:r>
        <w:rPr>
          <w:rStyle w:val="a7"/>
        </w:rPr>
        <w:footnoteRef/>
      </w:r>
      <w:r>
        <w:rPr>
          <w:rtl/>
        </w:rPr>
        <w:t xml:space="preserve"> </w:t>
      </w:r>
      <w:r>
        <w:rPr>
          <w:rFonts w:hint="cs"/>
          <w:rtl/>
        </w:rPr>
        <w:t xml:space="preserve">כתב הטור </w:t>
      </w:r>
      <w:r w:rsidR="000A0F5A">
        <w:rPr>
          <w:rFonts w:hint="cs"/>
          <w:rtl/>
        </w:rPr>
        <w:t>וז</w:t>
      </w:r>
      <w:r w:rsidR="000A0F5A">
        <w:rPr>
          <w:rtl/>
        </w:rPr>
        <w:t>"</w:t>
      </w:r>
      <w:r w:rsidR="000A0F5A">
        <w:rPr>
          <w:rFonts w:hint="cs"/>
          <w:rtl/>
        </w:rPr>
        <w:t>ל:</w:t>
      </w:r>
      <w:r>
        <w:rPr>
          <w:rFonts w:hint="cs"/>
          <w:rtl/>
        </w:rPr>
        <w:t xml:space="preserve"> </w:t>
      </w:r>
      <w:r w:rsidRPr="00362B9F">
        <w:rPr>
          <w:rFonts w:cs="Arial"/>
          <w:rtl/>
        </w:rPr>
        <w:t>והא דכשר בדיעבד כשכתב שם הטפל וכל שום וחניכה דאית ליה דוקא למגרש במקום הכתיבה</w:t>
      </w:r>
      <w:r>
        <w:rPr>
          <w:rFonts w:cs="Arial" w:hint="cs"/>
          <w:rtl/>
        </w:rPr>
        <w:t>,</w:t>
      </w:r>
      <w:r w:rsidRPr="00362B9F">
        <w:rPr>
          <w:rFonts w:cs="Arial"/>
          <w:rtl/>
        </w:rPr>
        <w:t xml:space="preserve"> </w:t>
      </w:r>
      <w:r w:rsidRPr="00390632">
        <w:rPr>
          <w:rFonts w:cs="Arial"/>
          <w:rtl/>
        </w:rPr>
        <w:t>אבל</w:t>
      </w:r>
      <w:r>
        <w:rPr>
          <w:rFonts w:hint="cs"/>
          <w:rtl/>
        </w:rPr>
        <w:t>-...</w:t>
      </w:r>
    </w:p>
  </w:footnote>
  <w:footnote w:id="1052">
    <w:p w14:paraId="14321E9B" w14:textId="77777777" w:rsidR="00FA2119" w:rsidRDefault="00FA2119" w:rsidP="00FA2119">
      <w:pPr>
        <w:pStyle w:val="a5"/>
      </w:pPr>
      <w:r>
        <w:rPr>
          <w:rStyle w:val="a7"/>
        </w:rPr>
        <w:footnoteRef/>
      </w:r>
      <w:r>
        <w:rPr>
          <w:rtl/>
        </w:rPr>
        <w:t xml:space="preserve"> </w:t>
      </w:r>
      <w:r>
        <w:rPr>
          <w:rFonts w:cs="Arial"/>
          <w:rtl/>
        </w:rPr>
        <w:t>טעמו משום שיכירו בשמו בני מקום הכתיבה ובני מקום הנתינה שאם לא יפרט אלא שם מקום הנתינה אע</w:t>
      </w:r>
      <w:r>
        <w:rPr>
          <w:rFonts w:cs="Arial" w:hint="cs"/>
          <w:rtl/>
        </w:rPr>
        <w:t>"</w:t>
      </w:r>
      <w:r>
        <w:rPr>
          <w:rFonts w:cs="Arial"/>
          <w:rtl/>
        </w:rPr>
        <w:t>פ שבכלל וכל שום הוי מקום הכתיבה אכתי איכא למיחש דאתו לקלקולא לומר לא בעלה של זו הוא שגירש מאחר ששם שהם בקיאים בו אינו מוזכר בגט</w:t>
      </w:r>
      <w:r>
        <w:rPr>
          <w:rFonts w:cs="Arial" w:hint="cs"/>
          <w:rtl/>
        </w:rPr>
        <w:t>, ב"י.</w:t>
      </w:r>
    </w:p>
  </w:footnote>
  <w:footnote w:id="1053">
    <w:p w14:paraId="61CCD5E1" w14:textId="77777777" w:rsidR="00FA2119" w:rsidRDefault="00FA2119" w:rsidP="00FA2119">
      <w:pPr>
        <w:pStyle w:val="a5"/>
      </w:pPr>
      <w:r>
        <w:rPr>
          <w:rStyle w:val="a7"/>
        </w:rPr>
        <w:footnoteRef/>
      </w:r>
      <w:r>
        <w:rPr>
          <w:rtl/>
        </w:rPr>
        <w:t xml:space="preserve"> </w:t>
      </w:r>
      <w:r w:rsidRPr="0025497F">
        <w:rPr>
          <w:rFonts w:cs="Arial"/>
          <w:rtl/>
        </w:rPr>
        <w:t>מדרבנן. ולפי זה הא דתניא בהשולח (לד:) היו לו שתי נשים אחת ביהודה ואחת בגליל וכו' אינה מגורשת היינו מדרבנן</w:t>
      </w:r>
      <w:r>
        <w:rPr>
          <w:rFonts w:cs="Arial" w:hint="cs"/>
          <w:rtl/>
        </w:rPr>
        <w:t>.</w:t>
      </w:r>
      <w:r w:rsidRPr="0025497F">
        <w:rPr>
          <w:rFonts w:cs="Arial"/>
          <w:rtl/>
        </w:rPr>
        <w:t xml:space="preserve"> וביאור דברי רבינו במה שכתב ואם לא כתב כן פסול </w:t>
      </w:r>
      <w:r>
        <w:rPr>
          <w:rFonts w:cs="Arial"/>
          <w:rtl/>
        </w:rPr>
        <w:t>היינו לומר שאם לא כתב שם מקום הנתינה בהדיא אלא שכתב שם מקום הכתיבה וכתב וכל שום לרבות שם מקום הנתינה</w:t>
      </w:r>
      <w:r>
        <w:rPr>
          <w:rFonts w:cs="Arial" w:hint="cs"/>
          <w:rtl/>
        </w:rPr>
        <w:t xml:space="preserve"> -</w:t>
      </w:r>
      <w:r>
        <w:rPr>
          <w:rFonts w:cs="Arial"/>
          <w:rtl/>
        </w:rPr>
        <w:t xml:space="preserve"> פסול</w:t>
      </w:r>
      <w:r>
        <w:rPr>
          <w:rFonts w:cs="Arial" w:hint="cs"/>
          <w:rtl/>
        </w:rPr>
        <w:t>,</w:t>
      </w:r>
      <w:r>
        <w:rPr>
          <w:rFonts w:cs="Arial"/>
          <w:rtl/>
        </w:rPr>
        <w:t xml:space="preserve"> ואין צריך לומר אם לא כתב וכל שום דאפילו במגרש במקום הכתיבה וכתב שם הטפל פסול אם לא כתב וכל שום וכמו שנתבאר לעיל בסמוך</w:t>
      </w:r>
      <w:r>
        <w:rPr>
          <w:rFonts w:cs="Arial" w:hint="cs"/>
          <w:rtl/>
        </w:rPr>
        <w:t>.</w:t>
      </w:r>
      <w:r>
        <w:rPr>
          <w:rFonts w:cs="Arial"/>
          <w:rtl/>
        </w:rPr>
        <w:t xml:space="preserve"> וכשמקום כתיבה אינו מקום נתינה שם מקום כתיבה הוי טפל לגבי שם דמקום נתינה</w:t>
      </w:r>
      <w:r>
        <w:rPr>
          <w:rFonts w:cs="Arial" w:hint="cs"/>
          <w:rtl/>
        </w:rPr>
        <w:t>, ב"י.</w:t>
      </w:r>
    </w:p>
  </w:footnote>
  <w:footnote w:id="1054">
    <w:p w14:paraId="0A361413" w14:textId="228AC449" w:rsidR="00FA2119" w:rsidRDefault="00FA2119" w:rsidP="00FA2119">
      <w:pPr>
        <w:pStyle w:val="a5"/>
      </w:pPr>
      <w:r>
        <w:rPr>
          <w:rStyle w:val="a7"/>
        </w:rPr>
        <w:footnoteRef/>
      </w:r>
      <w:r>
        <w:rPr>
          <w:rtl/>
        </w:rPr>
        <w:t xml:space="preserve"> </w:t>
      </w:r>
      <w:r>
        <w:rPr>
          <w:rFonts w:cs="Arial"/>
          <w:rtl/>
        </w:rPr>
        <w:t>נ"ל דלרבותא נקטיה</w:t>
      </w:r>
      <w:r w:rsidR="00B53EFB">
        <w:rPr>
          <w:rFonts w:cs="Arial" w:hint="cs"/>
          <w:rtl/>
        </w:rPr>
        <w:t>,</w:t>
      </w:r>
      <w:r>
        <w:rPr>
          <w:rFonts w:cs="Arial"/>
          <w:rtl/>
        </w:rPr>
        <w:t xml:space="preserve"> שאע"פ שבמקום הנתינה אינו מוחזק אלא בשם שהם בקיאין בו</w:t>
      </w:r>
      <w:r>
        <w:rPr>
          <w:rFonts w:cs="Arial" w:hint="cs"/>
          <w:rtl/>
        </w:rPr>
        <w:t xml:space="preserve"> </w:t>
      </w:r>
      <w:r w:rsidR="00B53EFB">
        <w:rPr>
          <w:rFonts w:cs="Arial" w:hint="cs"/>
          <w:rtl/>
        </w:rPr>
        <w:t xml:space="preserve">- </w:t>
      </w:r>
      <w:r>
        <w:rPr>
          <w:rFonts w:cs="Arial"/>
          <w:rtl/>
        </w:rPr>
        <w:t>כשר</w:t>
      </w:r>
      <w:r w:rsidR="00B53EFB">
        <w:rPr>
          <w:rFonts w:cs="Arial" w:hint="cs"/>
          <w:rtl/>
        </w:rPr>
        <w:t>,</w:t>
      </w:r>
      <w:r>
        <w:rPr>
          <w:rFonts w:cs="Arial"/>
          <w:rtl/>
        </w:rPr>
        <w:t xml:space="preserve"> וכל שכן היכא שבמקום הנתינה יודעים שיש לו שם אחר במקום הכתיבה דליכא למיחש כל כך לקלקולא</w:t>
      </w:r>
      <w:r>
        <w:rPr>
          <w:rFonts w:cs="Arial" w:hint="cs"/>
          <w:rtl/>
        </w:rPr>
        <w:t>, ב"י.</w:t>
      </w:r>
      <w:r>
        <w:rPr>
          <w:rFonts w:hint="cs"/>
          <w:rtl/>
        </w:rPr>
        <w:t xml:space="preserve"> </w:t>
      </w:r>
    </w:p>
  </w:footnote>
  <w:footnote w:id="1055">
    <w:p w14:paraId="57ACCFA1" w14:textId="6FBFCC21" w:rsidR="00FA2119" w:rsidRDefault="00FA2119" w:rsidP="00FA2119">
      <w:pPr>
        <w:pStyle w:val="a5"/>
      </w:pPr>
      <w:r>
        <w:rPr>
          <w:rStyle w:val="a7"/>
        </w:rPr>
        <w:footnoteRef/>
      </w:r>
      <w:r>
        <w:rPr>
          <w:rtl/>
        </w:rPr>
        <w:t xml:space="preserve"> </w:t>
      </w:r>
      <w:r w:rsidRPr="00AA0DEB">
        <w:rPr>
          <w:rFonts w:cs="Arial"/>
          <w:rtl/>
        </w:rPr>
        <w:t>ומה שכתב פירוש שהוחזק בשני המקומות באלו השני שמות</w:t>
      </w:r>
      <w:r>
        <w:rPr>
          <w:rFonts w:cs="Arial" w:hint="cs"/>
          <w:rtl/>
        </w:rPr>
        <w:t>,</w:t>
      </w:r>
      <w:r w:rsidRPr="00AA0DEB">
        <w:rPr>
          <w:rFonts w:cs="Arial"/>
          <w:rtl/>
        </w:rPr>
        <w:t xml:space="preserve"> גם ר</w:t>
      </w:r>
      <w:r w:rsidRPr="00AA0DEB">
        <w:rPr>
          <w:rFonts w:cs="Arial" w:hint="cs"/>
          <w:rtl/>
        </w:rPr>
        <w:t>י"ו</w:t>
      </w:r>
      <w:r w:rsidRPr="00AA0DEB">
        <w:rPr>
          <w:rFonts w:cs="Arial"/>
          <w:rtl/>
        </w:rPr>
        <w:t xml:space="preserve"> </w:t>
      </w:r>
      <w:r>
        <w:rPr>
          <w:rFonts w:cs="Arial" w:hint="cs"/>
          <w:sz w:val="16"/>
          <w:szCs w:val="16"/>
          <w:rtl/>
        </w:rPr>
        <w:t>(תא"ו נכ"ד ח"ב רד ג)</w:t>
      </w:r>
      <w:r w:rsidRPr="00AA0DEB">
        <w:rPr>
          <w:rFonts w:cs="Arial"/>
          <w:rtl/>
        </w:rPr>
        <w:t xml:space="preserve"> כתב בלשון הזה והוא דאתחזק בתרי שמי שיודעין בגליל שיש לו שם אחר ביהודה וכן ביהודה יודעים שיש לו שם אחר בגליל</w:t>
      </w:r>
      <w:r w:rsidRPr="00AA0DEB">
        <w:rPr>
          <w:rFonts w:cs="Arial" w:hint="cs"/>
          <w:rtl/>
        </w:rPr>
        <w:t>.</w:t>
      </w:r>
      <w:r w:rsidRPr="00AA0DEB">
        <w:rPr>
          <w:rFonts w:cs="Arial" w:hint="cs"/>
          <w:sz w:val="16"/>
          <w:szCs w:val="16"/>
          <w:rtl/>
        </w:rPr>
        <w:t xml:space="preserve"> {וכתב הב"י על דבריהם-}</w:t>
      </w:r>
      <w:r w:rsidRPr="00AA0DEB">
        <w:rPr>
          <w:rFonts w:cs="Arial"/>
          <w:rtl/>
        </w:rPr>
        <w:t xml:space="preserve"> נ"ל דלאו למימרא דאי לא אתחזק בתרי שמי במקום הנתינה</w:t>
      </w:r>
      <w:r>
        <w:rPr>
          <w:rFonts w:cs="Arial" w:hint="cs"/>
          <w:rtl/>
        </w:rPr>
        <w:t>,</w:t>
      </w:r>
      <w:r w:rsidRPr="00AA0DEB">
        <w:rPr>
          <w:rFonts w:cs="Arial"/>
          <w:rtl/>
        </w:rPr>
        <w:t xml:space="preserve"> אע</w:t>
      </w:r>
      <w:r w:rsidRPr="00AA0DEB">
        <w:rPr>
          <w:rFonts w:cs="Arial" w:hint="cs"/>
          <w:rtl/>
        </w:rPr>
        <w:t>"</w:t>
      </w:r>
      <w:r w:rsidRPr="00AA0DEB">
        <w:rPr>
          <w:rFonts w:cs="Arial"/>
          <w:rtl/>
        </w:rPr>
        <w:t>ג דאתחזק במקום הכתיבה בתרי שמי</w:t>
      </w:r>
      <w:r>
        <w:rPr>
          <w:rFonts w:cs="Arial" w:hint="cs"/>
          <w:rtl/>
        </w:rPr>
        <w:t>,</w:t>
      </w:r>
      <w:r w:rsidRPr="00AA0DEB">
        <w:rPr>
          <w:rFonts w:cs="Arial"/>
          <w:rtl/>
        </w:rPr>
        <w:t xml:space="preserve"> הוי בכלל לא אתחזק בתרי שמי</w:t>
      </w:r>
      <w:r>
        <w:rPr>
          <w:rFonts w:cs="Arial" w:hint="cs"/>
          <w:rtl/>
        </w:rPr>
        <w:t>,</w:t>
      </w:r>
      <w:r w:rsidRPr="00AA0DEB">
        <w:rPr>
          <w:rFonts w:cs="Arial"/>
          <w:rtl/>
        </w:rPr>
        <w:t xml:space="preserve"> וכדמשמע לכאורה מפשטא דלישנא</w:t>
      </w:r>
      <w:r w:rsidRPr="00AA0DEB">
        <w:rPr>
          <w:rFonts w:cs="Arial" w:hint="cs"/>
          <w:rtl/>
        </w:rPr>
        <w:t>,</w:t>
      </w:r>
      <w:r w:rsidRPr="00AA0DEB">
        <w:rPr>
          <w:rFonts w:cs="Arial"/>
          <w:rtl/>
        </w:rPr>
        <w:t xml:space="preserve"> דכיון דבמקום הכתיבה הוחזק שיש לו שם אחר</w:t>
      </w:r>
      <w:r>
        <w:rPr>
          <w:rFonts w:cs="Arial" w:hint="cs"/>
          <w:rtl/>
        </w:rPr>
        <w:t>,</w:t>
      </w:r>
      <w:r w:rsidRPr="00AA0DEB">
        <w:rPr>
          <w:rFonts w:cs="Arial"/>
          <w:rtl/>
        </w:rPr>
        <w:t xml:space="preserve"> במקום הנתינה למה לא יצטרך לכתוב שני השמות כיון דאתחזק בתרי שמי</w:t>
      </w:r>
      <w:r w:rsidRPr="00AA0DEB">
        <w:rPr>
          <w:rFonts w:cs="Arial" w:hint="cs"/>
          <w:rtl/>
        </w:rPr>
        <w:t>.</w:t>
      </w:r>
      <w:r w:rsidRPr="00AA0DEB">
        <w:rPr>
          <w:rFonts w:cs="Arial"/>
          <w:rtl/>
        </w:rPr>
        <w:t xml:space="preserve"> וכן נראה מפירוש רש"י</w:t>
      </w:r>
      <w:r w:rsidRPr="00AA0DEB">
        <w:rPr>
          <w:rFonts w:cs="Arial" w:hint="cs"/>
          <w:rtl/>
        </w:rPr>
        <w:t>.</w:t>
      </w:r>
      <w:r w:rsidRPr="00AA0DEB">
        <w:rPr>
          <w:rFonts w:cs="Arial"/>
          <w:rtl/>
        </w:rPr>
        <w:t xml:space="preserve"> וכ</w:t>
      </w:r>
      <w:r>
        <w:rPr>
          <w:rFonts w:cs="Arial" w:hint="cs"/>
          <w:rtl/>
        </w:rPr>
        <w:t>"</w:t>
      </w:r>
      <w:r w:rsidRPr="00AA0DEB">
        <w:rPr>
          <w:rFonts w:cs="Arial"/>
          <w:rtl/>
        </w:rPr>
        <w:t xml:space="preserve">כ הר"ן בהדיא (שם). </w:t>
      </w:r>
      <w:r w:rsidRPr="0054579F">
        <w:rPr>
          <w:rFonts w:cs="Arial"/>
          <w:rtl/>
        </w:rPr>
        <w:t xml:space="preserve">אבל בתשובות </w:t>
      </w:r>
      <w:r w:rsidRPr="00467DE1">
        <w:rPr>
          <w:rFonts w:cs="Arial" w:hint="cs"/>
          <w:sz w:val="16"/>
          <w:szCs w:val="16"/>
          <w:rtl/>
        </w:rPr>
        <w:t xml:space="preserve">(שו"ת הרא"ש </w:t>
      </w:r>
      <w:r w:rsidRPr="00467DE1">
        <w:rPr>
          <w:rFonts w:cs="Arial"/>
          <w:sz w:val="16"/>
          <w:szCs w:val="16"/>
          <w:rtl/>
        </w:rPr>
        <w:t>כלל טו סי</w:t>
      </w:r>
      <w:r w:rsidRPr="00467DE1">
        <w:rPr>
          <w:rFonts w:cs="Arial" w:hint="cs"/>
          <w:sz w:val="16"/>
          <w:szCs w:val="16"/>
          <w:rtl/>
        </w:rPr>
        <w:t>'</w:t>
      </w:r>
      <w:r w:rsidRPr="00467DE1">
        <w:rPr>
          <w:rFonts w:cs="Arial"/>
          <w:sz w:val="16"/>
          <w:szCs w:val="16"/>
          <w:rtl/>
        </w:rPr>
        <w:t xml:space="preserve"> ד</w:t>
      </w:r>
      <w:r w:rsidRPr="00467DE1">
        <w:rPr>
          <w:rFonts w:cs="Arial" w:hint="cs"/>
          <w:sz w:val="16"/>
          <w:szCs w:val="16"/>
          <w:rtl/>
        </w:rPr>
        <w:t>)</w:t>
      </w:r>
      <w:r w:rsidRPr="00467DE1">
        <w:rPr>
          <w:rFonts w:cs="Arial"/>
          <w:sz w:val="16"/>
          <w:szCs w:val="16"/>
          <w:rtl/>
        </w:rPr>
        <w:t xml:space="preserve"> </w:t>
      </w:r>
      <w:r w:rsidRPr="0054579F">
        <w:rPr>
          <w:rFonts w:cs="Arial"/>
          <w:rtl/>
        </w:rPr>
        <w:t xml:space="preserve">כתב </w:t>
      </w:r>
      <w:r w:rsidR="000A0F5A">
        <w:rPr>
          <w:rFonts w:cs="Arial"/>
          <w:rtl/>
        </w:rPr>
        <w:t>וז"ל:</w:t>
      </w:r>
      <w:r w:rsidRPr="0054579F">
        <w:rPr>
          <w:rFonts w:cs="Arial"/>
          <w:rtl/>
        </w:rPr>
        <w:t xml:space="preserve"> התקין רבן גמליאל שיהא כותב שמו שקורין לו במקום הנתינה וכל שם אחר שיש לו</w:t>
      </w:r>
      <w:r>
        <w:rPr>
          <w:rFonts w:cs="Arial" w:hint="cs"/>
          <w:rtl/>
        </w:rPr>
        <w:t>,</w:t>
      </w:r>
      <w:r w:rsidRPr="0054579F">
        <w:rPr>
          <w:rFonts w:cs="Arial"/>
          <w:rtl/>
        </w:rPr>
        <w:t xml:space="preserve"> אבל לא אתחזק בתרי שמי</w:t>
      </w:r>
      <w:r w:rsidRPr="0054579F">
        <w:rPr>
          <w:rFonts w:cs="Arial" w:hint="cs"/>
          <w:rtl/>
        </w:rPr>
        <w:t>,</w:t>
      </w:r>
      <w:r w:rsidRPr="0054579F">
        <w:rPr>
          <w:rFonts w:cs="Arial"/>
          <w:rtl/>
        </w:rPr>
        <w:t xml:space="preserve"> שאינם יודעים במקום הנתינה שיש לו שם אחר במקום הכתיבה</w:t>
      </w:r>
      <w:r w:rsidRPr="0054579F">
        <w:rPr>
          <w:rFonts w:cs="Arial" w:hint="cs"/>
          <w:rtl/>
        </w:rPr>
        <w:t xml:space="preserve"> -</w:t>
      </w:r>
      <w:r w:rsidRPr="0054579F">
        <w:rPr>
          <w:rFonts w:cs="Arial"/>
          <w:rtl/>
        </w:rPr>
        <w:t xml:space="preserve"> אין צריך לכתוב וכל שום אחרן וחניכא דאית ליה</w:t>
      </w:r>
      <w:r w:rsidRPr="0054579F">
        <w:rPr>
          <w:rFonts w:cs="Arial" w:hint="cs"/>
          <w:rtl/>
        </w:rPr>
        <w:t>,</w:t>
      </w:r>
      <w:r w:rsidRPr="0054579F">
        <w:rPr>
          <w:rFonts w:cs="Arial"/>
          <w:rtl/>
        </w:rPr>
        <w:t xml:space="preserve"> דאין לנו אלא שם שהחזיק את עצמו בו עכ"ל. משמע מדבריו אלה דכשבמקום הנתינה לא הוחזק אלא בשם אחד עדיף טפי מכשהוחזק במקום נתינה שיש לו שם במקום כתיבה</w:t>
      </w:r>
      <w:r>
        <w:rPr>
          <w:rFonts w:cs="Arial" w:hint="cs"/>
          <w:rtl/>
        </w:rPr>
        <w:t>.</w:t>
      </w:r>
      <w:r w:rsidRPr="0054579F">
        <w:rPr>
          <w:rFonts w:cs="Arial"/>
          <w:rtl/>
        </w:rPr>
        <w:t xml:space="preserve"> וזה תימה דאיפכא מסתברא וכמו שכתבתי. ועוד קשה דמשמע מדבריו בתשובה לכאורה שאע"פ שבמקום הכתיבה נקרא בשם אחר</w:t>
      </w:r>
      <w:r w:rsidRPr="0054579F">
        <w:rPr>
          <w:rFonts w:cs="Arial" w:hint="cs"/>
          <w:rtl/>
        </w:rPr>
        <w:t>,</w:t>
      </w:r>
      <w:r w:rsidRPr="0054579F">
        <w:rPr>
          <w:rFonts w:cs="Arial"/>
          <w:rtl/>
        </w:rPr>
        <w:t xml:space="preserve"> מאחר שבמקום הנתינה אין יודעין שיש לו שם אחר כותב שם מקום הנתינה ואינו כותב וכל שום, וגם זה תימה דהא אתו לקלקלה במקום הכתיבה לומר לא זהו שגירש</w:t>
      </w:r>
      <w:r w:rsidRPr="0054579F">
        <w:rPr>
          <w:rFonts w:cs="Arial" w:hint="cs"/>
          <w:rtl/>
        </w:rPr>
        <w:t>,</w:t>
      </w:r>
      <w:r w:rsidRPr="0054579F">
        <w:rPr>
          <w:rFonts w:cs="Arial"/>
          <w:rtl/>
        </w:rPr>
        <w:t xml:space="preserve"> וכמו שכתב הוא ז"ל בפסקיו (שם)</w:t>
      </w:r>
      <w:r w:rsidRPr="0054579F">
        <w:rPr>
          <w:rFonts w:cs="Arial" w:hint="cs"/>
          <w:rtl/>
        </w:rPr>
        <w:t>,</w:t>
      </w:r>
      <w:r w:rsidRPr="0054579F">
        <w:rPr>
          <w:rFonts w:cs="Arial"/>
          <w:rtl/>
        </w:rPr>
        <w:t xml:space="preserve"> וצ"ע</w:t>
      </w:r>
      <w:r>
        <w:rPr>
          <w:rFonts w:cs="Arial" w:hint="cs"/>
          <w:rtl/>
        </w:rPr>
        <w:t>, ב"י</w:t>
      </w:r>
      <w:r w:rsidRPr="0054579F">
        <w:rPr>
          <w:rFonts w:cs="Arial" w:hint="cs"/>
          <w:rtl/>
        </w:rPr>
        <w:t>.</w:t>
      </w:r>
    </w:p>
  </w:footnote>
  <w:footnote w:id="1056">
    <w:p w14:paraId="1BA62C35" w14:textId="231A7DC2" w:rsidR="00FA2119" w:rsidRDefault="00FA2119" w:rsidP="00FA2119">
      <w:pPr>
        <w:pStyle w:val="a5"/>
      </w:pPr>
      <w:r>
        <w:rPr>
          <w:rStyle w:val="a7"/>
        </w:rPr>
        <w:footnoteRef/>
      </w:r>
      <w:r>
        <w:rPr>
          <w:rtl/>
        </w:rPr>
        <w:t xml:space="preserve"> </w:t>
      </w:r>
      <w:r>
        <w:rPr>
          <w:rFonts w:hint="cs"/>
          <w:rtl/>
        </w:rPr>
        <w:t xml:space="preserve">הטור הוסיף על דברי הרא"ש, </w:t>
      </w:r>
      <w:r w:rsidR="000A0F5A">
        <w:rPr>
          <w:rFonts w:hint="cs"/>
          <w:rtl/>
        </w:rPr>
        <w:t>וז</w:t>
      </w:r>
      <w:r w:rsidR="000A0F5A">
        <w:rPr>
          <w:rtl/>
        </w:rPr>
        <w:t>"</w:t>
      </w:r>
      <w:r w:rsidR="000A0F5A">
        <w:rPr>
          <w:rFonts w:hint="cs"/>
          <w:rtl/>
        </w:rPr>
        <w:t>ל:</w:t>
      </w:r>
      <w:r>
        <w:rPr>
          <w:rFonts w:hint="cs"/>
          <w:rtl/>
        </w:rPr>
        <w:t xml:space="preserve"> </w:t>
      </w:r>
      <w:r w:rsidRPr="00390632">
        <w:rPr>
          <w:rFonts w:cs="Arial"/>
          <w:rtl/>
        </w:rPr>
        <w:t>א"צ לכתוב אלא השם של מקום הכתיבה ולא כל שום וחניכה דאית ליה</w:t>
      </w:r>
      <w:r>
        <w:rPr>
          <w:rFonts w:cs="Arial" w:hint="cs"/>
          <w:rtl/>
        </w:rPr>
        <w:t xml:space="preserve">. עכ"ל. ולכאורה היה צריך לכתוב שאין לכתוב אלא שם של מקום הנתינה ולא וכל שום וכו'. ופירש הגט פשוט (ד"ה ואני שיירתי) </w:t>
      </w:r>
      <w:r w:rsidRPr="00B65177">
        <w:rPr>
          <w:rFonts w:cs="Arial"/>
          <w:rtl/>
        </w:rPr>
        <w:t xml:space="preserve">דכיון דלא ידעי </w:t>
      </w:r>
      <w:r>
        <w:rPr>
          <w:rFonts w:cs="Arial" w:hint="cs"/>
          <w:rtl/>
        </w:rPr>
        <w:t>בני מקום הכתיבה שיש</w:t>
      </w:r>
      <w:r w:rsidRPr="00B65177">
        <w:rPr>
          <w:rFonts w:cs="Arial"/>
          <w:rtl/>
        </w:rPr>
        <w:t xml:space="preserve"> </w:t>
      </w:r>
      <w:r>
        <w:rPr>
          <w:rFonts w:cs="Arial" w:hint="cs"/>
          <w:rtl/>
        </w:rPr>
        <w:t xml:space="preserve">לו </w:t>
      </w:r>
      <w:r w:rsidRPr="00B65177">
        <w:rPr>
          <w:rFonts w:cs="Arial"/>
          <w:rtl/>
        </w:rPr>
        <w:t xml:space="preserve">שם </w:t>
      </w:r>
      <w:r>
        <w:rPr>
          <w:rFonts w:cs="Arial" w:hint="cs"/>
          <w:rtl/>
        </w:rPr>
        <w:t>במקום הנתינה</w:t>
      </w:r>
      <w:r w:rsidRPr="00B65177">
        <w:rPr>
          <w:rFonts w:cs="Arial"/>
          <w:rtl/>
        </w:rPr>
        <w:t xml:space="preserve"> הרי לא עברו על התקנה שתיקן ר"ג.</w:t>
      </w:r>
      <w:r>
        <w:rPr>
          <w:rFonts w:cs="Arial" w:hint="cs"/>
          <w:rtl/>
        </w:rPr>
        <w:t>.</w:t>
      </w:r>
      <w:r w:rsidRPr="00B65177">
        <w:rPr>
          <w:rFonts w:cs="Arial"/>
          <w:rtl/>
        </w:rPr>
        <w:t xml:space="preserve">. אך בתנאי כשגם בני מקום הנתינה אין יודעין שיש לו שם אחר במקום הכתיבה אלא עתה שהגיע הגט לידם נודע להם שהיה לו שם אחר במקום הכתיבה. ובכן אין להם להוציא לעז על הגט שלא כתבו אלא שם מקום כתיבה בלבד מפני שיאמרו כשם דאנחנו לא היינו מכירין בשם שהיה לו במקום הכתיבה גם הם לא ידעו שהיה לו שם כאן במקום הנתינה </w:t>
      </w:r>
      <w:r w:rsidRPr="00B65177">
        <w:rPr>
          <w:rFonts w:cs="Arial" w:hint="cs"/>
          <w:sz w:val="16"/>
          <w:szCs w:val="16"/>
          <w:rtl/>
        </w:rPr>
        <w:t>(</w:t>
      </w:r>
      <w:r w:rsidRPr="00B65177">
        <w:rPr>
          <w:rFonts w:cs="Arial"/>
          <w:sz w:val="16"/>
          <w:szCs w:val="16"/>
          <w:rtl/>
        </w:rPr>
        <w:t>אבל כשבני מקום נתינה היו מכירין ויודעין מעיקרא טרם שהגיע הגט לידם דהיה לו שם אחר במקום כתיבה, אם יראו שכתוב בגט שם מקום כתיבה לחוד יוציאו לעז על הגט מפני שיאמרו כשם שאנו מכירין ויודעין דיש לו שם אחר במקום כתיבה, מסתמא גם בני מקום כתיבה מכירין ויודעין היו שיש לו שם אחר במקום נתינה. וכיון שכן היה להם לכתוב שם מקום נתינה לעיקר</w:t>
      </w:r>
      <w:r>
        <w:rPr>
          <w:rFonts w:cs="Arial" w:hint="cs"/>
          <w:sz w:val="16"/>
          <w:szCs w:val="16"/>
          <w:rtl/>
        </w:rPr>
        <w:t xml:space="preserve"> וכו', עיי"ש</w:t>
      </w:r>
      <w:r w:rsidRPr="00B65177">
        <w:rPr>
          <w:rFonts w:cs="Arial" w:hint="cs"/>
          <w:sz w:val="16"/>
          <w:szCs w:val="16"/>
          <w:rtl/>
        </w:rPr>
        <w:t>)</w:t>
      </w:r>
      <w:r w:rsidRPr="00B65177">
        <w:rPr>
          <w:rFonts w:cs="Arial"/>
          <w:rtl/>
        </w:rPr>
        <w:t>.</w:t>
      </w:r>
      <w:r>
        <w:rPr>
          <w:rFonts w:cs="Arial" w:hint="cs"/>
          <w:rtl/>
        </w:rPr>
        <w:t xml:space="preserve"> </w:t>
      </w:r>
    </w:p>
  </w:footnote>
  <w:footnote w:id="1057">
    <w:p w14:paraId="50FAA320" w14:textId="77777777" w:rsidR="00FA2119" w:rsidRDefault="00FA2119" w:rsidP="00FA2119">
      <w:pPr>
        <w:pStyle w:val="a5"/>
        <w:rPr>
          <w:rtl/>
        </w:rPr>
      </w:pPr>
      <w:r>
        <w:rPr>
          <w:rStyle w:val="a7"/>
        </w:rPr>
        <w:footnoteRef/>
      </w:r>
      <w:r>
        <w:rPr>
          <w:rtl/>
        </w:rPr>
        <w:t xml:space="preserve"> </w:t>
      </w:r>
      <w:r w:rsidRPr="00F505FD">
        <w:rPr>
          <w:rFonts w:cs="Arial"/>
          <w:rtl/>
        </w:rPr>
        <w:t xml:space="preserve">כ"כ הרמב"ם פ"ב והיינו מדאורייתא בטל וכ"כ בה"ת כשמשנה הוא פסול מדאוריי' מיהו בתוס' </w:t>
      </w:r>
      <w:r>
        <w:rPr>
          <w:rFonts w:cs="Arial" w:hint="cs"/>
          <w:rtl/>
        </w:rPr>
        <w:t>(</w:t>
      </w:r>
      <w:r w:rsidRPr="00F505FD">
        <w:rPr>
          <w:rFonts w:cs="Arial"/>
          <w:rtl/>
        </w:rPr>
        <w:t>כ</w:t>
      </w:r>
      <w:r>
        <w:rPr>
          <w:rFonts w:cs="Arial" w:hint="cs"/>
          <w:rtl/>
        </w:rPr>
        <w:t>.</w:t>
      </w:r>
      <w:r w:rsidRPr="00F505FD">
        <w:rPr>
          <w:rFonts w:cs="Arial"/>
          <w:rtl/>
        </w:rPr>
        <w:t xml:space="preserve"> ד"ה הא בעינן</w:t>
      </w:r>
      <w:r>
        <w:rPr>
          <w:rFonts w:cs="Arial" w:hint="cs"/>
          <w:rtl/>
        </w:rPr>
        <w:t>)</w:t>
      </w:r>
      <w:r w:rsidRPr="00F505FD">
        <w:rPr>
          <w:rFonts w:cs="Arial"/>
          <w:rtl/>
        </w:rPr>
        <w:t xml:space="preserve"> מוכח דס"ל לרבנן אפי' בשינה גמור אינו פסול אלא מדרבנן</w:t>
      </w:r>
      <w:r>
        <w:rPr>
          <w:rFonts w:cs="Arial" w:hint="cs"/>
          <w:rtl/>
        </w:rPr>
        <w:t>.</w:t>
      </w:r>
      <w:r w:rsidRPr="00F505FD">
        <w:rPr>
          <w:rFonts w:cs="Arial"/>
          <w:rtl/>
        </w:rPr>
        <w:t xml:space="preserve"> ועיין בחדושי מהרש"א גם נשמע מרמב"ם אפילו אם נמסר בע"מ מ"מ הגט בטל מדאורייתא מדלא מחלק בזה</w:t>
      </w:r>
      <w:r>
        <w:rPr>
          <w:rFonts w:cs="Arial" w:hint="cs"/>
          <w:rtl/>
        </w:rPr>
        <w:t>.</w:t>
      </w:r>
      <w:r w:rsidRPr="00F505FD">
        <w:rPr>
          <w:rFonts w:cs="Arial"/>
          <w:rtl/>
        </w:rPr>
        <w:t xml:space="preserve"> אע</w:t>
      </w:r>
      <w:r>
        <w:rPr>
          <w:rFonts w:cs="Arial" w:hint="cs"/>
          <w:rtl/>
        </w:rPr>
        <w:t>"</w:t>
      </w:r>
      <w:r w:rsidRPr="00F505FD">
        <w:rPr>
          <w:rFonts w:cs="Arial"/>
          <w:rtl/>
        </w:rPr>
        <w:t xml:space="preserve">ג דכתבתי אם לא כתב השמות ונמסר בע"מ יש מכשירי' מ"מ שינה גרע טפי, ואם יש לו </w:t>
      </w:r>
      <w:r>
        <w:rPr>
          <w:rFonts w:cs="Arial"/>
          <w:rtl/>
        </w:rPr>
        <w:t>שני שמות</w:t>
      </w:r>
      <w:r w:rsidRPr="00F505FD">
        <w:rPr>
          <w:rFonts w:cs="Arial"/>
          <w:rtl/>
        </w:rPr>
        <w:t xml:space="preserve"> שם א' במ"נ ושם א' במ"כ וכת' שם א' לכ"ע אינו פסול אלא מדרבנן כמ"ש בסמו</w:t>
      </w:r>
      <w:r>
        <w:rPr>
          <w:rFonts w:hint="cs"/>
          <w:rtl/>
        </w:rPr>
        <w:t>, ב"ש (סק"ה).</w:t>
      </w:r>
    </w:p>
  </w:footnote>
  <w:footnote w:id="1058">
    <w:p w14:paraId="3A50F378" w14:textId="77777777" w:rsidR="00FA2119" w:rsidRDefault="00FA2119" w:rsidP="00FA2119">
      <w:pPr>
        <w:pStyle w:val="a5"/>
      </w:pPr>
      <w:r>
        <w:rPr>
          <w:rStyle w:val="a7"/>
        </w:rPr>
        <w:footnoteRef/>
      </w:r>
      <w:r>
        <w:rPr>
          <w:rFonts w:cs="Arial"/>
          <w:rtl/>
        </w:rPr>
        <w:t xml:space="preserve"> וה"ה אם יש לאשה המתגרשת שני שמות א' במה"כ וא' במקום הנתינה כו' כך מתבאר מדברי המפרשים</w:t>
      </w:r>
      <w:r>
        <w:rPr>
          <w:rFonts w:cs="Arial" w:hint="cs"/>
          <w:rtl/>
        </w:rPr>
        <w:t>.</w:t>
      </w:r>
      <w:r>
        <w:rPr>
          <w:rFonts w:cs="Arial"/>
          <w:rtl/>
        </w:rPr>
        <w:t xml:space="preserve"> ויראה לי דה"ה בשם אבי האיש והאשה אם יש להם שני שמות אחד במה"כ וא' במקום הנתינה</w:t>
      </w:r>
      <w:r>
        <w:rPr>
          <w:rFonts w:cs="Arial" w:hint="cs"/>
          <w:rtl/>
        </w:rPr>
        <w:t>,</w:t>
      </w:r>
      <w:r w:rsidRPr="00793CA6">
        <w:rPr>
          <w:rFonts w:cs="Arial"/>
          <w:rtl/>
        </w:rPr>
        <w:t xml:space="preserve"> </w:t>
      </w:r>
      <w:r w:rsidRPr="00793CA6">
        <w:rPr>
          <w:rFonts w:cs="Arial"/>
          <w:b/>
          <w:bCs/>
          <w:rtl/>
        </w:rPr>
        <w:t>ג"פ</w:t>
      </w:r>
      <w:r>
        <w:rPr>
          <w:rFonts w:cs="Arial"/>
          <w:rtl/>
        </w:rPr>
        <w:t xml:space="preserve"> </w:t>
      </w:r>
      <w:r>
        <w:rPr>
          <w:rFonts w:cs="Arial" w:hint="cs"/>
          <w:rtl/>
        </w:rPr>
        <w:t>(</w:t>
      </w:r>
      <w:r>
        <w:rPr>
          <w:rFonts w:cs="Arial"/>
          <w:rtl/>
        </w:rPr>
        <w:t>ס</w:t>
      </w:r>
      <w:r>
        <w:rPr>
          <w:rFonts w:cs="Arial" w:hint="cs"/>
          <w:rtl/>
        </w:rPr>
        <w:t>ק</w:t>
      </w:r>
      <w:r>
        <w:rPr>
          <w:rFonts w:cs="Arial"/>
          <w:rtl/>
        </w:rPr>
        <w:t>י"ז</w:t>
      </w:r>
      <w:r>
        <w:rPr>
          <w:rFonts w:cs="Arial" w:hint="cs"/>
          <w:rtl/>
        </w:rPr>
        <w:t>).</w:t>
      </w:r>
      <w:r>
        <w:rPr>
          <w:rFonts w:cs="Arial"/>
          <w:rtl/>
        </w:rPr>
        <w:t xml:space="preserve"> ועמ"ש לקמן סי' סקכ"ד</w:t>
      </w:r>
      <w:r>
        <w:rPr>
          <w:rFonts w:cs="Arial" w:hint="cs"/>
          <w:rtl/>
        </w:rPr>
        <w:t xml:space="preserve">, </w:t>
      </w:r>
      <w:r w:rsidRPr="00793CA6">
        <w:rPr>
          <w:rFonts w:cs="Arial" w:hint="cs"/>
          <w:b/>
          <w:bCs/>
          <w:rtl/>
        </w:rPr>
        <w:t>פת"ש</w:t>
      </w:r>
      <w:r>
        <w:rPr>
          <w:rFonts w:cs="Arial" w:hint="cs"/>
          <w:rtl/>
        </w:rPr>
        <w:t xml:space="preserve"> (סק"ח).</w:t>
      </w:r>
    </w:p>
  </w:footnote>
  <w:footnote w:id="1059">
    <w:p w14:paraId="4E990B33" w14:textId="77777777" w:rsidR="00FA2119" w:rsidRDefault="00FA2119" w:rsidP="00FA2119">
      <w:pPr>
        <w:pStyle w:val="a5"/>
        <w:rPr>
          <w:rtl/>
        </w:rPr>
      </w:pPr>
      <w:r>
        <w:rPr>
          <w:rStyle w:val="a7"/>
        </w:rPr>
        <w:footnoteRef/>
      </w:r>
      <w:r>
        <w:rPr>
          <w:rtl/>
        </w:rPr>
        <w:t xml:space="preserve"> </w:t>
      </w:r>
      <w:r w:rsidRPr="00CF0D3E">
        <w:rPr>
          <w:rFonts w:cs="Arial"/>
          <w:rtl/>
        </w:rPr>
        <w:t xml:space="preserve">הנה מה שפוסל אם כתב </w:t>
      </w:r>
      <w:r>
        <w:rPr>
          <w:rFonts w:cs="Arial" w:hint="cs"/>
          <w:rtl/>
        </w:rPr>
        <w:t>'</w:t>
      </w:r>
      <w:r w:rsidRPr="00CF0D3E">
        <w:rPr>
          <w:rFonts w:cs="Arial"/>
          <w:rtl/>
        </w:rPr>
        <w:t>וכל שום</w:t>
      </w:r>
      <w:r>
        <w:rPr>
          <w:rFonts w:cs="Arial" w:hint="cs"/>
          <w:rtl/>
        </w:rPr>
        <w:t>'</w:t>
      </w:r>
      <w:r w:rsidRPr="00CF0D3E">
        <w:rPr>
          <w:rFonts w:cs="Arial"/>
          <w:rtl/>
        </w:rPr>
        <w:t xml:space="preserve"> היינו משום הרא"ש והסמ"ג והמ' ובעל התרומות ס"ל מ</w:t>
      </w:r>
      <w:r>
        <w:rPr>
          <w:rFonts w:cs="Arial" w:hint="cs"/>
          <w:rtl/>
        </w:rPr>
        <w:t xml:space="preserve">קום </w:t>
      </w:r>
      <w:r w:rsidRPr="00CF0D3E">
        <w:rPr>
          <w:rFonts w:cs="Arial"/>
          <w:rtl/>
        </w:rPr>
        <w:t>נ</w:t>
      </w:r>
      <w:r>
        <w:rPr>
          <w:rFonts w:cs="Arial" w:hint="cs"/>
          <w:rtl/>
        </w:rPr>
        <w:t>תינה</w:t>
      </w:r>
      <w:r w:rsidRPr="00CF0D3E">
        <w:rPr>
          <w:rFonts w:cs="Arial"/>
          <w:rtl/>
        </w:rPr>
        <w:t xml:space="preserve"> עיקר</w:t>
      </w:r>
      <w:r>
        <w:rPr>
          <w:rFonts w:cs="Arial" w:hint="cs"/>
          <w:rtl/>
        </w:rPr>
        <w:t>...</w:t>
      </w:r>
      <w:r w:rsidRPr="00CF0D3E">
        <w:rPr>
          <w:rFonts w:cs="Arial"/>
          <w:rtl/>
        </w:rPr>
        <w:t xml:space="preserve"> אבל מה שפוסל אם כתב </w:t>
      </w:r>
      <w:r>
        <w:rPr>
          <w:rFonts w:cs="Arial" w:hint="cs"/>
          <w:rtl/>
        </w:rPr>
        <w:t>'</w:t>
      </w:r>
      <w:r w:rsidRPr="00CF0D3E">
        <w:rPr>
          <w:rFonts w:cs="Arial"/>
          <w:rtl/>
        </w:rPr>
        <w:t>דמתקרי</w:t>
      </w:r>
      <w:r>
        <w:rPr>
          <w:rFonts w:cs="Arial" w:hint="cs"/>
          <w:rtl/>
        </w:rPr>
        <w:t>'</w:t>
      </w:r>
      <w:r w:rsidRPr="00CF0D3E">
        <w:rPr>
          <w:rFonts w:cs="Arial"/>
          <w:rtl/>
        </w:rPr>
        <w:t xml:space="preserve"> על מ</w:t>
      </w:r>
      <w:r>
        <w:rPr>
          <w:rFonts w:cs="Arial" w:hint="cs"/>
          <w:rtl/>
        </w:rPr>
        <w:t xml:space="preserve">קום </w:t>
      </w:r>
      <w:r w:rsidRPr="00CF0D3E">
        <w:rPr>
          <w:rFonts w:cs="Arial"/>
          <w:rtl/>
        </w:rPr>
        <w:t>נ</w:t>
      </w:r>
      <w:r>
        <w:rPr>
          <w:rFonts w:cs="Arial" w:hint="cs"/>
          <w:rtl/>
        </w:rPr>
        <w:t xml:space="preserve">תינה - </w:t>
      </w:r>
      <w:r w:rsidRPr="00CF0D3E">
        <w:rPr>
          <w:rFonts w:cs="Arial"/>
          <w:rtl/>
        </w:rPr>
        <w:t>קשה</w:t>
      </w:r>
      <w:r>
        <w:rPr>
          <w:rFonts w:cs="Arial" w:hint="cs"/>
          <w:rtl/>
        </w:rPr>
        <w:t>,</w:t>
      </w:r>
      <w:r w:rsidRPr="00CF0D3E">
        <w:rPr>
          <w:rFonts w:cs="Arial"/>
          <w:rtl/>
        </w:rPr>
        <w:t xml:space="preserve"> הא בסמוך כתב אם שני שמות כתובים בפירוש אין חילוק בין שכתב שם זה ראשון או שם זה אע</w:t>
      </w:r>
      <w:r>
        <w:rPr>
          <w:rFonts w:cs="Arial" w:hint="cs"/>
          <w:rtl/>
        </w:rPr>
        <w:t>"</w:t>
      </w:r>
      <w:r w:rsidRPr="00CF0D3E">
        <w:rPr>
          <w:rFonts w:cs="Arial"/>
          <w:rtl/>
        </w:rPr>
        <w:t>ג די"ל בשני מקומו' שאני מ"מ קשה מנ"ל חילוק זה, ואפשר דלמד דין זה משיט' ר"ת</w:t>
      </w:r>
      <w:r>
        <w:rPr>
          <w:rFonts w:cs="Arial" w:hint="cs"/>
          <w:sz w:val="16"/>
          <w:szCs w:val="16"/>
          <w:rtl/>
        </w:rPr>
        <w:t xml:space="preserve"> {עיי"ש טעמו}</w:t>
      </w:r>
      <w:r>
        <w:rPr>
          <w:rFonts w:cs="Arial" w:hint="cs"/>
          <w:rtl/>
        </w:rPr>
        <w:t xml:space="preserve">..., </w:t>
      </w:r>
      <w:r w:rsidRPr="00CF0D3E">
        <w:rPr>
          <w:rFonts w:cs="Arial" w:hint="cs"/>
          <w:b/>
          <w:bCs/>
          <w:rtl/>
        </w:rPr>
        <w:t>ב"ש</w:t>
      </w:r>
      <w:r>
        <w:rPr>
          <w:rFonts w:cs="Arial" w:hint="cs"/>
          <w:rtl/>
        </w:rPr>
        <w:t xml:space="preserve"> (סק"ז). אמנם למסקנה כתב הב"ש (בסק"ח)</w:t>
      </w:r>
      <w:r w:rsidRPr="00AB709F">
        <w:rPr>
          <w:rFonts w:cs="Arial"/>
          <w:rtl/>
        </w:rPr>
        <w:t xml:space="preserve"> </w:t>
      </w:r>
      <w:r>
        <w:rPr>
          <w:rFonts w:cs="Arial" w:hint="cs"/>
          <w:rtl/>
        </w:rPr>
        <w:t>ד</w:t>
      </w:r>
      <w:r w:rsidRPr="00AB709F">
        <w:rPr>
          <w:rFonts w:cs="Arial"/>
          <w:rtl/>
        </w:rPr>
        <w:t>אם כתב על מ"נ דמתקרי נ"ל דכשר דאין ראי' מפורש לזה וב"ח ג"כ מכשיר בדיעבד וכן בלבוש דולג דין זה אם כתב על מ"נ דמתקרי</w:t>
      </w:r>
      <w:r>
        <w:rPr>
          <w:rFonts w:cs="Arial" w:hint="cs"/>
          <w:rtl/>
        </w:rPr>
        <w:t>. עכ"ל.</w:t>
      </w:r>
      <w:r w:rsidRPr="00CF0D3E">
        <w:rPr>
          <w:rFonts w:cs="Arial"/>
          <w:rtl/>
        </w:rPr>
        <w:t xml:space="preserve"> </w:t>
      </w:r>
      <w:r>
        <w:rPr>
          <w:rFonts w:cs="Arial"/>
          <w:rtl/>
        </w:rPr>
        <w:t xml:space="preserve">ועיין בס' גט מקושר </w:t>
      </w:r>
      <w:r>
        <w:rPr>
          <w:rFonts w:cs="Arial" w:hint="cs"/>
          <w:rtl/>
        </w:rPr>
        <w:t>(</w:t>
      </w:r>
      <w:r>
        <w:rPr>
          <w:rFonts w:cs="Arial"/>
          <w:rtl/>
        </w:rPr>
        <w:t>אות יט סק"כ</w:t>
      </w:r>
      <w:r>
        <w:rPr>
          <w:rFonts w:cs="Arial" w:hint="cs"/>
          <w:rtl/>
        </w:rPr>
        <w:t>)</w:t>
      </w:r>
      <w:r>
        <w:rPr>
          <w:rFonts w:cs="Arial"/>
          <w:rtl/>
        </w:rPr>
        <w:t xml:space="preserve"> שהאריך בדין זה וכ' דהעיקר שלא כדעת הרמ"א בכאן ומ"ש הב"ש דשני מקומות גרע טפי ז"א דאיפכא מסתברא</w:t>
      </w:r>
      <w:r>
        <w:rPr>
          <w:rFonts w:cs="Arial" w:hint="cs"/>
          <w:rtl/>
        </w:rPr>
        <w:t>...</w:t>
      </w:r>
      <w:r>
        <w:rPr>
          <w:rFonts w:cs="Arial"/>
          <w:rtl/>
        </w:rPr>
        <w:t xml:space="preserve"> וא"כ במזכיר בפירוש אין קפידא במוקדם ומאוחר ובדי</w:t>
      </w:r>
      <w:r>
        <w:rPr>
          <w:rFonts w:cs="Arial" w:hint="cs"/>
          <w:rtl/>
        </w:rPr>
        <w:t>ע'</w:t>
      </w:r>
      <w:r>
        <w:rPr>
          <w:rFonts w:cs="Arial"/>
          <w:rtl/>
        </w:rPr>
        <w:t xml:space="preserve"> אין להחמיר בפרט שהיא מלתא דרבנן נקטי' להקל עכ"ל. גם במל"מ </w:t>
      </w:r>
      <w:r>
        <w:rPr>
          <w:rFonts w:cs="Arial" w:hint="cs"/>
          <w:rtl/>
        </w:rPr>
        <w:t>(</w:t>
      </w:r>
      <w:r>
        <w:rPr>
          <w:rFonts w:cs="Arial"/>
          <w:rtl/>
        </w:rPr>
        <w:t xml:space="preserve">פ"ג </w:t>
      </w:r>
      <w:r>
        <w:rPr>
          <w:rFonts w:cs="Arial" w:hint="cs"/>
          <w:rtl/>
        </w:rPr>
        <w:t>ה</w:t>
      </w:r>
      <w:r>
        <w:rPr>
          <w:rFonts w:cs="Arial"/>
          <w:rtl/>
        </w:rPr>
        <w:t>י"ג</w:t>
      </w:r>
      <w:r>
        <w:rPr>
          <w:rFonts w:cs="Arial" w:hint="cs"/>
          <w:rtl/>
        </w:rPr>
        <w:t>)</w:t>
      </w:r>
      <w:r>
        <w:rPr>
          <w:rFonts w:cs="Arial"/>
          <w:rtl/>
        </w:rPr>
        <w:t xml:space="preserve"> כ' וז"ל ואע</w:t>
      </w:r>
      <w:r>
        <w:rPr>
          <w:rFonts w:cs="Arial" w:hint="cs"/>
          <w:rtl/>
        </w:rPr>
        <w:t>"</w:t>
      </w:r>
      <w:r>
        <w:rPr>
          <w:rFonts w:cs="Arial"/>
          <w:rtl/>
        </w:rPr>
        <w:t>ג דמור"ם החמיר בכתב דמתקרי על מ"נ הנה כל האחרוני' חלקו עליו הב"ח ומהריק"ש והלבוש והב"ש ותורת חסד סי' ק"ז ותשובת פני יהושע סי' י' ועשה מעשה להכשיר מכח ההיא דהריב"ש כו' עכ"ל</w:t>
      </w:r>
      <w:r>
        <w:rPr>
          <w:rFonts w:cs="Arial" w:hint="cs"/>
          <w:rtl/>
        </w:rPr>
        <w:t xml:space="preserve">, </w:t>
      </w:r>
      <w:r w:rsidRPr="00CF0D3E">
        <w:rPr>
          <w:rFonts w:cs="Arial" w:hint="cs"/>
          <w:b/>
          <w:bCs/>
          <w:rtl/>
        </w:rPr>
        <w:t>פת"ש</w:t>
      </w:r>
      <w:r>
        <w:rPr>
          <w:rFonts w:cs="Arial" w:hint="cs"/>
          <w:rtl/>
        </w:rPr>
        <w:t xml:space="preserve"> (סק"ט).</w:t>
      </w:r>
    </w:p>
  </w:footnote>
  <w:footnote w:id="1060">
    <w:p w14:paraId="604F7DBD" w14:textId="77777777" w:rsidR="00FA2119" w:rsidRDefault="00FA2119" w:rsidP="00FA2119">
      <w:pPr>
        <w:pStyle w:val="a5"/>
      </w:pPr>
      <w:r>
        <w:rPr>
          <w:rStyle w:val="a7"/>
        </w:rPr>
        <w:footnoteRef/>
      </w:r>
      <w:r>
        <w:rPr>
          <w:rtl/>
        </w:rPr>
        <w:t xml:space="preserve"> </w:t>
      </w:r>
      <w:r w:rsidRPr="00AB709F">
        <w:rPr>
          <w:rFonts w:cs="Arial"/>
          <w:rtl/>
        </w:rPr>
        <w:t>בטור כתב הולד ממזר וי"ג דרכים נוהגים בה</w:t>
      </w:r>
      <w:r>
        <w:rPr>
          <w:rFonts w:cs="Arial" w:hint="cs"/>
          <w:rtl/>
        </w:rPr>
        <w:t>.</w:t>
      </w:r>
      <w:r w:rsidRPr="00AB709F">
        <w:rPr>
          <w:rFonts w:cs="Arial"/>
          <w:rtl/>
        </w:rPr>
        <w:t xml:space="preserve"> והיינו ממזר מדרבנן הוא דאין זה שינוי גמור</w:t>
      </w:r>
      <w:r>
        <w:rPr>
          <w:rFonts w:cs="Arial" w:hint="cs"/>
          <w:rtl/>
        </w:rPr>
        <w:t>,</w:t>
      </w:r>
      <w:r w:rsidRPr="00AB709F">
        <w:rPr>
          <w:rFonts w:cs="Arial"/>
          <w:rtl/>
        </w:rPr>
        <w:t xml:space="preserve"> כ"כ הב"י</w:t>
      </w:r>
      <w:r>
        <w:rPr>
          <w:rFonts w:cs="Arial" w:hint="cs"/>
          <w:rtl/>
        </w:rPr>
        <w:t>.</w:t>
      </w:r>
      <w:r w:rsidRPr="00AB709F">
        <w:rPr>
          <w:rFonts w:cs="Arial"/>
          <w:rtl/>
        </w:rPr>
        <w:t xml:space="preserve"> ולא תקשה הא כבר כתב אפי' אם נכתב הגט וכתב וכל שום אין לגרש בו</w:t>
      </w:r>
      <w:r>
        <w:rPr>
          <w:rFonts w:cs="Arial" w:hint="cs"/>
          <w:rtl/>
        </w:rPr>
        <w:t>,</w:t>
      </w:r>
      <w:r w:rsidRPr="00AB709F">
        <w:rPr>
          <w:rFonts w:cs="Arial"/>
          <w:rtl/>
        </w:rPr>
        <w:t xml:space="preserve"> די"ל דקמ"ל כאן דפסול ממש הוא</w:t>
      </w:r>
      <w:r>
        <w:rPr>
          <w:rFonts w:cs="Arial" w:hint="cs"/>
          <w:rtl/>
        </w:rPr>
        <w:t>.</w:t>
      </w:r>
      <w:r w:rsidRPr="00AB709F">
        <w:rPr>
          <w:rFonts w:cs="Arial"/>
          <w:rtl/>
        </w:rPr>
        <w:t xml:space="preserve"> והנה באמת י"ל מ"ש תוס' והרא"ש פ' הזורק דהולד ממזר וי"ג דרכים נוהגים בה</w:t>
      </w:r>
      <w:r>
        <w:rPr>
          <w:rFonts w:cs="Arial" w:hint="cs"/>
          <w:rtl/>
        </w:rPr>
        <w:t>,</w:t>
      </w:r>
      <w:r w:rsidRPr="00AB709F">
        <w:rPr>
          <w:rFonts w:cs="Arial"/>
          <w:rtl/>
        </w:rPr>
        <w:t xml:space="preserve"> הא איירי שכתב שם א' מהני שתי שמות דיש לו ולא כת</w:t>
      </w:r>
      <w:r>
        <w:rPr>
          <w:rFonts w:cs="Arial" w:hint="cs"/>
          <w:rtl/>
        </w:rPr>
        <w:t>ב</w:t>
      </w:r>
      <w:r w:rsidRPr="00AB709F">
        <w:rPr>
          <w:rFonts w:cs="Arial"/>
          <w:rtl/>
        </w:rPr>
        <w:t xml:space="preserve"> וכל שום</w:t>
      </w:r>
      <w:r>
        <w:rPr>
          <w:rFonts w:cs="Arial" w:hint="cs"/>
          <w:rtl/>
        </w:rPr>
        <w:t>,</w:t>
      </w:r>
      <w:r w:rsidRPr="00AB709F">
        <w:rPr>
          <w:rFonts w:cs="Arial"/>
          <w:rtl/>
        </w:rPr>
        <w:t xml:space="preserve"> בזה ס"ל דהולד ממזר</w:t>
      </w:r>
      <w:r>
        <w:rPr>
          <w:rFonts w:cs="Arial" w:hint="cs"/>
          <w:rtl/>
        </w:rPr>
        <w:t>.</w:t>
      </w:r>
      <w:r w:rsidRPr="00AB709F">
        <w:rPr>
          <w:rFonts w:cs="Arial"/>
          <w:rtl/>
        </w:rPr>
        <w:t xml:space="preserve"> אלא הב"י מפרש דברי הטור דהולד ממזר אפי' אם כתב וכל שום</w:t>
      </w:r>
      <w:r>
        <w:rPr>
          <w:rFonts w:cs="Arial" w:hint="cs"/>
          <w:rtl/>
        </w:rPr>
        <w:t>.</w:t>
      </w:r>
      <w:r w:rsidRPr="00AB709F">
        <w:rPr>
          <w:rFonts w:cs="Arial"/>
          <w:rtl/>
        </w:rPr>
        <w:t xml:space="preserve"> והרמ"ה ס"ל בזה דהוא ספק גט</w:t>
      </w:r>
      <w:r>
        <w:rPr>
          <w:rFonts w:cs="Arial" w:hint="cs"/>
          <w:rtl/>
        </w:rPr>
        <w:t>.</w:t>
      </w:r>
      <w:r w:rsidRPr="00AB709F">
        <w:rPr>
          <w:rFonts w:cs="Arial"/>
          <w:rtl/>
        </w:rPr>
        <w:t xml:space="preserve"> ומהרש"ל מכשיר אם כתב מ"נ וכל שום</w:t>
      </w:r>
      <w:r>
        <w:rPr>
          <w:rFonts w:cs="Arial" w:hint="cs"/>
          <w:rtl/>
        </w:rPr>
        <w:t>..., ב"ש (סק"ח).</w:t>
      </w:r>
    </w:p>
  </w:footnote>
  <w:footnote w:id="1061">
    <w:p w14:paraId="6497B02C" w14:textId="0FE19F19"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C5775D">
        <w:rPr>
          <w:rFonts w:cs="Arial"/>
          <w:rtl/>
        </w:rPr>
        <w:t>העתקתי מאביאסף</w:t>
      </w:r>
      <w:r>
        <w:rPr>
          <w:rFonts w:cs="Arial" w:hint="cs"/>
          <w:rtl/>
        </w:rPr>
        <w:t>,</w:t>
      </w:r>
      <w:r w:rsidRPr="00C5775D">
        <w:rPr>
          <w:rFonts w:cs="Arial"/>
          <w:rtl/>
        </w:rPr>
        <w:t xml:space="preserve"> פסק רב כ"צ גאון וגם רב עמרם גאון במקום שיש דחק של עדים כשרים אם חתם על הגט ישראל יהודי והשני שחתם עמו ישראל משומד הגט כשר דאיתקוש יציאה להויה ואילו קידש ישראל משומד קידושיו קידושין ה"נ גיטו גט וגם יכול לחתום על הגט במקום שאין עדים וכדאמ' נמי (גיטין י</w:t>
      </w:r>
      <w:r>
        <w:rPr>
          <w:rFonts w:cs="Arial" w:hint="cs"/>
          <w:rtl/>
        </w:rPr>
        <w:t>.</w:t>
      </w:r>
      <w:r w:rsidRPr="00C5775D">
        <w:rPr>
          <w:rFonts w:cs="Arial"/>
          <w:rtl/>
        </w:rPr>
        <w:t>) והיו עדיו עדי כותים והכשיר. כך ראיתי בתשובות. ואומר אני לדברי רבינו האלפסי פסול, שהרי משומד שאינו משמר שבתו בשוק אינו מבטל רשות כדאיתא התם (עירובין סט</w:t>
      </w:r>
      <w:r>
        <w:rPr>
          <w:rFonts w:cs="Arial" w:hint="cs"/>
          <w:rtl/>
        </w:rPr>
        <w:t>:</w:t>
      </w:r>
      <w:r w:rsidRPr="00C5775D">
        <w:rPr>
          <w:rFonts w:cs="Arial"/>
          <w:rtl/>
        </w:rPr>
        <w:t>), וא"כ הו"ל גוי גמור. ותו דאוקימנא בפרק השוחט (מ</w:t>
      </w:r>
      <w:r>
        <w:rPr>
          <w:rFonts w:cs="Arial" w:hint="cs"/>
          <w:rtl/>
        </w:rPr>
        <w:t>.</w:t>
      </w:r>
      <w:r w:rsidRPr="00C5775D">
        <w:rPr>
          <w:rFonts w:cs="Arial"/>
          <w:rtl/>
        </w:rPr>
        <w:t>) הא דתנן שנים אוחזין בסכין ושוחטין אחד לשם אחד מכל אלו וא' לשם דבר כשר, בישראל משומד דדינו כגוי גמור. הילכך אין נ"ל דברי כ"צ ורב עמרם בזה, ולא אמרינן בכה"ג אף על פי שחטא ישראל הוא. וראיתי תשובת רב נתן שיסד הערוך ואחיו ר' אברהם בני ר' יחיאל, ששאלתם ישראל משומד שיש לו בת קטנה או נערה אם יכול אביה לקבל קידושיה או לאו, זה היה מעשה בימי הקדמונים ואמרו מקודשת ואותו שקיבל הקידושין יכול לקבל הגירושין, אבל אם קיבל הקידושין כשהוא ישראל לא פשיטא לן אם יכול לקבל הגירושין בעודו בשמדותו עכ"ל. ואני ראיתי מעשה שמשומד נתן גט לאשתו שקידשה כשהיה ישראל ולא ראיתי שום מרבותי שהיו מפקפקין בדבר, וגם בתשובת ר"ת (ס' הישר שו"ת סי' כה) כתב שמשומד נותן גט ולא חילק בדבר עכ"ל ראבי"ה באביאסף.</w:t>
      </w:r>
    </w:p>
  </w:footnote>
  <w:footnote w:id="1062">
    <w:p w14:paraId="2A4E7322" w14:textId="77777777" w:rsidR="00FA2119" w:rsidRDefault="00FA2119" w:rsidP="00FA2119">
      <w:pPr>
        <w:pStyle w:val="a5"/>
      </w:pPr>
      <w:r>
        <w:rPr>
          <w:rStyle w:val="a7"/>
        </w:rPr>
        <w:footnoteRef/>
      </w:r>
      <w:r>
        <w:rPr>
          <w:rtl/>
        </w:rPr>
        <w:t xml:space="preserve"> </w:t>
      </w:r>
      <w:r w:rsidRPr="0099169F">
        <w:rPr>
          <w:rFonts w:cs="Arial"/>
          <w:rtl/>
        </w:rPr>
        <w:t>וה"ה במומר דשם יהדות כשר אף לכתחלה</w:t>
      </w:r>
      <w:r>
        <w:rPr>
          <w:rFonts w:cs="Arial" w:hint="cs"/>
          <w:rtl/>
        </w:rPr>
        <w:t>, ר"ת (בתוס' לד: ד"ה והוא).</w:t>
      </w:r>
    </w:p>
  </w:footnote>
  <w:footnote w:id="1063">
    <w:p w14:paraId="1EA3AF74" w14:textId="295AC49E" w:rsidR="00FA2119" w:rsidRDefault="00FA2119" w:rsidP="00FA2119">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517025">
        <w:rPr>
          <w:rFonts w:cs="Arial"/>
          <w:rtl/>
        </w:rPr>
        <w:t>ועל שלא כתבו שם המשומד אתה פוסלו, בדבר זה נראית כמלקט שבלים בעמק רפאים שאם נכתב בשם המומר היה פסול יותר. שלבי ולבך יודעים, כי כל המשומדים בין היהודים מכנים אותם לגנאי יהודה יהודח, אברהם אברן אשר אשרה, מנחם מלחם, וכל יודעיו מיום שנכנס לברית היו קורין אותו מנחם כי אין מכירין בשם גיללמא. ואפי' יודעין, הס כי לא להזכיר. וכמה משומדים גירשו נשותיהם, ומעולם לא כתבו אלא שם יהודית, דרובא ישראל הכי קרו ליה, דלא גרע מחניכא וכן מעשים בכל יום. וכשגירש ר' אליעזר קרובי את מרת רחל דודתנו והיה שמו ושלין ושמה בילאשיץ וכתבו אליעזר ורחל שהם שם יהודית, והניחו הכנויים שרוב גוים קורין אותם, שרוב קריאת של גוים אינו רוב, אבל רוב ישראל הוא רוב שמבני ישראל הוא המגרש. המימיך ידעת שם משומד של אשר מקולוניא ושל אברן משינץ? דבר ברור דרובא ישראל שם יהודית קרו ליה, דאע"פ שחטא ישראל הוא, ושגור בפי כל לקרותו בשם יהודית. דאפי' לא היה אלא כנוי כשר</w:t>
      </w:r>
      <w:r>
        <w:rPr>
          <w:rFonts w:cs="Arial" w:hint="cs"/>
          <w:rtl/>
        </w:rPr>
        <w:t>...</w:t>
      </w:r>
      <w:r w:rsidRPr="00517025">
        <w:rPr>
          <w:rFonts w:cs="Arial"/>
          <w:rtl/>
        </w:rPr>
        <w:t xml:space="preserve"> </w:t>
      </w:r>
      <w:r w:rsidRPr="00D731B7">
        <w:rPr>
          <w:rFonts w:cs="Arial"/>
          <w:b/>
          <w:bCs/>
          <w:rtl/>
        </w:rPr>
        <w:t xml:space="preserve">ודבר ברור כל גט שנכתב בשם משומד </w:t>
      </w:r>
      <w:r w:rsidR="00A42812">
        <w:rPr>
          <w:rFonts w:cs="Arial"/>
          <w:b/>
          <w:bCs/>
          <w:rtl/>
        </w:rPr>
        <w:t>-</w:t>
      </w:r>
      <w:r w:rsidRPr="00D731B7">
        <w:rPr>
          <w:rFonts w:cs="Arial" w:hint="cs"/>
          <w:b/>
          <w:bCs/>
          <w:rtl/>
        </w:rPr>
        <w:t xml:space="preserve"> </w:t>
      </w:r>
      <w:r w:rsidRPr="00D731B7">
        <w:rPr>
          <w:rFonts w:cs="Arial"/>
          <w:b/>
          <w:bCs/>
          <w:rtl/>
        </w:rPr>
        <w:t>פסול</w:t>
      </w:r>
      <w:r>
        <w:rPr>
          <w:rFonts w:cs="Arial" w:hint="cs"/>
          <w:rtl/>
        </w:rPr>
        <w:t>,</w:t>
      </w:r>
      <w:r w:rsidRPr="00517025">
        <w:rPr>
          <w:rFonts w:cs="Arial"/>
          <w:rtl/>
        </w:rPr>
        <w:t xml:space="preserve"> אפי' פורתא קרי ליה הכי, אך יש לכוללו בהדי כל שום וחניכה. ומאוד מאוד אני מבקש פניך לחזור בך, כי כמה בני אדם הוציאו דבה ולא יכלו לתקן עוותתם, ואין בגט זה שום דופי, ואתה מדקדק בדברים שאין בהם ממש. ונראה כי טינא טמונה יש בלבך עליהם, ואני שלחתי אל החתומים הנה ראיותי בהעברה, ובקשו ממנו לסדרם ולשלחם לך וחתמו מתחת ותמהו עליך, איך אמרת שגעון לכתוב שם גיות עיקר. ויותר מעשרים גיטי משומדים נעשו בפריש וצרפת וכתבו שם יהודית וגם בלותיר ע"פ הגאונים. וגם ראיתי בעיני גט חתנו של הנדיב ר' יעקב פרנס ז"ל שנשתמד שהיה כתוב שמעיה המכונה וולדמן ושמו של גוית היה גוטשלק ולא נכתב בו כלל. כי חלילה להזכירו בתורת משה וישראל. ולולא שהודיע קרובי הרב ר' יום טוב ששמו גיללמא, לא היו יודעין כל בני מלכותנו רק שם של יהודית והיו מכנים אותו מלחם. ולא מצי מחזיק שמו לאחר שהוחזק שמו הראשון שהוא חזקה</w:t>
      </w:r>
      <w:r>
        <w:rPr>
          <w:rFonts w:hint="cs"/>
          <w:rtl/>
        </w:rPr>
        <w:t>...</w:t>
      </w:r>
    </w:p>
  </w:footnote>
  <w:footnote w:id="1064">
    <w:p w14:paraId="088EAF4A" w14:textId="77777777" w:rsidR="00FA2119" w:rsidRDefault="00FA2119" w:rsidP="00FA2119">
      <w:pPr>
        <w:pStyle w:val="a5"/>
      </w:pPr>
      <w:r w:rsidRPr="00D731B7">
        <w:rPr>
          <w:rStyle w:val="a7"/>
        </w:rPr>
        <w:footnoteRef/>
      </w:r>
      <w:r w:rsidRPr="00D731B7">
        <w:rPr>
          <w:rtl/>
        </w:rPr>
        <w:t xml:space="preserve"> </w:t>
      </w:r>
      <w:r w:rsidRPr="00D731B7">
        <w:rPr>
          <w:rFonts w:cs="Arial" w:hint="cs"/>
          <w:rtl/>
        </w:rPr>
        <w:t xml:space="preserve">וז"ל שם- </w:t>
      </w:r>
      <w:r w:rsidRPr="00D731B7">
        <w:rPr>
          <w:rFonts w:cs="Arial"/>
          <w:rtl/>
        </w:rPr>
        <w:t>חלילה להזכיר שם עובד כוכבים בתורת משה וישראל</w:t>
      </w:r>
      <w:r w:rsidRPr="00D731B7">
        <w:rPr>
          <w:rFonts w:cs="Arial" w:hint="cs"/>
          <w:rtl/>
        </w:rPr>
        <w:t xml:space="preserve">. עכ"ל. </w:t>
      </w:r>
      <w:r w:rsidRPr="00D731B7">
        <w:rPr>
          <w:rFonts w:cs="Arial" w:hint="cs"/>
          <w:sz w:val="16"/>
          <w:szCs w:val="16"/>
          <w:rtl/>
        </w:rPr>
        <w:t>(וכן העתיקו בשמו ה</w:t>
      </w:r>
      <w:r w:rsidRPr="00D731B7">
        <w:rPr>
          <w:rFonts w:cs="Arial"/>
          <w:sz w:val="16"/>
          <w:szCs w:val="16"/>
          <w:rtl/>
        </w:rPr>
        <w:t xml:space="preserve">רשב"א (לד: ד"ה גמרא) </w:t>
      </w:r>
      <w:r w:rsidRPr="00D731B7">
        <w:rPr>
          <w:rFonts w:cs="Arial" w:hint="cs"/>
          <w:sz w:val="16"/>
          <w:szCs w:val="16"/>
          <w:rtl/>
        </w:rPr>
        <w:t>וה</w:t>
      </w:r>
      <w:r w:rsidRPr="00D731B7">
        <w:rPr>
          <w:rFonts w:cs="Arial"/>
          <w:sz w:val="16"/>
          <w:szCs w:val="16"/>
          <w:rtl/>
        </w:rPr>
        <w:t>רא"ש (סי' ז)</w:t>
      </w:r>
      <w:r>
        <w:rPr>
          <w:rFonts w:cs="Arial" w:hint="cs"/>
          <w:sz w:val="16"/>
          <w:szCs w:val="16"/>
          <w:rtl/>
        </w:rPr>
        <w:t>)</w:t>
      </w:r>
      <w:r w:rsidRPr="00D731B7">
        <w:rPr>
          <w:rFonts w:cs="Arial" w:hint="cs"/>
          <w:sz w:val="16"/>
          <w:szCs w:val="16"/>
          <w:rtl/>
        </w:rPr>
        <w:t>.</w:t>
      </w:r>
      <w:r>
        <w:rPr>
          <w:rFonts w:cs="Arial" w:hint="cs"/>
          <w:rtl/>
        </w:rPr>
        <w:t xml:space="preserve"> </w:t>
      </w:r>
    </w:p>
  </w:footnote>
  <w:footnote w:id="1065">
    <w:p w14:paraId="64E75B8F" w14:textId="77777777" w:rsidR="00FA2119" w:rsidRDefault="00FA2119" w:rsidP="00FA2119">
      <w:pPr>
        <w:pStyle w:val="a5"/>
      </w:pPr>
      <w:r>
        <w:rPr>
          <w:rStyle w:val="a7"/>
        </w:rPr>
        <w:footnoteRef/>
      </w:r>
      <w:r>
        <w:rPr>
          <w:rtl/>
        </w:rPr>
        <w:t xml:space="preserve"> </w:t>
      </w:r>
      <w:r>
        <w:rPr>
          <w:rFonts w:cs="Arial" w:hint="cs"/>
          <w:rtl/>
        </w:rPr>
        <w:t>ו</w:t>
      </w:r>
      <w:r w:rsidRPr="0099169F">
        <w:rPr>
          <w:rFonts w:cs="Arial"/>
          <w:rtl/>
        </w:rPr>
        <w:t>הוא הדין לאבי האשה שהמיר שאין כותבין בגט אלא שם דישראל</w:t>
      </w:r>
      <w:r>
        <w:rPr>
          <w:rFonts w:cs="Arial" w:hint="cs"/>
          <w:rtl/>
        </w:rPr>
        <w:t xml:space="preserve">, </w:t>
      </w:r>
      <w:r w:rsidRPr="0099169F">
        <w:rPr>
          <w:rFonts w:cs="Arial"/>
          <w:rtl/>
        </w:rPr>
        <w:t>רשב"א (ח"א סי' אלף קעו</w:t>
      </w:r>
      <w:r>
        <w:rPr>
          <w:rFonts w:cs="Arial" w:hint="cs"/>
          <w:rtl/>
        </w:rPr>
        <w:t>, הביאו הב"י</w:t>
      </w:r>
      <w:r w:rsidRPr="0099169F">
        <w:rPr>
          <w:rFonts w:cs="Arial"/>
          <w:rtl/>
        </w:rPr>
        <w:t>)</w:t>
      </w:r>
      <w:r>
        <w:rPr>
          <w:rFonts w:cs="Arial" w:hint="cs"/>
          <w:rtl/>
        </w:rPr>
        <w:t>.</w:t>
      </w:r>
    </w:p>
  </w:footnote>
  <w:footnote w:id="1066">
    <w:p w14:paraId="1AB06733" w14:textId="54BBF041" w:rsidR="00FA2119" w:rsidRDefault="00FA2119" w:rsidP="00FA2119">
      <w:pPr>
        <w:pStyle w:val="a5"/>
      </w:pPr>
      <w:r>
        <w:rPr>
          <w:rStyle w:val="a7"/>
        </w:rPr>
        <w:footnoteRef/>
      </w:r>
      <w:r>
        <w:rPr>
          <w:rtl/>
        </w:rPr>
        <w:t xml:space="preserve"> </w:t>
      </w:r>
      <w:r w:rsidRPr="0099169F">
        <w:rPr>
          <w:rFonts w:cs="Arial"/>
          <w:rtl/>
        </w:rPr>
        <w:t xml:space="preserve">וכתבו סמ"ג (עשין נ קלא.) וסמ"ק (סי' קפד עמ' קמו) וכל בו (סי' עו מו ע"ד) שאם כתב שם דיהדות וכל שום </w:t>
      </w:r>
      <w:r w:rsidR="009334FF">
        <w:rPr>
          <w:rFonts w:cs="Arial" w:hint="cs"/>
          <w:rtl/>
        </w:rPr>
        <w:t xml:space="preserve">- </w:t>
      </w:r>
      <w:r w:rsidRPr="0099169F">
        <w:rPr>
          <w:rFonts w:cs="Arial"/>
          <w:rtl/>
        </w:rPr>
        <w:t>טוב</w:t>
      </w:r>
      <w:r>
        <w:rPr>
          <w:rFonts w:cs="Arial" w:hint="cs"/>
          <w:rtl/>
        </w:rPr>
        <w:t xml:space="preserve"> </w:t>
      </w:r>
      <w:r w:rsidRPr="0099169F">
        <w:rPr>
          <w:rFonts w:cs="Arial"/>
          <w:rtl/>
        </w:rPr>
        <w:t>הדבר מאד</w:t>
      </w:r>
      <w:r>
        <w:rPr>
          <w:rFonts w:cs="Arial" w:hint="cs"/>
          <w:rtl/>
        </w:rPr>
        <w:t>,</w:t>
      </w:r>
      <w:r w:rsidRPr="0099169F">
        <w:rPr>
          <w:rFonts w:cs="Arial"/>
          <w:rtl/>
        </w:rPr>
        <w:t xml:space="preserve"> כדי לכלול שם דגיות בסתם</w:t>
      </w:r>
      <w:r>
        <w:rPr>
          <w:rFonts w:cs="Arial" w:hint="cs"/>
          <w:rtl/>
        </w:rPr>
        <w:t>.</w:t>
      </w:r>
      <w:r w:rsidRPr="0099169F">
        <w:rPr>
          <w:rFonts w:cs="Arial"/>
          <w:rtl/>
        </w:rPr>
        <w:t xml:space="preserve"> משמע מדבריהם דר"ת מכשיר אפילו אם לא כתב וכל שום</w:t>
      </w:r>
      <w:r>
        <w:rPr>
          <w:rFonts w:cs="Arial" w:hint="cs"/>
          <w:rtl/>
        </w:rPr>
        <w:t>.</w:t>
      </w:r>
      <w:r w:rsidRPr="0099169F">
        <w:rPr>
          <w:rFonts w:cs="Arial"/>
          <w:rtl/>
        </w:rPr>
        <w:t xml:space="preserve"> וכן משמע שהוא דעת הרמ"ה</w:t>
      </w:r>
      <w:r>
        <w:rPr>
          <w:rFonts w:cs="Arial" w:hint="cs"/>
          <w:rtl/>
        </w:rPr>
        <w:t>.</w:t>
      </w:r>
      <w:r w:rsidRPr="0099169F">
        <w:rPr>
          <w:rFonts w:cs="Arial"/>
          <w:rtl/>
        </w:rPr>
        <w:t xml:space="preserve"> וכן נראה שהוא דעת הרשב"א בתשובה (ח"א סי' תקנ"ו וסי' אלף קע"ו). אבל מדברי הר"ן משמע דלא מכשיר ר</w:t>
      </w:r>
      <w:r>
        <w:rPr>
          <w:rFonts w:cs="Arial" w:hint="cs"/>
          <w:rtl/>
        </w:rPr>
        <w:t>"</w:t>
      </w:r>
      <w:r w:rsidRPr="0099169F">
        <w:rPr>
          <w:rFonts w:cs="Arial"/>
          <w:rtl/>
        </w:rPr>
        <w:t>ת אלא בכותב שם יהדות וכותב וכל שום כדי לכלול שם של גיות</w:t>
      </w:r>
      <w:r>
        <w:rPr>
          <w:rFonts w:cs="Arial" w:hint="cs"/>
          <w:rtl/>
        </w:rPr>
        <w:t xml:space="preserve">, </w:t>
      </w:r>
      <w:r w:rsidRPr="00934D54">
        <w:rPr>
          <w:rFonts w:cs="Arial" w:hint="cs"/>
          <w:b/>
          <w:bCs/>
          <w:rtl/>
        </w:rPr>
        <w:t>ב"י</w:t>
      </w:r>
      <w:r>
        <w:rPr>
          <w:rFonts w:cs="Arial" w:hint="cs"/>
          <w:rtl/>
        </w:rPr>
        <w:t xml:space="preserve">. וכתב </w:t>
      </w:r>
      <w:r w:rsidRPr="00934D54">
        <w:rPr>
          <w:rFonts w:cs="Arial" w:hint="cs"/>
          <w:b/>
          <w:bCs/>
          <w:rtl/>
        </w:rPr>
        <w:t>הדרכ"מ</w:t>
      </w:r>
      <w:r>
        <w:rPr>
          <w:rFonts w:cs="Arial" w:hint="cs"/>
          <w:rtl/>
        </w:rPr>
        <w:t xml:space="preserve"> </w:t>
      </w:r>
      <w:r w:rsidRPr="00D43A48">
        <w:rPr>
          <w:rFonts w:cs="Arial"/>
          <w:rtl/>
        </w:rPr>
        <w:t>(</w:t>
      </w:r>
      <w:r>
        <w:rPr>
          <w:rFonts w:cs="Arial" w:hint="cs"/>
          <w:rtl/>
        </w:rPr>
        <w:t xml:space="preserve">אות </w:t>
      </w:r>
      <w:r w:rsidRPr="00D43A48">
        <w:rPr>
          <w:rFonts w:cs="Arial"/>
          <w:rtl/>
        </w:rPr>
        <w:t xml:space="preserve">ו) </w:t>
      </w:r>
      <w:r>
        <w:rPr>
          <w:rFonts w:cs="Arial" w:hint="cs"/>
          <w:rtl/>
        </w:rPr>
        <w:t xml:space="preserve">שכדברי הסמ"ג וסיעתו </w:t>
      </w:r>
      <w:r w:rsidRPr="00D43A48">
        <w:rPr>
          <w:rFonts w:cs="Arial"/>
          <w:rtl/>
        </w:rPr>
        <w:t xml:space="preserve">כן </w:t>
      </w:r>
      <w:r>
        <w:rPr>
          <w:rFonts w:cs="Arial" w:hint="cs"/>
          <w:rtl/>
        </w:rPr>
        <w:t>כתבו</w:t>
      </w:r>
      <w:r w:rsidRPr="00D43A48">
        <w:rPr>
          <w:rFonts w:cs="Arial"/>
          <w:rtl/>
        </w:rPr>
        <w:t xml:space="preserve"> בתרוה</w:t>
      </w:r>
      <w:r>
        <w:rPr>
          <w:rFonts w:cs="Arial" w:hint="cs"/>
          <w:rtl/>
        </w:rPr>
        <w:t>"</w:t>
      </w:r>
      <w:r w:rsidRPr="00D43A48">
        <w:rPr>
          <w:rFonts w:cs="Arial"/>
          <w:rtl/>
        </w:rPr>
        <w:t xml:space="preserve">ד </w:t>
      </w:r>
      <w:r>
        <w:rPr>
          <w:rFonts w:cs="Arial" w:hint="cs"/>
          <w:rtl/>
        </w:rPr>
        <w:t>(</w:t>
      </w:r>
      <w:r w:rsidRPr="00D43A48">
        <w:rPr>
          <w:rFonts w:cs="Arial"/>
          <w:rtl/>
        </w:rPr>
        <w:t>סי</w:t>
      </w:r>
      <w:r>
        <w:rPr>
          <w:rFonts w:cs="Arial" w:hint="cs"/>
          <w:rtl/>
        </w:rPr>
        <w:t>'</w:t>
      </w:r>
      <w:r w:rsidRPr="00D43A48">
        <w:rPr>
          <w:rFonts w:cs="Arial"/>
          <w:rtl/>
        </w:rPr>
        <w:t xml:space="preserve"> רלה</w:t>
      </w:r>
      <w:r>
        <w:rPr>
          <w:rFonts w:cs="Arial" w:hint="cs"/>
          <w:rtl/>
        </w:rPr>
        <w:t>)</w:t>
      </w:r>
      <w:r w:rsidRPr="00D43A48">
        <w:rPr>
          <w:rFonts w:cs="Arial"/>
          <w:rtl/>
        </w:rPr>
        <w:t xml:space="preserve"> ובסדר גיטין שלנו (סי' כ ס"ב) וכן נוהגין</w:t>
      </w:r>
      <w:r>
        <w:rPr>
          <w:rFonts w:cs="Arial" w:hint="cs"/>
          <w:sz w:val="16"/>
          <w:szCs w:val="16"/>
          <w:rtl/>
        </w:rPr>
        <w:t xml:space="preserve"> </w:t>
      </w:r>
      <w:r w:rsidRPr="003D67A0">
        <w:rPr>
          <w:rFonts w:cs="Arial" w:hint="cs"/>
          <w:color w:val="00B0F0"/>
          <w:sz w:val="16"/>
          <w:szCs w:val="16"/>
          <w:rtl/>
        </w:rPr>
        <w:t>(</w:t>
      </w:r>
      <w:r>
        <w:rPr>
          <w:rFonts w:cs="Arial" w:hint="cs"/>
          <w:color w:val="00B0F0"/>
          <w:sz w:val="16"/>
          <w:szCs w:val="16"/>
          <w:rtl/>
        </w:rPr>
        <w:t>וכ</w:t>
      </w:r>
      <w:r>
        <w:rPr>
          <w:rFonts w:cs="Arial"/>
          <w:color w:val="00B0F0"/>
          <w:sz w:val="16"/>
          <w:szCs w:val="16"/>
          <w:rtl/>
        </w:rPr>
        <w:t>"</w:t>
      </w:r>
      <w:r>
        <w:rPr>
          <w:rFonts w:cs="Arial" w:hint="cs"/>
          <w:color w:val="00B0F0"/>
          <w:sz w:val="16"/>
          <w:szCs w:val="16"/>
          <w:rtl/>
        </w:rPr>
        <w:t>פ בהג</w:t>
      </w:r>
      <w:r w:rsidR="009334FF">
        <w:rPr>
          <w:rFonts w:cs="Arial" w:hint="cs"/>
          <w:color w:val="00B0F0"/>
          <w:sz w:val="16"/>
          <w:szCs w:val="16"/>
          <w:rtl/>
        </w:rPr>
        <w:t>"</w:t>
      </w:r>
      <w:r>
        <w:rPr>
          <w:rFonts w:cs="Arial" w:hint="cs"/>
          <w:color w:val="00B0F0"/>
          <w:sz w:val="16"/>
          <w:szCs w:val="16"/>
          <w:rtl/>
        </w:rPr>
        <w:t>ה</w:t>
      </w:r>
      <w:r w:rsidRPr="003D67A0">
        <w:rPr>
          <w:rFonts w:cs="Arial" w:hint="cs"/>
          <w:color w:val="00B0F0"/>
          <w:sz w:val="16"/>
          <w:szCs w:val="16"/>
          <w:rtl/>
        </w:rPr>
        <w:t>)</w:t>
      </w:r>
      <w:r w:rsidRPr="00D43A48">
        <w:rPr>
          <w:rFonts w:cs="Arial"/>
          <w:rtl/>
        </w:rPr>
        <w:t>. וכתב עוד בסדר גיטין (סי' לט ס"ג) דאם היה לו שום כינוי מלבד שם דגיות כותבין פלוני המכונה פלוני וכל שום וחניכא דאית ליה</w:t>
      </w:r>
      <w:r>
        <w:rPr>
          <w:rFonts w:cs="Arial" w:hint="cs"/>
          <w:rtl/>
        </w:rPr>
        <w:t>.</w:t>
      </w:r>
      <w:r w:rsidRPr="003D67A0">
        <w:rPr>
          <w:rFonts w:cs="Arial" w:hint="cs"/>
          <w:color w:val="00B0F0"/>
          <w:sz w:val="16"/>
          <w:szCs w:val="16"/>
          <w:rtl/>
        </w:rPr>
        <w:t xml:space="preserve"> (</w:t>
      </w:r>
      <w:r>
        <w:rPr>
          <w:rFonts w:cs="Arial" w:hint="cs"/>
          <w:color w:val="00B0F0"/>
          <w:sz w:val="16"/>
          <w:szCs w:val="16"/>
          <w:rtl/>
        </w:rPr>
        <w:t>וכ</w:t>
      </w:r>
      <w:r>
        <w:rPr>
          <w:rFonts w:cs="Arial"/>
          <w:color w:val="00B0F0"/>
          <w:sz w:val="16"/>
          <w:szCs w:val="16"/>
          <w:rtl/>
        </w:rPr>
        <w:t>"</w:t>
      </w:r>
      <w:r>
        <w:rPr>
          <w:rFonts w:cs="Arial" w:hint="cs"/>
          <w:color w:val="00B0F0"/>
          <w:sz w:val="16"/>
          <w:szCs w:val="16"/>
          <w:rtl/>
        </w:rPr>
        <w:t>פ בהג</w:t>
      </w:r>
      <w:r w:rsidR="009334FF">
        <w:rPr>
          <w:rFonts w:cs="Arial" w:hint="cs"/>
          <w:color w:val="00B0F0"/>
          <w:sz w:val="16"/>
          <w:szCs w:val="16"/>
          <w:rtl/>
        </w:rPr>
        <w:t>"</w:t>
      </w:r>
      <w:r>
        <w:rPr>
          <w:rFonts w:cs="Arial" w:hint="cs"/>
          <w:color w:val="00B0F0"/>
          <w:sz w:val="16"/>
          <w:szCs w:val="16"/>
          <w:rtl/>
        </w:rPr>
        <w:t>ה</w:t>
      </w:r>
      <w:r w:rsidRPr="003D67A0">
        <w:rPr>
          <w:rFonts w:cs="Arial" w:hint="cs"/>
          <w:color w:val="00B0F0"/>
          <w:sz w:val="16"/>
          <w:szCs w:val="16"/>
          <w:rtl/>
        </w:rPr>
        <w:t>)</w:t>
      </w:r>
      <w:r>
        <w:rPr>
          <w:rFonts w:hint="cs"/>
          <w:rtl/>
        </w:rPr>
        <w:t>.</w:t>
      </w:r>
    </w:p>
  </w:footnote>
  <w:footnote w:id="1067">
    <w:p w14:paraId="7C73D8BB" w14:textId="77777777" w:rsidR="00FA2119" w:rsidRDefault="00FA2119" w:rsidP="00FA2119">
      <w:pPr>
        <w:pStyle w:val="a5"/>
      </w:pPr>
      <w:r>
        <w:rPr>
          <w:rStyle w:val="a7"/>
        </w:rPr>
        <w:footnoteRef/>
      </w:r>
      <w:r>
        <w:rPr>
          <w:rtl/>
        </w:rPr>
        <w:t xml:space="preserve"> </w:t>
      </w:r>
      <w:r w:rsidRPr="0099169F">
        <w:rPr>
          <w:rFonts w:cs="Arial"/>
          <w:rtl/>
        </w:rPr>
        <w:t>אין לפרש דטעמו משום דהוי ככותב שם דטפל וכולל שם העיקר בוכל שום דמאי פסקא דשם יהדות הוי שם עיקר ושם דגיות הוי טפל ואדרבא סתמא דמלתא הוי איפכא. ועוד דא"כ לא הל"ל פסול</w:t>
      </w:r>
      <w:r>
        <w:rPr>
          <w:rFonts w:cs="Arial" w:hint="cs"/>
          <w:rtl/>
        </w:rPr>
        <w:t>,</w:t>
      </w:r>
      <w:r w:rsidRPr="0099169F">
        <w:rPr>
          <w:rFonts w:cs="Arial"/>
          <w:rtl/>
        </w:rPr>
        <w:t xml:space="preserve"> דספק מגורשת היא לפי דעתו</w:t>
      </w:r>
      <w:r>
        <w:rPr>
          <w:rFonts w:cs="Arial" w:hint="cs"/>
          <w:sz w:val="16"/>
          <w:szCs w:val="16"/>
          <w:rtl/>
        </w:rPr>
        <w:t xml:space="preserve"> {של הרמ"ה, כדלעיל}</w:t>
      </w:r>
      <w:r w:rsidRPr="0099169F">
        <w:rPr>
          <w:rFonts w:cs="Arial"/>
          <w:rtl/>
        </w:rPr>
        <w:t>. אלא משמע דטעמא משום דסבירא ליה דאין להזכיר שם גיות בתורת משה וישראל</w:t>
      </w:r>
      <w:r>
        <w:rPr>
          <w:rFonts w:cs="Arial" w:hint="cs"/>
          <w:rtl/>
        </w:rPr>
        <w:t>,</w:t>
      </w:r>
      <w:r w:rsidRPr="0099169F">
        <w:rPr>
          <w:rFonts w:cs="Arial"/>
          <w:rtl/>
        </w:rPr>
        <w:t xml:space="preserve"> ואם הזכירו שינה ממטבע חכמים ופסול מדרבנן. ומדברי הר"ן וה</w:t>
      </w:r>
      <w:r>
        <w:rPr>
          <w:rFonts w:cs="Arial" w:hint="cs"/>
          <w:rtl/>
        </w:rPr>
        <w:t>ה"</w:t>
      </w:r>
      <w:r w:rsidRPr="0099169F">
        <w:rPr>
          <w:rFonts w:cs="Arial"/>
          <w:rtl/>
        </w:rPr>
        <w:t>מ משמע דכשר</w:t>
      </w:r>
      <w:r>
        <w:rPr>
          <w:rFonts w:cs="Arial" w:hint="cs"/>
          <w:rtl/>
        </w:rPr>
        <w:t>,</w:t>
      </w:r>
      <w:r w:rsidRPr="0099169F">
        <w:rPr>
          <w:rFonts w:cs="Arial"/>
          <w:rtl/>
        </w:rPr>
        <w:t xml:space="preserve"> דהא אינהו לא קפדי על כתיבת שם דגיות בתורת משה וישראל</w:t>
      </w:r>
      <w:r>
        <w:rPr>
          <w:rFonts w:cs="Arial" w:hint="cs"/>
          <w:rtl/>
        </w:rPr>
        <w:t>,</w:t>
      </w:r>
      <w:r w:rsidRPr="0099169F">
        <w:rPr>
          <w:rFonts w:cs="Arial"/>
          <w:rtl/>
        </w:rPr>
        <w:t xml:space="preserve"> שהרי כתבו דלמיכתבינהו לתרווייהו עדיף</w:t>
      </w:r>
      <w:r>
        <w:rPr>
          <w:rFonts w:cs="Arial" w:hint="cs"/>
          <w:sz w:val="16"/>
          <w:szCs w:val="16"/>
          <w:rtl/>
        </w:rPr>
        <w:t xml:space="preserve"> {</w:t>
      </w:r>
      <w:r w:rsidRPr="00D4558C">
        <w:rPr>
          <w:rFonts w:cs="Arial"/>
          <w:sz w:val="16"/>
          <w:szCs w:val="16"/>
          <w:rtl/>
        </w:rPr>
        <w:t xml:space="preserve">אבל מדברי הריב"ש </w:t>
      </w:r>
      <w:r w:rsidRPr="00D4558C">
        <w:rPr>
          <w:rFonts w:cs="Arial" w:hint="cs"/>
          <w:sz w:val="16"/>
          <w:szCs w:val="16"/>
          <w:rtl/>
        </w:rPr>
        <w:t>(</w:t>
      </w:r>
      <w:r w:rsidRPr="00D4558C">
        <w:rPr>
          <w:rFonts w:cs="Arial"/>
          <w:sz w:val="16"/>
          <w:szCs w:val="16"/>
          <w:rtl/>
        </w:rPr>
        <w:t>סי</w:t>
      </w:r>
      <w:r w:rsidRPr="00D4558C">
        <w:rPr>
          <w:rFonts w:cs="Arial" w:hint="cs"/>
          <w:sz w:val="16"/>
          <w:szCs w:val="16"/>
          <w:rtl/>
        </w:rPr>
        <w:t>'</w:t>
      </w:r>
      <w:r w:rsidRPr="00D4558C">
        <w:rPr>
          <w:rFonts w:cs="Arial"/>
          <w:sz w:val="16"/>
          <w:szCs w:val="16"/>
          <w:rtl/>
        </w:rPr>
        <w:t xml:space="preserve"> מג</w:t>
      </w:r>
      <w:r w:rsidRPr="00D4558C">
        <w:rPr>
          <w:rFonts w:cs="Arial" w:hint="cs"/>
          <w:sz w:val="16"/>
          <w:szCs w:val="16"/>
          <w:rtl/>
        </w:rPr>
        <w:t>)</w:t>
      </w:r>
      <w:r w:rsidRPr="00D4558C">
        <w:rPr>
          <w:rFonts w:cs="Arial"/>
          <w:sz w:val="16"/>
          <w:szCs w:val="16"/>
          <w:rtl/>
        </w:rPr>
        <w:t xml:space="preserve"> לא משמע כדבריו אלא נראה טעמו משום דשם גיות הוי כשם טפל ושם דיהדות שם העיקר ולכן פסול</w:t>
      </w:r>
      <w:r w:rsidRPr="00D4558C">
        <w:rPr>
          <w:rFonts w:cs="Arial" w:hint="cs"/>
          <w:sz w:val="16"/>
          <w:szCs w:val="16"/>
          <w:rtl/>
        </w:rPr>
        <w:t>,</w:t>
      </w:r>
      <w:r w:rsidRPr="00D4558C">
        <w:rPr>
          <w:rFonts w:cs="Arial"/>
          <w:sz w:val="16"/>
          <w:szCs w:val="16"/>
          <w:rtl/>
        </w:rPr>
        <w:t xml:space="preserve"> כדמוכח ריש סימן זה</w:t>
      </w:r>
      <w:r w:rsidRPr="00D4558C">
        <w:rPr>
          <w:rFonts w:cs="Arial" w:hint="cs"/>
          <w:sz w:val="16"/>
          <w:szCs w:val="16"/>
          <w:rtl/>
        </w:rPr>
        <w:t>.</w:t>
      </w:r>
      <w:r w:rsidRPr="00D4558C">
        <w:rPr>
          <w:rFonts w:cs="Arial"/>
          <w:sz w:val="16"/>
          <w:szCs w:val="16"/>
          <w:rtl/>
        </w:rPr>
        <w:t xml:space="preserve"> ואם כן אפשר דאף המגיד משנה והר"ן מודים בזה</w:t>
      </w:r>
      <w:r w:rsidRPr="00D4558C">
        <w:rPr>
          <w:rFonts w:cs="Arial" w:hint="cs"/>
          <w:sz w:val="16"/>
          <w:szCs w:val="16"/>
          <w:rtl/>
        </w:rPr>
        <w:t xml:space="preserve">, </w:t>
      </w:r>
      <w:r w:rsidRPr="00D4558C">
        <w:rPr>
          <w:rFonts w:cs="Arial" w:hint="cs"/>
          <w:b/>
          <w:bCs/>
          <w:sz w:val="16"/>
          <w:szCs w:val="16"/>
          <w:rtl/>
        </w:rPr>
        <w:t>דרכ"מ</w:t>
      </w:r>
      <w:r w:rsidRPr="00D4558C">
        <w:rPr>
          <w:rFonts w:cs="Arial" w:hint="cs"/>
          <w:sz w:val="16"/>
          <w:szCs w:val="16"/>
          <w:rtl/>
        </w:rPr>
        <w:t xml:space="preserve"> (אות ח)</w:t>
      </w:r>
      <w:r>
        <w:rPr>
          <w:rFonts w:cs="Arial" w:hint="cs"/>
          <w:sz w:val="16"/>
          <w:szCs w:val="16"/>
          <w:rtl/>
        </w:rPr>
        <w:t>}</w:t>
      </w:r>
      <w:r>
        <w:rPr>
          <w:rFonts w:cs="Arial" w:hint="cs"/>
          <w:rtl/>
        </w:rPr>
        <w:t>.</w:t>
      </w:r>
      <w:r w:rsidRPr="0099169F">
        <w:rPr>
          <w:rFonts w:cs="Arial"/>
          <w:rtl/>
        </w:rPr>
        <w:t xml:space="preserve"> ומדברי התוספות והרא"ש והרשב"א אין הוכחה לפסול</w:t>
      </w:r>
      <w:r>
        <w:rPr>
          <w:rFonts w:cs="Arial" w:hint="cs"/>
          <w:rtl/>
        </w:rPr>
        <w:t>.</w:t>
      </w:r>
      <w:r w:rsidRPr="0099169F">
        <w:rPr>
          <w:rFonts w:cs="Arial"/>
          <w:rtl/>
        </w:rPr>
        <w:t xml:space="preserve"> ולדברי הרמ"ה איכא למידק מאי שנא מגר ששינה וכתב שם דגיות דכשר. ואפשר דמומר הכותב שם דגיות שבא לו אחר שנתחייב במצות לא שייך בתורת משה</w:t>
      </w:r>
      <w:r>
        <w:rPr>
          <w:rFonts w:cs="Arial" w:hint="cs"/>
          <w:rtl/>
        </w:rPr>
        <w:t>,</w:t>
      </w:r>
      <w:r w:rsidRPr="0099169F">
        <w:rPr>
          <w:rFonts w:cs="Arial"/>
          <w:rtl/>
        </w:rPr>
        <w:t xml:space="preserve"> אבל גר הכותב שם שהיה לו בגיותו קודם שנתחייב במצות אין תורת משה מונעו דהא לא חייבה התורה לגוים שיתגיירו</w:t>
      </w:r>
      <w:r>
        <w:rPr>
          <w:rFonts w:cs="Arial" w:hint="cs"/>
          <w:rtl/>
        </w:rPr>
        <w:t>,</w:t>
      </w:r>
      <w:r w:rsidRPr="004A06B8">
        <w:rPr>
          <w:rFonts w:cs="Arial" w:hint="cs"/>
          <w:b/>
          <w:bCs/>
          <w:rtl/>
        </w:rPr>
        <w:t xml:space="preserve"> ב"י</w:t>
      </w:r>
      <w:r>
        <w:rPr>
          <w:rFonts w:cs="Arial" w:hint="cs"/>
          <w:rtl/>
        </w:rPr>
        <w:t>.</w:t>
      </w:r>
    </w:p>
  </w:footnote>
  <w:footnote w:id="1068">
    <w:p w14:paraId="034E6989" w14:textId="77777777" w:rsidR="00FA2119" w:rsidRDefault="00FA2119" w:rsidP="00FA2119">
      <w:pPr>
        <w:pStyle w:val="a5"/>
        <w:rPr>
          <w:rtl/>
        </w:rPr>
      </w:pPr>
      <w:r>
        <w:rPr>
          <w:rStyle w:val="a7"/>
        </w:rPr>
        <w:footnoteRef/>
      </w:r>
      <w:r>
        <w:rPr>
          <w:rtl/>
        </w:rPr>
        <w:t xml:space="preserve"> </w:t>
      </w:r>
      <w:r w:rsidRPr="00684B92">
        <w:rPr>
          <w:rFonts w:cs="Arial"/>
          <w:rtl/>
        </w:rPr>
        <w:t>ועיין לקמן (כה. ד"ה ומומר וד"ה ואם גירש) דיש חולקין על זה</w:t>
      </w:r>
      <w:r>
        <w:rPr>
          <w:rFonts w:hint="cs"/>
          <w:rtl/>
        </w:rPr>
        <w:t>, ב"י (בבדה"ב).</w:t>
      </w:r>
    </w:p>
  </w:footnote>
  <w:footnote w:id="1069">
    <w:p w14:paraId="723359F3" w14:textId="77777777" w:rsidR="00FA2119" w:rsidRDefault="00FA2119" w:rsidP="00FA2119">
      <w:pPr>
        <w:pStyle w:val="a5"/>
      </w:pPr>
      <w:r>
        <w:rPr>
          <w:rStyle w:val="a7"/>
        </w:rPr>
        <w:footnoteRef/>
      </w:r>
      <w:r>
        <w:rPr>
          <w:rtl/>
        </w:rPr>
        <w:t xml:space="preserve"> </w:t>
      </w:r>
      <w:r w:rsidRPr="007B265E">
        <w:rPr>
          <w:rFonts w:cs="Arial"/>
          <w:rtl/>
        </w:rPr>
        <w:t>הא דמכשיר במומר לכתוב שם ישראל לכתחלה וכל הפוסקים מדמי' שם ישראל במומר לחניכה שהכל קורין בו</w:t>
      </w:r>
      <w:r>
        <w:rPr>
          <w:rFonts w:cs="Arial" w:hint="cs"/>
          <w:rtl/>
        </w:rPr>
        <w:t>,</w:t>
      </w:r>
      <w:r w:rsidRPr="007B265E">
        <w:rPr>
          <w:rFonts w:cs="Arial"/>
          <w:rtl/>
        </w:rPr>
        <w:t xml:space="preserve"> ולרמב"ם חניכה אין כותבים לכתחלה</w:t>
      </w:r>
      <w:r>
        <w:rPr>
          <w:rFonts w:cs="Arial" w:hint="cs"/>
          <w:rtl/>
        </w:rPr>
        <w:t>,</w:t>
      </w:r>
      <w:r w:rsidRPr="007B265E">
        <w:rPr>
          <w:rFonts w:cs="Arial"/>
          <w:rtl/>
        </w:rPr>
        <w:t xml:space="preserve"> משום </w:t>
      </w:r>
      <w:r>
        <w:rPr>
          <w:rFonts w:cs="Arial" w:hint="cs"/>
          <w:rtl/>
        </w:rPr>
        <w:t>ד</w:t>
      </w:r>
      <w:r w:rsidRPr="007B265E">
        <w:rPr>
          <w:rFonts w:cs="Arial"/>
          <w:rtl/>
        </w:rPr>
        <w:t>מומר שאני</w:t>
      </w:r>
      <w:r>
        <w:rPr>
          <w:rFonts w:cs="Arial" w:hint="cs"/>
          <w:rtl/>
        </w:rPr>
        <w:t>,</w:t>
      </w:r>
      <w:r w:rsidRPr="007B265E">
        <w:rPr>
          <w:rFonts w:cs="Arial"/>
          <w:rtl/>
        </w:rPr>
        <w:t xml:space="preserve"> דהוי כדיעבד דאין לו תקנה אחרת</w:t>
      </w:r>
      <w:r>
        <w:rPr>
          <w:rFonts w:cs="Arial" w:hint="cs"/>
          <w:rtl/>
        </w:rPr>
        <w:t>,</w:t>
      </w:r>
      <w:r w:rsidRPr="007B265E">
        <w:rPr>
          <w:rFonts w:cs="Arial"/>
          <w:rtl/>
        </w:rPr>
        <w:t xml:space="preserve"> כי אסור להזכיר שם של כותי' כמ"ש בתוס' בשם ר"ת</w:t>
      </w:r>
      <w:r>
        <w:rPr>
          <w:rFonts w:cs="Arial" w:hint="cs"/>
          <w:rtl/>
        </w:rPr>
        <w:t>.</w:t>
      </w:r>
      <w:r w:rsidRPr="007B265E">
        <w:rPr>
          <w:rFonts w:cs="Arial"/>
          <w:rtl/>
        </w:rPr>
        <w:t xml:space="preserve"> גם י"ל שם ישראל עדיף הואיל שם עיקר שמו היה מעיקרו</w:t>
      </w:r>
      <w:r>
        <w:rPr>
          <w:rFonts w:cs="Arial" w:hint="cs"/>
          <w:rtl/>
        </w:rPr>
        <w:t>.</w:t>
      </w:r>
      <w:r w:rsidRPr="007B265E">
        <w:rPr>
          <w:rFonts w:cs="Arial"/>
          <w:rtl/>
        </w:rPr>
        <w:t xml:space="preserve"> כל זה צ"ל לפי הב"י</w:t>
      </w:r>
      <w:r>
        <w:rPr>
          <w:rFonts w:cs="Arial" w:hint="cs"/>
          <w:rtl/>
        </w:rPr>
        <w:t>..., ב"ש (סק"א).</w:t>
      </w:r>
    </w:p>
  </w:footnote>
  <w:footnote w:id="1070">
    <w:p w14:paraId="370EAD6D" w14:textId="77777777" w:rsidR="00FA2119" w:rsidRDefault="00FA2119" w:rsidP="00FA2119">
      <w:pPr>
        <w:pStyle w:val="a5"/>
      </w:pPr>
      <w:r>
        <w:rPr>
          <w:rStyle w:val="a7"/>
        </w:rPr>
        <w:footnoteRef/>
      </w:r>
      <w:r>
        <w:rPr>
          <w:rtl/>
        </w:rPr>
        <w:t xml:space="preserve"> </w:t>
      </w:r>
      <w:r w:rsidRPr="007A1962">
        <w:rPr>
          <w:rFonts w:cs="Arial"/>
          <w:rtl/>
        </w:rPr>
        <w:t>אע</w:t>
      </w:r>
      <w:r>
        <w:rPr>
          <w:rFonts w:cs="Arial" w:hint="cs"/>
          <w:rtl/>
        </w:rPr>
        <w:t>"</w:t>
      </w:r>
      <w:r w:rsidRPr="007A1962">
        <w:rPr>
          <w:rFonts w:cs="Arial"/>
          <w:rtl/>
        </w:rPr>
        <w:t>ג כשקידש אותה לא היה מומר מ"מ יכול לגרש אותה עכשיו כשהוא מומר</w:t>
      </w:r>
      <w:r>
        <w:rPr>
          <w:rFonts w:cs="Arial" w:hint="cs"/>
          <w:rtl/>
        </w:rPr>
        <w:t>,</w:t>
      </w:r>
      <w:r w:rsidRPr="007A1962">
        <w:rPr>
          <w:rFonts w:cs="Arial"/>
          <w:rtl/>
        </w:rPr>
        <w:t xml:space="preserve"> וכן אם היה מקבל קידושי בתו ביהדותו יכול עכשיו לקבל את גיטה</w:t>
      </w:r>
      <w:r>
        <w:rPr>
          <w:rFonts w:cs="Arial" w:hint="cs"/>
          <w:rtl/>
        </w:rPr>
        <w:t xml:space="preserve">, </w:t>
      </w:r>
      <w:r w:rsidRPr="007A1962">
        <w:rPr>
          <w:rFonts w:cs="Arial" w:hint="cs"/>
          <w:b/>
          <w:bCs/>
          <w:rtl/>
        </w:rPr>
        <w:t>ב"ש</w:t>
      </w:r>
      <w:r>
        <w:rPr>
          <w:rFonts w:cs="Arial" w:hint="cs"/>
          <w:rtl/>
        </w:rPr>
        <w:t xml:space="preserve"> (סק"ט).</w:t>
      </w:r>
      <w:r w:rsidRPr="007A1962">
        <w:rPr>
          <w:rFonts w:cs="Arial"/>
          <w:rtl/>
        </w:rPr>
        <w:t xml:space="preserve"> </w:t>
      </w:r>
      <w:r>
        <w:rPr>
          <w:rFonts w:cs="Arial"/>
          <w:rtl/>
        </w:rPr>
        <w:t xml:space="preserve">וע' בג"פ </w:t>
      </w:r>
      <w:r>
        <w:rPr>
          <w:rFonts w:cs="Arial" w:hint="cs"/>
          <w:rtl/>
        </w:rPr>
        <w:t>(</w:t>
      </w:r>
      <w:r>
        <w:rPr>
          <w:rFonts w:cs="Arial"/>
          <w:rtl/>
        </w:rPr>
        <w:t>סקכ"ב</w:t>
      </w:r>
      <w:r>
        <w:rPr>
          <w:rFonts w:cs="Arial" w:hint="cs"/>
          <w:rtl/>
        </w:rPr>
        <w:t>)</w:t>
      </w:r>
      <w:r>
        <w:rPr>
          <w:rFonts w:cs="Arial"/>
          <w:rtl/>
        </w:rPr>
        <w:t xml:space="preserve"> שפסק דלא תנשא בגט זה דאימור נתבטל הזכיה שזיכה רחמנא לאב בבתו בעוזב דת אך אם נשאת לא תצא ע"ש</w:t>
      </w:r>
      <w:r>
        <w:rPr>
          <w:rFonts w:cs="Arial" w:hint="cs"/>
          <w:rtl/>
        </w:rPr>
        <w:t>.</w:t>
      </w:r>
      <w:r>
        <w:rPr>
          <w:rFonts w:cs="Arial"/>
          <w:rtl/>
        </w:rPr>
        <w:t xml:space="preserve"> וכן הסכים התו"ג ע"ש</w:t>
      </w:r>
      <w:r>
        <w:rPr>
          <w:rFonts w:cs="Arial" w:hint="cs"/>
          <w:rtl/>
        </w:rPr>
        <w:t>.</w:t>
      </w:r>
      <w:r>
        <w:rPr>
          <w:rFonts w:cs="Arial"/>
          <w:rtl/>
        </w:rPr>
        <w:t xml:space="preserve"> ועיין בס' גט מקושר בקו"א אות ב' באריכות</w:t>
      </w:r>
      <w:r>
        <w:rPr>
          <w:rFonts w:hint="cs"/>
          <w:rtl/>
        </w:rPr>
        <w:t xml:space="preserve">, </w:t>
      </w:r>
      <w:r w:rsidRPr="007A1962">
        <w:rPr>
          <w:rFonts w:hint="cs"/>
          <w:b/>
          <w:bCs/>
          <w:rtl/>
        </w:rPr>
        <w:t>פת"ש</w:t>
      </w:r>
      <w:r>
        <w:rPr>
          <w:rFonts w:hint="cs"/>
          <w:rtl/>
        </w:rPr>
        <w:t xml:space="preserve"> (סק"י).</w:t>
      </w:r>
    </w:p>
  </w:footnote>
  <w:footnote w:id="1071">
    <w:p w14:paraId="491FF99A" w14:textId="77777777" w:rsidR="00FA2119" w:rsidRDefault="00FA2119" w:rsidP="00FA2119">
      <w:pPr>
        <w:pStyle w:val="a5"/>
      </w:pPr>
      <w:r>
        <w:rPr>
          <w:rStyle w:val="a7"/>
        </w:rPr>
        <w:footnoteRef/>
      </w:r>
      <w:r>
        <w:rPr>
          <w:rtl/>
        </w:rPr>
        <w:t xml:space="preserve"> </w:t>
      </w:r>
      <w:r w:rsidRPr="006F3F8B">
        <w:rPr>
          <w:rFonts w:cs="Arial"/>
          <w:rtl/>
        </w:rPr>
        <w:t>בריב"ש מסיים וכת' במקום שמלכות מקפידי' שלא להזכיר שהוא יהודי כשר</w:t>
      </w:r>
      <w:r>
        <w:rPr>
          <w:rFonts w:cs="Arial" w:hint="cs"/>
          <w:rtl/>
        </w:rPr>
        <w:t>,</w:t>
      </w:r>
      <w:r w:rsidRPr="006F3F8B">
        <w:rPr>
          <w:rFonts w:cs="Arial"/>
          <w:rtl/>
        </w:rPr>
        <w:t xml:space="preserve"> וכ"כ בלבוש</w:t>
      </w:r>
      <w:r>
        <w:rPr>
          <w:rFonts w:cs="Arial" w:hint="cs"/>
          <w:rtl/>
        </w:rPr>
        <w:t>, ב"ש (סקי"ב).</w:t>
      </w:r>
    </w:p>
  </w:footnote>
  <w:footnote w:id="1072">
    <w:p w14:paraId="6AB75BF7" w14:textId="249C1D64" w:rsidR="00FA2119" w:rsidRDefault="00FA2119" w:rsidP="00FA2119">
      <w:pPr>
        <w:pStyle w:val="a5"/>
        <w:rPr>
          <w:rtl/>
        </w:rPr>
      </w:pPr>
      <w:r>
        <w:rPr>
          <w:rStyle w:val="a7"/>
        </w:rPr>
        <w:footnoteRef/>
      </w:r>
      <w:r>
        <w:rPr>
          <w:rtl/>
        </w:rPr>
        <w:t xml:space="preserve"> </w:t>
      </w:r>
      <w:r>
        <w:rPr>
          <w:rFonts w:cs="Arial" w:hint="cs"/>
          <w:rtl/>
        </w:rPr>
        <w:t>ו</w:t>
      </w:r>
      <w:r w:rsidRPr="009C696B">
        <w:rPr>
          <w:rFonts w:cs="Arial"/>
          <w:rtl/>
        </w:rPr>
        <w:t>א</w:t>
      </w:r>
      <w:r>
        <w:rPr>
          <w:rFonts w:cs="Arial" w:hint="cs"/>
          <w:rtl/>
        </w:rPr>
        <w:t>ע"ג</w:t>
      </w:r>
      <w:r w:rsidRPr="009C696B">
        <w:rPr>
          <w:rFonts w:cs="Arial"/>
          <w:rtl/>
        </w:rPr>
        <w:t xml:space="preserve"> דבעלמא אין כותבין </w:t>
      </w:r>
      <w:r>
        <w:rPr>
          <w:rFonts w:cs="Arial" w:hint="cs"/>
          <w:rtl/>
        </w:rPr>
        <w:t>'</w:t>
      </w:r>
      <w:r w:rsidRPr="009C696B">
        <w:rPr>
          <w:rFonts w:cs="Arial"/>
          <w:rtl/>
        </w:rPr>
        <w:t>וכל שום</w:t>
      </w:r>
      <w:r>
        <w:rPr>
          <w:rFonts w:cs="Arial" w:hint="cs"/>
          <w:rtl/>
        </w:rPr>
        <w:t>',</w:t>
      </w:r>
      <w:r w:rsidRPr="009C696B">
        <w:rPr>
          <w:rFonts w:cs="Arial"/>
          <w:rtl/>
        </w:rPr>
        <w:t xml:space="preserve"> משום </w:t>
      </w:r>
      <w:r>
        <w:rPr>
          <w:rFonts w:cs="Arial" w:hint="cs"/>
          <w:rtl/>
        </w:rPr>
        <w:t>ד</w:t>
      </w:r>
      <w:r w:rsidRPr="009C696B">
        <w:rPr>
          <w:rFonts w:cs="Arial"/>
          <w:rtl/>
        </w:rPr>
        <w:t>בעלמא יש תקנה לפרוט כל השמות ואם לא כתב וכל שום כשר כמ"ש בסמוך</w:t>
      </w:r>
      <w:r>
        <w:rPr>
          <w:rFonts w:cs="Arial" w:hint="cs"/>
          <w:rtl/>
        </w:rPr>
        <w:t>.</w:t>
      </w:r>
      <w:r w:rsidRPr="009C696B">
        <w:rPr>
          <w:rFonts w:cs="Arial"/>
          <w:rtl/>
        </w:rPr>
        <w:t xml:space="preserve"> ובן מומר כתב בט"ז דאין לכתוב וכל שום כדי שלא לבייש אותו</w:t>
      </w:r>
      <w:r>
        <w:rPr>
          <w:rFonts w:hint="cs"/>
          <w:rtl/>
        </w:rPr>
        <w:t xml:space="preserve">, </w:t>
      </w:r>
      <w:r w:rsidRPr="009C696B">
        <w:rPr>
          <w:rFonts w:hint="cs"/>
          <w:b/>
          <w:bCs/>
          <w:rtl/>
        </w:rPr>
        <w:t>ב"ש</w:t>
      </w:r>
      <w:r>
        <w:rPr>
          <w:rFonts w:hint="cs"/>
          <w:rtl/>
        </w:rPr>
        <w:t xml:space="preserve"> (סקי"א).</w:t>
      </w:r>
      <w:r w:rsidRPr="009C696B">
        <w:rPr>
          <w:rFonts w:cs="Arial"/>
          <w:rtl/>
        </w:rPr>
        <w:t xml:space="preserve"> </w:t>
      </w:r>
      <w:r>
        <w:rPr>
          <w:rFonts w:cs="Arial"/>
          <w:rtl/>
        </w:rPr>
        <w:t>וכן לקמן סקל"ב הביא ג"כ דברי הט"ז אלו שחולק על מהרש"ל בזה. גם בס' בית מאיר כתב דסתימת הרמ"א בסע</w:t>
      </w:r>
      <w:r>
        <w:rPr>
          <w:rFonts w:cs="Arial" w:hint="cs"/>
          <w:rtl/>
        </w:rPr>
        <w:t>'</w:t>
      </w:r>
      <w:r>
        <w:rPr>
          <w:rFonts w:cs="Arial"/>
          <w:rtl/>
        </w:rPr>
        <w:t xml:space="preserve"> י' </w:t>
      </w:r>
      <w:r w:rsidR="009334FF">
        <w:rPr>
          <w:rFonts w:cs="Arial"/>
          <w:rtl/>
        </w:rPr>
        <w:t>בהג"ה</w:t>
      </w:r>
      <w:r>
        <w:rPr>
          <w:rFonts w:cs="Arial"/>
          <w:rtl/>
        </w:rPr>
        <w:t xml:space="preserve"> משמע כהט"ז. אכן בתשובת מהר"ם פאדוה </w:t>
      </w:r>
      <w:r>
        <w:rPr>
          <w:rFonts w:cs="Arial" w:hint="cs"/>
          <w:rtl/>
        </w:rPr>
        <w:t>(</w:t>
      </w:r>
      <w:r>
        <w:rPr>
          <w:rFonts w:cs="Arial"/>
          <w:rtl/>
        </w:rPr>
        <w:t>סי</w:t>
      </w:r>
      <w:r>
        <w:rPr>
          <w:rFonts w:cs="Arial" w:hint="cs"/>
          <w:rtl/>
        </w:rPr>
        <w:t>'</w:t>
      </w:r>
      <w:r>
        <w:rPr>
          <w:rFonts w:cs="Arial"/>
          <w:rtl/>
        </w:rPr>
        <w:t xml:space="preserve"> לח</w:t>
      </w:r>
      <w:r>
        <w:rPr>
          <w:rFonts w:cs="Arial" w:hint="cs"/>
          <w:rtl/>
        </w:rPr>
        <w:t>)</w:t>
      </w:r>
      <w:r>
        <w:rPr>
          <w:rFonts w:cs="Arial"/>
          <w:rtl/>
        </w:rPr>
        <w:t xml:space="preserve"> מבואר שסובר כמהרש"ל וכ"כ להדיא בסדר מהר"ם אות כ"ג ע"ש</w:t>
      </w:r>
      <w:r>
        <w:rPr>
          <w:rFonts w:cs="Arial" w:hint="cs"/>
          <w:rtl/>
        </w:rPr>
        <w:t>.</w:t>
      </w:r>
      <w:r>
        <w:rPr>
          <w:rFonts w:cs="Arial"/>
          <w:rtl/>
        </w:rPr>
        <w:t xml:space="preserve"> ועיין בתשו</w:t>
      </w:r>
      <w:r>
        <w:rPr>
          <w:rFonts w:cs="Arial" w:hint="cs"/>
          <w:rtl/>
        </w:rPr>
        <w:t>'</w:t>
      </w:r>
      <w:r>
        <w:rPr>
          <w:rFonts w:cs="Arial"/>
          <w:rtl/>
        </w:rPr>
        <w:t xml:space="preserve"> אא"ז פמ"א</w:t>
      </w:r>
      <w:r w:rsidRPr="009C696B">
        <w:rPr>
          <w:rFonts w:cs="Arial"/>
          <w:sz w:val="16"/>
          <w:szCs w:val="16"/>
          <w:rtl/>
        </w:rPr>
        <w:t xml:space="preserve"> </w:t>
      </w:r>
      <w:r>
        <w:rPr>
          <w:rFonts w:cs="Arial" w:hint="cs"/>
          <w:sz w:val="16"/>
          <w:szCs w:val="16"/>
          <w:rtl/>
        </w:rPr>
        <w:t>(</w:t>
      </w:r>
      <w:r w:rsidRPr="009C696B">
        <w:rPr>
          <w:rFonts w:cs="Arial"/>
          <w:sz w:val="16"/>
          <w:szCs w:val="16"/>
          <w:rtl/>
        </w:rPr>
        <w:t>ח"ב סי</w:t>
      </w:r>
      <w:r w:rsidRPr="009C696B">
        <w:rPr>
          <w:rFonts w:cs="Arial" w:hint="cs"/>
          <w:sz w:val="16"/>
          <w:szCs w:val="16"/>
          <w:rtl/>
        </w:rPr>
        <w:t>'</w:t>
      </w:r>
      <w:r w:rsidRPr="009C696B">
        <w:rPr>
          <w:rFonts w:cs="Arial"/>
          <w:sz w:val="16"/>
          <w:szCs w:val="16"/>
          <w:rtl/>
        </w:rPr>
        <w:t xml:space="preserve"> מה</w:t>
      </w:r>
      <w:r w:rsidRPr="009C696B">
        <w:rPr>
          <w:rFonts w:cs="Arial" w:hint="cs"/>
          <w:sz w:val="16"/>
          <w:szCs w:val="16"/>
          <w:rtl/>
        </w:rPr>
        <w:t>)</w:t>
      </w:r>
      <w:r>
        <w:rPr>
          <w:rFonts w:cs="Arial"/>
          <w:rtl/>
        </w:rPr>
        <w:t xml:space="preserve"> שכתב דהעיקר לדינא שיש לכתוב וכל שום ויש להודיע זה להמגרש שכותבין על אביו וכל שום ע"ש</w:t>
      </w:r>
      <w:r>
        <w:rPr>
          <w:rFonts w:cs="Arial" w:hint="cs"/>
          <w:rtl/>
        </w:rPr>
        <w:t>.</w:t>
      </w:r>
      <w:r>
        <w:rPr>
          <w:rFonts w:cs="Arial"/>
          <w:rtl/>
        </w:rPr>
        <w:t xml:space="preserve"> ועיין בה"ט לקמן סקכ"ט בשם ת' שבו"י מזה</w:t>
      </w:r>
      <w:r>
        <w:rPr>
          <w:rFonts w:hint="cs"/>
          <w:rtl/>
        </w:rPr>
        <w:t xml:space="preserve">, </w:t>
      </w:r>
      <w:r w:rsidRPr="009C696B">
        <w:rPr>
          <w:rFonts w:hint="cs"/>
          <w:b/>
          <w:bCs/>
          <w:rtl/>
        </w:rPr>
        <w:t>פת"ש</w:t>
      </w:r>
      <w:r>
        <w:rPr>
          <w:rFonts w:hint="cs"/>
          <w:rtl/>
        </w:rPr>
        <w:t xml:space="preserve"> (סקי"ג).</w:t>
      </w:r>
    </w:p>
  </w:footnote>
  <w:footnote w:id="1073">
    <w:p w14:paraId="174FF676" w14:textId="21B64747" w:rsidR="00FA2119" w:rsidRDefault="00FA2119" w:rsidP="00FA2119">
      <w:pPr>
        <w:pStyle w:val="a5"/>
        <w:rPr>
          <w:rtl/>
        </w:rPr>
      </w:pPr>
      <w:r>
        <w:rPr>
          <w:rStyle w:val="a7"/>
        </w:rPr>
        <w:footnoteRef/>
      </w:r>
      <w:r>
        <w:rPr>
          <w:rtl/>
        </w:rPr>
        <w:t xml:space="preserve"> </w:t>
      </w:r>
      <w:r w:rsidRPr="00FF4D7C">
        <w:rPr>
          <w:rFonts w:cs="Arial"/>
          <w:rtl/>
        </w:rPr>
        <w:t>וכן עשה מעשה</w:t>
      </w:r>
      <w:r w:rsidR="000B355B">
        <w:rPr>
          <w:rFonts w:cs="Arial" w:hint="cs"/>
          <w:rtl/>
        </w:rPr>
        <w:t>.</w:t>
      </w:r>
      <w:r w:rsidRPr="00FF4D7C">
        <w:rPr>
          <w:rFonts w:cs="Arial"/>
          <w:rtl/>
        </w:rPr>
        <w:t xml:space="preserve"> והיה מי שערער ע"ז</w:t>
      </w:r>
      <w:r w:rsidR="000B355B">
        <w:rPr>
          <w:rFonts w:cs="Arial" w:hint="cs"/>
          <w:rtl/>
        </w:rPr>
        <w:t>,</w:t>
      </w:r>
      <w:r w:rsidRPr="00FF4D7C">
        <w:rPr>
          <w:rFonts w:cs="Arial"/>
          <w:rtl/>
        </w:rPr>
        <w:t xml:space="preserve"> והוא ז"ל השיב בארוכה וכתב הגם דבתשובת מהר"ם פאדוה </w:t>
      </w:r>
      <w:r>
        <w:rPr>
          <w:rFonts w:cs="Arial" w:hint="cs"/>
          <w:rtl/>
        </w:rPr>
        <w:t>(</w:t>
      </w:r>
      <w:r w:rsidRPr="00FF4D7C">
        <w:rPr>
          <w:rFonts w:cs="Arial"/>
          <w:rtl/>
        </w:rPr>
        <w:t>סי</w:t>
      </w:r>
      <w:r>
        <w:rPr>
          <w:rFonts w:cs="Arial" w:hint="cs"/>
          <w:rtl/>
        </w:rPr>
        <w:t>'</w:t>
      </w:r>
      <w:r w:rsidRPr="00FF4D7C">
        <w:rPr>
          <w:rFonts w:cs="Arial"/>
          <w:rtl/>
        </w:rPr>
        <w:t xml:space="preserve"> לח</w:t>
      </w:r>
      <w:r>
        <w:rPr>
          <w:rFonts w:cs="Arial" w:hint="cs"/>
          <w:rtl/>
        </w:rPr>
        <w:t>)</w:t>
      </w:r>
      <w:r w:rsidRPr="00FF4D7C">
        <w:rPr>
          <w:rFonts w:cs="Arial"/>
          <w:rtl/>
        </w:rPr>
        <w:t xml:space="preserve"> כתב בגט וכל שום וחניכה מקודם שהזכיר שם אביו</w:t>
      </w:r>
      <w:r w:rsidR="000B355B">
        <w:rPr>
          <w:rFonts w:cs="Arial" w:hint="cs"/>
          <w:rtl/>
        </w:rPr>
        <w:t>.</w:t>
      </w:r>
      <w:r w:rsidRPr="00FF4D7C">
        <w:rPr>
          <w:rFonts w:cs="Arial"/>
          <w:rtl/>
        </w:rPr>
        <w:t xml:space="preserve"> וכך מצאתי בסוף סדר גיטין מ"מ נסמכתי על מעשה רב דמהר"י מרגליות בגיטין הניתנין </w:t>
      </w:r>
      <w:r>
        <w:rPr>
          <w:rFonts w:cs="Arial" w:hint="cs"/>
          <w:rtl/>
        </w:rPr>
        <w:t>(</w:t>
      </w:r>
      <w:r w:rsidRPr="00FF4D7C">
        <w:rPr>
          <w:rFonts w:cs="Arial"/>
          <w:rtl/>
        </w:rPr>
        <w:t>סי</w:t>
      </w:r>
      <w:r>
        <w:rPr>
          <w:rFonts w:cs="Arial" w:hint="cs"/>
          <w:rtl/>
        </w:rPr>
        <w:t>'</w:t>
      </w:r>
      <w:r w:rsidRPr="00FF4D7C">
        <w:rPr>
          <w:rFonts w:cs="Arial"/>
          <w:rtl/>
        </w:rPr>
        <w:t xml:space="preserve"> כב</w:t>
      </w:r>
      <w:r>
        <w:rPr>
          <w:rFonts w:cs="Arial" w:hint="cs"/>
          <w:rtl/>
        </w:rPr>
        <w:t>)</w:t>
      </w:r>
      <w:r w:rsidRPr="00FF4D7C">
        <w:rPr>
          <w:rFonts w:cs="Arial"/>
          <w:rtl/>
        </w:rPr>
        <w:t xml:space="preserve"> דאי' התם וכל שום אחר שהזכיר שם אביו</w:t>
      </w:r>
      <w:r>
        <w:rPr>
          <w:rFonts w:cs="Arial" w:hint="cs"/>
          <w:rtl/>
        </w:rPr>
        <w:t>.</w:t>
      </w:r>
      <w:r w:rsidRPr="00FF4D7C">
        <w:rPr>
          <w:rFonts w:cs="Arial"/>
          <w:rtl/>
        </w:rPr>
        <w:t xml:space="preserve"> ובסימן כ"ד שם </w:t>
      </w:r>
      <w:r w:rsidR="009334FF">
        <w:rPr>
          <w:rFonts w:cs="Arial"/>
          <w:rtl/>
        </w:rPr>
        <w:t>בהג"ה</w:t>
      </w:r>
      <w:r w:rsidRPr="00FF4D7C">
        <w:rPr>
          <w:rFonts w:cs="Arial"/>
          <w:rtl/>
        </w:rPr>
        <w:t xml:space="preserve"> כתב דכשהבן והאב שניהם עוזבי' דת כותבין וכל שום וחניכה דאית לי ולאבהתי העומד כו'</w:t>
      </w:r>
      <w:r>
        <w:rPr>
          <w:rFonts w:cs="Arial" w:hint="cs"/>
          <w:rtl/>
        </w:rPr>
        <w:t>.</w:t>
      </w:r>
      <w:r w:rsidRPr="00FF4D7C">
        <w:rPr>
          <w:rFonts w:cs="Arial"/>
          <w:rtl/>
        </w:rPr>
        <w:t xml:space="preserve"> וכשהבן לבדו עוזב דת כותבין וכל שום וחניכה דאית לי העומד כו'</w:t>
      </w:r>
      <w:r>
        <w:rPr>
          <w:rFonts w:cs="Arial" w:hint="cs"/>
          <w:rtl/>
        </w:rPr>
        <w:t>.</w:t>
      </w:r>
      <w:r w:rsidRPr="00FF4D7C">
        <w:rPr>
          <w:rFonts w:cs="Arial"/>
          <w:rtl/>
        </w:rPr>
        <w:t xml:space="preserve"> אבל בין כך ובין כך כותבין וכל שום לאחר שהזכיר שם אביו</w:t>
      </w:r>
      <w:r>
        <w:rPr>
          <w:rFonts w:cs="Arial" w:hint="cs"/>
          <w:rtl/>
        </w:rPr>
        <w:t>.</w:t>
      </w:r>
      <w:r w:rsidRPr="00FF4D7C">
        <w:rPr>
          <w:rFonts w:cs="Arial"/>
          <w:rtl/>
        </w:rPr>
        <w:t xml:space="preserve"> ונ"ל שכן עיקר מכמה טעמי' כו' ע"ש </w:t>
      </w:r>
      <w:r w:rsidRPr="000173CF">
        <w:rPr>
          <w:rFonts w:cs="Arial" w:hint="cs"/>
          <w:sz w:val="16"/>
          <w:szCs w:val="16"/>
          <w:rtl/>
        </w:rPr>
        <w:t>(</w:t>
      </w:r>
      <w:r w:rsidRPr="000173CF">
        <w:rPr>
          <w:rFonts w:cs="Arial"/>
          <w:sz w:val="16"/>
          <w:szCs w:val="16"/>
          <w:rtl/>
        </w:rPr>
        <w:t>ובסוף התשובה שם נדפס תשובת הגאון בעל מג"ש שנחלק על הב"ח בענין גט הנ"ל במה שציוה לכתוב דמתקרי לובא (כמו שיובא לקמן סעיף ט"ז) ובהא שתק ליה משמע שגם הוא ז"ל מסכי' לזה</w:t>
      </w:r>
      <w:r>
        <w:rPr>
          <w:rFonts w:cs="Arial" w:hint="cs"/>
          <w:sz w:val="16"/>
          <w:szCs w:val="16"/>
          <w:rtl/>
        </w:rPr>
        <w:t>)</w:t>
      </w:r>
      <w:r>
        <w:rPr>
          <w:rFonts w:hint="cs"/>
          <w:rtl/>
        </w:rPr>
        <w:t>, פת"ש (סקי"ב).</w:t>
      </w:r>
    </w:p>
  </w:footnote>
  <w:footnote w:id="1074">
    <w:p w14:paraId="71AEDDA3" w14:textId="77777777" w:rsidR="00FA2119" w:rsidRDefault="00FA2119" w:rsidP="00FA2119">
      <w:pPr>
        <w:pStyle w:val="a5"/>
      </w:pPr>
      <w:r>
        <w:rPr>
          <w:rStyle w:val="a7"/>
        </w:rPr>
        <w:footnoteRef/>
      </w:r>
      <w:r>
        <w:rPr>
          <w:rtl/>
        </w:rPr>
        <w:t xml:space="preserve"> </w:t>
      </w:r>
      <w:r w:rsidRPr="00967756">
        <w:rPr>
          <w:rFonts w:cs="Arial"/>
          <w:rtl/>
        </w:rPr>
        <w:t>וגם בזה כתב מהרי"ק בשורש הנזכר דאפילו נשתקע שם גיות ממנו כשר</w:t>
      </w:r>
      <w:r>
        <w:rPr>
          <w:rFonts w:cs="Arial" w:hint="cs"/>
          <w:rtl/>
        </w:rPr>
        <w:t xml:space="preserve">. </w:t>
      </w:r>
      <w:r w:rsidRPr="00A73EE5">
        <w:rPr>
          <w:rFonts w:hint="cs"/>
          <w:color w:val="E36C0A" w:themeColor="accent6" w:themeShade="BF"/>
          <w:rtl/>
        </w:rPr>
        <w:t>(וכ"פ בשו"ע)</w:t>
      </w:r>
      <w:r>
        <w:rPr>
          <w:rFonts w:cs="Arial" w:hint="cs"/>
          <w:rtl/>
        </w:rPr>
        <w:t>.</w:t>
      </w:r>
      <w:r w:rsidRPr="00967756">
        <w:rPr>
          <w:rFonts w:cs="Arial"/>
          <w:rtl/>
        </w:rPr>
        <w:t xml:space="preserve"> ויש לדחות כמו שכתבתי בסמוך</w:t>
      </w:r>
      <w:r>
        <w:rPr>
          <w:rFonts w:cs="Arial" w:hint="cs"/>
          <w:rtl/>
        </w:rPr>
        <w:t>, ב"י.</w:t>
      </w:r>
    </w:p>
  </w:footnote>
  <w:footnote w:id="1075">
    <w:p w14:paraId="5C79AF13" w14:textId="77777777" w:rsidR="00FA2119" w:rsidRDefault="00FA2119" w:rsidP="00FA2119">
      <w:pPr>
        <w:pStyle w:val="a5"/>
        <w:rPr>
          <w:rtl/>
        </w:rPr>
      </w:pPr>
      <w:r>
        <w:rPr>
          <w:rStyle w:val="a7"/>
        </w:rPr>
        <w:footnoteRef/>
      </w:r>
      <w:r>
        <w:rPr>
          <w:rtl/>
        </w:rPr>
        <w:t xml:space="preserve"> </w:t>
      </w:r>
      <w:r w:rsidRPr="00390632">
        <w:rPr>
          <w:rFonts w:cs="Arial"/>
          <w:rtl/>
        </w:rPr>
        <w:t xml:space="preserve">ובסדר גיטין שלנו </w:t>
      </w:r>
      <w:r>
        <w:rPr>
          <w:rFonts w:cs="Arial" w:hint="cs"/>
          <w:rtl/>
        </w:rPr>
        <w:t>(</w:t>
      </w:r>
      <w:r w:rsidRPr="00390632">
        <w:rPr>
          <w:rFonts w:cs="Arial"/>
          <w:rtl/>
        </w:rPr>
        <w:t>סי</w:t>
      </w:r>
      <w:r>
        <w:rPr>
          <w:rFonts w:cs="Arial" w:hint="cs"/>
          <w:rtl/>
        </w:rPr>
        <w:t xml:space="preserve">' </w:t>
      </w:r>
      <w:r w:rsidRPr="00390632">
        <w:rPr>
          <w:rFonts w:cs="Arial"/>
          <w:rtl/>
        </w:rPr>
        <w:t>כ ס"א) דלכתחלה לא יכתבו שום רב או חכם</w:t>
      </w:r>
      <w:r>
        <w:rPr>
          <w:rFonts w:cs="Arial" w:hint="cs"/>
          <w:rtl/>
        </w:rPr>
        <w:t>,</w:t>
      </w:r>
      <w:r w:rsidRPr="00390632">
        <w:rPr>
          <w:rFonts w:cs="Arial"/>
          <w:rtl/>
        </w:rPr>
        <w:t xml:space="preserve"> אלא כותבין פלוני בן פלוני אע</w:t>
      </w:r>
      <w:r>
        <w:rPr>
          <w:rFonts w:cs="Arial" w:hint="cs"/>
          <w:rtl/>
        </w:rPr>
        <w:t>"</w:t>
      </w:r>
      <w:r w:rsidRPr="00390632">
        <w:rPr>
          <w:rFonts w:cs="Arial"/>
          <w:rtl/>
        </w:rPr>
        <w:t>פ שאחד מהן חכם או רב. וכן כתב מהר"י מינץ (סדר הגט סי' לב) דהוא הדין אם אביו קדוש אין כותבין בן הקדוש אלא בן פלוני</w:t>
      </w:r>
      <w:r>
        <w:rPr>
          <w:rFonts w:cs="Arial" w:hint="cs"/>
          <w:rtl/>
        </w:rPr>
        <w:t>, דרכ"מ (אות ט).</w:t>
      </w:r>
      <w:r>
        <w:rPr>
          <w:rFonts w:hint="cs"/>
          <w:rtl/>
        </w:rPr>
        <w:t xml:space="preserve"> </w:t>
      </w:r>
      <w:r w:rsidRPr="00962425">
        <w:rPr>
          <w:rFonts w:hint="cs"/>
          <w:color w:val="00B0F0"/>
          <w:rtl/>
        </w:rPr>
        <w:t>(וכ"פ הרמ"א)</w:t>
      </w:r>
    </w:p>
  </w:footnote>
  <w:footnote w:id="1076">
    <w:p w14:paraId="433E454B" w14:textId="77777777" w:rsidR="00FA2119" w:rsidRDefault="00FA2119" w:rsidP="00FA2119">
      <w:pPr>
        <w:pStyle w:val="a5"/>
      </w:pPr>
      <w:r>
        <w:rPr>
          <w:rStyle w:val="a7"/>
        </w:rPr>
        <w:footnoteRef/>
      </w:r>
      <w:r>
        <w:rPr>
          <w:rtl/>
        </w:rPr>
        <w:t xml:space="preserve"> </w:t>
      </w:r>
      <w:r w:rsidRPr="00C54218">
        <w:rPr>
          <w:rFonts w:cs="Arial"/>
          <w:rtl/>
        </w:rPr>
        <w:t>ולי נראה דאין משם ראיה דאע"פ שהיו נוהגין לכתוב בשטרות כהן מהי תיתי שאם לא כתב כהן בגט שיפסל מפני כך. ועוד דהא בחניכתו לחוד כשר דיעבד והא ודאי שמו בלא כהן לא גרע מחניכתו לחוד. ואפילו יש שני יוסף בן שמעון בעיר אחת והאחד כהן וגירש את אשתו שלא בפני חבירו ולא כתב בגט הכהן נ"ל דבדיעבד כשר</w:t>
      </w:r>
      <w:r>
        <w:rPr>
          <w:rFonts w:cs="Arial" w:hint="cs"/>
          <w:rtl/>
        </w:rPr>
        <w:t>.</w:t>
      </w:r>
      <w:r w:rsidRPr="00C54218">
        <w:rPr>
          <w:rFonts w:cs="Arial"/>
          <w:rtl/>
        </w:rPr>
        <w:t xml:space="preserve"> וכן נראה שהוא דעת מהר"ר ישראל להכשיר היכא דלא כתב הכהן</w:t>
      </w:r>
      <w:r>
        <w:rPr>
          <w:rFonts w:cs="Arial" w:hint="cs"/>
          <w:rtl/>
        </w:rPr>
        <w:t>,</w:t>
      </w:r>
      <w:r w:rsidRPr="00C54218">
        <w:rPr>
          <w:rFonts w:cs="Arial"/>
          <w:rtl/>
        </w:rPr>
        <w:t xml:space="preserve"> שכתב (שם) בסימן ו' ועוד אומר הגאון אם המגרש ישראל והשני כהן או לוי אין צריך לכתוב שום הפרש אע</w:t>
      </w:r>
      <w:r>
        <w:rPr>
          <w:rFonts w:cs="Arial" w:hint="cs"/>
          <w:rtl/>
        </w:rPr>
        <w:t>"</w:t>
      </w:r>
      <w:r w:rsidRPr="00C54218">
        <w:rPr>
          <w:rFonts w:cs="Arial"/>
          <w:rtl/>
        </w:rPr>
        <w:t>פ שמתוך הגט לא ניכר שום הפרש</w:t>
      </w:r>
      <w:r>
        <w:rPr>
          <w:rFonts w:cs="Arial" w:hint="cs"/>
          <w:rtl/>
        </w:rPr>
        <w:t xml:space="preserve">, </w:t>
      </w:r>
      <w:r w:rsidRPr="00D5595B">
        <w:rPr>
          <w:rFonts w:cs="Arial" w:hint="cs"/>
          <w:b/>
          <w:bCs/>
          <w:rtl/>
        </w:rPr>
        <w:t>ב"י</w:t>
      </w:r>
      <w:r>
        <w:rPr>
          <w:rFonts w:cs="Arial" w:hint="cs"/>
          <w:rtl/>
        </w:rPr>
        <w:t>.</w:t>
      </w:r>
      <w:r w:rsidRPr="00C164D0">
        <w:rPr>
          <w:rFonts w:cs="Arial"/>
          <w:rtl/>
        </w:rPr>
        <w:t xml:space="preserve"> </w:t>
      </w:r>
      <w:r>
        <w:rPr>
          <w:rFonts w:cs="Arial" w:hint="cs"/>
          <w:rtl/>
        </w:rPr>
        <w:t xml:space="preserve">וגם </w:t>
      </w:r>
      <w:r w:rsidRPr="00D5595B">
        <w:rPr>
          <w:rFonts w:cs="Arial" w:hint="cs"/>
          <w:b/>
          <w:bCs/>
          <w:rtl/>
        </w:rPr>
        <w:t>הדרכ"מ</w:t>
      </w:r>
      <w:r>
        <w:rPr>
          <w:rFonts w:cs="Arial" w:hint="cs"/>
          <w:rtl/>
        </w:rPr>
        <w:t xml:space="preserve"> </w:t>
      </w:r>
      <w:r w:rsidRPr="00C164D0">
        <w:rPr>
          <w:rFonts w:cs="Arial"/>
          <w:rtl/>
        </w:rPr>
        <w:t>(</w:t>
      </w:r>
      <w:r>
        <w:rPr>
          <w:rFonts w:cs="Arial" w:hint="cs"/>
          <w:rtl/>
        </w:rPr>
        <w:t xml:space="preserve">אות </w:t>
      </w:r>
      <w:r w:rsidRPr="00C164D0">
        <w:rPr>
          <w:rFonts w:cs="Arial"/>
          <w:rtl/>
        </w:rPr>
        <w:t xml:space="preserve">כד*) </w:t>
      </w:r>
      <w:r>
        <w:rPr>
          <w:rFonts w:cs="Arial" w:hint="cs"/>
          <w:rtl/>
        </w:rPr>
        <w:t xml:space="preserve">כתב שמצא </w:t>
      </w:r>
      <w:r w:rsidRPr="00C164D0">
        <w:rPr>
          <w:rFonts w:cs="Arial"/>
          <w:rtl/>
        </w:rPr>
        <w:t>בתיקון ישן דיש מכשירין</w:t>
      </w:r>
      <w:r>
        <w:rPr>
          <w:rFonts w:cs="Arial" w:hint="cs"/>
          <w:rtl/>
        </w:rPr>
        <w:t>.</w:t>
      </w:r>
    </w:p>
  </w:footnote>
  <w:footnote w:id="1077">
    <w:p w14:paraId="46F51C79" w14:textId="3316AB5E" w:rsidR="00FA2119" w:rsidRDefault="00FA2119" w:rsidP="00FA2119">
      <w:pPr>
        <w:pStyle w:val="a5"/>
      </w:pPr>
      <w:r>
        <w:rPr>
          <w:rStyle w:val="a7"/>
        </w:rPr>
        <w:footnoteRef/>
      </w:r>
      <w:r w:rsidRPr="00C164D0">
        <w:rPr>
          <w:rFonts w:cs="Arial"/>
          <w:rtl/>
        </w:rPr>
        <w:t xml:space="preserve"> ובתשו</w:t>
      </w:r>
      <w:r>
        <w:rPr>
          <w:rFonts w:cs="Arial" w:hint="cs"/>
          <w:rtl/>
        </w:rPr>
        <w:t>'</w:t>
      </w:r>
      <w:r w:rsidRPr="00C164D0">
        <w:rPr>
          <w:rFonts w:cs="Arial"/>
          <w:rtl/>
        </w:rPr>
        <w:t xml:space="preserve"> מהר"י מינץ (סי' לד) בבת מומר ונסתפקו אם היה אביה כהן או לוי ונתן מספק ב' גיטין</w:t>
      </w:r>
      <w:r>
        <w:rPr>
          <w:rFonts w:cs="Arial" w:hint="cs"/>
          <w:rtl/>
        </w:rPr>
        <w:t>, דרכ"מ (אות כה).</w:t>
      </w:r>
      <w:r w:rsidRPr="00962425">
        <w:rPr>
          <w:rFonts w:hint="cs"/>
          <w:color w:val="00B0F0"/>
          <w:rtl/>
        </w:rPr>
        <w:t xml:space="preserve"> (</w:t>
      </w:r>
      <w:r>
        <w:rPr>
          <w:rFonts w:hint="cs"/>
          <w:color w:val="00B0F0"/>
          <w:rtl/>
        </w:rPr>
        <w:t>וכ</w:t>
      </w:r>
      <w:r>
        <w:rPr>
          <w:color w:val="00B0F0"/>
          <w:rtl/>
        </w:rPr>
        <w:t>"</w:t>
      </w:r>
      <w:r>
        <w:rPr>
          <w:rFonts w:hint="cs"/>
          <w:color w:val="00B0F0"/>
          <w:rtl/>
        </w:rPr>
        <w:t xml:space="preserve">פ </w:t>
      </w:r>
      <w:r w:rsidR="009334FF">
        <w:rPr>
          <w:rFonts w:hint="cs"/>
          <w:color w:val="00B0F0"/>
          <w:rtl/>
        </w:rPr>
        <w:t>בהג</w:t>
      </w:r>
      <w:r w:rsidR="009334FF">
        <w:rPr>
          <w:color w:val="00B0F0"/>
          <w:rtl/>
        </w:rPr>
        <w:t>"</w:t>
      </w:r>
      <w:r w:rsidR="009334FF">
        <w:rPr>
          <w:rFonts w:hint="cs"/>
          <w:color w:val="00B0F0"/>
          <w:rtl/>
        </w:rPr>
        <w:t>ה</w:t>
      </w:r>
      <w:r w:rsidRPr="00962425">
        <w:rPr>
          <w:rFonts w:hint="cs"/>
          <w:color w:val="00B0F0"/>
          <w:rtl/>
        </w:rPr>
        <w:t>)</w:t>
      </w:r>
    </w:p>
  </w:footnote>
  <w:footnote w:id="1078">
    <w:p w14:paraId="445219B6" w14:textId="77777777" w:rsidR="00FA2119" w:rsidRDefault="00FA2119" w:rsidP="00FA2119">
      <w:pPr>
        <w:pStyle w:val="a5"/>
      </w:pPr>
      <w:r>
        <w:rPr>
          <w:rStyle w:val="a7"/>
        </w:rPr>
        <w:footnoteRef/>
      </w:r>
      <w:r>
        <w:rPr>
          <w:rtl/>
        </w:rPr>
        <w:t xml:space="preserve"> </w:t>
      </w:r>
      <w:r w:rsidRPr="005B7B8B">
        <w:rPr>
          <w:rFonts w:cs="Arial"/>
          <w:rtl/>
        </w:rPr>
        <w:t>ובסי</w:t>
      </w:r>
      <w:r>
        <w:rPr>
          <w:rFonts w:cs="Arial" w:hint="cs"/>
          <w:rtl/>
        </w:rPr>
        <w:t>'</w:t>
      </w:r>
      <w:r w:rsidRPr="005B7B8B">
        <w:rPr>
          <w:rFonts w:cs="Arial"/>
          <w:rtl/>
        </w:rPr>
        <w:t xml:space="preserve"> י' כתב שכן משמע בתוס</w:t>
      </w:r>
      <w:r>
        <w:rPr>
          <w:rFonts w:cs="Arial" w:hint="cs"/>
          <w:rtl/>
        </w:rPr>
        <w:t>'</w:t>
      </w:r>
      <w:r w:rsidRPr="005B7B8B">
        <w:rPr>
          <w:rFonts w:cs="Arial"/>
          <w:rtl/>
        </w:rPr>
        <w:t xml:space="preserve"> (כד: ד"ה בעדי). ואפשר שהוא הדין אפילו כשהכינוי שיש לו אינו קיצור השם סובר כן</w:t>
      </w:r>
      <w:r>
        <w:rPr>
          <w:rFonts w:cs="Arial" w:hint="cs"/>
          <w:rtl/>
        </w:rPr>
        <w:t>, ב"י.</w:t>
      </w:r>
    </w:p>
  </w:footnote>
  <w:footnote w:id="1079">
    <w:p w14:paraId="1CB12719" w14:textId="5FE5C413" w:rsidR="00FA2119" w:rsidRDefault="00FA2119" w:rsidP="00FA2119">
      <w:pPr>
        <w:pStyle w:val="a5"/>
      </w:pPr>
      <w:r>
        <w:rPr>
          <w:rStyle w:val="a7"/>
        </w:rPr>
        <w:footnoteRef/>
      </w:r>
      <w:r>
        <w:rPr>
          <w:rtl/>
        </w:rPr>
        <w:t xml:space="preserve"> </w:t>
      </w:r>
      <w:r w:rsidRPr="00390632">
        <w:rPr>
          <w:rFonts w:cs="Arial"/>
          <w:rtl/>
        </w:rPr>
        <w:t>מיהו ראיתי קצת גיטין שכתבו הכינוי קודם</w:t>
      </w:r>
      <w:r>
        <w:rPr>
          <w:rFonts w:cs="Arial" w:hint="cs"/>
          <w:rtl/>
        </w:rPr>
        <w:t>, סדר גיטין (שם). וכתב עוד (</w:t>
      </w:r>
      <w:r w:rsidRPr="00390632">
        <w:rPr>
          <w:rFonts w:cs="Arial"/>
          <w:rtl/>
        </w:rPr>
        <w:t>בסי</w:t>
      </w:r>
      <w:r>
        <w:rPr>
          <w:rFonts w:cs="Arial" w:hint="cs"/>
          <w:rtl/>
        </w:rPr>
        <w:t>'</w:t>
      </w:r>
      <w:r w:rsidRPr="00390632">
        <w:rPr>
          <w:rFonts w:cs="Arial"/>
          <w:rtl/>
        </w:rPr>
        <w:t xml:space="preserve"> כח ס"ד)</w:t>
      </w:r>
      <w:r>
        <w:rPr>
          <w:rFonts w:cs="Arial" w:hint="cs"/>
          <w:rtl/>
        </w:rPr>
        <w:t>-</w:t>
      </w:r>
      <w:r w:rsidRPr="00390632">
        <w:rPr>
          <w:rFonts w:cs="Arial"/>
          <w:rtl/>
        </w:rPr>
        <w:t xml:space="preserve"> מהרי"ק כתב אהרן דמתקרי אלעזר הכהן</w:t>
      </w:r>
      <w:r>
        <w:rPr>
          <w:rFonts w:cs="Arial" w:hint="cs"/>
          <w:rtl/>
        </w:rPr>
        <w:t>,</w:t>
      </w:r>
      <w:r w:rsidRPr="00390632">
        <w:rPr>
          <w:rFonts w:cs="Arial"/>
          <w:rtl/>
        </w:rPr>
        <w:t xml:space="preserve"> וכתב כן לכתחלה</w:t>
      </w:r>
      <w:r>
        <w:rPr>
          <w:rFonts w:cs="Arial" w:hint="cs"/>
          <w:rtl/>
        </w:rPr>
        <w:t>.</w:t>
      </w:r>
      <w:r w:rsidRPr="00390632">
        <w:rPr>
          <w:rFonts w:cs="Arial"/>
          <w:rtl/>
        </w:rPr>
        <w:t xml:space="preserve"> ואולי יש לחלק בין מתקרי למכונה עכ"ל</w:t>
      </w:r>
      <w:r>
        <w:rPr>
          <w:rFonts w:cs="Arial" w:hint="cs"/>
          <w:rtl/>
        </w:rPr>
        <w:t>, דרכ"מ (אות ט)</w:t>
      </w:r>
      <w:r>
        <w:rPr>
          <w:rFonts w:hint="cs"/>
          <w:rtl/>
        </w:rPr>
        <w:t>.</w:t>
      </w:r>
      <w:r w:rsidRPr="00FF45A4">
        <w:rPr>
          <w:rFonts w:hint="cs"/>
          <w:color w:val="00B0F0"/>
          <w:rtl/>
        </w:rPr>
        <w:t xml:space="preserve"> </w:t>
      </w:r>
      <w:r w:rsidRPr="00962425">
        <w:rPr>
          <w:rFonts w:hint="cs"/>
          <w:color w:val="00B0F0"/>
          <w:rtl/>
        </w:rPr>
        <w:t>(</w:t>
      </w:r>
      <w:r>
        <w:rPr>
          <w:rFonts w:hint="cs"/>
          <w:color w:val="00B0F0"/>
          <w:rtl/>
        </w:rPr>
        <w:t>וכ</w:t>
      </w:r>
      <w:r>
        <w:rPr>
          <w:color w:val="00B0F0"/>
          <w:rtl/>
        </w:rPr>
        <w:t>"</w:t>
      </w:r>
      <w:r>
        <w:rPr>
          <w:rFonts w:hint="cs"/>
          <w:color w:val="00B0F0"/>
          <w:rtl/>
        </w:rPr>
        <w:t xml:space="preserve">פ </w:t>
      </w:r>
      <w:r w:rsidR="009334FF">
        <w:rPr>
          <w:rFonts w:hint="cs"/>
          <w:color w:val="00B0F0"/>
          <w:rtl/>
        </w:rPr>
        <w:t>בהג</w:t>
      </w:r>
      <w:r w:rsidR="009334FF">
        <w:rPr>
          <w:color w:val="00B0F0"/>
          <w:rtl/>
        </w:rPr>
        <w:t>"</w:t>
      </w:r>
      <w:r w:rsidR="009334FF">
        <w:rPr>
          <w:rFonts w:hint="cs"/>
          <w:color w:val="00B0F0"/>
          <w:rtl/>
        </w:rPr>
        <w:t>ה</w:t>
      </w:r>
      <w:r w:rsidRPr="00962425">
        <w:rPr>
          <w:rFonts w:hint="cs"/>
          <w:color w:val="00B0F0"/>
          <w:rtl/>
        </w:rPr>
        <w:t>)</w:t>
      </w:r>
    </w:p>
  </w:footnote>
  <w:footnote w:id="1080">
    <w:p w14:paraId="5335A49A" w14:textId="77777777" w:rsidR="00FA2119" w:rsidRDefault="00FA2119" w:rsidP="00FA2119">
      <w:pPr>
        <w:pStyle w:val="a5"/>
      </w:pPr>
      <w:r>
        <w:rPr>
          <w:rStyle w:val="a7"/>
        </w:rPr>
        <w:footnoteRef/>
      </w:r>
      <w:r>
        <w:rPr>
          <w:rtl/>
        </w:rPr>
        <w:t xml:space="preserve"> </w:t>
      </w:r>
      <w:r w:rsidRPr="00FF45A4">
        <w:rPr>
          <w:rFonts w:cs="Arial"/>
          <w:rtl/>
        </w:rPr>
        <w:t>לכאורה תמוה למה אין כותבין רב הלא אם אין כותבין רב הוי כשינוי כיון דהוא נקרא בשם רב וכ"כ בש"ג בפ' הזורק אם כתב טובי' והוא נקרא רב טובי' חוששין לשינוי השם, ונראה לסי' כותבין רב אם יש עוד אחר בעיר דשמו כך הוא ולא נקרא בשם רב וכ"כ בנ"ש</w:t>
      </w:r>
      <w:r>
        <w:rPr>
          <w:rFonts w:cs="Arial" w:hint="cs"/>
          <w:rtl/>
        </w:rPr>
        <w:t>, ב"ש (סקי"ג).</w:t>
      </w:r>
    </w:p>
  </w:footnote>
  <w:footnote w:id="1081">
    <w:p w14:paraId="4BF87C77" w14:textId="77777777" w:rsidR="00FA2119" w:rsidRDefault="00FA2119" w:rsidP="00FA2119">
      <w:pPr>
        <w:pStyle w:val="a5"/>
        <w:rPr>
          <w:rtl/>
        </w:rPr>
      </w:pPr>
      <w:r>
        <w:rPr>
          <w:rStyle w:val="a7"/>
        </w:rPr>
        <w:footnoteRef/>
      </w:r>
      <w:r>
        <w:rPr>
          <w:rtl/>
        </w:rPr>
        <w:t xml:space="preserve"> </w:t>
      </w:r>
      <w:r w:rsidRPr="00DE043B">
        <w:rPr>
          <w:rFonts w:cs="Arial"/>
          <w:rtl/>
        </w:rPr>
        <w:t>וכתב בלבוש אם אבי האשה כהן ולא כתב כהן אם ניתן הגט כשר משום דאין מקפידין כ"כ בכינוי האבות</w:t>
      </w:r>
      <w:r>
        <w:rPr>
          <w:rFonts w:cs="Arial" w:hint="cs"/>
          <w:rtl/>
        </w:rPr>
        <w:t>.</w:t>
      </w:r>
      <w:r w:rsidRPr="00DE043B">
        <w:rPr>
          <w:rFonts w:cs="Arial"/>
          <w:rtl/>
        </w:rPr>
        <w:t xml:space="preserve"> נשמע דס"ל אם לא כתב כהן אצל המגרש אפילו ניתן הגט פסול</w:t>
      </w:r>
      <w:r>
        <w:rPr>
          <w:rFonts w:cs="Arial" w:hint="cs"/>
          <w:rtl/>
        </w:rPr>
        <w:t>.</w:t>
      </w:r>
      <w:r w:rsidRPr="00DE043B">
        <w:rPr>
          <w:rFonts w:cs="Arial"/>
          <w:rtl/>
        </w:rPr>
        <w:t xml:space="preserve"> ומה שהכשיר בהג"ה צ"ל היינו דוקא כשניתן הגט והוא שעת הדחק שא"א ליתן גט אחר אז מכשיר</w:t>
      </w:r>
      <w:r>
        <w:rPr>
          <w:rFonts w:cs="Arial" w:hint="cs"/>
          <w:rtl/>
        </w:rPr>
        <w:t>.</w:t>
      </w:r>
      <w:r w:rsidRPr="00DE043B">
        <w:rPr>
          <w:rFonts w:cs="Arial"/>
          <w:rtl/>
        </w:rPr>
        <w:t xml:space="preserve"> וכ"כ בספר שמות</w:t>
      </w:r>
      <w:r>
        <w:rPr>
          <w:rFonts w:cs="Arial" w:hint="cs"/>
          <w:rtl/>
        </w:rPr>
        <w:t>.</w:t>
      </w:r>
      <w:r w:rsidRPr="00DE043B">
        <w:rPr>
          <w:rFonts w:cs="Arial"/>
          <w:rtl/>
        </w:rPr>
        <w:t xml:space="preserve"> וכן כשהוא שעת הדחק ועדיין לא ניתן מקילין ג"כ ונותנין הגט שם ולא כותבין כהן אצל שם המגרש אלא רק אצל שם אביו ופשוט</w:t>
      </w:r>
      <w:r>
        <w:rPr>
          <w:rFonts w:hint="cs"/>
          <w:rtl/>
        </w:rPr>
        <w:t>, ב"ש (סקי"ג).</w:t>
      </w:r>
    </w:p>
  </w:footnote>
  <w:footnote w:id="1082">
    <w:p w14:paraId="16CBB6E0" w14:textId="77777777" w:rsidR="00FA2119" w:rsidRDefault="00FA2119" w:rsidP="00FA2119">
      <w:pPr>
        <w:pStyle w:val="a5"/>
        <w:rPr>
          <w:rtl/>
        </w:rPr>
      </w:pPr>
      <w:r>
        <w:rPr>
          <w:rStyle w:val="a7"/>
        </w:rPr>
        <w:footnoteRef/>
      </w:r>
      <w:r>
        <w:rPr>
          <w:rtl/>
        </w:rPr>
        <w:t xml:space="preserve"> </w:t>
      </w:r>
      <w:r w:rsidRPr="00DE043B">
        <w:rPr>
          <w:rFonts w:cs="Arial"/>
          <w:rtl/>
        </w:rPr>
        <w:t>כתב בס' ג"פ סקל"ה משמע דכותבין בה"א הכהן או הלוי מיהו אם כתבו כהן או לוי בלא ה"א ליכא קפידא בזה ולכתחילה נכון לכתוב כמנהג חתימתו ועלייתו לס"ת. ויש מן הלוים שחותמין לבית הלוי אם כתבו כך בגט כשר בדיעבד אך לכתחלה יכתבו הלוי אף שחותם עצמו לבית הלוי ע"ש</w:t>
      </w:r>
      <w:r>
        <w:rPr>
          <w:rFonts w:hint="cs"/>
          <w:rtl/>
        </w:rPr>
        <w:t>, פת"ש (סקט"ו).</w:t>
      </w:r>
    </w:p>
  </w:footnote>
  <w:footnote w:id="1083">
    <w:p w14:paraId="20337A75" w14:textId="3A4A93A7" w:rsidR="00FA2119" w:rsidRDefault="00FA2119" w:rsidP="00FA2119">
      <w:pPr>
        <w:pStyle w:val="a5"/>
        <w:rPr>
          <w:rtl/>
        </w:rPr>
      </w:pPr>
      <w:r>
        <w:rPr>
          <w:rStyle w:val="a7"/>
        </w:rPr>
        <w:footnoteRef/>
      </w:r>
      <w:r>
        <w:rPr>
          <w:rtl/>
        </w:rPr>
        <w:t xml:space="preserve"> </w:t>
      </w:r>
      <w:r w:rsidRPr="00356EA3">
        <w:rPr>
          <w:rFonts w:cs="Arial"/>
          <w:rtl/>
        </w:rPr>
        <w:t xml:space="preserve">עיין בספר ג"פ </w:t>
      </w:r>
      <w:r>
        <w:rPr>
          <w:rFonts w:cs="Arial" w:hint="cs"/>
          <w:rtl/>
        </w:rPr>
        <w:t>(</w:t>
      </w:r>
      <w:r w:rsidRPr="00356EA3">
        <w:rPr>
          <w:rFonts w:cs="Arial"/>
          <w:rtl/>
        </w:rPr>
        <w:t>סקל"ו</w:t>
      </w:r>
      <w:r>
        <w:rPr>
          <w:rFonts w:cs="Arial" w:hint="cs"/>
          <w:rtl/>
        </w:rPr>
        <w:t>)</w:t>
      </w:r>
      <w:r w:rsidRPr="00356EA3">
        <w:rPr>
          <w:rFonts w:cs="Arial"/>
          <w:rtl/>
        </w:rPr>
        <w:t xml:space="preserve"> מ"ש בזה והביא שם תשובת האחרונים ז"ל מהר"א ששון </w:t>
      </w:r>
      <w:r>
        <w:rPr>
          <w:rFonts w:cs="Arial" w:hint="cs"/>
          <w:rtl/>
        </w:rPr>
        <w:t>(</w:t>
      </w:r>
      <w:r w:rsidRPr="00356EA3">
        <w:rPr>
          <w:rFonts w:cs="Arial"/>
          <w:rtl/>
        </w:rPr>
        <w:t>סי' כב</w:t>
      </w:r>
      <w:r>
        <w:rPr>
          <w:rFonts w:cs="Arial" w:hint="cs"/>
          <w:rtl/>
        </w:rPr>
        <w:t>)</w:t>
      </w:r>
      <w:r w:rsidRPr="00356EA3">
        <w:rPr>
          <w:rFonts w:cs="Arial"/>
          <w:rtl/>
        </w:rPr>
        <w:t xml:space="preserve"> ומהרי"ט </w:t>
      </w:r>
      <w:r>
        <w:rPr>
          <w:rFonts w:cs="Arial" w:hint="cs"/>
          <w:rtl/>
        </w:rPr>
        <w:t>(</w:t>
      </w:r>
      <w:r w:rsidRPr="00356EA3">
        <w:rPr>
          <w:rFonts w:cs="Arial"/>
          <w:rtl/>
        </w:rPr>
        <w:t>ס' שמות</w:t>
      </w:r>
      <w:r>
        <w:rPr>
          <w:rFonts w:cs="Arial" w:hint="cs"/>
          <w:rtl/>
        </w:rPr>
        <w:t>)</w:t>
      </w:r>
      <w:r w:rsidRPr="00356EA3">
        <w:rPr>
          <w:rFonts w:cs="Arial"/>
          <w:rtl/>
        </w:rPr>
        <w:t xml:space="preserve"> ומהרש"ך </w:t>
      </w:r>
      <w:r>
        <w:rPr>
          <w:rFonts w:cs="Arial" w:hint="cs"/>
          <w:rtl/>
        </w:rPr>
        <w:t>(</w:t>
      </w:r>
      <w:r w:rsidRPr="00356EA3">
        <w:rPr>
          <w:rFonts w:cs="Arial"/>
          <w:rtl/>
        </w:rPr>
        <w:t>ח"ג סי' צ</w:t>
      </w:r>
      <w:r>
        <w:rPr>
          <w:rFonts w:cs="Arial" w:hint="cs"/>
          <w:rtl/>
        </w:rPr>
        <w:t>ג)</w:t>
      </w:r>
      <w:r w:rsidRPr="00356EA3">
        <w:rPr>
          <w:rFonts w:cs="Arial"/>
          <w:rtl/>
        </w:rPr>
        <w:t xml:space="preserve"> והראנ"ח </w:t>
      </w:r>
      <w:r>
        <w:rPr>
          <w:rFonts w:cs="Arial" w:hint="cs"/>
          <w:rtl/>
        </w:rPr>
        <w:t>(</w:t>
      </w:r>
      <w:r w:rsidRPr="00356EA3">
        <w:rPr>
          <w:rFonts w:cs="Arial"/>
          <w:rtl/>
        </w:rPr>
        <w:t>ח"א סי' יא</w:t>
      </w:r>
      <w:r>
        <w:rPr>
          <w:rFonts w:cs="Arial" w:hint="cs"/>
          <w:rtl/>
        </w:rPr>
        <w:t>)</w:t>
      </w:r>
      <w:r w:rsidRPr="00356EA3">
        <w:rPr>
          <w:rFonts w:cs="Arial"/>
          <w:rtl/>
        </w:rPr>
        <w:t xml:space="preserve"> שנחלק</w:t>
      </w:r>
      <w:r>
        <w:rPr>
          <w:rFonts w:cs="Arial" w:hint="cs"/>
          <w:rtl/>
        </w:rPr>
        <w:t>ו</w:t>
      </w:r>
      <w:r w:rsidRPr="00356EA3">
        <w:rPr>
          <w:rFonts w:cs="Arial"/>
          <w:rtl/>
        </w:rPr>
        <w:t xml:space="preserve"> בדין זה. ועיין בס' ישועות יעקב מ"ש בזה ומסיק </w:t>
      </w:r>
      <w:r w:rsidR="000A0F5A">
        <w:rPr>
          <w:rFonts w:cs="Arial"/>
          <w:rtl/>
        </w:rPr>
        <w:t>וז"ל:</w:t>
      </w:r>
      <w:r w:rsidRPr="00356EA3">
        <w:rPr>
          <w:rFonts w:cs="Arial"/>
          <w:rtl/>
        </w:rPr>
        <w:t xml:space="preserve"> ולענין הלכה בדיעבד לפי מנהגינו שכותבין בגט כהן נחלקו הרבנים האחרונים בדבר אם כבר ניתן הגט ולעד"נ להכשיר דלא יהא עיקר שם רק כחניכה מפורסמת דכשר וגם כיון דהמנהג בכל א"י שלא לכתוב אפי' לכתחילה שייך לומר אינהו מיכל אכלי כו' וכן עשיתי מעשה בגט כזה הבא לידי ממדינת וואלחיי והכשרתי בשעת הדחק </w:t>
      </w:r>
      <w:r w:rsidRPr="00356EA3">
        <w:rPr>
          <w:rFonts w:cs="Arial"/>
          <w:sz w:val="16"/>
          <w:szCs w:val="16"/>
          <w:rtl/>
        </w:rPr>
        <w:t xml:space="preserve">(משמע שהכשיר אפי' ליתן לכתחילה כיון שהיה שעה"ד) </w:t>
      </w:r>
      <w:r w:rsidRPr="00356EA3">
        <w:rPr>
          <w:rFonts w:cs="Arial"/>
          <w:rtl/>
        </w:rPr>
        <w:t>וכנ"ל ברור לדינא עכ"ל</w:t>
      </w:r>
      <w:r>
        <w:rPr>
          <w:rFonts w:hint="cs"/>
          <w:rtl/>
        </w:rPr>
        <w:t>, פת"ש (סקט"ז).</w:t>
      </w:r>
    </w:p>
  </w:footnote>
  <w:footnote w:id="1084">
    <w:p w14:paraId="71ED8E20" w14:textId="77777777" w:rsidR="00FA2119" w:rsidRDefault="00FA2119" w:rsidP="00FA2119">
      <w:pPr>
        <w:pStyle w:val="a5"/>
      </w:pPr>
      <w:r>
        <w:rPr>
          <w:rStyle w:val="a7"/>
        </w:rPr>
        <w:footnoteRef/>
      </w:r>
      <w:r>
        <w:rPr>
          <w:rtl/>
        </w:rPr>
        <w:t xml:space="preserve"> </w:t>
      </w:r>
      <w:r w:rsidRPr="003123F8">
        <w:rPr>
          <w:rFonts w:cs="Arial"/>
          <w:rtl/>
        </w:rPr>
        <w:t>משום בר יש לפרש לשון חוץ ובגיטין כותבין לשון ברור מיהו בדיעבד כשר</w:t>
      </w:r>
      <w:r>
        <w:rPr>
          <w:rFonts w:cs="Arial" w:hint="cs"/>
          <w:rtl/>
        </w:rPr>
        <w:t>, ב"ש (סקט"ז).</w:t>
      </w:r>
      <w:r w:rsidRPr="007F7E74">
        <w:rPr>
          <w:rtl/>
        </w:rPr>
        <w:t xml:space="preserve"> </w:t>
      </w:r>
      <w:r w:rsidRPr="007F7E74">
        <w:rPr>
          <w:rFonts w:cs="Arial"/>
          <w:rtl/>
        </w:rPr>
        <w:t xml:space="preserve">וכ"כ הרמ"א </w:t>
      </w:r>
      <w:r>
        <w:rPr>
          <w:rFonts w:cs="Arial" w:hint="cs"/>
          <w:rtl/>
        </w:rPr>
        <w:t>לעיל (ב</w:t>
      </w:r>
      <w:r w:rsidRPr="007F7E74">
        <w:rPr>
          <w:rFonts w:cs="Arial"/>
          <w:rtl/>
        </w:rPr>
        <w:t>סי' קכו ס"ל</w:t>
      </w:r>
      <w:r>
        <w:rPr>
          <w:rFonts w:cs="Arial" w:hint="cs"/>
          <w:rtl/>
        </w:rPr>
        <w:t>)</w:t>
      </w:r>
      <w:r w:rsidRPr="007F7E74">
        <w:rPr>
          <w:rFonts w:cs="Arial"/>
          <w:rtl/>
        </w:rPr>
        <w:t>.</w:t>
      </w:r>
    </w:p>
  </w:footnote>
  <w:footnote w:id="1085">
    <w:p w14:paraId="41726799" w14:textId="15850B6E"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B81881">
        <w:rPr>
          <w:rFonts w:cs="Arial"/>
          <w:rtl/>
        </w:rPr>
        <w:t>אנא פלוני בר פלוני דממקום פלוני וכל שום אחרן וחניכה דאית לי ולאבהתי ולאתרי ולאתריהון דאבהתי</w:t>
      </w:r>
      <w:r>
        <w:rPr>
          <w:rFonts w:cs="Arial" w:hint="cs"/>
          <w:rtl/>
        </w:rPr>
        <w:t>.</w:t>
      </w:r>
    </w:p>
  </w:footnote>
  <w:footnote w:id="1086">
    <w:p w14:paraId="5CFD29BA" w14:textId="77777777" w:rsidR="00FA2119" w:rsidRDefault="00FA2119" w:rsidP="00FA2119">
      <w:pPr>
        <w:pStyle w:val="a5"/>
        <w:rPr>
          <w:rtl/>
        </w:rPr>
      </w:pPr>
      <w:r>
        <w:rPr>
          <w:rStyle w:val="a7"/>
        </w:rPr>
        <w:footnoteRef/>
      </w:r>
      <w:r>
        <w:rPr>
          <w:rtl/>
        </w:rPr>
        <w:t xml:space="preserve"> </w:t>
      </w:r>
      <w:r w:rsidRPr="00A63548">
        <w:rPr>
          <w:rFonts w:cs="Arial"/>
          <w:rtl/>
        </w:rPr>
        <w:t>משמע שלשון זה היו כותבין בגט</w:t>
      </w:r>
      <w:r>
        <w:rPr>
          <w:rFonts w:cs="Arial" w:hint="cs"/>
          <w:rtl/>
        </w:rPr>
        <w:t>.</w:t>
      </w:r>
      <w:r w:rsidRPr="00A63548">
        <w:rPr>
          <w:rFonts w:cs="Arial"/>
          <w:rtl/>
        </w:rPr>
        <w:t xml:space="preserve"> ואין נראה לר"ת</w:t>
      </w:r>
      <w:r>
        <w:rPr>
          <w:rFonts w:cs="Arial" w:hint="cs"/>
          <w:rtl/>
        </w:rPr>
        <w:t>,</w:t>
      </w:r>
      <w:r w:rsidRPr="00A63548">
        <w:rPr>
          <w:rFonts w:cs="Arial"/>
          <w:rtl/>
        </w:rPr>
        <w:t xml:space="preserve"> דזימנין דאתי לידי תקלה כשאין לו אלא אותו שם הכתוב בגט ואין לו חניכה</w:t>
      </w:r>
      <w:r>
        <w:rPr>
          <w:rFonts w:cs="Arial" w:hint="cs"/>
          <w:rtl/>
        </w:rPr>
        <w:t>,</w:t>
      </w:r>
      <w:r w:rsidRPr="00A63548">
        <w:rPr>
          <w:rFonts w:cs="Arial"/>
          <w:rtl/>
        </w:rPr>
        <w:t xml:space="preserve"> וכשכותב בגט </w:t>
      </w:r>
      <w:r>
        <w:rPr>
          <w:rFonts w:cs="Arial" w:hint="cs"/>
          <w:rtl/>
        </w:rPr>
        <w:t>'</w:t>
      </w:r>
      <w:r w:rsidRPr="00A63548">
        <w:rPr>
          <w:rFonts w:cs="Arial"/>
          <w:rtl/>
        </w:rPr>
        <w:t>וכל שום וחניכה</w:t>
      </w:r>
      <w:r>
        <w:rPr>
          <w:rFonts w:cs="Arial" w:hint="cs"/>
          <w:rtl/>
        </w:rPr>
        <w:t>'</w:t>
      </w:r>
      <w:r w:rsidRPr="00A63548">
        <w:rPr>
          <w:rFonts w:cs="Arial"/>
          <w:rtl/>
        </w:rPr>
        <w:t xml:space="preserve"> נראה זה הגט של אדם אחר שיש לו שם וחניכה</w:t>
      </w:r>
      <w:r>
        <w:rPr>
          <w:rFonts w:hint="cs"/>
          <w:rtl/>
        </w:rPr>
        <w:t>, תוס' (שם).</w:t>
      </w:r>
    </w:p>
  </w:footnote>
  <w:footnote w:id="1087">
    <w:p w14:paraId="7736B9E8" w14:textId="77777777" w:rsidR="00FA2119" w:rsidRDefault="00FA2119" w:rsidP="00FA2119">
      <w:pPr>
        <w:pStyle w:val="a5"/>
      </w:pPr>
      <w:r>
        <w:rPr>
          <w:rStyle w:val="a7"/>
        </w:rPr>
        <w:footnoteRef/>
      </w:r>
      <w:r>
        <w:rPr>
          <w:rtl/>
        </w:rPr>
        <w:t xml:space="preserve"> </w:t>
      </w:r>
      <w:r>
        <w:rPr>
          <w:rFonts w:hint="cs"/>
          <w:rtl/>
        </w:rPr>
        <w:t>ד</w:t>
      </w:r>
      <w:r w:rsidRPr="00A63548">
        <w:rPr>
          <w:rFonts w:cs="Arial"/>
          <w:rtl/>
        </w:rPr>
        <w:t>וכל שום שיש לו דקתני במתני</w:t>
      </w:r>
      <w:r>
        <w:rPr>
          <w:rFonts w:cs="Arial" w:hint="cs"/>
          <w:rtl/>
        </w:rPr>
        <w:t>תין</w:t>
      </w:r>
      <w:r w:rsidRPr="00A63548">
        <w:rPr>
          <w:rFonts w:cs="Arial"/>
          <w:rtl/>
        </w:rPr>
        <w:t xml:space="preserve"> היינו כל שמותיו בפירוש</w:t>
      </w:r>
      <w:r>
        <w:rPr>
          <w:rFonts w:cs="Arial" w:hint="cs"/>
          <w:rtl/>
        </w:rPr>
        <w:t>.</w:t>
      </w:r>
      <w:r w:rsidRPr="00A63548">
        <w:rPr>
          <w:rFonts w:cs="Arial"/>
          <w:rtl/>
        </w:rPr>
        <w:t xml:space="preserve"> ותיקן ר"ת לכתוב בגט </w:t>
      </w:r>
      <w:r>
        <w:rPr>
          <w:rFonts w:cs="Arial" w:hint="cs"/>
          <w:rtl/>
        </w:rPr>
        <w:t>'</w:t>
      </w:r>
      <w:r w:rsidRPr="00A63548">
        <w:rPr>
          <w:rFonts w:cs="Arial"/>
          <w:rtl/>
        </w:rPr>
        <w:t>אני פלוני דמיתקרי כך וכך</w:t>
      </w:r>
      <w:r>
        <w:rPr>
          <w:rFonts w:cs="Arial" w:hint="cs"/>
          <w:rtl/>
        </w:rPr>
        <w:t>',</w:t>
      </w:r>
      <w:r w:rsidRPr="00A63548">
        <w:rPr>
          <w:rFonts w:cs="Arial"/>
          <w:rtl/>
        </w:rPr>
        <w:t xml:space="preserve"> כדאמרי' בגמרא שרה דמיתקריא מרים</w:t>
      </w:r>
      <w:r>
        <w:rPr>
          <w:rFonts w:cs="Arial" w:hint="cs"/>
          <w:rtl/>
        </w:rPr>
        <w:t>,</w:t>
      </w:r>
      <w:r w:rsidRPr="00A63548">
        <w:rPr>
          <w:rFonts w:cs="Arial"/>
          <w:rtl/>
        </w:rPr>
        <w:t xml:space="preserve"> אחא בר הדיא דמיתקרי איה מרי</w:t>
      </w:r>
      <w:r>
        <w:rPr>
          <w:rFonts w:cs="Arial" w:hint="cs"/>
          <w:rtl/>
        </w:rPr>
        <w:t>.</w:t>
      </w:r>
      <w:r w:rsidRPr="00A63548">
        <w:rPr>
          <w:rFonts w:cs="Arial"/>
          <w:rtl/>
        </w:rPr>
        <w:t xml:space="preserve"> והא דקתני בגמ' בשמו שביהודה ושם דגליל עמו משמע קצת כפי' ר"ת</w:t>
      </w:r>
      <w:r>
        <w:rPr>
          <w:rFonts w:cs="Arial" w:hint="cs"/>
          <w:rtl/>
        </w:rPr>
        <w:t xml:space="preserve">, </w:t>
      </w:r>
      <w:r w:rsidRPr="00B20D80">
        <w:rPr>
          <w:rFonts w:cs="Arial" w:hint="cs"/>
          <w:b/>
          <w:bCs/>
          <w:rtl/>
        </w:rPr>
        <w:t>תוס'</w:t>
      </w:r>
      <w:r>
        <w:rPr>
          <w:rFonts w:cs="Arial" w:hint="cs"/>
          <w:rtl/>
        </w:rPr>
        <w:t xml:space="preserve"> (שם).</w:t>
      </w:r>
      <w:r w:rsidRPr="00B20D80">
        <w:rPr>
          <w:rFonts w:cs="Arial"/>
          <w:rtl/>
        </w:rPr>
        <w:t xml:space="preserve"> </w:t>
      </w:r>
      <w:r w:rsidRPr="00CA710E">
        <w:rPr>
          <w:rFonts w:cs="Arial"/>
          <w:rtl/>
        </w:rPr>
        <w:t>גם המרדכי וסמ"ג והתרומה (שם) כתבו דברי רבינו תם סתם</w:t>
      </w:r>
      <w:r w:rsidRPr="00CA710E">
        <w:rPr>
          <w:rFonts w:cs="Arial" w:hint="cs"/>
          <w:rtl/>
        </w:rPr>
        <w:t>,</w:t>
      </w:r>
      <w:r w:rsidRPr="00CA710E">
        <w:rPr>
          <w:rFonts w:cs="Arial"/>
          <w:rtl/>
        </w:rPr>
        <w:t xml:space="preserve"> משמע דהכי סבירא להו</w:t>
      </w:r>
      <w:r>
        <w:rPr>
          <w:rFonts w:cs="Arial" w:hint="cs"/>
          <w:rtl/>
        </w:rPr>
        <w:t>...</w:t>
      </w:r>
      <w:r w:rsidRPr="00C4598A">
        <w:rPr>
          <w:rFonts w:cs="Arial"/>
          <w:rtl/>
        </w:rPr>
        <w:t xml:space="preserve"> </w:t>
      </w:r>
      <w:r w:rsidRPr="00CA710E">
        <w:rPr>
          <w:rFonts w:cs="Arial"/>
          <w:rtl/>
        </w:rPr>
        <w:t>ומדברי הרשב"א (לד: ד"ה מתני' וד"ה גמ') משמע דסבירא ליה כר</w:t>
      </w:r>
      <w:r>
        <w:rPr>
          <w:rFonts w:cs="Arial" w:hint="cs"/>
          <w:rtl/>
        </w:rPr>
        <w:t>"</w:t>
      </w:r>
      <w:r w:rsidRPr="00CA710E">
        <w:rPr>
          <w:rFonts w:cs="Arial"/>
          <w:rtl/>
        </w:rPr>
        <w:t>ת אלא שכתב שהעולם נהגו לכתוב וכל שום בכל גיטין משום שם ליווי</w:t>
      </w:r>
      <w:r>
        <w:rPr>
          <w:rFonts w:cs="Arial" w:hint="cs"/>
          <w:rtl/>
        </w:rPr>
        <w:t>,</w:t>
      </w:r>
      <w:r w:rsidRPr="00CA710E">
        <w:rPr>
          <w:rFonts w:cs="Arial"/>
          <w:rtl/>
        </w:rPr>
        <w:t xml:space="preserve"> ומכל מקום כשיש לו שני שמות משמע דסבירא ליה שיכתוב פלוני דמתקרי פלוני</w:t>
      </w:r>
      <w:r>
        <w:rPr>
          <w:rFonts w:cs="Arial" w:hint="cs"/>
          <w:rtl/>
        </w:rPr>
        <w:t xml:space="preserve">, </w:t>
      </w:r>
      <w:r w:rsidRPr="00B20D80">
        <w:rPr>
          <w:rFonts w:cs="Arial" w:hint="cs"/>
          <w:b/>
          <w:bCs/>
          <w:rtl/>
        </w:rPr>
        <w:t>ב"י</w:t>
      </w:r>
      <w:r w:rsidRPr="00CA710E">
        <w:rPr>
          <w:rFonts w:cs="Arial" w:hint="cs"/>
          <w:rtl/>
        </w:rPr>
        <w:t>.</w:t>
      </w:r>
    </w:p>
  </w:footnote>
  <w:footnote w:id="1088">
    <w:p w14:paraId="0986E45C" w14:textId="77777777" w:rsidR="00FA2119" w:rsidRDefault="00FA2119" w:rsidP="00FA2119">
      <w:pPr>
        <w:pStyle w:val="a5"/>
      </w:pPr>
      <w:r>
        <w:rPr>
          <w:rStyle w:val="a7"/>
        </w:rPr>
        <w:footnoteRef/>
      </w:r>
      <w:r>
        <w:rPr>
          <w:rtl/>
        </w:rPr>
        <w:t xml:space="preserve"> </w:t>
      </w:r>
      <w:r>
        <w:rPr>
          <w:rFonts w:cs="Arial" w:hint="cs"/>
          <w:rtl/>
        </w:rPr>
        <w:t>הר"ן הקשה על ר"ת וכתב ד</w:t>
      </w:r>
      <w:r w:rsidRPr="00C573AE">
        <w:rPr>
          <w:rFonts w:cs="Arial"/>
          <w:rtl/>
        </w:rPr>
        <w:t>לישנא דמתני' לא מוכח הכי</w:t>
      </w:r>
      <w:r>
        <w:rPr>
          <w:rFonts w:cs="Arial" w:hint="cs"/>
          <w:rtl/>
        </w:rPr>
        <w:t>,</w:t>
      </w:r>
      <w:r w:rsidRPr="00C573AE">
        <w:rPr>
          <w:rFonts w:cs="Arial"/>
          <w:rtl/>
        </w:rPr>
        <w:t xml:space="preserve"> דא"כ הו"ל למיתני התקין ר"ג שיהא כותב </w:t>
      </w:r>
      <w:r w:rsidRPr="00C573AE">
        <w:rPr>
          <w:rFonts w:cs="Arial"/>
          <w:b/>
          <w:bCs/>
          <w:rtl/>
        </w:rPr>
        <w:t>כל</w:t>
      </w:r>
      <w:r w:rsidRPr="00C573AE">
        <w:rPr>
          <w:rFonts w:cs="Arial"/>
          <w:rtl/>
        </w:rPr>
        <w:t xml:space="preserve"> שם שיש לו</w:t>
      </w:r>
      <w:r>
        <w:rPr>
          <w:rFonts w:cs="Arial" w:hint="cs"/>
          <w:rtl/>
        </w:rPr>
        <w:t>,</w:t>
      </w:r>
      <w:r w:rsidRPr="00C573AE">
        <w:rPr>
          <w:rFonts w:cs="Arial"/>
          <w:rtl/>
        </w:rPr>
        <w:t xml:space="preserve"> אבל מדקאמר אני פלוני </w:t>
      </w:r>
      <w:r w:rsidRPr="00C573AE">
        <w:rPr>
          <w:rFonts w:cs="Arial"/>
          <w:b/>
          <w:bCs/>
          <w:rtl/>
        </w:rPr>
        <w:t>וכל</w:t>
      </w:r>
      <w:r w:rsidRPr="00C573AE">
        <w:rPr>
          <w:rFonts w:cs="Arial"/>
          <w:rtl/>
        </w:rPr>
        <w:t xml:space="preserve"> שם שיש לי </w:t>
      </w:r>
      <w:r>
        <w:rPr>
          <w:rFonts w:cs="Arial" w:hint="cs"/>
          <w:rtl/>
        </w:rPr>
        <w:t xml:space="preserve">- </w:t>
      </w:r>
      <w:r w:rsidRPr="00C573AE">
        <w:rPr>
          <w:rFonts w:cs="Arial"/>
          <w:rtl/>
        </w:rPr>
        <w:t>משמע שאותו הלשון בעצמו תיקן</w:t>
      </w:r>
      <w:r>
        <w:rPr>
          <w:rFonts w:cs="Arial" w:hint="cs"/>
          <w:rtl/>
        </w:rPr>
        <w:t>.</w:t>
      </w:r>
      <w:r w:rsidRPr="00C573AE">
        <w:rPr>
          <w:rFonts w:cs="Arial"/>
          <w:rtl/>
        </w:rPr>
        <w:t xml:space="preserve"> אבל מדברי הראב"ד ז"ל נראה דהכי פירושא</w:t>
      </w:r>
      <w:r>
        <w:rPr>
          <w:rFonts w:cs="Arial" w:hint="cs"/>
          <w:rtl/>
        </w:rPr>
        <w:t>,</w:t>
      </w:r>
      <w:r w:rsidRPr="00C573AE">
        <w:rPr>
          <w:rFonts w:cs="Arial"/>
          <w:rtl/>
        </w:rPr>
        <w:t xml:space="preserve"> התקין ר"ג שיהא כותב איש פלוני</w:t>
      </w:r>
      <w:r>
        <w:rPr>
          <w:rFonts w:cs="Arial" w:hint="cs"/>
          <w:rtl/>
        </w:rPr>
        <w:t>,</w:t>
      </w:r>
      <w:r w:rsidRPr="00C573AE">
        <w:rPr>
          <w:rFonts w:cs="Arial"/>
          <w:rtl/>
        </w:rPr>
        <w:t xml:space="preserve"> כלומר שני השמות שיש לו בפירוש</w:t>
      </w:r>
      <w:r>
        <w:rPr>
          <w:rFonts w:cs="Arial" w:hint="cs"/>
          <w:rtl/>
        </w:rPr>
        <w:t>,</w:t>
      </w:r>
      <w:r w:rsidRPr="00C573AE">
        <w:rPr>
          <w:rFonts w:cs="Arial"/>
          <w:rtl/>
        </w:rPr>
        <w:t xml:space="preserve"> של מקום הכתיבה ושם מקום הנתינה</w:t>
      </w:r>
      <w:r>
        <w:rPr>
          <w:rFonts w:cs="Arial" w:hint="cs"/>
          <w:rtl/>
        </w:rPr>
        <w:t>,</w:t>
      </w:r>
      <w:r w:rsidRPr="00C573AE">
        <w:rPr>
          <w:rFonts w:cs="Arial"/>
          <w:rtl/>
        </w:rPr>
        <w:t xml:space="preserve"> ומפני שחשש ג"כ לשם לויי וחניכות התקין שיהא כותב ג"כ וכל שם שיש לו</w:t>
      </w:r>
      <w:r>
        <w:rPr>
          <w:rFonts w:cs="Arial" w:hint="cs"/>
          <w:rtl/>
        </w:rPr>
        <w:t>,</w:t>
      </w:r>
      <w:r w:rsidRPr="00C573AE">
        <w:rPr>
          <w:rFonts w:cs="Arial"/>
          <w:rtl/>
        </w:rPr>
        <w:t xml:space="preserve"> וכך היה כותב</w:t>
      </w:r>
      <w:r>
        <w:rPr>
          <w:rFonts w:cs="Arial" w:hint="cs"/>
          <w:rtl/>
        </w:rPr>
        <w:t>-...</w:t>
      </w:r>
    </w:p>
  </w:footnote>
  <w:footnote w:id="1089">
    <w:p w14:paraId="16F34044" w14:textId="6F66618B" w:rsidR="00FA2119" w:rsidRDefault="00FA2119" w:rsidP="00FA2119">
      <w:pPr>
        <w:pStyle w:val="a5"/>
        <w:rPr>
          <w:rtl/>
        </w:rPr>
      </w:pPr>
      <w:r>
        <w:rPr>
          <w:rStyle w:val="a7"/>
        </w:rPr>
        <w:footnoteRef/>
      </w:r>
      <w:r>
        <w:rPr>
          <w:rtl/>
        </w:rPr>
        <w:t xml:space="preserve"> </w:t>
      </w:r>
      <w:r w:rsidRPr="00CA710E">
        <w:rPr>
          <w:rFonts w:cs="Arial"/>
          <w:rtl/>
        </w:rPr>
        <w:t xml:space="preserve">ביאור דבריו שאע"פ שידענו בודאי שאין לו שום שם וחניכא אחרת כותב </w:t>
      </w:r>
      <w:r>
        <w:rPr>
          <w:rFonts w:cs="Arial" w:hint="cs"/>
          <w:rtl/>
        </w:rPr>
        <w:t>'</w:t>
      </w:r>
      <w:r w:rsidRPr="00CA710E">
        <w:rPr>
          <w:rFonts w:cs="Arial"/>
          <w:rtl/>
        </w:rPr>
        <w:t>וכל שום וחניכא</w:t>
      </w:r>
      <w:r>
        <w:rPr>
          <w:rFonts w:cs="Arial" w:hint="cs"/>
          <w:rtl/>
        </w:rPr>
        <w:t>'</w:t>
      </w:r>
      <w:r w:rsidRPr="00CA710E">
        <w:rPr>
          <w:rFonts w:cs="Arial"/>
          <w:rtl/>
        </w:rPr>
        <w:t xml:space="preserve"> ואינו נמנע</w:t>
      </w:r>
      <w:r>
        <w:rPr>
          <w:rFonts w:cs="Arial" w:hint="cs"/>
          <w:rtl/>
        </w:rPr>
        <w:t>,</w:t>
      </w:r>
      <w:r w:rsidRPr="00CA710E">
        <w:rPr>
          <w:rFonts w:cs="Arial"/>
          <w:rtl/>
        </w:rPr>
        <w:t xml:space="preserve"> דכיון שנהגו לכתוב כן תו לא חיישינן למיחזי כשיקרא</w:t>
      </w:r>
      <w:r>
        <w:rPr>
          <w:rFonts w:cs="Arial" w:hint="cs"/>
          <w:rtl/>
        </w:rPr>
        <w:t>.</w:t>
      </w:r>
      <w:r w:rsidRPr="00A35420">
        <w:rPr>
          <w:rFonts w:cs="Arial"/>
          <w:rtl/>
        </w:rPr>
        <w:t xml:space="preserve"> </w:t>
      </w:r>
      <w:r w:rsidRPr="00CA710E">
        <w:rPr>
          <w:rFonts w:cs="Arial"/>
          <w:rtl/>
        </w:rPr>
        <w:t>וגם הה</w:t>
      </w:r>
      <w:r>
        <w:rPr>
          <w:rFonts w:cs="Arial" w:hint="cs"/>
          <w:rtl/>
        </w:rPr>
        <w:t>"</w:t>
      </w:r>
      <w:r w:rsidRPr="00CA710E">
        <w:rPr>
          <w:rFonts w:cs="Arial"/>
          <w:rtl/>
        </w:rPr>
        <w:t>מ כתב בפ</w:t>
      </w:r>
      <w:r>
        <w:rPr>
          <w:rFonts w:cs="Arial" w:hint="cs"/>
          <w:rtl/>
        </w:rPr>
        <w:t>"</w:t>
      </w:r>
      <w:r w:rsidRPr="00CA710E">
        <w:rPr>
          <w:rFonts w:cs="Arial"/>
          <w:rtl/>
        </w:rPr>
        <w:t xml:space="preserve">ג (הי"ג) וכבר נהגו עכשיו לכתוב בכל גט </w:t>
      </w:r>
      <w:r>
        <w:rPr>
          <w:rFonts w:cs="Arial" w:hint="cs"/>
          <w:rtl/>
        </w:rPr>
        <w:t>'</w:t>
      </w:r>
      <w:r w:rsidRPr="00CA710E">
        <w:rPr>
          <w:rFonts w:cs="Arial"/>
          <w:rtl/>
        </w:rPr>
        <w:t>וכל שום אחרן וחניכא דאית לי</w:t>
      </w:r>
      <w:r>
        <w:rPr>
          <w:rFonts w:cs="Arial" w:hint="cs"/>
          <w:rtl/>
        </w:rPr>
        <w:t>',</w:t>
      </w:r>
      <w:r w:rsidRPr="00CA710E">
        <w:rPr>
          <w:rFonts w:cs="Arial"/>
          <w:rtl/>
        </w:rPr>
        <w:t xml:space="preserve"> וכן כותבין בשם האשה</w:t>
      </w:r>
      <w:r>
        <w:rPr>
          <w:rFonts w:cs="Arial" w:hint="cs"/>
          <w:rtl/>
        </w:rPr>
        <w:t>,</w:t>
      </w:r>
      <w:r w:rsidRPr="00CA710E">
        <w:rPr>
          <w:rFonts w:cs="Arial"/>
          <w:rtl/>
        </w:rPr>
        <w:t xml:space="preserve"> וכן נזכר בנוסח הגט שכתב רבינו בפ</w:t>
      </w:r>
      <w:r>
        <w:rPr>
          <w:rFonts w:cs="Arial" w:hint="cs"/>
          <w:rtl/>
        </w:rPr>
        <w:t>"</w:t>
      </w:r>
      <w:r w:rsidRPr="00CA710E">
        <w:rPr>
          <w:rFonts w:cs="Arial"/>
          <w:rtl/>
        </w:rPr>
        <w:t>ד (הי"ב)</w:t>
      </w:r>
      <w:r>
        <w:rPr>
          <w:rFonts w:cs="Arial" w:hint="cs"/>
          <w:rtl/>
        </w:rPr>
        <w:t>.</w:t>
      </w:r>
      <w:r w:rsidRPr="00CA710E">
        <w:rPr>
          <w:rFonts w:cs="Arial"/>
          <w:rtl/>
        </w:rPr>
        <w:t xml:space="preserve"> וגם </w:t>
      </w:r>
      <w:r w:rsidR="009334FF">
        <w:rPr>
          <w:rFonts w:cs="Arial"/>
          <w:rtl/>
        </w:rPr>
        <w:t>בהג"ה</w:t>
      </w:r>
      <w:r>
        <w:rPr>
          <w:rFonts w:cs="Arial" w:hint="cs"/>
          <w:rtl/>
        </w:rPr>
        <w:t>"מ</w:t>
      </w:r>
      <w:r w:rsidRPr="00CA710E">
        <w:rPr>
          <w:rFonts w:cs="Arial"/>
          <w:rtl/>
        </w:rPr>
        <w:t xml:space="preserve"> בפ</w:t>
      </w:r>
      <w:r>
        <w:rPr>
          <w:rFonts w:cs="Arial" w:hint="cs"/>
          <w:rtl/>
        </w:rPr>
        <w:t>"</w:t>
      </w:r>
      <w:r w:rsidRPr="00CA710E">
        <w:rPr>
          <w:rFonts w:cs="Arial"/>
          <w:rtl/>
        </w:rPr>
        <w:t>ג (דפוס קושטא הי"ג ד"ה ואומר) כתוב שנהגו כהלכות גדולות</w:t>
      </w:r>
      <w:r>
        <w:rPr>
          <w:rFonts w:cs="Arial" w:hint="cs"/>
          <w:rtl/>
        </w:rPr>
        <w:t>.</w:t>
      </w:r>
      <w:r w:rsidRPr="00CA710E">
        <w:rPr>
          <w:rFonts w:cs="Arial"/>
          <w:rtl/>
        </w:rPr>
        <w:t xml:space="preserve"> וכ</w:t>
      </w:r>
      <w:r>
        <w:rPr>
          <w:rFonts w:cs="Arial" w:hint="cs"/>
          <w:rtl/>
        </w:rPr>
        <w:t>"</w:t>
      </w:r>
      <w:r w:rsidRPr="00CA710E">
        <w:rPr>
          <w:rFonts w:cs="Arial"/>
          <w:rtl/>
        </w:rPr>
        <w:t>כ ר</w:t>
      </w:r>
      <w:r>
        <w:rPr>
          <w:rFonts w:cs="Arial" w:hint="cs"/>
          <w:rtl/>
        </w:rPr>
        <w:t>י"ו</w:t>
      </w:r>
      <w:r w:rsidRPr="00CA710E">
        <w:rPr>
          <w:rFonts w:cs="Arial"/>
          <w:rtl/>
        </w:rPr>
        <w:t xml:space="preserve"> בח</w:t>
      </w:r>
      <w:r>
        <w:rPr>
          <w:rFonts w:cs="Arial" w:hint="cs"/>
          <w:rtl/>
        </w:rPr>
        <w:t>"</w:t>
      </w:r>
      <w:r w:rsidRPr="00CA710E">
        <w:rPr>
          <w:rFonts w:cs="Arial"/>
          <w:rtl/>
        </w:rPr>
        <w:t>ב (נכ"ד רד ע"ג)</w:t>
      </w:r>
      <w:r>
        <w:rPr>
          <w:rFonts w:cs="Arial" w:hint="cs"/>
          <w:rtl/>
        </w:rPr>
        <w:t>, ב"י</w:t>
      </w:r>
      <w:r w:rsidRPr="00CA710E">
        <w:rPr>
          <w:rFonts w:cs="Arial"/>
          <w:rtl/>
        </w:rPr>
        <w:t>.</w:t>
      </w:r>
    </w:p>
  </w:footnote>
  <w:footnote w:id="1090">
    <w:p w14:paraId="0CF535F1" w14:textId="77777777" w:rsidR="00FA2119" w:rsidRDefault="00FA2119" w:rsidP="00FA2119">
      <w:pPr>
        <w:pStyle w:val="a5"/>
        <w:rPr>
          <w:rtl/>
        </w:rPr>
      </w:pPr>
      <w:r>
        <w:rPr>
          <w:rStyle w:val="a7"/>
        </w:rPr>
        <w:footnoteRef/>
      </w:r>
      <w:r>
        <w:rPr>
          <w:rtl/>
        </w:rPr>
        <w:t xml:space="preserve"> </w:t>
      </w:r>
      <w:r w:rsidRPr="002E7151">
        <w:rPr>
          <w:rFonts w:cs="Arial"/>
          <w:rtl/>
        </w:rPr>
        <w:t>ולא נראה כן מדברי הרא"ש פרק השולח (סי' ז)</w:t>
      </w:r>
      <w:r>
        <w:rPr>
          <w:rFonts w:cs="Arial" w:hint="cs"/>
          <w:rtl/>
        </w:rPr>
        <w:t>,</w:t>
      </w:r>
      <w:r w:rsidRPr="002E7151">
        <w:rPr>
          <w:rFonts w:cs="Arial"/>
          <w:rtl/>
        </w:rPr>
        <w:t xml:space="preserve"> ואנו נוהגין כדברי הרמב"ן. וצ"ע בפסקי מהרא"י סימן רמ"ב</w:t>
      </w:r>
      <w:r>
        <w:rPr>
          <w:rFonts w:cs="Arial" w:hint="cs"/>
          <w:rtl/>
        </w:rPr>
        <w:t>, דרכ"מ (אות טו).</w:t>
      </w:r>
    </w:p>
  </w:footnote>
  <w:footnote w:id="1091">
    <w:p w14:paraId="36230BBC" w14:textId="1E79E286" w:rsidR="00FA2119" w:rsidRDefault="00FA2119" w:rsidP="00FA2119">
      <w:pPr>
        <w:pStyle w:val="a5"/>
      </w:pPr>
      <w:r>
        <w:rPr>
          <w:rStyle w:val="a7"/>
        </w:rPr>
        <w:footnoteRef/>
      </w:r>
      <w:r>
        <w:rPr>
          <w:rtl/>
        </w:rPr>
        <w:t xml:space="preserve"> </w:t>
      </w:r>
      <w:r w:rsidR="000A0F5A">
        <w:rPr>
          <w:rFonts w:cs="Arial"/>
          <w:rtl/>
        </w:rPr>
        <w:t>וז"ל:</w:t>
      </w:r>
      <w:r w:rsidRPr="00D43A48">
        <w:rPr>
          <w:rFonts w:cs="Arial"/>
          <w:rtl/>
        </w:rPr>
        <w:t xml:space="preserve"> אפשר שאינו צריך לכתוב שם אביה כלל</w:t>
      </w:r>
      <w:r>
        <w:rPr>
          <w:rFonts w:cs="Arial" w:hint="cs"/>
          <w:rtl/>
        </w:rPr>
        <w:t>,</w:t>
      </w:r>
      <w:r w:rsidRPr="00D43A48">
        <w:rPr>
          <w:rFonts w:cs="Arial"/>
          <w:rtl/>
        </w:rPr>
        <w:t xml:space="preserve"> דשמו ושמה שם עירו ועירה תנן</w:t>
      </w:r>
      <w:r>
        <w:rPr>
          <w:rFonts w:cs="Arial" w:hint="cs"/>
          <w:rtl/>
        </w:rPr>
        <w:t>,</w:t>
      </w:r>
      <w:r w:rsidRPr="00D43A48">
        <w:rPr>
          <w:rFonts w:cs="Arial"/>
          <w:rtl/>
        </w:rPr>
        <w:t xml:space="preserve"> שם אביה ושם אביו לא תנן.</w:t>
      </w:r>
    </w:p>
  </w:footnote>
  <w:footnote w:id="1092">
    <w:p w14:paraId="7985F313" w14:textId="77777777" w:rsidR="00FA2119" w:rsidRDefault="00FA2119" w:rsidP="00FA2119">
      <w:pPr>
        <w:pStyle w:val="a5"/>
      </w:pPr>
      <w:r>
        <w:rPr>
          <w:rStyle w:val="a7"/>
        </w:rPr>
        <w:footnoteRef/>
      </w:r>
      <w:r>
        <w:rPr>
          <w:rtl/>
        </w:rPr>
        <w:t xml:space="preserve"> </w:t>
      </w:r>
      <w:r w:rsidRPr="00D43A48">
        <w:rPr>
          <w:rFonts w:cs="Arial"/>
          <w:rtl/>
        </w:rPr>
        <w:t>ומשמע דהוא הדין לשם אבי הבעל דכשר דמאי שנא</w:t>
      </w:r>
      <w:r w:rsidRPr="003748D6">
        <w:rPr>
          <w:rFonts w:cs="Arial"/>
          <w:sz w:val="16"/>
          <w:szCs w:val="16"/>
          <w:rtl/>
        </w:rPr>
        <w:t xml:space="preserve"> (</w:t>
      </w:r>
      <w:r w:rsidRPr="003748D6">
        <w:rPr>
          <w:rFonts w:cs="Arial" w:hint="cs"/>
          <w:sz w:val="16"/>
          <w:szCs w:val="16"/>
          <w:rtl/>
        </w:rPr>
        <w:t>וכ"כ הרשב"א [</w:t>
      </w:r>
      <w:r w:rsidRPr="003748D6">
        <w:rPr>
          <w:rFonts w:cs="Arial"/>
          <w:sz w:val="16"/>
          <w:szCs w:val="16"/>
          <w:rtl/>
        </w:rPr>
        <w:t>ח"ב סי' טז</w:t>
      </w:r>
      <w:r w:rsidRPr="003748D6">
        <w:rPr>
          <w:rFonts w:cs="Arial" w:hint="cs"/>
          <w:sz w:val="16"/>
          <w:szCs w:val="16"/>
          <w:rtl/>
        </w:rPr>
        <w:t>] בפירוש</w:t>
      </w:r>
      <w:r w:rsidRPr="003748D6">
        <w:rPr>
          <w:rFonts w:cs="Arial"/>
          <w:sz w:val="16"/>
          <w:szCs w:val="16"/>
          <w:rtl/>
        </w:rPr>
        <w:t>)</w:t>
      </w:r>
      <w:r>
        <w:rPr>
          <w:rFonts w:cs="Arial" w:hint="cs"/>
          <w:rtl/>
        </w:rPr>
        <w:t>...</w:t>
      </w:r>
      <w:r w:rsidRPr="00D43A48">
        <w:rPr>
          <w:rFonts w:cs="Arial"/>
          <w:rtl/>
        </w:rPr>
        <w:t xml:space="preserve"> ולאפוקי ממאי דמשמע קצת מדברי מהר"ר ישראל בכתביו (תרוה</w:t>
      </w:r>
      <w:r>
        <w:rPr>
          <w:rFonts w:cs="Arial" w:hint="cs"/>
          <w:rtl/>
        </w:rPr>
        <w:t>"</w:t>
      </w:r>
      <w:r w:rsidRPr="00D43A48">
        <w:rPr>
          <w:rFonts w:cs="Arial"/>
          <w:rtl/>
        </w:rPr>
        <w:t>ד ח"ב) סימן קל"ח שאם לא הזכיר שם אבי הבעל פסול</w:t>
      </w:r>
      <w:r>
        <w:rPr>
          <w:rFonts w:cs="Arial" w:hint="cs"/>
          <w:rtl/>
        </w:rPr>
        <w:t>,</w:t>
      </w:r>
      <w:r w:rsidRPr="00B80290">
        <w:rPr>
          <w:rFonts w:cs="Arial" w:hint="cs"/>
          <w:rtl/>
        </w:rPr>
        <w:t xml:space="preserve"> ב"י.</w:t>
      </w:r>
      <w:r w:rsidRPr="00767954">
        <w:rPr>
          <w:rFonts w:cs="Arial"/>
          <w:rtl/>
        </w:rPr>
        <w:t xml:space="preserve"> </w:t>
      </w:r>
    </w:p>
  </w:footnote>
  <w:footnote w:id="1093">
    <w:p w14:paraId="589B0214" w14:textId="6308FA1B" w:rsidR="00F82B05" w:rsidRDefault="00F82B05">
      <w:pPr>
        <w:pStyle w:val="a5"/>
      </w:pPr>
      <w:r>
        <w:rPr>
          <w:rStyle w:val="a7"/>
        </w:rPr>
        <w:footnoteRef/>
      </w:r>
      <w:r>
        <w:rPr>
          <w:rtl/>
        </w:rPr>
        <w:t xml:space="preserve"> </w:t>
      </w:r>
      <w:r>
        <w:rPr>
          <w:rFonts w:cs="Arial" w:hint="cs"/>
          <w:rtl/>
        </w:rPr>
        <w:t xml:space="preserve">וז"ל: </w:t>
      </w:r>
      <w:r w:rsidRPr="00A94CEA">
        <w:rPr>
          <w:rFonts w:cs="Arial"/>
          <w:rtl/>
        </w:rPr>
        <w:t>אנא פלוני בר פלוני וכל שום דאית לי דממתא פלונית</w:t>
      </w:r>
      <w:r>
        <w:rPr>
          <w:rFonts w:cs="Arial" w:hint="cs"/>
          <w:rtl/>
        </w:rPr>
        <w:t>.</w:t>
      </w:r>
    </w:p>
  </w:footnote>
  <w:footnote w:id="1094">
    <w:p w14:paraId="15F5FAA7" w14:textId="77777777" w:rsidR="00F82B05" w:rsidRDefault="00F82B05" w:rsidP="00F82B05">
      <w:pPr>
        <w:pStyle w:val="a5"/>
      </w:pPr>
      <w:r>
        <w:rPr>
          <w:rStyle w:val="a7"/>
        </w:rPr>
        <w:footnoteRef/>
      </w:r>
      <w:r>
        <w:rPr>
          <w:rtl/>
        </w:rPr>
        <w:t xml:space="preserve"> </w:t>
      </w:r>
      <w:r>
        <w:rPr>
          <w:rFonts w:hint="cs"/>
          <w:rtl/>
        </w:rPr>
        <w:t>וכתב הב"י דכן משמע בדברי הרא"ש, ולא מצאתי היכן, שהרי בסדר הגט שלו לא הזכיר כן.</w:t>
      </w:r>
    </w:p>
  </w:footnote>
  <w:footnote w:id="1095">
    <w:p w14:paraId="189D84BB" w14:textId="77777777" w:rsidR="00F82B05" w:rsidRDefault="00F82B05" w:rsidP="00F82B05">
      <w:pPr>
        <w:pStyle w:val="a5"/>
      </w:pPr>
      <w:r>
        <w:rPr>
          <w:rStyle w:val="a7"/>
        </w:rPr>
        <w:footnoteRef/>
      </w:r>
      <w:r>
        <w:rPr>
          <w:rtl/>
        </w:rPr>
        <w:t xml:space="preserve"> </w:t>
      </w:r>
      <w:r w:rsidRPr="00A904E4">
        <w:rPr>
          <w:rFonts w:cs="Arial"/>
          <w:rtl/>
        </w:rPr>
        <w:t xml:space="preserve">וכתב הר"ן בפרק המגרש (מה: ד"ה מן) שבקצת נוסחי הלכות גם כן כתוב כך </w:t>
      </w:r>
      <w:r>
        <w:rPr>
          <w:rFonts w:cs="Arial" w:hint="cs"/>
          <w:rtl/>
        </w:rPr>
        <w:t>'</w:t>
      </w:r>
      <w:r w:rsidRPr="00A904E4">
        <w:rPr>
          <w:rFonts w:cs="Arial"/>
          <w:rtl/>
        </w:rPr>
        <w:t>אנא פלוני בר פלוני דממתא פלוני וכל שום וכו' דאית לי ולאבהתי</w:t>
      </w:r>
      <w:r>
        <w:rPr>
          <w:rFonts w:cs="Arial" w:hint="cs"/>
          <w:rtl/>
        </w:rPr>
        <w:t>'.</w:t>
      </w:r>
      <w:r w:rsidRPr="00A904E4">
        <w:rPr>
          <w:rFonts w:cs="Arial"/>
          <w:rtl/>
        </w:rPr>
        <w:t xml:space="preserve"> אבל הרמב"ן העיד שראה נוסחא של הרי"ף מוגהת בכתב ידו ואין כתוב בה אלא אנא פב"פ וכל שום דאית לי דממתא פלוני</w:t>
      </w:r>
      <w:r>
        <w:rPr>
          <w:rFonts w:cs="Arial" w:hint="cs"/>
          <w:rtl/>
        </w:rPr>
        <w:t>,</w:t>
      </w:r>
      <w:r w:rsidRPr="00A904E4">
        <w:rPr>
          <w:rFonts w:cs="Arial"/>
          <w:rtl/>
        </w:rPr>
        <w:t xml:space="preserve"> וכן בשם שלה</w:t>
      </w:r>
      <w:r>
        <w:rPr>
          <w:rFonts w:cs="Arial" w:hint="cs"/>
          <w:rtl/>
        </w:rPr>
        <w:t>, ב"י.</w:t>
      </w:r>
    </w:p>
  </w:footnote>
  <w:footnote w:id="1096">
    <w:p w14:paraId="4FF8C0FC" w14:textId="77777777" w:rsidR="00F82B05" w:rsidRDefault="00F82B05" w:rsidP="00F82B05">
      <w:pPr>
        <w:pStyle w:val="a5"/>
      </w:pPr>
      <w:r>
        <w:rPr>
          <w:rStyle w:val="a7"/>
        </w:rPr>
        <w:footnoteRef/>
      </w:r>
      <w:r>
        <w:rPr>
          <w:rtl/>
        </w:rPr>
        <w:t xml:space="preserve"> </w:t>
      </w:r>
      <w:r w:rsidRPr="00D43A48">
        <w:rPr>
          <w:rFonts w:cs="Arial"/>
          <w:rtl/>
        </w:rPr>
        <w:t>ודבריו אלו נראין</w:t>
      </w:r>
      <w:r>
        <w:rPr>
          <w:rFonts w:cs="Arial" w:hint="cs"/>
          <w:rtl/>
        </w:rPr>
        <w:t>,</w:t>
      </w:r>
      <w:r w:rsidRPr="00D43A48">
        <w:rPr>
          <w:rFonts w:cs="Arial"/>
          <w:rtl/>
        </w:rPr>
        <w:t xml:space="preserve"> ודלא כמו שכתב סימן ק"צ (סדר הגט ד"ה וצריך) דאף דיעבד יש לפסול בכהאי גוונא</w:t>
      </w:r>
      <w:r>
        <w:rPr>
          <w:rFonts w:cs="Arial" w:hint="cs"/>
          <w:rtl/>
        </w:rPr>
        <w:t>, דרכ"מ (אות י).</w:t>
      </w:r>
    </w:p>
  </w:footnote>
  <w:footnote w:id="1097">
    <w:p w14:paraId="718B3F3B" w14:textId="5E0F297B" w:rsidR="00FA2119" w:rsidRDefault="00FA2119" w:rsidP="00FA2119">
      <w:pPr>
        <w:pStyle w:val="a5"/>
        <w:rPr>
          <w:rtl/>
        </w:rPr>
      </w:pPr>
      <w:r>
        <w:rPr>
          <w:rStyle w:val="a7"/>
        </w:rPr>
        <w:footnoteRef/>
      </w:r>
      <w:r>
        <w:rPr>
          <w:rtl/>
        </w:rPr>
        <w:t xml:space="preserve"> </w:t>
      </w:r>
      <w:r>
        <w:rPr>
          <w:rFonts w:hint="cs"/>
          <w:rtl/>
        </w:rPr>
        <w:t xml:space="preserve">ובתשובה אחרת </w:t>
      </w:r>
      <w:r w:rsidRPr="00620AA7">
        <w:rPr>
          <w:rFonts w:hint="cs"/>
          <w:sz w:val="16"/>
          <w:szCs w:val="16"/>
          <w:rtl/>
        </w:rPr>
        <w:t xml:space="preserve">(ח"א סי' תקנה) </w:t>
      </w:r>
      <w:r>
        <w:rPr>
          <w:rFonts w:hint="cs"/>
          <w:rtl/>
        </w:rPr>
        <w:t xml:space="preserve">כתב </w:t>
      </w:r>
      <w:r w:rsidR="000A0F5A">
        <w:rPr>
          <w:rFonts w:hint="cs"/>
          <w:rtl/>
        </w:rPr>
        <w:t>וז</w:t>
      </w:r>
      <w:r w:rsidR="000A0F5A">
        <w:rPr>
          <w:rtl/>
        </w:rPr>
        <w:t>"</w:t>
      </w:r>
      <w:r w:rsidR="000A0F5A">
        <w:rPr>
          <w:rFonts w:hint="cs"/>
          <w:rtl/>
        </w:rPr>
        <w:t>ל:</w:t>
      </w:r>
      <w:r>
        <w:rPr>
          <w:rFonts w:hint="cs"/>
          <w:rtl/>
        </w:rPr>
        <w:t xml:space="preserve"> </w:t>
      </w:r>
      <w:r w:rsidRPr="00620AA7">
        <w:rPr>
          <w:rFonts w:cs="Arial"/>
          <w:rtl/>
        </w:rPr>
        <w:t>אין צריך לאשה לכתוב שם אביה בגט. דשמו ושמה תנן שם אביה לא תנן.</w:t>
      </w:r>
    </w:p>
  </w:footnote>
  <w:footnote w:id="1098">
    <w:p w14:paraId="0605BE29" w14:textId="77777777" w:rsidR="00FA2119" w:rsidRDefault="00FA2119" w:rsidP="00FA2119">
      <w:pPr>
        <w:pStyle w:val="a5"/>
        <w:rPr>
          <w:rtl/>
        </w:rPr>
      </w:pPr>
      <w:r>
        <w:rPr>
          <w:rStyle w:val="a7"/>
        </w:rPr>
        <w:footnoteRef/>
      </w:r>
      <w:r>
        <w:rPr>
          <w:rtl/>
        </w:rPr>
        <w:t xml:space="preserve"> </w:t>
      </w:r>
      <w:r w:rsidRPr="00D43A48">
        <w:rPr>
          <w:rFonts w:cs="Arial"/>
          <w:rtl/>
        </w:rPr>
        <w:t>וכן הוא בסדר גיטין (סי' צא), מיהו כתב אם היה לו שם כינוי כותבין הכינוי</w:t>
      </w:r>
      <w:r>
        <w:rPr>
          <w:rFonts w:cs="Arial" w:hint="cs"/>
          <w:rtl/>
        </w:rPr>
        <w:t xml:space="preserve">, </w:t>
      </w:r>
      <w:r w:rsidRPr="00BE3ED5">
        <w:rPr>
          <w:rFonts w:cs="Arial" w:hint="cs"/>
          <w:rtl/>
        </w:rPr>
        <w:t>דרכ"מ (אות י).</w:t>
      </w:r>
    </w:p>
  </w:footnote>
  <w:footnote w:id="1099">
    <w:p w14:paraId="255CEAF6" w14:textId="59B189CC" w:rsidR="00FA2119" w:rsidRDefault="00FA2119" w:rsidP="00FA2119">
      <w:pPr>
        <w:pStyle w:val="a5"/>
        <w:rPr>
          <w:rtl/>
        </w:rPr>
      </w:pPr>
      <w:r>
        <w:rPr>
          <w:rStyle w:val="a7"/>
        </w:rPr>
        <w:footnoteRef/>
      </w:r>
      <w:r>
        <w:rPr>
          <w:rtl/>
        </w:rPr>
        <w:t xml:space="preserve"> </w:t>
      </w:r>
      <w:r w:rsidRPr="00C164D0">
        <w:rPr>
          <w:rFonts w:cs="Arial"/>
          <w:rtl/>
        </w:rPr>
        <w:t>והיינו דוקא כשאין אותו כינוי כי אם למגרש ולא לאביו</w:t>
      </w:r>
      <w:r w:rsidR="008D152F">
        <w:rPr>
          <w:rFonts w:cs="Arial" w:hint="cs"/>
          <w:rtl/>
        </w:rPr>
        <w:t>,</w:t>
      </w:r>
      <w:r w:rsidRPr="00C164D0">
        <w:rPr>
          <w:rFonts w:cs="Arial"/>
          <w:rtl/>
        </w:rPr>
        <w:t xml:space="preserve"> אבל אם הכינוי הוא גם לאביו כמו שאנו נוהגים אם יכתוב שם אביו קודם הכינוי</w:t>
      </w:r>
      <w:r w:rsidR="008D152F">
        <w:rPr>
          <w:rFonts w:cs="Arial" w:hint="cs"/>
          <w:rtl/>
        </w:rPr>
        <w:t xml:space="preserve"> -</w:t>
      </w:r>
      <w:r w:rsidRPr="00C164D0">
        <w:rPr>
          <w:rFonts w:cs="Arial"/>
          <w:rtl/>
        </w:rPr>
        <w:t xml:space="preserve"> שפיר דמי</w:t>
      </w:r>
      <w:r>
        <w:rPr>
          <w:rFonts w:cs="Arial" w:hint="cs"/>
          <w:rtl/>
        </w:rPr>
        <w:t xml:space="preserve">, </w:t>
      </w:r>
      <w:r w:rsidRPr="00F35331">
        <w:rPr>
          <w:rFonts w:cs="Arial" w:hint="cs"/>
          <w:b/>
          <w:bCs/>
          <w:rtl/>
        </w:rPr>
        <w:t>ב"י</w:t>
      </w:r>
      <w:r>
        <w:rPr>
          <w:rFonts w:cs="Arial" w:hint="cs"/>
          <w:rtl/>
        </w:rPr>
        <w:t>.</w:t>
      </w:r>
      <w:r w:rsidRPr="00C164D0">
        <w:rPr>
          <w:rFonts w:cs="Arial"/>
          <w:rtl/>
        </w:rPr>
        <w:t xml:space="preserve"> וכן הוא בסדר גיטין (סי' כא ס"ב). מיהו כתב (סי' לט ס"ד) דלכתחלה כותבין הכינוי אצל הבן וגם אצל אביו. וכן נוהגין</w:t>
      </w:r>
      <w:r>
        <w:rPr>
          <w:rFonts w:cs="Arial" w:hint="cs"/>
          <w:rtl/>
        </w:rPr>
        <w:t xml:space="preserve">, </w:t>
      </w:r>
      <w:r w:rsidRPr="00F35331">
        <w:rPr>
          <w:rFonts w:cs="Arial" w:hint="cs"/>
          <w:b/>
          <w:bCs/>
          <w:rtl/>
        </w:rPr>
        <w:t>דרכ"מ</w:t>
      </w:r>
      <w:r>
        <w:rPr>
          <w:rFonts w:cs="Arial" w:hint="cs"/>
          <w:rtl/>
        </w:rPr>
        <w:t xml:space="preserve"> (אות כו).</w:t>
      </w:r>
      <w:r w:rsidRPr="00B2428D">
        <w:rPr>
          <w:rFonts w:hint="cs"/>
          <w:color w:val="00B0F0"/>
          <w:rtl/>
        </w:rPr>
        <w:t xml:space="preserve"> </w:t>
      </w:r>
      <w:r w:rsidRPr="00B80290">
        <w:rPr>
          <w:rFonts w:hint="cs"/>
          <w:color w:val="00B0F0"/>
          <w:rtl/>
        </w:rPr>
        <w:t>(</w:t>
      </w:r>
      <w:r>
        <w:rPr>
          <w:rFonts w:hint="cs"/>
          <w:color w:val="00B0F0"/>
          <w:rtl/>
        </w:rPr>
        <w:t>וכ</w:t>
      </w:r>
      <w:r>
        <w:rPr>
          <w:color w:val="00B0F0"/>
          <w:rtl/>
        </w:rPr>
        <w:t>"</w:t>
      </w:r>
      <w:r>
        <w:rPr>
          <w:rFonts w:hint="cs"/>
          <w:color w:val="00B0F0"/>
          <w:rtl/>
        </w:rPr>
        <w:t xml:space="preserve">פ </w:t>
      </w:r>
      <w:r w:rsidR="009334FF">
        <w:rPr>
          <w:rFonts w:hint="cs"/>
          <w:color w:val="00B0F0"/>
          <w:rtl/>
        </w:rPr>
        <w:t>בהג</w:t>
      </w:r>
      <w:r w:rsidR="009334FF">
        <w:rPr>
          <w:color w:val="00B0F0"/>
          <w:rtl/>
        </w:rPr>
        <w:t>"</w:t>
      </w:r>
      <w:r w:rsidR="009334FF">
        <w:rPr>
          <w:rFonts w:hint="cs"/>
          <w:color w:val="00B0F0"/>
          <w:rtl/>
        </w:rPr>
        <w:t>ה</w:t>
      </w:r>
      <w:r w:rsidRPr="00B80290">
        <w:rPr>
          <w:rFonts w:hint="cs"/>
          <w:color w:val="00B0F0"/>
          <w:rtl/>
        </w:rPr>
        <w:t>)</w:t>
      </w:r>
    </w:p>
  </w:footnote>
  <w:footnote w:id="1100">
    <w:p w14:paraId="78AE9E74" w14:textId="77777777" w:rsidR="00FA2119" w:rsidRDefault="00FA2119" w:rsidP="00FA2119">
      <w:pPr>
        <w:pStyle w:val="a5"/>
        <w:rPr>
          <w:rtl/>
        </w:rPr>
      </w:pPr>
      <w:r>
        <w:rPr>
          <w:rStyle w:val="a7"/>
        </w:rPr>
        <w:footnoteRef/>
      </w:r>
      <w:r>
        <w:rPr>
          <w:rtl/>
        </w:rPr>
        <w:t xml:space="preserve"> </w:t>
      </w:r>
      <w:r w:rsidRPr="008A2316">
        <w:rPr>
          <w:rFonts w:cs="Arial"/>
          <w:rtl/>
        </w:rPr>
        <w:t>מיהו שינוי פוסל בו</w:t>
      </w:r>
      <w:r>
        <w:rPr>
          <w:rFonts w:cs="Arial" w:hint="cs"/>
          <w:rtl/>
        </w:rPr>
        <w:t>.</w:t>
      </w:r>
      <w:r w:rsidRPr="008A2316">
        <w:rPr>
          <w:rFonts w:cs="Arial"/>
          <w:rtl/>
        </w:rPr>
        <w:t xml:space="preserve"> ול"ד לשינוי מקום עמידה</w:t>
      </w:r>
      <w:r>
        <w:rPr>
          <w:rFonts w:cs="Arial" w:hint="cs"/>
          <w:rtl/>
        </w:rPr>
        <w:t>,</w:t>
      </w:r>
      <w:r w:rsidRPr="008A2316">
        <w:rPr>
          <w:rFonts w:cs="Arial"/>
          <w:rtl/>
        </w:rPr>
        <w:t xml:space="preserve"> דשם מחמת השינוי לא אתי למימר דאין זה המגרש כי אין אדם נקרא על שם מקום לידתו ועמידה</w:t>
      </w:r>
      <w:r>
        <w:rPr>
          <w:rFonts w:cs="Arial" w:hint="cs"/>
          <w:rtl/>
        </w:rPr>
        <w:t>,</w:t>
      </w:r>
      <w:r w:rsidRPr="008A2316">
        <w:rPr>
          <w:rFonts w:cs="Arial"/>
          <w:rtl/>
        </w:rPr>
        <w:t xml:space="preserve"> אבל כאן מחמת שינוי שם אביו יאמרו דזה לא גירש</w:t>
      </w:r>
      <w:r>
        <w:rPr>
          <w:rFonts w:hint="cs"/>
          <w:rtl/>
        </w:rPr>
        <w:t xml:space="preserve">, </w:t>
      </w:r>
      <w:r w:rsidRPr="0085666E">
        <w:rPr>
          <w:rFonts w:hint="cs"/>
          <w:b/>
          <w:bCs/>
          <w:rtl/>
        </w:rPr>
        <w:t>ב"ש</w:t>
      </w:r>
      <w:r>
        <w:rPr>
          <w:rFonts w:hint="cs"/>
          <w:rtl/>
        </w:rPr>
        <w:t xml:space="preserve"> (סקי"ז).</w:t>
      </w:r>
      <w:r w:rsidRPr="0085666E">
        <w:rPr>
          <w:rtl/>
        </w:rPr>
        <w:t xml:space="preserve"> </w:t>
      </w:r>
      <w:r w:rsidRPr="0085666E">
        <w:rPr>
          <w:rFonts w:cs="Arial"/>
          <w:rtl/>
        </w:rPr>
        <w:t xml:space="preserve">ועיין בתשו' עה"ג </w:t>
      </w:r>
      <w:r>
        <w:rPr>
          <w:rFonts w:cs="Arial" w:hint="cs"/>
          <w:rtl/>
        </w:rPr>
        <w:t>(</w:t>
      </w:r>
      <w:r w:rsidRPr="0085666E">
        <w:rPr>
          <w:rFonts w:cs="Arial"/>
          <w:rtl/>
        </w:rPr>
        <w:t>סי</w:t>
      </w:r>
      <w:r>
        <w:rPr>
          <w:rFonts w:cs="Arial" w:hint="cs"/>
          <w:rtl/>
        </w:rPr>
        <w:t>'</w:t>
      </w:r>
      <w:r w:rsidRPr="0085666E">
        <w:rPr>
          <w:rFonts w:cs="Arial"/>
          <w:rtl/>
        </w:rPr>
        <w:t xml:space="preserve"> נה</w:t>
      </w:r>
      <w:r>
        <w:rPr>
          <w:rFonts w:cs="Arial" w:hint="cs"/>
          <w:rtl/>
        </w:rPr>
        <w:t>)</w:t>
      </w:r>
      <w:r w:rsidRPr="0085666E">
        <w:rPr>
          <w:rFonts w:cs="Arial"/>
          <w:rtl/>
        </w:rPr>
        <w:t xml:space="preserve"> בגט שבא ע"י שליח ממרחקי' ונכתב בו שם אבי האשה יצחק ובאמת שמו נתן והיה בדבר חשש עיגון. ומצדד שם להקל גם בשינוי</w:t>
      </w:r>
      <w:r>
        <w:rPr>
          <w:rFonts w:hint="cs"/>
          <w:rtl/>
        </w:rPr>
        <w:t>...</w:t>
      </w:r>
      <w:r w:rsidRPr="0085666E">
        <w:rPr>
          <w:rtl/>
        </w:rPr>
        <w:t xml:space="preserve"> </w:t>
      </w:r>
      <w:r w:rsidRPr="0085666E">
        <w:rPr>
          <w:rFonts w:cs="Arial"/>
          <w:rtl/>
        </w:rPr>
        <w:t xml:space="preserve">ועיין בתשובה כנ"י </w:t>
      </w:r>
      <w:r>
        <w:rPr>
          <w:rFonts w:cs="Arial" w:hint="cs"/>
          <w:rtl/>
        </w:rPr>
        <w:t>(</w:t>
      </w:r>
      <w:r w:rsidRPr="0085666E">
        <w:rPr>
          <w:rFonts w:cs="Arial"/>
          <w:rtl/>
        </w:rPr>
        <w:t>סי</w:t>
      </w:r>
      <w:r>
        <w:rPr>
          <w:rFonts w:cs="Arial" w:hint="cs"/>
          <w:rtl/>
        </w:rPr>
        <w:t>'</w:t>
      </w:r>
      <w:r w:rsidRPr="0085666E">
        <w:rPr>
          <w:rFonts w:cs="Arial"/>
          <w:rtl/>
        </w:rPr>
        <w:t xml:space="preserve"> ע</w:t>
      </w:r>
      <w:r>
        <w:rPr>
          <w:rFonts w:cs="Arial" w:hint="cs"/>
          <w:rtl/>
        </w:rPr>
        <w:t>)</w:t>
      </w:r>
      <w:r>
        <w:rPr>
          <w:rFonts w:hint="cs"/>
          <w:rtl/>
        </w:rPr>
        <w:t xml:space="preserve"> ד</w:t>
      </w:r>
      <w:r w:rsidRPr="0085666E">
        <w:rPr>
          <w:rFonts w:cs="Arial"/>
          <w:rtl/>
        </w:rPr>
        <w:t>הביא שם דברי תשובת עבודת הגרשוני הנ"ל והשיג עליו</w:t>
      </w:r>
      <w:r>
        <w:rPr>
          <w:rFonts w:cs="Arial" w:hint="cs"/>
          <w:rtl/>
        </w:rPr>
        <w:t xml:space="preserve">... </w:t>
      </w:r>
      <w:r w:rsidRPr="0085666E">
        <w:rPr>
          <w:rFonts w:cs="Arial"/>
          <w:rtl/>
        </w:rPr>
        <w:t>גם בתשובה רבינו עקיבא איגר ז"ל סימן קט"ז השיב על עה"ג הנ"ל ומסיק דאין מקום לדבריו בזה ובסי' קי"ז שם הסכי' עמו הגאון בעל בית מאיר ז"ל</w:t>
      </w:r>
      <w:r>
        <w:rPr>
          <w:rFonts w:hint="cs"/>
          <w:rtl/>
        </w:rPr>
        <w:t>...</w:t>
      </w:r>
      <w:r w:rsidRPr="009522DC">
        <w:rPr>
          <w:rtl/>
        </w:rPr>
        <w:t xml:space="preserve"> </w:t>
      </w:r>
      <w:r w:rsidRPr="009522DC">
        <w:rPr>
          <w:rFonts w:cs="Arial"/>
          <w:rtl/>
        </w:rPr>
        <w:t xml:space="preserve">שוב ראיתי בת' תולדות יצחק </w:t>
      </w:r>
      <w:r>
        <w:rPr>
          <w:rFonts w:cs="Arial" w:hint="cs"/>
          <w:rtl/>
        </w:rPr>
        <w:t>(</w:t>
      </w:r>
      <w:r w:rsidRPr="009522DC">
        <w:rPr>
          <w:rFonts w:cs="Arial"/>
          <w:rtl/>
        </w:rPr>
        <w:t>אה"ע סי' ד</w:t>
      </w:r>
      <w:r>
        <w:rPr>
          <w:rFonts w:cs="Arial" w:hint="cs"/>
          <w:rtl/>
        </w:rPr>
        <w:t>)</w:t>
      </w:r>
      <w:r w:rsidRPr="009522DC">
        <w:rPr>
          <w:rtl/>
        </w:rPr>
        <w:t xml:space="preserve"> </w:t>
      </w:r>
      <w:r w:rsidRPr="009522DC">
        <w:rPr>
          <w:rFonts w:cs="Arial"/>
          <w:rtl/>
        </w:rPr>
        <w:t>שבמקום עיגון כזה יש לסמוך על תשו' עה"ג</w:t>
      </w:r>
      <w:r>
        <w:rPr>
          <w:rFonts w:cs="Arial" w:hint="cs"/>
          <w:rtl/>
        </w:rPr>
        <w:t>...</w:t>
      </w:r>
      <w:r>
        <w:rPr>
          <w:rFonts w:hint="cs"/>
          <w:rtl/>
        </w:rPr>
        <w:t>,</w:t>
      </w:r>
      <w:r w:rsidRPr="0085666E">
        <w:rPr>
          <w:rFonts w:hint="cs"/>
          <w:b/>
          <w:bCs/>
          <w:rtl/>
        </w:rPr>
        <w:t xml:space="preserve"> פת"ש</w:t>
      </w:r>
      <w:r>
        <w:rPr>
          <w:rFonts w:hint="cs"/>
          <w:rtl/>
        </w:rPr>
        <w:t xml:space="preserve"> (סקכ"א).</w:t>
      </w:r>
    </w:p>
  </w:footnote>
  <w:footnote w:id="1101">
    <w:p w14:paraId="5E01C618" w14:textId="77777777" w:rsidR="00FA2119" w:rsidRDefault="00FA2119" w:rsidP="00FA2119">
      <w:pPr>
        <w:pStyle w:val="a5"/>
      </w:pPr>
      <w:r>
        <w:rPr>
          <w:rStyle w:val="a7"/>
        </w:rPr>
        <w:footnoteRef/>
      </w:r>
      <w:r>
        <w:rPr>
          <w:rtl/>
        </w:rPr>
        <w:t xml:space="preserve"> </w:t>
      </w:r>
      <w:r w:rsidRPr="008A2316">
        <w:rPr>
          <w:rFonts w:cs="Arial"/>
          <w:rtl/>
        </w:rPr>
        <w:t>ועיין בח</w:t>
      </w:r>
      <w:r>
        <w:rPr>
          <w:rFonts w:cs="Arial" w:hint="cs"/>
          <w:rtl/>
        </w:rPr>
        <w:t>ו"מ</w:t>
      </w:r>
      <w:r w:rsidRPr="008A2316">
        <w:rPr>
          <w:rFonts w:cs="Arial"/>
          <w:rtl/>
        </w:rPr>
        <w:t xml:space="preserve"> סי' מ"ט שם כתב הב"י אם כתב יוסף בן שמעון נר"ו ויש כאן שני יב"ש וא' מהם אביו חי וא' מהם אביו מת לא אמרי' מדכתיב נר"ו דזה שאביו חי הוא הלוה כי י"ל נר"ו קאי על יוסף ולא על אביו</w:t>
      </w:r>
      <w:r>
        <w:rPr>
          <w:rFonts w:cs="Arial" w:hint="cs"/>
          <w:rtl/>
        </w:rPr>
        <w:t>.</w:t>
      </w:r>
      <w:r w:rsidRPr="008A2316">
        <w:rPr>
          <w:rFonts w:cs="Arial"/>
          <w:rtl/>
        </w:rPr>
        <w:t xml:space="preserve"> וקשה מ"ש מהא דאמרי' כאן דקאי על אביו</w:t>
      </w:r>
      <w:r>
        <w:rPr>
          <w:rFonts w:cs="Arial" w:hint="cs"/>
          <w:rtl/>
        </w:rPr>
        <w:t>.</w:t>
      </w:r>
      <w:r w:rsidRPr="008A2316">
        <w:rPr>
          <w:rFonts w:cs="Arial"/>
          <w:rtl/>
        </w:rPr>
        <w:t xml:space="preserve"> וי"ל שם לענין ברכה דמברכים אותו י"ל דקאי על אותו שעוסקי' בו ולא על אביו</w:t>
      </w:r>
      <w:r>
        <w:rPr>
          <w:rFonts w:cs="Arial" w:hint="cs"/>
          <w:rtl/>
        </w:rPr>
        <w:t>,</w:t>
      </w:r>
      <w:r w:rsidRPr="008A2316">
        <w:rPr>
          <w:rFonts w:cs="Arial"/>
          <w:rtl/>
        </w:rPr>
        <w:t xml:space="preserve"> אבל כאן לא שייך טעם זה אמרי' דקאי על אביו</w:t>
      </w:r>
      <w:r>
        <w:rPr>
          <w:rFonts w:cs="Arial" w:hint="cs"/>
          <w:rtl/>
        </w:rPr>
        <w:t>.</w:t>
      </w:r>
      <w:r w:rsidRPr="008A2316">
        <w:rPr>
          <w:rFonts w:cs="Arial"/>
          <w:rtl/>
        </w:rPr>
        <w:t xml:space="preserve"> גם שם הוא לשון העדי'</w:t>
      </w:r>
      <w:r>
        <w:rPr>
          <w:rFonts w:cs="Arial" w:hint="cs"/>
          <w:rtl/>
        </w:rPr>
        <w:t>,</w:t>
      </w:r>
      <w:r w:rsidRPr="008A2316">
        <w:rPr>
          <w:rFonts w:cs="Arial"/>
          <w:rtl/>
        </w:rPr>
        <w:t xml:space="preserve"> בזה י"ל דקאי על איש זה דעוסקי' בו</w:t>
      </w:r>
      <w:r>
        <w:rPr>
          <w:rFonts w:cs="Arial" w:hint="cs"/>
          <w:rtl/>
        </w:rPr>
        <w:t>,</w:t>
      </w:r>
      <w:r w:rsidRPr="008A2316">
        <w:rPr>
          <w:rFonts w:cs="Arial"/>
          <w:rtl/>
        </w:rPr>
        <w:t xml:space="preserve"> אבל כאן הוא לשון הבעל אמרי' דקאי על אביו</w:t>
      </w:r>
      <w:r>
        <w:rPr>
          <w:rFonts w:cs="Arial" w:hint="cs"/>
          <w:rtl/>
        </w:rPr>
        <w:t>.</w:t>
      </w:r>
      <w:r w:rsidRPr="008A2316">
        <w:rPr>
          <w:rFonts w:cs="Arial"/>
          <w:rtl/>
        </w:rPr>
        <w:t xml:space="preserve"> ועיין בש"ך שם כתב אם א"א בגט אחר כשר הגט</w:t>
      </w:r>
      <w:r>
        <w:rPr>
          <w:rFonts w:cs="Arial" w:hint="cs"/>
          <w:rtl/>
        </w:rPr>
        <w:t>.</w:t>
      </w:r>
      <w:r w:rsidRPr="008A2316">
        <w:rPr>
          <w:rFonts w:cs="Arial"/>
          <w:rtl/>
        </w:rPr>
        <w:t xml:space="preserve"> ובכינוי של אשה אין קפידא אם כותב אחר שם אביה אם ליכא למטעי דקאי על שם אביה</w:t>
      </w:r>
      <w:r>
        <w:rPr>
          <w:rFonts w:cs="Arial" w:hint="cs"/>
          <w:rtl/>
        </w:rPr>
        <w:t>.</w:t>
      </w:r>
      <w:r w:rsidRPr="008A2316">
        <w:rPr>
          <w:rFonts w:cs="Arial"/>
          <w:rtl/>
        </w:rPr>
        <w:t xml:space="preserve"> וכ"כ בנ"ש</w:t>
      </w:r>
      <w:r>
        <w:rPr>
          <w:rFonts w:cs="Arial" w:hint="cs"/>
          <w:rtl/>
        </w:rPr>
        <w:t>, ב"ש (סקי"ח).</w:t>
      </w:r>
    </w:p>
  </w:footnote>
  <w:footnote w:id="1102">
    <w:p w14:paraId="05196D99" w14:textId="1A51655A" w:rsidR="00FA2119" w:rsidRDefault="00FA2119" w:rsidP="00FA2119">
      <w:pPr>
        <w:pStyle w:val="a5"/>
        <w:rPr>
          <w:rtl/>
        </w:rPr>
      </w:pPr>
      <w:r>
        <w:rPr>
          <w:rStyle w:val="a7"/>
        </w:rPr>
        <w:footnoteRef/>
      </w:r>
      <w:r>
        <w:rPr>
          <w:rtl/>
        </w:rPr>
        <w:t xml:space="preserve"> </w:t>
      </w:r>
      <w:r w:rsidRPr="00B942E1">
        <w:rPr>
          <w:rFonts w:cs="Arial"/>
          <w:rtl/>
        </w:rPr>
        <w:t xml:space="preserve">וכתב מהר"ר ישראל </w:t>
      </w:r>
      <w:r>
        <w:rPr>
          <w:rFonts w:cs="Arial" w:hint="cs"/>
          <w:rtl/>
        </w:rPr>
        <w:t>(</w:t>
      </w:r>
      <w:r w:rsidRPr="00B942E1">
        <w:rPr>
          <w:rFonts w:cs="Arial"/>
          <w:rtl/>
        </w:rPr>
        <w:t>בכתביו סי</w:t>
      </w:r>
      <w:r>
        <w:rPr>
          <w:rFonts w:cs="Arial" w:hint="cs"/>
          <w:rtl/>
        </w:rPr>
        <w:t>'</w:t>
      </w:r>
      <w:r w:rsidRPr="00B942E1">
        <w:rPr>
          <w:rFonts w:cs="Arial"/>
          <w:rtl/>
        </w:rPr>
        <w:t xml:space="preserve"> קלח</w:t>
      </w:r>
      <w:r>
        <w:rPr>
          <w:rFonts w:cs="Arial" w:hint="cs"/>
          <w:rtl/>
        </w:rPr>
        <w:t>)</w:t>
      </w:r>
      <w:r w:rsidRPr="00B942E1">
        <w:rPr>
          <w:rFonts w:cs="Arial"/>
          <w:rtl/>
        </w:rPr>
        <w:t xml:space="preserve"> דאפילו החזיק עצמו בבן שמואל זה שלשים יום פסול דאי אפשר לו לשנות שם אביו</w:t>
      </w:r>
      <w:r>
        <w:rPr>
          <w:rFonts w:cs="Arial" w:hint="cs"/>
          <w:rtl/>
        </w:rPr>
        <w:t>.</w:t>
      </w:r>
      <w:r w:rsidRPr="00B942E1">
        <w:rPr>
          <w:rFonts w:cs="Arial"/>
          <w:rtl/>
        </w:rPr>
        <w:t xml:space="preserve"> וכן נראה מדברי הרא"ש בתשובה הנזכרת</w:t>
      </w:r>
      <w:r>
        <w:rPr>
          <w:rFonts w:cs="Arial" w:hint="cs"/>
          <w:rtl/>
        </w:rPr>
        <w:t>.</w:t>
      </w:r>
      <w:r w:rsidRPr="00B942E1">
        <w:rPr>
          <w:rFonts w:cs="Arial"/>
          <w:rtl/>
        </w:rPr>
        <w:t xml:space="preserve"> ועיין בתשובת הר"ן (סי' מב) שכתבתי בסוף סימן קכ"ח</w:t>
      </w:r>
      <w:r>
        <w:rPr>
          <w:rFonts w:cs="Arial" w:hint="cs"/>
          <w:rtl/>
        </w:rPr>
        <w:t>.</w:t>
      </w:r>
      <w:r w:rsidRPr="00B942E1">
        <w:rPr>
          <w:rFonts w:cs="Arial"/>
          <w:rtl/>
        </w:rPr>
        <w:t xml:space="preserve"> </w:t>
      </w:r>
      <w:r w:rsidRPr="001A6DC6">
        <w:rPr>
          <w:rFonts w:cs="Arial"/>
          <w:rtl/>
        </w:rPr>
        <w:t xml:space="preserve">וכתב מהר"ר ישראל בסימן הנזכר דבעד אחד המעיד ששם אביו שלא ככתוב בגט </w:t>
      </w:r>
      <w:r w:rsidR="00A42812">
        <w:rPr>
          <w:rFonts w:cs="Arial"/>
          <w:rtl/>
        </w:rPr>
        <w:t>-</w:t>
      </w:r>
      <w:r w:rsidRPr="001A6DC6">
        <w:rPr>
          <w:rFonts w:cs="Arial" w:hint="cs"/>
          <w:rtl/>
        </w:rPr>
        <w:t xml:space="preserve"> </w:t>
      </w:r>
      <w:r w:rsidRPr="001A6DC6">
        <w:rPr>
          <w:rFonts w:cs="Arial"/>
          <w:rtl/>
        </w:rPr>
        <w:t>פסול</w:t>
      </w:r>
      <w:r w:rsidRPr="001A6DC6">
        <w:rPr>
          <w:rFonts w:cs="Arial" w:hint="cs"/>
          <w:rtl/>
        </w:rPr>
        <w:t>.</w:t>
      </w:r>
      <w:r w:rsidRPr="001A6DC6">
        <w:rPr>
          <w:rFonts w:cs="Arial"/>
          <w:rtl/>
        </w:rPr>
        <w:t xml:space="preserve"> וכתב שם עוד שחכם אחד רצה להתיר משום דשם האב אין צריך לכתוב בגט ולכך אין השינוי פוסלו</w:t>
      </w:r>
      <w:r>
        <w:rPr>
          <w:rFonts w:cs="Arial" w:hint="cs"/>
          <w:rtl/>
        </w:rPr>
        <w:t>.</w:t>
      </w:r>
      <w:r w:rsidRPr="001A6DC6">
        <w:rPr>
          <w:rFonts w:cs="Arial"/>
          <w:rtl/>
        </w:rPr>
        <w:t xml:space="preserve"> ודחה הוא כמו שדחה. ול</w:t>
      </w:r>
      <w:r>
        <w:rPr>
          <w:rFonts w:cs="Arial" w:hint="cs"/>
          <w:rtl/>
        </w:rPr>
        <w:t xml:space="preserve">י </w:t>
      </w:r>
      <w:r w:rsidRPr="001A6DC6">
        <w:rPr>
          <w:rFonts w:cs="Arial"/>
          <w:rtl/>
        </w:rPr>
        <w:t>נ</w:t>
      </w:r>
      <w:r>
        <w:rPr>
          <w:rFonts w:cs="Arial" w:hint="cs"/>
          <w:rtl/>
        </w:rPr>
        <w:t>ראה</w:t>
      </w:r>
      <w:r w:rsidRPr="001A6DC6">
        <w:rPr>
          <w:rFonts w:cs="Arial"/>
          <w:rtl/>
        </w:rPr>
        <w:t xml:space="preserve"> דלא דמי כלל לשינה מקום הלידה שהכשיר ר</w:t>
      </w:r>
      <w:r w:rsidRPr="001A6DC6">
        <w:rPr>
          <w:rFonts w:cs="Arial" w:hint="cs"/>
          <w:rtl/>
        </w:rPr>
        <w:t>"</w:t>
      </w:r>
      <w:r w:rsidRPr="001A6DC6">
        <w:rPr>
          <w:rFonts w:cs="Arial"/>
          <w:rtl/>
        </w:rPr>
        <w:t>ת (תוס' פ. ד"ה ושם עירו) שהרי כתב הרא"ש בפרק הזורק (סי' ט) דטעמא משום דמקום לידתו אינו ידוע וגם אינו נקרא על שם מקום לידתו וליכא חששא שיתחלף באחר</w:t>
      </w:r>
      <w:r w:rsidRPr="001A6DC6">
        <w:rPr>
          <w:rFonts w:cs="Arial" w:hint="cs"/>
          <w:rtl/>
        </w:rPr>
        <w:t>,</w:t>
      </w:r>
      <w:r w:rsidRPr="001A6DC6">
        <w:rPr>
          <w:rFonts w:cs="Arial"/>
          <w:rtl/>
        </w:rPr>
        <w:t xml:space="preserve"> ולא דמי לשינה מקום דירתו דפסול דשאני התם דמקום דירתו ידוע לכל שכל אדם נקרא על שם מקום דירתו וכשרואים שינוי המקום אומרים לא זהו שגירש אלא אחר וכמו שכתב רבינו בסימן קכ"ח (כב.), ושינה שם אביו לשינה מקום דירה דמי שהרי שם אביו ידוע לכל וכשיראו שינוי יאמרו לא זהו שגירש. ומה שכתבו ר"ת והרא"ש שכיון שאין צריך לכתוב מקום לידה אין השינוי פוסלו לא כתבו טעם זה אלא לומר דלא מיפסלי עדים משום דחתימי אשיקרא דמאחר דאין צריך לכתבו לא קיימי עדים עליה</w:t>
      </w:r>
      <w:r w:rsidRPr="001A6DC6">
        <w:rPr>
          <w:rFonts w:cs="Arial" w:hint="cs"/>
          <w:rtl/>
        </w:rPr>
        <w:t>,</w:t>
      </w:r>
      <w:r w:rsidRPr="001A6DC6">
        <w:rPr>
          <w:rFonts w:cs="Arial"/>
          <w:rtl/>
        </w:rPr>
        <w:t xml:space="preserve"> אבל לא כתבו כן לומר דכל המשנה בדבר שאין צריך לכתבו כשר דלא מכשירינן אלא היכא דליכא למיחש לקלקולא</w:t>
      </w:r>
      <w:r w:rsidRPr="001A6DC6">
        <w:rPr>
          <w:rFonts w:cs="Arial" w:hint="cs"/>
          <w:rtl/>
        </w:rPr>
        <w:t>,</w:t>
      </w:r>
      <w:r w:rsidRPr="001A6DC6">
        <w:rPr>
          <w:rFonts w:cs="Arial"/>
          <w:rtl/>
        </w:rPr>
        <w:t xml:space="preserve"> אבל היכא דאיכא למיחש לקלקולא כמו בשינה מקום דירה או שם אביו או שם אבי האשה</w:t>
      </w:r>
      <w:r w:rsidRPr="001A6DC6">
        <w:rPr>
          <w:rFonts w:cs="Arial" w:hint="cs"/>
          <w:rtl/>
        </w:rPr>
        <w:t xml:space="preserve"> -</w:t>
      </w:r>
      <w:r w:rsidRPr="001A6DC6">
        <w:rPr>
          <w:rFonts w:cs="Arial"/>
          <w:rtl/>
        </w:rPr>
        <w:t xml:space="preserve"> פסול</w:t>
      </w:r>
      <w:r w:rsidRPr="001A6DC6">
        <w:rPr>
          <w:rFonts w:cs="Arial" w:hint="cs"/>
          <w:rtl/>
        </w:rPr>
        <w:t>.</w:t>
      </w:r>
      <w:r w:rsidRPr="001A6DC6">
        <w:rPr>
          <w:rFonts w:cs="Arial"/>
          <w:rtl/>
        </w:rPr>
        <w:t xml:space="preserve"> וזה נראה לי פשוט בדבריהם ז"ל. ובסימן קצ"ז האריך מהר"ר ישראל (תרו</w:t>
      </w:r>
      <w:r>
        <w:rPr>
          <w:rFonts w:cs="Arial" w:hint="cs"/>
          <w:rtl/>
        </w:rPr>
        <w:t xml:space="preserve">ה"ד </w:t>
      </w:r>
      <w:r w:rsidRPr="001A6DC6">
        <w:rPr>
          <w:rFonts w:cs="Arial"/>
          <w:rtl/>
        </w:rPr>
        <w:t>ח"ב) בדין זה וצידד הדבר להתיר היכא דלא אפשר להביא גט אחר עיין שם, ומשמע מדבריו שם דדוקא כי ההוא עובדא שנראה לו ששיקר בשם הכתובה ואמר אמת בשם הגט וכמבואר בדבריו סימן קל"ח וסימן קפ"ד</w:t>
      </w:r>
      <w:r>
        <w:rPr>
          <w:rFonts w:cs="Arial" w:hint="cs"/>
          <w:rtl/>
        </w:rPr>
        <w:t>.</w:t>
      </w:r>
      <w:r w:rsidRPr="001A6DC6">
        <w:rPr>
          <w:rFonts w:cs="Arial"/>
          <w:rtl/>
        </w:rPr>
        <w:t xml:space="preserve"> וכתב עוד בסימן קל"ח דאפשר דתשובת הרא"ש באותו שכתב יוסף בן שמואל לא היה בא להחליף שם אביו</w:t>
      </w:r>
      <w:r w:rsidRPr="001A6DC6">
        <w:rPr>
          <w:rFonts w:cs="Arial" w:hint="cs"/>
          <w:rtl/>
        </w:rPr>
        <w:t>,</w:t>
      </w:r>
      <w:r w:rsidRPr="001A6DC6">
        <w:rPr>
          <w:rFonts w:cs="Arial"/>
          <w:rtl/>
        </w:rPr>
        <w:t xml:space="preserve"> אלא אבי אביו או אבי אמו היה נקרא שמואל</w:t>
      </w:r>
      <w:r w:rsidRPr="001A6DC6">
        <w:rPr>
          <w:rFonts w:cs="Arial" w:hint="cs"/>
          <w:rtl/>
        </w:rPr>
        <w:t>,</w:t>
      </w:r>
      <w:r w:rsidRPr="001A6DC6">
        <w:rPr>
          <w:rFonts w:cs="Arial"/>
          <w:rtl/>
        </w:rPr>
        <w:t xml:space="preserve"> וכתב עצמו בן להם דבני בנים הרי הם כבנים</w:t>
      </w:r>
      <w:r w:rsidRPr="001A6DC6">
        <w:rPr>
          <w:rFonts w:cs="Arial" w:hint="cs"/>
          <w:rtl/>
        </w:rPr>
        <w:t>,</w:t>
      </w:r>
      <w:r w:rsidRPr="001A6DC6">
        <w:rPr>
          <w:rFonts w:cs="Arial"/>
          <w:rtl/>
        </w:rPr>
        <w:t xml:space="preserve"> ואפ"ה פסול מפני הטעות</w:t>
      </w:r>
      <w:r>
        <w:rPr>
          <w:rFonts w:hint="cs"/>
          <w:rtl/>
        </w:rPr>
        <w:t>, ב"י.</w:t>
      </w:r>
    </w:p>
  </w:footnote>
  <w:footnote w:id="1103">
    <w:p w14:paraId="3B8E491E" w14:textId="043B861A" w:rsidR="00FA2119" w:rsidRDefault="00FA2119" w:rsidP="00FA2119">
      <w:pPr>
        <w:pStyle w:val="a5"/>
        <w:rPr>
          <w:rtl/>
        </w:rPr>
      </w:pPr>
      <w:r>
        <w:rPr>
          <w:rStyle w:val="a7"/>
        </w:rPr>
        <w:footnoteRef/>
      </w:r>
      <w:r>
        <w:rPr>
          <w:rtl/>
        </w:rPr>
        <w:t xml:space="preserve"> </w:t>
      </w:r>
      <w:r w:rsidRPr="00D43A48">
        <w:rPr>
          <w:rFonts w:cs="Arial"/>
          <w:rtl/>
        </w:rPr>
        <w:t>וכתב בסדר גיטין (עיין סי' כא הגהה א אות ד) דכשאבי המגרש משומד כותבין אותו פלוני בר פלוני שם דיהדות</w:t>
      </w:r>
      <w:r>
        <w:rPr>
          <w:rFonts w:cs="Arial" w:hint="cs"/>
          <w:rtl/>
        </w:rPr>
        <w:t>.</w:t>
      </w:r>
      <w:r w:rsidRPr="00D43A48">
        <w:rPr>
          <w:rFonts w:cs="Arial"/>
          <w:rtl/>
        </w:rPr>
        <w:t xml:space="preserve"> ואם הוא כהן כותבין כהן. וכתב (עיין שם </w:t>
      </w:r>
      <w:r w:rsidR="009334FF">
        <w:rPr>
          <w:rFonts w:cs="Arial"/>
          <w:rtl/>
        </w:rPr>
        <w:t>בהג"ה</w:t>
      </w:r>
      <w:r w:rsidRPr="00D43A48">
        <w:rPr>
          <w:rFonts w:cs="Arial"/>
          <w:rtl/>
        </w:rPr>
        <w:t>ה באות ב) מיהו כשעולה בתורה או חותם בשטרות יחתום על שם אבי אביו ואין לחתום על הגט מי שאביו היה משומד</w:t>
      </w:r>
      <w:r>
        <w:rPr>
          <w:rFonts w:cs="Arial" w:hint="cs"/>
          <w:rtl/>
        </w:rPr>
        <w:t>, דרכ"מ (אות יא).</w:t>
      </w:r>
      <w:r>
        <w:rPr>
          <w:rFonts w:hint="cs"/>
          <w:rtl/>
        </w:rPr>
        <w:t xml:space="preserve"> </w:t>
      </w:r>
      <w:r w:rsidRPr="00ED6A10">
        <w:rPr>
          <w:rFonts w:hint="cs"/>
          <w:color w:val="00B0F0"/>
          <w:rtl/>
        </w:rPr>
        <w:t>(</w:t>
      </w:r>
      <w:r>
        <w:rPr>
          <w:rFonts w:hint="cs"/>
          <w:color w:val="00B0F0"/>
          <w:rtl/>
        </w:rPr>
        <w:t>וכ</w:t>
      </w:r>
      <w:r>
        <w:rPr>
          <w:color w:val="00B0F0"/>
          <w:rtl/>
        </w:rPr>
        <w:t>"</w:t>
      </w:r>
      <w:r>
        <w:rPr>
          <w:rFonts w:hint="cs"/>
          <w:color w:val="00B0F0"/>
          <w:rtl/>
        </w:rPr>
        <w:t xml:space="preserve">פ </w:t>
      </w:r>
      <w:r w:rsidR="009334FF">
        <w:rPr>
          <w:rFonts w:hint="cs"/>
          <w:color w:val="00B0F0"/>
          <w:rtl/>
        </w:rPr>
        <w:t>בהג</w:t>
      </w:r>
      <w:r w:rsidR="009334FF">
        <w:rPr>
          <w:color w:val="00B0F0"/>
          <w:rtl/>
        </w:rPr>
        <w:t>"</w:t>
      </w:r>
      <w:r w:rsidR="009334FF">
        <w:rPr>
          <w:rFonts w:hint="cs"/>
          <w:color w:val="00B0F0"/>
          <w:rtl/>
        </w:rPr>
        <w:t>ה</w:t>
      </w:r>
      <w:r w:rsidRPr="00ED6A10">
        <w:rPr>
          <w:rFonts w:hint="cs"/>
          <w:color w:val="00B0F0"/>
          <w:rtl/>
        </w:rPr>
        <w:t>)</w:t>
      </w:r>
    </w:p>
  </w:footnote>
  <w:footnote w:id="1104">
    <w:p w14:paraId="5C97E920" w14:textId="77777777" w:rsidR="00FA2119" w:rsidRDefault="00FA2119" w:rsidP="00FA2119">
      <w:pPr>
        <w:pStyle w:val="a5"/>
      </w:pPr>
      <w:r>
        <w:rPr>
          <w:rStyle w:val="a7"/>
        </w:rPr>
        <w:footnoteRef/>
      </w:r>
      <w:r>
        <w:rPr>
          <w:rtl/>
        </w:rPr>
        <w:t xml:space="preserve"> </w:t>
      </w:r>
      <w:r w:rsidRPr="00D152F7">
        <w:rPr>
          <w:rFonts w:cs="Arial"/>
          <w:rtl/>
        </w:rPr>
        <w:t>אע</w:t>
      </w:r>
      <w:r>
        <w:rPr>
          <w:rFonts w:cs="Arial" w:hint="cs"/>
          <w:rtl/>
        </w:rPr>
        <w:t>"</w:t>
      </w:r>
      <w:r w:rsidRPr="00D152F7">
        <w:rPr>
          <w:rFonts w:cs="Arial"/>
          <w:rtl/>
        </w:rPr>
        <w:t>ג דאבי אביו נקרא שמואל אין אומרי' בזה בני בנים כבנים תשו' הרא"ש, ומהרש"ל כתב אם נכת</w:t>
      </w:r>
      <w:r>
        <w:rPr>
          <w:rFonts w:cs="Arial" w:hint="cs"/>
          <w:rtl/>
        </w:rPr>
        <w:t>ב</w:t>
      </w:r>
      <w:r w:rsidRPr="00D152F7">
        <w:rPr>
          <w:rFonts w:cs="Arial"/>
          <w:rtl/>
        </w:rPr>
        <w:t xml:space="preserve"> בשם אבי אביו כשר משו</w:t>
      </w:r>
      <w:r>
        <w:rPr>
          <w:rFonts w:cs="Arial" w:hint="cs"/>
          <w:rtl/>
        </w:rPr>
        <w:t>ם</w:t>
      </w:r>
      <w:r w:rsidRPr="00D152F7">
        <w:rPr>
          <w:rFonts w:cs="Arial"/>
          <w:rtl/>
        </w:rPr>
        <w:t xml:space="preserve"> חשש עיגון אפי' לא ניתן הגט עדיין וכ"ש היכא דהוחזק לקרוא לס"ת כן</w:t>
      </w:r>
      <w:r>
        <w:rPr>
          <w:rFonts w:cs="Arial" w:hint="cs"/>
          <w:rtl/>
        </w:rPr>
        <w:t>, ב"ש (סקי"ט).</w:t>
      </w:r>
    </w:p>
  </w:footnote>
  <w:footnote w:id="1105">
    <w:p w14:paraId="4AD759AD" w14:textId="410329AE" w:rsidR="00FA2119" w:rsidRDefault="00FA2119" w:rsidP="00FA2119">
      <w:pPr>
        <w:pStyle w:val="a5"/>
      </w:pPr>
      <w:r>
        <w:rPr>
          <w:rStyle w:val="a7"/>
        </w:rPr>
        <w:footnoteRef/>
      </w:r>
      <w:r>
        <w:rPr>
          <w:rtl/>
        </w:rPr>
        <w:t xml:space="preserve"> </w:t>
      </w:r>
      <w:r w:rsidRPr="0027707A">
        <w:rPr>
          <w:rFonts w:cs="Arial"/>
          <w:rtl/>
        </w:rPr>
        <w:t>הנה מתוך דברי מרן ז"ל שכתב סברא זו בשם יש מי שאומר משמע לכאורה דלסברא קמייתא והיא סברת הרא"ש ז"ל הגט פסול ותצא</w:t>
      </w:r>
      <w:r>
        <w:rPr>
          <w:rFonts w:cs="Arial" w:hint="cs"/>
          <w:rtl/>
        </w:rPr>
        <w:t>,</w:t>
      </w:r>
      <w:r w:rsidRPr="0027707A">
        <w:rPr>
          <w:rFonts w:cs="Arial"/>
          <w:rtl/>
        </w:rPr>
        <w:t xml:space="preserve"> וכן תופס עיקר כידוע</w:t>
      </w:r>
      <w:r>
        <w:rPr>
          <w:rFonts w:cs="Arial" w:hint="cs"/>
          <w:rtl/>
        </w:rPr>
        <w:t>,</w:t>
      </w:r>
      <w:r w:rsidRPr="0027707A">
        <w:rPr>
          <w:rFonts w:cs="Arial"/>
          <w:rtl/>
        </w:rPr>
        <w:t xml:space="preserve"> שכן דרך מרן בש"ע כמ"ש הש"ך ביו"ד ס"ס רמ"ב בכללי הוראה. אך בתשו' מרן הב"י דף ע"ו פוסק שם כסברת היש מי שאומר והיא סברת רש"י ז"ל. ובתשו' מהריב"ל סוף ח"ב ובח"ג סי' כ"ז פסק דתצא ע"ש. ועיין בג"פ </w:t>
      </w:r>
      <w:r>
        <w:rPr>
          <w:rFonts w:cs="Arial" w:hint="cs"/>
          <w:rtl/>
        </w:rPr>
        <w:t>(</w:t>
      </w:r>
      <w:r w:rsidRPr="0027707A">
        <w:rPr>
          <w:rFonts w:cs="Arial"/>
          <w:rtl/>
        </w:rPr>
        <w:t>סקמ"ט</w:t>
      </w:r>
      <w:r>
        <w:rPr>
          <w:rFonts w:cs="Arial" w:hint="cs"/>
          <w:rtl/>
        </w:rPr>
        <w:t>)</w:t>
      </w:r>
      <w:r w:rsidRPr="0027707A">
        <w:rPr>
          <w:rFonts w:cs="Arial"/>
          <w:rtl/>
        </w:rPr>
        <w:t xml:space="preserve"> האריך בזה</w:t>
      </w:r>
      <w:r>
        <w:rPr>
          <w:rFonts w:cs="Arial" w:hint="cs"/>
          <w:rtl/>
        </w:rPr>
        <w:t>...</w:t>
      </w:r>
      <w:r w:rsidRPr="0027707A">
        <w:rPr>
          <w:rFonts w:cs="Arial"/>
          <w:rtl/>
        </w:rPr>
        <w:t xml:space="preserve"> ובסוף כתב </w:t>
      </w:r>
      <w:r w:rsidR="000A0F5A">
        <w:rPr>
          <w:rFonts w:cs="Arial"/>
          <w:rtl/>
        </w:rPr>
        <w:t>וז"ל:</w:t>
      </w:r>
      <w:r w:rsidRPr="0027707A">
        <w:rPr>
          <w:rFonts w:cs="Arial"/>
          <w:rtl/>
        </w:rPr>
        <w:t xml:space="preserve"> סוף דבר הנה ראשונים גם אחרונים נחלקו בדין זה דשינה שם אביו והוחזק בשם השינוי ועמדה ונשאת אם תצא ולענין הל' יראה לי דאין כח בידינו לכוף אותו שיוציא כיון די"א דלא תצא ויגלו לבעל דנחלקו הפוסקים בדין זה דאיכא דס"ל דתצא ואם בעל נפש הוא יחוש לעצמו ואם לא רצה להוציאה וסמך על המכשירין נכון הדבר דבעל הראשון יכתוב לה גט שני בשם אביו האמיתי ותשב תחת בעלה השני (ע' לקמן סי' ק"נ) עכ"ל.</w:t>
      </w:r>
      <w:r>
        <w:rPr>
          <w:rFonts w:cs="Arial" w:hint="cs"/>
          <w:rtl/>
        </w:rPr>
        <w:t>..</w:t>
      </w:r>
      <w:r w:rsidRPr="00C96B9F">
        <w:rPr>
          <w:rFonts w:cs="Arial"/>
          <w:rtl/>
        </w:rPr>
        <w:t xml:space="preserve"> </w:t>
      </w:r>
      <w:r w:rsidRPr="0027707A">
        <w:rPr>
          <w:rFonts w:cs="Arial"/>
          <w:rtl/>
        </w:rPr>
        <w:t>וכ' עוד בסק"ן דאפי' לדעת מהריב"ל וסייעתו דס"ל דאם שינה שם אביו בגט דתצא היינו דוקא היכא דהדבר ברור דשינה שם אביו אבל אם מספקא לן אם שינה לא תצא כן מבואר במהריב"ל שם</w:t>
      </w:r>
      <w:r>
        <w:rPr>
          <w:rFonts w:cs="Arial" w:hint="cs"/>
          <w:rtl/>
        </w:rPr>
        <w:t>..., פת"ש (סקכ"ז).</w:t>
      </w:r>
    </w:p>
  </w:footnote>
  <w:footnote w:id="1106">
    <w:p w14:paraId="42980EA6" w14:textId="77777777" w:rsidR="00FA2119" w:rsidRDefault="00FA2119" w:rsidP="00FA2119">
      <w:pPr>
        <w:pStyle w:val="a5"/>
      </w:pPr>
      <w:r>
        <w:rPr>
          <w:rStyle w:val="a7"/>
        </w:rPr>
        <w:footnoteRef/>
      </w:r>
      <w:r>
        <w:rPr>
          <w:rtl/>
        </w:rPr>
        <w:t xml:space="preserve"> </w:t>
      </w:r>
      <w:r w:rsidRPr="008637AC">
        <w:rPr>
          <w:rFonts w:cs="Arial"/>
          <w:rtl/>
        </w:rPr>
        <w:t xml:space="preserve">עיין בג"פ </w:t>
      </w:r>
      <w:r>
        <w:rPr>
          <w:rFonts w:cs="Arial" w:hint="cs"/>
          <w:rtl/>
        </w:rPr>
        <w:t>(</w:t>
      </w:r>
      <w:r w:rsidRPr="008637AC">
        <w:rPr>
          <w:rFonts w:cs="Arial"/>
          <w:rtl/>
        </w:rPr>
        <w:t>סקמ"ט</w:t>
      </w:r>
      <w:r>
        <w:rPr>
          <w:rFonts w:cs="Arial" w:hint="cs"/>
          <w:rtl/>
        </w:rPr>
        <w:t>)</w:t>
      </w:r>
      <w:r w:rsidRPr="008637AC">
        <w:rPr>
          <w:rFonts w:cs="Arial"/>
          <w:rtl/>
        </w:rPr>
        <w:t xml:space="preserve"> ובב"ש </w:t>
      </w:r>
      <w:r>
        <w:rPr>
          <w:rFonts w:cs="Arial" w:hint="cs"/>
          <w:rtl/>
        </w:rPr>
        <w:t>(</w:t>
      </w:r>
      <w:r w:rsidRPr="008637AC">
        <w:rPr>
          <w:rFonts w:cs="Arial"/>
          <w:rtl/>
        </w:rPr>
        <w:t>סק"כ</w:t>
      </w:r>
      <w:r>
        <w:rPr>
          <w:rFonts w:cs="Arial" w:hint="cs"/>
          <w:rtl/>
        </w:rPr>
        <w:t>)</w:t>
      </w:r>
      <w:r w:rsidRPr="008637AC">
        <w:rPr>
          <w:rFonts w:cs="Arial"/>
          <w:rtl/>
        </w:rPr>
        <w:t xml:space="preserve"> שכתבו בשם מהרא"י סי' קל"ח דאפי' החזיק עצמו בבן שמואל זה שלשי' יום הגט פסול דאי אפשר לשנות שם אביו. ובב"ש מבואר עוד בשם מהרא"י שם דאפי' לא איתחזק במקו' כו"נ השם האחר שיש לאביו ובכה"ג בשמו של עצמו ס"ל להרא"ש גופיה דאם כתבו השם שיש לו כאן כשר (כמ"ש הב"ש לעיל סק"ו)</w:t>
      </w:r>
      <w:r>
        <w:rPr>
          <w:rFonts w:cs="Arial" w:hint="cs"/>
          <w:rtl/>
        </w:rPr>
        <w:t>,</w:t>
      </w:r>
      <w:r w:rsidRPr="008637AC">
        <w:rPr>
          <w:rFonts w:cs="Arial"/>
          <w:rtl/>
        </w:rPr>
        <w:t xml:space="preserve"> מ"מ בשם של אביו גרע טפי ופסול גם בכה"ג ע"ש. אכן בתשו' הרדב"ז </w:t>
      </w:r>
      <w:r>
        <w:rPr>
          <w:rFonts w:cs="Arial" w:hint="cs"/>
          <w:rtl/>
        </w:rPr>
        <w:t>(</w:t>
      </w:r>
      <w:r w:rsidRPr="008637AC">
        <w:rPr>
          <w:rFonts w:cs="Arial"/>
          <w:rtl/>
        </w:rPr>
        <w:t>ח"א סי' שעו</w:t>
      </w:r>
      <w:r>
        <w:rPr>
          <w:rFonts w:cs="Arial" w:hint="cs"/>
          <w:rtl/>
        </w:rPr>
        <w:t>)</w:t>
      </w:r>
      <w:r w:rsidRPr="008637AC">
        <w:rPr>
          <w:rFonts w:cs="Arial"/>
          <w:rtl/>
        </w:rPr>
        <w:t xml:space="preserve"> מבואר שאין דעתו כן שכ' שם על נדון דידיה וז"ל וא"ת שהרי כ' הרא"ש ז"ל בתשובה על א' ששמו יוסף בן שמעון כו' צריך שתדע שאין הנדון דומה כלל מכמה טעמים חדא התם היו מכירים אותו ביוסף בן שמעון ולא ביוסף בן שמואל והרואה יאמר כו' אבל בנ"ד אדרבה כיון שהכל מכירין אותו בראובן הידוע ולא בראובן בן שמואל לא יאמרו אחר מגרשה עכ"ל מבואר להדיא שהבין דברי הרא"ש ז"ל דמיירי דאתחזק במקום כתיבה שמו האמיתי של אביו שהיה לו מכבר וצ"ע. וע' בס' גט מקושר </w:t>
      </w:r>
      <w:r>
        <w:rPr>
          <w:rFonts w:cs="Arial" w:hint="cs"/>
          <w:rtl/>
        </w:rPr>
        <w:t>(</w:t>
      </w:r>
      <w:r w:rsidRPr="008637AC">
        <w:rPr>
          <w:rFonts w:cs="Arial"/>
          <w:rtl/>
        </w:rPr>
        <w:t>בסג"ר אות כג</w:t>
      </w:r>
      <w:r>
        <w:rPr>
          <w:rFonts w:cs="Arial" w:hint="cs"/>
          <w:rtl/>
        </w:rPr>
        <w:t>)</w:t>
      </w:r>
      <w:r w:rsidRPr="008637AC">
        <w:rPr>
          <w:rFonts w:cs="Arial"/>
          <w:rtl/>
        </w:rPr>
        <w:t xml:space="preserve"> האריך לתמוה על גוף דברי הרא"ש ומהרא"י הנ"ל והביא כמה ראיות דגם לשם אביו מהנ' החזקה שהחזיק לאביו שם זה</w:t>
      </w:r>
      <w:r>
        <w:rPr>
          <w:rFonts w:cs="Arial" w:hint="cs"/>
          <w:rtl/>
        </w:rPr>
        <w:t>,</w:t>
      </w:r>
      <w:r w:rsidRPr="008637AC">
        <w:rPr>
          <w:rFonts w:cs="Arial"/>
          <w:rtl/>
        </w:rPr>
        <w:t xml:space="preserve"> והניח בצ"ע ע"ש</w:t>
      </w:r>
      <w:r>
        <w:rPr>
          <w:rFonts w:cs="Arial" w:hint="cs"/>
          <w:rtl/>
        </w:rPr>
        <w:t>.</w:t>
      </w:r>
      <w:r w:rsidRPr="008637AC">
        <w:rPr>
          <w:rFonts w:cs="Arial"/>
          <w:rtl/>
        </w:rPr>
        <w:t xml:space="preserve"> ועיין בשו"ת בית דוד </w:t>
      </w:r>
      <w:r>
        <w:rPr>
          <w:rFonts w:cs="Arial" w:hint="cs"/>
          <w:rtl/>
        </w:rPr>
        <w:t>(</w:t>
      </w:r>
      <w:r w:rsidRPr="008637AC">
        <w:rPr>
          <w:rFonts w:cs="Arial"/>
          <w:rtl/>
        </w:rPr>
        <w:t>סי' כ</w:t>
      </w:r>
      <w:r>
        <w:rPr>
          <w:rFonts w:cs="Arial" w:hint="cs"/>
          <w:rtl/>
        </w:rPr>
        <w:t>)</w:t>
      </w:r>
      <w:r w:rsidRPr="008637AC">
        <w:rPr>
          <w:rFonts w:cs="Arial"/>
          <w:rtl/>
        </w:rPr>
        <w:t xml:space="preserve"> אודות הגט שניתן בשווערזנע ונכתב בו שם אבי המגרש זאב המכונה ואלף</w:t>
      </w:r>
      <w:r>
        <w:rPr>
          <w:rFonts w:cs="Arial" w:hint="cs"/>
          <w:rtl/>
        </w:rPr>
        <w:t>,</w:t>
      </w:r>
      <w:r w:rsidRPr="008637AC">
        <w:rPr>
          <w:rFonts w:cs="Arial"/>
          <w:rtl/>
        </w:rPr>
        <w:t xml:space="preserve"> ואחר נתינת הגט נתוודע שאביו הי' מנישוועז ונקרא שם בנימין זאב</w:t>
      </w:r>
      <w:r>
        <w:rPr>
          <w:rFonts w:cs="Arial" w:hint="cs"/>
          <w:rtl/>
        </w:rPr>
        <w:t>,</w:t>
      </w:r>
      <w:r w:rsidRPr="008637AC">
        <w:rPr>
          <w:rFonts w:cs="Arial"/>
          <w:rtl/>
        </w:rPr>
        <w:t xml:space="preserve"> ובגט נכתב רק שם זאב לבד</w:t>
      </w:r>
      <w:r>
        <w:rPr>
          <w:rFonts w:cs="Arial" w:hint="cs"/>
          <w:rtl/>
        </w:rPr>
        <w:t>,</w:t>
      </w:r>
      <w:r w:rsidRPr="008637AC">
        <w:rPr>
          <w:rFonts w:cs="Arial"/>
          <w:rtl/>
        </w:rPr>
        <w:t xml:space="preserve"> וגבו ב"ד עדות כי מעת שבא המגרש לשווערזנא זה שתי שנים הי' מוחזק בשם אביו כך כאשר נכתב בגט בעלותו לתורה ובחתימתו ובהזכירו נשמת אביו ליום יאר צייט רק בשם זאב לבד</w:t>
      </w:r>
      <w:r>
        <w:rPr>
          <w:rFonts w:cs="Arial" w:hint="cs"/>
          <w:rtl/>
        </w:rPr>
        <w:t>,</w:t>
      </w:r>
      <w:r w:rsidRPr="008637AC">
        <w:rPr>
          <w:rFonts w:cs="Arial"/>
          <w:rtl/>
        </w:rPr>
        <w:t xml:space="preserve"> והשינוי בא מפני שהי' קטן כשמת אביו ויען כי הי' נקרא בפ"כ ר' וועלוויל וסתם כינוי וואלף שם הקודש שלו הוא זאב כי שם בנימן זאב אינו מצוי כ"כ</w:t>
      </w:r>
      <w:r>
        <w:rPr>
          <w:rFonts w:cs="Arial" w:hint="cs"/>
          <w:rtl/>
        </w:rPr>
        <w:t>,</w:t>
      </w:r>
      <w:r w:rsidRPr="008637AC">
        <w:rPr>
          <w:rFonts w:cs="Arial"/>
          <w:rtl/>
        </w:rPr>
        <w:t xml:space="preserve"> לכך החזיקו אותו אנשי שווערזנא בשם זה וגם הוא הי' סבור כן ולכך החזיק שם אביו כך ולא היו יודעין בשווערזנא שום שם אחר לאביו ונשאל מה יהא משפט הגט הנ"ל</w:t>
      </w:r>
      <w:r>
        <w:rPr>
          <w:rFonts w:cs="Arial" w:hint="cs"/>
          <w:rtl/>
        </w:rPr>
        <w:t>.</w:t>
      </w:r>
      <w:r w:rsidRPr="008637AC">
        <w:rPr>
          <w:rFonts w:cs="Arial"/>
          <w:rtl/>
        </w:rPr>
        <w:t xml:space="preserve"> והשיב ע"ז באריכות דיש להכשיר גט זה</w:t>
      </w:r>
      <w:r>
        <w:rPr>
          <w:rFonts w:cs="Arial" w:hint="cs"/>
          <w:rtl/>
        </w:rPr>
        <w:t>..., פת"ש (סקכ"ד).</w:t>
      </w:r>
      <w:r>
        <w:rPr>
          <w:rFonts w:hint="cs"/>
          <w:rtl/>
        </w:rPr>
        <w:t xml:space="preserve"> ועיין עוד בשו"ת ב"ח החדשות </w:t>
      </w:r>
      <w:r w:rsidRPr="009C2E58">
        <w:rPr>
          <w:rFonts w:hint="cs"/>
          <w:sz w:val="16"/>
          <w:szCs w:val="16"/>
          <w:rtl/>
        </w:rPr>
        <w:t xml:space="preserve">(סי' פו, הובא בפת"ש סקכ"ה) </w:t>
      </w:r>
      <w:r>
        <w:rPr>
          <w:rFonts w:hint="cs"/>
          <w:rtl/>
        </w:rPr>
        <w:t>ובפת"ש סקכ"ז.</w:t>
      </w:r>
    </w:p>
  </w:footnote>
  <w:footnote w:id="1107">
    <w:p w14:paraId="5E76D71C" w14:textId="48B0EC03" w:rsidR="00FA2119" w:rsidRDefault="00FA2119" w:rsidP="00FA2119">
      <w:pPr>
        <w:pStyle w:val="a5"/>
      </w:pPr>
      <w:r>
        <w:rPr>
          <w:rStyle w:val="a7"/>
        </w:rPr>
        <w:footnoteRef/>
      </w:r>
      <w:r>
        <w:rPr>
          <w:rtl/>
        </w:rPr>
        <w:t xml:space="preserve"> </w:t>
      </w:r>
      <w:r w:rsidRPr="00C96B9F">
        <w:rPr>
          <w:rFonts w:cs="Arial"/>
          <w:rtl/>
        </w:rPr>
        <w:t xml:space="preserve">כתב הג"פ </w:t>
      </w:r>
      <w:r w:rsidR="00E13077">
        <w:rPr>
          <w:rFonts w:cs="Arial" w:hint="cs"/>
          <w:rtl/>
        </w:rPr>
        <w:t>(</w:t>
      </w:r>
      <w:r w:rsidRPr="00C96B9F">
        <w:rPr>
          <w:rFonts w:cs="Arial"/>
          <w:rtl/>
        </w:rPr>
        <w:t>סקנ"ה</w:t>
      </w:r>
      <w:r w:rsidR="00E13077">
        <w:rPr>
          <w:rFonts w:cs="Arial" w:hint="cs"/>
          <w:rtl/>
        </w:rPr>
        <w:t>)</w:t>
      </w:r>
      <w:r w:rsidRPr="00C96B9F">
        <w:rPr>
          <w:rFonts w:cs="Arial"/>
          <w:rtl/>
        </w:rPr>
        <w:t xml:space="preserve"> ומיהו יראה לי דאם יכתוב בגט פ' נכדו של פ' או פ' בן בנו של פ' ליכא למיחש למידי ואפשר דלכתחילה נמי מצי למיכתב הכי עכ"ל</w:t>
      </w:r>
      <w:r>
        <w:rPr>
          <w:rFonts w:cs="Arial" w:hint="cs"/>
          <w:rtl/>
        </w:rPr>
        <w:t>, פת"ש (סקכ"ט).</w:t>
      </w:r>
    </w:p>
  </w:footnote>
  <w:footnote w:id="1108">
    <w:p w14:paraId="10274117" w14:textId="25D918C1" w:rsidR="00FA2119" w:rsidRDefault="00FA2119" w:rsidP="00FA2119">
      <w:pPr>
        <w:pStyle w:val="a5"/>
        <w:rPr>
          <w:rtl/>
        </w:rPr>
      </w:pPr>
      <w:r>
        <w:rPr>
          <w:rStyle w:val="a7"/>
        </w:rPr>
        <w:footnoteRef/>
      </w:r>
      <w:r>
        <w:rPr>
          <w:rtl/>
        </w:rPr>
        <w:t xml:space="preserve"> </w:t>
      </w:r>
      <w:r w:rsidRPr="00C96B9F">
        <w:rPr>
          <w:rFonts w:cs="Arial"/>
          <w:rtl/>
        </w:rPr>
        <w:t>עבה"ט בשם מהריב"ל</w:t>
      </w:r>
      <w:r>
        <w:rPr>
          <w:rFonts w:cs="Arial" w:hint="cs"/>
          <w:rtl/>
        </w:rPr>
        <w:t>,</w:t>
      </w:r>
      <w:r w:rsidRPr="00C96B9F">
        <w:rPr>
          <w:rFonts w:cs="Arial"/>
          <w:rtl/>
        </w:rPr>
        <w:t xml:space="preserve"> ועיין בג"פ </w:t>
      </w:r>
      <w:r>
        <w:rPr>
          <w:rFonts w:cs="Arial" w:hint="cs"/>
          <w:rtl/>
        </w:rPr>
        <w:t>(</w:t>
      </w:r>
      <w:r w:rsidRPr="00C96B9F">
        <w:rPr>
          <w:rFonts w:cs="Arial"/>
          <w:rtl/>
        </w:rPr>
        <w:t>סקכ"ו</w:t>
      </w:r>
      <w:r>
        <w:rPr>
          <w:rFonts w:cs="Arial" w:hint="cs"/>
          <w:rtl/>
        </w:rPr>
        <w:t>)</w:t>
      </w:r>
      <w:r w:rsidRPr="00C96B9F">
        <w:rPr>
          <w:rFonts w:cs="Arial"/>
          <w:rtl/>
        </w:rPr>
        <w:t xml:space="preserve"> הביא דברי מהריב"ל אלו בביאור יותר. וכ' עוד הג"פ שם ויראה לי דאע"ג דפסק הריב"ל במגרש ששינה שם אביו ונתגרשה באותו גט ועמדה ונשאת דתצא (כמו שהובא בשמו לעיל סקכ"ז) אם אירע זה בעד החתום דשינה שם אביו ונתגרשה באותו גט ונשאת יודה הריב"ל דלא תצא דיש לחלק בין אבי המגרש לאבי העד כו' עכ"ל</w:t>
      </w:r>
      <w:r>
        <w:rPr>
          <w:rFonts w:cs="Arial" w:hint="cs"/>
          <w:rtl/>
        </w:rPr>
        <w:t>.</w:t>
      </w:r>
      <w:r w:rsidRPr="00C96B9F">
        <w:rPr>
          <w:rFonts w:cs="Arial"/>
          <w:rtl/>
        </w:rPr>
        <w:t xml:space="preserve"> וע' בזה בש"ע לקמן סי' ק"ל סי"א </w:t>
      </w:r>
      <w:r w:rsidR="009334FF">
        <w:rPr>
          <w:rFonts w:cs="Arial"/>
          <w:rtl/>
        </w:rPr>
        <w:t>בהג"ה</w:t>
      </w:r>
      <w:r w:rsidRPr="00C96B9F">
        <w:rPr>
          <w:rFonts w:cs="Arial"/>
          <w:rtl/>
        </w:rPr>
        <w:t xml:space="preserve"> ומ"ש שם</w:t>
      </w:r>
      <w:r>
        <w:rPr>
          <w:rFonts w:hint="cs"/>
          <w:rtl/>
        </w:rPr>
        <w:t>, פת"ש (סק"ל).</w:t>
      </w:r>
    </w:p>
  </w:footnote>
  <w:footnote w:id="1109">
    <w:p w14:paraId="4CF8C2C1" w14:textId="77777777" w:rsidR="00FA2119" w:rsidRPr="002A6B50" w:rsidRDefault="00FA2119" w:rsidP="00FA2119">
      <w:pPr>
        <w:pStyle w:val="a5"/>
      </w:pPr>
      <w:r>
        <w:rPr>
          <w:rStyle w:val="a7"/>
        </w:rPr>
        <w:footnoteRef/>
      </w:r>
      <w:r>
        <w:rPr>
          <w:rtl/>
        </w:rPr>
        <w:t xml:space="preserve"> </w:t>
      </w:r>
      <w:r w:rsidRPr="009C2E58">
        <w:rPr>
          <w:rFonts w:cs="Arial"/>
          <w:rtl/>
        </w:rPr>
        <w:t>ומדברי התוספות בפ</w:t>
      </w:r>
      <w:r>
        <w:rPr>
          <w:rFonts w:cs="Arial" w:hint="cs"/>
          <w:rtl/>
        </w:rPr>
        <w:t>"</w:t>
      </w:r>
      <w:r w:rsidRPr="009C2E58">
        <w:rPr>
          <w:rFonts w:cs="Arial"/>
          <w:rtl/>
        </w:rPr>
        <w:t>ב דגיטין (יט: כ. ד"ה הא בעינן) גבי ההוא גברא דעאל לבי כנישתא שקל ספר תורה יהב לדביתהו משמע שאם לא כתב שמו הגט בטל מן התורה כדברי אור זרוע</w:t>
      </w:r>
      <w:r>
        <w:rPr>
          <w:rFonts w:cs="Arial" w:hint="cs"/>
          <w:rtl/>
        </w:rPr>
        <w:t>, ב"י.</w:t>
      </w:r>
      <w:r w:rsidRPr="00310A03">
        <w:rPr>
          <w:rtl/>
        </w:rPr>
        <w:t xml:space="preserve"> </w:t>
      </w:r>
      <w:r w:rsidRPr="00310A03">
        <w:rPr>
          <w:rFonts w:cs="Arial"/>
          <w:rtl/>
        </w:rPr>
        <w:t>ומ"ש הב"י בשם תו</w:t>
      </w:r>
      <w:r>
        <w:rPr>
          <w:rFonts w:cs="Arial" w:hint="cs"/>
          <w:rtl/>
        </w:rPr>
        <w:t>ס</w:t>
      </w:r>
      <w:r w:rsidRPr="00310A03">
        <w:rPr>
          <w:rFonts w:cs="Arial"/>
          <w:rtl/>
        </w:rPr>
        <w:t xml:space="preserve">' </w:t>
      </w:r>
      <w:r>
        <w:rPr>
          <w:rFonts w:cs="Arial" w:hint="cs"/>
          <w:rtl/>
        </w:rPr>
        <w:t>(שם)</w:t>
      </w:r>
      <w:r w:rsidRPr="00310A03">
        <w:rPr>
          <w:rFonts w:cs="Arial"/>
          <w:rtl/>
        </w:rPr>
        <w:t xml:space="preserve"> דבטל מדאוריי' </w:t>
      </w:r>
      <w:r>
        <w:rPr>
          <w:rFonts w:cs="Arial" w:hint="cs"/>
          <w:rtl/>
        </w:rPr>
        <w:t xml:space="preserve">- </w:t>
      </w:r>
      <w:r w:rsidRPr="00310A03">
        <w:rPr>
          <w:rFonts w:cs="Arial"/>
          <w:rtl/>
        </w:rPr>
        <w:t>אין מוכרח</w:t>
      </w:r>
      <w:r>
        <w:rPr>
          <w:rFonts w:cs="Arial" w:hint="cs"/>
          <w:rtl/>
        </w:rPr>
        <w:t>,</w:t>
      </w:r>
      <w:r w:rsidRPr="00310A03">
        <w:rPr>
          <w:rFonts w:cs="Arial"/>
          <w:rtl/>
        </w:rPr>
        <w:t xml:space="preserve"> כי תו</w:t>
      </w:r>
      <w:r>
        <w:rPr>
          <w:rFonts w:cs="Arial" w:hint="cs"/>
          <w:rtl/>
        </w:rPr>
        <w:t>ס</w:t>
      </w:r>
      <w:r w:rsidRPr="00310A03">
        <w:rPr>
          <w:rFonts w:cs="Arial"/>
          <w:rtl/>
        </w:rPr>
        <w:t>' לא כתבו זאת אלא אליבא דר"מ דס"ל ע"ח כרתי וצריך שיהיה מוכח מתוכו</w:t>
      </w:r>
      <w:r>
        <w:rPr>
          <w:rFonts w:cs="Arial" w:hint="cs"/>
          <w:rtl/>
        </w:rPr>
        <w:t>,</w:t>
      </w:r>
      <w:r w:rsidRPr="00310A03">
        <w:rPr>
          <w:rFonts w:cs="Arial"/>
          <w:rtl/>
        </w:rPr>
        <w:t xml:space="preserve"> אז מדאוריית</w:t>
      </w:r>
      <w:r>
        <w:rPr>
          <w:rFonts w:cs="Arial" w:hint="cs"/>
          <w:rtl/>
        </w:rPr>
        <w:t>א</w:t>
      </w:r>
      <w:r w:rsidRPr="00310A03">
        <w:rPr>
          <w:rFonts w:cs="Arial"/>
          <w:rtl/>
        </w:rPr>
        <w:t xml:space="preserve"> בטל</w:t>
      </w:r>
      <w:r>
        <w:rPr>
          <w:rFonts w:cs="Arial" w:hint="cs"/>
          <w:rtl/>
        </w:rPr>
        <w:t>.</w:t>
      </w:r>
      <w:r w:rsidRPr="00310A03">
        <w:rPr>
          <w:rFonts w:cs="Arial"/>
          <w:rtl/>
        </w:rPr>
        <w:t xml:space="preserve"> אבל לדידן דקי"ל כר"א ע"מ כרתי אז אפי' אם אינו מוכח מתוכו כשר</w:t>
      </w:r>
      <w:r>
        <w:rPr>
          <w:rFonts w:cs="Arial" w:hint="cs"/>
          <w:rtl/>
        </w:rPr>
        <w:t>,</w:t>
      </w:r>
      <w:r w:rsidRPr="00310A03">
        <w:rPr>
          <w:rFonts w:cs="Arial"/>
          <w:rtl/>
        </w:rPr>
        <w:t xml:space="preserve"> אע</w:t>
      </w:r>
      <w:r>
        <w:rPr>
          <w:rFonts w:cs="Arial" w:hint="cs"/>
          <w:rtl/>
        </w:rPr>
        <w:t>"</w:t>
      </w:r>
      <w:r w:rsidRPr="00310A03">
        <w:rPr>
          <w:rFonts w:cs="Arial"/>
          <w:rtl/>
        </w:rPr>
        <w:t xml:space="preserve">ג </w:t>
      </w:r>
      <w:r>
        <w:rPr>
          <w:rFonts w:cs="Arial" w:hint="cs"/>
          <w:rtl/>
        </w:rPr>
        <w:t>ד</w:t>
      </w:r>
      <w:r w:rsidRPr="00310A03">
        <w:rPr>
          <w:rFonts w:cs="Arial"/>
          <w:rtl/>
        </w:rPr>
        <w:t>לכתחילה צריך להיות מוכח מתוכו מ"מ בדיעבד אין חשש ממזר ועיין בחדושי מהרש"א ובמהר"מ מלובלין</w:t>
      </w:r>
      <w:r>
        <w:rPr>
          <w:rFonts w:cs="Arial" w:hint="cs"/>
          <w:rtl/>
        </w:rPr>
        <w:t>.</w:t>
      </w:r>
      <w:r w:rsidRPr="00310A03">
        <w:rPr>
          <w:rFonts w:cs="Arial"/>
          <w:rtl/>
        </w:rPr>
        <w:t xml:space="preserve"> מיהו בש"ג </w:t>
      </w:r>
      <w:r>
        <w:rPr>
          <w:rFonts w:cs="Arial" w:hint="cs"/>
          <w:rtl/>
        </w:rPr>
        <w:t>(</w:t>
      </w:r>
      <w:r w:rsidRPr="00310A03">
        <w:rPr>
          <w:rFonts w:cs="Arial"/>
          <w:rtl/>
        </w:rPr>
        <w:t>פ' הזורק</w:t>
      </w:r>
      <w:r>
        <w:rPr>
          <w:rFonts w:cs="Arial" w:hint="cs"/>
          <w:rtl/>
        </w:rPr>
        <w:t>)</w:t>
      </w:r>
      <w:r w:rsidRPr="00310A03">
        <w:rPr>
          <w:rFonts w:cs="Arial"/>
          <w:rtl/>
        </w:rPr>
        <w:t xml:space="preserve"> כתב מדאורייתא בטל</w:t>
      </w:r>
      <w:r>
        <w:rPr>
          <w:rFonts w:cs="Arial" w:hint="cs"/>
          <w:rtl/>
        </w:rPr>
        <w:t>.</w:t>
      </w:r>
      <w:r w:rsidRPr="00310A03">
        <w:rPr>
          <w:rFonts w:cs="Arial"/>
          <w:rtl/>
        </w:rPr>
        <w:t xml:space="preserve"> מיהו אין ראיה כ"כ מדבריו דהא כתב שם אם לא כתב שם עירו ועירה הגט בטל</w:t>
      </w:r>
      <w:r>
        <w:rPr>
          <w:rFonts w:cs="Arial" w:hint="cs"/>
          <w:rtl/>
        </w:rPr>
        <w:t>,</w:t>
      </w:r>
      <w:r w:rsidRPr="00310A03">
        <w:rPr>
          <w:rFonts w:cs="Arial"/>
          <w:rtl/>
        </w:rPr>
        <w:t xml:space="preserve"> ושם כל הפוסקי' חולקי' עליו</w:t>
      </w:r>
      <w:r>
        <w:rPr>
          <w:rFonts w:cs="Arial" w:hint="cs"/>
          <w:rtl/>
        </w:rPr>
        <w:t>.</w:t>
      </w:r>
      <w:r w:rsidRPr="00310A03">
        <w:rPr>
          <w:rFonts w:cs="Arial"/>
          <w:rtl/>
        </w:rPr>
        <w:t xml:space="preserve"> ובלבוש כתב שהוא מדרבנן</w:t>
      </w:r>
      <w:r>
        <w:rPr>
          <w:rFonts w:cs="Arial" w:hint="cs"/>
          <w:rtl/>
        </w:rPr>
        <w:t>,</w:t>
      </w:r>
      <w:r w:rsidRPr="00310A03">
        <w:rPr>
          <w:rFonts w:cs="Arial"/>
          <w:rtl/>
        </w:rPr>
        <w:t xml:space="preserve"> וצ"ע</w:t>
      </w:r>
      <w:r>
        <w:rPr>
          <w:rFonts w:cs="Arial" w:hint="cs"/>
          <w:rtl/>
        </w:rPr>
        <w:t>, ב"ש (סקכ"א).</w:t>
      </w:r>
    </w:p>
  </w:footnote>
  <w:footnote w:id="1110">
    <w:p w14:paraId="7E54572D" w14:textId="62FB0100" w:rsidR="00FA2119" w:rsidRPr="00E13077" w:rsidRDefault="00FA2119" w:rsidP="00FA2119">
      <w:pPr>
        <w:pStyle w:val="a5"/>
        <w:rPr>
          <w:color w:val="000000" w:themeColor="text1"/>
          <w:rtl/>
        </w:rPr>
      </w:pPr>
      <w:r>
        <w:rPr>
          <w:rStyle w:val="a7"/>
        </w:rPr>
        <w:footnoteRef/>
      </w:r>
      <w:r>
        <w:rPr>
          <w:rtl/>
        </w:rPr>
        <w:t xml:space="preserve"> </w:t>
      </w:r>
      <w:r>
        <w:rPr>
          <w:rFonts w:hint="cs"/>
          <w:rtl/>
        </w:rPr>
        <w:t xml:space="preserve">ובסוף התשובה חזר בו ראבי"ה ממה שרצה לומר בתחילת דבריו (שבעדי מסירה הגט כשר גם ללא שמו ושמה או ללא זמן), </w:t>
      </w:r>
      <w:r w:rsidR="000A0F5A">
        <w:rPr>
          <w:rFonts w:hint="cs"/>
          <w:rtl/>
        </w:rPr>
        <w:t>וז</w:t>
      </w:r>
      <w:r w:rsidR="000A0F5A">
        <w:rPr>
          <w:rtl/>
        </w:rPr>
        <w:t>"</w:t>
      </w:r>
      <w:r w:rsidR="000A0F5A">
        <w:rPr>
          <w:rFonts w:hint="cs"/>
          <w:rtl/>
        </w:rPr>
        <w:t>ל:</w:t>
      </w:r>
      <w:r>
        <w:rPr>
          <w:rFonts w:hint="cs"/>
          <w:rtl/>
        </w:rPr>
        <w:t xml:space="preserve"> </w:t>
      </w:r>
      <w:r w:rsidRPr="008C5F1F">
        <w:rPr>
          <w:rFonts w:cs="Arial"/>
          <w:rtl/>
        </w:rPr>
        <w:t>ומיהו בפ"ב דגיטין (יט</w:t>
      </w:r>
      <w:r>
        <w:rPr>
          <w:rFonts w:cs="Arial" w:hint="cs"/>
          <w:rtl/>
        </w:rPr>
        <w:t>:</w:t>
      </w:r>
      <w:r w:rsidRPr="008C5F1F">
        <w:rPr>
          <w:rFonts w:cs="Arial"/>
          <w:rtl/>
        </w:rPr>
        <w:t>) גרסינן ההוא גברא דעל לבי כנישתא שקל ס"ת והב לדביתהו ואמר לה הרי זה גיטך. ואסקי' וכי תימא ליחוש דילמא אקדים והב ליה זוזא לספרא מעיקרא הא בעינן שינה שמו ושמה וכו'. אלמא דצריך לכתוב שמם. והאי מעשה בדיעבד הוא ומשמע דפסול.</w:t>
      </w:r>
      <w:r>
        <w:rPr>
          <w:rFonts w:cs="Arial" w:hint="cs"/>
          <w:rtl/>
        </w:rPr>
        <w:t>.</w:t>
      </w:r>
      <w:r w:rsidRPr="008C5F1F">
        <w:rPr>
          <w:rFonts w:cs="Arial"/>
          <w:rtl/>
        </w:rPr>
        <w:t>.</w:t>
      </w:r>
      <w:r>
        <w:rPr>
          <w:rFonts w:cs="Arial" w:hint="cs"/>
          <w:sz w:val="16"/>
          <w:szCs w:val="16"/>
          <w:rtl/>
        </w:rPr>
        <w:t xml:space="preserve"> {והביא שם עוד ראיה שפסול, אך דחה אותה, ואז כתב-}</w:t>
      </w:r>
      <w:r w:rsidRPr="008C5F1F">
        <w:rPr>
          <w:rFonts w:cs="Arial"/>
          <w:rtl/>
        </w:rPr>
        <w:t xml:space="preserve"> אך מיהא דספר תורה דאייתינן לעיל </w:t>
      </w:r>
      <w:r w:rsidRPr="008C5F1F">
        <w:rPr>
          <w:rFonts w:cs="Arial"/>
          <w:b/>
          <w:bCs/>
          <w:rtl/>
        </w:rPr>
        <w:t>ראייה היא</w:t>
      </w:r>
      <w:r w:rsidRPr="008C5F1F">
        <w:rPr>
          <w:rFonts w:cs="Arial"/>
          <w:rtl/>
        </w:rPr>
        <w:t xml:space="preserve"> </w:t>
      </w:r>
      <w:r w:rsidRPr="00E13077">
        <w:rPr>
          <w:rFonts w:cs="Arial"/>
          <w:b/>
          <w:bCs/>
          <w:color w:val="000000" w:themeColor="text1"/>
          <w:rtl/>
        </w:rPr>
        <w:t>ונלמד ממנה</w:t>
      </w:r>
      <w:r w:rsidRPr="00E13077">
        <w:rPr>
          <w:rFonts w:cs="Arial"/>
          <w:color w:val="000000" w:themeColor="text1"/>
          <w:rtl/>
        </w:rPr>
        <w:t>.</w:t>
      </w:r>
      <w:r w:rsidRPr="00E13077">
        <w:rPr>
          <w:rFonts w:hint="cs"/>
          <w:color w:val="000000" w:themeColor="text1"/>
          <w:rtl/>
        </w:rPr>
        <w:t xml:space="preserve"> עכ"ל. </w:t>
      </w:r>
      <w:r w:rsidR="00E13077" w:rsidRPr="00E13077">
        <w:rPr>
          <w:rFonts w:hint="cs"/>
          <w:color w:val="000000" w:themeColor="text1"/>
          <w:rtl/>
        </w:rPr>
        <w:t>וצל"ע</w:t>
      </w:r>
      <w:r w:rsidRPr="00E13077">
        <w:rPr>
          <w:rFonts w:hint="cs"/>
          <w:color w:val="000000" w:themeColor="text1"/>
          <w:rtl/>
        </w:rPr>
        <w:t xml:space="preserve"> </w:t>
      </w:r>
      <w:r w:rsidR="00E13077">
        <w:rPr>
          <w:rFonts w:hint="cs"/>
          <w:color w:val="000000" w:themeColor="text1"/>
          <w:rtl/>
        </w:rPr>
        <w:t>מדוע</w:t>
      </w:r>
      <w:r w:rsidRPr="00E13077">
        <w:rPr>
          <w:rFonts w:hint="cs"/>
          <w:color w:val="000000" w:themeColor="text1"/>
          <w:rtl/>
        </w:rPr>
        <w:t xml:space="preserve"> לא הביאו המרדכי הב"י והדרכ"מ אות סוף דברי הראבי"ה דמשמע מינה דלא פליג על כולם.</w:t>
      </w:r>
    </w:p>
  </w:footnote>
  <w:footnote w:id="1111">
    <w:p w14:paraId="04A15D3A" w14:textId="77777777" w:rsidR="00FA2119" w:rsidRDefault="00FA2119" w:rsidP="00FA2119">
      <w:pPr>
        <w:pStyle w:val="a5"/>
      </w:pPr>
      <w:r>
        <w:rPr>
          <w:rStyle w:val="a7"/>
        </w:rPr>
        <w:footnoteRef/>
      </w:r>
      <w:r>
        <w:rPr>
          <w:rtl/>
        </w:rPr>
        <w:t xml:space="preserve"> </w:t>
      </w:r>
      <w:r w:rsidRPr="00EF7564">
        <w:rPr>
          <w:rFonts w:cs="Arial"/>
          <w:rtl/>
        </w:rPr>
        <w:t>דלמא נפיק לו לעיר אחרת כו' לתנא דמתני' דבעי מכירין למה כותבין שום גט לשום אדם אע</w:t>
      </w:r>
      <w:r>
        <w:rPr>
          <w:rFonts w:cs="Arial" w:hint="cs"/>
          <w:rtl/>
        </w:rPr>
        <w:t>"</w:t>
      </w:r>
      <w:r w:rsidRPr="00EF7564">
        <w:rPr>
          <w:rFonts w:cs="Arial"/>
          <w:rtl/>
        </w:rPr>
        <w:t>פ שאנו מכירין שמו</w:t>
      </w:r>
      <w:r>
        <w:rPr>
          <w:rFonts w:cs="Arial" w:hint="cs"/>
          <w:rtl/>
        </w:rPr>
        <w:t>,</w:t>
      </w:r>
      <w:r w:rsidRPr="00EF7564">
        <w:rPr>
          <w:rFonts w:cs="Arial"/>
          <w:rtl/>
        </w:rPr>
        <w:t xml:space="preserve"> והלא שמא יוסף בן שמעון זה מעיר אחרת בא לכאן</w:t>
      </w:r>
      <w:r>
        <w:rPr>
          <w:rFonts w:cs="Arial" w:hint="cs"/>
          <w:rtl/>
        </w:rPr>
        <w:t>,</w:t>
      </w:r>
      <w:r w:rsidRPr="00EF7564">
        <w:rPr>
          <w:rFonts w:cs="Arial"/>
          <w:rtl/>
        </w:rPr>
        <w:t xml:space="preserve"> והיה שמו ראובן בן יעקב</w:t>
      </w:r>
      <w:r>
        <w:rPr>
          <w:rFonts w:cs="Arial" w:hint="cs"/>
          <w:rtl/>
        </w:rPr>
        <w:t>,</w:t>
      </w:r>
      <w:r w:rsidRPr="00EF7564">
        <w:rPr>
          <w:rFonts w:cs="Arial"/>
          <w:rtl/>
        </w:rPr>
        <w:t xml:space="preserve"> ועתה הרגיל והחזיק שיקראו לו כאן ראובן לפי שרוצה לגרש אשת ראובן בן יעקב שבמקום פלוני</w:t>
      </w:r>
      <w:r>
        <w:rPr>
          <w:rFonts w:cs="Arial" w:hint="cs"/>
          <w:rtl/>
        </w:rPr>
        <w:t>, רשב"ם.</w:t>
      </w:r>
    </w:p>
  </w:footnote>
  <w:footnote w:id="1112">
    <w:p w14:paraId="3D82218F" w14:textId="77777777" w:rsidR="00FA2119" w:rsidRDefault="00FA2119" w:rsidP="00FA2119">
      <w:pPr>
        <w:pStyle w:val="a5"/>
      </w:pPr>
      <w:r>
        <w:rPr>
          <w:rStyle w:val="a7"/>
        </w:rPr>
        <w:footnoteRef/>
      </w:r>
      <w:r>
        <w:rPr>
          <w:rtl/>
        </w:rPr>
        <w:t xml:space="preserve"> </w:t>
      </w:r>
      <w:r w:rsidRPr="00EF7564">
        <w:rPr>
          <w:rFonts w:cs="Arial"/>
          <w:rtl/>
        </w:rPr>
        <w:t>דכל כך לא היה מחליף שמו זמן מרובה פן יוודע הדבר</w:t>
      </w:r>
      <w:r>
        <w:rPr>
          <w:rFonts w:cs="Arial" w:hint="cs"/>
          <w:rtl/>
        </w:rPr>
        <w:t>, רשב"ם.</w:t>
      </w:r>
    </w:p>
  </w:footnote>
  <w:footnote w:id="1113">
    <w:p w14:paraId="444E3A39" w14:textId="77777777" w:rsidR="00FA2119" w:rsidRDefault="00FA2119" w:rsidP="00FA2119">
      <w:pPr>
        <w:pStyle w:val="a5"/>
      </w:pPr>
      <w:r>
        <w:rPr>
          <w:rStyle w:val="a7"/>
        </w:rPr>
        <w:footnoteRef/>
      </w:r>
      <w:r>
        <w:rPr>
          <w:rtl/>
        </w:rPr>
        <w:t xml:space="preserve"> </w:t>
      </w:r>
      <w:r w:rsidRPr="00EF7564">
        <w:rPr>
          <w:rFonts w:cs="Arial"/>
          <w:rtl/>
        </w:rPr>
        <w:t>ידע ויזהר לענות הלכך אין תקנה עד דליתחזק</w:t>
      </w:r>
      <w:r>
        <w:rPr>
          <w:rFonts w:cs="Arial" w:hint="cs"/>
          <w:rtl/>
        </w:rPr>
        <w:t>, רשב"ם.</w:t>
      </w:r>
    </w:p>
  </w:footnote>
  <w:footnote w:id="1114">
    <w:p w14:paraId="081C7D4B" w14:textId="77777777" w:rsidR="00FA2119" w:rsidRPr="00F72FAF" w:rsidRDefault="00FA2119" w:rsidP="00FA2119">
      <w:pPr>
        <w:pStyle w:val="a5"/>
        <w:rPr>
          <w:rFonts w:ascii="Arial" w:hAnsi="Arial"/>
          <w:rtl/>
        </w:rPr>
      </w:pPr>
      <w:r w:rsidRPr="00F72FAF">
        <w:rPr>
          <w:rStyle w:val="a7"/>
          <w:rFonts w:ascii="Arial" w:hAnsi="Arial"/>
        </w:rPr>
        <w:footnoteRef/>
      </w:r>
      <w:r w:rsidRPr="00F72FAF">
        <w:rPr>
          <w:rFonts w:ascii="Arial" w:hAnsi="Arial"/>
          <w:rtl/>
        </w:rPr>
        <w:t xml:space="preserve"> </w:t>
      </w:r>
      <w:r w:rsidRPr="00F72FAF">
        <w:rPr>
          <w:rFonts w:ascii="Arial" w:hAnsi="Arial" w:hint="cs"/>
          <w:rtl/>
        </w:rPr>
        <w:t>וכתב ה</w:t>
      </w:r>
      <w:r w:rsidRPr="00F72FAF">
        <w:rPr>
          <w:rFonts w:ascii="Arial" w:hAnsi="Arial"/>
          <w:rtl/>
        </w:rPr>
        <w:t>סמ"ע (</w:t>
      </w:r>
      <w:r w:rsidRPr="00F72FAF">
        <w:rPr>
          <w:rFonts w:ascii="Arial" w:hAnsi="Arial" w:hint="cs"/>
          <w:rtl/>
        </w:rPr>
        <w:t xml:space="preserve">חו"מ סי' מט </w:t>
      </w:r>
      <w:r w:rsidRPr="00F72FAF">
        <w:rPr>
          <w:rFonts w:ascii="Arial" w:hAnsi="Arial"/>
          <w:rtl/>
        </w:rPr>
        <w:t>סק"ד)</w:t>
      </w:r>
      <w:r w:rsidRPr="00F72FAF">
        <w:rPr>
          <w:rFonts w:ascii="Arial" w:hAnsi="Arial" w:hint="cs"/>
          <w:rtl/>
        </w:rPr>
        <w:t xml:space="preserve"> דכן דעת ה</w:t>
      </w:r>
      <w:r w:rsidRPr="00F72FAF">
        <w:rPr>
          <w:rFonts w:ascii="Arial" w:hAnsi="Arial"/>
          <w:rtl/>
        </w:rPr>
        <w:t xml:space="preserve">רא"ש (סי' יז) </w:t>
      </w:r>
      <w:r w:rsidRPr="00F72FAF">
        <w:rPr>
          <w:rFonts w:ascii="Arial" w:hAnsi="Arial" w:hint="cs"/>
          <w:rtl/>
        </w:rPr>
        <w:t>ו</w:t>
      </w:r>
      <w:r w:rsidRPr="00F72FAF">
        <w:rPr>
          <w:rFonts w:ascii="Arial" w:hAnsi="Arial"/>
          <w:rtl/>
        </w:rPr>
        <w:t>בעל התרומות (שער ל"ג ח"ג סי' ב) בשם הראב"ד.</w:t>
      </w:r>
    </w:p>
  </w:footnote>
  <w:footnote w:id="1115">
    <w:p w14:paraId="47FF5EE4" w14:textId="77777777" w:rsidR="00FA2119" w:rsidRDefault="00FA2119" w:rsidP="00FA2119">
      <w:pPr>
        <w:pStyle w:val="a5"/>
        <w:rPr>
          <w:rtl/>
        </w:rPr>
      </w:pPr>
      <w:r>
        <w:rPr>
          <w:rStyle w:val="a7"/>
        </w:rPr>
        <w:footnoteRef/>
      </w:r>
      <w:r>
        <w:rPr>
          <w:rtl/>
        </w:rPr>
        <w:t xml:space="preserve"> </w:t>
      </w:r>
      <w:r w:rsidRPr="002E7151">
        <w:rPr>
          <w:rFonts w:cs="Arial"/>
          <w:rtl/>
        </w:rPr>
        <w:t xml:space="preserve">ובתשובת מהר"י ווייל </w:t>
      </w:r>
      <w:r>
        <w:rPr>
          <w:rFonts w:cs="Arial" w:hint="cs"/>
          <w:rtl/>
        </w:rPr>
        <w:t>(</w:t>
      </w:r>
      <w:r w:rsidRPr="002E7151">
        <w:rPr>
          <w:rFonts w:cs="Arial"/>
          <w:rtl/>
        </w:rPr>
        <w:t>סי</w:t>
      </w:r>
      <w:r>
        <w:rPr>
          <w:rFonts w:cs="Arial" w:hint="cs"/>
          <w:rtl/>
        </w:rPr>
        <w:t>'</w:t>
      </w:r>
      <w:r w:rsidRPr="002E7151">
        <w:rPr>
          <w:rFonts w:cs="Arial"/>
          <w:rtl/>
        </w:rPr>
        <w:t xml:space="preserve"> קכ</w:t>
      </w:r>
      <w:r>
        <w:rPr>
          <w:rFonts w:cs="Arial" w:hint="cs"/>
          <w:rtl/>
        </w:rPr>
        <w:t>)</w:t>
      </w:r>
      <w:r w:rsidRPr="002E7151">
        <w:rPr>
          <w:rFonts w:cs="Arial"/>
          <w:rtl/>
        </w:rPr>
        <w:t xml:space="preserve"> משמע דהוא עצמו נאמן וצ"ע</w:t>
      </w:r>
      <w:r>
        <w:rPr>
          <w:rFonts w:cs="Arial" w:hint="cs"/>
          <w:rtl/>
        </w:rPr>
        <w:t>, דרכ"מ (אות יב).</w:t>
      </w:r>
    </w:p>
  </w:footnote>
  <w:footnote w:id="1116">
    <w:p w14:paraId="2AE836F5" w14:textId="77777777" w:rsidR="00FA2119" w:rsidRDefault="00FA2119" w:rsidP="00FA2119">
      <w:pPr>
        <w:pStyle w:val="a5"/>
      </w:pPr>
      <w:r>
        <w:rPr>
          <w:rStyle w:val="a7"/>
        </w:rPr>
        <w:footnoteRef/>
      </w:r>
      <w:r>
        <w:rPr>
          <w:rtl/>
        </w:rPr>
        <w:t xml:space="preserve"> </w:t>
      </w:r>
      <w:r w:rsidRPr="009C2E58">
        <w:rPr>
          <w:rFonts w:cs="Arial"/>
          <w:rtl/>
        </w:rPr>
        <w:t>ולא הבנתי מה שכתב</w:t>
      </w:r>
      <w:r>
        <w:rPr>
          <w:rFonts w:cs="Arial" w:hint="cs"/>
          <w:rtl/>
        </w:rPr>
        <w:t xml:space="preserve">... וצ"ע, </w:t>
      </w:r>
      <w:r w:rsidRPr="00285465">
        <w:rPr>
          <w:rFonts w:cs="Arial" w:hint="cs"/>
          <w:b/>
          <w:bCs/>
          <w:rtl/>
        </w:rPr>
        <w:t>ב"י</w:t>
      </w:r>
      <w:r>
        <w:rPr>
          <w:rFonts w:cs="Arial" w:hint="cs"/>
          <w:rtl/>
        </w:rPr>
        <w:t>.</w:t>
      </w:r>
      <w:r w:rsidRPr="002E7151">
        <w:rPr>
          <w:rFonts w:cs="Arial"/>
          <w:rtl/>
        </w:rPr>
        <w:t xml:space="preserve"> </w:t>
      </w:r>
      <w:r>
        <w:rPr>
          <w:rFonts w:cs="Arial" w:hint="cs"/>
          <w:rtl/>
        </w:rPr>
        <w:t xml:space="preserve">וכתב </w:t>
      </w:r>
      <w:r w:rsidRPr="00285465">
        <w:rPr>
          <w:rFonts w:cs="Arial" w:hint="cs"/>
          <w:b/>
          <w:bCs/>
          <w:rtl/>
        </w:rPr>
        <w:t>הדרכ"מ</w:t>
      </w:r>
      <w:r>
        <w:rPr>
          <w:rFonts w:cs="Arial" w:hint="cs"/>
          <w:rtl/>
        </w:rPr>
        <w:t xml:space="preserve"> </w:t>
      </w:r>
      <w:r w:rsidRPr="002E7151">
        <w:rPr>
          <w:rFonts w:cs="Arial"/>
          <w:rtl/>
        </w:rPr>
        <w:t>(</w:t>
      </w:r>
      <w:r>
        <w:rPr>
          <w:rFonts w:cs="Arial" w:hint="cs"/>
          <w:rtl/>
        </w:rPr>
        <w:t xml:space="preserve">אות </w:t>
      </w:r>
      <w:r w:rsidRPr="002E7151">
        <w:rPr>
          <w:rFonts w:cs="Arial"/>
          <w:rtl/>
        </w:rPr>
        <w:t>יג) וקושייתו היא במה דקאמר שאין לסמוך על אחרים בשמות. ולי נראה דר"ל האיש ואשה עצמן</w:t>
      </w:r>
      <w:r>
        <w:rPr>
          <w:rFonts w:cs="Arial" w:hint="cs"/>
          <w:rtl/>
        </w:rPr>
        <w:t>.</w:t>
      </w:r>
      <w:r w:rsidRPr="002E7151">
        <w:rPr>
          <w:rFonts w:cs="Arial"/>
          <w:rtl/>
        </w:rPr>
        <w:t xml:space="preserve"> דאותן אחרים אינן נאמנים אע</w:t>
      </w:r>
      <w:r>
        <w:rPr>
          <w:rFonts w:cs="Arial" w:hint="cs"/>
          <w:rtl/>
        </w:rPr>
        <w:t>"</w:t>
      </w:r>
      <w:r w:rsidRPr="002E7151">
        <w:rPr>
          <w:rFonts w:cs="Arial"/>
          <w:rtl/>
        </w:rPr>
        <w:t>ג דהוא מילתא דעבידא לאיגלויי</w:t>
      </w:r>
      <w:r>
        <w:rPr>
          <w:rFonts w:cs="Arial" w:hint="cs"/>
          <w:rtl/>
        </w:rPr>
        <w:t>,</w:t>
      </w:r>
      <w:r w:rsidRPr="002E7151">
        <w:rPr>
          <w:rFonts w:cs="Arial"/>
          <w:rtl/>
        </w:rPr>
        <w:t xml:space="preserve"> אבל אחרים ממש ודאי נאמנים</w:t>
      </w:r>
      <w:r>
        <w:rPr>
          <w:rFonts w:cs="Arial" w:hint="cs"/>
          <w:rtl/>
        </w:rPr>
        <w:t>.</w:t>
      </w:r>
      <w:r w:rsidRPr="002E7151">
        <w:rPr>
          <w:rFonts w:cs="Arial"/>
          <w:rtl/>
        </w:rPr>
        <w:t xml:space="preserve"> ומה שכתב דלא סגי בהכרת פנים ר"ל דאע"ג שיודע שזהו האיש והאשה ומכירן בטביעות עין לא סגי עד שיודע ג"כ בבירור שמותיהן הן על פי עצמו הן על פי אחרים. כן נראה לי. ועיין לעיל סימן ק"כ (עמ' קד)</w:t>
      </w:r>
      <w:r>
        <w:rPr>
          <w:rFonts w:cs="Arial" w:hint="cs"/>
          <w:rtl/>
        </w:rPr>
        <w:t>.</w:t>
      </w:r>
    </w:p>
  </w:footnote>
  <w:footnote w:id="1117">
    <w:p w14:paraId="29911E96" w14:textId="77777777" w:rsidR="00FA2119" w:rsidRPr="00F01AF0" w:rsidRDefault="00FA2119" w:rsidP="00FA2119">
      <w:pPr>
        <w:pStyle w:val="a5"/>
        <w:rPr>
          <w:rtl/>
        </w:rPr>
      </w:pPr>
      <w:r>
        <w:rPr>
          <w:rStyle w:val="a7"/>
        </w:rPr>
        <w:footnoteRef/>
      </w:r>
      <w:r>
        <w:rPr>
          <w:rtl/>
        </w:rPr>
        <w:t xml:space="preserve"> </w:t>
      </w:r>
      <w:r>
        <w:rPr>
          <w:rFonts w:hint="cs"/>
          <w:rtl/>
        </w:rPr>
        <w:t>היינו דברי ה</w:t>
      </w:r>
      <w:r w:rsidRPr="00390632">
        <w:rPr>
          <w:rFonts w:cs="Arial"/>
          <w:rtl/>
        </w:rPr>
        <w:t xml:space="preserve">רמ"ה </w:t>
      </w:r>
      <w:r w:rsidRPr="00BD3D8D">
        <w:rPr>
          <w:rFonts w:cs="Arial"/>
          <w:sz w:val="16"/>
          <w:szCs w:val="16"/>
          <w:rtl/>
        </w:rPr>
        <w:t>(חידושי הרמ"ה גיטין לד: סי' נג - נה)</w:t>
      </w:r>
      <w:r>
        <w:rPr>
          <w:rFonts w:cs="Arial" w:hint="cs"/>
          <w:rtl/>
        </w:rPr>
        <w:t xml:space="preserve"> שהביא הטור בסע' ג.</w:t>
      </w:r>
    </w:p>
  </w:footnote>
  <w:footnote w:id="1118">
    <w:p w14:paraId="3F4F2234" w14:textId="77777777" w:rsidR="00FA2119" w:rsidRDefault="00FA2119" w:rsidP="00FA2119">
      <w:pPr>
        <w:pStyle w:val="a5"/>
      </w:pPr>
      <w:r>
        <w:rPr>
          <w:rStyle w:val="a7"/>
        </w:rPr>
        <w:footnoteRef/>
      </w:r>
      <w:r>
        <w:rPr>
          <w:rtl/>
        </w:rPr>
        <w:t xml:space="preserve"> </w:t>
      </w:r>
      <w:r w:rsidRPr="002E7151">
        <w:rPr>
          <w:rFonts w:cs="Arial"/>
          <w:rtl/>
        </w:rPr>
        <w:t>כן משמע בירושלמי (פ"ד ה"ב) וכתבוהו התוספות (לד: ד"ה והוא) והרא"ש (פ"ד סי' ז) והרשב"א (שם ד"ה גמ') והר"ן בהשולח (יז: ד"ה ואין) וכן כתבו גם כן סמ"ג (עשין נ קלא ע"ד) ובעל התרומה (סי' קכו קכז)</w:t>
      </w:r>
      <w:r>
        <w:rPr>
          <w:rFonts w:cs="Arial" w:hint="cs"/>
          <w:rtl/>
        </w:rPr>
        <w:t>, ב"י. ועניין זה מבואר בסע' ג.</w:t>
      </w:r>
    </w:p>
  </w:footnote>
  <w:footnote w:id="1119">
    <w:p w14:paraId="59E00A31" w14:textId="0DC00541" w:rsidR="00FA2119" w:rsidRDefault="00FA2119" w:rsidP="00FA2119">
      <w:pPr>
        <w:pStyle w:val="a5"/>
      </w:pPr>
      <w:r>
        <w:rPr>
          <w:rStyle w:val="a7"/>
        </w:rPr>
        <w:footnoteRef/>
      </w:r>
      <w:r>
        <w:rPr>
          <w:rtl/>
        </w:rPr>
        <w:t xml:space="preserve"> </w:t>
      </w:r>
      <w:r w:rsidRPr="002E7151">
        <w:rPr>
          <w:rFonts w:cs="Arial"/>
          <w:rtl/>
        </w:rPr>
        <w:t>והכי איתא בירושלמי</w:t>
      </w:r>
      <w:r>
        <w:rPr>
          <w:rFonts w:cs="Arial" w:hint="cs"/>
          <w:rtl/>
        </w:rPr>
        <w:t xml:space="preserve">, </w:t>
      </w:r>
      <w:r w:rsidRPr="00EE571C">
        <w:rPr>
          <w:rFonts w:cs="Arial" w:hint="cs"/>
          <w:b/>
          <w:bCs/>
          <w:rtl/>
        </w:rPr>
        <w:t>ב"י</w:t>
      </w:r>
      <w:r w:rsidRPr="002E7151">
        <w:rPr>
          <w:rFonts w:cs="Arial"/>
          <w:rtl/>
        </w:rPr>
        <w:t>. וכן הוא בתוס' (לד: ד"ה והוא) ו</w:t>
      </w:r>
      <w:r w:rsidR="009334FF">
        <w:rPr>
          <w:rFonts w:cs="Arial"/>
          <w:rtl/>
        </w:rPr>
        <w:t>בהג"ה</w:t>
      </w:r>
      <w:r>
        <w:rPr>
          <w:rFonts w:cs="Arial" w:hint="cs"/>
          <w:rtl/>
        </w:rPr>
        <w:t>"מ</w:t>
      </w:r>
      <w:r w:rsidRPr="002E7151">
        <w:rPr>
          <w:rFonts w:cs="Arial"/>
          <w:rtl/>
        </w:rPr>
        <w:t xml:space="preserve"> </w:t>
      </w:r>
      <w:r>
        <w:rPr>
          <w:rFonts w:cs="Arial" w:hint="cs"/>
          <w:rtl/>
        </w:rPr>
        <w:t>(</w:t>
      </w:r>
      <w:r w:rsidRPr="002E7151">
        <w:rPr>
          <w:rFonts w:cs="Arial"/>
          <w:rtl/>
        </w:rPr>
        <w:t>פ"ג אות ז)</w:t>
      </w:r>
      <w:r>
        <w:rPr>
          <w:rFonts w:cs="Arial" w:hint="cs"/>
          <w:rtl/>
        </w:rPr>
        <w:t xml:space="preserve">, </w:t>
      </w:r>
      <w:r w:rsidRPr="00EE571C">
        <w:rPr>
          <w:rFonts w:cs="Arial" w:hint="cs"/>
          <w:b/>
          <w:bCs/>
          <w:rtl/>
        </w:rPr>
        <w:t>דרכ"מ</w:t>
      </w:r>
      <w:r>
        <w:rPr>
          <w:rFonts w:cs="Arial" w:hint="cs"/>
          <w:rtl/>
        </w:rPr>
        <w:t xml:space="preserve"> </w:t>
      </w:r>
      <w:r w:rsidRPr="002E7151">
        <w:rPr>
          <w:rFonts w:cs="Arial"/>
          <w:rtl/>
        </w:rPr>
        <w:t>(</w:t>
      </w:r>
      <w:r>
        <w:rPr>
          <w:rFonts w:cs="Arial" w:hint="cs"/>
          <w:rtl/>
        </w:rPr>
        <w:t xml:space="preserve">אות </w:t>
      </w:r>
      <w:r w:rsidRPr="002E7151">
        <w:rPr>
          <w:rFonts w:cs="Arial"/>
          <w:rtl/>
        </w:rPr>
        <w:t>יג**)</w:t>
      </w:r>
      <w:r>
        <w:rPr>
          <w:rFonts w:cs="Arial" w:hint="cs"/>
          <w:rtl/>
        </w:rPr>
        <w:t>.</w:t>
      </w:r>
    </w:p>
  </w:footnote>
  <w:footnote w:id="1120">
    <w:p w14:paraId="02F3E9D3" w14:textId="77777777" w:rsidR="00FA2119" w:rsidRDefault="00FA2119" w:rsidP="00FA2119">
      <w:pPr>
        <w:pStyle w:val="a5"/>
        <w:rPr>
          <w:rtl/>
        </w:rPr>
      </w:pPr>
      <w:r>
        <w:rPr>
          <w:rStyle w:val="a7"/>
        </w:rPr>
        <w:footnoteRef/>
      </w:r>
      <w:r>
        <w:rPr>
          <w:rtl/>
        </w:rPr>
        <w:t xml:space="preserve"> </w:t>
      </w:r>
      <w:r w:rsidRPr="00925500">
        <w:rPr>
          <w:rFonts w:cs="Arial"/>
          <w:rtl/>
        </w:rPr>
        <w:t>משמע אפי' אם יודעי</w:t>
      </w:r>
      <w:r>
        <w:rPr>
          <w:rFonts w:cs="Arial" w:hint="cs"/>
          <w:rtl/>
        </w:rPr>
        <w:t>ם</w:t>
      </w:r>
      <w:r w:rsidRPr="00925500">
        <w:rPr>
          <w:rFonts w:cs="Arial"/>
          <w:rtl/>
        </w:rPr>
        <w:t xml:space="preserve"> באותו מקום שיש לו שם במקום אחר</w:t>
      </w:r>
      <w:r>
        <w:rPr>
          <w:rFonts w:cs="Arial" w:hint="cs"/>
          <w:rtl/>
        </w:rPr>
        <w:t>,</w:t>
      </w:r>
      <w:r w:rsidRPr="00925500">
        <w:rPr>
          <w:rFonts w:cs="Arial"/>
          <w:rtl/>
        </w:rPr>
        <w:t xml:space="preserve"> מ"מ כשר כיון שנותן הגט כאן בשם שיש לו באותו מקום, וכל הני שמות היינו שהוא בעצמו מחזיק במדינה זו אותו שם ובמדינה אחרת מחזיק לעצמו שם אחר כמ"ש בסמוך</w:t>
      </w:r>
      <w:r>
        <w:rPr>
          <w:rFonts w:hint="cs"/>
          <w:rtl/>
        </w:rPr>
        <w:t>, ב"ש (סקכ"ב).</w:t>
      </w:r>
    </w:p>
  </w:footnote>
  <w:footnote w:id="1121">
    <w:p w14:paraId="625DE5F8" w14:textId="77777777" w:rsidR="00FA2119" w:rsidRDefault="00FA2119" w:rsidP="00FA2119">
      <w:pPr>
        <w:pStyle w:val="a5"/>
        <w:rPr>
          <w:rtl/>
        </w:rPr>
      </w:pPr>
      <w:r>
        <w:rPr>
          <w:rStyle w:val="a7"/>
        </w:rPr>
        <w:footnoteRef/>
      </w:r>
      <w:r>
        <w:rPr>
          <w:rtl/>
        </w:rPr>
        <w:t xml:space="preserve"> </w:t>
      </w:r>
      <w:r w:rsidRPr="005B482A">
        <w:rPr>
          <w:rFonts w:cs="Arial"/>
          <w:rtl/>
        </w:rPr>
        <w:t>ואפשר דלא נקט פסול לומר דלא מיפסל אלא מדרבנן</w:t>
      </w:r>
      <w:r w:rsidRPr="005B482A">
        <w:rPr>
          <w:rFonts w:cs="Arial" w:hint="cs"/>
          <w:rtl/>
        </w:rPr>
        <w:t>,</w:t>
      </w:r>
      <w:r w:rsidRPr="005B482A">
        <w:rPr>
          <w:rFonts w:cs="Arial"/>
          <w:rtl/>
        </w:rPr>
        <w:t xml:space="preserve"> דלאינה מגורשת </w:t>
      </w:r>
      <w:r w:rsidRPr="005B482A">
        <w:rPr>
          <w:rFonts w:cs="Arial" w:hint="cs"/>
          <w:sz w:val="16"/>
          <w:szCs w:val="16"/>
          <w:rtl/>
        </w:rPr>
        <w:t xml:space="preserve">{מדאורייתא} </w:t>
      </w:r>
      <w:r w:rsidRPr="005B482A">
        <w:rPr>
          <w:rFonts w:cs="Arial"/>
          <w:rtl/>
        </w:rPr>
        <w:t>פסול נמי קרי ליה</w:t>
      </w:r>
      <w:r>
        <w:rPr>
          <w:rFonts w:hint="cs"/>
          <w:rtl/>
        </w:rPr>
        <w:t>, ב"י.</w:t>
      </w:r>
    </w:p>
  </w:footnote>
  <w:footnote w:id="1122">
    <w:p w14:paraId="474C3C47" w14:textId="77777777" w:rsidR="00FA2119" w:rsidRDefault="00FA2119" w:rsidP="00FA2119">
      <w:pPr>
        <w:pStyle w:val="a5"/>
      </w:pPr>
      <w:r>
        <w:rPr>
          <w:rStyle w:val="a7"/>
        </w:rPr>
        <w:footnoteRef/>
      </w:r>
      <w:r>
        <w:rPr>
          <w:rtl/>
        </w:rPr>
        <w:t xml:space="preserve"> </w:t>
      </w:r>
      <w:r w:rsidRPr="00925500">
        <w:rPr>
          <w:rFonts w:cs="Arial"/>
          <w:rtl/>
        </w:rPr>
        <w:t>כאן כתב בטל היינו מדאורייתא אינו גט</w:t>
      </w:r>
      <w:r>
        <w:rPr>
          <w:rFonts w:cs="Arial" w:hint="cs"/>
          <w:rtl/>
        </w:rPr>
        <w:t>,</w:t>
      </w:r>
      <w:r w:rsidRPr="00925500">
        <w:rPr>
          <w:rFonts w:cs="Arial"/>
          <w:rtl/>
        </w:rPr>
        <w:t xml:space="preserve"> ולעיל כתב אם כתב מ</w:t>
      </w:r>
      <w:r>
        <w:rPr>
          <w:rFonts w:cs="Arial" w:hint="cs"/>
          <w:rtl/>
        </w:rPr>
        <w:t xml:space="preserve">קום </w:t>
      </w:r>
      <w:r w:rsidRPr="00925500">
        <w:rPr>
          <w:rFonts w:cs="Arial"/>
          <w:rtl/>
        </w:rPr>
        <w:t>כ</w:t>
      </w:r>
      <w:r>
        <w:rPr>
          <w:rFonts w:cs="Arial" w:hint="cs"/>
          <w:rtl/>
        </w:rPr>
        <w:t>תיבה</w:t>
      </w:r>
      <w:r w:rsidRPr="00925500">
        <w:rPr>
          <w:rFonts w:cs="Arial"/>
          <w:rtl/>
        </w:rPr>
        <w:t xml:space="preserve"> וכלל שם מ</w:t>
      </w:r>
      <w:r>
        <w:rPr>
          <w:rFonts w:cs="Arial" w:hint="cs"/>
          <w:rtl/>
        </w:rPr>
        <w:t>קום נתינה</w:t>
      </w:r>
      <w:r w:rsidRPr="00925500">
        <w:rPr>
          <w:rFonts w:cs="Arial"/>
          <w:rtl/>
        </w:rPr>
        <w:t xml:space="preserve"> וכתב וכל</w:t>
      </w:r>
      <w:r>
        <w:rPr>
          <w:rFonts w:cs="Arial" w:hint="cs"/>
          <w:rtl/>
        </w:rPr>
        <w:t xml:space="preserve"> </w:t>
      </w:r>
      <w:r w:rsidRPr="00925500">
        <w:rPr>
          <w:rFonts w:cs="Arial"/>
          <w:rtl/>
        </w:rPr>
        <w:t>שום הגט פסול</w:t>
      </w:r>
      <w:r>
        <w:rPr>
          <w:rFonts w:cs="Arial" w:hint="cs"/>
          <w:rtl/>
        </w:rPr>
        <w:t>,</w:t>
      </w:r>
      <w:r w:rsidRPr="00925500">
        <w:rPr>
          <w:rFonts w:cs="Arial"/>
          <w:rtl/>
        </w:rPr>
        <w:t xml:space="preserve"> היינו מדרבנן</w:t>
      </w:r>
      <w:r>
        <w:rPr>
          <w:rFonts w:cs="Arial" w:hint="cs"/>
          <w:rtl/>
        </w:rPr>
        <w:t>,</w:t>
      </w:r>
      <w:r w:rsidRPr="00925500">
        <w:rPr>
          <w:rFonts w:cs="Arial"/>
          <w:rtl/>
        </w:rPr>
        <w:t xml:space="preserve"> משום </w:t>
      </w:r>
      <w:r>
        <w:rPr>
          <w:rFonts w:cs="Arial" w:hint="cs"/>
          <w:rtl/>
        </w:rPr>
        <w:t>ד</w:t>
      </w:r>
      <w:r w:rsidRPr="00925500">
        <w:rPr>
          <w:rFonts w:cs="Arial"/>
          <w:rtl/>
        </w:rPr>
        <w:t>שם עכ"פ כתב שם מ</w:t>
      </w:r>
      <w:r>
        <w:rPr>
          <w:rFonts w:cs="Arial" w:hint="cs"/>
          <w:rtl/>
        </w:rPr>
        <w:t>קום כתיבה,</w:t>
      </w:r>
      <w:r w:rsidRPr="00925500">
        <w:rPr>
          <w:rFonts w:cs="Arial"/>
          <w:rtl/>
        </w:rPr>
        <w:t xml:space="preserve"> אבל אם כותב שם אחר הוי כשינה ממש</w:t>
      </w:r>
      <w:r>
        <w:rPr>
          <w:rFonts w:cs="Arial" w:hint="cs"/>
          <w:rtl/>
        </w:rPr>
        <w:t>, ב"ש (סקכ"ג).</w:t>
      </w:r>
    </w:p>
  </w:footnote>
  <w:footnote w:id="1123">
    <w:p w14:paraId="52B150D3" w14:textId="49E899FF" w:rsidR="00FA2119" w:rsidRDefault="00FA2119" w:rsidP="00FA2119">
      <w:pPr>
        <w:pStyle w:val="a5"/>
        <w:rPr>
          <w:rtl/>
        </w:rPr>
      </w:pPr>
      <w:r>
        <w:rPr>
          <w:rStyle w:val="a7"/>
        </w:rPr>
        <w:footnoteRef/>
      </w:r>
      <w:r>
        <w:rPr>
          <w:rtl/>
        </w:rPr>
        <w:t xml:space="preserve"> </w:t>
      </w:r>
      <w:r w:rsidRPr="00DD194C">
        <w:rPr>
          <w:rFonts w:cs="Arial"/>
          <w:rtl/>
        </w:rPr>
        <w:t>ואפשר לומר דמר אמר חדא ומר אמר חדא ולא פליגי</w:t>
      </w:r>
      <w:r w:rsidR="006D6690">
        <w:rPr>
          <w:rFonts w:cs="Arial" w:hint="cs"/>
          <w:rtl/>
        </w:rPr>
        <w:t>,</w:t>
      </w:r>
      <w:r w:rsidRPr="00DD194C">
        <w:rPr>
          <w:rFonts w:cs="Arial"/>
          <w:rtl/>
        </w:rPr>
        <w:t xml:space="preserve"> דמהר"ר ישראל מיירי כשנקרא בשני השמות במקום אחד</w:t>
      </w:r>
      <w:r w:rsidR="006D6690">
        <w:rPr>
          <w:rFonts w:cs="Arial" w:hint="cs"/>
          <w:rtl/>
        </w:rPr>
        <w:t>,</w:t>
      </w:r>
      <w:r w:rsidRPr="00DD194C">
        <w:rPr>
          <w:rFonts w:cs="Arial"/>
          <w:rtl/>
        </w:rPr>
        <w:t xml:space="preserve"> ומשום הכי מכשיר</w:t>
      </w:r>
      <w:r>
        <w:rPr>
          <w:rFonts w:cs="Arial" w:hint="cs"/>
          <w:rtl/>
        </w:rPr>
        <w:t>.</w:t>
      </w:r>
      <w:r w:rsidRPr="00DD194C">
        <w:rPr>
          <w:rFonts w:cs="Arial"/>
          <w:rtl/>
        </w:rPr>
        <w:t xml:space="preserve"> ומהרי"ק מיירי כשנקרא במקום הנתינה בשם אחד ובמקום הכתיבה בשם אחר וכדמשמע מדבריו</w:t>
      </w:r>
      <w:r w:rsidR="006D6690">
        <w:rPr>
          <w:rFonts w:cs="Arial" w:hint="cs"/>
          <w:rtl/>
        </w:rPr>
        <w:t>,</w:t>
      </w:r>
      <w:r w:rsidRPr="00DD194C">
        <w:rPr>
          <w:rFonts w:cs="Arial"/>
          <w:rtl/>
        </w:rPr>
        <w:t xml:space="preserve"> ומשום הכי פוסל</w:t>
      </w:r>
      <w:r>
        <w:rPr>
          <w:rFonts w:cs="Arial" w:hint="cs"/>
          <w:rtl/>
        </w:rPr>
        <w:t xml:space="preserve">, </w:t>
      </w:r>
      <w:r w:rsidRPr="00794C28">
        <w:rPr>
          <w:rFonts w:cs="Arial" w:hint="cs"/>
          <w:b/>
          <w:bCs/>
          <w:rtl/>
        </w:rPr>
        <w:t>ב"י</w:t>
      </w:r>
      <w:r>
        <w:rPr>
          <w:rFonts w:cs="Arial" w:hint="cs"/>
          <w:rtl/>
        </w:rPr>
        <w:t>.</w:t>
      </w:r>
      <w:r w:rsidRPr="002E7151">
        <w:rPr>
          <w:rFonts w:cs="Arial"/>
          <w:rtl/>
        </w:rPr>
        <w:t xml:space="preserve"> ואין דבריו נראין</w:t>
      </w:r>
      <w:r>
        <w:rPr>
          <w:rFonts w:cs="Arial" w:hint="cs"/>
          <w:rtl/>
        </w:rPr>
        <w:t>,</w:t>
      </w:r>
      <w:r w:rsidRPr="002E7151">
        <w:rPr>
          <w:rFonts w:cs="Arial"/>
          <w:rtl/>
        </w:rPr>
        <w:t xml:space="preserve"> דמהרא"י לא מיירי בענין זה כלל אלא באדם שנשתנה שמו ע"י חולי שעולה בשני השמות לספר תורה</w:t>
      </w:r>
      <w:r>
        <w:rPr>
          <w:rFonts w:cs="Arial" w:hint="cs"/>
          <w:rtl/>
        </w:rPr>
        <w:t>,</w:t>
      </w:r>
      <w:r w:rsidRPr="002E7151">
        <w:rPr>
          <w:rFonts w:cs="Arial"/>
          <w:rtl/>
        </w:rPr>
        <w:t xml:space="preserve"> ולכן יש להכשיר ג"כ בגט וכדמשמע התם</w:t>
      </w:r>
      <w:r>
        <w:rPr>
          <w:rFonts w:cs="Arial" w:hint="cs"/>
          <w:rtl/>
        </w:rPr>
        <w:t>,</w:t>
      </w:r>
      <w:r w:rsidRPr="002E7151">
        <w:rPr>
          <w:rFonts w:cs="Arial"/>
          <w:rtl/>
        </w:rPr>
        <w:t xml:space="preserve"> אבל בלאו הכי אף מהרא"י מודה לדברי מהרי"ק</w:t>
      </w:r>
      <w:r>
        <w:rPr>
          <w:rFonts w:cs="Arial" w:hint="cs"/>
          <w:rtl/>
        </w:rPr>
        <w:t>,</w:t>
      </w:r>
      <w:r w:rsidRPr="002E7151">
        <w:rPr>
          <w:rFonts w:cs="Arial"/>
          <w:rtl/>
        </w:rPr>
        <w:t xml:space="preserve"> ואין לחלק</w:t>
      </w:r>
      <w:r>
        <w:rPr>
          <w:rFonts w:cs="Arial" w:hint="cs"/>
          <w:rtl/>
        </w:rPr>
        <w:t xml:space="preserve">, </w:t>
      </w:r>
      <w:r w:rsidRPr="00794C28">
        <w:rPr>
          <w:rFonts w:cs="Arial" w:hint="cs"/>
          <w:b/>
          <w:bCs/>
          <w:rtl/>
        </w:rPr>
        <w:t>דרכ"מ</w:t>
      </w:r>
      <w:r>
        <w:rPr>
          <w:rFonts w:cs="Arial" w:hint="cs"/>
          <w:rtl/>
        </w:rPr>
        <w:t xml:space="preserve"> (אות טז).</w:t>
      </w:r>
    </w:p>
  </w:footnote>
  <w:footnote w:id="1124">
    <w:p w14:paraId="7776911B" w14:textId="77777777" w:rsidR="00FA2119" w:rsidRDefault="00FA2119" w:rsidP="00FA2119">
      <w:pPr>
        <w:pStyle w:val="a5"/>
      </w:pPr>
      <w:r>
        <w:rPr>
          <w:rStyle w:val="a7"/>
        </w:rPr>
        <w:footnoteRef/>
      </w:r>
      <w:r>
        <w:rPr>
          <w:rtl/>
        </w:rPr>
        <w:t xml:space="preserve"> </w:t>
      </w:r>
      <w:r w:rsidRPr="00810AC5">
        <w:rPr>
          <w:rFonts w:cs="Arial"/>
          <w:rtl/>
        </w:rPr>
        <w:t>היינו דיש לו במ"כ שם א' ובמ"נ יש לו שם אחר מ</w:t>
      </w:r>
      <w:r>
        <w:rPr>
          <w:rFonts w:cs="Arial" w:hint="cs"/>
          <w:rtl/>
        </w:rPr>
        <w:t>ש</w:t>
      </w:r>
      <w:r w:rsidRPr="00810AC5">
        <w:rPr>
          <w:rFonts w:cs="Arial"/>
          <w:rtl/>
        </w:rPr>
        <w:t>"ה אם כת</w:t>
      </w:r>
      <w:r>
        <w:rPr>
          <w:rFonts w:cs="Arial" w:hint="cs"/>
          <w:rtl/>
        </w:rPr>
        <w:t>ב</w:t>
      </w:r>
      <w:r w:rsidRPr="00810AC5">
        <w:rPr>
          <w:rFonts w:cs="Arial"/>
          <w:rtl/>
        </w:rPr>
        <w:t xml:space="preserve"> ראובן שמעון יש פוסלין כיון </w:t>
      </w:r>
      <w:r>
        <w:rPr>
          <w:rFonts w:cs="Arial" w:hint="cs"/>
          <w:rtl/>
        </w:rPr>
        <w:t>ד</w:t>
      </w:r>
      <w:r w:rsidRPr="00810AC5">
        <w:rPr>
          <w:rFonts w:cs="Arial"/>
          <w:rtl/>
        </w:rPr>
        <w:t>במקו</w:t>
      </w:r>
      <w:r>
        <w:rPr>
          <w:rFonts w:cs="Arial" w:hint="cs"/>
          <w:rtl/>
        </w:rPr>
        <w:t>ם</w:t>
      </w:r>
      <w:r w:rsidRPr="00810AC5">
        <w:rPr>
          <w:rFonts w:cs="Arial"/>
          <w:rtl/>
        </w:rPr>
        <w:t xml:space="preserve"> א</w:t>
      </w:r>
      <w:r>
        <w:rPr>
          <w:rFonts w:cs="Arial" w:hint="cs"/>
          <w:rtl/>
        </w:rPr>
        <w:t>חר</w:t>
      </w:r>
      <w:r w:rsidRPr="00810AC5">
        <w:rPr>
          <w:rFonts w:cs="Arial"/>
          <w:rtl/>
        </w:rPr>
        <w:t xml:space="preserve"> אין לו שני שמות ויאמרו דאין זה המגרש דהמגרש זה יש לו שני שמות</w:t>
      </w:r>
      <w:r>
        <w:rPr>
          <w:rFonts w:cs="Arial" w:hint="cs"/>
          <w:rtl/>
        </w:rPr>
        <w:t>.</w:t>
      </w:r>
      <w:r w:rsidRPr="00810AC5">
        <w:rPr>
          <w:rFonts w:cs="Arial"/>
          <w:rtl/>
        </w:rPr>
        <w:t xml:space="preserve"> ואפשר אפילו אם יודעי' דיש לו שם אחר במקו</w:t>
      </w:r>
      <w:r>
        <w:rPr>
          <w:rFonts w:cs="Arial" w:hint="cs"/>
          <w:rtl/>
        </w:rPr>
        <w:t>ם</w:t>
      </w:r>
      <w:r w:rsidRPr="00810AC5">
        <w:rPr>
          <w:rFonts w:cs="Arial"/>
          <w:rtl/>
        </w:rPr>
        <w:t xml:space="preserve"> אחר</w:t>
      </w:r>
      <w:r>
        <w:rPr>
          <w:rFonts w:cs="Arial" w:hint="cs"/>
          <w:rtl/>
        </w:rPr>
        <w:t>,</w:t>
      </w:r>
      <w:r w:rsidRPr="00810AC5">
        <w:rPr>
          <w:rFonts w:cs="Arial"/>
          <w:rtl/>
        </w:rPr>
        <w:t xml:space="preserve"> מ"מ הואיל </w:t>
      </w:r>
      <w:r>
        <w:rPr>
          <w:rFonts w:cs="Arial" w:hint="cs"/>
          <w:rtl/>
        </w:rPr>
        <w:t>ו</w:t>
      </w:r>
      <w:r w:rsidRPr="00810AC5">
        <w:rPr>
          <w:rFonts w:cs="Arial"/>
          <w:rtl/>
        </w:rPr>
        <w:t>הוא אינו נקרא במקום אחד בשני שמות פסול</w:t>
      </w:r>
      <w:r>
        <w:rPr>
          <w:rFonts w:cs="Arial" w:hint="cs"/>
          <w:rtl/>
        </w:rPr>
        <w:t>.</w:t>
      </w:r>
      <w:r w:rsidRPr="00810AC5">
        <w:rPr>
          <w:rFonts w:cs="Arial"/>
          <w:rtl/>
        </w:rPr>
        <w:t xml:space="preserve"> ואם נקרא בשני שמות אז הוא להיפוך </w:t>
      </w:r>
      <w:r>
        <w:rPr>
          <w:rFonts w:cs="Arial" w:hint="cs"/>
          <w:rtl/>
        </w:rPr>
        <w:t xml:space="preserve">- </w:t>
      </w:r>
      <w:r w:rsidRPr="00810AC5">
        <w:rPr>
          <w:rFonts w:cs="Arial"/>
          <w:rtl/>
        </w:rPr>
        <w:t>דצריך לכתוב דוקא שניה' בלא מתקרי</w:t>
      </w:r>
      <w:r>
        <w:rPr>
          <w:rFonts w:cs="Arial" w:hint="cs"/>
          <w:rtl/>
        </w:rPr>
        <w:t>,</w:t>
      </w:r>
      <w:r w:rsidRPr="00810AC5">
        <w:rPr>
          <w:rFonts w:cs="Arial"/>
          <w:rtl/>
        </w:rPr>
        <w:t xml:space="preserve"> ואם כתב מתקרי הוי שינוי</w:t>
      </w:r>
      <w:r>
        <w:rPr>
          <w:rFonts w:cs="Arial" w:hint="cs"/>
          <w:sz w:val="16"/>
          <w:szCs w:val="16"/>
          <w:rtl/>
        </w:rPr>
        <w:t xml:space="preserve"> {ופסול, כ"כ בפת"ש [סקל"ו] בשם הג"פ וטיב גיטין}</w:t>
      </w:r>
      <w:r>
        <w:rPr>
          <w:rFonts w:cs="Arial" w:hint="cs"/>
          <w:rtl/>
        </w:rPr>
        <w:t>.</w:t>
      </w:r>
      <w:r w:rsidRPr="00810AC5">
        <w:rPr>
          <w:rFonts w:cs="Arial"/>
          <w:rtl/>
        </w:rPr>
        <w:t xml:space="preserve"> וכן משמע בתשו' רמ"א בעובדא פעסלין אסתר</w:t>
      </w:r>
      <w:r>
        <w:rPr>
          <w:rFonts w:cs="Arial" w:hint="cs"/>
          <w:rtl/>
        </w:rPr>
        <w:t>...</w:t>
      </w:r>
      <w:r w:rsidRPr="00810AC5">
        <w:rPr>
          <w:rFonts w:cs="Arial"/>
          <w:rtl/>
        </w:rPr>
        <w:t xml:space="preserve"> ואם עולה לס"ת בשניהם וקרא בשם א'</w:t>
      </w:r>
      <w:r>
        <w:rPr>
          <w:rFonts w:cs="Arial" w:hint="cs"/>
          <w:rtl/>
        </w:rPr>
        <w:t>,</w:t>
      </w:r>
      <w:r w:rsidRPr="00810AC5">
        <w:rPr>
          <w:rFonts w:cs="Arial"/>
          <w:rtl/>
        </w:rPr>
        <w:t xml:space="preserve"> כגון דנשתנה שמו מחמת חולי </w:t>
      </w:r>
      <w:r>
        <w:rPr>
          <w:rFonts w:cs="Arial" w:hint="cs"/>
          <w:rtl/>
        </w:rPr>
        <w:t xml:space="preserve">- </w:t>
      </w:r>
      <w:r w:rsidRPr="00810AC5">
        <w:rPr>
          <w:rFonts w:cs="Arial"/>
          <w:rtl/>
        </w:rPr>
        <w:t>אז כותבין לכתחילה שם השני היינו שם של חולי ועל שם הראשון כותבין דמתקרי</w:t>
      </w:r>
      <w:r>
        <w:rPr>
          <w:rFonts w:cs="Arial" w:hint="cs"/>
          <w:rtl/>
        </w:rPr>
        <w:t>,</w:t>
      </w:r>
      <w:r w:rsidRPr="00810AC5">
        <w:rPr>
          <w:rFonts w:cs="Arial"/>
          <w:rtl/>
        </w:rPr>
        <w:t xml:space="preserve"> כמ"ש בסעיף י"ח</w:t>
      </w:r>
      <w:r>
        <w:rPr>
          <w:rFonts w:cs="Arial" w:hint="cs"/>
          <w:rtl/>
        </w:rPr>
        <w:t>.</w:t>
      </w:r>
      <w:r w:rsidRPr="00810AC5">
        <w:rPr>
          <w:rFonts w:cs="Arial"/>
          <w:rtl/>
        </w:rPr>
        <w:t xml:space="preserve"> ואם כתב שניהם בלא אתקרי כשר</w:t>
      </w:r>
      <w:r>
        <w:rPr>
          <w:rFonts w:cs="Arial" w:hint="cs"/>
          <w:rtl/>
        </w:rPr>
        <w:t>.</w:t>
      </w:r>
      <w:r w:rsidRPr="00810AC5">
        <w:rPr>
          <w:rFonts w:cs="Arial"/>
          <w:rtl/>
        </w:rPr>
        <w:t xml:space="preserve"> ואם נקרא בשני שמות</w:t>
      </w:r>
      <w:r>
        <w:rPr>
          <w:rFonts w:cs="Arial" w:hint="cs"/>
          <w:rtl/>
        </w:rPr>
        <w:t>,</w:t>
      </w:r>
      <w:r w:rsidRPr="00810AC5">
        <w:rPr>
          <w:rFonts w:cs="Arial"/>
          <w:rtl/>
        </w:rPr>
        <w:t xml:space="preserve"> א' מהם הוא שם לעז</w:t>
      </w:r>
      <w:r>
        <w:rPr>
          <w:rFonts w:cs="Arial" w:hint="cs"/>
          <w:rtl/>
        </w:rPr>
        <w:t>,</w:t>
      </w:r>
      <w:r w:rsidRPr="00810AC5">
        <w:rPr>
          <w:rFonts w:cs="Arial"/>
          <w:rtl/>
        </w:rPr>
        <w:t xml:space="preserve"> כגון דנקר</w:t>
      </w:r>
      <w:r>
        <w:rPr>
          <w:rFonts w:cs="Arial" w:hint="cs"/>
          <w:rtl/>
        </w:rPr>
        <w:t>א</w:t>
      </w:r>
      <w:r w:rsidRPr="00810AC5">
        <w:rPr>
          <w:rFonts w:cs="Arial"/>
          <w:rtl/>
        </w:rPr>
        <w:t xml:space="preserve"> משה ליב</w:t>
      </w:r>
      <w:r>
        <w:rPr>
          <w:rFonts w:cs="Arial" w:hint="cs"/>
          <w:rtl/>
        </w:rPr>
        <w:t>,</w:t>
      </w:r>
      <w:r w:rsidRPr="00810AC5">
        <w:rPr>
          <w:rFonts w:cs="Arial"/>
          <w:rtl/>
        </w:rPr>
        <w:t xml:space="preserve"> כותבין משה יהודה המכונה ליב</w:t>
      </w:r>
      <w:r>
        <w:rPr>
          <w:rFonts w:cs="Arial" w:hint="cs"/>
          <w:rtl/>
        </w:rPr>
        <w:t xml:space="preserve"> </w:t>
      </w:r>
      <w:r>
        <w:rPr>
          <w:rFonts w:cs="Arial" w:hint="cs"/>
          <w:sz w:val="16"/>
          <w:szCs w:val="16"/>
          <w:rtl/>
        </w:rPr>
        <w:t>{</w:t>
      </w:r>
      <w:r w:rsidRPr="00CD2EE8">
        <w:rPr>
          <w:rFonts w:cs="Arial"/>
          <w:sz w:val="16"/>
          <w:szCs w:val="16"/>
          <w:rtl/>
        </w:rPr>
        <w:t xml:space="preserve">וע' בנו"ב </w:t>
      </w:r>
      <w:r>
        <w:rPr>
          <w:rFonts w:cs="Arial" w:hint="cs"/>
          <w:sz w:val="16"/>
          <w:szCs w:val="16"/>
          <w:rtl/>
        </w:rPr>
        <w:t>[</w:t>
      </w:r>
      <w:r w:rsidRPr="00CD2EE8">
        <w:rPr>
          <w:rFonts w:cs="Arial"/>
          <w:sz w:val="16"/>
          <w:szCs w:val="16"/>
          <w:rtl/>
        </w:rPr>
        <w:t>תניינא סי' קיט</w:t>
      </w:r>
      <w:r>
        <w:rPr>
          <w:rFonts w:cs="Arial" w:hint="cs"/>
          <w:sz w:val="16"/>
          <w:szCs w:val="16"/>
          <w:rtl/>
        </w:rPr>
        <w:t>] ובבית אפרים [סי' פא] שהשיגו על הב"ש בזה וכתבו ד</w:t>
      </w:r>
      <w:r w:rsidRPr="0050255E">
        <w:rPr>
          <w:rFonts w:cs="Arial"/>
          <w:sz w:val="16"/>
          <w:szCs w:val="16"/>
          <w:rtl/>
        </w:rPr>
        <w:t>יש לכתוב אנא משה יהודה דמתקרי משה ליב</w:t>
      </w:r>
      <w:r>
        <w:rPr>
          <w:rFonts w:cs="Arial" w:hint="cs"/>
          <w:sz w:val="16"/>
          <w:szCs w:val="16"/>
          <w:rtl/>
        </w:rPr>
        <w:t>. ועי' בפת"ש [סקל"ו]}</w:t>
      </w:r>
      <w:r>
        <w:rPr>
          <w:rFonts w:cs="Arial" w:hint="cs"/>
          <w:rtl/>
        </w:rPr>
        <w:t>.</w:t>
      </w:r>
      <w:r w:rsidRPr="00810AC5">
        <w:rPr>
          <w:rFonts w:cs="Arial"/>
          <w:rtl/>
        </w:rPr>
        <w:t xml:space="preserve"> כי שני שמות משה ויהודה אי</w:t>
      </w:r>
      <w:r>
        <w:rPr>
          <w:rFonts w:cs="Arial" w:hint="cs"/>
          <w:rtl/>
        </w:rPr>
        <w:t>נו יכול</w:t>
      </w:r>
      <w:r w:rsidRPr="00810AC5">
        <w:rPr>
          <w:rFonts w:cs="Arial"/>
          <w:rtl/>
        </w:rPr>
        <w:t xml:space="preserve"> לכתוב דמתקרי דהא נקרא בשניהם</w:t>
      </w:r>
      <w:r>
        <w:rPr>
          <w:rFonts w:cs="Arial" w:hint="cs"/>
          <w:rtl/>
        </w:rPr>
        <w:t>,</w:t>
      </w:r>
      <w:r w:rsidRPr="00810AC5">
        <w:rPr>
          <w:rFonts w:cs="Arial"/>
          <w:rtl/>
        </w:rPr>
        <w:t xml:space="preserve"> </w:t>
      </w:r>
      <w:r>
        <w:rPr>
          <w:rFonts w:cs="Arial" w:hint="cs"/>
          <w:rtl/>
        </w:rPr>
        <w:t>ו</w:t>
      </w:r>
      <w:r w:rsidRPr="00810AC5">
        <w:rPr>
          <w:rFonts w:cs="Arial"/>
          <w:rtl/>
        </w:rPr>
        <w:t>אע</w:t>
      </w:r>
      <w:r>
        <w:rPr>
          <w:rFonts w:cs="Arial" w:hint="cs"/>
          <w:rtl/>
        </w:rPr>
        <w:t>"</w:t>
      </w:r>
      <w:r w:rsidRPr="00810AC5">
        <w:rPr>
          <w:rFonts w:cs="Arial"/>
          <w:rtl/>
        </w:rPr>
        <w:t>ג דלא נקרא שם יהודה אלא שם ליב מ"מ עולה לס"ת בשם משה ויהודה</w:t>
      </w:r>
      <w:r>
        <w:rPr>
          <w:rFonts w:cs="Arial" w:hint="cs"/>
          <w:rtl/>
        </w:rPr>
        <w:t>.</w:t>
      </w:r>
      <w:r w:rsidRPr="00810AC5">
        <w:rPr>
          <w:rFonts w:cs="Arial"/>
          <w:rtl/>
        </w:rPr>
        <w:t xml:space="preserve"> א"כ אם אינו כותב דמתקרי כשר כמ"ש בסמוך</w:t>
      </w:r>
      <w:r>
        <w:rPr>
          <w:rFonts w:cs="Arial" w:hint="cs"/>
          <w:rtl/>
        </w:rPr>
        <w:t>.</w:t>
      </w:r>
      <w:r w:rsidRPr="00810AC5">
        <w:rPr>
          <w:rFonts w:cs="Arial"/>
          <w:rtl/>
        </w:rPr>
        <w:t xml:space="preserve"> אבל אם כותב דמתקרי י"ל דפסול</w:t>
      </w:r>
      <w:r>
        <w:rPr>
          <w:rFonts w:cs="Arial" w:hint="cs"/>
          <w:rtl/>
        </w:rPr>
        <w:t>.</w:t>
      </w:r>
      <w:r w:rsidRPr="00810AC5">
        <w:rPr>
          <w:rFonts w:cs="Arial"/>
          <w:rtl/>
        </w:rPr>
        <w:t xml:space="preserve"> ואין לחוש שמא יאמרו ליב הוא הכינוי של שני שמות משה ויהודה ולא נקרא כלל משה</w:t>
      </w:r>
      <w:r>
        <w:rPr>
          <w:rFonts w:cs="Arial" w:hint="cs"/>
          <w:rtl/>
        </w:rPr>
        <w:t>,</w:t>
      </w:r>
      <w:r w:rsidRPr="00810AC5">
        <w:rPr>
          <w:rFonts w:cs="Arial"/>
          <w:rtl/>
        </w:rPr>
        <w:t xml:space="preserve"> כי מסתמא קאי על מה דסמוך לו ולא קאי אלא על שם יהודה כמ"ש בכינוי של האב ועיין בנ"ש</w:t>
      </w:r>
      <w:r>
        <w:rPr>
          <w:rFonts w:cs="Arial" w:hint="cs"/>
          <w:rtl/>
        </w:rPr>
        <w:t>, ב"ש (סקכ"ד).</w:t>
      </w:r>
    </w:p>
  </w:footnote>
  <w:footnote w:id="1125">
    <w:p w14:paraId="1AA9AC93" w14:textId="77777777" w:rsidR="00FA2119" w:rsidRDefault="00FA2119" w:rsidP="00FA2119">
      <w:pPr>
        <w:pStyle w:val="a5"/>
      </w:pPr>
      <w:r>
        <w:rPr>
          <w:rStyle w:val="a7"/>
        </w:rPr>
        <w:footnoteRef/>
      </w:r>
      <w:r>
        <w:rPr>
          <w:rtl/>
        </w:rPr>
        <w:t xml:space="preserve"> </w:t>
      </w:r>
      <w:r>
        <w:rPr>
          <w:rFonts w:cs="Arial" w:hint="cs"/>
          <w:rtl/>
        </w:rPr>
        <w:t xml:space="preserve">כתב </w:t>
      </w:r>
      <w:r w:rsidRPr="00474462">
        <w:rPr>
          <w:rFonts w:cs="Arial"/>
          <w:rtl/>
        </w:rPr>
        <w:t>הב"י דאפשר לומר דמהרא"י ומהרי"ק לא פליגי</w:t>
      </w:r>
      <w:r>
        <w:rPr>
          <w:rFonts w:cs="Arial" w:hint="cs"/>
          <w:rtl/>
        </w:rPr>
        <w:t>...</w:t>
      </w:r>
      <w:r w:rsidRPr="00474462">
        <w:rPr>
          <w:rFonts w:cs="Arial"/>
          <w:rtl/>
        </w:rPr>
        <w:t xml:space="preserve"> אמנם הג"פ ס"ק ס"ב כ' דסתימת דברי הש"ע משמע דבכל גווני יש מי שאומר שהוא פסול אף במי שנקרא בב' השמות במקום א' דיש קורין אותו ראובן ויש קורין אותו שמעון וסבור מרן כאן בש"ע דאף דאפשר לומר דלא פליגי מ"מ פשט דברי מהרי"ק יראה דבכל גוונא פסול וכן משמע מסוף דברי מהרי"ק שם כו' ע"ש </w:t>
      </w:r>
      <w:r w:rsidRPr="00DF5074">
        <w:rPr>
          <w:rFonts w:cs="Arial"/>
          <w:sz w:val="16"/>
          <w:szCs w:val="16"/>
          <w:rtl/>
        </w:rPr>
        <w:t>(ושם בס"ק ע"ב מבואר דלאו דוקא בראובן ושמעון שהם שני שמות העצם ואין להם צירוף אלא דה"ה בשני שמות שהא' הוא קיצור השם מהב' כגון יצחק חקין אם כתב יצחק חקין ולא כתב דמתקרי ולא המכונה כיון דאינו נקרא בשניהם ביחד אלא דאיכא דקרו ליה יצחק ואיכא דקרו ליה חקין פסול לדעת היש מי שאומר ע"ש וע' בזה בשו"ת מאמר מרדכי סי' נו"ן בענין שם מנחם מענדיל ע"ש)</w:t>
      </w:r>
      <w:r>
        <w:rPr>
          <w:rFonts w:cs="Arial" w:hint="cs"/>
          <w:rtl/>
        </w:rPr>
        <w:t>..., פת"ש (סקל"ו).</w:t>
      </w:r>
    </w:p>
  </w:footnote>
  <w:footnote w:id="1126">
    <w:p w14:paraId="7A4E4F4D" w14:textId="77777777" w:rsidR="00FA2119" w:rsidRDefault="00FA2119" w:rsidP="00FA2119">
      <w:pPr>
        <w:pStyle w:val="a5"/>
        <w:rPr>
          <w:rtl/>
        </w:rPr>
      </w:pPr>
      <w:r>
        <w:rPr>
          <w:rStyle w:val="a7"/>
        </w:rPr>
        <w:footnoteRef/>
      </w:r>
      <w:r>
        <w:rPr>
          <w:rtl/>
        </w:rPr>
        <w:t xml:space="preserve"> </w:t>
      </w:r>
      <w:r w:rsidRPr="00BD7390">
        <w:rPr>
          <w:rFonts w:cs="Arial"/>
          <w:rtl/>
        </w:rPr>
        <w:t xml:space="preserve">לכאורה סותר למ"ש בסמוך </w:t>
      </w:r>
      <w:r>
        <w:rPr>
          <w:rFonts w:cs="Arial" w:hint="cs"/>
          <w:rtl/>
        </w:rPr>
        <w:t>ד</w:t>
      </w:r>
      <w:r w:rsidRPr="00BD7390">
        <w:rPr>
          <w:rFonts w:cs="Arial"/>
          <w:rtl/>
        </w:rPr>
        <w:t>בשם לעז כותבי</w:t>
      </w:r>
      <w:r>
        <w:rPr>
          <w:rFonts w:cs="Arial" w:hint="cs"/>
          <w:rtl/>
        </w:rPr>
        <w:t>ם</w:t>
      </w:r>
      <w:r w:rsidRPr="00BD7390">
        <w:rPr>
          <w:rFonts w:cs="Arial"/>
          <w:rtl/>
        </w:rPr>
        <w:t xml:space="preserve"> המכונה</w:t>
      </w:r>
      <w:r>
        <w:rPr>
          <w:rFonts w:cs="Arial" w:hint="cs"/>
          <w:rtl/>
        </w:rPr>
        <w:t>,</w:t>
      </w:r>
      <w:r w:rsidRPr="00BD7390">
        <w:rPr>
          <w:rFonts w:cs="Arial"/>
          <w:rtl/>
        </w:rPr>
        <w:t xml:space="preserve"> ומסתמא שם כותי הוא שם לעז</w:t>
      </w:r>
      <w:r>
        <w:rPr>
          <w:rFonts w:cs="Arial" w:hint="cs"/>
          <w:rtl/>
        </w:rPr>
        <w:t>,</w:t>
      </w:r>
      <w:r w:rsidRPr="00BD7390">
        <w:rPr>
          <w:rFonts w:cs="Arial"/>
          <w:rtl/>
        </w:rPr>
        <w:t xml:space="preserve"> וכן הקשה ב"ח</w:t>
      </w:r>
      <w:r>
        <w:rPr>
          <w:rFonts w:cs="Arial" w:hint="cs"/>
          <w:rtl/>
        </w:rPr>
        <w:t>.</w:t>
      </w:r>
      <w:r w:rsidRPr="00BD7390">
        <w:rPr>
          <w:rFonts w:cs="Arial"/>
          <w:rtl/>
        </w:rPr>
        <w:t xml:space="preserve"> וי"ל דאיירי אותו השם דנקרא בפי ישראל הוא ג"כ שם לעז</w:t>
      </w:r>
      <w:r>
        <w:rPr>
          <w:rFonts w:cs="Arial" w:hint="cs"/>
          <w:rtl/>
        </w:rPr>
        <w:t>,</w:t>
      </w:r>
      <w:r w:rsidRPr="00BD7390">
        <w:rPr>
          <w:rFonts w:cs="Arial"/>
          <w:rtl/>
        </w:rPr>
        <w:t xml:space="preserve"> אז כותבין דמתקרי כששניה</w:t>
      </w:r>
      <w:r>
        <w:rPr>
          <w:rFonts w:cs="Arial" w:hint="cs"/>
          <w:rtl/>
        </w:rPr>
        <w:t>ם</w:t>
      </w:r>
      <w:r w:rsidRPr="00BD7390">
        <w:rPr>
          <w:rFonts w:cs="Arial"/>
          <w:rtl/>
        </w:rPr>
        <w:t xml:space="preserve"> הם שמות של לעז</w:t>
      </w:r>
      <w:r>
        <w:rPr>
          <w:rFonts w:cs="Arial" w:hint="cs"/>
          <w:rtl/>
        </w:rPr>
        <w:t>,</w:t>
      </w:r>
      <w:r w:rsidRPr="00BD7390">
        <w:rPr>
          <w:rFonts w:cs="Arial"/>
          <w:rtl/>
        </w:rPr>
        <w:t xml:space="preserve"> כמ"ש בתשו' מהר"מ מלובלין</w:t>
      </w:r>
      <w:r>
        <w:rPr>
          <w:rFonts w:cs="Arial" w:hint="cs"/>
          <w:rtl/>
        </w:rPr>
        <w:t>.</w:t>
      </w:r>
      <w:r w:rsidRPr="00BD7390">
        <w:rPr>
          <w:rFonts w:cs="Arial"/>
          <w:rtl/>
        </w:rPr>
        <w:t xml:space="preserve"> ובספר שמות ובסדר שמות שחברתי מבואר יותר</w:t>
      </w:r>
      <w:r>
        <w:rPr>
          <w:rFonts w:cs="Arial" w:hint="cs"/>
          <w:rtl/>
        </w:rPr>
        <w:t>.</w:t>
      </w:r>
      <w:r w:rsidRPr="00BD7390">
        <w:rPr>
          <w:rFonts w:cs="Arial"/>
          <w:rtl/>
        </w:rPr>
        <w:t xml:space="preserve"> אצל הזכר כותבי</w:t>
      </w:r>
      <w:r>
        <w:rPr>
          <w:rFonts w:cs="Arial" w:hint="cs"/>
          <w:rtl/>
        </w:rPr>
        <w:t>ם</w:t>
      </w:r>
      <w:r w:rsidRPr="00BD7390">
        <w:rPr>
          <w:rFonts w:cs="Arial"/>
          <w:rtl/>
        </w:rPr>
        <w:t xml:space="preserve"> מתקרי בלא אלף </w:t>
      </w:r>
      <w:r>
        <w:rPr>
          <w:rFonts w:cs="Arial" w:hint="cs"/>
          <w:rtl/>
        </w:rPr>
        <w:t>[</w:t>
      </w:r>
      <w:r w:rsidRPr="00BD7390">
        <w:rPr>
          <w:rFonts w:cs="Arial"/>
          <w:rtl/>
        </w:rPr>
        <w:t>ד"מ בשם סדר גיטין</w:t>
      </w:r>
      <w:r>
        <w:rPr>
          <w:rFonts w:cs="Arial" w:hint="cs"/>
          <w:rtl/>
        </w:rPr>
        <w:t>]</w:t>
      </w:r>
      <w:r>
        <w:rPr>
          <w:rFonts w:hint="cs"/>
          <w:rtl/>
        </w:rPr>
        <w:t>, ב"ש (סקכ"ה).</w:t>
      </w:r>
    </w:p>
  </w:footnote>
  <w:footnote w:id="1127">
    <w:p w14:paraId="29453D40" w14:textId="77777777" w:rsidR="00FA2119" w:rsidRDefault="00FA2119" w:rsidP="00FA2119">
      <w:pPr>
        <w:pStyle w:val="a5"/>
        <w:rPr>
          <w:rtl/>
        </w:rPr>
      </w:pPr>
      <w:r>
        <w:rPr>
          <w:rStyle w:val="a7"/>
        </w:rPr>
        <w:footnoteRef/>
      </w:r>
      <w:r>
        <w:rPr>
          <w:rtl/>
        </w:rPr>
        <w:t xml:space="preserve"> </w:t>
      </w:r>
      <w:r w:rsidRPr="00B72805">
        <w:rPr>
          <w:rFonts w:cs="Arial"/>
          <w:rtl/>
        </w:rPr>
        <w:t>ו</w:t>
      </w:r>
      <w:r>
        <w:rPr>
          <w:rFonts w:cs="Arial" w:hint="cs"/>
          <w:rtl/>
        </w:rPr>
        <w:t xml:space="preserve">כן </w:t>
      </w:r>
      <w:r w:rsidR="009334FF">
        <w:rPr>
          <w:rFonts w:cs="Arial"/>
          <w:rtl/>
        </w:rPr>
        <w:t>בהגה</w:t>
      </w:r>
      <w:r>
        <w:rPr>
          <w:rFonts w:cs="Arial" w:hint="cs"/>
          <w:rtl/>
        </w:rPr>
        <w:t>"מ (</w:t>
      </w:r>
      <w:r w:rsidRPr="00B72805">
        <w:rPr>
          <w:rFonts w:cs="Arial"/>
          <w:rtl/>
        </w:rPr>
        <w:t>פ</w:t>
      </w:r>
      <w:r>
        <w:rPr>
          <w:rFonts w:cs="Arial" w:hint="cs"/>
          <w:rtl/>
        </w:rPr>
        <w:t>"</w:t>
      </w:r>
      <w:r w:rsidRPr="00B72805">
        <w:rPr>
          <w:rFonts w:cs="Arial"/>
          <w:rtl/>
        </w:rPr>
        <w:t>ד ד</w:t>
      </w:r>
      <w:r>
        <w:rPr>
          <w:rFonts w:cs="Arial" w:hint="cs"/>
          <w:rtl/>
        </w:rPr>
        <w:t>"</w:t>
      </w:r>
      <w:r w:rsidRPr="00B72805">
        <w:rPr>
          <w:rFonts w:cs="Arial"/>
          <w:rtl/>
        </w:rPr>
        <w:t>ק הי"ג ד"ה ויהיה) קורא שם דנערות ליצחק חקין</w:t>
      </w:r>
      <w:r>
        <w:rPr>
          <w:rFonts w:cs="Arial" w:hint="cs"/>
          <w:rtl/>
        </w:rPr>
        <w:t>,</w:t>
      </w:r>
      <w:r w:rsidRPr="00B72805">
        <w:rPr>
          <w:rFonts w:cs="Arial"/>
          <w:rtl/>
        </w:rPr>
        <w:t xml:space="preserve"> וכתב דאין כותבין אותו</w:t>
      </w:r>
      <w:r>
        <w:rPr>
          <w:rFonts w:cs="Arial" w:hint="cs"/>
          <w:rtl/>
        </w:rPr>
        <w:t>.</w:t>
      </w:r>
      <w:r w:rsidRPr="00B72805">
        <w:rPr>
          <w:rFonts w:cs="Arial"/>
          <w:rtl/>
        </w:rPr>
        <w:t xml:space="preserve"> וגם בקונדריסין (סי' י סעי' ט) קורא שם דנערות ליצחק חקין</w:t>
      </w:r>
      <w:r>
        <w:rPr>
          <w:rFonts w:cs="Arial" w:hint="cs"/>
          <w:rtl/>
        </w:rPr>
        <w:t>,</w:t>
      </w:r>
      <w:r w:rsidRPr="00B72805">
        <w:rPr>
          <w:rFonts w:cs="Arial"/>
          <w:rtl/>
        </w:rPr>
        <w:t xml:space="preserve"> וכן פרץ פרצין</w:t>
      </w:r>
      <w:r>
        <w:rPr>
          <w:rFonts w:cs="Arial" w:hint="cs"/>
          <w:rtl/>
        </w:rPr>
        <w:t>,</w:t>
      </w:r>
      <w:r w:rsidRPr="00B72805">
        <w:rPr>
          <w:rFonts w:cs="Arial"/>
          <w:rtl/>
        </w:rPr>
        <w:t xml:space="preserve"> אהרן אתנין</w:t>
      </w:r>
      <w:r>
        <w:rPr>
          <w:rFonts w:cs="Arial" w:hint="cs"/>
          <w:rtl/>
        </w:rPr>
        <w:t>,</w:t>
      </w:r>
      <w:r w:rsidRPr="00B72805">
        <w:rPr>
          <w:rFonts w:cs="Arial"/>
          <w:rtl/>
        </w:rPr>
        <w:t xml:space="preserve"> וכתב בשם רבי יצחק מקורבי"ל (סמ"ק סי' קפד) שאין לכתבם</w:t>
      </w:r>
      <w:r>
        <w:rPr>
          <w:rFonts w:cs="Arial" w:hint="cs"/>
          <w:rtl/>
        </w:rPr>
        <w:t>, ב"י.</w:t>
      </w:r>
    </w:p>
  </w:footnote>
  <w:footnote w:id="1128">
    <w:p w14:paraId="604B98E3" w14:textId="77777777" w:rsidR="00FA2119" w:rsidRDefault="00FA2119" w:rsidP="00FA2119">
      <w:pPr>
        <w:pStyle w:val="a5"/>
        <w:rPr>
          <w:rtl/>
        </w:rPr>
      </w:pPr>
      <w:r>
        <w:rPr>
          <w:rStyle w:val="a7"/>
        </w:rPr>
        <w:footnoteRef/>
      </w:r>
      <w:r>
        <w:rPr>
          <w:rtl/>
        </w:rPr>
        <w:t xml:space="preserve"> </w:t>
      </w:r>
      <w:r w:rsidRPr="00BD7390">
        <w:rPr>
          <w:rFonts w:cs="Arial"/>
          <w:rtl/>
        </w:rPr>
        <w:t>ואם א' כהן או לוי א"צ לכתוב קיצור השם לסי'</w:t>
      </w:r>
      <w:r>
        <w:rPr>
          <w:rFonts w:cs="Arial" w:hint="cs"/>
          <w:rtl/>
        </w:rPr>
        <w:t>,</w:t>
      </w:r>
      <w:r w:rsidRPr="00BD7390">
        <w:rPr>
          <w:rFonts w:cs="Arial"/>
          <w:rtl/>
        </w:rPr>
        <w:t xml:space="preserve"> דכהן או לוי הוי סי'</w:t>
      </w:r>
      <w:r>
        <w:rPr>
          <w:rFonts w:cs="Arial" w:hint="cs"/>
          <w:rtl/>
        </w:rPr>
        <w:t>,</w:t>
      </w:r>
      <w:r w:rsidRPr="00BD7390">
        <w:rPr>
          <w:rFonts w:cs="Arial"/>
          <w:rtl/>
        </w:rPr>
        <w:t xml:space="preserve"> כ"כ הפסקי מהרא"י</w:t>
      </w:r>
      <w:r>
        <w:rPr>
          <w:rFonts w:cs="Arial" w:hint="cs"/>
          <w:rtl/>
        </w:rPr>
        <w:t>.</w:t>
      </w:r>
      <w:r w:rsidRPr="00BD7390">
        <w:rPr>
          <w:rFonts w:cs="Arial"/>
          <w:rtl/>
        </w:rPr>
        <w:t xml:space="preserve"> והב"י כתב דכותבי' הקיצור השם, ומשמע דצריך לכתוב הסי' אפילו כשמגרש במעמד חבירו</w:t>
      </w:r>
      <w:r>
        <w:rPr>
          <w:rFonts w:cs="Arial" w:hint="cs"/>
          <w:rtl/>
        </w:rPr>
        <w:t>,</w:t>
      </w:r>
      <w:r w:rsidRPr="00BD7390">
        <w:rPr>
          <w:rFonts w:cs="Arial"/>
          <w:rtl/>
        </w:rPr>
        <w:t xml:space="preserve"> כיון </w:t>
      </w:r>
      <w:r>
        <w:rPr>
          <w:rFonts w:cs="Arial" w:hint="cs"/>
          <w:rtl/>
        </w:rPr>
        <w:t>ד</w:t>
      </w:r>
      <w:r w:rsidRPr="00BD7390">
        <w:rPr>
          <w:rFonts w:cs="Arial"/>
          <w:rtl/>
        </w:rPr>
        <w:t>בתוך הגט אין מוכח מי הוא המגרש</w:t>
      </w:r>
      <w:r>
        <w:rPr>
          <w:rFonts w:cs="Arial" w:hint="cs"/>
          <w:rtl/>
        </w:rPr>
        <w:t>.</w:t>
      </w:r>
      <w:r w:rsidRPr="00BD7390">
        <w:rPr>
          <w:rFonts w:cs="Arial"/>
          <w:rtl/>
        </w:rPr>
        <w:t xml:space="preserve"> ואף שכתב הסי' מ"מ צריך לגרש במע</w:t>
      </w:r>
      <w:r>
        <w:rPr>
          <w:rFonts w:cs="Arial" w:hint="cs"/>
          <w:rtl/>
        </w:rPr>
        <w:t>מ</w:t>
      </w:r>
      <w:r w:rsidRPr="00BD7390">
        <w:rPr>
          <w:rFonts w:cs="Arial"/>
          <w:rtl/>
        </w:rPr>
        <w:t>ד</w:t>
      </w:r>
      <w:r>
        <w:rPr>
          <w:rFonts w:cs="Arial" w:hint="cs"/>
          <w:rtl/>
        </w:rPr>
        <w:t xml:space="preserve"> חבירו</w:t>
      </w:r>
      <w:r>
        <w:rPr>
          <w:rFonts w:cs="Arial" w:hint="cs"/>
          <w:sz w:val="16"/>
          <w:szCs w:val="16"/>
          <w:rtl/>
        </w:rPr>
        <w:t xml:space="preserve"> {</w:t>
      </w:r>
      <w:r w:rsidRPr="00474462">
        <w:rPr>
          <w:rFonts w:cs="Arial"/>
          <w:sz w:val="16"/>
          <w:szCs w:val="16"/>
          <w:rtl/>
        </w:rPr>
        <w:t>ועיין בס' דגמ</w:t>
      </w:r>
      <w:r>
        <w:rPr>
          <w:rFonts w:cs="Arial" w:hint="cs"/>
          <w:sz w:val="16"/>
          <w:szCs w:val="16"/>
          <w:rtl/>
        </w:rPr>
        <w:t>"</w:t>
      </w:r>
      <w:r w:rsidRPr="00474462">
        <w:rPr>
          <w:rFonts w:cs="Arial"/>
          <w:sz w:val="16"/>
          <w:szCs w:val="16"/>
          <w:rtl/>
        </w:rPr>
        <w:t xml:space="preserve">ר שתמ' עליו בזה ע"ש </w:t>
      </w:r>
      <w:r>
        <w:rPr>
          <w:rFonts w:cs="Arial" w:hint="cs"/>
          <w:sz w:val="16"/>
          <w:szCs w:val="16"/>
          <w:rtl/>
        </w:rPr>
        <w:t>,</w:t>
      </w:r>
      <w:r w:rsidRPr="00474462">
        <w:rPr>
          <w:rFonts w:cs="Arial"/>
          <w:sz w:val="16"/>
          <w:szCs w:val="16"/>
          <w:rtl/>
        </w:rPr>
        <w:t>ועמ"ש לקמן סי' קלו סק"ד</w:t>
      </w:r>
      <w:r>
        <w:rPr>
          <w:rFonts w:cs="Arial" w:hint="cs"/>
          <w:sz w:val="16"/>
          <w:szCs w:val="16"/>
          <w:rtl/>
        </w:rPr>
        <w:t>, פת"ש [סקל"ז]}</w:t>
      </w:r>
      <w:r>
        <w:rPr>
          <w:rFonts w:cs="Arial" w:hint="cs"/>
          <w:rtl/>
        </w:rPr>
        <w:t>,</w:t>
      </w:r>
      <w:r w:rsidRPr="00BD7390">
        <w:rPr>
          <w:rFonts w:cs="Arial"/>
          <w:rtl/>
        </w:rPr>
        <w:t xml:space="preserve"> ועיין תשו' ש</w:t>
      </w:r>
      <w:r>
        <w:rPr>
          <w:rFonts w:cs="Arial" w:hint="cs"/>
          <w:rtl/>
        </w:rPr>
        <w:t>ארית יוסף</w:t>
      </w:r>
      <w:r w:rsidRPr="00BD7390">
        <w:rPr>
          <w:rFonts w:cs="Arial"/>
          <w:rtl/>
        </w:rPr>
        <w:t xml:space="preserve"> </w:t>
      </w:r>
      <w:r>
        <w:rPr>
          <w:rFonts w:cs="Arial" w:hint="cs"/>
          <w:rtl/>
        </w:rPr>
        <w:t>(</w:t>
      </w:r>
      <w:r w:rsidRPr="00BD7390">
        <w:rPr>
          <w:rFonts w:cs="Arial"/>
          <w:rtl/>
        </w:rPr>
        <w:t>סי' לו</w:t>
      </w:r>
      <w:r>
        <w:rPr>
          <w:rFonts w:cs="Arial" w:hint="cs"/>
          <w:rtl/>
        </w:rPr>
        <w:t>)</w:t>
      </w:r>
      <w:r>
        <w:rPr>
          <w:rFonts w:hint="cs"/>
          <w:rtl/>
        </w:rPr>
        <w:t>, ב"ש (סקכ"ו).</w:t>
      </w:r>
    </w:p>
  </w:footnote>
  <w:footnote w:id="1129">
    <w:p w14:paraId="4F353819" w14:textId="77777777" w:rsidR="00FA2119" w:rsidRDefault="00FA2119" w:rsidP="00FA2119">
      <w:pPr>
        <w:pStyle w:val="a5"/>
      </w:pPr>
      <w:r>
        <w:rPr>
          <w:rStyle w:val="a7"/>
        </w:rPr>
        <w:footnoteRef/>
      </w:r>
      <w:r>
        <w:rPr>
          <w:rtl/>
        </w:rPr>
        <w:t xml:space="preserve"> </w:t>
      </w:r>
      <w:r w:rsidRPr="00474462">
        <w:rPr>
          <w:rFonts w:cs="Arial"/>
          <w:rtl/>
        </w:rPr>
        <w:t>מהרש"ל כתב דיש לכתוב יעקל משום דיש לו שם קודש אחר היינו אליקום וכל כינוי דיש לו שם קודש אחר צריך לכתוב אותו כינוי בסדר הגט מבואר דין זה יותר ע"ש</w:t>
      </w:r>
      <w:r>
        <w:rPr>
          <w:rFonts w:cs="Arial" w:hint="cs"/>
          <w:rtl/>
        </w:rPr>
        <w:t>, ב"ש (סקכ"ז).</w:t>
      </w:r>
    </w:p>
  </w:footnote>
  <w:footnote w:id="1130">
    <w:p w14:paraId="47B5E5AF" w14:textId="77777777" w:rsidR="00FA2119" w:rsidRDefault="00FA2119" w:rsidP="00FA2119">
      <w:pPr>
        <w:pStyle w:val="a5"/>
        <w:rPr>
          <w:rtl/>
        </w:rPr>
      </w:pPr>
      <w:r>
        <w:rPr>
          <w:rStyle w:val="a7"/>
        </w:rPr>
        <w:footnoteRef/>
      </w:r>
      <w:r>
        <w:rPr>
          <w:rtl/>
        </w:rPr>
        <w:t xml:space="preserve"> </w:t>
      </w:r>
      <w:r w:rsidRPr="00474462">
        <w:rPr>
          <w:rFonts w:cs="Arial"/>
          <w:rtl/>
        </w:rPr>
        <w:t>ש"מ דאין קפידא אם רוצה לכתוב בקיצור</w:t>
      </w:r>
      <w:r>
        <w:rPr>
          <w:rFonts w:cs="Arial" w:hint="cs"/>
          <w:rtl/>
        </w:rPr>
        <w:t>,</w:t>
      </w:r>
      <w:r w:rsidRPr="00474462">
        <w:rPr>
          <w:rFonts w:cs="Arial"/>
          <w:rtl/>
        </w:rPr>
        <w:t xml:space="preserve"> רק דא"צ</w:t>
      </w:r>
      <w:r>
        <w:rPr>
          <w:rFonts w:cs="Arial" w:hint="cs"/>
          <w:rtl/>
        </w:rPr>
        <w:t>.</w:t>
      </w:r>
      <w:r w:rsidRPr="00474462">
        <w:rPr>
          <w:rFonts w:cs="Arial"/>
          <w:rtl/>
        </w:rPr>
        <w:t xml:space="preserve"> ונ"מ היכי דאיכא פלוגתא או ספק אם הוא קיצור השם </w:t>
      </w:r>
      <w:r>
        <w:rPr>
          <w:rFonts w:cs="Arial" w:hint="cs"/>
          <w:rtl/>
        </w:rPr>
        <w:t xml:space="preserve">- </w:t>
      </w:r>
      <w:r w:rsidRPr="00474462">
        <w:rPr>
          <w:rFonts w:cs="Arial"/>
          <w:rtl/>
        </w:rPr>
        <w:t>כותבין</w:t>
      </w:r>
      <w:r>
        <w:rPr>
          <w:rFonts w:cs="Arial" w:hint="cs"/>
          <w:rtl/>
        </w:rPr>
        <w:t>.</w:t>
      </w:r>
      <w:r w:rsidRPr="00474462">
        <w:rPr>
          <w:rFonts w:cs="Arial"/>
          <w:rtl/>
        </w:rPr>
        <w:t xml:space="preserve"> ובסדר הגט מבואר יותר</w:t>
      </w:r>
      <w:r>
        <w:rPr>
          <w:rFonts w:hint="cs"/>
          <w:rtl/>
        </w:rPr>
        <w:t>, ב"ש (סקכ"ח).</w:t>
      </w:r>
    </w:p>
  </w:footnote>
  <w:footnote w:id="1131">
    <w:p w14:paraId="283932CF" w14:textId="77777777" w:rsidR="00FA2119" w:rsidRDefault="00FA2119" w:rsidP="00FA2119">
      <w:pPr>
        <w:pStyle w:val="a5"/>
        <w:rPr>
          <w:rtl/>
        </w:rPr>
      </w:pPr>
      <w:r>
        <w:rPr>
          <w:rStyle w:val="a7"/>
        </w:rPr>
        <w:footnoteRef/>
      </w:r>
      <w:r>
        <w:rPr>
          <w:rtl/>
        </w:rPr>
        <w:t xml:space="preserve"> </w:t>
      </w:r>
      <w:r w:rsidRPr="00474462">
        <w:rPr>
          <w:rFonts w:cs="Arial"/>
          <w:rtl/>
        </w:rPr>
        <w:t>עיין בג"פ ס"ק ע"ה שכ' דהיינו לכתח' אבל אם לא כ' אלא אלחנן לחוד כשר כו'</w:t>
      </w:r>
      <w:r>
        <w:rPr>
          <w:rFonts w:cs="Arial" w:hint="cs"/>
          <w:rtl/>
        </w:rPr>
        <w:t xml:space="preserve">. </w:t>
      </w:r>
      <w:r w:rsidRPr="00474462">
        <w:rPr>
          <w:rFonts w:cs="Arial"/>
          <w:rtl/>
        </w:rPr>
        <w:t>ועי</w:t>
      </w:r>
      <w:r>
        <w:rPr>
          <w:rFonts w:cs="Arial" w:hint="cs"/>
          <w:rtl/>
        </w:rPr>
        <w:t>'</w:t>
      </w:r>
      <w:r w:rsidRPr="00474462">
        <w:rPr>
          <w:rFonts w:cs="Arial"/>
          <w:rtl/>
        </w:rPr>
        <w:t xml:space="preserve"> בס' ט"ג </w:t>
      </w:r>
      <w:r>
        <w:rPr>
          <w:rFonts w:cs="Arial" w:hint="cs"/>
          <w:sz w:val="16"/>
          <w:szCs w:val="16"/>
          <w:rtl/>
        </w:rPr>
        <w:t>(</w:t>
      </w:r>
      <w:r w:rsidRPr="00994B3B">
        <w:rPr>
          <w:rFonts w:cs="Arial"/>
          <w:sz w:val="16"/>
          <w:szCs w:val="16"/>
          <w:rtl/>
        </w:rPr>
        <w:t>בש"א אות מ' סק"ה</w:t>
      </w:r>
      <w:r w:rsidRPr="00994B3B">
        <w:rPr>
          <w:rFonts w:cs="Arial" w:hint="cs"/>
          <w:sz w:val="16"/>
          <w:szCs w:val="16"/>
          <w:rtl/>
        </w:rPr>
        <w:t>)</w:t>
      </w:r>
      <w:r>
        <w:rPr>
          <w:rFonts w:hint="cs"/>
          <w:rtl/>
        </w:rPr>
        <w:t>, פת"ש (סקל"ח).</w:t>
      </w:r>
    </w:p>
  </w:footnote>
  <w:footnote w:id="1132">
    <w:p w14:paraId="355EE692" w14:textId="6F39F83B" w:rsidR="00FA2119" w:rsidRDefault="00FA2119" w:rsidP="00FA2119">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547B18">
        <w:rPr>
          <w:rFonts w:cs="Arial"/>
          <w:rtl/>
        </w:rPr>
        <w:t>אם הכינוי דומה לעברי יכתוב דמתקרי כגון יהודה דמתקרי ליאון</w:t>
      </w:r>
      <w:r>
        <w:rPr>
          <w:rFonts w:cs="Arial" w:hint="cs"/>
          <w:rtl/>
        </w:rPr>
        <w:t>,</w:t>
      </w:r>
      <w:r w:rsidRPr="00547B18">
        <w:rPr>
          <w:rFonts w:cs="Arial"/>
          <w:rtl/>
        </w:rPr>
        <w:t xml:space="preserve"> ואם אינו דומה קצת לשם העברי יכתוב המכונה</w:t>
      </w:r>
      <w:r>
        <w:rPr>
          <w:rFonts w:cs="Arial" w:hint="cs"/>
          <w:rtl/>
        </w:rPr>
        <w:t>.</w:t>
      </w:r>
    </w:p>
  </w:footnote>
  <w:footnote w:id="1133">
    <w:p w14:paraId="14C051CC" w14:textId="77777777" w:rsidR="00FA2119" w:rsidRDefault="00FA2119" w:rsidP="00FA2119">
      <w:pPr>
        <w:pStyle w:val="a5"/>
        <w:rPr>
          <w:rtl/>
        </w:rPr>
      </w:pPr>
      <w:r>
        <w:rPr>
          <w:rStyle w:val="a7"/>
        </w:rPr>
        <w:footnoteRef/>
      </w:r>
      <w:r>
        <w:rPr>
          <w:rtl/>
        </w:rPr>
        <w:t xml:space="preserve"> </w:t>
      </w:r>
      <w:r w:rsidRPr="002E7151">
        <w:rPr>
          <w:rFonts w:cs="Arial"/>
          <w:rtl/>
        </w:rPr>
        <w:t>וכן אנו נוהגין</w:t>
      </w:r>
      <w:r>
        <w:rPr>
          <w:rFonts w:cs="Arial" w:hint="cs"/>
          <w:rtl/>
        </w:rPr>
        <w:t>,</w:t>
      </w:r>
      <w:r w:rsidRPr="002E7151">
        <w:rPr>
          <w:rFonts w:cs="Arial"/>
          <w:rtl/>
        </w:rPr>
        <w:t xml:space="preserve"> ולא חילקו בין אם הלעז הוא פירוש העברי או לא</w:t>
      </w:r>
      <w:r>
        <w:rPr>
          <w:rFonts w:cs="Arial" w:hint="cs"/>
          <w:rtl/>
        </w:rPr>
        <w:t xml:space="preserve">, דרכ"מ </w:t>
      </w:r>
      <w:r w:rsidRPr="002E7151">
        <w:rPr>
          <w:rFonts w:cs="Arial"/>
          <w:rtl/>
        </w:rPr>
        <w:t>(</w:t>
      </w:r>
      <w:r>
        <w:rPr>
          <w:rFonts w:cs="Arial" w:hint="cs"/>
          <w:rtl/>
        </w:rPr>
        <w:t xml:space="preserve">אות </w:t>
      </w:r>
      <w:r w:rsidRPr="002E7151">
        <w:rPr>
          <w:rFonts w:cs="Arial"/>
          <w:rtl/>
        </w:rPr>
        <w:t>יח)</w:t>
      </w:r>
      <w:r>
        <w:rPr>
          <w:rFonts w:cs="Arial" w:hint="cs"/>
          <w:rtl/>
        </w:rPr>
        <w:t>.</w:t>
      </w:r>
      <w:r w:rsidRPr="002E7151">
        <w:rPr>
          <w:rFonts w:cs="Arial"/>
          <w:rtl/>
        </w:rPr>
        <w:t xml:space="preserve"> </w:t>
      </w:r>
      <w:r>
        <w:rPr>
          <w:rFonts w:cs="Arial" w:hint="cs"/>
          <w:rtl/>
        </w:rPr>
        <w:t>כגון</w:t>
      </w:r>
      <w:r w:rsidRPr="002E7151">
        <w:rPr>
          <w:rFonts w:cs="Arial"/>
          <w:rtl/>
        </w:rPr>
        <w:t xml:space="preserve"> יהודה המכונה ליבא</w:t>
      </w:r>
      <w:r>
        <w:rPr>
          <w:rFonts w:cs="Arial" w:hint="cs"/>
          <w:rtl/>
        </w:rPr>
        <w:t>,</w:t>
      </w:r>
      <w:r w:rsidRPr="002E7151">
        <w:rPr>
          <w:rFonts w:cs="Arial"/>
          <w:rtl/>
        </w:rPr>
        <w:t xml:space="preserve"> אע</w:t>
      </w:r>
      <w:r>
        <w:rPr>
          <w:rFonts w:cs="Arial" w:hint="cs"/>
          <w:rtl/>
        </w:rPr>
        <w:t>"</w:t>
      </w:r>
      <w:r w:rsidRPr="002E7151">
        <w:rPr>
          <w:rFonts w:cs="Arial"/>
          <w:rtl/>
        </w:rPr>
        <w:t>פ שנקרא כן על שם גור אריה</w:t>
      </w:r>
      <w:r>
        <w:rPr>
          <w:rFonts w:cs="Arial" w:hint="cs"/>
          <w:rtl/>
        </w:rPr>
        <w:t>,</w:t>
      </w:r>
      <w:r w:rsidRPr="002E7151">
        <w:rPr>
          <w:rFonts w:cs="Arial"/>
          <w:rtl/>
        </w:rPr>
        <w:t xml:space="preserve"> דפירוש אריה בלשון אשכנז ליבא. </w:t>
      </w:r>
    </w:p>
  </w:footnote>
  <w:footnote w:id="1134">
    <w:p w14:paraId="310EC206" w14:textId="17403D21" w:rsidR="00FA2119" w:rsidRPr="00994B3B" w:rsidRDefault="00FA2119" w:rsidP="00FA2119">
      <w:pPr>
        <w:pStyle w:val="a5"/>
        <w:rPr>
          <w:rFonts w:cs="Arial"/>
          <w:rtl/>
        </w:rPr>
      </w:pPr>
      <w:r>
        <w:rPr>
          <w:rStyle w:val="a7"/>
        </w:rPr>
        <w:footnoteRef/>
      </w:r>
      <w:r>
        <w:rPr>
          <w:rtl/>
        </w:rPr>
        <w:t xml:space="preserve"> </w:t>
      </w:r>
      <w:r w:rsidRPr="00097B33">
        <w:rPr>
          <w:rFonts w:cs="Arial"/>
          <w:rtl/>
        </w:rPr>
        <w:t>ומשמע לי דלא שנא לן בין אם שם השני הוא בלשון עברי בין שהוא בלשון לעז</w:t>
      </w:r>
      <w:r>
        <w:rPr>
          <w:rFonts w:cs="Arial" w:hint="cs"/>
          <w:rtl/>
        </w:rPr>
        <w:t>,</w:t>
      </w:r>
      <w:r w:rsidRPr="00097B33">
        <w:rPr>
          <w:rFonts w:cs="Arial"/>
          <w:rtl/>
        </w:rPr>
        <w:t xml:space="preserve"> אע</w:t>
      </w:r>
      <w:r>
        <w:rPr>
          <w:rFonts w:cs="Arial" w:hint="cs"/>
          <w:rtl/>
        </w:rPr>
        <w:t>"</w:t>
      </w:r>
      <w:r w:rsidRPr="00097B33">
        <w:rPr>
          <w:rFonts w:cs="Arial"/>
          <w:rtl/>
        </w:rPr>
        <w:t>פ שיוצא ממשמעות שמו בעברי</w:t>
      </w:r>
      <w:r>
        <w:rPr>
          <w:rFonts w:cs="Arial" w:hint="cs"/>
          <w:rtl/>
        </w:rPr>
        <w:t>,</w:t>
      </w:r>
      <w:r w:rsidRPr="00097B33">
        <w:rPr>
          <w:rFonts w:cs="Arial"/>
          <w:rtl/>
        </w:rPr>
        <w:t xml:space="preserve"> מאחר שהוא נקרא כן על שם משפחתו </w:t>
      </w:r>
      <w:r>
        <w:rPr>
          <w:rFonts w:cs="Arial" w:hint="cs"/>
          <w:rtl/>
        </w:rPr>
        <w:t xml:space="preserve">- </w:t>
      </w:r>
      <w:r w:rsidRPr="00097B33">
        <w:rPr>
          <w:rFonts w:cs="Arial"/>
          <w:rtl/>
        </w:rPr>
        <w:t>כותבין המכונה</w:t>
      </w:r>
      <w:r>
        <w:rPr>
          <w:rFonts w:cs="Arial" w:hint="cs"/>
          <w:rtl/>
        </w:rPr>
        <w:t xml:space="preserve">, </w:t>
      </w:r>
      <w:r w:rsidRPr="00994B3B">
        <w:rPr>
          <w:rFonts w:cs="Arial" w:hint="cs"/>
          <w:b/>
          <w:bCs/>
          <w:rtl/>
        </w:rPr>
        <w:t>ב"י</w:t>
      </w:r>
      <w:r>
        <w:rPr>
          <w:rFonts w:cs="Arial" w:hint="cs"/>
          <w:rtl/>
        </w:rPr>
        <w:t xml:space="preserve"> </w:t>
      </w:r>
      <w:r w:rsidRPr="00EE6B8D">
        <w:rPr>
          <w:rFonts w:cs="Arial" w:hint="cs"/>
          <w:sz w:val="16"/>
          <w:szCs w:val="16"/>
          <w:rtl/>
        </w:rPr>
        <w:t>(</w:t>
      </w:r>
      <w:r w:rsidR="000A0F5A">
        <w:rPr>
          <w:rFonts w:cs="Arial" w:hint="cs"/>
          <w:sz w:val="16"/>
          <w:szCs w:val="16"/>
          <w:rtl/>
        </w:rPr>
        <w:t>וז</w:t>
      </w:r>
      <w:r w:rsidR="000A0F5A">
        <w:rPr>
          <w:rFonts w:cs="Arial"/>
          <w:sz w:val="16"/>
          <w:szCs w:val="16"/>
          <w:rtl/>
        </w:rPr>
        <w:t>"</w:t>
      </w:r>
      <w:r w:rsidR="000A0F5A">
        <w:rPr>
          <w:rFonts w:cs="Arial" w:hint="cs"/>
          <w:sz w:val="16"/>
          <w:szCs w:val="16"/>
          <w:rtl/>
        </w:rPr>
        <w:t>ל:</w:t>
      </w:r>
      <w:r w:rsidRPr="00EE6B8D">
        <w:rPr>
          <w:rFonts w:cs="Arial"/>
          <w:sz w:val="16"/>
          <w:szCs w:val="16"/>
          <w:rtl/>
        </w:rPr>
        <w:t xml:space="preserve"> ואע</w:t>
      </w:r>
      <w:r w:rsidRPr="00EE6B8D">
        <w:rPr>
          <w:rFonts w:cs="Arial" w:hint="cs"/>
          <w:sz w:val="16"/>
          <w:szCs w:val="16"/>
          <w:rtl/>
        </w:rPr>
        <w:t>"</w:t>
      </w:r>
      <w:r w:rsidRPr="00EE6B8D">
        <w:rPr>
          <w:rFonts w:cs="Arial"/>
          <w:sz w:val="16"/>
          <w:szCs w:val="16"/>
          <w:rtl/>
        </w:rPr>
        <w:t>פ שמדברי מהרי"ק בתשובה זו משמע דמיירי כששם השני בלשון לעז דוקא</w:t>
      </w:r>
      <w:r w:rsidRPr="00EE6B8D">
        <w:rPr>
          <w:rFonts w:cs="Arial" w:hint="cs"/>
          <w:sz w:val="16"/>
          <w:szCs w:val="16"/>
          <w:rtl/>
        </w:rPr>
        <w:t>,</w:t>
      </w:r>
      <w:r w:rsidRPr="00EE6B8D">
        <w:rPr>
          <w:rFonts w:cs="Arial"/>
          <w:sz w:val="16"/>
          <w:szCs w:val="16"/>
          <w:rtl/>
        </w:rPr>
        <w:t xml:space="preserve"> גם בכל בו (הל' גיטין מו ע"ד) ובסמ"ק (</w:t>
      </w:r>
      <w:r w:rsidR="009334FF">
        <w:rPr>
          <w:rFonts w:cs="Arial"/>
          <w:sz w:val="16"/>
          <w:szCs w:val="16"/>
          <w:rtl/>
        </w:rPr>
        <w:t>ב</w:t>
      </w:r>
      <w:r w:rsidR="00DB737E">
        <w:rPr>
          <w:rFonts w:cs="Arial"/>
          <w:sz w:val="16"/>
          <w:szCs w:val="16"/>
          <w:rtl/>
        </w:rPr>
        <w:t>הגהות</w:t>
      </w:r>
      <w:r w:rsidRPr="00EE6B8D">
        <w:rPr>
          <w:rFonts w:cs="Arial"/>
          <w:sz w:val="16"/>
          <w:szCs w:val="16"/>
          <w:rtl/>
        </w:rPr>
        <w:t xml:space="preserve"> סמ"ק סי' קפד אות ו) כתוב דרגילין לכתוב דמתקריא כששם השני בלשון עברי וכששם השני בלשון לעז כותבין המכונה</w:t>
      </w:r>
      <w:r w:rsidRPr="00EE6B8D">
        <w:rPr>
          <w:rFonts w:cs="Arial" w:hint="cs"/>
          <w:sz w:val="16"/>
          <w:szCs w:val="16"/>
          <w:rtl/>
        </w:rPr>
        <w:t>.</w:t>
      </w:r>
      <w:r w:rsidRPr="00EE6B8D">
        <w:rPr>
          <w:rFonts w:cs="Arial"/>
          <w:sz w:val="16"/>
          <w:szCs w:val="16"/>
          <w:rtl/>
        </w:rPr>
        <w:t xml:space="preserve"> וכן כתוב בקונדריסין (שם סעי' יב) ובהלכות הגט דמרדכי (סי' תנד) ו</w:t>
      </w:r>
      <w:r w:rsidR="009334FF">
        <w:rPr>
          <w:rFonts w:cs="Arial"/>
          <w:sz w:val="16"/>
          <w:szCs w:val="16"/>
          <w:rtl/>
        </w:rPr>
        <w:t>בהג"ה</w:t>
      </w:r>
      <w:r w:rsidRPr="00EE6B8D">
        <w:rPr>
          <w:rFonts w:cs="Arial" w:hint="cs"/>
          <w:sz w:val="16"/>
          <w:szCs w:val="16"/>
          <w:rtl/>
        </w:rPr>
        <w:t>"</w:t>
      </w:r>
      <w:r w:rsidRPr="00EE6B8D">
        <w:rPr>
          <w:rFonts w:cs="Arial"/>
          <w:sz w:val="16"/>
          <w:szCs w:val="16"/>
          <w:rtl/>
        </w:rPr>
        <w:t>מ פ</w:t>
      </w:r>
      <w:r w:rsidRPr="00EE6B8D">
        <w:rPr>
          <w:rFonts w:cs="Arial" w:hint="cs"/>
          <w:sz w:val="16"/>
          <w:szCs w:val="16"/>
          <w:rtl/>
        </w:rPr>
        <w:t>"</w:t>
      </w:r>
      <w:r w:rsidRPr="00EE6B8D">
        <w:rPr>
          <w:rFonts w:cs="Arial"/>
          <w:sz w:val="16"/>
          <w:szCs w:val="16"/>
          <w:rtl/>
        </w:rPr>
        <w:t>ג (ד</w:t>
      </w:r>
      <w:r w:rsidRPr="00EE6B8D">
        <w:rPr>
          <w:rFonts w:cs="Arial" w:hint="cs"/>
          <w:sz w:val="16"/>
          <w:szCs w:val="16"/>
          <w:rtl/>
        </w:rPr>
        <w:t>"</w:t>
      </w:r>
      <w:r w:rsidRPr="00EE6B8D">
        <w:rPr>
          <w:rFonts w:cs="Arial"/>
          <w:sz w:val="16"/>
          <w:szCs w:val="16"/>
          <w:rtl/>
        </w:rPr>
        <w:t>ק הי"ג ד"ה ואומר) בשם סמ"ג</w:t>
      </w:r>
      <w:r w:rsidRPr="00EE6B8D">
        <w:rPr>
          <w:rFonts w:cs="Arial" w:hint="cs"/>
          <w:sz w:val="16"/>
          <w:szCs w:val="16"/>
          <w:rtl/>
        </w:rPr>
        <w:t>.</w:t>
      </w:r>
      <w:r w:rsidRPr="00EE6B8D">
        <w:rPr>
          <w:rFonts w:cs="Arial"/>
          <w:sz w:val="16"/>
          <w:szCs w:val="16"/>
          <w:rtl/>
        </w:rPr>
        <w:t xml:space="preserve"> נ"ל דלאו דוקא</w:t>
      </w:r>
      <w:r w:rsidRPr="00EE6B8D">
        <w:rPr>
          <w:rFonts w:cs="Arial" w:hint="cs"/>
          <w:sz w:val="16"/>
          <w:szCs w:val="16"/>
          <w:rtl/>
        </w:rPr>
        <w:t>,</w:t>
      </w:r>
      <w:r w:rsidRPr="00EE6B8D">
        <w:rPr>
          <w:rFonts w:cs="Arial"/>
          <w:sz w:val="16"/>
          <w:szCs w:val="16"/>
          <w:rtl/>
        </w:rPr>
        <w:t xml:space="preserve"> אלא אורחא דמילתא נקט. ותדע שהרי תלה מהרי"ק סברא זו בדעת מה"ר פרץ שכך כתב</w:t>
      </w:r>
      <w:r w:rsidRPr="00EE6B8D">
        <w:rPr>
          <w:rFonts w:cs="Arial" w:hint="cs"/>
          <w:sz w:val="16"/>
          <w:szCs w:val="16"/>
          <w:rtl/>
        </w:rPr>
        <w:t>-</w:t>
      </w:r>
      <w:r w:rsidRPr="00EE6B8D">
        <w:rPr>
          <w:rFonts w:cs="Arial"/>
          <w:sz w:val="16"/>
          <w:szCs w:val="16"/>
          <w:rtl/>
        </w:rPr>
        <w:t xml:space="preserve"> ועל כי קורין אותו פואה ונסתפק ידידי אם הוא יוצא משם רפאל כלומר בקיצור השם</w:t>
      </w:r>
      <w:r w:rsidRPr="00EE6B8D">
        <w:rPr>
          <w:rFonts w:cs="Arial" w:hint="cs"/>
          <w:sz w:val="16"/>
          <w:szCs w:val="16"/>
          <w:rtl/>
        </w:rPr>
        <w:t>.</w:t>
      </w:r>
      <w:r w:rsidRPr="00EE6B8D">
        <w:rPr>
          <w:rFonts w:cs="Arial"/>
          <w:sz w:val="16"/>
          <w:szCs w:val="16"/>
          <w:rtl/>
        </w:rPr>
        <w:t xml:space="preserve"> ידע ידידי דנקרא כן על שם משפחתו</w:t>
      </w:r>
      <w:r w:rsidRPr="00EE6B8D">
        <w:rPr>
          <w:rFonts w:cs="Arial" w:hint="cs"/>
          <w:sz w:val="16"/>
          <w:szCs w:val="16"/>
          <w:rtl/>
        </w:rPr>
        <w:t>,</w:t>
      </w:r>
      <w:r w:rsidRPr="00EE6B8D">
        <w:rPr>
          <w:rFonts w:cs="Arial"/>
          <w:sz w:val="16"/>
          <w:szCs w:val="16"/>
          <w:rtl/>
        </w:rPr>
        <w:t xml:space="preserve"> וא"כ דבר פשוט שיש לכתבו בגט בלשון המכונה כיון דהוי לשון לעז כמו שכתב רבינו פרץ עכ"ל</w:t>
      </w:r>
      <w:r w:rsidRPr="00EE6B8D">
        <w:rPr>
          <w:rFonts w:cs="Arial" w:hint="cs"/>
          <w:sz w:val="16"/>
          <w:szCs w:val="16"/>
          <w:rtl/>
        </w:rPr>
        <w:t>.</w:t>
      </w:r>
      <w:r w:rsidRPr="00EE6B8D">
        <w:rPr>
          <w:rFonts w:cs="Arial"/>
          <w:sz w:val="16"/>
          <w:szCs w:val="16"/>
          <w:rtl/>
        </w:rPr>
        <w:t xml:space="preserve"> ובשורש צ"ח כתב לשון תוספות מה"ר פרץ כששם השני בלשון לעז</w:t>
      </w:r>
      <w:r w:rsidRPr="00EE6B8D">
        <w:rPr>
          <w:rFonts w:cs="Arial" w:hint="cs"/>
          <w:sz w:val="16"/>
          <w:szCs w:val="16"/>
          <w:rtl/>
        </w:rPr>
        <w:t>,</w:t>
      </w:r>
      <w:r w:rsidRPr="00EE6B8D">
        <w:rPr>
          <w:rFonts w:cs="Arial"/>
          <w:sz w:val="16"/>
          <w:szCs w:val="16"/>
          <w:rtl/>
        </w:rPr>
        <w:t xml:space="preserve"> כגון חניכא שקורין שוורנום</w:t>
      </w:r>
      <w:r w:rsidRPr="00EE6B8D">
        <w:rPr>
          <w:rFonts w:cs="Arial" w:hint="cs"/>
          <w:sz w:val="16"/>
          <w:szCs w:val="16"/>
          <w:rtl/>
        </w:rPr>
        <w:t>,</w:t>
      </w:r>
      <w:r w:rsidRPr="00EE6B8D">
        <w:rPr>
          <w:rFonts w:cs="Arial"/>
          <w:sz w:val="16"/>
          <w:szCs w:val="16"/>
          <w:rtl/>
        </w:rPr>
        <w:t xml:space="preserve"> אז כותבין המכונה</w:t>
      </w:r>
      <w:r w:rsidRPr="00EE6B8D">
        <w:rPr>
          <w:rFonts w:cs="Arial" w:hint="cs"/>
          <w:sz w:val="16"/>
          <w:szCs w:val="16"/>
          <w:rtl/>
        </w:rPr>
        <w:t>.</w:t>
      </w:r>
      <w:r w:rsidRPr="00EE6B8D">
        <w:rPr>
          <w:rFonts w:cs="Arial"/>
          <w:sz w:val="16"/>
          <w:szCs w:val="16"/>
          <w:rtl/>
        </w:rPr>
        <w:t xml:space="preserve"> אבל כששם השני הוא לשון עברית</w:t>
      </w:r>
      <w:r w:rsidRPr="00EE6B8D">
        <w:rPr>
          <w:rFonts w:cs="Arial" w:hint="cs"/>
          <w:sz w:val="16"/>
          <w:szCs w:val="16"/>
          <w:rtl/>
        </w:rPr>
        <w:t>,</w:t>
      </w:r>
      <w:r w:rsidRPr="00EE6B8D">
        <w:rPr>
          <w:rFonts w:cs="Arial"/>
          <w:sz w:val="16"/>
          <w:szCs w:val="16"/>
          <w:rtl/>
        </w:rPr>
        <w:t xml:space="preserve"> כגון אותם בני אדם שנשתנה שמם מחמת חולי אז כותבין דמתקרי עכ"ל</w:t>
      </w:r>
      <w:r w:rsidRPr="00EE6B8D">
        <w:rPr>
          <w:rFonts w:cs="Arial" w:hint="cs"/>
          <w:sz w:val="16"/>
          <w:szCs w:val="16"/>
          <w:rtl/>
        </w:rPr>
        <w:t>.</w:t>
      </w:r>
      <w:r w:rsidRPr="00EE6B8D">
        <w:rPr>
          <w:rFonts w:cs="Arial"/>
          <w:sz w:val="16"/>
          <w:szCs w:val="16"/>
          <w:rtl/>
        </w:rPr>
        <w:t xml:space="preserve"> ואם איתא דשאני לן בחניכא בין כשהיא בלשון עברית לכשהיא בלשון לעז למה ליה לפרושי כגון בני אדם שנשתנה שמם מחמת חולי</w:t>
      </w:r>
      <w:r w:rsidRPr="00EE6B8D">
        <w:rPr>
          <w:rFonts w:cs="Arial" w:hint="cs"/>
          <w:sz w:val="16"/>
          <w:szCs w:val="16"/>
          <w:rtl/>
        </w:rPr>
        <w:t>,</w:t>
      </w:r>
      <w:r w:rsidRPr="00EE6B8D">
        <w:rPr>
          <w:rFonts w:cs="Arial"/>
          <w:sz w:val="16"/>
          <w:szCs w:val="16"/>
          <w:rtl/>
        </w:rPr>
        <w:t xml:space="preserve"> ליכתוב סתם אבל כששם השני הוא לשון עברית דהיינו חניכא, אלא ודאי כל חניכא כותבין המכונה בין שהוא בלשון עברי בין שהוא בלשון לעז</w:t>
      </w:r>
      <w:r w:rsidRPr="00EE6B8D">
        <w:rPr>
          <w:rFonts w:cs="Arial" w:hint="cs"/>
          <w:sz w:val="16"/>
          <w:szCs w:val="16"/>
          <w:rtl/>
        </w:rPr>
        <w:t>,</w:t>
      </w:r>
      <w:r w:rsidRPr="00EE6B8D">
        <w:rPr>
          <w:rFonts w:cs="Arial"/>
          <w:sz w:val="16"/>
          <w:szCs w:val="16"/>
          <w:rtl/>
        </w:rPr>
        <w:t xml:space="preserve"> ומשום הכי לא משכח שיכתבו דמתקרי אלא בנשתנה שמו. והא דנקט גבי חניכא לשון לעז אורחא דמילתא נקט כדפרישית</w:t>
      </w:r>
      <w:r w:rsidRPr="00EE6B8D">
        <w:rPr>
          <w:rFonts w:cs="Arial" w:hint="cs"/>
          <w:sz w:val="16"/>
          <w:szCs w:val="16"/>
          <w:rtl/>
        </w:rPr>
        <w:t>,</w:t>
      </w:r>
      <w:r w:rsidRPr="00EE6B8D">
        <w:rPr>
          <w:rFonts w:cs="Arial"/>
          <w:sz w:val="16"/>
          <w:szCs w:val="16"/>
          <w:rtl/>
        </w:rPr>
        <w:t xml:space="preserve"> דסתם חניכא הויא בלשון לעז. וגם הכל בו ושאר החיבורים שכתבו דין זה נראה דמדברי ה"ר פרץ ילפי לה</w:t>
      </w:r>
      <w:r w:rsidRPr="00EE6B8D">
        <w:rPr>
          <w:rFonts w:cs="Arial" w:hint="cs"/>
          <w:sz w:val="16"/>
          <w:szCs w:val="16"/>
          <w:rtl/>
        </w:rPr>
        <w:t>.</w:t>
      </w:r>
      <w:r w:rsidRPr="00EE6B8D">
        <w:rPr>
          <w:rFonts w:cs="Arial"/>
          <w:sz w:val="16"/>
          <w:szCs w:val="16"/>
          <w:rtl/>
        </w:rPr>
        <w:t xml:space="preserve"> וכיון שהוכחנו דלשון לעז דנקט ה"ר פרץ לאו דוקא</w:t>
      </w:r>
      <w:r w:rsidRPr="00EE6B8D">
        <w:rPr>
          <w:rFonts w:cs="Arial" w:hint="cs"/>
          <w:sz w:val="16"/>
          <w:szCs w:val="16"/>
          <w:rtl/>
        </w:rPr>
        <w:t>,</w:t>
      </w:r>
      <w:r w:rsidRPr="00EE6B8D">
        <w:rPr>
          <w:rFonts w:cs="Arial"/>
          <w:sz w:val="16"/>
          <w:szCs w:val="16"/>
          <w:rtl/>
        </w:rPr>
        <w:t xml:space="preserve"> א"כ כך יש לפרש דברי שאר החיבורים כנ"ל</w:t>
      </w:r>
      <w:r>
        <w:rPr>
          <w:rFonts w:cs="Arial" w:hint="cs"/>
          <w:sz w:val="16"/>
          <w:szCs w:val="16"/>
          <w:rtl/>
        </w:rPr>
        <w:t>)</w:t>
      </w:r>
      <w:r>
        <w:rPr>
          <w:rFonts w:cs="Arial" w:hint="cs"/>
          <w:rtl/>
        </w:rPr>
        <w:t xml:space="preserve">. </w:t>
      </w:r>
      <w:r w:rsidRPr="00D3264D">
        <w:rPr>
          <w:rFonts w:cs="Arial" w:hint="cs"/>
          <w:color w:val="E36C0A" w:themeColor="accent6" w:themeShade="BF"/>
          <w:rtl/>
        </w:rPr>
        <w:t>(וכ"פ בשו"ע</w:t>
      </w:r>
      <w:r w:rsidRPr="00D3264D">
        <w:rPr>
          <w:rFonts w:cs="Arial" w:hint="cs"/>
          <w:color w:val="E36C0A" w:themeColor="accent6" w:themeShade="BF"/>
          <w:sz w:val="16"/>
          <w:szCs w:val="16"/>
          <w:rtl/>
        </w:rPr>
        <w:t xml:space="preserve"> </w:t>
      </w:r>
      <w:r>
        <w:rPr>
          <w:rFonts w:cs="Arial" w:hint="cs"/>
          <w:sz w:val="16"/>
          <w:szCs w:val="16"/>
          <w:rtl/>
        </w:rPr>
        <w:t>[בסע' הבא]</w:t>
      </w:r>
      <w:r w:rsidRPr="00D3264D">
        <w:rPr>
          <w:rFonts w:cs="Arial" w:hint="cs"/>
          <w:color w:val="E36C0A" w:themeColor="accent6" w:themeShade="BF"/>
          <w:rtl/>
        </w:rPr>
        <w:t>)</w:t>
      </w:r>
      <w:r>
        <w:rPr>
          <w:rFonts w:cs="Arial" w:hint="cs"/>
          <w:rtl/>
        </w:rPr>
        <w:t xml:space="preserve">. וכתב </w:t>
      </w:r>
      <w:r w:rsidRPr="00994B3B">
        <w:rPr>
          <w:rFonts w:cs="Arial" w:hint="cs"/>
          <w:b/>
          <w:bCs/>
          <w:rtl/>
        </w:rPr>
        <w:t>הדרכ"מ</w:t>
      </w:r>
      <w:r>
        <w:rPr>
          <w:rFonts w:cs="Arial" w:hint="cs"/>
          <w:rtl/>
        </w:rPr>
        <w:t xml:space="preserve"> </w:t>
      </w:r>
      <w:r w:rsidRPr="002E7151">
        <w:rPr>
          <w:rFonts w:cs="Arial"/>
          <w:rtl/>
        </w:rPr>
        <w:t>(</w:t>
      </w:r>
      <w:r>
        <w:rPr>
          <w:rFonts w:cs="Arial" w:hint="cs"/>
          <w:rtl/>
        </w:rPr>
        <w:t xml:space="preserve">אות </w:t>
      </w:r>
      <w:r w:rsidRPr="002E7151">
        <w:rPr>
          <w:rFonts w:cs="Arial"/>
          <w:rtl/>
        </w:rPr>
        <w:t xml:space="preserve">יט) </w:t>
      </w:r>
      <w:r>
        <w:rPr>
          <w:rFonts w:cs="Arial" w:hint="cs"/>
          <w:rtl/>
        </w:rPr>
        <w:t>ד</w:t>
      </w:r>
      <w:r w:rsidRPr="002E7151">
        <w:rPr>
          <w:rFonts w:cs="Arial"/>
          <w:rtl/>
        </w:rPr>
        <w:t>נראה מדבריו דסבירא ליה דכל שנשתנה שמו מצד עצמו כותבין תמיד דמתקרי וכשהכינוי מצד המשפחה כותבין תמיד המכונה. ואין נוהגין כדבריו גם פירושו בדברי הפוסקים הוא דחוק מאוד</w:t>
      </w:r>
      <w:r>
        <w:rPr>
          <w:rFonts w:cs="Arial" w:hint="cs"/>
          <w:rtl/>
        </w:rPr>
        <w:t>.</w:t>
      </w:r>
      <w:r w:rsidRPr="002E7151">
        <w:rPr>
          <w:rFonts w:cs="Arial"/>
          <w:rtl/>
        </w:rPr>
        <w:t xml:space="preserve"> ומה שרוצה להכריח מדברי הר"ף אינו נראה הכרח ואין רצוני להאריך במה שאין בו נפקותא שהרי אין המנהג כדבריו.</w:t>
      </w:r>
      <w:r>
        <w:rPr>
          <w:rFonts w:cs="Arial" w:hint="cs"/>
          <w:rtl/>
        </w:rPr>
        <w:t xml:space="preserve"> </w:t>
      </w:r>
      <w:r w:rsidRPr="00D3264D">
        <w:rPr>
          <w:rFonts w:cs="Arial" w:hint="cs"/>
          <w:color w:val="00B0F0"/>
          <w:rtl/>
        </w:rPr>
        <w:t xml:space="preserve">(וכ"פ </w:t>
      </w:r>
      <w:r w:rsidR="009334FF">
        <w:rPr>
          <w:rFonts w:cs="Arial" w:hint="cs"/>
          <w:color w:val="00B0F0"/>
          <w:rtl/>
        </w:rPr>
        <w:t>בהג</w:t>
      </w:r>
      <w:r w:rsidR="009334FF">
        <w:rPr>
          <w:rFonts w:cs="Arial"/>
          <w:color w:val="00B0F0"/>
          <w:rtl/>
        </w:rPr>
        <w:t>"</w:t>
      </w:r>
      <w:r w:rsidR="009334FF">
        <w:rPr>
          <w:rFonts w:cs="Arial" w:hint="cs"/>
          <w:color w:val="00B0F0"/>
          <w:rtl/>
        </w:rPr>
        <w:t>ה</w:t>
      </w:r>
      <w:r w:rsidRPr="00D3264D">
        <w:rPr>
          <w:rFonts w:cs="Arial" w:hint="cs"/>
          <w:color w:val="E36C0A" w:themeColor="accent6" w:themeShade="BF"/>
          <w:sz w:val="16"/>
          <w:szCs w:val="16"/>
          <w:rtl/>
        </w:rPr>
        <w:t xml:space="preserve"> </w:t>
      </w:r>
      <w:r>
        <w:rPr>
          <w:rFonts w:cs="Arial" w:hint="cs"/>
          <w:sz w:val="16"/>
          <w:szCs w:val="16"/>
          <w:rtl/>
        </w:rPr>
        <w:t>[בסע' הבא]</w:t>
      </w:r>
      <w:r w:rsidRPr="00D3264D">
        <w:rPr>
          <w:rFonts w:cs="Arial" w:hint="cs"/>
          <w:color w:val="00B0F0"/>
          <w:rtl/>
        </w:rPr>
        <w:t>)</w:t>
      </w:r>
      <w:r>
        <w:rPr>
          <w:rFonts w:cs="Arial" w:hint="cs"/>
          <w:rtl/>
        </w:rPr>
        <w:t>.</w:t>
      </w:r>
    </w:p>
  </w:footnote>
  <w:footnote w:id="1135">
    <w:p w14:paraId="1E361B86" w14:textId="77777777" w:rsidR="00FA2119" w:rsidRPr="00994B3B" w:rsidRDefault="00FA2119" w:rsidP="00FA2119">
      <w:pPr>
        <w:pStyle w:val="a5"/>
        <w:rPr>
          <w:rFonts w:cs="Arial"/>
          <w:rtl/>
        </w:rPr>
      </w:pPr>
      <w:r>
        <w:rPr>
          <w:rStyle w:val="a7"/>
        </w:rPr>
        <w:footnoteRef/>
      </w:r>
      <w:r>
        <w:rPr>
          <w:rtl/>
        </w:rPr>
        <w:t xml:space="preserve"> </w:t>
      </w:r>
      <w:r w:rsidRPr="002E7151">
        <w:rPr>
          <w:rFonts w:cs="Arial"/>
          <w:rtl/>
        </w:rPr>
        <w:t>וכן אנו נוהגין</w:t>
      </w:r>
      <w:r>
        <w:rPr>
          <w:rFonts w:cs="Arial" w:hint="cs"/>
          <w:rtl/>
        </w:rPr>
        <w:t>,</w:t>
      </w:r>
      <w:r w:rsidRPr="002E7151">
        <w:rPr>
          <w:rFonts w:cs="Arial"/>
          <w:rtl/>
        </w:rPr>
        <w:t xml:space="preserve"> וכן ראוי לנהוג</w:t>
      </w:r>
      <w:r>
        <w:rPr>
          <w:rFonts w:cs="Arial" w:hint="cs"/>
          <w:rtl/>
        </w:rPr>
        <w:t>,</w:t>
      </w:r>
      <w:r w:rsidRPr="002E7151">
        <w:rPr>
          <w:rFonts w:cs="Arial"/>
          <w:rtl/>
        </w:rPr>
        <w:t xml:space="preserve"> משום שכתב בסדר גיטין סי</w:t>
      </w:r>
      <w:r>
        <w:rPr>
          <w:rFonts w:cs="Arial" w:hint="cs"/>
          <w:rtl/>
        </w:rPr>
        <w:t>'</w:t>
      </w:r>
      <w:r w:rsidRPr="002E7151">
        <w:rPr>
          <w:rFonts w:cs="Arial"/>
          <w:rtl/>
        </w:rPr>
        <w:t xml:space="preserve"> ל"ט (ס"א) על גט אחד שהיה כתוב בו חיים המכונה גנש שהוא כינוי משפחה ואמר ה"ר ז"ק שהגט אינו כשר כי על שם משפחה כותבים החינוך ולא המכונה</w:t>
      </w:r>
      <w:r>
        <w:rPr>
          <w:rFonts w:cs="Arial" w:hint="cs"/>
          <w:rtl/>
        </w:rPr>
        <w:t>,</w:t>
      </w:r>
      <w:r w:rsidRPr="002E7151">
        <w:rPr>
          <w:rFonts w:cs="Arial"/>
          <w:rtl/>
        </w:rPr>
        <w:t xml:space="preserve"> כי מכונה משמע לשון יחיד וחינוך על כל המשפחה</w:t>
      </w:r>
      <w:r>
        <w:rPr>
          <w:rFonts w:cs="Arial" w:hint="cs"/>
          <w:rtl/>
        </w:rPr>
        <w:t>,</w:t>
      </w:r>
      <w:r w:rsidRPr="002E7151">
        <w:rPr>
          <w:rFonts w:cs="Arial"/>
          <w:rtl/>
        </w:rPr>
        <w:t xml:space="preserve"> כמו שפירש רש"י פרק המגרש (פז: ד"ה חניכתו)</w:t>
      </w:r>
      <w:r>
        <w:rPr>
          <w:rFonts w:cs="Arial" w:hint="cs"/>
          <w:rtl/>
        </w:rPr>
        <w:t>.</w:t>
      </w:r>
      <w:r w:rsidRPr="002E7151">
        <w:rPr>
          <w:rFonts w:cs="Arial"/>
          <w:rtl/>
        </w:rPr>
        <w:t xml:space="preserve"> ובתרוה</w:t>
      </w:r>
      <w:r>
        <w:rPr>
          <w:rFonts w:cs="Arial" w:hint="cs"/>
          <w:rtl/>
        </w:rPr>
        <w:t>"</w:t>
      </w:r>
      <w:r w:rsidRPr="002E7151">
        <w:rPr>
          <w:rFonts w:cs="Arial"/>
          <w:rtl/>
        </w:rPr>
        <w:t xml:space="preserve">ד </w:t>
      </w:r>
      <w:r>
        <w:rPr>
          <w:rFonts w:cs="Arial" w:hint="cs"/>
          <w:rtl/>
        </w:rPr>
        <w:t>(</w:t>
      </w:r>
      <w:r w:rsidRPr="002E7151">
        <w:rPr>
          <w:rFonts w:cs="Arial"/>
          <w:rtl/>
        </w:rPr>
        <w:t>סי</w:t>
      </w:r>
      <w:r>
        <w:rPr>
          <w:rFonts w:cs="Arial" w:hint="cs"/>
          <w:rtl/>
        </w:rPr>
        <w:t>'</w:t>
      </w:r>
      <w:r w:rsidRPr="002E7151">
        <w:rPr>
          <w:rFonts w:cs="Arial"/>
          <w:rtl/>
        </w:rPr>
        <w:t xml:space="preserve"> רלה</w:t>
      </w:r>
      <w:r>
        <w:rPr>
          <w:rFonts w:cs="Arial" w:hint="cs"/>
          <w:rtl/>
        </w:rPr>
        <w:t>)</w:t>
      </w:r>
      <w:r w:rsidRPr="002E7151">
        <w:rPr>
          <w:rFonts w:cs="Arial"/>
          <w:rtl/>
        </w:rPr>
        <w:t xml:space="preserve"> משמע דיש לכתוב וכל שום וחניכא אף במקום דלא נהיגין לכתוב כן בשאר גיטין, לכן נראה שאין לכתוב כלום מכינוי המשפחה להוציא נפשיה מספיקא ויש לעשות כדברי בעל סדר הגט שכתב סתם שלא לכתבו כלל ואילו היתה דעתו לכתוב שום וחניכא היה מפרש. כן נראה לי</w:t>
      </w:r>
      <w:r>
        <w:rPr>
          <w:rFonts w:cs="Arial" w:hint="cs"/>
          <w:rtl/>
        </w:rPr>
        <w:t>, דרכ"מ (אות יט).</w:t>
      </w:r>
    </w:p>
  </w:footnote>
  <w:footnote w:id="1136">
    <w:p w14:paraId="1CCAB820" w14:textId="77777777" w:rsidR="00FA2119" w:rsidRDefault="00FA2119" w:rsidP="00FA2119">
      <w:pPr>
        <w:pStyle w:val="a5"/>
      </w:pPr>
      <w:r>
        <w:rPr>
          <w:rStyle w:val="a7"/>
        </w:rPr>
        <w:footnoteRef/>
      </w:r>
      <w:r w:rsidRPr="00C164D0">
        <w:rPr>
          <w:rFonts w:cs="Arial"/>
          <w:rtl/>
        </w:rPr>
        <w:t xml:space="preserve"> וכן במהרי"ק שורש צ"ח דאזלינן בתר עלייתו לספר תורה</w:t>
      </w:r>
      <w:r>
        <w:rPr>
          <w:rFonts w:cs="Arial" w:hint="cs"/>
          <w:rtl/>
        </w:rPr>
        <w:t xml:space="preserve">, דרכ"מ </w:t>
      </w:r>
      <w:r w:rsidRPr="00C164D0">
        <w:rPr>
          <w:rFonts w:cs="Arial"/>
          <w:rtl/>
        </w:rPr>
        <w:t>(</w:t>
      </w:r>
      <w:r>
        <w:rPr>
          <w:rFonts w:cs="Arial" w:hint="cs"/>
          <w:rtl/>
        </w:rPr>
        <w:t xml:space="preserve">אות </w:t>
      </w:r>
      <w:r w:rsidRPr="00C164D0">
        <w:rPr>
          <w:rFonts w:cs="Arial"/>
          <w:rtl/>
        </w:rPr>
        <w:t>יט*)</w:t>
      </w:r>
      <w:r>
        <w:rPr>
          <w:rFonts w:cs="Arial" w:hint="cs"/>
          <w:rtl/>
        </w:rPr>
        <w:t xml:space="preserve">. וכ"כ תרוה"ד (סי' רלד, הביאו הב"י לקמן) בשם הרא"ש (פ' השולח סי' ז). </w:t>
      </w:r>
    </w:p>
  </w:footnote>
  <w:footnote w:id="1137">
    <w:p w14:paraId="2806724D" w14:textId="77777777" w:rsidR="00FA2119" w:rsidRDefault="00FA2119" w:rsidP="00FA2119">
      <w:pPr>
        <w:pStyle w:val="a5"/>
      </w:pPr>
      <w:r>
        <w:rPr>
          <w:rStyle w:val="a7"/>
        </w:rPr>
        <w:footnoteRef/>
      </w:r>
      <w:r w:rsidRPr="00C164D0">
        <w:rPr>
          <w:rFonts w:cs="Arial"/>
          <w:rtl/>
        </w:rPr>
        <w:t xml:space="preserve"> ואין נוהגין כדבריו</w:t>
      </w:r>
      <w:r>
        <w:rPr>
          <w:rFonts w:cs="Arial" w:hint="cs"/>
          <w:rtl/>
        </w:rPr>
        <w:t>,</w:t>
      </w:r>
      <w:r w:rsidRPr="00C164D0">
        <w:rPr>
          <w:rFonts w:cs="Arial"/>
          <w:rtl/>
        </w:rPr>
        <w:t xml:space="preserve"> אלא שלעולם כותבין שם העברי קודם וכותבין על הלעז המכונה</w:t>
      </w:r>
      <w:r>
        <w:rPr>
          <w:rFonts w:cs="Arial" w:hint="cs"/>
          <w:rtl/>
        </w:rPr>
        <w:t>.</w:t>
      </w:r>
      <w:r w:rsidRPr="00C164D0">
        <w:rPr>
          <w:rFonts w:cs="Arial"/>
          <w:rtl/>
        </w:rPr>
        <w:t xml:space="preserve"> וכן הוא בסדר גיטין </w:t>
      </w:r>
      <w:r w:rsidRPr="00231ADF">
        <w:rPr>
          <w:rFonts w:cs="Arial"/>
          <w:sz w:val="16"/>
          <w:szCs w:val="16"/>
          <w:rtl/>
        </w:rPr>
        <w:t>(סי' כ ס"ב)</w:t>
      </w:r>
      <w:r>
        <w:rPr>
          <w:rFonts w:cs="Arial" w:hint="cs"/>
          <w:rtl/>
        </w:rPr>
        <w:t xml:space="preserve">. </w:t>
      </w:r>
      <w:r w:rsidRPr="00C164D0">
        <w:rPr>
          <w:rFonts w:cs="Arial"/>
          <w:rtl/>
        </w:rPr>
        <w:t>ועי</w:t>
      </w:r>
      <w:r>
        <w:rPr>
          <w:rFonts w:cs="Arial" w:hint="cs"/>
          <w:rtl/>
        </w:rPr>
        <w:t>'</w:t>
      </w:r>
      <w:r w:rsidRPr="00C164D0">
        <w:rPr>
          <w:rFonts w:cs="Arial"/>
          <w:rtl/>
        </w:rPr>
        <w:t xml:space="preserve"> לקמן בסימן זה (סוף אות כד) ובאות ז' לקמן </w:t>
      </w:r>
      <w:r w:rsidRPr="00B828C2">
        <w:rPr>
          <w:rFonts w:cs="Arial"/>
          <w:sz w:val="16"/>
          <w:szCs w:val="16"/>
          <w:rtl/>
        </w:rPr>
        <w:t>(בד</w:t>
      </w:r>
      <w:r>
        <w:rPr>
          <w:rFonts w:cs="Arial" w:hint="cs"/>
          <w:sz w:val="16"/>
          <w:szCs w:val="16"/>
          <w:rtl/>
        </w:rPr>
        <w:t>רכמ"א</w:t>
      </w:r>
      <w:r w:rsidRPr="00B828C2">
        <w:rPr>
          <w:rFonts w:cs="Arial"/>
          <w:sz w:val="16"/>
          <w:szCs w:val="16"/>
          <w:rtl/>
        </w:rPr>
        <w:t xml:space="preserve"> סוף הסימן סדר כתיבת השמות) </w:t>
      </w:r>
      <w:r w:rsidRPr="00C164D0">
        <w:rPr>
          <w:rFonts w:cs="Arial"/>
          <w:rtl/>
        </w:rPr>
        <w:t>מדין אשה שנשתנה שמה ממה שקראוה בילדותה</w:t>
      </w:r>
      <w:r>
        <w:rPr>
          <w:rFonts w:cs="Arial" w:hint="cs"/>
          <w:rtl/>
        </w:rPr>
        <w:t>, דרכ"מ (אות כג).</w:t>
      </w:r>
    </w:p>
  </w:footnote>
  <w:footnote w:id="1138">
    <w:p w14:paraId="1A5BC32D" w14:textId="77777777" w:rsidR="00FA2119" w:rsidRDefault="00FA2119" w:rsidP="00FA2119">
      <w:pPr>
        <w:pStyle w:val="a5"/>
      </w:pPr>
      <w:r>
        <w:rPr>
          <w:rStyle w:val="a7"/>
        </w:rPr>
        <w:footnoteRef/>
      </w:r>
      <w:r>
        <w:rPr>
          <w:rtl/>
        </w:rPr>
        <w:t xml:space="preserve"> </w:t>
      </w:r>
      <w:r w:rsidRPr="001842CD">
        <w:rPr>
          <w:rFonts w:cs="Arial"/>
          <w:rtl/>
        </w:rPr>
        <w:t>דאמעשה שבא לפני ה"ר פרץ שכתבתי בסמוך כתב (סי' י סעי' ז) מצאתי במדרש ה"ר מנחם מלוני"ש כי צריך לכתוב שני שמות הראשון והשני כי כן מצינו ביעקב שכתוב בתורה (בראשית לה י) לא יקרא שמך עוד יעקב כי אם ישראל ושוב נמצא בכמה מקומות יעקב בתורה עכ"ל. ומשמע לי שטענה זו לומר שאע"פ שנשתקע ממנו שם ראשון אכתי צריך לגרש בו גם כן דלעולם חשיב שמיה. ואין לומר שיכתוב שני השמות יחד כמו שכתוב בקונדריסים גבי אשה ששמה רבקה ונשתנה לחנה, הילכך משמע לי שדעתו לומר שיכתוב שני גיטין אחד בשם ראשון ואחד בשם שני ויתן שניהם יחד</w:t>
      </w:r>
      <w:r>
        <w:rPr>
          <w:rFonts w:cs="Arial" w:hint="cs"/>
          <w:rtl/>
        </w:rPr>
        <w:t>, ב"י.</w:t>
      </w:r>
    </w:p>
  </w:footnote>
  <w:footnote w:id="1139">
    <w:p w14:paraId="4D5B4899" w14:textId="77777777" w:rsidR="00FA2119" w:rsidRDefault="00FA2119" w:rsidP="00FA2119">
      <w:pPr>
        <w:pStyle w:val="a5"/>
        <w:rPr>
          <w:rtl/>
        </w:rPr>
      </w:pPr>
      <w:r>
        <w:rPr>
          <w:rStyle w:val="a7"/>
        </w:rPr>
        <w:footnoteRef/>
      </w:r>
      <w:r w:rsidRPr="00C164D0">
        <w:rPr>
          <w:rFonts w:cs="Arial"/>
          <w:rtl/>
        </w:rPr>
        <w:t xml:space="preserve"> דלא גרע ממי שיש לו </w:t>
      </w:r>
      <w:r>
        <w:rPr>
          <w:rFonts w:cs="Arial"/>
          <w:rtl/>
        </w:rPr>
        <w:t>שני שמות</w:t>
      </w:r>
      <w:r w:rsidRPr="00C164D0">
        <w:rPr>
          <w:rFonts w:cs="Arial"/>
          <w:rtl/>
        </w:rPr>
        <w:t xml:space="preserve"> ולא כתב אלא אחד מהן וכמו שנתבאר לעיל ריש סימן זה (אות ב) ועיין לעיל. וכן משמע מדברי מהרא"י (תרומת הדשן ח"ב) סימן רי"א</w:t>
      </w:r>
      <w:r>
        <w:rPr>
          <w:rFonts w:cs="Arial" w:hint="cs"/>
          <w:rtl/>
        </w:rPr>
        <w:t>, דרכ"מ (אות כד).</w:t>
      </w:r>
    </w:p>
  </w:footnote>
  <w:footnote w:id="1140">
    <w:p w14:paraId="41FCF8B6" w14:textId="7609FF5E" w:rsidR="00FA2119" w:rsidRDefault="00FA2119" w:rsidP="00FA2119">
      <w:pPr>
        <w:pStyle w:val="a5"/>
        <w:rPr>
          <w:rtl/>
        </w:rPr>
      </w:pPr>
      <w:r>
        <w:rPr>
          <w:rStyle w:val="a7"/>
        </w:rPr>
        <w:footnoteRef/>
      </w:r>
      <w:r>
        <w:rPr>
          <w:rtl/>
        </w:rPr>
        <w:t xml:space="preserve"> </w:t>
      </w:r>
      <w:r w:rsidRPr="00C164D0">
        <w:rPr>
          <w:rFonts w:cs="Arial"/>
          <w:rtl/>
        </w:rPr>
        <w:t>ולי נראה דאין כותבין הכינוי כלל</w:t>
      </w:r>
      <w:r>
        <w:rPr>
          <w:rFonts w:cs="Arial" w:hint="cs"/>
          <w:rtl/>
        </w:rPr>
        <w:t>,</w:t>
      </w:r>
      <w:r w:rsidRPr="00C164D0">
        <w:rPr>
          <w:rFonts w:cs="Arial"/>
          <w:rtl/>
        </w:rPr>
        <w:t xml:space="preserve"> דהא בההיא תשובה מדמה לכינוי משפחה ומאחר דהתם נוהגין שלא לכתוב הוא הדין כאן. כן נראה לי</w:t>
      </w:r>
      <w:r>
        <w:rPr>
          <w:rFonts w:hint="cs"/>
          <w:rtl/>
        </w:rPr>
        <w:t>, דרכ"מ (אות כב).</w:t>
      </w:r>
      <w:r w:rsidRPr="00502CEF">
        <w:rPr>
          <w:rFonts w:cs="Arial" w:hint="cs"/>
          <w:color w:val="00B0F0"/>
          <w:rtl/>
        </w:rPr>
        <w:t xml:space="preserve"> </w:t>
      </w:r>
      <w:r w:rsidRPr="00AD02FD">
        <w:rPr>
          <w:rFonts w:cs="Arial" w:hint="cs"/>
          <w:color w:val="00B0F0"/>
          <w:rtl/>
        </w:rPr>
        <w:t>(וכ"</w:t>
      </w:r>
      <w:r>
        <w:rPr>
          <w:rFonts w:cs="Arial" w:hint="cs"/>
          <w:color w:val="00B0F0"/>
          <w:rtl/>
        </w:rPr>
        <w:t>פ</w:t>
      </w:r>
      <w:r w:rsidRPr="00AD02FD">
        <w:rPr>
          <w:rFonts w:cs="Arial" w:hint="cs"/>
          <w:color w:val="00B0F0"/>
          <w:rtl/>
        </w:rPr>
        <w:t xml:space="preserve"> </w:t>
      </w:r>
      <w:r w:rsidR="009334FF">
        <w:rPr>
          <w:rFonts w:cs="Arial" w:hint="cs"/>
          <w:color w:val="00B0F0"/>
          <w:rtl/>
        </w:rPr>
        <w:t>בהג</w:t>
      </w:r>
      <w:r w:rsidR="009334FF">
        <w:rPr>
          <w:rFonts w:cs="Arial"/>
          <w:color w:val="00B0F0"/>
          <w:rtl/>
        </w:rPr>
        <w:t>"</w:t>
      </w:r>
      <w:r w:rsidR="009334FF">
        <w:rPr>
          <w:rFonts w:cs="Arial" w:hint="cs"/>
          <w:color w:val="00B0F0"/>
          <w:rtl/>
        </w:rPr>
        <w:t>ה</w:t>
      </w:r>
      <w:r w:rsidRPr="00AD02FD">
        <w:rPr>
          <w:rFonts w:cs="Arial" w:hint="cs"/>
          <w:color w:val="00B0F0"/>
          <w:rtl/>
        </w:rPr>
        <w:t>)</w:t>
      </w:r>
    </w:p>
  </w:footnote>
  <w:footnote w:id="1141">
    <w:p w14:paraId="20DE43DF" w14:textId="77777777" w:rsidR="00FA2119" w:rsidRDefault="00FA2119" w:rsidP="00FA2119">
      <w:pPr>
        <w:pStyle w:val="a5"/>
        <w:rPr>
          <w:rtl/>
        </w:rPr>
      </w:pPr>
      <w:r>
        <w:rPr>
          <w:rStyle w:val="a7"/>
        </w:rPr>
        <w:footnoteRef/>
      </w:r>
      <w:r>
        <w:rPr>
          <w:rtl/>
        </w:rPr>
        <w:t xml:space="preserve"> </w:t>
      </w:r>
      <w:r w:rsidRPr="00C164D0">
        <w:rPr>
          <w:rFonts w:cs="Arial"/>
          <w:rtl/>
        </w:rPr>
        <w:t>ונראה דאין ר"ל שכותבין אותו בגט נקוד כך</w:t>
      </w:r>
      <w:r>
        <w:rPr>
          <w:rFonts w:cs="Arial" w:hint="cs"/>
          <w:rtl/>
        </w:rPr>
        <w:t>,</w:t>
      </w:r>
      <w:r w:rsidRPr="00C164D0">
        <w:rPr>
          <w:rFonts w:cs="Arial"/>
          <w:rtl/>
        </w:rPr>
        <w:t xml:space="preserve"> אלא של איש קורין בסגו"ל ושל אשה בקמ"ץ. ומיהו נראה אם כתב לאשה מכונית דכשר כמו דמתקרית</w:t>
      </w:r>
      <w:r>
        <w:rPr>
          <w:rFonts w:cs="Arial" w:hint="cs"/>
          <w:rtl/>
        </w:rPr>
        <w:t>, דרכ"מ (אות כב).</w:t>
      </w:r>
    </w:p>
  </w:footnote>
  <w:footnote w:id="1142">
    <w:p w14:paraId="09DE8F1E" w14:textId="77777777" w:rsidR="00FA2119" w:rsidRDefault="00FA2119" w:rsidP="00FA2119">
      <w:pPr>
        <w:pStyle w:val="a5"/>
      </w:pPr>
      <w:r>
        <w:rPr>
          <w:rStyle w:val="a7"/>
        </w:rPr>
        <w:footnoteRef/>
      </w:r>
      <w:r>
        <w:rPr>
          <w:rtl/>
        </w:rPr>
        <w:t xml:space="preserve"> </w:t>
      </w:r>
      <w:r w:rsidRPr="00C164D0">
        <w:rPr>
          <w:rFonts w:cs="Arial"/>
          <w:rtl/>
        </w:rPr>
        <w:t>וכך כתבתי לעיל (אות כ) דהולכין בזה אחר עיקר השם</w:t>
      </w:r>
      <w:r>
        <w:rPr>
          <w:rFonts w:cs="Arial" w:hint="cs"/>
          <w:rtl/>
        </w:rPr>
        <w:t>, דרכ"מ (אות כד).</w:t>
      </w:r>
    </w:p>
  </w:footnote>
  <w:footnote w:id="1143">
    <w:p w14:paraId="32783817" w14:textId="03AAA659" w:rsidR="00FC244F" w:rsidRPr="00FC244F" w:rsidRDefault="00FC244F" w:rsidP="00FC244F">
      <w:pPr>
        <w:pStyle w:val="a5"/>
        <w:rPr>
          <w:rFonts w:cs="Arial"/>
        </w:rPr>
      </w:pPr>
      <w:r>
        <w:rPr>
          <w:rStyle w:val="a7"/>
        </w:rPr>
        <w:footnoteRef/>
      </w:r>
      <w:r w:rsidRPr="00C164D0">
        <w:rPr>
          <w:rFonts w:cs="Arial"/>
          <w:rtl/>
        </w:rPr>
        <w:t xml:space="preserve"> ובמהרי"ל (הלכות גיטין סח ב) כתב דיכתוב שם המובהק לבסוף, ולא נהירא אלא כדברי המרדכי דלעיל</w:t>
      </w:r>
      <w:r>
        <w:rPr>
          <w:rFonts w:cs="Arial" w:hint="cs"/>
          <w:rtl/>
        </w:rPr>
        <w:t>, דרכ"מ (אות כ).</w:t>
      </w:r>
    </w:p>
  </w:footnote>
  <w:footnote w:id="1144">
    <w:p w14:paraId="3A2521DA" w14:textId="77777777" w:rsidR="00FA2119" w:rsidRDefault="00FA2119" w:rsidP="00FA2119">
      <w:pPr>
        <w:pStyle w:val="a5"/>
      </w:pPr>
      <w:r>
        <w:rPr>
          <w:rStyle w:val="a7"/>
        </w:rPr>
        <w:footnoteRef/>
      </w:r>
      <w:r>
        <w:rPr>
          <w:rtl/>
        </w:rPr>
        <w:t xml:space="preserve"> </w:t>
      </w:r>
      <w:r w:rsidRPr="00D22CF9">
        <w:rPr>
          <w:rFonts w:cs="Arial"/>
          <w:rtl/>
        </w:rPr>
        <w:t>וגם בתרוה</w:t>
      </w:r>
      <w:r>
        <w:rPr>
          <w:rFonts w:cs="Arial" w:hint="cs"/>
          <w:rtl/>
        </w:rPr>
        <w:t>"</w:t>
      </w:r>
      <w:r w:rsidRPr="00D22CF9">
        <w:rPr>
          <w:rFonts w:cs="Arial"/>
          <w:rtl/>
        </w:rPr>
        <w:t xml:space="preserve">ד </w:t>
      </w:r>
      <w:r>
        <w:rPr>
          <w:rFonts w:cs="Arial" w:hint="cs"/>
          <w:rtl/>
        </w:rPr>
        <w:t>(</w:t>
      </w:r>
      <w:r w:rsidRPr="00D22CF9">
        <w:rPr>
          <w:rFonts w:cs="Arial"/>
          <w:rtl/>
        </w:rPr>
        <w:t>סי</w:t>
      </w:r>
      <w:r>
        <w:rPr>
          <w:rFonts w:cs="Arial" w:hint="cs"/>
          <w:rtl/>
        </w:rPr>
        <w:t>'</w:t>
      </w:r>
      <w:r w:rsidRPr="00D22CF9">
        <w:rPr>
          <w:rFonts w:cs="Arial"/>
          <w:rtl/>
        </w:rPr>
        <w:t xml:space="preserve"> רלד</w:t>
      </w:r>
      <w:r>
        <w:rPr>
          <w:rFonts w:cs="Arial" w:hint="cs"/>
          <w:rtl/>
        </w:rPr>
        <w:t>)</w:t>
      </w:r>
      <w:r w:rsidRPr="00D22CF9">
        <w:rPr>
          <w:rFonts w:cs="Arial"/>
          <w:rtl/>
        </w:rPr>
        <w:t xml:space="preserve"> כתב שצריך לכתוב דמתקרי. אמנם אם בא לחתום בגט דיחתום יעקב משה בן פלוני עד ואין צריך לחתום דמתקרי </w:t>
      </w:r>
      <w:r w:rsidRPr="00D22CF9">
        <w:rPr>
          <w:rFonts w:cs="Arial" w:hint="cs"/>
          <w:sz w:val="16"/>
          <w:szCs w:val="16"/>
          <w:rtl/>
        </w:rPr>
        <w:t>(</w:t>
      </w:r>
      <w:r w:rsidRPr="00D22CF9">
        <w:rPr>
          <w:rFonts w:cs="Arial"/>
          <w:sz w:val="16"/>
          <w:szCs w:val="16"/>
          <w:rtl/>
        </w:rPr>
        <w:t>ונתן טעם לחלק בין המגרש לעד בענין זה</w:t>
      </w:r>
      <w:r w:rsidRPr="00D22CF9">
        <w:rPr>
          <w:rFonts w:cs="Arial" w:hint="cs"/>
          <w:sz w:val="16"/>
          <w:szCs w:val="16"/>
          <w:rtl/>
        </w:rPr>
        <w:t>)</w:t>
      </w:r>
      <w:r>
        <w:rPr>
          <w:rFonts w:cs="Arial" w:hint="cs"/>
          <w:rtl/>
        </w:rPr>
        <w:t>.</w:t>
      </w:r>
      <w:r w:rsidRPr="00D22CF9">
        <w:rPr>
          <w:rFonts w:cs="Arial"/>
          <w:rtl/>
        </w:rPr>
        <w:t xml:space="preserve"> וכתב עוד שם כמדומה לי שנהגו באושטריך אפילו בכתיבת שם האיש בגט היו כותבין יעקב משה ולא דמתקרי כלל</w:t>
      </w:r>
      <w:r>
        <w:rPr>
          <w:rFonts w:cs="Arial" w:hint="cs"/>
          <w:rtl/>
        </w:rPr>
        <w:t>,</w:t>
      </w:r>
      <w:r w:rsidRPr="00D22CF9">
        <w:rPr>
          <w:rFonts w:cs="Arial"/>
          <w:rtl/>
        </w:rPr>
        <w:t xml:space="preserve"> ואפשר משום דהמנהג במדינה ההוא שעולין כך לקרות בתורה יעקב משה כתבו גם כן בדרך זה בגט</w:t>
      </w:r>
      <w:r>
        <w:rPr>
          <w:rFonts w:cs="Arial" w:hint="cs"/>
          <w:rtl/>
        </w:rPr>
        <w:t>,</w:t>
      </w:r>
      <w:r w:rsidRPr="00D22CF9">
        <w:rPr>
          <w:rFonts w:cs="Arial"/>
          <w:rtl/>
        </w:rPr>
        <w:t xml:space="preserve"> כדמשמע באשיר"י פ' השולח (סי' ז) דאזלינן בכתיבת השמות בגיטין בתר עלייתו לקרות בתורה</w:t>
      </w:r>
      <w:r>
        <w:rPr>
          <w:rFonts w:cs="Arial" w:hint="cs"/>
          <w:rtl/>
        </w:rPr>
        <w:t>.</w:t>
      </w:r>
      <w:r w:rsidRPr="00D22CF9">
        <w:rPr>
          <w:rFonts w:cs="Arial"/>
          <w:rtl/>
        </w:rPr>
        <w:t xml:space="preserve"> מכל מקום נראה עיקר כדכתיבנא לעיל עכ"ל</w:t>
      </w:r>
      <w:r>
        <w:rPr>
          <w:rFonts w:cs="Arial" w:hint="cs"/>
          <w:rtl/>
        </w:rPr>
        <w:t>, ב"י.</w:t>
      </w:r>
    </w:p>
  </w:footnote>
  <w:footnote w:id="1145">
    <w:p w14:paraId="774AD5CA" w14:textId="4F6AC5C3" w:rsidR="006721DE" w:rsidRDefault="006721DE">
      <w:pPr>
        <w:pStyle w:val="a5"/>
      </w:pPr>
      <w:r>
        <w:rPr>
          <w:rStyle w:val="a7"/>
        </w:rPr>
        <w:footnoteRef/>
      </w:r>
      <w:r>
        <w:rPr>
          <w:rtl/>
        </w:rPr>
        <w:t xml:space="preserve"> </w:t>
      </w:r>
      <w:r>
        <w:rPr>
          <w:rFonts w:hint="cs"/>
          <w:rtl/>
        </w:rPr>
        <w:t xml:space="preserve">וז"ל: </w:t>
      </w:r>
      <w:r w:rsidRPr="006721DE">
        <w:rPr>
          <w:rFonts w:cs="Arial"/>
          <w:rtl/>
        </w:rPr>
        <w:t>ואדם שנשתנה שמו מחמת חולי היאך כותבין ראובן שמעון, או ראובן דמתקרי שמעון? דע כי זה קרוב לשתי שנים ומחצה חזרנו גט להוליכו ללנצ"הוט, והיה עמנו פה מהרר"י בראנ"א שי', והסכמנו כולנו לכתוב משה דמתקרי יהודה. והכי משמע במרדכי פ' השולח דכותבין מרים דמתקרי שרה, ולא כתבינן מרים שרה. דמרים היא עיקר שמה כמו בנ"ד, דשם השני עיקר כדאיתא בסמ"ק. מ"מ הכותב ראובן שמעון לא פסלינן ליה כלל, והעדים ודאי חותמין ראובן שמעון, וטעם יפה לחלק בדבר</w:t>
      </w:r>
      <w:r>
        <w:rPr>
          <w:rFonts w:cs="Arial" w:hint="cs"/>
          <w:rtl/>
        </w:rPr>
        <w:t>.</w:t>
      </w:r>
    </w:p>
  </w:footnote>
  <w:footnote w:id="1146">
    <w:p w14:paraId="3D908BA0" w14:textId="31E3FDB7" w:rsidR="00FA2119" w:rsidRDefault="00FA2119" w:rsidP="00FA2119">
      <w:pPr>
        <w:pStyle w:val="a5"/>
      </w:pPr>
      <w:r>
        <w:rPr>
          <w:rStyle w:val="a7"/>
        </w:rPr>
        <w:footnoteRef/>
      </w:r>
      <w:r w:rsidR="00BF375C">
        <w:t xml:space="preserve"> </w:t>
      </w:r>
      <w:r w:rsidRPr="00C164D0">
        <w:rPr>
          <w:rFonts w:cs="Arial"/>
          <w:rtl/>
        </w:rPr>
        <w:t>ובסדר גיטין משמע דהיו כותבין בלא מתקרי כאשר עולה</w:t>
      </w:r>
      <w:r w:rsidR="00BF375C">
        <w:rPr>
          <w:rFonts w:cs="Arial" w:hint="cs"/>
          <w:sz w:val="16"/>
          <w:szCs w:val="16"/>
          <w:rtl/>
        </w:rPr>
        <w:t xml:space="preserve"> {כך}</w:t>
      </w:r>
      <w:r w:rsidRPr="00C164D0">
        <w:rPr>
          <w:rFonts w:cs="Arial"/>
          <w:rtl/>
        </w:rPr>
        <w:t xml:space="preserve"> לס"ת</w:t>
      </w:r>
      <w:r w:rsidR="00BF375C">
        <w:rPr>
          <w:rFonts w:cs="Arial" w:hint="cs"/>
          <w:rtl/>
        </w:rPr>
        <w:t xml:space="preserve">. </w:t>
      </w:r>
      <w:r w:rsidRPr="00C164D0">
        <w:rPr>
          <w:rFonts w:cs="Arial"/>
          <w:rtl/>
        </w:rPr>
        <w:t xml:space="preserve">ועיי"ש סימן ל"ג </w:t>
      </w:r>
      <w:r w:rsidR="006721DE">
        <w:rPr>
          <w:rFonts w:cs="Arial" w:hint="cs"/>
          <w:rtl/>
        </w:rPr>
        <w:t>(</w:t>
      </w:r>
      <w:r w:rsidRPr="00C164D0">
        <w:rPr>
          <w:rFonts w:cs="Arial"/>
          <w:rtl/>
        </w:rPr>
        <w:t>ס"ב)</w:t>
      </w:r>
      <w:r w:rsidR="006721DE">
        <w:rPr>
          <w:rFonts w:cs="Arial" w:hint="cs"/>
          <w:rtl/>
        </w:rPr>
        <w:t>.</w:t>
      </w:r>
      <w:r w:rsidRPr="00C164D0">
        <w:rPr>
          <w:rFonts w:cs="Arial"/>
          <w:rtl/>
        </w:rPr>
        <w:t xml:space="preserve"> ומהר</w:t>
      </w:r>
      <w:r w:rsidR="006721DE">
        <w:rPr>
          <w:rFonts w:cs="Arial" w:hint="cs"/>
          <w:rtl/>
        </w:rPr>
        <w:t>י"ו</w:t>
      </w:r>
      <w:r w:rsidRPr="00C164D0">
        <w:rPr>
          <w:rFonts w:cs="Arial"/>
          <w:rtl/>
        </w:rPr>
        <w:t xml:space="preserve"> כתב בתשו</w:t>
      </w:r>
      <w:r w:rsidR="006721DE">
        <w:rPr>
          <w:rFonts w:cs="Arial" w:hint="cs"/>
          <w:rtl/>
        </w:rPr>
        <w:t>'</w:t>
      </w:r>
      <w:r w:rsidRPr="00C164D0">
        <w:rPr>
          <w:rFonts w:cs="Arial"/>
          <w:rtl/>
        </w:rPr>
        <w:t xml:space="preserve"> </w:t>
      </w:r>
      <w:r w:rsidR="006721DE">
        <w:rPr>
          <w:rFonts w:cs="Arial" w:hint="cs"/>
          <w:rtl/>
        </w:rPr>
        <w:t>(</w:t>
      </w:r>
      <w:r w:rsidRPr="00C164D0">
        <w:rPr>
          <w:rFonts w:cs="Arial"/>
          <w:rtl/>
        </w:rPr>
        <w:t>סי</w:t>
      </w:r>
      <w:r w:rsidR="006721DE">
        <w:rPr>
          <w:rFonts w:cs="Arial" w:hint="cs"/>
          <w:rtl/>
        </w:rPr>
        <w:t>'</w:t>
      </w:r>
      <w:r w:rsidRPr="00C164D0">
        <w:rPr>
          <w:rFonts w:cs="Arial"/>
          <w:rtl/>
        </w:rPr>
        <w:t xml:space="preserve"> קפב</w:t>
      </w:r>
      <w:r w:rsidR="006721DE">
        <w:rPr>
          <w:rFonts w:cs="Arial" w:hint="cs"/>
          <w:rtl/>
        </w:rPr>
        <w:t>)</w:t>
      </w:r>
      <w:r w:rsidRPr="00C164D0">
        <w:rPr>
          <w:rFonts w:cs="Arial"/>
          <w:rtl/>
        </w:rPr>
        <w:t xml:space="preserve"> דיש לכתוב דמתקרי אע</w:t>
      </w:r>
      <w:r w:rsidR="006721DE">
        <w:rPr>
          <w:rFonts w:cs="Arial" w:hint="cs"/>
          <w:rtl/>
        </w:rPr>
        <w:t>"</w:t>
      </w:r>
      <w:r w:rsidRPr="00C164D0">
        <w:rPr>
          <w:rFonts w:cs="Arial"/>
          <w:rtl/>
        </w:rPr>
        <w:t>פ שעולה בשניהם לס"ת</w:t>
      </w:r>
      <w:r w:rsidR="006721DE">
        <w:rPr>
          <w:rFonts w:cs="Arial" w:hint="cs"/>
          <w:rtl/>
        </w:rPr>
        <w:t>,</w:t>
      </w:r>
      <w:r w:rsidRPr="00C164D0">
        <w:rPr>
          <w:rFonts w:cs="Arial"/>
          <w:rtl/>
        </w:rPr>
        <w:t xml:space="preserve"> ועיי"ש</w:t>
      </w:r>
      <w:r w:rsidR="006721DE">
        <w:rPr>
          <w:rFonts w:cs="Arial" w:hint="cs"/>
          <w:rtl/>
        </w:rPr>
        <w:t>,</w:t>
      </w:r>
      <w:r w:rsidRPr="00C164D0">
        <w:rPr>
          <w:rFonts w:cs="Arial"/>
          <w:rtl/>
        </w:rPr>
        <w:t xml:space="preserve"> וכן מצאתי בסדר גיטין אחד</w:t>
      </w:r>
      <w:r w:rsidR="00BF375C">
        <w:rPr>
          <w:rFonts w:cs="Arial" w:hint="cs"/>
          <w:rtl/>
        </w:rPr>
        <w:t>, דרכ"מ (אות כ).</w:t>
      </w:r>
    </w:p>
  </w:footnote>
  <w:footnote w:id="1147">
    <w:p w14:paraId="6D495463" w14:textId="77777777" w:rsidR="00FA2119" w:rsidRDefault="00FA2119" w:rsidP="00FA2119">
      <w:pPr>
        <w:pStyle w:val="a5"/>
      </w:pPr>
      <w:r>
        <w:rPr>
          <w:rStyle w:val="a7"/>
        </w:rPr>
        <w:footnoteRef/>
      </w:r>
      <w:r>
        <w:rPr>
          <w:rtl/>
        </w:rPr>
        <w:t xml:space="preserve"> </w:t>
      </w:r>
      <w:r w:rsidRPr="00C164D0">
        <w:rPr>
          <w:rFonts w:cs="Arial"/>
          <w:rtl/>
        </w:rPr>
        <w:t>ובסדר גיטין סימן ל' (הגהה א) משמע דכהאי גוונא יש ליתן ב' גיטין</w:t>
      </w:r>
      <w:r>
        <w:rPr>
          <w:rFonts w:cs="Arial" w:hint="cs"/>
          <w:rtl/>
        </w:rPr>
        <w:t>, דרכ"מ (אות כא).</w:t>
      </w:r>
    </w:p>
  </w:footnote>
  <w:footnote w:id="1148">
    <w:p w14:paraId="31373CF2" w14:textId="77777777" w:rsidR="00FA2119" w:rsidRDefault="00FA2119" w:rsidP="00FA2119">
      <w:pPr>
        <w:pStyle w:val="a5"/>
      </w:pPr>
      <w:r>
        <w:rPr>
          <w:rStyle w:val="a7"/>
        </w:rPr>
        <w:footnoteRef/>
      </w:r>
      <w:r>
        <w:rPr>
          <w:rtl/>
        </w:rPr>
        <w:t xml:space="preserve"> </w:t>
      </w:r>
      <w:r w:rsidRPr="00C164D0">
        <w:rPr>
          <w:rFonts w:cs="Arial"/>
          <w:rtl/>
        </w:rPr>
        <w:t>וכן כתבתי לעיל (אות כא) מסדר גיטין שלנו</w:t>
      </w:r>
      <w:r>
        <w:rPr>
          <w:rFonts w:cs="Arial" w:hint="cs"/>
          <w:rtl/>
        </w:rPr>
        <w:t>,</w:t>
      </w:r>
      <w:r w:rsidRPr="00C164D0">
        <w:rPr>
          <w:rFonts w:cs="Arial"/>
          <w:rtl/>
        </w:rPr>
        <w:t xml:space="preserve"> </w:t>
      </w:r>
      <w:r>
        <w:rPr>
          <w:rFonts w:cs="Arial" w:hint="cs"/>
          <w:rtl/>
        </w:rPr>
        <w:t xml:space="preserve">דרכ"מ </w:t>
      </w:r>
      <w:r w:rsidRPr="00C164D0">
        <w:rPr>
          <w:rFonts w:cs="Arial"/>
          <w:rtl/>
        </w:rPr>
        <w:t>(</w:t>
      </w:r>
      <w:r>
        <w:rPr>
          <w:rFonts w:cs="Arial" w:hint="cs"/>
          <w:rtl/>
        </w:rPr>
        <w:t xml:space="preserve">אות </w:t>
      </w:r>
      <w:r w:rsidRPr="00C164D0">
        <w:rPr>
          <w:rFonts w:cs="Arial"/>
          <w:rtl/>
        </w:rPr>
        <w:t>כא*)</w:t>
      </w:r>
      <w:r>
        <w:rPr>
          <w:rFonts w:cs="Arial" w:hint="cs"/>
          <w:rtl/>
        </w:rPr>
        <w:t>.</w:t>
      </w:r>
    </w:p>
  </w:footnote>
  <w:footnote w:id="1149">
    <w:p w14:paraId="2F29E7CE" w14:textId="77777777" w:rsidR="00FA2119" w:rsidRDefault="00FA2119" w:rsidP="00FA2119">
      <w:pPr>
        <w:pStyle w:val="a5"/>
      </w:pPr>
      <w:r>
        <w:rPr>
          <w:rStyle w:val="a7"/>
        </w:rPr>
        <w:footnoteRef/>
      </w:r>
      <w:r>
        <w:rPr>
          <w:rtl/>
        </w:rPr>
        <w:t xml:space="preserve"> </w:t>
      </w:r>
      <w:r w:rsidRPr="00D22CF9">
        <w:rPr>
          <w:rFonts w:cs="Arial"/>
          <w:rtl/>
        </w:rPr>
        <w:t>ומשמע ודאי דהיינו דאיכא בין האי מעשה שבא לפני מה"ר פרץ</w:t>
      </w:r>
      <w:r>
        <w:rPr>
          <w:rFonts w:cs="Arial" w:hint="cs"/>
          <w:rtl/>
        </w:rPr>
        <w:t>,</w:t>
      </w:r>
      <w:r w:rsidRPr="00D22CF9">
        <w:rPr>
          <w:rFonts w:cs="Arial"/>
          <w:rtl/>
        </w:rPr>
        <w:t xml:space="preserve"> למה שכתבו החיבורים בשם ה"ר פרץ דשם שני עיקר וכותבין אותו קודם אע</w:t>
      </w:r>
      <w:r>
        <w:rPr>
          <w:rFonts w:cs="Arial" w:hint="cs"/>
          <w:rtl/>
        </w:rPr>
        <w:t>"</w:t>
      </w:r>
      <w:r w:rsidRPr="00D22CF9">
        <w:rPr>
          <w:rFonts w:cs="Arial"/>
          <w:rtl/>
        </w:rPr>
        <w:t>פ שקורין אותו תמיד בשם הא'</w:t>
      </w:r>
      <w:r>
        <w:rPr>
          <w:rFonts w:cs="Arial" w:hint="cs"/>
          <w:rtl/>
        </w:rPr>
        <w:t>,</w:t>
      </w:r>
      <w:r w:rsidRPr="00D22CF9">
        <w:rPr>
          <w:rFonts w:cs="Arial"/>
          <w:rtl/>
        </w:rPr>
        <w:t xml:space="preserve"> דהתם קורין אותו לפעמים בשם שני אלא שנקרא יותר תדיר בשם הראשון</w:t>
      </w:r>
      <w:r>
        <w:rPr>
          <w:rFonts w:cs="Arial" w:hint="cs"/>
          <w:rtl/>
        </w:rPr>
        <w:t>.</w:t>
      </w:r>
      <w:r w:rsidRPr="00D22CF9">
        <w:rPr>
          <w:rFonts w:cs="Arial"/>
          <w:rtl/>
        </w:rPr>
        <w:t xml:space="preserve"> אבל בהאי מעשה לא היו קורין אותו כלל בשם שני, ודייקא נמי דקתני והיו קורין אותו שם א' לגמרי</w:t>
      </w:r>
      <w:r>
        <w:rPr>
          <w:rFonts w:cs="Arial" w:hint="cs"/>
          <w:rtl/>
        </w:rPr>
        <w:t>.</w:t>
      </w:r>
      <w:r w:rsidRPr="00D22CF9">
        <w:rPr>
          <w:rFonts w:cs="Arial"/>
          <w:rtl/>
        </w:rPr>
        <w:t xml:space="preserve"> ומשום הכי אצרכיה שני גיטין</w:t>
      </w:r>
      <w:r>
        <w:rPr>
          <w:rFonts w:cs="Arial" w:hint="cs"/>
          <w:rtl/>
        </w:rPr>
        <w:t>,</w:t>
      </w:r>
      <w:r w:rsidRPr="00D22CF9">
        <w:rPr>
          <w:rFonts w:cs="Arial"/>
          <w:rtl/>
        </w:rPr>
        <w:t xml:space="preserve"> דכיון דאין קורין אותו כלל בשם שני אי אפשר לכתוב שם שני עם שם א' בגט אחד ואפילו לטפל</w:t>
      </w:r>
      <w:r>
        <w:rPr>
          <w:rFonts w:cs="Arial" w:hint="cs"/>
          <w:rtl/>
        </w:rPr>
        <w:t>,</w:t>
      </w:r>
      <w:r w:rsidRPr="00D22CF9">
        <w:rPr>
          <w:rFonts w:cs="Arial"/>
          <w:rtl/>
        </w:rPr>
        <w:t xml:space="preserve"> וכמו שהאריך בקונדריסין גבי הא דאשה ששמה רבקה ונשתנה לחנה</w:t>
      </w:r>
      <w:r>
        <w:rPr>
          <w:rFonts w:cs="Arial" w:hint="cs"/>
          <w:rtl/>
        </w:rPr>
        <w:t>.</w:t>
      </w:r>
      <w:r w:rsidRPr="00D22CF9">
        <w:rPr>
          <w:rFonts w:cs="Arial"/>
          <w:rtl/>
        </w:rPr>
        <w:t xml:space="preserve"> ומכל מקום משום דשם שני עיקר</w:t>
      </w:r>
      <w:r>
        <w:rPr>
          <w:rFonts w:cs="Arial" w:hint="cs"/>
          <w:rtl/>
        </w:rPr>
        <w:t>,</w:t>
      </w:r>
      <w:r w:rsidRPr="00D22CF9">
        <w:rPr>
          <w:rFonts w:cs="Arial"/>
          <w:rtl/>
        </w:rPr>
        <w:t xml:space="preserve"> כל שקורין לו בו קצת אע</w:t>
      </w:r>
      <w:r>
        <w:rPr>
          <w:rFonts w:cs="Arial" w:hint="cs"/>
          <w:rtl/>
        </w:rPr>
        <w:t>"</w:t>
      </w:r>
      <w:r w:rsidRPr="00D22CF9">
        <w:rPr>
          <w:rFonts w:cs="Arial"/>
          <w:rtl/>
        </w:rPr>
        <w:t>פ שקורין לו בשם א' תדיר</w:t>
      </w:r>
      <w:r>
        <w:rPr>
          <w:rFonts w:cs="Arial" w:hint="cs"/>
          <w:rtl/>
        </w:rPr>
        <w:t>,</w:t>
      </w:r>
      <w:r w:rsidRPr="00D22CF9">
        <w:rPr>
          <w:rFonts w:cs="Arial"/>
          <w:rtl/>
        </w:rPr>
        <w:t xml:space="preserve"> אפילו השתא דאין קורין לו בו כלל הצריכו גט אחר לחוש לשם שני. מיהו היכא דלא כתב אלא גט אחד בשם ראשון נ"ל דכשר כיון שאינו נקרא בשם שני כלל</w:t>
      </w:r>
      <w:r>
        <w:rPr>
          <w:rFonts w:cs="Arial" w:hint="cs"/>
          <w:rtl/>
        </w:rPr>
        <w:t>.</w:t>
      </w:r>
      <w:r w:rsidRPr="00D22CF9">
        <w:rPr>
          <w:rFonts w:cs="Arial"/>
          <w:rtl/>
        </w:rPr>
        <w:t xml:space="preserve"> וכן כתוב בכתבי מהר"ר ישראל (תרוה"ד ח"ב) סימן רי"א, ועוד אכתוב בסמוך חילוק אחר בין האי עובדא דמה"ר פרץ למה שכתבו החיבורים בשמו</w:t>
      </w:r>
      <w:r>
        <w:rPr>
          <w:rFonts w:cs="Arial" w:hint="cs"/>
          <w:rtl/>
        </w:rPr>
        <w:t>, ב"י.</w:t>
      </w:r>
    </w:p>
  </w:footnote>
  <w:footnote w:id="1150">
    <w:p w14:paraId="01B2490D" w14:textId="260378D2" w:rsidR="00FC244F" w:rsidRDefault="00FC244F">
      <w:pPr>
        <w:pStyle w:val="a5"/>
      </w:pPr>
      <w:r>
        <w:rPr>
          <w:rStyle w:val="a7"/>
        </w:rPr>
        <w:footnoteRef/>
      </w:r>
      <w:r>
        <w:rPr>
          <w:rtl/>
        </w:rPr>
        <w:t xml:space="preserve"> </w:t>
      </w:r>
      <w:r w:rsidR="00185FAB">
        <w:rPr>
          <w:rFonts w:hint="cs"/>
          <w:rtl/>
        </w:rPr>
        <w:t xml:space="preserve">וכ"פ בשו"ת האדמו"ר הזקן (סי' מ) דהיכא </w:t>
      </w:r>
      <w:r w:rsidR="00185FAB" w:rsidRPr="00185FAB">
        <w:rPr>
          <w:rFonts w:cs="Arial"/>
          <w:rtl/>
        </w:rPr>
        <w:t xml:space="preserve">שנקרא בשניהם יחד </w:t>
      </w:r>
      <w:r w:rsidR="00185FAB">
        <w:rPr>
          <w:rFonts w:cs="Arial" w:hint="cs"/>
          <w:rtl/>
        </w:rPr>
        <w:t>-</w:t>
      </w:r>
      <w:r w:rsidR="00185FAB" w:rsidRPr="00185FAB">
        <w:rPr>
          <w:rFonts w:cs="Arial"/>
          <w:rtl/>
        </w:rPr>
        <w:t xml:space="preserve"> כותבים בגט שתי השמות ביחד</w:t>
      </w:r>
      <w:r w:rsidR="00185FAB">
        <w:rPr>
          <w:rFonts w:hint="cs"/>
          <w:rtl/>
        </w:rPr>
        <w:t>.</w:t>
      </w:r>
      <w:r w:rsidR="00185FAB" w:rsidRPr="00185FAB">
        <w:rPr>
          <w:rtl/>
        </w:rPr>
        <w:t xml:space="preserve"> </w:t>
      </w:r>
      <w:r w:rsidR="00185FAB">
        <w:rPr>
          <w:rFonts w:cs="Arial" w:hint="cs"/>
          <w:rtl/>
        </w:rPr>
        <w:t xml:space="preserve">וכתב שכן דעת מהרי"ק </w:t>
      </w:r>
      <w:r w:rsidR="00185FAB" w:rsidRPr="00185FAB">
        <w:rPr>
          <w:rFonts w:cs="Arial"/>
          <w:rtl/>
        </w:rPr>
        <w:t xml:space="preserve">מהר"ם ר"י מקראקא </w:t>
      </w:r>
      <w:r w:rsidR="00185FAB">
        <w:rPr>
          <w:rFonts w:cs="Arial" w:hint="cs"/>
          <w:rtl/>
        </w:rPr>
        <w:t>(</w:t>
      </w:r>
      <w:r w:rsidR="00185FAB" w:rsidRPr="00185FAB">
        <w:rPr>
          <w:rFonts w:cs="Arial"/>
          <w:rtl/>
        </w:rPr>
        <w:t>סי' יט</w:t>
      </w:r>
      <w:r w:rsidR="00185FAB">
        <w:rPr>
          <w:rFonts w:cs="Arial" w:hint="cs"/>
          <w:rtl/>
        </w:rPr>
        <w:t>)</w:t>
      </w:r>
      <w:r w:rsidR="00185FAB" w:rsidRPr="00185FAB">
        <w:rPr>
          <w:rFonts w:cs="Arial"/>
          <w:rtl/>
        </w:rPr>
        <w:t xml:space="preserve"> נחלת שבעה </w:t>
      </w:r>
      <w:r w:rsidR="00185FAB">
        <w:rPr>
          <w:rFonts w:cs="Arial" w:hint="cs"/>
          <w:rtl/>
        </w:rPr>
        <w:t>(</w:t>
      </w:r>
      <w:r w:rsidR="00185FAB" w:rsidRPr="00185FAB">
        <w:rPr>
          <w:rFonts w:cs="Arial"/>
          <w:rtl/>
        </w:rPr>
        <w:t>אות יב</w:t>
      </w:r>
      <w:r w:rsidR="00185FAB">
        <w:rPr>
          <w:rFonts w:cs="Arial" w:hint="cs"/>
          <w:rtl/>
        </w:rPr>
        <w:t>)</w:t>
      </w:r>
      <w:r w:rsidR="00185FAB" w:rsidRPr="00185FAB">
        <w:rPr>
          <w:rFonts w:cs="Arial"/>
          <w:rtl/>
        </w:rPr>
        <w:t xml:space="preserve"> גט פשוט </w:t>
      </w:r>
      <w:r w:rsidR="00185FAB">
        <w:rPr>
          <w:rFonts w:cs="Arial" w:hint="cs"/>
          <w:rtl/>
        </w:rPr>
        <w:t>(</w:t>
      </w:r>
      <w:r w:rsidR="00185FAB" w:rsidRPr="00185FAB">
        <w:rPr>
          <w:rFonts w:cs="Arial"/>
          <w:rtl/>
        </w:rPr>
        <w:t>ס"ק ס"</w:t>
      </w:r>
      <w:r w:rsidR="00185FAB">
        <w:rPr>
          <w:rFonts w:cs="Arial" w:hint="cs"/>
          <w:rtl/>
        </w:rPr>
        <w:t>ג)</w:t>
      </w:r>
      <w:r w:rsidR="00185FAB" w:rsidRPr="00185FAB">
        <w:rPr>
          <w:rFonts w:cs="Arial"/>
          <w:rtl/>
        </w:rPr>
        <w:t xml:space="preserve"> </w:t>
      </w:r>
      <w:r w:rsidR="00185FAB">
        <w:rPr>
          <w:rFonts w:cs="Arial" w:hint="cs"/>
          <w:rtl/>
        </w:rPr>
        <w:t>ו</w:t>
      </w:r>
      <w:r w:rsidR="00185FAB" w:rsidRPr="00185FAB">
        <w:rPr>
          <w:rFonts w:cs="Arial"/>
          <w:rtl/>
        </w:rPr>
        <w:t xml:space="preserve">בית מאיר </w:t>
      </w:r>
      <w:r w:rsidR="00185FAB">
        <w:rPr>
          <w:rFonts w:cs="Arial" w:hint="cs"/>
          <w:rtl/>
        </w:rPr>
        <w:t>(</w:t>
      </w:r>
      <w:r w:rsidR="00185FAB" w:rsidRPr="00185FAB">
        <w:rPr>
          <w:rFonts w:cs="Arial"/>
          <w:rtl/>
        </w:rPr>
        <w:t>סע</w:t>
      </w:r>
      <w:r w:rsidR="00185FAB">
        <w:rPr>
          <w:rFonts w:cs="Arial" w:hint="cs"/>
          <w:rtl/>
        </w:rPr>
        <w:t>'</w:t>
      </w:r>
      <w:r w:rsidR="00185FAB" w:rsidRPr="00185FAB">
        <w:rPr>
          <w:rFonts w:cs="Arial"/>
          <w:rtl/>
        </w:rPr>
        <w:t xml:space="preserve"> יד</w:t>
      </w:r>
      <w:r w:rsidR="00185FAB">
        <w:rPr>
          <w:rFonts w:cs="Arial" w:hint="cs"/>
          <w:rtl/>
        </w:rPr>
        <w:t>)</w:t>
      </w:r>
      <w:r w:rsidR="00185FAB" w:rsidRPr="00185FAB">
        <w:rPr>
          <w:rFonts w:cs="Arial"/>
          <w:rtl/>
        </w:rPr>
        <w:t>.</w:t>
      </w:r>
      <w:r w:rsidR="00185FAB">
        <w:rPr>
          <w:rFonts w:hint="cs"/>
          <w:rtl/>
        </w:rPr>
        <w:t xml:space="preserve"> </w:t>
      </w:r>
      <w:r>
        <w:rPr>
          <w:rFonts w:hint="cs"/>
          <w:rtl/>
        </w:rPr>
        <w:t>ועיין ב</w:t>
      </w:r>
      <w:r w:rsidRPr="00FC244F">
        <w:rPr>
          <w:rFonts w:cs="Arial"/>
          <w:rtl/>
        </w:rPr>
        <w:t xml:space="preserve">שו"ת גור אריה יהודא </w:t>
      </w:r>
      <w:r>
        <w:rPr>
          <w:rFonts w:cs="Arial" w:hint="cs"/>
          <w:rtl/>
        </w:rPr>
        <w:t>(</w:t>
      </w:r>
      <w:r w:rsidRPr="00FC244F">
        <w:rPr>
          <w:rFonts w:cs="Arial"/>
          <w:rtl/>
        </w:rPr>
        <w:t>אבן העזר סימן ח</w:t>
      </w:r>
      <w:r>
        <w:rPr>
          <w:rFonts w:cs="Arial" w:hint="cs"/>
          <w:rtl/>
        </w:rPr>
        <w:t>) ש</w:t>
      </w:r>
      <w:r w:rsidR="00555C76">
        <w:rPr>
          <w:rFonts w:cs="Arial" w:hint="cs"/>
          <w:rtl/>
        </w:rPr>
        <w:t>כתב ד</w:t>
      </w:r>
      <w:r w:rsidR="00555C76" w:rsidRPr="00555C76">
        <w:rPr>
          <w:rFonts w:cs="Arial"/>
          <w:rtl/>
        </w:rPr>
        <w:t>חד דינא אית להו עם שמות חולי דבתרווייהו בנקרא בפי כל ועולה לתורה וחותם בשניהם יחד אז כותבין בלא דמתקרי, ואם לאו אז כותבין העיקר תחלה ועל הטפל דמיתקרי.</w:t>
      </w:r>
      <w:r w:rsidR="00555C76">
        <w:rPr>
          <w:rFonts w:cs="Arial" w:hint="cs"/>
          <w:rtl/>
        </w:rPr>
        <w:t xml:space="preserve"> עכ"ל. ועיי"ש עוד שנראה לי שהוציא את דברי הדרכ"מ מהקשרן, ועיין בדרכי משה ארוך (עמ' כב ד"ה מי שנשתנה שמו מחמת חולי).</w:t>
      </w:r>
    </w:p>
  </w:footnote>
  <w:footnote w:id="1151">
    <w:p w14:paraId="75AEA625" w14:textId="49299867" w:rsidR="00FA2119" w:rsidRDefault="00FA2119" w:rsidP="00FA2119">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7635CB">
        <w:rPr>
          <w:rFonts w:cs="Arial"/>
          <w:rtl/>
        </w:rPr>
        <w:t xml:space="preserve">כל היכא דידוע היאך חתם שמו או היאך עלה לקרות בתורה </w:t>
      </w:r>
      <w:r>
        <w:rPr>
          <w:rFonts w:cs="Arial" w:hint="cs"/>
          <w:rtl/>
        </w:rPr>
        <w:t xml:space="preserve">- </w:t>
      </w:r>
      <w:r w:rsidRPr="007635CB">
        <w:rPr>
          <w:rFonts w:cs="Arial"/>
          <w:rtl/>
        </w:rPr>
        <w:t>הכי כתבינן</w:t>
      </w:r>
      <w:r>
        <w:rPr>
          <w:rFonts w:cs="Arial" w:hint="cs"/>
          <w:rtl/>
        </w:rPr>
        <w:t>,</w:t>
      </w:r>
      <w:r w:rsidRPr="007635CB">
        <w:rPr>
          <w:rFonts w:cs="Arial"/>
          <w:rtl/>
        </w:rPr>
        <w:t xml:space="preserve"> דבהא תליא מילתא בכל ספיקות שמות דאין לנו אלא שם שהוא מחזיק לעצמו כדאיתא באשיר"י פרק השולח (שם)</w:t>
      </w:r>
      <w:r>
        <w:rPr>
          <w:rFonts w:cs="Arial" w:hint="cs"/>
          <w:rtl/>
        </w:rPr>
        <w:t>.</w:t>
      </w:r>
      <w:r w:rsidRPr="007635CB">
        <w:rPr>
          <w:rFonts w:cs="Arial"/>
          <w:rtl/>
        </w:rPr>
        <w:t xml:space="preserve"> וכל מה שדקדקנו לעיל כמה דקדוקים אין צריך אלא היכא דלא ידעינן היאך חתם הוא או היאך עלה לקרות בתורה כגון באבי האיש או באבי האשה או שהוא עצמו מסופק בשמו</w:t>
      </w:r>
      <w:r>
        <w:rPr>
          <w:rFonts w:cs="Arial" w:hint="cs"/>
          <w:rtl/>
        </w:rPr>
        <w:t>.</w:t>
      </w:r>
    </w:p>
  </w:footnote>
  <w:footnote w:id="1152">
    <w:p w14:paraId="4828D140" w14:textId="77777777" w:rsidR="00FA2119" w:rsidRDefault="00FA2119" w:rsidP="00FA2119">
      <w:pPr>
        <w:pStyle w:val="a5"/>
      </w:pPr>
      <w:r>
        <w:rPr>
          <w:rStyle w:val="a7"/>
        </w:rPr>
        <w:footnoteRef/>
      </w:r>
      <w:r>
        <w:rPr>
          <w:rtl/>
        </w:rPr>
        <w:t xml:space="preserve"> </w:t>
      </w:r>
      <w:r w:rsidRPr="00D22CF9">
        <w:rPr>
          <w:rFonts w:cs="Arial"/>
          <w:rtl/>
        </w:rPr>
        <w:t>וכי היכי דלא ליפלוג אמעשה שבא לפני ה"ר פרץ שכתבתי בסמוך שהצריכו שני גיטין ולא הלך אחר שם שעלה בו לקרוא בתורה ושהוא חותם בו, נ"ל דהתם מיירי בשלא הוחזק עדיין בקריאת התורה ובחתימת שטרות</w:t>
      </w:r>
      <w:r>
        <w:rPr>
          <w:rFonts w:cs="Arial" w:hint="cs"/>
          <w:rtl/>
        </w:rPr>
        <w:t>,</w:t>
      </w:r>
      <w:r w:rsidRPr="00D22CF9">
        <w:rPr>
          <w:rFonts w:cs="Arial"/>
          <w:rtl/>
        </w:rPr>
        <w:t xml:space="preserve"> כגון שבא לגרש מתוך החולי שע"י נשתנה שמו</w:t>
      </w:r>
      <w:r>
        <w:rPr>
          <w:rFonts w:cs="Arial" w:hint="cs"/>
          <w:rtl/>
        </w:rPr>
        <w:t>.</w:t>
      </w:r>
      <w:r w:rsidRPr="00D22CF9">
        <w:rPr>
          <w:rFonts w:cs="Arial"/>
          <w:rtl/>
        </w:rPr>
        <w:t xml:space="preserve"> והכי דייק לישנא דנקט שהיה חולה והחליפו שמו בחליו</w:t>
      </w:r>
      <w:r>
        <w:rPr>
          <w:rFonts w:cs="Arial" w:hint="cs"/>
          <w:rtl/>
        </w:rPr>
        <w:t>,</w:t>
      </w:r>
      <w:r w:rsidRPr="00D22CF9">
        <w:rPr>
          <w:rFonts w:cs="Arial"/>
          <w:rtl/>
        </w:rPr>
        <w:t xml:space="preserve"> ולא כתב מעשה באחד שנשתנה שמו מחמת חולי. ובהכי ניחא נמי מאי דקשה לן למה הצריכו </w:t>
      </w:r>
      <w:r>
        <w:rPr>
          <w:rFonts w:cs="Arial" w:hint="cs"/>
          <w:rtl/>
        </w:rPr>
        <w:t>ב'</w:t>
      </w:r>
      <w:r w:rsidRPr="00D22CF9">
        <w:rPr>
          <w:rFonts w:cs="Arial"/>
          <w:rtl/>
        </w:rPr>
        <w:t xml:space="preserve"> גיטין</w:t>
      </w:r>
      <w:r>
        <w:rPr>
          <w:rFonts w:cs="Arial" w:hint="cs"/>
          <w:rtl/>
        </w:rPr>
        <w:t>,</w:t>
      </w:r>
      <w:r w:rsidRPr="00D22CF9">
        <w:rPr>
          <w:rFonts w:cs="Arial"/>
          <w:rtl/>
        </w:rPr>
        <w:t xml:space="preserve"> הא בגט אחד סגי שיכתוב פלוני דמתקרי פלוני</w:t>
      </w:r>
      <w:r>
        <w:rPr>
          <w:rFonts w:cs="Arial" w:hint="cs"/>
          <w:rtl/>
        </w:rPr>
        <w:t>,</w:t>
      </w:r>
      <w:r w:rsidRPr="00D22CF9">
        <w:rPr>
          <w:rFonts w:cs="Arial"/>
          <w:rtl/>
        </w:rPr>
        <w:t xml:space="preserve"> אלא משום דכל כה</w:t>
      </w:r>
      <w:r>
        <w:rPr>
          <w:rFonts w:cs="Arial" w:hint="cs"/>
          <w:rtl/>
        </w:rPr>
        <w:t>"ג</w:t>
      </w:r>
      <w:r w:rsidRPr="00D22CF9">
        <w:rPr>
          <w:rFonts w:cs="Arial"/>
          <w:rtl/>
        </w:rPr>
        <w:t xml:space="preserve"> כותבין שם שני תחלה וכיון שעדיין לא הוחזק בשם זה בקריאת התורה וחתימת שטרות לא נראה לו לכתוב שם זה תחלה שנראה שהוא עיקר שמו</w:t>
      </w:r>
      <w:r>
        <w:rPr>
          <w:rFonts w:cs="Arial" w:hint="cs"/>
          <w:rtl/>
        </w:rPr>
        <w:t>.</w:t>
      </w:r>
      <w:r w:rsidRPr="00D22CF9">
        <w:rPr>
          <w:rFonts w:cs="Arial"/>
          <w:rtl/>
        </w:rPr>
        <w:t xml:space="preserve"> וגם לא רצה לכתוב שם הראשון תחלה דשמא לעולם שם שני עיקר אע</w:t>
      </w:r>
      <w:r>
        <w:rPr>
          <w:rFonts w:cs="Arial" w:hint="cs"/>
          <w:rtl/>
        </w:rPr>
        <w:t>"</w:t>
      </w:r>
      <w:r w:rsidRPr="00D22CF9">
        <w:rPr>
          <w:rFonts w:cs="Arial"/>
          <w:rtl/>
        </w:rPr>
        <w:t>פ שעדיין לא הוחזק</w:t>
      </w:r>
      <w:r>
        <w:rPr>
          <w:rFonts w:cs="Arial" w:hint="cs"/>
          <w:rtl/>
        </w:rPr>
        <w:t>,</w:t>
      </w:r>
      <w:r w:rsidRPr="00D22CF9">
        <w:rPr>
          <w:rFonts w:cs="Arial"/>
          <w:rtl/>
        </w:rPr>
        <w:t xml:space="preserve"> ולפיכך הצריך שני גיטין</w:t>
      </w:r>
      <w:r>
        <w:rPr>
          <w:rFonts w:cs="Arial" w:hint="cs"/>
          <w:rtl/>
        </w:rPr>
        <w:t>...</w:t>
      </w:r>
      <w:r w:rsidRPr="008D3682">
        <w:rPr>
          <w:rFonts w:cs="Arial"/>
          <w:rtl/>
        </w:rPr>
        <w:t xml:space="preserve"> </w:t>
      </w:r>
      <w:r w:rsidRPr="00D22CF9">
        <w:rPr>
          <w:rFonts w:cs="Arial"/>
          <w:rtl/>
        </w:rPr>
        <w:t xml:space="preserve">ומכל מקום משמע דמעשה שבא לפני ה"ר פרץ פליג אמה שכתוב בקונדריסין </w:t>
      </w:r>
      <w:r>
        <w:rPr>
          <w:rFonts w:cs="Arial" w:hint="cs"/>
          <w:rtl/>
        </w:rPr>
        <w:t xml:space="preserve">(סי' י סע' ד) </w:t>
      </w:r>
      <w:r w:rsidRPr="00D22CF9">
        <w:rPr>
          <w:rFonts w:cs="Arial"/>
          <w:rtl/>
        </w:rPr>
        <w:t>בעובדא דאשה ששמה רבקה ונשתנה לחנה וכו' דאין כותבין אלא שם ראשון ולא הצריך לכתוב גט שני. ושמא י"ל דשאני הכא במעשה דה"ר פרץ שהיה עתיד לבוא לידי בירור איזה שם עיקר ע"י עלייתו בתורה או חתימתו בשטרות ואגרות</w:t>
      </w:r>
      <w:r>
        <w:rPr>
          <w:rFonts w:cs="Arial" w:hint="cs"/>
          <w:rtl/>
        </w:rPr>
        <w:t>, ב"י.</w:t>
      </w:r>
    </w:p>
  </w:footnote>
  <w:footnote w:id="1153">
    <w:p w14:paraId="60F06F2C" w14:textId="01F55872" w:rsidR="00FA2119" w:rsidRDefault="00FA2119" w:rsidP="00FA2119">
      <w:pPr>
        <w:pStyle w:val="a5"/>
        <w:rPr>
          <w:rtl/>
        </w:rPr>
      </w:pPr>
      <w:r>
        <w:rPr>
          <w:rStyle w:val="a7"/>
        </w:rPr>
        <w:footnoteRef/>
      </w:r>
      <w:r>
        <w:rPr>
          <w:rtl/>
        </w:rPr>
        <w:t xml:space="preserve"> </w:t>
      </w:r>
      <w:r w:rsidR="005D32D3" w:rsidRPr="001842CD">
        <w:rPr>
          <w:rFonts w:cs="Arial"/>
          <w:rtl/>
        </w:rPr>
        <w:t>וכדאמר רבי נתן (קידושין מח:) במקדש במלוה ופרוטה דאינה מקודשת משום דדעתא אמלוה, ואע</w:t>
      </w:r>
      <w:r w:rsidR="005D32D3">
        <w:rPr>
          <w:rFonts w:cs="Arial" w:hint="cs"/>
          <w:rtl/>
        </w:rPr>
        <w:t>"</w:t>
      </w:r>
      <w:r w:rsidR="005D32D3" w:rsidRPr="001842CD">
        <w:rPr>
          <w:rFonts w:cs="Arial"/>
          <w:rtl/>
        </w:rPr>
        <w:t>ג דהלכה כרבי יהודה הנשיא דפליג עליה דילמא הכא מודה רבי יהודה הנשיא</w:t>
      </w:r>
      <w:r w:rsidR="005D32D3">
        <w:rPr>
          <w:rFonts w:cs="Arial" w:hint="cs"/>
          <w:rtl/>
        </w:rPr>
        <w:t>.</w:t>
      </w:r>
      <w:r w:rsidR="005D32D3" w:rsidRPr="001842CD">
        <w:rPr>
          <w:rFonts w:cs="Arial"/>
          <w:rtl/>
        </w:rPr>
        <w:t xml:space="preserve"> דהתם היינו טעמא משום דאדם יודע שאין קידושי מלוה כלום ודעתיה אפרוטה</w:t>
      </w:r>
      <w:r w:rsidR="005D32D3">
        <w:rPr>
          <w:rFonts w:cs="Arial" w:hint="cs"/>
          <w:rtl/>
        </w:rPr>
        <w:t>,</w:t>
      </w:r>
      <w:r w:rsidR="005D32D3" w:rsidRPr="001842CD">
        <w:rPr>
          <w:rFonts w:cs="Arial"/>
          <w:rtl/>
        </w:rPr>
        <w:t xml:space="preserve"> אבל הכא אין יודע איזה מהם מועיל</w:t>
      </w:r>
      <w:r w:rsidR="005D32D3">
        <w:rPr>
          <w:rFonts w:cs="Arial" w:hint="cs"/>
          <w:rtl/>
        </w:rPr>
        <w:t xml:space="preserve">, </w:t>
      </w:r>
      <w:r w:rsidR="005D32D3" w:rsidRPr="005D32D3">
        <w:rPr>
          <w:rFonts w:cs="Arial" w:hint="cs"/>
          <w:b/>
          <w:bCs/>
          <w:rtl/>
        </w:rPr>
        <w:t>מהרי"ו</w:t>
      </w:r>
      <w:r w:rsidR="005D32D3">
        <w:rPr>
          <w:rFonts w:cs="Arial" w:hint="cs"/>
          <w:rtl/>
        </w:rPr>
        <w:t xml:space="preserve"> (שם).      </w:t>
      </w:r>
      <w:r w:rsidRPr="00C164D0">
        <w:rPr>
          <w:rFonts w:cs="Arial"/>
          <w:rtl/>
        </w:rPr>
        <w:t>וכן נראה לי שלא ליתן ב' גיטין בבת אחת</w:t>
      </w:r>
      <w:r>
        <w:rPr>
          <w:rFonts w:cs="Arial" w:hint="cs"/>
          <w:rtl/>
        </w:rPr>
        <w:t>,</w:t>
      </w:r>
      <w:r w:rsidRPr="00C164D0">
        <w:rPr>
          <w:rFonts w:cs="Arial"/>
          <w:rtl/>
        </w:rPr>
        <w:t xml:space="preserve"> דאין ברירה בגיטין</w:t>
      </w:r>
      <w:r>
        <w:rPr>
          <w:rFonts w:cs="Arial" w:hint="cs"/>
          <w:rtl/>
        </w:rPr>
        <w:t>,</w:t>
      </w:r>
      <w:r w:rsidRPr="00C164D0">
        <w:rPr>
          <w:rFonts w:cs="Arial"/>
          <w:rtl/>
        </w:rPr>
        <w:t xml:space="preserve"> וכמו שכתבתי לעיל סימן קכ"ב (בד"מ הארוך ד"ה עד שיהא הגט כשר וכו'). ועוד דהתוספות דסוטה פרק היה מביא (יח. ד"ה כתבה) כתבו דהמגרש בב' גיטין הוי פסול מדאורייתא. ואע</w:t>
      </w:r>
      <w:r>
        <w:rPr>
          <w:rFonts w:cs="Arial" w:hint="cs"/>
          <w:rtl/>
        </w:rPr>
        <w:t>"</w:t>
      </w:r>
      <w:r w:rsidRPr="00C164D0">
        <w:rPr>
          <w:rFonts w:cs="Arial"/>
          <w:rtl/>
        </w:rPr>
        <w:t>ג דהתם מיירי דמגרש בב' גיטין כשרים אבל כשמגרש מספק, ממה נפשך אין כאן אלא גט אחד. מכל מקום נראה דלפעמים שניהם כשרים מדאורייתא אלא שמחמירין לפעמים מדרבנן ועל כן אין ליתנם בבת אחת. מיהו לקמן סימן קל"ב (עמ' קפט) משמע דיכול ליתנם בבת אחת, וכן הוא בתרוה</w:t>
      </w:r>
      <w:r>
        <w:rPr>
          <w:rFonts w:cs="Arial" w:hint="cs"/>
          <w:rtl/>
        </w:rPr>
        <w:t>"</w:t>
      </w:r>
      <w:r w:rsidRPr="00C164D0">
        <w:rPr>
          <w:rFonts w:cs="Arial"/>
          <w:rtl/>
        </w:rPr>
        <w:t xml:space="preserve">ד </w:t>
      </w:r>
      <w:r>
        <w:rPr>
          <w:rFonts w:cs="Arial" w:hint="cs"/>
          <w:rtl/>
        </w:rPr>
        <w:t>(</w:t>
      </w:r>
      <w:r w:rsidRPr="00C164D0">
        <w:rPr>
          <w:rFonts w:cs="Arial"/>
          <w:rtl/>
        </w:rPr>
        <w:t>סי</w:t>
      </w:r>
      <w:r>
        <w:rPr>
          <w:rFonts w:cs="Arial" w:hint="cs"/>
          <w:rtl/>
        </w:rPr>
        <w:t>'</w:t>
      </w:r>
      <w:r w:rsidRPr="00C164D0">
        <w:rPr>
          <w:rFonts w:cs="Arial"/>
          <w:rtl/>
        </w:rPr>
        <w:t xml:space="preserve"> רלג</w:t>
      </w:r>
      <w:r>
        <w:rPr>
          <w:rFonts w:cs="Arial" w:hint="cs"/>
          <w:rtl/>
        </w:rPr>
        <w:t>)</w:t>
      </w:r>
      <w:r w:rsidRPr="00C164D0">
        <w:rPr>
          <w:rFonts w:cs="Arial"/>
          <w:rtl/>
        </w:rPr>
        <w:t xml:space="preserve"> וכן משמע מדברי ר"י מינץ בסדר גט שלו (סי' לד)</w:t>
      </w:r>
      <w:r>
        <w:rPr>
          <w:rFonts w:cs="Arial" w:hint="cs"/>
          <w:rtl/>
        </w:rPr>
        <w:t>.</w:t>
      </w:r>
      <w:r w:rsidRPr="00C164D0">
        <w:rPr>
          <w:rFonts w:cs="Arial"/>
          <w:rtl/>
        </w:rPr>
        <w:t xml:space="preserve"> וטוב לחוש לכתחלה</w:t>
      </w:r>
      <w:r>
        <w:rPr>
          <w:rFonts w:cs="Arial" w:hint="cs"/>
          <w:rtl/>
        </w:rPr>
        <w:t>.</w:t>
      </w:r>
      <w:r w:rsidRPr="00C164D0">
        <w:rPr>
          <w:rFonts w:cs="Arial"/>
          <w:rtl/>
        </w:rPr>
        <w:t xml:space="preserve"> ועיין לקמן (סדר כתיבת שמות בד"מ הארוך סוס"י קכט) באות ש' דאין לתת ב' גיטין אלא במקום דוחק. כתב בסדר מהר"י מינץ (שם) כשנותנין ב' גיטין בזה אחר זה אותו הגט שנראה שהוא כשר יותר יש ליתנו תחלה עם כל שאלותיו וקריאתו לפני הנתינה ואחר הנתינה</w:t>
      </w:r>
      <w:r>
        <w:rPr>
          <w:rFonts w:cs="Arial" w:hint="cs"/>
          <w:rtl/>
        </w:rPr>
        <w:t>.</w:t>
      </w:r>
      <w:r w:rsidRPr="00C164D0">
        <w:rPr>
          <w:rFonts w:cs="Arial"/>
          <w:rtl/>
        </w:rPr>
        <w:t xml:space="preserve"> ואח"כ יקח הגט השני ויתנהו ג"כ עם כל שאלותיו והקריאות לפני הנתינה ואחר הנתינה</w:t>
      </w:r>
      <w:r>
        <w:rPr>
          <w:rFonts w:cs="Arial" w:hint="cs"/>
          <w:rtl/>
        </w:rPr>
        <w:t>.</w:t>
      </w:r>
      <w:r w:rsidRPr="00C164D0">
        <w:rPr>
          <w:rFonts w:cs="Arial"/>
          <w:rtl/>
        </w:rPr>
        <w:t xml:space="preserve"> ויגיד לעומדים בשעת הנתינה הטעם שנותן ב' גיטין</w:t>
      </w:r>
      <w:r>
        <w:rPr>
          <w:rFonts w:cs="Arial" w:hint="cs"/>
          <w:rtl/>
        </w:rPr>
        <w:t>.</w:t>
      </w:r>
      <w:r w:rsidRPr="00C164D0">
        <w:rPr>
          <w:rFonts w:cs="Arial"/>
          <w:rtl/>
        </w:rPr>
        <w:t xml:space="preserve"> ויאמר לבעל שיהא בדעתו לגרשה בכל אחד מן הגיטין. וכתב עוד שם פעם אחת נתן ב' גיטין וסידרן בבת אחת ואמר לבעל שיכוין לפטרה באותו גט שנכתב כדין</w:t>
      </w:r>
      <w:r>
        <w:rPr>
          <w:rFonts w:cs="Arial" w:hint="cs"/>
          <w:color w:val="00B0F0"/>
          <w:sz w:val="16"/>
          <w:szCs w:val="16"/>
          <w:rtl/>
        </w:rPr>
        <w:t xml:space="preserve"> </w:t>
      </w:r>
      <w:r w:rsidRPr="00AD280B">
        <w:rPr>
          <w:rFonts w:cs="Arial" w:hint="cs"/>
          <w:color w:val="00B0F0"/>
          <w:sz w:val="16"/>
          <w:szCs w:val="16"/>
          <w:rtl/>
        </w:rPr>
        <w:t xml:space="preserve">(וכ"פ </w:t>
      </w:r>
      <w:r w:rsidR="009334FF">
        <w:rPr>
          <w:rFonts w:cs="Arial" w:hint="cs"/>
          <w:color w:val="00B0F0"/>
          <w:sz w:val="16"/>
          <w:szCs w:val="16"/>
          <w:rtl/>
        </w:rPr>
        <w:t>בהג</w:t>
      </w:r>
      <w:r w:rsidR="009334FF">
        <w:rPr>
          <w:rFonts w:cs="Arial"/>
          <w:color w:val="00B0F0"/>
          <w:sz w:val="16"/>
          <w:szCs w:val="16"/>
          <w:rtl/>
        </w:rPr>
        <w:t>"</w:t>
      </w:r>
      <w:r w:rsidR="009334FF">
        <w:rPr>
          <w:rFonts w:cs="Arial" w:hint="cs"/>
          <w:color w:val="00B0F0"/>
          <w:sz w:val="16"/>
          <w:szCs w:val="16"/>
          <w:rtl/>
        </w:rPr>
        <w:t>ה</w:t>
      </w:r>
      <w:r w:rsidRPr="00AD280B">
        <w:rPr>
          <w:rFonts w:cs="Arial" w:hint="cs"/>
          <w:color w:val="00B0F0"/>
          <w:sz w:val="16"/>
          <w:szCs w:val="16"/>
          <w:rtl/>
        </w:rPr>
        <w:t>)</w:t>
      </w:r>
      <w:r w:rsidRPr="00C164D0">
        <w:rPr>
          <w:rFonts w:cs="Arial"/>
          <w:rtl/>
        </w:rPr>
        <w:t>. ועיין בתשובת מהר</w:t>
      </w:r>
      <w:r>
        <w:rPr>
          <w:rFonts w:cs="Arial" w:hint="cs"/>
          <w:rtl/>
        </w:rPr>
        <w:t>י"ו</w:t>
      </w:r>
      <w:r w:rsidRPr="00C164D0">
        <w:rPr>
          <w:rFonts w:cs="Arial"/>
          <w:rtl/>
        </w:rPr>
        <w:t xml:space="preserve"> </w:t>
      </w:r>
      <w:r>
        <w:rPr>
          <w:rFonts w:cs="Arial" w:hint="cs"/>
          <w:rtl/>
        </w:rPr>
        <w:t>(</w:t>
      </w:r>
      <w:r w:rsidRPr="00C164D0">
        <w:rPr>
          <w:rFonts w:cs="Arial"/>
          <w:rtl/>
        </w:rPr>
        <w:t>סי</w:t>
      </w:r>
      <w:r>
        <w:rPr>
          <w:rFonts w:cs="Arial" w:hint="cs"/>
          <w:rtl/>
        </w:rPr>
        <w:t>'</w:t>
      </w:r>
      <w:r w:rsidRPr="00C164D0">
        <w:rPr>
          <w:rFonts w:cs="Arial"/>
          <w:rtl/>
        </w:rPr>
        <w:t xml:space="preserve"> קכ</w:t>
      </w:r>
      <w:r>
        <w:rPr>
          <w:rFonts w:cs="Arial" w:hint="cs"/>
          <w:rtl/>
        </w:rPr>
        <w:t>)</w:t>
      </w:r>
      <w:r w:rsidRPr="00C164D0">
        <w:rPr>
          <w:rFonts w:cs="Arial"/>
          <w:rtl/>
        </w:rPr>
        <w:t xml:space="preserve"> במקום שיש לכתוב ב' גיטין ולא ניתן אלא אחד</w:t>
      </w:r>
      <w:r>
        <w:rPr>
          <w:rFonts w:cs="Arial" w:hint="cs"/>
          <w:rtl/>
        </w:rPr>
        <w:t>,</w:t>
      </w:r>
      <w:r w:rsidRPr="00C164D0">
        <w:rPr>
          <w:rFonts w:cs="Arial"/>
          <w:rtl/>
        </w:rPr>
        <w:t xml:space="preserve"> דמשמע דכשר בדיעבד. ולא נראה כן בפסקי מהרא"י (תרוה"ד ח"ב) סימן י"ד ועיי"ש</w:t>
      </w:r>
      <w:r>
        <w:rPr>
          <w:rFonts w:cs="Arial" w:hint="cs"/>
          <w:rtl/>
        </w:rPr>
        <w:t xml:space="preserve">, </w:t>
      </w:r>
      <w:r w:rsidRPr="005D32D3">
        <w:rPr>
          <w:rFonts w:cs="Arial" w:hint="cs"/>
          <w:b/>
          <w:bCs/>
          <w:rtl/>
        </w:rPr>
        <w:t>דרכ"מ</w:t>
      </w:r>
      <w:r>
        <w:rPr>
          <w:rFonts w:cs="Arial" w:hint="cs"/>
          <w:rtl/>
        </w:rPr>
        <w:t xml:space="preserve"> (אות כב).</w:t>
      </w:r>
    </w:p>
  </w:footnote>
  <w:footnote w:id="1154">
    <w:p w14:paraId="02E5CC8C" w14:textId="33D78C63" w:rsidR="00FA2119" w:rsidRDefault="00FA2119" w:rsidP="00FA2119">
      <w:pPr>
        <w:pStyle w:val="a5"/>
      </w:pPr>
      <w:r>
        <w:rPr>
          <w:rStyle w:val="a7"/>
        </w:rPr>
        <w:footnoteRef/>
      </w:r>
      <w:r>
        <w:rPr>
          <w:rtl/>
        </w:rPr>
        <w:t xml:space="preserve"> </w:t>
      </w:r>
      <w:r w:rsidRPr="00C14FDF">
        <w:rPr>
          <w:rFonts w:cs="Arial"/>
          <w:rtl/>
        </w:rPr>
        <w:t xml:space="preserve">עיין בתשו' נו"ב </w:t>
      </w:r>
      <w:r>
        <w:rPr>
          <w:rFonts w:cs="Arial" w:hint="cs"/>
          <w:rtl/>
        </w:rPr>
        <w:t>(</w:t>
      </w:r>
      <w:r w:rsidRPr="00C14FDF">
        <w:rPr>
          <w:rFonts w:cs="Arial"/>
          <w:rtl/>
        </w:rPr>
        <w:t>סי' צ</w:t>
      </w:r>
      <w:r>
        <w:rPr>
          <w:rFonts w:cs="Arial" w:hint="cs"/>
          <w:rtl/>
        </w:rPr>
        <w:t>)</w:t>
      </w:r>
      <w:r w:rsidRPr="00C14FDF">
        <w:rPr>
          <w:rFonts w:cs="Arial"/>
          <w:rtl/>
        </w:rPr>
        <w:t xml:space="preserve"> שכ' </w:t>
      </w:r>
      <w:r w:rsidR="000A0F5A">
        <w:rPr>
          <w:rFonts w:cs="Arial"/>
          <w:rtl/>
        </w:rPr>
        <w:t>וז"ל:</w:t>
      </w:r>
      <w:r w:rsidRPr="00C14FDF">
        <w:rPr>
          <w:rFonts w:cs="Arial"/>
          <w:rtl/>
        </w:rPr>
        <w:t xml:space="preserve"> כשאני נותן ב' גיטין אין דרכי לעשות כמבואר בסדר גיטין אות ר"ן כי חושש אני שבדאורייתא קיי"ל לחומרא אין ברירה לכן מנהגי שאין אני מגלה כלל להבעל שיש ספק בגט זה ואני מסדר הגט הראשון ואין אני מגלה כלל להבעל ולהסופר ולהעדים שצריך עוד גט וכשהבעל כבר נתן הגט ליד האשה אז אני אומר לו שצריך גט אחר וזה שכבר נתן לחנם נתן שטעיתי בו ואני מסדר הגט השני. ואז בכל פעם הבעל נותן הגט מוחלט ואין חשש ברירה. אך זה אפשר לעשות בגט הניתן מיד הבעל להאשה. אבל על ידי שליח (והמקום רחוק קצת) א"א בזה שאף שכבר נתן לשליח עדיין לא נגמר כל זמן שלא בא ליד האשה וצריך להגיד להבעל שיכווין לפטור בגט שיועיל ע"פ הדין ושעל זה יחול השליחות וכמו כן להגיד להשליח שיכווין בזה במסירה ליד האשה וחוזר חשש ברירה למקומו לכן אני מונע עצמי לסדר גט כזה ע"י שליח ואני בוחר יותר להכריע הספק ולהסתפק בגט אחד עכ"ל. וכבר קדמוהו בתקנ' זו בספר ג"פ ס"ק ק"ז והובא דבריו בס' ישועות יעקב בסה"ג סק</w:t>
      </w:r>
      <w:r>
        <w:rPr>
          <w:rFonts w:cs="Arial" w:hint="cs"/>
          <w:rtl/>
        </w:rPr>
        <w:t>"</w:t>
      </w:r>
      <w:r w:rsidRPr="00C14FDF">
        <w:rPr>
          <w:rFonts w:cs="Arial"/>
          <w:rtl/>
        </w:rPr>
        <w:t xml:space="preserve">ח וכתב עליו דכמה מעליא הא שמעתתא ע"ש. גם בס' תו"ג הזכיר ג"כ דברי הנו"ב הנ"ל והסכים עמו ומסיים דכן עיקר ע"ש </w:t>
      </w:r>
      <w:r w:rsidRPr="00C14FDF">
        <w:rPr>
          <w:rFonts w:cs="Arial" w:hint="cs"/>
          <w:sz w:val="16"/>
          <w:szCs w:val="16"/>
          <w:rtl/>
        </w:rPr>
        <w:t>(</w:t>
      </w:r>
      <w:r w:rsidRPr="00C14FDF">
        <w:rPr>
          <w:rFonts w:cs="Arial"/>
          <w:sz w:val="16"/>
          <w:szCs w:val="16"/>
          <w:rtl/>
        </w:rPr>
        <w:t>ועמ"ש בביאורי לסג"ר אות ר"ן. ועיין בתשו' נו"ב תניינ' סי' ק"כ וקכ"א וקכ"ב מה שפלפל בזה הגאון מהר"ש בן המחבר עם ב"א הגאון מו"ה אלעזר לנדא ז"ל. וגם בשו"ת תשובה מאהבה ח"ג סי' תט"ז מזה</w:t>
      </w:r>
      <w:r>
        <w:rPr>
          <w:rFonts w:cs="Arial" w:hint="cs"/>
          <w:sz w:val="16"/>
          <w:szCs w:val="16"/>
          <w:rtl/>
        </w:rPr>
        <w:t>)</w:t>
      </w:r>
      <w:r>
        <w:rPr>
          <w:rFonts w:cs="Arial" w:hint="cs"/>
          <w:rtl/>
        </w:rPr>
        <w:t>, פת"ש (סקנ"ה).</w:t>
      </w:r>
    </w:p>
  </w:footnote>
  <w:footnote w:id="1155">
    <w:p w14:paraId="44E4B701" w14:textId="77777777" w:rsidR="00FA2119" w:rsidRPr="00AD280B" w:rsidRDefault="00FA2119" w:rsidP="00FA2119">
      <w:pPr>
        <w:pStyle w:val="a5"/>
        <w:rPr>
          <w:rFonts w:cs="Arial"/>
        </w:rPr>
      </w:pPr>
      <w:r>
        <w:rPr>
          <w:rStyle w:val="a7"/>
        </w:rPr>
        <w:footnoteRef/>
      </w:r>
      <w:r>
        <w:rPr>
          <w:rtl/>
        </w:rPr>
        <w:t xml:space="preserve"> </w:t>
      </w:r>
      <w:r w:rsidRPr="00AD280B">
        <w:rPr>
          <w:rFonts w:cs="Arial"/>
          <w:rtl/>
        </w:rPr>
        <w:t>כלומר דעשה השאלות על שני הגיטין בבת אחת</w:t>
      </w:r>
      <w:r>
        <w:rPr>
          <w:rFonts w:cs="Arial" w:hint="cs"/>
          <w:rtl/>
        </w:rPr>
        <w:t>..</w:t>
      </w:r>
      <w:r w:rsidRPr="00AD280B">
        <w:rPr>
          <w:rFonts w:cs="Arial"/>
          <w:rtl/>
        </w:rPr>
        <w:t>.</w:t>
      </w:r>
      <w:r>
        <w:rPr>
          <w:rFonts w:cs="Arial" w:hint="cs"/>
          <w:rtl/>
        </w:rPr>
        <w:t>, גט פשוט (אות קח).</w:t>
      </w:r>
    </w:p>
  </w:footnote>
  <w:footnote w:id="1156">
    <w:p w14:paraId="154D7849" w14:textId="77777777" w:rsidR="00FA2119" w:rsidRDefault="00FA2119" w:rsidP="00FA2119">
      <w:pPr>
        <w:pStyle w:val="a5"/>
        <w:rPr>
          <w:rtl/>
        </w:rPr>
      </w:pPr>
      <w:r>
        <w:rPr>
          <w:rStyle w:val="a7"/>
        </w:rPr>
        <w:footnoteRef/>
      </w:r>
      <w:r>
        <w:rPr>
          <w:rtl/>
        </w:rPr>
        <w:t xml:space="preserve"> </w:t>
      </w:r>
      <w:r w:rsidRPr="006E7B6D">
        <w:rPr>
          <w:rFonts w:cs="Arial"/>
          <w:rtl/>
        </w:rPr>
        <w:t>וכן בגיורת</w:t>
      </w:r>
      <w:r>
        <w:rPr>
          <w:rFonts w:cs="Arial" w:hint="cs"/>
          <w:rtl/>
        </w:rPr>
        <w:t>.</w:t>
      </w:r>
      <w:r w:rsidRPr="006E7B6D">
        <w:rPr>
          <w:rFonts w:cs="Arial"/>
          <w:rtl/>
        </w:rPr>
        <w:t xml:space="preserve"> ולא יכתבו בגט </w:t>
      </w:r>
      <w:r>
        <w:rPr>
          <w:rFonts w:cs="Arial" w:hint="cs"/>
          <w:rtl/>
        </w:rPr>
        <w:t>'</w:t>
      </w:r>
      <w:r w:rsidRPr="006E7B6D">
        <w:rPr>
          <w:rFonts w:cs="Arial"/>
          <w:rtl/>
        </w:rPr>
        <w:t>גר</w:t>
      </w:r>
      <w:r>
        <w:rPr>
          <w:rFonts w:cs="Arial" w:hint="cs"/>
          <w:rtl/>
        </w:rPr>
        <w:t>'</w:t>
      </w:r>
      <w:r w:rsidRPr="006E7B6D">
        <w:rPr>
          <w:rFonts w:cs="Arial"/>
          <w:rtl/>
        </w:rPr>
        <w:t xml:space="preserve"> משום סכנה</w:t>
      </w:r>
      <w:r>
        <w:rPr>
          <w:rFonts w:cs="Arial" w:hint="cs"/>
          <w:rtl/>
        </w:rPr>
        <w:t xml:space="preserve">, דרכ"מ (אות כז) בשם </w:t>
      </w:r>
      <w:r w:rsidRPr="006E7B6D">
        <w:rPr>
          <w:rFonts w:cs="Arial"/>
          <w:rtl/>
        </w:rPr>
        <w:t xml:space="preserve">סדר גיטין </w:t>
      </w:r>
      <w:r w:rsidRPr="00974183">
        <w:rPr>
          <w:rFonts w:cs="Arial"/>
          <w:sz w:val="16"/>
          <w:szCs w:val="16"/>
          <w:rtl/>
        </w:rPr>
        <w:t>(</w:t>
      </w:r>
      <w:r>
        <w:rPr>
          <w:rFonts w:cs="Arial" w:hint="cs"/>
          <w:sz w:val="16"/>
          <w:szCs w:val="16"/>
          <w:rtl/>
        </w:rPr>
        <w:t>שם)</w:t>
      </w:r>
      <w:r>
        <w:rPr>
          <w:rFonts w:cs="Arial" w:hint="cs"/>
          <w:rtl/>
        </w:rPr>
        <w:t>.</w:t>
      </w:r>
    </w:p>
  </w:footnote>
  <w:footnote w:id="1157">
    <w:p w14:paraId="580C479C" w14:textId="77777777" w:rsidR="00FA2119" w:rsidRDefault="00FA2119" w:rsidP="00FA2119">
      <w:pPr>
        <w:pStyle w:val="a5"/>
      </w:pPr>
      <w:r>
        <w:rPr>
          <w:rStyle w:val="a7"/>
        </w:rPr>
        <w:footnoteRef/>
      </w:r>
      <w:r>
        <w:rPr>
          <w:rtl/>
        </w:rPr>
        <w:t xml:space="preserve"> </w:t>
      </w:r>
      <w:r w:rsidRPr="00620AA7">
        <w:rPr>
          <w:rFonts w:cs="Arial"/>
          <w:rtl/>
        </w:rPr>
        <w:t>ואם לא כתב אבינו צריך לכתוב הגר ואם לא כתב גט פסול דמשמע שהוא בן אברה</w:t>
      </w:r>
      <w:r>
        <w:rPr>
          <w:rFonts w:cs="Arial" w:hint="cs"/>
          <w:rtl/>
        </w:rPr>
        <w:t>ם, ב"ש (סקל"ט).</w:t>
      </w:r>
    </w:p>
  </w:footnote>
  <w:footnote w:id="1158">
    <w:p w14:paraId="1E14E9E4" w14:textId="0445A91E" w:rsidR="005D32D3" w:rsidRDefault="005D32D3">
      <w:pPr>
        <w:pStyle w:val="a5"/>
      </w:pPr>
      <w:r>
        <w:rPr>
          <w:rStyle w:val="a7"/>
        </w:rPr>
        <w:footnoteRef/>
      </w:r>
      <w:r>
        <w:rPr>
          <w:rtl/>
        </w:rPr>
        <w:t xml:space="preserve"> </w:t>
      </w:r>
      <w:r w:rsidRPr="007635CB">
        <w:rPr>
          <w:rFonts w:cs="Arial"/>
          <w:rtl/>
        </w:rPr>
        <w:t>נראה לי שאם כתב אליה לא פסל כיון שאחרים נקראו כן</w:t>
      </w:r>
      <w:r>
        <w:rPr>
          <w:rFonts w:cs="Arial" w:hint="cs"/>
          <w:rtl/>
        </w:rPr>
        <w:t>,</w:t>
      </w:r>
      <w:r w:rsidRPr="007635CB">
        <w:rPr>
          <w:rFonts w:cs="Arial"/>
          <w:rtl/>
        </w:rPr>
        <w:t xml:space="preserve"> כדאיתא בתרוה</w:t>
      </w:r>
      <w:r>
        <w:rPr>
          <w:rFonts w:cs="Arial" w:hint="cs"/>
          <w:rtl/>
        </w:rPr>
        <w:t>"</w:t>
      </w:r>
      <w:r w:rsidRPr="007635CB">
        <w:rPr>
          <w:rFonts w:cs="Arial"/>
          <w:rtl/>
        </w:rPr>
        <w:t>ד</w:t>
      </w:r>
      <w:r>
        <w:rPr>
          <w:rFonts w:cs="Arial" w:hint="cs"/>
          <w:rtl/>
        </w:rPr>
        <w:t xml:space="preserve"> </w:t>
      </w:r>
      <w:r w:rsidRPr="007635CB">
        <w:rPr>
          <w:rFonts w:cs="Arial"/>
          <w:rtl/>
        </w:rPr>
        <w:t>בסימן הנזכר</w:t>
      </w:r>
      <w:r>
        <w:rPr>
          <w:rFonts w:cs="Arial" w:hint="cs"/>
          <w:rtl/>
        </w:rPr>
        <w:t>,</w:t>
      </w:r>
      <w:r w:rsidRPr="007635CB">
        <w:rPr>
          <w:rFonts w:cs="Arial"/>
          <w:rtl/>
        </w:rPr>
        <w:t xml:space="preserve"> וגם הנביא אליהו עצמו נקרא כן בה' מקומות</w:t>
      </w:r>
      <w:r>
        <w:rPr>
          <w:rFonts w:cs="Arial" w:hint="cs"/>
          <w:rtl/>
        </w:rPr>
        <w:t>, ב"י.</w:t>
      </w:r>
      <w:r w:rsidRPr="001355DA">
        <w:rPr>
          <w:rFonts w:hint="cs"/>
          <w:color w:val="E36C0A" w:themeColor="accent6" w:themeShade="BF"/>
          <w:rtl/>
        </w:rPr>
        <w:t xml:space="preserve"> </w:t>
      </w:r>
      <w:r w:rsidRPr="00620AA7">
        <w:rPr>
          <w:rFonts w:hint="cs"/>
          <w:color w:val="E36C0A" w:themeColor="accent6" w:themeShade="BF"/>
          <w:rtl/>
        </w:rPr>
        <w:t>(וכ"פ בשו"ע)</w:t>
      </w:r>
    </w:p>
  </w:footnote>
  <w:footnote w:id="1159">
    <w:p w14:paraId="6A240343" w14:textId="77777777" w:rsidR="00FA2119" w:rsidRDefault="00FA2119" w:rsidP="00FA2119">
      <w:pPr>
        <w:pStyle w:val="a5"/>
        <w:rPr>
          <w:rtl/>
        </w:rPr>
      </w:pPr>
      <w:r>
        <w:rPr>
          <w:rStyle w:val="a7"/>
        </w:rPr>
        <w:footnoteRef/>
      </w:r>
      <w:r>
        <w:rPr>
          <w:rtl/>
        </w:rPr>
        <w:t xml:space="preserve"> </w:t>
      </w:r>
      <w:r w:rsidRPr="001355DA">
        <w:rPr>
          <w:rFonts w:cs="Arial"/>
          <w:rtl/>
        </w:rPr>
        <w:t>כי מסתמא אדם מסיק שם בנו על שם אלי' הנביא והוא נכתב בוא"ו אלא בה' מקומות נכתב בלא וא"ו</w:t>
      </w:r>
      <w:r>
        <w:rPr>
          <w:rFonts w:hint="cs"/>
          <w:rtl/>
        </w:rPr>
        <w:t>..., ב"ש (סקמ"א).</w:t>
      </w:r>
    </w:p>
  </w:footnote>
  <w:footnote w:id="1160">
    <w:p w14:paraId="029E0825" w14:textId="77777777" w:rsidR="00FA2119" w:rsidRDefault="00FA2119" w:rsidP="00FA2119">
      <w:pPr>
        <w:pStyle w:val="a5"/>
        <w:rPr>
          <w:rtl/>
        </w:rPr>
      </w:pPr>
      <w:r>
        <w:rPr>
          <w:rStyle w:val="a7"/>
        </w:rPr>
        <w:footnoteRef/>
      </w:r>
      <w:r>
        <w:rPr>
          <w:rtl/>
        </w:rPr>
        <w:t xml:space="preserve"> </w:t>
      </w:r>
      <w:r w:rsidRPr="001355DA">
        <w:rPr>
          <w:rFonts w:cs="Arial"/>
          <w:rtl/>
        </w:rPr>
        <w:t>ולפי זה לדידן שאנו קורין במעשה דחנוכה מתתיה בלא וי"ו הוי איפכא ממה שהעלה מהר"ר ישראל וכתבינן ליה בגט בלא וי"ו</w:t>
      </w:r>
      <w:r>
        <w:rPr>
          <w:rFonts w:hint="cs"/>
          <w:rtl/>
        </w:rPr>
        <w:t xml:space="preserve">, ב"י. </w:t>
      </w:r>
      <w:r w:rsidRPr="00734CC1">
        <w:rPr>
          <w:rFonts w:hint="cs"/>
          <w:color w:val="E36C0A" w:themeColor="accent6" w:themeShade="BF"/>
          <w:rtl/>
        </w:rPr>
        <w:t>(וכ"</w:t>
      </w:r>
      <w:r>
        <w:rPr>
          <w:rFonts w:hint="cs"/>
          <w:color w:val="E36C0A" w:themeColor="accent6" w:themeShade="BF"/>
          <w:rtl/>
        </w:rPr>
        <w:t>פ</w:t>
      </w:r>
      <w:r w:rsidRPr="00734CC1">
        <w:rPr>
          <w:rFonts w:hint="cs"/>
          <w:color w:val="E36C0A" w:themeColor="accent6" w:themeShade="BF"/>
          <w:rtl/>
        </w:rPr>
        <w:t xml:space="preserve"> בשו"ע)</w:t>
      </w:r>
    </w:p>
  </w:footnote>
  <w:footnote w:id="1161">
    <w:p w14:paraId="03AB2F03" w14:textId="77777777" w:rsidR="00FA2119" w:rsidRDefault="00FA2119" w:rsidP="00FA2119">
      <w:pPr>
        <w:pStyle w:val="a5"/>
        <w:rPr>
          <w:rtl/>
        </w:rPr>
      </w:pPr>
      <w:r>
        <w:rPr>
          <w:rStyle w:val="a7"/>
        </w:rPr>
        <w:footnoteRef/>
      </w:r>
      <w:r>
        <w:rPr>
          <w:rtl/>
        </w:rPr>
        <w:t xml:space="preserve"> </w:t>
      </w:r>
      <w:r w:rsidRPr="006E7B6D">
        <w:rPr>
          <w:rFonts w:cs="Arial"/>
          <w:rtl/>
        </w:rPr>
        <w:t>ואין דבריו נראים לי</w:t>
      </w:r>
      <w:r>
        <w:rPr>
          <w:rFonts w:cs="Arial" w:hint="cs"/>
          <w:rtl/>
        </w:rPr>
        <w:t>,</w:t>
      </w:r>
      <w:r w:rsidRPr="006E7B6D">
        <w:rPr>
          <w:rFonts w:cs="Arial"/>
          <w:rtl/>
        </w:rPr>
        <w:t xml:space="preserve"> דאדרבא משם ראיה</w:t>
      </w:r>
      <w:r>
        <w:rPr>
          <w:rFonts w:cs="Arial" w:hint="cs"/>
          <w:rtl/>
        </w:rPr>
        <w:t>,</w:t>
      </w:r>
      <w:r w:rsidRPr="006E7B6D">
        <w:rPr>
          <w:rFonts w:cs="Arial"/>
          <w:rtl/>
        </w:rPr>
        <w:t xml:space="preserve"> דהכי פירושה </w:t>
      </w:r>
      <w:r>
        <w:rPr>
          <w:rFonts w:cs="Arial" w:hint="cs"/>
          <w:rtl/>
        </w:rPr>
        <w:t xml:space="preserve">- </w:t>
      </w:r>
      <w:r w:rsidRPr="006E7B6D">
        <w:rPr>
          <w:rFonts w:cs="Arial"/>
          <w:rtl/>
        </w:rPr>
        <w:t>לית הלל במקרא כי אם זה</w:t>
      </w:r>
      <w:r>
        <w:rPr>
          <w:rFonts w:cs="Arial" w:hint="cs"/>
          <w:rtl/>
        </w:rPr>
        <w:t>,</w:t>
      </w:r>
      <w:r w:rsidRPr="006E7B6D">
        <w:rPr>
          <w:rFonts w:cs="Arial"/>
          <w:rtl/>
        </w:rPr>
        <w:t xml:space="preserve"> והודיע שהוא חסר וכה משפטו</w:t>
      </w:r>
      <w:r>
        <w:rPr>
          <w:rFonts w:hint="cs"/>
          <w:rtl/>
        </w:rPr>
        <w:t>, ב"י (בבדה"ב).</w:t>
      </w:r>
    </w:p>
  </w:footnote>
  <w:footnote w:id="1162">
    <w:p w14:paraId="59374914" w14:textId="77777777" w:rsidR="00FA2119" w:rsidRDefault="00FA2119" w:rsidP="00FA2119">
      <w:pPr>
        <w:pStyle w:val="a5"/>
      </w:pPr>
      <w:r>
        <w:rPr>
          <w:rStyle w:val="a7"/>
        </w:rPr>
        <w:footnoteRef/>
      </w:r>
      <w:r>
        <w:rPr>
          <w:rtl/>
        </w:rPr>
        <w:t xml:space="preserve"> </w:t>
      </w:r>
      <w:r w:rsidRPr="000B5DA2">
        <w:rPr>
          <w:rFonts w:cs="Arial"/>
          <w:rtl/>
        </w:rPr>
        <w:t>רמז לדבר משה לעיני כל ישראל ס"ת הילל וכן אל מול פני המנורה</w:t>
      </w:r>
      <w:r>
        <w:rPr>
          <w:rFonts w:cs="Arial" w:hint="cs"/>
          <w:rtl/>
        </w:rPr>
        <w:t>.</w:t>
      </w:r>
      <w:r w:rsidRPr="000B5DA2">
        <w:rPr>
          <w:rFonts w:cs="Arial"/>
          <w:rtl/>
        </w:rPr>
        <w:t xml:space="preserve"> גם במבטא הוא כאלו היה יוד כותבין יוד וכן כל כיוצא בזה כמו צפור' דכותבין מלא וי"ו כיון במבטא הוא כאלו הוה וי"ו</w:t>
      </w:r>
      <w:r>
        <w:rPr>
          <w:rFonts w:cs="Arial" w:hint="cs"/>
          <w:rtl/>
        </w:rPr>
        <w:t>.</w:t>
      </w:r>
      <w:r w:rsidRPr="000B5DA2">
        <w:rPr>
          <w:rFonts w:cs="Arial"/>
          <w:rtl/>
        </w:rPr>
        <w:t xml:space="preserve"> כתב בלבוש אם כתב שם שצריך להיות מלא וכתב חסר כגון הילל או דבורה וכיוצא בזה כשר כיון דאין שינוי במבטא כי במבטא הוא כאלו היה מלא</w:t>
      </w:r>
      <w:r>
        <w:rPr>
          <w:rFonts w:cs="Arial" w:hint="cs"/>
          <w:rtl/>
        </w:rPr>
        <w:t>, ב"ש (סקמ"ה).</w:t>
      </w:r>
    </w:p>
  </w:footnote>
  <w:footnote w:id="1163">
    <w:p w14:paraId="38FB5D92" w14:textId="77777777" w:rsidR="00FA2119" w:rsidRDefault="00FA2119" w:rsidP="00FA2119">
      <w:pPr>
        <w:pStyle w:val="a5"/>
      </w:pPr>
      <w:r>
        <w:rPr>
          <w:rStyle w:val="a7"/>
        </w:rPr>
        <w:footnoteRef/>
      </w:r>
      <w:r>
        <w:rPr>
          <w:rtl/>
        </w:rPr>
        <w:t xml:space="preserve"> </w:t>
      </w:r>
      <w:r w:rsidRPr="000B5DA2">
        <w:rPr>
          <w:rFonts w:cs="Arial"/>
          <w:rtl/>
        </w:rPr>
        <w:t>ועיין בד"מ הביא כמה דיעות דס"ל דכותבין מלא ועיין בסדר השמות</w:t>
      </w:r>
      <w:r>
        <w:rPr>
          <w:rFonts w:cs="Arial" w:hint="cs"/>
          <w:rtl/>
        </w:rPr>
        <w:t>, ב"ש (סקמ"ו).</w:t>
      </w:r>
    </w:p>
  </w:footnote>
  <w:footnote w:id="1164">
    <w:p w14:paraId="1E418860" w14:textId="77777777" w:rsidR="00FA2119" w:rsidRDefault="00FA2119" w:rsidP="00FA2119">
      <w:pPr>
        <w:pStyle w:val="a5"/>
      </w:pPr>
      <w:r>
        <w:rPr>
          <w:rStyle w:val="a7"/>
        </w:rPr>
        <w:footnoteRef/>
      </w:r>
      <w:r>
        <w:rPr>
          <w:rtl/>
        </w:rPr>
        <w:t xml:space="preserve"> </w:t>
      </w:r>
      <w:r>
        <w:rPr>
          <w:rFonts w:hint="cs"/>
          <w:rtl/>
        </w:rPr>
        <w:t>וז"ל</w:t>
      </w:r>
      <w:r>
        <w:rPr>
          <w:rFonts w:hint="cs"/>
          <w:sz w:val="16"/>
          <w:szCs w:val="16"/>
          <w:rtl/>
        </w:rPr>
        <w:t xml:space="preserve"> (הכותב שם בשמו)</w:t>
      </w:r>
      <w:r>
        <w:rPr>
          <w:rFonts w:hint="cs"/>
          <w:rtl/>
        </w:rPr>
        <w:t xml:space="preserve">- </w:t>
      </w:r>
      <w:r w:rsidRPr="00FF3901">
        <w:rPr>
          <w:rFonts w:cs="Arial"/>
          <w:rtl/>
        </w:rPr>
        <w:t>אין כותבין שם האיש או האשה בשתי שיטין אלא בשיטה אחת וראיה מהא דאמרו פ</w:t>
      </w:r>
      <w:r>
        <w:rPr>
          <w:rFonts w:cs="Arial" w:hint="cs"/>
          <w:rtl/>
        </w:rPr>
        <w:t>'</w:t>
      </w:r>
      <w:r w:rsidRPr="00FF3901">
        <w:rPr>
          <w:rFonts w:cs="Arial"/>
          <w:rtl/>
        </w:rPr>
        <w:t xml:space="preserve"> אלו טרפות דשם אחד כגון כדרלעומר בחדא שיטה פסקינן ליה. בשתי שיטין לא פסקינן ליה. אלמא אי איפסקא לא מיקריא כתיבה. ובגט כתיב וכתב לה.</w:t>
      </w:r>
    </w:p>
  </w:footnote>
  <w:footnote w:id="1165">
    <w:p w14:paraId="531998A6" w14:textId="77777777" w:rsidR="00FA2119" w:rsidRDefault="00FA2119" w:rsidP="00FA2119">
      <w:pPr>
        <w:pStyle w:val="a5"/>
        <w:rPr>
          <w:rtl/>
        </w:rPr>
      </w:pPr>
      <w:r>
        <w:rPr>
          <w:rStyle w:val="a7"/>
        </w:rPr>
        <w:footnoteRef/>
      </w:r>
      <w:r>
        <w:rPr>
          <w:rtl/>
        </w:rPr>
        <w:t xml:space="preserve"> </w:t>
      </w:r>
      <w:r w:rsidRPr="006C024C">
        <w:rPr>
          <w:rFonts w:cs="Arial"/>
          <w:rtl/>
        </w:rPr>
        <w:t>נ"ל דהיינו דוקא בשיטה אחת אבל לא בשני שיטין דלא עדיף מכדר לעומר דלא פסיק ליה ספרא אלא בשיטה אחת כמו שכתבתי בסמוך</w:t>
      </w:r>
      <w:r>
        <w:rPr>
          <w:rFonts w:cs="Arial" w:hint="cs"/>
          <w:rtl/>
        </w:rPr>
        <w:t>.</w:t>
      </w:r>
      <w:r w:rsidRPr="006C024C">
        <w:rPr>
          <w:rFonts w:cs="Arial"/>
          <w:rtl/>
        </w:rPr>
        <w:t xml:space="preserve"> ואם הפסיקם בשתי שיטות משמע דפסול</w:t>
      </w:r>
      <w:r>
        <w:rPr>
          <w:rFonts w:hint="cs"/>
          <w:rtl/>
        </w:rPr>
        <w:t>, ב"י.</w:t>
      </w:r>
    </w:p>
  </w:footnote>
  <w:footnote w:id="1166">
    <w:p w14:paraId="180206FA" w14:textId="77777777" w:rsidR="00FA2119" w:rsidRDefault="00FA2119" w:rsidP="00FA2119">
      <w:pPr>
        <w:pStyle w:val="a5"/>
      </w:pPr>
      <w:r>
        <w:rPr>
          <w:rStyle w:val="a7"/>
        </w:rPr>
        <w:footnoteRef/>
      </w:r>
      <w:r>
        <w:rPr>
          <w:rtl/>
        </w:rPr>
        <w:t xml:space="preserve"> </w:t>
      </w:r>
      <w:r w:rsidRPr="006C024C">
        <w:rPr>
          <w:rFonts w:cs="Arial"/>
          <w:rtl/>
        </w:rPr>
        <w:t>מה שכתב בשם פדהצור ועמינדב שיכתבם תיבה אחת לא ידעתי למה לא יכתבם בשתי תיבות אם ירצה</w:t>
      </w:r>
      <w:r>
        <w:rPr>
          <w:rFonts w:cs="Arial" w:hint="cs"/>
          <w:rtl/>
        </w:rPr>
        <w:t>,</w:t>
      </w:r>
      <w:r w:rsidRPr="006C024C">
        <w:rPr>
          <w:rFonts w:cs="Arial"/>
          <w:rtl/>
        </w:rPr>
        <w:t xml:space="preserve"> דלא גרעי משם ידידיה שחולק לשתים אם ירצה. ואפשר דלרבותא נקט תיבה אחת לומר שאע"פ שנראים כשתי תיבות יכתבם כתיבה אחת אם ירצה</w:t>
      </w:r>
      <w:r>
        <w:rPr>
          <w:rFonts w:cs="Arial" w:hint="cs"/>
          <w:rtl/>
        </w:rPr>
        <w:t>, ב"י.</w:t>
      </w:r>
    </w:p>
  </w:footnote>
  <w:footnote w:id="1167">
    <w:p w14:paraId="20D2632A" w14:textId="77777777" w:rsidR="00FA2119" w:rsidRDefault="00FA2119" w:rsidP="00FA2119">
      <w:pPr>
        <w:pStyle w:val="a5"/>
      </w:pPr>
      <w:r>
        <w:rPr>
          <w:rStyle w:val="a7"/>
        </w:rPr>
        <w:footnoteRef/>
      </w:r>
      <w:r>
        <w:rPr>
          <w:rtl/>
        </w:rPr>
        <w:t xml:space="preserve"> </w:t>
      </w:r>
      <w:r>
        <w:rPr>
          <w:rFonts w:hint="cs"/>
          <w:rtl/>
        </w:rPr>
        <w:t>כן הגיה הערך לחם, וכן הוא בב"י בשם תרוה"ד. ואחרי הגהה זו אין צורך לתיבת 'כשר' שהוסיף הרמ"א.</w:t>
      </w:r>
    </w:p>
  </w:footnote>
  <w:footnote w:id="1168">
    <w:p w14:paraId="4232FA87" w14:textId="77777777" w:rsidR="00FA2119" w:rsidRDefault="00FA2119" w:rsidP="00FA2119">
      <w:pPr>
        <w:pStyle w:val="a5"/>
      </w:pPr>
      <w:r>
        <w:rPr>
          <w:rStyle w:val="a7"/>
        </w:rPr>
        <w:footnoteRef/>
      </w:r>
      <w:r>
        <w:rPr>
          <w:rtl/>
        </w:rPr>
        <w:t xml:space="preserve"> </w:t>
      </w:r>
      <w:r w:rsidRPr="00F315DB">
        <w:rPr>
          <w:rFonts w:cs="Arial"/>
          <w:rtl/>
        </w:rPr>
        <w:t>ונראה דמכאן נלמוד לכינויי האנשים</w:t>
      </w:r>
      <w:r>
        <w:rPr>
          <w:rFonts w:cs="Arial" w:hint="cs"/>
          <w:rtl/>
        </w:rPr>
        <w:t>,</w:t>
      </w:r>
      <w:r w:rsidRPr="00F315DB">
        <w:rPr>
          <w:rFonts w:cs="Arial"/>
          <w:rtl/>
        </w:rPr>
        <w:t xml:space="preserve"> דכל כינוי שהוא לשון הקודש כותבין בה"א</w:t>
      </w:r>
      <w:r>
        <w:rPr>
          <w:rFonts w:cs="Arial" w:hint="cs"/>
          <w:rtl/>
        </w:rPr>
        <w:t>.</w:t>
      </w:r>
      <w:r w:rsidRPr="00F315DB">
        <w:rPr>
          <w:rFonts w:cs="Arial"/>
          <w:rtl/>
        </w:rPr>
        <w:t xml:space="preserve"> וכל כינוי שאינו לשון הקודש כותבין באל"ף. אבל יש לדחות כל זה מדאשכחן שם רבה ורבא ששניהם לשון בבלי ואחד כתוב באל"ף ואחד כתוב בה"א אלמא דכל שאינו לשון הקודש בין אם כותב אל"ף בין אם כותב ה"א שפיר דמי</w:t>
      </w:r>
      <w:r>
        <w:rPr>
          <w:rFonts w:cs="Arial" w:hint="cs"/>
          <w:rtl/>
        </w:rPr>
        <w:t xml:space="preserve">, </w:t>
      </w:r>
      <w:r w:rsidRPr="004A5BAD">
        <w:rPr>
          <w:rFonts w:cs="Arial" w:hint="cs"/>
          <w:b/>
          <w:bCs/>
          <w:rtl/>
        </w:rPr>
        <w:t>ב"י</w:t>
      </w:r>
      <w:r>
        <w:rPr>
          <w:rFonts w:cs="Arial" w:hint="cs"/>
          <w:rtl/>
        </w:rPr>
        <w:t>.</w:t>
      </w:r>
      <w:r w:rsidRPr="004A5BAD">
        <w:rPr>
          <w:rFonts w:cs="Arial"/>
          <w:rtl/>
        </w:rPr>
        <w:t xml:space="preserve"> </w:t>
      </w:r>
      <w:r w:rsidRPr="004A5BAD">
        <w:rPr>
          <w:rFonts w:cs="Arial" w:hint="cs"/>
          <w:sz w:val="16"/>
          <w:szCs w:val="16"/>
          <w:rtl/>
        </w:rPr>
        <w:t>(</w:t>
      </w:r>
      <w:r w:rsidRPr="004A5BAD">
        <w:rPr>
          <w:rFonts w:cs="Arial"/>
          <w:sz w:val="16"/>
          <w:szCs w:val="16"/>
          <w:rtl/>
        </w:rPr>
        <w:t>ודבריו תמוהין לכאורה</w:t>
      </w:r>
      <w:r w:rsidRPr="004A5BAD">
        <w:rPr>
          <w:rFonts w:cs="Arial" w:hint="cs"/>
          <w:sz w:val="16"/>
          <w:szCs w:val="16"/>
          <w:rtl/>
        </w:rPr>
        <w:t>,</w:t>
      </w:r>
      <w:r w:rsidRPr="004A5BAD">
        <w:rPr>
          <w:rFonts w:cs="Arial"/>
          <w:sz w:val="16"/>
          <w:szCs w:val="16"/>
          <w:rtl/>
        </w:rPr>
        <w:t xml:space="preserve"> דלהיפך הל"ל דשניהם בלה"ק</w:t>
      </w:r>
      <w:r w:rsidRPr="004A5BAD">
        <w:rPr>
          <w:rFonts w:cs="Arial" w:hint="cs"/>
          <w:sz w:val="16"/>
          <w:szCs w:val="16"/>
          <w:rtl/>
        </w:rPr>
        <w:t>,</w:t>
      </w:r>
      <w:r w:rsidRPr="004A5BAD">
        <w:rPr>
          <w:rFonts w:cs="Arial"/>
          <w:sz w:val="16"/>
          <w:szCs w:val="16"/>
          <w:rtl/>
        </w:rPr>
        <w:t xml:space="preserve"> כמ"ש כי רבה היא זעקת סדום כו'</w:t>
      </w:r>
      <w:r w:rsidRPr="004A5BAD">
        <w:rPr>
          <w:rFonts w:cs="Arial" w:hint="cs"/>
          <w:sz w:val="16"/>
          <w:szCs w:val="16"/>
          <w:rtl/>
        </w:rPr>
        <w:t>.</w:t>
      </w:r>
      <w:r w:rsidRPr="004A5BAD">
        <w:rPr>
          <w:rFonts w:cs="Arial"/>
          <w:sz w:val="16"/>
          <w:szCs w:val="16"/>
          <w:rtl/>
        </w:rPr>
        <w:t xml:space="preserve"> אבל דבריו נכונים כמ"ש הערוך דרי"ש שלהם הוא במקום רב</w:t>
      </w:r>
      <w:r w:rsidRPr="004A5BAD">
        <w:rPr>
          <w:rFonts w:cs="Arial" w:hint="cs"/>
          <w:sz w:val="16"/>
          <w:szCs w:val="16"/>
          <w:rtl/>
        </w:rPr>
        <w:t>,</w:t>
      </w:r>
      <w:r w:rsidRPr="004A5BAD">
        <w:rPr>
          <w:rFonts w:cs="Arial"/>
          <w:sz w:val="16"/>
          <w:szCs w:val="16"/>
          <w:rtl/>
        </w:rPr>
        <w:t xml:space="preserve"> והתחלת שמותם בא'</w:t>
      </w:r>
      <w:r w:rsidRPr="004A5BAD">
        <w:rPr>
          <w:rFonts w:cs="Arial" w:hint="cs"/>
          <w:sz w:val="16"/>
          <w:szCs w:val="16"/>
          <w:rtl/>
        </w:rPr>
        <w:t>,</w:t>
      </w:r>
      <w:r w:rsidRPr="004A5BAD">
        <w:rPr>
          <w:rFonts w:cs="Arial"/>
          <w:sz w:val="16"/>
          <w:szCs w:val="16"/>
          <w:rtl/>
        </w:rPr>
        <w:t xml:space="preserve"> וכמו רבין ורבינא</w:t>
      </w:r>
      <w:r w:rsidRPr="004A5BAD">
        <w:rPr>
          <w:rFonts w:cs="Arial" w:hint="cs"/>
          <w:sz w:val="16"/>
          <w:szCs w:val="16"/>
          <w:rtl/>
        </w:rPr>
        <w:t xml:space="preserve">, </w:t>
      </w:r>
      <w:r w:rsidRPr="004A5BAD">
        <w:rPr>
          <w:rFonts w:cs="Arial" w:hint="cs"/>
          <w:b/>
          <w:bCs/>
          <w:sz w:val="16"/>
          <w:szCs w:val="16"/>
          <w:rtl/>
        </w:rPr>
        <w:t>גר"א</w:t>
      </w:r>
      <w:r w:rsidRPr="004A5BAD">
        <w:rPr>
          <w:rFonts w:cs="Arial" w:hint="cs"/>
          <w:sz w:val="16"/>
          <w:szCs w:val="16"/>
          <w:rtl/>
        </w:rPr>
        <w:t xml:space="preserve"> (סק</w:t>
      </w:r>
      <w:r w:rsidRPr="004A5BAD">
        <w:rPr>
          <w:rFonts w:cs="Arial"/>
          <w:sz w:val="16"/>
          <w:szCs w:val="16"/>
          <w:rtl/>
        </w:rPr>
        <w:t>נ</w:t>
      </w:r>
      <w:r w:rsidRPr="004A5BAD">
        <w:rPr>
          <w:rFonts w:cs="Arial" w:hint="cs"/>
          <w:sz w:val="16"/>
          <w:szCs w:val="16"/>
          <w:rtl/>
        </w:rPr>
        <w:t>"</w:t>
      </w:r>
      <w:r w:rsidRPr="004A5BAD">
        <w:rPr>
          <w:rFonts w:cs="Arial"/>
          <w:sz w:val="16"/>
          <w:szCs w:val="16"/>
          <w:rtl/>
        </w:rPr>
        <w:t>ה)</w:t>
      </w:r>
      <w:r>
        <w:rPr>
          <w:rFonts w:cs="Arial" w:hint="cs"/>
          <w:sz w:val="16"/>
          <w:szCs w:val="16"/>
          <w:rtl/>
        </w:rPr>
        <w:t>).</w:t>
      </w:r>
    </w:p>
  </w:footnote>
  <w:footnote w:id="1169">
    <w:p w14:paraId="38C1F6B1" w14:textId="77777777" w:rsidR="00FA2119" w:rsidRDefault="00FA2119" w:rsidP="00FA2119">
      <w:pPr>
        <w:pStyle w:val="a5"/>
      </w:pPr>
      <w:r>
        <w:rPr>
          <w:rStyle w:val="a7"/>
        </w:rPr>
        <w:footnoteRef/>
      </w:r>
      <w:r w:rsidRPr="004A5BAD">
        <w:rPr>
          <w:rFonts w:cs="Arial"/>
          <w:rtl/>
        </w:rPr>
        <w:t xml:space="preserve"> ומהרי"ו </w:t>
      </w:r>
      <w:r>
        <w:rPr>
          <w:rFonts w:cs="Arial" w:hint="cs"/>
          <w:rtl/>
        </w:rPr>
        <w:t>(</w:t>
      </w:r>
      <w:r w:rsidRPr="004A5BAD">
        <w:rPr>
          <w:rFonts w:cs="Arial"/>
          <w:rtl/>
        </w:rPr>
        <w:t>סי</w:t>
      </w:r>
      <w:r>
        <w:rPr>
          <w:rFonts w:cs="Arial" w:hint="cs"/>
          <w:rtl/>
        </w:rPr>
        <w:t>'</w:t>
      </w:r>
      <w:r w:rsidRPr="004A5BAD">
        <w:rPr>
          <w:rFonts w:cs="Arial"/>
          <w:rtl/>
        </w:rPr>
        <w:t xml:space="preserve"> קצ</w:t>
      </w:r>
      <w:r>
        <w:rPr>
          <w:rFonts w:cs="Arial" w:hint="cs"/>
          <w:rtl/>
        </w:rPr>
        <w:t>)</w:t>
      </w:r>
      <w:r w:rsidRPr="004A5BAD">
        <w:rPr>
          <w:rFonts w:cs="Arial"/>
          <w:rtl/>
        </w:rPr>
        <w:t xml:space="preserve"> כתב כל היכא דמספקא לן יש לכתוב ה' בסוף וראיה כל השמות שבמקרא ה' לבסוף כו' וכן בנשים כו'</w:t>
      </w:r>
      <w:r>
        <w:rPr>
          <w:rFonts w:cs="Arial" w:hint="cs"/>
          <w:rtl/>
        </w:rPr>
        <w:t>.</w:t>
      </w:r>
      <w:r w:rsidRPr="004A5BAD">
        <w:rPr>
          <w:rFonts w:cs="Arial"/>
          <w:rtl/>
        </w:rPr>
        <w:t xml:space="preserve"> וליתא</w:t>
      </w:r>
      <w:r>
        <w:rPr>
          <w:rFonts w:cs="Arial" w:hint="cs"/>
          <w:rtl/>
        </w:rPr>
        <w:t>,</w:t>
      </w:r>
      <w:r w:rsidRPr="004A5BAD">
        <w:rPr>
          <w:rFonts w:cs="Arial"/>
          <w:rtl/>
        </w:rPr>
        <w:t xml:space="preserve"> דמצינו הרבה ב"א עזרא עמשא עלא עזא והרבה למאות</w:t>
      </w:r>
      <w:r>
        <w:rPr>
          <w:rFonts w:cs="Arial" w:hint="cs"/>
          <w:rtl/>
        </w:rPr>
        <w:t>,</w:t>
      </w:r>
      <w:r w:rsidRPr="004A5BAD">
        <w:rPr>
          <w:rFonts w:cs="Arial"/>
          <w:rtl/>
        </w:rPr>
        <w:t xml:space="preserve"> ואפשר דרוב קאמר</w:t>
      </w:r>
      <w:r w:rsidRPr="004A5BAD">
        <w:rPr>
          <w:rFonts w:cs="Arial" w:hint="cs"/>
          <w:rtl/>
        </w:rPr>
        <w:t xml:space="preserve">, </w:t>
      </w:r>
      <w:r w:rsidRPr="004A5BAD">
        <w:rPr>
          <w:rFonts w:cs="Arial" w:hint="cs"/>
          <w:b/>
          <w:bCs/>
          <w:rtl/>
        </w:rPr>
        <w:t>גר"א</w:t>
      </w:r>
      <w:r w:rsidRPr="004A5BAD">
        <w:rPr>
          <w:rFonts w:cs="Arial" w:hint="cs"/>
          <w:rtl/>
        </w:rPr>
        <w:t xml:space="preserve"> (סק</w:t>
      </w:r>
      <w:r w:rsidRPr="004A5BAD">
        <w:rPr>
          <w:rFonts w:cs="Arial"/>
          <w:rtl/>
        </w:rPr>
        <w:t>נ</w:t>
      </w:r>
      <w:r w:rsidRPr="004A5BAD">
        <w:rPr>
          <w:rFonts w:cs="Arial" w:hint="cs"/>
          <w:rtl/>
        </w:rPr>
        <w:t>"</w:t>
      </w:r>
      <w:r w:rsidRPr="004A5BAD">
        <w:rPr>
          <w:rFonts w:cs="Arial"/>
          <w:rtl/>
        </w:rPr>
        <w:t>ה)</w:t>
      </w:r>
      <w:r w:rsidRPr="004A5BAD">
        <w:rPr>
          <w:rFonts w:cs="Arial" w:hint="cs"/>
          <w:rtl/>
        </w:rPr>
        <w:t>.</w:t>
      </w:r>
    </w:p>
  </w:footnote>
  <w:footnote w:id="1170">
    <w:p w14:paraId="0421C27D" w14:textId="77777777" w:rsidR="00FA2119" w:rsidRDefault="00FA2119" w:rsidP="00FA2119">
      <w:pPr>
        <w:pStyle w:val="a5"/>
      </w:pPr>
      <w:r>
        <w:rPr>
          <w:rStyle w:val="a7"/>
        </w:rPr>
        <w:footnoteRef/>
      </w:r>
      <w:r>
        <w:rPr>
          <w:rtl/>
        </w:rPr>
        <w:t xml:space="preserve"> </w:t>
      </w:r>
      <w:r w:rsidRPr="000C00CB">
        <w:rPr>
          <w:rFonts w:cs="Arial"/>
          <w:rtl/>
        </w:rPr>
        <w:t>רבינו לא חש לבאר כאן שיעור השני שיטין לפי שסמך על מה שכתב בחשן משפט סימן מ"ה (ס"ח) וכן הרמב"ם כתב הדין סתם בפרק א' מהלכות גירושין (הי"ח) לפי שסמך על מה שכתב בפרק כ"ז מהלכות מלוה</w:t>
      </w:r>
      <w:r>
        <w:rPr>
          <w:rFonts w:cs="Arial" w:hint="cs"/>
          <w:rtl/>
        </w:rPr>
        <w:t>, ב"י.</w:t>
      </w:r>
    </w:p>
  </w:footnote>
  <w:footnote w:id="1171">
    <w:p w14:paraId="1E2EF540" w14:textId="77777777" w:rsidR="00FA2119" w:rsidRDefault="00FA2119" w:rsidP="00FA2119">
      <w:pPr>
        <w:pStyle w:val="a5"/>
      </w:pPr>
      <w:r>
        <w:rPr>
          <w:rStyle w:val="a7"/>
        </w:rPr>
        <w:footnoteRef/>
      </w:r>
      <w:r>
        <w:rPr>
          <w:rtl/>
        </w:rPr>
        <w:t xml:space="preserve"> </w:t>
      </w:r>
      <w:r w:rsidRPr="00E20DFB">
        <w:rPr>
          <w:rFonts w:cs="Arial"/>
          <w:rtl/>
        </w:rPr>
        <w:t>ואם הרחיקו העדים שני שיטין ומילאוהו בקרובים או פסולים עיין בחשן המשפט סימן מ"ה (סי"ד) ובמה שכתבתי בהלכות אלו סימן ק"כ (ו:)</w:t>
      </w:r>
      <w:r>
        <w:rPr>
          <w:rFonts w:cs="Arial" w:hint="cs"/>
          <w:rtl/>
        </w:rPr>
        <w:t>,</w:t>
      </w:r>
      <w:r w:rsidRPr="00E20DFB">
        <w:rPr>
          <w:rFonts w:cs="Arial"/>
          <w:rtl/>
        </w:rPr>
        <w:t xml:space="preserve"> כי דין הגט שוה לשאר שטרות כדמשמע בהמגרש (פז:) גמרא (פו.) שני גיטין שכתבו זה בצד זה דפריך אגט מדאמר חזקיה מילאהו בקרובים כשר</w:t>
      </w:r>
      <w:r>
        <w:rPr>
          <w:rFonts w:cs="Arial" w:hint="cs"/>
          <w:rtl/>
        </w:rPr>
        <w:t>, ב"י.</w:t>
      </w:r>
    </w:p>
  </w:footnote>
  <w:footnote w:id="1172">
    <w:p w14:paraId="0A8368CD" w14:textId="77777777" w:rsidR="00FA2119" w:rsidRDefault="00FA2119" w:rsidP="00FA2119">
      <w:pPr>
        <w:pStyle w:val="a5"/>
      </w:pPr>
      <w:r>
        <w:rPr>
          <w:rStyle w:val="a7"/>
        </w:rPr>
        <w:footnoteRef/>
      </w:r>
      <w:r>
        <w:rPr>
          <w:rtl/>
        </w:rPr>
        <w:t xml:space="preserve"> </w:t>
      </w:r>
      <w:r w:rsidRPr="00700DE6">
        <w:rPr>
          <w:rFonts w:cs="Arial"/>
          <w:rtl/>
        </w:rPr>
        <w:t>וגם הרמב"ן (גיטין פו: ד"ה והא) והרשב"א (שם סוד"ה ר"א אומר) מסכימים לדברי הרמב"ם להכשיר ע"י עדי מסירה בכל גט שפיסולו ניכר</w:t>
      </w:r>
      <w:r>
        <w:rPr>
          <w:rFonts w:cs="Arial" w:hint="cs"/>
          <w:rtl/>
        </w:rPr>
        <w:t>,</w:t>
      </w:r>
      <w:r w:rsidRPr="00700DE6">
        <w:rPr>
          <w:rFonts w:cs="Arial"/>
          <w:rtl/>
        </w:rPr>
        <w:t xml:space="preserve"> וכמו שכתב ה</w:t>
      </w:r>
      <w:r>
        <w:rPr>
          <w:rFonts w:cs="Arial" w:hint="cs"/>
          <w:rtl/>
        </w:rPr>
        <w:t>ה"</w:t>
      </w:r>
      <w:r w:rsidRPr="00700DE6">
        <w:rPr>
          <w:rFonts w:cs="Arial"/>
          <w:rtl/>
        </w:rPr>
        <w:t xml:space="preserve">מ בשמם </w:t>
      </w:r>
      <w:r>
        <w:rPr>
          <w:rFonts w:cs="Arial" w:hint="cs"/>
          <w:rtl/>
        </w:rPr>
        <w:t>(</w:t>
      </w:r>
      <w:r w:rsidRPr="00700DE6">
        <w:rPr>
          <w:rFonts w:cs="Arial"/>
          <w:rtl/>
        </w:rPr>
        <w:t>פ</w:t>
      </w:r>
      <w:r>
        <w:rPr>
          <w:rFonts w:cs="Arial" w:hint="cs"/>
          <w:rtl/>
        </w:rPr>
        <w:t>"</w:t>
      </w:r>
      <w:r w:rsidRPr="00700DE6">
        <w:rPr>
          <w:rFonts w:cs="Arial"/>
          <w:rtl/>
        </w:rPr>
        <w:t>ד מהל</w:t>
      </w:r>
      <w:r>
        <w:rPr>
          <w:rFonts w:cs="Arial" w:hint="cs"/>
          <w:rtl/>
        </w:rPr>
        <w:t>'</w:t>
      </w:r>
      <w:r w:rsidRPr="00700DE6">
        <w:rPr>
          <w:rFonts w:cs="Arial"/>
          <w:rtl/>
        </w:rPr>
        <w:t xml:space="preserve"> גירושין שם)</w:t>
      </w:r>
      <w:r>
        <w:rPr>
          <w:rFonts w:cs="Arial" w:hint="cs"/>
          <w:rtl/>
        </w:rPr>
        <w:t>...</w:t>
      </w:r>
      <w:r w:rsidRPr="00960637">
        <w:rPr>
          <w:rFonts w:cs="Arial"/>
          <w:rtl/>
        </w:rPr>
        <w:t xml:space="preserve"> וגם הר"ן בהמגרש (מז: ד"ה והיינו) כתב על דברי הרי"ף שכתב ומהא שמעינן דלא בעינן עדי מסירה היכא דאיכא עדי חתימה וכו' דהא תנן (פו:) היה כותב טופס לכל אחד וכו' וחתמו עדים בראש הדף וכו' (פז:) והקיף ראשו של זה וכו' (שם) דמשמע דכל הני לרבי אליעזר אם נתנם בעדי מסירה כשרים כדברי הרמב"ם</w:t>
      </w:r>
      <w:r w:rsidRPr="00960637">
        <w:rPr>
          <w:rFonts w:cs="Arial" w:hint="cs"/>
          <w:rtl/>
        </w:rPr>
        <w:t>,</w:t>
      </w:r>
      <w:r w:rsidRPr="00960637">
        <w:rPr>
          <w:rFonts w:cs="Arial"/>
          <w:rtl/>
        </w:rPr>
        <w:t xml:space="preserve"> שכיון שפיסולו ניכר ליכא למיחש למזוייף מתוכו</w:t>
      </w:r>
      <w:r>
        <w:rPr>
          <w:rFonts w:cs="Arial" w:hint="cs"/>
          <w:rtl/>
        </w:rPr>
        <w:t>, ב"י</w:t>
      </w:r>
      <w:r w:rsidRPr="00960637">
        <w:rPr>
          <w:rFonts w:cs="Arial" w:hint="cs"/>
          <w:rtl/>
        </w:rPr>
        <w:t>.</w:t>
      </w:r>
    </w:p>
  </w:footnote>
  <w:footnote w:id="1173">
    <w:p w14:paraId="5863F074" w14:textId="58B29A64" w:rsidR="005C3ABF" w:rsidRDefault="005C3ABF" w:rsidP="005C3ABF">
      <w:pPr>
        <w:pStyle w:val="a5"/>
        <w:rPr>
          <w:rtl/>
        </w:rPr>
      </w:pPr>
      <w:r>
        <w:rPr>
          <w:rStyle w:val="a7"/>
        </w:rPr>
        <w:footnoteRef/>
      </w:r>
      <w:r>
        <w:rPr>
          <w:rtl/>
        </w:rPr>
        <w:t xml:space="preserve"> </w:t>
      </w:r>
      <w:r>
        <w:rPr>
          <w:rFonts w:cs="Arial" w:hint="cs"/>
          <w:rtl/>
        </w:rPr>
        <w:t xml:space="preserve">כן כתב הב"י שצריך לגרוס </w:t>
      </w:r>
      <w:r w:rsidRPr="005C3ABF">
        <w:rPr>
          <w:rFonts w:cs="Arial" w:hint="cs"/>
          <w:sz w:val="16"/>
          <w:szCs w:val="16"/>
          <w:rtl/>
        </w:rPr>
        <w:t xml:space="preserve">(וז"ל: </w:t>
      </w:r>
      <w:r w:rsidRPr="005C3ABF">
        <w:rPr>
          <w:rFonts w:cs="Arial"/>
          <w:sz w:val="16"/>
          <w:szCs w:val="16"/>
          <w:rtl/>
        </w:rPr>
        <w:t>ואין לפרש דחיישינן שמא נתן הבעל שום תנאי בגט והיה כתוב באותן שני שיטין והיא תמחוק אותו דאם כן לא יניחוה לינשא ע</w:t>
      </w:r>
      <w:r>
        <w:rPr>
          <w:rFonts w:cs="Arial" w:hint="cs"/>
          <w:sz w:val="16"/>
          <w:szCs w:val="16"/>
          <w:rtl/>
        </w:rPr>
        <w:t>"</w:t>
      </w:r>
      <w:r w:rsidRPr="005C3ABF">
        <w:rPr>
          <w:rFonts w:cs="Arial"/>
          <w:sz w:val="16"/>
          <w:szCs w:val="16"/>
          <w:rtl/>
        </w:rPr>
        <w:t xml:space="preserve">י חתימה כיון שמרוחקין שני שיטין ועוד דמוכח זיופא כיון שהוא מחוק. ואפשר דהכי קאמר שמא תמלא השני שיטין בתנאי אחר שתכתוב בהן וכשתוציא גיטה יראו שאין העדים מרוחקים ויתירוה לינשא על ידי עדי חתימה לחודייהו, ולפי זה צריך להגיה </w:t>
      </w:r>
      <w:r w:rsidRPr="005C3ABF">
        <w:rPr>
          <w:rFonts w:cs="Arial" w:hint="cs"/>
          <w:sz w:val="16"/>
          <w:szCs w:val="16"/>
          <w:rtl/>
        </w:rPr>
        <w:t>'</w:t>
      </w:r>
      <w:r w:rsidRPr="005C3ABF">
        <w:rPr>
          <w:rFonts w:cs="Arial"/>
          <w:sz w:val="16"/>
          <w:szCs w:val="16"/>
          <w:rtl/>
        </w:rPr>
        <w:t>שמא תתן</w:t>
      </w:r>
      <w:r w:rsidRPr="005C3ABF">
        <w:rPr>
          <w:rFonts w:cs="Arial" w:hint="cs"/>
          <w:sz w:val="16"/>
          <w:szCs w:val="16"/>
          <w:rtl/>
        </w:rPr>
        <w:t>'</w:t>
      </w:r>
      <w:r w:rsidRPr="005C3ABF">
        <w:rPr>
          <w:rFonts w:cs="Arial"/>
          <w:sz w:val="16"/>
          <w:szCs w:val="16"/>
          <w:rtl/>
        </w:rPr>
        <w:t xml:space="preserve"> במקום </w:t>
      </w:r>
      <w:r w:rsidRPr="005C3ABF">
        <w:rPr>
          <w:rFonts w:cs="Arial" w:hint="cs"/>
          <w:sz w:val="16"/>
          <w:szCs w:val="16"/>
          <w:rtl/>
        </w:rPr>
        <w:t>'</w:t>
      </w:r>
      <w:r w:rsidRPr="005C3ABF">
        <w:rPr>
          <w:rFonts w:cs="Arial"/>
          <w:sz w:val="16"/>
          <w:szCs w:val="16"/>
          <w:rtl/>
        </w:rPr>
        <w:t>שמא נתן</w:t>
      </w:r>
      <w:r w:rsidRPr="005C3ABF">
        <w:rPr>
          <w:rFonts w:cs="Arial" w:hint="cs"/>
          <w:sz w:val="16"/>
          <w:szCs w:val="16"/>
          <w:rtl/>
        </w:rPr>
        <w:t>'</w:t>
      </w:r>
      <w:r w:rsidRPr="005C3ABF">
        <w:rPr>
          <w:rFonts w:cs="Arial"/>
          <w:sz w:val="16"/>
          <w:szCs w:val="16"/>
          <w:rtl/>
        </w:rPr>
        <w:t xml:space="preserve"> וכן מצאתי בספר מוגה</w:t>
      </w:r>
      <w:r w:rsidRPr="005C3ABF">
        <w:rPr>
          <w:rFonts w:cs="Arial" w:hint="cs"/>
          <w:sz w:val="16"/>
          <w:szCs w:val="16"/>
          <w:rtl/>
        </w:rPr>
        <w:t>)</w:t>
      </w:r>
      <w:r>
        <w:rPr>
          <w:rFonts w:cs="Arial" w:hint="cs"/>
          <w:rtl/>
        </w:rPr>
        <w:t>.</w:t>
      </w:r>
    </w:p>
  </w:footnote>
  <w:footnote w:id="1174">
    <w:p w14:paraId="4A51D17D" w14:textId="77777777" w:rsidR="00FA2119" w:rsidRDefault="00FA2119" w:rsidP="00FA2119">
      <w:pPr>
        <w:pStyle w:val="a5"/>
        <w:rPr>
          <w:rtl/>
        </w:rPr>
      </w:pPr>
      <w:r>
        <w:rPr>
          <w:rStyle w:val="a7"/>
        </w:rPr>
        <w:footnoteRef/>
      </w:r>
      <w:r>
        <w:rPr>
          <w:rtl/>
        </w:rPr>
        <w:t xml:space="preserve"> </w:t>
      </w:r>
      <w:r w:rsidRPr="004E5AD8">
        <w:rPr>
          <w:rFonts w:cs="Arial"/>
          <w:rtl/>
        </w:rPr>
        <w:t>וצריך לדקדק בדבריו</w:t>
      </w:r>
      <w:r>
        <w:rPr>
          <w:rFonts w:cs="Arial" w:hint="cs"/>
          <w:rtl/>
        </w:rPr>
        <w:t>,</w:t>
      </w:r>
      <w:r w:rsidRPr="004E5AD8">
        <w:rPr>
          <w:rFonts w:cs="Arial"/>
          <w:rtl/>
        </w:rPr>
        <w:t xml:space="preserve"> דגם בהרחיק שני שיטין לא אתו למיסמך עלייהו</w:t>
      </w:r>
      <w:r>
        <w:rPr>
          <w:rFonts w:cs="Arial" w:hint="cs"/>
          <w:rtl/>
        </w:rPr>
        <w:t>,</w:t>
      </w:r>
      <w:r w:rsidRPr="004E5AD8">
        <w:rPr>
          <w:rFonts w:cs="Arial"/>
          <w:rtl/>
        </w:rPr>
        <w:t xml:space="preserve"> דהא תניא הרחיק את העדים מן הכתב שני שיטין פסול. ושמא דטעמו משום שאינו נרגש כל כך אם מרוחקין שני שיטין או פחות משני שיטין, או שמא טעמו כמו שכתבתי להראב"ד דשמא תמלא השני שיטין בתנאי שתכתוב בהם וכשיראו שאינם מרוחקים אתו למיסמך עלייהו</w:t>
      </w:r>
      <w:r>
        <w:rPr>
          <w:rFonts w:cs="Arial" w:hint="cs"/>
          <w:rtl/>
        </w:rPr>
        <w:t>, ב"י.</w:t>
      </w:r>
    </w:p>
  </w:footnote>
  <w:footnote w:id="1175">
    <w:p w14:paraId="3FDE94FB" w14:textId="77777777" w:rsidR="00FA2119" w:rsidRDefault="00FA2119" w:rsidP="00FA2119">
      <w:pPr>
        <w:pStyle w:val="a5"/>
      </w:pPr>
      <w:r>
        <w:rPr>
          <w:rStyle w:val="a7"/>
        </w:rPr>
        <w:footnoteRef/>
      </w:r>
      <w:r>
        <w:rPr>
          <w:rtl/>
        </w:rPr>
        <w:t xml:space="preserve"> </w:t>
      </w:r>
      <w:r>
        <w:rPr>
          <w:rFonts w:hint="cs"/>
          <w:rtl/>
        </w:rPr>
        <w:t>וכתב הב"י ד</w:t>
      </w:r>
      <w:r w:rsidRPr="00706B5A">
        <w:rPr>
          <w:rFonts w:cs="Arial"/>
          <w:rtl/>
        </w:rPr>
        <w:t xml:space="preserve">מ"ש </w:t>
      </w:r>
      <w:r>
        <w:rPr>
          <w:rFonts w:cs="Arial" w:hint="cs"/>
          <w:rtl/>
        </w:rPr>
        <w:t>הטור</w:t>
      </w:r>
      <w:r w:rsidRPr="00706B5A">
        <w:rPr>
          <w:rFonts w:cs="Arial"/>
          <w:rtl/>
        </w:rPr>
        <w:t xml:space="preserve"> ששיעור זה הוא </w:t>
      </w:r>
      <w:r>
        <w:rPr>
          <w:rFonts w:cs="Arial" w:hint="cs"/>
          <w:rtl/>
        </w:rPr>
        <w:t>'</w:t>
      </w:r>
      <w:r w:rsidRPr="00706B5A">
        <w:rPr>
          <w:rFonts w:cs="Arial"/>
          <w:rtl/>
        </w:rPr>
        <w:t>שני שיטין ושלשה אוירין</w:t>
      </w:r>
      <w:r>
        <w:rPr>
          <w:rFonts w:cs="Arial" w:hint="cs"/>
          <w:rtl/>
        </w:rPr>
        <w:t>'</w:t>
      </w:r>
      <w:r w:rsidRPr="00706B5A">
        <w:rPr>
          <w:rFonts w:cs="Arial"/>
          <w:rtl/>
        </w:rPr>
        <w:t xml:space="preserve"> כן הוא בגמרא לר' חייא בר אמי</w:t>
      </w:r>
      <w:r>
        <w:rPr>
          <w:rFonts w:cs="Arial" w:hint="cs"/>
          <w:rtl/>
        </w:rPr>
        <w:t>,</w:t>
      </w:r>
      <w:r w:rsidRPr="00706B5A">
        <w:rPr>
          <w:rFonts w:cs="Arial"/>
          <w:rtl/>
        </w:rPr>
        <w:t xml:space="preserve"> וכ"כ ה</w:t>
      </w:r>
      <w:r>
        <w:rPr>
          <w:rFonts w:cs="Arial" w:hint="cs"/>
          <w:rtl/>
        </w:rPr>
        <w:t>ה"מ</w:t>
      </w:r>
      <w:r w:rsidRPr="00706B5A">
        <w:rPr>
          <w:rFonts w:cs="Arial"/>
          <w:rtl/>
        </w:rPr>
        <w:t xml:space="preserve"> (שם) ור</w:t>
      </w:r>
      <w:r>
        <w:rPr>
          <w:rFonts w:cs="Arial" w:hint="cs"/>
          <w:rtl/>
        </w:rPr>
        <w:t>י"ו (</w:t>
      </w:r>
      <w:r w:rsidRPr="00706B5A">
        <w:rPr>
          <w:rFonts w:cs="Arial"/>
          <w:rtl/>
        </w:rPr>
        <w:t>נ"ד ח"ג שם)</w:t>
      </w:r>
      <w:r>
        <w:rPr>
          <w:rFonts w:cs="Arial" w:hint="cs"/>
          <w:rtl/>
        </w:rPr>
        <w:t>,</w:t>
      </w:r>
      <w:r w:rsidRPr="00706B5A">
        <w:rPr>
          <w:rFonts w:cs="Arial"/>
          <w:rtl/>
        </w:rPr>
        <w:t xml:space="preserve"> אכן הרי"ף והרא"ש (שם) כתבו שהוא שני שיטין ושני אוירין ונראה שטעות סופר הוא בספרי הרי"ף והרא"ש</w:t>
      </w:r>
      <w:r>
        <w:rPr>
          <w:rFonts w:cs="Arial" w:hint="cs"/>
          <w:rtl/>
        </w:rPr>
        <w:t>.</w:t>
      </w:r>
      <w:r w:rsidRPr="00706B5A">
        <w:rPr>
          <w:rFonts w:cs="Arial"/>
          <w:rtl/>
        </w:rPr>
        <w:t xml:space="preserve"> כתוב בספר תיקון סופרים לה"ר שלמה בן דוראן (השער השביעי ד"ה תניא) הרמב"ם פסק כר' חייא בר אמי כגון למ"ד למעלה וכ"ף למטה בשני שיטין דהוו שתי שיטין ושני אוירין ונראה דפסק הכי משום דהויא מילתא מציעתא ועוד דהוו שתי שיטין ואילו לרבי אבהו לא הויא אלא שטה אחת</w:t>
      </w:r>
      <w:r>
        <w:rPr>
          <w:rFonts w:cs="Arial" w:hint="cs"/>
          <w:rtl/>
        </w:rPr>
        <w:t>.</w:t>
      </w:r>
    </w:p>
  </w:footnote>
  <w:footnote w:id="1176">
    <w:p w14:paraId="59064297" w14:textId="77777777" w:rsidR="00FA2119" w:rsidRDefault="00FA2119" w:rsidP="00FA2119">
      <w:pPr>
        <w:pStyle w:val="a5"/>
        <w:rPr>
          <w:rtl/>
        </w:rPr>
      </w:pPr>
      <w:r>
        <w:rPr>
          <w:rStyle w:val="a7"/>
        </w:rPr>
        <w:footnoteRef/>
      </w:r>
      <w:r>
        <w:rPr>
          <w:rtl/>
        </w:rPr>
        <w:t xml:space="preserve"> </w:t>
      </w:r>
      <w:r w:rsidRPr="00706B5A">
        <w:rPr>
          <w:rFonts w:cs="Arial"/>
          <w:rtl/>
        </w:rPr>
        <w:t>ודברי הראב"ד מטין לדברי הרמב"ם</w:t>
      </w:r>
      <w:r>
        <w:rPr>
          <w:rFonts w:hint="cs"/>
          <w:rtl/>
        </w:rPr>
        <w:t>, הה"מ.</w:t>
      </w:r>
    </w:p>
  </w:footnote>
  <w:footnote w:id="1177">
    <w:p w14:paraId="603579CA" w14:textId="77777777" w:rsidR="00FA2119" w:rsidRDefault="00FA2119" w:rsidP="00FA2119">
      <w:pPr>
        <w:pStyle w:val="a5"/>
        <w:rPr>
          <w:rtl/>
        </w:rPr>
      </w:pPr>
      <w:r>
        <w:rPr>
          <w:rStyle w:val="a7"/>
        </w:rPr>
        <w:footnoteRef/>
      </w:r>
      <w:r>
        <w:rPr>
          <w:rtl/>
        </w:rPr>
        <w:t xml:space="preserve"> </w:t>
      </w:r>
      <w:r>
        <w:rPr>
          <w:rFonts w:cs="Arial"/>
          <w:rtl/>
        </w:rPr>
        <w:t>והמרדכי (סי' תרמג) כתב בשם ר"ח שראוי לנהוג כשיעור שפירש רבי אבהו</w:t>
      </w:r>
      <w:r>
        <w:rPr>
          <w:rFonts w:cs="Arial" w:hint="cs"/>
          <w:rtl/>
        </w:rPr>
        <w:t>, ב"י</w:t>
      </w:r>
      <w:r>
        <w:rPr>
          <w:rFonts w:cs="Arial"/>
          <w:rtl/>
        </w:rPr>
        <w:t>.</w:t>
      </w:r>
    </w:p>
  </w:footnote>
  <w:footnote w:id="1178">
    <w:p w14:paraId="7E8E198A" w14:textId="77777777" w:rsidR="00FA2119" w:rsidRDefault="00FA2119" w:rsidP="00FA2119">
      <w:pPr>
        <w:pStyle w:val="a5"/>
      </w:pPr>
      <w:r>
        <w:rPr>
          <w:rStyle w:val="a7"/>
        </w:rPr>
        <w:footnoteRef/>
      </w:r>
      <w:r>
        <w:rPr>
          <w:rtl/>
        </w:rPr>
        <w:t xml:space="preserve"> </w:t>
      </w:r>
      <w:r>
        <w:rPr>
          <w:rFonts w:cs="Arial" w:hint="cs"/>
          <w:rtl/>
        </w:rPr>
        <w:t>וכתב הה"מ (פכ"ז</w:t>
      </w:r>
      <w:r w:rsidRPr="00F85263">
        <w:rPr>
          <w:rFonts w:cs="Arial"/>
          <w:rtl/>
        </w:rPr>
        <w:t xml:space="preserve"> מ</w:t>
      </w:r>
      <w:r>
        <w:rPr>
          <w:rFonts w:cs="Arial" w:hint="cs"/>
          <w:rtl/>
        </w:rPr>
        <w:t>מלוה</w:t>
      </w:r>
      <w:r w:rsidRPr="00F85263">
        <w:rPr>
          <w:rFonts w:cs="Arial"/>
          <w:rtl/>
        </w:rPr>
        <w:t xml:space="preserve"> ה"ד) פירוש זה בשם הרמב"ן (שם)</w:t>
      </w:r>
      <w:r>
        <w:rPr>
          <w:rFonts w:cs="Arial" w:hint="cs"/>
          <w:rtl/>
        </w:rPr>
        <w:t>,</w:t>
      </w:r>
      <w:r w:rsidRPr="00F85263">
        <w:rPr>
          <w:rFonts w:cs="Arial"/>
          <w:rtl/>
        </w:rPr>
        <w:t xml:space="preserve"> וכתב עליו</w:t>
      </w:r>
      <w:r>
        <w:rPr>
          <w:rFonts w:cs="Arial" w:hint="cs"/>
          <w:rtl/>
        </w:rPr>
        <w:t>-</w:t>
      </w:r>
      <w:r w:rsidRPr="00F85263">
        <w:rPr>
          <w:rFonts w:cs="Arial"/>
          <w:rtl/>
        </w:rPr>
        <w:t xml:space="preserve"> ואני אומר בדרך כלל דלאו אחר כתב אלו העדים ולא אחר כתב זה הסופר נלך אלא אחר כתב ידי עדים דעלמא שאינם רגילים לאמן ידיהם כמו הסופרים ונעשית כתיבה גסה מן הסופר</w:t>
      </w:r>
      <w:r>
        <w:rPr>
          <w:rFonts w:cs="Arial" w:hint="cs"/>
          <w:rtl/>
        </w:rPr>
        <w:t>,</w:t>
      </w:r>
      <w:r w:rsidRPr="00F85263">
        <w:rPr>
          <w:rFonts w:cs="Arial"/>
          <w:rtl/>
        </w:rPr>
        <w:t xml:space="preserve"> וכן עיקר</w:t>
      </w:r>
      <w:r>
        <w:rPr>
          <w:rFonts w:cs="Arial" w:hint="cs"/>
          <w:rtl/>
        </w:rPr>
        <w:t xml:space="preserve"> </w:t>
      </w:r>
      <w:r>
        <w:rPr>
          <w:rFonts w:cs="Arial" w:hint="cs"/>
          <w:sz w:val="16"/>
          <w:szCs w:val="16"/>
          <w:rtl/>
        </w:rPr>
        <w:t>[עכ"ל]</w:t>
      </w:r>
      <w:r>
        <w:rPr>
          <w:rFonts w:cs="Arial" w:hint="cs"/>
          <w:rtl/>
        </w:rPr>
        <w:t>...</w:t>
      </w:r>
      <w:r w:rsidRPr="00E4121D">
        <w:rPr>
          <w:rFonts w:cs="Arial"/>
          <w:rtl/>
        </w:rPr>
        <w:t xml:space="preserve"> </w:t>
      </w:r>
      <w:r>
        <w:rPr>
          <w:rFonts w:cs="Arial"/>
          <w:rtl/>
        </w:rPr>
        <w:t>וכתב עוד ר</w:t>
      </w:r>
      <w:r>
        <w:rPr>
          <w:rFonts w:cs="Arial" w:hint="cs"/>
          <w:rtl/>
        </w:rPr>
        <w:t>י"ו</w:t>
      </w:r>
      <w:r>
        <w:rPr>
          <w:rFonts w:cs="Arial"/>
          <w:rtl/>
        </w:rPr>
        <w:t xml:space="preserve"> (שם) בשם הירושלמי (ב"ב פ"י ה"א) שאם כתב הסופר יותר גס משל עדים שמשערין בכתב הסופר להקל [עכ"ל], וזה מוכיח כדברי הרמב"ן דאזלינן בתר כתב האי סופר והני עדים</w:t>
      </w:r>
      <w:r>
        <w:rPr>
          <w:rFonts w:cs="Arial" w:hint="cs"/>
          <w:rtl/>
        </w:rPr>
        <w:t>, ב"י.</w:t>
      </w:r>
    </w:p>
  </w:footnote>
  <w:footnote w:id="1179">
    <w:p w14:paraId="2C76B733" w14:textId="77777777" w:rsidR="00FA2119" w:rsidRDefault="00FA2119" w:rsidP="00FA2119">
      <w:pPr>
        <w:pStyle w:val="a5"/>
        <w:rPr>
          <w:rtl/>
        </w:rPr>
      </w:pPr>
      <w:r>
        <w:rPr>
          <w:rStyle w:val="a7"/>
        </w:rPr>
        <w:footnoteRef/>
      </w:r>
      <w:r>
        <w:rPr>
          <w:rtl/>
        </w:rPr>
        <w:t xml:space="preserve"> </w:t>
      </w:r>
      <w:r>
        <w:rPr>
          <w:rFonts w:cs="Arial"/>
          <w:rtl/>
        </w:rPr>
        <w:t>ועיין בדברי רבינו בטור זה סי</w:t>
      </w:r>
      <w:r>
        <w:rPr>
          <w:rFonts w:cs="Arial" w:hint="cs"/>
          <w:rtl/>
        </w:rPr>
        <w:t>'</w:t>
      </w:r>
      <w:r>
        <w:rPr>
          <w:rFonts w:cs="Arial"/>
          <w:rtl/>
        </w:rPr>
        <w:t xml:space="preserve"> מב</w:t>
      </w:r>
      <w:r>
        <w:rPr>
          <w:rFonts w:cs="Arial" w:hint="cs"/>
          <w:rtl/>
        </w:rPr>
        <w:t xml:space="preserve"> (סע' ה)</w:t>
      </w:r>
      <w:r>
        <w:rPr>
          <w:rFonts w:hint="cs"/>
          <w:rtl/>
        </w:rPr>
        <w:t xml:space="preserve">, ב"י. דשם מיירי בעדי קידושין שפסולים מדרבנן או דאורייתא.  </w:t>
      </w:r>
    </w:p>
  </w:footnote>
  <w:footnote w:id="1180">
    <w:p w14:paraId="615EE0F0" w14:textId="77777777" w:rsidR="00FA2119" w:rsidRDefault="00FA2119" w:rsidP="00FA2119">
      <w:pPr>
        <w:pStyle w:val="a5"/>
        <w:rPr>
          <w:rtl/>
        </w:rPr>
      </w:pPr>
      <w:r>
        <w:rPr>
          <w:rStyle w:val="a7"/>
        </w:rPr>
        <w:footnoteRef/>
      </w:r>
      <w:r>
        <w:rPr>
          <w:rtl/>
        </w:rPr>
        <w:t xml:space="preserve"> </w:t>
      </w:r>
      <w:r w:rsidRPr="00D65518">
        <w:rPr>
          <w:rFonts w:cs="Arial"/>
          <w:rtl/>
        </w:rPr>
        <w:t xml:space="preserve">במרדכי </w:t>
      </w:r>
      <w:r>
        <w:rPr>
          <w:rFonts w:cs="Arial" w:hint="cs"/>
          <w:rtl/>
        </w:rPr>
        <w:t>(</w:t>
      </w:r>
      <w:r w:rsidRPr="00D65518">
        <w:rPr>
          <w:rFonts w:cs="Arial"/>
          <w:rtl/>
        </w:rPr>
        <w:t>ס</w:t>
      </w:r>
      <w:r>
        <w:rPr>
          <w:rFonts w:cs="Arial" w:hint="cs"/>
          <w:rtl/>
        </w:rPr>
        <w:t>"</w:t>
      </w:r>
      <w:r w:rsidRPr="00D65518">
        <w:rPr>
          <w:rFonts w:cs="Arial"/>
          <w:rtl/>
        </w:rPr>
        <w:t>פ התקבל סי' תיח)</w:t>
      </w:r>
      <w:r>
        <w:rPr>
          <w:rFonts w:cs="Arial" w:hint="cs"/>
          <w:rtl/>
        </w:rPr>
        <w:t xml:space="preserve"> כתב</w:t>
      </w:r>
      <w:r w:rsidRPr="00D65518">
        <w:rPr>
          <w:rFonts w:cs="Arial"/>
          <w:rtl/>
        </w:rPr>
        <w:t xml:space="preserve"> מעשה בגט אחד שחתמו עליו ג' עדים</w:t>
      </w:r>
      <w:r>
        <w:rPr>
          <w:rFonts w:cs="Arial" w:hint="cs"/>
          <w:rtl/>
        </w:rPr>
        <w:t>,</w:t>
      </w:r>
      <w:r w:rsidRPr="00D65518">
        <w:rPr>
          <w:rFonts w:cs="Arial"/>
          <w:rtl/>
        </w:rPr>
        <w:t xml:space="preserve"> ועד אחד טעה וחתם עצמו סופר ועד והוא לא היה סופר</w:t>
      </w:r>
      <w:r>
        <w:rPr>
          <w:rFonts w:cs="Arial" w:hint="cs"/>
          <w:rtl/>
        </w:rPr>
        <w:t>,</w:t>
      </w:r>
      <w:r w:rsidRPr="00D65518">
        <w:rPr>
          <w:rFonts w:cs="Arial"/>
          <w:rtl/>
        </w:rPr>
        <w:t xml:space="preserve"> והכשיר רבינו יואל (עי</w:t>
      </w:r>
      <w:r>
        <w:rPr>
          <w:rFonts w:cs="Arial" w:hint="cs"/>
          <w:rtl/>
        </w:rPr>
        <w:t>'</w:t>
      </w:r>
      <w:r w:rsidRPr="00D65518">
        <w:rPr>
          <w:rFonts w:cs="Arial"/>
          <w:rtl/>
        </w:rPr>
        <w:t xml:space="preserve"> ראבי"ה סי</w:t>
      </w:r>
      <w:r>
        <w:rPr>
          <w:rFonts w:cs="Arial" w:hint="cs"/>
          <w:rtl/>
        </w:rPr>
        <w:t>'</w:t>
      </w:r>
      <w:r w:rsidRPr="00D65518">
        <w:rPr>
          <w:rFonts w:cs="Arial"/>
          <w:rtl/>
        </w:rPr>
        <w:t xml:space="preserve"> תתקכב) הגט וצוה למחוק סופר</w:t>
      </w:r>
      <w:r>
        <w:rPr>
          <w:rFonts w:cs="Arial" w:hint="cs"/>
          <w:rtl/>
        </w:rPr>
        <w:t>,</w:t>
      </w:r>
      <w:r w:rsidRPr="00D65518">
        <w:rPr>
          <w:rFonts w:cs="Arial"/>
          <w:rtl/>
        </w:rPr>
        <w:t xml:space="preserve"> ועיי"ש</w:t>
      </w:r>
      <w:r>
        <w:rPr>
          <w:rFonts w:cs="Arial" w:hint="cs"/>
          <w:rtl/>
        </w:rPr>
        <w:t>, דרכ"מ (אות ג).</w:t>
      </w:r>
    </w:p>
  </w:footnote>
  <w:footnote w:id="1181">
    <w:p w14:paraId="0FE846FC" w14:textId="77777777" w:rsidR="00FA2119" w:rsidRDefault="00FA2119" w:rsidP="00FA2119">
      <w:pPr>
        <w:pStyle w:val="a5"/>
        <w:rPr>
          <w:rtl/>
        </w:rPr>
      </w:pPr>
      <w:r>
        <w:rPr>
          <w:rStyle w:val="a7"/>
        </w:rPr>
        <w:footnoteRef/>
      </w:r>
      <w:r>
        <w:rPr>
          <w:rtl/>
        </w:rPr>
        <w:t xml:space="preserve"> </w:t>
      </w:r>
      <w:r w:rsidRPr="004E7ADB">
        <w:rPr>
          <w:rFonts w:cs="Arial"/>
          <w:rtl/>
        </w:rPr>
        <w:t>וכ</w:t>
      </w:r>
      <w:r w:rsidRPr="004E7ADB">
        <w:rPr>
          <w:rFonts w:cs="Arial" w:hint="cs"/>
          <w:rtl/>
        </w:rPr>
        <w:t>"</w:t>
      </w:r>
      <w:r w:rsidRPr="004E7ADB">
        <w:rPr>
          <w:rFonts w:cs="Arial"/>
          <w:rtl/>
        </w:rPr>
        <w:t>כ רבינו בסימן קכ"ו (יז:) בשם תשובת הרא"ש (כלל מה סי' יט)</w:t>
      </w:r>
      <w:r w:rsidRPr="004E7ADB">
        <w:rPr>
          <w:rFonts w:cs="Arial" w:hint="cs"/>
          <w:rtl/>
        </w:rPr>
        <w:t>, ב"י.</w:t>
      </w:r>
    </w:p>
  </w:footnote>
  <w:footnote w:id="1182">
    <w:p w14:paraId="5CF7E552" w14:textId="77777777" w:rsidR="00FA2119" w:rsidRDefault="00FA2119" w:rsidP="00FA2119">
      <w:pPr>
        <w:pStyle w:val="a5"/>
      </w:pPr>
      <w:r>
        <w:rPr>
          <w:rStyle w:val="a7"/>
        </w:rPr>
        <w:footnoteRef/>
      </w:r>
      <w:r>
        <w:rPr>
          <w:rtl/>
        </w:rPr>
        <w:t xml:space="preserve"> </w:t>
      </w:r>
      <w:r w:rsidRPr="00DF33D1">
        <w:rPr>
          <w:rFonts w:cs="Arial"/>
          <w:rtl/>
        </w:rPr>
        <w:t>ואין הוראה זו נראית בעיני</w:t>
      </w:r>
      <w:r>
        <w:rPr>
          <w:rFonts w:cs="Arial" w:hint="cs"/>
          <w:rtl/>
        </w:rPr>
        <w:t>,</w:t>
      </w:r>
      <w:r w:rsidRPr="00DF33D1">
        <w:rPr>
          <w:rFonts w:cs="Arial"/>
          <w:rtl/>
        </w:rPr>
        <w:t xml:space="preserve"> דאטו עדים החותמים על הגט על הסופר הם מעידים</w:t>
      </w:r>
      <w:r>
        <w:rPr>
          <w:rFonts w:cs="Arial" w:hint="cs"/>
          <w:rtl/>
        </w:rPr>
        <w:t>?</w:t>
      </w:r>
      <w:r w:rsidRPr="00DF33D1">
        <w:rPr>
          <w:rFonts w:cs="Arial"/>
          <w:rtl/>
        </w:rPr>
        <w:t xml:space="preserve"> על מה שצוה הבעל הם מעידים</w:t>
      </w:r>
      <w:r>
        <w:rPr>
          <w:rFonts w:cs="Arial" w:hint="cs"/>
          <w:rtl/>
        </w:rPr>
        <w:t>,</w:t>
      </w:r>
      <w:r w:rsidRPr="00DF33D1">
        <w:rPr>
          <w:rFonts w:cs="Arial"/>
          <w:rtl/>
        </w:rPr>
        <w:t xml:space="preserve"> ומה ענין זה לענין הסופר</w:t>
      </w:r>
      <w:r>
        <w:rPr>
          <w:rFonts w:cs="Arial" w:hint="cs"/>
          <w:rtl/>
        </w:rPr>
        <w:t>, ב"י.</w:t>
      </w:r>
    </w:p>
  </w:footnote>
  <w:footnote w:id="1183">
    <w:p w14:paraId="2D256856" w14:textId="77777777" w:rsidR="00FA2119" w:rsidRDefault="00FA2119" w:rsidP="00FA2119">
      <w:pPr>
        <w:pStyle w:val="a5"/>
      </w:pPr>
      <w:r>
        <w:rPr>
          <w:rStyle w:val="a7"/>
        </w:rPr>
        <w:footnoteRef/>
      </w:r>
      <w:r>
        <w:rPr>
          <w:rtl/>
        </w:rPr>
        <w:t xml:space="preserve"> </w:t>
      </w:r>
      <w:r w:rsidRPr="00E55D0E">
        <w:rPr>
          <w:rFonts w:cs="Arial"/>
          <w:rtl/>
        </w:rPr>
        <w:t>וכל זה חומרות בעלמא דהרי הבעל או האשה בעצמן יכולין לכתוב הגט</w:t>
      </w:r>
      <w:r>
        <w:rPr>
          <w:rFonts w:cs="Arial" w:hint="cs"/>
          <w:rtl/>
        </w:rPr>
        <w:t>, דרכ"מ (אות יח).</w:t>
      </w:r>
    </w:p>
  </w:footnote>
  <w:footnote w:id="1184">
    <w:p w14:paraId="0F207427" w14:textId="77777777" w:rsidR="00FA2119" w:rsidRDefault="00FA2119" w:rsidP="00FA2119">
      <w:pPr>
        <w:pStyle w:val="a5"/>
        <w:rPr>
          <w:rtl/>
        </w:rPr>
      </w:pPr>
      <w:r>
        <w:rPr>
          <w:rStyle w:val="a7"/>
        </w:rPr>
        <w:footnoteRef/>
      </w:r>
      <w:r>
        <w:rPr>
          <w:rtl/>
        </w:rPr>
        <w:t xml:space="preserve"> </w:t>
      </w:r>
      <w:r>
        <w:rPr>
          <w:rFonts w:cs="Arial" w:hint="cs"/>
          <w:rtl/>
        </w:rPr>
        <w:t>אך</w:t>
      </w:r>
      <w:r w:rsidRPr="00525E2C">
        <w:rPr>
          <w:rFonts w:cs="Arial"/>
          <w:rtl/>
        </w:rPr>
        <w:t xml:space="preserve"> מהרא"י </w:t>
      </w:r>
      <w:r w:rsidRPr="00124E41">
        <w:rPr>
          <w:rFonts w:cs="Arial" w:hint="cs"/>
          <w:sz w:val="16"/>
          <w:szCs w:val="16"/>
          <w:rtl/>
        </w:rPr>
        <w:t>(</w:t>
      </w:r>
      <w:r w:rsidRPr="00124E41">
        <w:rPr>
          <w:rFonts w:cs="Arial"/>
          <w:sz w:val="16"/>
          <w:szCs w:val="16"/>
          <w:rtl/>
        </w:rPr>
        <w:t>בפסקיו סי</w:t>
      </w:r>
      <w:r w:rsidRPr="00124E41">
        <w:rPr>
          <w:rFonts w:cs="Arial" w:hint="cs"/>
          <w:sz w:val="16"/>
          <w:szCs w:val="16"/>
          <w:rtl/>
        </w:rPr>
        <w:t>'</w:t>
      </w:r>
      <w:r w:rsidRPr="00124E41">
        <w:rPr>
          <w:rFonts w:cs="Arial"/>
          <w:sz w:val="16"/>
          <w:szCs w:val="16"/>
          <w:rtl/>
        </w:rPr>
        <w:t xml:space="preserve"> ר"ן</w:t>
      </w:r>
      <w:r w:rsidRPr="00124E41">
        <w:rPr>
          <w:rFonts w:cs="Arial" w:hint="cs"/>
          <w:sz w:val="16"/>
          <w:szCs w:val="16"/>
          <w:rtl/>
        </w:rPr>
        <w:t xml:space="preserve">, הביאו הדרכ"מ שם) </w:t>
      </w:r>
      <w:r>
        <w:rPr>
          <w:rFonts w:cs="Arial" w:hint="cs"/>
          <w:rtl/>
        </w:rPr>
        <w:t>כתב</w:t>
      </w:r>
      <w:r w:rsidRPr="00525E2C">
        <w:rPr>
          <w:rFonts w:cs="Arial"/>
          <w:rtl/>
        </w:rPr>
        <w:t xml:space="preserve"> דאין צריך להחמיר בעדות הגט בקרוב ונתרחק כגון מי שמתה אשתו אע</w:t>
      </w:r>
      <w:r>
        <w:rPr>
          <w:rFonts w:cs="Arial" w:hint="cs"/>
          <w:rtl/>
        </w:rPr>
        <w:t>"</w:t>
      </w:r>
      <w:r w:rsidRPr="00525E2C">
        <w:rPr>
          <w:rFonts w:cs="Arial"/>
          <w:rtl/>
        </w:rPr>
        <w:t>פ שיש לו בנים ממנה וחותם לכתחלה.</w:t>
      </w:r>
    </w:p>
  </w:footnote>
  <w:footnote w:id="1185">
    <w:p w14:paraId="6B14A587" w14:textId="77777777" w:rsidR="00FA2119" w:rsidRDefault="00FA2119" w:rsidP="00FA2119">
      <w:pPr>
        <w:pStyle w:val="a5"/>
      </w:pPr>
      <w:r>
        <w:rPr>
          <w:rStyle w:val="a7"/>
        </w:rPr>
        <w:footnoteRef/>
      </w:r>
      <w:r>
        <w:rPr>
          <w:rtl/>
        </w:rPr>
        <w:t xml:space="preserve"> </w:t>
      </w:r>
      <w:r w:rsidRPr="00E55D0E">
        <w:rPr>
          <w:rFonts w:cs="Arial"/>
          <w:rtl/>
        </w:rPr>
        <w:t xml:space="preserve">וכן הוא בסדר הגט </w:t>
      </w:r>
      <w:r>
        <w:rPr>
          <w:rFonts w:cs="Arial" w:hint="cs"/>
          <w:rtl/>
        </w:rPr>
        <w:t>(</w:t>
      </w:r>
      <w:r w:rsidRPr="00E55D0E">
        <w:rPr>
          <w:rFonts w:cs="Arial"/>
          <w:rtl/>
        </w:rPr>
        <w:t>סי</w:t>
      </w:r>
      <w:r>
        <w:rPr>
          <w:rFonts w:cs="Arial" w:hint="cs"/>
          <w:rtl/>
        </w:rPr>
        <w:t>'</w:t>
      </w:r>
      <w:r w:rsidRPr="00E55D0E">
        <w:rPr>
          <w:rFonts w:cs="Arial"/>
          <w:rtl/>
        </w:rPr>
        <w:t xml:space="preserve"> סא</w:t>
      </w:r>
      <w:r>
        <w:rPr>
          <w:rFonts w:cs="Arial" w:hint="cs"/>
          <w:rtl/>
        </w:rPr>
        <w:t>),</w:t>
      </w:r>
      <w:r w:rsidRPr="00E55D0E">
        <w:rPr>
          <w:rFonts w:cs="Arial"/>
          <w:rtl/>
        </w:rPr>
        <w:t xml:space="preserve"> וכן הוא בסדר הגט דמרדכי (סי' תנב) וכן נוהגין, ודלא כסברא אחרת המוזכרת שם בסדר גיטין </w:t>
      </w:r>
      <w:r>
        <w:rPr>
          <w:rFonts w:cs="Arial" w:hint="cs"/>
          <w:rtl/>
        </w:rPr>
        <w:t>(</w:t>
      </w:r>
      <w:r w:rsidRPr="00E55D0E">
        <w:rPr>
          <w:rFonts w:cs="Arial"/>
          <w:rtl/>
        </w:rPr>
        <w:t>סי</w:t>
      </w:r>
      <w:r>
        <w:rPr>
          <w:rFonts w:cs="Arial" w:hint="cs"/>
          <w:rtl/>
        </w:rPr>
        <w:t>'</w:t>
      </w:r>
      <w:r w:rsidRPr="00E55D0E">
        <w:rPr>
          <w:rFonts w:cs="Arial"/>
          <w:rtl/>
        </w:rPr>
        <w:t xml:space="preserve"> סו</w:t>
      </w:r>
      <w:r>
        <w:rPr>
          <w:rFonts w:cs="Arial" w:hint="cs"/>
          <w:rtl/>
        </w:rPr>
        <w:t>)</w:t>
      </w:r>
      <w:r w:rsidRPr="00E55D0E">
        <w:rPr>
          <w:rFonts w:cs="Arial"/>
          <w:rtl/>
        </w:rPr>
        <w:t xml:space="preserve"> שיש להקפיד שלא ליקח עדי חתימה לעדי מסירה</w:t>
      </w:r>
      <w:r>
        <w:rPr>
          <w:rFonts w:cs="Arial" w:hint="cs"/>
          <w:rtl/>
        </w:rPr>
        <w:t>,</w:t>
      </w:r>
      <w:r w:rsidRPr="00E55D0E">
        <w:rPr>
          <w:rFonts w:cs="Arial"/>
          <w:rtl/>
        </w:rPr>
        <w:t xml:space="preserve"> ועיי"ש הטעם. ועיין לקמן סוף סימן קל"ג עוד מדין זה. עוד שם סימן ס"ג דהדיו והקולמוס שחותמים בו העדים יהיה ג"כ של בעל ויתחיל הקשיש שבעדים לחתום תחלה</w:t>
      </w:r>
      <w:r>
        <w:rPr>
          <w:rFonts w:cs="Arial" w:hint="cs"/>
          <w:rtl/>
        </w:rPr>
        <w:t>, דרכ"מ (אות כ).</w:t>
      </w:r>
      <w:r>
        <w:rPr>
          <w:rFonts w:hint="cs"/>
          <w:rtl/>
        </w:rPr>
        <w:t xml:space="preserve"> </w:t>
      </w:r>
      <w:r w:rsidRPr="00763F26">
        <w:rPr>
          <w:rFonts w:hint="cs"/>
          <w:color w:val="00B0F0"/>
          <w:rtl/>
        </w:rPr>
        <w:t>(וכ"פ הרמ"א)</w:t>
      </w:r>
    </w:p>
  </w:footnote>
  <w:footnote w:id="1186">
    <w:p w14:paraId="121F1013" w14:textId="77777777" w:rsidR="00FA2119" w:rsidRDefault="00FA2119" w:rsidP="00FA2119">
      <w:pPr>
        <w:pStyle w:val="a5"/>
        <w:rPr>
          <w:rtl/>
        </w:rPr>
      </w:pPr>
      <w:r>
        <w:rPr>
          <w:rStyle w:val="a7"/>
        </w:rPr>
        <w:footnoteRef/>
      </w:r>
      <w:r>
        <w:rPr>
          <w:rtl/>
        </w:rPr>
        <w:t xml:space="preserve"> </w:t>
      </w:r>
      <w:r w:rsidRPr="0045000F">
        <w:rPr>
          <w:rFonts w:cs="Arial"/>
          <w:rtl/>
        </w:rPr>
        <w:t>וכ</w:t>
      </w:r>
      <w:r>
        <w:rPr>
          <w:rFonts w:cs="Arial" w:hint="cs"/>
          <w:rtl/>
        </w:rPr>
        <w:t>"</w:t>
      </w:r>
      <w:r w:rsidRPr="0045000F">
        <w:rPr>
          <w:rFonts w:cs="Arial"/>
          <w:rtl/>
        </w:rPr>
        <w:t>כ בהלכות הגט דמרדכי (סי' תנב) ובסדר הגט דספר התרומה (סי' קלא)</w:t>
      </w:r>
      <w:r>
        <w:rPr>
          <w:rFonts w:cs="Arial" w:hint="cs"/>
          <w:rtl/>
        </w:rPr>
        <w:t>,</w:t>
      </w:r>
      <w:r w:rsidRPr="0045000F">
        <w:rPr>
          <w:rFonts w:cs="Arial"/>
          <w:rtl/>
        </w:rPr>
        <w:t xml:space="preserve"> ובסימן שאחר זה אבאר יותר</w:t>
      </w:r>
      <w:r>
        <w:rPr>
          <w:rFonts w:cs="Arial" w:hint="cs"/>
          <w:rtl/>
        </w:rPr>
        <w:t>, ב"י.</w:t>
      </w:r>
    </w:p>
  </w:footnote>
  <w:footnote w:id="1187">
    <w:p w14:paraId="4CB86F42" w14:textId="4366BFD9" w:rsidR="00FA2119" w:rsidRDefault="00FA2119" w:rsidP="00FA2119">
      <w:pPr>
        <w:pStyle w:val="a5"/>
        <w:rPr>
          <w:rtl/>
        </w:rPr>
      </w:pPr>
      <w:r>
        <w:rPr>
          <w:rStyle w:val="a7"/>
        </w:rPr>
        <w:footnoteRef/>
      </w:r>
      <w:r>
        <w:rPr>
          <w:rtl/>
        </w:rPr>
        <w:t xml:space="preserve"> </w:t>
      </w:r>
      <w:r w:rsidRPr="00E55D0E">
        <w:rPr>
          <w:rFonts w:cs="Arial"/>
          <w:rtl/>
        </w:rPr>
        <w:t>במרדכי הלכות גט (סי' תנד) ולא יחתמו העדים זה בצד זה אלא זה תחת זה</w:t>
      </w:r>
      <w:r w:rsidR="00D60704">
        <w:rPr>
          <w:rFonts w:cs="Arial" w:hint="cs"/>
          <w:rtl/>
        </w:rPr>
        <w:t>, דרכ"מ (אות כא).</w:t>
      </w:r>
    </w:p>
  </w:footnote>
  <w:footnote w:id="1188">
    <w:p w14:paraId="5A912652" w14:textId="541B50B3" w:rsidR="00FA2119" w:rsidRDefault="00FA2119" w:rsidP="00FA2119">
      <w:pPr>
        <w:pStyle w:val="a5"/>
      </w:pPr>
      <w:r>
        <w:rPr>
          <w:rStyle w:val="a7"/>
        </w:rPr>
        <w:footnoteRef/>
      </w:r>
      <w:r>
        <w:rPr>
          <w:rtl/>
        </w:rPr>
        <w:t xml:space="preserve"> </w:t>
      </w:r>
      <w:r w:rsidRPr="00F70DA0">
        <w:rPr>
          <w:rFonts w:cs="Arial"/>
          <w:rtl/>
        </w:rPr>
        <w:t xml:space="preserve">עיין בס' ישועות יעקב </w:t>
      </w:r>
      <w:r>
        <w:rPr>
          <w:rFonts w:cs="Arial" w:hint="cs"/>
          <w:rtl/>
        </w:rPr>
        <w:t>(</w:t>
      </w:r>
      <w:r w:rsidRPr="00F70DA0">
        <w:rPr>
          <w:rFonts w:cs="Arial"/>
          <w:rtl/>
        </w:rPr>
        <w:t>סק"ג</w:t>
      </w:r>
      <w:r>
        <w:rPr>
          <w:rFonts w:cs="Arial" w:hint="cs"/>
          <w:rtl/>
        </w:rPr>
        <w:t>)</w:t>
      </w:r>
      <w:r w:rsidRPr="00F70DA0">
        <w:rPr>
          <w:rFonts w:cs="Arial"/>
          <w:rtl/>
        </w:rPr>
        <w:t xml:space="preserve"> שכ' טוב טעם לזה משום דדעת כמה פוסקים דכתב סופר ועד כשר בדיעבד עכ"פ א"כ הסופר נחשב כעד והוי כמו נמצא אחד מהן קרוב או פסול </w:t>
      </w:r>
      <w:r w:rsidRPr="009B5038">
        <w:rPr>
          <w:rFonts w:cs="Arial" w:hint="cs"/>
          <w:sz w:val="16"/>
          <w:szCs w:val="16"/>
          <w:rtl/>
        </w:rPr>
        <w:t>(</w:t>
      </w:r>
      <w:r w:rsidRPr="009B5038">
        <w:rPr>
          <w:rFonts w:cs="Arial"/>
          <w:sz w:val="16"/>
          <w:szCs w:val="16"/>
          <w:rtl/>
        </w:rPr>
        <w:t xml:space="preserve">ע' בח"מ סי' מ"ה סי"ב </w:t>
      </w:r>
      <w:r w:rsidR="009334FF">
        <w:rPr>
          <w:rFonts w:cs="Arial"/>
          <w:sz w:val="16"/>
          <w:szCs w:val="16"/>
          <w:rtl/>
        </w:rPr>
        <w:t>בהג"ה</w:t>
      </w:r>
      <w:r w:rsidRPr="009B5038">
        <w:rPr>
          <w:rFonts w:cs="Arial" w:hint="cs"/>
          <w:sz w:val="16"/>
          <w:szCs w:val="16"/>
          <w:rtl/>
        </w:rPr>
        <w:t>.</w:t>
      </w:r>
      <w:r w:rsidRPr="009B5038">
        <w:rPr>
          <w:rFonts w:cs="Arial"/>
          <w:sz w:val="16"/>
          <w:szCs w:val="16"/>
          <w:rtl/>
        </w:rPr>
        <w:t xml:space="preserve"> ובזה מסולק קושיית מהרי"ק (ע' בד"מ ס"ס זה) מהא דהבעל עצמו כותב את גיטו דידוע דבעל דבר שאינו בגדר העדות אינו פוסל שאר עדים כו' ע"ש</w:t>
      </w:r>
      <w:r>
        <w:rPr>
          <w:rFonts w:cs="Arial" w:hint="cs"/>
          <w:sz w:val="16"/>
          <w:szCs w:val="16"/>
          <w:rtl/>
        </w:rPr>
        <w:t xml:space="preserve">. </w:t>
      </w:r>
      <w:r w:rsidRPr="009B5038">
        <w:rPr>
          <w:rFonts w:cs="Arial"/>
          <w:sz w:val="16"/>
          <w:szCs w:val="16"/>
          <w:rtl/>
        </w:rPr>
        <w:t>ומ"מ בדיעבד אין מקום לפסול מחמת זה כמובן ולקמן ס"ס קנ"ד בסדר הגט כ' הוא עצמו ז"ל כן בהדיא ע"ש)</w:t>
      </w:r>
      <w:r>
        <w:rPr>
          <w:rFonts w:cs="Arial" w:hint="cs"/>
          <w:rtl/>
        </w:rPr>
        <w:t>, פת"ש (סק"ב).</w:t>
      </w:r>
    </w:p>
  </w:footnote>
  <w:footnote w:id="1189">
    <w:p w14:paraId="0D77EE7C" w14:textId="75974AFA" w:rsidR="00FA2119" w:rsidRDefault="00FA2119" w:rsidP="00FA2119">
      <w:pPr>
        <w:pStyle w:val="a5"/>
      </w:pPr>
      <w:r>
        <w:rPr>
          <w:rStyle w:val="a7"/>
        </w:rPr>
        <w:footnoteRef/>
      </w:r>
      <w:r>
        <w:rPr>
          <w:rtl/>
        </w:rPr>
        <w:t xml:space="preserve"> </w:t>
      </w:r>
      <w:r>
        <w:rPr>
          <w:rFonts w:hint="cs"/>
          <w:rtl/>
        </w:rPr>
        <w:t>סימן</w:t>
      </w:r>
      <w:r>
        <w:rPr>
          <w:rFonts w:hint="cs"/>
          <w:sz w:val="16"/>
          <w:szCs w:val="16"/>
          <w:rtl/>
        </w:rPr>
        <w:t xml:space="preserve"> </w:t>
      </w:r>
      <w:r w:rsidR="00A42812">
        <w:rPr>
          <w:rtl/>
        </w:rPr>
        <w:t>-</w:t>
      </w:r>
      <w:r>
        <w:rPr>
          <w:rFonts w:hint="cs"/>
          <w:rtl/>
        </w:rPr>
        <w:t xml:space="preserve"> קלף וסהדותא בגוש. </w:t>
      </w:r>
    </w:p>
  </w:footnote>
  <w:footnote w:id="1190">
    <w:p w14:paraId="4D04C497" w14:textId="77777777" w:rsidR="00FA2119" w:rsidRDefault="00FA2119" w:rsidP="00FA2119">
      <w:pPr>
        <w:pStyle w:val="a5"/>
        <w:rPr>
          <w:rtl/>
        </w:rPr>
      </w:pPr>
      <w:r>
        <w:rPr>
          <w:rStyle w:val="a7"/>
        </w:rPr>
        <w:footnoteRef/>
      </w:r>
      <w:r>
        <w:rPr>
          <w:rFonts w:cs="Arial" w:hint="cs"/>
          <w:rtl/>
        </w:rPr>
        <w:t xml:space="preserve"> </w:t>
      </w:r>
      <w:r w:rsidRPr="00B700F3">
        <w:rPr>
          <w:rFonts w:cs="Arial"/>
          <w:rtl/>
        </w:rPr>
        <w:t>הרחיק את העדים כשיעור שני שיטין פסול</w:t>
      </w:r>
      <w:r>
        <w:rPr>
          <w:rFonts w:hint="cs"/>
          <w:rtl/>
        </w:rPr>
        <w:t>, רשב"ם.</w:t>
      </w:r>
    </w:p>
  </w:footnote>
  <w:footnote w:id="1191">
    <w:p w14:paraId="4AF6C1E0" w14:textId="77777777" w:rsidR="00FA2119" w:rsidRDefault="00FA2119" w:rsidP="00FA2119">
      <w:pPr>
        <w:pStyle w:val="a5"/>
      </w:pPr>
      <w:r>
        <w:rPr>
          <w:rStyle w:val="a7"/>
        </w:rPr>
        <w:footnoteRef/>
      </w:r>
      <w:r>
        <w:rPr>
          <w:rtl/>
        </w:rPr>
        <w:t xml:space="preserve"> </w:t>
      </w:r>
      <w:r>
        <w:rPr>
          <w:rFonts w:hint="cs"/>
          <w:rtl/>
        </w:rPr>
        <w:t>היינו לקיום, וגם הקיום נעשה ע"י חתימת ב' עדים.</w:t>
      </w:r>
    </w:p>
  </w:footnote>
  <w:footnote w:id="1192">
    <w:p w14:paraId="7778933A" w14:textId="77777777" w:rsidR="00FA2119" w:rsidRDefault="00FA2119" w:rsidP="00FA2119">
      <w:pPr>
        <w:pStyle w:val="a5"/>
      </w:pPr>
      <w:r>
        <w:rPr>
          <w:rStyle w:val="a7"/>
        </w:rPr>
        <w:footnoteRef/>
      </w:r>
      <w:r>
        <w:rPr>
          <w:rtl/>
        </w:rPr>
        <w:t xml:space="preserve"> </w:t>
      </w:r>
      <w:r w:rsidRPr="0006506E">
        <w:rPr>
          <w:rFonts w:cs="Arial"/>
          <w:rtl/>
        </w:rPr>
        <w:t>ואע</w:t>
      </w:r>
      <w:r>
        <w:rPr>
          <w:rFonts w:cs="Arial" w:hint="cs"/>
          <w:rtl/>
        </w:rPr>
        <w:t>"</w:t>
      </w:r>
      <w:r w:rsidRPr="0006506E">
        <w:rPr>
          <w:rFonts w:cs="Arial"/>
          <w:rtl/>
        </w:rPr>
        <w:t>ג דמטייט ומפרש טעמא דרבי יוחנן דקסבר שטר שכתוב כולו בשיטה אחת וגם העדים חתומין באותה שיטה כשר ויכול לחתוך את העליון ויכתוב שטר ועדים פסולים באותה שיטה ואנו נסמוך אאשרתא לקיימן ואם השטר כולו בשיטה אחת והעדים בשיטה אחרת פסול</w:t>
      </w:r>
      <w:r>
        <w:rPr>
          <w:rFonts w:cs="Arial" w:hint="cs"/>
          <w:rtl/>
        </w:rPr>
        <w:t>, רשב"ם.</w:t>
      </w:r>
    </w:p>
  </w:footnote>
  <w:footnote w:id="1193">
    <w:p w14:paraId="67B504A4" w14:textId="77777777" w:rsidR="00FA2119" w:rsidRDefault="00FA2119" w:rsidP="00FA2119">
      <w:pPr>
        <w:pStyle w:val="a5"/>
      </w:pPr>
      <w:r>
        <w:rPr>
          <w:rStyle w:val="a7"/>
        </w:rPr>
        <w:footnoteRef/>
      </w:r>
      <w:r>
        <w:rPr>
          <w:rtl/>
        </w:rPr>
        <w:t xml:space="preserve"> </w:t>
      </w:r>
      <w:r>
        <w:rPr>
          <w:rFonts w:hint="cs"/>
          <w:rtl/>
        </w:rPr>
        <w:t>וכן איתא בגיטין (פז.).</w:t>
      </w:r>
    </w:p>
  </w:footnote>
  <w:footnote w:id="1194">
    <w:p w14:paraId="267FE910" w14:textId="4EC2A3F8" w:rsidR="00FA2119" w:rsidRDefault="00FA2119" w:rsidP="00FA2119">
      <w:pPr>
        <w:pStyle w:val="a5"/>
      </w:pPr>
      <w:r>
        <w:rPr>
          <w:rStyle w:val="a7"/>
        </w:rPr>
        <w:footnoteRef/>
      </w:r>
      <w:r>
        <w:rPr>
          <w:rtl/>
        </w:rPr>
        <w:t xml:space="preserve"> </w:t>
      </w:r>
      <w:r w:rsidRPr="00D65518">
        <w:rPr>
          <w:rFonts w:cs="Arial"/>
          <w:rtl/>
        </w:rPr>
        <w:t>וכתב עליו הר"ן בהמגרש (מח: ד"ה זמן) ולי אפשר דכיון שאין העדות מתברר ומוכיח הרי הוא כאילו אין כאן עדים כלל</w:t>
      </w:r>
      <w:r w:rsidR="00D7633B">
        <w:rPr>
          <w:rFonts w:cs="Arial" w:hint="cs"/>
          <w:rtl/>
        </w:rPr>
        <w:t>.</w:t>
      </w:r>
      <w:r w:rsidRPr="00D65518">
        <w:rPr>
          <w:rFonts w:cs="Arial"/>
          <w:rtl/>
        </w:rPr>
        <w:t xml:space="preserve"> והא דאמרינן חיישינן אינו אלא טעם הפיסול</w:t>
      </w:r>
      <w:r w:rsidR="00D7633B">
        <w:rPr>
          <w:rFonts w:cs="Arial" w:hint="cs"/>
          <w:rtl/>
        </w:rPr>
        <w:t>.</w:t>
      </w:r>
      <w:r w:rsidRPr="00D65518">
        <w:rPr>
          <w:rFonts w:cs="Arial"/>
          <w:rtl/>
        </w:rPr>
        <w:t xml:space="preserve"> ומיהו מנקט לחומרא עדיף עכ"ל</w:t>
      </w:r>
      <w:r>
        <w:rPr>
          <w:rFonts w:cs="Arial" w:hint="cs"/>
          <w:rtl/>
        </w:rPr>
        <w:t>, ב"י.</w:t>
      </w:r>
    </w:p>
  </w:footnote>
  <w:footnote w:id="1195">
    <w:p w14:paraId="05B24253" w14:textId="7ABB15D6" w:rsidR="00F16F4E" w:rsidRDefault="00F16F4E">
      <w:pPr>
        <w:pStyle w:val="a5"/>
        <w:rPr>
          <w:rtl/>
        </w:rPr>
      </w:pPr>
      <w:r>
        <w:rPr>
          <w:rStyle w:val="a7"/>
        </w:rPr>
        <w:footnoteRef/>
      </w:r>
      <w:r>
        <w:rPr>
          <w:rtl/>
        </w:rPr>
        <w:t xml:space="preserve"> </w:t>
      </w:r>
      <w:r w:rsidRPr="00F16F4E">
        <w:rPr>
          <w:rFonts w:cs="Arial"/>
          <w:rtl/>
        </w:rPr>
        <w:t xml:space="preserve">ולשיטת הרמב"ם </w:t>
      </w:r>
      <w:r w:rsidR="00F71747">
        <w:rPr>
          <w:rFonts w:cs="Arial" w:hint="cs"/>
          <w:rtl/>
        </w:rPr>
        <w:t xml:space="preserve">(פ"א מהל' גירושין הט"ז) </w:t>
      </w:r>
      <w:r w:rsidRPr="00F16F4E">
        <w:rPr>
          <w:rFonts w:cs="Arial"/>
          <w:rtl/>
        </w:rPr>
        <w:t>די בע</w:t>
      </w:r>
      <w:r w:rsidR="00F71747">
        <w:rPr>
          <w:rFonts w:cs="Arial" w:hint="cs"/>
          <w:rtl/>
        </w:rPr>
        <w:t>די חתימה</w:t>
      </w:r>
      <w:r w:rsidRPr="00F16F4E">
        <w:rPr>
          <w:rFonts w:cs="Arial"/>
          <w:rtl/>
        </w:rPr>
        <w:t xml:space="preserve"> לבד</w:t>
      </w:r>
      <w:r>
        <w:rPr>
          <w:rFonts w:cs="Arial" w:hint="cs"/>
          <w:rtl/>
        </w:rPr>
        <w:t>.</w:t>
      </w:r>
      <w:r w:rsidRPr="00F16F4E">
        <w:rPr>
          <w:rFonts w:cs="Arial"/>
          <w:rtl/>
        </w:rPr>
        <w:t xml:space="preserve"> ואם ליכא ע"מ יש חילוק בדבר</w:t>
      </w:r>
      <w:r>
        <w:rPr>
          <w:rFonts w:cs="Arial" w:hint="cs"/>
          <w:rtl/>
        </w:rPr>
        <w:t>,</w:t>
      </w:r>
      <w:r w:rsidRPr="00F16F4E">
        <w:rPr>
          <w:rFonts w:cs="Arial"/>
          <w:rtl/>
        </w:rPr>
        <w:t xml:space="preserve"> אם מוכח דהעדי</w:t>
      </w:r>
      <w:r w:rsidR="00F71747">
        <w:rPr>
          <w:rFonts w:cs="Arial" w:hint="cs"/>
          <w:rtl/>
        </w:rPr>
        <w:t>ם</w:t>
      </w:r>
      <w:r w:rsidRPr="00F16F4E">
        <w:rPr>
          <w:rFonts w:cs="Arial"/>
          <w:rtl/>
        </w:rPr>
        <w:t xml:space="preserve"> החתומי</w:t>
      </w:r>
      <w:r w:rsidR="00F71747">
        <w:rPr>
          <w:rFonts w:cs="Arial" w:hint="cs"/>
          <w:rtl/>
        </w:rPr>
        <w:t>ם</w:t>
      </w:r>
      <w:r w:rsidRPr="00F16F4E">
        <w:rPr>
          <w:rFonts w:cs="Arial"/>
          <w:rtl/>
        </w:rPr>
        <w:t xml:space="preserve"> לא קאי על גט זה </w:t>
      </w:r>
      <w:r>
        <w:rPr>
          <w:rFonts w:cs="Arial" w:hint="cs"/>
          <w:rtl/>
        </w:rPr>
        <w:t xml:space="preserve">- </w:t>
      </w:r>
      <w:r w:rsidRPr="00F16F4E">
        <w:rPr>
          <w:rFonts w:cs="Arial"/>
          <w:rtl/>
        </w:rPr>
        <w:t>אז הגט בטל</w:t>
      </w:r>
      <w:r>
        <w:rPr>
          <w:rFonts w:cs="Arial" w:hint="cs"/>
          <w:rtl/>
        </w:rPr>
        <w:t>.</w:t>
      </w:r>
      <w:r w:rsidRPr="00F16F4E">
        <w:rPr>
          <w:rFonts w:cs="Arial"/>
          <w:rtl/>
        </w:rPr>
        <w:t xml:space="preserve"> אבל אם אינו מוכח</w:t>
      </w:r>
      <w:r>
        <w:rPr>
          <w:rFonts w:cs="Arial" w:hint="cs"/>
          <w:rtl/>
        </w:rPr>
        <w:t>,</w:t>
      </w:r>
      <w:r w:rsidRPr="00F16F4E">
        <w:rPr>
          <w:rFonts w:cs="Arial"/>
          <w:rtl/>
        </w:rPr>
        <w:t xml:space="preserve"> כגון בשאלת שלום</w:t>
      </w:r>
      <w:r>
        <w:rPr>
          <w:rFonts w:cs="Arial" w:hint="cs"/>
          <w:rtl/>
        </w:rPr>
        <w:t>,</w:t>
      </w:r>
      <w:r w:rsidRPr="00F16F4E">
        <w:rPr>
          <w:rFonts w:cs="Arial"/>
          <w:rtl/>
        </w:rPr>
        <w:t xml:space="preserve"> וכן אם שייר מקצת הגט וכתב בדף השני </w:t>
      </w:r>
      <w:r>
        <w:rPr>
          <w:rFonts w:cs="Arial" w:hint="cs"/>
          <w:rtl/>
        </w:rPr>
        <w:t xml:space="preserve">- </w:t>
      </w:r>
      <w:r w:rsidRPr="00F16F4E">
        <w:rPr>
          <w:rFonts w:cs="Arial"/>
          <w:rtl/>
        </w:rPr>
        <w:t>הוי ספק גט</w:t>
      </w:r>
      <w:r>
        <w:rPr>
          <w:rFonts w:cs="Arial" w:hint="cs"/>
          <w:rtl/>
        </w:rPr>
        <w:t>.</w:t>
      </w:r>
      <w:r w:rsidRPr="00F16F4E">
        <w:rPr>
          <w:rFonts w:cs="Arial"/>
          <w:rtl/>
        </w:rPr>
        <w:t xml:space="preserve"> ואפילו לא כתב וא"ו של ושאלו מ"מ י"ל דחתימתו קאי על הגט נמי ואינו אלא ספק</w:t>
      </w:r>
      <w:r>
        <w:rPr>
          <w:rFonts w:hint="cs"/>
          <w:rtl/>
        </w:rPr>
        <w:t>..., ב"ש (סק"ד).</w:t>
      </w:r>
    </w:p>
  </w:footnote>
  <w:footnote w:id="1196">
    <w:p w14:paraId="141CCA5B" w14:textId="77777777" w:rsidR="00FA2119" w:rsidRDefault="00FA2119" w:rsidP="00FA2119">
      <w:pPr>
        <w:pStyle w:val="a5"/>
      </w:pPr>
      <w:r>
        <w:rPr>
          <w:rStyle w:val="a7"/>
        </w:rPr>
        <w:footnoteRef/>
      </w:r>
      <w:r>
        <w:rPr>
          <w:rtl/>
        </w:rPr>
        <w:t xml:space="preserve"> </w:t>
      </w:r>
      <w:r w:rsidRPr="000E0FC6">
        <w:rPr>
          <w:rFonts w:cs="Arial"/>
          <w:rtl/>
        </w:rPr>
        <w:t>בגליון של ימין הגט או בגליון השמאלי</w:t>
      </w:r>
      <w:r>
        <w:rPr>
          <w:rFonts w:cs="Arial" w:hint="cs"/>
          <w:rtl/>
        </w:rPr>
        <w:t>, רש"י.</w:t>
      </w:r>
    </w:p>
  </w:footnote>
  <w:footnote w:id="1197">
    <w:p w14:paraId="2F8BB9BC" w14:textId="77777777" w:rsidR="00FA2119" w:rsidRDefault="00FA2119" w:rsidP="00FA2119">
      <w:pPr>
        <w:pStyle w:val="a5"/>
      </w:pPr>
      <w:r>
        <w:rPr>
          <w:rStyle w:val="a7"/>
        </w:rPr>
        <w:footnoteRef/>
      </w:r>
      <w:r>
        <w:rPr>
          <w:rtl/>
        </w:rPr>
        <w:t xml:space="preserve"> </w:t>
      </w:r>
      <w:r w:rsidRPr="000E0FC6">
        <w:rPr>
          <w:rFonts w:cs="Arial"/>
          <w:rtl/>
        </w:rPr>
        <w:t>חיבר זה אצל זה</w:t>
      </w:r>
      <w:r>
        <w:rPr>
          <w:rFonts w:cs="Arial" w:hint="cs"/>
          <w:rtl/>
        </w:rPr>
        <w:t>,</w:t>
      </w:r>
      <w:r w:rsidRPr="000E0FC6">
        <w:rPr>
          <w:rFonts w:cs="Arial"/>
          <w:rtl/>
        </w:rPr>
        <w:t xml:space="preserve"> כמו אין מקיפין שתי חביות (ביצה</w:t>
      </w:r>
      <w:r>
        <w:rPr>
          <w:rFonts w:cs="Arial" w:hint="cs"/>
          <w:rtl/>
        </w:rPr>
        <w:t xml:space="preserve"> </w:t>
      </w:r>
      <w:r w:rsidRPr="000E0FC6">
        <w:rPr>
          <w:rFonts w:cs="Arial"/>
          <w:rtl/>
        </w:rPr>
        <w:t>לב:)</w:t>
      </w:r>
      <w:r>
        <w:rPr>
          <w:rFonts w:cs="Arial" w:hint="cs"/>
          <w:rtl/>
        </w:rPr>
        <w:t>, רש"י.</w:t>
      </w:r>
    </w:p>
  </w:footnote>
  <w:footnote w:id="1198">
    <w:p w14:paraId="1E612F60" w14:textId="77777777" w:rsidR="00FA2119" w:rsidRDefault="00FA2119" w:rsidP="00FA2119">
      <w:pPr>
        <w:pStyle w:val="a5"/>
        <w:rPr>
          <w:rtl/>
        </w:rPr>
      </w:pPr>
      <w:r>
        <w:rPr>
          <w:rStyle w:val="a7"/>
        </w:rPr>
        <w:footnoteRef/>
      </w:r>
      <w:r>
        <w:rPr>
          <w:rtl/>
        </w:rPr>
        <w:t xml:space="preserve"> </w:t>
      </w:r>
      <w:r w:rsidRPr="000E0FC6">
        <w:rPr>
          <w:rFonts w:cs="Arial"/>
          <w:rtl/>
        </w:rPr>
        <w:t>שאין נקרים החתימה לא עם זה ולא עם זה</w:t>
      </w:r>
      <w:r>
        <w:rPr>
          <w:rFonts w:hint="cs"/>
          <w:rtl/>
        </w:rPr>
        <w:t>, רש"י.</w:t>
      </w:r>
    </w:p>
  </w:footnote>
  <w:footnote w:id="1199">
    <w:p w14:paraId="116333B2" w14:textId="77777777" w:rsidR="00FA2119" w:rsidRDefault="00FA2119" w:rsidP="00FA2119">
      <w:pPr>
        <w:pStyle w:val="a5"/>
      </w:pPr>
      <w:r>
        <w:rPr>
          <w:rStyle w:val="a7"/>
        </w:rPr>
        <w:footnoteRef/>
      </w:r>
      <w:r>
        <w:rPr>
          <w:rtl/>
        </w:rPr>
        <w:t xml:space="preserve"> </w:t>
      </w:r>
      <w:r w:rsidRPr="00A16D1D">
        <w:rPr>
          <w:rFonts w:cs="Arial"/>
          <w:rtl/>
        </w:rPr>
        <w:t>שגג חתימת העדים כלפיו כדרך החותמין כשר</w:t>
      </w:r>
      <w:r>
        <w:rPr>
          <w:rFonts w:cs="Arial" w:hint="cs"/>
          <w:rtl/>
        </w:rPr>
        <w:t>, רש"י.</w:t>
      </w:r>
    </w:p>
  </w:footnote>
  <w:footnote w:id="1200">
    <w:p w14:paraId="25C2E186" w14:textId="77777777" w:rsidR="00FA2119" w:rsidRDefault="00FA2119" w:rsidP="00FA2119">
      <w:pPr>
        <w:pStyle w:val="a5"/>
      </w:pPr>
      <w:r>
        <w:rPr>
          <w:rStyle w:val="a7"/>
        </w:rPr>
        <w:footnoteRef/>
      </w:r>
      <w:r>
        <w:rPr>
          <w:rtl/>
        </w:rPr>
        <w:t xml:space="preserve"> </w:t>
      </w:r>
      <w:r w:rsidRPr="00A16D1D">
        <w:rPr>
          <w:rFonts w:cs="Arial"/>
          <w:rtl/>
        </w:rPr>
        <w:t>שגג חתימה כלפי סופו ולא שרגלי חתימה כלפי ראשו</w:t>
      </w:r>
      <w:r>
        <w:rPr>
          <w:rFonts w:cs="Arial" w:hint="cs"/>
          <w:rtl/>
        </w:rPr>
        <w:t>, רש"י.</w:t>
      </w:r>
    </w:p>
  </w:footnote>
  <w:footnote w:id="1201">
    <w:p w14:paraId="40528B73" w14:textId="5726F98A" w:rsidR="00FA2119" w:rsidRDefault="00FA2119" w:rsidP="00FA2119">
      <w:pPr>
        <w:pStyle w:val="a5"/>
        <w:rPr>
          <w:rtl/>
        </w:rPr>
      </w:pPr>
      <w:r>
        <w:rPr>
          <w:rStyle w:val="a7"/>
        </w:rPr>
        <w:footnoteRef/>
      </w:r>
      <w:r>
        <w:rPr>
          <w:rtl/>
        </w:rPr>
        <w:t xml:space="preserve"> </w:t>
      </w:r>
      <w:r w:rsidRPr="00D65518">
        <w:rPr>
          <w:rFonts w:cs="Arial"/>
          <w:rtl/>
        </w:rPr>
        <w:t>משום דלא גרע מאם לא היו שם עדים חתומים כלל. וכתב הה</w:t>
      </w:r>
      <w:r>
        <w:rPr>
          <w:rFonts w:cs="Arial" w:hint="cs"/>
          <w:rtl/>
        </w:rPr>
        <w:t>"</w:t>
      </w:r>
      <w:r w:rsidRPr="00D65518">
        <w:rPr>
          <w:rFonts w:cs="Arial"/>
          <w:rtl/>
        </w:rPr>
        <w:t>מ בפרק הנזכר (הי"ח) על חמשה שכתבו גט אחד לחמש נשותיהן שכן דעת הרמב"ן (פו: ד"ה והא)</w:t>
      </w:r>
      <w:r>
        <w:rPr>
          <w:rFonts w:cs="Arial" w:hint="cs"/>
          <w:rtl/>
        </w:rPr>
        <w:t>,</w:t>
      </w:r>
      <w:r w:rsidRPr="00D65518">
        <w:rPr>
          <w:rFonts w:cs="Arial"/>
          <w:rtl/>
        </w:rPr>
        <w:t xml:space="preserve"> שכתב </w:t>
      </w:r>
      <w:r w:rsidR="000A0F5A">
        <w:rPr>
          <w:rFonts w:cs="Arial"/>
          <w:rtl/>
        </w:rPr>
        <w:t>וז"ל:</w:t>
      </w:r>
      <w:r w:rsidRPr="00D65518">
        <w:rPr>
          <w:rFonts w:cs="Arial"/>
          <w:rtl/>
        </w:rPr>
        <w:t xml:space="preserve"> והא דתנן (פו:) חמשה שכתבו טופס לכל אחת</w:t>
      </w:r>
      <w:r>
        <w:rPr>
          <w:rFonts w:cs="Arial" w:hint="cs"/>
          <w:rtl/>
        </w:rPr>
        <w:t>,</w:t>
      </w:r>
      <w:r w:rsidRPr="00D65518">
        <w:rPr>
          <w:rFonts w:cs="Arial"/>
          <w:rtl/>
        </w:rPr>
        <w:t xml:space="preserve"> ושני גיטין וכתבו העדים בראש הדף</w:t>
      </w:r>
      <w:r>
        <w:rPr>
          <w:rFonts w:cs="Arial" w:hint="cs"/>
          <w:rtl/>
        </w:rPr>
        <w:t>,</w:t>
      </w:r>
      <w:r w:rsidRPr="00D65518">
        <w:rPr>
          <w:rFonts w:cs="Arial"/>
          <w:rtl/>
        </w:rPr>
        <w:t xml:space="preserve"> כתב הרמב"ם (הכ"ב) דכולם בעדי מסירה כשרים</w:t>
      </w:r>
      <w:r>
        <w:rPr>
          <w:rFonts w:cs="Arial" w:hint="cs"/>
          <w:rtl/>
        </w:rPr>
        <w:t>,</w:t>
      </w:r>
      <w:r w:rsidRPr="00D65518">
        <w:rPr>
          <w:rFonts w:cs="Arial"/>
          <w:rtl/>
        </w:rPr>
        <w:t xml:space="preserve"> ושפתים ישק משיב דברים נכוחים (משלי כד כו)</w:t>
      </w:r>
      <w:r>
        <w:rPr>
          <w:rFonts w:cs="Arial" w:hint="cs"/>
          <w:rtl/>
        </w:rPr>
        <w:t>.</w:t>
      </w:r>
      <w:r w:rsidRPr="00D65518">
        <w:rPr>
          <w:rFonts w:cs="Arial"/>
          <w:rtl/>
        </w:rPr>
        <w:t xml:space="preserve"> ודאי מזוייף מתוכו אין כאן</w:t>
      </w:r>
      <w:r>
        <w:rPr>
          <w:rFonts w:cs="Arial" w:hint="cs"/>
          <w:rtl/>
        </w:rPr>
        <w:t>,</w:t>
      </w:r>
      <w:r w:rsidRPr="00D65518">
        <w:rPr>
          <w:rFonts w:cs="Arial"/>
          <w:rtl/>
        </w:rPr>
        <w:t xml:space="preserve"> דכל שפיסולו ניכר הוא אין לחוש בו</w:t>
      </w:r>
      <w:r>
        <w:rPr>
          <w:rFonts w:cs="Arial" w:hint="cs"/>
          <w:rtl/>
        </w:rPr>
        <w:t>,</w:t>
      </w:r>
      <w:r w:rsidRPr="00D65518">
        <w:rPr>
          <w:rFonts w:cs="Arial"/>
          <w:rtl/>
        </w:rPr>
        <w:t xml:space="preserve"> דהא ידוע מילתא לכל מי דמטא שטרא לידיה ולא אתי למיסמך עליה</w:t>
      </w:r>
      <w:r>
        <w:rPr>
          <w:rFonts w:cs="Arial" w:hint="cs"/>
          <w:rtl/>
        </w:rPr>
        <w:t>,</w:t>
      </w:r>
      <w:r w:rsidRPr="00D65518">
        <w:rPr>
          <w:rFonts w:cs="Arial"/>
          <w:rtl/>
        </w:rPr>
        <w:t xml:space="preserve"> דהא לא עליה חתימי סהדי</w:t>
      </w:r>
      <w:r>
        <w:rPr>
          <w:rFonts w:cs="Arial" w:hint="cs"/>
          <w:rtl/>
        </w:rPr>
        <w:t>.</w:t>
      </w:r>
      <w:r w:rsidRPr="00D65518">
        <w:rPr>
          <w:rFonts w:cs="Arial"/>
          <w:rtl/>
        </w:rPr>
        <w:t xml:space="preserve"> ואין צריך לומר בראש הדף ומאחריו ומן הצד דלא הוי אלא כגט שאין עליו עדים</w:t>
      </w:r>
      <w:r>
        <w:rPr>
          <w:rFonts w:cs="Arial" w:hint="cs"/>
          <w:rtl/>
        </w:rPr>
        <w:t>,</w:t>
      </w:r>
      <w:r w:rsidRPr="00D65518">
        <w:rPr>
          <w:rFonts w:cs="Arial"/>
          <w:rtl/>
        </w:rPr>
        <w:t xml:space="preserve"> ואם נתנו לה בפני עדים כשר [עכ"ל]. וכן דעת הרשב"א (עכ"ל). וכבר כתבתי בסמוך דגם הר"ן סבירא ליה כהרמב"ם</w:t>
      </w:r>
      <w:r>
        <w:rPr>
          <w:rFonts w:cs="Arial" w:hint="cs"/>
          <w:rtl/>
        </w:rPr>
        <w:t>, ב"י.</w:t>
      </w:r>
    </w:p>
  </w:footnote>
  <w:footnote w:id="1202">
    <w:p w14:paraId="39BC9657" w14:textId="77777777" w:rsidR="00FA2119" w:rsidRDefault="00FA2119" w:rsidP="00FA2119">
      <w:pPr>
        <w:pStyle w:val="a5"/>
        <w:rPr>
          <w:rtl/>
        </w:rPr>
      </w:pPr>
      <w:r>
        <w:rPr>
          <w:rStyle w:val="a7"/>
        </w:rPr>
        <w:footnoteRef/>
      </w:r>
      <w:r>
        <w:rPr>
          <w:rtl/>
        </w:rPr>
        <w:t xml:space="preserve"> </w:t>
      </w:r>
      <w:r w:rsidRPr="003C58C2">
        <w:rPr>
          <w:rFonts w:cs="Arial"/>
          <w:rtl/>
        </w:rPr>
        <w:t>תרי גיטין הוו שלמים והשמאלי נכתב בגובהה של מגילה יותר מן הימיני עד דיתרמו עדים דידיה כלומר גמרו של שני כנגד התחלתו של ראשון</w:t>
      </w:r>
      <w:r>
        <w:rPr>
          <w:rFonts w:hint="cs"/>
          <w:rtl/>
        </w:rPr>
        <w:t>, רש"י.</w:t>
      </w:r>
    </w:p>
  </w:footnote>
  <w:footnote w:id="1203">
    <w:p w14:paraId="12E06019" w14:textId="77777777" w:rsidR="00FA2119" w:rsidRDefault="00FA2119" w:rsidP="00FA2119">
      <w:pPr>
        <w:pStyle w:val="a5"/>
      </w:pPr>
      <w:r>
        <w:rPr>
          <w:rStyle w:val="a7"/>
        </w:rPr>
        <w:footnoteRef/>
      </w:r>
      <w:r>
        <w:rPr>
          <w:rtl/>
        </w:rPr>
        <w:t xml:space="preserve"> </w:t>
      </w:r>
      <w:r w:rsidRPr="003C58C2">
        <w:rPr>
          <w:rFonts w:cs="Arial"/>
          <w:rtl/>
        </w:rPr>
        <w:t>היינו התחלתו ועדים דבתרא היינו סופו כלומר שיטות אחרונות שהעדים חתומין תחתיהן</w:t>
      </w:r>
      <w:r>
        <w:rPr>
          <w:rFonts w:cs="Arial" w:hint="cs"/>
          <w:rtl/>
        </w:rPr>
        <w:t>, רש"י.</w:t>
      </w:r>
    </w:p>
  </w:footnote>
  <w:footnote w:id="1204">
    <w:p w14:paraId="44D3666A" w14:textId="77777777" w:rsidR="00FA2119" w:rsidRDefault="00FA2119" w:rsidP="00FA2119">
      <w:pPr>
        <w:pStyle w:val="a5"/>
      </w:pPr>
      <w:r>
        <w:rPr>
          <w:rStyle w:val="a7"/>
        </w:rPr>
        <w:footnoteRef/>
      </w:r>
      <w:r>
        <w:rPr>
          <w:rtl/>
        </w:rPr>
        <w:t xml:space="preserve"> </w:t>
      </w:r>
      <w:r w:rsidRPr="003C58C2">
        <w:rPr>
          <w:rFonts w:cs="Arial"/>
          <w:rtl/>
        </w:rPr>
        <w:t>חתך סופו של ראשון שהיה שלו מפני תנאי שהיה בו וחתך ראשו של שני והשווהו לתחלתו של ראשון וכוון חתיכת סופו של ראשון תיבה אצל תיבה של שיור השני ומגרשה בשני חצאי גיטין והעדים לא על שלו חתמו</w:t>
      </w:r>
      <w:r>
        <w:rPr>
          <w:rFonts w:cs="Arial" w:hint="cs"/>
          <w:rtl/>
        </w:rPr>
        <w:t>, רש"י.</w:t>
      </w:r>
    </w:p>
  </w:footnote>
  <w:footnote w:id="1205">
    <w:p w14:paraId="7D0CC759" w14:textId="77777777" w:rsidR="00FA2119" w:rsidRDefault="00FA2119" w:rsidP="00FA2119">
      <w:pPr>
        <w:pStyle w:val="a5"/>
      </w:pPr>
      <w:r>
        <w:rPr>
          <w:rStyle w:val="a7"/>
        </w:rPr>
        <w:footnoteRef/>
      </w:r>
      <w:r>
        <w:rPr>
          <w:rtl/>
        </w:rPr>
        <w:t xml:space="preserve"> </w:t>
      </w:r>
      <w:r w:rsidRPr="003C58C2">
        <w:rPr>
          <w:rFonts w:cs="Arial"/>
          <w:rtl/>
        </w:rPr>
        <w:t>גליון תחת הראשון דודאי לא נחתך ממנו כלום דלא נכתב בו יותר</w:t>
      </w:r>
      <w:r>
        <w:rPr>
          <w:rFonts w:cs="Arial" w:hint="cs"/>
          <w:rtl/>
        </w:rPr>
        <w:t>, רש"י.</w:t>
      </w:r>
    </w:p>
  </w:footnote>
  <w:footnote w:id="1206">
    <w:p w14:paraId="6E488F2D" w14:textId="77777777" w:rsidR="00FA2119" w:rsidRDefault="00FA2119" w:rsidP="00FA2119">
      <w:pPr>
        <w:pStyle w:val="a5"/>
      </w:pPr>
      <w:r>
        <w:rPr>
          <w:rStyle w:val="a7"/>
        </w:rPr>
        <w:footnoteRef/>
      </w:r>
      <w:r>
        <w:rPr>
          <w:rtl/>
        </w:rPr>
        <w:t xml:space="preserve"> </w:t>
      </w:r>
      <w:r w:rsidRPr="003C58C2">
        <w:rPr>
          <w:rFonts w:cs="Arial"/>
          <w:rtl/>
        </w:rPr>
        <w:t>שמא הגט שלו נמלך מלגמרו ולמעלה הימנו בצדו היה גט אחר כתוב וחתום וכשחזר ונמלך לגרשה חתך עליונו של שני וכוון תיבה אצל תיבה לגמור גט שלו</w:t>
      </w:r>
      <w:r>
        <w:rPr>
          <w:rFonts w:cs="Arial" w:hint="cs"/>
          <w:rtl/>
        </w:rPr>
        <w:t>, רש"י.</w:t>
      </w:r>
    </w:p>
  </w:footnote>
  <w:footnote w:id="1207">
    <w:p w14:paraId="70A99646" w14:textId="77777777" w:rsidR="00FA2119" w:rsidRDefault="00FA2119" w:rsidP="00FA2119">
      <w:pPr>
        <w:pStyle w:val="a5"/>
      </w:pPr>
      <w:r>
        <w:rPr>
          <w:rStyle w:val="a7"/>
        </w:rPr>
        <w:footnoteRef/>
      </w:r>
      <w:r>
        <w:rPr>
          <w:rtl/>
        </w:rPr>
        <w:t xml:space="preserve"> </w:t>
      </w:r>
      <w:r w:rsidRPr="00A16F44">
        <w:rPr>
          <w:rFonts w:cs="Arial"/>
          <w:rtl/>
        </w:rPr>
        <w:t>דודאי לא נכתב בו יותר</w:t>
      </w:r>
      <w:r>
        <w:rPr>
          <w:rFonts w:cs="Arial" w:hint="cs"/>
          <w:rtl/>
        </w:rPr>
        <w:t>, רש"י.</w:t>
      </w:r>
    </w:p>
  </w:footnote>
  <w:footnote w:id="1208">
    <w:p w14:paraId="34F6EF0C" w14:textId="77777777" w:rsidR="00FA2119" w:rsidRDefault="00FA2119" w:rsidP="00FA2119">
      <w:pPr>
        <w:pStyle w:val="a5"/>
      </w:pPr>
      <w:r>
        <w:rPr>
          <w:rStyle w:val="a7"/>
        </w:rPr>
        <w:footnoteRef/>
      </w:r>
      <w:r>
        <w:rPr>
          <w:rtl/>
        </w:rPr>
        <w:t xml:space="preserve"> </w:t>
      </w:r>
      <w:r w:rsidRPr="00A16F44">
        <w:rPr>
          <w:rFonts w:cs="Arial"/>
          <w:rtl/>
        </w:rPr>
        <w:t>מתחילה שלא לגרשה והדר אימליך לאחר זמן לחזור ולגומרו ונמצא הראשון בטל א"נ ה"ל נכתב ביום ונחתם לאחר זמן דהואיל ויש ריוח מלמטה נראין כן הדברים</w:t>
      </w:r>
      <w:r>
        <w:rPr>
          <w:rFonts w:cs="Arial" w:hint="cs"/>
          <w:rtl/>
        </w:rPr>
        <w:t>, רש"י.</w:t>
      </w:r>
    </w:p>
  </w:footnote>
  <w:footnote w:id="1209">
    <w:p w14:paraId="003D5D54" w14:textId="77777777" w:rsidR="00FA2119" w:rsidRDefault="00FA2119" w:rsidP="00FA2119">
      <w:pPr>
        <w:pStyle w:val="a5"/>
      </w:pPr>
      <w:r>
        <w:rPr>
          <w:rStyle w:val="a7"/>
        </w:rPr>
        <w:footnoteRef/>
      </w:r>
      <w:r>
        <w:rPr>
          <w:rtl/>
        </w:rPr>
        <w:t xml:space="preserve"> </w:t>
      </w:r>
      <w:r w:rsidRPr="00A16F44">
        <w:rPr>
          <w:rFonts w:cs="Arial"/>
          <w:rtl/>
        </w:rPr>
        <w:t>דבתוך כדי גמר דבור ליכא למימר דמימליך אלא גומר עד לכל אדם ונמלך</w:t>
      </w:r>
      <w:r>
        <w:rPr>
          <w:rFonts w:cs="Arial" w:hint="cs"/>
          <w:rtl/>
        </w:rPr>
        <w:t>, רש"י.</w:t>
      </w:r>
    </w:p>
  </w:footnote>
  <w:footnote w:id="1210">
    <w:p w14:paraId="4D321B4F" w14:textId="77777777" w:rsidR="00FA2119" w:rsidRDefault="00FA2119" w:rsidP="00FA2119">
      <w:pPr>
        <w:pStyle w:val="a5"/>
      </w:pPr>
      <w:r>
        <w:rPr>
          <w:rStyle w:val="a7"/>
        </w:rPr>
        <w:footnoteRef/>
      </w:r>
      <w:r>
        <w:rPr>
          <w:rtl/>
        </w:rPr>
        <w:t xml:space="preserve"> </w:t>
      </w:r>
      <w:r w:rsidRPr="00A16F44">
        <w:rPr>
          <w:rFonts w:cs="Arial"/>
          <w:rtl/>
        </w:rPr>
        <w:t>שבתוך כדי גמר דבור חזר בו</w:t>
      </w:r>
      <w:r>
        <w:rPr>
          <w:rFonts w:cs="Arial" w:hint="cs"/>
          <w:rtl/>
        </w:rPr>
        <w:t>, רש"י.</w:t>
      </w:r>
    </w:p>
  </w:footnote>
  <w:footnote w:id="1211">
    <w:p w14:paraId="164E7D98" w14:textId="77777777" w:rsidR="00FA2119" w:rsidRDefault="00FA2119" w:rsidP="00FA2119">
      <w:pPr>
        <w:pStyle w:val="a5"/>
        <w:rPr>
          <w:rtl/>
        </w:rPr>
      </w:pPr>
      <w:r>
        <w:rPr>
          <w:rStyle w:val="a7"/>
        </w:rPr>
        <w:footnoteRef/>
      </w:r>
      <w:r>
        <w:rPr>
          <w:rtl/>
        </w:rPr>
        <w:t xml:space="preserve"> </w:t>
      </w:r>
      <w:r w:rsidRPr="00A16F44">
        <w:rPr>
          <w:rFonts w:cs="Arial"/>
          <w:rtl/>
        </w:rPr>
        <w:t>כולהו קשייתא בהכי מיתרצן כגון דידיעה ביה מתחתא דמגילתא שניכר ביה מתיחת הקלף סביב סביב כל הגט שלא היה בו קלף אלא זה לא למעלה ולא למטה שניכר סביבות הקלף שחור ועב שלא נגע שם תער הגלבים שדרך עושי קלפים שקושרים אבנים סביב למתוח הקלף ומתחילין לתקנו בסמוך וכשאין ריוח מלמטה עסקינן דליכא למיפרך אימלוכי אימליך</w:t>
      </w:r>
      <w:r>
        <w:rPr>
          <w:rFonts w:hint="cs"/>
          <w:rtl/>
        </w:rPr>
        <w:t>, רש"י.</w:t>
      </w:r>
    </w:p>
  </w:footnote>
  <w:footnote w:id="1212">
    <w:p w14:paraId="5C34F48D" w14:textId="222C6E23" w:rsidR="00FA2119" w:rsidRDefault="00FA2119" w:rsidP="00FA2119">
      <w:pPr>
        <w:pStyle w:val="a5"/>
        <w:rPr>
          <w:rtl/>
        </w:rPr>
      </w:pPr>
      <w:r>
        <w:rPr>
          <w:rStyle w:val="a7"/>
        </w:rPr>
        <w:footnoteRef/>
      </w:r>
      <w:r>
        <w:rPr>
          <w:rtl/>
        </w:rPr>
        <w:t xml:space="preserve"> </w:t>
      </w:r>
      <w:r>
        <w:rPr>
          <w:rFonts w:cs="Arial"/>
          <w:rtl/>
        </w:rPr>
        <w:t>ואיני יודע למה</w:t>
      </w:r>
      <w:r>
        <w:rPr>
          <w:rFonts w:cs="Arial" w:hint="cs"/>
          <w:rtl/>
        </w:rPr>
        <w:t>,</w:t>
      </w:r>
      <w:r>
        <w:rPr>
          <w:rFonts w:cs="Arial"/>
          <w:rtl/>
        </w:rPr>
        <w:t xml:space="preserve"> כיון שיש כאן עדי מסירה הם זכורים אם היה בו תנאי</w:t>
      </w:r>
      <w:r>
        <w:rPr>
          <w:rFonts w:cs="Arial" w:hint="cs"/>
          <w:rtl/>
        </w:rPr>
        <w:t>.</w:t>
      </w:r>
      <w:r>
        <w:rPr>
          <w:rFonts w:cs="Arial"/>
          <w:rtl/>
        </w:rPr>
        <w:t xml:space="preserve"> ואפשר שרוצה לומר שאנו חוששין שהסופר מעצמו עשה כן מפני שנזדמן לו הענין בכך</w:t>
      </w:r>
      <w:r>
        <w:rPr>
          <w:rFonts w:hint="cs"/>
          <w:rtl/>
        </w:rPr>
        <w:t xml:space="preserve">, </w:t>
      </w:r>
      <w:r w:rsidRPr="00B434DE">
        <w:rPr>
          <w:rFonts w:hint="cs"/>
          <w:b/>
          <w:bCs/>
          <w:rtl/>
        </w:rPr>
        <w:t>טור</w:t>
      </w:r>
      <w:r>
        <w:rPr>
          <w:rFonts w:hint="cs"/>
          <w:rtl/>
        </w:rPr>
        <w:t>.</w:t>
      </w:r>
      <w:r w:rsidRPr="00F47E09">
        <w:rPr>
          <w:rFonts w:cs="Arial"/>
          <w:rtl/>
        </w:rPr>
        <w:t xml:space="preserve"> </w:t>
      </w:r>
      <w:r w:rsidR="00B434DE">
        <w:rPr>
          <w:rFonts w:cs="Arial" w:hint="cs"/>
          <w:rtl/>
        </w:rPr>
        <w:t xml:space="preserve">    </w:t>
      </w:r>
      <w:r w:rsidRPr="00A14BB0">
        <w:rPr>
          <w:rFonts w:cs="Arial"/>
          <w:rtl/>
        </w:rPr>
        <w:t>ופירש הה</w:t>
      </w:r>
      <w:r>
        <w:rPr>
          <w:rFonts w:cs="Arial" w:hint="cs"/>
          <w:rtl/>
        </w:rPr>
        <w:t>"</w:t>
      </w:r>
      <w:r w:rsidRPr="00A14BB0">
        <w:rPr>
          <w:rFonts w:cs="Arial"/>
          <w:rtl/>
        </w:rPr>
        <w:t xml:space="preserve">מ הטעם לפי שאין עדי מסירה מוציאין אותנו מידי ספק שמא היו שני גיטין </w:t>
      </w:r>
      <w:r w:rsidRPr="00F47E09">
        <w:rPr>
          <w:rFonts w:cs="Arial"/>
          <w:sz w:val="16"/>
          <w:szCs w:val="16"/>
          <w:rtl/>
        </w:rPr>
        <w:t>[עכ"ל]</w:t>
      </w:r>
      <w:r w:rsidRPr="00A14BB0">
        <w:rPr>
          <w:rFonts w:cs="Arial"/>
          <w:rtl/>
        </w:rPr>
        <w:t>. וזהו הטעם שכתב רבינו שאנו חוששין שהסופר מעצמו עשה כן</w:t>
      </w:r>
      <w:r>
        <w:rPr>
          <w:rFonts w:cs="Arial" w:hint="cs"/>
          <w:rtl/>
        </w:rPr>
        <w:t>,</w:t>
      </w:r>
      <w:r w:rsidRPr="00A14BB0">
        <w:rPr>
          <w:rFonts w:cs="Arial"/>
          <w:rtl/>
        </w:rPr>
        <w:t xml:space="preserve"> כלומר או הבעל צוה לעשות כן</w:t>
      </w:r>
      <w:r>
        <w:rPr>
          <w:rFonts w:cs="Arial" w:hint="cs"/>
          <w:rtl/>
        </w:rPr>
        <w:t>,</w:t>
      </w:r>
      <w:r w:rsidRPr="00A14BB0">
        <w:rPr>
          <w:rFonts w:cs="Arial"/>
          <w:rtl/>
        </w:rPr>
        <w:t xml:space="preserve"> ובין כך ובין כך אין עדי מסירה מוציאין אותנו מידי ספק אם היו שני גיטין</w:t>
      </w:r>
      <w:r>
        <w:rPr>
          <w:rFonts w:hint="cs"/>
          <w:rtl/>
        </w:rPr>
        <w:t xml:space="preserve">, </w:t>
      </w:r>
      <w:r w:rsidRPr="00B434DE">
        <w:rPr>
          <w:rFonts w:hint="cs"/>
          <w:b/>
          <w:bCs/>
          <w:rtl/>
        </w:rPr>
        <w:t>ב"י</w:t>
      </w:r>
      <w:r>
        <w:rPr>
          <w:rFonts w:hint="cs"/>
          <w:rtl/>
        </w:rPr>
        <w:t>.</w:t>
      </w:r>
    </w:p>
  </w:footnote>
  <w:footnote w:id="1213">
    <w:p w14:paraId="7696B83C" w14:textId="72B65C6D" w:rsidR="00FA2119" w:rsidRDefault="00FA2119" w:rsidP="00FA2119">
      <w:pPr>
        <w:pStyle w:val="a5"/>
      </w:pPr>
      <w:r>
        <w:rPr>
          <w:rStyle w:val="a7"/>
        </w:rPr>
        <w:footnoteRef/>
      </w:r>
      <w:r>
        <w:rPr>
          <w:rtl/>
        </w:rPr>
        <w:t xml:space="preserve"> </w:t>
      </w:r>
      <w:r w:rsidRPr="00621043">
        <w:rPr>
          <w:rFonts w:cs="Arial"/>
          <w:rtl/>
        </w:rPr>
        <w:t>וב"ח כתב כיון דיש עדים דלא נעשה זיוף א"צ לידע דמסר לה בעדי'</w:t>
      </w:r>
      <w:r>
        <w:rPr>
          <w:rFonts w:cs="Arial" w:hint="cs"/>
          <w:rtl/>
        </w:rPr>
        <w:t>.</w:t>
      </w:r>
      <w:r w:rsidRPr="00621043">
        <w:rPr>
          <w:rFonts w:cs="Arial"/>
          <w:rtl/>
        </w:rPr>
        <w:t xml:space="preserve"> ואפשר כיון דנראה כמזויף בעינן לידע דנמסר לה בעדי' אפי' לשיטת הרמב"ם דהוי כאלו אין עדי' חתומי' עליו וכ"כ בט"ז</w:t>
      </w:r>
      <w:r>
        <w:rPr>
          <w:rFonts w:cs="Arial" w:hint="cs"/>
          <w:rtl/>
        </w:rPr>
        <w:t>, ב"ש (סק"ז).</w:t>
      </w:r>
    </w:p>
  </w:footnote>
  <w:footnote w:id="1214">
    <w:p w14:paraId="0F26CF09" w14:textId="782D57C1" w:rsidR="00FA2119" w:rsidRDefault="00FA2119" w:rsidP="00FA2119">
      <w:pPr>
        <w:pStyle w:val="a5"/>
      </w:pPr>
      <w:r>
        <w:rPr>
          <w:rStyle w:val="a7"/>
        </w:rPr>
        <w:footnoteRef/>
      </w:r>
      <w:r>
        <w:rPr>
          <w:rtl/>
        </w:rPr>
        <w:t xml:space="preserve"> </w:t>
      </w:r>
      <w:r w:rsidRPr="009270D0">
        <w:rPr>
          <w:rFonts w:cs="Arial"/>
          <w:rtl/>
        </w:rPr>
        <w:t>דשמא שני חצאי גטין היו וחברם יחד, ובזה אפשר אפילו יש עדים שנכתב מתחלה ונמסר לה בעדים יש לפוסלו, דספר אחד אמר רחמנא ולא שני ספרים, אע</w:t>
      </w:r>
      <w:r w:rsidR="00B434DE">
        <w:rPr>
          <w:rFonts w:cs="Arial" w:hint="cs"/>
          <w:rtl/>
        </w:rPr>
        <w:t>"</w:t>
      </w:r>
      <w:r w:rsidRPr="009270D0">
        <w:rPr>
          <w:rFonts w:cs="Arial"/>
          <w:rtl/>
        </w:rPr>
        <w:t>ג דספר דהכא סיפור דברים בעלמא משמע כמו שנתבאר למעלה [סי' קכו ס"א], מכל מקום יש להחמיר בזה ולפוסלו, דה"נ נימא סיפור דברים אחד אמר רחמנא ולא שני סיפורים</w:t>
      </w:r>
      <w:r>
        <w:rPr>
          <w:rFonts w:cs="Arial" w:hint="cs"/>
          <w:rtl/>
        </w:rPr>
        <w:t xml:space="preserve">, </w:t>
      </w:r>
      <w:r w:rsidRPr="009270D0">
        <w:rPr>
          <w:rFonts w:cs="Arial" w:hint="cs"/>
          <w:b/>
          <w:bCs/>
          <w:rtl/>
        </w:rPr>
        <w:t xml:space="preserve">לבוש </w:t>
      </w:r>
      <w:r>
        <w:rPr>
          <w:rFonts w:cs="Arial" w:hint="cs"/>
          <w:rtl/>
        </w:rPr>
        <w:t>(שם).</w:t>
      </w:r>
      <w:r w:rsidR="00B434DE">
        <w:rPr>
          <w:rFonts w:cs="Arial" w:hint="cs"/>
          <w:rtl/>
        </w:rPr>
        <w:t xml:space="preserve">   </w:t>
      </w:r>
      <w:r w:rsidRPr="009270D0">
        <w:rPr>
          <w:rFonts w:cs="Arial"/>
          <w:rtl/>
        </w:rPr>
        <w:t xml:space="preserve"> וצ"ע למה לא מהני דיבוק דהא איתא במנחות </w:t>
      </w:r>
      <w:r>
        <w:rPr>
          <w:rFonts w:cs="Arial" w:hint="cs"/>
          <w:rtl/>
        </w:rPr>
        <w:t>(</w:t>
      </w:r>
      <w:r w:rsidRPr="009270D0">
        <w:rPr>
          <w:rFonts w:cs="Arial"/>
          <w:rtl/>
        </w:rPr>
        <w:t>לד</w:t>
      </w:r>
      <w:r>
        <w:rPr>
          <w:rFonts w:cs="Arial" w:hint="cs"/>
          <w:rtl/>
        </w:rPr>
        <w:t>.)</w:t>
      </w:r>
      <w:r w:rsidRPr="009270D0">
        <w:rPr>
          <w:rFonts w:cs="Arial"/>
          <w:rtl/>
        </w:rPr>
        <w:t xml:space="preserve"> ר' יהודה דרש והיה לך לאות אות א' בחוץ ואות א' מבפנים מ"ה אם כתב תפילין על שני קלפי' פסול ואם דיבק אותם כשר ור' יוסי דמכשר שני קלפי' משום דלא דרש דרוש זה מ"מ נשמע דיבוק מהני אע</w:t>
      </w:r>
      <w:r w:rsidR="00FC0D00">
        <w:rPr>
          <w:rFonts w:cs="Arial" w:hint="cs"/>
          <w:rtl/>
        </w:rPr>
        <w:t>"</w:t>
      </w:r>
      <w:r w:rsidRPr="009270D0">
        <w:rPr>
          <w:rFonts w:cs="Arial"/>
          <w:rtl/>
        </w:rPr>
        <w:t>ג מדאו</w:t>
      </w:r>
      <w:r w:rsidR="00FC0D00">
        <w:rPr>
          <w:rFonts w:cs="Arial" w:hint="cs"/>
          <w:rtl/>
        </w:rPr>
        <w:t>'</w:t>
      </w:r>
      <w:r w:rsidRPr="009270D0">
        <w:rPr>
          <w:rFonts w:cs="Arial"/>
          <w:rtl/>
        </w:rPr>
        <w:t xml:space="preserve"> בעינן אות א' וכן כתבו תוספות שם </w:t>
      </w:r>
      <w:r w:rsidR="00FC0D00">
        <w:rPr>
          <w:rFonts w:cs="Arial" w:hint="cs"/>
          <w:rtl/>
        </w:rPr>
        <w:t>(</w:t>
      </w:r>
      <w:r w:rsidRPr="009270D0">
        <w:rPr>
          <w:rFonts w:cs="Arial"/>
          <w:rtl/>
        </w:rPr>
        <w:t>לב</w:t>
      </w:r>
      <w:r w:rsidR="00FC0D00">
        <w:rPr>
          <w:rFonts w:cs="Arial" w:hint="cs"/>
          <w:rtl/>
        </w:rPr>
        <w:t>.)</w:t>
      </w:r>
      <w:r w:rsidRPr="009270D0">
        <w:rPr>
          <w:rFonts w:cs="Arial"/>
          <w:rtl/>
        </w:rPr>
        <w:t xml:space="preserve"> ואגודה אם כתב תפילין ומזוזות על שני קלפי' ותפר אותם כשר</w:t>
      </w:r>
      <w:r>
        <w:rPr>
          <w:rFonts w:cs="Arial" w:hint="cs"/>
          <w:rtl/>
        </w:rPr>
        <w:t>...</w:t>
      </w:r>
      <w:r w:rsidRPr="009270D0">
        <w:rPr>
          <w:rFonts w:cs="Arial"/>
          <w:rtl/>
        </w:rPr>
        <w:t xml:space="preserve"> וכן סבירא ליה להרמב"ם והטור כמ"ש בי"ד סי' רפ"ח</w:t>
      </w:r>
      <w:r>
        <w:rPr>
          <w:rFonts w:cs="Arial" w:hint="cs"/>
          <w:rtl/>
        </w:rPr>
        <w:t xml:space="preserve">... </w:t>
      </w:r>
      <w:r w:rsidRPr="009270D0">
        <w:rPr>
          <w:rFonts w:cs="Arial"/>
          <w:rtl/>
        </w:rPr>
        <w:t>ועיין בא"ח סימן ל"ב בב"ח</w:t>
      </w:r>
      <w:r>
        <w:rPr>
          <w:rFonts w:cs="Arial" w:hint="cs"/>
          <w:rtl/>
        </w:rPr>
        <w:t>,</w:t>
      </w:r>
      <w:r w:rsidRPr="009270D0">
        <w:rPr>
          <w:rFonts w:cs="Arial"/>
          <w:rtl/>
        </w:rPr>
        <w:t xml:space="preserve"> וצ"ע</w:t>
      </w:r>
      <w:r>
        <w:rPr>
          <w:rFonts w:cs="Arial" w:hint="cs"/>
          <w:rtl/>
        </w:rPr>
        <w:t xml:space="preserve">, </w:t>
      </w:r>
      <w:r w:rsidRPr="009270D0">
        <w:rPr>
          <w:rFonts w:cs="Arial" w:hint="cs"/>
          <w:b/>
          <w:bCs/>
          <w:rtl/>
        </w:rPr>
        <w:t>ב"ש</w:t>
      </w:r>
      <w:r>
        <w:rPr>
          <w:rFonts w:cs="Arial" w:hint="cs"/>
          <w:rtl/>
        </w:rPr>
        <w:t xml:space="preserve"> (סק"ח).</w:t>
      </w:r>
      <w:r w:rsidR="00B434DE">
        <w:rPr>
          <w:rFonts w:cs="Arial" w:hint="cs"/>
          <w:rtl/>
        </w:rPr>
        <w:t xml:space="preserve">    </w:t>
      </w:r>
      <w:r>
        <w:rPr>
          <w:rFonts w:cs="Arial" w:hint="cs"/>
          <w:rtl/>
        </w:rPr>
        <w:t xml:space="preserve"> </w:t>
      </w:r>
      <w:r w:rsidRPr="009270D0">
        <w:rPr>
          <w:rFonts w:cs="Arial"/>
          <w:rtl/>
        </w:rPr>
        <w:t xml:space="preserve">ועיין בס' ביאור מרדכי מהגאון מהר"מ בנעט זצ"ל הלכות מזוזה שתמה על הב"ש וכתב שדבריו תמוהים הרבה ע"ש. גם בס' בית מאיר תמה על הב"ש בזה ומסיים דיפה פסק הרמ"א ז"ל דפסול מספק. ובזה אפשר ליישב קצת המנהג שלא לכתוב גט על נייר כדמשמע מת' מהרמ"ל </w:t>
      </w:r>
      <w:r>
        <w:rPr>
          <w:rFonts w:cs="Arial" w:hint="cs"/>
          <w:rtl/>
        </w:rPr>
        <w:t>(</w:t>
      </w:r>
      <w:r w:rsidRPr="009270D0">
        <w:rPr>
          <w:rFonts w:cs="Arial"/>
          <w:rtl/>
        </w:rPr>
        <w:t>סי</w:t>
      </w:r>
      <w:r>
        <w:rPr>
          <w:rFonts w:cs="Arial" w:hint="cs"/>
          <w:rtl/>
        </w:rPr>
        <w:t>'</w:t>
      </w:r>
      <w:r w:rsidRPr="009270D0">
        <w:rPr>
          <w:rFonts w:cs="Arial"/>
          <w:rtl/>
        </w:rPr>
        <w:t xml:space="preserve"> קא</w:t>
      </w:r>
      <w:r>
        <w:rPr>
          <w:rFonts w:cs="Arial" w:hint="cs"/>
          <w:rtl/>
        </w:rPr>
        <w:t>).</w:t>
      </w:r>
      <w:r w:rsidRPr="009270D0">
        <w:rPr>
          <w:rFonts w:cs="Arial"/>
          <w:rtl/>
        </w:rPr>
        <w:t xml:space="preserve"> והח"מ </w:t>
      </w:r>
      <w:r>
        <w:rPr>
          <w:rFonts w:cs="Arial" w:hint="cs"/>
          <w:rtl/>
        </w:rPr>
        <w:t>(</w:t>
      </w:r>
      <w:r w:rsidRPr="009270D0">
        <w:rPr>
          <w:rFonts w:cs="Arial"/>
          <w:rtl/>
        </w:rPr>
        <w:t>סי' קכד סק"ו</w:t>
      </w:r>
      <w:r>
        <w:rPr>
          <w:rFonts w:cs="Arial" w:hint="cs"/>
          <w:rtl/>
        </w:rPr>
        <w:t>)</w:t>
      </w:r>
      <w:r w:rsidRPr="009270D0">
        <w:rPr>
          <w:rFonts w:cs="Arial"/>
          <w:rtl/>
        </w:rPr>
        <w:t xml:space="preserve"> כתב וכי גרע פפי"ר מעלה של זית</w:t>
      </w:r>
      <w:r>
        <w:rPr>
          <w:rFonts w:cs="Arial" w:hint="cs"/>
          <w:rtl/>
        </w:rPr>
        <w:t>.</w:t>
      </w:r>
      <w:r w:rsidRPr="009270D0">
        <w:rPr>
          <w:rFonts w:cs="Arial"/>
          <w:rtl/>
        </w:rPr>
        <w:t xml:space="preserve"> ולהספק הנ"ל דאפילו דיבק קודם הכתיבה נמי אפשר דפסול ניחא</w:t>
      </w:r>
      <w:r>
        <w:rPr>
          <w:rFonts w:cs="Arial" w:hint="cs"/>
          <w:rtl/>
        </w:rPr>
        <w:t>,</w:t>
      </w:r>
      <w:r w:rsidRPr="009270D0">
        <w:rPr>
          <w:rFonts w:cs="Arial"/>
          <w:rtl/>
        </w:rPr>
        <w:t xml:space="preserve"> דאין דומה לעלה שמחובר מתחילת ברייתו</w:t>
      </w:r>
      <w:r>
        <w:rPr>
          <w:rFonts w:cs="Arial" w:hint="cs"/>
          <w:rtl/>
        </w:rPr>
        <w:t>,</w:t>
      </w:r>
      <w:r w:rsidRPr="009270D0">
        <w:rPr>
          <w:rFonts w:cs="Arial"/>
          <w:rtl/>
        </w:rPr>
        <w:t xml:space="preserve"> משא"כ פפי"ר שנעשה מחובר ע"י אדם מדברי' הנפרדים</w:t>
      </w:r>
      <w:r>
        <w:rPr>
          <w:rFonts w:cs="Arial" w:hint="cs"/>
          <w:rtl/>
        </w:rPr>
        <w:t>.</w:t>
      </w:r>
      <w:r w:rsidRPr="009270D0">
        <w:rPr>
          <w:rFonts w:cs="Arial"/>
          <w:rtl/>
        </w:rPr>
        <w:t xml:space="preserve"> והגם דבאמת אין בזה חשש לפסול כמבואר בגיטין </w:t>
      </w:r>
      <w:r>
        <w:rPr>
          <w:rFonts w:cs="Arial" w:hint="cs"/>
          <w:rtl/>
        </w:rPr>
        <w:t>(</w:t>
      </w:r>
      <w:r w:rsidRPr="009270D0">
        <w:rPr>
          <w:rFonts w:cs="Arial"/>
          <w:rtl/>
        </w:rPr>
        <w:t>י</w:t>
      </w:r>
      <w:r>
        <w:rPr>
          <w:rFonts w:cs="Arial" w:hint="cs"/>
          <w:rtl/>
        </w:rPr>
        <w:t>ט:)</w:t>
      </w:r>
      <w:r w:rsidRPr="009270D0">
        <w:rPr>
          <w:rFonts w:cs="Arial"/>
          <w:rtl/>
        </w:rPr>
        <w:t xml:space="preserve"> נתן לה נייר</w:t>
      </w:r>
      <w:r>
        <w:rPr>
          <w:rFonts w:cs="Arial" w:hint="cs"/>
          <w:rtl/>
        </w:rPr>
        <w:t>.</w:t>
      </w:r>
      <w:r w:rsidRPr="009270D0">
        <w:rPr>
          <w:rFonts w:cs="Arial"/>
          <w:rtl/>
        </w:rPr>
        <w:t xml:space="preserve"> וע"כ לחלק מפני שממש פני</w:t>
      </w:r>
      <w:r>
        <w:rPr>
          <w:rFonts w:cs="Arial" w:hint="cs"/>
          <w:rtl/>
        </w:rPr>
        <w:t>ם</w:t>
      </w:r>
      <w:r w:rsidRPr="009270D0">
        <w:rPr>
          <w:rFonts w:cs="Arial"/>
          <w:rtl/>
        </w:rPr>
        <w:t xml:space="preserve"> חדשות בא לכאן שפיר חשיב מחובר מתחילת ברייתו</w:t>
      </w:r>
      <w:r>
        <w:rPr>
          <w:rFonts w:cs="Arial" w:hint="cs"/>
          <w:rtl/>
        </w:rPr>
        <w:t>,</w:t>
      </w:r>
      <w:r w:rsidRPr="009270D0">
        <w:rPr>
          <w:rFonts w:cs="Arial"/>
          <w:rtl/>
        </w:rPr>
        <w:t xml:space="preserve"> מ"מ קצת טעם הוא להסמיך לו לכתחילה עכ"ל (עמ"ש לעיל סי' קכ"ד סק</w:t>
      </w:r>
      <w:r>
        <w:rPr>
          <w:rFonts w:cs="Arial" w:hint="cs"/>
          <w:rtl/>
        </w:rPr>
        <w:t>"</w:t>
      </w:r>
      <w:r w:rsidRPr="009270D0">
        <w:rPr>
          <w:rFonts w:cs="Arial"/>
          <w:rtl/>
        </w:rPr>
        <w:t>ז)</w:t>
      </w:r>
      <w:r>
        <w:rPr>
          <w:rFonts w:cs="Arial" w:hint="cs"/>
          <w:rtl/>
        </w:rPr>
        <w:t>.</w:t>
      </w:r>
      <w:r w:rsidRPr="009270D0">
        <w:rPr>
          <w:rFonts w:cs="Arial"/>
          <w:rtl/>
        </w:rPr>
        <w:t xml:space="preserve"> וע' בתשו' ח</w:t>
      </w:r>
      <w:r w:rsidR="00FC0D00">
        <w:rPr>
          <w:rFonts w:cs="Arial" w:hint="cs"/>
          <w:rtl/>
        </w:rPr>
        <w:t>ת</w:t>
      </w:r>
      <w:r w:rsidRPr="009270D0">
        <w:rPr>
          <w:rFonts w:cs="Arial"/>
          <w:rtl/>
        </w:rPr>
        <w:t xml:space="preserve">"ס </w:t>
      </w:r>
      <w:r w:rsidR="00FC0D00">
        <w:rPr>
          <w:rFonts w:cs="Arial" w:hint="cs"/>
          <w:rtl/>
        </w:rPr>
        <w:t>(</w:t>
      </w:r>
      <w:r w:rsidRPr="009270D0">
        <w:rPr>
          <w:rFonts w:cs="Arial"/>
          <w:rtl/>
        </w:rPr>
        <w:t>חא"ח סי</w:t>
      </w:r>
      <w:r w:rsidR="00FC0D00">
        <w:rPr>
          <w:rFonts w:cs="Arial" w:hint="cs"/>
          <w:rtl/>
        </w:rPr>
        <w:t>'</w:t>
      </w:r>
      <w:r w:rsidRPr="009270D0">
        <w:rPr>
          <w:rFonts w:cs="Arial"/>
          <w:rtl/>
        </w:rPr>
        <w:t xml:space="preserve"> ה</w:t>
      </w:r>
      <w:r w:rsidR="00FC0D00">
        <w:rPr>
          <w:rFonts w:cs="Arial" w:hint="cs"/>
          <w:rtl/>
        </w:rPr>
        <w:t>)</w:t>
      </w:r>
      <w:r w:rsidRPr="009270D0">
        <w:rPr>
          <w:rFonts w:cs="Arial"/>
          <w:rtl/>
        </w:rPr>
        <w:t xml:space="preserve"> מ"ש בזה</w:t>
      </w:r>
      <w:r>
        <w:rPr>
          <w:rFonts w:cs="Arial" w:hint="cs"/>
          <w:rtl/>
        </w:rPr>
        <w:t xml:space="preserve">, </w:t>
      </w:r>
      <w:r w:rsidRPr="009270D0">
        <w:rPr>
          <w:rFonts w:cs="Arial" w:hint="cs"/>
          <w:b/>
          <w:bCs/>
          <w:rtl/>
        </w:rPr>
        <w:t>פת"ש</w:t>
      </w:r>
      <w:r>
        <w:rPr>
          <w:rFonts w:cs="Arial" w:hint="cs"/>
          <w:rtl/>
        </w:rPr>
        <w:t xml:space="preserve"> (סק"ו).</w:t>
      </w:r>
    </w:p>
  </w:footnote>
  <w:footnote w:id="1215">
    <w:p w14:paraId="5EE13BD9" w14:textId="77777777" w:rsidR="00FA2119" w:rsidRDefault="00FA2119" w:rsidP="00FA2119">
      <w:pPr>
        <w:pStyle w:val="a5"/>
        <w:rPr>
          <w:rtl/>
        </w:rPr>
      </w:pPr>
      <w:r>
        <w:rPr>
          <w:rStyle w:val="a7"/>
        </w:rPr>
        <w:footnoteRef/>
      </w:r>
      <w:r>
        <w:rPr>
          <w:rtl/>
        </w:rPr>
        <w:t xml:space="preserve"> </w:t>
      </w:r>
      <w:r w:rsidRPr="007358D2">
        <w:rPr>
          <w:rFonts w:cs="Arial"/>
          <w:rtl/>
        </w:rPr>
        <w:t>ברוחב המגילה</w:t>
      </w:r>
      <w:r>
        <w:rPr>
          <w:rFonts w:hint="cs"/>
          <w:rtl/>
        </w:rPr>
        <w:t>, רש"י.</w:t>
      </w:r>
    </w:p>
  </w:footnote>
  <w:footnote w:id="1216">
    <w:p w14:paraId="01C1DACA" w14:textId="77777777" w:rsidR="00FA2119" w:rsidRDefault="00FA2119" w:rsidP="00FA2119">
      <w:pPr>
        <w:pStyle w:val="a5"/>
      </w:pPr>
      <w:r>
        <w:rPr>
          <w:rStyle w:val="a7"/>
        </w:rPr>
        <w:footnoteRef/>
      </w:r>
      <w:r>
        <w:rPr>
          <w:rtl/>
        </w:rPr>
        <w:t xml:space="preserve"> </w:t>
      </w:r>
      <w:r w:rsidRPr="007358D2">
        <w:rPr>
          <w:rFonts w:cs="Arial"/>
          <w:rtl/>
        </w:rPr>
        <w:t>הראשון לתחת השני</w:t>
      </w:r>
      <w:r>
        <w:rPr>
          <w:rFonts w:cs="Arial" w:hint="cs"/>
          <w:rtl/>
        </w:rPr>
        <w:t>,</w:t>
      </w:r>
      <w:r w:rsidRPr="007358D2">
        <w:rPr>
          <w:rFonts w:cs="Arial"/>
          <w:rtl/>
        </w:rPr>
        <w:t xml:space="preserve"> שם העד תחת הראשון</w:t>
      </w:r>
      <w:r>
        <w:rPr>
          <w:rFonts w:cs="Arial" w:hint="cs"/>
          <w:rtl/>
        </w:rPr>
        <w:t>,</w:t>
      </w:r>
      <w:r w:rsidRPr="007358D2">
        <w:rPr>
          <w:rFonts w:cs="Arial"/>
          <w:rtl/>
        </w:rPr>
        <w:t xml:space="preserve"> ושם אביו תחת השני</w:t>
      </w:r>
      <w:r>
        <w:rPr>
          <w:rFonts w:cs="Arial" w:hint="cs"/>
          <w:rtl/>
        </w:rPr>
        <w:t>.</w:t>
      </w:r>
      <w:r w:rsidRPr="007358D2">
        <w:rPr>
          <w:rFonts w:cs="Arial"/>
          <w:rtl/>
        </w:rPr>
        <w:t xml:space="preserve"> וכן עד שני תחתיו</w:t>
      </w:r>
      <w:r>
        <w:rPr>
          <w:rFonts w:cs="Arial" w:hint="cs"/>
          <w:rtl/>
        </w:rPr>
        <w:t>.</w:t>
      </w:r>
      <w:r w:rsidRPr="007358D2">
        <w:rPr>
          <w:rFonts w:cs="Arial"/>
          <w:rtl/>
        </w:rPr>
        <w:t xml:space="preserve"> וחזרו וחתמו תחתיהן שני ישראלים יונים הדרים בארץ יון ובלשון יונית כדרך הזו</w:t>
      </w:r>
      <w:r>
        <w:rPr>
          <w:rFonts w:cs="Arial" w:hint="cs"/>
          <w:rtl/>
        </w:rPr>
        <w:t>,</w:t>
      </w:r>
      <w:r w:rsidRPr="007358D2">
        <w:rPr>
          <w:rFonts w:cs="Arial"/>
          <w:rtl/>
        </w:rPr>
        <w:t xml:space="preserve"> אבל חתימת היונים אינה נקראת כחתימת העברים</w:t>
      </w:r>
      <w:r>
        <w:rPr>
          <w:rFonts w:cs="Arial" w:hint="cs"/>
          <w:rtl/>
        </w:rPr>
        <w:t>,</w:t>
      </w:r>
      <w:r w:rsidRPr="007358D2">
        <w:rPr>
          <w:rFonts w:cs="Arial"/>
          <w:rtl/>
        </w:rPr>
        <w:t xml:space="preserve"> שכשהיוני חותם יוסף בן שמעון </w:t>
      </w:r>
      <w:r>
        <w:rPr>
          <w:rFonts w:cs="Arial" w:hint="cs"/>
          <w:rtl/>
        </w:rPr>
        <w:t xml:space="preserve">- </w:t>
      </w:r>
      <w:r w:rsidRPr="007358D2">
        <w:rPr>
          <w:rFonts w:cs="Arial"/>
          <w:rtl/>
        </w:rPr>
        <w:t>בידוע ששמו שמעון בן יוסף</w:t>
      </w:r>
      <w:r>
        <w:rPr>
          <w:rFonts w:cs="Arial" w:hint="cs"/>
          <w:rtl/>
        </w:rPr>
        <w:t>,</w:t>
      </w:r>
      <w:r w:rsidRPr="007358D2">
        <w:rPr>
          <w:rFonts w:cs="Arial"/>
          <w:rtl/>
        </w:rPr>
        <w:t xml:space="preserve"> שכך מתפרשת חתימתן יוסף בן שמעון</w:t>
      </w:r>
      <w:r>
        <w:rPr>
          <w:rFonts w:cs="Arial" w:hint="cs"/>
          <w:rtl/>
        </w:rPr>
        <w:t>,</w:t>
      </w:r>
      <w:r w:rsidRPr="007358D2">
        <w:rPr>
          <w:rFonts w:cs="Arial"/>
          <w:rtl/>
        </w:rPr>
        <w:t xml:space="preserve"> כלומר בנו של יוסף </w:t>
      </w:r>
      <w:r>
        <w:rPr>
          <w:rFonts w:cs="Arial" w:hint="cs"/>
          <w:rtl/>
        </w:rPr>
        <w:t xml:space="preserve">- </w:t>
      </w:r>
      <w:r w:rsidRPr="007358D2">
        <w:rPr>
          <w:rFonts w:cs="Arial"/>
          <w:rtl/>
        </w:rPr>
        <w:t>שמעון</w:t>
      </w:r>
      <w:r>
        <w:rPr>
          <w:rFonts w:cs="Arial" w:hint="cs"/>
          <w:rtl/>
        </w:rPr>
        <w:t>.</w:t>
      </w:r>
      <w:r w:rsidRPr="007358D2">
        <w:rPr>
          <w:rFonts w:cs="Arial"/>
          <w:rtl/>
        </w:rPr>
        <w:t xml:space="preserve"> ונמצא שם העד חתום על גט שני</w:t>
      </w:r>
      <w:r>
        <w:rPr>
          <w:rFonts w:cs="Arial" w:hint="cs"/>
          <w:rtl/>
        </w:rPr>
        <w:t>,</w:t>
      </w:r>
      <w:r w:rsidRPr="007358D2">
        <w:rPr>
          <w:rFonts w:cs="Arial"/>
          <w:rtl/>
        </w:rPr>
        <w:t xml:space="preserve"> ושם אביו חתום על הראשון</w:t>
      </w:r>
      <w:r>
        <w:rPr>
          <w:rFonts w:cs="Arial" w:hint="cs"/>
          <w:rtl/>
        </w:rPr>
        <w:t>..., רש"י.</w:t>
      </w:r>
    </w:p>
  </w:footnote>
  <w:footnote w:id="1217">
    <w:p w14:paraId="04F31A87" w14:textId="4A329CA6" w:rsidR="00FA2119" w:rsidRDefault="00FA2119" w:rsidP="00FA2119">
      <w:pPr>
        <w:pStyle w:val="a5"/>
      </w:pPr>
      <w:r>
        <w:rPr>
          <w:rStyle w:val="a7"/>
        </w:rPr>
        <w:footnoteRef/>
      </w:r>
      <w:r>
        <w:rPr>
          <w:rtl/>
        </w:rPr>
        <w:t xml:space="preserve"> </w:t>
      </w:r>
      <w:r w:rsidRPr="00627A00">
        <w:rPr>
          <w:rFonts w:cs="Arial"/>
          <w:rtl/>
        </w:rPr>
        <w:t xml:space="preserve">אם העבריים חתומים למעלה </w:t>
      </w:r>
      <w:r w:rsidR="00630594">
        <w:rPr>
          <w:rFonts w:cs="Arial" w:hint="cs"/>
          <w:rtl/>
        </w:rPr>
        <w:t xml:space="preserve">- </w:t>
      </w:r>
      <w:r w:rsidRPr="00627A00">
        <w:rPr>
          <w:rFonts w:cs="Arial"/>
          <w:rtl/>
        </w:rPr>
        <w:t>הימיני כשר</w:t>
      </w:r>
      <w:r w:rsidR="00630594">
        <w:rPr>
          <w:rFonts w:cs="Arial" w:hint="cs"/>
          <w:rtl/>
        </w:rPr>
        <w:t>.</w:t>
      </w:r>
      <w:r w:rsidRPr="00627A00">
        <w:rPr>
          <w:rFonts w:cs="Arial"/>
          <w:rtl/>
        </w:rPr>
        <w:t xml:space="preserve"> ואם היונים חתומים למעלה </w:t>
      </w:r>
      <w:r w:rsidR="00630594">
        <w:rPr>
          <w:rFonts w:cs="Arial" w:hint="cs"/>
          <w:rtl/>
        </w:rPr>
        <w:t xml:space="preserve">- </w:t>
      </w:r>
      <w:r w:rsidRPr="00627A00">
        <w:rPr>
          <w:rFonts w:cs="Arial"/>
          <w:rtl/>
        </w:rPr>
        <w:t>השמאלי כשר</w:t>
      </w:r>
      <w:r>
        <w:rPr>
          <w:rFonts w:cs="Arial" w:hint="cs"/>
          <w:rtl/>
        </w:rPr>
        <w:t>,</w:t>
      </w:r>
      <w:r w:rsidRPr="00627A00">
        <w:rPr>
          <w:rFonts w:cs="Arial"/>
          <w:rtl/>
        </w:rPr>
        <w:t xml:space="preserve"> ובגמרא פריך אידך אמאי מיפסל</w:t>
      </w:r>
      <w:r>
        <w:rPr>
          <w:rFonts w:cs="Arial" w:hint="cs"/>
          <w:rtl/>
        </w:rPr>
        <w:t>, רש"י.</w:t>
      </w:r>
    </w:p>
  </w:footnote>
  <w:footnote w:id="1218">
    <w:p w14:paraId="7D4D67C9" w14:textId="77777777" w:rsidR="00FA2119" w:rsidRDefault="00FA2119" w:rsidP="00FA2119">
      <w:pPr>
        <w:pStyle w:val="a5"/>
      </w:pPr>
      <w:r>
        <w:rPr>
          <w:rStyle w:val="a7"/>
        </w:rPr>
        <w:footnoteRef/>
      </w:r>
      <w:r>
        <w:rPr>
          <w:rtl/>
        </w:rPr>
        <w:t xml:space="preserve"> </w:t>
      </w:r>
      <w:r w:rsidRPr="00640E30">
        <w:rPr>
          <w:rFonts w:cs="Arial"/>
          <w:rtl/>
        </w:rPr>
        <w:t>תימה לר"י היכי ליתכשר בראובן</w:t>
      </w:r>
      <w:r>
        <w:rPr>
          <w:rFonts w:cs="Arial" w:hint="cs"/>
          <w:rtl/>
        </w:rPr>
        <w:t>,</w:t>
      </w:r>
      <w:r w:rsidRPr="00640E30">
        <w:rPr>
          <w:rFonts w:cs="Arial"/>
          <w:rtl/>
        </w:rPr>
        <w:t xml:space="preserve"> הא לא תנא אלא </w:t>
      </w:r>
      <w:r>
        <w:rPr>
          <w:rFonts w:cs="Arial" w:hint="cs"/>
          <w:rtl/>
        </w:rPr>
        <w:t>'</w:t>
      </w:r>
      <w:r w:rsidRPr="00640E30">
        <w:rPr>
          <w:rFonts w:cs="Arial"/>
          <w:rtl/>
        </w:rPr>
        <w:t>איש פלוני עד</w:t>
      </w:r>
      <w:r>
        <w:rPr>
          <w:rFonts w:cs="Arial" w:hint="cs"/>
          <w:rtl/>
        </w:rPr>
        <w:t>'</w:t>
      </w:r>
      <w:r w:rsidRPr="00640E30">
        <w:rPr>
          <w:rFonts w:cs="Arial"/>
          <w:rtl/>
        </w:rPr>
        <w:t xml:space="preserve"> כשר</w:t>
      </w:r>
      <w:r>
        <w:rPr>
          <w:rFonts w:cs="Arial" w:hint="cs"/>
          <w:rtl/>
        </w:rPr>
        <w:t>,</w:t>
      </w:r>
      <w:r w:rsidRPr="00640E30">
        <w:rPr>
          <w:rFonts w:cs="Arial"/>
          <w:rtl/>
        </w:rPr>
        <w:t xml:space="preserve"> אבל </w:t>
      </w:r>
      <w:r>
        <w:rPr>
          <w:rFonts w:cs="Arial" w:hint="cs"/>
          <w:rtl/>
        </w:rPr>
        <w:t>'</w:t>
      </w:r>
      <w:r w:rsidRPr="00640E30">
        <w:rPr>
          <w:rFonts w:cs="Arial"/>
          <w:rtl/>
        </w:rPr>
        <w:t>איש פלוני</w:t>
      </w:r>
      <w:r>
        <w:rPr>
          <w:rFonts w:cs="Arial" w:hint="cs"/>
          <w:rtl/>
        </w:rPr>
        <w:t>'</w:t>
      </w:r>
      <w:r w:rsidRPr="00640E30">
        <w:rPr>
          <w:rFonts w:cs="Arial"/>
          <w:rtl/>
        </w:rPr>
        <w:t xml:space="preserve"> בלא </w:t>
      </w:r>
      <w:r>
        <w:rPr>
          <w:rFonts w:cs="Arial" w:hint="cs"/>
          <w:rtl/>
        </w:rPr>
        <w:t>'</w:t>
      </w:r>
      <w:r w:rsidRPr="00640E30">
        <w:rPr>
          <w:rFonts w:cs="Arial"/>
          <w:rtl/>
        </w:rPr>
        <w:t>עד</w:t>
      </w:r>
      <w:r>
        <w:rPr>
          <w:rFonts w:cs="Arial" w:hint="cs"/>
          <w:rtl/>
        </w:rPr>
        <w:t>'</w:t>
      </w:r>
      <w:r w:rsidRPr="00640E30">
        <w:rPr>
          <w:rFonts w:cs="Arial"/>
          <w:rtl/>
        </w:rPr>
        <w:t xml:space="preserve"> לא</w:t>
      </w:r>
      <w:r>
        <w:rPr>
          <w:rFonts w:cs="Arial" w:hint="cs"/>
          <w:rtl/>
        </w:rPr>
        <w:t>.</w:t>
      </w:r>
      <w:r w:rsidRPr="00640E30">
        <w:rPr>
          <w:rFonts w:cs="Arial"/>
          <w:rtl/>
        </w:rPr>
        <w:t xml:space="preserve"> ואור"י דפשיטא ליה דראובן קאי א</w:t>
      </w:r>
      <w:r>
        <w:rPr>
          <w:rFonts w:cs="Arial" w:hint="cs"/>
          <w:rtl/>
        </w:rPr>
        <w:t>'</w:t>
      </w:r>
      <w:r w:rsidRPr="00640E30">
        <w:rPr>
          <w:rFonts w:cs="Arial"/>
          <w:rtl/>
        </w:rPr>
        <w:t>בן יעקב עד</w:t>
      </w:r>
      <w:r>
        <w:rPr>
          <w:rFonts w:cs="Arial" w:hint="cs"/>
          <w:rtl/>
        </w:rPr>
        <w:t>'</w:t>
      </w:r>
      <w:r w:rsidRPr="00640E30">
        <w:rPr>
          <w:rFonts w:cs="Arial"/>
          <w:rtl/>
        </w:rPr>
        <w:t xml:space="preserve"> דבתריה</w:t>
      </w:r>
      <w:r>
        <w:rPr>
          <w:rFonts w:cs="Arial" w:hint="cs"/>
          <w:rtl/>
        </w:rPr>
        <w:t>,</w:t>
      </w:r>
      <w:r w:rsidRPr="00640E30">
        <w:rPr>
          <w:rFonts w:cs="Arial"/>
          <w:rtl/>
        </w:rPr>
        <w:t xml:space="preserve"> והוי כאילו כתב בהדיה דראובן עד</w:t>
      </w:r>
      <w:r>
        <w:rPr>
          <w:rFonts w:cs="Arial" w:hint="cs"/>
          <w:rtl/>
        </w:rPr>
        <w:t>, תוס' (ד"ה וליתכשר).</w:t>
      </w:r>
    </w:p>
  </w:footnote>
  <w:footnote w:id="1219">
    <w:p w14:paraId="1D938A71" w14:textId="6A48F498" w:rsidR="00FA2119" w:rsidRDefault="00FA2119" w:rsidP="00FA2119">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8D743C">
        <w:rPr>
          <w:rFonts w:cs="Arial"/>
          <w:rtl/>
        </w:rPr>
        <w:t>היו שם שני עדים בלבד באים מתחת גט זה לתחת גט זה, אם יצא מתחת יד זו שהעדים נקראים עם גיטה הרי זו מגורשת ואם יצא מתחת יד השנייה שאין העדים נקראים עמו אינו גט עד שימסר לה בעדים.</w:t>
      </w:r>
    </w:p>
  </w:footnote>
  <w:footnote w:id="1220">
    <w:p w14:paraId="4032C221" w14:textId="77777777" w:rsidR="00FA2119" w:rsidRDefault="00FA2119" w:rsidP="00FA2119">
      <w:pPr>
        <w:pStyle w:val="a5"/>
      </w:pPr>
      <w:r>
        <w:rPr>
          <w:rStyle w:val="a7"/>
        </w:rPr>
        <w:footnoteRef/>
      </w:r>
    </w:p>
    <w:tbl>
      <w:tblPr>
        <w:tblStyle w:val="af3"/>
        <w:bidiVisual/>
        <w:tblW w:w="0" w:type="auto"/>
        <w:jc w:val="right"/>
        <w:tblLook w:val="04A0" w:firstRow="1" w:lastRow="0" w:firstColumn="1" w:lastColumn="0" w:noHBand="0" w:noVBand="1"/>
      </w:tblPr>
      <w:tblGrid>
        <w:gridCol w:w="626"/>
        <w:gridCol w:w="709"/>
      </w:tblGrid>
      <w:tr w:rsidR="00630594" w14:paraId="1F2105FA" w14:textId="77777777" w:rsidTr="00640E30">
        <w:trPr>
          <w:trHeight w:val="387"/>
          <w:jc w:val="right"/>
        </w:trPr>
        <w:tc>
          <w:tcPr>
            <w:tcW w:w="626" w:type="dxa"/>
            <w:tcBorders>
              <w:right w:val="single" w:sz="4" w:space="0" w:color="auto"/>
            </w:tcBorders>
          </w:tcPr>
          <w:p w14:paraId="764E44DA" w14:textId="77777777" w:rsidR="00630594" w:rsidRPr="00C40E95" w:rsidRDefault="00630594" w:rsidP="00C40E95">
            <w:pPr>
              <w:pStyle w:val="a5"/>
              <w:jc w:val="center"/>
              <w:rPr>
                <w:sz w:val="10"/>
                <w:szCs w:val="10"/>
                <w:rtl/>
              </w:rPr>
            </w:pPr>
            <w:r>
              <w:rPr>
                <w:rFonts w:hint="cs"/>
                <w:rtl/>
              </w:rPr>
              <w:t>גט</w:t>
            </w:r>
            <w:r>
              <w:rPr>
                <w:rFonts w:hint="cs"/>
                <w:sz w:val="10"/>
                <w:szCs w:val="10"/>
                <w:rtl/>
              </w:rPr>
              <w:t xml:space="preserve"> ימני</w:t>
            </w:r>
          </w:p>
        </w:tc>
        <w:tc>
          <w:tcPr>
            <w:tcW w:w="709" w:type="dxa"/>
            <w:tcBorders>
              <w:left w:val="single" w:sz="4" w:space="0" w:color="auto"/>
            </w:tcBorders>
          </w:tcPr>
          <w:p w14:paraId="266F83D3" w14:textId="77777777" w:rsidR="00630594" w:rsidRDefault="00630594" w:rsidP="00C40E95">
            <w:pPr>
              <w:pStyle w:val="a5"/>
              <w:jc w:val="center"/>
              <w:rPr>
                <w:rtl/>
              </w:rPr>
            </w:pPr>
            <w:r>
              <w:rPr>
                <w:rFonts w:hint="cs"/>
                <w:rtl/>
              </w:rPr>
              <w:t>גט</w:t>
            </w:r>
            <w:r>
              <w:rPr>
                <w:rFonts w:hint="cs"/>
                <w:sz w:val="10"/>
                <w:szCs w:val="10"/>
                <w:rtl/>
              </w:rPr>
              <w:t xml:space="preserve"> שמאלי</w:t>
            </w:r>
          </w:p>
        </w:tc>
      </w:tr>
      <w:tr w:rsidR="00630594" w14:paraId="57BB87BA" w14:textId="77777777" w:rsidTr="00C40E95">
        <w:trPr>
          <w:trHeight w:val="229"/>
          <w:jc w:val="right"/>
        </w:trPr>
        <w:tc>
          <w:tcPr>
            <w:tcW w:w="626" w:type="dxa"/>
            <w:tcBorders>
              <w:right w:val="single" w:sz="4" w:space="0" w:color="auto"/>
            </w:tcBorders>
          </w:tcPr>
          <w:p w14:paraId="50EF16DE" w14:textId="77777777" w:rsidR="00630594" w:rsidRDefault="00630594">
            <w:pPr>
              <w:pStyle w:val="a5"/>
              <w:rPr>
                <w:sz w:val="12"/>
                <w:szCs w:val="12"/>
                <w:rtl/>
              </w:rPr>
            </w:pPr>
          </w:p>
          <w:p w14:paraId="7F4D34B0" w14:textId="77777777" w:rsidR="00630594" w:rsidRDefault="00630594">
            <w:pPr>
              <w:pStyle w:val="a5"/>
              <w:rPr>
                <w:sz w:val="12"/>
                <w:szCs w:val="12"/>
                <w:rtl/>
              </w:rPr>
            </w:pPr>
            <w:r>
              <w:rPr>
                <w:rFonts w:hint="cs"/>
                <w:sz w:val="12"/>
                <w:szCs w:val="12"/>
                <w:rtl/>
              </w:rPr>
              <w:t>בן שמעון</w:t>
            </w:r>
          </w:p>
          <w:p w14:paraId="4FEB2F4F" w14:textId="77777777" w:rsidR="00630594" w:rsidRDefault="00630594">
            <w:pPr>
              <w:pStyle w:val="a5"/>
              <w:rPr>
                <w:sz w:val="12"/>
                <w:szCs w:val="12"/>
                <w:rtl/>
              </w:rPr>
            </w:pPr>
          </w:p>
          <w:p w14:paraId="0C82CEC8" w14:textId="77777777" w:rsidR="00630594" w:rsidRPr="00C40E95" w:rsidRDefault="00630594">
            <w:pPr>
              <w:pStyle w:val="a5"/>
              <w:rPr>
                <w:sz w:val="12"/>
                <w:szCs w:val="12"/>
                <w:rtl/>
              </w:rPr>
            </w:pPr>
            <w:r>
              <w:rPr>
                <w:rFonts w:hint="cs"/>
                <w:sz w:val="12"/>
                <w:szCs w:val="12"/>
                <w:rtl/>
              </w:rPr>
              <w:t>בן שמעון</w:t>
            </w:r>
          </w:p>
        </w:tc>
        <w:tc>
          <w:tcPr>
            <w:tcW w:w="709" w:type="dxa"/>
            <w:tcBorders>
              <w:left w:val="single" w:sz="4" w:space="0" w:color="auto"/>
            </w:tcBorders>
          </w:tcPr>
          <w:p w14:paraId="661501D3" w14:textId="77777777" w:rsidR="00630594" w:rsidRDefault="00630594">
            <w:pPr>
              <w:pStyle w:val="a5"/>
              <w:rPr>
                <w:sz w:val="12"/>
                <w:szCs w:val="12"/>
                <w:rtl/>
              </w:rPr>
            </w:pPr>
            <w:r>
              <w:rPr>
                <w:rFonts w:hint="cs"/>
                <w:sz w:val="12"/>
                <w:szCs w:val="12"/>
                <w:rtl/>
              </w:rPr>
              <w:t>יוסף</w:t>
            </w:r>
          </w:p>
          <w:p w14:paraId="4EF3DBB6" w14:textId="77777777" w:rsidR="00630594" w:rsidRDefault="00630594">
            <w:pPr>
              <w:pStyle w:val="a5"/>
              <w:rPr>
                <w:sz w:val="12"/>
                <w:szCs w:val="12"/>
                <w:rtl/>
              </w:rPr>
            </w:pPr>
          </w:p>
          <w:p w14:paraId="7C40A9B5" w14:textId="77777777" w:rsidR="00630594" w:rsidRPr="00C40E95" w:rsidRDefault="00630594">
            <w:pPr>
              <w:pStyle w:val="a5"/>
              <w:rPr>
                <w:sz w:val="12"/>
                <w:szCs w:val="12"/>
                <w:rtl/>
              </w:rPr>
            </w:pPr>
            <w:r>
              <w:rPr>
                <w:rFonts w:hint="cs"/>
                <w:sz w:val="12"/>
                <w:szCs w:val="12"/>
                <w:rtl/>
              </w:rPr>
              <w:t>יוסף</w:t>
            </w:r>
          </w:p>
        </w:tc>
      </w:tr>
    </w:tbl>
    <w:p w14:paraId="5052D7E4" w14:textId="77777777" w:rsidR="00FA2119" w:rsidRDefault="00FA2119" w:rsidP="00FA2119">
      <w:pPr>
        <w:pStyle w:val="a5"/>
      </w:pPr>
    </w:p>
  </w:footnote>
  <w:footnote w:id="1221">
    <w:p w14:paraId="15312032" w14:textId="77777777" w:rsidR="00FA2119" w:rsidRDefault="00FA2119" w:rsidP="00FA2119">
      <w:pPr>
        <w:pStyle w:val="a5"/>
      </w:pPr>
      <w:r>
        <w:rPr>
          <w:rStyle w:val="a7"/>
        </w:rPr>
        <w:footnoteRef/>
      </w:r>
      <w:r>
        <w:rPr>
          <w:rtl/>
        </w:rPr>
        <w:t xml:space="preserve"> </w:t>
      </w:r>
      <w:r>
        <w:rPr>
          <w:rFonts w:cs="Arial"/>
          <w:rtl/>
        </w:rPr>
        <w:t>וכ</w:t>
      </w:r>
      <w:r>
        <w:rPr>
          <w:rFonts w:cs="Arial" w:hint="cs"/>
          <w:rtl/>
        </w:rPr>
        <w:t>'</w:t>
      </w:r>
      <w:r>
        <w:rPr>
          <w:rFonts w:cs="Arial"/>
          <w:rtl/>
        </w:rPr>
        <w:t xml:space="preserve"> הרמב"ם</w:t>
      </w:r>
      <w:r w:rsidRPr="008D743C">
        <w:rPr>
          <w:rFonts w:cs="Arial"/>
          <w:sz w:val="16"/>
          <w:szCs w:val="16"/>
          <w:rtl/>
        </w:rPr>
        <w:t xml:space="preserve"> </w:t>
      </w:r>
      <w:r w:rsidRPr="008D743C">
        <w:rPr>
          <w:rFonts w:cs="Arial" w:hint="cs"/>
          <w:sz w:val="16"/>
          <w:szCs w:val="16"/>
          <w:rtl/>
        </w:rPr>
        <w:t>(שם</w:t>
      </w:r>
      <w:r w:rsidRPr="008D743C">
        <w:rPr>
          <w:rFonts w:cs="Arial"/>
          <w:sz w:val="16"/>
          <w:szCs w:val="16"/>
          <w:rtl/>
        </w:rPr>
        <w:t>)</w:t>
      </w:r>
      <w:r w:rsidRPr="008D743C">
        <w:rPr>
          <w:rFonts w:cs="Arial" w:hint="cs"/>
          <w:sz w:val="16"/>
          <w:szCs w:val="16"/>
          <w:rtl/>
        </w:rPr>
        <w:t xml:space="preserve"> </w:t>
      </w:r>
      <w:r>
        <w:rPr>
          <w:rFonts w:cs="Arial" w:hint="cs"/>
          <w:rtl/>
        </w:rPr>
        <w:t>ש</w:t>
      </w:r>
      <w:r>
        <w:rPr>
          <w:rFonts w:cs="Arial"/>
          <w:rtl/>
        </w:rPr>
        <w:t xml:space="preserve">אם נמסר בעדים ליד אותה שאין העדים נקראים עם גיטה </w:t>
      </w:r>
      <w:r>
        <w:rPr>
          <w:rFonts w:cs="Arial" w:hint="cs"/>
          <w:rtl/>
        </w:rPr>
        <w:t xml:space="preserve">- </w:t>
      </w:r>
      <w:r>
        <w:rPr>
          <w:rFonts w:cs="Arial"/>
          <w:rtl/>
        </w:rPr>
        <w:t>מגורשת</w:t>
      </w:r>
      <w:r>
        <w:rPr>
          <w:rFonts w:cs="Arial" w:hint="cs"/>
          <w:rtl/>
        </w:rPr>
        <w:t>.</w:t>
      </w:r>
      <w:r>
        <w:rPr>
          <w:rFonts w:cs="Arial"/>
          <w:rtl/>
        </w:rPr>
        <w:t xml:space="preserve"> ולא חש רבינו לכתבו לפי שהוא פשוט</w:t>
      </w:r>
      <w:r>
        <w:rPr>
          <w:rFonts w:cs="Arial" w:hint="cs"/>
          <w:rtl/>
        </w:rPr>
        <w:t>,</w:t>
      </w:r>
      <w:r>
        <w:rPr>
          <w:rFonts w:cs="Arial"/>
          <w:rtl/>
        </w:rPr>
        <w:t xml:space="preserve"> דכיון דהוי ליה כאין עדים חתומים עליו כשר בעדי מסירה לכו</w:t>
      </w:r>
      <w:r>
        <w:rPr>
          <w:rFonts w:cs="Arial" w:hint="cs"/>
          <w:rtl/>
        </w:rPr>
        <w:t>"</w:t>
      </w:r>
      <w:r>
        <w:rPr>
          <w:rFonts w:cs="Arial"/>
          <w:rtl/>
        </w:rPr>
        <w:t>ע</w:t>
      </w:r>
      <w:r>
        <w:rPr>
          <w:rFonts w:cs="Arial" w:hint="cs"/>
          <w:rtl/>
        </w:rPr>
        <w:t>,</w:t>
      </w:r>
      <w:r>
        <w:rPr>
          <w:rFonts w:cs="Arial"/>
          <w:rtl/>
        </w:rPr>
        <w:t xml:space="preserve"> ואפילו להראב"ד</w:t>
      </w:r>
      <w:r>
        <w:rPr>
          <w:rFonts w:cs="Arial" w:hint="cs"/>
          <w:rtl/>
        </w:rPr>
        <w:t>,</w:t>
      </w:r>
      <w:r>
        <w:rPr>
          <w:rFonts w:cs="Arial"/>
          <w:rtl/>
        </w:rPr>
        <w:t xml:space="preserve"> דהא ליכא למיחש לזיופא</w:t>
      </w:r>
      <w:r>
        <w:rPr>
          <w:rFonts w:cs="Arial" w:hint="cs"/>
          <w:rtl/>
        </w:rPr>
        <w:t xml:space="preserve">, ב"י. </w:t>
      </w:r>
      <w:r w:rsidRPr="008D743C">
        <w:rPr>
          <w:rFonts w:cs="Arial" w:hint="cs"/>
          <w:color w:val="00B0F0"/>
          <w:rtl/>
        </w:rPr>
        <w:t>(וכ"פ הרמ"א)</w:t>
      </w:r>
    </w:p>
  </w:footnote>
  <w:footnote w:id="1222">
    <w:p w14:paraId="18ACD3E4" w14:textId="77777777" w:rsidR="00FA2119" w:rsidRDefault="00FA2119" w:rsidP="00FA2119">
      <w:pPr>
        <w:pStyle w:val="a5"/>
        <w:rPr>
          <w:rtl/>
        </w:rPr>
      </w:pPr>
      <w:r>
        <w:rPr>
          <w:rStyle w:val="a7"/>
        </w:rPr>
        <w:footnoteRef/>
      </w:r>
      <w:r>
        <w:rPr>
          <w:rtl/>
        </w:rPr>
        <w:t xml:space="preserve"> </w:t>
      </w:r>
      <w:r w:rsidRPr="00B20C77">
        <w:rPr>
          <w:rFonts w:cs="Arial"/>
          <w:rtl/>
        </w:rPr>
        <w:t xml:space="preserve">והתימה מרבינו שסתם דבריו ולא פירש דהא דלא מכשירינן אלא חד מינייהו דוקא כדכתב </w:t>
      </w:r>
      <w:r>
        <w:rPr>
          <w:rFonts w:cs="Arial" w:hint="cs"/>
          <w:rtl/>
        </w:rPr>
        <w:t>'</w:t>
      </w:r>
      <w:r w:rsidRPr="00B20C77">
        <w:rPr>
          <w:rFonts w:cs="Arial"/>
          <w:rtl/>
        </w:rPr>
        <w:t>ראובן בן</w:t>
      </w:r>
      <w:r>
        <w:rPr>
          <w:rFonts w:cs="Arial" w:hint="cs"/>
          <w:rtl/>
        </w:rPr>
        <w:t>'</w:t>
      </w:r>
      <w:r w:rsidRPr="00B20C77">
        <w:rPr>
          <w:rFonts w:cs="Arial"/>
          <w:rtl/>
        </w:rPr>
        <w:t xml:space="preserve"> אחד</w:t>
      </w:r>
      <w:r w:rsidRPr="00B20C77">
        <w:rPr>
          <w:rFonts w:cs="Arial" w:hint="cs"/>
          <w:rtl/>
        </w:rPr>
        <w:t>,</w:t>
      </w:r>
      <w:r w:rsidRPr="00B20C77">
        <w:rPr>
          <w:rFonts w:cs="Arial"/>
          <w:rtl/>
        </w:rPr>
        <w:t xml:space="preserve"> ו</w:t>
      </w:r>
      <w:r>
        <w:rPr>
          <w:rFonts w:cs="Arial" w:hint="cs"/>
          <w:rtl/>
        </w:rPr>
        <w:t>'</w:t>
      </w:r>
      <w:r w:rsidRPr="00B20C77">
        <w:rPr>
          <w:rFonts w:cs="Arial"/>
          <w:rtl/>
        </w:rPr>
        <w:t>יעקב עד</w:t>
      </w:r>
      <w:r>
        <w:rPr>
          <w:rFonts w:cs="Arial" w:hint="cs"/>
          <w:rtl/>
        </w:rPr>
        <w:t>'</w:t>
      </w:r>
      <w:r w:rsidRPr="00B20C77">
        <w:rPr>
          <w:rFonts w:cs="Arial"/>
          <w:rtl/>
        </w:rPr>
        <w:t xml:space="preserve"> אאידך</w:t>
      </w:r>
      <w:r w:rsidRPr="00B20C77">
        <w:rPr>
          <w:rFonts w:cs="Arial" w:hint="cs"/>
          <w:rtl/>
        </w:rPr>
        <w:t>,</w:t>
      </w:r>
      <w:r w:rsidRPr="00B20C77">
        <w:rPr>
          <w:rFonts w:cs="Arial"/>
          <w:rtl/>
        </w:rPr>
        <w:t xml:space="preserve"> אבל אם היה כתוב </w:t>
      </w:r>
      <w:r>
        <w:rPr>
          <w:rFonts w:cs="Arial" w:hint="cs"/>
          <w:rtl/>
        </w:rPr>
        <w:t>'</w:t>
      </w:r>
      <w:r w:rsidRPr="00B20C77">
        <w:rPr>
          <w:rFonts w:cs="Arial"/>
          <w:rtl/>
        </w:rPr>
        <w:t>ראובן</w:t>
      </w:r>
      <w:r>
        <w:rPr>
          <w:rFonts w:cs="Arial" w:hint="cs"/>
          <w:rtl/>
        </w:rPr>
        <w:t>'</w:t>
      </w:r>
      <w:r w:rsidRPr="00B20C77">
        <w:rPr>
          <w:rFonts w:cs="Arial"/>
          <w:rtl/>
        </w:rPr>
        <w:t xml:space="preserve"> אחד</w:t>
      </w:r>
      <w:r w:rsidRPr="00B20C77">
        <w:rPr>
          <w:rFonts w:cs="Arial" w:hint="cs"/>
          <w:rtl/>
        </w:rPr>
        <w:t>,</w:t>
      </w:r>
      <w:r w:rsidRPr="00B20C77">
        <w:rPr>
          <w:rFonts w:cs="Arial"/>
          <w:rtl/>
        </w:rPr>
        <w:t xml:space="preserve"> ו</w:t>
      </w:r>
      <w:r>
        <w:rPr>
          <w:rFonts w:cs="Arial" w:hint="cs"/>
          <w:rtl/>
        </w:rPr>
        <w:t>'</w:t>
      </w:r>
      <w:r w:rsidRPr="00B20C77">
        <w:rPr>
          <w:rFonts w:cs="Arial"/>
          <w:rtl/>
        </w:rPr>
        <w:t>בן יעקב עד</w:t>
      </w:r>
      <w:r>
        <w:rPr>
          <w:rFonts w:cs="Arial" w:hint="cs"/>
          <w:rtl/>
        </w:rPr>
        <w:t>'</w:t>
      </w:r>
      <w:r w:rsidRPr="00B20C77">
        <w:rPr>
          <w:rFonts w:cs="Arial"/>
          <w:rtl/>
        </w:rPr>
        <w:t xml:space="preserve"> אאידך </w:t>
      </w:r>
      <w:r w:rsidRPr="00B20C77">
        <w:rPr>
          <w:rFonts w:cs="Arial" w:hint="cs"/>
          <w:rtl/>
        </w:rPr>
        <w:t xml:space="preserve">- </w:t>
      </w:r>
      <w:r w:rsidRPr="00B20C77">
        <w:rPr>
          <w:rFonts w:cs="Arial"/>
          <w:rtl/>
        </w:rPr>
        <w:t>שניהם כשרים</w:t>
      </w:r>
      <w:r w:rsidRPr="00B20C77">
        <w:rPr>
          <w:rFonts w:cs="Arial" w:hint="cs"/>
          <w:rtl/>
        </w:rPr>
        <w:t>.</w:t>
      </w:r>
      <w:r w:rsidRPr="00B20C77">
        <w:rPr>
          <w:rFonts w:cs="Arial"/>
          <w:rtl/>
        </w:rPr>
        <w:t xml:space="preserve"> [בדק הבית] ויש לומר שסמך על מה שאמר כן לקמן בסימן זה (כט.) גבי כשחותם העד צריך לפרש שמו ושם אביו [עד כאן]</w:t>
      </w:r>
      <w:r w:rsidRPr="00B20C77">
        <w:rPr>
          <w:rFonts w:cs="Arial" w:hint="cs"/>
          <w:rtl/>
        </w:rPr>
        <w:t>, ב"י.</w:t>
      </w:r>
    </w:p>
  </w:footnote>
  <w:footnote w:id="1223">
    <w:p w14:paraId="39498E5F" w14:textId="77777777" w:rsidR="00FA2119" w:rsidRDefault="00FA2119" w:rsidP="00FA2119">
      <w:pPr>
        <w:pStyle w:val="a5"/>
      </w:pPr>
      <w:r>
        <w:rPr>
          <w:rStyle w:val="a7"/>
        </w:rPr>
        <w:footnoteRef/>
      </w:r>
      <w:r>
        <w:rPr>
          <w:rtl/>
        </w:rPr>
        <w:t xml:space="preserve"> </w:t>
      </w:r>
      <w:r>
        <w:rPr>
          <w:rFonts w:cs="Arial"/>
          <w:rtl/>
        </w:rPr>
        <w:t>בוי"ו שמוסיף על ענין ראשון אבל אם כתב פלוני גירש את פלונית בלא וי"ו חיישינן שמא לא חתמו אלא על גט אחרון</w:t>
      </w:r>
      <w:r>
        <w:rPr>
          <w:rFonts w:cs="Arial" w:hint="cs"/>
          <w:rtl/>
        </w:rPr>
        <w:t>, ב"י.</w:t>
      </w:r>
    </w:p>
  </w:footnote>
  <w:footnote w:id="1224">
    <w:p w14:paraId="55E7A35C" w14:textId="77777777" w:rsidR="00FA2119" w:rsidRDefault="00FA2119" w:rsidP="00FA2119">
      <w:pPr>
        <w:pStyle w:val="a5"/>
        <w:rPr>
          <w:rtl/>
        </w:rPr>
      </w:pPr>
      <w:r>
        <w:rPr>
          <w:rStyle w:val="a7"/>
        </w:rPr>
        <w:footnoteRef/>
      </w:r>
      <w:r>
        <w:rPr>
          <w:rtl/>
        </w:rPr>
        <w:t xml:space="preserve"> </w:t>
      </w:r>
      <w:r>
        <w:rPr>
          <w:rFonts w:cs="Arial"/>
          <w:rtl/>
        </w:rPr>
        <w:t>היינו בשזמן כולן שוה ביום אחד דאי לאו הכי תיפוק ליה דפסילי משום מוקדמין כולהו בר מבתרא שהרי לא חתמו העדים עד אחר שנחתם התחתון</w:t>
      </w:r>
      <w:r>
        <w:rPr>
          <w:rFonts w:hint="cs"/>
          <w:rtl/>
        </w:rPr>
        <w:t>, ב"י.</w:t>
      </w:r>
    </w:p>
  </w:footnote>
  <w:footnote w:id="1225">
    <w:p w14:paraId="3272D9E3" w14:textId="77777777" w:rsidR="00FA2119" w:rsidRDefault="00FA2119" w:rsidP="00FA2119">
      <w:pPr>
        <w:pStyle w:val="a5"/>
      </w:pPr>
      <w:r>
        <w:rPr>
          <w:rStyle w:val="a7"/>
        </w:rPr>
        <w:footnoteRef/>
      </w:r>
      <w:r>
        <w:rPr>
          <w:rtl/>
        </w:rPr>
        <w:t xml:space="preserve"> </w:t>
      </w:r>
      <w:r w:rsidRPr="00E64843">
        <w:rPr>
          <w:rFonts w:cs="Arial"/>
          <w:rtl/>
        </w:rPr>
        <w:t>מפשט דבריו משמע שלא כתבו אלא טופס אחד לכולן דהיינו שכתבו בכך וכך בשבת גירש ראובן את רבקה ויעקב את רחל וכך אמר כל אחד מהם לאשתו ליכי די תיהוייין וכו'.</w:t>
      </w:r>
      <w:r>
        <w:rPr>
          <w:rFonts w:cs="Arial" w:hint="cs"/>
          <w:rtl/>
        </w:rPr>
        <w:t xml:space="preserve"> </w:t>
      </w:r>
      <w:r w:rsidRPr="00E64843">
        <w:rPr>
          <w:rFonts w:cs="Arial"/>
          <w:rtl/>
        </w:rPr>
        <w:t>אבל רבינו מפרש דכתבו כלל היינו שכתבו ראובן גירש את רבקה וכך אמר לה צביתי ברעות נפשי ופטרית וכו' יתיכי ליכי וכו' עד ודין די יהוי ליכי מינאי וכו' ויעקב גירש את רחל וכך אמר לה צביתי ברעות נפשי ופטרית וכו' עד ודין די יהוי ליכי מינאי וכו' וזהו דעת הרמ"ה כמו שכתב רבינו בסמוך (כט.).</w:t>
      </w:r>
      <w:r>
        <w:rPr>
          <w:rFonts w:cs="Arial" w:hint="cs"/>
          <w:rtl/>
        </w:rPr>
        <w:t>..</w:t>
      </w:r>
      <w:r w:rsidRPr="00E64843">
        <w:rPr>
          <w:rFonts w:cs="Arial"/>
          <w:rtl/>
        </w:rPr>
        <w:t xml:space="preserve"> </w:t>
      </w:r>
      <w:r w:rsidRPr="00CA1353">
        <w:rPr>
          <w:rFonts w:cs="Arial"/>
          <w:rtl/>
        </w:rPr>
        <w:t>וגם דברי הרמב"ם אפשר להתפרש בדרך זה</w:t>
      </w:r>
      <w:r>
        <w:rPr>
          <w:rFonts w:cs="Arial" w:hint="cs"/>
          <w:rtl/>
        </w:rPr>
        <w:t>, ב"י.</w:t>
      </w:r>
    </w:p>
  </w:footnote>
  <w:footnote w:id="1226">
    <w:p w14:paraId="7B1DAEA8" w14:textId="617B582C" w:rsidR="00FA2119" w:rsidRDefault="00FA2119" w:rsidP="00FA2119">
      <w:pPr>
        <w:pStyle w:val="a5"/>
        <w:rPr>
          <w:rtl/>
        </w:rPr>
      </w:pPr>
      <w:r>
        <w:rPr>
          <w:rStyle w:val="a7"/>
        </w:rPr>
        <w:footnoteRef/>
      </w:r>
      <w:r>
        <w:rPr>
          <w:rtl/>
        </w:rPr>
        <w:t xml:space="preserve"> </w:t>
      </w:r>
      <w:r>
        <w:rPr>
          <w:rFonts w:cs="Arial"/>
          <w:rtl/>
        </w:rPr>
        <w:t>מה שהצריך שינתן לכל אחת מהן בעדי מסירה הוא משום דאע"ג דעדים חתומים על הגט צריך לינתן בפני עדי מסירה לכתחלה מיהא להרמב"ם</w:t>
      </w:r>
      <w:r>
        <w:rPr>
          <w:rFonts w:cs="Arial" w:hint="cs"/>
          <w:rtl/>
        </w:rPr>
        <w:t>,</w:t>
      </w:r>
      <w:r>
        <w:rPr>
          <w:rFonts w:cs="Arial"/>
          <w:rtl/>
        </w:rPr>
        <w:t xml:space="preserve"> ואם אין שם עדי מסירה כלל כל מי שתצא מגילה זו מתחת ידה מגורשת כיון שעדים שחתומים בו חוזרין על כל הגיטין הרי יש בידה גט חתום</w:t>
      </w:r>
      <w:r>
        <w:rPr>
          <w:rFonts w:cs="Arial" w:hint="cs"/>
          <w:rtl/>
        </w:rPr>
        <w:t xml:space="preserve">, </w:t>
      </w:r>
      <w:r>
        <w:rPr>
          <w:rFonts w:cs="Arial"/>
          <w:rtl/>
        </w:rPr>
        <w:t>ואע</w:t>
      </w:r>
      <w:r>
        <w:rPr>
          <w:rFonts w:cs="Arial" w:hint="cs"/>
          <w:rtl/>
        </w:rPr>
        <w:t>"</w:t>
      </w:r>
      <w:r>
        <w:rPr>
          <w:rFonts w:cs="Arial"/>
          <w:rtl/>
        </w:rPr>
        <w:t>פ שלא ניתן לה בעדי מסירה כשר בדיעבד לדעת הרמב"ם בפ</w:t>
      </w:r>
      <w:r>
        <w:rPr>
          <w:rFonts w:cs="Arial" w:hint="cs"/>
          <w:rtl/>
        </w:rPr>
        <w:t>"</w:t>
      </w:r>
      <w:r>
        <w:rPr>
          <w:rFonts w:cs="Arial"/>
          <w:rtl/>
        </w:rPr>
        <w:t>א (הט"ז)</w:t>
      </w:r>
      <w:r>
        <w:rPr>
          <w:rFonts w:cs="Arial" w:hint="cs"/>
          <w:rtl/>
        </w:rPr>
        <w:t>,</w:t>
      </w:r>
      <w:r>
        <w:rPr>
          <w:rFonts w:cs="Arial"/>
          <w:rtl/>
        </w:rPr>
        <w:t xml:space="preserve"> ובודאי שכשכל אחת נותנת לחבירתה כשתצטרך </w:t>
      </w:r>
      <w:r>
        <w:rPr>
          <w:rFonts w:cs="Arial" w:hint="cs"/>
          <w:rtl/>
        </w:rPr>
        <w:t xml:space="preserve">- </w:t>
      </w:r>
      <w:r>
        <w:rPr>
          <w:rFonts w:cs="Arial"/>
          <w:rtl/>
        </w:rPr>
        <w:t>כולן נישאות בו וגובות כתובה על ידו</w:t>
      </w:r>
      <w:r>
        <w:rPr>
          <w:rFonts w:cs="Arial" w:hint="cs"/>
          <w:rtl/>
        </w:rPr>
        <w:t>.</w:t>
      </w:r>
      <w:r>
        <w:rPr>
          <w:rFonts w:cs="Arial"/>
          <w:rtl/>
        </w:rPr>
        <w:t xml:space="preserve"> כן נראה לי לפרש דברי הרמב"ם. אבל מדברי רבינו שכתב ולמאי דבעינן למיכתב</w:t>
      </w:r>
      <w:r>
        <w:rPr>
          <w:rFonts w:cs="Arial" w:hint="cs"/>
          <w:rtl/>
        </w:rPr>
        <w:t xml:space="preserve"> (סי' קלג)</w:t>
      </w:r>
      <w:r>
        <w:rPr>
          <w:rFonts w:cs="Arial"/>
          <w:rtl/>
        </w:rPr>
        <w:t xml:space="preserve"> שכל גט שבא לפנינו חתום וכו' הכא נמי אין צריך שיהו עדי מסירה לפנינו </w:t>
      </w:r>
      <w:r>
        <w:rPr>
          <w:rFonts w:cs="Arial" w:hint="cs"/>
          <w:rtl/>
        </w:rPr>
        <w:t xml:space="preserve">- </w:t>
      </w:r>
      <w:r>
        <w:rPr>
          <w:rFonts w:cs="Arial"/>
          <w:rtl/>
        </w:rPr>
        <w:t xml:space="preserve">נראה שהוא מפרש מה שכתב הרמב"ם וינתן לכל אחת מהן בעדי מסירה היינו לומר שצריך שיבואו עדי מסירה לפנינו ויעידו שנמסר לכל אחת ואחת, ובאמת דהכי מוכחי סוף דבריו שכתב </w:t>
      </w:r>
      <w:r>
        <w:rPr>
          <w:rFonts w:cs="Arial" w:hint="cs"/>
          <w:rtl/>
        </w:rPr>
        <w:t>'</w:t>
      </w:r>
      <w:r>
        <w:rPr>
          <w:rFonts w:cs="Arial"/>
          <w:rtl/>
        </w:rPr>
        <w:t>ואם אין שם עדי מסירה כלל כל מי שתצא מגילה זו מתחת ידה מגורשת</w:t>
      </w:r>
      <w:r>
        <w:rPr>
          <w:rFonts w:cs="Arial" w:hint="cs"/>
          <w:rtl/>
        </w:rPr>
        <w:t>',</w:t>
      </w:r>
      <w:r>
        <w:rPr>
          <w:rFonts w:cs="Arial"/>
          <w:rtl/>
        </w:rPr>
        <w:t xml:space="preserve"> משמע דברישא אפילו אותה שאין הגט יוצא מתחת ידה מגורשת</w:t>
      </w:r>
      <w:r>
        <w:rPr>
          <w:rFonts w:cs="Arial" w:hint="cs"/>
          <w:rtl/>
        </w:rPr>
        <w:t>,</w:t>
      </w:r>
      <w:r>
        <w:rPr>
          <w:rFonts w:cs="Arial"/>
          <w:rtl/>
        </w:rPr>
        <w:t xml:space="preserve"> וטעמא משום דעדי מסירה מעידים שנמסר ליד כל אחת ואחת</w:t>
      </w:r>
      <w:r>
        <w:rPr>
          <w:rFonts w:hint="cs"/>
          <w:rtl/>
        </w:rPr>
        <w:t>, ב"י.</w:t>
      </w:r>
    </w:p>
  </w:footnote>
  <w:footnote w:id="1227">
    <w:p w14:paraId="3CC25107" w14:textId="5D63D4D4" w:rsidR="00FA2119" w:rsidRDefault="00FA2119" w:rsidP="00FA2119">
      <w:pPr>
        <w:pStyle w:val="a5"/>
      </w:pPr>
      <w:r>
        <w:rPr>
          <w:rStyle w:val="a7"/>
        </w:rPr>
        <w:footnoteRef/>
      </w:r>
      <w:r>
        <w:rPr>
          <w:rtl/>
        </w:rPr>
        <w:t xml:space="preserve"> </w:t>
      </w:r>
      <w:r>
        <w:rPr>
          <w:rFonts w:cs="Arial" w:hint="cs"/>
          <w:rtl/>
        </w:rPr>
        <w:t>וכ"כ ה</w:t>
      </w:r>
      <w:r>
        <w:rPr>
          <w:rFonts w:cs="Arial"/>
          <w:rtl/>
        </w:rPr>
        <w:t>רמ"ה</w:t>
      </w:r>
      <w:r>
        <w:rPr>
          <w:rFonts w:cs="Arial" w:hint="cs"/>
          <w:sz w:val="16"/>
          <w:szCs w:val="16"/>
          <w:rtl/>
        </w:rPr>
        <w:t xml:space="preserve"> (כ"כ הטור בשמו)</w:t>
      </w:r>
      <w:r>
        <w:rPr>
          <w:rFonts w:cs="Arial" w:hint="cs"/>
          <w:rtl/>
        </w:rPr>
        <w:t xml:space="preserve"> דצריך לסיים על כל אחד כל עניינו של גט </w:t>
      </w:r>
      <w:r w:rsidRPr="00027D22">
        <w:rPr>
          <w:rFonts w:cs="Arial" w:hint="cs"/>
          <w:sz w:val="16"/>
          <w:szCs w:val="16"/>
          <w:rtl/>
        </w:rPr>
        <w:t>(וז"ל הטור בשמו</w:t>
      </w:r>
      <w:r w:rsidR="00AD4485">
        <w:rPr>
          <w:rFonts w:cs="Arial" w:hint="cs"/>
          <w:sz w:val="16"/>
          <w:szCs w:val="16"/>
          <w:rtl/>
        </w:rPr>
        <w:t>:</w:t>
      </w:r>
      <w:r w:rsidRPr="00027D22">
        <w:rPr>
          <w:rFonts w:cs="Arial" w:hint="cs"/>
          <w:sz w:val="16"/>
          <w:szCs w:val="16"/>
          <w:rtl/>
        </w:rPr>
        <w:t xml:space="preserve"> </w:t>
      </w:r>
      <w:r w:rsidRPr="00027D22">
        <w:rPr>
          <w:rFonts w:cs="Arial"/>
          <w:sz w:val="16"/>
          <w:szCs w:val="16"/>
          <w:rtl/>
        </w:rPr>
        <w:t>ה</w:t>
      </w:r>
      <w:r w:rsidRPr="00027D22">
        <w:rPr>
          <w:rFonts w:cs="Arial" w:hint="cs"/>
          <w:sz w:val="16"/>
          <w:szCs w:val="16"/>
          <w:rtl/>
        </w:rPr>
        <w:t xml:space="preserve">וא </w:t>
      </w:r>
      <w:r w:rsidRPr="00027D22">
        <w:rPr>
          <w:rFonts w:cs="Arial"/>
          <w:sz w:val="16"/>
          <w:szCs w:val="16"/>
          <w:rtl/>
        </w:rPr>
        <w:t>ה</w:t>
      </w:r>
      <w:r w:rsidRPr="00027D22">
        <w:rPr>
          <w:rFonts w:cs="Arial" w:hint="cs"/>
          <w:sz w:val="16"/>
          <w:szCs w:val="16"/>
          <w:rtl/>
        </w:rPr>
        <w:t>דין</w:t>
      </w:r>
      <w:r w:rsidRPr="00027D22">
        <w:rPr>
          <w:rFonts w:cs="Arial"/>
          <w:sz w:val="16"/>
          <w:szCs w:val="16"/>
          <w:rtl/>
        </w:rPr>
        <w:t xml:space="preserve"> נמי אם כתב פלוני מגרש פלונית ופלוני לפלונית הוי ב' נשים בגט אחד אא"כ סיים על כל אחד ואחד כל ענינו של גט כדפרישית לעיל</w:t>
      </w:r>
      <w:r>
        <w:rPr>
          <w:rFonts w:cs="Arial" w:hint="cs"/>
          <w:sz w:val="16"/>
          <w:szCs w:val="16"/>
          <w:rtl/>
        </w:rPr>
        <w:t>)</w:t>
      </w:r>
      <w:r>
        <w:rPr>
          <w:rFonts w:cs="Arial" w:hint="cs"/>
          <w:rtl/>
        </w:rPr>
        <w:t xml:space="preserve">. וכתב הב"י דהוא </w:t>
      </w:r>
      <w:r w:rsidRPr="00A14BB0">
        <w:rPr>
          <w:rFonts w:cs="Arial"/>
          <w:rtl/>
        </w:rPr>
        <w:t>משום דאם לא סיים על כל אחד כל עניינו של גט הוו שתי נשים בגט אחד</w:t>
      </w:r>
      <w:r>
        <w:rPr>
          <w:rFonts w:cs="Arial" w:hint="cs"/>
          <w:rtl/>
        </w:rPr>
        <w:t>,</w:t>
      </w:r>
      <w:r w:rsidRPr="00A14BB0">
        <w:rPr>
          <w:rFonts w:cs="Arial"/>
          <w:rtl/>
        </w:rPr>
        <w:t xml:space="preserve"> דומיא דכתב אנו פלוני ופלוני מגרשים נשותינו ולא הדר פסקינהו</w:t>
      </w:r>
      <w:r>
        <w:rPr>
          <w:rFonts w:cs="Arial" w:hint="cs"/>
          <w:rtl/>
        </w:rPr>
        <w:t>.</w:t>
      </w:r>
    </w:p>
  </w:footnote>
  <w:footnote w:id="1228">
    <w:p w14:paraId="05AB45E6" w14:textId="1E630A54" w:rsidR="00FA2119" w:rsidRDefault="00FA2119" w:rsidP="00FA2119">
      <w:pPr>
        <w:pStyle w:val="a5"/>
        <w:rPr>
          <w:rtl/>
        </w:rPr>
      </w:pPr>
      <w:r>
        <w:rPr>
          <w:rStyle w:val="a7"/>
        </w:rPr>
        <w:footnoteRef/>
      </w:r>
      <w:r>
        <w:rPr>
          <w:rtl/>
        </w:rPr>
        <w:t xml:space="preserve"> </w:t>
      </w:r>
      <w:r>
        <w:rPr>
          <w:rFonts w:hint="cs"/>
          <w:rtl/>
        </w:rPr>
        <w:t xml:space="preserve">כתב הטור את סוף דברי הרמב"ם הנ"ל </w:t>
      </w:r>
      <w:r w:rsidRPr="006644E7">
        <w:rPr>
          <w:rFonts w:hint="cs"/>
          <w:sz w:val="16"/>
          <w:szCs w:val="16"/>
          <w:rtl/>
        </w:rPr>
        <w:t>(</w:t>
      </w:r>
      <w:r w:rsidRPr="006644E7">
        <w:rPr>
          <w:rFonts w:cs="Arial"/>
          <w:sz w:val="16"/>
          <w:szCs w:val="16"/>
          <w:rtl/>
        </w:rPr>
        <w:t>ו</w:t>
      </w:r>
      <w:r w:rsidRPr="006644E7">
        <w:rPr>
          <w:rFonts w:cs="Arial" w:hint="cs"/>
          <w:sz w:val="16"/>
          <w:szCs w:val="16"/>
          <w:rtl/>
        </w:rPr>
        <w:t>י</w:t>
      </w:r>
      <w:r w:rsidRPr="006644E7">
        <w:rPr>
          <w:rFonts w:cs="Arial"/>
          <w:sz w:val="16"/>
          <w:szCs w:val="16"/>
          <w:rtl/>
        </w:rPr>
        <w:t>נתן לכל אחת בעידי מסירה</w:t>
      </w:r>
      <w:r>
        <w:rPr>
          <w:rFonts w:cs="Arial" w:hint="cs"/>
          <w:sz w:val="16"/>
          <w:szCs w:val="16"/>
          <w:rtl/>
        </w:rPr>
        <w:t>,</w:t>
      </w:r>
      <w:r w:rsidRPr="006644E7">
        <w:rPr>
          <w:rFonts w:cs="Arial"/>
          <w:sz w:val="16"/>
          <w:szCs w:val="16"/>
          <w:rtl/>
        </w:rPr>
        <w:t xml:space="preserve"> ואם אין שם עידי מסירה</w:t>
      </w:r>
      <w:r w:rsidRPr="006644E7">
        <w:rPr>
          <w:rFonts w:cs="Arial" w:hint="cs"/>
          <w:sz w:val="16"/>
          <w:szCs w:val="16"/>
          <w:rtl/>
        </w:rPr>
        <w:t>...)</w:t>
      </w:r>
      <w:r>
        <w:rPr>
          <w:rFonts w:cs="Arial" w:hint="cs"/>
          <w:rtl/>
        </w:rPr>
        <w:t xml:space="preserve">, וכתב </w:t>
      </w:r>
      <w:r w:rsidR="000A0F5A">
        <w:rPr>
          <w:rFonts w:cs="Arial" w:hint="cs"/>
          <w:rtl/>
        </w:rPr>
        <w:t>וז</w:t>
      </w:r>
      <w:r w:rsidR="000A0F5A">
        <w:rPr>
          <w:rFonts w:cs="Arial"/>
          <w:rtl/>
        </w:rPr>
        <w:t>"</w:t>
      </w:r>
      <w:r w:rsidR="000A0F5A">
        <w:rPr>
          <w:rFonts w:cs="Arial" w:hint="cs"/>
          <w:rtl/>
        </w:rPr>
        <w:t>ל:</w:t>
      </w:r>
      <w:r w:rsidRPr="006644E7">
        <w:rPr>
          <w:rFonts w:cs="Arial"/>
          <w:rtl/>
        </w:rPr>
        <w:t xml:space="preserve"> </w:t>
      </w:r>
      <w:r>
        <w:rPr>
          <w:rFonts w:cs="Arial"/>
          <w:rtl/>
        </w:rPr>
        <w:t>ולמאי דבעינן למכתב</w:t>
      </w:r>
      <w:r>
        <w:rPr>
          <w:rFonts w:cs="Arial" w:hint="cs"/>
          <w:sz w:val="16"/>
          <w:szCs w:val="16"/>
          <w:rtl/>
        </w:rPr>
        <w:t xml:space="preserve"> (סי' קלג)</w:t>
      </w:r>
      <w:r>
        <w:rPr>
          <w:rFonts w:cs="Arial"/>
          <w:rtl/>
        </w:rPr>
        <w:t xml:space="preserve"> שכל גט שבא לפנינו חתום אין צריך לבקש אחר עדי מסירה</w:t>
      </w:r>
      <w:r>
        <w:rPr>
          <w:rFonts w:cs="Arial" w:hint="cs"/>
          <w:rtl/>
        </w:rPr>
        <w:t>,</w:t>
      </w:r>
      <w:r>
        <w:rPr>
          <w:rFonts w:cs="Arial"/>
          <w:rtl/>
        </w:rPr>
        <w:t xml:space="preserve"> ואם לא נמסר בפני עדים פסול אפילו עדים חתומים בו</w:t>
      </w:r>
      <w:r>
        <w:rPr>
          <w:rFonts w:cs="Arial" w:hint="cs"/>
          <w:rtl/>
        </w:rPr>
        <w:t>,</w:t>
      </w:r>
      <w:r>
        <w:rPr>
          <w:rFonts w:cs="Arial"/>
          <w:rtl/>
        </w:rPr>
        <w:t xml:space="preserve"> ה</w:t>
      </w:r>
      <w:r>
        <w:rPr>
          <w:rFonts w:cs="Arial" w:hint="cs"/>
          <w:rtl/>
        </w:rPr>
        <w:t xml:space="preserve">כא </w:t>
      </w:r>
      <w:r>
        <w:rPr>
          <w:rFonts w:cs="Arial"/>
          <w:rtl/>
        </w:rPr>
        <w:t>נ</w:t>
      </w:r>
      <w:r>
        <w:rPr>
          <w:rFonts w:cs="Arial" w:hint="cs"/>
          <w:rtl/>
        </w:rPr>
        <w:t>מי-...</w:t>
      </w:r>
    </w:p>
  </w:footnote>
  <w:footnote w:id="1229">
    <w:p w14:paraId="16A53F8E" w14:textId="77777777" w:rsidR="00FA2119" w:rsidRDefault="00FA2119" w:rsidP="00FA2119">
      <w:pPr>
        <w:pStyle w:val="a5"/>
      </w:pPr>
      <w:r>
        <w:rPr>
          <w:rStyle w:val="a7"/>
        </w:rPr>
        <w:footnoteRef/>
      </w:r>
      <w:r>
        <w:rPr>
          <w:rtl/>
        </w:rPr>
        <w:t xml:space="preserve"> </w:t>
      </w:r>
      <w:r>
        <w:rPr>
          <w:rFonts w:cs="Arial"/>
          <w:rtl/>
        </w:rPr>
        <w:t>האי בכך וכך היינו שזמן כולן ביום אחד</w:t>
      </w:r>
      <w:r>
        <w:rPr>
          <w:rFonts w:cs="Arial" w:hint="cs"/>
          <w:rtl/>
        </w:rPr>
        <w:t>,</w:t>
      </w:r>
      <w:r>
        <w:rPr>
          <w:rFonts w:cs="Arial"/>
          <w:rtl/>
        </w:rPr>
        <w:t xml:space="preserve"> דאל</w:t>
      </w:r>
      <w:r>
        <w:rPr>
          <w:rFonts w:cs="Arial" w:hint="cs"/>
          <w:rtl/>
        </w:rPr>
        <w:t>"</w:t>
      </w:r>
      <w:r>
        <w:rPr>
          <w:rFonts w:cs="Arial"/>
          <w:rtl/>
        </w:rPr>
        <w:t>כ הראשונים אינם כשרים אפילו על ידי מסירה</w:t>
      </w:r>
      <w:r>
        <w:rPr>
          <w:rFonts w:cs="Arial" w:hint="cs"/>
          <w:rtl/>
        </w:rPr>
        <w:t>,</w:t>
      </w:r>
      <w:r>
        <w:rPr>
          <w:rFonts w:cs="Arial"/>
          <w:rtl/>
        </w:rPr>
        <w:t xml:space="preserve"> משום דדילמא עדים קיימי נמי אגיטין ראשונים</w:t>
      </w:r>
      <w:r>
        <w:rPr>
          <w:rFonts w:cs="Arial" w:hint="cs"/>
          <w:rtl/>
        </w:rPr>
        <w:t>,</w:t>
      </w:r>
      <w:r>
        <w:rPr>
          <w:rFonts w:cs="Arial"/>
          <w:rtl/>
        </w:rPr>
        <w:t xml:space="preserve"> דמשום הכי כתב הרמב"ם בפ</w:t>
      </w:r>
      <w:r>
        <w:rPr>
          <w:rFonts w:cs="Arial" w:hint="cs"/>
          <w:rtl/>
        </w:rPr>
        <w:t>"</w:t>
      </w:r>
      <w:r>
        <w:rPr>
          <w:rFonts w:cs="Arial"/>
          <w:rtl/>
        </w:rPr>
        <w:t>ד שאם לא היו שם עדי מסירה והיתה מגילה יוצאה מתחת יד אחת מהראשונות הרי זו ספק מגורשת</w:t>
      </w:r>
      <w:r>
        <w:rPr>
          <w:rFonts w:cs="Arial" w:hint="cs"/>
          <w:rtl/>
        </w:rPr>
        <w:t>.</w:t>
      </w:r>
      <w:r>
        <w:rPr>
          <w:rFonts w:cs="Arial"/>
          <w:rtl/>
        </w:rPr>
        <w:t xml:space="preserve"> וכיון שלא נחתם עד שנכתב גט אחרון הוו להו הנך גיטין מוקדמין והוו כמזוייפים מתוכם</w:t>
      </w:r>
      <w:r>
        <w:rPr>
          <w:rFonts w:cs="Arial" w:hint="cs"/>
          <w:rtl/>
        </w:rPr>
        <w:t>,</w:t>
      </w:r>
      <w:r>
        <w:rPr>
          <w:rFonts w:cs="Arial"/>
          <w:rtl/>
        </w:rPr>
        <w:t xml:space="preserve"> וכל שמזוייף מתוכו פסול אפילו על ידי עדי מסירה כמבואר בסימן קל"א</w:t>
      </w:r>
      <w:r>
        <w:rPr>
          <w:rFonts w:cs="Arial" w:hint="cs"/>
          <w:rtl/>
        </w:rPr>
        <w:t>, ב"י.</w:t>
      </w:r>
    </w:p>
  </w:footnote>
  <w:footnote w:id="1230">
    <w:p w14:paraId="5C83EA80" w14:textId="77777777" w:rsidR="00FA2119" w:rsidRDefault="00FA2119" w:rsidP="00FA2119">
      <w:pPr>
        <w:pStyle w:val="a5"/>
        <w:rPr>
          <w:rtl/>
        </w:rPr>
      </w:pPr>
      <w:r>
        <w:rPr>
          <w:rStyle w:val="a7"/>
        </w:rPr>
        <w:footnoteRef/>
      </w:r>
      <w:r>
        <w:rPr>
          <w:rtl/>
        </w:rPr>
        <w:t xml:space="preserve"> </w:t>
      </w:r>
      <w:r>
        <w:rPr>
          <w:rFonts w:cs="Arial"/>
          <w:rtl/>
        </w:rPr>
        <w:t>גם בזה כתב הרמב"ם אם נתנה מגילה זו לכל אחת בעדי מסירה כולן מתגרשות ואם אין שם עדי מסירה אין מתגרשות בו אלא אותה שגיטה באחרונה</w:t>
      </w:r>
      <w:r>
        <w:rPr>
          <w:rFonts w:hint="cs"/>
          <w:rtl/>
        </w:rPr>
        <w:t>, טור.</w:t>
      </w:r>
    </w:p>
  </w:footnote>
  <w:footnote w:id="1231">
    <w:p w14:paraId="4BC80804" w14:textId="77777777" w:rsidR="00FA2119" w:rsidRDefault="00FA2119" w:rsidP="00FA2119">
      <w:pPr>
        <w:pStyle w:val="a5"/>
      </w:pPr>
      <w:r>
        <w:rPr>
          <w:rStyle w:val="a7"/>
        </w:rPr>
        <w:footnoteRef/>
      </w:r>
      <w:r>
        <w:rPr>
          <w:rtl/>
        </w:rPr>
        <w:t xml:space="preserve"> </w:t>
      </w:r>
      <w:r w:rsidRPr="007023BA">
        <w:rPr>
          <w:rFonts w:cs="Arial"/>
          <w:rtl/>
        </w:rPr>
        <w:t>אע</w:t>
      </w:r>
      <w:r>
        <w:rPr>
          <w:rFonts w:cs="Arial" w:hint="cs"/>
          <w:rtl/>
        </w:rPr>
        <w:t>"</w:t>
      </w:r>
      <w:r w:rsidRPr="007023BA">
        <w:rPr>
          <w:rFonts w:cs="Arial"/>
          <w:rtl/>
        </w:rPr>
        <w:t>פ שנמסר לכל אחת מהן בעדים</w:t>
      </w:r>
      <w:r>
        <w:rPr>
          <w:rFonts w:cs="Arial" w:hint="cs"/>
          <w:rtl/>
        </w:rPr>
        <w:t>, רמב"ם (פ"ד הי"ט).</w:t>
      </w:r>
    </w:p>
  </w:footnote>
  <w:footnote w:id="1232">
    <w:p w14:paraId="53E86149" w14:textId="77777777" w:rsidR="00FA2119" w:rsidRDefault="00FA2119" w:rsidP="00FA2119">
      <w:pPr>
        <w:pStyle w:val="a5"/>
      </w:pPr>
      <w:r>
        <w:rPr>
          <w:rStyle w:val="a7"/>
        </w:rPr>
        <w:footnoteRef/>
      </w:r>
      <w:r>
        <w:rPr>
          <w:rtl/>
        </w:rPr>
        <w:t xml:space="preserve"> </w:t>
      </w:r>
      <w:r w:rsidRPr="001514B7">
        <w:rPr>
          <w:rFonts w:cs="Arial"/>
          <w:rtl/>
        </w:rPr>
        <w:t>בעינן שיסיים על כל אחד כל עניינו של ג</w:t>
      </w:r>
      <w:r>
        <w:rPr>
          <w:rFonts w:cs="Arial" w:hint="cs"/>
          <w:rtl/>
        </w:rPr>
        <w:t>ט...</w:t>
      </w:r>
      <w:r w:rsidRPr="001514B7">
        <w:rPr>
          <w:rFonts w:cs="Arial"/>
          <w:rtl/>
        </w:rPr>
        <w:t xml:space="preserve"> </w:t>
      </w:r>
      <w:r>
        <w:rPr>
          <w:rFonts w:cs="Arial" w:hint="cs"/>
          <w:rtl/>
        </w:rPr>
        <w:t>ו</w:t>
      </w:r>
      <w:r w:rsidRPr="001514B7">
        <w:rPr>
          <w:rFonts w:cs="Arial"/>
          <w:rtl/>
        </w:rPr>
        <w:t xml:space="preserve">כיון דכל שכן הוא </w:t>
      </w:r>
      <w:r>
        <w:rPr>
          <w:rFonts w:cs="Arial" w:hint="cs"/>
          <w:sz w:val="16"/>
          <w:szCs w:val="16"/>
          <w:rtl/>
        </w:rPr>
        <w:t xml:space="preserve">{מהא דפסקינהו מעיקרא, כדלעיל} </w:t>
      </w:r>
      <w:r w:rsidRPr="001514B7">
        <w:rPr>
          <w:rFonts w:cs="Arial"/>
          <w:rtl/>
        </w:rPr>
        <w:t>לא איצטריך למימר</w:t>
      </w:r>
      <w:r>
        <w:rPr>
          <w:rFonts w:cs="Arial" w:hint="cs"/>
          <w:rtl/>
        </w:rPr>
        <w:t>, ב"י.</w:t>
      </w:r>
    </w:p>
  </w:footnote>
  <w:footnote w:id="1233">
    <w:p w14:paraId="14E91393" w14:textId="77777777" w:rsidR="00FA2119" w:rsidRDefault="00FA2119" w:rsidP="00FA2119">
      <w:pPr>
        <w:pStyle w:val="a5"/>
        <w:rPr>
          <w:rtl/>
        </w:rPr>
      </w:pPr>
      <w:r>
        <w:rPr>
          <w:rStyle w:val="a7"/>
        </w:rPr>
        <w:footnoteRef/>
      </w:r>
      <w:r>
        <w:rPr>
          <w:rtl/>
        </w:rPr>
        <w:t xml:space="preserve"> </w:t>
      </w:r>
      <w:r w:rsidRPr="00CC5A45">
        <w:rPr>
          <w:rFonts w:cs="Arial"/>
          <w:rtl/>
        </w:rPr>
        <w:t>ולא הבנתי דברי הרשב"א שהכריח דמדלא פסק רי"ף כריש לקיש משמע דרבי יוחנן פליג אריש לקיש במאי דקרי הוא כלל, דדילמא א</w:t>
      </w:r>
      <w:r>
        <w:rPr>
          <w:rFonts w:cs="Arial" w:hint="cs"/>
          <w:rtl/>
        </w:rPr>
        <w:t>ע"ג</w:t>
      </w:r>
      <w:r w:rsidRPr="00CC5A45">
        <w:rPr>
          <w:rFonts w:cs="Arial"/>
          <w:rtl/>
        </w:rPr>
        <w:t xml:space="preserve"> דסבירא ליה לרבי יוחנן כוותיה במאי דקרי איהו כלל משום דלא סבירא ליה כוותיה במאי דקרי איהו טופס לא פסק כוותיה</w:t>
      </w:r>
      <w:r>
        <w:rPr>
          <w:rFonts w:cs="Arial" w:hint="cs"/>
          <w:rtl/>
        </w:rPr>
        <w:t>,</w:t>
      </w:r>
      <w:r w:rsidRPr="00CC5A45">
        <w:rPr>
          <w:rFonts w:cs="Arial"/>
          <w:rtl/>
        </w:rPr>
        <w:t xml:space="preserve"> וצ"ע</w:t>
      </w:r>
      <w:r>
        <w:rPr>
          <w:rFonts w:hint="cs"/>
          <w:rtl/>
        </w:rPr>
        <w:t>, ב"י.</w:t>
      </w:r>
    </w:p>
  </w:footnote>
  <w:footnote w:id="1234">
    <w:p w14:paraId="4CA0B103" w14:textId="77777777" w:rsidR="00FA2119" w:rsidRDefault="00FA2119" w:rsidP="00FA2119">
      <w:pPr>
        <w:pStyle w:val="a5"/>
      </w:pPr>
      <w:r>
        <w:rPr>
          <w:rStyle w:val="a7"/>
        </w:rPr>
        <w:footnoteRef/>
      </w:r>
      <w:r>
        <w:rPr>
          <w:rtl/>
        </w:rPr>
        <w:t xml:space="preserve"> </w:t>
      </w:r>
      <w:r w:rsidRPr="00955D7F">
        <w:rPr>
          <w:rFonts w:cs="Arial"/>
          <w:rtl/>
        </w:rPr>
        <w:t>דלמא מייתי עדי מסירה ומערער בעל לומר לא גירשתיה</w:t>
      </w:r>
      <w:r>
        <w:rPr>
          <w:rFonts w:cs="Arial" w:hint="cs"/>
          <w:rtl/>
        </w:rPr>
        <w:t>, רש"י (לו. ד"ה מפני).</w:t>
      </w:r>
    </w:p>
  </w:footnote>
  <w:footnote w:id="1235">
    <w:p w14:paraId="4BB3AC49" w14:textId="77777777" w:rsidR="00FA2119" w:rsidRDefault="00FA2119" w:rsidP="00FA2119">
      <w:pPr>
        <w:pStyle w:val="a5"/>
        <w:rPr>
          <w:rtl/>
        </w:rPr>
      </w:pPr>
      <w:r>
        <w:rPr>
          <w:rStyle w:val="a7"/>
        </w:rPr>
        <w:footnoteRef/>
      </w:r>
      <w:r>
        <w:rPr>
          <w:rtl/>
        </w:rPr>
        <w:t xml:space="preserve"> </w:t>
      </w:r>
      <w:r w:rsidRPr="00955D7F">
        <w:rPr>
          <w:rFonts w:cs="Arial"/>
          <w:rtl/>
        </w:rPr>
        <w:t xml:space="preserve">ראובן או שמעון מעיקרא לא היו חותמים אלא </w:t>
      </w:r>
      <w:r>
        <w:rPr>
          <w:rFonts w:cs="Arial" w:hint="cs"/>
          <w:rtl/>
        </w:rPr>
        <w:t>'</w:t>
      </w:r>
      <w:r w:rsidRPr="00955D7F">
        <w:rPr>
          <w:rFonts w:cs="Arial"/>
          <w:rtl/>
        </w:rPr>
        <w:t>אני פלוני חתמתי עד</w:t>
      </w:r>
      <w:r>
        <w:rPr>
          <w:rFonts w:cs="Arial" w:hint="cs"/>
          <w:rtl/>
        </w:rPr>
        <w:t>',</w:t>
      </w:r>
      <w:r w:rsidRPr="00955D7F">
        <w:rPr>
          <w:rFonts w:cs="Arial"/>
          <w:rtl/>
        </w:rPr>
        <w:t xml:space="preserve"> ולא היה נוקב שמו</w:t>
      </w:r>
      <w:r>
        <w:rPr>
          <w:rFonts w:cs="Arial" w:hint="cs"/>
          <w:rtl/>
        </w:rPr>
        <w:t xml:space="preserve">, </w:t>
      </w:r>
      <w:r w:rsidRPr="00955D7F">
        <w:rPr>
          <w:rFonts w:cs="Arial" w:hint="cs"/>
          <w:b/>
          <w:bCs/>
          <w:rtl/>
        </w:rPr>
        <w:t>רש"י</w:t>
      </w:r>
      <w:r>
        <w:rPr>
          <w:rFonts w:cs="Arial" w:hint="cs"/>
          <w:rtl/>
        </w:rPr>
        <w:t>.</w:t>
      </w:r>
      <w:r w:rsidRPr="00955D7F">
        <w:rPr>
          <w:rFonts w:cs="Arial"/>
          <w:rtl/>
        </w:rPr>
        <w:t xml:space="preserve"> </w:t>
      </w:r>
      <w:r>
        <w:rPr>
          <w:rFonts w:cs="Arial"/>
          <w:rtl/>
        </w:rPr>
        <w:t>וכן פירש הרשב"א (שם ד"ה רב יוסף) וכן נראה מלשון ר</w:t>
      </w:r>
      <w:r>
        <w:rPr>
          <w:rFonts w:cs="Arial" w:hint="cs"/>
          <w:rtl/>
        </w:rPr>
        <w:t>י"ו</w:t>
      </w:r>
      <w:r>
        <w:rPr>
          <w:rFonts w:cs="Arial"/>
          <w:rtl/>
        </w:rPr>
        <w:t xml:space="preserve"> </w:t>
      </w:r>
      <w:r>
        <w:rPr>
          <w:rFonts w:cs="Arial" w:hint="cs"/>
          <w:rtl/>
        </w:rPr>
        <w:t xml:space="preserve">(ח"ב </w:t>
      </w:r>
      <w:r>
        <w:rPr>
          <w:rFonts w:cs="Arial"/>
          <w:rtl/>
        </w:rPr>
        <w:t>נכ"ד רה.)</w:t>
      </w:r>
      <w:r>
        <w:rPr>
          <w:rFonts w:hint="cs"/>
          <w:rtl/>
        </w:rPr>
        <w:t>.</w:t>
      </w:r>
      <w:r>
        <w:rPr>
          <w:rFonts w:cs="Arial" w:hint="cs"/>
          <w:rtl/>
        </w:rPr>
        <w:t>..</w:t>
      </w:r>
      <w:r w:rsidRPr="00723EA5">
        <w:rPr>
          <w:rFonts w:cs="Arial"/>
          <w:rtl/>
        </w:rPr>
        <w:t xml:space="preserve"> </w:t>
      </w:r>
      <w:r>
        <w:rPr>
          <w:rFonts w:cs="Arial"/>
          <w:rtl/>
        </w:rPr>
        <w:t xml:space="preserve">ורבינו נראה שמפרש שבתחלה נמי היה חותם שמו </w:t>
      </w:r>
      <w:r>
        <w:rPr>
          <w:rFonts w:cs="Arial" w:hint="cs"/>
          <w:rtl/>
        </w:rPr>
        <w:t>'</w:t>
      </w:r>
      <w:r>
        <w:rPr>
          <w:rFonts w:cs="Arial"/>
          <w:rtl/>
        </w:rPr>
        <w:t>אני ראובן</w:t>
      </w:r>
      <w:r>
        <w:rPr>
          <w:rFonts w:cs="Arial" w:hint="cs"/>
          <w:rtl/>
        </w:rPr>
        <w:t>'</w:t>
      </w:r>
      <w:r>
        <w:rPr>
          <w:rFonts w:cs="Arial"/>
          <w:rtl/>
        </w:rPr>
        <w:t xml:space="preserve"> או </w:t>
      </w:r>
      <w:r>
        <w:rPr>
          <w:rFonts w:cs="Arial" w:hint="cs"/>
          <w:rtl/>
        </w:rPr>
        <w:t>'</w:t>
      </w:r>
      <w:r>
        <w:rPr>
          <w:rFonts w:cs="Arial"/>
          <w:rtl/>
        </w:rPr>
        <w:t>אני שמעון</w:t>
      </w:r>
      <w:r>
        <w:rPr>
          <w:rFonts w:cs="Arial" w:hint="cs"/>
          <w:rtl/>
        </w:rPr>
        <w:t>',</w:t>
      </w:r>
      <w:r>
        <w:rPr>
          <w:rFonts w:cs="Arial"/>
          <w:rtl/>
        </w:rPr>
        <w:t xml:space="preserve"> ומתוך שיש הרבה ששמם כן לא היו יודעין מי הוא החתום כדי לחזר אחר יודעיו ומכיריו שיקיימוהו התקינו שיהו מפרשים שמותיהם</w:t>
      </w:r>
      <w:r>
        <w:rPr>
          <w:rFonts w:cs="Arial" w:hint="cs"/>
          <w:rtl/>
        </w:rPr>
        <w:t>,</w:t>
      </w:r>
      <w:r>
        <w:rPr>
          <w:rFonts w:cs="Arial"/>
          <w:rtl/>
        </w:rPr>
        <w:t xml:space="preserve"> כלומר שיכתבו </w:t>
      </w:r>
      <w:r>
        <w:rPr>
          <w:rFonts w:cs="Arial" w:hint="cs"/>
          <w:rtl/>
        </w:rPr>
        <w:t>'</w:t>
      </w:r>
      <w:r>
        <w:rPr>
          <w:rFonts w:cs="Arial"/>
          <w:rtl/>
        </w:rPr>
        <w:t>אני ראובן בן יעקב עד</w:t>
      </w:r>
      <w:r>
        <w:rPr>
          <w:rFonts w:cs="Arial" w:hint="cs"/>
          <w:rtl/>
        </w:rPr>
        <w:t>'</w:t>
      </w:r>
      <w:r>
        <w:rPr>
          <w:rFonts w:cs="Arial"/>
          <w:rtl/>
        </w:rPr>
        <w:t xml:space="preserve"> דמתוך כך מכירים מי הוא החתום ומחזרין אחר יודעיו ומכיריו שיקיימוהו</w:t>
      </w:r>
      <w:r>
        <w:rPr>
          <w:rFonts w:hint="cs"/>
          <w:rtl/>
        </w:rPr>
        <w:t xml:space="preserve">, </w:t>
      </w:r>
      <w:r w:rsidRPr="00955D7F">
        <w:rPr>
          <w:rFonts w:hint="cs"/>
          <w:b/>
          <w:bCs/>
          <w:rtl/>
        </w:rPr>
        <w:t>ב"י</w:t>
      </w:r>
      <w:r>
        <w:rPr>
          <w:rFonts w:hint="cs"/>
          <w:rtl/>
        </w:rPr>
        <w:t>.</w:t>
      </w:r>
    </w:p>
  </w:footnote>
  <w:footnote w:id="1236">
    <w:p w14:paraId="46E55173" w14:textId="05B6B2B5" w:rsidR="00FA2119" w:rsidRDefault="00FA2119" w:rsidP="00FA2119">
      <w:pPr>
        <w:pStyle w:val="a5"/>
        <w:rPr>
          <w:rtl/>
        </w:rPr>
      </w:pPr>
      <w:r>
        <w:rPr>
          <w:rStyle w:val="a7"/>
        </w:rPr>
        <w:footnoteRef/>
      </w:r>
      <w:r>
        <w:rPr>
          <w:rtl/>
        </w:rPr>
        <w:t xml:space="preserve"> </w:t>
      </w:r>
      <w:r w:rsidRPr="00955D7F">
        <w:rPr>
          <w:rFonts w:cs="Arial"/>
          <w:rtl/>
        </w:rPr>
        <w:t>דמתוך שלא היה מפרש שמו לא היו יודעין לבקש עדים מכירים ויודעים שיעידו על כתב ידו והיו צריכין לחזר אחר שטרות אחרים שחתימתם דומה לזו ונתקיימו בב"ד על ידי העדאת החתומים עצמן כדקי"ל בכתובות (כ</w:t>
      </w:r>
      <w:r w:rsidR="00AE1BEA">
        <w:rPr>
          <w:rFonts w:cs="Arial" w:hint="cs"/>
          <w:rtl/>
        </w:rPr>
        <w:t>.</w:t>
      </w:r>
      <w:r w:rsidRPr="00955D7F">
        <w:rPr>
          <w:rFonts w:cs="Arial"/>
          <w:rtl/>
        </w:rPr>
        <w:t>) אין מקיימין את השטר אלא משטר שקרא עליו ערער והוחזק בב"ד</w:t>
      </w:r>
      <w:r>
        <w:rPr>
          <w:rFonts w:hint="cs"/>
          <w:rtl/>
        </w:rPr>
        <w:t>, רש"י.</w:t>
      </w:r>
    </w:p>
  </w:footnote>
  <w:footnote w:id="1237">
    <w:p w14:paraId="667275F4" w14:textId="77777777" w:rsidR="00FA2119" w:rsidRDefault="00FA2119" w:rsidP="00FA2119">
      <w:pPr>
        <w:pStyle w:val="a5"/>
        <w:rPr>
          <w:rtl/>
        </w:rPr>
      </w:pPr>
      <w:r>
        <w:rPr>
          <w:rStyle w:val="a7"/>
        </w:rPr>
        <w:footnoteRef/>
      </w:r>
      <w:r>
        <w:rPr>
          <w:rtl/>
        </w:rPr>
        <w:t xml:space="preserve"> </w:t>
      </w:r>
      <w:r w:rsidRPr="00955D7F">
        <w:rPr>
          <w:rFonts w:cs="Arial"/>
          <w:rtl/>
        </w:rPr>
        <w:t>שמאחר שיתפרשו שמותם יחזרו אחר יודעיהם ומכיריהם להעיד על כתב ידם</w:t>
      </w:r>
      <w:r>
        <w:rPr>
          <w:rFonts w:hint="cs"/>
          <w:rtl/>
        </w:rPr>
        <w:t>, רש"י.</w:t>
      </w:r>
    </w:p>
  </w:footnote>
  <w:footnote w:id="1238">
    <w:p w14:paraId="5023EEED" w14:textId="77777777" w:rsidR="00FA2119" w:rsidRDefault="00FA2119" w:rsidP="00FA2119">
      <w:pPr>
        <w:pStyle w:val="a5"/>
        <w:rPr>
          <w:rtl/>
        </w:rPr>
      </w:pPr>
      <w:r>
        <w:rPr>
          <w:rStyle w:val="a7"/>
        </w:rPr>
        <w:footnoteRef/>
      </w:r>
      <w:r>
        <w:rPr>
          <w:rtl/>
        </w:rPr>
        <w:t xml:space="preserve"> </w:t>
      </w:r>
      <w:r>
        <w:rPr>
          <w:rFonts w:hint="cs"/>
          <w:rtl/>
        </w:rPr>
        <w:t>כן היא גירסת רש"י והרמב"ם, וכך היא גירסת הריב"ש</w:t>
      </w:r>
      <w:r>
        <w:rPr>
          <w:rFonts w:hint="cs"/>
          <w:sz w:val="16"/>
          <w:szCs w:val="16"/>
          <w:rtl/>
        </w:rPr>
        <w:t xml:space="preserve"> (סי' נו)</w:t>
      </w:r>
      <w:r>
        <w:rPr>
          <w:rFonts w:hint="cs"/>
          <w:rtl/>
        </w:rPr>
        <w:t xml:space="preserve"> וגירסתינו. אך לפי גירסת ר"ח ר"ת והרא"ש אין משפט זה קשור למה שהמשנה הביאה לעיל אלא להמשך (והופכים את המשפט עם מה שכתוב בהמשך).</w:t>
      </w:r>
    </w:p>
  </w:footnote>
  <w:footnote w:id="1239">
    <w:p w14:paraId="0D91D969" w14:textId="77777777" w:rsidR="00FA2119" w:rsidRDefault="00FA2119" w:rsidP="00FA2119">
      <w:pPr>
        <w:pStyle w:val="a5"/>
        <w:rPr>
          <w:rtl/>
        </w:rPr>
      </w:pPr>
      <w:r>
        <w:rPr>
          <w:rStyle w:val="a7"/>
        </w:rPr>
        <w:footnoteRef/>
      </w:r>
      <w:r>
        <w:rPr>
          <w:rtl/>
        </w:rPr>
        <w:t xml:space="preserve"> </w:t>
      </w:r>
      <w:r w:rsidRPr="007358D2">
        <w:rPr>
          <w:rFonts w:cs="Arial"/>
          <w:rtl/>
        </w:rPr>
        <w:t>ברוחב המגילה</w:t>
      </w:r>
      <w:r>
        <w:rPr>
          <w:rFonts w:hint="cs"/>
          <w:rtl/>
        </w:rPr>
        <w:t>, רש"י.</w:t>
      </w:r>
    </w:p>
  </w:footnote>
  <w:footnote w:id="1240">
    <w:p w14:paraId="2F4E466B" w14:textId="34836CA6" w:rsidR="00FA2119" w:rsidRDefault="00FA2119" w:rsidP="00FA2119">
      <w:pPr>
        <w:pStyle w:val="a5"/>
      </w:pPr>
      <w:r>
        <w:rPr>
          <w:rStyle w:val="a7"/>
        </w:rPr>
        <w:footnoteRef/>
      </w:r>
      <w:r>
        <w:rPr>
          <w:rtl/>
        </w:rPr>
        <w:t xml:space="preserve"> </w:t>
      </w:r>
      <w:r>
        <w:rPr>
          <w:rFonts w:cs="Arial"/>
          <w:rtl/>
        </w:rPr>
        <w:t>ומתניתין דוקא נקט איש פלוני עד</w:t>
      </w:r>
      <w:r>
        <w:rPr>
          <w:rFonts w:cs="Arial" w:hint="cs"/>
          <w:rtl/>
        </w:rPr>
        <w:t>,</w:t>
      </w:r>
      <w:r>
        <w:rPr>
          <w:rFonts w:cs="Arial"/>
          <w:rtl/>
        </w:rPr>
        <w:t xml:space="preserve"> דהיכא דלא חתם </w:t>
      </w:r>
      <w:r w:rsidR="00AE1BEA">
        <w:rPr>
          <w:rFonts w:cs="Arial" w:hint="cs"/>
          <w:rtl/>
        </w:rPr>
        <w:t>"</w:t>
      </w:r>
      <w:r>
        <w:rPr>
          <w:rFonts w:cs="Arial"/>
          <w:rtl/>
        </w:rPr>
        <w:t>פלוני בן פלוני</w:t>
      </w:r>
      <w:r w:rsidR="00AE1BEA">
        <w:rPr>
          <w:rFonts w:cs="Arial" w:hint="cs"/>
          <w:rtl/>
        </w:rPr>
        <w:t>"</w:t>
      </w:r>
      <w:r>
        <w:rPr>
          <w:rFonts w:cs="Arial"/>
          <w:rtl/>
        </w:rPr>
        <w:t xml:space="preserve"> בעינן עד</w:t>
      </w:r>
      <w:r>
        <w:rPr>
          <w:rFonts w:cs="Arial" w:hint="cs"/>
          <w:rtl/>
        </w:rPr>
        <w:t>, רש"י.</w:t>
      </w:r>
    </w:p>
  </w:footnote>
  <w:footnote w:id="1241">
    <w:p w14:paraId="68F05654" w14:textId="77777777" w:rsidR="00FA2119" w:rsidRDefault="00FA2119" w:rsidP="00FA2119">
      <w:pPr>
        <w:pStyle w:val="a5"/>
        <w:rPr>
          <w:rtl/>
        </w:rPr>
      </w:pPr>
      <w:r>
        <w:rPr>
          <w:rStyle w:val="a7"/>
        </w:rPr>
        <w:footnoteRef/>
      </w:r>
      <w:r>
        <w:rPr>
          <w:rtl/>
        </w:rPr>
        <w:t xml:space="preserve"> </w:t>
      </w:r>
      <w:r>
        <w:rPr>
          <w:rFonts w:cs="Arial"/>
          <w:rtl/>
        </w:rPr>
        <w:t xml:space="preserve">וכל שכן היכא שלא כתב שמו אלא </w:t>
      </w:r>
      <w:r>
        <w:rPr>
          <w:rFonts w:cs="Arial" w:hint="cs"/>
          <w:rtl/>
        </w:rPr>
        <w:t>'</w:t>
      </w:r>
      <w:r>
        <w:rPr>
          <w:rFonts w:cs="Arial"/>
          <w:rtl/>
        </w:rPr>
        <w:t>בן פלוני</w:t>
      </w:r>
      <w:r>
        <w:rPr>
          <w:rFonts w:cs="Arial" w:hint="cs"/>
          <w:rtl/>
        </w:rPr>
        <w:t>'</w:t>
      </w:r>
      <w:r>
        <w:rPr>
          <w:rFonts w:cs="Arial"/>
          <w:rtl/>
        </w:rPr>
        <w:t xml:space="preserve"> דאם לא כתב עד </w:t>
      </w:r>
      <w:r>
        <w:rPr>
          <w:rFonts w:cs="Arial" w:hint="cs"/>
          <w:rtl/>
        </w:rPr>
        <w:t xml:space="preserve">- </w:t>
      </w:r>
      <w:r>
        <w:rPr>
          <w:rFonts w:cs="Arial"/>
          <w:rtl/>
        </w:rPr>
        <w:t>פסול</w:t>
      </w:r>
      <w:r>
        <w:rPr>
          <w:rFonts w:hint="cs"/>
          <w:rtl/>
        </w:rPr>
        <w:t>, ב"י.</w:t>
      </w:r>
      <w:r w:rsidRPr="0083310D">
        <w:rPr>
          <w:rFonts w:hint="cs"/>
          <w:color w:val="00B0F0"/>
          <w:rtl/>
        </w:rPr>
        <w:t xml:space="preserve"> (וכ"פ הרמ"א</w:t>
      </w:r>
      <w:r>
        <w:rPr>
          <w:rFonts w:hint="cs"/>
          <w:color w:val="00B0F0"/>
          <w:sz w:val="16"/>
          <w:szCs w:val="16"/>
          <w:rtl/>
        </w:rPr>
        <w:t xml:space="preserve"> </w:t>
      </w:r>
      <w:r w:rsidRPr="0083310D">
        <w:rPr>
          <w:rFonts w:hint="cs"/>
          <w:color w:val="000000" w:themeColor="text1"/>
          <w:sz w:val="16"/>
          <w:szCs w:val="16"/>
          <w:rtl/>
        </w:rPr>
        <w:t>[</w:t>
      </w:r>
      <w:r>
        <w:rPr>
          <w:rFonts w:hint="cs"/>
          <w:color w:val="000000" w:themeColor="text1"/>
          <w:sz w:val="16"/>
          <w:szCs w:val="16"/>
          <w:rtl/>
        </w:rPr>
        <w:t>בסע' הבא</w:t>
      </w:r>
      <w:r w:rsidRPr="0083310D">
        <w:rPr>
          <w:rFonts w:hint="cs"/>
          <w:color w:val="000000" w:themeColor="text1"/>
          <w:sz w:val="16"/>
          <w:szCs w:val="16"/>
          <w:rtl/>
        </w:rPr>
        <w:t>]</w:t>
      </w:r>
      <w:r w:rsidRPr="0083310D">
        <w:rPr>
          <w:rFonts w:hint="cs"/>
          <w:color w:val="00B0F0"/>
          <w:rtl/>
        </w:rPr>
        <w:t>)</w:t>
      </w:r>
    </w:p>
  </w:footnote>
  <w:footnote w:id="1242">
    <w:p w14:paraId="672CBE16" w14:textId="77777777" w:rsidR="00FA2119" w:rsidRDefault="00FA2119" w:rsidP="00FA2119">
      <w:pPr>
        <w:pStyle w:val="a5"/>
        <w:rPr>
          <w:rtl/>
        </w:rPr>
      </w:pPr>
      <w:r>
        <w:rPr>
          <w:rStyle w:val="a7"/>
        </w:rPr>
        <w:footnoteRef/>
      </w:r>
      <w:r>
        <w:rPr>
          <w:rtl/>
        </w:rPr>
        <w:t xml:space="preserve"> </w:t>
      </w:r>
      <w:r>
        <w:rPr>
          <w:rFonts w:cs="Arial"/>
          <w:rtl/>
        </w:rPr>
        <w:t>וכ</w:t>
      </w:r>
      <w:r>
        <w:rPr>
          <w:rFonts w:cs="Arial" w:hint="cs"/>
          <w:rtl/>
        </w:rPr>
        <w:t>"</w:t>
      </w:r>
      <w:r>
        <w:rPr>
          <w:rFonts w:cs="Arial"/>
          <w:rtl/>
        </w:rPr>
        <w:t xml:space="preserve">כ </w:t>
      </w:r>
      <w:r>
        <w:rPr>
          <w:rFonts w:cs="Arial" w:hint="cs"/>
          <w:rtl/>
        </w:rPr>
        <w:t>רי"ו</w:t>
      </w:r>
      <w:r>
        <w:rPr>
          <w:rFonts w:cs="Arial"/>
          <w:rtl/>
        </w:rPr>
        <w:t xml:space="preserve"> (שם) דכשר</w:t>
      </w:r>
      <w:r>
        <w:rPr>
          <w:rFonts w:hint="cs"/>
          <w:rtl/>
        </w:rPr>
        <w:t>, ב"י.</w:t>
      </w:r>
    </w:p>
  </w:footnote>
  <w:footnote w:id="1243">
    <w:p w14:paraId="3A854F93" w14:textId="77777777" w:rsidR="00FA2119" w:rsidRDefault="00FA2119" w:rsidP="00FA2119">
      <w:pPr>
        <w:pStyle w:val="a5"/>
        <w:rPr>
          <w:rtl/>
        </w:rPr>
      </w:pPr>
      <w:r>
        <w:rPr>
          <w:rStyle w:val="a7"/>
        </w:rPr>
        <w:footnoteRef/>
      </w:r>
      <w:r>
        <w:rPr>
          <w:rtl/>
        </w:rPr>
        <w:t xml:space="preserve"> </w:t>
      </w:r>
      <w:r w:rsidRPr="00A14BB0">
        <w:rPr>
          <w:rFonts w:cs="Arial"/>
          <w:rtl/>
        </w:rPr>
        <w:t>כמו שהתבאר לעיל סימן קכ"ח (בטור עמ' קנט וד"מ אות יד). אמנם בפסקיו סימן קצ"ז משמע דפסק דפסול וצ"ע. ועיין לעיל (סי' קכט אות כט) היכי נקטינן להלכתא</w:t>
      </w:r>
      <w:r>
        <w:rPr>
          <w:rFonts w:cs="Arial" w:hint="cs"/>
          <w:rtl/>
        </w:rPr>
        <w:t>, דרכ"מ (אות ט)</w:t>
      </w:r>
      <w:r w:rsidRPr="00A14BB0">
        <w:rPr>
          <w:rFonts w:cs="Arial"/>
          <w:rtl/>
        </w:rPr>
        <w:t>.</w:t>
      </w:r>
    </w:p>
  </w:footnote>
  <w:footnote w:id="1244">
    <w:p w14:paraId="274A7E5D" w14:textId="77777777" w:rsidR="00FA2119" w:rsidRDefault="00FA2119" w:rsidP="00FA2119">
      <w:pPr>
        <w:pStyle w:val="a5"/>
      </w:pPr>
      <w:r>
        <w:rPr>
          <w:rStyle w:val="a7"/>
        </w:rPr>
        <w:footnoteRef/>
      </w:r>
      <w:r>
        <w:rPr>
          <w:rtl/>
        </w:rPr>
        <w:t xml:space="preserve"> </w:t>
      </w:r>
      <w:r w:rsidRPr="005B46C8">
        <w:rPr>
          <w:rFonts w:cs="Arial"/>
          <w:rtl/>
        </w:rPr>
        <w:t>הא דצריך לחתו' בגט עד ולא בשאר שטרות משום הגט הכל ל' הבעל מ"ה חותם עד כלו' שהוא מעיד דהבעל אמר כל זאת לפניו לבוש י"ח</w:t>
      </w:r>
      <w:r>
        <w:rPr>
          <w:rFonts w:cs="Arial" w:hint="cs"/>
          <w:rtl/>
        </w:rPr>
        <w:t>, ב"ש (סקי"ט).</w:t>
      </w:r>
    </w:p>
  </w:footnote>
  <w:footnote w:id="1245">
    <w:p w14:paraId="6FDE85F5" w14:textId="77777777" w:rsidR="00FA2119" w:rsidRDefault="00FA2119" w:rsidP="00FA2119">
      <w:pPr>
        <w:pStyle w:val="a5"/>
      </w:pPr>
      <w:r>
        <w:rPr>
          <w:rStyle w:val="a7"/>
        </w:rPr>
        <w:footnoteRef/>
      </w:r>
      <w:r>
        <w:rPr>
          <w:rtl/>
        </w:rPr>
        <w:t xml:space="preserve"> </w:t>
      </w:r>
      <w:r w:rsidRPr="0083310D">
        <w:rPr>
          <w:rFonts w:cs="Arial"/>
          <w:rtl/>
        </w:rPr>
        <w:t xml:space="preserve">כ' הב"ש </w:t>
      </w:r>
      <w:r>
        <w:rPr>
          <w:rFonts w:cs="Arial" w:hint="cs"/>
          <w:rtl/>
        </w:rPr>
        <w:t xml:space="preserve">(סקכ"א) </w:t>
      </w:r>
      <w:r w:rsidRPr="0083310D">
        <w:rPr>
          <w:rFonts w:cs="Arial"/>
          <w:rtl/>
        </w:rPr>
        <w:t>כלומר שהעלה לאביו שם אחר ולא משמע כן מדברי הרשב"ץ שהבאתי לעיל עכ"ל. ור"ל בסק</w:t>
      </w:r>
      <w:r>
        <w:rPr>
          <w:rFonts w:cs="Arial" w:hint="cs"/>
          <w:rtl/>
        </w:rPr>
        <w:t>"</w:t>
      </w:r>
      <w:r w:rsidRPr="0083310D">
        <w:rPr>
          <w:rFonts w:cs="Arial"/>
          <w:rtl/>
        </w:rPr>
        <w:t>ג באם טעה העד וחתם יוסף בן שמעון ואביו הי' שמו ראובן כו' ע"ש. ועיין בס' ב"מ שכ' עליו ולע"ד מעולם לא כיוונו התה"ד ורמ"א לשינ' כזו כו' ובזה בודאי פסול דמזויף מתוכו הוא אלא שכיוונו לשינ' לאותיו' שאינם יכולים להקרא כלל בשם אחר שאינו אלא כחסרון דכשר אבל עובד' דהרשב"ץ מזוייף מתוכו הוה עכ"ל. ועמ"ש לעיל סימן קכ"ט ס"ק י"ח</w:t>
      </w:r>
      <w:r>
        <w:rPr>
          <w:rFonts w:cs="Arial" w:hint="cs"/>
          <w:rtl/>
        </w:rPr>
        <w:t>, פת"ש (סק"ז).</w:t>
      </w:r>
    </w:p>
  </w:footnote>
  <w:footnote w:id="1246">
    <w:p w14:paraId="46C5EF7B" w14:textId="77777777" w:rsidR="00FA2119" w:rsidRDefault="00FA2119" w:rsidP="00FA2119">
      <w:pPr>
        <w:pStyle w:val="a5"/>
      </w:pPr>
      <w:r>
        <w:rPr>
          <w:rStyle w:val="a7"/>
        </w:rPr>
        <w:footnoteRef/>
      </w:r>
      <w:r>
        <w:rPr>
          <w:rtl/>
        </w:rPr>
        <w:t xml:space="preserve"> </w:t>
      </w:r>
      <w:r w:rsidRPr="005B46C8">
        <w:rPr>
          <w:rFonts w:cs="Arial"/>
          <w:rtl/>
        </w:rPr>
        <w:t xml:space="preserve">עיין בס' ג"פ </w:t>
      </w:r>
      <w:r>
        <w:rPr>
          <w:rFonts w:cs="Arial" w:hint="cs"/>
          <w:rtl/>
        </w:rPr>
        <w:t>(</w:t>
      </w:r>
      <w:r w:rsidRPr="005B46C8">
        <w:rPr>
          <w:rFonts w:cs="Arial"/>
          <w:rtl/>
        </w:rPr>
        <w:t>לעיל סימן קכ"ו סק"ט</w:t>
      </w:r>
      <w:r>
        <w:rPr>
          <w:rFonts w:cs="Arial" w:hint="cs"/>
          <w:rtl/>
        </w:rPr>
        <w:t>)</w:t>
      </w:r>
      <w:r w:rsidRPr="005B46C8">
        <w:rPr>
          <w:rFonts w:cs="Arial"/>
          <w:rtl/>
        </w:rPr>
        <w:t xml:space="preserve"> שכ' דכן מבואר בס' תומת ישרים </w:t>
      </w:r>
      <w:r>
        <w:rPr>
          <w:rFonts w:cs="Arial" w:hint="cs"/>
          <w:rtl/>
        </w:rPr>
        <w:t>(</w:t>
      </w:r>
      <w:r w:rsidRPr="005B46C8">
        <w:rPr>
          <w:rFonts w:cs="Arial"/>
          <w:rtl/>
        </w:rPr>
        <w:t>סימן ק"ה</w:t>
      </w:r>
      <w:r>
        <w:rPr>
          <w:rFonts w:cs="Arial" w:hint="cs"/>
          <w:rtl/>
        </w:rPr>
        <w:t>)</w:t>
      </w:r>
      <w:r w:rsidRPr="005B46C8">
        <w:rPr>
          <w:rFonts w:cs="Arial"/>
          <w:rtl/>
        </w:rPr>
        <w:t xml:space="preserve"> וכ"כ בשה"ג </w:t>
      </w:r>
      <w:r>
        <w:rPr>
          <w:rFonts w:cs="Arial" w:hint="cs"/>
          <w:rtl/>
        </w:rPr>
        <w:t>(</w:t>
      </w:r>
      <w:r w:rsidRPr="005B46C8">
        <w:rPr>
          <w:rFonts w:cs="Arial"/>
          <w:rtl/>
        </w:rPr>
        <w:t>שאצל המרדכי דף תרט"ו</w:t>
      </w:r>
      <w:r>
        <w:rPr>
          <w:rFonts w:cs="Arial" w:hint="cs"/>
          <w:rtl/>
        </w:rPr>
        <w:t>).</w:t>
      </w:r>
      <w:r w:rsidRPr="005B46C8">
        <w:rPr>
          <w:rFonts w:cs="Arial"/>
          <w:rtl/>
        </w:rPr>
        <w:t xml:space="preserve"> וע' תשו' הרשב"ץ שהביא הב"י ר"ס זה. וראיתי גט א' ששלחו מצפת לפה ירושלים תב"ב והיו עדיו בכתב פרובינצל (הוא מה שקורין רש"י כתב כ"כ הוא ז"ל שם סק"ד) ושמעתי שכן נוהגים לכתחיל</w:t>
      </w:r>
      <w:r>
        <w:rPr>
          <w:rFonts w:cs="Arial" w:hint="cs"/>
          <w:rtl/>
        </w:rPr>
        <w:t>ה.</w:t>
      </w:r>
      <w:r w:rsidRPr="005B46C8">
        <w:rPr>
          <w:rFonts w:cs="Arial"/>
          <w:rtl/>
        </w:rPr>
        <w:t xml:space="preserve"> ואפשר שטעמם שאם באולי תצטרך האשה לקיים הגט שימצאו קיום לחתימות העדי</w:t>
      </w:r>
      <w:r>
        <w:rPr>
          <w:rFonts w:cs="Arial" w:hint="cs"/>
          <w:rtl/>
        </w:rPr>
        <w:t>ם</w:t>
      </w:r>
      <w:r w:rsidRPr="005B46C8">
        <w:rPr>
          <w:rFonts w:cs="Arial"/>
          <w:rtl/>
        </w:rPr>
        <w:t xml:space="preserve"> בנקל כיון שרגילים לחתום כן בשאר שטרות משא"כ אם יחתמו בכתב אשורי בדוחק ימצאו קיום עכ"ל. גם בס' זכור לאברהם </w:t>
      </w:r>
      <w:r>
        <w:rPr>
          <w:rFonts w:cs="Arial" w:hint="cs"/>
          <w:rtl/>
        </w:rPr>
        <w:t>(</w:t>
      </w:r>
      <w:r w:rsidRPr="005B46C8">
        <w:rPr>
          <w:rFonts w:cs="Arial"/>
          <w:rtl/>
        </w:rPr>
        <w:t>ח"ג דף קי"ט</w:t>
      </w:r>
      <w:r>
        <w:rPr>
          <w:rFonts w:cs="Arial" w:hint="cs"/>
          <w:rtl/>
        </w:rPr>
        <w:t>)</w:t>
      </w:r>
      <w:r w:rsidRPr="005B46C8">
        <w:rPr>
          <w:rFonts w:cs="Arial"/>
          <w:rtl/>
        </w:rPr>
        <w:t xml:space="preserve"> כתב דבאיזמיר חותמין בכתב פרובינצל אך כתיבה תמה מבלי דבוק ומחק וטשטוש כמו בגט ע"ש. ועב"ש סוף סק"א שכ' בשם הרשב"ם (צ"ל הרשב"ץ ע' בב"י. והוא בתשב"ץ ח"א סימן ז') דע"פ הדין א"צ כתב אשורית בחתימת העדי</w:t>
      </w:r>
      <w:r>
        <w:rPr>
          <w:rFonts w:cs="Arial" w:hint="cs"/>
          <w:rtl/>
        </w:rPr>
        <w:t>ם</w:t>
      </w:r>
      <w:r w:rsidRPr="005B46C8">
        <w:rPr>
          <w:rFonts w:cs="Arial"/>
          <w:rtl/>
        </w:rPr>
        <w:t xml:space="preserve"> גם כשתינוק חריף יכול לקרות כשר אפילו כשתינוק שאינו חריף א"י לקרות ע"ש. ועיין בתשו' אא"ז פני' מאירות ח"ב סימן י"ט שכ' ובדבר העד פרץ שתינוק קרא הר' בשם דלי"ת והצ' פשוטה קרא אותו יו"ד נו"ן כבר הביא הב"ש בשם הרשב"ץ כשתינוק חריף יכול לקרותו כשר כו' וה"נ עינינו רואות שתינוק חריף שבספרדי' יקרא כראוי יש להכשיר ואין מדקדקין כ"כ בחתימת העדי' רק אם אנו יכולי' לקרות כשר ובפרט במקום עיגון ודאי אין להחמיר כלל עכ"ל</w:t>
      </w:r>
      <w:r>
        <w:rPr>
          <w:rFonts w:cs="Arial" w:hint="cs"/>
          <w:rtl/>
        </w:rPr>
        <w:t>, פת"ש (סק"ט).</w:t>
      </w:r>
    </w:p>
  </w:footnote>
  <w:footnote w:id="1247">
    <w:p w14:paraId="328115AE" w14:textId="77777777" w:rsidR="00FA2119" w:rsidRDefault="00FA2119" w:rsidP="00FA2119">
      <w:pPr>
        <w:pStyle w:val="a5"/>
      </w:pPr>
      <w:r>
        <w:rPr>
          <w:rStyle w:val="a7"/>
        </w:rPr>
        <w:footnoteRef/>
      </w:r>
      <w:r>
        <w:rPr>
          <w:rtl/>
        </w:rPr>
        <w:t xml:space="preserve"> </w:t>
      </w:r>
      <w:r w:rsidRPr="00DC27AF">
        <w:rPr>
          <w:rFonts w:cs="Arial"/>
          <w:rtl/>
        </w:rPr>
        <w:t>דתנן בפירקין דלקמן (סו:) אמר לעשרה כולכם כתבו גט לאשתי אחד כותב וכולם חותמין</w:t>
      </w:r>
      <w:r>
        <w:rPr>
          <w:rFonts w:cs="Arial" w:hint="cs"/>
          <w:rtl/>
        </w:rPr>
        <w:t>,</w:t>
      </w:r>
      <w:r w:rsidRPr="00DC27AF">
        <w:rPr>
          <w:rFonts w:cs="Arial"/>
          <w:rtl/>
        </w:rPr>
        <w:t xml:space="preserve"> ואי לא הוו חתמי כולהו הוי פסול</w:t>
      </w:r>
      <w:r>
        <w:rPr>
          <w:rFonts w:cs="Arial" w:hint="cs"/>
          <w:rtl/>
        </w:rPr>
        <w:t>,</w:t>
      </w:r>
      <w:r w:rsidRPr="00DC27AF">
        <w:rPr>
          <w:rFonts w:cs="Arial"/>
          <w:rtl/>
        </w:rPr>
        <w:t xml:space="preserve"> דבקפידא תליא</w:t>
      </w:r>
      <w:r>
        <w:rPr>
          <w:rFonts w:cs="Arial" w:hint="cs"/>
          <w:rtl/>
        </w:rPr>
        <w:t>,</w:t>
      </w:r>
      <w:r w:rsidRPr="00DC27AF">
        <w:rPr>
          <w:rFonts w:cs="Arial"/>
          <w:rtl/>
        </w:rPr>
        <w:t xml:space="preserve"> דלא שוויה גיטא אלא בהכי</w:t>
      </w:r>
      <w:r>
        <w:rPr>
          <w:rFonts w:cs="Arial" w:hint="cs"/>
          <w:rtl/>
        </w:rPr>
        <w:t>,</w:t>
      </w:r>
      <w:r w:rsidRPr="00DC27AF">
        <w:rPr>
          <w:rFonts w:cs="Arial"/>
          <w:rtl/>
        </w:rPr>
        <w:t xml:space="preserve"> לפיכך תקנו אפילו היכא דלא אמר כולכם שיהיו כל העדים נקבצים בשעת החתימה</w:t>
      </w:r>
      <w:r>
        <w:rPr>
          <w:rFonts w:cs="Arial" w:hint="cs"/>
          <w:rtl/>
        </w:rPr>
        <w:t>, רש"י.</w:t>
      </w:r>
    </w:p>
  </w:footnote>
  <w:footnote w:id="1248">
    <w:p w14:paraId="1D297F71" w14:textId="25A4F234"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sidRPr="00837EBB">
        <w:rPr>
          <w:rFonts w:cs="Arial"/>
          <w:rtl/>
        </w:rPr>
        <w:t>מעשה בא לפני רבינו משולם באחד שכתב גט לאשתו והחתים עליו ב' עדים</w:t>
      </w:r>
      <w:r>
        <w:rPr>
          <w:rFonts w:cs="Arial" w:hint="cs"/>
          <w:rtl/>
        </w:rPr>
        <w:t>,</w:t>
      </w:r>
      <w:r w:rsidRPr="00837EBB">
        <w:rPr>
          <w:rFonts w:cs="Arial"/>
          <w:rtl/>
        </w:rPr>
        <w:t xml:space="preserve"> ואחר זמן החתים עליו עד שלישי </w:t>
      </w:r>
      <w:r>
        <w:rPr>
          <w:rFonts w:cs="Arial" w:hint="cs"/>
          <w:rtl/>
        </w:rPr>
        <w:t xml:space="preserve">- </w:t>
      </w:r>
      <w:r w:rsidRPr="00837EBB">
        <w:rPr>
          <w:rFonts w:cs="Arial"/>
          <w:rtl/>
        </w:rPr>
        <w:t>והכשירו מסברא דהא דאמרינן דאין עדי הגט חותמין זה בלא זה היינו בשנים או שזימן שלשה יחד</w:t>
      </w:r>
      <w:r>
        <w:rPr>
          <w:rFonts w:cs="Arial" w:hint="cs"/>
          <w:rtl/>
        </w:rPr>
        <w:t>,</w:t>
      </w:r>
      <w:r w:rsidRPr="00837EBB">
        <w:rPr>
          <w:rFonts w:cs="Arial"/>
          <w:rtl/>
        </w:rPr>
        <w:t xml:space="preserve"> שאין הגט יכול להיות בפחות</w:t>
      </w:r>
      <w:r>
        <w:rPr>
          <w:rFonts w:cs="Arial" w:hint="cs"/>
          <w:rtl/>
        </w:rPr>
        <w:t>,</w:t>
      </w:r>
      <w:r w:rsidRPr="00837EBB">
        <w:rPr>
          <w:rFonts w:cs="Arial"/>
          <w:rtl/>
        </w:rPr>
        <w:t xml:space="preserve"> אז יחתמו כולם זה בפני זה</w:t>
      </w:r>
      <w:r>
        <w:rPr>
          <w:rFonts w:cs="Arial" w:hint="cs"/>
          <w:rtl/>
        </w:rPr>
        <w:t>,</w:t>
      </w:r>
      <w:r w:rsidRPr="00837EBB">
        <w:rPr>
          <w:rFonts w:cs="Arial"/>
          <w:rtl/>
        </w:rPr>
        <w:t xml:space="preserve"> אבל כשהגט נגמר בשנים ולא היה אז דעתו להחתים יותר</w:t>
      </w:r>
      <w:r>
        <w:rPr>
          <w:rFonts w:cs="Arial" w:hint="cs"/>
          <w:rtl/>
        </w:rPr>
        <w:t>,</w:t>
      </w:r>
      <w:r w:rsidRPr="00837EBB">
        <w:rPr>
          <w:rFonts w:cs="Arial"/>
          <w:rtl/>
        </w:rPr>
        <w:t xml:space="preserve"> כשחזר והחתים שלישי אין נפסל בכך כיון שנגמר ע"י הראשונים</w:t>
      </w:r>
      <w:r>
        <w:rPr>
          <w:rFonts w:cs="Arial" w:hint="cs"/>
          <w:rtl/>
        </w:rPr>
        <w:t>.</w:t>
      </w:r>
      <w:r w:rsidRPr="00837EBB">
        <w:rPr>
          <w:rFonts w:cs="Arial"/>
          <w:rtl/>
        </w:rPr>
        <w:t xml:space="preserve"> ור"ת הביא ראיה מכאן דכשר</w:t>
      </w:r>
      <w:r>
        <w:rPr>
          <w:rFonts w:cs="Arial" w:hint="cs"/>
          <w:rtl/>
        </w:rPr>
        <w:t>,</w:t>
      </w:r>
      <w:r w:rsidRPr="00837EBB">
        <w:rPr>
          <w:rFonts w:cs="Arial"/>
          <w:rtl/>
        </w:rPr>
        <w:t xml:space="preserve"> דלישנא דצא והשלם עליו עבד מן השוק משמע שכבר חתמו הראשונים ולא היה צריך כי אם להשלים</w:t>
      </w:r>
      <w:r>
        <w:rPr>
          <w:rFonts w:cs="Arial" w:hint="cs"/>
          <w:rtl/>
        </w:rPr>
        <w:t>,</w:t>
      </w:r>
      <w:r w:rsidRPr="00837EBB">
        <w:rPr>
          <w:rFonts w:cs="Arial"/>
          <w:rtl/>
        </w:rPr>
        <w:t xml:space="preserve"> אלמא כיון שכבר הוכשר הגט ע"י הראשונים תו לא מיפסיל בהשלמת אחרים זה שלא בפני זה.</w:t>
      </w:r>
    </w:p>
  </w:footnote>
  <w:footnote w:id="1249">
    <w:p w14:paraId="5C0AD39D" w14:textId="42425CE6" w:rsidR="00FA2119" w:rsidRDefault="00FA2119" w:rsidP="00FA2119">
      <w:pPr>
        <w:pStyle w:val="a5"/>
      </w:pPr>
      <w:r>
        <w:rPr>
          <w:rStyle w:val="a7"/>
        </w:rPr>
        <w:footnoteRef/>
      </w:r>
      <w:r>
        <w:rPr>
          <w:rtl/>
        </w:rPr>
        <w:t xml:space="preserve"> </w:t>
      </w:r>
      <w:r>
        <w:rPr>
          <w:rFonts w:hint="cs"/>
          <w:rtl/>
        </w:rPr>
        <w:t>וז"ל התוס' בשמו</w:t>
      </w:r>
      <w:r w:rsidR="00DE01C7">
        <w:rPr>
          <w:rFonts w:hint="cs"/>
          <w:rtl/>
        </w:rPr>
        <w:t>:</w:t>
      </w:r>
      <w:r>
        <w:rPr>
          <w:rFonts w:hint="cs"/>
          <w:rtl/>
        </w:rPr>
        <w:t xml:space="preserve"> </w:t>
      </w:r>
      <w:r w:rsidRPr="00837EBB">
        <w:rPr>
          <w:rFonts w:cs="Arial"/>
          <w:rtl/>
        </w:rPr>
        <w:t>ומיהו בקונטרס פירש והסופר והעדים בפנינו ועדיין לא נמסר</w:t>
      </w:r>
      <w:r>
        <w:rPr>
          <w:rFonts w:cs="Arial" w:hint="cs"/>
          <w:rtl/>
        </w:rPr>
        <w:t>,</w:t>
      </w:r>
      <w:r w:rsidRPr="00837EBB">
        <w:rPr>
          <w:rFonts w:cs="Arial"/>
          <w:rtl/>
        </w:rPr>
        <w:t xml:space="preserve"> משמע שסובר דבעינן זה בפני זה</w:t>
      </w:r>
      <w:r>
        <w:rPr>
          <w:rFonts w:cs="Arial" w:hint="cs"/>
          <w:rtl/>
        </w:rPr>
        <w:t>.</w:t>
      </w:r>
      <w:r w:rsidRPr="00837EBB">
        <w:rPr>
          <w:rFonts w:cs="Arial"/>
          <w:rtl/>
        </w:rPr>
        <w:t xml:space="preserve"> ומה שפירש ועדיין לא נמסר לה ר"ל שהעדים לא חתמו עדיין ולהכי לא נמסר לה וחותמין כולן זה בפני זה</w:t>
      </w:r>
      <w:r>
        <w:rPr>
          <w:rFonts w:cs="Arial" w:hint="cs"/>
          <w:rtl/>
        </w:rPr>
        <w:t>.</w:t>
      </w:r>
      <w:r w:rsidRPr="00837EBB">
        <w:rPr>
          <w:rFonts w:cs="Arial"/>
          <w:rtl/>
        </w:rPr>
        <w:t xml:space="preserve"> אך מה שפי' שהסופר בפנינו</w:t>
      </w:r>
      <w:r>
        <w:rPr>
          <w:rFonts w:cs="Arial" w:hint="cs"/>
          <w:rtl/>
        </w:rPr>
        <w:t xml:space="preserve"> -</w:t>
      </w:r>
      <w:r w:rsidRPr="00837EBB">
        <w:rPr>
          <w:rFonts w:cs="Arial"/>
          <w:rtl/>
        </w:rPr>
        <w:t xml:space="preserve"> בחנם פירש דמה לנו אם הלך לו הסופר.</w:t>
      </w:r>
    </w:p>
  </w:footnote>
  <w:footnote w:id="1250">
    <w:p w14:paraId="26650567" w14:textId="77777777" w:rsidR="00FA2119" w:rsidRDefault="00FA2119" w:rsidP="00FA2119">
      <w:pPr>
        <w:pStyle w:val="a5"/>
        <w:rPr>
          <w:rtl/>
        </w:rPr>
      </w:pPr>
      <w:r>
        <w:rPr>
          <w:rStyle w:val="a7"/>
        </w:rPr>
        <w:footnoteRef/>
      </w:r>
      <w:r>
        <w:rPr>
          <w:rtl/>
        </w:rPr>
        <w:t xml:space="preserve"> </w:t>
      </w:r>
      <w:r>
        <w:rPr>
          <w:rFonts w:cs="Arial"/>
          <w:rtl/>
        </w:rPr>
        <w:t>וכתב הר"ן (מג. ד"ה גרסי') על זה ונראה שזהו על דעת מי שסובר בההיא דבפרק השולח (לב:) שאם ביטל הגט בפירוש מבוטל ושוב אינו חוזר ומגרש בו דאילו למאן דסבירא ליה שגט הנכתב בהכשר אי אפשר לבטלו אין גילוי הדעת כלום כיון שהוא חוזר ומגרש בו</w:t>
      </w:r>
      <w:r>
        <w:rPr>
          <w:rFonts w:cs="Arial" w:hint="cs"/>
          <w:rtl/>
        </w:rPr>
        <w:t>.</w:t>
      </w:r>
      <w:r>
        <w:rPr>
          <w:rFonts w:cs="Arial"/>
          <w:rtl/>
        </w:rPr>
        <w:t xml:space="preserve"> </w:t>
      </w:r>
      <w:r>
        <w:rPr>
          <w:rFonts w:cs="Arial" w:hint="cs"/>
          <w:rtl/>
        </w:rPr>
        <w:t>ורי"ו</w:t>
      </w:r>
      <w:r>
        <w:rPr>
          <w:rFonts w:cs="Arial"/>
          <w:rtl/>
        </w:rPr>
        <w:t xml:space="preserve"> (</w:t>
      </w:r>
      <w:r>
        <w:rPr>
          <w:rFonts w:cs="Arial" w:hint="cs"/>
          <w:rtl/>
        </w:rPr>
        <w:t xml:space="preserve">ח"ב </w:t>
      </w:r>
      <w:r>
        <w:rPr>
          <w:rFonts w:cs="Arial"/>
          <w:rtl/>
        </w:rPr>
        <w:t>נכ"ד רג ע"ג) ויש שכתבו שהוא ספק שהוא כמו ביטלו</w:t>
      </w:r>
      <w:r>
        <w:rPr>
          <w:rFonts w:hint="cs"/>
          <w:rtl/>
        </w:rPr>
        <w:t>, ב"י.</w:t>
      </w:r>
    </w:p>
  </w:footnote>
  <w:footnote w:id="1251">
    <w:p w14:paraId="0C8D1251" w14:textId="77777777" w:rsidR="00FA2119" w:rsidRDefault="00FA2119" w:rsidP="00FA2119">
      <w:pPr>
        <w:pStyle w:val="a5"/>
      </w:pPr>
      <w:r>
        <w:rPr>
          <w:rStyle w:val="a7"/>
        </w:rPr>
        <w:footnoteRef/>
      </w:r>
      <w:r>
        <w:rPr>
          <w:rtl/>
        </w:rPr>
        <w:t xml:space="preserve"> </w:t>
      </w:r>
      <w:r w:rsidRPr="00EB790F">
        <w:rPr>
          <w:rFonts w:cs="Arial"/>
          <w:rtl/>
        </w:rPr>
        <w:t>היינו שהזמין שני עדי' והחתים עוד א' בזה יש להקל כיון שלא הזמין אלא שני עדי' וכיון שחתמו אלו שנים כבר נגמר חתימות עידי הגט</w:t>
      </w:r>
      <w:r>
        <w:rPr>
          <w:rFonts w:cs="Arial" w:hint="cs"/>
          <w:rtl/>
        </w:rPr>
        <w:t>, ב"ש (סקכ"ד).</w:t>
      </w:r>
    </w:p>
  </w:footnote>
  <w:footnote w:id="1252">
    <w:p w14:paraId="1B04755C" w14:textId="77777777" w:rsidR="00FA2119" w:rsidRDefault="00FA2119" w:rsidP="00FA2119">
      <w:pPr>
        <w:pStyle w:val="a5"/>
      </w:pPr>
      <w:r>
        <w:rPr>
          <w:rStyle w:val="a7"/>
        </w:rPr>
        <w:footnoteRef/>
      </w:r>
      <w:r>
        <w:rPr>
          <w:rtl/>
        </w:rPr>
        <w:t xml:space="preserve"> </w:t>
      </w:r>
      <w:r w:rsidRPr="007F7BE3">
        <w:rPr>
          <w:rFonts w:cs="Arial"/>
          <w:rtl/>
        </w:rPr>
        <w:t>על הקיום אע</w:t>
      </w:r>
      <w:r>
        <w:rPr>
          <w:rFonts w:cs="Arial" w:hint="cs"/>
          <w:rtl/>
        </w:rPr>
        <w:t>"</w:t>
      </w:r>
      <w:r w:rsidRPr="007F7BE3">
        <w:rPr>
          <w:rFonts w:cs="Arial"/>
          <w:rtl/>
        </w:rPr>
        <w:t>פ שאין יודעין לקרות כתב השטר אלא שמכירין חתימת העדים</w:t>
      </w:r>
      <w:r>
        <w:rPr>
          <w:rFonts w:cs="Arial" w:hint="cs"/>
          <w:rtl/>
        </w:rPr>
        <w:t xml:space="preserve">, פני משה. </w:t>
      </w:r>
    </w:p>
  </w:footnote>
  <w:footnote w:id="1253">
    <w:p w14:paraId="15170C49" w14:textId="2943943E" w:rsidR="00FA2119" w:rsidRDefault="00FA2119" w:rsidP="00FA2119">
      <w:pPr>
        <w:pStyle w:val="a5"/>
      </w:pPr>
      <w:r>
        <w:rPr>
          <w:rStyle w:val="a7"/>
        </w:rPr>
        <w:footnoteRef/>
      </w:r>
      <w:r>
        <w:rPr>
          <w:rtl/>
        </w:rPr>
        <w:t xml:space="preserve"> </w:t>
      </w:r>
      <w:r w:rsidRPr="007F7BE3">
        <w:rPr>
          <w:rFonts w:cs="Arial"/>
          <w:rtl/>
        </w:rPr>
        <w:t>כלומר רב בעצמו אמר</w:t>
      </w:r>
      <w:r w:rsidR="00E94408">
        <w:rPr>
          <w:rFonts w:cs="Arial" w:hint="cs"/>
          <w:rtl/>
        </w:rPr>
        <w:t xml:space="preserve">: </w:t>
      </w:r>
      <w:r w:rsidRPr="007F7BE3">
        <w:rPr>
          <w:rFonts w:cs="Arial"/>
          <w:rtl/>
        </w:rPr>
        <w:t>אע</w:t>
      </w:r>
      <w:r w:rsidR="00E94408">
        <w:rPr>
          <w:rFonts w:cs="Arial" w:hint="cs"/>
          <w:rtl/>
        </w:rPr>
        <w:t>"</w:t>
      </w:r>
      <w:r w:rsidRPr="007F7BE3">
        <w:rPr>
          <w:rFonts w:cs="Arial"/>
          <w:rtl/>
        </w:rPr>
        <w:t>פ שמן הדין מותר לדיין לחתום הקיום אפילו אינו יודע לקרות השטר</w:t>
      </w:r>
      <w:r w:rsidR="00E94408">
        <w:rPr>
          <w:rFonts w:cs="Arial" w:hint="cs"/>
          <w:rtl/>
        </w:rPr>
        <w:t>,</w:t>
      </w:r>
      <w:r w:rsidRPr="007F7BE3">
        <w:rPr>
          <w:rFonts w:cs="Arial"/>
          <w:rtl/>
        </w:rPr>
        <w:t xml:space="preserve"> יבא עלי כך וכך אם עשיתי כן מימי לחתום בקיום אם לא שידעתי לקרות גוף השטר</w:t>
      </w:r>
      <w:r w:rsidR="00E94408">
        <w:rPr>
          <w:rFonts w:cs="Arial" w:hint="cs"/>
          <w:rtl/>
        </w:rPr>
        <w:t>.</w:t>
      </w:r>
      <w:r w:rsidRPr="007F7BE3">
        <w:rPr>
          <w:rFonts w:cs="Arial"/>
          <w:rtl/>
        </w:rPr>
        <w:t xml:space="preserve"> וכן העיד רבי חגיי לפני רבי יוסי שלא בא לפני רב מימיו כתב יוני והוא קיים השטר בחותמיו</w:t>
      </w:r>
      <w:r w:rsidR="00E94408">
        <w:rPr>
          <w:rFonts w:cs="Arial" w:hint="cs"/>
          <w:rtl/>
        </w:rPr>
        <w:t>,</w:t>
      </w:r>
      <w:r w:rsidRPr="007F7BE3">
        <w:rPr>
          <w:rFonts w:cs="Arial"/>
          <w:rtl/>
        </w:rPr>
        <w:t xml:space="preserve"> מפני שלא היה יודע לקרות כתב יוני</w:t>
      </w:r>
      <w:r>
        <w:rPr>
          <w:rFonts w:cs="Arial" w:hint="cs"/>
          <w:rtl/>
        </w:rPr>
        <w:t xml:space="preserve">, פני משה. </w:t>
      </w:r>
    </w:p>
  </w:footnote>
  <w:footnote w:id="1254">
    <w:p w14:paraId="303F1966" w14:textId="77777777" w:rsidR="00FA2119" w:rsidRDefault="00FA2119" w:rsidP="00FA2119">
      <w:pPr>
        <w:pStyle w:val="a5"/>
      </w:pPr>
      <w:r>
        <w:rPr>
          <w:rStyle w:val="a7"/>
        </w:rPr>
        <w:footnoteRef/>
      </w:r>
      <w:r>
        <w:rPr>
          <w:rtl/>
        </w:rPr>
        <w:t xml:space="preserve"> </w:t>
      </w:r>
      <w:r w:rsidRPr="007F7BE3">
        <w:rPr>
          <w:rFonts w:cs="Arial"/>
          <w:rtl/>
        </w:rPr>
        <w:t>כמו אי נמי הוא כלומר א"נ שהיו יודעין את שניהם כתב עברית ויונית מיירי והלכך יחתמו באי זה מהן שירצו</w:t>
      </w:r>
      <w:r>
        <w:rPr>
          <w:rFonts w:cs="Arial" w:hint="cs"/>
          <w:rtl/>
        </w:rPr>
        <w:t xml:space="preserve">, פני משה. </w:t>
      </w:r>
    </w:p>
  </w:footnote>
  <w:footnote w:id="1255">
    <w:p w14:paraId="7FBE1F77" w14:textId="77777777" w:rsidR="00FA2119" w:rsidRDefault="00FA2119" w:rsidP="00FA2119">
      <w:pPr>
        <w:pStyle w:val="a5"/>
      </w:pPr>
      <w:r>
        <w:rPr>
          <w:rStyle w:val="a7"/>
        </w:rPr>
        <w:footnoteRef/>
      </w:r>
      <w:r>
        <w:rPr>
          <w:rtl/>
        </w:rPr>
        <w:t xml:space="preserve"> </w:t>
      </w:r>
      <w:r>
        <w:rPr>
          <w:rFonts w:cs="Arial"/>
          <w:rtl/>
        </w:rPr>
        <w:t>וכתב הה</w:t>
      </w:r>
      <w:r>
        <w:rPr>
          <w:rFonts w:cs="Arial" w:hint="cs"/>
          <w:rtl/>
        </w:rPr>
        <w:t>"</w:t>
      </w:r>
      <w:r>
        <w:rPr>
          <w:rFonts w:cs="Arial"/>
          <w:rtl/>
        </w:rPr>
        <w:t>מ דבירושלמי (פ"ט ה"ח) איתא להא בשהיו יודעין לקרות ולא היו יודעים לחתום או שהיו יודעים שניהם וחתמו באחד מהם שירצו. ואפשר דהרמב"ם לטעמיה (פ"א הכ"ג) דבעינן שידעו העדים לקרות הגט</w:t>
      </w:r>
      <w:r>
        <w:rPr>
          <w:rFonts w:cs="Arial" w:hint="cs"/>
          <w:rtl/>
        </w:rPr>
        <w:t>,</w:t>
      </w:r>
      <w:r>
        <w:rPr>
          <w:rFonts w:cs="Arial"/>
          <w:rtl/>
        </w:rPr>
        <w:t xml:space="preserve"> דאל</w:t>
      </w:r>
      <w:r>
        <w:rPr>
          <w:rFonts w:cs="Arial" w:hint="cs"/>
          <w:rtl/>
        </w:rPr>
        <w:t>"</w:t>
      </w:r>
      <w:r>
        <w:rPr>
          <w:rFonts w:cs="Arial"/>
          <w:rtl/>
        </w:rPr>
        <w:t>כ אין יכולין לחתום על סמך אחר שיקרא לפניהם</w:t>
      </w:r>
      <w:r>
        <w:rPr>
          <w:rFonts w:cs="Arial" w:hint="cs"/>
          <w:rtl/>
        </w:rPr>
        <w:t>.</w:t>
      </w:r>
      <w:r>
        <w:rPr>
          <w:rFonts w:cs="Arial"/>
          <w:rtl/>
        </w:rPr>
        <w:t xml:space="preserve"> אבל למי שסובר שיכולין לחתום על ידי שיקרא אחר לפניהם</w:t>
      </w:r>
      <w:r>
        <w:rPr>
          <w:rFonts w:cs="Arial" w:hint="cs"/>
          <w:rtl/>
        </w:rPr>
        <w:t>,</w:t>
      </w:r>
      <w:r>
        <w:rPr>
          <w:rFonts w:cs="Arial"/>
          <w:rtl/>
        </w:rPr>
        <w:t xml:space="preserve"> וכמו שכתב רבינו בסמוך </w:t>
      </w:r>
      <w:r>
        <w:rPr>
          <w:rFonts w:cs="Arial" w:hint="cs"/>
          <w:rtl/>
        </w:rPr>
        <w:t xml:space="preserve">- </w:t>
      </w:r>
      <w:r>
        <w:rPr>
          <w:rFonts w:cs="Arial"/>
          <w:rtl/>
        </w:rPr>
        <w:t>לא בעינן שיכירו לשון הגט והכתיבה. אע</w:t>
      </w:r>
      <w:r>
        <w:rPr>
          <w:rFonts w:cs="Arial" w:hint="cs"/>
          <w:rtl/>
        </w:rPr>
        <w:t>"</w:t>
      </w:r>
      <w:r>
        <w:rPr>
          <w:rFonts w:cs="Arial"/>
          <w:rtl/>
        </w:rPr>
        <w:t>פ שקשה בעיני האיך אפשר ששום מפרש יכשיר באין מכירין לשון הגט</w:t>
      </w:r>
      <w:r>
        <w:rPr>
          <w:rFonts w:cs="Arial" w:hint="cs"/>
          <w:rtl/>
        </w:rPr>
        <w:t>,</w:t>
      </w:r>
      <w:r>
        <w:rPr>
          <w:rFonts w:cs="Arial"/>
          <w:rtl/>
        </w:rPr>
        <w:t xml:space="preserve"> אחר דבירושלמי משמע בהדיא דבעינן שיכירו לשון הגט</w:t>
      </w:r>
      <w:r>
        <w:rPr>
          <w:rFonts w:cs="Arial" w:hint="cs"/>
          <w:rtl/>
        </w:rPr>
        <w:t>,</w:t>
      </w:r>
      <w:r>
        <w:rPr>
          <w:rFonts w:cs="Arial"/>
          <w:rtl/>
        </w:rPr>
        <w:t xml:space="preserve"> וכמו שאכתוב בסמוך בסייעתא דשמיא. ושמא אשתמיטתיה לרבינו הירושלמי</w:t>
      </w:r>
      <w:r>
        <w:rPr>
          <w:rFonts w:cs="Arial" w:hint="cs"/>
          <w:rtl/>
        </w:rPr>
        <w:t xml:space="preserve">, </w:t>
      </w:r>
      <w:r w:rsidRPr="00DE102E">
        <w:rPr>
          <w:rFonts w:cs="Arial" w:hint="cs"/>
          <w:b/>
          <w:bCs/>
          <w:rtl/>
        </w:rPr>
        <w:t>ב"י</w:t>
      </w:r>
      <w:r>
        <w:rPr>
          <w:rFonts w:cs="Arial" w:hint="cs"/>
          <w:rtl/>
        </w:rPr>
        <w:t>.</w:t>
      </w:r>
      <w:r w:rsidRPr="00396366">
        <w:rPr>
          <w:rFonts w:cs="Arial"/>
          <w:rtl/>
        </w:rPr>
        <w:t xml:space="preserve"> וכ"כ בסדר גיטין שלנו </w:t>
      </w:r>
      <w:r>
        <w:rPr>
          <w:rFonts w:cs="Arial" w:hint="cs"/>
          <w:rtl/>
        </w:rPr>
        <w:t>(</w:t>
      </w:r>
      <w:r w:rsidRPr="00396366">
        <w:rPr>
          <w:rFonts w:cs="Arial"/>
          <w:rtl/>
        </w:rPr>
        <w:t>סי' נז ס"ב) והרב יס</w:t>
      </w:r>
      <w:r>
        <w:rPr>
          <w:rFonts w:cs="Arial" w:hint="cs"/>
          <w:rtl/>
        </w:rPr>
        <w:t xml:space="preserve">ביר </w:t>
      </w:r>
      <w:r w:rsidRPr="00396366">
        <w:rPr>
          <w:rFonts w:cs="Arial"/>
          <w:rtl/>
        </w:rPr>
        <w:t xml:space="preserve">לעדים ולסופר ולבעל הפירוש מהו לשמו ולשמה וכן מלות הגט שיוכלו לקרותן להבינם מה פירושם, וכתב (שם ס"א בהג"ה) בשם מהרי"ל דלא היה רוצה להחתים על הגט רק מי שהיה יכול לקרות ולהבין פירוש הגט. וכן משמע מתשובת הרא"ש </w:t>
      </w:r>
      <w:r>
        <w:rPr>
          <w:rFonts w:cs="Arial" w:hint="cs"/>
          <w:rtl/>
        </w:rPr>
        <w:t>(</w:t>
      </w:r>
      <w:r w:rsidRPr="00396366">
        <w:rPr>
          <w:rFonts w:cs="Arial"/>
          <w:rtl/>
        </w:rPr>
        <w:t>כלל מה סי</w:t>
      </w:r>
      <w:r>
        <w:rPr>
          <w:rFonts w:cs="Arial" w:hint="cs"/>
          <w:rtl/>
        </w:rPr>
        <w:t>'</w:t>
      </w:r>
      <w:r w:rsidRPr="00396366">
        <w:rPr>
          <w:rFonts w:cs="Arial"/>
          <w:rtl/>
        </w:rPr>
        <w:t xml:space="preserve"> טז</w:t>
      </w:r>
      <w:r>
        <w:rPr>
          <w:rFonts w:cs="Arial" w:hint="cs"/>
          <w:rtl/>
        </w:rPr>
        <w:t xml:space="preserve">), </w:t>
      </w:r>
      <w:r w:rsidRPr="00DE102E">
        <w:rPr>
          <w:rFonts w:cs="Arial" w:hint="cs"/>
          <w:b/>
          <w:bCs/>
          <w:rtl/>
        </w:rPr>
        <w:t>דרכ"מ</w:t>
      </w:r>
      <w:r>
        <w:rPr>
          <w:rFonts w:cs="Arial" w:hint="cs"/>
          <w:rtl/>
        </w:rPr>
        <w:t xml:space="preserve"> (אות יב).</w:t>
      </w:r>
    </w:p>
  </w:footnote>
  <w:footnote w:id="1256">
    <w:p w14:paraId="3BCA0806" w14:textId="77777777" w:rsidR="00FA2119" w:rsidRDefault="00FA2119" w:rsidP="00FA2119">
      <w:pPr>
        <w:pStyle w:val="a5"/>
      </w:pPr>
      <w:r>
        <w:rPr>
          <w:rStyle w:val="a7"/>
        </w:rPr>
        <w:footnoteRef/>
      </w:r>
      <w:r>
        <w:rPr>
          <w:rtl/>
        </w:rPr>
        <w:t xml:space="preserve"> </w:t>
      </w:r>
      <w:r>
        <w:rPr>
          <w:rFonts w:cs="Arial"/>
          <w:rtl/>
        </w:rPr>
        <w:t>והה</w:t>
      </w:r>
      <w:r>
        <w:rPr>
          <w:rFonts w:cs="Arial" w:hint="cs"/>
          <w:rtl/>
        </w:rPr>
        <w:t>"</w:t>
      </w:r>
      <w:r>
        <w:rPr>
          <w:rFonts w:cs="Arial"/>
          <w:rtl/>
        </w:rPr>
        <w:t xml:space="preserve">מ </w:t>
      </w:r>
      <w:r>
        <w:rPr>
          <w:rFonts w:cs="Arial" w:hint="cs"/>
          <w:rtl/>
        </w:rPr>
        <w:t>(</w:t>
      </w:r>
      <w:r>
        <w:rPr>
          <w:rFonts w:cs="Arial"/>
          <w:rtl/>
        </w:rPr>
        <w:t>שם</w:t>
      </w:r>
      <w:r>
        <w:rPr>
          <w:rFonts w:cs="Arial" w:hint="cs"/>
          <w:rtl/>
        </w:rPr>
        <w:t>)</w:t>
      </w:r>
      <w:r>
        <w:rPr>
          <w:rFonts w:cs="Arial"/>
          <w:rtl/>
        </w:rPr>
        <w:t xml:space="preserve"> </w:t>
      </w:r>
      <w:r>
        <w:rPr>
          <w:rFonts w:cs="Arial" w:hint="cs"/>
          <w:rtl/>
        </w:rPr>
        <w:t>ו</w:t>
      </w:r>
      <w:r>
        <w:rPr>
          <w:rFonts w:cs="Arial"/>
          <w:rtl/>
        </w:rPr>
        <w:t>הר"ן (מט. ד"ה מתני')</w:t>
      </w:r>
      <w:r>
        <w:rPr>
          <w:rFonts w:cs="Arial" w:hint="cs"/>
          <w:rtl/>
        </w:rPr>
        <w:t>...</w:t>
      </w:r>
      <w:r>
        <w:rPr>
          <w:rFonts w:cs="Arial"/>
          <w:rtl/>
        </w:rPr>
        <w:t xml:space="preserve"> הליצו בעד הרמב"ם</w:t>
      </w:r>
      <w:r>
        <w:rPr>
          <w:rFonts w:cs="Arial" w:hint="cs"/>
          <w:rtl/>
        </w:rPr>
        <w:t>.</w:t>
      </w:r>
      <w:r>
        <w:rPr>
          <w:rFonts w:cs="Arial"/>
          <w:rtl/>
        </w:rPr>
        <w:t xml:space="preserve"> והרשב"א (פח. ד"ה תוספתא) השיג על הרמב"ם למה הכשיר עד אחד בלשון אחד ועד שני בלשון אחר. ונראה לי דסבירא ליה דכל חתימה ענין לעצמו וכיון שכל חתימת העד בלשון אחד כשר</w:t>
      </w:r>
      <w:r>
        <w:rPr>
          <w:rFonts w:cs="Arial" w:hint="cs"/>
          <w:rtl/>
        </w:rPr>
        <w:t>,</w:t>
      </w:r>
      <w:r>
        <w:rPr>
          <w:rFonts w:cs="Arial"/>
          <w:rtl/>
        </w:rPr>
        <w:t xml:space="preserve"> אבל הגט כולו ענין אחד וצריך שלא יהא כתוב בשתי לשונות</w:t>
      </w:r>
      <w:r>
        <w:rPr>
          <w:rFonts w:cs="Arial" w:hint="cs"/>
          <w:rtl/>
        </w:rPr>
        <w:t>,</w:t>
      </w:r>
      <w:r>
        <w:rPr>
          <w:rFonts w:cs="Arial"/>
          <w:rtl/>
        </w:rPr>
        <w:t xml:space="preserve"> וכמו שכתב הר"ן ז"ל</w:t>
      </w:r>
      <w:r>
        <w:rPr>
          <w:rFonts w:cs="Arial" w:hint="cs"/>
          <w:rtl/>
        </w:rPr>
        <w:t>, ב"י.</w:t>
      </w:r>
    </w:p>
  </w:footnote>
  <w:footnote w:id="1257">
    <w:p w14:paraId="50A2A851" w14:textId="77777777" w:rsidR="00FA2119" w:rsidRDefault="00FA2119" w:rsidP="00FA2119">
      <w:pPr>
        <w:pStyle w:val="a5"/>
      </w:pPr>
      <w:r>
        <w:rPr>
          <w:rStyle w:val="a7"/>
        </w:rPr>
        <w:footnoteRef/>
      </w:r>
      <w:r>
        <w:rPr>
          <w:rtl/>
        </w:rPr>
        <w:t xml:space="preserve"> </w:t>
      </w:r>
      <w:r w:rsidRPr="00451B31">
        <w:rPr>
          <w:rFonts w:asciiTheme="minorBidi" w:hAnsiTheme="minorBidi" w:cs="Arial" w:hint="cs"/>
          <w:rtl/>
        </w:rPr>
        <w:t>וכתב הרשב"א שאפילו לגירסת</w:t>
      </w:r>
      <w:r>
        <w:rPr>
          <w:rFonts w:asciiTheme="minorBidi" w:hAnsiTheme="minorBidi" w:cs="Arial" w:hint="cs"/>
          <w:rtl/>
        </w:rPr>
        <w:t xml:space="preserve"> הרמב"ם צריך לומר כן, וכמו שכתב הראב"ד, דמהתוספתא לא משמע אלא שכתבו בשתי שפות גם את הגט וגם את החתימות, הא שינה באחד מהם - שרי.</w:t>
      </w:r>
    </w:p>
  </w:footnote>
  <w:footnote w:id="1258">
    <w:p w14:paraId="0B2018F9" w14:textId="77777777" w:rsidR="00FA2119" w:rsidRDefault="00FA2119" w:rsidP="00FA2119">
      <w:pPr>
        <w:pStyle w:val="a5"/>
      </w:pPr>
      <w:r>
        <w:rPr>
          <w:rStyle w:val="a7"/>
        </w:rPr>
        <w:footnoteRef/>
      </w:r>
      <w:r>
        <w:rPr>
          <w:rtl/>
        </w:rPr>
        <w:t xml:space="preserve"> </w:t>
      </w:r>
      <w:r w:rsidRPr="008F19A7">
        <w:rPr>
          <w:rFonts w:cs="Arial"/>
          <w:rtl/>
        </w:rPr>
        <w:t xml:space="preserve">בודאי </w:t>
      </w:r>
      <w:r>
        <w:rPr>
          <w:rFonts w:cs="Arial" w:hint="cs"/>
          <w:rtl/>
        </w:rPr>
        <w:t>לשון</w:t>
      </w:r>
      <w:r w:rsidRPr="008F19A7">
        <w:rPr>
          <w:rFonts w:cs="Arial"/>
          <w:rtl/>
        </w:rPr>
        <w:t xml:space="preserve"> הכתב צריכי</w:t>
      </w:r>
      <w:r>
        <w:rPr>
          <w:rFonts w:cs="Arial" w:hint="cs"/>
          <w:rtl/>
        </w:rPr>
        <w:t>ם</w:t>
      </w:r>
      <w:r w:rsidRPr="008F19A7">
        <w:rPr>
          <w:rFonts w:cs="Arial"/>
          <w:rtl/>
        </w:rPr>
        <w:t xml:space="preserve"> להבין הלשון כמ"ש בסמוך</w:t>
      </w:r>
      <w:r>
        <w:rPr>
          <w:rFonts w:cs="Arial" w:hint="cs"/>
          <w:rtl/>
        </w:rPr>
        <w:t>,</w:t>
      </w:r>
      <w:r w:rsidRPr="008F19A7">
        <w:rPr>
          <w:rFonts w:cs="Arial"/>
          <w:rtl/>
        </w:rPr>
        <w:t xml:space="preserve"> אבל מ"ש שיכירו הכתיבה</w:t>
      </w:r>
      <w:r>
        <w:rPr>
          <w:rFonts w:cs="Arial" w:hint="cs"/>
          <w:rtl/>
        </w:rPr>
        <w:t>,</w:t>
      </w:r>
      <w:r w:rsidRPr="008F19A7">
        <w:rPr>
          <w:rFonts w:cs="Arial"/>
          <w:rtl/>
        </w:rPr>
        <w:t xml:space="preserve"> הקשה בכ</w:t>
      </w:r>
      <w:r>
        <w:rPr>
          <w:rFonts w:cs="Arial" w:hint="cs"/>
          <w:rtl/>
        </w:rPr>
        <w:t>ס</w:t>
      </w:r>
      <w:r w:rsidRPr="008F19A7">
        <w:rPr>
          <w:rFonts w:cs="Arial"/>
          <w:rtl/>
        </w:rPr>
        <w:t>"מ הא קי"ל אפילו אם א"י לקרות קוראי</w:t>
      </w:r>
      <w:r>
        <w:rPr>
          <w:rFonts w:cs="Arial" w:hint="cs"/>
          <w:rtl/>
        </w:rPr>
        <w:t>ם</w:t>
      </w:r>
      <w:r w:rsidRPr="008F19A7">
        <w:rPr>
          <w:rFonts w:cs="Arial"/>
          <w:rtl/>
        </w:rPr>
        <w:t xml:space="preserve"> בפניה</w:t>
      </w:r>
      <w:r>
        <w:rPr>
          <w:rFonts w:cs="Arial" w:hint="cs"/>
          <w:rtl/>
        </w:rPr>
        <w:t>ם</w:t>
      </w:r>
      <w:r w:rsidRPr="008F19A7">
        <w:rPr>
          <w:rFonts w:cs="Arial"/>
          <w:rtl/>
        </w:rPr>
        <w:t xml:space="preserve"> וחותמי</w:t>
      </w:r>
      <w:r>
        <w:rPr>
          <w:rFonts w:cs="Arial" w:hint="cs"/>
          <w:rtl/>
        </w:rPr>
        <w:t>ם,</w:t>
      </w:r>
      <w:r w:rsidRPr="008F19A7">
        <w:rPr>
          <w:rFonts w:cs="Arial"/>
          <w:rtl/>
        </w:rPr>
        <w:t xml:space="preserve"> ולמה צריכי</w:t>
      </w:r>
      <w:r>
        <w:rPr>
          <w:rFonts w:cs="Arial" w:hint="cs"/>
          <w:rtl/>
        </w:rPr>
        <w:t>ם</w:t>
      </w:r>
      <w:r w:rsidRPr="008F19A7">
        <w:rPr>
          <w:rFonts w:cs="Arial"/>
          <w:rtl/>
        </w:rPr>
        <w:t xml:space="preserve"> כאן שיכירו הכתיבה</w:t>
      </w:r>
      <w:r>
        <w:rPr>
          <w:rFonts w:cs="Arial" w:hint="cs"/>
          <w:rtl/>
        </w:rPr>
        <w:t>.</w:t>
      </w:r>
      <w:r w:rsidRPr="008F19A7">
        <w:rPr>
          <w:rFonts w:cs="Arial"/>
          <w:rtl/>
        </w:rPr>
        <w:t xml:space="preserve"> ולא תירץ כלום בכ</w:t>
      </w:r>
      <w:r>
        <w:rPr>
          <w:rFonts w:cs="Arial" w:hint="cs"/>
          <w:rtl/>
        </w:rPr>
        <w:t>ס</w:t>
      </w:r>
      <w:r w:rsidRPr="008F19A7">
        <w:rPr>
          <w:rFonts w:cs="Arial"/>
          <w:rtl/>
        </w:rPr>
        <w:t>"מ</w:t>
      </w:r>
      <w:r>
        <w:rPr>
          <w:rFonts w:cs="Arial" w:hint="cs"/>
          <w:rtl/>
        </w:rPr>
        <w:t>.</w:t>
      </w:r>
      <w:r w:rsidRPr="008F19A7">
        <w:rPr>
          <w:rFonts w:cs="Arial"/>
          <w:rtl/>
        </w:rPr>
        <w:t xml:space="preserve"> מיהו י"ל באמת אם קוראי</w:t>
      </w:r>
      <w:r>
        <w:rPr>
          <w:rFonts w:cs="Arial" w:hint="cs"/>
          <w:rtl/>
        </w:rPr>
        <w:t>ם</w:t>
      </w:r>
      <w:r w:rsidRPr="008F19A7">
        <w:rPr>
          <w:rFonts w:cs="Arial"/>
          <w:rtl/>
        </w:rPr>
        <w:t xml:space="preserve"> לפניה</w:t>
      </w:r>
      <w:r>
        <w:rPr>
          <w:rFonts w:cs="Arial" w:hint="cs"/>
          <w:rtl/>
        </w:rPr>
        <w:t>ם</w:t>
      </w:r>
      <w:r w:rsidRPr="008F19A7">
        <w:rPr>
          <w:rFonts w:cs="Arial"/>
          <w:rtl/>
        </w:rPr>
        <w:t xml:space="preserve"> א"צ שיכירו הכתיבה</w:t>
      </w:r>
      <w:r>
        <w:rPr>
          <w:rFonts w:cs="Arial" w:hint="cs"/>
          <w:rtl/>
        </w:rPr>
        <w:t>,</w:t>
      </w:r>
      <w:r w:rsidRPr="008F19A7">
        <w:rPr>
          <w:rFonts w:cs="Arial"/>
          <w:rtl/>
        </w:rPr>
        <w:t xml:space="preserve"> אלא איירי דהם קוראי</w:t>
      </w:r>
      <w:r>
        <w:rPr>
          <w:rFonts w:cs="Arial" w:hint="cs"/>
          <w:rtl/>
        </w:rPr>
        <w:t>ם</w:t>
      </w:r>
      <w:r w:rsidRPr="008F19A7">
        <w:rPr>
          <w:rFonts w:cs="Arial"/>
          <w:rtl/>
        </w:rPr>
        <w:t xml:space="preserve"> בעצמם אז צריכים שיכירו הל</w:t>
      </w:r>
      <w:r>
        <w:rPr>
          <w:rFonts w:cs="Arial" w:hint="cs"/>
          <w:rtl/>
        </w:rPr>
        <w:t>שון</w:t>
      </w:r>
      <w:r w:rsidRPr="008F19A7">
        <w:rPr>
          <w:rFonts w:cs="Arial"/>
          <w:rtl/>
        </w:rPr>
        <w:t xml:space="preserve"> הכתוב והכתיב</w:t>
      </w:r>
      <w:r>
        <w:rPr>
          <w:rFonts w:cs="Arial" w:hint="cs"/>
          <w:rtl/>
        </w:rPr>
        <w:t>ה,</w:t>
      </w:r>
      <w:r w:rsidRPr="008F19A7">
        <w:rPr>
          <w:rFonts w:cs="Arial"/>
          <w:rtl/>
        </w:rPr>
        <w:t xml:space="preserve"> אבל דוחק לומר דצריכי</w:t>
      </w:r>
      <w:r>
        <w:rPr>
          <w:rFonts w:cs="Arial" w:hint="cs"/>
          <w:rtl/>
        </w:rPr>
        <w:t>ם</w:t>
      </w:r>
      <w:r w:rsidRPr="008F19A7">
        <w:rPr>
          <w:rFonts w:cs="Arial"/>
          <w:rtl/>
        </w:rPr>
        <w:t xml:space="preserve"> עכ"פ לידע האותיות הכתיבה אע</w:t>
      </w:r>
      <w:r>
        <w:rPr>
          <w:rFonts w:cs="Arial" w:hint="cs"/>
          <w:rtl/>
        </w:rPr>
        <w:t>"</w:t>
      </w:r>
      <w:r w:rsidRPr="008F19A7">
        <w:rPr>
          <w:rFonts w:cs="Arial"/>
          <w:rtl/>
        </w:rPr>
        <w:t>ג דא"י לקרות כי לא מצינו שום ראיה לזה</w:t>
      </w:r>
      <w:r>
        <w:rPr>
          <w:rFonts w:cs="Arial" w:hint="cs"/>
          <w:rtl/>
        </w:rPr>
        <w:t>, ב"ש (סקכ"ה).</w:t>
      </w:r>
    </w:p>
  </w:footnote>
  <w:footnote w:id="1259">
    <w:p w14:paraId="696AD15C" w14:textId="34F78987" w:rsidR="00FA2119" w:rsidRDefault="00FA2119" w:rsidP="00FA2119">
      <w:pPr>
        <w:pStyle w:val="a5"/>
      </w:pPr>
      <w:r>
        <w:rPr>
          <w:rStyle w:val="a7"/>
        </w:rPr>
        <w:footnoteRef/>
      </w:r>
      <w:r>
        <w:rPr>
          <w:rtl/>
        </w:rPr>
        <w:t xml:space="preserve"> </w:t>
      </w:r>
      <w:r>
        <w:rPr>
          <w:rFonts w:hint="cs"/>
          <w:rtl/>
        </w:rPr>
        <w:t xml:space="preserve">סימן </w:t>
      </w:r>
      <w:r w:rsidR="00A42812">
        <w:rPr>
          <w:rtl/>
        </w:rPr>
        <w:t>-</w:t>
      </w:r>
      <w:r>
        <w:rPr>
          <w:rFonts w:hint="cs"/>
          <w:rtl/>
        </w:rPr>
        <w:t xml:space="preserve"> יודעי טקסט.</w:t>
      </w:r>
      <w:r w:rsidR="004B4F74">
        <w:rPr>
          <w:rFonts w:hint="cs"/>
          <w:rtl/>
        </w:rPr>
        <w:t xml:space="preserve"> וכן - יטייטו.</w:t>
      </w:r>
    </w:p>
  </w:footnote>
  <w:footnote w:id="1260">
    <w:p w14:paraId="41EEAC82" w14:textId="77777777" w:rsidR="00FA2119" w:rsidRDefault="00FA2119" w:rsidP="00FA2119">
      <w:pPr>
        <w:pStyle w:val="a5"/>
      </w:pPr>
      <w:r>
        <w:rPr>
          <w:rStyle w:val="a7"/>
        </w:rPr>
        <w:footnoteRef/>
      </w:r>
      <w:r>
        <w:rPr>
          <w:rtl/>
        </w:rPr>
        <w:t xml:space="preserve"> </w:t>
      </w:r>
      <w:r>
        <w:rPr>
          <w:rFonts w:cs="Arial"/>
          <w:rtl/>
        </w:rPr>
        <w:t>גמרא זו אחת מן הדרכים ששוו גיטי נשים לשחרורי עבדים שאע"פ שאין העדים רואים מה שכתוב בגט חותמין על פי מה שקורין אחרים לפניהם</w:t>
      </w:r>
      <w:r>
        <w:rPr>
          <w:rFonts w:cs="Arial" w:hint="cs"/>
          <w:rtl/>
        </w:rPr>
        <w:t>,</w:t>
      </w:r>
      <w:r>
        <w:rPr>
          <w:rFonts w:cs="Arial"/>
          <w:rtl/>
        </w:rPr>
        <w:t xml:space="preserve"> ולא הוי עד מפי עד שאינו מאמין אחרים בעיקר העדות אלא לומר שכך כתוב בשטר</w:t>
      </w:r>
      <w:r>
        <w:rPr>
          <w:rFonts w:cs="Arial" w:hint="cs"/>
          <w:rtl/>
        </w:rPr>
        <w:t>,</w:t>
      </w:r>
      <w:r w:rsidRPr="00AE2F7B">
        <w:rPr>
          <w:rFonts w:cs="Arial"/>
          <w:rtl/>
        </w:rPr>
        <w:t xml:space="preserve"> </w:t>
      </w:r>
      <w:r>
        <w:rPr>
          <w:rFonts w:cs="Arial"/>
          <w:rtl/>
        </w:rPr>
        <w:t>וזו אינה עדות אלא גילוי מילתא בעלמא</w:t>
      </w:r>
      <w:r>
        <w:rPr>
          <w:rFonts w:cs="Arial" w:hint="cs"/>
          <w:rtl/>
        </w:rPr>
        <w:t>,</w:t>
      </w:r>
      <w:r>
        <w:rPr>
          <w:rFonts w:cs="Arial"/>
          <w:rtl/>
        </w:rPr>
        <w:t xml:space="preserve"> דדא מילתא דעבידא לאיגלויי היא</w:t>
      </w:r>
      <w:r>
        <w:rPr>
          <w:rFonts w:cs="Arial" w:hint="cs"/>
          <w:rtl/>
        </w:rPr>
        <w:t xml:space="preserve">, ב"י בשם תוס' </w:t>
      </w:r>
      <w:r w:rsidRPr="00157C83">
        <w:rPr>
          <w:rFonts w:cs="Arial" w:hint="cs"/>
          <w:sz w:val="16"/>
          <w:szCs w:val="16"/>
          <w:rtl/>
        </w:rPr>
        <w:t>(ט: ד"ה קורין)</w:t>
      </w:r>
      <w:r w:rsidRPr="00157C83">
        <w:rPr>
          <w:rFonts w:cs="Arial"/>
          <w:sz w:val="16"/>
          <w:szCs w:val="16"/>
          <w:rtl/>
        </w:rPr>
        <w:t xml:space="preserve"> </w:t>
      </w:r>
      <w:r>
        <w:rPr>
          <w:rFonts w:cs="Arial"/>
          <w:rtl/>
        </w:rPr>
        <w:t xml:space="preserve">רשב"א </w:t>
      </w:r>
      <w:r w:rsidRPr="00157C83">
        <w:rPr>
          <w:rFonts w:cs="Arial"/>
          <w:sz w:val="16"/>
          <w:szCs w:val="16"/>
          <w:rtl/>
        </w:rPr>
        <w:t xml:space="preserve">(יט. ד"ה הא דאמרינן) </w:t>
      </w:r>
      <w:r>
        <w:rPr>
          <w:rFonts w:cs="Arial"/>
          <w:rtl/>
        </w:rPr>
        <w:t xml:space="preserve">ור"ן </w:t>
      </w:r>
      <w:r w:rsidRPr="00157C83">
        <w:rPr>
          <w:rFonts w:cs="Arial"/>
          <w:sz w:val="16"/>
          <w:szCs w:val="16"/>
          <w:rtl/>
        </w:rPr>
        <w:t>(ט: ד"ה ודוקא)</w:t>
      </w:r>
      <w:r>
        <w:rPr>
          <w:rFonts w:cs="Arial" w:hint="cs"/>
          <w:rtl/>
        </w:rPr>
        <w:t>.</w:t>
      </w:r>
    </w:p>
  </w:footnote>
  <w:footnote w:id="1261">
    <w:p w14:paraId="7C5CDB41" w14:textId="77777777" w:rsidR="00FA2119" w:rsidRDefault="00FA2119" w:rsidP="00FA2119">
      <w:pPr>
        <w:pStyle w:val="a5"/>
      </w:pPr>
      <w:r>
        <w:rPr>
          <w:rStyle w:val="a7"/>
        </w:rPr>
        <w:footnoteRef/>
      </w:r>
      <w:r>
        <w:rPr>
          <w:rtl/>
        </w:rPr>
        <w:t xml:space="preserve"> </w:t>
      </w:r>
      <w:r w:rsidRPr="00A331CC">
        <w:rPr>
          <w:rFonts w:cs="Arial"/>
          <w:rtl/>
        </w:rPr>
        <w:t>להא דרב גמדא</w:t>
      </w:r>
      <w:r>
        <w:rPr>
          <w:rFonts w:cs="Arial" w:hint="cs"/>
          <w:rtl/>
        </w:rPr>
        <w:t>, רש"י.</w:t>
      </w:r>
    </w:p>
  </w:footnote>
  <w:footnote w:id="1262">
    <w:p w14:paraId="11543943" w14:textId="77777777" w:rsidR="00FA2119" w:rsidRDefault="00FA2119" w:rsidP="00FA2119">
      <w:pPr>
        <w:pStyle w:val="a5"/>
        <w:rPr>
          <w:rtl/>
        </w:rPr>
      </w:pPr>
      <w:r>
        <w:rPr>
          <w:rStyle w:val="a7"/>
        </w:rPr>
        <w:footnoteRef/>
      </w:r>
      <w:r>
        <w:rPr>
          <w:rtl/>
        </w:rPr>
        <w:t xml:space="preserve"> </w:t>
      </w:r>
      <w:r w:rsidRPr="00A331CC">
        <w:rPr>
          <w:rFonts w:cs="Arial"/>
          <w:rtl/>
        </w:rPr>
        <w:t>שאם יודעין לחתום אע</w:t>
      </w:r>
      <w:r>
        <w:rPr>
          <w:rFonts w:cs="Arial" w:hint="cs"/>
          <w:rtl/>
        </w:rPr>
        <w:t>"</w:t>
      </w:r>
      <w:r w:rsidRPr="00A331CC">
        <w:rPr>
          <w:rFonts w:cs="Arial"/>
          <w:rtl/>
        </w:rPr>
        <w:t>פ שאין יודעין לקרות שפיר דמי וקרו קמייהו אחריני כרבנן</w:t>
      </w:r>
      <w:r>
        <w:rPr>
          <w:rFonts w:cs="Arial" w:hint="cs"/>
          <w:rtl/>
        </w:rPr>
        <w:t>,</w:t>
      </w:r>
      <w:r w:rsidRPr="00A331CC">
        <w:rPr>
          <w:rFonts w:cs="Arial"/>
          <w:rtl/>
        </w:rPr>
        <w:t xml:space="preserve"> ודרב כהנא בשאין יודעין לחתום</w:t>
      </w:r>
      <w:r>
        <w:rPr>
          <w:rFonts w:cs="Arial" w:hint="cs"/>
          <w:rtl/>
        </w:rPr>
        <w:t>,</w:t>
      </w:r>
      <w:r w:rsidRPr="00A331CC">
        <w:rPr>
          <w:rFonts w:cs="Arial"/>
          <w:rtl/>
        </w:rPr>
        <w:t xml:space="preserve"> וגבי חתימה אמרן לדרב כהנא לעיל</w:t>
      </w:r>
      <w:r>
        <w:rPr>
          <w:rFonts w:hint="cs"/>
          <w:rtl/>
        </w:rPr>
        <w:t>, רש"י.</w:t>
      </w:r>
    </w:p>
  </w:footnote>
  <w:footnote w:id="1263">
    <w:p w14:paraId="67258180" w14:textId="77777777" w:rsidR="00FA2119" w:rsidRDefault="00FA2119" w:rsidP="00FA2119">
      <w:pPr>
        <w:pStyle w:val="a5"/>
        <w:rPr>
          <w:rtl/>
        </w:rPr>
      </w:pPr>
      <w:r>
        <w:rPr>
          <w:rStyle w:val="a7"/>
        </w:rPr>
        <w:footnoteRef/>
      </w:r>
      <w:r>
        <w:rPr>
          <w:rtl/>
        </w:rPr>
        <w:t xml:space="preserve"> </w:t>
      </w:r>
      <w:r w:rsidRPr="00A331CC">
        <w:rPr>
          <w:rFonts w:cs="Arial"/>
          <w:rtl/>
        </w:rPr>
        <w:t>זקן היה ועיניו כהות וכשהיה צריך לחתום בעד או בדיין מצטער בקריאת שטר וקורהו וחותם</w:t>
      </w:r>
      <w:r>
        <w:rPr>
          <w:rFonts w:hint="cs"/>
          <w:rtl/>
        </w:rPr>
        <w:t>, רש"י.</w:t>
      </w:r>
    </w:p>
  </w:footnote>
  <w:footnote w:id="1264">
    <w:p w14:paraId="24E5F440" w14:textId="77777777" w:rsidR="00FA2119" w:rsidRDefault="00FA2119" w:rsidP="00FA2119">
      <w:pPr>
        <w:pStyle w:val="a5"/>
      </w:pPr>
      <w:r>
        <w:rPr>
          <w:rStyle w:val="a7"/>
        </w:rPr>
        <w:footnoteRef/>
      </w:r>
      <w:r>
        <w:rPr>
          <w:rtl/>
        </w:rPr>
        <w:t xml:space="preserve"> </w:t>
      </w:r>
      <w:r w:rsidRPr="00B34EC0">
        <w:rPr>
          <w:rFonts w:cs="Arial" w:hint="cs"/>
          <w:rtl/>
        </w:rPr>
        <w:t xml:space="preserve">אמנם בחו"מ </w:t>
      </w:r>
      <w:r>
        <w:rPr>
          <w:rFonts w:cs="Arial" w:hint="cs"/>
          <w:rtl/>
        </w:rPr>
        <w:t xml:space="preserve">(סי' מה ס"ב) </w:t>
      </w:r>
      <w:r w:rsidRPr="00B34EC0">
        <w:rPr>
          <w:rFonts w:cs="Arial" w:hint="cs"/>
          <w:rtl/>
        </w:rPr>
        <w:t>כתב הב"י שדעת הרא"ש לפסוק כרב גמדא, אך כאן נראה שחזר בו</w:t>
      </w:r>
      <w:r>
        <w:rPr>
          <w:rFonts w:hint="cs"/>
          <w:rtl/>
        </w:rPr>
        <w:t>, וכאן נראה עיקר, שהרי כאן האריך הב"י בסברותיו על דברי הרא"ש והרי"ף, ועוד שרק כאן הביא את דעת הטור בדברי אביו.</w:t>
      </w:r>
    </w:p>
  </w:footnote>
  <w:footnote w:id="1265">
    <w:p w14:paraId="24D8128B" w14:textId="63B0FEAD" w:rsidR="00FA2119" w:rsidRDefault="00FA2119" w:rsidP="00FA2119">
      <w:pPr>
        <w:pStyle w:val="a5"/>
        <w:rPr>
          <w:rtl/>
        </w:rPr>
      </w:pPr>
      <w:r>
        <w:rPr>
          <w:rStyle w:val="a7"/>
        </w:rPr>
        <w:footnoteRef/>
      </w:r>
      <w:r>
        <w:rPr>
          <w:rtl/>
        </w:rPr>
        <w:t xml:space="preserve"> </w:t>
      </w:r>
      <w:r>
        <w:rPr>
          <w:rFonts w:cs="Arial" w:hint="cs"/>
          <w:rtl/>
        </w:rPr>
        <w:t xml:space="preserve">לאחר שהביא הב"י את הבנת הרא"ש ברי"ף כתב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A770F0">
        <w:rPr>
          <w:rFonts w:cs="Arial"/>
          <w:rtl/>
        </w:rPr>
        <w:t>אבל הר"ן בפירושו להרי"ף (שם ד"ה ודוקא) לא הזכיר חילוק בין קראוהו שנים לקראוהו אחד</w:t>
      </w:r>
      <w:r>
        <w:rPr>
          <w:rFonts w:cs="Arial" w:hint="cs"/>
          <w:rtl/>
        </w:rPr>
        <w:t>,</w:t>
      </w:r>
      <w:r w:rsidRPr="00A770F0">
        <w:rPr>
          <w:rFonts w:cs="Arial"/>
          <w:rtl/>
        </w:rPr>
        <w:t xml:space="preserve"> גם הרמב"ם והה</w:t>
      </w:r>
      <w:r>
        <w:rPr>
          <w:rFonts w:cs="Arial" w:hint="cs"/>
          <w:rtl/>
        </w:rPr>
        <w:t>"</w:t>
      </w:r>
      <w:r w:rsidRPr="00A770F0">
        <w:rPr>
          <w:rFonts w:cs="Arial"/>
          <w:rtl/>
        </w:rPr>
        <w:t>מ בפכ"ד ממלוה ולוה (ה"ה, ז) לא הזכירוהו</w:t>
      </w:r>
      <w:r>
        <w:rPr>
          <w:rFonts w:cs="Arial" w:hint="cs"/>
          <w:rtl/>
        </w:rPr>
        <w:t>,</w:t>
      </w:r>
      <w:r w:rsidRPr="00A770F0">
        <w:rPr>
          <w:rFonts w:cs="Arial"/>
          <w:rtl/>
        </w:rPr>
        <w:t xml:space="preserve"> ובפ"א דגירושין (הכ"ג) כתב דבגט אע</w:t>
      </w:r>
      <w:r>
        <w:rPr>
          <w:rFonts w:cs="Arial" w:hint="cs"/>
          <w:rtl/>
        </w:rPr>
        <w:t>"</w:t>
      </w:r>
      <w:r w:rsidRPr="00A770F0">
        <w:rPr>
          <w:rFonts w:cs="Arial"/>
          <w:rtl/>
        </w:rPr>
        <w:t>פ שאין יודעין לקרות קורין לפניהם וחותמים וכן מקרעין להם נייר וחותמים ואין עושין כן בשאר שטרות</w:t>
      </w:r>
      <w:r>
        <w:rPr>
          <w:rFonts w:cs="Arial" w:hint="cs"/>
          <w:rtl/>
        </w:rPr>
        <w:t>,</w:t>
      </w:r>
      <w:r w:rsidRPr="00A770F0">
        <w:rPr>
          <w:rFonts w:cs="Arial"/>
          <w:rtl/>
        </w:rPr>
        <w:t xml:space="preserve"> ומשמע דקאי לתרוייהו והיינו כרשב</w:t>
      </w:r>
      <w:r>
        <w:rPr>
          <w:rFonts w:cs="Arial" w:hint="cs"/>
          <w:rtl/>
        </w:rPr>
        <w:t>"</w:t>
      </w:r>
      <w:r w:rsidRPr="00A770F0">
        <w:rPr>
          <w:rFonts w:cs="Arial"/>
          <w:rtl/>
        </w:rPr>
        <w:t>ג דסתמא דתלמודא אמר משמיה דרבא דהלכה כותיה</w:t>
      </w:r>
      <w:r>
        <w:rPr>
          <w:rFonts w:cs="Arial" w:hint="cs"/>
          <w:rtl/>
        </w:rPr>
        <w:t>,</w:t>
      </w:r>
      <w:r w:rsidRPr="00A770F0">
        <w:rPr>
          <w:rFonts w:cs="Arial"/>
          <w:rtl/>
        </w:rPr>
        <w:t xml:space="preserve"> ומשמע נמי דהרמב"ם כשיטת הרי"ף רבו אמרה</w:t>
      </w:r>
      <w:r>
        <w:rPr>
          <w:rFonts w:cs="Arial" w:hint="cs"/>
          <w:rtl/>
        </w:rPr>
        <w:t>,</w:t>
      </w:r>
      <w:r w:rsidRPr="00A770F0">
        <w:rPr>
          <w:rFonts w:cs="Arial"/>
          <w:rtl/>
        </w:rPr>
        <w:t xml:space="preserve"> כך נ"ל</w:t>
      </w:r>
      <w:r>
        <w:rPr>
          <w:rFonts w:cs="Arial" w:hint="cs"/>
          <w:rtl/>
        </w:rPr>
        <w:t>.</w:t>
      </w:r>
      <w:r w:rsidRPr="00A770F0">
        <w:rPr>
          <w:rFonts w:cs="Arial"/>
          <w:rtl/>
        </w:rPr>
        <w:t xml:space="preserve"> ומה שהביא הרא"ש ראיה מדאכשר רב פפא בשני גוים </w:t>
      </w:r>
      <w:r>
        <w:rPr>
          <w:rFonts w:cs="Arial" w:hint="cs"/>
          <w:rtl/>
        </w:rPr>
        <w:t xml:space="preserve">- </w:t>
      </w:r>
      <w:r w:rsidRPr="00A770F0">
        <w:rPr>
          <w:rFonts w:cs="Arial"/>
          <w:rtl/>
        </w:rPr>
        <w:t>שאני התם שהם מסיחים לפי תומם.</w:t>
      </w:r>
    </w:p>
  </w:footnote>
  <w:footnote w:id="1266">
    <w:p w14:paraId="104C296D" w14:textId="2E15C27D" w:rsidR="00FA2119" w:rsidRDefault="00FA2119" w:rsidP="00FA2119">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rtl/>
        </w:rPr>
        <w:t xml:space="preserve"> והרי"ף </w:t>
      </w:r>
      <w:r w:rsidRPr="00886FD9">
        <w:rPr>
          <w:rFonts w:cs="Arial"/>
          <w:sz w:val="16"/>
          <w:szCs w:val="16"/>
          <w:rtl/>
        </w:rPr>
        <w:t xml:space="preserve">(ט:) </w:t>
      </w:r>
      <w:r>
        <w:rPr>
          <w:rFonts w:cs="Arial"/>
          <w:rtl/>
        </w:rPr>
        <w:t>לא הביא הא דאמר רב גמדא אין הלכה כרבן שמעון בן גמליאל וכו' תרגמא אקריאה פירש רש"י תרגמא להא דרב גמדא אקריאה וההוא דנגדיה רב כהנא אחתימה הואי וכן לעיל מייתי לה אחתימה</w:t>
      </w:r>
      <w:r>
        <w:rPr>
          <w:rFonts w:cs="Arial" w:hint="cs"/>
          <w:rtl/>
        </w:rPr>
        <w:t>.</w:t>
      </w:r>
      <w:r>
        <w:rPr>
          <w:rFonts w:cs="Arial"/>
          <w:rtl/>
        </w:rPr>
        <w:t xml:space="preserve"> ומייתי עלה דרבי אלעזר קרו קמיה וחתים דהיינו כרב גמדא</w:t>
      </w:r>
      <w:r>
        <w:rPr>
          <w:rFonts w:cs="Arial" w:hint="cs"/>
          <w:rtl/>
        </w:rPr>
        <w:t>.</w:t>
      </w:r>
      <w:r>
        <w:rPr>
          <w:rFonts w:cs="Arial"/>
          <w:rtl/>
        </w:rPr>
        <w:t xml:space="preserve"> ובעינן שיהו שנים קורין לפניו</w:t>
      </w:r>
      <w:r>
        <w:rPr>
          <w:rFonts w:cs="Arial" w:hint="cs"/>
          <w:rtl/>
        </w:rPr>
        <w:t>,</w:t>
      </w:r>
      <w:r>
        <w:rPr>
          <w:rFonts w:cs="Arial"/>
          <w:rtl/>
        </w:rPr>
        <w:t xml:space="preserve"> דאין לסמוך על אחד</w:t>
      </w:r>
      <w:r>
        <w:rPr>
          <w:rFonts w:cs="Arial" w:hint="cs"/>
          <w:rtl/>
        </w:rPr>
        <w:t>,</w:t>
      </w:r>
      <w:r>
        <w:rPr>
          <w:rFonts w:cs="Arial"/>
          <w:rtl/>
        </w:rPr>
        <w:t xml:space="preserve"> או כגון רב נחמן וספרי דייני דדחילי מיניה לשקורי במילתא דעבידא לאיגלויי</w:t>
      </w:r>
      <w:r>
        <w:rPr>
          <w:rFonts w:cs="Arial" w:hint="cs"/>
          <w:rtl/>
        </w:rPr>
        <w:t>,</w:t>
      </w:r>
      <w:r>
        <w:rPr>
          <w:rFonts w:cs="Arial"/>
          <w:rtl/>
        </w:rPr>
        <w:t xml:space="preserve"> וכן פירש ר"י</w:t>
      </w:r>
      <w:r>
        <w:rPr>
          <w:rFonts w:cs="Arial" w:hint="cs"/>
          <w:rtl/>
        </w:rPr>
        <w:t xml:space="preserve"> </w:t>
      </w:r>
      <w:r w:rsidRPr="001D5781">
        <w:rPr>
          <w:rFonts w:cs="Arial" w:hint="cs"/>
          <w:sz w:val="16"/>
          <w:szCs w:val="16"/>
          <w:rtl/>
        </w:rPr>
        <w:t>(</w:t>
      </w:r>
      <w:r w:rsidRPr="001D5781">
        <w:rPr>
          <w:rFonts w:cs="Arial"/>
          <w:sz w:val="16"/>
          <w:szCs w:val="16"/>
          <w:rtl/>
        </w:rPr>
        <w:t>כ</w:t>
      </w:r>
      <w:r w:rsidRPr="001D5781">
        <w:rPr>
          <w:rFonts w:cs="Arial" w:hint="cs"/>
          <w:sz w:val="16"/>
          <w:szCs w:val="16"/>
          <w:rtl/>
        </w:rPr>
        <w:t>"כ</w:t>
      </w:r>
      <w:r w:rsidRPr="001D5781">
        <w:rPr>
          <w:rFonts w:cs="Arial"/>
          <w:sz w:val="16"/>
          <w:szCs w:val="16"/>
          <w:rtl/>
        </w:rPr>
        <w:t xml:space="preserve"> התוס</w:t>
      </w:r>
      <w:r w:rsidRPr="001D5781">
        <w:rPr>
          <w:rFonts w:cs="Arial" w:hint="cs"/>
          <w:sz w:val="16"/>
          <w:szCs w:val="16"/>
          <w:rtl/>
        </w:rPr>
        <w:t>' גיטין</w:t>
      </w:r>
      <w:r w:rsidRPr="001D5781">
        <w:rPr>
          <w:rFonts w:cs="Arial"/>
          <w:sz w:val="16"/>
          <w:szCs w:val="16"/>
          <w:rtl/>
        </w:rPr>
        <w:t xml:space="preserve"> ט: ד"ה קורין)</w:t>
      </w:r>
      <w:r>
        <w:rPr>
          <w:rFonts w:cs="Arial" w:hint="cs"/>
          <w:rtl/>
        </w:rPr>
        <w:t>.</w:t>
      </w:r>
      <w:r>
        <w:rPr>
          <w:rFonts w:cs="Arial"/>
          <w:rtl/>
        </w:rPr>
        <w:t xml:space="preserve"> והרי"ף שלא הביא ההיא דרב גמדא סבירא ליה כיון דסתמא דתלמודא קאמר דרבא אמר הלכה כרבן שמעון בן גמליאל</w:t>
      </w:r>
      <w:r>
        <w:rPr>
          <w:rFonts w:cs="Arial" w:hint="cs"/>
          <w:rtl/>
        </w:rPr>
        <w:t>,</w:t>
      </w:r>
      <w:r>
        <w:rPr>
          <w:rFonts w:cs="Arial"/>
          <w:rtl/>
        </w:rPr>
        <w:t xml:space="preserve"> סמכינן עלה יותר מאהא דאמר רב גמדא משמיה דרבא</w:t>
      </w:r>
      <w:r>
        <w:rPr>
          <w:rFonts w:cs="Arial" w:hint="cs"/>
          <w:rtl/>
        </w:rPr>
        <w:t>,</w:t>
      </w:r>
      <w:r>
        <w:rPr>
          <w:rFonts w:cs="Arial"/>
          <w:rtl/>
        </w:rPr>
        <w:t xml:space="preserve"> הילכך הלכה כרבן שמעון בן גמליאל בין בקריאה בין בחתימה</w:t>
      </w:r>
      <w:r>
        <w:rPr>
          <w:rFonts w:cs="Arial" w:hint="cs"/>
          <w:rtl/>
        </w:rPr>
        <w:t>.</w:t>
      </w:r>
      <w:r>
        <w:rPr>
          <w:rFonts w:cs="Arial"/>
          <w:rtl/>
        </w:rPr>
        <w:t xml:space="preserve"> ולפי דבריו צריך לפרש הא דקאמר תנא קמא קורין לפניהם וחותמין אפילו באחד קורא לפניו סגי דכיון דמילתא דעבידא לאיגלויי הוא מירתת</w:t>
      </w:r>
      <w:r>
        <w:rPr>
          <w:rFonts w:cs="Arial" w:hint="cs"/>
          <w:rtl/>
        </w:rPr>
        <w:t>,</w:t>
      </w:r>
      <w:r>
        <w:rPr>
          <w:rFonts w:cs="Arial"/>
          <w:rtl/>
        </w:rPr>
        <w:t xml:space="preserve"> דאי בשנים קורין</w:t>
      </w:r>
      <w:r>
        <w:rPr>
          <w:rFonts w:cs="Arial" w:hint="cs"/>
          <w:rtl/>
        </w:rPr>
        <w:t>,</w:t>
      </w:r>
      <w:r>
        <w:rPr>
          <w:rFonts w:cs="Arial"/>
          <w:rtl/>
        </w:rPr>
        <w:t xml:space="preserve"> בהא לא הוה פסיל רבן שמעון בן גמליאל</w:t>
      </w:r>
      <w:r>
        <w:rPr>
          <w:rFonts w:cs="Arial" w:hint="cs"/>
          <w:rtl/>
        </w:rPr>
        <w:t>,</w:t>
      </w:r>
      <w:r>
        <w:rPr>
          <w:rFonts w:cs="Arial"/>
          <w:rtl/>
        </w:rPr>
        <w:t xml:space="preserve"> דאפילו בשני גוים מסיחים לפי תומם מכשר רב פפא</w:t>
      </w:r>
      <w:r>
        <w:rPr>
          <w:rFonts w:cs="Arial" w:hint="cs"/>
          <w:rtl/>
        </w:rPr>
        <w:t>.</w:t>
      </w:r>
      <w:r>
        <w:rPr>
          <w:rFonts w:cs="Arial"/>
          <w:rtl/>
        </w:rPr>
        <w:t xml:space="preserve"> ורבן שמעון בן גמליאל פסל בחד אם לא רב נחמן וספרי דדייני</w:t>
      </w:r>
      <w:r>
        <w:rPr>
          <w:rFonts w:cs="Arial" w:hint="cs"/>
          <w:rtl/>
        </w:rPr>
        <w:t>,</w:t>
      </w:r>
      <w:r>
        <w:rPr>
          <w:rFonts w:cs="Arial"/>
          <w:rtl/>
        </w:rPr>
        <w:t xml:space="preserve"> ולכך לא הביא הך דרבי אלעזר דהוה קרי קמיה חד וחתים</w:t>
      </w:r>
      <w:r>
        <w:rPr>
          <w:rFonts w:cs="Arial" w:hint="cs"/>
          <w:rtl/>
        </w:rPr>
        <w:t>.</w:t>
      </w:r>
    </w:p>
  </w:footnote>
  <w:footnote w:id="1267">
    <w:p w14:paraId="54DE06A6" w14:textId="77777777" w:rsidR="00FA2119" w:rsidRDefault="00FA2119" w:rsidP="00FA2119">
      <w:pPr>
        <w:pStyle w:val="a5"/>
      </w:pPr>
      <w:r>
        <w:rPr>
          <w:rStyle w:val="a7"/>
        </w:rPr>
        <w:footnoteRef/>
      </w:r>
      <w:r>
        <w:rPr>
          <w:rtl/>
        </w:rPr>
        <w:t xml:space="preserve"> </w:t>
      </w:r>
      <w:r>
        <w:rPr>
          <w:rFonts w:cs="Arial"/>
          <w:rtl/>
        </w:rPr>
        <w:t>א</w:t>
      </w:r>
      <w:r>
        <w:rPr>
          <w:rFonts w:cs="Arial" w:hint="cs"/>
          <w:rtl/>
        </w:rPr>
        <w:t>א"כ הוא</w:t>
      </w:r>
      <w:r>
        <w:rPr>
          <w:rFonts w:cs="Arial"/>
          <w:rtl/>
        </w:rPr>
        <w:t xml:space="preserve"> ראש ב"ד וסופר שלו כההיא דר"נ שהיה דיין מומחה וסופר ב"ד קורא לפניו וחותם</w:t>
      </w:r>
      <w:r>
        <w:rPr>
          <w:rFonts w:cs="Arial" w:hint="cs"/>
          <w:rtl/>
        </w:rPr>
        <w:t>, טור (כאן באהע"ז).</w:t>
      </w:r>
    </w:p>
  </w:footnote>
  <w:footnote w:id="1268">
    <w:p w14:paraId="64B1F627" w14:textId="77777777" w:rsidR="00FA2119" w:rsidRDefault="00FA2119" w:rsidP="00FA2119">
      <w:pPr>
        <w:pStyle w:val="a5"/>
      </w:pPr>
      <w:r>
        <w:rPr>
          <w:rStyle w:val="a7"/>
        </w:rPr>
        <w:footnoteRef/>
      </w:r>
      <w:r>
        <w:rPr>
          <w:rtl/>
        </w:rPr>
        <w:t xml:space="preserve"> </w:t>
      </w:r>
      <w:r>
        <w:rPr>
          <w:rFonts w:hint="cs"/>
          <w:rtl/>
        </w:rPr>
        <w:t>שהרי הרי"ף פסק כרבא, שפסק כרשב"ג שאין קוראין לעד בשאר שטרות, וגם הרמב"ם (פכ"ד ממלוה) לא הזכיר דין זה כלל לגבי שטרות.</w:t>
      </w:r>
    </w:p>
  </w:footnote>
  <w:footnote w:id="1269">
    <w:p w14:paraId="1A3D2CEF" w14:textId="3AA8129C" w:rsidR="00FA2119" w:rsidRDefault="00FA2119" w:rsidP="00FA2119">
      <w:pPr>
        <w:pStyle w:val="a5"/>
      </w:pPr>
      <w:r>
        <w:rPr>
          <w:rStyle w:val="a7"/>
        </w:rPr>
        <w:footnoteRef/>
      </w:r>
      <w:r>
        <w:rPr>
          <w:rtl/>
        </w:rPr>
        <w:t xml:space="preserve"> </w:t>
      </w:r>
      <w:r w:rsidRPr="00475705">
        <w:rPr>
          <w:rFonts w:cs="Arial"/>
          <w:rtl/>
        </w:rPr>
        <w:t xml:space="preserve">מדברי הרמב"ם </w:t>
      </w:r>
      <w:r>
        <w:rPr>
          <w:rFonts w:cs="Arial" w:hint="cs"/>
          <w:rtl/>
        </w:rPr>
        <w:t xml:space="preserve">(פ"א מגירושין </w:t>
      </w:r>
      <w:r w:rsidRPr="00475705">
        <w:rPr>
          <w:rFonts w:cs="Arial"/>
          <w:rtl/>
        </w:rPr>
        <w:t xml:space="preserve">הכ"ג) אין הכרע </w:t>
      </w:r>
      <w:r>
        <w:rPr>
          <w:rFonts w:cs="Arial" w:hint="cs"/>
          <w:sz w:val="16"/>
          <w:szCs w:val="16"/>
          <w:rtl/>
        </w:rPr>
        <w:t>{אם מיירי בשנים או באחד}</w:t>
      </w:r>
      <w:r>
        <w:rPr>
          <w:rFonts w:cs="Arial" w:hint="cs"/>
          <w:rtl/>
        </w:rPr>
        <w:t xml:space="preserve"> </w:t>
      </w:r>
      <w:r w:rsidRPr="00475705">
        <w:rPr>
          <w:rFonts w:cs="Arial"/>
          <w:rtl/>
        </w:rPr>
        <w:t>שהוא תפס לשון הברייתא כמנהגו</w:t>
      </w:r>
      <w:r>
        <w:rPr>
          <w:rFonts w:cs="Arial" w:hint="cs"/>
          <w:rtl/>
        </w:rPr>
        <w:t>, ב"י.</w:t>
      </w:r>
      <w:r>
        <w:rPr>
          <w:rFonts w:hint="cs"/>
          <w:rtl/>
        </w:rPr>
        <w:t xml:space="preserve"> ומשמע לכאורה דלרי"ף ולרמב"ם סגי באחד שיקרא לפניו. וכ"כ</w:t>
      </w:r>
      <w:r w:rsidRPr="006B188A">
        <w:rPr>
          <w:rtl/>
        </w:rPr>
        <w:t xml:space="preserve"> </w:t>
      </w:r>
      <w:r w:rsidRPr="006B188A">
        <w:rPr>
          <w:rFonts w:cs="Arial"/>
          <w:rtl/>
        </w:rPr>
        <w:t>בחדושי רש"ך</w:t>
      </w:r>
      <w:r>
        <w:rPr>
          <w:rFonts w:cs="Arial" w:hint="cs"/>
          <w:rtl/>
        </w:rPr>
        <w:t xml:space="preserve">. וכן משמע שהבין הטור מלשון הרמב"ם. אך הב"ש כתב שהב"י בחו"מ (סי' מה) כתב שהרמב"ם פירש שהסוגיא מיירי בשנים </w:t>
      </w:r>
      <w:r w:rsidR="00A42812">
        <w:rPr>
          <w:rFonts w:cs="Arial"/>
          <w:rtl/>
        </w:rPr>
        <w:t>-</w:t>
      </w:r>
      <w:r>
        <w:rPr>
          <w:rFonts w:cs="Arial" w:hint="cs"/>
          <w:rtl/>
        </w:rPr>
        <w:t xml:space="preserve"> ולא ידעתי מהיכן הוציא כן. אלא הסוגיא מתפרשת ע"פ הרמב"ם </w:t>
      </w:r>
      <w:r w:rsidRPr="006B188A">
        <w:rPr>
          <w:rFonts w:cs="Arial" w:hint="cs"/>
          <w:u w:val="single"/>
          <w:rtl/>
        </w:rPr>
        <w:t>גם</w:t>
      </w:r>
      <w:r>
        <w:rPr>
          <w:rFonts w:cs="Arial" w:hint="cs"/>
          <w:rtl/>
        </w:rPr>
        <w:t xml:space="preserve"> בשנים, היינו שאין הבדל בין אחד לשנים. </w:t>
      </w:r>
    </w:p>
  </w:footnote>
  <w:footnote w:id="1270">
    <w:p w14:paraId="37F17C7B" w14:textId="77777777" w:rsidR="00FA2119" w:rsidRDefault="00FA2119" w:rsidP="00FA2119">
      <w:pPr>
        <w:pStyle w:val="a5"/>
        <w:rPr>
          <w:rFonts w:cs="Arial"/>
          <w:rtl/>
        </w:rPr>
      </w:pPr>
      <w:r>
        <w:rPr>
          <w:rStyle w:val="a7"/>
        </w:rPr>
        <w:footnoteRef/>
      </w:r>
      <w:r>
        <w:rPr>
          <w:rtl/>
        </w:rPr>
        <w:t xml:space="preserve"> </w:t>
      </w:r>
      <w:r w:rsidRPr="005F2BBF">
        <w:rPr>
          <w:rFonts w:cs="Arial" w:hint="cs"/>
          <w:u w:val="single"/>
          <w:rtl/>
        </w:rPr>
        <w:t>ונחלקו הפוסקים בכוונת דברי הרמב"ם</w:t>
      </w:r>
      <w:r>
        <w:rPr>
          <w:rFonts w:cs="Arial" w:hint="cs"/>
          <w:rtl/>
        </w:rPr>
        <w:t>:</w:t>
      </w:r>
    </w:p>
    <w:p w14:paraId="4641423D" w14:textId="77777777" w:rsidR="00FA2119" w:rsidRPr="005F2BBF" w:rsidRDefault="00FA2119" w:rsidP="00FA2119">
      <w:pPr>
        <w:pStyle w:val="a5"/>
        <w:numPr>
          <w:ilvl w:val="0"/>
          <w:numId w:val="85"/>
        </w:numPr>
      </w:pPr>
      <w:r>
        <w:rPr>
          <w:rFonts w:cs="Arial" w:hint="cs"/>
          <w:rtl/>
        </w:rPr>
        <w:t>הה"מ</w:t>
      </w:r>
      <w:r>
        <w:rPr>
          <w:rFonts w:cs="Arial" w:hint="cs"/>
          <w:sz w:val="16"/>
          <w:szCs w:val="16"/>
          <w:rtl/>
        </w:rPr>
        <w:t xml:space="preserve"> (שם)</w:t>
      </w:r>
      <w:r>
        <w:rPr>
          <w:rFonts w:cs="Arial" w:hint="cs"/>
          <w:rtl/>
        </w:rPr>
        <w:t xml:space="preserve">- </w:t>
      </w:r>
      <w:r w:rsidRPr="005F2BBF">
        <w:rPr>
          <w:rFonts w:cs="Arial"/>
          <w:rtl/>
        </w:rPr>
        <w:t xml:space="preserve">כתב הרב והוא שיכירו ל' הגט פירוש באי זה לשון נכתב אם עברית או יונית או שאר לשונות </w:t>
      </w:r>
      <w:r w:rsidRPr="008C36E1">
        <w:rPr>
          <w:rFonts w:cs="Arial" w:hint="cs"/>
          <w:sz w:val="16"/>
          <w:szCs w:val="16"/>
          <w:rtl/>
        </w:rPr>
        <w:t>(</w:t>
      </w:r>
      <w:r w:rsidRPr="008C36E1">
        <w:rPr>
          <w:rFonts w:cs="Arial"/>
          <w:sz w:val="16"/>
          <w:szCs w:val="16"/>
          <w:rtl/>
        </w:rPr>
        <w:t>ואין לומר שיבינו לשון הגט שהרי אמרו עדים שאין יודעים לקרות קורא לפניהם וחותמין ואם אין יודעים לקרות איך יבינו אם אחרים קוראים לפניהם. ועוד שקולא הוא שהקילו בגיטי נשים מה שאין כן בשאר שטרות דלא בעינן עדים שידעו לקרותו ואם נאמר שצריכין להבין לשון הגט ומשמעות הגט חומרא הוא. אלא ודאי אע</w:t>
      </w:r>
      <w:r>
        <w:rPr>
          <w:rFonts w:cs="Arial" w:hint="cs"/>
          <w:sz w:val="16"/>
          <w:szCs w:val="16"/>
          <w:rtl/>
        </w:rPr>
        <w:t>"</w:t>
      </w:r>
      <w:r w:rsidRPr="008C36E1">
        <w:rPr>
          <w:rFonts w:cs="Arial"/>
          <w:sz w:val="16"/>
          <w:szCs w:val="16"/>
          <w:rtl/>
        </w:rPr>
        <w:t>ג דאין יודעין לקרות ולהבין לשון הגט קוראין לפניהם להודיע שזה השטר גט הוא ודבר כורת בין איש לאשתו וחותמין</w:t>
      </w:r>
      <w:r>
        <w:rPr>
          <w:rFonts w:cs="Arial" w:hint="cs"/>
          <w:sz w:val="16"/>
          <w:szCs w:val="16"/>
          <w:rtl/>
        </w:rPr>
        <w:t>)</w:t>
      </w:r>
      <w:r>
        <w:rPr>
          <w:rFonts w:cs="Arial" w:hint="cs"/>
          <w:rtl/>
        </w:rPr>
        <w:t>.</w:t>
      </w:r>
    </w:p>
    <w:p w14:paraId="509709E8" w14:textId="77777777" w:rsidR="00FA2119" w:rsidRDefault="00FA2119" w:rsidP="00FA2119">
      <w:pPr>
        <w:pStyle w:val="a5"/>
        <w:numPr>
          <w:ilvl w:val="0"/>
          <w:numId w:val="85"/>
        </w:numPr>
      </w:pPr>
      <w:r>
        <w:rPr>
          <w:rFonts w:cs="Arial" w:hint="cs"/>
          <w:rtl/>
        </w:rPr>
        <w:t xml:space="preserve">ב"י- </w:t>
      </w:r>
      <w:r w:rsidRPr="00452BF8">
        <w:rPr>
          <w:rFonts w:cs="Arial"/>
          <w:rtl/>
        </w:rPr>
        <w:t xml:space="preserve">אפשר שאם תרגמו הקורא לפניהם שפיר דמי אלא דהרמב"ם לא נחית למיתני אלא בשקראו בלשון שהוא כתוב. ויותר נראה לומר דבדוקא נקט הרמב"ם שיכירו לשון הגט דאז לא הוי אלא כעין גילוי מילתא בעלמא אבל אם אינם מכירים לשון הגט הוה ליה כעד מפי עד </w:t>
      </w:r>
      <w:r w:rsidRPr="008C36E1">
        <w:rPr>
          <w:rFonts w:cs="Arial" w:hint="cs"/>
          <w:sz w:val="16"/>
          <w:szCs w:val="16"/>
          <w:rtl/>
        </w:rPr>
        <w:t>(</w:t>
      </w:r>
      <w:r w:rsidRPr="008C36E1">
        <w:rPr>
          <w:rFonts w:cs="Arial"/>
          <w:sz w:val="16"/>
          <w:szCs w:val="16"/>
          <w:rtl/>
        </w:rPr>
        <w:t>וכן נראה שפירש דבריו רבינו</w:t>
      </w:r>
      <w:r w:rsidRPr="008C36E1">
        <w:rPr>
          <w:rFonts w:cs="Arial" w:hint="cs"/>
          <w:sz w:val="12"/>
          <w:szCs w:val="12"/>
          <w:rtl/>
        </w:rPr>
        <w:t xml:space="preserve"> {הטור}</w:t>
      </w:r>
      <w:r w:rsidRPr="008C36E1">
        <w:rPr>
          <w:rFonts w:cs="Arial" w:hint="cs"/>
          <w:sz w:val="16"/>
          <w:szCs w:val="16"/>
          <w:rtl/>
        </w:rPr>
        <w:t>,</w:t>
      </w:r>
      <w:r w:rsidRPr="008C36E1">
        <w:rPr>
          <w:rFonts w:cs="Arial"/>
          <w:sz w:val="16"/>
          <w:szCs w:val="16"/>
          <w:rtl/>
        </w:rPr>
        <w:t xml:space="preserve"> וגם כן נראה מדברי הרשב"א שכתב בפ</w:t>
      </w:r>
      <w:r w:rsidRPr="008C36E1">
        <w:rPr>
          <w:rFonts w:cs="Arial" w:hint="cs"/>
          <w:sz w:val="16"/>
          <w:szCs w:val="16"/>
          <w:rtl/>
        </w:rPr>
        <w:t>"</w:t>
      </w:r>
      <w:r w:rsidRPr="008C36E1">
        <w:rPr>
          <w:rFonts w:cs="Arial"/>
          <w:sz w:val="16"/>
          <w:szCs w:val="16"/>
          <w:rtl/>
        </w:rPr>
        <w:t>ב דגיטין (שם ד"ה הא) דברי הרמב"ם ומשמע דסבירא ליה דבדוקא קאמר דבעינן שיכירו לשון הגט</w:t>
      </w:r>
      <w:r>
        <w:rPr>
          <w:rFonts w:cs="Arial" w:hint="cs"/>
          <w:sz w:val="16"/>
          <w:szCs w:val="16"/>
          <w:rtl/>
        </w:rPr>
        <w:t>)</w:t>
      </w:r>
      <w:r>
        <w:rPr>
          <w:rFonts w:cs="Arial" w:hint="cs"/>
          <w:rtl/>
        </w:rPr>
        <w:t>.</w:t>
      </w:r>
    </w:p>
    <w:p w14:paraId="4D63EAC3" w14:textId="218CEC7A" w:rsidR="00FA2119" w:rsidRDefault="00FA2119" w:rsidP="00FA2119">
      <w:pPr>
        <w:pStyle w:val="a5"/>
        <w:numPr>
          <w:ilvl w:val="0"/>
          <w:numId w:val="85"/>
        </w:numPr>
      </w:pPr>
      <w:bookmarkStart w:id="16" w:name="_Hlk86920934"/>
      <w:r>
        <w:rPr>
          <w:rFonts w:hint="cs"/>
          <w:rtl/>
        </w:rPr>
        <w:t>הג"א</w:t>
      </w:r>
      <w:r>
        <w:rPr>
          <w:rFonts w:hint="cs"/>
          <w:sz w:val="16"/>
          <w:szCs w:val="16"/>
          <w:rtl/>
        </w:rPr>
        <w:t xml:space="preserve"> (פ"ב סי"ב הגהה א)</w:t>
      </w:r>
      <w:r>
        <w:rPr>
          <w:rFonts w:hint="cs"/>
          <w:rtl/>
        </w:rPr>
        <w:t xml:space="preserve"> בשם או"ז- </w:t>
      </w:r>
      <w:r w:rsidRPr="00BF7E20">
        <w:rPr>
          <w:rFonts w:cs="Arial"/>
          <w:rtl/>
        </w:rPr>
        <w:t>והוא שיודעין לשון הקודש שמבינין מה שקורין לפניהם שאם לא כן מה מועיל מה שקורין לפניהם וכן כתב הרמב"ם</w:t>
      </w:r>
      <w:r>
        <w:rPr>
          <w:rFonts w:cs="Arial" w:hint="cs"/>
          <w:rtl/>
        </w:rPr>
        <w:t>.</w:t>
      </w:r>
      <w:r>
        <w:rPr>
          <w:rFonts w:hint="cs"/>
          <w:sz w:val="14"/>
          <w:szCs w:val="14"/>
          <w:rtl/>
        </w:rPr>
        <w:t xml:space="preserve"> </w:t>
      </w:r>
      <w:bookmarkEnd w:id="16"/>
      <w:r>
        <w:rPr>
          <w:rFonts w:hint="cs"/>
          <w:sz w:val="16"/>
          <w:szCs w:val="16"/>
          <w:rtl/>
        </w:rPr>
        <w:t xml:space="preserve">(והביאו הב"י בחו"מ [סי' מה ס"ב] וכתב </w:t>
      </w:r>
      <w:r w:rsidR="000A0F5A">
        <w:rPr>
          <w:rFonts w:hint="cs"/>
          <w:sz w:val="16"/>
          <w:szCs w:val="16"/>
          <w:rtl/>
        </w:rPr>
        <w:t>וז</w:t>
      </w:r>
      <w:r w:rsidR="000A0F5A">
        <w:rPr>
          <w:sz w:val="16"/>
          <w:szCs w:val="16"/>
          <w:rtl/>
        </w:rPr>
        <w:t>"</w:t>
      </w:r>
      <w:r w:rsidR="000A0F5A">
        <w:rPr>
          <w:rFonts w:hint="cs"/>
          <w:sz w:val="16"/>
          <w:szCs w:val="16"/>
          <w:rtl/>
        </w:rPr>
        <w:t>ל:</w:t>
      </w:r>
      <w:r>
        <w:rPr>
          <w:rFonts w:hint="cs"/>
          <w:sz w:val="16"/>
          <w:szCs w:val="16"/>
          <w:rtl/>
        </w:rPr>
        <w:t xml:space="preserve"> </w:t>
      </w:r>
      <w:r w:rsidRPr="00BF7E20">
        <w:rPr>
          <w:rFonts w:cs="Arial"/>
          <w:sz w:val="16"/>
          <w:szCs w:val="16"/>
          <w:rtl/>
        </w:rPr>
        <w:t>ונראה דהוא הדין אם תרגמו להם השטר בלשון שהם מבינים ולא נתמעט אלא שאם קראוהו להם בלשון הקודש והם אינם מבינים דלא מהני וכן כתב רבינו באבן העזר סימן ק"ל (ל.) על דברי הרמב"ם (הל' גירושין שם)</w:t>
      </w:r>
      <w:r>
        <w:rPr>
          <w:rFonts w:cs="Arial" w:hint="cs"/>
          <w:sz w:val="16"/>
          <w:szCs w:val="16"/>
          <w:rtl/>
        </w:rPr>
        <w:t>. עכ"ל. ודבריו שם לכאורה סותרים למה שכתב כאן)</w:t>
      </w:r>
      <w:r w:rsidRPr="00BF7E20">
        <w:rPr>
          <w:rFonts w:cs="Arial"/>
          <w:sz w:val="16"/>
          <w:szCs w:val="16"/>
          <w:rtl/>
        </w:rPr>
        <w:t xml:space="preserve"> </w:t>
      </w:r>
      <w:r>
        <w:rPr>
          <w:rFonts w:hint="cs"/>
          <w:sz w:val="16"/>
          <w:szCs w:val="16"/>
          <w:rtl/>
        </w:rPr>
        <w:t xml:space="preserve"> </w:t>
      </w:r>
    </w:p>
  </w:footnote>
  <w:footnote w:id="1271">
    <w:p w14:paraId="0D3220BF" w14:textId="77777777" w:rsidR="00FA2119" w:rsidRPr="00DE6A0E" w:rsidRDefault="00FA2119" w:rsidP="00FA2119">
      <w:pPr>
        <w:pStyle w:val="a5"/>
        <w:rPr>
          <w:color w:val="000000" w:themeColor="text1"/>
          <w:rtl/>
        </w:rPr>
      </w:pPr>
      <w:r w:rsidRPr="00DE6A0E">
        <w:rPr>
          <w:rStyle w:val="a7"/>
        </w:rPr>
        <w:footnoteRef/>
      </w:r>
      <w:r w:rsidRPr="00DE6A0E">
        <w:rPr>
          <w:rtl/>
        </w:rPr>
        <w:t xml:space="preserve"> </w:t>
      </w:r>
      <w:r w:rsidRPr="00DE6A0E">
        <w:rPr>
          <w:rFonts w:cs="Arial" w:hint="cs"/>
          <w:rtl/>
        </w:rPr>
        <w:t>ו</w:t>
      </w:r>
      <w:r w:rsidRPr="00DE6A0E">
        <w:rPr>
          <w:rFonts w:cs="Arial"/>
          <w:rtl/>
        </w:rPr>
        <w:t>אפשר דיליף לה מדגרסינן בפ</w:t>
      </w:r>
      <w:r w:rsidRPr="00DE6A0E">
        <w:rPr>
          <w:rFonts w:cs="Arial" w:hint="cs"/>
          <w:rtl/>
        </w:rPr>
        <w:t>"</w:t>
      </w:r>
      <w:r w:rsidRPr="00DE6A0E">
        <w:rPr>
          <w:rFonts w:cs="Arial"/>
          <w:rtl/>
        </w:rPr>
        <w:t>ב דגיטין (יט:) גמרא בכל כותבין בדיו וכו' אמר אמימר האי שטרא פרסאה דחתימי עליה סהדי ישראל מגבינן ביה ממשעבדי והא לא ידעי למקרייה בדידעי</w:t>
      </w:r>
      <w:r w:rsidRPr="00DE6A0E">
        <w:rPr>
          <w:rFonts w:cs="Arial" w:hint="cs"/>
          <w:rtl/>
        </w:rPr>
        <w:t>.</w:t>
      </w:r>
      <w:r w:rsidRPr="00DE6A0E">
        <w:rPr>
          <w:rFonts w:cs="Arial"/>
          <w:rtl/>
        </w:rPr>
        <w:t xml:space="preserve"> ואם איתא</w:t>
      </w:r>
      <w:r w:rsidRPr="00DE6A0E">
        <w:rPr>
          <w:rFonts w:cs="Arial" w:hint="cs"/>
          <w:rtl/>
        </w:rPr>
        <w:t>,</w:t>
      </w:r>
      <w:r w:rsidRPr="00DE6A0E">
        <w:rPr>
          <w:rFonts w:cs="Arial"/>
          <w:rtl/>
        </w:rPr>
        <w:t xml:space="preserve"> לוקמא בדלא ידעי וכגון שקראו אחר לפניהם וקמ</w:t>
      </w:r>
      <w:r w:rsidRPr="00DE6A0E">
        <w:rPr>
          <w:rFonts w:cs="Arial" w:hint="cs"/>
          <w:rtl/>
        </w:rPr>
        <w:t>"</w:t>
      </w:r>
      <w:r w:rsidRPr="00DE6A0E">
        <w:rPr>
          <w:rFonts w:cs="Arial"/>
          <w:rtl/>
        </w:rPr>
        <w:t>ל שסומכין עליו אע</w:t>
      </w:r>
      <w:r w:rsidRPr="00DE6A0E">
        <w:rPr>
          <w:rFonts w:cs="Arial" w:hint="cs"/>
          <w:rtl/>
        </w:rPr>
        <w:t>"</w:t>
      </w:r>
      <w:r w:rsidRPr="00DE6A0E">
        <w:rPr>
          <w:rFonts w:cs="Arial"/>
          <w:rtl/>
        </w:rPr>
        <w:t>פ שאינם מכירים הלשון</w:t>
      </w:r>
      <w:r w:rsidRPr="00DE6A0E">
        <w:rPr>
          <w:rFonts w:cs="Arial" w:hint="cs"/>
          <w:rtl/>
        </w:rPr>
        <w:t xml:space="preserve"> </w:t>
      </w:r>
      <w:r w:rsidRPr="00DE6A0E">
        <w:rPr>
          <w:rFonts w:cs="Arial" w:hint="cs"/>
          <w:sz w:val="16"/>
          <w:szCs w:val="16"/>
          <w:rtl/>
        </w:rPr>
        <w:t>{</w:t>
      </w:r>
      <w:r w:rsidRPr="00DE6A0E">
        <w:rPr>
          <w:rFonts w:cs="Arial"/>
          <w:sz w:val="16"/>
          <w:szCs w:val="16"/>
          <w:rtl/>
        </w:rPr>
        <w:t>אלא ודאי צריך שיכירו הלשון</w:t>
      </w:r>
      <w:r w:rsidRPr="00DE6A0E">
        <w:rPr>
          <w:rFonts w:cs="Arial" w:hint="cs"/>
          <w:sz w:val="16"/>
          <w:szCs w:val="16"/>
          <w:rtl/>
        </w:rPr>
        <w:t>, כס"מ [שם]}</w:t>
      </w:r>
      <w:r w:rsidRPr="00DE6A0E">
        <w:rPr>
          <w:rFonts w:cs="Arial"/>
          <w:rtl/>
        </w:rPr>
        <w:t>. וא</w:t>
      </w:r>
      <w:r w:rsidRPr="00DE6A0E">
        <w:rPr>
          <w:rFonts w:cs="Arial" w:hint="cs"/>
          <w:rtl/>
        </w:rPr>
        <w:t>ח"</w:t>
      </w:r>
      <w:r w:rsidRPr="00DE6A0E">
        <w:rPr>
          <w:rFonts w:cs="Arial"/>
          <w:rtl/>
        </w:rPr>
        <w:t>כ מצאתי דבהדיא איתא להא בירושלמי (פ"ט ה"ח</w:t>
      </w:r>
      <w:r w:rsidRPr="00DE6A0E">
        <w:rPr>
          <w:rFonts w:cs="Arial" w:hint="cs"/>
          <w:rtl/>
        </w:rPr>
        <w:t>)</w:t>
      </w:r>
      <w:r w:rsidRPr="00DE6A0E">
        <w:rPr>
          <w:rFonts w:cs="Arial"/>
          <w:rtl/>
        </w:rPr>
        <w:t xml:space="preserve"> וכתבו הרשב"א </w:t>
      </w:r>
      <w:r w:rsidRPr="00DE6A0E">
        <w:rPr>
          <w:rFonts w:cs="Arial" w:hint="cs"/>
          <w:rtl/>
        </w:rPr>
        <w:t>(</w:t>
      </w:r>
      <w:r w:rsidRPr="00DE6A0E">
        <w:rPr>
          <w:rFonts w:cs="Arial"/>
          <w:rtl/>
        </w:rPr>
        <w:t>בהמגרש פז. ד"ה עד) גבי עד אחד עברי ועד אחד יוני</w:t>
      </w:r>
      <w:r w:rsidRPr="00DE6A0E">
        <w:rPr>
          <w:rFonts w:cs="Arial" w:hint="cs"/>
          <w:rtl/>
        </w:rPr>
        <w:t xml:space="preserve">- </w:t>
      </w:r>
      <w:r w:rsidRPr="00DE6A0E">
        <w:rPr>
          <w:rFonts w:cs="Arial"/>
          <w:rtl/>
        </w:rPr>
        <w:t>אמר רב</w:t>
      </w:r>
      <w:r w:rsidRPr="00DE6A0E">
        <w:rPr>
          <w:rFonts w:cs="Arial" w:hint="cs"/>
          <w:rtl/>
        </w:rPr>
        <w:t>:</w:t>
      </w:r>
      <w:r w:rsidRPr="00DE6A0E">
        <w:rPr>
          <w:rFonts w:cs="Arial"/>
          <w:rtl/>
        </w:rPr>
        <w:t xml:space="preserve"> הדיינים חותמים אע</w:t>
      </w:r>
      <w:r w:rsidRPr="00DE6A0E">
        <w:rPr>
          <w:rFonts w:cs="Arial" w:hint="cs"/>
          <w:rtl/>
        </w:rPr>
        <w:t>"</w:t>
      </w:r>
      <w:r w:rsidRPr="00DE6A0E">
        <w:rPr>
          <w:rFonts w:cs="Arial"/>
          <w:rtl/>
        </w:rPr>
        <w:t>פ שאין יודעין לקרות ואין העדים חותמין אלא אם כן יודעין לקרות</w:t>
      </w:r>
      <w:r w:rsidRPr="00DE6A0E">
        <w:rPr>
          <w:rFonts w:cs="Arial" w:hint="cs"/>
          <w:rtl/>
        </w:rPr>
        <w:t>.</w:t>
      </w:r>
      <w:r w:rsidRPr="00DE6A0E">
        <w:rPr>
          <w:rFonts w:cs="Arial"/>
          <w:rtl/>
        </w:rPr>
        <w:t xml:space="preserve"> מתניתא פליגא על רב גט שכתבו עברית ועדיו יונית וכו'</w:t>
      </w:r>
      <w:r w:rsidRPr="00DE6A0E">
        <w:rPr>
          <w:rFonts w:cs="Arial" w:hint="cs"/>
          <w:rtl/>
        </w:rPr>
        <w:t>.</w:t>
      </w:r>
      <w:r w:rsidRPr="00DE6A0E">
        <w:rPr>
          <w:rFonts w:cs="Arial"/>
          <w:rtl/>
        </w:rPr>
        <w:t xml:space="preserve"> פתר לה בשהיו יודעין לקרות ולא היו יודעין לחתום או שהיו יודעין את שניהם וחתמו באיזה מהם שרצו</w:t>
      </w:r>
      <w:r w:rsidRPr="00DE6A0E">
        <w:rPr>
          <w:rFonts w:cs="Arial" w:hint="cs"/>
          <w:rtl/>
        </w:rPr>
        <w:t>.</w:t>
      </w:r>
      <w:r w:rsidRPr="00DE6A0E">
        <w:rPr>
          <w:rFonts w:cs="Arial"/>
          <w:rtl/>
        </w:rPr>
        <w:t xml:space="preserve"> עכ"ל</w:t>
      </w:r>
      <w:r w:rsidRPr="00DE6A0E">
        <w:rPr>
          <w:rFonts w:cs="Arial" w:hint="cs"/>
          <w:rtl/>
        </w:rPr>
        <w:t>.</w:t>
      </w:r>
      <w:r w:rsidRPr="00DE6A0E">
        <w:rPr>
          <w:rFonts w:cs="Arial"/>
          <w:rtl/>
        </w:rPr>
        <w:t xml:space="preserve"> ועל כרחך הא בקורין לפניהם היא</w:t>
      </w:r>
      <w:r w:rsidRPr="00DE6A0E">
        <w:rPr>
          <w:rFonts w:cs="Arial" w:hint="cs"/>
          <w:rtl/>
        </w:rPr>
        <w:t xml:space="preserve"> {היינו</w:t>
      </w:r>
      <w:r>
        <w:rPr>
          <w:rFonts w:cs="Arial" w:hint="cs"/>
          <w:sz w:val="16"/>
          <w:szCs w:val="16"/>
          <w:rtl/>
        </w:rPr>
        <w:t xml:space="preserve"> שמתרגמים להם מיוונית לעברית}</w:t>
      </w:r>
      <w:r>
        <w:rPr>
          <w:rFonts w:cs="Arial" w:hint="cs"/>
          <w:rtl/>
        </w:rPr>
        <w:t>,</w:t>
      </w:r>
      <w:r>
        <w:rPr>
          <w:rFonts w:cs="Arial"/>
          <w:rtl/>
        </w:rPr>
        <w:t xml:space="preserve"> דאל</w:t>
      </w:r>
      <w:r>
        <w:rPr>
          <w:rFonts w:cs="Arial" w:hint="cs"/>
          <w:rtl/>
        </w:rPr>
        <w:t>"</w:t>
      </w:r>
      <w:r>
        <w:rPr>
          <w:rFonts w:cs="Arial"/>
          <w:rtl/>
        </w:rPr>
        <w:t>כ היכי קתני הדיינין חותמין אע</w:t>
      </w:r>
      <w:r>
        <w:rPr>
          <w:rFonts w:cs="Arial" w:hint="cs"/>
          <w:rtl/>
        </w:rPr>
        <w:t>"</w:t>
      </w:r>
      <w:r>
        <w:rPr>
          <w:rFonts w:cs="Arial"/>
          <w:rtl/>
        </w:rPr>
        <w:t>פ שאין יודעין לקרות</w:t>
      </w:r>
      <w:r>
        <w:rPr>
          <w:rFonts w:cs="Arial" w:hint="cs"/>
          <w:sz w:val="16"/>
          <w:szCs w:val="16"/>
          <w:rtl/>
        </w:rPr>
        <w:t xml:space="preserve"> {שהרי מפורש שאינם יודעים לקרוא יוונית}</w:t>
      </w:r>
      <w:r>
        <w:rPr>
          <w:rFonts w:cs="Arial" w:hint="cs"/>
          <w:rtl/>
        </w:rPr>
        <w:t>,</w:t>
      </w:r>
      <w:r>
        <w:rPr>
          <w:rFonts w:cs="Arial"/>
          <w:rtl/>
        </w:rPr>
        <w:t xml:space="preserve"> ואפילו הכי קתני דאין העדים חותמין אא</w:t>
      </w:r>
      <w:r>
        <w:rPr>
          <w:rFonts w:cs="Arial" w:hint="cs"/>
          <w:rtl/>
        </w:rPr>
        <w:t>"</w:t>
      </w:r>
      <w:r>
        <w:rPr>
          <w:rFonts w:cs="Arial"/>
          <w:rtl/>
        </w:rPr>
        <w:t xml:space="preserve">כ </w:t>
      </w:r>
      <w:r w:rsidRPr="00DE6A0E">
        <w:rPr>
          <w:rFonts w:cs="Arial"/>
          <w:color w:val="000000" w:themeColor="text1"/>
          <w:rtl/>
        </w:rPr>
        <w:t>יודעין לקרות</w:t>
      </w:r>
      <w:r w:rsidRPr="00DE6A0E">
        <w:rPr>
          <w:rFonts w:cs="Arial" w:hint="cs"/>
          <w:color w:val="000000" w:themeColor="text1"/>
          <w:rtl/>
        </w:rPr>
        <w:t xml:space="preserve">, ב"י. </w:t>
      </w:r>
      <w:r w:rsidRPr="00DE6A0E">
        <w:rPr>
          <w:rFonts w:cs="Arial" w:hint="cs"/>
          <w:color w:val="000000" w:themeColor="text1"/>
          <w:sz w:val="16"/>
          <w:szCs w:val="16"/>
          <w:rtl/>
        </w:rPr>
        <w:t>(וצל"ע על הוכחת הב"י מהירושלמי, שהרי אפשר לומר שהדיינים יודעים לדבר/להבין יוונית רק שאינם יודעים לקרוא</w:t>
      </w:r>
      <w:r w:rsidRPr="00DE6A0E">
        <w:rPr>
          <w:rFonts w:hint="cs"/>
          <w:color w:val="000000" w:themeColor="text1"/>
          <w:sz w:val="16"/>
          <w:szCs w:val="16"/>
          <w:rtl/>
        </w:rPr>
        <w:t>, שאז רק מקריאים להם מה כתוב והם מבינים ללא צורך בתרגום. ואז אין הוכחה מדברי הירושלמי. וגם הב"ש (סקכ"ז) דחה את הראיה מהירושלמי כיון דשם מיירי בדייני קיום שלא צריכים להבין את הכתוב בגט אלא רק לקיים את החתימות ע"י הכרת העדים עיי"ש)</w:t>
      </w:r>
      <w:r w:rsidRPr="00DE6A0E">
        <w:rPr>
          <w:rFonts w:hint="cs"/>
          <w:color w:val="000000" w:themeColor="text1"/>
          <w:rtl/>
        </w:rPr>
        <w:t>.</w:t>
      </w:r>
    </w:p>
  </w:footnote>
  <w:footnote w:id="1272">
    <w:p w14:paraId="571EF40F" w14:textId="77777777" w:rsidR="00FA2119" w:rsidRPr="00DE6A0E" w:rsidRDefault="00FA2119" w:rsidP="00FA2119">
      <w:pPr>
        <w:pStyle w:val="a5"/>
        <w:rPr>
          <w:color w:val="000000" w:themeColor="text1"/>
        </w:rPr>
      </w:pPr>
      <w:r w:rsidRPr="00DE6A0E">
        <w:rPr>
          <w:rStyle w:val="a7"/>
          <w:color w:val="000000" w:themeColor="text1"/>
        </w:rPr>
        <w:footnoteRef/>
      </w:r>
      <w:r w:rsidRPr="00DE6A0E">
        <w:rPr>
          <w:color w:val="000000" w:themeColor="text1"/>
          <w:rtl/>
        </w:rPr>
        <w:t xml:space="preserve"> </w:t>
      </w:r>
      <w:r w:rsidRPr="00DE6A0E">
        <w:rPr>
          <w:rFonts w:cs="Arial"/>
          <w:color w:val="000000" w:themeColor="text1"/>
          <w:rtl/>
        </w:rPr>
        <w:t>מסרטין</w:t>
      </w:r>
      <w:r w:rsidRPr="00DE6A0E">
        <w:rPr>
          <w:rFonts w:cs="Arial" w:hint="cs"/>
          <w:color w:val="000000" w:themeColor="text1"/>
          <w:rtl/>
        </w:rPr>
        <w:t>, רש"י.</w:t>
      </w:r>
    </w:p>
  </w:footnote>
  <w:footnote w:id="1273">
    <w:p w14:paraId="5985D7E3" w14:textId="77777777" w:rsidR="00FA2119" w:rsidRDefault="00FA2119" w:rsidP="00FA2119">
      <w:pPr>
        <w:pStyle w:val="a5"/>
        <w:rPr>
          <w:rtl/>
        </w:rPr>
      </w:pPr>
      <w:r>
        <w:rPr>
          <w:rStyle w:val="a7"/>
        </w:rPr>
        <w:footnoteRef/>
      </w:r>
      <w:r>
        <w:rPr>
          <w:rtl/>
        </w:rPr>
        <w:t xml:space="preserve"> </w:t>
      </w:r>
      <w:r w:rsidRPr="00C11D53">
        <w:rPr>
          <w:rFonts w:cs="Arial"/>
          <w:rtl/>
        </w:rPr>
        <w:t>וכיון דכתב גמור הוא הוה ליה כדיו על גבי סיקרא דקאסרינן לעיל</w:t>
      </w:r>
      <w:r>
        <w:rPr>
          <w:rFonts w:hint="cs"/>
          <w:rtl/>
        </w:rPr>
        <w:t>, רש"י.</w:t>
      </w:r>
    </w:p>
  </w:footnote>
  <w:footnote w:id="1274">
    <w:p w14:paraId="7EB803A4" w14:textId="77777777" w:rsidR="00FA2119" w:rsidRDefault="00FA2119" w:rsidP="00FA2119">
      <w:pPr>
        <w:pStyle w:val="a5"/>
      </w:pPr>
      <w:r>
        <w:rPr>
          <w:rStyle w:val="a7"/>
        </w:rPr>
        <w:footnoteRef/>
      </w:r>
      <w:r>
        <w:rPr>
          <w:rtl/>
        </w:rPr>
        <w:t xml:space="preserve"> </w:t>
      </w:r>
      <w:r w:rsidRPr="00C11D53">
        <w:rPr>
          <w:rFonts w:cs="Arial"/>
          <w:rtl/>
        </w:rPr>
        <w:t>לשפשף בחתיכה של אבר על הקלף ומשחירו אינו כתב</w:t>
      </w:r>
      <w:r>
        <w:rPr>
          <w:rFonts w:cs="Arial" w:hint="cs"/>
          <w:rtl/>
        </w:rPr>
        <w:t>, רש"י.</w:t>
      </w:r>
    </w:p>
  </w:footnote>
  <w:footnote w:id="1275">
    <w:p w14:paraId="7470A528" w14:textId="77777777" w:rsidR="00FA2119" w:rsidRDefault="00FA2119" w:rsidP="00FA2119">
      <w:pPr>
        <w:pStyle w:val="a5"/>
      </w:pPr>
      <w:r>
        <w:rPr>
          <w:rStyle w:val="a7"/>
        </w:rPr>
        <w:footnoteRef/>
      </w:r>
      <w:r>
        <w:rPr>
          <w:rtl/>
        </w:rPr>
        <w:t xml:space="preserve"> </w:t>
      </w:r>
      <w:r w:rsidRPr="00C11D53">
        <w:rPr>
          <w:rFonts w:cs="Arial"/>
          <w:rtl/>
        </w:rPr>
        <w:t>מים ששרה בהן שחיקת אבר</w:t>
      </w:r>
      <w:r>
        <w:rPr>
          <w:rFonts w:cs="Arial" w:hint="cs"/>
          <w:rtl/>
        </w:rPr>
        <w:t>, רש"י.</w:t>
      </w:r>
    </w:p>
  </w:footnote>
  <w:footnote w:id="1276">
    <w:p w14:paraId="207CF608" w14:textId="77777777" w:rsidR="00FA2119" w:rsidRDefault="00FA2119" w:rsidP="00FA2119">
      <w:pPr>
        <w:pStyle w:val="a5"/>
      </w:pPr>
      <w:r>
        <w:rPr>
          <w:rStyle w:val="a7"/>
        </w:rPr>
        <w:footnoteRef/>
      </w:r>
      <w:r>
        <w:rPr>
          <w:rtl/>
        </w:rPr>
        <w:t xml:space="preserve"> </w:t>
      </w:r>
      <w:r w:rsidRPr="00C11D53">
        <w:rPr>
          <w:rFonts w:cs="Arial"/>
          <w:rtl/>
        </w:rPr>
        <w:t>מים ששרה בהן עפצים שחוקים</w:t>
      </w:r>
      <w:r>
        <w:rPr>
          <w:rFonts w:cs="Arial" w:hint="cs"/>
          <w:rtl/>
        </w:rPr>
        <w:t>, רש"י.</w:t>
      </w:r>
    </w:p>
  </w:footnote>
  <w:footnote w:id="1277">
    <w:p w14:paraId="74F7462D" w14:textId="77777777" w:rsidR="00FA2119" w:rsidRDefault="00FA2119" w:rsidP="00FA2119">
      <w:pPr>
        <w:pStyle w:val="a5"/>
        <w:rPr>
          <w:rtl/>
        </w:rPr>
      </w:pPr>
      <w:r>
        <w:rPr>
          <w:rStyle w:val="a7"/>
        </w:rPr>
        <w:footnoteRef/>
      </w:r>
      <w:r>
        <w:rPr>
          <w:rtl/>
        </w:rPr>
        <w:t xml:space="preserve"> </w:t>
      </w:r>
      <w:r w:rsidRPr="00A838FA">
        <w:rPr>
          <w:rFonts w:cs="Arial"/>
          <w:rtl/>
        </w:rPr>
        <w:t>הקלפים מעובדים בעפצים רושמין עליהן את העדים במי מילין דלא הוי כתב שהרי מראה הקלפים כמראה הכתב ואינו ניכר הלכך אין מי מילין על גבי מילין ומתנית' בדלא אפיצן</w:t>
      </w:r>
      <w:r>
        <w:rPr>
          <w:rFonts w:hint="cs"/>
          <w:rtl/>
        </w:rPr>
        <w:t>, רש"י.</w:t>
      </w:r>
    </w:p>
  </w:footnote>
  <w:footnote w:id="1278">
    <w:p w14:paraId="4D4C322B" w14:textId="77777777" w:rsidR="00FA2119" w:rsidRDefault="00FA2119" w:rsidP="00FA2119">
      <w:pPr>
        <w:pStyle w:val="a5"/>
        <w:rPr>
          <w:rtl/>
        </w:rPr>
      </w:pPr>
      <w:r>
        <w:rPr>
          <w:rStyle w:val="a7"/>
        </w:rPr>
        <w:footnoteRef/>
      </w:r>
      <w:r>
        <w:rPr>
          <w:rtl/>
        </w:rPr>
        <w:t xml:space="preserve"> </w:t>
      </w:r>
      <w:r w:rsidRPr="00FF3490">
        <w:rPr>
          <w:rFonts w:cs="Arial"/>
          <w:rtl/>
        </w:rPr>
        <w:t>משום עיגונא כדלקמן דלא משכחינ' סהדי בקיאי ובתוך כך יפרש זה לים או ימות ותיזקק ליבם</w:t>
      </w:r>
      <w:r>
        <w:rPr>
          <w:rFonts w:hint="cs"/>
          <w:rtl/>
        </w:rPr>
        <w:t>, רש"י.</w:t>
      </w:r>
    </w:p>
  </w:footnote>
  <w:footnote w:id="1279">
    <w:p w14:paraId="7F2D8557" w14:textId="67179EED" w:rsidR="00FA2119" w:rsidRDefault="00FA2119" w:rsidP="00FA2119">
      <w:pPr>
        <w:pStyle w:val="a5"/>
      </w:pPr>
      <w:r>
        <w:rPr>
          <w:rStyle w:val="a7"/>
        </w:rPr>
        <w:footnoteRef/>
      </w:r>
      <w:r>
        <w:rPr>
          <w:rtl/>
        </w:rPr>
        <w:t xml:space="preserve"> </w:t>
      </w:r>
      <w:r>
        <w:rPr>
          <w:rFonts w:hint="cs"/>
          <w:rtl/>
        </w:rPr>
        <w:t xml:space="preserve">לינן </w:t>
      </w:r>
      <w:r w:rsidR="00A42812">
        <w:rPr>
          <w:rtl/>
        </w:rPr>
        <w:t>-</w:t>
      </w:r>
      <w:r>
        <w:rPr>
          <w:rFonts w:hint="cs"/>
          <w:rtl/>
        </w:rPr>
        <w:t xml:space="preserve"> לית אנן.</w:t>
      </w:r>
    </w:p>
  </w:footnote>
  <w:footnote w:id="1280">
    <w:p w14:paraId="10616620" w14:textId="77777777" w:rsidR="00FA2119" w:rsidRDefault="00FA2119" w:rsidP="00FA2119">
      <w:pPr>
        <w:pStyle w:val="a5"/>
      </w:pPr>
      <w:r>
        <w:rPr>
          <w:rStyle w:val="a7"/>
        </w:rPr>
        <w:footnoteRef/>
      </w:r>
      <w:r>
        <w:rPr>
          <w:rtl/>
        </w:rPr>
        <w:t xml:space="preserve"> </w:t>
      </w:r>
      <w:r w:rsidRPr="004164A6">
        <w:rPr>
          <w:rFonts w:cs="Arial"/>
          <w:rtl/>
        </w:rPr>
        <w:t>ולמה אין אנו אומרים רושמין לפניהם במים או בכל דבר שאינו מתקיים והוא ממלאו בדיו</w:t>
      </w:r>
      <w:r>
        <w:rPr>
          <w:rFonts w:cs="Arial" w:hint="cs"/>
          <w:rtl/>
        </w:rPr>
        <w:t>, קרבן העדה.</w:t>
      </w:r>
    </w:p>
  </w:footnote>
  <w:footnote w:id="1281">
    <w:p w14:paraId="0397957F" w14:textId="77777777" w:rsidR="00FA2119" w:rsidRDefault="00FA2119" w:rsidP="00FA2119">
      <w:pPr>
        <w:pStyle w:val="a5"/>
      </w:pPr>
      <w:r>
        <w:rPr>
          <w:rStyle w:val="a7"/>
        </w:rPr>
        <w:footnoteRef/>
      </w:r>
      <w:r>
        <w:rPr>
          <w:rtl/>
        </w:rPr>
        <w:t xml:space="preserve"> </w:t>
      </w:r>
      <w:r w:rsidRPr="004164A6">
        <w:rPr>
          <w:rFonts w:cs="Arial"/>
          <w:rtl/>
        </w:rPr>
        <w:t>הבעל וערער קודם שנמחק הרושם מדבר שאינו מתקיים ויאמר מעולם לא חתמו העדים בדיו אלא בדבר שאינו מתקיים והאשה מילאה את החתימות בדיו</w:t>
      </w:r>
      <w:r>
        <w:rPr>
          <w:rFonts w:cs="Arial" w:hint="cs"/>
          <w:rtl/>
        </w:rPr>
        <w:t>, קרבן העדה.</w:t>
      </w:r>
    </w:p>
  </w:footnote>
  <w:footnote w:id="1282">
    <w:p w14:paraId="694EE1A1" w14:textId="77777777" w:rsidR="00FA2119" w:rsidRDefault="00FA2119" w:rsidP="00FA2119">
      <w:pPr>
        <w:pStyle w:val="a5"/>
      </w:pPr>
      <w:r>
        <w:rPr>
          <w:rStyle w:val="a7"/>
        </w:rPr>
        <w:footnoteRef/>
      </w:r>
      <w:r>
        <w:rPr>
          <w:rtl/>
        </w:rPr>
        <w:t xml:space="preserve"> </w:t>
      </w:r>
      <w:r w:rsidRPr="004164A6">
        <w:rPr>
          <w:rFonts w:cs="Arial"/>
          <w:rtl/>
        </w:rPr>
        <w:t>שהרי דברים נכרים הם</w:t>
      </w:r>
      <w:r>
        <w:rPr>
          <w:rFonts w:cs="Arial" w:hint="cs"/>
          <w:rtl/>
        </w:rPr>
        <w:t>, קרבן העדה.</w:t>
      </w:r>
    </w:p>
  </w:footnote>
  <w:footnote w:id="1283">
    <w:p w14:paraId="1232DC0C" w14:textId="77777777" w:rsidR="00FA2119" w:rsidRDefault="00FA2119" w:rsidP="00FA2119">
      <w:pPr>
        <w:pStyle w:val="a5"/>
        <w:rPr>
          <w:rtl/>
        </w:rPr>
      </w:pPr>
      <w:r>
        <w:rPr>
          <w:rStyle w:val="a7"/>
        </w:rPr>
        <w:footnoteRef/>
      </w:r>
      <w:r>
        <w:rPr>
          <w:rtl/>
        </w:rPr>
        <w:t xml:space="preserve"> </w:t>
      </w:r>
      <w:r w:rsidRPr="00624B06">
        <w:rPr>
          <w:rFonts w:cs="Arial"/>
          <w:rtl/>
        </w:rPr>
        <w:t>ויש לדקדק דכיון דתניא כוותיה דרב משמע דדוקא מקרעין אבל לא רושמין וכדמשמע מדברי הרי"ף. ואפשר דס"ל</w:t>
      </w:r>
      <w:r>
        <w:rPr>
          <w:rFonts w:cs="Arial" w:hint="cs"/>
          <w:rtl/>
        </w:rPr>
        <w:t xml:space="preserve"> </w:t>
      </w:r>
      <w:r>
        <w:rPr>
          <w:rFonts w:cs="Arial" w:hint="cs"/>
          <w:sz w:val="16"/>
          <w:szCs w:val="16"/>
          <w:rtl/>
        </w:rPr>
        <w:t>{לרא"ש רי"ו רמב"ם וטור}</w:t>
      </w:r>
      <w:r w:rsidRPr="00624B06">
        <w:rPr>
          <w:rFonts w:cs="Arial"/>
          <w:rtl/>
        </w:rPr>
        <w:t xml:space="preserve"> דרב ושמואל מר אמר חדא ומר אמר חדא ולא פליגי</w:t>
      </w:r>
      <w:r w:rsidRPr="00624B06">
        <w:rPr>
          <w:rFonts w:cs="Arial" w:hint="cs"/>
          <w:rtl/>
        </w:rPr>
        <w:t>,</w:t>
      </w:r>
      <w:r w:rsidRPr="00624B06">
        <w:rPr>
          <w:rFonts w:cs="Arial"/>
          <w:rtl/>
        </w:rPr>
        <w:t xml:space="preserve"> והא דמייתי תניא כוותיה לאו לאפוקי מדשמואל מייתי ליה אלא לומר דאשכחן הכי בהדיא בברייתא </w:t>
      </w:r>
      <w:r w:rsidRPr="00E2780C">
        <w:rPr>
          <w:rFonts w:cs="Arial" w:hint="cs"/>
          <w:sz w:val="16"/>
          <w:szCs w:val="16"/>
          <w:rtl/>
        </w:rPr>
        <w:t>(</w:t>
      </w:r>
      <w:r w:rsidRPr="00E2780C">
        <w:rPr>
          <w:rFonts w:cs="Arial"/>
          <w:sz w:val="16"/>
          <w:szCs w:val="16"/>
          <w:rtl/>
        </w:rPr>
        <w:t>אי נמי ס"ל דמקרעין עדיף מרושמין ומשום הכי לא מכשר שמואל אלא ברושמין אבל לא במקרעין</w:t>
      </w:r>
      <w:r w:rsidRPr="00E2780C">
        <w:rPr>
          <w:rFonts w:cs="Arial" w:hint="cs"/>
          <w:sz w:val="16"/>
          <w:szCs w:val="16"/>
          <w:rtl/>
        </w:rPr>
        <w:t>.</w:t>
      </w:r>
      <w:r w:rsidRPr="00E2780C">
        <w:rPr>
          <w:rFonts w:cs="Arial"/>
          <w:sz w:val="16"/>
          <w:szCs w:val="16"/>
          <w:rtl/>
        </w:rPr>
        <w:t xml:space="preserve"> ורב מכשיר במקרעין וכל שכן ברושמין ותניא כוותיה דרב</w:t>
      </w:r>
      <w:r w:rsidRPr="00E2780C">
        <w:rPr>
          <w:rFonts w:cs="Arial" w:hint="cs"/>
          <w:sz w:val="16"/>
          <w:szCs w:val="16"/>
          <w:rtl/>
        </w:rPr>
        <w:t>.</w:t>
      </w:r>
      <w:r w:rsidRPr="00E2780C">
        <w:rPr>
          <w:rFonts w:cs="Arial"/>
          <w:sz w:val="16"/>
          <w:szCs w:val="16"/>
          <w:rtl/>
        </w:rPr>
        <w:t xml:space="preserve"> אלא שלפי זה הוה ליה להרמב"ם לכתוב מקרעין ומדלא כתב אלא רושמין משמע שהוא מפרש דכל שכן מקרעין</w:t>
      </w:r>
      <w:r>
        <w:rPr>
          <w:rFonts w:cs="Arial" w:hint="cs"/>
          <w:sz w:val="16"/>
          <w:szCs w:val="16"/>
          <w:rtl/>
        </w:rPr>
        <w:t>)</w:t>
      </w:r>
      <w:r>
        <w:rPr>
          <w:rFonts w:cs="Arial" w:hint="cs"/>
          <w:rtl/>
        </w:rPr>
        <w:t>, ב"י</w:t>
      </w:r>
      <w:r w:rsidRPr="00624B06">
        <w:rPr>
          <w:rFonts w:cs="Arial" w:hint="cs"/>
          <w:rtl/>
        </w:rPr>
        <w:t>.</w:t>
      </w:r>
    </w:p>
  </w:footnote>
  <w:footnote w:id="1284">
    <w:p w14:paraId="443063D1" w14:textId="77777777" w:rsidR="00FA2119" w:rsidRDefault="00FA2119" w:rsidP="00FA2119">
      <w:pPr>
        <w:pStyle w:val="a5"/>
        <w:rPr>
          <w:rtl/>
        </w:rPr>
      </w:pPr>
      <w:r>
        <w:rPr>
          <w:rStyle w:val="a7"/>
        </w:rPr>
        <w:footnoteRef/>
      </w:r>
      <w:r>
        <w:rPr>
          <w:rtl/>
        </w:rPr>
        <w:t xml:space="preserve"> </w:t>
      </w:r>
      <w:r w:rsidRPr="00624B06">
        <w:rPr>
          <w:rFonts w:cs="Arial"/>
          <w:rtl/>
        </w:rPr>
        <w:t>אפשר דסבירא ליה דלרב מקרעין ולא רושמין</w:t>
      </w:r>
      <w:r w:rsidRPr="00624B06">
        <w:rPr>
          <w:rFonts w:cs="Arial" w:hint="cs"/>
          <w:rtl/>
        </w:rPr>
        <w:t>,</w:t>
      </w:r>
      <w:r w:rsidRPr="00624B06">
        <w:rPr>
          <w:rFonts w:cs="Arial"/>
          <w:rtl/>
        </w:rPr>
        <w:t xml:space="preserve"> ותניא כוותיה</w:t>
      </w:r>
      <w:r w:rsidRPr="00624B06">
        <w:rPr>
          <w:rFonts w:cs="Arial" w:hint="cs"/>
          <w:rtl/>
        </w:rPr>
        <w:t>,</w:t>
      </w:r>
      <w:r w:rsidRPr="00624B06">
        <w:rPr>
          <w:rFonts w:cs="Arial"/>
          <w:rtl/>
        </w:rPr>
        <w:t xml:space="preserve"> והכי קיימא לן. מיהו כיון דאשכחן דרבי אבהו נמי סבירא ליה דרושמין ורב פפא דבתראה איהו סבירא ליה הכי ועביד בה נמי עובדא</w:t>
      </w:r>
      <w:r w:rsidRPr="00624B06">
        <w:rPr>
          <w:rFonts w:cs="Arial" w:hint="cs"/>
          <w:rtl/>
        </w:rPr>
        <w:t>,</w:t>
      </w:r>
      <w:r w:rsidRPr="00624B06">
        <w:rPr>
          <w:rFonts w:cs="Arial"/>
          <w:rtl/>
        </w:rPr>
        <w:t xml:space="preserve"> על כן אית לן לאוקמי ברייתא בלכתחלה דוקא</w:t>
      </w:r>
      <w:r w:rsidRPr="00624B06">
        <w:rPr>
          <w:rFonts w:cs="Arial" w:hint="cs"/>
          <w:rtl/>
        </w:rPr>
        <w:t>.</w:t>
      </w:r>
      <w:r w:rsidRPr="00624B06">
        <w:rPr>
          <w:rFonts w:cs="Arial"/>
          <w:rtl/>
        </w:rPr>
        <w:t xml:space="preserve"> והא דרב פפא אורי ליה ברוק</w:t>
      </w:r>
      <w:r w:rsidRPr="00624B06">
        <w:rPr>
          <w:rFonts w:cs="Arial" w:hint="cs"/>
          <w:rtl/>
        </w:rPr>
        <w:t xml:space="preserve"> -</w:t>
      </w:r>
      <w:r w:rsidRPr="00624B06">
        <w:rPr>
          <w:rFonts w:cs="Arial"/>
          <w:rtl/>
        </w:rPr>
        <w:t xml:space="preserve"> לאו לכתחלה אורי</w:t>
      </w:r>
      <w:r w:rsidRPr="00624B06">
        <w:rPr>
          <w:rFonts w:cs="Arial" w:hint="cs"/>
          <w:rtl/>
        </w:rPr>
        <w:t>,</w:t>
      </w:r>
      <w:r w:rsidRPr="00624B06">
        <w:rPr>
          <w:rFonts w:cs="Arial"/>
          <w:rtl/>
        </w:rPr>
        <w:t xml:space="preserve"> אלא גט בא לפניו שרשמו לעדים ברוק ואורי להכשיר</w:t>
      </w:r>
      <w:r>
        <w:rPr>
          <w:rFonts w:hint="cs"/>
          <w:rtl/>
        </w:rPr>
        <w:t>, ב"י.</w:t>
      </w:r>
    </w:p>
  </w:footnote>
  <w:footnote w:id="1285">
    <w:p w14:paraId="0F723041" w14:textId="77777777" w:rsidR="00FA2119" w:rsidRDefault="00FA2119" w:rsidP="00FA2119">
      <w:pPr>
        <w:pStyle w:val="a5"/>
        <w:rPr>
          <w:rtl/>
        </w:rPr>
      </w:pPr>
      <w:r>
        <w:rPr>
          <w:rStyle w:val="a7"/>
        </w:rPr>
        <w:footnoteRef/>
      </w:r>
      <w:r>
        <w:rPr>
          <w:rtl/>
        </w:rPr>
        <w:t xml:space="preserve"> </w:t>
      </w:r>
      <w:r>
        <w:rPr>
          <w:rFonts w:hint="cs"/>
          <w:rtl/>
        </w:rPr>
        <w:t>וכל שכן שמקרעין להם נייר, ב"י.</w:t>
      </w:r>
    </w:p>
  </w:footnote>
  <w:footnote w:id="1286">
    <w:p w14:paraId="2AB1F399" w14:textId="77777777" w:rsidR="00FA2119" w:rsidRDefault="00FA2119" w:rsidP="00FA2119">
      <w:pPr>
        <w:pStyle w:val="a5"/>
      </w:pPr>
      <w:r>
        <w:rPr>
          <w:rStyle w:val="a7"/>
        </w:rPr>
        <w:footnoteRef/>
      </w:r>
      <w:r>
        <w:rPr>
          <w:rtl/>
        </w:rPr>
        <w:t xml:space="preserve"> </w:t>
      </w:r>
      <w:r>
        <w:rPr>
          <w:rFonts w:cs="Arial"/>
          <w:rtl/>
        </w:rPr>
        <w:t>זה דעת הרשב"א (יט. ד"ה נמצא) אבל הרמב"ם בפרק כ"ד מהלכות מלוה (ה"ו) כתב דפסול נמי הוי ויתבארו דבריהם בחשן משפט סימן מ"ה (ס"ד) בסייעתא דשמיא</w:t>
      </w:r>
      <w:r>
        <w:rPr>
          <w:rFonts w:cs="Arial" w:hint="cs"/>
          <w:rtl/>
        </w:rPr>
        <w:t>, ב"י.</w:t>
      </w:r>
    </w:p>
  </w:footnote>
  <w:footnote w:id="1287">
    <w:p w14:paraId="07DB0116" w14:textId="77777777" w:rsidR="00FA2119" w:rsidRDefault="00FA2119" w:rsidP="00FA2119">
      <w:pPr>
        <w:pStyle w:val="a5"/>
      </w:pPr>
      <w:r>
        <w:rPr>
          <w:rStyle w:val="a7"/>
        </w:rPr>
        <w:footnoteRef/>
      </w:r>
      <w:r>
        <w:rPr>
          <w:rtl/>
        </w:rPr>
        <w:t xml:space="preserve"> </w:t>
      </w:r>
      <w:r>
        <w:rPr>
          <w:rFonts w:cs="Arial"/>
          <w:rtl/>
        </w:rPr>
        <w:t>מפשט הלשון משמע דאינו גט לשום דבר אלא לענין פיסול כהונה לבד, ותימה דהא בפ</w:t>
      </w:r>
      <w:r>
        <w:rPr>
          <w:rFonts w:cs="Arial" w:hint="cs"/>
          <w:rtl/>
        </w:rPr>
        <w:t>"</w:t>
      </w:r>
      <w:r>
        <w:rPr>
          <w:rFonts w:cs="Arial"/>
          <w:rtl/>
        </w:rPr>
        <w:t>ב דגיטין (יט.) משמע דספק מגורשת הויא גבי הא דבעא ריש לקיש מרבי יוחנן עדים שאינם יודעים לחתום מהו שיכתבו להם בסיקרא ויחתמו ואסיק וכי מפני שאנו מדמין נעשה מעשה. ועוד שאם אינו גט כלל מהי תיתי ליה דפסולה לכהונה. ואפשר דהכי קאמר אינו גט להתירה לינשא ומיהו מידי ספיקא לא נפקא הילכך פסולה לכהונה והוא הדין לכל חומרות ספק מגורשת. מיהו הלשון דחוק לפירוש זה</w:t>
      </w:r>
      <w:r>
        <w:rPr>
          <w:rFonts w:cs="Arial" w:hint="cs"/>
          <w:rtl/>
        </w:rPr>
        <w:t>, ב"י.</w:t>
      </w:r>
    </w:p>
  </w:footnote>
  <w:footnote w:id="1288">
    <w:p w14:paraId="77C56DEC" w14:textId="77777777" w:rsidR="00FA2119" w:rsidRDefault="00FA2119" w:rsidP="00FA2119">
      <w:pPr>
        <w:pStyle w:val="a5"/>
      </w:pPr>
      <w:r>
        <w:rPr>
          <w:rStyle w:val="a7"/>
        </w:rPr>
        <w:footnoteRef/>
      </w:r>
      <w:r>
        <w:rPr>
          <w:rtl/>
        </w:rPr>
        <w:t xml:space="preserve"> </w:t>
      </w:r>
      <w:r>
        <w:rPr>
          <w:rFonts w:cs="Arial" w:hint="cs"/>
          <w:rtl/>
        </w:rPr>
        <w:t>כתב ה</w:t>
      </w:r>
      <w:r>
        <w:rPr>
          <w:rFonts w:cs="Arial"/>
          <w:rtl/>
        </w:rPr>
        <w:t xml:space="preserve">מרדכי (סי' שמא) </w:t>
      </w:r>
      <w:r>
        <w:rPr>
          <w:rFonts w:cs="Arial" w:hint="cs"/>
          <w:rtl/>
        </w:rPr>
        <w:t>דמשמע שראבי"ה מפרש כפירוש רש"י.</w:t>
      </w:r>
    </w:p>
  </w:footnote>
  <w:footnote w:id="1289">
    <w:p w14:paraId="6C16FB21" w14:textId="77777777" w:rsidR="00FA2119" w:rsidRDefault="00FA2119" w:rsidP="00FA2119">
      <w:pPr>
        <w:pStyle w:val="a5"/>
      </w:pPr>
      <w:r>
        <w:rPr>
          <w:rStyle w:val="a7"/>
        </w:rPr>
        <w:footnoteRef/>
      </w:r>
      <w:r>
        <w:rPr>
          <w:rtl/>
        </w:rPr>
        <w:t xml:space="preserve"> </w:t>
      </w:r>
      <w:r>
        <w:rPr>
          <w:rFonts w:hint="cs"/>
          <w:rtl/>
        </w:rPr>
        <w:t>והטור כאן (באהע"ז) הביא רק את פירוש הרמ"ה, ואולי חזר בו.</w:t>
      </w:r>
    </w:p>
  </w:footnote>
  <w:footnote w:id="1290">
    <w:p w14:paraId="48AD1FB1" w14:textId="08CE6DE6" w:rsidR="00FA2119" w:rsidRDefault="00FA2119" w:rsidP="00FA2119">
      <w:pPr>
        <w:pStyle w:val="a5"/>
        <w:rPr>
          <w:rtl/>
        </w:rPr>
      </w:pPr>
      <w:r>
        <w:rPr>
          <w:rStyle w:val="a7"/>
        </w:rPr>
        <w:footnoteRef/>
      </w:r>
      <w:r>
        <w:rPr>
          <w:rtl/>
        </w:rPr>
        <w:t xml:space="preserve"> </w:t>
      </w:r>
      <w:r>
        <w:rPr>
          <w:rFonts w:cs="Arial" w:hint="cs"/>
          <w:rtl/>
        </w:rPr>
        <w:t xml:space="preserve">היינו </w:t>
      </w:r>
      <w:r w:rsidRPr="00B51B13">
        <w:rPr>
          <w:rFonts w:cs="Arial"/>
          <w:rtl/>
        </w:rPr>
        <w:t>מסרטין להם סריטות כעין אותיות והם משימין על הסריטות דיו</w:t>
      </w:r>
      <w:r>
        <w:rPr>
          <w:rFonts w:cs="Arial" w:hint="cs"/>
          <w:rtl/>
        </w:rPr>
        <w:t>...</w:t>
      </w:r>
      <w:r w:rsidRPr="00B51B13">
        <w:rPr>
          <w:rFonts w:cs="Arial" w:hint="cs"/>
          <w:rtl/>
        </w:rPr>
        <w:t xml:space="preserve"> </w:t>
      </w:r>
      <w:r>
        <w:rPr>
          <w:rFonts w:cs="Arial" w:hint="cs"/>
          <w:rtl/>
        </w:rPr>
        <w:t xml:space="preserve">- </w:t>
      </w:r>
      <w:r w:rsidRPr="00B51B13">
        <w:rPr>
          <w:rFonts w:cs="Arial"/>
          <w:rtl/>
        </w:rPr>
        <w:t xml:space="preserve">ולא נהירא </w:t>
      </w:r>
      <w:r>
        <w:rPr>
          <w:rFonts w:cs="Arial" w:hint="cs"/>
          <w:sz w:val="16"/>
          <w:szCs w:val="16"/>
          <w:rtl/>
        </w:rPr>
        <w:t>(פירוש רש"י}</w:t>
      </w:r>
      <w:r>
        <w:rPr>
          <w:rFonts w:cs="Arial" w:hint="cs"/>
          <w:rtl/>
        </w:rPr>
        <w:t xml:space="preserve">, </w:t>
      </w:r>
      <w:r w:rsidRPr="00B51B13">
        <w:rPr>
          <w:rFonts w:cs="Arial"/>
          <w:rtl/>
        </w:rPr>
        <w:t>דשריטה הרי היא ככתיבה כדמוכח בגמרא (שם כ.) וכשמשימין על הסריטות דיו הוה ליה כתב ע</w:t>
      </w:r>
      <w:r>
        <w:rPr>
          <w:rFonts w:cs="Arial" w:hint="cs"/>
          <w:rtl/>
        </w:rPr>
        <w:t>"</w:t>
      </w:r>
      <w:r w:rsidRPr="00B51B13">
        <w:rPr>
          <w:rFonts w:cs="Arial"/>
          <w:rtl/>
        </w:rPr>
        <w:t>ג כתב ופסול (יט.)</w:t>
      </w:r>
      <w:r w:rsidRPr="00B51B13">
        <w:rPr>
          <w:rFonts w:cs="Arial" w:hint="cs"/>
          <w:rtl/>
        </w:rPr>
        <w:t>,</w:t>
      </w:r>
      <w:r w:rsidRPr="00B51B13">
        <w:rPr>
          <w:rFonts w:cs="Arial"/>
          <w:rtl/>
        </w:rPr>
        <w:t xml:space="preserve"> ואיפשר שלא מסרטין אלא מקצת כל אות ואות</w:t>
      </w:r>
      <w:r>
        <w:rPr>
          <w:rFonts w:cs="Arial" w:hint="cs"/>
          <w:rtl/>
        </w:rPr>
        <w:t>,</w:t>
      </w:r>
      <w:r w:rsidRPr="00B51B13">
        <w:rPr>
          <w:rFonts w:cs="Arial"/>
          <w:rtl/>
        </w:rPr>
        <w:t xml:space="preserve"> ומיהו לשון מקרעין לא משמע הכי</w:t>
      </w:r>
      <w:r>
        <w:rPr>
          <w:rFonts w:cs="Arial" w:hint="cs"/>
          <w:rtl/>
        </w:rPr>
        <w:t>,</w:t>
      </w:r>
      <w:r>
        <w:rPr>
          <w:rFonts w:hint="cs"/>
          <w:rtl/>
        </w:rPr>
        <w:t xml:space="preserve"> </w:t>
      </w:r>
      <w:r w:rsidRPr="00C11180">
        <w:rPr>
          <w:rFonts w:cs="Arial" w:hint="cs"/>
          <w:b/>
          <w:bCs/>
          <w:rtl/>
        </w:rPr>
        <w:t>ר"ן</w:t>
      </w:r>
      <w:r w:rsidRPr="00B51B13">
        <w:rPr>
          <w:rFonts w:cs="Arial"/>
          <w:rtl/>
        </w:rPr>
        <w:t xml:space="preserve"> </w:t>
      </w:r>
      <w:r w:rsidRPr="00B51B13">
        <w:rPr>
          <w:rFonts w:cs="Arial"/>
          <w:sz w:val="16"/>
          <w:szCs w:val="16"/>
          <w:rtl/>
        </w:rPr>
        <w:t>(ט. ד"ה מקרעין</w:t>
      </w:r>
      <w:r w:rsidRPr="00B51B13">
        <w:rPr>
          <w:rFonts w:cs="Arial" w:hint="cs"/>
          <w:sz w:val="16"/>
          <w:szCs w:val="16"/>
          <w:rtl/>
        </w:rPr>
        <w:t>)</w:t>
      </w:r>
      <w:r>
        <w:rPr>
          <w:rFonts w:hint="cs"/>
          <w:rtl/>
        </w:rPr>
        <w:t xml:space="preserve">. </w:t>
      </w:r>
      <w:r>
        <w:rPr>
          <w:rFonts w:cs="Arial" w:hint="cs"/>
          <w:rtl/>
        </w:rPr>
        <w:t>ו</w:t>
      </w:r>
      <w:r w:rsidRPr="001C2ACE">
        <w:rPr>
          <w:rFonts w:cs="Arial"/>
          <w:rtl/>
        </w:rPr>
        <w:t>נ"ל דהוא הדין לשטרות אם רשמו להם שמם בדבר שרישומו ניכר והם נתנו דיו על הרשמים הוה ליה כתב על גבי כתב ופסול</w:t>
      </w:r>
      <w:r w:rsidRPr="001C2ACE">
        <w:rPr>
          <w:rFonts w:cs="Arial" w:hint="cs"/>
          <w:rtl/>
        </w:rPr>
        <w:t>,</w:t>
      </w:r>
      <w:r w:rsidRPr="001C2ACE">
        <w:rPr>
          <w:rFonts w:cs="Arial"/>
          <w:rtl/>
        </w:rPr>
        <w:t xml:space="preserve"> ודברים שרישומם ניכר ושאין רישומם ניכר מתבאר בגמרא באותו פרק (יט.)</w:t>
      </w:r>
      <w:r>
        <w:rPr>
          <w:rFonts w:cs="Arial" w:hint="cs"/>
          <w:rtl/>
        </w:rPr>
        <w:t xml:space="preserve">, </w:t>
      </w:r>
      <w:r w:rsidRPr="00C11180">
        <w:rPr>
          <w:rFonts w:cs="Arial" w:hint="cs"/>
          <w:b/>
          <w:bCs/>
          <w:rtl/>
        </w:rPr>
        <w:t>ב"י</w:t>
      </w:r>
      <w:r>
        <w:rPr>
          <w:rFonts w:cs="Arial" w:hint="cs"/>
          <w:rtl/>
        </w:rPr>
        <w:t xml:space="preserve">. אמנם התוס' </w:t>
      </w:r>
      <w:r w:rsidRPr="00D117AD">
        <w:rPr>
          <w:rFonts w:cs="Arial" w:hint="cs"/>
          <w:sz w:val="16"/>
          <w:szCs w:val="16"/>
          <w:rtl/>
        </w:rPr>
        <w:t xml:space="preserve">(ט: ד"ה </w:t>
      </w:r>
      <w:r w:rsidRPr="00D117AD">
        <w:rPr>
          <w:rFonts w:cs="Arial"/>
          <w:sz w:val="16"/>
          <w:szCs w:val="16"/>
          <w:rtl/>
        </w:rPr>
        <w:t>מקרעין להם נייר חלק</w:t>
      </w:r>
      <w:r w:rsidRPr="00D117AD">
        <w:rPr>
          <w:rFonts w:cs="Arial" w:hint="cs"/>
          <w:sz w:val="16"/>
          <w:szCs w:val="16"/>
          <w:rtl/>
        </w:rPr>
        <w:t>)</w:t>
      </w:r>
      <w:r>
        <w:rPr>
          <w:rFonts w:cs="Arial" w:hint="cs"/>
          <w:rtl/>
        </w:rPr>
        <w:t xml:space="preserve"> יישבו את דברי רש"י, אך הקשו עליו מצד אחר, </w:t>
      </w:r>
      <w:r w:rsidR="000A0F5A">
        <w:rPr>
          <w:rFonts w:cs="Arial" w:hint="cs"/>
          <w:rtl/>
        </w:rPr>
        <w:t>וז</w:t>
      </w:r>
      <w:r w:rsidR="000A0F5A">
        <w:rPr>
          <w:rFonts w:cs="Arial"/>
          <w:rtl/>
        </w:rPr>
        <w:t>"</w:t>
      </w:r>
      <w:r w:rsidR="000A0F5A">
        <w:rPr>
          <w:rFonts w:cs="Arial" w:hint="cs"/>
          <w:rtl/>
        </w:rPr>
        <w:t>ל:</w:t>
      </w:r>
      <w:r w:rsidRPr="00D117AD">
        <w:rPr>
          <w:rFonts w:cs="Arial"/>
          <w:rtl/>
        </w:rPr>
        <w:t xml:space="preserve"> אע</w:t>
      </w:r>
      <w:r>
        <w:rPr>
          <w:rFonts w:cs="Arial" w:hint="cs"/>
          <w:rtl/>
        </w:rPr>
        <w:t>"</w:t>
      </w:r>
      <w:r w:rsidRPr="00D117AD">
        <w:rPr>
          <w:rFonts w:cs="Arial"/>
          <w:rtl/>
        </w:rPr>
        <w:t xml:space="preserve">ג דחקיקה חשיבה כתיבה כמו כתב ע"ג טבלא ופינקס </w:t>
      </w:r>
      <w:r>
        <w:rPr>
          <w:rFonts w:cs="Arial" w:hint="cs"/>
          <w:rtl/>
        </w:rPr>
        <w:t xml:space="preserve">- </w:t>
      </w:r>
      <w:r w:rsidRPr="00D117AD">
        <w:rPr>
          <w:rFonts w:cs="Arial"/>
          <w:rtl/>
        </w:rPr>
        <w:t>הכא לא חשיב כתב ע"ג כתב דפסלינן בפ"ב (יט.)</w:t>
      </w:r>
      <w:r>
        <w:rPr>
          <w:rFonts w:cs="Arial" w:hint="cs"/>
          <w:rtl/>
        </w:rPr>
        <w:t>,</w:t>
      </w:r>
      <w:r w:rsidRPr="00D117AD">
        <w:rPr>
          <w:rFonts w:cs="Arial"/>
          <w:rtl/>
        </w:rPr>
        <w:t xml:space="preserve"> דאין כאן כתיבה גמורה אלא שרושמין קצת כדי לחתום עליו עדים</w:t>
      </w:r>
      <w:r>
        <w:rPr>
          <w:rFonts w:cs="Arial" w:hint="cs"/>
          <w:rtl/>
        </w:rPr>
        <w:t>,</w:t>
      </w:r>
      <w:r w:rsidRPr="00D117AD">
        <w:rPr>
          <w:rFonts w:cs="Arial"/>
          <w:rtl/>
        </w:rPr>
        <w:t xml:space="preserve"> ועוד דאפי' דיו ע</w:t>
      </w:r>
      <w:r>
        <w:rPr>
          <w:rFonts w:cs="Arial" w:hint="cs"/>
          <w:rtl/>
        </w:rPr>
        <w:t>"</w:t>
      </w:r>
      <w:r w:rsidRPr="00D117AD">
        <w:rPr>
          <w:rFonts w:cs="Arial"/>
          <w:rtl/>
        </w:rPr>
        <w:t>ג סיקרא חשיבא לקמן בפ"ב (גז"ש) כתב לענין שבת אע</w:t>
      </w:r>
      <w:r>
        <w:rPr>
          <w:rFonts w:cs="Arial" w:hint="cs"/>
          <w:rtl/>
        </w:rPr>
        <w:t>"</w:t>
      </w:r>
      <w:r w:rsidRPr="00D117AD">
        <w:rPr>
          <w:rFonts w:cs="Arial"/>
          <w:rtl/>
        </w:rPr>
        <w:t>פ שהסיקרא לבדה היא כתב</w:t>
      </w:r>
      <w:r>
        <w:rPr>
          <w:rFonts w:cs="Arial" w:hint="cs"/>
          <w:rtl/>
        </w:rPr>
        <w:t>.</w:t>
      </w:r>
      <w:r w:rsidRPr="00D117AD">
        <w:rPr>
          <w:rFonts w:cs="Arial"/>
          <w:rtl/>
        </w:rPr>
        <w:t xml:space="preserve"> אבל לשון מקרעין לא משמע כפי' הקונט' דהוה ליה למימר מסרטין</w:t>
      </w:r>
      <w:r>
        <w:rPr>
          <w:rFonts w:cs="Arial" w:hint="cs"/>
          <w:rtl/>
        </w:rPr>
        <w:t xml:space="preserve">. עכ"ל. </w:t>
      </w:r>
      <w:r w:rsidRPr="00D117AD">
        <w:rPr>
          <w:rFonts w:cs="Arial"/>
          <w:rtl/>
        </w:rPr>
        <w:t xml:space="preserve">וגם הרשב"א כתב </w:t>
      </w:r>
      <w:r>
        <w:rPr>
          <w:rFonts w:cs="Arial" w:hint="cs"/>
          <w:rtl/>
        </w:rPr>
        <w:t>(</w:t>
      </w:r>
      <w:r w:rsidRPr="00D117AD">
        <w:rPr>
          <w:rFonts w:cs="Arial"/>
          <w:rtl/>
        </w:rPr>
        <w:t>חידו</w:t>
      </w:r>
      <w:r>
        <w:rPr>
          <w:rFonts w:cs="Arial" w:hint="cs"/>
          <w:rtl/>
        </w:rPr>
        <w:t xml:space="preserve">' </w:t>
      </w:r>
      <w:r w:rsidRPr="00D117AD">
        <w:rPr>
          <w:rFonts w:cs="Arial"/>
          <w:rtl/>
        </w:rPr>
        <w:t>פ"ק דגיטין ט</w:t>
      </w:r>
      <w:r>
        <w:rPr>
          <w:rFonts w:cs="Arial" w:hint="cs"/>
          <w:rtl/>
        </w:rPr>
        <w:t>:</w:t>
      </w:r>
      <w:r w:rsidRPr="00D117AD">
        <w:rPr>
          <w:rFonts w:cs="Arial"/>
          <w:rtl/>
        </w:rPr>
        <w:t xml:space="preserve"> ד"ה למעוטי</w:t>
      </w:r>
      <w:r>
        <w:rPr>
          <w:rFonts w:cs="Arial" w:hint="cs"/>
          <w:rtl/>
        </w:rPr>
        <w:t>)</w:t>
      </w:r>
      <w:r w:rsidRPr="00D117AD">
        <w:rPr>
          <w:rFonts w:cs="Arial"/>
          <w:rtl/>
        </w:rPr>
        <w:t xml:space="preserve"> </w:t>
      </w:r>
      <w:r>
        <w:rPr>
          <w:rFonts w:cs="Arial" w:hint="cs"/>
          <w:rtl/>
        </w:rPr>
        <w:t>ד</w:t>
      </w:r>
      <w:r w:rsidRPr="00D117AD">
        <w:rPr>
          <w:rFonts w:cs="Arial"/>
          <w:rtl/>
        </w:rPr>
        <w:t>מה שהקשו על פירושו של רש"י ז"ל אינו קשה, דרושם אינו כתב ואינו כחקיקה, וכן מצאתי בירושלמי [שם פ"ב ה"ג] דגרסינן התם, המקרע על העור כעין כתב כשר, הרושם על העור כעין כתב פסול, אלמא רשימה אינה כתיבה, וכן פירש הרב בעל העיטור רושמין להם נייר חלק</w:t>
      </w:r>
      <w:r>
        <w:rPr>
          <w:rFonts w:cs="Arial" w:hint="cs"/>
          <w:rtl/>
        </w:rPr>
        <w:t>. עכ"ל. והביאם הש"ך (סק"ו).</w:t>
      </w:r>
      <w:r w:rsidRPr="00C11180">
        <w:rPr>
          <w:rFonts w:cs="Arial"/>
          <w:rtl/>
        </w:rPr>
        <w:t xml:space="preserve"> </w:t>
      </w:r>
      <w:r>
        <w:rPr>
          <w:rFonts w:cs="Arial"/>
          <w:rtl/>
        </w:rPr>
        <w:t xml:space="preserve">וכתב עוד </w:t>
      </w:r>
      <w:r>
        <w:rPr>
          <w:rFonts w:cs="Arial" w:hint="cs"/>
          <w:rtl/>
        </w:rPr>
        <w:t xml:space="preserve">הרשב"א (שם) </w:t>
      </w:r>
      <w:r>
        <w:rPr>
          <w:rFonts w:cs="Arial"/>
          <w:rtl/>
        </w:rPr>
        <w:t>שגם לפירוש רש"י מרחיבין להם הסריטה כדי שלא יהא כתב של ראשונים ויוכל להתקיים בחותמיו כדאמרינן בירושלמי שאכתוב בסמוך</w:t>
      </w:r>
      <w:r>
        <w:rPr>
          <w:rFonts w:hint="cs"/>
          <w:rtl/>
        </w:rPr>
        <w:t>.</w:t>
      </w:r>
      <w:r w:rsidRPr="008154A5">
        <w:rPr>
          <w:rFonts w:cs="Arial"/>
          <w:rtl/>
        </w:rPr>
        <w:t xml:space="preserve"> </w:t>
      </w:r>
    </w:p>
  </w:footnote>
  <w:footnote w:id="1291">
    <w:p w14:paraId="34A5A923" w14:textId="77777777" w:rsidR="00FA2119" w:rsidRDefault="00FA2119" w:rsidP="00FA2119">
      <w:pPr>
        <w:pStyle w:val="a5"/>
        <w:rPr>
          <w:rtl/>
        </w:rPr>
      </w:pPr>
      <w:r>
        <w:rPr>
          <w:rStyle w:val="a7"/>
        </w:rPr>
        <w:footnoteRef/>
      </w:r>
      <w:r>
        <w:rPr>
          <w:rtl/>
        </w:rPr>
        <w:t xml:space="preserve"> </w:t>
      </w:r>
      <w:r>
        <w:rPr>
          <w:rFonts w:cs="Arial"/>
          <w:rtl/>
        </w:rPr>
        <w:t>ו</w:t>
      </w:r>
      <w:r>
        <w:rPr>
          <w:rFonts w:cs="Arial" w:hint="cs"/>
          <w:rtl/>
        </w:rPr>
        <w:t>כ"כ ה</w:t>
      </w:r>
      <w:r>
        <w:rPr>
          <w:rFonts w:cs="Arial"/>
          <w:rtl/>
        </w:rPr>
        <w:t xml:space="preserve">מרדכי (סי' שמא) </w:t>
      </w:r>
      <w:r>
        <w:rPr>
          <w:rFonts w:cs="Arial" w:hint="cs"/>
          <w:rtl/>
        </w:rPr>
        <w:t>בשם</w:t>
      </w:r>
      <w:r>
        <w:rPr>
          <w:rFonts w:cs="Arial"/>
          <w:rtl/>
        </w:rPr>
        <w:t xml:space="preserve"> רבינו יעקב מאורליינ"ש ורבינו יואל</w:t>
      </w:r>
      <w:r>
        <w:rPr>
          <w:rFonts w:hint="cs"/>
          <w:rtl/>
        </w:rPr>
        <w:t>, ב"י.</w:t>
      </w:r>
    </w:p>
  </w:footnote>
  <w:footnote w:id="1292">
    <w:p w14:paraId="52566367" w14:textId="77777777" w:rsidR="00FA2119" w:rsidRDefault="00FA2119" w:rsidP="00FA2119">
      <w:pPr>
        <w:pStyle w:val="a5"/>
        <w:rPr>
          <w:rtl/>
        </w:rPr>
      </w:pPr>
      <w:r>
        <w:rPr>
          <w:rStyle w:val="a7"/>
        </w:rPr>
        <w:footnoteRef/>
      </w:r>
      <w:r>
        <w:rPr>
          <w:rtl/>
        </w:rPr>
        <w:t xml:space="preserve"> </w:t>
      </w:r>
      <w:r w:rsidRPr="0038631C">
        <w:rPr>
          <w:rFonts w:cs="Arial"/>
          <w:rtl/>
        </w:rPr>
        <w:t>בירושלמי פריך והלא כתב ראשונה הוא</w:t>
      </w:r>
      <w:r>
        <w:rPr>
          <w:rFonts w:cs="Arial" w:hint="cs"/>
          <w:sz w:val="16"/>
          <w:szCs w:val="16"/>
          <w:rtl/>
        </w:rPr>
        <w:t xml:space="preserve"> {היינו הראשונים}</w:t>
      </w:r>
      <w:r>
        <w:rPr>
          <w:rFonts w:cs="Arial" w:hint="cs"/>
          <w:rtl/>
        </w:rPr>
        <w:t>,</w:t>
      </w:r>
      <w:r w:rsidRPr="0038631C">
        <w:rPr>
          <w:rFonts w:cs="Arial"/>
          <w:rtl/>
        </w:rPr>
        <w:t xml:space="preserve"> פירוש ואין הגט יכול להתקיים בחותמיו</w:t>
      </w:r>
      <w:r>
        <w:rPr>
          <w:rFonts w:cs="Arial" w:hint="cs"/>
          <w:rtl/>
        </w:rPr>
        <w:t>,</w:t>
      </w:r>
      <w:r w:rsidRPr="0038631C">
        <w:rPr>
          <w:rFonts w:cs="Arial"/>
          <w:rtl/>
        </w:rPr>
        <w:t xml:space="preserve"> ומשני כשהרחיב להם את הקרעים והעדים אין ממלאין לגמרי כל רחב הקרע</w:t>
      </w:r>
      <w:r>
        <w:rPr>
          <w:rFonts w:hint="cs"/>
          <w:rtl/>
        </w:rPr>
        <w:t xml:space="preserve">, </w:t>
      </w:r>
      <w:r w:rsidRPr="0038631C">
        <w:rPr>
          <w:rFonts w:hint="cs"/>
          <w:b/>
          <w:bCs/>
          <w:rtl/>
        </w:rPr>
        <w:t xml:space="preserve">תוס' </w:t>
      </w:r>
      <w:r>
        <w:rPr>
          <w:rFonts w:hint="cs"/>
          <w:rtl/>
        </w:rPr>
        <w:t>(שם).</w:t>
      </w:r>
      <w:r w:rsidRPr="0038631C">
        <w:rPr>
          <w:rFonts w:cs="Arial"/>
          <w:rtl/>
        </w:rPr>
        <w:t xml:space="preserve"> </w:t>
      </w:r>
      <w:r>
        <w:rPr>
          <w:rFonts w:cs="Arial"/>
          <w:rtl/>
        </w:rPr>
        <w:t>וכן כתב הרשב"א (שם) וגם ר</w:t>
      </w:r>
      <w:r>
        <w:rPr>
          <w:rFonts w:cs="Arial" w:hint="cs"/>
          <w:rtl/>
        </w:rPr>
        <w:t>י"ו</w:t>
      </w:r>
      <w:r>
        <w:rPr>
          <w:rFonts w:cs="Arial"/>
          <w:rtl/>
        </w:rPr>
        <w:t xml:space="preserve"> כתבו </w:t>
      </w:r>
      <w:r>
        <w:rPr>
          <w:rFonts w:cs="Arial" w:hint="cs"/>
          <w:rtl/>
        </w:rPr>
        <w:t>(</w:t>
      </w:r>
      <w:r>
        <w:rPr>
          <w:rFonts w:cs="Arial"/>
          <w:rtl/>
        </w:rPr>
        <w:t>ח</w:t>
      </w:r>
      <w:r>
        <w:rPr>
          <w:rFonts w:cs="Arial" w:hint="cs"/>
          <w:rtl/>
        </w:rPr>
        <w:t>"</w:t>
      </w:r>
      <w:r>
        <w:rPr>
          <w:rFonts w:cs="Arial"/>
          <w:rtl/>
        </w:rPr>
        <w:t>ב רג ע"ד)</w:t>
      </w:r>
      <w:r>
        <w:rPr>
          <w:rFonts w:cs="Arial" w:hint="cs"/>
          <w:rtl/>
        </w:rPr>
        <w:t>,</w:t>
      </w:r>
      <w:r>
        <w:rPr>
          <w:rFonts w:cs="Arial"/>
          <w:rtl/>
        </w:rPr>
        <w:t xml:space="preserve"> והמרדכי כתב זה הירושלמי בפ</w:t>
      </w:r>
      <w:r>
        <w:rPr>
          <w:rFonts w:cs="Arial" w:hint="cs"/>
          <w:rtl/>
        </w:rPr>
        <w:t>"</w:t>
      </w:r>
      <w:r>
        <w:rPr>
          <w:rFonts w:cs="Arial"/>
          <w:rtl/>
        </w:rPr>
        <w:t>ב דגיטין (שם) וכתב בו שני פירושין</w:t>
      </w:r>
      <w:r>
        <w:rPr>
          <w:rFonts w:hint="cs"/>
          <w:rtl/>
        </w:rPr>
        <w:t xml:space="preserve">, </w:t>
      </w:r>
      <w:r w:rsidRPr="0038631C">
        <w:rPr>
          <w:rFonts w:hint="cs"/>
          <w:b/>
          <w:bCs/>
          <w:rtl/>
        </w:rPr>
        <w:t>ב"י</w:t>
      </w:r>
      <w:r>
        <w:rPr>
          <w:rFonts w:hint="cs"/>
          <w:rtl/>
        </w:rPr>
        <w:t>.</w:t>
      </w:r>
    </w:p>
  </w:footnote>
  <w:footnote w:id="1293">
    <w:p w14:paraId="73629B86" w14:textId="77777777" w:rsidR="00FA2119" w:rsidRDefault="00FA2119" w:rsidP="00FA2119">
      <w:pPr>
        <w:pStyle w:val="a5"/>
        <w:rPr>
          <w:rtl/>
        </w:rPr>
      </w:pPr>
      <w:r>
        <w:rPr>
          <w:rStyle w:val="a7"/>
        </w:rPr>
        <w:footnoteRef/>
      </w:r>
      <w:r>
        <w:rPr>
          <w:rtl/>
        </w:rPr>
        <w:t xml:space="preserve"> </w:t>
      </w:r>
      <w:r w:rsidRPr="005D0E9F">
        <w:rPr>
          <w:rFonts w:cs="Arial"/>
          <w:rtl/>
        </w:rPr>
        <w:t>אמרנו לשליח</w:t>
      </w:r>
      <w:r>
        <w:rPr>
          <w:rFonts w:cs="Arial" w:hint="cs"/>
          <w:rtl/>
        </w:rPr>
        <w:t>,</w:t>
      </w:r>
      <w:r w:rsidRPr="005D0E9F">
        <w:rPr>
          <w:rFonts w:cs="Arial"/>
          <w:rtl/>
        </w:rPr>
        <w:t xml:space="preserve"> לחנינא</w:t>
      </w:r>
      <w:r>
        <w:rPr>
          <w:rFonts w:cs="Arial" w:hint="cs"/>
          <w:rtl/>
        </w:rPr>
        <w:t>,</w:t>
      </w:r>
      <w:r w:rsidRPr="005D0E9F">
        <w:rPr>
          <w:rFonts w:cs="Arial"/>
          <w:rtl/>
        </w:rPr>
        <w:t xml:space="preserve"> שנעשה שליח בהלכה זו לאומרה בבית המדרש</w:t>
      </w:r>
      <w:r>
        <w:rPr>
          <w:rFonts w:hint="cs"/>
          <w:rtl/>
        </w:rPr>
        <w:t>, רש"י.</w:t>
      </w:r>
    </w:p>
  </w:footnote>
  <w:footnote w:id="1294">
    <w:p w14:paraId="28F5489C" w14:textId="77777777" w:rsidR="00FA2119" w:rsidRDefault="00FA2119" w:rsidP="00FA2119">
      <w:pPr>
        <w:pStyle w:val="a5"/>
      </w:pPr>
      <w:r>
        <w:rPr>
          <w:rStyle w:val="a7"/>
        </w:rPr>
        <w:footnoteRef/>
      </w:r>
      <w:r>
        <w:rPr>
          <w:rtl/>
        </w:rPr>
        <w:t xml:space="preserve"> </w:t>
      </w:r>
      <w:r w:rsidRPr="006D01A4">
        <w:rPr>
          <w:rFonts w:cs="Arial"/>
          <w:rtl/>
        </w:rPr>
        <w:t>הא דקתני מתניתין לכתבו בעצמן אחתימה קאי והכא הרי חתמו הן או דילמא אכתב הגט קאי</w:t>
      </w:r>
      <w:r>
        <w:rPr>
          <w:rFonts w:cs="Arial" w:hint="cs"/>
          <w:rtl/>
        </w:rPr>
        <w:t>, רש"י.</w:t>
      </w:r>
    </w:p>
  </w:footnote>
  <w:footnote w:id="1295">
    <w:p w14:paraId="64EF55EC" w14:textId="77777777" w:rsidR="00FA2119" w:rsidRDefault="00FA2119" w:rsidP="00FA2119">
      <w:pPr>
        <w:pStyle w:val="a5"/>
      </w:pPr>
      <w:r>
        <w:rPr>
          <w:rStyle w:val="a7"/>
        </w:rPr>
        <w:footnoteRef/>
      </w:r>
      <w:r>
        <w:rPr>
          <w:rtl/>
        </w:rPr>
        <w:t xml:space="preserve"> </w:t>
      </w:r>
      <w:r>
        <w:rPr>
          <w:rFonts w:cs="Arial"/>
          <w:rtl/>
        </w:rPr>
        <w:t>אם ניסת בגט זה תצא מספק דמספקא לן אי כשר או לא.</w:t>
      </w:r>
      <w:r>
        <w:rPr>
          <w:rFonts w:hint="cs"/>
          <w:rtl/>
        </w:rPr>
        <w:t xml:space="preserve"> </w:t>
      </w:r>
      <w:r>
        <w:rPr>
          <w:rFonts w:cs="Arial"/>
          <w:rtl/>
        </w:rPr>
        <w:t>והדבר צריך תלמוד - כלומר אין הדבר הזה ברור לנו וצריכין אנו ללמוד מן הגדולים ממנו אם כשר הוא או לא</w:t>
      </w:r>
      <w:r>
        <w:rPr>
          <w:rFonts w:cs="Arial" w:hint="cs"/>
          <w:rtl/>
        </w:rPr>
        <w:t>, רש"י.</w:t>
      </w:r>
    </w:p>
  </w:footnote>
  <w:footnote w:id="1296">
    <w:p w14:paraId="4CC022FD" w14:textId="77777777" w:rsidR="00FA2119" w:rsidRDefault="00FA2119" w:rsidP="00FA2119">
      <w:pPr>
        <w:pStyle w:val="a5"/>
      </w:pPr>
      <w:r>
        <w:rPr>
          <w:rStyle w:val="a7"/>
        </w:rPr>
        <w:footnoteRef/>
      </w:r>
      <w:r>
        <w:rPr>
          <w:rtl/>
        </w:rPr>
        <w:t xml:space="preserve"> </w:t>
      </w:r>
      <w:r w:rsidRPr="006D01A4">
        <w:rPr>
          <w:rFonts w:cs="Arial"/>
          <w:rtl/>
        </w:rPr>
        <w:t>וכשר ודברים שנאמר לשליח זה אם יכול למוסרן לשליח אחר</w:t>
      </w:r>
      <w:r>
        <w:rPr>
          <w:rFonts w:cs="Arial" w:hint="cs"/>
          <w:rtl/>
        </w:rPr>
        <w:t>, רש"י.</w:t>
      </w:r>
    </w:p>
  </w:footnote>
  <w:footnote w:id="1297">
    <w:p w14:paraId="020B1F1A" w14:textId="77777777" w:rsidR="00FA2119" w:rsidRDefault="00FA2119" w:rsidP="00FA2119">
      <w:pPr>
        <w:pStyle w:val="a5"/>
      </w:pPr>
      <w:r>
        <w:rPr>
          <w:rStyle w:val="a7"/>
        </w:rPr>
        <w:footnoteRef/>
      </w:r>
      <w:r>
        <w:rPr>
          <w:rtl/>
        </w:rPr>
        <w:t xml:space="preserve"> </w:t>
      </w:r>
      <w:r w:rsidRPr="006D01A4">
        <w:rPr>
          <w:rFonts w:cs="Arial"/>
          <w:rtl/>
        </w:rPr>
        <w:t>ופסול דהכא מילי בעלמא מסר להו ואינן חוזרין ונמסרין לסופר ולא דמי למוסר גט לשלוחו שיכול לחזור ולעשות שליח אחר</w:t>
      </w:r>
      <w:r>
        <w:rPr>
          <w:rFonts w:cs="Arial" w:hint="cs"/>
          <w:rtl/>
        </w:rPr>
        <w:t>, רש"י.</w:t>
      </w:r>
    </w:p>
  </w:footnote>
  <w:footnote w:id="1298">
    <w:p w14:paraId="7FB4DE17" w14:textId="77777777" w:rsidR="00FA2119" w:rsidRDefault="00FA2119" w:rsidP="00FA2119">
      <w:pPr>
        <w:pStyle w:val="a5"/>
      </w:pPr>
      <w:r>
        <w:rPr>
          <w:rStyle w:val="a7"/>
        </w:rPr>
        <w:footnoteRef/>
      </w:r>
      <w:r>
        <w:rPr>
          <w:rtl/>
        </w:rPr>
        <w:t xml:space="preserve"> </w:t>
      </w:r>
      <w:r w:rsidRPr="006D01A4">
        <w:rPr>
          <w:rFonts w:cs="Arial"/>
          <w:rtl/>
        </w:rPr>
        <w:t>דמתני'</w:t>
      </w:r>
      <w:r>
        <w:rPr>
          <w:rFonts w:cs="Arial" w:hint="cs"/>
          <w:rtl/>
        </w:rPr>
        <w:t>, רש"י.</w:t>
      </w:r>
    </w:p>
  </w:footnote>
  <w:footnote w:id="1299">
    <w:p w14:paraId="58B91AA8" w14:textId="77777777" w:rsidR="00FA2119" w:rsidRDefault="00FA2119" w:rsidP="00FA2119">
      <w:pPr>
        <w:pStyle w:val="a5"/>
        <w:rPr>
          <w:rtl/>
        </w:rPr>
      </w:pPr>
      <w:r>
        <w:rPr>
          <w:rStyle w:val="a7"/>
        </w:rPr>
        <w:footnoteRef/>
      </w:r>
      <w:r>
        <w:rPr>
          <w:rtl/>
        </w:rPr>
        <w:t xml:space="preserve"> </w:t>
      </w:r>
      <w:r w:rsidRPr="006D01A4">
        <w:rPr>
          <w:rFonts w:cs="Arial"/>
          <w:rtl/>
        </w:rPr>
        <w:t>חתימתן הוא דקאמר והרי חתמו הן</w:t>
      </w:r>
      <w:r>
        <w:rPr>
          <w:rFonts w:hint="cs"/>
          <w:rtl/>
        </w:rPr>
        <w:t>, רש"י.</w:t>
      </w:r>
    </w:p>
  </w:footnote>
  <w:footnote w:id="1300">
    <w:p w14:paraId="50408B01" w14:textId="77777777" w:rsidR="00FA2119" w:rsidRDefault="00FA2119" w:rsidP="00FA2119">
      <w:pPr>
        <w:pStyle w:val="a5"/>
        <w:rPr>
          <w:rtl/>
        </w:rPr>
      </w:pPr>
      <w:r>
        <w:rPr>
          <w:rStyle w:val="a7"/>
        </w:rPr>
        <w:footnoteRef/>
      </w:r>
      <w:r>
        <w:rPr>
          <w:rtl/>
        </w:rPr>
        <w:t xml:space="preserve"> </w:t>
      </w:r>
      <w:r w:rsidRPr="00D9243D">
        <w:rPr>
          <w:rFonts w:cs="Arial"/>
          <w:rtl/>
        </w:rPr>
        <w:t>שלא למדו לחתום עדיין</w:t>
      </w:r>
      <w:r>
        <w:rPr>
          <w:rFonts w:hint="cs"/>
          <w:rtl/>
        </w:rPr>
        <w:t>, רש"י.</w:t>
      </w:r>
    </w:p>
  </w:footnote>
  <w:footnote w:id="1301">
    <w:p w14:paraId="57217563" w14:textId="77777777" w:rsidR="00FA2119" w:rsidRDefault="00FA2119" w:rsidP="00FA2119">
      <w:pPr>
        <w:pStyle w:val="a5"/>
        <w:rPr>
          <w:rtl/>
        </w:rPr>
      </w:pPr>
      <w:r>
        <w:rPr>
          <w:rStyle w:val="a7"/>
        </w:rPr>
        <w:footnoteRef/>
      </w:r>
      <w:r>
        <w:rPr>
          <w:rtl/>
        </w:rPr>
        <w:t xml:space="preserve"> </w:t>
      </w:r>
      <w:r w:rsidRPr="00D9243D">
        <w:rPr>
          <w:rFonts w:cs="Arial"/>
          <w:rtl/>
        </w:rPr>
        <w:t>דמתני' וכיון דפריש שמואל טעמא דר"י משום דמילי לא מימסרן לשליח הוא היאך כשר הא מילי נינהו</w:t>
      </w:r>
      <w:r>
        <w:rPr>
          <w:rFonts w:cs="Arial" w:hint="cs"/>
          <w:rtl/>
        </w:rPr>
        <w:t>.</w:t>
      </w:r>
      <w:r w:rsidRPr="00D9243D">
        <w:rPr>
          <w:rFonts w:cs="Arial"/>
          <w:rtl/>
        </w:rPr>
        <w:t xml:space="preserve"> ומשני</w:t>
      </w:r>
      <w:r>
        <w:rPr>
          <w:rFonts w:cs="Arial" w:hint="cs"/>
          <w:rtl/>
        </w:rPr>
        <w:t>,</w:t>
      </w:r>
      <w:r w:rsidRPr="00D9243D">
        <w:rPr>
          <w:rFonts w:cs="Arial"/>
          <w:rtl/>
        </w:rPr>
        <w:t xml:space="preserve"> אי הוה סבירא לן ופשיטא לן דכתובו דקאמר לא הוי אלא כתב ידן איכא למימר דכתב הגט מדלא קפיד עליה נעשה כאומר אמרו לסופר ויכתוב וקס"ד דמודה רבי יוסי באומר אמרו</w:t>
      </w:r>
      <w:r>
        <w:rPr>
          <w:rFonts w:hint="cs"/>
          <w:rtl/>
        </w:rPr>
        <w:t>, רש"י.</w:t>
      </w:r>
    </w:p>
  </w:footnote>
  <w:footnote w:id="1302">
    <w:p w14:paraId="39A13081" w14:textId="77777777" w:rsidR="00FA2119" w:rsidRDefault="00FA2119" w:rsidP="00FA2119">
      <w:pPr>
        <w:pStyle w:val="a5"/>
        <w:rPr>
          <w:rtl/>
        </w:rPr>
      </w:pPr>
      <w:r>
        <w:rPr>
          <w:rStyle w:val="a7"/>
        </w:rPr>
        <w:footnoteRef/>
      </w:r>
      <w:r>
        <w:rPr>
          <w:rtl/>
        </w:rPr>
        <w:t xml:space="preserve"> </w:t>
      </w:r>
      <w:r w:rsidRPr="00D9243D">
        <w:rPr>
          <w:rFonts w:cs="Arial"/>
          <w:rtl/>
        </w:rPr>
        <w:t>האי כתב סופר דקתני חתם הוא שאם חתם הסופר בעד ועד אחר עמו כשר</w:t>
      </w:r>
      <w:r>
        <w:rPr>
          <w:rFonts w:hint="cs"/>
          <w:rtl/>
        </w:rPr>
        <w:t>, רש"י.</w:t>
      </w:r>
    </w:p>
  </w:footnote>
  <w:footnote w:id="1303">
    <w:p w14:paraId="77CEA106" w14:textId="77777777" w:rsidR="00FA2119" w:rsidRDefault="00FA2119" w:rsidP="00FA2119">
      <w:pPr>
        <w:pStyle w:val="a5"/>
      </w:pPr>
      <w:r>
        <w:rPr>
          <w:rStyle w:val="a7"/>
        </w:rPr>
        <w:footnoteRef/>
      </w:r>
      <w:r>
        <w:rPr>
          <w:rtl/>
        </w:rPr>
        <w:t xml:space="preserve"> </w:t>
      </w:r>
      <w:r w:rsidRPr="00D9243D">
        <w:rPr>
          <w:rFonts w:cs="Arial"/>
          <w:rtl/>
        </w:rPr>
        <w:t>דמכשר חתימת סופר בגט רבי יוסי היא</w:t>
      </w:r>
      <w:r>
        <w:rPr>
          <w:rFonts w:cs="Arial" w:hint="cs"/>
          <w:rtl/>
        </w:rPr>
        <w:t>, רש"י.</w:t>
      </w:r>
    </w:p>
  </w:footnote>
  <w:footnote w:id="1304">
    <w:p w14:paraId="4D044D0E" w14:textId="77777777" w:rsidR="00FA2119" w:rsidRDefault="00FA2119" w:rsidP="00FA2119">
      <w:pPr>
        <w:pStyle w:val="a5"/>
        <w:rPr>
          <w:rtl/>
        </w:rPr>
      </w:pPr>
      <w:r>
        <w:rPr>
          <w:rStyle w:val="a7"/>
        </w:rPr>
        <w:footnoteRef/>
      </w:r>
      <w:r>
        <w:rPr>
          <w:rtl/>
        </w:rPr>
        <w:t xml:space="preserve"> </w:t>
      </w:r>
      <w:r w:rsidRPr="00325322">
        <w:rPr>
          <w:rFonts w:cs="Arial"/>
          <w:rtl/>
        </w:rPr>
        <w:t>הלכך אין אדם חותם בגט אא"כ שמע מפי עצמו לפי שאין השליח רשאי לומר לעדים חתמו בגט פלוני ומשום הכי ליכא למיחש הכא שמא הבעל לא צוה שיחתום אלא לשלוחו צוה שיאמר לסופר זה לכתוב ולאחרים לחתום והשליח חשש שמא יתבייש הסופר לומר אין מקבלין אותו בעד ומתוך חששא זו צוה לסופר לחתום ומהכא שמעינן דבאומר אמרו נמי פליג רבי יוסי דאי סלקא דעתין מודי ביה היכי מכשר חתימת סופר בגט נפיק מינה חורבא כו'</w:t>
      </w:r>
      <w:r>
        <w:rPr>
          <w:rFonts w:hint="cs"/>
          <w:rtl/>
        </w:rPr>
        <w:t>, רש"י.</w:t>
      </w:r>
    </w:p>
  </w:footnote>
  <w:footnote w:id="1305">
    <w:p w14:paraId="390CDEE3" w14:textId="77777777" w:rsidR="00FA2119" w:rsidRDefault="00FA2119" w:rsidP="00FA2119">
      <w:pPr>
        <w:pStyle w:val="a5"/>
        <w:rPr>
          <w:rtl/>
        </w:rPr>
      </w:pPr>
      <w:r>
        <w:rPr>
          <w:rStyle w:val="a7"/>
        </w:rPr>
        <w:footnoteRef/>
      </w:r>
      <w:r>
        <w:rPr>
          <w:rtl/>
        </w:rPr>
        <w:t xml:space="preserve"> </w:t>
      </w:r>
      <w:r w:rsidRPr="00BE29C8">
        <w:rPr>
          <w:rFonts w:cs="Arial"/>
          <w:rtl/>
        </w:rPr>
        <w:t>לקמן בשמעתין גבי אמרו לסופר ויכתוב ולפלוני ופלוני ויחתמו כשר הגט אבל לא תעשה</w:t>
      </w:r>
      <w:r>
        <w:rPr>
          <w:rFonts w:hint="cs"/>
          <w:rtl/>
        </w:rPr>
        <w:t>, רש"י.</w:t>
      </w:r>
    </w:p>
  </w:footnote>
  <w:footnote w:id="1306">
    <w:p w14:paraId="3DCF8B46" w14:textId="77777777" w:rsidR="00FA2119" w:rsidRDefault="00FA2119" w:rsidP="00FA2119">
      <w:pPr>
        <w:pStyle w:val="a5"/>
      </w:pPr>
      <w:r>
        <w:rPr>
          <w:rStyle w:val="a7"/>
        </w:rPr>
        <w:footnoteRef/>
      </w:r>
      <w:r>
        <w:rPr>
          <w:rtl/>
        </w:rPr>
        <w:t xml:space="preserve"> </w:t>
      </w:r>
      <w:r w:rsidRPr="00BE29C8">
        <w:rPr>
          <w:rFonts w:cs="Arial"/>
          <w:rtl/>
        </w:rPr>
        <w:t>הלכך לא גזרינן ושמואל לית ליה דרבי ירמיה דאמר חתם סופר שנינו אלא כתב סופר וחתם עד כדאמרינן בהמגרש (פו:) ולא מוקי לה כר' יוסי ולא איירי מתני' בחתימת סופר כלל ובין לרבי יוסי ובין לר' מאיר כשרה החתימה ושמואל לית ליה דרב חסדא דאמר רבי יוסי היא וכתב סופר ודברי הכל היא</w:t>
      </w:r>
      <w:r>
        <w:rPr>
          <w:rFonts w:cs="Arial" w:hint="cs"/>
          <w:rtl/>
        </w:rPr>
        <w:t>, רש"י.</w:t>
      </w:r>
    </w:p>
  </w:footnote>
  <w:footnote w:id="1307">
    <w:p w14:paraId="5E1EC9FB" w14:textId="77777777" w:rsidR="00FA2119" w:rsidRDefault="00FA2119" w:rsidP="00FA2119">
      <w:pPr>
        <w:pStyle w:val="a5"/>
      </w:pPr>
      <w:r>
        <w:rPr>
          <w:rStyle w:val="a7"/>
        </w:rPr>
        <w:footnoteRef/>
      </w:r>
      <w:r>
        <w:rPr>
          <w:rtl/>
        </w:rPr>
        <w:t xml:space="preserve"> </w:t>
      </w:r>
      <w:r w:rsidRPr="00BE29C8">
        <w:rPr>
          <w:rFonts w:cs="Arial"/>
          <w:rtl/>
        </w:rPr>
        <w:t>אתם חתומו ואמרו לפלוני ויכתוב דבהא אמרי' לקמן כשר ותעשה ואי מכשרת חתימת סופר בגט אזלי הני סהדי ומחתמי לסופר משום כיסופא</w:t>
      </w:r>
      <w:r>
        <w:rPr>
          <w:rFonts w:cs="Arial" w:hint="cs"/>
          <w:rtl/>
        </w:rPr>
        <w:t>, רש"י.</w:t>
      </w:r>
    </w:p>
  </w:footnote>
  <w:footnote w:id="1308">
    <w:p w14:paraId="5E377BF2" w14:textId="77777777" w:rsidR="00FA2119" w:rsidRDefault="00FA2119" w:rsidP="00FA2119">
      <w:pPr>
        <w:pStyle w:val="a5"/>
      </w:pPr>
      <w:r>
        <w:rPr>
          <w:rStyle w:val="a7"/>
        </w:rPr>
        <w:footnoteRef/>
      </w:r>
      <w:r>
        <w:rPr>
          <w:rtl/>
        </w:rPr>
        <w:t xml:space="preserve"> </w:t>
      </w:r>
      <w:r w:rsidRPr="00BE29C8">
        <w:rPr>
          <w:rFonts w:cs="Arial"/>
          <w:rtl/>
        </w:rPr>
        <w:t>פלוגתא היא לקמן בשמעתין</w:t>
      </w:r>
      <w:r>
        <w:rPr>
          <w:rFonts w:cs="Arial" w:hint="cs"/>
          <w:rtl/>
        </w:rPr>
        <w:t>, רש"י.</w:t>
      </w:r>
    </w:p>
  </w:footnote>
  <w:footnote w:id="1309">
    <w:p w14:paraId="119AE3FC" w14:textId="77777777" w:rsidR="00FA2119" w:rsidRDefault="00FA2119" w:rsidP="00FA2119">
      <w:pPr>
        <w:pStyle w:val="a5"/>
      </w:pPr>
      <w:r>
        <w:rPr>
          <w:rStyle w:val="a7"/>
        </w:rPr>
        <w:footnoteRef/>
      </w:r>
      <w:r>
        <w:rPr>
          <w:rtl/>
        </w:rPr>
        <w:t xml:space="preserve"> </w:t>
      </w:r>
      <w:r w:rsidRPr="005D0E9F">
        <w:rPr>
          <w:rFonts w:cs="Arial"/>
          <w:rtl/>
        </w:rPr>
        <w:t>אלא ודאי רבי יוסי תרתי אמר לפסולא בין שאמר לשלשה תנו בין שאמר אמרו לפלוני ויכתוב ופלוני ופלוני ויחתמו פסול והנך אמוראי דאמרי לקמן תעשה ולא תעשה אליבא דרבי מאיר פליגי דלרבי יוסי פסול לגמרי ואיתא לדרב חסדא דהא דקתני חתם סופר כשר רבי יוסי היא דליכא למיחש שמא שליח צוה ולא בעל</w:t>
      </w:r>
      <w:r>
        <w:rPr>
          <w:rFonts w:cs="Arial" w:hint="cs"/>
          <w:rtl/>
        </w:rPr>
        <w:t>, רש"י.</w:t>
      </w:r>
    </w:p>
  </w:footnote>
  <w:footnote w:id="1310">
    <w:p w14:paraId="7E28F1B1" w14:textId="77777777" w:rsidR="00FA2119" w:rsidRDefault="00FA2119" w:rsidP="00FA2119">
      <w:pPr>
        <w:pStyle w:val="a5"/>
      </w:pPr>
      <w:r>
        <w:rPr>
          <w:rStyle w:val="a7"/>
        </w:rPr>
        <w:footnoteRef/>
      </w:r>
      <w:r>
        <w:rPr>
          <w:rtl/>
        </w:rPr>
        <w:t xml:space="preserve"> </w:t>
      </w:r>
      <w:r w:rsidRPr="005D0E9F">
        <w:rPr>
          <w:rFonts w:cs="Arial"/>
          <w:rtl/>
        </w:rPr>
        <w:t>דאמר לעיל הדבר צריך תלמוד דאי כתובו כתב ידו הא כתב הגט נעשה כאומר אמרו וכשר</w:t>
      </w:r>
      <w:r>
        <w:rPr>
          <w:rFonts w:cs="Arial" w:hint="cs"/>
          <w:rtl/>
        </w:rPr>
        <w:t>, רש"י.</w:t>
      </w:r>
    </w:p>
  </w:footnote>
  <w:footnote w:id="1311">
    <w:p w14:paraId="03CD0785" w14:textId="77777777" w:rsidR="00FA2119" w:rsidRDefault="00FA2119" w:rsidP="00FA2119">
      <w:pPr>
        <w:pStyle w:val="a5"/>
      </w:pPr>
      <w:r>
        <w:rPr>
          <w:rStyle w:val="a7"/>
        </w:rPr>
        <w:footnoteRef/>
      </w:r>
      <w:r>
        <w:rPr>
          <w:rtl/>
        </w:rPr>
        <w:t xml:space="preserve"> </w:t>
      </w:r>
      <w:r w:rsidRPr="005D0E9F">
        <w:rPr>
          <w:rFonts w:cs="Arial"/>
          <w:rtl/>
        </w:rPr>
        <w:t>דאמר שמואל הלכה כרבי יוסי היכא דלא אמר אמרו</w:t>
      </w:r>
      <w:r>
        <w:rPr>
          <w:rFonts w:cs="Arial" w:hint="cs"/>
          <w:rtl/>
        </w:rPr>
        <w:t>, רש"י.</w:t>
      </w:r>
    </w:p>
  </w:footnote>
  <w:footnote w:id="1312">
    <w:p w14:paraId="6BA6224D" w14:textId="77777777" w:rsidR="00FA2119" w:rsidRDefault="00FA2119" w:rsidP="00FA2119">
      <w:pPr>
        <w:pStyle w:val="a5"/>
      </w:pPr>
      <w:r>
        <w:rPr>
          <w:rStyle w:val="a7"/>
        </w:rPr>
        <w:footnoteRef/>
      </w:r>
      <w:r>
        <w:rPr>
          <w:rtl/>
        </w:rPr>
        <w:t xml:space="preserve"> </w:t>
      </w:r>
      <w:r w:rsidRPr="005D0E9F">
        <w:rPr>
          <w:rFonts w:cs="Arial"/>
          <w:rtl/>
        </w:rPr>
        <w:t>באומר אמרו</w:t>
      </w:r>
      <w:r>
        <w:rPr>
          <w:rFonts w:cs="Arial" w:hint="cs"/>
          <w:rtl/>
        </w:rPr>
        <w:t>, רש"י.</w:t>
      </w:r>
    </w:p>
  </w:footnote>
  <w:footnote w:id="1313">
    <w:p w14:paraId="5F7ECB86" w14:textId="21529F3C" w:rsidR="00FA2119" w:rsidRDefault="00FA2119" w:rsidP="00FA2119">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sidRPr="00B550BB">
        <w:rPr>
          <w:rFonts w:cs="Arial"/>
          <w:rtl/>
        </w:rPr>
        <w:t>אמר לעשרה כתבו גט וחתמו ותנו לאשתי</w:t>
      </w:r>
      <w:r w:rsidRPr="00B550BB">
        <w:rPr>
          <w:rFonts w:cs="Arial" w:hint="cs"/>
          <w:rtl/>
        </w:rPr>
        <w:t>,</w:t>
      </w:r>
      <w:r w:rsidRPr="00B550BB">
        <w:rPr>
          <w:rFonts w:cs="Arial"/>
          <w:rtl/>
        </w:rPr>
        <w:t xml:space="preserve"> אחד מהם כותב ושנים מהם חותמין ואחד מהם נותנו לה</w:t>
      </w:r>
      <w:r w:rsidRPr="00B550BB">
        <w:rPr>
          <w:rFonts w:cs="Arial" w:hint="cs"/>
          <w:rtl/>
        </w:rPr>
        <w:t>,</w:t>
      </w:r>
      <w:r w:rsidRPr="00B550BB">
        <w:rPr>
          <w:rFonts w:cs="Arial"/>
          <w:rtl/>
        </w:rPr>
        <w:t xml:space="preserve"> ואפילו היה הכותב אחד משני העדים שחתמו בו והוא השליח שנתנו לה </w:t>
      </w:r>
      <w:r w:rsidRPr="00B550BB">
        <w:rPr>
          <w:rFonts w:cs="Arial" w:hint="cs"/>
          <w:rtl/>
        </w:rPr>
        <w:t xml:space="preserve">- </w:t>
      </w:r>
      <w:r w:rsidRPr="00B550BB">
        <w:rPr>
          <w:rFonts w:cs="Arial"/>
          <w:rtl/>
        </w:rPr>
        <w:t>הרי זה כשר.</w:t>
      </w:r>
    </w:p>
  </w:footnote>
  <w:footnote w:id="1314">
    <w:p w14:paraId="1E52AEB8" w14:textId="77777777" w:rsidR="00FA2119" w:rsidRDefault="00FA2119" w:rsidP="00FA2119">
      <w:pPr>
        <w:pStyle w:val="a5"/>
      </w:pPr>
      <w:r>
        <w:rPr>
          <w:rStyle w:val="a7"/>
        </w:rPr>
        <w:footnoteRef/>
      </w:r>
      <w:r>
        <w:rPr>
          <w:rtl/>
        </w:rPr>
        <w:t xml:space="preserve"> </w:t>
      </w:r>
      <w:r>
        <w:rPr>
          <w:rFonts w:cs="Arial" w:hint="cs"/>
          <w:rtl/>
        </w:rPr>
        <w:t>ש</w:t>
      </w:r>
      <w:r w:rsidRPr="00B550BB">
        <w:rPr>
          <w:rFonts w:cs="Arial"/>
          <w:rtl/>
        </w:rPr>
        <w:t>פסקו הרי"ף (לג.) והרא"ש (פ"ז סי' יט) בס</w:t>
      </w:r>
      <w:r>
        <w:rPr>
          <w:rFonts w:cs="Arial" w:hint="cs"/>
          <w:rtl/>
        </w:rPr>
        <w:t>"</w:t>
      </w:r>
      <w:r w:rsidRPr="00B550BB">
        <w:rPr>
          <w:rFonts w:cs="Arial"/>
          <w:rtl/>
        </w:rPr>
        <w:t>פ התקבל דאומר אמרו פסול, ולפי זה משמע דסבירא להו דחתם סופר ועד כשר</w:t>
      </w:r>
      <w:r w:rsidRPr="00B550BB">
        <w:rPr>
          <w:rFonts w:cs="Arial" w:hint="cs"/>
          <w:rtl/>
        </w:rPr>
        <w:t>.</w:t>
      </w:r>
      <w:r w:rsidRPr="00B550BB">
        <w:rPr>
          <w:rFonts w:cs="Arial"/>
          <w:rtl/>
        </w:rPr>
        <w:t xml:space="preserve"> וכן כתבו בהמגרש (רי"ף מו: רא"ש סי' ט) מתניתין דכתב סופר ועד כשר (פז:) ומאי דאיתמר עלה (פח.) אמר רבי ירמיה חתם סופר שנינו. וכתב הר"ן בפרק התקבל (לג. ד"ה ואפילו) שכן דעת </w:t>
      </w:r>
      <w:r w:rsidRPr="00B550BB">
        <w:rPr>
          <w:rFonts w:cs="Arial" w:hint="cs"/>
          <w:rtl/>
        </w:rPr>
        <w:t>בה"ג</w:t>
      </w:r>
      <w:r w:rsidRPr="00B550BB">
        <w:rPr>
          <w:rFonts w:cs="Arial"/>
          <w:rtl/>
        </w:rPr>
        <w:t xml:space="preserve"> (סי' לט פ:) ור</w:t>
      </w:r>
      <w:r>
        <w:rPr>
          <w:rFonts w:cs="Arial" w:hint="cs"/>
          <w:rtl/>
        </w:rPr>
        <w:t>"</w:t>
      </w:r>
      <w:r w:rsidRPr="00B550BB">
        <w:rPr>
          <w:rFonts w:cs="Arial"/>
          <w:rtl/>
        </w:rPr>
        <w:t>ח להכשיר חתם סופר ועד</w:t>
      </w:r>
      <w:r>
        <w:rPr>
          <w:rFonts w:cs="Arial" w:hint="cs"/>
          <w:rtl/>
        </w:rPr>
        <w:t>, ב"י.</w:t>
      </w:r>
    </w:p>
  </w:footnote>
  <w:footnote w:id="1315">
    <w:p w14:paraId="650596EB" w14:textId="078CAF1A" w:rsidR="00FA2119" w:rsidRPr="00290984" w:rsidRDefault="00FA2119" w:rsidP="00FA2119">
      <w:pPr>
        <w:pStyle w:val="a5"/>
        <w:rPr>
          <w:rtl/>
        </w:rPr>
      </w:pPr>
      <w:r>
        <w:rPr>
          <w:rStyle w:val="a7"/>
        </w:rPr>
        <w:footnoteRef/>
      </w:r>
      <w:r>
        <w:rPr>
          <w:rtl/>
        </w:rPr>
        <w:t xml:space="preserve"> </w:t>
      </w:r>
      <w:r>
        <w:rPr>
          <w:rFonts w:hint="cs"/>
          <w:rtl/>
        </w:rPr>
        <w:t xml:space="preserve">כן כתב הב"י כדי ליישב את דברי המרדכי והרא"ש </w:t>
      </w:r>
      <w:r w:rsidRPr="00290984">
        <w:rPr>
          <w:rFonts w:hint="cs"/>
          <w:sz w:val="16"/>
          <w:szCs w:val="16"/>
          <w:rtl/>
        </w:rPr>
        <w:t>(</w:t>
      </w:r>
      <w:r w:rsidR="000A0F5A">
        <w:rPr>
          <w:rFonts w:hint="cs"/>
          <w:sz w:val="16"/>
          <w:szCs w:val="16"/>
          <w:rtl/>
        </w:rPr>
        <w:t>וז</w:t>
      </w:r>
      <w:r w:rsidR="000A0F5A">
        <w:rPr>
          <w:sz w:val="16"/>
          <w:szCs w:val="16"/>
          <w:rtl/>
        </w:rPr>
        <w:t>"</w:t>
      </w:r>
      <w:r w:rsidR="000A0F5A">
        <w:rPr>
          <w:rFonts w:hint="cs"/>
          <w:sz w:val="16"/>
          <w:szCs w:val="16"/>
          <w:rtl/>
        </w:rPr>
        <w:t>ל:</w:t>
      </w:r>
      <w:r w:rsidRPr="00290984">
        <w:rPr>
          <w:rFonts w:cs="Arial"/>
          <w:sz w:val="16"/>
          <w:szCs w:val="16"/>
          <w:rtl/>
        </w:rPr>
        <w:t xml:space="preserve"> המרדכי בפרק התקבל (סי' תטז) כתב דברי ר"י וא</w:t>
      </w:r>
      <w:r w:rsidRPr="00290984">
        <w:rPr>
          <w:rFonts w:cs="Arial" w:hint="cs"/>
          <w:sz w:val="16"/>
          <w:szCs w:val="16"/>
          <w:rtl/>
        </w:rPr>
        <w:t>ח"</w:t>
      </w:r>
      <w:r w:rsidRPr="00290984">
        <w:rPr>
          <w:rFonts w:cs="Arial"/>
          <w:sz w:val="16"/>
          <w:szCs w:val="16"/>
          <w:rtl/>
        </w:rPr>
        <w:t>כ כתב ויכול להיות דהרי"ף ורבינו חננאל דפסקו כמאן דפסלי באומר אמרו לא לגמרי פסקו כמותן בין לקולא בין לחומרא אלא דיש לחוש לדברי שניהם עכ"ל. ותימא הוא לפרש כן דברי הרי"ף</w:t>
      </w:r>
      <w:r w:rsidRPr="00290984">
        <w:rPr>
          <w:rFonts w:cs="Arial" w:hint="cs"/>
          <w:sz w:val="16"/>
          <w:szCs w:val="16"/>
          <w:rtl/>
        </w:rPr>
        <w:t>,</w:t>
      </w:r>
      <w:r w:rsidRPr="00290984">
        <w:rPr>
          <w:rFonts w:cs="Arial"/>
          <w:sz w:val="16"/>
          <w:szCs w:val="16"/>
          <w:rtl/>
        </w:rPr>
        <w:t xml:space="preserve"> דאם כן היכי כתב (מט.) מתניתין דכתב סופר ועד כשר ואמר רבי ירמיה חתם סופר שנינו. ושמא דעת המרדכי שכתבתי</w:t>
      </w:r>
      <w:r w:rsidRPr="00290984">
        <w:rPr>
          <w:rFonts w:cs="Arial" w:hint="cs"/>
          <w:sz w:val="16"/>
          <w:szCs w:val="16"/>
          <w:rtl/>
        </w:rPr>
        <w:t xml:space="preserve"> -</w:t>
      </w:r>
      <w:r w:rsidRPr="00290984">
        <w:rPr>
          <w:rFonts w:cs="Arial"/>
          <w:sz w:val="16"/>
          <w:szCs w:val="16"/>
          <w:rtl/>
        </w:rPr>
        <w:t xml:space="preserve"> להכשיר בדיעבד</w:t>
      </w:r>
      <w:r w:rsidRPr="00290984">
        <w:rPr>
          <w:rFonts w:cs="Arial" w:hint="cs"/>
          <w:sz w:val="16"/>
          <w:szCs w:val="16"/>
          <w:rtl/>
        </w:rPr>
        <w:t>,</w:t>
      </w:r>
      <w:r w:rsidRPr="00290984">
        <w:rPr>
          <w:rFonts w:cs="Arial"/>
          <w:sz w:val="16"/>
          <w:szCs w:val="16"/>
          <w:rtl/>
        </w:rPr>
        <w:t xml:space="preserve"> וכמו שכתב </w:t>
      </w:r>
      <w:r w:rsidRPr="00290984">
        <w:rPr>
          <w:rFonts w:cs="Arial" w:hint="cs"/>
          <w:sz w:val="16"/>
          <w:szCs w:val="16"/>
          <w:rtl/>
        </w:rPr>
        <w:t>רי"ו</w:t>
      </w:r>
      <w:r w:rsidRPr="00290984">
        <w:rPr>
          <w:rFonts w:cs="Arial"/>
          <w:sz w:val="16"/>
          <w:szCs w:val="16"/>
          <w:rtl/>
        </w:rPr>
        <w:t xml:space="preserve"> (נכ"ד ח"ב רד ע"ד) שקיבל מרבותיו שלא הכשיר הרי"ף חתם סופר ועד אלא דיעבד דוקא. וגם להרא"ש צריך לומר כן</w:t>
      </w:r>
      <w:r w:rsidRPr="00290984">
        <w:rPr>
          <w:rFonts w:cs="Arial" w:hint="cs"/>
          <w:sz w:val="16"/>
          <w:szCs w:val="16"/>
          <w:rtl/>
        </w:rPr>
        <w:t>,</w:t>
      </w:r>
      <w:r w:rsidRPr="00290984">
        <w:rPr>
          <w:rFonts w:cs="Arial"/>
          <w:sz w:val="16"/>
          <w:szCs w:val="16"/>
          <w:rtl/>
        </w:rPr>
        <w:t xml:space="preserve"> שהרי כתב דברי ר"י ולא חלק עליהם וכן פסק רבינו ברמזים (פ"ט סי' ו) כדברי ר"י והרא"ש בעצמו כתב בתשובה </w:t>
      </w:r>
      <w:r w:rsidRPr="00290984">
        <w:rPr>
          <w:rFonts w:cs="Arial" w:hint="cs"/>
          <w:sz w:val="16"/>
          <w:szCs w:val="16"/>
          <w:rtl/>
        </w:rPr>
        <w:t>(</w:t>
      </w:r>
      <w:r w:rsidRPr="00290984">
        <w:rPr>
          <w:rFonts w:cs="Arial"/>
          <w:sz w:val="16"/>
          <w:szCs w:val="16"/>
          <w:rtl/>
        </w:rPr>
        <w:t>כלל מה סי</w:t>
      </w:r>
      <w:r w:rsidRPr="00290984">
        <w:rPr>
          <w:rFonts w:cs="Arial" w:hint="cs"/>
          <w:sz w:val="16"/>
          <w:szCs w:val="16"/>
          <w:rtl/>
        </w:rPr>
        <w:t>'</w:t>
      </w:r>
      <w:r w:rsidRPr="00290984">
        <w:rPr>
          <w:rFonts w:cs="Arial"/>
          <w:sz w:val="16"/>
          <w:szCs w:val="16"/>
          <w:rtl/>
        </w:rPr>
        <w:t xml:space="preserve"> ח</w:t>
      </w:r>
      <w:r w:rsidRPr="00290984">
        <w:rPr>
          <w:rFonts w:cs="Arial" w:hint="cs"/>
          <w:sz w:val="16"/>
          <w:szCs w:val="16"/>
          <w:rtl/>
        </w:rPr>
        <w:t>)</w:t>
      </w:r>
      <w:r w:rsidRPr="00290984">
        <w:rPr>
          <w:rFonts w:cs="Arial"/>
          <w:sz w:val="16"/>
          <w:szCs w:val="16"/>
          <w:rtl/>
        </w:rPr>
        <w:t xml:space="preserve"> דחתם סופר ועד פסול כדברי ר"י</w:t>
      </w:r>
      <w:r w:rsidRPr="00290984">
        <w:rPr>
          <w:rFonts w:cs="Arial" w:hint="cs"/>
          <w:sz w:val="16"/>
          <w:szCs w:val="16"/>
          <w:rtl/>
        </w:rPr>
        <w:t>,</w:t>
      </w:r>
      <w:r w:rsidRPr="00290984">
        <w:rPr>
          <w:rFonts w:cs="Arial"/>
          <w:sz w:val="16"/>
          <w:szCs w:val="16"/>
          <w:rtl/>
        </w:rPr>
        <w:t xml:space="preserve"> ובסוף הכלל הנזכר (סי' כח) כתב שכל רבותיו היו מורים כדברי ר"י ז"ל</w:t>
      </w:r>
      <w:r w:rsidRPr="00290984">
        <w:rPr>
          <w:rFonts w:cs="Arial" w:hint="cs"/>
          <w:sz w:val="16"/>
          <w:szCs w:val="16"/>
          <w:rtl/>
        </w:rPr>
        <w:t>.</w:t>
      </w:r>
      <w:r w:rsidRPr="00290984">
        <w:rPr>
          <w:rFonts w:cs="Arial"/>
          <w:sz w:val="16"/>
          <w:szCs w:val="16"/>
          <w:rtl/>
        </w:rPr>
        <w:t xml:space="preserve"> אם כן על כרחך לומר דלא כתב המשנה (פ"ט סי' ו וסי' ט) ומאי דאיתמר עלה חתם סופר שנינו אלא להכשיר בדיעבד</w:t>
      </w:r>
      <w:r w:rsidRPr="00290984">
        <w:rPr>
          <w:rFonts w:cs="Arial" w:hint="cs"/>
          <w:sz w:val="16"/>
          <w:szCs w:val="16"/>
          <w:rtl/>
        </w:rPr>
        <w:t>,</w:t>
      </w:r>
      <w:r w:rsidRPr="00290984">
        <w:rPr>
          <w:rFonts w:cs="Arial"/>
          <w:sz w:val="16"/>
          <w:szCs w:val="16"/>
          <w:rtl/>
        </w:rPr>
        <w:t xml:space="preserve"> דגם ר"י עצמו הכשיר הולד בדיעבד בחתם סופר ועד כדאיתא במרדכי ר</w:t>
      </w:r>
      <w:r>
        <w:rPr>
          <w:rFonts w:cs="Arial" w:hint="cs"/>
          <w:sz w:val="16"/>
          <w:szCs w:val="16"/>
          <w:rtl/>
        </w:rPr>
        <w:t>"</w:t>
      </w:r>
      <w:r w:rsidRPr="00290984">
        <w:rPr>
          <w:rFonts w:cs="Arial"/>
          <w:sz w:val="16"/>
          <w:szCs w:val="16"/>
          <w:rtl/>
        </w:rPr>
        <w:t xml:space="preserve">פ מי שאחזו </w:t>
      </w:r>
      <w:r w:rsidRPr="006C123D">
        <w:rPr>
          <w:rFonts w:cs="Arial"/>
          <w:sz w:val="14"/>
          <w:szCs w:val="14"/>
          <w:rtl/>
        </w:rPr>
        <w:t>(סי' תכא</w:t>
      </w:r>
      <w:r w:rsidRPr="006C123D">
        <w:rPr>
          <w:rFonts w:cs="Arial" w:hint="cs"/>
          <w:sz w:val="14"/>
          <w:szCs w:val="14"/>
          <w:rtl/>
        </w:rPr>
        <w:t xml:space="preserve">, </w:t>
      </w:r>
      <w:r w:rsidR="000A0F5A">
        <w:rPr>
          <w:rFonts w:cs="Arial" w:hint="cs"/>
          <w:sz w:val="14"/>
          <w:szCs w:val="14"/>
          <w:rtl/>
        </w:rPr>
        <w:t>וז</w:t>
      </w:r>
      <w:r w:rsidR="000A0F5A">
        <w:rPr>
          <w:rFonts w:cs="Arial"/>
          <w:sz w:val="14"/>
          <w:szCs w:val="14"/>
          <w:rtl/>
        </w:rPr>
        <w:t>"</w:t>
      </w:r>
      <w:r w:rsidR="000A0F5A">
        <w:rPr>
          <w:rFonts w:cs="Arial" w:hint="cs"/>
          <w:sz w:val="14"/>
          <w:szCs w:val="14"/>
          <w:rtl/>
        </w:rPr>
        <w:t>ל:</w:t>
      </w:r>
      <w:r w:rsidRPr="006C123D">
        <w:rPr>
          <w:rFonts w:cs="Arial" w:hint="cs"/>
          <w:sz w:val="14"/>
          <w:szCs w:val="14"/>
          <w:rtl/>
        </w:rPr>
        <w:t xml:space="preserve"> </w:t>
      </w:r>
      <w:r w:rsidRPr="006C123D">
        <w:rPr>
          <w:rFonts w:cs="Arial"/>
          <w:sz w:val="14"/>
          <w:szCs w:val="14"/>
          <w:rtl/>
        </w:rPr>
        <w:t xml:space="preserve">כתב ר"י בתשובתו כדאי הוא </w:t>
      </w:r>
      <w:r w:rsidRPr="006C123D">
        <w:rPr>
          <w:rFonts w:cs="Arial" w:hint="cs"/>
          <w:sz w:val="14"/>
          <w:szCs w:val="14"/>
          <w:rtl/>
        </w:rPr>
        <w:t>ר"ח</w:t>
      </w:r>
      <w:r w:rsidRPr="006C123D">
        <w:rPr>
          <w:rFonts w:cs="Arial"/>
          <w:sz w:val="14"/>
          <w:szCs w:val="14"/>
          <w:rtl/>
        </w:rPr>
        <w:t xml:space="preserve"> לסמוך עליו בשעת הדחק על מעשה שהיה ונשאת וילדה והכשיר הולד</w:t>
      </w:r>
      <w:r w:rsidRPr="006C123D">
        <w:rPr>
          <w:rFonts w:cs="Arial" w:hint="cs"/>
          <w:sz w:val="14"/>
          <w:szCs w:val="14"/>
          <w:rtl/>
        </w:rPr>
        <w:t>.</w:t>
      </w:r>
      <w:r w:rsidRPr="006C123D">
        <w:rPr>
          <w:rFonts w:cs="Arial"/>
          <w:sz w:val="14"/>
          <w:szCs w:val="14"/>
          <w:rtl/>
        </w:rPr>
        <w:t xml:space="preserve"> מיהו לא נתברר אצלי אם גם בלא נשאת או נשאת בלא ילדה מה יאמר רבינו הזקן בהם</w:t>
      </w:r>
      <w:r>
        <w:rPr>
          <w:rFonts w:cs="Arial" w:hint="cs"/>
          <w:sz w:val="14"/>
          <w:szCs w:val="14"/>
          <w:rtl/>
        </w:rPr>
        <w:t xml:space="preserve">. עכ"ל. </w:t>
      </w:r>
      <w:r w:rsidRPr="00E927E3">
        <w:rPr>
          <w:rFonts w:cs="Arial" w:hint="cs"/>
          <w:color w:val="000000" w:themeColor="text1"/>
          <w:sz w:val="14"/>
          <w:szCs w:val="14"/>
          <w:rtl/>
        </w:rPr>
        <w:t>אמנם הטור כתב בשם התוס' שפסול, וצל"ע אם חולקים</w:t>
      </w:r>
      <w:r w:rsidRPr="006C123D">
        <w:rPr>
          <w:rFonts w:cs="Arial" w:hint="cs"/>
          <w:sz w:val="14"/>
          <w:szCs w:val="14"/>
          <w:rtl/>
        </w:rPr>
        <w:t>)</w:t>
      </w:r>
      <w:r w:rsidRPr="00290984">
        <w:rPr>
          <w:rFonts w:cs="Arial"/>
          <w:sz w:val="16"/>
          <w:szCs w:val="16"/>
          <w:rtl/>
        </w:rPr>
        <w:t>. וגם דברי הרמב"ם (שם) יש לפרש דלא מכשר בחתם סופר ועד אלא בדיעבד</w:t>
      </w:r>
      <w:r>
        <w:rPr>
          <w:rFonts w:cs="Arial" w:hint="cs"/>
          <w:sz w:val="16"/>
          <w:szCs w:val="16"/>
          <w:rtl/>
        </w:rPr>
        <w:t>.</w:t>
      </w:r>
      <w:r w:rsidRPr="00290984">
        <w:rPr>
          <w:rFonts w:cs="Arial"/>
          <w:sz w:val="16"/>
          <w:szCs w:val="16"/>
          <w:rtl/>
        </w:rPr>
        <w:t xml:space="preserve"> וכ</w:t>
      </w:r>
      <w:r>
        <w:rPr>
          <w:rFonts w:cs="Arial" w:hint="cs"/>
          <w:sz w:val="16"/>
          <w:szCs w:val="16"/>
          <w:rtl/>
        </w:rPr>
        <w:t>"</w:t>
      </w:r>
      <w:r w:rsidRPr="00290984">
        <w:rPr>
          <w:rFonts w:cs="Arial"/>
          <w:sz w:val="16"/>
          <w:szCs w:val="16"/>
          <w:rtl/>
        </w:rPr>
        <w:t>כ הגה</w:t>
      </w:r>
      <w:r>
        <w:rPr>
          <w:rFonts w:cs="Arial" w:hint="cs"/>
          <w:sz w:val="16"/>
          <w:szCs w:val="16"/>
          <w:rtl/>
        </w:rPr>
        <w:t xml:space="preserve">"מ </w:t>
      </w:r>
      <w:r w:rsidRPr="00CB0180">
        <w:rPr>
          <w:rFonts w:cs="Arial" w:hint="cs"/>
          <w:sz w:val="14"/>
          <w:szCs w:val="14"/>
          <w:rtl/>
        </w:rPr>
        <w:t>(</w:t>
      </w:r>
      <w:r w:rsidRPr="00CB0180">
        <w:rPr>
          <w:rFonts w:cs="Arial"/>
          <w:sz w:val="14"/>
          <w:szCs w:val="14"/>
          <w:rtl/>
        </w:rPr>
        <w:t>פ</w:t>
      </w:r>
      <w:r w:rsidRPr="00CB0180">
        <w:rPr>
          <w:rFonts w:cs="Arial" w:hint="cs"/>
          <w:sz w:val="14"/>
          <w:szCs w:val="14"/>
          <w:rtl/>
        </w:rPr>
        <w:t>"</w:t>
      </w:r>
      <w:r w:rsidRPr="00CB0180">
        <w:rPr>
          <w:rFonts w:cs="Arial"/>
          <w:sz w:val="14"/>
          <w:szCs w:val="14"/>
          <w:rtl/>
        </w:rPr>
        <w:t>ט אות ז</w:t>
      </w:r>
      <w:r w:rsidRPr="00CB0180">
        <w:rPr>
          <w:rFonts w:cs="Arial" w:hint="cs"/>
          <w:sz w:val="14"/>
          <w:szCs w:val="14"/>
          <w:rtl/>
        </w:rPr>
        <w:t xml:space="preserve">, </w:t>
      </w:r>
      <w:r w:rsidR="000A0F5A">
        <w:rPr>
          <w:rFonts w:cs="Arial" w:hint="cs"/>
          <w:sz w:val="14"/>
          <w:szCs w:val="14"/>
          <w:rtl/>
        </w:rPr>
        <w:t>וז</w:t>
      </w:r>
      <w:r w:rsidR="000A0F5A">
        <w:rPr>
          <w:rFonts w:cs="Arial"/>
          <w:sz w:val="14"/>
          <w:szCs w:val="14"/>
          <w:rtl/>
        </w:rPr>
        <w:t>"</w:t>
      </w:r>
      <w:r w:rsidR="000A0F5A">
        <w:rPr>
          <w:rFonts w:cs="Arial" w:hint="cs"/>
          <w:sz w:val="14"/>
          <w:szCs w:val="14"/>
          <w:rtl/>
        </w:rPr>
        <w:t>ל:</w:t>
      </w:r>
      <w:r w:rsidRPr="00CB0180">
        <w:rPr>
          <w:rFonts w:cs="Arial"/>
          <w:sz w:val="14"/>
          <w:szCs w:val="14"/>
          <w:rtl/>
        </w:rPr>
        <w:t xml:space="preserve"> ומיהו לכתחלה לא יחתום סופר ועד מדאמר רב בהמגרש (פו:) מי דמי התם חתם סופר לכתחלה ולשון המשנה (פז:) משמע כן כתב סופר בדיעבד </w:t>
      </w:r>
      <w:r w:rsidRPr="00CB0180">
        <w:rPr>
          <w:rFonts w:cs="Arial" w:hint="cs"/>
          <w:sz w:val="14"/>
          <w:szCs w:val="14"/>
          <w:rtl/>
        </w:rPr>
        <w:t>עכ"ל</w:t>
      </w:r>
      <w:r w:rsidRPr="00CB0180">
        <w:rPr>
          <w:rFonts w:cs="Arial"/>
          <w:sz w:val="14"/>
          <w:szCs w:val="14"/>
          <w:rtl/>
        </w:rPr>
        <w:t xml:space="preserve"> רבינו שמחה</w:t>
      </w:r>
      <w:r>
        <w:rPr>
          <w:rFonts w:cs="Arial" w:hint="cs"/>
          <w:sz w:val="14"/>
          <w:szCs w:val="14"/>
          <w:rtl/>
        </w:rPr>
        <w:t>)</w:t>
      </w:r>
      <w:r w:rsidRPr="00290984">
        <w:rPr>
          <w:rFonts w:cs="Arial" w:hint="cs"/>
          <w:sz w:val="16"/>
          <w:szCs w:val="16"/>
          <w:rtl/>
        </w:rPr>
        <w:t>)</w:t>
      </w:r>
      <w:r>
        <w:rPr>
          <w:rFonts w:cs="Arial" w:hint="cs"/>
          <w:rtl/>
        </w:rPr>
        <w:t>.</w:t>
      </w:r>
    </w:p>
  </w:footnote>
  <w:footnote w:id="1316">
    <w:p w14:paraId="227B998D" w14:textId="4504F0A9" w:rsidR="00FA2119" w:rsidRDefault="00FA2119" w:rsidP="00FA2119">
      <w:pPr>
        <w:pStyle w:val="a5"/>
      </w:pPr>
      <w:r>
        <w:rPr>
          <w:rStyle w:val="a7"/>
        </w:rPr>
        <w:footnoteRef/>
      </w:r>
      <w:r>
        <w:rPr>
          <w:rtl/>
        </w:rPr>
        <w:t xml:space="preserve"> </w:t>
      </w:r>
      <w:r w:rsidR="000A0F5A">
        <w:rPr>
          <w:rFonts w:cs="Arial" w:hint="cs"/>
          <w:rtl/>
        </w:rPr>
        <w:t>וז</w:t>
      </w:r>
      <w:r w:rsidR="000A0F5A">
        <w:rPr>
          <w:rFonts w:cs="Arial"/>
          <w:rtl/>
        </w:rPr>
        <w:t>"</w:t>
      </w:r>
      <w:r w:rsidR="000A0F5A">
        <w:rPr>
          <w:rFonts w:cs="Arial" w:hint="cs"/>
          <w:rtl/>
        </w:rPr>
        <w:t>ל:</w:t>
      </w:r>
      <w:r>
        <w:rPr>
          <w:rFonts w:cs="Arial" w:hint="cs"/>
          <w:rtl/>
        </w:rPr>
        <w:t xml:space="preserve"> </w:t>
      </w:r>
      <w:r>
        <w:rPr>
          <w:rFonts w:cs="Arial"/>
          <w:rtl/>
        </w:rPr>
        <w:t>ר"י הזקן בעל התוספות נסתפק בדבר והילכך אזלינן בתרווייהו לחומרא ופסלינן מספק אומר אמרו עד שישמעו מפי הבעל ויאמר לסופר כתוב ולעדים חתומו וכן נמי פסלינן מן הספק חתם סופר ועד</w:t>
      </w:r>
      <w:r>
        <w:rPr>
          <w:rFonts w:cs="Arial" w:hint="cs"/>
          <w:rtl/>
        </w:rPr>
        <w:t>,</w:t>
      </w:r>
      <w:r>
        <w:rPr>
          <w:rFonts w:cs="Arial"/>
          <w:rtl/>
        </w:rPr>
        <w:t xml:space="preserve"> ואנו צריכין לחוש לדברי ר"י הזקן להחמיר בערוה החמורה ועוד שהוא רב גדול ומובהק</w:t>
      </w:r>
      <w:r>
        <w:rPr>
          <w:rFonts w:cs="Arial" w:hint="cs"/>
          <w:rtl/>
        </w:rPr>
        <w:t>.</w:t>
      </w:r>
    </w:p>
  </w:footnote>
  <w:footnote w:id="1317">
    <w:p w14:paraId="7ABE8A70" w14:textId="77777777" w:rsidR="00FA2119" w:rsidRDefault="00FA2119" w:rsidP="00FA2119">
      <w:pPr>
        <w:pStyle w:val="a5"/>
        <w:rPr>
          <w:rtl/>
        </w:rPr>
      </w:pPr>
      <w:r>
        <w:rPr>
          <w:rStyle w:val="a7"/>
        </w:rPr>
        <w:footnoteRef/>
      </w:r>
      <w:r>
        <w:rPr>
          <w:rtl/>
        </w:rPr>
        <w:t xml:space="preserve"> </w:t>
      </w:r>
      <w:r w:rsidRPr="00EC6793">
        <w:rPr>
          <w:rFonts w:cs="Arial"/>
          <w:rtl/>
        </w:rPr>
        <w:t xml:space="preserve">ר"י </w:t>
      </w:r>
      <w:r w:rsidRPr="00EC6793">
        <w:rPr>
          <w:rFonts w:cs="Arial"/>
          <w:sz w:val="16"/>
          <w:szCs w:val="16"/>
          <w:rtl/>
        </w:rPr>
        <w:t>(תוס' פח. ד"ה א"ר ירמיה, סדר הגט לר"י הזקן סי' ט)</w:t>
      </w:r>
      <w:r>
        <w:rPr>
          <w:rFonts w:cs="Arial" w:hint="cs"/>
          <w:rtl/>
        </w:rPr>
        <w:t xml:space="preserve"> </w:t>
      </w:r>
      <w:r>
        <w:rPr>
          <w:rFonts w:cs="Arial"/>
          <w:rtl/>
        </w:rPr>
        <w:t xml:space="preserve">תרומה </w:t>
      </w:r>
      <w:r w:rsidRPr="00FB21C2">
        <w:rPr>
          <w:rFonts w:cs="Arial"/>
          <w:sz w:val="16"/>
          <w:szCs w:val="16"/>
          <w:rtl/>
        </w:rPr>
        <w:t xml:space="preserve">(סי' קכה) </w:t>
      </w:r>
      <w:r>
        <w:rPr>
          <w:rFonts w:cs="Arial"/>
          <w:rtl/>
        </w:rPr>
        <w:t xml:space="preserve">רמב"ן </w:t>
      </w:r>
      <w:r w:rsidRPr="00FB21C2">
        <w:rPr>
          <w:rFonts w:cs="Arial"/>
          <w:sz w:val="16"/>
          <w:szCs w:val="16"/>
          <w:rtl/>
        </w:rPr>
        <w:t>(סו: ד"ה ואמר רב חסדא)</w:t>
      </w:r>
      <w:r>
        <w:rPr>
          <w:rFonts w:cs="Arial"/>
          <w:rtl/>
        </w:rPr>
        <w:t xml:space="preserve"> סמ"ג </w:t>
      </w:r>
      <w:r w:rsidRPr="00FB21C2">
        <w:rPr>
          <w:rFonts w:cs="Arial"/>
          <w:sz w:val="16"/>
          <w:szCs w:val="16"/>
          <w:rtl/>
        </w:rPr>
        <w:t>(עשין נ דף קל ע"ד)</w:t>
      </w:r>
      <w:r>
        <w:rPr>
          <w:rFonts w:cs="Arial"/>
          <w:rtl/>
        </w:rPr>
        <w:t xml:space="preserve"> סמ"ק </w:t>
      </w:r>
      <w:r w:rsidRPr="00FB21C2">
        <w:rPr>
          <w:rFonts w:cs="Arial"/>
          <w:sz w:val="16"/>
          <w:szCs w:val="16"/>
          <w:rtl/>
        </w:rPr>
        <w:t>(סי' קפד עמ' קמו)</w:t>
      </w:r>
      <w:r>
        <w:rPr>
          <w:rFonts w:cs="Arial"/>
          <w:rtl/>
        </w:rPr>
        <w:t xml:space="preserve"> רשב"א </w:t>
      </w:r>
      <w:r w:rsidRPr="00C81E12">
        <w:rPr>
          <w:rFonts w:cs="Arial"/>
          <w:sz w:val="16"/>
          <w:szCs w:val="16"/>
          <w:rtl/>
        </w:rPr>
        <w:t>(ח"א סי</w:t>
      </w:r>
      <w:r>
        <w:rPr>
          <w:rFonts w:cs="Arial" w:hint="cs"/>
          <w:sz w:val="16"/>
          <w:szCs w:val="16"/>
          <w:rtl/>
        </w:rPr>
        <w:t>'</w:t>
      </w:r>
      <w:r w:rsidRPr="00C81E12">
        <w:rPr>
          <w:rFonts w:cs="Arial"/>
          <w:sz w:val="16"/>
          <w:szCs w:val="16"/>
          <w:rtl/>
        </w:rPr>
        <w:t xml:space="preserve"> אלף רכא)</w:t>
      </w:r>
      <w:r>
        <w:rPr>
          <w:rFonts w:cs="Arial"/>
          <w:rtl/>
        </w:rPr>
        <w:t xml:space="preserve"> </w:t>
      </w:r>
      <w:r>
        <w:rPr>
          <w:rFonts w:cs="Arial" w:hint="cs"/>
          <w:rtl/>
        </w:rPr>
        <w:t xml:space="preserve">רא"ש </w:t>
      </w:r>
      <w:r>
        <w:rPr>
          <w:rFonts w:cs="Arial" w:hint="cs"/>
          <w:sz w:val="16"/>
          <w:szCs w:val="16"/>
          <w:rtl/>
        </w:rPr>
        <w:t>(בתוספותיו גיטין סז. ד"ה ולענין פסק)</w:t>
      </w:r>
      <w:r>
        <w:rPr>
          <w:rFonts w:cs="Arial" w:hint="cs"/>
          <w:rtl/>
        </w:rPr>
        <w:t xml:space="preserve"> ור"ן </w:t>
      </w:r>
      <w:r w:rsidRPr="00FB21C2">
        <w:rPr>
          <w:rFonts w:cs="Arial"/>
          <w:sz w:val="16"/>
          <w:szCs w:val="16"/>
          <w:rtl/>
        </w:rPr>
        <w:t>(לג. ד"ה ואפילו)</w:t>
      </w:r>
      <w:r>
        <w:rPr>
          <w:rFonts w:hint="cs"/>
          <w:rtl/>
        </w:rPr>
        <w:t>.</w:t>
      </w:r>
    </w:p>
  </w:footnote>
  <w:footnote w:id="1318">
    <w:p w14:paraId="7AD1F12E" w14:textId="77777777" w:rsidR="00FA2119" w:rsidRDefault="00FA2119" w:rsidP="00FA2119">
      <w:pPr>
        <w:pStyle w:val="a5"/>
      </w:pPr>
      <w:r>
        <w:rPr>
          <w:rStyle w:val="a7"/>
        </w:rPr>
        <w:footnoteRef/>
      </w:r>
      <w:r>
        <w:rPr>
          <w:rtl/>
        </w:rPr>
        <w:t xml:space="preserve"> </w:t>
      </w:r>
      <w:r>
        <w:rPr>
          <w:rFonts w:cs="Arial" w:hint="cs"/>
          <w:rtl/>
        </w:rPr>
        <w:t>לפיכך</w:t>
      </w:r>
      <w:r>
        <w:rPr>
          <w:rFonts w:cs="Arial"/>
          <w:rtl/>
        </w:rPr>
        <w:t xml:space="preserve"> אם אמר לשנים כתבו גט ותנו לאשתי </w:t>
      </w:r>
      <w:r>
        <w:rPr>
          <w:rFonts w:cs="Arial" w:hint="cs"/>
          <w:rtl/>
        </w:rPr>
        <w:t xml:space="preserve">- </w:t>
      </w:r>
      <w:r>
        <w:rPr>
          <w:rFonts w:cs="Arial"/>
          <w:rtl/>
        </w:rPr>
        <w:t>לא אמר כלום</w:t>
      </w:r>
      <w:r>
        <w:rPr>
          <w:rFonts w:cs="Arial" w:hint="cs"/>
          <w:rtl/>
        </w:rPr>
        <w:t>,</w:t>
      </w:r>
      <w:r>
        <w:rPr>
          <w:rFonts w:cs="Arial"/>
          <w:rtl/>
        </w:rPr>
        <w:t xml:space="preserve"> כי הסופר היה צריך לחתום עם הב'</w:t>
      </w:r>
      <w:r>
        <w:rPr>
          <w:rFonts w:cs="Arial" w:hint="cs"/>
          <w:rtl/>
        </w:rPr>
        <w:t>,</w:t>
      </w:r>
      <w:r>
        <w:rPr>
          <w:rFonts w:cs="Arial"/>
          <w:rtl/>
        </w:rPr>
        <w:t xml:space="preserve"> וזה א</w:t>
      </w:r>
      <w:r>
        <w:rPr>
          <w:rFonts w:cs="Arial" w:hint="cs"/>
          <w:rtl/>
        </w:rPr>
        <w:t xml:space="preserve">י </w:t>
      </w:r>
      <w:r>
        <w:rPr>
          <w:rFonts w:cs="Arial"/>
          <w:rtl/>
        </w:rPr>
        <w:t>א</w:t>
      </w:r>
      <w:r>
        <w:rPr>
          <w:rFonts w:cs="Arial" w:hint="cs"/>
          <w:rtl/>
        </w:rPr>
        <w:t>פשר, טור בשם התוס'.</w:t>
      </w:r>
    </w:p>
  </w:footnote>
  <w:footnote w:id="1319">
    <w:p w14:paraId="631E73B6" w14:textId="77777777" w:rsidR="00FA2119" w:rsidRDefault="00FA2119" w:rsidP="00FA2119">
      <w:pPr>
        <w:pStyle w:val="a5"/>
        <w:rPr>
          <w:rtl/>
        </w:rPr>
      </w:pPr>
      <w:r>
        <w:rPr>
          <w:rStyle w:val="a7"/>
        </w:rPr>
        <w:footnoteRef/>
      </w:r>
      <w:r>
        <w:rPr>
          <w:rtl/>
        </w:rPr>
        <w:t xml:space="preserve"> </w:t>
      </w:r>
      <w:r w:rsidRPr="00B95CE4">
        <w:rPr>
          <w:rFonts w:cs="Arial"/>
          <w:rtl/>
        </w:rPr>
        <w:t>דכל הני אמוראי דפליגי בכשר ולא תעשה סברי דחתם סופר ועד פסול</w:t>
      </w:r>
      <w:r>
        <w:rPr>
          <w:rFonts w:cs="Arial" w:hint="cs"/>
          <w:rtl/>
        </w:rPr>
        <w:t>... ואע"ג</w:t>
      </w:r>
      <w:r w:rsidRPr="00B95CE4">
        <w:rPr>
          <w:rFonts w:cs="Arial"/>
          <w:rtl/>
        </w:rPr>
        <w:t xml:space="preserve"> דרב מכשיר והלכתא כרב באיסורי </w:t>
      </w:r>
      <w:r>
        <w:rPr>
          <w:rFonts w:cs="Arial" w:hint="cs"/>
          <w:rtl/>
        </w:rPr>
        <w:t xml:space="preserve">- </w:t>
      </w:r>
      <w:r w:rsidRPr="00B95CE4">
        <w:rPr>
          <w:rFonts w:cs="Arial"/>
          <w:rtl/>
        </w:rPr>
        <w:t>הני מילי לגבי שמואל לחודיה</w:t>
      </w:r>
      <w:r>
        <w:rPr>
          <w:rFonts w:cs="Arial" w:hint="cs"/>
          <w:rtl/>
        </w:rPr>
        <w:t>,</w:t>
      </w:r>
      <w:r w:rsidRPr="00B95CE4">
        <w:rPr>
          <w:rFonts w:cs="Arial"/>
          <w:rtl/>
        </w:rPr>
        <w:t xml:space="preserve"> אבל הכא דכולהו אמוראי סברי כשמואל לית הלכתא כרב ואומר אמרו כשר כשמואל ורב חסדא דלעיל בפרק התקבל (סו</w:t>
      </w:r>
      <w:r>
        <w:rPr>
          <w:rFonts w:cs="Arial" w:hint="cs"/>
          <w:rtl/>
        </w:rPr>
        <w:t>:</w:t>
      </w:r>
      <w:r w:rsidRPr="00B95CE4">
        <w:rPr>
          <w:rFonts w:cs="Arial"/>
          <w:rtl/>
        </w:rPr>
        <w:t>)</w:t>
      </w:r>
      <w:r>
        <w:rPr>
          <w:rFonts w:cs="Arial" w:hint="cs"/>
          <w:rtl/>
        </w:rPr>
        <w:t>,</w:t>
      </w:r>
      <w:r w:rsidRPr="00B95CE4">
        <w:rPr>
          <w:rFonts w:cs="Arial"/>
          <w:rtl/>
        </w:rPr>
        <w:t xml:space="preserve"> וכיון דחתם סופר ועד פסול ליכא למיחש לחורבא</w:t>
      </w:r>
      <w:r>
        <w:rPr>
          <w:rFonts w:cs="Arial" w:hint="cs"/>
          <w:rtl/>
        </w:rPr>
        <w:t>.</w:t>
      </w:r>
      <w:r w:rsidRPr="00B95CE4">
        <w:rPr>
          <w:rFonts w:cs="Arial"/>
          <w:rtl/>
        </w:rPr>
        <w:t xml:space="preserve"> ור</w:t>
      </w:r>
      <w:r>
        <w:rPr>
          <w:rFonts w:cs="Arial" w:hint="cs"/>
          <w:rtl/>
        </w:rPr>
        <w:t>"</w:t>
      </w:r>
      <w:r w:rsidRPr="00B95CE4">
        <w:rPr>
          <w:rFonts w:cs="Arial"/>
          <w:rtl/>
        </w:rPr>
        <w:t>ח ז"ל פסק דלית הלכתא ככל הנהו אמוראי דמכשרי באומר אמרו אלא כדתניא בפ' מי שאחזו (עב</w:t>
      </w:r>
      <w:r>
        <w:rPr>
          <w:rFonts w:cs="Arial" w:hint="cs"/>
          <w:rtl/>
        </w:rPr>
        <w:t>.</w:t>
      </w:r>
      <w:r w:rsidRPr="00B95CE4">
        <w:rPr>
          <w:rFonts w:cs="Arial"/>
          <w:rtl/>
        </w:rPr>
        <w:t>) כוותיה דרב אשי עד שישמעו קולו שיאמר לסופר כתוב ולעדים חתומו ודייק התלמוד ישמעו לאפוקי ממאן דמכשר באומר אמרו</w:t>
      </w:r>
      <w:r>
        <w:rPr>
          <w:rFonts w:cs="Arial" w:hint="cs"/>
          <w:rtl/>
        </w:rPr>
        <w:t>.</w:t>
      </w:r>
      <w:r w:rsidRPr="00B95CE4">
        <w:rPr>
          <w:rFonts w:cs="Arial"/>
          <w:rtl/>
        </w:rPr>
        <w:t xml:space="preserve"> ותימה הוא מה שפסק הגאון הלכה כר' יוסי</w:t>
      </w:r>
      <w:r>
        <w:rPr>
          <w:rFonts w:cs="Arial" w:hint="cs"/>
          <w:rtl/>
        </w:rPr>
        <w:t>...</w:t>
      </w:r>
      <w:r w:rsidRPr="00B95CE4">
        <w:rPr>
          <w:rFonts w:cs="Arial"/>
          <w:rtl/>
        </w:rPr>
        <w:t xml:space="preserve"> </w:t>
      </w:r>
      <w:r w:rsidRPr="00EC6793">
        <w:rPr>
          <w:rFonts w:cs="Arial"/>
          <w:rtl/>
        </w:rPr>
        <w:t xml:space="preserve">ואפשר שלא פסק הגאון </w:t>
      </w:r>
      <w:r>
        <w:rPr>
          <w:rFonts w:cs="Arial" w:hint="cs"/>
          <w:sz w:val="16"/>
          <w:szCs w:val="16"/>
          <w:rtl/>
        </w:rPr>
        <w:t xml:space="preserve">{ר"ח} </w:t>
      </w:r>
      <w:r w:rsidRPr="00EC6793">
        <w:rPr>
          <w:rFonts w:cs="Arial"/>
          <w:rtl/>
        </w:rPr>
        <w:t>כוותיה בין לקולא בין לחומרא</w:t>
      </w:r>
      <w:r>
        <w:rPr>
          <w:rFonts w:cs="Arial" w:hint="cs"/>
          <w:rtl/>
        </w:rPr>
        <w:t>,</w:t>
      </w:r>
      <w:r w:rsidRPr="00EC6793">
        <w:rPr>
          <w:rFonts w:cs="Arial"/>
          <w:rtl/>
        </w:rPr>
        <w:t xml:space="preserve"> לפסול אומר אמרו ולהכשיר חתם סופר ועד</w:t>
      </w:r>
      <w:r w:rsidRPr="00EC6793">
        <w:rPr>
          <w:rFonts w:cs="Arial" w:hint="cs"/>
          <w:rtl/>
        </w:rPr>
        <w:t>,</w:t>
      </w:r>
      <w:r w:rsidRPr="00EC6793">
        <w:rPr>
          <w:rFonts w:cs="Arial"/>
          <w:rtl/>
        </w:rPr>
        <w:t xml:space="preserve"> אלא לחוש לדברי שניהם ככל הני אמוראי</w:t>
      </w:r>
      <w:r w:rsidRPr="00EC6793">
        <w:rPr>
          <w:rFonts w:cs="Arial" w:hint="cs"/>
          <w:rtl/>
        </w:rPr>
        <w:t>,</w:t>
      </w:r>
      <w:r w:rsidRPr="00EC6793">
        <w:rPr>
          <w:rFonts w:cs="Arial"/>
          <w:rtl/>
        </w:rPr>
        <w:t xml:space="preserve"> לפסול חתם סופר כיון דמכשרי באומר אמרו</w:t>
      </w:r>
      <w:r w:rsidRPr="00EC6793">
        <w:rPr>
          <w:rFonts w:cs="Arial" w:hint="cs"/>
          <w:rtl/>
        </w:rPr>
        <w:t>,</w:t>
      </w:r>
      <w:r w:rsidRPr="00EC6793">
        <w:rPr>
          <w:rFonts w:cs="Arial"/>
          <w:rtl/>
        </w:rPr>
        <w:t xml:space="preserve"> ולפסול אומר אמרו</w:t>
      </w:r>
      <w:r w:rsidRPr="00EC6793">
        <w:rPr>
          <w:rFonts w:cs="Arial" w:hint="cs"/>
          <w:rtl/>
        </w:rPr>
        <w:t>.</w:t>
      </w:r>
      <w:r w:rsidRPr="00EC6793">
        <w:rPr>
          <w:rFonts w:cs="Arial"/>
          <w:rtl/>
        </w:rPr>
        <w:t xml:space="preserve"> כההיא דמי שאחזו (עב.) דתניא כוותיה דרב אשי עד שישמעו קולו שיאמר לסופר כתוב ולעדים חתומו</w:t>
      </w:r>
      <w:r w:rsidRPr="00EC6793">
        <w:rPr>
          <w:rFonts w:cs="Arial" w:hint="cs"/>
          <w:rtl/>
        </w:rPr>
        <w:t>,</w:t>
      </w:r>
      <w:r w:rsidRPr="00EC6793">
        <w:rPr>
          <w:rFonts w:cs="Arial"/>
          <w:rtl/>
        </w:rPr>
        <w:t xml:space="preserve"> ודייק תלמודא ישמעו לאפוקי ממאן דמכשיר באומר אמרו</w:t>
      </w:r>
      <w:r w:rsidRPr="00EC6793">
        <w:rPr>
          <w:rFonts w:cs="Arial" w:hint="cs"/>
          <w:rtl/>
        </w:rPr>
        <w:t>,</w:t>
      </w:r>
      <w:r w:rsidRPr="00EC6793">
        <w:rPr>
          <w:rFonts w:cs="Arial"/>
          <w:rtl/>
        </w:rPr>
        <w:t xml:space="preserve"> ואין זה תרי פיסקי דסתרי אהדדי דכיון דאינו מבורר ראוי להחמיר כדברי שניהם</w:t>
      </w:r>
      <w:r>
        <w:rPr>
          <w:rFonts w:cs="Arial" w:hint="cs"/>
          <w:rtl/>
        </w:rPr>
        <w:t>.</w:t>
      </w:r>
      <w:r w:rsidRPr="00EC6793">
        <w:rPr>
          <w:rFonts w:cs="Arial"/>
          <w:rtl/>
        </w:rPr>
        <w:t xml:space="preserve"> </w:t>
      </w:r>
      <w:r w:rsidRPr="00B95CE4">
        <w:rPr>
          <w:rFonts w:cs="Arial"/>
          <w:rtl/>
        </w:rPr>
        <w:t>כל זה מיסוד ר"י ז"ל בעל התוספות</w:t>
      </w:r>
      <w:r>
        <w:rPr>
          <w:rFonts w:cs="Arial" w:hint="cs"/>
          <w:rtl/>
        </w:rPr>
        <w:t>, רא"ש (פ"ט סי' ו)</w:t>
      </w:r>
      <w:r w:rsidRPr="00EC6793">
        <w:rPr>
          <w:rFonts w:cs="Arial"/>
          <w:rtl/>
        </w:rPr>
        <w:t>.</w:t>
      </w:r>
      <w:r>
        <w:rPr>
          <w:rFonts w:hint="cs"/>
          <w:rtl/>
        </w:rPr>
        <w:t xml:space="preserve"> וכ"כ</w:t>
      </w:r>
      <w:r w:rsidRPr="00FB21C2">
        <w:rPr>
          <w:rFonts w:cs="Arial"/>
          <w:rtl/>
        </w:rPr>
        <w:t xml:space="preserve"> </w:t>
      </w:r>
      <w:r>
        <w:rPr>
          <w:rFonts w:cs="Arial"/>
          <w:rtl/>
        </w:rPr>
        <w:t>הר"ן (לג. ד"ה ואפילו)</w:t>
      </w:r>
      <w:r>
        <w:rPr>
          <w:rFonts w:cs="Arial" w:hint="cs"/>
          <w:rtl/>
        </w:rPr>
        <w:t xml:space="preserve"> בשם ר"י.</w:t>
      </w:r>
    </w:p>
  </w:footnote>
  <w:footnote w:id="1320">
    <w:p w14:paraId="2249ECA7" w14:textId="77777777" w:rsidR="00FA2119" w:rsidRDefault="00FA2119" w:rsidP="00FA2119">
      <w:pPr>
        <w:pStyle w:val="a5"/>
        <w:rPr>
          <w:rtl/>
        </w:rPr>
      </w:pPr>
      <w:r>
        <w:rPr>
          <w:rStyle w:val="a7"/>
        </w:rPr>
        <w:footnoteRef/>
      </w:r>
      <w:r>
        <w:rPr>
          <w:rtl/>
        </w:rPr>
        <w:t xml:space="preserve"> </w:t>
      </w:r>
      <w:r w:rsidRPr="00583B45">
        <w:rPr>
          <w:rFonts w:cs="Arial"/>
          <w:rtl/>
        </w:rPr>
        <w:t>אמנם אני נזהר ומזהיר לכתחלה שלא להחתים סופר ועד בשום גט כי לא נתברר אצלי אם גט בלא נשאת או נשאת בלא ילדה מה יאמר רבינו הזקן בהם שהרי יש גיטין פסולין והולד כשר</w:t>
      </w:r>
      <w:r>
        <w:rPr>
          <w:rFonts w:cs="Arial" w:hint="cs"/>
          <w:rtl/>
        </w:rPr>
        <w:t>...</w:t>
      </w:r>
      <w:r w:rsidRPr="00583B45">
        <w:rPr>
          <w:rFonts w:cs="Arial"/>
          <w:rtl/>
        </w:rPr>
        <w:t xml:space="preserve"> אביגדור בר' אליה הכהן זלה"ה ע"כ</w:t>
      </w:r>
      <w:r>
        <w:rPr>
          <w:rFonts w:hint="cs"/>
          <w:rtl/>
        </w:rPr>
        <w:t>, מרדכי (שם).</w:t>
      </w:r>
    </w:p>
  </w:footnote>
  <w:footnote w:id="1321">
    <w:p w14:paraId="09088CDA" w14:textId="77777777" w:rsidR="00FA2119" w:rsidRDefault="00FA2119" w:rsidP="00FA2119">
      <w:pPr>
        <w:pStyle w:val="a5"/>
      </w:pPr>
      <w:r>
        <w:rPr>
          <w:rStyle w:val="a7"/>
        </w:rPr>
        <w:footnoteRef/>
      </w:r>
      <w:r>
        <w:rPr>
          <w:rtl/>
        </w:rPr>
        <w:t xml:space="preserve"> </w:t>
      </w:r>
      <w:r w:rsidRPr="001E7375">
        <w:rPr>
          <w:rFonts w:cs="Arial"/>
          <w:rtl/>
        </w:rPr>
        <w:t>והביא הר"ן (לג. ד"ה ואפילו)</w:t>
      </w:r>
      <w:r>
        <w:rPr>
          <w:rFonts w:cs="Arial" w:hint="cs"/>
          <w:rtl/>
        </w:rPr>
        <w:t xml:space="preserve"> </w:t>
      </w:r>
      <w:r w:rsidRPr="001E7375">
        <w:rPr>
          <w:rFonts w:cs="Arial"/>
          <w:rtl/>
        </w:rPr>
        <w:t>ראיה מדתנן (סו:) כולכם כתובו אחד כותב וכולם חותמין אלמא אע</w:t>
      </w:r>
      <w:r>
        <w:rPr>
          <w:rFonts w:cs="Arial" w:hint="cs"/>
          <w:rtl/>
        </w:rPr>
        <w:t>"</w:t>
      </w:r>
      <w:r w:rsidRPr="001E7375">
        <w:rPr>
          <w:rFonts w:cs="Arial"/>
          <w:rtl/>
        </w:rPr>
        <w:t>ג דאיכא חתם סופר ועד כיון שהוא מרבה בעדים ליכא למיחש לכיסופא דסופר דמידע ידע דבעל קפיד לרבות בעדים</w:t>
      </w:r>
      <w:r>
        <w:rPr>
          <w:rFonts w:cs="Arial" w:hint="cs"/>
          <w:rtl/>
        </w:rPr>
        <w:t>.</w:t>
      </w:r>
    </w:p>
  </w:footnote>
  <w:footnote w:id="1322">
    <w:p w14:paraId="281033EE" w14:textId="77777777" w:rsidR="00FA2119" w:rsidRDefault="00FA2119" w:rsidP="00FA2119">
      <w:pPr>
        <w:pStyle w:val="a5"/>
      </w:pPr>
      <w:r>
        <w:rPr>
          <w:rStyle w:val="a7"/>
        </w:rPr>
        <w:footnoteRef/>
      </w:r>
      <w:r>
        <w:rPr>
          <w:rtl/>
        </w:rPr>
        <w:t xml:space="preserve"> </w:t>
      </w:r>
      <w:r w:rsidRPr="001E7375">
        <w:rPr>
          <w:rFonts w:cs="Arial"/>
          <w:rtl/>
        </w:rPr>
        <w:t>כלומר דהוה אפשר להכתיב גט אחר אבל אי לא הוה אפשר להכתיב גט אחר כגון שהלך הבעל למדינת הים כשר כרבינו והר"ן והרא"ש ז"ל</w:t>
      </w:r>
      <w:r>
        <w:rPr>
          <w:rFonts w:cs="Arial" w:hint="cs"/>
          <w:rtl/>
        </w:rPr>
        <w:t>, ב"י.</w:t>
      </w:r>
    </w:p>
  </w:footnote>
  <w:footnote w:id="1323">
    <w:p w14:paraId="10A4F5CC" w14:textId="77777777" w:rsidR="00FA2119" w:rsidRDefault="00FA2119" w:rsidP="00FA2119">
      <w:pPr>
        <w:pStyle w:val="a5"/>
      </w:pPr>
      <w:r>
        <w:rPr>
          <w:rStyle w:val="a7"/>
        </w:rPr>
        <w:footnoteRef/>
      </w:r>
      <w:r>
        <w:rPr>
          <w:rtl/>
        </w:rPr>
        <w:t xml:space="preserve"> </w:t>
      </w:r>
      <w:r w:rsidRPr="0045000F">
        <w:rPr>
          <w:rFonts w:cs="Arial"/>
          <w:rtl/>
        </w:rPr>
        <w:t>ונראה לי שרבינו יואל סובר דחתם סופר ועד כשר ואומר אמרו פסול ומצריך שיחתום פלוני סופר ועד כדי שיתנו ב"ד לב לדעת אם חתם במאמר הבעל אם לאו וכבר נתבאר בסימן זה (ל:) דין חתם סופר ועד</w:t>
      </w:r>
      <w:r>
        <w:rPr>
          <w:rFonts w:cs="Arial" w:hint="cs"/>
          <w:rtl/>
        </w:rPr>
        <w:t>, ב"י.</w:t>
      </w:r>
    </w:p>
  </w:footnote>
  <w:footnote w:id="1324">
    <w:p w14:paraId="23765FC3" w14:textId="77777777" w:rsidR="00FA2119" w:rsidRDefault="00FA2119" w:rsidP="00FA2119">
      <w:pPr>
        <w:pStyle w:val="a5"/>
      </w:pPr>
      <w:r>
        <w:rPr>
          <w:rStyle w:val="a7"/>
        </w:rPr>
        <w:footnoteRef/>
      </w:r>
      <w:r>
        <w:rPr>
          <w:rtl/>
        </w:rPr>
        <w:t xml:space="preserve"> </w:t>
      </w:r>
      <w:r w:rsidRPr="00BF297A">
        <w:rPr>
          <w:rFonts w:cs="Arial"/>
          <w:rtl/>
        </w:rPr>
        <w:t>הבדלה לשון ספר כריתות (דברים כד) דכיון דלא שייכי בתורת גטין וקדושין אין נעשין עדים בדבר דכתיב וכתב ונתן מי שישנו בנתינה ישנו בכתיבה</w:t>
      </w:r>
      <w:r>
        <w:rPr>
          <w:rFonts w:cs="Arial" w:hint="cs"/>
          <w:rtl/>
        </w:rPr>
        <w:t>, רש"י.</w:t>
      </w:r>
    </w:p>
  </w:footnote>
  <w:footnote w:id="1325">
    <w:p w14:paraId="0F448EB7" w14:textId="77777777" w:rsidR="00FA2119" w:rsidRDefault="00FA2119" w:rsidP="00FA2119">
      <w:pPr>
        <w:pStyle w:val="a5"/>
        <w:rPr>
          <w:rtl/>
        </w:rPr>
      </w:pPr>
      <w:r>
        <w:rPr>
          <w:rStyle w:val="a7"/>
        </w:rPr>
        <w:footnoteRef/>
      </w:r>
      <w:r>
        <w:rPr>
          <w:rtl/>
        </w:rPr>
        <w:t xml:space="preserve"> </w:t>
      </w:r>
      <w:r w:rsidRPr="00BF297A">
        <w:rPr>
          <w:rFonts w:cs="Arial"/>
          <w:rtl/>
        </w:rPr>
        <w:t>דאע"ג דאמר ר' אלעזר גט שאין עליו עדים כשר דוקא אין עליו עדים</w:t>
      </w:r>
      <w:r>
        <w:rPr>
          <w:rFonts w:cs="Arial" w:hint="cs"/>
          <w:rtl/>
        </w:rPr>
        <w:t>,</w:t>
      </w:r>
      <w:r w:rsidRPr="00BF297A">
        <w:rPr>
          <w:rFonts w:cs="Arial"/>
          <w:rtl/>
        </w:rPr>
        <w:t xml:space="preserve"> אבל יש בו עדים פסולין </w:t>
      </w:r>
      <w:r>
        <w:rPr>
          <w:rFonts w:cs="Arial" w:hint="cs"/>
          <w:rtl/>
        </w:rPr>
        <w:t xml:space="preserve">- </w:t>
      </w:r>
      <w:r w:rsidRPr="00BF297A">
        <w:rPr>
          <w:rFonts w:cs="Arial"/>
          <w:rtl/>
        </w:rPr>
        <w:t>פסול מדרבנן דילמא קאתי למימסריה באפייהו ומיסמך עלייהו</w:t>
      </w:r>
      <w:r>
        <w:rPr>
          <w:rFonts w:hint="cs"/>
          <w:rtl/>
        </w:rPr>
        <w:t>, רש"י.</w:t>
      </w:r>
    </w:p>
  </w:footnote>
  <w:footnote w:id="1326">
    <w:p w14:paraId="5423B1E9" w14:textId="77777777" w:rsidR="00FA2119" w:rsidRDefault="00FA2119" w:rsidP="00FA2119">
      <w:pPr>
        <w:pStyle w:val="a5"/>
        <w:rPr>
          <w:rtl/>
        </w:rPr>
      </w:pPr>
      <w:r>
        <w:rPr>
          <w:rStyle w:val="a7"/>
        </w:rPr>
        <w:footnoteRef/>
      </w:r>
      <w:r>
        <w:rPr>
          <w:rtl/>
        </w:rPr>
        <w:t xml:space="preserve"> </w:t>
      </w:r>
      <w:r w:rsidRPr="00BF297A">
        <w:rPr>
          <w:rFonts w:cs="Arial"/>
          <w:rtl/>
        </w:rPr>
        <w:t>דעובדי כוכבים דלא שכיחי ישראל דמסקי בהנהו שמהתן דתו לא אתי למיסמך עלייהו דמידע ידיע דעובדי כוכבים הם</w:t>
      </w:r>
      <w:r>
        <w:rPr>
          <w:rFonts w:hint="cs"/>
          <w:rtl/>
        </w:rPr>
        <w:t>, רש"י.</w:t>
      </w:r>
    </w:p>
  </w:footnote>
  <w:footnote w:id="1327">
    <w:p w14:paraId="786D10A8" w14:textId="77777777" w:rsidR="00FA2119" w:rsidRDefault="00FA2119" w:rsidP="00FA2119">
      <w:pPr>
        <w:pStyle w:val="a5"/>
        <w:rPr>
          <w:rtl/>
        </w:rPr>
      </w:pPr>
      <w:r>
        <w:rPr>
          <w:rStyle w:val="a7"/>
        </w:rPr>
        <w:footnoteRef/>
      </w:r>
      <w:r>
        <w:rPr>
          <w:rtl/>
        </w:rPr>
        <w:t xml:space="preserve"> </w:t>
      </w:r>
      <w:r w:rsidRPr="00303774">
        <w:rPr>
          <w:rFonts w:cs="Arial"/>
          <w:rtl/>
        </w:rPr>
        <w:t>נעשו כשארי שטרות של מכר שנעשו בהדיוטות בלא ערכאות</w:t>
      </w:r>
      <w:r>
        <w:rPr>
          <w:rFonts w:cs="Arial" w:hint="cs"/>
          <w:rtl/>
        </w:rPr>
        <w:t>,</w:t>
      </w:r>
      <w:r w:rsidRPr="00303774">
        <w:rPr>
          <w:rFonts w:cs="Arial"/>
          <w:rtl/>
        </w:rPr>
        <w:t xml:space="preserve"> דהנהו ודאי פסילי דלא קפדי אאורועי נפשייהו וחתמי שיקרא</w:t>
      </w:r>
      <w:r>
        <w:rPr>
          <w:rFonts w:cs="Arial" w:hint="cs"/>
          <w:rtl/>
        </w:rPr>
        <w:t>.</w:t>
      </w:r>
      <w:r w:rsidRPr="00303774">
        <w:rPr>
          <w:rFonts w:cs="Arial"/>
          <w:rtl/>
        </w:rPr>
        <w:t xml:space="preserve"> ועל כרחיך האי נעשו בהדיוט אשאר שטרות קאמר העומדים לראיה</w:t>
      </w:r>
      <w:r>
        <w:rPr>
          <w:rFonts w:cs="Arial" w:hint="cs"/>
          <w:rtl/>
        </w:rPr>
        <w:t>,</w:t>
      </w:r>
      <w:r w:rsidRPr="00303774">
        <w:rPr>
          <w:rFonts w:cs="Arial"/>
          <w:rtl/>
        </w:rPr>
        <w:t xml:space="preserve"> דהתם איכא לפלוגי בין הדיוט לערכאות</w:t>
      </w:r>
      <w:r>
        <w:rPr>
          <w:rFonts w:cs="Arial" w:hint="cs"/>
          <w:rtl/>
        </w:rPr>
        <w:t>,</w:t>
      </w:r>
      <w:r w:rsidRPr="00303774">
        <w:rPr>
          <w:rFonts w:cs="Arial"/>
          <w:rtl/>
        </w:rPr>
        <w:t xml:space="preserve"> דאילו בגט אשה לענין כריתות הדיוט וערכאות שוין</w:t>
      </w:r>
      <w:r>
        <w:rPr>
          <w:rFonts w:cs="Arial" w:hint="cs"/>
          <w:rtl/>
        </w:rPr>
        <w:t>,</w:t>
      </w:r>
      <w:r w:rsidRPr="00303774">
        <w:rPr>
          <w:rFonts w:cs="Arial"/>
          <w:rtl/>
        </w:rPr>
        <w:t xml:space="preserve"> והכי קאמר לא הוזכרו גיטי אשה ליפסל אלא בשמות שאין מובהקין דנעשו כשאר שטרות הנעשים בהדיוט</w:t>
      </w:r>
      <w:r>
        <w:rPr>
          <w:rFonts w:hint="cs"/>
          <w:rtl/>
        </w:rPr>
        <w:t>, רש"י.</w:t>
      </w:r>
    </w:p>
  </w:footnote>
  <w:footnote w:id="1328">
    <w:p w14:paraId="0B24F525" w14:textId="77777777" w:rsidR="00FA2119" w:rsidRDefault="00FA2119" w:rsidP="00FA2119">
      <w:pPr>
        <w:pStyle w:val="a5"/>
      </w:pPr>
      <w:r>
        <w:rPr>
          <w:rStyle w:val="a7"/>
        </w:rPr>
        <w:footnoteRef/>
      </w:r>
      <w:r>
        <w:rPr>
          <w:rtl/>
        </w:rPr>
        <w:t xml:space="preserve"> </w:t>
      </w:r>
      <w:r w:rsidRPr="00BE78E5">
        <w:rPr>
          <w:rFonts w:cs="Arial"/>
          <w:rtl/>
        </w:rPr>
        <w:t>ומא"י בא דהא לא קאמר ממדינת הים</w:t>
      </w:r>
      <w:r>
        <w:rPr>
          <w:rFonts w:cs="Arial" w:hint="cs"/>
          <w:rtl/>
        </w:rPr>
        <w:t>, רש"י.</w:t>
      </w:r>
    </w:p>
  </w:footnote>
  <w:footnote w:id="1329">
    <w:p w14:paraId="23DD4683" w14:textId="77777777" w:rsidR="00FA2119" w:rsidRDefault="00FA2119" w:rsidP="00FA2119">
      <w:pPr>
        <w:pStyle w:val="a5"/>
      </w:pPr>
      <w:r>
        <w:rPr>
          <w:rStyle w:val="a7"/>
        </w:rPr>
        <w:footnoteRef/>
      </w:r>
      <w:r>
        <w:rPr>
          <w:rtl/>
        </w:rPr>
        <w:t xml:space="preserve"> </w:t>
      </w:r>
      <w:r w:rsidRPr="00D704E3">
        <w:rPr>
          <w:rFonts w:cs="Arial"/>
          <w:rtl/>
        </w:rPr>
        <w:t>לאכשורי בעדי מסירה</w:t>
      </w:r>
      <w:r>
        <w:rPr>
          <w:rFonts w:cs="Arial" w:hint="cs"/>
          <w:rtl/>
        </w:rPr>
        <w:t>, רש"י.</w:t>
      </w:r>
    </w:p>
  </w:footnote>
  <w:footnote w:id="1330">
    <w:p w14:paraId="7AE6E0A9" w14:textId="77777777" w:rsidR="00FA2119" w:rsidRDefault="00FA2119" w:rsidP="00FA2119">
      <w:pPr>
        <w:pStyle w:val="a5"/>
        <w:rPr>
          <w:rtl/>
        </w:rPr>
      </w:pPr>
      <w:r>
        <w:rPr>
          <w:rStyle w:val="a7"/>
        </w:rPr>
        <w:footnoteRef/>
      </w:r>
      <w:r>
        <w:rPr>
          <w:rtl/>
        </w:rPr>
        <w:t xml:space="preserve"> </w:t>
      </w:r>
      <w:r w:rsidRPr="00D704E3">
        <w:rPr>
          <w:rFonts w:cs="Arial"/>
          <w:rtl/>
        </w:rPr>
        <w:t>בעדי מסירה</w:t>
      </w:r>
      <w:r>
        <w:rPr>
          <w:rFonts w:hint="cs"/>
          <w:rtl/>
        </w:rPr>
        <w:t>, רש"י.</w:t>
      </w:r>
    </w:p>
  </w:footnote>
  <w:footnote w:id="1331">
    <w:p w14:paraId="0645A1C5" w14:textId="77777777" w:rsidR="00FA2119" w:rsidRDefault="00FA2119" w:rsidP="00FA2119">
      <w:pPr>
        <w:pStyle w:val="a5"/>
      </w:pPr>
      <w:r>
        <w:rPr>
          <w:rStyle w:val="a7"/>
        </w:rPr>
        <w:footnoteRef/>
      </w:r>
      <w:r>
        <w:rPr>
          <w:rtl/>
        </w:rPr>
        <w:t xml:space="preserve"> </w:t>
      </w:r>
      <w:r>
        <w:rPr>
          <w:rFonts w:cs="Arial"/>
          <w:rtl/>
        </w:rPr>
        <w:t>שכתב המשנה כפשטה ולא יותר משמע דלא קיימא לן כרבי שמעון</w:t>
      </w:r>
      <w:r>
        <w:rPr>
          <w:rFonts w:cs="Arial" w:hint="cs"/>
          <w:rtl/>
        </w:rPr>
        <w:t>.</w:t>
      </w:r>
      <w:r>
        <w:rPr>
          <w:rFonts w:cs="Arial"/>
          <w:rtl/>
        </w:rPr>
        <w:t xml:space="preserve"> וההיא בעיא דרבי יוחנן דאתיא כרבי שמעון לא מכרעא</w:t>
      </w:r>
      <w:r>
        <w:rPr>
          <w:rFonts w:cs="Arial" w:hint="cs"/>
          <w:rtl/>
        </w:rPr>
        <w:t>,</w:t>
      </w:r>
      <w:r>
        <w:rPr>
          <w:rFonts w:cs="Arial"/>
          <w:rtl/>
        </w:rPr>
        <w:t xml:space="preserve"> דלישנא בתרא איכא בגמרא דלא מכרע כרבי שמעון</w:t>
      </w:r>
      <w:r>
        <w:rPr>
          <w:rFonts w:cs="Arial" w:hint="cs"/>
          <w:rtl/>
        </w:rPr>
        <w:t>, ר"ן (שם).</w:t>
      </w:r>
    </w:p>
  </w:footnote>
  <w:footnote w:id="1332">
    <w:p w14:paraId="385BA51C" w14:textId="77777777" w:rsidR="00FA2119" w:rsidRDefault="00FA2119" w:rsidP="00FA2119">
      <w:pPr>
        <w:pStyle w:val="a5"/>
      </w:pPr>
      <w:r>
        <w:rPr>
          <w:rStyle w:val="a7"/>
        </w:rPr>
        <w:footnoteRef/>
      </w:r>
      <w:r>
        <w:rPr>
          <w:rtl/>
        </w:rPr>
        <w:t xml:space="preserve"> </w:t>
      </w:r>
      <w:r>
        <w:rPr>
          <w:rFonts w:cs="Arial"/>
          <w:rtl/>
        </w:rPr>
        <w:t>שהרי פירש הבעיא בענין דלא אתיא כרבי שמעון כמו שיתבאר בסמוך (ד"ה אבל)</w:t>
      </w:r>
      <w:r>
        <w:rPr>
          <w:rFonts w:cs="Arial" w:hint="cs"/>
          <w:rtl/>
        </w:rPr>
        <w:t>,</w:t>
      </w:r>
      <w:r>
        <w:rPr>
          <w:rFonts w:cs="Arial"/>
          <w:rtl/>
        </w:rPr>
        <w:t xml:space="preserve"> ובהדיא כתב שאין לקבוע הלכה כיחידאה בלא ראיה ברורה</w:t>
      </w:r>
      <w:r>
        <w:rPr>
          <w:rFonts w:cs="Arial" w:hint="cs"/>
          <w:rtl/>
        </w:rPr>
        <w:t>, ב"י.</w:t>
      </w:r>
    </w:p>
  </w:footnote>
  <w:footnote w:id="1333">
    <w:p w14:paraId="2ED9F2E6" w14:textId="77777777" w:rsidR="00FA2119" w:rsidRPr="00AF2C5C" w:rsidRDefault="00FA2119" w:rsidP="00FA2119">
      <w:pPr>
        <w:pStyle w:val="a5"/>
        <w:rPr>
          <w:rFonts w:cs="Arial"/>
          <w:rtl/>
        </w:rPr>
      </w:pPr>
      <w:r>
        <w:rPr>
          <w:rStyle w:val="a7"/>
        </w:rPr>
        <w:footnoteRef/>
      </w:r>
      <w:r>
        <w:rPr>
          <w:rtl/>
        </w:rPr>
        <w:t xml:space="preserve"> </w:t>
      </w:r>
      <w:r>
        <w:rPr>
          <w:rFonts w:cs="Arial" w:hint="cs"/>
          <w:rtl/>
        </w:rPr>
        <w:t xml:space="preserve">רי"ף </w:t>
      </w:r>
      <w:r>
        <w:rPr>
          <w:rFonts w:cs="Arial" w:hint="cs"/>
          <w:sz w:val="16"/>
          <w:szCs w:val="16"/>
          <w:rtl/>
        </w:rPr>
        <w:t xml:space="preserve">(כ"כ הר"ן [ג:] בשמו) </w:t>
      </w:r>
      <w:r>
        <w:rPr>
          <w:rFonts w:cs="Arial" w:hint="cs"/>
          <w:rtl/>
        </w:rPr>
        <w:t xml:space="preserve">רמב"ם </w:t>
      </w:r>
      <w:r>
        <w:rPr>
          <w:rFonts w:cs="Arial" w:hint="cs"/>
          <w:sz w:val="16"/>
          <w:szCs w:val="16"/>
          <w:rtl/>
        </w:rPr>
        <w:t xml:space="preserve">(כ"כ הה"מ בשמו [פ"ז ה"ה]) </w:t>
      </w:r>
      <w:r>
        <w:rPr>
          <w:rFonts w:cs="Arial" w:hint="cs"/>
          <w:rtl/>
        </w:rPr>
        <w:t xml:space="preserve">רשב"א </w:t>
      </w:r>
      <w:r>
        <w:rPr>
          <w:rFonts w:cs="Arial" w:hint="cs"/>
          <w:sz w:val="16"/>
          <w:szCs w:val="16"/>
          <w:rtl/>
        </w:rPr>
        <w:t xml:space="preserve">(כ"כ הב"י בשמו) </w:t>
      </w:r>
      <w:r>
        <w:rPr>
          <w:rFonts w:cs="Arial" w:hint="cs"/>
          <w:rtl/>
        </w:rPr>
        <w:t>רא"ש</w:t>
      </w:r>
      <w:r>
        <w:rPr>
          <w:rFonts w:cs="Arial" w:hint="cs"/>
          <w:sz w:val="16"/>
          <w:szCs w:val="16"/>
          <w:rtl/>
        </w:rPr>
        <w:t xml:space="preserve"> (סי' יא, כ"כ הטור בשמו)</w:t>
      </w:r>
      <w:r>
        <w:rPr>
          <w:rFonts w:cs="Arial" w:hint="cs"/>
          <w:rtl/>
        </w:rPr>
        <w:t xml:space="preserve"> טור</w:t>
      </w:r>
      <w:r w:rsidRPr="003D79F3">
        <w:rPr>
          <w:rFonts w:cs="Arial"/>
          <w:rtl/>
        </w:rPr>
        <w:t xml:space="preserve"> </w:t>
      </w:r>
      <w:r>
        <w:rPr>
          <w:rFonts w:cs="Arial" w:hint="cs"/>
          <w:rtl/>
        </w:rPr>
        <w:t>ו</w:t>
      </w:r>
      <w:r>
        <w:rPr>
          <w:rFonts w:cs="Arial"/>
          <w:rtl/>
        </w:rPr>
        <w:t>ר</w:t>
      </w:r>
      <w:r>
        <w:rPr>
          <w:rFonts w:cs="Arial" w:hint="cs"/>
          <w:rtl/>
        </w:rPr>
        <w:t>י"ו</w:t>
      </w:r>
      <w:r>
        <w:rPr>
          <w:rFonts w:cs="Arial"/>
          <w:rtl/>
        </w:rPr>
        <w:t xml:space="preserve"> </w:t>
      </w:r>
      <w:r w:rsidRPr="003D79F3">
        <w:rPr>
          <w:rFonts w:cs="Arial" w:hint="cs"/>
          <w:sz w:val="16"/>
          <w:szCs w:val="16"/>
          <w:rtl/>
        </w:rPr>
        <w:t>(</w:t>
      </w:r>
      <w:r w:rsidRPr="003D79F3">
        <w:rPr>
          <w:rFonts w:cs="Arial"/>
          <w:sz w:val="16"/>
          <w:szCs w:val="16"/>
          <w:rtl/>
        </w:rPr>
        <w:t>ח</w:t>
      </w:r>
      <w:r w:rsidRPr="003D79F3">
        <w:rPr>
          <w:rFonts w:cs="Arial" w:hint="cs"/>
          <w:sz w:val="16"/>
          <w:szCs w:val="16"/>
          <w:rtl/>
        </w:rPr>
        <w:t>"</w:t>
      </w:r>
      <w:r w:rsidRPr="003D79F3">
        <w:rPr>
          <w:rFonts w:cs="Arial"/>
          <w:sz w:val="16"/>
          <w:szCs w:val="16"/>
          <w:rtl/>
        </w:rPr>
        <w:t>ב נכ"ד רג:)</w:t>
      </w:r>
      <w:r>
        <w:rPr>
          <w:rFonts w:hint="cs"/>
          <w:rtl/>
        </w:rPr>
        <w:t>.</w:t>
      </w:r>
    </w:p>
  </w:footnote>
  <w:footnote w:id="1334">
    <w:p w14:paraId="7A481F38" w14:textId="77777777" w:rsidR="00FA2119" w:rsidRDefault="00FA2119" w:rsidP="00FA2119">
      <w:pPr>
        <w:pStyle w:val="a5"/>
        <w:rPr>
          <w:rtl/>
        </w:rPr>
      </w:pPr>
      <w:r>
        <w:rPr>
          <w:rStyle w:val="a7"/>
        </w:rPr>
        <w:footnoteRef/>
      </w:r>
      <w:r>
        <w:rPr>
          <w:rtl/>
        </w:rPr>
        <w:t xml:space="preserve"> </w:t>
      </w:r>
      <w:r>
        <w:rPr>
          <w:rFonts w:cs="Arial"/>
          <w:rtl/>
        </w:rPr>
        <w:t>ומיהו קידושין תופסין בה</w:t>
      </w:r>
      <w:r>
        <w:rPr>
          <w:rFonts w:cs="Arial" w:hint="cs"/>
          <w:rtl/>
        </w:rPr>
        <w:t>,</w:t>
      </w:r>
      <w:r>
        <w:rPr>
          <w:rFonts w:cs="Arial"/>
          <w:rtl/>
        </w:rPr>
        <w:t xml:space="preserve"> שגט גמור הוא מן הדין ואין פיסולו אלא משום גזירה</w:t>
      </w:r>
      <w:r>
        <w:rPr>
          <w:rFonts w:cs="Arial" w:hint="cs"/>
          <w:rtl/>
        </w:rPr>
        <w:t>,</w:t>
      </w:r>
      <w:r>
        <w:rPr>
          <w:rFonts w:cs="Arial"/>
          <w:rtl/>
        </w:rPr>
        <w:t xml:space="preserve"> ולפיכך דנין כדין הספיקות</w:t>
      </w:r>
      <w:r>
        <w:rPr>
          <w:rFonts w:cs="Arial" w:hint="cs"/>
          <w:rtl/>
        </w:rPr>
        <w:t>, ר"ן (שם)</w:t>
      </w:r>
      <w:r>
        <w:rPr>
          <w:rFonts w:cs="Arial"/>
          <w:rtl/>
        </w:rPr>
        <w:t>. וכן פירש רש"י (י: ד"ה מודה) אמאי דאמרינן מודה רבי אלעזר במזוייף מתוכו דפסול מדרבנן דילמא אתי למימסריה באפייהו ומיסמך עלייהו</w:t>
      </w:r>
      <w:r>
        <w:rPr>
          <w:rFonts w:cs="Arial" w:hint="cs"/>
          <w:rtl/>
        </w:rPr>
        <w:t>.</w:t>
      </w:r>
      <w:r>
        <w:rPr>
          <w:rFonts w:cs="Arial"/>
          <w:rtl/>
        </w:rPr>
        <w:t xml:space="preserve"> וכן דעת הרמב"ם </w:t>
      </w:r>
      <w:r>
        <w:rPr>
          <w:rFonts w:cs="Arial" w:hint="cs"/>
          <w:rtl/>
        </w:rPr>
        <w:t>(</w:t>
      </w:r>
      <w:r>
        <w:rPr>
          <w:rFonts w:cs="Arial"/>
          <w:rtl/>
        </w:rPr>
        <w:t>פ</w:t>
      </w:r>
      <w:r>
        <w:rPr>
          <w:rFonts w:cs="Arial" w:hint="cs"/>
          <w:rtl/>
        </w:rPr>
        <w:t>"</w:t>
      </w:r>
      <w:r>
        <w:rPr>
          <w:rFonts w:cs="Arial"/>
          <w:rtl/>
        </w:rPr>
        <w:t>א הי"ז)</w:t>
      </w:r>
      <w:r>
        <w:rPr>
          <w:rFonts w:cs="Arial" w:hint="cs"/>
          <w:rtl/>
        </w:rPr>
        <w:t>, ב"י.</w:t>
      </w:r>
    </w:p>
  </w:footnote>
  <w:footnote w:id="1335">
    <w:p w14:paraId="3BE293FE" w14:textId="77777777" w:rsidR="00FA2119" w:rsidRDefault="00FA2119" w:rsidP="00FA2119">
      <w:pPr>
        <w:pStyle w:val="a5"/>
      </w:pPr>
      <w:r>
        <w:rPr>
          <w:rStyle w:val="a7"/>
        </w:rPr>
        <w:footnoteRef/>
      </w:r>
      <w:r>
        <w:rPr>
          <w:rtl/>
        </w:rPr>
        <w:t xml:space="preserve"> </w:t>
      </w:r>
      <w:r>
        <w:rPr>
          <w:rFonts w:cs="Arial"/>
          <w:rtl/>
        </w:rPr>
        <w:t>וכתבו הרשב"א (י: ד"ה ולענין) והרא"ש (סי' יא) והר"ן (ג: סוד"ה ולא) שהראב"ד פוסק כרבי שמעון משום דאיתא בגמרא (יא:) דבעי ריש לקיש מרבי יוחנן עדים החתומים על הגט ושמותם כשמות גוים מהו אמר ליה לא בא לידינו אלא לוקוס ולוס והכשרנום כלומר מפני שהם שמות מובהקים דגיות והא כרבי שמעון אתיא</w:t>
      </w:r>
      <w:r>
        <w:rPr>
          <w:rFonts w:cs="Arial" w:hint="cs"/>
          <w:rtl/>
        </w:rPr>
        <w:t>, ב"י.</w:t>
      </w:r>
    </w:p>
  </w:footnote>
  <w:footnote w:id="1336">
    <w:p w14:paraId="7E54396F" w14:textId="77777777" w:rsidR="00FA2119" w:rsidRDefault="00FA2119" w:rsidP="00FA2119">
      <w:pPr>
        <w:pStyle w:val="a5"/>
        <w:rPr>
          <w:rtl/>
        </w:rPr>
      </w:pPr>
      <w:r>
        <w:rPr>
          <w:rStyle w:val="a7"/>
        </w:rPr>
        <w:footnoteRef/>
      </w:r>
      <w:r>
        <w:rPr>
          <w:rtl/>
        </w:rPr>
        <w:t xml:space="preserve"> </w:t>
      </w:r>
      <w:r>
        <w:rPr>
          <w:rFonts w:cs="Arial"/>
          <w:rtl/>
        </w:rPr>
        <w:t xml:space="preserve">שכתב </w:t>
      </w:r>
      <w:r>
        <w:rPr>
          <w:rFonts w:cs="Arial" w:hint="cs"/>
          <w:rtl/>
        </w:rPr>
        <w:t>ר"ח-</w:t>
      </w:r>
      <w:r>
        <w:rPr>
          <w:rFonts w:cs="Arial"/>
          <w:rtl/>
        </w:rPr>
        <w:t xml:space="preserve"> יש מי שאומר מדאוקימנא לרבי שמעון כרבי אלעזר דהלכתא כוותיה בגיטין (פו:) אי מזדמן לן כרבי שמעון לא פסלינן ליה</w:t>
      </w:r>
      <w:r>
        <w:rPr>
          <w:rFonts w:cs="Arial" w:hint="cs"/>
          <w:rtl/>
        </w:rPr>
        <w:t>.</w:t>
      </w:r>
      <w:r>
        <w:rPr>
          <w:rFonts w:cs="Arial"/>
          <w:rtl/>
        </w:rPr>
        <w:t xml:space="preserve"> כלומר דנהי דלכתחלה בעינן עדי חתימה כשרים</w:t>
      </w:r>
      <w:r>
        <w:rPr>
          <w:rFonts w:cs="Arial" w:hint="cs"/>
          <w:rtl/>
        </w:rPr>
        <w:t>,</w:t>
      </w:r>
      <w:r>
        <w:rPr>
          <w:rFonts w:cs="Arial"/>
          <w:rtl/>
        </w:rPr>
        <w:t xml:space="preserve"> בדיעבד מיהא כשר בעדי מסירה</w:t>
      </w:r>
      <w:r>
        <w:rPr>
          <w:rFonts w:cs="Arial" w:hint="cs"/>
          <w:rtl/>
        </w:rPr>
        <w:t>.</w:t>
      </w:r>
      <w:r>
        <w:rPr>
          <w:rFonts w:cs="Arial"/>
          <w:rtl/>
        </w:rPr>
        <w:t xml:space="preserve"> וכתב עליו הר"ן (ד. דיבור ראשון) ואין בזה הכרע דתנא קמא נמי כרבי אלעזר סבירא ליה ושמות מובהקים בלחוד הוא דאיכא בינייהו</w:t>
      </w:r>
      <w:r>
        <w:rPr>
          <w:rFonts w:hint="cs"/>
          <w:rtl/>
        </w:rPr>
        <w:t>, ב"י.</w:t>
      </w:r>
    </w:p>
  </w:footnote>
  <w:footnote w:id="1337">
    <w:p w14:paraId="002C4014" w14:textId="77777777" w:rsidR="00FA2119" w:rsidRDefault="00FA2119" w:rsidP="00FA2119">
      <w:pPr>
        <w:pStyle w:val="a5"/>
      </w:pPr>
      <w:r>
        <w:rPr>
          <w:rStyle w:val="a7"/>
        </w:rPr>
        <w:footnoteRef/>
      </w:r>
      <w:r>
        <w:rPr>
          <w:rtl/>
        </w:rPr>
        <w:t xml:space="preserve"> </w:t>
      </w:r>
      <w:r w:rsidRPr="00C339E3">
        <w:rPr>
          <w:rFonts w:cs="Arial"/>
          <w:rtl/>
        </w:rPr>
        <w:t>שפסול משום זמן מה לי כתב ידו מה לי כתב סופר הרי יש עליו עדים</w:t>
      </w:r>
      <w:r>
        <w:rPr>
          <w:rFonts w:cs="Arial" w:hint="cs"/>
          <w:rtl/>
        </w:rPr>
        <w:t>, רש"י.</w:t>
      </w:r>
    </w:p>
  </w:footnote>
  <w:footnote w:id="1338">
    <w:p w14:paraId="3CA2F058" w14:textId="77777777" w:rsidR="00FA2119" w:rsidRDefault="00FA2119" w:rsidP="00FA2119">
      <w:pPr>
        <w:pStyle w:val="a5"/>
      </w:pPr>
      <w:r>
        <w:rPr>
          <w:rStyle w:val="a7"/>
        </w:rPr>
        <w:footnoteRef/>
      </w:r>
      <w:r>
        <w:rPr>
          <w:rtl/>
        </w:rPr>
        <w:t xml:space="preserve"> </w:t>
      </w:r>
      <w:r w:rsidRPr="00073B28">
        <w:rPr>
          <w:rFonts w:cs="Arial"/>
          <w:rtl/>
        </w:rPr>
        <w:t>הוא דאמרינן הולד כשר</w:t>
      </w:r>
      <w:r>
        <w:rPr>
          <w:rFonts w:cs="Arial" w:hint="cs"/>
          <w:rtl/>
        </w:rPr>
        <w:t>.</w:t>
      </w:r>
      <w:r w:rsidRPr="00073B28">
        <w:rPr>
          <w:rFonts w:cs="Arial"/>
          <w:rtl/>
        </w:rPr>
        <w:t xml:space="preserve"> וכי תימא הא מרישא שמעינן לה דאפילו בלא שום עד הולד כשר</w:t>
      </w:r>
      <w:r>
        <w:rPr>
          <w:rFonts w:cs="Arial" w:hint="cs"/>
          <w:rtl/>
        </w:rPr>
        <w:t>,</w:t>
      </w:r>
      <w:r w:rsidRPr="00073B28">
        <w:rPr>
          <w:rFonts w:cs="Arial"/>
          <w:rtl/>
        </w:rPr>
        <w:t xml:space="preserve"> אי לאו סיפא הוה אמינא היכא דאיכא עד אחד עם כתב ידו תינשא לכתחלה</w:t>
      </w:r>
      <w:r>
        <w:rPr>
          <w:rFonts w:cs="Arial" w:hint="cs"/>
          <w:rtl/>
        </w:rPr>
        <w:t>, רש"י.</w:t>
      </w:r>
    </w:p>
  </w:footnote>
  <w:footnote w:id="1339">
    <w:p w14:paraId="51EB38D6" w14:textId="77777777" w:rsidR="00FA2119" w:rsidRDefault="00FA2119" w:rsidP="00FA2119">
      <w:pPr>
        <w:pStyle w:val="a5"/>
      </w:pPr>
      <w:r>
        <w:rPr>
          <w:rStyle w:val="a7"/>
        </w:rPr>
        <w:footnoteRef/>
      </w:r>
      <w:r>
        <w:rPr>
          <w:rtl/>
        </w:rPr>
        <w:t xml:space="preserve"> </w:t>
      </w:r>
      <w:r w:rsidRPr="00073B28">
        <w:rPr>
          <w:rFonts w:cs="Arial"/>
          <w:rtl/>
        </w:rPr>
        <w:t>כלומר כתב סופר וחתם עד אחד כשר</w:t>
      </w:r>
      <w:r>
        <w:rPr>
          <w:rFonts w:cs="Arial" w:hint="cs"/>
          <w:rtl/>
        </w:rPr>
        <w:t>, רש"י.</w:t>
      </w:r>
    </w:p>
  </w:footnote>
  <w:footnote w:id="1340">
    <w:p w14:paraId="47F03BF0" w14:textId="77777777" w:rsidR="00FA2119" w:rsidRDefault="00FA2119" w:rsidP="00FA2119">
      <w:pPr>
        <w:pStyle w:val="a5"/>
        <w:rPr>
          <w:rtl/>
        </w:rPr>
      </w:pPr>
      <w:r>
        <w:rPr>
          <w:rStyle w:val="a7"/>
        </w:rPr>
        <w:footnoteRef/>
      </w:r>
      <w:r>
        <w:rPr>
          <w:rtl/>
        </w:rPr>
        <w:t xml:space="preserve"> </w:t>
      </w:r>
      <w:r w:rsidRPr="00073B28">
        <w:rPr>
          <w:rFonts w:cs="Arial"/>
          <w:rtl/>
        </w:rPr>
        <w:t>אמר לך מי דמי התם כשר לכתחילה משמע דהתם חתם סופר עם העד שנינו כדמתרץ לה רבי ירמיה לקמן</w:t>
      </w:r>
      <w:r>
        <w:rPr>
          <w:rFonts w:hint="cs"/>
          <w:rtl/>
        </w:rPr>
        <w:t>, רש"י.</w:t>
      </w:r>
    </w:p>
  </w:footnote>
  <w:footnote w:id="1341">
    <w:p w14:paraId="663849FD" w14:textId="77777777" w:rsidR="00FA2119" w:rsidRDefault="00FA2119" w:rsidP="00FA2119">
      <w:pPr>
        <w:pStyle w:val="a5"/>
      </w:pPr>
      <w:r>
        <w:rPr>
          <w:rStyle w:val="a7"/>
        </w:rPr>
        <w:footnoteRef/>
      </w:r>
      <w:r>
        <w:rPr>
          <w:rtl/>
        </w:rPr>
        <w:t xml:space="preserve"> </w:t>
      </w:r>
      <w:r w:rsidRPr="00073B28">
        <w:rPr>
          <w:rFonts w:cs="Arial"/>
          <w:rtl/>
        </w:rPr>
        <w:t>לית ליה דרבי ירמיה אלא כתב סופר ולא חתם והיינו טעם דכשר לכתחילה בספרא דמובהק ובקי בתורת גיטין ולא יכתבנו אלא אם שמע מפי הבעל</w:t>
      </w:r>
      <w:r>
        <w:rPr>
          <w:rFonts w:cs="Arial" w:hint="cs"/>
          <w:rtl/>
        </w:rPr>
        <w:t>, רש"י.</w:t>
      </w:r>
    </w:p>
  </w:footnote>
  <w:footnote w:id="1342">
    <w:p w14:paraId="187B6D04" w14:textId="77777777" w:rsidR="00FA2119" w:rsidRDefault="00FA2119" w:rsidP="00FA2119">
      <w:pPr>
        <w:pStyle w:val="a5"/>
        <w:rPr>
          <w:rtl/>
        </w:rPr>
      </w:pPr>
      <w:r>
        <w:rPr>
          <w:rStyle w:val="a7"/>
        </w:rPr>
        <w:footnoteRef/>
      </w:r>
      <w:r>
        <w:rPr>
          <w:rtl/>
        </w:rPr>
        <w:t xml:space="preserve"> </w:t>
      </w:r>
      <w:r w:rsidRPr="00073B28">
        <w:rPr>
          <w:rFonts w:cs="Arial"/>
          <w:rtl/>
        </w:rPr>
        <w:t>כרב דאמר כתב ידו שנינו אבל כתב סופר הולד ממזר</w:t>
      </w:r>
      <w:r>
        <w:rPr>
          <w:rFonts w:hint="cs"/>
          <w:rtl/>
        </w:rPr>
        <w:t>, רש"י.</w:t>
      </w:r>
    </w:p>
  </w:footnote>
  <w:footnote w:id="1343">
    <w:p w14:paraId="521200D4" w14:textId="77777777" w:rsidR="00FA2119" w:rsidRDefault="00FA2119" w:rsidP="00FA2119">
      <w:pPr>
        <w:pStyle w:val="a5"/>
      </w:pPr>
      <w:r>
        <w:rPr>
          <w:rStyle w:val="a7"/>
        </w:rPr>
        <w:footnoteRef/>
      </w:r>
      <w:r>
        <w:rPr>
          <w:rtl/>
        </w:rPr>
        <w:t xml:space="preserve"> </w:t>
      </w:r>
      <w:r w:rsidRPr="00E55D0E">
        <w:rPr>
          <w:rFonts w:cs="Arial"/>
          <w:rtl/>
        </w:rPr>
        <w:t>וכ</w:t>
      </w:r>
      <w:r>
        <w:rPr>
          <w:rFonts w:cs="Arial" w:hint="cs"/>
          <w:rtl/>
        </w:rPr>
        <w:t>"כ</w:t>
      </w:r>
      <w:r w:rsidRPr="00E55D0E">
        <w:rPr>
          <w:rFonts w:cs="Arial"/>
          <w:rtl/>
        </w:rPr>
        <w:t xml:space="preserve"> הר"ן (מו: ד"ה אבל כתב)</w:t>
      </w:r>
      <w:r>
        <w:rPr>
          <w:rFonts w:cs="Arial" w:hint="cs"/>
          <w:rtl/>
        </w:rPr>
        <w:t>.</w:t>
      </w:r>
      <w:r w:rsidRPr="00E55D0E">
        <w:rPr>
          <w:rFonts w:cs="Arial"/>
          <w:rtl/>
        </w:rPr>
        <w:t xml:space="preserve"> וגם התוס' (פו. ד"ה אמר רב) כתבו כן לפירוש רש"י. וכן דעת הרמב"ם</w:t>
      </w:r>
      <w:r>
        <w:rPr>
          <w:rFonts w:cs="Arial" w:hint="cs"/>
          <w:rtl/>
        </w:rPr>
        <w:t xml:space="preserve"> </w:t>
      </w:r>
      <w:r w:rsidRPr="00E55D0E">
        <w:rPr>
          <w:rFonts w:cs="Arial"/>
          <w:rtl/>
        </w:rPr>
        <w:t>(</w:t>
      </w:r>
      <w:r>
        <w:rPr>
          <w:rFonts w:cs="Arial" w:hint="cs"/>
          <w:rtl/>
        </w:rPr>
        <w:t xml:space="preserve">פ"א </w:t>
      </w:r>
      <w:r w:rsidRPr="00E55D0E">
        <w:rPr>
          <w:rFonts w:cs="Arial"/>
          <w:rtl/>
        </w:rPr>
        <w:t>הי"ג-</w:t>
      </w:r>
      <w:r>
        <w:rPr>
          <w:rFonts w:cs="Arial" w:hint="cs"/>
          <w:rtl/>
        </w:rPr>
        <w:t>י</w:t>
      </w:r>
      <w:r w:rsidRPr="00E55D0E">
        <w:rPr>
          <w:rFonts w:cs="Arial"/>
          <w:rtl/>
        </w:rPr>
        <w:t>ד)</w:t>
      </w:r>
      <w:r>
        <w:rPr>
          <w:rFonts w:cs="Arial" w:hint="cs"/>
          <w:rtl/>
        </w:rPr>
        <w:t>...</w:t>
      </w:r>
      <w:r w:rsidRPr="00E55D0E">
        <w:rPr>
          <w:rFonts w:cs="Arial"/>
          <w:rtl/>
        </w:rPr>
        <w:t xml:space="preserve"> וכ</w:t>
      </w:r>
      <w:r>
        <w:rPr>
          <w:rFonts w:cs="Arial" w:hint="cs"/>
          <w:rtl/>
        </w:rPr>
        <w:t>"</w:t>
      </w:r>
      <w:r w:rsidRPr="00E55D0E">
        <w:rPr>
          <w:rFonts w:cs="Arial"/>
          <w:rtl/>
        </w:rPr>
        <w:t>כ הרי"ף בהמגרש (מז:) גבי מה שכתב ומהא נמי שמעינן דלא בעינן עדי מסירה וכו'. וכ</w:t>
      </w:r>
      <w:r>
        <w:rPr>
          <w:rFonts w:cs="Arial" w:hint="cs"/>
          <w:rtl/>
        </w:rPr>
        <w:t>"</w:t>
      </w:r>
      <w:r w:rsidRPr="00E55D0E">
        <w:rPr>
          <w:rFonts w:cs="Arial"/>
          <w:rtl/>
        </w:rPr>
        <w:t>כ ר</w:t>
      </w:r>
      <w:r>
        <w:rPr>
          <w:rFonts w:cs="Arial" w:hint="cs"/>
          <w:rtl/>
        </w:rPr>
        <w:t>י"ו</w:t>
      </w:r>
      <w:r w:rsidRPr="00E55D0E">
        <w:rPr>
          <w:rFonts w:cs="Arial"/>
          <w:rtl/>
        </w:rPr>
        <w:t xml:space="preserve"> </w:t>
      </w:r>
      <w:r>
        <w:rPr>
          <w:rFonts w:cs="Arial" w:hint="cs"/>
          <w:rtl/>
        </w:rPr>
        <w:t>(</w:t>
      </w:r>
      <w:r w:rsidRPr="00E55D0E">
        <w:rPr>
          <w:rFonts w:cs="Arial"/>
          <w:rtl/>
        </w:rPr>
        <w:t>ח</w:t>
      </w:r>
      <w:r>
        <w:rPr>
          <w:rFonts w:cs="Arial" w:hint="cs"/>
          <w:rtl/>
        </w:rPr>
        <w:t>"</w:t>
      </w:r>
      <w:r w:rsidRPr="00E55D0E">
        <w:rPr>
          <w:rFonts w:cs="Arial"/>
          <w:rtl/>
        </w:rPr>
        <w:t>ב נכ"ד רה ע"ג)</w:t>
      </w:r>
      <w:r>
        <w:rPr>
          <w:rFonts w:cs="Arial" w:hint="cs"/>
          <w:rtl/>
        </w:rPr>
        <w:t>, ב"י.</w:t>
      </w:r>
    </w:p>
  </w:footnote>
  <w:footnote w:id="1344">
    <w:p w14:paraId="17B69EB5" w14:textId="77777777" w:rsidR="00FA2119" w:rsidRDefault="00FA2119" w:rsidP="00FA2119">
      <w:pPr>
        <w:pStyle w:val="a5"/>
        <w:rPr>
          <w:rtl/>
        </w:rPr>
      </w:pPr>
      <w:r>
        <w:rPr>
          <w:rStyle w:val="a7"/>
        </w:rPr>
        <w:footnoteRef/>
      </w:r>
      <w:r>
        <w:rPr>
          <w:rtl/>
        </w:rPr>
        <w:t xml:space="preserve"> </w:t>
      </w:r>
      <w:r w:rsidRPr="00E55D0E">
        <w:rPr>
          <w:rFonts w:cs="Arial"/>
          <w:rtl/>
        </w:rPr>
        <w:t>ורבינו סתם כאן הדברים לדעת הרא"ש</w:t>
      </w:r>
      <w:r>
        <w:rPr>
          <w:rFonts w:cs="Arial" w:hint="cs"/>
          <w:rtl/>
        </w:rPr>
        <w:t>,</w:t>
      </w:r>
      <w:r w:rsidRPr="00E55D0E">
        <w:rPr>
          <w:rFonts w:cs="Arial"/>
          <w:rtl/>
        </w:rPr>
        <w:t xml:space="preserve"> דאילו לדעת הרי"ף (מז:) והרמב"ם (פ"א הט"ז) דסבירא להו דבעדי חתימה לחודייהו כשר כמו שכשר בעדי מסירה לחודייהו</w:t>
      </w:r>
      <w:r>
        <w:rPr>
          <w:rFonts w:cs="Arial" w:hint="cs"/>
          <w:rtl/>
        </w:rPr>
        <w:t>,</w:t>
      </w:r>
      <w:r w:rsidRPr="00E55D0E">
        <w:rPr>
          <w:rFonts w:cs="Arial"/>
          <w:rtl/>
        </w:rPr>
        <w:t xml:space="preserve"> קיימא לן כההיא דרב ורבי יוחנן כפשט דבריהם שהוא בדליכא עדי מסירה ואפילו הכי בכתב ידו כשר בדיעבד</w:t>
      </w:r>
      <w:r>
        <w:rPr>
          <w:rFonts w:cs="Arial" w:hint="cs"/>
          <w:rtl/>
        </w:rPr>
        <w:t>.</w:t>
      </w:r>
      <w:r w:rsidRPr="00E55D0E">
        <w:rPr>
          <w:rFonts w:cs="Arial"/>
          <w:rtl/>
        </w:rPr>
        <w:t xml:space="preserve"> וכתב סופר ועד אפילו סופר מובהק הולד ממזר</w:t>
      </w:r>
      <w:r>
        <w:rPr>
          <w:rFonts w:cs="Arial" w:hint="cs"/>
          <w:rtl/>
        </w:rPr>
        <w:t>,</w:t>
      </w:r>
      <w:r w:rsidRPr="00E55D0E">
        <w:rPr>
          <w:rFonts w:cs="Arial"/>
          <w:rtl/>
        </w:rPr>
        <w:t xml:space="preserve"> דה"ל כאין עדים חתומים עליו דלא קיימא לן כשמואל</w:t>
      </w:r>
      <w:r>
        <w:rPr>
          <w:rFonts w:cs="Arial" w:hint="cs"/>
          <w:rtl/>
        </w:rPr>
        <w:t>,</w:t>
      </w:r>
      <w:r w:rsidRPr="00E55D0E">
        <w:rPr>
          <w:rFonts w:cs="Arial"/>
          <w:rtl/>
        </w:rPr>
        <w:t xml:space="preserve"> וכיון דאין עליו עדי חתימה וגם נתן שלא בעדי מסירה הולד ממזר</w:t>
      </w:r>
      <w:r>
        <w:rPr>
          <w:rFonts w:hint="cs"/>
          <w:rtl/>
        </w:rPr>
        <w:t>, ב"י.</w:t>
      </w:r>
    </w:p>
  </w:footnote>
  <w:footnote w:id="1345">
    <w:p w14:paraId="53F3497D" w14:textId="77777777" w:rsidR="00FA2119" w:rsidRDefault="00FA2119" w:rsidP="00FA2119">
      <w:pPr>
        <w:pStyle w:val="a5"/>
      </w:pPr>
      <w:r>
        <w:rPr>
          <w:rStyle w:val="a7"/>
        </w:rPr>
        <w:footnoteRef/>
      </w:r>
      <w:r>
        <w:rPr>
          <w:rtl/>
        </w:rPr>
        <w:t xml:space="preserve"> </w:t>
      </w:r>
      <w:r w:rsidRPr="00F32FCB">
        <w:rPr>
          <w:rFonts w:cs="Arial"/>
          <w:rtl/>
        </w:rPr>
        <w:t>מיהו קשה על זה דאם כן לא היה לרבינו לכלול כתיבת יד הבעל עם גט שאין עליו עדים</w:t>
      </w:r>
      <w:r w:rsidRPr="00F32FCB">
        <w:rPr>
          <w:rFonts w:cs="Arial" w:hint="cs"/>
          <w:rtl/>
        </w:rPr>
        <w:t>,</w:t>
      </w:r>
      <w:r w:rsidRPr="00F32FCB">
        <w:rPr>
          <w:rFonts w:cs="Arial"/>
          <w:rtl/>
        </w:rPr>
        <w:t xml:space="preserve"> דהא לרב כתב ידו חשיבא חתימה</w:t>
      </w:r>
      <w:r w:rsidRPr="00F32FCB">
        <w:rPr>
          <w:rFonts w:cs="Arial" w:hint="cs"/>
          <w:rtl/>
        </w:rPr>
        <w:t>,</w:t>
      </w:r>
      <w:r w:rsidRPr="00F32FCB">
        <w:rPr>
          <w:rFonts w:cs="Arial"/>
          <w:rtl/>
        </w:rPr>
        <w:t xml:space="preserve"> ונהי דתנן ביה פסול לכתחלה היינו לרבי מאיר ובדליכא עדי מסירה</w:t>
      </w:r>
      <w:r w:rsidRPr="00F32FCB">
        <w:rPr>
          <w:rFonts w:cs="Arial" w:hint="cs"/>
          <w:rtl/>
        </w:rPr>
        <w:t>,</w:t>
      </w:r>
      <w:r w:rsidRPr="00F32FCB">
        <w:rPr>
          <w:rFonts w:cs="Arial"/>
          <w:rtl/>
        </w:rPr>
        <w:t xml:space="preserve"> אבל לרבי אלעזר ובדאיכא עדי מסירה משמע ודאי דלכתחלה נמי תנשא. ועוד קשה דכתב הרא"ש בפרק השולח (סי' יב) דלכתחלה מכשיר רבי אלעזר בעדי מסירה</w:t>
      </w:r>
      <w:r w:rsidRPr="00F32FCB">
        <w:rPr>
          <w:rFonts w:cs="Arial" w:hint="cs"/>
          <w:rtl/>
        </w:rPr>
        <w:t>,</w:t>
      </w:r>
      <w:r w:rsidRPr="00F32FCB">
        <w:rPr>
          <w:rFonts w:cs="Arial"/>
          <w:rtl/>
        </w:rPr>
        <w:t xml:space="preserve"> והא דתנן (לד:) התקין רבן גמליאל שיהו העדים חותמין על הגט לא שיהא צריך לעשות כן לכתחלה אלא תיקן ולימד לעשות כן כדי שלא יהא צריך לעדי מסירה</w:t>
      </w:r>
      <w:r w:rsidRPr="00F32FCB">
        <w:rPr>
          <w:rFonts w:cs="Arial" w:hint="cs"/>
          <w:rtl/>
        </w:rPr>
        <w:t>,</w:t>
      </w:r>
      <w:r w:rsidRPr="00F32FCB">
        <w:rPr>
          <w:rFonts w:cs="Arial"/>
          <w:rtl/>
        </w:rPr>
        <w:t xml:space="preserve"> אבל אם ירצה לסמוך לכתחלה על עדי מסירה יש לסמוך</w:t>
      </w:r>
      <w:r w:rsidRPr="00F32FCB">
        <w:rPr>
          <w:rFonts w:cs="Arial" w:hint="cs"/>
          <w:rtl/>
        </w:rPr>
        <w:t>.</w:t>
      </w:r>
      <w:r w:rsidRPr="00F32FCB">
        <w:rPr>
          <w:rFonts w:cs="Arial"/>
          <w:rtl/>
        </w:rPr>
        <w:t xml:space="preserve"> וכן פירש רש"י בפ</w:t>
      </w:r>
      <w:r w:rsidRPr="00F32FCB">
        <w:rPr>
          <w:rFonts w:cs="Arial" w:hint="cs"/>
          <w:rtl/>
        </w:rPr>
        <w:t>"</w:t>
      </w:r>
      <w:r w:rsidRPr="00F32FCB">
        <w:rPr>
          <w:rFonts w:cs="Arial"/>
          <w:rtl/>
        </w:rPr>
        <w:t>ק (ג: ד"ה ולא בעי) דרבי אלעזר מכשיר אפילו לכתחלה</w:t>
      </w:r>
      <w:r w:rsidRPr="00F32FCB">
        <w:rPr>
          <w:rFonts w:cs="Arial" w:hint="cs"/>
          <w:rtl/>
        </w:rPr>
        <w:t>.</w:t>
      </w:r>
      <w:r w:rsidRPr="00F32FCB">
        <w:rPr>
          <w:rFonts w:cs="Arial"/>
          <w:rtl/>
        </w:rPr>
        <w:t xml:space="preserve"> וכן כתבו שם התוספות (ד"ה ר' אלעזר) גם כן</w:t>
      </w:r>
      <w:r w:rsidRPr="00F32FCB">
        <w:rPr>
          <w:rFonts w:cs="Arial" w:hint="cs"/>
          <w:rtl/>
        </w:rPr>
        <w:t>.</w:t>
      </w:r>
      <w:r w:rsidRPr="00F32FCB">
        <w:rPr>
          <w:rFonts w:cs="Arial"/>
          <w:rtl/>
        </w:rPr>
        <w:t xml:space="preserve"> והיכי פסל רבינו לכתחלה באין עליו עדים ואפילו בניכר שהוא כתב יד הבעל</w:t>
      </w:r>
      <w:r w:rsidRPr="00F32FCB">
        <w:rPr>
          <w:rFonts w:cs="Arial" w:hint="cs"/>
          <w:rtl/>
        </w:rPr>
        <w:t>?</w:t>
      </w:r>
      <w:r w:rsidRPr="00F32FCB">
        <w:rPr>
          <w:rFonts w:cs="Arial"/>
          <w:rtl/>
        </w:rPr>
        <w:t>. ואם נפשך לפרש דברי רבינו באשה המביאה גט לפנינו וכל שעדים חתומים בו מחזקינן ליה שניתן לה בעדי מסירה ובכתב ידו ועד אחד לכתחלה לא מחזקינן ליה שנמסר בעדי מסירה ובדיעבד מחזקינן ליה, קשה</w:t>
      </w:r>
      <w:r w:rsidRPr="00F32FCB">
        <w:rPr>
          <w:rFonts w:cs="Arial" w:hint="cs"/>
          <w:rtl/>
        </w:rPr>
        <w:t>,</w:t>
      </w:r>
      <w:r w:rsidRPr="00F32FCB">
        <w:rPr>
          <w:rFonts w:cs="Arial"/>
          <w:rtl/>
        </w:rPr>
        <w:t xml:space="preserve"> דאם כן באין עליו עדים כלל אמאי כתב אם ניסת לא תצא</w:t>
      </w:r>
      <w:r w:rsidRPr="00F32FCB">
        <w:rPr>
          <w:rFonts w:cs="Arial" w:hint="cs"/>
          <w:rtl/>
        </w:rPr>
        <w:t>,</w:t>
      </w:r>
      <w:r w:rsidRPr="00F32FCB">
        <w:rPr>
          <w:rFonts w:cs="Arial"/>
          <w:rtl/>
        </w:rPr>
        <w:t xml:space="preserve"> הא כל שאין עדים חתומים עליו מחזקינן ליה שלא ניתן בעדי מסירה וגט בטל הוא</w:t>
      </w:r>
      <w:r w:rsidRPr="00F32FCB">
        <w:rPr>
          <w:rFonts w:cs="Arial" w:hint="cs"/>
          <w:rtl/>
        </w:rPr>
        <w:t>.</w:t>
      </w:r>
      <w:r w:rsidRPr="00F32FCB">
        <w:rPr>
          <w:rFonts w:cs="Arial"/>
          <w:rtl/>
        </w:rPr>
        <w:t xml:space="preserve"> ולכן דברי רבינו צ"ע</w:t>
      </w:r>
      <w:r>
        <w:rPr>
          <w:rFonts w:cs="Arial" w:hint="cs"/>
          <w:rtl/>
        </w:rPr>
        <w:t>.</w:t>
      </w:r>
    </w:p>
  </w:footnote>
  <w:footnote w:id="1346">
    <w:p w14:paraId="3757220B" w14:textId="77777777" w:rsidR="00FA2119" w:rsidRDefault="00FA2119" w:rsidP="00FA2119">
      <w:pPr>
        <w:pStyle w:val="a5"/>
      </w:pPr>
      <w:r>
        <w:rPr>
          <w:rStyle w:val="a7"/>
        </w:rPr>
        <w:footnoteRef/>
      </w:r>
      <w:r>
        <w:rPr>
          <w:rtl/>
        </w:rPr>
        <w:t xml:space="preserve"> </w:t>
      </w:r>
      <w:r w:rsidRPr="00CE0AED">
        <w:rPr>
          <w:rFonts w:cs="Arial"/>
          <w:rtl/>
        </w:rPr>
        <w:t>בהני שלשה גיטין דמתני' אם ניסת תצא</w:t>
      </w:r>
      <w:r>
        <w:rPr>
          <w:rFonts w:cs="Arial" w:hint="cs"/>
          <w:rtl/>
        </w:rPr>
        <w:t>, רש"י.</w:t>
      </w:r>
    </w:p>
  </w:footnote>
  <w:footnote w:id="1347">
    <w:p w14:paraId="24C1CD79" w14:textId="77777777" w:rsidR="00FA2119" w:rsidRPr="00061C88" w:rsidRDefault="00FA2119" w:rsidP="00FA2119">
      <w:pPr>
        <w:pStyle w:val="a5"/>
      </w:pPr>
      <w:r w:rsidRPr="00061C88">
        <w:rPr>
          <w:rStyle w:val="a7"/>
        </w:rPr>
        <w:footnoteRef/>
      </w:r>
      <w:r w:rsidRPr="00061C88">
        <w:rPr>
          <w:rtl/>
        </w:rPr>
        <w:t xml:space="preserve"> </w:t>
      </w:r>
      <w:r w:rsidRPr="00061C88">
        <w:rPr>
          <w:rFonts w:cs="Arial"/>
          <w:rtl/>
        </w:rPr>
        <w:t>רבינו מיירי הכא בשמסרו לה בפני עדים</w:t>
      </w:r>
      <w:r w:rsidRPr="00061C88">
        <w:rPr>
          <w:rFonts w:cs="Arial" w:hint="cs"/>
          <w:rtl/>
        </w:rPr>
        <w:t>,</w:t>
      </w:r>
      <w:r w:rsidRPr="00061C88">
        <w:rPr>
          <w:rFonts w:cs="Arial"/>
          <w:rtl/>
        </w:rPr>
        <w:t xml:space="preserve"> ומשום הכי בכתב סופר או אין עליו עדים כלל לא תצא דעדי מסירה כרתי</w:t>
      </w:r>
      <w:r w:rsidRPr="00061C88">
        <w:rPr>
          <w:rFonts w:cs="Arial" w:hint="cs"/>
          <w:rtl/>
        </w:rPr>
        <w:t>,</w:t>
      </w:r>
      <w:r w:rsidRPr="00061C88">
        <w:rPr>
          <w:rFonts w:cs="Arial"/>
          <w:rtl/>
        </w:rPr>
        <w:t xml:space="preserve"> מיהו לכתחלה לא תנשא עד שיהיו עדים חתומים עליו</w:t>
      </w:r>
      <w:r w:rsidRPr="00061C88">
        <w:rPr>
          <w:rFonts w:cs="Arial" w:hint="cs"/>
          <w:rtl/>
        </w:rPr>
        <w:t xml:space="preserve">, </w:t>
      </w:r>
      <w:r w:rsidRPr="00061C88">
        <w:rPr>
          <w:rFonts w:cs="Arial" w:hint="cs"/>
          <w:b/>
          <w:bCs/>
          <w:rtl/>
        </w:rPr>
        <w:t>ב"י</w:t>
      </w:r>
      <w:r w:rsidRPr="00061C88">
        <w:rPr>
          <w:rFonts w:cs="Arial" w:hint="cs"/>
          <w:rtl/>
        </w:rPr>
        <w:t>.</w:t>
      </w:r>
      <w:r w:rsidRPr="00061C88">
        <w:rPr>
          <w:rFonts w:cs="Arial"/>
          <w:rtl/>
        </w:rPr>
        <w:t xml:space="preserve"> </w:t>
      </w:r>
      <w:r>
        <w:rPr>
          <w:rFonts w:cs="Arial" w:hint="cs"/>
          <w:rtl/>
        </w:rPr>
        <w:t xml:space="preserve">וכתב </w:t>
      </w:r>
      <w:r>
        <w:rPr>
          <w:rFonts w:cs="Arial" w:hint="cs"/>
          <w:b/>
          <w:bCs/>
          <w:rtl/>
        </w:rPr>
        <w:t>ה</w:t>
      </w:r>
      <w:r w:rsidRPr="00061C88">
        <w:rPr>
          <w:rFonts w:cs="Arial" w:hint="cs"/>
          <w:b/>
          <w:bCs/>
          <w:rtl/>
        </w:rPr>
        <w:t>דרכ"מ</w:t>
      </w:r>
      <w:r>
        <w:rPr>
          <w:rFonts w:cs="Arial" w:hint="cs"/>
          <w:rtl/>
        </w:rPr>
        <w:t xml:space="preserve"> (אות טו) ד</w:t>
      </w:r>
      <w:r w:rsidRPr="00E55D0E">
        <w:rPr>
          <w:rFonts w:cs="Arial"/>
          <w:rtl/>
        </w:rPr>
        <w:t>מה שכתב ב</w:t>
      </w:r>
      <w:r>
        <w:rPr>
          <w:rFonts w:cs="Arial" w:hint="cs"/>
          <w:rtl/>
        </w:rPr>
        <w:t>"</w:t>
      </w:r>
      <w:r w:rsidRPr="00E55D0E">
        <w:rPr>
          <w:rFonts w:cs="Arial"/>
          <w:rtl/>
        </w:rPr>
        <w:t xml:space="preserve">י </w:t>
      </w:r>
      <w:r>
        <w:rPr>
          <w:rFonts w:cs="Arial" w:hint="cs"/>
          <w:sz w:val="16"/>
          <w:szCs w:val="16"/>
          <w:rtl/>
        </w:rPr>
        <w:t xml:space="preserve">{בשם הטור} </w:t>
      </w:r>
      <w:r w:rsidRPr="00E55D0E">
        <w:rPr>
          <w:rFonts w:cs="Arial"/>
          <w:rtl/>
        </w:rPr>
        <w:t>דמיירי כאן בעדי מסירה ואפילו הכי לא תנשא לכתחלה בכתב סופר ועד כן נראה מדברי הג</w:t>
      </w:r>
      <w:r>
        <w:rPr>
          <w:rFonts w:cs="Arial" w:hint="cs"/>
          <w:rtl/>
        </w:rPr>
        <w:t>"</w:t>
      </w:r>
      <w:r w:rsidRPr="00E55D0E">
        <w:rPr>
          <w:rFonts w:cs="Arial"/>
          <w:rtl/>
        </w:rPr>
        <w:t xml:space="preserve">א </w:t>
      </w:r>
      <w:r>
        <w:rPr>
          <w:rFonts w:cs="Arial" w:hint="cs"/>
          <w:rtl/>
        </w:rPr>
        <w:t>(פ"ב</w:t>
      </w:r>
      <w:r w:rsidRPr="00E55D0E">
        <w:rPr>
          <w:rFonts w:cs="Arial"/>
          <w:rtl/>
        </w:rPr>
        <w:t xml:space="preserve"> דגיטין סי' יב) דמשמע שם בשם או</w:t>
      </w:r>
      <w:r>
        <w:rPr>
          <w:rFonts w:cs="Arial" w:hint="cs"/>
          <w:rtl/>
        </w:rPr>
        <w:t>"</w:t>
      </w:r>
      <w:r w:rsidRPr="00E55D0E">
        <w:rPr>
          <w:rFonts w:cs="Arial"/>
          <w:rtl/>
        </w:rPr>
        <w:t>ז (סימני או</w:t>
      </w:r>
      <w:r>
        <w:rPr>
          <w:rFonts w:cs="Arial" w:hint="cs"/>
          <w:rtl/>
        </w:rPr>
        <w:t>"ז</w:t>
      </w:r>
      <w:r w:rsidRPr="00E55D0E">
        <w:rPr>
          <w:rFonts w:cs="Arial"/>
          <w:rtl/>
        </w:rPr>
        <w:t xml:space="preserve"> סי' תשטו) דפסול ואפילו אם כבר ניתן</w:t>
      </w:r>
      <w:r>
        <w:rPr>
          <w:rFonts w:cs="Arial" w:hint="cs"/>
          <w:rtl/>
        </w:rPr>
        <w:t>,</w:t>
      </w:r>
      <w:r w:rsidRPr="00E55D0E">
        <w:rPr>
          <w:rFonts w:cs="Arial"/>
          <w:rtl/>
        </w:rPr>
        <w:t xml:space="preserve"> ואפשר שאם נישאת לא תצא, וזהו כדעת הטור ועיי"ש. אמנם מדברי הרי"ף </w:t>
      </w:r>
      <w:r>
        <w:rPr>
          <w:rFonts w:cs="Arial" w:hint="cs"/>
          <w:rtl/>
        </w:rPr>
        <w:t>(</w:t>
      </w:r>
      <w:r w:rsidRPr="00E55D0E">
        <w:rPr>
          <w:rFonts w:cs="Arial"/>
          <w:rtl/>
        </w:rPr>
        <w:t>פ</w:t>
      </w:r>
      <w:r>
        <w:rPr>
          <w:rFonts w:cs="Arial" w:hint="cs"/>
          <w:rtl/>
        </w:rPr>
        <w:t>'</w:t>
      </w:r>
      <w:r w:rsidRPr="00E55D0E">
        <w:rPr>
          <w:rFonts w:cs="Arial"/>
          <w:rtl/>
        </w:rPr>
        <w:t xml:space="preserve"> המגרש</w:t>
      </w:r>
      <w:r>
        <w:rPr>
          <w:rFonts w:cs="Arial" w:hint="cs"/>
          <w:rtl/>
        </w:rPr>
        <w:t>)</w:t>
      </w:r>
      <w:r w:rsidRPr="00E55D0E">
        <w:rPr>
          <w:rFonts w:cs="Arial"/>
          <w:rtl/>
        </w:rPr>
        <w:t xml:space="preserve"> והרמב"ם </w:t>
      </w:r>
      <w:r>
        <w:rPr>
          <w:rFonts w:cs="Arial" w:hint="cs"/>
          <w:rtl/>
        </w:rPr>
        <w:t>(</w:t>
      </w:r>
      <w:r w:rsidRPr="00E55D0E">
        <w:rPr>
          <w:rFonts w:cs="Arial"/>
          <w:rtl/>
        </w:rPr>
        <w:t>פ</w:t>
      </w:r>
      <w:r>
        <w:rPr>
          <w:rFonts w:cs="Arial" w:hint="cs"/>
          <w:rtl/>
        </w:rPr>
        <w:t>"</w:t>
      </w:r>
      <w:r w:rsidRPr="00E55D0E">
        <w:rPr>
          <w:rFonts w:cs="Arial"/>
          <w:rtl/>
        </w:rPr>
        <w:t>א</w:t>
      </w:r>
      <w:r>
        <w:rPr>
          <w:rFonts w:cs="Arial" w:hint="cs"/>
          <w:rtl/>
        </w:rPr>
        <w:t>)</w:t>
      </w:r>
      <w:r w:rsidRPr="00E55D0E">
        <w:rPr>
          <w:rFonts w:cs="Arial"/>
          <w:rtl/>
        </w:rPr>
        <w:t xml:space="preserve"> נראה דהגט כשר בדיעבד אם ניתן לפני עדי מסירה, וכן כתב בית יוסף בשמם</w:t>
      </w:r>
      <w:r>
        <w:rPr>
          <w:rFonts w:cs="Arial" w:hint="cs"/>
          <w:rtl/>
        </w:rPr>
        <w:t>.</w:t>
      </w:r>
    </w:p>
  </w:footnote>
  <w:footnote w:id="1348">
    <w:p w14:paraId="39F46DC1" w14:textId="77777777" w:rsidR="00FA2119" w:rsidRDefault="00FA2119" w:rsidP="00FA2119">
      <w:pPr>
        <w:pStyle w:val="a5"/>
      </w:pPr>
      <w:r>
        <w:rPr>
          <w:rStyle w:val="a7"/>
        </w:rPr>
        <w:footnoteRef/>
      </w:r>
      <w:r>
        <w:rPr>
          <w:rtl/>
        </w:rPr>
        <w:t xml:space="preserve"> </w:t>
      </w:r>
      <w:r w:rsidRPr="00E55D0E">
        <w:rPr>
          <w:rFonts w:cs="Arial"/>
          <w:rtl/>
        </w:rPr>
        <w:t>ועיין לעיל סימן י"ב (ד"מ הארוך וב"י ריש הסימן) אם העד החתום אסור לישא הגרושה</w:t>
      </w:r>
      <w:r>
        <w:rPr>
          <w:rFonts w:cs="Arial" w:hint="cs"/>
          <w:rtl/>
        </w:rPr>
        <w:t>, דרכ"מ (אות יז).</w:t>
      </w:r>
    </w:p>
  </w:footnote>
  <w:footnote w:id="1349">
    <w:p w14:paraId="712353EF" w14:textId="0A5085D9" w:rsidR="00FA2119" w:rsidRDefault="00FA2119" w:rsidP="00FA2119">
      <w:pPr>
        <w:pStyle w:val="a5"/>
      </w:pPr>
      <w:r>
        <w:rPr>
          <w:rStyle w:val="a7"/>
        </w:rPr>
        <w:footnoteRef/>
      </w:r>
      <w:r>
        <w:rPr>
          <w:rtl/>
        </w:rPr>
        <w:t xml:space="preserve"> </w:t>
      </w:r>
      <w:r w:rsidRPr="00525E2C">
        <w:rPr>
          <w:rFonts w:cs="Arial"/>
          <w:rtl/>
        </w:rPr>
        <w:t>משמע מכאן דברב אין לחוש אם הוא כשר או פסול דאינו עושה מאומה רק שמלמדן סדר הגט. אך בסימן נ"ז (ס"א בהג"ה) כתב שם ומצאתי שלכתחלה לא יהיו העדים והסופר קרובים לרב עכ"ל. ואם כן נראה דמכל שכן לא יהא קרוב לאיש ולאשה, ואינו נראה</w:t>
      </w:r>
      <w:r>
        <w:rPr>
          <w:rFonts w:cs="Arial" w:hint="cs"/>
          <w:rtl/>
        </w:rPr>
        <w:t xml:space="preserve">, דרכ"מ (אות יז). </w:t>
      </w:r>
      <w:r w:rsidRPr="002F0668">
        <w:rPr>
          <w:rFonts w:cs="Arial" w:hint="cs"/>
          <w:sz w:val="16"/>
          <w:szCs w:val="16"/>
          <w:rtl/>
        </w:rPr>
        <w:t xml:space="preserve">(ובכת"י על אתר יש הגהה </w:t>
      </w:r>
      <w:r w:rsidR="000A0F5A">
        <w:rPr>
          <w:rFonts w:cs="Arial" w:hint="cs"/>
          <w:sz w:val="16"/>
          <w:szCs w:val="16"/>
          <w:rtl/>
        </w:rPr>
        <w:t>וז</w:t>
      </w:r>
      <w:r w:rsidR="000A0F5A">
        <w:rPr>
          <w:rFonts w:cs="Arial"/>
          <w:sz w:val="16"/>
          <w:szCs w:val="16"/>
          <w:rtl/>
        </w:rPr>
        <w:t>"</w:t>
      </w:r>
      <w:r w:rsidR="000A0F5A">
        <w:rPr>
          <w:rFonts w:cs="Arial" w:hint="cs"/>
          <w:sz w:val="16"/>
          <w:szCs w:val="16"/>
          <w:rtl/>
        </w:rPr>
        <w:t>ל:</w:t>
      </w:r>
      <w:r w:rsidRPr="002F0668">
        <w:rPr>
          <w:rFonts w:cs="Arial"/>
          <w:sz w:val="16"/>
          <w:szCs w:val="16"/>
          <w:rtl/>
        </w:rPr>
        <w:t xml:space="preserve"> ונראה דאדרבה יש להוכיח מזה דהרב יכול לקבל שכר וע"כ לא יהיו העדים קרובים להרב, שאז הן נוגעים קצת מחמת קורבת הרב שנוטל שכר, אך לפ"ז אין טעם למה הסופר לא יהיה קרוב להרב, דאין לומר שגם הוא מעיד שכתוב לשמו ולשמה דא"כ למה מתירין ליתן לסופר שכר על הכתיבה, כ"ד מ"ו הגאון מהרי"ף ש"ן</w:t>
      </w:r>
      <w:r>
        <w:rPr>
          <w:rFonts w:cs="Arial" w:hint="cs"/>
          <w:sz w:val="16"/>
          <w:szCs w:val="16"/>
          <w:rtl/>
        </w:rPr>
        <w:t>)</w:t>
      </w:r>
      <w:r w:rsidRPr="00525E2C">
        <w:rPr>
          <w:rFonts w:cs="Arial"/>
          <w:rtl/>
        </w:rPr>
        <w:t>.</w:t>
      </w:r>
    </w:p>
  </w:footnote>
  <w:footnote w:id="1350">
    <w:p w14:paraId="7357FB52" w14:textId="3EB5ACED" w:rsidR="00FA2119" w:rsidRDefault="00FA2119" w:rsidP="00FA2119">
      <w:pPr>
        <w:pStyle w:val="a5"/>
      </w:pPr>
      <w:r>
        <w:rPr>
          <w:rStyle w:val="a7"/>
        </w:rPr>
        <w:footnoteRef/>
      </w:r>
      <w:r>
        <w:rPr>
          <w:rtl/>
        </w:rPr>
        <w:t xml:space="preserve"> </w:t>
      </w:r>
      <w:r w:rsidRPr="00263A53">
        <w:rPr>
          <w:rFonts w:cs="Arial"/>
          <w:rtl/>
        </w:rPr>
        <w:t xml:space="preserve">ע' בסדר מהר"ם </w:t>
      </w:r>
      <w:r w:rsidRPr="00FA4949">
        <w:rPr>
          <w:rFonts w:cs="Arial" w:hint="cs"/>
          <w:sz w:val="16"/>
          <w:szCs w:val="16"/>
          <w:rtl/>
        </w:rPr>
        <w:t>(</w:t>
      </w:r>
      <w:r w:rsidRPr="00FA4949">
        <w:rPr>
          <w:rFonts w:cs="Arial"/>
          <w:sz w:val="16"/>
          <w:szCs w:val="16"/>
          <w:rtl/>
        </w:rPr>
        <w:t>בסג"ר אות יא</w:t>
      </w:r>
      <w:r w:rsidRPr="00FA4949">
        <w:rPr>
          <w:rFonts w:cs="Arial" w:hint="cs"/>
          <w:sz w:val="16"/>
          <w:szCs w:val="16"/>
          <w:rtl/>
        </w:rPr>
        <w:t>)</w:t>
      </w:r>
      <w:r w:rsidRPr="00FA4949">
        <w:rPr>
          <w:rFonts w:cs="Arial"/>
          <w:sz w:val="16"/>
          <w:szCs w:val="16"/>
          <w:rtl/>
        </w:rPr>
        <w:t xml:space="preserve"> </w:t>
      </w:r>
      <w:r w:rsidRPr="00263A53">
        <w:rPr>
          <w:rFonts w:cs="Arial"/>
          <w:rtl/>
        </w:rPr>
        <w:t xml:space="preserve">שכ' </w:t>
      </w:r>
      <w:r>
        <w:rPr>
          <w:rFonts w:cs="Arial" w:hint="cs"/>
          <w:rtl/>
        </w:rPr>
        <w:t>ד</w:t>
      </w:r>
      <w:r w:rsidRPr="00263A53">
        <w:rPr>
          <w:rFonts w:cs="Arial"/>
          <w:rtl/>
        </w:rPr>
        <w:t>א"צ להקפיד שלא יהיו העדים כהני' וגם א"צ להתנות עמהם כו'</w:t>
      </w:r>
      <w:r>
        <w:rPr>
          <w:rFonts w:cs="Arial" w:hint="cs"/>
          <w:rtl/>
        </w:rPr>
        <w:t>.</w:t>
      </w:r>
      <w:r w:rsidRPr="00263A53">
        <w:rPr>
          <w:rFonts w:cs="Arial"/>
          <w:rtl/>
        </w:rPr>
        <w:t xml:space="preserve"> ונראה שנמשך בזה אחר דברי הת</w:t>
      </w:r>
      <w:r>
        <w:rPr>
          <w:rFonts w:cs="Arial" w:hint="cs"/>
          <w:rtl/>
        </w:rPr>
        <w:t>יו</w:t>
      </w:r>
      <w:r w:rsidRPr="00263A53">
        <w:rPr>
          <w:rFonts w:cs="Arial"/>
          <w:rtl/>
        </w:rPr>
        <w:t xml:space="preserve">"ט </w:t>
      </w:r>
      <w:r w:rsidRPr="00FA4949">
        <w:rPr>
          <w:rFonts w:cs="Arial" w:hint="cs"/>
          <w:sz w:val="16"/>
          <w:szCs w:val="16"/>
          <w:rtl/>
        </w:rPr>
        <w:t>(</w:t>
      </w:r>
      <w:r w:rsidRPr="00FA4949">
        <w:rPr>
          <w:rFonts w:cs="Arial"/>
          <w:sz w:val="16"/>
          <w:szCs w:val="16"/>
          <w:rtl/>
        </w:rPr>
        <w:t xml:space="preserve">בכורות </w:t>
      </w:r>
      <w:r w:rsidRPr="00FA4949">
        <w:rPr>
          <w:rFonts w:cs="Arial" w:hint="cs"/>
          <w:sz w:val="16"/>
          <w:szCs w:val="16"/>
          <w:rtl/>
        </w:rPr>
        <w:t xml:space="preserve">פ"ד </w:t>
      </w:r>
      <w:r w:rsidRPr="00FA4949">
        <w:rPr>
          <w:rFonts w:cs="Arial"/>
          <w:sz w:val="16"/>
          <w:szCs w:val="16"/>
          <w:rtl/>
        </w:rPr>
        <w:t>מ</w:t>
      </w:r>
      <w:r w:rsidRPr="00FA4949">
        <w:rPr>
          <w:rFonts w:cs="Arial" w:hint="cs"/>
          <w:sz w:val="16"/>
          <w:szCs w:val="16"/>
          <w:rtl/>
        </w:rPr>
        <w:t>"</w:t>
      </w:r>
      <w:r w:rsidRPr="00FA4949">
        <w:rPr>
          <w:rFonts w:cs="Arial"/>
          <w:sz w:val="16"/>
          <w:szCs w:val="16"/>
          <w:rtl/>
        </w:rPr>
        <w:t>ו</w:t>
      </w:r>
      <w:r w:rsidRPr="00FA4949">
        <w:rPr>
          <w:rFonts w:cs="Arial" w:hint="cs"/>
          <w:sz w:val="16"/>
          <w:szCs w:val="16"/>
          <w:rtl/>
        </w:rPr>
        <w:t>)</w:t>
      </w:r>
      <w:r w:rsidRPr="00FA4949">
        <w:rPr>
          <w:rFonts w:cs="Arial"/>
          <w:sz w:val="16"/>
          <w:szCs w:val="16"/>
          <w:rtl/>
        </w:rPr>
        <w:t xml:space="preserve"> </w:t>
      </w:r>
      <w:r w:rsidRPr="00263A53">
        <w:rPr>
          <w:rFonts w:cs="Arial"/>
          <w:rtl/>
        </w:rPr>
        <w:t>שכ' שם דעל העדים מעיקר</w:t>
      </w:r>
      <w:r>
        <w:rPr>
          <w:rFonts w:cs="Arial" w:hint="cs"/>
          <w:rtl/>
        </w:rPr>
        <w:t>א</w:t>
      </w:r>
      <w:r w:rsidRPr="00263A53">
        <w:rPr>
          <w:rFonts w:cs="Arial"/>
          <w:rtl/>
        </w:rPr>
        <w:t xml:space="preserve"> לאו קושיא</w:t>
      </w:r>
      <w:r>
        <w:rPr>
          <w:rFonts w:cs="Arial" w:hint="cs"/>
          <w:rtl/>
        </w:rPr>
        <w:t>,</w:t>
      </w:r>
      <w:r w:rsidRPr="00263A53">
        <w:rPr>
          <w:rFonts w:cs="Arial"/>
          <w:rtl/>
        </w:rPr>
        <w:t xml:space="preserve"> דכתב הב"י </w:t>
      </w:r>
      <w:r w:rsidRPr="00FA4949">
        <w:rPr>
          <w:rFonts w:cs="Arial" w:hint="cs"/>
          <w:sz w:val="16"/>
          <w:szCs w:val="16"/>
          <w:rtl/>
        </w:rPr>
        <w:t>(</w:t>
      </w:r>
      <w:r w:rsidRPr="00FA4949">
        <w:rPr>
          <w:rFonts w:cs="Arial"/>
          <w:sz w:val="16"/>
          <w:szCs w:val="16"/>
          <w:rtl/>
        </w:rPr>
        <w:t>ח</w:t>
      </w:r>
      <w:r w:rsidRPr="00FA4949">
        <w:rPr>
          <w:rFonts w:cs="Arial" w:hint="cs"/>
          <w:sz w:val="16"/>
          <w:szCs w:val="16"/>
          <w:rtl/>
        </w:rPr>
        <w:t>ו</w:t>
      </w:r>
      <w:r w:rsidRPr="00FA4949">
        <w:rPr>
          <w:rFonts w:cs="Arial"/>
          <w:sz w:val="16"/>
          <w:szCs w:val="16"/>
          <w:rtl/>
        </w:rPr>
        <w:t>"מ ס"ס כח</w:t>
      </w:r>
      <w:r w:rsidRPr="00FA4949">
        <w:rPr>
          <w:rFonts w:cs="Arial" w:hint="cs"/>
          <w:sz w:val="16"/>
          <w:szCs w:val="16"/>
          <w:rtl/>
        </w:rPr>
        <w:t>,</w:t>
      </w:r>
      <w:r w:rsidRPr="00FA4949">
        <w:rPr>
          <w:rFonts w:cs="Arial"/>
          <w:sz w:val="16"/>
          <w:szCs w:val="16"/>
          <w:rtl/>
        </w:rPr>
        <w:t xml:space="preserve"> ובש"ע שם סי"ח </w:t>
      </w:r>
      <w:r w:rsidR="009334FF">
        <w:rPr>
          <w:rFonts w:cs="Arial"/>
          <w:sz w:val="16"/>
          <w:szCs w:val="16"/>
          <w:rtl/>
        </w:rPr>
        <w:t>בהג"ה</w:t>
      </w:r>
      <w:r w:rsidRPr="00FA4949">
        <w:rPr>
          <w:rFonts w:cs="Arial"/>
          <w:sz w:val="16"/>
          <w:szCs w:val="16"/>
          <w:rtl/>
        </w:rPr>
        <w:t>)</w:t>
      </w:r>
      <w:r w:rsidRPr="00263A53">
        <w:rPr>
          <w:rFonts w:cs="Arial"/>
          <w:rtl/>
        </w:rPr>
        <w:t xml:space="preserve"> בשם תשוב' להרשב"א שלא אמרו הנוטל שכר להעיד עדותו בטילה אלא בעדי' שנעשו עדים כבר שהם מצווים להעיד כו' ע"ש</w:t>
      </w:r>
      <w:r>
        <w:rPr>
          <w:rFonts w:cs="Arial" w:hint="cs"/>
          <w:rtl/>
        </w:rPr>
        <w:t>.</w:t>
      </w:r>
      <w:r w:rsidRPr="00263A53">
        <w:rPr>
          <w:rFonts w:cs="Arial"/>
          <w:rtl/>
        </w:rPr>
        <w:t xml:space="preserve"> ועיין בס' נה"מ </w:t>
      </w:r>
      <w:r>
        <w:rPr>
          <w:rFonts w:cs="Arial" w:hint="cs"/>
          <w:rtl/>
        </w:rPr>
        <w:t>(</w:t>
      </w:r>
      <w:r w:rsidRPr="00263A53">
        <w:rPr>
          <w:rFonts w:cs="Arial"/>
          <w:rtl/>
        </w:rPr>
        <w:t>ח</w:t>
      </w:r>
      <w:r>
        <w:rPr>
          <w:rFonts w:cs="Arial" w:hint="cs"/>
          <w:rtl/>
        </w:rPr>
        <w:t>ו</w:t>
      </w:r>
      <w:r w:rsidRPr="00263A53">
        <w:rPr>
          <w:rFonts w:cs="Arial"/>
          <w:rtl/>
        </w:rPr>
        <w:t>"מ סי</w:t>
      </w:r>
      <w:r>
        <w:rPr>
          <w:rFonts w:cs="Arial" w:hint="cs"/>
          <w:rtl/>
        </w:rPr>
        <w:t>'</w:t>
      </w:r>
      <w:r w:rsidRPr="00263A53">
        <w:rPr>
          <w:rFonts w:cs="Arial"/>
          <w:rtl/>
        </w:rPr>
        <w:t xml:space="preserve"> לד סק"י</w:t>
      </w:r>
      <w:r>
        <w:rPr>
          <w:rFonts w:cs="Arial" w:hint="cs"/>
          <w:rtl/>
        </w:rPr>
        <w:t>)</w:t>
      </w:r>
      <w:r w:rsidRPr="00263A53">
        <w:rPr>
          <w:rFonts w:cs="Arial"/>
          <w:rtl/>
        </w:rPr>
        <w:t xml:space="preserve"> מ"ש בזה. ועיין בס' תו"ג </w:t>
      </w:r>
      <w:r>
        <w:rPr>
          <w:rFonts w:cs="Arial" w:hint="cs"/>
          <w:rtl/>
        </w:rPr>
        <w:t>(</w:t>
      </w:r>
      <w:r w:rsidRPr="00263A53">
        <w:rPr>
          <w:rFonts w:cs="Arial"/>
          <w:rtl/>
        </w:rPr>
        <w:t>סקכ"א</w:t>
      </w:r>
      <w:r>
        <w:rPr>
          <w:rFonts w:cs="Arial" w:hint="cs"/>
          <w:rtl/>
        </w:rPr>
        <w:t>)</w:t>
      </w:r>
      <w:r w:rsidRPr="00263A53">
        <w:rPr>
          <w:rFonts w:cs="Arial"/>
          <w:rtl/>
        </w:rPr>
        <w:t xml:space="preserve"> דנראה לו טעם אחר דעדים לא נצטוו רק להגיד בפה לפני ב"ד כשיודעין עדות אבל אינם מחוייבים ליתן בידו כתוב וחתום כו'</w:t>
      </w:r>
      <w:r>
        <w:rPr>
          <w:rFonts w:cs="Arial" w:hint="cs"/>
          <w:rtl/>
        </w:rPr>
        <w:t>.</w:t>
      </w:r>
      <w:r w:rsidRPr="00263A53">
        <w:rPr>
          <w:rFonts w:cs="Arial"/>
          <w:rtl/>
        </w:rPr>
        <w:t xml:space="preserve"> וכתב דהרמ"א לא הוצרך לטעם שלו רק מחמת שלוקחין שכר הרבה שניכר דלאו שכר כתיבה ושכר ראי</w:t>
      </w:r>
      <w:r>
        <w:rPr>
          <w:rFonts w:cs="Arial" w:hint="cs"/>
          <w:rtl/>
        </w:rPr>
        <w:t>ה</w:t>
      </w:r>
      <w:r w:rsidRPr="00263A53">
        <w:rPr>
          <w:rFonts w:cs="Arial"/>
          <w:rtl/>
        </w:rPr>
        <w:t xml:space="preserve"> הוא</w:t>
      </w:r>
      <w:r>
        <w:rPr>
          <w:rFonts w:cs="Arial" w:hint="cs"/>
          <w:rtl/>
        </w:rPr>
        <w:t>,</w:t>
      </w:r>
      <w:r w:rsidRPr="00263A53">
        <w:rPr>
          <w:rFonts w:cs="Arial"/>
          <w:rtl/>
        </w:rPr>
        <w:t xml:space="preserve"> רק שכר מתועלת שיהי</w:t>
      </w:r>
      <w:r>
        <w:rPr>
          <w:rFonts w:cs="Arial" w:hint="cs"/>
          <w:rtl/>
        </w:rPr>
        <w:t>ה</w:t>
      </w:r>
      <w:r w:rsidRPr="00263A53">
        <w:rPr>
          <w:rFonts w:cs="Arial"/>
          <w:rtl/>
        </w:rPr>
        <w:t xml:space="preserve"> לזה בעדותן ויש בו משום מראית עין</w:t>
      </w:r>
      <w:r>
        <w:rPr>
          <w:rFonts w:cs="Arial" w:hint="cs"/>
          <w:rtl/>
        </w:rPr>
        <w:t>,</w:t>
      </w:r>
      <w:r w:rsidRPr="00263A53">
        <w:rPr>
          <w:rFonts w:cs="Arial"/>
          <w:rtl/>
        </w:rPr>
        <w:t xml:space="preserve"> לכן כתב הרמ"א טעם שלו דמשום התנאי דכשיקלקלו ישלמו ומשום שאסורין לישא הגרושה שוה חתימתן הרבה ויכולין ליקח כל מה ששוה בעיניהם. וכ' עוד דמזה הטעם שכתבתי יכולין ג"כ עדי חתימת שטר מלוה ומקח אף שכבר ראו הענין ליקח שכר רק לא שכר הרבה ע"ש. וכ"כ בתשו' חתם סופר ס"ס ק"ג בענין עדי שטר ראיה על קידושין שלקחו שכר דלא נפסלו מהאי טעמא</w:t>
      </w:r>
      <w:r>
        <w:rPr>
          <w:rFonts w:cs="Arial" w:hint="cs"/>
          <w:rtl/>
        </w:rPr>
        <w:t>, פת"ש (סקי"ג).</w:t>
      </w:r>
    </w:p>
  </w:footnote>
  <w:footnote w:id="1351">
    <w:p w14:paraId="1151709A" w14:textId="77777777" w:rsidR="00FA2119" w:rsidRDefault="00FA2119" w:rsidP="00FA2119">
      <w:pPr>
        <w:pStyle w:val="a5"/>
        <w:rPr>
          <w:rtl/>
        </w:rPr>
      </w:pPr>
      <w:r>
        <w:rPr>
          <w:rStyle w:val="a7"/>
        </w:rPr>
        <w:footnoteRef/>
      </w:r>
      <w:r>
        <w:rPr>
          <w:rtl/>
        </w:rPr>
        <w:t xml:space="preserve"> </w:t>
      </w:r>
      <w:r>
        <w:rPr>
          <w:rFonts w:cs="Arial" w:hint="cs"/>
          <w:rtl/>
        </w:rPr>
        <w:t xml:space="preserve">כ"כ ההגה"מ מר כהן צדק שמשמע מדברי הרי"ף. </w:t>
      </w:r>
      <w:r w:rsidRPr="0045000F">
        <w:rPr>
          <w:rFonts w:cs="Arial"/>
          <w:rtl/>
        </w:rPr>
        <w:t>ו</w:t>
      </w:r>
      <w:r>
        <w:rPr>
          <w:rFonts w:cs="Arial" w:hint="cs"/>
          <w:rtl/>
        </w:rPr>
        <w:t>כתב הב"י ד</w:t>
      </w:r>
      <w:r w:rsidRPr="0045000F">
        <w:rPr>
          <w:rFonts w:cs="Arial"/>
          <w:rtl/>
        </w:rPr>
        <w:t>משמע מדבריהם דלא פסל הרי"ף אלא כשאינו משמר שבתו בשוק</w:t>
      </w:r>
      <w:r>
        <w:rPr>
          <w:rFonts w:cs="Arial" w:hint="cs"/>
          <w:rtl/>
        </w:rPr>
        <w:t>.</w:t>
      </w:r>
      <w:r w:rsidRPr="0045000F">
        <w:rPr>
          <w:rFonts w:cs="Arial"/>
          <w:rtl/>
        </w:rPr>
        <w:t xml:space="preserve"> [בדק הבית] ודברים תמוהים הם דאפילו משמר שבתו בשוק פסול לעדות ואפילו לרבי אליעזר דאמר עדי מסירה כרתי מודה דמזוייף דגיטין דפסול כדאיתא בפ</w:t>
      </w:r>
      <w:r>
        <w:rPr>
          <w:rFonts w:cs="Arial" w:hint="cs"/>
          <w:rtl/>
        </w:rPr>
        <w:t>"</w:t>
      </w:r>
      <w:r w:rsidRPr="0045000F">
        <w:rPr>
          <w:rFonts w:cs="Arial"/>
          <w:rtl/>
        </w:rPr>
        <w:t>ק דגיטין (ד.) [עד כאן]</w:t>
      </w:r>
      <w:r>
        <w:rPr>
          <w:rFonts w:cs="Arial" w:hint="cs"/>
          <w:rtl/>
        </w:rPr>
        <w:t>.</w:t>
      </w:r>
    </w:p>
  </w:footnote>
  <w:footnote w:id="1352">
    <w:p w14:paraId="7C598880" w14:textId="77777777" w:rsidR="00FA2119" w:rsidRDefault="00FA2119" w:rsidP="00FA2119">
      <w:pPr>
        <w:pStyle w:val="a5"/>
        <w:rPr>
          <w:rtl/>
        </w:rPr>
      </w:pPr>
      <w:r>
        <w:rPr>
          <w:rStyle w:val="a7"/>
        </w:rPr>
        <w:footnoteRef/>
      </w:r>
      <w:r>
        <w:rPr>
          <w:rtl/>
        </w:rPr>
        <w:t xml:space="preserve"> </w:t>
      </w:r>
      <w:r w:rsidRPr="0045000F">
        <w:rPr>
          <w:rFonts w:cs="Arial"/>
          <w:rtl/>
        </w:rPr>
        <w:t>דלא פסיל רבי יוסי אלא באומר אמרו מדעתכם משום דמילי לא מימסרן לשליח (גיטין כט.)</w:t>
      </w:r>
      <w:r>
        <w:rPr>
          <w:rFonts w:hint="cs"/>
          <w:rtl/>
        </w:rPr>
        <w:t>, ר"ן (שם).</w:t>
      </w:r>
    </w:p>
  </w:footnote>
  <w:footnote w:id="1353">
    <w:p w14:paraId="11D69E6C" w14:textId="77777777" w:rsidR="00FA2119" w:rsidRDefault="00FA2119" w:rsidP="00FA2119">
      <w:pPr>
        <w:pStyle w:val="a5"/>
        <w:rPr>
          <w:rtl/>
        </w:rPr>
      </w:pPr>
      <w:r>
        <w:rPr>
          <w:rStyle w:val="a7"/>
        </w:rPr>
        <w:footnoteRef/>
      </w:r>
      <w:r>
        <w:rPr>
          <w:rtl/>
        </w:rPr>
        <w:t xml:space="preserve"> </w:t>
      </w:r>
      <w:r w:rsidRPr="00A438B3">
        <w:rPr>
          <w:rFonts w:cs="Arial"/>
          <w:rtl/>
        </w:rPr>
        <w:t>וכתב הרמב"ן נ"ר דטעמא דר"י דפליג אף באומר אמרו אף על גב דבעלמא עושה שליח שלא בפניו משום דגט שאני דכיון דבעינן לשמה ובעינן וכתב לה כלומר שיכתוב לה הבעל אין הסופר והעדים עומדין במקום בעל אלא אם ישמעו הם מפיו של בעל ממש אבל בשאר דברים של גט אפי' לר"י עושין שליח שלא בפניו, ולפיכך יכולה אשה לומר פלוני שהוא במדה"י הריני עושה אותו שליח לקבל גיטי שם מיד בעלי</w:t>
      </w:r>
      <w:r>
        <w:rPr>
          <w:rFonts w:hint="cs"/>
          <w:rtl/>
        </w:rPr>
        <w:t>, רשב"א (שם).</w:t>
      </w:r>
    </w:p>
  </w:footnote>
  <w:footnote w:id="1354">
    <w:p w14:paraId="71885BE4" w14:textId="77777777" w:rsidR="00FA2119" w:rsidRDefault="00FA2119" w:rsidP="00FA2119">
      <w:pPr>
        <w:pStyle w:val="a5"/>
        <w:rPr>
          <w:rtl/>
        </w:rPr>
      </w:pPr>
      <w:r>
        <w:rPr>
          <w:rStyle w:val="a7"/>
        </w:rPr>
        <w:footnoteRef/>
      </w:r>
      <w:r>
        <w:rPr>
          <w:rtl/>
        </w:rPr>
        <w:t xml:space="preserve"> </w:t>
      </w:r>
      <w:r w:rsidRPr="003E3989">
        <w:rPr>
          <w:rFonts w:cs="Arial"/>
          <w:rtl/>
        </w:rPr>
        <w:t xml:space="preserve">עיין בתשו' הרדב"ז </w:t>
      </w:r>
      <w:r>
        <w:rPr>
          <w:rFonts w:cs="Arial" w:hint="cs"/>
          <w:rtl/>
        </w:rPr>
        <w:t>(</w:t>
      </w:r>
      <w:r w:rsidRPr="003E3989">
        <w:rPr>
          <w:rFonts w:cs="Arial"/>
          <w:rtl/>
        </w:rPr>
        <w:t>ח"א ס"ס קנא</w:t>
      </w:r>
      <w:r>
        <w:rPr>
          <w:rFonts w:cs="Arial" w:hint="cs"/>
          <w:rtl/>
        </w:rPr>
        <w:t>)</w:t>
      </w:r>
      <w:r w:rsidRPr="003E3989">
        <w:rPr>
          <w:rFonts w:cs="Arial"/>
          <w:rtl/>
        </w:rPr>
        <w:t xml:space="preserve"> שכ' דמה שנהגו שלא יחתמו העדי</w:t>
      </w:r>
      <w:r>
        <w:rPr>
          <w:rFonts w:cs="Arial" w:hint="cs"/>
          <w:rtl/>
        </w:rPr>
        <w:t>ם</w:t>
      </w:r>
      <w:r w:rsidRPr="003E3989">
        <w:rPr>
          <w:rFonts w:cs="Arial"/>
          <w:rtl/>
        </w:rPr>
        <w:t xml:space="preserve"> עד שייבש הגט הוא חומרא בעלמא דבשלמא שעת נתינה טעמא שיהא כ' שאינו יכול להזדייף אבל העדי' למה צריכין להמתין עד שייבש ואפשר דטעמא הוי משום דבעל אמר להם לחתום בגט וזה אינו גט כשר ומ"מ חומרא זו הוא רק לכתחילה אבל לא בדיעבד</w:t>
      </w:r>
      <w:r>
        <w:rPr>
          <w:rFonts w:cs="Arial" w:hint="cs"/>
          <w:rtl/>
        </w:rPr>
        <w:t>,</w:t>
      </w:r>
      <w:r w:rsidRPr="003E3989">
        <w:rPr>
          <w:rFonts w:cs="Arial"/>
          <w:rtl/>
        </w:rPr>
        <w:t xml:space="preserve"> ע"ש</w:t>
      </w:r>
      <w:r>
        <w:rPr>
          <w:rFonts w:cs="Arial" w:hint="cs"/>
          <w:rtl/>
        </w:rPr>
        <w:t>.</w:t>
      </w:r>
      <w:r w:rsidRPr="003E3989">
        <w:rPr>
          <w:rFonts w:cs="Arial"/>
          <w:rtl/>
        </w:rPr>
        <w:t xml:space="preserve"> ועמ"ש בזה לעיל סימן קכ"ד ס"ט סקט"ו בשם הג"פ</w:t>
      </w:r>
      <w:r>
        <w:rPr>
          <w:rFonts w:cs="Arial" w:hint="cs"/>
          <w:rtl/>
        </w:rPr>
        <w:t>, פת"ש (סקי"ד).</w:t>
      </w:r>
    </w:p>
  </w:footnote>
  <w:footnote w:id="1355">
    <w:p w14:paraId="24ECBD69" w14:textId="547C4DD4" w:rsidR="001F508B" w:rsidRDefault="001F508B">
      <w:pPr>
        <w:pStyle w:val="a5"/>
      </w:pPr>
      <w:r>
        <w:rPr>
          <w:rStyle w:val="a7"/>
        </w:rPr>
        <w:footnoteRef/>
      </w:r>
      <w:r>
        <w:rPr>
          <w:rtl/>
        </w:rPr>
        <w:t xml:space="preserve"> </w:t>
      </w:r>
      <w:r>
        <w:rPr>
          <w:rFonts w:hint="cs"/>
          <w:rtl/>
        </w:rPr>
        <w:t>סימן - כותב וכתוב וכותב וכותב....</w:t>
      </w:r>
    </w:p>
  </w:footnote>
  <w:footnote w:id="1356">
    <w:p w14:paraId="1A2C0721" w14:textId="77777777" w:rsidR="00FA2119" w:rsidRDefault="00FA2119" w:rsidP="00FA2119">
      <w:pPr>
        <w:pStyle w:val="a5"/>
        <w:rPr>
          <w:rtl/>
        </w:rPr>
      </w:pPr>
      <w:r>
        <w:rPr>
          <w:rStyle w:val="a7"/>
        </w:rPr>
        <w:footnoteRef/>
      </w:r>
      <w:r>
        <w:rPr>
          <w:rtl/>
        </w:rPr>
        <w:t xml:space="preserve"> </w:t>
      </w:r>
      <w:r>
        <w:rPr>
          <w:rFonts w:cs="Arial"/>
          <w:rtl/>
        </w:rPr>
        <w:t>שגם זה עיקרו של גט, רש"י.</w:t>
      </w:r>
    </w:p>
  </w:footnote>
  <w:footnote w:id="1357">
    <w:p w14:paraId="261A4EBD" w14:textId="77777777" w:rsidR="00FA2119" w:rsidRDefault="00FA2119" w:rsidP="00FA2119">
      <w:pPr>
        <w:pStyle w:val="a5"/>
      </w:pPr>
      <w:r>
        <w:rPr>
          <w:rStyle w:val="a7"/>
        </w:rPr>
        <w:footnoteRef/>
      </w:r>
      <w:r>
        <w:rPr>
          <w:rtl/>
        </w:rPr>
        <w:t xml:space="preserve"> </w:t>
      </w:r>
      <w:r>
        <w:rPr>
          <w:rFonts w:cs="Arial"/>
          <w:rtl/>
        </w:rPr>
        <w:t>הלכך וכתב לה לאו אחתימה קאי, דחתימת עדים אינה אלא מדברי סופרים מפני תיקון העולם, וכי כתיב 'וכתב לה' משמע אעיקר כריתות קאי דהיינו כל הני דאמרן</w:t>
      </w:r>
      <w:r>
        <w:rPr>
          <w:sz w:val="14"/>
          <w:szCs w:val="14"/>
          <w:rtl/>
        </w:rPr>
        <w:t xml:space="preserve"> </w:t>
      </w:r>
      <w:r>
        <w:rPr>
          <w:sz w:val="16"/>
          <w:szCs w:val="16"/>
          <w:rtl/>
        </w:rPr>
        <w:t>{מקום האיש האשה והזמן, שמם, והרי את מותרת}</w:t>
      </w:r>
      <w:r>
        <w:rPr>
          <w:rtl/>
        </w:rPr>
        <w:t>, רש"י.</w:t>
      </w:r>
    </w:p>
  </w:footnote>
  <w:footnote w:id="1358">
    <w:p w14:paraId="5A4B79A8" w14:textId="77777777" w:rsidR="00FA2119" w:rsidRDefault="00FA2119" w:rsidP="00FA2119">
      <w:pPr>
        <w:pStyle w:val="a5"/>
        <w:rPr>
          <w:rtl/>
        </w:rPr>
      </w:pPr>
      <w:r>
        <w:rPr>
          <w:rStyle w:val="a7"/>
        </w:rPr>
        <w:footnoteRef/>
      </w:r>
      <w:r>
        <w:rPr>
          <w:rtl/>
        </w:rPr>
        <w:t xml:space="preserve"> </w:t>
      </w:r>
      <w:r>
        <w:rPr>
          <w:rFonts w:cs="Arial"/>
          <w:rtl/>
        </w:rPr>
        <w:t>כיון שהעמדנו את הרישא של המשנה כדעת רבי אלעזר, ומכל מקום מתיר התנא לסופר להכין את טופסי הגיטין, אם כן יהיה לנו סתירה במשנה, שהרי בסיפא כתוב שרבי אלעזר מכשיר בכולן חוץ מגיטי נשים</w:t>
      </w:r>
      <w:r>
        <w:rPr>
          <w:rFonts w:cs="Arial"/>
          <w:sz w:val="14"/>
          <w:szCs w:val="14"/>
          <w:rtl/>
        </w:rPr>
        <w:t xml:space="preserve"> </w:t>
      </w:r>
      <w:r>
        <w:rPr>
          <w:rFonts w:cs="Arial"/>
          <w:sz w:val="16"/>
          <w:szCs w:val="16"/>
          <w:rtl/>
        </w:rPr>
        <w:t>(פירוש חברותא)</w:t>
      </w:r>
      <w:r>
        <w:rPr>
          <w:rFonts w:cs="Arial"/>
          <w:rtl/>
        </w:rPr>
        <w:t>.</w:t>
      </w:r>
    </w:p>
  </w:footnote>
  <w:footnote w:id="1359">
    <w:p w14:paraId="1C87096F" w14:textId="77777777" w:rsidR="00FA2119" w:rsidRDefault="00FA2119" w:rsidP="00FA2119">
      <w:pPr>
        <w:pStyle w:val="a5"/>
      </w:pPr>
      <w:r>
        <w:rPr>
          <w:rStyle w:val="a7"/>
        </w:rPr>
        <w:footnoteRef/>
      </w:r>
      <w:r>
        <w:rPr>
          <w:rtl/>
        </w:rPr>
        <w:t xml:space="preserve"> </w:t>
      </w:r>
      <w:r>
        <w:rPr>
          <w:rFonts w:cs="Arial"/>
          <w:rtl/>
        </w:rPr>
        <w:t>כשהיא מגורשת, רש"י.</w:t>
      </w:r>
    </w:p>
  </w:footnote>
  <w:footnote w:id="1360">
    <w:p w14:paraId="0381B448" w14:textId="77777777" w:rsidR="00FA2119" w:rsidRDefault="00FA2119" w:rsidP="00FA2119">
      <w:pPr>
        <w:pStyle w:val="a5"/>
      </w:pPr>
      <w:r>
        <w:rPr>
          <w:rStyle w:val="a7"/>
        </w:rPr>
        <w:footnoteRef/>
      </w:r>
      <w:r>
        <w:rPr>
          <w:rtl/>
        </w:rPr>
        <w:t xml:space="preserve"> </w:t>
      </w:r>
      <w:r>
        <w:rPr>
          <w:rFonts w:cs="Arial"/>
          <w:rtl/>
        </w:rPr>
        <w:t>שפוסל בטופסי גיטין גזירה משום תורף, רש"י.</w:t>
      </w:r>
    </w:p>
  </w:footnote>
  <w:footnote w:id="1361">
    <w:p w14:paraId="21EDD02D" w14:textId="77777777" w:rsidR="00FA2119" w:rsidRDefault="00FA2119" w:rsidP="00FA2119">
      <w:pPr>
        <w:pStyle w:val="a5"/>
      </w:pPr>
      <w:r>
        <w:rPr>
          <w:rStyle w:val="a7"/>
        </w:rPr>
        <w:footnoteRef/>
      </w:r>
      <w:r>
        <w:rPr>
          <w:rtl/>
        </w:rPr>
        <w:t xml:space="preserve"> </w:t>
      </w:r>
      <w:r>
        <w:rPr>
          <w:rFonts w:cs="Arial"/>
          <w:rtl/>
        </w:rPr>
        <w:t>מאושר שבחכמים</w:t>
      </w:r>
      <w:r>
        <w:rPr>
          <w:rtl/>
        </w:rPr>
        <w:t>, רש"י.</w:t>
      </w:r>
    </w:p>
  </w:footnote>
  <w:footnote w:id="1362">
    <w:p w14:paraId="3B5813A8" w14:textId="77777777" w:rsidR="00FA2119" w:rsidRDefault="00FA2119" w:rsidP="00FA2119">
      <w:pPr>
        <w:pStyle w:val="a5"/>
        <w:rPr>
          <w:rtl/>
        </w:rPr>
      </w:pPr>
      <w:r>
        <w:rPr>
          <w:rStyle w:val="a7"/>
        </w:rPr>
        <w:footnoteRef/>
      </w:r>
      <w:r>
        <w:rPr>
          <w:rtl/>
        </w:rPr>
        <w:t xml:space="preserve"> </w:t>
      </w:r>
      <w:r>
        <w:rPr>
          <w:rFonts w:cs="Arial"/>
          <w:rtl/>
        </w:rPr>
        <w:t>ודע דבדברי הרמב"ם פרק ג' (ה"ז) יש נוסחאות חלוקות שיש גורסים בו כדגריס ביה הר"ן שמתיר לכתחלה לכתוב טופסי גיטין כתנא קמא. ויש גורסים בו שאם כתב טופסי גיטין פסול. וכן נראה מדברי רבינו ירוחם (נכ"ד ח"ב רד:) שהיה גורס בדברי הרמב"ם... ומ"מ הגירסא האמיתית בדברי הרמב"ם נראה שהוא כדגריס ביה הר"ן, דהכי משמע ממה שכתב בסוף אותו פרק (הי"ח) שלא התירו לכתוב טופסי גיטין שלא לשמה לכתחלה אלא מפני תקנת הסופר כמו שביארתי, ב"י.</w:t>
      </w:r>
    </w:p>
  </w:footnote>
  <w:footnote w:id="1363">
    <w:p w14:paraId="17A63DF8" w14:textId="77777777" w:rsidR="004C05C0" w:rsidRDefault="004C05C0" w:rsidP="004C05C0">
      <w:pPr>
        <w:pStyle w:val="a5"/>
      </w:pPr>
      <w:r>
        <w:rPr>
          <w:rStyle w:val="a7"/>
        </w:rPr>
        <w:footnoteRef/>
      </w:r>
      <w:r>
        <w:rPr>
          <w:rtl/>
        </w:rPr>
        <w:t xml:space="preserve"> </w:t>
      </w:r>
      <w:r>
        <w:rPr>
          <w:rFonts w:cs="Arial" w:hint="cs"/>
          <w:rtl/>
        </w:rPr>
        <w:t xml:space="preserve">אבל </w:t>
      </w:r>
      <w:r>
        <w:rPr>
          <w:rFonts w:cs="Arial"/>
          <w:rtl/>
        </w:rPr>
        <w:t>הגוי והעבד אין כותבין הטופס לכתחלה ואפילו ישראל עומד על גבן, שלא התירו לכתוב טופסי גיטין שלא לשמה לכתחלה אלא מפני תקנת סופר כמו שביארנו</w:t>
      </w:r>
      <w:r>
        <w:rPr>
          <w:rFonts w:cs="Arial" w:hint="cs"/>
          <w:rtl/>
        </w:rPr>
        <w:t>,</w:t>
      </w:r>
      <w:r w:rsidRPr="004C05C0">
        <w:rPr>
          <w:rFonts w:hint="cs"/>
          <w:rtl/>
        </w:rPr>
        <w:t xml:space="preserve"> </w:t>
      </w:r>
      <w:r>
        <w:rPr>
          <w:rFonts w:hint="cs"/>
          <w:rtl/>
        </w:rPr>
        <w:t>רמב"ם (שם הי"ח)</w:t>
      </w:r>
      <w:r>
        <w:rPr>
          <w:rFonts w:cs="Arial"/>
          <w:rtl/>
        </w:rPr>
        <w:t>.</w:t>
      </w:r>
    </w:p>
  </w:footnote>
  <w:footnote w:id="1364">
    <w:p w14:paraId="3CF6EE8C" w14:textId="0E3FC73F" w:rsidR="00FA2119" w:rsidRDefault="00FA2119" w:rsidP="004C05C0">
      <w:pPr>
        <w:pStyle w:val="a5"/>
        <w:rPr>
          <w:rtl/>
        </w:rPr>
      </w:pPr>
      <w:r>
        <w:rPr>
          <w:rStyle w:val="a7"/>
        </w:rPr>
        <w:footnoteRef/>
      </w:r>
      <w:r>
        <w:rPr>
          <w:rtl/>
        </w:rPr>
        <w:t xml:space="preserve"> </w:t>
      </w:r>
      <w:r w:rsidR="000D3204">
        <w:rPr>
          <w:rFonts w:hint="cs"/>
          <w:rtl/>
        </w:rPr>
        <w:t>ומדהשמיט השו"ע את תקנת הסופר נראה שפסק כהרי"ף וסיעתו</w:t>
      </w:r>
      <w:r w:rsidR="004C05C0">
        <w:rPr>
          <w:rFonts w:hint="cs"/>
          <w:rtl/>
        </w:rPr>
        <w:t xml:space="preserve"> לאסור לכתוב טופסי גיטין לכתחילה, ולענין דיעבד עיין לקמן</w:t>
      </w:r>
      <w:r w:rsidR="000D3204">
        <w:rPr>
          <w:rFonts w:hint="cs"/>
          <w:rtl/>
        </w:rPr>
        <w:t xml:space="preserve">. </w:t>
      </w:r>
    </w:p>
  </w:footnote>
  <w:footnote w:id="1365">
    <w:p w14:paraId="682A3484" w14:textId="77777777" w:rsidR="00FA2119" w:rsidRDefault="00FA2119" w:rsidP="00FA2119">
      <w:pPr>
        <w:pStyle w:val="a5"/>
        <w:rPr>
          <w:rtl/>
        </w:rPr>
      </w:pPr>
      <w:r>
        <w:rPr>
          <w:rStyle w:val="a7"/>
        </w:rPr>
        <w:footnoteRef/>
      </w:r>
      <w:r>
        <w:rPr>
          <w:rtl/>
        </w:rPr>
        <w:t xml:space="preserve"> </w:t>
      </w:r>
      <w:r>
        <w:rPr>
          <w:rFonts w:cs="Arial"/>
          <w:rtl/>
        </w:rPr>
        <w:t>ואפי' אם ניסת תצא</w:t>
      </w:r>
      <w:r>
        <w:rPr>
          <w:rtl/>
        </w:rPr>
        <w:t xml:space="preserve">, טור בשם הרמב"ן. </w:t>
      </w:r>
      <w:r>
        <w:rPr>
          <w:rFonts w:cs="Arial"/>
          <w:rtl/>
        </w:rPr>
        <w:t xml:space="preserve">וכתב הב"ש (סק"ב) שלדעת בה"ג והרשב"א שגם פוסלים גט כזה נראה דס"ל דלא תנשא בו אבל </w:t>
      </w:r>
      <w:r>
        <w:rPr>
          <w:rFonts w:cs="Arial"/>
          <w:b/>
          <w:bCs/>
          <w:rtl/>
        </w:rPr>
        <w:t>לא תצא</w:t>
      </w:r>
      <w:r>
        <w:rPr>
          <w:rFonts w:cs="Arial"/>
          <w:rtl/>
        </w:rPr>
        <w:t xml:space="preserve">, דלא גרע משאר פסולי דרבנן דקי"ל דלא תצא. ומ"ש הטור בסי' זה תצא לא כ"כ אלא לשיטות הרמב"ן דס"ל בכל פיסולי דרבנן תצא, כמ"ש בהר"ן פ' המגרש. עכ"ל הב"ש. </w:t>
      </w:r>
    </w:p>
  </w:footnote>
  <w:footnote w:id="1366">
    <w:p w14:paraId="362DACFB" w14:textId="77777777" w:rsidR="00FA2119" w:rsidRDefault="00FA2119" w:rsidP="00FA2119">
      <w:pPr>
        <w:pStyle w:val="a5"/>
        <w:rPr>
          <w:rtl/>
        </w:rPr>
      </w:pPr>
      <w:r>
        <w:rPr>
          <w:rStyle w:val="a7"/>
        </w:rPr>
        <w:footnoteRef/>
      </w:r>
      <w:r>
        <w:rPr>
          <w:rtl/>
        </w:rPr>
        <w:t xml:space="preserve"> </w:t>
      </w:r>
      <w:r>
        <w:rPr>
          <w:rFonts w:cs="Arial"/>
          <w:rtl/>
        </w:rPr>
        <w:t>וכן כתב הרמ"ה מדקאמר רבי אלעזר מכשיר בכולן חוץ מגיטי נשים משמע דפוסל בגיטי נשים</w:t>
      </w:r>
      <w:r>
        <w:rPr>
          <w:rtl/>
        </w:rPr>
        <w:t>.</w:t>
      </w:r>
      <w:r>
        <w:rPr>
          <w:rFonts w:cs="Arial"/>
          <w:rtl/>
        </w:rPr>
        <w:t xml:space="preserve"> ולי נראה מדקאמר מכשיר בכולן חוץ מגיטי נשים משמע דפוסל בגיטי נשים מה שמכשיר בכולן והיינו לכתחלה ומכל מקום טוב להחמיר ולגרשה בגט אחר אם הבעל לפנינו,</w:t>
      </w:r>
      <w:r>
        <w:rPr>
          <w:rtl/>
        </w:rPr>
        <w:t xml:space="preserve"> </w:t>
      </w:r>
      <w:r>
        <w:rPr>
          <w:b/>
          <w:bCs/>
          <w:rtl/>
        </w:rPr>
        <w:t>רא"ש</w:t>
      </w:r>
      <w:r>
        <w:rPr>
          <w:rtl/>
        </w:rPr>
        <w:t xml:space="preserve"> (שם). וכתב </w:t>
      </w:r>
      <w:r>
        <w:rPr>
          <w:b/>
          <w:bCs/>
          <w:rtl/>
        </w:rPr>
        <w:t>הב"י</w:t>
      </w:r>
      <w:r>
        <w:rPr>
          <w:rtl/>
        </w:rPr>
        <w:t xml:space="preserve"> </w:t>
      </w:r>
      <w:r>
        <w:rPr>
          <w:rFonts w:cs="Arial"/>
          <w:rtl/>
        </w:rPr>
        <w:t>שגם דעת הרשב"א בסוף פ"ב דגיטין (כג. ד"ה ומיהו) נוטה לפסוק כרבי אלעזר דפסל בגיטי נשים. וכתב שכן דעת הלכות גדולות (סי' לט דף עח ע"ד) והכי נמי משמע בירושלמי (פ"ג ה"ב).</w:t>
      </w:r>
    </w:p>
  </w:footnote>
  <w:footnote w:id="1367">
    <w:p w14:paraId="1151EAC9" w14:textId="77777777" w:rsidR="00FA2119" w:rsidRDefault="00FA2119" w:rsidP="00FA2119">
      <w:pPr>
        <w:pStyle w:val="a5"/>
        <w:rPr>
          <w:rtl/>
        </w:rPr>
      </w:pPr>
      <w:r>
        <w:rPr>
          <w:rStyle w:val="a7"/>
        </w:rPr>
        <w:footnoteRef/>
      </w:r>
      <w:r>
        <w:rPr>
          <w:rtl/>
        </w:rPr>
        <w:t xml:space="preserve"> </w:t>
      </w:r>
      <w:r>
        <w:rPr>
          <w:rFonts w:cs="Arial"/>
          <w:rtl/>
        </w:rPr>
        <w:t>בסי' קכ"ג הביא הרב רמ"א דעת ר"י הפוסל בכתיבת חש"ו הטופס, לפי זה ה"ה כאן אם כתב הטופס שלא לשמה פסול</w:t>
      </w:r>
      <w:r>
        <w:rPr>
          <w:rtl/>
        </w:rPr>
        <w:t xml:space="preserve">, ב"ש (סק"ב). </w:t>
      </w:r>
    </w:p>
  </w:footnote>
  <w:footnote w:id="1368">
    <w:p w14:paraId="0EA8CD15" w14:textId="77777777" w:rsidR="00FA2119" w:rsidRDefault="00FA2119" w:rsidP="00FA2119">
      <w:pPr>
        <w:pStyle w:val="a5"/>
        <w:rPr>
          <w:rtl/>
        </w:rPr>
      </w:pPr>
      <w:r>
        <w:rPr>
          <w:rStyle w:val="a7"/>
        </w:rPr>
        <w:footnoteRef/>
      </w:r>
      <w:r>
        <w:rPr>
          <w:rtl/>
        </w:rPr>
        <w:t xml:space="preserve"> </w:t>
      </w:r>
      <w:r>
        <w:rPr>
          <w:rFonts w:cs="Arial"/>
          <w:rtl/>
        </w:rPr>
        <w:t>הרא"ש (שם) השמיט ההיא דצריך שיניח אף מקום הרי את מותרת לכל אדם. וכתב הא דאמר רבי זירא אמר רב הלכה כרבי אלעזר. וכתב עוד יש מפרשים ד-</w:t>
      </w:r>
      <w:r>
        <w:rPr>
          <w:rtl/>
        </w:rPr>
        <w:t>...</w:t>
      </w:r>
    </w:p>
  </w:footnote>
  <w:footnote w:id="1369">
    <w:p w14:paraId="7CD04A9C" w14:textId="77777777" w:rsidR="00FA2119" w:rsidRDefault="00FA2119" w:rsidP="00FA2119">
      <w:pPr>
        <w:pStyle w:val="a5"/>
        <w:rPr>
          <w:rtl/>
        </w:rPr>
      </w:pPr>
      <w:r>
        <w:rPr>
          <w:rStyle w:val="a7"/>
        </w:rPr>
        <w:footnoteRef/>
      </w:r>
      <w:r>
        <w:rPr>
          <w:rtl/>
        </w:rPr>
        <w:t xml:space="preserve"> </w:t>
      </w:r>
      <w:r>
        <w:rPr>
          <w:rFonts w:cs="Arial"/>
          <w:rtl/>
        </w:rPr>
        <w:t>שכתבו כבר</w:t>
      </w:r>
      <w:r>
        <w:rPr>
          <w:rtl/>
        </w:rPr>
        <w:t>, טור.</w:t>
      </w:r>
    </w:p>
  </w:footnote>
  <w:footnote w:id="1370">
    <w:p w14:paraId="280B640B" w14:textId="3A8291F5" w:rsidR="004C05C0" w:rsidRDefault="004C05C0">
      <w:pPr>
        <w:pStyle w:val="a5"/>
      </w:pPr>
      <w:r>
        <w:rPr>
          <w:rStyle w:val="a7"/>
        </w:rPr>
        <w:footnoteRef/>
      </w:r>
      <w:r>
        <w:rPr>
          <w:rtl/>
        </w:rPr>
        <w:t xml:space="preserve"> </w:t>
      </w:r>
      <w:r>
        <w:rPr>
          <w:rFonts w:hint="cs"/>
          <w:rtl/>
        </w:rPr>
        <w:t xml:space="preserve">וכן נראה דעת השו"ע, דהרי פסק בסי' קכג (ס"ג) שחש"ו שכתבו את הטופס אע"ג שאין גדול עומד על גביהם, והניחו את הטורף כנ"ל, </w:t>
      </w:r>
      <w:r>
        <w:rPr>
          <w:rFonts w:cs="Arial"/>
          <w:rtl/>
        </w:rPr>
        <w:t>ו</w:t>
      </w:r>
      <w:r>
        <w:rPr>
          <w:rFonts w:cs="Arial" w:hint="cs"/>
          <w:rtl/>
        </w:rPr>
        <w:t xml:space="preserve">את הטורף </w:t>
      </w:r>
      <w:r>
        <w:rPr>
          <w:rFonts w:cs="Arial"/>
          <w:rtl/>
        </w:rPr>
        <w:t>כתב פקח גדול ישראלי לשמ</w:t>
      </w:r>
      <w:r>
        <w:rPr>
          <w:rFonts w:cs="Arial" w:hint="cs"/>
          <w:rtl/>
        </w:rPr>
        <w:t>ם -</w:t>
      </w:r>
      <w:r>
        <w:rPr>
          <w:rFonts w:cs="Arial"/>
          <w:rtl/>
        </w:rPr>
        <w:t xml:space="preserve"> כשר</w:t>
      </w:r>
      <w:r>
        <w:rPr>
          <w:rFonts w:cs="Arial" w:hint="cs"/>
          <w:rtl/>
        </w:rPr>
        <w:t xml:space="preserve"> בדיעבד</w:t>
      </w:r>
      <w:r>
        <w:rPr>
          <w:rFonts w:cs="Arial"/>
          <w:rtl/>
        </w:rPr>
        <w:t>.</w:t>
      </w:r>
    </w:p>
  </w:footnote>
  <w:footnote w:id="1371">
    <w:p w14:paraId="5DCB3469" w14:textId="77777777" w:rsidR="00FA2119" w:rsidRDefault="00FA2119" w:rsidP="00FA2119">
      <w:pPr>
        <w:pStyle w:val="a5"/>
        <w:rPr>
          <w:rtl/>
        </w:rPr>
      </w:pPr>
      <w:r>
        <w:rPr>
          <w:rStyle w:val="a7"/>
        </w:rPr>
        <w:footnoteRef/>
      </w:r>
      <w:r>
        <w:rPr>
          <w:rtl/>
        </w:rPr>
        <w:t xml:space="preserve"> </w:t>
      </w:r>
      <w:r>
        <w:rPr>
          <w:rFonts w:cs="Arial"/>
          <w:rtl/>
        </w:rPr>
        <w:t>ופסקו הרי"ף (יב:) והרא"ש (סי' א) כזעירי וכתבו טעם למה הלכה כמותו. וכן דעת הרמב"ם בפ"ג מהלכות גירושין (ה"א-ד) דהלכה כזעירי, ב"י.</w:t>
      </w:r>
    </w:p>
  </w:footnote>
  <w:footnote w:id="1372">
    <w:p w14:paraId="57A69628" w14:textId="77777777" w:rsidR="00FA2119" w:rsidRDefault="00FA2119" w:rsidP="00FA2119">
      <w:pPr>
        <w:pStyle w:val="a5"/>
      </w:pPr>
      <w:r>
        <w:rPr>
          <w:rStyle w:val="a7"/>
        </w:rPr>
        <w:footnoteRef/>
      </w:r>
      <w:r>
        <w:rPr>
          <w:rtl/>
        </w:rPr>
        <w:t xml:space="preserve"> </w:t>
      </w:r>
      <w:r>
        <w:rPr>
          <w:rFonts w:cs="Arial"/>
          <w:rtl/>
        </w:rPr>
        <w:t>יהא הגט לשמה ושמותיהם היו שוין, רש"י.</w:t>
      </w:r>
    </w:p>
  </w:footnote>
  <w:footnote w:id="1373">
    <w:p w14:paraId="2CDB5998" w14:textId="77777777" w:rsidR="00FA2119" w:rsidRDefault="00FA2119" w:rsidP="00FA2119">
      <w:pPr>
        <w:pStyle w:val="a5"/>
      </w:pPr>
      <w:r>
        <w:rPr>
          <w:rStyle w:val="a7"/>
        </w:rPr>
        <w:footnoteRef/>
      </w:r>
      <w:r>
        <w:rPr>
          <w:rtl/>
        </w:rPr>
        <w:t xml:space="preserve"> </w:t>
      </w:r>
      <w:r>
        <w:rPr>
          <w:rFonts w:cs="Arial"/>
          <w:rtl/>
        </w:rPr>
        <w:t>כתב רבינו דלאיזו שתצא בפתח תחלה שפוסל לכהונה כמו אמר ללבלר כתוב ואיזו שארצה אגרש, משום דכיון דבגמרא פשטוה מההיא אלמא דינם שוים לגמרי</w:t>
      </w:r>
      <w:r>
        <w:rPr>
          <w:rtl/>
        </w:rPr>
        <w:t>, ב"י.</w:t>
      </w:r>
    </w:p>
  </w:footnote>
  <w:footnote w:id="1374">
    <w:p w14:paraId="7608E69F" w14:textId="77777777" w:rsidR="00FA2119" w:rsidRDefault="00FA2119" w:rsidP="00FA2119">
      <w:pPr>
        <w:pStyle w:val="a5"/>
        <w:rPr>
          <w:rtl/>
        </w:rPr>
      </w:pPr>
      <w:r>
        <w:rPr>
          <w:rStyle w:val="a7"/>
        </w:rPr>
        <w:footnoteRef/>
      </w:r>
      <w:r>
        <w:rPr>
          <w:rtl/>
        </w:rPr>
        <w:t xml:space="preserve"> </w:t>
      </w:r>
      <w:r>
        <w:rPr>
          <w:rFonts w:cs="Arial"/>
          <w:rtl/>
        </w:rPr>
        <w:t>ולפי זה גם באומר לאיזו שתצא בפתח תחלה - הוי ספק מגורשת, דהא דינן שוה לאומר ללבלר כתוב ואיזו שארצה אגרש, וכמו שכתבתי בסמוך, ב"י.</w:t>
      </w:r>
      <w:r>
        <w:rPr>
          <w:rtl/>
        </w:rPr>
        <w:t xml:space="preserve"> </w:t>
      </w:r>
      <w:r>
        <w:rPr>
          <w:color w:val="E36C0A" w:themeColor="accent6" w:themeShade="BF"/>
          <w:rtl/>
        </w:rPr>
        <w:t>(וכ"פ בשו"ע</w:t>
      </w:r>
      <w:r>
        <w:rPr>
          <w:color w:val="E36C0A" w:themeColor="accent6" w:themeShade="BF"/>
          <w:sz w:val="16"/>
          <w:szCs w:val="16"/>
          <w:rtl/>
        </w:rPr>
        <w:t xml:space="preserve"> </w:t>
      </w:r>
      <w:r>
        <w:rPr>
          <w:sz w:val="16"/>
          <w:szCs w:val="16"/>
          <w:rtl/>
        </w:rPr>
        <w:t>[סע' ד]</w:t>
      </w:r>
      <w:r>
        <w:rPr>
          <w:color w:val="E36C0A" w:themeColor="accent6" w:themeShade="BF"/>
          <w:rtl/>
        </w:rPr>
        <w:t>)</w:t>
      </w:r>
    </w:p>
  </w:footnote>
  <w:footnote w:id="1375">
    <w:p w14:paraId="4E8449C3" w14:textId="77777777" w:rsidR="00FA2119" w:rsidRDefault="00FA2119" w:rsidP="00FA2119">
      <w:pPr>
        <w:pStyle w:val="a5"/>
      </w:pPr>
      <w:r>
        <w:rPr>
          <w:rStyle w:val="a7"/>
        </w:rPr>
        <w:footnoteRef/>
      </w:r>
      <w:r>
        <w:rPr>
          <w:rtl/>
        </w:rPr>
        <w:t xml:space="preserve"> </w:t>
      </w:r>
      <w:r>
        <w:rPr>
          <w:rFonts w:hint="cs"/>
          <w:b/>
          <w:bCs/>
          <w:rtl/>
        </w:rPr>
        <w:t>וז"ל הגמרא שם:</w:t>
      </w:r>
      <w:r>
        <w:rPr>
          <w:rFonts w:hint="cs"/>
          <w:rtl/>
        </w:rPr>
        <w:t xml:space="preserve"> </w:t>
      </w:r>
      <w:r>
        <w:rPr>
          <w:rFonts w:cs="Arial"/>
          <w:rtl/>
        </w:rPr>
        <w:t>תו רמי מילתא אחריתי, מי אמר רב יהודה אמר רב: חטאת ששחטה לשם עולה - פסולה, שחטה לשם חולין - כשירה, אלמא דמינה מחריב בה, דלאו מינה לא מחריב בה; ורמינהו: כל הגט שנכתב שלא לשם אשה - פסול, ואפי' לשם עובדת כוכבים נמי פסול! ושני: גט דל עובדת כוכבים מיניה הוה ליה סתמא, וסתמא פסול, קדשים דל חולין מינייהו הוה ליה סתמא, וסתמא כשירים.</w:t>
      </w:r>
    </w:p>
  </w:footnote>
  <w:footnote w:id="1376">
    <w:p w14:paraId="440E9C2D" w14:textId="77777777" w:rsidR="00FA2119" w:rsidRDefault="00FA2119" w:rsidP="00FA2119">
      <w:pPr>
        <w:pStyle w:val="a5"/>
      </w:pPr>
      <w:r>
        <w:rPr>
          <w:rStyle w:val="a7"/>
        </w:rPr>
        <w:footnoteRef/>
      </w:r>
      <w:r>
        <w:rPr>
          <w:rtl/>
        </w:rPr>
        <w:t xml:space="preserve"> </w:t>
      </w:r>
      <w:r>
        <w:rPr>
          <w:rFonts w:cs="Arial"/>
          <w:rtl/>
        </w:rPr>
        <w:t>אבל לגדולה יכול לגרש, והיינו בע"מ כמ"ש בש"ס. וכבר כתבתי אליבא דר"מ דס"ל ע"ח כרתי אז צריך שיהא מוכח בגט מי הוא המגרש והמתגרשת, ולכתחילה בעינן שיהיה הגט כשר אף לר"מ. לפי זה לכתחלה אסור לגרש בגט זה לגדולה, ואם גירש כבר כתבתי בסי' ק"ל דנ"ל דתנשא בו. ובתשובת ש"י לא כ"כ. ולשיטות הפוסקי' דס"ל אף לר"א ע"ח כרתי ודי אם עדים חתומים בו אפילו לא נמסר לפני עדים, י"ל לשיטתם אף לר"א בעינן מוכח בתוכו. וכבר כתבתי מזה בסי' ק"כ ועיין בתוספ' ובהר"ן ר"פ כל הגט, ב"ש (סק"ג).</w:t>
      </w:r>
    </w:p>
  </w:footnote>
  <w:footnote w:id="1377">
    <w:p w14:paraId="7F8A381F" w14:textId="77777777" w:rsidR="00FA2119" w:rsidRDefault="00FA2119" w:rsidP="00FA2119">
      <w:pPr>
        <w:pStyle w:val="a5"/>
      </w:pPr>
      <w:r>
        <w:rPr>
          <w:rStyle w:val="a7"/>
        </w:rPr>
        <w:footnoteRef/>
      </w:r>
      <w:r>
        <w:rPr>
          <w:rtl/>
        </w:rPr>
        <w:t xml:space="preserve"> </w:t>
      </w:r>
      <w:r>
        <w:rPr>
          <w:rFonts w:cs="Arial"/>
          <w:rtl/>
        </w:rPr>
        <w:t xml:space="preserve">ושמא הזקיקו לרב ז"ל </w:t>
      </w:r>
      <w:r>
        <w:rPr>
          <w:rFonts w:cs="Arial"/>
          <w:sz w:val="16"/>
          <w:szCs w:val="16"/>
          <w:rtl/>
        </w:rPr>
        <w:t>{לרמב"ם}</w:t>
      </w:r>
      <w:r>
        <w:rPr>
          <w:rFonts w:cs="Arial"/>
          <w:rtl/>
        </w:rPr>
        <w:t xml:space="preserve"> לומר כן מפני שבמקומה בפרק הבונה (שבת קד:) גבי מתניתין כתב על גבי כתב פטור אמרינן עלה מתניתין דלא כרבי יהודה, דתניא הרי שהיה צריך לכתוב את השם וכו', ולא איתמר התם הא פלוגתא דפליג עליה רב אחא, דאלמא הא דרב חסדא עיקר ודרב אחא דחייה בעלמא הוא. ואיכא למידק לרב חסדא דאמר דלרבנן לא הוי כתב מאי קאמרי ליה אין זה השם מן המובחר, דמשמע מן המובחר אינו, הא כתב מיהא מעליא הוי. ומצאתי בירושלמי בפרק הבונה (פי"ב ה"ה) שהקשו כן ופריקו, בשיטתו </w:t>
      </w:r>
      <w:r>
        <w:rPr>
          <w:rFonts w:cs="Arial"/>
          <w:sz w:val="16"/>
          <w:szCs w:val="16"/>
          <w:rtl/>
        </w:rPr>
        <w:t xml:space="preserve">{של ר' יהודה} </w:t>
      </w:r>
      <w:r>
        <w:rPr>
          <w:rFonts w:cs="Arial"/>
          <w:rtl/>
        </w:rPr>
        <w:t>השיבוהו</w:t>
      </w:r>
      <w:r>
        <w:rPr>
          <w:rFonts w:cs="Arial"/>
          <w:sz w:val="16"/>
          <w:szCs w:val="16"/>
          <w:rtl/>
        </w:rPr>
        <w:t xml:space="preserve"> {חכמים}</w:t>
      </w:r>
      <w:r>
        <w:rPr>
          <w:rFonts w:cs="Arial"/>
          <w:rtl/>
        </w:rPr>
        <w:t>, בשיטתך שאתה אומר כתב הוא אף הוא אינו מן המובחר, רשב"א (שם).</w:t>
      </w:r>
    </w:p>
  </w:footnote>
  <w:footnote w:id="1378">
    <w:p w14:paraId="7497EBEE" w14:textId="77777777" w:rsidR="00FA2119" w:rsidRDefault="00FA2119" w:rsidP="00FA2119">
      <w:pPr>
        <w:pStyle w:val="a5"/>
        <w:rPr>
          <w:rtl/>
        </w:rPr>
      </w:pPr>
      <w:r>
        <w:rPr>
          <w:rStyle w:val="a7"/>
        </w:rPr>
        <w:footnoteRef/>
      </w:r>
      <w:r>
        <w:rPr>
          <w:rtl/>
        </w:rPr>
        <w:t xml:space="preserve"> </w:t>
      </w:r>
      <w:r>
        <w:rPr>
          <w:rFonts w:cs="Arial"/>
          <w:rtl/>
        </w:rPr>
        <w:t>ס"ל לרמב"ם דיו על גבי דיו לא הוי כתב כלל ואינו פוסל אפי' לכהונה, וכן פסק בפי"א מהל' שבת..., ב"ש (סק"ה).</w:t>
      </w:r>
    </w:p>
  </w:footnote>
  <w:footnote w:id="1379">
    <w:p w14:paraId="0342EE3E" w14:textId="77777777" w:rsidR="00FA2119" w:rsidRDefault="00FA2119" w:rsidP="00FA2119">
      <w:pPr>
        <w:pStyle w:val="a5"/>
      </w:pPr>
      <w:r>
        <w:rPr>
          <w:rStyle w:val="a7"/>
        </w:rPr>
        <w:footnoteRef/>
      </w:r>
      <w:r>
        <w:rPr>
          <w:rtl/>
        </w:rPr>
        <w:t xml:space="preserve"> </w:t>
      </w:r>
      <w:r>
        <w:rPr>
          <w:rFonts w:cs="Arial"/>
          <w:rtl/>
        </w:rPr>
        <w:t>לר"ח ולרשב"א דהיינו הי"א שהיא כאן ס"ל דחוששין לו היינו קידושין תופסין בה ופוסל לכהונה. ומדברי הרמ"ה שהביא הטור בסי' ק"ל משמע דאין קידושין תופסי' בה ופוסל לכהונה, ב"ש (סק"ה).</w:t>
      </w:r>
    </w:p>
  </w:footnote>
  <w:footnote w:id="1380">
    <w:p w14:paraId="39BA7FD7" w14:textId="77777777" w:rsidR="00FA2119" w:rsidRDefault="00FA2119" w:rsidP="00FA2119">
      <w:pPr>
        <w:pStyle w:val="a5"/>
      </w:pPr>
      <w:r>
        <w:rPr>
          <w:rStyle w:val="a7"/>
        </w:rPr>
        <w:footnoteRef/>
      </w:r>
      <w:r>
        <w:rPr>
          <w:rtl/>
        </w:rPr>
        <w:t xml:space="preserve"> </w:t>
      </w:r>
      <w:r>
        <w:rPr>
          <w:rFonts w:cs="Arial"/>
          <w:rtl/>
        </w:rPr>
        <w:t>כלומר כי לא חתימי סהדי עליה כלל שפיר טפי מהשתא דחתימי עליה ושלא לשמה דהוה ליה מזוייף מתוכו</w:t>
      </w:r>
      <w:r>
        <w:rPr>
          <w:rtl/>
        </w:rPr>
        <w:t>, רש"י.</w:t>
      </w:r>
    </w:p>
  </w:footnote>
  <w:footnote w:id="1381">
    <w:p w14:paraId="42C7213E" w14:textId="77777777" w:rsidR="00FA2119" w:rsidRDefault="00FA2119" w:rsidP="00FA2119">
      <w:pPr>
        <w:pStyle w:val="a5"/>
        <w:rPr>
          <w:rtl/>
        </w:rPr>
      </w:pPr>
      <w:r>
        <w:rPr>
          <w:rStyle w:val="a7"/>
        </w:rPr>
        <w:footnoteRef/>
      </w:r>
      <w:r>
        <w:rPr>
          <w:rtl/>
        </w:rPr>
        <w:t xml:space="preserve"> </w:t>
      </w:r>
      <w:r>
        <w:rPr>
          <w:rFonts w:cs="Arial"/>
          <w:rtl/>
        </w:rPr>
        <w:t>שחתם עליו קרוב או פסול או שלא לשמה, רש"י.</w:t>
      </w:r>
    </w:p>
  </w:footnote>
  <w:footnote w:id="1382">
    <w:p w14:paraId="7DA0AD02" w14:textId="036C4B1E" w:rsidR="00CF2F95" w:rsidRDefault="00CF2F95">
      <w:pPr>
        <w:pStyle w:val="a5"/>
      </w:pPr>
      <w:r>
        <w:rPr>
          <w:rStyle w:val="a7"/>
        </w:rPr>
        <w:footnoteRef/>
      </w:r>
      <w:r>
        <w:rPr>
          <w:rtl/>
        </w:rPr>
        <w:t xml:space="preserve"> </w:t>
      </w:r>
      <w:r>
        <w:rPr>
          <w:rFonts w:hint="cs"/>
          <w:rtl/>
        </w:rPr>
        <w:t xml:space="preserve">וז"ל: </w:t>
      </w:r>
      <w:r>
        <w:rPr>
          <w:rFonts w:cs="Arial"/>
          <w:rtl/>
        </w:rPr>
        <w:t>ואפי' אם נכתב לשמה אם לא חתמו העדים לשמה - פסול</w:t>
      </w:r>
      <w:r>
        <w:rPr>
          <w:rFonts w:cs="Arial" w:hint="cs"/>
          <w:rtl/>
        </w:rPr>
        <w:t>.</w:t>
      </w:r>
    </w:p>
  </w:footnote>
  <w:footnote w:id="1383">
    <w:p w14:paraId="49FD77EF" w14:textId="77777777" w:rsidR="00FA2119" w:rsidRDefault="00FA2119" w:rsidP="00FA2119">
      <w:pPr>
        <w:pStyle w:val="a5"/>
      </w:pPr>
      <w:r>
        <w:rPr>
          <w:rStyle w:val="a7"/>
        </w:rPr>
        <w:footnoteRef/>
      </w:r>
      <w:r>
        <w:rPr>
          <w:rtl/>
        </w:rPr>
        <w:t xml:space="preserve"> </w:t>
      </w:r>
      <w:r>
        <w:rPr>
          <w:rFonts w:cs="Arial"/>
          <w:rtl/>
        </w:rPr>
        <w:t>כיון שאין העדים חותמין על הגט אלא מפני תיקון העולם שאינו מזוייף ממש, טור בשם הרמב"ם.</w:t>
      </w:r>
    </w:p>
  </w:footnote>
  <w:footnote w:id="1384">
    <w:p w14:paraId="1BEEEB83" w14:textId="77777777" w:rsidR="00FA2119" w:rsidRDefault="00FA2119" w:rsidP="00FA2119">
      <w:pPr>
        <w:pStyle w:val="a5"/>
      </w:pPr>
      <w:r>
        <w:rPr>
          <w:rStyle w:val="a7"/>
        </w:rPr>
        <w:footnoteRef/>
      </w:r>
      <w:r>
        <w:rPr>
          <w:rtl/>
        </w:rPr>
        <w:t xml:space="preserve"> </w:t>
      </w:r>
      <w:r>
        <w:rPr>
          <w:rFonts w:cs="Arial"/>
          <w:rtl/>
        </w:rPr>
        <w:t>ואע"פ שהוא ז"ל (פ"א הי"ח) מכשיר בגיטין הפסולים בעדי חתימה כגון שהרחיק העדים מן הגט שני שיטין וכיוצא כשנתנם בעדי מסירה - שאני התם שפיסול הגט ניכר על עדי חתימה, אבל הכא שאין הפיסול ניכר, דמנא ידעינן שחתמו שלא לשמה חיישינן, שמא אתו למיסמך על עדי חתימה, ולפיכך פסול מדרבנן, ב"י.</w:t>
      </w:r>
    </w:p>
  </w:footnote>
  <w:footnote w:id="1385">
    <w:p w14:paraId="1E7D7832" w14:textId="72CC690A" w:rsidR="00EC2403" w:rsidRDefault="00EC2403">
      <w:pPr>
        <w:pStyle w:val="a5"/>
      </w:pPr>
      <w:r>
        <w:rPr>
          <w:rStyle w:val="a7"/>
        </w:rPr>
        <w:footnoteRef/>
      </w:r>
      <w:r>
        <w:rPr>
          <w:rtl/>
        </w:rPr>
        <w:t xml:space="preserve"> </w:t>
      </w:r>
      <w:r>
        <w:rPr>
          <w:rFonts w:hint="cs"/>
          <w:rtl/>
        </w:rPr>
        <w:t>כיון שבתרוה"ד לא דיבר במעשה שעליו דיבר הדרכ"מ, אלא כך הדרכ"מ הבין משמו, אביא חלק קטן מלשון תרוה"ד שם, וז"ל:</w:t>
      </w:r>
      <w:r w:rsidR="000A7D04" w:rsidRPr="000A7D04">
        <w:rPr>
          <w:rtl/>
        </w:rPr>
        <w:t xml:space="preserve"> </w:t>
      </w:r>
      <w:r w:rsidR="000A7D04" w:rsidRPr="000A7D04">
        <w:rPr>
          <w:rFonts w:cs="Arial"/>
          <w:rtl/>
        </w:rPr>
        <w:t>הוה עובדא בדידי שבא לידי גט שסדרו אחד מחבירי וכאשר רצה העד לחתום כתב שמעון כהלכתו והיה צריך לכתוב עוד בן משה עד, וטעה ורצה לדלג בן ולכתוב משה ומשך בקולמוס כזה נ, ורצה להשלים המ"ם וגערו בו כשהרגישו את טעותו ונבהל ונשמט קולמסו והדביק כמין רצועה בצורה דלעיל, עד שנעשה כזה ס, והמתין עד שנתייבש וגרר הרצועה עד שנעשה כבתחילה והיה קודם כמין נו"ן, ואז הוסיף באותה צורה ועשאה בי"ת גמורה וגמר חתימתו בן משה עד. והכשרתי הגט ההוא בדיעבד כי כבר ניתן וגם המגרש היה מומר ונתן הגט קצת על ידי עישוי, והיה לירא אולי לא היה חוזר ונותן אחר ונתתי כמה פנים להתיר, ונחלק עלי חד מרבוותא ושלחתי לכל מופלגי הדור והסכימו כולם על ידי גם החולק חזר בו</w:t>
      </w:r>
      <w:r w:rsidR="000A7D04">
        <w:rPr>
          <w:rFonts w:cs="Arial" w:hint="cs"/>
          <w:sz w:val="16"/>
          <w:szCs w:val="16"/>
          <w:rtl/>
        </w:rPr>
        <w:t xml:space="preserve"> {והאריך בראיות}</w:t>
      </w:r>
      <w:r w:rsidR="000A7D04" w:rsidRPr="000A7D04">
        <w:rPr>
          <w:rFonts w:cs="Arial"/>
          <w:rtl/>
        </w:rPr>
        <w:t>.</w:t>
      </w:r>
      <w:r w:rsidR="000A7D04">
        <w:rPr>
          <w:rFonts w:hint="cs"/>
          <w:rtl/>
        </w:rPr>
        <w:t>..</w:t>
      </w:r>
      <w:r>
        <w:rPr>
          <w:rFonts w:hint="cs"/>
          <w:rtl/>
        </w:rPr>
        <w:t xml:space="preserve"> </w:t>
      </w:r>
      <w:r w:rsidRPr="00EC2403">
        <w:rPr>
          <w:rFonts w:cs="Arial"/>
          <w:rtl/>
        </w:rPr>
        <w:t>ואנא בעובדא דידי לרווחא דמילתא הבאתי כל הני ראיות דלעיל דלפי הנראה לא הוי חק תוכות בעובדא דידי כמו שאבאר. וכבר לעיל כתבתי דלאחר שהיתה הרצועה נמחקת נעשה הצורה קרוב כמו נו"ן כפופה, ועדיין היה צריך לכתוב ולהוסיף עליו משך כדי לעשות ב', וכל חק תוכות שכתבו הגאונים בכה"ג על ידי מחיקה לא כתבו אלא דווקא שעל ידי המחיקה לבדה ניתקן האות מקילקולו, אבל היכא שעדיין צריך לכתוב ולהוסיף על המחיקה לשווייה אות בכה"ג לא נפסל משום חק תוכות.</w:t>
      </w:r>
    </w:p>
  </w:footnote>
  <w:footnote w:id="1386">
    <w:p w14:paraId="37CDB258" w14:textId="77777777" w:rsidR="00FA2119" w:rsidRDefault="00FA2119" w:rsidP="00FA2119">
      <w:pPr>
        <w:pStyle w:val="a5"/>
      </w:pPr>
      <w:r>
        <w:rPr>
          <w:rStyle w:val="a7"/>
        </w:rPr>
        <w:footnoteRef/>
      </w:r>
      <w:r>
        <w:rPr>
          <w:rtl/>
        </w:rPr>
        <w:t xml:space="preserve"> </w:t>
      </w:r>
      <w:r>
        <w:rPr>
          <w:rFonts w:cs="Arial"/>
          <w:rtl/>
        </w:rPr>
        <w:t>וכ"כ המרדכי בפ"ב דגיטין (סי' שלה) בשם ספר התרומה (סי' קיז ד"ה הבעל) והגה"מ (פ"ג אות א ודפוס קושטא ה"ז) בשם סמ"ג, ב"י.</w:t>
      </w:r>
    </w:p>
  </w:footnote>
  <w:footnote w:id="1387">
    <w:p w14:paraId="693FA4D2" w14:textId="7A3C0AF8" w:rsidR="00FA2119" w:rsidRDefault="00FA2119" w:rsidP="00FA2119">
      <w:pPr>
        <w:pStyle w:val="a5"/>
      </w:pPr>
      <w:r>
        <w:rPr>
          <w:rStyle w:val="a7"/>
        </w:rPr>
        <w:footnoteRef/>
      </w:r>
      <w:r>
        <w:rPr>
          <w:rtl/>
        </w:rPr>
        <w:t xml:space="preserve"> </w:t>
      </w:r>
      <w:r>
        <w:rPr>
          <w:rFonts w:cs="Arial"/>
          <w:rtl/>
        </w:rPr>
        <w:t xml:space="preserve">ומשמע לרבינו שצריך הסופר ג"כ להוציא בפיו לשם מי כותבו ולא סגי במחשבה, כדאשכחן בס"ת דבעינן שיוציא בשפתיו שכתבו לשם ס"ת. וכן כתוב בספרים הנזכרים </w:t>
      </w:r>
      <w:r>
        <w:rPr>
          <w:rFonts w:cs="Arial"/>
          <w:sz w:val="16"/>
          <w:szCs w:val="16"/>
          <w:rtl/>
        </w:rPr>
        <w:t xml:space="preserve">(מרדכי סי' תנב, ספר התרומה סי' קלא בסדר הגט, הגה"מ ד"ק שם בשם סמ"ג) </w:t>
      </w:r>
      <w:r w:rsidR="000A0F5A">
        <w:rPr>
          <w:rFonts w:cs="Arial"/>
          <w:rtl/>
        </w:rPr>
        <w:t>וז"ל:</w:t>
      </w:r>
      <w:r>
        <w:rPr>
          <w:rFonts w:cs="Arial"/>
          <w:rtl/>
        </w:rPr>
        <w:t xml:space="preserve"> טוב הדבר לעשות בבת אחת שיאמר הבעל לסופר בפני עדים כשרים לכתוב גט לאשתו, ואותם העדים יהיו בשעת כתיבה, ויאמר להם הסופר שכותבו לשם פלונית אשת פלוני ולשמו של פלוני, </w:t>
      </w:r>
      <w:r>
        <w:rPr>
          <w:rFonts w:cs="Arial"/>
          <w:b/>
          <w:bCs/>
          <w:rtl/>
        </w:rPr>
        <w:t>ב"י</w:t>
      </w:r>
      <w:r>
        <w:rPr>
          <w:rFonts w:cs="Arial"/>
          <w:rtl/>
        </w:rPr>
        <w:t xml:space="preserve">. וכ"כ בסדר גיטין (סי' נז סעיף יג) שצריך הסופר לומר בפני עדים שייחד הבעל שיכתבנו לשמו ולשמה ולשם גירושין, </w:t>
      </w:r>
      <w:r>
        <w:rPr>
          <w:rFonts w:cs="Arial"/>
          <w:b/>
          <w:bCs/>
          <w:rtl/>
        </w:rPr>
        <w:t xml:space="preserve">דרכ"מ </w:t>
      </w:r>
      <w:r>
        <w:rPr>
          <w:rFonts w:cs="Arial"/>
          <w:rtl/>
        </w:rPr>
        <w:t>(אות א**).</w:t>
      </w:r>
      <w:r>
        <w:rPr>
          <w:color w:val="00B0F0"/>
          <w:rtl/>
        </w:rPr>
        <w:t xml:space="preserve"> (וכ"פ הרמ"א)</w:t>
      </w:r>
    </w:p>
  </w:footnote>
  <w:footnote w:id="1388">
    <w:p w14:paraId="49A2F7BC" w14:textId="4575150E" w:rsidR="00FA2119" w:rsidRDefault="00FA2119" w:rsidP="00FA2119">
      <w:pPr>
        <w:pStyle w:val="a5"/>
      </w:pPr>
      <w:r>
        <w:rPr>
          <w:rStyle w:val="a7"/>
        </w:rPr>
        <w:footnoteRef/>
      </w:r>
      <w:r>
        <w:rPr>
          <w:rtl/>
        </w:rPr>
        <w:t xml:space="preserve"> </w:t>
      </w:r>
      <w:r>
        <w:rPr>
          <w:rFonts w:cs="Arial"/>
          <w:rtl/>
        </w:rPr>
        <w:t xml:space="preserve">מיהו בדיעבד אם כתבו בסירוגין כשר, וכן הוא </w:t>
      </w:r>
      <w:r w:rsidR="009334FF">
        <w:rPr>
          <w:rFonts w:cs="Arial"/>
          <w:rtl/>
        </w:rPr>
        <w:t>בהגה</w:t>
      </w:r>
      <w:r>
        <w:rPr>
          <w:rFonts w:cs="Arial"/>
          <w:rtl/>
        </w:rPr>
        <w:t>ות אלפסי פ"ק דגיטין (שלט"ג א: אות ג)</w:t>
      </w:r>
      <w:r>
        <w:rPr>
          <w:rtl/>
        </w:rPr>
        <w:t>, דרכ"מ (אות ב).</w:t>
      </w:r>
      <w:r>
        <w:rPr>
          <w:color w:val="00B0F0"/>
          <w:rtl/>
        </w:rPr>
        <w:t xml:space="preserve"> (וכ"פ </w:t>
      </w:r>
      <w:r w:rsidR="009334FF">
        <w:rPr>
          <w:color w:val="00B0F0"/>
          <w:rtl/>
        </w:rPr>
        <w:t>בהג"ה</w:t>
      </w:r>
      <w:r>
        <w:rPr>
          <w:color w:val="00B0F0"/>
          <w:rtl/>
        </w:rPr>
        <w:t>)</w:t>
      </w:r>
    </w:p>
  </w:footnote>
  <w:footnote w:id="1389">
    <w:p w14:paraId="0C06D346" w14:textId="77777777" w:rsidR="00FA2119" w:rsidRDefault="00FA2119" w:rsidP="00FA2119">
      <w:pPr>
        <w:pStyle w:val="a5"/>
        <w:rPr>
          <w:rtl/>
        </w:rPr>
      </w:pPr>
      <w:r>
        <w:rPr>
          <w:rStyle w:val="a7"/>
        </w:rPr>
        <w:footnoteRef/>
      </w:r>
      <w:r>
        <w:rPr>
          <w:rtl/>
        </w:rPr>
        <w:t xml:space="preserve"> </w:t>
      </w:r>
      <w:r>
        <w:rPr>
          <w:rFonts w:cs="Arial"/>
          <w:rtl/>
        </w:rPr>
        <w:t xml:space="preserve">דגט לענין כמה דברי' ילפינן מתפילין וס"ת דצריך הסופר לומר בפיו ולא מהני מחשבה, ועיין בא"ח סימן ל"ב... גם כשהבעל כותב בעצמו צריך שיאמר בפיו שכותב לשמה [סמ"ג], </w:t>
      </w:r>
      <w:r>
        <w:rPr>
          <w:rFonts w:cs="Arial"/>
          <w:b/>
          <w:bCs/>
          <w:rtl/>
        </w:rPr>
        <w:t>ב"ש</w:t>
      </w:r>
      <w:r>
        <w:rPr>
          <w:rFonts w:cs="Arial"/>
          <w:rtl/>
        </w:rPr>
        <w:t xml:space="preserve"> (סק"ח).</w:t>
      </w:r>
      <w:r>
        <w:rPr>
          <w:rtl/>
        </w:rPr>
        <w:t xml:space="preserve"> וכתב עוד </w:t>
      </w:r>
      <w:r>
        <w:rPr>
          <w:b/>
          <w:bCs/>
          <w:rtl/>
        </w:rPr>
        <w:t>הב"ש</w:t>
      </w:r>
      <w:r>
        <w:rPr>
          <w:rtl/>
        </w:rPr>
        <w:t xml:space="preserve"> (שם) </w:t>
      </w:r>
      <w:r>
        <w:rPr>
          <w:rFonts w:cs="Arial"/>
          <w:rtl/>
        </w:rPr>
        <w:t>דמשמע דיש עיכוב בזה אפילו בדיעבד שיאמר בפיו.</w:t>
      </w:r>
      <w:r>
        <w:rPr>
          <w:rtl/>
        </w:rPr>
        <w:t xml:space="preserve"> </w:t>
      </w:r>
      <w:r>
        <w:rPr>
          <w:rFonts w:cs="Arial"/>
          <w:rtl/>
        </w:rPr>
        <w:t xml:space="preserve">אך בס' </w:t>
      </w:r>
      <w:r>
        <w:rPr>
          <w:rFonts w:cs="Arial"/>
          <w:b/>
          <w:bCs/>
          <w:rtl/>
        </w:rPr>
        <w:t>תו"ג</w:t>
      </w:r>
      <w:r>
        <w:rPr>
          <w:rFonts w:cs="Arial"/>
          <w:rtl/>
        </w:rPr>
        <w:t xml:space="preserve"> כ' דהיינו לחומרא בעלמא כמו במוקף גויל אבל מדינא ודאי דאין צריך... ועיין בתשו' </w:t>
      </w:r>
      <w:r>
        <w:rPr>
          <w:rFonts w:cs="Arial"/>
          <w:b/>
          <w:bCs/>
          <w:rtl/>
        </w:rPr>
        <w:t>הרדב"ז</w:t>
      </w:r>
      <w:r>
        <w:rPr>
          <w:rFonts w:cs="Arial"/>
          <w:rtl/>
        </w:rPr>
        <w:t xml:space="preserve"> (ח"א סי' קנד) מבואר שם בהדיא דאין קפידא בזה רק לכתחילה אבל בדיעבד סגי במחשבה בין בס"ת ובין בגט ע"ש. וכ"כ בשו"ת </w:t>
      </w:r>
      <w:r w:rsidRPr="006B5BDF">
        <w:rPr>
          <w:rFonts w:cs="Arial"/>
          <w:b/>
          <w:bCs/>
          <w:rtl/>
        </w:rPr>
        <w:t>הרמ"ע מפאנו</w:t>
      </w:r>
      <w:r>
        <w:rPr>
          <w:rFonts w:cs="Arial"/>
          <w:rtl/>
        </w:rPr>
        <w:t xml:space="preserve"> (סי' צד), ושם מבואר דעיקר דעתו הוא להקל אפילו לכתחילה לומר דסגי במחשבה בכל דבר שצריך לשמה, אלא דאף מי שירצה לחוש בזה די לחוש לכתחילה ולא בדיעבד ע"ש... </w:t>
      </w:r>
      <w:r>
        <w:rPr>
          <w:rFonts w:cs="Arial"/>
          <w:b/>
          <w:bCs/>
          <w:rtl/>
        </w:rPr>
        <w:t>פת"ש</w:t>
      </w:r>
      <w:r>
        <w:rPr>
          <w:rFonts w:cs="Arial"/>
          <w:rtl/>
        </w:rPr>
        <w:t xml:space="preserve"> (סק"ג).</w:t>
      </w:r>
    </w:p>
  </w:footnote>
  <w:footnote w:id="1390">
    <w:p w14:paraId="7CE3CE16" w14:textId="77643A71" w:rsidR="00FA2119" w:rsidRDefault="00FA2119" w:rsidP="00FA2119">
      <w:pPr>
        <w:pStyle w:val="a5"/>
      </w:pPr>
      <w:r>
        <w:rPr>
          <w:rStyle w:val="a7"/>
        </w:rPr>
        <w:footnoteRef/>
      </w:r>
      <w:r>
        <w:rPr>
          <w:rtl/>
        </w:rPr>
        <w:t xml:space="preserve"> </w:t>
      </w:r>
      <w:r>
        <w:rPr>
          <w:rFonts w:cs="Arial"/>
          <w:rtl/>
        </w:rPr>
        <w:t>ע' בא</w:t>
      </w:r>
      <w:r w:rsidR="006B5BDF">
        <w:rPr>
          <w:rFonts w:cs="Arial" w:hint="cs"/>
          <w:rtl/>
        </w:rPr>
        <w:t>ו</w:t>
      </w:r>
      <w:r>
        <w:rPr>
          <w:rFonts w:cs="Arial"/>
          <w:rtl/>
        </w:rPr>
        <w:t xml:space="preserve">"ח סימן ל"ב סי"ט </w:t>
      </w:r>
      <w:r w:rsidR="009334FF">
        <w:rPr>
          <w:rFonts w:cs="Arial"/>
          <w:rtl/>
        </w:rPr>
        <w:t>בהג"ה</w:t>
      </w:r>
      <w:r>
        <w:rPr>
          <w:rFonts w:cs="Arial"/>
          <w:rtl/>
        </w:rPr>
        <w:t xml:space="preserve"> שכ</w:t>
      </w:r>
      <w:r w:rsidR="006B5BDF">
        <w:rPr>
          <w:rFonts w:cs="Arial" w:hint="cs"/>
          <w:rtl/>
        </w:rPr>
        <w:t>תב:</w:t>
      </w:r>
      <w:r>
        <w:rPr>
          <w:rFonts w:cs="Arial"/>
          <w:rtl/>
        </w:rPr>
        <w:t xml:space="preserve"> וכשבא לנמנם </w:t>
      </w:r>
      <w:r w:rsidR="006B5BDF">
        <w:rPr>
          <w:rFonts w:cs="Arial" w:hint="cs"/>
          <w:rtl/>
        </w:rPr>
        <w:t xml:space="preserve">- </w:t>
      </w:r>
      <w:r>
        <w:rPr>
          <w:rFonts w:cs="Arial"/>
          <w:rtl/>
        </w:rPr>
        <w:t>לא יכתוב</w:t>
      </w:r>
      <w:r w:rsidR="006B5BDF">
        <w:rPr>
          <w:rFonts w:cs="Arial" w:hint="cs"/>
          <w:rtl/>
        </w:rPr>
        <w:t>,</w:t>
      </w:r>
      <w:r>
        <w:rPr>
          <w:rFonts w:cs="Arial"/>
          <w:rtl/>
        </w:rPr>
        <w:t xml:space="preserve"> דאינו כותב אז בכוונה ע"ש. וה"ה הכא גבי גט דהא פשיטא שאף שלומר בפיו שכותבו לשמה א"צ רק בתחילת הכתיבה אבל במחשבתו צריך שיהיה בכל כתיבת הגט שכותבו לשמו ולשמה כמבואר בכל הפוסקי'</w:t>
      </w:r>
      <w:r>
        <w:rPr>
          <w:rtl/>
        </w:rPr>
        <w:t>, פת"ש (סק"ד).</w:t>
      </w:r>
    </w:p>
  </w:footnote>
  <w:footnote w:id="1391">
    <w:p w14:paraId="4A6621E5" w14:textId="77777777" w:rsidR="00FA2119" w:rsidRDefault="00FA2119" w:rsidP="00FA2119">
      <w:pPr>
        <w:pStyle w:val="a5"/>
        <w:rPr>
          <w:rtl/>
        </w:rPr>
      </w:pPr>
      <w:r>
        <w:rPr>
          <w:rStyle w:val="a7"/>
        </w:rPr>
        <w:footnoteRef/>
      </w:r>
      <w:r>
        <w:rPr>
          <w:rtl/>
        </w:rPr>
        <w:t xml:space="preserve"> </w:t>
      </w:r>
      <w:r>
        <w:rPr>
          <w:rFonts w:cs="Arial"/>
          <w:rtl/>
        </w:rPr>
        <w:t>ודקדק רבינו לכתוב והעדים החותמים צריך שיהיו שם בשעה שהסופר כותבו, לומר דלכתחלה בפני העדים עצמם שחותמים על הגט צריך לכתוב הגט. וכן כתוב בסדר הגט דסמ"ג והתרומה והלכות הגט דמרדכי כמו שכתבתי בסימן שקודם זה (לא:), ב"י.</w:t>
      </w:r>
    </w:p>
  </w:footnote>
  <w:footnote w:id="1392">
    <w:p w14:paraId="4B2F2A6E" w14:textId="77777777" w:rsidR="00FA2119" w:rsidRDefault="00FA2119" w:rsidP="00FA2119">
      <w:pPr>
        <w:pStyle w:val="a5"/>
      </w:pPr>
      <w:r>
        <w:rPr>
          <w:rStyle w:val="a7"/>
        </w:rPr>
        <w:footnoteRef/>
      </w:r>
      <w:r>
        <w:rPr>
          <w:rtl/>
        </w:rPr>
        <w:t xml:space="preserve"> </w:t>
      </w:r>
      <w:r>
        <w:rPr>
          <w:rFonts w:cs="Arial"/>
          <w:rtl/>
        </w:rPr>
        <w:t>כלומר שאחר שכתבו הסופר לפניהם לא יתחלף להם באחר ולא יתעלם מעיניהם עד שלא ידעו אם הוא זה שכתב הסופר לשמה אם לאו, ב"י.</w:t>
      </w:r>
    </w:p>
  </w:footnote>
  <w:footnote w:id="1393">
    <w:p w14:paraId="6B7B8870" w14:textId="6686D1E6" w:rsidR="00FA2119" w:rsidRDefault="00FA2119" w:rsidP="00FA2119">
      <w:pPr>
        <w:pStyle w:val="a5"/>
      </w:pPr>
      <w:r>
        <w:rPr>
          <w:rStyle w:val="a7"/>
        </w:rPr>
        <w:footnoteRef/>
      </w:r>
      <w:r>
        <w:rPr>
          <w:rtl/>
        </w:rPr>
        <w:t xml:space="preserve"> </w:t>
      </w:r>
      <w:r>
        <w:rPr>
          <w:rFonts w:cs="Arial"/>
          <w:rtl/>
        </w:rPr>
        <w:t xml:space="preserve">וכן כתוב </w:t>
      </w:r>
      <w:r w:rsidR="009334FF">
        <w:rPr>
          <w:rFonts w:cs="Arial"/>
          <w:rtl/>
        </w:rPr>
        <w:t>בהגה</w:t>
      </w:r>
      <w:r>
        <w:rPr>
          <w:rFonts w:cs="Arial"/>
          <w:rtl/>
        </w:rPr>
        <w:t>ות פ"ג (ד"ק ה"ד ד"ה וכל) בשם סמ"ג (שם), וכן כתוב בסמ"ק (סי' קפד), וג"כ כתוב בכל בו (סי' עו דף מו ע"ג) בטופס ר' יצחק ז"ל, ב"י.</w:t>
      </w:r>
    </w:p>
  </w:footnote>
  <w:footnote w:id="1394">
    <w:p w14:paraId="7D2E1FA7" w14:textId="77777777" w:rsidR="00FA2119" w:rsidRDefault="00FA2119" w:rsidP="00FA2119">
      <w:pPr>
        <w:pStyle w:val="a5"/>
        <w:rPr>
          <w:rtl/>
        </w:rPr>
      </w:pPr>
      <w:r>
        <w:rPr>
          <w:rStyle w:val="a7"/>
        </w:rPr>
        <w:footnoteRef/>
      </w:r>
      <w:r>
        <w:rPr>
          <w:rtl/>
        </w:rPr>
        <w:t xml:space="preserve"> </w:t>
      </w:r>
      <w:r>
        <w:rPr>
          <w:rFonts w:cs="Arial"/>
          <w:rtl/>
        </w:rPr>
        <w:t>ורש"י (טו. ד"ה שיטה) פירש דלאו דוקא שיטה ראשונה ממש אלא שיטה שיש בה שם האיש והאשה והזמן, מרדכי (סי' שלה).</w:t>
      </w:r>
    </w:p>
  </w:footnote>
  <w:footnote w:id="1395">
    <w:p w14:paraId="6D814A51" w14:textId="258E80BA" w:rsidR="00FA2119" w:rsidRDefault="00FA2119" w:rsidP="00FA2119">
      <w:pPr>
        <w:pStyle w:val="a5"/>
      </w:pPr>
      <w:r>
        <w:rPr>
          <w:rStyle w:val="a7"/>
        </w:rPr>
        <w:footnoteRef/>
      </w:r>
      <w:r>
        <w:rPr>
          <w:rtl/>
        </w:rPr>
        <w:t xml:space="preserve"> </w:t>
      </w:r>
      <w:r>
        <w:rPr>
          <w:rFonts w:cs="Arial"/>
          <w:rtl/>
        </w:rPr>
        <w:t xml:space="preserve">ויש לדקדק על זה, דהתם בפ"ב דגיטין לא איירי לענין עדים שחותמין בגט, אלא בשליח הצריך לומר בפני נכתב ובפני נחתם, ומנ"ל להשוות דין עדים החתומים על הגט לדין השליח. ועוד שהרי פסק הרי"ף בריש גיטין (א:) כרב אשי דאמר (ו.) אפילו לא שמע אלא קן קולמוסא יכול לומר בפני נכתב וכו', ודלא כרבי אלעזר (ה:) דמצריך שיכתוב שיטה ראשונה. וא"כ אפילו נשוה דין עדי חתימה לדין השליח, לא נפקא לן מידי במאי דפירש רש"י (טו. שם) על דברי רבי אלעזר. ואפשר שדעת סמ"ג והתרומה לומר דמדמקשה בריש פ"ב מדרבי אלעזר משמע דהכי קיי"ל, וא"כ צריכין אנו לחוש לפירוש רש"י. וגם נראה להם דדין עדי חתימה שוה לדין השליח. מיהו היינו לחוש קצת, אבל לקושטא דמילתא אין ענין עדי חתימה לענין שליח, שכן כתב בסדר הגט דסמ"ג (עשין נ) ודספר התרומה (סי' קלא) ובהלכות הגט דמרדכי (סי' תנב) </w:t>
      </w:r>
      <w:r w:rsidR="000A0F5A">
        <w:rPr>
          <w:rFonts w:cs="Arial"/>
          <w:rtl/>
        </w:rPr>
        <w:t>וז"ל:</w:t>
      </w:r>
      <w:r>
        <w:rPr>
          <w:rFonts w:cs="Arial"/>
          <w:rtl/>
        </w:rPr>
        <w:t xml:space="preserve"> ואם אין שם עדים בשעת כתיבת הגט נראה שהוא כשר...</w:t>
      </w:r>
      <w:r>
        <w:rPr>
          <w:rFonts w:cs="Arial"/>
          <w:sz w:val="16"/>
          <w:szCs w:val="16"/>
          <w:rtl/>
        </w:rPr>
        <w:t xml:space="preserve"> {וההמשך מובא לקמן בסמוך}</w:t>
      </w:r>
      <w:r w:rsidR="00C434F8">
        <w:rPr>
          <w:rFonts w:cs="Arial" w:hint="cs"/>
          <w:rtl/>
        </w:rPr>
        <w:t>, ב"י</w:t>
      </w:r>
      <w:r>
        <w:rPr>
          <w:rFonts w:cs="Arial"/>
          <w:rtl/>
        </w:rPr>
        <w:t>.</w:t>
      </w:r>
    </w:p>
  </w:footnote>
  <w:footnote w:id="1396">
    <w:p w14:paraId="4B2D0CF4" w14:textId="59DBB759" w:rsidR="00544B09" w:rsidRDefault="00544B09">
      <w:pPr>
        <w:pStyle w:val="a5"/>
      </w:pPr>
      <w:r>
        <w:rPr>
          <w:rStyle w:val="a7"/>
        </w:rPr>
        <w:footnoteRef/>
      </w:r>
      <w:r>
        <w:rPr>
          <w:rtl/>
        </w:rPr>
        <w:t xml:space="preserve"> </w:t>
      </w:r>
      <w:r>
        <w:rPr>
          <w:rFonts w:cs="Arial"/>
          <w:rtl/>
        </w:rPr>
        <w:t>דאי יש לחוש שמא טעה הסופר או הבעל</w:t>
      </w:r>
      <w:r>
        <w:rPr>
          <w:rFonts w:cs="Arial" w:hint="cs"/>
          <w:rtl/>
        </w:rPr>
        <w:t>,</w:t>
      </w:r>
      <w:r>
        <w:rPr>
          <w:rFonts w:cs="Arial"/>
          <w:rtl/>
        </w:rPr>
        <w:t xml:space="preserve"> אם כן הוא עצמו שהביא הגט אמאי אינו צריך לומר בפני נכתב ובפני נחתם. אלא ודאי אין לחוש שמא טעה דרוב בקיאין הן. ובשליח הולכה דווקא הצריכו רבנן שלא יוציא הבעל לעז. אבל בגירושין שהבעל עצמו עושה אין לחוש</w:t>
      </w:r>
      <w:r>
        <w:rPr>
          <w:rFonts w:hint="cs"/>
          <w:rtl/>
        </w:rPr>
        <w:t>, תרומה (שם).</w:t>
      </w:r>
    </w:p>
  </w:footnote>
  <w:footnote w:id="1397">
    <w:p w14:paraId="140D00FC" w14:textId="77777777" w:rsidR="00FA2119" w:rsidRDefault="00FA2119" w:rsidP="00FA2119">
      <w:pPr>
        <w:pStyle w:val="a5"/>
      </w:pPr>
      <w:r>
        <w:rPr>
          <w:rStyle w:val="a7"/>
        </w:rPr>
        <w:footnoteRef/>
      </w:r>
      <w:r>
        <w:rPr>
          <w:rtl/>
        </w:rPr>
        <w:t xml:space="preserve"> </w:t>
      </w:r>
      <w:r>
        <w:rPr>
          <w:rFonts w:cs="Arial"/>
          <w:rtl/>
        </w:rPr>
        <w:t>היינו לכתחילה טוב שיהיה שם בעת התחלה מיהו לא גרע משליח דקי"ל אפילו שמע קול קולמוס לשמה די. ומסדר גט דהסמ"ק והמ' משמע אפילו לא שמעו קל קולמוס נמי כשר דוקא השליח צריך שישמע עכ"פ קל קולמוס ולא ע"ח</w:t>
      </w:r>
      <w:r>
        <w:rPr>
          <w:rtl/>
        </w:rPr>
        <w:t>, ב"ש (סק"ט).</w:t>
      </w:r>
    </w:p>
  </w:footnote>
  <w:footnote w:id="1398">
    <w:p w14:paraId="51EB8B41" w14:textId="77777777" w:rsidR="00FA2119" w:rsidRDefault="00FA2119" w:rsidP="00FA2119">
      <w:pPr>
        <w:pStyle w:val="a5"/>
        <w:rPr>
          <w:rtl/>
        </w:rPr>
      </w:pPr>
      <w:r>
        <w:rPr>
          <w:rStyle w:val="a7"/>
        </w:rPr>
        <w:footnoteRef/>
      </w:r>
      <w:r>
        <w:rPr>
          <w:rFonts w:cs="Arial"/>
          <w:rtl/>
        </w:rPr>
        <w:t xml:space="preserve"> וכן נוהגין. גם הבעל צריך לומר לעדים שיחתמו לשמו ולשמה ולשם גירושין, דרכ"מ (אות ב). </w:t>
      </w:r>
    </w:p>
  </w:footnote>
  <w:footnote w:id="1399">
    <w:p w14:paraId="544A0FEF" w14:textId="77777777" w:rsidR="00FA2119" w:rsidRDefault="00FA2119" w:rsidP="00FA2119">
      <w:pPr>
        <w:pStyle w:val="a5"/>
        <w:rPr>
          <w:rtl/>
        </w:rPr>
      </w:pPr>
      <w:r>
        <w:rPr>
          <w:rStyle w:val="a7"/>
        </w:rPr>
        <w:footnoteRef/>
      </w:r>
      <w:r>
        <w:rPr>
          <w:rtl/>
        </w:rPr>
        <w:t xml:space="preserve"> </w:t>
      </w:r>
      <w:r>
        <w:rPr>
          <w:rFonts w:cs="Arial"/>
          <w:rtl/>
        </w:rPr>
        <w:t>ועדיין לא גמר שמו, משמע אם גמר שמו אין תקנה אע"ג דקי"ל דאם חתם רק בן יעקב עד כשר, מ"מ בכה"ג דכתב שלא לשמו או לא אמר לשמו גרע טפי ופסול, אא"כ דעדיין לא גמר שמו אז כותב מקצת שמו לשמו ובן פלוני עד, וכותב לגמרי כדינו. ועיין בסימן הקודם במ"ש, ב"ש (סק"י).</w:t>
      </w:r>
    </w:p>
  </w:footnote>
  <w:footnote w:id="1400">
    <w:p w14:paraId="38521D11" w14:textId="77777777" w:rsidR="00FA2119" w:rsidRDefault="00FA2119" w:rsidP="00FA2119">
      <w:pPr>
        <w:pStyle w:val="a5"/>
      </w:pPr>
      <w:r>
        <w:rPr>
          <w:rStyle w:val="a7"/>
        </w:rPr>
        <w:footnoteRef/>
      </w:r>
      <w:r>
        <w:rPr>
          <w:rtl/>
        </w:rPr>
        <w:t xml:space="preserve"> </w:t>
      </w:r>
      <w:r>
        <w:rPr>
          <w:rFonts w:cs="Arial"/>
          <w:rtl/>
        </w:rPr>
        <w:t>ומהרד"ך חולק ע"ז, וס"ל אף בכה"ג פסול. מיהו בסי' קכ"ה בענין חק תוכות אם לא נגמר האות פסק הרב רמ"א בפשיטות כתרוה"ד דמכשיר שם, א"כ אף כאן כשר. ומשמע מלשון רמ"א אפילו אם היה כוונת העד לשמו לא מהני אם לא הוציאו בפיו. ובמהרי"ו מתיר אם העד אמר שהיה כוונתו לשמה. והעד נאמן ע"ז אע"ג דבסופר הכותב יש לומר דאיכא קפידא אפילו בדיעבד אם לא הוציאו בפיו, מכל מקום בעד החתום יש להקל</w:t>
      </w:r>
      <w:r>
        <w:rPr>
          <w:rtl/>
        </w:rPr>
        <w:t>, ב"ש (סקי"א).</w:t>
      </w:r>
    </w:p>
  </w:footnote>
  <w:footnote w:id="1401">
    <w:p w14:paraId="48E5DDC2" w14:textId="7740F307" w:rsidR="007C79AF" w:rsidRDefault="007C79AF">
      <w:pPr>
        <w:pStyle w:val="a5"/>
      </w:pPr>
      <w:r>
        <w:rPr>
          <w:rStyle w:val="a7"/>
        </w:rPr>
        <w:footnoteRef/>
      </w:r>
      <w:r>
        <w:rPr>
          <w:rtl/>
        </w:rPr>
        <w:t xml:space="preserve"> </w:t>
      </w:r>
      <w:r>
        <w:rPr>
          <w:rFonts w:hint="cs"/>
          <w:rtl/>
        </w:rPr>
        <w:t>סימן - עבר טופס.</w:t>
      </w:r>
    </w:p>
  </w:footnote>
  <w:footnote w:id="1402">
    <w:p w14:paraId="4131D577" w14:textId="77777777" w:rsidR="00FA2119" w:rsidRDefault="00FA2119" w:rsidP="00FA2119">
      <w:pPr>
        <w:pStyle w:val="a5"/>
        <w:rPr>
          <w:rtl/>
        </w:rPr>
      </w:pPr>
      <w:r>
        <w:rPr>
          <w:rStyle w:val="a7"/>
        </w:rPr>
        <w:footnoteRef/>
      </w:r>
      <w:r>
        <w:rPr>
          <w:rtl/>
        </w:rPr>
        <w:t xml:space="preserve"> </w:t>
      </w:r>
      <w:r>
        <w:rPr>
          <w:rFonts w:cs="Arial"/>
          <w:rtl/>
        </w:rPr>
        <w:t>שמא ישהה את הגט שנתים ושלש בין כתיבה לנתינה ויהיו לה בנים ממנו בתוך הזמן ואחר כך יגרשנה בו ולימים כשישתכח הדבר יראו זמן הגט קודם ללידת הבן ויהו סבורין שניתן לה משעת כתיבה ויאמרו מן הפנויה נולד משגרשה והוי פגם, רש"י.</w:t>
      </w:r>
    </w:p>
  </w:footnote>
  <w:footnote w:id="1403">
    <w:p w14:paraId="2FD70A3A" w14:textId="77777777" w:rsidR="00FA2119" w:rsidRDefault="00FA2119" w:rsidP="00FA2119">
      <w:pPr>
        <w:pStyle w:val="a5"/>
      </w:pPr>
      <w:r>
        <w:rPr>
          <w:rStyle w:val="a7"/>
        </w:rPr>
        <w:footnoteRef/>
      </w:r>
      <w:r>
        <w:rPr>
          <w:rtl/>
        </w:rPr>
        <w:t xml:space="preserve"> </w:t>
      </w:r>
      <w:r>
        <w:rPr>
          <w:rFonts w:cs="Arial"/>
          <w:rtl/>
        </w:rPr>
        <w:t>בגט ישן והלך בעלה למדה"י תינשא לכתחלה</w:t>
      </w:r>
      <w:r>
        <w:rPr>
          <w:rtl/>
        </w:rPr>
        <w:t>, רש"י.</w:t>
      </w:r>
    </w:p>
  </w:footnote>
  <w:footnote w:id="1404">
    <w:p w14:paraId="67B01E4C" w14:textId="77777777" w:rsidR="00FA2119" w:rsidRDefault="00FA2119" w:rsidP="00FA2119">
      <w:pPr>
        <w:pStyle w:val="a5"/>
        <w:rPr>
          <w:rtl/>
        </w:rPr>
      </w:pPr>
      <w:r>
        <w:rPr>
          <w:rStyle w:val="a7"/>
        </w:rPr>
        <w:footnoteRef/>
      </w:r>
      <w:r>
        <w:rPr>
          <w:rtl/>
        </w:rPr>
        <w:t xml:space="preserve"> </w:t>
      </w:r>
      <w:r>
        <w:rPr>
          <w:rFonts w:cs="Arial"/>
          <w:rtl/>
        </w:rPr>
        <w:t>ואם נתנו משכנסה הרי זו מגורשת, הואיל ובידו לגרשה משנכתב.</w:t>
      </w:r>
      <w:r>
        <w:rPr>
          <w:rtl/>
        </w:rPr>
        <w:t xml:space="preserve"> </w:t>
      </w:r>
      <w:r>
        <w:rPr>
          <w:rFonts w:cs="Arial"/>
          <w:rtl/>
        </w:rPr>
        <w:t>ואי משום גט ישן דקי"ל (גיטין עט:) בית הלל פוסלין ותנן איזהו גט ישן כל שנתייחד עמה אחר כתיבה, הא איתמר בפרק הזורק (שם) אם נתגרשה תנשא לכתחלה, רש"י.</w:t>
      </w:r>
    </w:p>
  </w:footnote>
  <w:footnote w:id="1405">
    <w:p w14:paraId="144C73EF" w14:textId="16C3E497" w:rsidR="001327CD" w:rsidRDefault="001327CD" w:rsidP="001327CD">
      <w:pPr>
        <w:pStyle w:val="a5"/>
      </w:pPr>
      <w:r>
        <w:rPr>
          <w:rStyle w:val="a7"/>
        </w:rPr>
        <w:footnoteRef/>
      </w:r>
      <w:r>
        <w:rPr>
          <w:rtl/>
        </w:rPr>
        <w:t xml:space="preserve"> </w:t>
      </w:r>
      <w:r>
        <w:rPr>
          <w:rFonts w:cs="Arial"/>
          <w:rtl/>
        </w:rPr>
        <w:t>לאו למימרא דהוי גט בטל, דהא מדרבנן הוא גזירה שמא יאמרו גיטה קודם לבנה, אלא לומר דאם נתגרשה לא תנשא בו לכתחלה כדין גט ישן (גיטין עט:) דפסול הוי מדרבנן. וכן משמע מדברי הרא"ש (יבמות פ"ה סי' ד), ב"י.</w:t>
      </w:r>
    </w:p>
  </w:footnote>
  <w:footnote w:id="1406">
    <w:p w14:paraId="0656AAF8" w14:textId="77777777" w:rsidR="00FA2119" w:rsidRDefault="00FA2119" w:rsidP="00FA2119">
      <w:pPr>
        <w:pStyle w:val="a5"/>
      </w:pPr>
      <w:r>
        <w:rPr>
          <w:rStyle w:val="a7"/>
        </w:rPr>
        <w:footnoteRef/>
      </w:r>
      <w:r>
        <w:rPr>
          <w:rtl/>
        </w:rPr>
        <w:t xml:space="preserve"> </w:t>
      </w:r>
      <w:r>
        <w:rPr>
          <w:rFonts w:cs="Arial"/>
          <w:rtl/>
        </w:rPr>
        <w:t xml:space="preserve">מיהו </w:t>
      </w:r>
      <w:r>
        <w:rPr>
          <w:rFonts w:cs="Arial"/>
          <w:sz w:val="16"/>
          <w:szCs w:val="16"/>
          <w:rtl/>
        </w:rPr>
        <w:t xml:space="preserve">{אם נישאת בגט זה} </w:t>
      </w:r>
      <w:r>
        <w:rPr>
          <w:rFonts w:cs="Arial"/>
          <w:rtl/>
        </w:rPr>
        <w:t>נראה דלא תצא, כשאר פסולים דרבנן..., ב"ש (סק"ב).</w:t>
      </w:r>
    </w:p>
  </w:footnote>
  <w:footnote w:id="1407">
    <w:p w14:paraId="45E9ADF5" w14:textId="77777777" w:rsidR="00FA2119" w:rsidRDefault="00FA2119" w:rsidP="00FA2119">
      <w:pPr>
        <w:pStyle w:val="a5"/>
      </w:pPr>
      <w:r>
        <w:rPr>
          <w:rStyle w:val="a7"/>
        </w:rPr>
        <w:footnoteRef/>
      </w:r>
      <w:r>
        <w:rPr>
          <w:rtl/>
        </w:rPr>
        <w:t xml:space="preserve"> </w:t>
      </w:r>
      <w:r>
        <w:rPr>
          <w:rFonts w:cs="Arial"/>
          <w:rtl/>
        </w:rPr>
        <w:t>ואם נתנו משכנסה הרי זו מגורשת, הואיל ובידו לגרשה משנכתב.</w:t>
      </w:r>
      <w:r>
        <w:rPr>
          <w:rtl/>
        </w:rPr>
        <w:t xml:space="preserve"> </w:t>
      </w:r>
      <w:r>
        <w:rPr>
          <w:rFonts w:cs="Arial"/>
          <w:rtl/>
        </w:rPr>
        <w:t>ואי משום גט ישן דקי"ל (גיטין עט:) בית הלל פוסלין ותנן איזהו גט ישן כל שנתייחד עמה אחר כתיבה, הא איתמר בפרק הזורק (שם) אם נתגרשה תנשא לכתחלה, רש"י.</w:t>
      </w:r>
    </w:p>
  </w:footnote>
  <w:footnote w:id="1408">
    <w:p w14:paraId="30C35CE2" w14:textId="77777777" w:rsidR="00FA2119" w:rsidRDefault="00FA2119" w:rsidP="00FA2119">
      <w:pPr>
        <w:pStyle w:val="a5"/>
      </w:pPr>
      <w:r>
        <w:rPr>
          <w:rStyle w:val="a7"/>
        </w:rPr>
        <w:footnoteRef/>
      </w:r>
      <w:r>
        <w:rPr>
          <w:rtl/>
        </w:rPr>
        <w:t xml:space="preserve"> </w:t>
      </w:r>
      <w:r>
        <w:rPr>
          <w:rFonts w:cs="Arial"/>
          <w:rtl/>
        </w:rPr>
        <w:t>וכנסה וגירשה בו אינו גט הואיל כשנכתב לא היה ראוי לגירושין</w:t>
      </w:r>
      <w:r>
        <w:rPr>
          <w:rtl/>
        </w:rPr>
        <w:t>, רש"י.</w:t>
      </w:r>
    </w:p>
  </w:footnote>
  <w:footnote w:id="1409">
    <w:p w14:paraId="51CF0B83" w14:textId="243F9882" w:rsidR="00FA2119" w:rsidRDefault="00FA2119" w:rsidP="00FA2119">
      <w:pPr>
        <w:pStyle w:val="a5"/>
        <w:rPr>
          <w:rtl/>
        </w:rPr>
      </w:pPr>
      <w:r>
        <w:rPr>
          <w:rStyle w:val="a7"/>
        </w:rPr>
        <w:footnoteRef/>
      </w:r>
      <w:r>
        <w:rPr>
          <w:rtl/>
        </w:rPr>
        <w:t xml:space="preserve"> </w:t>
      </w:r>
      <w:r>
        <w:rPr>
          <w:rFonts w:cs="Arial"/>
          <w:rtl/>
        </w:rPr>
        <w:t xml:space="preserve">ואפילו כתוב בו זמן דאחר נשואים, כיון דאין בידו לגרשה בשעה שעשאו שליח. ונראה לר"י דהיינו דוקא למ"ד (גיטין מג.) אין אדם מקנה דבר שלא בא לעולם, אבל למאן דאמר אדם מקנה הוי גט דבידו לגרשה כמו בשחרור דמהני לוקח עבד על מנת לשחררו וכתב לו לכשאקחך הרי עצמך קנוי לך מעכשיו כדאמר בהאשה רבה (לקמן צג:) ובקידושין בפרק האומר (סג.). וגט שחרור וגט אשה שוים לכל דבר, דהא ילפינן (שם כג.) לה לה מאשה, </w:t>
      </w:r>
      <w:r>
        <w:rPr>
          <w:rFonts w:cs="Arial"/>
          <w:b/>
          <w:bCs/>
          <w:rtl/>
        </w:rPr>
        <w:t xml:space="preserve">תוס' </w:t>
      </w:r>
      <w:r>
        <w:rPr>
          <w:rFonts w:cs="Arial"/>
          <w:rtl/>
        </w:rPr>
        <w:t xml:space="preserve">(יבמות נב: ד"ה ולאשה). </w:t>
      </w:r>
      <w:r w:rsidRPr="00DD5A6C">
        <w:rPr>
          <w:rFonts w:cs="Arial"/>
          <w:rtl/>
        </w:rPr>
        <w:t>ו</w:t>
      </w:r>
      <w:r w:rsidR="00DD5A6C">
        <w:rPr>
          <w:rFonts w:cs="Arial" w:hint="cs"/>
          <w:rtl/>
        </w:rPr>
        <w:t xml:space="preserve">כתב </w:t>
      </w:r>
      <w:r>
        <w:rPr>
          <w:rFonts w:cs="Arial"/>
          <w:b/>
          <w:bCs/>
          <w:rtl/>
        </w:rPr>
        <w:t xml:space="preserve">הרא"ש </w:t>
      </w:r>
      <w:r>
        <w:rPr>
          <w:rFonts w:cs="Arial"/>
          <w:rtl/>
        </w:rPr>
        <w:t xml:space="preserve">(יבמות שם) </w:t>
      </w:r>
      <w:r w:rsidR="004B57B3">
        <w:rPr>
          <w:rFonts w:cs="Arial" w:hint="cs"/>
          <w:rtl/>
        </w:rPr>
        <w:t>את</w:t>
      </w:r>
      <w:r>
        <w:rPr>
          <w:rFonts w:cs="Arial"/>
          <w:rtl/>
        </w:rPr>
        <w:t xml:space="preserve"> דברי התוספות. </w:t>
      </w:r>
      <w:r w:rsidR="004B57B3">
        <w:rPr>
          <w:rFonts w:cs="Arial" w:hint="cs"/>
          <w:rtl/>
        </w:rPr>
        <w:t xml:space="preserve">    </w:t>
      </w:r>
      <w:r>
        <w:rPr>
          <w:rFonts w:cs="Arial"/>
          <w:rtl/>
        </w:rPr>
        <w:t xml:space="preserve">וכתב </w:t>
      </w:r>
      <w:r>
        <w:rPr>
          <w:rFonts w:cs="Arial"/>
          <w:b/>
          <w:bCs/>
          <w:rtl/>
        </w:rPr>
        <w:t>הב"י</w:t>
      </w:r>
      <w:r w:rsidR="004B57B3">
        <w:rPr>
          <w:rFonts w:cs="Arial" w:hint="cs"/>
          <w:rtl/>
        </w:rPr>
        <w:t>:</w:t>
      </w:r>
      <w:r>
        <w:rPr>
          <w:rFonts w:cs="Arial"/>
          <w:rtl/>
        </w:rPr>
        <w:t xml:space="preserve"> ותמיהני על הרא"ש ועל רבינו שכתבו דברים הללו שאינן עולין כדין כלל, דהא בהאשה רבה ובהאומר אוקימנא בשיטה להנך רבנן דסברי אדם מקנה דבר שלא בא לעולם. והתוספות כתבו בהאומר (סב: ד"ה ואמר) דלא קיי"ל כמאן דאמר אדם מקנה דבר שלא בא לעולם. והכי נמי משמע בפרק איזהו נשך (ב"מ סו:) דרב נחמן דקיי"ל כוותיה בדיני (כתובות יג.) אמר דהמוכר פירות דקל לחבירו אף משבאו לעולם יכול לחזור בו. וכן פסק רבינו בחו"מ סימן ר"ט (ס"ג) דאין אדם מקנה דבר שלא בא לעולם. ואין לומר דכיון דאמרינן באיזהו נשך גבי המוכר פירות דקל דמודה רב נחמן דאי שמיט ואכיל לא מפקינן מיניה, דמשמע דמספקא ליה אי קנה אי לא קנה</w:t>
      </w:r>
      <w:r w:rsidR="00A72FB7">
        <w:rPr>
          <w:rFonts w:cs="Arial" w:hint="cs"/>
          <w:rtl/>
        </w:rPr>
        <w:t>.</w:t>
      </w:r>
      <w:r>
        <w:rPr>
          <w:rFonts w:cs="Arial"/>
          <w:rtl/>
        </w:rPr>
        <w:t xml:space="preserve"> והילכך לענין איסורא נקטינן לחומרא, שהרי פירש רש"י שם (ד"ה לא מפקינן) דטעמא משום דכל זמן שלא חזר מחל על אכילתו, משמע דמטעם מחילה הוא דאמר הכי, דאילו מטעם קנין אין אדם מקנה דבר שלא בא לעולם, ובהדיא פסק הרא"ש בהאומר (סי' ז) כסתם מתניתין (שם סב.) דהאומר לאשה הרי את מקודשת לי לאחר שאתגייר לאחר שתתגיירי וכו' אינה מקודשת, משום דהוי דבר שלא בא לעולם. וא"כ למה לו לכתוב מאי דסבר בדין זה מאן דאמר אדם מקנה דבר שלא בא לעולם כיון דלא קיימא לן כוותיה, וצ"ע. ורי"ו (נכ"ד ח"א רג.) כתב דין זה ולא הזכיר דברי התוספות מפני שהם דלא כהלכתא כמו שכתבתי.</w:t>
      </w:r>
    </w:p>
  </w:footnote>
  <w:footnote w:id="1410">
    <w:p w14:paraId="0EF99063" w14:textId="77777777" w:rsidR="00FA2119" w:rsidRDefault="00FA2119" w:rsidP="00FA2119">
      <w:pPr>
        <w:pStyle w:val="a5"/>
      </w:pPr>
      <w:r>
        <w:rPr>
          <w:rStyle w:val="a7"/>
        </w:rPr>
        <w:footnoteRef/>
      </w:r>
      <w:r>
        <w:rPr>
          <w:rtl/>
        </w:rPr>
        <w:t xml:space="preserve"> </w:t>
      </w:r>
      <w:r>
        <w:rPr>
          <w:rFonts w:cs="Arial"/>
          <w:rtl/>
        </w:rPr>
        <w:t>כתבו קודם שכנסה וכשכנסה נתנו לה מהו שתתגרש בו, רש"י.</w:t>
      </w:r>
    </w:p>
  </w:footnote>
  <w:footnote w:id="1411">
    <w:p w14:paraId="1724D9BE" w14:textId="77777777" w:rsidR="00FA2119" w:rsidRDefault="00FA2119" w:rsidP="00FA2119">
      <w:pPr>
        <w:pStyle w:val="a5"/>
      </w:pPr>
      <w:r>
        <w:rPr>
          <w:rStyle w:val="a7"/>
        </w:rPr>
        <w:footnoteRef/>
      </w:r>
      <w:r>
        <w:rPr>
          <w:rtl/>
        </w:rPr>
        <w:t xml:space="preserve"> </w:t>
      </w:r>
      <w:r>
        <w:rPr>
          <w:rFonts w:cs="Arial"/>
          <w:rtl/>
        </w:rPr>
        <w:t>וכבר כתב בפרק י' (ה"א) דכל מקום שכתב אינו גט היינו שהוא בטל לגמרי</w:t>
      </w:r>
      <w:r>
        <w:rPr>
          <w:rtl/>
        </w:rPr>
        <w:t>, ב"י.</w:t>
      </w:r>
    </w:p>
  </w:footnote>
  <w:footnote w:id="1412">
    <w:p w14:paraId="7BC21534" w14:textId="77777777" w:rsidR="00FA2119" w:rsidRDefault="00FA2119" w:rsidP="00FA2119">
      <w:pPr>
        <w:pStyle w:val="a5"/>
        <w:rPr>
          <w:rtl/>
        </w:rPr>
      </w:pPr>
      <w:r>
        <w:rPr>
          <w:rStyle w:val="a7"/>
        </w:rPr>
        <w:footnoteRef/>
      </w:r>
      <w:r>
        <w:rPr>
          <w:rtl/>
        </w:rPr>
        <w:t xml:space="preserve"> </w:t>
      </w:r>
      <w:r>
        <w:rPr>
          <w:rFonts w:cs="Arial"/>
          <w:rtl/>
        </w:rPr>
        <w:t>דאלו לא נתערבו היה נותן לכ"א גט שלה. ולמ"ש תוס' (כד.) לר"מ צריך להיות מוכח בתוך הגט מי הוא המגרש והמתגרשת צ"ל שכתב סימן ובעת הנתינה ליד השליח היה ניכר אלא ע"מ אין מכירים הסימן היינו נתערבו. ומ"ש דצריך ליתן בע"מ משמע לכאורה אפי' לשיטות הרמב"ם דס"ל ע"ח מהני בלא ע"מ, כאן דאין מוכח בתוכו בעינן ע"מ. מיהו י"ל הרמב"ם לטעמו כשאין ע"מ אינה מגורשת אלא זו שהגט בידה מכ"ש בסי' ק"ל, ב"ש (סק"ג).</w:t>
      </w:r>
    </w:p>
  </w:footnote>
  <w:footnote w:id="1413">
    <w:p w14:paraId="5FB45B28" w14:textId="77777777" w:rsidR="00FA2119" w:rsidRDefault="00FA2119" w:rsidP="00FA2119">
      <w:pPr>
        <w:pStyle w:val="a5"/>
      </w:pPr>
      <w:r>
        <w:rPr>
          <w:rStyle w:val="a7"/>
        </w:rPr>
        <w:footnoteRef/>
      </w:r>
      <w:r>
        <w:rPr>
          <w:rtl/>
        </w:rPr>
        <w:t xml:space="preserve"> </w:t>
      </w:r>
      <w:r>
        <w:rPr>
          <w:rFonts w:cs="Arial"/>
          <w:rtl/>
        </w:rPr>
        <w:t>כלי ויש סימן בכלי שהוא שלו, רש"י.</w:t>
      </w:r>
    </w:p>
  </w:footnote>
  <w:footnote w:id="1414">
    <w:p w14:paraId="251A03B2" w14:textId="77777777" w:rsidR="00FA2119" w:rsidRDefault="00FA2119" w:rsidP="00FA2119">
      <w:pPr>
        <w:pStyle w:val="a5"/>
      </w:pPr>
      <w:r>
        <w:rPr>
          <w:rStyle w:val="a7"/>
        </w:rPr>
        <w:footnoteRef/>
      </w:r>
      <w:r>
        <w:rPr>
          <w:rtl/>
        </w:rPr>
        <w:t xml:space="preserve"> </w:t>
      </w:r>
      <w:r>
        <w:rPr>
          <w:rFonts w:cs="Arial"/>
          <w:rtl/>
        </w:rPr>
        <w:t xml:space="preserve">וכתבו התוספות (שם) וא"ת וניחוש לשאלה כדאמרינן בפרק בתרא דיבמות (קכ:). וי"ל דקים ליה בנפשיה שלא השאילה לשום אדם. אי נמי ביודע שבחפיסא איבדו. ומ"מ צריך שיהא מכיר החפיסא או הדלוסקמא בטביעות עינא, דמה שיודע שבחפיסא או דלוסקמא איבדו אין זה סימן עכ"ל. וכ"כ הטור. </w:t>
      </w:r>
      <w:r>
        <w:rPr>
          <w:rFonts w:cs="Arial"/>
          <w:color w:val="E36C0A" w:themeColor="accent6" w:themeShade="BF"/>
          <w:rtl/>
        </w:rPr>
        <w:t>(וכ"פ בשו"ע)</w:t>
      </w:r>
      <w:r>
        <w:rPr>
          <w:rFonts w:cs="Arial"/>
          <w:rtl/>
        </w:rPr>
        <w:t>. וכתבו עוד התוספות (שם) ויש ספרים דגרסי 'אם מכירו', והכי פירושו: מצאו בחפיסא ויודע שלא בתוכה איבדו ואינה שלו ואפ"ה אם מכירו לגט ויש לו בו טביעות עין - כשר [עכ"ל], וסיים בה הרשב"א (שם) דלא חיישינן דילמא אתרמי גט כגט אלא אמרינן אינש אחרינא אשכחיה ואנחיה בחפיסא ונפל ממנו וזה הוא. והאי מצאו בחפיסא לרבותא נקט ליה, ולא משום דתיהוי חפיסא סימן לגט עכ"ל, ב"י.</w:t>
      </w:r>
    </w:p>
  </w:footnote>
  <w:footnote w:id="1415">
    <w:p w14:paraId="720C884C" w14:textId="77777777" w:rsidR="00FA2119" w:rsidRDefault="00FA2119" w:rsidP="00FA2119">
      <w:pPr>
        <w:pStyle w:val="a5"/>
      </w:pPr>
      <w:r>
        <w:rPr>
          <w:rStyle w:val="a7"/>
        </w:rPr>
        <w:footnoteRef/>
      </w:r>
      <w:r>
        <w:rPr>
          <w:rtl/>
        </w:rPr>
        <w:t xml:space="preserve"> </w:t>
      </w:r>
      <w:r>
        <w:rPr>
          <w:rFonts w:cs="Arial"/>
          <w:rtl/>
        </w:rPr>
        <w:t>מילתא באנפי נפשיה, ואו או קתני, או שמכירו ואפי' מצאו בכל מקום כשר</w:t>
      </w:r>
      <w:r>
        <w:rPr>
          <w:rtl/>
        </w:rPr>
        <w:t>, רש"י.</w:t>
      </w:r>
    </w:p>
  </w:footnote>
  <w:footnote w:id="1416">
    <w:p w14:paraId="65D5B422" w14:textId="77777777" w:rsidR="00FA2119" w:rsidRDefault="00FA2119" w:rsidP="00FA2119">
      <w:pPr>
        <w:pStyle w:val="a5"/>
        <w:rPr>
          <w:rtl/>
        </w:rPr>
      </w:pPr>
      <w:r>
        <w:rPr>
          <w:rStyle w:val="a7"/>
        </w:rPr>
        <w:footnoteRef/>
      </w:r>
      <w:r>
        <w:rPr>
          <w:rtl/>
        </w:rPr>
        <w:t xml:space="preserve"> </w:t>
      </w:r>
      <w:r>
        <w:rPr>
          <w:rFonts w:cs="Arial"/>
          <w:rtl/>
        </w:rPr>
        <w:t>צוואת שכ"מ דא תהא למיקם ולהיות, רש"י.</w:t>
      </w:r>
    </w:p>
  </w:footnote>
  <w:footnote w:id="1417">
    <w:p w14:paraId="526C652D" w14:textId="77777777" w:rsidR="00FA2119" w:rsidRDefault="00FA2119" w:rsidP="00FA2119">
      <w:pPr>
        <w:pStyle w:val="a5"/>
      </w:pPr>
      <w:r>
        <w:rPr>
          <w:rStyle w:val="a7"/>
        </w:rPr>
        <w:footnoteRef/>
      </w:r>
      <w:r>
        <w:rPr>
          <w:rtl/>
        </w:rPr>
        <w:t xml:space="preserve"> </w:t>
      </w:r>
      <w:r>
        <w:rPr>
          <w:rFonts w:cs="Arial"/>
          <w:rtl/>
        </w:rPr>
        <w:t>לא לבעל ולא לאשה וכן שחרור וכן כולם ומדתלי טעמא בשאני אומר שמעינן מינה דאם אמר הבעל תנו לה שאני כתבתיו לה נותנין ולא חיישינן לשמא אינו זה</w:t>
      </w:r>
      <w:r>
        <w:rPr>
          <w:rtl/>
        </w:rPr>
        <w:t>, רש"י.</w:t>
      </w:r>
    </w:p>
  </w:footnote>
  <w:footnote w:id="1418">
    <w:p w14:paraId="23724D9C" w14:textId="77777777" w:rsidR="00FA2119" w:rsidRDefault="00FA2119" w:rsidP="00FA2119">
      <w:pPr>
        <w:pStyle w:val="a5"/>
        <w:rPr>
          <w:rtl/>
        </w:rPr>
      </w:pPr>
      <w:r>
        <w:rPr>
          <w:rStyle w:val="a7"/>
        </w:rPr>
        <w:footnoteRef/>
      </w:r>
      <w:r>
        <w:rPr>
          <w:rtl/>
        </w:rPr>
        <w:t xml:space="preserve"> </w:t>
      </w:r>
      <w:r>
        <w:rPr>
          <w:rFonts w:cs="Arial"/>
          <w:rtl/>
        </w:rPr>
        <w:t>פסול שמא מעוברים ושבים אחרים נפל, רש"י.</w:t>
      </w:r>
    </w:p>
  </w:footnote>
  <w:footnote w:id="1419">
    <w:p w14:paraId="7318207A" w14:textId="77777777" w:rsidR="00FA2119" w:rsidRDefault="00FA2119" w:rsidP="00FA2119">
      <w:pPr>
        <w:pStyle w:val="a5"/>
      </w:pPr>
      <w:r>
        <w:rPr>
          <w:rStyle w:val="a7"/>
        </w:rPr>
        <w:footnoteRef/>
      </w:r>
      <w:r>
        <w:rPr>
          <w:rtl/>
        </w:rPr>
        <w:t xml:space="preserve"> </w:t>
      </w:r>
      <w:r>
        <w:rPr>
          <w:rFonts w:cs="Arial"/>
          <w:rtl/>
        </w:rPr>
        <w:t>לאו רבה קאמר לה, אלא הש"ס הוא דמסדר ואמר דהא דאוקי רבה במקום שהשיירות מצויות - והוא שהוחזקו שני אנשים בשם זה באותה העיר, אבל אם לא הוחזקו מספיקא לא אמרינן דילמא איתנהו ולא ידעינן או דילמא יש עיר אחרת ששמה כזו ויש בה אדם אחר ששמו ושם אשתו כזה שתובעו</w:t>
      </w:r>
      <w:r>
        <w:rPr>
          <w:rtl/>
        </w:rPr>
        <w:t>, רש"י.</w:t>
      </w:r>
    </w:p>
  </w:footnote>
  <w:footnote w:id="1420">
    <w:p w14:paraId="7FA2DB1B" w14:textId="77777777" w:rsidR="00FA2119" w:rsidRDefault="00FA2119" w:rsidP="00FA2119">
      <w:pPr>
        <w:pStyle w:val="a5"/>
        <w:rPr>
          <w:rtl/>
        </w:rPr>
      </w:pPr>
      <w:r>
        <w:rPr>
          <w:rStyle w:val="a7"/>
        </w:rPr>
        <w:footnoteRef/>
      </w:r>
      <w:r>
        <w:rPr>
          <w:rtl/>
        </w:rPr>
        <w:t xml:space="preserve"> </w:t>
      </w:r>
      <w:r>
        <w:rPr>
          <w:rFonts w:cs="Arial"/>
          <w:rtl/>
        </w:rPr>
        <w:t>דאמר תרתי בעינן..., רש"י.</w:t>
      </w:r>
    </w:p>
  </w:footnote>
  <w:footnote w:id="1421">
    <w:p w14:paraId="25BCA581" w14:textId="77777777" w:rsidR="00FA2119" w:rsidRDefault="00FA2119" w:rsidP="00FA2119">
      <w:pPr>
        <w:pStyle w:val="a5"/>
      </w:pPr>
      <w:r>
        <w:rPr>
          <w:rStyle w:val="a7"/>
        </w:rPr>
        <w:footnoteRef/>
      </w:r>
      <w:r>
        <w:rPr>
          <w:rtl/>
        </w:rPr>
        <w:t xml:space="preserve"> </w:t>
      </w:r>
      <w:r>
        <w:rPr>
          <w:rFonts w:cs="Arial"/>
          <w:rtl/>
        </w:rPr>
        <w:t>לא מתניתין קשיא ולא ברייתא קשיא דכל הני דאמרינן יחזיר לזמן מרובה, רש"י.</w:t>
      </w:r>
    </w:p>
  </w:footnote>
  <w:footnote w:id="1422">
    <w:p w14:paraId="512601BB" w14:textId="77777777" w:rsidR="00FA2119" w:rsidRDefault="00FA2119" w:rsidP="00FA2119">
      <w:pPr>
        <w:pStyle w:val="a5"/>
      </w:pPr>
      <w:r>
        <w:rPr>
          <w:rStyle w:val="a7"/>
        </w:rPr>
        <w:footnoteRef/>
      </w:r>
      <w:r>
        <w:rPr>
          <w:rtl/>
        </w:rPr>
        <w:t xml:space="preserve"> </w:t>
      </w:r>
      <w:r>
        <w:rPr>
          <w:rFonts w:hint="cs"/>
          <w:rtl/>
        </w:rPr>
        <w:t xml:space="preserve">וכתבו </w:t>
      </w:r>
      <w:r>
        <w:rPr>
          <w:rFonts w:hint="cs"/>
          <w:b/>
          <w:bCs/>
          <w:rtl/>
        </w:rPr>
        <w:t>התוס'</w:t>
      </w:r>
      <w:r>
        <w:rPr>
          <w:rFonts w:hint="cs"/>
          <w:rtl/>
        </w:rPr>
        <w:t xml:space="preserve"> (ד"ה מעולם) ד</w:t>
      </w:r>
      <w:r>
        <w:rPr>
          <w:rFonts w:cs="Arial"/>
          <w:rtl/>
        </w:rPr>
        <w:t xml:space="preserve">מתוך הלשון משמע שיודעין שלא חתמו אלא על א' אבל אין מכירים מי הוא אותו יוסף ב"ש. ותימה, דא"כ אמאי מהימנין ליה לומר שהוא שלו יותר משלא היו אומרים העדים כלום שלא היה נאמן לומר שהוא שלו ולא מהדרינן ליה בטביעות עין דחיישינן שמא הוא משקר? ואומר ר"י דלעולם לא חשדינן ליה שישקר במזיד לומר שהוא שלו לקלקלה, דמשום להרויח פשיטי דספרא לא היה מקלקלה, דהא בעל שאמר גירשתי את אשתי נאמן ולא חיישינן להכי, ולהכי כשאומרים העדים שלא חתמו אלא על גט אחד והוא אומר שעל שלו חתמו נאמן. אבל כשאין העדים אומרים כלום - חיישינן שמא הוא סבור שהוא שלו לפי שאין יודע שיש יוסף בן שמעון אחר או יודע ואין נראה לו לחוש שגם הוא אבד גט ולכך אומר שהוא מכיר אע"פ שאינו מכיר. </w:t>
      </w:r>
      <w:r>
        <w:rPr>
          <w:rFonts w:cs="Arial"/>
          <w:b/>
          <w:bCs/>
          <w:rtl/>
        </w:rPr>
        <w:t>ובקונטרס</w:t>
      </w:r>
      <w:r>
        <w:rPr>
          <w:rFonts w:cs="Arial"/>
          <w:rtl/>
        </w:rPr>
        <w:t xml:space="preserve"> </w:t>
      </w:r>
      <w:r>
        <w:rPr>
          <w:rFonts w:cs="Arial"/>
          <w:sz w:val="16"/>
          <w:szCs w:val="16"/>
          <w:rtl/>
        </w:rPr>
        <w:t xml:space="preserve">(כז: ד"ה כגון, וכ"כ הר"ן [יג: ד"ה ר' ירמיה]) </w:t>
      </w:r>
      <w:r>
        <w:rPr>
          <w:rFonts w:cs="Arial"/>
          <w:rtl/>
        </w:rPr>
        <w:t>פי' כגון דקאמרי עדים החתומים בו מעולם לא חתמנו אלא על גט א' של שם זה ואותו חתמנו לאיש זה התובעו. ולפ"ז צריך לומר שלא ראו עדים חתימת הגט, שאם ראו ואומרים שהוא כתב ידם ולזה חתמו פשיטא שיחזיר ולא היה צריך להשמיענו, דהא ודאי לא חיישי' דלמא איתרמי שמא כשמא ועדים כעדים וחתימה כחתימה, ובשינויא נמי אינו מזכיר חתימה כחתימה</w:t>
      </w:r>
      <w:r>
        <w:rPr>
          <w:sz w:val="16"/>
          <w:szCs w:val="16"/>
          <w:rtl/>
        </w:rPr>
        <w:t xml:space="preserve"> [עכ"ל התוס']</w:t>
      </w:r>
      <w:r>
        <w:rPr>
          <w:rtl/>
        </w:rPr>
        <w:t xml:space="preserve">. וכפירוש ר"י כן כתבו </w:t>
      </w:r>
      <w:r>
        <w:rPr>
          <w:rFonts w:cs="Arial"/>
          <w:rtl/>
        </w:rPr>
        <w:t>הרא"ש (סי' ג) והרמב"ם (פ"ג הי"א).</w:t>
      </w:r>
    </w:p>
  </w:footnote>
  <w:footnote w:id="1423">
    <w:p w14:paraId="3A1D41CB" w14:textId="77777777" w:rsidR="00FA2119" w:rsidRDefault="00FA2119" w:rsidP="00FA2119">
      <w:pPr>
        <w:pStyle w:val="a5"/>
        <w:rPr>
          <w:rtl/>
        </w:rPr>
      </w:pPr>
      <w:r>
        <w:rPr>
          <w:rStyle w:val="a7"/>
        </w:rPr>
        <w:footnoteRef/>
      </w:r>
      <w:r>
        <w:rPr>
          <w:rtl/>
        </w:rPr>
        <w:t xml:space="preserve"> </w:t>
      </w:r>
      <w:r>
        <w:rPr>
          <w:rFonts w:cs="Arial"/>
          <w:rtl/>
        </w:rPr>
        <w:t xml:space="preserve">כתב </w:t>
      </w:r>
      <w:r>
        <w:rPr>
          <w:rFonts w:cs="Arial"/>
          <w:b/>
          <w:bCs/>
          <w:rtl/>
        </w:rPr>
        <w:t>הרשב"א</w:t>
      </w:r>
      <w:r>
        <w:rPr>
          <w:rFonts w:cs="Arial"/>
          <w:rtl/>
        </w:rPr>
        <w:t xml:space="preserve"> (שם ד"ה ולענין פסק) דרבי ירמיה ורב אשי לאו לאיפלוגי אדרבה ורבי זירא אתו, אלא לארווחא למתניתין ולמתניתא, דאפילו לזמן מרובה ואפילו שכיחי שיירתא, והוחזקו בסימנין מובהקין כזה או בעדות כזה - מהדרינן ולא חיישינן דילמא אתרמי גט כזה או עדים כעדים ושמא כשמא. וכתב הה"מ (פ"ג הי"א) שכן דעת כל המפרשים ולא משמע הכי מדברי </w:t>
      </w:r>
      <w:r>
        <w:rPr>
          <w:rFonts w:cs="Arial"/>
          <w:b/>
          <w:bCs/>
          <w:rtl/>
        </w:rPr>
        <w:t>הרי"ף</w:t>
      </w:r>
      <w:r>
        <w:rPr>
          <w:rFonts w:cs="Arial"/>
          <w:rtl/>
        </w:rPr>
        <w:t xml:space="preserve"> (יג:) שכתב והלכה כרב אשי דהוא בתרא הילכך לא מהדרינן גט לזמן מרובה וכו'. וכן פירש הר"ן (שם סוע"ב) לדעת הרי"ף דרבי ירמיה ורב אשי ס"ל כלישנא בתרא דרבי זירא, ב"י.</w:t>
      </w:r>
    </w:p>
  </w:footnote>
  <w:footnote w:id="1424">
    <w:p w14:paraId="0F71E0F1" w14:textId="77777777" w:rsidR="00FA2119" w:rsidRDefault="00FA2119" w:rsidP="00FA2119">
      <w:pPr>
        <w:pStyle w:val="a5"/>
      </w:pPr>
      <w:r>
        <w:rPr>
          <w:rStyle w:val="a7"/>
        </w:rPr>
        <w:footnoteRef/>
      </w:r>
      <w:r>
        <w:rPr>
          <w:rtl/>
        </w:rPr>
        <w:t xml:space="preserve"> </w:t>
      </w:r>
      <w:r>
        <w:rPr>
          <w:rFonts w:cs="Arial"/>
          <w:rtl/>
        </w:rPr>
        <w:t>פירש רש"י כגון דקאמר האי שליח שאבדו. וכתבו התוספות (ד"ה כגון) ואית ספרים דגרסי 'דקאמרי עדים'. וי"ל דעדים מהימני אפילו בשראוהו כבר, ושליח לא מהימן אלא כשאמר כן קודם שראהו. וכ"כ הרא"ש (שם). וגירסת הרי"ף (שם) 'כגון דקאמרי עדים'. וכן נראה מדברי הרמב"ם בפ"ג (שם). ומיהו לענין דינא נראה דלא נפקא לן מידי, דאם השליח אומר כן קודם שראהו פשיטא דמהני אפילו לגורסים דקאמרי עדים, וכמו שכתבו התוספות והרא"ש, ב"י.</w:t>
      </w:r>
    </w:p>
  </w:footnote>
  <w:footnote w:id="1425">
    <w:p w14:paraId="1ECF2903" w14:textId="77777777" w:rsidR="00FA2119" w:rsidRDefault="00FA2119" w:rsidP="00FA2119">
      <w:pPr>
        <w:pStyle w:val="a5"/>
      </w:pPr>
      <w:r>
        <w:rPr>
          <w:rStyle w:val="a7"/>
        </w:rPr>
        <w:footnoteRef/>
      </w:r>
      <w:r>
        <w:rPr>
          <w:rtl/>
        </w:rPr>
        <w:t xml:space="preserve"> </w:t>
      </w:r>
      <w:r>
        <w:rPr>
          <w:rFonts w:cs="Arial"/>
          <w:rtl/>
        </w:rPr>
        <w:t>משום דכיון דמצאוהו אחרים והוא בידינו חיישינן שמא משום הפסד שכרו הוא משקר, ר"ן (יג:)... וכתב הרשב"א (כז.) עוד טעם אחר והוא דלא ליהוי למרי גיטא תרעומת עליה. וטעם זה עולה אפילו כשאינו נוטל שכר, ב"י.</w:t>
      </w:r>
    </w:p>
  </w:footnote>
  <w:footnote w:id="1426">
    <w:p w14:paraId="0C65190E" w14:textId="77777777" w:rsidR="00FA2119" w:rsidRDefault="00FA2119" w:rsidP="00FA2119">
      <w:pPr>
        <w:pStyle w:val="a5"/>
      </w:pPr>
      <w:r>
        <w:rPr>
          <w:rStyle w:val="a7"/>
        </w:rPr>
        <w:footnoteRef/>
      </w:r>
      <w:r>
        <w:rPr>
          <w:rtl/>
        </w:rPr>
        <w:t xml:space="preserve"> </w:t>
      </w:r>
      <w:r>
        <w:rPr>
          <w:rFonts w:cs="Arial"/>
          <w:rtl/>
        </w:rPr>
        <w:t>כלומר אין הדבר תלוי בשיעור אלא צריך שיהא אדם עומד ורואה שלא עבר אדם שם משעה שעבר השליח הזה שם עד שעת מציאת הגט, רש"י.</w:t>
      </w:r>
    </w:p>
  </w:footnote>
  <w:footnote w:id="1427">
    <w:p w14:paraId="1D7EF412" w14:textId="77777777" w:rsidR="00FA2119" w:rsidRDefault="00FA2119" w:rsidP="00FA2119">
      <w:pPr>
        <w:pStyle w:val="a5"/>
      </w:pPr>
      <w:r>
        <w:rPr>
          <w:rStyle w:val="a7"/>
        </w:rPr>
        <w:footnoteRef/>
      </w:r>
      <w:r>
        <w:rPr>
          <w:rtl/>
        </w:rPr>
        <w:t xml:space="preserve"> </w:t>
      </w:r>
      <w:r>
        <w:rPr>
          <w:rFonts w:cs="Arial"/>
          <w:rtl/>
        </w:rPr>
        <w:t>ומכיר את הכיס ואת הארנקי, רש"י. ופשוט הוא, והחילוק שיש בין כיס וארנקי וטבעת לשאר כלים הוא דהני לא בעינן בהו שיודע שלא השאילן לאחר דהני כלים לא עבידי אינשי דמושלי כדאיתא בפרק בתרא דיבמות (קכ:) ובפ"ב דבב"מ (כז:), ב"י.</w:t>
      </w:r>
    </w:p>
  </w:footnote>
  <w:footnote w:id="1428">
    <w:p w14:paraId="2A66230B" w14:textId="77777777" w:rsidR="00FA2119" w:rsidRDefault="00FA2119" w:rsidP="00FA2119">
      <w:pPr>
        <w:pStyle w:val="a5"/>
        <w:rPr>
          <w:rtl/>
        </w:rPr>
      </w:pPr>
      <w:r>
        <w:rPr>
          <w:rStyle w:val="a7"/>
        </w:rPr>
        <w:footnoteRef/>
      </w:r>
      <w:r>
        <w:rPr>
          <w:rtl/>
        </w:rPr>
        <w:t xml:space="preserve"> </w:t>
      </w:r>
      <w:r>
        <w:rPr>
          <w:rFonts w:cs="Arial"/>
          <w:rtl/>
        </w:rPr>
        <w:t>בביתו, רש"י. וגם התוספות (ד"ה או שמצאו) כתבו כן. וכתבו עוד- אע"ג דרבים מצויים בביתו ואם היה נמצא בקרקע היה לחוש לשני יוסף בן שמעון אבל בין כליו ליכא למיחש שמא הביאו אחר אלא הוא. ולא ידעתי למה השמיטו הרי"ף והרא"ש ברייתא זו וגם הרמב"ם לא הזכירה</w:t>
      </w:r>
      <w:r>
        <w:rPr>
          <w:rtl/>
        </w:rPr>
        <w:t>, ב"י.</w:t>
      </w:r>
    </w:p>
  </w:footnote>
  <w:footnote w:id="1429">
    <w:p w14:paraId="2B5B21EF" w14:textId="77777777" w:rsidR="00FA2119" w:rsidRDefault="00FA2119" w:rsidP="00FA2119">
      <w:pPr>
        <w:pStyle w:val="a5"/>
      </w:pPr>
      <w:r>
        <w:rPr>
          <w:rStyle w:val="a7"/>
        </w:rPr>
        <w:footnoteRef/>
      </w:r>
      <w:r>
        <w:rPr>
          <w:rtl/>
        </w:rPr>
        <w:t xml:space="preserve"> </w:t>
      </w:r>
      <w:r>
        <w:rPr>
          <w:rFonts w:cs="Arial"/>
          <w:rtl/>
        </w:rPr>
        <w:t>וכל זה כשהבעל מודה שנתנו לאשה או שהיא נותנת בו סימן מובהק, הא לאו הכי - אין מחזירין לה, כדלקמן בסימן קנ"ג, טור.</w:t>
      </w:r>
    </w:p>
  </w:footnote>
  <w:footnote w:id="1430">
    <w:p w14:paraId="6231857F" w14:textId="7079150D" w:rsidR="00FA2119" w:rsidRDefault="00FA2119" w:rsidP="00FA2119">
      <w:pPr>
        <w:pStyle w:val="a5"/>
      </w:pPr>
      <w:r>
        <w:rPr>
          <w:rStyle w:val="a7"/>
        </w:rPr>
        <w:footnoteRef/>
      </w:r>
      <w:r>
        <w:rPr>
          <w:rtl/>
        </w:rPr>
        <w:t xml:space="preserve"> </w:t>
      </w:r>
      <w:r>
        <w:rPr>
          <w:rFonts w:hint="cs"/>
          <w:rtl/>
        </w:rPr>
        <w:t xml:space="preserve">משמע לכאורה שאם לא ידוע שעבר </w:t>
      </w:r>
      <w:r w:rsidR="00A42812">
        <w:rPr>
          <w:rFonts w:hint="cs"/>
          <w:rtl/>
        </w:rPr>
        <w:t>-</w:t>
      </w:r>
      <w:r>
        <w:rPr>
          <w:rFonts w:hint="cs"/>
          <w:rtl/>
        </w:rPr>
        <w:t xml:space="preserve"> אפשר להקל. אך הטור כתב </w:t>
      </w:r>
      <w:r w:rsidR="000A0F5A">
        <w:rPr>
          <w:rFonts w:hint="cs"/>
          <w:rtl/>
        </w:rPr>
        <w:t>וז</w:t>
      </w:r>
      <w:r w:rsidR="000A0F5A">
        <w:rPr>
          <w:rtl/>
        </w:rPr>
        <w:t>"</w:t>
      </w:r>
      <w:r w:rsidR="000A0F5A">
        <w:rPr>
          <w:rFonts w:hint="cs"/>
          <w:rtl/>
        </w:rPr>
        <w:t>ל:</w:t>
      </w:r>
      <w:r>
        <w:rPr>
          <w:rFonts w:hint="cs"/>
          <w:rtl/>
        </w:rPr>
        <w:t xml:space="preserve"> </w:t>
      </w:r>
      <w:r>
        <w:rPr>
          <w:rFonts w:cs="Arial"/>
          <w:rtl/>
        </w:rPr>
        <w:t>אבל לא מצאו לאלתר כגון שאינו יודע אם עבר אדם שם אם לאו</w:t>
      </w:r>
      <w:r>
        <w:rPr>
          <w:rtl/>
        </w:rPr>
        <w:t xml:space="preserve"> </w:t>
      </w:r>
      <w:r>
        <w:rPr>
          <w:rFonts w:cs="Arial"/>
          <w:rtl/>
        </w:rPr>
        <w:t>ואין לו טביעות עין וסימן בכלי ולא בגט - פסול, דשמא לא זהו הגט שנאבד אלא אחר ששמו כשמו של זה כתבו ונפל ממנו</w:t>
      </w:r>
      <w:r>
        <w:rPr>
          <w:rtl/>
        </w:rPr>
        <w:t xml:space="preserve"> </w:t>
      </w:r>
      <w:r>
        <w:rPr>
          <w:sz w:val="16"/>
          <w:szCs w:val="16"/>
          <w:rtl/>
        </w:rPr>
        <w:t>[עכ"ל]</w:t>
      </w:r>
      <w:r>
        <w:rPr>
          <w:rtl/>
        </w:rPr>
        <w:t>.</w:t>
      </w:r>
      <w:r>
        <w:rPr>
          <w:rFonts w:cs="Arial"/>
          <w:color w:val="E36C0A" w:themeColor="accent6" w:themeShade="BF"/>
          <w:rtl/>
        </w:rPr>
        <w:t xml:space="preserve"> (וכ"ס בשו"ע)</w:t>
      </w:r>
    </w:p>
  </w:footnote>
  <w:footnote w:id="1431">
    <w:p w14:paraId="20DB3168" w14:textId="0998A702" w:rsidR="00FA2119" w:rsidRDefault="00FA2119" w:rsidP="00FA2119">
      <w:pPr>
        <w:pStyle w:val="a5"/>
        <w:rPr>
          <w:rtl/>
        </w:rPr>
      </w:pPr>
      <w:r>
        <w:rPr>
          <w:rStyle w:val="a7"/>
        </w:rPr>
        <w:footnoteRef/>
      </w:r>
      <w:r>
        <w:rPr>
          <w:rFonts w:cs="Arial"/>
          <w:rtl/>
        </w:rPr>
        <w:t xml:space="preserve"> </w:t>
      </w:r>
      <w:r>
        <w:rPr>
          <w:rFonts w:cs="Arial" w:hint="cs"/>
          <w:rtl/>
        </w:rPr>
        <w:t xml:space="preserve">וכתב </w:t>
      </w:r>
      <w:r>
        <w:rPr>
          <w:rFonts w:cs="Arial" w:hint="cs"/>
          <w:b/>
          <w:bCs/>
          <w:rtl/>
        </w:rPr>
        <w:t>הרשב"א</w:t>
      </w:r>
      <w:r>
        <w:rPr>
          <w:rFonts w:cs="Arial" w:hint="cs"/>
          <w:rtl/>
        </w:rPr>
        <w:t xml:space="preserve"> (שם ד"ה ולענין מצאו) </w:t>
      </w:r>
      <w:r>
        <w:rPr>
          <w:rFonts w:cs="Arial" w:hint="cs"/>
          <w:b/>
          <w:bCs/>
          <w:rtl/>
        </w:rPr>
        <w:t>שהרז"ה</w:t>
      </w:r>
      <w:r>
        <w:rPr>
          <w:rFonts w:cs="Arial" w:hint="cs"/>
          <w:rtl/>
        </w:rPr>
        <w:t xml:space="preserve"> (יד.) כתב- וקשיא דידיה אדידיה, דהא איהו פסק בב"מ כלישנא בתרא דרבי זירא אע"ג דלא הוחזקו לא נהדר! והשיב </w:t>
      </w:r>
      <w:r>
        <w:rPr>
          <w:rFonts w:cs="Arial" w:hint="cs"/>
          <w:b/>
          <w:bCs/>
          <w:rtl/>
        </w:rPr>
        <w:t>הראב"ד</w:t>
      </w:r>
      <w:r>
        <w:rPr>
          <w:rFonts w:cs="Arial" w:hint="cs"/>
          <w:rtl/>
        </w:rPr>
        <w:t xml:space="preserve"> (השגות הראב"ד ברי"ף יג:) דרבי זירא גופיה לא אמרה אלא במקום שהשיירות מצויות, וכאן אע"פ שעבר אדם שם הואיל וידוע שלא עברה שיירא - כמקום שאין השיירות מצויות דמי ואם לא הוחזקו יחזיר. ע"כ נמצא לדברי הרי"ף דמקום שאין השיירות מצויות והוחזקו, ובמקום שהשיירות מצויות ולא הוחזקו - שקולין הן. ותמה על עצמך רבי זירא, מאי שנא דנקט כאן במקום שהשיירות מצויות וכו' ליפלוג נמי בין הוחזקו ללא הוחזקו עכ"ל</w:t>
      </w:r>
      <w:r>
        <w:rPr>
          <w:rFonts w:cs="Arial"/>
          <w:sz w:val="16"/>
          <w:szCs w:val="16"/>
          <w:rtl/>
        </w:rPr>
        <w:t xml:space="preserve"> [הרשב"א]</w:t>
      </w:r>
      <w:r>
        <w:rPr>
          <w:rFonts w:cs="Arial"/>
          <w:rtl/>
        </w:rPr>
        <w:t xml:space="preserve">. וכיוצא במה שכתב הראב"ד הוא מה שכתב </w:t>
      </w:r>
      <w:r>
        <w:rPr>
          <w:rFonts w:cs="Arial"/>
          <w:b/>
          <w:bCs/>
          <w:rtl/>
        </w:rPr>
        <w:t>הר"ן</w:t>
      </w:r>
      <w:r>
        <w:rPr>
          <w:rFonts w:cs="Arial"/>
          <w:rtl/>
        </w:rPr>
        <w:t xml:space="preserve"> (יד. ד"ה כדי שתעבור) לדעת הרי"ף בשיטה שנייה שכתב </w:t>
      </w:r>
      <w:r w:rsidR="000A0F5A">
        <w:rPr>
          <w:rFonts w:cs="Arial"/>
          <w:rtl/>
        </w:rPr>
        <w:t>וז"ל:</w:t>
      </w:r>
      <w:r>
        <w:rPr>
          <w:rFonts w:cs="Arial"/>
          <w:rtl/>
        </w:rPr>
        <w:t xml:space="preserve"> או שמא דעת הרי"ף דהך ברייתא דשיעור לאלתר מיתוקמא אליבא דהלכתא בשאין השיירות מצויות ומשום הכי בעינן שהוחזקו שני יוסף בן שמעון דס"ל ז"ל דלרבי זירא כי היכי דלא מהדרינן בשיירות מצויות לחודיה הכי נמי לא מהדרינן בהוחזקו שני יוסף בן שמעון לחודיה. וכתב עוד הר"ן יישוב אחר לדעת הרי"ף שאע"פ שהוא ז"ל פסק דבשיירות מצויות בלחוד לא מהדרינן אע"פ שלא הוחזקו לא ראה הרב להחמיר כל כך למינקט חומרא דרבי זירא וחומרא דמאן דאמר כל שלא עבר אדם שם דדילמא רבי זירא אדרבה בשיירות מצויות ולא הוחזקו ס"ל כמאן דפסיק הלכה כל שלא שהה אדם שם ולפיכך לא רצה להחמיר בעבר אדם שם אלא במקום שהשיירות מצויות והוחזקו עכ"ל. והרא"ש כתב דברי הרי"ף סתם, משמע דלעולם לא הוי שיעורא דלאלתר אלא כל שלא עבר אדם שם.</w:t>
      </w:r>
    </w:p>
  </w:footnote>
  <w:footnote w:id="1432">
    <w:p w14:paraId="14031536" w14:textId="77777777" w:rsidR="00FA2119" w:rsidRDefault="00FA2119" w:rsidP="00FA2119">
      <w:pPr>
        <w:pStyle w:val="a5"/>
      </w:pPr>
      <w:r>
        <w:rPr>
          <w:rStyle w:val="a7"/>
        </w:rPr>
        <w:footnoteRef/>
      </w:r>
      <w:r>
        <w:rPr>
          <w:rtl/>
        </w:rPr>
        <w:t xml:space="preserve"> </w:t>
      </w:r>
      <w:r>
        <w:rPr>
          <w:rFonts w:cs="Arial"/>
          <w:rtl/>
        </w:rPr>
        <w:t>ואפילו אם עדים מעידים שהאחר שהוחזק בשמו של זה לא היה בעיר כשנכתב הגט - פסול</w:t>
      </w:r>
      <w:r>
        <w:rPr>
          <w:rFonts w:cs="Arial"/>
          <w:sz w:val="16"/>
          <w:szCs w:val="16"/>
          <w:rtl/>
        </w:rPr>
        <w:t xml:space="preserve"> {כרבא ביבמות קטז.}</w:t>
      </w:r>
      <w:r>
        <w:rPr>
          <w:rFonts w:cs="Arial"/>
          <w:rtl/>
        </w:rPr>
        <w:t>. וכן אם ראה שעבר אדם שם - פסול אפילו לא שכיחי שיירות ולא הוחזקו שני יוסף בן שמעון ואפי' היה גוי שעבר שם</w:t>
      </w:r>
      <w:r>
        <w:rPr>
          <w:rFonts w:cs="Arial"/>
          <w:sz w:val="16"/>
          <w:szCs w:val="16"/>
          <w:rtl/>
        </w:rPr>
        <w:t xml:space="preserve"> {ירושלמי פ"ג ה"ג}</w:t>
      </w:r>
      <w:r>
        <w:rPr>
          <w:rFonts w:cs="Arial"/>
          <w:rtl/>
        </w:rPr>
        <w:t>, טור.</w:t>
      </w:r>
      <w:r>
        <w:rPr>
          <w:rFonts w:cs="Arial"/>
          <w:color w:val="E36C0A" w:themeColor="accent6" w:themeShade="BF"/>
          <w:rtl/>
        </w:rPr>
        <w:t xml:space="preserve"> (וכ"פ בשו"ע)</w:t>
      </w:r>
    </w:p>
  </w:footnote>
  <w:footnote w:id="1433">
    <w:p w14:paraId="55517575" w14:textId="77777777" w:rsidR="00FA2119" w:rsidRDefault="00FA2119" w:rsidP="00FA2119">
      <w:pPr>
        <w:pStyle w:val="a5"/>
      </w:pPr>
      <w:r>
        <w:rPr>
          <w:rStyle w:val="a7"/>
        </w:rPr>
        <w:footnoteRef/>
      </w:r>
      <w:r>
        <w:rPr>
          <w:rtl/>
        </w:rPr>
        <w:t xml:space="preserve"> </w:t>
      </w:r>
      <w:r>
        <w:rPr>
          <w:rFonts w:hint="cs"/>
          <w:rtl/>
        </w:rPr>
        <w:t xml:space="preserve">וקשה, שהרי לעיל </w:t>
      </w:r>
      <w:r>
        <w:rPr>
          <w:sz w:val="16"/>
          <w:szCs w:val="16"/>
          <w:rtl/>
        </w:rPr>
        <w:t>(גבי דין לאלתר,</w:t>
      </w:r>
      <w:r>
        <w:rPr>
          <w:rFonts w:hint="cs"/>
          <w:sz w:val="16"/>
          <w:szCs w:val="16"/>
        </w:rPr>
        <w:t xml:space="preserve"> </w:t>
      </w:r>
      <w:r>
        <w:rPr>
          <w:sz w:val="16"/>
          <w:szCs w:val="16"/>
          <w:rtl/>
        </w:rPr>
        <w:t>הלכה ט ברמב"ם)</w:t>
      </w:r>
      <w:r>
        <w:rPr>
          <w:rtl/>
        </w:rPr>
        <w:t xml:space="preserve"> פסק שאם לא שהה אדם שם אין חוששים אע"ג דעבר שם. </w:t>
      </w:r>
      <w:r>
        <w:rPr>
          <w:rFonts w:cs="Arial"/>
          <w:rtl/>
        </w:rPr>
        <w:t xml:space="preserve">וכתב הב"י </w:t>
      </w:r>
      <w:r>
        <w:rPr>
          <w:rFonts w:cs="Arial"/>
          <w:b/>
          <w:bCs/>
          <w:rtl/>
        </w:rPr>
        <w:t>שהה"מ</w:t>
      </w:r>
      <w:r>
        <w:rPr>
          <w:rFonts w:cs="Arial"/>
          <w:rtl/>
        </w:rPr>
        <w:t xml:space="preserve"> פירש דבריו דכי קתני הוחזק באותו המקום איש אחר ששמו כשמו - אשיירות מצויות קאי, ומשום דאיכא תרתי לריעותא פסק דבעבר אדם שם אע"פ שלא שהה חוששין. ומיישב דבריו כמו שיישב הר"ן לדעת הרי"ף דלא ראה לפסוק לחומרא כלישנא בתרא דרבי זירא דאע"פ שלא הוחזקו ולפסול בזו גם בעבר אדם שם, דדילמא גם ללישנא בתרא דרבי זירא סבירא ליה כמאן דאמר הלכה כל שלא שהה אדם שם, אבל כשאין שיירות מצויות בין הוחזקו בין לא הוחזקו מחזירין אפילו לזמן מרובה. אבל </w:t>
      </w:r>
      <w:r>
        <w:rPr>
          <w:rFonts w:cs="Arial"/>
          <w:b/>
          <w:bCs/>
          <w:rtl/>
        </w:rPr>
        <w:t>הרשב"א</w:t>
      </w:r>
      <w:r>
        <w:rPr>
          <w:rFonts w:cs="Arial"/>
          <w:rtl/>
        </w:rPr>
        <w:t xml:space="preserve"> (שם) מפרש דברי הרמב"ם דכי קתני הוחזק באותו המקום איש אחר ששמו כשמו קאי גם להיכא דאין שיירות מצויות ותמה עליו.</w:t>
      </w:r>
    </w:p>
  </w:footnote>
  <w:footnote w:id="1434">
    <w:p w14:paraId="3113F63A" w14:textId="77777777" w:rsidR="00FA2119" w:rsidRDefault="00FA2119" w:rsidP="00FA2119">
      <w:pPr>
        <w:pStyle w:val="a5"/>
        <w:rPr>
          <w:rtl/>
        </w:rPr>
      </w:pPr>
      <w:r>
        <w:rPr>
          <w:rStyle w:val="a7"/>
        </w:rPr>
        <w:footnoteRef/>
      </w:r>
      <w:r>
        <w:rPr>
          <w:rtl/>
        </w:rPr>
        <w:t xml:space="preserve"> </w:t>
      </w:r>
      <w:r>
        <w:rPr>
          <w:rFonts w:cs="Arial"/>
          <w:rtl/>
        </w:rPr>
        <w:t xml:space="preserve">לחומרא כלישנא בתרא דרבי זירא, ב"י בשם הרי"ף. והוסיף הרי"ף (בגיטין שם) דהלכתא כרב אשי דבתראה הוא </w:t>
      </w:r>
      <w:r>
        <w:rPr>
          <w:rFonts w:cs="Arial"/>
          <w:color w:val="FF0000"/>
          <w:sz w:val="16"/>
          <w:szCs w:val="16"/>
          <w:rtl/>
        </w:rPr>
        <w:t>(וצל"ע שהרי פסק גם כרבי ירמיה...)</w:t>
      </w:r>
      <w:r>
        <w:rPr>
          <w:rFonts w:cs="Arial"/>
          <w:rtl/>
        </w:rPr>
        <w:t>.</w:t>
      </w:r>
    </w:p>
  </w:footnote>
  <w:footnote w:id="1435">
    <w:p w14:paraId="65D9D80C" w14:textId="77777777" w:rsidR="00FA2119" w:rsidRDefault="00FA2119" w:rsidP="00FA2119">
      <w:pPr>
        <w:pStyle w:val="a5"/>
      </w:pPr>
      <w:r>
        <w:rPr>
          <w:rStyle w:val="a7"/>
        </w:rPr>
        <w:footnoteRef/>
      </w:r>
      <w:r>
        <w:rPr>
          <w:rtl/>
        </w:rPr>
        <w:t xml:space="preserve"> </w:t>
      </w:r>
      <w:r>
        <w:rPr>
          <w:rFonts w:cs="Arial"/>
          <w:rtl/>
        </w:rPr>
        <w:t>וכל שכן אם הוחזקו אע"פ שאין השיירות מצויות, רא"ש (ב"מ פ"א סי' מה). ונראה מדברי הרא"ש שהוא מסכים לפירוש הרי"ף וכ"כ הרמזים בפרק כל הגט (סי' ג), ומה שכתוב ברמזים בפרק האשה שלום (יבמות פט"ו סי' ה) להכשיר גט שנמצא במקום ששיירות מצויות ולא הוחזקו נ"ל שהוא שלא בדקדוק, ב"י.</w:t>
      </w:r>
      <w:r>
        <w:rPr>
          <w:rFonts w:cs="Arial"/>
          <w:color w:val="E36C0A" w:themeColor="accent6" w:themeShade="BF"/>
          <w:rtl/>
        </w:rPr>
        <w:t xml:space="preserve"> (וכ"פ בשו"ע)</w:t>
      </w:r>
    </w:p>
  </w:footnote>
  <w:footnote w:id="1436">
    <w:p w14:paraId="71424169" w14:textId="77777777" w:rsidR="00FA2119" w:rsidRDefault="00FA2119" w:rsidP="00FA2119">
      <w:pPr>
        <w:pStyle w:val="a5"/>
      </w:pPr>
      <w:r>
        <w:rPr>
          <w:rStyle w:val="a7"/>
        </w:rPr>
        <w:footnoteRef/>
      </w:r>
      <w:r>
        <w:rPr>
          <w:rtl/>
        </w:rPr>
        <w:t xml:space="preserve"> </w:t>
      </w:r>
      <w:r>
        <w:rPr>
          <w:rFonts w:cs="Arial"/>
          <w:rtl/>
        </w:rPr>
        <w:t>בד"א דמחמירין לפסול בחד צד לריעותא בהוחזקו שנים ששמותיהם שוין או בשיירות מצויות בגט - מפני שאיפשר לכתוב אחר, אבל לענין מיתה כמו שמעידים על יוסף בעל פלונית שמת - אשתו מותרת אא"כ שיירות מצויות וגם הוחזקו באותה העיר שנים באותו השם</w:t>
      </w:r>
      <w:r>
        <w:rPr>
          <w:rtl/>
        </w:rPr>
        <w:t>, טור.</w:t>
      </w:r>
      <w:r>
        <w:rPr>
          <w:rFonts w:cs="Arial"/>
          <w:sz w:val="16"/>
          <w:szCs w:val="16"/>
          <w:rtl/>
        </w:rPr>
        <w:t xml:space="preserve"> (וכתב הב"י דבפרק כל הגט אחר שכתב הרא"ש (סי' ג) דברי הרי"ף שפסק לחומרא כלישנא בתרא דרבי זירא כתב וגרסינן בפרק האשה שלום (יבמות קטו:) יצחק ריש גלותא הוה קאזיל מקורטבא לאספמיא ושכיב מי חיישינן לתרי יצחק או לא, אביי אמר חיישינן, רבא אמר לא חיישינן. וע"כ מיירי התם דלא הוחזקו ושכיחי שיירות, ופליגי אביי ורבא בפלוגתא דרבה ורבי זירא, ורבא סבר כרבה דאמר לא חיישינן עד דאיכא תרתי שיירתא והוחזקו, ופסק שם הרי"ף כרבא. ואפשר דהכא פסק הרי"ף לחומרא במילתא דאיסורא ולא מהדרינן גט לבעל לגרש בו כיון דאפשר שיכתוב גט אחר, אבל בעובדא דיצחק ריש גלותא אי חיישינן לתרי יצחק צריכה להתעגן כל ימיה פסק לקולא כמו שמצינו שהקילו הרבה קולות בעדות אשה, ועל חומר שהחמירו בסופה סמכו והקילו בתחלתה משום דאשה דייקא ומינסבא).</w:t>
      </w:r>
    </w:p>
  </w:footnote>
  <w:footnote w:id="1437">
    <w:p w14:paraId="15D45F6B" w14:textId="77777777" w:rsidR="00FA2119" w:rsidRDefault="00FA2119" w:rsidP="00FA2119">
      <w:pPr>
        <w:pStyle w:val="a5"/>
        <w:rPr>
          <w:rtl/>
        </w:rPr>
      </w:pPr>
      <w:r>
        <w:rPr>
          <w:rStyle w:val="a7"/>
        </w:rPr>
        <w:footnoteRef/>
      </w:r>
      <w:r>
        <w:rPr>
          <w:rtl/>
        </w:rPr>
        <w:t xml:space="preserve"> </w:t>
      </w:r>
      <w:r>
        <w:rPr>
          <w:rFonts w:cs="Arial"/>
          <w:rtl/>
        </w:rPr>
        <w:t xml:space="preserve">וכתב הר"ן דכן כתב רש"י </w:t>
      </w:r>
      <w:r>
        <w:rPr>
          <w:rFonts w:cs="Arial"/>
          <w:sz w:val="16"/>
          <w:szCs w:val="16"/>
          <w:rtl/>
        </w:rPr>
        <w:t>(על הרי"ף שם, וכ"כ הרשב"א והה"מ בשמו)</w:t>
      </w:r>
      <w:r>
        <w:rPr>
          <w:rFonts w:cs="Arial"/>
          <w:rtl/>
        </w:rPr>
        <w:t xml:space="preserve">, אך בפירושי רש"י שעל הגמרא </w:t>
      </w:r>
      <w:r>
        <w:rPr>
          <w:rFonts w:cs="Arial"/>
          <w:sz w:val="16"/>
          <w:szCs w:val="16"/>
          <w:rtl/>
        </w:rPr>
        <w:t xml:space="preserve">(כז. ד"ה אם מכירו) </w:t>
      </w:r>
      <w:r>
        <w:rPr>
          <w:rFonts w:cs="Arial"/>
          <w:rtl/>
        </w:rPr>
        <w:t>כתוב כדברי התוס' ולא כפי מה שהעידו עליו הרשב"א והר"ן והה"מ (שם).</w:t>
      </w:r>
    </w:p>
  </w:footnote>
  <w:footnote w:id="1438">
    <w:p w14:paraId="0F5D5288" w14:textId="77777777" w:rsidR="00FA2119" w:rsidRDefault="00FA2119" w:rsidP="00FA2119">
      <w:pPr>
        <w:pStyle w:val="a5"/>
        <w:rPr>
          <w:rtl/>
        </w:rPr>
      </w:pPr>
      <w:r>
        <w:rPr>
          <w:rStyle w:val="a7"/>
        </w:rPr>
        <w:footnoteRef/>
      </w:r>
      <w:r>
        <w:rPr>
          <w:rtl/>
        </w:rPr>
        <w:t xml:space="preserve"> </w:t>
      </w:r>
      <w:r>
        <w:rPr>
          <w:rFonts w:cs="Arial"/>
          <w:rtl/>
        </w:rPr>
        <w:t xml:space="preserve">אבל בלא חפיסא אפילו מכירו - לא, דלא סמכינן אטביעות עינא אלא לצורבא מרבנן... ולא מיחוור, דכיון שיש לו סימן בחפיסה למה צריך שיכיר הגט, דהא קיי"ל (ב"מ כז.) דחמור בסימני אוכף מהדרינן. ועוד דכולהו אינשי ודאי קים להו בטביעות עינא ועדיף טפי מסימנא, וכי אמרינן בגמרא (גיטין כז:) ודוקא לצורבא מרבנן, לאו משום דעם הארץ לא קים ליה בטביעות עינא, אלא משום דכיון דמצאוהו אחרים והוא בידינו חיישינן שמא משום הפסד שכרו הוא משקר, אבל הכא שהוא עצמו מצאו למאי ניחוש לה? אלא ודאי תנא תרתי קאמר - מצאו בחפיסא ויש לו סימן בה, או שמכירו לגט בטביעות עינא, כשר, ר"ן </w:t>
      </w:r>
      <w:r>
        <w:rPr>
          <w:rFonts w:cs="Arial"/>
          <w:sz w:val="16"/>
          <w:szCs w:val="16"/>
          <w:rtl/>
        </w:rPr>
        <w:t>(יג: ד"ה מתני')</w:t>
      </w:r>
      <w:r>
        <w:rPr>
          <w:rFonts w:cs="Arial"/>
          <w:rtl/>
        </w:rPr>
        <w:t>.</w:t>
      </w:r>
    </w:p>
  </w:footnote>
  <w:footnote w:id="1439">
    <w:p w14:paraId="0A33E9E6" w14:textId="02D84268" w:rsidR="00FA2119" w:rsidRDefault="00FA2119" w:rsidP="00FA2119">
      <w:pPr>
        <w:pStyle w:val="a5"/>
      </w:pPr>
      <w:r>
        <w:rPr>
          <w:rStyle w:val="a7"/>
        </w:rPr>
        <w:footnoteRef/>
      </w:r>
      <w:r>
        <w:rPr>
          <w:rtl/>
        </w:rPr>
        <w:t xml:space="preserve"> </w:t>
      </w:r>
      <w:r>
        <w:rPr>
          <w:rFonts w:cs="Arial"/>
          <w:rtl/>
        </w:rPr>
        <w:t xml:space="preserve">או אפילו אין לו סימן וטביעות עין בגט, אלא שמצאו בכלי שהיה בו הגט ויש לו סימן או טביעות עין בכלי ויודע שלא השאילו לאחר, או שמצאו קשור בכיס או בארנקי ובטבעת שלו, או שמצאו בביתו בין כליו </w:t>
      </w:r>
      <w:r w:rsidR="00A42812">
        <w:rPr>
          <w:rFonts w:cs="Arial"/>
          <w:rtl/>
        </w:rPr>
        <w:t>-</w:t>
      </w:r>
      <w:r>
        <w:rPr>
          <w:rFonts w:cs="Arial"/>
          <w:rtl/>
        </w:rPr>
        <w:t xml:space="preserve"> כשר, טור.</w:t>
      </w:r>
      <w:r>
        <w:rPr>
          <w:rFonts w:cs="Arial"/>
          <w:color w:val="E36C0A" w:themeColor="accent6" w:themeShade="BF"/>
          <w:rtl/>
        </w:rPr>
        <w:t xml:space="preserve"> (וכ"פ בשו"ע)</w:t>
      </w:r>
    </w:p>
  </w:footnote>
  <w:footnote w:id="1440">
    <w:p w14:paraId="04A0E2C4" w14:textId="77777777" w:rsidR="00FA2119" w:rsidRDefault="00FA2119" w:rsidP="00FA2119">
      <w:pPr>
        <w:pStyle w:val="a5"/>
      </w:pPr>
      <w:r>
        <w:rPr>
          <w:rStyle w:val="a7"/>
        </w:rPr>
        <w:footnoteRef/>
      </w:r>
      <w:r>
        <w:rPr>
          <w:rtl/>
        </w:rPr>
        <w:t xml:space="preserve"> </w:t>
      </w:r>
      <w:r>
        <w:rPr>
          <w:rFonts w:hint="cs"/>
          <w:rtl/>
        </w:rPr>
        <w:t>אפילו מצאו בחפיסא אחרת שאינה שלו, כ"כ התוס' (כח. סד"ה מצאו) והרשב"א (שם).</w:t>
      </w:r>
    </w:p>
  </w:footnote>
  <w:footnote w:id="1441">
    <w:p w14:paraId="2B283440" w14:textId="77777777" w:rsidR="00FA2119" w:rsidRDefault="00FA2119" w:rsidP="00FA2119">
      <w:pPr>
        <w:pStyle w:val="a5"/>
      </w:pPr>
      <w:r>
        <w:rPr>
          <w:rStyle w:val="a7"/>
        </w:rPr>
        <w:footnoteRef/>
      </w:r>
      <w:r>
        <w:rPr>
          <w:rtl/>
        </w:rPr>
        <w:t xml:space="preserve"> </w:t>
      </w:r>
      <w:r>
        <w:rPr>
          <w:rFonts w:cs="Arial"/>
          <w:rtl/>
        </w:rPr>
        <w:t>וכתבו התוספות (שם) והרא"ש (שם) והרשב"א (שם) דהא דסמכינן אהכרתו אע"פ שאינו צורבא מרבנן היינו במגו דאי בעי אמר לא נאבד מעולם. ולפי זה אם יש עדים שנאבד דתו לית ליה מגו - לא סמכינן אטביעות עינו אא"כ הוא צורבא מרבנן. אבל הה"מ כשכתב שיטה זו בפ"ג (שם) תלה הטעם מפני שעד אחד נאמן באיסורין בטביעות עינא. ולפי זה אפשר לדון ולהכשיר אפילו ידעו אחרים או ראו שאבד ממנו, כיון שאח"כ מצאו הוא עצמו, ב"י.</w:t>
      </w:r>
    </w:p>
  </w:footnote>
  <w:footnote w:id="1442">
    <w:p w14:paraId="406933D2" w14:textId="77777777" w:rsidR="00FA2119" w:rsidRDefault="00FA2119" w:rsidP="00FA2119">
      <w:pPr>
        <w:pStyle w:val="a5"/>
      </w:pPr>
      <w:r>
        <w:rPr>
          <w:rStyle w:val="a7"/>
        </w:rPr>
        <w:footnoteRef/>
      </w:r>
      <w:r>
        <w:rPr>
          <w:rtl/>
        </w:rPr>
        <w:t xml:space="preserve"> </w:t>
      </w:r>
      <w:r>
        <w:rPr>
          <w:rFonts w:cs="Arial"/>
          <w:rtl/>
        </w:rPr>
        <w:t>ואפילו לשליח, ראב"ד (בהשגות שם).</w:t>
      </w:r>
    </w:p>
  </w:footnote>
  <w:footnote w:id="1443">
    <w:p w14:paraId="1EF5DE73" w14:textId="77777777" w:rsidR="00FA2119" w:rsidRDefault="00FA2119" w:rsidP="00FA2119">
      <w:pPr>
        <w:pStyle w:val="a5"/>
      </w:pPr>
      <w:r>
        <w:rPr>
          <w:rStyle w:val="a7"/>
        </w:rPr>
        <w:footnoteRef/>
      </w:r>
      <w:r>
        <w:rPr>
          <w:rtl/>
        </w:rPr>
        <w:t xml:space="preserve"> </w:t>
      </w:r>
      <w:r>
        <w:rPr>
          <w:rFonts w:cs="Arial"/>
          <w:rtl/>
        </w:rPr>
        <w:t xml:space="preserve">אז הוא כשר אפי' אם אינם מעידים שזה התובעו הוא אותו שחתמו לו, </w:t>
      </w:r>
      <w:r>
        <w:rPr>
          <w:rFonts w:cs="Arial"/>
          <w:b/>
          <w:bCs/>
          <w:rtl/>
        </w:rPr>
        <w:t>טור</w:t>
      </w:r>
      <w:r>
        <w:rPr>
          <w:rFonts w:cs="Arial"/>
          <w:rtl/>
        </w:rPr>
        <w:t>. כדברי התוספות (כז: ד"ה מעולם) והרמב"ם והרא"ש ושלא כדברי רש"י והר"ן</w:t>
      </w:r>
      <w:r>
        <w:rPr>
          <w:rtl/>
        </w:rPr>
        <w:t xml:space="preserve">, </w:t>
      </w:r>
      <w:r>
        <w:rPr>
          <w:b/>
          <w:bCs/>
          <w:rtl/>
        </w:rPr>
        <w:t>ב"י</w:t>
      </w:r>
      <w:r>
        <w:rPr>
          <w:rtl/>
        </w:rPr>
        <w:t>.</w:t>
      </w:r>
    </w:p>
  </w:footnote>
  <w:footnote w:id="1444">
    <w:p w14:paraId="5963AF7A" w14:textId="19D40C10" w:rsidR="00FA2119" w:rsidRDefault="00FA2119" w:rsidP="00FA2119">
      <w:pPr>
        <w:pStyle w:val="a5"/>
        <w:rPr>
          <w:rtl/>
        </w:rPr>
      </w:pPr>
      <w:r>
        <w:rPr>
          <w:rStyle w:val="a7"/>
        </w:rPr>
        <w:footnoteRef/>
      </w:r>
      <w:r>
        <w:rPr>
          <w:rtl/>
        </w:rPr>
        <w:t xml:space="preserve"> </w:t>
      </w:r>
      <w:r>
        <w:rPr>
          <w:rFonts w:cs="Arial"/>
          <w:rtl/>
        </w:rPr>
        <w:t xml:space="preserve">דמספקא ליה סימנין אי דאורייתא אי דרבנן וכיון דמחמת ספיקא הוא משמע שאם היה מכירו בסימן שאינו מובהק ונתגרשה בו הויא ספק מגורשת, </w:t>
      </w:r>
      <w:r>
        <w:rPr>
          <w:rFonts w:cs="Arial"/>
          <w:b/>
          <w:bCs/>
          <w:rtl/>
        </w:rPr>
        <w:t>ב"י</w:t>
      </w:r>
      <w:r>
        <w:rPr>
          <w:rFonts w:cs="Arial"/>
          <w:rtl/>
        </w:rPr>
        <w:t xml:space="preserve">. וכתב </w:t>
      </w:r>
      <w:r>
        <w:rPr>
          <w:rFonts w:cs="Arial"/>
          <w:b/>
          <w:bCs/>
          <w:rtl/>
        </w:rPr>
        <w:t>הדרכ"מ</w:t>
      </w:r>
      <w:r>
        <w:rPr>
          <w:rFonts w:cs="Arial"/>
          <w:rtl/>
        </w:rPr>
        <w:t xml:space="preserve"> (אות ב)</w:t>
      </w:r>
      <w:r w:rsidR="00AA5971">
        <w:rPr>
          <w:rFonts w:cs="Arial" w:hint="cs"/>
          <w:rtl/>
        </w:rPr>
        <w:t>:</w:t>
      </w:r>
      <w:r>
        <w:rPr>
          <w:rFonts w:cs="Arial"/>
          <w:rtl/>
        </w:rPr>
        <w:t xml:space="preserve"> ולי נראה דאפילו אין בו סימן כלל מאחר שמסתפקין בו שזהו הגט שנפל אם נתגרשה בו הויא ספק מגורשת. כן נראה לי.</w:t>
      </w:r>
    </w:p>
  </w:footnote>
  <w:footnote w:id="1445">
    <w:p w14:paraId="604FC305" w14:textId="77777777" w:rsidR="00FA2119" w:rsidRDefault="00FA2119" w:rsidP="00FA2119">
      <w:pPr>
        <w:pStyle w:val="a5"/>
      </w:pPr>
      <w:r>
        <w:rPr>
          <w:rStyle w:val="a7"/>
        </w:rPr>
        <w:footnoteRef/>
      </w:r>
      <w:r>
        <w:rPr>
          <w:rtl/>
        </w:rPr>
        <w:t xml:space="preserve"> </w:t>
      </w:r>
      <w:r>
        <w:rPr>
          <w:rFonts w:cs="Arial"/>
          <w:rtl/>
        </w:rPr>
        <w:t>הם מילי דסברא</w:t>
      </w:r>
      <w:r>
        <w:rPr>
          <w:rtl/>
        </w:rPr>
        <w:t>, ב"י.</w:t>
      </w:r>
    </w:p>
  </w:footnote>
  <w:footnote w:id="1446">
    <w:p w14:paraId="6EF97FA3" w14:textId="77777777" w:rsidR="00FA2119" w:rsidRDefault="00FA2119" w:rsidP="00FA2119">
      <w:pPr>
        <w:pStyle w:val="a5"/>
        <w:rPr>
          <w:rtl/>
        </w:rPr>
      </w:pPr>
      <w:r>
        <w:rPr>
          <w:rStyle w:val="a7"/>
        </w:rPr>
        <w:footnoteRef/>
      </w:r>
      <w:r>
        <w:rPr>
          <w:rtl/>
        </w:rPr>
        <w:t xml:space="preserve"> </w:t>
      </w:r>
      <w:r>
        <w:rPr>
          <w:rFonts w:cs="Arial"/>
          <w:rtl/>
        </w:rPr>
        <w:t>הם דברי התוספות (ד"ה כגון) והרא"ש, ב"י.</w:t>
      </w:r>
    </w:p>
  </w:footnote>
  <w:footnote w:id="1447">
    <w:p w14:paraId="74A294D6" w14:textId="77777777" w:rsidR="00FA2119" w:rsidRDefault="00FA2119" w:rsidP="00FA2119">
      <w:pPr>
        <w:pStyle w:val="a5"/>
      </w:pPr>
      <w:r>
        <w:rPr>
          <w:rStyle w:val="a7"/>
        </w:rPr>
        <w:footnoteRef/>
      </w:r>
      <w:r>
        <w:rPr>
          <w:rtl/>
        </w:rPr>
        <w:t xml:space="preserve"> </w:t>
      </w:r>
      <w:r>
        <w:rPr>
          <w:rFonts w:cs="Arial"/>
          <w:rtl/>
        </w:rPr>
        <w:t>הם דברי התוס' (כח. ד"ה מצאו) והמפרשים אמתניתין דמצאו בחפיסא וכו'. ואע"ג דבגמרא פ' כל הגט (כז:) אמרינן דלצורבא מרבנן מהדרינן בטביעות עינא לא כתב כן רבינו. וגם הרמב"ם בפ"ג (ה"ט) לא חילק בין אינש דעלמא לצורבא מרבנן. וכתב הה"מ שהטעם לפי שאין מצוי צורבא מרבנן בדורות הללו ויבוא הדבר לכלל מחלוקת מי הוא צורבא מרבנן ורצה להחמיר באיסור ערוה</w:t>
      </w:r>
      <w:r>
        <w:rPr>
          <w:rtl/>
        </w:rPr>
        <w:t>, ב"י.</w:t>
      </w:r>
    </w:p>
  </w:footnote>
  <w:footnote w:id="1448">
    <w:p w14:paraId="1C34C311" w14:textId="3169C1C5" w:rsidR="00FA2119" w:rsidRDefault="00FA2119" w:rsidP="00FA2119">
      <w:pPr>
        <w:pStyle w:val="a5"/>
        <w:rPr>
          <w:rtl/>
        </w:rPr>
      </w:pPr>
      <w:r>
        <w:rPr>
          <w:rStyle w:val="a7"/>
        </w:rPr>
        <w:footnoteRef/>
      </w:r>
      <w:r>
        <w:rPr>
          <w:rtl/>
        </w:rPr>
        <w:t xml:space="preserve"> </w:t>
      </w:r>
      <w:r>
        <w:rPr>
          <w:rFonts w:cs="Arial"/>
          <w:rtl/>
        </w:rPr>
        <w:t xml:space="preserve">הביאו הדרכ"מ </w:t>
      </w:r>
      <w:r w:rsidR="000A0F5A">
        <w:rPr>
          <w:rFonts w:cs="Arial"/>
          <w:rtl/>
        </w:rPr>
        <w:t>וז"ל:</w:t>
      </w:r>
      <w:r>
        <w:rPr>
          <w:rFonts w:cs="Arial"/>
          <w:rtl/>
        </w:rPr>
        <w:t xml:space="preserve"> ועיין בתשובת הרא"ש (כלל מה סי' כא) דאם הוזכר שם העיר אין לחוש לשיירות מצויות דלא חיישינן לב' עיירות וכן הוא בגמרא פרק כל הגט (כז.)</w:t>
      </w:r>
      <w:r>
        <w:rPr>
          <w:rtl/>
        </w:rPr>
        <w:t>. עכ"ל. ותמהו עליו הב"ש (סקט"ז) והגר"א (סקט"ז). ועיין בחת"ס (ח"ג סי' מה) שיישב את דבריו.</w:t>
      </w:r>
    </w:p>
  </w:footnote>
  <w:footnote w:id="1449">
    <w:p w14:paraId="2F2C1741" w14:textId="77777777" w:rsidR="00FA2119" w:rsidRDefault="00FA2119" w:rsidP="00FA2119">
      <w:pPr>
        <w:pStyle w:val="a5"/>
      </w:pPr>
      <w:r>
        <w:rPr>
          <w:rStyle w:val="a7"/>
        </w:rPr>
        <w:footnoteRef/>
      </w:r>
      <w:r>
        <w:rPr>
          <w:rtl/>
        </w:rPr>
        <w:t xml:space="preserve"> </w:t>
      </w:r>
      <w:r>
        <w:rPr>
          <w:rFonts w:cs="Arial"/>
          <w:rtl/>
        </w:rPr>
        <w:t>כלומר שיהיו שניהם יחד בשעת מסירה לאפוקי אם מסרו לה בפני אחד וחזר ומסרו לה בפני אחר, ב"י.</w:t>
      </w:r>
    </w:p>
  </w:footnote>
  <w:footnote w:id="1450">
    <w:p w14:paraId="4984D54E" w14:textId="77777777" w:rsidR="00FA2119" w:rsidRDefault="00FA2119" w:rsidP="00FA2119">
      <w:pPr>
        <w:pStyle w:val="a5"/>
      </w:pPr>
      <w:r>
        <w:rPr>
          <w:rStyle w:val="a7"/>
        </w:rPr>
        <w:footnoteRef/>
      </w:r>
      <w:r>
        <w:rPr>
          <w:rtl/>
        </w:rPr>
        <w:t xml:space="preserve"> </w:t>
      </w:r>
      <w:r>
        <w:rPr>
          <w:rFonts w:cs="Arial"/>
          <w:rtl/>
        </w:rPr>
        <w:t>והוי יודע שכתב רש"י בריש גיטין (ג: ד"ה ולא בעי) דלרבי אלעזר אפילו לכתוב לכתחלה ולתת לה בעדי מסירה בלא עדי חתימה מכשיר. וכתבו שם התוספות (ד"ה רבי אלעזר) והרשב"א (ד"ה רבי אלעזר) שכן נראה מדתנן בפרק ב' (כא:) אין כותבין על נייר המחוק ועל הדפתרא מפני שיכול להזדייף, וחכמים מכשירים. וחכמים היינו רבי אלעזר דאמר עדי מסירה כרתי כדאמר התם (כב:). ומדאמר ת"ק אין כותבין, ואיהו קא מכשר, משמע דמכשירים לכתוב וליתן קאמר. והא דתנן בהשולח (לד:) התקין ר"ג שיהו העדים חותמים על הגט מפני תיקון העולם, לאו למימרא שיהו צריכין לכך לכתחלה, אלא תיקן ולימד דעת את העם לעשות כן שלא יצטרכו לעדי מסירה, אבל אם באים לסמוך לכתחלה אעדי מסירה סומכין. כ"כ גם הרא"ש בהשולח (סי' יב). ולפי זה כשכתב רבינו תקנו חכמים להחתים עליו שני עדים, לא תיקון ממש קאמר, אלא כעין עצה טובה היא מפני תיקון העולם, אבל אם רצה לסמוך אעדי מסירה לחודייהו - אפילו לכתחלה סומך, ב"י.</w:t>
      </w:r>
    </w:p>
  </w:footnote>
  <w:footnote w:id="1451">
    <w:p w14:paraId="07F7F020" w14:textId="77777777" w:rsidR="00FA2119" w:rsidRDefault="00FA2119" w:rsidP="00FA2119">
      <w:pPr>
        <w:pStyle w:val="a5"/>
      </w:pPr>
      <w:r>
        <w:rPr>
          <w:rStyle w:val="a7"/>
        </w:rPr>
        <w:footnoteRef/>
      </w:r>
      <w:r>
        <w:rPr>
          <w:rtl/>
        </w:rPr>
        <w:t xml:space="preserve"> </w:t>
      </w:r>
      <w:r>
        <w:rPr>
          <w:rFonts w:cs="Arial"/>
          <w:rtl/>
        </w:rPr>
        <w:t>ומשרואין אותן חתומים בו תולין שבודאי נמסר כראוי בעידי מסירה, טור. וכ"כ התוס' (ד"ה רבי אלעזר) והרא"ש (סי' ז). וכתב הב"י דמה שמזכירים תוספות והרא"ש עדים חתומים בו היינו לומר שמכירים חתימות ידי העדים, דאל"כ לא מחזיקינן ליה שנמסר בהכשר כיון דאכתי לא נתקיים בחותמיו, וכ"כ רבינו בהדיא בסימן קמ"א (מז.) גבי הא דכתב הרמב"ם (פ"ו ה"ב) שאם גט יוצא מתחת יד שליח קבלה אין צריך עדים</w:t>
      </w:r>
      <w:r>
        <w:rPr>
          <w:rFonts w:cs="Arial"/>
          <w:sz w:val="16"/>
          <w:szCs w:val="16"/>
          <w:rtl/>
        </w:rPr>
        <w:t xml:space="preserve"> [עכ"ל הב"י]</w:t>
      </w:r>
      <w:r>
        <w:rPr>
          <w:rFonts w:cs="Arial"/>
          <w:rtl/>
        </w:rPr>
        <w:t xml:space="preserve">. </w:t>
      </w:r>
      <w:r>
        <w:rPr>
          <w:rFonts w:cs="Arial"/>
          <w:sz w:val="16"/>
          <w:szCs w:val="16"/>
          <w:rtl/>
        </w:rPr>
        <w:t>(ונתבאר לעיל שהרי"ף לא מסכים עם סברה זו שכתבו התוס', אלא ס" שחוששין שנמסר בלא עדים).</w:t>
      </w:r>
    </w:p>
  </w:footnote>
  <w:footnote w:id="1452">
    <w:p w14:paraId="4DC3A67C" w14:textId="77777777" w:rsidR="00FA2119" w:rsidRDefault="00FA2119" w:rsidP="00FA2119">
      <w:pPr>
        <w:pStyle w:val="a5"/>
        <w:rPr>
          <w:rtl/>
        </w:rPr>
      </w:pPr>
      <w:r>
        <w:rPr>
          <w:rStyle w:val="a7"/>
        </w:rPr>
        <w:footnoteRef/>
      </w:r>
      <w:r>
        <w:rPr>
          <w:rtl/>
        </w:rPr>
        <w:t xml:space="preserve"> </w:t>
      </w:r>
      <w:r>
        <w:rPr>
          <w:rFonts w:hint="cs"/>
          <w:rtl/>
        </w:rPr>
        <w:t xml:space="preserve">הטור כתב שהרא"ש סבירא ליה כדעת הגאונים שהגט פסול. אך קשה, שהרי בהדיא כתב הרא"ש בפסקיו (סי' ז) שאינו גט כלל. וכתב הב"י </w:t>
      </w:r>
      <w:r>
        <w:rPr>
          <w:rFonts w:cs="Arial"/>
          <w:rtl/>
        </w:rPr>
        <w:t>דהטור לא נחית לדיוקי תיבת פסול על מה מורה, אם מדרבנן אם מדאו'.</w:t>
      </w:r>
    </w:p>
  </w:footnote>
  <w:footnote w:id="1453">
    <w:p w14:paraId="65D6B8FD" w14:textId="77777777" w:rsidR="00FA2119" w:rsidRDefault="00FA2119" w:rsidP="00FA2119">
      <w:pPr>
        <w:pStyle w:val="a5"/>
        <w:rPr>
          <w:rtl/>
        </w:rPr>
      </w:pPr>
      <w:r>
        <w:rPr>
          <w:rStyle w:val="a7"/>
        </w:rPr>
        <w:footnoteRef/>
      </w:r>
      <w:r>
        <w:rPr>
          <w:rtl/>
        </w:rPr>
        <w:t xml:space="preserve"> </w:t>
      </w:r>
      <w:r>
        <w:rPr>
          <w:rFonts w:cs="Arial"/>
          <w:rtl/>
        </w:rPr>
        <w:t xml:space="preserve">וכן פירש רש"י </w:t>
      </w:r>
      <w:r>
        <w:rPr>
          <w:rFonts w:cs="Arial"/>
          <w:sz w:val="16"/>
          <w:szCs w:val="16"/>
          <w:rtl/>
        </w:rPr>
        <w:t>(סד. ד"ה רבי אלעזר)</w:t>
      </w:r>
      <w:r>
        <w:rPr>
          <w:rFonts w:cs="Arial"/>
          <w:rtl/>
        </w:rPr>
        <w:t xml:space="preserve"> את דברי ר' אלעזר. וכתבו הרשב"א (פו. ד"ה רבי אלעזר) והר"ן בהמגרש (מז: ד"ה והיינו) שרבינו אפרים והרז"ה (מו. ד"ה כתב בכתב) דחו דברי הרי"ף ומשמע דס"ל כדעת התוספות. וכן דעת סמ"ג (עשין נ קכט:) והתרומה (סי' קלא) והמרדכי (סי' תמז), ב"י.</w:t>
      </w:r>
    </w:p>
  </w:footnote>
  <w:footnote w:id="1454">
    <w:p w14:paraId="7983A8DC" w14:textId="22F529E3" w:rsidR="00FA2119" w:rsidRDefault="00FA2119" w:rsidP="00FA2119">
      <w:pPr>
        <w:pStyle w:val="a5"/>
      </w:pPr>
      <w:r>
        <w:rPr>
          <w:rStyle w:val="a7"/>
        </w:rPr>
        <w:footnoteRef/>
      </w:r>
      <w:r>
        <w:rPr>
          <w:rtl/>
        </w:rPr>
        <w:t xml:space="preserve"> </w:t>
      </w:r>
      <w:r w:rsidR="000A0F5A">
        <w:rPr>
          <w:rFonts w:cs="Arial"/>
          <w:rtl/>
        </w:rPr>
        <w:t>וז"ל:</w:t>
      </w:r>
      <w:r>
        <w:rPr>
          <w:rFonts w:cs="Arial"/>
          <w:rtl/>
        </w:rPr>
        <w:t xml:space="preserve"> חתמו בו שנים ועבר ונתנו לה בינו לבינה או שנמצאו עידי מסירה פסולין הרי זה כשר הואיל ועדים שבו כשרין והרי הגט יוצא מתחת ידה. ויש שהורה מן הגאונים שהוא פסול.</w:t>
      </w:r>
    </w:p>
  </w:footnote>
  <w:footnote w:id="1455">
    <w:p w14:paraId="4AF1EFCA" w14:textId="77777777" w:rsidR="00FA2119" w:rsidRDefault="00FA2119" w:rsidP="00FA2119">
      <w:pPr>
        <w:pStyle w:val="a5"/>
      </w:pPr>
      <w:r>
        <w:rPr>
          <w:rStyle w:val="a7"/>
        </w:rPr>
        <w:footnoteRef/>
      </w:r>
      <w:r>
        <w:rPr>
          <w:rtl/>
        </w:rPr>
        <w:t xml:space="preserve"> </w:t>
      </w:r>
      <w:r>
        <w:rPr>
          <w:rFonts w:cs="Arial"/>
          <w:rtl/>
        </w:rPr>
        <w:t>גם הר"ן מסכים לדעת הרי"ף. וכן נראה שהוא דעת הרשב"א מתוך מה שכתב בהמגרש, אע"ג דבריש גיטין (ד. ד"ה ולענין עדי) ובפרק התקבל (סד. סוד"ה ולרב חסדא) משמע דס"ל כדעת התוספות. וכתבו גם כן שהרמב"ן (מלחמות מו.) השיב להעמיד דברי הרי"ף. וכתב הרשב"א שגם הראב"ד (השגות לרי"ף מו:) פסק דאף עדי חתימה כרתי לרבי אלעזר. וגם רי"ו בח"ב (נכ"ד רד ע"ד) מסכים לדברי הרי"ף, ב"י.</w:t>
      </w:r>
    </w:p>
  </w:footnote>
  <w:footnote w:id="1456">
    <w:p w14:paraId="3E88F991" w14:textId="77777777" w:rsidR="00FA2119" w:rsidRDefault="00FA2119" w:rsidP="00FA2119">
      <w:pPr>
        <w:pStyle w:val="a5"/>
        <w:rPr>
          <w:rtl/>
        </w:rPr>
      </w:pPr>
      <w:r>
        <w:rPr>
          <w:rStyle w:val="a7"/>
        </w:rPr>
        <w:footnoteRef/>
      </w:r>
      <w:r>
        <w:rPr>
          <w:rtl/>
        </w:rPr>
        <w:t xml:space="preserve"> </w:t>
      </w:r>
      <w:r>
        <w:rPr>
          <w:rFonts w:cs="Arial"/>
          <w:rtl/>
        </w:rPr>
        <w:t>וכתב הב"ח דצ"ע אם מסרו בפני א' וחזר ומסר בפני א' אם הגט פסול או בטל. והביאו הב"ש (סק"א) והאריך בראיות לכאן ולכאן וסיים דמכל מקום נראה דהגט אינו בטל. ועיין תשובת ריב"ש (ס"ס קל"ב ובסי' מ"ב).</w:t>
      </w:r>
    </w:p>
  </w:footnote>
  <w:footnote w:id="1457">
    <w:p w14:paraId="27DAF9B5" w14:textId="6F2FE801" w:rsidR="00FA2119" w:rsidRDefault="00FA2119" w:rsidP="00FA2119">
      <w:pPr>
        <w:pStyle w:val="a5"/>
      </w:pPr>
      <w:r>
        <w:rPr>
          <w:rStyle w:val="a7"/>
        </w:rPr>
        <w:footnoteRef/>
      </w:r>
      <w:r>
        <w:rPr>
          <w:rtl/>
        </w:rPr>
        <w:t xml:space="preserve"> </w:t>
      </w:r>
      <w:r>
        <w:rPr>
          <w:rFonts w:cs="Arial"/>
          <w:rtl/>
        </w:rPr>
        <w:t>היינו בגט הניתן מיד הבעל ליד האשה</w:t>
      </w:r>
      <w:r w:rsidR="008A5107">
        <w:rPr>
          <w:rFonts w:cs="Arial" w:hint="cs"/>
          <w:rtl/>
        </w:rPr>
        <w:t>.</w:t>
      </w:r>
      <w:r>
        <w:rPr>
          <w:rFonts w:cs="Arial"/>
          <w:rtl/>
        </w:rPr>
        <w:t xml:space="preserve"> אבל בגט הבא ממקום למקום ע"י שליח עיין לקמן סי' קמ"א סעיף י"ב ומ"ש שם. ועיין בתשו' </w:t>
      </w:r>
      <w:r>
        <w:rPr>
          <w:rFonts w:cs="Arial"/>
          <w:b/>
          <w:bCs/>
          <w:rtl/>
        </w:rPr>
        <w:t>משכנות יעקב</w:t>
      </w:r>
      <w:r>
        <w:rPr>
          <w:rFonts w:cs="Arial"/>
          <w:rtl/>
        </w:rPr>
        <w:t xml:space="preserve"> (סי' כז) שכ' דהיינו דוקא בסתם שלא צוה הבעל לעדים לחתום</w:t>
      </w:r>
      <w:r w:rsidR="008A5107">
        <w:rPr>
          <w:rFonts w:cs="Arial" w:hint="cs"/>
          <w:rtl/>
        </w:rPr>
        <w:t>,</w:t>
      </w:r>
      <w:r>
        <w:rPr>
          <w:rFonts w:cs="Arial"/>
          <w:rtl/>
        </w:rPr>
        <w:t xml:space="preserve"> אבל אם צוה הבעל לסופר לכתוב ולעדים לחתום וכתב הסופר והעדים לא חתמו או שחתמו לאחר זמן - הגט בטל מדאו' אפילו שימסרנו בעדי מסירה, וראי' ברורה מש"ס גיטין </w:t>
      </w:r>
      <w:r w:rsidR="008A5107">
        <w:rPr>
          <w:rFonts w:cs="Arial" w:hint="cs"/>
          <w:rtl/>
        </w:rPr>
        <w:t>(</w:t>
      </w:r>
      <w:r>
        <w:rPr>
          <w:rFonts w:cs="Arial"/>
          <w:rtl/>
        </w:rPr>
        <w:t>יט</w:t>
      </w:r>
      <w:r w:rsidR="008A5107">
        <w:rPr>
          <w:rFonts w:cs="Arial" w:hint="cs"/>
          <w:rtl/>
        </w:rPr>
        <w:t>.)</w:t>
      </w:r>
      <w:r>
        <w:rPr>
          <w:rFonts w:cs="Arial"/>
          <w:rtl/>
        </w:rPr>
        <w:t xml:space="preserve"> כו'</w:t>
      </w:r>
      <w:r w:rsidR="00163354">
        <w:rPr>
          <w:rFonts w:cs="Arial" w:hint="cs"/>
          <w:rtl/>
        </w:rPr>
        <w:t>,</w:t>
      </w:r>
      <w:r>
        <w:rPr>
          <w:rFonts w:cs="Arial"/>
          <w:rtl/>
        </w:rPr>
        <w:t xml:space="preserve"> ושוב מצאתי הדבר מבואר בירושלמי כו'</w:t>
      </w:r>
      <w:r w:rsidR="00163354">
        <w:rPr>
          <w:rFonts w:cs="Arial" w:hint="cs"/>
          <w:rtl/>
        </w:rPr>
        <w:t>,</w:t>
      </w:r>
      <w:r>
        <w:rPr>
          <w:rFonts w:cs="Arial"/>
          <w:rtl/>
        </w:rPr>
        <w:t xml:space="preserve"> וזה כלל גדול בגיטין וצריך לזהר בו הרבה. ועוד נראה דכל הדברים הנהוגים בגט אף שאין להם עיקר מה"ת ולא מד"ס רק נהגו כן, מסתמא כל שמצוה לכתוב גט דעתו שיכתבו כראוי לכל המנהגים בלי פקפוק</w:t>
      </w:r>
      <w:r w:rsidR="00163354">
        <w:rPr>
          <w:rFonts w:cs="Arial" w:hint="cs"/>
          <w:rtl/>
        </w:rPr>
        <w:t>,</w:t>
      </w:r>
      <w:r>
        <w:rPr>
          <w:rFonts w:cs="Arial"/>
          <w:rtl/>
        </w:rPr>
        <w:t xml:space="preserve"> ואם לא כתבו כן ולא הודיעוהו הרי שינו העדים והסופר שליחותייהו ובטל הגט מה"ת... עכ"ד ע"ש. והנה הדין הראשון שכ' באם צוה הבעל לסופר לכתוב ולעדים לחתום והעדים לא חתמו כו' - הוא פשוט וברור </w:t>
      </w:r>
      <w:r>
        <w:rPr>
          <w:rFonts w:cs="Arial"/>
          <w:sz w:val="16"/>
          <w:szCs w:val="16"/>
          <w:rtl/>
        </w:rPr>
        <w:t>(והגם שמדברי הב"ש בסי' ק"ל סקכ"ט לא נראה כן, וע"כ דהוא מחלק בין אמר לעשרה כולכם חתמו המבואר בסי' ק"כ ס"ט ובין אמר לשנים וכמ"ש בתשו' בגדי כהונה סי' י"ג כבר כתבתי שם סקי"א בשם כמה גדולים שהשיגו על הב"ש בזה)</w:t>
      </w:r>
      <w:r>
        <w:rPr>
          <w:rFonts w:cs="Arial"/>
          <w:rtl/>
        </w:rPr>
        <w:t>... אך מ"ש בדין השני דאם שינו מהמנהג בכתיבת הגט אפי' בדבר שנהגו משום חומר הגט בטל</w:t>
      </w:r>
      <w:r w:rsidR="00163354">
        <w:rPr>
          <w:rFonts w:cs="Arial" w:hint="cs"/>
          <w:rtl/>
        </w:rPr>
        <w:t>,</w:t>
      </w:r>
      <w:r>
        <w:rPr>
          <w:rFonts w:cs="Arial"/>
          <w:rtl/>
        </w:rPr>
        <w:t xml:space="preserve"> לכאורה דבריו צ"ע</w:t>
      </w:r>
      <w:r w:rsidR="00163354">
        <w:rPr>
          <w:rFonts w:cs="Arial" w:hint="cs"/>
          <w:rtl/>
        </w:rPr>
        <w:t>,</w:t>
      </w:r>
      <w:r>
        <w:rPr>
          <w:rFonts w:cs="Arial"/>
          <w:rtl/>
        </w:rPr>
        <w:t xml:space="preserve"> דהא לעיל סי' קכ"ב ס"א מבואר דעשו העדים שליחותן בדבר שהוא משום חומרא שנהגו להחמיר. ובפרט דמסתימת הפוסקים שם משמע דלא מספק רק מודאי דאם כתבו גט אחר בלא צווי הבעל הגט השני בטל. מבואר מזה דבדבר שהוא רק משום מנהג לא מקרי שינוי מדעת בעלים (ובפרט לפי מה שנהגו עתה שאומר הבעל שנותן רשות כו' עד שיהא א' כשר לדעת הרב כמ"ש בסג"ר אות נ"ב וא"כ אם הרב אומר שהוא כשר לא שינו את שליחותם). מיהו לע"ד אפשר לחלק בזה דבדבר התלוי במנהג שנתפשט המנהג שהכל יודעים אותו אפי' נשים וע"ה</w:t>
      </w:r>
      <w:r w:rsidR="00962A5B">
        <w:rPr>
          <w:rFonts w:cs="Arial" w:hint="cs"/>
          <w:rtl/>
        </w:rPr>
        <w:t>,</w:t>
      </w:r>
      <w:r>
        <w:rPr>
          <w:rFonts w:cs="Arial"/>
          <w:rtl/>
        </w:rPr>
        <w:t xml:space="preserve"> כגון כתיבת י"ב שיטין וכתב אשורי</w:t>
      </w:r>
      <w:r w:rsidR="00962A5B">
        <w:rPr>
          <w:rFonts w:cs="Arial" w:hint="cs"/>
          <w:rtl/>
        </w:rPr>
        <w:t>,</w:t>
      </w:r>
      <w:r>
        <w:rPr>
          <w:rFonts w:cs="Arial"/>
          <w:rtl/>
        </w:rPr>
        <w:t xml:space="preserve"> בזה שייך לומר כיון דודאי יודע הבעל מזה דמי לפשוט ומקוש'</w:t>
      </w:r>
      <w:r w:rsidR="00962A5B">
        <w:rPr>
          <w:rFonts w:cs="Arial" w:hint="cs"/>
          <w:rtl/>
        </w:rPr>
        <w:t>.</w:t>
      </w:r>
      <w:r>
        <w:rPr>
          <w:rFonts w:cs="Arial"/>
          <w:rtl/>
        </w:rPr>
        <w:t xml:space="preserve"> אבל דבר שאינו מפורסם כ"כ כגון תקוני אותיות והיקף גויל שאפי' כמה לומדים אינם יודעים ל"ש לומר דהבעל קפיד דוקא לכתוב בכל החומרות רק דעתו בלבד שיהא כשר שתוכל אשתו להנשא ע"י גט זה</w:t>
      </w:r>
      <w:r w:rsidR="00962A5B">
        <w:rPr>
          <w:rFonts w:cs="Arial" w:hint="cs"/>
          <w:rtl/>
        </w:rPr>
        <w:t>.</w:t>
      </w:r>
      <w:r>
        <w:rPr>
          <w:rFonts w:cs="Arial"/>
          <w:rtl/>
        </w:rPr>
        <w:t xml:space="preserve"> ובזה ל"ק מסי' קכ"ב שם דהתם בדבר שאינו מפורסם כ"כ ודוק... שוב ראיתי בתשו' </w:t>
      </w:r>
      <w:r>
        <w:rPr>
          <w:rFonts w:cs="Arial"/>
          <w:b/>
          <w:bCs/>
          <w:rtl/>
        </w:rPr>
        <w:t>ברית אברהם</w:t>
      </w:r>
      <w:r>
        <w:rPr>
          <w:rFonts w:cs="Arial"/>
          <w:rtl/>
        </w:rPr>
        <w:t xml:space="preserve"> (סי' צח) שגם בדעתו עלה כעין סברא הנ"ל (אך לא על דבר שהוא רק משום מנהג רק על דבר שפסול מדינא מדרבנן) דאם הבעל צוה סתמא לכתוב גט והסופר כתב בפסול דרבנן ממילא לא נעשה ע"פ שליחות הבעל והגט בטל מה"ת, ושוב דחה זה וכתב </w:t>
      </w:r>
      <w:r w:rsidR="00962A5B">
        <w:rPr>
          <w:rFonts w:cs="Arial" w:hint="cs"/>
          <w:rtl/>
        </w:rPr>
        <w:t>(</w:t>
      </w:r>
      <w:r>
        <w:rPr>
          <w:rFonts w:cs="Arial"/>
          <w:rtl/>
        </w:rPr>
        <w:t>באות ו'</w:t>
      </w:r>
      <w:r w:rsidR="00962A5B">
        <w:rPr>
          <w:rFonts w:cs="Arial" w:hint="cs"/>
          <w:rtl/>
        </w:rPr>
        <w:t>)</w:t>
      </w:r>
      <w:r>
        <w:rPr>
          <w:rFonts w:cs="Arial"/>
          <w:rtl/>
        </w:rPr>
        <w:t xml:space="preserve"> וז"ל</w:t>
      </w:r>
      <w:r w:rsidR="00962A5B">
        <w:rPr>
          <w:rFonts w:cs="Arial" w:hint="cs"/>
          <w:rtl/>
        </w:rPr>
        <w:t>:</w:t>
      </w:r>
      <w:r>
        <w:rPr>
          <w:rFonts w:cs="Arial"/>
          <w:rtl/>
        </w:rPr>
        <w:t xml:space="preserve"> אמנם לדינא ודאי לא קיי"ל כסברא זו דהא מבואר בש"ע כמה פסולי דרבנן הן בכתיבה או בחתימה ולא מצינו לומר ע"ז בשום מקום דליהוי בטל משום דשינה מדעת הבעל</w:t>
      </w:r>
      <w:r w:rsidR="00962A5B">
        <w:rPr>
          <w:rFonts w:cs="Arial" w:hint="cs"/>
          <w:rtl/>
        </w:rPr>
        <w:t>.</w:t>
      </w:r>
      <w:r>
        <w:rPr>
          <w:rFonts w:cs="Arial"/>
          <w:rtl/>
        </w:rPr>
        <w:t xml:space="preserve"> ולכן נראה להסביר הדבר דמסתמא ליכא קפידא דהבעל בזה דלא איכפת לי' להבעל בהכי... עכ"ל... ואכתי צריך ישוב הראיה שהביא הרב בעל משכנות יעקב הנ"ל מהא דפשוט ומקושר. וצ"ע בכל זה, </w:t>
      </w:r>
      <w:r>
        <w:rPr>
          <w:rFonts w:cs="Arial"/>
          <w:b/>
          <w:bCs/>
          <w:rtl/>
        </w:rPr>
        <w:t>פת"ש</w:t>
      </w:r>
      <w:r>
        <w:rPr>
          <w:rFonts w:cs="Arial"/>
          <w:rtl/>
        </w:rPr>
        <w:t xml:space="preserve"> (סק"ג).</w:t>
      </w:r>
    </w:p>
  </w:footnote>
  <w:footnote w:id="1458">
    <w:p w14:paraId="16AA59EA" w14:textId="77777777" w:rsidR="00FA2119" w:rsidRDefault="00FA2119" w:rsidP="00FA2119">
      <w:pPr>
        <w:pStyle w:val="a5"/>
      </w:pPr>
      <w:r>
        <w:rPr>
          <w:rStyle w:val="a7"/>
        </w:rPr>
        <w:footnoteRef/>
      </w:r>
      <w:r>
        <w:rPr>
          <w:rtl/>
        </w:rPr>
        <w:t xml:space="preserve"> </w:t>
      </w:r>
      <w:r>
        <w:rPr>
          <w:rFonts w:cs="Arial"/>
          <w:rtl/>
        </w:rPr>
        <w:t>הנה בתוס' ובהרא"ש ומרדכי מבואר דהגט בטל בלא עדי מסירה, כי עדי חתימה לא מהני כלום בלא עדי מסירה. וכ"פ בשלט"ג (דף תר"ג) אלא שפוסל לכהונה דיש לגזור אטו גט כשר. אלא הרמב"ם כתב כן בשם הגאונים דפסול, ולא תצא כמו שכתב בפ"י. וכ"כ הר"ן פ' השולח בשם הגאונים. ולמעשה צריך עיון, ב"ש (סק"ג).</w:t>
      </w:r>
    </w:p>
  </w:footnote>
  <w:footnote w:id="1459">
    <w:p w14:paraId="20483296" w14:textId="77777777" w:rsidR="00FA2119" w:rsidRDefault="00FA2119" w:rsidP="00FA2119">
      <w:pPr>
        <w:pStyle w:val="a5"/>
      </w:pPr>
      <w:r>
        <w:rPr>
          <w:rStyle w:val="a7"/>
        </w:rPr>
        <w:footnoteRef/>
      </w:r>
      <w:r>
        <w:rPr>
          <w:rtl/>
        </w:rPr>
        <w:t xml:space="preserve"> </w:t>
      </w:r>
      <w:r>
        <w:rPr>
          <w:rFonts w:cs="Arial"/>
          <w:rtl/>
        </w:rPr>
        <w:t>אחרי כן, רש"י.</w:t>
      </w:r>
    </w:p>
  </w:footnote>
  <w:footnote w:id="1460">
    <w:p w14:paraId="0CC97066" w14:textId="77777777" w:rsidR="00FA2119" w:rsidRDefault="00FA2119" w:rsidP="00FA2119">
      <w:pPr>
        <w:pStyle w:val="a5"/>
      </w:pPr>
      <w:r>
        <w:rPr>
          <w:rStyle w:val="a7"/>
        </w:rPr>
        <w:footnoteRef/>
      </w:r>
      <w:r>
        <w:rPr>
          <w:rtl/>
        </w:rPr>
        <w:t xml:space="preserve"> </w:t>
      </w:r>
      <w:r>
        <w:rPr>
          <w:rFonts w:cs="Arial"/>
          <w:rtl/>
        </w:rPr>
        <w:t>לתת הגט והמודעא לא ביטל, רש"י.</w:t>
      </w:r>
    </w:p>
  </w:footnote>
  <w:footnote w:id="1461">
    <w:p w14:paraId="26E9AC9B" w14:textId="77777777" w:rsidR="00FA2119" w:rsidRDefault="00FA2119" w:rsidP="00FA2119">
      <w:pPr>
        <w:pStyle w:val="a5"/>
      </w:pPr>
      <w:r>
        <w:rPr>
          <w:rStyle w:val="a7"/>
        </w:rPr>
        <w:footnoteRef/>
      </w:r>
      <w:r>
        <w:rPr>
          <w:rtl/>
        </w:rPr>
        <w:t xml:space="preserve"> </w:t>
      </w:r>
      <w:r>
        <w:rPr>
          <w:rFonts w:cs="Arial"/>
          <w:rtl/>
        </w:rPr>
        <w:t>קמ"ל רב ששת דלא, וממתניתין יליף טעמא, דא"כ ליתני כופין אותו עד שיתן</w:t>
      </w:r>
      <w:r>
        <w:rPr>
          <w:rtl/>
        </w:rPr>
        <w:t>, רש"י.</w:t>
      </w:r>
    </w:p>
  </w:footnote>
  <w:footnote w:id="1462">
    <w:p w14:paraId="6D8F8EF2" w14:textId="77777777" w:rsidR="00FA2119" w:rsidRDefault="00FA2119" w:rsidP="00FA2119">
      <w:pPr>
        <w:pStyle w:val="a5"/>
        <w:rPr>
          <w:rtl/>
        </w:rPr>
      </w:pPr>
      <w:r>
        <w:rPr>
          <w:rStyle w:val="a7"/>
        </w:rPr>
        <w:footnoteRef/>
      </w:r>
      <w:r>
        <w:rPr>
          <w:rtl/>
        </w:rPr>
        <w:t xml:space="preserve"> </w:t>
      </w:r>
      <w:r>
        <w:rPr>
          <w:rFonts w:cs="Arial"/>
          <w:rtl/>
        </w:rPr>
        <w:t>כן כתב הרמב"ם בפ"ו (ה"כ) שאין המוסר מודעא ולא המבטלה צריכים קנין. וכתב הרב המגיד (ריש הי"ט) פשוט הוא שלא נזכר בהם קנין בכל התלמוד. וכ"כ בעיטור (אות ג גט ד:) בשם גאון וכן כתב רבינו האיי ז"ל, ב"י.</w:t>
      </w:r>
    </w:p>
  </w:footnote>
  <w:footnote w:id="1463">
    <w:p w14:paraId="376BD58C" w14:textId="734F18A2" w:rsidR="00FA2119" w:rsidRDefault="00FA2119" w:rsidP="00FA2119">
      <w:pPr>
        <w:pStyle w:val="a5"/>
        <w:rPr>
          <w:rtl/>
        </w:rPr>
      </w:pPr>
      <w:r>
        <w:rPr>
          <w:rStyle w:val="a7"/>
        </w:rPr>
        <w:footnoteRef/>
      </w:r>
      <w:r>
        <w:rPr>
          <w:rtl/>
        </w:rPr>
        <w:t xml:space="preserve"> </w:t>
      </w:r>
      <w:r w:rsidR="000A0F5A">
        <w:rPr>
          <w:rFonts w:cs="Arial"/>
          <w:rtl/>
        </w:rPr>
        <w:t>וז"ל:</w:t>
      </w:r>
      <w:r>
        <w:rPr>
          <w:rFonts w:cs="Arial"/>
          <w:rtl/>
        </w:rPr>
        <w:t xml:space="preserve"> נקיטינן השתא דבגיטין ומתנתא אע"ג דלא ידעינן באנסיה - כתבינן, וכן נמי אם תלה מודעתו בדבר שאינו אונס אפילו הכי מבטל גיטיה ומתנתיה. ואע"פ שנראה מדברי הרמב"ן ז"ל דכל שתלה מודעתו בדבר שאין בו אונס אין בדבריו כלום מה שכתבנו נראה עיקר, וכך מטין דברי הרמב"ם ז"ל, וכמו שכתבנו. וכן נמי כל היכא דידעינן באונסיה אע"ג דלא מסר מודעא גיטו ומתנתו בטלים.</w:t>
      </w:r>
    </w:p>
  </w:footnote>
  <w:footnote w:id="1464">
    <w:p w14:paraId="3EEC2A9C" w14:textId="77777777" w:rsidR="00FA2119" w:rsidRDefault="00FA2119" w:rsidP="00FA2119">
      <w:pPr>
        <w:pStyle w:val="a5"/>
      </w:pPr>
      <w:r>
        <w:rPr>
          <w:rStyle w:val="a7"/>
        </w:rPr>
        <w:footnoteRef/>
      </w:r>
      <w:r>
        <w:rPr>
          <w:rtl/>
        </w:rPr>
        <w:t xml:space="preserve"> </w:t>
      </w:r>
      <w:r>
        <w:rPr>
          <w:rFonts w:cs="Arial"/>
          <w:rtl/>
        </w:rPr>
        <w:t>וכן כתב ג"כ הה"מ בשם המפרשים בפ"ו מהל' גירושין (שם). וכ"כ רי"ו בח"א (דנתיב כ"ד ר סוף ע"ד) בשם רבינו יונה ז"ל (עליות דרבינו יונה ב"ב מ: ד"ה עלה, ועיי"ש מ. ד"ה אמרי)</w:t>
      </w:r>
      <w:r>
        <w:rPr>
          <w:rtl/>
        </w:rPr>
        <w:t>, ב"י.</w:t>
      </w:r>
    </w:p>
  </w:footnote>
  <w:footnote w:id="1465">
    <w:p w14:paraId="052B78D8" w14:textId="5509D870" w:rsidR="00FA2119" w:rsidRDefault="00FA2119" w:rsidP="00FA2119">
      <w:pPr>
        <w:pStyle w:val="a5"/>
        <w:rPr>
          <w:rtl/>
        </w:rPr>
      </w:pPr>
      <w:r>
        <w:rPr>
          <w:rStyle w:val="a7"/>
        </w:rPr>
        <w:footnoteRef/>
      </w:r>
      <w:r>
        <w:rPr>
          <w:rtl/>
        </w:rPr>
        <w:t xml:space="preserve"> </w:t>
      </w:r>
      <w:r w:rsidR="000A0F5A">
        <w:rPr>
          <w:rFonts w:cs="Arial"/>
          <w:rtl/>
        </w:rPr>
        <w:t>וז"ל:</w:t>
      </w:r>
      <w:r>
        <w:rPr>
          <w:rFonts w:cs="Arial"/>
          <w:rtl/>
        </w:rPr>
        <w:t xml:space="preserve"> הא דאקשינן בהאי שמעתא אי דגיטא ומתנתא גילויי מילתא בעלמא היא, איכא למידק עלה, ובגיטא ומתנתא למה לי מודעא דאונס, והא קיי"ל שאם אמר לשלוחו קודם שיגיע גט לידה גט שנתתי לאשתי בטל הוא בטל כדאמרינן בהשולח (לב.). והר"ש (רשב"ם ב"ב שם. סוד"ה גלוי מילתא) כתב ודוקא מודעא שיש בה אונס אבל בלא אונס אמר גט שאעשה לא יהא גט - אין זה ביטול, דכיון דלא נאנס כלל אנן סהדי דגמר בלבו בשעת מעשה ולא מהני ביה ביטול קודם כתיבה אא"כ ביטלו אחר כתיבה. זה כתב הרב ז"ל ולפי דעתי יפה כיון, שהאומר גט שאני כותב לאשתי בטל הוא, למה יבטל? אם נאמר ביטל סופר ועדים, והרי כשחזר ואמר להם כתובו חזר ועשאן שלוחים, וקיי"ל (גיטין לב:) אתי דיבור ומבטל דיבור, וכל שכן דגבי כתיבה דגט לא בעינן שליחות ממש כדמוכח פ"ק דזבחים (ב:) ופרק המביא תניין (כב:). ואם נאמר ביטל הגט עצמו שיהא כחרס, והלא לאחר כתיבה נמי אינו יכול לבטל גט עצמו שלא יהא מגרש בו לעולם, דאמרינן בהשולח (לב:) נהי דבטליה מתורת שליח, גיטא גופיה מי קא בטליה. ומכל מקום יש להחמיר באומר גט שאכתוב בטל הוא שבא לבטל שליחות סופר ועדים שיהא כאילו כתבוהו שלא במצותו דלא הוי לשמה ופסול, וכשחזר ואמר כתובו מדעתכם משמע עד שיאמר חוזרני בי בביטול ראשון. והר"מ הספרדי ז"ל כתב (רמב"ם פ"ו הי"ט) שאם אמר כל גט שאכתוב מכאן ועד עשרים שנה בטל - הוא בטל. וזו היא מסירת מודעא על הגט, וזה ודאי אפשר, דמסתמא נימא אנוס הוא. אבל אם פירש שאינו אנוס ומבטל, לפי שיטתו כשר כדברי הר"ש ז"ל. עוד יש לחלק ולומר שאם אמר 'בטל הוא' - מבוטל. אבל 'אנוס אני בו', אלמלא שנאמן הוא בכך היה הגט כשר, שהרי לא ביטלו בפיו. ואפילו חשבת ליה גילויי מילתא בעלמא, הא קיי"ל (גיטין ריש לד:) דלאו מילתא היא וכו'. הילכך אין פיסולו של גט אלא בשביל שהוא נאמן באנסו.</w:t>
      </w:r>
    </w:p>
  </w:footnote>
  <w:footnote w:id="1466">
    <w:p w14:paraId="6FC7A599" w14:textId="267D2D8A" w:rsidR="00FA2119" w:rsidRDefault="00FA2119" w:rsidP="00FA2119">
      <w:pPr>
        <w:pStyle w:val="a5"/>
      </w:pPr>
      <w:r>
        <w:rPr>
          <w:rStyle w:val="a7"/>
        </w:rPr>
        <w:footnoteRef/>
      </w:r>
      <w:r>
        <w:rPr>
          <w:rtl/>
        </w:rPr>
        <w:t xml:space="preserve"> </w:t>
      </w:r>
      <w:r>
        <w:rPr>
          <w:rFonts w:cs="Arial"/>
          <w:rtl/>
        </w:rPr>
        <w:t>משמע מכל הפוסקי' דוקא כשמוסר מודעא להדיא</w:t>
      </w:r>
      <w:r w:rsidR="00A217D0">
        <w:rPr>
          <w:rFonts w:cs="Arial" w:hint="cs"/>
          <w:rtl/>
        </w:rPr>
        <w:t>,</w:t>
      </w:r>
      <w:r>
        <w:rPr>
          <w:rFonts w:cs="Arial"/>
          <w:rtl/>
        </w:rPr>
        <w:t xml:space="preserve"> אבל גילוי דעת למסירת מודעא לא מהני</w:t>
      </w:r>
      <w:r w:rsidR="00A217D0">
        <w:rPr>
          <w:rFonts w:cs="Arial" w:hint="cs"/>
          <w:rtl/>
        </w:rPr>
        <w:t>.</w:t>
      </w:r>
      <w:r>
        <w:rPr>
          <w:rFonts w:cs="Arial"/>
          <w:rtl/>
        </w:rPr>
        <w:t xml:space="preserve"> ועיין בב"י בתשובת רשב"ץ שהביא וב"ח, </w:t>
      </w:r>
      <w:r>
        <w:rPr>
          <w:rFonts w:cs="Arial"/>
          <w:b/>
          <w:bCs/>
          <w:rtl/>
        </w:rPr>
        <w:t>ב"ש</w:t>
      </w:r>
      <w:r>
        <w:rPr>
          <w:rFonts w:cs="Arial"/>
          <w:rtl/>
        </w:rPr>
        <w:t xml:space="preserve"> (סק"א). ולכאורה מאי קמ"ל הא מלתא דפשיטא דקיי"ל כאביי בפ' השולח דג"ד בגיטא לאו מלתא היא כמבואר בש"ע לקמן </w:t>
      </w:r>
      <w:r w:rsidR="00A217D0">
        <w:rPr>
          <w:rFonts w:cs="Arial" w:hint="cs"/>
          <w:rtl/>
        </w:rPr>
        <w:t>(</w:t>
      </w:r>
      <w:r>
        <w:rPr>
          <w:rFonts w:cs="Arial"/>
          <w:rtl/>
        </w:rPr>
        <w:t>סי' קמא ס</w:t>
      </w:r>
      <w:r w:rsidR="00792EBE">
        <w:rPr>
          <w:rFonts w:cs="Arial" w:hint="cs"/>
          <w:rtl/>
        </w:rPr>
        <w:t>ע</w:t>
      </w:r>
      <w:r>
        <w:rPr>
          <w:rFonts w:cs="Arial"/>
          <w:rtl/>
        </w:rPr>
        <w:t>' סב</w:t>
      </w:r>
      <w:r w:rsidR="00792EBE">
        <w:rPr>
          <w:rFonts w:cs="Arial" w:hint="cs"/>
          <w:rtl/>
        </w:rPr>
        <w:t>)</w:t>
      </w:r>
      <w:r>
        <w:rPr>
          <w:rFonts w:cs="Arial"/>
          <w:rtl/>
        </w:rPr>
        <w:t>. אמנם נראה דהב"ש כיון בזה לאפוקי מדעת הב"ח כאן שמחלק דדוקא ג"ד לאחר מעשה כתיבת הגט לאו מלתא היא אבל קודם מעשה כתיבת הגט מהני אפילו ג"ד שעושה באונס... ע"ז כתב הב"ש דמכל הפוסקים ל"מ כן</w:t>
      </w:r>
      <w:r w:rsidR="00792EBE">
        <w:rPr>
          <w:rFonts w:cs="Arial" w:hint="cs"/>
          <w:rtl/>
        </w:rPr>
        <w:t>,</w:t>
      </w:r>
      <w:r>
        <w:rPr>
          <w:rFonts w:cs="Arial"/>
          <w:rtl/>
        </w:rPr>
        <w:t xml:space="preserve"> אלא דגם קודם מעשה כתיבת הגט דוקא שמסר מודעא להדיא כו'</w:t>
      </w:r>
      <w:r w:rsidR="00792EBE">
        <w:rPr>
          <w:rFonts w:cs="Arial" w:hint="cs"/>
          <w:rtl/>
        </w:rPr>
        <w:t>,</w:t>
      </w:r>
      <w:r>
        <w:rPr>
          <w:rFonts w:cs="Arial"/>
          <w:rtl/>
        </w:rPr>
        <w:t xml:space="preserve"> ורמז עוד לעיין בת' הרשב"ץ שהביא הב"י והיינו דמשם מוכח ג"כ דלא כהב"ח ע"ש. ועיין בתשו' גאוני בתראי </w:t>
      </w:r>
      <w:r w:rsidR="00792EBE">
        <w:rPr>
          <w:rFonts w:cs="Arial" w:hint="cs"/>
          <w:rtl/>
        </w:rPr>
        <w:t>(</w:t>
      </w:r>
      <w:r>
        <w:rPr>
          <w:rFonts w:cs="Arial"/>
          <w:rtl/>
        </w:rPr>
        <w:t>סי' נב</w:t>
      </w:r>
      <w:r w:rsidR="00792EBE">
        <w:rPr>
          <w:rFonts w:cs="Arial" w:hint="cs"/>
          <w:rtl/>
        </w:rPr>
        <w:t>)</w:t>
      </w:r>
      <w:r>
        <w:rPr>
          <w:rFonts w:cs="Arial"/>
          <w:rtl/>
        </w:rPr>
        <w:t xml:space="preserve"> בתשובה מהגאון בעל הסמ"ע ז"ל אודות הגט שניתן בווינא מבואר ג"כ דלא כהב"ח... ועיין בתשובת מהרי"מ מבריסק סי' ל"ח הביא שם דגם מהרח"ש ז"ל בדיני מודעא כתב כעין דברי הב"ח הנ"ל דהא דג"ד בגיטא לאו מלתא היא דוקא היכא שהג"ד בא לבטל מעשה שכבר עשה אבל היכא דהג"ד בא לבטל מה שעתיד לעשות מלתא היא דאמרינן מה דעשה אח"כ עשה ע"ד הראשונה... ומ"מ סיים מהרי"מ שם שדבר זה אינו מוסכם ע"ש</w:t>
      </w:r>
      <w:r>
        <w:rPr>
          <w:rtl/>
        </w:rPr>
        <w:t xml:space="preserve">, </w:t>
      </w:r>
      <w:r>
        <w:rPr>
          <w:b/>
          <w:bCs/>
          <w:rtl/>
        </w:rPr>
        <w:t>פת"ש</w:t>
      </w:r>
      <w:r>
        <w:rPr>
          <w:rtl/>
        </w:rPr>
        <w:t xml:space="preserve"> (סק"א).</w:t>
      </w:r>
    </w:p>
  </w:footnote>
  <w:footnote w:id="1467">
    <w:p w14:paraId="5928C216" w14:textId="78784D88" w:rsidR="00FA2119" w:rsidRDefault="00FA2119" w:rsidP="00FA2119">
      <w:pPr>
        <w:pStyle w:val="a5"/>
      </w:pPr>
      <w:r>
        <w:rPr>
          <w:rStyle w:val="a7"/>
        </w:rPr>
        <w:footnoteRef/>
      </w:r>
      <w:r>
        <w:rPr>
          <w:rtl/>
        </w:rPr>
        <w:t xml:space="preserve"> </w:t>
      </w:r>
      <w:r>
        <w:rPr>
          <w:rFonts w:cs="Arial"/>
          <w:rtl/>
        </w:rPr>
        <w:t xml:space="preserve">עיין בס' בית מאיר שכ' דמדברי תשו' הרשב"ץ שהובא בב"י ומדברי הריב"ש </w:t>
      </w:r>
      <w:r w:rsidR="00792EBE">
        <w:rPr>
          <w:rFonts w:cs="Arial" w:hint="cs"/>
          <w:rtl/>
        </w:rPr>
        <w:t>(</w:t>
      </w:r>
      <w:r>
        <w:rPr>
          <w:rFonts w:cs="Arial"/>
          <w:rtl/>
        </w:rPr>
        <w:t>סי' קכז</w:t>
      </w:r>
      <w:r w:rsidR="00792EBE">
        <w:rPr>
          <w:rFonts w:cs="Arial" w:hint="cs"/>
          <w:rtl/>
        </w:rPr>
        <w:t>)</w:t>
      </w:r>
      <w:r>
        <w:rPr>
          <w:rFonts w:cs="Arial"/>
          <w:rtl/>
        </w:rPr>
        <w:t xml:space="preserve"> משמעות לשונם שאפילו בלשון ברור למודעא דוקא אם אמר לשני העדים שמעו או אתם עדי. והוא ז"ל פקפק על זה וכ' דצ"ע למעשה</w:t>
      </w:r>
      <w:r>
        <w:rPr>
          <w:rtl/>
        </w:rPr>
        <w:t>, פת"ש (סק"ב).</w:t>
      </w:r>
    </w:p>
  </w:footnote>
  <w:footnote w:id="1468">
    <w:p w14:paraId="0BAAA83A" w14:textId="31C788C3" w:rsidR="00FA2119" w:rsidRDefault="00FA2119" w:rsidP="00FA2119">
      <w:pPr>
        <w:pStyle w:val="a5"/>
        <w:rPr>
          <w:rtl/>
        </w:rPr>
      </w:pPr>
      <w:r>
        <w:rPr>
          <w:rStyle w:val="a7"/>
        </w:rPr>
        <w:footnoteRef/>
      </w:r>
      <w:r>
        <w:rPr>
          <w:rtl/>
        </w:rPr>
        <w:t xml:space="preserve"> </w:t>
      </w:r>
      <w:r>
        <w:rPr>
          <w:rFonts w:cs="Arial"/>
          <w:rtl/>
        </w:rPr>
        <w:t xml:space="preserve">לרמב"ם אפילו אינו אומר דעו שאני אנוס אלא אמר גט שאני כותב לאשתי בטל הוא מהני. ועיין בתשובת ריב"ש </w:t>
      </w:r>
      <w:r w:rsidR="00087745">
        <w:rPr>
          <w:rFonts w:cs="Arial" w:hint="cs"/>
          <w:rtl/>
        </w:rPr>
        <w:t>(</w:t>
      </w:r>
      <w:r>
        <w:rPr>
          <w:rFonts w:cs="Arial"/>
          <w:rtl/>
        </w:rPr>
        <w:t>סי' רלב ו</w:t>
      </w:r>
      <w:r w:rsidR="00087745">
        <w:rPr>
          <w:rFonts w:cs="Arial" w:hint="cs"/>
          <w:rtl/>
        </w:rPr>
        <w:t xml:space="preserve">סי' </w:t>
      </w:r>
      <w:r>
        <w:rPr>
          <w:rFonts w:cs="Arial"/>
          <w:rtl/>
        </w:rPr>
        <w:t>תפב</w:t>
      </w:r>
      <w:r w:rsidR="00087745">
        <w:rPr>
          <w:rFonts w:cs="Arial" w:hint="cs"/>
          <w:rtl/>
        </w:rPr>
        <w:t>)</w:t>
      </w:r>
      <w:r>
        <w:rPr>
          <w:rFonts w:cs="Arial"/>
          <w:rtl/>
        </w:rPr>
        <w:t xml:space="preserve"> והובא בב"י </w:t>
      </w:r>
      <w:r w:rsidR="00087745">
        <w:rPr>
          <w:rFonts w:cs="Arial" w:hint="cs"/>
          <w:rtl/>
        </w:rPr>
        <w:t>(</w:t>
      </w:r>
      <w:r>
        <w:rPr>
          <w:rFonts w:cs="Arial"/>
          <w:rtl/>
        </w:rPr>
        <w:t>ס"ס קמא</w:t>
      </w:r>
      <w:r w:rsidR="00087745">
        <w:rPr>
          <w:rFonts w:cs="Arial" w:hint="cs"/>
          <w:rtl/>
        </w:rPr>
        <w:t>)</w:t>
      </w:r>
      <w:r>
        <w:rPr>
          <w:rFonts w:cs="Arial"/>
          <w:rtl/>
        </w:rPr>
        <w:t xml:space="preserve"> נראה שם לרמב"ם אפילו אם אמר בהדיא שהוא אינו אנוס יכול לבטלו קודם הכתיבה כמו אחר הכתיבה כמ"ש בסימן קמ"א, מ"ה צריך אח"כ לבטל בפירוש מה שאמר. ולכמה פוסקים א"י לבטל קודם הכתיבה. ולרשב"ם </w:t>
      </w:r>
      <w:r w:rsidR="00087745">
        <w:rPr>
          <w:rFonts w:cs="Arial" w:hint="cs"/>
          <w:rtl/>
        </w:rPr>
        <w:t>(</w:t>
      </w:r>
      <w:r>
        <w:rPr>
          <w:rFonts w:cs="Arial"/>
          <w:rtl/>
        </w:rPr>
        <w:t>פ' חזק"ה</w:t>
      </w:r>
      <w:r w:rsidR="00087745">
        <w:rPr>
          <w:rFonts w:cs="Arial" w:hint="cs"/>
          <w:rtl/>
        </w:rPr>
        <w:t>)</w:t>
      </w:r>
      <w:r>
        <w:rPr>
          <w:rFonts w:cs="Arial"/>
          <w:rtl/>
        </w:rPr>
        <w:t xml:space="preserve"> ושאר פוסקי' משמע אפי' אם אמר סתם גט זה בטל הוא - לא הוי מסירת מודעה, כיון שאומר קודם הכתיבה, אז מה שמצוה אח"כ לכתוב מבטל ממילא את דבריו הראשונים, עיין ב"י רס"ז, ב"ש (סק"ב).</w:t>
      </w:r>
    </w:p>
  </w:footnote>
  <w:footnote w:id="1469">
    <w:p w14:paraId="2D047191" w14:textId="77777777" w:rsidR="00FA2119" w:rsidRDefault="00FA2119" w:rsidP="00FA2119">
      <w:pPr>
        <w:pStyle w:val="a5"/>
      </w:pPr>
      <w:r>
        <w:rPr>
          <w:rStyle w:val="a7"/>
        </w:rPr>
        <w:footnoteRef/>
      </w:r>
      <w:r>
        <w:rPr>
          <w:rtl/>
        </w:rPr>
        <w:t xml:space="preserve"> </w:t>
      </w:r>
      <w:r>
        <w:rPr>
          <w:rFonts w:cs="Arial"/>
          <w:rtl/>
        </w:rPr>
        <w:t>והזכירו רבינו בסמוך. וכתב הה"מ- והטעם לפי שאם יבטלנו אפילו אחר אמירת דברים אלו בטל הוא שהכל הולך אחר דבריו האחרונים וזה פשוט... והוא הדין אפילו אם פסל עדים כדברי הרשב"א ואח"כ ביטלו בטל הוא</w:t>
      </w:r>
      <w:r>
        <w:rPr>
          <w:rFonts w:cs="Arial"/>
          <w:sz w:val="16"/>
          <w:szCs w:val="16"/>
          <w:rtl/>
        </w:rPr>
        <w:t xml:space="preserve"> [עכ"ל הה"מ]</w:t>
      </w:r>
      <w:r>
        <w:rPr>
          <w:rFonts w:cs="Arial"/>
          <w:rtl/>
        </w:rPr>
        <w:t>, ב"י.</w:t>
      </w:r>
    </w:p>
  </w:footnote>
  <w:footnote w:id="1470">
    <w:p w14:paraId="2071A3E1" w14:textId="77777777" w:rsidR="008670E0" w:rsidRDefault="008670E0" w:rsidP="008670E0">
      <w:pPr>
        <w:pStyle w:val="a5"/>
      </w:pPr>
      <w:r>
        <w:rPr>
          <w:rStyle w:val="a7"/>
        </w:rPr>
        <w:footnoteRef/>
      </w:r>
      <w:r>
        <w:rPr>
          <w:rtl/>
        </w:rPr>
        <w:t xml:space="preserve"> </w:t>
      </w:r>
      <w:r>
        <w:rPr>
          <w:rFonts w:cs="Arial"/>
          <w:rtl/>
        </w:rPr>
        <w:t xml:space="preserve">ומה שכותבין בשטרות בביטול כל מודעות אע"ג דכתב 'עד עולם' - לא סגי, וצריך למיכתב 'בביטול כל מודעי ומודעי דמודעי עד עולם'. דאי לא, מפרשינן דעד עולם לא קאי אלא אביטול מודעי, אבל לא אמודעי דמודעי, ואי מסר מודעא על ביטול מודעא עדיין לא נתבטלה, </w:t>
      </w:r>
      <w:r>
        <w:rPr>
          <w:rFonts w:cs="Arial"/>
          <w:b/>
          <w:bCs/>
          <w:rtl/>
        </w:rPr>
        <w:t>ר"ן</w:t>
      </w:r>
      <w:r>
        <w:rPr>
          <w:rFonts w:cs="Arial"/>
          <w:rtl/>
        </w:rPr>
        <w:t xml:space="preserve"> (כתובות מא: סוד"ה ת"ר אלו). ויש ללמוד מכאן לגיטין לדעת הרא"ש, אבל לדעת הרמב"ם והרשב"א (לה: ב"י ד"ה כתב אדוני) אע"פ שלא ביטל מודעי דמודעי לית לן בה שכיון שביטל כל הדברים הגורמים לבטל הגט להרמב"ם</w:t>
      </w:r>
      <w:r>
        <w:rPr>
          <w:rFonts w:cs="Arial" w:hint="cs"/>
          <w:rtl/>
        </w:rPr>
        <w:t>,</w:t>
      </w:r>
      <w:r>
        <w:rPr>
          <w:rFonts w:cs="Arial"/>
          <w:rtl/>
        </w:rPr>
        <w:t xml:space="preserve"> או פסל עדים להרשב"א</w:t>
      </w:r>
      <w:r>
        <w:rPr>
          <w:rFonts w:cs="Arial" w:hint="cs"/>
          <w:rtl/>
        </w:rPr>
        <w:t>,</w:t>
      </w:r>
      <w:r>
        <w:rPr>
          <w:rFonts w:cs="Arial"/>
          <w:rtl/>
        </w:rPr>
        <w:t xml:space="preserve"> שוב אינו צריך להזכיר מודעי דמודעי כנ"ל, </w:t>
      </w:r>
      <w:r>
        <w:rPr>
          <w:rFonts w:cs="Arial"/>
          <w:b/>
          <w:bCs/>
          <w:rtl/>
        </w:rPr>
        <w:t>ב"י</w:t>
      </w:r>
      <w:r>
        <w:rPr>
          <w:rFonts w:cs="Arial"/>
          <w:rtl/>
        </w:rPr>
        <w:t>. וע"ע בריב"ש (סי' תפב, וסי' שנח</w:t>
      </w:r>
      <w:r>
        <w:rPr>
          <w:b/>
          <w:bCs/>
          <w:rtl/>
        </w:rPr>
        <w:t>), דרכ"מ</w:t>
      </w:r>
      <w:r>
        <w:rPr>
          <w:rtl/>
        </w:rPr>
        <w:t xml:space="preserve"> (אות ד).</w:t>
      </w:r>
    </w:p>
  </w:footnote>
  <w:footnote w:id="1471">
    <w:p w14:paraId="1E859FDE" w14:textId="77777777" w:rsidR="00FA2119" w:rsidRDefault="00FA2119" w:rsidP="00FA2119">
      <w:pPr>
        <w:pStyle w:val="a5"/>
        <w:rPr>
          <w:rtl/>
        </w:rPr>
      </w:pPr>
      <w:r>
        <w:rPr>
          <w:rStyle w:val="a7"/>
        </w:rPr>
        <w:footnoteRef/>
      </w:r>
      <w:r>
        <w:rPr>
          <w:rtl/>
        </w:rPr>
        <w:t xml:space="preserve"> </w:t>
      </w:r>
      <w:r>
        <w:rPr>
          <w:rFonts w:cs="Arial"/>
          <w:rtl/>
        </w:rPr>
        <w:t xml:space="preserve">ודלא כמו שכתב הרמב"ם ז"ל... ולדבריו לא הבנתי תקנתו, שמא מתחלה מסר מודעא למודעא. ואולי שכך פירוש דבריו, מתחלה כתב אע"פ שבטל המודעא שהגט בטל, היינו שביטל המודעא בסתם אז מודעא דמודעא קיימת, לפיכך אין ביטולו מועיל. אבל כשאמרו לו אמור בפנינו שכל דברים שמסרת שגורמין כשיתקיימו אותן הדברים לבטל זה הגט הרי הן בטלין, ואמר הן - אז ביטל כל מודעי דמודעי ומועיל הביטול, </w:t>
      </w:r>
      <w:r>
        <w:rPr>
          <w:rFonts w:cs="Arial"/>
          <w:b/>
          <w:bCs/>
          <w:rtl/>
        </w:rPr>
        <w:t>רא"ש</w:t>
      </w:r>
      <w:r>
        <w:rPr>
          <w:rFonts w:cs="Arial"/>
          <w:rtl/>
        </w:rPr>
        <w:t xml:space="preserve"> (שם, ועיין דבריו בתשובה בסוף דיני יבמים כלל נב סי' ח). ואנו נוהגין כדברי הרא"ש, וצריך עיון למה הביא רבינו בעל הטור דברי הרא"ש והרמב"ם כאילו היתה מחלוקת ביניהם, דהרי הרא"ש פרק השולח פירש דברי הרמב"ם דסבירא ליה כוותיה. ועיין בדיני מסירת מודעא בחו"מ הלכות מכירה (סי' רה), </w:t>
      </w:r>
      <w:r>
        <w:rPr>
          <w:rFonts w:cs="Arial"/>
          <w:b/>
          <w:bCs/>
          <w:rtl/>
        </w:rPr>
        <w:t>דרכ"מ</w:t>
      </w:r>
      <w:r>
        <w:rPr>
          <w:rFonts w:cs="Arial"/>
          <w:rtl/>
        </w:rPr>
        <w:t xml:space="preserve"> (אות ב).</w:t>
      </w:r>
    </w:p>
  </w:footnote>
  <w:footnote w:id="1472">
    <w:p w14:paraId="106DB7EC" w14:textId="77777777" w:rsidR="00FA2119" w:rsidRDefault="00FA2119" w:rsidP="00FA2119">
      <w:pPr>
        <w:pStyle w:val="a5"/>
        <w:rPr>
          <w:rtl/>
        </w:rPr>
      </w:pPr>
      <w:r>
        <w:rPr>
          <w:rStyle w:val="a7"/>
        </w:rPr>
        <w:footnoteRef/>
      </w:r>
      <w:r>
        <w:rPr>
          <w:rtl/>
        </w:rPr>
        <w:t xml:space="preserve"> </w:t>
      </w:r>
      <w:r>
        <w:rPr>
          <w:rFonts w:cs="Arial"/>
          <w:rtl/>
        </w:rPr>
        <w:t>הרשב"א (שם) כתב דברי הרמב"ם וכתב עליהם- ולי נראה שאם מסירת מודעא על ביטול מודעא מבטלת ביטול מודעא גם כשיאמר לשון זה, מה הועיל, דדילמא אף הוא מסר מודעא אף על ביטול כזה. ואם תאמר כיון שהוא מבטל עכשיו כל מה שיגרום לבטל גט זה אף הוא מבטל כל מודעא שקדמה לו בלב שלם. אף אנו נאמר דאפילו כשיאמר 'הריני מבטל כל מודעא שמסרתי' יועיל, שהרי מבטל עכשיו בלב שלם כל מודעא שמסר. אלא שהראשונים נוחי נפש הסכימו שביטול מודעה תועיל לכל מודעה שקדמה מההיא דערכין. ואני אומר</w:t>
      </w:r>
      <w:r>
        <w:rPr>
          <w:rtl/>
        </w:rPr>
        <w:t>-...</w:t>
      </w:r>
    </w:p>
  </w:footnote>
  <w:footnote w:id="1473">
    <w:p w14:paraId="5C359EB7" w14:textId="77777777" w:rsidR="00FA2119" w:rsidRDefault="00FA2119" w:rsidP="00FA2119">
      <w:pPr>
        <w:pStyle w:val="a5"/>
        <w:rPr>
          <w:rtl/>
        </w:rPr>
      </w:pPr>
      <w:r>
        <w:rPr>
          <w:rStyle w:val="a7"/>
        </w:rPr>
        <w:footnoteRef/>
      </w:r>
      <w:r>
        <w:rPr>
          <w:rtl/>
        </w:rPr>
        <w:t xml:space="preserve"> </w:t>
      </w:r>
      <w:r>
        <w:rPr>
          <w:rFonts w:cs="Arial"/>
          <w:rtl/>
        </w:rPr>
        <w:t xml:space="preserve">ואם תאמר ומה יועיל לענין איסורא אם יעידו עדים, כבר העידו, אני אומר כל שהוא פוסל עדיו אף הוא מבטל כל מודעא לגמרי, וכאותה שאמרו (גיטין עו:) באומר נאמנת עלי לומר שלא באתי באומר נאמנת עלי לומר שלא פייסתי אלמא כל שהוא מאמינה אינו טורח לבוא ולא לפייס. וטעמא דמילתא דכיון שאינו יכול לקלקלה בבית דין אינו מצוי לקלקלה בידי שמים, וכדאיתא בירושלמי (שם פ"א ריש ה"א). והכא נמי כיון שהוא פוסל עדיו ואינו יכול לקלקלה בבית דין אף הוא גומר בלבו ומבטל כל המודעות שקדמו לו שאינו מצוי לקלקלה בידי שמים, כנ"ל, </w:t>
      </w:r>
      <w:r>
        <w:rPr>
          <w:rFonts w:cs="Arial"/>
          <w:b/>
          <w:bCs/>
          <w:rtl/>
        </w:rPr>
        <w:t>רשב"א</w:t>
      </w:r>
      <w:r>
        <w:rPr>
          <w:rFonts w:cs="Arial"/>
          <w:rtl/>
        </w:rPr>
        <w:t xml:space="preserve"> (שם). וכתב </w:t>
      </w:r>
      <w:r>
        <w:rPr>
          <w:rFonts w:cs="Arial"/>
          <w:b/>
          <w:bCs/>
          <w:rtl/>
        </w:rPr>
        <w:t>הרב המגיד</w:t>
      </w:r>
      <w:r>
        <w:rPr>
          <w:rFonts w:cs="Arial"/>
          <w:rtl/>
        </w:rPr>
        <w:t xml:space="preserve"> (פ"ו ה"כ) על דברי הרשב"א- ודע שקושייתו על דברי רבינו אינה מוכרחת ולא מכרעת לפי שאחר דברו האחרון אנו הולכים וכיון שהוא כולל כל מה שקדם, כל מה שאמר נכלל בדבריו האחרונים והכל בטל. גם </w:t>
      </w:r>
      <w:r>
        <w:rPr>
          <w:rFonts w:cs="Arial"/>
          <w:b/>
          <w:bCs/>
          <w:rtl/>
        </w:rPr>
        <w:t>הר"ן</w:t>
      </w:r>
      <w:r>
        <w:rPr>
          <w:rFonts w:cs="Arial"/>
          <w:rtl/>
        </w:rPr>
        <w:t xml:space="preserve"> (גיטין יז. סוף דיבור ראשון) כתב שבמה שהזכיר הרמב"ם נראה שהוא מספיק לכל מודעות שמסר. ומכל מקום כתב </w:t>
      </w:r>
      <w:r>
        <w:rPr>
          <w:rFonts w:cs="Arial"/>
          <w:b/>
          <w:bCs/>
          <w:rtl/>
        </w:rPr>
        <w:t>הרב המגיד</w:t>
      </w:r>
      <w:r>
        <w:rPr>
          <w:rFonts w:cs="Arial"/>
          <w:rtl/>
        </w:rPr>
        <w:t xml:space="preserve"> נהגו בארצותינו לפסול עדים כמו שכתב הרשב"א... </w:t>
      </w:r>
      <w:r>
        <w:rPr>
          <w:rFonts w:cs="Arial"/>
          <w:b/>
          <w:bCs/>
          <w:rtl/>
        </w:rPr>
        <w:t>והריב"ש</w:t>
      </w:r>
      <w:r>
        <w:rPr>
          <w:rFonts w:cs="Arial"/>
          <w:rtl/>
        </w:rPr>
        <w:t xml:space="preserve"> (בתשובה בסי' תפב) כתב על דברי הרמב"ם שהם אמת ונכון. ואח"כ כתב דברי הרשב"א, </w:t>
      </w:r>
      <w:r>
        <w:rPr>
          <w:rFonts w:cs="Arial"/>
          <w:b/>
          <w:bCs/>
          <w:rtl/>
        </w:rPr>
        <w:t>ב"י</w:t>
      </w:r>
      <w:r>
        <w:rPr>
          <w:rFonts w:cs="Arial"/>
          <w:rtl/>
        </w:rPr>
        <w:t>.</w:t>
      </w:r>
    </w:p>
  </w:footnote>
  <w:footnote w:id="1474">
    <w:p w14:paraId="1016C559" w14:textId="77777777" w:rsidR="00FA2119" w:rsidRDefault="00FA2119" w:rsidP="00FA2119">
      <w:pPr>
        <w:pStyle w:val="a5"/>
        <w:rPr>
          <w:rtl/>
        </w:rPr>
      </w:pPr>
      <w:r>
        <w:rPr>
          <w:rStyle w:val="a7"/>
        </w:rPr>
        <w:footnoteRef/>
      </w:r>
      <w:r>
        <w:rPr>
          <w:rtl/>
        </w:rPr>
        <w:t xml:space="preserve"> </w:t>
      </w:r>
      <w:r>
        <w:rPr>
          <w:rFonts w:cs="Arial"/>
          <w:rtl/>
        </w:rPr>
        <w:t>וזה לשון תיקון הגט להרשב"א (שכתוב בסוף גיטין להר"ן נא.)-...</w:t>
      </w:r>
    </w:p>
  </w:footnote>
  <w:footnote w:id="1475">
    <w:p w14:paraId="549DAC44" w14:textId="0C03E024" w:rsidR="00FA2119" w:rsidRDefault="00FA2119" w:rsidP="00FA2119">
      <w:pPr>
        <w:pStyle w:val="a5"/>
      </w:pPr>
      <w:r>
        <w:rPr>
          <w:rStyle w:val="a7"/>
        </w:rPr>
        <w:footnoteRef/>
      </w:r>
      <w:r>
        <w:rPr>
          <w:rtl/>
        </w:rPr>
        <w:t xml:space="preserve"> </w:t>
      </w:r>
      <w:r>
        <w:rPr>
          <w:rFonts w:cs="Arial"/>
          <w:rtl/>
        </w:rPr>
        <w:t xml:space="preserve">והר"ן בתשובה (סי' מג) חולק על הרשב"א בזה וסובר שאי אפשר לפסול את העדים של המודעה </w:t>
      </w:r>
      <w:r>
        <w:rPr>
          <w:rFonts w:cs="Arial"/>
          <w:sz w:val="16"/>
          <w:szCs w:val="16"/>
          <w:rtl/>
        </w:rPr>
        <w:t>(</w:t>
      </w:r>
      <w:r w:rsidR="000A0F5A">
        <w:rPr>
          <w:rFonts w:cs="Arial"/>
          <w:sz w:val="16"/>
          <w:szCs w:val="16"/>
          <w:rtl/>
        </w:rPr>
        <w:t>וז"ל:</w:t>
      </w:r>
      <w:r>
        <w:rPr>
          <w:rFonts w:cs="Arial"/>
          <w:sz w:val="16"/>
          <w:szCs w:val="16"/>
          <w:rtl/>
        </w:rPr>
        <w:t xml:space="preserve"> וראייתו</w:t>
      </w:r>
      <w:r>
        <w:rPr>
          <w:rFonts w:cs="Arial"/>
          <w:sz w:val="14"/>
          <w:szCs w:val="14"/>
          <w:rtl/>
        </w:rPr>
        <w:t xml:space="preserve"> {של הרשב"א}</w:t>
      </w:r>
      <w:r>
        <w:rPr>
          <w:rFonts w:cs="Arial"/>
          <w:sz w:val="16"/>
          <w:szCs w:val="16"/>
          <w:rtl/>
        </w:rPr>
        <w:t xml:space="preserve"> מדתנן בפרק מי שאחזו (עו.) הרי זה גיטך כל זמן שאעבור מכנגד פניך שלשים יום. ואקשינן (שם:) ליחוש שמא פייס. ומתרץ באומר נאמנת עלי שלא פייסתי. וזו הראיה אפשר למי שגורס בה 'כל זמן', אבל למי שגורס בה 'על מנת' והיא גירסת הגאונים (עיין רמב"ן שם ד"ה וליחוש) יש לדון הרבה אחר ראיה זו וכו'. וידעתי שלא הודו לו כל סיעתו ואף חכמי הדור שלפנינו לא סמכו עליו עכ"ל)</w:t>
      </w:r>
      <w:r>
        <w:rPr>
          <w:rFonts w:cs="Arial"/>
          <w:rtl/>
        </w:rPr>
        <w:t xml:space="preserve">. אמנם בוודאי הר"ן מסכים לדברי הרמב"ם שתיקן לומר ביטול מודעות כנ"ל </w:t>
      </w:r>
      <w:r>
        <w:rPr>
          <w:rFonts w:cs="Arial"/>
          <w:sz w:val="16"/>
          <w:szCs w:val="16"/>
          <w:rtl/>
        </w:rPr>
        <w:t>(רק שבתשו' מיירי לעניין בעל שעשה שליח לגט, ובזה לא שייכים דברי הרמב"ם, אלא רק דברי הרשב"א יוכלו לגרום שלא יוכל לבטל, ולגבי זה לא הסכים עם דברי הרשב"א שם)</w:t>
      </w:r>
      <w:r>
        <w:rPr>
          <w:rFonts w:cs="Arial"/>
          <w:rtl/>
        </w:rPr>
        <w:t>.</w:t>
      </w:r>
      <w:r>
        <w:rPr>
          <w:rtl/>
        </w:rPr>
        <w:t xml:space="preserve"> ולא רק זה אלא בסוף מסכת גיטין (בפירושו על הרי"ף) העתיק את דברי הרשב"א הנ"ל. וכנראה עשה כן מהיות טוב.</w:t>
      </w:r>
    </w:p>
  </w:footnote>
  <w:footnote w:id="1476">
    <w:p w14:paraId="3FE68ABD" w14:textId="77777777" w:rsidR="00FA2119" w:rsidRDefault="00FA2119" w:rsidP="00FA2119">
      <w:pPr>
        <w:pStyle w:val="a5"/>
        <w:rPr>
          <w:rtl/>
        </w:rPr>
      </w:pPr>
      <w:r>
        <w:rPr>
          <w:rStyle w:val="a7"/>
        </w:rPr>
        <w:footnoteRef/>
      </w:r>
      <w:r>
        <w:rPr>
          <w:rtl/>
        </w:rPr>
        <w:t xml:space="preserve"> </w:t>
      </w:r>
      <w:r>
        <w:rPr>
          <w:rFonts w:cs="Arial"/>
          <w:rtl/>
        </w:rPr>
        <w:t>הריב"ש כתב על דברי הרמב"ם שהם אמת ונכון. ואח"כ כתב דברי הרשב"א. ואח"כ כתב-...</w:t>
      </w:r>
    </w:p>
  </w:footnote>
  <w:footnote w:id="1477">
    <w:p w14:paraId="0A654CEE" w14:textId="4B28FC19" w:rsidR="00FA2119" w:rsidRDefault="00FA2119" w:rsidP="00FA2119">
      <w:pPr>
        <w:pStyle w:val="a5"/>
      </w:pPr>
      <w:r>
        <w:rPr>
          <w:rStyle w:val="a7"/>
        </w:rPr>
        <w:footnoteRef/>
      </w:r>
      <w:r>
        <w:rPr>
          <w:rtl/>
        </w:rPr>
        <w:t xml:space="preserve"> </w:t>
      </w:r>
      <w:r>
        <w:rPr>
          <w:rFonts w:cs="Arial"/>
          <w:rtl/>
        </w:rPr>
        <w:t xml:space="preserve">לכאורה נראה מדברי הר"ן הללו שהוא חולק על הרשב"א רק לגבי מכר. שהרי הר"ן הביא בסוף גיטין את דברי סדר תיקון הגט לרשב"א </w:t>
      </w:r>
      <w:r>
        <w:rPr>
          <w:rFonts w:cs="Arial"/>
          <w:sz w:val="16"/>
          <w:szCs w:val="16"/>
          <w:rtl/>
        </w:rPr>
        <w:t xml:space="preserve">(שכתוב בו את דברי הרשב"א הנ"ל לגבי גיטין) </w:t>
      </w:r>
      <w:r>
        <w:rPr>
          <w:rFonts w:cs="Arial"/>
          <w:rtl/>
        </w:rPr>
        <w:t xml:space="preserve">ללא כל הערה או סיוג, א"כ נראה שכך ס"ל למעשה לגבי גיטין. ועוד שהרי כתב הר"ן שהרמב"ם </w:t>
      </w:r>
      <w:r>
        <w:rPr>
          <w:rFonts w:cs="Arial"/>
          <w:sz w:val="16"/>
          <w:szCs w:val="16"/>
          <w:rtl/>
        </w:rPr>
        <w:t xml:space="preserve">(הל' מכירה פ"י ה"ח) </w:t>
      </w:r>
      <w:r>
        <w:rPr>
          <w:rFonts w:cs="Arial"/>
          <w:rtl/>
        </w:rPr>
        <w:t xml:space="preserve">מסכים לדבריו </w:t>
      </w:r>
      <w:r>
        <w:rPr>
          <w:rFonts w:cs="Arial"/>
          <w:sz w:val="16"/>
          <w:szCs w:val="16"/>
          <w:rtl/>
        </w:rPr>
        <w:t>(היינו לדברי הר"ן)</w:t>
      </w:r>
      <w:r>
        <w:rPr>
          <w:rFonts w:cs="Arial"/>
          <w:rtl/>
        </w:rPr>
        <w:t xml:space="preserve">, ואעפ"כ כתב הרמב"ם בהל' גיטין שהמודעה יכולה לבטל את המודעת הכוללת שאמר בתחילה </w:t>
      </w:r>
      <w:r>
        <w:rPr>
          <w:rFonts w:cs="Arial"/>
          <w:sz w:val="16"/>
          <w:szCs w:val="16"/>
          <w:rtl/>
        </w:rPr>
        <w:t>(ודברי הרשב"א הם כהרמב"ם רק שהחמיר להצריך את הבעל לומר שעדי המודעה הראשונים פסולים)</w:t>
      </w:r>
      <w:r>
        <w:rPr>
          <w:rFonts w:cs="Arial"/>
          <w:rtl/>
        </w:rPr>
        <w:t xml:space="preserve">. אם כן נראה שיש לחלק בהדיא בין מכר לגיטין, והטעם מפני עיגונא. ואין לומר שמהר"ן בתשובה (סי' מג) נראה דחולק על הרשב"א גם לעניין גיטין </w:t>
      </w:r>
      <w:r>
        <w:rPr>
          <w:rFonts w:cs="Arial"/>
          <w:sz w:val="16"/>
          <w:szCs w:val="16"/>
          <w:rtl/>
        </w:rPr>
        <w:t>(דהרי בתשו' שם מיירי לעניין גט)</w:t>
      </w:r>
      <w:r>
        <w:rPr>
          <w:rFonts w:cs="Arial"/>
          <w:rtl/>
        </w:rPr>
        <w:t xml:space="preserve">, דשם הר"ן מדבר על ביטול שליחות, דבזה יכול לבטל גם אם הודיע לפנ"כ שלא יוכל לבטל, אבל במידה והבעל לא עושה שליח אלא נותן את הגט ולפנ"כ אומר את ביטול המודעת כמו שתיקנו הרמב"ם והרשב"א ומיד נותן את הגט </w:t>
      </w:r>
      <w:r w:rsidR="00A42812">
        <w:rPr>
          <w:rFonts w:cs="Arial"/>
          <w:rtl/>
        </w:rPr>
        <w:t>-</w:t>
      </w:r>
      <w:r>
        <w:rPr>
          <w:rFonts w:cs="Arial"/>
          <w:rtl/>
        </w:rPr>
        <w:t xml:space="preserve"> בוודאי דמועיל. ועיין שם שכתב כן בפירוש </w:t>
      </w:r>
      <w:r>
        <w:rPr>
          <w:rFonts w:cs="Arial"/>
          <w:sz w:val="16"/>
          <w:szCs w:val="16"/>
          <w:rtl/>
        </w:rPr>
        <w:t>(</w:t>
      </w:r>
      <w:r w:rsidR="000A0F5A">
        <w:rPr>
          <w:rFonts w:cs="Arial"/>
          <w:sz w:val="16"/>
          <w:szCs w:val="16"/>
          <w:rtl/>
        </w:rPr>
        <w:t>וז"ל:</w:t>
      </w:r>
      <w:r>
        <w:rPr>
          <w:rFonts w:cs="Arial"/>
          <w:sz w:val="16"/>
          <w:szCs w:val="16"/>
          <w:rtl/>
        </w:rPr>
        <w:t xml:space="preserve"> וכיון שאנו סומכין על הבטול האחרון לבטל כל המודעות...)</w:t>
      </w:r>
      <w:r>
        <w:rPr>
          <w:rFonts w:cs="Arial"/>
          <w:rtl/>
        </w:rPr>
        <w:t>.</w:t>
      </w:r>
      <w:r>
        <w:rPr>
          <w:rtl/>
        </w:rPr>
        <w:t xml:space="preserve"> וכן נראה שהבין הב"ש (סק"ג), שהרי מנה את דעת הר"ן בכלל דעתם של הרמב"ם והרשב"א.</w:t>
      </w:r>
    </w:p>
  </w:footnote>
  <w:footnote w:id="1478">
    <w:p w14:paraId="2645ED64" w14:textId="77777777" w:rsidR="008C3148" w:rsidRDefault="008C3148" w:rsidP="008C3148">
      <w:pPr>
        <w:pStyle w:val="a5"/>
        <w:rPr>
          <w:rtl/>
        </w:rPr>
      </w:pPr>
      <w:r>
        <w:rPr>
          <w:rStyle w:val="a7"/>
        </w:rPr>
        <w:footnoteRef/>
      </w:r>
      <w:r>
        <w:rPr>
          <w:rtl/>
        </w:rPr>
        <w:t xml:space="preserve"> </w:t>
      </w:r>
      <w:r>
        <w:rPr>
          <w:rFonts w:cs="Arial"/>
          <w:rtl/>
        </w:rPr>
        <w:t>ודברי תימה הם היאך עלה על דעתו לומר 'וכן הדין בגט ומתנה' דהא תליוה ויהיב או גירש לאו כלום הוא (רשב"ם ב"ב מז: ד"ה זביניה זביני ותוס' שם מח. ד"ה אילימא), ב"י.</w:t>
      </w:r>
    </w:p>
  </w:footnote>
  <w:footnote w:id="1479">
    <w:p w14:paraId="500CFFAB" w14:textId="77777777" w:rsidR="00FA2119" w:rsidRDefault="00FA2119" w:rsidP="00FA2119">
      <w:pPr>
        <w:pStyle w:val="a5"/>
        <w:rPr>
          <w:rtl/>
        </w:rPr>
      </w:pPr>
      <w:r>
        <w:rPr>
          <w:rStyle w:val="a7"/>
        </w:rPr>
        <w:footnoteRef/>
      </w:r>
      <w:r>
        <w:rPr>
          <w:rtl/>
        </w:rPr>
        <w:t xml:space="preserve"> </w:t>
      </w:r>
      <w:r>
        <w:rPr>
          <w:rFonts w:cs="Arial"/>
          <w:rtl/>
        </w:rPr>
        <w:t>עיין בתשו' הרדב"ז (ח"א סי' קנז) לענין אם לא אמר לשון זה רק אמר שמבטל מודעות ואח"כ הביא עדים שמסר מודעא גם על ביטול המודעות והאשה כבר נשאת לשני ויש לה בנים ומסיק שם דאין אשה זו יוצאת מתחת בעלה ובניה כשרים, פת"ש (סק"ד).</w:t>
      </w:r>
    </w:p>
  </w:footnote>
  <w:footnote w:id="1480">
    <w:p w14:paraId="1DB92FD8" w14:textId="3FB16EE9" w:rsidR="00FA2119" w:rsidRDefault="00FA2119" w:rsidP="00FA2119">
      <w:pPr>
        <w:pStyle w:val="a5"/>
      </w:pPr>
      <w:r>
        <w:rPr>
          <w:rStyle w:val="a7"/>
        </w:rPr>
        <w:footnoteRef/>
      </w:r>
      <w:r>
        <w:rPr>
          <w:rtl/>
        </w:rPr>
        <w:t xml:space="preserve"> </w:t>
      </w:r>
      <w:r>
        <w:rPr>
          <w:rFonts w:cs="Arial"/>
          <w:rtl/>
        </w:rPr>
        <w:t xml:space="preserve">מפני קלקול הדור ומפני הרמאין וכן ראוי לעשות ואף מדברי הגאון נראה שהיו נוהגין כן, </w:t>
      </w:r>
      <w:r>
        <w:rPr>
          <w:rFonts w:cs="Arial"/>
          <w:b/>
          <w:bCs/>
          <w:rtl/>
        </w:rPr>
        <w:t>הה"מ</w:t>
      </w:r>
      <w:r>
        <w:rPr>
          <w:rFonts w:cs="Arial"/>
          <w:rtl/>
        </w:rPr>
        <w:t xml:space="preserve"> (שם). ומצאתי כתוב (מהר"י מינץ סדר הגט סי' עז) בשם מהרי"ל (ספר מהרי"ל הל' גיטין סט ב) פעם אחת שכח לבטל המודעא ואמר אח</w:t>
      </w:r>
      <w:r w:rsidR="00884191">
        <w:rPr>
          <w:rFonts w:cs="Arial" w:hint="cs"/>
          <w:rtl/>
        </w:rPr>
        <w:t>"</w:t>
      </w:r>
      <w:r>
        <w:rPr>
          <w:rFonts w:cs="Arial"/>
          <w:rtl/>
        </w:rPr>
        <w:t>כ</w:t>
      </w:r>
      <w:r w:rsidR="00884191">
        <w:rPr>
          <w:rFonts w:cs="Arial" w:hint="cs"/>
          <w:rtl/>
        </w:rPr>
        <w:t>:</w:t>
      </w:r>
      <w:r>
        <w:rPr>
          <w:rFonts w:cs="Arial"/>
          <w:rtl/>
        </w:rPr>
        <w:t xml:space="preserve"> מה בכך ידעתי שזה הגט ניתן ברצון, </w:t>
      </w:r>
      <w:r>
        <w:rPr>
          <w:rFonts w:cs="Arial"/>
          <w:b/>
          <w:bCs/>
          <w:rtl/>
        </w:rPr>
        <w:t>דרכ"מ</w:t>
      </w:r>
      <w:r>
        <w:rPr>
          <w:rFonts w:cs="Arial"/>
          <w:rtl/>
        </w:rPr>
        <w:t xml:space="preserve"> (אות ג).</w:t>
      </w:r>
    </w:p>
  </w:footnote>
  <w:footnote w:id="1481">
    <w:p w14:paraId="646D3A72" w14:textId="77777777" w:rsidR="00FA2119" w:rsidRDefault="00FA2119" w:rsidP="00FA2119">
      <w:pPr>
        <w:pStyle w:val="a5"/>
        <w:rPr>
          <w:rtl/>
        </w:rPr>
      </w:pPr>
      <w:r>
        <w:rPr>
          <w:rStyle w:val="a7"/>
        </w:rPr>
        <w:footnoteRef/>
      </w:r>
      <w:r>
        <w:rPr>
          <w:rtl/>
        </w:rPr>
        <w:t xml:space="preserve"> </w:t>
      </w:r>
      <w:r>
        <w:rPr>
          <w:rFonts w:cs="Arial"/>
          <w:rtl/>
        </w:rPr>
        <w:t>ודבריו מבוארים דלהרמב"ם משום הכי קאמר שלא יניחוהו לילך עד שיגיע הגט לידה כדי שלא יצא ויבטלנו, כלומר ואם יבטלנו שוב לא יוכל לגרש בו אפילו אם יבטל המודעות, דאיכא למיחש שמא ביטל גוף הגט ושוב אינו כשר לגרש בו. ומטעם זה לא הזכיר הרמב"ם ביטול מודעות בשעת נתינה</w:t>
      </w:r>
      <w:r>
        <w:rPr>
          <w:rFonts w:cs="Arial"/>
          <w:sz w:val="16"/>
          <w:szCs w:val="16"/>
          <w:rtl/>
        </w:rPr>
        <w:t xml:space="preserve"> {מהחשש שמא ביטלו לאחר כתיבה קודם נתינה, שגם אם חזר בו ורוצה ליתנו כבר אינו יכול, אלא עדיף שיעשה ביטול מודעי בשעת הכתיבה ולא יתנו לו העדים לצאת}</w:t>
      </w:r>
      <w:r>
        <w:rPr>
          <w:rFonts w:cs="Arial"/>
          <w:rtl/>
        </w:rPr>
        <w:t>. ובתיקון הגט להרשב"א שבסוף גיטין להר"ן (נא.) כתוב כדברי הרמב"ם, ב"י.</w:t>
      </w:r>
    </w:p>
  </w:footnote>
  <w:footnote w:id="1482">
    <w:p w14:paraId="4D682478" w14:textId="77777777" w:rsidR="00FA2119" w:rsidRDefault="00FA2119" w:rsidP="00FA2119">
      <w:pPr>
        <w:pStyle w:val="a5"/>
        <w:rPr>
          <w:rtl/>
        </w:rPr>
      </w:pPr>
      <w:r>
        <w:rPr>
          <w:rStyle w:val="a7"/>
        </w:rPr>
        <w:footnoteRef/>
      </w:r>
      <w:r>
        <w:rPr>
          <w:rtl/>
        </w:rPr>
        <w:t xml:space="preserve"> </w:t>
      </w:r>
      <w:r>
        <w:rPr>
          <w:rFonts w:cs="Arial"/>
          <w:rtl/>
        </w:rPr>
        <w:t>ומכל מקום נראה דיותר עיקר הוא מביטול דשעת כתיבה</w:t>
      </w:r>
      <w:r>
        <w:rPr>
          <w:rtl/>
        </w:rPr>
        <w:t>, ספר התרומה (שם).</w:t>
      </w:r>
    </w:p>
  </w:footnote>
  <w:footnote w:id="1483">
    <w:p w14:paraId="2F4BEF81" w14:textId="77777777" w:rsidR="00FA2119" w:rsidRDefault="00FA2119" w:rsidP="00FA2119">
      <w:pPr>
        <w:pStyle w:val="a5"/>
        <w:rPr>
          <w:rtl/>
        </w:rPr>
      </w:pPr>
      <w:r>
        <w:rPr>
          <w:rStyle w:val="a7"/>
        </w:rPr>
        <w:footnoteRef/>
      </w:r>
      <w:r>
        <w:rPr>
          <w:rtl/>
        </w:rPr>
        <w:t xml:space="preserve"> </w:t>
      </w:r>
      <w:r>
        <w:rPr>
          <w:rFonts w:cs="Arial"/>
          <w:rtl/>
        </w:rPr>
        <w:t xml:space="preserve">וכן כתוב בקונדריסין </w:t>
      </w:r>
      <w:r>
        <w:rPr>
          <w:rFonts w:cs="Arial"/>
          <w:sz w:val="16"/>
          <w:szCs w:val="16"/>
          <w:rtl/>
        </w:rPr>
        <w:t>(סי' יב סעיף יג)</w:t>
      </w:r>
      <w:r>
        <w:rPr>
          <w:rFonts w:cs="Arial"/>
          <w:rtl/>
        </w:rPr>
        <w:t xml:space="preserve"> שהוא הנהיג לבטל מודעות קודם כתיבה וקודם נתינה. ונראה לי דאפילו לדבריהם כל שמבטל מודעא קודם כתיבה ולא יצא מלפנינו עד שיגיע לידה - אינו צריך לחזור ולבטל בשעת נתינה. ואפשר דאפילו בלא יצא מצרכי ביטול נמי בשעת נתינה גזירה אטו היכא דיצא. והראשון נראה יותר, </w:t>
      </w:r>
      <w:r>
        <w:rPr>
          <w:rFonts w:cs="Arial"/>
          <w:b/>
          <w:bCs/>
          <w:rtl/>
        </w:rPr>
        <w:t>ב"י</w:t>
      </w:r>
      <w:r>
        <w:rPr>
          <w:rFonts w:cs="Arial"/>
          <w:rtl/>
        </w:rPr>
        <w:t xml:space="preserve">. אך </w:t>
      </w:r>
      <w:r>
        <w:rPr>
          <w:rFonts w:cs="Arial"/>
          <w:b/>
          <w:bCs/>
          <w:rtl/>
        </w:rPr>
        <w:t>הדרכ"מ</w:t>
      </w:r>
      <w:r>
        <w:rPr>
          <w:rFonts w:cs="Arial"/>
          <w:rtl/>
        </w:rPr>
        <w:t xml:space="preserve"> (אות ה) כתב דלכתחלה עבדינן תרווייהו אע"ג שאין מניחין אותו לילך כדברי הרמב"ם.</w:t>
      </w:r>
      <w:r>
        <w:rPr>
          <w:color w:val="00B0F0"/>
          <w:rtl/>
        </w:rPr>
        <w:t xml:space="preserve"> (וכ"פ בהג"ה)</w:t>
      </w:r>
    </w:p>
  </w:footnote>
  <w:footnote w:id="1484">
    <w:p w14:paraId="0F2FEE86" w14:textId="77777777" w:rsidR="00FA2119" w:rsidRDefault="00FA2119" w:rsidP="00FA2119">
      <w:pPr>
        <w:pStyle w:val="a5"/>
      </w:pPr>
      <w:r>
        <w:rPr>
          <w:rStyle w:val="a7"/>
        </w:rPr>
        <w:footnoteRef/>
      </w:r>
      <w:r>
        <w:rPr>
          <w:rtl/>
        </w:rPr>
        <w:t xml:space="preserve"> </w:t>
      </w:r>
      <w:r>
        <w:rPr>
          <w:rFonts w:cs="Arial"/>
          <w:rtl/>
        </w:rPr>
        <w:t xml:space="preserve">ואיני יודע מה תועלת יש בשבועה זו, כיון דאפילו יתברר שמסר מודעא - כשיבטל עכשיו סגי! מיהו לדעת הרמב"ם אם יצא בין כתיבה לנתינה שייך להשביעו שלא ביטל גוף הגט, דאם איתא שביטלו אינו יכול לגרש בו וצריך להכתיב גט אחר, </w:t>
      </w:r>
      <w:r>
        <w:rPr>
          <w:rFonts w:cs="Arial"/>
          <w:b/>
          <w:bCs/>
          <w:rtl/>
        </w:rPr>
        <w:t>ב"י</w:t>
      </w:r>
      <w:r>
        <w:rPr>
          <w:rFonts w:cs="Arial"/>
          <w:rtl/>
        </w:rPr>
        <w:t xml:space="preserve">. ואין נוהגין בשבועה זו, חדא דלא שבקינן לצאת בין כתיבה לנתינה. ואף אם יצא אפשר דלא חיישינן, כדעת ספר התרומה שכתבתי (בד"מ הארוך ד"ה ולא יניחנו לילך) דסבירא ליה דלא יוכל לבטל הגט שלא בפני העדים והסופר, </w:t>
      </w:r>
      <w:r>
        <w:rPr>
          <w:rFonts w:cs="Arial"/>
          <w:b/>
          <w:bCs/>
          <w:rtl/>
        </w:rPr>
        <w:t>דרכ"מ</w:t>
      </w:r>
      <w:r>
        <w:rPr>
          <w:rFonts w:cs="Arial"/>
          <w:rtl/>
        </w:rPr>
        <w:t xml:space="preserve"> (אות ו).</w:t>
      </w:r>
    </w:p>
  </w:footnote>
  <w:footnote w:id="1485">
    <w:p w14:paraId="3CDE492C" w14:textId="77777777" w:rsidR="00FA2119" w:rsidRDefault="00FA2119" w:rsidP="00FA2119">
      <w:pPr>
        <w:pStyle w:val="a5"/>
      </w:pPr>
      <w:r>
        <w:rPr>
          <w:rStyle w:val="a7"/>
        </w:rPr>
        <w:footnoteRef/>
      </w:r>
      <w:r>
        <w:rPr>
          <w:rtl/>
        </w:rPr>
        <w:t xml:space="preserve"> </w:t>
      </w:r>
      <w:r>
        <w:rPr>
          <w:rFonts w:cs="Arial"/>
          <w:rtl/>
        </w:rPr>
        <w:t>עיין ס"ס קמ"א מבואר דקי"ל כדיעה זו, דכן הוא דעת הרמב"ם והסמ"ג והתרומה. אלא לענין ביטול מודעא מחמירים לבטל עוד קודם הנתינה. ועיין בספר התרומה ובסמ"ג שאינו יכול לבטל שלא בפני הסופר ועדים שצוה להם לכתוב הגט</w:t>
      </w:r>
      <w:r>
        <w:rPr>
          <w:rtl/>
        </w:rPr>
        <w:t>, ב"ש (סק"ה).</w:t>
      </w:r>
    </w:p>
  </w:footnote>
  <w:footnote w:id="1486">
    <w:p w14:paraId="6BFF3F3E" w14:textId="72A4CE1B" w:rsidR="002D3716" w:rsidRDefault="002D3716">
      <w:pPr>
        <w:pStyle w:val="a5"/>
        <w:rPr>
          <w:rtl/>
        </w:rPr>
      </w:pPr>
      <w:r>
        <w:rPr>
          <w:rStyle w:val="a7"/>
        </w:rPr>
        <w:footnoteRef/>
      </w:r>
      <w:r>
        <w:rPr>
          <w:rtl/>
        </w:rPr>
        <w:t xml:space="preserve"> </w:t>
      </w:r>
      <w:r>
        <w:rPr>
          <w:rFonts w:cs="Arial" w:hint="cs"/>
          <w:rtl/>
        </w:rPr>
        <w:t>ו</w:t>
      </w:r>
      <w:r>
        <w:rPr>
          <w:rFonts w:cs="Arial"/>
          <w:rtl/>
        </w:rPr>
        <w:t xml:space="preserve">כתב </w:t>
      </w:r>
      <w:r>
        <w:rPr>
          <w:rFonts w:cs="Arial" w:hint="cs"/>
          <w:rtl/>
        </w:rPr>
        <w:t>ה</w:t>
      </w:r>
      <w:r>
        <w:rPr>
          <w:rFonts w:cs="Arial"/>
          <w:rtl/>
        </w:rPr>
        <w:t>ב"י (בסוס"י קנד) בשם הריטב"א (בשו"ת סי' צו) דמי שנשבע לגרש אשתו וגרשה מתוך השבועה אינו יכול לערער אח"כ ולומר שהיה אנוס דמאחר שעשה השבועה מעצמו זהו לא מקרי אונס אע</w:t>
      </w:r>
      <w:r>
        <w:rPr>
          <w:rFonts w:cs="Arial" w:hint="cs"/>
          <w:rtl/>
        </w:rPr>
        <w:t>"</w:t>
      </w:r>
      <w:r>
        <w:rPr>
          <w:rFonts w:cs="Arial"/>
          <w:rtl/>
        </w:rPr>
        <w:t>ג דכתב ה"ר פרץ דיש להתיר לו השבועה היינו לכתחלה לחומרא בעלמא</w:t>
      </w:r>
      <w:r>
        <w:rPr>
          <w:rFonts w:cs="Arial" w:hint="cs"/>
          <w:rtl/>
        </w:rPr>
        <w:t>,</w:t>
      </w:r>
      <w:r>
        <w:rPr>
          <w:rFonts w:cs="Arial"/>
          <w:rtl/>
        </w:rPr>
        <w:t xml:space="preserve"> אבל מדינא אינו צריך</w:t>
      </w:r>
      <w:r>
        <w:rPr>
          <w:rFonts w:cs="Arial" w:hint="cs"/>
          <w:rtl/>
        </w:rPr>
        <w:t>.</w:t>
      </w:r>
      <w:r>
        <w:rPr>
          <w:rFonts w:cs="Arial"/>
          <w:rtl/>
        </w:rPr>
        <w:t xml:space="preserve"> וכן עשה מהר"ר לוי בן חביב מעשה</w:t>
      </w:r>
      <w:r>
        <w:rPr>
          <w:rFonts w:cs="Arial" w:hint="cs"/>
          <w:rtl/>
        </w:rPr>
        <w:t>.</w:t>
      </w:r>
      <w:r>
        <w:rPr>
          <w:rFonts w:cs="Arial"/>
          <w:rtl/>
        </w:rPr>
        <w:t xml:space="preserve"> וכן משמע בשמעתין פרק השולח דתנן המוציא אשתו משום נדר כו'. ועיין לעיל (סוף) סימן י' באבן העזר</w:t>
      </w:r>
      <w:r>
        <w:rPr>
          <w:rFonts w:cs="Arial" w:hint="cs"/>
          <w:rtl/>
        </w:rPr>
        <w:t xml:space="preserve">, </w:t>
      </w:r>
      <w:r>
        <w:rPr>
          <w:rFonts w:cs="Arial"/>
          <w:rtl/>
        </w:rPr>
        <w:t xml:space="preserve">דרכ"מ </w:t>
      </w:r>
      <w:r>
        <w:rPr>
          <w:rFonts w:cs="Arial" w:hint="cs"/>
          <w:rtl/>
        </w:rPr>
        <w:t>(</w:t>
      </w:r>
      <w:r>
        <w:rPr>
          <w:rFonts w:cs="Arial"/>
          <w:rtl/>
        </w:rPr>
        <w:t>אות ח*)</w:t>
      </w:r>
      <w:r>
        <w:rPr>
          <w:rFonts w:cs="Arial" w:hint="cs"/>
          <w:rtl/>
        </w:rPr>
        <w:t>.</w:t>
      </w:r>
    </w:p>
  </w:footnote>
  <w:footnote w:id="1487">
    <w:p w14:paraId="36A9E331" w14:textId="77777777" w:rsidR="00FA2119" w:rsidRDefault="00FA2119" w:rsidP="00FA2119">
      <w:pPr>
        <w:pStyle w:val="a5"/>
        <w:rPr>
          <w:rtl/>
        </w:rPr>
      </w:pPr>
      <w:r>
        <w:rPr>
          <w:rStyle w:val="a7"/>
        </w:rPr>
        <w:footnoteRef/>
      </w:r>
      <w:r>
        <w:rPr>
          <w:rtl/>
        </w:rPr>
        <w:t xml:space="preserve"> </w:t>
      </w:r>
      <w:r>
        <w:rPr>
          <w:rFonts w:cs="Arial"/>
          <w:rtl/>
        </w:rPr>
        <w:t>ולכן כתב בסדר גיטין (סימן נז ס"ו, וסימן מג ס"א) דיש לשאול למגרש קודם הכתיבה אם נשבע או נדר לגרש שיתירו לו נדרו, דרכ"מ (אות ח).</w:t>
      </w:r>
    </w:p>
  </w:footnote>
  <w:footnote w:id="1488">
    <w:p w14:paraId="26DDC031" w14:textId="77777777" w:rsidR="00FA2119" w:rsidRDefault="00FA2119" w:rsidP="00FA2119">
      <w:pPr>
        <w:pStyle w:val="a5"/>
        <w:rPr>
          <w:rtl/>
        </w:rPr>
      </w:pPr>
      <w:r>
        <w:rPr>
          <w:rStyle w:val="a7"/>
        </w:rPr>
        <w:footnoteRef/>
      </w:r>
      <w:r>
        <w:rPr>
          <w:rtl/>
        </w:rPr>
        <w:t xml:space="preserve"> </w:t>
      </w:r>
      <w:r>
        <w:rPr>
          <w:rFonts w:cs="Arial"/>
          <w:rtl/>
        </w:rPr>
        <w:t>ולא דמי לאונס שהרי זה כשנשבע לגרש דעתו הוא לגרש בגט כשר, דבנדרים הלך אחר לשון בני אדם, דבודאי אם גרש באחד משלשה גטין פסולין לא יצא ידי שבועתו, דלגרש גרושין גמורים נתכוון ללשון בני אדם, וכיון שכן יגרש בלא היתר וגטו גט כשר הוא ממה נפשך, שאם זה הוא אונס א"כ כשנשבע לגרש נשבע על דבר שאין בידו שהרי אין בידו לגרש שיהא גט כשר מפני טענה זה שהנשבע לגרש וגרש הוי גטו גט מעושה, וא"כ אין זו שבועת בטוי שחייבין על זדונה מכות ועל שגגתה קרבן עולה ויורד אלא שבועת שוא שחייבין על זדונה מכות ועל שגגתה פטור, ודומה לאומר שבועה שלא אישן ג' ימים שלוקה ויישן לאלתר כדאיתא בפ"ג דשבועות (כ"ה ע"א), הכא נמי לוקה על שבועת שוא ויגרש אם ירצה וגטו גט שאין זה האונס, שכיון שאין זה שבועת ביטוי אינו חייב לקיימה. ואם אין זה אונס יגרש וחייב לקיים שבועתו שהרי שבועת בטוי להבא הוא. ויותר פשוט מזה שכיון שבידו להשאל על שבועתו ולא נשאל הרי הוא מגרש ברצונו. ואני אומר שהנשבע לגרש - אומרים לו לגרש לקיים שבועתו, משום מצות עשה דככל היוצא מפיו יעשה. ואם אמר איני מגרש - כופין אותו כדין כל מבטל מצות עשה כדאי' בפ' הכותב (פו.), ולא הוי גט מעושה שהרי מצוה עליו לגרש כדמוכח בפ' חזקת (מז:) דאמרי' התם אמר רבי הונא תלויה וזבן זביני, מ"ט אילימא וכו' אלא מסיפא וכן אתה אומר בגטי נשים כופין אותו עד שיאמר רוצה אני. ודילמא התם נמי סבר מצוה לשמוע דברי חכמים, וכיון דמצוה לשמוע דברי חכמים אינו אונס ולא הוי גט מעושה, כ"ש אי מצוה דאו' רמיא עליה דכייפינן ליה ולא מקרי גט מעושה</w:t>
      </w:r>
      <w:r>
        <w:rPr>
          <w:rtl/>
        </w:rPr>
        <w:t>, תשב"ץ (שם).</w:t>
      </w:r>
    </w:p>
  </w:footnote>
  <w:footnote w:id="1489">
    <w:p w14:paraId="2422D099" w14:textId="534F2D7F" w:rsidR="00FA2119" w:rsidRDefault="00FA2119" w:rsidP="00FA2119">
      <w:pPr>
        <w:pStyle w:val="a5"/>
      </w:pPr>
      <w:r>
        <w:rPr>
          <w:rStyle w:val="a7"/>
        </w:rPr>
        <w:footnoteRef/>
      </w:r>
      <w:r>
        <w:rPr>
          <w:rtl/>
        </w:rPr>
        <w:t xml:space="preserve"> </w:t>
      </w:r>
      <w:r>
        <w:rPr>
          <w:rFonts w:cs="Arial"/>
          <w:rtl/>
        </w:rPr>
        <w:t xml:space="preserve">ואלו דברי ה"ר מיימון נג'אר שכתב לתשב"ץ </w:t>
      </w:r>
      <w:r>
        <w:rPr>
          <w:rFonts w:cs="Arial"/>
          <w:sz w:val="16"/>
          <w:szCs w:val="16"/>
          <w:rtl/>
        </w:rPr>
        <w:t>(הביאם הב"י בשם ה"ר מיימון נואר, ודבריו של ה"ר מיימון לא מובאים בתשב"ץ, אך ממה שחלק התשב"ץ על ראיות ה"ר מיימון אתה למד מה היו ראיותיו. ומ"מ למסקנה מסכים התשב"ץ למסקנת ה"ר מיימון. וראיותיו של ה"ר מיימון הביא הב"י בשמו וזו לשונו)</w:t>
      </w:r>
      <w:r>
        <w:rPr>
          <w:rFonts w:cs="Arial"/>
          <w:rtl/>
        </w:rPr>
        <w:t xml:space="preserve">- לא אמרינן גט מעושה אלא בשכפוהו שלא מדעתו בדבר שאינו רוצה לעשות וכפוהו עד שעשה או הפחידוהו להפסידו אם לא יגרש. אבל בנדון זה שהוא חייב עצמו במה שהוא רוצה לעשות אין זו כפייה שכל זמן שהוא מגרש ברצונו מגרש ואע"פ שאין בידו להחזירה אם לא יפסיד לא הוה ליה אונס שזה רצונו היה מתחלה לגרש וברצונו הוא מגרש והקנס שעשה ברצונו עשאו לחזק עצמו לגרש ולא הוה ליה אונס. וגבי מוציא אשתו משום שם רע אמרינן (גיטין מו:) באומר יאסרו כל פירות העולם עלי אם איני מגרשך, היעלה על הדעת כשגירשה שנאמר שהיה אנוס בעבור הקונם? אין לנו לומר כן כיון שברצונו נדר. כל שכן בנדון זה שכל זמן שאינו מגרש לא נתחייב בקנס לא יחזירנה, ואם יגרש לא יפרע ואמרינן בפרק מי שאחזו (עד.) על מנת שתתני לי מאתים זוז הרי זו מגורשת ותתן ופסקו המפרשים </w:t>
      </w:r>
      <w:r>
        <w:rPr>
          <w:rFonts w:cs="Arial"/>
          <w:sz w:val="16"/>
          <w:szCs w:val="16"/>
          <w:rtl/>
        </w:rPr>
        <w:t>(עיין לקמן סי' קמג סא.)</w:t>
      </w:r>
      <w:r>
        <w:rPr>
          <w:rFonts w:cs="Arial"/>
          <w:rtl/>
        </w:rPr>
        <w:t xml:space="preserve"> אפילו לקח המעות בעל כרחו אין זה אנוס שכבר נתרצה בזה כל שכן בנדון זה. ומה שכתבו רבותינו הצרפתים </w:t>
      </w:r>
      <w:r>
        <w:rPr>
          <w:rFonts w:cs="Arial"/>
          <w:sz w:val="16"/>
          <w:szCs w:val="16"/>
          <w:rtl/>
        </w:rPr>
        <w:t xml:space="preserve">(סדר הגט לר"פ </w:t>
      </w:r>
      <w:r w:rsidR="009334FF">
        <w:rPr>
          <w:rFonts w:cs="Arial"/>
          <w:sz w:val="16"/>
          <w:szCs w:val="16"/>
          <w:rtl/>
        </w:rPr>
        <w:t>בהג"ה</w:t>
      </w:r>
      <w:r>
        <w:rPr>
          <w:rFonts w:cs="Arial"/>
          <w:sz w:val="16"/>
          <w:szCs w:val="16"/>
          <w:rtl/>
        </w:rPr>
        <w:t>ת סמ"ק סי' קפד עמ' קנ, והו"ד בסדר הגט בטור סוס"י קנד)</w:t>
      </w:r>
      <w:r>
        <w:rPr>
          <w:rFonts w:cs="Arial"/>
          <w:rtl/>
        </w:rPr>
        <w:t xml:space="preserve"> שאם נשבע ליתן גט צריך שיתירו לו קודם שלא יהיה דומה לאונס, סבירא להו דמתניתין דקונם כיון שתלה נדרו בדבר אחר שאמר כל פירות העולם וכו' אין בזה אונס כלל כשגירש, אבל בנשבע לגרש דומה לאנוס שתלה הגט בשבועתו. ובנדון זה נמי תלה גיטו בדבר אחר ואין כאן אונס. ועוד אמרינן בפ"ק דכתובות (ב:) דאין אונס בגיטין, משמע דכל שיתחייב ברצונו אין כאן אונס</w:t>
      </w:r>
      <w:r>
        <w:rPr>
          <w:rtl/>
        </w:rPr>
        <w:t>.</w:t>
      </w:r>
    </w:p>
  </w:footnote>
  <w:footnote w:id="1490">
    <w:p w14:paraId="66A94B48" w14:textId="77777777" w:rsidR="00FA2119" w:rsidRDefault="00FA2119" w:rsidP="00FA2119">
      <w:pPr>
        <w:pStyle w:val="a5"/>
        <w:rPr>
          <w:rtl/>
        </w:rPr>
      </w:pPr>
      <w:r>
        <w:rPr>
          <w:rStyle w:val="a7"/>
        </w:rPr>
        <w:footnoteRef/>
      </w:r>
      <w:r>
        <w:rPr>
          <w:rtl/>
        </w:rPr>
        <w:t xml:space="preserve"> </w:t>
      </w:r>
      <w:r>
        <w:rPr>
          <w:rFonts w:cs="Arial"/>
          <w:rtl/>
        </w:rPr>
        <w:t>וכן משמע בפסקי מהרא"י (תרוה"ד ח"ב) סימן קע"ג דאם קיבל קנין לגרש אשתו הוי אונס, אבל אם שעבד עצמו בקנס לגרש חייב בקנס. אבל אם עשה הכל בקנין אחד הכל בטל, הואיל ואין הקנין חל לענין גירושין אינו חל גם כן לענין קנס עכ"ל. ועיין שם. וכך כתב מהרי"ק (שורש סג) כדברי ה"ר מיימון דכל ששעבד עצמו בקנס לא מיקרי אונס הואיל ועשה מרצון נפשו. וכן הוא בתשובת הריטב"א שאכתוב בסמוך (אות ח*)</w:t>
      </w:r>
      <w:r>
        <w:rPr>
          <w:rFonts w:cs="Arial"/>
          <w:sz w:val="16"/>
          <w:szCs w:val="16"/>
          <w:rtl/>
        </w:rPr>
        <w:t xml:space="preserve"> </w:t>
      </w:r>
      <w:r>
        <w:rPr>
          <w:rFonts w:cs="Arial"/>
          <w:color w:val="00B0F0"/>
          <w:sz w:val="16"/>
          <w:szCs w:val="16"/>
          <w:rtl/>
        </w:rPr>
        <w:t>(וכ"פ הרמ"א בדיעבד)</w:t>
      </w:r>
      <w:r>
        <w:rPr>
          <w:rFonts w:cs="Arial"/>
          <w:rtl/>
        </w:rPr>
        <w:t>. אבל ב"י כתב בשם הרשב"א בתשובה שמי ששעבד עצמו בקנס לגרש וידעינן ביה שאינו מגרש ברצונו אלא שמתיירא מפני הקנס הוי גט באונס ופסול אע"פ שלא מסר מודעא, דרכ"מ (אות ז).</w:t>
      </w:r>
      <w:r>
        <w:rPr>
          <w:rtl/>
        </w:rPr>
        <w:t xml:space="preserve"> </w:t>
      </w:r>
    </w:p>
  </w:footnote>
  <w:footnote w:id="1491">
    <w:p w14:paraId="07B9F0DC" w14:textId="77777777" w:rsidR="00FA2119" w:rsidRDefault="00FA2119" w:rsidP="00FA2119">
      <w:pPr>
        <w:pStyle w:val="a5"/>
      </w:pPr>
      <w:r>
        <w:rPr>
          <w:rStyle w:val="a7"/>
        </w:rPr>
        <w:footnoteRef/>
      </w:r>
      <w:r>
        <w:rPr>
          <w:rtl/>
        </w:rPr>
        <w:t xml:space="preserve"> </w:t>
      </w:r>
      <w:r>
        <w:rPr>
          <w:rFonts w:cs="Arial"/>
          <w:rtl/>
        </w:rPr>
        <w:t>ועיין בתשובת הריטב"א (סי' צו) שאכתוב בסוף סימן קנ"ד (עו: ד"ה כתב הריטב"א). עיין ברי"ו (נכ"ד ח"א ר ע"ד רא.)</w:t>
      </w:r>
      <w:r>
        <w:rPr>
          <w:rtl/>
        </w:rPr>
        <w:t>, ב"י.</w:t>
      </w:r>
    </w:p>
  </w:footnote>
  <w:footnote w:id="1492">
    <w:p w14:paraId="0359EA63" w14:textId="77777777" w:rsidR="00FA2119" w:rsidRDefault="00FA2119" w:rsidP="00FA2119">
      <w:pPr>
        <w:pStyle w:val="a5"/>
        <w:rPr>
          <w:rtl/>
        </w:rPr>
      </w:pPr>
      <w:r>
        <w:rPr>
          <w:rStyle w:val="a7"/>
        </w:rPr>
        <w:footnoteRef/>
      </w:r>
      <w:r>
        <w:rPr>
          <w:rtl/>
        </w:rPr>
        <w:t xml:space="preserve"> </w:t>
      </w:r>
      <w:r>
        <w:rPr>
          <w:rFonts w:cs="Arial"/>
          <w:rtl/>
        </w:rPr>
        <w:t>תמיהני עליו האיך יעלה על הדעת שממון יהא חמור מחיי בנו, ב"י.</w:t>
      </w:r>
      <w:r>
        <w:rPr>
          <w:rtl/>
        </w:rPr>
        <w:t xml:space="preserve"> </w:t>
      </w:r>
    </w:p>
  </w:footnote>
  <w:footnote w:id="1493">
    <w:p w14:paraId="2B818FDD" w14:textId="27EE9334" w:rsidR="00FA2119" w:rsidRDefault="00FA2119" w:rsidP="00FA2119">
      <w:pPr>
        <w:pStyle w:val="a5"/>
      </w:pPr>
      <w:r>
        <w:rPr>
          <w:rStyle w:val="a7"/>
        </w:rPr>
        <w:footnoteRef/>
      </w:r>
      <w:r>
        <w:rPr>
          <w:rtl/>
        </w:rPr>
        <w:t xml:space="preserve"> </w:t>
      </w:r>
      <w:r>
        <w:rPr>
          <w:rFonts w:cs="Arial"/>
          <w:rtl/>
        </w:rPr>
        <w:t>ומה שכתב שאונס האב אינו אונס לגבי הבן עיין בזה בתשובה ו</w:t>
      </w:r>
      <w:r w:rsidR="009334FF">
        <w:rPr>
          <w:rFonts w:cs="Arial"/>
          <w:rtl/>
        </w:rPr>
        <w:t>בהגה</w:t>
      </w:r>
      <w:r>
        <w:rPr>
          <w:rFonts w:cs="Arial"/>
          <w:rtl/>
        </w:rPr>
        <w:t>ות מרדכי דגיטין (סי' תסז), דרכ"מ (אות ט).</w:t>
      </w:r>
    </w:p>
  </w:footnote>
  <w:footnote w:id="1494">
    <w:p w14:paraId="2478D818" w14:textId="77777777" w:rsidR="00FA2119" w:rsidRDefault="00FA2119" w:rsidP="00FA2119">
      <w:pPr>
        <w:pStyle w:val="a5"/>
        <w:rPr>
          <w:rtl/>
        </w:rPr>
      </w:pPr>
      <w:r>
        <w:rPr>
          <w:rStyle w:val="a7"/>
        </w:rPr>
        <w:footnoteRef/>
      </w:r>
      <w:r>
        <w:rPr>
          <w:rFonts w:cs="Arial"/>
          <w:rtl/>
        </w:rPr>
        <w:t xml:space="preserve"> וכן הוא לקמן סוף סימן קנ"ד, דרכ"מ (אות ח*).</w:t>
      </w:r>
    </w:p>
  </w:footnote>
  <w:footnote w:id="1495">
    <w:p w14:paraId="615EB8C5" w14:textId="77777777" w:rsidR="00FA2119" w:rsidRDefault="00FA2119" w:rsidP="00FA2119">
      <w:pPr>
        <w:pStyle w:val="a5"/>
      </w:pPr>
      <w:r>
        <w:rPr>
          <w:rStyle w:val="a7"/>
        </w:rPr>
        <w:footnoteRef/>
      </w:r>
      <w:r>
        <w:rPr>
          <w:rtl/>
        </w:rPr>
        <w:t xml:space="preserve"> </w:t>
      </w:r>
      <w:r>
        <w:rPr>
          <w:rFonts w:hint="cs"/>
          <w:rtl/>
        </w:rPr>
        <w:t xml:space="preserve">דצריך שיתירו לו, היינו שימחלו לו הקניין קודם שיגרש, כמו בשבועה </w:t>
      </w:r>
      <w:r>
        <w:rPr>
          <w:sz w:val="16"/>
          <w:szCs w:val="16"/>
          <w:rtl/>
        </w:rPr>
        <w:t>(כן משמע מהדרכ"מ [אות ז], שחוזר על דברי השו"ע גבי השבועה, ולא לגבי הערבות)</w:t>
      </w:r>
      <w:r>
        <w:rPr>
          <w:rtl/>
        </w:rPr>
        <w:t>.</w:t>
      </w:r>
    </w:p>
  </w:footnote>
  <w:footnote w:id="1496">
    <w:p w14:paraId="451AA37E" w14:textId="04FE68DF" w:rsidR="003B7972" w:rsidRDefault="003B7972">
      <w:pPr>
        <w:pStyle w:val="a5"/>
      </w:pPr>
      <w:r>
        <w:rPr>
          <w:rStyle w:val="a7"/>
        </w:rPr>
        <w:footnoteRef/>
      </w:r>
      <w:r>
        <w:rPr>
          <w:rtl/>
        </w:rPr>
        <w:t xml:space="preserve"> </w:t>
      </w:r>
      <w:r>
        <w:rPr>
          <w:rFonts w:hint="cs"/>
          <w:rtl/>
        </w:rPr>
        <w:t>סימן - חוטף פיצוצים</w:t>
      </w:r>
      <w:r w:rsidR="00C24F65">
        <w:rPr>
          <w:rFonts w:hint="cs"/>
          <w:rtl/>
        </w:rPr>
        <w:t>.</w:t>
      </w:r>
    </w:p>
  </w:footnote>
  <w:footnote w:id="1497">
    <w:p w14:paraId="09E33FBA" w14:textId="77777777" w:rsidR="00FA2119" w:rsidRDefault="00FA2119" w:rsidP="00FA2119">
      <w:pPr>
        <w:pStyle w:val="a5"/>
      </w:pPr>
      <w:r>
        <w:rPr>
          <w:rStyle w:val="a7"/>
        </w:rPr>
        <w:footnoteRef/>
      </w:r>
      <w:r>
        <w:rPr>
          <w:rtl/>
        </w:rPr>
        <w:t xml:space="preserve"> </w:t>
      </w:r>
      <w:r>
        <w:rPr>
          <w:rFonts w:cs="Arial"/>
          <w:rtl/>
        </w:rPr>
        <w:t>בחזקה</w:t>
      </w:r>
      <w:r>
        <w:rPr>
          <w:rtl/>
        </w:rPr>
        <w:t>, רש"י.</w:t>
      </w:r>
    </w:p>
  </w:footnote>
  <w:footnote w:id="1498">
    <w:p w14:paraId="6E107418" w14:textId="77777777" w:rsidR="00FA2119" w:rsidRDefault="00FA2119" w:rsidP="00FA2119">
      <w:pPr>
        <w:pStyle w:val="a5"/>
        <w:rPr>
          <w:rtl/>
        </w:rPr>
      </w:pPr>
      <w:r>
        <w:rPr>
          <w:rStyle w:val="a7"/>
        </w:rPr>
        <w:footnoteRef/>
      </w:r>
      <w:r>
        <w:rPr>
          <w:rtl/>
        </w:rPr>
        <w:t xml:space="preserve"> </w:t>
      </w:r>
      <w:r>
        <w:rPr>
          <w:rFonts w:cs="Arial"/>
          <w:rtl/>
        </w:rPr>
        <w:t>כגון הנך דאמרינן בהו יוציא ויתן כתובה או שהיתה אסורה לו</w:t>
      </w:r>
      <w:r>
        <w:rPr>
          <w:rtl/>
        </w:rPr>
        <w:t>, רש"י.</w:t>
      </w:r>
    </w:p>
  </w:footnote>
  <w:footnote w:id="1499">
    <w:p w14:paraId="0842BF66" w14:textId="77777777" w:rsidR="00FA2119" w:rsidRDefault="00FA2119" w:rsidP="00FA2119">
      <w:pPr>
        <w:pStyle w:val="a5"/>
        <w:rPr>
          <w:rtl/>
        </w:rPr>
      </w:pPr>
      <w:r>
        <w:rPr>
          <w:rStyle w:val="a7"/>
        </w:rPr>
        <w:footnoteRef/>
      </w:r>
      <w:r>
        <w:rPr>
          <w:rtl/>
        </w:rPr>
        <w:t xml:space="preserve"> </w:t>
      </w:r>
      <w:r>
        <w:rPr>
          <w:rFonts w:cs="Arial"/>
          <w:rtl/>
        </w:rPr>
        <w:t>דעובדי כוכבים. עובדי כוכבים שעישוהו להוציא ובדין תורה אע"ג דלאו גיטא הוא גזור ביה רבנן לפסול בכהונה, משום דמיחלף בכדין דישראל ואתי למימר ישראל נמי שעישוהו כדין לא פסיל, וההוא גיטא מעליא הוא</w:t>
      </w:r>
      <w:r>
        <w:rPr>
          <w:rtl/>
        </w:rPr>
        <w:t>, רש"י.</w:t>
      </w:r>
    </w:p>
  </w:footnote>
  <w:footnote w:id="1500">
    <w:p w14:paraId="03B55724" w14:textId="77777777" w:rsidR="00FA2119" w:rsidRDefault="00FA2119" w:rsidP="00FA2119">
      <w:pPr>
        <w:pStyle w:val="a5"/>
        <w:rPr>
          <w:rtl/>
        </w:rPr>
      </w:pPr>
      <w:r>
        <w:rPr>
          <w:rStyle w:val="a7"/>
        </w:rPr>
        <w:footnoteRef/>
      </w:r>
      <w:r>
        <w:rPr>
          <w:rtl/>
        </w:rPr>
        <w:t xml:space="preserve"> </w:t>
      </w:r>
      <w:r>
        <w:rPr>
          <w:rFonts w:cs="Arial"/>
          <w:rtl/>
        </w:rPr>
        <w:t>דעובדי כוכבים, בכדין דישראל - לא מיחלף. ואי אמרת מיחלף בשלא כדין דישראל, ואתי למימר שלא כדין דישראל נמי לא פסיל ואמרן לעיל דפסיל, היא גופה גזירה היא אטו כדין, וגזירה לגזירה לא גזרינן</w:t>
      </w:r>
      <w:r>
        <w:rPr>
          <w:rtl/>
        </w:rPr>
        <w:t>, רש"י.</w:t>
      </w:r>
    </w:p>
  </w:footnote>
  <w:footnote w:id="1501">
    <w:p w14:paraId="5EDCC490" w14:textId="77777777" w:rsidR="00FA2119" w:rsidRDefault="00FA2119" w:rsidP="00FA2119">
      <w:pPr>
        <w:pStyle w:val="a5"/>
        <w:rPr>
          <w:rtl/>
        </w:rPr>
      </w:pPr>
      <w:r>
        <w:rPr>
          <w:rStyle w:val="a7"/>
        </w:rPr>
        <w:footnoteRef/>
      </w:r>
      <w:r>
        <w:rPr>
          <w:rtl/>
        </w:rPr>
        <w:t xml:space="preserve"> </w:t>
      </w:r>
      <w:r>
        <w:rPr>
          <w:rFonts w:cs="Arial"/>
          <w:rtl/>
        </w:rPr>
        <w:t>שאין מומחין אלא סמוכין דמיקרו אלקים דיינין, ואין סמיכה בחו"ל כדאמרי' בפ"ק דסנהדרין (יד.)</w:t>
      </w:r>
      <w:r>
        <w:rPr>
          <w:rtl/>
        </w:rPr>
        <w:t>, רש"י.</w:t>
      </w:r>
    </w:p>
  </w:footnote>
  <w:footnote w:id="1502">
    <w:p w14:paraId="566DA2E6" w14:textId="77777777" w:rsidR="00FA2119" w:rsidRDefault="00FA2119" w:rsidP="00FA2119">
      <w:pPr>
        <w:pStyle w:val="a5"/>
        <w:rPr>
          <w:rtl/>
        </w:rPr>
      </w:pPr>
      <w:r>
        <w:rPr>
          <w:rStyle w:val="a7"/>
        </w:rPr>
        <w:footnoteRef/>
      </w:r>
      <w:r>
        <w:rPr>
          <w:rtl/>
        </w:rPr>
        <w:t xml:space="preserve"> </w:t>
      </w:r>
      <w:r>
        <w:rPr>
          <w:rFonts w:cs="Arial"/>
          <w:rtl/>
        </w:rPr>
        <w:t>וכתב הר"ן (גיטין מט: ד"ה אנן) ואפילו בזמן שאין מומחין בארץ ישראל מסתמא שליחותא דקמאי עבדינן, ב"י. וכ"כ הטור.</w:t>
      </w:r>
    </w:p>
  </w:footnote>
  <w:footnote w:id="1503">
    <w:p w14:paraId="470F428C" w14:textId="77777777" w:rsidR="00FA2119" w:rsidRDefault="00FA2119" w:rsidP="00FA2119">
      <w:pPr>
        <w:pStyle w:val="a5"/>
      </w:pPr>
      <w:r>
        <w:rPr>
          <w:rStyle w:val="a7"/>
        </w:rPr>
        <w:footnoteRef/>
      </w:r>
      <w:r>
        <w:rPr>
          <w:rtl/>
        </w:rPr>
        <w:t xml:space="preserve"> </w:t>
      </w:r>
      <w:r>
        <w:rPr>
          <w:rFonts w:cs="Arial"/>
          <w:rtl/>
        </w:rPr>
        <w:t xml:space="preserve">לשון רבינו שכתב 'והא דאינו גט כשהוא אנוס' - אינו מיושב, דמשמע דקאי אמאי דקאמר לעיל שאם מסר מודעא ואמר דעו שאני אנוס אינו גט, ואהא קאמר דהיינו כשאנסוהו שלא כדין, אבל אנסוהו כדין הוי גט אע"פ שלא ביטל המודעא - והא ליתא, דאפילו אנסוהו כדין צריך שיבטל המודעא בפירוש, כדתנן בערכין (כא.) בגיטי נשים כופין אותו עד שיאמר רוצה אני. והיינו ודאי באותן שכופין כדין. ומפרש רב ששת (שם:) דעד שיאמר רוצה אני היינו שיבטל המודעא בפירוש. אלמא דאפילו אנסוהו כדין כל שלא ביטל מודעתו בפירוש אינו גט. לכן יש לפרש דברי רבינו דלפי שהזכיר לעיל שאם 'אמר גט זה שאני נותן דעו שאני אנוס בו ולכן אני אומר בפניכם שיהא בטל הרי זה בטל', דמשמע שאם נאנס עליו אינו גט, כתב דהיינו דוקא באנסוהו שלא כדין ואפילו אמר רוצה אני, אבל אנסוהו כדין עד שיאמר רוצה אני, ואם מסר מודעא אנסוהו עד שביטל - הוי גט. אחר כן מצאתי </w:t>
      </w:r>
      <w:r>
        <w:rPr>
          <w:rFonts w:cs="Arial"/>
          <w:b/>
          <w:bCs/>
          <w:rtl/>
        </w:rPr>
        <w:t>להר"ש בר צמח</w:t>
      </w:r>
      <w:r>
        <w:rPr>
          <w:rFonts w:cs="Arial"/>
          <w:rtl/>
        </w:rPr>
        <w:t xml:space="preserve"> שכתב בתשובה (תשבץ ח"א סי' א) שלשון זה שכתב רבינו הוא מסודר שלא על נכון דמשמע מדבריו שכל מה שכתב למעלה היינו בלא ביטול לא הוי גט ובביטול הוי גט איירי במי שאנסוהו שלא כדין וליתא שאם אנסוהו שלא כדין אפילו ביטל מתוך האונס לא הוי גט כשר, דהוי גט מעושה בישראל שלא כדין. ועוד דמשמע מדבריו דכדין אפילו לא ביטל הוי גט, וזה טעות גם כן, דכדין בעינן דמבטל למודעיה אע"ג דארצי. והכי הוה ליה למיכתב: הני מילי כי מסר מודעא אבל בדלא מסר מודעא אם אנסוהו שלא כדין פסול, וכדין כשר, ומצוה לכופו וכו'. סוף דבר סידור עניינים אלו בזה המקום אינו נכון כלל וטעות סופרים הוא ואין ללמוד ממנו עכ"ל, </w:t>
      </w:r>
      <w:r>
        <w:rPr>
          <w:rFonts w:cs="Arial"/>
          <w:b/>
          <w:bCs/>
          <w:rtl/>
        </w:rPr>
        <w:t>ב"י</w:t>
      </w:r>
      <w:r>
        <w:rPr>
          <w:rFonts w:cs="Arial"/>
          <w:rtl/>
        </w:rPr>
        <w:t>.</w:t>
      </w:r>
    </w:p>
  </w:footnote>
  <w:footnote w:id="1504">
    <w:p w14:paraId="7B349670" w14:textId="66B7C175" w:rsidR="00221B14" w:rsidRDefault="00221B14">
      <w:pPr>
        <w:pStyle w:val="a5"/>
        <w:rPr>
          <w:rtl/>
        </w:rPr>
      </w:pPr>
      <w:r>
        <w:rPr>
          <w:rStyle w:val="a7"/>
        </w:rPr>
        <w:footnoteRef/>
      </w:r>
      <w:r>
        <w:rPr>
          <w:rtl/>
        </w:rPr>
        <w:t xml:space="preserve"> </w:t>
      </w:r>
      <w:r>
        <w:rPr>
          <w:rFonts w:hint="cs"/>
          <w:rtl/>
        </w:rPr>
        <w:t>שהרי אמר "כגון".</w:t>
      </w:r>
    </w:p>
  </w:footnote>
  <w:footnote w:id="1505">
    <w:p w14:paraId="2F78CB67" w14:textId="77777777" w:rsidR="00FA2119" w:rsidRDefault="00FA2119" w:rsidP="00FA2119">
      <w:pPr>
        <w:pStyle w:val="a5"/>
      </w:pPr>
      <w:r>
        <w:rPr>
          <w:rStyle w:val="a7"/>
        </w:rPr>
        <w:footnoteRef/>
      </w:r>
      <w:r>
        <w:rPr>
          <w:rtl/>
        </w:rPr>
        <w:t xml:space="preserve"> </w:t>
      </w:r>
      <w:r>
        <w:rPr>
          <w:rFonts w:cs="Arial"/>
          <w:rtl/>
        </w:rPr>
        <w:t>פי' היכא שהישראלים מעשין ומכריחין אותו ליתן את הגט כיון שהדייני' הם עכו"ם הגט פסול אפי' הדין אמת כגון איני זן ואיני מפרנס, תרומה (סי' קכח).</w:t>
      </w:r>
    </w:p>
  </w:footnote>
  <w:footnote w:id="1506">
    <w:p w14:paraId="48200064" w14:textId="77777777" w:rsidR="00FA2119" w:rsidRDefault="00FA2119" w:rsidP="00FA2119">
      <w:pPr>
        <w:pStyle w:val="a5"/>
      </w:pPr>
      <w:r>
        <w:rPr>
          <w:rStyle w:val="a7"/>
        </w:rPr>
        <w:footnoteRef/>
      </w:r>
      <w:r>
        <w:rPr>
          <w:rtl/>
        </w:rPr>
        <w:t xml:space="preserve"> </w:t>
      </w:r>
      <w:r>
        <w:rPr>
          <w:rFonts w:cs="Arial"/>
          <w:rtl/>
        </w:rPr>
        <w:t>פי' היכא שהעכו"ם מכריחין ליתן גט כמעשה ישראל, כלומר לעשות כדייני ישראל - כשר כיון שהדייני' ישראלים והדין אמת באומר איני זן ואיני מפרנס, תרומה (שם).</w:t>
      </w:r>
    </w:p>
  </w:footnote>
  <w:footnote w:id="1507">
    <w:p w14:paraId="0EBBCB3B" w14:textId="0BBCEA86" w:rsidR="00FA2119" w:rsidRDefault="00FA2119" w:rsidP="00FA2119">
      <w:pPr>
        <w:pStyle w:val="a5"/>
      </w:pPr>
      <w:r>
        <w:rPr>
          <w:rStyle w:val="a7"/>
        </w:rPr>
        <w:footnoteRef/>
      </w:r>
      <w:r>
        <w:rPr>
          <w:rtl/>
        </w:rPr>
        <w:t xml:space="preserve"> </w:t>
      </w:r>
      <w:r>
        <w:rPr>
          <w:rFonts w:cs="Arial"/>
          <w:rtl/>
        </w:rPr>
        <w:t xml:space="preserve">בתשובת מהרי"ו (סי' כב) משמע דוקא בדבר שאינו מזיק לדידה אבל אם מאכילה דבר איסור כופין להוציא. וכן הוא </w:t>
      </w:r>
      <w:r w:rsidR="009334FF">
        <w:rPr>
          <w:rFonts w:cs="Arial"/>
          <w:rtl/>
        </w:rPr>
        <w:t>בהגה</w:t>
      </w:r>
      <w:r>
        <w:rPr>
          <w:rFonts w:cs="Arial"/>
          <w:rtl/>
        </w:rPr>
        <w:t>ות אלפסי פרק המדיר (שלטי הגבורים לב: לשון ריא"ז סוף אות א) דאם נודר ואינו מקיים או מאכילה דבר איסור כופין להוציא. ודברי הגהות מיימון דלעיל לא משמע הכי, דרכ"מ (סי' קנד אות ג).</w:t>
      </w:r>
    </w:p>
  </w:footnote>
  <w:footnote w:id="1508">
    <w:p w14:paraId="5570542C" w14:textId="77777777" w:rsidR="00FA2119" w:rsidRDefault="00FA2119" w:rsidP="00FA2119">
      <w:pPr>
        <w:pStyle w:val="a5"/>
      </w:pPr>
      <w:r>
        <w:rPr>
          <w:rStyle w:val="a7"/>
        </w:rPr>
        <w:footnoteRef/>
      </w:r>
      <w:r>
        <w:rPr>
          <w:rtl/>
        </w:rPr>
        <w:t xml:space="preserve"> </w:t>
      </w:r>
      <w:r>
        <w:rPr>
          <w:rFonts w:cs="Arial"/>
          <w:rtl/>
        </w:rPr>
        <w:t>ומיד אחרי שהביא ההגה"מ את דברי מהר"ם הנ"ל, העתיק (באות ה) את דברי הסמ"ג (שלקוחים מהתוס' [שם]) שלמד מהירושלמי (כתובות פי"א ה"ז) שאין כופין אלא במקום ששונין כופין אבל אומרים לו חכמים חייבוך להוציא ואם תעבור יקראוך עבריין. אם כן צ"ע על כוונת ההגה"מ, שלכאורה הדברים סותרים.</w:t>
      </w:r>
    </w:p>
  </w:footnote>
  <w:footnote w:id="1509">
    <w:p w14:paraId="515A0F99" w14:textId="77777777" w:rsidR="00FA2119" w:rsidRDefault="00FA2119" w:rsidP="00FA2119">
      <w:pPr>
        <w:pStyle w:val="a5"/>
        <w:rPr>
          <w:rtl/>
        </w:rPr>
      </w:pPr>
      <w:r>
        <w:rPr>
          <w:rStyle w:val="a7"/>
        </w:rPr>
        <w:footnoteRef/>
      </w:r>
      <w:r>
        <w:rPr>
          <w:rtl/>
        </w:rPr>
        <w:t xml:space="preserve"> </w:t>
      </w:r>
      <w:r>
        <w:rPr>
          <w:rFonts w:cs="Arial"/>
          <w:rtl/>
        </w:rPr>
        <w:t xml:space="preserve">וכ"כ הארחות חיים </w:t>
      </w:r>
      <w:r>
        <w:rPr>
          <w:rFonts w:cs="Arial"/>
          <w:sz w:val="16"/>
          <w:szCs w:val="16"/>
          <w:rtl/>
        </w:rPr>
        <w:t>(ח"ב ריש הלכות גיטין עמ' קנו)</w:t>
      </w:r>
      <w:r>
        <w:rPr>
          <w:rFonts w:cs="Arial"/>
          <w:rtl/>
        </w:rPr>
        <w:t xml:space="preserve"> שמשומד מכריחין אותו ע"י גוים לעשות מה שיאמר הישראל. וכן הוא במרדכי </w:t>
      </w:r>
      <w:r>
        <w:rPr>
          <w:rFonts w:cs="Arial"/>
          <w:sz w:val="16"/>
          <w:szCs w:val="16"/>
          <w:rtl/>
        </w:rPr>
        <w:t>(פרק המגרש סי' תנ, הביאו הדרכ"מ [סי' קנד אות ג])</w:t>
      </w:r>
      <w:r>
        <w:rPr>
          <w:rFonts w:cs="Arial"/>
          <w:rtl/>
        </w:rPr>
        <w:t xml:space="preserve"> וכתב שם ובלבד שיבטל מודעות אח"כ.</w:t>
      </w:r>
      <w:r>
        <w:rPr>
          <w:rtl/>
        </w:rPr>
        <w:t xml:space="preserve"> וכן כתב התרומה (שם) בהמשך דבריו.</w:t>
      </w:r>
    </w:p>
  </w:footnote>
  <w:footnote w:id="1510">
    <w:p w14:paraId="5C60F4C5" w14:textId="77777777" w:rsidR="00323D17" w:rsidRDefault="00323D17" w:rsidP="00323D17">
      <w:pPr>
        <w:pStyle w:val="a5"/>
      </w:pPr>
      <w:r>
        <w:rPr>
          <w:rStyle w:val="a7"/>
        </w:rPr>
        <w:footnoteRef/>
      </w:r>
      <w:r>
        <w:rPr>
          <w:rtl/>
        </w:rPr>
        <w:t xml:space="preserve"> </w:t>
      </w:r>
      <w:r>
        <w:rPr>
          <w:rFonts w:hint="cs"/>
          <w:rtl/>
        </w:rPr>
        <w:t xml:space="preserve">וז"ל: </w:t>
      </w:r>
      <w:r w:rsidRPr="00C76B38">
        <w:rPr>
          <w:rFonts w:cs="Arial"/>
          <w:rtl/>
        </w:rPr>
        <w:t>מי שהדין נותן שכופין אותו לגרש את אשתו ולא רצה לגרש, בית דין של ישראל בכל מקום ובכל זמן מכין אותו עד שיאמר רוצה אני ויכתוב הגט והוא גט כשר, וכן אם הכוהו גוים ואמרו לו עשה מה שישראל אומרין לך ולחצו אותו ישראל ביד הגוים עד שיגרש הרי זה כשר, ואם הגוים מעצמן אנסוהו עד שכתב הואיל והדין נותן שיכתוב הרי זה גט פסול. ולמה לא בטל גט זה שהרי הוא אנוס בין ביד גוים בין ביד ישראל, שאין אומרין אנוס אלא למי שנלחץ ונדחק לעשות דבר שאינו מחוייב מן התורה לעשותו כגון מי שהוכה עד שמכר או נתן אבל מי שתקפו יצרו הרע לבטל מצוה או לעשות עבירה והוכה עד שעשה דבר שחייב לעשותו או עד שנתרחק מדבר שאסור לעשותו אין זה אנוס ממנו אלא הוא אנס עצמו בדעתו הרעה. לפיכך זה שאינו רוצה לגרש מאחר שהוא רוצה להיות מישראל רוצה הוא לעשות כל המצות ולהתרחק מן העבירות ויצרו הוא שתקפו וכיון שהוכה עד שתשש יצרו ואמר רוצה אני כבר גרש לרצונו.</w:t>
      </w:r>
    </w:p>
  </w:footnote>
  <w:footnote w:id="1511">
    <w:p w14:paraId="0E9B079B" w14:textId="77777777" w:rsidR="00323D17" w:rsidRDefault="00323D17" w:rsidP="00323D17">
      <w:pPr>
        <w:pStyle w:val="a5"/>
      </w:pPr>
      <w:r>
        <w:rPr>
          <w:rStyle w:val="a7"/>
        </w:rPr>
        <w:footnoteRef/>
      </w:r>
      <w:r>
        <w:rPr>
          <w:rtl/>
        </w:rPr>
        <w:t xml:space="preserve"> </w:t>
      </w:r>
      <w:r>
        <w:rPr>
          <w:rFonts w:hint="cs"/>
          <w:rtl/>
        </w:rPr>
        <w:t>כנראה כתב כן משום שעכשיו אי אפשר לכופו ע"י גויים כיון שנשתמד.</w:t>
      </w:r>
    </w:p>
  </w:footnote>
  <w:footnote w:id="1512">
    <w:p w14:paraId="071544D7" w14:textId="77777777" w:rsidR="00FA2119" w:rsidRDefault="00FA2119" w:rsidP="00FA2119">
      <w:pPr>
        <w:pStyle w:val="a5"/>
        <w:rPr>
          <w:rtl/>
        </w:rPr>
      </w:pPr>
      <w:r>
        <w:rPr>
          <w:rStyle w:val="a7"/>
        </w:rPr>
        <w:footnoteRef/>
      </w:r>
      <w:r>
        <w:rPr>
          <w:rtl/>
        </w:rPr>
        <w:t xml:space="preserve"> </w:t>
      </w:r>
      <w:r>
        <w:rPr>
          <w:rFonts w:cs="Arial"/>
          <w:rtl/>
        </w:rPr>
        <w:t xml:space="preserve">מדאמרינן בפרק חזקת (מ:) אמרי נהרדעי כל מודעא דלא כתיב בה אנן ידעינן באונסיה דפלניא לאו מודעא הוא, ופרכינן מודעא דמאי, אילימא דגיטא ומתנתא, גילויי מילתא בעלמא היא. כלומר אנן סהדי דודאי קושטא קאמר שאם לא כן מי הכריחו לגרש ולמסור מודעא אי לא ניחא ליה לגרש לא יגרש, אלא ודאי קושטא קאמר. אלמא דוקא משום דגילויי מילתא בעלמא ואנן סהדי דאניס משום דמה לו לשקר, הא לאו הכי לא מהימנינן ליה. והא ודאי לאחר נתינת הגט ליכא למימר גילויי מילתא בעלמא היא, שהרי אין הדבר בידו, וכיון שכן הדבר ברור שאין לו נאמנות על מודעתו ולא על ביטוליו כל היכא דלא ידעינן בהו. ועוד ראיה מדאמרינן בירושלמי דגיטין (פ"א ריש ה"א) וחש לומר שמא חתמו בעדים פסולים! אינו עשוי לקלקלה בידי שמים, בבית דין הוא חשוד לקלקלה, שמתוך שהוא יודע שאם בא וערער ערעורו בטל אף הוא מחתימו בעדים כשרים!. ואם איתא שלאחר נתינת הגט הבעל יכול לערער כלום ושיצטרך ליתן לו זמן לברר דבריו היכי אמרינן שמתוך שהוא יודע שאם בא וערער ערעורו בטל אף הוא מחתימו בעדים כשרים, אדרבא מתוך שהוא יודע שאם בא וערער בית דין חוששין לערעורו ומחמיצין הדבר מחתימו בעדים פסולים. אלא שמע מינה שלאחר נתינת הגט אין חוששין לערעור הבעל כלל. ועוד ראיה מדתנן בפרק השולח (לב.) ואם משהגיע גט לידה אינו יכול לבטל, ואמרינן עלה בגמרא (שם) פשיטא, ומשני לא צריכא דקא מהדר עליה מעיקרא לבטוליה, מהו דתימא איגלי מילתא למפרע דבטולי בטליה קמ"ל. וכתב הרשב"א בפרק המביא תניין (יח. ד"ה אמר ר' שמעון) דודאי משמע דבעל מערער ואמר דבטליה, כלומר דבטליה לשליחותיה של שליח שלא בפניו, דאי לא מאי קאמר איגלי מילתא למפרע דבטולי בטליה, דהא אמר דלא בטליה, והיכי אמרינן אנן איגלי מילתא דבטליה, אלא ודאי בשערער עסקינן ואפילו הכי לא חיישינן ומנסבינן לה. והרי זו ראיה מן הנדון שלפנינו ממש. ואע"פ שהוא ז"ל הקשה כיון דקא מהדר עליה מעיקרא לבטוליה למה אינו נאמן אחר כן כשאומר שביטל השליחות שלא בפניו כיון דאיכא רגלים לדבר, כבר תירץ הוא ז"ל דהיכא דאין כאן ידים מוכיחות שדעתו לבטלו דאיכא למימר כיון דרהיט בתריה דשליח חזקה לא בטליה דא"כ תרתי למה ליה לבטוליה דלאו באפיה דשליח והדר למיהדר בתריה לבטוליה וכיון שכן ליכא רגלים לדבר. ומכל מקום הרי אנו רואים דכל היכא דליכא רגלים לדבר אע"ג דאמר בעל אני ביטלתי השליחות - אין משגיחין בדבריו כלל. דכי חיישינן שמא פייס כדאיתא פרק מי שאחזו (עו:) ובדוכתי טובא מגיטין, הני מילי היכא דאיכא רגלים לדבר כגון באומר כל זמן שאעבור מנגד פניך שלשים יום (שם.), וכן באומר אם לא באתי מכאן ועד שנים עשר חודש (שם:), וכן נמי היכא דאמר ליה לשליח לא תיתביה ניהלה עד שלשים יום (כט:), שבכל כיוצא בזה הדבר מוכיח שלא גמר בדעתו לגרש משום הכי חוששין שמא פייס. אבל כל היכא דליכא ידים מוכיחות ככולהו גיטין הבאין ממדינת הים לא חיישינן. וכן כתבו גדולי המפרשים במקומות רבים. ולא תימא כי לא חיישינן אלא היכא דאיכא רגלים לדבר הני מילי בסתמא אבל היכא דאתי בעל ומערער אפילו ליכא רגלים לדבר משגיחים ביה, דליתא, דכי חיישינן היכא דאיכא רגלים לדבר משום דאתי בעל ומערער הוא דחיישינן. וכן פירש רש"י בפרק מי שאחזו (עו:) שמא פייס כשהיה בא אצלה פייס קטטה שביניהם ונתייחד עמה ולאחר זמן אתי בעל ומערער ואמר פייסתי וכו', ומינה היכא דליכא רגלים אפילו אתי בעל ומערער לא משגיחין ביה. והכא ליכא רגלים אדרבה חזקה שלא מעל בחרם ובשבועה ולא ביטל, וכי אמר הכי לא משגיחין ביה ולאו כל הימנו לשוויי נפשיה רשע (כתובות יח:), כדברי מורינו הרב הכהן הגדול נר"ו. וכמדומה לי שזה אינו צריך לא שאלה ולא תשובה שהדבר ברור שלאחר נתינת הגט אין בדבריו כלום אא"כ יברר אותם בעדים, דהא מכיון שנתגרשה הרי היא בחזקת פנויה ואין דבר שבערוה פחות משנים (גיטין ב:). ואפילו זמן אין נותנין לו לברר דבריו. ואפילו יצא קול בעיר דאיכא סהדי במדינת הים שיודעים אמיתת הדבר, וכדאמרינן בפ"ק דקידושין (יב:) אמרי ליה רבנן לרב חסדא אמרי איכא סהדי באידית וכו' עדיה בצד אסתן ותאסר. ולפיכך הדבר ברור לכל יודעי דת ודין שאשה זו מותרת להנשא. ובכיוצא בזה ראוי לכל גבורי כח מחזיקי הבדק לרדות במקל וברצועה להדיח הרעה בראש כל עושי רשעה ולחוש ולחוס על בנות ישראל שלא יהו כהפקר, </w:t>
      </w:r>
      <w:r>
        <w:rPr>
          <w:rFonts w:cs="Arial"/>
          <w:b/>
          <w:bCs/>
          <w:rtl/>
        </w:rPr>
        <w:t>ר"ן</w:t>
      </w:r>
      <w:r>
        <w:rPr>
          <w:rFonts w:cs="Arial"/>
          <w:rtl/>
        </w:rPr>
        <w:t xml:space="preserve"> (שם).</w:t>
      </w:r>
    </w:p>
  </w:footnote>
  <w:footnote w:id="1513">
    <w:p w14:paraId="55FEA0EE" w14:textId="77777777" w:rsidR="00FA2119" w:rsidRDefault="00FA2119" w:rsidP="00FA2119">
      <w:pPr>
        <w:pStyle w:val="a5"/>
        <w:rPr>
          <w:rtl/>
        </w:rPr>
      </w:pPr>
      <w:r>
        <w:rPr>
          <w:rStyle w:val="a7"/>
        </w:rPr>
        <w:footnoteRef/>
      </w:r>
      <w:r>
        <w:rPr>
          <w:rtl/>
        </w:rPr>
        <w:t xml:space="preserve"> </w:t>
      </w:r>
      <w:r>
        <w:rPr>
          <w:rFonts w:cs="Arial"/>
          <w:rtl/>
        </w:rPr>
        <w:t>וכל מה שכתב מורנו נר"ו בתשובתו בהפך מזה כמדומה לי שאינו אלא דרך מה שאמרו בפרק שור שנגח ארבעה וחמשה (ב"ק מב.) משל לצייד השולה דגים, משכח זוטרי שקיל, משכח רברבי שקיל, כי מה שכתב מורנו בראשונה זה לשונו שאפילו יביא ראיה שבטלו בב"ד אין בדבריו ממש ואין בטולו בטול שהרי בטל כל מודעא שמסר ושעתיד למסור, וא"כ בטל כל הבטולים שיעשה נגד השליחות, וכיון שבשעת נתינת גט לשליח בטלם בטלים כדרך שאר כל מודעי שנעשו שבטלין בבטול מודעי אע"פ שמסר מודעות נגד כל הבטולים בבטול המודעות כלם בטלות, והיינו בטול כל מודעי דמודעי דכתבינן וכמו כן כשמבטל לעתיד כל מודעי או בטול שימסור כנגד הגט ובמבטל כל בטול שמבטל בטול המודעא ובטול הגט הרי כלם בטלים והגט קיים. עד כאן. ואני ידעתי שפה קדוש לא אמר דבר זה אלא כנושא ונותן ולחסום פיהם של פועלי און. דכיון דקיי"ל (קידושין נט.) אתי דיבור ומבטל דיבור - הדיבור האחרון הוא עיקר ומבטל כל הדברים הקודמים אליו. ומה שכתב כיון דמהני ביטול האחרון למסור ביטול ומודעא על הביטולים הכי נמי ביטול ראשון לכל הביטולים שעושה לאחר מכאן וכולם בטלים והגט קיים. אדרבא משם יש ללמוד ההיפך, דאם איתא שאדם יכול לבטל כל מה שיאמר לאחר מכאן א"כ מי שימסור מודעא על כל הביטולים שיעשה לאחר מכאן שוב אין לו תקנה בשום ביטול, וכיון שאנו סומכין על הביטול האחרון לבטל כל המודעות והביטולים שנעשו בתחלה לפי שאנו אומרים שזה הביטול האחרון מבטל כל מה שאמר בתחלה אע"פ שכבר מסר מודעא עליו וביטל אותו, כל שכן שיש לנו להחמיר שביטול השליחות האחרון מבטל כל הדברים הראשונים. ועוד שאיני מוצא בשום מקום בשום ענין בעולם שיוכל אדם לבטל בענין שלא יוכל אח"כ לבטל שליחותו, שזה הביטול הנעשה מתחלה אין לו ידים ולא רגלים ואינו דומה לביטול המודעות כלל וכו'. והיינו דאמר להו רב יהודה לסהדי דגיטא דחתניה דר' ירמיה ביראה דאשקליה בעל כרחיה (גיטין לד.) דלותיבו קירא באודנייהו כדי שלא ישמעו הביטול. ואם איתא יבטל כל ביטול שיעשה ולא יהיו צריכים לאותובי מידי באודנייהו. ומה שכתב מורינו שהיה מתיירא פן יחזור בו בתוך כדי דיבור דאמרינן (ב"ב קכט:) תוך כדי דיבור כדיבור דמי. תמיהני, וכי רב יהודה שהיה מעשהו שיאמר לסופר כתוב ולעדים חתומו ושיבטל כל מודעא וכי לא היה יכול לעמוד על גביו שיעור כדי דיבור כדי שלא יהא זקוק להצריך אח"כ לאותובי קירא באודנייהו?. ועוד שקרוב אני לומר דאם איתא דלאחר כדי דיבור אין ביטולו מועיל אף תוך כדי דיבור אינו יכול לבטל, דהא אסיקנא בפרק בתרא דנדרים (פז.) דתוך כדי דיבור כדיבור דמי חוץ ממגדף ועובד עבודה זרה ומקדש ומגרש. ואע"פ שרשב"ם פירש בפרק יש נוחלין (ב"ב קל. ד"ה וקידושין) שאם קידש את האשה וחזר בו תוך כדי דיבור מקודשת ואינה מקודשת - אין לשון הגמרא מוכיח כן, ואף דברי הראשונים אינם כן, שהרי הרמב"ם כתב בפ"ז מהלכות אישות (הכ"ב) המקדש את האשה וחזר בו הוא או היא אע"פ שחזרו תוך כדי דיבור אין חזרתם כלום והרי היא מקודשת. אלמא בין לקולא בין לחומרא אמרו דתוך כדי דיבור דקידושין וגירושין לאו כדיבור דמי. ואינו נראה לחלק בין גירושין גמורים לשליחות דגירושין בדין תוך כדי דיבור. אלא ודאי אין שום תקנה בעולם שלא יוכל הבעל לבטל לאחר מכאן שליח להולכה שלו</w:t>
      </w:r>
      <w:r>
        <w:rPr>
          <w:rtl/>
        </w:rPr>
        <w:t xml:space="preserve">, </w:t>
      </w:r>
      <w:r>
        <w:rPr>
          <w:b/>
          <w:bCs/>
          <w:rtl/>
        </w:rPr>
        <w:t>ר"ן</w:t>
      </w:r>
      <w:r>
        <w:rPr>
          <w:rtl/>
        </w:rPr>
        <w:t xml:space="preserve"> (שם).</w:t>
      </w:r>
    </w:p>
  </w:footnote>
  <w:footnote w:id="1514">
    <w:p w14:paraId="2470A67A" w14:textId="77777777" w:rsidR="00FA2119" w:rsidRDefault="00FA2119" w:rsidP="00FA2119">
      <w:pPr>
        <w:pStyle w:val="a5"/>
        <w:rPr>
          <w:rtl/>
        </w:rPr>
      </w:pPr>
      <w:r>
        <w:rPr>
          <w:rStyle w:val="a7"/>
        </w:rPr>
        <w:footnoteRef/>
      </w:r>
      <w:r>
        <w:rPr>
          <w:rtl/>
        </w:rPr>
        <w:t xml:space="preserve"> </w:t>
      </w:r>
      <w:r>
        <w:rPr>
          <w:rFonts w:cs="Arial"/>
          <w:rtl/>
        </w:rPr>
        <w:t>ועיין תשובה ארוכה בריב"ש סימן קכ"ז בדין מסירת מודעא גם שם סימן רל"ב הרבה דינים מדין מסירת מודעא ועיין שם ולקמן סימן קנ"ד (עמ' שטז) בסדר הגט, דרכ"מ (אות יא).</w:t>
      </w:r>
    </w:p>
  </w:footnote>
  <w:footnote w:id="1515">
    <w:p w14:paraId="10AF4BE6" w14:textId="77777777" w:rsidR="00FA2119" w:rsidRDefault="00FA2119" w:rsidP="00FA2119">
      <w:pPr>
        <w:pStyle w:val="a5"/>
        <w:rPr>
          <w:rtl/>
        </w:rPr>
      </w:pPr>
      <w:r>
        <w:rPr>
          <w:rStyle w:val="a7"/>
        </w:rPr>
        <w:footnoteRef/>
      </w:r>
      <w:r>
        <w:rPr>
          <w:rtl/>
        </w:rPr>
        <w:t xml:space="preserve"> </w:t>
      </w:r>
      <w:r>
        <w:rPr>
          <w:rFonts w:cs="Arial"/>
          <w:rtl/>
        </w:rPr>
        <w:t>וכן איתא ביבמות בפרק רבן גמליאל (נב.).</w:t>
      </w:r>
    </w:p>
  </w:footnote>
  <w:footnote w:id="1516">
    <w:p w14:paraId="2FFF6529" w14:textId="77777777" w:rsidR="00FA2119" w:rsidRDefault="00FA2119" w:rsidP="00FA2119">
      <w:pPr>
        <w:pStyle w:val="a5"/>
      </w:pPr>
      <w:r>
        <w:rPr>
          <w:rStyle w:val="a7"/>
        </w:rPr>
        <w:footnoteRef/>
      </w:r>
      <w:r>
        <w:rPr>
          <w:rtl/>
        </w:rPr>
        <w:t xml:space="preserve"> </w:t>
      </w:r>
      <w:r>
        <w:rPr>
          <w:rFonts w:cs="Arial"/>
          <w:rtl/>
        </w:rPr>
        <w:t xml:space="preserve">אפילו היה מבטל כל מודעי מ"מ היה מלקה אותו משום דמוציא לעז על הגט, דאיכא דשמע במודעא ולא שמע בביטול, </w:t>
      </w:r>
      <w:r>
        <w:rPr>
          <w:rFonts w:cs="Arial"/>
          <w:b/>
          <w:bCs/>
          <w:rtl/>
        </w:rPr>
        <w:t>תוס'</w:t>
      </w:r>
      <w:r>
        <w:rPr>
          <w:rFonts w:cs="Arial"/>
          <w:rtl/>
        </w:rPr>
        <w:t xml:space="preserve"> (יבמות נב. ד"ה דמסר). אך </w:t>
      </w:r>
      <w:r>
        <w:rPr>
          <w:rFonts w:cs="Arial"/>
          <w:b/>
          <w:bCs/>
          <w:rtl/>
        </w:rPr>
        <w:t xml:space="preserve">רש"י </w:t>
      </w:r>
      <w:r>
        <w:rPr>
          <w:rFonts w:cs="Arial"/>
          <w:rtl/>
        </w:rPr>
        <w:t xml:space="preserve">(קידושין יב: ד"ה ועל דמסר) פירש- כגון בגט המעושה בישראל דמוציא לעז על בניה. עכ"ל. וכתב </w:t>
      </w:r>
      <w:r>
        <w:rPr>
          <w:rFonts w:cs="Arial"/>
          <w:b/>
          <w:bCs/>
          <w:rtl/>
        </w:rPr>
        <w:t xml:space="preserve">הה"מ </w:t>
      </w:r>
      <w:r>
        <w:rPr>
          <w:rFonts w:cs="Arial"/>
          <w:rtl/>
        </w:rPr>
        <w:t xml:space="preserve">(פ"ו הכ"ו) שלא ידע למה הוצרך לכך, שהרי מודעא אפילו בלא אונס היא. וכתב </w:t>
      </w:r>
      <w:r>
        <w:rPr>
          <w:rFonts w:cs="Arial"/>
          <w:b/>
          <w:bCs/>
          <w:rtl/>
        </w:rPr>
        <w:t>הב"י</w:t>
      </w:r>
      <w:r>
        <w:rPr>
          <w:rFonts w:cs="Arial"/>
          <w:rtl/>
        </w:rPr>
        <w:t xml:space="preserve">- ונראה לי דלרבותא נקט רש"י גט המעושה, דהא ודאי כפוהו עד שביטל המודעא בפירוש דלא הועילו מעשיו, ואפילו הכי מנגדינן ליה מטעם שכתבו התוספות </w:t>
      </w:r>
      <w:r>
        <w:rPr>
          <w:rFonts w:cs="Arial"/>
          <w:sz w:val="16"/>
          <w:szCs w:val="16"/>
          <w:rtl/>
        </w:rPr>
        <w:t xml:space="preserve">(וכדברי הב"י כאן כן משמע מתשו' הרא"ש [כלל נב סי' ח], </w:t>
      </w:r>
      <w:r>
        <w:rPr>
          <w:rFonts w:cs="Arial"/>
          <w:color w:val="00B0F0"/>
          <w:sz w:val="16"/>
          <w:szCs w:val="16"/>
          <w:rtl/>
        </w:rPr>
        <w:t>(וכ"פ הרמ"א)</w:t>
      </w:r>
      <w:r>
        <w:rPr>
          <w:rFonts w:cs="Arial"/>
          <w:sz w:val="16"/>
          <w:szCs w:val="16"/>
          <w:rtl/>
        </w:rPr>
        <w:t>)</w:t>
      </w:r>
      <w:r>
        <w:rPr>
          <w:rFonts w:cs="Arial"/>
          <w:rtl/>
        </w:rPr>
        <w:t>. וכל שכן בגט שאינו מעושה דמסתמא לא אמרו לו שיבטל המודעא דאהנו מעשיו והגט בטל דפשיטא דמנגדינן ליה. אי נמי אורחא דמילתא נקט דכל שמגרש מרצונו אין צריך למסור מודעא, ומהאי טעמא כתב רבינו דין זה גבי גט מעושה אע"ג דבכל ענין שמסר מודעא מנגדינן ליה</w:t>
      </w:r>
      <w:r>
        <w:rPr>
          <w:rtl/>
        </w:rPr>
        <w:t>.</w:t>
      </w:r>
    </w:p>
  </w:footnote>
  <w:footnote w:id="1517">
    <w:p w14:paraId="73D8AEFB" w14:textId="77777777" w:rsidR="00FA2119" w:rsidRDefault="00FA2119" w:rsidP="00FA2119">
      <w:pPr>
        <w:pStyle w:val="a5"/>
        <w:rPr>
          <w:rtl/>
        </w:rPr>
      </w:pPr>
      <w:r>
        <w:rPr>
          <w:rStyle w:val="a7"/>
        </w:rPr>
        <w:footnoteRef/>
      </w:r>
      <w:r>
        <w:rPr>
          <w:rtl/>
        </w:rPr>
        <w:t xml:space="preserve"> </w:t>
      </w:r>
      <w:r>
        <w:rPr>
          <w:rFonts w:cs="Arial"/>
          <w:rtl/>
        </w:rPr>
        <w:t>ולכן יש לתמוה על רי"ו (נכ"ד ח"א רא.) שכתב בהא שהסכימו כל הפוסקים דמנגדינן ליה כרב ולא כנהרדעי</w:t>
      </w:r>
      <w:r>
        <w:rPr>
          <w:rtl/>
        </w:rPr>
        <w:t>, ב"י.</w:t>
      </w:r>
    </w:p>
  </w:footnote>
  <w:footnote w:id="1518">
    <w:p w14:paraId="5ABDD243" w14:textId="651D6724" w:rsidR="00FA2119" w:rsidRDefault="00FA2119" w:rsidP="00FA2119">
      <w:pPr>
        <w:pStyle w:val="a5"/>
      </w:pPr>
      <w:r>
        <w:rPr>
          <w:rStyle w:val="a7"/>
        </w:rPr>
        <w:footnoteRef/>
      </w:r>
      <w:r>
        <w:rPr>
          <w:rtl/>
        </w:rPr>
        <w:t xml:space="preserve"> </w:t>
      </w:r>
      <w:r>
        <w:rPr>
          <w:rFonts w:cs="Arial"/>
          <w:rtl/>
        </w:rPr>
        <w:t>תמיהא לי למה כתב רבינו משמתינן ליה ובגמרא לא אמרינן אלא מנגדינן ליה, וכ</w:t>
      </w:r>
      <w:r w:rsidR="004544BE">
        <w:rPr>
          <w:rFonts w:cs="Arial" w:hint="cs"/>
          <w:rtl/>
        </w:rPr>
        <w:t>"</w:t>
      </w:r>
      <w:r>
        <w:rPr>
          <w:rFonts w:cs="Arial"/>
          <w:rtl/>
        </w:rPr>
        <w:t>כ הרמב"ם בפ</w:t>
      </w:r>
      <w:r w:rsidR="004544BE">
        <w:rPr>
          <w:rFonts w:cs="Arial" w:hint="cs"/>
          <w:rtl/>
        </w:rPr>
        <w:t>"</w:t>
      </w:r>
      <w:r>
        <w:rPr>
          <w:rFonts w:cs="Arial"/>
          <w:rtl/>
        </w:rPr>
        <w:t>ו (שם). וידוע דשמתא חמירא מנגידא כדאיתא בפרק מקום שנהגו (פסחים נב.). ועוד שכתב הרא"ש שם (יבמות פ"ה סי' ב) דהאידנא נהוג עלמא כנהרדעי דאמרי לא מנגיד רב אלא אמאן דמקדש בביאה, ובשל סופרים הלך אחר המיקל (ע"ז ז.) ולמה רבינו סתם כאן דבריו דלא כהרא"ש היפך מנהגו</w:t>
      </w:r>
      <w:r>
        <w:rPr>
          <w:rtl/>
        </w:rPr>
        <w:t>.</w:t>
      </w:r>
      <w:r>
        <w:rPr>
          <w:rFonts w:cs="Arial"/>
          <w:rtl/>
        </w:rPr>
        <w:t xml:space="preserve"> ומצאתי בתשובות הרא"ש (כלל נב סי' ח) על אחד שנידוהו בית דין על שמסר מודעא על החליצה</w:t>
      </w:r>
      <w:r w:rsidR="004544BE">
        <w:rPr>
          <w:rFonts w:cs="Arial" w:hint="cs"/>
          <w:rtl/>
        </w:rPr>
        <w:t>,</w:t>
      </w:r>
      <w:r>
        <w:rPr>
          <w:rFonts w:cs="Arial"/>
          <w:rtl/>
        </w:rPr>
        <w:t xml:space="preserve"> והשיב יפה ויפה עשו לו בית דין שנידוהו על שהוציא לעז על החליצה שלא כדין כדאמרינן רב מנגיד אמאן דמסר מודעא אגיטא. ואם אנסו אדם שלא כדין לתת גט ומסר מודעא בכה"ג לא הוה רב מנגיד ליה, כי יפה עשה שמסר מודעא לבטל הגט כיון שאנוס היה. אלא מיירי בגט מעושה כדין והלך ומסר מודעא ובשעת נתינת הגט ביטל כל מודעא, אותו היה רב מנגיד, משום דילמא איניש דידע במודעא ומוציא לעז על הגט. וכן בנדון זה כיון דידע שהוצרך לבטל כל המודעות שעשה לא הוה ליה למסור מודעא תחלה, ולא עוד אלא שהוסיף על חטאתו פשע והחביא עצמו ושלח כתב ידו לבית דין וידע שאינה כלום כיון שביטל כל המודעות שעשה אלא שכיוון להוציא לעז על החליצה שלא כדין. ויפה עשו לו בית דין בנידוי ובהכרזה ובכל מה שיכלו להחמיר עליו עכ"ל. ואולי כי על תשובה זו סמך רבינו, ואין משם ראיה, דמשמע מינה שדרך קנס וחומרא כתב כן להחזיק ביד הדיינים שנידוהו, אבל שורת הדין אינו חייב לרב אלא ניגודא ולא שמתא, וללישנא דנהרדעי אינו חייב לא זה ולא אותו,</w:t>
      </w:r>
      <w:r>
        <w:rPr>
          <w:rtl/>
        </w:rPr>
        <w:t xml:space="preserve"> </w:t>
      </w:r>
      <w:r>
        <w:rPr>
          <w:b/>
          <w:bCs/>
          <w:rtl/>
        </w:rPr>
        <w:t>ב"י</w:t>
      </w:r>
      <w:r>
        <w:rPr>
          <w:rtl/>
        </w:rPr>
        <w:t xml:space="preserve">. וכתב </w:t>
      </w:r>
      <w:r>
        <w:rPr>
          <w:b/>
          <w:bCs/>
          <w:rtl/>
        </w:rPr>
        <w:t>הב"ש</w:t>
      </w:r>
      <w:r>
        <w:rPr>
          <w:rtl/>
        </w:rPr>
        <w:t xml:space="preserve"> (סקי"ב) </w:t>
      </w:r>
      <w:r>
        <w:rPr>
          <w:rFonts w:cs="Arial"/>
          <w:rtl/>
        </w:rPr>
        <w:t>דכן קשה על הרב רמ"א בסי' כ"ו דהביא דעת הרא"ש וכאן לא הביא אותו. גם קשה על הטור למה כתב בחו"מ סי' ח' מאן דמצער שליח ב"ד מכין אותו, דהא הרא"ש פסק כנהרדעי. וקושיות אלו יש לתרץ בטוב דראיתי בבאר שבע (דף צט) דכתב- נהרדעי לא פליגי אלא בענין קידושין דאין מלקין אלא מאן דמקדש בביאה אבל בשאר דברים ל"פ. לפ"ז אע"ג הרא"ש פוסק כנהרדעי מ"מ כאן מודה, וכן בשליח ב"ד דמלקים אותו, לכן הביא הרב רמ"א בסי' כ"ו בענין קידושין דעת הרא"ש ולא כאן ולא בחו"מ.</w:t>
      </w:r>
      <w:r>
        <w:rPr>
          <w:rtl/>
        </w:rPr>
        <w:t xml:space="preserve"> </w:t>
      </w:r>
    </w:p>
  </w:footnote>
  <w:footnote w:id="1519">
    <w:p w14:paraId="3F383094" w14:textId="77777777" w:rsidR="00FA2119" w:rsidRDefault="00FA2119" w:rsidP="00FA2119">
      <w:pPr>
        <w:pStyle w:val="a5"/>
        <w:rPr>
          <w:rtl/>
        </w:rPr>
      </w:pPr>
      <w:r>
        <w:rPr>
          <w:rStyle w:val="a7"/>
        </w:rPr>
        <w:footnoteRef/>
      </w:r>
      <w:r>
        <w:rPr>
          <w:rtl/>
        </w:rPr>
        <w:t xml:space="preserve"> </w:t>
      </w:r>
      <w:r>
        <w:rPr>
          <w:rFonts w:cs="Arial"/>
          <w:rtl/>
        </w:rPr>
        <w:t>היינו היכא דחייב לגרש ע"פ הדין ומסר מודעה - מכין אותו. ואם אנסוהו שלא כדין ומסר מודעה - אינו חייב עונש כלל. ועיין בש"ג דף תק"ע שהביא לפסק הלכה אם אנסוהו וסתמו העדים את אזנם וראו דהוא רהיט ואזיל - לא הוי ביטול, ואם אמר בשם רב או דיין שצוה לבטל - הוי ביטול ממש ולא גילוי דעת, עיין תשובת הרא"ש</w:t>
      </w:r>
      <w:r>
        <w:rPr>
          <w:rtl/>
        </w:rPr>
        <w:t>, ב"ש (סקי"א).</w:t>
      </w:r>
    </w:p>
  </w:footnote>
  <w:footnote w:id="1520">
    <w:p w14:paraId="7DD62D9E" w14:textId="77777777" w:rsidR="004D23D9" w:rsidRDefault="004D23D9" w:rsidP="004D23D9">
      <w:pPr>
        <w:pStyle w:val="a5"/>
      </w:pPr>
      <w:r>
        <w:rPr>
          <w:rStyle w:val="a7"/>
        </w:rPr>
        <w:footnoteRef/>
      </w:r>
      <w:r>
        <w:rPr>
          <w:rtl/>
        </w:rPr>
        <w:t xml:space="preserve"> </w:t>
      </w:r>
      <w:r>
        <w:rPr>
          <w:rFonts w:hint="cs"/>
          <w:rtl/>
        </w:rPr>
        <w:t>סימן - חוטף פיצוצים.</w:t>
      </w:r>
    </w:p>
  </w:footnote>
  <w:footnote w:id="1521">
    <w:p w14:paraId="69AC683E" w14:textId="77777777" w:rsidR="00FA2119" w:rsidRDefault="00FA2119" w:rsidP="00FA2119">
      <w:pPr>
        <w:pStyle w:val="a5"/>
        <w:rPr>
          <w:rtl/>
        </w:rPr>
      </w:pPr>
      <w:r>
        <w:rPr>
          <w:rStyle w:val="a7"/>
        </w:rPr>
        <w:footnoteRef/>
      </w:r>
      <w:r>
        <w:rPr>
          <w:rtl/>
        </w:rPr>
        <w:t xml:space="preserve"> </w:t>
      </w:r>
      <w:r>
        <w:rPr>
          <w:rFonts w:cs="Arial"/>
          <w:rtl/>
        </w:rPr>
        <w:t>בחזקה</w:t>
      </w:r>
      <w:r>
        <w:rPr>
          <w:rtl/>
        </w:rPr>
        <w:t>, רש"י.</w:t>
      </w:r>
    </w:p>
  </w:footnote>
  <w:footnote w:id="1522">
    <w:p w14:paraId="1628017F" w14:textId="77777777" w:rsidR="00FA2119" w:rsidRDefault="00FA2119" w:rsidP="00FA2119">
      <w:pPr>
        <w:pStyle w:val="a5"/>
        <w:rPr>
          <w:rtl/>
        </w:rPr>
      </w:pPr>
      <w:r>
        <w:rPr>
          <w:rStyle w:val="a7"/>
        </w:rPr>
        <w:footnoteRef/>
      </w:r>
      <w:r>
        <w:rPr>
          <w:rtl/>
        </w:rPr>
        <w:t xml:space="preserve"> </w:t>
      </w:r>
      <w:r>
        <w:rPr>
          <w:rFonts w:cs="Arial"/>
          <w:rtl/>
        </w:rPr>
        <w:t xml:space="preserve">פירש ר"ת האי דקאמר 'ובגוים חובטין אותו' קאי אהא דקאמר ובגוים פסול, לאשמועינן דאפילו בכה"ג פסול דלאו בני עישוי נינהו. ושוב חזר בו ופירש- בגוים כיצד יעשו שיהיה כשר חובטין אותו ואומרים לו עשה מה שישראל אומרים לך. דלפניהם ולא לפני גוים (שם בגמרא) היינו כשהעישוי על פי דייני גוים אבל אם העישוי על פי דייני ישראל אפילו אם גוי כופהו לא מיקרי לפני גוים. וכן פירש בהלכות גדולות, וכן נראה, </w:t>
      </w:r>
      <w:r>
        <w:rPr>
          <w:rFonts w:cs="Arial"/>
          <w:b/>
          <w:bCs/>
          <w:rtl/>
        </w:rPr>
        <w:t>רא"ש</w:t>
      </w:r>
      <w:r>
        <w:rPr>
          <w:rFonts w:cs="Arial"/>
          <w:rtl/>
        </w:rPr>
        <w:t xml:space="preserve"> (סי' י). וכן כתבו התוספות (ד"ה ובעובדי) והרשב"א (ד"ה מתני') דכיון שהגוים אינם חובטין אותו אלא על פי ישראל כשר, וכן משמע בירושלמי (פ"ט ה"ט), וכן פירש רשב"ם בפרק חזקת (שם ד"ה ובעכו"ם) וכן דעת הרמב"ם בפרק ב' מהלכות גירושין (ה"כ), </w:t>
      </w:r>
      <w:r>
        <w:rPr>
          <w:rFonts w:cs="Arial"/>
          <w:b/>
          <w:bCs/>
          <w:rtl/>
        </w:rPr>
        <w:t>ב"י</w:t>
      </w:r>
      <w:r>
        <w:rPr>
          <w:rFonts w:cs="Arial"/>
          <w:rtl/>
        </w:rPr>
        <w:t>.</w:t>
      </w:r>
    </w:p>
  </w:footnote>
  <w:footnote w:id="1523">
    <w:p w14:paraId="17CE18FD" w14:textId="77777777" w:rsidR="00FA2119" w:rsidRDefault="00FA2119" w:rsidP="00FA2119">
      <w:pPr>
        <w:pStyle w:val="a5"/>
      </w:pPr>
      <w:r>
        <w:rPr>
          <w:rStyle w:val="a7"/>
        </w:rPr>
        <w:footnoteRef/>
      </w:r>
      <w:r>
        <w:rPr>
          <w:rtl/>
        </w:rPr>
        <w:t xml:space="preserve"> </w:t>
      </w:r>
      <w:r>
        <w:rPr>
          <w:rFonts w:cs="Arial"/>
          <w:rtl/>
        </w:rPr>
        <w:t>כגון הנך דאמרינן בהו יוציא ויתן כתובה או שהיתה אסורה לו</w:t>
      </w:r>
      <w:r>
        <w:rPr>
          <w:rtl/>
        </w:rPr>
        <w:t>, רש"י.</w:t>
      </w:r>
    </w:p>
  </w:footnote>
  <w:footnote w:id="1524">
    <w:p w14:paraId="58A1700F" w14:textId="77777777" w:rsidR="00FA2119" w:rsidRDefault="00FA2119" w:rsidP="00FA2119">
      <w:pPr>
        <w:pStyle w:val="a5"/>
        <w:rPr>
          <w:rtl/>
        </w:rPr>
      </w:pPr>
      <w:r>
        <w:rPr>
          <w:rStyle w:val="a7"/>
        </w:rPr>
        <w:footnoteRef/>
      </w:r>
      <w:r>
        <w:rPr>
          <w:rtl/>
        </w:rPr>
        <w:t xml:space="preserve"> </w:t>
      </w:r>
      <w:r>
        <w:rPr>
          <w:rFonts w:cs="Arial"/>
          <w:rtl/>
        </w:rPr>
        <w:t>פסול - להתירה לינשא.</w:t>
      </w:r>
      <w:r>
        <w:rPr>
          <w:rtl/>
        </w:rPr>
        <w:t xml:space="preserve"> </w:t>
      </w:r>
      <w:r>
        <w:rPr>
          <w:rFonts w:cs="Arial"/>
          <w:rtl/>
        </w:rPr>
        <w:t>ופוסל - מן הכהונה משום ריח הגט, רש"י.</w:t>
      </w:r>
    </w:p>
  </w:footnote>
  <w:footnote w:id="1525">
    <w:p w14:paraId="4454DA99" w14:textId="77777777" w:rsidR="00FA2119" w:rsidRDefault="00FA2119" w:rsidP="00FA2119">
      <w:pPr>
        <w:pStyle w:val="a5"/>
        <w:rPr>
          <w:rtl/>
        </w:rPr>
      </w:pPr>
      <w:r>
        <w:rPr>
          <w:rStyle w:val="a7"/>
        </w:rPr>
        <w:footnoteRef/>
      </w:r>
      <w:r>
        <w:rPr>
          <w:rtl/>
        </w:rPr>
        <w:t xml:space="preserve"> </w:t>
      </w:r>
      <w:r>
        <w:rPr>
          <w:rFonts w:cs="Arial"/>
          <w:rtl/>
        </w:rPr>
        <w:t>דודאי לאו בני עשויי נינהו, רש"י.</w:t>
      </w:r>
    </w:p>
  </w:footnote>
  <w:footnote w:id="1526">
    <w:p w14:paraId="0652EFAF" w14:textId="77777777" w:rsidR="00FA2119" w:rsidRDefault="00FA2119" w:rsidP="00FA2119">
      <w:pPr>
        <w:pStyle w:val="a5"/>
      </w:pPr>
      <w:r>
        <w:rPr>
          <w:rStyle w:val="a7"/>
        </w:rPr>
        <w:footnoteRef/>
      </w:r>
      <w:r>
        <w:rPr>
          <w:rtl/>
        </w:rPr>
        <w:t xml:space="preserve"> </w:t>
      </w:r>
      <w:r>
        <w:rPr>
          <w:rFonts w:cs="Arial"/>
          <w:rtl/>
        </w:rPr>
        <w:t>דעובדי כוכבים. עובדי כוכבים שעישוהו להוציא ובדין תורה אע"ג דלאו גיטא הוא גזור ביה רבנן לפסול בכהונה, משום דמיחלף בכדין דישראל ואתי למימר ישראל נמי שעישוהו כדין לא פסיל, וההוא גיטא מעליא הוא</w:t>
      </w:r>
      <w:r>
        <w:rPr>
          <w:rtl/>
        </w:rPr>
        <w:t>, רש"י.</w:t>
      </w:r>
    </w:p>
  </w:footnote>
  <w:footnote w:id="1527">
    <w:p w14:paraId="36C1C6B8" w14:textId="77777777" w:rsidR="00FA2119" w:rsidRDefault="00FA2119" w:rsidP="00FA2119">
      <w:pPr>
        <w:pStyle w:val="a5"/>
        <w:rPr>
          <w:rtl/>
        </w:rPr>
      </w:pPr>
      <w:r>
        <w:rPr>
          <w:rStyle w:val="a7"/>
        </w:rPr>
        <w:footnoteRef/>
      </w:r>
      <w:r>
        <w:rPr>
          <w:rtl/>
        </w:rPr>
        <w:t xml:space="preserve"> </w:t>
      </w:r>
      <w:r>
        <w:rPr>
          <w:rFonts w:cs="Arial"/>
          <w:rtl/>
        </w:rPr>
        <w:t>דעובדי כוכבים, בכדין דישראל - לא מיחלף. ואי אמרת מיחלף בשלא כדין דישראל, ואתי למימר שלא כדין דישראל נמי לא פסיל ואמרן לעיל דפסיל, היא גופה גזירה היא אטו כדין, וגזירה לגזירה לא גזרינן</w:t>
      </w:r>
      <w:r>
        <w:rPr>
          <w:rtl/>
        </w:rPr>
        <w:t>, רש"י.</w:t>
      </w:r>
    </w:p>
  </w:footnote>
  <w:footnote w:id="1528">
    <w:p w14:paraId="42F158E2" w14:textId="77777777" w:rsidR="00FA2119" w:rsidRDefault="00FA2119" w:rsidP="00FA2119">
      <w:pPr>
        <w:pStyle w:val="a5"/>
        <w:rPr>
          <w:rtl/>
        </w:rPr>
      </w:pPr>
      <w:r>
        <w:rPr>
          <w:rStyle w:val="a7"/>
        </w:rPr>
        <w:footnoteRef/>
      </w:r>
      <w:r>
        <w:rPr>
          <w:rtl/>
        </w:rPr>
        <w:t xml:space="preserve"> </w:t>
      </w:r>
      <w:r>
        <w:rPr>
          <w:rFonts w:cs="Arial"/>
          <w:rtl/>
        </w:rPr>
        <w:t>פי' היכא שהישראלים מעשין ומכריחין אותו ליתן את הגט כיון שהדייני' הם עכו"ם הגט פסול אפי' הדין אמת כגון איני זן ואיני מפרנס, תרומה (סי' קכח).</w:t>
      </w:r>
    </w:p>
  </w:footnote>
  <w:footnote w:id="1529">
    <w:p w14:paraId="3FEBC05A" w14:textId="77777777" w:rsidR="00FA2119" w:rsidRDefault="00FA2119" w:rsidP="00FA2119">
      <w:pPr>
        <w:pStyle w:val="a5"/>
      </w:pPr>
      <w:r>
        <w:rPr>
          <w:rStyle w:val="a7"/>
        </w:rPr>
        <w:footnoteRef/>
      </w:r>
      <w:r>
        <w:rPr>
          <w:rtl/>
        </w:rPr>
        <w:t xml:space="preserve"> </w:t>
      </w:r>
      <w:r>
        <w:rPr>
          <w:rFonts w:cs="Arial"/>
          <w:rtl/>
        </w:rPr>
        <w:t>פי' היכא שהעכו"ם מכריחין ליתן גט כמעשה ישראל, כלומר לעשות כדייני ישראל - כשר כיון שהדייני' ישראלים והדין אמת באומר איני זן ואיני מפרנס, תרומה (שם).</w:t>
      </w:r>
    </w:p>
  </w:footnote>
  <w:footnote w:id="1530">
    <w:p w14:paraId="523F05E6" w14:textId="77777777" w:rsidR="00FA2119" w:rsidRDefault="00FA2119" w:rsidP="00FA2119">
      <w:pPr>
        <w:pStyle w:val="a5"/>
      </w:pPr>
      <w:r>
        <w:rPr>
          <w:rStyle w:val="a7"/>
        </w:rPr>
        <w:footnoteRef/>
      </w:r>
      <w:r>
        <w:rPr>
          <w:rFonts w:cs="Arial"/>
          <w:rtl/>
        </w:rPr>
        <w:t xml:space="preserve"> היינו כשאמר רוצה אני וגם שביטל המודעא או לא מסרה, דאי מסרה ולא ביטל אפילו כדין - אינו גט כלל, כמו שכתבתי בסמוך </w:t>
      </w:r>
      <w:r>
        <w:rPr>
          <w:rFonts w:cs="Arial"/>
          <w:sz w:val="16"/>
          <w:szCs w:val="16"/>
          <w:rtl/>
        </w:rPr>
        <w:t>(ד"ה והא דאינו)</w:t>
      </w:r>
      <w:r>
        <w:rPr>
          <w:rFonts w:cs="Arial"/>
          <w:rtl/>
        </w:rPr>
        <w:t>. וכן בגוים למאן דאמר פסול מדרבנן כמו שיתבאר בסמוך היינו נמי כשאמר רוצה אני וגם ביטל מודעא או לא מסרה, דאי מסרה ולא ביטל - גט בטל הוא אפילו בישראל</w:t>
      </w:r>
      <w:r>
        <w:rPr>
          <w:rtl/>
        </w:rPr>
        <w:t xml:space="preserve">, </w:t>
      </w:r>
      <w:r>
        <w:rPr>
          <w:b/>
          <w:bCs/>
          <w:rtl/>
        </w:rPr>
        <w:t>ב"י</w:t>
      </w:r>
      <w:r>
        <w:rPr>
          <w:rtl/>
        </w:rPr>
        <w:t>.</w:t>
      </w:r>
      <w:r>
        <w:rPr>
          <w:rFonts w:cs="Arial"/>
          <w:rtl/>
        </w:rPr>
        <w:t xml:space="preserve"> וכן משמע, וכן הוא בתשו' הרשב"א </w:t>
      </w:r>
      <w:r>
        <w:rPr>
          <w:rFonts w:cs="Arial"/>
          <w:sz w:val="16"/>
          <w:szCs w:val="16"/>
          <w:rtl/>
        </w:rPr>
        <w:t>(ח"א סי' תקעג)</w:t>
      </w:r>
      <w:r>
        <w:rPr>
          <w:rFonts w:cs="Arial"/>
          <w:rtl/>
        </w:rPr>
        <w:t xml:space="preserve">, </w:t>
      </w:r>
      <w:r>
        <w:rPr>
          <w:rFonts w:cs="Arial"/>
          <w:b/>
          <w:bCs/>
          <w:rtl/>
        </w:rPr>
        <w:t>דרכ"מ</w:t>
      </w:r>
      <w:r>
        <w:rPr>
          <w:rFonts w:cs="Arial"/>
          <w:rtl/>
        </w:rPr>
        <w:t xml:space="preserve"> </w:t>
      </w:r>
      <w:r>
        <w:rPr>
          <w:rFonts w:cs="Arial"/>
          <w:sz w:val="16"/>
          <w:szCs w:val="16"/>
          <w:rtl/>
        </w:rPr>
        <w:t>(אות ג*)</w:t>
      </w:r>
      <w:r>
        <w:rPr>
          <w:rFonts w:cs="Arial"/>
          <w:rtl/>
        </w:rPr>
        <w:t>.</w:t>
      </w:r>
      <w:r>
        <w:rPr>
          <w:rtl/>
        </w:rPr>
        <w:t xml:space="preserve"> </w:t>
      </w:r>
      <w:r>
        <w:rPr>
          <w:color w:val="E36C0A" w:themeColor="accent6" w:themeShade="BF"/>
          <w:rtl/>
        </w:rPr>
        <w:t>(וכ"פ בשו"ע)</w:t>
      </w:r>
    </w:p>
  </w:footnote>
  <w:footnote w:id="1531">
    <w:p w14:paraId="56D23427" w14:textId="66461837" w:rsidR="00FA2119" w:rsidRDefault="00FA2119" w:rsidP="00FA2119">
      <w:pPr>
        <w:pStyle w:val="a5"/>
        <w:rPr>
          <w:rtl/>
        </w:rPr>
      </w:pPr>
      <w:r>
        <w:rPr>
          <w:rStyle w:val="a7"/>
        </w:rPr>
        <w:footnoteRef/>
      </w:r>
      <w:r>
        <w:rPr>
          <w:rtl/>
        </w:rPr>
        <w:t xml:space="preserve"> </w:t>
      </w:r>
      <w:r w:rsidR="000A0F5A">
        <w:rPr>
          <w:rFonts w:cs="Arial"/>
          <w:rtl/>
        </w:rPr>
        <w:t>וז"ל:</w:t>
      </w:r>
      <w:r>
        <w:rPr>
          <w:rFonts w:cs="Arial"/>
          <w:rtl/>
        </w:rPr>
        <w:t xml:space="preserve"> מי שהדין נותן שכופין אותו לגרש את אשתו ולא רצה לגרש... אם הגוים מעצמן אנסוהו עד שכתב, הואיל והדין נותן שיכתוב - הרי זה גט פסול. ולמה לא בטל גט זה שהרי הוא אנוס בין ביד גוים בין ביד ישראל, שאין אומרין אנוס אלא למי שנלחץ ונדחק לעשות דבר שאינו מחוייב מן התורה לעשותו כגון מי שהוכה עד שמכר או נתן אבל מי שתקפו יצרו הרע לבטל מצוה או לעשות עבירה והוכה עד שעשה דבר שחייב לעשותו או עד שנתרחק מדבר שאסור לעשותו אין זה אנוס ממנו אלא הוא אנס עצמו בדעתו הרעה. לפיכך זה שאינו רוצה לגרש מאחר שהוא רוצה להיות מישראל רוצה הוא לעשות כל המצות ולהתרחק מן העבירות ויצרו הוא שתקפו וכיון שהוכה עד שתשש יצרו ואמר רוצה אני כבר גרש לרצונו... ואם הגוים אנסוהו לגרש שלא כדין אינו גט, אף על פי שאמר בגוים רוצה אני ואמר לישראל כתבו וחתמו הואיל ואין הדין מחייבו להוציא והגוים אנסוהו - אינו גט.</w:t>
      </w:r>
    </w:p>
  </w:footnote>
  <w:footnote w:id="1532">
    <w:p w14:paraId="59278FB6" w14:textId="0B30D83C" w:rsidR="00FA2119" w:rsidRDefault="00FA2119" w:rsidP="00FA2119">
      <w:pPr>
        <w:pStyle w:val="a5"/>
      </w:pPr>
      <w:r>
        <w:rPr>
          <w:rStyle w:val="a7"/>
        </w:rPr>
        <w:footnoteRef/>
      </w:r>
      <w:r>
        <w:rPr>
          <w:rtl/>
        </w:rPr>
        <w:t xml:space="preserve"> </w:t>
      </w:r>
      <w:r w:rsidR="000A0F5A">
        <w:rPr>
          <w:rFonts w:cs="Arial"/>
          <w:rtl/>
        </w:rPr>
        <w:t>וז"ל:</w:t>
      </w:r>
      <w:r>
        <w:rPr>
          <w:rFonts w:cs="Arial"/>
          <w:rtl/>
        </w:rPr>
        <w:t xml:space="preserve"> מי שהדין נותן שכופין אותו לגרש את אשתו ולא רצה לגרש, בית דין של ישראל בכל מקום ובכל זמן מכין אותו עד שיאמר רוצה אני ויכתוב הגט והוא גט כשר. וכן אם הכוהו גוים ואמרו לו 'עשה מה שישראל אומרין לך', ולחצו אותו ישראל ביד הגוים עד שיגרש - הרי זה כשר</w:t>
      </w:r>
      <w:r>
        <w:rPr>
          <w:rtl/>
        </w:rPr>
        <w:t>.</w:t>
      </w:r>
    </w:p>
  </w:footnote>
  <w:footnote w:id="1533">
    <w:p w14:paraId="5DC12743" w14:textId="77777777" w:rsidR="00FA2119" w:rsidRDefault="00FA2119" w:rsidP="00FA2119">
      <w:pPr>
        <w:pStyle w:val="a5"/>
        <w:rPr>
          <w:rtl/>
        </w:rPr>
      </w:pPr>
      <w:r>
        <w:rPr>
          <w:rStyle w:val="a7"/>
        </w:rPr>
        <w:footnoteRef/>
      </w:r>
      <w:r>
        <w:rPr>
          <w:rtl/>
        </w:rPr>
        <w:t xml:space="preserve"> </w:t>
      </w:r>
      <w:r>
        <w:rPr>
          <w:rFonts w:cs="Arial"/>
          <w:rtl/>
        </w:rPr>
        <w:t>כבר כתבתי שלא כדין בישראל ובעכו"ם כדין פסול מדאורייתא אלא י"ל דתפסי בה קידושין של אחר דיש לגזור אטו כדין בישראל, ב"ש (סקי"ג).</w:t>
      </w:r>
    </w:p>
  </w:footnote>
  <w:footnote w:id="1534">
    <w:p w14:paraId="560C0FA1" w14:textId="39B7C81A" w:rsidR="00FA2119" w:rsidRDefault="00FA2119" w:rsidP="00FA2119">
      <w:pPr>
        <w:pStyle w:val="a5"/>
      </w:pPr>
      <w:r>
        <w:rPr>
          <w:rStyle w:val="a7"/>
        </w:rPr>
        <w:footnoteRef/>
      </w:r>
      <w:r>
        <w:rPr>
          <w:rtl/>
        </w:rPr>
        <w:t xml:space="preserve"> </w:t>
      </w:r>
      <w:r>
        <w:rPr>
          <w:rFonts w:cs="Arial"/>
          <w:rtl/>
        </w:rPr>
        <w:t xml:space="preserve">ע' בתשו' הרדב"ז </w:t>
      </w:r>
      <w:r>
        <w:rPr>
          <w:rFonts w:cs="Arial"/>
          <w:sz w:val="16"/>
          <w:szCs w:val="16"/>
          <w:rtl/>
        </w:rPr>
        <w:t>(ח"ה סי' שני אלפים צה)</w:t>
      </w:r>
      <w:r>
        <w:rPr>
          <w:rFonts w:cs="Arial"/>
          <w:rtl/>
        </w:rPr>
        <w:t xml:space="preserve"> שכ' דאפילו אם לא היו מכין אותו רק היה איום בלבד בדבר שיש בידו לעשותו נקרא אונס </w:t>
      </w:r>
      <w:r>
        <w:rPr>
          <w:rFonts w:cs="Arial"/>
          <w:sz w:val="16"/>
          <w:szCs w:val="16"/>
          <w:rtl/>
        </w:rPr>
        <w:t>(ומסיים שם על עובדא דידיה וז"ל כללא דמלתא כל זמן שאנשי השופט שם אף על פי שיאמר רוצה אני כמה פעמים הוי גט מעושה ואם אחר שהלכו אנשי השופט ונסתלק האונס שאלוהו אם תרצה לגרש ואמר רוצה אני הגט כשר והקולר תלוי בצואר החכם המסדר הגט כי הוא יודע אם נסתלק האונס או לא ויחוש לעצמו ועדיין לבי מהסס בגט זה כיון שגילה דעתו בתחילה בעת שהיו אנשי השופט כששאלוהו הדיין אם הוא נותן הגט מרצונו והשיב ברצוני או שלא ברצוני אין לך מודעא גדולה מזו ואפילו שלא נתברר האונס שתלה בו מודעתו כו' הלכך בנ"ד כיון שבתחלה היה אונס וגילה בדעתו שאמר מרצוני או שלא מרצוני אף על פי שהלכו משם אנשי השופט ואמר אח"כ מרצוני יש לחוש אם לא שיתברר אצל מסדר הגט שאנשי השופט לא איימו עליו ולא אנסוהו כלל שאפי' אמר בתחלה מרצוני או שלא מרצוני שלא מחמת צד אונס הגט כשר עכ"ל)</w:t>
      </w:r>
      <w:r>
        <w:rPr>
          <w:rtl/>
        </w:rPr>
        <w:t>, פת"ש (סקט"ו).</w:t>
      </w:r>
    </w:p>
  </w:footnote>
  <w:footnote w:id="1535">
    <w:p w14:paraId="27C0689C" w14:textId="2D3F3B53" w:rsidR="00FA2119" w:rsidRDefault="00FA2119" w:rsidP="00FA2119">
      <w:pPr>
        <w:pStyle w:val="a5"/>
        <w:rPr>
          <w:rtl/>
        </w:rPr>
      </w:pPr>
      <w:r>
        <w:rPr>
          <w:rStyle w:val="a7"/>
        </w:rPr>
        <w:footnoteRef/>
      </w:r>
      <w:r>
        <w:rPr>
          <w:rtl/>
        </w:rPr>
        <w:t xml:space="preserve"> </w:t>
      </w:r>
      <w:r>
        <w:rPr>
          <w:rFonts w:cs="Arial"/>
          <w:rtl/>
        </w:rPr>
        <w:t>עב"ש סקי"ד, וע' בת' הרשב"ץ (סי' א) ובת' בנו הרשב"ש (סי' שלט) שגם הם צדדו להקל בנתנו לו מעות ע"ש. ועי' בת' משכנות יעקב (סי' לח בת' ג אות ה) שכ' דנראה ברור דלא כתבו המקילים להקל בקיבל מעות רק אם נתנו לו מעות שלא היה לו בהן זכות מקודם</w:t>
      </w:r>
      <w:r w:rsidR="00325ECF">
        <w:rPr>
          <w:rFonts w:cs="Arial" w:hint="cs"/>
          <w:rtl/>
        </w:rPr>
        <w:t>,</w:t>
      </w:r>
      <w:r>
        <w:rPr>
          <w:rFonts w:cs="Arial"/>
          <w:rtl/>
        </w:rPr>
        <w:t xml:space="preserve"> כגון שנתנו לו קרובי האשה. אבל אם ויתרו לו קצת מנדוניית האשה אשר גם מקודם הגירושין היו שייכים לו וזכה באשה ובנכסים שלה, היעלה על הדעת שבשביל שנתנו לו קצת מנכסיה יהיה דומה לזבינא? הא למה זה דומה לאחד שגזלו ממנו קרקע וסך רב מעות ועשו עמו פשרה להחזיר לו קצת מעות כו'. וסברא זו נכונה ומבוארת גם בתשו' הר"ר בצלאל ז"ל. ובר מן דין שאין סברא זו דקבלת מעות דמיא לזבינא מוסכמת כלל, כמבואר בתשו' ר"ב בשם רוב הפוסקים ובתשו' מהרי"ט צהלין בשם הרא"ם בתשובה </w:t>
      </w:r>
      <w:r>
        <w:rPr>
          <w:rFonts w:cs="Arial"/>
          <w:sz w:val="16"/>
          <w:szCs w:val="16"/>
          <w:rtl/>
        </w:rPr>
        <w:t>(גם בתשו' הרדב"ז ח"ה סי' ב' אלפים ל"ה מבואר גם כן דאפילו קיבל מעות הוי גט מעושה)</w:t>
      </w:r>
      <w:r>
        <w:rPr>
          <w:rFonts w:cs="Arial"/>
          <w:rtl/>
        </w:rPr>
        <w:t>. ומה שקצת פוסקים דקדקו להקל מדברי הרשב"ם לענ"ד נראה ברור דאין זו ראיה כלל כו' ע"ש עוד בתשובה רביעית מן אות כ"ה עד אות ל"ו</w:t>
      </w:r>
      <w:r>
        <w:rPr>
          <w:rtl/>
        </w:rPr>
        <w:t>, פת"ש (סקט"ז).</w:t>
      </w:r>
    </w:p>
  </w:footnote>
  <w:footnote w:id="1536">
    <w:p w14:paraId="1483392E" w14:textId="77777777" w:rsidR="00DA2ACC" w:rsidRDefault="00DA2ACC" w:rsidP="00DA2ACC">
      <w:pPr>
        <w:pStyle w:val="a5"/>
      </w:pPr>
      <w:r>
        <w:rPr>
          <w:rStyle w:val="a7"/>
        </w:rPr>
        <w:footnoteRef/>
      </w:r>
      <w:r>
        <w:rPr>
          <w:rtl/>
        </w:rPr>
        <w:t xml:space="preserve"> </w:t>
      </w:r>
      <w:r>
        <w:rPr>
          <w:rFonts w:cs="Arial"/>
          <w:rtl/>
        </w:rPr>
        <w:t xml:space="preserve">פי' אע"פ שאמר להם לעדים ראו גט שאני נותן לה משום דלאו בת אגרושי היא לפי שאין הגט שמור בידה כדאמרי' בגמ' </w:t>
      </w:r>
      <w:r>
        <w:rPr>
          <w:rFonts w:cs="Arial"/>
          <w:sz w:val="16"/>
          <w:szCs w:val="16"/>
          <w:rtl/>
        </w:rPr>
        <w:t>(אבל אי לא אמר להו לעדים ראו גט שאני נותן לה למה לי ישנה דנקט אפי' נתן בידה והיא נעורה נמי אינו גט, כדאמרי' בפ"ק דקידושין (ו.) דבזמן שאין עסוקים באותו ענין צריך לפרש וזו אינה עסוקה באותו ענין שהרי ישנה היא)</w:t>
      </w:r>
      <w:r>
        <w:rPr>
          <w:rFonts w:cs="Arial"/>
          <w:rtl/>
        </w:rPr>
        <w:t xml:space="preserve">, </w:t>
      </w:r>
      <w:r>
        <w:rPr>
          <w:rFonts w:cs="Arial"/>
          <w:b/>
          <w:bCs/>
          <w:rtl/>
        </w:rPr>
        <w:t>רשב"א</w:t>
      </w:r>
      <w:r>
        <w:rPr>
          <w:rFonts w:cs="Arial"/>
          <w:rtl/>
        </w:rPr>
        <w:t xml:space="preserve"> (שם בא"ד). </w:t>
      </w:r>
      <w:r>
        <w:rPr>
          <w:rFonts w:cs="Arial"/>
          <w:b/>
          <w:bCs/>
          <w:rtl/>
        </w:rPr>
        <w:t>ורי"ו</w:t>
      </w:r>
      <w:r>
        <w:rPr>
          <w:rFonts w:cs="Arial"/>
          <w:rtl/>
        </w:rPr>
        <w:t xml:space="preserve"> כתב (ח"ה נכ"ד סוף ריא:) בשם התוספות (תוספות הרא"ש גיטין עח. ד"ה נתן) דמיירי הכא בהיה מדבר עמה תחלה על עסקי גיטה ואילו היתה נעורה היתה מגורשת, אבל מפני שהיא ישינה הוא דאינה מגורשת. וכיוצא בזה כתב </w:t>
      </w:r>
      <w:r>
        <w:rPr>
          <w:rFonts w:cs="Arial"/>
          <w:b/>
          <w:bCs/>
          <w:rtl/>
        </w:rPr>
        <w:t>הר"ן</w:t>
      </w:r>
      <w:r>
        <w:rPr>
          <w:rFonts w:cs="Arial"/>
          <w:rtl/>
        </w:rPr>
        <w:t xml:space="preserve"> ז"ל (שם).</w:t>
      </w:r>
    </w:p>
  </w:footnote>
  <w:footnote w:id="1537">
    <w:p w14:paraId="09355D60" w14:textId="1CFB9068" w:rsidR="00DA2ACC" w:rsidRDefault="00DA2ACC" w:rsidP="00DA2ACC">
      <w:pPr>
        <w:pStyle w:val="a5"/>
        <w:rPr>
          <w:rtl/>
        </w:rPr>
      </w:pPr>
      <w:r>
        <w:rPr>
          <w:rStyle w:val="a7"/>
        </w:rPr>
        <w:footnoteRef/>
      </w:r>
      <w:r>
        <w:rPr>
          <w:rtl/>
        </w:rPr>
        <w:t xml:space="preserve"> </w:t>
      </w:r>
      <w:r w:rsidRPr="003F6B22">
        <w:rPr>
          <w:rFonts w:cs="Arial"/>
          <w:rtl/>
        </w:rPr>
        <w:t>ודברי הרמ"ה אינם במוסר מודעא קודם כתיבת הגט</w:t>
      </w:r>
      <w:r w:rsidR="003F6B22">
        <w:rPr>
          <w:rFonts w:cs="Arial" w:hint="cs"/>
          <w:rtl/>
        </w:rPr>
        <w:t>,</w:t>
      </w:r>
      <w:r w:rsidRPr="003F6B22">
        <w:rPr>
          <w:rFonts w:cs="Arial"/>
          <w:rtl/>
        </w:rPr>
        <w:t xml:space="preserve"> דאז הגט עצמו בטל ואינו יכול לגרש בו וכמו שכתב הרמב"ם בפ"ו (הי"ט), אלא בשנכתב הגט בכשרות ואח"כ מסר מודעא על נתינתו ונתנו, בהא קאמר הרמ"ה דכשביטל המודעא אינו צריך ליטלו ממנה אלא באומר לה תתגרשי בו סגי. ולא כתב כאן שאומר לה </w:t>
      </w:r>
      <w:r w:rsidR="003F6B22">
        <w:rPr>
          <w:rFonts w:cs="Arial" w:hint="cs"/>
          <w:rtl/>
        </w:rPr>
        <w:t>"</w:t>
      </w:r>
      <w:r w:rsidRPr="003F6B22">
        <w:rPr>
          <w:rFonts w:cs="Arial"/>
          <w:rtl/>
        </w:rPr>
        <w:t>הא גיטך</w:t>
      </w:r>
      <w:r w:rsidR="003F6B22">
        <w:rPr>
          <w:rFonts w:cs="Arial" w:hint="cs"/>
          <w:rtl/>
        </w:rPr>
        <w:t>"</w:t>
      </w:r>
      <w:r w:rsidRPr="003F6B22">
        <w:rPr>
          <w:rFonts w:cs="Arial"/>
          <w:rtl/>
        </w:rPr>
        <w:t xml:space="preserve"> כלישנא דברייתא משום דהתם דלא נתנו לה בתורת גירושין אלא בתורת שטר חוב או שהיתה ישינה שייך לומר אח"כ הא גיטך, אבל במוסר מודעא שכשנתנו לה אמר לה הא גיטך לא שייך לומר אח"כ הא גיטך אלא תתגרשי בגט שנתתי לך, ב"י</w:t>
      </w:r>
      <w:r w:rsidR="003F6B22" w:rsidRPr="003F6B22">
        <w:rPr>
          <w:rFonts w:cs="Arial" w:hint="cs"/>
          <w:rtl/>
        </w:rPr>
        <w:t>.</w:t>
      </w:r>
    </w:p>
  </w:footnote>
  <w:footnote w:id="1538">
    <w:p w14:paraId="1B79E956" w14:textId="77777777" w:rsidR="00FA2119" w:rsidRDefault="00FA2119" w:rsidP="00FA2119">
      <w:pPr>
        <w:pStyle w:val="a5"/>
      </w:pPr>
      <w:r>
        <w:rPr>
          <w:rStyle w:val="a7"/>
        </w:rPr>
        <w:footnoteRef/>
      </w:r>
      <w:r>
        <w:rPr>
          <w:rtl/>
        </w:rPr>
        <w:t xml:space="preserve"> </w:t>
      </w:r>
      <w:r>
        <w:rPr>
          <w:rFonts w:cs="Arial"/>
          <w:rtl/>
        </w:rPr>
        <w:t>עדי מסירה, רש"י.</w:t>
      </w:r>
    </w:p>
  </w:footnote>
  <w:footnote w:id="1539">
    <w:p w14:paraId="2EF958B7" w14:textId="77777777" w:rsidR="00FA2119" w:rsidRDefault="00FA2119" w:rsidP="00FA2119">
      <w:pPr>
        <w:pStyle w:val="a5"/>
      </w:pPr>
      <w:r>
        <w:rPr>
          <w:rStyle w:val="a7"/>
        </w:rPr>
        <w:footnoteRef/>
      </w:r>
      <w:r>
        <w:rPr>
          <w:rtl/>
        </w:rPr>
        <w:t xml:space="preserve"> </w:t>
      </w:r>
      <w:r>
        <w:rPr>
          <w:rFonts w:cs="Arial"/>
          <w:rtl/>
        </w:rPr>
        <w:t>תחת כנפיו, רש"י.</w:t>
      </w:r>
    </w:p>
  </w:footnote>
  <w:footnote w:id="1540">
    <w:p w14:paraId="2ECD4178" w14:textId="77777777" w:rsidR="00FA2119" w:rsidRDefault="00FA2119" w:rsidP="00FA2119">
      <w:pPr>
        <w:pStyle w:val="a5"/>
      </w:pPr>
      <w:r>
        <w:rPr>
          <w:rStyle w:val="a7"/>
        </w:rPr>
        <w:footnoteRef/>
      </w:r>
      <w:r>
        <w:rPr>
          <w:rtl/>
        </w:rPr>
        <w:t xml:space="preserve"> </w:t>
      </w:r>
      <w:r>
        <w:rPr>
          <w:rFonts w:hint="cs"/>
          <w:rtl/>
        </w:rPr>
        <w:t>משנה היא בהזורק (גיטין פ.).</w:t>
      </w:r>
    </w:p>
  </w:footnote>
  <w:footnote w:id="1541">
    <w:p w14:paraId="13555C08" w14:textId="77777777" w:rsidR="00FA2119" w:rsidRDefault="00FA2119" w:rsidP="00FA2119">
      <w:pPr>
        <w:pStyle w:val="a5"/>
      </w:pPr>
      <w:r>
        <w:rPr>
          <w:rStyle w:val="a7"/>
        </w:rPr>
        <w:footnoteRef/>
      </w:r>
      <w:r>
        <w:rPr>
          <w:rtl/>
        </w:rPr>
        <w:t xml:space="preserve"> </w:t>
      </w:r>
      <w:r>
        <w:rPr>
          <w:rFonts w:cs="Arial"/>
          <w:rtl/>
        </w:rPr>
        <w:t>סבורה היתה שהוא גט כשר, רש"י.</w:t>
      </w:r>
    </w:p>
  </w:footnote>
  <w:footnote w:id="1542">
    <w:p w14:paraId="4CB864AA" w14:textId="28E21248" w:rsidR="00FA2119" w:rsidRDefault="00FA2119" w:rsidP="00FA2119">
      <w:pPr>
        <w:pStyle w:val="a5"/>
      </w:pPr>
      <w:r>
        <w:rPr>
          <w:rStyle w:val="a7"/>
        </w:rPr>
        <w:footnoteRef/>
      </w:r>
      <w:r>
        <w:rPr>
          <w:rtl/>
        </w:rPr>
        <w:t xml:space="preserve"> </w:t>
      </w:r>
      <w:r>
        <w:rPr>
          <w:rFonts w:hint="cs"/>
          <w:rtl/>
        </w:rPr>
        <w:t xml:space="preserve">והביא המרדכי (סי' שמג) דברי ר"י הנ"ל וכתב, </w:t>
      </w:r>
      <w:r w:rsidR="000A0F5A">
        <w:rPr>
          <w:rFonts w:hint="cs"/>
          <w:rtl/>
        </w:rPr>
        <w:t>וז</w:t>
      </w:r>
      <w:r w:rsidR="000A0F5A">
        <w:rPr>
          <w:rtl/>
        </w:rPr>
        <w:t>"</w:t>
      </w:r>
      <w:r w:rsidR="000A0F5A">
        <w:rPr>
          <w:rFonts w:hint="cs"/>
          <w:rtl/>
        </w:rPr>
        <w:t>ל:</w:t>
      </w:r>
      <w:r>
        <w:rPr>
          <w:rFonts w:hint="cs"/>
          <w:rtl/>
        </w:rPr>
        <w:t xml:space="preserve"> </w:t>
      </w:r>
      <w:r>
        <w:rPr>
          <w:rFonts w:cs="Arial"/>
          <w:rtl/>
        </w:rPr>
        <w:t>ולא נראה להר"ם משום דבעינן דבשעת נתינה ידעו סהדי דהוי גט</w:t>
      </w:r>
      <w:r>
        <w:rPr>
          <w:rtl/>
        </w:rPr>
        <w:t xml:space="preserve">. עכ"ל. וכתב ערוה"ש (סע' ד)- </w:t>
      </w:r>
      <w:r>
        <w:rPr>
          <w:rFonts w:cs="Arial"/>
          <w:rtl/>
        </w:rPr>
        <w:t xml:space="preserve">ונ"ל דלא פליגי כלל, דוודאי אם הע"מ היו שם בעת עשיית הגט בכתיבתו וחתימתו וידעו שעניין גט הוא - כו"ע מודים, דמה בכך אם לא קראוהו קודם נתינה כיון שקראוהו אח"כ. אמנם אם לא ידעו כלל מעניינו של גט, וקראום מן השוק להיות לע"מ על הגט, ולא ראוהו ולא קראוהו - וודאי דיש לחוש לזה, אא"כ קראוהו תוך כדי דיבור של הנתינה [כנלע"ד]. ודע דאין העיקר הקריאה של הגט דאין בו מצות קריאה והעיקר לידע שהנייר הזה הוא הגט שכתב איש זה לאשתו זו ולכן אם הע"מ יעיינו בטוב שזהו גיטה א"צ יותר [ומ"ש הרמ"א וכן אם יעידו הוא טה"ד וכצ"ל אם יעיינו כמ"ש </w:t>
      </w:r>
      <w:r w:rsidR="009334FF">
        <w:rPr>
          <w:rFonts w:cs="Arial"/>
          <w:rtl/>
        </w:rPr>
        <w:t>בהג"ה</w:t>
      </w:r>
      <w:r>
        <w:rPr>
          <w:rFonts w:cs="Arial"/>
          <w:rtl/>
        </w:rPr>
        <w:t>ת הטור].</w:t>
      </w:r>
    </w:p>
  </w:footnote>
  <w:footnote w:id="1543">
    <w:p w14:paraId="58FAABB7" w14:textId="77777777" w:rsidR="00FA2119" w:rsidRDefault="00FA2119" w:rsidP="00FA2119">
      <w:pPr>
        <w:pStyle w:val="a5"/>
      </w:pPr>
      <w:r>
        <w:rPr>
          <w:rStyle w:val="a7"/>
        </w:rPr>
        <w:footnoteRef/>
      </w:r>
      <w:r>
        <w:rPr>
          <w:rtl/>
        </w:rPr>
        <w:t xml:space="preserve"> </w:t>
      </w:r>
      <w:r>
        <w:rPr>
          <w:rFonts w:cs="Arial"/>
          <w:rtl/>
        </w:rPr>
        <w:t xml:space="preserve">והיכא דלא קראוהו כלל ונישאת אינו מבורר בדבריו אם תצא כדמשמע מתירוץ שני </w:t>
      </w:r>
      <w:r>
        <w:rPr>
          <w:rFonts w:cs="Arial"/>
          <w:sz w:val="16"/>
          <w:szCs w:val="16"/>
          <w:rtl/>
        </w:rPr>
        <w:t>{של התוס'}</w:t>
      </w:r>
      <w:r>
        <w:rPr>
          <w:rFonts w:cs="Arial"/>
          <w:rtl/>
        </w:rPr>
        <w:t xml:space="preserve">, או אם לא תצא כדברי תירוץ ראשון </w:t>
      </w:r>
      <w:r>
        <w:rPr>
          <w:rFonts w:cs="Arial"/>
          <w:sz w:val="16"/>
          <w:szCs w:val="16"/>
          <w:rtl/>
        </w:rPr>
        <w:t>{של התוס'}</w:t>
      </w:r>
      <w:r>
        <w:rPr>
          <w:rFonts w:cs="Arial"/>
          <w:rtl/>
        </w:rPr>
        <w:t xml:space="preserve">. ורבינו נראה דתפס לו עיקר כתירוץ ראשון דלא תצא. וכן דעת רי"ו </w:t>
      </w:r>
      <w:r>
        <w:rPr>
          <w:rFonts w:cs="Arial"/>
          <w:sz w:val="16"/>
          <w:szCs w:val="16"/>
          <w:rtl/>
        </w:rPr>
        <w:t>(ח"ה נכ"ד רי ע"ד)</w:t>
      </w:r>
      <w:r>
        <w:rPr>
          <w:rFonts w:cs="Arial"/>
          <w:rtl/>
        </w:rPr>
        <w:t>, ב"י.</w:t>
      </w:r>
    </w:p>
  </w:footnote>
  <w:footnote w:id="1544">
    <w:p w14:paraId="33F31364" w14:textId="77777777" w:rsidR="002B7D52" w:rsidRDefault="002B7D52" w:rsidP="002B7D52">
      <w:pPr>
        <w:pStyle w:val="a5"/>
      </w:pPr>
      <w:r>
        <w:rPr>
          <w:rStyle w:val="a7"/>
        </w:rPr>
        <w:footnoteRef/>
      </w:r>
      <w:r>
        <w:rPr>
          <w:rtl/>
        </w:rPr>
        <w:t xml:space="preserve"> </w:t>
      </w:r>
      <w:r>
        <w:rPr>
          <w:rFonts w:hint="cs"/>
          <w:rtl/>
        </w:rPr>
        <w:t xml:space="preserve">וז"ל: </w:t>
      </w:r>
      <w:r>
        <w:rPr>
          <w:rFonts w:cs="Arial"/>
          <w:rtl/>
        </w:rPr>
        <w:t>מדלא פרקינן הא לכתחלה הא בדיעבד משמע דאפילו בדיעבד אינה מגורשת עד דקריוה תחלה או סוף</w:t>
      </w:r>
      <w:r>
        <w:rPr>
          <w:rFonts w:cs="Arial" w:hint="cs"/>
          <w:rtl/>
        </w:rPr>
        <w:t>.</w:t>
      </w:r>
    </w:p>
  </w:footnote>
  <w:footnote w:id="1545">
    <w:p w14:paraId="239A8325" w14:textId="77777777" w:rsidR="00FA2119" w:rsidRDefault="00FA2119" w:rsidP="00FA2119">
      <w:pPr>
        <w:pStyle w:val="a5"/>
      </w:pPr>
      <w:r>
        <w:rPr>
          <w:rStyle w:val="a7"/>
        </w:rPr>
        <w:footnoteRef/>
      </w:r>
      <w:r>
        <w:rPr>
          <w:rtl/>
        </w:rPr>
        <w:t xml:space="preserve"> </w:t>
      </w:r>
      <w:r>
        <w:rPr>
          <w:rFonts w:cs="Arial"/>
          <w:rtl/>
        </w:rPr>
        <w:t>וכן נראה שהוא דעת סמ"ג (עשין נ קל ע"ג) והגהות (פ"א שם) שלא כתבו אלא תירוץ שני. וכן נראה מדברי הר"ן (פ"ב דגיטין ט:) גבי ההוא גברא דזרק גיטא לדביתהו לביני דני, ב"י.</w:t>
      </w:r>
    </w:p>
  </w:footnote>
  <w:footnote w:id="1546">
    <w:p w14:paraId="79A5D8FC" w14:textId="6194DA86" w:rsidR="00FA2119" w:rsidRDefault="00FA2119" w:rsidP="00FA2119">
      <w:pPr>
        <w:pStyle w:val="a5"/>
        <w:rPr>
          <w:rFonts w:cs="Arial"/>
          <w:rtl/>
        </w:rPr>
      </w:pPr>
      <w:r>
        <w:rPr>
          <w:rStyle w:val="a7"/>
        </w:rPr>
        <w:footnoteRef/>
      </w:r>
      <w:r>
        <w:rPr>
          <w:rtl/>
        </w:rPr>
        <w:t xml:space="preserve"> </w:t>
      </w:r>
      <w:r>
        <w:rPr>
          <w:rFonts w:cs="Arial"/>
          <w:rtl/>
        </w:rPr>
        <w:t>וכל ספק מגורשת אפילו אם נישאת תצא,</w:t>
      </w:r>
      <w:r>
        <w:rPr>
          <w:rFonts w:cs="Arial"/>
          <w:b/>
          <w:bCs/>
          <w:rtl/>
        </w:rPr>
        <w:t xml:space="preserve"> ב"י</w:t>
      </w:r>
      <w:r>
        <w:rPr>
          <w:rFonts w:cs="Arial"/>
          <w:rtl/>
        </w:rPr>
        <w:t xml:space="preserve">. מיהו כתב רי"ו (ח"ה נכ"ד רי ע"ד) דאם הגט עדיין קיים בידה יקראוהו עדיין אע"פ שלא קראוהו בשעת נתינה, ואם נישאת לא תצא, ומכל מקום לכתחלה לא תנשא בגט זה מאחר שלא קראוהו מיד אחר הנתינה. כן נראה מדברי רי"ו (ודלא כב"י שכתב שלא הבין דברי רי"ו)... וכ"כ מהרא"י בפסקיו (תרוה"ד ח"ב סי' כ) דמכל מקום אם נמצא גט כשר בידה לא תצא, מיהו הגט פסול. ולדבריו אם הבעל אומר ששטר אחר היה תצא ועיין שם, </w:t>
      </w:r>
      <w:r>
        <w:rPr>
          <w:rFonts w:cs="Arial"/>
          <w:b/>
          <w:bCs/>
          <w:rtl/>
        </w:rPr>
        <w:t>דרכ"מ</w:t>
      </w:r>
      <w:r>
        <w:rPr>
          <w:rFonts w:cs="Arial"/>
          <w:rtl/>
        </w:rPr>
        <w:t xml:space="preserve"> (אות א-ב). </w:t>
      </w:r>
      <w:r>
        <w:rPr>
          <w:rFonts w:cs="Arial"/>
          <w:color w:val="00B0F0"/>
          <w:rtl/>
        </w:rPr>
        <w:t xml:space="preserve">(וכ"פ </w:t>
      </w:r>
      <w:r w:rsidR="009334FF">
        <w:rPr>
          <w:rFonts w:cs="Arial"/>
          <w:color w:val="00B0F0"/>
          <w:rtl/>
        </w:rPr>
        <w:t>בהג"ה</w:t>
      </w:r>
      <w:r>
        <w:rPr>
          <w:rFonts w:cs="Arial"/>
          <w:color w:val="00B0F0"/>
          <w:rtl/>
        </w:rPr>
        <w:t>)</w:t>
      </w:r>
    </w:p>
  </w:footnote>
  <w:footnote w:id="1547">
    <w:p w14:paraId="6A8244BD" w14:textId="77777777" w:rsidR="00FA2119" w:rsidRDefault="00FA2119" w:rsidP="00FA2119">
      <w:pPr>
        <w:pStyle w:val="a5"/>
      </w:pPr>
      <w:r>
        <w:rPr>
          <w:rStyle w:val="a7"/>
        </w:rPr>
        <w:footnoteRef/>
      </w:r>
      <w:r>
        <w:rPr>
          <w:rtl/>
        </w:rPr>
        <w:t xml:space="preserve"> </w:t>
      </w:r>
      <w:r>
        <w:rPr>
          <w:rFonts w:cs="Arial"/>
          <w:rtl/>
        </w:rPr>
        <w:t>ודברים תמוהים הם דהא דמי קצת לעייליה לבי ידיה ומידי ספיקא מיהא לא נפקא לכתחלה מיהא</w:t>
      </w:r>
      <w:r>
        <w:rPr>
          <w:rtl/>
        </w:rPr>
        <w:t>, ב"י.</w:t>
      </w:r>
    </w:p>
  </w:footnote>
  <w:footnote w:id="1548">
    <w:p w14:paraId="2293F6FB" w14:textId="079D420C" w:rsidR="00FA2119" w:rsidRDefault="00FA2119" w:rsidP="00FA2119">
      <w:pPr>
        <w:pStyle w:val="a5"/>
        <w:rPr>
          <w:rtl/>
        </w:rPr>
      </w:pPr>
      <w:r>
        <w:rPr>
          <w:rStyle w:val="a7"/>
        </w:rPr>
        <w:footnoteRef/>
      </w:r>
      <w:r>
        <w:rPr>
          <w:rtl/>
        </w:rPr>
        <w:t xml:space="preserve"> </w:t>
      </w:r>
      <w:r>
        <w:rPr>
          <w:rFonts w:cs="Arial"/>
          <w:rtl/>
        </w:rPr>
        <w:t>וכן נוהגין אלא שאנו מחמירים שהחכם אומר לעדים שיקראו הגט עמו תחלה וסוף, דרכ"מ (אות ג).</w:t>
      </w:r>
      <w:r>
        <w:rPr>
          <w:rtl/>
        </w:rPr>
        <w:t xml:space="preserve"> </w:t>
      </w:r>
      <w:r>
        <w:rPr>
          <w:color w:val="00B0F0"/>
          <w:rtl/>
        </w:rPr>
        <w:t xml:space="preserve">(וכ"פ </w:t>
      </w:r>
      <w:r w:rsidR="009334FF">
        <w:rPr>
          <w:color w:val="00B0F0"/>
          <w:rtl/>
        </w:rPr>
        <w:t>בהג"ה</w:t>
      </w:r>
      <w:r>
        <w:rPr>
          <w:color w:val="00B0F0"/>
          <w:rtl/>
        </w:rPr>
        <w:t>)</w:t>
      </w:r>
    </w:p>
  </w:footnote>
  <w:footnote w:id="1549">
    <w:p w14:paraId="2176B960" w14:textId="77777777" w:rsidR="00FA2119" w:rsidRDefault="00FA2119" w:rsidP="00FA2119">
      <w:pPr>
        <w:pStyle w:val="a5"/>
        <w:rPr>
          <w:rtl/>
        </w:rPr>
      </w:pPr>
      <w:r>
        <w:rPr>
          <w:rStyle w:val="a7"/>
        </w:rPr>
        <w:footnoteRef/>
      </w:r>
      <w:r>
        <w:rPr>
          <w:rtl/>
        </w:rPr>
        <w:t xml:space="preserve"> </w:t>
      </w:r>
      <w:r>
        <w:rPr>
          <w:rFonts w:cs="Arial"/>
          <w:rtl/>
        </w:rPr>
        <w:t>דקי"ל ע"מ כרתי, משום הכי צריכים לקרותו ואסור להם לסמוך על אחר שיקרא, כמ"ש בסי' ק"ל. כ"כ הר"ן. גם צריכים לקרות תיכף בעת הנתינה כי אז חל הגט. וצריכים השני עדים לקרות. כל זה הוא לשיטות תוס' דס"ל ע"מ כרתי, ואם ליכא ע"מ הגט בטל. ולשיטות הרי"ף ורמב"ם לכתחילה צריכים לקרותו כדי שיהיה ע"ח וע"מ. מיהו אם לא קראו בעת הנתינה אלא אח"כ תנשא לכתחילה, דהא איכא ע"ח והשתא יודעים דמה שנתן לה היה הגט. גם נ"מ דאפי' אם קרא אַחֵר הגט דַי, ב"ש (סק"א).</w:t>
      </w:r>
    </w:p>
  </w:footnote>
  <w:footnote w:id="1550">
    <w:p w14:paraId="62B26892" w14:textId="77777777" w:rsidR="00FA2119" w:rsidRDefault="00FA2119" w:rsidP="00FA2119">
      <w:pPr>
        <w:pStyle w:val="a5"/>
      </w:pPr>
      <w:r>
        <w:rPr>
          <w:rStyle w:val="a7"/>
        </w:rPr>
        <w:footnoteRef/>
      </w:r>
      <w:r>
        <w:rPr>
          <w:rtl/>
        </w:rPr>
        <w:t xml:space="preserve"> </w:t>
      </w:r>
      <w:r>
        <w:rPr>
          <w:rFonts w:cs="Arial"/>
          <w:rtl/>
        </w:rPr>
        <w:t>כ' בס' תו"ג דט"ס הוא וצ"ל אם יעיינו וכ"ה במרדכי (סי' תנב) והכוונה שמוסב עמ"ש המחבר שצריך לקרותו גם אחר הנתינה וע"ז כ' הרב דסגי כשיעיינו בטוב שזהו הגט שקראוהו קודם הנתינה עכ"ל, פת"ש (סק"א).</w:t>
      </w:r>
      <w:r>
        <w:rPr>
          <w:rtl/>
        </w:rPr>
        <w:t xml:space="preserve"> וכ"כ ערוה"ש (סע' ד).</w:t>
      </w:r>
    </w:p>
  </w:footnote>
  <w:footnote w:id="1551">
    <w:p w14:paraId="71629AED" w14:textId="77777777" w:rsidR="00FA2119" w:rsidRDefault="00FA2119" w:rsidP="00FA2119">
      <w:pPr>
        <w:pStyle w:val="a5"/>
        <w:rPr>
          <w:rtl/>
        </w:rPr>
      </w:pPr>
      <w:r>
        <w:rPr>
          <w:rStyle w:val="a7"/>
        </w:rPr>
        <w:footnoteRef/>
      </w:r>
      <w:r>
        <w:rPr>
          <w:rtl/>
        </w:rPr>
        <w:t xml:space="preserve"> </w:t>
      </w:r>
      <w:r>
        <w:rPr>
          <w:rFonts w:cs="Arial"/>
          <w:rtl/>
        </w:rPr>
        <w:t>עבה"ט ועיין בס' תו"ג שכ' ונראה דאפילו קודם הנישואין והוא כהן ומראה הגט כדי להתירה לעצמו אינו נאמן דכבר נתחזקה במגורשת ואין עד א' נאמן להוציא מחזק' רק כשמכחיש' קודם הנישואין נאמן הבעל לענין שלא תנשא לאחר כשמראה הגט דאיכא הוכחה ברורה דמאין בא לידו עכ"ל...</w:t>
      </w:r>
      <w:r>
        <w:rPr>
          <w:rtl/>
        </w:rPr>
        <w:t>, פת"ש (סק"ב).</w:t>
      </w:r>
    </w:p>
  </w:footnote>
  <w:footnote w:id="1552">
    <w:p w14:paraId="6EDE79E5" w14:textId="1C6450B0" w:rsidR="00FA2119" w:rsidRDefault="00FA2119" w:rsidP="00FA2119">
      <w:pPr>
        <w:pStyle w:val="a5"/>
        <w:rPr>
          <w:rtl/>
        </w:rPr>
      </w:pPr>
      <w:r>
        <w:rPr>
          <w:rStyle w:val="a7"/>
        </w:rPr>
        <w:footnoteRef/>
      </w:r>
      <w:r>
        <w:rPr>
          <w:rtl/>
        </w:rPr>
        <w:t xml:space="preserve"> </w:t>
      </w:r>
      <w:r>
        <w:rPr>
          <w:rFonts w:cs="Arial"/>
          <w:rtl/>
        </w:rPr>
        <w:t>לשיטת הרמב"ם דס"ל ע"ח כרתי אז כיון שנאבד ואין ידוע אם היה גט כשר, הוי כבעל שאמר גרשתי את אשתי וספק מגורשת היא. ואפי' לשיטת הפוסקי' דס"ל ע"מ כרתי והם לא קראו הגט, מ"מ כיון שראו הנתינה היא ספק מגורשת. ומשמע אפי' אם הבעל אומר שלא היה גט מ"מ היא ספק מגורשת, ב"ש (סק"ג).</w:t>
      </w:r>
    </w:p>
  </w:footnote>
  <w:footnote w:id="1553">
    <w:p w14:paraId="67F73382" w14:textId="77777777" w:rsidR="00FA2119" w:rsidRDefault="00FA2119" w:rsidP="00FA2119">
      <w:pPr>
        <w:pStyle w:val="a5"/>
      </w:pPr>
      <w:r>
        <w:rPr>
          <w:rStyle w:val="a7"/>
        </w:rPr>
        <w:footnoteRef/>
      </w:r>
      <w:r>
        <w:rPr>
          <w:rtl/>
        </w:rPr>
        <w:t xml:space="preserve"> </w:t>
      </w:r>
      <w:r>
        <w:rPr>
          <w:rFonts w:cs="Arial"/>
          <w:rtl/>
        </w:rPr>
        <w:t>היינו תוס' לתירוץ קמא והטור, דס"ל לא תצא אפי' אם נאבד והבעל אומר שלא היה גט כשר מ"מ לא תצא כיון שאמר בתחלה שנותן לה גט והעדים ראו הנתינה. אבל בעל שאמר גרשתי וליכא עדים ולא ראו נתינה כלל משו"ה היא ספק מגורשת</w:t>
      </w:r>
      <w:r>
        <w:rPr>
          <w:rtl/>
        </w:rPr>
        <w:t xml:space="preserve">, </w:t>
      </w:r>
      <w:r>
        <w:rPr>
          <w:b/>
          <w:bCs/>
          <w:rtl/>
        </w:rPr>
        <w:t>ב"ש</w:t>
      </w:r>
      <w:r>
        <w:rPr>
          <w:rtl/>
        </w:rPr>
        <w:t xml:space="preserve"> (סק"ה). אך </w:t>
      </w:r>
      <w:r>
        <w:rPr>
          <w:b/>
          <w:bCs/>
          <w:rtl/>
        </w:rPr>
        <w:t>הגר"א</w:t>
      </w:r>
      <w:r>
        <w:rPr>
          <w:rtl/>
        </w:rPr>
        <w:t xml:space="preserve"> (סוף סק"ו) חלק על הב"ש ופירש שיש חולקים אלו הם הרשב"א ושאר פוסקים דס"ל כתירוץ שני של התוס' הנ"ל דדוקא בקראוהו, הא לאו הכי תצא בכל ענין.</w:t>
      </w:r>
    </w:p>
  </w:footnote>
  <w:footnote w:id="1554">
    <w:p w14:paraId="11800308" w14:textId="77777777" w:rsidR="00FA2119" w:rsidRDefault="00FA2119" w:rsidP="00FA2119">
      <w:pPr>
        <w:pStyle w:val="a5"/>
        <w:rPr>
          <w:rtl/>
        </w:rPr>
      </w:pPr>
      <w:r>
        <w:rPr>
          <w:rStyle w:val="a7"/>
        </w:rPr>
        <w:footnoteRef/>
      </w:r>
      <w:r>
        <w:rPr>
          <w:rtl/>
        </w:rPr>
        <w:t xml:space="preserve"> </w:t>
      </w:r>
      <w:r>
        <w:rPr>
          <w:rFonts w:cs="Arial"/>
          <w:rtl/>
        </w:rPr>
        <w:t>סתם נייר של עשבים הוא ולא קלף מעובד עפצים דאי עפיץ הא אמרן אין מי מילין על גבי מי מילין, רש"י.</w:t>
      </w:r>
    </w:p>
  </w:footnote>
  <w:footnote w:id="1555">
    <w:p w14:paraId="77010698" w14:textId="77777777" w:rsidR="00FA2119" w:rsidRDefault="00FA2119" w:rsidP="00FA2119">
      <w:pPr>
        <w:pStyle w:val="a5"/>
      </w:pPr>
      <w:r>
        <w:rPr>
          <w:rStyle w:val="a7"/>
        </w:rPr>
        <w:footnoteRef/>
      </w:r>
      <w:r>
        <w:rPr>
          <w:rtl/>
        </w:rPr>
        <w:t xml:space="preserve"> </w:t>
      </w:r>
      <w:r>
        <w:rPr>
          <w:rFonts w:cs="Arial"/>
          <w:rtl/>
        </w:rPr>
        <w:t>ונבלעו ואמרן לעיל כתבו במי טריא ואפצא כשר, רש"י.</w:t>
      </w:r>
    </w:p>
  </w:footnote>
  <w:footnote w:id="1556">
    <w:p w14:paraId="7D66FA5D" w14:textId="77777777" w:rsidR="00FA2119" w:rsidRDefault="00FA2119" w:rsidP="00FA2119">
      <w:pPr>
        <w:pStyle w:val="a5"/>
      </w:pPr>
      <w:r>
        <w:rPr>
          <w:rStyle w:val="a7"/>
        </w:rPr>
        <w:footnoteRef/>
      </w:r>
      <w:r>
        <w:rPr>
          <w:rtl/>
        </w:rPr>
        <w:t xml:space="preserve"> </w:t>
      </w:r>
      <w:r>
        <w:rPr>
          <w:rFonts w:cs="Arial"/>
          <w:rtl/>
        </w:rPr>
        <w:t>דאי בנייר חלק נמי אמרינן מגורשת מכדי תנא אתא לאשמועינן דאע"ג דלא אקרינא אי גיטא הוי אי לא כיון דאמר לה גיטא הוא לא הדר ביה תו ומחזקינן דגיטא הוא ואי בנייר חלק נמי סבירא ליה הכי לאשמועינן רבותא יתירתא דנייר חלק, רש"י.</w:t>
      </w:r>
    </w:p>
  </w:footnote>
  <w:footnote w:id="1557">
    <w:p w14:paraId="729FB971" w14:textId="77777777" w:rsidR="00FA2119" w:rsidRDefault="00FA2119" w:rsidP="00FA2119">
      <w:pPr>
        <w:pStyle w:val="a5"/>
      </w:pPr>
      <w:r>
        <w:rPr>
          <w:rStyle w:val="a7"/>
        </w:rPr>
        <w:footnoteRef/>
      </w:r>
      <w:r>
        <w:rPr>
          <w:rtl/>
        </w:rPr>
        <w:t xml:space="preserve"> </w:t>
      </w:r>
      <w:r>
        <w:rPr>
          <w:rFonts w:cs="Arial"/>
          <w:rtl/>
        </w:rPr>
        <w:t>צבע שקורין פוייל"י ומעבירים מי הצבע עליו ופולט אותיות שבלע ונראות, רש"י.</w:t>
      </w:r>
    </w:p>
  </w:footnote>
  <w:footnote w:id="1558">
    <w:p w14:paraId="749A2766" w14:textId="77777777" w:rsidR="00FA2119" w:rsidRDefault="00FA2119" w:rsidP="00FA2119">
      <w:pPr>
        <w:pStyle w:val="a5"/>
      </w:pPr>
      <w:r>
        <w:rPr>
          <w:rStyle w:val="a7"/>
        </w:rPr>
        <w:footnoteRef/>
      </w:r>
      <w:r>
        <w:rPr>
          <w:rtl/>
        </w:rPr>
        <w:t xml:space="preserve"> </w:t>
      </w:r>
      <w:r>
        <w:rPr>
          <w:rFonts w:cs="Arial"/>
          <w:rtl/>
        </w:rPr>
        <w:t>וכשהיו בלועות לא היה כתב</w:t>
      </w:r>
      <w:r>
        <w:rPr>
          <w:rtl/>
        </w:rPr>
        <w:t>, רש"י.</w:t>
      </w:r>
    </w:p>
  </w:footnote>
  <w:footnote w:id="1559">
    <w:p w14:paraId="58E65DED" w14:textId="77777777" w:rsidR="00FA2119" w:rsidRDefault="00FA2119" w:rsidP="00FA2119">
      <w:pPr>
        <w:pStyle w:val="a5"/>
        <w:rPr>
          <w:rtl/>
        </w:rPr>
      </w:pPr>
      <w:r>
        <w:rPr>
          <w:rStyle w:val="a7"/>
        </w:rPr>
        <w:footnoteRef/>
      </w:r>
      <w:r>
        <w:rPr>
          <w:rtl/>
        </w:rPr>
        <w:t xml:space="preserve"> </w:t>
      </w:r>
      <w:r>
        <w:rPr>
          <w:rFonts w:cs="Arial"/>
          <w:rtl/>
        </w:rPr>
        <w:t>שמא לא נבלעו יפה ואם מת אסורה לכהן וחולצת ולא מתייבמת דספק גרושה היא</w:t>
      </w:r>
      <w:r>
        <w:rPr>
          <w:rtl/>
        </w:rPr>
        <w:t>, רש"י.</w:t>
      </w:r>
    </w:p>
  </w:footnote>
  <w:footnote w:id="1560">
    <w:p w14:paraId="18AE4044" w14:textId="77777777" w:rsidR="00FA2119" w:rsidRDefault="00FA2119" w:rsidP="00FA2119">
      <w:pPr>
        <w:pStyle w:val="a5"/>
        <w:rPr>
          <w:rtl/>
        </w:rPr>
      </w:pPr>
      <w:r>
        <w:rPr>
          <w:rStyle w:val="a7"/>
        </w:rPr>
        <w:footnoteRef/>
      </w:r>
      <w:r>
        <w:rPr>
          <w:rtl/>
        </w:rPr>
        <w:t xml:space="preserve"> </w:t>
      </w:r>
      <w:r>
        <w:rPr>
          <w:rFonts w:cs="Arial"/>
          <w:rtl/>
        </w:rPr>
        <w:t>ולכן אם נשרף או נאבד קודם בדיקה - אין חוששין כלל ושריא אף לכהונה, רמ"ה (כ"כ הטור בשמו).</w:t>
      </w:r>
    </w:p>
  </w:footnote>
  <w:footnote w:id="1561">
    <w:p w14:paraId="6FE42B25" w14:textId="77777777" w:rsidR="00FA2119" w:rsidRDefault="00FA2119" w:rsidP="00FA2119">
      <w:pPr>
        <w:pStyle w:val="a5"/>
      </w:pPr>
      <w:r>
        <w:rPr>
          <w:rStyle w:val="a7"/>
        </w:rPr>
        <w:footnoteRef/>
      </w:r>
      <w:r>
        <w:rPr>
          <w:rtl/>
        </w:rPr>
        <w:t xml:space="preserve"> </w:t>
      </w:r>
      <w:r>
        <w:rPr>
          <w:rFonts w:cs="Arial"/>
          <w:rtl/>
        </w:rPr>
        <w:t xml:space="preserve">ומיירי שידענו שלא זרק שם רק כתב אחד, ר"ן </w:t>
      </w:r>
      <w:r>
        <w:rPr>
          <w:rFonts w:cs="Arial"/>
          <w:sz w:val="16"/>
          <w:szCs w:val="16"/>
          <w:rtl/>
        </w:rPr>
        <w:t>(ט: ד"ה גרסי' בגמ' ההוא גברא, הביאו הדרכ"מ [אות ד])</w:t>
      </w:r>
      <w:r>
        <w:rPr>
          <w:rFonts w:cs="Arial"/>
          <w:rtl/>
        </w:rPr>
        <w:t>.</w:t>
      </w:r>
    </w:p>
  </w:footnote>
  <w:footnote w:id="1562">
    <w:p w14:paraId="1F581E5C" w14:textId="77777777" w:rsidR="00FA2119" w:rsidRDefault="00FA2119" w:rsidP="00FA2119">
      <w:pPr>
        <w:pStyle w:val="a5"/>
        <w:rPr>
          <w:rtl/>
        </w:rPr>
      </w:pPr>
      <w:r>
        <w:rPr>
          <w:rStyle w:val="a7"/>
        </w:rPr>
        <w:footnoteRef/>
      </w:r>
      <w:r>
        <w:rPr>
          <w:rtl/>
        </w:rPr>
        <w:t xml:space="preserve"> </w:t>
      </w:r>
      <w:r>
        <w:rPr>
          <w:rFonts w:cs="Arial"/>
          <w:rtl/>
        </w:rPr>
        <w:t>ואפשר דהאי עובדא בדעייליה לבי ידיה ואי לאו דמזוזתא ביני דני לא שכיח לא חיישינן דחלופי חלפיה</w:t>
      </w:r>
      <w:r>
        <w:rPr>
          <w:rFonts w:cs="Arial"/>
          <w:sz w:val="16"/>
          <w:szCs w:val="16"/>
          <w:rtl/>
        </w:rPr>
        <w:t xml:space="preserve"> {וספק מגורשת}</w:t>
      </w:r>
      <w:r>
        <w:rPr>
          <w:rFonts w:cs="Arial"/>
          <w:rtl/>
        </w:rPr>
        <w:t xml:space="preserve">, אבל כיון דלא שכיח אינה מגורשת כלל, ר"ן </w:t>
      </w:r>
      <w:r>
        <w:rPr>
          <w:rFonts w:cs="Arial"/>
          <w:sz w:val="16"/>
          <w:szCs w:val="16"/>
          <w:rtl/>
        </w:rPr>
        <w:t>(שם)</w:t>
      </w:r>
      <w:r>
        <w:rPr>
          <w:rFonts w:cs="Arial"/>
          <w:rtl/>
        </w:rPr>
        <w:t>.</w:t>
      </w:r>
    </w:p>
  </w:footnote>
  <w:footnote w:id="1563">
    <w:p w14:paraId="129162E7" w14:textId="77777777" w:rsidR="00FA2119" w:rsidRDefault="00FA2119" w:rsidP="00FA2119">
      <w:pPr>
        <w:pStyle w:val="a5"/>
      </w:pPr>
      <w:r>
        <w:rPr>
          <w:rStyle w:val="a7"/>
        </w:rPr>
        <w:footnoteRef/>
      </w:r>
      <w:r>
        <w:rPr>
          <w:rtl/>
        </w:rPr>
        <w:t xml:space="preserve"> </w:t>
      </w:r>
      <w:r>
        <w:rPr>
          <w:rFonts w:cs="Arial"/>
          <w:rtl/>
        </w:rPr>
        <w:t>ואם קראו הגט ונמצא ב' ג' מזוזות משמע מדברי המחבר דלא הוי ודאי מגורשת אלא ספק. וכ"כ הלבוש. וב"ח כתב דהיא ודאי מגורשת, ב"ש (סק"ז).</w:t>
      </w:r>
    </w:p>
  </w:footnote>
  <w:footnote w:id="1564">
    <w:p w14:paraId="6E8BE339" w14:textId="77777777" w:rsidR="00FA2119" w:rsidRDefault="00FA2119" w:rsidP="00FA2119">
      <w:pPr>
        <w:pStyle w:val="a5"/>
      </w:pPr>
      <w:r>
        <w:rPr>
          <w:rStyle w:val="a7"/>
        </w:rPr>
        <w:footnoteRef/>
      </w:r>
      <w:r>
        <w:rPr>
          <w:rtl/>
        </w:rPr>
        <w:t xml:space="preserve"> </w:t>
      </w:r>
      <w:r>
        <w:rPr>
          <w:rFonts w:cs="Arial"/>
          <w:rtl/>
        </w:rPr>
        <w:t>פירוש דבריהם דבהמגרש (פה:) משמע מדקאמר אביי האי מאן דכתב גיטא לא ליכתוב ודין דמשמע דין אלא ודן. וקשה דבריש נדרים (ה:) קאמר אביי דידים שאינן מוכיחות הויין ידים ולא צריך לכתוב ודן. ותירצו התוספות (גיטין שם ד"ה אף על גב) דלשופרא דשטרא היו כותבין ודן לאביי. ולמד מכאן ר"י ז"ל דכיון שהיו רגילים לכתוב ג"כ ודן לאביי אע"פ שאינו צריך לכותבו כל שכן דהרי את מותרת לכל אדם דהוא גופו של גט דיש לאומרו. ולכך אע"פ דמדינא סגי בחדא מהני תלתא לישני כדקאמר שמואל מכל מקום לשופרא דשטרא היה מצריך ר"י לומר הי גיטך וגם הרי את מותרת לכל אדם</w:t>
      </w:r>
      <w:r>
        <w:rPr>
          <w:rtl/>
        </w:rPr>
        <w:t>, ב"ח (ד"ה ומ"ש או הרי).</w:t>
      </w:r>
    </w:p>
  </w:footnote>
  <w:footnote w:id="1565">
    <w:p w14:paraId="69D5518A" w14:textId="77777777" w:rsidR="00123EF1" w:rsidRDefault="00123EF1" w:rsidP="00123EF1">
      <w:pPr>
        <w:pStyle w:val="a5"/>
        <w:rPr>
          <w:rtl/>
        </w:rPr>
      </w:pPr>
      <w:r>
        <w:rPr>
          <w:rStyle w:val="a7"/>
        </w:rPr>
        <w:footnoteRef/>
      </w:r>
      <w:r>
        <w:rPr>
          <w:rtl/>
        </w:rPr>
        <w:t xml:space="preserve"> </w:t>
      </w:r>
      <w:r>
        <w:rPr>
          <w:rFonts w:cs="Arial"/>
          <w:rtl/>
        </w:rPr>
        <w:t>ומיהו אין צריך לומר כן אלא לרווחא דמלתא בעלמא כדאמרינן לעיל פרק הנזקין מעדותו של רבי יוחנן בן גודגדא</w:t>
      </w:r>
      <w:r>
        <w:rPr>
          <w:rtl/>
        </w:rPr>
        <w:t>, מרדכי (שם).</w:t>
      </w:r>
    </w:p>
  </w:footnote>
  <w:footnote w:id="1566">
    <w:p w14:paraId="13D9DA2C" w14:textId="77777777" w:rsidR="00FA2119" w:rsidRDefault="00FA2119" w:rsidP="00FA2119">
      <w:pPr>
        <w:pStyle w:val="a5"/>
        <w:rPr>
          <w:rtl/>
        </w:rPr>
      </w:pPr>
      <w:r>
        <w:rPr>
          <w:rStyle w:val="a7"/>
        </w:rPr>
        <w:footnoteRef/>
      </w:r>
      <w:r>
        <w:rPr>
          <w:rtl/>
        </w:rPr>
        <w:t xml:space="preserve"> </w:t>
      </w:r>
      <w:r>
        <w:rPr>
          <w:rFonts w:hint="cs"/>
          <w:rtl/>
        </w:rPr>
        <w:t>הטעם לצורך גם בלשון הרי זה גיטך וגם בלשון התקבלי גיטך כתוב בסדר הגט הקצר לר"י מרגליות (סי' סח) דאם לא אמר התקבלי הוא אמינא שאמר זה גיטך אבל לא תקבלי. ואם אמר התקבלי ולא אמר הרי זה גיטך הוא אמינא דאמר לה התקבלי וקחי זה הגט ודמי לטלי גיטך מעל גבי הקרקע שאינה מגורשת (גיטין כד.).</w:t>
      </w:r>
    </w:p>
  </w:footnote>
  <w:footnote w:id="1567">
    <w:p w14:paraId="27937658" w14:textId="77777777" w:rsidR="00FA2119" w:rsidRDefault="00FA2119" w:rsidP="00FA2119">
      <w:pPr>
        <w:pStyle w:val="a5"/>
      </w:pPr>
      <w:r>
        <w:rPr>
          <w:rStyle w:val="a7"/>
        </w:rPr>
        <w:footnoteRef/>
      </w:r>
      <w:r>
        <w:rPr>
          <w:rtl/>
        </w:rPr>
        <w:t xml:space="preserve"> </w:t>
      </w:r>
      <w:r>
        <w:rPr>
          <w:rFonts w:hint="cs"/>
          <w:rtl/>
        </w:rPr>
        <w:t>צל"ע אם זה מלשון הקונדריסין או לשון חדשה של הב"י.</w:t>
      </w:r>
    </w:p>
  </w:footnote>
  <w:footnote w:id="1568">
    <w:p w14:paraId="5F2FD5D3" w14:textId="77777777" w:rsidR="00FA2119" w:rsidRDefault="00FA2119" w:rsidP="00FA2119">
      <w:pPr>
        <w:pStyle w:val="a5"/>
        <w:rPr>
          <w:rtl/>
        </w:rPr>
      </w:pPr>
      <w:r>
        <w:rPr>
          <w:rStyle w:val="a7"/>
        </w:rPr>
        <w:footnoteRef/>
      </w:r>
      <w:r>
        <w:rPr>
          <w:rtl/>
        </w:rPr>
        <w:t xml:space="preserve"> </w:t>
      </w:r>
      <w:r>
        <w:rPr>
          <w:rFonts w:cs="Arial"/>
          <w:rtl/>
        </w:rPr>
        <w:t>הא דקאמר רבי יוסי דיו והוא שהיו עסוקים בדיבור עיסקי קידושיהן עד שעת נתינה</w:t>
      </w:r>
      <w:r>
        <w:rPr>
          <w:rtl/>
        </w:rPr>
        <w:t>, רש"י.</w:t>
      </w:r>
    </w:p>
  </w:footnote>
  <w:footnote w:id="1569">
    <w:p w14:paraId="492AE0E9" w14:textId="71C75B35" w:rsidR="00FA2119" w:rsidRDefault="00FA2119" w:rsidP="00FA2119">
      <w:pPr>
        <w:pStyle w:val="a5"/>
        <w:rPr>
          <w:rtl/>
        </w:rPr>
      </w:pPr>
      <w:r>
        <w:rPr>
          <w:rStyle w:val="a7"/>
        </w:rPr>
        <w:footnoteRef/>
      </w:r>
      <w:r>
        <w:rPr>
          <w:rtl/>
        </w:rPr>
        <w:t xml:space="preserve"> </w:t>
      </w:r>
      <w:r>
        <w:rPr>
          <w:rFonts w:cs="Arial"/>
          <w:rtl/>
        </w:rPr>
        <w:t xml:space="preserve">שפסקו מלדבר בקידושין ממש והיו מדברים בדברים אחרים ומיהו לדבר צרכי זיווגם היה כמו כמה יש לך נדוניא וכמה שדות יש לך להתפרנס מהם, </w:t>
      </w:r>
      <w:r>
        <w:rPr>
          <w:rFonts w:cs="Arial"/>
          <w:b/>
          <w:bCs/>
          <w:rtl/>
        </w:rPr>
        <w:t>רש"י</w:t>
      </w:r>
      <w:r>
        <w:rPr>
          <w:rFonts w:cs="Arial"/>
          <w:rtl/>
        </w:rPr>
        <w:t xml:space="preserve">. </w:t>
      </w:r>
      <w:r w:rsidR="004F2AD1">
        <w:rPr>
          <w:rFonts w:cs="Arial" w:hint="cs"/>
          <w:rtl/>
        </w:rPr>
        <w:t xml:space="preserve">     </w:t>
      </w:r>
      <w:r>
        <w:rPr>
          <w:rFonts w:cs="Arial"/>
          <w:rtl/>
        </w:rPr>
        <w:t xml:space="preserve">וכתב </w:t>
      </w:r>
      <w:r w:rsidRPr="004F2AD1">
        <w:rPr>
          <w:rFonts w:cs="Arial"/>
          <w:b/>
          <w:bCs/>
          <w:rtl/>
        </w:rPr>
        <w:t xml:space="preserve">הב"י </w:t>
      </w:r>
      <w:r>
        <w:rPr>
          <w:rFonts w:cs="Arial"/>
          <w:rtl/>
        </w:rPr>
        <w:t xml:space="preserve">דרש"י נקט לה לענין קידושין, וכיוצא בזה יש לפרש לענין גיטין, שפסקו מלדבר בגט ממש והיו מדברים בדברים אחרים, ומיהו דברים הנוגעים לענין גט הם, כגון שמדברים במה תקבל כתובתה או מי ידחה מפני מי. ופסק הר"ן </w:t>
      </w:r>
      <w:r>
        <w:rPr>
          <w:rFonts w:cs="Arial"/>
          <w:sz w:val="16"/>
          <w:szCs w:val="16"/>
          <w:rtl/>
        </w:rPr>
        <w:t>(שם ב: דיבור ראשון)</w:t>
      </w:r>
      <w:r>
        <w:rPr>
          <w:rFonts w:cs="Arial"/>
          <w:rtl/>
        </w:rPr>
        <w:t xml:space="preserve"> דלא מהני, דקיי"ל </w:t>
      </w:r>
      <w:r>
        <w:rPr>
          <w:rFonts w:cs="Arial"/>
          <w:sz w:val="16"/>
          <w:szCs w:val="16"/>
          <w:rtl/>
        </w:rPr>
        <w:t xml:space="preserve">(עירובין מו:) </w:t>
      </w:r>
      <w:r>
        <w:rPr>
          <w:rFonts w:cs="Arial"/>
          <w:rtl/>
        </w:rPr>
        <w:t xml:space="preserve">כרבי מחבירו, וגם דרב יהודה אמר שמואל משמע דכוותיה אתיא. וכ"כ רי"ו </w:t>
      </w:r>
      <w:r>
        <w:rPr>
          <w:rFonts w:cs="Arial"/>
          <w:sz w:val="16"/>
          <w:szCs w:val="16"/>
          <w:rtl/>
        </w:rPr>
        <w:t>(ח"א נכ"ב קפא ע"ג)</w:t>
      </w:r>
      <w:r>
        <w:rPr>
          <w:rFonts w:cs="Arial"/>
          <w:rtl/>
        </w:rPr>
        <w:t>, וכן משמע מדברי הרי"ף</w:t>
      </w:r>
      <w:r>
        <w:rPr>
          <w:rFonts w:cs="Arial"/>
          <w:sz w:val="16"/>
          <w:szCs w:val="16"/>
          <w:rtl/>
        </w:rPr>
        <w:t xml:space="preserve"> (ב.)</w:t>
      </w:r>
      <w:r>
        <w:rPr>
          <w:rFonts w:cs="Arial"/>
          <w:rtl/>
        </w:rPr>
        <w:t xml:space="preserve"> והרא"ש</w:t>
      </w:r>
      <w:r>
        <w:rPr>
          <w:rFonts w:cs="Arial"/>
          <w:sz w:val="16"/>
          <w:szCs w:val="16"/>
          <w:rtl/>
        </w:rPr>
        <w:t xml:space="preserve"> (סי' ג)</w:t>
      </w:r>
      <w:r>
        <w:rPr>
          <w:rFonts w:cs="Arial"/>
          <w:rtl/>
        </w:rPr>
        <w:t xml:space="preserve"> שם </w:t>
      </w:r>
      <w:r>
        <w:rPr>
          <w:rFonts w:cs="Arial"/>
          <w:sz w:val="16"/>
          <w:szCs w:val="16"/>
          <w:rtl/>
        </w:rPr>
        <w:t>(בקידושין)</w:t>
      </w:r>
      <w:r>
        <w:rPr>
          <w:rFonts w:cs="Arial"/>
          <w:rtl/>
        </w:rPr>
        <w:t xml:space="preserve">, וגם מדברי הרמב"ם </w:t>
      </w:r>
      <w:r>
        <w:rPr>
          <w:rFonts w:cs="Arial"/>
          <w:sz w:val="16"/>
          <w:szCs w:val="16"/>
          <w:rtl/>
        </w:rPr>
        <w:t xml:space="preserve">(פ"ג מהל' אישות ה"ח, ובפ"א מהל' גירושין הי"א ע"ש) </w:t>
      </w:r>
      <w:r>
        <w:rPr>
          <w:rFonts w:cs="Arial"/>
          <w:rtl/>
        </w:rPr>
        <w:t xml:space="preserve">שכתבו סתם והוא שעסוקים באותו ענין. וכתב הה"מ </w:t>
      </w:r>
      <w:r>
        <w:rPr>
          <w:rFonts w:cs="Arial"/>
          <w:sz w:val="16"/>
          <w:szCs w:val="16"/>
          <w:rtl/>
        </w:rPr>
        <w:t xml:space="preserve">(פ"ג מאישות) </w:t>
      </w:r>
      <w:r>
        <w:rPr>
          <w:rFonts w:cs="Arial"/>
          <w:rtl/>
        </w:rPr>
        <w:t xml:space="preserve">שכן דעת העיטור </w:t>
      </w:r>
      <w:r>
        <w:rPr>
          <w:rFonts w:cs="Arial"/>
          <w:sz w:val="16"/>
          <w:szCs w:val="16"/>
          <w:rtl/>
        </w:rPr>
        <w:t>(אות ק קידושין עה ע"ד)</w:t>
      </w:r>
      <w:r>
        <w:rPr>
          <w:rFonts w:cs="Arial"/>
          <w:rtl/>
        </w:rPr>
        <w:t>.</w:t>
      </w:r>
      <w:r w:rsidR="004F2AD1">
        <w:rPr>
          <w:rFonts w:cs="Arial" w:hint="cs"/>
          <w:rtl/>
        </w:rPr>
        <w:t xml:space="preserve"> </w:t>
      </w:r>
      <w:r>
        <w:rPr>
          <w:rFonts w:cs="Arial"/>
          <w:rtl/>
        </w:rPr>
        <w:t xml:space="preserve">ושהרשב"א </w:t>
      </w:r>
      <w:r>
        <w:rPr>
          <w:rFonts w:cs="Arial"/>
          <w:sz w:val="16"/>
          <w:szCs w:val="16"/>
          <w:rtl/>
        </w:rPr>
        <w:t xml:space="preserve">(קידושין ו. ד"ה אמר אביי) </w:t>
      </w:r>
      <w:r>
        <w:rPr>
          <w:rFonts w:cs="Arial"/>
          <w:rtl/>
        </w:rPr>
        <w:t>חלוק בדבר</w:t>
      </w:r>
      <w:r>
        <w:rPr>
          <w:rtl/>
        </w:rPr>
        <w:t>.</w:t>
      </w:r>
    </w:p>
  </w:footnote>
  <w:footnote w:id="1570">
    <w:p w14:paraId="0D031BA5" w14:textId="77777777" w:rsidR="00FA2119" w:rsidRDefault="00FA2119" w:rsidP="00FA2119">
      <w:pPr>
        <w:pStyle w:val="a5"/>
      </w:pPr>
      <w:r>
        <w:rPr>
          <w:rStyle w:val="a7"/>
        </w:rPr>
        <w:footnoteRef/>
      </w:r>
      <w:r>
        <w:rPr>
          <w:rtl/>
        </w:rPr>
        <w:t xml:space="preserve"> </w:t>
      </w:r>
      <w:r>
        <w:rPr>
          <w:rFonts w:cs="Arial"/>
          <w:rtl/>
        </w:rPr>
        <w:t>כן הגירסא לפנינו. אך לפני הב"י היה כתוב כאן 'עדים'. וכתב הב"י- כתב רבינו 'והיו עדים עסוקים באותו ענין' לומר דלאו דוקא היה מדבר עמה דהוא הדין אם היה מדבר עם העדים או עם אחרים בפניה, וכמו שכתב המרדכי (פ"ק דקידושין סי' תעז). ויותר נראה להגיה 'והיו עדיין' במקום 'והיו עדים'.</w:t>
      </w:r>
    </w:p>
  </w:footnote>
  <w:footnote w:id="1571">
    <w:p w14:paraId="4B4849FB" w14:textId="77777777" w:rsidR="00FA2119" w:rsidRDefault="00FA2119" w:rsidP="00FA2119">
      <w:pPr>
        <w:pStyle w:val="a5"/>
        <w:rPr>
          <w:rtl/>
        </w:rPr>
      </w:pPr>
      <w:r>
        <w:rPr>
          <w:rStyle w:val="a7"/>
        </w:rPr>
        <w:footnoteRef/>
      </w:r>
      <w:r>
        <w:rPr>
          <w:rtl/>
        </w:rPr>
        <w:t xml:space="preserve"> </w:t>
      </w:r>
      <w:r>
        <w:rPr>
          <w:rFonts w:cs="Arial"/>
          <w:rtl/>
        </w:rPr>
        <w:t>ואע"פ שכתב באותו פרק (ה"א) שאחד מעשרה דברים שהם עיקר גירושין מן התורה הוא שיתננו לה בתורת גירושין, משמע דהיינו שלא יאמר דברים שאינם ענין גירושין כגון כנסי שטר חוב זה וכיוצא אבל כל שנתן לה סתם אינו יוצא מתורת גירושין ולפיכך אינו מעכב מן התורה. כנ"ל, ב"י</w:t>
      </w:r>
      <w:r>
        <w:rPr>
          <w:rtl/>
        </w:rPr>
        <w:t>.</w:t>
      </w:r>
    </w:p>
  </w:footnote>
  <w:footnote w:id="1572">
    <w:p w14:paraId="2F4AEF23" w14:textId="064833AA" w:rsidR="00FA2119" w:rsidRDefault="00FA2119" w:rsidP="00FA2119">
      <w:pPr>
        <w:pStyle w:val="a5"/>
        <w:rPr>
          <w:rtl/>
        </w:rPr>
      </w:pPr>
      <w:r>
        <w:rPr>
          <w:rStyle w:val="a7"/>
        </w:rPr>
        <w:footnoteRef/>
      </w:r>
      <w:r>
        <w:rPr>
          <w:rtl/>
        </w:rPr>
        <w:t xml:space="preserve"> </w:t>
      </w:r>
      <w:r>
        <w:rPr>
          <w:rFonts w:cs="Arial"/>
          <w:rtl/>
        </w:rPr>
        <w:t>אע</w:t>
      </w:r>
      <w:r w:rsidR="00C467DA">
        <w:rPr>
          <w:rFonts w:cs="Arial" w:hint="cs"/>
          <w:rtl/>
        </w:rPr>
        <w:t>"</w:t>
      </w:r>
      <w:r>
        <w:rPr>
          <w:rFonts w:cs="Arial"/>
          <w:rtl/>
        </w:rPr>
        <w:t xml:space="preserve">ג </w:t>
      </w:r>
      <w:r w:rsidR="00C467DA">
        <w:rPr>
          <w:rFonts w:cs="Arial" w:hint="cs"/>
          <w:rtl/>
        </w:rPr>
        <w:t>ד</w:t>
      </w:r>
      <w:r>
        <w:rPr>
          <w:rFonts w:cs="Arial"/>
          <w:rtl/>
        </w:rPr>
        <w:t>בקדושין אם לא היה עסוקי' בקדושין ונתן בשתיקה אין חשש קידושין</w:t>
      </w:r>
      <w:r w:rsidR="00C467DA">
        <w:rPr>
          <w:rFonts w:cs="Arial" w:hint="cs"/>
          <w:rtl/>
        </w:rPr>
        <w:t>,</w:t>
      </w:r>
      <w:r>
        <w:rPr>
          <w:rFonts w:cs="Arial"/>
          <w:rtl/>
        </w:rPr>
        <w:t xml:space="preserve"> ובסי' כ"ז כתבתי אפי' אם היה כוונתם לשם קידושין לא מהני</w:t>
      </w:r>
      <w:r w:rsidR="00C467DA">
        <w:rPr>
          <w:rFonts w:cs="Arial" w:hint="cs"/>
          <w:rtl/>
        </w:rPr>
        <w:t>,</w:t>
      </w:r>
      <w:r>
        <w:rPr>
          <w:rFonts w:cs="Arial"/>
          <w:rtl/>
        </w:rPr>
        <w:t xml:space="preserve"> שאני גט דאע"ג שלא אמר כלום מ"מ לשון הגט הוא לשון הבעל</w:t>
      </w:r>
      <w:r w:rsidR="00C467DA">
        <w:rPr>
          <w:rFonts w:cs="Arial" w:hint="cs"/>
          <w:rtl/>
        </w:rPr>
        <w:t>,</w:t>
      </w:r>
      <w:r>
        <w:rPr>
          <w:rFonts w:cs="Arial"/>
          <w:rtl/>
        </w:rPr>
        <w:t xml:space="preserve"> אבל בקדושין אפילו אם מקדש בשטר והוי כאלו הוא מדבר מ"מ אין ניכר אם דעתה ג"כ לקידושין </w:t>
      </w:r>
      <w:r w:rsidR="00C467DA">
        <w:rPr>
          <w:rFonts w:cs="Arial" w:hint="cs"/>
          <w:rtl/>
        </w:rPr>
        <w:t>.</w:t>
      </w:r>
      <w:r>
        <w:rPr>
          <w:rFonts w:cs="Arial"/>
          <w:rtl/>
        </w:rPr>
        <w:t>והא דאינו בטל הגט כשלא אמר כלום מדאו' דכתיב ונתן ביד' ספר כריתות דפי' הקרא הוא שנתן לתורת כריתות ואם נותן לתורת כריתות י"ל אפי' אינו מדבר כלום כשר מדאו</w:t>
      </w:r>
      <w:r w:rsidR="00C467DA">
        <w:rPr>
          <w:rFonts w:cs="Arial" w:hint="cs"/>
          <w:rtl/>
        </w:rPr>
        <w:t>'</w:t>
      </w:r>
      <w:r>
        <w:rPr>
          <w:rFonts w:cs="Arial"/>
          <w:rtl/>
        </w:rPr>
        <w:t>. מיהו הטור והר"ן כתבו אם אינו מדבר כלום בטל מדאו</w:t>
      </w:r>
      <w:r w:rsidR="00C467DA">
        <w:rPr>
          <w:rFonts w:cs="Arial" w:hint="cs"/>
          <w:rtl/>
        </w:rPr>
        <w:t>',</w:t>
      </w:r>
      <w:r>
        <w:rPr>
          <w:rFonts w:cs="Arial"/>
          <w:rtl/>
        </w:rPr>
        <w:t xml:space="preserve"> וכ"כ בש"ג </w:t>
      </w:r>
      <w:r w:rsidR="006F5416">
        <w:rPr>
          <w:rFonts w:cs="Arial" w:hint="cs"/>
          <w:rtl/>
        </w:rPr>
        <w:t>(</w:t>
      </w:r>
      <w:r>
        <w:rPr>
          <w:rFonts w:cs="Arial"/>
          <w:rtl/>
        </w:rPr>
        <w:t>פ' הזורק</w:t>
      </w:r>
      <w:r w:rsidR="00C467DA">
        <w:rPr>
          <w:rFonts w:cs="Arial" w:hint="cs"/>
          <w:rtl/>
        </w:rPr>
        <w:t>),</w:t>
      </w:r>
      <w:r>
        <w:rPr>
          <w:rFonts w:cs="Arial"/>
          <w:rtl/>
        </w:rPr>
        <w:t xml:space="preserve"> והיינו אם אין עסוקים באותו ענין, ב"ש (סק"א).</w:t>
      </w:r>
    </w:p>
  </w:footnote>
  <w:footnote w:id="1573">
    <w:p w14:paraId="68C4DA18" w14:textId="77777777" w:rsidR="00FA2119" w:rsidRDefault="00FA2119" w:rsidP="00FA2119">
      <w:pPr>
        <w:pStyle w:val="a5"/>
      </w:pPr>
      <w:r>
        <w:rPr>
          <w:rStyle w:val="a7"/>
        </w:rPr>
        <w:footnoteRef/>
      </w:r>
      <w:r>
        <w:rPr>
          <w:rtl/>
        </w:rPr>
        <w:t xml:space="preserve"> </w:t>
      </w:r>
      <w:r>
        <w:rPr>
          <w:rFonts w:hint="cs"/>
          <w:rtl/>
        </w:rPr>
        <w:t>כצ"ל וכן הוא בב"י, באה"ג (אות ב*).</w:t>
      </w:r>
    </w:p>
  </w:footnote>
  <w:footnote w:id="1574">
    <w:p w14:paraId="62EFB664" w14:textId="77777777" w:rsidR="00FA2119" w:rsidRDefault="00FA2119" w:rsidP="00FA2119">
      <w:pPr>
        <w:pStyle w:val="a5"/>
      </w:pPr>
      <w:r>
        <w:rPr>
          <w:rStyle w:val="a7"/>
        </w:rPr>
        <w:footnoteRef/>
      </w:r>
      <w:r>
        <w:rPr>
          <w:rtl/>
        </w:rPr>
        <w:t xml:space="preserve"> </w:t>
      </w:r>
      <w:r>
        <w:rPr>
          <w:rFonts w:cs="Arial"/>
          <w:rtl/>
        </w:rPr>
        <w:t>בסימן כ"ז סתם ופסק כדיעה קמייתא אם אמר הריני אישך אינו כלום אפי' אם היו מדברי' מעסקי קידושין. וברי"ו משוה דינים אלו להדדי. ואפשר המחבר ס"ל שאני גיטין אע"ג שאומר איני אישך איני בעלך מ"מ בגט כתב והרי את מותרת, וגם שאר לשונות אשר הוא מדבר דהוא פוטר אותה כמ"ש בסמוך לשון הגט הוא לשון הבעל, לכן היא ספק מגורשת. לפי זה אם מקדש בשטר נמי הוי ספק קידושין. מיהו נראה עיקר כדיעה קמייתא ואינו גט אפי' לפוסלה לכהונה, וכן בקדושין אינה מקודשת, וכן אם אומר 'הרי את בת חורין' אפילו אם היה מדבר עמה מעסקי גיטין אינו גט, וכן בסמוך כשאומר שהוא שטר חוף אע"ג דהיו עוסקים מעסקי גיטין לא הוי גט כלל ועיין בסמוך</w:t>
      </w:r>
      <w:r>
        <w:rPr>
          <w:rtl/>
        </w:rPr>
        <w:t>, ב"ש (סק"ב).</w:t>
      </w:r>
    </w:p>
  </w:footnote>
  <w:footnote w:id="1575">
    <w:p w14:paraId="2134F4D8" w14:textId="77777777" w:rsidR="00FA2119" w:rsidRDefault="00FA2119" w:rsidP="00FA2119">
      <w:pPr>
        <w:pStyle w:val="a5"/>
        <w:rPr>
          <w:rtl/>
        </w:rPr>
      </w:pPr>
      <w:r>
        <w:rPr>
          <w:rStyle w:val="a7"/>
        </w:rPr>
        <w:footnoteRef/>
      </w:r>
      <w:r>
        <w:rPr>
          <w:rtl/>
        </w:rPr>
        <w:t xml:space="preserve"> </w:t>
      </w:r>
      <w:r>
        <w:rPr>
          <w:rFonts w:cs="Arial"/>
          <w:rtl/>
        </w:rPr>
        <w:t>לשון זה אינו מדוקדק שאע"פ שלא ידעה כן בשעה שקיבלה הגט כיון שאמר לה אח"כ או שהודיע לעדים תחלה סגי וכך הוה ליה למימר וצריך שיתננו לה בתורת גירושין וכן כתב הרמב"ם (פ"א ה"א וה"ט)..., ב"י.</w:t>
      </w:r>
    </w:p>
  </w:footnote>
  <w:footnote w:id="1576">
    <w:p w14:paraId="07A1C622" w14:textId="77777777" w:rsidR="00FA2119" w:rsidRDefault="00FA2119" w:rsidP="00FA2119">
      <w:pPr>
        <w:pStyle w:val="a5"/>
      </w:pPr>
      <w:r>
        <w:rPr>
          <w:rStyle w:val="a7"/>
        </w:rPr>
        <w:footnoteRef/>
      </w:r>
      <w:r>
        <w:rPr>
          <w:rtl/>
        </w:rPr>
        <w:t xml:space="preserve"> </w:t>
      </w:r>
      <w:r>
        <w:rPr>
          <w:rFonts w:cs="Arial"/>
          <w:rtl/>
        </w:rPr>
        <w:t xml:space="preserve">והשתא אפילו אמר לה 'כנסי שטר חוב', כיון שהודיע לעדים שהוא נותנו לה בתורת גירושין - מיקרי שפיר שהוא נותן בתורת ספר כריתות, ב"י. </w:t>
      </w:r>
      <w:r>
        <w:rPr>
          <w:rFonts w:cs="Arial"/>
          <w:color w:val="E36C0A" w:themeColor="accent6" w:themeShade="BF"/>
          <w:rtl/>
        </w:rPr>
        <w:t>(וכ"פ בשו"ע)</w:t>
      </w:r>
    </w:p>
  </w:footnote>
  <w:footnote w:id="1577">
    <w:p w14:paraId="643ABAA6" w14:textId="421CAF9E" w:rsidR="00FA2119" w:rsidRDefault="00FA2119" w:rsidP="00FA2119">
      <w:pPr>
        <w:pStyle w:val="a5"/>
      </w:pPr>
      <w:r>
        <w:rPr>
          <w:rStyle w:val="a7"/>
        </w:rPr>
        <w:footnoteRef/>
      </w:r>
      <w:r>
        <w:rPr>
          <w:rtl/>
        </w:rPr>
        <w:t xml:space="preserve"> </w:t>
      </w:r>
      <w:r>
        <w:rPr>
          <w:rFonts w:cs="Arial"/>
          <w:rtl/>
        </w:rPr>
        <w:t>אם אמר לה באותו מעמד</w:t>
      </w:r>
      <w:r w:rsidR="007E6C62">
        <w:rPr>
          <w:rFonts w:cs="Arial" w:hint="cs"/>
          <w:rtl/>
        </w:rPr>
        <w:t>,</w:t>
      </w:r>
      <w:r>
        <w:rPr>
          <w:rFonts w:cs="Arial"/>
          <w:rtl/>
        </w:rPr>
        <w:t xml:space="preserve"> אחר שאמר שהוא ש"ח</w:t>
      </w:r>
      <w:r w:rsidR="007E6C62">
        <w:rPr>
          <w:rFonts w:cs="Arial" w:hint="cs"/>
          <w:rtl/>
        </w:rPr>
        <w:t>,</w:t>
      </w:r>
      <w:r>
        <w:rPr>
          <w:rFonts w:cs="Arial"/>
          <w:rtl/>
        </w:rPr>
        <w:t xml:space="preserve"> אמר שהוא גיטה מהני [ש"ג פ' הזורק], </w:t>
      </w:r>
      <w:r>
        <w:rPr>
          <w:rFonts w:cs="Arial"/>
          <w:b/>
          <w:bCs/>
          <w:rtl/>
        </w:rPr>
        <w:t>ב"ש</w:t>
      </w:r>
      <w:r>
        <w:rPr>
          <w:rFonts w:cs="Arial"/>
          <w:rtl/>
        </w:rPr>
        <w:t xml:space="preserve"> (סק"ג).</w:t>
      </w:r>
      <w:r>
        <w:rPr>
          <w:rtl/>
        </w:rPr>
        <w:t xml:space="preserve"> </w:t>
      </w:r>
      <w:r w:rsidR="007E6C62">
        <w:rPr>
          <w:rFonts w:hint="cs"/>
          <w:rtl/>
        </w:rPr>
        <w:t xml:space="preserve">    </w:t>
      </w:r>
      <w:r>
        <w:rPr>
          <w:rFonts w:cs="Arial"/>
          <w:rtl/>
        </w:rPr>
        <w:t xml:space="preserve">ועיין בס' ב"מ שכ' עליו </w:t>
      </w:r>
      <w:r w:rsidR="000A0F5A">
        <w:rPr>
          <w:rFonts w:cs="Arial"/>
          <w:rtl/>
        </w:rPr>
        <w:t>וז"ל:</w:t>
      </w:r>
      <w:r>
        <w:rPr>
          <w:rFonts w:cs="Arial"/>
          <w:rtl/>
        </w:rPr>
        <w:t xml:space="preserve"> איני יודע שום חידוש בזה מהש"ע</w:t>
      </w:r>
      <w:r w:rsidR="007E6C62">
        <w:rPr>
          <w:rFonts w:cs="Arial" w:hint="cs"/>
          <w:rtl/>
        </w:rPr>
        <w:t>,</w:t>
      </w:r>
      <w:r>
        <w:rPr>
          <w:rFonts w:cs="Arial"/>
          <w:rtl/>
        </w:rPr>
        <w:t xml:space="preserve"> אבל ל' הש"ג הכי אמר כנסי ש"ח זה וקראתו והרי הוא גיטה אינה מגורשת עד שיחזור ויאמר הז"ג ואפילו אחר שנתנו לה והוא שיאמר לה באותו מעמד מיד כמבואר ב"ה. אבל צ"ע ראייתו כי סתימות הפוסקים ל"מ הכי עכ"ל. ועיין בס' ג"מ אות רכ"ד סק"ב מ"ש בזה, </w:t>
      </w:r>
      <w:r>
        <w:rPr>
          <w:rFonts w:cs="Arial"/>
          <w:b/>
          <w:bCs/>
          <w:rtl/>
        </w:rPr>
        <w:t>פת"ש</w:t>
      </w:r>
      <w:r>
        <w:rPr>
          <w:rFonts w:cs="Arial"/>
          <w:rtl/>
        </w:rPr>
        <w:t xml:space="preserve"> (סק"ג).</w:t>
      </w:r>
    </w:p>
  </w:footnote>
  <w:footnote w:id="1578">
    <w:p w14:paraId="3C176A44" w14:textId="77777777" w:rsidR="00FA2119" w:rsidRDefault="00FA2119" w:rsidP="00FA2119">
      <w:pPr>
        <w:pStyle w:val="a5"/>
      </w:pPr>
      <w:r>
        <w:rPr>
          <w:rStyle w:val="a7"/>
        </w:rPr>
        <w:footnoteRef/>
      </w:r>
      <w:r>
        <w:rPr>
          <w:rtl/>
        </w:rPr>
        <w:t xml:space="preserve"> </w:t>
      </w:r>
      <w:r>
        <w:rPr>
          <w:rFonts w:cs="Arial"/>
          <w:rtl/>
        </w:rPr>
        <w:t>מיהו הרמב"ם והטור ס"ל דא"צ שיאמרו העדים לה שהוא הגט, וכ"כ בעל המאור, ודי אם הבעל מוציא מפיו השילוחים ויאמר לה או להעדים. לכן לא כתבו 'שהעדים יגידו לה', והסוגיא קמ"ל כשאמר לעדים שהוא הגט - די. לפ"ז תוספות והרמב"ם שני דיעות הם ולא ה"ל להרב רמ"א להביא בפשיטות דברי תוס' על דברי המחבר, ב"ש (סק"ג).</w:t>
      </w:r>
    </w:p>
  </w:footnote>
  <w:footnote w:id="1579">
    <w:p w14:paraId="6A83EEF8" w14:textId="1674553C" w:rsidR="00FA2119" w:rsidRDefault="00FA2119" w:rsidP="00FA2119">
      <w:pPr>
        <w:pStyle w:val="a5"/>
      </w:pPr>
      <w:r>
        <w:rPr>
          <w:rStyle w:val="a7"/>
        </w:rPr>
        <w:footnoteRef/>
      </w:r>
      <w:r>
        <w:rPr>
          <w:rtl/>
        </w:rPr>
        <w:t xml:space="preserve"> </w:t>
      </w:r>
      <w:r>
        <w:rPr>
          <w:rFonts w:cs="Arial"/>
          <w:rtl/>
        </w:rPr>
        <w:t xml:space="preserve">כתב הריטב"א </w:t>
      </w:r>
      <w:r w:rsidR="000A0F5A">
        <w:rPr>
          <w:rFonts w:cs="Arial"/>
          <w:rtl/>
        </w:rPr>
        <w:t>וז"ל:</w:t>
      </w:r>
      <w:r>
        <w:rPr>
          <w:rFonts w:cs="Arial"/>
          <w:rtl/>
        </w:rPr>
        <w:t xml:space="preserve"> קשיא לי כיון שהוחזקו בעיר שני יוסף בן שמעון היאך כותבין גט לאיש כשאין אשתו עמו לשלחו ביד שליח. וי"ל דהתם כשאין מכירין העדים את האשה אבל</w:t>
      </w:r>
      <w:r>
        <w:rPr>
          <w:rtl/>
        </w:rPr>
        <w:t>-...</w:t>
      </w:r>
    </w:p>
  </w:footnote>
  <w:footnote w:id="1580">
    <w:p w14:paraId="627391D5" w14:textId="77777777" w:rsidR="00FA2119" w:rsidRDefault="00FA2119" w:rsidP="00FA2119">
      <w:pPr>
        <w:pStyle w:val="a5"/>
        <w:rPr>
          <w:rtl/>
        </w:rPr>
      </w:pPr>
      <w:r>
        <w:rPr>
          <w:rStyle w:val="a7"/>
        </w:rPr>
        <w:footnoteRef/>
      </w:r>
      <w:r>
        <w:rPr>
          <w:rtl/>
        </w:rPr>
        <w:t xml:space="preserve"> </w:t>
      </w:r>
      <w:r>
        <w:rPr>
          <w:rFonts w:cs="Arial"/>
          <w:rtl/>
        </w:rPr>
        <w:t>והכא משום עיגונא אקילו רבנן שאם שליח מכירה לתת לו וסמכו עליו כשנים, והיינו דאמרינן התם שני יוסף בן שמעון הדרים בעיר אחת, הא כשאינם דרים בשעת הגירושין אקילו רבנן לגרשה על ידי שליח המכּירה, או שלא יתנהו לה אלא בפני עדים המכירים אותה, כך נראה לי וכן הורה לנו רבינו</w:t>
      </w:r>
      <w:r>
        <w:rPr>
          <w:rtl/>
        </w:rPr>
        <w:t>, ריטב"א (שם).</w:t>
      </w:r>
    </w:p>
  </w:footnote>
  <w:footnote w:id="1581">
    <w:p w14:paraId="06AE8E3F" w14:textId="77777777" w:rsidR="00FA2119" w:rsidRDefault="00FA2119" w:rsidP="00FA2119">
      <w:pPr>
        <w:pStyle w:val="a5"/>
        <w:rPr>
          <w:rtl/>
        </w:rPr>
      </w:pPr>
      <w:r>
        <w:rPr>
          <w:rStyle w:val="a7"/>
        </w:rPr>
        <w:footnoteRef/>
      </w:r>
      <w:r>
        <w:rPr>
          <w:rtl/>
        </w:rPr>
        <w:t xml:space="preserve"> </w:t>
      </w:r>
      <w:r>
        <w:rPr>
          <w:rFonts w:cs="Arial"/>
          <w:rtl/>
        </w:rPr>
        <w:t>שני יוסף בן שמעון הדרים בעיר אחת וגירש אחד אשתו בינו לבינה ואינו ניכר מתוך הגט מי הוא מהשנים ועדי הגט אומרים שלא כתבו גט ליוסף בן שמעון אחר אם היא מגורשת תמצא ברבינו ירוחם חלק ב' (דנכ"ד רד:), ב"י.</w:t>
      </w:r>
    </w:p>
  </w:footnote>
  <w:footnote w:id="1582">
    <w:p w14:paraId="7193AFA5" w14:textId="77777777" w:rsidR="00FA2119" w:rsidRDefault="00FA2119" w:rsidP="00FA2119">
      <w:pPr>
        <w:pStyle w:val="a5"/>
      </w:pPr>
      <w:r>
        <w:rPr>
          <w:rStyle w:val="a7"/>
        </w:rPr>
        <w:footnoteRef/>
      </w:r>
      <w:r>
        <w:rPr>
          <w:rtl/>
        </w:rPr>
        <w:t xml:space="preserve"> </w:t>
      </w:r>
      <w:r>
        <w:rPr>
          <w:rFonts w:cs="Arial"/>
          <w:rtl/>
        </w:rPr>
        <w:t>וכתב בפסקי מהרא"י (תרוה"ד ח"ב סוף) סימן ו' דאם אחד מהן כהן אף על פי שישראל הוא המגרש ואינו ניכר בגט אין צריך לכתוב יותר דזה הוי סימן ועיין שם</w:t>
      </w:r>
      <w:r>
        <w:rPr>
          <w:rtl/>
        </w:rPr>
        <w:t>, דרכ"מ (אות ד).</w:t>
      </w:r>
    </w:p>
  </w:footnote>
  <w:footnote w:id="1583">
    <w:p w14:paraId="49C645F3" w14:textId="77777777" w:rsidR="00FA2119" w:rsidRDefault="00FA2119" w:rsidP="00FA2119">
      <w:pPr>
        <w:pStyle w:val="a5"/>
        <w:rPr>
          <w:rtl/>
        </w:rPr>
      </w:pPr>
      <w:r>
        <w:rPr>
          <w:rStyle w:val="a7"/>
        </w:rPr>
        <w:footnoteRef/>
      </w:r>
      <w:r>
        <w:rPr>
          <w:rtl/>
        </w:rPr>
        <w:t xml:space="preserve"> </w:t>
      </w:r>
      <w:r>
        <w:rPr>
          <w:rFonts w:cs="Arial"/>
          <w:rtl/>
        </w:rPr>
        <w:t>עיין בס' גט מקושר (סג"ר אות כה) שכ' דאפשר דבפניו לאו דוקא רק שיודיעוהו כדאי' בנדרים דס"ה המודר הנאה מחבירו אין מתירין לו אלא בפניו וסגי בהודעה כו', ע"ש עוד, ויובא בביאורי לס"ג שם</w:t>
      </w:r>
      <w:r>
        <w:rPr>
          <w:rtl/>
        </w:rPr>
        <w:t>, פת"ש (סק"ה).</w:t>
      </w:r>
    </w:p>
  </w:footnote>
  <w:footnote w:id="1584">
    <w:p w14:paraId="5676629A" w14:textId="575EEDD1" w:rsidR="00FA2119" w:rsidRDefault="00FA2119" w:rsidP="00FA2119">
      <w:pPr>
        <w:pStyle w:val="a5"/>
        <w:rPr>
          <w:rtl/>
        </w:rPr>
      </w:pPr>
      <w:r>
        <w:rPr>
          <w:rStyle w:val="a7"/>
        </w:rPr>
        <w:footnoteRef/>
      </w:r>
      <w:r>
        <w:rPr>
          <w:rtl/>
        </w:rPr>
        <w:t xml:space="preserve"> </w:t>
      </w:r>
      <w:r>
        <w:rPr>
          <w:rFonts w:cs="Arial"/>
          <w:rtl/>
        </w:rPr>
        <w:t xml:space="preserve">הנה תוס' (ר"פ כל הגט וב"ב קסז.) כתבו דלר"מ אפי' שניהם הם לפנינו בעת הגירושין אינו יכול לגרש משום דבעינן שיהא מוכח בגט מי הוא המגרש וצריך לכתוב סימן. ולר"א א"צ שיהא מוכח בתוכו, ומ"מ צריכים לגרש זה בפני זה. ולכאור' קשה איך פסק בפשיטות דיכול לגרש בפני האחר, הא קי"ל דהגט צריך להיות כשר לכו"ע, לר"מ ולר"א. ואפשר דלא קי"ל כתוס' אלא כדעת הר"ן (פרק כל הגט) דכתב דאפי' לר"מ א"צ שיהא מוכח מתוכו. מיהו נראה הי"א שהביא הרב רמ"א ס"ל כשיטו' תוספות דבעינן שיהיה מוכח מתוכו, לכן כתב שיכתוב סימן. ודוקא סימן מהני אבל לגרש בפני אחר לא מהני. ופליג על דיעה קמייתא בתרתי. חדא, דצריך דוקא סימן ולא מהני אם מגרש בפני האחר. השני, אפילו אם שמות הנשים אינו שוין צריך לכתוב סימן. לפ"ז מ"ש בהג"ה לכן נהגו ליתן הגט ברבים אין מדוקדק, דהא לדעת הש"ג לא מהני אם מגרש בפני השני אלא צריך סימן </w:t>
      </w:r>
      <w:r>
        <w:rPr>
          <w:rFonts w:cs="Arial"/>
          <w:sz w:val="16"/>
          <w:szCs w:val="16"/>
          <w:rtl/>
        </w:rPr>
        <w:t>{ועיין בתשו' נו"ב [סי' פו] שכ' דלק"מ דע"כ לא חייש הרמ"א לחומרא של התוס' דבעינן מוכח מתוכו לר"מ אלא בהוחזקו אבל בלא הוחזקו לא בעינן אפילו לר"מ מוכח מתוכו וכ"כ התוס' שם בהדיא דאפי' מאן דחייש לשני שוירי מ"מ כיון שלא הוחזקו מקרי שפיר מוכח מתוכו וא"כ דברי רמ"א נכונים דבהוחזקו בעינן דוקא סימן דליהוי מוכח מתוכו אבל מה שסיים נהגו ליתן הגט ברבים לא איירי בהוחזקו בודאי אלא דחיישי' שמא יש אחר ששמו כן וא"כ לענין מוכח מתוכו ליכא חשש רק לחשש שמא ממטי גיטא לאיתתא דהאיך שהוא חשש גדול אפי' לר"א לזה עכ"פ מהני שיתן בפני חבירו ולכן מהני מה שנותנים ברבים דאם יש עוד יוב"ש הי' שם עכ"ד, פת"ש [סק"ז]}</w:t>
      </w:r>
      <w:r>
        <w:rPr>
          <w:rFonts w:cs="Arial"/>
          <w:rtl/>
        </w:rPr>
        <w:t xml:space="preserve">. וכבר כתבתי בסימן ק"ל דאפילו להפוסקים דס"ל דבעינן מוכח בתוכו מ"מ אם כבר ניתן הגט תנשא בו כמו בגט שאין עדים חתומים בו כלל דקי"ל אם ניתן לה תנשא. ועיין תשו' </w:t>
      </w:r>
      <w:r>
        <w:rPr>
          <w:rFonts w:cs="Arial"/>
          <w:b/>
          <w:bCs/>
          <w:rtl/>
        </w:rPr>
        <w:t>ש"י</w:t>
      </w:r>
      <w:r>
        <w:rPr>
          <w:rFonts w:cs="Arial"/>
          <w:rtl/>
        </w:rPr>
        <w:t xml:space="preserve"> (סי' לו) שם פסק אפילו אם ניתן הגט צריכה גט אחר, </w:t>
      </w:r>
      <w:r>
        <w:rPr>
          <w:rFonts w:cs="Arial"/>
          <w:b/>
          <w:bCs/>
          <w:rtl/>
        </w:rPr>
        <w:t>ב"ש</w:t>
      </w:r>
      <w:r>
        <w:rPr>
          <w:rFonts w:cs="Arial"/>
          <w:rtl/>
        </w:rPr>
        <w:t xml:space="preserve"> (סק"ד). ולגבי תשובת ש"י שהביא הב"ש כתב </w:t>
      </w:r>
      <w:r>
        <w:rPr>
          <w:rFonts w:cs="Arial"/>
          <w:b/>
          <w:bCs/>
          <w:rtl/>
        </w:rPr>
        <w:t>הפת"ש</w:t>
      </w:r>
      <w:r>
        <w:rPr>
          <w:rFonts w:cs="Arial"/>
          <w:rtl/>
        </w:rPr>
        <w:t xml:space="preserve"> (סק"ו) שהרבה חולקים על תשובת הש"י הנ"ל (דפוסל גם באין שמות נשותיהן שוות אפילו בדיעבד). והביא בסוף את תשו' הב"ח (החדשות סי' פט) שגם השיג ג"כ על הש"י הנ"ל (אך משמעות דבריו דאינו מכשיר רק באין שמות הנשים שוות) וכתב דחלילה להחמיר בדיעבד להצריך לכתוב גט אחר כשאין שמות נשותיהן שוות אם לא גירש זה בפני זה כי אין זה אלא חומרא יתירא לכתחלה וכדמשמע מלשון הרב </w:t>
      </w:r>
      <w:r w:rsidR="009334FF">
        <w:rPr>
          <w:rFonts w:cs="Arial"/>
          <w:rtl/>
        </w:rPr>
        <w:t>בהג"ה</w:t>
      </w:r>
      <w:r>
        <w:rPr>
          <w:rFonts w:cs="Arial"/>
          <w:rtl/>
        </w:rPr>
        <w:t>... עכ"ד.</w:t>
      </w:r>
    </w:p>
  </w:footnote>
  <w:footnote w:id="1585">
    <w:p w14:paraId="16B19A4B" w14:textId="6FD66249" w:rsidR="00FA2119" w:rsidRDefault="00FA2119" w:rsidP="00FA2119">
      <w:pPr>
        <w:pStyle w:val="a5"/>
      </w:pPr>
      <w:r>
        <w:rPr>
          <w:rStyle w:val="a7"/>
        </w:rPr>
        <w:footnoteRef/>
      </w:r>
      <w:r>
        <w:rPr>
          <w:rtl/>
        </w:rPr>
        <w:t xml:space="preserve"> </w:t>
      </w:r>
      <w:r>
        <w:rPr>
          <w:rFonts w:cs="Arial"/>
          <w:rtl/>
        </w:rPr>
        <w:t>והא דלא מהני שמות הנשים בסימן משום דיש לחוש שמא קידש אשה במקום אחר</w:t>
      </w:r>
      <w:r w:rsidR="00301A54">
        <w:rPr>
          <w:rFonts w:cs="Arial" w:hint="cs"/>
          <w:rtl/>
        </w:rPr>
        <w:t>.</w:t>
      </w:r>
      <w:r>
        <w:rPr>
          <w:rFonts w:cs="Arial"/>
          <w:rtl/>
        </w:rPr>
        <w:t xml:space="preserve"> ואפי' בזה"ז דאיכא חר"ג שאל ישא ב' נשים חיישי' שמא עבר חר"ג כמ"ש בתשו' ש"י (שם), ב"ש (סק"ה).</w:t>
      </w:r>
    </w:p>
  </w:footnote>
  <w:footnote w:id="1586">
    <w:p w14:paraId="3678FBC0" w14:textId="77777777" w:rsidR="00FA2119" w:rsidRDefault="00FA2119" w:rsidP="00FA2119">
      <w:pPr>
        <w:pStyle w:val="a5"/>
      </w:pPr>
      <w:r>
        <w:rPr>
          <w:rStyle w:val="a7"/>
        </w:rPr>
        <w:footnoteRef/>
      </w:r>
      <w:r>
        <w:rPr>
          <w:rtl/>
        </w:rPr>
        <w:t xml:space="preserve"> </w:t>
      </w:r>
      <w:r>
        <w:rPr>
          <w:rFonts w:cs="Arial"/>
          <w:rtl/>
        </w:rPr>
        <w:t>ע"ש שכ' בזה ג' מדרגות תקנתא דשילוש עדיף מן הכל והיכא דא"א בשילוש צריך זה בפני זה ואם אינו רוצה לבא יעשו סימן, פת"ש (שם).</w:t>
      </w:r>
    </w:p>
  </w:footnote>
  <w:footnote w:id="1587">
    <w:p w14:paraId="5A5EB9AF" w14:textId="2F12AE24" w:rsidR="00FA2119" w:rsidRDefault="00FA2119" w:rsidP="00FA2119">
      <w:pPr>
        <w:pStyle w:val="a5"/>
      </w:pPr>
      <w:r>
        <w:rPr>
          <w:rStyle w:val="a7"/>
        </w:rPr>
        <w:footnoteRef/>
      </w:r>
      <w:r>
        <w:rPr>
          <w:rtl/>
        </w:rPr>
        <w:t xml:space="preserve"> </w:t>
      </w:r>
      <w:r>
        <w:rPr>
          <w:rFonts w:hint="cs"/>
          <w:rtl/>
        </w:rPr>
        <w:t xml:space="preserve">רוב דברי התוספתא בהלכה זו מובאים במסכת ביצה בבבלי (לו:) ובירושלמי (פ"ה ה"ב), אבל מה שיש בסוגריים המרובעות </w:t>
      </w:r>
      <w:r w:rsidR="00A42812">
        <w:rPr>
          <w:rFonts w:hint="cs"/>
          <w:rtl/>
        </w:rPr>
        <w:t>-</w:t>
      </w:r>
      <w:r>
        <w:rPr>
          <w:rFonts w:hint="cs"/>
          <w:rtl/>
        </w:rPr>
        <w:t xml:space="preserve"> אינו כתוב בשניהם, אלא רק בתוספתא הנ"ל ובספרא דלקמן.</w:t>
      </w:r>
    </w:p>
  </w:footnote>
  <w:footnote w:id="1588">
    <w:p w14:paraId="7780CE3B" w14:textId="5EBE7799" w:rsidR="0099579F" w:rsidRDefault="0099579F">
      <w:pPr>
        <w:pStyle w:val="a5"/>
      </w:pPr>
      <w:r>
        <w:rPr>
          <w:rStyle w:val="a7"/>
        </w:rPr>
        <w:footnoteRef/>
      </w:r>
      <w:r>
        <w:rPr>
          <w:rtl/>
        </w:rPr>
        <w:t xml:space="preserve"> </w:t>
      </w:r>
      <w:r>
        <w:rPr>
          <w:rFonts w:hint="cs"/>
          <w:rtl/>
        </w:rPr>
        <w:t>סימן - עלילה ב-ז'.</w:t>
      </w:r>
    </w:p>
  </w:footnote>
  <w:footnote w:id="1589">
    <w:p w14:paraId="7F064C9B" w14:textId="77777777" w:rsidR="00FA2119" w:rsidRDefault="00FA2119" w:rsidP="00FA2119">
      <w:pPr>
        <w:pStyle w:val="a5"/>
      </w:pPr>
      <w:r>
        <w:rPr>
          <w:rStyle w:val="a7"/>
        </w:rPr>
        <w:footnoteRef/>
      </w:r>
      <w:r>
        <w:rPr>
          <w:rtl/>
        </w:rPr>
        <w:t xml:space="preserve"> </w:t>
      </w:r>
      <w:r>
        <w:rPr>
          <w:rFonts w:cs="Arial"/>
          <w:rtl/>
        </w:rPr>
        <w:t>והיה ירא פן ימות ותזקק ליבם ואסור לטלטל גט בשבת ולמוסרו לה, רש"י.</w:t>
      </w:r>
    </w:p>
  </w:footnote>
  <w:footnote w:id="1590">
    <w:p w14:paraId="2FB5D4F0" w14:textId="77777777" w:rsidR="00FA2119" w:rsidRDefault="00FA2119" w:rsidP="00FA2119">
      <w:pPr>
        <w:pStyle w:val="a5"/>
      </w:pPr>
      <w:r>
        <w:rPr>
          <w:rStyle w:val="a7"/>
        </w:rPr>
        <w:footnoteRef/>
      </w:r>
      <w:r>
        <w:rPr>
          <w:rtl/>
        </w:rPr>
        <w:t xml:space="preserve"> </w:t>
      </w:r>
      <w:r>
        <w:rPr>
          <w:rFonts w:cs="Arial"/>
          <w:rtl/>
        </w:rPr>
        <w:t>הבעל לדוכתא דמחית ביה גיטא לאשה בחזקה, דקרקע נקנה בחזקה, רש"י.</w:t>
      </w:r>
    </w:p>
  </w:footnote>
  <w:footnote w:id="1591">
    <w:p w14:paraId="6DB6D420" w14:textId="77777777" w:rsidR="00FA2119" w:rsidRDefault="00FA2119" w:rsidP="00FA2119">
      <w:pPr>
        <w:pStyle w:val="a5"/>
      </w:pPr>
      <w:r>
        <w:rPr>
          <w:rStyle w:val="a7"/>
        </w:rPr>
        <w:footnoteRef/>
      </w:r>
      <w:r>
        <w:rPr>
          <w:rtl/>
        </w:rPr>
        <w:t xml:space="preserve"> </w:t>
      </w:r>
      <w:r>
        <w:rPr>
          <w:rFonts w:cs="Arial"/>
          <w:rtl/>
        </w:rPr>
        <w:t xml:space="preserve">ואע"ג דבתוספתא פרק משילין (שם) תניא אין מגרשין בשבת, בשכיב מרע הקילו דלא תפול קמי יבם. ולא הוי כמו טלי גיטך מעל גבי קרקע (גיטין עח.), דכיון דהגט בא מרשות הבעל לרשותה הוי כאילו נתנו לה, </w:t>
      </w:r>
      <w:r>
        <w:rPr>
          <w:rFonts w:cs="Arial"/>
          <w:b/>
          <w:bCs/>
          <w:rtl/>
        </w:rPr>
        <w:t>תוס'</w:t>
      </w:r>
      <w:r>
        <w:rPr>
          <w:rFonts w:cs="Arial"/>
          <w:rtl/>
        </w:rPr>
        <w:t xml:space="preserve"> (ד"ה ותיזיל). וכתבו הרשב"א (שם) והר"ן (לט: ד"ה והא דאורי) דהא דאורי להו רבא בחזקה, הוא הדין דאפילו בחליפין שרי. אלא כיון דאפשר, אורי להו בהכי </w:t>
      </w:r>
      <w:r>
        <w:rPr>
          <w:rFonts w:cs="Arial"/>
          <w:sz w:val="16"/>
          <w:szCs w:val="16"/>
          <w:rtl/>
        </w:rPr>
        <w:t xml:space="preserve">{כיון} </w:t>
      </w:r>
      <w:r>
        <w:rPr>
          <w:rFonts w:cs="Arial"/>
          <w:rtl/>
        </w:rPr>
        <w:t>דלא מינכרא מילתא, דמיחזי כנועל ביתו לשמרו</w:t>
      </w:r>
      <w:r>
        <w:rPr>
          <w:rtl/>
        </w:rPr>
        <w:t xml:space="preserve">, </w:t>
      </w:r>
      <w:r>
        <w:rPr>
          <w:b/>
          <w:bCs/>
          <w:rtl/>
        </w:rPr>
        <w:t>ב"י</w:t>
      </w:r>
      <w:r>
        <w:rPr>
          <w:rtl/>
        </w:rPr>
        <w:t>.</w:t>
      </w:r>
    </w:p>
  </w:footnote>
  <w:footnote w:id="1592">
    <w:p w14:paraId="19F4C0C5" w14:textId="77777777" w:rsidR="00FA2119" w:rsidRDefault="00FA2119" w:rsidP="00FA2119">
      <w:pPr>
        <w:pStyle w:val="a5"/>
      </w:pPr>
      <w:r>
        <w:rPr>
          <w:rStyle w:val="a7"/>
        </w:rPr>
        <w:footnoteRef/>
      </w:r>
      <w:r>
        <w:rPr>
          <w:rtl/>
        </w:rPr>
        <w:t xml:space="preserve"> </w:t>
      </w:r>
      <w:r>
        <w:rPr>
          <w:rFonts w:cs="Arial"/>
          <w:rtl/>
        </w:rPr>
        <w:t>וקשיא לי מכדי טילטול וקנין החזקה תרוייהו אסירי מדרבנן מ"ש קנין החזקה דשרו ומ"ש טילטול דאסירי, בהעי"ט (שם).</w:t>
      </w:r>
    </w:p>
  </w:footnote>
  <w:footnote w:id="1593">
    <w:p w14:paraId="5D9403D5" w14:textId="77777777" w:rsidR="00FA2119" w:rsidRDefault="00FA2119" w:rsidP="00FA2119">
      <w:pPr>
        <w:pStyle w:val="a5"/>
      </w:pPr>
      <w:r>
        <w:rPr>
          <w:rStyle w:val="a7"/>
        </w:rPr>
        <w:footnoteRef/>
      </w:r>
      <w:r>
        <w:rPr>
          <w:rtl/>
        </w:rPr>
        <w:t xml:space="preserve"> </w:t>
      </w:r>
      <w:r>
        <w:rPr>
          <w:rFonts w:cs="Arial"/>
          <w:rtl/>
        </w:rPr>
        <w:t>ולא נהירא שהרי היה יכול לעשות שליח וילך שם ויתן לה הגט. ואע"פ שאסור לקנות בשבת כדאמרינן בעירובין (עא.) גבי בטול רשות דמקני רשותא בשבתא אסור גבי ש"מ התירו כדאמרינן בפרק מי שמת (קנו:) קונין מש"מ ואפי' בשבת וכן התירו לגרש אע"פ דתניא בתוספתא (פ"ב די"ט) אין מקדשין ואין מגרשין בשבת אבל טלטול לא רצה להתיר בשבת דניחא טפי להתיר קנין מה שמצינו שהתירו חכמים בשכיב מרע. ואפשר אם היה הגט מונח ברשות אחרים היו מתירין גם טלטול, רא"ש (פ"ח סי' ב).</w:t>
      </w:r>
    </w:p>
  </w:footnote>
  <w:footnote w:id="1594">
    <w:p w14:paraId="1263DA0C" w14:textId="77777777" w:rsidR="00FA2119" w:rsidRDefault="00FA2119" w:rsidP="00FA2119">
      <w:pPr>
        <w:pStyle w:val="a5"/>
        <w:rPr>
          <w:rtl/>
        </w:rPr>
      </w:pPr>
      <w:r>
        <w:rPr>
          <w:rStyle w:val="a7"/>
        </w:rPr>
        <w:footnoteRef/>
      </w:r>
      <w:r>
        <w:rPr>
          <w:rtl/>
        </w:rPr>
        <w:t xml:space="preserve"> </w:t>
      </w:r>
      <w:r>
        <w:rPr>
          <w:rFonts w:cs="Arial"/>
          <w:rtl/>
        </w:rPr>
        <w:t>ויש לתמוה עליהם שהרי ההוא שכיב מרע דתקיף ליה עלמא בימי רבא היה ובימיו כבר ניתנה תורה שבע"פ ליכתב, ב"י</w:t>
      </w:r>
      <w:r>
        <w:rPr>
          <w:rFonts w:cs="Arial"/>
          <w:sz w:val="16"/>
          <w:szCs w:val="16"/>
          <w:rtl/>
        </w:rPr>
        <w:t xml:space="preserve"> (בבדה"ב)</w:t>
      </w:r>
      <w:r>
        <w:rPr>
          <w:rFonts w:cs="Arial"/>
          <w:rtl/>
        </w:rPr>
        <w:t>.</w:t>
      </w:r>
    </w:p>
  </w:footnote>
  <w:footnote w:id="1595">
    <w:p w14:paraId="1BB0C5C5" w14:textId="77777777" w:rsidR="00FA2119" w:rsidRDefault="00FA2119" w:rsidP="00FA2119">
      <w:pPr>
        <w:pStyle w:val="a5"/>
        <w:rPr>
          <w:rtl/>
        </w:rPr>
      </w:pPr>
      <w:r>
        <w:rPr>
          <w:rStyle w:val="a7"/>
        </w:rPr>
        <w:footnoteRef/>
      </w:r>
      <w:r>
        <w:rPr>
          <w:rtl/>
        </w:rPr>
        <w:t xml:space="preserve"> </w:t>
      </w:r>
      <w:r>
        <w:rPr>
          <w:rFonts w:cs="Arial"/>
          <w:rtl/>
        </w:rPr>
        <w:t xml:space="preserve">ולכאורה קשה הא אי אפשר לכתוב בשבת, ועל כרחך איירי דנכתוב בע"ש, א"כ גט מוקדם הוא דכתב בע"ש. ואין לומר דאיירי דמוסר הגט לשליח </w:t>
      </w:r>
      <w:r>
        <w:rPr>
          <w:rFonts w:cs="Arial"/>
          <w:sz w:val="16"/>
          <w:szCs w:val="16"/>
          <w:rtl/>
        </w:rPr>
        <w:t>(חדא, דל' הטור והמחבר לא משמע כן. ועוד, דהא מוכח מתוס' והמ' דלא איירי דמוסר לשליח, דאל"כ ל"ק הקושי' דהקשו מהא דבעל אינו אוכל פירות כמה שמתרץ הר"ן קושיא זו דאיירי בשליח. א"כ ע"כ תוס' ס"ל דלא איירי כשאומר לשליח)</w:t>
      </w:r>
      <w:r>
        <w:rPr>
          <w:rFonts w:cs="Arial"/>
          <w:rtl/>
        </w:rPr>
        <w:t>. ואפשר דאיירי דהכינו גט בע"ש והיו כותבים בו הזמן כאלו הי' נכתב בשבת. ואין לומר א"כ מאוחר הוא, דלאו מאוחר הוא כיון דלא מסר עד שבת כמ"ש בסימן קל"ב. או י"ל בגט ש"מ אית ליה קלא והוי כמו גט הנותן לשליח... או י"ל דנכתב הזמן בשבת זו או חודש זה, פת"ש (סק"ז).</w:t>
      </w:r>
    </w:p>
  </w:footnote>
  <w:footnote w:id="1596">
    <w:p w14:paraId="679FCE03" w14:textId="77777777" w:rsidR="00FA2119" w:rsidRDefault="00FA2119" w:rsidP="00FA2119">
      <w:pPr>
        <w:pStyle w:val="a5"/>
      </w:pPr>
      <w:r>
        <w:rPr>
          <w:rStyle w:val="a7"/>
        </w:rPr>
        <w:footnoteRef/>
      </w:r>
      <w:r>
        <w:rPr>
          <w:rtl/>
        </w:rPr>
        <w:t xml:space="preserve"> </w:t>
      </w:r>
      <w:r>
        <w:rPr>
          <w:rFonts w:cs="Arial"/>
          <w:rtl/>
        </w:rPr>
        <w:t>ואז אסור לגרש ע"י קנין דהא קנין אסור וטלטול זה מותר. ובבדה"ב הקשה על דעה זו... לכן השמיט דיעה זו, ב"ש (סק"ח).</w:t>
      </w:r>
    </w:p>
  </w:footnote>
  <w:footnote w:id="1597">
    <w:p w14:paraId="78AF32CF" w14:textId="77777777" w:rsidR="00FA2119" w:rsidRDefault="00FA2119" w:rsidP="00FA2119">
      <w:pPr>
        <w:pStyle w:val="a5"/>
      </w:pPr>
      <w:r>
        <w:rPr>
          <w:rStyle w:val="a7"/>
        </w:rPr>
        <w:footnoteRef/>
      </w:r>
      <w:r>
        <w:rPr>
          <w:rtl/>
        </w:rPr>
        <w:t xml:space="preserve"> </w:t>
      </w:r>
      <w:r>
        <w:rPr>
          <w:rFonts w:cs="Arial"/>
          <w:rtl/>
        </w:rPr>
        <w:t>כלומר דבאמר לה כנסי שטר חוב סבירא ליה לרבי דבאומר לה בתר הכי הא גיטך סגי ורבי שמעון בן אלעזר פליג ואמר דלא סגי עד שיטלנו ממנה וכו' כדאיתא בהזורק (עח.), ובההיא קיי"ל כרבי דסתם מתניתין התם כוותיה. ואמר חזקיה דמתניתין דהכא כרבי שמעון בן אלעזר אתיא. ולדידיה משמע דלית הלכתא כסתם מתניתין דהכא, דמדאמר רבי שמעון בן אלעזר היא, משמע דמהלכתא מפיק לה. ורבי יוחנן אמר אפילו תימא רבי היא שאני הכא הואיל וקנאתו ליפסל בו מן הכהונה, ב"י.</w:t>
      </w:r>
    </w:p>
  </w:footnote>
  <w:footnote w:id="1598">
    <w:p w14:paraId="743D3AB6" w14:textId="77777777" w:rsidR="00FA2119" w:rsidRDefault="00FA2119" w:rsidP="00FA2119">
      <w:pPr>
        <w:pStyle w:val="a5"/>
      </w:pPr>
      <w:r>
        <w:rPr>
          <w:rStyle w:val="a7"/>
        </w:rPr>
        <w:footnoteRef/>
      </w:r>
      <w:r>
        <w:rPr>
          <w:rtl/>
        </w:rPr>
        <w:t xml:space="preserve"> </w:t>
      </w:r>
      <w:r>
        <w:rPr>
          <w:rFonts w:cs="Arial"/>
          <w:rtl/>
        </w:rPr>
        <w:t>רב כהנא שהיה משלכם מבבל שעלה לא"י ללמוד תורה מרבי יוחנן כדאמרינן בהגוזל בתרא (ב"ק קיז:) ושאל ממנו הרבה דברים ועליו קא"ר יוחנן בכל דוכתי דילכון אמר</w:t>
      </w:r>
      <w:r>
        <w:rPr>
          <w:rtl/>
        </w:rPr>
        <w:t>, רש"י.</w:t>
      </w:r>
    </w:p>
  </w:footnote>
  <w:footnote w:id="1599">
    <w:p w14:paraId="6C0260B6" w14:textId="77777777" w:rsidR="00FA2119" w:rsidRDefault="00FA2119" w:rsidP="00FA2119">
      <w:pPr>
        <w:pStyle w:val="a5"/>
        <w:rPr>
          <w:rtl/>
        </w:rPr>
      </w:pPr>
      <w:r>
        <w:rPr>
          <w:rStyle w:val="a7"/>
        </w:rPr>
        <w:footnoteRef/>
      </w:r>
      <w:r>
        <w:rPr>
          <w:rtl/>
        </w:rPr>
        <w:t xml:space="preserve"> </w:t>
      </w:r>
      <w:r>
        <w:rPr>
          <w:rFonts w:cs="Arial"/>
          <w:rtl/>
        </w:rPr>
        <w:t>משום הכי צריך לחזור וליטלו דקנאתו בנתינה קמייתא ליפסל בו לכהונה הילכך אי לאו דהדר שקיל לה מינה לא מהניא אמירה שהרי כבר זכתה בו על מנת תנאי ראשון אבל ההוא דהזורק לא זכתה בו לכלום, רש"י.</w:t>
      </w:r>
    </w:p>
  </w:footnote>
  <w:footnote w:id="1600">
    <w:p w14:paraId="3245050D" w14:textId="77777777" w:rsidR="00FA2119" w:rsidRDefault="00FA2119" w:rsidP="00FA2119">
      <w:pPr>
        <w:pStyle w:val="a5"/>
      </w:pPr>
      <w:r>
        <w:rPr>
          <w:rStyle w:val="a7"/>
        </w:rPr>
        <w:footnoteRef/>
      </w:r>
      <w:r>
        <w:rPr>
          <w:rtl/>
        </w:rPr>
        <w:t xml:space="preserve"> </w:t>
      </w:r>
      <w:r>
        <w:rPr>
          <w:rFonts w:cs="Arial"/>
          <w:rtl/>
        </w:rPr>
        <w:t>וכתב עוד הר"ן (שם) דמתניתין דוקא קתני שיאמר לה הרי את מותרת לכל אדם, ואע"ג דבעלמא בהא גיטך סתמא סגי, הכא שאני, דכיון דמעיקרא אמר בהדיא אלא לפלוני, אי אמר בתר הכי 'הא גיטך' סתמא לא מבטל מאי דאמר מעיקרא בהדיא. ואין כן דעת הרמב"ם שכתב בפ"ח (שם) 'אם נטלו ממנה וחזר ונתנו לה ואמר לה הרי את מותרת לכל אדם או הרי זה גיטך הרי זו מגורשת'. אלמא דסבירא ליה דמתניתין לישנא בעלמא נקט ולאו דוקא, ב"י.</w:t>
      </w:r>
    </w:p>
  </w:footnote>
  <w:footnote w:id="1601">
    <w:p w14:paraId="1CDFA2F6" w14:textId="77777777" w:rsidR="00FA2119" w:rsidRDefault="00FA2119" w:rsidP="00FA2119">
      <w:pPr>
        <w:pStyle w:val="a5"/>
      </w:pPr>
      <w:r>
        <w:rPr>
          <w:rStyle w:val="a7"/>
        </w:rPr>
        <w:footnoteRef/>
      </w:r>
      <w:r>
        <w:rPr>
          <w:rtl/>
        </w:rPr>
        <w:t xml:space="preserve"> </w:t>
      </w:r>
      <w:r>
        <w:rPr>
          <w:rFonts w:hint="cs"/>
          <w:rtl/>
        </w:rPr>
        <w:t>ו</w:t>
      </w:r>
      <w:r>
        <w:rPr>
          <w:rFonts w:cs="Arial"/>
          <w:rtl/>
        </w:rPr>
        <w:t>כתב הרמב"ם בפ"ח (שם) דכי אמרינן בעל מנת שלא תנשאי לפלוני דכשר - היינו בקוצב זמן שאומר על מנת שלא תנשאי לפלוני עד חמשים שנה, אבל אם אמר לה סתם על מנת שלא תנשאי לפלוני - אינו גט. וכתב הה"מ שיש חולקים עליו ומתירים אפילו באומר סתם על מנת שלא תנשאי לפלוני. ונתבאר בדברי רבינו סימן קמ"ג (סג:), ב"י.</w:t>
      </w:r>
    </w:p>
  </w:footnote>
  <w:footnote w:id="1602">
    <w:p w14:paraId="4A7B65AC" w14:textId="77777777" w:rsidR="00FA2119" w:rsidRDefault="00FA2119" w:rsidP="00FA2119">
      <w:pPr>
        <w:pStyle w:val="a5"/>
        <w:rPr>
          <w:rtl/>
        </w:rPr>
      </w:pPr>
      <w:r>
        <w:rPr>
          <w:rStyle w:val="a7"/>
        </w:rPr>
        <w:footnoteRef/>
      </w:r>
      <w:r>
        <w:rPr>
          <w:rtl/>
        </w:rPr>
        <w:t xml:space="preserve"> </w:t>
      </w:r>
      <w:r>
        <w:rPr>
          <w:rFonts w:cs="Arial"/>
          <w:rtl/>
        </w:rPr>
        <w:t>ורי"ו תפס דבריו כפשטן שלא הזכיר אלא 'על מנת שלא תנשאי', כלומר אבל 'על מנת שלא תבעלי' הוי שיור, שכך כתב בח"א (שם) דעל מנת שלא תבעלי לפלוני אינו גט לדעת רש"י. אבל הר"ן (שם) כתב דרש"י לישנא דברייתא נקט, אבל אין הכי נמי דאפילו אומר 'על מנת שלא תנשאי ושלא תבעלי' אמרינן דמודו לרבי אליעזר. והרמב"ם בפ"ח (הי"ב) כתב ג"כ 'על מנת שלא תנשאי', ואפשר לומר דלישנא דברייתא נקט אבל הוא הדין ל-'על מנת שלא תבעלי', וכמו שכתב הר"ן לדעת רש"י, ב"י.</w:t>
      </w:r>
    </w:p>
  </w:footnote>
  <w:footnote w:id="1603">
    <w:p w14:paraId="7AF85B10" w14:textId="77777777" w:rsidR="00FA2119" w:rsidRDefault="00FA2119" w:rsidP="00FA2119">
      <w:pPr>
        <w:pStyle w:val="a5"/>
      </w:pPr>
      <w:r>
        <w:rPr>
          <w:rStyle w:val="a7"/>
        </w:rPr>
        <w:footnoteRef/>
      </w:r>
      <w:r>
        <w:rPr>
          <w:rtl/>
        </w:rPr>
        <w:t xml:space="preserve"> </w:t>
      </w:r>
      <w:r>
        <w:rPr>
          <w:rFonts w:cs="Arial"/>
          <w:rtl/>
        </w:rPr>
        <w:t xml:space="preserve">שכתב </w:t>
      </w:r>
      <w:r>
        <w:rPr>
          <w:rFonts w:cs="Arial"/>
          <w:sz w:val="16"/>
          <w:szCs w:val="16"/>
          <w:rtl/>
        </w:rPr>
        <w:t>(הרשב"א בשם ר"ח)</w:t>
      </w:r>
      <w:r>
        <w:rPr>
          <w:rFonts w:cs="Arial"/>
          <w:rtl/>
        </w:rPr>
        <w:t xml:space="preserve"> וזו לשונו- ואסיקנא בחוץ פליגי אבל על מנת תנאה הוי ולכשימות זה שנאסרה עליו הרי היא מותרת לכל אדם שהרי נתקיים התנאי עכ"ל משמע דקודם שימות זה אינה מותרת לכל אדם ע"כ, </w:t>
      </w:r>
      <w:r>
        <w:rPr>
          <w:rFonts w:cs="Arial"/>
          <w:b/>
          <w:bCs/>
          <w:rtl/>
        </w:rPr>
        <w:t>ב"י</w:t>
      </w:r>
      <w:r>
        <w:rPr>
          <w:rFonts w:cs="Arial"/>
          <w:rtl/>
        </w:rPr>
        <w:t xml:space="preserve">. דלעולם חיישינן שתעבור תנאה, ולא משמע כן לקמן סי' קמ"ג (עמ' רעח) וע"ל, </w:t>
      </w:r>
      <w:r>
        <w:rPr>
          <w:rFonts w:cs="Arial"/>
          <w:b/>
          <w:bCs/>
          <w:rtl/>
        </w:rPr>
        <w:t>דרכ"מ</w:t>
      </w:r>
      <w:r>
        <w:rPr>
          <w:rFonts w:cs="Arial"/>
          <w:rtl/>
        </w:rPr>
        <w:t xml:space="preserve"> (אות ב).</w:t>
      </w:r>
    </w:p>
  </w:footnote>
  <w:footnote w:id="1604">
    <w:p w14:paraId="24CA5E04" w14:textId="63CBDF1C" w:rsidR="00FA2119" w:rsidRDefault="00FA2119" w:rsidP="00FA2119">
      <w:pPr>
        <w:pStyle w:val="a5"/>
      </w:pPr>
      <w:r>
        <w:rPr>
          <w:rStyle w:val="a7"/>
        </w:rPr>
        <w:footnoteRef/>
      </w:r>
      <w:r>
        <w:rPr>
          <w:rtl/>
        </w:rPr>
        <w:t xml:space="preserve"> </w:t>
      </w:r>
      <w:r>
        <w:rPr>
          <w:rFonts w:cs="Arial"/>
          <w:rtl/>
        </w:rPr>
        <w:t xml:space="preserve">עיין בס' גט מקושר </w:t>
      </w:r>
      <w:r w:rsidR="00B86739">
        <w:rPr>
          <w:rFonts w:cs="Arial" w:hint="cs"/>
          <w:rtl/>
        </w:rPr>
        <w:t>(</w:t>
      </w:r>
      <w:r>
        <w:rPr>
          <w:rFonts w:cs="Arial"/>
          <w:rtl/>
        </w:rPr>
        <w:t>סג"ר אות רכד</w:t>
      </w:r>
      <w:r w:rsidR="00B86739">
        <w:rPr>
          <w:rFonts w:cs="Arial" w:hint="cs"/>
          <w:rtl/>
        </w:rPr>
        <w:t>)</w:t>
      </w:r>
      <w:r>
        <w:rPr>
          <w:rFonts w:cs="Arial"/>
          <w:rtl/>
        </w:rPr>
        <w:t xml:space="preserve"> שכ' דנראה שצריכה לחזור ולהקנותו לו כיון דאמרי' בש"ס </w:t>
      </w:r>
      <w:r w:rsidR="00B86739">
        <w:rPr>
          <w:rFonts w:cs="Arial" w:hint="cs"/>
          <w:rtl/>
        </w:rPr>
        <w:t>(</w:t>
      </w:r>
      <w:r>
        <w:rPr>
          <w:rFonts w:cs="Arial"/>
          <w:rtl/>
        </w:rPr>
        <w:t>פד</w:t>
      </w:r>
      <w:r w:rsidR="00B86739">
        <w:rPr>
          <w:rFonts w:cs="Arial" w:hint="cs"/>
          <w:rtl/>
        </w:rPr>
        <w:t>:)</w:t>
      </w:r>
      <w:r>
        <w:rPr>
          <w:rFonts w:cs="Arial"/>
          <w:rtl/>
        </w:rPr>
        <w:t xml:space="preserve"> הואיל וקנאתו ליפסל בו מכהונה</w:t>
      </w:r>
      <w:r w:rsidR="00B86739">
        <w:rPr>
          <w:rFonts w:cs="Arial" w:hint="cs"/>
          <w:rtl/>
        </w:rPr>
        <w:t>,</w:t>
      </w:r>
      <w:r>
        <w:rPr>
          <w:rFonts w:cs="Arial"/>
          <w:rtl/>
        </w:rPr>
        <w:t xml:space="preserve"> וא"כ משמע שקנתה הגט כבר וא"כ מה מהני שחוזר ונותנו לה כיון שכבר הוא שלה והגט צריך שיהי' של בעל כדלעיל סי' ק"כ</w:t>
      </w:r>
      <w:r w:rsidR="00B86739">
        <w:rPr>
          <w:rFonts w:cs="Arial" w:hint="cs"/>
          <w:rtl/>
        </w:rPr>
        <w:t>,</w:t>
      </w:r>
      <w:r>
        <w:rPr>
          <w:rFonts w:cs="Arial"/>
          <w:rtl/>
        </w:rPr>
        <w:t xml:space="preserve"> ולכן צריכה לחזור ולהקנותו לו. ושוב הניח זה בצ"ע ע"ש, פת"ש (סק"ג).</w:t>
      </w:r>
    </w:p>
  </w:footnote>
  <w:footnote w:id="1605">
    <w:p w14:paraId="028573D5" w14:textId="77777777" w:rsidR="00FA2119" w:rsidRDefault="00FA2119" w:rsidP="00FA2119">
      <w:pPr>
        <w:pStyle w:val="a5"/>
      </w:pPr>
      <w:r>
        <w:rPr>
          <w:rStyle w:val="a7"/>
        </w:rPr>
        <w:footnoteRef/>
      </w:r>
      <w:r>
        <w:rPr>
          <w:rtl/>
        </w:rPr>
        <w:t xml:space="preserve"> </w:t>
      </w:r>
      <w:r>
        <w:rPr>
          <w:rFonts w:cs="Arial"/>
          <w:rtl/>
        </w:rPr>
        <w:t>והיינו לומר דאינו גט כיון דהוי שיור ואינו כריתות, וכ"כ הרמב"ם בפ"ח (ה"ה), ב"י.</w:t>
      </w:r>
    </w:p>
  </w:footnote>
  <w:footnote w:id="1606">
    <w:p w14:paraId="54B96494" w14:textId="77777777" w:rsidR="00FA2119" w:rsidRDefault="00FA2119" w:rsidP="00FA2119">
      <w:pPr>
        <w:pStyle w:val="a5"/>
      </w:pPr>
      <w:r>
        <w:rPr>
          <w:rStyle w:val="a7"/>
        </w:rPr>
        <w:footnoteRef/>
      </w:r>
      <w:r>
        <w:rPr>
          <w:rtl/>
        </w:rPr>
        <w:t xml:space="preserve"> </w:t>
      </w:r>
      <w:r>
        <w:rPr>
          <w:rFonts w:cs="Arial"/>
          <w:rtl/>
        </w:rPr>
        <w:t>חוץ מפלוני וקטן הוא</w:t>
      </w:r>
      <w:r>
        <w:rPr>
          <w:rtl/>
        </w:rPr>
        <w:t>, רש"י.</w:t>
      </w:r>
    </w:p>
  </w:footnote>
  <w:footnote w:id="1607">
    <w:p w14:paraId="6754766E" w14:textId="77777777" w:rsidR="00FA2119" w:rsidRDefault="00FA2119" w:rsidP="00FA2119">
      <w:pPr>
        <w:pStyle w:val="a5"/>
        <w:rPr>
          <w:rtl/>
        </w:rPr>
      </w:pPr>
      <w:r>
        <w:rPr>
          <w:rStyle w:val="a7"/>
        </w:rPr>
        <w:footnoteRef/>
      </w:r>
      <w:r>
        <w:rPr>
          <w:rtl/>
        </w:rPr>
        <w:t xml:space="preserve"> </w:t>
      </w:r>
      <w:r>
        <w:rPr>
          <w:rFonts w:cs="Arial"/>
          <w:rtl/>
        </w:rPr>
        <w:t>אם קיבלה גיטה לאחר מיתת אביה, רש"י.</w:t>
      </w:r>
    </w:p>
  </w:footnote>
  <w:footnote w:id="1608">
    <w:p w14:paraId="2E5043B0" w14:textId="77777777" w:rsidR="00FA2119" w:rsidRDefault="00FA2119" w:rsidP="00FA2119">
      <w:pPr>
        <w:pStyle w:val="a5"/>
      </w:pPr>
      <w:r>
        <w:rPr>
          <w:rStyle w:val="a7"/>
        </w:rPr>
        <w:footnoteRef/>
      </w:r>
      <w:r>
        <w:rPr>
          <w:rtl/>
        </w:rPr>
        <w:t xml:space="preserve"> </w:t>
      </w:r>
      <w:r>
        <w:rPr>
          <w:rFonts w:cs="Arial"/>
          <w:rtl/>
        </w:rPr>
        <w:t>כלומר ואפילו קידשה אביה לאיש הזה דהוו להו קדושין גמורין, רש"י.</w:t>
      </w:r>
    </w:p>
  </w:footnote>
  <w:footnote w:id="1609">
    <w:p w14:paraId="584175BA" w14:textId="77777777" w:rsidR="00FA2119" w:rsidRDefault="00FA2119" w:rsidP="00FA2119">
      <w:pPr>
        <w:pStyle w:val="a5"/>
      </w:pPr>
      <w:r>
        <w:rPr>
          <w:rStyle w:val="a7"/>
        </w:rPr>
        <w:footnoteRef/>
      </w:r>
      <w:r>
        <w:rPr>
          <w:rtl/>
        </w:rPr>
        <w:t xml:space="preserve"> </w:t>
      </w:r>
      <w:r>
        <w:rPr>
          <w:rFonts w:cs="Arial"/>
          <w:rtl/>
        </w:rPr>
        <w:t>דלא מיגרשה אא"כ ראויה לקדש את עצמה לאיש אחר, רש"י.</w:t>
      </w:r>
    </w:p>
  </w:footnote>
  <w:footnote w:id="1610">
    <w:p w14:paraId="624E42A6" w14:textId="77777777" w:rsidR="00FA2119" w:rsidRDefault="00FA2119" w:rsidP="00FA2119">
      <w:pPr>
        <w:pStyle w:val="a5"/>
      </w:pPr>
      <w:r>
        <w:rPr>
          <w:rStyle w:val="a7"/>
        </w:rPr>
        <w:footnoteRef/>
      </w:r>
      <w:r>
        <w:rPr>
          <w:rtl/>
        </w:rPr>
        <w:t xml:space="preserve"> </w:t>
      </w:r>
      <w:r>
        <w:rPr>
          <w:rFonts w:cs="Arial"/>
          <w:rtl/>
        </w:rPr>
        <w:t>לאחר זמן וקא חשיב ליה מעכשיו דלא דק קרא למימר דתיהוי השתא בת הויה לענין שיורא נמי הוי שיור</w:t>
      </w:r>
      <w:r>
        <w:rPr>
          <w:rtl/>
        </w:rPr>
        <w:t>, רש"י.</w:t>
      </w:r>
    </w:p>
  </w:footnote>
  <w:footnote w:id="1611">
    <w:p w14:paraId="6F5FD197" w14:textId="77777777" w:rsidR="00FA2119" w:rsidRDefault="00FA2119" w:rsidP="00FA2119">
      <w:pPr>
        <w:pStyle w:val="a5"/>
        <w:rPr>
          <w:rtl/>
        </w:rPr>
      </w:pPr>
      <w:r>
        <w:rPr>
          <w:rStyle w:val="a7"/>
        </w:rPr>
        <w:footnoteRef/>
      </w:r>
      <w:r>
        <w:rPr>
          <w:rtl/>
        </w:rPr>
        <w:t xml:space="preserve"> </w:t>
      </w:r>
      <w:r>
        <w:rPr>
          <w:rFonts w:hint="cs"/>
          <w:rtl/>
        </w:rPr>
        <w:t>בדפוס ראשון היה כתוב כאן 'אינו גט'. ובמהדורת הרמ"א ואילך נמחקו תיבות אלו ונכתב 'הוי ספק מגורשת'. וכן צריך להיות. וכן הגיה הערך לחם.</w:t>
      </w:r>
    </w:p>
  </w:footnote>
  <w:footnote w:id="1612">
    <w:p w14:paraId="49F86E4A" w14:textId="60030526" w:rsidR="00FA2119" w:rsidRDefault="00FA2119" w:rsidP="00FA2119">
      <w:pPr>
        <w:pStyle w:val="a5"/>
        <w:rPr>
          <w:rtl/>
        </w:rPr>
      </w:pPr>
      <w:r>
        <w:rPr>
          <w:rStyle w:val="a7"/>
        </w:rPr>
        <w:footnoteRef/>
      </w:r>
      <w:r>
        <w:rPr>
          <w:rtl/>
        </w:rPr>
        <w:t xml:space="preserve"> </w:t>
      </w:r>
      <w:r>
        <w:rPr>
          <w:rFonts w:cs="Arial"/>
          <w:rtl/>
        </w:rPr>
        <w:t>והיינו דווקא בכה"ג דהתיר להנשא ואסר בזנות אז הוי ספק</w:t>
      </w:r>
      <w:r w:rsidR="00FC0E1C">
        <w:rPr>
          <w:rFonts w:cs="Arial" w:hint="cs"/>
          <w:rtl/>
        </w:rPr>
        <w:t>,</w:t>
      </w:r>
      <w:r>
        <w:rPr>
          <w:rFonts w:cs="Arial"/>
          <w:rtl/>
        </w:rPr>
        <w:t xml:space="preserve"> אבל להפוך דהתיר בזנות ואסר להנשא כגון שאמר חוץ שלא תנשא לפלוני הוי שיור ואינו גט וכ"כ בדרישה</w:t>
      </w:r>
      <w:r w:rsidR="00FC0E1C">
        <w:rPr>
          <w:rFonts w:cs="Arial" w:hint="cs"/>
          <w:rtl/>
        </w:rPr>
        <w:t>.</w:t>
      </w:r>
      <w:r>
        <w:rPr>
          <w:rFonts w:cs="Arial"/>
          <w:rtl/>
        </w:rPr>
        <w:t xml:space="preserve"> ואם אמר בלשון שלא תנשא לפלוני מבואר בש"ס דהתיר בזנות אא"כ שאמר שלא תבעל לפלו</w:t>
      </w:r>
      <w:r w:rsidR="00FC0E1C">
        <w:rPr>
          <w:rFonts w:cs="Arial" w:hint="cs"/>
          <w:rtl/>
        </w:rPr>
        <w:t>ני</w:t>
      </w:r>
      <w:r>
        <w:rPr>
          <w:rFonts w:cs="Arial"/>
          <w:rtl/>
        </w:rPr>
        <w:t xml:space="preserve"> אז אסורה לו אפילו בזנות, ונראה אם היה אותו פלוני מי שאין קידושין תופסין והתנה על זנות לא הוי שיור כמו בנישואין אע</w:t>
      </w:r>
      <w:r w:rsidR="00FC0E1C">
        <w:rPr>
          <w:rFonts w:cs="Arial" w:hint="cs"/>
          <w:rtl/>
        </w:rPr>
        <w:t>"</w:t>
      </w:r>
      <w:r>
        <w:rPr>
          <w:rFonts w:cs="Arial"/>
          <w:rtl/>
        </w:rPr>
        <w:t xml:space="preserve">ג </w:t>
      </w:r>
      <w:r w:rsidR="00FC0E1C">
        <w:rPr>
          <w:rFonts w:cs="Arial" w:hint="cs"/>
          <w:rtl/>
        </w:rPr>
        <w:t>ד</w:t>
      </w:r>
      <w:r>
        <w:rPr>
          <w:rFonts w:cs="Arial"/>
          <w:rtl/>
        </w:rPr>
        <w:t>נישואין לא שייך בו וזנות שייך בו</w:t>
      </w:r>
      <w:r w:rsidR="00FC0E1C">
        <w:rPr>
          <w:rFonts w:cs="Arial" w:hint="cs"/>
          <w:rtl/>
        </w:rPr>
        <w:t>.</w:t>
      </w:r>
      <w:r>
        <w:rPr>
          <w:rFonts w:cs="Arial"/>
          <w:rtl/>
        </w:rPr>
        <w:t xml:space="preserve"> וכן משמע להדיא בש"ס בס"ד תנינא זנות הוי שיור ומ"מ באבא לא הוי שיור ולהמסקנ</w:t>
      </w:r>
      <w:r w:rsidR="00FC0E1C">
        <w:rPr>
          <w:rFonts w:cs="Arial" w:hint="cs"/>
          <w:rtl/>
        </w:rPr>
        <w:t>ה</w:t>
      </w:r>
      <w:r>
        <w:rPr>
          <w:rFonts w:cs="Arial"/>
          <w:rtl/>
        </w:rPr>
        <w:t xml:space="preserve"> לא מצינו סתירה לזה, ב"ש (סק"ה).</w:t>
      </w:r>
    </w:p>
  </w:footnote>
  <w:footnote w:id="1613">
    <w:p w14:paraId="5AABDE07" w14:textId="77777777" w:rsidR="00FA2119" w:rsidRDefault="00FA2119" w:rsidP="00FA2119">
      <w:pPr>
        <w:pStyle w:val="a5"/>
      </w:pPr>
      <w:r>
        <w:rPr>
          <w:rStyle w:val="a7"/>
        </w:rPr>
        <w:footnoteRef/>
      </w:r>
      <w:r>
        <w:rPr>
          <w:rtl/>
        </w:rPr>
        <w:t xml:space="preserve"> </w:t>
      </w:r>
      <w:r>
        <w:rPr>
          <w:rFonts w:cs="Arial"/>
          <w:rtl/>
        </w:rPr>
        <w:t>דהאי לראובן ושמעון דהדר אמר לה קודם מסירה אף לראובן ושמעון קאמר ואינו שיור, רש"י.</w:t>
      </w:r>
    </w:p>
  </w:footnote>
  <w:footnote w:id="1614">
    <w:p w14:paraId="0E71A7E2" w14:textId="77777777" w:rsidR="00FA2119" w:rsidRDefault="00FA2119" w:rsidP="00FA2119">
      <w:pPr>
        <w:pStyle w:val="a5"/>
      </w:pPr>
      <w:r>
        <w:rPr>
          <w:rStyle w:val="a7"/>
        </w:rPr>
        <w:footnoteRef/>
      </w:r>
      <w:r>
        <w:rPr>
          <w:rtl/>
        </w:rPr>
        <w:t xml:space="preserve"> </w:t>
      </w:r>
      <w:r>
        <w:rPr>
          <w:rFonts w:cs="Arial"/>
          <w:rtl/>
        </w:rPr>
        <w:t>האי לראובן ושמעון דהדר קאמר חזרה היא שחזר והפך תנאו לומר לראובן ושמעון אני מתירה לבדה ותאסרי על הכל, רש"י.</w:t>
      </w:r>
    </w:p>
  </w:footnote>
  <w:footnote w:id="1615">
    <w:p w14:paraId="39424DD0" w14:textId="77777777" w:rsidR="00FA2119" w:rsidRDefault="00FA2119" w:rsidP="00FA2119">
      <w:pPr>
        <w:pStyle w:val="a5"/>
      </w:pPr>
      <w:r>
        <w:rPr>
          <w:rStyle w:val="a7"/>
        </w:rPr>
        <w:footnoteRef/>
      </w:r>
      <w:r>
        <w:rPr>
          <w:rtl/>
        </w:rPr>
        <w:t xml:space="preserve"> </w:t>
      </w:r>
      <w:r>
        <w:rPr>
          <w:rFonts w:cs="Arial"/>
          <w:rtl/>
        </w:rPr>
        <w:t>אמר לה חוץ מראובן ושמעון, וחזר ואמר אף לשמעון, מהו? אם תימצי לומר היכא דחזר ואמר 'לשמעון' ולא אמר 'אף' דוקא לשמעון קאמר, הכא מאי, כיון דאמר אף ודאי התירה לשניהם דהאי אף אראובן קאי ואע"ג דלא הזכיר שמו</w:t>
      </w:r>
      <w:r>
        <w:rPr>
          <w:rtl/>
        </w:rPr>
        <w:t>, רש"י.</w:t>
      </w:r>
    </w:p>
  </w:footnote>
  <w:footnote w:id="1616">
    <w:p w14:paraId="3FAFEDB1" w14:textId="77777777" w:rsidR="00FA2119" w:rsidRDefault="00FA2119" w:rsidP="00FA2119">
      <w:pPr>
        <w:pStyle w:val="a5"/>
        <w:rPr>
          <w:rtl/>
        </w:rPr>
      </w:pPr>
      <w:r>
        <w:rPr>
          <w:rStyle w:val="a7"/>
        </w:rPr>
        <w:footnoteRef/>
      </w:r>
      <w:r>
        <w:rPr>
          <w:rtl/>
        </w:rPr>
        <w:t xml:space="preserve"> </w:t>
      </w:r>
      <w:r>
        <w:rPr>
          <w:rFonts w:cs="Arial"/>
          <w:rtl/>
        </w:rPr>
        <w:t xml:space="preserve">פירוש כגון שחזר ונטלו הימנה ונתנו לה ואמר לה הרי את מותרת לראובן ושמעון, ויתבאר למטה (הט"ז-יז) שכל שהתנה בשעת נתינה צריך לחזור וליטלו הימנה, הה"מ (שם ה"ז). וכבר נתבאר זה בראש סימן זה. והרא"ש כתב בתשובה (כלל לה סי' ט) דהא דבעא אביי הרי את מותרת לכל אדם חוץ מראובן ושמעון וחזר ואמר לה לראובן ושמעון - מיירי דחזר ואמר קודם מסירת הגט לידה, דאי אחר מסירת הגט מאי קאמר או דילמא מאי דשרא אסר, כיון דכבר בא הגט לידה לאו כל כמיניה לאסרה למי שהתירה כבר עכ"ל, ב"י. </w:t>
      </w:r>
      <w:r>
        <w:rPr>
          <w:rFonts w:cs="Arial"/>
          <w:sz w:val="16"/>
          <w:szCs w:val="16"/>
          <w:rtl/>
        </w:rPr>
        <w:t>(וקשה שהרי הגט אינו גט לסברתו, וא"כ בודאי שיכול ללאסרה למי שהתירה, ועיין בדרכ"מ (אות ג) ובדרישה (אות יב)).</w:t>
      </w:r>
    </w:p>
  </w:footnote>
  <w:footnote w:id="1617">
    <w:p w14:paraId="5B3E83EE" w14:textId="77777777" w:rsidR="00FA2119" w:rsidRDefault="00FA2119" w:rsidP="00FA2119">
      <w:pPr>
        <w:pStyle w:val="a5"/>
        <w:rPr>
          <w:rtl/>
        </w:rPr>
      </w:pPr>
      <w:r>
        <w:rPr>
          <w:rStyle w:val="a7"/>
        </w:rPr>
        <w:footnoteRef/>
      </w:r>
      <w:r>
        <w:rPr>
          <w:rtl/>
        </w:rPr>
        <w:t xml:space="preserve"> </w:t>
      </w:r>
      <w:r>
        <w:rPr>
          <w:rFonts w:cs="Arial"/>
          <w:rtl/>
        </w:rPr>
        <w:t>דבעינן ונתן</w:t>
      </w:r>
      <w:r>
        <w:rPr>
          <w:rtl/>
        </w:rPr>
        <w:t>, רש"י.</w:t>
      </w:r>
    </w:p>
  </w:footnote>
  <w:footnote w:id="1618">
    <w:p w14:paraId="08581921" w14:textId="77777777" w:rsidR="00FA2119" w:rsidRDefault="00FA2119" w:rsidP="00FA2119">
      <w:pPr>
        <w:pStyle w:val="a5"/>
        <w:rPr>
          <w:rtl/>
        </w:rPr>
      </w:pPr>
      <w:r>
        <w:rPr>
          <w:rStyle w:val="a7"/>
        </w:rPr>
        <w:footnoteRef/>
      </w:r>
      <w:r>
        <w:rPr>
          <w:rtl/>
        </w:rPr>
        <w:t xml:space="preserve"> </w:t>
      </w:r>
      <w:r>
        <w:rPr>
          <w:rFonts w:cs="Arial"/>
          <w:rtl/>
        </w:rPr>
        <w:t>שהיה תחוב בין חגורו למתניו ושלפתו משם</w:t>
      </w:r>
      <w:r>
        <w:rPr>
          <w:rtl/>
        </w:rPr>
        <w:t>, רש"י.</w:t>
      </w:r>
    </w:p>
  </w:footnote>
  <w:footnote w:id="1619">
    <w:p w14:paraId="36C8CE65" w14:textId="77777777" w:rsidR="00FA2119" w:rsidRDefault="00FA2119" w:rsidP="00FA2119">
      <w:pPr>
        <w:pStyle w:val="a5"/>
        <w:rPr>
          <w:rtl/>
        </w:rPr>
      </w:pPr>
      <w:r>
        <w:rPr>
          <w:rStyle w:val="a7"/>
        </w:rPr>
        <w:footnoteRef/>
      </w:r>
      <w:r>
        <w:rPr>
          <w:rtl/>
        </w:rPr>
        <w:t xml:space="preserve"> </w:t>
      </w:r>
      <w:r>
        <w:rPr>
          <w:rFonts w:cs="Arial"/>
          <w:rtl/>
        </w:rPr>
        <w:t>עקם לה מתניו להקריב לה הגט</w:t>
      </w:r>
      <w:r>
        <w:rPr>
          <w:rtl/>
        </w:rPr>
        <w:t>, רש"י.</w:t>
      </w:r>
    </w:p>
  </w:footnote>
  <w:footnote w:id="1620">
    <w:p w14:paraId="50A2D680" w14:textId="77777777" w:rsidR="00FA2119" w:rsidRDefault="00FA2119" w:rsidP="00FA2119">
      <w:pPr>
        <w:pStyle w:val="a5"/>
        <w:rPr>
          <w:rFonts w:cs="Arial"/>
          <w:rtl/>
        </w:rPr>
      </w:pPr>
      <w:r>
        <w:rPr>
          <w:rStyle w:val="a7"/>
        </w:rPr>
        <w:footnoteRef/>
      </w:r>
      <w:r>
        <w:rPr>
          <w:rtl/>
        </w:rPr>
        <w:t xml:space="preserve"> </w:t>
      </w:r>
      <w:r>
        <w:rPr>
          <w:rFonts w:hint="cs"/>
          <w:rtl/>
        </w:rPr>
        <w:t xml:space="preserve">וז"ל </w:t>
      </w:r>
      <w:r>
        <w:rPr>
          <w:rFonts w:hint="cs"/>
          <w:b/>
          <w:bCs/>
          <w:rtl/>
        </w:rPr>
        <w:t>הרא"ש</w:t>
      </w:r>
      <w:r>
        <w:rPr>
          <w:rFonts w:hint="cs"/>
          <w:rtl/>
        </w:rPr>
        <w:t>- '</w:t>
      </w:r>
      <w:r>
        <w:rPr>
          <w:rFonts w:cs="Arial"/>
          <w:rtl/>
        </w:rPr>
        <w:t xml:space="preserve">דעזק לה חרציה ושקליה' פירוש עקם מתניו לקרב אליה הגט והוי כאילו קירב לה את ידו והיא לקחה הגט מתוכה. אבל אם היתה ידו פתוחה והגט מונחת עליה ולקחתו משם והוא לא קירב ידו אליה אין זו נתינה ואינה מגורשת. אבל אם אוחזו בראש האחד והושיטו לה ולקחתו בראש השני הרי זה גט דהוה כשלפתו דהכא. ורבינו חננאל ז"ל פירש כגון שהיה הגט דבוק במתניו בדוחק וצמצם מתניו ונתחלחל ונטלתו והוי כאילו נתנו לה הוא. ונראה דגם הוא צריך לומר לפירושו שקירב עצמו אליה, דאל"כ אם היה הגט סגור בידו ופתח ידו ונטלתו הוי גיטא ולהך פירושא אם היתה ידו פתוחה וקרבה אליה ונטלתו לא הוי גיטא, דבעינן תרתי, שיסייענה בנטילתה וגם שיקרב הגט אליה. עכ"ל הרא"ש. וכתב </w:t>
      </w:r>
      <w:r>
        <w:rPr>
          <w:rFonts w:cs="Arial"/>
          <w:b/>
          <w:bCs/>
          <w:rtl/>
        </w:rPr>
        <w:t>הב"י</w:t>
      </w:r>
      <w:r>
        <w:rPr>
          <w:rFonts w:cs="Arial"/>
          <w:rtl/>
        </w:rPr>
        <w:t xml:space="preserve">- ולא ידעתי למה כתב רבינו שהרא"ש כתב כדעת רבינו חננאל, שהרי הוא ז"ל כתב שני הפירושים </w:t>
      </w:r>
      <w:r>
        <w:rPr>
          <w:rFonts w:cs="Arial"/>
          <w:sz w:val="16"/>
          <w:szCs w:val="16"/>
          <w:rtl/>
        </w:rPr>
        <w:t xml:space="preserve">{שלו </w:t>
      </w:r>
      <w:r>
        <w:rPr>
          <w:rFonts w:cs="Arial"/>
          <w:sz w:val="14"/>
          <w:szCs w:val="14"/>
          <w:rtl/>
        </w:rPr>
        <w:t>[דביענן שיקרב אליה]</w:t>
      </w:r>
      <w:r>
        <w:rPr>
          <w:rFonts w:cs="Arial"/>
          <w:sz w:val="16"/>
          <w:szCs w:val="16"/>
          <w:rtl/>
        </w:rPr>
        <w:t xml:space="preserve"> ושל ר"ח </w:t>
      </w:r>
      <w:r>
        <w:rPr>
          <w:rFonts w:cs="Arial"/>
          <w:sz w:val="14"/>
          <w:szCs w:val="14"/>
          <w:rtl/>
        </w:rPr>
        <w:t>[דבעינן תרתי]</w:t>
      </w:r>
      <w:r>
        <w:rPr>
          <w:rFonts w:cs="Arial"/>
          <w:sz w:val="16"/>
          <w:szCs w:val="16"/>
          <w:rtl/>
        </w:rPr>
        <w:t xml:space="preserve">} </w:t>
      </w:r>
      <w:r>
        <w:rPr>
          <w:rFonts w:cs="Arial"/>
          <w:rtl/>
        </w:rPr>
        <w:t>ולא הכריע ביניהם. ואע"פ שרבינו סבור דהרא"ש כר"ח סבירא ליה כתב שאם אוחז הגט בראש האחד ומושיטו לה והיא לקחה אותו בראש השני הוי גט, משמע דלר"ח נמי הוי גט. דאע"ג דלר"ח בעינן תרתי, שיסייענה בנטילתה וגם שיקרב הגט אליה, הני מילי היכא דצריכה לתרתי, אבל אם אינה צריכה סיוע בנטילתה כגון הא, כשיקרב הגט אליה סגי. עכ"ל הב"י.</w:t>
      </w:r>
      <w:r>
        <w:rPr>
          <w:rtl/>
        </w:rPr>
        <w:t xml:space="preserve"> אך </w:t>
      </w:r>
      <w:r>
        <w:rPr>
          <w:b/>
          <w:bCs/>
          <w:rtl/>
        </w:rPr>
        <w:t>הב"ח</w:t>
      </w:r>
      <w:r>
        <w:rPr>
          <w:rtl/>
        </w:rPr>
        <w:t xml:space="preserve"> (ד"ה ואיכא להקשות) חלק על תמיהת הב"י על הטור וכתב שמדברי הרא"ש מוכח שכוונתו רק לפירוש הר"ח </w:t>
      </w:r>
      <w:r>
        <w:rPr>
          <w:sz w:val="16"/>
          <w:szCs w:val="16"/>
          <w:rtl/>
        </w:rPr>
        <w:t>(שבתחילה התחיל לפרש את דברי הגמרא ואח"כ הוסיף את פירוש ר"ח)</w:t>
      </w:r>
      <w:r>
        <w:rPr>
          <w:rtl/>
        </w:rPr>
        <w:t>. וחלק עוד הב"ח (עוד כתב בית יוסף) על הבנת הב"י בדברי ר"ח, וכתב דלר"ח בעינן תרתי בכל מצב.</w:t>
      </w:r>
    </w:p>
  </w:footnote>
  <w:footnote w:id="1621">
    <w:p w14:paraId="120BD63A" w14:textId="77777777" w:rsidR="00FA2119" w:rsidRDefault="00FA2119" w:rsidP="00FA2119">
      <w:pPr>
        <w:pStyle w:val="a5"/>
        <w:rPr>
          <w:rtl/>
        </w:rPr>
      </w:pPr>
      <w:r>
        <w:rPr>
          <w:rStyle w:val="a7"/>
        </w:rPr>
        <w:footnoteRef/>
      </w:r>
      <w:r>
        <w:rPr>
          <w:rtl/>
        </w:rPr>
        <w:t xml:space="preserve"> </w:t>
      </w:r>
      <w:r>
        <w:rPr>
          <w:rFonts w:cs="Arial"/>
          <w:rtl/>
        </w:rPr>
        <w:t>דבעינן תרתי, שיסייענה בנטילתה וגם שיקרב הגט אליה.</w:t>
      </w:r>
    </w:p>
  </w:footnote>
  <w:footnote w:id="1622">
    <w:p w14:paraId="6B262DDC" w14:textId="1AC088CF"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דעייק לה חרציה כלומר וכיון שהוא מקרבו לה ומסייעה בלקיחתו, ונתן בידה קרינן ביה. ומדפרכינן והא בעינן ונתן בידה שמעינן שאם תפס הבעל הגט ופתח ידו, ולקחתו מתוך ידו - לא קרינן ביה ונתן, אלא אם כן נתנו הוא לתוך ידה או שיקרבהו לה שהוא מסייע בלקיחתו.</w:t>
      </w:r>
    </w:p>
  </w:footnote>
  <w:footnote w:id="1623">
    <w:p w14:paraId="32BA3301" w14:textId="77777777" w:rsidR="00FA2119" w:rsidRDefault="00FA2119" w:rsidP="00FA2119">
      <w:pPr>
        <w:pStyle w:val="a5"/>
      </w:pPr>
      <w:r>
        <w:rPr>
          <w:rStyle w:val="a7"/>
        </w:rPr>
        <w:footnoteRef/>
      </w:r>
      <w:r>
        <w:rPr>
          <w:rtl/>
        </w:rPr>
        <w:t xml:space="preserve"> </w:t>
      </w:r>
      <w:r>
        <w:rPr>
          <w:rFonts w:cs="Arial"/>
          <w:rtl/>
        </w:rPr>
        <w:t>וצריך עיון דבגמרא משמע דעיקר תניא נמי הכי דמייתי התם לא מייתי רק מרבי שמעון בן אלעזר, מכלל דהלכתא כוותיה. וכן משמע מדברי הפוסקים שכתבו סתמא דאם לא סייע בנתינת הגט לא הוי גט, מכלל דסבירא להו כרבי שמעון בן אלעזר דצריך ליטלו ממנה ולחזור וליתנו לה. ומדברי הר"ן שם (מ. ד"ה מתני') משמע דכשהיה מתחלה נתינה מעלייתא רק שאמר כנסי שטר חוב או נתנו לה בתורת פקדון אזי אין צריך לחזור וליטלו הימנה אלא אומר הרי זה גיטך ואם לא היה נתינה מעלייתא צריך לחזור וליטלו הימנה כנ"ל מדברי הר"ן שם. וכן נראה דעת הטור דהרי למטה כשנתן לה והיא ישנה כתב דאין צריך לחזור וליטלו ממנה ובכאן לא כתב כן מכלל דבכאן לא סגי בהכי כיון שהנתינה בעצמה היתה גרועה וכדעת הר"ן וכן משמע באשיר"י. ואולי בית יוסף לא נראה לו לפרש כן דברי הר"ן ולכן כתב מה שכתב, דרכ"מ (אות א).</w:t>
      </w:r>
    </w:p>
  </w:footnote>
  <w:footnote w:id="1624">
    <w:p w14:paraId="2C437E5D" w14:textId="77777777" w:rsidR="00FA2119" w:rsidRDefault="00FA2119" w:rsidP="00FA2119">
      <w:pPr>
        <w:pStyle w:val="a5"/>
        <w:rPr>
          <w:rtl/>
        </w:rPr>
      </w:pPr>
      <w:r>
        <w:rPr>
          <w:rStyle w:val="a7"/>
        </w:rPr>
        <w:footnoteRef/>
      </w:r>
      <w:r>
        <w:rPr>
          <w:rtl/>
        </w:rPr>
        <w:t xml:space="preserve"> </w:t>
      </w:r>
      <w:r>
        <w:rPr>
          <w:rFonts w:cs="Arial"/>
          <w:rtl/>
        </w:rPr>
        <w:t xml:space="preserve">עד שיטלנו הימנה ויחזור ויתן לה ויאמר לה הא גיטך, כיון דתחילת הנתינה לא היה נתינה כלל. אבל בצמצם מתניו והטה אליה הוה נתינה אלא דהיה נתינה גרועה, משום הכי א"צ ליטול ממנה אלא אם אמר לה אח"כ הא גיטך מהני אע"ג דלא אמר לה בעת הנתינה כלום. ואפי' אם היו עסוקים באותו ענין לא מהני בנתינה גרועה וצ"ל אח"כ הא גיטך. כ"כ הר"ן. וראיה שלו ממתני' דתנא מצאתו מאחוריו אינו גט עד שיאמר לה הא גיטך, והוכיח דע"כ איירי בעסוקים בענין גירושין דאל"כ ת"ל אפילו אם נתן לידה הגט בטל, אלא איירי בעסוקין באותו ענין ומ"מ לא מהני נתינה גרועה. וכל זה שפיר מוכח לשיטתו דס"ל נתינה בשתיקה ולא היו עסוקים באותו ענין הגט בטל. אבל לשיטת הרמב"ם דס"ל אם נתן בשתיקה ולא היו עסוקים באותו ענין אינו אלא פסול, א"כ י"ל דאיירי מתני' כשלא היו עסוקים באותו ענין ובעלמא פסול ולא בטל, וכאן היה נתינה גרועה הגט בטל. אבל אם עסוקים באותו ענין י"ל אפי' אם היה הנתינה גרועה הגט כשר משום דכשהיו עסוקים באותו ענין הוי כאלו אמר הא גיטך. א"כ ממה שפסק בסימן קל"ו בשיטות הרמב"ם נשמע דאם היו עסוקים באותו ענין וצמצם מתניו והטה אליה - הוי נתינה אפילו לא אמר לה כלום </w:t>
      </w:r>
      <w:r>
        <w:rPr>
          <w:rFonts w:cs="Arial"/>
          <w:sz w:val="16"/>
          <w:szCs w:val="16"/>
          <w:rtl/>
        </w:rPr>
        <w:t>(ועיין בסוגיא תניא נמי הכי וכו' משמע שהביא ראיה מדברי רבי דאמר אם שלפתו וערק חרצו. ועיין בדרכ"מ (אות א) מה שהשיג על הב"י ובחנם השיג)</w:t>
      </w:r>
      <w:r>
        <w:rPr>
          <w:rFonts w:cs="Arial"/>
          <w:rtl/>
        </w:rPr>
        <w:t xml:space="preserve">, </w:t>
      </w:r>
      <w:r>
        <w:rPr>
          <w:rFonts w:cs="Arial"/>
          <w:b/>
          <w:bCs/>
          <w:rtl/>
        </w:rPr>
        <w:t>ב"ש</w:t>
      </w:r>
      <w:r>
        <w:rPr>
          <w:rFonts w:cs="Arial"/>
          <w:rtl/>
        </w:rPr>
        <w:t xml:space="preserve"> (סק"א).</w:t>
      </w:r>
      <w:r>
        <w:rPr>
          <w:rtl/>
        </w:rPr>
        <w:t xml:space="preserve"> </w:t>
      </w:r>
      <w:r>
        <w:rPr>
          <w:rFonts w:cs="Arial"/>
          <w:rtl/>
        </w:rPr>
        <w:t xml:space="preserve">ועיין בס' </w:t>
      </w:r>
      <w:r>
        <w:rPr>
          <w:rFonts w:cs="Arial"/>
          <w:b/>
          <w:bCs/>
          <w:rtl/>
        </w:rPr>
        <w:t>ג"מ</w:t>
      </w:r>
      <w:r>
        <w:rPr>
          <w:rFonts w:cs="Arial"/>
          <w:rtl/>
        </w:rPr>
        <w:t xml:space="preserve"> שם שכ' דאין זה מוכרח כיון דמ"מ לא נתן לה רק היא לקחה מעצמה לא מהני עסוקין באותו ענין, דהא גם בנתינה גרוע אין הטעם משו' גריעות הנתינה אלא דילמא לא יהבה לגירושין, וא"כ גם בכה"ג אין להקל. והרי גם בנתינה גמורה איכא פלוגתא אי מהני עסוקין בענין, ואם כן די להקל בנתינה מבוררת ע"ש. ועיין בס' </w:t>
      </w:r>
      <w:r>
        <w:rPr>
          <w:rFonts w:cs="Arial"/>
          <w:b/>
          <w:bCs/>
          <w:rtl/>
        </w:rPr>
        <w:t>בית מאיר</w:t>
      </w:r>
      <w:r>
        <w:rPr>
          <w:rFonts w:cs="Arial"/>
          <w:rtl/>
        </w:rPr>
        <w:t xml:space="preserve"> כתב ג"כ בשם ס' </w:t>
      </w:r>
      <w:r>
        <w:rPr>
          <w:rFonts w:cs="Arial"/>
          <w:b/>
          <w:bCs/>
          <w:rtl/>
        </w:rPr>
        <w:t>עטרת פז</w:t>
      </w:r>
      <w:r>
        <w:rPr>
          <w:rFonts w:cs="Arial"/>
          <w:rtl/>
        </w:rPr>
        <w:t xml:space="preserve"> (על הרא"ש גיטין פ"ח סי' ה) שכ' על הב"ש הנ"ל שאין נראה לו והוא ז"ל כתב שאין בידו להכריע כי דברי שניהם בנויים על סברת עצמם, ושלא במקום עיגון פשיט' דשומעי' להחמיר, ובמקו' עיגון לע"ד בלא זה משמעות הרמב"ם וטור וש"ע דלא כהר"ן כו' ע"ש, </w:t>
      </w:r>
      <w:r>
        <w:rPr>
          <w:rFonts w:cs="Arial"/>
          <w:b/>
          <w:bCs/>
          <w:rtl/>
        </w:rPr>
        <w:t>פת"ש</w:t>
      </w:r>
      <w:r>
        <w:rPr>
          <w:rFonts w:cs="Arial"/>
          <w:rtl/>
        </w:rPr>
        <w:t xml:space="preserve"> (סק"ב).</w:t>
      </w:r>
    </w:p>
  </w:footnote>
  <w:footnote w:id="1625">
    <w:p w14:paraId="345376D3" w14:textId="77777777" w:rsidR="00FA2119" w:rsidRDefault="00FA2119" w:rsidP="00FA2119">
      <w:pPr>
        <w:pStyle w:val="a5"/>
      </w:pPr>
      <w:r>
        <w:rPr>
          <w:rStyle w:val="a7"/>
        </w:rPr>
        <w:footnoteRef/>
      </w:r>
      <w:r>
        <w:rPr>
          <w:rtl/>
        </w:rPr>
        <w:t xml:space="preserve"> </w:t>
      </w:r>
      <w:r>
        <w:rPr>
          <w:rFonts w:cs="Arial"/>
          <w:rtl/>
        </w:rPr>
        <w:t>ודבריו צע"ג. וע' מענין זה בשו"ת הגאון החסיד מהר"ש זלמן זצ"ל מלאדי סי' ל"ה ול"ו</w:t>
      </w:r>
      <w:r>
        <w:rPr>
          <w:rtl/>
        </w:rPr>
        <w:t>, פת"ש (סק"ג).</w:t>
      </w:r>
    </w:p>
  </w:footnote>
  <w:footnote w:id="1626">
    <w:p w14:paraId="0102499C" w14:textId="77777777" w:rsidR="00FA2119" w:rsidRDefault="00FA2119" w:rsidP="00FA2119">
      <w:pPr>
        <w:pStyle w:val="a5"/>
        <w:rPr>
          <w:rtl/>
        </w:rPr>
      </w:pPr>
      <w:r>
        <w:rPr>
          <w:rStyle w:val="a7"/>
        </w:rPr>
        <w:footnoteRef/>
      </w:r>
      <w:r>
        <w:rPr>
          <w:rtl/>
        </w:rPr>
        <w:t xml:space="preserve"> </w:t>
      </w:r>
      <w:r>
        <w:rPr>
          <w:rFonts w:cs="Arial"/>
          <w:rtl/>
        </w:rPr>
        <w:t>שנתנו לה וראש המשיחה עדיין בידו, רש"י.</w:t>
      </w:r>
    </w:p>
  </w:footnote>
  <w:footnote w:id="1627">
    <w:p w14:paraId="4FCE87B0" w14:textId="77777777" w:rsidR="00FA2119" w:rsidRDefault="00FA2119" w:rsidP="00FA2119">
      <w:pPr>
        <w:pStyle w:val="a5"/>
      </w:pPr>
      <w:r>
        <w:rPr>
          <w:rStyle w:val="a7"/>
        </w:rPr>
        <w:footnoteRef/>
      </w:r>
      <w:r>
        <w:rPr>
          <w:rtl/>
        </w:rPr>
        <w:t xml:space="preserve"> </w:t>
      </w:r>
      <w:r>
        <w:rPr>
          <w:rFonts w:cs="Arial"/>
          <w:rtl/>
        </w:rPr>
        <w:t>חוט שהגט קשור בו, רש"י.</w:t>
      </w:r>
    </w:p>
  </w:footnote>
  <w:footnote w:id="1628">
    <w:p w14:paraId="4138569C" w14:textId="77777777" w:rsidR="00FA2119" w:rsidRDefault="00FA2119" w:rsidP="00FA2119">
      <w:pPr>
        <w:pStyle w:val="a5"/>
      </w:pPr>
      <w:r>
        <w:rPr>
          <w:rStyle w:val="a7"/>
        </w:rPr>
        <w:footnoteRef/>
      </w:r>
      <w:r>
        <w:rPr>
          <w:rtl/>
        </w:rPr>
        <w:t xml:space="preserve"> </w:t>
      </w:r>
      <w:r>
        <w:rPr>
          <w:rFonts w:cs="Arial"/>
          <w:rtl/>
        </w:rPr>
        <w:t>כ"כ הב"י שמדברי ספר התרומה (סי' קכג) נראה שמה שכתבו וצריך ליזהר שתהא ידה פתוחה וכו' הוא בין לפירוש ר"י בין לפירוש רבינו תם ומה שכתבו ונראה דכשר וכו' הוא דלא כפירוש ר"י ולא כפירוש רבינו תם אלא מקיימים הפירוש שדחו תחלה</w:t>
      </w:r>
      <w:r>
        <w:rPr>
          <w:rtl/>
        </w:rPr>
        <w:t>.</w:t>
      </w:r>
    </w:p>
  </w:footnote>
  <w:footnote w:id="1629">
    <w:p w14:paraId="295F84A7" w14:textId="77777777" w:rsidR="00FA2119" w:rsidRDefault="00FA2119" w:rsidP="00FA2119">
      <w:pPr>
        <w:pStyle w:val="a5"/>
        <w:rPr>
          <w:rtl/>
        </w:rPr>
      </w:pPr>
      <w:r>
        <w:rPr>
          <w:rStyle w:val="a7"/>
        </w:rPr>
        <w:footnoteRef/>
      </w:r>
      <w:r>
        <w:rPr>
          <w:rtl/>
        </w:rPr>
        <w:t xml:space="preserve"> </w:t>
      </w:r>
      <w:r>
        <w:rPr>
          <w:rFonts w:cs="Arial"/>
          <w:rtl/>
        </w:rPr>
        <w:t xml:space="preserve">דכיון שנתנו הבעל לידה וקפצה היא ידה מרצון הבעל עד שאין הבעל יכול לנתקו ולהביאו אצלו, אע"פ שאם לא קפצה ידה היה יכול להביאו אצלו מחמת המשיחה שבידו - הרי זו מגורשת, כיון שקפצה ידה מרצון הבעל, דלא גרע מעייק לה חרציה ושלפתיה שאין הבעל נותנו ממש לידה ואפילו הכי מגורשת. ואעפ"כ הורה </w:t>
      </w:r>
      <w:r>
        <w:rPr>
          <w:rFonts w:cs="Arial"/>
          <w:sz w:val="16"/>
          <w:szCs w:val="16"/>
          <w:rtl/>
        </w:rPr>
        <w:t xml:space="preserve">{ר"י} </w:t>
      </w:r>
      <w:r>
        <w:rPr>
          <w:rFonts w:cs="Arial"/>
          <w:rtl/>
        </w:rPr>
        <w:t>להחמיר כדברי הראשונים והצריך לתת הגט בידה פתוחה או לתוך חיקה שהבעל גומר נתינת הגט לגמרי, דבזה אין לפקפק כלום, רשב"א (עח: ד"ה גט בידה). וכן כתבו הר"ן (מא. ד"ה גט) והה"מ (פ"ה הט"ז) בשם ר"י. וכן כתב המרדכי (סי' תלז, הביאו הדרכ"מ [אות א*])</w:t>
      </w:r>
      <w:r>
        <w:rPr>
          <w:rtl/>
        </w:rPr>
        <w:t>.</w:t>
      </w:r>
      <w:r>
        <w:rPr>
          <w:rFonts w:cs="Arial"/>
          <w:rtl/>
        </w:rPr>
        <w:t xml:space="preserve"> וכתב הב"י שגם הרא"ש (סי' ז) כתב כדברי הרשב"א דלר"י אם קפצה ידה ומחמת זה יפסק החוט כשהוא מושך מידה מיקרי שפיר נתינה דכיון שהוא התחיל הנתינה קרינן ביה שפיר ונתן אע"פ שהיא גמרה הנתינה. והביא ראיות לדבריו, ודחה הרא"ש ראיותיו </w:t>
      </w:r>
      <w:r>
        <w:rPr>
          <w:rFonts w:cs="Arial"/>
          <w:sz w:val="16"/>
          <w:szCs w:val="16"/>
          <w:rtl/>
        </w:rPr>
        <w:t>{היינו את הראיות שהביא הרא"ש לדברי ר"י, ולמסקנה שם דחה את דברי ר"י, וכתב שכשקפצה ידה הרי היא עושה כל הנתינה}</w:t>
      </w:r>
      <w:r>
        <w:rPr>
          <w:rFonts w:cs="Arial"/>
          <w:rtl/>
        </w:rPr>
        <w:t>.</w:t>
      </w:r>
    </w:p>
  </w:footnote>
  <w:footnote w:id="1630">
    <w:p w14:paraId="5070B64F" w14:textId="77777777" w:rsidR="00FA2119" w:rsidRDefault="00FA2119" w:rsidP="00FA2119">
      <w:pPr>
        <w:pStyle w:val="a5"/>
      </w:pPr>
      <w:r>
        <w:rPr>
          <w:rStyle w:val="a7"/>
        </w:rPr>
        <w:footnoteRef/>
      </w:r>
      <w:r>
        <w:rPr>
          <w:rtl/>
        </w:rPr>
        <w:t xml:space="preserve"> </w:t>
      </w:r>
      <w:r>
        <w:rPr>
          <w:rFonts w:cs="Arial"/>
          <w:rtl/>
        </w:rPr>
        <w:t>הילכך כל שאילו גט כבד ומשיחה דקה שתפסק במשיכתו - מגורשת. אבל אם המשיחה חזקה שיכול למשכו ולא תינתק המשיחה - אינה מגורשת. ואפילו קפצה האשה ידה ביותר וכחה יפה משל בעל - אינה מגורשת, דאין זו נתינה אלא כעין גזילה. וכעין זה פירשו משמו של רשב"ם, רשב"א (עח: ד"ה גט בידה). וכן כתבו הר"ן (מא. ד"ה גט) והה"מ (פ"ה הט"ז) בשם ר"ת. וכן כתב המרדכי (סי' תלז, הביאו הדרכ"מ [אות א*])</w:t>
      </w:r>
      <w:r>
        <w:rPr>
          <w:rtl/>
        </w:rPr>
        <w:t>.</w:t>
      </w:r>
    </w:p>
  </w:footnote>
  <w:footnote w:id="1631">
    <w:p w14:paraId="0F0EE505" w14:textId="77777777" w:rsidR="00FA2119" w:rsidRDefault="00FA2119" w:rsidP="00FA2119">
      <w:pPr>
        <w:pStyle w:val="a5"/>
      </w:pPr>
      <w:r>
        <w:rPr>
          <w:rStyle w:val="a7"/>
        </w:rPr>
        <w:footnoteRef/>
      </w:r>
      <w:r>
        <w:rPr>
          <w:rtl/>
        </w:rPr>
        <w:t xml:space="preserve"> </w:t>
      </w:r>
      <w:r>
        <w:rPr>
          <w:rFonts w:cs="Arial"/>
          <w:rtl/>
        </w:rPr>
        <w:t>וז"ל הרשב"א בשם ר"ת- הילכך כל שאילו גט כבד ומשיחה דקה שתפסק במשיכתו - מגורשת. אבל אם המשיחה חזקה שיכול למשכו ולא תינתק המשיחה - אינה מגורשת. ואפילו קפצה האשה ידה ביותר וכחה יפה משל בעל - אינה מגורשת, דאין זו נתינה אלא כעין גזילה.</w:t>
      </w:r>
    </w:p>
  </w:footnote>
  <w:footnote w:id="1632">
    <w:p w14:paraId="4974AF02" w14:textId="17864085" w:rsidR="00FA2119" w:rsidRDefault="00FA2119" w:rsidP="00FA2119">
      <w:pPr>
        <w:pStyle w:val="a5"/>
        <w:rPr>
          <w:rtl/>
        </w:rPr>
      </w:pPr>
      <w:r>
        <w:rPr>
          <w:rStyle w:val="a7"/>
        </w:rPr>
        <w:footnoteRef/>
      </w:r>
      <w:r>
        <w:rPr>
          <w:rtl/>
        </w:rPr>
        <w:t xml:space="preserve"> </w:t>
      </w:r>
      <w:r w:rsidR="000A0F5A">
        <w:rPr>
          <w:rFonts w:cs="Arial"/>
          <w:rtl/>
        </w:rPr>
        <w:t>וז"ל:</w:t>
      </w:r>
      <w:r>
        <w:rPr>
          <w:rFonts w:cs="Arial"/>
          <w:rtl/>
        </w:rPr>
        <w:t xml:space="preserve"> אבל הכא מעיקרא לא הויא נתינה דכל זמן שידה פתוחה יכול לנתקו ולהביאו אצלו וכשקפצה ידה הרי היא עושה כל הנתינה. עכ"ל. </w:t>
      </w:r>
      <w:r>
        <w:rPr>
          <w:rFonts w:cs="Arial"/>
          <w:sz w:val="16"/>
          <w:szCs w:val="16"/>
          <w:rtl/>
        </w:rPr>
        <w:t xml:space="preserve">(וכתב </w:t>
      </w:r>
      <w:r>
        <w:rPr>
          <w:rFonts w:cs="Arial"/>
          <w:b/>
          <w:bCs/>
          <w:sz w:val="16"/>
          <w:szCs w:val="16"/>
          <w:rtl/>
        </w:rPr>
        <w:t>הב"י</w:t>
      </w:r>
      <w:r>
        <w:rPr>
          <w:rFonts w:cs="Arial"/>
          <w:sz w:val="16"/>
          <w:szCs w:val="16"/>
          <w:rtl/>
        </w:rPr>
        <w:t xml:space="preserve">- ואע"פ שכתבתי בסמוך (מ. סוד"ה כיצד) דלהרא"ש אוחז הגט בראש האחד והושיטו לה ולקחתו בראשו השני מגורשת אפילו לרבינו חננאל, שאני התם שהניח הגט בידה, אבל הכא שעדיין המשיחה בידו לא גמרה הנתינה. (ואח"כ שאם)[ואם אח"כ] פסק המשיחה אפילו אחר שקפצה ידה מגורשת דכל קפיצת ידה הא איכא נתינה מעלייתא מידו לידה. וקצת משמע כן מדברי הרמב"ם שכתב בפ"ה (הט"ז) אם יכול לנתקו ולהביאו אצלו אינה מגורשת עד שתפסוק המשיחה. כנ"ל. אך בתוספות שכתבתי לעיל וגם בספר התרומה משמע שאם הבעל אוחז הגט בראשו ונותנו בידה ואוחזתו בראשו השני וסוגרת ידה בחוזק קודם שיניח הבעל ראש הגט שבידו דמי לגט בידה ומשיחה בידו ופסול, אם לא נפרש דגם בגט בידה ומשיחה בידו אם קפצה היא ידה עד שאינו יכול להביאו אצלו מחמת קפיצתה מגורשת. ובודאי דאפילו בהניח הגט אחר שסגרה ידה מיירי, ואפילו הכי קאמר דהיינו גט בידה ומשיחה בידו. וא"כ הרא"ש דסבירא ליה דכל כי האי גוונא בגט בידה ומשיחה בידו אינה מגורשת היאך כתב רבינו בשמו להכשיר כשאוחז הגט בראש האחד והושיטו לה ולקחתו בראשו השני וצריך עיון. עכ"ל הב"י. וכתב </w:t>
      </w:r>
      <w:r>
        <w:rPr>
          <w:rFonts w:cs="Arial"/>
          <w:b/>
          <w:bCs/>
          <w:sz w:val="16"/>
          <w:szCs w:val="16"/>
          <w:rtl/>
        </w:rPr>
        <w:t>הדרכ"מ</w:t>
      </w:r>
      <w:r>
        <w:rPr>
          <w:rFonts w:cs="Arial"/>
          <w:sz w:val="16"/>
          <w:szCs w:val="16"/>
          <w:rtl/>
        </w:rPr>
        <w:t xml:space="preserve"> (אות ב) ונראה לי דסבירא ליה לרבינו בעל הטור דהרא"ש מחלק בין אם קפצה ידיה מרצון הבעל או שלא מרצונו, וכאן מיירי שהבעל לא צוה לה לקפוץ ידיה ולהחזיק בגט, והיא מחזקת בגט שלא מרצונו, ולכך לא הוי נתינה. אבל כשהבעל מצוה אותה להחזיק בגט הוי נתינה, שהרי כתב הטור בתחלה דאם אוחז בראש הגט ומושיטו והיא לקחה אותו בראשו השני דהוי גט, וכאן פסק דלא הוי גט, לכן על כרחך צריכין לחלק כמו שכתבתי. ופשוט הוא בעיני, אבל בית יוסף מגמגם בדבר זה והניח זו הקושיא בצריך עיון.</w:t>
      </w:r>
      <w:r>
        <w:rPr>
          <w:rFonts w:cs="Arial"/>
          <w:color w:val="00B0F0"/>
          <w:sz w:val="16"/>
          <w:szCs w:val="16"/>
          <w:rtl/>
        </w:rPr>
        <w:t xml:space="preserve"> (וכ"פ בהג"ה)</w:t>
      </w:r>
      <w:r>
        <w:rPr>
          <w:rFonts w:cs="Arial"/>
          <w:sz w:val="16"/>
          <w:szCs w:val="16"/>
          <w:rtl/>
        </w:rPr>
        <w:t>)</w:t>
      </w:r>
    </w:p>
  </w:footnote>
  <w:footnote w:id="1633">
    <w:p w14:paraId="1C6AB06D" w14:textId="6B271D62" w:rsidR="00FA2119" w:rsidRDefault="00FA2119" w:rsidP="00FA2119">
      <w:pPr>
        <w:pStyle w:val="a5"/>
      </w:pPr>
      <w:r>
        <w:rPr>
          <w:rStyle w:val="a7"/>
        </w:rPr>
        <w:footnoteRef/>
      </w:r>
      <w:r>
        <w:rPr>
          <w:rtl/>
        </w:rPr>
        <w:t xml:space="preserve"> </w:t>
      </w:r>
      <w:r>
        <w:rPr>
          <w:rFonts w:cs="Arial"/>
          <w:rtl/>
        </w:rPr>
        <w:t xml:space="preserve">כיון שהתחיל בנתינה, טור. וצל"ע מדוע לא כתב הטור בשם ר"י 'והמחמיר תבוא עליו ברכה'. </w:t>
      </w:r>
    </w:p>
  </w:footnote>
  <w:footnote w:id="1634">
    <w:p w14:paraId="43FF1120" w14:textId="77777777" w:rsidR="00FA2119" w:rsidRDefault="00FA2119" w:rsidP="00FA2119">
      <w:pPr>
        <w:pStyle w:val="a5"/>
      </w:pPr>
      <w:r>
        <w:rPr>
          <w:rStyle w:val="a7"/>
        </w:rPr>
        <w:footnoteRef/>
      </w:r>
      <w:r>
        <w:rPr>
          <w:rtl/>
        </w:rPr>
        <w:t xml:space="preserve"> </w:t>
      </w:r>
      <w:r>
        <w:rPr>
          <w:rFonts w:cs="Arial"/>
          <w:rtl/>
        </w:rPr>
        <w:t>הרמב"ם ספ"ה כתב אינה מגורשת עד שתפסק המשיחה משמע דאז היא מגורשת ולא משמע כן משאר הפוסקים אלא כיון המשיח' בידו בעת הנתינ' אינה מגורש' אפי' אחר שתפסוק המשיח' והטעם הוא כמ"ש בסמוך משום דאז אין הגט בידו, ב"ש (סק"ד).</w:t>
      </w:r>
    </w:p>
  </w:footnote>
  <w:footnote w:id="1635">
    <w:p w14:paraId="2B40D610" w14:textId="77777777" w:rsidR="00FA2119" w:rsidRDefault="00FA2119" w:rsidP="00FA2119">
      <w:pPr>
        <w:pStyle w:val="a5"/>
      </w:pPr>
      <w:r>
        <w:rPr>
          <w:rStyle w:val="a7"/>
        </w:rPr>
        <w:footnoteRef/>
      </w:r>
      <w:r>
        <w:rPr>
          <w:rtl/>
        </w:rPr>
        <w:t xml:space="preserve"> </w:t>
      </w:r>
      <w:r>
        <w:rPr>
          <w:rFonts w:cs="Arial"/>
          <w:rtl/>
        </w:rPr>
        <w:t>הנה הרשב"א והר"ן והמגיד הביאו פלוגתא הנ"ל ר"ת ור"י וכתבו לדעת ר"י איירי בקפצה ידה ברצון בעלה ה"ז מגורשת ש"מ לר"ת אפי' בקפצה ידיה מרצון בעלה לא הוי נתינה לר"ת אלא בד"מ כ"כ לתרץ מ"ש הטור בקפצה ידיה לא הוה נתינה לשיטות ר"ת ובר"ס כתב אם אוחז הגט בראש א' ומושיט לה והיא לקחה בראש השני הוי נתינה ומחלק בין אם לקחה או קפצה מרצון בעלה אז הוי נתינה ואין מוכרח די"ל מ"ש בר"ס איירי כשאוחז' היא בראש השני מניח הוא מיד ושומט ידיו וכ"כ ב"ח נמצא דין זה נתחלק לב' אופני' היינו כששניה' תופסים בגט או אם תוחב בחוזק במתניו והיא אחזה הגט או אם תוחב בחוזק לתוך ידה ואז שניהם אוחזין בגט אז לר"י כשר ולר"ת פסול אפי' אם קפצה ידיה בעת הנתינה ברצון הבעל פסול משום דס"ל דצריך הבעל ליתן הוא לבדו ואם הוא מתחיל והיא גומרת לא הוי נתינה ואם בעת הנתינה היה ידה פתוחה והמשיחה בידו ואח"כ קפצה ידיה ומחמת הקפיצה א"י להביא הגט אפי' אם היה הקפיצה ברצון הבעל לכ"ע לא הוי נתינה ואפי' אחר שנפסק החוט לא הוי גט, ב"ש (סק"ו).</w:t>
      </w:r>
    </w:p>
  </w:footnote>
  <w:footnote w:id="1636">
    <w:p w14:paraId="7160EAB1" w14:textId="77777777" w:rsidR="00FA2119" w:rsidRDefault="00FA2119" w:rsidP="00FA2119">
      <w:pPr>
        <w:pStyle w:val="a5"/>
      </w:pPr>
      <w:r>
        <w:rPr>
          <w:rStyle w:val="a7"/>
        </w:rPr>
        <w:footnoteRef/>
      </w:r>
      <w:r>
        <w:rPr>
          <w:rtl/>
        </w:rPr>
        <w:t xml:space="preserve"> </w:t>
      </w:r>
      <w:r>
        <w:rPr>
          <w:rFonts w:cs="Arial"/>
          <w:rtl/>
        </w:rPr>
        <w:t xml:space="preserve">פי' אע"פ שאמר להם לעדים ראו גט שאני נותן לה משום דלאו בת אגרושי היא לפי שאין הגט שמור בידה כדאמרי' בגמ' </w:t>
      </w:r>
      <w:r>
        <w:rPr>
          <w:rFonts w:cs="Arial"/>
          <w:sz w:val="16"/>
          <w:szCs w:val="16"/>
          <w:rtl/>
        </w:rPr>
        <w:t>(אבל אי לא אמר להו לעדים ראו גט שאני נותן לה למה לי ישנה דנקט אפי' נתן בידה והיא נעורה נמי אינו גט, כדאמרי' בפ"ק דקידושין (ו.) דבזמן שאין עסוקים באותו ענין צריך לפרש וזו אינה עסוקה באותו ענין שהרי ישנה היא)</w:t>
      </w:r>
      <w:r>
        <w:rPr>
          <w:rFonts w:cs="Arial"/>
          <w:rtl/>
        </w:rPr>
        <w:t xml:space="preserve">, </w:t>
      </w:r>
      <w:r>
        <w:rPr>
          <w:rFonts w:cs="Arial"/>
          <w:b/>
          <w:bCs/>
          <w:rtl/>
        </w:rPr>
        <w:t>רשב"א</w:t>
      </w:r>
      <w:r>
        <w:rPr>
          <w:rFonts w:cs="Arial"/>
          <w:rtl/>
        </w:rPr>
        <w:t xml:space="preserve"> (שם בא"ד). </w:t>
      </w:r>
      <w:r>
        <w:rPr>
          <w:rFonts w:cs="Arial"/>
          <w:b/>
          <w:bCs/>
          <w:rtl/>
        </w:rPr>
        <w:t>ורי"ו</w:t>
      </w:r>
      <w:r>
        <w:rPr>
          <w:rFonts w:cs="Arial"/>
          <w:rtl/>
        </w:rPr>
        <w:t xml:space="preserve"> כתב (ח"ה נכ"ד סוף ריא:) בשם התוספות (תוספות הרא"ש גיטין עח. ד"ה נתן) דמיירי הכא בהיה מדבר עמה תחלה על עסקי גיטה ואילו היתה נעורה היתה מגורשת, אבל מפני שהיא ישינה הוא דאינה מגורשת. וכיוצא בזה כתב </w:t>
      </w:r>
      <w:r>
        <w:rPr>
          <w:rFonts w:cs="Arial"/>
          <w:b/>
          <w:bCs/>
          <w:rtl/>
        </w:rPr>
        <w:t>הר"ן</w:t>
      </w:r>
      <w:r>
        <w:rPr>
          <w:rFonts w:cs="Arial"/>
          <w:rtl/>
        </w:rPr>
        <w:t xml:space="preserve"> ז"ל (שם).</w:t>
      </w:r>
    </w:p>
  </w:footnote>
  <w:footnote w:id="1637">
    <w:p w14:paraId="2E188210" w14:textId="77777777" w:rsidR="00FA2119" w:rsidRDefault="00FA2119" w:rsidP="00FA2119">
      <w:pPr>
        <w:pStyle w:val="a5"/>
        <w:rPr>
          <w:rtl/>
        </w:rPr>
      </w:pPr>
      <w:r>
        <w:rPr>
          <w:rStyle w:val="a7"/>
        </w:rPr>
        <w:footnoteRef/>
      </w:r>
      <w:r>
        <w:rPr>
          <w:rtl/>
        </w:rPr>
        <w:t xml:space="preserve"> </w:t>
      </w:r>
      <w:r>
        <w:rPr>
          <w:rFonts w:cs="Arial"/>
          <w:rtl/>
        </w:rPr>
        <w:t xml:space="preserve">וכתב הרמ"ה (שם) דה"ה אם מסר מודעא על הגט ונתנו לה ואח"כ בטל המודעא מרצונו וא"ל תתגרשי בגט שנתתי לך כבר - אין צריך לחזור וליטלו ממנה, כיון שמכח נתינת הבעל באה לידה אע"ג דמעיקרא לא הוה בדעתו ליתנו לה בתורת גירושין, </w:t>
      </w:r>
      <w:r>
        <w:rPr>
          <w:rFonts w:cs="Arial"/>
          <w:b/>
          <w:bCs/>
          <w:rtl/>
        </w:rPr>
        <w:t>טור</w:t>
      </w:r>
      <w:r>
        <w:rPr>
          <w:rFonts w:cs="Arial"/>
          <w:rtl/>
        </w:rPr>
        <w:t xml:space="preserve">. </w:t>
      </w:r>
      <w:r>
        <w:rPr>
          <w:rFonts w:cs="Arial"/>
          <w:sz w:val="16"/>
          <w:szCs w:val="16"/>
          <w:rtl/>
        </w:rPr>
        <w:t xml:space="preserve">(ודברי הרמ"ה אינם במוסר מודעא קודם כתיבת הגט דאז הגט עצמו בטל ואינו יכול לגרש בו וכמו שכתב הרמב"ם בפ"ו (הי"ט), אלא בשנכתב הגט בכשרות ואח"כ מסר מודעא על נתינתו ונתנו, בהא קאמר הרמ"ה דכשביטל המודעא אינו צריך ליטלו ממנה אלא באומר לה תתגרשי בו סגי. ולא כתב כאן שאומר לה הא גיטך כלישנא דברייתא משום דהתם דלא נתנו לה בתורת גירושין אלא בתורת שטר חוב או שהיתה ישינה שייך לומר אח"כ הא גיטך, אבל במוסר מודעא שכשנתנו לה אמר לה הא גיטך לא שייך לומר אח"כ הא גיטך אלא תתגרשי בגט שנתתי לך, </w:t>
      </w:r>
      <w:r>
        <w:rPr>
          <w:rFonts w:cs="Arial"/>
          <w:b/>
          <w:bCs/>
          <w:sz w:val="16"/>
          <w:szCs w:val="16"/>
          <w:rtl/>
        </w:rPr>
        <w:t>ב"י</w:t>
      </w:r>
      <w:r>
        <w:rPr>
          <w:rFonts w:cs="Arial"/>
          <w:sz w:val="16"/>
          <w:szCs w:val="16"/>
          <w:rtl/>
        </w:rPr>
        <w:t>)</w:t>
      </w:r>
    </w:p>
  </w:footnote>
  <w:footnote w:id="1638">
    <w:p w14:paraId="7D4259BB" w14:textId="23F5B606" w:rsidR="00FA2119" w:rsidRDefault="00FA2119" w:rsidP="00FA2119">
      <w:pPr>
        <w:pStyle w:val="a5"/>
      </w:pPr>
      <w:r>
        <w:rPr>
          <w:rStyle w:val="a7"/>
        </w:rPr>
        <w:footnoteRef/>
      </w:r>
      <w:r>
        <w:rPr>
          <w:rtl/>
        </w:rPr>
        <w:t xml:space="preserve"> </w:t>
      </w:r>
      <w:r w:rsidR="000A0F5A">
        <w:rPr>
          <w:rFonts w:cs="Arial"/>
          <w:rtl/>
        </w:rPr>
        <w:t>וז"ל:</w:t>
      </w:r>
      <w:r>
        <w:rPr>
          <w:rFonts w:cs="Arial"/>
          <w:rtl/>
        </w:rPr>
        <w:t xml:space="preserve"> וכתב הרמ"ה </w:t>
      </w:r>
      <w:r>
        <w:rPr>
          <w:rFonts w:cs="Arial"/>
          <w:sz w:val="16"/>
          <w:szCs w:val="16"/>
          <w:rtl/>
        </w:rPr>
        <w:t>(שיטות קדמונים גיטין עח. ד"ה נתן גט)</w:t>
      </w:r>
      <w:r>
        <w:rPr>
          <w:rFonts w:cs="Arial"/>
          <w:rtl/>
        </w:rPr>
        <w:t xml:space="preserve"> ואם אין הגט בידה בשעה שנעורה אינו גט עד שיטלנו מידה ויחזור ויתננו לה ויאמר לה הא גיטך. וכן מסתבר, דמה שנתן בידה בשעה שהיא ישנה אינה נתינה כיון שנפל מידה בשעה שנעורה.</w:t>
      </w:r>
    </w:p>
  </w:footnote>
  <w:footnote w:id="1639">
    <w:p w14:paraId="7579446E" w14:textId="77777777" w:rsidR="00FA2119" w:rsidRDefault="00FA2119" w:rsidP="00FA2119">
      <w:pPr>
        <w:pStyle w:val="a5"/>
      </w:pPr>
      <w:r>
        <w:rPr>
          <w:rStyle w:val="a7"/>
        </w:rPr>
        <w:footnoteRef/>
      </w:r>
      <w:r>
        <w:rPr>
          <w:rtl/>
        </w:rPr>
        <w:t xml:space="preserve"> </w:t>
      </w:r>
      <w:r>
        <w:rPr>
          <w:rFonts w:cs="Arial"/>
          <w:rtl/>
        </w:rPr>
        <w:t>ונראה דגם לדעת הרא"ש (פ"ח סי' ד, בית יוסף לעיל מ: ד"ה נתנו), שפירש דטעמא משום דישנה לית בה דעת כלל, כל ששלחה שליח קבלה הרי ידו כידה וכיון דיש לו דעת מגורשת. ועל כרחך לומר כן לדברי הכל, שאל"כ לא היה לנו להכשיר שליח קבלה אא"כ ידענו שהיתה נעורה בשעת קבלתו הגט, ואם אין הבעל במקום האשה הוא דבר שאי אפשר לעמוד עליו, וסתם שליח קבלה כשאין הבעל במקום האשה הוא צריך, ובהדיא תנן (סה.) התקבל לי גיטי במקום פלוני וקיבלו לה במקום אחר פסול, הרי הוא במקום פלוני וקיבלו לה במקום אחר כשר, ב"י.</w:t>
      </w:r>
    </w:p>
  </w:footnote>
  <w:footnote w:id="1640">
    <w:p w14:paraId="48432692" w14:textId="77777777" w:rsidR="00FA2119" w:rsidRDefault="00FA2119" w:rsidP="00FA2119">
      <w:pPr>
        <w:pStyle w:val="a5"/>
      </w:pPr>
      <w:r>
        <w:rPr>
          <w:rStyle w:val="a7"/>
        </w:rPr>
        <w:footnoteRef/>
      </w:r>
      <w:r>
        <w:rPr>
          <w:rtl/>
        </w:rPr>
        <w:t xml:space="preserve"> </w:t>
      </w:r>
      <w:r>
        <w:rPr>
          <w:rFonts w:cs="Arial"/>
          <w:rtl/>
        </w:rPr>
        <w:t>וכתב הר"ן (ר"פ הזורק מ. סוף דיבור ראשון) דאם אמר לעדים תחלה ראו גט זה, ואח"כ אמר לה כנסי שטר חוב, וזרקו לחצרה - הוה גט, דחצרה הוי כידה לכל דבר, ועיי"ש, דרכ"מ (אות ד).</w:t>
      </w:r>
    </w:p>
  </w:footnote>
  <w:footnote w:id="1641">
    <w:p w14:paraId="532B9D8F" w14:textId="77777777" w:rsidR="00FA2119" w:rsidRDefault="00FA2119" w:rsidP="00FA2119">
      <w:pPr>
        <w:pStyle w:val="a5"/>
        <w:rPr>
          <w:rtl/>
        </w:rPr>
      </w:pPr>
      <w:r>
        <w:rPr>
          <w:rStyle w:val="a7"/>
        </w:rPr>
        <w:footnoteRef/>
      </w:r>
      <w:r>
        <w:rPr>
          <w:rtl/>
        </w:rPr>
        <w:t xml:space="preserve"> </w:t>
      </w:r>
      <w:r>
        <w:rPr>
          <w:rFonts w:cs="Arial"/>
          <w:rtl/>
        </w:rPr>
        <w:t>והר"ן (מ. ד"ה נתן) דעתו כמו שכתב הרשב"א, דמסתברא ליה דבחצרה כיון דבעינן שתהא עומדת בצד ביתה או בצד חצרה כל שהיא ישנה אינה מתגרשת ע"י חצרה</w:t>
      </w:r>
      <w:r>
        <w:rPr>
          <w:rtl/>
        </w:rPr>
        <w:t>, ב"י.</w:t>
      </w:r>
    </w:p>
  </w:footnote>
  <w:footnote w:id="1642">
    <w:p w14:paraId="4B484DB7" w14:textId="77777777" w:rsidR="00FA2119" w:rsidRDefault="00FA2119" w:rsidP="00FA2119">
      <w:pPr>
        <w:pStyle w:val="a5"/>
        <w:rPr>
          <w:rtl/>
        </w:rPr>
      </w:pPr>
      <w:r>
        <w:rPr>
          <w:rStyle w:val="a7"/>
        </w:rPr>
        <w:footnoteRef/>
      </w:r>
      <w:r>
        <w:rPr>
          <w:rtl/>
        </w:rPr>
        <w:t xml:space="preserve"> </w:t>
      </w:r>
      <w:r>
        <w:rPr>
          <w:rFonts w:cs="Arial"/>
          <w:rtl/>
        </w:rPr>
        <w:t>היינו אפי' אם העדים אמרו לה אח"כ לא מהני כיון דהנתינ' לידה לא היה נתינה כלל כיון דהית' ישנה ועיין ב"ח, ב"ש (סק"ז).</w:t>
      </w:r>
    </w:p>
  </w:footnote>
  <w:footnote w:id="1643">
    <w:p w14:paraId="2FDA4C5C" w14:textId="77777777" w:rsidR="00FA2119" w:rsidRDefault="00FA2119" w:rsidP="00FA2119">
      <w:pPr>
        <w:pStyle w:val="a5"/>
      </w:pPr>
      <w:r>
        <w:rPr>
          <w:rStyle w:val="a7"/>
        </w:rPr>
        <w:footnoteRef/>
      </w:r>
      <w:r>
        <w:rPr>
          <w:rtl/>
        </w:rPr>
        <w:t xml:space="preserve"> </w:t>
      </w:r>
      <w:r>
        <w:rPr>
          <w:rFonts w:cs="Arial"/>
          <w:rtl/>
        </w:rPr>
        <w:t>דברי הרמ"ה כתבם רי"ו (ח"ה נכ"ד ריש ריא:). וכן משמע מדברי רש"י שכתב בפרק הניזקין אמר לעדים ראו גט זה שאני נותן לה והיא לא שמעה, ב"י.</w:t>
      </w:r>
    </w:p>
  </w:footnote>
  <w:footnote w:id="1644">
    <w:p w14:paraId="64B027F5" w14:textId="77777777" w:rsidR="00FA2119" w:rsidRDefault="00FA2119" w:rsidP="00FA2119">
      <w:pPr>
        <w:pStyle w:val="a5"/>
      </w:pPr>
      <w:r>
        <w:rPr>
          <w:rStyle w:val="a7"/>
        </w:rPr>
        <w:footnoteRef/>
      </w:r>
      <w:r>
        <w:rPr>
          <w:rtl/>
        </w:rPr>
        <w:t xml:space="preserve"> </w:t>
      </w:r>
      <w:r>
        <w:rPr>
          <w:rFonts w:cs="Arial"/>
          <w:rtl/>
        </w:rPr>
        <w:t xml:space="preserve">מדברי הרמ"ה שכתב וצריכה ממנו גט שני נראה דסבירא ליה כדברי האומרים </w:t>
      </w:r>
      <w:r>
        <w:rPr>
          <w:rFonts w:cs="Arial"/>
          <w:sz w:val="16"/>
          <w:szCs w:val="16"/>
          <w:rtl/>
        </w:rPr>
        <w:t xml:space="preserve">(בית יוסף סי' קלד לו: ד"ה כתוב בסמ"ג) </w:t>
      </w:r>
      <w:r>
        <w:rPr>
          <w:rFonts w:cs="Arial"/>
          <w:rtl/>
        </w:rPr>
        <w:t xml:space="preserve">שיכול לבטל גט הכתוב שלא יוכל לגרש בו עוד, דאל"כ למה לי גט שני יאמר לה הא גיטך כמו נותן בידה והיא ישנה או בשלפתו מאחריו. ואפשר דלא נחת לפלוגי בהכי וכל שצריך לומר לה הא גיטך גט שני קרי ליה. וכפי מה שכתב רי"ו </w:t>
      </w:r>
      <w:r>
        <w:rPr>
          <w:rFonts w:cs="Arial"/>
          <w:sz w:val="16"/>
          <w:szCs w:val="16"/>
          <w:rtl/>
        </w:rPr>
        <w:t xml:space="preserve">(ח"ה שם) </w:t>
      </w:r>
      <w:r>
        <w:rPr>
          <w:rFonts w:cs="Arial"/>
          <w:rtl/>
        </w:rPr>
        <w:t xml:space="preserve">משמע דמספקא ליה להרא"ש כשביטל הגט אם יכול לחזור ולגרש בו, שכתב וזו לשונו- וכתב הרא"ש בתוספות </w:t>
      </w:r>
      <w:r>
        <w:rPr>
          <w:rFonts w:cs="Arial"/>
          <w:sz w:val="16"/>
          <w:szCs w:val="16"/>
          <w:rtl/>
        </w:rPr>
        <w:t xml:space="preserve">(תוספות הרא"ש גיטין עח. ד"ה כנסי) </w:t>
      </w:r>
      <w:r>
        <w:rPr>
          <w:rFonts w:cs="Arial"/>
          <w:rtl/>
        </w:rPr>
        <w:t>כי דוקא בשלא ביטלו בפירוש וחזר ואמר לה הא גיטך אז מגורשת, דהוי הוכחה דלא ביטלו מאחר שאמר לה אח"כ הא גיטך. אבל אם ביטלו בפירוש יש להסתפק אם כשחזר לומר הרי זה גיטך אם תהיה מגורשת כי נראה דאינה מגורשת עכ"ל</w:t>
      </w:r>
      <w:r>
        <w:rPr>
          <w:rtl/>
        </w:rPr>
        <w:t>, ב"י.</w:t>
      </w:r>
    </w:p>
  </w:footnote>
  <w:footnote w:id="1645">
    <w:p w14:paraId="54F9C73B" w14:textId="77777777" w:rsidR="00FA2119" w:rsidRDefault="00FA2119" w:rsidP="00FA2119">
      <w:pPr>
        <w:pStyle w:val="a5"/>
        <w:rPr>
          <w:rtl/>
        </w:rPr>
      </w:pPr>
      <w:r>
        <w:rPr>
          <w:rStyle w:val="a7"/>
        </w:rPr>
        <w:footnoteRef/>
      </w:r>
      <w:r>
        <w:rPr>
          <w:rtl/>
        </w:rPr>
        <w:t xml:space="preserve"> </w:t>
      </w:r>
      <w:r>
        <w:rPr>
          <w:rFonts w:cs="Arial"/>
          <w:rtl/>
        </w:rPr>
        <w:t>אמנם בנמוק"י (יבמות פרק חרש מא: ד"ה גמ') משמע דבעסוקין באותו ענין הוה גט, ועיין שם, דרכ"מ (אות ג).</w:t>
      </w:r>
    </w:p>
  </w:footnote>
  <w:footnote w:id="1646">
    <w:p w14:paraId="0D5D0B7D" w14:textId="77777777" w:rsidR="00FA2119" w:rsidRDefault="00FA2119" w:rsidP="00FA2119">
      <w:pPr>
        <w:pStyle w:val="a5"/>
        <w:rPr>
          <w:rtl/>
        </w:rPr>
      </w:pPr>
      <w:r>
        <w:rPr>
          <w:rStyle w:val="a7"/>
        </w:rPr>
        <w:footnoteRef/>
      </w:r>
      <w:r>
        <w:rPr>
          <w:rtl/>
        </w:rPr>
        <w:t xml:space="preserve"> </w:t>
      </w:r>
      <w:r>
        <w:rPr>
          <w:rFonts w:cs="Arial"/>
          <w:rtl/>
        </w:rPr>
        <w:t>וכתב הרשב"א (שם) דטעמא דאינו גט - משום דבטולי בטליה, כלומר ביטל נתינה זו שלא תהא כנתינת גט, אלא רצה לשחק בה שתהא לה כנתינת שטר חוב דאינו מגרש. והכי נמי משמע מדאמרינן (גיטין נה.) מהו דתימא בטולי בטליה קמ"ל אם איתא דבטליה לסהדי הוה אמר. אלמא כי אמר לסהדי מעיקרא 'ראו גט שאני נותן לאשתי' - הוא דאמרינן דלא בטליה, דאם איתא</w:t>
      </w:r>
      <w:r>
        <w:rPr>
          <w:rFonts w:cs="Arial"/>
          <w:sz w:val="16"/>
          <w:szCs w:val="16"/>
          <w:rtl/>
        </w:rPr>
        <w:t xml:space="preserve"> {דבטליה}</w:t>
      </w:r>
      <w:r>
        <w:rPr>
          <w:rFonts w:cs="Arial"/>
          <w:rtl/>
        </w:rPr>
        <w:t xml:space="preserve">, כיון דאמר להו לסהדי מעיקרא ראו גט שאני נותן לאשתי השתא הוה מודע להו. הא לאו הכי </w:t>
      </w:r>
      <w:r>
        <w:rPr>
          <w:rFonts w:cs="Arial"/>
          <w:sz w:val="16"/>
          <w:szCs w:val="16"/>
          <w:rtl/>
        </w:rPr>
        <w:t>{היינו - אם לא אמר לעדים 'ראו...'}</w:t>
      </w:r>
      <w:r>
        <w:rPr>
          <w:rFonts w:cs="Arial"/>
          <w:rtl/>
        </w:rPr>
        <w:t>, כי אמר לה כנסי שטר חוב זה - בטוליה בטליה. ומיהו לא בטליה מתורת גט שלא יהא כשר לגרש בו, דהא לא אמר כלום בגופו של גט, אלא לדידה קאמר שטר חוב, והילכך כי אמר לה הא גיטך מתגרשת בו. והרמב"ם כתב בפ"א מהלכות גירושין (ה"ט) בלשון הזה 'ומנין שאינו נותנו לה אלא בתורת גירושין שנאמר (דברים כד א) ספר כריתות ונתן בידה, שיתן אותו בתורת ספר כריתות, אבל נתנו לה בתורת שטר חוב או מזוזה וכו' אינו גט'</w:t>
      </w:r>
      <w:r>
        <w:rPr>
          <w:rFonts w:cs="Arial"/>
          <w:sz w:val="16"/>
          <w:szCs w:val="16"/>
          <w:rtl/>
        </w:rPr>
        <w:t xml:space="preserve"> {עכ"ל הרמב"ם}</w:t>
      </w:r>
      <w:r>
        <w:rPr>
          <w:rFonts w:cs="Arial"/>
          <w:rtl/>
        </w:rPr>
        <w:t>. ובספרי (פרשת תצא סוף פסקא רסט) תנא ונתן בידה ושלחה מביתו מכאן אמרו כתב גט לאשתו ואמר לה כנסי שטר חוב זה - אינו גט. ואם תאמר ותיפוק לי משום דילמא בטולי בטליה, איכא למימר אם איתא דבטליה לעדים הוה אמר, וכדאמרינן בהניזקין (נה.), ולאו טעמא התם משום דמעיקרא אמר להו ראו גט שאני נותן לאשתי דוקא, אלא משום דכיון דאיכא סהדי לסהדי הוה מודע בינו לבינם, והא דאמר לה הכי משום כיסופא דידה היא לעולם עד דמפרש דמבטל ליה עכ"ל, ב"י.</w:t>
      </w:r>
    </w:p>
  </w:footnote>
  <w:footnote w:id="1647">
    <w:p w14:paraId="458E60D9" w14:textId="77777777" w:rsidR="00FA2119" w:rsidRDefault="00FA2119" w:rsidP="00FA2119">
      <w:pPr>
        <w:pStyle w:val="a5"/>
      </w:pPr>
      <w:r>
        <w:rPr>
          <w:rStyle w:val="a7"/>
        </w:rPr>
        <w:footnoteRef/>
      </w:r>
      <w:r>
        <w:rPr>
          <w:rtl/>
        </w:rPr>
        <w:t xml:space="preserve"> </w:t>
      </w:r>
      <w:r>
        <w:rPr>
          <w:rFonts w:cs="Arial"/>
          <w:rtl/>
        </w:rPr>
        <w:t>נראה לי שלמד מדתנן בהמגרש את אשתו ואמר לה הרי את מותרת לכל אדם אלא לאיש פלוני (פב.) כיצד יעשה יטלנו ממנה ויחזור ויתננו לה ויאמר לה הרי את מותרת לכל אדם. ואוקמה רבי יוחנן (פד:) אפילו כרבי דאמר באמר לה כנסי שטר חוב זה וכו' אין צריך ליטלו ממנה, הכא שאני הואיל וקנאתו ליפסל בו לכהונה. ופירש רש"י דקנאתו בנתינה קמייתא ליפסל בו לכהונה, הילכך אי לא הדר שקיל ליה מינה לא מהניא אמירה, שהרי כבר זכתה בו על מנת תנאי ראשון, אבל ההוא דהזורק לא זכתה בו לכלום, ב"י.</w:t>
      </w:r>
    </w:p>
  </w:footnote>
  <w:footnote w:id="1648">
    <w:p w14:paraId="022645A5" w14:textId="77777777" w:rsidR="00FA2119" w:rsidRDefault="00FA2119" w:rsidP="00FA2119">
      <w:pPr>
        <w:pStyle w:val="a5"/>
      </w:pPr>
      <w:r>
        <w:rPr>
          <w:rStyle w:val="a7"/>
        </w:rPr>
        <w:footnoteRef/>
      </w:r>
      <w:r>
        <w:rPr>
          <w:rtl/>
        </w:rPr>
        <w:t xml:space="preserve"> </w:t>
      </w:r>
      <w:r>
        <w:rPr>
          <w:rFonts w:cs="Arial"/>
          <w:rtl/>
        </w:rPr>
        <w:t>של נכסי מלוג וזרקו לה ע"ג קרקע, רש"י.</w:t>
      </w:r>
    </w:p>
  </w:footnote>
  <w:footnote w:id="1649">
    <w:p w14:paraId="114A7222" w14:textId="77777777" w:rsidR="00FA2119" w:rsidRDefault="00FA2119" w:rsidP="00FA2119">
      <w:pPr>
        <w:pStyle w:val="a5"/>
      </w:pPr>
      <w:r>
        <w:rPr>
          <w:rStyle w:val="a7"/>
        </w:rPr>
        <w:footnoteRef/>
      </w:r>
      <w:r>
        <w:rPr>
          <w:rtl/>
        </w:rPr>
        <w:t xml:space="preserve"> </w:t>
      </w:r>
      <w:r>
        <w:rPr>
          <w:rFonts w:cs="Arial"/>
          <w:rtl/>
        </w:rPr>
        <w:t>דקנתה לה חצרה כאילו נתנו בידה כדמפרש בגמ', רש"י.</w:t>
      </w:r>
    </w:p>
  </w:footnote>
  <w:footnote w:id="1650">
    <w:p w14:paraId="700935C1" w14:textId="77777777" w:rsidR="00FA2119" w:rsidRDefault="00FA2119" w:rsidP="00FA2119">
      <w:pPr>
        <w:pStyle w:val="a5"/>
      </w:pPr>
      <w:r>
        <w:rPr>
          <w:rStyle w:val="a7"/>
        </w:rPr>
        <w:footnoteRef/>
      </w:r>
      <w:r>
        <w:rPr>
          <w:rtl/>
        </w:rPr>
        <w:t xml:space="preserve"> </w:t>
      </w:r>
      <w:r>
        <w:rPr>
          <w:rFonts w:cs="Arial"/>
          <w:rtl/>
        </w:rPr>
        <w:t xml:space="preserve">היינו, כיון שע"י הגט היא זוכה ב"יד" שלה, אנו דנין לענין קבלת הגט כאילו היד היא כבר שלה בשעת קבלת הגט בידה </w:t>
      </w:r>
      <w:r>
        <w:rPr>
          <w:rFonts w:cs="Arial"/>
          <w:sz w:val="14"/>
          <w:szCs w:val="14"/>
          <w:rtl/>
        </w:rPr>
        <w:t>(חברותא)</w:t>
      </w:r>
      <w:r>
        <w:rPr>
          <w:rFonts w:cs="Arial"/>
          <w:rtl/>
        </w:rPr>
        <w:t xml:space="preserve">. </w:t>
      </w:r>
    </w:p>
  </w:footnote>
  <w:footnote w:id="1651">
    <w:p w14:paraId="2C600ED2" w14:textId="77777777" w:rsidR="00FA2119" w:rsidRDefault="00FA2119" w:rsidP="00FA2119">
      <w:pPr>
        <w:pStyle w:val="a5"/>
      </w:pPr>
      <w:r>
        <w:rPr>
          <w:rStyle w:val="a7"/>
        </w:rPr>
        <w:footnoteRef/>
      </w:r>
      <w:r>
        <w:rPr>
          <w:rtl/>
        </w:rPr>
        <w:t xml:space="preserve"> </w:t>
      </w:r>
      <w:r>
        <w:rPr>
          <w:rFonts w:cs="Arial"/>
          <w:rtl/>
        </w:rPr>
        <w:t>הלכך סמוכה לה בעינן דומיא דידה, רש"י.</w:t>
      </w:r>
    </w:p>
  </w:footnote>
  <w:footnote w:id="1652">
    <w:p w14:paraId="7C2562BB" w14:textId="77777777" w:rsidR="00FA2119" w:rsidRDefault="00FA2119" w:rsidP="00FA2119">
      <w:pPr>
        <w:pStyle w:val="a5"/>
      </w:pPr>
      <w:r>
        <w:rPr>
          <w:rStyle w:val="a7"/>
        </w:rPr>
        <w:footnoteRef/>
      </w:r>
      <w:r>
        <w:rPr>
          <w:rtl/>
        </w:rPr>
        <w:t xml:space="preserve"> </w:t>
      </w:r>
      <w:r>
        <w:rPr>
          <w:rFonts w:cs="Arial"/>
          <w:rtl/>
        </w:rPr>
        <w:t>כן כתב הרמב"ם (פ"ה ה"א), וטעמא משום דשאלה ושכירות לזמנייהו מכר הוא משמע שם (עז:) בגמרא גבי ההוא שכיב מרע דתקיף ליה עלמא דאמרינן דליקני ניהלה ההוא דוכתא דיתיב ביה גיטא. וגם בעובדא (שם) דההוא דזרק גיטא לדביתהו אזל גיטא נפל בפסלא אמרינן לא צריכא דאושלה מקום, ב"י.</w:t>
      </w:r>
    </w:p>
  </w:footnote>
  <w:footnote w:id="1653">
    <w:p w14:paraId="414994F9" w14:textId="77777777" w:rsidR="00FA2119" w:rsidRDefault="00FA2119" w:rsidP="00FA2119">
      <w:pPr>
        <w:pStyle w:val="a5"/>
      </w:pPr>
      <w:r>
        <w:rPr>
          <w:rStyle w:val="a7"/>
        </w:rPr>
        <w:footnoteRef/>
      </w:r>
      <w:r>
        <w:rPr>
          <w:rtl/>
        </w:rPr>
        <w:t xml:space="preserve"> </w:t>
      </w:r>
      <w:r>
        <w:rPr>
          <w:rFonts w:cs="Arial"/>
          <w:rtl/>
        </w:rPr>
        <w:t>מה שכתב רבינו והוא משתמר לדעתה - פשוט הוא, דכיון דמידה גמרינן מה ידה משתמר לדעתה אף חצרה המשתמר לדעתה, לאפוקי אם הוא חצר גדול שכשהיא עומדת במזרחו אין מערבו משתמר לדעתה וזרק לה הגט במערבו דאינה מגורשת, ב"י.</w:t>
      </w:r>
    </w:p>
  </w:footnote>
  <w:footnote w:id="1654">
    <w:p w14:paraId="69B82828" w14:textId="77777777" w:rsidR="001A0195" w:rsidRDefault="001A0195" w:rsidP="001A0195">
      <w:pPr>
        <w:pStyle w:val="a5"/>
      </w:pPr>
      <w:r>
        <w:rPr>
          <w:rStyle w:val="a7"/>
        </w:rPr>
        <w:footnoteRef/>
      </w:r>
      <w:r>
        <w:rPr>
          <w:rtl/>
        </w:rPr>
        <w:t xml:space="preserve"> </w:t>
      </w:r>
      <w:r>
        <w:rPr>
          <w:rFonts w:cs="Arial"/>
          <w:rtl/>
        </w:rPr>
        <w:t>מה שמסיק וכתב 'ויתננו לה להתגרש בו' קאי נמי אמה שכתב 'עד שתטלנו משם', ורצה לומר שאם תטלנו והוא אומר יהיה בידך להתגרש בו - מהני</w:t>
      </w:r>
      <w:r>
        <w:rPr>
          <w:rtl/>
        </w:rPr>
        <w:t>, פרישה (אות ה).</w:t>
      </w:r>
    </w:p>
  </w:footnote>
  <w:footnote w:id="1655">
    <w:p w14:paraId="58E96385" w14:textId="77777777" w:rsidR="001A0195" w:rsidRDefault="001A0195" w:rsidP="001A0195">
      <w:pPr>
        <w:pStyle w:val="a5"/>
        <w:rPr>
          <w:rtl/>
        </w:rPr>
      </w:pPr>
      <w:r>
        <w:rPr>
          <w:rStyle w:val="a7"/>
        </w:rPr>
        <w:footnoteRef/>
      </w:r>
      <w:r>
        <w:rPr>
          <w:rtl/>
        </w:rPr>
        <w:t xml:space="preserve"> </w:t>
      </w:r>
      <w:r>
        <w:rPr>
          <w:rFonts w:cs="Arial"/>
          <w:rtl/>
        </w:rPr>
        <w:t>מה שכתב 'ואי לא סמיכא לה מתחלה ועד סוף' - לאו דוקא, דבתחלה וסוף סגי אע"פ שבאמצע לא היתה שם, כמו שכתב בסמוך, ב"י.</w:t>
      </w:r>
    </w:p>
  </w:footnote>
  <w:footnote w:id="1656">
    <w:p w14:paraId="0C9BBFC2" w14:textId="77777777" w:rsidR="001A0195" w:rsidRDefault="001A0195" w:rsidP="001A0195">
      <w:pPr>
        <w:pStyle w:val="a5"/>
      </w:pPr>
      <w:r>
        <w:rPr>
          <w:rStyle w:val="a7"/>
        </w:rPr>
        <w:footnoteRef/>
      </w:r>
      <w:r>
        <w:rPr>
          <w:rtl/>
        </w:rPr>
        <w:t xml:space="preserve"> </w:t>
      </w:r>
      <w:r>
        <w:rPr>
          <w:rFonts w:cs="Arial"/>
          <w:rtl/>
        </w:rPr>
        <w:t xml:space="preserve">ודברי הרמ"ה הם מסברא, והרשב"א והר"ן (שם) חלוקים עליו </w:t>
      </w:r>
      <w:r>
        <w:rPr>
          <w:rFonts w:cs="Arial"/>
          <w:sz w:val="16"/>
          <w:szCs w:val="16"/>
          <w:rtl/>
        </w:rPr>
        <w:t>{כמו שיבואר בסמוך}</w:t>
      </w:r>
      <w:r>
        <w:rPr>
          <w:rFonts w:cs="Arial"/>
          <w:rtl/>
        </w:rPr>
        <w:t>... דבין להרשב"א בין להר"ן לא בעינן שתהא סמוכה לחצרה בשעת נתינת הגט לתוכה, ושלא כדברי הרמ"ה ז"ל, ב"י.</w:t>
      </w:r>
    </w:p>
  </w:footnote>
  <w:footnote w:id="1657">
    <w:p w14:paraId="7FB2A3D4" w14:textId="30F30C71" w:rsidR="001A0195" w:rsidRDefault="001A0195" w:rsidP="001A0195">
      <w:pPr>
        <w:pStyle w:val="a5"/>
      </w:pPr>
      <w:r>
        <w:rPr>
          <w:rStyle w:val="a7"/>
        </w:rPr>
        <w:footnoteRef/>
      </w:r>
      <w:r>
        <w:rPr>
          <w:rtl/>
        </w:rPr>
        <w:t xml:space="preserve"> </w:t>
      </w:r>
      <w:r>
        <w:rPr>
          <w:rFonts w:cs="Arial"/>
          <w:rtl/>
        </w:rPr>
        <w:t xml:space="preserve">דברי הרשב"א כתבם הה"מ </w:t>
      </w:r>
      <w:r>
        <w:rPr>
          <w:rFonts w:cs="Arial"/>
          <w:sz w:val="16"/>
          <w:szCs w:val="16"/>
          <w:rtl/>
        </w:rPr>
        <w:t>(פ"ה ה"ב)</w:t>
      </w:r>
      <w:r w:rsidR="00700CC5">
        <w:rPr>
          <w:rFonts w:cs="Arial" w:hint="cs"/>
          <w:rtl/>
        </w:rPr>
        <w:t>,</w:t>
      </w:r>
      <w:r>
        <w:rPr>
          <w:rFonts w:cs="Arial"/>
          <w:rtl/>
        </w:rPr>
        <w:t xml:space="preserve"> וגם רי"ו </w:t>
      </w:r>
      <w:r>
        <w:rPr>
          <w:rFonts w:cs="Arial"/>
          <w:sz w:val="16"/>
          <w:szCs w:val="16"/>
          <w:rtl/>
        </w:rPr>
        <w:t>(ח"ה נכ"ד ריא.)</w:t>
      </w:r>
      <w:r w:rsidR="00700CC5">
        <w:rPr>
          <w:rFonts w:cs="Arial" w:hint="cs"/>
          <w:rtl/>
        </w:rPr>
        <w:t>.</w:t>
      </w:r>
      <w:r>
        <w:rPr>
          <w:rFonts w:cs="Arial"/>
          <w:rtl/>
        </w:rPr>
        <w:t xml:space="preserve"> וכתב </w:t>
      </w:r>
      <w:r w:rsidR="00700CC5">
        <w:rPr>
          <w:rFonts w:cs="Arial" w:hint="cs"/>
          <w:sz w:val="16"/>
          <w:szCs w:val="16"/>
          <w:rtl/>
        </w:rPr>
        <w:t xml:space="preserve">{רי"ו} </w:t>
      </w:r>
      <w:r>
        <w:rPr>
          <w:rFonts w:cs="Arial"/>
          <w:rtl/>
        </w:rPr>
        <w:t xml:space="preserve">דלא פשיטא ליה להרשב"א אלא ספוקי מספקא ליה בכל הני שהזכיר. וכן משמע מדברי הרשב"א שכתב בסוף כל דבריו 'וכל זה צריך עיון', ב"י. </w:t>
      </w:r>
      <w:r>
        <w:rPr>
          <w:rFonts w:cs="Arial"/>
          <w:sz w:val="16"/>
          <w:szCs w:val="16"/>
          <w:rtl/>
        </w:rPr>
        <w:t>(וצל"ע, שמדברי הר"ן והה"מ נראה דסברי שהרשב"א לא כתב על זה את הצ"ע</w:t>
      </w:r>
      <w:r w:rsidR="00700CC5">
        <w:rPr>
          <w:rFonts w:cs="Arial" w:hint="cs"/>
          <w:sz w:val="16"/>
          <w:szCs w:val="16"/>
          <w:rtl/>
        </w:rPr>
        <w:t>, שהרי כתבו את דברי בסתם.</w:t>
      </w:r>
      <w:r>
        <w:rPr>
          <w:rFonts w:cs="Arial"/>
          <w:sz w:val="16"/>
          <w:szCs w:val="16"/>
          <w:rtl/>
        </w:rPr>
        <w:t xml:space="preserve"> </w:t>
      </w:r>
      <w:r w:rsidR="00700CC5">
        <w:rPr>
          <w:rFonts w:cs="Arial" w:hint="cs"/>
          <w:sz w:val="16"/>
          <w:szCs w:val="16"/>
          <w:rtl/>
        </w:rPr>
        <w:t xml:space="preserve">ועוד </w:t>
      </w:r>
      <w:r>
        <w:rPr>
          <w:rFonts w:cs="Arial"/>
          <w:sz w:val="16"/>
          <w:szCs w:val="16"/>
          <w:rtl/>
        </w:rPr>
        <w:t xml:space="preserve">שהרשב"א כתב 'וכל זה צ"ע' רק לקראת סוף העמוד, ובנתיים דיבר בעוד שני נושאים, אם כן אפ"ל שלא כתב צ"ע אלא על הנושא האחרון (שהיא בצד ביתה וזרק בפני עדים שלא מדעתה). כן נראה לי מסידור דברי הרשב"א הה"מ והר"ן, עיי"ש. ועוד קשה למה הב"י לא הזכיר בסעיף </w:t>
      </w:r>
      <w:r w:rsidR="00700CC5">
        <w:rPr>
          <w:rFonts w:cs="Arial" w:hint="cs"/>
          <w:sz w:val="16"/>
          <w:szCs w:val="16"/>
          <w:rtl/>
        </w:rPr>
        <w:t>ג'</w:t>
      </w:r>
      <w:r>
        <w:rPr>
          <w:rFonts w:cs="Arial"/>
          <w:sz w:val="16"/>
          <w:szCs w:val="16"/>
          <w:rtl/>
        </w:rPr>
        <w:t xml:space="preserve"> שהרשב"א השאיר את דבריו (לגבי מש"כ שהיא בצד ביתה וזרק בפני עדים שלא מדעתה) בצ"ע)</w:t>
      </w:r>
      <w:r>
        <w:rPr>
          <w:rFonts w:cs="Arial"/>
          <w:rtl/>
        </w:rPr>
        <w:t>.</w:t>
      </w:r>
    </w:p>
  </w:footnote>
  <w:footnote w:id="1658">
    <w:p w14:paraId="792C409C" w14:textId="77777777" w:rsidR="001A0195" w:rsidRDefault="001A0195" w:rsidP="001A0195">
      <w:pPr>
        <w:pStyle w:val="a5"/>
      </w:pPr>
      <w:r>
        <w:rPr>
          <w:rStyle w:val="a7"/>
        </w:rPr>
        <w:footnoteRef/>
      </w:r>
      <w:r>
        <w:rPr>
          <w:rtl/>
        </w:rPr>
        <w:t xml:space="preserve"> </w:t>
      </w:r>
      <w:r>
        <w:rPr>
          <w:rFonts w:hint="cs"/>
          <w:rtl/>
        </w:rPr>
        <w:t xml:space="preserve">הר"ן העתיק את דברי הרשב"א הנ"ל, וכתב-... </w:t>
      </w:r>
    </w:p>
  </w:footnote>
  <w:footnote w:id="1659">
    <w:p w14:paraId="31B7A8AB" w14:textId="77777777" w:rsidR="001A0195" w:rsidRDefault="001A0195" w:rsidP="001A0195">
      <w:pPr>
        <w:pStyle w:val="a5"/>
        <w:rPr>
          <w:rtl/>
        </w:rPr>
      </w:pPr>
      <w:r>
        <w:rPr>
          <w:rStyle w:val="a7"/>
        </w:rPr>
        <w:footnoteRef/>
      </w:r>
      <w:r>
        <w:rPr>
          <w:rtl/>
        </w:rPr>
        <w:t xml:space="preserve"> </w:t>
      </w:r>
      <w:r>
        <w:rPr>
          <w:rFonts w:cs="Arial"/>
          <w:rtl/>
        </w:rPr>
        <w:t>דאילו בההוא גוונא קמא שהרב מחשב יותר, דהיינו שנתנו לה כבר בחצרה ואח"כ אמרה תזכי לי חצרי שבעכו, לא ידעתי היאך היא מתגרשת, דהא בשעה שזרקו שם חצר לא הוי לא שליח דידיה ולא שליח דידה. ואין לך לומר שיהא אלא כאילו נתנו בידה לפקדון ובתר הכי כי אמרה תזכה לי חצרי שבעכו היכי מתגרשת והא בעינן שיאמר לה הרי זה גיטך. ואם בשאמר לה כן לאחר שאמרה תזכה לי חצרי - הרי היא כאומרת מתחלה תזכה לי חצרי ואח"כ זרקו לה, דהיינו האי גוונא בתרא שבדברי הרב ז"ל</w:t>
      </w:r>
      <w:r>
        <w:rPr>
          <w:rtl/>
        </w:rPr>
        <w:t>,</w:t>
      </w:r>
      <w:r>
        <w:rPr>
          <w:b/>
          <w:bCs/>
          <w:rtl/>
        </w:rPr>
        <w:t xml:space="preserve"> ר"ן</w:t>
      </w:r>
      <w:r>
        <w:rPr>
          <w:rtl/>
        </w:rPr>
        <w:t xml:space="preserve"> (שם).</w:t>
      </w:r>
      <w:r>
        <w:rPr>
          <w:rFonts w:cs="Arial"/>
          <w:rtl/>
        </w:rPr>
        <w:t xml:space="preserve"> ובהדיא כתב הר"ן שם בהזורק, אמתניתין דאמר לה כנסי שטר חוב, שאם נתנו לה לשם פקדון או שנתנו בחצרה לשם גירושין ואח"כ אמר לה הא גיטך ועומדת בצד חצרה - מגורשת, כיון שמיד הבעל בא לידה או לחצרה. ומיהו אם דחאתו הרוח ונתנו בחצרה, אע"פ שאמר לה הא גיטך - אינה מגורשת, דהוה ליה כטלי גיטך מעל גבי קרקע דאמרינן בגמרא (עח.) דאינה מגורשת משום דליכא נתינת בעל עכ"ל</w:t>
      </w:r>
      <w:r>
        <w:rPr>
          <w:rtl/>
        </w:rPr>
        <w:t xml:space="preserve">, </w:t>
      </w:r>
      <w:r>
        <w:rPr>
          <w:b/>
          <w:bCs/>
          <w:rtl/>
        </w:rPr>
        <w:t>ב"י</w:t>
      </w:r>
      <w:r>
        <w:rPr>
          <w:rtl/>
        </w:rPr>
        <w:t>.</w:t>
      </w:r>
    </w:p>
  </w:footnote>
  <w:footnote w:id="1660">
    <w:p w14:paraId="633B483F" w14:textId="6304E375" w:rsidR="00FA2119" w:rsidRDefault="00FA2119" w:rsidP="00FA2119">
      <w:pPr>
        <w:pStyle w:val="a5"/>
        <w:rPr>
          <w:rtl/>
        </w:rPr>
      </w:pPr>
      <w:r>
        <w:rPr>
          <w:rStyle w:val="a7"/>
        </w:rPr>
        <w:footnoteRef/>
      </w:r>
      <w:r>
        <w:rPr>
          <w:rtl/>
        </w:rPr>
        <w:t xml:space="preserve"> </w:t>
      </w:r>
      <w:r>
        <w:rPr>
          <w:rFonts w:hint="cs"/>
          <w:rtl/>
        </w:rPr>
        <w:t xml:space="preserve">עד כאן העתיק הב"י בשם הרשב"א. וכתב </w:t>
      </w:r>
      <w:r w:rsidR="000A0F5A">
        <w:rPr>
          <w:rFonts w:hint="cs"/>
          <w:rtl/>
        </w:rPr>
        <w:t>וז</w:t>
      </w:r>
      <w:r w:rsidR="000A0F5A">
        <w:rPr>
          <w:rtl/>
        </w:rPr>
        <w:t>"</w:t>
      </w:r>
      <w:r w:rsidR="000A0F5A">
        <w:rPr>
          <w:rFonts w:hint="cs"/>
          <w:rtl/>
        </w:rPr>
        <w:t>ל:</w:t>
      </w:r>
      <w:r>
        <w:rPr>
          <w:rFonts w:hint="cs"/>
          <w:rtl/>
        </w:rPr>
        <w:t xml:space="preserve"> </w:t>
      </w:r>
      <w:r>
        <w:rPr>
          <w:rFonts w:cs="Arial"/>
          <w:rtl/>
        </w:rPr>
        <w:t>וגם זה כתב הר"ן בפרק הזורק (שם סוף דיבור ראשון) והה"מ (פ"ה) ורי"ו (ח"ה). עכ"ל</w:t>
      </w:r>
      <w:r>
        <w:rPr>
          <w:rtl/>
        </w:rPr>
        <w:t>. וצל"ע מדוע לא כתב הב"י שהרשב"א השאיר דין זה בצ"ע.</w:t>
      </w:r>
    </w:p>
  </w:footnote>
  <w:footnote w:id="1661">
    <w:p w14:paraId="744F73C6" w14:textId="77777777" w:rsidR="00FA2119" w:rsidRDefault="00FA2119" w:rsidP="00FA2119">
      <w:pPr>
        <w:pStyle w:val="a5"/>
      </w:pPr>
      <w:r>
        <w:rPr>
          <w:rStyle w:val="a7"/>
        </w:rPr>
        <w:footnoteRef/>
      </w:r>
      <w:r>
        <w:rPr>
          <w:rtl/>
        </w:rPr>
        <w:t xml:space="preserve"> </w:t>
      </w:r>
      <w:r>
        <w:rPr>
          <w:rFonts w:cs="Arial"/>
          <w:rtl/>
        </w:rPr>
        <w:t>ועיין לעיל סוף סימן קל"ח (עמ' ריג בב"י ד"ה כתב הרשב"א ובד"מ אות ד) דחצרה כידה, דרכ"מ (אות א).</w:t>
      </w:r>
    </w:p>
  </w:footnote>
  <w:footnote w:id="1662">
    <w:p w14:paraId="2719596F" w14:textId="77777777" w:rsidR="00FA2119" w:rsidRDefault="00FA2119" w:rsidP="00FA2119">
      <w:pPr>
        <w:pStyle w:val="a5"/>
        <w:rPr>
          <w:rFonts w:cs="Arial"/>
          <w:rtl/>
        </w:rPr>
      </w:pPr>
      <w:r>
        <w:rPr>
          <w:rStyle w:val="a7"/>
        </w:rPr>
        <w:footnoteRef/>
      </w:r>
      <w:r>
        <w:rPr>
          <w:rtl/>
        </w:rPr>
        <w:t xml:space="preserve"> </w:t>
      </w:r>
      <w:r>
        <w:rPr>
          <w:rFonts w:cs="Arial"/>
          <w:rtl/>
        </w:rPr>
        <w:t xml:space="preserve">ברשב"א מבואר דוקא במקום יבום אז יש לספק שמא ניחא לה שלא תזקק ליבם. ובלבוש לא כתב סעיף זה, ובסעיף א' הביא י"א שהיא ספק מגורשת סבר דאיירי כאן בכל אשה אפילו אינה זקוקה ליבם </w:t>
      </w:r>
      <w:r>
        <w:rPr>
          <w:rFonts w:cs="Arial"/>
          <w:sz w:val="16"/>
          <w:szCs w:val="16"/>
          <w:rtl/>
        </w:rPr>
        <w:t>(ואין להקשות לפירושו א"כ איך פסק המחבר בסעיף ב' אם נתן לחצירה מהני אם תטלנו אמאי מהני הא נתינ' קמייתא דהוי ספק גט ומהני נתינה קמייתא דהיא פסולה לכהונה ודומה למ"ש ר"ס קל"ז כל שמהני נתינה קמייתא צריך ליטול ממנה וליתן מחדש וי"ל דאמרי' ממ"נ אם ניחא לה מגורשת מיד ואם לא ניחא לה לא מהני נתינה קמייתא)</w:t>
      </w:r>
      <w:r>
        <w:rPr>
          <w:rFonts w:cs="Arial"/>
          <w:rtl/>
        </w:rPr>
        <w:t xml:space="preserve">, מיהו פירושו דאיירי בכל אשה אינו נראה לי, </w:t>
      </w:r>
      <w:r>
        <w:rPr>
          <w:rFonts w:cs="Arial"/>
          <w:b/>
          <w:bCs/>
          <w:rtl/>
        </w:rPr>
        <w:t>ב"ש</w:t>
      </w:r>
      <w:r>
        <w:rPr>
          <w:rFonts w:cs="Arial"/>
          <w:rtl/>
        </w:rPr>
        <w:t xml:space="preserve"> (סק"ד). וגם </w:t>
      </w:r>
      <w:r>
        <w:rPr>
          <w:rFonts w:cs="Arial"/>
          <w:b/>
          <w:bCs/>
          <w:rtl/>
        </w:rPr>
        <w:t>הגר"א</w:t>
      </w:r>
      <w:r>
        <w:rPr>
          <w:rFonts w:cs="Arial"/>
          <w:rtl/>
        </w:rPr>
        <w:t xml:space="preserve"> (סק"ה) כתב שדברי המחבר צריכים עיון, שהרי הרשב"א דיבר במקום יבם. </w:t>
      </w:r>
      <w:r>
        <w:rPr>
          <w:rtl/>
        </w:rPr>
        <w:t xml:space="preserve">וגם </w:t>
      </w:r>
      <w:r>
        <w:rPr>
          <w:b/>
          <w:bCs/>
          <w:rtl/>
        </w:rPr>
        <w:t>הט"ז</w:t>
      </w:r>
      <w:r>
        <w:rPr>
          <w:rtl/>
        </w:rPr>
        <w:t xml:space="preserve"> (סק"ו) תמה על פסיקת השו"ע שהרי </w:t>
      </w:r>
      <w:r>
        <w:rPr>
          <w:rFonts w:cs="Arial"/>
          <w:rtl/>
        </w:rPr>
        <w:t>טעמו של הרשב"א הוא דשמא ניחא לה בגט והו"ל זכות בזה וזכין לאדם שלא בפניו, אבל הרמ"ה על כרחך לא ס"ל כן, דהא כתב שאם לא היתה בשעת נתינה אינה מגורשת בודאי, וממילא אם לא היתה שם כלל, וא"כ תימה על השו"ע כיון שהביא בסעיף הקודם לזה דעת הרמ"ה, וכאן הביא דברי רשב"א והם סותרים זה את זה. עכ"ל.</w:t>
      </w:r>
      <w:r>
        <w:rPr>
          <w:rtl/>
        </w:rPr>
        <w:t xml:space="preserve"> וכתב </w:t>
      </w:r>
      <w:r>
        <w:rPr>
          <w:b/>
          <w:bCs/>
          <w:rtl/>
        </w:rPr>
        <w:t>התורת גיטין</w:t>
      </w:r>
      <w:r>
        <w:rPr>
          <w:rtl/>
        </w:rPr>
        <w:t xml:space="preserve"> (סק"ד) כדי לתרץ את קושיות כולם ד</w:t>
      </w:r>
      <w:r>
        <w:rPr>
          <w:rFonts w:cs="Arial"/>
          <w:rtl/>
        </w:rPr>
        <w:t xml:space="preserve">נראה דיש ט"ס במחבר וצ"ל 'נתנו בחצירה שלא מדעתה ועומדת בצד חצירה ה"ז ספק מגורשת'. ומיירי שאמר לעדים ראו גט שאני נותן, והיינו ממש ספק של הרשב"א שהביא הב"ש (סק"א) בזרק גט לחצרה ואמר לעדי' ע"ש, דהא אפי' לדברי הב"ש דמיירי במקום יבם ג"כ ע"כ צ"ל דמיירי באומר לעדים, דכל שלא אמר לעדים בשעת נתינה שנותן בתורת גירושין אינו גט כלל. עכ"ל. </w:t>
      </w:r>
      <w:r>
        <w:rPr>
          <w:rFonts w:cs="Arial"/>
          <w:b/>
          <w:bCs/>
          <w:rtl/>
        </w:rPr>
        <w:t>וערוה"ש</w:t>
      </w:r>
      <w:r>
        <w:rPr>
          <w:rFonts w:cs="Arial"/>
          <w:rtl/>
        </w:rPr>
        <w:t xml:space="preserve"> (סע' ו) תירץ</w:t>
      </w:r>
      <w:r>
        <w:rPr>
          <w:rtl/>
        </w:rPr>
        <w:t xml:space="preserve"> </w:t>
      </w:r>
      <w:r>
        <w:rPr>
          <w:rFonts w:cs="Arial"/>
          <w:rtl/>
        </w:rPr>
        <w:t>דלאו דווקא נקטי הפוסקים במקום יבם, אלא ה"ה בכל גט שיש ספק שמא ניחא לה, וזה שנקטו כמקום יבם משום דבש"ס מיבעיא לה לעניין אחר [ספט"ו דיבמות] אי אמרינן דזכות הוא לה ע"ש. ויראה לי שזה הוא דעת רבינו הב"י בסעיף ג'... ולדברינו אתי שפיר דזיל בתר טעמא דאולי גם בגט זה ניחא לה ואיך נקיל באיסור אשת איש. מיהו אם ידעינן וודאי שאין רצונה להתגרש גם הוא מודה שאינה מגורשת ואיהו בסתם גט מיירי ולכן וודאי יש להחמיר דאולי ניחא לה בגט זה.</w:t>
      </w:r>
    </w:p>
  </w:footnote>
  <w:footnote w:id="1663">
    <w:p w14:paraId="1288BD63" w14:textId="77777777" w:rsidR="00FA2119" w:rsidRDefault="00FA2119" w:rsidP="00FA2119">
      <w:pPr>
        <w:pStyle w:val="a5"/>
      </w:pPr>
      <w:r>
        <w:rPr>
          <w:rStyle w:val="a7"/>
        </w:rPr>
        <w:footnoteRef/>
      </w:r>
      <w:r>
        <w:rPr>
          <w:rtl/>
        </w:rPr>
        <w:t xml:space="preserve"> </w:t>
      </w:r>
      <w:r>
        <w:rPr>
          <w:rFonts w:cs="Arial"/>
          <w:rtl/>
        </w:rPr>
        <w:t>אויר הגג, דאתי זיקא ושדי ליה מקמי דלינח. וכי לא שדיה זיקא ואירע לו דבר אחר שבא כלב וקלטו או גשמים מחקוהו, אמאי קתני מגורשת מן האויר, הא בעינן אויר שסופו לנוח, רש"י.</w:t>
      </w:r>
    </w:p>
  </w:footnote>
  <w:footnote w:id="1664">
    <w:p w14:paraId="22D62C13" w14:textId="77777777" w:rsidR="00FA2119" w:rsidRDefault="00FA2119" w:rsidP="00FA2119">
      <w:pPr>
        <w:pStyle w:val="a5"/>
      </w:pPr>
      <w:r>
        <w:rPr>
          <w:rStyle w:val="a7"/>
        </w:rPr>
        <w:footnoteRef/>
      </w:r>
      <w:r>
        <w:rPr>
          <w:rtl/>
        </w:rPr>
        <w:t xml:space="preserve"> </w:t>
      </w:r>
      <w:r>
        <w:rPr>
          <w:rFonts w:cs="Arial"/>
          <w:rtl/>
        </w:rPr>
        <w:t>אויר דמתני' בהכי עסקינן דהוי כמאן דנח, והלכך קנאתו בהנחתו, דכיון דהגג גבוה י' הוא הויא לה חצר המשתמרת לכל דנייח בגויה</w:t>
      </w:r>
      <w:r>
        <w:rPr>
          <w:rtl/>
        </w:rPr>
        <w:t>, רש"י.</w:t>
      </w:r>
    </w:p>
  </w:footnote>
  <w:footnote w:id="1665">
    <w:p w14:paraId="0D6595B8" w14:textId="77777777" w:rsidR="00FA2119" w:rsidRDefault="00FA2119" w:rsidP="00FA2119">
      <w:pPr>
        <w:pStyle w:val="a5"/>
        <w:rPr>
          <w:rtl/>
        </w:rPr>
      </w:pPr>
      <w:r>
        <w:rPr>
          <w:rStyle w:val="a7"/>
        </w:rPr>
        <w:footnoteRef/>
      </w:r>
      <w:r>
        <w:rPr>
          <w:rtl/>
        </w:rPr>
        <w:t xml:space="preserve"> </w:t>
      </w:r>
      <w:r>
        <w:rPr>
          <w:rFonts w:cs="Arial"/>
          <w:rtl/>
        </w:rPr>
        <w:t>ומשמע דרב יהודה ועולא לא פליגי אלא באוקימתא דמתניתין, אבל לענין דינא שוין דבין בגג שיש לו מעקה בין בפחות משלשה סמוך לגג - מגורשת. ולכן כתב הרא"ש (סי' ז) דברי שניהם. וגם הרמב"ם בפרק ה' (ה"ג) כתב דבין שיש לו מעקה בין בפחות משלשה סמוך לגג מגורשת. ונמשך רבינו אחריהם, ב"י.</w:t>
      </w:r>
    </w:p>
  </w:footnote>
  <w:footnote w:id="1666">
    <w:p w14:paraId="0D2D6BE5" w14:textId="77777777" w:rsidR="00FA2119" w:rsidRDefault="00FA2119" w:rsidP="00FA2119">
      <w:pPr>
        <w:pStyle w:val="a5"/>
      </w:pPr>
      <w:r>
        <w:rPr>
          <w:rStyle w:val="a7"/>
        </w:rPr>
        <w:footnoteRef/>
      </w:r>
      <w:r>
        <w:rPr>
          <w:rtl/>
        </w:rPr>
        <w:t xml:space="preserve"> </w:t>
      </w:r>
      <w:r>
        <w:rPr>
          <w:rFonts w:cs="Arial"/>
          <w:rtl/>
        </w:rPr>
        <w:t>דקס"ד שהגג גבוה מחומת החצר, והיכי קתני כיון שיצא מרשות הגג מגורשת, הא אין סופו לנוח אפילו לא באת דליקה דאתי זיקא ודחי ליה חוץ למחיצות, רש"י.</w:t>
      </w:r>
    </w:p>
  </w:footnote>
  <w:footnote w:id="1667">
    <w:p w14:paraId="2290DE93" w14:textId="77777777" w:rsidR="00FA2119" w:rsidRDefault="00FA2119" w:rsidP="00FA2119">
      <w:pPr>
        <w:pStyle w:val="a5"/>
      </w:pPr>
      <w:r>
        <w:rPr>
          <w:rStyle w:val="a7"/>
        </w:rPr>
        <w:footnoteRef/>
      </w:r>
      <w:r>
        <w:rPr>
          <w:rtl/>
        </w:rPr>
        <w:t xml:space="preserve"> </w:t>
      </w:r>
      <w:r>
        <w:rPr>
          <w:rFonts w:cs="Arial"/>
          <w:rtl/>
        </w:rPr>
        <w:t>של חצר, רש"י.</w:t>
      </w:r>
    </w:p>
  </w:footnote>
  <w:footnote w:id="1668">
    <w:p w14:paraId="2AB77197" w14:textId="77777777" w:rsidR="00FA2119" w:rsidRDefault="00FA2119" w:rsidP="00FA2119">
      <w:pPr>
        <w:pStyle w:val="a5"/>
      </w:pPr>
      <w:r>
        <w:rPr>
          <w:rStyle w:val="a7"/>
        </w:rPr>
        <w:footnoteRef/>
      </w:r>
      <w:r>
        <w:rPr>
          <w:rtl/>
        </w:rPr>
        <w:t xml:space="preserve"> </w:t>
      </w:r>
      <w:r>
        <w:rPr>
          <w:rFonts w:cs="Arial"/>
          <w:rtl/>
        </w:rPr>
        <w:t>על מעקה של גג, דכי נפיק מגג מטא לאויר מחיצות חצר. ומשום הכי בעינן עודפות, דהאי דקאי בתוך מחיצות מעקת הגג וזרקו כלפי מעלה כדי שיעבור את המעקה יפול לחצר, רש"י.</w:t>
      </w:r>
    </w:p>
  </w:footnote>
  <w:footnote w:id="1669">
    <w:p w14:paraId="5A8D6C92" w14:textId="77777777" w:rsidR="00FA2119" w:rsidRDefault="00FA2119" w:rsidP="00FA2119">
      <w:pPr>
        <w:pStyle w:val="a5"/>
      </w:pPr>
      <w:r>
        <w:rPr>
          <w:rStyle w:val="a7"/>
        </w:rPr>
        <w:footnoteRef/>
      </w:r>
      <w:r>
        <w:rPr>
          <w:rtl/>
        </w:rPr>
        <w:t xml:space="preserve"> </w:t>
      </w:r>
      <w:r>
        <w:rPr>
          <w:rFonts w:cs="Arial"/>
          <w:rtl/>
        </w:rPr>
        <w:t>קלוטה - בתוך האויר.</w:t>
      </w:r>
      <w:r>
        <w:rPr>
          <w:rtl/>
        </w:rPr>
        <w:t xml:space="preserve"> </w:t>
      </w:r>
      <w:r>
        <w:rPr>
          <w:rFonts w:cs="Arial"/>
          <w:rtl/>
        </w:rPr>
        <w:t>כמי שהונחה - לארץ דתניא הזורק בשבת מרה"ר לרה"ר ורה"י באמצע רבי מחייב וחכמים פוטרים, רש"י.</w:t>
      </w:r>
    </w:p>
  </w:footnote>
  <w:footnote w:id="1670">
    <w:p w14:paraId="7E8AF826" w14:textId="77777777" w:rsidR="00FA2119" w:rsidRDefault="00FA2119" w:rsidP="00FA2119">
      <w:pPr>
        <w:pStyle w:val="a5"/>
      </w:pPr>
      <w:r>
        <w:rPr>
          <w:rStyle w:val="a7"/>
        </w:rPr>
        <w:footnoteRef/>
      </w:r>
      <w:r>
        <w:rPr>
          <w:rtl/>
        </w:rPr>
        <w:t xml:space="preserve"> </w:t>
      </w:r>
      <w:r>
        <w:rPr>
          <w:rFonts w:cs="Arial"/>
          <w:rtl/>
        </w:rPr>
        <w:t>כשזרקו כלפי מעלה כדי להעבירו את המעקה לא נמחק עד שהגיע לחזור ולירד</w:t>
      </w:r>
      <w:r>
        <w:rPr>
          <w:rtl/>
        </w:rPr>
        <w:t>, רש"י.</w:t>
      </w:r>
    </w:p>
  </w:footnote>
  <w:footnote w:id="1671">
    <w:p w14:paraId="345EC536" w14:textId="77777777" w:rsidR="00FA2119" w:rsidRDefault="00FA2119" w:rsidP="00FA2119">
      <w:pPr>
        <w:pStyle w:val="a5"/>
        <w:rPr>
          <w:rtl/>
        </w:rPr>
      </w:pPr>
      <w:r>
        <w:rPr>
          <w:rStyle w:val="a7"/>
        </w:rPr>
        <w:footnoteRef/>
      </w:r>
      <w:r>
        <w:rPr>
          <w:rtl/>
        </w:rPr>
        <w:t xml:space="preserve"> </w:t>
      </w:r>
      <w:r>
        <w:rPr>
          <w:rFonts w:cs="Arial"/>
          <w:rtl/>
        </w:rPr>
        <w:t>אע"פ שיצא מאויר הגג לאויר חצר ומחיצות התחתונות עודפות, רש"י.</w:t>
      </w:r>
    </w:p>
  </w:footnote>
  <w:footnote w:id="1672">
    <w:p w14:paraId="32C088C0" w14:textId="77777777" w:rsidR="00FA2119" w:rsidRDefault="00FA2119" w:rsidP="00FA2119">
      <w:pPr>
        <w:pStyle w:val="a5"/>
      </w:pPr>
      <w:r>
        <w:rPr>
          <w:rStyle w:val="a7"/>
        </w:rPr>
        <w:footnoteRef/>
      </w:r>
      <w:r>
        <w:rPr>
          <w:rtl/>
        </w:rPr>
        <w:t xml:space="preserve"> </w:t>
      </w:r>
      <w:r>
        <w:rPr>
          <w:rFonts w:cs="Arial"/>
          <w:rtl/>
        </w:rPr>
        <w:t>אינה מגורשת - דדרך סילוקו לא מיקרי נתינה אלא דרך הנחתו לבא לרשותה, רש"י.</w:t>
      </w:r>
    </w:p>
  </w:footnote>
  <w:footnote w:id="1673">
    <w:p w14:paraId="1F4B0951" w14:textId="77777777" w:rsidR="00FA2119" w:rsidRDefault="00FA2119" w:rsidP="00FA2119">
      <w:pPr>
        <w:pStyle w:val="a5"/>
      </w:pPr>
      <w:r>
        <w:rPr>
          <w:rStyle w:val="a7"/>
        </w:rPr>
        <w:footnoteRef/>
      </w:r>
      <w:r>
        <w:rPr>
          <w:rtl/>
        </w:rPr>
        <w:t xml:space="preserve"> </w:t>
      </w:r>
      <w:r>
        <w:rPr>
          <w:rFonts w:cs="Arial"/>
          <w:rtl/>
        </w:rPr>
        <w:t>שקדמה זריקת הגט בחצר קודם שתהא הדליקה באויר החצר, רש"י.</w:t>
      </w:r>
    </w:p>
  </w:footnote>
  <w:footnote w:id="1674">
    <w:p w14:paraId="1CB11A8E" w14:textId="77777777" w:rsidR="00FA2119" w:rsidRDefault="00FA2119" w:rsidP="00FA2119">
      <w:pPr>
        <w:pStyle w:val="a5"/>
      </w:pPr>
      <w:r>
        <w:rPr>
          <w:rStyle w:val="a7"/>
        </w:rPr>
        <w:footnoteRef/>
      </w:r>
      <w:r>
        <w:rPr>
          <w:rtl/>
        </w:rPr>
        <w:t xml:space="preserve"> </w:t>
      </w:r>
      <w:r>
        <w:rPr>
          <w:rFonts w:cs="Arial"/>
          <w:rtl/>
        </w:rPr>
        <w:t xml:space="preserve">כתב הה"מ </w:t>
      </w:r>
      <w:r>
        <w:rPr>
          <w:rFonts w:cs="Arial"/>
          <w:sz w:val="16"/>
          <w:szCs w:val="16"/>
          <w:rtl/>
        </w:rPr>
        <w:t xml:space="preserve">(פ"ה ה"ג-ה) </w:t>
      </w:r>
      <w:r>
        <w:rPr>
          <w:rFonts w:cs="Arial"/>
          <w:rtl/>
        </w:rPr>
        <w:t xml:space="preserve">שדעת הרמב"ן </w:t>
      </w:r>
      <w:r>
        <w:rPr>
          <w:rFonts w:cs="Arial"/>
          <w:sz w:val="16"/>
          <w:szCs w:val="16"/>
          <w:rtl/>
        </w:rPr>
        <w:t xml:space="preserve">(עט. ד"ה והא דתנן) </w:t>
      </w:r>
      <w:r>
        <w:rPr>
          <w:rFonts w:cs="Arial"/>
          <w:rtl/>
        </w:rPr>
        <w:t>והרשב"א כדעת רש"י דהא דאמרינן לא שנו אלא דרך ירידה וכו' אסיפא דמתניתין קאי</w:t>
      </w:r>
      <w:r>
        <w:rPr>
          <w:rFonts w:cs="Arial"/>
          <w:sz w:val="16"/>
          <w:szCs w:val="16"/>
          <w:rtl/>
        </w:rPr>
        <w:t xml:space="preserve"> {שהוא בגג והיא בחצר}</w:t>
      </w:r>
      <w:r>
        <w:rPr>
          <w:rFonts w:cs="Arial"/>
          <w:rtl/>
        </w:rPr>
        <w:t xml:space="preserve">, ובה מפליג בין דרך עלייה לדרך ירידה. וכולם </w:t>
      </w:r>
      <w:r>
        <w:rPr>
          <w:rFonts w:cs="Arial"/>
          <w:sz w:val="16"/>
          <w:szCs w:val="16"/>
          <w:rtl/>
        </w:rPr>
        <w:t>{חוץ מהרמב"ם כדלקמן}</w:t>
      </w:r>
      <w:r>
        <w:rPr>
          <w:rFonts w:cs="Arial"/>
          <w:rtl/>
        </w:rPr>
        <w:t xml:space="preserve"> כתבו דאפילו ברישא דמתניתין </w:t>
      </w:r>
      <w:r>
        <w:rPr>
          <w:rFonts w:cs="Arial"/>
          <w:sz w:val="16"/>
          <w:szCs w:val="16"/>
          <w:rtl/>
        </w:rPr>
        <w:t>{שהוא בחצר והיא בגג}</w:t>
      </w:r>
      <w:r>
        <w:rPr>
          <w:rFonts w:cs="Arial"/>
          <w:rtl/>
        </w:rPr>
        <w:t xml:space="preserve"> אם נמחק או נשרף אחר שהגיע לאויר הגג - הרי זו מגורשת כל שלא קדמה דליקה לגט דומיא דסיפא. והא דקתני לה במתניתין אסיפא ולא ארישא, כתב הרמב"ן דאורחא דמילתא נקט, דבחצר שכיח אש ומים. וזה דעת הרמ"ך בהשגות (שם ה"ג) עכ"ל.</w:t>
      </w:r>
    </w:p>
  </w:footnote>
  <w:footnote w:id="1675">
    <w:p w14:paraId="515480EB" w14:textId="77777777" w:rsidR="00FA2119" w:rsidRDefault="00FA2119" w:rsidP="00FA2119">
      <w:pPr>
        <w:pStyle w:val="a5"/>
        <w:rPr>
          <w:rtl/>
        </w:rPr>
      </w:pPr>
      <w:r>
        <w:rPr>
          <w:rStyle w:val="a7"/>
        </w:rPr>
        <w:footnoteRef/>
      </w:r>
      <w:r>
        <w:rPr>
          <w:rtl/>
        </w:rPr>
        <w:t xml:space="preserve"> </w:t>
      </w:r>
      <w:r>
        <w:rPr>
          <w:rFonts w:cs="Arial"/>
          <w:rtl/>
        </w:rPr>
        <w:t xml:space="preserve">ותמה </w:t>
      </w:r>
      <w:r>
        <w:rPr>
          <w:rFonts w:cs="Arial"/>
          <w:b/>
          <w:bCs/>
          <w:rtl/>
        </w:rPr>
        <w:t>הרמב"ן</w:t>
      </w:r>
      <w:r>
        <w:rPr>
          <w:rFonts w:cs="Arial"/>
          <w:rtl/>
        </w:rPr>
        <w:t xml:space="preserve"> (שם) שזה אי אפשר, שאם כדבריו היכי תנן מגורשת? כיון שנשרף או נמחק אינה מגורשת. </w:t>
      </w:r>
      <w:r>
        <w:rPr>
          <w:rFonts w:cs="Arial"/>
          <w:b/>
          <w:bCs/>
          <w:rtl/>
        </w:rPr>
        <w:t>והר"ן</w:t>
      </w:r>
      <w:r>
        <w:rPr>
          <w:rFonts w:cs="Arial"/>
          <w:rtl/>
        </w:rPr>
        <w:t xml:space="preserve"> (מא. ד"ה תנן) כתב ליישב דברי הרמב"ם שהוא סובר דברישא דמתניתין דהיתה עומדת בראש הגג איכא דרך עלייה ודרך ירידה. דדרך עלייה היינו קודם שהגט מתחיל לירד. ודרך ירידה היינו משהגט מתחיל לירד. ומשום הכי לא תנא ברישא דמתניתין נמחק או נשרף הרי זו מגורשת, משום דאיכא גוונא דלא הויא מגורשת, דהיינו נמחק או נשרף דרך עלייה. אבל בסיפא דהוא למעלה והיא למטה מסתמא לעולם הוא דרך ירידה. וכי אוקימנא כגון שהיו מחיצות תחתונות עודפות, לאו משום דאית ביה דרך עלייה, אלא לפי שאי אפשר לצמצם (עח.) אוקימנא בעודפות. וכי אמרינן לא שנו אלא שנמחק דרך ירידה אבל דרך עלייה לא, הכי מפרש לה ז"ל- לא שנו דנמחק או נשרף מגורשת אלא דרך ירידה, כסיפא דמתניתין, אבל דרך עלייה אינה מגורשת. ומשום הכי לא תני ברישא נמחק או נשרף הרי זו מגורשת, משום דלאו מילתא פסיקתא היא, שאילו נמחק קודם שירד לנוח אינה מגורשת. ומיהו ודאי אם נמחק לאחר שהיה יורד לנוח מגורשת עכ"ל. </w:t>
      </w:r>
      <w:r>
        <w:rPr>
          <w:rFonts w:cs="Arial"/>
          <w:sz w:val="16"/>
          <w:szCs w:val="16"/>
          <w:rtl/>
        </w:rPr>
        <w:t>(וכתב הב"י דלפי זה מה שכתב הרמב"ם 'אבל אם נמחק או נשרף... אע"פ שנמחק לאחר שהגיע לאויר מחיצות או אחר שהגיע לפחות משלשה טפחים סמוך לגג... אינו גט' - כשהגיע לאויר מחיצות או לפחות משלשה טפחים סמוך לגג דרך עלייה הוא דאינו גט, וזהו שכתב הואיל ואינו הולך לנוח, כלומר לפי שהוא בדרך עלייה, אבל אם הגיע דרך ירידה לאויר מחיצות וכו' ונמחק או נשרף - הרי זו מגורשת. עכ"ל הב"י. ולכאורה לפי פירוש הר"ן יוצא שהרמב"ם והטור דעה אחת היא. אמנם הטור כתב שהרמב"ם חלוק עליו, כך שמוכח שהטור לא הבין כהר"ן את דברי הרמב"ם, אלא כדברי הה"מ. וגם הגר"א [סק"ח] כתב שאין נראה כפירוש הר"ן)</w:t>
      </w:r>
      <w:r>
        <w:rPr>
          <w:rFonts w:cs="Arial"/>
          <w:rtl/>
        </w:rPr>
        <w:t xml:space="preserve">. </w:t>
      </w:r>
      <w:r>
        <w:rPr>
          <w:rFonts w:cs="Arial"/>
          <w:b/>
          <w:bCs/>
          <w:rtl/>
        </w:rPr>
        <w:t>והה"מ</w:t>
      </w:r>
      <w:r>
        <w:rPr>
          <w:rFonts w:cs="Arial"/>
          <w:rtl/>
        </w:rPr>
        <w:t xml:space="preserve"> מיישב דברי הרמב"ם על פי דרך הר"ן דדרך ירידה היינו סופא דמתניתין. אבל בדרך עלייה מפרש דהיינו רישא דמתניתין דקתני הוא למטה והיא למעלה אינה מגורשת - בכל גוונא, בין נמחק בדרך עלייה בין נמחק בדרך ירידה. וטעמא משום דכיון שהבעל היה צריך להעלות הגט שלא כדרך תנועתו הטבעית - מעיקרא לאו למינח קאי. פירוש שלא היה כח הבעל דרך הנחתו שהוא בירידה </w:t>
      </w:r>
      <w:r>
        <w:rPr>
          <w:rFonts w:cs="Arial"/>
          <w:sz w:val="16"/>
          <w:szCs w:val="16"/>
          <w:rtl/>
        </w:rPr>
        <w:t>(וא"ת לדעת רבינו אחר שהוא מצריך שינוח הגט כשהוא מלמטה והיא מלמעלה למה אמרה המשנה כיון שהגיע לאויר הגג הרי זו מגורשת ומה הועיל לנו זה מאימתי היא מתגרשת כיון שהוא תלוי בהנחה דלבסוף. י"ל דנפקא מינה אם קדשה אחר משהגיע לאויר הגג וקודם שינוח אי נמי אם מת הבעל בינתים או אם ביטלו בינתים כך נראה לי לפי דעתו, ויתר הדברים שכתב כולן מבוארים הם במ"ש)</w:t>
      </w:r>
      <w:r>
        <w:rPr>
          <w:rFonts w:cs="Arial"/>
          <w:rtl/>
        </w:rPr>
        <w:t xml:space="preserve">. עכ"ל. והרי"ף לא כתב משנה זו ולא מאי דאיתמר עלה מפני שהם דברים שאינם מצויים, </w:t>
      </w:r>
      <w:r>
        <w:rPr>
          <w:rFonts w:cs="Arial"/>
          <w:b/>
          <w:bCs/>
          <w:rtl/>
        </w:rPr>
        <w:t>ב"י</w:t>
      </w:r>
      <w:r>
        <w:rPr>
          <w:rFonts w:cs="Arial"/>
          <w:rtl/>
        </w:rPr>
        <w:t>.</w:t>
      </w:r>
    </w:p>
  </w:footnote>
  <w:footnote w:id="1676">
    <w:p w14:paraId="31E28E37" w14:textId="77777777" w:rsidR="00FA2119" w:rsidRDefault="00FA2119" w:rsidP="00FA2119">
      <w:pPr>
        <w:pStyle w:val="a5"/>
        <w:rPr>
          <w:rtl/>
        </w:rPr>
      </w:pPr>
      <w:r>
        <w:rPr>
          <w:rStyle w:val="a7"/>
        </w:rPr>
        <w:footnoteRef/>
      </w:r>
      <w:r>
        <w:rPr>
          <w:rtl/>
        </w:rPr>
        <w:t xml:space="preserve"> </w:t>
      </w:r>
      <w:r>
        <w:rPr>
          <w:rFonts w:cs="Arial"/>
          <w:rtl/>
        </w:rPr>
        <w:t>חלוקות מדין שאר איסורין, רש"י.</w:t>
      </w:r>
    </w:p>
  </w:footnote>
  <w:footnote w:id="1677">
    <w:p w14:paraId="5B769B76" w14:textId="77777777" w:rsidR="00FA2119" w:rsidRDefault="00FA2119" w:rsidP="00FA2119">
      <w:pPr>
        <w:pStyle w:val="a5"/>
      </w:pPr>
      <w:r>
        <w:rPr>
          <w:rStyle w:val="a7"/>
        </w:rPr>
        <w:footnoteRef/>
      </w:r>
      <w:r>
        <w:rPr>
          <w:rtl/>
        </w:rPr>
        <w:t xml:space="preserve"> </w:t>
      </w:r>
      <w:r>
        <w:rPr>
          <w:rFonts w:cs="Arial"/>
          <w:rtl/>
        </w:rPr>
        <w:t>בחצר גבוה ממחיצת החצר</w:t>
      </w:r>
      <w:r>
        <w:rPr>
          <w:rtl/>
        </w:rPr>
        <w:t>, רש"י.</w:t>
      </w:r>
    </w:p>
  </w:footnote>
  <w:footnote w:id="1678">
    <w:p w14:paraId="7036E2A5" w14:textId="77777777" w:rsidR="00FA2119" w:rsidRDefault="00FA2119" w:rsidP="00FA2119">
      <w:pPr>
        <w:pStyle w:val="a5"/>
        <w:rPr>
          <w:rtl/>
        </w:rPr>
      </w:pPr>
      <w:r>
        <w:rPr>
          <w:rStyle w:val="a7"/>
        </w:rPr>
        <w:footnoteRef/>
      </w:r>
      <w:r>
        <w:rPr>
          <w:rtl/>
        </w:rPr>
        <w:t xml:space="preserve"> </w:t>
      </w:r>
      <w:r>
        <w:rPr>
          <w:rFonts w:cs="Arial"/>
          <w:rtl/>
        </w:rPr>
        <w:t>מרה"ר, רש"י.</w:t>
      </w:r>
    </w:p>
  </w:footnote>
  <w:footnote w:id="1679">
    <w:p w14:paraId="04A1B98C" w14:textId="77777777" w:rsidR="00FA2119" w:rsidRDefault="00FA2119" w:rsidP="00FA2119">
      <w:pPr>
        <w:pStyle w:val="a5"/>
      </w:pPr>
      <w:r>
        <w:rPr>
          <w:rStyle w:val="a7"/>
        </w:rPr>
        <w:footnoteRef/>
      </w:r>
      <w:r>
        <w:rPr>
          <w:rtl/>
        </w:rPr>
        <w:t xml:space="preserve"> </w:t>
      </w:r>
      <w:r>
        <w:rPr>
          <w:rFonts w:cs="Arial"/>
          <w:rtl/>
        </w:rPr>
        <w:t>אם היה חצר של אשה וקנה נעוץ גבוה מן המחיצות אינה מגורשת שאין סופו לנוח לארץ דרמי ליה זיקא חוץ למחיצות וטעמא דגיטא משום חצר המשתמרת הוא דומיא דידה והא לא מינטר, רש"י.</w:t>
      </w:r>
    </w:p>
  </w:footnote>
  <w:footnote w:id="1680">
    <w:p w14:paraId="4B57EF06" w14:textId="77777777" w:rsidR="00FA2119" w:rsidRDefault="00FA2119" w:rsidP="00FA2119">
      <w:pPr>
        <w:pStyle w:val="a5"/>
      </w:pPr>
      <w:r>
        <w:rPr>
          <w:rStyle w:val="a7"/>
        </w:rPr>
        <w:footnoteRef/>
      </w:r>
      <w:r>
        <w:rPr>
          <w:rtl/>
        </w:rPr>
        <w:t xml:space="preserve"> </w:t>
      </w:r>
      <w:r>
        <w:rPr>
          <w:rFonts w:cs="Arial"/>
          <w:rtl/>
        </w:rPr>
        <w:t>רגילה להשתמר הלכך משועבדות הן</w:t>
      </w:r>
      <w:r>
        <w:rPr>
          <w:rFonts w:cs="Arial"/>
          <w:sz w:val="16"/>
          <w:szCs w:val="16"/>
          <w:rtl/>
        </w:rPr>
        <w:t xml:space="preserve"> {המחיצות החיצוניות}</w:t>
      </w:r>
      <w:r>
        <w:rPr>
          <w:rFonts w:cs="Arial"/>
          <w:rtl/>
        </w:rPr>
        <w:t xml:space="preserve"> לה </w:t>
      </w:r>
      <w:r>
        <w:rPr>
          <w:rFonts w:cs="Arial"/>
          <w:sz w:val="16"/>
          <w:szCs w:val="16"/>
          <w:rtl/>
        </w:rPr>
        <w:t xml:space="preserve">{לאשה} </w:t>
      </w:r>
      <w:r>
        <w:rPr>
          <w:rFonts w:cs="Arial"/>
          <w:rtl/>
        </w:rPr>
        <w:t>וקנו לה</w:t>
      </w:r>
      <w:r>
        <w:rPr>
          <w:rtl/>
        </w:rPr>
        <w:t>, רש"י.</w:t>
      </w:r>
    </w:p>
  </w:footnote>
  <w:footnote w:id="1681">
    <w:p w14:paraId="077997BE" w14:textId="77777777" w:rsidR="00FA2119" w:rsidRDefault="00FA2119" w:rsidP="00FA2119">
      <w:pPr>
        <w:pStyle w:val="a5"/>
        <w:rPr>
          <w:rtl/>
        </w:rPr>
      </w:pPr>
      <w:r>
        <w:rPr>
          <w:rStyle w:val="a7"/>
        </w:rPr>
        <w:footnoteRef/>
      </w:r>
      <w:r>
        <w:rPr>
          <w:rtl/>
        </w:rPr>
        <w:t xml:space="preserve"> </w:t>
      </w:r>
      <w:r>
        <w:rPr>
          <w:rFonts w:cs="Arial"/>
          <w:rtl/>
        </w:rPr>
        <w:t xml:space="preserve">ואין מחיצות כלי עשוין לאוירן לשמור דאין כלי עשוי אלא להניח בתוכו, </w:t>
      </w:r>
      <w:r>
        <w:rPr>
          <w:rFonts w:cs="Arial"/>
          <w:b/>
          <w:bCs/>
          <w:rtl/>
        </w:rPr>
        <w:t>רש"י</w:t>
      </w:r>
      <w:r>
        <w:rPr>
          <w:rFonts w:cs="Arial"/>
          <w:rtl/>
        </w:rPr>
        <w:t>.</w:t>
      </w:r>
      <w:r>
        <w:rPr>
          <w:rFonts w:cs="Arial"/>
          <w:sz w:val="22"/>
          <w:szCs w:val="22"/>
          <w:rtl/>
        </w:rPr>
        <w:t xml:space="preserve"> </w:t>
      </w:r>
      <w:r>
        <w:rPr>
          <w:rtl/>
        </w:rPr>
        <w:t xml:space="preserve">וכתבו </w:t>
      </w:r>
      <w:r>
        <w:rPr>
          <w:b/>
          <w:bCs/>
          <w:rtl/>
        </w:rPr>
        <w:t>התוספות</w:t>
      </w:r>
      <w:r>
        <w:rPr>
          <w:rtl/>
        </w:rPr>
        <w:t xml:space="preserve"> (ד"ה דהא) נראה מפירוש רש"י דאויר כלי אינו קונה, ואין נראה, דבפרק בתרא דע"ז (עא:) משמע דאויר קונה. אלא נראה דהכי פירושו דהא לא נח באויר כלי אבל גבי חצרות אע"ג דלא נח תוך מחיצות הפנימיות כיון שהוא תוך מחיצות החיצונות מגורשת כיון דמחיצות החיצונות הם קבועות. וגרסינן גבי חצרות 'כיון שהגיע לאויר מחיצות הפנימית', פירוש כנגד הפנימית למעלה ממחיצותיה ותוך מחיצות חיצונה. וגבי קופות גרסינן 'אפילו הגיע לאויר פנימית', פירוש ולמעלה ממחיצותיה, דאי הוו בתוך חלל קופה הפנימית הויא מגורשת כדפרישית. ואית ספרים דגרסי גבי חצרות 'כיון שהגיע לאויר מחיצות חיצונה', ולפי גירסא זו כיון דגבי קופות נקט פנימית הוי משמע אפילו מונח בחלל פנימית אינה מגורשת עד שינוח בשוליו כדפירש רש"י. ולא יתכן, דאויר כלי קונה כדפרישית עכ"ל. והרשב"א (ד"ה כיון) והר"ן (מא. סוד"ה גרסינן תו) כתבו כדברי התוספות, וכך הם דברי רבינו. אבל </w:t>
      </w:r>
      <w:r>
        <w:rPr>
          <w:b/>
          <w:bCs/>
          <w:rtl/>
        </w:rPr>
        <w:t xml:space="preserve">הרמב"ם </w:t>
      </w:r>
      <w:r>
        <w:rPr>
          <w:rtl/>
        </w:rPr>
        <w:t xml:space="preserve">נראה שמפרש כרש"י דלישנא דנח הוי דוקא, הא לא נח ממש אע"פ שהגיע לאויר הפנימית אינה מגורשת, </w:t>
      </w:r>
      <w:r>
        <w:rPr>
          <w:b/>
          <w:bCs/>
          <w:rtl/>
        </w:rPr>
        <w:t>ב"י</w:t>
      </w:r>
      <w:r>
        <w:rPr>
          <w:rtl/>
        </w:rPr>
        <w:t>.</w:t>
      </w:r>
    </w:p>
  </w:footnote>
  <w:footnote w:id="1682">
    <w:p w14:paraId="5EBF1057" w14:textId="77777777" w:rsidR="00FA2119" w:rsidRDefault="00FA2119" w:rsidP="00FA2119">
      <w:pPr>
        <w:pStyle w:val="a5"/>
      </w:pPr>
      <w:r>
        <w:rPr>
          <w:rStyle w:val="a7"/>
        </w:rPr>
        <w:footnoteRef/>
      </w:r>
      <w:r>
        <w:rPr>
          <w:rtl/>
        </w:rPr>
        <w:t xml:space="preserve"> </w:t>
      </w:r>
      <w:r>
        <w:rPr>
          <w:rFonts w:hint="cs"/>
          <w:rtl/>
        </w:rPr>
        <w:t>מחלוקת היא בבבא בתרא (פה:) כש</w:t>
      </w:r>
      <w:r>
        <w:rPr>
          <w:rFonts w:cs="Arial"/>
          <w:rtl/>
        </w:rPr>
        <w:t xml:space="preserve">כליו של לוקח נמצאים ברשותו של המוכר </w:t>
      </w:r>
      <w:r>
        <w:rPr>
          <w:rFonts w:cs="Arial"/>
          <w:sz w:val="16"/>
          <w:szCs w:val="16"/>
          <w:rtl/>
        </w:rPr>
        <w:t>(כגון שפסק ונתן לתוך מדה של לוקח, או מדד במדה שלו ושפכן לכליו של לוקח, והבית של מוכר הוא)</w:t>
      </w:r>
      <w:r>
        <w:rPr>
          <w:rtl/>
        </w:rPr>
        <w:t xml:space="preserve"> אם </w:t>
      </w:r>
      <w:r>
        <w:rPr>
          <w:rFonts w:cs="Arial"/>
          <w:rtl/>
        </w:rPr>
        <w:t>קנה לוקח</w:t>
      </w:r>
      <w:r>
        <w:rPr>
          <w:rFonts w:cs="Arial"/>
          <w:sz w:val="16"/>
          <w:szCs w:val="16"/>
          <w:rtl/>
        </w:rPr>
        <w:t xml:space="preserve"> (דהוי כאילו נתן לתוך רשותו של לוקח)</w:t>
      </w:r>
      <w:r>
        <w:rPr>
          <w:sz w:val="16"/>
          <w:szCs w:val="16"/>
          <w:rtl/>
        </w:rPr>
        <w:t xml:space="preserve"> </w:t>
      </w:r>
      <w:r>
        <w:rPr>
          <w:rFonts w:cs="Arial"/>
          <w:rtl/>
        </w:rPr>
        <w:t xml:space="preserve">או לא קנה </w:t>
      </w:r>
      <w:r>
        <w:rPr>
          <w:rFonts w:cs="Arial"/>
          <w:sz w:val="16"/>
          <w:szCs w:val="16"/>
          <w:rtl/>
        </w:rPr>
        <w:t>(דרשות עיקר והכלי בטל לגבי הרשות)</w:t>
      </w:r>
      <w:r>
        <w:rPr>
          <w:rFonts w:cs="Arial"/>
          <w:rtl/>
        </w:rPr>
        <w:t>.</w:t>
      </w:r>
    </w:p>
  </w:footnote>
  <w:footnote w:id="1683">
    <w:p w14:paraId="62E2BBE9" w14:textId="77777777" w:rsidR="00FA2119" w:rsidRDefault="00FA2119" w:rsidP="00FA2119">
      <w:pPr>
        <w:pStyle w:val="a5"/>
      </w:pPr>
      <w:r>
        <w:rPr>
          <w:rStyle w:val="a7"/>
        </w:rPr>
        <w:footnoteRef/>
      </w:r>
      <w:r>
        <w:rPr>
          <w:rtl/>
        </w:rPr>
        <w:t xml:space="preserve"> </w:t>
      </w:r>
      <w:r>
        <w:rPr>
          <w:rFonts w:cs="Arial"/>
          <w:rtl/>
        </w:rPr>
        <w:t>פונ"ץ דפנימית מונחת ע"ג קרקע, רש"י.</w:t>
      </w:r>
    </w:p>
  </w:footnote>
  <w:footnote w:id="1684">
    <w:p w14:paraId="2F4FBF79" w14:textId="77777777" w:rsidR="00FA2119" w:rsidRDefault="00FA2119" w:rsidP="00FA2119">
      <w:pPr>
        <w:pStyle w:val="a5"/>
      </w:pPr>
      <w:r>
        <w:rPr>
          <w:rStyle w:val="a7"/>
        </w:rPr>
        <w:footnoteRef/>
      </w:r>
      <w:r>
        <w:rPr>
          <w:rtl/>
        </w:rPr>
        <w:t xml:space="preserve"> </w:t>
      </w:r>
      <w:r>
        <w:rPr>
          <w:rFonts w:cs="Arial"/>
          <w:rtl/>
        </w:rPr>
        <w:t>וכבר ביאר הרב המגיד שיטת הרמב"ם עיין עליו, כי לא רציתי להאריך לפי שהוא דבר בלתי מצוי</w:t>
      </w:r>
      <w:r>
        <w:rPr>
          <w:rtl/>
        </w:rPr>
        <w:t>, ב"י.</w:t>
      </w:r>
    </w:p>
  </w:footnote>
  <w:footnote w:id="1685">
    <w:p w14:paraId="21715907" w14:textId="68622547" w:rsidR="00FA2119" w:rsidRDefault="00FA2119" w:rsidP="00FA2119">
      <w:pPr>
        <w:pStyle w:val="a5"/>
        <w:rPr>
          <w:rtl/>
        </w:rPr>
      </w:pPr>
      <w:r>
        <w:rPr>
          <w:rStyle w:val="a7"/>
        </w:rPr>
        <w:footnoteRef/>
      </w:r>
      <w:r>
        <w:rPr>
          <w:rtl/>
        </w:rPr>
        <w:t xml:space="preserve"> </w:t>
      </w:r>
      <w:r>
        <w:rPr>
          <w:rFonts w:cs="Arial"/>
          <w:rtl/>
        </w:rPr>
        <w:t xml:space="preserve">המחבר מעתיק לשון הרמב"ם בסתם, והוא ס"ל </w:t>
      </w:r>
      <w:r>
        <w:rPr>
          <w:rFonts w:cs="Arial"/>
          <w:sz w:val="16"/>
          <w:szCs w:val="16"/>
          <w:rtl/>
        </w:rPr>
        <w:t xml:space="preserve">(הל' מכירה פ"ד ה"א-ב) </w:t>
      </w:r>
      <w:r>
        <w:rPr>
          <w:rFonts w:cs="Arial"/>
          <w:rtl/>
        </w:rPr>
        <w:t xml:space="preserve">כלי של לוקח ברשות המוכר אפשטא הבעיי' דאינו קונה, כמ"ש בחו"מ </w:t>
      </w:r>
      <w:r>
        <w:rPr>
          <w:rFonts w:cs="Arial"/>
          <w:sz w:val="16"/>
          <w:szCs w:val="16"/>
          <w:rtl/>
        </w:rPr>
        <w:t>(סי' ר סע' ג וסע' ה)</w:t>
      </w:r>
      <w:r>
        <w:rPr>
          <w:rFonts w:cs="Arial"/>
          <w:rtl/>
        </w:rPr>
        <w:t xml:space="preserve">, וכאן נמי אינ' מגורשת ואין כאן ספק מגורשת כמ"ש בסמוך בכל מקום שכתב אינה מגורשת ליכא ספק גט. מיהו להמחבר א"א לומר כן, דהא כתב בסעיף י' אם אין גבוה י' טפחים הוי ספק גט משום כלי של לוקח ברשות מוכר, כמ"ש בב"י. א"כ מ"ש כאן אינה מגורשת צ"ל אינה מגורשת בוודאי אלא ספק..., </w:t>
      </w:r>
      <w:r>
        <w:rPr>
          <w:rFonts w:cs="Arial"/>
          <w:b/>
          <w:bCs/>
          <w:rtl/>
        </w:rPr>
        <w:t>ב"ש</w:t>
      </w:r>
      <w:r>
        <w:rPr>
          <w:rFonts w:cs="Arial"/>
          <w:rtl/>
        </w:rPr>
        <w:t xml:space="preserve"> (סקי"ד).</w:t>
      </w:r>
      <w:r>
        <w:rPr>
          <w:rtl/>
        </w:rPr>
        <w:t xml:space="preserve"> </w:t>
      </w:r>
      <w:r>
        <w:rPr>
          <w:sz w:val="16"/>
          <w:szCs w:val="16"/>
          <w:rtl/>
        </w:rPr>
        <w:t>(וזה שהשו"ע העתיק כאן את לשון הרמב"ם - אין זו הוכחה שפוסק כמותו לגמרי בגיטין (דלא הוי גט כיון שלוקח לא קנה ברשות מוכר. אע"ג שכן פסק כמותו גבי מקח וממכר), וכן דרכו של השו"ע בכמה מקומות להעתיק את לשון הראשון שממנו לקח את הדין ולא לשנות את לשונו אע"פ שיצא מזה סתירה לכאורה בדבריו. ואכן צריך לומר שכאן הויא ספק מגורשת, וכן בסע' הבא לגבי מיטה שפחותה מ-י' טפחים - הוי ספק מגורשת בגלל הספק אם כליו של לוקח ברשות מוכר, וכמו שכתב שם בב"י)</w:t>
      </w:r>
      <w:r>
        <w:rPr>
          <w:rtl/>
        </w:rPr>
        <w:t xml:space="preserve">. וכ"כ </w:t>
      </w:r>
      <w:r>
        <w:rPr>
          <w:b/>
          <w:bCs/>
          <w:rtl/>
        </w:rPr>
        <w:t xml:space="preserve">ערוה"ש </w:t>
      </w:r>
      <w:r>
        <w:rPr>
          <w:rtl/>
        </w:rPr>
        <w:t>(סע' ל), וכתב שהשו"ע לא חשש לשנות כאן את לשון הרמב"ם משום שהוא דבר לא מצוי.</w:t>
      </w:r>
    </w:p>
  </w:footnote>
  <w:footnote w:id="1686">
    <w:p w14:paraId="147133BE" w14:textId="77777777" w:rsidR="00FA2119" w:rsidRDefault="00FA2119" w:rsidP="00FA2119">
      <w:pPr>
        <w:pStyle w:val="a5"/>
        <w:rPr>
          <w:rtl/>
        </w:rPr>
      </w:pPr>
      <w:r>
        <w:rPr>
          <w:rStyle w:val="a7"/>
        </w:rPr>
        <w:footnoteRef/>
      </w:r>
      <w:r>
        <w:rPr>
          <w:rtl/>
        </w:rPr>
        <w:t xml:space="preserve"> </w:t>
      </w:r>
      <w:r>
        <w:rPr>
          <w:rFonts w:cs="Arial"/>
          <w:rtl/>
        </w:rPr>
        <w:t>פירוש אפילו הגט עמה במטה אינה מגורשת וקלתה סל שהנשים נותנות בו מחטים וצינורות, ב"י.</w:t>
      </w:r>
    </w:p>
  </w:footnote>
  <w:footnote w:id="1687">
    <w:p w14:paraId="55DABD77" w14:textId="77777777" w:rsidR="00FA2119" w:rsidRDefault="00FA2119" w:rsidP="00FA2119">
      <w:pPr>
        <w:pStyle w:val="a5"/>
      </w:pPr>
      <w:r>
        <w:rPr>
          <w:rStyle w:val="a7"/>
        </w:rPr>
        <w:footnoteRef/>
      </w:r>
      <w:r>
        <w:rPr>
          <w:rtl/>
        </w:rPr>
        <w:t xml:space="preserve"> </w:t>
      </w:r>
      <w:r>
        <w:rPr>
          <w:rFonts w:hint="cs"/>
          <w:rtl/>
        </w:rPr>
        <w:t>מחלוקת היא בבבא בתרא (פה:) כש</w:t>
      </w:r>
      <w:r>
        <w:rPr>
          <w:rFonts w:cs="Arial"/>
          <w:rtl/>
        </w:rPr>
        <w:t xml:space="preserve">כליו של לוקח נמצאים ברשותו של המוכר </w:t>
      </w:r>
      <w:r>
        <w:rPr>
          <w:rFonts w:cs="Arial"/>
          <w:sz w:val="16"/>
          <w:szCs w:val="16"/>
          <w:rtl/>
        </w:rPr>
        <w:t>(כגון שפסק ונתן לתוך מדה של לוקח, או מדד במדה שלו ושפכן לכליו של לוקח, והבית של מוכר הוא)</w:t>
      </w:r>
      <w:r>
        <w:rPr>
          <w:rtl/>
        </w:rPr>
        <w:t xml:space="preserve"> אם </w:t>
      </w:r>
      <w:r>
        <w:rPr>
          <w:rFonts w:cs="Arial"/>
          <w:rtl/>
        </w:rPr>
        <w:t>קנה לוקח</w:t>
      </w:r>
      <w:r>
        <w:rPr>
          <w:rFonts w:cs="Arial"/>
          <w:sz w:val="16"/>
          <w:szCs w:val="16"/>
          <w:rtl/>
        </w:rPr>
        <w:t xml:space="preserve"> (דהוי כאילו נתן לתוך רשותו של לוקח)</w:t>
      </w:r>
      <w:r>
        <w:rPr>
          <w:sz w:val="16"/>
          <w:szCs w:val="16"/>
          <w:rtl/>
        </w:rPr>
        <w:t xml:space="preserve"> </w:t>
      </w:r>
      <w:r>
        <w:rPr>
          <w:rFonts w:cs="Arial"/>
          <w:rtl/>
        </w:rPr>
        <w:t xml:space="preserve">או לא קנה </w:t>
      </w:r>
      <w:r>
        <w:rPr>
          <w:rFonts w:cs="Arial"/>
          <w:sz w:val="16"/>
          <w:szCs w:val="16"/>
          <w:rtl/>
        </w:rPr>
        <w:t>(דרשות עיקר והכלי בטל לגבי הרשות)</w:t>
      </w:r>
      <w:r>
        <w:rPr>
          <w:rFonts w:cs="Arial"/>
          <w:rtl/>
        </w:rPr>
        <w:t>.</w:t>
      </w:r>
    </w:p>
  </w:footnote>
  <w:footnote w:id="1688">
    <w:p w14:paraId="43A355F9" w14:textId="77777777" w:rsidR="00FA2119" w:rsidRDefault="00FA2119" w:rsidP="00FA2119">
      <w:pPr>
        <w:pStyle w:val="a5"/>
      </w:pPr>
      <w:r>
        <w:rPr>
          <w:rStyle w:val="a7"/>
        </w:rPr>
        <w:footnoteRef/>
      </w:r>
      <w:r>
        <w:rPr>
          <w:rtl/>
        </w:rPr>
        <w:t xml:space="preserve"> </w:t>
      </w:r>
      <w:r>
        <w:rPr>
          <w:rFonts w:cs="Arial"/>
          <w:rtl/>
        </w:rPr>
        <w:t>דהוי רשותא לנפשיה ולא חשיב ההוא אוירא רשות מוכר לבטל את רשות הכלי, רש"י.</w:t>
      </w:r>
    </w:p>
  </w:footnote>
  <w:footnote w:id="1689">
    <w:p w14:paraId="6C25FFD4" w14:textId="77777777" w:rsidR="00FA2119" w:rsidRDefault="00FA2119" w:rsidP="00FA2119">
      <w:pPr>
        <w:pStyle w:val="a5"/>
      </w:pPr>
      <w:r>
        <w:rPr>
          <w:rStyle w:val="a7"/>
        </w:rPr>
        <w:footnoteRef/>
      </w:r>
      <w:r>
        <w:rPr>
          <w:rtl/>
        </w:rPr>
        <w:t xml:space="preserve"> </w:t>
      </w:r>
      <w:r>
        <w:rPr>
          <w:rFonts w:cs="Arial"/>
          <w:rtl/>
        </w:rPr>
        <w:t>הואיל וגבוה מן הארץ עשרה שנוחה להשתמש תחתיה</w:t>
      </w:r>
      <w:r>
        <w:rPr>
          <w:rtl/>
        </w:rPr>
        <w:t xml:space="preserve">, רש"י. והתוס' (ד"ה אמקום) כתבו: </w:t>
      </w:r>
      <w:r>
        <w:rPr>
          <w:rFonts w:cs="Arial"/>
          <w:rtl/>
        </w:rPr>
        <w:t>אמקום כרעי לא קפדי אינשי - לכל הפחות באשתו וכן באויר המטה.</w:t>
      </w:r>
    </w:p>
  </w:footnote>
  <w:footnote w:id="1690">
    <w:p w14:paraId="08D46812" w14:textId="77777777" w:rsidR="00FA2119" w:rsidRDefault="00FA2119" w:rsidP="00FA2119">
      <w:pPr>
        <w:pStyle w:val="a5"/>
        <w:rPr>
          <w:rtl/>
        </w:rPr>
      </w:pPr>
      <w:r>
        <w:rPr>
          <w:rStyle w:val="a7"/>
        </w:rPr>
        <w:footnoteRef/>
      </w:r>
      <w:r>
        <w:rPr>
          <w:rtl/>
        </w:rPr>
        <w:t xml:space="preserve"> </w:t>
      </w:r>
      <w:r>
        <w:rPr>
          <w:rFonts w:hint="cs"/>
          <w:rtl/>
        </w:rPr>
        <w:t xml:space="preserve">היינו ספק מגורשת, וכמו שכתב הטור בסע' הקודם </w:t>
      </w:r>
      <w:r>
        <w:rPr>
          <w:sz w:val="16"/>
          <w:szCs w:val="16"/>
          <w:rtl/>
        </w:rPr>
        <w:t>(גבי קלתה בתוך קלתו ויש לשתיהם שוליים)</w:t>
      </w:r>
      <w:r>
        <w:rPr>
          <w:rtl/>
        </w:rPr>
        <w:t>. וכמו שכתב הב"ש (סקי"ד).</w:t>
      </w:r>
    </w:p>
  </w:footnote>
  <w:footnote w:id="1691">
    <w:p w14:paraId="57A93E59" w14:textId="77777777" w:rsidR="00FA2119" w:rsidRDefault="00FA2119" w:rsidP="00FA2119">
      <w:pPr>
        <w:pStyle w:val="a5"/>
        <w:rPr>
          <w:rtl/>
        </w:rPr>
      </w:pPr>
      <w:r>
        <w:rPr>
          <w:rStyle w:val="a7"/>
        </w:rPr>
        <w:footnoteRef/>
      </w:r>
      <w:r>
        <w:rPr>
          <w:rtl/>
        </w:rPr>
        <w:t xml:space="preserve"> </w:t>
      </w:r>
      <w:r>
        <w:rPr>
          <w:rFonts w:cs="Arial"/>
          <w:rtl/>
        </w:rPr>
        <w:t>משמע אדם אחר מקפיד ולוקח אינו קונה אם מטה שלו עומד ברשות המוכר אפי' אם גבוה י"ט כמ"ש בתוס' אכרעי מטה אין אדם מקפיד לכל הפחות באשתו וכן באויר מטה. וכ"כ הרשב"א...</w:t>
      </w:r>
      <w:r>
        <w:rPr>
          <w:rtl/>
        </w:rPr>
        <w:t>, ב"ש (סקט"ו).</w:t>
      </w:r>
    </w:p>
  </w:footnote>
  <w:footnote w:id="1692">
    <w:p w14:paraId="12C9C4EF" w14:textId="77777777" w:rsidR="00FA2119" w:rsidRDefault="00FA2119" w:rsidP="00FA2119">
      <w:pPr>
        <w:pStyle w:val="a5"/>
        <w:rPr>
          <w:rtl/>
        </w:rPr>
      </w:pPr>
      <w:r>
        <w:rPr>
          <w:rStyle w:val="a7"/>
        </w:rPr>
        <w:footnoteRef/>
      </w:r>
      <w:r>
        <w:rPr>
          <w:rtl/>
        </w:rPr>
        <w:t xml:space="preserve"> </w:t>
      </w:r>
      <w:r>
        <w:rPr>
          <w:rFonts w:cs="Arial"/>
          <w:rtl/>
        </w:rPr>
        <w:t>כבר כתבתי הספק הוא משום כלי של לוקח ברשות מוכר ס"ל כמה פוסקים דלא אפשטא הבעייא, ולא כרמב"ם (הל' מכירה פ"ד ה"א-ב) דס"ל אפשטא אבעייא</w:t>
      </w:r>
      <w:r>
        <w:rPr>
          <w:rFonts w:cs="Arial"/>
          <w:sz w:val="16"/>
          <w:szCs w:val="16"/>
          <w:rtl/>
        </w:rPr>
        <w:t xml:space="preserve"> {דלוקח לא קונה}</w:t>
      </w:r>
      <w:r>
        <w:rPr>
          <w:rFonts w:cs="Arial"/>
          <w:rtl/>
        </w:rPr>
        <w:t>, ב"ש (סקט"ז).</w:t>
      </w:r>
    </w:p>
  </w:footnote>
  <w:footnote w:id="1693">
    <w:p w14:paraId="6194CE2D" w14:textId="77777777" w:rsidR="00FA2119" w:rsidRDefault="00FA2119" w:rsidP="00FA2119">
      <w:pPr>
        <w:pStyle w:val="a5"/>
      </w:pPr>
      <w:r>
        <w:rPr>
          <w:rStyle w:val="a7"/>
        </w:rPr>
        <w:footnoteRef/>
      </w:r>
      <w:r>
        <w:rPr>
          <w:rtl/>
        </w:rPr>
        <w:t xml:space="preserve"> </w:t>
      </w:r>
      <w:r>
        <w:rPr>
          <w:rFonts w:cs="Arial"/>
          <w:rtl/>
        </w:rPr>
        <w:t>על גבי חתיכת עץ, רש"י.</w:t>
      </w:r>
    </w:p>
  </w:footnote>
  <w:footnote w:id="1694">
    <w:p w14:paraId="24B68DE2" w14:textId="77777777" w:rsidR="00FA2119" w:rsidRDefault="00FA2119" w:rsidP="00FA2119">
      <w:pPr>
        <w:pStyle w:val="a5"/>
      </w:pPr>
      <w:r>
        <w:rPr>
          <w:rStyle w:val="a7"/>
        </w:rPr>
        <w:footnoteRef/>
      </w:r>
      <w:r>
        <w:rPr>
          <w:rtl/>
        </w:rPr>
        <w:t xml:space="preserve"> </w:t>
      </w:r>
      <w:r>
        <w:rPr>
          <w:rFonts w:cs="Arial"/>
          <w:rtl/>
        </w:rPr>
        <w:t>ואינו בטל לגבי חצר ואינה מגורשת ולקמיה פריך היכי דמי, רש"י.</w:t>
      </w:r>
    </w:p>
  </w:footnote>
  <w:footnote w:id="1695">
    <w:p w14:paraId="0A6DE268" w14:textId="77777777" w:rsidR="00FA2119" w:rsidRDefault="00FA2119" w:rsidP="00FA2119">
      <w:pPr>
        <w:pStyle w:val="a5"/>
      </w:pPr>
      <w:r>
        <w:rPr>
          <w:rStyle w:val="a7"/>
        </w:rPr>
        <w:footnoteRef/>
      </w:r>
      <w:r>
        <w:rPr>
          <w:rtl/>
        </w:rPr>
        <w:t xml:space="preserve"> </w:t>
      </w:r>
      <w:r>
        <w:rPr>
          <w:rFonts w:cs="Arial"/>
          <w:rtl/>
        </w:rPr>
        <w:t>הרי שניהם שלה, רש"י.</w:t>
      </w:r>
    </w:p>
  </w:footnote>
  <w:footnote w:id="1696">
    <w:p w14:paraId="34937850" w14:textId="77777777" w:rsidR="00FA2119" w:rsidRDefault="00FA2119" w:rsidP="00FA2119">
      <w:pPr>
        <w:pStyle w:val="a5"/>
      </w:pPr>
      <w:r>
        <w:rPr>
          <w:rStyle w:val="a7"/>
        </w:rPr>
        <w:footnoteRef/>
      </w:r>
      <w:r>
        <w:rPr>
          <w:rtl/>
        </w:rPr>
        <w:t xml:space="preserve"> </w:t>
      </w:r>
      <w:r>
        <w:rPr>
          <w:rFonts w:cs="Arial"/>
          <w:rtl/>
        </w:rPr>
        <w:t>בחצרו לקנות בו גט.</w:t>
      </w:r>
      <w:r>
        <w:rPr>
          <w:rtl/>
        </w:rPr>
        <w:t xml:space="preserve"> </w:t>
      </w:r>
      <w:r>
        <w:rPr>
          <w:rFonts w:cs="Arial"/>
          <w:rtl/>
        </w:rPr>
        <w:t>דאושלה - השאילה, רש"י.</w:t>
      </w:r>
    </w:p>
  </w:footnote>
  <w:footnote w:id="1697">
    <w:p w14:paraId="187B6850" w14:textId="379B3340" w:rsidR="00FA2119" w:rsidRDefault="00FA2119" w:rsidP="00FA2119">
      <w:pPr>
        <w:pStyle w:val="a5"/>
      </w:pPr>
      <w:r>
        <w:rPr>
          <w:rStyle w:val="a7"/>
        </w:rPr>
        <w:footnoteRef/>
      </w:r>
      <w:r>
        <w:rPr>
          <w:rtl/>
        </w:rPr>
        <w:t xml:space="preserve"> </w:t>
      </w:r>
      <w:r>
        <w:rPr>
          <w:rFonts w:hint="cs"/>
          <w:rtl/>
        </w:rPr>
        <w:t xml:space="preserve">ואם אינו ד' אמות </w:t>
      </w:r>
      <w:r w:rsidR="00A42812">
        <w:rPr>
          <w:rFonts w:hint="cs"/>
          <w:rtl/>
        </w:rPr>
        <w:t>-</w:t>
      </w:r>
      <w:r>
        <w:rPr>
          <w:rFonts w:hint="cs"/>
          <w:rtl/>
        </w:rPr>
        <w:t xml:space="preserve"> לא מקרי מקום אחר, דבטל בתוך החצר, והוי בכלל מה שהשאיל לה.</w:t>
      </w:r>
    </w:p>
  </w:footnote>
  <w:footnote w:id="1698">
    <w:p w14:paraId="515D70F8" w14:textId="77777777" w:rsidR="00FA2119" w:rsidRDefault="00FA2119" w:rsidP="00FA2119">
      <w:pPr>
        <w:pStyle w:val="a5"/>
      </w:pPr>
      <w:r>
        <w:rPr>
          <w:rStyle w:val="a7"/>
        </w:rPr>
        <w:footnoteRef/>
      </w:r>
      <w:r>
        <w:rPr>
          <w:rtl/>
        </w:rPr>
        <w:t xml:space="preserve"> </w:t>
      </w:r>
      <w:r>
        <w:rPr>
          <w:rFonts w:cs="Arial"/>
          <w:rtl/>
        </w:rPr>
        <w:t xml:space="preserve">כולהו פיסלא מיקרו ואי הוי להאי שם לעצמו הוה ליה חשוב ולא בטיל, </w:t>
      </w:r>
      <w:r>
        <w:rPr>
          <w:rFonts w:cs="Arial"/>
          <w:b/>
          <w:bCs/>
          <w:rtl/>
        </w:rPr>
        <w:t>רש"י</w:t>
      </w:r>
      <w:r>
        <w:rPr>
          <w:rFonts w:cs="Arial"/>
          <w:rtl/>
        </w:rPr>
        <w:t xml:space="preserve">. וכתב </w:t>
      </w:r>
      <w:r>
        <w:rPr>
          <w:rFonts w:cs="Arial"/>
          <w:b/>
          <w:bCs/>
          <w:rtl/>
        </w:rPr>
        <w:t>הרמב"ם</w:t>
      </w:r>
      <w:r>
        <w:rPr>
          <w:rFonts w:cs="Arial"/>
          <w:rtl/>
        </w:rPr>
        <w:t xml:space="preserve"> (פ"ה ה"ט) דנח על גבי סלע דינו כנח על גבי פסל, </w:t>
      </w:r>
      <w:r>
        <w:rPr>
          <w:rFonts w:cs="Arial"/>
          <w:b/>
          <w:bCs/>
          <w:rtl/>
        </w:rPr>
        <w:t>ב"י</w:t>
      </w:r>
      <w:r>
        <w:rPr>
          <w:rFonts w:cs="Arial"/>
          <w:rtl/>
        </w:rPr>
        <w:t>.</w:t>
      </w:r>
    </w:p>
  </w:footnote>
  <w:footnote w:id="1699">
    <w:p w14:paraId="08C3C4DF" w14:textId="77777777" w:rsidR="00FA2119" w:rsidRDefault="00FA2119" w:rsidP="00FA2119">
      <w:pPr>
        <w:pStyle w:val="a5"/>
      </w:pPr>
      <w:r>
        <w:rPr>
          <w:rStyle w:val="a7"/>
        </w:rPr>
        <w:footnoteRef/>
      </w:r>
      <w:r>
        <w:rPr>
          <w:rtl/>
        </w:rPr>
        <w:t xml:space="preserve"> </w:t>
      </w:r>
      <w:r>
        <w:rPr>
          <w:rFonts w:cs="Arial"/>
          <w:rtl/>
        </w:rPr>
        <w:t>מפשט דבריו נראה שאם הפסל הוא בתוך ארבע אמותיה מגורשת, דכל תוך ארבע אמותיה חד מקום מיקרי. וכן כתב הר"ן בהזורק (מ. ד"ה גרסינן בגמרא) שכך נראה שהוא דעת הרמב"ם, ושצריך עיון מנין לו זה, וכבר השיגו הרמ"ך (שם ה"ט). והה"מ כתב שאפשר שפירוש דבריו כך, ושיותר נראה לו לפרשם בענין אחר והוא שאם זרקו לה ברחוק ארבע אמות שהיא עומדת בהם - לא נתגרשה. ומה שכתב שאם המקום שנפל עליו אין בו ארבע אמות על ארבע אמות וכו' הוא בתחלתו נח תוך ארבע אמות שהיא עומדת, ואח"כ נתגלגל ונח באותו מקום. ומה שכתב נתגלגל ונפל וכו' לומר שאם מתחלה נח ברחוק ארבע אמות אינה מגורשת, ויהיה הטעם מפני שהשאלת מקום בחצרו אין קונה לה אלא בקירוב מקום שהיא עומדת בו, שהרי בחצר שלה אינה קונה בגט אלא בעומדת בצדה. ואם נפל ברחוק ממנה נמצא שאותו מקום מושאל ושאר החצר אינו מושאל לה, ונמצא שאינה בצד המקום המושאל לה והיאך תתגרש בו, דלא עדיף ודאי מחצרה שאינה מתגרשת אלא בעומדת בצדה עכ"ל. וכתב עוד- ואיזו שתהיה כוונתו לא ידעתי מאין הוציא מה שכתב מארבע אמות שלה, שהרי לא הזכירו זה כלל</w:t>
      </w:r>
      <w:r>
        <w:rPr>
          <w:rFonts w:cs="Arial"/>
          <w:sz w:val="16"/>
          <w:szCs w:val="16"/>
          <w:rtl/>
        </w:rPr>
        <w:t xml:space="preserve"> [עכ"ל]</w:t>
      </w:r>
      <w:r>
        <w:rPr>
          <w:rFonts w:cs="Arial"/>
          <w:rtl/>
        </w:rPr>
        <w:t>, ב"י.</w:t>
      </w:r>
    </w:p>
  </w:footnote>
  <w:footnote w:id="1700">
    <w:p w14:paraId="59644C44" w14:textId="77777777" w:rsidR="00FA2119" w:rsidRDefault="00FA2119" w:rsidP="00FA2119">
      <w:pPr>
        <w:pStyle w:val="a5"/>
      </w:pPr>
      <w:r>
        <w:rPr>
          <w:rStyle w:val="a7"/>
        </w:rPr>
        <w:footnoteRef/>
      </w:r>
      <w:r>
        <w:rPr>
          <w:rtl/>
        </w:rPr>
        <w:t xml:space="preserve"> </w:t>
      </w:r>
      <w:r>
        <w:rPr>
          <w:rFonts w:cs="Arial"/>
          <w:rtl/>
        </w:rPr>
        <w:t>היינו המגיד פי' כן דברי הרמב"ם דוקא כשנופל תוך ד"א ואין המקום א' מג' דברים היא מגורשת ומ"ש הרמב"ם נתגלגל ונפל במקום רחוק ממנה ונפל על מקום שאין א' מג' דברים מגורשת פי' היינו בתחלה נח תוך ד"א ואח"כ נתגלגל למקום רחוק ופי' זה תמוה דאם נח תוך ד"א מיד היא מגורשת מה לי שנתגלגל אח"כ וכן הקשה רש"ך ורמ"ך והר"ן פירשו דעת הרמב"ם דס"ל ג"כ כשאר פוסקים אפי' חוץ לד"א ואין להמקום א' מג' דברים מגורשת אלא תוך ד"א מגורשת לעולם אפי' יש להמקום א' מג' דברים, ב"ש (סקי"ז).</w:t>
      </w:r>
    </w:p>
  </w:footnote>
  <w:footnote w:id="1701">
    <w:p w14:paraId="77CEC1D0" w14:textId="77777777" w:rsidR="00FA2119" w:rsidRDefault="00FA2119" w:rsidP="00FA2119">
      <w:pPr>
        <w:pStyle w:val="a5"/>
      </w:pPr>
      <w:r>
        <w:rPr>
          <w:rStyle w:val="a7"/>
        </w:rPr>
        <w:footnoteRef/>
      </w:r>
      <w:r>
        <w:rPr>
          <w:rtl/>
        </w:rPr>
        <w:t xml:space="preserve"> </w:t>
      </w:r>
      <w:r>
        <w:rPr>
          <w:rFonts w:cs="Arial"/>
          <w:rtl/>
        </w:rPr>
        <w:t>חלוקות מדין שאר איסורין, רש"י.</w:t>
      </w:r>
    </w:p>
  </w:footnote>
  <w:footnote w:id="1702">
    <w:p w14:paraId="51EE4518" w14:textId="77777777" w:rsidR="00FA2119" w:rsidRDefault="00FA2119" w:rsidP="00FA2119">
      <w:pPr>
        <w:pStyle w:val="a5"/>
      </w:pPr>
      <w:r>
        <w:rPr>
          <w:rStyle w:val="a7"/>
        </w:rPr>
        <w:footnoteRef/>
      </w:r>
      <w:r>
        <w:rPr>
          <w:rtl/>
        </w:rPr>
        <w:t xml:space="preserve"> </w:t>
      </w:r>
      <w:r>
        <w:rPr>
          <w:rFonts w:cs="Arial"/>
          <w:rtl/>
        </w:rPr>
        <w:t>הֲצָפִין על גגו של חבירו, דהוי מוציא מרשות לרשות אם לא עירבו, שאע"פ שאינם דרים על הגגות שייך נמי בהו איסור חילוק רשות, רש"י.</w:t>
      </w:r>
    </w:p>
  </w:footnote>
  <w:footnote w:id="1703">
    <w:p w14:paraId="3CDD7F5D" w14:textId="77777777" w:rsidR="00FA2119" w:rsidRDefault="00FA2119" w:rsidP="00FA2119">
      <w:pPr>
        <w:pStyle w:val="a5"/>
      </w:pPr>
      <w:r>
        <w:rPr>
          <w:rStyle w:val="a7"/>
        </w:rPr>
        <w:footnoteRef/>
      </w:r>
      <w:r>
        <w:rPr>
          <w:rtl/>
        </w:rPr>
        <w:t xml:space="preserve"> </w:t>
      </w:r>
      <w:r>
        <w:rPr>
          <w:rFonts w:hint="cs"/>
          <w:rtl/>
        </w:rPr>
        <w:t xml:space="preserve">מדברי הרמב"ם </w:t>
      </w:r>
      <w:r>
        <w:rPr>
          <w:rFonts w:cs="Arial"/>
          <w:rtl/>
        </w:rPr>
        <w:t>יראה</w:t>
      </w:r>
      <w:r>
        <w:rPr>
          <w:rFonts w:cs="Arial"/>
          <w:sz w:val="16"/>
          <w:szCs w:val="16"/>
          <w:rtl/>
        </w:rPr>
        <w:t xml:space="preserve"> </w:t>
      </w:r>
      <w:r>
        <w:rPr>
          <w:rFonts w:cs="Arial"/>
          <w:rtl/>
        </w:rPr>
        <w:t xml:space="preserve">שאפילו נפל לה הגט על גג של כל אדם והיא יכולה ליטלו משם שהיא מגורשת, טור. </w:t>
      </w:r>
    </w:p>
  </w:footnote>
  <w:footnote w:id="1704">
    <w:p w14:paraId="186BDDDE" w14:textId="77777777" w:rsidR="00FA2119" w:rsidRDefault="00FA2119" w:rsidP="00FA2119">
      <w:pPr>
        <w:pStyle w:val="a5"/>
      </w:pPr>
      <w:r>
        <w:rPr>
          <w:rStyle w:val="a7"/>
        </w:rPr>
        <w:footnoteRef/>
      </w:r>
      <w:r>
        <w:rPr>
          <w:rtl/>
        </w:rPr>
        <w:t xml:space="preserve"> </w:t>
      </w:r>
      <w:r>
        <w:rPr>
          <w:rFonts w:cs="Arial"/>
          <w:rtl/>
        </w:rPr>
        <w:t>שאין בינו לגט ד' אמות, דאמרינן בשנים אוחזין (ב"מ י.) דד' אמות של אדם קונות לו</w:t>
      </w:r>
      <w:r>
        <w:rPr>
          <w:rtl/>
        </w:rPr>
        <w:t>, רש"י.</w:t>
      </w:r>
    </w:p>
  </w:footnote>
  <w:footnote w:id="1705">
    <w:p w14:paraId="7D2B4145" w14:textId="77777777" w:rsidR="00FA2119" w:rsidRDefault="00FA2119" w:rsidP="00FA2119">
      <w:pPr>
        <w:pStyle w:val="a5"/>
        <w:rPr>
          <w:rtl/>
        </w:rPr>
      </w:pPr>
      <w:r>
        <w:rPr>
          <w:rStyle w:val="a7"/>
        </w:rPr>
        <w:footnoteRef/>
      </w:r>
      <w:r>
        <w:rPr>
          <w:rtl/>
        </w:rPr>
        <w:t xml:space="preserve"> </w:t>
      </w:r>
      <w:r>
        <w:rPr>
          <w:rFonts w:cs="Arial"/>
          <w:rtl/>
        </w:rPr>
        <w:t>וכתבו התוספות (שם: ד"ה רבי יוחנן) דרב אשי אית ליה בפ"ק דמציעא (י:) דברשות הרבים לא תקנו ארבע אמות, והכא תנן היתה עומדת ברשות הרבים קרוב לה מגורשת. ויש לומר דהתם באין יכולים לשמרו והכא ביכולה לשמרו. אי נמי יש לומר דהכא לאו דוקא נקט רשות הרבים אלא בסימטא או בצדי רשות הרבים. וכן כתב הרשב"א (שם. ד"ה ארבע אמות שלה), וכתב עוד אי נמי רב סבירא ליה כמאן דאמר התם קונות לו אפילו ברשות הרבים. אי נמי גט שאני דתקינו לה רבנן אפילו ברשות הרבים משום תקנת עגונות, ב"י</w:t>
      </w:r>
      <w:r>
        <w:rPr>
          <w:rtl/>
        </w:rPr>
        <w:t>.</w:t>
      </w:r>
    </w:p>
  </w:footnote>
  <w:footnote w:id="1706">
    <w:p w14:paraId="7F73FA09" w14:textId="77777777" w:rsidR="00FA2119" w:rsidRDefault="00FA2119" w:rsidP="00FA2119">
      <w:pPr>
        <w:pStyle w:val="a5"/>
        <w:rPr>
          <w:rtl/>
        </w:rPr>
      </w:pPr>
      <w:r>
        <w:rPr>
          <w:rStyle w:val="a7"/>
        </w:rPr>
        <w:footnoteRef/>
      </w:r>
      <w:r>
        <w:rPr>
          <w:rtl/>
        </w:rPr>
        <w:t xml:space="preserve"> </w:t>
      </w:r>
      <w:r>
        <w:rPr>
          <w:rFonts w:cs="Arial"/>
          <w:rtl/>
        </w:rPr>
        <w:t>לגט, זו מכאן, וזה מכאן, שכל הגט מונח בתוך ארבע אמות שלו ובתוך ארבע אמות שלה. ולא גרסינן 'מצומצמות', רש"י.</w:t>
      </w:r>
    </w:p>
  </w:footnote>
  <w:footnote w:id="1707">
    <w:p w14:paraId="1F4C22C8" w14:textId="77777777" w:rsidR="00FA2119" w:rsidRDefault="00FA2119" w:rsidP="00FA2119">
      <w:pPr>
        <w:pStyle w:val="a5"/>
      </w:pPr>
      <w:r>
        <w:rPr>
          <w:rStyle w:val="a7"/>
        </w:rPr>
        <w:footnoteRef/>
      </w:r>
      <w:r>
        <w:rPr>
          <w:rtl/>
        </w:rPr>
        <w:t xml:space="preserve"> </w:t>
      </w:r>
      <w:r>
        <w:rPr>
          <w:rFonts w:cs="Arial"/>
          <w:rtl/>
        </w:rPr>
        <w:t>לבא במעמדו, אם קדם הוא לבא - זכה בכל ארבע אמות. ואם קדמה היא לבא - זכתה בכל ד' אמות הסמוכות לה, ושוב לא נכנסה זכותו לתוכו</w:t>
      </w:r>
      <w:r>
        <w:rPr>
          <w:rtl/>
        </w:rPr>
        <w:t>, רש"י.</w:t>
      </w:r>
    </w:p>
  </w:footnote>
  <w:footnote w:id="1708">
    <w:p w14:paraId="46DF21B5" w14:textId="77777777" w:rsidR="00FA2119" w:rsidRDefault="00FA2119" w:rsidP="00FA2119">
      <w:pPr>
        <w:pStyle w:val="a5"/>
        <w:rPr>
          <w:rtl/>
        </w:rPr>
      </w:pPr>
      <w:r>
        <w:rPr>
          <w:rStyle w:val="a7"/>
        </w:rPr>
        <w:footnoteRef/>
      </w:r>
      <w:r>
        <w:rPr>
          <w:rtl/>
        </w:rPr>
        <w:t xml:space="preserve"> </w:t>
      </w:r>
      <w:r>
        <w:rPr>
          <w:rFonts w:cs="Arial"/>
          <w:rtl/>
        </w:rPr>
        <w:t>שלא יקדים האחר, רש"י.</w:t>
      </w:r>
    </w:p>
  </w:footnote>
  <w:footnote w:id="1709">
    <w:p w14:paraId="791CE86E" w14:textId="77777777" w:rsidR="00FA2119" w:rsidRDefault="00FA2119" w:rsidP="00FA2119">
      <w:pPr>
        <w:pStyle w:val="a5"/>
      </w:pPr>
      <w:r>
        <w:rPr>
          <w:rStyle w:val="a7"/>
        </w:rPr>
        <w:footnoteRef/>
      </w:r>
      <w:r>
        <w:rPr>
          <w:rtl/>
        </w:rPr>
        <w:t xml:space="preserve"> </w:t>
      </w:r>
      <w:r>
        <w:rPr>
          <w:rFonts w:cs="Arial"/>
          <w:rtl/>
        </w:rPr>
        <w:t>שהיו שניהם עומדים בח' אמות מצומצמות, לא פחות ולא יותר יש בין שניהם, רש"י.</w:t>
      </w:r>
    </w:p>
  </w:footnote>
  <w:footnote w:id="1710">
    <w:p w14:paraId="650DAF55" w14:textId="77777777" w:rsidR="00FA2119" w:rsidRDefault="00FA2119" w:rsidP="00FA2119">
      <w:pPr>
        <w:pStyle w:val="a5"/>
      </w:pPr>
      <w:r>
        <w:rPr>
          <w:rStyle w:val="a7"/>
        </w:rPr>
        <w:footnoteRef/>
      </w:r>
      <w:r>
        <w:rPr>
          <w:rtl/>
        </w:rPr>
        <w:t xml:space="preserve"> </w:t>
      </w:r>
      <w:r>
        <w:rPr>
          <w:rFonts w:cs="Arial"/>
          <w:rtl/>
        </w:rPr>
        <w:t>מאלו לאלו מקצתו בד' אמות שלה ומקצתו בד' אמות שלו, רש"י.</w:t>
      </w:r>
    </w:p>
  </w:footnote>
  <w:footnote w:id="1711">
    <w:p w14:paraId="590C34F5" w14:textId="77777777" w:rsidR="00FA2119" w:rsidRDefault="00FA2119" w:rsidP="00FA2119">
      <w:pPr>
        <w:pStyle w:val="a5"/>
      </w:pPr>
      <w:r>
        <w:rPr>
          <w:rStyle w:val="a7"/>
        </w:rPr>
        <w:footnoteRef/>
      </w:r>
      <w:r>
        <w:rPr>
          <w:rtl/>
        </w:rPr>
        <w:t xml:space="preserve"> </w:t>
      </w:r>
      <w:r>
        <w:rPr>
          <w:rFonts w:cs="Arial"/>
          <w:rtl/>
        </w:rPr>
        <w:t>עדיין הגט ברשותו קצת ואנן ונתן בידה בעינן עד שיהא כולו ברשותה</w:t>
      </w:r>
      <w:r>
        <w:rPr>
          <w:rtl/>
        </w:rPr>
        <w:t>, רש"י.</w:t>
      </w:r>
    </w:p>
  </w:footnote>
  <w:footnote w:id="1712">
    <w:p w14:paraId="4458761E" w14:textId="77777777" w:rsidR="00FA2119" w:rsidRDefault="00FA2119" w:rsidP="00FA2119">
      <w:pPr>
        <w:pStyle w:val="a5"/>
        <w:rPr>
          <w:rtl/>
        </w:rPr>
      </w:pPr>
      <w:r>
        <w:rPr>
          <w:rStyle w:val="a7"/>
        </w:rPr>
        <w:footnoteRef/>
      </w:r>
      <w:r>
        <w:rPr>
          <w:rtl/>
        </w:rPr>
        <w:t xml:space="preserve"> </w:t>
      </w:r>
      <w:r>
        <w:rPr>
          <w:rFonts w:cs="Arial"/>
          <w:rtl/>
        </w:rPr>
        <w:t>וכתבו התוספות (שם: ד"ה רבי יוחנן) דלרבי יוחנן בארבע אמות שלה אפילו יכול לשמור כמוה - מגורשת. וחוץ לארבע אמות צריך שתהא היא יכולה לשמרו ולא הוא, ב"י.</w:t>
      </w:r>
    </w:p>
  </w:footnote>
  <w:footnote w:id="1713">
    <w:p w14:paraId="10B831F2" w14:textId="53AA4A2A" w:rsidR="00FA2119" w:rsidRDefault="00FA2119" w:rsidP="00FA2119">
      <w:pPr>
        <w:pStyle w:val="a5"/>
      </w:pPr>
      <w:r>
        <w:rPr>
          <w:rStyle w:val="a7"/>
        </w:rPr>
        <w:footnoteRef/>
      </w:r>
      <w:r>
        <w:rPr>
          <w:rtl/>
        </w:rPr>
        <w:t xml:space="preserve"> </w:t>
      </w:r>
      <w:r>
        <w:rPr>
          <w:rFonts w:cs="Arial"/>
          <w:rtl/>
        </w:rPr>
        <w:t>אין יכולים לשמרו כל אחד לבדו, אלא שניהם יחד, אבל אם אין יכולין לשמרו כלל פשיטא דאינה מגורשת כלל, תוס' (ד"ה שניהם). וכתב הרשב"א (שם באו"ד) על זה</w:t>
      </w:r>
      <w:r w:rsidR="00F44609">
        <w:rPr>
          <w:rFonts w:cs="Arial" w:hint="cs"/>
          <w:rtl/>
        </w:rPr>
        <w:t>:</w:t>
      </w:r>
      <w:r>
        <w:rPr>
          <w:rFonts w:cs="Arial"/>
          <w:rtl/>
        </w:rPr>
        <w:t xml:space="preserve"> וצריך עיון דמכל מקום כיון שהבעל צריך בשמירתו אגיד ביה הוא. ועוד דא"כ שניהם יכולים לשמרו היינו שכל אחד מהם יכול לשמרו בלא שמירת חבירו, וא"כ בזו אמאי אינה מגורשת כיון שהוא אינו צריך בשמירתו. וגם הר"ן (מ: סוד"ה היכי דמי) כתב קושיא ראשונה בשם הרמב"ן (חי' עח. סוד"ה הא) דכיון שהבעל צריך בשמירתו אגיד ביה הוא, ותירץ הוא ז"ל דלא שייך למיפרך הכא הא אגיד ביה, ב"י.</w:t>
      </w:r>
    </w:p>
  </w:footnote>
  <w:footnote w:id="1714">
    <w:p w14:paraId="0560CA9D" w14:textId="77777777" w:rsidR="00FA2119" w:rsidRDefault="00FA2119" w:rsidP="00FA2119">
      <w:pPr>
        <w:pStyle w:val="a5"/>
      </w:pPr>
      <w:r>
        <w:rPr>
          <w:rStyle w:val="a7"/>
        </w:rPr>
        <w:footnoteRef/>
      </w:r>
      <w:r>
        <w:rPr>
          <w:rtl/>
        </w:rPr>
        <w:t xml:space="preserve"> </w:t>
      </w:r>
      <w:r>
        <w:rPr>
          <w:rFonts w:cs="Arial"/>
          <w:rtl/>
        </w:rPr>
        <w:t>להאי פירושא דמתני', רש"י.</w:t>
      </w:r>
    </w:p>
  </w:footnote>
  <w:footnote w:id="1715">
    <w:p w14:paraId="6D499743" w14:textId="77777777" w:rsidR="00FA2119" w:rsidRDefault="00FA2119" w:rsidP="00FA2119">
      <w:pPr>
        <w:pStyle w:val="a5"/>
      </w:pPr>
      <w:r>
        <w:rPr>
          <w:rStyle w:val="a7"/>
        </w:rPr>
        <w:footnoteRef/>
      </w:r>
      <w:r>
        <w:rPr>
          <w:rtl/>
        </w:rPr>
        <w:t xml:space="preserve"> </w:t>
      </w:r>
      <w:r>
        <w:rPr>
          <w:rFonts w:cs="Arial"/>
          <w:rtl/>
        </w:rPr>
        <w:t>כדפרשה ר' יוחנן ביכולין לשומרו, רבי יונתן מבבל הוה ועלה לארץ ישראל</w:t>
      </w:r>
      <w:r>
        <w:rPr>
          <w:rtl/>
        </w:rPr>
        <w:t>, רש"י.</w:t>
      </w:r>
    </w:p>
  </w:footnote>
  <w:footnote w:id="1716">
    <w:p w14:paraId="3B3CE851" w14:textId="77777777" w:rsidR="00FA2119" w:rsidRDefault="00FA2119" w:rsidP="00FA2119">
      <w:pPr>
        <w:pStyle w:val="a5"/>
        <w:rPr>
          <w:rtl/>
        </w:rPr>
      </w:pPr>
      <w:r>
        <w:rPr>
          <w:rStyle w:val="a7"/>
        </w:rPr>
        <w:footnoteRef/>
      </w:r>
      <w:r>
        <w:rPr>
          <w:rtl/>
        </w:rPr>
        <w:t xml:space="preserve"> </w:t>
      </w:r>
      <w:r>
        <w:rPr>
          <w:rFonts w:cs="Arial"/>
          <w:rtl/>
        </w:rPr>
        <w:t>דקורבה דמתני' שמירה היא, רש"י.</w:t>
      </w:r>
    </w:p>
  </w:footnote>
  <w:footnote w:id="1717">
    <w:p w14:paraId="2AA93262" w14:textId="77777777" w:rsidR="00FA2119" w:rsidRDefault="00FA2119" w:rsidP="00FA2119">
      <w:pPr>
        <w:pStyle w:val="a5"/>
        <w:rPr>
          <w:rFonts w:cs="Arial"/>
        </w:rPr>
      </w:pPr>
      <w:r>
        <w:rPr>
          <w:rStyle w:val="a7"/>
        </w:rPr>
        <w:footnoteRef/>
      </w:r>
      <w:r>
        <w:rPr>
          <w:rtl/>
        </w:rPr>
        <w:t xml:space="preserve"> </w:t>
      </w:r>
      <w:r>
        <w:rPr>
          <w:rFonts w:cs="Arial"/>
          <w:rtl/>
        </w:rPr>
        <w:t>השתא משמע אע"פ שקרוב לה יותר ממנו ובא כלב ונטלו אינה מגורשת, וקשיא לן בה אמאי אינה מגורשת מכי אתא לקורבה דידה איגרשה לה ומאי איכפת לן אם נטלו כלב, רש"י.</w:t>
      </w:r>
    </w:p>
  </w:footnote>
  <w:footnote w:id="1718">
    <w:p w14:paraId="37FEB3F7" w14:textId="77777777" w:rsidR="00FA2119" w:rsidRDefault="00FA2119" w:rsidP="00FA2119">
      <w:pPr>
        <w:pStyle w:val="a5"/>
      </w:pPr>
      <w:r>
        <w:rPr>
          <w:rStyle w:val="a7"/>
        </w:rPr>
        <w:footnoteRef/>
      </w:r>
      <w:r>
        <w:rPr>
          <w:rtl/>
        </w:rPr>
        <w:t xml:space="preserve"> </w:t>
      </w:r>
      <w:r>
        <w:rPr>
          <w:rFonts w:cs="Arial"/>
          <w:rtl/>
        </w:rPr>
        <w:t>וכי כל הימים צריכה לשומרו</w:t>
      </w:r>
      <w:r>
        <w:rPr>
          <w:rtl/>
        </w:rPr>
        <w:t>, רש"י.</w:t>
      </w:r>
    </w:p>
  </w:footnote>
  <w:footnote w:id="1719">
    <w:p w14:paraId="414AE6D1" w14:textId="77777777" w:rsidR="00FA2119" w:rsidRDefault="00FA2119" w:rsidP="00FA2119">
      <w:pPr>
        <w:pStyle w:val="a5"/>
        <w:rPr>
          <w:rtl/>
        </w:rPr>
      </w:pPr>
      <w:r>
        <w:rPr>
          <w:rStyle w:val="a7"/>
        </w:rPr>
        <w:footnoteRef/>
      </w:r>
      <w:r>
        <w:rPr>
          <w:rtl/>
        </w:rPr>
        <w:t xml:space="preserve"> </w:t>
      </w:r>
      <w:r>
        <w:rPr>
          <w:rFonts w:cs="Arial"/>
          <w:rtl/>
        </w:rPr>
        <w:t>אע"פ שקרוב לה מלו אם יש הפסק נהר או גבשושית בינה לגט שאילו היה בא כלב ונטלו אינה יכולה לשומרו הימנו אבל הוא יכול לשומרו אינה מגורשת, רש"י.</w:t>
      </w:r>
    </w:p>
  </w:footnote>
  <w:footnote w:id="1720">
    <w:p w14:paraId="7185C2D4" w14:textId="77777777" w:rsidR="00FA2119" w:rsidRDefault="00FA2119" w:rsidP="00FA2119">
      <w:pPr>
        <w:pStyle w:val="a5"/>
      </w:pPr>
      <w:r>
        <w:rPr>
          <w:rStyle w:val="a7"/>
        </w:rPr>
        <w:footnoteRef/>
      </w:r>
      <w:r>
        <w:rPr>
          <w:rtl/>
        </w:rPr>
        <w:t xml:space="preserve"> </w:t>
      </w:r>
      <w:r>
        <w:rPr>
          <w:rFonts w:cs="Arial"/>
          <w:rtl/>
        </w:rPr>
        <w:t>הוא דהויא קורבה דמתני' ואפ"ה את לא תעביד עובדא להתירה לינשא</w:t>
      </w:r>
      <w:r>
        <w:rPr>
          <w:rtl/>
        </w:rPr>
        <w:t>, רש"י.</w:t>
      </w:r>
    </w:p>
  </w:footnote>
  <w:footnote w:id="1721">
    <w:p w14:paraId="3390363A" w14:textId="77777777" w:rsidR="00FA2119" w:rsidRDefault="00FA2119" w:rsidP="00FA2119">
      <w:pPr>
        <w:pStyle w:val="a5"/>
        <w:rPr>
          <w:rtl/>
        </w:rPr>
      </w:pPr>
      <w:r>
        <w:rPr>
          <w:rStyle w:val="a7"/>
        </w:rPr>
        <w:footnoteRef/>
      </w:r>
      <w:r>
        <w:rPr>
          <w:rtl/>
        </w:rPr>
        <w:t xml:space="preserve"> </w:t>
      </w:r>
      <w:r>
        <w:rPr>
          <w:rFonts w:cs="Arial"/>
          <w:rtl/>
        </w:rPr>
        <w:t>גזירה שמא יאמרו על רחוק שהוא קרוב, רש"י.</w:t>
      </w:r>
    </w:p>
  </w:footnote>
  <w:footnote w:id="1722">
    <w:p w14:paraId="3E7D289C" w14:textId="77777777" w:rsidR="00FA2119" w:rsidRDefault="00FA2119" w:rsidP="00FA2119">
      <w:pPr>
        <w:pStyle w:val="a5"/>
      </w:pPr>
      <w:r>
        <w:rPr>
          <w:rStyle w:val="a7"/>
        </w:rPr>
        <w:footnoteRef/>
      </w:r>
      <w:r>
        <w:rPr>
          <w:rtl/>
        </w:rPr>
        <w:t xml:space="preserve"> </w:t>
      </w:r>
      <w:r>
        <w:rPr>
          <w:rFonts w:cs="Arial"/>
          <w:rtl/>
        </w:rPr>
        <w:t>שזרקו קרוב לה ומת ואצרכוה חליצה, רש"י.</w:t>
      </w:r>
    </w:p>
  </w:footnote>
  <w:footnote w:id="1723">
    <w:p w14:paraId="628BC4D5" w14:textId="77777777" w:rsidR="00FA2119" w:rsidRDefault="00FA2119" w:rsidP="00FA2119">
      <w:pPr>
        <w:pStyle w:val="a5"/>
      </w:pPr>
      <w:r>
        <w:rPr>
          <w:rStyle w:val="a7"/>
        </w:rPr>
        <w:footnoteRef/>
      </w:r>
      <w:r>
        <w:rPr>
          <w:rtl/>
        </w:rPr>
        <w:t xml:space="preserve"> </w:t>
      </w:r>
      <w:r>
        <w:rPr>
          <w:rFonts w:cs="Arial"/>
          <w:rtl/>
        </w:rPr>
        <w:t xml:space="preserve">דרבי יוחנן לא אתא לאיפלוגי אדרב, דשפיר אית ליה דאם זרק לה גט לתוך ארבע אמותיה שהיא מגורשת, דהא רבי יוחנן גופיה אמר הכי בפ"ק דמציעא (שם), אלא דלשון דקרוב לה וקרוב לו לא משמע ליה לפרושי בארבע אמות, דמשמע אפילו רחוק ממנה הרבה, וגם מחצה על מחצה אינו מתפרש יפה אליבא דרב, לכך נראה לו לפרש קרוב לה אפילו מאה אמה ומשום עיגונא תיקנו חכמים בגיטין, וכל דמקדש אדעתא דרבנן מקדש (גיטין לג.). ושמואל לאו לפרושי מתניתין אתא, ומודה הוא שאם זרק לה תוך ארבע אמותיה והוא עומד חוץ לארבע אמותיה שהיא מגורשת, דליכא מאן דפליג אהא דארבע אמות קונות לו. וגם לא פליג שמואל אדרבי יוחנן, אלא שאמר לתלמידו שראוי להחמיר אם שניהם עומדים בתוך ארבע אמות ואע"פ שקדמה האשה לתוכן וזכתה בהם שאינו גט אלא קרוב לה כדי שתשוח ותטלנו, לפי שפעמים שהאיש יקרב לתוך ארבע אמות. וגם אם הם חוץ לארבע אמות אלא שהיא יכולה לשמרו ולא הוא, אין לסמוך על זה שלפעמים הוא יכול לשמרו ולא היא או שניהם יכולים לשמרו ובקל יבוא לידי קלקול, הילכך ראוי להחמיר בכל אלו עד שתשוח ותטלנו, ואתה תחמיר יותר עד שיגיע גט לידה. והלכה כשמואל דמחמיר בשניהם עומדים תוך ארבע אמות או חוץ לארבע אמות. אבל אם זרקו לתוך ארבע אמותיה והוא עומד חוץ לארבע אמותיה בהא מודה שמואל דמגורשת. כך נראה לפרש שיטה זו, </w:t>
      </w:r>
      <w:r>
        <w:rPr>
          <w:rFonts w:cs="Arial"/>
          <w:b/>
          <w:bCs/>
          <w:rtl/>
        </w:rPr>
        <w:t>רא"ש</w:t>
      </w:r>
      <w:r>
        <w:rPr>
          <w:rFonts w:cs="Arial"/>
          <w:rtl/>
        </w:rPr>
        <w:t xml:space="preserve"> (סי' ו). ולפי שיטה זו כל שהיא יכולה לשמרו אפילו מאה אמה, וכן אם קדמה היא תוך הארבע אמות וזכתה בהם אפילו בא הוא ונכנס בתוך ארבע אמותיה וזרק לה גט בתוכן - לא מפסיל אלא מדרבנן. אבל אם קדם הוא בתוך ארבע אמות ואח"כ נכנסה היא בתוכן וזרק לה הגט בתוך אותן ארבע אמות - משמע דאינה מגורשת כלל. וכן כתב הר"ן (מ: ד"ה היכי) שכל שהיא יכולה לשמרו אפילו מאה אמה אם נישאת לא תצא. וכתב ג"כ דמדאמרינן וליחזי הי מינייהו קדים שמעינן שכל הקודם לבוא בארבע אמות זכה בהן ואין לחבירו הבא אח"כ זכות בהן כלל, </w:t>
      </w:r>
      <w:r>
        <w:rPr>
          <w:rFonts w:cs="Arial"/>
          <w:b/>
          <w:bCs/>
          <w:rtl/>
        </w:rPr>
        <w:t>ב"י</w:t>
      </w:r>
      <w:r>
        <w:rPr>
          <w:rFonts w:cs="Arial"/>
          <w:rtl/>
        </w:rPr>
        <w:t>.</w:t>
      </w:r>
    </w:p>
  </w:footnote>
  <w:footnote w:id="1724">
    <w:p w14:paraId="270B0941" w14:textId="77777777" w:rsidR="00FA2119" w:rsidRDefault="00FA2119" w:rsidP="00FA2119">
      <w:pPr>
        <w:pStyle w:val="a5"/>
      </w:pPr>
      <w:r>
        <w:rPr>
          <w:rStyle w:val="a7"/>
        </w:rPr>
        <w:footnoteRef/>
      </w:r>
      <w:r>
        <w:rPr>
          <w:rtl/>
        </w:rPr>
        <w:t xml:space="preserve"> </w:t>
      </w:r>
      <w:r>
        <w:rPr>
          <w:rFonts w:hint="cs"/>
          <w:rtl/>
        </w:rPr>
        <w:t>כש</w:t>
      </w:r>
      <w:r>
        <w:rPr>
          <w:rFonts w:cs="Arial"/>
          <w:rtl/>
        </w:rPr>
        <w:t>עומד עמה בתוכן - אינה מגורשת כלל. וכשקדמה היא וזכתה בהן</w:t>
      </w:r>
      <w:r>
        <w:rPr>
          <w:rtl/>
        </w:rPr>
        <w:t xml:space="preserve"> - אינה מגורשת מדרבנן </w:t>
      </w:r>
      <w:r>
        <w:rPr>
          <w:sz w:val="16"/>
          <w:szCs w:val="16"/>
          <w:rtl/>
        </w:rPr>
        <w:t>(וכמו שכתב הב"י בסוף ההערה הקודמת)</w:t>
      </w:r>
      <w:r>
        <w:rPr>
          <w:rtl/>
        </w:rPr>
        <w:t>.</w:t>
      </w:r>
    </w:p>
  </w:footnote>
  <w:footnote w:id="1725">
    <w:p w14:paraId="6D6ECF56" w14:textId="77777777" w:rsidR="00FA2119" w:rsidRDefault="00FA2119" w:rsidP="00FA2119">
      <w:pPr>
        <w:pStyle w:val="a5"/>
        <w:rPr>
          <w:rtl/>
        </w:rPr>
      </w:pPr>
      <w:r>
        <w:rPr>
          <w:rStyle w:val="a7"/>
        </w:rPr>
        <w:footnoteRef/>
      </w:r>
      <w:r>
        <w:rPr>
          <w:rtl/>
        </w:rPr>
        <w:t xml:space="preserve"> </w:t>
      </w:r>
      <w:r>
        <w:rPr>
          <w:rFonts w:hint="cs"/>
          <w:rtl/>
        </w:rPr>
        <w:t>מדרבנן, ב"י.</w:t>
      </w:r>
    </w:p>
  </w:footnote>
  <w:footnote w:id="1726">
    <w:p w14:paraId="4F151672" w14:textId="77777777" w:rsidR="00FA2119" w:rsidRDefault="00FA2119" w:rsidP="00FA2119">
      <w:pPr>
        <w:pStyle w:val="a5"/>
        <w:rPr>
          <w:rtl/>
        </w:rPr>
      </w:pPr>
      <w:r>
        <w:rPr>
          <w:rStyle w:val="a7"/>
        </w:rPr>
        <w:footnoteRef/>
      </w:r>
      <w:r>
        <w:rPr>
          <w:rtl/>
        </w:rPr>
        <w:t xml:space="preserve"> </w:t>
      </w:r>
      <w:r>
        <w:rPr>
          <w:rFonts w:cs="Arial"/>
          <w:rtl/>
        </w:rPr>
        <w:t>מה שהשוה הרמב"ם רשות הרבים לרשות שאינה של שניהם כתב הה"מ שכך הם מוקשים בדיני ממונות. אבל הר"ן תמה עליו בפרק הזורק (שם), שהרי הוא ז"ל כתב בפי"ז מהל' גזילה (ה"ט) שאין ארבע אמות קונות ברשות הרבים אלא בסימטא, וא"כ כשבאה היא תחלה בתוך ארבע אמות למה כתב שהוא פסול דמשמע מדבריהם בלבד, והרי כל שאינו בכדי שיעור שתשוח ותטלנו אינו אלא ספק מגורשת מטעם יכול לשמרו, ובודאי דשיעור שתשוח פחות מארבע אמות הוא, כדמשמע בפרק מי שהוציאוהו (עירובין מח.), וכיון שכן ביתר מכדי שתשוח ואפילו תוך ארבע אמות ברשות הרבים מגורשת ואינה מגורשת, וצריך עיון</w:t>
      </w:r>
      <w:r>
        <w:rPr>
          <w:rtl/>
        </w:rPr>
        <w:t>, ב"י.</w:t>
      </w:r>
    </w:p>
  </w:footnote>
  <w:footnote w:id="1727">
    <w:p w14:paraId="770AE528" w14:textId="77777777" w:rsidR="00FA2119" w:rsidRDefault="00FA2119" w:rsidP="00FA2119">
      <w:pPr>
        <w:pStyle w:val="a5"/>
        <w:rPr>
          <w:rtl/>
        </w:rPr>
      </w:pPr>
      <w:r>
        <w:rPr>
          <w:rStyle w:val="a7"/>
        </w:rPr>
        <w:footnoteRef/>
      </w:r>
      <w:r>
        <w:rPr>
          <w:rtl/>
        </w:rPr>
        <w:t xml:space="preserve"> </w:t>
      </w:r>
      <w:r>
        <w:rPr>
          <w:rFonts w:hint="cs"/>
          <w:u w:val="single"/>
          <w:rtl/>
        </w:rPr>
        <w:t>ונחלקו הראשונים בפירוש דברי הרמב"ם:</w:t>
      </w:r>
    </w:p>
    <w:p w14:paraId="78063640" w14:textId="24C020EA" w:rsidR="00FA2119" w:rsidRDefault="00FA2119" w:rsidP="006A458D">
      <w:pPr>
        <w:pStyle w:val="a5"/>
        <w:numPr>
          <w:ilvl w:val="0"/>
          <w:numId w:val="111"/>
        </w:numPr>
        <w:rPr>
          <w:rtl/>
        </w:rPr>
      </w:pPr>
      <w:r>
        <w:rPr>
          <w:rtl/>
        </w:rPr>
        <w:t xml:space="preserve">רשב"א </w:t>
      </w:r>
      <w:r>
        <w:rPr>
          <w:sz w:val="16"/>
          <w:szCs w:val="16"/>
          <w:rtl/>
        </w:rPr>
        <w:t>(עח: ד"ה אמר ליה)</w:t>
      </w:r>
      <w:r>
        <w:rPr>
          <w:rtl/>
        </w:rPr>
        <w:t xml:space="preserve">- יש לתמוה עליו שפסק (הי"ב) כרב יהודה דאם היתה עשויה קטפרס אינה מגורשת ואם נח תוך ארבע אמות דידה מגורשת, דאלמא סבירא ליה דרב יהודה למעשה אמרה ואע"ג דלא מטא גיטא לידה, ודוקא תוך ארבע אמות. וכן כתב הא דאמר רבי יוחנן הוא יכול לשמרו והיא אינה יכולה וכו'. וכן כתב הא דאמר ליה שמואל לרב יהודה כדי שתשוח ותטלנו ואת לא תעביד עובדא עד דמטי גיטא לידה, דמשמע שאינה מגורשת לעולם אע"פ שנח בתוך ארבע אמות שלה ואפילו בתוך פישוט ידיה עד שיגיע גט לידה ממש. ולכאורה דבריו נראים כסותרים זה את זה... ונראה שהוא ז"ל מפרש דהא דאמר שמואל לרב יהודה כדי שתשוח ותטלנו לא בא לפרש קרוב לה דמתניתין כמו שפירש רש"י. ויפה פירש... ומסתברא דהכי פירושא לפי שיטתו של רבינו: ארבע אמות שלה - כגון שבאה היא ועמדה זכתה בארבע אמותיה. ואם עמד הבעל חוץ מארבע אמותיה וזרקו לה תוך ארבע אמותיה - זהו קרוב לה והרי זו מגורשת גמורה לכולי עלמא, דלא גרע גט משאר דברים דארבע אמות קונות לו בכל מקום. וכי זרק לה אפילו חוץ לארבע אמות שלה והיא יכולה לשמרו והוא אינו יכול - מגורשת גמורה נמי הויא, כרבי יוחנן ורבי יונתן וכדתניא כוותייהו ומשום תקנת עגונות, ובהא אפילו שמואל מודה בה, ואתא שמואל וחדית בה דאם באה היא תחלה ועמדה אע"פ שזכתה בארבע אמותיה אם בא הבעל כנגדה ונכנס בתוך אותן ארבע אמות שלה וזרקו לה אם נפל הגט בתוך כדי שתשוח ותטלנו הויא מגורשת אע"פ שהגט בתוך ארבע אמות שלו נמי. אבל למיעבד בה עובדא לא עבדינן, הואיל והבעל בתוך ארבע אמות שלה עד שיגיע גט לידה. אבל אם בא הבעל ועמד - זכה בארבע אמותיו, ואע"פ שבאה היא בתוך ארבע אמות וזרקו לה אפילו בתוך כדי שתשוח ותטלנו - אינה מגורשת כלל, דזהו קרוב לו דכיון שקדם הוא אין לה באותן ארבע אמות ולא כלום דכאילו לא יצא הגט מרשות הבעל כלל דמי, ואפילו ספק מגורשת לא הויא. </w:t>
      </w:r>
      <w:r>
        <w:rPr>
          <w:sz w:val="16"/>
          <w:szCs w:val="16"/>
          <w:rtl/>
        </w:rPr>
        <w:t>(והה"מ דחה שיטת הרשב"א בדברי הרמב"ם</w:t>
      </w:r>
      <w:r w:rsidR="008C3D0D">
        <w:rPr>
          <w:rFonts w:hint="cs"/>
          <w:sz w:val="16"/>
          <w:szCs w:val="16"/>
          <w:rtl/>
        </w:rPr>
        <w:t>,</w:t>
      </w:r>
      <w:r>
        <w:rPr>
          <w:sz w:val="16"/>
          <w:szCs w:val="16"/>
          <w:rtl/>
        </w:rPr>
        <w:t xml:space="preserve"> וקצת דחיותיו הם דחיות</w:t>
      </w:r>
      <w:r w:rsidR="008C3D0D">
        <w:rPr>
          <w:rFonts w:hint="cs"/>
          <w:sz w:val="16"/>
          <w:szCs w:val="16"/>
          <w:rtl/>
        </w:rPr>
        <w:t>,</w:t>
      </w:r>
      <w:r>
        <w:rPr>
          <w:sz w:val="16"/>
          <w:szCs w:val="16"/>
          <w:rtl/>
        </w:rPr>
        <w:t xml:space="preserve"> וקצתם הם מתיישבות מתוך דברי הרשב"א, ב"י)</w:t>
      </w:r>
    </w:p>
    <w:p w14:paraId="215C25DF" w14:textId="77777777" w:rsidR="00FA2119" w:rsidRDefault="00FA2119" w:rsidP="006A458D">
      <w:pPr>
        <w:pStyle w:val="a5"/>
        <w:numPr>
          <w:ilvl w:val="0"/>
          <w:numId w:val="111"/>
        </w:numPr>
      </w:pPr>
      <w:r>
        <w:rPr>
          <w:rtl/>
        </w:rPr>
        <w:t xml:space="preserve">הה"מ </w:t>
      </w:r>
      <w:r>
        <w:rPr>
          <w:sz w:val="16"/>
          <w:szCs w:val="16"/>
          <w:rtl/>
        </w:rPr>
        <w:t>(שם)</w:t>
      </w:r>
      <w:r>
        <w:rPr>
          <w:rtl/>
        </w:rPr>
        <w:t xml:space="preserve">- הרמב"ם מפרש הא דשמואל דבדין קרוב לה אתא לאיפלוגי שהוא בגיטין כדי שתשוח ותטלנו, ומצד החומרא אמרו כן. ועוד רצה להחמיר שמואל ואמר שלא לעשות מעשה עד שיגיע גט לידה ממש. וקיי"ל כרבי יוחנן ורבי יונתן לענין דינא. וזהו שכתב רבינו כן בדין הקידושין (פ"ד מאישות הכ"ב). ומיהו לענין גיטין קיי"ל כשמואל שאינה מגורשת ודאית אלא כדי שתשוח ותטלנו, ואפילו הכי הוי גט פסול עד שיגיע לידהף דהא הוה עובדא וחשו לה לדשמואל ואצרכוה חליצה. וכל שהוא אינו יכול לשמרו והיא יכולה לשמרו והוא רחוק מכדי שתשוח ותטלנו - הויא ספק מגורשת. והטעם דשמואל פריש לה שחכמים החמירו בגט שלא לדונה בודאי מגורשת עד כדי שתשוח ותטלנו, מיהו ספק מגורשת הויא, דלא גרע משניהם יכולים לשמרו או אין יכולים שכתב שהיא ספק מגורשת. ולפי שזה שכתבתי רחוק קצת יש לי לומר שאף רבינו סבור בדין קרוב לה בגט מה שכתב בקידושין, אלא דבגט חוששין עד שיגיע לידה. ומה שכתב היה קרוב לה כדי שתשוח ותטלנו הוא אפילו בששניהם יכולים לשמרו, ושמואל אמחצה על מחצה קאי, ולא פליג כלל אדרבי יוחנן ורבי יונתן, אלא דין חדש קאמר וקיי"ל כוותיה. וגם זה רחוק. ולא נתברר לי כוונת רבינו. </w:t>
      </w:r>
    </w:p>
    <w:p w14:paraId="67258FC9" w14:textId="79BB86B9" w:rsidR="00FA2119" w:rsidRDefault="00FA2119" w:rsidP="006A458D">
      <w:pPr>
        <w:pStyle w:val="a5"/>
        <w:numPr>
          <w:ilvl w:val="0"/>
          <w:numId w:val="111"/>
        </w:numPr>
      </w:pPr>
      <w:r>
        <w:rPr>
          <w:rtl/>
        </w:rPr>
        <w:t xml:space="preserve">ר"ן </w:t>
      </w:r>
      <w:r>
        <w:rPr>
          <w:sz w:val="16"/>
          <w:szCs w:val="16"/>
          <w:rtl/>
        </w:rPr>
        <w:t>(מ: ד"ה היכי דמי)</w:t>
      </w:r>
      <w:r>
        <w:rPr>
          <w:rtl/>
        </w:rPr>
        <w:t>- דברי הרמב"ם תמ</w:t>
      </w:r>
      <w:r w:rsidR="008C3D0D">
        <w:rPr>
          <w:rFonts w:hint="cs"/>
          <w:rtl/>
        </w:rPr>
        <w:t>ו</w:t>
      </w:r>
      <w:r>
        <w:rPr>
          <w:rtl/>
        </w:rPr>
        <w:t xml:space="preserve">הים שהוא פוסק כשמואל, ואעפ"כ אינו דוחה דברי רבי יוחנן, שהרי כתב ששניהם יכולים לשמרו - מגורשת ואינה מגורשת, ואם הרב סבור דשמואל לא פליג אדרבי יוחנן מדינא אלא דמחומרא בעלמא אמר כדי שתשוח ותטלנו ומחמיר עוד לומר דאפילו בכה"ג אינה נישאת אלא לאחר שיגיע הגט לידה, מכל מקום הוה ליה לכתוב דכל שהיא יכולה לשמרו שהגט פסול מדבריהם, ונפקא מינה שאם נישאת לא תצא, ובודאי שהוא כך סבור דשמואל לא פליג אדרבי יוחנן, ואי נמי פליג - כדרבי יוחנן נקטינן, שהרי לענין קידושין הוא פוסק כמותו בפ"ד מהל' אישות. וכיון שכן למה לא כתב דכל שהיא יכולה לשמרו והוא אינו יכול שאינו פסול אלא מדבריהם בלבד. ונראה לי שהוא סובר דכיון דהא דרבי יוחנן לאו מדינא אלא מתקנתא, שהרי אין קנייה תלויה בשום מקום בשמירה, הילכך אע"ג דשמואל מודה לרבי יוחנן כיון דעקר לה לתקנתא דמתניתין לחומרא הדר דינא לדוכתיה דביכולה לשמרו אינה מגורשת גמורה דאורייתא, ולפיכך כל שהוא מקרוב לו עד קרוב לה דהיינו כדי שתשוח ותטלנו פסק ז"ל דהוה ליה ספק מגורשת, ובכלל זה קרוב שיכולה לשמרו והוא אינו יכול. </w:t>
      </w:r>
      <w:r>
        <w:rPr>
          <w:sz w:val="16"/>
          <w:szCs w:val="16"/>
          <w:rtl/>
        </w:rPr>
        <w:t>(והדרך היותר מתיישב אצלי לדעת הרמב"ם הוא דרך הר"ן, ודוק ותשכח, ב"י)</w:t>
      </w:r>
    </w:p>
  </w:footnote>
  <w:footnote w:id="1728">
    <w:p w14:paraId="2709FF91" w14:textId="77777777" w:rsidR="00FA2119" w:rsidRDefault="00FA2119" w:rsidP="00FA2119">
      <w:pPr>
        <w:pStyle w:val="a5"/>
        <w:rPr>
          <w:rtl/>
        </w:rPr>
      </w:pPr>
      <w:r>
        <w:rPr>
          <w:rStyle w:val="a7"/>
        </w:rPr>
        <w:footnoteRef/>
      </w:r>
      <w:r>
        <w:rPr>
          <w:rtl/>
        </w:rPr>
        <w:t xml:space="preserve"> </w:t>
      </w:r>
      <w:r>
        <w:rPr>
          <w:rFonts w:cs="Arial"/>
          <w:rtl/>
        </w:rPr>
        <w:t>משמע דסבירא ליה דשמואל לפרושי מתניתין קא אתי. ותימה היכי פסק כשמואל, והא קיי"ל (בכורות מט:) כרב באיסורי וכו'. לכך אני אומר שהרי"ף כתב היכי דמי קרוב לה וכו' ודילג דברי רב ורבי יוחנן משום דסבירא ליה הלכה כשמואל שמחמיר ולא בא לפרש המשנה ולא חשש להאריך בדברי האמוראים המפרשים המשנה, רא"ש (שם).</w:t>
      </w:r>
    </w:p>
  </w:footnote>
  <w:footnote w:id="1729">
    <w:p w14:paraId="459E2695" w14:textId="77777777" w:rsidR="00FA2119" w:rsidRDefault="00FA2119" w:rsidP="00FA2119">
      <w:pPr>
        <w:pStyle w:val="a5"/>
        <w:rPr>
          <w:rtl/>
        </w:rPr>
      </w:pPr>
      <w:r>
        <w:rPr>
          <w:rStyle w:val="a7"/>
        </w:rPr>
        <w:footnoteRef/>
      </w:r>
      <w:r>
        <w:rPr>
          <w:rtl/>
        </w:rPr>
        <w:t xml:space="preserve"> </w:t>
      </w:r>
      <w:r>
        <w:rPr>
          <w:rFonts w:cs="Arial"/>
          <w:rtl/>
        </w:rPr>
        <w:t>כן כתב הערוך בשמו בערך גט. ותמהו התוספות (עח: ד"ה ואת) והרא"ש (סי' ו) בפרק הזורק וגם ספר התרומה (ריש סי' קכד) ודחו ראיותיו ודבריו. וכן כתבו הגהות (פ"ה מגירושין אות א). וגם הרשב"א (עח: ד"ה ואת) והר"ן (מ: ד"ה היכי) תמהו עליו בפרק הזורק, ומכל מקום כתבו שראוי לחוש לדבריו שהם דברי קבלה</w:t>
      </w:r>
      <w:r>
        <w:rPr>
          <w:rtl/>
        </w:rPr>
        <w:t>, ב"י.</w:t>
      </w:r>
    </w:p>
  </w:footnote>
  <w:footnote w:id="1730">
    <w:p w14:paraId="5F3AF1DA" w14:textId="77777777" w:rsidR="00FA2119" w:rsidRDefault="00FA2119" w:rsidP="00FA2119">
      <w:pPr>
        <w:pStyle w:val="a5"/>
        <w:rPr>
          <w:rtl/>
        </w:rPr>
      </w:pPr>
      <w:r>
        <w:rPr>
          <w:rStyle w:val="a7"/>
        </w:rPr>
        <w:footnoteRef/>
      </w:r>
      <w:r>
        <w:rPr>
          <w:rtl/>
        </w:rPr>
        <w:t xml:space="preserve"> </w:t>
      </w:r>
      <w:r>
        <w:rPr>
          <w:rFonts w:cs="Arial"/>
          <w:rtl/>
        </w:rPr>
        <w:t>הר"ן פירש דרבי יוחנן ושמואל פליגי בפירושא דמתניתין, כפירוש רש"י, ורבי יוחנן לאו מדינא קאמר אלא מפני תקנת עגונות, ואפשר ששעת השמד היה, והיינו דאמר ליה שמואל לרב יהודה ואת לא תעביד עובדא עד דמטי גיטא לידה, ואי לאו דמתניתין בשעת השמד נשנית היכי קאמר דלא לעביד בה עובדא... ואפשר לפרש על דרך פירוש רש"י דשמואל ברשות הרבים ממש מוקי למתניתין וסבירא ליה דמדינא ארבע אמות אין קונות ברשות הרבים, אלא מפני תקנת עגונות התקינו שכל שהוא קרוב לה בכדי שתשוח ותטלנו שתהא מגורשת, והיינו קרוב לה דתנן במתניתין, ומשום הכי אמר ליה דכיון שאין ארבע אמות קונות ברשות הרבים מן הדין דלא לעביד בה עובדא. ומיהו במקום שהם קונות מן הדין מסתברא דעבדי בה עובדא, ואין צריך לומר בחצרה שהיא זוכה לה. ואשכחן לרבא (עז:) דהוא בתרא דעבד עובדא ואמר דליקנייה לההוא דוכתא ותיזיל איהי ותיחוד ותפתח. אלא שראוי לחוש לדברי רבינו חננאל שכתב ואנו קבלנו מרבותינו שאפילו זרקו לה בחצרה לא משתריא לעלמא עד דמטי גיטא לידה... והרי"ף שכתב בהלכות (לט:) עובדא דרבא - נראה שלהלכה כתבו. ולענין הלכה</w:t>
      </w:r>
      <w:r>
        <w:rPr>
          <w:rtl/>
        </w:rPr>
        <w:t>-...</w:t>
      </w:r>
    </w:p>
  </w:footnote>
  <w:footnote w:id="1731">
    <w:p w14:paraId="735D1C39" w14:textId="77777777" w:rsidR="00FA2119" w:rsidRDefault="00FA2119" w:rsidP="00FA2119">
      <w:pPr>
        <w:pStyle w:val="a5"/>
        <w:rPr>
          <w:rtl/>
        </w:rPr>
      </w:pPr>
      <w:r>
        <w:rPr>
          <w:rStyle w:val="a7"/>
        </w:rPr>
        <w:footnoteRef/>
      </w:r>
      <w:r>
        <w:rPr>
          <w:rtl/>
        </w:rPr>
        <w:t xml:space="preserve"> </w:t>
      </w:r>
      <w:r>
        <w:rPr>
          <w:rFonts w:cs="Arial"/>
          <w:rtl/>
        </w:rPr>
        <w:t>מה שכתב בחצר שאינה של שניהם - היינו שהיא של איש אחר, דאילו אינה של שניהם ולא של איש אחר - היינו סימטא והיאך כתב דלא מיגרשא תוך ארבע אמותיה, דהא עיקר קנין ארבע אמות בסימטא הן כדאיתא בפ"ק דמציעא (י:). ואע"פ שלא הזכיר הרמ"ה סימטא בהדיא אפשר דבכלל רשות הרבים היא. ואפשר עוד דלסימטא קרי רשות הרבים אבל רשות הרבים עצמה אין ארבע אמות קונות בה. וצריך עיון, ב"י.</w:t>
      </w:r>
    </w:p>
  </w:footnote>
  <w:footnote w:id="1732">
    <w:p w14:paraId="5610A35A" w14:textId="77777777" w:rsidR="00FA2119" w:rsidRDefault="00FA2119" w:rsidP="00FA2119">
      <w:pPr>
        <w:pStyle w:val="a5"/>
      </w:pPr>
      <w:r>
        <w:rPr>
          <w:rStyle w:val="a7"/>
        </w:rPr>
        <w:footnoteRef/>
      </w:r>
      <w:r>
        <w:rPr>
          <w:rtl/>
        </w:rPr>
        <w:t xml:space="preserve"> </w:t>
      </w:r>
      <w:r>
        <w:rPr>
          <w:rFonts w:cs="Arial"/>
          <w:rtl/>
        </w:rPr>
        <w:t>וכתב עוד בסימן ר"ו שאם היה מנהג להנשא בגט זה תנשא לכתחלה. ועיין שם שהאריך בחילוקים, דרכ"מ (אות ב).</w:t>
      </w:r>
    </w:p>
  </w:footnote>
  <w:footnote w:id="1733">
    <w:p w14:paraId="57579C38" w14:textId="77777777" w:rsidR="00FA2119" w:rsidRDefault="00FA2119" w:rsidP="00FA2119">
      <w:pPr>
        <w:pStyle w:val="a5"/>
      </w:pPr>
      <w:r>
        <w:rPr>
          <w:rStyle w:val="a7"/>
        </w:rPr>
        <w:footnoteRef/>
      </w:r>
      <w:r>
        <w:rPr>
          <w:rtl/>
        </w:rPr>
        <w:t xml:space="preserve"> </w:t>
      </w:r>
      <w:r>
        <w:rPr>
          <w:rFonts w:cs="Arial"/>
          <w:rtl/>
        </w:rPr>
        <w:t>וליתא חומרא דשמואל ומשמע אפי' אם לא נשאת מיקל, ב"ש (סקכ"ג).</w:t>
      </w:r>
    </w:p>
  </w:footnote>
  <w:footnote w:id="1734">
    <w:p w14:paraId="5710F918" w14:textId="77777777" w:rsidR="00FA2119" w:rsidRDefault="00FA2119" w:rsidP="00FA2119">
      <w:pPr>
        <w:pStyle w:val="a5"/>
      </w:pPr>
      <w:r>
        <w:rPr>
          <w:rStyle w:val="a7"/>
        </w:rPr>
        <w:footnoteRef/>
      </w:r>
      <w:r>
        <w:rPr>
          <w:rtl/>
        </w:rPr>
        <w:t xml:space="preserve"> </w:t>
      </w:r>
      <w:r>
        <w:rPr>
          <w:rFonts w:cs="Arial"/>
          <w:rtl/>
        </w:rPr>
        <w:t>וכן בשני כיתי עדים המכחישים זא"ז למי היה קרוב הוי ספק גט וא"א אוקי תרי בהדי תרי והיא בחזקת א"א ע"ש בתוס', ב"ש (סקכ"א).</w:t>
      </w:r>
    </w:p>
  </w:footnote>
  <w:footnote w:id="1735">
    <w:p w14:paraId="4130E503" w14:textId="77777777" w:rsidR="00FA2119" w:rsidRDefault="00FA2119" w:rsidP="00FA2119">
      <w:pPr>
        <w:pStyle w:val="a5"/>
      </w:pPr>
      <w:r>
        <w:rPr>
          <w:rStyle w:val="a7"/>
        </w:rPr>
        <w:footnoteRef/>
      </w:r>
      <w:r>
        <w:rPr>
          <w:rtl/>
        </w:rPr>
        <w:t xml:space="preserve"> </w:t>
      </w:r>
      <w:r>
        <w:rPr>
          <w:rFonts w:cs="Arial"/>
          <w:rtl/>
        </w:rPr>
        <w:t>כל זה הוא שיטות הרמב"ם דס"ל אע"ג דקרוב לה והיא יכולה לשמור ולא הוא היא ספק מגורשת. אבל רוב פוסקים חולקים ע"ז וס"ל כשקרוב לה היא מגורשת מדאו' ושמואל רק חומרא דרבנן קאמר דהגט פסול הוא ואם נשאת לא תצא, ולמעשה צ"ע, ב"ש (סקכ"ב).</w:t>
      </w:r>
    </w:p>
  </w:footnote>
  <w:footnote w:id="1736">
    <w:p w14:paraId="0BCE6F06" w14:textId="0A6DFCE2" w:rsidR="00FA2119" w:rsidRDefault="00FA2119" w:rsidP="00FA2119">
      <w:pPr>
        <w:pStyle w:val="a5"/>
      </w:pPr>
      <w:r>
        <w:rPr>
          <w:rStyle w:val="a7"/>
        </w:rPr>
        <w:footnoteRef/>
      </w:r>
      <w:r>
        <w:rPr>
          <w:rtl/>
        </w:rPr>
        <w:t xml:space="preserve"> </w:t>
      </w:r>
      <w:r>
        <w:rPr>
          <w:rFonts w:cs="Arial"/>
          <w:rtl/>
        </w:rPr>
        <w:t>וצריך לחלק לפי זה בין הא דלעיל (עמ' רטז - ריז) דקאמרינן שאם זרקו דרך רשותה ולא נח דאינה מגורשת</w:t>
      </w:r>
      <w:r w:rsidR="007275D1">
        <w:rPr>
          <w:rFonts w:cs="Arial" w:hint="cs"/>
          <w:rtl/>
        </w:rPr>
        <w:t>.</w:t>
      </w:r>
      <w:r>
        <w:rPr>
          <w:rFonts w:cs="Arial"/>
          <w:rtl/>
        </w:rPr>
        <w:t xml:space="preserve"> וצריך לומר דשאני התם דעל מנת כן זרקו</w:t>
      </w:r>
      <w:r w:rsidR="007275D1">
        <w:rPr>
          <w:rFonts w:cs="Arial" w:hint="cs"/>
          <w:rtl/>
        </w:rPr>
        <w:t>,</w:t>
      </w:r>
      <w:r>
        <w:rPr>
          <w:rFonts w:cs="Arial"/>
          <w:rtl/>
        </w:rPr>
        <w:t xml:space="preserve"> מ</w:t>
      </w:r>
      <w:r w:rsidR="007275D1">
        <w:rPr>
          <w:rFonts w:cs="Arial" w:hint="cs"/>
          <w:rtl/>
        </w:rPr>
        <w:t>ש</w:t>
      </w:r>
      <w:r>
        <w:rPr>
          <w:rFonts w:cs="Arial"/>
          <w:rtl/>
        </w:rPr>
        <w:t>א</w:t>
      </w:r>
      <w:r w:rsidR="007275D1">
        <w:rPr>
          <w:rFonts w:cs="Arial" w:hint="cs"/>
          <w:rtl/>
        </w:rPr>
        <w:t>"</w:t>
      </w:r>
      <w:r>
        <w:rPr>
          <w:rFonts w:cs="Arial"/>
          <w:rtl/>
        </w:rPr>
        <w:t xml:space="preserve">כ כאן דזרקו על מנת לנוח ואם לא נח מכל מקום רשותה קניא לה. וכתב בסדר גיטין שלנו </w:t>
      </w:r>
      <w:r w:rsidR="007275D1">
        <w:rPr>
          <w:rFonts w:cs="Arial" w:hint="cs"/>
          <w:rtl/>
        </w:rPr>
        <w:t>(</w:t>
      </w:r>
      <w:r>
        <w:rPr>
          <w:rFonts w:cs="Arial"/>
          <w:rtl/>
        </w:rPr>
        <w:t>סי</w:t>
      </w:r>
      <w:r w:rsidR="007275D1">
        <w:rPr>
          <w:rFonts w:cs="Arial" w:hint="cs"/>
          <w:rtl/>
        </w:rPr>
        <w:t>'</w:t>
      </w:r>
      <w:r>
        <w:rPr>
          <w:rFonts w:cs="Arial"/>
          <w:rtl/>
        </w:rPr>
        <w:t xml:space="preserve"> צג</w:t>
      </w:r>
      <w:r w:rsidR="007275D1">
        <w:rPr>
          <w:rFonts w:cs="Arial" w:hint="cs"/>
          <w:rtl/>
        </w:rPr>
        <w:t>)</w:t>
      </w:r>
      <w:r>
        <w:rPr>
          <w:rFonts w:cs="Arial"/>
          <w:rtl/>
        </w:rPr>
        <w:t xml:space="preserve"> אשה שנפל הגט מידה לפני רגליה צריך לגרשה שנית דהואיל ולא נח בידה הוי כקטפרס דאינה מגורשת רק מכח ארבע אמות שלה ולדידן אין מועיל ארבע אמות עכ"ל. ועוד כתב שם (סי' נח סט"ז) דצריכה האשה להגביה ידיה ואצבעותיה כשמקבלת גיטה שלא תהא ידה כקטפרס עכ"ל</w:t>
      </w:r>
      <w:r w:rsidR="007275D1">
        <w:rPr>
          <w:rFonts w:cs="Arial" w:hint="cs"/>
          <w:rtl/>
        </w:rPr>
        <w:t>, דרכ"מ (אות ג).</w:t>
      </w:r>
    </w:p>
  </w:footnote>
  <w:footnote w:id="1737">
    <w:p w14:paraId="0985DEDF" w14:textId="3F68EC52" w:rsidR="00FA2119" w:rsidRDefault="00FA2119" w:rsidP="00FA2119">
      <w:pPr>
        <w:pStyle w:val="a5"/>
      </w:pPr>
      <w:r>
        <w:rPr>
          <w:rStyle w:val="a7"/>
        </w:rPr>
        <w:footnoteRef/>
      </w:r>
      <w:r>
        <w:rPr>
          <w:rtl/>
        </w:rPr>
        <w:t xml:space="preserve"> </w:t>
      </w:r>
      <w:r>
        <w:rPr>
          <w:rFonts w:cs="Arial"/>
          <w:rtl/>
        </w:rPr>
        <w:t xml:space="preserve">עיין בתשו' </w:t>
      </w:r>
      <w:r>
        <w:rPr>
          <w:rFonts w:cs="Arial"/>
          <w:b/>
          <w:bCs/>
          <w:rtl/>
        </w:rPr>
        <w:t>רעק"א</w:t>
      </w:r>
      <w:r>
        <w:rPr>
          <w:rFonts w:cs="Arial"/>
          <w:rtl/>
        </w:rPr>
        <w:t xml:space="preserve"> ז"ל (סי' רכב אות כג) מ"ש בביאור דברי הירושלמי (פ"ב דגיטין ה"ג) ר"ז בעי מסר לה פרה במסירה כו' או שניא הכא דכתיב ונתן בידה עד שיהא כולו בידה (וז"ל שם- וביותר י"ל דזה ודאי דבעי' בידה ממש כמ"ש הר"ן רפ"ח דגיטין בפשיטות אלא דהכא במסירה דתופסת בשערה או באפסר הקשור בבהמה הוי כאוחזת קצת הבהמה ממש. ובזה י"ל כיון דגליון הגט בידה וקנתה כולו מהני או דבעינן שיהא הגט כולו בידה וכדדייק לישנא דהירוש' או שניא כו' עד שיהא כולו בידה), ומסיים </w:t>
      </w:r>
      <w:r w:rsidR="000A0F5A">
        <w:rPr>
          <w:rFonts w:cs="Arial"/>
          <w:rtl/>
        </w:rPr>
        <w:t>וז"ל:</w:t>
      </w:r>
      <w:r>
        <w:rPr>
          <w:rFonts w:cs="Arial"/>
          <w:rtl/>
        </w:rPr>
        <w:t xml:space="preserve"> וחידוש בעיני דלא נזכר הדין דצריך שלא יהא מקצת הגט יוצא מידה דאף דקנתה כל הגט בהגבהה מ"מ אין כולו בידה. וצריכין ליזהר בזה דאם הגט על קלף גדול ומצוי דלפעמים מקצת הגט למעלה מידה ואינו כולו בידה, וצ"ע לדינא. עכ"ל. מבואר מדבריו שלא כדברי התו"ג הנ"ל אלא דאף דקנתה בהגבהה יש ליזהר שיהא כולו בידה לצאת ידי ספיקא דהירוש' שם. גם בלוח הסימנים שם כתב בזה"ל צריך ליזהר במסירת גט שיהא כולו בידה ולא יהי' מקצת הגט יוצא מידה עכ"ל. אמנם לע"ד אף שרבינו הגאון רעק"א ז"ל צוה ליזהר בזה אכתי צ"ע בגלילות אלו שמכבר מכמה דורות לא נזהרו בזה אפשר דיש לחוש משום הוצאת לעז על גיטין הראשונים. והגם שמבואר בב"ש לעיל (סי' קכה סק"י) דאין לחוש ללעז אלא בדבר שהוא חומרא בעלמא ולא בדבר שהוא מדינא ע"ש, וא"כ הכא דבר זה הוא מדינא לדעת רע"ק ז"ל לצאת ידי ספיקא דהירוש' הנ"ל אין לחוש בזה ללעז. וביותר דנראה דזהירות זה שיהא כולו בידה אינו דבר חדש שכבר הזכירו הרמ"א ז"ל בש"ע לעיל סי' קל"ו ס"א </w:t>
      </w:r>
      <w:r w:rsidR="009334FF">
        <w:rPr>
          <w:rFonts w:cs="Arial"/>
          <w:rtl/>
        </w:rPr>
        <w:t>בהג"ה</w:t>
      </w:r>
      <w:r>
        <w:rPr>
          <w:rFonts w:cs="Arial"/>
          <w:rtl/>
        </w:rPr>
        <w:t xml:space="preserve"> שכ' שם ונוהגין שהבעל כופל הגט כו' כדי שתוכל לאחוז כולו בידה כשנותנו לה ע"ש... אך אדרבא מהא תברא שהרי מדברי רמ"א אלו משמע דאינו אלא מנהג ולא מדינא. והטעם נ"ל דהנה לכאורה אין מקום כלל לספק זה בזמנינו שכבר נהגו דמצריכין אותה ליתן הגט לתוך סרבלה וא"כ נתגרשה אח"כ ע"י זה וכמ"ש התו"ג בסמוך, אלא דזה אינו, דהא כתב הרמ"א ז"ל בסעי' הקודם דלכתחילה אין לגרש אפי' ליתן הגט לתוך חצירה או לתוך מלבושיה כו' ואפי' בדיעבד כו'. והגם שבב"ש (סקכ"ד) כתב בשם הריב"ש שאם נפל על בגדיה הוי כמטי לידה כו', מ"מ משמעות לשונו דהיינו בדיעבד שכבר ניתן הגט באופן זה </w:t>
      </w:r>
      <w:r>
        <w:rPr>
          <w:rFonts w:cs="Arial"/>
          <w:sz w:val="16"/>
          <w:szCs w:val="16"/>
          <w:rtl/>
        </w:rPr>
        <w:t>(וכמ"ש בנו"ב תניינא ס"ס כ"ו הובא לעיל סי' קטו ס"ד סקי"ד)</w:t>
      </w:r>
      <w:r>
        <w:rPr>
          <w:rFonts w:cs="Arial"/>
          <w:rtl/>
        </w:rPr>
        <w:t xml:space="preserve">, וא"כ גם עתה עיקר הגירושין לכתחילה הוא ע"י נתינה לתוך ידה, ולכן שפיר יש מקום לספק הזה גם בזמנינו דאולי בעינן דוקא שיהא כולו בידה. עכ"פ הרווחנו מזה דעתה אין זהירות הזה שיהא כולו בידה מדינא רק מצד חומרא, דהא מדינא נתגרשה אח"כ ע"י מה שנותנת לתוך סרבלה. ועפ"ז אתי שפיר דברי הרמ"א דסי' קל"ו הנ"ל דתלי זה רק במנהג, ובודאי דלא נעלם ממנו הירוש' הנ"ל רק דסמך עצמו עמ"ש בסי' זה דנהגו שמכנסת אותו תחת הסרבל ומעתה אינו מדינא רק חומרא לכתחילה וכנ"ל </w:t>
      </w:r>
      <w:r>
        <w:rPr>
          <w:rFonts w:cs="Arial"/>
          <w:sz w:val="16"/>
          <w:szCs w:val="16"/>
          <w:rtl/>
        </w:rPr>
        <w:t>(ובזה א"ש טפי המנהג הזה שמכנסת אותו תחת הסרבל ואין אנו צריכין לדוחק שכ' התו"ג בסמוך דהוא משום גזירה דבע"כ רק דהוא משום דחיישי' שמא יהא הגט קצתו חוץ לידה וכמ"ש התו"ג בטעם דבעינן שיהא ידה גבוהות מן הארץ ג"ט)</w:t>
      </w:r>
      <w:r>
        <w:rPr>
          <w:rFonts w:cs="Arial"/>
          <w:rtl/>
        </w:rPr>
        <w:t xml:space="preserve">. וכיון שביררנו דבזמנינו אין זהירות זה מדינא רק חומרא לכתחילה וא"כ הרי בדבר שהוא רק חומרא חיישי' ללעז וא"כ אחרי שמכבר מכמה דורות לא נזהרו בזה אפשר דגם עתה אין להחמיר שלא להוציא לעז על גיטין הראשונים וצ"ע בכל זה..., </w:t>
      </w:r>
      <w:r>
        <w:rPr>
          <w:rFonts w:cs="Arial"/>
          <w:b/>
          <w:bCs/>
          <w:rtl/>
        </w:rPr>
        <w:t>פת"ש</w:t>
      </w:r>
      <w:r>
        <w:rPr>
          <w:rFonts w:cs="Arial"/>
          <w:rtl/>
        </w:rPr>
        <w:t xml:space="preserve"> (סק"ד).</w:t>
      </w:r>
    </w:p>
  </w:footnote>
  <w:footnote w:id="1738">
    <w:p w14:paraId="6FC3D27F" w14:textId="77777777" w:rsidR="00FA2119" w:rsidRDefault="00FA2119" w:rsidP="00FA2119">
      <w:pPr>
        <w:pStyle w:val="a5"/>
      </w:pPr>
      <w:r>
        <w:rPr>
          <w:rStyle w:val="a7"/>
        </w:rPr>
        <w:footnoteRef/>
      </w:r>
      <w:r>
        <w:rPr>
          <w:rtl/>
        </w:rPr>
        <w:t xml:space="preserve"> </w:t>
      </w:r>
      <w:r>
        <w:rPr>
          <w:rFonts w:cs="Arial"/>
          <w:rtl/>
        </w:rPr>
        <w:t>דהוי חצרה המשתמרת לדעתה הואיל והוא ישן אינו משתמר אלא על ידה</w:t>
      </w:r>
      <w:r>
        <w:rPr>
          <w:rtl/>
        </w:rPr>
        <w:t>, רש"י.</w:t>
      </w:r>
    </w:p>
  </w:footnote>
  <w:footnote w:id="1739">
    <w:p w14:paraId="466F48E6" w14:textId="77777777" w:rsidR="00FA2119" w:rsidRDefault="00FA2119" w:rsidP="00FA2119">
      <w:pPr>
        <w:pStyle w:val="a5"/>
        <w:rPr>
          <w:rtl/>
        </w:rPr>
      </w:pPr>
      <w:r>
        <w:rPr>
          <w:rStyle w:val="a7"/>
        </w:rPr>
        <w:footnoteRef/>
      </w:r>
      <w:r>
        <w:rPr>
          <w:rtl/>
        </w:rPr>
        <w:t xml:space="preserve"> </w:t>
      </w:r>
      <w:r>
        <w:rPr>
          <w:rFonts w:cs="Arial"/>
          <w:rtl/>
        </w:rPr>
        <w:t>שהעבד משמר את עצמו ואת מה שבידו והויא לה חצרה המשתמרת שלא לדעתה, רש"י.</w:t>
      </w:r>
    </w:p>
  </w:footnote>
  <w:footnote w:id="1740">
    <w:p w14:paraId="364C75A6" w14:textId="77777777" w:rsidR="00FA2119" w:rsidRDefault="00FA2119" w:rsidP="00FA2119">
      <w:pPr>
        <w:pStyle w:val="a5"/>
      </w:pPr>
      <w:r>
        <w:rPr>
          <w:rStyle w:val="a7"/>
        </w:rPr>
        <w:footnoteRef/>
      </w:r>
      <w:r>
        <w:rPr>
          <w:rtl/>
        </w:rPr>
        <w:t xml:space="preserve"> </w:t>
      </w:r>
      <w:r>
        <w:rPr>
          <w:rFonts w:cs="Arial"/>
          <w:rtl/>
        </w:rPr>
        <w:t>רבא גופיה אמרה בשנים אוחזין בטלית, רש"י.</w:t>
      </w:r>
    </w:p>
  </w:footnote>
  <w:footnote w:id="1741">
    <w:p w14:paraId="2E4A2FD5" w14:textId="77777777" w:rsidR="00FA2119" w:rsidRDefault="00FA2119" w:rsidP="00FA2119">
      <w:pPr>
        <w:pStyle w:val="a5"/>
      </w:pPr>
      <w:r>
        <w:rPr>
          <w:rStyle w:val="a7"/>
        </w:rPr>
        <w:footnoteRef/>
      </w:r>
      <w:r>
        <w:rPr>
          <w:rtl/>
        </w:rPr>
        <w:t xml:space="preserve"> </w:t>
      </w:r>
      <w:r>
        <w:rPr>
          <w:rFonts w:cs="Arial"/>
          <w:rtl/>
        </w:rPr>
        <w:t>רבא נמי אמרה התם היה מהלך בספינה וקפצו דגים לתוך הספינה כו', רש"י.</w:t>
      </w:r>
    </w:p>
  </w:footnote>
  <w:footnote w:id="1742">
    <w:p w14:paraId="6F19BFA4" w14:textId="77777777" w:rsidR="00FA2119" w:rsidRDefault="00FA2119" w:rsidP="00FA2119">
      <w:pPr>
        <w:pStyle w:val="a5"/>
      </w:pPr>
      <w:r>
        <w:rPr>
          <w:rStyle w:val="a7"/>
        </w:rPr>
        <w:footnoteRef/>
      </w:r>
      <w:r>
        <w:rPr>
          <w:rtl/>
        </w:rPr>
        <w:t xml:space="preserve"> </w:t>
      </w:r>
      <w:r>
        <w:rPr>
          <w:rFonts w:cs="Arial"/>
          <w:rtl/>
        </w:rPr>
        <w:t>ולשאר פוסקים אינו גט, ולהרמב"ם פסול מדרבנן, ומדאורייתא מיהא מגורשת. וכבר תמה עליו הר"ן בהזורק. והרב המגיד יישב סוגיית הגמרא לדעתו בפ"ה מהלכות גירושי</w:t>
      </w:r>
      <w:r>
        <w:rPr>
          <w:rtl/>
        </w:rPr>
        <w:t>ן, ב"י.</w:t>
      </w:r>
    </w:p>
  </w:footnote>
  <w:footnote w:id="1743">
    <w:p w14:paraId="49D9D86F" w14:textId="77777777" w:rsidR="00FA2119" w:rsidRDefault="00FA2119" w:rsidP="00FA2119">
      <w:pPr>
        <w:pStyle w:val="a5"/>
      </w:pPr>
      <w:r>
        <w:rPr>
          <w:rStyle w:val="a7"/>
        </w:rPr>
        <w:footnoteRef/>
      </w:r>
      <w:r>
        <w:rPr>
          <w:rtl/>
        </w:rPr>
        <w:t xml:space="preserve"> </w:t>
      </w:r>
      <w:r>
        <w:rPr>
          <w:rFonts w:cs="Arial"/>
          <w:rtl/>
        </w:rPr>
        <w:t>כן הוא דעת הרמב"ם לגירסא שלנו שהוא עיקר, ולא כגירסת טור. וס"ל להרמב"ם אם הוא כפות אז לא הוי חצר מהלכת, גם אז הוי חצר המשתמר לדעתה מ"ה מגורשת ולא גזרינן אטו אין כפות דלא שכיח. אבל ישן אע"ג דבעת שהוא ישן אינו חצר מהלכת וגם משתמר לדעתה מ"מ פסול מדרבנן דגזרינן אטו אינו ישן כיון דמצוי הוא. כ"כ המגיד. וי"א דס"ל לעולם הגט בטל אא"כ ישן וכפות. נמצא לרמב"ם - כפות כשר, ישן ואין כפות פסול, אינו ישן ואינו כפות בטל, ב"ש (סקכ"ז).</w:t>
      </w:r>
    </w:p>
  </w:footnote>
  <w:footnote w:id="1744">
    <w:p w14:paraId="4550FCDB" w14:textId="77777777" w:rsidR="00FA2119" w:rsidRDefault="00FA2119" w:rsidP="00FA2119">
      <w:pPr>
        <w:pStyle w:val="a5"/>
      </w:pPr>
      <w:r>
        <w:rPr>
          <w:rStyle w:val="a7"/>
        </w:rPr>
        <w:footnoteRef/>
      </w:r>
      <w:r>
        <w:rPr>
          <w:rtl/>
        </w:rPr>
        <w:t xml:space="preserve"> </w:t>
      </w:r>
      <w:r>
        <w:rPr>
          <w:rFonts w:cs="Arial"/>
          <w:rtl/>
        </w:rPr>
        <w:t>על העבד, רש"י.</w:t>
      </w:r>
    </w:p>
  </w:footnote>
  <w:footnote w:id="1745">
    <w:p w14:paraId="4F0131ED" w14:textId="77777777" w:rsidR="00FA2119" w:rsidRDefault="00FA2119" w:rsidP="00FA2119">
      <w:pPr>
        <w:pStyle w:val="a5"/>
      </w:pPr>
      <w:r>
        <w:rPr>
          <w:rStyle w:val="a7"/>
        </w:rPr>
        <w:footnoteRef/>
      </w:r>
      <w:r>
        <w:rPr>
          <w:rtl/>
        </w:rPr>
        <w:t xml:space="preserve"> </w:t>
      </w:r>
      <w:r>
        <w:rPr>
          <w:rFonts w:cs="Arial"/>
          <w:rtl/>
        </w:rPr>
        <w:t>לעבד בשטר מתנה זה והגט שבידו דהוה ליה האי עבד כחצרה וגיטה וחצירה באו לה כאחד</w:t>
      </w:r>
      <w:r>
        <w:rPr>
          <w:rtl/>
        </w:rPr>
        <w:t>, רש"י.</w:t>
      </w:r>
    </w:p>
  </w:footnote>
  <w:footnote w:id="1746">
    <w:p w14:paraId="7BE53F2A" w14:textId="77777777" w:rsidR="00FA2119" w:rsidRDefault="00FA2119" w:rsidP="00FA2119">
      <w:pPr>
        <w:pStyle w:val="a5"/>
        <w:rPr>
          <w:rtl/>
        </w:rPr>
      </w:pPr>
      <w:r>
        <w:rPr>
          <w:rStyle w:val="a7"/>
        </w:rPr>
        <w:footnoteRef/>
      </w:r>
      <w:r>
        <w:rPr>
          <w:rtl/>
        </w:rPr>
        <w:t xml:space="preserve"> </w:t>
      </w:r>
      <w:r>
        <w:rPr>
          <w:rFonts w:cs="Arial"/>
          <w:rtl/>
        </w:rPr>
        <w:t>ודעת הרמב"ם (פ"ה הי"ח) לפרש דבכפות לחוד סגי. ואין כן דעת רש"י והתוספות והרא"ש והרשב"א והר"ן אלא דישן נמי בעינן, כי היכי דתיהוי משתמרת לדעתה. והא דלא מדכרינן הכא ישן כלל, משום דלא אקשינן אלא ממהלכת אבל אין הכי נמי דבעינן נמי ישן דהא שמעתא דרבא היא בהזורק בהדיא, ב"י.</w:t>
      </w:r>
    </w:p>
  </w:footnote>
  <w:footnote w:id="1747">
    <w:p w14:paraId="24B527F1" w14:textId="77777777" w:rsidR="00FA2119" w:rsidRDefault="00FA2119" w:rsidP="00FA2119">
      <w:pPr>
        <w:pStyle w:val="a5"/>
      </w:pPr>
      <w:r>
        <w:rPr>
          <w:rStyle w:val="a7"/>
        </w:rPr>
        <w:footnoteRef/>
      </w:r>
      <w:r>
        <w:rPr>
          <w:rtl/>
        </w:rPr>
        <w:t xml:space="preserve"> </w:t>
      </w:r>
      <w:r>
        <w:rPr>
          <w:rFonts w:cs="Arial"/>
          <w:rtl/>
        </w:rPr>
        <w:t>כגון נתן לה גט בחצר חבירו והלך בעל חצר ומכר לה את החצר או נתן לה במתנה - והא ודאי אינה מגורשת, דמאן מגרש לה דכשנתן הבעל הגט בחצר, לא שלה היתה דתקני לה חצרה כאילו נותנו בידה, וכי אתא האי חצר לידה, לאו מכח הבעל אתיא לה דניהוי נותן לה החצר והגט ביחד, רש"י.</w:t>
      </w:r>
    </w:p>
  </w:footnote>
  <w:footnote w:id="1748">
    <w:p w14:paraId="54CA21CA" w14:textId="77777777" w:rsidR="00FA2119" w:rsidRDefault="00FA2119" w:rsidP="00FA2119">
      <w:pPr>
        <w:pStyle w:val="a5"/>
      </w:pPr>
      <w:r>
        <w:rPr>
          <w:rStyle w:val="a7"/>
        </w:rPr>
        <w:footnoteRef/>
      </w:r>
      <w:r>
        <w:rPr>
          <w:rtl/>
        </w:rPr>
        <w:t xml:space="preserve"> </w:t>
      </w:r>
      <w:r>
        <w:rPr>
          <w:rFonts w:cs="Arial"/>
          <w:rtl/>
        </w:rPr>
        <w:t>ואם ישן ואינו כפות לא מפסיל אלא מדרבנן, ב"י.</w:t>
      </w:r>
    </w:p>
  </w:footnote>
  <w:footnote w:id="1749">
    <w:p w14:paraId="697F2908" w14:textId="77777777" w:rsidR="00FA2119" w:rsidRDefault="00FA2119" w:rsidP="00FA2119">
      <w:pPr>
        <w:pStyle w:val="a5"/>
      </w:pPr>
      <w:r>
        <w:rPr>
          <w:rStyle w:val="a7"/>
        </w:rPr>
        <w:footnoteRef/>
      </w:r>
      <w:r>
        <w:rPr>
          <w:rtl/>
        </w:rPr>
        <w:t xml:space="preserve"> </w:t>
      </w:r>
      <w:r>
        <w:rPr>
          <w:rFonts w:cs="Arial"/>
          <w:rtl/>
        </w:rPr>
        <w:t>משמע דסבירא ליה שאם נטלתו מן העבד מגורשת. וכתבו הרב המגיד והר"ן (מ: ד"ה גרסינן) שהרשב"א (כא. ד"ה אמר רבא) מסתפק אם צריך שיטלנו הבעל ויתננו לה, דכשנטלתו היא דילמא הוה ליה כטלי גיטך מעל גבי קרקע, ב"י.</w:t>
      </w:r>
    </w:p>
  </w:footnote>
  <w:footnote w:id="1750">
    <w:p w14:paraId="4E561243" w14:textId="77777777" w:rsidR="00FA2119" w:rsidRDefault="00FA2119" w:rsidP="00FA2119">
      <w:pPr>
        <w:pStyle w:val="a5"/>
      </w:pPr>
      <w:r>
        <w:rPr>
          <w:rStyle w:val="a7"/>
        </w:rPr>
        <w:footnoteRef/>
      </w:r>
      <w:r>
        <w:rPr>
          <w:rtl/>
        </w:rPr>
        <w:t xml:space="preserve"> </w:t>
      </w:r>
      <w:r>
        <w:rPr>
          <w:rFonts w:cs="Arial"/>
          <w:rtl/>
        </w:rPr>
        <w:t>ולענין אם צריכה לעמוד בצד החצר בשעת נתינת הגט נתבאר בתחלת סימן זה (ד"ה כתב הרמ"ה, סע' ב בשו"ע), ב"י.</w:t>
      </w:r>
    </w:p>
  </w:footnote>
  <w:footnote w:id="1751">
    <w:p w14:paraId="570785EE" w14:textId="61393C0F" w:rsidR="00FA2119" w:rsidRDefault="00FA2119" w:rsidP="00FA2119">
      <w:pPr>
        <w:pStyle w:val="a5"/>
      </w:pPr>
      <w:r>
        <w:rPr>
          <w:rStyle w:val="a7"/>
        </w:rPr>
        <w:footnoteRef/>
      </w:r>
      <w:r>
        <w:rPr>
          <w:rtl/>
        </w:rPr>
        <w:t xml:space="preserve"> </w:t>
      </w:r>
      <w:r>
        <w:rPr>
          <w:rFonts w:cs="Arial"/>
          <w:rtl/>
        </w:rPr>
        <w:t>ומשמע בש"ס דאפילו אם נתן בתחלה הגט ליד העבד או לחצירו ואחר כמה ימים כותב שטר מתנה - מהני, אע"ג דלהרמ"ה שהביא הטור (ר"ס קלט) סבירא ליה דאם נותן לחצירה והיא לא היתה שם לא מהני, שאני הכא דבעת שכותב שטר מתנה הוי נתינה חדשה כאלו נוטל ונותן לידה, ב"ש (סקכ"ח).</w:t>
      </w:r>
    </w:p>
  </w:footnote>
  <w:footnote w:id="1752">
    <w:p w14:paraId="56A9E363" w14:textId="77777777" w:rsidR="00FA2119" w:rsidRDefault="00FA2119" w:rsidP="00FA2119">
      <w:pPr>
        <w:pStyle w:val="a5"/>
      </w:pPr>
      <w:r>
        <w:rPr>
          <w:rStyle w:val="a7"/>
        </w:rPr>
        <w:footnoteRef/>
      </w:r>
      <w:r>
        <w:rPr>
          <w:rtl/>
        </w:rPr>
        <w:t xml:space="preserve"> </w:t>
      </w:r>
      <w:r>
        <w:rPr>
          <w:rFonts w:cs="Arial"/>
          <w:rtl/>
        </w:rPr>
        <w:t>הבעל, רש"י.</w:t>
      </w:r>
    </w:p>
  </w:footnote>
  <w:footnote w:id="1753">
    <w:p w14:paraId="4E852455" w14:textId="77777777" w:rsidR="00FA2119" w:rsidRDefault="00FA2119" w:rsidP="00FA2119">
      <w:pPr>
        <w:pStyle w:val="a5"/>
      </w:pPr>
      <w:r>
        <w:rPr>
          <w:rStyle w:val="a7"/>
        </w:rPr>
        <w:footnoteRef/>
      </w:r>
      <w:r>
        <w:rPr>
          <w:rtl/>
        </w:rPr>
        <w:t xml:space="preserve"> </w:t>
      </w:r>
      <w:r>
        <w:rPr>
          <w:rFonts w:cs="Arial"/>
          <w:rtl/>
        </w:rPr>
        <w:t>דגט חוב הוא לה, ואין חבין לאדם אלא מדעתו ליעשות לו שליח לחובתו, רש"י.</w:t>
      </w:r>
    </w:p>
  </w:footnote>
  <w:footnote w:id="1754">
    <w:p w14:paraId="1C0B96EF" w14:textId="578E4F71"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שליח שהביא גט כשהוא נותנו לה נותנו בפני שנים ואותן השנים צריכין לקרותו ואח"כ ינתן לה בפניהם, שדין השליח עם האשה כדין הבעל עמה שתחתיו הוא קם.</w:t>
      </w:r>
    </w:p>
  </w:footnote>
  <w:footnote w:id="1755">
    <w:p w14:paraId="03AA1BB4" w14:textId="77777777" w:rsidR="00FA2119" w:rsidRDefault="00FA2119" w:rsidP="00FA2119">
      <w:pPr>
        <w:pStyle w:val="a5"/>
      </w:pPr>
      <w:r>
        <w:rPr>
          <w:rStyle w:val="a7"/>
        </w:rPr>
        <w:footnoteRef/>
      </w:r>
      <w:r>
        <w:rPr>
          <w:rtl/>
        </w:rPr>
        <w:t xml:space="preserve"> </w:t>
      </w:r>
      <w:r>
        <w:rPr>
          <w:rFonts w:hint="cs"/>
          <w:rtl/>
        </w:rPr>
        <w:t>ופשוט הוא, ב"י.</w:t>
      </w:r>
    </w:p>
  </w:footnote>
  <w:footnote w:id="1756">
    <w:p w14:paraId="2FF589CE" w14:textId="77777777" w:rsidR="00FA2119" w:rsidRDefault="00FA2119" w:rsidP="00FA2119">
      <w:pPr>
        <w:pStyle w:val="a5"/>
      </w:pPr>
      <w:r>
        <w:rPr>
          <w:rStyle w:val="a7"/>
        </w:rPr>
        <w:footnoteRef/>
      </w:r>
      <w:r>
        <w:rPr>
          <w:rtl/>
        </w:rPr>
        <w:t xml:space="preserve"> </w:t>
      </w:r>
      <w:r>
        <w:rPr>
          <w:rFonts w:cs="Arial"/>
          <w:rtl/>
        </w:rPr>
        <w:t>ודבריו אינם ענין לסימן זה אלא גבי דין אומר אמרו לסופר ויכתוב (סי' קכ ד:) או גבי דין עדי מסירה כרתי (סי' קלג) אלא משום דתחלת דבריו מיירי באומר לשליח הולך גט זה כתבו רבינו כאן, ב"י.</w:t>
      </w:r>
    </w:p>
  </w:footnote>
  <w:footnote w:id="1757">
    <w:p w14:paraId="79B46D43" w14:textId="77777777" w:rsidR="00FA2119" w:rsidRDefault="00FA2119" w:rsidP="00FA2119">
      <w:pPr>
        <w:pStyle w:val="a5"/>
        <w:rPr>
          <w:rtl/>
        </w:rPr>
      </w:pPr>
      <w:r>
        <w:rPr>
          <w:rStyle w:val="a7"/>
        </w:rPr>
        <w:footnoteRef/>
      </w:r>
      <w:r>
        <w:rPr>
          <w:rtl/>
        </w:rPr>
        <w:t xml:space="preserve"> </w:t>
      </w:r>
      <w:r>
        <w:rPr>
          <w:rFonts w:cs="Arial"/>
          <w:rtl/>
        </w:rPr>
        <w:t>כיון דאיהי שויתיה שליח הרי הוא כידה ונתגרשה מיד בקבלתו של זה</w:t>
      </w:r>
      <w:r>
        <w:rPr>
          <w:rtl/>
        </w:rPr>
        <w:t>, רש"י.</w:t>
      </w:r>
    </w:p>
  </w:footnote>
  <w:footnote w:id="1758">
    <w:p w14:paraId="19D0A3D8" w14:textId="77777777" w:rsidR="00FA2119" w:rsidRDefault="00FA2119" w:rsidP="00FA2119">
      <w:pPr>
        <w:pStyle w:val="a5"/>
        <w:rPr>
          <w:rtl/>
        </w:rPr>
      </w:pPr>
      <w:r>
        <w:rPr>
          <w:rStyle w:val="a7"/>
        </w:rPr>
        <w:footnoteRef/>
      </w:r>
      <w:r>
        <w:rPr>
          <w:rtl/>
        </w:rPr>
        <w:t xml:space="preserve"> </w:t>
      </w:r>
      <w:r>
        <w:rPr>
          <w:rFonts w:cs="Arial"/>
          <w:rtl/>
        </w:rPr>
        <w:t>לא ידענא מהיכא הוה סלקא דעתך ליפלוגי בינייהו</w:t>
      </w:r>
      <w:r>
        <w:rPr>
          <w:rtl/>
        </w:rPr>
        <w:t>, ב"י.</w:t>
      </w:r>
    </w:p>
  </w:footnote>
  <w:footnote w:id="1759">
    <w:p w14:paraId="742A5CB9" w14:textId="098A651E" w:rsidR="00FA2119" w:rsidRDefault="00FA2119" w:rsidP="00FA2119">
      <w:pPr>
        <w:pStyle w:val="a5"/>
        <w:rPr>
          <w:rtl/>
        </w:rPr>
      </w:pPr>
      <w:r>
        <w:rPr>
          <w:rStyle w:val="a7"/>
        </w:rPr>
        <w:footnoteRef/>
      </w:r>
      <w:r>
        <w:rPr>
          <w:rtl/>
        </w:rPr>
        <w:t xml:space="preserve"> </w:t>
      </w:r>
      <w:r>
        <w:rPr>
          <w:rFonts w:cs="Arial"/>
          <w:rtl/>
        </w:rPr>
        <w:t xml:space="preserve">וקצת תימה שלא הזכיר דברי הרשב"א שהובא בב"ש לקמן סי' קמ"א ס"ק ס"א דנראה שהרשב"א ז"ל מסתפק בסברא זו וצ"ע. ומצאתי בשו"ת תשו' מאהבה </w:t>
      </w:r>
      <w:r w:rsidR="00DA19A9">
        <w:rPr>
          <w:rFonts w:cs="Arial" w:hint="cs"/>
          <w:rtl/>
        </w:rPr>
        <w:t>(</w:t>
      </w:r>
      <w:r>
        <w:rPr>
          <w:rFonts w:cs="Arial"/>
          <w:rtl/>
        </w:rPr>
        <w:t>ח"א סי' מו</w:t>
      </w:r>
      <w:r w:rsidR="00DA19A9">
        <w:rPr>
          <w:rFonts w:cs="Arial" w:hint="cs"/>
          <w:rtl/>
        </w:rPr>
        <w:t>)</w:t>
      </w:r>
      <w:r>
        <w:rPr>
          <w:rFonts w:cs="Arial"/>
          <w:rtl/>
        </w:rPr>
        <w:t xml:space="preserve"> שתמה עליו בזה וכ' דלכן קשה לסמוך על הוראה זו</w:t>
      </w:r>
      <w:r w:rsidR="00DA19A9">
        <w:rPr>
          <w:rFonts w:cs="Arial" w:hint="cs"/>
          <w:rtl/>
        </w:rPr>
        <w:t>,</w:t>
      </w:r>
      <w:r>
        <w:rPr>
          <w:rFonts w:cs="Arial"/>
          <w:rtl/>
        </w:rPr>
        <w:t xml:space="preserve"> אמנם בעוזב דת שבלא"ה הרבה פוסקים לזכות הגט כו' אך עדיין צריך ישוב הדעת ושאלה זו צריכה לגדולי הדור עכ"ל ע"ש... וע' בספר בית מאיר לקמן </w:t>
      </w:r>
      <w:r w:rsidR="00DA19A9">
        <w:rPr>
          <w:rFonts w:cs="Arial" w:hint="cs"/>
          <w:rtl/>
        </w:rPr>
        <w:t>(</w:t>
      </w:r>
      <w:r>
        <w:rPr>
          <w:rFonts w:cs="Arial"/>
          <w:rtl/>
        </w:rPr>
        <w:t>סי' קמא</w:t>
      </w:r>
      <w:r w:rsidR="00DA19A9">
        <w:rPr>
          <w:rFonts w:cs="Arial" w:hint="cs"/>
          <w:rtl/>
        </w:rPr>
        <w:t>)</w:t>
      </w:r>
      <w:r>
        <w:rPr>
          <w:rFonts w:cs="Arial"/>
          <w:rtl/>
        </w:rPr>
        <w:t xml:space="preserve"> סמ"ג הזכיר שם דברי הנו"ב הנ"ל בקצרה ופקפק מאד עליו וכתב דגוף המצאת דינו צ"ע חדא דהדעת נוטה שגם זה בכלל מילי לא מימסרן לשליח. ועוד דלשיטת הרי"ף ורמב"ן ורמ"ה (עב"ש סי' קמ"ב ס"ק כ"א) חצי דבר הוא שהרי כת שבמקומה א"י להעיד אלא שמנתה שליח ואינם יודעים למי והשני עדים אחרים מעידים שע"פ בחירות הבוחר נולד שלוחה ובין שניהם נגמר הדבר אין לך חצי דבר גרע מזה לשיטתם והאמת שהגאון הנ"ל עצמו מסיק שאינו דן הכי אלא בעוזב דת מ"מ לע"ד אין בפעולה זו שום ריוח מהנהוג שהבעל מזכה תחילה ע"י שלוחו. ובדיעבד אם עבר וביטל שליחו או שלא הגיע הגט לידה לע"ד אי אפשר להקל ע"י קבלה זו שום קולא יותר ממה שאפשר להקל ע"י הזכוי ואפשר מגרע גרע דע"י פעולה זו הבעל לא עשאו שליח לזכות לה מכוחו אלא שסומך עצמו על שהוא מכחה ש"ק דידה והמכשולים של ברירה ומילי וחצי דבר מעכבין בשליחותה כו' עש"ב</w:t>
      </w:r>
      <w:r>
        <w:rPr>
          <w:rtl/>
        </w:rPr>
        <w:t>, פת"ש (סק"ד).</w:t>
      </w:r>
    </w:p>
  </w:footnote>
  <w:footnote w:id="1760">
    <w:p w14:paraId="18341B72" w14:textId="02CA0E02" w:rsidR="00FA2119" w:rsidRDefault="00FA2119" w:rsidP="00FA2119">
      <w:pPr>
        <w:pStyle w:val="a5"/>
        <w:rPr>
          <w:rtl/>
        </w:rPr>
      </w:pPr>
      <w:r>
        <w:rPr>
          <w:rStyle w:val="a7"/>
        </w:rPr>
        <w:footnoteRef/>
      </w:r>
      <w:r>
        <w:rPr>
          <w:rtl/>
        </w:rPr>
        <w:t xml:space="preserve"> </w:t>
      </w:r>
      <w:r>
        <w:rPr>
          <w:rFonts w:cs="Arial"/>
          <w:rtl/>
        </w:rPr>
        <w:t xml:space="preserve">הוא ז"ל לא ציין מקומו אך נראה שכיוון לדברי הר"ש </w:t>
      </w:r>
      <w:r w:rsidR="00DA19A9">
        <w:rPr>
          <w:rFonts w:cs="Arial" w:hint="cs"/>
          <w:rtl/>
        </w:rPr>
        <w:t>(</w:t>
      </w:r>
      <w:r>
        <w:rPr>
          <w:rFonts w:cs="Arial"/>
          <w:rtl/>
        </w:rPr>
        <w:t>פ"ה דמעשר שני מ"א</w:t>
      </w:r>
      <w:r w:rsidR="00DA19A9">
        <w:rPr>
          <w:rFonts w:cs="Arial" w:hint="cs"/>
          <w:rtl/>
        </w:rPr>
        <w:t>)</w:t>
      </w:r>
      <w:r>
        <w:rPr>
          <w:rFonts w:cs="Arial"/>
          <w:rtl/>
        </w:rPr>
        <w:t xml:space="preserve"> ע"ש, פת"ש (סק"ב).</w:t>
      </w:r>
    </w:p>
  </w:footnote>
  <w:footnote w:id="1761">
    <w:p w14:paraId="220DB02B" w14:textId="241844F6"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וכן האשה שולחת שליח להביא לה גטה מיד בעלה וזה הוא הנקרא שליח הבאה, ואין שליח הולכה והבאה צריך עדים. ואין האשה מתגרשת בגט ששלח הבעל או שהביא לה שליח הבאה עד שיגיע גט לידה, וכל מקום שנאמר בענין הגיטין שליח סתם הוא שליח הולכה או שליח הבאה.</w:t>
      </w:r>
    </w:p>
  </w:footnote>
  <w:footnote w:id="1762">
    <w:p w14:paraId="022C2D9A" w14:textId="5A6D237A" w:rsidR="00FA2119" w:rsidRDefault="00FA2119" w:rsidP="00FA2119">
      <w:pPr>
        <w:pStyle w:val="a5"/>
        <w:rPr>
          <w:rtl/>
        </w:rPr>
      </w:pPr>
      <w:r>
        <w:rPr>
          <w:rStyle w:val="a7"/>
        </w:rPr>
        <w:footnoteRef/>
      </w:r>
      <w:r>
        <w:rPr>
          <w:rtl/>
        </w:rPr>
        <w:t xml:space="preserve"> </w:t>
      </w:r>
      <w:r>
        <w:rPr>
          <w:rFonts w:cs="Arial"/>
          <w:rtl/>
        </w:rPr>
        <w:t xml:space="preserve">כן כתב בחידושיו </w:t>
      </w:r>
      <w:r>
        <w:rPr>
          <w:rFonts w:cs="Arial"/>
          <w:sz w:val="16"/>
          <w:szCs w:val="16"/>
          <w:rtl/>
        </w:rPr>
        <w:t>(סה. ד"ה רש"י, שם: ד"ה גיטא)</w:t>
      </w:r>
      <w:r>
        <w:rPr>
          <w:rFonts w:cs="Arial"/>
          <w:rtl/>
        </w:rPr>
        <w:t xml:space="preserve">. ובהוספות שבסוף חידושי מסכת גיטין כתב </w:t>
      </w:r>
      <w:r w:rsidR="000A0F5A">
        <w:rPr>
          <w:rFonts w:cs="Arial"/>
          <w:rtl/>
        </w:rPr>
        <w:t>וז"ל:</w:t>
      </w:r>
      <w:r>
        <w:rPr>
          <w:rFonts w:cs="Arial"/>
          <w:rtl/>
        </w:rPr>
        <w:t xml:space="preserve"> רש"י ור"ח ז"ל סבורין שאין האשה עושה שליח להביא אלא לקבל, וכן נראה מפירושיהם בפרק האומנים </w:t>
      </w:r>
      <w:r>
        <w:rPr>
          <w:rFonts w:cs="Arial"/>
          <w:sz w:val="16"/>
          <w:szCs w:val="16"/>
          <w:rtl/>
        </w:rPr>
        <w:t>(ב"מ עו. רש"י ד"ה ה"ג הבא)</w:t>
      </w:r>
      <w:r>
        <w:rPr>
          <w:rFonts w:cs="Arial"/>
          <w:rtl/>
        </w:rPr>
        <w:t>. וה"ר משה הספרדי ז"ל כתב שהאשה עושה שליח בין בקבלה בין בהבאה, ואין בידי להכריע אלא שדבריו נראין בטעם, וכן עיקר הסוגיא מוכיח כפשטה, ובהלכות גדולות כך אמרו באשה ומשויא נמי שליח להולכה.</w:t>
      </w:r>
    </w:p>
  </w:footnote>
  <w:footnote w:id="1763">
    <w:p w14:paraId="73DE2776" w14:textId="458DF934" w:rsidR="00FA2119" w:rsidRDefault="00FA2119" w:rsidP="00FA2119">
      <w:pPr>
        <w:pStyle w:val="a5"/>
      </w:pPr>
      <w:r>
        <w:rPr>
          <w:rStyle w:val="a7"/>
        </w:rPr>
        <w:footnoteRef/>
      </w:r>
      <w:r>
        <w:rPr>
          <w:rtl/>
        </w:rPr>
        <w:t xml:space="preserve"> </w:t>
      </w:r>
      <w:r w:rsidR="000A0F5A">
        <w:rPr>
          <w:rFonts w:cs="Arial"/>
          <w:rtl/>
        </w:rPr>
        <w:t>וז"ל:</w:t>
      </w:r>
      <w:r>
        <w:rPr>
          <w:rFonts w:cs="Arial"/>
          <w:rtl/>
        </w:rPr>
        <w:t xml:space="preserve"> ומה שמינתה האשה שליח קבלה יפה כיונה לסמוך על אשלי רברבי כגון הרמב"ם והרמב"ן והרא"ש ז"ל בפרק התקבל מכללם, וזה אפילו בשליח הובאה כלומר שמינתה האשה להביא לה גט מיד בעלה, וכל שכן בשליח קבלה שמשניות מפורשות שהאשה עושה שליח לקבל גיטה מיד בעלה. ואף בענין שליח הובאה סברא היא להכשירו, לפי שזה השליח הולך אצל הבעל, ואם אין הבעל חפץ לתת לו גט להוליכו לה אין כאן שליחות ולא הועיל לה כלום מינוי השליח, ואם הבעל רצה ונתן גט להוליכו לה - הרי נעשה שלוחו אע"פ שמסרו לו סתם ולא אמר לו שיהא שלוחו. וכן כתבו גאון ז"ל ובהעי"ט בשליחות הגט (אות ש שלישות גט מז:). ואפשר שלזה כיון הרמב"ן ז"ל שכתב בסוף חידושי גיטין שדברי הרמב"ם המכשיר בין בשליח קבלה בין בשליח הובאה שדבריו נראין מהטעם שכתבתי בענין שליח הובאה, לפי שאין שם ראיה מהלכה ברורה אלא מסברא ישרה.</w:t>
      </w:r>
    </w:p>
  </w:footnote>
  <w:footnote w:id="1764">
    <w:p w14:paraId="2C9CD4C1" w14:textId="77777777" w:rsidR="00FA2119" w:rsidRDefault="00FA2119" w:rsidP="00FA2119">
      <w:pPr>
        <w:pStyle w:val="a5"/>
      </w:pPr>
      <w:r>
        <w:rPr>
          <w:rStyle w:val="a7"/>
        </w:rPr>
        <w:footnoteRef/>
      </w:r>
      <w:r>
        <w:rPr>
          <w:rtl/>
        </w:rPr>
        <w:t xml:space="preserve"> </w:t>
      </w:r>
      <w:r>
        <w:rPr>
          <w:rFonts w:cs="Arial"/>
          <w:rtl/>
        </w:rPr>
        <w:t>ויש מפרשים הבא לי גיטי התראה עם בעלי והוא יעשה אותך שליח להולכה ותביא לי גיטי. ונראה לי להביא ראיה לדעת רבינו ממה שאמרו במשנה (סה.) הבא לי גיטי ממקום פלוני והביאו לה ממקום אחר כשר וכו'</w:t>
      </w:r>
      <w:r>
        <w:rPr>
          <w:rtl/>
        </w:rPr>
        <w:t>, הה"מ (שם). וכתב הר"ן (שם) ש</w:t>
      </w:r>
      <w:r>
        <w:rPr>
          <w:rFonts w:cs="Arial"/>
          <w:rtl/>
        </w:rPr>
        <w:t>תימה הוא, שאם אמרה האשה לשליח שיביא לה גיטה מיד בעלה, והלך אצל הבעל ואמר ליה הבעל הוליכהו לה, בכה"ג ודאי מהני שהרי הבעל עשאו שליח, אבל אם אומר לו הבעל שאינו רוצה שיהא שלוחו כלל היכי מיגרשה? דהא איהי לא קיבלה הגט לא מיד הבעל ולא מיד שלוחו. ולי אפשר דכיון דשלוחו של אדם כמותו (קידושין מא:) הרי הוא כאילו היא קיבלתו, אלא שהיא מתנה שאינה רוצה שתתגרש אלא כשיגיע גט לידה. ומתניתין דפירקין דייקא לי הכי דאשה עושה שליח להולכה דתנן הבא לי ממקום פלוני והביאו לה ממקום אחר כשר וכו'</w:t>
      </w:r>
      <w:r>
        <w:rPr>
          <w:rtl/>
        </w:rPr>
        <w:t>.</w:t>
      </w:r>
    </w:p>
  </w:footnote>
  <w:footnote w:id="1765">
    <w:p w14:paraId="179AB679" w14:textId="77777777" w:rsidR="00FA2119" w:rsidRDefault="00FA2119" w:rsidP="00FA2119">
      <w:pPr>
        <w:pStyle w:val="a5"/>
        <w:rPr>
          <w:rtl/>
        </w:rPr>
      </w:pPr>
      <w:r>
        <w:rPr>
          <w:rStyle w:val="a7"/>
        </w:rPr>
        <w:footnoteRef/>
      </w:r>
      <w:r>
        <w:rPr>
          <w:rtl/>
        </w:rPr>
        <w:t xml:space="preserve"> </w:t>
      </w:r>
      <w:r>
        <w:rPr>
          <w:rFonts w:cs="Arial"/>
          <w:rtl/>
        </w:rPr>
        <w:t>הבעל, רש"י.</w:t>
      </w:r>
    </w:p>
  </w:footnote>
  <w:footnote w:id="1766">
    <w:p w14:paraId="255708F0" w14:textId="77777777" w:rsidR="00FA2119" w:rsidRDefault="00FA2119" w:rsidP="00FA2119">
      <w:pPr>
        <w:pStyle w:val="a5"/>
      </w:pPr>
      <w:r>
        <w:rPr>
          <w:rStyle w:val="a7"/>
        </w:rPr>
        <w:footnoteRef/>
      </w:r>
      <w:r>
        <w:rPr>
          <w:rtl/>
        </w:rPr>
        <w:t xml:space="preserve"> </w:t>
      </w:r>
      <w:r>
        <w:rPr>
          <w:rFonts w:cs="Arial"/>
          <w:rtl/>
        </w:rPr>
        <w:t>דגט חוב הוא לה ואין חבין לאדם אלא מדעתו ליעשות לו שליח לחובתו, רש"י.</w:t>
      </w:r>
    </w:p>
  </w:footnote>
  <w:footnote w:id="1767">
    <w:p w14:paraId="16FEB5E2" w14:textId="77777777" w:rsidR="00FA2119" w:rsidRDefault="00FA2119" w:rsidP="00FA2119">
      <w:pPr>
        <w:pStyle w:val="a5"/>
      </w:pPr>
      <w:r>
        <w:rPr>
          <w:rStyle w:val="a7"/>
        </w:rPr>
        <w:footnoteRef/>
      </w:r>
      <w:r>
        <w:rPr>
          <w:rtl/>
        </w:rPr>
        <w:t xml:space="preserve"> </w:t>
      </w:r>
      <w:r>
        <w:rPr>
          <w:rFonts w:cs="Arial"/>
          <w:rtl/>
        </w:rPr>
        <w:t>גופים שנים כל דהו בעל, רש"י.</w:t>
      </w:r>
    </w:p>
  </w:footnote>
  <w:footnote w:id="1768">
    <w:p w14:paraId="449458A6" w14:textId="77777777" w:rsidR="00FA2119" w:rsidRDefault="00FA2119" w:rsidP="00FA2119">
      <w:pPr>
        <w:pStyle w:val="a5"/>
      </w:pPr>
      <w:r>
        <w:rPr>
          <w:rStyle w:val="a7"/>
        </w:rPr>
        <w:footnoteRef/>
      </w:r>
      <w:r>
        <w:rPr>
          <w:rtl/>
        </w:rPr>
        <w:t xml:space="preserve"> </w:t>
      </w:r>
      <w:r>
        <w:rPr>
          <w:rFonts w:cs="Arial"/>
          <w:rtl/>
        </w:rPr>
        <w:t>כלומר וכיון דחוב הוא לאשה אפי' א"ל בפירוש זכה בשבילה אם רצה לחזור יחזור</w:t>
      </w:r>
      <w:r>
        <w:rPr>
          <w:rtl/>
        </w:rPr>
        <w:t>, ר"ן (שם).</w:t>
      </w:r>
    </w:p>
  </w:footnote>
  <w:footnote w:id="1769">
    <w:p w14:paraId="0A199EF7" w14:textId="77777777" w:rsidR="00FA2119" w:rsidRDefault="00FA2119" w:rsidP="00FA2119">
      <w:pPr>
        <w:pStyle w:val="a5"/>
        <w:rPr>
          <w:rtl/>
        </w:rPr>
      </w:pPr>
      <w:r>
        <w:rPr>
          <w:rStyle w:val="a7"/>
        </w:rPr>
        <w:footnoteRef/>
      </w:r>
      <w:r>
        <w:rPr>
          <w:rtl/>
        </w:rPr>
        <w:t xml:space="preserve"> </w:t>
      </w:r>
      <w:r>
        <w:rPr>
          <w:rFonts w:cs="Arial"/>
          <w:rtl/>
        </w:rPr>
        <w:t>שכתב על שם הגאונים אמר לו זכי לה בגט זה ובא לחזור אינו יכול. ופירש הוא דבריהם כיון דא"ל זכי לה והיא רצונה בו מתגרשת, אבל בעל כרחה אינה מתגרשת.</w:t>
      </w:r>
      <w:r>
        <w:rPr>
          <w:rtl/>
        </w:rPr>
        <w:t xml:space="preserve"> </w:t>
      </w:r>
      <w:r>
        <w:rPr>
          <w:rFonts w:cs="Arial"/>
          <w:rtl/>
        </w:rPr>
        <w:t xml:space="preserve">ואין נראה אלא כל זמן שלא עשתה אותו שליח אין יכול לזכות לה שחוב הוא לה וא"כ יכול לחזור בו, טור. </w:t>
      </w:r>
      <w:r>
        <w:rPr>
          <w:rFonts w:cs="Arial"/>
          <w:sz w:val="16"/>
          <w:szCs w:val="16"/>
          <w:rtl/>
        </w:rPr>
        <w:t>(ועיין בסעיף הבא)</w:t>
      </w:r>
      <w:r>
        <w:rPr>
          <w:rFonts w:cs="Arial"/>
          <w:rtl/>
        </w:rPr>
        <w:t xml:space="preserve">. </w:t>
      </w:r>
    </w:p>
  </w:footnote>
  <w:footnote w:id="1770">
    <w:p w14:paraId="13F42839" w14:textId="77777777" w:rsidR="00FA2119" w:rsidRDefault="00FA2119" w:rsidP="00FA2119">
      <w:pPr>
        <w:pStyle w:val="a5"/>
      </w:pPr>
      <w:r>
        <w:rPr>
          <w:rStyle w:val="a7"/>
        </w:rPr>
        <w:footnoteRef/>
      </w:r>
      <w:r>
        <w:rPr>
          <w:rFonts w:cs="Arial"/>
          <w:rtl/>
        </w:rPr>
        <w:t xml:space="preserve"> ועיין לקמן סימן קמ"ה (בסוף הסימן) דכתב הטור דאין מזכין גט במקום יבם. וכתב המרדכי פרק האשה שלום (סי' עט) דאפילו במקום יבם קטן אין מזכין, וכן הוא בתשובת רש"י שם (במרדכי סי' פ), דרכ"מ (אות ד).</w:t>
      </w:r>
    </w:p>
  </w:footnote>
  <w:footnote w:id="1771">
    <w:p w14:paraId="18B7D8EB" w14:textId="4FF9F86B" w:rsidR="00FA2119" w:rsidRDefault="00FA2119" w:rsidP="00FA2119">
      <w:pPr>
        <w:pStyle w:val="a5"/>
        <w:rPr>
          <w:rFonts w:cs="Arial"/>
        </w:rPr>
      </w:pPr>
      <w:r>
        <w:rPr>
          <w:rStyle w:val="a7"/>
        </w:rPr>
        <w:footnoteRef/>
      </w:r>
      <w:r>
        <w:rPr>
          <w:rtl/>
        </w:rPr>
        <w:t xml:space="preserve"> </w:t>
      </w:r>
      <w:r w:rsidR="000A0F5A">
        <w:rPr>
          <w:rFonts w:cs="Arial"/>
          <w:rtl/>
        </w:rPr>
        <w:t>וז"ל:</w:t>
      </w:r>
      <w:r>
        <w:rPr>
          <w:rFonts w:cs="Arial"/>
          <w:rtl/>
        </w:rPr>
        <w:t xml:space="preserve"> יש טעם אחר בזה הגט שאינו יכול לבטלו, שכתב בשטר השליחות 'זכה בגט זה לאשתי והוליכהו לה', ואם זכות הוא אינו יכול לחזור ולבטלו, שכבר זכתה בו. ואע"פ שנאמר שלא נתגרשה עד דמטי גיטא לידה, מכל מקום יועיל לגבי שלא יוכל לחזור, כדאמרינן גבי עבד דזכות הוא ואם רצה האדון לחזור לא יחזור, נהי דעד דמטי לידיה לא משתחרר לדעת הר"ש. ואע"ג דאיבעיא לן המזכה גט לאשתו במקום קטטה מהו ומסקינן אפילו הכי חוב הוא לה דטב למיתב טן דו, מכל מקום כבר כתבו הראשונים דהיכא דידוע לכל שהוא זכות כגון בגט דמשומד דזכות הוא דבהא לא שייך למימר טב למיתב טן דו שהכל יודעים שלא תרצה לחזור עמו וטוב לה המות ממנו, ודאי זכות הוא לה וזכין לה שלא בפניה. וכן יש לנו לומר בנדון זה שאנו יודעים ששאלה הגט כמה פעמים ואנו רואים שמחשיבתו לזכות מצי למיזכי שליח בשבילה כשיאמר לו הבעל זכי בגט. עכ"ל הר"ן (סי' מג) בשמו. </w:t>
      </w:r>
      <w:r>
        <w:rPr>
          <w:rFonts w:cs="Arial"/>
          <w:b/>
          <w:bCs/>
          <w:rtl/>
        </w:rPr>
        <w:t>וחלק עליו</w:t>
      </w:r>
      <w:r>
        <w:rPr>
          <w:rFonts w:cs="Arial"/>
          <w:rtl/>
        </w:rPr>
        <w:t xml:space="preserve"> </w:t>
      </w:r>
      <w:r>
        <w:rPr>
          <w:rFonts w:cs="Arial"/>
          <w:b/>
          <w:bCs/>
          <w:rtl/>
        </w:rPr>
        <w:t>הר"ן</w:t>
      </w:r>
      <w:r>
        <w:rPr>
          <w:rFonts w:cs="Arial"/>
          <w:rtl/>
        </w:rPr>
        <w:t xml:space="preserve"> וכתב </w:t>
      </w:r>
      <w:r w:rsidR="000A0F5A">
        <w:rPr>
          <w:rFonts w:cs="Arial"/>
          <w:rtl/>
        </w:rPr>
        <w:t>וז"ל:</w:t>
      </w:r>
      <w:r>
        <w:rPr>
          <w:rFonts w:cs="Arial"/>
          <w:rtl/>
        </w:rPr>
        <w:t xml:space="preserve"> כיון דאסקינן בגמרא דאפי' במקום קטטה חוב הוא לה, סתמא קאמרינן ואפי' תובעת להתגרש, והכי איתא בהדיא בירושלמי... וכן כתב בחידושי הרשב"א מפורש שאפי' אשת מוכה שחין או שהיתה קטטה בינו לבינה ותובעת להתגרש אין חוששין לה כלל אלא חולצת או מתיבמת, וגם אני ידעתי כי מורנו הרב ותורתו אמת, ולפי שהאשה באשר היא שם מותרת לינשא עשה סניפין לדבריו לצורך השעה שאין ספק שעכשיו היא מותרת להנשא אך מאשר ירא אנכי ממה שכתבתי בתחלה אגלה אזנכם וידעתם את אשר תעשו עכ"ל.</w:t>
      </w:r>
    </w:p>
  </w:footnote>
  <w:footnote w:id="1772">
    <w:p w14:paraId="60096A6A" w14:textId="1CFE3042" w:rsidR="00FA2119" w:rsidRDefault="00FA2119" w:rsidP="00FA2119">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 xml:space="preserve">משומד שאמר זכה בגט זה לאשתי ומת קודם שהגיע הגט לידה כתבו גדולי האחרונים שמגורשת דודאי זכות הוא לה וכן כתב בתשוב' הרב רבי יהודה בן מורי הרא"ש ז"ל דודאי סניא ליה פירוש שונאה אותו כדאמרינן </w:t>
      </w:r>
      <w:r>
        <w:rPr>
          <w:rFonts w:cs="Arial"/>
          <w:sz w:val="16"/>
          <w:szCs w:val="16"/>
          <w:rtl/>
        </w:rPr>
        <w:t xml:space="preserve">(גיטין יא:) </w:t>
      </w:r>
      <w:r>
        <w:rPr>
          <w:rFonts w:cs="Arial"/>
          <w:rtl/>
        </w:rPr>
        <w:t>גבי עבד דאין יכול לחזור בו אע"ג דחוזר באשה.</w:t>
      </w:r>
    </w:p>
  </w:footnote>
  <w:footnote w:id="1773">
    <w:p w14:paraId="64444371" w14:textId="77777777" w:rsidR="00FA2119" w:rsidRDefault="00FA2119" w:rsidP="00FA2119">
      <w:pPr>
        <w:pStyle w:val="a5"/>
      </w:pPr>
      <w:r>
        <w:rPr>
          <w:rStyle w:val="a7"/>
        </w:rPr>
        <w:footnoteRef/>
      </w:r>
      <w:r>
        <w:rPr>
          <w:rtl/>
        </w:rPr>
        <w:t xml:space="preserve"> </w:t>
      </w:r>
      <w:r>
        <w:rPr>
          <w:rFonts w:cs="Arial"/>
          <w:rtl/>
        </w:rPr>
        <w:t xml:space="preserve">כתב הב"י שבספר אגודה </w:t>
      </w:r>
      <w:r>
        <w:rPr>
          <w:rFonts w:cs="Arial"/>
          <w:sz w:val="16"/>
          <w:szCs w:val="16"/>
          <w:rtl/>
        </w:rPr>
        <w:t xml:space="preserve">(הביאו מהרי"ל [שם] ומהרי"ק [שורש קמא]) </w:t>
      </w:r>
      <w:r>
        <w:rPr>
          <w:rFonts w:cs="Arial"/>
          <w:rtl/>
        </w:rPr>
        <w:t>כתוב פעם אחת אמרתי למשומד לזכות גט לאשתו שהיתה במקום רחוק ואמרו לי אשר יפה עשיתי עכ"ל. אלא שמהרי"ק כתב (שם) שאפשר לפרש דברי ספר אגודה משום שהיה ירא פן היה המשומד מתחרט ומבטל הגט טרם יגיע ליד האשה, ומשום כך אמר ליה לזכות לה על ידי אחר והודו לו רבותיו, אבל-...</w:t>
      </w:r>
    </w:p>
  </w:footnote>
  <w:footnote w:id="1774">
    <w:p w14:paraId="29DC2536" w14:textId="77777777" w:rsidR="00FA2119" w:rsidRDefault="00FA2119" w:rsidP="00FA2119">
      <w:pPr>
        <w:pStyle w:val="a5"/>
      </w:pPr>
      <w:r>
        <w:rPr>
          <w:rStyle w:val="a7"/>
        </w:rPr>
        <w:footnoteRef/>
      </w:r>
      <w:r>
        <w:rPr>
          <w:rtl/>
        </w:rPr>
        <w:t xml:space="preserve"> </w:t>
      </w:r>
      <w:r>
        <w:rPr>
          <w:rFonts w:cs="Arial"/>
          <w:rtl/>
        </w:rPr>
        <w:t>דסבירא ליה למהרי"ק דכי איבעיא לן בפרק האשה שלום מהו לזכות גט לאשה במקום יבם ובמקום קטטה לדעת הרי"ף (גיטין ה.) לענין אם יוכל הבעל לחזור הם אבל לא להתירה בגט זה עד שיגיע לידה. ובסימן קמ"ה בע"ה אכתוב נגד דבריו, ב"י.</w:t>
      </w:r>
    </w:p>
  </w:footnote>
  <w:footnote w:id="1775">
    <w:p w14:paraId="7D8C5650" w14:textId="77777777" w:rsidR="00FA2119" w:rsidRDefault="00FA2119" w:rsidP="00FA2119">
      <w:pPr>
        <w:pStyle w:val="a5"/>
      </w:pPr>
      <w:r>
        <w:rPr>
          <w:rStyle w:val="a7"/>
        </w:rPr>
        <w:footnoteRef/>
      </w:r>
      <w:r>
        <w:rPr>
          <w:rtl/>
        </w:rPr>
        <w:t xml:space="preserve"> </w:t>
      </w:r>
      <w:r>
        <w:rPr>
          <w:rFonts w:cs="Arial"/>
          <w:rtl/>
        </w:rPr>
        <w:t>כתב הב"י שתורה"ד כתב כמה תשובות וכמה דקדוקים מהם להקל ולומר שתתגרש מיד בקבלתו של זה. ומהם להחמיר ולומר דלא מהני זיכוי זה אלא לענין שלא יוכל לחזור אבל לעולם אינה מתגרשת עד שיגיע גט לידה. ובסוף דבריו העלה ש</w:t>
      </w:r>
      <w:r>
        <w:rPr>
          <w:rtl/>
        </w:rPr>
        <w:t>-...</w:t>
      </w:r>
    </w:p>
  </w:footnote>
  <w:footnote w:id="1776">
    <w:p w14:paraId="7EA1947A" w14:textId="2739856D" w:rsidR="0084424C" w:rsidRDefault="0084424C">
      <w:pPr>
        <w:pStyle w:val="a5"/>
        <w:rPr>
          <w:rtl/>
        </w:rPr>
      </w:pPr>
      <w:r>
        <w:rPr>
          <w:rStyle w:val="a7"/>
        </w:rPr>
        <w:footnoteRef/>
      </w:r>
      <w:r>
        <w:rPr>
          <w:rtl/>
        </w:rPr>
        <w:t xml:space="preserve"> </w:t>
      </w:r>
      <w:r>
        <w:rPr>
          <w:rFonts w:hint="cs"/>
          <w:rtl/>
        </w:rPr>
        <w:t xml:space="preserve">וכ"כ </w:t>
      </w:r>
      <w:r>
        <w:rPr>
          <w:rtl/>
        </w:rPr>
        <w:t>מהר"ם</w:t>
      </w:r>
      <w:r>
        <w:rPr>
          <w:rFonts w:cs="Arial"/>
          <w:rtl/>
        </w:rPr>
        <w:t xml:space="preserve"> </w:t>
      </w:r>
      <w:r>
        <w:rPr>
          <w:rFonts w:cs="Arial"/>
          <w:sz w:val="16"/>
          <w:szCs w:val="16"/>
          <w:rtl/>
        </w:rPr>
        <w:t>(כ"כ מהרי"ל בשמו)</w:t>
      </w:r>
      <w:r>
        <w:rPr>
          <w:rFonts w:cs="Arial"/>
          <w:rtl/>
        </w:rPr>
        <w:t xml:space="preserve"> ומהרי"ל</w:t>
      </w:r>
      <w:r>
        <w:rPr>
          <w:rFonts w:cs="Arial"/>
          <w:sz w:val="16"/>
          <w:szCs w:val="16"/>
          <w:rtl/>
        </w:rPr>
        <w:t xml:space="preserve"> (בשו"ת סי' ק)</w:t>
      </w:r>
      <w:r>
        <w:rPr>
          <w:rtl/>
        </w:rPr>
        <w:t xml:space="preserve"> </w:t>
      </w:r>
      <w:r>
        <w:rPr>
          <w:rFonts w:hint="cs"/>
          <w:rtl/>
        </w:rPr>
        <w:t>ד</w:t>
      </w:r>
      <w:r>
        <w:rPr>
          <w:rFonts w:cs="Arial"/>
          <w:rtl/>
        </w:rPr>
        <w:t>אסור לקבל לה גיטה דשמא אינו זכות לה וכן נוהגין</w:t>
      </w:r>
      <w:r>
        <w:rPr>
          <w:rtl/>
        </w:rPr>
        <w:t>.</w:t>
      </w:r>
    </w:p>
  </w:footnote>
  <w:footnote w:id="1777">
    <w:p w14:paraId="0BD84921" w14:textId="77777777" w:rsidR="00FA2119" w:rsidRPr="0084424C" w:rsidRDefault="00FA2119" w:rsidP="00FA2119">
      <w:pPr>
        <w:pStyle w:val="a5"/>
        <w:rPr>
          <w:color w:val="000000" w:themeColor="text1"/>
          <w:rtl/>
        </w:rPr>
      </w:pPr>
      <w:r w:rsidRPr="0084424C">
        <w:rPr>
          <w:rStyle w:val="a7"/>
          <w:color w:val="000000" w:themeColor="text1"/>
        </w:rPr>
        <w:footnoteRef/>
      </w:r>
      <w:r w:rsidRPr="0084424C">
        <w:rPr>
          <w:color w:val="000000" w:themeColor="text1"/>
          <w:rtl/>
        </w:rPr>
        <w:t xml:space="preserve"> </w:t>
      </w:r>
      <w:r w:rsidRPr="0084424C">
        <w:rPr>
          <w:rFonts w:hint="cs"/>
          <w:color w:val="000000" w:themeColor="text1"/>
          <w:rtl/>
        </w:rPr>
        <w:t xml:space="preserve">קשה שהרי הר"ן עצמו כתב </w:t>
      </w:r>
      <w:r w:rsidRPr="0084424C">
        <w:rPr>
          <w:rFonts w:cs="Arial"/>
          <w:color w:val="000000" w:themeColor="text1"/>
          <w:sz w:val="16"/>
          <w:szCs w:val="16"/>
          <w:rtl/>
        </w:rPr>
        <w:t>(גיטין כח. ד"ה האומר)</w:t>
      </w:r>
      <w:r w:rsidRPr="0084424C">
        <w:rPr>
          <w:rFonts w:cs="Arial"/>
          <w:color w:val="000000" w:themeColor="text1"/>
          <w:rtl/>
        </w:rPr>
        <w:t xml:space="preserve"> דמכיון דלא איפשיטא, חולצת ולא מתייבמת. וצל"ע.</w:t>
      </w:r>
    </w:p>
  </w:footnote>
  <w:footnote w:id="1778">
    <w:p w14:paraId="037A3974" w14:textId="64C07366" w:rsidR="00FA2119" w:rsidRPr="0084424C" w:rsidRDefault="00FA2119" w:rsidP="00FA2119">
      <w:pPr>
        <w:pStyle w:val="a5"/>
        <w:rPr>
          <w:color w:val="000000" w:themeColor="text1"/>
        </w:rPr>
      </w:pPr>
      <w:r w:rsidRPr="0084424C">
        <w:rPr>
          <w:rStyle w:val="a7"/>
          <w:color w:val="000000" w:themeColor="text1"/>
        </w:rPr>
        <w:footnoteRef/>
      </w:r>
      <w:r w:rsidRPr="0084424C">
        <w:rPr>
          <w:color w:val="000000" w:themeColor="text1"/>
          <w:rtl/>
        </w:rPr>
        <w:t xml:space="preserve"> </w:t>
      </w:r>
      <w:r w:rsidRPr="0084424C">
        <w:rPr>
          <w:rFonts w:hint="cs"/>
          <w:color w:val="000000" w:themeColor="text1"/>
          <w:rtl/>
        </w:rPr>
        <w:t>צ</w:t>
      </w:r>
      <w:r w:rsidR="0084424C" w:rsidRPr="0084424C">
        <w:rPr>
          <w:rFonts w:hint="cs"/>
          <w:color w:val="000000" w:themeColor="text1"/>
          <w:rtl/>
        </w:rPr>
        <w:t>ל</w:t>
      </w:r>
      <w:r w:rsidRPr="0084424C">
        <w:rPr>
          <w:rFonts w:hint="cs"/>
          <w:color w:val="000000" w:themeColor="text1"/>
          <w:rtl/>
        </w:rPr>
        <w:t>"ע אם דעת הב"י בכתיבת דברים אלו לחזור בו ממה שכתב מקודם דהוי גט.</w:t>
      </w:r>
    </w:p>
  </w:footnote>
  <w:footnote w:id="1779">
    <w:p w14:paraId="02FACF0B" w14:textId="77777777" w:rsidR="00FA2119" w:rsidRDefault="00FA2119" w:rsidP="00FA2119">
      <w:pPr>
        <w:pStyle w:val="a5"/>
      </w:pPr>
      <w:r>
        <w:rPr>
          <w:rStyle w:val="a7"/>
        </w:rPr>
        <w:footnoteRef/>
      </w:r>
      <w:r>
        <w:rPr>
          <w:rtl/>
        </w:rPr>
        <w:t xml:space="preserve"> </w:t>
      </w:r>
      <w:r>
        <w:rPr>
          <w:rFonts w:cs="Arial"/>
          <w:rtl/>
        </w:rPr>
        <w:t>ונראה לפי דעתו שכן הוא המנהג</w:t>
      </w:r>
      <w:r>
        <w:rPr>
          <w:rtl/>
        </w:rPr>
        <w:t>, ב"י.</w:t>
      </w:r>
    </w:p>
  </w:footnote>
  <w:footnote w:id="1780">
    <w:p w14:paraId="6AE57970" w14:textId="77777777" w:rsidR="00FA2119" w:rsidRDefault="00FA2119" w:rsidP="00FA2119">
      <w:pPr>
        <w:pStyle w:val="a5"/>
        <w:rPr>
          <w:rtl/>
        </w:rPr>
      </w:pPr>
      <w:r>
        <w:rPr>
          <w:rStyle w:val="a7"/>
        </w:rPr>
        <w:footnoteRef/>
      </w:r>
      <w:r>
        <w:rPr>
          <w:rtl/>
        </w:rPr>
        <w:t xml:space="preserve"> </w:t>
      </w:r>
      <w:r>
        <w:rPr>
          <w:rFonts w:cs="Arial"/>
          <w:rtl/>
        </w:rPr>
        <w:t>והיינו על כרחך מטעם זכין לאדם שלא בפניו כדמשמע התם. ומהרי"ק בשורש קמ"א כתב דלדעת רש"י (גיטין יג. ד"ה האומר) והתוספות (שם) ודאי מתגרשת בקבלתו של זה אבל לדעת הרי"ף (שם ה.) אינה מתגרשת עד שיגיע הגט לידה ויתבארו דבריו בסימן קמ"ה בסייעתא דשמיא, ב"י</w:t>
      </w:r>
      <w:r>
        <w:rPr>
          <w:rtl/>
        </w:rPr>
        <w:t>.</w:t>
      </w:r>
    </w:p>
  </w:footnote>
  <w:footnote w:id="1781">
    <w:p w14:paraId="0070B07C" w14:textId="77777777" w:rsidR="00FA2119" w:rsidRDefault="00FA2119" w:rsidP="00FA2119">
      <w:pPr>
        <w:pStyle w:val="a5"/>
      </w:pPr>
      <w:r>
        <w:rPr>
          <w:rStyle w:val="a7"/>
        </w:rPr>
        <w:footnoteRef/>
      </w:r>
      <w:r>
        <w:rPr>
          <w:rtl/>
        </w:rPr>
        <w:t xml:space="preserve"> </w:t>
      </w:r>
      <w:r>
        <w:rPr>
          <w:rFonts w:cs="Arial"/>
          <w:rtl/>
        </w:rPr>
        <w:t>לעיל סימן א' פסק בפשיטות דיכול לזכות גט לאשתו מומרת וכאן הביא דעת מהרי"ק המחמיר. וצ"ל דוקא בנאסרת מחמיר ולא במומרת אע"ג לפי הטעם של מהרי"ק אין לחלק דהא כתב דיש להחמיר כדי לחוש לדעת הרי"ף דס"ל אפי' כשיש זכות לה מ"מ אינה מגורשת עד שמגיע הגט לידה מ"מ במומרת כבר נתפשט המנהג כמ"ש שם לא בעינן למשכוני נפשאי ממנהג מקומות לכן מחלק בין מומרת לנאסרת, ב"ש (סק"ז).</w:t>
      </w:r>
    </w:p>
  </w:footnote>
  <w:footnote w:id="1782">
    <w:p w14:paraId="7E2F33B9" w14:textId="77777777" w:rsidR="00FA2119" w:rsidRDefault="00FA2119" w:rsidP="00FA2119">
      <w:pPr>
        <w:pStyle w:val="a5"/>
      </w:pPr>
      <w:r>
        <w:rPr>
          <w:rStyle w:val="a7"/>
        </w:rPr>
        <w:footnoteRef/>
      </w:r>
      <w:r>
        <w:rPr>
          <w:rtl/>
        </w:rPr>
        <w:t xml:space="preserve"> </w:t>
      </w:r>
      <w:r>
        <w:rPr>
          <w:rFonts w:cs="Arial"/>
          <w:rtl/>
        </w:rPr>
        <w:t>כיון דאמרן אין יכול לחזור אין לו תקנה לחזור אא"כ אמר לו הבעל לזה שעשתה אותו שליח לקבלה אי אפשי שתקבל לה להיות כידה אלא שליח שלי תהא להוליכו לידה, רש"י.</w:t>
      </w:r>
    </w:p>
  </w:footnote>
  <w:footnote w:id="1783">
    <w:p w14:paraId="73E046A0" w14:textId="77777777" w:rsidR="00FA2119" w:rsidRDefault="00FA2119" w:rsidP="00FA2119">
      <w:pPr>
        <w:pStyle w:val="a5"/>
      </w:pPr>
      <w:r>
        <w:rPr>
          <w:rStyle w:val="a7"/>
        </w:rPr>
        <w:footnoteRef/>
      </w:r>
      <w:r>
        <w:rPr>
          <w:rtl/>
        </w:rPr>
        <w:t xml:space="preserve"> </w:t>
      </w:r>
      <w:r>
        <w:rPr>
          <w:rFonts w:cs="Arial"/>
          <w:rtl/>
        </w:rPr>
        <w:t>כל זמן שלא הגיע גט לידה</w:t>
      </w:r>
      <w:r>
        <w:rPr>
          <w:rtl/>
        </w:rPr>
        <w:t>, רש"י.</w:t>
      </w:r>
    </w:p>
  </w:footnote>
  <w:footnote w:id="1784">
    <w:p w14:paraId="7E026E9E" w14:textId="77777777" w:rsidR="00FA2119" w:rsidRDefault="00FA2119" w:rsidP="00FA2119">
      <w:pPr>
        <w:pStyle w:val="a5"/>
        <w:rPr>
          <w:rtl/>
        </w:rPr>
      </w:pPr>
      <w:r>
        <w:rPr>
          <w:rStyle w:val="a7"/>
        </w:rPr>
        <w:footnoteRef/>
      </w:r>
      <w:r>
        <w:rPr>
          <w:rtl/>
        </w:rPr>
        <w:t xml:space="preserve"> </w:t>
      </w:r>
      <w:r>
        <w:rPr>
          <w:rFonts w:cs="Arial"/>
          <w:rtl/>
        </w:rPr>
        <w:t>שאינה מתגרשת אלא מדעת המגרש והרי אמר לא יהא גט עד שיגיע גט לידה, רש"י.</w:t>
      </w:r>
    </w:p>
  </w:footnote>
  <w:footnote w:id="1785">
    <w:p w14:paraId="3E5AA566" w14:textId="77777777" w:rsidR="00FA2119" w:rsidRDefault="00FA2119" w:rsidP="00FA2119">
      <w:pPr>
        <w:pStyle w:val="a5"/>
      </w:pPr>
      <w:r>
        <w:rPr>
          <w:rStyle w:val="a7"/>
        </w:rPr>
        <w:footnoteRef/>
      </w:r>
      <w:r>
        <w:rPr>
          <w:rtl/>
        </w:rPr>
        <w:t xml:space="preserve"> </w:t>
      </w:r>
      <w:r>
        <w:rPr>
          <w:rFonts w:cs="Arial"/>
          <w:rtl/>
        </w:rPr>
        <w:t>כלומר אמר השליח לבעל 'אשתך אמרה התקבל', וכן היה האמת שאמרה לו התקבל</w:t>
      </w:r>
      <w:r>
        <w:rPr>
          <w:rtl/>
        </w:rPr>
        <w:t>, ב"י.</w:t>
      </w:r>
    </w:p>
  </w:footnote>
  <w:footnote w:id="1786">
    <w:p w14:paraId="36881997" w14:textId="77777777" w:rsidR="00FA2119" w:rsidRDefault="00FA2119" w:rsidP="00FA2119">
      <w:pPr>
        <w:pStyle w:val="a5"/>
        <w:rPr>
          <w:rtl/>
        </w:rPr>
      </w:pPr>
      <w:r>
        <w:rPr>
          <w:rStyle w:val="a7"/>
        </w:rPr>
        <w:footnoteRef/>
      </w:r>
      <w:r>
        <w:rPr>
          <w:rtl/>
        </w:rPr>
        <w:t xml:space="preserve"> </w:t>
      </w:r>
      <w:r>
        <w:rPr>
          <w:rFonts w:cs="Arial"/>
          <w:rtl/>
        </w:rPr>
        <w:t>קסבר הולך כזכי דמי</w:t>
      </w:r>
      <w:r>
        <w:rPr>
          <w:rtl/>
        </w:rPr>
        <w:t>, רש"י.</w:t>
      </w:r>
    </w:p>
  </w:footnote>
  <w:footnote w:id="1787">
    <w:p w14:paraId="1E4A8009" w14:textId="77777777" w:rsidR="00FA2119" w:rsidRDefault="00FA2119" w:rsidP="00FA2119">
      <w:pPr>
        <w:pStyle w:val="a5"/>
        <w:rPr>
          <w:rtl/>
        </w:rPr>
      </w:pPr>
      <w:r>
        <w:rPr>
          <w:rStyle w:val="a7"/>
        </w:rPr>
        <w:footnoteRef/>
      </w:r>
      <w:r>
        <w:rPr>
          <w:rtl/>
        </w:rPr>
        <w:t xml:space="preserve"> </w:t>
      </w:r>
      <w:r>
        <w:rPr>
          <w:rFonts w:cs="Arial"/>
          <w:rtl/>
        </w:rPr>
        <w:t>גלי דעתיה דהולך דקאמר ליה לאו זכי הוא</w:t>
      </w:r>
      <w:r>
        <w:rPr>
          <w:rtl/>
        </w:rPr>
        <w:t>, רש"י.</w:t>
      </w:r>
    </w:p>
  </w:footnote>
  <w:footnote w:id="1788">
    <w:p w14:paraId="2B1EAC5E" w14:textId="77777777" w:rsidR="00FA2119" w:rsidRDefault="00FA2119" w:rsidP="00FA2119">
      <w:pPr>
        <w:pStyle w:val="a5"/>
        <w:rPr>
          <w:rtl/>
        </w:rPr>
      </w:pPr>
      <w:r>
        <w:rPr>
          <w:rStyle w:val="a7"/>
        </w:rPr>
        <w:footnoteRef/>
      </w:r>
      <w:r>
        <w:rPr>
          <w:rtl/>
        </w:rPr>
        <w:t xml:space="preserve"> </w:t>
      </w:r>
      <w:r>
        <w:rPr>
          <w:rFonts w:cs="Arial"/>
          <w:rtl/>
        </w:rPr>
        <w:t>אם מת הבעל קודם שהגיע גט לידה חולצת ולא מתייבמת, רש"י.</w:t>
      </w:r>
    </w:p>
  </w:footnote>
  <w:footnote w:id="1789">
    <w:p w14:paraId="52C7567B" w14:textId="77777777" w:rsidR="00FA2119" w:rsidRDefault="00FA2119" w:rsidP="00FA2119">
      <w:pPr>
        <w:pStyle w:val="a5"/>
      </w:pPr>
      <w:r>
        <w:rPr>
          <w:rStyle w:val="a7"/>
        </w:rPr>
        <w:footnoteRef/>
      </w:r>
      <w:r>
        <w:rPr>
          <w:rtl/>
        </w:rPr>
        <w:t xml:space="preserve"> </w:t>
      </w:r>
      <w:r>
        <w:rPr>
          <w:rFonts w:cs="Arial"/>
          <w:rtl/>
        </w:rPr>
        <w:t>ונתגרשה בקבלתו של זה אי לאו כזכי, רש"י.</w:t>
      </w:r>
    </w:p>
  </w:footnote>
  <w:footnote w:id="1790">
    <w:p w14:paraId="444D9FB3" w14:textId="77777777" w:rsidR="00FA2119" w:rsidRDefault="00FA2119" w:rsidP="00FA2119">
      <w:pPr>
        <w:pStyle w:val="a5"/>
      </w:pPr>
      <w:r>
        <w:rPr>
          <w:rStyle w:val="a7"/>
        </w:rPr>
        <w:footnoteRef/>
      </w:r>
      <w:r>
        <w:rPr>
          <w:rtl/>
        </w:rPr>
        <w:t xml:space="preserve"> </w:t>
      </w:r>
      <w:r>
        <w:rPr>
          <w:rFonts w:cs="Arial"/>
          <w:rtl/>
        </w:rPr>
        <w:t>המשלח באחריותו שהרי לא צוהו המלוה לשולחו, רש"י.</w:t>
      </w:r>
    </w:p>
  </w:footnote>
  <w:footnote w:id="1791">
    <w:p w14:paraId="70F468E5" w14:textId="77777777" w:rsidR="00FA2119" w:rsidRDefault="00FA2119" w:rsidP="00FA2119">
      <w:pPr>
        <w:pStyle w:val="a5"/>
      </w:pPr>
      <w:r>
        <w:rPr>
          <w:rStyle w:val="a7"/>
        </w:rPr>
        <w:footnoteRef/>
      </w:r>
      <w:r>
        <w:rPr>
          <w:rtl/>
        </w:rPr>
        <w:t xml:space="preserve"> </w:t>
      </w:r>
      <w:r>
        <w:rPr>
          <w:rFonts w:cs="Arial"/>
          <w:rtl/>
        </w:rPr>
        <w:t>אלמא כזכי דמי</w:t>
      </w:r>
      <w:r>
        <w:rPr>
          <w:rtl/>
        </w:rPr>
        <w:t>, רש"י.</w:t>
      </w:r>
    </w:p>
  </w:footnote>
  <w:footnote w:id="1792">
    <w:p w14:paraId="6B691558" w14:textId="77777777" w:rsidR="00FA2119" w:rsidRDefault="00FA2119" w:rsidP="00FA2119">
      <w:pPr>
        <w:pStyle w:val="a5"/>
        <w:rPr>
          <w:rtl/>
        </w:rPr>
      </w:pPr>
      <w:r>
        <w:rPr>
          <w:rStyle w:val="a7"/>
        </w:rPr>
        <w:footnoteRef/>
      </w:r>
      <w:r>
        <w:rPr>
          <w:rtl/>
        </w:rPr>
        <w:t xml:space="preserve"> </w:t>
      </w:r>
      <w:r>
        <w:rPr>
          <w:rFonts w:cs="Arial"/>
          <w:rtl/>
        </w:rPr>
        <w:t>והמוציא מחבירו ידו על התחתונה לפיכך אינו חוזר, רש"י.</w:t>
      </w:r>
    </w:p>
  </w:footnote>
  <w:footnote w:id="1793">
    <w:p w14:paraId="3964D06C" w14:textId="77777777" w:rsidR="00FA2119" w:rsidRDefault="00FA2119" w:rsidP="00FA2119">
      <w:pPr>
        <w:pStyle w:val="a5"/>
      </w:pPr>
      <w:r>
        <w:rPr>
          <w:rStyle w:val="a7"/>
        </w:rPr>
        <w:footnoteRef/>
      </w:r>
      <w:r>
        <w:rPr>
          <w:rtl/>
        </w:rPr>
        <w:t xml:space="preserve"> </w:t>
      </w:r>
      <w:r>
        <w:rPr>
          <w:rFonts w:cs="Arial"/>
          <w:rtl/>
        </w:rPr>
        <w:t>וכתב עוד הרמב"ם (שם) דהוא הדין אם אמר ליה 'הולך ותן' עקר שליחות הקבלה. וכתב הה"מ שכן כתב הרמב"ן (סג: ד"ה הא דאמרי'), וכך הוא דעתו. וגם הר"ן (כח: ד"ה תנו רבנן) כתב דלדעת הרי"ף כיון דקיי"ל כרבי נתן בהולך, בתן נמי קיי"ל כוותיה, ואע"ג דאמרינן בפ"ק (יא:) גבי עבד כל האומר תנו כאומר זכו דמי, היינו טעמא משום דכיון דהרבה פעמים נותן דמי עצמו ויוצא הוי ליה כחוב, אבל בגיטי נשים ומתנה תן לאו כזכי, ב"י.</w:t>
      </w:r>
      <w:r>
        <w:rPr>
          <w:rFonts w:cs="Arial"/>
          <w:color w:val="E36C0A" w:themeColor="accent6" w:themeShade="BF"/>
          <w:rtl/>
        </w:rPr>
        <w:t xml:space="preserve"> (וכ"פ בשו"ע)</w:t>
      </w:r>
    </w:p>
  </w:footnote>
  <w:footnote w:id="1794">
    <w:p w14:paraId="6B9C9806" w14:textId="77777777" w:rsidR="00FA2119" w:rsidRDefault="00FA2119" w:rsidP="00FA2119">
      <w:pPr>
        <w:pStyle w:val="a5"/>
      </w:pPr>
      <w:r>
        <w:rPr>
          <w:rStyle w:val="a7"/>
        </w:rPr>
        <w:footnoteRef/>
      </w:r>
      <w:r>
        <w:rPr>
          <w:rtl/>
        </w:rPr>
        <w:t xml:space="preserve"> </w:t>
      </w:r>
      <w:r>
        <w:rPr>
          <w:rFonts w:cs="Arial"/>
          <w:rtl/>
        </w:rPr>
        <w:t>וגם דעת הר"ן נוטה לומר דמספקא לן כרב</w:t>
      </w:r>
      <w:r>
        <w:rPr>
          <w:rtl/>
        </w:rPr>
        <w:t>.</w:t>
      </w:r>
    </w:p>
  </w:footnote>
  <w:footnote w:id="1795">
    <w:p w14:paraId="71810162" w14:textId="77777777" w:rsidR="00FA2119" w:rsidRDefault="00FA2119" w:rsidP="00FA2119">
      <w:pPr>
        <w:pStyle w:val="a5"/>
        <w:rPr>
          <w:rtl/>
        </w:rPr>
      </w:pPr>
      <w:r>
        <w:rPr>
          <w:rStyle w:val="a7"/>
        </w:rPr>
        <w:footnoteRef/>
      </w:r>
      <w:r>
        <w:rPr>
          <w:rtl/>
        </w:rPr>
        <w:t xml:space="preserve"> </w:t>
      </w:r>
      <w:r>
        <w:rPr>
          <w:rFonts w:cs="Arial"/>
          <w:rtl/>
        </w:rPr>
        <w:t>והוא הדין אם אמר 'לא תהא שלוחה אלא שלוחי', ר"ן (כח. ד"ה לפיכך, כ"כ בשמו הדרכ"מ [אות ד*]).</w:t>
      </w:r>
    </w:p>
  </w:footnote>
  <w:footnote w:id="1796">
    <w:p w14:paraId="7D1EF952" w14:textId="77777777" w:rsidR="00FA2119" w:rsidRDefault="00FA2119" w:rsidP="00FA2119">
      <w:pPr>
        <w:pStyle w:val="a5"/>
      </w:pPr>
      <w:r>
        <w:rPr>
          <w:rStyle w:val="a7"/>
        </w:rPr>
        <w:footnoteRef/>
      </w:r>
      <w:r>
        <w:rPr>
          <w:rtl/>
        </w:rPr>
        <w:t xml:space="preserve"> </w:t>
      </w:r>
      <w:r>
        <w:rPr>
          <w:rFonts w:cs="Arial"/>
          <w:rtl/>
        </w:rPr>
        <w:t>בחלק מהגרסאות בדברי הטור כתוב 'הולך', אבל אין זה נכון וצריך לגרוס 'הילך'. חדא דאל"כ הרי כבר הזכיר דין זה לפני שתי שורות. ועוד דכך אסיקנא בגמרא (סג:) דלרבי נתן אם אמר לו הילך הוי כאומר זכי, והרי"ף והרא"ש והרמב"ם (שם) ז"ל כתבוהו. וכתב הב"י (בבדה"ב) שכן מצא בספר מדוייק מספרי רבינו</w:t>
      </w:r>
      <w:r>
        <w:rPr>
          <w:rtl/>
        </w:rPr>
        <w:t xml:space="preserve"> דכתוב 'הילך'.</w:t>
      </w:r>
    </w:p>
  </w:footnote>
  <w:footnote w:id="1797">
    <w:p w14:paraId="284FAE36" w14:textId="77777777" w:rsidR="00FA2119" w:rsidRDefault="00FA2119" w:rsidP="00FA2119">
      <w:pPr>
        <w:pStyle w:val="a5"/>
      </w:pPr>
      <w:r>
        <w:rPr>
          <w:rStyle w:val="a7"/>
        </w:rPr>
        <w:footnoteRef/>
      </w:r>
      <w:r>
        <w:rPr>
          <w:rtl/>
        </w:rPr>
        <w:t xml:space="preserve"> </w:t>
      </w:r>
      <w:r>
        <w:rPr>
          <w:rFonts w:cs="Arial"/>
          <w:rtl/>
        </w:rPr>
        <w:t xml:space="preserve">שכתב על שם הגאונים אמר לו זכי לה בגט זה ובא לחזור אינו יכול. ופירש הוא דבריהם כיון דא"ל זכי לה והיא רצונה בו מתגרשת, אבל בעל כרחה אינה מתגרשת, </w:t>
      </w:r>
      <w:r>
        <w:rPr>
          <w:rFonts w:cs="Arial"/>
          <w:b/>
          <w:bCs/>
          <w:rtl/>
        </w:rPr>
        <w:t>טור</w:t>
      </w:r>
      <w:r>
        <w:rPr>
          <w:rFonts w:cs="Arial"/>
          <w:rtl/>
        </w:rPr>
        <w:t xml:space="preserve">. וטעמו </w:t>
      </w:r>
      <w:r>
        <w:rPr>
          <w:rFonts w:cs="Arial"/>
          <w:sz w:val="16"/>
          <w:szCs w:val="16"/>
          <w:rtl/>
        </w:rPr>
        <w:t>{של בעהי"ט}</w:t>
      </w:r>
      <w:r>
        <w:rPr>
          <w:rFonts w:cs="Arial"/>
          <w:rtl/>
        </w:rPr>
        <w:t xml:space="preserve"> דלא אמרינן חוב הוא לה אלא כשלא גילתה דעתה, אבל כל שגילתה דעתה שרוצה להתגרש זכות הוא לה וזכין לה שלא בפניה, </w:t>
      </w:r>
      <w:r>
        <w:rPr>
          <w:rFonts w:cs="Arial"/>
          <w:b/>
          <w:bCs/>
          <w:rtl/>
        </w:rPr>
        <w:t>ב"י</w:t>
      </w:r>
      <w:r>
        <w:rPr>
          <w:rFonts w:cs="Arial"/>
          <w:rtl/>
        </w:rPr>
        <w:t>.</w:t>
      </w:r>
    </w:p>
  </w:footnote>
  <w:footnote w:id="1798">
    <w:p w14:paraId="13DB04FE" w14:textId="77777777" w:rsidR="00FA2119" w:rsidRDefault="00FA2119" w:rsidP="00FA2119">
      <w:pPr>
        <w:pStyle w:val="a5"/>
      </w:pPr>
      <w:r>
        <w:rPr>
          <w:rStyle w:val="a7"/>
        </w:rPr>
        <w:footnoteRef/>
      </w:r>
      <w:r>
        <w:rPr>
          <w:rtl/>
        </w:rPr>
        <w:t xml:space="preserve"> </w:t>
      </w:r>
      <w:r>
        <w:rPr>
          <w:rFonts w:cs="Arial"/>
          <w:rtl/>
        </w:rPr>
        <w:t xml:space="preserve">דעת רבינו כדאמרינן בירושלמי (פ"ו ה"א) שאפילו צווחת להתגרש אני אומר שמא חזרה בה. כלומר ואע"פ שבדקנוה עכשיו ואמרה רוצה אני, אכתי איכא למיחש שמא בשעת קבלת השליח הגט לא היתה רוצה. מיהו היכא שבאו עדים שהיתה צווחת להתגרש בשעה פלונית והגט זיכה בו הבעל לאחר באותה שעה ממש אפשר שהיא מגורשת, </w:t>
      </w:r>
      <w:r>
        <w:rPr>
          <w:rFonts w:cs="Arial"/>
          <w:b/>
          <w:bCs/>
          <w:rtl/>
        </w:rPr>
        <w:t>ב"י</w:t>
      </w:r>
      <w:r>
        <w:rPr>
          <w:rFonts w:cs="Arial"/>
          <w:rtl/>
        </w:rPr>
        <w:t>.</w:t>
      </w:r>
      <w:r>
        <w:rPr>
          <w:rtl/>
        </w:rPr>
        <w:t xml:space="preserve"> וכתב </w:t>
      </w:r>
      <w:r>
        <w:rPr>
          <w:b/>
          <w:bCs/>
          <w:rtl/>
        </w:rPr>
        <w:t>הדרכ"מ</w:t>
      </w:r>
      <w:r>
        <w:rPr>
          <w:rtl/>
        </w:rPr>
        <w:t xml:space="preserve"> </w:t>
      </w:r>
      <w:r>
        <w:rPr>
          <w:rFonts w:cs="Arial"/>
          <w:rtl/>
        </w:rPr>
        <w:t>(אות ד**) שכ"פ נמוק"י (פ' האשה שלום מד: ד"ה גמ' המזכה).</w:t>
      </w:r>
    </w:p>
  </w:footnote>
  <w:footnote w:id="1799">
    <w:p w14:paraId="545B40AA" w14:textId="77777777" w:rsidR="00FA2119" w:rsidRDefault="00FA2119" w:rsidP="00FA2119">
      <w:pPr>
        <w:pStyle w:val="a5"/>
      </w:pPr>
      <w:r>
        <w:rPr>
          <w:rStyle w:val="a7"/>
        </w:rPr>
        <w:footnoteRef/>
      </w:r>
      <w:r>
        <w:rPr>
          <w:rtl/>
        </w:rPr>
        <w:t xml:space="preserve"> </w:t>
      </w:r>
      <w:r>
        <w:rPr>
          <w:rFonts w:cs="Arial"/>
          <w:rtl/>
        </w:rPr>
        <w:t>אפי' אם אמר הילך לה לא נעשה שליח קבלה כיון שאמר אין רצוני שתקבל לה. ש"ס. ונראה אפי' אמר התקבל לה או זכי לה מ"מ כיון שאמר אין רצוני שתקבל לה אמרינן מה שאמר זכי לה היינו זכי לה והולך לה, ב"ש (סק"ח). ולגבי דבריו האחרונים של הב"ש ע' בלח"מ (פ"ו מה"ג ה"י) שדקדק מלשון הרמב"ם (והש"ע) להיפך, וצ"ע, פת"ש (סק"ט).</w:t>
      </w:r>
    </w:p>
  </w:footnote>
  <w:footnote w:id="1800">
    <w:p w14:paraId="4BCCA308" w14:textId="77777777" w:rsidR="00FA2119" w:rsidRDefault="00FA2119" w:rsidP="00FA2119">
      <w:pPr>
        <w:pStyle w:val="a5"/>
      </w:pPr>
      <w:r>
        <w:rPr>
          <w:rStyle w:val="a7"/>
        </w:rPr>
        <w:footnoteRef/>
      </w:r>
      <w:r>
        <w:rPr>
          <w:rtl/>
        </w:rPr>
        <w:t xml:space="preserve"> </w:t>
      </w:r>
      <w:r>
        <w:rPr>
          <w:rFonts w:cs="Arial"/>
          <w:rtl/>
        </w:rPr>
        <w:t>גם הולך לה לחוד נמי הוי ספק גט לפוסקי' אלו דפסקו כרב דהא רב מספקא בהולך לבד. ועיין בר"ן ובמגיד, ב"ש (סק"י).</w:t>
      </w:r>
    </w:p>
  </w:footnote>
  <w:footnote w:id="1801">
    <w:p w14:paraId="04974B9E" w14:textId="77777777" w:rsidR="00FA2119" w:rsidRDefault="00FA2119" w:rsidP="00FA2119">
      <w:pPr>
        <w:pStyle w:val="a5"/>
      </w:pPr>
      <w:r>
        <w:rPr>
          <w:rStyle w:val="a7"/>
        </w:rPr>
        <w:footnoteRef/>
      </w:r>
      <w:r>
        <w:rPr>
          <w:rtl/>
        </w:rPr>
        <w:t xml:space="preserve"> </w:t>
      </w:r>
      <w:r>
        <w:rPr>
          <w:rFonts w:cs="Arial"/>
          <w:rtl/>
        </w:rPr>
        <w:t>האשה שאמרה לשלוחה הבא לי גיטי והוא אומר לבעל אשתך אמרה התקבל לי גיטי</w:t>
      </w:r>
      <w:r>
        <w:rPr>
          <w:rtl/>
        </w:rPr>
        <w:t>, רש"י.</w:t>
      </w:r>
    </w:p>
  </w:footnote>
  <w:footnote w:id="1802">
    <w:p w14:paraId="3B3C9A7B" w14:textId="77777777" w:rsidR="00FA2119" w:rsidRDefault="00FA2119" w:rsidP="00FA2119">
      <w:pPr>
        <w:pStyle w:val="a5"/>
        <w:rPr>
          <w:rtl/>
        </w:rPr>
      </w:pPr>
      <w:r>
        <w:rPr>
          <w:rStyle w:val="a7"/>
        </w:rPr>
        <w:footnoteRef/>
      </w:r>
      <w:r>
        <w:rPr>
          <w:rtl/>
        </w:rPr>
        <w:t xml:space="preserve"> </w:t>
      </w:r>
      <w:r>
        <w:rPr>
          <w:rFonts w:cs="Arial"/>
          <w:rtl/>
        </w:rPr>
        <w:t>הבעל אמר לו הילך כמה שאמרה</w:t>
      </w:r>
      <w:r>
        <w:rPr>
          <w:rtl/>
        </w:rPr>
        <w:t>, רש"י.</w:t>
      </w:r>
    </w:p>
  </w:footnote>
  <w:footnote w:id="1803">
    <w:p w14:paraId="1EFF2F5C" w14:textId="77777777" w:rsidR="00FA2119" w:rsidRDefault="00FA2119" w:rsidP="00FA2119">
      <w:pPr>
        <w:pStyle w:val="a5"/>
        <w:rPr>
          <w:rtl/>
        </w:rPr>
      </w:pPr>
      <w:r>
        <w:rPr>
          <w:rStyle w:val="a7"/>
        </w:rPr>
        <w:footnoteRef/>
      </w:r>
      <w:r>
        <w:rPr>
          <w:rtl/>
        </w:rPr>
        <w:t xml:space="preserve"> </w:t>
      </w:r>
      <w:r>
        <w:rPr>
          <w:rFonts w:cs="Arial"/>
          <w:rtl/>
        </w:rPr>
        <w:t xml:space="preserve">דמאן דאמר לשליח הילך כמה שאמרה משלחך, אדיבורא דידיה </w:t>
      </w:r>
      <w:r>
        <w:rPr>
          <w:rFonts w:cs="Arial"/>
          <w:sz w:val="16"/>
          <w:szCs w:val="16"/>
          <w:rtl/>
        </w:rPr>
        <w:t xml:space="preserve">{היינו של השליח} </w:t>
      </w:r>
      <w:r>
        <w:rPr>
          <w:rFonts w:cs="Arial"/>
          <w:rtl/>
        </w:rPr>
        <w:t>סמיך, אדעתא דדיבורא דשליח קאמר ליה האי הילך כמה שאמרה, דמהימנת לי דשליח לקבלה את, הילכך אינה מגורשת, דכי יהב בעל ניהליה אדעתא דשליחות קבלה יהיב ניהליה ולאו אדעתא דהולכה, ושליח לקבלה לא הוי..., רש"י.</w:t>
      </w:r>
    </w:p>
  </w:footnote>
  <w:footnote w:id="1804">
    <w:p w14:paraId="3EC8AB9F" w14:textId="77777777" w:rsidR="00FA2119" w:rsidRDefault="00FA2119" w:rsidP="00FA2119">
      <w:pPr>
        <w:pStyle w:val="a5"/>
      </w:pPr>
      <w:r>
        <w:rPr>
          <w:rStyle w:val="a7"/>
        </w:rPr>
        <w:footnoteRef/>
      </w:r>
      <w:r>
        <w:rPr>
          <w:rtl/>
        </w:rPr>
        <w:t xml:space="preserve"> </w:t>
      </w:r>
      <w:r>
        <w:rPr>
          <w:rFonts w:cs="Arial"/>
          <w:rtl/>
        </w:rPr>
        <w:t>והכי קאמר ליה אנא לא ידענא אלא כדאמרה איהי מסרנא ליה ניהלך, רש"י.</w:t>
      </w:r>
    </w:p>
  </w:footnote>
  <w:footnote w:id="1805">
    <w:p w14:paraId="336CCC61" w14:textId="77777777" w:rsidR="00FA2119" w:rsidRDefault="00FA2119" w:rsidP="00FA2119">
      <w:pPr>
        <w:pStyle w:val="a5"/>
      </w:pPr>
      <w:r>
        <w:rPr>
          <w:rStyle w:val="a7"/>
        </w:rPr>
        <w:footnoteRef/>
      </w:r>
      <w:r>
        <w:rPr>
          <w:rtl/>
        </w:rPr>
        <w:t xml:space="preserve"> </w:t>
      </w:r>
      <w:r>
        <w:rPr>
          <w:rFonts w:cs="Arial"/>
          <w:rtl/>
        </w:rPr>
        <w:t>דהא בעל נמי שליח להולכה שוייה</w:t>
      </w:r>
      <w:r>
        <w:rPr>
          <w:rtl/>
        </w:rPr>
        <w:t>, רש"י.</w:t>
      </w:r>
    </w:p>
  </w:footnote>
  <w:footnote w:id="1806">
    <w:p w14:paraId="6FE96201" w14:textId="77777777" w:rsidR="00FA2119" w:rsidRDefault="00FA2119" w:rsidP="00FA2119">
      <w:pPr>
        <w:pStyle w:val="a5"/>
        <w:rPr>
          <w:rtl/>
        </w:rPr>
      </w:pPr>
      <w:r>
        <w:rPr>
          <w:rStyle w:val="a7"/>
        </w:rPr>
        <w:footnoteRef/>
      </w:r>
      <w:r>
        <w:rPr>
          <w:rtl/>
        </w:rPr>
        <w:t xml:space="preserve"> </w:t>
      </w:r>
      <w:r>
        <w:rPr>
          <w:rFonts w:cs="Arial"/>
          <w:rtl/>
        </w:rPr>
        <w:t>אמרה ליה היא, והוא אמר לבעל אשתך אמרה הבא לי גיטי, ובעל אמר ליה הילך כמה שאמרה, איכא למיפשט בעיין מדרב נחמן, דאי אמר רב נחמן עלה משיגיע גט לידו מגורשת, איכא למיפשט דאדיבורא דידה סמיך ולא הימניה אלא תלה בדעתה ומסריה ניהליה בתורת קבלה, רש"י.</w:t>
      </w:r>
    </w:p>
  </w:footnote>
  <w:footnote w:id="1807">
    <w:p w14:paraId="6761A61D" w14:textId="77777777" w:rsidR="00FA2119" w:rsidRDefault="00FA2119" w:rsidP="00FA2119">
      <w:pPr>
        <w:pStyle w:val="a5"/>
      </w:pPr>
      <w:r>
        <w:rPr>
          <w:rStyle w:val="a7"/>
        </w:rPr>
        <w:footnoteRef/>
      </w:r>
      <w:r>
        <w:rPr>
          <w:rtl/>
        </w:rPr>
        <w:t xml:space="preserve"> </w:t>
      </w:r>
      <w:r>
        <w:rPr>
          <w:rFonts w:cs="Arial"/>
          <w:rtl/>
        </w:rPr>
        <w:t>הוה אמר רב נחמן עלה משיגיע גט לידה מגורשת פשטינן מינה דאדיבורא דידיה סמיך והימניה דהכי אמרה ומסריה לידיה בתורת הולכה, רש"י.</w:t>
      </w:r>
    </w:p>
  </w:footnote>
  <w:footnote w:id="1808">
    <w:p w14:paraId="282E9A27" w14:textId="77777777" w:rsidR="00FA2119" w:rsidRDefault="00FA2119" w:rsidP="00FA2119">
      <w:pPr>
        <w:pStyle w:val="a5"/>
      </w:pPr>
      <w:r>
        <w:rPr>
          <w:rStyle w:val="a7"/>
        </w:rPr>
        <w:footnoteRef/>
      </w:r>
      <w:r>
        <w:rPr>
          <w:rtl/>
        </w:rPr>
        <w:t xml:space="preserve"> </w:t>
      </w:r>
      <w:r>
        <w:rPr>
          <w:rFonts w:cs="Arial"/>
          <w:rtl/>
        </w:rPr>
        <w:t xml:space="preserve">וכתב הה"מ </w:t>
      </w:r>
      <w:r>
        <w:rPr>
          <w:rFonts w:cs="Arial"/>
          <w:sz w:val="16"/>
          <w:szCs w:val="16"/>
          <w:rtl/>
        </w:rPr>
        <w:t xml:space="preserve">(פ"ו מגירושין הי"א) </w:t>
      </w:r>
      <w:r>
        <w:rPr>
          <w:rFonts w:cs="Arial"/>
          <w:rtl/>
        </w:rPr>
        <w:t>שכן דעת הרמב"ם ושכן מבואר בגמרא, ב"י.</w:t>
      </w:r>
    </w:p>
  </w:footnote>
  <w:footnote w:id="1809">
    <w:p w14:paraId="1EDC8810" w14:textId="77777777" w:rsidR="00FA2119" w:rsidRDefault="00FA2119" w:rsidP="00FA2119">
      <w:pPr>
        <w:pStyle w:val="a5"/>
        <w:rPr>
          <w:rtl/>
        </w:rPr>
      </w:pPr>
      <w:r>
        <w:rPr>
          <w:rStyle w:val="a7"/>
        </w:rPr>
        <w:footnoteRef/>
      </w:r>
      <w:r>
        <w:rPr>
          <w:rtl/>
        </w:rPr>
        <w:t xml:space="preserve"> </w:t>
      </w:r>
      <w:r>
        <w:rPr>
          <w:rFonts w:cs="Arial"/>
          <w:rtl/>
        </w:rPr>
        <w:t>האשה שאמרה לשלוחה הבא לי גיטי והוא אומר לבעל אשתך אמרה התקבל לי גיטי</w:t>
      </w:r>
      <w:r>
        <w:rPr>
          <w:rtl/>
        </w:rPr>
        <w:t>, רש"י.</w:t>
      </w:r>
    </w:p>
  </w:footnote>
  <w:footnote w:id="1810">
    <w:p w14:paraId="0D5C82A4" w14:textId="77777777" w:rsidR="00FA2119" w:rsidRDefault="00FA2119" w:rsidP="00FA2119">
      <w:pPr>
        <w:pStyle w:val="a5"/>
        <w:rPr>
          <w:rtl/>
        </w:rPr>
      </w:pPr>
      <w:r>
        <w:rPr>
          <w:rStyle w:val="a7"/>
        </w:rPr>
        <w:footnoteRef/>
      </w:r>
      <w:r>
        <w:rPr>
          <w:rtl/>
        </w:rPr>
        <w:t xml:space="preserve"> </w:t>
      </w:r>
      <w:r>
        <w:rPr>
          <w:rFonts w:cs="Arial"/>
          <w:rtl/>
        </w:rPr>
        <w:t>הבעל אמר לו הילך כמה שאמרה</w:t>
      </w:r>
      <w:r>
        <w:rPr>
          <w:rtl/>
        </w:rPr>
        <w:t>, רש"י.</w:t>
      </w:r>
    </w:p>
  </w:footnote>
  <w:footnote w:id="1811">
    <w:p w14:paraId="310C833A" w14:textId="77777777" w:rsidR="00FA2119" w:rsidRDefault="00FA2119" w:rsidP="00FA2119">
      <w:pPr>
        <w:pStyle w:val="a5"/>
        <w:rPr>
          <w:rtl/>
        </w:rPr>
      </w:pPr>
      <w:r>
        <w:rPr>
          <w:rStyle w:val="a7"/>
        </w:rPr>
        <w:footnoteRef/>
      </w:r>
      <w:r>
        <w:rPr>
          <w:rtl/>
        </w:rPr>
        <w:t xml:space="preserve"> </w:t>
      </w:r>
      <w:r>
        <w:rPr>
          <w:rFonts w:cs="Arial"/>
          <w:rtl/>
        </w:rPr>
        <w:t xml:space="preserve">דמאן דאמר לשליח הילך כמה שאמרה משלחך, אדיבורא דידיה </w:t>
      </w:r>
      <w:r>
        <w:rPr>
          <w:rFonts w:cs="Arial"/>
          <w:sz w:val="16"/>
          <w:szCs w:val="16"/>
          <w:rtl/>
        </w:rPr>
        <w:t xml:space="preserve">{היינו של השליח} </w:t>
      </w:r>
      <w:r>
        <w:rPr>
          <w:rFonts w:cs="Arial"/>
          <w:rtl/>
        </w:rPr>
        <w:t>סמיך, אדעתא דדיבורא דשליח קאמר ליה האי הילך כמה שאמרה, דמהימנת לי דשליח לקבלה את, הילכך אינה מגורשת, דכי יהב בעל ניהליה אדעתא דשליחות קבלה יהיב ניהליה ולאו אדעתא דהולכה, ושליח לקבלה לא הוי.</w:t>
      </w:r>
      <w:r>
        <w:rPr>
          <w:rtl/>
        </w:rPr>
        <w:t xml:space="preserve"> </w:t>
      </w:r>
      <w:r>
        <w:rPr>
          <w:rFonts w:cs="Arial"/>
          <w:rtl/>
        </w:rPr>
        <w:t>ותפשוט מינה בעיא דאיבעיא לן בב"מ (עו.) בהשוכר את האומנין אדיבורא דשליח סמיך, רש"י.</w:t>
      </w:r>
    </w:p>
  </w:footnote>
  <w:footnote w:id="1812">
    <w:p w14:paraId="48132402" w14:textId="77777777" w:rsidR="00FA2119" w:rsidRDefault="00FA2119" w:rsidP="00FA2119">
      <w:pPr>
        <w:pStyle w:val="a5"/>
      </w:pPr>
      <w:r>
        <w:rPr>
          <w:rStyle w:val="a7"/>
        </w:rPr>
        <w:footnoteRef/>
      </w:r>
      <w:r>
        <w:rPr>
          <w:rtl/>
        </w:rPr>
        <w:t xml:space="preserve"> </w:t>
      </w:r>
      <w:r>
        <w:rPr>
          <w:rFonts w:cs="Arial"/>
          <w:rtl/>
        </w:rPr>
        <w:t>והכי קאמר ליה אנא לא ידענא אלא כדאמרה איהי מסרנא ליה ניהלך, רש"י.</w:t>
      </w:r>
    </w:p>
  </w:footnote>
  <w:footnote w:id="1813">
    <w:p w14:paraId="215935B3" w14:textId="77777777" w:rsidR="00FA2119" w:rsidRDefault="00FA2119" w:rsidP="00FA2119">
      <w:pPr>
        <w:pStyle w:val="a5"/>
      </w:pPr>
      <w:r>
        <w:rPr>
          <w:rStyle w:val="a7"/>
        </w:rPr>
        <w:footnoteRef/>
      </w:r>
      <w:r>
        <w:rPr>
          <w:rtl/>
        </w:rPr>
        <w:t xml:space="preserve"> </w:t>
      </w:r>
      <w:r>
        <w:rPr>
          <w:rFonts w:cs="Arial"/>
          <w:rtl/>
        </w:rPr>
        <w:t>דהא בעל נמי שליח להולכה שוייה</w:t>
      </w:r>
      <w:r>
        <w:rPr>
          <w:rtl/>
        </w:rPr>
        <w:t xml:space="preserve">, </w:t>
      </w:r>
      <w:r>
        <w:rPr>
          <w:b/>
          <w:bCs/>
          <w:rtl/>
        </w:rPr>
        <w:t>רש"י</w:t>
      </w:r>
      <w:r>
        <w:rPr>
          <w:rtl/>
        </w:rPr>
        <w:t>.</w:t>
      </w:r>
      <w:r>
        <w:rPr>
          <w:rFonts w:cs="Arial"/>
          <w:rtl/>
        </w:rPr>
        <w:t xml:space="preserve"> כלומר ותפשוט מאי דאיבעיא לן בהאומנים (בבא מציעא עו.) בכי האי גוונא אי אמרינן דסמיך אדיבורא דשליח או אדיבורא דמשלח</w:t>
      </w:r>
      <w:r>
        <w:rPr>
          <w:rtl/>
        </w:rPr>
        <w:t xml:space="preserve">, </w:t>
      </w:r>
      <w:r>
        <w:rPr>
          <w:b/>
          <w:bCs/>
          <w:rtl/>
        </w:rPr>
        <w:t>ב"י</w:t>
      </w:r>
      <w:r>
        <w:rPr>
          <w:rtl/>
        </w:rPr>
        <w:t>.</w:t>
      </w:r>
    </w:p>
  </w:footnote>
  <w:footnote w:id="1814">
    <w:p w14:paraId="766DC6C0" w14:textId="77777777" w:rsidR="00FA2119" w:rsidRDefault="00FA2119" w:rsidP="00FA2119">
      <w:pPr>
        <w:pStyle w:val="a5"/>
        <w:rPr>
          <w:rtl/>
        </w:rPr>
      </w:pPr>
      <w:r>
        <w:rPr>
          <w:rStyle w:val="a7"/>
        </w:rPr>
        <w:footnoteRef/>
      </w:r>
      <w:r>
        <w:rPr>
          <w:rtl/>
        </w:rPr>
        <w:t xml:space="preserve"> </w:t>
      </w:r>
      <w:r>
        <w:rPr>
          <w:rFonts w:cs="Arial"/>
          <w:rtl/>
        </w:rPr>
        <w:t>אמרה ליה היא, והוא אמר לבעל אשתך אמרה הבא לי גיטי, ובעל אמר ליה הילך כמה שאמרה, איכא למיפשט בעיין מדרב נחמן, דאי אמר רב נחמן עלה משיגיע גט לידו מגורשת, איכא למיפשט דאדיבורא דידה סמיך ולא הימניה אלא תלה בדעתה ומסריה ניהליה בתורת קבלה, רש"י.</w:t>
      </w:r>
    </w:p>
  </w:footnote>
  <w:footnote w:id="1815">
    <w:p w14:paraId="6C6EB2D3" w14:textId="77777777" w:rsidR="00FA2119" w:rsidRDefault="00FA2119" w:rsidP="00FA2119">
      <w:pPr>
        <w:pStyle w:val="a5"/>
      </w:pPr>
      <w:r>
        <w:rPr>
          <w:rStyle w:val="a7"/>
        </w:rPr>
        <w:footnoteRef/>
      </w:r>
      <w:r>
        <w:rPr>
          <w:rtl/>
        </w:rPr>
        <w:t xml:space="preserve"> </w:t>
      </w:r>
      <w:r>
        <w:rPr>
          <w:rFonts w:cs="Arial"/>
          <w:rtl/>
        </w:rPr>
        <w:t>הוה אמר רב נחמן עלה משיגיע גט לידה מגורשת פשטינן מינה דאדיבורא דידיה סמיך והימניה דהכי אמרה ומסריה לידיה בתורת הולכה, רש"י.</w:t>
      </w:r>
    </w:p>
  </w:footnote>
  <w:footnote w:id="1816">
    <w:p w14:paraId="4486C72B" w14:textId="77777777" w:rsidR="00FA2119" w:rsidRDefault="00FA2119" w:rsidP="00FA2119">
      <w:pPr>
        <w:pStyle w:val="a5"/>
      </w:pPr>
      <w:r>
        <w:rPr>
          <w:rStyle w:val="a7"/>
        </w:rPr>
        <w:footnoteRef/>
      </w:r>
      <w:r>
        <w:rPr>
          <w:rtl/>
        </w:rPr>
        <w:t xml:space="preserve"> </w:t>
      </w:r>
      <w:r>
        <w:rPr>
          <w:rFonts w:cs="Arial"/>
          <w:rtl/>
        </w:rPr>
        <w:t>ספק מגורשת משום הבעייא הוא, אם הוא סומך על דיבור של אשתו א"כ מיד כשמגיע ליד השליח מגורשת, או סומך על דיבור של השליח. וה"ה לענין אם יכול לחזור ג"כ ספק הוא, ב"ש (סקי"ד).</w:t>
      </w:r>
    </w:p>
  </w:footnote>
  <w:footnote w:id="1817">
    <w:p w14:paraId="01938C46" w14:textId="77777777" w:rsidR="00FA2119" w:rsidRDefault="00FA2119" w:rsidP="00FA2119">
      <w:pPr>
        <w:pStyle w:val="a5"/>
      </w:pPr>
      <w:r>
        <w:rPr>
          <w:rStyle w:val="a7"/>
        </w:rPr>
        <w:footnoteRef/>
      </w:r>
      <w:r>
        <w:rPr>
          <w:rtl/>
        </w:rPr>
        <w:t xml:space="preserve"> </w:t>
      </w:r>
      <w:r>
        <w:rPr>
          <w:rFonts w:cs="Arial"/>
          <w:rtl/>
        </w:rPr>
        <w:t>אבל קודם לכן אין כאן שום ספק כיון דלא אמר כמה שאמרה ושליח אמר לו שהוא ש"ה מסתמ' גם דעתו על מ"ש השליח לכן יכול לחזור ג"כ כן הוא מפורש בש"ס. ובלבוש כתב ספק הוא שמא התקבל והולך קאמר. ואישתמט' מיניה הש"ס</w:t>
      </w:r>
      <w:r>
        <w:rPr>
          <w:rtl/>
        </w:rPr>
        <w:t>, ב"ש (סקט"ו).</w:t>
      </w:r>
    </w:p>
  </w:footnote>
  <w:footnote w:id="1818">
    <w:p w14:paraId="14791021" w14:textId="77777777" w:rsidR="00FA2119" w:rsidRDefault="00FA2119" w:rsidP="00FA2119">
      <w:pPr>
        <w:pStyle w:val="a5"/>
        <w:rPr>
          <w:rtl/>
        </w:rPr>
      </w:pPr>
      <w:r>
        <w:rPr>
          <w:rStyle w:val="a7"/>
        </w:rPr>
        <w:footnoteRef/>
      </w:r>
      <w:r>
        <w:rPr>
          <w:rtl/>
        </w:rPr>
        <w:t xml:space="preserve"> </w:t>
      </w:r>
      <w:r>
        <w:rPr>
          <w:rFonts w:cs="Arial"/>
          <w:rtl/>
        </w:rPr>
        <w:t>עיין בתשובה כתב להדי' דלא מהני מה שהוא יחזור ויתן לו דהוא א"י לעשות ש"ק, ושליחות שלה כבר נתבטל כי היה דעתה בשליחתה שיקבלנו השליח במסירה הראשונ' בתורת שליחות קבלה. כן הקשה בט"ז..., ב"ש (סקט"ז). ועיין בתו"ג (ביאורים אות ו) שחלק עליהם וכתב דודאי מהני.</w:t>
      </w:r>
    </w:p>
  </w:footnote>
  <w:footnote w:id="1819">
    <w:p w14:paraId="036C8C66" w14:textId="319CA97F" w:rsidR="00FA2119" w:rsidRDefault="00FA2119" w:rsidP="00FA2119">
      <w:pPr>
        <w:pStyle w:val="a5"/>
      </w:pPr>
      <w:r>
        <w:rPr>
          <w:rStyle w:val="a7"/>
        </w:rPr>
        <w:footnoteRef/>
      </w:r>
      <w:r>
        <w:rPr>
          <w:rtl/>
        </w:rPr>
        <w:t xml:space="preserve"> </w:t>
      </w:r>
      <w:r>
        <w:rPr>
          <w:rFonts w:cs="Arial"/>
          <w:rtl/>
        </w:rPr>
        <w:t>וכן ראוי לנהוג</w:t>
      </w:r>
      <w:r>
        <w:rPr>
          <w:rtl/>
        </w:rPr>
        <w:t>, ב"י (בבדה"ב).</w:t>
      </w:r>
      <w:r w:rsidR="00C4710C">
        <w:rPr>
          <w:rFonts w:hint="cs"/>
          <w:rtl/>
        </w:rPr>
        <w:t xml:space="preserve"> </w:t>
      </w:r>
      <w:r w:rsidR="00C4710C">
        <w:rPr>
          <w:rFonts w:cs="Arial" w:hint="cs"/>
          <w:rtl/>
        </w:rPr>
        <w:t>וכ"</w:t>
      </w:r>
      <w:r w:rsidR="00C4710C">
        <w:rPr>
          <w:rFonts w:cs="Arial"/>
          <w:rtl/>
        </w:rPr>
        <w:t>כ בהגמ</w:t>
      </w:r>
      <w:r w:rsidR="00C4710C">
        <w:rPr>
          <w:rFonts w:cs="Arial" w:hint="cs"/>
          <w:rtl/>
        </w:rPr>
        <w:t>"</w:t>
      </w:r>
      <w:r w:rsidR="00C4710C">
        <w:rPr>
          <w:rFonts w:cs="Arial"/>
          <w:rtl/>
        </w:rPr>
        <w:t xml:space="preserve">ר </w:t>
      </w:r>
      <w:r w:rsidR="00C4710C">
        <w:rPr>
          <w:rFonts w:cs="Arial" w:hint="cs"/>
          <w:rtl/>
        </w:rPr>
        <w:t>(</w:t>
      </w:r>
      <w:r w:rsidR="00C4710C">
        <w:rPr>
          <w:rFonts w:cs="Arial"/>
          <w:rtl/>
        </w:rPr>
        <w:t xml:space="preserve">גיטין סוס"י תנז) על גט משומד ע"י שליח והיו יראין שהמשומד יבטל השליח וצוה לומר לשליח זכה גט זה לאשתי ותו לא מצי הדר ביה </w:t>
      </w:r>
      <w:r w:rsidR="00C4710C">
        <w:rPr>
          <w:rFonts w:cs="Arial" w:hint="cs"/>
          <w:rtl/>
        </w:rPr>
        <w:t>[</w:t>
      </w:r>
      <w:r w:rsidR="00C4710C">
        <w:rPr>
          <w:rFonts w:cs="Arial"/>
          <w:rtl/>
        </w:rPr>
        <w:t>ע</w:t>
      </w:r>
      <w:r w:rsidR="00C4710C">
        <w:rPr>
          <w:rFonts w:cs="Arial" w:hint="cs"/>
          <w:rtl/>
        </w:rPr>
        <w:t>"</w:t>
      </w:r>
      <w:r w:rsidR="00C4710C">
        <w:rPr>
          <w:rFonts w:cs="Arial"/>
          <w:rtl/>
        </w:rPr>
        <w:t>כ</w:t>
      </w:r>
      <w:r w:rsidR="00C4710C">
        <w:rPr>
          <w:rFonts w:cs="Arial" w:hint="cs"/>
          <w:rtl/>
        </w:rPr>
        <w:t>]</w:t>
      </w:r>
      <w:r w:rsidR="00C4710C">
        <w:rPr>
          <w:rFonts w:cs="Arial"/>
          <w:rtl/>
        </w:rPr>
        <w:t>. ובתשובות מהרי</w:t>
      </w:r>
      <w:r w:rsidR="00C4710C">
        <w:rPr>
          <w:rFonts w:cs="Arial" w:hint="cs"/>
          <w:rtl/>
        </w:rPr>
        <w:t>"ו</w:t>
      </w:r>
      <w:r w:rsidR="00C4710C">
        <w:rPr>
          <w:rFonts w:cs="Arial"/>
          <w:rtl/>
        </w:rPr>
        <w:t xml:space="preserve"> </w:t>
      </w:r>
      <w:r w:rsidR="00C4710C">
        <w:rPr>
          <w:rFonts w:cs="Arial" w:hint="cs"/>
          <w:rtl/>
        </w:rPr>
        <w:t>(</w:t>
      </w:r>
      <w:r w:rsidR="00C4710C">
        <w:rPr>
          <w:rFonts w:cs="Arial"/>
          <w:rtl/>
        </w:rPr>
        <w:t>סי</w:t>
      </w:r>
      <w:r w:rsidR="00C4710C">
        <w:rPr>
          <w:rFonts w:cs="Arial" w:hint="cs"/>
          <w:rtl/>
        </w:rPr>
        <w:t>'</w:t>
      </w:r>
      <w:r w:rsidR="00C4710C">
        <w:rPr>
          <w:rFonts w:cs="Arial"/>
          <w:rtl/>
        </w:rPr>
        <w:t xml:space="preserve"> קכו</w:t>
      </w:r>
      <w:r w:rsidR="00C4710C">
        <w:rPr>
          <w:rFonts w:cs="Arial" w:hint="cs"/>
          <w:rtl/>
        </w:rPr>
        <w:t>)</w:t>
      </w:r>
      <w:r w:rsidR="00C4710C">
        <w:rPr>
          <w:rFonts w:cs="Arial"/>
          <w:rtl/>
        </w:rPr>
        <w:t xml:space="preserve"> כתב להחמיר ואוסר לעשות שליח להולכה למשומד</w:t>
      </w:r>
      <w:r w:rsidR="00C4710C">
        <w:rPr>
          <w:rFonts w:cs="Arial" w:hint="cs"/>
          <w:rtl/>
        </w:rPr>
        <w:t>,</w:t>
      </w:r>
      <w:r w:rsidR="00C4710C">
        <w:rPr>
          <w:rFonts w:cs="Arial"/>
          <w:rtl/>
        </w:rPr>
        <w:t xml:space="preserve"> וכן כתב מהרי"ל (שו"ת סי' ק</w:t>
      </w:r>
      <w:r w:rsidR="00C4710C">
        <w:rPr>
          <w:rFonts w:cs="Arial" w:hint="cs"/>
          <w:rtl/>
        </w:rPr>
        <w:t>,</w:t>
      </w:r>
      <w:r w:rsidR="00C4710C" w:rsidRPr="00C4710C">
        <w:rPr>
          <w:rFonts w:cs="Arial"/>
          <w:rtl/>
        </w:rPr>
        <w:t xml:space="preserve"> </w:t>
      </w:r>
      <w:r w:rsidR="00C4710C">
        <w:rPr>
          <w:rFonts w:cs="Arial" w:hint="cs"/>
          <w:rtl/>
        </w:rPr>
        <w:t xml:space="preserve">הביאו </w:t>
      </w:r>
      <w:r w:rsidR="00C4710C">
        <w:rPr>
          <w:rFonts w:cs="Arial"/>
          <w:rtl/>
        </w:rPr>
        <w:t xml:space="preserve">תרוה"ד </w:t>
      </w:r>
      <w:r w:rsidR="00C4710C">
        <w:rPr>
          <w:rFonts w:cs="Arial" w:hint="cs"/>
          <w:rtl/>
        </w:rPr>
        <w:t>ב</w:t>
      </w:r>
      <w:r w:rsidR="00C4710C">
        <w:rPr>
          <w:rFonts w:cs="Arial"/>
          <w:rtl/>
        </w:rPr>
        <w:t>ח"ב סי</w:t>
      </w:r>
      <w:r w:rsidR="00C4710C">
        <w:rPr>
          <w:rFonts w:cs="Arial" w:hint="cs"/>
          <w:rtl/>
        </w:rPr>
        <w:t>'</w:t>
      </w:r>
      <w:r w:rsidR="00C4710C">
        <w:rPr>
          <w:rFonts w:cs="Arial"/>
          <w:rtl/>
        </w:rPr>
        <w:t xml:space="preserve"> מב).</w:t>
      </w:r>
    </w:p>
  </w:footnote>
  <w:footnote w:id="1820">
    <w:p w14:paraId="7652CBD4" w14:textId="77777777" w:rsidR="00FA2119" w:rsidRDefault="00FA2119" w:rsidP="00FA2119">
      <w:pPr>
        <w:pStyle w:val="a5"/>
        <w:rPr>
          <w:rtl/>
        </w:rPr>
      </w:pPr>
      <w:r>
        <w:rPr>
          <w:rStyle w:val="a7"/>
        </w:rPr>
        <w:footnoteRef/>
      </w:r>
      <w:r>
        <w:rPr>
          <w:rtl/>
        </w:rPr>
        <w:t xml:space="preserve"> </w:t>
      </w:r>
      <w:r>
        <w:rPr>
          <w:rFonts w:cs="Arial"/>
          <w:rtl/>
        </w:rPr>
        <w:t>כסבור קלותי בעיניה שאינה מקבלתו בעצמה דאילו כי עבדא לקבל מיד הבעל אין כאן חשש בזיון דהא ידע ולא קפיד</w:t>
      </w:r>
      <w:r>
        <w:rPr>
          <w:rtl/>
        </w:rPr>
        <w:t>, רש"י.</w:t>
      </w:r>
    </w:p>
  </w:footnote>
  <w:footnote w:id="1821">
    <w:p w14:paraId="616270FF" w14:textId="77777777" w:rsidR="00FA2119" w:rsidRDefault="00FA2119" w:rsidP="00FA2119">
      <w:pPr>
        <w:pStyle w:val="a5"/>
        <w:rPr>
          <w:rtl/>
        </w:rPr>
      </w:pPr>
      <w:r>
        <w:rPr>
          <w:rStyle w:val="a7"/>
        </w:rPr>
        <w:footnoteRef/>
      </w:r>
      <w:r>
        <w:rPr>
          <w:rtl/>
        </w:rPr>
        <w:t xml:space="preserve"> </w:t>
      </w:r>
      <w:r>
        <w:rPr>
          <w:rFonts w:cs="Arial"/>
          <w:rtl/>
        </w:rPr>
        <w:t>לאחר שנתן לה הבעל הגט בחצר של אחרים קנאתו דההוא לאו גיטא הוה דבעינן ונתן בידה או בחצרה דאיתרבאי מידה וזה בשעה שנתן לא היה החצר שלה וגזרינן שלא יקבל שליח האשה מיד שליח בעלה משום דדמי להא שקדם הבעל ומסרו ליד שליח ואחר כך עשתה היא שליח לקבלו ואתו נמי למימר חצר הוי שליח הבעל וכשקנאתו היא נעשה החצר עצמו שלוחה</w:t>
      </w:r>
    </w:p>
  </w:footnote>
  <w:footnote w:id="1822">
    <w:p w14:paraId="1895DB4E" w14:textId="77777777" w:rsidR="00FA2119" w:rsidRDefault="00FA2119" w:rsidP="00FA2119">
      <w:pPr>
        <w:pStyle w:val="a5"/>
      </w:pPr>
      <w:r>
        <w:rPr>
          <w:rStyle w:val="a7"/>
        </w:rPr>
        <w:footnoteRef/>
      </w:r>
      <w:r>
        <w:rPr>
          <w:rtl/>
        </w:rPr>
        <w:t xml:space="preserve"> </w:t>
      </w:r>
      <w:r>
        <w:rPr>
          <w:rFonts w:cs="Arial"/>
          <w:rtl/>
        </w:rPr>
        <w:t>בין הני תרי לישני, רש"י.</w:t>
      </w:r>
    </w:p>
  </w:footnote>
  <w:footnote w:id="1823">
    <w:p w14:paraId="480AEBB1" w14:textId="77777777" w:rsidR="00FA2119" w:rsidRDefault="00FA2119" w:rsidP="00FA2119">
      <w:pPr>
        <w:pStyle w:val="a5"/>
      </w:pPr>
      <w:r>
        <w:rPr>
          <w:rStyle w:val="a7"/>
        </w:rPr>
        <w:footnoteRef/>
      </w:r>
      <w:r>
        <w:rPr>
          <w:rtl/>
        </w:rPr>
        <w:t xml:space="preserve"> </w:t>
      </w:r>
      <w:r>
        <w:rPr>
          <w:rFonts w:cs="Arial"/>
          <w:rtl/>
        </w:rPr>
        <w:t>דידה קודם שמסר הבעל ליד שלוחו דהשתא לא דמי לחצר הבא לאחר מיכן, רש"י.</w:t>
      </w:r>
    </w:p>
  </w:footnote>
  <w:footnote w:id="1824">
    <w:p w14:paraId="6600D385" w14:textId="77777777" w:rsidR="00FA2119" w:rsidRDefault="00FA2119" w:rsidP="00FA2119">
      <w:pPr>
        <w:pStyle w:val="a5"/>
      </w:pPr>
      <w:r>
        <w:rPr>
          <w:rStyle w:val="a7"/>
        </w:rPr>
        <w:footnoteRef/>
      </w:r>
      <w:r>
        <w:rPr>
          <w:rtl/>
        </w:rPr>
        <w:t xml:space="preserve"> </w:t>
      </w:r>
      <w:r>
        <w:rPr>
          <w:rFonts w:cs="Arial"/>
          <w:rtl/>
        </w:rPr>
        <w:t xml:space="preserve">רב האי </w:t>
      </w:r>
      <w:r>
        <w:rPr>
          <w:rFonts w:cs="Arial"/>
          <w:sz w:val="16"/>
          <w:szCs w:val="16"/>
          <w:rtl/>
        </w:rPr>
        <w:t xml:space="preserve">(כ"כ הרי"ף בשמו) </w:t>
      </w:r>
      <w:r>
        <w:rPr>
          <w:rFonts w:cs="Arial"/>
          <w:rtl/>
        </w:rPr>
        <w:t xml:space="preserve">ר"ח </w:t>
      </w:r>
      <w:r>
        <w:rPr>
          <w:rFonts w:cs="Arial"/>
          <w:sz w:val="16"/>
          <w:szCs w:val="16"/>
          <w:rtl/>
        </w:rPr>
        <w:t xml:space="preserve">(כ"כ הרשב"א בשמו) </w:t>
      </w:r>
      <w:r>
        <w:rPr>
          <w:rFonts w:cs="Arial"/>
          <w:rtl/>
        </w:rPr>
        <w:t xml:space="preserve">רי"ף </w:t>
      </w:r>
      <w:r>
        <w:rPr>
          <w:rFonts w:cs="Arial"/>
          <w:sz w:val="16"/>
          <w:szCs w:val="16"/>
          <w:rtl/>
        </w:rPr>
        <w:t>(כט.)</w:t>
      </w:r>
      <w:r>
        <w:rPr>
          <w:rFonts w:cs="Arial"/>
          <w:rtl/>
        </w:rPr>
        <w:t xml:space="preserve"> רמב"ם </w:t>
      </w:r>
      <w:r>
        <w:rPr>
          <w:rFonts w:cs="Arial"/>
          <w:sz w:val="16"/>
          <w:szCs w:val="16"/>
          <w:rtl/>
        </w:rPr>
        <w:t>(פ"ו ה"ט)</w:t>
      </w:r>
      <w:r>
        <w:rPr>
          <w:rFonts w:cs="Arial"/>
          <w:rtl/>
        </w:rPr>
        <w:t xml:space="preserve"> רשב"א </w:t>
      </w:r>
      <w:r>
        <w:rPr>
          <w:rFonts w:cs="Arial"/>
          <w:sz w:val="16"/>
          <w:szCs w:val="16"/>
          <w:rtl/>
        </w:rPr>
        <w:t xml:space="preserve">(שם סוד"ה ולענין) </w:t>
      </w:r>
      <w:r>
        <w:rPr>
          <w:rFonts w:cs="Arial"/>
          <w:rtl/>
        </w:rPr>
        <w:t xml:space="preserve">רא"ש </w:t>
      </w:r>
      <w:r>
        <w:rPr>
          <w:rFonts w:cs="Arial"/>
          <w:sz w:val="16"/>
          <w:szCs w:val="16"/>
          <w:rtl/>
        </w:rPr>
        <w:t>(סי' ה)</w:t>
      </w:r>
      <w:r>
        <w:rPr>
          <w:rFonts w:cs="Arial"/>
          <w:rtl/>
        </w:rPr>
        <w:t xml:space="preserve"> הה"מ </w:t>
      </w:r>
      <w:r>
        <w:rPr>
          <w:rFonts w:cs="Arial"/>
          <w:sz w:val="16"/>
          <w:szCs w:val="16"/>
          <w:rtl/>
        </w:rPr>
        <w:t xml:space="preserve">(שם) </w:t>
      </w:r>
      <w:r>
        <w:rPr>
          <w:rFonts w:cs="Arial"/>
          <w:rtl/>
        </w:rPr>
        <w:t>וטור.</w:t>
      </w:r>
    </w:p>
  </w:footnote>
  <w:footnote w:id="1825">
    <w:p w14:paraId="48BF7693" w14:textId="77777777" w:rsidR="00FA2119" w:rsidRDefault="00FA2119" w:rsidP="00FA2119">
      <w:pPr>
        <w:pStyle w:val="a5"/>
      </w:pPr>
      <w:r>
        <w:rPr>
          <w:rStyle w:val="a7"/>
        </w:rPr>
        <w:footnoteRef/>
      </w:r>
      <w:r>
        <w:rPr>
          <w:rtl/>
        </w:rPr>
        <w:t xml:space="preserve"> </w:t>
      </w:r>
      <w:r>
        <w:rPr>
          <w:rFonts w:cs="Arial"/>
          <w:rtl/>
        </w:rPr>
        <w:t>זו היא גירסת הרי"ף. אבל בנוסחאות בגמרא כתוב 'אמרה ליה ליהוי בידך', כלומר ותהא את שלוחי לקבלה. ובודאי דבהך נוסחא 'לי' גרסינן, אבל אמרה 'ליהוי בידך' בלא 'לי' - לא מהני, דלא משמע דאיהי עבדא ליה שליח קבלה. והכי מוכח בירושלמי (פ"ו סוף ה"א). ובתוספתא (פ"ד סוף ה"ד)</w:t>
      </w:r>
      <w:r>
        <w:rPr>
          <w:rtl/>
        </w:rPr>
        <w:t xml:space="preserve"> </w:t>
      </w:r>
      <w:r>
        <w:rPr>
          <w:rFonts w:cs="Arial"/>
          <w:rtl/>
        </w:rPr>
        <w:t xml:space="preserve">נמי תניא הרי זה גיטיך תנהו לפלוני אינה מגורשת שיקבלהו לי מגורשת. ובמתני' (סב:) נמי תנן טול לי. ובברייתא (סוף סג:) טול לי שא לי יהא לי. ולענין קדושין נמי אמרי' בפ"ק דקדושין (ח:) התקדשי לי במנה תנהו לאבא אינה מקודשת שיקבלהו לי מקודשת. ואין בין תנהו לאבא ולהוי בידך כלום. הלכך ודאי בעינן דלימא לי. וליהוי פקדון בידך שגורס הרי"ף, כיהא לי בידך דמי, דבעלה לאו לפקדון יהביה ניהליה, </w:t>
      </w:r>
      <w:r>
        <w:rPr>
          <w:rFonts w:cs="Arial"/>
          <w:b/>
          <w:bCs/>
          <w:rtl/>
        </w:rPr>
        <w:t>ר"ן</w:t>
      </w:r>
      <w:r>
        <w:rPr>
          <w:rFonts w:cs="Arial"/>
          <w:rtl/>
        </w:rPr>
        <w:t xml:space="preserve"> (כט. ד"ה אמרה). וכן כתב הרשב"א (סג: ד"ה ההוא). וכתב שזה גם כן דעת הרמב"ן (שם סוד"ה הוה). וכן יראה מדברי הרמב"ם שכתב בפ"ו (הי"ג) הבעל ששלח גט לאשתו וכו' אמרה לו בפני עדים יהיה גט זה פקדון אצלך או שאמרה לו הרי את שליח לקבלו לי. הרי דביהא פקדון לא כתב 'לי', ובהרי אתה שליח לקבלו כתב 'לי', וכל שכן באומרת יהא בידך שצריכה לומר לי. ומכל מקום במה שכתב לי בהרי אתה שליח לקבלו נראה שחלוקים עליו הרמב"ן והרשב"א, שכתב הרשב"א עוד- ומיהו 'התקבל' סתם, כתב הרמב"ן דנראה דמשמע לי, ולא בעי לי, </w:t>
      </w:r>
      <w:r>
        <w:rPr>
          <w:rFonts w:cs="Arial"/>
          <w:b/>
          <w:bCs/>
          <w:rtl/>
        </w:rPr>
        <w:t>ב"י</w:t>
      </w:r>
      <w:r>
        <w:rPr>
          <w:rFonts w:cs="Arial"/>
          <w:rtl/>
        </w:rPr>
        <w:t>.</w:t>
      </w:r>
    </w:p>
  </w:footnote>
  <w:footnote w:id="1826">
    <w:p w14:paraId="7434B666" w14:textId="77777777" w:rsidR="00FA2119" w:rsidRDefault="00FA2119" w:rsidP="00FA2119">
      <w:pPr>
        <w:pStyle w:val="a5"/>
      </w:pPr>
      <w:r>
        <w:rPr>
          <w:rStyle w:val="a7"/>
        </w:rPr>
        <w:footnoteRef/>
      </w:r>
      <w:r>
        <w:rPr>
          <w:rtl/>
        </w:rPr>
        <w:t xml:space="preserve"> </w:t>
      </w:r>
      <w:r>
        <w:rPr>
          <w:rFonts w:cs="Arial"/>
          <w:rtl/>
        </w:rPr>
        <w:t>אם הייתי יודע שהלכה כמותו, רש"י.</w:t>
      </w:r>
    </w:p>
  </w:footnote>
  <w:footnote w:id="1827">
    <w:p w14:paraId="25464E75" w14:textId="77777777" w:rsidR="00FA2119" w:rsidRDefault="00FA2119" w:rsidP="00FA2119">
      <w:pPr>
        <w:pStyle w:val="a5"/>
      </w:pPr>
      <w:r>
        <w:rPr>
          <w:rStyle w:val="a7"/>
        </w:rPr>
        <w:footnoteRef/>
      </w:r>
      <w:r>
        <w:rPr>
          <w:rtl/>
        </w:rPr>
        <w:t xml:space="preserve"> </w:t>
      </w:r>
      <w:r>
        <w:rPr>
          <w:rFonts w:cs="Arial"/>
          <w:rtl/>
        </w:rPr>
        <w:t>עבידנא - בהא מילתא עובדא כוותיה ואמינא מגורשת ולא חיישינן לחצרה הבאה לאחר מיכן, רש"י.</w:t>
      </w:r>
    </w:p>
  </w:footnote>
  <w:footnote w:id="1828">
    <w:p w14:paraId="153CAB75" w14:textId="77777777" w:rsidR="00FA2119" w:rsidRDefault="00FA2119" w:rsidP="00FA2119">
      <w:pPr>
        <w:pStyle w:val="a5"/>
      </w:pPr>
      <w:r>
        <w:rPr>
          <w:rStyle w:val="a7"/>
        </w:rPr>
        <w:footnoteRef/>
      </w:r>
      <w:r>
        <w:rPr>
          <w:rtl/>
        </w:rPr>
        <w:t xml:space="preserve"> </w:t>
      </w:r>
      <w:r>
        <w:rPr>
          <w:rFonts w:cs="Arial"/>
          <w:rtl/>
        </w:rPr>
        <w:t>שליח שחזר ונעשה שליח למי שנשתלח לו, ניתק משליחות הראשון עד שלא היה לו שהות לחזור אצל שולחו ולומר עשיתי שליחותך, ושליחות שאינה ראויה לחזור ולהגיד אינה שליחות, רש"י.</w:t>
      </w:r>
    </w:p>
  </w:footnote>
  <w:footnote w:id="1829">
    <w:p w14:paraId="538A6FE2" w14:textId="77777777" w:rsidR="00FA2119" w:rsidRDefault="00FA2119" w:rsidP="00FA2119">
      <w:pPr>
        <w:pStyle w:val="a5"/>
      </w:pPr>
      <w:r>
        <w:rPr>
          <w:rStyle w:val="a7"/>
        </w:rPr>
        <w:footnoteRef/>
      </w:r>
      <w:r>
        <w:rPr>
          <w:rtl/>
        </w:rPr>
        <w:t xml:space="preserve"> </w:t>
      </w:r>
      <w:r>
        <w:rPr>
          <w:rFonts w:cs="Arial"/>
          <w:rtl/>
        </w:rPr>
        <w:t>נעיין בה עד שיתיישב דעתנו להשיב כהלכה, רש"י.</w:t>
      </w:r>
    </w:p>
  </w:footnote>
  <w:footnote w:id="1830">
    <w:p w14:paraId="00F31CC7" w14:textId="77777777" w:rsidR="00FA2119" w:rsidRDefault="00FA2119" w:rsidP="00FA2119">
      <w:pPr>
        <w:pStyle w:val="a5"/>
      </w:pPr>
      <w:r>
        <w:rPr>
          <w:rStyle w:val="a7"/>
        </w:rPr>
        <w:footnoteRef/>
      </w:r>
      <w:r>
        <w:rPr>
          <w:rtl/>
        </w:rPr>
        <w:t xml:space="preserve"> </w:t>
      </w:r>
      <w:r>
        <w:rPr>
          <w:rFonts w:cs="Arial"/>
          <w:rtl/>
        </w:rPr>
        <w:t>לאחר ימים לדעת מה נתיישב בדבר, רש"י.</w:t>
      </w:r>
    </w:p>
  </w:footnote>
  <w:footnote w:id="1831">
    <w:p w14:paraId="09A3B272" w14:textId="77777777" w:rsidR="00FA2119" w:rsidRDefault="00FA2119" w:rsidP="00FA2119">
      <w:pPr>
        <w:pStyle w:val="a5"/>
      </w:pPr>
      <w:r>
        <w:rPr>
          <w:rStyle w:val="a7"/>
        </w:rPr>
        <w:footnoteRef/>
      </w:r>
      <w:r>
        <w:rPr>
          <w:rtl/>
        </w:rPr>
        <w:t xml:space="preserve"> </w:t>
      </w:r>
      <w:r>
        <w:rPr>
          <w:rFonts w:cs="Arial"/>
          <w:rtl/>
        </w:rPr>
        <w:t>כל אלו פעמים - חוזרים ושולחים, רש"י.</w:t>
      </w:r>
    </w:p>
  </w:footnote>
  <w:footnote w:id="1832">
    <w:p w14:paraId="68018313" w14:textId="77777777" w:rsidR="00FA2119" w:rsidRDefault="00FA2119" w:rsidP="00FA2119">
      <w:pPr>
        <w:pStyle w:val="a5"/>
      </w:pPr>
      <w:r>
        <w:rPr>
          <w:rStyle w:val="a7"/>
        </w:rPr>
        <w:footnoteRef/>
      </w:r>
      <w:r>
        <w:rPr>
          <w:rtl/>
        </w:rPr>
        <w:t xml:space="preserve"> </w:t>
      </w:r>
      <w:r>
        <w:rPr>
          <w:rFonts w:cs="Arial"/>
          <w:rtl/>
        </w:rPr>
        <w:t>שנולד בו ספק בבית המדרש, רש"י.</w:t>
      </w:r>
    </w:p>
  </w:footnote>
  <w:footnote w:id="1833">
    <w:p w14:paraId="1D0E5612" w14:textId="77777777" w:rsidR="00FA2119" w:rsidRDefault="00FA2119" w:rsidP="00FA2119">
      <w:pPr>
        <w:pStyle w:val="a5"/>
      </w:pPr>
      <w:r>
        <w:rPr>
          <w:rStyle w:val="a7"/>
        </w:rPr>
        <w:footnoteRef/>
      </w:r>
      <w:r>
        <w:rPr>
          <w:rtl/>
        </w:rPr>
        <w:t xml:space="preserve"> </w:t>
      </w:r>
      <w:r>
        <w:rPr>
          <w:rFonts w:cs="Arial"/>
          <w:rtl/>
        </w:rPr>
        <w:t>ולא מתייבמת אם מת, רש"י.</w:t>
      </w:r>
    </w:p>
  </w:footnote>
  <w:footnote w:id="1834">
    <w:p w14:paraId="4A08AA62" w14:textId="77777777" w:rsidR="00FA2119" w:rsidRDefault="00FA2119" w:rsidP="00FA2119">
      <w:pPr>
        <w:pStyle w:val="a5"/>
      </w:pPr>
      <w:r>
        <w:rPr>
          <w:rStyle w:val="a7"/>
        </w:rPr>
        <w:footnoteRef/>
      </w:r>
      <w:r>
        <w:rPr>
          <w:rtl/>
        </w:rPr>
        <w:t xml:space="preserve"> </w:t>
      </w:r>
      <w:r>
        <w:rPr>
          <w:rFonts w:cs="Arial"/>
          <w:rtl/>
        </w:rPr>
        <w:t>אם באת לינשא מחיים צריכה גט שני, רש"י.</w:t>
      </w:r>
    </w:p>
  </w:footnote>
  <w:footnote w:id="1835">
    <w:p w14:paraId="497D5422" w14:textId="77777777" w:rsidR="00FA2119" w:rsidRDefault="00FA2119" w:rsidP="00FA2119">
      <w:pPr>
        <w:pStyle w:val="a5"/>
      </w:pPr>
      <w:r>
        <w:rPr>
          <w:rStyle w:val="a7"/>
        </w:rPr>
        <w:footnoteRef/>
      </w:r>
      <w:r>
        <w:rPr>
          <w:rtl/>
        </w:rPr>
        <w:t xml:space="preserve"> </w:t>
      </w:r>
      <w:r>
        <w:rPr>
          <w:rFonts w:cs="Arial"/>
          <w:rtl/>
        </w:rPr>
        <w:t>אם מת ולא נתן לה גט, רש"י.</w:t>
      </w:r>
    </w:p>
  </w:footnote>
  <w:footnote w:id="1836">
    <w:p w14:paraId="681170B8" w14:textId="77777777" w:rsidR="00FA2119" w:rsidRDefault="00FA2119" w:rsidP="00FA2119">
      <w:pPr>
        <w:pStyle w:val="a5"/>
      </w:pPr>
      <w:r>
        <w:rPr>
          <w:rStyle w:val="a7"/>
        </w:rPr>
        <w:footnoteRef/>
      </w:r>
      <w:r>
        <w:rPr>
          <w:rtl/>
        </w:rPr>
        <w:t xml:space="preserve"> </w:t>
      </w:r>
      <w:r>
        <w:rPr>
          <w:rFonts w:cs="Arial"/>
          <w:rtl/>
        </w:rPr>
        <w:t>דבר פשוט שאמירה זו צריכה להיות בפני עדים, וכמו שכתב הרמב"ם ז"ל, ב"י.</w:t>
      </w:r>
    </w:p>
  </w:footnote>
  <w:footnote w:id="1837">
    <w:p w14:paraId="001E30EB" w14:textId="77777777" w:rsidR="00FA2119" w:rsidRDefault="00FA2119" w:rsidP="00FA2119">
      <w:pPr>
        <w:pStyle w:val="a5"/>
      </w:pPr>
      <w:r>
        <w:rPr>
          <w:rStyle w:val="a7"/>
        </w:rPr>
        <w:footnoteRef/>
      </w:r>
      <w:r>
        <w:rPr>
          <w:rtl/>
        </w:rPr>
        <w:t xml:space="preserve"> </w:t>
      </w:r>
      <w:r>
        <w:rPr>
          <w:rFonts w:cs="Arial"/>
          <w:rtl/>
        </w:rPr>
        <w:t>ועיין בס' גט מקושר (סג"ש אות כ) שכ' דלפום נוסחא דידן דאומר תן אותו לידה אפילו בשעת הדחק אינה יכולה לעשות שליח לקבלה דהיכא דאמר לידה ודאי איכא קפידא אפילו להפוסקים כר' חנינא, כמפורש בת' הרשב"א שהביא הב"י ס"ס זה. והריב"ש שלא חילק בזה לא ראה תשובת הרשב"א, וא"כ הרב ב"ש (סוף סק"ד) נתן מכשול למעיינים במה שהביא להלכה דברי הריב"ש, דהא לפי נוסח דידן שאומר לידה הוי קפידא לכו"ע וא"א שיקבל שלוחה מיד שליח בעלה אם לא שפירש הבעל לידה או ליד שלוחה וגם היא נתנה רשות לשלוחה לקבל מיד הבעל או שלוחו, אבל בלא"ה אפילו בדיעבד נקטינן להחמיר, פת"ש (סק"ג).</w:t>
      </w:r>
    </w:p>
  </w:footnote>
  <w:footnote w:id="1838">
    <w:p w14:paraId="21475455" w14:textId="77777777" w:rsidR="00FA2119" w:rsidRDefault="00FA2119" w:rsidP="00FA2119">
      <w:pPr>
        <w:pStyle w:val="a5"/>
      </w:pPr>
      <w:r>
        <w:rPr>
          <w:rStyle w:val="a7"/>
        </w:rPr>
        <w:footnoteRef/>
      </w:r>
      <w:r>
        <w:rPr>
          <w:rtl/>
        </w:rPr>
        <w:t xml:space="preserve"> </w:t>
      </w:r>
      <w:r>
        <w:rPr>
          <w:rFonts w:cs="Arial"/>
          <w:rtl/>
        </w:rPr>
        <w:t>או היא או אביה..., רש"י.</w:t>
      </w:r>
    </w:p>
  </w:footnote>
  <w:footnote w:id="1839">
    <w:p w14:paraId="487AF3C2" w14:textId="77777777" w:rsidR="00FA2119" w:rsidRDefault="00FA2119" w:rsidP="00FA2119">
      <w:pPr>
        <w:pStyle w:val="a5"/>
      </w:pPr>
      <w:r>
        <w:rPr>
          <w:rStyle w:val="a7"/>
        </w:rPr>
        <w:footnoteRef/>
      </w:r>
      <w:r>
        <w:rPr>
          <w:rtl/>
        </w:rPr>
        <w:t xml:space="preserve"> </w:t>
      </w:r>
      <w:r>
        <w:rPr>
          <w:rFonts w:cs="Arial"/>
          <w:rtl/>
        </w:rPr>
        <w:t>לרבנן דאמרי מקבלת את גיטה, מהו שתעשה אחר שליח לקבל את גיטה בחיי אביה, רש"י. וכן כתבו הרי"ף (ל:) והרא"ש (סי' ט) בפרק התקבל- והני מילי בחיי אביה, אבל לאחר מיתת אביה כיון שהביאה שתי שערות עושה שליח לקבלה. וכן פשוט שם בסוגיא פרק האיש מקדש. וממילא משמע דנישאת דינה כמו שאין לה אב, וכדתנן בפרק נערה (כתובות מג:) משנישאת אין לאביה בה רשות, ב"י</w:t>
      </w:r>
    </w:p>
  </w:footnote>
  <w:footnote w:id="1840">
    <w:p w14:paraId="2FE62827" w14:textId="77777777" w:rsidR="00FA2119" w:rsidRDefault="00FA2119" w:rsidP="00FA2119">
      <w:pPr>
        <w:pStyle w:val="a5"/>
      </w:pPr>
      <w:r>
        <w:rPr>
          <w:rStyle w:val="a7"/>
        </w:rPr>
        <w:footnoteRef/>
      </w:r>
      <w:r>
        <w:rPr>
          <w:rtl/>
        </w:rPr>
        <w:t xml:space="preserve"> </w:t>
      </w:r>
      <w:r>
        <w:rPr>
          <w:rFonts w:cs="Arial"/>
          <w:rtl/>
        </w:rPr>
        <w:t>או היא או אביה..., רש"י.</w:t>
      </w:r>
    </w:p>
  </w:footnote>
  <w:footnote w:id="1841">
    <w:p w14:paraId="2B9F2F5E" w14:textId="77777777" w:rsidR="00FA2119" w:rsidRDefault="00FA2119" w:rsidP="00FA2119">
      <w:pPr>
        <w:pStyle w:val="a5"/>
      </w:pPr>
      <w:r>
        <w:rPr>
          <w:rStyle w:val="a7"/>
        </w:rPr>
        <w:footnoteRef/>
      </w:r>
      <w:r>
        <w:rPr>
          <w:rtl/>
        </w:rPr>
        <w:t xml:space="preserve"> </w:t>
      </w:r>
      <w:r>
        <w:rPr>
          <w:rFonts w:cs="Arial"/>
          <w:rtl/>
        </w:rPr>
        <w:t>לרבנן דאמרי מקבלת את גיטה, מהו שתעשה אחר שליח לקבל את גיטה בחיי אביה, רש"י. וכן כתבו הרי"ף (ל:) והרא"ש (סי' ט) בפרק התקבל- והני מילי בחיי אביה, אבל לאחר מיתת אביה כיון שהביאה שתי שערות עושה שליח לקבלה. וכן פשוט שם בסוגיא פרק האיש מקדש. וממילא משמע דנישאת דינה כמו שאין לה אב, וכדתנן בפרק נערה (כתובות מג:) משנישאת אין לאביה בה רשות, ב"י</w:t>
      </w:r>
      <w:r>
        <w:rPr>
          <w:rtl/>
        </w:rPr>
        <w:t>.</w:t>
      </w:r>
    </w:p>
  </w:footnote>
  <w:footnote w:id="1842">
    <w:p w14:paraId="14E902C4" w14:textId="0BD1A705" w:rsidR="00FA2119" w:rsidRDefault="00FA2119" w:rsidP="00FA2119">
      <w:pPr>
        <w:pStyle w:val="a5"/>
      </w:pPr>
      <w:r>
        <w:rPr>
          <w:rStyle w:val="a7"/>
        </w:rPr>
        <w:footnoteRef/>
      </w:r>
      <w:r>
        <w:rPr>
          <w:rtl/>
        </w:rPr>
        <w:t xml:space="preserve"> </w:t>
      </w:r>
      <w:r>
        <w:rPr>
          <w:rFonts w:cs="Arial"/>
          <w:rtl/>
        </w:rPr>
        <w:t xml:space="preserve">בפרק התקבל (סד:) תנן נערה המאורסה היא ואביה מקבלין את גיטה. ופירש רש"י </w:t>
      </w:r>
      <w:r w:rsidR="000A0F5A">
        <w:rPr>
          <w:rFonts w:cs="Arial"/>
          <w:rtl/>
        </w:rPr>
        <w:t>וז"ל:</w:t>
      </w:r>
      <w:r>
        <w:rPr>
          <w:rFonts w:cs="Arial"/>
          <w:rtl/>
        </w:rPr>
        <w:t xml:space="preserve"> או היא או אביה, היא יש לה יד </w:t>
      </w:r>
      <w:r>
        <w:rPr>
          <w:rFonts w:cs="Arial"/>
          <w:b/>
          <w:bCs/>
          <w:rtl/>
        </w:rPr>
        <w:t>דהא גדולה היא</w:t>
      </w:r>
      <w:r>
        <w:rPr>
          <w:rFonts w:cs="Arial"/>
          <w:rtl/>
        </w:rPr>
        <w:t>, ואם היתה יתומה היא מהוה את עצמה, והיא מקבלת את גיטה והשתא נמי לא שנא. עכ"ל. אלמא דסבירא ליה דוקא נערה, אבל קטנה אינה מקבלת גיטה, ב"י.</w:t>
      </w:r>
    </w:p>
  </w:footnote>
  <w:footnote w:id="1843">
    <w:p w14:paraId="4A1BD5F8" w14:textId="77777777" w:rsidR="00FA2119" w:rsidRDefault="00FA2119" w:rsidP="00FA2119">
      <w:pPr>
        <w:pStyle w:val="a5"/>
      </w:pPr>
      <w:r>
        <w:rPr>
          <w:rStyle w:val="a7"/>
        </w:rPr>
        <w:footnoteRef/>
      </w:r>
      <w:r>
        <w:rPr>
          <w:rtl/>
        </w:rPr>
        <w:t xml:space="preserve"> </w:t>
      </w:r>
      <w:r>
        <w:rPr>
          <w:rFonts w:cs="Arial"/>
          <w:rtl/>
        </w:rPr>
        <w:t>וכתב הר"ן בהאיש מקדש (יח: דיבור ראשון) שזה דעת רבינו האיי ז"ל. [בדק הבית] ונראה מדבריו שכן דעת הרמב"ן (קידושין מג: סוד"ה הא דתנן). וכתב דהכי משמע בירושלמי (גיטין פ"ו סוף ה"ב) [עד כאן]</w:t>
      </w:r>
      <w:r>
        <w:rPr>
          <w:rtl/>
        </w:rPr>
        <w:t>, ב"י.</w:t>
      </w:r>
    </w:p>
  </w:footnote>
  <w:footnote w:id="1844">
    <w:p w14:paraId="28EC70D9" w14:textId="77777777" w:rsidR="00FA2119" w:rsidRDefault="00FA2119" w:rsidP="00FA2119">
      <w:pPr>
        <w:pStyle w:val="a5"/>
        <w:rPr>
          <w:rtl/>
        </w:rPr>
      </w:pPr>
      <w:r>
        <w:rPr>
          <w:rStyle w:val="a7"/>
        </w:rPr>
        <w:footnoteRef/>
      </w:r>
      <w:r>
        <w:rPr>
          <w:rtl/>
        </w:rPr>
        <w:t xml:space="preserve"> </w:t>
      </w:r>
      <w:r>
        <w:rPr>
          <w:rFonts w:hint="cs"/>
          <w:rtl/>
        </w:rPr>
        <w:t xml:space="preserve">רש"י </w:t>
      </w:r>
      <w:r>
        <w:rPr>
          <w:sz w:val="16"/>
          <w:szCs w:val="16"/>
          <w:rtl/>
        </w:rPr>
        <w:t>(קידושין מג: ד"ה נערה המאורסה)</w:t>
      </w:r>
      <w:r>
        <w:rPr>
          <w:rFonts w:cs="Arial"/>
          <w:rtl/>
        </w:rPr>
        <w:t xml:space="preserve"> תוס'</w:t>
      </w:r>
      <w:r>
        <w:rPr>
          <w:rFonts w:cs="Arial"/>
          <w:sz w:val="16"/>
          <w:szCs w:val="16"/>
          <w:rtl/>
        </w:rPr>
        <w:t xml:space="preserve"> (קידושין מג: ד"ה תנן התם, ובגיטין סד: ד"ה נערה)</w:t>
      </w:r>
      <w:r>
        <w:rPr>
          <w:rFonts w:cs="Arial"/>
          <w:rtl/>
        </w:rPr>
        <w:t xml:space="preserve"> רז"ה </w:t>
      </w:r>
      <w:r>
        <w:rPr>
          <w:rFonts w:cs="Arial"/>
          <w:sz w:val="16"/>
          <w:szCs w:val="16"/>
          <w:rtl/>
        </w:rPr>
        <w:t>(שם:)</w:t>
      </w:r>
      <w:r>
        <w:rPr>
          <w:rFonts w:cs="Arial"/>
          <w:rtl/>
        </w:rPr>
        <w:t xml:space="preserve"> ובהעי"ט </w:t>
      </w:r>
      <w:r>
        <w:rPr>
          <w:rFonts w:cs="Arial"/>
          <w:sz w:val="16"/>
          <w:szCs w:val="16"/>
          <w:rtl/>
        </w:rPr>
        <w:t>(אות ש שלישות גט מח ע"ד)</w:t>
      </w:r>
      <w:r>
        <w:rPr>
          <w:rtl/>
        </w:rPr>
        <w:t>.</w:t>
      </w:r>
    </w:p>
  </w:footnote>
  <w:footnote w:id="1845">
    <w:p w14:paraId="11B201F0" w14:textId="77777777" w:rsidR="00FA2119" w:rsidRDefault="00FA2119" w:rsidP="00FA2119">
      <w:pPr>
        <w:pStyle w:val="a5"/>
        <w:rPr>
          <w:rtl/>
        </w:rPr>
      </w:pPr>
      <w:r>
        <w:rPr>
          <w:rStyle w:val="a7"/>
        </w:rPr>
        <w:footnoteRef/>
      </w:r>
      <w:r>
        <w:rPr>
          <w:rtl/>
        </w:rPr>
        <w:t xml:space="preserve"> </w:t>
      </w:r>
      <w:r>
        <w:rPr>
          <w:rFonts w:cs="Arial"/>
          <w:rtl/>
        </w:rPr>
        <w:t>וטעמא דמילתא דכיון דנערה נמי ברשות אביה היא ואעפ"כ היא עצמה מקבלת את גיטה, אף בקטנה יש לומר כל שיש לה דעת דמציא זכיא לנפשה, ר"ן (גיטין סוף ל.).</w:t>
      </w:r>
    </w:p>
  </w:footnote>
  <w:footnote w:id="1846">
    <w:p w14:paraId="75010424" w14:textId="77777777" w:rsidR="00FA2119" w:rsidRDefault="00FA2119" w:rsidP="00FA2119">
      <w:pPr>
        <w:pStyle w:val="a5"/>
        <w:rPr>
          <w:rtl/>
        </w:rPr>
      </w:pPr>
      <w:r>
        <w:rPr>
          <w:rStyle w:val="a7"/>
        </w:rPr>
        <w:footnoteRef/>
      </w:r>
      <w:r>
        <w:rPr>
          <w:rtl/>
        </w:rPr>
        <w:t xml:space="preserve"> </w:t>
      </w:r>
      <w:r>
        <w:rPr>
          <w:rFonts w:cs="Arial"/>
          <w:rtl/>
        </w:rPr>
        <w:t>ועיין בתשובותיו (ח"א) סי' תשפ"ט, וכן הוא בתשובת מוהר"ם פאדו"ה (סי' ג), ועיין שם שמדקדק כן ממ"ש הטור (להחמיר שלא תקבלנו אלא ע"י אביה, ש"מ שמדעת אביה שפיר דמי לכו"ע, דרכ"מ (אות ב).</w:t>
      </w:r>
    </w:p>
  </w:footnote>
  <w:footnote w:id="1847">
    <w:p w14:paraId="4308BC82" w14:textId="77777777" w:rsidR="00FA2119" w:rsidRDefault="00FA2119" w:rsidP="00FA2119">
      <w:pPr>
        <w:pStyle w:val="a5"/>
        <w:rPr>
          <w:rtl/>
        </w:rPr>
      </w:pPr>
      <w:r>
        <w:rPr>
          <w:rStyle w:val="a7"/>
        </w:rPr>
        <w:footnoteRef/>
      </w:r>
      <w:r>
        <w:rPr>
          <w:rtl/>
        </w:rPr>
        <w:t xml:space="preserve"> </w:t>
      </w:r>
      <w:r>
        <w:rPr>
          <w:rFonts w:cs="Arial"/>
          <w:rtl/>
        </w:rPr>
        <w:t>וכל זה לכתחלה, אבל בדיעבד אם לא כתב אלא נוסח של הגט הפשוט - שריא. וכן כתב מהר"ר איסרלן ז"ל בכתביו (תרוה"ד ח"ב סי' מו), וכן כתב מהר"ר לוי ן' חביב ז"ל בתשובה (שם)</w:t>
      </w:r>
      <w:r>
        <w:rPr>
          <w:rtl/>
        </w:rPr>
        <w:t>, ב"י.</w:t>
      </w:r>
    </w:p>
  </w:footnote>
  <w:footnote w:id="1848">
    <w:p w14:paraId="4134A290" w14:textId="77777777" w:rsidR="00FA2119" w:rsidRDefault="00FA2119" w:rsidP="00FA2119">
      <w:pPr>
        <w:pStyle w:val="a5"/>
        <w:rPr>
          <w:rtl/>
        </w:rPr>
      </w:pPr>
      <w:r>
        <w:rPr>
          <w:rStyle w:val="a7"/>
        </w:rPr>
        <w:footnoteRef/>
      </w:r>
      <w:r>
        <w:rPr>
          <w:rtl/>
        </w:rPr>
        <w:t xml:space="preserve"> </w:t>
      </w:r>
      <w:r>
        <w:rPr>
          <w:rFonts w:cs="Arial"/>
          <w:rtl/>
        </w:rPr>
        <w:t>וכתב ב"י בשו"ע שלו (סדר הגט סע' צו) דיש ליתן שני גיטין, וכן נראה לי כי מהרא"י ומהר"ם לא ראו דברי הר"ן כמבואר בתשובותיהם. וכתב מהר"ם פאדו"ה (סי' ג) דיש לגרש הקטנה בדעת אביה ואז אין צריך לשנות בנוסח הגט, דרכ"מ (אות ג).</w:t>
      </w:r>
    </w:p>
  </w:footnote>
  <w:footnote w:id="1849">
    <w:p w14:paraId="1B4D5843" w14:textId="77777777" w:rsidR="00FA2119" w:rsidRDefault="00FA2119" w:rsidP="00FA2119">
      <w:pPr>
        <w:pStyle w:val="a5"/>
      </w:pPr>
      <w:r>
        <w:rPr>
          <w:rStyle w:val="a7"/>
        </w:rPr>
        <w:footnoteRef/>
      </w:r>
      <w:r>
        <w:rPr>
          <w:rtl/>
        </w:rPr>
        <w:t xml:space="preserve"> </w:t>
      </w:r>
      <w:r>
        <w:rPr>
          <w:rFonts w:cs="Arial"/>
          <w:rtl/>
        </w:rPr>
        <w:t>כ"כ הרשב"א בתשובה, אבל בבדה"ב הביא תשו' הרלב"ח דיש להחמיר שלא לגרש ע"י הסכמת אביה, וכ"כ הנמוק"י בשם כמה פוסקים, ב"ש (סק"ה).</w:t>
      </w:r>
    </w:p>
  </w:footnote>
  <w:footnote w:id="1850">
    <w:p w14:paraId="013FD60A" w14:textId="77777777" w:rsidR="00FA2119" w:rsidRDefault="00FA2119" w:rsidP="00FA2119">
      <w:pPr>
        <w:pStyle w:val="a5"/>
      </w:pPr>
      <w:r>
        <w:rPr>
          <w:rStyle w:val="a7"/>
        </w:rPr>
        <w:footnoteRef/>
      </w:r>
      <w:r>
        <w:rPr>
          <w:rtl/>
        </w:rPr>
        <w:t xml:space="preserve"> </w:t>
      </w:r>
      <w:r>
        <w:rPr>
          <w:rFonts w:cs="Arial"/>
          <w:rtl/>
        </w:rPr>
        <w:t>בדין זה פליגי הפוסקים הרי"ף והרמב"ם וכמה פוסקים ס"ל דוקא אביה מקבל ולא היא. ותוס' וכמה פוסקים ס"ל דהיא יכולה לקבל. וכתב הרא"ש דראוי להחמיר שלא תקבל ע"י עצמה... והב"י בספרו פסק כהרי"ף והרמב"ם דוקא אביה מקבל ולא היא, וכן משמע דהמחבר ס"ל כן, שהביא דעת החולקים בלשון וי"א. ונ"מ מזה דלא קנתה מתנה הבאה לחצרה, כיון דאין לה יד אין לה חצר. וכ"כ הנמוק"י כמ"ש בחו"מ סי' רמ"ג. ובסדר הגט משמע דס"ל עיקר כהני פוסקים דס"ל דאית לה יד לקבל הגט, ב"ש (סק"ו).</w:t>
      </w:r>
    </w:p>
  </w:footnote>
  <w:footnote w:id="1851">
    <w:p w14:paraId="0902ECFE" w14:textId="77777777" w:rsidR="00FA2119" w:rsidRDefault="00FA2119" w:rsidP="00FA2119">
      <w:pPr>
        <w:pStyle w:val="a5"/>
      </w:pPr>
      <w:r>
        <w:rPr>
          <w:rStyle w:val="a7"/>
        </w:rPr>
        <w:footnoteRef/>
      </w:r>
      <w:r>
        <w:rPr>
          <w:rtl/>
        </w:rPr>
        <w:t xml:space="preserve"> </w:t>
      </w:r>
      <w:r>
        <w:rPr>
          <w:rFonts w:cs="Arial"/>
          <w:rtl/>
        </w:rPr>
        <w:t>מי לא ידעה?, תוס' (קידושין י. ד"ה ומקבל).</w:t>
      </w:r>
    </w:p>
  </w:footnote>
  <w:footnote w:id="1852">
    <w:p w14:paraId="504A77F5" w14:textId="77777777" w:rsidR="00FA2119" w:rsidRDefault="00FA2119" w:rsidP="00FA2119">
      <w:pPr>
        <w:pStyle w:val="a5"/>
      </w:pPr>
      <w:r>
        <w:rPr>
          <w:rStyle w:val="a7"/>
        </w:rPr>
        <w:footnoteRef/>
      </w:r>
      <w:r>
        <w:rPr>
          <w:rtl/>
        </w:rPr>
        <w:t xml:space="preserve"> </w:t>
      </w:r>
      <w:r>
        <w:rPr>
          <w:rFonts w:cs="Arial"/>
          <w:rtl/>
        </w:rPr>
        <w:t>מתני' כמשנה ראשונה ששנינו בפ"ה דכתובות שכן שנו דארוסה בת ישראל לכהן אוכלת בתרומה ואביה מקבל את גיטה..., פני משה.</w:t>
      </w:r>
    </w:p>
  </w:footnote>
  <w:footnote w:id="1853">
    <w:p w14:paraId="53E8D35F" w14:textId="77777777" w:rsidR="00FA2119" w:rsidRDefault="00FA2119" w:rsidP="00FA2119">
      <w:pPr>
        <w:pStyle w:val="a5"/>
      </w:pPr>
      <w:r>
        <w:rPr>
          <w:rStyle w:val="a7"/>
        </w:rPr>
        <w:footnoteRef/>
      </w:r>
      <w:r>
        <w:rPr>
          <w:rtl/>
        </w:rPr>
        <w:t xml:space="preserve"> </w:t>
      </w:r>
      <w:r>
        <w:rPr>
          <w:rFonts w:cs="Arial"/>
          <w:rtl/>
        </w:rPr>
        <w:t>דתנינן בכתובות שם ב"ד של אחריהן אמרו אין האשה אוכלת בתרומה עד שתכנס לחופה ומכיון שנכנסה לחופה יצאת מרשות אביה ואינו מקבל את גיטה ואפ"ה משכחת לה דלא ידעה דתיפתר...</w:t>
      </w:r>
      <w:r>
        <w:rPr>
          <w:rtl/>
        </w:rPr>
        <w:t>, פני משה.</w:t>
      </w:r>
    </w:p>
  </w:footnote>
  <w:footnote w:id="1854">
    <w:p w14:paraId="15D20B6C" w14:textId="2C8C086D" w:rsidR="00720E34" w:rsidRDefault="00720E34">
      <w:pPr>
        <w:pStyle w:val="a5"/>
      </w:pPr>
      <w:r>
        <w:rPr>
          <w:rStyle w:val="a7"/>
        </w:rPr>
        <w:footnoteRef/>
      </w:r>
      <w:r>
        <w:rPr>
          <w:rtl/>
        </w:rPr>
        <w:t xml:space="preserve"> </w:t>
      </w:r>
      <w:r>
        <w:rPr>
          <w:rFonts w:hint="cs"/>
          <w:rtl/>
        </w:rPr>
        <w:t>סימן - סוף דרדסית.</w:t>
      </w:r>
    </w:p>
  </w:footnote>
  <w:footnote w:id="1855">
    <w:p w14:paraId="2601D21C" w14:textId="77777777" w:rsidR="00FA2119" w:rsidRDefault="00FA2119" w:rsidP="00FA2119">
      <w:pPr>
        <w:pStyle w:val="a5"/>
        <w:rPr>
          <w:rtl/>
        </w:rPr>
      </w:pPr>
      <w:r>
        <w:rPr>
          <w:rStyle w:val="a7"/>
        </w:rPr>
        <w:footnoteRef/>
      </w:r>
      <w:r>
        <w:rPr>
          <w:rtl/>
        </w:rPr>
        <w:t xml:space="preserve"> </w:t>
      </w:r>
      <w:r>
        <w:rPr>
          <w:rFonts w:cs="Arial"/>
          <w:rtl/>
        </w:rPr>
        <w:t xml:space="preserve">דכתיב ושלחה מביתו מי שמשלחה ואינה חוזרת יצתה זו שמשלחה וחוזרת הכי דרשינן לה ביבמות בפרק חרש שנשא (קיג:) הלכך אפילו בקבלת אביה אינה מתגרשת, </w:t>
      </w:r>
      <w:r>
        <w:rPr>
          <w:rFonts w:cs="Arial"/>
          <w:b/>
          <w:bCs/>
          <w:rtl/>
        </w:rPr>
        <w:t>רש"י</w:t>
      </w:r>
      <w:r>
        <w:rPr>
          <w:rFonts w:cs="Arial"/>
          <w:rtl/>
        </w:rPr>
        <w:t>.</w:t>
      </w:r>
      <w:r>
        <w:rPr>
          <w:rtl/>
        </w:rPr>
        <w:t xml:space="preserve"> </w:t>
      </w:r>
      <w:r>
        <w:rPr>
          <w:rFonts w:cs="Arial"/>
          <w:rtl/>
        </w:rPr>
        <w:t>ור"ת מפרש דע"י אביה מתגרשת אע"ג שאינה יודעת לשמור את גיטה, והורה כך הלכה למעשה. דהא לר' ינאי דדריש התם (יבמות קיג:) מונתן בידה מי שיש לה יד לגרש את עצמה יצתה זו כו', לפי אותו טעם מגורשת ע"י אביה, דהא אפילו פיקחת אביה מקבל את גיטה. ותנא דבי ר' ישמעאל דמפיק מושלחה לא פליג עליה אלא בהא דמפיק מקרא אחרינא, אבל משמע דליכא בינייהו מידי, וטעמא כיון שיש לה אב הוא שומרה מלחזור. ועוד דבירושלמי בהדיא קורא אותה שיש לה אב יכולה לשמור את גיטה. א"כ מתגרשת ע"י אביה לכו"ע דהא לא מצרכי הכא אלא שתהא יכולה לשמור את גיטה. וכן נראה, דאי כשאינה יכולה לשמור את גיטה אינה מתגרשת אפי' ע"י אביה, א"כ לענין קדושין נמי לא תתקדש, דויצאה והיתה כתיב דאיתקש הויה ליציאה...</w:t>
      </w:r>
      <w:r>
        <w:rPr>
          <w:rtl/>
        </w:rPr>
        <w:t xml:space="preserve">, </w:t>
      </w:r>
      <w:r>
        <w:rPr>
          <w:b/>
          <w:bCs/>
          <w:rtl/>
        </w:rPr>
        <w:t>תוס'</w:t>
      </w:r>
      <w:r>
        <w:rPr>
          <w:rtl/>
        </w:rPr>
        <w:t xml:space="preserve"> (שם ד"ה וכל שאינה יכולה לשמור גיטה).</w:t>
      </w:r>
    </w:p>
  </w:footnote>
  <w:footnote w:id="1856">
    <w:p w14:paraId="2EE6338C" w14:textId="77777777" w:rsidR="00FA2119" w:rsidRDefault="00FA2119" w:rsidP="00FA2119">
      <w:pPr>
        <w:pStyle w:val="a5"/>
      </w:pPr>
      <w:r>
        <w:rPr>
          <w:rStyle w:val="a7"/>
        </w:rPr>
        <w:footnoteRef/>
      </w:r>
      <w:r>
        <w:rPr>
          <w:rtl/>
        </w:rPr>
        <w:t xml:space="preserve"> </w:t>
      </w:r>
      <w:r>
        <w:rPr>
          <w:rFonts w:cs="Arial"/>
          <w:rtl/>
        </w:rPr>
        <w:t>שאם אבדה גיטה משמרת דבר אחר שאינו דומה לו וסבורה שהוא גיטה, רש"י.</w:t>
      </w:r>
    </w:p>
  </w:footnote>
  <w:footnote w:id="1857">
    <w:p w14:paraId="50543E40" w14:textId="77777777" w:rsidR="00FA2119" w:rsidRDefault="00FA2119" w:rsidP="00FA2119">
      <w:pPr>
        <w:pStyle w:val="a5"/>
      </w:pPr>
      <w:r>
        <w:rPr>
          <w:rStyle w:val="a7"/>
        </w:rPr>
        <w:footnoteRef/>
      </w:r>
      <w:r>
        <w:rPr>
          <w:rtl/>
        </w:rPr>
        <w:t xml:space="preserve"> </w:t>
      </w:r>
      <w:r>
        <w:rPr>
          <w:rFonts w:cs="Arial"/>
          <w:rtl/>
        </w:rPr>
        <w:t>ומשום הכי סתם, דצרור וזורקו אגוז ונוטלו היינו מבחנת בין גיטה לדבר אחר. ואילו היה גורס כפירוש רש"י הוה ליה לפרושי דהיינו כבת שש או בת שבע שהוא עונת הפעוטות. וגם בפ"ד מהלכות אישות (ה"ז) גבי קטנה המתקדשת למיאון משמע שנוטה קצת לגירסת רי"ף, ואע"פ שגם שם דבריו סתומים, הה"מ כתב לדעתו גירסת הרי"ף ז"ל</w:t>
      </w:r>
      <w:r>
        <w:rPr>
          <w:rtl/>
        </w:rPr>
        <w:t>, ב"י.</w:t>
      </w:r>
    </w:p>
  </w:footnote>
  <w:footnote w:id="1858">
    <w:p w14:paraId="4AE50686" w14:textId="77777777" w:rsidR="00FA2119" w:rsidRDefault="00FA2119" w:rsidP="00FA2119">
      <w:pPr>
        <w:pStyle w:val="a5"/>
        <w:rPr>
          <w:rtl/>
        </w:rPr>
      </w:pPr>
      <w:r>
        <w:rPr>
          <w:rStyle w:val="a7"/>
        </w:rPr>
        <w:footnoteRef/>
      </w:r>
      <w:r>
        <w:rPr>
          <w:rtl/>
        </w:rPr>
        <w:t xml:space="preserve"> </w:t>
      </w:r>
      <w:r>
        <w:rPr>
          <w:rFonts w:cs="Arial"/>
          <w:rtl/>
        </w:rPr>
        <w:t>דאי לאו זביניה זבינא לא מזבני ליה מזוני ולא זבני מיניה, רש"י.</w:t>
      </w:r>
    </w:p>
  </w:footnote>
  <w:footnote w:id="1859">
    <w:p w14:paraId="4F382463" w14:textId="77777777" w:rsidR="00FA2119" w:rsidRDefault="00FA2119" w:rsidP="00FA2119">
      <w:pPr>
        <w:pStyle w:val="a5"/>
      </w:pPr>
      <w:r>
        <w:rPr>
          <w:rStyle w:val="a7"/>
        </w:rPr>
        <w:footnoteRef/>
      </w:r>
      <w:r>
        <w:rPr>
          <w:rtl/>
        </w:rPr>
        <w:t xml:space="preserve"> </w:t>
      </w:r>
      <w:r>
        <w:rPr>
          <w:rFonts w:cs="Arial"/>
          <w:rtl/>
        </w:rPr>
        <w:t xml:space="preserve">שכתב </w:t>
      </w:r>
      <w:r>
        <w:rPr>
          <w:rFonts w:cs="Arial"/>
          <w:sz w:val="16"/>
          <w:szCs w:val="16"/>
          <w:rtl/>
        </w:rPr>
        <w:t>(פ"ב מגירושין הי"ח)</w:t>
      </w:r>
      <w:r>
        <w:rPr>
          <w:rFonts w:cs="Arial"/>
          <w:rtl/>
        </w:rPr>
        <w:t xml:space="preserve"> המקדש קטנה על ידי אביה וכו' אביה מקבל גיטה ולא חילק. וכשמתגרשת על ידי עצמה (שם הי"ט) חילק בין מבחנת בין גיטה לדבר אחר לאם אינה מבחנת, ב"י.</w:t>
      </w:r>
    </w:p>
  </w:footnote>
  <w:footnote w:id="1860">
    <w:p w14:paraId="37D8BE69" w14:textId="77777777" w:rsidR="00FA2119" w:rsidRDefault="00FA2119" w:rsidP="00FA2119">
      <w:pPr>
        <w:pStyle w:val="a5"/>
      </w:pPr>
      <w:r>
        <w:rPr>
          <w:rStyle w:val="a7"/>
        </w:rPr>
        <w:footnoteRef/>
      </w:r>
      <w:r>
        <w:rPr>
          <w:rtl/>
        </w:rPr>
        <w:t xml:space="preserve"> </w:t>
      </w:r>
      <w:r>
        <w:rPr>
          <w:rFonts w:cs="Arial"/>
          <w:rtl/>
        </w:rPr>
        <w:t xml:space="preserve">רב האי </w:t>
      </w:r>
      <w:r>
        <w:rPr>
          <w:rFonts w:cs="Arial"/>
          <w:sz w:val="16"/>
          <w:szCs w:val="16"/>
          <w:rtl/>
        </w:rPr>
        <w:t>(כ"כ הרשב"א בשמו [גיטין סד: ד"ה כל שאינה])</w:t>
      </w:r>
      <w:r>
        <w:rPr>
          <w:rFonts w:cs="Arial"/>
          <w:rtl/>
        </w:rPr>
        <w:t xml:space="preserve"> בה"ג </w:t>
      </w:r>
      <w:r>
        <w:rPr>
          <w:rFonts w:cs="Arial"/>
          <w:sz w:val="16"/>
          <w:szCs w:val="16"/>
          <w:rtl/>
        </w:rPr>
        <w:t xml:space="preserve">(הל' מיאון סב ע"ג) </w:t>
      </w:r>
      <w:r>
        <w:rPr>
          <w:rFonts w:cs="Arial"/>
          <w:rtl/>
        </w:rPr>
        <w:t xml:space="preserve">ר"ת </w:t>
      </w:r>
      <w:r>
        <w:rPr>
          <w:rFonts w:cs="Arial"/>
          <w:sz w:val="16"/>
          <w:szCs w:val="16"/>
          <w:rtl/>
        </w:rPr>
        <w:t>(כ"כ בשמו התוס' [שם])</w:t>
      </w:r>
      <w:r>
        <w:rPr>
          <w:rFonts w:cs="Arial"/>
          <w:rtl/>
        </w:rPr>
        <w:t xml:space="preserve"> תוס' </w:t>
      </w:r>
      <w:r>
        <w:rPr>
          <w:rFonts w:cs="Arial"/>
          <w:sz w:val="16"/>
          <w:szCs w:val="16"/>
          <w:rtl/>
        </w:rPr>
        <w:t>(גיטין סד: ד"ה וכל שאינה)</w:t>
      </w:r>
      <w:r>
        <w:rPr>
          <w:rFonts w:cs="Arial"/>
          <w:rtl/>
        </w:rPr>
        <w:t xml:space="preserve"> רמב"ם </w:t>
      </w:r>
      <w:r>
        <w:rPr>
          <w:rFonts w:cs="Arial"/>
          <w:sz w:val="16"/>
          <w:szCs w:val="16"/>
          <w:rtl/>
        </w:rPr>
        <w:t>(פ"ב מגירושין הי"ח)</w:t>
      </w:r>
      <w:r>
        <w:rPr>
          <w:rFonts w:cs="Arial"/>
          <w:rtl/>
        </w:rPr>
        <w:t xml:space="preserve"> ורא"ש </w:t>
      </w:r>
      <w:r>
        <w:rPr>
          <w:rFonts w:cs="Arial"/>
          <w:sz w:val="16"/>
          <w:szCs w:val="16"/>
          <w:rtl/>
        </w:rPr>
        <w:t>(פי"ד דיבמות סי' ג)</w:t>
      </w:r>
      <w:r>
        <w:rPr>
          <w:rtl/>
        </w:rPr>
        <w:t>.</w:t>
      </w:r>
    </w:p>
  </w:footnote>
  <w:footnote w:id="1861">
    <w:p w14:paraId="110D90D3" w14:textId="77777777" w:rsidR="00FA2119" w:rsidRDefault="00FA2119" w:rsidP="00FA2119">
      <w:pPr>
        <w:pStyle w:val="a5"/>
        <w:rPr>
          <w:rFonts w:cs="Arial"/>
          <w:rtl/>
        </w:rPr>
      </w:pPr>
      <w:r>
        <w:rPr>
          <w:rStyle w:val="a7"/>
        </w:rPr>
        <w:footnoteRef/>
      </w:r>
      <w:r>
        <w:rPr>
          <w:rtl/>
        </w:rPr>
        <w:t xml:space="preserve"> </w:t>
      </w:r>
      <w:r>
        <w:rPr>
          <w:rFonts w:cs="Arial"/>
          <w:rtl/>
        </w:rPr>
        <w:t>(ג) וכן פסק בהגמ"ר (גיטין סי' תסה) וכן היא מסקנת הר"ן (פ' האיש מקדש יח. ד"ה תנן, ופ' התקבל ל: ד"ה וכל)</w:t>
      </w:r>
    </w:p>
    <w:p w14:paraId="5079977D" w14:textId="1A84A969" w:rsidR="00FA2119" w:rsidRDefault="00FA2119" w:rsidP="00FA2119">
      <w:pPr>
        <w:pStyle w:val="a5"/>
        <w:rPr>
          <w:rtl/>
        </w:rPr>
      </w:pPr>
      <w:r>
        <w:rPr>
          <w:rFonts w:cs="Arial"/>
          <w:rtl/>
        </w:rPr>
        <w:t xml:space="preserve"> ובמרדכי (פ' התקבל סי' תיב) כתב בשם ר"ת שעשה הלכה למעשה כדבריו ו</w:t>
      </w:r>
      <w:r w:rsidR="009334FF">
        <w:rPr>
          <w:rFonts w:cs="Arial"/>
          <w:rtl/>
        </w:rPr>
        <w:t>ב</w:t>
      </w:r>
      <w:r w:rsidR="00DB737E">
        <w:rPr>
          <w:rFonts w:cs="Arial"/>
          <w:rtl/>
        </w:rPr>
        <w:t>הגהות</w:t>
      </w:r>
      <w:r>
        <w:rPr>
          <w:rFonts w:cs="Arial"/>
          <w:rtl/>
        </w:rPr>
        <w:t xml:space="preserve"> שם (סוף סי' תיא) וגדולי הדור לא סמכו על הוראתו והצריכו לה גט אחר כשהיא גדולה עכ"ל. </w:t>
      </w:r>
    </w:p>
  </w:footnote>
  <w:footnote w:id="1862">
    <w:p w14:paraId="63B57006" w14:textId="77777777" w:rsidR="00FA2119" w:rsidRDefault="00FA2119" w:rsidP="00FA2119">
      <w:pPr>
        <w:pStyle w:val="a5"/>
      </w:pPr>
      <w:r>
        <w:rPr>
          <w:rStyle w:val="a7"/>
        </w:rPr>
        <w:footnoteRef/>
      </w:r>
      <w:r>
        <w:rPr>
          <w:rtl/>
        </w:rPr>
        <w:t xml:space="preserve"> </w:t>
      </w:r>
      <w:r>
        <w:rPr>
          <w:rFonts w:cs="Arial"/>
          <w:rtl/>
        </w:rPr>
        <w:t>ופלוגתא זו תליא בגירסא ולי"א אלו דוקא כשהגיע' לעונת הפעוטו' יכולה לקבל הגט אבל צרור וזרקו לא מהני לקבלת הגט אלא לענין קידושין דצריכ' מיאון ולדיע' קמייתא לענין גט מהני צרור וזרקו ומכ"ש עונת פעוטו' ולענין מיאון א"צ מיאון אא"כ כשהגיע לעונ' פעוטו' משום בקדושין איכא קדושי כסף דצריך שמירה מעולה כ"כ הר"ן ובסי' קנ"ה לא הביא דעת הי"א, ב"ש (סק"ז).</w:t>
      </w:r>
    </w:p>
  </w:footnote>
  <w:footnote w:id="1863">
    <w:p w14:paraId="4297794F" w14:textId="1487C57E" w:rsidR="00FA2119" w:rsidRDefault="00FA2119" w:rsidP="00FA2119">
      <w:pPr>
        <w:pStyle w:val="a5"/>
      </w:pPr>
      <w:r>
        <w:rPr>
          <w:rStyle w:val="a7"/>
        </w:rPr>
        <w:footnoteRef/>
      </w:r>
      <w:r>
        <w:rPr>
          <w:rtl/>
        </w:rPr>
        <w:t xml:space="preserve"> </w:t>
      </w:r>
      <w:r>
        <w:rPr>
          <w:rFonts w:cs="Arial"/>
          <w:rtl/>
        </w:rPr>
        <w:t>ו</w:t>
      </w:r>
      <w:r w:rsidR="009334FF">
        <w:rPr>
          <w:rFonts w:cs="Arial"/>
          <w:rtl/>
        </w:rPr>
        <w:t>בהג"ה</w:t>
      </w:r>
      <w:r>
        <w:rPr>
          <w:rFonts w:cs="Arial"/>
          <w:rtl/>
        </w:rPr>
        <w:t xml:space="preserve">"מ (פ"ה אות ב) דהוא הדין דיש לה ג"כ ארבע אמות כמו גדולה, דרכ"מ (אות ד). </w:t>
      </w:r>
      <w:r>
        <w:rPr>
          <w:color w:val="00B0F0"/>
          <w:rtl/>
        </w:rPr>
        <w:t>(וכ"פ בהג"ה)</w:t>
      </w:r>
    </w:p>
  </w:footnote>
  <w:footnote w:id="1864">
    <w:p w14:paraId="4815B174" w14:textId="183BA62D"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לקמן בסמוך (סע' יא) גבי שליח הולכה משמע מדברי הרא"ש שהוא חולק על בהעי"ט שפירש הירושלמי שאמר ואין השליח משם השנים שהרי הוא בא במקום בעל. משמע דכל היכא שבא במקום בעל דבר אינו עולה לעד וא"כ שליח קבלה שבא במקום האשה אינו עולה לעד. אבל להרמב"ם דסבירא ליה דשליח הולכה עולה במקום עד אחד אפשר לומר דה"ה לשליח קבלה.</w:t>
      </w:r>
    </w:p>
  </w:footnote>
  <w:footnote w:id="1865">
    <w:p w14:paraId="03457C3F" w14:textId="77777777" w:rsidR="00FA2119" w:rsidRDefault="00FA2119" w:rsidP="00FA2119">
      <w:pPr>
        <w:pStyle w:val="a5"/>
        <w:rPr>
          <w:rtl/>
        </w:rPr>
      </w:pPr>
      <w:r>
        <w:rPr>
          <w:rStyle w:val="a7"/>
        </w:rPr>
        <w:footnoteRef/>
      </w:r>
      <w:r>
        <w:rPr>
          <w:rtl/>
        </w:rPr>
        <w:t xml:space="preserve"> </w:t>
      </w:r>
      <w:r>
        <w:rPr>
          <w:rFonts w:cs="Arial"/>
          <w:rtl/>
        </w:rPr>
        <w:t>ועיין לקמן בסימן זה (עמ' רלו בדברי הטור) שצריך הרשאה</w:t>
      </w:r>
      <w:r>
        <w:rPr>
          <w:rtl/>
        </w:rPr>
        <w:t>, דרכ"מ (אות ה).</w:t>
      </w:r>
    </w:p>
  </w:footnote>
  <w:footnote w:id="1866">
    <w:p w14:paraId="1BBC2CD8" w14:textId="77777777" w:rsidR="00FA2119" w:rsidRDefault="00FA2119" w:rsidP="00FA2119">
      <w:pPr>
        <w:pStyle w:val="a5"/>
        <w:rPr>
          <w:rtl/>
        </w:rPr>
      </w:pPr>
      <w:r>
        <w:rPr>
          <w:rStyle w:val="a7"/>
        </w:rPr>
        <w:footnoteRef/>
      </w:r>
      <w:r>
        <w:rPr>
          <w:rtl/>
        </w:rPr>
        <w:t xml:space="preserve"> </w:t>
      </w:r>
      <w:r>
        <w:rPr>
          <w:rFonts w:cs="Arial"/>
          <w:rtl/>
        </w:rPr>
        <w:t>אפילו בדיעבד שמסר לידו ג"כ אינו נאמן לומר שהוא ש"ק אם ליכא עדים. וצ"ל דה"ק כיון דצריך לברר אפי' אחר הנתינה לכן לכתחלה אל ימסור לידו עד שיברר קודם הנתינה, ב"ש (סק"י).</w:t>
      </w:r>
    </w:p>
  </w:footnote>
  <w:footnote w:id="1867">
    <w:p w14:paraId="1D11178A" w14:textId="77777777" w:rsidR="00FA2119" w:rsidRDefault="00FA2119" w:rsidP="00FA2119">
      <w:pPr>
        <w:pStyle w:val="a5"/>
      </w:pPr>
      <w:r>
        <w:rPr>
          <w:rStyle w:val="a7"/>
        </w:rPr>
        <w:footnoteRef/>
      </w:r>
      <w:r>
        <w:rPr>
          <w:rtl/>
        </w:rPr>
        <w:t xml:space="preserve"> </w:t>
      </w:r>
      <w:r>
        <w:rPr>
          <w:rFonts w:cs="Arial"/>
          <w:rtl/>
        </w:rPr>
        <w:t>הן לענין הקבלה מצטרף הוא, ודי אם קיבל הגט לפני ע"א והוי כאלו קיבל בפני שנים. והן להעיד על שליחתו שהוא שליח קבלה די אם ע"א מעיד על שליחתו, כ"כ בדרישה וב"ח. וכן בשליח הולכה, דאי אם ממנה אותו לפני ע"א כי מצטרפים השליח ג"כ עם העד. וכן בשעה שמוסר הגט ליד האשה די אם מוסר הגט לפני ע"א. והחולקים הוא הרא"ש, וס"ל השליח הוא במקום הבעל והאשה, לכן אין מצטרפים אותו כלל לא להעיד על שליחתו ולא בעת שמוסר לה הגט, וצריכים שני עדים בעת כשממנה אותו וכן בעת המסירה. אבל מ"מ נאמן הוא לומר שעשה אותו לשליח בפני עדים כמ"ש בסמוך. ואם שנים הם שלוחים - לכו"ע נעשו עדים, והיינו דתניא הן הן שלוחין והן הן עדים דרישה וב"ח</w:t>
      </w:r>
      <w:r>
        <w:rPr>
          <w:rtl/>
        </w:rPr>
        <w:t>, ב"ש (סקי"א).</w:t>
      </w:r>
    </w:p>
  </w:footnote>
  <w:footnote w:id="1868">
    <w:p w14:paraId="33C0D509" w14:textId="77777777" w:rsidR="00FA2119" w:rsidRDefault="00FA2119" w:rsidP="00FA2119">
      <w:pPr>
        <w:pStyle w:val="a5"/>
        <w:rPr>
          <w:rtl/>
        </w:rPr>
      </w:pPr>
      <w:r>
        <w:rPr>
          <w:rStyle w:val="a7"/>
        </w:rPr>
        <w:footnoteRef/>
      </w:r>
      <w:r>
        <w:rPr>
          <w:rtl/>
        </w:rPr>
        <w:t xml:space="preserve"> </w:t>
      </w:r>
      <w:r>
        <w:rPr>
          <w:rFonts w:cs="Arial"/>
          <w:rtl/>
        </w:rPr>
        <w:t>היינו דוקא עדי קבלה אבל לעולם צריך עדי אמירה, וכן כתבו רש"י והתוספות (סג: ד"ה ושליש, סד. ד"ה ולהימניה) בפרק התקבל, וכן משמעות דברי הרמב"ם דבעדי קבלה דוקא הוא דאמר דאין צריך, ב"י.</w:t>
      </w:r>
    </w:p>
  </w:footnote>
  <w:footnote w:id="1869">
    <w:p w14:paraId="07B99430" w14:textId="77777777" w:rsidR="00FA2119" w:rsidRDefault="00FA2119" w:rsidP="00FA2119">
      <w:pPr>
        <w:pStyle w:val="a5"/>
      </w:pPr>
      <w:r>
        <w:rPr>
          <w:rStyle w:val="a7"/>
        </w:rPr>
        <w:footnoteRef/>
      </w:r>
      <w:r>
        <w:rPr>
          <w:rtl/>
        </w:rPr>
        <w:t xml:space="preserve"> </w:t>
      </w:r>
      <w:r>
        <w:rPr>
          <w:rFonts w:cs="Arial"/>
          <w:rtl/>
        </w:rPr>
        <w:t xml:space="preserve">וכתב הה"מ דנפקא ליה ממה שאמרו בפרק התקבל (סד.) מי נפיק גיטא מתותי ידיה דליהימניה?. ואע"פ שהסוגיא נאמרה לרב חסדא דאמר גבי בעל אומר לפקדון ושליש אומר לגירושין השליש נאמן, ופליג אדרב הונא דאמר בעל נאמן, דעת רבינו כדעת ההלכות (רי"ף כט:) שפסקו כרב חסדא, כמו שיתבאר בפי"ב (הי"א). ואף רב הונא, פרשו ז"ל שלא אמרה אלא כשהאיש והאשה בעיר אחת. ומכל מקום יש מי שפסק כרב הונא, ולדבריהם כל שהבעל ואשתו בעיר אחת צריך השליח שיביא עדים שקיבלו ואע"פ שהוא קיים בידו. ובתשובה להרי"ף (סי' כח) מבואר כדברי רבינו עכ"ל. וכדברי הה"מ משמע מדברי הרשב"א (שם סוד"ה גמרא) </w:t>
      </w:r>
      <w:r>
        <w:rPr>
          <w:rFonts w:cs="Arial"/>
          <w:sz w:val="16"/>
          <w:szCs w:val="16"/>
          <w:rtl/>
        </w:rPr>
        <w:t>(דכי פריך מדתנן האשה שאמרה התקבל לי גיטי צריכה שתי כיתי עדים ואמאי ליהימניה לשליש, לא פריך אלא לרב חסדא וא"כ כי שני מי קא נפיק גיטא מתותי ידיה דליהימניה. כלומר שכבר הגט קרוע. האי שינויא ליתיה אלא לרב חסדא. אבל לרב הונא אפילו בדנפיק גיטא מתותי ידיה צריך שני כיתי עדים)</w:t>
      </w:r>
      <w:r>
        <w:rPr>
          <w:rFonts w:cs="Arial"/>
          <w:rtl/>
        </w:rPr>
        <w:t>. אבל הרא"ש (סי' ח) כתב דכי פריך 'וליהימניה לשליש' פריך גם לרב הונא דאמר בעל נאמן, דמכל מקום מתניתין איירי בגט שהוא ביד שליש ואין בעל מכחישו, ולפי זה כי שני מי נפיק גיטא מתותי ידיה אפילו לרב הונא איתיה. ואפשר דהרמב"ם מפרש כדברי הרא"ש, ודבריו הם ככולי עלמא, דכי נפיק גיטא מתותי ידיה שלם כל שאין הבעל מכחישו שליש נאמן אפילו לרב הונא, ב"י.</w:t>
      </w:r>
    </w:p>
  </w:footnote>
  <w:footnote w:id="1870">
    <w:p w14:paraId="7576A7B6" w14:textId="77777777" w:rsidR="00FA2119" w:rsidRDefault="00FA2119" w:rsidP="00FA2119">
      <w:pPr>
        <w:pStyle w:val="a5"/>
      </w:pPr>
      <w:r>
        <w:rPr>
          <w:rStyle w:val="a7"/>
        </w:rPr>
        <w:footnoteRef/>
      </w:r>
      <w:r>
        <w:rPr>
          <w:rtl/>
        </w:rPr>
        <w:t xml:space="preserve"> </w:t>
      </w:r>
      <w:r>
        <w:rPr>
          <w:rFonts w:cs="Arial"/>
          <w:rtl/>
        </w:rPr>
        <w:t>ובין בשליח קבלה ובין בשליח הובאה אזדא לטעמיה שכתב בפ"א (הט"ז) שאם עדים חתומים על הגט, אפילו נתנו לה בינו לבינה - כשר בדיעבד. ושליח קבלה שהוחזק בעדים שאמרה לו קבל לי גיטי ידו כיד האשה דמי, וכל שיוצא מתחת ידו חתום בחותמיו אפילו נודע לנו שנמסר שלא בעדים כשר בדיעבד</w:t>
      </w:r>
      <w:r>
        <w:rPr>
          <w:rtl/>
        </w:rPr>
        <w:t>, ב"י.</w:t>
      </w:r>
    </w:p>
  </w:footnote>
  <w:footnote w:id="1871">
    <w:p w14:paraId="640CECBF" w14:textId="79A5C613" w:rsidR="00FA2119" w:rsidRDefault="00FA2119" w:rsidP="00FA2119">
      <w:pPr>
        <w:pStyle w:val="a5"/>
        <w:rPr>
          <w:rtl/>
        </w:rPr>
      </w:pPr>
      <w:r>
        <w:rPr>
          <w:rStyle w:val="a7"/>
        </w:rPr>
        <w:footnoteRef/>
      </w:r>
      <w:r>
        <w:rPr>
          <w:rtl/>
        </w:rPr>
        <w:t xml:space="preserve"> </w:t>
      </w:r>
      <w:r>
        <w:rPr>
          <w:rFonts w:cs="Arial"/>
          <w:rtl/>
        </w:rPr>
        <w:t>יש לתמוה עליו, שהרי בסימן קמ"ב (נח:) גבי האשה עצמה מביאה את גיטה ואומרת בפני נכתב ובפני נחתם כתב שאם לא התנה עליה כך אינה צריכה לומר דבר כיון שגיטה יוצא מתחת ידה ועדים חתומים עליו ומתירים אותה להנשא אע"פ שאין מכירים חתימת העדים, שעדים החתומים על הגט כמו שנחקרה עדותם בבית דין דמי כל זמן שאין מערער</w:t>
      </w:r>
      <w:r w:rsidR="006B362B">
        <w:rPr>
          <w:rFonts w:cs="Arial" w:hint="cs"/>
          <w:rtl/>
        </w:rPr>
        <w:t>,</w:t>
      </w:r>
      <w:r>
        <w:rPr>
          <w:rFonts w:cs="Arial"/>
          <w:rtl/>
        </w:rPr>
        <w:t xml:space="preserve"> וכן כתב הרמ"ה, עכ"ל. ואע"פ שכתבתי שם (ד"ה ומ"ש רבינו ומתירין) שהראב"ד (פי"ב ה"ב) והרשב"א (כד. ד"ה אשה) חלוקים בדבר, מכל מקום כיון שרבינו לא כתב שם חולק לא הוה ליה לכתוב כאן סתם בהיפך. ואע"ג דהתם לענין שאינה צריכה לומר בפני נכתב ובפני נחתם איתמר, והכא לענין להחזיקו שנמסר בעדי מסירה איתמר, טעם כמי שנחקרה עדותן בבית דין דמי עולה לכאן ולכאן. ועוד יש לדקדק עליו שאין לשונו מכוון, שכתב: ומיהו הא דבעינן שצריך שתביא שני עדים שנמסר לה בפניהם מיירי בשאין מכירים חתימות העדים וכו' - והא לא נזכר לעיל שצריך שתביא שני עדים שנמסר לה בפניהם, דהא לא איירי לעיל אלא בידוע שלא נמסר לה בעדים, ולדעת החולקים על הרמב"ם פסול. וכשאין ידוע אם נמסר לה בעדים, אם עדים חתומים בו מחזיקינן שנמסר בעדי מסירה. וכיון דלעיל לא הזכיר שצריך שתביא שני עדים שנמסר לה בפניהם, היכי שייך לומר על זה </w:t>
      </w:r>
      <w:r w:rsidR="006B362B">
        <w:rPr>
          <w:rFonts w:cs="Arial" w:hint="cs"/>
          <w:rtl/>
        </w:rPr>
        <w:t>"</w:t>
      </w:r>
      <w:r>
        <w:rPr>
          <w:rFonts w:cs="Arial"/>
          <w:rtl/>
        </w:rPr>
        <w:t>ומיהו הא דבעינן שצריך שתביא שני עדים שנמסר לה בפניהם</w:t>
      </w:r>
      <w:r w:rsidR="006B362B">
        <w:rPr>
          <w:rFonts w:cs="Arial" w:hint="cs"/>
          <w:rtl/>
        </w:rPr>
        <w:t>"</w:t>
      </w:r>
      <w:r>
        <w:rPr>
          <w:rFonts w:cs="Arial"/>
          <w:rtl/>
        </w:rPr>
        <w:t>, ב"י (בבדה"ב).</w:t>
      </w:r>
    </w:p>
  </w:footnote>
  <w:footnote w:id="1872">
    <w:p w14:paraId="5EE35080" w14:textId="77777777" w:rsidR="00FA2119" w:rsidRDefault="00FA2119" w:rsidP="00FA2119">
      <w:pPr>
        <w:pStyle w:val="a5"/>
      </w:pPr>
      <w:r>
        <w:rPr>
          <w:rStyle w:val="a7"/>
        </w:rPr>
        <w:footnoteRef/>
      </w:r>
      <w:r>
        <w:rPr>
          <w:rtl/>
        </w:rPr>
        <w:t xml:space="preserve"> </w:t>
      </w:r>
      <w:r>
        <w:rPr>
          <w:rFonts w:hint="cs"/>
          <w:rtl/>
        </w:rPr>
        <w:t xml:space="preserve">בבא זו שכתובה בתוך הסוגריים אינה נמצאת בירושלמי שלפנינו </w:t>
      </w:r>
      <w:r>
        <w:rPr>
          <w:sz w:val="16"/>
          <w:szCs w:val="16"/>
          <w:rtl/>
        </w:rPr>
        <w:t>(</w:t>
      </w:r>
      <w:r>
        <w:rPr>
          <w:rFonts w:cs="Arial"/>
          <w:sz w:val="16"/>
          <w:szCs w:val="16"/>
          <w:rtl/>
        </w:rPr>
        <w:t>ונראה שגם לפני הרמב"ם לא הייתה, שיירי קרבן [ד"ה עשה שליח])</w:t>
      </w:r>
      <w:r>
        <w:rPr>
          <w:rtl/>
        </w:rPr>
        <w:t xml:space="preserve">. אך כך הייתה גירסת בהעי"ט (אות ש שלישות גט מו.) הרשב"א (גיטין לב.) והרא"ש (פ"ד סי' ב). </w:t>
      </w:r>
    </w:p>
  </w:footnote>
  <w:footnote w:id="1873">
    <w:p w14:paraId="519414AB" w14:textId="55032976" w:rsidR="00FA2119" w:rsidRDefault="00FA2119" w:rsidP="00FA2119">
      <w:pPr>
        <w:pStyle w:val="a5"/>
        <w:rPr>
          <w:rFonts w:cs="Arial"/>
        </w:rPr>
      </w:pPr>
      <w:r>
        <w:rPr>
          <w:rStyle w:val="a7"/>
        </w:rPr>
        <w:footnoteRef/>
      </w:r>
      <w:r>
        <w:rPr>
          <w:rtl/>
        </w:rPr>
        <w:t xml:space="preserve"> </w:t>
      </w:r>
      <w:r>
        <w:rPr>
          <w:rFonts w:hint="cs"/>
          <w:rtl/>
        </w:rPr>
        <w:t xml:space="preserve">מוכח מדברי הרא"ש דמיירי </w:t>
      </w:r>
      <w:r>
        <w:rPr>
          <w:rFonts w:cs="Arial"/>
          <w:rtl/>
        </w:rPr>
        <w:t xml:space="preserve">לענין ליתנו לה בפני שנים, אך הטור למד מדבריו דמיירי גם לענין להחזיקו בפני שנים. והוסיף </w:t>
      </w:r>
      <w:r>
        <w:rPr>
          <w:rFonts w:cs="Arial"/>
          <w:b/>
          <w:bCs/>
          <w:rtl/>
        </w:rPr>
        <w:t>הטור</w:t>
      </w:r>
      <w:r>
        <w:rPr>
          <w:rFonts w:cs="Arial"/>
          <w:rtl/>
        </w:rPr>
        <w:t xml:space="preserve"> וכתב</w:t>
      </w:r>
      <w:r w:rsidR="001D63F1">
        <w:rPr>
          <w:rFonts w:cs="Arial" w:hint="cs"/>
          <w:rtl/>
        </w:rPr>
        <w:t>:</w:t>
      </w:r>
      <w:r>
        <w:rPr>
          <w:rFonts w:cs="Arial"/>
          <w:rtl/>
        </w:rPr>
        <w:t xml:space="preserve"> ויראה מלשונו דאפי' במקום א' אינו עולה כיון שנתן טעם לדבר שהוא במקום הבעל. ונ"ל שעולה במקום אחד, שהירושלמי אינו אומר אלא שאינו במקום ב'... עכ"ל. </w:t>
      </w:r>
      <w:r>
        <w:rPr>
          <w:rFonts w:cs="Arial"/>
          <w:sz w:val="16"/>
          <w:szCs w:val="16"/>
          <w:rtl/>
        </w:rPr>
        <w:t>(</w:t>
      </w:r>
      <w:r>
        <w:rPr>
          <w:sz w:val="16"/>
          <w:szCs w:val="16"/>
          <w:rtl/>
        </w:rPr>
        <w:t xml:space="preserve">וכתב </w:t>
      </w:r>
      <w:r>
        <w:rPr>
          <w:b/>
          <w:bCs/>
          <w:sz w:val="16"/>
          <w:szCs w:val="16"/>
          <w:rtl/>
        </w:rPr>
        <w:t>הקו"נ</w:t>
      </w:r>
      <w:r>
        <w:rPr>
          <w:sz w:val="16"/>
          <w:szCs w:val="16"/>
          <w:rtl/>
        </w:rPr>
        <w:t xml:space="preserve"> </w:t>
      </w:r>
      <w:r>
        <w:rPr>
          <w:rFonts w:cs="Arial"/>
          <w:sz w:val="16"/>
          <w:szCs w:val="16"/>
          <w:rtl/>
        </w:rPr>
        <w:t xml:space="preserve">(פ"ד סי' ב אות ג) דאיכא לתמוה על השגתו, דאם איתא דעולה במקום אחד אלא שאינו עולה במקום שנים, לא היה צ"ל 'ואין השליח משום שנים', דפשיטא היא, דמאחר שאמר תחלה שצריך ליתנו בפני שנים אלמא דשנים בעינן ואין השליח עולה משום שנים. אלא על כרחך דאתי לאשמועינן שצריך שנים בלא השליח. ודברי רבינו </w:t>
      </w:r>
      <w:r>
        <w:rPr>
          <w:rFonts w:cs="Arial"/>
          <w:sz w:val="12"/>
          <w:szCs w:val="12"/>
          <w:rtl/>
        </w:rPr>
        <w:t>{הרא"ש}</w:t>
      </w:r>
      <w:r>
        <w:rPr>
          <w:rFonts w:cs="Arial"/>
          <w:sz w:val="16"/>
          <w:szCs w:val="16"/>
          <w:rtl/>
        </w:rPr>
        <w:t xml:space="preserve"> מיושרים ופירושו ברור ופשוט בירושלמי. וכ"כ הב"ח שם סעיף י' שחלילה להקל כדברי הטור)</w:t>
      </w:r>
      <w:r>
        <w:rPr>
          <w:rFonts w:cs="Arial"/>
          <w:rtl/>
        </w:rPr>
        <w:t>.</w:t>
      </w:r>
    </w:p>
  </w:footnote>
  <w:footnote w:id="1874">
    <w:p w14:paraId="38E9B99D" w14:textId="77777777" w:rsidR="00FA2119" w:rsidRDefault="00FA2119" w:rsidP="00FA2119">
      <w:pPr>
        <w:pStyle w:val="a5"/>
        <w:rPr>
          <w:rtl/>
        </w:rPr>
      </w:pPr>
      <w:r>
        <w:rPr>
          <w:rStyle w:val="a7"/>
        </w:rPr>
        <w:footnoteRef/>
      </w:r>
      <w:r>
        <w:rPr>
          <w:rtl/>
        </w:rPr>
        <w:t xml:space="preserve"> </w:t>
      </w:r>
      <w:r>
        <w:rPr>
          <w:rFonts w:hint="cs"/>
          <w:rtl/>
        </w:rPr>
        <w:t xml:space="preserve">וכ"כ הרמב"ם ז"ל שהשליח הוא עד אחד, </w:t>
      </w:r>
      <w:r>
        <w:rPr>
          <w:rFonts w:hint="cs"/>
          <w:b/>
          <w:bCs/>
          <w:rtl/>
        </w:rPr>
        <w:t>טור</w:t>
      </w:r>
      <w:r>
        <w:rPr>
          <w:rFonts w:hint="cs"/>
          <w:rtl/>
        </w:rPr>
        <w:t xml:space="preserve">. </w:t>
      </w:r>
      <w:r>
        <w:rPr>
          <w:rFonts w:cs="Arial"/>
          <w:rtl/>
        </w:rPr>
        <w:t xml:space="preserve">וכתב </w:t>
      </w:r>
      <w:r>
        <w:rPr>
          <w:rFonts w:cs="Arial"/>
          <w:b/>
          <w:bCs/>
          <w:rtl/>
        </w:rPr>
        <w:t>הב"י</w:t>
      </w:r>
      <w:r>
        <w:rPr>
          <w:rFonts w:cs="Arial"/>
          <w:rtl/>
        </w:rPr>
        <w:t xml:space="preserve"> דדברי תימה הם דלפי זה הרמב"ם דבריו סותרים את דבריו שהרי כתב ששליח הולכה אין צריך לעשותו בעדים והיאך יכתוב שהשליח הוא עד אחד דמשמע שצריך עדים וכיון דלפי דעת רבינו דברי הרמב"ם סתורים מיניה וביה לא היה לו להביא ראיה מהם אדרבה היה לו לתמוה עליו לפום מאי דסבר איהו ביה. אבל לפי האמת דברי הרמב"ם ישרים ונכוחים בלא סתירה כלל דלעולם סבר דשליח הולכה אין צריך לעשותו בעדים ומה שכתב שהשליח הוא עד אחד לאו להחזיק השליח בשליחותו הוא אלא לענין עושה שנים שלוחים לקדש או לגרש לו אשה והלכו וקידשו אותה או גירשוה בינם לבינה הרי זו מקודשת או מגורשת ואינם צריכים לקדשה או לגרשה בפני עדים אחרים דהן הן שלוחיו הן הן עדיו וכן דבריו מפורשים בפרק ג' מהלכות אישות (הט"ז) וזו מסקנא דגמרא היא בפרק האיש מקדש (מג.) וגם הרא"ש כתבה שם (סי' ד) ומה ענין דין זה לדין החזקת השליח בשליחותו דהוי כנוגע בדבר שהרי הוא מעיד על עצמו ונראה שלזה נתכוין הרא"ש שכתב שהרי הוא בא במקום הבעל. כלומר והוי ליה בעל דבר ואינו נאמן על עצמ</w:t>
      </w:r>
      <w:r>
        <w:rPr>
          <w:rtl/>
        </w:rPr>
        <w:t>ו.</w:t>
      </w:r>
    </w:p>
  </w:footnote>
  <w:footnote w:id="1875">
    <w:p w14:paraId="79829F89" w14:textId="1259D234" w:rsidR="00FA2119" w:rsidRDefault="00FA2119" w:rsidP="00FA2119">
      <w:pPr>
        <w:pStyle w:val="a5"/>
        <w:rPr>
          <w:rtl/>
        </w:rPr>
      </w:pPr>
      <w:r>
        <w:rPr>
          <w:rStyle w:val="a7"/>
        </w:rPr>
        <w:footnoteRef/>
      </w:r>
      <w:r>
        <w:rPr>
          <w:rtl/>
        </w:rPr>
        <w:t xml:space="preserve"> </w:t>
      </w:r>
      <w:r>
        <w:rPr>
          <w:rFonts w:cs="Arial"/>
          <w:rtl/>
        </w:rPr>
        <w:t xml:space="preserve">והביא הטור טעם זה כאן להסביר את דברי הרמב"ם (בהלכות גירושין שם). אך הב"י כתב שטעמו הוא דמכיון דנפיק גיטא מתותי ידיה בדין הוא שיהא נאמן דהא הימניה בעל. וכ"כ הר"ן בקידושין ריש האומר (כג: דיבור ראשון). עכ"ל. וצל"ע מדוע כתב טעם זה, והרי הטור הביא את לשון הרמב"ם, והב"י בעצמו כתב על דברי הטור שאלו הם דברי הרמב"ם בהל' אישות. ואולי כוונת הב"י בהביאו טעם אחר, לומר שגם אם הבעל מכחיש </w:t>
      </w:r>
      <w:r w:rsidR="00A42812">
        <w:rPr>
          <w:rFonts w:cs="Arial"/>
          <w:rtl/>
        </w:rPr>
        <w:t>-</w:t>
      </w:r>
      <w:r>
        <w:rPr>
          <w:rFonts w:cs="Arial"/>
          <w:rtl/>
        </w:rPr>
        <w:t xml:space="preserve"> השליח נאמן, שהרי הגט יוצא מתחת ידו, ואם כן מוכח שבתחילה האמינו הבעל. ולכן בשו"ע השאיר דין זה (כשהבעל מכחיש) בספק. ובסוף דבריו כתב הב"י לעיין בתשובת הריב"ש (סי' נג) שאכתוב בסימן זה (בסע' מב).</w:t>
      </w:r>
      <w:r>
        <w:rPr>
          <w:rtl/>
        </w:rPr>
        <w:t xml:space="preserve"> </w:t>
      </w:r>
    </w:p>
  </w:footnote>
  <w:footnote w:id="1876">
    <w:p w14:paraId="232F535E" w14:textId="7C4AD053" w:rsidR="00FA2119" w:rsidRDefault="00FA2119" w:rsidP="00FA2119">
      <w:pPr>
        <w:pStyle w:val="a5"/>
        <w:rPr>
          <w:rtl/>
        </w:rPr>
      </w:pPr>
      <w:r>
        <w:rPr>
          <w:rStyle w:val="a7"/>
        </w:rPr>
        <w:footnoteRef/>
      </w:r>
      <w:r>
        <w:rPr>
          <w:rtl/>
        </w:rPr>
        <w:t xml:space="preserve"> </w:t>
      </w:r>
      <w:r>
        <w:rPr>
          <w:rFonts w:cs="Arial"/>
          <w:rtl/>
        </w:rPr>
        <w:t xml:space="preserve">ואע"ג דסבירא ליה להרא"ש דכל שנאמן השליח לומר בפני נכתב וכו' נאמן ג"כ לומר שהבעל עשאו שליח ואין צריך לא שטר ולא עדים </w:t>
      </w:r>
      <w:r>
        <w:rPr>
          <w:rFonts w:cs="Arial"/>
          <w:sz w:val="18"/>
          <w:szCs w:val="18"/>
          <w:rtl/>
        </w:rPr>
        <w:t>(וכמו שכתב בפסקים בריש גיטין (סי' ב) ובתשובות (כלל מה סי' י) וכתבו רבינו בסימן שלאחר זה (נז.), וגם בסימן זה (מט.) כתב כן בשם ה"ר פרץ (הגהת סמ"ק סי' קפד עמ' קנא))</w:t>
      </w:r>
      <w:r>
        <w:rPr>
          <w:rFonts w:cs="Arial"/>
          <w:rtl/>
        </w:rPr>
        <w:t xml:space="preserve">, מכל מקום סבירא ליה שצריך לעשותו בעדים, ונאמנות השליח הוא לומר שעשאו הבעל שליח בעדים. אבל אומר שעשאו הבעל שליח בינו לבינו - לאו כלום הוא, כדאמרינן בירושלמי. וכן משמע מדברי רבינו בסימן שאחר זה </w:t>
      </w:r>
      <w:r>
        <w:rPr>
          <w:rFonts w:cs="Arial"/>
          <w:sz w:val="16"/>
          <w:szCs w:val="16"/>
          <w:rtl/>
        </w:rPr>
        <w:t>(שכתב 'וכמו שאין צריך לקיים עדי הגט כשאומר בפני נכתב ובפני נחתם כך אין צריך לקיים עדי השליחות וכו' אלא נאמן לומר שהבעל עשאו שליח בעדים'. וכתב עוד שם 'או אפילו אין לו שם שום עדות בשליחות אלא שאמר שהבעל עשאו שליח כראוי נאמן'. וכראוי היינו לומר שעשאו שליח בעדים)</w:t>
      </w:r>
      <w:r>
        <w:rPr>
          <w:rFonts w:cs="Arial"/>
          <w:rtl/>
        </w:rPr>
        <w:t xml:space="preserve">. והכי נמי משמע ממה שכתבו הגה"מ </w:t>
      </w:r>
      <w:r>
        <w:rPr>
          <w:rFonts w:cs="Arial"/>
          <w:sz w:val="16"/>
          <w:szCs w:val="16"/>
          <w:rtl/>
        </w:rPr>
        <w:t xml:space="preserve">(ד"ק פ"ה הט"ז) </w:t>
      </w:r>
      <w:r>
        <w:rPr>
          <w:rFonts w:cs="Arial"/>
          <w:rtl/>
        </w:rPr>
        <w:t xml:space="preserve">בשם סמ"ק </w:t>
      </w:r>
      <w:r>
        <w:rPr>
          <w:rFonts w:cs="Arial"/>
          <w:sz w:val="16"/>
          <w:szCs w:val="16"/>
          <w:rtl/>
        </w:rPr>
        <w:t>(</w:t>
      </w:r>
      <w:r w:rsidR="009334FF">
        <w:rPr>
          <w:rFonts w:cs="Arial"/>
          <w:sz w:val="16"/>
          <w:szCs w:val="16"/>
          <w:rtl/>
        </w:rPr>
        <w:t>בהג"ה</w:t>
      </w:r>
      <w:r>
        <w:rPr>
          <w:rFonts w:cs="Arial"/>
          <w:sz w:val="16"/>
          <w:szCs w:val="16"/>
          <w:rtl/>
        </w:rPr>
        <w:t xml:space="preserve">ה שם עמ' קנ, </w:t>
      </w:r>
      <w:r w:rsidR="000A0F5A">
        <w:rPr>
          <w:rFonts w:cs="Arial"/>
          <w:sz w:val="16"/>
          <w:szCs w:val="16"/>
          <w:rtl/>
        </w:rPr>
        <w:t>וז"ל:</w:t>
      </w:r>
      <w:r>
        <w:rPr>
          <w:rFonts w:cs="Arial"/>
          <w:sz w:val="16"/>
          <w:szCs w:val="16"/>
          <w:rtl/>
        </w:rPr>
        <w:t xml:space="preserve"> דין שליח להולכה בעדים אך אין צריך להביא לא עדים ולא שטר שהבעל עשאו שליח להולכה)</w:t>
      </w:r>
      <w:r>
        <w:rPr>
          <w:rFonts w:cs="Arial"/>
          <w:rtl/>
        </w:rPr>
        <w:t xml:space="preserve">. וכן כתוב בסמ"ג </w:t>
      </w:r>
      <w:r>
        <w:rPr>
          <w:rFonts w:cs="Arial"/>
          <w:sz w:val="16"/>
          <w:szCs w:val="16"/>
          <w:rtl/>
        </w:rPr>
        <w:t xml:space="preserve">(עשין נ קלג.) </w:t>
      </w:r>
      <w:r>
        <w:rPr>
          <w:rFonts w:cs="Arial"/>
          <w:rtl/>
        </w:rPr>
        <w:t xml:space="preserve">בשם ר"י </w:t>
      </w:r>
      <w:r>
        <w:rPr>
          <w:rFonts w:cs="Arial"/>
          <w:sz w:val="16"/>
          <w:szCs w:val="16"/>
          <w:rtl/>
        </w:rPr>
        <w:t>(</w:t>
      </w:r>
      <w:r w:rsidR="000A0F5A">
        <w:rPr>
          <w:rFonts w:cs="Arial"/>
          <w:sz w:val="16"/>
          <w:szCs w:val="16"/>
          <w:rtl/>
        </w:rPr>
        <w:t>וז"ל:</w:t>
      </w:r>
      <w:r>
        <w:rPr>
          <w:rFonts w:cs="Arial"/>
          <w:sz w:val="16"/>
          <w:szCs w:val="16"/>
          <w:rtl/>
        </w:rPr>
        <w:t xml:space="preserve"> אמת הדבר שאין שליח להולכה המביא גט לאשה צריך לא חתימת בית דין ולא חתימת עדים להודיע שעשאו הבעל שליח להולכה, שהרי גט שבידו מוכיח, אבל צריך למנות שליח בפני שני עדים כשרים עכ"ל)</w:t>
      </w:r>
      <w:r>
        <w:rPr>
          <w:rFonts w:cs="Arial"/>
          <w:rtl/>
        </w:rPr>
        <w:t>, ב"י.</w:t>
      </w:r>
      <w:r>
        <w:rPr>
          <w:rtl/>
        </w:rPr>
        <w:t xml:space="preserve"> </w:t>
      </w:r>
      <w:r>
        <w:rPr>
          <w:color w:val="00B0F0"/>
          <w:rtl/>
        </w:rPr>
        <w:t>(וכ"פ הרמ"א)</w:t>
      </w:r>
    </w:p>
  </w:footnote>
  <w:footnote w:id="1877">
    <w:p w14:paraId="699DF5B8" w14:textId="77777777" w:rsidR="00FA2119" w:rsidRDefault="00FA2119" w:rsidP="00FA2119">
      <w:pPr>
        <w:pStyle w:val="a5"/>
      </w:pPr>
      <w:r>
        <w:rPr>
          <w:rStyle w:val="a7"/>
        </w:rPr>
        <w:footnoteRef/>
      </w:r>
      <w:r>
        <w:rPr>
          <w:rtl/>
        </w:rPr>
        <w:t xml:space="preserve"> </w:t>
      </w:r>
      <w:r>
        <w:rPr>
          <w:rFonts w:cs="Arial"/>
          <w:rtl/>
        </w:rPr>
        <w:t>בד"א, בא"י, אבל בחוצה לארץ א"צ כדלקמן, טור.</w:t>
      </w:r>
    </w:p>
  </w:footnote>
  <w:footnote w:id="1878">
    <w:p w14:paraId="6BE87300" w14:textId="77777777" w:rsidR="00FA2119" w:rsidRDefault="00FA2119" w:rsidP="00FA2119">
      <w:pPr>
        <w:pStyle w:val="a5"/>
      </w:pPr>
      <w:r>
        <w:rPr>
          <w:rStyle w:val="a7"/>
        </w:rPr>
        <w:footnoteRef/>
      </w:r>
      <w:r>
        <w:rPr>
          <w:rtl/>
        </w:rPr>
        <w:t xml:space="preserve"> </w:t>
      </w:r>
      <w:r>
        <w:rPr>
          <w:rFonts w:cs="Arial"/>
          <w:rtl/>
        </w:rPr>
        <w:t>כלומר כשמביא גט ממקום למקום לא היה צריך הרשאה ע"פ הדין כי הוא נאמן לומר דעשאו בעדי' אלא נוהגין כן אבל בעיר אחת צריך הרשאה על פי הדין לדעת הפוסקים דפסקו כרב הונא כמ"ש בהג"ה סעיף נ"ה, מיהו קשה אפי' ממקום למקום נמי יש לחוש שמא יאמר ממני נפל ואתה מצאת, גם יש לחוש שמא יאמר לשאלה נתתי אם כן לאו שליח הוא וע"כ ל"פ ר"ה ור"ח אלא כשאומר לפקדון נתתי דהימנוה והוא שליח לו אבל אם אומר ממני נפל או נתתי לשאלה אינו נאמן כמ"ש בתוספת וכמה פוסקים ס"ל כן ועיין בש"ך בח"ה סימן צ"ו, וע"כ מוכח דסותם כאן כדעת בעל התרומה דס"ל אפילו אם אמר לשאלה נתתי מכל מקום דינו כשליש ולא כתוספ' הנ"ל ומכ"ש דאינו נאמן לומר ממני נפל ואתה מצאת, ב"ש (סקט"ז).</w:t>
      </w:r>
    </w:p>
  </w:footnote>
  <w:footnote w:id="1879">
    <w:p w14:paraId="4F90BB10" w14:textId="77777777" w:rsidR="00FA2119" w:rsidRDefault="00FA2119" w:rsidP="00FA2119">
      <w:pPr>
        <w:pStyle w:val="a5"/>
      </w:pPr>
      <w:r>
        <w:rPr>
          <w:rStyle w:val="a7"/>
        </w:rPr>
        <w:footnoteRef/>
      </w:r>
      <w:r>
        <w:rPr>
          <w:rtl/>
        </w:rPr>
        <w:t xml:space="preserve"> </w:t>
      </w:r>
      <w:r>
        <w:rPr>
          <w:rFonts w:hint="cs"/>
          <w:rtl/>
        </w:rPr>
        <w:t>השו"ע הוסיף כאן שהוא הדין בעשיית שליח הובאה. שבסעיף י"א התייחס רק לעשיית שליח הולכה.</w:t>
      </w:r>
    </w:p>
  </w:footnote>
  <w:footnote w:id="1880">
    <w:p w14:paraId="7E653C96" w14:textId="77777777" w:rsidR="00FA2119" w:rsidRDefault="00FA2119" w:rsidP="00FA2119">
      <w:pPr>
        <w:pStyle w:val="a5"/>
      </w:pPr>
      <w:r>
        <w:rPr>
          <w:rStyle w:val="a7"/>
        </w:rPr>
        <w:footnoteRef/>
      </w:r>
      <w:r>
        <w:rPr>
          <w:rtl/>
        </w:rPr>
        <w:t xml:space="preserve"> </w:t>
      </w:r>
      <w:r>
        <w:rPr>
          <w:rFonts w:hint="cs"/>
          <w:rtl/>
        </w:rPr>
        <w:t>ונתבאר בסימן קלג סעיף א.</w:t>
      </w:r>
    </w:p>
  </w:footnote>
  <w:footnote w:id="1881">
    <w:p w14:paraId="0CD2364A" w14:textId="77777777" w:rsidR="00FA2119" w:rsidRDefault="00FA2119" w:rsidP="00FA2119">
      <w:pPr>
        <w:pStyle w:val="a5"/>
      </w:pPr>
      <w:r>
        <w:rPr>
          <w:rStyle w:val="a7"/>
        </w:rPr>
        <w:footnoteRef/>
      </w:r>
      <w:r>
        <w:rPr>
          <w:rtl/>
        </w:rPr>
        <w:t xml:space="preserve"> </w:t>
      </w:r>
      <w:r>
        <w:rPr>
          <w:rFonts w:cs="Arial"/>
          <w:rtl/>
        </w:rPr>
        <w:t>מי בעי בפניו דשליח קמא או אפילו שלא בפניו כגון זה שהוא אנוס ואינו יכול לעכב כאן וילך לדרכו</w:t>
      </w:r>
      <w:r>
        <w:rPr>
          <w:rtl/>
        </w:rPr>
        <w:t>, רש"י.</w:t>
      </w:r>
    </w:p>
  </w:footnote>
  <w:footnote w:id="1882">
    <w:p w14:paraId="777968A8" w14:textId="30DBCFCB" w:rsidR="00FA2119" w:rsidRDefault="00FA2119" w:rsidP="00FA2119">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כל העושה שליח אינו צריך שיהא השליח עמו בבית דין אלא אומר להם הרי פלוני שלוחי ואפילו שלא בפניו, וכן השליח עושה שליח אחר שלא בפניו אפילו הן מאה.</w:t>
      </w:r>
    </w:p>
  </w:footnote>
  <w:footnote w:id="1883">
    <w:p w14:paraId="07B0E295" w14:textId="77777777" w:rsidR="00FA2119" w:rsidRDefault="00FA2119" w:rsidP="00FA2119">
      <w:pPr>
        <w:pStyle w:val="a5"/>
      </w:pPr>
      <w:r>
        <w:rPr>
          <w:rStyle w:val="a7"/>
        </w:rPr>
        <w:footnoteRef/>
      </w:r>
      <w:r>
        <w:rPr>
          <w:rtl/>
        </w:rPr>
        <w:t xml:space="preserve"> </w:t>
      </w:r>
      <w:r>
        <w:rPr>
          <w:rFonts w:cs="Arial"/>
          <w:rtl/>
        </w:rPr>
        <w:t xml:space="preserve">וכן כתבו הרשב"א (סז. ד"ה ר' יוסי) והר"ן (לג. ד"ה והקשה) בפרק הנזכר בשם הרמב"ן (סו: סוד"ה ואמר רב חסדא) ובה"ג (הל' גיטין עח ע"ג) ז"ל, ב"י. </w:t>
      </w:r>
      <w:r>
        <w:rPr>
          <w:rtl/>
        </w:rPr>
        <w:t>וכ"כ המרדכי (סי' תיז, הביאו הדרכ"מ [אות ו**])  בשם התוס'.</w:t>
      </w:r>
    </w:p>
  </w:footnote>
  <w:footnote w:id="1884">
    <w:p w14:paraId="02CEE2C3" w14:textId="63AC9337" w:rsidR="003D33EF" w:rsidRDefault="003D33EF">
      <w:pPr>
        <w:pStyle w:val="a5"/>
      </w:pPr>
      <w:r>
        <w:rPr>
          <w:rStyle w:val="a7"/>
        </w:rPr>
        <w:footnoteRef/>
      </w:r>
      <w:r>
        <w:rPr>
          <w:rtl/>
        </w:rPr>
        <w:t xml:space="preserve"> </w:t>
      </w:r>
      <w:r>
        <w:rPr>
          <w:rFonts w:cs="Arial"/>
          <w:rtl/>
        </w:rPr>
        <w:t>וכתב הרמב"ן ז"ל ומיהו מסתברא שאין שליח קבלה עושה שליח דהוו להו מילי ומילי לעולם לא מימסרן לשליח אלא באומרת אמרו ומינתו היא שליח שלא בפניו עכ"ל. ואף הרשב"א כתב שאינו עושה שליח תחתיו אא"כ אמרה בפירוש שימנה שליח אחר תחתיו ולא דמי לשליח הולכה דעושה שליח משום דהוי שליח גט ולאו מילי נינהו עכ"ל</w:t>
      </w:r>
      <w:r>
        <w:rPr>
          <w:rFonts w:cs="Arial" w:hint="cs"/>
          <w:rtl/>
        </w:rPr>
        <w:t>, הה"מ (שם).</w:t>
      </w:r>
    </w:p>
  </w:footnote>
  <w:footnote w:id="1885">
    <w:p w14:paraId="27F110D3" w14:textId="77777777" w:rsidR="00FA2119" w:rsidRDefault="00FA2119" w:rsidP="00FA2119">
      <w:pPr>
        <w:pStyle w:val="a5"/>
      </w:pPr>
      <w:r>
        <w:rPr>
          <w:rStyle w:val="a7"/>
        </w:rPr>
        <w:footnoteRef/>
      </w:r>
      <w:r>
        <w:rPr>
          <w:rtl/>
        </w:rPr>
        <w:t xml:space="preserve"> </w:t>
      </w:r>
      <w:r>
        <w:rPr>
          <w:rFonts w:cs="Arial"/>
          <w:rtl/>
        </w:rPr>
        <w:t>דדלמא לשון פטור וחובה להקל מעליה חובות שחייבת, רש"י.</w:t>
      </w:r>
    </w:p>
  </w:footnote>
  <w:footnote w:id="1886">
    <w:p w14:paraId="661F25F3" w14:textId="77777777" w:rsidR="00FA2119" w:rsidRDefault="00FA2119" w:rsidP="00FA2119">
      <w:pPr>
        <w:pStyle w:val="a5"/>
      </w:pPr>
      <w:r>
        <w:rPr>
          <w:rStyle w:val="a7"/>
        </w:rPr>
        <w:footnoteRef/>
      </w:r>
      <w:r>
        <w:rPr>
          <w:rtl/>
        </w:rPr>
        <w:t xml:space="preserve"> </w:t>
      </w:r>
      <w:r>
        <w:rPr>
          <w:rFonts w:cs="Arial"/>
          <w:rtl/>
        </w:rPr>
        <w:t>כל לשון פרנסה לשון עשיית צרכיה הוא קונדיי"ר בלע"ז כמו לפרנסה שמין באב (כתובות סח.) וכמו מוציאין לפרנסה ואין מוציאין למזונות (כתובות סט.) הלכך לא ידעינן אי צורכי גט הוא שלא תהא זקוקה ליבם או צורכי מלבוש וכסות הוא, רש"י.</w:t>
      </w:r>
    </w:p>
  </w:footnote>
  <w:footnote w:id="1887">
    <w:p w14:paraId="53FFB710" w14:textId="77777777" w:rsidR="00FA2119" w:rsidRDefault="00FA2119" w:rsidP="00FA2119">
      <w:pPr>
        <w:pStyle w:val="a5"/>
      </w:pPr>
      <w:r>
        <w:rPr>
          <w:rStyle w:val="a7"/>
        </w:rPr>
        <w:footnoteRef/>
      </w:r>
      <w:r>
        <w:rPr>
          <w:rtl/>
        </w:rPr>
        <w:t xml:space="preserve"> </w:t>
      </w:r>
      <w:r>
        <w:rPr>
          <w:rFonts w:cs="Arial"/>
          <w:rtl/>
        </w:rPr>
        <w:t>כחוק לא ידעינן אי חק גט אי חק מזון וכסות וכן כראוי, רש"י.</w:t>
      </w:r>
    </w:p>
  </w:footnote>
  <w:footnote w:id="1888">
    <w:p w14:paraId="141ECE36" w14:textId="77777777" w:rsidR="00FA2119" w:rsidRDefault="00FA2119" w:rsidP="00FA2119">
      <w:pPr>
        <w:pStyle w:val="a5"/>
      </w:pPr>
      <w:r>
        <w:rPr>
          <w:rStyle w:val="a7"/>
        </w:rPr>
        <w:footnoteRef/>
      </w:r>
      <w:r>
        <w:rPr>
          <w:rtl/>
        </w:rPr>
        <w:t xml:space="preserve"> </w:t>
      </w:r>
      <w:r>
        <w:rPr>
          <w:rFonts w:cs="Arial"/>
          <w:rtl/>
        </w:rPr>
        <w:t xml:space="preserve">כלומר בין פ"א בחיר"ק, או בפת"ח. אי נמי בין פ"א בדגש, או ברפי. ותנא דידן דבר ארץ ישראל לא מפליג בהכי. ואע"ג דאנן בתר בני בבל גרירין (רש"י חולין נ. ד"ה כי פליגי) השמיטוה הרי"ף והרא"ש והרמב"ם, משום דבלשון הקודש ליכא פלוגתא בינייהו, ואנן השתא לא משתעינן בלשון ארמי והרי אנו לענין זה כבני ארץ ישראל, </w:t>
      </w:r>
      <w:r>
        <w:rPr>
          <w:rtl/>
        </w:rPr>
        <w:t>ב"י.</w:t>
      </w:r>
    </w:p>
  </w:footnote>
  <w:footnote w:id="1889">
    <w:p w14:paraId="7CD9A895" w14:textId="1AE2DEE2" w:rsidR="00FA2119" w:rsidRDefault="00FA2119" w:rsidP="00FA2119">
      <w:pPr>
        <w:pStyle w:val="a5"/>
      </w:pPr>
      <w:r>
        <w:rPr>
          <w:rStyle w:val="a7"/>
        </w:rPr>
        <w:footnoteRef/>
      </w:r>
      <w:r>
        <w:rPr>
          <w:rtl/>
        </w:rPr>
        <w:t xml:space="preserve"> </w:t>
      </w:r>
      <w:r>
        <w:rPr>
          <w:rFonts w:cs="Arial"/>
          <w:rtl/>
        </w:rPr>
        <w:t>מי אמרי' לישנא דקרא נקט ויצאה מביתו (דברים כד) או דילמא לאו לישנא דקרא הוא דלא כתיב והוציאה מביתו אלא ויצאה היא מעצמה,</w:t>
      </w:r>
      <w:r w:rsidR="00BF6E88">
        <w:rPr>
          <w:rFonts w:cs="Arial" w:hint="cs"/>
          <w:rtl/>
        </w:rPr>
        <w:t xml:space="preserve"> </w:t>
      </w:r>
      <w:r>
        <w:rPr>
          <w:rFonts w:cs="Arial"/>
          <w:rtl/>
        </w:rPr>
        <w:t>רש"י.</w:t>
      </w:r>
    </w:p>
  </w:footnote>
  <w:footnote w:id="1890">
    <w:p w14:paraId="45255A75" w14:textId="77777777" w:rsidR="00FA2119" w:rsidRDefault="00FA2119" w:rsidP="00FA2119">
      <w:pPr>
        <w:pStyle w:val="a5"/>
      </w:pPr>
      <w:r>
        <w:rPr>
          <w:rStyle w:val="a7"/>
        </w:rPr>
        <w:footnoteRef/>
      </w:r>
      <w:r>
        <w:rPr>
          <w:rtl/>
        </w:rPr>
        <w:t xml:space="preserve"> </w:t>
      </w:r>
      <w:r>
        <w:rPr>
          <w:rFonts w:cs="Arial"/>
          <w:rtl/>
        </w:rPr>
        <w:t>לשון איגרת שיבוקין הוא או דלמא כיון דלאו לשון עזיבה כתבינן בגט לאו לישנא דגיטא הוא</w:t>
      </w:r>
      <w:r>
        <w:rPr>
          <w:rtl/>
        </w:rPr>
        <w:t>, רש"י.</w:t>
      </w:r>
    </w:p>
  </w:footnote>
  <w:footnote w:id="1891">
    <w:p w14:paraId="450C1DEF" w14:textId="77777777" w:rsidR="00FA2119" w:rsidRDefault="00FA2119" w:rsidP="00FA2119">
      <w:pPr>
        <w:pStyle w:val="a5"/>
        <w:rPr>
          <w:rtl/>
        </w:rPr>
      </w:pPr>
      <w:r>
        <w:rPr>
          <w:rStyle w:val="a7"/>
        </w:rPr>
        <w:footnoteRef/>
      </w:r>
      <w:r>
        <w:rPr>
          <w:rtl/>
        </w:rPr>
        <w:t xml:space="preserve"> </w:t>
      </w:r>
      <w:r>
        <w:rPr>
          <w:rFonts w:cs="Arial"/>
          <w:rtl/>
        </w:rPr>
        <w:t>לשון מותרת לכל אדם הוא או לשון התרת נדרים או התרת חגורה, רש"י.</w:t>
      </w:r>
    </w:p>
  </w:footnote>
  <w:footnote w:id="1892">
    <w:p w14:paraId="7CE53515" w14:textId="77777777" w:rsidR="00FA2119" w:rsidRDefault="00FA2119" w:rsidP="00FA2119">
      <w:pPr>
        <w:pStyle w:val="a5"/>
      </w:pPr>
      <w:r>
        <w:rPr>
          <w:rStyle w:val="a7"/>
        </w:rPr>
        <w:footnoteRef/>
      </w:r>
      <w:r>
        <w:rPr>
          <w:rtl/>
        </w:rPr>
        <w:t xml:space="preserve"> </w:t>
      </w:r>
      <w:r>
        <w:rPr>
          <w:rFonts w:cs="Arial"/>
          <w:rtl/>
        </w:rPr>
        <w:t>המגיד כת' בשם הראב"ד בכולם בעינן שהיה מדבר עמהם מעסקי גיטין דאל"כ מהיכא יודעין הם שהוא נותן לגירושין ואפילו אם אמר גרשוה יש לפרש כמו גרש את האמה, ב"ש (סק"כ).</w:t>
      </w:r>
    </w:p>
  </w:footnote>
  <w:footnote w:id="1893">
    <w:p w14:paraId="7588E69F" w14:textId="5BF86C35" w:rsidR="00BF6E88" w:rsidRDefault="00BF6E88">
      <w:pPr>
        <w:pStyle w:val="a5"/>
      </w:pPr>
      <w:r>
        <w:rPr>
          <w:rStyle w:val="a7"/>
        </w:rPr>
        <w:footnoteRef/>
      </w:r>
      <w:r>
        <w:rPr>
          <w:rtl/>
        </w:rPr>
        <w:t xml:space="preserve"> </w:t>
      </w:r>
      <w:r>
        <w:rPr>
          <w:rFonts w:hint="cs"/>
          <w:rtl/>
        </w:rPr>
        <w:t xml:space="preserve">סימן - סופני הוא. </w:t>
      </w:r>
    </w:p>
  </w:footnote>
  <w:footnote w:id="1894">
    <w:p w14:paraId="00326FFA" w14:textId="77777777" w:rsidR="00FA2119" w:rsidRDefault="00FA2119" w:rsidP="00FA2119">
      <w:pPr>
        <w:pStyle w:val="a5"/>
      </w:pPr>
      <w:r>
        <w:rPr>
          <w:rStyle w:val="a7"/>
        </w:rPr>
        <w:footnoteRef/>
      </w:r>
      <w:r>
        <w:rPr>
          <w:rtl/>
        </w:rPr>
        <w:t xml:space="preserve"> </w:t>
      </w:r>
      <w:r>
        <w:rPr>
          <w:rFonts w:cs="Arial"/>
          <w:rtl/>
        </w:rPr>
        <w:t xml:space="preserve">ליהרג למלכות, </w:t>
      </w:r>
      <w:r>
        <w:rPr>
          <w:rFonts w:cs="Arial"/>
          <w:b/>
          <w:bCs/>
          <w:rtl/>
        </w:rPr>
        <w:t>רש"י</w:t>
      </w:r>
      <w:r>
        <w:rPr>
          <w:rFonts w:cs="Arial"/>
          <w:rtl/>
        </w:rPr>
        <w:t>.</w:t>
      </w:r>
      <w:r>
        <w:rPr>
          <w:rtl/>
        </w:rPr>
        <w:t xml:space="preserve"> אך </w:t>
      </w:r>
      <w:r>
        <w:rPr>
          <w:rFonts w:cs="Arial"/>
          <w:rtl/>
        </w:rPr>
        <w:t xml:space="preserve">הרמב"ם (שם) כתב דאפילו ביוצא על עסקי ממון. וכתבו הרא"ש (שם) והרשב"א (סה. ד"ה מתני') דהכי איתא בירושלמי (פ"ו ה"ה) ולא סוף דבר בקולר של סכנה אלא אפילו בקולר של ממון שכל קולר בחזקת סכנה, </w:t>
      </w:r>
      <w:r>
        <w:rPr>
          <w:rFonts w:cs="Arial"/>
          <w:b/>
          <w:bCs/>
          <w:rtl/>
        </w:rPr>
        <w:t>ב"י</w:t>
      </w:r>
      <w:r>
        <w:rPr>
          <w:rFonts w:cs="Arial"/>
          <w:rtl/>
        </w:rPr>
        <w:t>.</w:t>
      </w:r>
    </w:p>
  </w:footnote>
  <w:footnote w:id="1895">
    <w:p w14:paraId="29FE7B59" w14:textId="77777777" w:rsidR="00FA2119" w:rsidRDefault="00FA2119" w:rsidP="00FA2119">
      <w:pPr>
        <w:pStyle w:val="a5"/>
      </w:pPr>
      <w:r>
        <w:rPr>
          <w:rStyle w:val="a7"/>
        </w:rPr>
        <w:footnoteRef/>
      </w:r>
      <w:r>
        <w:rPr>
          <w:rtl/>
        </w:rPr>
        <w:t xml:space="preserve"> </w:t>
      </w:r>
      <w:r>
        <w:rPr>
          <w:rFonts w:cs="Arial"/>
          <w:rtl/>
        </w:rPr>
        <w:t>אף על פי שלא אמר תנו</w:t>
      </w:r>
      <w:r>
        <w:rPr>
          <w:rtl/>
        </w:rPr>
        <w:t>, רש"י.</w:t>
      </w:r>
    </w:p>
  </w:footnote>
  <w:footnote w:id="1896">
    <w:p w14:paraId="22CEE1A6" w14:textId="77777777" w:rsidR="00FA2119" w:rsidRDefault="00FA2119" w:rsidP="00FA2119">
      <w:pPr>
        <w:pStyle w:val="a5"/>
        <w:rPr>
          <w:rtl/>
        </w:rPr>
      </w:pPr>
      <w:r>
        <w:rPr>
          <w:rStyle w:val="a7"/>
        </w:rPr>
        <w:footnoteRef/>
      </w:r>
      <w:r>
        <w:rPr>
          <w:rtl/>
        </w:rPr>
        <w:t xml:space="preserve"> </w:t>
      </w:r>
      <w:r>
        <w:rPr>
          <w:rFonts w:cs="Arial"/>
          <w:rtl/>
        </w:rPr>
        <w:t>דאגב פחדיה טריד ולא פריש, רש"י.</w:t>
      </w:r>
    </w:p>
  </w:footnote>
  <w:footnote w:id="1897">
    <w:p w14:paraId="75B356C6" w14:textId="77777777" w:rsidR="00FA2119" w:rsidRDefault="00FA2119" w:rsidP="00FA2119">
      <w:pPr>
        <w:pStyle w:val="a5"/>
      </w:pPr>
      <w:r>
        <w:rPr>
          <w:rStyle w:val="a7"/>
        </w:rPr>
        <w:footnoteRef/>
      </w:r>
      <w:r>
        <w:rPr>
          <w:rtl/>
        </w:rPr>
        <w:t xml:space="preserve"> </w:t>
      </w:r>
      <w:r>
        <w:rPr>
          <w:rFonts w:cs="Arial"/>
          <w:rtl/>
        </w:rPr>
        <w:t xml:space="preserve">למדברות, </w:t>
      </w:r>
      <w:r>
        <w:rPr>
          <w:rFonts w:cs="Arial"/>
          <w:b/>
          <w:bCs/>
          <w:rtl/>
        </w:rPr>
        <w:t>רש"י</w:t>
      </w:r>
      <w:r>
        <w:rPr>
          <w:rFonts w:cs="Arial"/>
          <w:rtl/>
        </w:rPr>
        <w:t xml:space="preserve">. ומשמע מדבריו שאם אינו יוצא למדברות אלא הולך מעיר לעיר שלא בדרך המדבר לא טריד, </w:t>
      </w:r>
      <w:r>
        <w:rPr>
          <w:rFonts w:cs="Arial"/>
          <w:b/>
          <w:bCs/>
          <w:rtl/>
        </w:rPr>
        <w:t>ב"י</w:t>
      </w:r>
      <w:r>
        <w:rPr>
          <w:rFonts w:cs="Arial"/>
          <w:rtl/>
        </w:rPr>
        <w:t>.</w:t>
      </w:r>
    </w:p>
  </w:footnote>
  <w:footnote w:id="1898">
    <w:p w14:paraId="7C14CFFB" w14:textId="77777777" w:rsidR="00FA2119" w:rsidRDefault="00FA2119" w:rsidP="00FA2119">
      <w:pPr>
        <w:pStyle w:val="a5"/>
      </w:pPr>
      <w:r>
        <w:rPr>
          <w:rStyle w:val="a7"/>
        </w:rPr>
        <w:footnoteRef/>
      </w:r>
      <w:r>
        <w:rPr>
          <w:rtl/>
        </w:rPr>
        <w:t xml:space="preserve"> </w:t>
      </w:r>
      <w:r>
        <w:rPr>
          <w:rFonts w:cs="Arial"/>
          <w:rtl/>
        </w:rPr>
        <w:t xml:space="preserve">חולה, </w:t>
      </w:r>
      <w:r>
        <w:rPr>
          <w:rFonts w:cs="Arial"/>
          <w:b/>
          <w:bCs/>
          <w:rtl/>
        </w:rPr>
        <w:t>רש"י</w:t>
      </w:r>
      <w:r>
        <w:rPr>
          <w:rFonts w:cs="Arial"/>
          <w:rtl/>
        </w:rPr>
        <w:t>. והרמב"ם (פ"ב שם) כתב שהוא אדם שקפץ עליו החולי במהרה והכביד חליו מיד. וכתב הר"ן (לב. ד"ה מתני') דהכי איתא בירושלמי (שם). והרא"ש כתב לשון הירושלמי: מה בין חולה למסוכן? חולה בדרך ארץ, מסוכן כל שקפץ עליו החולי. דרך ארץ, הקרובים נכנסים לו מיד הרחוקים לאחר שלשה ימים. ואם קפץ עליו החולי, אלו ואלו נכנסים מיד. משמע מהכא דחולה אחר שלשה ימים, וקפץ עליו החולי ביום - שוה. וזהו שכתב רבינו אבל בחולה לאחר שלשה ימים או תוך שלשה ימים ונתחזק עליו החולי</w:t>
      </w:r>
      <w:r>
        <w:rPr>
          <w:rtl/>
        </w:rPr>
        <w:t xml:space="preserve">, </w:t>
      </w:r>
      <w:r>
        <w:rPr>
          <w:b/>
          <w:bCs/>
          <w:rtl/>
        </w:rPr>
        <w:t>ב"י</w:t>
      </w:r>
      <w:r>
        <w:rPr>
          <w:rtl/>
        </w:rPr>
        <w:t xml:space="preserve">. </w:t>
      </w:r>
      <w:r>
        <w:rPr>
          <w:rFonts w:cs="Arial"/>
          <w:rtl/>
        </w:rPr>
        <w:t xml:space="preserve">אמנם במרדכי (סוף התקבל סי' תיט) מסתפק בדבר אי דינו שוה לחולה אחר שלשה. וכתב הר"ן (לב.) שם דכל מצוה מחמת מיתה דינו כמסוכן, </w:t>
      </w:r>
      <w:r>
        <w:rPr>
          <w:rFonts w:cs="Arial"/>
          <w:b/>
          <w:bCs/>
          <w:rtl/>
        </w:rPr>
        <w:t>דרכ"מ</w:t>
      </w:r>
      <w:r>
        <w:rPr>
          <w:rFonts w:cs="Arial"/>
          <w:rtl/>
        </w:rPr>
        <w:t xml:space="preserve"> (אות ז).</w:t>
      </w:r>
    </w:p>
  </w:footnote>
  <w:footnote w:id="1899">
    <w:p w14:paraId="457BB94F" w14:textId="77777777" w:rsidR="00FA2119" w:rsidRDefault="00FA2119" w:rsidP="00FA2119">
      <w:pPr>
        <w:pStyle w:val="a5"/>
      </w:pPr>
      <w:r>
        <w:rPr>
          <w:rStyle w:val="a7"/>
        </w:rPr>
        <w:footnoteRef/>
      </w:r>
      <w:r>
        <w:rPr>
          <w:rtl/>
        </w:rPr>
        <w:t xml:space="preserve"> </w:t>
      </w:r>
      <w:r>
        <w:rPr>
          <w:rFonts w:cs="Arial"/>
          <w:rtl/>
        </w:rPr>
        <w:t>לאו דוקא מסוכן קתני במתני' אלא אף החולה ומיירי נמי שהוא מסוכן מחמת חליו אלא שלזה שקפץ עליו חליו קראוהו מסוכן כדמפרש ואזיל</w:t>
      </w:r>
      <w:r>
        <w:rPr>
          <w:rtl/>
        </w:rPr>
        <w:t>, פני משה.</w:t>
      </w:r>
    </w:p>
  </w:footnote>
  <w:footnote w:id="1900">
    <w:p w14:paraId="3680DF8B" w14:textId="77777777" w:rsidR="00FA2119" w:rsidRDefault="00FA2119" w:rsidP="00FA2119">
      <w:pPr>
        <w:pStyle w:val="a5"/>
        <w:rPr>
          <w:rtl/>
        </w:rPr>
      </w:pPr>
      <w:r>
        <w:rPr>
          <w:rStyle w:val="a7"/>
        </w:rPr>
        <w:footnoteRef/>
      </w:r>
      <w:r>
        <w:rPr>
          <w:rtl/>
        </w:rPr>
        <w:t xml:space="preserve"> </w:t>
      </w:r>
      <w:r>
        <w:rPr>
          <w:rFonts w:cs="Arial"/>
          <w:rtl/>
        </w:rPr>
        <w:t>עיין בס' תו"ג דג"כ יחתמו כדמשמע לקמן סעיף כ' ע"ש</w:t>
      </w:r>
      <w:r>
        <w:rPr>
          <w:rtl/>
        </w:rPr>
        <w:t>, פת"ש (סק"ח).</w:t>
      </w:r>
    </w:p>
  </w:footnote>
  <w:footnote w:id="1901">
    <w:p w14:paraId="090CBB28" w14:textId="77777777" w:rsidR="00FA2119" w:rsidRDefault="00FA2119" w:rsidP="00FA2119">
      <w:pPr>
        <w:pStyle w:val="a5"/>
        <w:rPr>
          <w:rtl/>
        </w:rPr>
      </w:pPr>
      <w:r>
        <w:rPr>
          <w:rStyle w:val="a7"/>
        </w:rPr>
        <w:footnoteRef/>
      </w:r>
      <w:r>
        <w:rPr>
          <w:rtl/>
        </w:rPr>
        <w:t xml:space="preserve"> </w:t>
      </w:r>
      <w:r>
        <w:rPr>
          <w:rFonts w:cs="Arial"/>
          <w:rtl/>
        </w:rPr>
        <w:t>מסתימת לשון הרמב"ם וכל הפוסקים משמע דא"צ שיתנו לה דוקא בעודו חולה אלא אפילו אם טרם שנתנו לה חזר לאיתנו רק שבכל זאת החריש ולא ביטל השליחות יכולים ליתן לה הגט דהעיקר הוא בעת אמירה ואם היה אז מסוכן אזי אמדינן לדעתו שכוונתו הי' לכתוב וליתן והוי כמו עשאם בפירוש שלוחים לכתוב וליתן וכל כמה דלא ביטל שליחותם כותבים ונותנין לה, יד המלך (פ"ב מהל' גירושין הי"ב, הביאו הפת"ש סק"ז).</w:t>
      </w:r>
    </w:p>
  </w:footnote>
  <w:footnote w:id="1902">
    <w:p w14:paraId="487490F9" w14:textId="77777777" w:rsidR="00FA2119" w:rsidRDefault="00FA2119" w:rsidP="00FA2119">
      <w:pPr>
        <w:pStyle w:val="a5"/>
      </w:pPr>
      <w:r>
        <w:rPr>
          <w:rStyle w:val="a7"/>
        </w:rPr>
        <w:footnoteRef/>
      </w:r>
      <w:r>
        <w:rPr>
          <w:rtl/>
        </w:rPr>
        <w:t xml:space="preserve"> </w:t>
      </w:r>
      <w:r>
        <w:rPr>
          <w:rFonts w:cs="Arial"/>
          <w:rtl/>
        </w:rPr>
        <w:t>נראה דשיעור לאלתר הנא' בירושלמי היינו כדי שיעור כתיבת הגט ונתינתו דהא בדעתו הי' שע"י הנפילה ימות מיד ורצה לגרשה, ע"כ כוונתו היתה שיכתבו ויתנו קודם הנפילה והי' דעתו לעכב הנפילה עד שיעור כתיבה ונתינה. ואפילו ירד מהגג אחר שאמר כתבו וחזר ועלה להפיל עצמו או המית עצמו במיתה אחרת הדין כך, תו"ג (הביאו הפת"ש סק"ט).</w:t>
      </w:r>
      <w:r>
        <w:rPr>
          <w:rtl/>
        </w:rPr>
        <w:t xml:space="preserve"> ועיין בב"ש (סקכ"ד) </w:t>
      </w:r>
      <w:r>
        <w:rPr>
          <w:rFonts w:cs="Arial"/>
          <w:rtl/>
        </w:rPr>
        <w:t>דכתב דלכאורה משמע בש"ס (סו.) דלא בעינן לאלתר כשידוע שהמית את עצמו, וכן משמע מהתוספתא (שם), עיי"ש.</w:t>
      </w:r>
    </w:p>
  </w:footnote>
  <w:footnote w:id="1903">
    <w:p w14:paraId="3AEA7713" w14:textId="34C7A4C4" w:rsidR="00FA2119" w:rsidRDefault="00FA2119" w:rsidP="00FA2119">
      <w:pPr>
        <w:pStyle w:val="a5"/>
        <w:rPr>
          <w:rtl/>
        </w:rPr>
      </w:pPr>
      <w:r>
        <w:rPr>
          <w:rStyle w:val="a7"/>
        </w:rPr>
        <w:footnoteRef/>
      </w:r>
      <w:r>
        <w:rPr>
          <w:rtl/>
        </w:rPr>
        <w:t xml:space="preserve"> </w:t>
      </w:r>
      <w:r>
        <w:rPr>
          <w:rFonts w:cs="Arial"/>
          <w:rtl/>
        </w:rPr>
        <w:t>עיין סי' קכ"ב דצריך בדיקה אע</w:t>
      </w:r>
      <w:r w:rsidR="004542B9">
        <w:rPr>
          <w:rFonts w:cs="Arial" w:hint="cs"/>
          <w:rtl/>
        </w:rPr>
        <w:t>"</w:t>
      </w:r>
      <w:r>
        <w:rPr>
          <w:rFonts w:cs="Arial"/>
          <w:rtl/>
        </w:rPr>
        <w:t>ג דאמר ליתן גט קודם לכן מ"מ צריך בדיקה אם הוא שפוי בדעתו וכתב הר"ן דצריך בדיקה ג"פ שמא נטרפה דעתו, ב"ש (סקכ"ה).</w:t>
      </w:r>
    </w:p>
  </w:footnote>
  <w:footnote w:id="1904">
    <w:p w14:paraId="4FE6ECD7" w14:textId="77777777" w:rsidR="00FA2119" w:rsidRDefault="00FA2119" w:rsidP="00FA2119">
      <w:pPr>
        <w:pStyle w:val="a5"/>
      </w:pPr>
      <w:r>
        <w:rPr>
          <w:rStyle w:val="a7"/>
        </w:rPr>
        <w:footnoteRef/>
      </w:r>
      <w:r>
        <w:rPr>
          <w:rtl/>
        </w:rPr>
        <w:t xml:space="preserve"> </w:t>
      </w:r>
      <w:r>
        <w:rPr>
          <w:rFonts w:cs="Arial"/>
          <w:rtl/>
        </w:rPr>
        <w:t>מהו, מי אמרי' רגלים לדבר כיון שאמר כתבו לאשתו גט ועלה לגג מסתמא מעצמו נפל והוכיח סופו על תחלתו, או דלמא לא סמכינן באשת איש ארגלים לדבר והוי גט מספק</w:t>
      </w:r>
      <w:r>
        <w:rPr>
          <w:rtl/>
        </w:rPr>
        <w:t>, קרבן העדה.</w:t>
      </w:r>
    </w:p>
  </w:footnote>
  <w:footnote w:id="1905">
    <w:p w14:paraId="6918E53F" w14:textId="77777777" w:rsidR="00FA2119" w:rsidRDefault="00FA2119" w:rsidP="00FA2119">
      <w:pPr>
        <w:pStyle w:val="a5"/>
        <w:rPr>
          <w:rtl/>
        </w:rPr>
      </w:pPr>
      <w:r>
        <w:rPr>
          <w:rStyle w:val="a7"/>
        </w:rPr>
        <w:footnoteRef/>
      </w:r>
      <w:r>
        <w:rPr>
          <w:rtl/>
        </w:rPr>
        <w:t xml:space="preserve"> </w:t>
      </w:r>
      <w:r>
        <w:rPr>
          <w:rFonts w:cs="Arial"/>
          <w:rtl/>
        </w:rPr>
        <w:t>והאי לאלתר ספק הוא, דהשתא דקאמר רשב"ג אם לאחר זמן אינו גט, דאמרי' השתא הוא דנתן דעתו ליפול. א"כ לאלתר נמי ספק הוא, שהרי היה קצת שהות בינתיים, וניחוש שמא מתחלה לא היה דעתו להפיל עצמו מן הגג, וצריך לומר תנו. אלא ודאי מפני שרגלים לדבר ה"נ בספק מעצמו נפל ספק הרוח דחפו - ה"ז גט, קרבן העדה.</w:t>
      </w:r>
    </w:p>
  </w:footnote>
  <w:footnote w:id="1906">
    <w:p w14:paraId="7B1F865D" w14:textId="77777777" w:rsidR="00FA2119" w:rsidRDefault="00FA2119" w:rsidP="00FA2119">
      <w:pPr>
        <w:pStyle w:val="a5"/>
      </w:pPr>
      <w:r>
        <w:rPr>
          <w:rStyle w:val="a7"/>
        </w:rPr>
        <w:footnoteRef/>
      </w:r>
      <w:r>
        <w:rPr>
          <w:rtl/>
        </w:rPr>
        <w:t xml:space="preserve"> </w:t>
      </w:r>
      <w:r>
        <w:rPr>
          <w:rFonts w:hint="cs"/>
          <w:rtl/>
        </w:rPr>
        <w:t>כן גרס הרא"ש (פ"ז סי' יח) בירושלמי. וכך גרס בדברי הרמב"ם, וכך פירש הרא"ש את דברי הראב"ד בהשגות.</w:t>
      </w:r>
    </w:p>
  </w:footnote>
  <w:footnote w:id="1907">
    <w:p w14:paraId="03728DE2" w14:textId="77777777" w:rsidR="00FA2119" w:rsidRDefault="00FA2119" w:rsidP="00FA2119">
      <w:pPr>
        <w:pStyle w:val="a5"/>
      </w:pPr>
      <w:r>
        <w:rPr>
          <w:rStyle w:val="a7"/>
        </w:rPr>
        <w:footnoteRef/>
      </w:r>
      <w:r>
        <w:rPr>
          <w:rtl/>
        </w:rPr>
        <w:t xml:space="preserve"> </w:t>
      </w:r>
      <w:r>
        <w:rPr>
          <w:rFonts w:hint="cs"/>
          <w:rtl/>
        </w:rPr>
        <w:t>מה שכתוב בסוגריים המרובעות לא נמצא אצלינו בתוספתא, אבל כך היה כתוב לפני הרשב"א (סה:) הרא"ש (פ"ז סי' יח) והר"ן (שם).</w:t>
      </w:r>
    </w:p>
  </w:footnote>
  <w:footnote w:id="1908">
    <w:p w14:paraId="5CB9C063" w14:textId="4E1F3849" w:rsidR="00FA2119" w:rsidRDefault="00FA2119" w:rsidP="00FA2119">
      <w:pPr>
        <w:pStyle w:val="a5"/>
        <w:rPr>
          <w:rtl/>
        </w:rPr>
      </w:pPr>
      <w:r>
        <w:rPr>
          <w:rStyle w:val="a7"/>
        </w:rPr>
        <w:footnoteRef/>
      </w:r>
      <w:r>
        <w:rPr>
          <w:rtl/>
        </w:rPr>
        <w:t xml:space="preserve"> </w:t>
      </w:r>
      <w:r>
        <w:rPr>
          <w:rFonts w:hint="cs"/>
          <w:rtl/>
        </w:rPr>
        <w:t xml:space="preserve">כן גרס הרא"ש (פ"ז סי' יח) בדברי הרמב"ם, וכתב עוד הרא"ש </w:t>
      </w:r>
      <w:r w:rsidR="000A0F5A">
        <w:rPr>
          <w:rFonts w:hint="cs"/>
          <w:rtl/>
        </w:rPr>
        <w:t>וז</w:t>
      </w:r>
      <w:r w:rsidR="000A0F5A">
        <w:rPr>
          <w:rtl/>
        </w:rPr>
        <w:t>"</w:t>
      </w:r>
      <w:r w:rsidR="000A0F5A">
        <w:rPr>
          <w:rFonts w:hint="cs"/>
          <w:rtl/>
        </w:rPr>
        <w:t>ל:</w:t>
      </w:r>
      <w:r>
        <w:rPr>
          <w:rFonts w:hint="cs"/>
          <w:rtl/>
        </w:rPr>
        <w:t xml:space="preserve"> </w:t>
      </w:r>
      <w:r>
        <w:rPr>
          <w:rFonts w:cs="Arial"/>
          <w:rtl/>
        </w:rPr>
        <w:t>והגיה עליו הראב"ד ז"ל ואומר אני זה הספק להקל על פי הירושלמי שהבאתי</w:t>
      </w:r>
      <w:r>
        <w:rPr>
          <w:rtl/>
        </w:rPr>
        <w:t xml:space="preserve">. עכ"ל. משמע שהרא"ש הבין שהראב"ד למד מהירושלמי שהוא ספק גט. אך כתב הב"י </w:t>
      </w:r>
      <w:r>
        <w:rPr>
          <w:rFonts w:cs="Arial"/>
          <w:rtl/>
        </w:rPr>
        <w:t>שבספרים דידן כתוב בהרמב"ם 'הרי זה גט', וכן היה גורס הרשב"א</w:t>
      </w:r>
      <w:r>
        <w:rPr>
          <w:rFonts w:cs="Arial"/>
          <w:sz w:val="16"/>
          <w:szCs w:val="16"/>
          <w:rtl/>
        </w:rPr>
        <w:t xml:space="preserve"> {וכן הוא לפנינו}</w:t>
      </w:r>
      <w:r>
        <w:rPr>
          <w:rFonts w:cs="Arial"/>
          <w:rtl/>
        </w:rPr>
        <w:t xml:space="preserve">, ותמה הרשב"א על הרמב"ם היאך פסק היפך התוספתא, ועוד ספק איסורא הוא ולחומרא (גיטין סג:), ושמא טעות ידי סופר בחיבורו של רבינו וחסר ממנו 'אם מיד נפל הרי זה גט' כדברי התוספתא. אח"כ מצאתי </w:t>
      </w:r>
      <w:r w:rsidR="009334FF">
        <w:rPr>
          <w:rFonts w:cs="Arial"/>
          <w:rtl/>
        </w:rPr>
        <w:t>ב</w:t>
      </w:r>
      <w:r w:rsidR="00DB737E">
        <w:rPr>
          <w:rFonts w:cs="Arial"/>
          <w:rtl/>
        </w:rPr>
        <w:t>הגהות</w:t>
      </w:r>
      <w:r>
        <w:rPr>
          <w:rFonts w:cs="Arial"/>
          <w:rtl/>
        </w:rPr>
        <w:t xml:space="preserve"> הראב"ד שהגיה עליו כך ואמר: זה הספק להקל בירושלמי מצאתי אומר אם על אתר נפל הרי זה גט אם לאחר זמן נפל אינו גט. עד כאן. וכך הוא לשון הירושלמי ספק מעצמו נפל וכו' נשמעינה מן הדא רבן שמעון בן גמליאל אומר אם על אתר נפל וכו' </w:t>
      </w:r>
      <w:r>
        <w:rPr>
          <w:rFonts w:cs="Arial"/>
          <w:sz w:val="16"/>
          <w:szCs w:val="16"/>
          <w:rtl/>
        </w:rPr>
        <w:t>[עכ"ל הרשב"א]</w:t>
      </w:r>
      <w:r>
        <w:rPr>
          <w:rFonts w:cs="Arial"/>
          <w:rtl/>
        </w:rPr>
        <w:t xml:space="preserve">. ונראה לי דכשמצא הרשב"א דברי הראב"ד נתיישבה דעתו לומר דאין כאן טעות סופר ומה שהגיה עליו הראב"ד הוא לומר דנהי דבירושלמי מיקל ואמר דספק מעצמו נפל וכו' הרי זה גט, מיהו הני מילי כשנפל על אתר דוקא. וזהו כעין השגתו של הרשב"א שתמה עליו שפסק היפך התוספתא, והרמב"ם כתב סתם הרי זה גט ולא חילק בין נפל על אתר לנפל לאחר זמן.      ואפשר לומר דהראב"ד לא לחלוק על הרמב"ם בא אלא להחזיק דבריו לומר דאע"ג דספיקא דאורייתא לחומרא (ביצה ג:) הכא שפיר עבד הרמב"ם שפסק להקל, דהכי איתא בירושלמי. אבל לא משמע כן מדברי הרשב"א, שהרי כתב מצאתי </w:t>
      </w:r>
      <w:r w:rsidR="009334FF">
        <w:rPr>
          <w:rFonts w:cs="Arial"/>
          <w:rtl/>
        </w:rPr>
        <w:t>ב</w:t>
      </w:r>
      <w:r w:rsidR="00DB737E">
        <w:rPr>
          <w:rFonts w:cs="Arial"/>
          <w:rtl/>
        </w:rPr>
        <w:t>הגהות</w:t>
      </w:r>
      <w:r>
        <w:rPr>
          <w:rFonts w:cs="Arial"/>
          <w:rtl/>
        </w:rPr>
        <w:t xml:space="preserve"> הראב"ד שהגיה עליו כך. ומכל מקום בין כך ובין כך נראה לי שהגירסא האמיתית בדברי הרמב"ם 'הרי זה גט', ודוקא לאלתר הוא מכשיר כדברי התוספתא והירושלמי, וא-'והרג עצמו מיד' דנקט ברישא סמיך.     ואפילו למאן דגריס 'הרי זה ספק גט' יש לפרש על דרך זו, דכי קאמר 'הרי זה ספק גט' היינו כשלא נפל מיד אלא לאחר זמן, דמה שאמרו בתוספתא 'ואם לאחר זמן נפל אין כותבין ונותנין' היינו משום דמספקא לן, וכדקתני סיפא 'שאני אומר שמא הרוח דחפתו'. אבל כשנפל מיד בכל גוונא הוי גט.     ונשאר לנו לבאר דברי הירושלמי, ונראה לי דהכי פירושו: והדין על אתר לאו ספק הוא? כלומר על כרחך אית לן למימר דעל אתר דאמרינן היינו בדמספקא לן אי מעצמו נפל, דאי בדידעינן שמעצמו נפל מאי איריא על אתר, אפילו לאחר זמן הרי זה גט. א"כ תפשוט דספק מעצמו נפל ספק דחפתו הרוח - הרי זה גט כל שנפל על אתר. כן נראה לי.      ואם רבינו היה מפרש הירושלמי כך לא היה לו לסתום דבריו ולכתוב 'והראב"ד השיג עליו וכתב שהוא ודאי גט'. דכיון דהראב"ד לא חילק בין לאלתר לאחר זמן, קשה על רבינו, שהירושלמי מביא ראיה מדמפלגינן בין לאלתר לאחר זמן והוא עצמו פליג עליה ומסיק דכל ספק אפילו לאחר זמן הרי זה גט. וכן יקשה על הראב"ד למה סתם ולא חילק בין לאלתר ובין לאחר זמן, כדמפליג בירושלמי שהוא סומך עליו. </w:t>
      </w:r>
      <w:r w:rsidR="006A7047">
        <w:rPr>
          <w:rFonts w:cs="Arial" w:hint="cs"/>
          <w:rtl/>
        </w:rPr>
        <w:t xml:space="preserve">    </w:t>
      </w:r>
      <w:r>
        <w:rPr>
          <w:rFonts w:cs="Arial"/>
          <w:rtl/>
        </w:rPr>
        <w:t>לכך נראה שכך מפרש הראב"ד הירושלמי ואחריו נמשך רבינו: דרבן שמעון בן גמליאל לחודיה הוא דמפליג בין על אתר ובין לאחר זמן, ורבנן לא מפלגי בהכי. ומכל מקום יליף מדרבן שמעון בן גמליאל לרבנן, דכיון דאפילו נפל על אתר לאו ודאי הוא שמעצמו נפל אלא ספק, ואפילו הכי קאמר דעל אתר הרי זה גט, דכיון דמתוך בוריו אמר כתבו גט לאשתי רגלים לדבר שהיה רוצה להפיל עצמו, וכיון דעל אתר נפל הוי גט ודאי, ומדרבן שמעון בן גמליאל נשמע לרבנן דלאחר זמן לרבנן כמו על אתר לרבן שמעון בן גמליאל, דטעמא דכיון דמתוך בוריו אמר כתבו גט לאשתי אלים להו למימר דמעצמו נפל אפילו נפל לאחר זמן, והלכתא כוותייהו</w:t>
      </w:r>
      <w:r w:rsidR="004542B9">
        <w:rPr>
          <w:rFonts w:hint="cs"/>
          <w:rtl/>
        </w:rPr>
        <w:t xml:space="preserve">, </w:t>
      </w:r>
      <w:r w:rsidRPr="004542B9">
        <w:rPr>
          <w:b/>
          <w:bCs/>
          <w:rtl/>
        </w:rPr>
        <w:t>ב"י</w:t>
      </w:r>
      <w:r>
        <w:rPr>
          <w:rtl/>
        </w:rPr>
        <w:t>.</w:t>
      </w:r>
    </w:p>
  </w:footnote>
  <w:footnote w:id="1909">
    <w:p w14:paraId="5D167306" w14:textId="77777777" w:rsidR="00FA2119" w:rsidRDefault="00FA2119" w:rsidP="00FA2119">
      <w:pPr>
        <w:pStyle w:val="a5"/>
      </w:pPr>
      <w:r>
        <w:rPr>
          <w:rStyle w:val="a7"/>
        </w:rPr>
        <w:footnoteRef/>
      </w:r>
      <w:r>
        <w:rPr>
          <w:rtl/>
        </w:rPr>
        <w:t xml:space="preserve"> </w:t>
      </w:r>
      <w:r>
        <w:rPr>
          <w:rFonts w:cs="Arial"/>
          <w:rtl/>
        </w:rPr>
        <w:t>פעמים שעושין עצמם בדמות אדם</w:t>
      </w:r>
      <w:r>
        <w:rPr>
          <w:rtl/>
        </w:rPr>
        <w:t>, רש"י.</w:t>
      </w:r>
    </w:p>
  </w:footnote>
  <w:footnote w:id="1910">
    <w:p w14:paraId="41479DF2" w14:textId="77777777" w:rsidR="00FA2119" w:rsidRDefault="00FA2119" w:rsidP="00FA2119">
      <w:pPr>
        <w:pStyle w:val="a5"/>
        <w:rPr>
          <w:rtl/>
        </w:rPr>
      </w:pPr>
      <w:r>
        <w:rPr>
          <w:rStyle w:val="a7"/>
        </w:rPr>
        <w:footnoteRef/>
      </w:r>
      <w:r>
        <w:rPr>
          <w:rtl/>
        </w:rPr>
        <w:t xml:space="preserve"> </w:t>
      </w:r>
      <w:r>
        <w:rPr>
          <w:rFonts w:cs="Arial"/>
          <w:rtl/>
        </w:rPr>
        <w:t>שמתכוונת היא לקלקלה שתנשא בגט זה ותאסר על בעלה</w:t>
      </w:r>
      <w:r>
        <w:rPr>
          <w:rtl/>
        </w:rPr>
        <w:t>, רש"י.</w:t>
      </w:r>
    </w:p>
  </w:footnote>
  <w:footnote w:id="1911">
    <w:p w14:paraId="738334E9" w14:textId="77777777" w:rsidR="00FA2119" w:rsidRDefault="00FA2119" w:rsidP="00FA2119">
      <w:pPr>
        <w:pStyle w:val="a5"/>
        <w:rPr>
          <w:rtl/>
        </w:rPr>
      </w:pPr>
      <w:r>
        <w:rPr>
          <w:rStyle w:val="a7"/>
        </w:rPr>
        <w:footnoteRef/>
      </w:r>
      <w:r>
        <w:rPr>
          <w:rtl/>
        </w:rPr>
        <w:t xml:space="preserve"> </w:t>
      </w:r>
      <w:r>
        <w:rPr>
          <w:rFonts w:cs="Arial"/>
          <w:rtl/>
        </w:rPr>
        <w:t>כגון זה שמסוכן למות ואם לא עכשיו אימתי, רש"י.</w:t>
      </w:r>
    </w:p>
  </w:footnote>
  <w:footnote w:id="1912">
    <w:p w14:paraId="0B91D359" w14:textId="77777777" w:rsidR="00FA2119" w:rsidRDefault="00FA2119" w:rsidP="00FA2119">
      <w:pPr>
        <w:pStyle w:val="a5"/>
      </w:pPr>
      <w:r>
        <w:rPr>
          <w:rStyle w:val="a7"/>
        </w:rPr>
        <w:footnoteRef/>
      </w:r>
      <w:r>
        <w:rPr>
          <w:rtl/>
        </w:rPr>
        <w:t xml:space="preserve"> </w:t>
      </w:r>
      <w:r>
        <w:rPr>
          <w:rFonts w:cs="Arial"/>
          <w:rtl/>
        </w:rPr>
        <w:t>אם זהו שפירש שמו, רש"י.</w:t>
      </w:r>
    </w:p>
  </w:footnote>
  <w:footnote w:id="1913">
    <w:p w14:paraId="7465A4D1" w14:textId="77777777" w:rsidR="00FA2119" w:rsidRDefault="00FA2119" w:rsidP="00FA2119">
      <w:pPr>
        <w:pStyle w:val="a5"/>
      </w:pPr>
      <w:r>
        <w:rPr>
          <w:rStyle w:val="a7"/>
        </w:rPr>
        <w:footnoteRef/>
      </w:r>
      <w:r>
        <w:rPr>
          <w:rtl/>
        </w:rPr>
        <w:t xml:space="preserve"> </w:t>
      </w:r>
      <w:r>
        <w:rPr>
          <w:rFonts w:cs="Arial"/>
          <w:rtl/>
        </w:rPr>
        <w:t>ואע"פ שלא כתב 'דחזו ליה דמות אדם' נראה לי שבכלל דחזו ליה בבואה דבבואה הוא, דכשרואים בבואה דבבואה תחלה רואים אם יש לו דמות אדם. ואפשר לומר דסבירא ליה דכיון דחזינן בבואה דבבואה תו לא צריכינן לדמות אדם, אלא שקשה דלא משמע הכי מדברי הרי"ף והרא"ש שכתבו שראו לו דמות אדם וחזו ליה נמי בבואה דבבואה, ב"י.</w:t>
      </w:r>
    </w:p>
  </w:footnote>
  <w:footnote w:id="1914">
    <w:p w14:paraId="5D365076" w14:textId="77777777" w:rsidR="009A613C" w:rsidRDefault="009A613C" w:rsidP="009A613C">
      <w:pPr>
        <w:pStyle w:val="a5"/>
        <w:rPr>
          <w:rtl/>
        </w:rPr>
      </w:pPr>
      <w:r>
        <w:rPr>
          <w:rStyle w:val="a7"/>
        </w:rPr>
        <w:footnoteRef/>
      </w:r>
      <w:r>
        <w:rPr>
          <w:rtl/>
        </w:rPr>
        <w:t xml:space="preserve"> </w:t>
      </w:r>
      <w:r w:rsidRPr="00817924">
        <w:rPr>
          <w:rFonts w:cs="Arial" w:hint="cs"/>
          <w:rtl/>
        </w:rPr>
        <w:t xml:space="preserve">וכן </w:t>
      </w:r>
      <w:r>
        <w:rPr>
          <w:rFonts w:cs="Arial" w:hint="cs"/>
          <w:rtl/>
        </w:rPr>
        <w:t xml:space="preserve">איתא </w:t>
      </w:r>
      <w:r w:rsidRPr="00817924">
        <w:rPr>
          <w:rFonts w:cs="Arial" w:hint="cs"/>
          <w:rtl/>
        </w:rPr>
        <w:t>ב</w:t>
      </w:r>
      <w:r>
        <w:rPr>
          <w:rFonts w:cs="Arial" w:hint="cs"/>
          <w:rtl/>
        </w:rPr>
        <w:t xml:space="preserve">ירושלמי </w:t>
      </w:r>
      <w:r w:rsidRPr="00817924">
        <w:rPr>
          <w:rFonts w:cs="Arial"/>
          <w:rtl/>
        </w:rPr>
        <w:t>גיטין פ"ו ה"ז</w:t>
      </w:r>
      <w:r>
        <w:rPr>
          <w:rFonts w:hint="cs"/>
          <w:rtl/>
        </w:rPr>
        <w:t>.</w:t>
      </w:r>
    </w:p>
  </w:footnote>
  <w:footnote w:id="1915">
    <w:p w14:paraId="07B999C2" w14:textId="77777777" w:rsidR="009A613C" w:rsidRDefault="009A613C" w:rsidP="009A613C">
      <w:pPr>
        <w:pStyle w:val="a5"/>
      </w:pPr>
      <w:r>
        <w:rPr>
          <w:rStyle w:val="a7"/>
        </w:rPr>
        <w:footnoteRef/>
      </w:r>
      <w:r>
        <w:rPr>
          <w:rtl/>
        </w:rPr>
        <w:t xml:space="preserve"> </w:t>
      </w:r>
      <w:r>
        <w:rPr>
          <w:rFonts w:cs="Arial"/>
          <w:rtl/>
        </w:rPr>
        <w:t>והא דאמר (מגילה ד' ג.) אל יתן אדם שלום לחברו בלילה דחיישינן שמא שד הוא היינו בשדה דומיא דיהושע שהיה חוץ למחנה ישראל..., תוס' (יבמות קכב. ד"ה דחזו ליה בבואה).</w:t>
      </w:r>
    </w:p>
  </w:footnote>
  <w:footnote w:id="1916">
    <w:p w14:paraId="56A4040B" w14:textId="77777777" w:rsidR="00FA2119" w:rsidRDefault="00FA2119" w:rsidP="00FA2119">
      <w:pPr>
        <w:pStyle w:val="a5"/>
      </w:pPr>
      <w:r>
        <w:rPr>
          <w:rStyle w:val="a7"/>
        </w:rPr>
        <w:footnoteRef/>
      </w:r>
      <w:r>
        <w:rPr>
          <w:rtl/>
        </w:rPr>
        <w:t xml:space="preserve"> </w:t>
      </w:r>
      <w:r>
        <w:rPr>
          <w:rFonts w:cs="Arial"/>
          <w:rtl/>
        </w:rPr>
        <w:t>(ט) במרדכי סוף התקבל (סי' תיט) כתב דאפשר דדוקא שאמר כל השומע קולי דיחודי יחדיה לכל מי ששומע קולו אבל אם אמר כל הרוצה לכתוב יכתוב אפשר דלא מהני דבכי האי גוונא לא מיקרי שלוחו עכ"ל. אמנם בהר"ן שם (דף תקפ"ו ע"ב) (לב: ד"ה מתני' מי) דחה סברא זו:</w:t>
      </w:r>
    </w:p>
  </w:footnote>
  <w:footnote w:id="1917">
    <w:p w14:paraId="6D3C0704" w14:textId="77777777" w:rsidR="00FA2119" w:rsidRDefault="00FA2119" w:rsidP="00FA2119">
      <w:pPr>
        <w:pStyle w:val="a5"/>
        <w:rPr>
          <w:rtl/>
        </w:rPr>
      </w:pPr>
      <w:r>
        <w:rPr>
          <w:rStyle w:val="a7"/>
        </w:rPr>
        <w:footnoteRef/>
      </w:r>
      <w:r>
        <w:rPr>
          <w:rtl/>
        </w:rPr>
        <w:t xml:space="preserve"> </w:t>
      </w:r>
      <w:r>
        <w:rPr>
          <w:rFonts w:cs="Arial"/>
          <w:rtl/>
        </w:rPr>
        <w:t>כן כתב הרמב"ם בפ"ב מהל' גירושין (שם), ונראה דיליף מדתנן בסוף יבמות (שם) מעשה בצלמין באחד שאמר אני איש פלוני בן איש פלוני ממקום פלוני נשכני נחש והריני מת והלכו ולא הכירוהו והשיאו את אשתו, ב"י.</w:t>
      </w:r>
    </w:p>
  </w:footnote>
  <w:footnote w:id="1918">
    <w:p w14:paraId="26CC99BB" w14:textId="555C8A85" w:rsidR="009A613C" w:rsidRDefault="009A613C">
      <w:pPr>
        <w:pStyle w:val="a5"/>
        <w:rPr>
          <w:rtl/>
        </w:rPr>
      </w:pPr>
      <w:r>
        <w:rPr>
          <w:rStyle w:val="a7"/>
        </w:rPr>
        <w:footnoteRef/>
      </w:r>
      <w:r>
        <w:rPr>
          <w:rtl/>
        </w:rPr>
        <w:t xml:space="preserve"> </w:t>
      </w:r>
      <w:r w:rsidRPr="009A613C">
        <w:rPr>
          <w:rFonts w:cs="Arial"/>
          <w:rtl/>
        </w:rPr>
        <w:t>רצה לומר בעיר</w:t>
      </w:r>
      <w:r>
        <w:rPr>
          <w:rFonts w:hint="cs"/>
          <w:rtl/>
        </w:rPr>
        <w:t>, פרישה (סקל"ד).</w:t>
      </w:r>
    </w:p>
  </w:footnote>
  <w:footnote w:id="1919">
    <w:p w14:paraId="32E6094F" w14:textId="77777777" w:rsidR="00FA2119" w:rsidRDefault="00FA2119" w:rsidP="00FA2119">
      <w:pPr>
        <w:pStyle w:val="a5"/>
        <w:rPr>
          <w:rtl/>
        </w:rPr>
      </w:pPr>
      <w:r>
        <w:rPr>
          <w:rStyle w:val="a7"/>
        </w:rPr>
        <w:footnoteRef/>
      </w:r>
      <w:r>
        <w:rPr>
          <w:rtl/>
        </w:rPr>
        <w:t xml:space="preserve"> </w:t>
      </w:r>
      <w:r>
        <w:rPr>
          <w:rFonts w:cs="Arial"/>
          <w:rtl/>
        </w:rPr>
        <w:t>פי' היינו דפי' שמו ושם עירו בחדושי רש"ך הביא יש מפרשים מ"ש והוא שידעו היינו שידעו שהוא אדם ולא שד, ב"ש (סקכ"ח).</w:t>
      </w:r>
    </w:p>
  </w:footnote>
  <w:footnote w:id="1920">
    <w:p w14:paraId="73FDDEE4" w14:textId="08CFCB70" w:rsidR="00402416" w:rsidRDefault="00402416" w:rsidP="00402416">
      <w:pPr>
        <w:pStyle w:val="a5"/>
      </w:pPr>
      <w:r>
        <w:rPr>
          <w:rStyle w:val="a7"/>
        </w:rPr>
        <w:footnoteRef/>
      </w:r>
      <w:r>
        <w:rPr>
          <w:rtl/>
        </w:rPr>
        <w:t xml:space="preserve"> </w:t>
      </w:r>
      <w:r>
        <w:rPr>
          <w:rFonts w:hint="cs"/>
          <w:rtl/>
        </w:rPr>
        <w:t>נראה שהשו"ע חזר בו ממה שפסק בסי' יז (ס"י) כהטור, ופסק כאן כהרמב"ם, וכמו שפירש את דבריו כאן. וכן נראה מהגר"א (סי' יז סקמ"ב). ו</w:t>
      </w:r>
      <w:r w:rsidR="002F43E6">
        <w:rPr>
          <w:rFonts w:hint="cs"/>
          <w:rtl/>
        </w:rPr>
        <w:t>כתב ה</w:t>
      </w:r>
      <w:r>
        <w:rPr>
          <w:rFonts w:hint="cs"/>
          <w:rtl/>
        </w:rPr>
        <w:t>פת"ש (</w:t>
      </w:r>
      <w:r w:rsidR="002F43E6">
        <w:rPr>
          <w:rFonts w:hint="cs"/>
          <w:rtl/>
        </w:rPr>
        <w:t xml:space="preserve">סי' יז </w:t>
      </w:r>
      <w:r>
        <w:rPr>
          <w:rFonts w:hint="cs"/>
          <w:rtl/>
        </w:rPr>
        <w:t xml:space="preserve">סקמ"ט) </w:t>
      </w:r>
      <w:r w:rsidR="000A0F5A">
        <w:rPr>
          <w:rFonts w:hint="cs"/>
          <w:rtl/>
        </w:rPr>
        <w:t>וז</w:t>
      </w:r>
      <w:r w:rsidR="000A0F5A">
        <w:rPr>
          <w:rtl/>
        </w:rPr>
        <w:t>"</w:t>
      </w:r>
      <w:r w:rsidR="000A0F5A">
        <w:rPr>
          <w:rFonts w:hint="cs"/>
          <w:rtl/>
        </w:rPr>
        <w:t>ל:</w:t>
      </w:r>
      <w:r w:rsidR="002F43E6">
        <w:rPr>
          <w:rFonts w:hint="cs"/>
          <w:rtl/>
        </w:rPr>
        <w:t xml:space="preserve"> </w:t>
      </w:r>
      <w:r w:rsidR="002F43E6" w:rsidRPr="004445AA">
        <w:rPr>
          <w:rFonts w:cs="Arial"/>
          <w:rtl/>
        </w:rPr>
        <w:t xml:space="preserve">עיין בס' מה"צ </w:t>
      </w:r>
      <w:r w:rsidR="002F43E6">
        <w:rPr>
          <w:rFonts w:cs="Arial" w:hint="cs"/>
          <w:rtl/>
        </w:rPr>
        <w:t xml:space="preserve">(סי' יז </w:t>
      </w:r>
      <w:r w:rsidR="002F43E6" w:rsidRPr="004445AA">
        <w:rPr>
          <w:rFonts w:cs="Arial"/>
          <w:rtl/>
        </w:rPr>
        <w:t>סקל"ד</w:t>
      </w:r>
      <w:r w:rsidR="002F43E6">
        <w:rPr>
          <w:rFonts w:cs="Arial" w:hint="cs"/>
          <w:rtl/>
        </w:rPr>
        <w:t>-לו)</w:t>
      </w:r>
      <w:r w:rsidR="002F43E6" w:rsidRPr="004445AA">
        <w:rPr>
          <w:rFonts w:cs="Arial"/>
          <w:rtl/>
        </w:rPr>
        <w:t xml:space="preserve"> שהאריך לתרץ קושיית האחרונים ז"ל </w:t>
      </w:r>
      <w:r w:rsidR="002F43E6">
        <w:rPr>
          <w:rFonts w:cs="Arial" w:hint="cs"/>
          <w:rtl/>
        </w:rPr>
        <w:t>(מסי' יז ס"י לבין סע' כג שם ולבין הסעיף כאן)</w:t>
      </w:r>
      <w:r w:rsidR="002F43E6" w:rsidRPr="004445AA">
        <w:rPr>
          <w:rFonts w:cs="Arial"/>
          <w:rtl/>
        </w:rPr>
        <w:t xml:space="preserve"> בפלפל עצום. ולבסוף צידד להקל בזה"ז שיש חרגמ"ה שלא לישא שתי נשים מעתה ליכא למיחש לצרה וליכא אלא חששא דשד לחוד</w:t>
      </w:r>
      <w:r w:rsidR="002F43E6">
        <w:rPr>
          <w:rFonts w:cs="Arial" w:hint="cs"/>
          <w:rtl/>
        </w:rPr>
        <w:t>,</w:t>
      </w:r>
      <w:r w:rsidR="002F43E6" w:rsidRPr="004445AA">
        <w:rPr>
          <w:rFonts w:cs="Arial"/>
          <w:rtl/>
        </w:rPr>
        <w:t xml:space="preserve"> ובחדא חששא הקילו במקום סכנה</w:t>
      </w:r>
      <w:r w:rsidR="002F43E6">
        <w:rPr>
          <w:rFonts w:cs="Arial" w:hint="cs"/>
          <w:rtl/>
        </w:rPr>
        <w:t>,</w:t>
      </w:r>
      <w:r w:rsidR="002F43E6" w:rsidRPr="004445AA">
        <w:rPr>
          <w:rFonts w:cs="Arial"/>
          <w:rtl/>
        </w:rPr>
        <w:t xml:space="preserve"> וא"כ א"צ שיראו בבואה דבבואה</w:t>
      </w:r>
      <w:r w:rsidR="002F43E6">
        <w:rPr>
          <w:rFonts w:cs="Arial" w:hint="cs"/>
          <w:rtl/>
        </w:rPr>
        <w:t>.</w:t>
      </w:r>
      <w:r w:rsidR="002F43E6" w:rsidRPr="004445AA">
        <w:rPr>
          <w:rFonts w:cs="Arial"/>
          <w:rtl/>
        </w:rPr>
        <w:t xml:space="preserve"> ועכ"פ היכא דראו בבואה דבבואה סמכינן שפיר לכ"ע ועבדינן בה עובד'</w:t>
      </w:r>
      <w:r w:rsidR="002F43E6">
        <w:rPr>
          <w:rFonts w:cs="Arial" w:hint="cs"/>
          <w:rtl/>
        </w:rPr>
        <w:t>.</w:t>
      </w:r>
      <w:r w:rsidR="002F43E6" w:rsidRPr="004445AA">
        <w:rPr>
          <w:rFonts w:cs="Arial"/>
          <w:rtl/>
        </w:rPr>
        <w:t xml:space="preserve"> אלא דמדברי הרשב"א והר"ן בגיטין משמע דחששא דשד הוא חששא קרובה טפי מחששא דצרה ויש לחוש לה בפני עצמה</w:t>
      </w:r>
      <w:r w:rsidR="002F43E6">
        <w:rPr>
          <w:rFonts w:cs="Arial" w:hint="cs"/>
          <w:rtl/>
        </w:rPr>
        <w:t>.</w:t>
      </w:r>
      <w:r w:rsidR="002F43E6" w:rsidRPr="004445AA">
        <w:rPr>
          <w:rFonts w:cs="Arial"/>
          <w:rtl/>
        </w:rPr>
        <w:t xml:space="preserve"> אבל מדברי הרי"ף והרא"ש אין זה מוכרח כמ"ש למעלה</w:t>
      </w:r>
      <w:r w:rsidR="002F43E6">
        <w:rPr>
          <w:rFonts w:cs="Arial" w:hint="cs"/>
          <w:rtl/>
        </w:rPr>
        <w:t>.</w:t>
      </w:r>
      <w:r w:rsidR="002F43E6" w:rsidRPr="004445AA">
        <w:rPr>
          <w:rFonts w:cs="Arial"/>
          <w:rtl/>
        </w:rPr>
        <w:t xml:space="preserve"> ע"כ נראה דאף בזה"ז אין להקל בלא חזו ליה בבואה דבבואה</w:t>
      </w:r>
      <w:r w:rsidR="002F43E6">
        <w:rPr>
          <w:rFonts w:cs="Arial" w:hint="cs"/>
          <w:rtl/>
        </w:rPr>
        <w:t>,</w:t>
      </w:r>
      <w:r w:rsidR="002F43E6" w:rsidRPr="004445AA">
        <w:rPr>
          <w:rFonts w:cs="Arial"/>
          <w:rtl/>
        </w:rPr>
        <w:t xml:space="preserve"> אבל בחזו ליה שפיר יש להקל בזה"ז שלא לחוש לדברי הגאון לומר שאין אנו בקיאין מטעמא דכתיבנא</w:t>
      </w:r>
      <w:r w:rsidR="002F43E6">
        <w:rPr>
          <w:rFonts w:cs="Arial" w:hint="cs"/>
          <w:rtl/>
        </w:rPr>
        <w:t>.</w:t>
      </w:r>
      <w:r w:rsidR="002F43E6" w:rsidRPr="004445AA">
        <w:rPr>
          <w:rFonts w:cs="Arial"/>
          <w:rtl/>
        </w:rPr>
        <w:t xml:space="preserve"> ובשגם הב"ח מיקל לגמרי אף בלא חזו ליה בבואה כדעת הרמב"ם והריטב"א א"כ אף אנו נסמוך להקל עכ"פ בחזו ליה בבואה דבבואה וכתב עוד מ"ש הגאון דאין אנו בקיאין בענין בד"ב לכאורה בענין זה א"צ בקיאות דמי לא ידע אם הצל ארוך ממדת גובה האדם ואולי בשאר היום קאמר בשעה שצריך הבחנה טובא להבחין ע"פ עובי הצל וקלישותו וא"כ נראה בשחרית וערבית שהצל ארוך מאד שפיר יש לסמוך גם בזה"ז בראיית בבואה דבבואה עכ"ד ע"ש</w:t>
      </w:r>
      <w:r w:rsidR="002F43E6">
        <w:rPr>
          <w:rFonts w:hint="cs"/>
          <w:rtl/>
        </w:rPr>
        <w:t>.</w:t>
      </w:r>
    </w:p>
  </w:footnote>
  <w:footnote w:id="1921">
    <w:p w14:paraId="3DFFE20F" w14:textId="77777777" w:rsidR="00FA2119" w:rsidRDefault="00FA2119" w:rsidP="00FA2119">
      <w:pPr>
        <w:pStyle w:val="a5"/>
      </w:pPr>
      <w:r>
        <w:rPr>
          <w:rStyle w:val="a7"/>
        </w:rPr>
        <w:footnoteRef/>
      </w:r>
      <w:r>
        <w:rPr>
          <w:rtl/>
        </w:rPr>
        <w:t xml:space="preserve"> </w:t>
      </w:r>
      <w:r>
        <w:rPr>
          <w:rFonts w:cs="Arial"/>
          <w:rtl/>
        </w:rPr>
        <w:t>עיין סי' י"ז סעיף י' כתב בזה"ז לא סמכי' על ראיות בואה דבואה וע"ש מ"ש, ב"ש (סקכ"ט).</w:t>
      </w:r>
    </w:p>
  </w:footnote>
  <w:footnote w:id="1922">
    <w:p w14:paraId="1C90226F" w14:textId="4C5E77DA" w:rsidR="00FA2119" w:rsidRDefault="00FA2119" w:rsidP="00FA2119">
      <w:pPr>
        <w:pStyle w:val="a5"/>
      </w:pPr>
      <w:r>
        <w:rPr>
          <w:rStyle w:val="a7"/>
        </w:rPr>
        <w:footnoteRef/>
      </w:r>
      <w:r>
        <w:rPr>
          <w:rtl/>
        </w:rPr>
        <w:t xml:space="preserve"> </w:t>
      </w:r>
      <w:r>
        <w:rPr>
          <w:rFonts w:cs="Arial"/>
          <w:rtl/>
        </w:rPr>
        <w:t>כלומר דאע</w:t>
      </w:r>
      <w:r w:rsidR="00151419">
        <w:rPr>
          <w:rFonts w:cs="Arial" w:hint="cs"/>
          <w:rtl/>
        </w:rPr>
        <w:t>"</w:t>
      </w:r>
      <w:r>
        <w:rPr>
          <w:rFonts w:cs="Arial"/>
          <w:rtl/>
        </w:rPr>
        <w:t>ג דאמר 'כל', לא הוי כאומר 'כולכם כתובו' דצריך לכתוב במעמד כולם כמו שנתבאר בסימן ק"כ (ו.), ב"י.</w:t>
      </w:r>
    </w:p>
  </w:footnote>
  <w:footnote w:id="1923">
    <w:p w14:paraId="6085ACA7" w14:textId="77777777" w:rsidR="00FA2119" w:rsidRDefault="00FA2119" w:rsidP="00FA2119">
      <w:pPr>
        <w:pStyle w:val="a5"/>
      </w:pPr>
      <w:r>
        <w:rPr>
          <w:rStyle w:val="a7"/>
        </w:rPr>
        <w:footnoteRef/>
      </w:r>
      <w:r>
        <w:rPr>
          <w:rtl/>
        </w:rPr>
        <w:t xml:space="preserve"> </w:t>
      </w:r>
      <w:r>
        <w:rPr>
          <w:rFonts w:hint="cs"/>
          <w:rtl/>
        </w:rPr>
        <w:t>לאשתי. ודברו בגמרא בלשון נקיה שלא יאמר הלומד 'לדביתי'.</w:t>
      </w:r>
    </w:p>
  </w:footnote>
  <w:footnote w:id="1924">
    <w:p w14:paraId="033D6295" w14:textId="77777777" w:rsidR="00FA2119" w:rsidRDefault="00FA2119" w:rsidP="00FA2119">
      <w:pPr>
        <w:pStyle w:val="a5"/>
      </w:pPr>
      <w:r>
        <w:rPr>
          <w:rStyle w:val="a7"/>
        </w:rPr>
        <w:footnoteRef/>
      </w:r>
      <w:r>
        <w:rPr>
          <w:rtl/>
        </w:rPr>
        <w:t xml:space="preserve"> </w:t>
      </w:r>
      <w:r>
        <w:rPr>
          <w:rFonts w:cs="Arial"/>
          <w:rtl/>
        </w:rPr>
        <w:t>דלא מקפיד בהי מינייהו ומעיקרא להאי ברא נמי שווייה שליח ועכשיו שמת האב יתנו לה הבן הזה וחבירו שהרי הלך הבעל למדינת הים, רש"י.</w:t>
      </w:r>
    </w:p>
  </w:footnote>
  <w:footnote w:id="1925">
    <w:p w14:paraId="64FB8E6C" w14:textId="77777777" w:rsidR="00FA2119" w:rsidRDefault="00FA2119" w:rsidP="00FA2119">
      <w:pPr>
        <w:pStyle w:val="a5"/>
      </w:pPr>
      <w:r>
        <w:rPr>
          <w:rStyle w:val="a7"/>
        </w:rPr>
        <w:footnoteRef/>
      </w:r>
      <w:r>
        <w:rPr>
          <w:rtl/>
        </w:rPr>
        <w:t xml:space="preserve"> </w:t>
      </w:r>
      <w:r>
        <w:rPr>
          <w:rFonts w:cs="Arial"/>
          <w:rtl/>
        </w:rPr>
        <w:t>וס"ל להב"י דנעש' הבן ואביו שלוחין בהולכה אלא דא"י לחתום האב ובנו אלא האב או הבנו עם אחר. אבל מהרש"ל ס"ל דאפילו שליח להולכה לא נעשו שניהם יחדיו שלוחין האב והבנו ולא היה דעתו אלא על א' מהם כיון דיש אחרים, ב"ש (סק"ל).</w:t>
      </w:r>
    </w:p>
  </w:footnote>
  <w:footnote w:id="1926">
    <w:p w14:paraId="2193AA18" w14:textId="77777777" w:rsidR="00FA2119" w:rsidRDefault="00FA2119" w:rsidP="00FA2119">
      <w:pPr>
        <w:pStyle w:val="a5"/>
      </w:pPr>
      <w:r>
        <w:rPr>
          <w:rStyle w:val="a7"/>
        </w:rPr>
        <w:footnoteRef/>
      </w:r>
      <w:r>
        <w:rPr>
          <w:rtl/>
        </w:rPr>
        <w:t xml:space="preserve"> </w:t>
      </w:r>
      <w:r>
        <w:rPr>
          <w:rFonts w:cs="Arial"/>
          <w:rtl/>
        </w:rPr>
        <w:t>בגט שאדם אומר במעמד רבים, ויש לחוש שמא יאמר לכולכם איכוין, ולא יחתמו כולם ונמצא גט בטל, התקין שיהו כותבין בו כך אמר לנו פלוני כתבו או כולכון או כל חד מנכון. כולכון - אחד כותב במעמד כולם. או כל חד מנכון - אפי' אין חביריו עמו</w:t>
      </w:r>
      <w:r>
        <w:rPr>
          <w:rtl/>
        </w:rPr>
        <w:t>, רש"י.</w:t>
      </w:r>
    </w:p>
  </w:footnote>
  <w:footnote w:id="1927">
    <w:p w14:paraId="38F11191" w14:textId="77777777" w:rsidR="00FA2119" w:rsidRDefault="00FA2119" w:rsidP="00FA2119">
      <w:pPr>
        <w:pStyle w:val="a5"/>
        <w:rPr>
          <w:rtl/>
        </w:rPr>
      </w:pPr>
      <w:r>
        <w:rPr>
          <w:rStyle w:val="a7"/>
        </w:rPr>
        <w:footnoteRef/>
      </w:r>
      <w:r>
        <w:rPr>
          <w:rtl/>
        </w:rPr>
        <w:t xml:space="preserve"> </w:t>
      </w:r>
      <w:r>
        <w:rPr>
          <w:rFonts w:cs="Arial"/>
          <w:rtl/>
        </w:rPr>
        <w:t>הא דכתב רבינו פרץ דבשולח גט ממקום למקום דאין צריך שטר הרשאה - כן כתב הרא"ש בריש גיטין (סי' ב) ובתשובותיו (כלל מה סי' י), וכן כתבו סמ"ג (עשין נ קלג.) וסמ"ק והגה"מ (פ"ה הט"ז, ובפ"ו ה"ג) והמרדכי בפרק התקבל (סי' תט) והגה"מ בסוף גיטין (סי' תסט), וכן נראה בהדיא מדברי הרשב"א בתשובה (ח"א סי' תקסא), וגם בסימן שאחר זה (נז.) כתב רבינו דברי הרא"ש וכתב שם שהרמ"ה כתב שאף בארץ ישראל שאין צריך לומר בפני נכתב ובפני נחתם נאמן על השליחות לומר שהבעל עשאו שליח, ב"י.</w:t>
      </w:r>
    </w:p>
  </w:footnote>
  <w:footnote w:id="1928">
    <w:p w14:paraId="133BC005" w14:textId="77777777" w:rsidR="00FA2119" w:rsidRDefault="00FA2119" w:rsidP="00FA2119">
      <w:pPr>
        <w:pStyle w:val="a5"/>
      </w:pPr>
      <w:r>
        <w:rPr>
          <w:rStyle w:val="a7"/>
        </w:rPr>
        <w:footnoteRef/>
      </w:r>
      <w:r>
        <w:rPr>
          <w:rtl/>
        </w:rPr>
        <w:t xml:space="preserve"> </w:t>
      </w:r>
      <w:r>
        <w:rPr>
          <w:rFonts w:cs="Arial"/>
          <w:rtl/>
        </w:rPr>
        <w:t>בתיקון גיטין שיכתוב ג"כ הנהרות כמו בגט. וכתב עוד שם דצריך הכינויים אצל השמות של איש ואשה כמו בגט, וכן הוא בהגמ"ר דגיטין, וכן הוא בפסקי מהרא"י (תרוה"ד ח"ב סי' טז-יז) דצריך לכתוב בהרשאה כינוי האיש והאשה אבל לא כינוי השליח. ובסדר גיטין (סי' פ ס"ב) כתב דמה"ר ז"ך היה רגיל לכתוב אף כינוי השליח, דרכ"מ (אות יב).</w:t>
      </w:r>
    </w:p>
  </w:footnote>
  <w:footnote w:id="1929">
    <w:p w14:paraId="76423935" w14:textId="77777777" w:rsidR="00FA2119" w:rsidRDefault="00FA2119" w:rsidP="00FA2119">
      <w:pPr>
        <w:pStyle w:val="a5"/>
        <w:rPr>
          <w:rtl/>
        </w:rPr>
      </w:pPr>
      <w:r>
        <w:rPr>
          <w:rStyle w:val="a7"/>
        </w:rPr>
        <w:footnoteRef/>
      </w:r>
      <w:r>
        <w:rPr>
          <w:rFonts w:cs="Arial"/>
          <w:rtl/>
        </w:rPr>
        <w:t xml:space="preserve"> בהגמ"ר דגיטין (סי' תסט) ואם היה תנאי בגט יכתוב התנאי בהרשאה בכאן קודם שיכתוב ותהא ידך כידי וכו'. עוד שם שיכתוב ג"כ דיבורך כדיבורי, דרכ"מ (אות יב*).</w:t>
      </w:r>
    </w:p>
  </w:footnote>
  <w:footnote w:id="1930">
    <w:p w14:paraId="6599ABB3" w14:textId="77777777" w:rsidR="00FA2119" w:rsidRDefault="00FA2119" w:rsidP="00FA2119">
      <w:pPr>
        <w:pStyle w:val="a5"/>
        <w:rPr>
          <w:rtl/>
        </w:rPr>
      </w:pPr>
      <w:r>
        <w:rPr>
          <w:rStyle w:val="a7"/>
        </w:rPr>
        <w:footnoteRef/>
      </w:r>
      <w:r>
        <w:rPr>
          <w:rtl/>
        </w:rPr>
        <w:t xml:space="preserve"> </w:t>
      </w:r>
      <w:r>
        <w:rPr>
          <w:rFonts w:cs="Arial"/>
          <w:rtl/>
        </w:rPr>
        <w:t>בתיקון גיטין שלנו לעשות שליח בחריקך ושלוחך שליח ושליח אחר שליח עד מאה. ונראה דיש ליזהר שלא יכתוב סתם 'ואני נותן לך רשות לעשות שליח עד מאה שלוחים' כי אז היה משמע הכל על שליח הראשון שיכול לעשות מאה שלוחים ולא היה משמע ששליח עושה שליח עד מאה, וכעין זה כתב הר"ן בכתובות ר"פ הכותב (מא: ד"ה ת"ר) וכתבתי דבריו לעיל סימן קל"ד (דרכמ"א ד"ה וכן עמא דבר) לענין מודעי, דרכ"מ (אות יג).</w:t>
      </w:r>
    </w:p>
  </w:footnote>
  <w:footnote w:id="1931">
    <w:p w14:paraId="535CDF32" w14:textId="77777777" w:rsidR="00FA2119" w:rsidRDefault="00FA2119" w:rsidP="00FA2119">
      <w:pPr>
        <w:pStyle w:val="a5"/>
      </w:pPr>
      <w:r>
        <w:rPr>
          <w:rStyle w:val="a7"/>
        </w:rPr>
        <w:footnoteRef/>
      </w:r>
      <w:r>
        <w:rPr>
          <w:rtl/>
        </w:rPr>
        <w:t xml:space="preserve"> </w:t>
      </w:r>
      <w:r>
        <w:rPr>
          <w:rFonts w:cs="Arial"/>
          <w:rtl/>
        </w:rPr>
        <w:t>ובסדר הגט (סי' עה) כתב גם כאן עד מאה שלוחים. וכתב עוד כאן ומיד שיגיע הגט לידה תהא מגורשת ממני ומותרת לכל אדם. וכ"כ ב"י (עמ' רלז ד"ה בנוסח שטר) שצריך לכתוב לשון זה. וב"י מוסיף עוד שיכתוב מיד שיגיע הגט לידה מידך או מיד שלוחך או מיד שליח שלוחך תהא מותרת לכל אדם. וכתב בהגמ"ר דגיטין וכאן יחזור ויכתוב התנאי אם היה תנאי בגט, דרכ"מ (אות יד).</w:t>
      </w:r>
    </w:p>
  </w:footnote>
  <w:footnote w:id="1932">
    <w:p w14:paraId="2CEB73F5" w14:textId="77777777" w:rsidR="00FA2119" w:rsidRDefault="00FA2119" w:rsidP="00FA2119">
      <w:pPr>
        <w:pStyle w:val="a5"/>
      </w:pPr>
      <w:r>
        <w:rPr>
          <w:rStyle w:val="a7"/>
        </w:rPr>
        <w:footnoteRef/>
      </w:r>
      <w:r>
        <w:rPr>
          <w:rFonts w:cs="Arial"/>
          <w:rtl/>
        </w:rPr>
        <w:t xml:space="preserve"> בתיקון הגט ויכתוב כאן הנהרות כמו בגט, דרכ"מ (אות יד*).</w:t>
      </w:r>
    </w:p>
  </w:footnote>
  <w:footnote w:id="1933">
    <w:p w14:paraId="5FCC3BF8" w14:textId="77777777" w:rsidR="00FA2119" w:rsidRDefault="00FA2119" w:rsidP="00FA2119">
      <w:pPr>
        <w:pStyle w:val="a5"/>
      </w:pPr>
      <w:r>
        <w:rPr>
          <w:rStyle w:val="a7"/>
        </w:rPr>
        <w:footnoteRef/>
      </w:r>
      <w:r>
        <w:rPr>
          <w:rFonts w:cs="Arial"/>
          <w:rtl/>
        </w:rPr>
        <w:t xml:space="preserve"> ובתיקון ויכתוב כאן ג"כ הכינויין, דרכ"מ (אות טו).</w:t>
      </w:r>
    </w:p>
  </w:footnote>
  <w:footnote w:id="1934">
    <w:p w14:paraId="39257B40" w14:textId="77777777" w:rsidR="00FA2119" w:rsidRDefault="00FA2119" w:rsidP="00FA2119">
      <w:pPr>
        <w:pStyle w:val="a5"/>
      </w:pPr>
      <w:r>
        <w:rPr>
          <w:rStyle w:val="a7"/>
        </w:rPr>
        <w:footnoteRef/>
      </w:r>
      <w:r>
        <w:rPr>
          <w:rFonts w:cs="Arial"/>
          <w:rtl/>
        </w:rPr>
        <w:t xml:space="preserve"> בתיקון גט כתב בחרם ובשבועה דאורייתא, ואם המגרש משומד יכתוב ג"כ בחלק לעולם הבא, דרכ"מ (אות טז). </w:t>
      </w:r>
    </w:p>
  </w:footnote>
  <w:footnote w:id="1935">
    <w:p w14:paraId="6DF61E23" w14:textId="77777777" w:rsidR="00FA2119" w:rsidRDefault="00FA2119" w:rsidP="00FA2119">
      <w:pPr>
        <w:pStyle w:val="a5"/>
        <w:rPr>
          <w:rtl/>
        </w:rPr>
      </w:pPr>
      <w:r>
        <w:rPr>
          <w:rStyle w:val="a7"/>
        </w:rPr>
        <w:footnoteRef/>
      </w:r>
      <w:r>
        <w:rPr>
          <w:rtl/>
        </w:rPr>
        <w:t xml:space="preserve"> </w:t>
      </w:r>
      <w:r>
        <w:rPr>
          <w:rFonts w:cs="Arial"/>
          <w:rtl/>
        </w:rPr>
        <w:t>בסדר גט (סי' עג ס"ד) ועדי הרשאה לא יהיו קרובים זה לזה ולא לאיש ולא לאשה. וכתב שם סימן פ"ב דפעם אחת לא היו עדי הרשאה כשרים והיו פסולים זה לזה ופסלו הגט והשליחות והצריכו גט אחר. ונראה דדוקא כשאירע פסול בעדים אז כל השליחות בטל משום דעדי הרשאה הם עדי השליחות, ר"ל שהבעל ממנה השליח בפניהם, ולכן כל השליחות בטל אבל אם אירע פסול אחר בהרשאה אין השליחות בטל משום זה אלא הוי כמי שאין לו הרשאה שכבר נתבאר דינו למעלה (אות יא). וכן הביא בבנימן זאב סימן ק"ז מעשה כזה.</w:t>
      </w:r>
      <w:r>
        <w:rPr>
          <w:color w:val="00B0F0"/>
          <w:rtl/>
        </w:rPr>
        <w:t xml:space="preserve"> (וכ"פ בהג"ה)</w:t>
      </w:r>
      <w:r>
        <w:rPr>
          <w:rFonts w:cs="Arial"/>
          <w:rtl/>
        </w:rPr>
        <w:t>. וכתב עוד בסדר גיטין (סי' פב) פעם אחת עשה מה"ר ז"ך מעשה בעדים שחתמו הגט וחתמו ג"כ על ההרשאה והצריך לכתוב אחר, ועדים אחרים על ההרשאה, כי לא רצה לשנות לשון ההרשאה עכ"ל. וכתב עוד בסדר גיטין (סי' עז ס"ב) יש נוהגין לקיים ההרשאה בשלשה אע"פ שאין ניכר אלא חתימת האחד, ויש נוהגין שאין מקיים אלא הרב המסדרו. וכתב בסימן צ"ז (ס"א) אם נמצא ההנפק פסול, אם יש עדים אחרים כשרים המכירים חתימות העדים ההרשאה כשרה, ופשוט הוא. וכתב עוד בסדר גיטין (סי' פ ס"א) דמה"ר ז"ך היה רגיל לכתוב להרב, שהגט יהא ניתן לפניו, כתב מלבד ההרשאה, והיה כותב לו כל שינויי הגט אם נהגו בדברים אחרים באותה העיר, כגון ימחא בא' או כיוצא בזה, כדי שלא יהא נדחה נתינת הגט. וכתב עוד שם סי' קג (ס"א) דאם עדי הגט ועדי הרשאה קרובים זה לזה השליחות בטל, וצריך לחקור אחר זה, דרכ"מ (אות יז).</w:t>
      </w:r>
      <w:r>
        <w:rPr>
          <w:rtl/>
        </w:rPr>
        <w:t xml:space="preserve"> </w:t>
      </w:r>
      <w:r>
        <w:rPr>
          <w:color w:val="00B0F0"/>
          <w:rtl/>
        </w:rPr>
        <w:t>(וכ"כ בהג"ה)</w:t>
      </w:r>
    </w:p>
  </w:footnote>
  <w:footnote w:id="1936">
    <w:p w14:paraId="15EF2765" w14:textId="77777777" w:rsidR="00FA2119" w:rsidRDefault="00FA2119" w:rsidP="00FA2119">
      <w:pPr>
        <w:pStyle w:val="a5"/>
        <w:rPr>
          <w:rtl/>
        </w:rPr>
      </w:pPr>
      <w:r>
        <w:rPr>
          <w:rStyle w:val="a7"/>
        </w:rPr>
        <w:footnoteRef/>
      </w:r>
      <w:r>
        <w:rPr>
          <w:rtl/>
        </w:rPr>
        <w:t xml:space="preserve"> </w:t>
      </w:r>
      <w:r>
        <w:rPr>
          <w:rFonts w:cs="Arial"/>
          <w:rtl/>
        </w:rPr>
        <w:t>בסדר גיטין (סי' עג ס"ב) ועדי ההרשאה יהיו עדי מסירה שמעידים בהרשאה שראו מסירת הגט, והם (שם ס"א) עדים על הגט ועל העדים החתומים בו. ולפי מה שנוהגים שעדי חתימה הם עדי מסירה (ב"י וד"מ סוף סי' קלג) אי אפשר שיהיו הם עדי הרשאה כמו שנתבאר בסמוך (אות יז). עוד שם (סי' עד סי"א) בשעה שהשליח מקבל הגט צריך לקבלו כמו האשה בעצמה וכך יאמר לו הבעל בשעת מסירה אתה פלוני בן פלוני המכונה פלוני הולך גט זה לאשתי פלונית בת פלוני המכונה פ' [עי' הגהות והערות לטור השלם אות סו] ותהא ידך כידי ועשייתך כעשייתי ופיך כפי ודיבורך כדיבורי ואני נותן לך רשות לעשות שליח ושלוחך שליח עד מאה שלוחים ותן גט זה לידה בכל מקום שתמצאנה אתה או שלוחך ושליח שלוחך אפילו עד מאה שלוחים ובו תהא מגורשת ממני ומותרת לכל אדם עכ"ל. ובהגמ"ר דגיטין (סי' תסט) דגבי דיבורך כדיבורי יאמר ג"כ ושלוחך כשלוחי. ועוד שם דיפרש שיוכל השליח לעשות שליח בלא אונס וכן השליח השני לשלישי. ועוד שם ואם היה תנאי בגט יפרש בשעת מסירה על תנאי כך וכך. ובסדר גיטין (סי' עד סי"ב וסט"ו) ולאחר המסירה יחזור ויקרא הגט וכופלו כאגרת ונותנו לשליח ואח"כ יכתוב ההרשאה אבל לא קודם לכן משום דמיחזי כשיקרא אם יכתוב תחלה בפנינו מסר וכו', דרכ"מ (אות יח).</w:t>
      </w:r>
    </w:p>
  </w:footnote>
  <w:footnote w:id="1937">
    <w:p w14:paraId="12C6F8C7" w14:textId="77777777" w:rsidR="00FA2119" w:rsidRDefault="00FA2119" w:rsidP="00FA2119">
      <w:pPr>
        <w:pStyle w:val="a5"/>
        <w:rPr>
          <w:rtl/>
        </w:rPr>
      </w:pPr>
      <w:r>
        <w:rPr>
          <w:rStyle w:val="a7"/>
        </w:rPr>
        <w:footnoteRef/>
      </w:r>
      <w:r>
        <w:rPr>
          <w:rtl/>
        </w:rPr>
        <w:t xml:space="preserve"> </w:t>
      </w:r>
      <w:r>
        <w:rPr>
          <w:rFonts w:cs="Arial"/>
          <w:rtl/>
        </w:rPr>
        <w:t>בסדר גיטין (סי' עג ס"ג) כתב וימנה הבעל לשליח קודם כל דבר, אפילו קודם שיצוה לסופר לכתוב, כדי שיהא שליח בשעת כתיבה וחתימה ויוכל לומר בפני נכתב ובפני נחתם בשליחות הבעל, דשליח מהימן ולא אחר. וכך (שם סי' עד ס"א) יאמר הבעל לשליח לפני העדים: הנני פלוני בן פלוני המכונה פלוני ממנה אותך פלוני בן פלוני המכונה פלוני להיות שלוחי להוליך גט לאשתי פלונית בת פלוני המכונה פ' אתה או שלוחך או שליח שלוחך ושליח אחר שליח עד מאה שלוחים ותהא ידך כידי ועשייתך כעשייתי ופיך כפי ודיבורך כדיבורי ובו תהא מגורשת ממני ומותרת לכל אדם. ואח"כ (שם ס"ד) מצוה הבעל לסופר לכתוב ולעדים לחתום ומבטלין מודעות ושבועות קודם הכתיבה כאילו היתה האשה בעצמה בכאן, ועיין לקמן סימן קנ"ד (עמ' שטז) , דרכ"מ (אות יט).</w:t>
      </w:r>
    </w:p>
  </w:footnote>
  <w:footnote w:id="1938">
    <w:p w14:paraId="7642AEC6" w14:textId="77777777" w:rsidR="00FA2119" w:rsidRDefault="00FA2119" w:rsidP="00FA2119">
      <w:pPr>
        <w:pStyle w:val="a5"/>
      </w:pPr>
      <w:r>
        <w:rPr>
          <w:rStyle w:val="a7"/>
        </w:rPr>
        <w:footnoteRef/>
      </w:r>
      <w:r>
        <w:rPr>
          <w:rtl/>
        </w:rPr>
        <w:t xml:space="preserve"> </w:t>
      </w:r>
      <w:r>
        <w:rPr>
          <w:rFonts w:cs="Arial"/>
          <w:rtl/>
        </w:rPr>
        <w:t>לעיל (אות טז) כתבתי דכותבין בהרשאה ג"כ שבועה דאורייתא ואם משומד כותבין בחלק לעולם הבא לכן יש לעשות ולקבל עליו כזה, דרכ"מ (אות כ).</w:t>
      </w:r>
    </w:p>
  </w:footnote>
  <w:footnote w:id="1939">
    <w:p w14:paraId="7737E2E1" w14:textId="77777777" w:rsidR="00FA2119" w:rsidRDefault="00FA2119" w:rsidP="00FA2119">
      <w:pPr>
        <w:pStyle w:val="a5"/>
      </w:pPr>
      <w:r>
        <w:rPr>
          <w:rStyle w:val="a7"/>
        </w:rPr>
        <w:footnoteRef/>
      </w:r>
      <w:r>
        <w:rPr>
          <w:rtl/>
        </w:rPr>
        <w:t xml:space="preserve"> </w:t>
      </w:r>
      <w:r>
        <w:rPr>
          <w:rFonts w:cs="Arial"/>
          <w:rtl/>
        </w:rPr>
        <w:t>ועיין לקמן סימן קמ"ב (עמ' רס) סדר נתינתו ליד האשה. ובהגמ"ר (סי' תסט) דצריך לפרש התנאי בשעת הנתינה אם היה שם תנאי. ושם (בהגמ"ר) דהבית דין שנותן לאשה הגט בפניהם צריכין למיקרייה קודם הנתינה, וכן הוא לעיל סימן ק"מ (עמ' רכב) דכל דין האיש עם האשה יש לשליח עם האשה, ועיין לקמן סימן קמ"ב, דרכ"מ (אות כא).</w:t>
      </w:r>
    </w:p>
  </w:footnote>
  <w:footnote w:id="1940">
    <w:p w14:paraId="3607C2CE" w14:textId="77777777" w:rsidR="00FA2119" w:rsidRDefault="00FA2119" w:rsidP="00FA2119">
      <w:pPr>
        <w:pStyle w:val="a5"/>
      </w:pPr>
      <w:r>
        <w:rPr>
          <w:rStyle w:val="a7"/>
        </w:rPr>
        <w:footnoteRef/>
      </w:r>
      <w:r>
        <w:rPr>
          <w:rtl/>
        </w:rPr>
        <w:t xml:space="preserve"> </w:t>
      </w:r>
      <w:r>
        <w:rPr>
          <w:rFonts w:cs="Arial"/>
          <w:rtl/>
        </w:rPr>
        <w:t>והקשה הב"י- למה לי עדים שהיה שליח הרי נאמן הוא בכך, שהרי בסימן שאחר זה (נז.) כתב רבינו דברי הרא"ש וכתב שם שהרמ"ה כתב שאף בארץ ישראל שאין צריך לומר בפני נכתב ובפני נחתם נאמן על השליחות לומר שהבעל עשאו שליח... ואפשר דהכי קאמר- אם עשאו שליח בעדים, דאם עשאו שליח שלא בעדים אע"פ שהשליח והמשלח מודים בשליחות לא מהני מידי לדעת הרא"ש וכמו שכתב רבינו לעיל בסימן זה (סע' יא). אי נמי דהרא"ש פליג אהרמ"ה וסבירא ליה דכל היכא שאין אנו סומכין על דברי השליח שאומר בפני נכתב ובפני נחתם, כגון בארץ ישראל או בחוצה לארץ ולא נכתב ונחתם בפניו והוא מתקיים בחותמיו - אינו נאמן לומר שהוא שליח הגט. וקצת הוכחה יש לזה בדברי הרא"ש בריש גיטין, ומשום הכי כתב באותה תשובה אם יש עדים ששמעון בנה היה שליח של הבעל לומר דאפילו לא נכתב בפניו אלא שמתקיים בחותמיו לא יועיל ביטול הבעל.</w:t>
      </w:r>
    </w:p>
  </w:footnote>
  <w:footnote w:id="1941">
    <w:p w14:paraId="62C9366B" w14:textId="77777777" w:rsidR="00FA2119" w:rsidRDefault="00FA2119" w:rsidP="00FA2119">
      <w:pPr>
        <w:pStyle w:val="a5"/>
      </w:pPr>
      <w:r>
        <w:rPr>
          <w:rStyle w:val="a7"/>
        </w:rPr>
        <w:footnoteRef/>
      </w:r>
      <w:r>
        <w:t xml:space="preserve"> </w:t>
      </w:r>
      <w:r>
        <w:rPr>
          <w:rFonts w:cs="Arial"/>
          <w:rtl/>
        </w:rPr>
        <w:t>ועיין בתשובת מוהר"ם פאדו"ה סימן ד' בדין הרשאה הנמצאת פסולה</w:t>
      </w:r>
      <w:r>
        <w:rPr>
          <w:rtl/>
        </w:rPr>
        <w:t>, דרכ"מ</w:t>
      </w:r>
      <w:r>
        <w:rPr>
          <w:rFonts w:hint="cs"/>
        </w:rPr>
        <w:t xml:space="preserve"> </w:t>
      </w:r>
      <w:r>
        <w:rPr>
          <w:rtl/>
        </w:rPr>
        <w:t>(אות יא).</w:t>
      </w:r>
    </w:p>
  </w:footnote>
  <w:footnote w:id="1942">
    <w:p w14:paraId="5C39A20D" w14:textId="77777777" w:rsidR="00FA2119" w:rsidRDefault="00FA2119" w:rsidP="00FA2119">
      <w:pPr>
        <w:pStyle w:val="a5"/>
        <w:rPr>
          <w:rtl/>
        </w:rPr>
      </w:pPr>
      <w:r>
        <w:rPr>
          <w:rStyle w:val="a7"/>
        </w:rPr>
        <w:footnoteRef/>
      </w:r>
      <w:r>
        <w:rPr>
          <w:rtl/>
        </w:rPr>
        <w:t xml:space="preserve"> </w:t>
      </w:r>
      <w:r>
        <w:rPr>
          <w:rFonts w:cs="Arial"/>
          <w:rtl/>
        </w:rPr>
        <w:t>אבל בשליח קבלה צריך, ומחמירים בקיום דידי' כמ"ש בסמוך, משום דשליח הולכה שאני הואיל והאמינוהו חז"ל לומר ב"נ וב"נ נאמן לומר שעשאו לש"ה משא"כ ש"ק, ב"ש (סקל"ב).</w:t>
      </w:r>
    </w:p>
  </w:footnote>
  <w:footnote w:id="1943">
    <w:p w14:paraId="2A0ABE3E" w14:textId="77777777" w:rsidR="00FA2119" w:rsidRDefault="00FA2119" w:rsidP="00FA2119">
      <w:pPr>
        <w:pStyle w:val="a5"/>
      </w:pPr>
      <w:r>
        <w:rPr>
          <w:rStyle w:val="a7"/>
        </w:rPr>
        <w:footnoteRef/>
      </w:r>
      <w:r>
        <w:rPr>
          <w:rtl/>
        </w:rPr>
        <w:t xml:space="preserve"> </w:t>
      </w:r>
      <w:r>
        <w:rPr>
          <w:rFonts w:cs="Arial"/>
          <w:rtl/>
        </w:rPr>
        <w:t xml:space="preserve">עיין מהריב"ל (סי' א כלל ד סי' כב) שדייק מלשון ר"פ והשו"ע </w:t>
      </w:r>
      <w:r>
        <w:rPr>
          <w:rFonts w:cs="Arial"/>
          <w:sz w:val="16"/>
          <w:szCs w:val="16"/>
          <w:rtl/>
        </w:rPr>
        <w:t xml:space="preserve">{ממש"כ- א"צ אלא לפי שכתוב בה שנותן הבעל רשות...} </w:t>
      </w:r>
      <w:r>
        <w:rPr>
          <w:rFonts w:cs="Arial"/>
          <w:rtl/>
        </w:rPr>
        <w:t>דלזה השטר הרשאה הכרחי ובדבורו אינו נאמן, ולפ"ז ה"ה אם ההרשאה אינה מקויימת אינו נאמן כו' וצריך שטר הרשאה שיכירו חתימת העדים כו' ע"ש. ועיין בס' ב"מ שכ' עליו המעיין בתשו' הרשב"ץ ימצא מקום להקל אם ההרשאה מעשה ב"ד כנהוג. גם דיוקו דמהריב"ל מלשון הר"פ והש"ע כאן יש לדחות, דאף דמשמע דבדבורו אינו נאמן מ"מ כשיש בידו הרשאה ונזכר בתוכה רשות זה, כבר יש חזקה דעדים החתומים כו' ונאמן שוב לקיימו כדכתב הרא"ש ז"ל. ובפרט לדידן שכבר הענין מתוקן הכי בכל השטרות הרוב מסייע לו, וע' סעיף ל"ח וצ"ע. עכ"ד. ועיין בספר גט מקושר (סג"ש אות כ) חולק לגמרי על מהריב"ל הנ"ל וכתב ולפע"ד פשוט אם נאמן על עיקר הגט והשליחות וסמכינן עליו שהגט מקויים, כ"ש שיש להאמין על הרשות לעשות שליח כו', ומ"ש שתקנו הרשאה לפי שכתוב בה שנותן הבעל רשות כו' היינו משום דלפעמים לא רמיא עלי' דשליח לזכור שזכר לו בפירוש הרשות לעשות שליח אחר, וכשיש עמו הרשאה יוכל לסמוך על זה כו' ע"ש</w:t>
      </w:r>
      <w:r>
        <w:rPr>
          <w:rtl/>
        </w:rPr>
        <w:t>, פת"ש (סקי"א).</w:t>
      </w:r>
    </w:p>
  </w:footnote>
  <w:footnote w:id="1944">
    <w:p w14:paraId="79310B1D" w14:textId="77777777" w:rsidR="00FA2119" w:rsidRDefault="00FA2119" w:rsidP="00FA2119">
      <w:pPr>
        <w:pStyle w:val="a5"/>
        <w:rPr>
          <w:rtl/>
        </w:rPr>
      </w:pPr>
      <w:r>
        <w:rPr>
          <w:rStyle w:val="a7"/>
        </w:rPr>
        <w:footnoteRef/>
      </w:r>
      <w:r>
        <w:rPr>
          <w:rtl/>
        </w:rPr>
        <w:t xml:space="preserve"> </w:t>
      </w:r>
      <w:r>
        <w:rPr>
          <w:rFonts w:cs="Arial"/>
          <w:rtl/>
        </w:rPr>
        <w:t>עיין בתשובת חמדת שלמה (סי' עו) אודות הגט עוזב דת שהביא השליח בלי הרשאה, וכתב דיש לפקפק טובא דבעוזבים דת היוצאים מן הכלל שיש להם דין להכעיס</w:t>
      </w:r>
      <w:r>
        <w:rPr>
          <w:rFonts w:cs="Arial"/>
          <w:sz w:val="16"/>
          <w:szCs w:val="16"/>
          <w:rtl/>
        </w:rPr>
        <w:t xml:space="preserve"> (כמ"ש התוס' פא"מ כו: ד"ה אני)</w:t>
      </w:r>
      <w:r>
        <w:rPr>
          <w:rFonts w:cs="Arial"/>
          <w:rtl/>
        </w:rPr>
        <w:t xml:space="preserve"> איכא למיחש שמסר לו גט פסול כו' ע"ש, פת"ש (סקי"ב).</w:t>
      </w:r>
    </w:p>
  </w:footnote>
  <w:footnote w:id="1945">
    <w:p w14:paraId="69845962" w14:textId="77777777" w:rsidR="00FA2119" w:rsidRDefault="00FA2119" w:rsidP="00FA2119">
      <w:pPr>
        <w:pStyle w:val="a5"/>
        <w:rPr>
          <w:rtl/>
        </w:rPr>
      </w:pPr>
      <w:r>
        <w:rPr>
          <w:rStyle w:val="a7"/>
        </w:rPr>
        <w:footnoteRef/>
      </w:r>
      <w:r>
        <w:rPr>
          <w:rtl/>
        </w:rPr>
        <w:t xml:space="preserve"> </w:t>
      </w:r>
      <w:r>
        <w:rPr>
          <w:rFonts w:cs="Arial"/>
          <w:rtl/>
        </w:rPr>
        <w:t>משמע אם שינה דינו כמו בר"ת וכשר, ב"ש (סקל"ג). ועיין בתשובת ב"ח החדשות (סי' פז)..., פת"ש (סקי"ג).</w:t>
      </w:r>
    </w:p>
  </w:footnote>
  <w:footnote w:id="1946">
    <w:p w14:paraId="1565FC91" w14:textId="77777777" w:rsidR="00FA2119" w:rsidRDefault="00FA2119" w:rsidP="00FA2119">
      <w:pPr>
        <w:pStyle w:val="a5"/>
      </w:pPr>
      <w:r>
        <w:rPr>
          <w:rStyle w:val="a7"/>
        </w:rPr>
        <w:footnoteRef/>
      </w:r>
      <w:r>
        <w:rPr>
          <w:rtl/>
        </w:rPr>
        <w:t xml:space="preserve"> </w:t>
      </w:r>
      <w:r>
        <w:rPr>
          <w:rFonts w:cs="Arial"/>
          <w:rtl/>
        </w:rPr>
        <w:t>כתב בתשובת מהר"מ מינץ (סי' כא) דבדיעבד אין לפסול אם עידי הרשאה קרובים לעידי הגט, משום שעידי הגט מעידים על הגט ועידי הרשאה מעידים על שליחות של זה, ב"ש (סקל"ד).</w:t>
      </w:r>
    </w:p>
  </w:footnote>
  <w:footnote w:id="1947">
    <w:p w14:paraId="0496F2BD" w14:textId="77777777" w:rsidR="00FA2119" w:rsidRDefault="00FA2119" w:rsidP="00FA2119">
      <w:pPr>
        <w:pStyle w:val="a5"/>
      </w:pPr>
      <w:r>
        <w:rPr>
          <w:rStyle w:val="a7"/>
        </w:rPr>
        <w:footnoteRef/>
      </w:r>
      <w:r>
        <w:rPr>
          <w:rtl/>
        </w:rPr>
        <w:t xml:space="preserve"> </w:t>
      </w:r>
      <w:r>
        <w:rPr>
          <w:rFonts w:cs="Arial"/>
          <w:rtl/>
        </w:rPr>
        <w:t xml:space="preserve">אע"ג כשאין בידו הרשאה נאמן לומר שהוא ש"ה, מ"מ בכה"ג שנעשה לפני פסולים גרע טפי והוי כאלו מכחישים אותו כי כל דבר הנעשה לפני פסולים נתבטל אותו דבר, ולכאורה נראה דלא נתבטל אלא השליחות ואם חזר והביא הרשאה אחרת </w:t>
      </w:r>
      <w:r>
        <w:rPr>
          <w:rFonts w:cs="Arial"/>
          <w:sz w:val="16"/>
          <w:szCs w:val="16"/>
          <w:rtl/>
        </w:rPr>
        <w:t xml:space="preserve">{היינו שממנה אותו הבעל מחדש להיות שליח לפני עדים כשרים </w:t>
      </w:r>
      <w:r>
        <w:rPr>
          <w:rFonts w:cs="Arial"/>
          <w:color w:val="00B0F0"/>
          <w:sz w:val="16"/>
          <w:szCs w:val="16"/>
          <w:rtl/>
        </w:rPr>
        <w:t>(ע' בס"ק שאחר זה)</w:t>
      </w:r>
      <w:r>
        <w:rPr>
          <w:rFonts w:cs="Arial"/>
          <w:sz w:val="16"/>
          <w:szCs w:val="16"/>
          <w:rtl/>
        </w:rPr>
        <w:t xml:space="preserve">, א"נ שמביא מעשה ב"ד שנעשה שליח לפני ב"ד ג"כ מהני דאין הב"ד נפסלין ע"י צירוף קרוב או פסול  כמו שהארכתי במקום אחר [בנה"מ סי' לו], תו"ג} </w:t>
      </w:r>
      <w:r>
        <w:rPr>
          <w:rFonts w:cs="Arial"/>
          <w:rtl/>
        </w:rPr>
        <w:t xml:space="preserve">כשר הגט. אלא בד"מ כתב בשם סדר הגט דהגט פסול. ואפשר משום דמוכח דמסדרי גט היו עמי הארץ משום הכי פוסל הגט כמ"ש לקמן, </w:t>
      </w:r>
      <w:r>
        <w:rPr>
          <w:rFonts w:cs="Arial"/>
          <w:b/>
          <w:bCs/>
          <w:rtl/>
        </w:rPr>
        <w:t>ב"ש</w:t>
      </w:r>
      <w:r>
        <w:rPr>
          <w:rFonts w:cs="Arial"/>
          <w:rtl/>
        </w:rPr>
        <w:t xml:space="preserve"> (סקל"ה). ועיין בס' גט מקושר (סג"ש אות ה) שכ' על סוף דברי הב"ש- ואינו נראה </w:t>
      </w:r>
      <w:r>
        <w:rPr>
          <w:rFonts w:cs="Arial"/>
          <w:sz w:val="16"/>
          <w:szCs w:val="16"/>
          <w:rtl/>
        </w:rPr>
        <w:t>{דפסל משום דבעמי הארץ עסקינן}</w:t>
      </w:r>
      <w:r>
        <w:rPr>
          <w:rFonts w:cs="Arial"/>
          <w:rtl/>
        </w:rPr>
        <w:t xml:space="preserve">, דמי לא עסקינן שנתברר הפסול אח"כ שנודע עליהם גניבה או שאר פסול או קורבא?! אלא נראה דס"ל כיון דהרשאה הראשונה היתה פסולה צריך להמנות השליח מחדש בפני עדים כשרים וכיון שהשליח במקום האשה ס"ל דאין ממנין שליח בכתב כנזכר בסעיף ל"ה, אבל אם מחזיר השליח הגט לבעל שפיר הי' יכול למנותו מחדש, אלא דלפ"ז ה"ל מוקדם ובגט מוקדם מחמרינן שלא לשלחו אף ע"י שליח כמ"ש רמ"א בסי' קכ"ז ס"ה, ואין לומר אכתי משכחת לה שהיו עוד עדים בשעת מינוי השליחות והם היו כשרים, י"ל דלא מכשרינן לי' על ידם דשמא כיוונו להעיד ג"כ ונתבטל גם צירופן ולכן הוא פסול בכל גווני, אמנם אם הוא במקום קרוב שאפשר (באותו יום) להחזירו לבעל ושיחזור וימנה אותו ויתן לו הרשאה בעדים כשרים יש להכשיר בודאי כיון שלא נעשה מוקדם בחזרתו ליד הבעל כן נ"ל עכ"ל, </w:t>
      </w:r>
      <w:r>
        <w:rPr>
          <w:rFonts w:cs="Arial"/>
          <w:b/>
          <w:bCs/>
          <w:rtl/>
        </w:rPr>
        <w:t>פת"ש</w:t>
      </w:r>
      <w:r>
        <w:rPr>
          <w:rFonts w:cs="Arial"/>
          <w:rtl/>
        </w:rPr>
        <w:t xml:space="preserve"> (סקט"ו).</w:t>
      </w:r>
    </w:p>
  </w:footnote>
  <w:footnote w:id="1948">
    <w:p w14:paraId="2DEAE8A5" w14:textId="77777777" w:rsidR="00FA2119" w:rsidRDefault="00FA2119" w:rsidP="00FA2119">
      <w:pPr>
        <w:pStyle w:val="a5"/>
      </w:pPr>
      <w:r>
        <w:rPr>
          <w:rStyle w:val="a7"/>
        </w:rPr>
        <w:footnoteRef/>
      </w:r>
      <w:r>
        <w:rPr>
          <w:rtl/>
        </w:rPr>
        <w:t xml:space="preserve"> </w:t>
      </w:r>
      <w:r>
        <w:rPr>
          <w:rFonts w:cs="Arial"/>
          <w:rtl/>
        </w:rPr>
        <w:t xml:space="preserve">ועיין בטור שם משמע מדברי הרי"ף אפי' אינן מכירים שום חתימה כשר. ובתשובת רש"ך הקשה בממ"נ אם צריך קיום א"כ צריכין לקיים כל החתימות ואם א"צ קיום למה לי הרשאה. ובדרישה וב"ח (בק"א) כתבו באמת ע"פ הדין א"צ הרשאה כי הוא נאמן לומר דהוא ש"ה אלא הואיל בכל שליחות צריך הרשאה צריך כאן ג"כ הרשאה מיהו אפי' אין מכירים החתימות סמכינן אהא דקי"ל עידי החתומים הוי כאלו נחקרו עידותן בב"ד, נשמע מכל זה אפילו אם אין ניכר שום חתימה או אפילו אין מקוים כשר, </w:t>
      </w:r>
      <w:r>
        <w:rPr>
          <w:rFonts w:cs="Arial"/>
          <w:b/>
          <w:bCs/>
          <w:rtl/>
        </w:rPr>
        <w:t>ב"ש</w:t>
      </w:r>
      <w:r>
        <w:rPr>
          <w:rFonts w:cs="Arial"/>
          <w:rtl/>
        </w:rPr>
        <w:t xml:space="preserve"> (סקל"ו). ועיין בס' תו"ג שכ' ואין זה עיקר דהא לא סמכינן ע"ז בשליח שלא אמר בפ"נ ופסלי' ליה רק עיקר הטעם מבואר בתשו' הר"ש בן הרשב"ץ שהביא הב"י בסי' ל"ה שסומכין על הנך פוסקים דס"ל דקיום ב"ד א"צ קיום עכ"ל. ולפ"ז באינו מקויים כלל אפשר דאין להקל אם אינו שעת הדחק, </w:t>
      </w:r>
      <w:r>
        <w:rPr>
          <w:rFonts w:cs="Arial"/>
          <w:b/>
          <w:bCs/>
          <w:rtl/>
        </w:rPr>
        <w:t>פת"ש</w:t>
      </w:r>
      <w:r>
        <w:rPr>
          <w:rFonts w:cs="Arial"/>
          <w:rtl/>
        </w:rPr>
        <w:t xml:space="preserve"> (סקט"ז)</w:t>
      </w:r>
      <w:r>
        <w:rPr>
          <w:rtl/>
        </w:rPr>
        <w:t>.</w:t>
      </w:r>
    </w:p>
  </w:footnote>
  <w:footnote w:id="1949">
    <w:p w14:paraId="27EBCD52" w14:textId="77777777" w:rsidR="00FA2119" w:rsidRDefault="00FA2119" w:rsidP="00FA2119">
      <w:pPr>
        <w:pStyle w:val="a5"/>
      </w:pPr>
      <w:r>
        <w:rPr>
          <w:rStyle w:val="a7"/>
        </w:rPr>
        <w:footnoteRef/>
      </w:r>
      <w:r>
        <w:rPr>
          <w:rFonts w:cs="Arial"/>
          <w:rtl/>
        </w:rPr>
        <w:t xml:space="preserve"> ושמעתי יש מקשים דלמאי צריכין דקדוק אם הבעל הוא גדול, דהא אם הוא קטן אין צריך ליתן גט כלל כמו שנתבאר לעיל (סי' מג). ואם הוא גדול יכול לעשות שליח. וי"ל דלפעמים קטן קונה כגון הבא על יבמתו, וכדלקמן סימן קס"ז, לכן צריכין לדקדק אחריו. ועוד איכא למיחש שמא יגדיל קודם נתינת הגט ויתייחד עם אשתו דצריכה ממנו גט כדאיתא לעיל סימן מ"ג, ולכן צריכין לדקדק דהוי גדול בשעת עשיית השליחות דילמא השליח יתן לה הגט אחר היחוד. ואע"ג דלא תנשא בגט כזה לכתחלה משום דהוי גט ישן כדלקמן בסימן זה (עמ' רנב), מכל מקום מאחר דאם נישאת בו לא תצא איכא למיחש לקלקולא אם קטן היה בשעת השליחות דאז אינו גט כלל, ולכן צריכין דקדוק, כן נראה לי, דרכ"מ (אות כב).</w:t>
      </w:r>
    </w:p>
  </w:footnote>
  <w:footnote w:id="1950">
    <w:p w14:paraId="1C30924A" w14:textId="77777777" w:rsidR="00FA2119" w:rsidRDefault="00FA2119" w:rsidP="00FA2119">
      <w:pPr>
        <w:pStyle w:val="a5"/>
      </w:pPr>
      <w:r>
        <w:rPr>
          <w:rStyle w:val="a7"/>
        </w:rPr>
        <w:footnoteRef/>
      </w:r>
      <w:r>
        <w:rPr>
          <w:rtl/>
        </w:rPr>
        <w:t xml:space="preserve"> </w:t>
      </w:r>
      <w:r>
        <w:rPr>
          <w:rFonts w:cs="Arial"/>
          <w:rtl/>
        </w:rPr>
        <w:t>נשמע מזה אם הם בעצמם מכירי' החתימות מ"מ צריך להיות הקיום בשלשה ולא כסמ"ע בסימן מ"ו סק"ז שכתב כשהם בעצמם מכירין החתימות יכולי' שנים לקיים, וליתא, אלא לעולם צריך להיות קיום שטרות בשלשה, ב"ש (סקל"ח).</w:t>
      </w:r>
    </w:p>
  </w:footnote>
  <w:footnote w:id="1951">
    <w:p w14:paraId="0E68F003" w14:textId="77777777" w:rsidR="00FA2119" w:rsidRDefault="00FA2119" w:rsidP="00FA2119">
      <w:pPr>
        <w:pStyle w:val="a5"/>
      </w:pPr>
      <w:r>
        <w:rPr>
          <w:rStyle w:val="a7"/>
        </w:rPr>
        <w:footnoteRef/>
      </w:r>
      <w:r>
        <w:rPr>
          <w:rtl/>
        </w:rPr>
        <w:t xml:space="preserve"> </w:t>
      </w:r>
      <w:r>
        <w:rPr>
          <w:rFonts w:cs="Arial"/>
          <w:rtl/>
        </w:rPr>
        <w:t>כלומר באמת אין קפידא ממ"נ אם הוא גדול יכול לעשות שליח ואם הוא קטן אין קידושין קידושין וא"צ גט כמ"ש בסי' מ"ג, ובד"מ כתב דיש חשש שמא יתעכב הדבר ויתגדל בינו לבינו ויתייחד עמה קודם הגט, ב"ש (סקל"ז).</w:t>
      </w:r>
    </w:p>
  </w:footnote>
  <w:footnote w:id="1952">
    <w:p w14:paraId="6ACC4F5F" w14:textId="77777777" w:rsidR="00FA2119" w:rsidRDefault="00FA2119" w:rsidP="00FA2119">
      <w:pPr>
        <w:pStyle w:val="a5"/>
      </w:pPr>
      <w:r>
        <w:rPr>
          <w:rStyle w:val="a7"/>
        </w:rPr>
        <w:footnoteRef/>
      </w:r>
      <w:r>
        <w:rPr>
          <w:rtl/>
        </w:rPr>
        <w:t xml:space="preserve"> </w:t>
      </w:r>
      <w:r>
        <w:rPr>
          <w:rFonts w:cs="Arial"/>
          <w:rtl/>
        </w:rPr>
        <w:t>משמע מדבריו שיכולה היא להרשות לשליח קבלה שיעשה שליח לקבל הגט מיד הבעל אבל אין האשה מגורשת עד שיגיע הגט ליד שליחא דידה דשליח זה שהוא יכול לעשות אינו אלא כעין שליח הובאה ועוד אכתוב בדין זה גבי שאלה לגאון שכתב רבינו לקמן בסימן זה (סע' מג)</w:t>
      </w:r>
      <w:r>
        <w:rPr>
          <w:rtl/>
        </w:rPr>
        <w:t>, ב"י.</w:t>
      </w:r>
    </w:p>
  </w:footnote>
  <w:footnote w:id="1953">
    <w:p w14:paraId="3B0DD6C3" w14:textId="77777777" w:rsidR="00FA2119" w:rsidRDefault="00FA2119" w:rsidP="00FA2119">
      <w:pPr>
        <w:pStyle w:val="a5"/>
        <w:rPr>
          <w:rtl/>
        </w:rPr>
      </w:pPr>
      <w:r>
        <w:rPr>
          <w:rStyle w:val="a7"/>
        </w:rPr>
        <w:footnoteRef/>
      </w:r>
      <w:r>
        <w:rPr>
          <w:rtl/>
        </w:rPr>
        <w:t xml:space="preserve"> </w:t>
      </w:r>
      <w:r>
        <w:rPr>
          <w:rFonts w:cs="Arial"/>
          <w:rtl/>
        </w:rPr>
        <w:t>בתשובות הרא"ש (סי' ז כלל מה) כתב דיש הרשאות שהיו כותבין בו שמינהו שליח אגב ד' אמות שהקנה לו בחצירו, דרכ"מ (אות כג*).</w:t>
      </w:r>
    </w:p>
  </w:footnote>
  <w:footnote w:id="1954">
    <w:p w14:paraId="1CF4DC5F" w14:textId="1B5083BD" w:rsidR="00FA2119" w:rsidRDefault="00FA2119" w:rsidP="00FA2119">
      <w:pPr>
        <w:pStyle w:val="a5"/>
      </w:pPr>
      <w:r>
        <w:rPr>
          <w:rStyle w:val="a7"/>
        </w:rPr>
        <w:footnoteRef/>
      </w:r>
      <w:r>
        <w:rPr>
          <w:rtl/>
        </w:rPr>
        <w:t xml:space="preserve"> </w:t>
      </w:r>
      <w:r>
        <w:rPr>
          <w:rFonts w:cs="Arial"/>
          <w:rtl/>
        </w:rPr>
        <w:t xml:space="preserve">כתב בס' ב"מ לענ"ד זה דוקא לפי המבואר סעי' כ"ט שב"ד שבמקום הנתינה עושים לה מעשה ב"ד שנתגרשה לפניהם לחלוטין, אז האי צריך הוא לעכובא. אבל אם בשעת הנתינה לא יעשו מעשה בית דין אלא הש"ק יביא הגט אצל הב"ד שבמקום האשה, והם כשיכירו כתב עדות שבידו שקיבל הגט לפני עדים כראוי ואף תביא העדי שליחות לפניהם, אז הב"ד שבמקומה יתירוה ויכתבו לה מעשה ב"ד, אם כן האי צריך אינו אלא אזהרה לכתחילה כמבואר סעי' ח' </w:t>
      </w:r>
      <w:r w:rsidR="009334FF">
        <w:rPr>
          <w:rFonts w:cs="Arial"/>
          <w:rtl/>
        </w:rPr>
        <w:t>בהג"ה</w:t>
      </w:r>
      <w:r>
        <w:rPr>
          <w:rFonts w:cs="Arial"/>
          <w:rtl/>
        </w:rPr>
        <w:t xml:space="preserve"> כו' ע"ש, פת"ש (סקי"ח).</w:t>
      </w:r>
    </w:p>
  </w:footnote>
  <w:footnote w:id="1955">
    <w:p w14:paraId="78B6E0B4" w14:textId="77777777" w:rsidR="00FA2119" w:rsidRDefault="00FA2119" w:rsidP="00FA2119">
      <w:pPr>
        <w:pStyle w:val="a5"/>
      </w:pPr>
      <w:r>
        <w:rPr>
          <w:rStyle w:val="a7"/>
        </w:rPr>
        <w:footnoteRef/>
      </w:r>
      <w:r>
        <w:rPr>
          <w:rtl/>
        </w:rPr>
        <w:t xml:space="preserve"> </w:t>
      </w:r>
      <w:r>
        <w:rPr>
          <w:rFonts w:cs="Arial"/>
          <w:rtl/>
        </w:rPr>
        <w:t>ולא דמי להרשאה של שליח הולכה דא"צ להכיר החתימות, דשם מקילין משום דהגט בידו, משא"כ בש"ק. וכתב בלבוש ובדרישה וב"ח דאע"ג דבעלמא די אם מכירים ב' חתימות מדייני הקיום, מ"מ כאן בגט מחמירים וצריכים להכיר כל ג' דייני הקיום הרשאת ש"ק. מיהו הרשב"ץ כתב דכל זה איירי לכתחלה דצריכים להכיר כל ג' חתימות, אבל במקום עגון מקילין אפי' בש"ק אם הביא שטר חתום מכ"ש אם יש עליו מעשה ב"ד אע"ג דא"י לקיים החתימות דקי"ל קיום שטרות מדרבנן..., ב"ש (סקל"ח).</w:t>
      </w:r>
    </w:p>
  </w:footnote>
  <w:footnote w:id="1956">
    <w:p w14:paraId="1AD76270" w14:textId="77777777" w:rsidR="00FA2119" w:rsidRDefault="00FA2119" w:rsidP="00FA2119">
      <w:pPr>
        <w:pStyle w:val="a5"/>
      </w:pPr>
      <w:r>
        <w:rPr>
          <w:rStyle w:val="a7"/>
        </w:rPr>
        <w:footnoteRef/>
      </w:r>
      <w:r>
        <w:rPr>
          <w:rtl/>
        </w:rPr>
        <w:t xml:space="preserve"> </w:t>
      </w:r>
      <w:r>
        <w:rPr>
          <w:rFonts w:cs="Arial"/>
          <w:rtl/>
        </w:rPr>
        <w:t>כתב בס' ב"מ לע"ד ראוי נמי להזכיר בשטר ש"ק והכרנו שהאשה גדולה בשנים ובסימנים כי עיקר שליחו' תלוי בזה, פת"ש (סקי"ט).</w:t>
      </w:r>
    </w:p>
  </w:footnote>
  <w:footnote w:id="1957">
    <w:p w14:paraId="53E81EB4" w14:textId="77777777" w:rsidR="00FA2119" w:rsidRDefault="00FA2119" w:rsidP="00FA2119">
      <w:pPr>
        <w:pStyle w:val="a5"/>
      </w:pPr>
      <w:r>
        <w:rPr>
          <w:rStyle w:val="a7"/>
        </w:rPr>
        <w:footnoteRef/>
      </w:r>
      <w:r>
        <w:rPr>
          <w:rtl/>
        </w:rPr>
        <w:t xml:space="preserve"> </w:t>
      </w:r>
      <w:r>
        <w:rPr>
          <w:rFonts w:cs="Arial"/>
          <w:rtl/>
        </w:rPr>
        <w:t>אין לו טעם שהשליח אינו נוגע בדבר כדי שיפסל בית דין הקרוב לו. ואפשר שהטעם מפני ששליח קבלה הוא במקום האשה חשש בדבר לכתחלה</w:t>
      </w:r>
      <w:r>
        <w:rPr>
          <w:rtl/>
        </w:rPr>
        <w:t>, ב"י (בבדה"ב).</w:t>
      </w:r>
    </w:p>
  </w:footnote>
  <w:footnote w:id="1958">
    <w:p w14:paraId="0AEECC31" w14:textId="77777777" w:rsidR="00FA2119" w:rsidRDefault="00FA2119" w:rsidP="00FA2119">
      <w:pPr>
        <w:pStyle w:val="a5"/>
        <w:rPr>
          <w:rtl/>
        </w:rPr>
      </w:pPr>
      <w:r>
        <w:rPr>
          <w:rStyle w:val="a7"/>
        </w:rPr>
        <w:footnoteRef/>
      </w:r>
      <w:r>
        <w:rPr>
          <w:rFonts w:cs="Arial"/>
          <w:rtl/>
        </w:rPr>
        <w:t xml:space="preserve"> </w:t>
      </w:r>
      <w:r>
        <w:rPr>
          <w:rFonts w:cs="Arial" w:hint="cs"/>
          <w:rtl/>
        </w:rPr>
        <w:t xml:space="preserve">תמיהני אמאי ,דמאי שנא מכשמגרש לאשה עצמה. ואפשר דחיישינן דילמא איכא עדים דידעי שקיבל הגט ולא ידעי בתנאי, ואזלי ומסהדי שהגיע גט ליד שליחא ואזלא ומינסבא אפומייהו ונמצא גט בטל ובניה ממזרים, </w:t>
      </w:r>
      <w:r>
        <w:rPr>
          <w:rFonts w:cs="Arial" w:hint="cs"/>
          <w:b/>
          <w:bCs/>
          <w:rtl/>
        </w:rPr>
        <w:t>ב"י</w:t>
      </w:r>
      <w:r>
        <w:rPr>
          <w:rFonts w:cs="Arial" w:hint="cs"/>
          <w:rtl/>
        </w:rPr>
        <w:t xml:space="preserve">. מיהו אם הטיל בו תנאי ונתקיים - הגט גט. ועיין בתשובת ריב"ש סימן רמ"ז שהאריך בזה, </w:t>
      </w:r>
      <w:r>
        <w:rPr>
          <w:rFonts w:cs="Arial" w:hint="cs"/>
          <w:b/>
          <w:bCs/>
          <w:rtl/>
        </w:rPr>
        <w:t>דרכ"מ</w:t>
      </w:r>
      <w:r>
        <w:rPr>
          <w:rFonts w:cs="Arial" w:hint="cs"/>
          <w:rtl/>
        </w:rPr>
        <w:t xml:space="preserve"> (אות כה).</w:t>
      </w:r>
      <w:r>
        <w:rPr>
          <w:rtl/>
        </w:rPr>
        <w:t xml:space="preserve"> </w:t>
      </w:r>
      <w:r>
        <w:rPr>
          <w:rFonts w:cs="Arial"/>
          <w:rtl/>
        </w:rPr>
        <w:t>והב"ח כתב הטעם משום דהאשה יכולה לומר לא מניתי השליח אא"כ שיקבל בלי שום תנאי. לפיכך אם אמרה שיקבל הגט אפילו על תנאי - יכול להתנות תנאי. וכן הסכים בט"ז</w:t>
      </w:r>
      <w:r>
        <w:rPr>
          <w:rtl/>
        </w:rPr>
        <w:t xml:space="preserve">, </w:t>
      </w:r>
      <w:r>
        <w:rPr>
          <w:b/>
          <w:bCs/>
          <w:rtl/>
        </w:rPr>
        <w:t>ב"ש</w:t>
      </w:r>
      <w:r>
        <w:rPr>
          <w:rtl/>
        </w:rPr>
        <w:t xml:space="preserve"> (סקל"ט).</w:t>
      </w:r>
    </w:p>
  </w:footnote>
  <w:footnote w:id="1959">
    <w:p w14:paraId="061C1D64" w14:textId="77777777" w:rsidR="00FA2119" w:rsidRDefault="00FA2119" w:rsidP="00FA2119">
      <w:pPr>
        <w:pStyle w:val="a5"/>
        <w:rPr>
          <w:rtl/>
        </w:rPr>
      </w:pPr>
      <w:r>
        <w:rPr>
          <w:rStyle w:val="a7"/>
        </w:rPr>
        <w:footnoteRef/>
      </w:r>
      <w:r>
        <w:rPr>
          <w:rtl/>
        </w:rPr>
        <w:t xml:space="preserve"> </w:t>
      </w:r>
      <w:r>
        <w:rPr>
          <w:rFonts w:hint="cs"/>
          <w:rtl/>
        </w:rPr>
        <w:t xml:space="preserve">וכתב הטור- </w:t>
      </w:r>
      <w:r>
        <w:rPr>
          <w:rFonts w:cs="Arial"/>
          <w:rtl/>
        </w:rPr>
        <w:t xml:space="preserve">הנה הפליג </w:t>
      </w:r>
      <w:r>
        <w:rPr>
          <w:rFonts w:cs="Arial"/>
          <w:sz w:val="16"/>
          <w:szCs w:val="16"/>
          <w:rtl/>
        </w:rPr>
        <w:t xml:space="preserve">{ר"פ} </w:t>
      </w:r>
      <w:r>
        <w:rPr>
          <w:rFonts w:cs="Arial"/>
          <w:rtl/>
        </w:rPr>
        <w:t>להחמיר, ואחר כל זה כתב-...</w:t>
      </w:r>
    </w:p>
  </w:footnote>
  <w:footnote w:id="1960">
    <w:p w14:paraId="7FA03188" w14:textId="77777777" w:rsidR="00FA2119" w:rsidRDefault="00FA2119" w:rsidP="00FA2119">
      <w:pPr>
        <w:pStyle w:val="a5"/>
      </w:pPr>
      <w:r>
        <w:rPr>
          <w:rStyle w:val="a7"/>
        </w:rPr>
        <w:footnoteRef/>
      </w:r>
      <w:r>
        <w:rPr>
          <w:rFonts w:cs="Arial"/>
          <w:rtl/>
        </w:rPr>
        <w:t xml:space="preserve"> יש לתמוה, שנראה מדבריו שהוא מפרש קיום שטרות בשלשה, ששלשה עדים החתומים בשטר צריך לקיימם, ומעולם לא ראינו מי שפירש כן. אלא הכי פירושו קיום שטרות צריך להיות בפני שלשה שהם בית דין. ועוד שהדין ג"כ אינו כן, דשלשה החתומים בשטר כשיקיים שנים מהם סגי, דנהי דעד ודיין אין מצטרפין כדאיתא בפ"ב דכתובות (כא.), מכל מקום בקיום שני עדים או שני דיינים סגי (שו"ע חו"מ סי' מו סעיף ו). גם מלת בגט שכתב איני יודע לקשרה עם הענין, ב"י. ועיין לקמן סוף סימן זה (עמ' רנא) מה שכתב ב"י (סע' נז) בשם הר"ש בן הרשב"ץ</w:t>
      </w:r>
      <w:r>
        <w:rPr>
          <w:rtl/>
        </w:rPr>
        <w:t xml:space="preserve"> </w:t>
      </w:r>
      <w:r>
        <w:rPr>
          <w:rFonts w:cs="Arial"/>
          <w:rtl/>
        </w:rPr>
        <w:t>(שו"ת הרשב"ש סי' רסו), דרכ"מ</w:t>
      </w:r>
      <w:r>
        <w:rPr>
          <w:rtl/>
        </w:rPr>
        <w:t xml:space="preserve"> (אות כו).</w:t>
      </w:r>
    </w:p>
  </w:footnote>
  <w:footnote w:id="1961">
    <w:p w14:paraId="3F99350E" w14:textId="60418C2A" w:rsidR="00FA2119" w:rsidRDefault="00FA2119" w:rsidP="00FA2119">
      <w:pPr>
        <w:pStyle w:val="a5"/>
      </w:pPr>
      <w:r>
        <w:rPr>
          <w:rStyle w:val="a7"/>
        </w:rPr>
        <w:footnoteRef/>
      </w:r>
      <w:r>
        <w:rPr>
          <w:rtl/>
        </w:rPr>
        <w:t xml:space="preserve"> </w:t>
      </w:r>
      <w:r>
        <w:rPr>
          <w:rFonts w:cs="Arial"/>
          <w:rtl/>
        </w:rPr>
        <w:t>כל דברי ה"ר פרץ שכתב כאן רבינו... הכל כתוב בסמ"ק ובכל בו (סי' עו מז.) ו</w:t>
      </w:r>
      <w:r w:rsidR="009334FF">
        <w:rPr>
          <w:rFonts w:cs="Arial"/>
          <w:rtl/>
        </w:rPr>
        <w:t>ב</w:t>
      </w:r>
      <w:r w:rsidR="00E32828">
        <w:rPr>
          <w:rFonts w:cs="Arial"/>
          <w:rtl/>
        </w:rPr>
        <w:t>הגה"מ</w:t>
      </w:r>
      <w:r>
        <w:rPr>
          <w:rFonts w:cs="Arial"/>
          <w:rtl/>
        </w:rPr>
        <w:t xml:space="preserve"> (פ"ה שם, ופ"ו ה"י), וקצת דברים אלו הם ג"כ בהלכות הגט דמרדכי (סי' תנג). ודע דבספרי דפוס יש טעיות הרבה בספרי רבינו והגהתים על פי ספרים כתובים באצבע</w:t>
      </w:r>
      <w:r>
        <w:rPr>
          <w:rtl/>
        </w:rPr>
        <w:t>, ב"י.</w:t>
      </w:r>
    </w:p>
  </w:footnote>
  <w:footnote w:id="1962">
    <w:p w14:paraId="73951D4B" w14:textId="77777777" w:rsidR="00FA2119" w:rsidRDefault="00FA2119" w:rsidP="00FA2119">
      <w:pPr>
        <w:pStyle w:val="a5"/>
        <w:rPr>
          <w:rtl/>
        </w:rPr>
      </w:pPr>
      <w:r>
        <w:rPr>
          <w:rStyle w:val="a7"/>
        </w:rPr>
        <w:footnoteRef/>
      </w:r>
      <w:r>
        <w:rPr>
          <w:rtl/>
        </w:rPr>
        <w:t xml:space="preserve"> </w:t>
      </w:r>
      <w:r>
        <w:rPr>
          <w:rFonts w:cs="Arial"/>
          <w:rtl/>
        </w:rPr>
        <w:t>מ"ש בסוף דבריו 'וכל החתימות שבגט ידועות לנו' לא ידענא מאי קאמר, דכיון שאומר בפני נכתב ובפני נחתם אין צריך שיהיו החתימות ידועות לנו, ב"י.</w:t>
      </w:r>
    </w:p>
  </w:footnote>
  <w:footnote w:id="1963">
    <w:p w14:paraId="3A91C3D4" w14:textId="77777777" w:rsidR="00FA2119" w:rsidRDefault="00FA2119" w:rsidP="00FA2119">
      <w:pPr>
        <w:pStyle w:val="a5"/>
        <w:rPr>
          <w:rtl/>
        </w:rPr>
      </w:pPr>
      <w:r>
        <w:rPr>
          <w:rStyle w:val="a7"/>
        </w:rPr>
        <w:footnoteRef/>
      </w:r>
      <w:r>
        <w:rPr>
          <w:rtl/>
        </w:rPr>
        <w:t xml:space="preserve"> </w:t>
      </w:r>
      <w:r>
        <w:rPr>
          <w:rFonts w:cs="Arial"/>
          <w:rtl/>
        </w:rPr>
        <w:t>ועיין שם עוד שם אם חיישינן לבית דין טועין (סנהדרין ל.), דרכ"מ (אות כז).</w:t>
      </w:r>
    </w:p>
  </w:footnote>
  <w:footnote w:id="1964">
    <w:p w14:paraId="05125FFB" w14:textId="77777777" w:rsidR="00FA2119" w:rsidRDefault="00FA2119" w:rsidP="00FA2119">
      <w:pPr>
        <w:pStyle w:val="a5"/>
      </w:pPr>
      <w:r>
        <w:rPr>
          <w:rStyle w:val="a7"/>
        </w:rPr>
        <w:footnoteRef/>
      </w:r>
      <w:r>
        <w:rPr>
          <w:rtl/>
        </w:rPr>
        <w:t xml:space="preserve"> </w:t>
      </w:r>
      <w:r>
        <w:rPr>
          <w:rFonts w:cs="Arial"/>
          <w:rtl/>
        </w:rPr>
        <w:t>צ"ל דכוונתו נוסח שיאמר בשעה שנותן לו הגט אבל נוסח הגט עצמו לא ישונה כמבואר בפסקי מהרא"י סי' מ"ו באין ספק וגם בטור לא נזכר מידי ע"ש, פת"ש (סקכ"א).</w:t>
      </w:r>
    </w:p>
  </w:footnote>
  <w:footnote w:id="1965">
    <w:p w14:paraId="2CF8C9FF" w14:textId="77777777" w:rsidR="00FA2119" w:rsidRDefault="00FA2119" w:rsidP="00FA2119">
      <w:pPr>
        <w:pStyle w:val="a5"/>
      </w:pPr>
      <w:r>
        <w:rPr>
          <w:rStyle w:val="a7"/>
        </w:rPr>
        <w:footnoteRef/>
      </w:r>
      <w:r>
        <w:rPr>
          <w:rtl/>
        </w:rPr>
        <w:t xml:space="preserve"> </w:t>
      </w:r>
      <w:r>
        <w:rPr>
          <w:rFonts w:cs="Arial"/>
          <w:rtl/>
        </w:rPr>
        <w:t>כתב בט"ז אם אי אפשר בלא ש"ק יכולה לעשות ש"ק אם יש עדות ברורה שמכירים חתימות השלשה דייני', וב"ח (שו"ת הב"ח סי' קא) ג"כ התיר לעשות ש"ק ומעשה היה בא' שהיה עתי' שוטה ועתי' חלי' וחלימתו היה מעט והתיר שהאשה תעשה ש"ק במקו' שהוא בעת חלימתו והיא תחזור למקומה ובעת חלימתו ימסור הגט ליד ש"ק שלה, ב"ש (סק"מ).</w:t>
      </w:r>
      <w:r>
        <w:rPr>
          <w:rtl/>
        </w:rPr>
        <w:t xml:space="preserve"> ועיין בפת"ש (סקכ"ב).</w:t>
      </w:r>
    </w:p>
  </w:footnote>
  <w:footnote w:id="1966">
    <w:p w14:paraId="5F69FCBF" w14:textId="77777777" w:rsidR="00FA2119" w:rsidRDefault="00FA2119" w:rsidP="00FA2119">
      <w:pPr>
        <w:pStyle w:val="a5"/>
      </w:pPr>
      <w:r>
        <w:rPr>
          <w:rStyle w:val="a7"/>
        </w:rPr>
        <w:footnoteRef/>
      </w:r>
      <w:r>
        <w:rPr>
          <w:rtl/>
        </w:rPr>
        <w:t xml:space="preserve"> </w:t>
      </w:r>
      <w:r>
        <w:rPr>
          <w:rFonts w:cs="Arial"/>
          <w:rtl/>
        </w:rPr>
        <w:t>וקצת דברים אלו כלולים בדברי רבינו</w:t>
      </w:r>
      <w:r>
        <w:rPr>
          <w:rFonts w:cs="Arial"/>
          <w:sz w:val="16"/>
          <w:szCs w:val="16"/>
          <w:rtl/>
        </w:rPr>
        <w:t xml:space="preserve"> {בשם ר"פ}</w:t>
      </w:r>
      <w:r>
        <w:rPr>
          <w:rFonts w:cs="Arial"/>
          <w:rtl/>
        </w:rPr>
        <w:t xml:space="preserve"> ומכל מקום טוב ויפה לפרשם כנוסח רבינו יחיאל, ובפרט מה שכתוב- 'ונותן אני לך רשות לעשות שליח... אפילו בלא אונס' - נראה לי שצריך לפרשו, שאל"כ לא יוכל לעשות שליח כל שלא נאנס, וכמו שכתב רבינו לקמן בסימן זה (נא.). וגם רבינו כתב בסמוך בשם ה"ר פרץ שאין צריך לכתוב שטר שליחות אלא לפי שכתוב בה שנותן הבעל רשות לשליח לעשות כמה שלוחים ואפילו לא יחלה ולא יאנס. עד כאן. וא"כ תימה היאך לא כתב כן בנוסח שטר השליחות. ואפשר דכיון דעל ידי חולי או אונס מצי משוה שליח, מן הסתם כל שפירש בשליחות שנותן לו רשות לעשות שליח ושליח שליח עד מאה דרשינן לישנא יתירא לומר דאפילו בלא אונס מרשהו למנות שליח. וכן משמע מדברי הרב המגיד בפ"ז (הכ"א) שהוא דעת הרמב"ם. ומכל מקום יותר טוב לפרש ולכתוב 'ואפילו בלא אונס' כמו בנוסח רבינו יחיאל, ב"י.</w:t>
      </w:r>
    </w:p>
  </w:footnote>
  <w:footnote w:id="1967">
    <w:p w14:paraId="001225AD" w14:textId="1EE0244D" w:rsidR="00FA2119" w:rsidRDefault="00FA2119" w:rsidP="00FA2119">
      <w:pPr>
        <w:pStyle w:val="a5"/>
      </w:pPr>
      <w:r>
        <w:rPr>
          <w:rStyle w:val="a7"/>
        </w:rPr>
        <w:footnoteRef/>
      </w:r>
      <w:r>
        <w:rPr>
          <w:rtl/>
        </w:rPr>
        <w:t xml:space="preserve"> </w:t>
      </w:r>
      <w:r>
        <w:rPr>
          <w:rFonts w:cs="Arial"/>
          <w:rtl/>
        </w:rPr>
        <w:t xml:space="preserve">כתב הב"י </w:t>
      </w:r>
      <w:r w:rsidR="000A0F5A">
        <w:rPr>
          <w:rFonts w:cs="Arial"/>
          <w:rtl/>
        </w:rPr>
        <w:t>וז"ל:</w:t>
      </w:r>
      <w:r>
        <w:rPr>
          <w:rFonts w:cs="Arial"/>
          <w:rtl/>
        </w:rPr>
        <w:t xml:space="preserve"> דע דתמיהא לי מילתא טובא שחסר בלשון שטר שליחות זה: 'וכיון שיגיע גט זה ליד אשתי פלונית בת פלוני מידך או מיד שלוחך או שליח שלוחך כנזכר תהא מגורשת ממני ומותרת לכל אדם והגט שנעשה עליו פלוני בן פלוני...'. ומצאתי למהר"ר ישראל (ח"ב סי' טו) שתמה עליו חכם אחד על שכתב ממש לשון סמ"ק ולא כתב וכשיגיע גט זה לידה, והשיב ד</w:t>
      </w:r>
      <w:r>
        <w:rPr>
          <w:rtl/>
        </w:rPr>
        <w:t>-...</w:t>
      </w:r>
    </w:p>
  </w:footnote>
  <w:footnote w:id="1968">
    <w:p w14:paraId="533BFBBE" w14:textId="38B6FB51" w:rsidR="00FA2119" w:rsidRDefault="00FA2119" w:rsidP="00FA2119">
      <w:pPr>
        <w:pStyle w:val="a5"/>
        <w:rPr>
          <w:rtl/>
        </w:rPr>
      </w:pPr>
      <w:r>
        <w:rPr>
          <w:rStyle w:val="a7"/>
        </w:rPr>
        <w:footnoteRef/>
      </w:r>
      <w:r>
        <w:rPr>
          <w:rtl/>
        </w:rPr>
        <w:t xml:space="preserve"> </w:t>
      </w:r>
      <w:r>
        <w:rPr>
          <w:rFonts w:cs="Arial"/>
          <w:rtl/>
        </w:rPr>
        <w:t xml:space="preserve">בנוסח שטר שליח קבלה יש בהלכות הגט במרדכי (סי' תנג) נוסחאות אחרות ולא ראיתי לכתבם לפי שנוסח זה שכתב רבינו בשם ה"ר פרץ עולה על כולם זולתי שצריך להוסיף בו בין בלשון שאומר בשעת נתינה בין בלשון השטר: 'והרי היא מגורשת ממני ומותרת לכל אדם'. גם צריך להוסיף בשטר: 'ונתן גיטה ליד פלוני בן פלוני שעשאתו אשתו שליח בעדים', כי כן כתוב </w:t>
      </w:r>
      <w:r w:rsidR="009334FF">
        <w:rPr>
          <w:rFonts w:cs="Arial"/>
          <w:rtl/>
        </w:rPr>
        <w:t>ב</w:t>
      </w:r>
      <w:r w:rsidR="00E32828">
        <w:rPr>
          <w:rFonts w:cs="Arial"/>
          <w:rtl/>
        </w:rPr>
        <w:t>הגה"מ</w:t>
      </w:r>
      <w:r>
        <w:rPr>
          <w:rFonts w:cs="Arial"/>
          <w:rtl/>
        </w:rPr>
        <w:t xml:space="preserve"> (פ"ו הל' י) ובארחות חיים (הל' גיטין סי' ד ד"ה ויש כותבין), ב"י.</w:t>
      </w:r>
    </w:p>
  </w:footnote>
  <w:footnote w:id="1969">
    <w:p w14:paraId="3F359412" w14:textId="77777777" w:rsidR="00FA2119" w:rsidRDefault="00FA2119" w:rsidP="00FA2119">
      <w:pPr>
        <w:pStyle w:val="a5"/>
      </w:pPr>
      <w:r>
        <w:rPr>
          <w:rStyle w:val="a7"/>
        </w:rPr>
        <w:footnoteRef/>
      </w:r>
      <w:r>
        <w:rPr>
          <w:rtl/>
        </w:rPr>
        <w:t xml:space="preserve"> </w:t>
      </w:r>
      <w:r>
        <w:rPr>
          <w:rFonts w:cs="Arial"/>
          <w:rtl/>
        </w:rPr>
        <w:t xml:space="preserve">ודברי הריב"ש כתבתי לעיל </w:t>
      </w:r>
      <w:r>
        <w:rPr>
          <w:rFonts w:cs="Arial"/>
          <w:sz w:val="16"/>
          <w:szCs w:val="16"/>
          <w:rtl/>
        </w:rPr>
        <w:t>(בדמה"א ובב"י עמ' רנא)</w:t>
      </w:r>
      <w:r>
        <w:rPr>
          <w:rFonts w:cs="Arial"/>
          <w:rtl/>
        </w:rPr>
        <w:t>, וקצת יש לתמוה אדברים אלו, דמשמע דאם השליח היה אומר דנעשה ג"כ שליח לקבלה היתה ההרשאה כשרה והגט כשר, דהיינו אומרים דליפות כח השליח עשאו ג"כ שליח לקבלה, וא"כ אמאי נחזיק הבית דין החתומים על ההרשאה לטועים כשהשליח מכחישן, הלא אין דבריו של אחד במקום שנים, והיה לנו להחזיק הבית דין לכשרים והשליח למשקר ונאמר דודאי עשאו שליח לקבלה ולהולכה והשליח משקר והגט היה יכול להיות כשר אע"ג דהשליח משקר, דרכ"מ (אות מה).</w:t>
      </w:r>
    </w:p>
  </w:footnote>
  <w:footnote w:id="1970">
    <w:p w14:paraId="057E5B2C" w14:textId="77777777" w:rsidR="00FA2119" w:rsidRDefault="00FA2119" w:rsidP="00FA2119">
      <w:pPr>
        <w:pStyle w:val="a5"/>
      </w:pPr>
      <w:r>
        <w:rPr>
          <w:rStyle w:val="a7"/>
        </w:rPr>
        <w:footnoteRef/>
      </w:r>
      <w:r>
        <w:rPr>
          <w:rtl/>
        </w:rPr>
        <w:t xml:space="preserve"> </w:t>
      </w:r>
      <w:r>
        <w:rPr>
          <w:rFonts w:cs="Arial"/>
          <w:rtl/>
        </w:rPr>
        <w:t>עיין בס' גט מקושר שם שכ' דטעות הדפוס הוא דהא לקמן סעי' מ"ג הביא בקמייתא דאין שליח קבלה יכול למנות שליח אפילו נאנס ואפילו נתנה לו רשות משום דהוי מילי כו' וכן בסה"ג סעי' ל' לא נזכר רק ליד שלוחה ולא נזכר שם שליח שלוחה ע"ש, פת"ש (סקכ"ה).</w:t>
      </w:r>
    </w:p>
  </w:footnote>
  <w:footnote w:id="1971">
    <w:p w14:paraId="5B7C5849" w14:textId="77777777" w:rsidR="00FA2119" w:rsidRDefault="00FA2119" w:rsidP="00FA2119">
      <w:pPr>
        <w:pStyle w:val="a5"/>
      </w:pPr>
      <w:r>
        <w:rPr>
          <w:rStyle w:val="a7"/>
        </w:rPr>
        <w:footnoteRef/>
      </w:r>
      <w:r>
        <w:rPr>
          <w:rtl/>
        </w:rPr>
        <w:t xml:space="preserve"> </w:t>
      </w:r>
      <w:r>
        <w:rPr>
          <w:rFonts w:cs="Arial"/>
          <w:rtl/>
        </w:rPr>
        <w:t>הצ"צ נשאל ג"כ על שאלה כזו ממש מחתנו הגאון בעל עה"ג (אלא שבעובדא דידיה לא היה ידוע בבירור שהחתומים בקיום הרשאה הם היו מסדרי הגט), והשיב ע"ז באריכות והעלה ד</w:t>
      </w:r>
      <w:r>
        <w:rPr>
          <w:rtl/>
        </w:rPr>
        <w:t>-...</w:t>
      </w:r>
    </w:p>
  </w:footnote>
  <w:footnote w:id="1972">
    <w:p w14:paraId="4C53D64A" w14:textId="77777777" w:rsidR="00FA2119" w:rsidRDefault="00FA2119" w:rsidP="00FA2119">
      <w:pPr>
        <w:pStyle w:val="a5"/>
        <w:rPr>
          <w:rtl/>
        </w:rPr>
      </w:pPr>
      <w:r>
        <w:rPr>
          <w:rStyle w:val="a7"/>
        </w:rPr>
        <w:footnoteRef/>
      </w:r>
      <w:r>
        <w:rPr>
          <w:rtl/>
        </w:rPr>
        <w:t xml:space="preserve"> </w:t>
      </w:r>
      <w:r>
        <w:rPr>
          <w:rFonts w:cs="Arial"/>
          <w:rtl/>
        </w:rPr>
        <w:t>ועיין בס' ישועות יעקב (סקי"ב) שגם לפניו בא מעשה כזה והאריך בזה ומסיק דאם ידוע מי היו המסדרים שהם בקיאים רק שטעות נזדמן לפניהם אין כאן מיחוש כל כך ביחוד במקום עיגון ע"ש</w:t>
      </w:r>
      <w:r>
        <w:rPr>
          <w:rtl/>
        </w:rPr>
        <w:t>, פת"ש (סקכ"ח).</w:t>
      </w:r>
    </w:p>
  </w:footnote>
  <w:footnote w:id="1973">
    <w:p w14:paraId="4750B2B1" w14:textId="77777777" w:rsidR="00FA2119" w:rsidRDefault="00FA2119" w:rsidP="00FA2119">
      <w:pPr>
        <w:pStyle w:val="a5"/>
        <w:rPr>
          <w:rtl/>
        </w:rPr>
      </w:pPr>
      <w:r>
        <w:rPr>
          <w:rStyle w:val="a7"/>
        </w:rPr>
        <w:footnoteRef/>
      </w:r>
      <w:r>
        <w:rPr>
          <w:rtl/>
        </w:rPr>
        <w:t xml:space="preserve"> </w:t>
      </w:r>
      <w:r>
        <w:rPr>
          <w:rFonts w:cs="Arial"/>
          <w:rtl/>
        </w:rPr>
        <w:t>ותהא מגורשת בקבלתו וה"ה נמי להולכה דכולה חדא טעמא היא אלא כך היתה השאלה בבית המדרש, רש"י.</w:t>
      </w:r>
    </w:p>
  </w:footnote>
  <w:footnote w:id="1974">
    <w:p w14:paraId="7DE41A05" w14:textId="77777777" w:rsidR="00FA2119" w:rsidRDefault="00FA2119" w:rsidP="00FA2119">
      <w:pPr>
        <w:pStyle w:val="a5"/>
      </w:pPr>
      <w:r>
        <w:rPr>
          <w:rStyle w:val="a7"/>
        </w:rPr>
        <w:footnoteRef/>
      </w:r>
      <w:r>
        <w:rPr>
          <w:rtl/>
        </w:rPr>
        <w:t xml:space="preserve"> </w:t>
      </w:r>
      <w:r>
        <w:rPr>
          <w:rFonts w:cs="Arial"/>
          <w:rtl/>
        </w:rPr>
        <w:t>במתני' בהבאה ולא תנא עבד</w:t>
      </w:r>
      <w:r>
        <w:rPr>
          <w:rtl/>
        </w:rPr>
        <w:t>, רש"י.</w:t>
      </w:r>
    </w:p>
  </w:footnote>
  <w:footnote w:id="1975">
    <w:p w14:paraId="32C73D56" w14:textId="77777777" w:rsidR="00FA2119" w:rsidRDefault="00FA2119" w:rsidP="00FA2119">
      <w:pPr>
        <w:pStyle w:val="a5"/>
        <w:rPr>
          <w:rtl/>
        </w:rPr>
      </w:pPr>
      <w:r>
        <w:rPr>
          <w:rStyle w:val="a7"/>
        </w:rPr>
        <w:footnoteRef/>
      </w:r>
      <w:r>
        <w:rPr>
          <w:rtl/>
        </w:rPr>
        <w:t xml:space="preserve"> </w:t>
      </w:r>
      <w:r>
        <w:rPr>
          <w:rFonts w:cs="Arial"/>
          <w:rtl/>
        </w:rPr>
        <w:t>וכי היכי דכשר להבאה להיות שליח להתגרש כך כשר לקבלה להיות שליח להתגרש שאין חילוק טעם ביניהם, רש"י.</w:t>
      </w:r>
    </w:p>
  </w:footnote>
  <w:footnote w:id="1976">
    <w:p w14:paraId="2088C81D" w14:textId="77777777" w:rsidR="00FA2119" w:rsidRDefault="00FA2119" w:rsidP="00FA2119">
      <w:pPr>
        <w:pStyle w:val="a5"/>
      </w:pPr>
      <w:r>
        <w:rPr>
          <w:rStyle w:val="a7"/>
        </w:rPr>
        <w:footnoteRef/>
      </w:r>
      <w:r>
        <w:rPr>
          <w:rtl/>
        </w:rPr>
        <w:t xml:space="preserve"> </w:t>
      </w:r>
      <w:r>
        <w:rPr>
          <w:rFonts w:cs="Arial"/>
          <w:rtl/>
        </w:rPr>
        <w:t>רבינו לא הזכיר סומא בסימן זה ופירש דינו בסימן קמ"ב (נח.), ב"י.</w:t>
      </w:r>
    </w:p>
  </w:footnote>
  <w:footnote w:id="1977">
    <w:p w14:paraId="3A71B908" w14:textId="77777777" w:rsidR="00FA2119" w:rsidRDefault="00FA2119" w:rsidP="00FA2119">
      <w:pPr>
        <w:pStyle w:val="a5"/>
        <w:rPr>
          <w:rtl/>
        </w:rPr>
      </w:pPr>
      <w:r>
        <w:rPr>
          <w:rStyle w:val="a7"/>
        </w:rPr>
        <w:footnoteRef/>
      </w:r>
      <w:r>
        <w:rPr>
          <w:rtl/>
        </w:rPr>
        <w:t xml:space="preserve"> </w:t>
      </w:r>
      <w:r>
        <w:rPr>
          <w:rFonts w:cs="Arial"/>
          <w:rtl/>
        </w:rPr>
        <w:t>אלו חמשה פסולים אפי' בארץ ישראל דא"צ לומר בפני נכתב, מ"מ הם פסולים לשליחות, ואם נתנו הגט אינו גט. והא דמגורשת אם נתן הגט ליד עבדה דשם היא מתגרשת מתורת חצר [תוס']. אבל רשעים כשירים לשליחות אלא דאין לסמוך על דיבורם מה שאומרים בפני נכתב, לכן בא"י כשירים לשליחות. וכן כשגט מקוים דא"צ לומר ב"נ כשר לשליחות.., ב"ש (סקמ"ג).</w:t>
      </w:r>
    </w:p>
  </w:footnote>
  <w:footnote w:id="1978">
    <w:p w14:paraId="37D44019" w14:textId="2447AF63" w:rsidR="00FA2119" w:rsidRDefault="00FA2119" w:rsidP="00FA2119">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 xml:space="preserve">גזלן מדבריהם ושאר כל הפסולים מדברי סופרים - כשרין להביא את הגט ואפי' בחוצה לארץ, כמו שכשרין לעדות אשה </w:t>
      </w:r>
      <w:r>
        <w:rPr>
          <w:rFonts w:cs="Arial"/>
          <w:sz w:val="16"/>
          <w:szCs w:val="16"/>
          <w:rtl/>
        </w:rPr>
        <w:t>(יבמות כה:)</w:t>
      </w:r>
      <w:r>
        <w:rPr>
          <w:rFonts w:cs="Arial"/>
          <w:rtl/>
        </w:rPr>
        <w:t>.</w:t>
      </w:r>
    </w:p>
  </w:footnote>
  <w:footnote w:id="1979">
    <w:p w14:paraId="64ABD0E7" w14:textId="1C9C7989" w:rsidR="00FA2119" w:rsidRDefault="00FA2119" w:rsidP="00FA2119">
      <w:pPr>
        <w:pStyle w:val="a5"/>
      </w:pPr>
      <w:r>
        <w:rPr>
          <w:rStyle w:val="a7"/>
        </w:rPr>
        <w:footnoteRef/>
      </w:r>
      <w:r>
        <w:rPr>
          <w:rtl/>
        </w:rPr>
        <w:t xml:space="preserve"> </w:t>
      </w:r>
      <w:r>
        <w:rPr>
          <w:rFonts w:cs="Arial"/>
          <w:rtl/>
        </w:rPr>
        <w:t>כתב הרב המגיד דהא שאין סומכין בעדות הגט על דבר פסול בעבירה מן התורה - ברור הוא, שהרי אפילו בעדות אשה שמת בעלה אינו נאמן (יבמות שם), וכן נראה מן הגמרא (סנהדרין כו:) קצת, וכ</w:t>
      </w:r>
      <w:r w:rsidR="00EC090B">
        <w:rPr>
          <w:rFonts w:cs="Arial" w:hint="cs"/>
          <w:rtl/>
        </w:rPr>
        <w:t>"</w:t>
      </w:r>
      <w:r>
        <w:rPr>
          <w:rFonts w:cs="Arial"/>
          <w:rtl/>
        </w:rPr>
        <w:t>כ הרשב"א בריש גיטין (שם). מיהו תמהו עליו הראב"ד והרשב"א הגט למה יבטל, דילמא כשר הוא ויתקיים למחר על פי חותמיו. וכתב הה</w:t>
      </w:r>
      <w:r w:rsidR="003E479A">
        <w:rPr>
          <w:rFonts w:cs="Arial" w:hint="cs"/>
          <w:rtl/>
        </w:rPr>
        <w:t>"</w:t>
      </w:r>
      <w:r>
        <w:rPr>
          <w:rFonts w:cs="Arial"/>
          <w:rtl/>
        </w:rPr>
        <w:t>מ דאין הכי נמי שאם נתקיים בחותמיו כשר גם לדעת הרמב"ם ולא כתב שהוא בטל אלא אם אין בגט עדות אחרת, ב"י.</w:t>
      </w:r>
    </w:p>
  </w:footnote>
  <w:footnote w:id="1980">
    <w:p w14:paraId="2E7A153F" w14:textId="77777777" w:rsidR="00FA2119" w:rsidRDefault="00FA2119" w:rsidP="00FA2119">
      <w:pPr>
        <w:pStyle w:val="a5"/>
      </w:pPr>
      <w:r>
        <w:rPr>
          <w:rStyle w:val="a7"/>
        </w:rPr>
        <w:footnoteRef/>
      </w:r>
      <w:r>
        <w:rPr>
          <w:rtl/>
        </w:rPr>
        <w:t xml:space="preserve"> </w:t>
      </w:r>
      <w:r>
        <w:rPr>
          <w:rFonts w:cs="Arial"/>
          <w:rtl/>
        </w:rPr>
        <w:t>דכיון דאין צריך לומר בפני נכתב ובפני נחתם אמאי מיפסיל בהבאתו דהא בר דיעה הוא ושייך בגירושין, ב"י.</w:t>
      </w:r>
    </w:p>
  </w:footnote>
  <w:footnote w:id="1981">
    <w:p w14:paraId="1C8DD7DF" w14:textId="77777777" w:rsidR="00FA2119" w:rsidRDefault="00FA2119" w:rsidP="00FA2119">
      <w:pPr>
        <w:pStyle w:val="a5"/>
      </w:pPr>
      <w:r>
        <w:rPr>
          <w:rStyle w:val="a7"/>
        </w:rPr>
        <w:footnoteRef/>
      </w:r>
      <w:r>
        <w:rPr>
          <w:rtl/>
        </w:rPr>
        <w:t xml:space="preserve"> </w:t>
      </w:r>
      <w:r>
        <w:rPr>
          <w:rFonts w:cs="Arial"/>
          <w:rtl/>
        </w:rPr>
        <w:t>ודע שכשם שהראב"ד והרא"ש חלוקים על הרמב"ם בדין זה כן כתב הה"מ שהרבה מהמפרשים חלוקים עליו, ושלא ידע טעם לדבריו. וגם הרשב"א תמה עליו בריש גיטין (ה: ד"ה כתב הרמב"ם), והר"ן תמה עליו בספ"ב דגיטין (יא: ד"ה הכל), ב"י.</w:t>
      </w:r>
    </w:p>
  </w:footnote>
  <w:footnote w:id="1982">
    <w:p w14:paraId="089F5284" w14:textId="77777777" w:rsidR="00FA2119" w:rsidRDefault="00FA2119" w:rsidP="00FA2119">
      <w:pPr>
        <w:pStyle w:val="a5"/>
      </w:pPr>
      <w:r>
        <w:rPr>
          <w:rStyle w:val="a7"/>
        </w:rPr>
        <w:footnoteRef/>
      </w:r>
      <w:r>
        <w:rPr>
          <w:rtl/>
        </w:rPr>
        <w:t xml:space="preserve"> </w:t>
      </w:r>
      <w:r>
        <w:rPr>
          <w:rFonts w:cs="Arial"/>
          <w:rtl/>
        </w:rPr>
        <w:t>ונראה לי דמיירי בארץ ישראל או בחוצה לארץ ונתקיים הגט בחותמיו, אבל בלאו הכי אינו נאמן לומר בפני נכתב ובפני נחתם, דלא גרע משאר פסולי עדות. מיהו אם הביאו בלא קיום ואפשר לקיימו אח"כ הגט כשר. וכן כתב המגיד משנה (פ"ו דגירושין ה"ז) לענין פסולי עדות, דרכ"מ (אות כח).</w:t>
      </w:r>
    </w:p>
  </w:footnote>
  <w:footnote w:id="1983">
    <w:p w14:paraId="632D56E3" w14:textId="77777777" w:rsidR="00FA2119" w:rsidRDefault="00FA2119" w:rsidP="00FA2119">
      <w:pPr>
        <w:pStyle w:val="a5"/>
      </w:pPr>
      <w:r>
        <w:rPr>
          <w:rStyle w:val="a7"/>
        </w:rPr>
        <w:footnoteRef/>
      </w:r>
      <w:r>
        <w:rPr>
          <w:rtl/>
        </w:rPr>
        <w:t xml:space="preserve"> </w:t>
      </w:r>
      <w:r>
        <w:rPr>
          <w:rFonts w:cs="Arial"/>
          <w:rtl/>
        </w:rPr>
        <w:t>ועיין לקמן סימן קמ"ב (עמ' רס) דהשליח גופא יכול להיות אחד מן הדיינים, דרכ"מ (אות כח).</w:t>
      </w:r>
    </w:p>
  </w:footnote>
  <w:footnote w:id="1984">
    <w:p w14:paraId="5D6B2080" w14:textId="2D1C8CAA" w:rsidR="00FA2119" w:rsidRDefault="00FA2119" w:rsidP="00FA2119">
      <w:pPr>
        <w:pStyle w:val="a5"/>
      </w:pPr>
      <w:r>
        <w:rPr>
          <w:rStyle w:val="a7"/>
        </w:rPr>
        <w:footnoteRef/>
      </w:r>
      <w:r>
        <w:rPr>
          <w:rtl/>
        </w:rPr>
        <w:t xml:space="preserve"> </w:t>
      </w:r>
      <w:r>
        <w:rPr>
          <w:rFonts w:cs="Arial"/>
          <w:rtl/>
        </w:rPr>
        <w:t>משמע אפי' בא"י דאין צריך לומר ב"נ וב"נ מ"מ פסול להביא אם אינו מקוים</w:t>
      </w:r>
      <w:r w:rsidR="00E507C8">
        <w:rPr>
          <w:rFonts w:cs="Arial" w:hint="cs"/>
          <w:rtl/>
        </w:rPr>
        <w:t>,</w:t>
      </w:r>
      <w:r>
        <w:rPr>
          <w:rFonts w:cs="Arial"/>
          <w:rtl/>
        </w:rPr>
        <w:t xml:space="preserve"> וב"ח מפרש דברי הטור </w:t>
      </w:r>
      <w:r w:rsidR="00E507C8">
        <w:rPr>
          <w:rFonts w:cs="Arial" w:hint="cs"/>
          <w:rtl/>
        </w:rPr>
        <w:t>ד</w:t>
      </w:r>
      <w:r>
        <w:rPr>
          <w:rFonts w:cs="Arial"/>
          <w:rtl/>
        </w:rPr>
        <w:t xml:space="preserve">בזה פליגי הרא"ש והרמ"ה, הרא"ש ס"ל </w:t>
      </w:r>
      <w:r w:rsidR="00E507C8">
        <w:rPr>
          <w:rFonts w:cs="Arial" w:hint="cs"/>
          <w:rtl/>
        </w:rPr>
        <w:t>ד</w:t>
      </w:r>
      <w:r>
        <w:rPr>
          <w:rFonts w:cs="Arial"/>
          <w:rtl/>
        </w:rPr>
        <w:t>בא"י יכול להביא אפי' אינו מקוים כיון דא"צ לומר ב"נ וב"נ</w:t>
      </w:r>
      <w:r w:rsidR="00E507C8">
        <w:rPr>
          <w:rFonts w:cs="Arial" w:hint="cs"/>
          <w:rtl/>
        </w:rPr>
        <w:t>,</w:t>
      </w:r>
      <w:r>
        <w:rPr>
          <w:rFonts w:cs="Arial"/>
          <w:rtl/>
        </w:rPr>
        <w:t xml:space="preserve"> והרמ"ה ס"ל אפילו בא"י א</w:t>
      </w:r>
      <w:r w:rsidR="00E507C8">
        <w:rPr>
          <w:rFonts w:cs="Arial" w:hint="cs"/>
          <w:rtl/>
        </w:rPr>
        <w:t>ינו יכול</w:t>
      </w:r>
      <w:r>
        <w:rPr>
          <w:rFonts w:cs="Arial"/>
          <w:rtl/>
        </w:rPr>
        <w:t xml:space="preserve"> להביא הגט כשאינו מקוים</w:t>
      </w:r>
      <w:r w:rsidR="00E507C8">
        <w:rPr>
          <w:rFonts w:cs="Arial" w:hint="cs"/>
          <w:rtl/>
        </w:rPr>
        <w:t>.</w:t>
      </w:r>
      <w:r>
        <w:rPr>
          <w:rFonts w:cs="Arial"/>
          <w:rtl/>
        </w:rPr>
        <w:t xml:space="preserve"> מיהו למ"ש בסמוך </w:t>
      </w:r>
      <w:r w:rsidR="00E507C8">
        <w:rPr>
          <w:rFonts w:cs="Arial" w:hint="cs"/>
          <w:rtl/>
        </w:rPr>
        <w:t>ד</w:t>
      </w:r>
      <w:r>
        <w:rPr>
          <w:rFonts w:cs="Arial"/>
          <w:rtl/>
        </w:rPr>
        <w:t>אפילו אם יש הרשאה חיישינן שמא מזויף הוא צריך ישוב למה יכול להביא בא"י כשאינו מקוים ולמה לא חיישי' שמא מזויף הוא, ב"ש (סקמ"ה).</w:t>
      </w:r>
    </w:p>
  </w:footnote>
  <w:footnote w:id="1985">
    <w:p w14:paraId="71CAA6C3" w14:textId="77777777" w:rsidR="00FA2119" w:rsidRDefault="00FA2119" w:rsidP="00FA2119">
      <w:pPr>
        <w:pStyle w:val="a5"/>
      </w:pPr>
      <w:r>
        <w:rPr>
          <w:rStyle w:val="a7"/>
        </w:rPr>
        <w:footnoteRef/>
      </w:r>
      <w:r>
        <w:rPr>
          <w:rtl/>
        </w:rPr>
        <w:t xml:space="preserve"> </w:t>
      </w:r>
      <w:r>
        <w:rPr>
          <w:rFonts w:cs="Arial"/>
          <w:rtl/>
        </w:rPr>
        <w:t>וצ"ל דליכא בידו שטר הרשאה דהא הרשאה הוי קיום כמ"ש במרדכי ובתשובת רשב"א וכמ"ש בסי' קמ"ב סוף סעיף א'. והריב"ש דמחמיר שם אינו אלא חומרא בעלמא קשה למה הוא נאמן לומר דהוא ש"ה דהא כתב הרא"ש ש"ה נאמן לומר דעשאו לשליח הואיל האמינוהו חז"ל לומ' ב"נ וב"נ וכאן אינו נאמן לומר ב"נ וב"נ. ולמ"ש דהמחבר פוסק כרמב"ם והרמ"ה דס"ל הא דנאמן לומר דעשאו לשליח לא תליא באמירת ב"נ וב"נ אפילו בא"י או בגט מקוים נאמן לומר דעשאו ש"ה כן י"ל ברשע כשהגט מקוים אז נאמן לומר דעשאו לש"ה כיון דגט כשר בידו אלא להרא"ש קשה ואפשר דס"ל דאיירי דיש הרשאה בידו מ"מ חיישינן שמא לא זהו הגט דמסר הבעל בידו אע"ג בעלמא לא חיישינן מ"מ כשהגט ביד הרשע חיישינן שמא זייף זה לכן צריך להתקיים הגט, ב"ש (סקמ"ד).</w:t>
      </w:r>
    </w:p>
  </w:footnote>
  <w:footnote w:id="1986">
    <w:p w14:paraId="066C85FF" w14:textId="5CA0C658" w:rsidR="00FA2119" w:rsidRDefault="00FA2119" w:rsidP="00FA2119">
      <w:pPr>
        <w:pStyle w:val="a5"/>
      </w:pPr>
      <w:r>
        <w:rPr>
          <w:rStyle w:val="a7"/>
        </w:rPr>
        <w:footnoteRef/>
      </w:r>
      <w:r>
        <w:rPr>
          <w:rtl/>
        </w:rPr>
        <w:t xml:space="preserve"> </w:t>
      </w:r>
      <w:r>
        <w:rPr>
          <w:rFonts w:cs="Arial"/>
          <w:rtl/>
        </w:rPr>
        <w:t>עיין בתשו' גאוני בתראי (סי' מד) דבמקום עיגון שא"א להשתדל גט אחר אפשר לסמוך אדיעה ראשונה ולהכשיר ע"י קיום</w:t>
      </w:r>
      <w:r w:rsidR="00E507C8">
        <w:rPr>
          <w:rFonts w:cs="Arial" w:hint="cs"/>
          <w:rtl/>
        </w:rPr>
        <w:t>.</w:t>
      </w:r>
      <w:r>
        <w:rPr>
          <w:rFonts w:cs="Arial"/>
          <w:rtl/>
        </w:rPr>
        <w:t xml:space="preserve"> ואפי' אפשר להשיג גט אחר רק שהבעל מבקש ממון הרבה יותר מהשיעור גם זה מקרי שעת הדחק וכמ"ש בכמה דוכתי אטו תרקבי דדינרי כו'</w:t>
      </w:r>
      <w:r w:rsidR="00E507C8">
        <w:rPr>
          <w:rFonts w:cs="Arial" w:hint="cs"/>
          <w:rtl/>
        </w:rPr>
        <w:t>.</w:t>
      </w:r>
      <w:r>
        <w:rPr>
          <w:rFonts w:cs="Arial"/>
          <w:rtl/>
        </w:rPr>
        <w:t xml:space="preserve"> ומ"מ אין להקל רק מהסכמת גדולי הדור (וכן הוא דעת אא"ז בתשו' פמ"א (ח"ב ס"ס ס"ט וסי' עא) דבמקום עיגון יש לסמוך על דיעה ראשונה ע"ש באורך). וכ' עוד והנה אם יסכימו משום עיגונא להקל ולסמוך על קיום הגט בחותמיו יש לנו לדון איך יהיה הקיום</w:t>
      </w:r>
      <w:r w:rsidR="00E507C8">
        <w:rPr>
          <w:rFonts w:cs="Arial" w:hint="cs"/>
          <w:rtl/>
        </w:rPr>
        <w:t>,</w:t>
      </w:r>
      <w:r>
        <w:rPr>
          <w:rFonts w:cs="Arial"/>
          <w:rtl/>
        </w:rPr>
        <w:t xml:space="preserve"> כי נראה שנוסח שליחות שלנו אינו מספיק לחשבו לגט מקויים וכמ"ש הריב"ש (סי' שיח, הובא לקמן סי' קמב ס"א </w:t>
      </w:r>
      <w:r w:rsidR="009334FF">
        <w:rPr>
          <w:rFonts w:cs="Arial"/>
          <w:rtl/>
        </w:rPr>
        <w:t>בהג"ה</w:t>
      </w:r>
      <w:r>
        <w:rPr>
          <w:rFonts w:cs="Arial"/>
          <w:rtl/>
        </w:rPr>
        <w:t>, ועב"ש סקמ"ד). וגם אין ראוי לקיימו כדרך שאר שטרות שהב"ד כותבין תחת חתימת העדים במותב תלתא כו' דאין ראוי להוסיף ולכתוב בגט שום דבר יותר ממה שתקנו בכל הגיטין ויש לחוש בזה לשינוי מטבע בגיטין. ואין לומר שכיון שקיום הגט מועיל אפי' אחר הנתינה א"כ נוכל ליתן מקודם בלא קיום ולקיימו אח"כ ואז יכולין שפיר לכתוב הקיום בגט עצמו דאחר נתינה אין חשש שינוי מטבע, דנראה דדוקא בדיעבד אם כבר ניתן הגט לידה יכולין לקיימו אח"כ אבל לכתחילה בודאי צריכין לתקן ולקיים הגט קודם נתינה. ונראה שיש לקיימו ע"י סימנים דהיינו שיכתבו איזה שינוי שנמצא בגט או שינוי אותיות או תיבה או נקב בצד אות פ' או סימן בראשי ד' שיטות כו'. ולפ"ז צריכין לשלוח הגט למקום שהעדים שם כדי לקיימו בחתימתן שם דהיינו שהעדים עצמם החתומין על הגט או שאר עדים המכירין חתימתן יעידו לפני ב"ד של שלשה על חתימת העדים שבזה הגט, והב"ד יכתבו הקיום בשטר בפני עצמו איך שאותן העדים החתומין על הגט שסימניו כך וזמנו ושמות איש ואשה כך ושנכתב באותו מקום נתקיימו אותן חתימות לפנינו כו' עכ"ד ע"ש ועיין בתשו' מהר"ם לובלין ס"ס כ"ה, פת"ש (סקל"א).</w:t>
      </w:r>
    </w:p>
  </w:footnote>
  <w:footnote w:id="1987">
    <w:p w14:paraId="0C5D448F" w14:textId="7E10F04B" w:rsidR="00FA2119" w:rsidRDefault="00FA2119" w:rsidP="00FA2119">
      <w:pPr>
        <w:pStyle w:val="a5"/>
        <w:rPr>
          <w:rtl/>
        </w:rPr>
      </w:pPr>
      <w:r>
        <w:rPr>
          <w:rStyle w:val="a7"/>
        </w:rPr>
        <w:footnoteRef/>
      </w:r>
      <w:r>
        <w:rPr>
          <w:rtl/>
        </w:rPr>
        <w:t xml:space="preserve"> </w:t>
      </w:r>
      <w:r>
        <w:rPr>
          <w:rFonts w:cs="Arial"/>
          <w:rtl/>
        </w:rPr>
        <w:t>ועיין בתשו' ברית אברהם (סי' קכה אות ו) אודות השליח שבבואו למקום האשה לא רצה למסור הגט בעד סך ששה זהו</w:t>
      </w:r>
      <w:r w:rsidR="00F32615">
        <w:rPr>
          <w:rFonts w:cs="Arial" w:hint="cs"/>
          <w:rtl/>
        </w:rPr>
        <w:t>בים</w:t>
      </w:r>
      <w:r>
        <w:rPr>
          <w:rFonts w:cs="Arial"/>
          <w:rtl/>
        </w:rPr>
        <w:t xml:space="preserve"> שהבטיח לו המגרש עד שהאש' תשלם לו יותר והתפשרו בסך ט"ו זהו</w:t>
      </w:r>
      <w:r w:rsidR="00F32615">
        <w:rPr>
          <w:rFonts w:cs="Arial" w:hint="cs"/>
          <w:rtl/>
        </w:rPr>
        <w:t>בים</w:t>
      </w:r>
      <w:r>
        <w:rPr>
          <w:rFonts w:cs="Arial"/>
          <w:rtl/>
        </w:rPr>
        <w:t xml:space="preserve"> ומסר הגט. וכתב דיש לדון לפסול הגט לפ</w:t>
      </w:r>
      <w:r w:rsidR="00F32615">
        <w:rPr>
          <w:rFonts w:cs="Arial" w:hint="cs"/>
          <w:rtl/>
        </w:rPr>
        <w:t>י מה</w:t>
      </w:r>
      <w:r>
        <w:rPr>
          <w:rFonts w:cs="Arial"/>
          <w:rtl/>
        </w:rPr>
        <w:t xml:space="preserve"> דנסתפק בתשו' מהריב"ל (ח"א כלל ג) בנוטל שכר להעיד אי פסול מדאו</w:t>
      </w:r>
      <w:r w:rsidR="00F32615">
        <w:rPr>
          <w:rFonts w:cs="Arial" w:hint="cs"/>
          <w:rtl/>
        </w:rPr>
        <w:t>'</w:t>
      </w:r>
      <w:r>
        <w:rPr>
          <w:rFonts w:cs="Arial"/>
          <w:rtl/>
        </w:rPr>
        <w:t xml:space="preserve"> משום נגיעה או רק פסול מדרבנן, ובתירוץ הב' שם העלה דנוטל שכר יותר מהראוי הוי פסול ד"ת, וא"כ לדעתי נראה הא דשליח נוטל שכר אף דצריך להעיד בפ"נ ובפ"נ העיקר מה שאנו סומכים להקל בזה הוא ע"ד ת' הרשב"א שהובא ברמ"א </w:t>
      </w:r>
      <w:r w:rsidR="00F32615">
        <w:rPr>
          <w:rFonts w:cs="Arial" w:hint="cs"/>
          <w:rtl/>
        </w:rPr>
        <w:t>(</w:t>
      </w:r>
      <w:r>
        <w:rPr>
          <w:rFonts w:cs="Arial"/>
          <w:rtl/>
        </w:rPr>
        <w:t>ח</w:t>
      </w:r>
      <w:r w:rsidR="00F32615">
        <w:rPr>
          <w:rFonts w:cs="Arial" w:hint="cs"/>
          <w:rtl/>
        </w:rPr>
        <w:t>ו</w:t>
      </w:r>
      <w:r>
        <w:rPr>
          <w:rFonts w:cs="Arial"/>
          <w:rtl/>
        </w:rPr>
        <w:t>"מ סי' לד סי"ח</w:t>
      </w:r>
      <w:r w:rsidR="00F32615">
        <w:rPr>
          <w:rFonts w:cs="Arial" w:hint="cs"/>
          <w:rtl/>
        </w:rPr>
        <w:t>)</w:t>
      </w:r>
      <w:r>
        <w:rPr>
          <w:rFonts w:cs="Arial"/>
          <w:rtl/>
        </w:rPr>
        <w:t xml:space="preserve"> דאם מתחילה נוטל שכר לילך להעיד מותר... עש"ב. מיהו כל עיקר ספיקו לא שייך אלא לדעת מהריב"ל</w:t>
      </w:r>
      <w:r w:rsidR="00F32615">
        <w:rPr>
          <w:rFonts w:cs="Arial" w:hint="cs"/>
          <w:rtl/>
        </w:rPr>
        <w:t>,</w:t>
      </w:r>
      <w:r>
        <w:rPr>
          <w:rFonts w:cs="Arial"/>
          <w:rtl/>
        </w:rPr>
        <w:t xml:space="preserve"> משא"כ לדעת הנו"ב </w:t>
      </w:r>
      <w:r w:rsidR="00F32615">
        <w:rPr>
          <w:rFonts w:cs="Arial" w:hint="cs"/>
          <w:rtl/>
        </w:rPr>
        <w:t>(</w:t>
      </w:r>
      <w:r>
        <w:rPr>
          <w:rFonts w:cs="Arial"/>
          <w:rtl/>
        </w:rPr>
        <w:t>תניינא סי' קכח</w:t>
      </w:r>
      <w:r w:rsidR="00F32615">
        <w:rPr>
          <w:rFonts w:cs="Arial" w:hint="cs"/>
          <w:rtl/>
        </w:rPr>
        <w:t>)</w:t>
      </w:r>
      <w:r>
        <w:rPr>
          <w:rFonts w:cs="Arial"/>
          <w:rtl/>
        </w:rPr>
        <w:t xml:space="preserve"> שהבאתי בס"ק הקודם דנוגע כשר להעיד בפ"נ ובפ"נ לית כאן שום ספיקא דודאי הגט כשר. שוב ראיתי בתשו' מהרי"מ מבריסק (סי' לו) נשאל על נדון כזה... והביא שם דברי הנוב"ת הנ"ל שדעתו בפשיטות להכשיר בגט אשה היכא דהשליח נוגע בדבר, והוא ז"ל כתב עליו דאין ראיותיו ברורים והאריך בזה ומסיק דמ"מ יש לסמוך על הנו"ב ז"ל במקום עיגון ואם יסכים עוד גדול אחד אהי' סניף להתיר ע"ש, ועיין בתשו' רעק"א ז"ל (סי' רכב), פת"ש (סק"ל).</w:t>
      </w:r>
    </w:p>
  </w:footnote>
  <w:footnote w:id="1988">
    <w:p w14:paraId="711BC8E9" w14:textId="3B8A73D6" w:rsidR="00FA2119" w:rsidRDefault="00FA2119" w:rsidP="00FA2119">
      <w:pPr>
        <w:pStyle w:val="a5"/>
        <w:rPr>
          <w:rtl/>
        </w:rPr>
      </w:pPr>
      <w:r>
        <w:rPr>
          <w:rStyle w:val="a7"/>
        </w:rPr>
        <w:footnoteRef/>
      </w:r>
      <w:r>
        <w:rPr>
          <w:rtl/>
        </w:rPr>
        <w:t xml:space="preserve"> </w:t>
      </w:r>
      <w:r>
        <w:rPr>
          <w:rFonts w:cs="Arial"/>
          <w:rtl/>
        </w:rPr>
        <w:t xml:space="preserve">ועיין בס' גט מקושר </w:t>
      </w:r>
      <w:r w:rsidR="003E410B">
        <w:rPr>
          <w:rFonts w:cs="Arial" w:hint="cs"/>
          <w:rtl/>
        </w:rPr>
        <w:t>(</w:t>
      </w:r>
      <w:r>
        <w:rPr>
          <w:rFonts w:cs="Arial"/>
          <w:rtl/>
        </w:rPr>
        <w:t>ס"ג שני אות ו</w:t>
      </w:r>
      <w:r w:rsidR="003E410B">
        <w:rPr>
          <w:rFonts w:cs="Arial" w:hint="cs"/>
          <w:rtl/>
        </w:rPr>
        <w:t xml:space="preserve">) </w:t>
      </w:r>
      <w:r>
        <w:rPr>
          <w:rFonts w:cs="Arial"/>
          <w:rtl/>
        </w:rPr>
        <w:t xml:space="preserve">שכ' דבזה צריכים לומר בפ"נ ובפ"נ אף אם הם שנים שהביאוהו, דלא אמרינן ששנים שהביאו א"צ לומר בפ"נ ובפ"נ אלא היכא שהם כשרים להעיד כדלקמן </w:t>
      </w:r>
      <w:r w:rsidR="003E410B">
        <w:rPr>
          <w:rFonts w:cs="Arial" w:hint="cs"/>
          <w:rtl/>
        </w:rPr>
        <w:t>(</w:t>
      </w:r>
      <w:r>
        <w:rPr>
          <w:rFonts w:cs="Arial"/>
          <w:rtl/>
        </w:rPr>
        <w:t>סי' קמב סי"ח</w:t>
      </w:r>
      <w:r w:rsidR="003E410B">
        <w:rPr>
          <w:rFonts w:cs="Arial" w:hint="cs"/>
          <w:rtl/>
        </w:rPr>
        <w:t>)</w:t>
      </w:r>
      <w:r>
        <w:rPr>
          <w:rFonts w:cs="Arial"/>
          <w:rtl/>
        </w:rPr>
        <w:t xml:space="preserve">, וכאן אין להם דין עדות דבעינן תחילתו וסופו בכשרות ע"ש. ועמ"ש לקמן </w:t>
      </w:r>
      <w:r w:rsidR="003E410B">
        <w:rPr>
          <w:rFonts w:cs="Arial" w:hint="cs"/>
          <w:rtl/>
        </w:rPr>
        <w:t>(</w:t>
      </w:r>
      <w:r>
        <w:rPr>
          <w:rFonts w:cs="Arial"/>
          <w:rtl/>
        </w:rPr>
        <w:t>סי' קמב סי"א סקי"ט</w:t>
      </w:r>
      <w:r w:rsidR="003E410B">
        <w:rPr>
          <w:rFonts w:cs="Arial" w:hint="cs"/>
          <w:rtl/>
        </w:rPr>
        <w:t>)</w:t>
      </w:r>
      <w:r>
        <w:rPr>
          <w:rFonts w:cs="Arial"/>
          <w:rtl/>
        </w:rPr>
        <w:t>, פת"ש (סקל"ג).</w:t>
      </w:r>
    </w:p>
  </w:footnote>
  <w:footnote w:id="1989">
    <w:p w14:paraId="51F77DDE" w14:textId="77777777" w:rsidR="00FA2119" w:rsidRDefault="00FA2119" w:rsidP="00FA2119">
      <w:pPr>
        <w:pStyle w:val="a5"/>
        <w:rPr>
          <w:rtl/>
        </w:rPr>
      </w:pPr>
      <w:r>
        <w:rPr>
          <w:rStyle w:val="a7"/>
        </w:rPr>
        <w:footnoteRef/>
      </w:r>
      <w:r>
        <w:rPr>
          <w:rtl/>
        </w:rPr>
        <w:t xml:space="preserve"> </w:t>
      </w:r>
      <w:r>
        <w:rPr>
          <w:rFonts w:cs="Arial"/>
          <w:rtl/>
        </w:rPr>
        <w:t xml:space="preserve">וכתב הר"ן ולא ידעתי מאי שייטא דרבי אלעזר הכא. והה"מ אחרי שכתב דברי בה"ג בפ"ו כתב- ובעיטור </w:t>
      </w:r>
      <w:r>
        <w:rPr>
          <w:rFonts w:cs="Arial"/>
          <w:sz w:val="16"/>
          <w:szCs w:val="16"/>
          <w:rtl/>
        </w:rPr>
        <w:t>(אות ש שלישות גט מו:)</w:t>
      </w:r>
      <w:r>
        <w:rPr>
          <w:rFonts w:cs="Arial"/>
          <w:rtl/>
        </w:rPr>
        <w:t xml:space="preserve"> כתוב ואנן דכתבינן </w:t>
      </w:r>
      <w:r>
        <w:rPr>
          <w:rFonts w:cs="Arial"/>
          <w:sz w:val="16"/>
          <w:szCs w:val="16"/>
          <w:rtl/>
        </w:rPr>
        <w:t xml:space="preserve">(מאמר ח לב:) </w:t>
      </w:r>
      <w:r>
        <w:rPr>
          <w:rFonts w:cs="Arial"/>
          <w:rtl/>
        </w:rPr>
        <w:t xml:space="preserve">דרבי אלעזר מכשיר אפילו לכתחלה מסתברא הכי נמי אם נתגרשה תנשא לכתחלה בעדי מסירה עכ"ל. וגם הרא"ש בספ"ב דגיטין </w:t>
      </w:r>
      <w:r>
        <w:rPr>
          <w:rFonts w:cs="Arial"/>
          <w:sz w:val="16"/>
          <w:szCs w:val="16"/>
          <w:rtl/>
        </w:rPr>
        <w:t xml:space="preserve">(סי' כז) </w:t>
      </w:r>
      <w:r>
        <w:rPr>
          <w:rFonts w:cs="Arial"/>
          <w:rtl/>
        </w:rPr>
        <w:t>כתב דברי בה"ג וכתב עליהם- ודבריו תימה דודאי אם עשה הבעל את הגוי שליח ואמר לו שימנה הוא את הישראל במקומו הוי פסול דאין שליחות לגוי וגם אינו בר כריתות אבל הכא כיון דלא עשה הגוי אלא מעשה קוף בעלמא ומינה הבעל בכתבו את ישראל שבאותו מקום שליח למה יפסל הגט וכן נוהגין באשכנז וכו', ב"י.</w:t>
      </w:r>
    </w:p>
  </w:footnote>
  <w:footnote w:id="1990">
    <w:p w14:paraId="1EA484CB" w14:textId="56D74391" w:rsidR="00FA2119" w:rsidRDefault="00FA2119" w:rsidP="00FA2119">
      <w:pPr>
        <w:pStyle w:val="a5"/>
        <w:rPr>
          <w:rFonts w:cs="Arial"/>
        </w:rPr>
      </w:pPr>
      <w:r>
        <w:rPr>
          <w:rStyle w:val="a7"/>
        </w:rPr>
        <w:footnoteRef/>
      </w:r>
      <w:r>
        <w:rPr>
          <w:rtl/>
        </w:rPr>
        <w:t xml:space="preserve"> </w:t>
      </w:r>
      <w:r>
        <w:rPr>
          <w:rFonts w:cs="Arial"/>
          <w:rtl/>
        </w:rPr>
        <w:t>וכן הוא במרדכי (פ"ב דגיטין סי' שמח), ומשמע שם דאפילו לא ידענו בודאי שמינה ישראל לשליח ולא מינה הגוי - אפילו הכי כשר, דמסתמא כך הוה, דהכל יודעין דאין שליחות לגוי ובודאי לא היתה כוונתו לגוי אלא על הישראל</w:t>
      </w:r>
      <w:r w:rsidR="008C4453">
        <w:rPr>
          <w:rFonts w:cs="Arial" w:hint="cs"/>
          <w:rtl/>
        </w:rPr>
        <w:t>...</w:t>
      </w:r>
      <w:r w:rsidR="008C4453" w:rsidRPr="008C4453">
        <w:rPr>
          <w:rFonts w:cs="Arial"/>
          <w:rtl/>
        </w:rPr>
        <w:t xml:space="preserve"> </w:t>
      </w:r>
      <w:r w:rsidR="008C4453">
        <w:rPr>
          <w:rFonts w:cs="Arial"/>
          <w:rtl/>
        </w:rPr>
        <w:t>ועיין לעיל סימן זה (אות ו**) כתבתי דיש סוברין דאין למנות שליח ע"י כתב</w:t>
      </w:r>
      <w:r>
        <w:rPr>
          <w:rFonts w:cs="Arial"/>
          <w:rtl/>
        </w:rPr>
        <w:t>, דרכ"מ (אות כט).</w:t>
      </w:r>
    </w:p>
  </w:footnote>
  <w:footnote w:id="1991">
    <w:p w14:paraId="626652F4" w14:textId="31143B4D" w:rsidR="00FA2119" w:rsidRDefault="00FA2119" w:rsidP="00FA2119">
      <w:pPr>
        <w:pStyle w:val="a5"/>
        <w:rPr>
          <w:rtl/>
        </w:rPr>
      </w:pPr>
      <w:r>
        <w:rPr>
          <w:rStyle w:val="a7"/>
        </w:rPr>
        <w:footnoteRef/>
      </w:r>
      <w:r>
        <w:rPr>
          <w:rtl/>
        </w:rPr>
        <w:t xml:space="preserve"> </w:t>
      </w:r>
      <w:r>
        <w:rPr>
          <w:rFonts w:cs="Arial"/>
          <w:rtl/>
        </w:rPr>
        <w:t>לדעת יש אומרים דלעיל סעיף י"א איירי בעושה השליח ישראל לפני עדים. וגם ע"כ או דאיירי בארץ ישראל שא"צ לומר בפני נכתב (ע"ל סי' קמב ס"א) או בגט מקויים וכן משמעות המרדכי פרק כל הגט, בית מאיר (הביאו הפת"ש סקל"ד).</w:t>
      </w:r>
    </w:p>
  </w:footnote>
  <w:footnote w:id="1992">
    <w:p w14:paraId="0A8941BF" w14:textId="550EBA77" w:rsidR="00FA2119" w:rsidRDefault="00FA2119" w:rsidP="00FA2119">
      <w:pPr>
        <w:pStyle w:val="a5"/>
        <w:rPr>
          <w:rtl/>
        </w:rPr>
      </w:pPr>
      <w:r>
        <w:rPr>
          <w:rStyle w:val="a7"/>
        </w:rPr>
        <w:footnoteRef/>
      </w:r>
      <w:r>
        <w:rPr>
          <w:rtl/>
        </w:rPr>
        <w:t xml:space="preserve"> </w:t>
      </w:r>
      <w:r>
        <w:rPr>
          <w:rFonts w:cs="Arial"/>
          <w:rtl/>
        </w:rPr>
        <w:t>עיין בתשו' הגאון מהרי"מ ז"ל מבריסק (סי' לג) שכ' הנה הרמ"א ז"ל החמיר ביותר ומשמעות לשונו דאין למנות שליח בכתב אפי' ע"י ישראל אבל פשוט שבמקום עיגון אין לחוש לזה. וכן מבואר בת' אמונת שמואל (סי' י) דבמקום עיגון שרי למנות שליח בכתב... וכן בס' יאיר נתיב (סי' יא) העתיק תשובת הרדב"ז שיש לסמוך על ר"ת והרא"ש והטור ורי"ו והג"א בשם ראבי"ה ואביו רבינו יואל כו'. וסיים הרדב"ז שנתן הגט אפילו לכתחלה ואין לבו נוקפו בזה ע"ש עוד... ושם בסי' הקודם כתב בשם ת' בית אפרים סי' ק"י דמ"ש הרמ"א ז"ל שאין נוהגים לעשות שליח בכתב זה דוקא בממנה השליח רק בכתב, בזה אפשר דהחמירו כיון דבפקח אינו יכול לגרש ע"י שיכתוב לסופר ולעדים לדעת המחמירין בזה (לעיל סי' ק"כ ס"ה ועמ"ש שם סקי"ח) ה"ה דהחמיר הרמ"א שלא למנות שליח בכתב דהיינו דע"י כתבו נעשה שליח. אבל היכא שאומר בע"פ שיהיה שליח, רק הרב וב"ד מודיעים זאת בכתב - בודאי מועיל ואין זה ענין לשליח בכתב ע"ש, פת"ש (סקל"ה).</w:t>
      </w:r>
    </w:p>
  </w:footnote>
  <w:footnote w:id="1993">
    <w:p w14:paraId="4EABED77" w14:textId="77777777" w:rsidR="00FA2119" w:rsidRDefault="00FA2119" w:rsidP="00FA2119">
      <w:pPr>
        <w:pStyle w:val="a5"/>
        <w:rPr>
          <w:rtl/>
        </w:rPr>
      </w:pPr>
      <w:r>
        <w:rPr>
          <w:rStyle w:val="a7"/>
        </w:rPr>
        <w:footnoteRef/>
      </w:r>
      <w:r>
        <w:rPr>
          <w:rtl/>
        </w:rPr>
        <w:t xml:space="preserve"> </w:t>
      </w:r>
      <w:r>
        <w:rPr>
          <w:rFonts w:cs="Arial"/>
          <w:rtl/>
        </w:rPr>
        <w:t>צריך עיון ממש שכתב הרב הנ"ל בעצמו בכוונת הרמ"א לעיל סימן ד' דרמז להיש חולקין כאן והרי שם איירי שממנה השליח בפיו רק שהוא שלא בפני השליח, פת"ש (סקל"ה).</w:t>
      </w:r>
    </w:p>
  </w:footnote>
  <w:footnote w:id="1994">
    <w:p w14:paraId="34C1C719" w14:textId="77777777" w:rsidR="00FA2119" w:rsidRDefault="00FA2119" w:rsidP="00FA2119">
      <w:pPr>
        <w:pStyle w:val="a5"/>
        <w:rPr>
          <w:rtl/>
        </w:rPr>
      </w:pPr>
      <w:r>
        <w:rPr>
          <w:rStyle w:val="a7"/>
        </w:rPr>
        <w:footnoteRef/>
      </w:r>
      <w:r>
        <w:rPr>
          <w:rtl/>
        </w:rPr>
        <w:t xml:space="preserve"> </w:t>
      </w:r>
      <w:r>
        <w:rPr>
          <w:rFonts w:cs="Arial"/>
          <w:rtl/>
        </w:rPr>
        <w:t>ולע"ד מ"ש דהרמ"א ז"ל לא חשש להחמיר מטעם הגאונים הואיל ויד כותי באמצע דאדרבא בזה דעתו להכשיר רק שחשש לדעת הסוברים דבעינן קולו כו' - הוא פשוט וברור, וכן מבואר מדברי הב"מ כאן ומדברי תשובת מהרי"מ שהובא לעיל ונ"מ דגם בהובא הכתב ע"י ישראל מחמיר הרמ"א ז"ל. ועוד נ"מ בזה לענ"ד היכא דהשליח שמינהו הבעל בפנינו הולך ובא בעצמו למקום האשה, רק מחמת שאינו רוצה להוליך עמו הגט פן יאבד בדרך רחוקה או שאר טעמים ולכן רוצה לשלוח הגט ע"י הבי דואר ליד איש אחד, וכשיבא השליח יקבלו בעצמו מיד האיש שנשלח לו ע"י שמכיר הגט בט"ע ובסימנים וימסור בעצמו ליד האשה, ובזה אי נימא כדברי באר הגולה דהרמ"א חשש לדעת הגאונים גם בזה יש להחמיר... אמנם לד' הגדולים הנ"ל דהרמ"א לא חשש כלל לדעת הגאונים רק מצד דבעינן שהשליח ישמע קולו של בעל שממנה אותו לשליח א"כ בכה"ג אין שום חשש... ולענין הל' הגם שהגדולים הנ"ל כתבו להקל במקום עיגון לשלוח הגט ע"י בי דואר כפי האמור לעיל ויש סעד לדבריהם משו"ת תשב"ץ סי' הנ"ל שהתיר הל' למעשה לשלוח גט ע"י כותי ליד ש"ה וכתב שם דכבר נפל המנהג בכל המקומות להכשיר אפי' לכתחילה על פי דברי גדול האחרונים (הרא"ש) ז"ל ע"ש וגם בדברי הח"מ וב"ש לעיל סימן ל"ה סקי"ח משמע דלית דחש לדעת הגאונים בזה עכ"ז למעשה צ"ע רב בקיבוץ חכמים ועיין בתשו' ריב"ש סי' נ"ה שהביא הב"י תחלת סי' זה משמע ג"כ דיש חשש איסור בדבר (עב"ש סק"ד) עד שמפני זה כתב דמוטב שהיא תעשה ש"ק מיד שליח בעלה ע"ש, פת"ש (סקל"ה).</w:t>
      </w:r>
    </w:p>
  </w:footnote>
  <w:footnote w:id="1995">
    <w:p w14:paraId="08FFCDE5" w14:textId="77777777" w:rsidR="00FA2119" w:rsidRDefault="00FA2119" w:rsidP="00FA2119">
      <w:pPr>
        <w:pStyle w:val="a5"/>
        <w:rPr>
          <w:rtl/>
        </w:rPr>
      </w:pPr>
      <w:r>
        <w:rPr>
          <w:rStyle w:val="a7"/>
        </w:rPr>
        <w:footnoteRef/>
      </w:r>
      <w:r>
        <w:rPr>
          <w:rtl/>
        </w:rPr>
        <w:t xml:space="preserve"> </w:t>
      </w:r>
      <w:r>
        <w:rPr>
          <w:rFonts w:cs="Arial"/>
          <w:rtl/>
        </w:rPr>
        <w:t>תוס' (כג. ד"ה ממי) רשב"א (כט: ד"ה ההוא) סמ"ג (עשין נ קל:) הגה"מ (פ"ט אות י) מרדכי (סי' שנט) רא"ש (פ' כל הגט סי' ט) הה"מ (פ"ז הי"ט) טור רי"ו (ח"ג נכ"ד רח ע"ג) ור"ן (פ"ג דגיטין יא: ד"ה אלא)</w:t>
      </w:r>
      <w:r>
        <w:rPr>
          <w:rtl/>
        </w:rPr>
        <w:t>.</w:t>
      </w:r>
    </w:p>
  </w:footnote>
  <w:footnote w:id="1996">
    <w:p w14:paraId="588A8C6D" w14:textId="77777777" w:rsidR="00FA2119" w:rsidRDefault="00FA2119" w:rsidP="00FA2119">
      <w:pPr>
        <w:pStyle w:val="a5"/>
        <w:rPr>
          <w:rtl/>
        </w:rPr>
      </w:pPr>
      <w:r>
        <w:rPr>
          <w:rStyle w:val="a7"/>
        </w:rPr>
        <w:footnoteRef/>
      </w:r>
      <w:r>
        <w:rPr>
          <w:rtl/>
        </w:rPr>
        <w:t xml:space="preserve"> </w:t>
      </w:r>
      <w:r>
        <w:rPr>
          <w:rFonts w:cs="Arial"/>
          <w:rtl/>
        </w:rPr>
        <w:t>והחילוק שבין סומא לפיקח בדין זה כתבו רבינו בסימן קמ"ב (נח.)</w:t>
      </w:r>
      <w:r>
        <w:rPr>
          <w:rtl/>
        </w:rPr>
        <w:t>, ב"י.</w:t>
      </w:r>
    </w:p>
  </w:footnote>
  <w:footnote w:id="1997">
    <w:p w14:paraId="563A2151" w14:textId="77777777" w:rsidR="00FA2119" w:rsidRDefault="00FA2119" w:rsidP="00FA2119">
      <w:pPr>
        <w:pStyle w:val="a5"/>
        <w:rPr>
          <w:rtl/>
        </w:rPr>
      </w:pPr>
      <w:r>
        <w:rPr>
          <w:rStyle w:val="a7"/>
        </w:rPr>
        <w:footnoteRef/>
      </w:r>
      <w:r>
        <w:rPr>
          <w:rtl/>
        </w:rPr>
        <w:t xml:space="preserve"> </w:t>
      </w:r>
      <w:r>
        <w:rPr>
          <w:rFonts w:cs="Arial"/>
          <w:rtl/>
        </w:rPr>
        <w:t>איני מכירה, רש"י.</w:t>
      </w:r>
    </w:p>
  </w:footnote>
  <w:footnote w:id="1998">
    <w:p w14:paraId="0F1CF399" w14:textId="77777777" w:rsidR="00FA2119" w:rsidRDefault="00FA2119" w:rsidP="00FA2119">
      <w:pPr>
        <w:pStyle w:val="a5"/>
      </w:pPr>
      <w:r>
        <w:rPr>
          <w:rStyle w:val="a7"/>
        </w:rPr>
        <w:footnoteRef/>
      </w:r>
      <w:r>
        <w:rPr>
          <w:rtl/>
        </w:rPr>
        <w:t xml:space="preserve"> </w:t>
      </w:r>
      <w:r>
        <w:rPr>
          <w:rFonts w:cs="Arial"/>
          <w:rtl/>
        </w:rPr>
        <w:t>אמור דברי שליחותך בפנינו ותן לנו הגט ואמור בפני נכתב ובפני נחתם ואנו נמסרנו לו ויהיה שליח ב"ד</w:t>
      </w:r>
      <w:r>
        <w:rPr>
          <w:rtl/>
        </w:rPr>
        <w:t>, רש"י.</w:t>
      </w:r>
    </w:p>
  </w:footnote>
  <w:footnote w:id="1999">
    <w:p w14:paraId="64B9FFE2" w14:textId="77777777" w:rsidR="00FA2119" w:rsidRDefault="00FA2119" w:rsidP="00FA2119">
      <w:pPr>
        <w:pStyle w:val="a5"/>
        <w:rPr>
          <w:rtl/>
        </w:rPr>
      </w:pPr>
      <w:r>
        <w:rPr>
          <w:rStyle w:val="a7"/>
        </w:rPr>
        <w:footnoteRef/>
      </w:r>
      <w:r>
        <w:rPr>
          <w:rtl/>
        </w:rPr>
        <w:t xml:space="preserve"> </w:t>
      </w:r>
      <w:r>
        <w:rPr>
          <w:rFonts w:cs="Arial"/>
          <w:rtl/>
        </w:rPr>
        <w:t>השליח הזה לא נעשה שליח לגרשה אלא למוסרו לאבא בר מניומי הלכך לאו במקום בעל קאי למוסרו ליד אחר, רש"י.</w:t>
      </w:r>
    </w:p>
  </w:footnote>
  <w:footnote w:id="2000">
    <w:p w14:paraId="4E9A6FFF" w14:textId="77777777" w:rsidR="00FA2119" w:rsidRDefault="00FA2119" w:rsidP="00FA2119">
      <w:pPr>
        <w:pStyle w:val="a5"/>
      </w:pPr>
      <w:r>
        <w:rPr>
          <w:rStyle w:val="a7"/>
        </w:rPr>
        <w:footnoteRef/>
      </w:r>
      <w:r>
        <w:rPr>
          <w:rtl/>
        </w:rPr>
        <w:t xml:space="preserve"> </w:t>
      </w:r>
      <w:r>
        <w:rPr>
          <w:rFonts w:cs="Arial"/>
          <w:rtl/>
        </w:rPr>
        <w:t>הלא אינה תשובה, דמי אמר ליה בעל: 'אבא בר מניומי יגרשנה ולא אתה'? אי הוה האי ידע לה - הרי צוהו תחלה לגרשה</w:t>
      </w:r>
      <w:r>
        <w:rPr>
          <w:rtl/>
        </w:rPr>
        <w:t>, רש"י.</w:t>
      </w:r>
    </w:p>
  </w:footnote>
  <w:footnote w:id="2001">
    <w:p w14:paraId="15C75CE3" w14:textId="77777777" w:rsidR="00FA2119" w:rsidRDefault="00FA2119" w:rsidP="00FA2119">
      <w:pPr>
        <w:pStyle w:val="a5"/>
        <w:rPr>
          <w:rtl/>
        </w:rPr>
      </w:pPr>
      <w:r>
        <w:rPr>
          <w:rStyle w:val="a7"/>
        </w:rPr>
        <w:footnoteRef/>
      </w:r>
      <w:r>
        <w:rPr>
          <w:rtl/>
        </w:rPr>
        <w:t xml:space="preserve"> </w:t>
      </w:r>
      <w:r>
        <w:rPr>
          <w:rFonts w:cs="Arial"/>
          <w:rtl/>
        </w:rPr>
        <w:t>דרבא אמר שאינה תשובה אלא בטעות קפחם, ואמר רב אשי מאי טעותא? שפיר קפחינהו</w:t>
      </w:r>
      <w:r>
        <w:rPr>
          <w:rtl/>
        </w:rPr>
        <w:t>!, רש"י.</w:t>
      </w:r>
    </w:p>
  </w:footnote>
  <w:footnote w:id="2002">
    <w:p w14:paraId="1C431C60" w14:textId="77777777" w:rsidR="00FA2119" w:rsidRDefault="00FA2119" w:rsidP="00FA2119">
      <w:pPr>
        <w:pStyle w:val="a5"/>
        <w:rPr>
          <w:rtl/>
        </w:rPr>
      </w:pPr>
      <w:r>
        <w:rPr>
          <w:rStyle w:val="a7"/>
        </w:rPr>
        <w:footnoteRef/>
      </w:r>
      <w:r>
        <w:rPr>
          <w:rtl/>
        </w:rPr>
        <w:t xml:space="preserve"> </w:t>
      </w:r>
      <w:r>
        <w:rPr>
          <w:rFonts w:cs="Arial"/>
          <w:rtl/>
        </w:rPr>
        <w:t>מאחר שאינך מכירה, הוא יהא שליח מעתה ולאו את. בלישנא קמא גרסינן '</w:t>
      </w:r>
      <w:r>
        <w:rPr>
          <w:rFonts w:cs="Arial"/>
          <w:b/>
          <w:bCs/>
          <w:rtl/>
        </w:rPr>
        <w:t>מי</w:t>
      </w:r>
      <w:r>
        <w:rPr>
          <w:rFonts w:cs="Arial"/>
          <w:rtl/>
        </w:rPr>
        <w:t xml:space="preserve"> אמר ליה', בלישנא בתרא גרסי' '</w:t>
      </w:r>
      <w:r>
        <w:rPr>
          <w:rFonts w:cs="Arial"/>
          <w:b/>
          <w:bCs/>
          <w:rtl/>
        </w:rPr>
        <w:t>מאי</w:t>
      </w:r>
      <w:r>
        <w:rPr>
          <w:rFonts w:cs="Arial"/>
          <w:rtl/>
        </w:rPr>
        <w:t xml:space="preserve"> קאמר ליה', רש"י.</w:t>
      </w:r>
    </w:p>
  </w:footnote>
  <w:footnote w:id="2003">
    <w:p w14:paraId="55A45349" w14:textId="77777777" w:rsidR="00FA2119" w:rsidRDefault="00FA2119" w:rsidP="00FA2119">
      <w:pPr>
        <w:pStyle w:val="a5"/>
      </w:pPr>
      <w:r>
        <w:rPr>
          <w:rStyle w:val="a7"/>
        </w:rPr>
        <w:footnoteRef/>
      </w:r>
      <w:r>
        <w:rPr>
          <w:rtl/>
        </w:rPr>
        <w:t xml:space="preserve"> </w:t>
      </w:r>
      <w:r>
        <w:rPr>
          <w:rFonts w:cs="Arial"/>
          <w:rtl/>
        </w:rPr>
        <w:t>כן מבואר בגמרא, ואינו דומה לשולח ביד כותי (בסעיף הקודם) ולא חשבינן נמי זה למעשה קוף ובפרט דבכותי מכשיר אף לכתחלה ולא חיישינן שמא הכותי ישלחנו ע"י כותי אחר להשליח, דשאני התם דזה ממנה עיקר השליחות בכתב כמבואר סעיף י"ד ולכן לא הוה הכותי אלא מעשה קוף ומה לי קוף זה או אחר, משא"כ הכא דשליח גמור הוא שעל פיו יהא נעשה השני ש"ה, אך מפני דשליח שלא ניתן לגירושין הוא אין כחו ככח הבעל ובשינוי כל דהו בטל השליחות, ולכן אפי' נאנס אין יכול לשלחו ביד אחר, אבל ודאי תורת שליחות עליו ולכן מועיל אמירתו בפ"נ כו'..., ב"מ (</w:t>
      </w:r>
      <w:r>
        <w:rPr>
          <w:rtl/>
        </w:rPr>
        <w:t xml:space="preserve">הביאו הפת"ש [סקל"ז], וכתב </w:t>
      </w:r>
      <w:r>
        <w:rPr>
          <w:rFonts w:cs="Arial"/>
          <w:rtl/>
        </w:rPr>
        <w:t>לעי' לעיל בסי' קמ"ב סקכ"ו</w:t>
      </w:r>
      <w:r>
        <w:rPr>
          <w:rtl/>
        </w:rPr>
        <w:t>).</w:t>
      </w:r>
    </w:p>
  </w:footnote>
  <w:footnote w:id="2004">
    <w:p w14:paraId="1C1BEB24" w14:textId="77777777" w:rsidR="00FA2119" w:rsidRDefault="00FA2119" w:rsidP="00FA2119">
      <w:pPr>
        <w:pStyle w:val="a5"/>
        <w:rPr>
          <w:rtl/>
        </w:rPr>
      </w:pPr>
      <w:r>
        <w:rPr>
          <w:rStyle w:val="a7"/>
        </w:rPr>
        <w:footnoteRef/>
      </w:r>
      <w:r>
        <w:rPr>
          <w:rtl/>
        </w:rPr>
        <w:t xml:space="preserve"> </w:t>
      </w:r>
      <w:r>
        <w:rPr>
          <w:rFonts w:cs="Arial"/>
          <w:rtl/>
        </w:rPr>
        <w:t>אע"ג דסומא אינו יכול ליתן ע"פ שנים שאני סומא דאינו יכול לראות, תוספות</w:t>
      </w:r>
      <w:r>
        <w:rPr>
          <w:rtl/>
        </w:rPr>
        <w:t>, ב"ש (סק"נ).</w:t>
      </w:r>
    </w:p>
  </w:footnote>
  <w:footnote w:id="2005">
    <w:p w14:paraId="761892D3" w14:textId="5C390D25" w:rsidR="00FA2119" w:rsidRDefault="00FA2119" w:rsidP="00FA2119">
      <w:pPr>
        <w:pStyle w:val="a5"/>
        <w:rPr>
          <w:rtl/>
        </w:rPr>
      </w:pPr>
      <w:r>
        <w:rPr>
          <w:rStyle w:val="a7"/>
        </w:rPr>
        <w:footnoteRef/>
      </w:r>
      <w:r>
        <w:rPr>
          <w:rtl/>
        </w:rPr>
        <w:t xml:space="preserve"> </w:t>
      </w:r>
      <w:r>
        <w:rPr>
          <w:rFonts w:cs="Arial"/>
          <w:rtl/>
        </w:rPr>
        <w:t>עיין בתשובת הרדב"ז (ח"א סי' לו) שדעתו להקל בדיעבד אם עבר ונתנו לה בהכרת קרובים ונשים או אפילו לכתחילה היכא דאיכא משום עגונא דהוי שעת הדחק סמכינן אהכרת קרובים ונשים ע"ש. ועבה"ט לקמן (סי' קמב סק"ח) וע' בס' גט מקושר (בס"ג שלישי אות כח) מזה</w:t>
      </w:r>
      <w:r w:rsidR="000D1D2F">
        <w:rPr>
          <w:rFonts w:cs="Arial" w:hint="cs"/>
          <w:rtl/>
        </w:rPr>
        <w:t xml:space="preserve">.      </w:t>
      </w:r>
      <w:r>
        <w:rPr>
          <w:rFonts w:cs="Arial"/>
          <w:rtl/>
        </w:rPr>
        <w:t xml:space="preserve">ועיין בתשובת שב יעקב (סי' לה) במעשה שהשליח לא היה מכירה, ושני עדים הגידו לפני הרב בתורת עדות שיודעים ומכירים שזאת האשה היא אשת פב"פ כו', אך הרב היה אז ביחידי ונסתפק אי מהני, דאף שהמנהג שם שהרב מקבל העדות ביחידי אבל ודאי לענין איסורא לא מהני במקום דצריך מן הדין שני עדים כשרים. ולכן רצה הרב אח"כ לקבל אותן העדות במותב תלתא, אך כבר הלכו להם העדים ולא נמצא רק עד א' וקיבל את העד הלז במותב תלתא, והיה בדבר מקום עיגון להמתין אולי ימצא עוד א'. ומסיק שם להקל </w:t>
      </w:r>
      <w:r>
        <w:rPr>
          <w:rFonts w:cs="Arial"/>
          <w:sz w:val="16"/>
          <w:szCs w:val="16"/>
          <w:rtl/>
        </w:rPr>
        <w:t xml:space="preserve">(דיש לסמוך על תשובת הרשד"ם סי' פ"ב שהוכיח מדברי תה"ד דאף דקרוב או אשה לא מהני גבי שליח מ"מ ע"א כשר מהני אפילו גבי שליח. וא"כ בנ"ד הרי נתקבל עד א' במותב תלתא כדת וכדין. ועוד דבתשובת דרכי נועם מבואר דמן הדין אפי' גבי שליח הוה מהני אפילו אשה אחת או קרוב משום דהוי רק גילוי מלתא שא"צ עדות גמורה רק הטעם דצריך עדות גמורה משום גזיר' שמא יטעהו. וא"כ דבר זה הוי רק מדרבנן משום האי גזירה י"ל דמהני קבלת הרב ביחידי כמו דמהני לענין קיום שטרות דרבנן כמ"ש בח"מ סימן מ"ו ס"ד </w:t>
      </w:r>
      <w:r w:rsidR="009334FF">
        <w:rPr>
          <w:rFonts w:cs="Arial"/>
          <w:sz w:val="16"/>
          <w:szCs w:val="16"/>
          <w:rtl/>
        </w:rPr>
        <w:t>בהג"ה</w:t>
      </w:r>
      <w:r>
        <w:rPr>
          <w:rFonts w:cs="Arial"/>
          <w:sz w:val="16"/>
          <w:szCs w:val="16"/>
          <w:rtl/>
        </w:rPr>
        <w:t xml:space="preserve"> כו'. ע"כ אין ספק דיש לצרף יחד קבלת הרב ביחידי לשני העדים וקבלת עד א' במותב תלתא ולסמוך ע"ז לסדר הגט ובפרט דהוי קצת עיגון אם ידחה הדבר עוד עכ"ד ע"ש). </w:t>
      </w:r>
      <w:r>
        <w:rPr>
          <w:rFonts w:cs="Arial"/>
          <w:rtl/>
        </w:rPr>
        <w:t>ולא ראה דברי הרדב"ז הנ"ל שהיה מסתייע מדבריו ג"כ להקל. ובפרט דברדב"ז שם מבואר להדיא דאפילו לכתחילה א"צ בזה קבלת עדות בשלשה ע"ש בסוף התשו' שכ' תדע דהכי הוא דאי אמרת בשלמא דלא בעינן עדים ממש היינו שמעידים בפני השליח וסגי בהכי אבל אי אמרת עדים ממש כשאר עדיות דעלמא ליבעי קבלת עדות בשלשה כו' ע"ש, פת"ש (סקל"ט).</w:t>
      </w:r>
    </w:p>
  </w:footnote>
  <w:footnote w:id="2006">
    <w:p w14:paraId="27C5A52F" w14:textId="77777777" w:rsidR="00FA2119" w:rsidRDefault="00FA2119" w:rsidP="00FA2119">
      <w:pPr>
        <w:pStyle w:val="a5"/>
      </w:pPr>
      <w:r>
        <w:rPr>
          <w:rStyle w:val="a7"/>
        </w:rPr>
        <w:footnoteRef/>
      </w:r>
      <w:r>
        <w:rPr>
          <w:rtl/>
        </w:rPr>
        <w:t xml:space="preserve"> </w:t>
      </w:r>
      <w:r>
        <w:rPr>
          <w:rFonts w:cs="Arial"/>
          <w:rtl/>
        </w:rPr>
        <w:t>שלא יוכל לילך אחר שלשים, רש"י.</w:t>
      </w:r>
    </w:p>
  </w:footnote>
  <w:footnote w:id="2007">
    <w:p w14:paraId="645ED1B7" w14:textId="77777777" w:rsidR="00FA2119" w:rsidRDefault="00FA2119" w:rsidP="00FA2119">
      <w:pPr>
        <w:pStyle w:val="a5"/>
      </w:pPr>
      <w:r>
        <w:rPr>
          <w:rStyle w:val="a7"/>
        </w:rPr>
        <w:footnoteRef/>
      </w:r>
      <w:r>
        <w:rPr>
          <w:rtl/>
        </w:rPr>
        <w:t xml:space="preserve"> </w:t>
      </w:r>
      <w:r>
        <w:rPr>
          <w:rFonts w:cs="Arial"/>
          <w:rtl/>
        </w:rPr>
        <w:t>בתוך שלשים, רש"י.</w:t>
      </w:r>
    </w:p>
  </w:footnote>
  <w:footnote w:id="2008">
    <w:p w14:paraId="24A04AED" w14:textId="77777777" w:rsidR="00FA2119" w:rsidRDefault="00FA2119" w:rsidP="00FA2119">
      <w:pPr>
        <w:pStyle w:val="a5"/>
      </w:pPr>
      <w:r>
        <w:rPr>
          <w:rStyle w:val="a7"/>
        </w:rPr>
        <w:footnoteRef/>
      </w:r>
      <w:r>
        <w:rPr>
          <w:rtl/>
        </w:rPr>
        <w:t xml:space="preserve"> </w:t>
      </w:r>
      <w:r>
        <w:rPr>
          <w:rFonts w:cs="Arial"/>
          <w:rtl/>
        </w:rPr>
        <w:t>שמא בא בעל אצלה בתוך שלשים ונתייחד עמה ופייסה ובעל והוי גט ישן, רש"י.</w:t>
      </w:r>
    </w:p>
  </w:footnote>
  <w:footnote w:id="2009">
    <w:p w14:paraId="346719B9" w14:textId="77777777" w:rsidR="00FA2119" w:rsidRDefault="00FA2119" w:rsidP="00FA2119">
      <w:pPr>
        <w:pStyle w:val="a5"/>
      </w:pPr>
      <w:r>
        <w:rPr>
          <w:rStyle w:val="a7"/>
        </w:rPr>
        <w:footnoteRef/>
      </w:r>
      <w:r>
        <w:rPr>
          <w:rtl/>
        </w:rPr>
        <w:t xml:space="preserve"> </w:t>
      </w:r>
      <w:r>
        <w:rPr>
          <w:rFonts w:cs="Arial"/>
          <w:rtl/>
        </w:rPr>
        <w:t>בתוך י"ב חדש שיש שהות הרבה לבא. ואין זה דומה לשולח גט ממדינת הים ואינו קובע זמן לשהותו בידו, דהתם ליכא למיחש שמא פייס, דמימר אמר הבעל השליח קדמני וכבר הגיע גט לידה, ולא עקר נפשיה מספיקא, רש"י.</w:t>
      </w:r>
    </w:p>
  </w:footnote>
  <w:footnote w:id="2010">
    <w:p w14:paraId="7252ADD0" w14:textId="77777777" w:rsidR="00FA2119" w:rsidRDefault="00FA2119" w:rsidP="00FA2119">
      <w:pPr>
        <w:pStyle w:val="a5"/>
      </w:pPr>
      <w:r>
        <w:rPr>
          <w:rStyle w:val="a7"/>
        </w:rPr>
        <w:footnoteRef/>
      </w:r>
      <w:r>
        <w:rPr>
          <w:rtl/>
        </w:rPr>
        <w:t xml:space="preserve"> </w:t>
      </w:r>
      <w:r>
        <w:rPr>
          <w:rFonts w:cs="Arial"/>
          <w:rtl/>
        </w:rPr>
        <w:t>בפני בית דין בשעה שמסרו לשליח הרי היא נאמנת עלי כמאה עדים לעולם אם אערער לומר גט ישן הוא, הריני מאמינה לאמר שלא באתי בתוך הזמן אצלה, וכיון דמעיקרא הימנה תו לא מהימן לערער, וכל שכן דאנן לא ליקו ולערער. אלמא טעמא דאמר הכי, אבל האי דלא אמר הכי - ליחוש, רש"י.</w:t>
      </w:r>
    </w:p>
  </w:footnote>
  <w:footnote w:id="2011">
    <w:p w14:paraId="68E2FC12" w14:textId="77777777" w:rsidR="00FA2119" w:rsidRDefault="00FA2119" w:rsidP="00FA2119">
      <w:pPr>
        <w:pStyle w:val="a5"/>
      </w:pPr>
      <w:r>
        <w:rPr>
          <w:rStyle w:val="a7"/>
        </w:rPr>
        <w:footnoteRef/>
      </w:r>
      <w:r>
        <w:rPr>
          <w:rtl/>
        </w:rPr>
        <w:t xml:space="preserve"> </w:t>
      </w:r>
      <w:r>
        <w:rPr>
          <w:rFonts w:cs="Arial"/>
          <w:rtl/>
        </w:rPr>
        <w:t>שחביבה עליו ומחזר לפייסה, רש"י.</w:t>
      </w:r>
    </w:p>
  </w:footnote>
  <w:footnote w:id="2012">
    <w:p w14:paraId="66ED33F3" w14:textId="77777777" w:rsidR="00FA2119" w:rsidRDefault="00FA2119" w:rsidP="00FA2119">
      <w:pPr>
        <w:pStyle w:val="a5"/>
      </w:pPr>
      <w:r>
        <w:rPr>
          <w:rStyle w:val="a7"/>
        </w:rPr>
        <w:footnoteRef/>
      </w:r>
      <w:r>
        <w:rPr>
          <w:rtl/>
        </w:rPr>
        <w:t xml:space="preserve"> </w:t>
      </w:r>
      <w:r>
        <w:rPr>
          <w:rFonts w:cs="Arial"/>
          <w:rtl/>
        </w:rPr>
        <w:t>נראה לי שדקדק כן מדאמר רבא דלבתר שלשים יום משוינן שליח, ולא אמר ליה דלישוי שליח מיד</w:t>
      </w:r>
      <w:r>
        <w:rPr>
          <w:rtl/>
        </w:rPr>
        <w:t>, ב"י.</w:t>
      </w:r>
    </w:p>
  </w:footnote>
  <w:footnote w:id="2013">
    <w:p w14:paraId="34EEE352" w14:textId="46C0F2F3" w:rsidR="00FA2119" w:rsidRDefault="00FA2119" w:rsidP="00FA2119">
      <w:pPr>
        <w:pStyle w:val="a5"/>
        <w:rPr>
          <w:rtl/>
        </w:rPr>
      </w:pPr>
      <w:r>
        <w:rPr>
          <w:rStyle w:val="a7"/>
        </w:rPr>
        <w:footnoteRef/>
      </w:r>
      <w:r>
        <w:rPr>
          <w:rtl/>
        </w:rPr>
        <w:t xml:space="preserve"> </w:t>
      </w:r>
      <w:r>
        <w:rPr>
          <w:rFonts w:cs="Arial"/>
          <w:rtl/>
        </w:rPr>
        <w:t>הביאו הטור בסוף דבריו ללא חולק</w:t>
      </w:r>
      <w:r>
        <w:rPr>
          <w:rtl/>
        </w:rPr>
        <w:t xml:space="preserve">, משמע לכאורה דס"ל כוותיה. </w:t>
      </w:r>
      <w:r w:rsidR="00DC23E6">
        <w:rPr>
          <w:rFonts w:hint="cs"/>
          <w:rtl/>
        </w:rPr>
        <w:t>ואפשר שכן דעת</w:t>
      </w:r>
      <w:r>
        <w:rPr>
          <w:rtl/>
        </w:rPr>
        <w:t xml:space="preserve"> השו"ע </w:t>
      </w:r>
      <w:r w:rsidR="00DC23E6">
        <w:rPr>
          <w:rFonts w:hint="cs"/>
          <w:rtl/>
        </w:rPr>
        <w:t>לכתחילה, דהרי הדעה הראשונה היא פשט דברי הגמרא</w:t>
      </w:r>
      <w:r w:rsidR="00620642">
        <w:rPr>
          <w:rFonts w:hint="cs"/>
          <w:rtl/>
        </w:rPr>
        <w:t>, וכשמביא את דברי המשנה/הגמרא בסתם ואח"כ מביא י"א - דעתו בדר"כ לפסוק כן</w:t>
      </w:r>
      <w:r>
        <w:rPr>
          <w:rtl/>
        </w:rPr>
        <w:t>.</w:t>
      </w:r>
    </w:p>
  </w:footnote>
  <w:footnote w:id="2014">
    <w:p w14:paraId="4B9385CC" w14:textId="77777777" w:rsidR="00FA2119" w:rsidRDefault="00FA2119" w:rsidP="00FA2119">
      <w:pPr>
        <w:pStyle w:val="a5"/>
        <w:rPr>
          <w:rtl/>
        </w:rPr>
      </w:pPr>
      <w:r>
        <w:rPr>
          <w:rStyle w:val="a7"/>
        </w:rPr>
        <w:footnoteRef/>
      </w:r>
      <w:r>
        <w:rPr>
          <w:rtl/>
        </w:rPr>
        <w:t xml:space="preserve"> </w:t>
      </w:r>
      <w:r>
        <w:rPr>
          <w:rFonts w:cs="Arial"/>
          <w:rtl/>
        </w:rPr>
        <w:t>ואם יש בידו הרשאה דיכול לעשות שליח אף על גב דלא כתב דיכול לעשות בלא אונס דרשינן לישנא יתירא דרשות בידו לעשות שליח בלא אונס דהא באונס יכול לעשות שליח אחר בלא רשות שלו ול"ל הרשות אלא ע"כ דנתן לו רשות לעשות שליח אפי' בלא אונס ב"י וד"מ, ב"ש (סקנ"א).</w:t>
      </w:r>
    </w:p>
  </w:footnote>
  <w:footnote w:id="2015">
    <w:p w14:paraId="7580C81C" w14:textId="77777777" w:rsidR="00FA2119" w:rsidRDefault="00FA2119" w:rsidP="00FA2119">
      <w:pPr>
        <w:pStyle w:val="a5"/>
      </w:pPr>
      <w:r>
        <w:rPr>
          <w:rStyle w:val="a7"/>
        </w:rPr>
        <w:footnoteRef/>
      </w:r>
      <w:r>
        <w:rPr>
          <w:rtl/>
        </w:rPr>
        <w:t xml:space="preserve"> </w:t>
      </w:r>
      <w:r>
        <w:rPr>
          <w:rFonts w:cs="Arial"/>
          <w:rtl/>
        </w:rPr>
        <w:t>עיין במל"מ (פ"ו מה"ג ד"ה ודע) שכ' דהכא לא שייך לומר הואיל ואיהו השליח לא מצי מיעבד השתא לא יהא יכול למנות שליח במקומו, משום דכולהו מכח בעל קאתי, ואפי' מת שליח ראשון מ"מ שליחות השני קיים והשליח ראשון אינו אלא כמתרוקן להשני כח הבעל שהיה לו, ולכך שפיר איכא למימר דאיהו מצי עביד השתא דהיינו הבעל יכול לגרש השתא עכ"ל, פת"ש (סק"מ).</w:t>
      </w:r>
    </w:p>
  </w:footnote>
  <w:footnote w:id="2016">
    <w:p w14:paraId="6889D4AD" w14:textId="77777777" w:rsidR="00FA2119" w:rsidRDefault="00FA2119" w:rsidP="00FA2119">
      <w:pPr>
        <w:pStyle w:val="a5"/>
      </w:pPr>
      <w:r>
        <w:rPr>
          <w:rStyle w:val="a7"/>
        </w:rPr>
        <w:footnoteRef/>
      </w:r>
      <w:r>
        <w:rPr>
          <w:rtl/>
        </w:rPr>
        <w:t xml:space="preserve"> </w:t>
      </w:r>
      <w:r>
        <w:rPr>
          <w:rFonts w:cs="Arial"/>
          <w:rtl/>
        </w:rPr>
        <w:t>וכן אם נותן בעצמו הגט לידה ומתנה שאל תהא מגורשת עד זמן פלוני צריך להתנות שתהי' נאמנת ש"ג ספ"ג, ב"ש (סקנ"ב).</w:t>
      </w:r>
    </w:p>
  </w:footnote>
  <w:footnote w:id="2017">
    <w:p w14:paraId="0AB0F074" w14:textId="77777777" w:rsidR="00FA2119" w:rsidRDefault="00FA2119" w:rsidP="00FA2119">
      <w:pPr>
        <w:pStyle w:val="a5"/>
      </w:pPr>
      <w:r>
        <w:rPr>
          <w:rStyle w:val="a7"/>
        </w:rPr>
        <w:footnoteRef/>
      </w:r>
      <w:r>
        <w:rPr>
          <w:rtl/>
        </w:rPr>
        <w:t xml:space="preserve"> </w:t>
      </w:r>
      <w:r>
        <w:rPr>
          <w:rFonts w:cs="Arial"/>
          <w:rtl/>
        </w:rPr>
        <w:t>כדמסיק רבא שם דדוקא בנשואה חיישינן שחביבה עליו ומחזר לפייס', באה"ג (אות ט*).</w:t>
      </w:r>
    </w:p>
  </w:footnote>
  <w:footnote w:id="2018">
    <w:p w14:paraId="4105526E" w14:textId="052EFE5F" w:rsidR="00FA2119" w:rsidRDefault="00FA2119" w:rsidP="00FA2119">
      <w:pPr>
        <w:pStyle w:val="a5"/>
      </w:pPr>
      <w:r>
        <w:rPr>
          <w:rStyle w:val="a7"/>
        </w:rPr>
        <w:footnoteRef/>
      </w:r>
      <w:r>
        <w:rPr>
          <w:rtl/>
        </w:rPr>
        <w:t xml:space="preserve"> </w:t>
      </w:r>
      <w:r>
        <w:rPr>
          <w:rFonts w:cs="Arial"/>
          <w:rtl/>
        </w:rPr>
        <w:t xml:space="preserve">ונראה דכל זה לא מיירי אלא כשאמר לו סתם הולך אבל כשנותן לו רשות למנות שליח אחר כמו שכותבים בהרשאה פשיטא דמותר למנות אחר בלא אונס כלל, וכמו שכתב ה"ר פרץ לעיל (עמ' רלו) דאין צורך בהרשאה אלא לזה, ודלא כמו שכתב בסדר גיטין (סי' עו סע' א) דאין לעשות שליח אא"כ חלה או נאנס. עוד כתב בסדר גיטין (שם ובסימן עח) </w:t>
      </w:r>
      <w:r w:rsidR="000A0F5A">
        <w:rPr>
          <w:rFonts w:cs="Arial"/>
          <w:rtl/>
        </w:rPr>
        <w:t>וז"ל:</w:t>
      </w:r>
      <w:r>
        <w:rPr>
          <w:rFonts w:cs="Arial"/>
          <w:rtl/>
        </w:rPr>
        <w:t xml:space="preserve"> וכך יאמר השליח הראשון לשליח שני 'הנני שליח של בעל פלוני בן פלוני המכונה פלוני ממנה אותך פלוני בן פלוני להיות שליח במקומי ובחריקאי וידך כידי ועשייתך כעשייתי ופיך כפי ודיבורך כדיבורי ומיד שתגיע אתה או שלוחך גט זה ליד פלונית בת פלוני המכונה פ' אשתו של פלוני בן פלוני המכונה פלוני תהא מגורשת בו ממנו ומותרת לכל אדם ואני נותן לך רשות לעשות שליח ושלוחך שליח עד מאה שלוחים ליתן גט זה ליד פלונית בת פלוני המכונה פ' אשת פלוני בן פלוני המכונה פלוני בכל מקום שתמצאנה אתה או שלוחך או שליח שלוחך' עכ"ל, דרכ"מ (אות ל).</w:t>
      </w:r>
    </w:p>
  </w:footnote>
  <w:footnote w:id="2019">
    <w:p w14:paraId="043819F6" w14:textId="77777777" w:rsidR="00FA2119" w:rsidRDefault="00FA2119" w:rsidP="00FA2119">
      <w:pPr>
        <w:pStyle w:val="a5"/>
        <w:rPr>
          <w:rtl/>
        </w:rPr>
      </w:pPr>
      <w:r>
        <w:rPr>
          <w:rStyle w:val="a7"/>
        </w:rPr>
        <w:footnoteRef/>
      </w:r>
      <w:r>
        <w:rPr>
          <w:rtl/>
        </w:rPr>
        <w:t xml:space="preserve"> </w:t>
      </w:r>
      <w:r>
        <w:rPr>
          <w:rFonts w:cs="Arial"/>
          <w:rtl/>
        </w:rPr>
        <w:t>והא דכתיב ושלח ושלחה ולמדו מזה דשליח עושה שליח, ומשמע אפי' בלא אונס, י"ל הקרא איירי כשגילה דעתו דאינו מקפיד, כ"כ תוס' והר"ן. ומזה נשמע אפי' לא התנה בפי' דיכול לעשות שליח רק גילה דעתו דאינו מקפיד - יכול לעשות שליח</w:t>
      </w:r>
      <w:r>
        <w:rPr>
          <w:rtl/>
        </w:rPr>
        <w:t xml:space="preserve">, </w:t>
      </w:r>
      <w:r>
        <w:rPr>
          <w:b/>
          <w:bCs/>
          <w:rtl/>
        </w:rPr>
        <w:t>ב"ש</w:t>
      </w:r>
      <w:r>
        <w:rPr>
          <w:rtl/>
        </w:rPr>
        <w:t xml:space="preserve"> (סקנ"ד).</w:t>
      </w:r>
      <w:r>
        <w:rPr>
          <w:rFonts w:cs="Arial"/>
          <w:rtl/>
        </w:rPr>
        <w:t xml:space="preserve"> ומשמע מזה דהוא מן התורה וא"כ אפשר דאם עבר השליח ושלח ביד אחר הגט בטל ועיין בס' ישועות יעקב (סקי"ז) שמפקפק על זה וכתב שבעיניו נראה שהוא רק מדרבנן ואפשר דהגט פסול ג"כ אף בדיעבד אבל לא בטל, ואם ניסת לא תצא. ושוב הביא דברי היש"ש בגיטין שכ' ג"כ דהגט פסול ולא בטל ולענין אם ניסת חוכך בדבר להחמיר ע"ש, </w:t>
      </w:r>
      <w:r>
        <w:rPr>
          <w:rFonts w:cs="Arial"/>
          <w:b/>
          <w:bCs/>
          <w:rtl/>
        </w:rPr>
        <w:t>פת"ש</w:t>
      </w:r>
      <w:r>
        <w:rPr>
          <w:rFonts w:cs="Arial"/>
          <w:rtl/>
        </w:rPr>
        <w:t xml:space="preserve"> (סקמ"א).</w:t>
      </w:r>
    </w:p>
  </w:footnote>
  <w:footnote w:id="2020">
    <w:p w14:paraId="7748973B" w14:textId="77777777" w:rsidR="00FA2119" w:rsidRDefault="00FA2119" w:rsidP="00FA2119">
      <w:pPr>
        <w:pStyle w:val="a5"/>
        <w:rPr>
          <w:rtl/>
        </w:rPr>
      </w:pPr>
      <w:r>
        <w:rPr>
          <w:rStyle w:val="a7"/>
        </w:rPr>
        <w:footnoteRef/>
      </w:r>
      <w:r>
        <w:rPr>
          <w:rtl/>
        </w:rPr>
        <w:t xml:space="preserve"> </w:t>
      </w:r>
      <w:r>
        <w:rPr>
          <w:rFonts w:cs="Arial"/>
          <w:rtl/>
        </w:rPr>
        <w:t>מכלל דשליח משוי שליח. וכתבו הרי"ף (סוף יד:) והרא"ש (סי' ח) דדוקא חלה, הא לאו הכי לא, דלא עדיף משליח ראשון שזה בא מכחו. וכן דעת הרמב"ם בפ"ז (הכ"א). והר"ן (ריש טו.) כתב דהיה אפשר לומר דבשליח שליח כיון שאין הבעל יודע בהם לא איכפת ליה בין שני לשלישי וכדברי הרמ"ה, אלא שהרי"ף החמיר וכתב דוקא חלה, ב"י.</w:t>
      </w:r>
    </w:p>
  </w:footnote>
  <w:footnote w:id="2021">
    <w:p w14:paraId="5B195DF1" w14:textId="69E0B534" w:rsidR="00DD4908" w:rsidRDefault="00DD4908">
      <w:pPr>
        <w:pStyle w:val="a5"/>
      </w:pPr>
      <w:r>
        <w:rPr>
          <w:rStyle w:val="a7"/>
        </w:rPr>
        <w:footnoteRef/>
      </w:r>
      <w:r>
        <w:rPr>
          <w:rtl/>
        </w:rPr>
        <w:t xml:space="preserve"> </w:t>
      </w:r>
      <w:r>
        <w:rPr>
          <w:rFonts w:hint="cs"/>
          <w:rtl/>
        </w:rPr>
        <w:t>והרמב"ם</w:t>
      </w:r>
      <w:r w:rsidR="00B053B4">
        <w:rPr>
          <w:rFonts w:hint="cs"/>
          <w:rtl/>
        </w:rPr>
        <w:t xml:space="preserve"> (פ"ו ה"ז) כתב שאין צריך לעשות בעדים, וכ"כ הריב"ש (לקמן), וכ"ס השו"ע בסעי' יא. וכאן פסק השו"ע כהרא"ש להחמיר.</w:t>
      </w:r>
    </w:p>
  </w:footnote>
  <w:footnote w:id="2022">
    <w:p w14:paraId="36DE9A5C" w14:textId="7014261B" w:rsidR="00FA2119" w:rsidRDefault="00FA2119" w:rsidP="00FA2119">
      <w:pPr>
        <w:pStyle w:val="a5"/>
      </w:pPr>
      <w:r>
        <w:rPr>
          <w:rStyle w:val="a7"/>
        </w:rPr>
        <w:footnoteRef/>
      </w:r>
      <w:r>
        <w:rPr>
          <w:rtl/>
        </w:rPr>
        <w:t xml:space="preserve"> </w:t>
      </w:r>
      <w:r>
        <w:rPr>
          <w:rFonts w:cs="Arial"/>
          <w:rtl/>
        </w:rPr>
        <w:t xml:space="preserve">ונראה דמאחר שנוהגין לכתוב הרשאה בשליח הבעל </w:t>
      </w:r>
      <w:r w:rsidR="00B053B4">
        <w:rPr>
          <w:rFonts w:cs="Arial" w:hint="cs"/>
          <w:rtl/>
        </w:rPr>
        <w:t xml:space="preserve">- </w:t>
      </w:r>
      <w:r>
        <w:rPr>
          <w:rFonts w:cs="Arial"/>
          <w:rtl/>
        </w:rPr>
        <w:t>הוא הדין דיש לנהוג כן בשליח בית דין</w:t>
      </w:r>
      <w:r w:rsidR="00B053B4">
        <w:rPr>
          <w:rFonts w:cs="Arial" w:hint="cs"/>
          <w:rtl/>
        </w:rPr>
        <w:t>,</w:t>
      </w:r>
      <w:r>
        <w:rPr>
          <w:rFonts w:cs="Arial"/>
          <w:rtl/>
        </w:rPr>
        <w:t xml:space="preserve"> וכן המנהג</w:t>
      </w:r>
      <w:r w:rsidR="00576CCE">
        <w:rPr>
          <w:rFonts w:cs="Arial" w:hint="cs"/>
          <w:sz w:val="16"/>
          <w:szCs w:val="16"/>
          <w:rtl/>
        </w:rPr>
        <w:t xml:space="preserve"> {ועיין לקמן נוסח ההרשאה}</w:t>
      </w:r>
      <w:r>
        <w:rPr>
          <w:rFonts w:cs="Arial"/>
          <w:rtl/>
        </w:rPr>
        <w:t>.</w:t>
      </w:r>
      <w:r w:rsidR="00576CCE">
        <w:rPr>
          <w:rFonts w:cs="Arial" w:hint="cs"/>
          <w:rtl/>
        </w:rPr>
        <w:t>..</w:t>
      </w:r>
      <w:r>
        <w:rPr>
          <w:rFonts w:cs="Arial"/>
          <w:rtl/>
        </w:rPr>
        <w:t xml:space="preserve"> כתב הריב"ש </w:t>
      </w:r>
      <w:r w:rsidR="00B053B4">
        <w:rPr>
          <w:rFonts w:cs="Arial" w:hint="cs"/>
          <w:rtl/>
        </w:rPr>
        <w:t>(</w:t>
      </w:r>
      <w:r>
        <w:rPr>
          <w:rFonts w:cs="Arial"/>
          <w:rtl/>
        </w:rPr>
        <w:t>סי</w:t>
      </w:r>
      <w:r w:rsidR="00B053B4">
        <w:rPr>
          <w:rFonts w:cs="Arial" w:hint="cs"/>
          <w:rtl/>
        </w:rPr>
        <w:t>'</w:t>
      </w:r>
      <w:r>
        <w:rPr>
          <w:rFonts w:cs="Arial"/>
          <w:rtl/>
        </w:rPr>
        <w:t xml:space="preserve"> שיח</w:t>
      </w:r>
      <w:r w:rsidR="00B053B4">
        <w:rPr>
          <w:rFonts w:cs="Arial" w:hint="cs"/>
          <w:rtl/>
        </w:rPr>
        <w:t>)</w:t>
      </w:r>
      <w:r>
        <w:rPr>
          <w:rFonts w:cs="Arial"/>
          <w:rtl/>
        </w:rPr>
        <w:t xml:space="preserve"> דנאמן השליח לומר שליח בית דין אני ובפני בית דין עשה אותי שליח אע</w:t>
      </w:r>
      <w:r w:rsidR="00B053B4">
        <w:rPr>
          <w:rFonts w:cs="Arial" w:hint="cs"/>
          <w:rtl/>
        </w:rPr>
        <w:t>"</w:t>
      </w:r>
      <w:r>
        <w:rPr>
          <w:rFonts w:cs="Arial"/>
          <w:rtl/>
        </w:rPr>
        <w:t>פ שאין חתומין על ההרשאה רק שנים וכתבו בלשון עדים ולא בלשון בית דין מה בכך השליח מצטרף עמהם והוי שלשה ונעשה בית דין עכ"ל</w:t>
      </w:r>
      <w:r w:rsidR="00B053B4">
        <w:rPr>
          <w:rFonts w:cs="Arial" w:hint="cs"/>
          <w:rtl/>
        </w:rPr>
        <w:t>,</w:t>
      </w:r>
      <w:r>
        <w:rPr>
          <w:rFonts w:cs="Arial"/>
          <w:rtl/>
        </w:rPr>
        <w:t xml:space="preserve"> ועיין שם שהאריך</w:t>
      </w:r>
      <w:r w:rsidR="00B053B4">
        <w:rPr>
          <w:rFonts w:cs="Arial" w:hint="cs"/>
          <w:rtl/>
        </w:rPr>
        <w:t>,</w:t>
      </w:r>
      <w:r>
        <w:rPr>
          <w:rFonts w:cs="Arial"/>
          <w:rtl/>
        </w:rPr>
        <w:t xml:space="preserve"> וכן כתב ב</w:t>
      </w:r>
      <w:r w:rsidR="00B053B4">
        <w:rPr>
          <w:rFonts w:cs="Arial" w:hint="cs"/>
          <w:rtl/>
        </w:rPr>
        <w:t>"</w:t>
      </w:r>
      <w:r>
        <w:rPr>
          <w:rFonts w:cs="Arial"/>
          <w:rtl/>
        </w:rPr>
        <w:t>י (לקמן בסי' זה עמ' רנא ד"ה ואף על פי, השני) בשם הרשב"ץ (תשבץ ח"א סי' א)</w:t>
      </w:r>
      <w:r w:rsidR="00B053B4">
        <w:rPr>
          <w:rFonts w:cs="Arial" w:hint="cs"/>
          <w:rtl/>
        </w:rPr>
        <w:t>, דרכ"מ (אות לא).</w:t>
      </w:r>
    </w:p>
  </w:footnote>
  <w:footnote w:id="2023">
    <w:p w14:paraId="14D492DE" w14:textId="77777777" w:rsidR="00FA2119" w:rsidRDefault="00FA2119" w:rsidP="00FA2119">
      <w:pPr>
        <w:pStyle w:val="a5"/>
        <w:rPr>
          <w:rtl/>
        </w:rPr>
      </w:pPr>
      <w:r>
        <w:rPr>
          <w:rStyle w:val="a7"/>
        </w:rPr>
        <w:footnoteRef/>
      </w:r>
      <w:r>
        <w:rPr>
          <w:rtl/>
        </w:rPr>
        <w:t xml:space="preserve"> </w:t>
      </w:r>
      <w:r>
        <w:rPr>
          <w:rFonts w:cs="Arial"/>
          <w:rtl/>
        </w:rPr>
        <w:t>ונראה דהוא הדין משליח שני לשליח שלישי אפילו לא נתקיים בחותמיו, דלגבי שליח שני דאין צריך לומר בפני נכתב ובפני נחתם אין לחלק. ונראה דסברת הריב"ש הוא לדברי הרמב"ם דסבירא ליה דאין צריך למנות שליח בעדים כמו שנתבאר לעיל ריש סימן זה (עמ' רלא), אבל לדעת החולקים על הרמב"ם צריך עדים ועיין בריב"ש, דרכ"מ (אות לג).</w:t>
      </w:r>
    </w:p>
  </w:footnote>
  <w:footnote w:id="2024">
    <w:p w14:paraId="3A130127" w14:textId="137A0B57" w:rsidR="00FA2119" w:rsidRDefault="00FA2119" w:rsidP="00FA2119">
      <w:pPr>
        <w:pStyle w:val="a5"/>
        <w:rPr>
          <w:rtl/>
        </w:rPr>
      </w:pPr>
      <w:r>
        <w:rPr>
          <w:rStyle w:val="a7"/>
        </w:rPr>
        <w:footnoteRef/>
      </w:r>
      <w:r>
        <w:rPr>
          <w:rtl/>
        </w:rPr>
        <w:t xml:space="preserve"> </w:t>
      </w:r>
      <w:r>
        <w:rPr>
          <w:rFonts w:cs="Arial"/>
          <w:rtl/>
        </w:rPr>
        <w:t>ונראה שלא לכתוב בהרשאה מתחלה בפנינו חתומים מטה דהוי לשון עדות רק במותב תלתא</w:t>
      </w:r>
      <w:r w:rsidR="00576CCE">
        <w:rPr>
          <w:rFonts w:cs="Arial" w:hint="cs"/>
          <w:rtl/>
        </w:rPr>
        <w:t>,</w:t>
      </w:r>
      <w:r>
        <w:rPr>
          <w:rFonts w:cs="Arial"/>
          <w:rtl/>
        </w:rPr>
        <w:t xml:space="preserve"> וכן מצאתי בשם מהר"ט</w:t>
      </w:r>
      <w:r w:rsidR="00576CCE">
        <w:rPr>
          <w:rFonts w:cs="Arial" w:hint="cs"/>
          <w:rtl/>
        </w:rPr>
        <w:t>,</w:t>
      </w:r>
      <w:r>
        <w:rPr>
          <w:rFonts w:cs="Arial"/>
          <w:rtl/>
        </w:rPr>
        <w:t xml:space="preserve"> מיהו בדיעבד כשר אפילו בכה</w:t>
      </w:r>
      <w:r w:rsidR="00576CCE">
        <w:rPr>
          <w:rFonts w:cs="Arial" w:hint="cs"/>
          <w:rtl/>
        </w:rPr>
        <w:t>"</w:t>
      </w:r>
      <w:r>
        <w:rPr>
          <w:rFonts w:cs="Arial"/>
          <w:rtl/>
        </w:rPr>
        <w:t>ג כמו שכתבתי לעיל (סוף אות לא) בשם ריב"ש</w:t>
      </w:r>
      <w:r w:rsidR="00576CCE">
        <w:rPr>
          <w:rFonts w:cs="Arial" w:hint="cs"/>
          <w:rtl/>
        </w:rPr>
        <w:t>,</w:t>
      </w:r>
      <w:r>
        <w:rPr>
          <w:rFonts w:cs="Arial"/>
          <w:rtl/>
        </w:rPr>
        <w:t xml:space="preserve"> וכ</w:t>
      </w:r>
      <w:r w:rsidR="00576CCE">
        <w:rPr>
          <w:rFonts w:cs="Arial" w:hint="cs"/>
          <w:rtl/>
        </w:rPr>
        <w:t>"</w:t>
      </w:r>
      <w:r>
        <w:rPr>
          <w:rFonts w:cs="Arial"/>
          <w:rtl/>
        </w:rPr>
        <w:t>כ ב</w:t>
      </w:r>
      <w:r w:rsidR="00576CCE">
        <w:rPr>
          <w:rFonts w:cs="Arial" w:hint="cs"/>
          <w:rtl/>
        </w:rPr>
        <w:t>"</w:t>
      </w:r>
      <w:r>
        <w:rPr>
          <w:rFonts w:cs="Arial"/>
          <w:rtl/>
        </w:rPr>
        <w:t>י לקמן (עמ' רנא ד"ה ואף על פי, השני) בשם תשובת הר"ש בן הרשב"ץ, דרכ"מ (אות לב).</w:t>
      </w:r>
    </w:p>
  </w:footnote>
  <w:footnote w:id="2025">
    <w:p w14:paraId="061FF8FB" w14:textId="77777777" w:rsidR="00FA2119" w:rsidRDefault="00FA2119" w:rsidP="00FA2119">
      <w:pPr>
        <w:pStyle w:val="a5"/>
      </w:pPr>
      <w:r>
        <w:rPr>
          <w:rStyle w:val="a7"/>
        </w:rPr>
        <w:footnoteRef/>
      </w:r>
      <w:r>
        <w:rPr>
          <w:rtl/>
        </w:rPr>
        <w:t xml:space="preserve"> </w:t>
      </w:r>
      <w:r>
        <w:rPr>
          <w:rFonts w:cs="Arial"/>
          <w:rtl/>
        </w:rPr>
        <w:t>כי מה שאומר ב"נ הוא הקיום לכן צריך ב"ד אפי' אם הבעל נתן לו רשות לעשות שליח אחר, ואם ממנה שליח אחר בפני שנים מצטרף השליח ג"כ והוי ג', כן כתוב בתשובת ריב"ש ולקמן סי' קמ"ב סעיף ט', ומשמע דאפי' מאן דמחמיר שלא להצטרף השליח כשנותן הגט לאשה מ"מ כאן מקילין וכ"כ בפריש' סי' קמ"ב, ב"ש (סקנ"ו).</w:t>
      </w:r>
    </w:p>
  </w:footnote>
  <w:footnote w:id="2026">
    <w:p w14:paraId="139F776C" w14:textId="77777777" w:rsidR="00FA2119" w:rsidRDefault="00FA2119" w:rsidP="00FA2119">
      <w:pPr>
        <w:pStyle w:val="a5"/>
      </w:pPr>
      <w:r>
        <w:rPr>
          <w:rStyle w:val="a7"/>
        </w:rPr>
        <w:footnoteRef/>
      </w:r>
      <w:r>
        <w:rPr>
          <w:rtl/>
        </w:rPr>
        <w:t xml:space="preserve"> </w:t>
      </w:r>
      <w:r>
        <w:rPr>
          <w:rFonts w:cs="Arial"/>
          <w:rtl/>
        </w:rPr>
        <w:t>כ"כ הרא"ש, ולטעמו אזיל דס"ל דשליח הולכה צריך למנותו בפני עדים. אבל הרמב"ם ס"ל דא"צ עדים כמ"ש בפ"ז (הכ"א), והמחבר בסעיף י"א הביא דעת הרא"ש בלשון י"א, משמע דס"ל עיקר כהרמב"ם. ומ"ש כאן צריך למנותו אלא בפני עדים - צ"ל דחושש לחומרא לצאת כל הדיעות. אבל אין לומר מ"ש דצריך למנותו בפני עדים משום דצריך להביא כתב בעדים דעשאו לשליח, דלמה לא מהני כתב שליח הראשון. גם כתבתי לקמן דהמחבר פוסק כהרמב"ם והרמ"ה דשליח נאמן לומר דהוא שליח אפי' היכא דאין צריך לומר ב"נ וב"נ. אלא ע"כ דחושש לחומרא כדעת הרא"ש, ב"ש (סקנ"ז).</w:t>
      </w:r>
    </w:p>
  </w:footnote>
  <w:footnote w:id="2027">
    <w:p w14:paraId="67B53396" w14:textId="77777777" w:rsidR="00FA2119" w:rsidRDefault="00FA2119" w:rsidP="00FA2119">
      <w:pPr>
        <w:pStyle w:val="a5"/>
      </w:pPr>
      <w:r>
        <w:rPr>
          <w:rStyle w:val="a7"/>
        </w:rPr>
        <w:footnoteRef/>
      </w:r>
      <w:r>
        <w:rPr>
          <w:rtl/>
        </w:rPr>
        <w:t xml:space="preserve"> </w:t>
      </w:r>
      <w:r>
        <w:rPr>
          <w:rFonts w:cs="Arial"/>
          <w:rtl/>
        </w:rPr>
        <w:t>בקטנותו אמר אבי שמועה זו שיש להשיב עליה, רש"י.</w:t>
      </w:r>
    </w:p>
  </w:footnote>
  <w:footnote w:id="2028">
    <w:p w14:paraId="2D88FB07" w14:textId="3942B830" w:rsidR="00FA2119" w:rsidRDefault="00FA2119" w:rsidP="00FA2119">
      <w:pPr>
        <w:pStyle w:val="a5"/>
      </w:pPr>
      <w:r>
        <w:rPr>
          <w:rStyle w:val="a7"/>
        </w:rPr>
        <w:footnoteRef/>
      </w:r>
      <w:r>
        <w:rPr>
          <w:rtl/>
        </w:rPr>
        <w:t xml:space="preserve"> </w:t>
      </w:r>
      <w:r w:rsidR="000A0F5A">
        <w:rPr>
          <w:rFonts w:cs="Arial"/>
          <w:rtl/>
        </w:rPr>
        <w:t>וז"ל:</w:t>
      </w:r>
      <w:r>
        <w:rPr>
          <w:rFonts w:cs="Arial"/>
          <w:rtl/>
        </w:rPr>
        <w:t xml:space="preserve"> נראה הטעם (מה דיכול שליח ראשון ליטול הגט מיורשי שליח שני) דשליח א' נגד הב' הוה כבעל נגד השליח ולפ"ז אפי' השליח הב' חי יכול הא' לבטלו וליקח אצלו הגט דאם תאמר שנסתלק הא' לא הוה לי' לחזור ליטלו מיורשי שני ולגרש בו אלא ודאי דהשליח האחד הוא ממש במקום הבעל שהרי כתב לו ידך כידי כו'. עכ"ל. ובגט מקושר </w:t>
      </w:r>
      <w:r>
        <w:rPr>
          <w:rFonts w:cs="Arial"/>
          <w:sz w:val="16"/>
          <w:szCs w:val="16"/>
          <w:rtl/>
        </w:rPr>
        <w:t>(ס"ג שלישי אות כה)</w:t>
      </w:r>
      <w:r>
        <w:rPr>
          <w:rFonts w:cs="Arial"/>
          <w:rtl/>
        </w:rPr>
        <w:t xml:space="preserve"> הביא דברי הט"ז הנ"ל דהשליח הראשון במקום בעל קאי ויכול לבטל השליח השני והוא ז"ל חולק על זה ודעתו דאין יכול לבטל והאריך בזה... ומסיים דכן נראה ברור להלכה אך למעשה קשה להכריע בדברים אלו ע"ש, פת"ש</w:t>
      </w:r>
      <w:r>
        <w:rPr>
          <w:rFonts w:cs="Arial"/>
          <w:sz w:val="16"/>
          <w:szCs w:val="16"/>
          <w:rtl/>
        </w:rPr>
        <w:t xml:space="preserve"> (שם)</w:t>
      </w:r>
      <w:r>
        <w:rPr>
          <w:rFonts w:cs="Arial"/>
          <w:rtl/>
        </w:rPr>
        <w:t>.</w:t>
      </w:r>
    </w:p>
  </w:footnote>
  <w:footnote w:id="2029">
    <w:p w14:paraId="2BF1BF3D" w14:textId="5DC8DC56" w:rsidR="00525FA3" w:rsidRDefault="00525FA3">
      <w:pPr>
        <w:pStyle w:val="a5"/>
        <w:rPr>
          <w:rtl/>
        </w:rPr>
      </w:pPr>
      <w:r>
        <w:rPr>
          <w:rStyle w:val="a7"/>
        </w:rPr>
        <w:footnoteRef/>
      </w:r>
      <w:r>
        <w:rPr>
          <w:rtl/>
        </w:rPr>
        <w:t xml:space="preserve"> </w:t>
      </w:r>
      <w:r>
        <w:rPr>
          <w:rFonts w:cs="Arial" w:hint="cs"/>
          <w:rtl/>
        </w:rPr>
        <w:t>כתב ה</w:t>
      </w:r>
      <w:r>
        <w:rPr>
          <w:rFonts w:cs="Arial"/>
          <w:rtl/>
        </w:rPr>
        <w:t xml:space="preserve">מל"מ </w:t>
      </w:r>
      <w:r>
        <w:rPr>
          <w:rFonts w:cs="Arial"/>
          <w:sz w:val="16"/>
          <w:szCs w:val="16"/>
          <w:rtl/>
        </w:rPr>
        <w:t>(פ"ו מה"ג דין י"ו)</w:t>
      </w:r>
      <w:r>
        <w:rPr>
          <w:rFonts w:cs="Arial" w:hint="cs"/>
          <w:rtl/>
        </w:rPr>
        <w:t>:</w:t>
      </w:r>
      <w:r>
        <w:rPr>
          <w:rFonts w:cs="Arial"/>
          <w:rtl/>
        </w:rPr>
        <w:t xml:space="preserve"> נסתפקתי אם שליח ראשון מבטל שליח שני</w:t>
      </w:r>
      <w:r>
        <w:rPr>
          <w:rFonts w:cs="Arial" w:hint="cs"/>
          <w:rtl/>
        </w:rPr>
        <w:t>,</w:t>
      </w:r>
      <w:r>
        <w:rPr>
          <w:rFonts w:cs="Arial"/>
          <w:rtl/>
        </w:rPr>
        <w:t xml:space="preserve"> מי אמרינן נהי דיש לו כח למנות שליח מ"מ כולהו מכח בעל קאתי ואין לו כח לבטל דומיא דמת שליח ראשון דמתגרשת ע"י שני</w:t>
      </w:r>
      <w:r>
        <w:rPr>
          <w:rFonts w:cs="Arial" w:hint="cs"/>
          <w:rtl/>
        </w:rPr>
        <w:t>,</w:t>
      </w:r>
      <w:r>
        <w:rPr>
          <w:rFonts w:cs="Arial"/>
          <w:rtl/>
        </w:rPr>
        <w:t xml:space="preserve"> או דילמא שאני מת מהיכא דביטל בפירוש</w:t>
      </w:r>
      <w:r>
        <w:rPr>
          <w:rFonts w:cs="Arial" w:hint="cs"/>
          <w:rtl/>
        </w:rPr>
        <w:t>.</w:t>
      </w:r>
      <w:r>
        <w:rPr>
          <w:rFonts w:cs="Arial"/>
          <w:rtl/>
        </w:rPr>
        <w:t xml:space="preserve"> ולא מצאתי גילוי לדין זה</w:t>
      </w:r>
      <w:r>
        <w:rPr>
          <w:rFonts w:cs="Arial" w:hint="cs"/>
          <w:rtl/>
        </w:rPr>
        <w:t>,</w:t>
      </w:r>
      <w:r>
        <w:rPr>
          <w:rFonts w:cs="Arial"/>
          <w:rtl/>
        </w:rPr>
        <w:t xml:space="preserve"> אך ראיתי בתשובת מהרמ"פ בסדר הגט (וגם בד"מ סי' זה העתיק כן) שכ' דמשביעין את השליח שאם יעשה שליח שלא יבטלנו</w:t>
      </w:r>
      <w:r>
        <w:rPr>
          <w:rFonts w:cs="Arial" w:hint="cs"/>
          <w:rtl/>
        </w:rPr>
        <w:t>,</w:t>
      </w:r>
      <w:r>
        <w:rPr>
          <w:rFonts w:cs="Arial"/>
          <w:rtl/>
        </w:rPr>
        <w:t xml:space="preserve"> ועדיין צריך אצלי תלמוד.</w:t>
      </w:r>
      <w:r>
        <w:rPr>
          <w:rFonts w:hint="cs"/>
          <w:rtl/>
        </w:rPr>
        <w:t xml:space="preserve"> עכ"ל. והביאו התו"ג וכתב-...</w:t>
      </w:r>
    </w:p>
  </w:footnote>
  <w:footnote w:id="2030">
    <w:p w14:paraId="7B1306D8" w14:textId="77777777" w:rsidR="00FA2119" w:rsidRDefault="00FA2119" w:rsidP="00FA2119">
      <w:pPr>
        <w:pStyle w:val="a5"/>
      </w:pPr>
      <w:r>
        <w:rPr>
          <w:rStyle w:val="a7"/>
        </w:rPr>
        <w:footnoteRef/>
      </w:r>
      <w:r>
        <w:rPr>
          <w:rFonts w:cs="Arial"/>
          <w:rtl/>
        </w:rPr>
        <w:t xml:space="preserve"> </w:t>
      </w:r>
      <w:r>
        <w:rPr>
          <w:rFonts w:cs="Arial" w:hint="cs"/>
          <w:rtl/>
        </w:rPr>
        <w:t xml:space="preserve">משום דתיכף כשבא הגט מיד השליח ראשון ליד שליח שני כלתה שליחותו והיה כלא היה כלל, ואין לראשון עוד תורת שליח כלל, דהוי כאילו הבעל בעצמו מינה שליח השני לשליח הגט ואיגלאי מלתא למפרע דהשליח הראשון לא היה שום שליח כלל כו'. הגע בעצמך אם השליח ראשון ביטל את השליח שני והבעל רוצה בקיומו דבר מי יקום בודאי של הבעל כיון דהבעל לא פירש בשעת מינוי השליחות שיהיה לו רשו' בין למנות ובין לבטל וכעת נמצא ששינה מדעת הבעל כו'. וממילא אף אם גם הוא נתרצה אח"כ מ"מ כיון דבשעת מעשה אין בביטולו של השליח כלום והגט כבר הגיע מיד שליח שני ליד האשה שוב אינו מועיל הריצוי של הבעל אח"כ, </w:t>
      </w:r>
      <w:r>
        <w:rPr>
          <w:rFonts w:cs="Arial" w:hint="cs"/>
          <w:b/>
          <w:bCs/>
          <w:rtl/>
        </w:rPr>
        <w:t>יד המלך</w:t>
      </w:r>
      <w:r>
        <w:rPr>
          <w:rFonts w:cs="Arial" w:hint="cs"/>
          <w:rtl/>
        </w:rPr>
        <w:t xml:space="preserve"> (שם).</w:t>
      </w:r>
      <w:r>
        <w:rPr>
          <w:rtl/>
        </w:rPr>
        <w:t xml:space="preserve"> </w:t>
      </w:r>
      <w:r>
        <w:rPr>
          <w:rFonts w:cs="Arial"/>
          <w:rtl/>
        </w:rPr>
        <w:t xml:space="preserve">ודבריו צ"ע מ"ש דכלתה שליחותו של הראשון כו' והרי לקמן סעי' מ"ב מוכח דלא כלתה שליחותו וכדברי התו"ג הנ"ל. ומ"ש הגע בעצמך כו' הרי על זה גופי' אנו דנין דבר מי יקום. ומ"ש כיון דהבעל לא פירש שיהי' לו רשות לבטל ונמצא ששינה כו' לכאורה ז"א דמה שמבטל עכשיו הוא עוקר דבור הראשון כאילו לא דיבר כלל לשליח שני ואין זה שינה מדעת המשלח וצ"ע, </w:t>
      </w:r>
      <w:r>
        <w:rPr>
          <w:rFonts w:cs="Arial"/>
          <w:b/>
          <w:bCs/>
          <w:rtl/>
        </w:rPr>
        <w:t>פת"ש</w:t>
      </w:r>
      <w:r>
        <w:rPr>
          <w:rFonts w:cs="Arial"/>
          <w:rtl/>
        </w:rPr>
        <w:t xml:space="preserve"> (סקמ"ב).</w:t>
      </w:r>
    </w:p>
  </w:footnote>
  <w:footnote w:id="2031">
    <w:p w14:paraId="23FA7B5D" w14:textId="5980DACE" w:rsidR="00FA2119" w:rsidRDefault="00FA2119" w:rsidP="00FA2119">
      <w:pPr>
        <w:pStyle w:val="a5"/>
      </w:pPr>
      <w:r>
        <w:rPr>
          <w:rStyle w:val="a7"/>
        </w:rPr>
        <w:footnoteRef/>
      </w:r>
      <w:r>
        <w:rPr>
          <w:rtl/>
        </w:rPr>
        <w:t xml:space="preserve"> </w:t>
      </w:r>
      <w:r>
        <w:rPr>
          <w:rFonts w:cs="Arial"/>
          <w:rtl/>
        </w:rPr>
        <w:t xml:space="preserve">מזה נמי משמע אפי' אם כבר נתן השליח הראשון את הגט לשליח השני עדיין לא נגמר שליחתו, דאל"כ איך יכול הוא להיות שליח. אלא ע"כ דעדיין הוא שליח, ולא כח"ר שהבאתי בסי' קמ"ב סעיף י"ג, ובט"ז כתב דאפילו אם השני חי יכול הראשון ליקח ממנו הגט, </w:t>
      </w:r>
      <w:r>
        <w:rPr>
          <w:rFonts w:cs="Arial"/>
          <w:b/>
          <w:bCs/>
          <w:rtl/>
        </w:rPr>
        <w:t>ב"ש</w:t>
      </w:r>
      <w:r>
        <w:rPr>
          <w:rFonts w:cs="Arial"/>
          <w:rtl/>
        </w:rPr>
        <w:t xml:space="preserve"> (סקנ"ח). וז"ל </w:t>
      </w:r>
      <w:r>
        <w:rPr>
          <w:rFonts w:cs="Arial"/>
          <w:b/>
          <w:bCs/>
          <w:rtl/>
        </w:rPr>
        <w:t>הט"ז</w:t>
      </w:r>
      <w:r w:rsidR="00525FA3">
        <w:rPr>
          <w:rFonts w:cs="Arial" w:hint="cs"/>
          <w:rtl/>
        </w:rPr>
        <w:t>:</w:t>
      </w:r>
      <w:r>
        <w:rPr>
          <w:rFonts w:cs="Arial"/>
          <w:rtl/>
        </w:rPr>
        <w:t xml:space="preserve"> נראה הטעם </w:t>
      </w:r>
      <w:r>
        <w:rPr>
          <w:rFonts w:cs="Arial"/>
          <w:sz w:val="16"/>
          <w:szCs w:val="16"/>
          <w:rtl/>
        </w:rPr>
        <w:t xml:space="preserve">(מה דיכול שליח ראשון ליטול הגט מיורשי שליח שני) </w:t>
      </w:r>
      <w:r>
        <w:rPr>
          <w:rFonts w:cs="Arial"/>
          <w:rtl/>
        </w:rPr>
        <w:t xml:space="preserve">דשליח א' נגד הב' הוה כבעל נגד השליח ולפ"ז אפי' השליח הב' חי יכול הא' לבטלו וליקח אצלו הגט דאם תאמר שנסתלק הא' לא הוה לי' לחזור ליטלו מיורשי שני ולגרש בו אלא ודאי דהשליח האחד הוא ממש במקום הבעל שהרי כתב לו ידך כידי. עכ"ל. ובספר </w:t>
      </w:r>
      <w:r>
        <w:rPr>
          <w:rFonts w:cs="Arial"/>
          <w:b/>
          <w:bCs/>
          <w:rtl/>
        </w:rPr>
        <w:t>גט מקושר</w:t>
      </w:r>
      <w:r>
        <w:rPr>
          <w:rFonts w:cs="Arial"/>
          <w:rtl/>
        </w:rPr>
        <w:t xml:space="preserve"> (ס"ג שלישי אות כה) כתב היינו אם השני רוצה ליתן לו, אבל אם השני רוצה להוליכו אין הראשון יכול לעכב עליו</w:t>
      </w:r>
      <w:r>
        <w:rPr>
          <w:rtl/>
        </w:rPr>
        <w:t xml:space="preserve">, ע"ש. </w:t>
      </w:r>
    </w:p>
  </w:footnote>
  <w:footnote w:id="2032">
    <w:p w14:paraId="5B5B7207" w14:textId="666A986F" w:rsidR="00FA2119" w:rsidRDefault="00FA2119" w:rsidP="00FA2119">
      <w:pPr>
        <w:pStyle w:val="a5"/>
      </w:pPr>
      <w:r>
        <w:rPr>
          <w:rStyle w:val="a7"/>
        </w:rPr>
        <w:footnoteRef/>
      </w:r>
      <w:r>
        <w:rPr>
          <w:rtl/>
        </w:rPr>
        <w:t xml:space="preserve"> </w:t>
      </w:r>
      <w:r w:rsidR="000A0F5A">
        <w:rPr>
          <w:rFonts w:cs="Arial"/>
          <w:rtl/>
        </w:rPr>
        <w:t>וז"ל:</w:t>
      </w:r>
      <w:r>
        <w:rPr>
          <w:rFonts w:cs="Arial"/>
          <w:rtl/>
        </w:rPr>
        <w:t xml:space="preserve"> אבל שליח קבלה אינו עושה שליח לקבלה אא"כ אמרה בפירוש שימנה שליח אחר תחתיו, דמילי נינהו ולא מימסרן לשליח.</w:t>
      </w:r>
    </w:p>
  </w:footnote>
  <w:footnote w:id="2033">
    <w:p w14:paraId="5E326F2D" w14:textId="5C0B9F0B" w:rsidR="00FA2119" w:rsidRDefault="00FA2119" w:rsidP="00FA2119">
      <w:pPr>
        <w:pStyle w:val="a5"/>
      </w:pPr>
      <w:r>
        <w:rPr>
          <w:rStyle w:val="a7"/>
        </w:rPr>
        <w:footnoteRef/>
      </w:r>
      <w:r>
        <w:rPr>
          <w:rtl/>
        </w:rPr>
        <w:t xml:space="preserve"> </w:t>
      </w:r>
      <w:r w:rsidR="000A0F5A">
        <w:rPr>
          <w:rFonts w:cs="Arial"/>
          <w:rtl/>
        </w:rPr>
        <w:t>וז"ל:</w:t>
      </w:r>
      <w:r>
        <w:rPr>
          <w:rFonts w:cs="Arial"/>
          <w:rtl/>
        </w:rPr>
        <w:t xml:space="preserve"> אבל הרמב"ם ז"ל כתב בפ"ז מהלכות גירושין דשליח ממנה שליח ולא חילק כלל בין שליח האשה לשליח האיש.</w:t>
      </w:r>
      <w:r>
        <w:rPr>
          <w:rtl/>
        </w:rPr>
        <w:t xml:space="preserve"> </w:t>
      </w:r>
      <w:r>
        <w:rPr>
          <w:rFonts w:cs="Arial"/>
          <w:rtl/>
        </w:rPr>
        <w:t>והרב בעל העיטור ז"ל באות שליחות הגט חלק על הגאון ז"ל וכתב דכשם ששליח הבעל ממנה שליח אף שליח האשה ממנה שליח אפילו עד כמה. וגם האחרונים ז"ל חלקו על טעמו של הרמ"ה ז"ל... ולע"ד אני אומר דלא גרעה אשה שאמרה התקבל לי גטי מאשה שאמרה התקבל לי קידושין מאחר דכולהו מילי נינהו דלא מסרן ליה בידיה ולא מידי. וכשם שהאשה יכולה למנות שליח לקבל לה קדושין, כך יכולה למנות שליח לקבל לה גיטה, והשליח ממנה שליח, דכלהו מחד קרא נפקי דאיתקש הויה ליציאה... וברור הוא. וכיון שהרמב"ם ז"ל והרב בעל העיטור והאחרונים ז"ל מסכימין להתיר ראוי לסמוך עליהם.</w:t>
      </w:r>
    </w:p>
  </w:footnote>
  <w:footnote w:id="2034">
    <w:p w14:paraId="4FDFFC1F" w14:textId="77777777" w:rsidR="00FA2119" w:rsidRDefault="00FA2119" w:rsidP="00FA2119">
      <w:pPr>
        <w:pStyle w:val="a5"/>
      </w:pPr>
      <w:r>
        <w:rPr>
          <w:rStyle w:val="a7"/>
        </w:rPr>
        <w:footnoteRef/>
      </w:r>
      <w:r>
        <w:rPr>
          <w:rtl/>
        </w:rPr>
        <w:t xml:space="preserve"> </w:t>
      </w:r>
      <w:r>
        <w:rPr>
          <w:rFonts w:cs="Arial"/>
          <w:rtl/>
        </w:rPr>
        <w:t xml:space="preserve">והאי דמצרכינן בשליח השליח דבעל שימנהו השליח הראשון לשליח השני בבית דין כדאיתא התם, היינו טעמא משום דצריך לומר בפני נכתב ובפני נחתם והשני אין יכול לומר כך, לפיכך הצריכוהו שימנהו בית דין כדי שיאמר השני שליח בית דין אני... ובנדון הזה </w:t>
      </w:r>
      <w:r>
        <w:rPr>
          <w:rFonts w:cs="Arial"/>
          <w:sz w:val="16"/>
          <w:szCs w:val="16"/>
          <w:rtl/>
        </w:rPr>
        <w:t xml:space="preserve">{שנשאל הרשב"ש בשו"ת} </w:t>
      </w:r>
      <w:r>
        <w:rPr>
          <w:rFonts w:cs="Arial"/>
          <w:rtl/>
        </w:rPr>
        <w:t>שמכיון שהגיע הגט ליד שלוחה נתגרשה ואין צריך שיאמר בפני נכתב ובפני נחתם אין צריך למנותו בבית דין, רשב"ש (שם).</w:t>
      </w:r>
      <w:r>
        <w:rPr>
          <w:rtl/>
        </w:rPr>
        <w:t xml:space="preserve"> </w:t>
      </w:r>
      <w:r>
        <w:rPr>
          <w:color w:val="00B0F0"/>
          <w:rtl/>
        </w:rPr>
        <w:t>(וכ"כ הרמ"א)</w:t>
      </w:r>
    </w:p>
  </w:footnote>
  <w:footnote w:id="2035">
    <w:p w14:paraId="5ED804E1" w14:textId="77777777" w:rsidR="00FA2119" w:rsidRDefault="00FA2119" w:rsidP="00FA2119">
      <w:pPr>
        <w:pStyle w:val="a5"/>
      </w:pPr>
      <w:r>
        <w:rPr>
          <w:rStyle w:val="a7"/>
        </w:rPr>
        <w:footnoteRef/>
      </w:r>
      <w:r>
        <w:rPr>
          <w:rtl/>
        </w:rPr>
        <w:t xml:space="preserve"> </w:t>
      </w:r>
      <w:r>
        <w:rPr>
          <w:rFonts w:cs="Arial"/>
          <w:rtl/>
        </w:rPr>
        <w:t>נראה לי שמה שמתיר העיטור לשליח קבלה למנות שליח אחר היינו שיהא שליח להביאו לידו של שליח ראשון אבל לשתתגרש בקבלתו של שני לא. ודייקנא לה מדכתב באות הנזכר (מט:) בשטר שליח קבלה ויהא ליה רשותא לשוויי שליחא ושליחא דשליחא אחרינא עד דתתקבל לי גיטא ותיתי ותימטי לידא דפלוני שליחא דידי. ואם איתא הוה ליה למימר וכיון דימטי גיטא ליד שלוחיה או שליח שלוחיה אהא מגורשת מפלוני בעלי. אלא שאם כן דבריו כאן סתומים ביותר</w:t>
      </w:r>
      <w:r>
        <w:rPr>
          <w:rtl/>
        </w:rPr>
        <w:t>, ב"י.</w:t>
      </w:r>
    </w:p>
  </w:footnote>
  <w:footnote w:id="2036">
    <w:p w14:paraId="204020DA" w14:textId="338809EA" w:rsidR="00FA2119" w:rsidRDefault="00FA2119" w:rsidP="00FA2119">
      <w:pPr>
        <w:pStyle w:val="a5"/>
        <w:rPr>
          <w:rtl/>
        </w:rPr>
      </w:pPr>
      <w:r>
        <w:rPr>
          <w:rStyle w:val="a7"/>
        </w:rPr>
        <w:footnoteRef/>
      </w:r>
      <w:r>
        <w:rPr>
          <w:rtl/>
        </w:rPr>
        <w:t xml:space="preserve"> </w:t>
      </w:r>
      <w:r>
        <w:rPr>
          <w:rFonts w:cs="Arial"/>
          <w:rtl/>
        </w:rPr>
        <w:t xml:space="preserve">לא נהירא דלא אמרינן מילי לא מימסרן לשליח אלא כשמוסר לו דבר לעשותו אינו יכול למוסרו לאחר, כגון מי שעשה שליח לחתום גט שאינו יכול לומר לאחר לחתמו, אבל כשאמר לו בהדיא לומר לאחר לחותמו יכול לעשותו, כדאמרינן לקמן באומר לשנים אמרו לפלוני ויכתוב בו לפלוני ולפלוני ויחתומו דלא הוי מילי, </w:t>
      </w:r>
      <w:r>
        <w:rPr>
          <w:rFonts w:cs="Arial"/>
          <w:b/>
          <w:bCs/>
          <w:rtl/>
        </w:rPr>
        <w:t>טור</w:t>
      </w:r>
      <w:r>
        <w:rPr>
          <w:rFonts w:cs="Arial"/>
          <w:rtl/>
        </w:rPr>
        <w:t xml:space="preserve">. </w:t>
      </w:r>
      <w:r>
        <w:rPr>
          <w:rFonts w:cs="Arial"/>
          <w:sz w:val="16"/>
          <w:szCs w:val="16"/>
          <w:rtl/>
        </w:rPr>
        <w:t xml:space="preserve">(לשון זה קשה מאוד שהרי רבינו כתב בסימן ק"כ (ד:) שאפילו אמר להם הבעל אמרו לסופר ויכתוב ולעדים ויחתמו לא יכתוב הסופר ולא יחתמו העדים עד שישמעו מפיו, והיאך כתב כאן 'אבל כשאמר לו בהדיא לומר לאחר לחתמו יכול לעשותו', שזה היפך מה שקדם. ומה שחתם דבריו 'כדאמרינן לקמן באומר לשנים אמרו לפלוני וכו' דלא הוו מילי' - לשון זה לא נמצא כלל, לא לקמן ולא לקמיה דלקמן. והרד"ך ז"ל (שו"ת רד"ך בית ג יט. ובית ו חדר ב וח"ג) נדחק מאד ליישב זה, וחילק בין כתיבה לחתימה לענין אומר אמרו, וכתב שכדאמרינן לקמן שכתב רבינו הוא בטור חשן משפט סימן רמ"ד שכתב האומר לשנים כתבו וחתמו ותנו לפלוני שטר מתנה שאני נותן לו וכו' עד והרמב"ן (סו: ד"ה וא"ר חסדא) כתב דלא אמרינן (כט.) מתנה הרי היא כגט וכו' אבל באומר אמרו לכתוב ולחתום כשר לכולי עלמא במתנה, והכי מסתברא עכ"ל. וה"ר משה אלשקר ז"ל (שו"ת מהר"ם אלשקר סי' כב וסי' כד) השיגו, דאין בדברי רבינו בסימן הנזכר חילוק בין כתיבה לחתימה כלל. וגם בעיני יפלא לפרש כדאמרינן לקמן שירמוז אל טור אחר זולת הטור שהוא בו. ולי נראה שתיבת לקמן צריך למחוק, והכי קאמר כדאמרינן בגמרא בסוף פרק התקבל (סו:) דאע"ג דרבי יוסי סבר מילי לא מימסרן לשליח מודה באומר אמרו משמע דאומר אמרו לא הוו מילי, </w:t>
      </w:r>
      <w:r>
        <w:rPr>
          <w:rFonts w:cs="Arial"/>
          <w:b/>
          <w:bCs/>
          <w:sz w:val="16"/>
          <w:szCs w:val="16"/>
          <w:rtl/>
        </w:rPr>
        <w:t>ב"י</w:t>
      </w:r>
      <w:r>
        <w:rPr>
          <w:rFonts w:cs="Arial"/>
          <w:sz w:val="16"/>
          <w:szCs w:val="16"/>
          <w:rtl/>
        </w:rPr>
        <w:t xml:space="preserve"> (בבדה"ב). </w:t>
      </w:r>
      <w:r>
        <w:rPr>
          <w:rFonts w:cs="Arial"/>
          <w:b/>
          <w:bCs/>
          <w:sz w:val="16"/>
          <w:szCs w:val="16"/>
          <w:rtl/>
        </w:rPr>
        <w:t>והדרכ"מ</w:t>
      </w:r>
      <w:r>
        <w:rPr>
          <w:rFonts w:cs="Arial"/>
          <w:sz w:val="16"/>
          <w:szCs w:val="16"/>
          <w:rtl/>
        </w:rPr>
        <w:t xml:space="preserve"> (אות לה) כתב</w:t>
      </w:r>
      <w:r w:rsidR="000F5EEA">
        <w:rPr>
          <w:rFonts w:cs="Arial" w:hint="cs"/>
          <w:sz w:val="16"/>
          <w:szCs w:val="16"/>
          <w:rtl/>
        </w:rPr>
        <w:t>:</w:t>
      </w:r>
      <w:r>
        <w:rPr>
          <w:rFonts w:cs="Arial"/>
          <w:sz w:val="16"/>
          <w:szCs w:val="16"/>
          <w:rtl/>
        </w:rPr>
        <w:t xml:space="preserve"> פירוש </w:t>
      </w:r>
      <w:r>
        <w:rPr>
          <w:rFonts w:cs="Arial"/>
          <w:sz w:val="12"/>
          <w:szCs w:val="12"/>
          <w:rtl/>
        </w:rPr>
        <w:t xml:space="preserve">{דברי הטור} </w:t>
      </w:r>
      <w:r>
        <w:rPr>
          <w:rFonts w:cs="Arial"/>
          <w:sz w:val="16"/>
          <w:szCs w:val="16"/>
          <w:rtl/>
        </w:rPr>
        <w:t>דלא הוי מילי ומצד זה יכול לעשותו, אבל מכל מקום אומר אמרו פסול מטעם אחר דהיינו משום גזירת חתם סופר ועד כדאיתא בגמרא פרק התקבל (סו:) ובאשיר"י פרק המגרש (סי' ו), ולכן פסק לעיל סימן ק"כ (עמ' קט) דאומר אמרו אינו גט, כן נראה לי).</w:t>
      </w:r>
    </w:p>
  </w:footnote>
  <w:footnote w:id="2037">
    <w:p w14:paraId="5739215D" w14:textId="77777777" w:rsidR="00FA2119" w:rsidRDefault="00FA2119" w:rsidP="00FA2119">
      <w:pPr>
        <w:pStyle w:val="a5"/>
      </w:pPr>
      <w:r>
        <w:rPr>
          <w:rStyle w:val="a7"/>
        </w:rPr>
        <w:footnoteRef/>
      </w:r>
      <w:r>
        <w:rPr>
          <w:rFonts w:cs="Arial"/>
          <w:rtl/>
        </w:rPr>
        <w:t xml:space="preserve"> וכ"כ הר"ן ס"פ כל הגט (טו. ד"ה אמר) דאם נתנה לו רשות לעשות שליח אחר, ומינתה אותו שליח - יכול לעשות אותו. וכ"כ ב"י בסימן זה (סע' נז) בשם תשובת הר"ש בן הרשב"ץ (שות הרשב"ש סי' רסו, הב"י שלח לעיין שם), דרכ"מ (אות לה*).</w:t>
      </w:r>
    </w:p>
  </w:footnote>
  <w:footnote w:id="2038">
    <w:p w14:paraId="3547014C" w14:textId="77777777" w:rsidR="00FA2119" w:rsidRDefault="00FA2119" w:rsidP="00FA2119">
      <w:pPr>
        <w:pStyle w:val="a5"/>
      </w:pPr>
      <w:r>
        <w:rPr>
          <w:rStyle w:val="a7"/>
        </w:rPr>
        <w:footnoteRef/>
      </w:r>
      <w:r>
        <w:rPr>
          <w:rtl/>
        </w:rPr>
        <w:t xml:space="preserve"> </w:t>
      </w:r>
      <w:r>
        <w:rPr>
          <w:rFonts w:cs="Arial"/>
          <w:rtl/>
        </w:rPr>
        <w:t>וכן הוא במרדכי (ר"פ השולח סי' שסו) בשם תשובת רש"י (ספר תשובות רש"י סי' רא). עוד כתב במרדכי (שם) דאפילו אם הביא שליח שני גט פסול ואח"כ חזר הראשון והביא גט כשר - הרי היא מגורשת, וע"ש, דרכ"מ (אות לד).</w:t>
      </w:r>
      <w:r>
        <w:rPr>
          <w:color w:val="00B0F0"/>
          <w:rtl/>
        </w:rPr>
        <w:t xml:space="preserve"> (וכ"פ בהג"ה)</w:t>
      </w:r>
    </w:p>
  </w:footnote>
  <w:footnote w:id="2039">
    <w:p w14:paraId="610EE94B" w14:textId="77777777" w:rsidR="00DE425A" w:rsidRDefault="00DE425A" w:rsidP="00DE425A">
      <w:pPr>
        <w:pStyle w:val="a5"/>
      </w:pPr>
      <w:r>
        <w:rPr>
          <w:rStyle w:val="a7"/>
        </w:rPr>
        <w:footnoteRef/>
      </w:r>
      <w:r>
        <w:rPr>
          <w:rtl/>
        </w:rPr>
        <w:t xml:space="preserve"> </w:t>
      </w:r>
      <w:r>
        <w:rPr>
          <w:rFonts w:cs="Arial"/>
          <w:rtl/>
        </w:rPr>
        <w:t>נראה דלרבותא נקט ליד הראשון, לומר דלא נתבטל שליחות הראשון מחמת שליחות השני, אבל אם הגיע ליד השני - פשיטא דמגורשת. ואע"פ שאין תיבת כיון מכוונת לפי זה, על כרחך לפרש כן, ב"י.</w:t>
      </w:r>
    </w:p>
  </w:footnote>
  <w:footnote w:id="2040">
    <w:p w14:paraId="0009A2D8" w14:textId="15A7A58C" w:rsidR="00FA2119" w:rsidRDefault="00FA2119" w:rsidP="00FA2119">
      <w:pPr>
        <w:pStyle w:val="a5"/>
      </w:pPr>
      <w:r>
        <w:rPr>
          <w:rStyle w:val="a7"/>
        </w:rPr>
        <w:footnoteRef/>
      </w:r>
      <w:r>
        <w:rPr>
          <w:rtl/>
        </w:rPr>
        <w:t xml:space="preserve"> </w:t>
      </w:r>
      <w:r>
        <w:rPr>
          <w:rFonts w:cs="Arial"/>
          <w:rtl/>
        </w:rPr>
        <w:t xml:space="preserve">כיון דאינו מוסר לו שום דבר משום הכי הוי מילין, אבל שליח הולכה מוסר לו הגט, ושליח הבאה שלה לא הוי מילין כיון דעיקר שליחות נגמר בעת שנותן הגט ליד השליח, ב"ש (סקנ"ט). ועיין בס' ישועות יעקב (סקי"ט) מ"ש בביאור דבריו, ומסיים </w:t>
      </w:r>
      <w:r w:rsidR="000A0F5A">
        <w:rPr>
          <w:rFonts w:cs="Arial"/>
          <w:rtl/>
        </w:rPr>
        <w:t>וז"ל:</w:t>
      </w:r>
      <w:r>
        <w:rPr>
          <w:rFonts w:cs="Arial"/>
          <w:rtl/>
        </w:rPr>
        <w:t xml:space="preserve"> ואמנם היינו כשעושה שליח שני בשעה שהגט כבר בא לידו מן הבעל, אבל מילתא דפשיטא דאם עשתה שליח להובאה ועדיין לא מסר הבעל הגט לידו - אין השליח עושה שליח, דכל זמן שלא בא הגט לידו חשיב מילי, ולפי שחכם אחד פקפק בזה ולדעתי אין ספק דדומה ממש לשליח קבלה כתבתי זאת והדבר פשוט באמת עכ"ל, פת"ש (סקמ"ה).</w:t>
      </w:r>
    </w:p>
  </w:footnote>
  <w:footnote w:id="2041">
    <w:p w14:paraId="0CB8F0F8" w14:textId="77777777" w:rsidR="00FA2119" w:rsidRDefault="00FA2119" w:rsidP="00FA2119">
      <w:pPr>
        <w:pStyle w:val="a5"/>
        <w:rPr>
          <w:rtl/>
        </w:rPr>
      </w:pPr>
      <w:r>
        <w:rPr>
          <w:rStyle w:val="a7"/>
        </w:rPr>
        <w:footnoteRef/>
      </w:r>
      <w:r>
        <w:rPr>
          <w:rtl/>
        </w:rPr>
        <w:t xml:space="preserve"> </w:t>
      </w:r>
      <w:r>
        <w:rPr>
          <w:rFonts w:cs="Arial"/>
          <w:rtl/>
        </w:rPr>
        <w:t>דהא השליח אין צריך לומר ב"נ וב"נ וכן יכול לעשות שליח בלא אונס ועיין בתשובת רשב"ץ שהביא הב"י שם מבואר כמה חלוקי דינים, ב"ש (סע' קטן ס).</w:t>
      </w:r>
    </w:p>
  </w:footnote>
  <w:footnote w:id="2042">
    <w:p w14:paraId="2E010BED" w14:textId="7A35F62C" w:rsidR="00FA2119" w:rsidRDefault="00FA2119" w:rsidP="00FA2119">
      <w:pPr>
        <w:pStyle w:val="a5"/>
      </w:pPr>
      <w:r>
        <w:rPr>
          <w:rStyle w:val="a7"/>
        </w:rPr>
        <w:footnoteRef/>
      </w:r>
      <w:r>
        <w:rPr>
          <w:rtl/>
        </w:rPr>
        <w:t xml:space="preserve"> </w:t>
      </w:r>
      <w:r>
        <w:rPr>
          <w:rFonts w:cs="Arial"/>
          <w:rtl/>
        </w:rPr>
        <w:t xml:space="preserve">דיש לומר דאין רצונו שיתן לה במקום אחר דשם יעליזו לכן יש קפידא אפילו לא אמר אל תתנהו אלא במקום פלוני, אבל אם אמר שיתן בעליה או באיזה יד מסתמא ליכא קפידא אא"כ שאמר אל תנהו אלא כך וכך, </w:t>
      </w:r>
      <w:r>
        <w:rPr>
          <w:rFonts w:cs="Arial"/>
          <w:b/>
          <w:bCs/>
          <w:rtl/>
        </w:rPr>
        <w:t>ב"ש</w:t>
      </w:r>
      <w:r>
        <w:rPr>
          <w:rFonts w:cs="Arial"/>
          <w:rtl/>
        </w:rPr>
        <w:t xml:space="preserve"> (ס"ק סב).</w:t>
      </w:r>
      <w:r>
        <w:rPr>
          <w:rtl/>
        </w:rPr>
        <w:t xml:space="preserve"> </w:t>
      </w:r>
      <w:r>
        <w:rPr>
          <w:rFonts w:cs="Arial"/>
          <w:rtl/>
        </w:rPr>
        <w:t xml:space="preserve">ועיין בס' תו"ג שהקשה על זה דהא באו"ח סי' ת"ט פסק המחבר דאם אמר ערב לו בבית ועירב לו בעליה דאין עירובו עירוב אע"ג דלא אמר אלא, ומ"ש כאן דצריך שיאמר אלא, וגם מן הסברא נראה, כיון שהזכיר עליה מה שלא היה צריך להזכיר - קפידא הוי. עכ"ד, ע"ש. ויש לעיין מח"מ סי' קפ"ב ס"י </w:t>
      </w:r>
      <w:r w:rsidR="009334FF">
        <w:rPr>
          <w:rFonts w:cs="Arial"/>
          <w:rtl/>
        </w:rPr>
        <w:t>בהג"ה</w:t>
      </w:r>
      <w:r>
        <w:rPr>
          <w:rFonts w:cs="Arial"/>
          <w:rtl/>
        </w:rPr>
        <w:t xml:space="preserve">. ועיין בתשובת אא"ז פמ"א (ח"ג סי' ד), </w:t>
      </w:r>
      <w:r>
        <w:rPr>
          <w:rFonts w:cs="Arial"/>
          <w:b/>
          <w:bCs/>
          <w:rtl/>
        </w:rPr>
        <w:t>פת"ש</w:t>
      </w:r>
      <w:r>
        <w:rPr>
          <w:rFonts w:cs="Arial"/>
          <w:rtl/>
        </w:rPr>
        <w:t xml:space="preserve"> (סקמ"ח).</w:t>
      </w:r>
    </w:p>
  </w:footnote>
  <w:footnote w:id="2043">
    <w:p w14:paraId="79333C35" w14:textId="77777777" w:rsidR="00FA2119" w:rsidRDefault="00FA2119" w:rsidP="00FA2119">
      <w:pPr>
        <w:pStyle w:val="a5"/>
      </w:pPr>
      <w:r>
        <w:rPr>
          <w:rStyle w:val="a7"/>
        </w:rPr>
        <w:footnoteRef/>
      </w:r>
      <w:r>
        <w:rPr>
          <w:rtl/>
        </w:rPr>
        <w:t xml:space="preserve"> </w:t>
      </w:r>
      <w:r>
        <w:rPr>
          <w:rFonts w:cs="Arial"/>
          <w:rtl/>
        </w:rPr>
        <w:t xml:space="preserve">אע"פ שבנוסח ההרשאה אמר שיתנו לה הגט בכל מקום שימצאנה, כן הוא טופס כל נוסחי ההרשאות, וע"פ הנהוג אמר גם הוא כן, ואין לבטל בזה מה שהקפיד בפירוש שלא יתן לה אלא באותו מקום, והרי בשעה שאמר לו כן לא ביארו לו המסדרים שבזה"ז אין להקפיד על שום מקום ושיבטל דבורו וקפידתו, ובודאי אתנאו קא סמיך, משכנות יעקב </w:t>
      </w:r>
      <w:r>
        <w:rPr>
          <w:rFonts w:cs="Arial"/>
          <w:sz w:val="16"/>
          <w:szCs w:val="16"/>
          <w:rtl/>
        </w:rPr>
        <w:t>(סי' כה, ועי' בסי' לח. הביאו הפת"ש [סקמ"ז], וכתב לעיין בנו"ב תניינא [סי' קכז] ויובא לקמן סנ"ה סקנ"ב)</w:t>
      </w:r>
      <w:r>
        <w:rPr>
          <w:rFonts w:cs="Arial"/>
          <w:rtl/>
        </w:rPr>
        <w:t>.</w:t>
      </w:r>
    </w:p>
  </w:footnote>
  <w:footnote w:id="2044">
    <w:p w14:paraId="3D99C553" w14:textId="77777777" w:rsidR="00FA2119" w:rsidRDefault="00FA2119" w:rsidP="00FA2119">
      <w:pPr>
        <w:pStyle w:val="a5"/>
      </w:pPr>
      <w:r>
        <w:rPr>
          <w:rStyle w:val="a7"/>
        </w:rPr>
        <w:footnoteRef/>
      </w:r>
      <w:r>
        <w:rPr>
          <w:rtl/>
        </w:rPr>
        <w:t xml:space="preserve"> </w:t>
      </w:r>
      <w:r>
        <w:rPr>
          <w:rFonts w:cs="Arial"/>
          <w:rtl/>
        </w:rPr>
        <w:t>טעמו משום דסבירא ליה כרבינו חננאל (לעיל נא.) דבאתה הולך לא ישלחנו ביד אחר אא"כ חלה, ב"י (בבדה"ב).</w:t>
      </w:r>
    </w:p>
  </w:footnote>
  <w:footnote w:id="2045">
    <w:p w14:paraId="4F33D599" w14:textId="77777777" w:rsidR="00FA2119" w:rsidRDefault="00FA2119" w:rsidP="00FA2119">
      <w:pPr>
        <w:pStyle w:val="a5"/>
      </w:pPr>
      <w:r>
        <w:rPr>
          <w:rStyle w:val="a7"/>
        </w:rPr>
        <w:footnoteRef/>
      </w:r>
      <w:r>
        <w:rPr>
          <w:rtl/>
        </w:rPr>
        <w:t xml:space="preserve"> </w:t>
      </w:r>
      <w:r>
        <w:rPr>
          <w:rFonts w:cs="Arial"/>
          <w:rtl/>
        </w:rPr>
        <w:t>דברי טעם הם קצת</w:t>
      </w:r>
      <w:r>
        <w:rPr>
          <w:rtl/>
        </w:rPr>
        <w:t>, ב"י (בבדה"ב).</w:t>
      </w:r>
    </w:p>
  </w:footnote>
  <w:footnote w:id="2046">
    <w:p w14:paraId="12961D43" w14:textId="77777777" w:rsidR="00FA2119" w:rsidRDefault="00FA2119" w:rsidP="00FA2119">
      <w:pPr>
        <w:pStyle w:val="a5"/>
        <w:rPr>
          <w:rtl/>
        </w:rPr>
      </w:pPr>
      <w:r>
        <w:rPr>
          <w:rStyle w:val="a7"/>
        </w:rPr>
        <w:footnoteRef/>
      </w:r>
      <w:r>
        <w:rPr>
          <w:rtl/>
        </w:rPr>
        <w:t xml:space="preserve"> </w:t>
      </w:r>
      <w:r>
        <w:rPr>
          <w:rFonts w:cs="Arial"/>
          <w:rtl/>
        </w:rPr>
        <w:t>ומשמע מדבריו אבל כשאומר לו 'תנהו לה ביום פלוני' יכול לאחר, ובלבד שלא יקדים, טור.</w:t>
      </w:r>
    </w:p>
  </w:footnote>
  <w:footnote w:id="2047">
    <w:p w14:paraId="23ED3C2E" w14:textId="77777777" w:rsidR="00FA2119" w:rsidRDefault="00FA2119" w:rsidP="00FA2119">
      <w:pPr>
        <w:pStyle w:val="a5"/>
      </w:pPr>
      <w:r>
        <w:rPr>
          <w:rStyle w:val="a7"/>
        </w:rPr>
        <w:footnoteRef/>
      </w:r>
      <w:r>
        <w:rPr>
          <w:rtl/>
        </w:rPr>
        <w:t xml:space="preserve"> </w:t>
      </w:r>
      <w:r>
        <w:rPr>
          <w:rFonts w:cs="Arial"/>
          <w:rtl/>
        </w:rPr>
        <w:t>וכתב הרב המגיד שהוא תוספתא</w:t>
      </w:r>
      <w:r>
        <w:rPr>
          <w:rFonts w:cs="Arial"/>
          <w:sz w:val="16"/>
          <w:szCs w:val="16"/>
          <w:rtl/>
        </w:rPr>
        <w:t xml:space="preserve"> {לא מצאתי היכן}</w:t>
      </w:r>
      <w:r>
        <w:rPr>
          <w:rFonts w:cs="Arial"/>
          <w:rtl/>
        </w:rPr>
        <w:t>, ב"י.</w:t>
      </w:r>
    </w:p>
  </w:footnote>
  <w:footnote w:id="2048">
    <w:p w14:paraId="5F2A63F6" w14:textId="77777777" w:rsidR="00FA2119" w:rsidRDefault="00FA2119" w:rsidP="00FA2119">
      <w:pPr>
        <w:pStyle w:val="a5"/>
      </w:pPr>
      <w:r>
        <w:rPr>
          <w:rStyle w:val="a7"/>
        </w:rPr>
        <w:footnoteRef/>
      </w:r>
      <w:r>
        <w:rPr>
          <w:rtl/>
        </w:rPr>
        <w:t xml:space="preserve"> </w:t>
      </w:r>
      <w:r>
        <w:rPr>
          <w:rFonts w:cs="Arial"/>
          <w:rtl/>
        </w:rPr>
        <w:t xml:space="preserve">כי מסתמא יש קפידא שלא יקדים לגרש כמו שכתב בש"ס לא מקדים אניש פרעניות לגרש את אשתו לכן יכול לאחר ולא להקדים, </w:t>
      </w:r>
      <w:r>
        <w:rPr>
          <w:rFonts w:cs="Arial"/>
          <w:b/>
          <w:bCs/>
          <w:rtl/>
        </w:rPr>
        <w:t>ב"ש</w:t>
      </w:r>
      <w:r>
        <w:rPr>
          <w:rFonts w:cs="Arial"/>
          <w:rtl/>
        </w:rPr>
        <w:t xml:space="preserve"> (ס"ק סג). וע' לקמן סי' קמ"ד בב"ש (סקי"א) שכ' דלהרמב"ם מ"מ פסול, ולהמחבר הוי ספק גט. וחולק שם על הב"ח שכ' כאן דלכתחילה יכול לאחר, ע"ש. וכאן קיצר בדבר וסמך עמ"ש לקמן שם. ועיין בס' תו"ג שם שהסכים עם הב"ח, ע"ש. ועיין במל"מ (פ"ט מה"ג הל"ג), </w:t>
      </w:r>
      <w:r>
        <w:rPr>
          <w:rFonts w:cs="Arial"/>
          <w:b/>
          <w:bCs/>
          <w:rtl/>
        </w:rPr>
        <w:t>פת"ש</w:t>
      </w:r>
      <w:r>
        <w:rPr>
          <w:rFonts w:cs="Arial"/>
          <w:rtl/>
        </w:rPr>
        <w:t xml:space="preserve"> (סק"נ).</w:t>
      </w:r>
    </w:p>
  </w:footnote>
  <w:footnote w:id="2049">
    <w:p w14:paraId="7849B77F" w14:textId="77777777" w:rsidR="00FA2119" w:rsidRDefault="00FA2119" w:rsidP="00FA2119">
      <w:pPr>
        <w:pStyle w:val="a5"/>
      </w:pPr>
      <w:r>
        <w:rPr>
          <w:rStyle w:val="a7"/>
        </w:rPr>
        <w:footnoteRef/>
      </w:r>
      <w:r>
        <w:rPr>
          <w:rtl/>
        </w:rPr>
        <w:t xml:space="preserve"> </w:t>
      </w:r>
      <w:r>
        <w:rPr>
          <w:rFonts w:cs="Arial"/>
          <w:rtl/>
        </w:rPr>
        <w:t>ופשוט הוא שאף באשה אם אמרה לו 'הרי הוא במקום פלוני' שאינה אלא מראה מקום לו, וכדין הבעל, הה"מ (פ"ט הל"ד).</w:t>
      </w:r>
    </w:p>
  </w:footnote>
  <w:footnote w:id="2050">
    <w:p w14:paraId="3F1168E4" w14:textId="77777777" w:rsidR="00FA2119" w:rsidRDefault="00FA2119" w:rsidP="00FA2119">
      <w:pPr>
        <w:pStyle w:val="a5"/>
        <w:rPr>
          <w:rtl/>
        </w:rPr>
      </w:pPr>
      <w:r>
        <w:rPr>
          <w:rStyle w:val="a7"/>
        </w:rPr>
        <w:footnoteRef/>
      </w:r>
      <w:r>
        <w:rPr>
          <w:rtl/>
        </w:rPr>
        <w:t xml:space="preserve"> </w:t>
      </w:r>
      <w:r>
        <w:rPr>
          <w:rFonts w:cs="Arial"/>
          <w:rtl/>
        </w:rPr>
        <w:t xml:space="preserve">ורבינו </w:t>
      </w:r>
      <w:r>
        <w:rPr>
          <w:rFonts w:cs="Arial"/>
          <w:sz w:val="16"/>
          <w:szCs w:val="16"/>
          <w:rtl/>
        </w:rPr>
        <w:t xml:space="preserve">{הרמב"ם} </w:t>
      </w:r>
      <w:r>
        <w:rPr>
          <w:rFonts w:cs="Arial"/>
          <w:rtl/>
        </w:rPr>
        <w:t>גורס 'למקום פלוני' - ושני הדברים אמת, הה"מ (פ"ט הל"ד).</w:t>
      </w:r>
    </w:p>
  </w:footnote>
  <w:footnote w:id="2051">
    <w:p w14:paraId="19F1C015" w14:textId="77777777" w:rsidR="00FA2119" w:rsidRDefault="00FA2119" w:rsidP="00FA2119">
      <w:pPr>
        <w:pStyle w:val="a5"/>
        <w:rPr>
          <w:rtl/>
        </w:rPr>
      </w:pPr>
      <w:r>
        <w:rPr>
          <w:rStyle w:val="a7"/>
        </w:rPr>
        <w:footnoteRef/>
      </w:r>
      <w:r>
        <w:rPr>
          <w:rtl/>
        </w:rPr>
        <w:t xml:space="preserve"> </w:t>
      </w:r>
      <w:r>
        <w:rPr>
          <w:rFonts w:cs="Arial"/>
          <w:rtl/>
        </w:rPr>
        <w:t>כיון שאמרה לו התקבל לי גיטי במקום פלוני, וקיבלו לה במקום אחר, וכמפורש במשנה לעיל.</w:t>
      </w:r>
    </w:p>
  </w:footnote>
  <w:footnote w:id="2052">
    <w:p w14:paraId="6A62A384" w14:textId="77777777" w:rsidR="00FA2119" w:rsidRDefault="00FA2119" w:rsidP="00FA2119">
      <w:pPr>
        <w:pStyle w:val="a5"/>
      </w:pPr>
      <w:r>
        <w:rPr>
          <w:rStyle w:val="a7"/>
        </w:rPr>
        <w:footnoteRef/>
      </w:r>
      <w:r>
        <w:rPr>
          <w:rtl/>
        </w:rPr>
        <w:t xml:space="preserve"> </w:t>
      </w:r>
      <w:r>
        <w:rPr>
          <w:rFonts w:cs="Arial"/>
          <w:rtl/>
        </w:rPr>
        <w:t>כיון דהדר אמרה ליה הכי מכלל דלא קפדה אי מקבל ליה בדוכתא אחרינא והאי דקבעה ליה עיקר במתא מחסיא הכי קאמרה לא תהא שלוחי לקבלה להתגרש אני על ידך עד דמטית התם, רש"י.</w:t>
      </w:r>
    </w:p>
  </w:footnote>
  <w:footnote w:id="2053">
    <w:p w14:paraId="65280081" w14:textId="77777777" w:rsidR="00FA2119" w:rsidRDefault="00FA2119" w:rsidP="00FA2119">
      <w:pPr>
        <w:pStyle w:val="a5"/>
      </w:pPr>
      <w:r>
        <w:rPr>
          <w:rStyle w:val="a7"/>
        </w:rPr>
        <w:footnoteRef/>
      </w:r>
      <w:r>
        <w:rPr>
          <w:rtl/>
        </w:rPr>
        <w:t xml:space="preserve"> </w:t>
      </w:r>
      <w:r>
        <w:rPr>
          <w:rFonts w:cs="Arial"/>
          <w:rtl/>
        </w:rPr>
        <w:t>כשתתן לה את הגט - לא ישלחנו ביד אחר, רש"י.</w:t>
      </w:r>
    </w:p>
  </w:footnote>
  <w:footnote w:id="2054">
    <w:p w14:paraId="4AA830E0" w14:textId="77777777" w:rsidR="00FA2119" w:rsidRDefault="00FA2119" w:rsidP="00FA2119">
      <w:pPr>
        <w:pStyle w:val="a5"/>
      </w:pPr>
      <w:r>
        <w:rPr>
          <w:rStyle w:val="a7"/>
        </w:rPr>
        <w:footnoteRef/>
      </w:r>
      <w:r>
        <w:rPr>
          <w:rtl/>
        </w:rPr>
        <w:t xml:space="preserve"> </w:t>
      </w:r>
      <w:r>
        <w:rPr>
          <w:rFonts w:cs="Arial"/>
          <w:rtl/>
        </w:rPr>
        <w:t>במשנה זו שנה לנו רבי</w:t>
      </w:r>
      <w:r>
        <w:rPr>
          <w:rtl/>
        </w:rPr>
        <w:t>, רש"י.</w:t>
      </w:r>
    </w:p>
  </w:footnote>
  <w:footnote w:id="2055">
    <w:p w14:paraId="3167DD50" w14:textId="77777777" w:rsidR="00FA2119" w:rsidRDefault="00FA2119" w:rsidP="00FA2119">
      <w:pPr>
        <w:pStyle w:val="a5"/>
        <w:rPr>
          <w:rtl/>
        </w:rPr>
      </w:pPr>
      <w:r>
        <w:rPr>
          <w:rStyle w:val="a7"/>
        </w:rPr>
        <w:footnoteRef/>
      </w:r>
      <w:r>
        <w:rPr>
          <w:rtl/>
        </w:rPr>
        <w:t xml:space="preserve"> </w:t>
      </w:r>
      <w:r>
        <w:rPr>
          <w:rFonts w:cs="Arial"/>
          <w:rtl/>
        </w:rPr>
        <w:t>דהא דתנן לא ישלחנו ביד אחר לא משום בטולי שליחות דגיטא נקט לה, דאם שילח ביד אחר - הגט גט, דאע"ג דאין רצונו שיהא פקדונו ביד אחר, שליח לגרש מיהא שויה. אלא האי דתנן לא ישלחנו לאשמועינן דאין השואל רשאי להשאיל, רש"י.</w:t>
      </w:r>
    </w:p>
  </w:footnote>
  <w:footnote w:id="2056">
    <w:p w14:paraId="78A21B07" w14:textId="77777777" w:rsidR="00FA2119" w:rsidRDefault="00FA2119" w:rsidP="00FA2119">
      <w:pPr>
        <w:pStyle w:val="a5"/>
      </w:pPr>
      <w:r>
        <w:rPr>
          <w:rStyle w:val="a7"/>
        </w:rPr>
        <w:footnoteRef/>
      </w:r>
      <w:r>
        <w:rPr>
          <w:rtl/>
        </w:rPr>
        <w:t xml:space="preserve"> </w:t>
      </w:r>
      <w:r>
        <w:rPr>
          <w:rFonts w:cs="Arial"/>
          <w:rtl/>
        </w:rPr>
        <w:t>דאם השאילה לו, לא לצורך אחרים השאילה לו, דאין השואל רשאי להשאיל, ונמצא זה עובר על דעתו ומקניטו</w:t>
      </w:r>
      <w:r>
        <w:rPr>
          <w:rtl/>
        </w:rPr>
        <w:t>, רש"י.</w:t>
      </w:r>
    </w:p>
  </w:footnote>
  <w:footnote w:id="2057">
    <w:p w14:paraId="7DF3DAFE" w14:textId="77777777" w:rsidR="00FA2119" w:rsidRDefault="00FA2119" w:rsidP="00FA2119">
      <w:pPr>
        <w:pStyle w:val="a5"/>
        <w:rPr>
          <w:rtl/>
        </w:rPr>
      </w:pPr>
      <w:r>
        <w:rPr>
          <w:rStyle w:val="a7"/>
        </w:rPr>
        <w:footnoteRef/>
      </w:r>
      <w:r>
        <w:rPr>
          <w:rtl/>
        </w:rPr>
        <w:t xml:space="preserve"> </w:t>
      </w:r>
      <w:r>
        <w:rPr>
          <w:rFonts w:cs="Arial"/>
          <w:rtl/>
        </w:rPr>
        <w:t>משום שליחות דגט גופיה תנא לא ישלחנו, דאם שלחו ביד אחר זימנין דגיטא נמי לא הוי גיטא, ולקמן מפרש מאי זימנין, רש"י.</w:t>
      </w:r>
    </w:p>
  </w:footnote>
  <w:footnote w:id="2058">
    <w:p w14:paraId="0F25416E" w14:textId="77777777" w:rsidR="00FA2119" w:rsidRDefault="00FA2119" w:rsidP="00FA2119">
      <w:pPr>
        <w:pStyle w:val="a5"/>
      </w:pPr>
      <w:r>
        <w:rPr>
          <w:rStyle w:val="a7"/>
        </w:rPr>
        <w:footnoteRef/>
      </w:r>
      <w:r>
        <w:rPr>
          <w:rtl/>
        </w:rPr>
        <w:t xml:space="preserve"> </w:t>
      </w:r>
      <w:r>
        <w:rPr>
          <w:rFonts w:cs="Arial"/>
          <w:rtl/>
        </w:rPr>
        <w:t>לההוא שליח שני, רש"י.</w:t>
      </w:r>
    </w:p>
  </w:footnote>
  <w:footnote w:id="2059">
    <w:p w14:paraId="234BD5E1" w14:textId="77777777" w:rsidR="00FA2119" w:rsidRDefault="00FA2119" w:rsidP="00FA2119">
      <w:pPr>
        <w:pStyle w:val="a5"/>
      </w:pPr>
      <w:r>
        <w:rPr>
          <w:rStyle w:val="a7"/>
        </w:rPr>
        <w:footnoteRef/>
      </w:r>
      <w:r>
        <w:rPr>
          <w:rtl/>
        </w:rPr>
        <w:t xml:space="preserve"> </w:t>
      </w:r>
      <w:r>
        <w:rPr>
          <w:rFonts w:cs="Arial"/>
          <w:rtl/>
        </w:rPr>
        <w:t>דאע"ג דאין רצונו שיהא פקדונו ביד אחר שליחות דגיטא לא בטיל ככל שלוחי גיטא שיכולין לעשות שליח דאגט לא קפיד בעל לדבר זה דגט אינו תלוי בחפץ דאפשר שילך ויטול החפץ וישלח הגט ביד אחר הלכך אפי' שינה בחפץ אין זה שינוי בגט שהרי קיבל החפץ ואח"כ נתן</w:t>
      </w:r>
      <w:r>
        <w:rPr>
          <w:rtl/>
        </w:rPr>
        <w:t>, רש"י.</w:t>
      </w:r>
    </w:p>
  </w:footnote>
  <w:footnote w:id="2060">
    <w:p w14:paraId="2F58E611" w14:textId="77777777" w:rsidR="00FA2119" w:rsidRDefault="00FA2119" w:rsidP="00FA2119">
      <w:pPr>
        <w:pStyle w:val="a5"/>
        <w:rPr>
          <w:rtl/>
        </w:rPr>
      </w:pPr>
      <w:r>
        <w:rPr>
          <w:rStyle w:val="a7"/>
        </w:rPr>
        <w:footnoteRef/>
      </w:r>
      <w:r>
        <w:rPr>
          <w:rtl/>
        </w:rPr>
        <w:t xml:space="preserve"> </w:t>
      </w:r>
      <w:r>
        <w:rPr>
          <w:rFonts w:cs="Arial"/>
          <w:rtl/>
        </w:rPr>
        <w:t>ברישא. דכי אמר ליה 'שקול חפץ ברישא' קפיד איהו, שהיה בדעתו לעכב הגט אם לא תתן לו החפץ ולרדותה בעיגונא עד שתתן, הלכך הגט תלה בחפץ בדבר זה, וזה אם שינה נעשה כמי שאמר לו אל תגרשנה אלא בבית וגירשה בעלייה, הלכך ר' יוחנן פוסל בו בשליח ראשון וכ"ש בשלוחו, והיינו דקאמר 'זימנין דגיטא נמי לא הוי'. הלכך תנא במתניתין 'לא ישלחנו ביד אחר' שמא כשימסור ראשון שליחות לשני לא ימסור לו דברים כהוייתן, או השני לא ידקדק בהן ויהא משנה ומיפסיל גיטא. וריש לקיש מכשר כו', קסבר לאו קפידא הוא, אלא אורחא דמילתא קאמר ליה</w:t>
      </w:r>
      <w:r>
        <w:rPr>
          <w:rtl/>
        </w:rPr>
        <w:t>, רש"י.</w:t>
      </w:r>
    </w:p>
  </w:footnote>
  <w:footnote w:id="2061">
    <w:p w14:paraId="007EDF0A" w14:textId="77777777" w:rsidR="00FA2119" w:rsidRDefault="00FA2119" w:rsidP="00FA2119">
      <w:pPr>
        <w:pStyle w:val="a5"/>
        <w:rPr>
          <w:rtl/>
        </w:rPr>
      </w:pPr>
      <w:r>
        <w:rPr>
          <w:rStyle w:val="a7"/>
        </w:rPr>
        <w:footnoteRef/>
      </w:r>
      <w:r>
        <w:rPr>
          <w:rtl/>
        </w:rPr>
        <w:t xml:space="preserve"> </w:t>
      </w:r>
      <w:r>
        <w:rPr>
          <w:rFonts w:cs="Arial"/>
          <w:rtl/>
        </w:rPr>
        <w:t>והרמ"ה</w:t>
      </w:r>
      <w:r>
        <w:rPr>
          <w:rFonts w:cs="Arial"/>
          <w:sz w:val="16"/>
          <w:szCs w:val="16"/>
          <w:rtl/>
        </w:rPr>
        <w:t xml:space="preserve"> (כ"כ הטור בשמו)</w:t>
      </w:r>
      <w:r>
        <w:rPr>
          <w:rFonts w:cs="Arial"/>
          <w:rtl/>
        </w:rPr>
        <w:t xml:space="preserve"> כתב שהיא ספק מגורשת, ולא תינשא. ואם נישאת - לא תצא. וכתב הב"י דכן דעת רש"י </w:t>
      </w:r>
      <w:r>
        <w:rPr>
          <w:rFonts w:cs="Arial"/>
          <w:sz w:val="16"/>
          <w:szCs w:val="16"/>
          <w:rtl/>
        </w:rPr>
        <w:t>(כט: ד"ה ואזל)</w:t>
      </w:r>
      <w:r>
        <w:rPr>
          <w:rFonts w:cs="Arial"/>
          <w:rtl/>
        </w:rPr>
        <w:t>.</w:t>
      </w:r>
    </w:p>
  </w:footnote>
  <w:footnote w:id="2062">
    <w:p w14:paraId="1E3F3357" w14:textId="77777777" w:rsidR="00FA2119" w:rsidRDefault="00FA2119" w:rsidP="00FA2119">
      <w:pPr>
        <w:pStyle w:val="a5"/>
      </w:pPr>
      <w:r>
        <w:rPr>
          <w:rStyle w:val="a7"/>
        </w:rPr>
        <w:footnoteRef/>
      </w:r>
      <w:r>
        <w:rPr>
          <w:rtl/>
        </w:rPr>
        <w:t xml:space="preserve"> </w:t>
      </w:r>
      <w:r>
        <w:rPr>
          <w:rFonts w:cs="Arial"/>
          <w:rtl/>
        </w:rPr>
        <w:t>ומדברי הר"ן בפרק כל הגט (יד: ד"ה אמר) משמע דאפילו באמר ליה 'שקול חפצא והב לה גיטא' - לא הוי קפידא, עד שיאמר 'והדר הב לה גיטא', ודייק כן מדאמרינן בגמרא 'והדר הב לה גיטא', ב"י.</w:t>
      </w:r>
    </w:p>
  </w:footnote>
  <w:footnote w:id="2063">
    <w:p w14:paraId="79A146A0" w14:textId="77777777" w:rsidR="00FA2119" w:rsidRDefault="00FA2119" w:rsidP="00FA2119">
      <w:pPr>
        <w:pStyle w:val="a5"/>
      </w:pPr>
      <w:r>
        <w:rPr>
          <w:rStyle w:val="a7"/>
        </w:rPr>
        <w:footnoteRef/>
      </w:r>
      <w:r>
        <w:rPr>
          <w:rtl/>
        </w:rPr>
        <w:t xml:space="preserve"> </w:t>
      </w:r>
      <w:r>
        <w:rPr>
          <w:rFonts w:cs="Arial"/>
          <w:rtl/>
        </w:rPr>
        <w:t>ואפילו באומר בפירוש '</w:t>
      </w:r>
      <w:r>
        <w:rPr>
          <w:rFonts w:cs="Arial"/>
          <w:b/>
          <w:bCs/>
          <w:rtl/>
        </w:rPr>
        <w:t>ואחר כך</w:t>
      </w:r>
      <w:r>
        <w:rPr>
          <w:rFonts w:cs="Arial"/>
          <w:rtl/>
        </w:rPr>
        <w:t xml:space="preserve"> קבל ממנה החפץ'</w:t>
      </w:r>
      <w:r>
        <w:rPr>
          <w:rtl/>
        </w:rPr>
        <w:t>, ב"י. וכ"כ הטור.</w:t>
      </w:r>
    </w:p>
  </w:footnote>
  <w:footnote w:id="2064">
    <w:p w14:paraId="3B1F7268" w14:textId="77777777" w:rsidR="00FA2119" w:rsidRDefault="00FA2119" w:rsidP="00FA2119">
      <w:pPr>
        <w:pStyle w:val="a5"/>
        <w:rPr>
          <w:rtl/>
        </w:rPr>
      </w:pPr>
      <w:r>
        <w:rPr>
          <w:rStyle w:val="a7"/>
        </w:rPr>
        <w:footnoteRef/>
      </w:r>
      <w:r>
        <w:rPr>
          <w:rtl/>
        </w:rPr>
        <w:t xml:space="preserve"> </w:t>
      </w:r>
      <w:r>
        <w:rPr>
          <w:rFonts w:cs="Arial"/>
          <w:rtl/>
        </w:rPr>
        <w:t>ואין הוכחה ברורה בדברי הרא"ש שחולק על זה. אלא מדלא פירש כן בדבריו אלא כתב 'ומתניתין איירי כגון דשקיל מינה חפץ והדר יהיב לה גיטה' משמע ליה דמתניתין דקתני לא ישלחנו ביד אחר דוקא בדאמר ליה שקול חפצא והב גיטא היא, הא אילו אמר ליה הב גיטא ושקול חפצא - הרשות בידו לשלחו ביד אחר, ב"י. וכתב עוד הב"י דגם לדעת התוספות (כט: ד"ה שקול) באומר 'הב גיטא ושקול חפצא' - ליכא קפידא, כיון שהזכיר נתינת הגט תחלה.</w:t>
      </w:r>
    </w:p>
  </w:footnote>
  <w:footnote w:id="2065">
    <w:p w14:paraId="4074CED5" w14:textId="77777777" w:rsidR="00FA2119" w:rsidRDefault="00FA2119" w:rsidP="00FA2119">
      <w:pPr>
        <w:pStyle w:val="a5"/>
        <w:rPr>
          <w:rtl/>
        </w:rPr>
      </w:pPr>
      <w:r>
        <w:rPr>
          <w:rStyle w:val="a7"/>
        </w:rPr>
        <w:footnoteRef/>
      </w:r>
      <w:r>
        <w:rPr>
          <w:rtl/>
        </w:rPr>
        <w:t xml:space="preserve"> </w:t>
      </w:r>
      <w:r>
        <w:rPr>
          <w:rFonts w:cs="Arial"/>
          <w:rtl/>
        </w:rPr>
        <w:t>ואם יעידו העדים על חתימת ידיהם או עדים אחרים יכירו חתימתם כשר ואם אין עליו עוררים מסתמא כשר דהא בקיאין לשמה ועדים מצויין תמיד לקיימו כדאמרינן בגמ' בתי דינין קבועין, רש"י.</w:t>
      </w:r>
    </w:p>
  </w:footnote>
  <w:footnote w:id="2066">
    <w:p w14:paraId="5C2F8D0E" w14:textId="77777777" w:rsidR="00FA2119" w:rsidRDefault="00FA2119" w:rsidP="00FA2119">
      <w:pPr>
        <w:pStyle w:val="a5"/>
      </w:pPr>
      <w:r>
        <w:rPr>
          <w:rStyle w:val="a7"/>
        </w:rPr>
        <w:footnoteRef/>
      </w:r>
      <w:r>
        <w:rPr>
          <w:rtl/>
        </w:rPr>
        <w:t xml:space="preserve"> </w:t>
      </w:r>
      <w:r>
        <w:rPr>
          <w:rFonts w:cs="Arial"/>
          <w:rtl/>
        </w:rPr>
        <w:t>או העדים עצמן יעידו שחתמוהו או עדים אחרים יכירוהו ושוב אין בו פסול דבני ארץ ישראל ודאי בקיאין לשמה</w:t>
      </w:r>
      <w:r>
        <w:rPr>
          <w:rtl/>
        </w:rPr>
        <w:t>, רש"י.</w:t>
      </w:r>
    </w:p>
  </w:footnote>
  <w:footnote w:id="2067">
    <w:p w14:paraId="27433D76" w14:textId="77777777" w:rsidR="00FA2119" w:rsidRDefault="00FA2119" w:rsidP="00FA2119">
      <w:pPr>
        <w:pStyle w:val="a5"/>
        <w:rPr>
          <w:rtl/>
        </w:rPr>
      </w:pPr>
      <w:r>
        <w:rPr>
          <w:rStyle w:val="a7"/>
        </w:rPr>
        <w:footnoteRef/>
      </w:r>
      <w:r>
        <w:rPr>
          <w:rtl/>
        </w:rPr>
        <w:t xml:space="preserve"> </w:t>
      </w:r>
      <w:r>
        <w:rPr>
          <w:rFonts w:cs="Arial"/>
          <w:rtl/>
        </w:rPr>
        <w:t>הבעל ערער עליו לפוסלו, רש"י.</w:t>
      </w:r>
    </w:p>
  </w:footnote>
  <w:footnote w:id="2068">
    <w:p w14:paraId="59999682" w14:textId="77777777" w:rsidR="00FA2119" w:rsidRDefault="00FA2119" w:rsidP="00FA2119">
      <w:pPr>
        <w:pStyle w:val="a5"/>
      </w:pPr>
      <w:r>
        <w:rPr>
          <w:rStyle w:val="a7"/>
        </w:rPr>
        <w:footnoteRef/>
      </w:r>
      <w:r>
        <w:rPr>
          <w:rtl/>
        </w:rPr>
        <w:t xml:space="preserve"> </w:t>
      </w:r>
      <w:r>
        <w:rPr>
          <w:rFonts w:cs="Arial"/>
          <w:rtl/>
        </w:rPr>
        <w:t xml:space="preserve">ומשמע לרבינו דכיון שכתב הרא"ש דלהוציא מעות מיתומים ולקוחות חיישינן לזיופא משמע דאפילו לא ערערו לקוחות אנן טענינן להו וליתמי דילמא מזוייף הוא, ולכן סתם רבינו דבריו וכתב אבל לא ממשעבדי. וכן דעת הר"ן (ג. ד"ר) דאנן טענינן ללקוחות וליתמי אפילו אם אינם עוררים, </w:t>
      </w:r>
      <w:r>
        <w:rPr>
          <w:rFonts w:cs="Arial"/>
          <w:b/>
          <w:bCs/>
          <w:rtl/>
        </w:rPr>
        <w:t>ב"י</w:t>
      </w:r>
      <w:r>
        <w:rPr>
          <w:rFonts w:cs="Arial"/>
          <w:rtl/>
        </w:rPr>
        <w:t>.</w:t>
      </w:r>
      <w:r>
        <w:rPr>
          <w:rtl/>
        </w:rPr>
        <w:t xml:space="preserve"> </w:t>
      </w:r>
      <w:r>
        <w:rPr>
          <w:rFonts w:cs="Arial"/>
          <w:rtl/>
        </w:rPr>
        <w:t xml:space="preserve">ואע"ג דר"י ס"ל דאין טוענין מזויף בשביל יתומים ולקוחות לא קי"ל כר"י, </w:t>
      </w:r>
      <w:r>
        <w:rPr>
          <w:rFonts w:cs="Arial"/>
          <w:b/>
          <w:bCs/>
          <w:rtl/>
        </w:rPr>
        <w:t>ב"ש</w:t>
      </w:r>
      <w:r>
        <w:rPr>
          <w:rFonts w:cs="Arial"/>
          <w:rtl/>
        </w:rPr>
        <w:t xml:space="preserve"> (ס"ק סח).</w:t>
      </w:r>
    </w:p>
  </w:footnote>
  <w:footnote w:id="2069">
    <w:p w14:paraId="742FCD5E" w14:textId="77777777" w:rsidR="00FA2119" w:rsidRDefault="00FA2119" w:rsidP="00FA2119">
      <w:pPr>
        <w:pStyle w:val="a5"/>
      </w:pPr>
      <w:r>
        <w:rPr>
          <w:rStyle w:val="a7"/>
        </w:rPr>
        <w:footnoteRef/>
      </w:r>
      <w:r>
        <w:rPr>
          <w:rtl/>
        </w:rPr>
        <w:t xml:space="preserve"> </w:t>
      </w:r>
      <w:r>
        <w:rPr>
          <w:rFonts w:cs="Arial"/>
          <w:rtl/>
        </w:rPr>
        <w:t>וכתב הה"מ משמע דכשלא נתקיים מחזיקה הרב כאשת איש גמורה והולד ממזר גמור מן התורה, ונראה שהוא סבור דאע"ג דקיום שטרות דרבנן (גיטין ג.) הכא שהבעל מערער וטוען בבריא מזוייף והיא אינה יודעת בזה דבר וחתימת העדים אינה מצויה העמידנה על חזקתה שהיא אשת איש. אבל כשאבד הויא ספק מגורשת דדילמא אי הוה הגט קיים היה מתקיים בחותמיו. ויש מי שכתב דבכל גווני דיינינן ליה בספק מגורשת עכ"ל. ונראה לי דכשלא נתקיים אין דעת הרמב"ם שיהיה בטל לגמרי, דא"כ הוה ליה לכתוב סתם 'הרי זה בטל', אלא כוונתו לומר שהוא קרוב לודאי בטל כיון שחזרנו על קיומו ולא נודעו עדיו כלל, ומכל מקום כיון שאפשר שיתקיימו עדיו אינה ודאי אשת איש. ונפקא מינה לאם פשטה ידה וקיבלה קידושין מאחר דחיישינן לה, ב"י.</w:t>
      </w:r>
      <w:r>
        <w:rPr>
          <w:rtl/>
        </w:rPr>
        <w:t xml:space="preserve"> </w:t>
      </w:r>
    </w:p>
  </w:footnote>
  <w:footnote w:id="2070">
    <w:p w14:paraId="68E68EAD" w14:textId="77777777" w:rsidR="00FA2119" w:rsidRDefault="00FA2119" w:rsidP="00FA2119">
      <w:pPr>
        <w:pStyle w:val="a5"/>
      </w:pPr>
      <w:r>
        <w:rPr>
          <w:rStyle w:val="a7"/>
        </w:rPr>
        <w:footnoteRef/>
      </w:r>
      <w:r>
        <w:rPr>
          <w:rtl/>
        </w:rPr>
        <w:t xml:space="preserve"> </w:t>
      </w:r>
      <w:r>
        <w:rPr>
          <w:rFonts w:cs="Arial"/>
          <w:rtl/>
        </w:rPr>
        <w:t xml:space="preserve">אבל היכא דצ"ל ב"נ אם לא אמר הגט פסול אפי' בלא ערעור, כמ"ש לקמן סי' קמ"ב. אע"ג בעלמא טענינן בשביל יתומים שמא מזויף הוא מ"מ כאן מקילין משום תקנות עגונות או משום חומרא שהחמירו בסוף, כ"כ תוס' </w:t>
      </w:r>
      <w:r>
        <w:rPr>
          <w:rFonts w:cs="Arial"/>
          <w:sz w:val="16"/>
          <w:szCs w:val="16"/>
          <w:rtl/>
        </w:rPr>
        <w:t xml:space="preserve">(ב"מ יג., ובריש גיטין, ובכתובות פ' הנושא) </w:t>
      </w:r>
      <w:r>
        <w:rPr>
          <w:rFonts w:cs="Arial"/>
          <w:rtl/>
        </w:rPr>
        <w:t>דטועני' בעלמא מזויף בשביל יתומים. וכאן משמע אם השליח מביא הגט מותרת לישא אפי' אין מכירין החתימות, אפי' מאן דמחמיר לקמן בסי' קמ"ב כשהיא בעצמה מביאה גט שאין מקוים מ"מ כשהשליח מביא מודה דמותרת להנשא, ב"ש (ס"ק סז).</w:t>
      </w:r>
    </w:p>
  </w:footnote>
  <w:footnote w:id="2071">
    <w:p w14:paraId="6FFC62AE" w14:textId="77777777" w:rsidR="00FA2119" w:rsidRDefault="00FA2119" w:rsidP="00FA2119">
      <w:pPr>
        <w:pStyle w:val="a5"/>
      </w:pPr>
      <w:r>
        <w:rPr>
          <w:rStyle w:val="a7"/>
        </w:rPr>
        <w:footnoteRef/>
      </w:r>
      <w:r>
        <w:rPr>
          <w:rtl/>
        </w:rPr>
        <w:t xml:space="preserve"> </w:t>
      </w:r>
      <w:r>
        <w:rPr>
          <w:rFonts w:cs="Arial"/>
          <w:rtl/>
        </w:rPr>
        <w:t>משמע אם ערערו העדים לא מהני הקיום ועיין בטור ס"ס קנ"ב, ב"ש (ס"ק סט).</w:t>
      </w:r>
    </w:p>
  </w:footnote>
  <w:footnote w:id="2072">
    <w:p w14:paraId="1CD6B383" w14:textId="2FBCDC4C" w:rsidR="005F6305" w:rsidRDefault="005F6305">
      <w:pPr>
        <w:pStyle w:val="a5"/>
        <w:rPr>
          <w:rtl/>
        </w:rPr>
      </w:pPr>
      <w:r>
        <w:rPr>
          <w:rStyle w:val="a7"/>
        </w:rPr>
        <w:footnoteRef/>
      </w:r>
      <w:r>
        <w:rPr>
          <w:rtl/>
        </w:rPr>
        <w:t xml:space="preserve"> </w:t>
      </w:r>
      <w:r>
        <w:rPr>
          <w:rFonts w:hint="cs"/>
          <w:rtl/>
        </w:rPr>
        <w:t>סימן - גלגול כתב.</w:t>
      </w:r>
    </w:p>
  </w:footnote>
  <w:footnote w:id="2073">
    <w:p w14:paraId="40629343" w14:textId="77777777" w:rsidR="00FA2119" w:rsidRDefault="00FA2119" w:rsidP="00FA2119">
      <w:pPr>
        <w:pStyle w:val="a5"/>
      </w:pPr>
      <w:r>
        <w:rPr>
          <w:rStyle w:val="a7"/>
        </w:rPr>
        <w:footnoteRef/>
      </w:r>
      <w:r>
        <w:rPr>
          <w:rtl/>
        </w:rPr>
        <w:t xml:space="preserve"> </w:t>
      </w:r>
      <w:r>
        <w:rPr>
          <w:rFonts w:cs="Arial"/>
          <w:rtl/>
        </w:rPr>
        <w:t>אבל בחוץ לארץ נאמנות כדלקמן, טור.</w:t>
      </w:r>
    </w:p>
  </w:footnote>
  <w:footnote w:id="2074">
    <w:p w14:paraId="20B85A77" w14:textId="77777777" w:rsidR="00FA2119" w:rsidRDefault="00FA2119" w:rsidP="00FA2119">
      <w:pPr>
        <w:pStyle w:val="a5"/>
      </w:pPr>
      <w:r>
        <w:rPr>
          <w:rStyle w:val="a7"/>
        </w:rPr>
        <w:footnoteRef/>
      </w:r>
      <w:r>
        <w:rPr>
          <w:rtl/>
        </w:rPr>
        <w:t xml:space="preserve"> </w:t>
      </w:r>
      <w:r>
        <w:rPr>
          <w:rFonts w:cs="Arial"/>
          <w:rtl/>
        </w:rPr>
        <w:t>וכתב הרב המגיד שכן נלמד ממתניתין דהאשה שלום (יבמות קיח.), ב"י.</w:t>
      </w:r>
    </w:p>
  </w:footnote>
  <w:footnote w:id="2075">
    <w:p w14:paraId="5B735B00" w14:textId="77777777" w:rsidR="00FA2119" w:rsidRDefault="00FA2119" w:rsidP="00FA2119">
      <w:pPr>
        <w:pStyle w:val="a5"/>
      </w:pPr>
      <w:r>
        <w:rPr>
          <w:rStyle w:val="a7"/>
        </w:rPr>
        <w:footnoteRef/>
      </w:r>
      <w:r>
        <w:rPr>
          <w:rtl/>
        </w:rPr>
        <w:t xml:space="preserve"> </w:t>
      </w:r>
      <w:r>
        <w:rPr>
          <w:rFonts w:cs="Arial"/>
          <w:rtl/>
        </w:rPr>
        <w:t>וכתב הרב המגיד דהכי איתא דבירושלמי (יבמות שם ה"ד), ב"י.</w:t>
      </w:r>
    </w:p>
  </w:footnote>
  <w:footnote w:id="2076">
    <w:p w14:paraId="7376EBAF" w14:textId="04338435" w:rsidR="00FA2119" w:rsidRDefault="00FA2119" w:rsidP="00FA2119">
      <w:pPr>
        <w:pStyle w:val="a5"/>
      </w:pPr>
      <w:r>
        <w:rPr>
          <w:rStyle w:val="a7"/>
        </w:rPr>
        <w:footnoteRef/>
      </w:r>
      <w:r>
        <w:rPr>
          <w:rtl/>
        </w:rPr>
        <w:t xml:space="preserve"> </w:t>
      </w:r>
      <w:r>
        <w:rPr>
          <w:rFonts w:cs="Arial"/>
          <w:rtl/>
        </w:rPr>
        <w:t>גט שנתון ביד שליש</w:t>
      </w:r>
      <w:r w:rsidR="00534463">
        <w:rPr>
          <w:rFonts w:cs="Arial" w:hint="cs"/>
          <w:rtl/>
        </w:rPr>
        <w:t>,</w:t>
      </w:r>
      <w:r>
        <w:rPr>
          <w:rFonts w:cs="Arial"/>
          <w:rtl/>
        </w:rPr>
        <w:t xml:space="preserve"> בעל אומר לפקדון נתתיו בידך</w:t>
      </w:r>
      <w:r w:rsidR="00534463">
        <w:rPr>
          <w:rFonts w:cs="Arial" w:hint="cs"/>
          <w:rtl/>
        </w:rPr>
        <w:t>,</w:t>
      </w:r>
      <w:r>
        <w:rPr>
          <w:rFonts w:cs="Arial"/>
          <w:rtl/>
        </w:rPr>
        <w:t xml:space="preserve"> ושליש אומר לגירושין נתת לי שהייתי שלוחה לקבלה ונתגרשה בקבלתי..., </w:t>
      </w:r>
      <w:r>
        <w:rPr>
          <w:rFonts w:cs="Arial"/>
          <w:b/>
          <w:bCs/>
          <w:rtl/>
        </w:rPr>
        <w:t>רש"י</w:t>
      </w:r>
      <w:r>
        <w:rPr>
          <w:rFonts w:cs="Arial"/>
          <w:rtl/>
        </w:rPr>
        <w:t>.</w:t>
      </w:r>
      <w:r>
        <w:rPr>
          <w:rtl/>
        </w:rPr>
        <w:t xml:space="preserve"> </w:t>
      </w:r>
      <w:r>
        <w:rPr>
          <w:sz w:val="16"/>
          <w:szCs w:val="16"/>
          <w:rtl/>
        </w:rPr>
        <w:t>(</w:t>
      </w:r>
      <w:r>
        <w:rPr>
          <w:rFonts w:cs="Arial"/>
          <w:sz w:val="16"/>
          <w:szCs w:val="16"/>
          <w:rtl/>
        </w:rPr>
        <w:t>וכתב הרשב"א (שם)</w:t>
      </w:r>
      <w:r w:rsidR="00534463">
        <w:rPr>
          <w:rFonts w:cs="Arial" w:hint="cs"/>
          <w:sz w:val="16"/>
          <w:szCs w:val="16"/>
          <w:rtl/>
        </w:rPr>
        <w:t>:</w:t>
      </w:r>
      <w:r>
        <w:rPr>
          <w:rFonts w:cs="Arial"/>
          <w:sz w:val="16"/>
          <w:szCs w:val="16"/>
          <w:rtl/>
        </w:rPr>
        <w:t xml:space="preserve"> ואין כוונת הרב לומר שהוא נאמן לומר שליח קבלה אני, דעל כרחין שנים שיאמרו בפנינו אמרה צריכה (מתני' סג:), אלא כוונת הרב לומר דרב הונא ורב חסדא בשהגט יוצא מתחת ידו ובשליח קבלה ושליח אומר שליח קבלה אני ואלו עדי ולגירושין קבלתיו. והר"ן (כט: ד"ה גמ') נראה שתפס דברי רש"י כפשטן דבאין עדים שהוא שליח קבלה מיירי, ולפיכך כתב שהקשו עליו ופירשו דאפילו רב חסדא לא קאמר אלא בדאיכא סהדי שהוא שליח קבלה. וכן כתבו התוס' (סג: ד"ה ושליש) והרא"ש (סי' ח) דמיירי בשיש שנים שמעידים דשויתיה האשה שליח קבלה. וכן משמע מדברי רבינו דביש עדים שהוא שליח קבלה עסקינן שמה שכתב ואם הוא מודה שכתבו וכו' ארישא דמילתא קאי דהיינו עשתה שליח לקבלה בעדים. וכ"כ רי"ו (ח"ג דנכ"ד רט ע"ג).</w:t>
      </w:r>
      <w:r>
        <w:rPr>
          <w:rFonts w:cs="Arial"/>
          <w:sz w:val="22"/>
          <w:szCs w:val="22"/>
          <w:rtl/>
        </w:rPr>
        <w:t xml:space="preserve"> </w:t>
      </w:r>
      <w:r>
        <w:rPr>
          <w:rFonts w:cs="Arial"/>
          <w:sz w:val="16"/>
          <w:szCs w:val="16"/>
          <w:rtl/>
        </w:rPr>
        <w:t>וכתבו עוד דרבא ורב ששת (ו.) דמצרכי לומר בפני נכתב ובפני נחתם מערסא לערסא או משכונה לשכונה סבירא להו כרב חסדא דאמר שליש נאמן אפילו בעיר אחת. אי נמי התם איירי כשהבעל אומר כתבו ותנו והלך לדרכו דליכא למימר דלדידה הוה יהיב לה. והר"ן (כט: ד"ה רב הונא) ג"כ כתב כדבריהם דכשהאיש והאשה בעיר אחת עסקינן, ב"י)</w:t>
      </w:r>
    </w:p>
  </w:footnote>
  <w:footnote w:id="2077">
    <w:p w14:paraId="343C8CDD" w14:textId="77777777" w:rsidR="00FA2119" w:rsidRDefault="00FA2119" w:rsidP="00FA2119">
      <w:pPr>
        <w:pStyle w:val="a5"/>
      </w:pPr>
      <w:r>
        <w:rPr>
          <w:rStyle w:val="a7"/>
        </w:rPr>
        <w:footnoteRef/>
      </w:r>
      <w:r>
        <w:rPr>
          <w:rtl/>
        </w:rPr>
        <w:t xml:space="preserve"> </w:t>
      </w:r>
      <w:r>
        <w:rPr>
          <w:rFonts w:cs="Arial"/>
          <w:rtl/>
        </w:rPr>
        <w:t xml:space="preserve">והאיש והאשה יחד בעיר, רש"י (ד"ה בעל אומר). </w:t>
      </w:r>
      <w:r>
        <w:rPr>
          <w:rFonts w:cs="Arial"/>
          <w:sz w:val="16"/>
          <w:szCs w:val="16"/>
          <w:rtl/>
        </w:rPr>
        <w:t>(וכן כתבו התוספות (סד. ד"ה בעל) והרא"ש (שם) והרשב"א (שם ד"ה רב הונא), משום דאי לא תימא הכי לרב הונא דאמר בעל נאמן א"כ מה הועילו חכמים בתקנתן במביא גט ממדינת הים דצריך לומר בפני נכתב ובפני נחתם משום דאי אתי בעל ומערער לא משגחינן ביה, אכתי יערער שיאמר לפקדון נתתיו. אלא ודאי הכא בשהאיש והאשה יחד בעיר, ומשום הכי אמר רב הונא בעל נאמן דאם איתא דלגירושין יהביה ניהליה לדידה הוה יהיב לה, ואפילו בכי הא אמר רב חסדא דשליש נאמן, ב"י)</w:t>
      </w:r>
    </w:p>
  </w:footnote>
  <w:footnote w:id="2078">
    <w:p w14:paraId="11F4D088" w14:textId="77777777" w:rsidR="00FA2119" w:rsidRDefault="00FA2119" w:rsidP="00FA2119">
      <w:pPr>
        <w:pStyle w:val="a5"/>
      </w:pPr>
      <w:r>
        <w:rPr>
          <w:rStyle w:val="a7"/>
        </w:rPr>
        <w:footnoteRef/>
      </w:r>
      <w:r>
        <w:rPr>
          <w:rtl/>
        </w:rPr>
        <w:t xml:space="preserve"> </w:t>
      </w:r>
      <w:r>
        <w:rPr>
          <w:rFonts w:cs="Arial"/>
          <w:rtl/>
        </w:rPr>
        <w:t>כשמסרו בידו</w:t>
      </w:r>
      <w:r>
        <w:rPr>
          <w:rtl/>
        </w:rPr>
        <w:t>, רש"י.</w:t>
      </w:r>
    </w:p>
  </w:footnote>
  <w:footnote w:id="2079">
    <w:p w14:paraId="77F0A780" w14:textId="77777777" w:rsidR="00FA2119" w:rsidRDefault="00FA2119" w:rsidP="00FA2119">
      <w:pPr>
        <w:pStyle w:val="a5"/>
        <w:rPr>
          <w:rtl/>
        </w:rPr>
      </w:pPr>
      <w:r>
        <w:rPr>
          <w:rStyle w:val="a7"/>
        </w:rPr>
        <w:footnoteRef/>
      </w:r>
      <w:r>
        <w:rPr>
          <w:rtl/>
        </w:rPr>
        <w:t xml:space="preserve"> </w:t>
      </w:r>
      <w:r>
        <w:rPr>
          <w:rFonts w:cs="Arial"/>
          <w:rtl/>
        </w:rPr>
        <w:t>בעי עדים כלל, לא בקבלה ולא באמירה אלא באמירתו בלבד להימניה, דהא הימניה בעל</w:t>
      </w:r>
      <w:r>
        <w:rPr>
          <w:rtl/>
        </w:rPr>
        <w:t>, רש"י.</w:t>
      </w:r>
    </w:p>
  </w:footnote>
  <w:footnote w:id="2080">
    <w:p w14:paraId="6656DF3F" w14:textId="39E20720" w:rsidR="00FA2119" w:rsidRDefault="00FA2119" w:rsidP="00FA2119">
      <w:pPr>
        <w:pStyle w:val="a5"/>
        <w:rPr>
          <w:rtl/>
        </w:rPr>
      </w:pPr>
      <w:r>
        <w:rPr>
          <w:rStyle w:val="a7"/>
        </w:rPr>
        <w:footnoteRef/>
      </w:r>
      <w:r>
        <w:rPr>
          <w:rtl/>
        </w:rPr>
        <w:t xml:space="preserve"> </w:t>
      </w:r>
      <w:r>
        <w:rPr>
          <w:rFonts w:cs="Arial"/>
          <w:rtl/>
        </w:rPr>
        <w:t xml:space="preserve">בפנינו להראותו לנו דניהמניה, הא קרעו, ואע"פ שהקרעים בידו בפנינו - אין שליש אא"כ השלישית בידו, דמיגו דאי בעי הוה עביד ביה מאי דקאמר נאמן נמי על אמירתו, אבל זה שקרעו אין בידו למוסרו בידה, </w:t>
      </w:r>
      <w:r>
        <w:rPr>
          <w:rFonts w:cs="Arial"/>
          <w:b/>
          <w:bCs/>
          <w:rtl/>
        </w:rPr>
        <w:t>רש"י</w:t>
      </w:r>
      <w:r>
        <w:rPr>
          <w:rFonts w:cs="Arial"/>
          <w:rtl/>
        </w:rPr>
        <w:t xml:space="preserve">. </w:t>
      </w:r>
      <w:r w:rsidR="00FF04A8">
        <w:rPr>
          <w:rFonts w:cs="Arial" w:hint="cs"/>
          <w:rtl/>
        </w:rPr>
        <w:t xml:space="preserve">   </w:t>
      </w:r>
      <w:r>
        <w:rPr>
          <w:rFonts w:cs="Arial"/>
          <w:rtl/>
        </w:rPr>
        <w:t>והתוספות (שם ד"ה שליש) והרא"ש (שם) חלקו עליו וכתבו דאפילו בדליכא מגו הימנוהו רבנן לשליח, ואפילו אומר הבעל שנתנו לו בפני עדים מכל מקום סמך עליו, דזימנין דמייתי עדים או אזלי למדינת הים. ומשמע מדברי הרשב"א (שם ד"ה ורב חסדא) שלדברי התוספות אפילו עדים מעידים דלפקדון יהביה ניהליה - שליש נאמן, דכיון שהיה יכול שליש למסרו לה ותלך ותנשא בו - הוא מאמינו אפילו במקום עדים, וכאילו אמר נאמן עלי באומר לגירושין מסרתיו יותר ממאה עדים ופסל כל העדים לגבי דידיה כל זמן שאמר הוא לגירושין קודם שבאו העדים. וכן כתב הוא ז"ל בהדיא בתשובה (ח"ב סי' שיז וח"ג סי' יב וסי' קצט) דשליש נאמן אפילו במקום עדים דהא הימניה. וגם רי"ו (ח"ג שם) כתב בשם התוספות דאפילו יש עדים דלפקדון נתנו לו נאמן שליש. וכ"כ בתוספות הרא"ש (סד. ד"ה שאני ממון), ומיהו כתב דמילתא דתמיהא הוא אי מהימן אפילו במקום עדים</w:t>
      </w:r>
      <w:r>
        <w:rPr>
          <w:rtl/>
        </w:rPr>
        <w:t>,</w:t>
      </w:r>
      <w:r>
        <w:rPr>
          <w:b/>
          <w:bCs/>
          <w:rtl/>
        </w:rPr>
        <w:t xml:space="preserve"> ב"י</w:t>
      </w:r>
      <w:r>
        <w:rPr>
          <w:rtl/>
        </w:rPr>
        <w:t>.</w:t>
      </w:r>
      <w:r>
        <w:rPr>
          <w:rFonts w:cs="Arial"/>
          <w:rtl/>
        </w:rPr>
        <w:t xml:space="preserve"> </w:t>
      </w:r>
      <w:r w:rsidR="00FF04A8">
        <w:rPr>
          <w:rFonts w:cs="Arial" w:hint="cs"/>
          <w:rtl/>
        </w:rPr>
        <w:t xml:space="preserve">   </w:t>
      </w:r>
      <w:r>
        <w:rPr>
          <w:rFonts w:cs="Arial"/>
          <w:rtl/>
        </w:rPr>
        <w:t xml:space="preserve">אמנם בהר"ן (תקפג:) משמע דהשליח אינו נאמן אפילו בשגט יוצא מתחת ידו וע"ש, </w:t>
      </w:r>
      <w:r>
        <w:rPr>
          <w:rFonts w:cs="Arial"/>
          <w:b/>
          <w:bCs/>
          <w:rtl/>
        </w:rPr>
        <w:t>דרכ"מ</w:t>
      </w:r>
      <w:r>
        <w:rPr>
          <w:rFonts w:cs="Arial"/>
          <w:rtl/>
        </w:rPr>
        <w:t xml:space="preserve"> (אות לז*).</w:t>
      </w:r>
    </w:p>
  </w:footnote>
  <w:footnote w:id="2081">
    <w:p w14:paraId="2DBF5692" w14:textId="77777777" w:rsidR="00FA2119" w:rsidRDefault="00FA2119" w:rsidP="00FA2119">
      <w:pPr>
        <w:pStyle w:val="a5"/>
      </w:pPr>
      <w:r>
        <w:rPr>
          <w:rStyle w:val="a7"/>
        </w:rPr>
        <w:footnoteRef/>
      </w:r>
      <w:r>
        <w:rPr>
          <w:rtl/>
        </w:rPr>
        <w:t xml:space="preserve"> </w:t>
      </w:r>
      <w:r>
        <w:rPr>
          <w:rFonts w:cs="Arial"/>
          <w:rtl/>
        </w:rPr>
        <w:t>לאתויי עדים שראוהו מקבלו מיד הבעל הרי הוא בידו בפנינו והא ודאי קבליה, רש"י.</w:t>
      </w:r>
    </w:p>
  </w:footnote>
  <w:footnote w:id="2082">
    <w:p w14:paraId="2068DAFC" w14:textId="77777777" w:rsidR="00FA2119" w:rsidRDefault="00FA2119" w:rsidP="00FA2119">
      <w:pPr>
        <w:pStyle w:val="a5"/>
      </w:pPr>
      <w:r>
        <w:rPr>
          <w:rStyle w:val="a7"/>
        </w:rPr>
        <w:footnoteRef/>
      </w:r>
      <w:r>
        <w:rPr>
          <w:rtl/>
        </w:rPr>
        <w:t xml:space="preserve"> </w:t>
      </w:r>
      <w:r>
        <w:rPr>
          <w:rFonts w:cs="Arial"/>
          <w:rtl/>
        </w:rPr>
        <w:t>דאמר אין גט כשר בלא עדי מסירה, רש"י.</w:t>
      </w:r>
    </w:p>
  </w:footnote>
  <w:footnote w:id="2083">
    <w:p w14:paraId="71A5B502" w14:textId="77777777" w:rsidR="00FA2119" w:rsidRDefault="00FA2119" w:rsidP="00FA2119">
      <w:pPr>
        <w:pStyle w:val="a5"/>
      </w:pPr>
      <w:r>
        <w:rPr>
          <w:rStyle w:val="a7"/>
        </w:rPr>
        <w:footnoteRef/>
      </w:r>
      <w:r>
        <w:rPr>
          <w:rtl/>
        </w:rPr>
        <w:t xml:space="preserve"> </w:t>
      </w:r>
      <w:r>
        <w:rPr>
          <w:rFonts w:cs="Arial"/>
          <w:rtl/>
        </w:rPr>
        <w:t>שגזרו על המצות</w:t>
      </w:r>
      <w:r>
        <w:rPr>
          <w:rtl/>
        </w:rPr>
        <w:t>, רש"י.</w:t>
      </w:r>
    </w:p>
  </w:footnote>
  <w:footnote w:id="2084">
    <w:p w14:paraId="7D1E0828" w14:textId="77777777" w:rsidR="00FA2119" w:rsidRDefault="00FA2119" w:rsidP="00FA2119">
      <w:pPr>
        <w:pStyle w:val="a5"/>
        <w:rPr>
          <w:rtl/>
        </w:rPr>
      </w:pPr>
      <w:r>
        <w:rPr>
          <w:rStyle w:val="a7"/>
        </w:rPr>
        <w:footnoteRef/>
      </w:r>
      <w:r>
        <w:rPr>
          <w:rtl/>
        </w:rPr>
        <w:t xml:space="preserve"> </w:t>
      </w:r>
      <w:r>
        <w:rPr>
          <w:rFonts w:cs="Arial"/>
          <w:rtl/>
        </w:rPr>
        <w:t>ואיהי כי אמרה משמיה מהימנא</w:t>
      </w:r>
      <w:r>
        <w:rPr>
          <w:rtl/>
        </w:rPr>
        <w:t>, רש"י.</w:t>
      </w:r>
    </w:p>
  </w:footnote>
  <w:footnote w:id="2085">
    <w:p w14:paraId="26A336A8" w14:textId="77777777" w:rsidR="00532C6E" w:rsidRDefault="00532C6E" w:rsidP="00532C6E">
      <w:pPr>
        <w:pStyle w:val="a5"/>
        <w:rPr>
          <w:rtl/>
        </w:rPr>
      </w:pPr>
      <w:r>
        <w:rPr>
          <w:rStyle w:val="a7"/>
        </w:rPr>
        <w:footnoteRef/>
      </w:r>
      <w:r>
        <w:rPr>
          <w:rtl/>
        </w:rPr>
        <w:t xml:space="preserve"> </w:t>
      </w:r>
      <w:r>
        <w:rPr>
          <w:rFonts w:hint="cs"/>
          <w:rtl/>
        </w:rPr>
        <w:t xml:space="preserve">וז"ל: </w:t>
      </w:r>
      <w:r>
        <w:rPr>
          <w:rFonts w:cs="Arial"/>
          <w:rtl/>
        </w:rPr>
        <w:t>אי נמי דכי אמר רב הונא בעל נאמן דוקא בשליח קבלה דאיכא ריעותא, דכיון שידו כידה לדידה הוה מסר, אבל בשליח הולכה ליכא ריעותא שלא רצה למסור לה שתתגרש מיד</w:t>
      </w:r>
      <w:r>
        <w:rPr>
          <w:rFonts w:cs="Arial" w:hint="cs"/>
          <w:rtl/>
        </w:rPr>
        <w:t>.</w:t>
      </w:r>
      <w:r>
        <w:rPr>
          <w:rFonts w:cs="Arial"/>
          <w:rtl/>
        </w:rPr>
        <w:t xml:space="preserve"> אי נמי דכי קאמר רב הונא בעל נאמן דוקא שהוא עדיין ביד שליש, אבל משהגיע הגט לידה שוב אין הבעל נאמן אע"פ שאינה טוענת בריא</w:t>
      </w:r>
      <w:r>
        <w:rPr>
          <w:rFonts w:cs="Arial" w:hint="cs"/>
          <w:rtl/>
        </w:rPr>
        <w:t xml:space="preserve">. עכ"ל.    </w:t>
      </w:r>
      <w:r>
        <w:rPr>
          <w:rFonts w:cs="Arial"/>
          <w:rtl/>
        </w:rPr>
        <w:t xml:space="preserve"> וחילוק זה הזכירו הרשב"א (שם) וכתב שאינו מחוור בעיניו, </w:t>
      </w:r>
      <w:r>
        <w:rPr>
          <w:rFonts w:cs="Arial"/>
          <w:b/>
          <w:bCs/>
          <w:rtl/>
        </w:rPr>
        <w:t>ב"י</w:t>
      </w:r>
      <w:r>
        <w:rPr>
          <w:rFonts w:cs="Arial"/>
          <w:rtl/>
        </w:rPr>
        <w:t>.</w:t>
      </w:r>
      <w:r>
        <w:rPr>
          <w:rtl/>
        </w:rPr>
        <w:t xml:space="preserve"> </w:t>
      </w:r>
      <w:r>
        <w:rPr>
          <w:rFonts w:cs="Arial"/>
          <w:rtl/>
        </w:rPr>
        <w:t>ובתשובות ריב"ש סימן נ"ג משמע כדברי הר"ן, ועיין שם דהוא הדין כשאומר שליח בית דין אני</w:t>
      </w:r>
      <w:r>
        <w:rPr>
          <w:rtl/>
        </w:rPr>
        <w:t xml:space="preserve">, </w:t>
      </w:r>
      <w:r>
        <w:rPr>
          <w:b/>
          <w:bCs/>
          <w:rtl/>
        </w:rPr>
        <w:t>דרכ"מ</w:t>
      </w:r>
      <w:r>
        <w:rPr>
          <w:rtl/>
        </w:rPr>
        <w:t xml:space="preserve"> (אות לו).</w:t>
      </w:r>
    </w:p>
  </w:footnote>
  <w:footnote w:id="2086">
    <w:p w14:paraId="222018FA" w14:textId="77777777" w:rsidR="00FA2119" w:rsidRDefault="00FA2119" w:rsidP="00FA2119">
      <w:pPr>
        <w:pStyle w:val="a5"/>
      </w:pPr>
      <w:r>
        <w:rPr>
          <w:rStyle w:val="a7"/>
        </w:rPr>
        <w:footnoteRef/>
      </w:r>
      <w:r>
        <w:rPr>
          <w:rtl/>
        </w:rPr>
        <w:t xml:space="preserve"> </w:t>
      </w:r>
      <w:r>
        <w:rPr>
          <w:rFonts w:cs="Arial"/>
          <w:rtl/>
        </w:rPr>
        <w:t xml:space="preserve">והביא הר"ן (שם ד"ה אבל) את דבריו, וכתב הב"י- וקשיא לי מאי קמ"ל הר"ן לדעת הרי"ף, הא כל שאר מפרשים נמי הכי סבירא להו. ואפשר דלהרי"ף בתשובה פלוגתייהו בשליח הולכה אבל בשליח קבלה לכולי עלמא שליש נאמן, ולשאר מפרשים פליגי בתרווייהו. וכ"כ רי"ו (נכ"ד ח"ג רט ע"ג) דאפשר דלדברי הרי"ף בתשובה בשליח קבלה מודה רב הונא. ועוד יש לומר דמשום דהר"ן מתרץ באחד מהתירוצים דרב הונא לא פליג עליה אלא בשליח קבלה אבל בשליח הולכה מודה לרב חסדא, וכמו שכתבתי בסמוך, משום הכי כתב דהרי"ף בתשובה כתב דבשליח הולכה פליגי, ב"י. </w:t>
      </w:r>
    </w:p>
  </w:footnote>
  <w:footnote w:id="2087">
    <w:p w14:paraId="446B054A" w14:textId="77777777" w:rsidR="00FA2119" w:rsidRDefault="00FA2119" w:rsidP="00FA2119">
      <w:pPr>
        <w:pStyle w:val="a5"/>
      </w:pPr>
      <w:r>
        <w:rPr>
          <w:rStyle w:val="a7"/>
        </w:rPr>
        <w:footnoteRef/>
      </w:r>
      <w:r>
        <w:rPr>
          <w:rtl/>
        </w:rPr>
        <w:t xml:space="preserve"> </w:t>
      </w:r>
      <w:r>
        <w:rPr>
          <w:rFonts w:cs="Arial"/>
          <w:rtl/>
        </w:rPr>
        <w:t>וכ"כ בתוספות הרא"ש (סד. ד"ה שאני ממון), ומיהו כתב דמילתא דתמיהא הוא אי מהימן אפילו במקום עדים</w:t>
      </w:r>
      <w:r>
        <w:rPr>
          <w:rtl/>
        </w:rPr>
        <w:t>, ב"י.</w:t>
      </w:r>
    </w:p>
  </w:footnote>
  <w:footnote w:id="2088">
    <w:p w14:paraId="58B6B2E3" w14:textId="77777777" w:rsidR="00FA2119" w:rsidRDefault="00FA2119" w:rsidP="00FA2119">
      <w:pPr>
        <w:pStyle w:val="a5"/>
      </w:pPr>
      <w:r>
        <w:rPr>
          <w:rStyle w:val="a7"/>
        </w:rPr>
        <w:footnoteRef/>
      </w:r>
      <w:r>
        <w:rPr>
          <w:rtl/>
        </w:rPr>
        <w:t xml:space="preserve"> </w:t>
      </w:r>
      <w:r>
        <w:rPr>
          <w:rFonts w:cs="Arial"/>
          <w:rtl/>
        </w:rPr>
        <w:t xml:space="preserve">וכתב הרא"ש </w:t>
      </w:r>
      <w:r>
        <w:rPr>
          <w:rFonts w:cs="Arial"/>
          <w:sz w:val="16"/>
          <w:szCs w:val="16"/>
          <w:rtl/>
        </w:rPr>
        <w:t xml:space="preserve">(שם) </w:t>
      </w:r>
      <w:r>
        <w:rPr>
          <w:rFonts w:cs="Arial"/>
          <w:rtl/>
        </w:rPr>
        <w:t xml:space="preserve">שאין נראה לו ראיית הרי"ף, ושכך הקשה עליו רבינו אפרים. ומשמע לרבינו דהרא"ש ורבינו אפרים סבירא להו דהלכה כרב הונא. ועוד שכתבו הרשב"א </w:t>
      </w:r>
      <w:r>
        <w:rPr>
          <w:rFonts w:cs="Arial"/>
          <w:sz w:val="16"/>
          <w:szCs w:val="16"/>
          <w:rtl/>
        </w:rPr>
        <w:t xml:space="preserve">(סד. ד"ה ולענין) </w:t>
      </w:r>
      <w:r>
        <w:rPr>
          <w:rFonts w:cs="Arial"/>
          <w:rtl/>
        </w:rPr>
        <w:t xml:space="preserve">והרא"ש </w:t>
      </w:r>
      <w:r>
        <w:rPr>
          <w:rFonts w:cs="Arial"/>
          <w:sz w:val="16"/>
          <w:szCs w:val="16"/>
          <w:rtl/>
        </w:rPr>
        <w:t xml:space="preserve">(שם) </w:t>
      </w:r>
      <w:r>
        <w:rPr>
          <w:rFonts w:cs="Arial"/>
          <w:rtl/>
        </w:rPr>
        <w:t xml:space="preserve">שהרמב"ן </w:t>
      </w:r>
      <w:r>
        <w:rPr>
          <w:rFonts w:cs="Arial"/>
          <w:sz w:val="16"/>
          <w:szCs w:val="16"/>
          <w:rtl/>
        </w:rPr>
        <w:t>(מלחמות כט:, השמטות לחידושים סד. ד"ה הא דאקשי')</w:t>
      </w:r>
      <w:r>
        <w:rPr>
          <w:rFonts w:cs="Arial"/>
          <w:rtl/>
        </w:rPr>
        <w:t xml:space="preserve"> העיד שראה בנוסחא ראשונה של הרי"ף מכתיבת ידו שהלכה כרב הונא, וכתב שכיון שלא נתגלה לנו טעמו של הרי"ף ראוי להחמיר כדבריו הראשונים, וכמו שפסק ר"ת </w:t>
      </w:r>
      <w:r>
        <w:rPr>
          <w:rFonts w:cs="Arial"/>
          <w:sz w:val="16"/>
          <w:szCs w:val="16"/>
          <w:rtl/>
        </w:rPr>
        <w:t>(ספר הישר שו"ת סי' יז)</w:t>
      </w:r>
      <w:r>
        <w:rPr>
          <w:rFonts w:cs="Arial"/>
          <w:rtl/>
        </w:rPr>
        <w:t xml:space="preserve"> ולפיכך סתם רבינו הדברים כדעת רב הונא</w:t>
      </w:r>
      <w:r>
        <w:rPr>
          <w:rtl/>
        </w:rPr>
        <w:t>, ב"י.</w:t>
      </w:r>
    </w:p>
  </w:footnote>
  <w:footnote w:id="2089">
    <w:p w14:paraId="73F9817C" w14:textId="77777777" w:rsidR="00FA2119" w:rsidRDefault="00FA2119" w:rsidP="00FA2119">
      <w:pPr>
        <w:pStyle w:val="a5"/>
        <w:rPr>
          <w:rtl/>
        </w:rPr>
      </w:pPr>
      <w:r>
        <w:rPr>
          <w:rStyle w:val="a7"/>
        </w:rPr>
        <w:footnoteRef/>
      </w:r>
      <w:r>
        <w:rPr>
          <w:rtl/>
        </w:rPr>
        <w:t xml:space="preserve"> </w:t>
      </w:r>
      <w:r>
        <w:rPr>
          <w:rFonts w:cs="Arial"/>
          <w:rtl/>
        </w:rPr>
        <w:t>וכתב הרב המגיד שכן נמצא להרי"ף בתשובה (סי' כח) שאין השליח נאמן אלא כשמודה הבעל שכתבו אלא שבתורת פקדון נתנו לה, אבל כפר בגט ואמר לא כתבתיו אין מתקיים אלא בעדי חתימה, שהקבלן ידו כיד האשה, וכשם שהאשה אינה נאמנת בלא עדי חתימה ומסירה אם טען הבעל מזוייף הוא, כך שליח אינו נאמן. וכן כתב הרשב"א ג"כ בפרק התקבל (ריש סד.)</w:t>
      </w:r>
      <w:r>
        <w:rPr>
          <w:rtl/>
        </w:rPr>
        <w:t>, ב"י.</w:t>
      </w:r>
    </w:p>
  </w:footnote>
  <w:footnote w:id="2090">
    <w:p w14:paraId="45E955C7" w14:textId="77777777" w:rsidR="00FA2119" w:rsidRDefault="00FA2119" w:rsidP="00FA2119">
      <w:pPr>
        <w:pStyle w:val="a5"/>
        <w:rPr>
          <w:rtl/>
        </w:rPr>
      </w:pPr>
      <w:r>
        <w:rPr>
          <w:rStyle w:val="a7"/>
        </w:rPr>
        <w:footnoteRef/>
      </w:r>
      <w:r>
        <w:rPr>
          <w:rtl/>
        </w:rPr>
        <w:t xml:space="preserve"> </w:t>
      </w:r>
      <w:r>
        <w:rPr>
          <w:rFonts w:cs="Arial"/>
          <w:rtl/>
        </w:rPr>
        <w:t xml:space="preserve">אמאי דאמרינן בעל אומר לפקדון כתבו התוס' </w:t>
      </w:r>
      <w:r>
        <w:rPr>
          <w:rFonts w:cs="Arial"/>
          <w:sz w:val="16"/>
          <w:szCs w:val="16"/>
          <w:rtl/>
        </w:rPr>
        <w:t xml:space="preserve">(סג: ד"ה בעל) </w:t>
      </w:r>
      <w:r>
        <w:rPr>
          <w:rFonts w:cs="Arial"/>
          <w:rtl/>
        </w:rPr>
        <w:t>הא דלא נקט בעל אומר להולכה ושליש אומר לקבלה משום דלא שייך האי טעמא דקאמר 'דאם איתא דלגירושין לדידה הוה יהיב לה' אלא כשאומר הבעל לפקדון. משמע מדבריהם דבהא אפילו רב הונא מודה דשליש נאמן כיון דלא שייך טעמא דאם איתא דלגירושין יהביה לדידה הוה יהיב לה. וזהו שכתב רבינו ודוקא כשטוען דלפקדון נתנו לה אבל אם טוען שעשאו שליח להולכה ורצה לחזור בו וכו'</w:t>
      </w:r>
      <w:r>
        <w:rPr>
          <w:rtl/>
        </w:rPr>
        <w:t>, ב"י.</w:t>
      </w:r>
    </w:p>
  </w:footnote>
  <w:footnote w:id="2091">
    <w:p w14:paraId="238C8425" w14:textId="77777777" w:rsidR="00FA2119" w:rsidRDefault="00FA2119" w:rsidP="00FA2119">
      <w:pPr>
        <w:pStyle w:val="a5"/>
      </w:pPr>
      <w:r>
        <w:rPr>
          <w:rStyle w:val="a7"/>
        </w:rPr>
        <w:footnoteRef/>
      </w:r>
      <w:r>
        <w:rPr>
          <w:rtl/>
        </w:rPr>
        <w:t xml:space="preserve"> </w:t>
      </w:r>
      <w:r>
        <w:rPr>
          <w:rFonts w:cs="Arial"/>
          <w:rtl/>
        </w:rPr>
        <w:t>מתבאר מדברי התוספות והרא"ש והרשב"א שכתבתי דבשליח הולכה נמי טוב ליזהר, ב"י (בבדה"ב).</w:t>
      </w:r>
    </w:p>
  </w:footnote>
  <w:footnote w:id="2092">
    <w:p w14:paraId="60B6328A" w14:textId="77777777" w:rsidR="00FA2119" w:rsidRDefault="00FA2119" w:rsidP="00FA2119">
      <w:pPr>
        <w:pStyle w:val="a5"/>
      </w:pPr>
      <w:r>
        <w:rPr>
          <w:rStyle w:val="a7"/>
        </w:rPr>
        <w:footnoteRef/>
      </w:r>
      <w:r>
        <w:rPr>
          <w:rtl/>
        </w:rPr>
        <w:t xml:space="preserve"> </w:t>
      </w:r>
      <w:r>
        <w:rPr>
          <w:rFonts w:cs="Arial"/>
          <w:rtl/>
        </w:rPr>
        <w:t xml:space="preserve">לא מצאתי לו שכתב כן בהדיא, ואע"פ שכתב בפי"ב (הי"ג - יד) שליח קבלה שקיבל הגט לאשה ושלחו לה בפני עדים וכו' בא הבעל וערער שלא נתנו יתקיים בחותמיו שהרי עדים מעידים שהגט שנתנו לה יצא מתחת יד שלוחה וכו', וכתבו רבינו בסמוך, אפשר דשאני התם שהוא טוען מזוייף הוא או שלא נתנו, אבל אם היה טוען לפקדון נתתיו מנ"ל דסבר הרמב"ם דשליח נאמן. אע"פ שהרב המגיד כתב על לשון זה דהיינו כרב חסדא וכיון שיש עדים שהיה הגט בידו אין בו חשש כלום אבל לרב הונא איכא למיחש שלא יאמר הבעל לפקדון מסרתי בידו. מכל מקום אינו מוכרח. ולפי האמת לדעתי לא היה צריך רבינו לכתוב דלהרמב"ם 'שליח נאמן אפילו אין הגט בידו רק שיש עדים שראוהו בידו', כיון דשליח נאמן כך לי גט יוצא מתחת ידו כמו עדים שראוהו, ב"י. </w:t>
      </w:r>
    </w:p>
  </w:footnote>
  <w:footnote w:id="2093">
    <w:p w14:paraId="48BDD3B0" w14:textId="77777777" w:rsidR="00FA2119" w:rsidRDefault="00FA2119" w:rsidP="00FA2119">
      <w:pPr>
        <w:pStyle w:val="a5"/>
      </w:pPr>
      <w:r>
        <w:rPr>
          <w:rStyle w:val="a7"/>
        </w:rPr>
        <w:footnoteRef/>
      </w:r>
      <w:r>
        <w:rPr>
          <w:rtl/>
        </w:rPr>
        <w:t xml:space="preserve"> </w:t>
      </w:r>
      <w:r>
        <w:rPr>
          <w:rFonts w:cs="Arial"/>
          <w:rtl/>
        </w:rPr>
        <w:t>משמע מדברי הטור דסבירא ליה דלדברי הרא"ש אין השליח נאמן אלא בעוד הגט בידו ולא מהני מה שראו אותו בידו, ודלא כדברי הרמב"ם. וכן משמע לקמן בחו"מ (סי' נה ס"א) דאין שליש נאמן אלא בעוד שלישותו בידו, ושלא כדברי ב"י שכתב דאין חילוק בדבר, דרכ"מ (אות לח).</w:t>
      </w:r>
      <w:r>
        <w:rPr>
          <w:rtl/>
        </w:rPr>
        <w:t xml:space="preserve"> </w:t>
      </w:r>
      <w:r>
        <w:rPr>
          <w:color w:val="00B0F0"/>
          <w:rtl/>
        </w:rPr>
        <w:t>(וכ"כ בהג"ה</w:t>
      </w:r>
      <w:r>
        <w:rPr>
          <w:color w:val="00B0F0"/>
          <w:sz w:val="16"/>
          <w:szCs w:val="16"/>
          <w:rtl/>
        </w:rPr>
        <w:t xml:space="preserve"> </w:t>
      </w:r>
      <w:r>
        <w:rPr>
          <w:color w:val="000000" w:themeColor="text1"/>
          <w:sz w:val="16"/>
          <w:szCs w:val="16"/>
          <w:rtl/>
        </w:rPr>
        <w:t>[כאן ובסע' נז]</w:t>
      </w:r>
      <w:r>
        <w:rPr>
          <w:color w:val="00B0F0"/>
          <w:rtl/>
        </w:rPr>
        <w:t>)</w:t>
      </w:r>
    </w:p>
  </w:footnote>
  <w:footnote w:id="2094">
    <w:p w14:paraId="615262A4" w14:textId="40D708FA" w:rsidR="00160BA6" w:rsidRDefault="00160BA6" w:rsidP="00160BA6">
      <w:pPr>
        <w:pStyle w:val="a5"/>
      </w:pPr>
      <w:r>
        <w:rPr>
          <w:rStyle w:val="a7"/>
        </w:rPr>
        <w:footnoteRef/>
      </w:r>
      <w:r>
        <w:rPr>
          <w:rtl/>
        </w:rPr>
        <w:t xml:space="preserve"> </w:t>
      </w:r>
      <w:r w:rsidRPr="00160BA6">
        <w:rPr>
          <w:rFonts w:cs="Arial"/>
          <w:rtl/>
        </w:rPr>
        <w:t>וי"א דוקא שהגט ביד האשה ואומרת שהשליח קבלו לגירושין ואח"כ נתנו לה וכן כתב הרמב"ם וא"א הרא"ש ז"ל כתב דאפילו אם הוא ביד השליח נאמנת</w:t>
      </w:r>
      <w:r>
        <w:rPr>
          <w:rFonts w:cs="Arial" w:hint="cs"/>
          <w:rtl/>
        </w:rPr>
        <w:t xml:space="preserve">, </w:t>
      </w:r>
      <w:r w:rsidRPr="00160BA6">
        <w:rPr>
          <w:rFonts w:cs="Arial" w:hint="cs"/>
          <w:b/>
          <w:bCs/>
          <w:rtl/>
        </w:rPr>
        <w:t>טור</w:t>
      </w:r>
      <w:r>
        <w:rPr>
          <w:rFonts w:cs="Arial" w:hint="cs"/>
          <w:rtl/>
        </w:rPr>
        <w:t>.</w:t>
      </w:r>
      <w:r w:rsidRPr="00160BA6">
        <w:rPr>
          <w:rFonts w:cs="Arial"/>
          <w:rtl/>
        </w:rPr>
        <w:t xml:space="preserve"> </w:t>
      </w:r>
      <w:r>
        <w:rPr>
          <w:rFonts w:cs="Arial"/>
          <w:rtl/>
        </w:rPr>
        <w:t>דכיון דלא מסייע לה אלא שליש לחודיה אינה מעיזה. והאי דקאמר 'מגו דאי בעיא אמרה לדידי יהביה ניהליה' הכי קאמר</w:t>
      </w:r>
      <w:r>
        <w:rPr>
          <w:rFonts w:cs="Arial" w:hint="cs"/>
          <w:rtl/>
        </w:rPr>
        <w:t>:</w:t>
      </w:r>
      <w:r>
        <w:rPr>
          <w:rFonts w:cs="Arial"/>
          <w:rtl/>
        </w:rPr>
        <w:t xml:space="preserve"> נתנו לי והפקדתיו ביד שלי</w:t>
      </w:r>
      <w:r>
        <w:rPr>
          <w:rFonts w:cs="Arial" w:hint="cs"/>
          <w:rtl/>
        </w:rPr>
        <w:t xml:space="preserve">ש, </w:t>
      </w:r>
      <w:r w:rsidRPr="00160BA6">
        <w:rPr>
          <w:rFonts w:cs="Arial" w:hint="cs"/>
          <w:b/>
          <w:bCs/>
          <w:rtl/>
        </w:rPr>
        <w:t>רא"ש</w:t>
      </w:r>
      <w:r>
        <w:rPr>
          <w:rFonts w:cs="Arial" w:hint="cs"/>
          <w:rtl/>
        </w:rPr>
        <w:t xml:space="preserve"> (שם)</w:t>
      </w:r>
      <w:r>
        <w:rPr>
          <w:rFonts w:cs="Arial"/>
          <w:rtl/>
        </w:rPr>
        <w:t>.</w:t>
      </w:r>
    </w:p>
  </w:footnote>
  <w:footnote w:id="2095">
    <w:p w14:paraId="7CB7412C" w14:textId="77777777" w:rsidR="00FA2119" w:rsidRDefault="00FA2119" w:rsidP="00FA2119">
      <w:pPr>
        <w:pStyle w:val="a5"/>
      </w:pPr>
      <w:r>
        <w:rPr>
          <w:rStyle w:val="a7"/>
        </w:rPr>
        <w:footnoteRef/>
      </w:r>
      <w:r>
        <w:rPr>
          <w:rFonts w:cs="Arial"/>
          <w:rtl/>
        </w:rPr>
        <w:t xml:space="preserve"> </w:t>
      </w:r>
      <w:r>
        <w:rPr>
          <w:rFonts w:cs="Arial" w:hint="cs"/>
          <w:rtl/>
        </w:rPr>
        <w:t xml:space="preserve">ולי נראה עוד שיש להקל בזמן הזה דהרי עכשיו אין עושין רק שליח להולכה ולא לקבלה, וכבר נתבאר דבשליח הולכה ליכא למיחש כולי האי, ומיהו לדעת הרי"ף והרשב"א אין לחלק וכמו שכתבתי (דמה"א שם), דרכ"מ (אות לז). </w:t>
      </w:r>
      <w:r>
        <w:rPr>
          <w:color w:val="00B0F0"/>
          <w:rtl/>
        </w:rPr>
        <w:t>(וכ"פ בהג"ה)</w:t>
      </w:r>
    </w:p>
  </w:footnote>
  <w:footnote w:id="2096">
    <w:p w14:paraId="1D4C38B6" w14:textId="77777777" w:rsidR="00FA2119" w:rsidRDefault="00FA2119" w:rsidP="00FA2119">
      <w:pPr>
        <w:pStyle w:val="a5"/>
        <w:rPr>
          <w:rtl/>
        </w:rPr>
      </w:pPr>
      <w:r>
        <w:rPr>
          <w:rStyle w:val="a7"/>
        </w:rPr>
        <w:footnoteRef/>
      </w:r>
      <w:r>
        <w:rPr>
          <w:rtl/>
        </w:rPr>
        <w:t xml:space="preserve"> </w:t>
      </w:r>
      <w:r>
        <w:rPr>
          <w:rFonts w:cs="Arial"/>
          <w:rtl/>
        </w:rPr>
        <w:t>עיין בתשו' נו"ב (תניינא סי' קכז) ע"ד האשה שנתגרש' מבעלה ע"י שליח הולכה ועכשיו הבעל מערער שהשליח עבר על התנאי. וכתב דין האשה הזאת שאין הבעל נאמן בדבריו כלל אחר שהי' ביד השליח שטר הרשאה... ומ"מ כיון שהבעל מכחיש ואומר שהתנה התנאי מחוייב' האשה להשתדל שיקויים שטר הרשאה של הגט דהיינו שב' עדים יכירו חתימת עדי הרשאה או חתימת הדייני' ואח"כ תוכל להנשא בלי שום מוחה ומעכב עכ"ד ע"ש עוד בסי' קכ"ח מזה, פת"ש (סקנ"ב).</w:t>
      </w:r>
    </w:p>
  </w:footnote>
  <w:footnote w:id="2097">
    <w:p w14:paraId="10285E2F" w14:textId="77777777" w:rsidR="00FA2119" w:rsidRPr="004C25EB" w:rsidRDefault="00FA2119" w:rsidP="00FA2119">
      <w:pPr>
        <w:pStyle w:val="a5"/>
        <w:rPr>
          <w:color w:val="000000" w:themeColor="text1"/>
          <w:rtl/>
        </w:rPr>
      </w:pPr>
      <w:r>
        <w:rPr>
          <w:rStyle w:val="a7"/>
        </w:rPr>
        <w:footnoteRef/>
      </w:r>
      <w:r>
        <w:rPr>
          <w:rtl/>
        </w:rPr>
        <w:t xml:space="preserve"> </w:t>
      </w:r>
      <w:r>
        <w:rPr>
          <w:rFonts w:cs="Arial"/>
          <w:rtl/>
        </w:rPr>
        <w:t xml:space="preserve">עיין בס' גט מקושר (בס"ג שני אות א) שחולק על זה. ועיין בתשו' שבו"י (ח"ג סי' קלב) שתמה ג"כ על זה, ומסיק דאין להקל לכתחלה נגד משמעות הטור ותשו' תומת ישרי' ואורחות חיים דמשמע מדבריהם להיפך, וכן ראיתי נוהגין מרבותי וחבירי ואין לשנות, ושוב ראיתי בס' מכתב אלי' (שער ו סי' י) שפסק ג"כ הכי, וכן עיקר עכ"ד ע"ש. גם בספר ישועות יעקב (ס"ס קנד בסה"ג אות טז) האריך בזה ומסיק ג"כ להחמיר לכתחילה אף כשיש הרשאה מקויימת, שלא לגרש ע"י שליח כששניהם בעיר אחת, זולת </w:t>
      </w:r>
      <w:r w:rsidRPr="004C25EB">
        <w:rPr>
          <w:rFonts w:cs="Arial"/>
          <w:color w:val="000000" w:themeColor="text1"/>
          <w:rtl/>
        </w:rPr>
        <w:t>בשעת הדחק וכדומה שא"א בענין אחר אז יש לסמוך על מהר"ם פדוא והרמ"א ז"ל ע"ש, פת"ש (סקנ"ג).</w:t>
      </w:r>
    </w:p>
  </w:footnote>
  <w:footnote w:id="2098">
    <w:p w14:paraId="3D930BA4" w14:textId="74AD6414" w:rsidR="003B7249" w:rsidRDefault="003B7249" w:rsidP="003B7249">
      <w:pPr>
        <w:pStyle w:val="a5"/>
      </w:pPr>
      <w:r>
        <w:rPr>
          <w:rStyle w:val="a7"/>
        </w:rPr>
        <w:footnoteRef/>
      </w:r>
      <w:r>
        <w:rPr>
          <w:rtl/>
        </w:rPr>
        <w:t xml:space="preserve"> </w:t>
      </w:r>
      <w:r>
        <w:rPr>
          <w:rFonts w:hint="cs"/>
          <w:rtl/>
        </w:rPr>
        <w:t xml:space="preserve">זוהי סברת הטור, וכן דעת הרא"ש להב' הטור </w:t>
      </w:r>
      <w:r w:rsidRPr="003B7249">
        <w:rPr>
          <w:rFonts w:hint="cs"/>
          <w:sz w:val="16"/>
          <w:szCs w:val="16"/>
          <w:rtl/>
        </w:rPr>
        <w:t>(שמה שהביא הרא"ש בדעה שניה בלשון "אפשר" כך דעתו מכיון שהקשה על מה שכתב בתחילה, אך רי"ו חולק וסובר שהרא"ש פוסק כתירוץ הראשון שהביא, דמיירי שהגט יוצא תחת ידה</w:t>
      </w:r>
      <w:r>
        <w:rPr>
          <w:rFonts w:hint="cs"/>
          <w:sz w:val="16"/>
          <w:szCs w:val="16"/>
          <w:rtl/>
        </w:rPr>
        <w:t>, עי' בב"י</w:t>
      </w:r>
      <w:r w:rsidRPr="003B7249">
        <w:rPr>
          <w:rFonts w:hint="cs"/>
          <w:sz w:val="16"/>
          <w:szCs w:val="16"/>
          <w:rtl/>
        </w:rPr>
        <w:t>)</w:t>
      </w:r>
      <w:r>
        <w:rPr>
          <w:rFonts w:hint="cs"/>
          <w:rtl/>
        </w:rPr>
        <w:t xml:space="preserve">, ודעת הי"א היא דעת הרמב"ם (והב' רי"ו ברא"ש). ולכאורה נראה דפסק השו"ע כהרא"ש, אך קשה דבסעיף הבא פסק והעתיק את לשון הרמב"ם. אם כן צריך לומר שכתב כן כדי לחוש לדעת הרא"ש להחמיר. א"נ אין זה סתם וי"א דהלכה כסתם, משום שאלו המשך דברי הי"א </w:t>
      </w:r>
      <w:r w:rsidR="003622CB">
        <w:rPr>
          <w:rFonts w:hint="cs"/>
          <w:rtl/>
        </w:rPr>
        <w:t>(הרא"ש והטור) בתחילת הסעיף, ואם כן הוי י"א וי"א והלכה כי"א בתרא.</w:t>
      </w:r>
    </w:p>
  </w:footnote>
  <w:footnote w:id="2099">
    <w:p w14:paraId="67D78285" w14:textId="77777777" w:rsidR="00D60B01" w:rsidRDefault="00D60B01" w:rsidP="00D60B01">
      <w:pPr>
        <w:pStyle w:val="a5"/>
      </w:pPr>
      <w:r>
        <w:rPr>
          <w:rStyle w:val="a7"/>
        </w:rPr>
        <w:footnoteRef/>
      </w:r>
      <w:r>
        <w:rPr>
          <w:rtl/>
        </w:rPr>
        <w:t xml:space="preserve"> </w:t>
      </w:r>
      <w:r>
        <w:rPr>
          <w:rFonts w:hint="cs"/>
          <w:rtl/>
        </w:rPr>
        <w:t xml:space="preserve">וז"ל: </w:t>
      </w:r>
      <w:r>
        <w:rPr>
          <w:rFonts w:cs="Arial"/>
          <w:rtl/>
        </w:rPr>
        <w:t>אבד הגט אע"פ שהבעל אומר לגירושין נתתי הגט לשליח והשליח אומר נתתיו לה - הרי זו ספק מגורשת, שהרי הוחזקה אשת איש ואין כאן אלא עד אחד ובעל. ואפילו אמרה האשה 'בפני נתנו לו לגירושין ונתנו השליח לי', הואיל והבעל והשליח סועדין אותה - אפשר שתעיז פניה ושמא לא נתגרשה</w:t>
      </w:r>
      <w:r>
        <w:rPr>
          <w:rFonts w:hint="cs"/>
          <w:rtl/>
        </w:rPr>
        <w:t>.</w:t>
      </w:r>
    </w:p>
  </w:footnote>
  <w:footnote w:id="2100">
    <w:p w14:paraId="005752DA" w14:textId="77777777" w:rsidR="00FA2119" w:rsidRDefault="00FA2119" w:rsidP="00FA2119">
      <w:pPr>
        <w:pStyle w:val="a5"/>
      </w:pPr>
      <w:r>
        <w:rPr>
          <w:rStyle w:val="a7"/>
        </w:rPr>
        <w:footnoteRef/>
      </w:r>
      <w:r>
        <w:rPr>
          <w:rtl/>
        </w:rPr>
        <w:t xml:space="preserve"> </w:t>
      </w:r>
      <w:r>
        <w:rPr>
          <w:rFonts w:cs="Arial"/>
          <w:rtl/>
        </w:rPr>
        <w:t>כלומר דא"כ כי אבד מאי הוי כיון שיש עדים שראו אותו בידה הוי כיוצא מתחת ידה, ב"י (בבדה"ב).</w:t>
      </w:r>
    </w:p>
  </w:footnote>
  <w:footnote w:id="2101">
    <w:p w14:paraId="311235B6" w14:textId="77777777" w:rsidR="00FA2119" w:rsidRDefault="00FA2119" w:rsidP="00FA2119">
      <w:pPr>
        <w:pStyle w:val="a5"/>
      </w:pPr>
      <w:r>
        <w:rPr>
          <w:rStyle w:val="a7"/>
        </w:rPr>
        <w:footnoteRef/>
      </w:r>
      <w:r>
        <w:rPr>
          <w:rtl/>
        </w:rPr>
        <w:t xml:space="preserve"> </w:t>
      </w:r>
      <w:r>
        <w:rPr>
          <w:rFonts w:cs="Arial"/>
          <w:rtl/>
        </w:rPr>
        <w:t>מ"ש עוד רבינו דהויא ספק מגורשת ואם בעלה כהן אסורה לו וכו' - כן כתבו שם הרי"ף (ל.) והרא"ש (סוס"י ח) מדאמרינן דחזקת שליח עושה שליחותו לחומרא, ב"י.</w:t>
      </w:r>
    </w:p>
  </w:footnote>
  <w:footnote w:id="2102">
    <w:p w14:paraId="22A349A8" w14:textId="77777777" w:rsidR="00FA2119" w:rsidRDefault="00FA2119" w:rsidP="00FA2119">
      <w:pPr>
        <w:pStyle w:val="a5"/>
      </w:pPr>
      <w:r>
        <w:rPr>
          <w:rStyle w:val="a7"/>
        </w:rPr>
        <w:footnoteRef/>
      </w:r>
      <w:r>
        <w:rPr>
          <w:rtl/>
        </w:rPr>
        <w:t xml:space="preserve"> </w:t>
      </w:r>
      <w:r>
        <w:rPr>
          <w:rFonts w:cs="Arial"/>
          <w:rtl/>
        </w:rPr>
        <w:t>ופשוט הוא, והוא נלמד מדאמרינן ולהימנה מדרב המנונא וכו' הני מילי היכא דליכא דמסייעי לה, ב"י (בב"י ובבדה"ב).</w:t>
      </w:r>
    </w:p>
  </w:footnote>
  <w:footnote w:id="2103">
    <w:p w14:paraId="5118D169" w14:textId="77777777" w:rsidR="00FA2119" w:rsidRDefault="00FA2119" w:rsidP="00FA2119">
      <w:pPr>
        <w:pStyle w:val="a5"/>
        <w:rPr>
          <w:rtl/>
        </w:rPr>
      </w:pPr>
      <w:r>
        <w:rPr>
          <w:rStyle w:val="a7"/>
        </w:rPr>
        <w:footnoteRef/>
      </w:r>
      <w:r>
        <w:rPr>
          <w:rtl/>
        </w:rPr>
        <w:t xml:space="preserve"> </w:t>
      </w:r>
      <w:r>
        <w:rPr>
          <w:rFonts w:cs="Arial"/>
          <w:rtl/>
        </w:rPr>
        <w:t>כ"כ הרמב"ם וס"ל כשהגט ביד האשה הוי כאלו היה ביד השליח אפילו לא ראו הגט ביד השליח אלא כיון דיכולה ליתן לידו הוי כאלו הגט בידו. ועיי' בתשובת רשב"א ובחידושי הרשב"א. מיהו צ"ל דאיירי כאן כשהם בשני מקומות דהא בעיר אחת יכול הבעל לומר לפקדון נתתיו אבל אין לומר כשהגט ביד האשה עדיף טפי כמ"ש בהר"ן והבאתיו לעיל, דהא בסעיף נ"ז איירי נמי שהגט ביד האשה ומ"מ יכול הבעל להכחישו בעיר אחת, ב"ש (סקפ"ג).</w:t>
      </w:r>
    </w:p>
  </w:footnote>
  <w:footnote w:id="2104">
    <w:p w14:paraId="4026847C" w14:textId="77777777" w:rsidR="00FA2119" w:rsidRDefault="00FA2119" w:rsidP="00FA2119">
      <w:pPr>
        <w:pStyle w:val="a5"/>
      </w:pPr>
      <w:r>
        <w:rPr>
          <w:rStyle w:val="a7"/>
        </w:rPr>
        <w:footnoteRef/>
      </w:r>
      <w:r>
        <w:rPr>
          <w:rtl/>
        </w:rPr>
        <w:t xml:space="preserve"> </w:t>
      </w:r>
      <w:r>
        <w:rPr>
          <w:rFonts w:cs="Arial"/>
          <w:rtl/>
        </w:rPr>
        <w:t>הנה לפי הסוגיא פי"נ אם אומר גרשתי אינו נאמן והיא ספק מגורשת כמ"ש לקמן סי' קנ"ב אם כן אפילו אם הבעל אומר נתתי ליד השליח והוא ש"ק הוי ספק דהא לא עדיף מאומר גרשתי ונתתי לידה הגט השליח אינו אלא ע"א והא דאיתא בסוגיא זו דהיא ספק מגורשת משום לקולא לא אמרי' שליח עושה שליחותו משמע אם אמר נתתי לש"ק מגורשת בודאי יש לומר דסוגי' זו אתיא אליבא המ"ד בעל שאמר גרשתי נאמן אבל להמסקנא פי"נ אפילו אם אמר נתתי ליד ש"ק היא ספק מגורשת ובזה מיושב שפיר דברי רי"ו שהבי' הב"י וע"ש ומ"ש הטור דספק הוא אם שליח עושה שליחותו יש לומר כוונתו אפילו בש"ה ספק הוא</w:t>
      </w:r>
      <w:r>
        <w:rPr>
          <w:rtl/>
        </w:rPr>
        <w:t>, ב"ש (סקפ"ד).</w:t>
      </w:r>
    </w:p>
  </w:footnote>
  <w:footnote w:id="2105">
    <w:p w14:paraId="20B54CA2" w14:textId="59F41160" w:rsidR="00FA2119" w:rsidRDefault="00FA2119" w:rsidP="00FA2119">
      <w:pPr>
        <w:pStyle w:val="a5"/>
        <w:rPr>
          <w:rtl/>
        </w:rPr>
      </w:pPr>
      <w:r>
        <w:rPr>
          <w:rStyle w:val="a7"/>
        </w:rPr>
        <w:footnoteRef/>
      </w:r>
      <w:r>
        <w:rPr>
          <w:rtl/>
        </w:rPr>
        <w:t xml:space="preserve"> </w:t>
      </w:r>
      <w:r>
        <w:rPr>
          <w:rFonts w:cs="Arial"/>
          <w:rtl/>
        </w:rPr>
        <w:t xml:space="preserve">המכוין מדין זה שהשליח שלחו בפני עדים להאשה, והאשה ראתה גט זה ביד אדם אחד ולא הגיד לה שהוא שליח מן שלוחה אלא סתם נטלתו ממנו, ואינה יודעת אם נתקיים שליחותו של שליח לקבלה שעשתה היא ונתגרשה בקבלתו של שלוחה, או אפשר שלא נתקיים אותו שליחות אלא הבעל שלח לה הגט על ידי זה - היא מגורשת מ"מ, דאף אם הוא שליח בעלה הוה שליח להולכה ונתגרשה עכ"פ משהגיע לידה. וזהו לדעת רמב"ם דהשליח נאמן (כשהבעל טוען לפקדון נתתי) כמ"ש לדעה קמייתא דסעיף נ"ה, אבל לי"א דשם (דהבעל נאמן אם הם בעיר א') הוה הדין כן באינה בעיר אחת (דבעיר א' חיישי' שמא יאמר הבעל לפקדון נתתי ויהיה הבעל נאמן ואינה מגורשת). ואיני יודע שום חידוש בדין זה. והרב המגיד כתב </w:t>
      </w:r>
      <w:r w:rsidR="000A0F5A">
        <w:rPr>
          <w:rFonts w:cs="Arial"/>
          <w:rtl/>
        </w:rPr>
        <w:t>וז"ל:</w:t>
      </w:r>
      <w:r>
        <w:rPr>
          <w:rFonts w:cs="Arial"/>
          <w:rtl/>
        </w:rPr>
        <w:t xml:space="preserve"> ולא חידש רבינו בזאת הבבא אלא שכל שיש שני עדים שראוהו יוצא מתחת יד שליח קבלה אין צריך לידיעה כיצד בא לידה עכ"ל. ולא נתיישב לי כלל מאי קמ"ל בזה, דהא אף אם לא בא כלל לידה אלא דנאבד מיד השליח ויש עדים שראוהו בידו והוא שליח קבלה - היא מגורשת, כדמשמע בסעיף הקודם לזה דאין חשש באבד אלא באין שני עדים וכאן יש שני עדים מה לי אח"כ להגעת ידה ולידיעתה. וצריך לדחוק ולומר דקמ"ל דלא תימא כמו בשטרות של ממון שהם מקיימים והלה טוען שהוא מזויף וזה אומר 'איני יודע אם אתה חייב לי' דודאי לא מהני הקיום, וכאן שהגט יוצא מידה והיא אינה יודעת באיזה אופן ואפשר שהוא מזויף לגמרי, וזה גרע משאר שליחות קבלה שהגט תחת ידו שהוא טוען ברי, קמ"ל דאפי"ה מהני הקיום כיון שהשליח היה ברור לו...</w:t>
      </w:r>
      <w:r>
        <w:rPr>
          <w:rtl/>
        </w:rPr>
        <w:t>, ט"ז (סקמ"ג).</w:t>
      </w:r>
    </w:p>
  </w:footnote>
  <w:footnote w:id="2106">
    <w:p w14:paraId="6649B68B" w14:textId="7F00E4B3" w:rsidR="00FA2119" w:rsidRDefault="00FA2119" w:rsidP="00FA2119">
      <w:pPr>
        <w:pStyle w:val="a5"/>
        <w:rPr>
          <w:rtl/>
        </w:rPr>
      </w:pPr>
      <w:r>
        <w:rPr>
          <w:rStyle w:val="a7"/>
        </w:rPr>
        <w:footnoteRef/>
      </w:r>
      <w:r>
        <w:rPr>
          <w:rtl/>
        </w:rPr>
        <w:t xml:space="preserve"> </w:t>
      </w:r>
      <w:r>
        <w:rPr>
          <w:rFonts w:cs="Arial"/>
          <w:rtl/>
        </w:rPr>
        <w:t>מדברי הרב המגיד נראה דהרמב"ם לטעמיה דפסק (שם הי"א) כרב חסדא, דאילו לדברי הפוסקים כרב הונא אם שלשתן בעיר אחת איכא למיחש שמא יאמר הבעל לפקדון נתתיו לו</w:t>
      </w:r>
      <w:r>
        <w:rPr>
          <w:rtl/>
        </w:rPr>
        <w:t>, ב</w:t>
      </w:r>
      <w:r w:rsidRPr="0058133B">
        <w:rPr>
          <w:color w:val="000000" w:themeColor="text1"/>
          <w:rtl/>
        </w:rPr>
        <w:t xml:space="preserve">"י. אבל אם כן קשה מדוע העתיק הטור את דברי הרמב"ם בסתם ללא חולק </w:t>
      </w:r>
      <w:r w:rsidRPr="0058133B">
        <w:rPr>
          <w:color w:val="000000" w:themeColor="text1"/>
          <w:sz w:val="16"/>
          <w:szCs w:val="16"/>
          <w:rtl/>
        </w:rPr>
        <w:t xml:space="preserve">(שכתב הטור </w:t>
      </w:r>
      <w:r w:rsidR="000A0F5A" w:rsidRPr="0058133B">
        <w:rPr>
          <w:color w:val="000000" w:themeColor="text1"/>
          <w:sz w:val="16"/>
          <w:szCs w:val="16"/>
          <w:rtl/>
        </w:rPr>
        <w:t>וז"ל:</w:t>
      </w:r>
      <w:r w:rsidRPr="0058133B">
        <w:rPr>
          <w:color w:val="000000" w:themeColor="text1"/>
          <w:sz w:val="16"/>
          <w:szCs w:val="16"/>
          <w:rtl/>
        </w:rPr>
        <w:t xml:space="preserve"> כתב הרמב"ם </w:t>
      </w:r>
      <w:r w:rsidRPr="0058133B">
        <w:rPr>
          <w:rFonts w:cs="Arial"/>
          <w:color w:val="000000" w:themeColor="text1"/>
          <w:sz w:val="16"/>
          <w:szCs w:val="16"/>
          <w:rtl/>
        </w:rPr>
        <w:t>שליח קבלה שקבל...)</w:t>
      </w:r>
      <w:r w:rsidRPr="0058133B">
        <w:rPr>
          <w:color w:val="000000" w:themeColor="text1"/>
          <w:rtl/>
        </w:rPr>
        <w:t>, וצל"ע.</w:t>
      </w:r>
    </w:p>
  </w:footnote>
  <w:footnote w:id="2107">
    <w:p w14:paraId="34ECEE94" w14:textId="77777777" w:rsidR="00FA2119" w:rsidRDefault="00FA2119" w:rsidP="00FA2119">
      <w:pPr>
        <w:pStyle w:val="a5"/>
        <w:rPr>
          <w:rtl/>
        </w:rPr>
      </w:pPr>
      <w:r>
        <w:rPr>
          <w:rStyle w:val="a7"/>
        </w:rPr>
        <w:footnoteRef/>
      </w:r>
      <w:r>
        <w:rPr>
          <w:rtl/>
        </w:rPr>
        <w:t xml:space="preserve"> </w:t>
      </w:r>
      <w:r>
        <w:rPr>
          <w:rFonts w:cs="Arial"/>
          <w:rtl/>
        </w:rPr>
        <w:t>(לט) וכן כתב הר"ן סוף פרק כל הגט (טו. ד"ה אמר) וסוף פרק התקבל (לג. ד"ה והקשה):</w:t>
      </w:r>
    </w:p>
  </w:footnote>
  <w:footnote w:id="2108">
    <w:p w14:paraId="008975D1" w14:textId="77777777" w:rsidR="00FA2119" w:rsidRDefault="00FA2119" w:rsidP="00FA2119">
      <w:pPr>
        <w:pStyle w:val="a5"/>
        <w:rPr>
          <w:rtl/>
        </w:rPr>
      </w:pPr>
      <w:r>
        <w:rPr>
          <w:rStyle w:val="a7"/>
        </w:rPr>
        <w:footnoteRef/>
      </w:r>
      <w:r>
        <w:rPr>
          <w:rtl/>
        </w:rPr>
        <w:t xml:space="preserve"> </w:t>
      </w:r>
      <w:r>
        <w:rPr>
          <w:rFonts w:cs="Arial"/>
          <w:rtl/>
        </w:rPr>
        <w:t xml:space="preserve">ואם ע"א הביא לה נאמן אם היה אצל הכתיבה והחתימה במיגו די"ל הוא ש"ה, כ"כ הרשב"א בתשו' </w:t>
      </w:r>
      <w:r>
        <w:rPr>
          <w:rFonts w:cs="Arial"/>
          <w:sz w:val="16"/>
          <w:szCs w:val="16"/>
          <w:rtl/>
        </w:rPr>
        <w:t>(סי' אלף רנח)</w:t>
      </w:r>
      <w:r>
        <w:rPr>
          <w:rFonts w:cs="Arial"/>
          <w:rtl/>
        </w:rPr>
        <w:t>, ב"ש (סקפ"ז).</w:t>
      </w:r>
    </w:p>
  </w:footnote>
  <w:footnote w:id="2109">
    <w:p w14:paraId="3479826E" w14:textId="77777777" w:rsidR="00FA2119" w:rsidRDefault="00FA2119" w:rsidP="00FA2119">
      <w:pPr>
        <w:pStyle w:val="a5"/>
      </w:pPr>
      <w:r>
        <w:rPr>
          <w:rStyle w:val="a7"/>
        </w:rPr>
        <w:footnoteRef/>
      </w:r>
      <w:r>
        <w:rPr>
          <w:rtl/>
        </w:rPr>
        <w:t xml:space="preserve"> </w:t>
      </w:r>
      <w:r>
        <w:rPr>
          <w:rFonts w:cs="Arial"/>
          <w:rtl/>
        </w:rPr>
        <w:t>לדעת הרא"ש כל זמן שלא בא הבעל ומכחיש לא חיישינן שמא בא ויכחיש ומותרת אפילו לר"ה אלא המגיד כתב לשיטות הפוסקים דפסקו כר"ה אפילו לא בא הבעל חיישינן שמא יבוא ויכחיש, וכ"כ הרשב"א וכן הוכחתי לעיל לשיטות הרי"ף ורמב"ם לר"ה חיישינן שמא יבוא ויכחיש</w:t>
      </w:r>
      <w:r>
        <w:rPr>
          <w:rtl/>
        </w:rPr>
        <w:t>, ב"ש (סקפ"ח).</w:t>
      </w:r>
    </w:p>
  </w:footnote>
  <w:footnote w:id="2110">
    <w:p w14:paraId="348D95F2" w14:textId="77777777" w:rsidR="00FA2119" w:rsidRDefault="00FA2119" w:rsidP="00FA2119">
      <w:pPr>
        <w:pStyle w:val="a5"/>
        <w:rPr>
          <w:rtl/>
        </w:rPr>
      </w:pPr>
      <w:r>
        <w:rPr>
          <w:rStyle w:val="a7"/>
        </w:rPr>
        <w:footnoteRef/>
      </w:r>
      <w:r>
        <w:rPr>
          <w:rtl/>
        </w:rPr>
        <w:t xml:space="preserve"> </w:t>
      </w:r>
      <w:r>
        <w:rPr>
          <w:rFonts w:cs="Arial"/>
          <w:rtl/>
        </w:rPr>
        <w:t>הג"ה זו תמוה כי בד"מ מדייק זאת מהטור ואין שום משמעות בטור כמ"ש לעיל גם הבאתי דברי תוס' דכתבו אם ראו עדים הגט בידו מהני מיהת כשלא בא הבעל ומכחיש והיינו קושית המקשן קיבל למה לי וכאן נמי מיירי דאין הבעל מכחיש ועדים אלו ראו בידו הגט מנ"ל דלא מהני, אבל אין להקשות עליו ממ"ש הרי"ף והרשב"א דסוגיא איירי כשהגט ביד האשה ומ"מ לר"ח השליח דינו כשליש ונאמן, די"ל דס"ל לר"ח השליח נאמן טפי אבל לר"ה הבעל נאמן אא"כ כשהשליח שליש בודאי והגט בידו לכן לא הביא י"א אלו בסעיף נ"ו דס"ל שם אייתי כשיטות הרמב"ם דפוסק כר"ח וכאן דאייתי כשיטו' הפוסקים דפסקו כר"ה מביא י"א אלו גם בל"ז שפיר להרי"ף ורשב"א הטעם דאי בעי מהדר לה בידיה וכ"כ בח"ר משא"כ דשליח קבלה שלה אינו בכאן ובזה ניחא נמי דלא הביא י"א אלו בסעיף נ"ו, ב"ש (סקפ"ט).</w:t>
      </w:r>
    </w:p>
  </w:footnote>
  <w:footnote w:id="2111">
    <w:p w14:paraId="36BE3E0B" w14:textId="77777777" w:rsidR="00FA2119" w:rsidRDefault="00FA2119" w:rsidP="00FA2119">
      <w:pPr>
        <w:pStyle w:val="a5"/>
      </w:pPr>
      <w:r>
        <w:rPr>
          <w:rStyle w:val="a7"/>
        </w:rPr>
        <w:footnoteRef/>
      </w:r>
      <w:r>
        <w:rPr>
          <w:rtl/>
        </w:rPr>
        <w:t xml:space="preserve"> </w:t>
      </w:r>
      <w:r>
        <w:rPr>
          <w:rFonts w:cs="Arial"/>
          <w:rtl/>
        </w:rPr>
        <w:t>וכן איתא בפרק אלמנה נזונת (כתובות צז:).</w:t>
      </w:r>
    </w:p>
  </w:footnote>
  <w:footnote w:id="2112">
    <w:p w14:paraId="3B5EF504" w14:textId="77777777" w:rsidR="00FA2119" w:rsidRDefault="00FA2119" w:rsidP="00FA2119">
      <w:pPr>
        <w:pStyle w:val="a5"/>
      </w:pPr>
      <w:r>
        <w:rPr>
          <w:rStyle w:val="a7"/>
        </w:rPr>
        <w:footnoteRef/>
      </w:r>
      <w:r>
        <w:rPr>
          <w:rtl/>
        </w:rPr>
        <w:t xml:space="preserve"> </w:t>
      </w:r>
      <w:r>
        <w:rPr>
          <w:rFonts w:cs="Arial"/>
          <w:rtl/>
        </w:rPr>
        <w:t>או ליד שליח קבלה, רמב"ם</w:t>
      </w:r>
      <w:r>
        <w:rPr>
          <w:rFonts w:cs="Arial"/>
          <w:sz w:val="16"/>
          <w:szCs w:val="16"/>
          <w:rtl/>
        </w:rPr>
        <w:t xml:space="preserve"> (שם)</w:t>
      </w:r>
      <w:r>
        <w:rPr>
          <w:rFonts w:cs="Arial"/>
          <w:rtl/>
        </w:rPr>
        <w:t>.</w:t>
      </w:r>
      <w:r>
        <w:rPr>
          <w:color w:val="E36C0A" w:themeColor="accent6" w:themeShade="BF"/>
          <w:rtl/>
        </w:rPr>
        <w:t xml:space="preserve"> (וכ"פ בשו"ע)</w:t>
      </w:r>
    </w:p>
  </w:footnote>
  <w:footnote w:id="2113">
    <w:p w14:paraId="44EA617C" w14:textId="77777777" w:rsidR="00FA2119" w:rsidRDefault="00FA2119" w:rsidP="00FA2119">
      <w:pPr>
        <w:pStyle w:val="a5"/>
      </w:pPr>
      <w:r>
        <w:rPr>
          <w:rStyle w:val="a7"/>
        </w:rPr>
        <w:footnoteRef/>
      </w:r>
      <w:r>
        <w:rPr>
          <w:rtl/>
        </w:rPr>
        <w:t xml:space="preserve"> </w:t>
      </w:r>
      <w:r>
        <w:rPr>
          <w:rFonts w:cs="Arial"/>
          <w:rtl/>
        </w:rPr>
        <w:t>עיין בתשו' חיים שאל (סי' עד אות לו) שכ' מעשה בא' ששלח גט לעיר אחרת ושאל רשות לישא אשה אחרת ואסרנו עד שיהא קרוב לודאי שהגיע גט לידה כמ"ש סי' קמ"א סנ"ח דחייב בכל תנאי כתובה עד שיגיע גט לידה. וכך משמע מתשו' גינת ורדים (כלל ג סי' ד) ומדברי מהרש"ל בתשו' (סי' ד) וכן נראה מתשו' המבי"ט (ח"א סי' רי, הובא בבה"ט לעיל סי' א' סקכ"ג) עכ"ל. והנה מ"ש עד שיהא קרוב לודאי עמ"ש לעיל סי' א' סקי"ד וסקי"ח בשם נו"ב דבעינן ודאי גמור, ואף חזקה שליח עושה שליחותו לא מהני בזה, רק אם מגיע כתב מב"ד שקיבלה הגט אף שאינו מקויים סגי ע"ש היטב, פת"ש (סקנ"ד).</w:t>
      </w:r>
    </w:p>
  </w:footnote>
  <w:footnote w:id="2114">
    <w:p w14:paraId="6EAAB360" w14:textId="196A5D37" w:rsidR="00FA2119" w:rsidRPr="00C646B6" w:rsidRDefault="00FA2119" w:rsidP="00C646B6">
      <w:pPr>
        <w:pStyle w:val="a5"/>
        <w:rPr>
          <w:rFonts w:cs="Arial"/>
        </w:rPr>
      </w:pPr>
      <w:r>
        <w:rPr>
          <w:rStyle w:val="a7"/>
        </w:rPr>
        <w:footnoteRef/>
      </w:r>
      <w:r>
        <w:rPr>
          <w:rtl/>
        </w:rPr>
        <w:t xml:space="preserve"> </w:t>
      </w:r>
      <w:r>
        <w:rPr>
          <w:rFonts w:cs="Arial"/>
          <w:rtl/>
        </w:rPr>
        <w:t xml:space="preserve">(מו) כתב </w:t>
      </w:r>
      <w:r w:rsidR="009334FF">
        <w:rPr>
          <w:rFonts w:cs="Arial"/>
          <w:rtl/>
        </w:rPr>
        <w:t>ב</w:t>
      </w:r>
      <w:r w:rsidR="00DB737E">
        <w:rPr>
          <w:rFonts w:cs="Arial"/>
          <w:rtl/>
        </w:rPr>
        <w:t>הגהות</w:t>
      </w:r>
      <w:r>
        <w:rPr>
          <w:rFonts w:cs="Arial"/>
          <w:rtl/>
        </w:rPr>
        <w:t xml:space="preserve"> מרדכי </w:t>
      </w:r>
      <w:r w:rsidR="00C646B6">
        <w:rPr>
          <w:rFonts w:cs="Arial" w:hint="cs"/>
          <w:rtl/>
        </w:rPr>
        <w:t>(</w:t>
      </w:r>
      <w:r>
        <w:rPr>
          <w:rFonts w:cs="Arial"/>
          <w:rtl/>
        </w:rPr>
        <w:t>גיטין סוס"י תנז) על גט משומד ע"י שליח והיו יראין שהמשומד יבטל השליח וצוה לומר לשליח זכה גט זה לאשתי ותו לא מצי הדר ביה עכ"ל. ובתשובות מהר"י ווייל סימן קכ"ו כתב להחמיר ואוסר לעשות שליח להולכה למשומד וכן כתב בפסקי מהרא"י (תרוה"ד ח"ב) סימן מ"ב בשם מהרי"ל (שו"ת סי' ק). אמנם מהרא"י כתב בתרומת הדשן סימן רל"ז ובפסקיו סימן מ"ב דיש לעשות שליח להולכה והיה משביע המשומד בקללות הכתובות בתורה אם יבטל הגט וקודם שעשאו שליח להולכה היה מזכה לה לאותה אשה הגט על ידי אותו שליח ואומר המשומד לשליח זכה בגט זה לאשתי פלונית ובו תהא מגורשת ממני וכו' ואחר כך נוטלו ממנו ואומר הולך גט זה וכו' אבל איפכא שיעשנו תחלה שליח להולכה ואח"כ לקבלה לא עכ"ל. ובסדר גיטין (סי' קב) האריך בדבר זה:</w:t>
      </w:r>
    </w:p>
  </w:footnote>
  <w:footnote w:id="2115">
    <w:p w14:paraId="610EA64C" w14:textId="55599F95" w:rsidR="00C4710C" w:rsidRDefault="00C4710C" w:rsidP="00C4710C">
      <w:pPr>
        <w:pStyle w:val="a5"/>
      </w:pPr>
      <w:r>
        <w:rPr>
          <w:rStyle w:val="a7"/>
        </w:rPr>
        <w:footnoteRef/>
      </w:r>
      <w:r>
        <w:rPr>
          <w:rtl/>
        </w:rPr>
        <w:t xml:space="preserve"> </w:t>
      </w:r>
      <w:r>
        <w:rPr>
          <w:rFonts w:cs="Arial"/>
          <w:rtl/>
        </w:rPr>
        <w:t>וכן ראוי לנהוג</w:t>
      </w:r>
      <w:r>
        <w:rPr>
          <w:rtl/>
        </w:rPr>
        <w:t>, ב"י (בבדה"ב</w:t>
      </w:r>
      <w:r>
        <w:rPr>
          <w:rFonts w:hint="cs"/>
          <w:rtl/>
        </w:rPr>
        <w:t xml:space="preserve"> סי' קמ סי"א</w:t>
      </w:r>
      <w:r>
        <w:rPr>
          <w:rtl/>
        </w:rPr>
        <w:t>).</w:t>
      </w:r>
      <w:r>
        <w:rPr>
          <w:rFonts w:hint="cs"/>
          <w:rtl/>
        </w:rPr>
        <w:t xml:space="preserve"> </w:t>
      </w:r>
      <w:r>
        <w:rPr>
          <w:rFonts w:cs="Arial" w:hint="cs"/>
          <w:rtl/>
        </w:rPr>
        <w:t>וכ"</w:t>
      </w:r>
      <w:r>
        <w:rPr>
          <w:rFonts w:cs="Arial"/>
          <w:rtl/>
        </w:rPr>
        <w:t>כ בהגמ</w:t>
      </w:r>
      <w:r>
        <w:rPr>
          <w:rFonts w:cs="Arial" w:hint="cs"/>
          <w:rtl/>
        </w:rPr>
        <w:t>"</w:t>
      </w:r>
      <w:r>
        <w:rPr>
          <w:rFonts w:cs="Arial"/>
          <w:rtl/>
        </w:rPr>
        <w:t xml:space="preserve">ר </w:t>
      </w:r>
      <w:r>
        <w:rPr>
          <w:rFonts w:cs="Arial" w:hint="cs"/>
          <w:rtl/>
        </w:rPr>
        <w:t>(</w:t>
      </w:r>
      <w:r>
        <w:rPr>
          <w:rFonts w:cs="Arial"/>
          <w:rtl/>
        </w:rPr>
        <w:t xml:space="preserve">גיטין סוס"י תנז) על גט משומד ע"י שליח והיו יראין שהמשומד יבטל השליח וצוה לומר לשליח זכה גט זה לאשתי ותו לא מצי הדר ביה </w:t>
      </w:r>
      <w:r>
        <w:rPr>
          <w:rFonts w:cs="Arial" w:hint="cs"/>
          <w:rtl/>
        </w:rPr>
        <w:t>[</w:t>
      </w:r>
      <w:r>
        <w:rPr>
          <w:rFonts w:cs="Arial"/>
          <w:rtl/>
        </w:rPr>
        <w:t>ע</w:t>
      </w:r>
      <w:r>
        <w:rPr>
          <w:rFonts w:cs="Arial" w:hint="cs"/>
          <w:rtl/>
        </w:rPr>
        <w:t>"</w:t>
      </w:r>
      <w:r>
        <w:rPr>
          <w:rFonts w:cs="Arial"/>
          <w:rtl/>
        </w:rPr>
        <w:t>כ</w:t>
      </w:r>
      <w:r>
        <w:rPr>
          <w:rFonts w:cs="Arial" w:hint="cs"/>
          <w:rtl/>
        </w:rPr>
        <w:t>]</w:t>
      </w:r>
      <w:r>
        <w:rPr>
          <w:rFonts w:cs="Arial"/>
          <w:rtl/>
        </w:rPr>
        <w:t>. ובתשובות מהרי</w:t>
      </w:r>
      <w:r>
        <w:rPr>
          <w:rFonts w:cs="Arial" w:hint="cs"/>
          <w:rtl/>
        </w:rPr>
        <w:t>"ו</w:t>
      </w:r>
      <w:r>
        <w:rPr>
          <w:rFonts w:cs="Arial"/>
          <w:rtl/>
        </w:rPr>
        <w:t xml:space="preserve"> </w:t>
      </w:r>
      <w:r>
        <w:rPr>
          <w:rFonts w:cs="Arial" w:hint="cs"/>
          <w:rtl/>
        </w:rPr>
        <w:t>(</w:t>
      </w:r>
      <w:r>
        <w:rPr>
          <w:rFonts w:cs="Arial"/>
          <w:rtl/>
        </w:rPr>
        <w:t>סי</w:t>
      </w:r>
      <w:r>
        <w:rPr>
          <w:rFonts w:cs="Arial" w:hint="cs"/>
          <w:rtl/>
        </w:rPr>
        <w:t>'</w:t>
      </w:r>
      <w:r>
        <w:rPr>
          <w:rFonts w:cs="Arial"/>
          <w:rtl/>
        </w:rPr>
        <w:t xml:space="preserve"> קכו</w:t>
      </w:r>
      <w:r>
        <w:rPr>
          <w:rFonts w:cs="Arial" w:hint="cs"/>
          <w:rtl/>
        </w:rPr>
        <w:t>)</w:t>
      </w:r>
      <w:r>
        <w:rPr>
          <w:rFonts w:cs="Arial"/>
          <w:rtl/>
        </w:rPr>
        <w:t xml:space="preserve"> כתב להחמיר ואוסר לעשות שליח להולכה למשומד</w:t>
      </w:r>
      <w:r>
        <w:rPr>
          <w:rFonts w:cs="Arial" w:hint="cs"/>
          <w:rtl/>
        </w:rPr>
        <w:t>,</w:t>
      </w:r>
      <w:r>
        <w:rPr>
          <w:rFonts w:cs="Arial"/>
          <w:rtl/>
        </w:rPr>
        <w:t xml:space="preserve"> וכן כתב מהרי"ל (שו"ת סי' ק</w:t>
      </w:r>
      <w:r>
        <w:rPr>
          <w:rFonts w:cs="Arial" w:hint="cs"/>
          <w:rtl/>
        </w:rPr>
        <w:t>,</w:t>
      </w:r>
      <w:r w:rsidRPr="00C4710C">
        <w:rPr>
          <w:rFonts w:cs="Arial"/>
          <w:rtl/>
        </w:rPr>
        <w:t xml:space="preserve"> </w:t>
      </w:r>
      <w:r>
        <w:rPr>
          <w:rFonts w:cs="Arial" w:hint="cs"/>
          <w:rtl/>
        </w:rPr>
        <w:t xml:space="preserve">הביאו </w:t>
      </w:r>
      <w:r>
        <w:rPr>
          <w:rFonts w:cs="Arial"/>
          <w:rtl/>
        </w:rPr>
        <w:t xml:space="preserve">תרוה"ד </w:t>
      </w:r>
      <w:r>
        <w:rPr>
          <w:rFonts w:cs="Arial" w:hint="cs"/>
          <w:rtl/>
        </w:rPr>
        <w:t>ב</w:t>
      </w:r>
      <w:r>
        <w:rPr>
          <w:rFonts w:cs="Arial"/>
          <w:rtl/>
        </w:rPr>
        <w:t>ח"ב סי</w:t>
      </w:r>
      <w:r>
        <w:rPr>
          <w:rFonts w:cs="Arial" w:hint="cs"/>
          <w:rtl/>
        </w:rPr>
        <w:t>'</w:t>
      </w:r>
      <w:r>
        <w:rPr>
          <w:rFonts w:cs="Arial"/>
          <w:rtl/>
        </w:rPr>
        <w:t xml:space="preserve"> מב).</w:t>
      </w:r>
    </w:p>
  </w:footnote>
  <w:footnote w:id="2116">
    <w:p w14:paraId="25B06835" w14:textId="77777777" w:rsidR="00FA2119" w:rsidRDefault="00FA2119" w:rsidP="00FA2119">
      <w:pPr>
        <w:pStyle w:val="a5"/>
      </w:pPr>
      <w:r>
        <w:rPr>
          <w:rStyle w:val="a7"/>
        </w:rPr>
        <w:footnoteRef/>
      </w:r>
      <w:r>
        <w:rPr>
          <w:rtl/>
        </w:rPr>
        <w:t xml:space="preserve"> </w:t>
      </w:r>
      <w:r>
        <w:rPr>
          <w:rFonts w:cs="Arial"/>
          <w:rtl/>
        </w:rPr>
        <w:t>עיין בתשו' גאוני בתראי (סי' מד) בעובדא שלא נעשה רק שליח להולכה ולא נעשה שליח לקבלה מקודם כפי תיקון חז"ל וכתב דכבר נעשה מעשה ורבו המתירין בדיעבד מפני חשש עיגון היכא דאי אפשר להשתדל גט אחר וכן הסכים הרב מהר"ר שמשון עכ"ל. וכן מבואר בתשו' אא"ז פנמ"א (ח"ב סי' סח-סט), ושם מבואר עוד דאפילו אם לא נעשה שום תיקון שלא השביעוהו ולא קיבל באלה שלא לבטלו אפ"ה כשר במקום עיגון, אלא שבעובד' דידי' היה עוד סניפים דכמה דברים הניכרים חזו בי' שבודאי לא יבטל ע"ש. ועיין בס' גט מקושר (בסג"ש אות כא) הביא תשובת הב"ח (סי' קב) דנראה מדבריו לחלק אם לא הזקיקוהו לקבלת חרם שלא יבטל אין לחוש אם אין יודע הלכות הגט, אבל אם הזקיקוהו לקבל שלא יבטל יש לחוש שביטלו. והוא ז"ל כתב דזה אינו דא"כ הך שמצווין אותו לקבל הוא הוספה המביא לידי גרעון, ובאמת נראה דודאי מדינא לא חיישינן לביטול כל זמן שאינו מבורר בפנינו, דהא ביטול בינו לבין עצמו ודאי דלא מהני כדמוכח בהשולח כו' אלא שיש לחוש שמא ביטל בפני עדים, וא"כ ה"ל כההיא דקדושין עדים בצד אסתן ותאסר כו'. מיהו נראה דכל זה במגרש מרצונו, אבל אם גירש ע"י כפיה כמו שהוא לדעת רוב פוסקים (ע' לקמן סי' קנ"ד ס"א ומ"ש שם), או אפי' למי שמחמיר שאין כופין וכפוהו ע"י עצות מרחוק, דהיינו שישלח לה מזונותיה או מכח הכתובה וכדומה, מאחר שאינו מגרש ברצון אפי' תהא הכפיה כדין בכה"ג ע"י שליח להולכה לחוד ודאי לא מיגרשה אפילו בדיעבד, פת"ש (סקנ"ו).</w:t>
      </w:r>
    </w:p>
  </w:footnote>
  <w:footnote w:id="2117">
    <w:p w14:paraId="7B9A7651" w14:textId="77777777" w:rsidR="00FA2119" w:rsidRDefault="00FA2119" w:rsidP="00FA2119">
      <w:pPr>
        <w:pStyle w:val="a5"/>
      </w:pPr>
      <w:r>
        <w:rPr>
          <w:rStyle w:val="a7"/>
        </w:rPr>
        <w:footnoteRef/>
      </w:r>
      <w:r>
        <w:rPr>
          <w:rtl/>
        </w:rPr>
        <w:t xml:space="preserve"> </w:t>
      </w:r>
      <w:r>
        <w:rPr>
          <w:rFonts w:cs="Arial"/>
          <w:rtl/>
        </w:rPr>
        <w:t>עב"ש לעיל (ס"ס קמ) שכ' דאם נעשה תחלה ש"ה ואח"כ ש"ק אז אם אין יכול לעשות ש"ק, דנתבטל גם ש"ה, שהרי בטל לפנינו את ש"ה במסירתו לקבלה, וכ"כ הת"ה עכ"ל. וע' בתשו' ב"ח (סי' קב) שכ' דמש"ה אין כאן ביטול בדיעבד, מאחר שאנו אומרים לו שמא לא תועיל שליחות להולכה לכן יתנו ג"כ על דעת שיזכה לה ועושה על דעתינו, א"כ אינו מתכוין לבטל שליחות ההולכה. אך השליחות בטל מטעם אחר דלא חזרה שליחות אצל הבעל, וכמו בעשתה האשה ש"ה של הבעל לש"ק דהוי ספק גירושין כדלעיל ס"א ע"ש. וע' בס' ג"מ (שם) שכתב שדבריו תמוהים דהכא מעולם לא נעשה שליח להולכה ושליח של קבלה אלא או זה או זה כו'. עש"ב, פת"ש (סקנ"ח).</w:t>
      </w:r>
    </w:p>
  </w:footnote>
  <w:footnote w:id="2118">
    <w:p w14:paraId="6FBA030D" w14:textId="77777777" w:rsidR="00FA2119" w:rsidRDefault="00FA2119" w:rsidP="00FA2119">
      <w:pPr>
        <w:pStyle w:val="a5"/>
      </w:pPr>
      <w:r>
        <w:rPr>
          <w:rStyle w:val="a7"/>
        </w:rPr>
        <w:footnoteRef/>
      </w:r>
      <w:r>
        <w:rPr>
          <w:rtl/>
        </w:rPr>
        <w:t xml:space="preserve"> </w:t>
      </w:r>
      <w:r>
        <w:rPr>
          <w:rFonts w:cs="Arial"/>
          <w:rtl/>
        </w:rPr>
        <w:t>שהשליח שאינו יודע בדבר מוליכו לה והיא ניסת בו, רש"י.</w:t>
      </w:r>
    </w:p>
  </w:footnote>
  <w:footnote w:id="2119">
    <w:p w14:paraId="4E13ECDA" w14:textId="77777777" w:rsidR="00FA2119" w:rsidRDefault="00FA2119" w:rsidP="00FA2119">
      <w:pPr>
        <w:pStyle w:val="a5"/>
      </w:pPr>
      <w:r>
        <w:rPr>
          <w:rStyle w:val="a7"/>
        </w:rPr>
        <w:footnoteRef/>
      </w:r>
      <w:r>
        <w:rPr>
          <w:rtl/>
        </w:rPr>
        <w:t xml:space="preserve"> </w:t>
      </w:r>
      <w:r>
        <w:rPr>
          <w:rFonts w:cs="Arial"/>
          <w:rtl/>
        </w:rPr>
        <w:t>וכתבו התוספות (ד"ה ורב נחמן) והרשב"א (לב: ד"ה איתמר) והר"ן (טז: ד"ה גמ') דנפקא מינה לדידן דקיימא לן כרבי דאם ביטלו מבוטל</w:t>
      </w:r>
      <w:r>
        <w:rPr>
          <w:rtl/>
        </w:rPr>
        <w:t>, ב"י.</w:t>
      </w:r>
    </w:p>
  </w:footnote>
  <w:footnote w:id="2120">
    <w:p w14:paraId="6D724D05" w14:textId="77777777" w:rsidR="00FA2119" w:rsidRDefault="00FA2119" w:rsidP="00FA2119">
      <w:pPr>
        <w:pStyle w:val="a5"/>
        <w:rPr>
          <w:rtl/>
        </w:rPr>
      </w:pPr>
      <w:r>
        <w:rPr>
          <w:rStyle w:val="a7"/>
        </w:rPr>
        <w:footnoteRef/>
      </w:r>
      <w:r>
        <w:rPr>
          <w:rtl/>
        </w:rPr>
        <w:t xml:space="preserve"> </w:t>
      </w:r>
      <w:r>
        <w:rPr>
          <w:rFonts w:cs="Arial"/>
          <w:rtl/>
        </w:rPr>
        <w:t>דאמר לעיל ביטול בפני שנים, רש"י.</w:t>
      </w:r>
    </w:p>
  </w:footnote>
  <w:footnote w:id="2121">
    <w:p w14:paraId="5501B340" w14:textId="77777777" w:rsidR="00FA2119" w:rsidRDefault="00FA2119" w:rsidP="00FA2119">
      <w:pPr>
        <w:pStyle w:val="a5"/>
      </w:pPr>
      <w:r>
        <w:rPr>
          <w:rStyle w:val="a7"/>
        </w:rPr>
        <w:footnoteRef/>
      </w:r>
      <w:r>
        <w:rPr>
          <w:rtl/>
        </w:rPr>
        <w:t xml:space="preserve"> </w:t>
      </w:r>
      <w:r>
        <w:rPr>
          <w:rFonts w:cs="Arial"/>
          <w:rtl/>
        </w:rPr>
        <w:t>נמי בהא דאמר הלכה כרבי בשתיהן</w:t>
      </w:r>
      <w:r>
        <w:rPr>
          <w:rtl/>
        </w:rPr>
        <w:t>, רש"י.</w:t>
      </w:r>
    </w:p>
  </w:footnote>
  <w:footnote w:id="2122">
    <w:p w14:paraId="3D467099" w14:textId="77777777" w:rsidR="00FA2119" w:rsidRDefault="00FA2119" w:rsidP="00FA2119">
      <w:pPr>
        <w:pStyle w:val="a5"/>
        <w:rPr>
          <w:rtl/>
        </w:rPr>
      </w:pPr>
      <w:r>
        <w:rPr>
          <w:rStyle w:val="a7"/>
        </w:rPr>
        <w:footnoteRef/>
      </w:r>
      <w:r>
        <w:rPr>
          <w:rtl/>
        </w:rPr>
        <w:t xml:space="preserve"> </w:t>
      </w:r>
      <w:r>
        <w:rPr>
          <w:rFonts w:cs="Arial"/>
          <w:rtl/>
        </w:rPr>
        <w:t>כן משמע מדברי הרמב"ם בפ"ו (שם), וכן כתב רבינו בסמוך, וכן כתבו התוס' שם (לג. ד"ה רבי) לחד תירוצא גבי רבי סבר עדות שבטלה מקצתה לא בטלה כולה. וצריך לומר דהיינו כשהשליח או האשה מודים שביטלו, הא לאו הכי פשיטא דאין בעל נאמן, ב"י.</w:t>
      </w:r>
      <w:r>
        <w:rPr>
          <w:rFonts w:cs="Arial"/>
          <w:color w:val="00B0F0"/>
          <w:rtl/>
        </w:rPr>
        <w:t xml:space="preserve"> (וכ"פ הרמ"א)</w:t>
      </w:r>
    </w:p>
  </w:footnote>
  <w:footnote w:id="2123">
    <w:p w14:paraId="525A68F6" w14:textId="77777777" w:rsidR="00FA2119" w:rsidRDefault="00FA2119" w:rsidP="00FA2119">
      <w:pPr>
        <w:pStyle w:val="a5"/>
        <w:rPr>
          <w:rtl/>
        </w:rPr>
      </w:pPr>
      <w:r>
        <w:rPr>
          <w:rStyle w:val="a7"/>
        </w:rPr>
        <w:footnoteRef/>
      </w:r>
      <w:r>
        <w:rPr>
          <w:rtl/>
        </w:rPr>
        <w:t xml:space="preserve"> </w:t>
      </w:r>
      <w:r>
        <w:rPr>
          <w:rFonts w:cs="Arial"/>
          <w:rtl/>
        </w:rPr>
        <w:t>משמע דסבירא ליה דבין כשמבטל בפני השליח בין כשמבטל שלא בפניו לעולם צריך לבטל בפני שנים. ובירושלמי בריש השולח (ה"א) הלך השליח לבטל הגט צריך לבטלו בפני שנים, והשליח עולה משם השנים. וזה שלא כדמשמע מדברי הרמב"ם, ודוחק לפרש דבשהלך השליח לבטל וביטלו שלא בפני האשה ושלא בפני שליח הגט, ב"י.</w:t>
      </w:r>
    </w:p>
  </w:footnote>
  <w:footnote w:id="2124">
    <w:p w14:paraId="717974DD" w14:textId="77777777" w:rsidR="00FA2119" w:rsidRDefault="00FA2119" w:rsidP="00FA2119">
      <w:pPr>
        <w:pStyle w:val="a5"/>
      </w:pPr>
      <w:r>
        <w:rPr>
          <w:rStyle w:val="a7"/>
        </w:rPr>
        <w:footnoteRef/>
      </w:r>
      <w:r>
        <w:rPr>
          <w:rtl/>
        </w:rPr>
        <w:t xml:space="preserve"> </w:t>
      </w:r>
      <w:r>
        <w:rPr>
          <w:rFonts w:cs="Arial"/>
          <w:rtl/>
        </w:rPr>
        <w:t>אבל כשמבטל בפני השליח א"צ שנים, כן הוא דעת הרמב"ם והטור, אבל תוס' ר"פ השולח מסופקים בזה, ב"ש (סק"צ).</w:t>
      </w:r>
    </w:p>
  </w:footnote>
  <w:footnote w:id="2125">
    <w:p w14:paraId="5B8537C5" w14:textId="77777777" w:rsidR="00FA2119" w:rsidRDefault="00FA2119" w:rsidP="00FA2119">
      <w:pPr>
        <w:pStyle w:val="a5"/>
      </w:pPr>
      <w:r>
        <w:rPr>
          <w:rStyle w:val="a7"/>
        </w:rPr>
        <w:footnoteRef/>
      </w:r>
      <w:r>
        <w:rPr>
          <w:rtl/>
        </w:rPr>
        <w:t xml:space="preserve"> </w:t>
      </w:r>
      <w:r>
        <w:rPr>
          <w:rFonts w:cs="Arial"/>
          <w:rtl/>
        </w:rPr>
        <w:t>כשאין עדים דביטל כ"כ הב"י ועיין בח"ר שכתב הבעל נאמן לומר דביטל כבר במיגו דאי בעי יכול עדיין לבטל ובחדושי רש"ך הביא דבריו לפ"ז מ"ש הב"י ובהג"ה דאין הבעל נאמן וכו' לכאורה תמוה למה אינו נאמן דהא איירי בש"ה אם כן יש לו מיגו כהנ"ל וא"ל דאיירי דכבר הגט ביד האשה אם כן קשה למה השליח נאמן דהא ע"כ משקר דאם לא כן למה מסר ליד האשה וא"ל דאיירי דשלח שליח אחר שליח הראשון שיבטל את שליחתו ושליח הראשון לא השגיח בו ומסר הגט ליד האשה ובזה אין הבעל נאמן אא"כ שליח השני מעיד ע"ז דהא כתבו במרדכי והג"מ ר"פ דשליח אינו נאמן ע"ז אא"כ עדים מעידים ע"ז, ויש לומר דאיירי כאן דהגט הוא ביד השליח ואמר הבעל שביטל אף על גב דיש לו מיגו אינו נאמן כשהשליח אינו מודה כמ"ש לעיל דהשליח נאמן אפילו אם יש לו מיגו וא"ל למה אין הבעל מבטל עוד וי"ל דאיירי דאינו בכאן אלא אמר כאן דביטל והלך ועכשיו בא השליח, ומ"ש בח"ר דהבעל נאמן במיגו יש לומר דאיירי באומר דביטל לפני עדים דהשליח א"י להכחישו, ב"ש (סקצ"א).</w:t>
      </w:r>
    </w:p>
  </w:footnote>
  <w:footnote w:id="2126">
    <w:p w14:paraId="20B97994" w14:textId="77777777" w:rsidR="00FA2119" w:rsidRDefault="00FA2119" w:rsidP="00FA2119">
      <w:pPr>
        <w:pStyle w:val="a5"/>
      </w:pPr>
      <w:r>
        <w:rPr>
          <w:rStyle w:val="a7"/>
        </w:rPr>
        <w:footnoteRef/>
      </w:r>
      <w:r>
        <w:rPr>
          <w:rtl/>
        </w:rPr>
        <w:t xml:space="preserve"> </w:t>
      </w:r>
      <w:r>
        <w:rPr>
          <w:rFonts w:cs="Arial"/>
          <w:rtl/>
        </w:rPr>
        <w:t>בודאי אם הגט כבר בידה וקידש אותה איש אחר אינה נאמנת לומר דביטל זה השליחות לאסור את עצמה על השני גם כשהמגרש כהן אינה נאמנת להתיר את עצמה לו, ואיירי דהגט בא לידה דאם לא בא לידה קשה כקושיא הנ"ל למה הוא אינו נאמן בלי דיבורה, וכשמבטל השליח ע"י שליח אחר כתב הב"י בשם ירושלמי דשליח עול' א' משנים ועיין בהרא"ש פ' השולח, ורי"ו כתב דאינו עולה אפילו לא' כי הוא במקום הבעל וכתב הב"י דנראה משמעות הירושלמי אפילו כשמבטל בפני השליח צריך שנים ולא כרמב"ם דפוסק אם הוא מבטל בפני השליח א"צ שנים, ולפי' הב"י יש ליישב גם כן דרי"ו ל"פ על הירושלמי אלא רי"ו איירי כשמבטל שלא בפני השליח הראשון צריך שנים בלי שליח השני כי שליח השני הוא במקום הבעל אבל שליח הראשון אינו במקום הבעל כיון דמבטל שליחתו לכן מצטרפים שליח הראשון כשמבטל בפניו וא"ל עמ"ש הב"י הא ס"ל לירושלמי דאין מצטרפים השליח כמ"ש בר"ס כי לענין ביטול שאני כמ"ש בירושלמי להדיא, ב"ש (סקצ"ב).</w:t>
      </w:r>
    </w:p>
  </w:footnote>
  <w:footnote w:id="2127">
    <w:p w14:paraId="0679E3A8" w14:textId="77777777" w:rsidR="00FA2119" w:rsidRDefault="00FA2119" w:rsidP="00FA2119">
      <w:pPr>
        <w:pStyle w:val="a5"/>
      </w:pPr>
      <w:r>
        <w:rPr>
          <w:rStyle w:val="a7"/>
        </w:rPr>
        <w:footnoteRef/>
      </w:r>
      <w:r>
        <w:rPr>
          <w:rtl/>
        </w:rPr>
        <w:t xml:space="preserve"> </w:t>
      </w:r>
      <w:r>
        <w:rPr>
          <w:rFonts w:cs="Arial"/>
          <w:rtl/>
        </w:rPr>
        <w:t>הטעם כיון דרוצה לבטל מה שנעשה כבר צריכים להיות ביחד אף על גב דקי"ל אפי' דבר אישות דומה לדיני ממונות ומצטרפים יחד מ"מ בכה"ג צריכים להיות ביחד אבל לבטל הגט הוי כאלו מוסר מודעא על להבא לכן א"צ להיות ביחד, ב"ש (סקצ"ד).</w:t>
      </w:r>
    </w:p>
  </w:footnote>
  <w:footnote w:id="2128">
    <w:p w14:paraId="0D1F630D" w14:textId="65EEABBD" w:rsidR="00FA2119" w:rsidRDefault="00FA2119" w:rsidP="00FA2119">
      <w:pPr>
        <w:pStyle w:val="a5"/>
      </w:pPr>
      <w:r>
        <w:rPr>
          <w:rStyle w:val="a7"/>
        </w:rPr>
        <w:footnoteRef/>
      </w:r>
      <w:r>
        <w:rPr>
          <w:rtl/>
        </w:rPr>
        <w:t xml:space="preserve"> </w:t>
      </w:r>
      <w:r>
        <w:rPr>
          <w:rFonts w:cs="Arial"/>
          <w:rtl/>
        </w:rPr>
        <w:t>והאריך לפלפל בסוגיא אי עביד לא מהני ובשיטת הפוסקים בזה ומסקנתו לצדד להקל בנ"ד באם יסכימו עמו עוד גדולים... וע' בתשו' גליא מסכת (בקו"א סי' ד) שפקפק עליו דאין זה ענין כלל למלתא דאי עביד לא מהני... ועי' בתשו' ברית אברהם (סי' קכא) שגם האריך בזה בפלפול עצום ומסיק</w:t>
      </w:r>
      <w:r w:rsidR="007D40A3">
        <w:rPr>
          <w:rFonts w:cs="Arial" w:hint="cs"/>
          <w:rtl/>
        </w:rPr>
        <w:t xml:space="preserve"> -</w:t>
      </w:r>
      <w:r>
        <w:rPr>
          <w:rFonts w:cs="Arial"/>
          <w:rtl/>
        </w:rPr>
        <w:t xml:space="preserve"> והיתר זה לאו כלום הוא ע"ש, ועמ"ש לעיל סי' קח ס"ג ובסיק קלד סק"ו, פת"ש (סקנ"ט).</w:t>
      </w:r>
    </w:p>
  </w:footnote>
  <w:footnote w:id="2129">
    <w:p w14:paraId="082793FC" w14:textId="77777777" w:rsidR="00FA2119" w:rsidRDefault="00FA2119" w:rsidP="00FA2119">
      <w:pPr>
        <w:pStyle w:val="a5"/>
      </w:pPr>
      <w:r>
        <w:rPr>
          <w:rStyle w:val="a7"/>
        </w:rPr>
        <w:footnoteRef/>
      </w:r>
      <w:r>
        <w:rPr>
          <w:rtl/>
        </w:rPr>
        <w:t xml:space="preserve"> </w:t>
      </w:r>
      <w:r>
        <w:rPr>
          <w:rFonts w:cs="Arial"/>
          <w:rtl/>
        </w:rPr>
        <w:t>שהשליח שאינו יודע בדבר מוליכו לה והיא ניסת בו, רש"י.</w:t>
      </w:r>
    </w:p>
  </w:footnote>
  <w:footnote w:id="2130">
    <w:p w14:paraId="7164EF1B" w14:textId="77777777" w:rsidR="00FA2119" w:rsidRDefault="00FA2119" w:rsidP="00FA2119">
      <w:pPr>
        <w:pStyle w:val="a5"/>
      </w:pPr>
      <w:r>
        <w:rPr>
          <w:rStyle w:val="a7"/>
        </w:rPr>
        <w:footnoteRef/>
      </w:r>
      <w:r>
        <w:rPr>
          <w:rtl/>
        </w:rPr>
        <w:t xml:space="preserve"> </w:t>
      </w:r>
      <w:r>
        <w:rPr>
          <w:rFonts w:cs="Arial"/>
          <w:rtl/>
        </w:rPr>
        <w:t>לאחר תקנת ר"ג בפני ב"ד, רש"י.</w:t>
      </w:r>
    </w:p>
  </w:footnote>
  <w:footnote w:id="2131">
    <w:p w14:paraId="4835C05D" w14:textId="77777777" w:rsidR="00FA2119" w:rsidRDefault="00FA2119" w:rsidP="00FA2119">
      <w:pPr>
        <w:pStyle w:val="a5"/>
      </w:pPr>
      <w:r>
        <w:rPr>
          <w:rStyle w:val="a7"/>
        </w:rPr>
        <w:footnoteRef/>
      </w:r>
      <w:r>
        <w:rPr>
          <w:rtl/>
        </w:rPr>
        <w:t xml:space="preserve"> </w:t>
      </w:r>
      <w:r>
        <w:rPr>
          <w:rFonts w:cs="Arial"/>
          <w:rtl/>
        </w:rPr>
        <w:t>של תקנת ר"ג יפה אם דבריהן בטלים ע"י זה, רש"י.</w:t>
      </w:r>
    </w:p>
  </w:footnote>
  <w:footnote w:id="2132">
    <w:p w14:paraId="51219CCE" w14:textId="77777777" w:rsidR="00FA2119" w:rsidRDefault="00FA2119" w:rsidP="00FA2119">
      <w:pPr>
        <w:pStyle w:val="a5"/>
      </w:pPr>
      <w:r>
        <w:rPr>
          <w:rStyle w:val="a7"/>
        </w:rPr>
        <w:footnoteRef/>
      </w:r>
      <w:r>
        <w:rPr>
          <w:rtl/>
        </w:rPr>
        <w:t xml:space="preserve"> </w:t>
      </w:r>
      <w:r>
        <w:rPr>
          <w:rFonts w:cs="Arial"/>
          <w:rtl/>
        </w:rPr>
        <w:t>וקיימא לן (גיטין סו:) כל כמה דלא אמר כולכם - אחד כותב ושנים חותמין, רש"י.</w:t>
      </w:r>
    </w:p>
  </w:footnote>
  <w:footnote w:id="2133">
    <w:p w14:paraId="11896FB1" w14:textId="2AEFA11B" w:rsidR="00FA2119" w:rsidRDefault="00FA2119" w:rsidP="00FA2119">
      <w:pPr>
        <w:pStyle w:val="a5"/>
      </w:pPr>
      <w:r>
        <w:rPr>
          <w:rStyle w:val="a7"/>
        </w:rPr>
        <w:footnoteRef/>
      </w:r>
      <w:r>
        <w:rPr>
          <w:rtl/>
        </w:rPr>
        <w:t xml:space="preserve"> </w:t>
      </w:r>
      <w:r>
        <w:rPr>
          <w:rFonts w:cs="Arial"/>
          <w:rtl/>
        </w:rPr>
        <w:t>מותר לבטל ולומר לשנים מהם אל תכתבוהו ואין זה לעקור תקנת רבן גמליאל</w:t>
      </w:r>
      <w:r>
        <w:rPr>
          <w:rtl/>
        </w:rPr>
        <w:t>, רש"י.</w:t>
      </w:r>
      <w:r>
        <w:rPr>
          <w:rFonts w:cs="Arial"/>
          <w:rtl/>
        </w:rPr>
        <w:t xml:space="preserve"> משום דכיון דלא אמר כולכם אחד כותב ושנים חותמים (גיטין סו:), וכשאותם שלא ביטלם יכתבו ויתנו גט - שפיר דמי... וכן כתבו התוס</w:t>
      </w:r>
      <w:r w:rsidR="007D40A3">
        <w:rPr>
          <w:rFonts w:cs="Arial" w:hint="cs"/>
          <w:rtl/>
        </w:rPr>
        <w:t>'</w:t>
      </w:r>
      <w:r>
        <w:rPr>
          <w:rFonts w:cs="Arial"/>
          <w:rtl/>
        </w:rPr>
        <w:t xml:space="preserve"> (לג. ד"ה רבי) והרשב"א (שם ד"ה ת"ר) והר"ן (טז: ד"ה ת"ר) והרא"ש (סי' ה) דיכול לבטל זה שלא בפני זה אפילו לכתחלה ואינו עובר על תקנת רבן גמליאל כי לא נמנה לתקן על זה לפי שאין הדבר יכול לבוא לידי קלקול </w:t>
      </w:r>
      <w:r>
        <w:rPr>
          <w:rFonts w:cs="Arial"/>
          <w:sz w:val="16"/>
          <w:szCs w:val="16"/>
          <w:rtl/>
        </w:rPr>
        <w:t>(אבל לשון הרמב"ם בפ"ו (הי"ח) שכתב 'אמר לעשרה כתבו גט ותנו לאשתי יכול לבטל גט זה שלא בפני זה ואפילו בפני שנים אחרים', צריך לומר דלאו לכתחלה קאמר, אלא לומר שאם ביטלו מבוטל, מדכתב 'ואפילו בפני שנים אחרים' והא ודאי אינו מותר לבטלו בפני שנים אחרים ושלא בפני השליח. [בדק הבית] ומיהו הרמב"ם כתב עוד שם 'שלח הגט ביד שנים הרי זה יכול לבטל זה שלא בפני זה', ופשט לשון זה משמע דלכתחלה יכול לבטלו. וכתב עוד הרמב"ם 'אפילו היו עשרה משביטלו בפני אחד מהם בטל הגט' [עד כאן])</w:t>
      </w:r>
      <w:r>
        <w:rPr>
          <w:rFonts w:cs="Arial"/>
          <w:rtl/>
        </w:rPr>
        <w:t xml:space="preserve">, ב"י. </w:t>
      </w:r>
    </w:p>
  </w:footnote>
  <w:footnote w:id="2134">
    <w:p w14:paraId="608E9F82" w14:textId="77777777" w:rsidR="00FA2119" w:rsidRDefault="00FA2119" w:rsidP="00FA2119">
      <w:pPr>
        <w:pStyle w:val="a5"/>
        <w:rPr>
          <w:rtl/>
        </w:rPr>
      </w:pPr>
      <w:r>
        <w:rPr>
          <w:rStyle w:val="a7"/>
        </w:rPr>
        <w:footnoteRef/>
      </w:r>
      <w:r>
        <w:rPr>
          <w:rtl/>
        </w:rPr>
        <w:t xml:space="preserve"> </w:t>
      </w:r>
      <w:r>
        <w:rPr>
          <w:rFonts w:cs="Arial"/>
          <w:rtl/>
        </w:rPr>
        <w:t>שאף זו מן התקנה ואם בטלו אינו מבוטל דאם כן מה כח בית דין יפה</w:t>
      </w:r>
      <w:r>
        <w:rPr>
          <w:rtl/>
        </w:rPr>
        <w:t>, רש"י.</w:t>
      </w:r>
    </w:p>
  </w:footnote>
  <w:footnote w:id="2135">
    <w:p w14:paraId="5A8A1FA2" w14:textId="77777777" w:rsidR="00FA2119" w:rsidRDefault="00FA2119" w:rsidP="00FA2119">
      <w:pPr>
        <w:pStyle w:val="a5"/>
        <w:rPr>
          <w:rtl/>
        </w:rPr>
      </w:pPr>
      <w:r>
        <w:rPr>
          <w:rStyle w:val="a7"/>
        </w:rPr>
        <w:footnoteRef/>
      </w:r>
      <w:r>
        <w:rPr>
          <w:rtl/>
        </w:rPr>
        <w:t xml:space="preserve"> </w:t>
      </w:r>
      <w:r>
        <w:rPr>
          <w:rFonts w:cs="Arial"/>
          <w:rtl/>
        </w:rPr>
        <w:t>ופירש רש"י (לג: ד"ה בעדי הולכה) דבברייתא דאמר לשנים תנו גט לאשתי פליגי נמי בשליחות שבטלה מקצתה אם בטלה כולה וכן כתב הר"ן (שם), ב"י.</w:t>
      </w:r>
    </w:p>
  </w:footnote>
  <w:footnote w:id="2136">
    <w:p w14:paraId="7FEC68C8" w14:textId="77777777" w:rsidR="00FA2119" w:rsidRDefault="00FA2119" w:rsidP="00FA2119">
      <w:pPr>
        <w:pStyle w:val="a5"/>
      </w:pPr>
      <w:r>
        <w:rPr>
          <w:rStyle w:val="a7"/>
        </w:rPr>
        <w:footnoteRef/>
      </w:r>
      <w:r>
        <w:rPr>
          <w:rtl/>
        </w:rPr>
        <w:t xml:space="preserve"> </w:t>
      </w:r>
      <w:r>
        <w:rPr>
          <w:rFonts w:cs="Arial"/>
          <w:rtl/>
        </w:rPr>
        <w:t>דאמר לעיל ביטול בפני שנים, רש"י.</w:t>
      </w:r>
    </w:p>
  </w:footnote>
  <w:footnote w:id="2137">
    <w:p w14:paraId="2B7CC62E" w14:textId="77777777" w:rsidR="00FA2119" w:rsidRDefault="00FA2119" w:rsidP="00FA2119">
      <w:pPr>
        <w:pStyle w:val="a5"/>
      </w:pPr>
      <w:r>
        <w:rPr>
          <w:rStyle w:val="a7"/>
        </w:rPr>
        <w:footnoteRef/>
      </w:r>
      <w:r>
        <w:rPr>
          <w:rtl/>
        </w:rPr>
        <w:t xml:space="preserve"> </w:t>
      </w:r>
      <w:r>
        <w:rPr>
          <w:rFonts w:cs="Arial"/>
          <w:rtl/>
        </w:rPr>
        <w:t>נמי בהא דאמר הלכה כרבי בשתיהן</w:t>
      </w:r>
      <w:r>
        <w:rPr>
          <w:rtl/>
        </w:rPr>
        <w:t>, רש"י.</w:t>
      </w:r>
    </w:p>
  </w:footnote>
  <w:footnote w:id="2138">
    <w:p w14:paraId="6CCBA08F" w14:textId="77777777" w:rsidR="00FA2119" w:rsidRDefault="00FA2119" w:rsidP="00FA2119">
      <w:pPr>
        <w:pStyle w:val="a5"/>
        <w:rPr>
          <w:rtl/>
        </w:rPr>
      </w:pPr>
      <w:r>
        <w:rPr>
          <w:rStyle w:val="a7"/>
        </w:rPr>
        <w:footnoteRef/>
      </w:r>
      <w:r>
        <w:rPr>
          <w:rtl/>
        </w:rPr>
        <w:t xml:space="preserve"> </w:t>
      </w:r>
      <w:r>
        <w:rPr>
          <w:rFonts w:cs="Arial"/>
          <w:rtl/>
        </w:rPr>
        <w:t xml:space="preserve">כבר כתבתי בסמוך (לעיל ד"ה ואין צריך) שכך היא דעת התוספות לחד תירוצא, ושכן נראה מדברי הרמב"ם בפ"ו, ושרי"ו חלוק על זה וסובר דאפילו ביטל בפני השליח עצמו אינו יכול לבטלו לכתחלה אלא בפני שנים אחרים, </w:t>
      </w:r>
      <w:r>
        <w:rPr>
          <w:rFonts w:cs="Arial"/>
          <w:b/>
          <w:bCs/>
          <w:rtl/>
        </w:rPr>
        <w:t>ב"י</w:t>
      </w:r>
      <w:r>
        <w:rPr>
          <w:rFonts w:cs="Arial"/>
          <w:rtl/>
        </w:rPr>
        <w:t xml:space="preserve">. </w:t>
      </w:r>
    </w:p>
  </w:footnote>
  <w:footnote w:id="2139">
    <w:p w14:paraId="5ADB8396" w14:textId="61CDDB75" w:rsidR="00FA2119" w:rsidRDefault="00FA2119" w:rsidP="00FA2119">
      <w:pPr>
        <w:pStyle w:val="a5"/>
      </w:pPr>
      <w:r>
        <w:rPr>
          <w:rStyle w:val="a7"/>
        </w:rPr>
        <w:footnoteRef/>
      </w:r>
      <w:r>
        <w:rPr>
          <w:rtl/>
        </w:rPr>
        <w:t xml:space="preserve"> </w:t>
      </w:r>
      <w:r>
        <w:rPr>
          <w:rFonts w:cs="Arial"/>
          <w:rtl/>
        </w:rPr>
        <w:t xml:space="preserve">אבל בפני שנים מן השוק שלא בפני השליח אסור לבטל אפילו לא ביטל רק מקצת השלוחים דמאחר דיכול לבטל זה בלא זה יש לחוש דאותן המקצת שביטל לא שמעו מן הביטול ויתנו הגט לאשה מיהו אם ביטלן בדיעבד הוי ביטול אפילו בפני שנים מן השוק, </w:t>
      </w:r>
      <w:r>
        <w:rPr>
          <w:rtl/>
        </w:rPr>
        <w:t xml:space="preserve">דרכ"מ </w:t>
      </w:r>
      <w:r>
        <w:rPr>
          <w:sz w:val="16"/>
          <w:szCs w:val="16"/>
          <w:rtl/>
        </w:rPr>
        <w:t>(אות מא, ומה שכתב הדרכ"מ שם בשם הב"י ליתא, כדמוכח בבדה"ב)</w:t>
      </w:r>
      <w:r>
        <w:rPr>
          <w:rtl/>
        </w:rPr>
        <w:t xml:space="preserve">. וכן הבין הב"ש (סקצ"ה). וכתב עוד </w:t>
      </w:r>
      <w:r>
        <w:rPr>
          <w:rFonts w:cs="Arial"/>
          <w:rtl/>
        </w:rPr>
        <w:t xml:space="preserve">לעיין בב"ח ובדרישה דמפרשים דברי הטור דלבטל כולם אפי' אם רוצה לבטל כל שנים ושנים בפניהם אסור לכתחלה. </w:t>
      </w:r>
      <w:r>
        <w:rPr>
          <w:rtl/>
        </w:rPr>
        <w:t xml:space="preserve">ומכל מקום דעת הרמב"ם </w:t>
      </w:r>
      <w:r>
        <w:rPr>
          <w:sz w:val="16"/>
          <w:szCs w:val="16"/>
          <w:rtl/>
        </w:rPr>
        <w:t xml:space="preserve">(לפי פירוש הב"י בבדה"ב) </w:t>
      </w:r>
      <w:r>
        <w:rPr>
          <w:rtl/>
        </w:rPr>
        <w:t xml:space="preserve">אינה כפירוש הטור </w:t>
      </w:r>
      <w:r>
        <w:rPr>
          <w:sz w:val="16"/>
          <w:szCs w:val="16"/>
          <w:rtl/>
        </w:rPr>
        <w:t>(לפי פירוש הדרכ"מ והב"ש)</w:t>
      </w:r>
      <w:r>
        <w:rPr>
          <w:rtl/>
        </w:rPr>
        <w:t xml:space="preserve">. ונראה ששורש המחלוקת יוצא מהא דהרמב"ם ס"ל דשליחות שבטלה ממקצתה בטלה כולה ולכן מתיר לבטל בפני שנים שלא בפני השליח כיון שכל השליחות מתבטלת ולא נפיק מינה חורבא. ולכן מובן למה השו"ע לא הזכיר בשו"ע את מה שכתב בבדה"ב (שמותר לבטל שלא בפני השליח) מכיון שסתם השו"ע כהטור ששליחות שבטלה מקצתה לא בטלה כולה, ואם יהיה מותר לבטל שלא בפני השליח </w:t>
      </w:r>
      <w:r w:rsidR="00A42812">
        <w:rPr>
          <w:rtl/>
        </w:rPr>
        <w:t>-</w:t>
      </w:r>
      <w:r>
        <w:rPr>
          <w:rtl/>
        </w:rPr>
        <w:t xml:space="preserve"> נפיק ממינה חורבא.</w:t>
      </w:r>
    </w:p>
  </w:footnote>
  <w:footnote w:id="2140">
    <w:p w14:paraId="3253F23A" w14:textId="5F7E98BE" w:rsidR="00FA2119" w:rsidRDefault="00FA2119" w:rsidP="00FA2119">
      <w:pPr>
        <w:pStyle w:val="a5"/>
      </w:pPr>
      <w:r>
        <w:rPr>
          <w:rStyle w:val="a7"/>
        </w:rPr>
        <w:footnoteRef/>
      </w:r>
      <w:r>
        <w:rPr>
          <w:rtl/>
        </w:rPr>
        <w:t xml:space="preserve"> הב"י כתב ש</w:t>
      </w:r>
      <w:r>
        <w:rPr>
          <w:rFonts w:cs="Arial"/>
          <w:rtl/>
        </w:rPr>
        <w:t xml:space="preserve">לשון זו קשה בעיניו </w:t>
      </w:r>
      <w:r>
        <w:rPr>
          <w:rFonts w:cs="Arial"/>
          <w:sz w:val="16"/>
          <w:szCs w:val="16"/>
          <w:rtl/>
        </w:rPr>
        <w:t>{</w:t>
      </w:r>
      <w:r w:rsidR="000A0F5A">
        <w:rPr>
          <w:rFonts w:cs="Arial"/>
          <w:sz w:val="16"/>
          <w:szCs w:val="16"/>
          <w:rtl/>
        </w:rPr>
        <w:t>וז"ל:</w:t>
      </w:r>
      <w:r>
        <w:rPr>
          <w:rFonts w:cs="Arial"/>
          <w:sz w:val="16"/>
          <w:szCs w:val="16"/>
          <w:rtl/>
        </w:rPr>
        <w:t xml:space="preserve"> דמאי איריא לבטל את כולן שלא בפניהם, אפילו לבטל אחד מהם שלא בפניו אסור לכתחלה משום דנפיק מיניה חורבא}</w:t>
      </w:r>
      <w:r>
        <w:rPr>
          <w:rFonts w:cs="Arial"/>
          <w:rtl/>
        </w:rPr>
        <w:t>, אך לפי מה שכתב הב"י בבדה"ב</w:t>
      </w:r>
      <w:r>
        <w:rPr>
          <w:rFonts w:cs="Arial"/>
          <w:sz w:val="16"/>
          <w:szCs w:val="16"/>
          <w:rtl/>
        </w:rPr>
        <w:t xml:space="preserve"> {שגם הרמב"ם מודה שמותר לבטל לכתחילה בשני האופנים}</w:t>
      </w:r>
      <w:r>
        <w:rPr>
          <w:rFonts w:cs="Arial"/>
          <w:rtl/>
        </w:rPr>
        <w:t xml:space="preserve"> צריך לומר שחזר בו, וקושי זה מיושב. ולכן גם דברי הדרכ"מ </w:t>
      </w:r>
      <w:r>
        <w:rPr>
          <w:rFonts w:cs="Arial"/>
          <w:sz w:val="16"/>
          <w:szCs w:val="16"/>
          <w:rtl/>
        </w:rPr>
        <w:t>(אות מא)</w:t>
      </w:r>
      <w:r>
        <w:rPr>
          <w:rFonts w:cs="Arial"/>
          <w:rtl/>
        </w:rPr>
        <w:t xml:space="preserve"> בשם הב"י כבר לא שייכים, שהרי הדרכ"מ לא ראה את בדק הבית </w:t>
      </w:r>
      <w:r>
        <w:rPr>
          <w:rFonts w:cs="Arial"/>
          <w:sz w:val="16"/>
          <w:szCs w:val="16"/>
          <w:rtl/>
        </w:rPr>
        <w:t>(כמבואר בסע' ג, ובסעיף זה, ובעוד)</w:t>
      </w:r>
      <w:r>
        <w:rPr>
          <w:rFonts w:cs="Arial"/>
          <w:rtl/>
        </w:rPr>
        <w:t>.</w:t>
      </w:r>
    </w:p>
  </w:footnote>
  <w:footnote w:id="2141">
    <w:p w14:paraId="598061A7" w14:textId="03E0DBD8" w:rsidR="00FA2119" w:rsidRDefault="00FA2119" w:rsidP="00FA2119">
      <w:pPr>
        <w:pStyle w:val="a5"/>
        <w:rPr>
          <w:rtl/>
        </w:rPr>
      </w:pPr>
      <w:r>
        <w:rPr>
          <w:rStyle w:val="a7"/>
        </w:rPr>
        <w:footnoteRef/>
      </w:r>
      <w:r>
        <w:rPr>
          <w:rtl/>
        </w:rPr>
        <w:t xml:space="preserve"> </w:t>
      </w:r>
      <w:r>
        <w:rPr>
          <w:rFonts w:cs="Arial"/>
          <w:rtl/>
        </w:rPr>
        <w:t xml:space="preserve">והרמב"ם כתב כיון שבטל שליחות קצתם נתבטלו כולם, וא"א הרא"ש ז"ל כתב כסברא הראשונה </w:t>
      </w:r>
      <w:r>
        <w:rPr>
          <w:rFonts w:cs="Arial"/>
          <w:sz w:val="16"/>
          <w:szCs w:val="16"/>
          <w:rtl/>
        </w:rPr>
        <w:t>{מדשתק ולא פירש שיש חילוק בין עדות שבטלה מקצתה לשליחות שבטלה}</w:t>
      </w:r>
      <w:r>
        <w:rPr>
          <w:rFonts w:cs="Arial"/>
          <w:rtl/>
        </w:rPr>
        <w:t xml:space="preserve">, וכן השיג עליו הראב"ד, </w:t>
      </w:r>
      <w:r>
        <w:rPr>
          <w:rFonts w:cs="Arial"/>
          <w:b/>
          <w:bCs/>
          <w:rtl/>
        </w:rPr>
        <w:t>טור</w:t>
      </w:r>
      <w:r>
        <w:rPr>
          <w:rFonts w:cs="Arial"/>
          <w:rtl/>
        </w:rPr>
        <w:t xml:space="preserve">. </w:t>
      </w:r>
      <w:r w:rsidR="005158CD">
        <w:rPr>
          <w:rFonts w:cs="Arial" w:hint="cs"/>
          <w:rtl/>
        </w:rPr>
        <w:t xml:space="preserve">     </w:t>
      </w:r>
      <w:r>
        <w:rPr>
          <w:rFonts w:cs="Arial"/>
          <w:rtl/>
        </w:rPr>
        <w:t xml:space="preserve">וכתב </w:t>
      </w:r>
      <w:r>
        <w:rPr>
          <w:rFonts w:cs="Arial"/>
          <w:b/>
          <w:bCs/>
          <w:rtl/>
        </w:rPr>
        <w:t>הב"י</w:t>
      </w:r>
      <w:r w:rsidR="005158CD">
        <w:rPr>
          <w:rFonts w:cs="Arial" w:hint="cs"/>
          <w:rtl/>
        </w:rPr>
        <w:t>:</w:t>
      </w:r>
      <w:r>
        <w:rPr>
          <w:rFonts w:cs="Arial"/>
          <w:rtl/>
        </w:rPr>
        <w:t xml:space="preserve"> כבר כתבתי בסמוך דאיפסיקא הלכתא בגמרא בהדיא כרבי באמר לעשרה כתבו גט לאשתי, דעדות שבטלה מקצתה לא בטלה כולה. וסבירא ליה לרבינו דהוא הדין לפלוגתא דשליחות שבטלה מקצתה, דמאי שנא. וזה דעת הראב"ד בהשגות (פ"ו הי"ח). ודעת הרמב"ם שכתב (שם) דכיון שביטל שליחות קצתם נתבטלו כולם היא לומר דאע"ג דבעדות שבטלה מקצתה קיי"ל כרבי, בשליחות שבטלה מקצתה לא קיי"ל כוותיה, דכיון דאפשר לאיפלוגי בין עדות לשליחות כיון שהוצרכו רבי ורשב"ג לחלוק בשניהם - לא נקטינן כרבי במקום רבן שמעון בן גמליאל אלא היכא דאיתמר. כך כתב הר"ן (טז: ד"ה וכיון). עכ"ל הב"י</w:t>
      </w:r>
      <w:r>
        <w:rPr>
          <w:rtl/>
        </w:rPr>
        <w:t xml:space="preserve">. </w:t>
      </w:r>
    </w:p>
  </w:footnote>
  <w:footnote w:id="2142">
    <w:p w14:paraId="2D2F218E" w14:textId="77777777" w:rsidR="00FA2119" w:rsidRDefault="00FA2119" w:rsidP="00FA2119">
      <w:pPr>
        <w:pStyle w:val="a5"/>
        <w:rPr>
          <w:rtl/>
        </w:rPr>
      </w:pPr>
      <w:r>
        <w:rPr>
          <w:rStyle w:val="a7"/>
        </w:rPr>
        <w:footnoteRef/>
      </w:r>
      <w:r>
        <w:rPr>
          <w:rtl/>
        </w:rPr>
        <w:t xml:space="preserve"> </w:t>
      </w:r>
      <w:r>
        <w:rPr>
          <w:rFonts w:cs="Arial"/>
          <w:rtl/>
        </w:rPr>
        <w:t>מ"ש רבינו אפילו עשאם כולם שלוחים ביחד - מפורש שם בברייתא (לג:) דכשעשאם שלוחים זה אחר זה אפילו לרבן שמעון בן גמליאל יכול לבטל זה שלא בפני זה, וא"כ לא פליגי אלא בעשאם שלוחין ביחד, וקיי"ל כרבי, ב"י.</w:t>
      </w:r>
    </w:p>
  </w:footnote>
  <w:footnote w:id="2143">
    <w:p w14:paraId="40ED4C23" w14:textId="569C7000" w:rsidR="005C02A9" w:rsidRDefault="005C02A9" w:rsidP="005C02A9">
      <w:pPr>
        <w:pStyle w:val="a5"/>
      </w:pPr>
      <w:r>
        <w:rPr>
          <w:rStyle w:val="a7"/>
        </w:rPr>
        <w:footnoteRef/>
      </w:r>
      <w:r>
        <w:rPr>
          <w:rtl/>
        </w:rPr>
        <w:t xml:space="preserve"> </w:t>
      </w:r>
      <w:r>
        <w:rPr>
          <w:rFonts w:cs="Arial" w:hint="cs"/>
          <w:rtl/>
        </w:rPr>
        <w:t>סימן - לעצור דעתו.</w:t>
      </w:r>
    </w:p>
  </w:footnote>
  <w:footnote w:id="2144">
    <w:p w14:paraId="04270EEB" w14:textId="77777777" w:rsidR="00FA2119" w:rsidRDefault="00FA2119" w:rsidP="00FA2119">
      <w:pPr>
        <w:pStyle w:val="a5"/>
      </w:pPr>
      <w:r>
        <w:rPr>
          <w:rStyle w:val="a7"/>
        </w:rPr>
        <w:footnoteRef/>
      </w:r>
      <w:r>
        <w:rPr>
          <w:rtl/>
        </w:rPr>
        <w:t xml:space="preserve"> </w:t>
      </w:r>
      <w:r>
        <w:rPr>
          <w:rFonts w:cs="Arial"/>
          <w:rtl/>
        </w:rPr>
        <w:t>אורגת, רש"י.</w:t>
      </w:r>
    </w:p>
  </w:footnote>
  <w:footnote w:id="2145">
    <w:p w14:paraId="6974080A" w14:textId="77777777" w:rsidR="00FA2119" w:rsidRDefault="00FA2119" w:rsidP="00FA2119">
      <w:pPr>
        <w:pStyle w:val="a5"/>
      </w:pPr>
      <w:r>
        <w:rPr>
          <w:rStyle w:val="a7"/>
        </w:rPr>
        <w:footnoteRef/>
      </w:r>
      <w:r>
        <w:rPr>
          <w:rtl/>
        </w:rPr>
        <w:t xml:space="preserve"> </w:t>
      </w:r>
      <w:r>
        <w:rPr>
          <w:rFonts w:cs="Arial"/>
          <w:rtl/>
        </w:rPr>
        <w:t>ואם בא שליח זה ומסרו לה למחר מגורשת</w:t>
      </w:r>
      <w:r>
        <w:rPr>
          <w:rtl/>
        </w:rPr>
        <w:t>, רש"י.</w:t>
      </w:r>
    </w:p>
  </w:footnote>
  <w:footnote w:id="2146">
    <w:p w14:paraId="23654A17" w14:textId="77777777" w:rsidR="00FA2119" w:rsidRDefault="00FA2119" w:rsidP="00FA2119">
      <w:pPr>
        <w:pStyle w:val="a5"/>
        <w:rPr>
          <w:rtl/>
        </w:rPr>
      </w:pPr>
      <w:r>
        <w:rPr>
          <w:rStyle w:val="a7"/>
        </w:rPr>
        <w:footnoteRef/>
      </w:r>
      <w:r>
        <w:rPr>
          <w:rtl/>
        </w:rPr>
        <w:t xml:space="preserve"> </w:t>
      </w:r>
      <w:r>
        <w:rPr>
          <w:rFonts w:cs="Arial"/>
          <w:rtl/>
        </w:rPr>
        <w:t>שאינו חפץ עוד בשליחות זה, רש"י.</w:t>
      </w:r>
    </w:p>
  </w:footnote>
  <w:footnote w:id="2147">
    <w:p w14:paraId="7FD821C1" w14:textId="77777777" w:rsidR="00FA2119" w:rsidRDefault="00FA2119" w:rsidP="00FA2119">
      <w:pPr>
        <w:pStyle w:val="a5"/>
      </w:pPr>
      <w:r>
        <w:rPr>
          <w:rStyle w:val="a7"/>
        </w:rPr>
        <w:footnoteRef/>
      </w:r>
      <w:r>
        <w:rPr>
          <w:rtl/>
        </w:rPr>
        <w:t xml:space="preserve"> </w:t>
      </w:r>
      <w:r>
        <w:rPr>
          <w:rFonts w:cs="Arial"/>
          <w:rtl/>
        </w:rPr>
        <w:t>רב ששת אמר לכם ואני שמעתי דלבטיל גיטא, רש"י.</w:t>
      </w:r>
    </w:p>
  </w:footnote>
  <w:footnote w:id="2148">
    <w:p w14:paraId="2193DB4E" w14:textId="77777777" w:rsidR="00FA2119" w:rsidRDefault="00FA2119" w:rsidP="00FA2119">
      <w:pPr>
        <w:pStyle w:val="a5"/>
      </w:pPr>
      <w:r>
        <w:rPr>
          <w:rStyle w:val="a7"/>
        </w:rPr>
        <w:footnoteRef/>
      </w:r>
      <w:r>
        <w:rPr>
          <w:rtl/>
        </w:rPr>
        <w:t xml:space="preserve"> </w:t>
      </w:r>
      <w:r>
        <w:rPr>
          <w:rFonts w:cs="Arial"/>
          <w:rtl/>
        </w:rPr>
        <w:t>אלמא משום דגליא דעתיה בביטולא</w:t>
      </w:r>
      <w:r>
        <w:rPr>
          <w:rtl/>
        </w:rPr>
        <w:t>, רש"י.</w:t>
      </w:r>
    </w:p>
  </w:footnote>
  <w:footnote w:id="2149">
    <w:p w14:paraId="40511248" w14:textId="77777777" w:rsidR="00FA2119" w:rsidRDefault="00FA2119" w:rsidP="00FA2119">
      <w:pPr>
        <w:pStyle w:val="a5"/>
        <w:rPr>
          <w:rtl/>
        </w:rPr>
      </w:pPr>
      <w:r>
        <w:rPr>
          <w:rStyle w:val="a7"/>
        </w:rPr>
        <w:footnoteRef/>
      </w:r>
      <w:r>
        <w:rPr>
          <w:rtl/>
        </w:rPr>
        <w:t xml:space="preserve"> </w:t>
      </w:r>
      <w:r>
        <w:rPr>
          <w:rFonts w:cs="Arial"/>
          <w:rtl/>
        </w:rPr>
        <w:t>אפילו גלוי דעתא ליכא דהא לא אמר אנא בטלתיה אלא רב ששת והכא ליכא גלוי דעתא דידיה, רש"י.</w:t>
      </w:r>
    </w:p>
  </w:footnote>
  <w:footnote w:id="2150">
    <w:p w14:paraId="013730EC" w14:textId="77777777" w:rsidR="00FA2119" w:rsidRDefault="00FA2119" w:rsidP="00FA2119">
      <w:pPr>
        <w:pStyle w:val="a5"/>
      </w:pPr>
      <w:r>
        <w:rPr>
          <w:rStyle w:val="a7"/>
        </w:rPr>
        <w:footnoteRef/>
      </w:r>
      <w:r>
        <w:rPr>
          <w:rtl/>
        </w:rPr>
        <w:t xml:space="preserve"> </w:t>
      </w:r>
      <w:r>
        <w:rPr>
          <w:rFonts w:cs="Arial"/>
          <w:rtl/>
        </w:rPr>
        <w:t>ואמר בהדיא ליבטיל, רש"י.</w:t>
      </w:r>
    </w:p>
  </w:footnote>
  <w:footnote w:id="2151">
    <w:p w14:paraId="3D5C7C44" w14:textId="77777777" w:rsidR="00FA2119" w:rsidRDefault="00FA2119" w:rsidP="00FA2119">
      <w:pPr>
        <w:pStyle w:val="a5"/>
      </w:pPr>
      <w:r>
        <w:rPr>
          <w:rStyle w:val="a7"/>
        </w:rPr>
        <w:footnoteRef/>
      </w:r>
      <w:r>
        <w:rPr>
          <w:rtl/>
        </w:rPr>
        <w:t xml:space="preserve"> </w:t>
      </w:r>
      <w:r>
        <w:rPr>
          <w:rFonts w:cs="Arial"/>
          <w:rtl/>
        </w:rPr>
        <w:t>בני אדם המכין וחובטין אותו במצות רב ששת ואומר לו למה אתה מבטלו אמר להו הכי רב ששת צוה כן</w:t>
      </w:r>
      <w:r>
        <w:rPr>
          <w:rtl/>
        </w:rPr>
        <w:t>, רש"י.</w:t>
      </w:r>
    </w:p>
  </w:footnote>
  <w:footnote w:id="2152">
    <w:p w14:paraId="20180ED4" w14:textId="77777777" w:rsidR="00FA2119" w:rsidRDefault="00FA2119" w:rsidP="00FA2119">
      <w:pPr>
        <w:pStyle w:val="a5"/>
        <w:rPr>
          <w:rtl/>
        </w:rPr>
      </w:pPr>
      <w:r>
        <w:rPr>
          <w:rStyle w:val="a7"/>
        </w:rPr>
        <w:footnoteRef/>
      </w:r>
      <w:r>
        <w:rPr>
          <w:rtl/>
        </w:rPr>
        <w:t xml:space="preserve"> </w:t>
      </w:r>
      <w:r>
        <w:rPr>
          <w:rFonts w:cs="Arial"/>
          <w:rtl/>
        </w:rPr>
        <w:t>כך שמו, רש"י.</w:t>
      </w:r>
    </w:p>
  </w:footnote>
  <w:footnote w:id="2153">
    <w:p w14:paraId="55FD9CF4" w14:textId="77777777" w:rsidR="00FA2119" w:rsidRDefault="00FA2119" w:rsidP="00FA2119">
      <w:pPr>
        <w:pStyle w:val="a5"/>
      </w:pPr>
      <w:r>
        <w:rPr>
          <w:rStyle w:val="a7"/>
        </w:rPr>
        <w:footnoteRef/>
      </w:r>
      <w:r>
        <w:rPr>
          <w:rtl/>
        </w:rPr>
        <w:t xml:space="preserve"> </w:t>
      </w:r>
      <w:r>
        <w:rPr>
          <w:rFonts w:cs="Arial"/>
          <w:rtl/>
        </w:rPr>
        <w:t>שנה שנית וכפהו לצוות לכתוב אחר, רש"י.</w:t>
      </w:r>
    </w:p>
  </w:footnote>
  <w:footnote w:id="2154">
    <w:p w14:paraId="7D7B107B" w14:textId="77777777" w:rsidR="00FA2119" w:rsidRDefault="00FA2119" w:rsidP="00FA2119">
      <w:pPr>
        <w:pStyle w:val="a5"/>
      </w:pPr>
      <w:r>
        <w:rPr>
          <w:rStyle w:val="a7"/>
        </w:rPr>
        <w:footnoteRef/>
      </w:r>
      <w:r>
        <w:rPr>
          <w:rtl/>
        </w:rPr>
        <w:t xml:space="preserve"> </w:t>
      </w:r>
      <w:r>
        <w:rPr>
          <w:rFonts w:cs="Arial"/>
          <w:rtl/>
        </w:rPr>
        <w:t>שימו קניבת ירק דק של דלועין באזניכם שלא תשמעו ביטולו, רש"י.</w:t>
      </w:r>
    </w:p>
  </w:footnote>
  <w:footnote w:id="2155">
    <w:p w14:paraId="753448B3" w14:textId="77777777" w:rsidR="00FA2119" w:rsidRDefault="00FA2119" w:rsidP="00FA2119">
      <w:pPr>
        <w:pStyle w:val="a5"/>
      </w:pPr>
      <w:r>
        <w:rPr>
          <w:rStyle w:val="a7"/>
        </w:rPr>
        <w:footnoteRef/>
      </w:r>
      <w:r>
        <w:rPr>
          <w:rtl/>
        </w:rPr>
        <w:t xml:space="preserve"> </w:t>
      </w:r>
      <w:r>
        <w:rPr>
          <w:rFonts w:cs="Arial"/>
          <w:rtl/>
        </w:rPr>
        <w:t>התחזקו לתתו מהר, רש"י.</w:t>
      </w:r>
    </w:p>
  </w:footnote>
  <w:footnote w:id="2156">
    <w:p w14:paraId="71D5EB58" w14:textId="77777777" w:rsidR="00FA2119" w:rsidRDefault="00FA2119" w:rsidP="00FA2119">
      <w:pPr>
        <w:pStyle w:val="a5"/>
      </w:pPr>
      <w:r>
        <w:rPr>
          <w:rStyle w:val="a7"/>
        </w:rPr>
        <w:footnoteRef/>
      </w:r>
      <w:r>
        <w:rPr>
          <w:rtl/>
        </w:rPr>
        <w:t xml:space="preserve"> </w:t>
      </w:r>
      <w:r>
        <w:rPr>
          <w:rFonts w:cs="Arial"/>
          <w:rtl/>
        </w:rPr>
        <w:t>אביי, דאמר גלוי דעתיה בגיטא לאו מלתא היא. וזו היא אחת מהלכות של סימן יע"ל קג"ם דהלכתא כאביי. ונראה בעיני דעל שם שרבה בר נחמני גידל אביי בביתו ולמדו תורה שהיה יתום, השיאו את שם אביו נחמני. רבה סתם הוא רבה בר נחמני</w:t>
      </w:r>
      <w:r>
        <w:rPr>
          <w:rtl/>
        </w:rPr>
        <w:t>, רש"י.</w:t>
      </w:r>
    </w:p>
  </w:footnote>
  <w:footnote w:id="2157">
    <w:p w14:paraId="77098C52" w14:textId="77777777" w:rsidR="00FA2119" w:rsidRDefault="00FA2119" w:rsidP="00FA2119">
      <w:pPr>
        <w:pStyle w:val="a5"/>
      </w:pPr>
      <w:r>
        <w:rPr>
          <w:rStyle w:val="a7"/>
        </w:rPr>
        <w:footnoteRef/>
      </w:r>
      <w:r>
        <w:rPr>
          <w:rtl/>
        </w:rPr>
        <w:t xml:space="preserve"> </w:t>
      </w:r>
      <w:r>
        <w:rPr>
          <w:rFonts w:cs="Arial"/>
          <w:rtl/>
        </w:rPr>
        <w:t>ועיין בירושלמי (יבמות פ"ב ה"י) שכתבתי בסוף סימן י"א (כג: ד"ה הנחשד) בשם תשובת הרשב"א ודברי הרב המגיד (פ"י הי"ד) שכתבתי בסוף סימן י' (כ: ד"ה כתב), ב"י.</w:t>
      </w:r>
    </w:p>
  </w:footnote>
  <w:footnote w:id="2158">
    <w:p w14:paraId="44591A87" w14:textId="77777777" w:rsidR="00FA2119" w:rsidRDefault="00FA2119" w:rsidP="00FA2119">
      <w:pPr>
        <w:pStyle w:val="a5"/>
        <w:rPr>
          <w:rtl/>
        </w:rPr>
      </w:pPr>
      <w:r>
        <w:rPr>
          <w:rStyle w:val="a7"/>
        </w:rPr>
        <w:footnoteRef/>
      </w:r>
      <w:r>
        <w:rPr>
          <w:rtl/>
        </w:rPr>
        <w:t xml:space="preserve"> </w:t>
      </w:r>
      <w:r>
        <w:rPr>
          <w:rFonts w:cs="Arial"/>
          <w:rtl/>
        </w:rPr>
        <w:t>ה"ה אם עשה שליח לבטל והשליח לא ביטל עד שבא לידה, ב"ש (סקצ"ז).</w:t>
      </w:r>
    </w:p>
  </w:footnote>
  <w:footnote w:id="2159">
    <w:p w14:paraId="295B86E2" w14:textId="425DDDE2" w:rsidR="00FA2119" w:rsidRDefault="00FA2119" w:rsidP="00FA2119">
      <w:pPr>
        <w:pStyle w:val="a5"/>
      </w:pPr>
      <w:r>
        <w:rPr>
          <w:rStyle w:val="a7"/>
        </w:rPr>
        <w:footnoteRef/>
      </w:r>
      <w:r>
        <w:rPr>
          <w:rtl/>
        </w:rPr>
        <w:t xml:space="preserve"> </w:t>
      </w:r>
      <w:r>
        <w:rPr>
          <w:rFonts w:cs="Arial"/>
          <w:rtl/>
        </w:rPr>
        <w:t xml:space="preserve">כתב בט"ז דאיירי בשלח שליח סתם להוליך גט לאשתו ואחר שעשה אותו לשליח אמר לו אם תרצה וכו' - אז הוי כגילוי מלתא. אבל אם בעת שעשה אותו לשליח אמר לו בעת שתרצה וכו' או תכ"ד - אז השליחות נעשה ע"מ כן, ואז אם ראובן בעיר ולא יכול להתפייס עמה אינו יוכל ליתן לה הגט, </w:t>
      </w:r>
      <w:r>
        <w:rPr>
          <w:rFonts w:cs="Arial"/>
          <w:b/>
          <w:bCs/>
          <w:rtl/>
        </w:rPr>
        <w:t>ב"ש</w:t>
      </w:r>
      <w:r>
        <w:rPr>
          <w:rFonts w:cs="Arial"/>
          <w:rtl/>
        </w:rPr>
        <w:t xml:space="preserve"> (סקצ"ח).</w:t>
      </w:r>
      <w:r w:rsidR="003F435C">
        <w:rPr>
          <w:rFonts w:cs="Arial" w:hint="cs"/>
          <w:rtl/>
        </w:rPr>
        <w:t xml:space="preserve">    </w:t>
      </w:r>
      <w:r>
        <w:rPr>
          <w:rFonts w:cs="Arial"/>
          <w:rtl/>
        </w:rPr>
        <w:t xml:space="preserve"> ועיין בתשו' מהרי"מ מבריסק (ס"ס לח) שכתב דנראה דהט"ז אזיל בזה בשיטת הב"ח (ר"ס קלד) דהא דג"ד בגיטא לאו מלתא היא דוקא ג"ד דלאחר כתיבה ונתינה ליד שליח, אבל ג"ד קודם כתיבה או קודם נתינה ליד שליח מלתא היא ע"ש. ולע"ד צ"ע דא"כ יקשה על הב"ש דלעיל </w:t>
      </w:r>
      <w:r w:rsidR="003F435C">
        <w:rPr>
          <w:rFonts w:cs="Arial" w:hint="cs"/>
          <w:rtl/>
        </w:rPr>
        <w:t>(</w:t>
      </w:r>
      <w:r>
        <w:rPr>
          <w:rFonts w:cs="Arial"/>
          <w:rtl/>
        </w:rPr>
        <w:t>סי' קלד סק"א</w:t>
      </w:r>
      <w:r w:rsidR="003F435C">
        <w:rPr>
          <w:rFonts w:cs="Arial" w:hint="cs"/>
          <w:rtl/>
        </w:rPr>
        <w:t>)</w:t>
      </w:r>
      <w:r>
        <w:rPr>
          <w:rFonts w:cs="Arial"/>
          <w:rtl/>
        </w:rPr>
        <w:t xml:space="preserve"> מבואר שדעתו דלא כהב"ח בזה, וכתב שם דכן משמע מכל הפוסקים וכאן העתיק דברי הט"ז בסתם. ועוד דא"כ למה דקדק הט"ז כאן וכתב אבל אם בעת שעשה אותו לשליח אמר לו כו' ולא ביאר דה"ה אם אמר לו מקודם שעשה אותו לשליח. ולכן נראה דדין זה אין לו שייכות כלל לדברי הב"ח הנ"ל, וטעמו של הט"ז בזה דאם בעת שעשה אותו לשליח אמר לו כו' לא מיחשב זה ג"ד כלל רק אמירה ממש שעושה השליח רק באופן זה, ע' בט"ז </w:t>
      </w:r>
      <w:r w:rsidR="003F435C">
        <w:rPr>
          <w:rFonts w:cs="Arial" w:hint="cs"/>
          <w:rtl/>
        </w:rPr>
        <w:t>(</w:t>
      </w:r>
      <w:r>
        <w:rPr>
          <w:rFonts w:cs="Arial"/>
          <w:rtl/>
        </w:rPr>
        <w:t>סקמ"ה</w:t>
      </w:r>
      <w:r w:rsidR="003F435C">
        <w:rPr>
          <w:rFonts w:cs="Arial" w:hint="cs"/>
          <w:rtl/>
        </w:rPr>
        <w:t>)</w:t>
      </w:r>
      <w:r>
        <w:rPr>
          <w:rFonts w:cs="Arial"/>
          <w:rtl/>
        </w:rPr>
        <w:t xml:space="preserve"> שהביא ראיה ברורה לדבריו מלעיל סמ"ה תנהו לה במקום פלוני כו', וגם מלעיל ס"א לדעת י"א שאין האשה יכולה לעשות ש"ק מיד שליח בעלה משום בזיון דבעל, והא התם לא אמר הבעל מידי אלא דאמדינן דעתיה כ"ש היכא דמגלה דעתו בפירוש באיזה אופן ניחא ליה שיהא שלוחו ע"ש. ולפ"ז אם אמר לו הבעל כן קודם שעשה אותו לשליח ואח"כ נתן לו בסתם אפשר שגם הט"ז מודה דזה לא מיחשב רק ג"ד ולאו כלום הוא... וכפי הנראה דין זה יפול במחלוקת חכמי הדור שהיה בנדון הגט דווינא שהוזכר בתשו' מהר"ם לובלין </w:t>
      </w:r>
      <w:r w:rsidR="003F435C">
        <w:rPr>
          <w:rFonts w:cs="Arial" w:hint="cs"/>
          <w:rtl/>
        </w:rPr>
        <w:t>(</w:t>
      </w:r>
      <w:r>
        <w:rPr>
          <w:rFonts w:cs="Arial"/>
          <w:rtl/>
        </w:rPr>
        <w:t>סי' קכב</w:t>
      </w:r>
      <w:r w:rsidR="003F435C">
        <w:rPr>
          <w:rFonts w:cs="Arial" w:hint="cs"/>
          <w:rtl/>
        </w:rPr>
        <w:t>)</w:t>
      </w:r>
      <w:r>
        <w:rPr>
          <w:rFonts w:cs="Arial"/>
          <w:rtl/>
        </w:rPr>
        <w:t xml:space="preserve"> ומ"ב </w:t>
      </w:r>
      <w:r w:rsidR="003F435C">
        <w:rPr>
          <w:rFonts w:cs="Arial" w:hint="cs"/>
          <w:rtl/>
        </w:rPr>
        <w:t>(</w:t>
      </w:r>
      <w:r>
        <w:rPr>
          <w:rFonts w:cs="Arial"/>
          <w:rtl/>
        </w:rPr>
        <w:t>סי' עה</w:t>
      </w:r>
      <w:r w:rsidR="003F435C">
        <w:rPr>
          <w:rFonts w:cs="Arial" w:hint="cs"/>
          <w:rtl/>
        </w:rPr>
        <w:t>)</w:t>
      </w:r>
      <w:r>
        <w:rPr>
          <w:rFonts w:cs="Arial"/>
          <w:rtl/>
        </w:rPr>
        <w:t xml:space="preserve"> שרמזתי לקמן </w:t>
      </w:r>
      <w:r w:rsidR="003F435C">
        <w:rPr>
          <w:rFonts w:cs="Arial" w:hint="cs"/>
          <w:rtl/>
        </w:rPr>
        <w:t>(</w:t>
      </w:r>
      <w:r>
        <w:rPr>
          <w:rFonts w:cs="Arial"/>
          <w:rtl/>
        </w:rPr>
        <w:t>סי' קמב ס"ט</w:t>
      </w:r>
      <w:r w:rsidR="003F435C">
        <w:rPr>
          <w:rFonts w:cs="Arial" w:hint="cs"/>
          <w:rtl/>
        </w:rPr>
        <w:t>)</w:t>
      </w:r>
      <w:r>
        <w:rPr>
          <w:rFonts w:cs="Arial"/>
          <w:rtl/>
        </w:rPr>
        <w:t xml:space="preserve">. ועמ"ש לעיל </w:t>
      </w:r>
      <w:r w:rsidR="003F435C">
        <w:rPr>
          <w:rFonts w:cs="Arial" w:hint="cs"/>
          <w:rtl/>
        </w:rPr>
        <w:t>(</w:t>
      </w:r>
      <w:r>
        <w:rPr>
          <w:rFonts w:cs="Arial"/>
          <w:rtl/>
        </w:rPr>
        <w:t>סקמ"ז וסקנ"ב</w:t>
      </w:r>
      <w:r w:rsidR="003F435C">
        <w:rPr>
          <w:rFonts w:cs="Arial" w:hint="cs"/>
          <w:rtl/>
        </w:rPr>
        <w:t>)</w:t>
      </w:r>
      <w:r>
        <w:rPr>
          <w:rFonts w:cs="Arial"/>
          <w:rtl/>
        </w:rPr>
        <w:t xml:space="preserve"> ולקמן </w:t>
      </w:r>
      <w:r w:rsidR="003F435C">
        <w:rPr>
          <w:rFonts w:cs="Arial" w:hint="cs"/>
          <w:rtl/>
        </w:rPr>
        <w:t>(</w:t>
      </w:r>
      <w:r>
        <w:rPr>
          <w:rFonts w:cs="Arial"/>
          <w:rtl/>
        </w:rPr>
        <w:t>סי' קמג סק"א</w:t>
      </w:r>
      <w:r w:rsidR="003F435C">
        <w:rPr>
          <w:rFonts w:cs="Arial" w:hint="cs"/>
          <w:rtl/>
        </w:rPr>
        <w:t>)</w:t>
      </w:r>
      <w:r>
        <w:rPr>
          <w:rFonts w:cs="Arial"/>
          <w:rtl/>
        </w:rPr>
        <w:t xml:space="preserve">, </w:t>
      </w:r>
      <w:r>
        <w:rPr>
          <w:rFonts w:cs="Arial"/>
          <w:b/>
          <w:bCs/>
          <w:rtl/>
        </w:rPr>
        <w:t>פת"ש</w:t>
      </w:r>
      <w:r>
        <w:rPr>
          <w:rtl/>
        </w:rPr>
        <w:t xml:space="preserve"> (ס"ק סג).</w:t>
      </w:r>
    </w:p>
  </w:footnote>
  <w:footnote w:id="2160">
    <w:p w14:paraId="1375EA96" w14:textId="6C870C11" w:rsidR="00CB6420" w:rsidRDefault="00CB6420" w:rsidP="00CB6420">
      <w:pPr>
        <w:pStyle w:val="a5"/>
      </w:pPr>
      <w:r>
        <w:rPr>
          <w:rStyle w:val="a7"/>
        </w:rPr>
        <w:footnoteRef/>
      </w:r>
      <w:r>
        <w:rPr>
          <w:rtl/>
        </w:rPr>
        <w:t xml:space="preserve"> </w:t>
      </w:r>
      <w:r>
        <w:rPr>
          <w:rFonts w:cs="Arial" w:hint="cs"/>
          <w:rtl/>
        </w:rPr>
        <w:t>סימן - לשונות ביטול</w:t>
      </w:r>
      <w:r>
        <w:rPr>
          <w:rFonts w:cs="Arial"/>
          <w:rtl/>
        </w:rPr>
        <w:t>.</w:t>
      </w:r>
    </w:p>
  </w:footnote>
  <w:footnote w:id="2161">
    <w:p w14:paraId="37525DC6" w14:textId="77777777" w:rsidR="00FA2119" w:rsidRDefault="00FA2119" w:rsidP="00FA2119">
      <w:pPr>
        <w:pStyle w:val="a5"/>
      </w:pPr>
      <w:r>
        <w:rPr>
          <w:rStyle w:val="a7"/>
        </w:rPr>
        <w:footnoteRef/>
      </w:r>
      <w:r>
        <w:rPr>
          <w:rtl/>
        </w:rPr>
        <w:t xml:space="preserve"> </w:t>
      </w:r>
      <w:r>
        <w:rPr>
          <w:rFonts w:cs="Arial"/>
          <w:rtl/>
        </w:rPr>
        <w:t>משמע בטל יהא, וכן אי אפשי בו, רש"י.</w:t>
      </w:r>
    </w:p>
  </w:footnote>
  <w:footnote w:id="2162">
    <w:p w14:paraId="6DE44E51" w14:textId="77777777" w:rsidR="00FA2119" w:rsidRDefault="00FA2119" w:rsidP="00FA2119">
      <w:pPr>
        <w:pStyle w:val="a5"/>
      </w:pPr>
      <w:r>
        <w:rPr>
          <w:rStyle w:val="a7"/>
        </w:rPr>
        <w:footnoteRef/>
      </w:r>
      <w:r>
        <w:rPr>
          <w:rtl/>
        </w:rPr>
        <w:t xml:space="preserve"> </w:t>
      </w:r>
      <w:r>
        <w:rPr>
          <w:rFonts w:cs="Arial"/>
          <w:rtl/>
        </w:rPr>
        <w:t>לא משמע דאיהו מבטל ליה אלא מוציא עליו שם פסול והא ליכא, רש"י.</w:t>
      </w:r>
    </w:p>
  </w:footnote>
  <w:footnote w:id="2163">
    <w:p w14:paraId="6A9D6E03" w14:textId="77777777" w:rsidR="00FA2119" w:rsidRDefault="00FA2119" w:rsidP="00FA2119">
      <w:pPr>
        <w:pStyle w:val="a5"/>
      </w:pPr>
      <w:r>
        <w:rPr>
          <w:rStyle w:val="a7"/>
        </w:rPr>
        <w:footnoteRef/>
      </w:r>
      <w:r>
        <w:rPr>
          <w:rtl/>
        </w:rPr>
        <w:t xml:space="preserve"> </w:t>
      </w:r>
      <w:r>
        <w:rPr>
          <w:rFonts w:cs="Arial"/>
          <w:rtl/>
        </w:rPr>
        <w:t>וזכה בה על כרחו, ואם יש לו בעל חוב גובה אותה בשבילו, לפי שכל הלשונות הללו לשון עתיד הן, והואיל וקבלה אינו יכול לחזור בו, רש"י.</w:t>
      </w:r>
    </w:p>
  </w:footnote>
  <w:footnote w:id="2164">
    <w:p w14:paraId="34925B35" w14:textId="77777777" w:rsidR="00FA2119" w:rsidRDefault="00FA2119" w:rsidP="00FA2119">
      <w:pPr>
        <w:pStyle w:val="a5"/>
      </w:pPr>
      <w:r>
        <w:rPr>
          <w:rStyle w:val="a7"/>
        </w:rPr>
        <w:footnoteRef/>
      </w:r>
      <w:r>
        <w:rPr>
          <w:rtl/>
        </w:rPr>
        <w:t xml:space="preserve"> </w:t>
      </w:r>
      <w:r>
        <w:rPr>
          <w:rFonts w:cs="Arial"/>
          <w:rtl/>
        </w:rPr>
        <w:t>משמע בטלה היתה מקודם שקיבלתי, הודאת בעל דין כמאה עדים דמי, והרי אומר שלא זכה בה, וחוזרת לנותן..., רש"י.</w:t>
      </w:r>
    </w:p>
  </w:footnote>
  <w:footnote w:id="2165">
    <w:p w14:paraId="6DC1CC3B" w14:textId="77777777" w:rsidR="00FA2119" w:rsidRDefault="00FA2119" w:rsidP="00FA2119">
      <w:pPr>
        <w:pStyle w:val="a5"/>
      </w:pPr>
      <w:r>
        <w:rPr>
          <w:rStyle w:val="a7"/>
        </w:rPr>
        <w:footnoteRef/>
      </w:r>
      <w:r>
        <w:rPr>
          <w:rtl/>
        </w:rPr>
        <w:t xml:space="preserve"> </w:t>
      </w:r>
      <w:r>
        <w:rPr>
          <w:rFonts w:cs="Arial"/>
          <w:rtl/>
        </w:rPr>
        <w:t>וכיון דהכי הוא סתמא דמילתא, כי טעין איניש מילתא דמהניא, במילתיה קא טעין</w:t>
      </w:r>
      <w:r>
        <w:rPr>
          <w:rtl/>
        </w:rPr>
        <w:t>, רש"י.</w:t>
      </w:r>
    </w:p>
  </w:footnote>
  <w:footnote w:id="2166">
    <w:p w14:paraId="3EC4D451" w14:textId="77777777" w:rsidR="00FA2119" w:rsidRDefault="00FA2119" w:rsidP="00FA2119">
      <w:pPr>
        <w:pStyle w:val="a5"/>
        <w:rPr>
          <w:rtl/>
        </w:rPr>
      </w:pPr>
      <w:r>
        <w:rPr>
          <w:rStyle w:val="a7"/>
        </w:rPr>
        <w:footnoteRef/>
      </w:r>
      <w:r>
        <w:rPr>
          <w:rtl/>
        </w:rPr>
        <w:t xml:space="preserve"> </w:t>
      </w:r>
      <w:r>
        <w:rPr>
          <w:rFonts w:cs="Arial"/>
          <w:rtl/>
        </w:rPr>
        <w:t xml:space="preserve">אם אמר 'בטל' ולא אמר 'הוא' מהו? לשעבר משמע ואין בדבריו כלום, כיון דלא אמר 'הוא', או דילמא בלא 'הוא' נמי ב' לשונות משמע, ולישנא דאהני ביה קאמר, </w:t>
      </w:r>
      <w:r>
        <w:rPr>
          <w:rFonts w:cs="Arial"/>
          <w:b/>
          <w:bCs/>
          <w:rtl/>
        </w:rPr>
        <w:t>רש"י</w:t>
      </w:r>
      <w:r>
        <w:rPr>
          <w:rFonts w:cs="Arial"/>
          <w:rtl/>
        </w:rPr>
        <w:t xml:space="preserve">. והרמב"ם כתב (פ"ו הכ"ד) אמר גט זה בטל שמשמעו פועל שעבר כגון (שה"ש ה ו) חמק עבר - הרי זה ספק, </w:t>
      </w:r>
      <w:r>
        <w:rPr>
          <w:rFonts w:cs="Arial"/>
          <w:b/>
          <w:bCs/>
          <w:rtl/>
        </w:rPr>
        <w:t>ב"י</w:t>
      </w:r>
      <w:r>
        <w:rPr>
          <w:rFonts w:cs="Arial"/>
          <w:rtl/>
        </w:rPr>
        <w:t>.</w:t>
      </w:r>
    </w:p>
  </w:footnote>
  <w:footnote w:id="2167">
    <w:p w14:paraId="2011FC06" w14:textId="77777777" w:rsidR="00FA2119" w:rsidRDefault="00FA2119" w:rsidP="00FA2119">
      <w:pPr>
        <w:pStyle w:val="a5"/>
      </w:pPr>
      <w:r>
        <w:rPr>
          <w:rStyle w:val="a7"/>
        </w:rPr>
        <w:footnoteRef/>
      </w:r>
      <w:r>
        <w:rPr>
          <w:rtl/>
        </w:rPr>
        <w:t xml:space="preserve"> </w:t>
      </w:r>
      <w:r>
        <w:rPr>
          <w:rFonts w:cs="Arial"/>
          <w:rtl/>
        </w:rPr>
        <w:t>משמע דהוא אינו מבטלו אלא מעיד בו שהוא פסול והא לא חזינן ביה פסול ויתקיים בחותמיו, רש"י.</w:t>
      </w:r>
    </w:p>
  </w:footnote>
  <w:footnote w:id="2168">
    <w:p w14:paraId="6CFE286D" w14:textId="77777777" w:rsidR="00FA2119" w:rsidRDefault="00FA2119" w:rsidP="00FA2119">
      <w:pPr>
        <w:pStyle w:val="a5"/>
      </w:pPr>
      <w:r>
        <w:rPr>
          <w:rStyle w:val="a7"/>
        </w:rPr>
        <w:footnoteRef/>
      </w:r>
      <w:r>
        <w:rPr>
          <w:rtl/>
        </w:rPr>
        <w:t xml:space="preserve"> </w:t>
      </w:r>
      <w:r>
        <w:rPr>
          <w:rFonts w:cs="Arial"/>
          <w:rtl/>
        </w:rPr>
        <w:t>דכל לשונות הללו לשעבר הוא, רש"י.</w:t>
      </w:r>
    </w:p>
  </w:footnote>
  <w:footnote w:id="2169">
    <w:p w14:paraId="6D61CAEA" w14:textId="77777777" w:rsidR="00FA2119" w:rsidRDefault="00FA2119" w:rsidP="00FA2119">
      <w:pPr>
        <w:pStyle w:val="a5"/>
      </w:pPr>
      <w:r>
        <w:rPr>
          <w:rStyle w:val="a7"/>
        </w:rPr>
        <w:footnoteRef/>
      </w:r>
      <w:r>
        <w:rPr>
          <w:rtl/>
        </w:rPr>
        <w:t xml:space="preserve"> </w:t>
      </w:r>
      <w:r>
        <w:rPr>
          <w:rFonts w:cs="Arial"/>
          <w:rtl/>
        </w:rPr>
        <w:t>להבא משמע או לשעבר משמע</w:t>
      </w:r>
      <w:r>
        <w:rPr>
          <w:rtl/>
        </w:rPr>
        <w:t>, רש"י.</w:t>
      </w:r>
    </w:p>
  </w:footnote>
  <w:footnote w:id="2170">
    <w:p w14:paraId="5BB273CF" w14:textId="77777777" w:rsidR="00FA2119" w:rsidRDefault="00FA2119" w:rsidP="00FA2119">
      <w:pPr>
        <w:pStyle w:val="a5"/>
        <w:rPr>
          <w:rtl/>
        </w:rPr>
      </w:pPr>
      <w:r>
        <w:rPr>
          <w:rStyle w:val="a7"/>
        </w:rPr>
        <w:footnoteRef/>
      </w:r>
      <w:r>
        <w:rPr>
          <w:rtl/>
        </w:rPr>
        <w:t xml:space="preserve"> </w:t>
      </w:r>
      <w:r>
        <w:rPr>
          <w:rFonts w:cs="Arial"/>
          <w:rtl/>
        </w:rPr>
        <w:t>דקי"ל דהוי הקדש בכמה דוכתי דתנן בנדרים (דף מח) אם שלי הן הרי הן מוקדשים לשמים ובהפקר נמי תנן בה הרי הוא מופקר לכל מי שאחפוץ אלמא להבא משמע, רש"י.</w:t>
      </w:r>
    </w:p>
  </w:footnote>
  <w:footnote w:id="2171">
    <w:p w14:paraId="65455617" w14:textId="3E072727" w:rsidR="007F163A" w:rsidRDefault="007F163A" w:rsidP="007F163A">
      <w:pPr>
        <w:pStyle w:val="a5"/>
      </w:pPr>
      <w:r>
        <w:rPr>
          <w:rStyle w:val="a7"/>
        </w:rPr>
        <w:footnoteRef/>
      </w:r>
      <w:r>
        <w:rPr>
          <w:rFonts w:cs="Arial" w:hint="cs"/>
          <w:rtl/>
        </w:rPr>
        <w:t xml:space="preserve"> וכתב ה</w:t>
      </w:r>
      <w:r>
        <w:rPr>
          <w:rFonts w:cs="Arial"/>
          <w:rtl/>
        </w:rPr>
        <w:t xml:space="preserve">רא"ש </w:t>
      </w:r>
      <w:r>
        <w:rPr>
          <w:rFonts w:cs="Arial"/>
          <w:sz w:val="16"/>
          <w:szCs w:val="16"/>
          <w:rtl/>
        </w:rPr>
        <w:t>(סי' ב)</w:t>
      </w:r>
      <w:r>
        <w:rPr>
          <w:rFonts w:cs="Arial" w:hint="cs"/>
          <w:rtl/>
        </w:rPr>
        <w:t xml:space="preserve"> דה"ה</w:t>
      </w:r>
      <w:r>
        <w:rPr>
          <w:rFonts w:cs="Arial"/>
          <w:rtl/>
        </w:rPr>
        <w:t xml:space="preserve"> אם אמר 'גט זה חרס' - לא אמר כלום.</w:t>
      </w:r>
    </w:p>
  </w:footnote>
  <w:footnote w:id="2172">
    <w:p w14:paraId="6811AF54" w14:textId="60C3970B" w:rsidR="00FA2119" w:rsidRDefault="00FA2119" w:rsidP="00FA2119">
      <w:pPr>
        <w:pStyle w:val="a5"/>
      </w:pPr>
      <w:r>
        <w:rPr>
          <w:rStyle w:val="a7"/>
        </w:rPr>
        <w:footnoteRef/>
      </w:r>
      <w:r>
        <w:rPr>
          <w:rtl/>
        </w:rPr>
        <w:t xml:space="preserve"> </w:t>
      </w:r>
      <w:r>
        <w:rPr>
          <w:rFonts w:cs="Arial"/>
          <w:rtl/>
        </w:rPr>
        <w:t>כלומר להרמב"ם הבעיא בש"ס היא אפילו אם אמר בָּטַל, בפתח תחת הטי"ת, דמשמע לשון עבר. וציר"י תחת הטי</w:t>
      </w:r>
      <w:r w:rsidR="007F163A">
        <w:rPr>
          <w:rFonts w:cs="Arial" w:hint="cs"/>
          <w:rtl/>
        </w:rPr>
        <w:t>"</w:t>
      </w:r>
      <w:r>
        <w:rPr>
          <w:rFonts w:cs="Arial"/>
          <w:rtl/>
        </w:rPr>
        <w:t>ת משמע להבא, ב"ש (סק"ק).</w:t>
      </w:r>
    </w:p>
  </w:footnote>
  <w:footnote w:id="2173">
    <w:p w14:paraId="09800F46" w14:textId="77777777" w:rsidR="00FA2119" w:rsidRDefault="00FA2119" w:rsidP="00FA2119">
      <w:pPr>
        <w:pStyle w:val="a5"/>
      </w:pPr>
      <w:r>
        <w:rPr>
          <w:rStyle w:val="a7"/>
        </w:rPr>
        <w:footnoteRef/>
      </w:r>
      <w:r>
        <w:rPr>
          <w:rtl/>
        </w:rPr>
        <w:t xml:space="preserve"> </w:t>
      </w:r>
      <w:r>
        <w:rPr>
          <w:rFonts w:cs="Arial"/>
          <w:rtl/>
        </w:rPr>
        <w:t>וכ"כ ה"ר מאיר כהן ב-'הרי הוא פסול' דמהני מידי דהוה א-'הרי הוא כחרס'. ונ"ל דלא דמי, דשאני יהא חרס או הרי הוא כחרס, דשם זה אי אפשר להתקיים על הגט כלל, לפיכך צריכין לפרש דבריו שיהא כחרס לענין שלא להתגרש בו, וכיון שלהבא משמע - דבריו קיימים. אבל- 'יהא פסול' או 'הרי הוא פסול' כיון ששם זה יכול להתקיים על הגט, ר"ל שיהא פסול, וזה אינו פסול, שאינו יכול לפוסלו מעתה - הלכך אינו כלום</w:t>
      </w:r>
      <w:r>
        <w:rPr>
          <w:rtl/>
        </w:rPr>
        <w:t xml:space="preserve">, </w:t>
      </w:r>
      <w:r>
        <w:rPr>
          <w:b/>
          <w:bCs/>
          <w:rtl/>
        </w:rPr>
        <w:t>טור</w:t>
      </w:r>
      <w:r>
        <w:rPr>
          <w:rtl/>
        </w:rPr>
        <w:t xml:space="preserve">. </w:t>
      </w:r>
      <w:r>
        <w:rPr>
          <w:rFonts w:cs="Arial"/>
          <w:rtl/>
        </w:rPr>
        <w:t xml:space="preserve">וי"ל אף לדידיה </w:t>
      </w:r>
      <w:r>
        <w:rPr>
          <w:rFonts w:cs="Arial"/>
          <w:sz w:val="16"/>
          <w:szCs w:val="16"/>
          <w:rtl/>
        </w:rPr>
        <w:t xml:space="preserve">{היינו לטור} </w:t>
      </w:r>
      <w:r>
        <w:rPr>
          <w:rFonts w:cs="Arial"/>
          <w:rtl/>
        </w:rPr>
        <w:t>מכל מקום ספק גט הוא, וכך כתב ב"ח</w:t>
      </w:r>
      <w:r>
        <w:rPr>
          <w:rtl/>
        </w:rPr>
        <w:t xml:space="preserve">, </w:t>
      </w:r>
      <w:r>
        <w:rPr>
          <w:b/>
          <w:bCs/>
          <w:rtl/>
        </w:rPr>
        <w:t>ב"ש</w:t>
      </w:r>
      <w:r>
        <w:rPr>
          <w:rtl/>
        </w:rPr>
        <w:t xml:space="preserve"> (סקק"א).</w:t>
      </w:r>
    </w:p>
  </w:footnote>
  <w:footnote w:id="2174">
    <w:p w14:paraId="10D6972C" w14:textId="77777777" w:rsidR="00FA2119" w:rsidRDefault="00FA2119" w:rsidP="00FA2119">
      <w:pPr>
        <w:pStyle w:val="a5"/>
        <w:rPr>
          <w:rtl/>
        </w:rPr>
      </w:pPr>
      <w:r>
        <w:rPr>
          <w:rStyle w:val="a7"/>
        </w:rPr>
        <w:footnoteRef/>
      </w:r>
      <w:r>
        <w:rPr>
          <w:rtl/>
        </w:rPr>
        <w:t xml:space="preserve"> </w:t>
      </w:r>
      <w:r>
        <w:rPr>
          <w:rFonts w:cs="Arial"/>
          <w:rtl/>
        </w:rPr>
        <w:t>משמע דהוא אינו מבטלו אלא מעיד בו שהוא פסול, והא לא חזינן ביה פסול, ויתקיים בחותמיו, רש"י.</w:t>
      </w:r>
    </w:p>
  </w:footnote>
  <w:footnote w:id="2175">
    <w:p w14:paraId="137222F1" w14:textId="77777777" w:rsidR="00FA2119" w:rsidRDefault="00FA2119" w:rsidP="00FA2119">
      <w:pPr>
        <w:pStyle w:val="a5"/>
      </w:pPr>
      <w:r>
        <w:rPr>
          <w:rStyle w:val="a7"/>
        </w:rPr>
        <w:footnoteRef/>
      </w:r>
      <w:r>
        <w:rPr>
          <w:rtl/>
        </w:rPr>
        <w:t xml:space="preserve"> </w:t>
      </w:r>
      <w:r>
        <w:rPr>
          <w:rFonts w:cs="Arial"/>
          <w:rtl/>
        </w:rPr>
        <w:t>דכל לשונות הללו לשעבר הוא, רש"י.</w:t>
      </w:r>
    </w:p>
  </w:footnote>
  <w:footnote w:id="2176">
    <w:p w14:paraId="1CB3349F" w14:textId="77777777" w:rsidR="00FA2119" w:rsidRDefault="00FA2119" w:rsidP="00FA2119">
      <w:pPr>
        <w:pStyle w:val="a5"/>
      </w:pPr>
      <w:r>
        <w:rPr>
          <w:rStyle w:val="a7"/>
        </w:rPr>
        <w:footnoteRef/>
      </w:r>
      <w:r>
        <w:rPr>
          <w:rtl/>
        </w:rPr>
        <w:t xml:space="preserve"> </w:t>
      </w:r>
      <w:r>
        <w:rPr>
          <w:rFonts w:cs="Arial"/>
          <w:rtl/>
        </w:rPr>
        <w:t xml:space="preserve">גבי אינו מועיל כתב כן </w:t>
      </w:r>
      <w:r>
        <w:rPr>
          <w:rFonts w:cs="Arial"/>
          <w:sz w:val="16"/>
          <w:szCs w:val="16"/>
          <w:rtl/>
        </w:rPr>
        <w:t>(לב: ד"ה אינו מועיל)</w:t>
      </w:r>
      <w:r>
        <w:rPr>
          <w:rFonts w:cs="Arial"/>
          <w:rtl/>
        </w:rPr>
        <w:t>, ואפשר דהוא הדין לאומר פסול הוא. ורבינו משמע ליה דהוא הדין לכל אינך לישני, ב"י.</w:t>
      </w:r>
    </w:p>
  </w:footnote>
  <w:footnote w:id="2177">
    <w:p w14:paraId="21F66CAA" w14:textId="77777777" w:rsidR="00FA2119" w:rsidRDefault="00FA2119" w:rsidP="00FA2119">
      <w:pPr>
        <w:pStyle w:val="a5"/>
        <w:rPr>
          <w:rtl/>
        </w:rPr>
      </w:pPr>
      <w:r>
        <w:rPr>
          <w:rStyle w:val="a7"/>
        </w:rPr>
        <w:footnoteRef/>
      </w:r>
      <w:r>
        <w:rPr>
          <w:rtl/>
        </w:rPr>
        <w:t xml:space="preserve"> </w:t>
      </w:r>
      <w:r>
        <w:rPr>
          <w:rFonts w:cs="Arial"/>
          <w:rtl/>
        </w:rPr>
        <w:t>דקי"ל גילוי דעת בגט לאו כלום הוא, וערעור גם כן לא הוי דהא ראינו דכוונתו היה לבטל ולא לערער, ב"ש (סקק"ב).</w:t>
      </w:r>
    </w:p>
  </w:footnote>
  <w:footnote w:id="2178">
    <w:p w14:paraId="592CAE42" w14:textId="7172321A" w:rsidR="00421A80" w:rsidRDefault="00421A80" w:rsidP="00421A80">
      <w:pPr>
        <w:pStyle w:val="a5"/>
      </w:pPr>
      <w:r>
        <w:rPr>
          <w:rStyle w:val="a7"/>
        </w:rPr>
        <w:footnoteRef/>
      </w:r>
      <w:r>
        <w:rPr>
          <w:rtl/>
        </w:rPr>
        <w:t xml:space="preserve"> </w:t>
      </w:r>
      <w:r>
        <w:rPr>
          <w:rFonts w:cs="Arial" w:hint="cs"/>
          <w:rtl/>
        </w:rPr>
        <w:t>סימן - לשונות ביטול. וכן - לא ביטל.</w:t>
      </w:r>
    </w:p>
  </w:footnote>
  <w:footnote w:id="2179">
    <w:p w14:paraId="05B37261" w14:textId="77777777" w:rsidR="00FA2119" w:rsidRDefault="00FA2119" w:rsidP="00FA2119">
      <w:pPr>
        <w:pStyle w:val="a5"/>
      </w:pPr>
      <w:r>
        <w:rPr>
          <w:rStyle w:val="a7"/>
        </w:rPr>
        <w:footnoteRef/>
      </w:r>
      <w:r>
        <w:rPr>
          <w:rtl/>
        </w:rPr>
        <w:t xml:space="preserve"> </w:t>
      </w:r>
      <w:r>
        <w:rPr>
          <w:rFonts w:cs="Arial"/>
          <w:rtl/>
        </w:rPr>
        <w:t>משמע בטל יהא וכן אי אפשי בו, רש"י.</w:t>
      </w:r>
    </w:p>
  </w:footnote>
  <w:footnote w:id="2180">
    <w:p w14:paraId="5037A4B1" w14:textId="77777777" w:rsidR="00FA2119" w:rsidRDefault="00FA2119" w:rsidP="00FA2119">
      <w:pPr>
        <w:pStyle w:val="a5"/>
      </w:pPr>
      <w:r>
        <w:rPr>
          <w:rStyle w:val="a7"/>
        </w:rPr>
        <w:footnoteRef/>
      </w:r>
      <w:r>
        <w:rPr>
          <w:rtl/>
        </w:rPr>
        <w:t xml:space="preserve"> </w:t>
      </w:r>
      <w:r>
        <w:rPr>
          <w:rFonts w:cs="Arial"/>
          <w:rtl/>
        </w:rPr>
        <w:t>אם נמלך הבעל לחזור ולגרש בגט שביטלו, רש"י.</w:t>
      </w:r>
    </w:p>
  </w:footnote>
  <w:footnote w:id="2181">
    <w:p w14:paraId="01B5EFA6" w14:textId="77777777" w:rsidR="00FA2119" w:rsidRDefault="00FA2119" w:rsidP="00FA2119">
      <w:pPr>
        <w:pStyle w:val="a5"/>
      </w:pPr>
      <w:r>
        <w:rPr>
          <w:rStyle w:val="a7"/>
        </w:rPr>
        <w:footnoteRef/>
      </w:r>
      <w:r>
        <w:rPr>
          <w:rtl/>
        </w:rPr>
        <w:t xml:space="preserve"> </w:t>
      </w:r>
      <w:r>
        <w:rPr>
          <w:rFonts w:cs="Arial"/>
          <w:rtl/>
        </w:rPr>
        <w:t>מי אמרינן בטל גיטא והוה ליה כחספא או דילמא שליחותא דשליח הוא דבטיל ליה עד דהדר ומשוי ליה שליח אבל גיטא לא בטיל, רש"י.</w:t>
      </w:r>
    </w:p>
  </w:footnote>
  <w:footnote w:id="2182">
    <w:p w14:paraId="3BB76283" w14:textId="77777777" w:rsidR="00FA2119" w:rsidRDefault="00FA2119" w:rsidP="00FA2119">
      <w:pPr>
        <w:pStyle w:val="a5"/>
      </w:pPr>
      <w:r>
        <w:rPr>
          <w:rStyle w:val="a7"/>
        </w:rPr>
        <w:footnoteRef/>
      </w:r>
      <w:r>
        <w:rPr>
          <w:rtl/>
        </w:rPr>
        <w:t xml:space="preserve"> </w:t>
      </w:r>
      <w:r>
        <w:rPr>
          <w:rFonts w:cs="Arial"/>
          <w:rtl/>
        </w:rPr>
        <w:t>בקדושין בפרק האומר לחברו (נט.-נט:) אמר לאשה התקדשי לי במעות הללו לאחר שלשים וחזרה בה בתוך שלשים בטלו הקדושין הואיל ובטלתן קודם שיהו חלין ה"נ ליבטיל גיטא, רש"י.</w:t>
      </w:r>
    </w:p>
  </w:footnote>
  <w:footnote w:id="2183">
    <w:p w14:paraId="054AFFB5" w14:textId="77777777" w:rsidR="00FA2119" w:rsidRDefault="00FA2119" w:rsidP="00FA2119">
      <w:pPr>
        <w:pStyle w:val="a5"/>
      </w:pPr>
      <w:r>
        <w:rPr>
          <w:rStyle w:val="a7"/>
        </w:rPr>
        <w:footnoteRef/>
      </w:r>
      <w:r>
        <w:rPr>
          <w:rtl/>
        </w:rPr>
        <w:t xml:space="preserve"> </w:t>
      </w:r>
      <w:r>
        <w:rPr>
          <w:rFonts w:cs="Arial"/>
          <w:rtl/>
        </w:rPr>
        <w:t>מתחילה היתה מתקדשת על ידי הדיבור שנתרצתה בקדושין אתי דיבור של חזרה ומבטל דיבור ומיהו המעות לא בטלו שאם חזר וקדשה בהן מדעתה מקודשת</w:t>
      </w:r>
      <w:r>
        <w:rPr>
          <w:rtl/>
        </w:rPr>
        <w:t>, רש"י.</w:t>
      </w:r>
    </w:p>
  </w:footnote>
  <w:footnote w:id="2184">
    <w:p w14:paraId="29406B24" w14:textId="77777777" w:rsidR="00FA2119" w:rsidRDefault="00FA2119" w:rsidP="00FA2119">
      <w:pPr>
        <w:pStyle w:val="a5"/>
        <w:rPr>
          <w:rtl/>
        </w:rPr>
      </w:pPr>
      <w:r>
        <w:rPr>
          <w:rStyle w:val="a7"/>
        </w:rPr>
        <w:footnoteRef/>
      </w:r>
      <w:r>
        <w:rPr>
          <w:rtl/>
        </w:rPr>
        <w:t xml:space="preserve"> </w:t>
      </w:r>
      <w:r>
        <w:rPr>
          <w:rFonts w:cs="Arial"/>
          <w:rtl/>
        </w:rPr>
        <w:t>האי דאמר בטל הוא לשליח הוא דבטליה שלא יהא שלוחו לגרשה בגט זה דאתי דיבור ומבטל דיבור אבל גט שהוא בעין אינו נפסל</w:t>
      </w:r>
      <w:r>
        <w:rPr>
          <w:rtl/>
        </w:rPr>
        <w:t>, רש"י.</w:t>
      </w:r>
    </w:p>
  </w:footnote>
  <w:footnote w:id="2185">
    <w:p w14:paraId="275B1A3F" w14:textId="77777777" w:rsidR="00FA2119" w:rsidRDefault="00FA2119" w:rsidP="00FA2119">
      <w:pPr>
        <w:pStyle w:val="a5"/>
        <w:rPr>
          <w:rtl/>
        </w:rPr>
      </w:pPr>
      <w:r>
        <w:rPr>
          <w:rStyle w:val="a7"/>
        </w:rPr>
        <w:footnoteRef/>
      </w:r>
      <w:r>
        <w:rPr>
          <w:rtl/>
        </w:rPr>
        <w:t xml:space="preserve"> </w:t>
      </w:r>
      <w:r>
        <w:rPr>
          <w:rFonts w:hint="cs"/>
          <w:rtl/>
        </w:rPr>
        <w:t>וכך היא גירסת ר"ח גם בגמרא בגיטין (כ"כ הרמב"ן גיטין לב: בשמו).</w:t>
      </w:r>
    </w:p>
  </w:footnote>
  <w:footnote w:id="2186">
    <w:p w14:paraId="6D0AB861" w14:textId="77777777" w:rsidR="00FA2119" w:rsidRDefault="00FA2119" w:rsidP="00FA2119">
      <w:pPr>
        <w:pStyle w:val="a5"/>
      </w:pPr>
      <w:r>
        <w:rPr>
          <w:rStyle w:val="a7"/>
        </w:rPr>
        <w:footnoteRef/>
      </w:r>
      <w:r>
        <w:rPr>
          <w:rtl/>
        </w:rPr>
        <w:t xml:space="preserve"> </w:t>
      </w:r>
      <w:r>
        <w:rPr>
          <w:rFonts w:cs="Arial"/>
          <w:rtl/>
        </w:rPr>
        <w:t>בין בפני שליח בין שלא בפניו, רש"י.</w:t>
      </w:r>
    </w:p>
  </w:footnote>
  <w:footnote w:id="2187">
    <w:p w14:paraId="4F5044BE" w14:textId="77777777" w:rsidR="00FA2119" w:rsidRDefault="00FA2119" w:rsidP="00FA2119">
      <w:pPr>
        <w:pStyle w:val="a5"/>
      </w:pPr>
      <w:r>
        <w:rPr>
          <w:rStyle w:val="a7"/>
        </w:rPr>
        <w:footnoteRef/>
      </w:r>
      <w:r>
        <w:rPr>
          <w:rtl/>
        </w:rPr>
        <w:t xml:space="preserve"> </w:t>
      </w:r>
      <w:r>
        <w:rPr>
          <w:rFonts w:cs="Arial"/>
          <w:rtl/>
        </w:rPr>
        <w:t>וכתב הרשב"א וכן דעת רבותינו הצרפתים אלא שחשו ואמרו דלמעשה אין להקל בדבר אלא חוששין לו ולכתחלה לא יגרש בו. גם הרא"ש כתב (פ' השולח סי' ד) ויש להשוות פירוש השתי גירסאות דהכי קאמר 'מתורת גט מי בטליה' כלומר אין בו כח לבטלו מתורת גט, דכתיבת הגט לשמה חשיב מעשה, מיהו אין לסמוך על זה לעשות הלכה למעשה אלא אזלינן ביה לחומרא</w:t>
      </w:r>
      <w:r>
        <w:rPr>
          <w:rFonts w:cs="Arial"/>
          <w:sz w:val="16"/>
          <w:szCs w:val="16"/>
          <w:rtl/>
        </w:rPr>
        <w:t xml:space="preserve"> [ע"כ]</w:t>
      </w:r>
      <w:r>
        <w:rPr>
          <w:rFonts w:cs="Arial"/>
          <w:rtl/>
        </w:rPr>
        <w:t>. וכתב הה"מ בפ"ו (הכ"א) שגם הרמב"ן (לב: ד"ה נהי) סבור שאינו יכול לבטלו ושמכל מקום יש לחוש בדבר</w:t>
      </w:r>
      <w:r>
        <w:rPr>
          <w:rtl/>
        </w:rPr>
        <w:t>, ב"י.</w:t>
      </w:r>
    </w:p>
  </w:footnote>
  <w:footnote w:id="2188">
    <w:p w14:paraId="556A0F41" w14:textId="77777777" w:rsidR="00FA2119" w:rsidRDefault="00FA2119" w:rsidP="00FA2119">
      <w:pPr>
        <w:pStyle w:val="a5"/>
        <w:rPr>
          <w:rtl/>
        </w:rPr>
      </w:pPr>
      <w:r>
        <w:rPr>
          <w:rStyle w:val="a7"/>
        </w:rPr>
        <w:footnoteRef/>
      </w:r>
      <w:r>
        <w:rPr>
          <w:rtl/>
        </w:rPr>
        <w:t xml:space="preserve"> </w:t>
      </w:r>
      <w:r>
        <w:rPr>
          <w:rFonts w:cs="Arial"/>
          <w:rtl/>
        </w:rPr>
        <w:t>השולח גט לאשתו, והגיע בשליח ואמר לו גט שנתתי לך בטל הוא, דילמא לא ידעי ליה אינשי דבטליה קודם שיבא לידה, ושמא יתננו השליח לאחר שבטלו ותנשא בו, רש"י. והקשו התוס' (ד"ה ועל) על דבריו האחרונים של רש"י דאטו ברשיעי עסקינן? אלא במבטל שלא בפניו הוא דמנגיד, וכדברי הרמב"ם (פ"ו הכ"ו).</w:t>
      </w:r>
    </w:p>
  </w:footnote>
  <w:footnote w:id="2189">
    <w:p w14:paraId="60D80F79" w14:textId="77777777" w:rsidR="00FA2119" w:rsidRDefault="00FA2119" w:rsidP="00FA2119">
      <w:pPr>
        <w:pStyle w:val="a5"/>
      </w:pPr>
      <w:r>
        <w:rPr>
          <w:rStyle w:val="a7"/>
        </w:rPr>
        <w:footnoteRef/>
      </w:r>
      <w:r>
        <w:rPr>
          <w:rtl/>
        </w:rPr>
        <w:t xml:space="preserve"> </w:t>
      </w:r>
      <w:r>
        <w:rPr>
          <w:rFonts w:hint="cs"/>
          <w:rtl/>
        </w:rPr>
        <w:t xml:space="preserve">וקשה למה הטור לא פסק כהרא"ש, וכן </w:t>
      </w:r>
      <w:r>
        <w:rPr>
          <w:rFonts w:cs="Arial"/>
          <w:rtl/>
        </w:rPr>
        <w:t>בסי' סי' קלד, גבי המוסר מודעא על הגט כתב דמשמתינן אותו, דלא כהרא"ש, וכן בחו"מ סי' ח גבי המצער שד"ר כתב שיש רשות לב"ד להכות אותו. וכן קשה על הרמ"א בסי' כ"ו שהביא דעת הרא"ש וכאן (ובסי' קלד) לא הביא אותו. וכתב הב"ש (בסי' קלד סקי"ב) דקושיות אלו יש לתרץ בטוב דראיתי בבאר שבע (דף צט) כתב דנהרדעי לא פליגי אלא בענין קידושין דאין מלקין אלא מאן דמקדש בביאה, אבל בשאר דברים ל"פ, לפ"ז אע"ג דהרא"ש פוסק כנהרדעי מ"מ כאן מודה וכן בשליח ב"ד דמלקים אותו, לכן הביא הרב רמ"א בסי' כ"ו בענין קידושין דעת הרא"ש ולא כאן ולא בחו"מ.</w:t>
      </w:r>
    </w:p>
  </w:footnote>
  <w:footnote w:id="2190">
    <w:p w14:paraId="5BD66D25" w14:textId="28E50E9A" w:rsidR="00FA2119" w:rsidRDefault="00FA2119" w:rsidP="00FA2119">
      <w:pPr>
        <w:pStyle w:val="a5"/>
      </w:pPr>
      <w:r>
        <w:rPr>
          <w:rStyle w:val="a7"/>
        </w:rPr>
        <w:footnoteRef/>
      </w:r>
      <w:r>
        <w:rPr>
          <w:rtl/>
        </w:rPr>
        <w:t xml:space="preserve"> </w:t>
      </w:r>
      <w:r>
        <w:rPr>
          <w:rFonts w:cs="Arial"/>
          <w:rtl/>
        </w:rPr>
        <w:t xml:space="preserve">כ' </w:t>
      </w:r>
      <w:r w:rsidR="009334FF">
        <w:rPr>
          <w:rFonts w:cs="Arial"/>
          <w:rtl/>
        </w:rPr>
        <w:t>בהג"ה</w:t>
      </w:r>
      <w:r>
        <w:rPr>
          <w:rFonts w:cs="Arial"/>
          <w:rtl/>
        </w:rPr>
        <w:t>ת יד אפרים ודוקא בכה"ג שביטל שלא בפני השליח, אבל בפני השליח אין חשש ממזרות, ודלא כרש"י בקידושין דף י"ב כן כתבו התוס' שם. ואם ביטלו בפני אחד לכאורה ג"כ לא מנגדינן ליה, שהרי לא הועיל ביטולו ואין חשש ממזרות. אבל התוס' שם כתבו דאף למ"ד אינו מבוטל מ"מ הרי מוציא לעז על הגט. אך אפשר לומר דבאחד ליכא הוצאת לעז. ועוד דחד לא מהימן להלקותו על ידו, וע"י הודאת פיו אין נראה להלקותו. אמנם אם ביטל בפני ב' זה שלא בפני זה לדעת התוס' אע"פ שהביטול אינו מועיל - מ"מ לוקה משום הוצאת לעז עכ"ל, פת"ש (ס"ק סו).</w:t>
      </w:r>
    </w:p>
  </w:footnote>
  <w:footnote w:id="2191">
    <w:p w14:paraId="77B8B1A1" w14:textId="2DD3BE1C" w:rsidR="002B6FE4" w:rsidRDefault="002B6FE4" w:rsidP="002B6FE4">
      <w:pPr>
        <w:pStyle w:val="a5"/>
      </w:pPr>
      <w:r>
        <w:rPr>
          <w:rStyle w:val="a7"/>
        </w:rPr>
        <w:footnoteRef/>
      </w:r>
      <w:r>
        <w:rPr>
          <w:rtl/>
        </w:rPr>
        <w:t xml:space="preserve"> </w:t>
      </w:r>
      <w:r>
        <w:rPr>
          <w:rFonts w:cs="Arial" w:hint="cs"/>
          <w:rtl/>
        </w:rPr>
        <w:t>סימן - כתב חולה.</w:t>
      </w:r>
    </w:p>
  </w:footnote>
  <w:footnote w:id="2192">
    <w:p w14:paraId="4C261CA0" w14:textId="77777777" w:rsidR="00FA2119" w:rsidRDefault="00FA2119" w:rsidP="00FA2119">
      <w:pPr>
        <w:pStyle w:val="a5"/>
      </w:pPr>
      <w:r>
        <w:rPr>
          <w:rStyle w:val="a7"/>
        </w:rPr>
        <w:footnoteRef/>
      </w:r>
      <w:r>
        <w:rPr>
          <w:rtl/>
        </w:rPr>
        <w:t xml:space="preserve"> </w:t>
      </w:r>
      <w:r>
        <w:rPr>
          <w:rFonts w:cs="Arial"/>
          <w:rtl/>
        </w:rPr>
        <w:t>ולא חיישינן שמא מת ובטל שליחותו ומדאורייתא נפקא לן בהכל שוחטין (חולין י:) העמד דבר על חזקתו, רש"י.</w:t>
      </w:r>
    </w:p>
  </w:footnote>
  <w:footnote w:id="2193">
    <w:p w14:paraId="6D250D73" w14:textId="77777777" w:rsidR="00FA2119" w:rsidRDefault="00FA2119" w:rsidP="00FA2119">
      <w:pPr>
        <w:pStyle w:val="a5"/>
      </w:pPr>
      <w:r>
        <w:rPr>
          <w:rStyle w:val="a7"/>
        </w:rPr>
        <w:footnoteRef/>
      </w:r>
      <w:r>
        <w:rPr>
          <w:rtl/>
        </w:rPr>
        <w:t xml:space="preserve"> </w:t>
      </w:r>
      <w:r>
        <w:rPr>
          <w:rFonts w:cs="Arial"/>
          <w:rtl/>
        </w:rPr>
        <w:t>שמונים שנה לישנא דקרא (תהלים צ), רש"י.</w:t>
      </w:r>
    </w:p>
  </w:footnote>
  <w:footnote w:id="2194">
    <w:p w14:paraId="4181E120" w14:textId="77777777" w:rsidR="00FA2119" w:rsidRDefault="00FA2119" w:rsidP="00FA2119">
      <w:pPr>
        <w:pStyle w:val="a5"/>
      </w:pPr>
      <w:r>
        <w:rPr>
          <w:rStyle w:val="a7"/>
        </w:rPr>
        <w:footnoteRef/>
      </w:r>
      <w:r>
        <w:rPr>
          <w:rtl/>
        </w:rPr>
        <w:t xml:space="preserve"> </w:t>
      </w:r>
      <w:r>
        <w:rPr>
          <w:rFonts w:cs="Arial"/>
          <w:rtl/>
        </w:rPr>
        <w:t>או חולה, דמתני' דוקא חולה ולא גוסס, רש"י.</w:t>
      </w:r>
    </w:p>
  </w:footnote>
  <w:footnote w:id="2195">
    <w:p w14:paraId="2EA65547" w14:textId="77777777" w:rsidR="00FA2119" w:rsidRDefault="00FA2119" w:rsidP="00FA2119">
      <w:pPr>
        <w:pStyle w:val="a5"/>
      </w:pPr>
      <w:r>
        <w:rPr>
          <w:rStyle w:val="a7"/>
        </w:rPr>
        <w:footnoteRef/>
      </w:r>
      <w:r>
        <w:rPr>
          <w:rtl/>
        </w:rPr>
        <w:t xml:space="preserve"> </w:t>
      </w:r>
      <w:r>
        <w:rPr>
          <w:rFonts w:cs="Arial"/>
          <w:rtl/>
        </w:rPr>
        <w:t>משאר דרך כל הארץ שהאריך ימים עד מאה שנה, רש"י.</w:t>
      </w:r>
    </w:p>
  </w:footnote>
  <w:footnote w:id="2196">
    <w:p w14:paraId="3E2257AA" w14:textId="77777777" w:rsidR="00FA2119" w:rsidRDefault="00FA2119" w:rsidP="00FA2119">
      <w:pPr>
        <w:pStyle w:val="a5"/>
      </w:pPr>
      <w:r>
        <w:rPr>
          <w:rStyle w:val="a7"/>
        </w:rPr>
        <w:footnoteRef/>
      </w:r>
      <w:r>
        <w:rPr>
          <w:rtl/>
        </w:rPr>
        <w:t xml:space="preserve"> </w:t>
      </w:r>
      <w:r>
        <w:rPr>
          <w:rFonts w:cs="Arial"/>
          <w:rtl/>
        </w:rPr>
        <w:t>ואינו כשאר האדם להיות קרוב למות אבל בן שמונים ואחת או יותר עד תשעים קרוב למות הוא, רש"י.</w:t>
      </w:r>
    </w:p>
  </w:footnote>
  <w:footnote w:id="2197">
    <w:p w14:paraId="4689EA8D" w14:textId="77777777" w:rsidR="00FA2119" w:rsidRDefault="00FA2119" w:rsidP="00FA2119">
      <w:pPr>
        <w:pStyle w:val="a5"/>
      </w:pPr>
      <w:r>
        <w:rPr>
          <w:rStyle w:val="a7"/>
        </w:rPr>
        <w:footnoteRef/>
      </w:r>
      <w:r>
        <w:rPr>
          <w:rtl/>
        </w:rPr>
        <w:t xml:space="preserve"> </w:t>
      </w:r>
      <w:r>
        <w:rPr>
          <w:rFonts w:cs="Arial"/>
          <w:rtl/>
        </w:rPr>
        <w:t>ופשוט הוא דאל"כ אי אפשר ליתן שום גט ע"י שליח דניחוש שמא ביטלו, ב"י.</w:t>
      </w:r>
    </w:p>
  </w:footnote>
  <w:footnote w:id="2198">
    <w:p w14:paraId="33F7FC3D" w14:textId="75438B4F" w:rsidR="00FA2119" w:rsidRDefault="00FA2119" w:rsidP="00FA2119">
      <w:pPr>
        <w:pStyle w:val="a5"/>
      </w:pPr>
      <w:r>
        <w:rPr>
          <w:rStyle w:val="a7"/>
        </w:rPr>
        <w:footnoteRef/>
      </w:r>
      <w:r>
        <w:rPr>
          <w:rtl/>
        </w:rPr>
        <w:t xml:space="preserve"> </w:t>
      </w:r>
      <w:r>
        <w:rPr>
          <w:rFonts w:cs="Arial"/>
          <w:rtl/>
        </w:rPr>
        <w:t xml:space="preserve">מצאתי כתוב </w:t>
      </w:r>
      <w:r w:rsidR="009334FF">
        <w:rPr>
          <w:rFonts w:cs="Arial"/>
          <w:rtl/>
        </w:rPr>
        <w:t>בהג"ה</w:t>
      </w:r>
      <w:r>
        <w:rPr>
          <w:rFonts w:cs="Arial"/>
          <w:rtl/>
        </w:rPr>
        <w:t xml:space="preserve">' אלפסי </w:t>
      </w:r>
      <w:r>
        <w:rPr>
          <w:rFonts w:cs="Arial"/>
          <w:sz w:val="16"/>
          <w:szCs w:val="16"/>
          <w:rtl/>
        </w:rPr>
        <w:t xml:space="preserve">(שלט"ג יד. אות ג) </w:t>
      </w:r>
      <w:r>
        <w:rPr>
          <w:rFonts w:cs="Arial"/>
          <w:rtl/>
        </w:rPr>
        <w:t>דוקא חולה בידי שמים אבל אם הוכה ונעשה טריפה חיישינן שמא מת וע"ש, דרכ"מ (אות מד).</w:t>
      </w:r>
    </w:p>
  </w:footnote>
  <w:footnote w:id="2199">
    <w:p w14:paraId="4B9481E8" w14:textId="77777777" w:rsidR="00FA2119" w:rsidRDefault="00FA2119" w:rsidP="00FA2119">
      <w:pPr>
        <w:pStyle w:val="a5"/>
        <w:rPr>
          <w:rtl/>
        </w:rPr>
      </w:pPr>
      <w:r>
        <w:rPr>
          <w:rStyle w:val="a7"/>
        </w:rPr>
        <w:footnoteRef/>
      </w:r>
      <w:r>
        <w:rPr>
          <w:rtl/>
        </w:rPr>
        <w:t xml:space="preserve"> </w:t>
      </w:r>
      <w:r>
        <w:rPr>
          <w:rFonts w:cs="Arial"/>
          <w:rtl/>
        </w:rPr>
        <w:t>אבל כל זמן שהוא חי יכול לגרש כדפרישית לעיל (סי' קכא)</w:t>
      </w:r>
      <w:r>
        <w:rPr>
          <w:rtl/>
        </w:rPr>
        <w:t>, טור.</w:t>
      </w:r>
    </w:p>
  </w:footnote>
  <w:footnote w:id="2200">
    <w:p w14:paraId="1B4881A4" w14:textId="23F439A6" w:rsidR="00FA2119" w:rsidRDefault="00FA2119" w:rsidP="00FA2119">
      <w:pPr>
        <w:pStyle w:val="a5"/>
        <w:rPr>
          <w:rtl/>
        </w:rPr>
      </w:pPr>
      <w:r>
        <w:rPr>
          <w:rStyle w:val="a7"/>
        </w:rPr>
        <w:footnoteRef/>
      </w:r>
      <w:r>
        <w:rPr>
          <w:rtl/>
        </w:rPr>
        <w:t xml:space="preserve"> </w:t>
      </w:r>
      <w:r>
        <w:rPr>
          <w:rFonts w:cs="Arial"/>
          <w:rtl/>
        </w:rPr>
        <w:t xml:space="preserve">עיין בגליון המשניות פ"ג דגיטין בתוספת </w:t>
      </w:r>
      <w:r>
        <w:rPr>
          <w:rFonts w:cs="Arial"/>
          <w:b/>
          <w:bCs/>
          <w:rtl/>
        </w:rPr>
        <w:t>ר' עקיבא איגר</w:t>
      </w:r>
      <w:r>
        <w:rPr>
          <w:rFonts w:cs="Arial"/>
          <w:rtl/>
        </w:rPr>
        <w:t xml:space="preserve"> ז"ל (אות כז) שהביא דברי </w:t>
      </w:r>
      <w:r>
        <w:rPr>
          <w:rFonts w:cs="Arial"/>
          <w:b/>
          <w:bCs/>
          <w:rtl/>
        </w:rPr>
        <w:t>היש"ש</w:t>
      </w:r>
      <w:r>
        <w:rPr>
          <w:rFonts w:cs="Arial"/>
          <w:rtl/>
        </w:rPr>
        <w:t xml:space="preserve"> שכתב דה"ה זקן שהוא חולה. והא דנקט או חולה היינו משום הדיוק דוקא חולה אבל גוסס לא מש"ה הוי רבותא דאפי' אינו זקן ג"כ דוקא חולה אבל לא גוסס ע"ש. ועיין בס' </w:t>
      </w:r>
      <w:r>
        <w:rPr>
          <w:rFonts w:cs="Arial"/>
          <w:b/>
          <w:bCs/>
          <w:rtl/>
        </w:rPr>
        <w:t>בית מאיר</w:t>
      </w:r>
      <w:r>
        <w:rPr>
          <w:rFonts w:cs="Arial"/>
          <w:rtl/>
        </w:rPr>
        <w:t xml:space="preserve"> הביא בשם יש"ש הנ"ל שמחלק מדעתיה דנפשיה בין זקן בן שבעים דה"ה חולה נמי ובן שמונים והוא חולה אין נותנים בחזקת חיים ובן מאה אפילו הוא חולה לא חיישי'. והוא ז"ל כתב עליו שכל דבריו אין נוחים בזה כלל כי הם מבלי יסוד ונקיט שטה לנפשיה שלא בדרך הראשונים ואולם משתיקתן של ראשונים ז"ל איכא למשמע דה"ה אף זקן וחולה דאל"ה לא הוה שתק מלהשמיענו חילוק זה וצ"ע עכ"ד</w:t>
      </w:r>
      <w:r>
        <w:rPr>
          <w:rtl/>
        </w:rPr>
        <w:t>, פת"ש (ס"ק סח).</w:t>
      </w:r>
    </w:p>
  </w:footnote>
  <w:footnote w:id="2201">
    <w:p w14:paraId="47A23AAF" w14:textId="57E117B0" w:rsidR="00FA2119" w:rsidRDefault="00FA2119" w:rsidP="00FA2119">
      <w:pPr>
        <w:pStyle w:val="a5"/>
        <w:rPr>
          <w:rtl/>
        </w:rPr>
      </w:pPr>
      <w:r>
        <w:rPr>
          <w:rStyle w:val="a7"/>
        </w:rPr>
        <w:footnoteRef/>
      </w:r>
      <w:r>
        <w:rPr>
          <w:rtl/>
        </w:rPr>
        <w:t xml:space="preserve"> </w:t>
      </w:r>
      <w:r>
        <w:rPr>
          <w:rFonts w:cs="Arial"/>
          <w:rtl/>
        </w:rPr>
        <w:t>עיין ס"ס קכ"א דוקא גוסס המדבר יכול לגרש</w:t>
      </w:r>
      <w:r w:rsidR="00A359F6">
        <w:rPr>
          <w:rFonts w:cs="Arial" w:hint="cs"/>
          <w:rtl/>
        </w:rPr>
        <w:t>,</w:t>
      </w:r>
      <w:r>
        <w:rPr>
          <w:rFonts w:cs="Arial"/>
          <w:rtl/>
        </w:rPr>
        <w:t xml:space="preserve"> ואיירי הכא כשהוא מדבר</w:t>
      </w:r>
      <w:r w:rsidR="00A359F6">
        <w:rPr>
          <w:rFonts w:cs="Arial" w:hint="cs"/>
          <w:rtl/>
        </w:rPr>
        <w:t>.</w:t>
      </w:r>
      <w:r>
        <w:rPr>
          <w:rFonts w:cs="Arial"/>
          <w:rtl/>
        </w:rPr>
        <w:t xml:space="preserve"> אבל אם הוא עכשיו אינו מדבר אפי' אם הוא חי עדיין ובעת שמסר הגט ליד השליח היה מדבר יש לחוש שמא עכשיו מטורף דעתו דהא גוסס צריך בדיקה</w:t>
      </w:r>
      <w:r w:rsidR="00A359F6">
        <w:rPr>
          <w:rFonts w:cs="Arial" w:hint="cs"/>
          <w:rtl/>
        </w:rPr>
        <w:t>.</w:t>
      </w:r>
      <w:r>
        <w:rPr>
          <w:rFonts w:cs="Arial"/>
          <w:rtl/>
        </w:rPr>
        <w:t xml:space="preserve"> מיהו י"ל כיון בעת שמסר הגט היה מדבר והיה מיושב בדעתו אע</w:t>
      </w:r>
      <w:r w:rsidR="00281B11">
        <w:rPr>
          <w:rFonts w:cs="Arial" w:hint="cs"/>
          <w:rtl/>
        </w:rPr>
        <w:t>"</w:t>
      </w:r>
      <w:r>
        <w:rPr>
          <w:rFonts w:cs="Arial"/>
          <w:rtl/>
        </w:rPr>
        <w:t>ג אח"כ נעשה אלם ואינו מדבר א"צ בדיקה כיון שהיה גוסס והיה מיושב</w:t>
      </w:r>
      <w:r w:rsidR="00A359F6">
        <w:rPr>
          <w:rFonts w:cs="Arial" w:hint="cs"/>
          <w:rtl/>
        </w:rPr>
        <w:t>.</w:t>
      </w:r>
      <w:r>
        <w:rPr>
          <w:rFonts w:cs="Arial"/>
          <w:rtl/>
        </w:rPr>
        <w:t xml:space="preserve"> וב"ח כתב אם מסר הגט קודם שהיה גוסס יכול השליח למסור הגט בעת שנעשה גוסס ואצ"ל אם יש לחוש שתטרוף דעתו אחר שנעשה גוסס כגון שאינו מדבר ואם נתן הגט אחר שנעשה גוסס ואינו מדבר אז הוא ספק שמא תטרוף דעתו</w:t>
      </w:r>
      <w:r>
        <w:rPr>
          <w:rtl/>
        </w:rPr>
        <w:t>, ב"ש (סקק"ה).</w:t>
      </w:r>
    </w:p>
  </w:footnote>
  <w:footnote w:id="2202">
    <w:p w14:paraId="35B217B4" w14:textId="260B94A0" w:rsidR="00FA2119" w:rsidRDefault="00FA2119" w:rsidP="00FA2119">
      <w:pPr>
        <w:pStyle w:val="a5"/>
        <w:rPr>
          <w:rtl/>
        </w:rPr>
      </w:pPr>
      <w:r>
        <w:rPr>
          <w:rStyle w:val="a7"/>
        </w:rPr>
        <w:footnoteRef/>
      </w:r>
      <w:r>
        <w:rPr>
          <w:rtl/>
        </w:rPr>
        <w:t xml:space="preserve"> </w:t>
      </w:r>
      <w:r>
        <w:rPr>
          <w:rFonts w:cs="Arial"/>
          <w:rtl/>
        </w:rPr>
        <w:t xml:space="preserve">דאין לו להחזיקה בספק גרושה, כ"כ המגיד </w:t>
      </w:r>
      <w:r>
        <w:rPr>
          <w:rFonts w:cs="Arial"/>
          <w:sz w:val="16"/>
          <w:szCs w:val="16"/>
          <w:rtl/>
        </w:rPr>
        <w:t>{המעיין במ"מ יראה שלא כתב כן אלא על המשך דברי הרמב"ם גבי עיר שכבשוה, ע"פ פת"ש [ס"ק סט]}</w:t>
      </w:r>
      <w:r>
        <w:rPr>
          <w:rFonts w:cs="Arial"/>
          <w:rtl/>
        </w:rPr>
        <w:t>. והנה אם היא זקוקה ליבם שפיר טעם זה</w:t>
      </w:r>
      <w:r w:rsidR="00A359F6">
        <w:rPr>
          <w:rFonts w:cs="Arial" w:hint="cs"/>
          <w:rtl/>
        </w:rPr>
        <w:t>,</w:t>
      </w:r>
      <w:r>
        <w:rPr>
          <w:rFonts w:cs="Arial"/>
          <w:rtl/>
        </w:rPr>
        <w:t xml:space="preserve"> אבל כשאינה זקוקה ליבם ורוצה ליתן לה גט ותנשא לישראל י"ל דאין שום חשש איסור</w:t>
      </w:r>
      <w:r w:rsidR="00A359F6">
        <w:rPr>
          <w:rFonts w:cs="Arial" w:hint="cs"/>
          <w:rtl/>
        </w:rPr>
        <w:t>,</w:t>
      </w:r>
      <w:r>
        <w:rPr>
          <w:rFonts w:cs="Arial"/>
          <w:rtl/>
        </w:rPr>
        <w:t xml:space="preserve"> ועיין בתשובת רש"ך (ח"ב סי' לט)</w:t>
      </w:r>
      <w:r>
        <w:rPr>
          <w:rtl/>
        </w:rPr>
        <w:t>, ב"ש (סקק"ו).</w:t>
      </w:r>
      <w:r>
        <w:rPr>
          <w:rFonts w:cs="Arial"/>
          <w:rtl/>
        </w:rPr>
        <w:t xml:space="preserve"> </w:t>
      </w:r>
      <w:r>
        <w:rPr>
          <w:rFonts w:cs="Arial"/>
          <w:sz w:val="16"/>
          <w:szCs w:val="16"/>
          <w:rtl/>
        </w:rPr>
        <w:t>(מה שרמז הב"ש לעיין בתשו' רש"ך (שם) כוונתו שגם הוא ז"ל העלה שם דמ"ש הרמב"ם דלכתחלה לא יתננו היינו דוקא במקום יבם אבל היכא דליכא יבם ליכא למיחש למידי וכ' שם דחלקו עליו ורצו לאסור ליתנו לה אפי' שלא במקום יבום ובטל הרב סברתם יעו"ש. וע' עוד בזה בתשו' לחם רב [סי' לג] ובתשו' מהרי"ט [ח"א ר"ס סו] ובת' ברית אברהם [ס"ס ס"ד], פת"ש [ס"ק סט]).</w:t>
      </w:r>
    </w:p>
  </w:footnote>
  <w:footnote w:id="2203">
    <w:p w14:paraId="0C441CDA" w14:textId="77777777" w:rsidR="00FA2119" w:rsidRDefault="00FA2119" w:rsidP="00FA2119">
      <w:pPr>
        <w:pStyle w:val="a5"/>
        <w:rPr>
          <w:rtl/>
        </w:rPr>
      </w:pPr>
      <w:r>
        <w:rPr>
          <w:rStyle w:val="a7"/>
        </w:rPr>
        <w:footnoteRef/>
      </w:r>
      <w:r>
        <w:rPr>
          <w:rtl/>
        </w:rPr>
        <w:t xml:space="preserve"> </w:t>
      </w:r>
      <w:r>
        <w:rPr>
          <w:rFonts w:cs="Arial"/>
          <w:rtl/>
        </w:rPr>
        <w:t>ששמו סביבות העיר זוגין ושלשלאות ברזל שישמיעו קול כשירוץ איש עליהם או ששמו סביב העיר כלבים ואווזין ותרנגולים שיזעקו בבוא בן אדם לצאת חוצה, קרבן העדה.</w:t>
      </w:r>
    </w:p>
  </w:footnote>
  <w:footnote w:id="2204">
    <w:p w14:paraId="2C137D1C" w14:textId="77777777" w:rsidR="00FA2119" w:rsidRDefault="00FA2119" w:rsidP="00FA2119">
      <w:pPr>
        <w:pStyle w:val="a5"/>
      </w:pPr>
      <w:r>
        <w:rPr>
          <w:rStyle w:val="a7"/>
        </w:rPr>
        <w:footnoteRef/>
      </w:r>
      <w:r>
        <w:rPr>
          <w:rtl/>
        </w:rPr>
        <w:t xml:space="preserve"> </w:t>
      </w:r>
      <w:r>
        <w:rPr>
          <w:rFonts w:cs="Arial"/>
          <w:rtl/>
        </w:rPr>
        <w:t>חיילות משמרין את העיר סביב, קרבן העדה.</w:t>
      </w:r>
    </w:p>
  </w:footnote>
  <w:footnote w:id="2205">
    <w:p w14:paraId="02B37191" w14:textId="77777777" w:rsidR="00FA2119" w:rsidRDefault="00FA2119" w:rsidP="00FA2119">
      <w:pPr>
        <w:pStyle w:val="a5"/>
      </w:pPr>
      <w:r>
        <w:rPr>
          <w:rStyle w:val="a7"/>
        </w:rPr>
        <w:footnoteRef/>
      </w:r>
      <w:r>
        <w:rPr>
          <w:rtl/>
        </w:rPr>
        <w:t xml:space="preserve"> </w:t>
      </w:r>
      <w:r>
        <w:rPr>
          <w:rFonts w:cs="Arial"/>
          <w:rtl/>
        </w:rPr>
        <w:t>קאי אהא דתנן פ"ב דכתובות עיר שכבשה כרקום כל הכהנות שבתוכה פסולות וקאמר מעשה היה בעיר שהקיפוה כרקום שברחה משם סומא אחת והכשירו כל הנשים דכי היכי דברחה היא יש לכל אחת מגו לומר שברחה משם ומותרת, קרבן העדה.</w:t>
      </w:r>
    </w:p>
  </w:footnote>
  <w:footnote w:id="2206">
    <w:p w14:paraId="39188BB6" w14:textId="77777777" w:rsidR="00FA2119" w:rsidRDefault="00FA2119" w:rsidP="00FA2119">
      <w:pPr>
        <w:pStyle w:val="a5"/>
      </w:pPr>
      <w:r>
        <w:rPr>
          <w:rStyle w:val="a7"/>
        </w:rPr>
        <w:footnoteRef/>
      </w:r>
      <w:r>
        <w:rPr>
          <w:rtl/>
        </w:rPr>
        <w:t xml:space="preserve"> </w:t>
      </w:r>
      <w:r>
        <w:rPr>
          <w:rFonts w:cs="Arial"/>
          <w:rtl/>
        </w:rPr>
        <w:t>שיכולין לצאת משם מצלת על כל הכהנות שבעיר, קרבן העדה.</w:t>
      </w:r>
    </w:p>
  </w:footnote>
  <w:footnote w:id="2207">
    <w:p w14:paraId="7DB49C42" w14:textId="77777777" w:rsidR="00FA2119" w:rsidRDefault="00FA2119" w:rsidP="00FA2119">
      <w:pPr>
        <w:pStyle w:val="a5"/>
      </w:pPr>
      <w:r>
        <w:rPr>
          <w:rStyle w:val="a7"/>
        </w:rPr>
        <w:footnoteRef/>
      </w:r>
      <w:r>
        <w:rPr>
          <w:rtl/>
        </w:rPr>
        <w:t xml:space="preserve"> </w:t>
      </w:r>
      <w:r>
        <w:rPr>
          <w:rFonts w:cs="Arial"/>
          <w:rtl/>
        </w:rPr>
        <w:t>בעיר ההיא מחבואה אחת שיכולה אשה אחת להסתתר בתוכה שלא יכירו בה האויבים מיבעיא לן מי מצלת על הכל דכל חדא וחדא אמרינן היינו הא או לא אמרינן הכי וכולן אסורות, קרבן העדה.</w:t>
      </w:r>
    </w:p>
  </w:footnote>
  <w:footnote w:id="2208">
    <w:p w14:paraId="14DB8A56" w14:textId="77777777" w:rsidR="00FA2119" w:rsidRDefault="00FA2119" w:rsidP="00FA2119">
      <w:pPr>
        <w:pStyle w:val="a5"/>
      </w:pPr>
      <w:r>
        <w:rPr>
          <w:rStyle w:val="a7"/>
        </w:rPr>
        <w:footnoteRef/>
      </w:r>
      <w:r>
        <w:rPr>
          <w:rtl/>
        </w:rPr>
        <w:t xml:space="preserve"> </w:t>
      </w:r>
      <w:r>
        <w:rPr>
          <w:rFonts w:cs="Arial"/>
          <w:rtl/>
        </w:rPr>
        <w:t>שיושבין בטח ואין עליהם אימה לפי שאין מחנה אחריהן ויש להן פנאי לבעול אבל כרקום של מלכות אחרת שאימת מלכות שבאה בגבולה עליהן פן יבואו אחריהן אין להן פנאי והרי הן כלסטים, קרבן העדה.</w:t>
      </w:r>
    </w:p>
  </w:footnote>
  <w:footnote w:id="2209">
    <w:p w14:paraId="4556D08C" w14:textId="76D710FA" w:rsidR="00FA2119" w:rsidRDefault="00FA2119" w:rsidP="00FA2119">
      <w:pPr>
        <w:pStyle w:val="a5"/>
      </w:pPr>
      <w:r>
        <w:rPr>
          <w:rStyle w:val="a7"/>
        </w:rPr>
        <w:footnoteRef/>
      </w:r>
      <w:r>
        <w:rPr>
          <w:rtl/>
        </w:rPr>
        <w:t xml:space="preserve"> </w:t>
      </w:r>
      <w:r w:rsidR="000A0F5A">
        <w:rPr>
          <w:rFonts w:cs="Arial"/>
          <w:rtl/>
        </w:rPr>
        <w:t>וז"ל:</w:t>
      </w:r>
      <w:r>
        <w:rPr>
          <w:rFonts w:cs="Arial"/>
          <w:rtl/>
        </w:rPr>
        <w:t xml:space="preserve"> ירושלמי רבי זעירא ר' אבא בר זבדא רבי יצחק בר חקולא בשם רבי יודן נסייא: ובלבד כרקום של אותה מלכות, אבל כרקום של מלכות אחרת כליסטים הם</w:t>
      </w:r>
      <w:r>
        <w:rPr>
          <w:rtl/>
        </w:rPr>
        <w:t>.</w:t>
      </w:r>
    </w:p>
  </w:footnote>
  <w:footnote w:id="2210">
    <w:p w14:paraId="2E8B5364" w14:textId="77777777" w:rsidR="00FA2119" w:rsidRDefault="00FA2119" w:rsidP="00FA2119">
      <w:pPr>
        <w:pStyle w:val="a5"/>
        <w:rPr>
          <w:rtl/>
        </w:rPr>
      </w:pPr>
      <w:r>
        <w:rPr>
          <w:rStyle w:val="a7"/>
        </w:rPr>
        <w:footnoteRef/>
      </w:r>
      <w:r>
        <w:rPr>
          <w:rtl/>
        </w:rPr>
        <w:t xml:space="preserve"> </w:t>
      </w:r>
      <w:r>
        <w:rPr>
          <w:rFonts w:cs="Arial"/>
          <w:rtl/>
        </w:rPr>
        <w:t>וחסר בלשון רבינו מי שנפלה עליו מפולת אולי טעות סופר הוא, ב"י.</w:t>
      </w:r>
    </w:p>
  </w:footnote>
  <w:footnote w:id="2211">
    <w:p w14:paraId="320AF693" w14:textId="77777777" w:rsidR="00FA2119" w:rsidRDefault="00FA2119" w:rsidP="00FA2119">
      <w:pPr>
        <w:pStyle w:val="a5"/>
      </w:pPr>
      <w:r>
        <w:rPr>
          <w:rStyle w:val="a7"/>
        </w:rPr>
        <w:footnoteRef/>
      </w:r>
      <w:r>
        <w:rPr>
          <w:rtl/>
        </w:rPr>
        <w:t xml:space="preserve"> </w:t>
      </w:r>
      <w:r>
        <w:rPr>
          <w:rFonts w:cs="Arial"/>
          <w:rtl/>
        </w:rPr>
        <w:t>דיוצא ליהרג נותנין עליו חומרי חיים</w:t>
      </w:r>
      <w:r>
        <w:rPr>
          <w:rtl/>
        </w:rPr>
        <w:t>, רש"י.</w:t>
      </w:r>
    </w:p>
  </w:footnote>
  <w:footnote w:id="2212">
    <w:p w14:paraId="69A237AC" w14:textId="77777777" w:rsidR="00FA2119" w:rsidRDefault="00FA2119" w:rsidP="00FA2119">
      <w:pPr>
        <w:pStyle w:val="a5"/>
        <w:rPr>
          <w:rtl/>
        </w:rPr>
      </w:pPr>
      <w:r>
        <w:rPr>
          <w:rStyle w:val="a7"/>
        </w:rPr>
        <w:footnoteRef/>
      </w:r>
      <w:r>
        <w:rPr>
          <w:rtl/>
        </w:rPr>
        <w:t xml:space="preserve"> </w:t>
      </w:r>
      <w:r>
        <w:rPr>
          <w:rFonts w:cs="Arial"/>
          <w:rtl/>
        </w:rPr>
        <w:t>שלאחר גמר דין זימנין דחזו ליה זכותא ומחזירין אותו כדאמרינן בנגמר הדין (סנהדרין מב:) הסוס רץ ומעמידו, רש"י.</w:t>
      </w:r>
    </w:p>
  </w:footnote>
  <w:footnote w:id="2213">
    <w:p w14:paraId="0F3EAC43" w14:textId="77777777" w:rsidR="00FA2119" w:rsidRDefault="00FA2119" w:rsidP="00FA2119">
      <w:pPr>
        <w:pStyle w:val="a5"/>
      </w:pPr>
      <w:r>
        <w:rPr>
          <w:rStyle w:val="a7"/>
        </w:rPr>
        <w:footnoteRef/>
      </w:r>
      <w:r>
        <w:rPr>
          <w:rtl/>
        </w:rPr>
        <w:t xml:space="preserve"> </w:t>
      </w:r>
      <w:r>
        <w:rPr>
          <w:rFonts w:cs="Arial"/>
          <w:rtl/>
        </w:rPr>
        <w:t>לשון פרסי הוא פסק דין, רש"י. ורבינו חננאל פירש דיין גדול שלהם.</w:t>
      </w:r>
    </w:p>
  </w:footnote>
  <w:footnote w:id="2214">
    <w:p w14:paraId="72633398" w14:textId="77777777" w:rsidR="00FA2119" w:rsidRDefault="00FA2119" w:rsidP="00FA2119">
      <w:pPr>
        <w:pStyle w:val="a5"/>
      </w:pPr>
      <w:r>
        <w:rPr>
          <w:rStyle w:val="a7"/>
        </w:rPr>
        <w:footnoteRef/>
      </w:r>
      <w:r>
        <w:rPr>
          <w:rtl/>
        </w:rPr>
        <w:t xml:space="preserve"> </w:t>
      </w:r>
      <w:r>
        <w:rPr>
          <w:rFonts w:cs="Arial"/>
          <w:rtl/>
        </w:rPr>
        <w:t>שאינה תפארת להם, רש"י.</w:t>
      </w:r>
    </w:p>
  </w:footnote>
  <w:footnote w:id="2215">
    <w:p w14:paraId="62BF4354" w14:textId="77777777" w:rsidR="00FA2119" w:rsidRDefault="00FA2119" w:rsidP="00FA2119">
      <w:pPr>
        <w:pStyle w:val="a5"/>
      </w:pPr>
      <w:r>
        <w:rPr>
          <w:rStyle w:val="a7"/>
        </w:rPr>
        <w:footnoteRef/>
      </w:r>
      <w:r>
        <w:rPr>
          <w:rtl/>
        </w:rPr>
        <w:t xml:space="preserve"> </w:t>
      </w:r>
      <w:r>
        <w:rPr>
          <w:rFonts w:cs="Arial"/>
          <w:rtl/>
        </w:rPr>
        <w:t>כי הכא שמתפארים שהרגו בדין.</w:t>
      </w:r>
      <w:r>
        <w:rPr>
          <w:rtl/>
        </w:rPr>
        <w:t xml:space="preserve"> </w:t>
      </w:r>
      <w:r>
        <w:rPr>
          <w:rFonts w:cs="Arial"/>
          <w:rtl/>
        </w:rPr>
        <w:t>עבידי לשקר - ולומר נהרג ואף על פי שלא ראוהו אלא יוצא לידון, רש"י.</w:t>
      </w:r>
    </w:p>
  </w:footnote>
  <w:footnote w:id="2216">
    <w:p w14:paraId="5E86EA1F" w14:textId="77777777" w:rsidR="00FA2119" w:rsidRDefault="00FA2119" w:rsidP="00FA2119">
      <w:pPr>
        <w:pStyle w:val="a5"/>
      </w:pPr>
      <w:r>
        <w:rPr>
          <w:rStyle w:val="a7"/>
        </w:rPr>
        <w:footnoteRef/>
      </w:r>
      <w:r>
        <w:rPr>
          <w:rtl/>
        </w:rPr>
        <w:t xml:space="preserve"> </w:t>
      </w:r>
      <w:r>
        <w:rPr>
          <w:rFonts w:cs="Arial"/>
          <w:rtl/>
        </w:rPr>
        <w:t xml:space="preserve">הרי"ף </w:t>
      </w:r>
      <w:r>
        <w:rPr>
          <w:rFonts w:cs="Arial"/>
          <w:sz w:val="16"/>
          <w:szCs w:val="16"/>
          <w:rtl/>
        </w:rPr>
        <w:t xml:space="preserve">(יד.) </w:t>
      </w:r>
      <w:r>
        <w:rPr>
          <w:rFonts w:cs="Arial"/>
          <w:rtl/>
        </w:rPr>
        <w:t xml:space="preserve">לא כתב שום מימרא, וכתב ברייתא דתני בה שמע מבית דין של ישראל איש פלוני מת איש פלוני נהרג ישיאו את אשתו. וכתב עליו הרא"ש (שם) ויראה דסבירא ליה דבבית דין של ישראל הלכה כלישנא קמא לחומרא דנותנין עליו חומרי חיים וחומרי מתים, דברייתא מסייע ליה דמשמע שהיו אומרים איש פלוני מת איש פלוני נהרג אבל יוצא ליהרג לא, הילכך פסיק כלישנא קמא. ובבית דין של אומות העולם אפשר דלא פליגי הני תרי לישני, דלישנא בתרא בדלא חתים פורסי שמנג. ואף אם פליגי, הלכה כלישנא קמא לקולא כיון דתניא כוותיה בבית דין של ישראל ובלבד שיהא </w:t>
      </w:r>
      <w:r>
        <w:rPr>
          <w:rFonts w:cs="Arial"/>
          <w:b/>
          <w:bCs/>
          <w:rtl/>
        </w:rPr>
        <w:t>ישראל</w:t>
      </w:r>
      <w:r>
        <w:rPr>
          <w:rFonts w:cs="Arial"/>
          <w:rtl/>
        </w:rPr>
        <w:t xml:space="preserve"> מעיד שיוצא ליהרג</w:t>
      </w:r>
      <w:r>
        <w:rPr>
          <w:rFonts w:cs="Arial"/>
          <w:sz w:val="16"/>
          <w:szCs w:val="16"/>
          <w:rtl/>
        </w:rPr>
        <w:t xml:space="preserve"> {דהרי במילתא דשייכי בה עבדי לאחזוקי שיקרייהו}</w:t>
      </w:r>
      <w:r>
        <w:rPr>
          <w:rFonts w:cs="Arial"/>
          <w:rtl/>
        </w:rPr>
        <w:t xml:space="preserve"> עכ"ל</w:t>
      </w:r>
      <w:r>
        <w:rPr>
          <w:rtl/>
        </w:rPr>
        <w:t>, ב"י.</w:t>
      </w:r>
    </w:p>
  </w:footnote>
  <w:footnote w:id="2217">
    <w:p w14:paraId="78D083B8" w14:textId="77777777" w:rsidR="00FA2119" w:rsidRDefault="00FA2119" w:rsidP="00FA2119">
      <w:pPr>
        <w:pStyle w:val="a5"/>
        <w:rPr>
          <w:rtl/>
        </w:rPr>
      </w:pPr>
      <w:r>
        <w:rPr>
          <w:rStyle w:val="a7"/>
        </w:rPr>
        <w:footnoteRef/>
      </w:r>
      <w:r>
        <w:rPr>
          <w:rtl/>
        </w:rPr>
        <w:t xml:space="preserve"> </w:t>
      </w:r>
      <w:r>
        <w:rPr>
          <w:rFonts w:cs="Arial"/>
          <w:rtl/>
        </w:rPr>
        <w:t>נראה שפסק כלישנא בתרא, דדוקא בבית דין של אומות העולם, אבל בבית דין של ישראל לא, דכיון דנגמר הדין לא חיישינן דילמא חזו ליה זכותא, דמילתא דלא שכיחא היא</w:t>
      </w:r>
      <w:r>
        <w:rPr>
          <w:rtl/>
        </w:rPr>
        <w:t>, ב"י.</w:t>
      </w:r>
    </w:p>
  </w:footnote>
  <w:footnote w:id="2218">
    <w:p w14:paraId="725A2F97" w14:textId="77777777" w:rsidR="00FA2119" w:rsidRDefault="00FA2119" w:rsidP="00FA2119">
      <w:pPr>
        <w:pStyle w:val="a5"/>
        <w:rPr>
          <w:rtl/>
        </w:rPr>
      </w:pPr>
      <w:r>
        <w:rPr>
          <w:rStyle w:val="a7"/>
        </w:rPr>
        <w:footnoteRef/>
      </w:r>
      <w:r>
        <w:rPr>
          <w:rtl/>
        </w:rPr>
        <w:t xml:space="preserve"> </w:t>
      </w:r>
      <w:r>
        <w:rPr>
          <w:rFonts w:cs="Arial"/>
          <w:rtl/>
        </w:rPr>
        <w:t>אבל אם נטבע בים אז קי"ל דהם בחזקת מתים אלא מדרבנן מחמירים דהיא אסורה להנשא אם כן אם נתן לה גט אינו ספק גט מדאורייתא ועיין בש"ג, ב"ש (סקק"ח).</w:t>
      </w:r>
    </w:p>
  </w:footnote>
  <w:footnote w:id="2219">
    <w:p w14:paraId="64F321F2" w14:textId="77777777" w:rsidR="00C97BEF" w:rsidRDefault="00C97BEF" w:rsidP="00C97BEF">
      <w:pPr>
        <w:pStyle w:val="a5"/>
        <w:rPr>
          <w:rtl/>
        </w:rPr>
      </w:pPr>
      <w:r>
        <w:rPr>
          <w:rStyle w:val="a7"/>
        </w:rPr>
        <w:footnoteRef/>
      </w:r>
      <w:r>
        <w:rPr>
          <w:rtl/>
        </w:rPr>
        <w:t xml:space="preserve"> </w:t>
      </w:r>
      <w:r>
        <w:rPr>
          <w:rFonts w:cs="Arial"/>
          <w:rtl/>
        </w:rPr>
        <w:t>כל חו"ל קרי ליה מדינת הים בר מבבל כדאמר לקמן (ו.), רש"י.</w:t>
      </w:r>
    </w:p>
  </w:footnote>
  <w:footnote w:id="2220">
    <w:p w14:paraId="5E6A29F7" w14:textId="77777777" w:rsidR="00C97BEF" w:rsidRDefault="00C97BEF" w:rsidP="00C97BEF">
      <w:pPr>
        <w:pStyle w:val="a5"/>
      </w:pPr>
      <w:r>
        <w:rPr>
          <w:rStyle w:val="a7"/>
        </w:rPr>
        <w:footnoteRef/>
      </w:r>
      <w:r>
        <w:rPr>
          <w:rtl/>
        </w:rPr>
        <w:t xml:space="preserve"> </w:t>
      </w:r>
      <w:r>
        <w:rPr>
          <w:rFonts w:cs="Arial"/>
          <w:rtl/>
        </w:rPr>
        <w:t>שהבעל מערער שהוא מזוייף, רש"י.</w:t>
      </w:r>
    </w:p>
  </w:footnote>
  <w:footnote w:id="2221">
    <w:p w14:paraId="29D8C0FF" w14:textId="77777777" w:rsidR="00C97BEF" w:rsidRDefault="00C97BEF" w:rsidP="00C97BEF">
      <w:pPr>
        <w:pStyle w:val="a5"/>
      </w:pPr>
      <w:r>
        <w:rPr>
          <w:rStyle w:val="a7"/>
        </w:rPr>
        <w:footnoteRef/>
      </w:r>
      <w:r>
        <w:rPr>
          <w:rtl/>
        </w:rPr>
        <w:t xml:space="preserve"> </w:t>
      </w:r>
      <w:r>
        <w:rPr>
          <w:rFonts w:cs="Arial"/>
          <w:rtl/>
        </w:rPr>
        <w:t>ואם יעידו העדים על חתימת ידיהם או עדים אחרים יכירו חתימתם כשר ואם אין עליו עוררים מסתמא כשר דהא בקיאין לשמה ועדים מצויין תמיד לקיימו כדאמרינן בגמ' בתי דינין קבועין</w:t>
      </w:r>
      <w:r>
        <w:rPr>
          <w:rtl/>
        </w:rPr>
        <w:t>, רש"י.</w:t>
      </w:r>
    </w:p>
  </w:footnote>
  <w:footnote w:id="2222">
    <w:p w14:paraId="7B70CF6C" w14:textId="77777777" w:rsidR="00C97BEF" w:rsidRDefault="00C97BEF" w:rsidP="00C97BEF">
      <w:pPr>
        <w:pStyle w:val="a5"/>
        <w:rPr>
          <w:rtl/>
        </w:rPr>
      </w:pPr>
      <w:r>
        <w:rPr>
          <w:rStyle w:val="a7"/>
        </w:rPr>
        <w:footnoteRef/>
      </w:r>
      <w:r>
        <w:rPr>
          <w:rtl/>
        </w:rPr>
        <w:t xml:space="preserve"> </w:t>
      </w:r>
      <w:r>
        <w:rPr>
          <w:rFonts w:cs="Arial"/>
          <w:rtl/>
        </w:rPr>
        <w:t>אין בני מדינת הים בני תורה ואין יודעין שצריך לכתוב הגט לשם האשה, וקרא כתיב וכתב לה ספר כריתות (דברים כד), לה - דהיינו לשמה, הילכך אומר השליח בפני נכתב ובפני נחתם וממילא שיילינן ליה אם נכתב לשמה והוא אומר אין. ולקמיה מפרש מאי טעמא לא אצרכוהו נמי למימר לשמה, רש"י.</w:t>
      </w:r>
    </w:p>
  </w:footnote>
  <w:footnote w:id="2223">
    <w:p w14:paraId="31D26BCE" w14:textId="77777777" w:rsidR="00C97BEF" w:rsidRDefault="00C97BEF" w:rsidP="00C97BEF">
      <w:pPr>
        <w:pStyle w:val="a5"/>
      </w:pPr>
      <w:r>
        <w:rPr>
          <w:rStyle w:val="a7"/>
        </w:rPr>
        <w:footnoteRef/>
      </w:r>
      <w:r>
        <w:rPr>
          <w:rtl/>
        </w:rPr>
        <w:t xml:space="preserve"> </w:t>
      </w:r>
      <w:r>
        <w:rPr>
          <w:rFonts w:cs="Arial"/>
          <w:rtl/>
        </w:rPr>
        <w:t>אין שיירות מצויות משם לכאן, שאם יבא הבעל ויערער לומר לא כתבתיו שיהו עדים מצויין להכיר חתימת העדים, והאמינוהו לשליח...</w:t>
      </w:r>
      <w:r>
        <w:rPr>
          <w:rtl/>
        </w:rPr>
        <w:t>, רש"י.</w:t>
      </w:r>
    </w:p>
  </w:footnote>
  <w:footnote w:id="2224">
    <w:p w14:paraId="707E8431" w14:textId="77777777" w:rsidR="00C97BEF" w:rsidRDefault="00C97BEF" w:rsidP="00C97BEF">
      <w:pPr>
        <w:pStyle w:val="a5"/>
        <w:rPr>
          <w:rtl/>
        </w:rPr>
      </w:pPr>
      <w:r>
        <w:rPr>
          <w:rStyle w:val="a7"/>
        </w:rPr>
        <w:footnoteRef/>
      </w:r>
      <w:r>
        <w:rPr>
          <w:rtl/>
        </w:rPr>
        <w:t xml:space="preserve"> </w:t>
      </w:r>
      <w:r>
        <w:rPr>
          <w:rFonts w:cs="Arial"/>
          <w:rtl/>
        </w:rPr>
        <w:t>ושניהם נעשו שלוחים לגרשה והגט יוצא מתחת ידי שניהם. לרבה, בעי למימר</w:t>
      </w:r>
      <w:r>
        <w:rPr>
          <w:rFonts w:cs="Arial"/>
          <w:sz w:val="16"/>
          <w:szCs w:val="16"/>
          <w:rtl/>
        </w:rPr>
        <w:t xml:space="preserve"> {בפני נכתב וכו'}</w:t>
      </w:r>
      <w:r>
        <w:rPr>
          <w:rFonts w:cs="Arial"/>
          <w:rtl/>
        </w:rPr>
        <w:t>. לרבא, לא בעי למימר, שהרי שנים הם ואם יערער בעל הרי הם מצויין לקיימו</w:t>
      </w:r>
      <w:r>
        <w:rPr>
          <w:rtl/>
        </w:rPr>
        <w:t>, רש"י.</w:t>
      </w:r>
    </w:p>
  </w:footnote>
  <w:footnote w:id="2225">
    <w:p w14:paraId="40A23B25" w14:textId="77777777" w:rsidR="00C97BEF" w:rsidRDefault="00C97BEF" w:rsidP="00C97BEF">
      <w:pPr>
        <w:pStyle w:val="a5"/>
        <w:rPr>
          <w:rtl/>
        </w:rPr>
      </w:pPr>
      <w:r>
        <w:rPr>
          <w:rStyle w:val="a7"/>
        </w:rPr>
        <w:footnoteRef/>
      </w:r>
      <w:r>
        <w:rPr>
          <w:rtl/>
        </w:rPr>
        <w:t xml:space="preserve"> </w:t>
      </w:r>
      <w:r>
        <w:rPr>
          <w:rFonts w:cs="Arial"/>
          <w:rtl/>
        </w:rPr>
        <w:t>כגון יהודה וגליל, דסלקא דעתא השתא דלא שכיחי שיירתא. לרבה דלא חייש לעירעורא דנימא מזוייף הוא, לא בעי למימר, הואיל ובקיאין כל בני ארץ ישראל לשמה. לרבא, בעי למימר, דהא אין שיירות מצויות, רש"י.</w:t>
      </w:r>
    </w:p>
  </w:footnote>
  <w:footnote w:id="2226">
    <w:p w14:paraId="2AC3D149" w14:textId="77777777" w:rsidR="00C97BEF" w:rsidRDefault="00C97BEF" w:rsidP="00C97BEF">
      <w:pPr>
        <w:pStyle w:val="a5"/>
      </w:pPr>
      <w:r>
        <w:rPr>
          <w:rStyle w:val="a7"/>
        </w:rPr>
        <w:footnoteRef/>
      </w:r>
      <w:r>
        <w:rPr>
          <w:rtl/>
        </w:rPr>
        <w:t xml:space="preserve"> </w:t>
      </w:r>
      <w:r>
        <w:rPr>
          <w:rFonts w:cs="Arial"/>
          <w:rtl/>
        </w:rPr>
        <w:t>כגון מעיר לעיר במדינה אחת (מדינה רונטריד"א בלע"ז) ובמדינת הים. לרבה, בעי למימר דהא אין בקיאין לשמה. לרבא דאמר לפי שאין וכו' ומתניתין משום ערעורא דזיוף הוא, הכא לא צריך דהא שכיחי שיירתא, רש"י.</w:t>
      </w:r>
    </w:p>
  </w:footnote>
  <w:footnote w:id="2227">
    <w:p w14:paraId="3540A501" w14:textId="77777777" w:rsidR="00C97BEF" w:rsidRDefault="00C97BEF" w:rsidP="00C97BEF">
      <w:pPr>
        <w:pStyle w:val="a5"/>
      </w:pPr>
      <w:r>
        <w:rPr>
          <w:rStyle w:val="a7"/>
        </w:rPr>
        <w:footnoteRef/>
      </w:r>
      <w:r>
        <w:rPr>
          <w:rtl/>
        </w:rPr>
        <w:t xml:space="preserve"> </w:t>
      </w:r>
      <w:r>
        <w:rPr>
          <w:rFonts w:cs="Arial"/>
          <w:rtl/>
        </w:rPr>
        <w:t xml:space="preserve">השליח כשמקבלו מיד הבעל ויודע בו שברצון מגרשה ולא יבא ויערער עוד ואי נמי עורר אינו נאמן דודאי דק במילתא שפיר, רש"י. </w:t>
      </w:r>
      <w:r>
        <w:rPr>
          <w:rFonts w:cs="Arial"/>
          <w:sz w:val="16"/>
          <w:szCs w:val="16"/>
          <w:rtl/>
        </w:rPr>
        <w:t>(וכתב הב"י דבהדיא אמרו בגמרא (שם, ובפ"ב דגיטין כג:) דכל היכא שאמר השליח בפני נכתב ובפני נחתם לא חיישינן לערעור הבעל. וכן כתבו רש"י (בד"ה הנ"ל) והרשב"א (בריש גיטין ד"ה כיון), וכתב שם הרשב"א דהכי איתא נמי בירושלמי (ריש גיטין), וכ"כ הרמב"ם (פ"ז ה"ו). וכתבתי כל זה לפי שמצאתי שעלה על דעתו של הרשב"א בריש גיטין לגמגם קצת בדבר, ומייתי לה מדיוקא דמתניתין - ולא היה צריך, דבהדיא אמרינן הכי בספ"ב דגיטין דכל היכא דאמר השליח בפני נכתב ובפני נחתם אי אתי בעל ומערער לא משגחינן ביה).</w:t>
      </w:r>
    </w:p>
  </w:footnote>
  <w:footnote w:id="2228">
    <w:p w14:paraId="0C06D5C8" w14:textId="77777777" w:rsidR="00C97BEF" w:rsidRDefault="00C97BEF" w:rsidP="00C97BEF">
      <w:pPr>
        <w:pStyle w:val="a5"/>
      </w:pPr>
      <w:r>
        <w:rPr>
          <w:rStyle w:val="a7"/>
        </w:rPr>
        <w:footnoteRef/>
      </w:r>
      <w:r>
        <w:rPr>
          <w:rtl/>
        </w:rPr>
        <w:t xml:space="preserve"> </w:t>
      </w:r>
      <w:r>
        <w:rPr>
          <w:rFonts w:cs="Arial"/>
          <w:rtl/>
        </w:rPr>
        <w:t>בגמרא ריש גיטין (ב.) פירש רש"י (ד"ה צריך) דמיירי בשליח להולכה. משמע אבל לקבלה לא צריך, וכן כתב הר"ן שם (ב. ד"ה וכתב) בהדיא, וכן נראה מדברי כל הפוסקים</w:t>
      </w:r>
      <w:r>
        <w:rPr>
          <w:rtl/>
        </w:rPr>
        <w:t>, דרכ"מ (אות א).</w:t>
      </w:r>
    </w:p>
  </w:footnote>
  <w:footnote w:id="2229">
    <w:p w14:paraId="7D4418E4" w14:textId="77777777" w:rsidR="00C97BEF" w:rsidRDefault="00C97BEF" w:rsidP="00C97BEF">
      <w:pPr>
        <w:pStyle w:val="a5"/>
        <w:rPr>
          <w:rtl/>
        </w:rPr>
      </w:pPr>
      <w:r>
        <w:rPr>
          <w:rStyle w:val="a7"/>
        </w:rPr>
        <w:footnoteRef/>
      </w:r>
      <w:r>
        <w:rPr>
          <w:rtl/>
        </w:rPr>
        <w:t xml:space="preserve"> </w:t>
      </w:r>
      <w:r>
        <w:rPr>
          <w:rFonts w:cs="Arial"/>
          <w:rtl/>
        </w:rPr>
        <w:t>כלומר ומתירין אותה לינשא אע"פ שלא נתקיים דאל"כ מאי רבותא דארץ ישראל ממדינת הים, וכן כתב הרשב"א בתשובה (ח"א סי' אלף רכח), ופשוט הוא, ב"י.</w:t>
      </w:r>
    </w:p>
  </w:footnote>
  <w:footnote w:id="2230">
    <w:p w14:paraId="387BEEB8" w14:textId="77777777" w:rsidR="00C97BEF" w:rsidRDefault="00C97BEF" w:rsidP="00C97BEF">
      <w:pPr>
        <w:pStyle w:val="a5"/>
      </w:pPr>
      <w:r>
        <w:rPr>
          <w:rStyle w:val="a7"/>
        </w:rPr>
        <w:footnoteRef/>
      </w:r>
      <w:r>
        <w:rPr>
          <w:rtl/>
        </w:rPr>
        <w:t xml:space="preserve"> </w:t>
      </w:r>
      <w:r>
        <w:rPr>
          <w:rFonts w:cs="Arial"/>
          <w:rtl/>
        </w:rPr>
        <w:t>כשאמרו לרבי אלעאי את תשובתו של רבי ישמעאל, לא אמרו לו את סיום דבריו של רבי ישמעאל, שאף הוא לא הצריך מעיקר הדין, אלא רק נתן עצה טובה. ולפיכך, טעה בדבריו</w:t>
      </w:r>
      <w:r>
        <w:rPr>
          <w:sz w:val="14"/>
          <w:szCs w:val="14"/>
          <w:rtl/>
        </w:rPr>
        <w:t xml:space="preserve"> </w:t>
      </w:r>
      <w:r>
        <w:rPr>
          <w:sz w:val="16"/>
          <w:szCs w:val="16"/>
          <w:rtl/>
        </w:rPr>
        <w:t>(פי' חברותא)</w:t>
      </w:r>
      <w:r>
        <w:rPr>
          <w:rtl/>
        </w:rPr>
        <w:t>.</w:t>
      </w:r>
    </w:p>
  </w:footnote>
  <w:footnote w:id="2231">
    <w:p w14:paraId="0581E77B" w14:textId="77777777" w:rsidR="00C97BEF" w:rsidRDefault="00C97BEF" w:rsidP="00C97BEF">
      <w:pPr>
        <w:pStyle w:val="a5"/>
        <w:rPr>
          <w:rtl/>
        </w:rPr>
      </w:pPr>
      <w:r>
        <w:rPr>
          <w:rStyle w:val="a7"/>
        </w:rPr>
        <w:footnoteRef/>
      </w:r>
      <w:r>
        <w:rPr>
          <w:rtl/>
        </w:rPr>
        <w:t xml:space="preserve"> </w:t>
      </w:r>
      <w:r>
        <w:rPr>
          <w:rFonts w:cs="Arial"/>
          <w:rtl/>
        </w:rPr>
        <w:t xml:space="preserve">פירוש כיצד יעשה לרבנן שתינשא לכתחילה, או אם נישאת שלא תצא. אבל לולד אין צריך תקנה דבלא תקנה לא הוי ממזר דלית להו </w:t>
      </w:r>
      <w:r>
        <w:rPr>
          <w:rFonts w:cs="Arial"/>
          <w:sz w:val="16"/>
          <w:szCs w:val="16"/>
          <w:rtl/>
        </w:rPr>
        <w:t xml:space="preserve">{לחכמים} </w:t>
      </w:r>
      <w:r>
        <w:rPr>
          <w:rFonts w:cs="Arial"/>
          <w:rtl/>
        </w:rPr>
        <w:t xml:space="preserve">כל המשנה כו'. ולר"מ כיצד יעשה קודם נישואין, אבל לאחר נישואין מסתבר דלר"מ אין תקנה, דכיון דהולד ממזר א"כ כל הדרכים האלו בה ותצא מזה ומזה וכל הנהו דתנן לקמן בהזורק </w:t>
      </w:r>
      <w:r>
        <w:rPr>
          <w:rFonts w:cs="Arial"/>
          <w:sz w:val="16"/>
          <w:szCs w:val="16"/>
          <w:rtl/>
        </w:rPr>
        <w:t>(פ.)</w:t>
      </w:r>
      <w:r>
        <w:rPr>
          <w:rFonts w:cs="Arial"/>
          <w:rtl/>
        </w:rPr>
        <w:t xml:space="preserve">, </w:t>
      </w:r>
      <w:r>
        <w:rPr>
          <w:rFonts w:cs="Arial"/>
          <w:b/>
          <w:bCs/>
          <w:rtl/>
        </w:rPr>
        <w:t xml:space="preserve">תוס' </w:t>
      </w:r>
      <w:r>
        <w:rPr>
          <w:rFonts w:cs="Arial"/>
          <w:sz w:val="16"/>
          <w:szCs w:val="16"/>
          <w:rtl/>
        </w:rPr>
        <w:t>(שם ד"ה כיצד יעשה)</w:t>
      </w:r>
      <w:r>
        <w:rPr>
          <w:rFonts w:cs="Arial"/>
          <w:rtl/>
        </w:rPr>
        <w:t xml:space="preserve">. אך </w:t>
      </w:r>
      <w:r>
        <w:rPr>
          <w:rFonts w:cs="Arial"/>
          <w:b/>
          <w:bCs/>
          <w:rtl/>
        </w:rPr>
        <w:t xml:space="preserve">הרמב"ם </w:t>
      </w:r>
      <w:r>
        <w:rPr>
          <w:rFonts w:cs="Arial"/>
          <w:rtl/>
        </w:rPr>
        <w:t>מפרש אחרת כדלקמן.</w:t>
      </w:r>
    </w:p>
  </w:footnote>
  <w:footnote w:id="2232">
    <w:p w14:paraId="639A1CF8" w14:textId="7D657D9E" w:rsidR="00C97BEF" w:rsidRDefault="00C97BEF" w:rsidP="00C97BEF">
      <w:pPr>
        <w:pStyle w:val="a5"/>
      </w:pPr>
      <w:r>
        <w:rPr>
          <w:rStyle w:val="a7"/>
        </w:rPr>
        <w:footnoteRef/>
      </w:r>
      <w:r>
        <w:rPr>
          <w:rtl/>
        </w:rPr>
        <w:t xml:space="preserve"> </w:t>
      </w:r>
      <w:r>
        <w:rPr>
          <w:rFonts w:hint="cs"/>
          <w:rtl/>
        </w:rPr>
        <w:t xml:space="preserve">דאז יכול ליתנו לה אע"פ שאינו אומר בפ"נ ובפ"נ. </w:t>
      </w:r>
      <w:r>
        <w:rPr>
          <w:rFonts w:cs="Arial"/>
          <w:rtl/>
        </w:rPr>
        <w:t xml:space="preserve">וכ"כ הרא"ש </w:t>
      </w:r>
      <w:r>
        <w:rPr>
          <w:rFonts w:cs="Arial"/>
          <w:sz w:val="16"/>
          <w:szCs w:val="16"/>
          <w:rtl/>
        </w:rPr>
        <w:t>(פ"א סי' ה)</w:t>
      </w:r>
      <w:r>
        <w:rPr>
          <w:rFonts w:cs="Arial"/>
          <w:rtl/>
        </w:rPr>
        <w:t xml:space="preserve"> </w:t>
      </w:r>
      <w:r w:rsidR="000A0F5A">
        <w:rPr>
          <w:rFonts w:cs="Arial"/>
          <w:rtl/>
        </w:rPr>
        <w:t>וז"ל:</w:t>
      </w:r>
      <w:r>
        <w:rPr>
          <w:rFonts w:cs="Arial"/>
          <w:rtl/>
        </w:rPr>
        <w:t xml:space="preserve"> ואם נתקיים בחותמיו תו לא צריך מידי. עכ"ל. וכתב הדרכ"מ (אות ב) דכן הוא בהגמ"ר ריש התקבל (עי' סוס"י תט) בתשובת רבינו תם, וכן כתבו התוספות ריש גיטין (ג. ד"ה אטו) דאם אפשר לקיים עדי הגט אין צריך לומר, וכ"כ הרי"ף (א:)...  א"כ בזמן הזה דנהיגין לכתוב בהרשאה מי ומי הם עדי הגט ומקיימים הגט בהרשאה א"כ לא היה צריך לדידן למימר בפני נכתב ובפני נחתם. וכן משמע במרדכי ריש התקבל (סוף סי' תט) ובתשובות הרשב"א (סי' תקסא). אמנם לא נהיגין כן. וכן כתב בסדר גיטין (מהר"י מרגלית סי' פו ס"ט וסמ"ג). וכן כתב בריב"ש (סי' שיח) דהרשאה לא מיקרי קיום דאיכא למיחש שאותו הגט נאבד או נשרף וזה מזוייף. עכ"ל הדרכ"מ.</w:t>
      </w:r>
      <w:r>
        <w:rPr>
          <w:rtl/>
        </w:rPr>
        <w:t xml:space="preserve"> </w:t>
      </w:r>
      <w:r>
        <w:rPr>
          <w:color w:val="00B0F0"/>
          <w:rtl/>
        </w:rPr>
        <w:t>(וכ"פ בהג"ה)</w:t>
      </w:r>
    </w:p>
  </w:footnote>
  <w:footnote w:id="2233">
    <w:p w14:paraId="2A563448" w14:textId="77777777" w:rsidR="00C97BEF" w:rsidRDefault="00C97BEF" w:rsidP="00C97BEF">
      <w:pPr>
        <w:pStyle w:val="a5"/>
      </w:pPr>
      <w:r>
        <w:rPr>
          <w:rStyle w:val="a7"/>
        </w:rPr>
        <w:footnoteRef/>
      </w:r>
      <w:r>
        <w:rPr>
          <w:rtl/>
        </w:rPr>
        <w:t xml:space="preserve"> </w:t>
      </w:r>
      <w:r>
        <w:rPr>
          <w:rFonts w:cs="Arial"/>
          <w:rtl/>
        </w:rPr>
        <w:t>ובפרק י' (ה"ב) כתב שכל מקום שהזכיר פסול אם נישאת לא תצא, ב"י.</w:t>
      </w:r>
    </w:p>
  </w:footnote>
  <w:footnote w:id="2234">
    <w:p w14:paraId="48206DFF" w14:textId="0F6774E6" w:rsidR="00C97BEF" w:rsidRDefault="00C97BEF" w:rsidP="00C97BEF">
      <w:pPr>
        <w:pStyle w:val="a5"/>
        <w:rPr>
          <w:rtl/>
        </w:rPr>
      </w:pPr>
      <w:r>
        <w:rPr>
          <w:rStyle w:val="a7"/>
        </w:rPr>
        <w:footnoteRef/>
      </w:r>
      <w:r>
        <w:rPr>
          <w:rtl/>
        </w:rPr>
        <w:t xml:space="preserve"> </w:t>
      </w:r>
      <w:r>
        <w:rPr>
          <w:rFonts w:cs="Arial"/>
          <w:rtl/>
        </w:rPr>
        <w:t xml:space="preserve">כך היא גירסתנו וגירסת הב"י בדברי הרמב"ם. אך הרא"ש </w:t>
      </w:r>
      <w:r>
        <w:rPr>
          <w:rFonts w:cs="Arial"/>
          <w:sz w:val="16"/>
          <w:szCs w:val="16"/>
          <w:rtl/>
        </w:rPr>
        <w:t>(פ"א סי' ה)</w:t>
      </w:r>
      <w:r>
        <w:rPr>
          <w:rFonts w:cs="Arial"/>
          <w:rtl/>
        </w:rPr>
        <w:t xml:space="preserve"> כתב </w:t>
      </w:r>
      <w:r w:rsidR="000A0F5A">
        <w:rPr>
          <w:rFonts w:cs="Arial"/>
          <w:rtl/>
        </w:rPr>
        <w:t>וז"ל:</w:t>
      </w:r>
      <w:r>
        <w:rPr>
          <w:rFonts w:cs="Arial"/>
          <w:rtl/>
        </w:rPr>
        <w:t xml:space="preserve"> ואם אבד הגט כתב הרמב"ם בפ"ז (ה"ז) הרי זו ספק מגורשת ואם בא הבעל וערער הרי זה ספק ממזר. עכ"ל. וכתב הב"י דאפשר שהרא"ש היה גורס כך בדברי הרמב"ם, ואפשר שהיה גורס כנוסחאות דידן אלא דמשמע ליה שאי אפשר לומר דכשאבד הגט וערער הבעל שתהא אינה מגורשת בודאי, דשמא אם היה בפנינו היה מתקיים, ולפיכך במקום אינה מגורשת כתב הרי זה ספק ממזר, כלומר שהיא קרובה להיות אינה מגורשת. אבל מכל מקום מידי ספיקא לא נפקא לענין אם פשטה ידה וקיבלה קידושין מאחר, או לענין שהולד אסור בממזרת כדין ספק ממזר כנ"ל.</w:t>
      </w:r>
      <w:r>
        <w:rPr>
          <w:rtl/>
        </w:rPr>
        <w:t xml:space="preserve"> עכ"ל הב"י.</w:t>
      </w:r>
    </w:p>
  </w:footnote>
  <w:footnote w:id="2235">
    <w:p w14:paraId="1F28A030" w14:textId="77777777" w:rsidR="00C97BEF" w:rsidRDefault="00C97BEF" w:rsidP="00C97BEF">
      <w:pPr>
        <w:pStyle w:val="a5"/>
        <w:rPr>
          <w:rtl/>
        </w:rPr>
      </w:pPr>
      <w:r>
        <w:rPr>
          <w:rStyle w:val="a7"/>
        </w:rPr>
        <w:footnoteRef/>
      </w:r>
      <w:r>
        <w:rPr>
          <w:rtl/>
        </w:rPr>
        <w:t xml:space="preserve"> </w:t>
      </w:r>
      <w:r>
        <w:rPr>
          <w:rFonts w:cs="Arial"/>
          <w:rtl/>
        </w:rPr>
        <w:t>ואפילו נתנו בארץ, ראב"ד (שם בהשגות). וכתב שם הרב המגיד שכל זאת הבבא היא בשנתנו בארץ בהכרח. החלק הראשון, מפני שאם בנתנו בחוצה לארץ מאי איריא בשחתמו חוצה לארץ? אפילו כתבו וחתמו בארץ כיון שנתנו חוצה לארץ צריך לומר כן. והחלק השני ג"כ משום דנתנו בארץ אינו צריך לומר בפני נכתב ובפני נחתם, אבל אם נתנו בחוצה לארץ אע"פ שנכתב ונחתם בארץ צריך לומר בפני נכתב ובפני נחתם, ב"י.</w:t>
      </w:r>
    </w:p>
  </w:footnote>
  <w:footnote w:id="2236">
    <w:p w14:paraId="74960F07" w14:textId="77777777" w:rsidR="00C97BEF" w:rsidRDefault="00C97BEF" w:rsidP="00C97BEF">
      <w:pPr>
        <w:pStyle w:val="a5"/>
      </w:pPr>
      <w:r>
        <w:rPr>
          <w:rStyle w:val="a7"/>
        </w:rPr>
        <w:footnoteRef/>
      </w:r>
      <w:r>
        <w:rPr>
          <w:rtl/>
        </w:rPr>
        <w:t xml:space="preserve"> </w:t>
      </w:r>
      <w:r>
        <w:rPr>
          <w:rFonts w:cs="Arial"/>
          <w:rtl/>
        </w:rPr>
        <w:t>ישיבות קבועות אחת בסורא ואחת בנהרדעא והולכין תלמידים מזו לזו ומשאר עיירות להן ללמוד תורה, רש"י.</w:t>
      </w:r>
    </w:p>
  </w:footnote>
  <w:footnote w:id="2237">
    <w:p w14:paraId="3BCB6539" w14:textId="77777777" w:rsidR="00C97BEF" w:rsidRDefault="00C97BEF" w:rsidP="00C97BEF">
      <w:pPr>
        <w:pStyle w:val="a5"/>
      </w:pPr>
      <w:r>
        <w:rPr>
          <w:rStyle w:val="a7"/>
        </w:rPr>
        <w:footnoteRef/>
      </w:r>
      <w:r>
        <w:rPr>
          <w:rtl/>
        </w:rPr>
        <w:t xml:space="preserve"> </w:t>
      </w:r>
      <w:r>
        <w:rPr>
          <w:rFonts w:cs="Arial"/>
          <w:rtl/>
        </w:rPr>
        <w:t>ואין מכירין החתימות</w:t>
      </w:r>
      <w:r>
        <w:rPr>
          <w:rtl/>
        </w:rPr>
        <w:t>, רש"י.</w:t>
      </w:r>
    </w:p>
  </w:footnote>
  <w:footnote w:id="2238">
    <w:p w14:paraId="04F701EB" w14:textId="77777777" w:rsidR="00C97BEF" w:rsidRDefault="00C97BEF" w:rsidP="00C97BEF">
      <w:pPr>
        <w:pStyle w:val="a5"/>
        <w:rPr>
          <w:rtl/>
        </w:rPr>
      </w:pPr>
      <w:r>
        <w:rPr>
          <w:rStyle w:val="a7"/>
        </w:rPr>
        <w:footnoteRef/>
      </w:r>
      <w:r>
        <w:rPr>
          <w:rtl/>
        </w:rPr>
        <w:t xml:space="preserve"> </w:t>
      </w:r>
      <w:r>
        <w:rPr>
          <w:rFonts w:cs="Arial"/>
          <w:rtl/>
        </w:rPr>
        <w:t>דטעמא משום דשכיחי מתיבתא היא, רש"י.</w:t>
      </w:r>
    </w:p>
  </w:footnote>
  <w:footnote w:id="2239">
    <w:p w14:paraId="13114F6B" w14:textId="77777777" w:rsidR="00C97BEF" w:rsidRDefault="00C97BEF" w:rsidP="00C97BEF">
      <w:pPr>
        <w:pStyle w:val="a5"/>
      </w:pPr>
      <w:r>
        <w:rPr>
          <w:rStyle w:val="a7"/>
        </w:rPr>
        <w:footnoteRef/>
      </w:r>
      <w:r>
        <w:rPr>
          <w:rtl/>
        </w:rPr>
        <w:t xml:space="preserve"> </w:t>
      </w:r>
      <w:r>
        <w:rPr>
          <w:rFonts w:cs="Arial"/>
          <w:rtl/>
        </w:rPr>
        <w:t>וקבע ישיבה בסורא ודשמואל הואי בנהרדעא אבל מעיקרא לא ואע"ג דגמירי דמשגלה יכניה לבבל (מלכים ב כד) והחרש והמסגר עמו לא פסקה תורה מהם, רש"י.</w:t>
      </w:r>
    </w:p>
  </w:footnote>
  <w:footnote w:id="2240">
    <w:p w14:paraId="1A207472" w14:textId="77777777" w:rsidR="00C97BEF" w:rsidRDefault="00C97BEF" w:rsidP="00C97BEF">
      <w:pPr>
        <w:pStyle w:val="a5"/>
      </w:pPr>
      <w:r>
        <w:rPr>
          <w:rStyle w:val="a7"/>
        </w:rPr>
        <w:footnoteRef/>
      </w:r>
      <w:r>
        <w:rPr>
          <w:rtl/>
        </w:rPr>
        <w:t xml:space="preserve"> </w:t>
      </w:r>
      <w:r>
        <w:rPr>
          <w:rFonts w:cs="Arial"/>
          <w:rtl/>
        </w:rPr>
        <w:t>לאקטיספון ומוסרין להן שם עדיות וחותמין שם בשטרות והשטרות ביד בני אקטיספון עד זמן שניגבים לפיכך בני אקטיספון מכירין חתימת בני ארדשיר הלכך גט שנחתם בארדשיר ונשתלח לאקטיספון עדים מצויין לקיימו ואף בני ארדשיר כשהולכין שם לשוק יקיימוהו אבל בני ארדשיר אינן מכירין חתימת בני אקטיספון ואע"פ שהולכין שם תמיד לסחורה דכל יום השוק בשוקייהו טרידין ואינן נותנין לב להסתכל ולהכיר חתימת בני העיר, רש"י.</w:t>
      </w:r>
    </w:p>
  </w:footnote>
  <w:footnote w:id="2241">
    <w:p w14:paraId="6A1FF235" w14:textId="77777777" w:rsidR="00C97BEF" w:rsidRDefault="00C97BEF" w:rsidP="00C97BEF">
      <w:pPr>
        <w:pStyle w:val="a5"/>
      </w:pPr>
      <w:r>
        <w:rPr>
          <w:rStyle w:val="a7"/>
        </w:rPr>
        <w:footnoteRef/>
      </w:r>
      <w:r>
        <w:rPr>
          <w:rtl/>
        </w:rPr>
        <w:t xml:space="preserve"> </w:t>
      </w:r>
      <w:r>
        <w:rPr>
          <w:rFonts w:cs="Arial"/>
          <w:rtl/>
        </w:rPr>
        <w:t>משורת הבתים שבצד רה"ר לשורה שכנגדה, רש"י.</w:t>
      </w:r>
    </w:p>
  </w:footnote>
  <w:footnote w:id="2242">
    <w:p w14:paraId="669BCF51" w14:textId="77777777" w:rsidR="00C97BEF" w:rsidRDefault="00C97BEF" w:rsidP="00C97BEF">
      <w:pPr>
        <w:pStyle w:val="a5"/>
      </w:pPr>
      <w:r>
        <w:rPr>
          <w:rStyle w:val="a7"/>
        </w:rPr>
        <w:footnoteRef/>
      </w:r>
      <w:r>
        <w:rPr>
          <w:rtl/>
        </w:rPr>
        <w:t xml:space="preserve"> </w:t>
      </w:r>
      <w:r>
        <w:rPr>
          <w:rFonts w:cs="Arial"/>
          <w:rtl/>
        </w:rPr>
        <w:t>סתם שכונה שלשה בתים במסכת ע"ז (כא.)</w:t>
      </w:r>
      <w:r>
        <w:rPr>
          <w:rtl/>
        </w:rPr>
        <w:t>, רש"י.</w:t>
      </w:r>
    </w:p>
  </w:footnote>
  <w:footnote w:id="2243">
    <w:p w14:paraId="026D3E21" w14:textId="77777777" w:rsidR="00C97BEF" w:rsidRDefault="00C97BEF" w:rsidP="00C97BEF">
      <w:pPr>
        <w:pStyle w:val="a5"/>
        <w:rPr>
          <w:rtl/>
        </w:rPr>
      </w:pPr>
      <w:r>
        <w:rPr>
          <w:rStyle w:val="a7"/>
        </w:rPr>
        <w:footnoteRef/>
      </w:r>
      <w:r>
        <w:rPr>
          <w:rtl/>
        </w:rPr>
        <w:t xml:space="preserve"> </w:t>
      </w:r>
      <w:r>
        <w:rPr>
          <w:rFonts w:cs="Arial"/>
          <w:rtl/>
        </w:rPr>
        <w:t>אינן משתהין בבתיהן שטרודין בסחורה ואין מכירין חתימות שביניהם</w:t>
      </w:r>
      <w:r>
        <w:rPr>
          <w:rtl/>
        </w:rPr>
        <w:t>, רש"י.</w:t>
      </w:r>
    </w:p>
  </w:footnote>
  <w:footnote w:id="2244">
    <w:p w14:paraId="33F53A73" w14:textId="77777777" w:rsidR="00C97BEF" w:rsidRDefault="00C97BEF" w:rsidP="00C97BEF">
      <w:pPr>
        <w:pStyle w:val="a5"/>
        <w:rPr>
          <w:rtl/>
        </w:rPr>
      </w:pPr>
      <w:r>
        <w:rPr>
          <w:rStyle w:val="a7"/>
        </w:rPr>
        <w:footnoteRef/>
      </w:r>
      <w:r>
        <w:rPr>
          <w:rtl/>
        </w:rPr>
        <w:t xml:space="preserve"> </w:t>
      </w:r>
      <w:r>
        <w:rPr>
          <w:rFonts w:cs="Arial"/>
          <w:rtl/>
        </w:rPr>
        <w:t xml:space="preserve">אפילו באותה העיר מבית לבית צריך למימר בזמן הזה בפני נכתב ובפ"נ, דרכ"מ (אות יב) בשם התוס' (שם). </w:t>
      </w:r>
      <w:r>
        <w:rPr>
          <w:color w:val="00B0F0"/>
          <w:rtl/>
        </w:rPr>
        <w:t>(וכ"פ בהג"ה)</w:t>
      </w:r>
    </w:p>
  </w:footnote>
  <w:footnote w:id="2245">
    <w:p w14:paraId="61D02C0A" w14:textId="77777777" w:rsidR="00C97BEF" w:rsidRDefault="00C97BEF" w:rsidP="00C97BEF">
      <w:pPr>
        <w:pStyle w:val="a5"/>
        <w:rPr>
          <w:rtl/>
        </w:rPr>
      </w:pPr>
      <w:r>
        <w:rPr>
          <w:rStyle w:val="a7"/>
        </w:rPr>
        <w:footnoteRef/>
      </w:r>
      <w:r>
        <w:rPr>
          <w:rtl/>
        </w:rPr>
        <w:t xml:space="preserve"> </w:t>
      </w:r>
      <w:r>
        <w:rPr>
          <w:rFonts w:hint="cs"/>
          <w:rtl/>
        </w:rPr>
        <w:t>אא"כ יכול לקיימו, ע"פ רשב"א (שם).</w:t>
      </w:r>
    </w:p>
  </w:footnote>
  <w:footnote w:id="2246">
    <w:p w14:paraId="0A365972" w14:textId="77777777" w:rsidR="00C97BEF" w:rsidRDefault="00C97BEF" w:rsidP="00C97BEF">
      <w:pPr>
        <w:pStyle w:val="a5"/>
        <w:rPr>
          <w:rtl/>
        </w:rPr>
      </w:pPr>
      <w:r>
        <w:rPr>
          <w:rStyle w:val="a7"/>
        </w:rPr>
        <w:footnoteRef/>
      </w:r>
      <w:r>
        <w:rPr>
          <w:rtl/>
        </w:rPr>
        <w:t xml:space="preserve"> </w:t>
      </w:r>
      <w:r>
        <w:rPr>
          <w:rFonts w:cs="Arial"/>
          <w:rtl/>
        </w:rPr>
        <w:t xml:space="preserve">ומ"ש רבינו דין זה דמגרש על ידי שליח במקום שנכתב הגט, היינו בשמסר גט לשליח להוליכו לאשתו בשכונה אחרת והבעל הלך לדרכו מיד, הא לאו הכי - יש ליזהר מלגרש על ידי שליח כששניהם הבעל והאשה בעיר, וכמ"ש רבינו בסימן הקודם לזה (נג:), ב"י. וכ"כ הדרכ"מ (אות יב). </w:t>
      </w:r>
      <w:r>
        <w:rPr>
          <w:color w:val="00B0F0"/>
          <w:rtl/>
        </w:rPr>
        <w:t>(וכ"פ בהג"ה)</w:t>
      </w:r>
    </w:p>
  </w:footnote>
  <w:footnote w:id="2247">
    <w:p w14:paraId="62122DC6" w14:textId="006DD7B6" w:rsidR="00C97BEF" w:rsidRDefault="00C97BEF" w:rsidP="00C97BEF">
      <w:pPr>
        <w:pStyle w:val="a5"/>
      </w:pPr>
      <w:r>
        <w:rPr>
          <w:rStyle w:val="a7"/>
        </w:rPr>
        <w:footnoteRef/>
      </w:r>
      <w:r>
        <w:rPr>
          <w:rtl/>
        </w:rPr>
        <w:t xml:space="preserve"> </w:t>
      </w:r>
      <w:r w:rsidR="000A0F5A">
        <w:rPr>
          <w:rFonts w:cs="Arial"/>
          <w:rtl/>
        </w:rPr>
        <w:t>וז"ל:</w:t>
      </w:r>
      <w:r>
        <w:rPr>
          <w:rFonts w:cs="Arial"/>
          <w:rtl/>
        </w:rPr>
        <w:t xml:space="preserve"> מדברי הרי"ף ז"ל שלא כתב הא דרבא דמשכונה לשכונ' נראה שהוא סובר דדוקא ממקום למקום.</w:t>
      </w:r>
    </w:p>
  </w:footnote>
  <w:footnote w:id="2248">
    <w:p w14:paraId="6E72EA15" w14:textId="5B6263CA" w:rsidR="00C97BEF" w:rsidRDefault="00C97BEF" w:rsidP="00C97BEF">
      <w:pPr>
        <w:pStyle w:val="a5"/>
      </w:pPr>
      <w:r>
        <w:rPr>
          <w:rStyle w:val="a7"/>
        </w:rPr>
        <w:footnoteRef/>
      </w:r>
      <w:r>
        <w:rPr>
          <w:rtl/>
        </w:rPr>
        <w:t xml:space="preserve"> </w:t>
      </w:r>
      <w:r>
        <w:rPr>
          <w:rFonts w:cs="Arial"/>
          <w:rtl/>
        </w:rPr>
        <w:t>כדפירש ר"ת מידי דהוה אבני מחוזא דניידי (גיטין ו.). ופר"ת (שם ד"ה שאני) דאנן נמי כיון דאין אנו קבועי' כ"כ דמינן לבני מחוזא. מיהו בגיטין פ' התקבל (סד.) פירש בתוספות (שם ד"ה בעל) דיש ליזהר כשהבעל והאשה שניהם בעיר שיגרשנה הבעל בעצמו ולא על ידי השליח בין להולכה בין לקבלה, משום דאי הוה עביד על ידי שליח היה מהימן הבעל לומר לפקדון נתתיו ביד השליח כרב הונא פרק התקבל (שם) דפסק ר"ח כמותו. ואע"ג דגבי בני מחוזא מכשיר פ</w:t>
      </w:r>
      <w:r w:rsidR="00467FEF">
        <w:rPr>
          <w:rFonts w:cs="Arial" w:hint="cs"/>
          <w:rtl/>
        </w:rPr>
        <w:t>' קמא</w:t>
      </w:r>
      <w:r>
        <w:rPr>
          <w:rFonts w:cs="Arial"/>
          <w:rtl/>
        </w:rPr>
        <w:t xml:space="preserve"> על ידי שליח אע</w:t>
      </w:r>
      <w:r w:rsidR="00467FEF">
        <w:rPr>
          <w:rFonts w:cs="Arial" w:hint="cs"/>
          <w:rtl/>
        </w:rPr>
        <w:t>"</w:t>
      </w:r>
      <w:r>
        <w:rPr>
          <w:rFonts w:cs="Arial"/>
          <w:rtl/>
        </w:rPr>
        <w:t xml:space="preserve">ג דשניהם בעיר משום טעמא דניידי, מכל מקום אנן לא ניידינן כל כך. אע"ג דפירש ר"ת דהאידנא כולהו ניידי, אין לסמוך על זה להקל, דהא להחמיר קאמר </w:t>
      </w:r>
      <w:r>
        <w:rPr>
          <w:rFonts w:cs="Arial"/>
          <w:sz w:val="16"/>
          <w:szCs w:val="16"/>
          <w:rtl/>
        </w:rPr>
        <w:t>(ואם תאמר כיון דאין לעשות שליח כששניהם בעיר א' אם כן מאי נ"מ במה שאמ' ר"ת להחמיר דהאידנא כולהו ניידי וצריך לומר בפני נכתב ובפני נחתם והלא בששניהם בעיר אחת צריך שיגרשנה הבעל עצמו ולא על ידי שליח והבעל אין צריך לומר בפני נכתב ובפני נחתם אפי' כשמביאו ממדינת הים וי"ל מ"מ נ"מ לפר"ת בשליח המביא גט באותה מדינה מעיר לעיר, דהא אמרינן באותה מדינה במדינת הים אין צריך לומר בנו"נ, והשתא מטעם דר"ת דמחשיב אנן האידנא כולהו ניידי צ"ל בנו"נ אפילו באותה מדינה מעיר לעיר, ומיהו בתוספות כתב רבי אלחנן פירוש אחר בההוא דהתקבל דקאמר רב הונא דבעל מהימן לומר לפקדון נתתיו היינו דווקא גבי שליח לקבלה, אך כמה גמגומים כתב על זה, ועוד פירש רש"י ור"ת והר' פטר כולם שוים בדבר בפ"ק דההיא דרבי הונא דבעל מהימן לומר לפקדון מיירי גם לשליח להולכה כדמוכח מקושיות הר' פטר והתשובה שהשיב לר"ח)</w:t>
      </w:r>
      <w:r>
        <w:rPr>
          <w:rFonts w:cs="Arial"/>
          <w:rtl/>
        </w:rPr>
        <w:t>, ועל כן יש ליזהר שלא לעשות שום שליח כששניהם בעיר כדפירשתי וכן עיקר</w:t>
      </w:r>
      <w:r w:rsidRPr="00467FEF">
        <w:rPr>
          <w:rFonts w:cs="Arial"/>
          <w:rtl/>
        </w:rPr>
        <w:t>, ר"פ (</w:t>
      </w:r>
      <w:r w:rsidR="009334FF" w:rsidRPr="00467FEF">
        <w:rPr>
          <w:rFonts w:cs="Arial"/>
          <w:rtl/>
        </w:rPr>
        <w:t>ב</w:t>
      </w:r>
      <w:r w:rsidR="00DB737E" w:rsidRPr="00467FEF">
        <w:rPr>
          <w:rFonts w:cs="Arial"/>
          <w:rtl/>
        </w:rPr>
        <w:t>הגהות</w:t>
      </w:r>
      <w:r w:rsidRPr="00467FEF">
        <w:rPr>
          <w:rFonts w:cs="Arial"/>
          <w:rtl/>
        </w:rPr>
        <w:t xml:space="preserve"> הסמ"ק שם אות ד</w:t>
      </w:r>
      <w:r w:rsidR="00467FEF" w:rsidRPr="00467FEF">
        <w:rPr>
          <w:rFonts w:cs="Arial" w:hint="cs"/>
          <w:rtl/>
        </w:rPr>
        <w:t>,</w:t>
      </w:r>
      <w:r w:rsidRPr="00467FEF">
        <w:rPr>
          <w:rFonts w:cs="Arial"/>
          <w:rtl/>
        </w:rPr>
        <w:t xml:space="preserve"> והעתיק דבריו הארחות חיים (ח"ב הל</w:t>
      </w:r>
      <w:r w:rsidR="00467FEF">
        <w:rPr>
          <w:rFonts w:cs="Arial" w:hint="cs"/>
          <w:rtl/>
        </w:rPr>
        <w:t>'</w:t>
      </w:r>
      <w:r w:rsidRPr="00467FEF">
        <w:rPr>
          <w:rFonts w:cs="Arial"/>
          <w:rtl/>
        </w:rPr>
        <w:t xml:space="preserve"> גיטין עמ' 160), הביאו הב"י</w:t>
      </w:r>
      <w:r w:rsidR="00467FEF">
        <w:rPr>
          <w:rFonts w:cs="Arial" w:hint="cs"/>
          <w:rtl/>
        </w:rPr>
        <w:t>)</w:t>
      </w:r>
      <w:r w:rsidRPr="00467FEF">
        <w:rPr>
          <w:rFonts w:cs="Arial"/>
          <w:rtl/>
        </w:rPr>
        <w:t>.</w:t>
      </w:r>
    </w:p>
  </w:footnote>
  <w:footnote w:id="2249">
    <w:p w14:paraId="498B09B6" w14:textId="77777777" w:rsidR="00C97BEF" w:rsidRDefault="00C97BEF" w:rsidP="00C97BEF">
      <w:pPr>
        <w:pStyle w:val="a5"/>
        <w:rPr>
          <w:rtl/>
        </w:rPr>
      </w:pPr>
      <w:r>
        <w:rPr>
          <w:rStyle w:val="a7"/>
        </w:rPr>
        <w:footnoteRef/>
      </w:r>
      <w:r>
        <w:rPr>
          <w:rtl/>
        </w:rPr>
        <w:t xml:space="preserve"> </w:t>
      </w:r>
      <w:r>
        <w:rPr>
          <w:rFonts w:cs="Arial"/>
          <w:rtl/>
        </w:rPr>
        <w:t>הרי הוא חשוב כשנים כגון בעדות אשה לומר שמת בעלה ובעדות סוטה לומר נטמאה, רש"י.</w:t>
      </w:r>
    </w:p>
  </w:footnote>
  <w:footnote w:id="2250">
    <w:p w14:paraId="76005C1D" w14:textId="77777777" w:rsidR="00C97BEF" w:rsidRDefault="00C97BEF" w:rsidP="00C97BEF">
      <w:pPr>
        <w:pStyle w:val="a5"/>
      </w:pPr>
      <w:r>
        <w:rPr>
          <w:rStyle w:val="a7"/>
        </w:rPr>
        <w:footnoteRef/>
      </w:r>
      <w:r>
        <w:rPr>
          <w:rtl/>
        </w:rPr>
        <w:t xml:space="preserve"> </w:t>
      </w:r>
      <w:r>
        <w:rPr>
          <w:rFonts w:cs="Arial"/>
          <w:rtl/>
        </w:rPr>
        <w:t>דאמר לא מת במקום שנים, רש"י.</w:t>
      </w:r>
    </w:p>
  </w:footnote>
  <w:footnote w:id="2251">
    <w:p w14:paraId="06DAABF1" w14:textId="3F24B68E"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בעל שהביא ראיה ברורה שגט זה שנאמר בו בפני נכתב ובפני נחתם מזוייף הוא הרי זה בטל, שלא האמינו דבריו של אחד שאמר בפני נכתב ובפני נחתם אלא לדחות ערעור הבעל שאין עמו ראיה אבל במקום עדים שמכחישין אותו לא האמינוהו.</w:t>
      </w:r>
    </w:p>
  </w:footnote>
  <w:footnote w:id="2252">
    <w:p w14:paraId="0E02E324" w14:textId="77777777" w:rsidR="00C97BEF" w:rsidRDefault="00C97BEF" w:rsidP="00C97BEF">
      <w:pPr>
        <w:pStyle w:val="a5"/>
      </w:pPr>
      <w:r>
        <w:rPr>
          <w:rStyle w:val="a7"/>
        </w:rPr>
        <w:footnoteRef/>
      </w:r>
      <w:r>
        <w:rPr>
          <w:rtl/>
        </w:rPr>
        <w:t xml:space="preserve"> </w:t>
      </w:r>
      <w:r>
        <w:rPr>
          <w:rFonts w:cs="Arial"/>
          <w:rtl/>
        </w:rPr>
        <w:t>זה פשוט מדאמרינן בכמה דוכתי בפרק קמא דגיטין דהימנו רבנן לשליח האומר בפני נכתב ובפני נחתם כבי תרי ופשיטא דאין דבריו של אחד במקום שנים (יבמות פח:), ב"י.</w:t>
      </w:r>
    </w:p>
  </w:footnote>
  <w:footnote w:id="2253">
    <w:p w14:paraId="1FD0A476" w14:textId="77777777" w:rsidR="00C97BEF" w:rsidRDefault="00C97BEF" w:rsidP="00C97BEF">
      <w:pPr>
        <w:pStyle w:val="a5"/>
      </w:pPr>
      <w:r>
        <w:rPr>
          <w:rStyle w:val="a7"/>
        </w:rPr>
        <w:footnoteRef/>
      </w:r>
      <w:r>
        <w:rPr>
          <w:rtl/>
        </w:rPr>
        <w:t xml:space="preserve"> </w:t>
      </w:r>
      <w:r>
        <w:rPr>
          <w:rFonts w:cs="Arial"/>
          <w:rtl/>
        </w:rPr>
        <w:t>כן כתב הרא"ש בריש גיטין (סי' ב) וגם בתשובותיו (כלל מה סי' י). וכן כתב סמ"ג (עשין נ קלג.) וסמ"ק (סי' קפד בלשון ר"פ עמ' קנ) ומרדכי ריש פרק התקבל (סי' תט) והגמ"ר (גיטין סי' תסו) והגה"מ (פ"ה הט"ז, ופ"ו ה"ג). וכן כתב רבינו בסימן שקודם זה (סע' ל) בשם ה"ר פרץ ז"ל. וכן כתב הרשב"א בתשובה (ח"א סי' תקסא). וכתב דשכיר נמי נאמן. וכתב רבינו בסימן שלפני זה (סע' יא) דאיתא בירושלמי עשה שליח להוליך לה גט צריך להחזיקו בעדים, ושהרא"ש (פ"ד סי' ב) כתבו לפסק הלכה. וכבר כתבתי שם (ד"ה ומ"ש ואדוני אבי) דאע"ג דסבירא ליה להרא"ש שאינו צריך עדים על שליחותו, מכל מקום בעת שימנה אותו הבעל לשליח צריך שימנה אותו בפני עדים, אבל אם הוא אומר שמינהו בינו לבין עצמו או אפילו בפני עד אחד - אין בשליחותו ממש. ודייקתי כן מלשון רבינו שכתב כאן, ושכן משמע מההגהות פ"ה, ושכן כתב סמ"ג. וכתבתי שם (סע' יא בא"ד ובד"ה אבל) דעת רי"ו והרשב"א בפירוש הירושלמי. וכבר כתב שם (מז סע"א) רבינו דעת הרמב"ם (פ"ו ה"ד) שהיא דשליח הולכה ושליח הובאה אין צריך למנותו בעדים, ב"י.</w:t>
      </w:r>
    </w:p>
  </w:footnote>
  <w:footnote w:id="2254">
    <w:p w14:paraId="2242082E" w14:textId="77777777" w:rsidR="00C97BEF" w:rsidRDefault="00C97BEF" w:rsidP="00C97BEF">
      <w:pPr>
        <w:pStyle w:val="a5"/>
        <w:rPr>
          <w:rtl/>
        </w:rPr>
      </w:pPr>
      <w:r>
        <w:rPr>
          <w:rStyle w:val="a7"/>
        </w:rPr>
        <w:footnoteRef/>
      </w:r>
      <w:r>
        <w:rPr>
          <w:rtl/>
        </w:rPr>
        <w:t xml:space="preserve"> </w:t>
      </w:r>
      <w:r>
        <w:rPr>
          <w:rFonts w:cs="Arial"/>
          <w:rtl/>
        </w:rPr>
        <w:t>והר"ן ספ"ב דגיטין כתב דהרשב"א פליג בזה, דרכ"מ (אות ג).</w:t>
      </w:r>
    </w:p>
  </w:footnote>
  <w:footnote w:id="2255">
    <w:p w14:paraId="5A4080DC" w14:textId="77777777" w:rsidR="00C97BEF" w:rsidRDefault="00C97BEF" w:rsidP="00C97BEF">
      <w:pPr>
        <w:pStyle w:val="a5"/>
        <w:rPr>
          <w:rtl/>
        </w:rPr>
      </w:pPr>
      <w:r>
        <w:rPr>
          <w:rStyle w:val="a7"/>
        </w:rPr>
        <w:footnoteRef/>
      </w:r>
      <w:r>
        <w:rPr>
          <w:rtl/>
        </w:rPr>
        <w:t xml:space="preserve"> </w:t>
      </w:r>
      <w:r>
        <w:rPr>
          <w:rFonts w:cs="Arial"/>
          <w:rtl/>
        </w:rPr>
        <w:t>לכאורה נראה לדייק כמה דיוקים מזה. א'- דוקא ש"ה נאמן משום דהוא נאמן לומר ב"נ נתנו חז"ל ליה נאמנות ג"כ לומר דהוא שלוחו, אבל ש"ק אינו נאמן. גם משמע דוקא בחו"ל דאומר ב"נ וב"נ נאמן ולא בא"י, ולא כהרמ"ה. ובסעיף י' בהג"ה לא משמע כן. גם משמע אפילו בעיר א' נאמן ואפילו אם הבעל מכחישו. ובסמוך גם בסי' קמ"א לא משמע כן. וכתב בט"ז אשה שנתגרשה צריכה כתב מב"ד שנתגרשה, ואין הרב נאמן להעיד ע"ז יחידי. ול"ד לקיום שטרות דכאן מוציא אותה מחזקתה לכן צריכה היא מעשה ב"ד, ואז יכולה להראות בכל מקום אשר תבוא דהיא מגורשת</w:t>
      </w:r>
      <w:r>
        <w:rPr>
          <w:rtl/>
        </w:rPr>
        <w:t xml:space="preserve">, </w:t>
      </w:r>
      <w:r>
        <w:rPr>
          <w:b/>
          <w:bCs/>
          <w:rtl/>
        </w:rPr>
        <w:t>ב"ש</w:t>
      </w:r>
      <w:r>
        <w:rPr>
          <w:rtl/>
        </w:rPr>
        <w:t xml:space="preserve"> (סק"ז). </w:t>
      </w:r>
      <w:r>
        <w:rPr>
          <w:rFonts w:cs="Arial"/>
          <w:rtl/>
        </w:rPr>
        <w:t>והנה זה פשוט דדוקא במקום שהיא מוחזקת בא"א וכמבואר מלשונם שכתבו דכאן מוציא אותה מחזקתה. אבל במקום שאין יודעין שהיתה א"א - גם היא עצמה נאמנת לומר גרושה אני כדלקמן סי' קנ"ב ס"ו, והכתב ראיה אינו רק לרווחא דמלתא פשיטא דמהני אפי' עד א' בכתב עמ"ש בסי' קנ"ב סק"ו. ומ"ש ואין הרב נאמן להעיד ע"ז יחידי. מ"ש ביחידי ל"ד הוא וה"ה הרב עם עוד אחד לא מהני וכמו שמסיים דצריכה מעשה ב"ד. והטעם דאין מועיל שנים הוא פשוט ומבואר לעיל סי' מ"ב בב"ש סקט"ו דהוי מפי כתבם... ולפ"ז אם מפורש בהכתב ראיה שנכתב מדעת המגרש והמתגרשת דאז דין שטר עליו שפיר מועיל שנים כמבואר מדברי הב"ש שם, ועמ"ש בפ"ח שם. ואפשר דאם הרב ועוד דיין א' חתומים עליו סגי אף אם אין מפורש שנכתב מדעת שניהם, דהא בב"י ובב"ש שם כתבו בשם הרשב"א דלא אמרינן בזה חזקה אין עדים חותמין אלא בריצוי הצדדים דאנן סהדי דאין העדים בקיאים בזה (ע' בח"מ סי' ל"ט סי"א), וא"כ גבי שני דיינים ל"ש זה וכן מצאתי ברדב"ז (ח"ב סי' תשסה) גבי שטר קדושין שנכתב ע"י סופרי העיר אמרינן חזקה דבקיאי בזה ולא חתמו אלא מדעת ע"ש, וכ"ש כאן בנכתב ע"י דיינים וצ"ע</w:t>
      </w:r>
      <w:r>
        <w:rPr>
          <w:rtl/>
        </w:rPr>
        <w:t xml:space="preserve">..., </w:t>
      </w:r>
      <w:r>
        <w:rPr>
          <w:b/>
          <w:bCs/>
          <w:rtl/>
        </w:rPr>
        <w:t>פת"ש</w:t>
      </w:r>
      <w:r>
        <w:rPr>
          <w:rtl/>
        </w:rPr>
        <w:t xml:space="preserve"> (סק"ז). ועיין שם בפת"ש שהביא הרבה תשובות בעניין אשה האומרת שנתגרשה בב"ד ואיבדה ראייתה, האם נאמנת. </w:t>
      </w:r>
    </w:p>
  </w:footnote>
  <w:footnote w:id="2256">
    <w:p w14:paraId="779C61F1" w14:textId="77777777" w:rsidR="00C97BEF" w:rsidRDefault="00C97BEF" w:rsidP="00C97BEF">
      <w:pPr>
        <w:pStyle w:val="a5"/>
        <w:rPr>
          <w:rtl/>
        </w:rPr>
      </w:pPr>
      <w:r>
        <w:rPr>
          <w:rStyle w:val="a7"/>
        </w:rPr>
        <w:footnoteRef/>
      </w:r>
      <w:r>
        <w:rPr>
          <w:rtl/>
        </w:rPr>
        <w:t xml:space="preserve"> </w:t>
      </w:r>
      <w:r>
        <w:rPr>
          <w:rFonts w:cs="Arial"/>
          <w:rtl/>
        </w:rPr>
        <w:t>השליח, רש"י.</w:t>
      </w:r>
    </w:p>
  </w:footnote>
  <w:footnote w:id="2257">
    <w:p w14:paraId="45665B94" w14:textId="77777777" w:rsidR="00C97BEF" w:rsidRDefault="00C97BEF" w:rsidP="00C97BEF">
      <w:pPr>
        <w:pStyle w:val="a5"/>
      </w:pPr>
      <w:r>
        <w:rPr>
          <w:rStyle w:val="a7"/>
        </w:rPr>
        <w:footnoteRef/>
      </w:r>
      <w:r>
        <w:rPr>
          <w:rtl/>
        </w:rPr>
        <w:t xml:space="preserve"> </w:t>
      </w:r>
      <w:r>
        <w:rPr>
          <w:rFonts w:cs="Arial"/>
          <w:rtl/>
        </w:rPr>
        <w:t>אי מכשרת בשנים, זמנין דמייתא ליה אשה וסמכינן עלה לאכשורי נמי בשנים, ואשה לא חזיא לאצטרופי בהדייהו לתלתא, רש"י.</w:t>
      </w:r>
    </w:p>
  </w:footnote>
  <w:footnote w:id="2258">
    <w:p w14:paraId="02D40E84" w14:textId="77777777" w:rsidR="00C97BEF" w:rsidRDefault="00C97BEF" w:rsidP="00C97BEF">
      <w:pPr>
        <w:pStyle w:val="a5"/>
      </w:pPr>
      <w:r>
        <w:rPr>
          <w:rStyle w:val="a7"/>
        </w:rPr>
        <w:footnoteRef/>
      </w:r>
      <w:r>
        <w:rPr>
          <w:rtl/>
        </w:rPr>
        <w:t xml:space="preserve"> </w:t>
      </w:r>
      <w:r>
        <w:rPr>
          <w:rFonts w:cs="Arial"/>
          <w:rtl/>
        </w:rPr>
        <w:t>וכן כתב הר"ן (ב. ד"ה בפני) דהוא הדין לקרוב המביא גט שצריך ליתנו בפני שלשה. אלא שהוסיף וכתב דיש אומרים דכיון שהזכיר חשש הבאת האשה שהוא דבר שאינו מצוי ולא הזכיר קרוב או פסול - משמע שאף הקרובים מצטרפין לשלשה, דאע"ג דדיינים קרובים לבעל דבר פסולין בעלמא, אפ"ה הקלו להכשירן כאן כמו שהקלו והאמינו הבעל דבר לקיימו ולומר בפ"נ ובפ"נ, וכדתנן האשה מביאה גיטה ובלבד שתהא צריכה לומר בפ"נ ובפ"נ. ואעפ"כ לא הכשירו שתצטרף האשה לג' משום דאשה לאו בת דין היא כלל.</w:t>
      </w:r>
    </w:p>
  </w:footnote>
  <w:footnote w:id="2259">
    <w:p w14:paraId="1C3D97F3" w14:textId="7FBDF89D" w:rsidR="00C97BEF" w:rsidRDefault="00C97BEF" w:rsidP="00C97BEF">
      <w:pPr>
        <w:pStyle w:val="a5"/>
      </w:pPr>
      <w:r>
        <w:rPr>
          <w:rStyle w:val="a7"/>
        </w:rPr>
        <w:footnoteRef/>
      </w:r>
      <w:r>
        <w:rPr>
          <w:rtl/>
        </w:rPr>
        <w:t xml:space="preserve"> </w:t>
      </w:r>
      <w:r>
        <w:rPr>
          <w:rFonts w:cs="Arial"/>
          <w:rtl/>
        </w:rPr>
        <w:t xml:space="preserve">אחרי שהטור כתב את דבריו דלעיל כתב </w:t>
      </w:r>
      <w:r w:rsidR="000A0F5A">
        <w:rPr>
          <w:rFonts w:cs="Arial"/>
          <w:rtl/>
        </w:rPr>
        <w:t>וז"ל:</w:t>
      </w:r>
      <w:r>
        <w:rPr>
          <w:rFonts w:cs="Arial"/>
          <w:rtl/>
        </w:rPr>
        <w:t xml:space="preserve"> והר"ף מחמיר וכתב-...</w:t>
      </w:r>
    </w:p>
  </w:footnote>
  <w:footnote w:id="2260">
    <w:p w14:paraId="01FB0F63" w14:textId="77777777" w:rsidR="00C97BEF" w:rsidRDefault="00C97BEF" w:rsidP="00C97BEF">
      <w:pPr>
        <w:pStyle w:val="a5"/>
      </w:pPr>
      <w:r>
        <w:rPr>
          <w:rStyle w:val="a7"/>
        </w:rPr>
        <w:footnoteRef/>
      </w:r>
      <w:r>
        <w:rPr>
          <w:rtl/>
        </w:rPr>
        <w:t xml:space="preserve"> </w:t>
      </w:r>
      <w:r>
        <w:rPr>
          <w:rFonts w:hint="cs"/>
          <w:rtl/>
        </w:rPr>
        <w:t xml:space="preserve">הטור כתב בשמו 'קרוב או אשה'. </w:t>
      </w:r>
    </w:p>
  </w:footnote>
  <w:footnote w:id="2261">
    <w:p w14:paraId="178A05BC" w14:textId="77777777" w:rsidR="00C97BEF" w:rsidRDefault="00C97BEF" w:rsidP="00C97BEF">
      <w:pPr>
        <w:pStyle w:val="a5"/>
      </w:pPr>
      <w:r>
        <w:rPr>
          <w:rStyle w:val="a7"/>
        </w:rPr>
        <w:footnoteRef/>
      </w:r>
      <w:r>
        <w:rPr>
          <w:rFonts w:cs="Arial"/>
          <w:rtl/>
        </w:rPr>
        <w:t xml:space="preserve"> </w:t>
      </w:r>
      <w:r>
        <w:rPr>
          <w:rFonts w:cs="Arial" w:hint="cs"/>
          <w:rtl/>
        </w:rPr>
        <w:t>ופשוט הוא, והכי דייק לשון רבינו שכתב כשמביאו ממדינת הים. מיהו בפני שנים לעולם צריך לכולי עלמא לכתחלה. ולדעת הרבה פוסקים אם עבר ומסרו שלא בעדים - אינה מגורשת, וכמ"ש בסימן קל"ג</w:t>
      </w:r>
      <w:r>
        <w:rPr>
          <w:rtl/>
        </w:rPr>
        <w:t xml:space="preserve">, </w:t>
      </w:r>
      <w:r>
        <w:rPr>
          <w:b/>
          <w:bCs/>
          <w:rtl/>
        </w:rPr>
        <w:t>ב"י</w:t>
      </w:r>
      <w:r>
        <w:rPr>
          <w:rtl/>
        </w:rPr>
        <w:t>.</w:t>
      </w:r>
      <w:r>
        <w:rPr>
          <w:rFonts w:cs="Arial"/>
          <w:rtl/>
        </w:rPr>
        <w:t xml:space="preserve"> מיהו נראה דאם השליח כשר לעדות עולה לשנים, וכן הוא שם בשלט"ג (ב. סוף אות א), </w:t>
      </w:r>
      <w:r>
        <w:rPr>
          <w:rFonts w:cs="Arial"/>
          <w:b/>
          <w:bCs/>
          <w:rtl/>
        </w:rPr>
        <w:t>דרכ"מ</w:t>
      </w:r>
      <w:r>
        <w:rPr>
          <w:rFonts w:cs="Arial"/>
          <w:rtl/>
        </w:rPr>
        <w:t xml:space="preserve"> (אות ד).</w:t>
      </w:r>
    </w:p>
  </w:footnote>
  <w:footnote w:id="2262">
    <w:p w14:paraId="250ABCB1" w14:textId="77777777" w:rsidR="00C97BEF" w:rsidRDefault="00C97BEF" w:rsidP="00C97BEF">
      <w:pPr>
        <w:pStyle w:val="a5"/>
      </w:pPr>
      <w:r>
        <w:rPr>
          <w:rStyle w:val="a7"/>
        </w:rPr>
        <w:footnoteRef/>
      </w:r>
      <w:r>
        <w:rPr>
          <w:rtl/>
        </w:rPr>
        <w:t xml:space="preserve"> </w:t>
      </w:r>
      <w:r>
        <w:rPr>
          <w:rFonts w:cs="Arial"/>
          <w:rtl/>
        </w:rPr>
        <w:t>הא דמצטרפים השליח היינו דוקא להיות א' מדייני קיום כשהוא אינו קרוב ופסול, אבל לענין עדי מסירה אפי' בגט מקוים צריך למסור דוקא בפני שנים בזה איתא פלוגתא אם מצטרפים השליח כמ"ש בסי' קמ"א, ב"ש (סק"ח).</w:t>
      </w:r>
    </w:p>
  </w:footnote>
  <w:footnote w:id="2263">
    <w:p w14:paraId="2364A54F" w14:textId="77777777" w:rsidR="00983401" w:rsidRDefault="00983401" w:rsidP="00983401">
      <w:pPr>
        <w:pStyle w:val="a5"/>
      </w:pPr>
      <w:r>
        <w:rPr>
          <w:rStyle w:val="a7"/>
        </w:rPr>
        <w:footnoteRef/>
      </w:r>
      <w:r>
        <w:rPr>
          <w:rtl/>
        </w:rPr>
        <w:t xml:space="preserve"> </w:t>
      </w:r>
      <w:r>
        <w:rPr>
          <w:rFonts w:cs="Arial" w:hint="cs"/>
          <w:rtl/>
        </w:rPr>
        <w:t>וז</w:t>
      </w:r>
      <w:r>
        <w:rPr>
          <w:rFonts w:cs="Arial"/>
          <w:rtl/>
        </w:rPr>
        <w:t>"</w:t>
      </w:r>
      <w:r>
        <w:rPr>
          <w:rFonts w:cs="Arial" w:hint="cs"/>
          <w:rtl/>
        </w:rPr>
        <w:t xml:space="preserve">ל: </w:t>
      </w:r>
      <w:r w:rsidRPr="00E162AE">
        <w:rPr>
          <w:rFonts w:cs="Arial"/>
          <w:rtl/>
        </w:rPr>
        <w:t>ומעשה היה בימי רש"י ז"ל על מומר לעבודת כוכבים שנתרצה לתת גט לאשתו</w:t>
      </w:r>
      <w:r>
        <w:rPr>
          <w:rFonts w:cs="Arial" w:hint="cs"/>
          <w:rtl/>
        </w:rPr>
        <w:t>,</w:t>
      </w:r>
      <w:r w:rsidRPr="00E162AE">
        <w:rPr>
          <w:rFonts w:cs="Arial"/>
          <w:rtl/>
        </w:rPr>
        <w:t xml:space="preserve"> והורה רש"י לאחר לקבל הגט שלא מדעתה</w:t>
      </w:r>
      <w:r>
        <w:rPr>
          <w:rFonts w:cs="Arial" w:hint="cs"/>
          <w:rtl/>
        </w:rPr>
        <w:t>.</w:t>
      </w:r>
      <w:r w:rsidRPr="00E162AE">
        <w:rPr>
          <w:rFonts w:cs="Arial"/>
          <w:rtl/>
        </w:rPr>
        <w:t xml:space="preserve"> עוד השיב אע</w:t>
      </w:r>
      <w:r>
        <w:rPr>
          <w:rFonts w:cs="Arial" w:hint="cs"/>
          <w:rtl/>
        </w:rPr>
        <w:t>"</w:t>
      </w:r>
      <w:r w:rsidRPr="00E162AE">
        <w:rPr>
          <w:rFonts w:cs="Arial"/>
          <w:rtl/>
        </w:rPr>
        <w:t>ג שהשליח נותן הגט בפני שלשה משום דדמי למשפט</w:t>
      </w:r>
      <w:r>
        <w:rPr>
          <w:rFonts w:cs="Arial" w:hint="cs"/>
          <w:sz w:val="16"/>
          <w:szCs w:val="16"/>
          <w:rtl/>
        </w:rPr>
        <w:t xml:space="preserve"> {היינו לכתחילה, </w:t>
      </w:r>
      <w:r w:rsidRPr="00EB53AC">
        <w:rPr>
          <w:rFonts w:cs="Arial"/>
          <w:sz w:val="16"/>
          <w:szCs w:val="16"/>
          <w:rtl/>
        </w:rPr>
        <w:t>אם כי וודאי מעיקרא דדינא אין שום מקום לזה</w:t>
      </w:r>
      <w:r>
        <w:rPr>
          <w:rFonts w:cs="Arial" w:hint="cs"/>
          <w:sz w:val="16"/>
          <w:szCs w:val="16"/>
          <w:rtl/>
        </w:rPr>
        <w:t>, ערוה"ש [סדר הגט סע' ד] בפירוש</w:t>
      </w:r>
      <w:r w:rsidRPr="00EB53AC">
        <w:rPr>
          <w:rFonts w:cs="Arial"/>
          <w:sz w:val="16"/>
          <w:szCs w:val="16"/>
          <w:rtl/>
        </w:rPr>
        <w:t xml:space="preserve"> כוונת רש"י</w:t>
      </w:r>
      <w:r>
        <w:rPr>
          <w:rFonts w:cs="Arial" w:hint="cs"/>
          <w:sz w:val="16"/>
          <w:szCs w:val="16"/>
          <w:rtl/>
        </w:rPr>
        <w:t>}</w:t>
      </w:r>
      <w:r>
        <w:rPr>
          <w:rFonts w:cs="Arial" w:hint="cs"/>
          <w:rtl/>
        </w:rPr>
        <w:t>,</w:t>
      </w:r>
      <w:r w:rsidRPr="00E162AE">
        <w:rPr>
          <w:rFonts w:cs="Arial"/>
          <w:rtl/>
        </w:rPr>
        <w:t xml:space="preserve"> אפ"ה כיון דקיום שטרות דרבנן </w:t>
      </w:r>
      <w:r>
        <w:rPr>
          <w:rFonts w:cs="Arial" w:hint="cs"/>
          <w:rtl/>
        </w:rPr>
        <w:t xml:space="preserve">- </w:t>
      </w:r>
      <w:r w:rsidRPr="00E162AE">
        <w:rPr>
          <w:rFonts w:cs="Arial"/>
          <w:rtl/>
        </w:rPr>
        <w:t>יכול ליתנו בלילה</w:t>
      </w:r>
      <w:r>
        <w:rPr>
          <w:rFonts w:cs="Arial" w:hint="cs"/>
          <w:rtl/>
        </w:rPr>
        <w:t>,</w:t>
      </w:r>
      <w:r w:rsidRPr="00E162AE">
        <w:rPr>
          <w:rFonts w:cs="Arial"/>
          <w:rtl/>
        </w:rPr>
        <w:t xml:space="preserve"> ולא דמי לקיום שטרות דעלמא דתחלת דין הוא</w:t>
      </w:r>
      <w:r>
        <w:rPr>
          <w:rFonts w:cs="Arial" w:hint="cs"/>
          <w:rtl/>
        </w:rPr>
        <w:t>,</w:t>
      </w:r>
      <w:r w:rsidRPr="00E162AE">
        <w:rPr>
          <w:rFonts w:cs="Arial"/>
          <w:rtl/>
        </w:rPr>
        <w:t xml:space="preserve"> אבל הכא סוף דין הוא</w:t>
      </w:r>
      <w:r>
        <w:rPr>
          <w:rFonts w:cs="Arial" w:hint="cs"/>
          <w:rtl/>
        </w:rPr>
        <w:t>.</w:t>
      </w:r>
    </w:p>
  </w:footnote>
  <w:footnote w:id="2264">
    <w:p w14:paraId="67269C4B" w14:textId="77777777" w:rsidR="00983401" w:rsidRPr="00084FB5" w:rsidRDefault="00983401" w:rsidP="00983401">
      <w:pPr>
        <w:pStyle w:val="a5"/>
        <w:rPr>
          <w:rtl/>
        </w:rPr>
      </w:pPr>
      <w:r>
        <w:rPr>
          <w:rStyle w:val="a7"/>
        </w:rPr>
        <w:footnoteRef/>
      </w:r>
      <w:r>
        <w:rPr>
          <w:rtl/>
        </w:rPr>
        <w:t xml:space="preserve"> </w:t>
      </w:r>
      <w:r>
        <w:rPr>
          <w:rFonts w:cs="Arial" w:hint="cs"/>
          <w:rtl/>
        </w:rPr>
        <w:t>ולכאורה יש להוכיח כן מהגמרא בגיטין (עו:) דאם נתן לה גט בלילה ואמר לה ע"מ שתצא חמה מנרתיקה, ומת בלילה ההוא - הוי גט למפרע, אם כן ברור שאשה מתגרשת בלילה. ואת דברי הגמרא הללו פסקו ה</w:t>
      </w:r>
      <w:r>
        <w:rPr>
          <w:rFonts w:cs="Arial"/>
          <w:rtl/>
        </w:rPr>
        <w:t>טור</w:t>
      </w:r>
      <w:r>
        <w:rPr>
          <w:rFonts w:cs="Arial" w:hint="cs"/>
          <w:rtl/>
        </w:rPr>
        <w:t xml:space="preserve"> והשו"ע בסימן קמד (סע' ד) וז"ל הטור:</w:t>
      </w:r>
      <w:r>
        <w:rPr>
          <w:rFonts w:cs="Arial"/>
          <w:rtl/>
        </w:rPr>
        <w:t xml:space="preserve"> נתן לה גט בלילה ואמר לה ה"ז גיטך ע"מ שיזרח השמש, ומת בלילה - כש</w:t>
      </w:r>
      <w:r>
        <w:rPr>
          <w:rFonts w:cs="Arial" w:hint="cs"/>
          <w:rtl/>
        </w:rPr>
        <w:t>ת</w:t>
      </w:r>
      <w:r>
        <w:rPr>
          <w:rFonts w:cs="Arial"/>
          <w:rtl/>
        </w:rPr>
        <w:t>זרח השמש הוי גט למפרע.</w:t>
      </w:r>
      <w:r>
        <w:rPr>
          <w:rFonts w:hint="cs"/>
          <w:rtl/>
        </w:rPr>
        <w:t xml:space="preserve"> וצל"ע.</w:t>
      </w:r>
    </w:p>
  </w:footnote>
  <w:footnote w:id="2265">
    <w:p w14:paraId="4F46C5DB" w14:textId="77777777" w:rsidR="00983401" w:rsidRDefault="00983401" w:rsidP="00983401">
      <w:pPr>
        <w:pStyle w:val="a5"/>
      </w:pPr>
      <w:r>
        <w:rPr>
          <w:rStyle w:val="a7"/>
        </w:rPr>
        <w:footnoteRef/>
      </w:r>
      <w:r>
        <w:rPr>
          <w:rtl/>
        </w:rPr>
        <w:t xml:space="preserve"> </w:t>
      </w:r>
      <w:r>
        <w:rPr>
          <w:rFonts w:hint="cs"/>
          <w:rtl/>
        </w:rPr>
        <w:t xml:space="preserve">וזה טורף לשונו: </w:t>
      </w:r>
      <w:r w:rsidRPr="003236EA">
        <w:rPr>
          <w:rFonts w:cs="Arial"/>
          <w:rtl/>
        </w:rPr>
        <w:t>ונראה בעיני דאשה שקבלה גיטה בלילה שאינה מגורשת דתחילת דין שפטינן ביום ולא בלילה כדתנן פ' אחד דיני ממונות</w:t>
      </w:r>
      <w:r>
        <w:rPr>
          <w:rFonts w:cs="Arial" w:hint="cs"/>
          <w:rtl/>
        </w:rPr>
        <w:t>...</w:t>
      </w:r>
      <w:r w:rsidRPr="003236EA">
        <w:rPr>
          <w:rFonts w:cs="Arial"/>
          <w:rtl/>
        </w:rPr>
        <w:t xml:space="preserve"> הלכך נתינת הגט בלילה שהוא תחילת הדין פסול אפי' בדיעבד מידי דהוה אחליצה דקיי"ל שהיא תחילת הדין</w:t>
      </w:r>
      <w:r>
        <w:rPr>
          <w:rFonts w:cs="Arial" w:hint="cs"/>
          <w:rtl/>
        </w:rPr>
        <w:t>...</w:t>
      </w:r>
      <w:r w:rsidRPr="003236EA">
        <w:rPr>
          <w:rFonts w:cs="Arial"/>
          <w:rtl/>
        </w:rPr>
        <w:t xml:space="preserve"> ותו נראה בעיני דאפי' למ"ד חליצה כגמר הדין מודה בנתינת [הגט] דהוא תחילת דין.</w:t>
      </w:r>
      <w:r>
        <w:rPr>
          <w:rFonts w:cs="Arial" w:hint="cs"/>
          <w:rtl/>
        </w:rPr>
        <w:t>..</w:t>
      </w:r>
      <w:r w:rsidRPr="003236EA">
        <w:rPr>
          <w:rFonts w:cs="Arial"/>
          <w:rtl/>
        </w:rPr>
        <w:t xml:space="preserve"> הלכך נראה בעיני אשה שקבלה גיטא בליליא ל"ש מידו לידה ל"ש מיד שלוחו ל"ש באותה מדינה ל"ש בבא ממדינת הים אחרת לאו כלום הוא ואינה מגורשת כלל.</w:t>
      </w:r>
      <w:r>
        <w:rPr>
          <w:rFonts w:cs="Arial" w:hint="cs"/>
          <w:rtl/>
        </w:rPr>
        <w:t>..</w:t>
      </w:r>
      <w:r w:rsidRPr="003236EA">
        <w:rPr>
          <w:rFonts w:cs="Arial"/>
          <w:rtl/>
        </w:rPr>
        <w:t xml:space="preserve"> ודבר זה לא כתבתי לסמוך עלי בשעת מעשה עד שאשמע דעת רבותי מה יאמרו אע</w:t>
      </w:r>
      <w:r>
        <w:rPr>
          <w:rFonts w:cs="Arial" w:hint="cs"/>
          <w:rtl/>
        </w:rPr>
        <w:t>"</w:t>
      </w:r>
      <w:r w:rsidRPr="003236EA">
        <w:rPr>
          <w:rFonts w:cs="Arial"/>
          <w:rtl/>
        </w:rPr>
        <w:t xml:space="preserve">פ שנראה בעיני כמו שהוכחתי מחליצה מדכתיב ביה משפט. ואף על גב דמייתי לה אעישוי גט ולא אשכחן דמייתי ליה אנתינת גט אפ"ה ליכא למימר דדוקא אעישוי כתיב ואלה המשפטים ולא אנתינה. </w:t>
      </w:r>
      <w:r w:rsidRPr="006E4A64">
        <w:rPr>
          <w:rFonts w:cs="Arial"/>
          <w:rtl/>
        </w:rPr>
        <w:t>וראיה לדבר בהחולץ דא"ר חייא בר אבא א"ר יוחנן גר צריך שלשה מ"ט משפט כתיב ביה</w:t>
      </w:r>
      <w:r w:rsidRPr="006E4A64">
        <w:rPr>
          <w:rFonts w:cs="Arial" w:hint="cs"/>
          <w:rtl/>
        </w:rPr>
        <w:t xml:space="preserve">... </w:t>
      </w:r>
      <w:r w:rsidRPr="006E4A64">
        <w:rPr>
          <w:rFonts w:cs="Arial"/>
          <w:rtl/>
        </w:rPr>
        <w:t>מעתה יש לי ללמוד מיכן אפי' אי הוה כתב ואלה המשפטים בפירוש אעשוי אין לומר דדוקא אעישוי קאי ולא אנתינת גט בק"ו מטבילה שאינה גובה ממון ק"ו נתינת גט שהיא גובה כתובתה ובלאותיה ואין הבעל יורשה ואינו אוכל פירות בנכסי מלוג ופטור מקבורתה ומפרקונה ושייך ביה דינא טובא כ"ש דמוקמינן ביה המשפטים. ושפיר ילפינן מינה דאין נותנין גט בלילה דמשפט כתיב ביה אלא ביום דווקא.</w:t>
      </w:r>
      <w:r>
        <w:rPr>
          <w:rFonts w:cs="Arial" w:hint="cs"/>
          <w:rtl/>
        </w:rPr>
        <w:t xml:space="preserve">.. </w:t>
      </w:r>
      <w:r w:rsidRPr="006E4A64">
        <w:rPr>
          <w:rFonts w:cs="Arial"/>
          <w:rtl/>
        </w:rPr>
        <w:t>הלכך נראה בעיני דנתינת הגט דוקא ביום ולא בלילה. ומגמגם מה שאומר משום דכתיב ויצאה והיתה ויש צדדין בדבר ולא אכתוב עד אראה מה שישיבני רבותי על הגט</w:t>
      </w:r>
      <w:r>
        <w:rPr>
          <w:rFonts w:cs="Arial" w:hint="cs"/>
          <w:rtl/>
        </w:rPr>
        <w:t>.</w:t>
      </w:r>
    </w:p>
  </w:footnote>
  <w:footnote w:id="2266">
    <w:p w14:paraId="27F5900B" w14:textId="77777777" w:rsidR="00C97BEF" w:rsidRDefault="00C97BEF" w:rsidP="00C97BEF">
      <w:pPr>
        <w:pStyle w:val="a5"/>
      </w:pPr>
      <w:r>
        <w:rPr>
          <w:rStyle w:val="a7"/>
        </w:rPr>
        <w:footnoteRef/>
      </w:r>
      <w:r>
        <w:rPr>
          <w:rtl/>
        </w:rPr>
        <w:t xml:space="preserve"> </w:t>
      </w:r>
      <w:r>
        <w:rPr>
          <w:rFonts w:hint="cs"/>
          <w:rtl/>
        </w:rPr>
        <w:t>וכן איתא בב"מ (נה:).</w:t>
      </w:r>
    </w:p>
  </w:footnote>
  <w:footnote w:id="2267">
    <w:p w14:paraId="12A3C340" w14:textId="77777777" w:rsidR="00C97BEF" w:rsidRDefault="00C97BEF" w:rsidP="00C97BEF">
      <w:pPr>
        <w:pStyle w:val="a5"/>
      </w:pPr>
      <w:r>
        <w:rPr>
          <w:rStyle w:val="a7"/>
        </w:rPr>
        <w:footnoteRef/>
      </w:r>
      <w:r>
        <w:rPr>
          <w:rtl/>
        </w:rPr>
        <w:t xml:space="preserve"> </w:t>
      </w:r>
      <w:r>
        <w:rPr>
          <w:rFonts w:cs="Arial"/>
          <w:rtl/>
        </w:rPr>
        <w:t>וכתב בסדר גיטין דהוא הדין שליח בית דין צריך למימר תוך כדי דיבור לנתינה שליח בית דין אני, דרכ"מ (אות ו).</w:t>
      </w:r>
    </w:p>
  </w:footnote>
  <w:footnote w:id="2268">
    <w:p w14:paraId="2F862C24" w14:textId="75155664"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אומר הר"ם מקינון דאף לאחר זמן מרובה אם ימצא עדי המסירה יכול לומר בפנ"כ ובפנ"ח אבל לא בפני עדים אחרים שלא מן המסירה דה"ל חצי עדות, והכא שמצריך ליטלו כו' לפי שלא מצא עדי מסירה. וקצת משמע כן בירושלמי (פ"א ה"א) דחד אייתי גיטא ולא אמר בפנ"כ ובפנ"ח אמר ר' יוחנן יחזור ויתננו לה ומסיק דטעמא דר' יוחנן כדי להחזיקה גרושה בפני שנים.</w:t>
      </w:r>
    </w:p>
  </w:footnote>
  <w:footnote w:id="2269">
    <w:p w14:paraId="49583C44" w14:textId="77777777" w:rsidR="00C97BEF" w:rsidRDefault="00C97BEF" w:rsidP="00C97BEF">
      <w:pPr>
        <w:pStyle w:val="a5"/>
      </w:pPr>
      <w:r>
        <w:rPr>
          <w:rStyle w:val="a7"/>
        </w:rPr>
        <w:footnoteRef/>
      </w:r>
      <w:r>
        <w:rPr>
          <w:rtl/>
        </w:rPr>
        <w:t xml:space="preserve"> </w:t>
      </w:r>
      <w:r>
        <w:rPr>
          <w:rFonts w:hint="cs"/>
          <w:rtl/>
        </w:rPr>
        <w:t xml:space="preserve">וז"ל הרא"ש- </w:t>
      </w:r>
      <w:r>
        <w:rPr>
          <w:rFonts w:cs="Arial"/>
          <w:rtl/>
        </w:rPr>
        <w:t>וה"ר יעקב מקינון פירש דלהכי בעי' שיטלנו משום דבעינן שיאמר בפני שנים שהיו בשעת מסירת הגט ומיירי הכא כשמתו או כשהלכו למדינת הים. ולא נהירא, דלישנא דברייתא בסתמא קתני דמשמע שאין תקנה אחרת.</w:t>
      </w:r>
    </w:p>
  </w:footnote>
  <w:footnote w:id="2270">
    <w:p w14:paraId="590CD8B7" w14:textId="77777777" w:rsidR="00C97BEF" w:rsidRDefault="00C97BEF" w:rsidP="00C97BEF">
      <w:pPr>
        <w:pStyle w:val="a5"/>
      </w:pPr>
      <w:r>
        <w:rPr>
          <w:rStyle w:val="a7"/>
        </w:rPr>
        <w:footnoteRef/>
      </w:r>
      <w:r>
        <w:rPr>
          <w:rtl/>
        </w:rPr>
        <w:t xml:space="preserve"> </w:t>
      </w:r>
      <w:r>
        <w:rPr>
          <w:rFonts w:cs="Arial"/>
          <w:rtl/>
        </w:rPr>
        <w:t>נ"ל דהיינו שהיו הם שם כשנמסר לה, דאל"כ מנא ידעי, ואי מפני ששמעו מעדי מסירה שנמסר בפניהם הוי ליה עד מפי עד (סנהדרין לז. לז:) ולאו מידי הוא, ב"י.</w:t>
      </w:r>
    </w:p>
  </w:footnote>
  <w:footnote w:id="2271">
    <w:p w14:paraId="5CE2C06B" w14:textId="77777777" w:rsidR="00C97BEF" w:rsidRDefault="00C97BEF" w:rsidP="00C97BEF">
      <w:pPr>
        <w:pStyle w:val="a5"/>
        <w:rPr>
          <w:rtl/>
        </w:rPr>
      </w:pPr>
      <w:r>
        <w:rPr>
          <w:rStyle w:val="a7"/>
        </w:rPr>
        <w:footnoteRef/>
      </w:r>
      <w:r>
        <w:rPr>
          <w:rtl/>
        </w:rPr>
        <w:t xml:space="preserve"> </w:t>
      </w:r>
      <w:r>
        <w:rPr>
          <w:rFonts w:cs="Arial"/>
          <w:rtl/>
        </w:rPr>
        <w:t xml:space="preserve">לא ידעתי מנליה אם לא מדקתני יטלנו הימנה ויחזור ויתננו לה ויאמר בפני נכתב ובפני נחתם. ואי משום הא - אין הכרע, דאיכא למימר דאורחא דמילתא נקט, אבל אין הכי נמי דבשיאמר לעדים סגי דומיא דאומר לעדים ראו גט שאני נותן לאשתי ואמר לה כנסי שטר חוב (גיטין נה.) דמגורשת, דאלמא אמירה לעדים כאמירה לאשה, אבל מכל מקום על כרחך צריך שיאמר בפני האשה בפני נכתב ובפני נחתם שהרי בשעת נתינה צריך לאומרו כמו שנתבאר בסמוך, וא"כ קשה מאי האי דקאמר הרמ"ה דאי אמר להו לסהדי ולא אמר לדילה. ונ"ל דהכי פירושו שאע"פ שכשאמר בפניה בפני נכתב ובפני נחתם לא אמרו כמדבר עמה אלא כמדבר עם העדים. ומיהו תמיהא לי, מאחר שאמר בפניה בפני נכתב ובפני נחתם מנליה להצריך לכתחלה מיהא שיאמר לה, </w:t>
      </w:r>
      <w:r>
        <w:rPr>
          <w:rFonts w:cs="Arial"/>
          <w:b/>
          <w:bCs/>
          <w:rtl/>
        </w:rPr>
        <w:t>ב"י</w:t>
      </w:r>
      <w:r>
        <w:rPr>
          <w:rFonts w:cs="Arial"/>
          <w:rtl/>
        </w:rPr>
        <w:t>.</w:t>
      </w:r>
      <w:r>
        <w:rPr>
          <w:rtl/>
        </w:rPr>
        <w:t xml:space="preserve"> אך </w:t>
      </w:r>
      <w:r>
        <w:rPr>
          <w:b/>
          <w:bCs/>
          <w:rtl/>
        </w:rPr>
        <w:t>הדרכ"מ</w:t>
      </w:r>
      <w:r>
        <w:rPr>
          <w:rtl/>
        </w:rPr>
        <w:t xml:space="preserve"> </w:t>
      </w:r>
      <w:r>
        <w:rPr>
          <w:rFonts w:cs="Arial"/>
          <w:rtl/>
        </w:rPr>
        <w:t>(אות ח) כתב דנראה דרצונו לומר אע"ג דאם היו כאן עדי מסירה אין צריך ליטלו ממנה ולחזור וליתנו לה מכל מקום צריך לאומרו לכתחלה בפני האשה מיהו אם לא אמרו בפני האשה אלא אמרו בפני העדים מהני ולכן כתב ואדוני אבי הרא"ש ז"ל כתב כסברא הראשונה כלומר דצריך ליטלו ממנה ולחזור וליתנו לה ולומר בשעת נתינה וא"כ כל החילוקים שכתב בזה הרמ"ה בטלים. כן נראה פירוש בבא זו ופשוט הוא ולא באתי אלא להוציא מלבו של בית יוסף שפירש כאן פירוש זר ולא נראה כלל לכן לא כתבתי דבריו בזה.</w:t>
      </w:r>
    </w:p>
  </w:footnote>
  <w:footnote w:id="2272">
    <w:p w14:paraId="01FC9DD8" w14:textId="44FFD5B6" w:rsidR="00C97BEF" w:rsidRDefault="00C97BEF" w:rsidP="00C97BEF">
      <w:pPr>
        <w:pStyle w:val="a5"/>
      </w:pPr>
      <w:r>
        <w:rPr>
          <w:rStyle w:val="a7"/>
        </w:rPr>
        <w:footnoteRef/>
      </w:r>
      <w:r>
        <w:rPr>
          <w:rtl/>
        </w:rPr>
        <w:t xml:space="preserve"> </w:t>
      </w:r>
      <w:r>
        <w:rPr>
          <w:rFonts w:cs="Arial"/>
          <w:rtl/>
        </w:rPr>
        <w:t xml:space="preserve">וז"ל הרדב"ז </w:t>
      </w:r>
      <w:r>
        <w:rPr>
          <w:rFonts w:cs="Arial"/>
          <w:sz w:val="16"/>
          <w:szCs w:val="16"/>
          <w:rtl/>
        </w:rPr>
        <w:t>(ח"א סי' תקה, הביאו הפת"ש [סק"ט])</w:t>
      </w:r>
      <w:r>
        <w:rPr>
          <w:rFonts w:cs="Arial"/>
          <w:rtl/>
        </w:rPr>
        <w:t>- שאלת ממנו אודיעך דעתי בשליח המביא גט ממד"ה צריך שיאמר בפני נכתב ונחתם אם הקדים הדבור לנתינה או אחרו מאי.      תשובה: כבר ידעת כי תוך כדי דיבור כדבור דמי ואם אמר תוך כדי דבור בין מוקדם או מאוחר סגי. ואם אמר אחר כדי דבור ולא היו עסוקים באותו ענין הוי כאלו לא אמר וצריך ליטלו הימנה ולחזור וליתנו לה ויאמר בפני וכו' ואם היה אחר כדי דבור ועדיין היו עסוקים באותו ענין נסתפק הרא"ש</w:t>
      </w:r>
      <w:r>
        <w:rPr>
          <w:rFonts w:cs="Arial"/>
          <w:sz w:val="16"/>
          <w:szCs w:val="16"/>
          <w:rtl/>
        </w:rPr>
        <w:t xml:space="preserve"> (בתוס' רא"ש)</w:t>
      </w:r>
      <w:r>
        <w:rPr>
          <w:rFonts w:cs="Arial"/>
          <w:rtl/>
        </w:rPr>
        <w:t xml:space="preserve"> ור"י ז"ל בתוספותיו פרק הזהב, אבל בתוספות שלנו כתבו דאין צריך עוד כיון שהיו עסוקים באותו ענין, והכי מסתבר כי היכי דאמרינן לענין קדושין ולכמה דברים. והוא הדין נמי אם הקדים הדבור והיה עסוק בענין שאמר לה בעליך שלחני לגרש אותך בגט זה ובפני נכתב ובפני נחתם ונתנו לה אפילו אחר כדי דבור, כיון שלא הפסיק הענין - סגי בהכי. אבל אם הפסיק ונתנו לה - צריך לחזור לקחתו וליתנו לה. עכ"ל.     וכתב </w:t>
      </w:r>
      <w:r>
        <w:rPr>
          <w:rFonts w:cs="Arial"/>
          <w:b/>
          <w:bCs/>
          <w:rtl/>
        </w:rPr>
        <w:t>הפת"ש</w:t>
      </w:r>
      <w:r>
        <w:rPr>
          <w:rFonts w:cs="Arial"/>
          <w:rtl/>
        </w:rPr>
        <w:t xml:space="preserve"> (סק"ט)</w:t>
      </w:r>
      <w:r w:rsidR="00FE34B7">
        <w:rPr>
          <w:rFonts w:cs="Arial" w:hint="cs"/>
          <w:rtl/>
        </w:rPr>
        <w:t>:</w:t>
      </w:r>
      <w:r>
        <w:rPr>
          <w:rFonts w:cs="Arial"/>
          <w:rtl/>
        </w:rPr>
        <w:t xml:space="preserve"> לא ידעתי מדוע העלים עיניו מדברי התוס' שלנו פ"ק דגיטין (ה: בד"ה יטלנו) דשם כתוב בהדיא שהעלו הדבר בספק, והגם דבתוס' פ' הזהב (נה: בד"ה יטלנו) משמע מדבריהם דמהני כל זמן שעסוקים באותו ענין, מ"מ נראה שדבריהם בגיטין עיקר יותר. חדא, דבפ' הזהב לא כתבו כן רק לתרץ הקושיא, משא"כ בגיטין שכתבו כן לדינא. ועוד דבגיטין דשם עיקרא דמלתא בודאי דקדקו יותר... ובפרט דכל הני רבוותא שהזכיר הב"י העתיקו רק דברי התוס' בגיטין הנ"ל. ע"כ לע"ד קשה לסמוך בזה על הרדב"ז ז"ל ולהקל נגד כל הני רבוותא. מיהו בזמנינו שכל שליח יש בידו הרשאה, אף שכתב הרמ"א לעיל ס"א </w:t>
      </w:r>
      <w:r w:rsidR="009334FF">
        <w:rPr>
          <w:rFonts w:cs="Arial"/>
          <w:rtl/>
        </w:rPr>
        <w:t>בהג"ה</w:t>
      </w:r>
      <w:r>
        <w:rPr>
          <w:rFonts w:cs="Arial"/>
          <w:rtl/>
        </w:rPr>
        <w:t xml:space="preserve"> דיש חולקים דהרשאה לא מקרי קיום, כבר כתבתי שם בשם הב"ש ותשובת נו"ב דהוא חומרא בעלמא, אם כן בנדון זה שאמר בפ"נ רק שהי' אחר כדי דיבור - אפשר להקל. עמ"ש לקמן סקי"ב (דשם כתב הרדב"ז בהדיא כן).</w:t>
      </w:r>
    </w:p>
  </w:footnote>
  <w:footnote w:id="2273">
    <w:p w14:paraId="53401A32" w14:textId="77777777" w:rsidR="00C97BEF" w:rsidRDefault="00C97BEF" w:rsidP="00C97BEF">
      <w:pPr>
        <w:pStyle w:val="a5"/>
      </w:pPr>
      <w:r>
        <w:rPr>
          <w:rStyle w:val="a7"/>
        </w:rPr>
        <w:footnoteRef/>
      </w:r>
      <w:r>
        <w:rPr>
          <w:rtl/>
        </w:rPr>
        <w:t xml:space="preserve"> </w:t>
      </w:r>
      <w:r>
        <w:rPr>
          <w:rFonts w:cs="Arial"/>
          <w:rtl/>
        </w:rPr>
        <w:t>אבל התוס' כתבו בריש גיטין (ה. ד"ה אילימא) דמשום הכי לא אוקמה באילם דא"כ הוה ליה למימר 'ולא אמר'. משמע דסבירא להו דאילם נמי פסול. וכן נראה מדברי הרמב"ם בפ"ז (הי"ח) שכתב נשתתק. וכ"כ רבינו. וצריך לומר לדעתם דדוקא בעדות אשה שמת בעלה אקילו בה, משום חשש עיגונא אקילו, מפני שאינו מצוי כל כך שיבואו עדים שמת בעלה, ולפיכך סמכו על קרוב ואשה ועל אילם המעיד בכתב. אבל בגט שאפשר להתקיים בחותמיו או שאפשר לשלוח לומר לבעל שישלח גט אחר ע"י שליח שיאמר בפני נכתב ובפני נחתם - לא רצו להקל בו לסמוך על כתב ידו של זה טפי מבשאר עדיות. ולא דמי למאי דאמרינן בשילהי פ"ב דעדיף גט ממיתה מפני שהכתב מוכיח, דהתם לענין נאמנות נשים המעידות איתמר ובודאי דטפי איכא להימנינהו בגט מפני שהכתב מוכיח. אבל הכא לאו משום נאמנות הוא באילם שכתב בכתב ידו, אלא כדי שלא לחלק בין עדות זה לשאר עדויות, כנ"ל, ב"י.</w:t>
      </w:r>
    </w:p>
  </w:footnote>
  <w:footnote w:id="2274">
    <w:p w14:paraId="5D39C8E1" w14:textId="77777777" w:rsidR="00C97BEF" w:rsidRDefault="00C97BEF" w:rsidP="00C97BEF">
      <w:pPr>
        <w:pStyle w:val="a5"/>
      </w:pPr>
      <w:r>
        <w:rPr>
          <w:rStyle w:val="a7"/>
        </w:rPr>
        <w:footnoteRef/>
      </w:r>
      <w:r>
        <w:rPr>
          <w:rtl/>
        </w:rPr>
        <w:t xml:space="preserve"> </w:t>
      </w:r>
      <w:r>
        <w:rPr>
          <w:rFonts w:cs="Arial"/>
          <w:rtl/>
        </w:rPr>
        <w:t>פי' הן שנתן הגט שסמוך לו אמר אחר הנתינה או קודם הנתינה. ועיין בתוס' והר"ן נסתפקו אם מהני כשאומר ב"נ וב"נ קודם הנתינ'. ואפשר שם איירי אחר כ"ד. וכן מ"ש בסעיף א' אומר ב"נ וב"נ ואח"כ יתן היינו תכ"ד, ב"ש (סק"ט).</w:t>
      </w:r>
    </w:p>
  </w:footnote>
  <w:footnote w:id="2275">
    <w:p w14:paraId="0CDC52FB" w14:textId="77777777" w:rsidR="00C97BEF" w:rsidRDefault="00C97BEF" w:rsidP="00C97BEF">
      <w:pPr>
        <w:pStyle w:val="a5"/>
      </w:pPr>
      <w:r>
        <w:rPr>
          <w:rStyle w:val="a7"/>
        </w:rPr>
        <w:footnoteRef/>
      </w:r>
      <w:r>
        <w:rPr>
          <w:rtl/>
        </w:rPr>
        <w:t xml:space="preserve"> </w:t>
      </w:r>
      <w:r>
        <w:rPr>
          <w:rFonts w:cs="Arial"/>
          <w:rtl/>
        </w:rPr>
        <w:t>טור בשם הרמ"ה, וכ' דוקא לכתחלה, ועד"ז סק"ח, וצ"ע, גר"א (סקכ"ד).</w:t>
      </w:r>
    </w:p>
  </w:footnote>
  <w:footnote w:id="2276">
    <w:p w14:paraId="7B682898" w14:textId="492EC46E" w:rsidR="00C97BEF" w:rsidRPr="00BA4AA0" w:rsidRDefault="00C97BEF" w:rsidP="00BA4AA0">
      <w:pPr>
        <w:pStyle w:val="a5"/>
        <w:rPr>
          <w:rFonts w:cs="Arial"/>
        </w:rPr>
      </w:pPr>
      <w:r>
        <w:rPr>
          <w:rStyle w:val="a7"/>
        </w:rPr>
        <w:footnoteRef/>
      </w:r>
      <w:r>
        <w:rPr>
          <w:rtl/>
        </w:rPr>
        <w:t xml:space="preserve"> </w:t>
      </w:r>
      <w:r>
        <w:rPr>
          <w:rFonts w:cs="Arial"/>
          <w:rtl/>
        </w:rPr>
        <w:t>כבר כתבתי בשם המגיד דאפי' היכא דאצ"ל ב"נ, אם נתן בינו לבינו בלא ע"מ, אפי' לשיטות הרי"ף והרמב"ם דע"ח כרתי ולא ע"מ דכשהבעל נותן הגט לאש' בלא ע"מ א"צ ליטול ממנה, מ"מ כשנותן ע"י שליח ס"ל דנוטל ממנה, ולכאורה סותר למ"ש בסעיף י"ג בשם ח"ר וע"ש</w:t>
      </w:r>
      <w:r>
        <w:rPr>
          <w:rtl/>
        </w:rPr>
        <w:t>, ב"ש (סק"י).</w:t>
      </w:r>
    </w:p>
  </w:footnote>
  <w:footnote w:id="2277">
    <w:p w14:paraId="65EA3F03" w14:textId="545BFE36" w:rsidR="00C97BEF" w:rsidRDefault="00C97BEF" w:rsidP="00C97BEF">
      <w:pPr>
        <w:pStyle w:val="a5"/>
        <w:rPr>
          <w:rtl/>
        </w:rPr>
      </w:pPr>
      <w:r>
        <w:rPr>
          <w:rStyle w:val="a7"/>
        </w:rPr>
        <w:footnoteRef/>
      </w:r>
      <w:r>
        <w:rPr>
          <w:rtl/>
        </w:rPr>
        <w:t xml:space="preserve"> </w:t>
      </w:r>
      <w:r>
        <w:rPr>
          <w:rFonts w:cs="Arial"/>
          <w:rtl/>
        </w:rPr>
        <w:t xml:space="preserve">אע"ג דלענין עדות מיתת בעלה מהני ע"פ כתב, כמ"ש בסי' י"ז, שם משום תקנות עגונות הקילו אע"ג דלענין נשים השונאי' זא"ז מקילין טפי בגט, התם הטעם משום נאמנות מקילין טפי בגט, משום שהגט מסייע, ובמיתת בעלה דליכא שום סיוע לא מהני. אבל לענין עדות ע"פ כתב דלאו משום נאמנות אלא שלא לחלק בין עדות לעידות, לכן אע"פ שמקילין בעדות שמת בעלה מטעם הנ"ל מ"מ אין מקילין בגט, כ"כ הב"י. וא"ל לרמב"ם למה בנשתתק אם כותב לגרש את אשתו הולכים אחר כתיבתו, משום דשם אין עדות אלא מגלה דעתו. ולמ"ש הב"י נראה דאפי' אם יכול לדבר וכותב ב"נ וב"נ - לא מהני, כדי שלא לחלק בין עדות לעדות. ועיין תשו' ריב"ש סי' תי"ג דמכשיר לקיים ע"פ כתב. וכ"כ בהג"ה ש"ע בחו"מ </w:t>
      </w:r>
      <w:r w:rsidR="00BA4AA0">
        <w:rPr>
          <w:rFonts w:cs="Arial" w:hint="cs"/>
          <w:rtl/>
        </w:rPr>
        <w:t>(</w:t>
      </w:r>
      <w:r>
        <w:rPr>
          <w:rFonts w:cs="Arial"/>
          <w:rtl/>
        </w:rPr>
        <w:t>סי' מו סע</w:t>
      </w:r>
      <w:r w:rsidR="00BA4AA0">
        <w:rPr>
          <w:rFonts w:cs="Arial" w:hint="cs"/>
          <w:rtl/>
        </w:rPr>
        <w:t>'</w:t>
      </w:r>
      <w:r>
        <w:rPr>
          <w:rFonts w:cs="Arial"/>
          <w:rtl/>
        </w:rPr>
        <w:t xml:space="preserve"> ז</w:t>
      </w:r>
      <w:r w:rsidR="00BA4AA0">
        <w:rPr>
          <w:rFonts w:cs="Arial" w:hint="cs"/>
          <w:rtl/>
        </w:rPr>
        <w:t>)</w:t>
      </w:r>
      <w:r>
        <w:rPr>
          <w:rFonts w:cs="Arial"/>
          <w:rtl/>
        </w:rPr>
        <w:t xml:space="preserve">. לפ"ז ג"כ כשר לכתוב ב"נ וב"נ, דהיינו קיום. וע"כ מ"ש הריב"ש </w:t>
      </w:r>
      <w:r w:rsidR="008173D6">
        <w:rPr>
          <w:rFonts w:cs="Arial" w:hint="cs"/>
          <w:rtl/>
        </w:rPr>
        <w:t>(</w:t>
      </w:r>
      <w:r>
        <w:rPr>
          <w:rFonts w:cs="Arial"/>
          <w:rtl/>
        </w:rPr>
        <w:t>סי' קמ</w:t>
      </w:r>
      <w:r w:rsidR="00BA4AA0">
        <w:rPr>
          <w:rFonts w:cs="Arial" w:hint="cs"/>
          <w:rtl/>
        </w:rPr>
        <w:t>)</w:t>
      </w:r>
      <w:r>
        <w:rPr>
          <w:rFonts w:cs="Arial"/>
          <w:rtl/>
        </w:rPr>
        <w:t xml:space="preserve"> דלא מהני ע"פ כתב היינו דוקא באלם דא"י לדבר, אז לא מהני כתיבה, משא"כ כשיכול לדבר. וכן מדיוק שם בתשו' אע"ג דקי"ל בשאר עדות דא"י להעיד בכתב אפי' אם יכול לדבר, היינו דוקא עדות ממש, דאז צריכים להגיד בפיהם ולא מהני כתב כלל אפי' אם יכול לדבר, אבל קיום מקילין להעיד ע"פ כתב כשיכול לדבר. דוקא בזה צדקו יחדיו מה שפסק בהג"ה שם סעיף ז' וסעיף ל"ו ולא כש"ך שם. ובתשו' ריב"ש </w:t>
      </w:r>
      <w:r w:rsidR="00BA4AA0">
        <w:rPr>
          <w:rFonts w:cs="Arial" w:hint="cs"/>
          <w:rtl/>
        </w:rPr>
        <w:t>(</w:t>
      </w:r>
      <w:r>
        <w:rPr>
          <w:rFonts w:cs="Arial"/>
          <w:rtl/>
        </w:rPr>
        <w:t>סי' רמ</w:t>
      </w:r>
      <w:r w:rsidR="00BA4AA0">
        <w:rPr>
          <w:rFonts w:cs="Arial" w:hint="cs"/>
          <w:rtl/>
        </w:rPr>
        <w:t>)</w:t>
      </w:r>
      <w:r>
        <w:rPr>
          <w:rFonts w:cs="Arial"/>
          <w:rtl/>
        </w:rPr>
        <w:t xml:space="preserve"> תירץ בע"א דלעולם בעידי מיתה מקילין טפי, והא דנשים השונאות זא"ז מעידים בגט ולא במיתה משום בגט אומר' ב"נ וב"נ והבעל תו א"י לערער ליכא חשד עליה ולא משום קולא, </w:t>
      </w:r>
      <w:r>
        <w:rPr>
          <w:rFonts w:cs="Arial"/>
          <w:b/>
          <w:bCs/>
          <w:rtl/>
        </w:rPr>
        <w:t>ב"ש</w:t>
      </w:r>
      <w:r>
        <w:rPr>
          <w:rFonts w:cs="Arial"/>
          <w:rtl/>
        </w:rPr>
        <w:t xml:space="preserve"> (סקי"א).</w:t>
      </w:r>
      <w:r>
        <w:rPr>
          <w:rtl/>
        </w:rPr>
        <w:t xml:space="preserve"> </w:t>
      </w:r>
      <w:r>
        <w:rPr>
          <w:rFonts w:cs="Arial"/>
          <w:rtl/>
        </w:rPr>
        <w:t>גם בספר ק"נ (פ"ק דגיטין אות לז) תמה בזה על הש"ך ע"ש. ועמ"ש בפת"ש (חו"מ סי' מו ס"ז בד"ה מתוך כתבם). וע' בס' בית מאיר כאן</w:t>
      </w:r>
      <w:r>
        <w:rPr>
          <w:rtl/>
        </w:rPr>
        <w:t xml:space="preserve">, </w:t>
      </w:r>
      <w:r>
        <w:rPr>
          <w:b/>
          <w:bCs/>
          <w:rtl/>
        </w:rPr>
        <w:t>פת"ש</w:t>
      </w:r>
      <w:r>
        <w:rPr>
          <w:rtl/>
        </w:rPr>
        <w:t xml:space="preserve"> (סק"י).</w:t>
      </w:r>
    </w:p>
  </w:footnote>
  <w:footnote w:id="2278">
    <w:p w14:paraId="6680303A" w14:textId="77777777" w:rsidR="00C97BEF" w:rsidRDefault="00C97BEF" w:rsidP="00C97BEF">
      <w:pPr>
        <w:pStyle w:val="a5"/>
      </w:pPr>
      <w:r>
        <w:rPr>
          <w:rStyle w:val="a7"/>
        </w:rPr>
        <w:footnoteRef/>
      </w:r>
      <w:r>
        <w:rPr>
          <w:rtl/>
        </w:rPr>
        <w:t xml:space="preserve"> </w:t>
      </w:r>
      <w:r>
        <w:rPr>
          <w:rFonts w:cs="Arial"/>
          <w:rtl/>
        </w:rPr>
        <w:t>כ' בס' תו"ג ואם לא מת הבעל רק שאומר שמבטל השליחות בכדי שלא יהא נאמן כשיחזור ויטול ממנה יש לעיין כי אפשר לומר דדוקא כשמת שנתבטל השליחות ממילא משא"כ כשמבטל הבעל כיון דביטול הוא מטעם דאתי דבור ומבטל דבור כמבואר בר"פ השולח וכתבו שם התוס' דכל זמן שלא ניתן הגט חשיב דיבור ומצי מבטל וא"כ הכא שכבר ניתן הגט וחשיב דיבור שיש בו מעשה שוב לא אתי דיבור ומבטל דבור שיש בו מעשה ומכ"ש כשהבעל מודה שאינו מזוייף רק שטוען פקדון במיגו דמזוייף דודאי הוא דיבור שיש בו מעשה ולא אתי דיבור ומבטל מעשה וצ"ע עכ"ל, פת"ש (סקי"א).</w:t>
      </w:r>
    </w:p>
  </w:footnote>
  <w:footnote w:id="2279">
    <w:p w14:paraId="5EC70E9D" w14:textId="77777777" w:rsidR="00C97BEF" w:rsidRDefault="00C97BEF" w:rsidP="00C97BEF">
      <w:pPr>
        <w:pStyle w:val="a5"/>
      </w:pPr>
      <w:r>
        <w:rPr>
          <w:rStyle w:val="a7"/>
        </w:rPr>
        <w:footnoteRef/>
      </w:r>
      <w:r>
        <w:rPr>
          <w:rtl/>
        </w:rPr>
        <w:t xml:space="preserve"> </w:t>
      </w:r>
      <w:r>
        <w:rPr>
          <w:rFonts w:cs="Arial"/>
          <w:rtl/>
        </w:rPr>
        <w:t>ראשון לשני ושני לשלישי וכן לעולם, ואין צריך ב"ד, הואיל ואין הראשון צריך לומר בפני נכתב, האחרון נמי א"צ לומר שליח ב"ד אני</w:t>
      </w:r>
      <w:r>
        <w:rPr>
          <w:rtl/>
        </w:rPr>
        <w:t xml:space="preserve">, רש"י. וכתב הב"י </w:t>
      </w:r>
      <w:r>
        <w:rPr>
          <w:rFonts w:cs="Arial"/>
          <w:rtl/>
        </w:rPr>
        <w:t xml:space="preserve">דהוא הדין אם הוא גט מקויים. וכתב עוד דאע"ג דאין צריך לעשותו בפני שלשה מיהו בפני שנים צריך וכמ"ש בסימן שקודם זה (נא.). וכבר נתבאר בסימן שקודם זה (שם) אם יכול למנות שליח אפילו לא חלה ולא נאנס </w:t>
      </w:r>
      <w:r>
        <w:rPr>
          <w:rFonts w:cs="Arial"/>
          <w:sz w:val="16"/>
          <w:szCs w:val="16"/>
          <w:rtl/>
        </w:rPr>
        <w:t>[עכ"ל הב"י]</w:t>
      </w:r>
      <w:r>
        <w:rPr>
          <w:rFonts w:cs="Arial"/>
          <w:rtl/>
        </w:rPr>
        <w:t>.</w:t>
      </w:r>
    </w:p>
  </w:footnote>
  <w:footnote w:id="2280">
    <w:p w14:paraId="15888C4E" w14:textId="77777777" w:rsidR="00C97BEF" w:rsidRDefault="00C97BEF" w:rsidP="00C97BEF">
      <w:pPr>
        <w:pStyle w:val="a5"/>
        <w:rPr>
          <w:rtl/>
        </w:rPr>
      </w:pPr>
      <w:r>
        <w:rPr>
          <w:rStyle w:val="a7"/>
        </w:rPr>
        <w:footnoteRef/>
      </w:r>
      <w:r>
        <w:rPr>
          <w:rFonts w:cs="Arial"/>
          <w:rtl/>
        </w:rPr>
        <w:t xml:space="preserve"> והוא הדין אם אומר השליח נעשיתי בפני בית דין מהני, וכן מצאתי בתיקון ישן, דרכ"מ (אות ח*).</w:t>
      </w:r>
      <w:r>
        <w:rPr>
          <w:rtl/>
        </w:rPr>
        <w:t xml:space="preserve"> </w:t>
      </w:r>
      <w:r>
        <w:rPr>
          <w:color w:val="00B0F0"/>
          <w:rtl/>
        </w:rPr>
        <w:t>(וכ"פ בהג"ה)</w:t>
      </w:r>
    </w:p>
  </w:footnote>
  <w:footnote w:id="2281">
    <w:p w14:paraId="327B5C10" w14:textId="4085FA94" w:rsidR="00C97BEF" w:rsidRDefault="00C97BEF" w:rsidP="00C97BEF">
      <w:pPr>
        <w:pStyle w:val="a5"/>
      </w:pPr>
      <w:r>
        <w:rPr>
          <w:rStyle w:val="a7"/>
        </w:rPr>
        <w:footnoteRef/>
      </w:r>
      <w:r>
        <w:rPr>
          <w:rtl/>
        </w:rPr>
        <w:t xml:space="preserve"> </w:t>
      </w:r>
      <w:r>
        <w:rPr>
          <w:rFonts w:cs="Arial"/>
          <w:rtl/>
        </w:rPr>
        <w:t xml:space="preserve">כתב </w:t>
      </w:r>
      <w:r w:rsidR="009334FF">
        <w:rPr>
          <w:rFonts w:cs="Arial"/>
          <w:rtl/>
        </w:rPr>
        <w:t>בהגה</w:t>
      </w:r>
      <w:r>
        <w:rPr>
          <w:rFonts w:cs="Arial"/>
          <w:rtl/>
        </w:rPr>
        <w:t>ת יד אפרים ואם לא נתמנה בב"ד יחזיר הגט לשליח שמינה אותו ויחזור למוסרו לו ולמנותו בפני ב"ד כדי שיוכל לומר שליח ב"ד אני כ"כ הריב"ש סי' שי"ח ועב"ש לקמן סקכ"ה, פת"ש (סקי"ג).</w:t>
      </w:r>
    </w:p>
  </w:footnote>
  <w:footnote w:id="2282">
    <w:p w14:paraId="41878F7B" w14:textId="0F26FD0F" w:rsidR="00C97BEF" w:rsidRDefault="00C97BEF" w:rsidP="00C97BEF">
      <w:pPr>
        <w:pStyle w:val="a5"/>
      </w:pPr>
      <w:r>
        <w:rPr>
          <w:rStyle w:val="a7"/>
        </w:rPr>
        <w:footnoteRef/>
      </w:r>
      <w:r>
        <w:rPr>
          <w:rtl/>
        </w:rPr>
        <w:t xml:space="preserve"> </w:t>
      </w:r>
      <w:r>
        <w:rPr>
          <w:rFonts w:cs="Arial"/>
          <w:rtl/>
        </w:rPr>
        <w:t>עיין בתשובת ברית אברהם (ס</w:t>
      </w:r>
      <w:r w:rsidR="00B33CC9">
        <w:rPr>
          <w:rFonts w:cs="Arial" w:hint="cs"/>
          <w:rtl/>
        </w:rPr>
        <w:t>'</w:t>
      </w:r>
      <w:r>
        <w:rPr>
          <w:rFonts w:cs="Arial"/>
          <w:rtl/>
        </w:rPr>
        <w:t xml:space="preserve"> קו) שכ' דאף דמדברי הרמ"א אין הכרע רק לחוש על דיינים המסדרים כתיבת הגט דנפישי מילי משא"כ על דיינים המסדרים הנתינה ואינו מקום כתיבת גיטין מ"מ מדברי תשובת הרא"ש שהובא בב"י </w:t>
      </w:r>
      <w:r w:rsidR="00B33CC9">
        <w:rPr>
          <w:rFonts w:cs="Arial" w:hint="cs"/>
          <w:rtl/>
        </w:rPr>
        <w:t>(</w:t>
      </w:r>
      <w:r>
        <w:rPr>
          <w:rFonts w:cs="Arial"/>
          <w:rtl/>
        </w:rPr>
        <w:t>סי</w:t>
      </w:r>
      <w:r w:rsidR="00B33CC9">
        <w:rPr>
          <w:rFonts w:cs="Arial" w:hint="cs"/>
          <w:rtl/>
        </w:rPr>
        <w:t>'</w:t>
      </w:r>
      <w:r>
        <w:rPr>
          <w:rFonts w:cs="Arial"/>
          <w:rtl/>
        </w:rPr>
        <w:t xml:space="preserve"> קכ</w:t>
      </w:r>
      <w:r w:rsidR="00B33CC9">
        <w:rPr>
          <w:rFonts w:cs="Arial" w:hint="cs"/>
          <w:rtl/>
        </w:rPr>
        <w:t>)</w:t>
      </w:r>
      <w:r>
        <w:rPr>
          <w:rFonts w:cs="Arial"/>
          <w:rtl/>
        </w:rPr>
        <w:t xml:space="preserve"> מבואר החשש על עידי הנתינה שהיו הדיוטות יע"ש. וע"ש עוד בס"ס ק"ד שהביא בשם תשו' פני יהושע </w:t>
      </w:r>
      <w:r w:rsidR="00B33CC9">
        <w:rPr>
          <w:rFonts w:cs="Arial" w:hint="cs"/>
          <w:rtl/>
        </w:rPr>
        <w:t>(</w:t>
      </w:r>
      <w:r>
        <w:rPr>
          <w:rFonts w:cs="Arial"/>
          <w:rtl/>
        </w:rPr>
        <w:t>ס"ס ב</w:t>
      </w:r>
      <w:r w:rsidR="00B33CC9">
        <w:rPr>
          <w:rFonts w:cs="Arial" w:hint="cs"/>
          <w:rtl/>
        </w:rPr>
        <w:t>)</w:t>
      </w:r>
      <w:r>
        <w:rPr>
          <w:rFonts w:cs="Arial"/>
          <w:rtl/>
        </w:rPr>
        <w:t xml:space="preserve"> שכ' דדוקא אם הטעות במידי דשכיח אבל בטעה במידי דלא שכיח לא הוי א"י בטיב גיטין והוכיח כן מסוגיא דקדושין </w:t>
      </w:r>
      <w:r w:rsidR="00B33CC9">
        <w:rPr>
          <w:rFonts w:cs="Arial" w:hint="cs"/>
          <w:rtl/>
        </w:rPr>
        <w:t>(</w:t>
      </w:r>
      <w:r>
        <w:rPr>
          <w:rFonts w:cs="Arial"/>
          <w:rtl/>
        </w:rPr>
        <w:t>ו</w:t>
      </w:r>
      <w:r w:rsidR="00B33CC9">
        <w:rPr>
          <w:rFonts w:cs="Arial" w:hint="cs"/>
          <w:rtl/>
        </w:rPr>
        <w:t>.)</w:t>
      </w:r>
      <w:r>
        <w:rPr>
          <w:rFonts w:cs="Arial"/>
          <w:rtl/>
        </w:rPr>
        <w:t xml:space="preserve"> והעלה דאין להרהר בכיוצא בזה יע"ש. ועמ"ש לעיל סי' קמ"א ס"ל סקכ"ח, פת"ש (סקי"ז).</w:t>
      </w:r>
    </w:p>
  </w:footnote>
  <w:footnote w:id="2283">
    <w:p w14:paraId="089827F8" w14:textId="77777777" w:rsidR="00C97BEF" w:rsidRDefault="00C97BEF" w:rsidP="00C97BEF">
      <w:pPr>
        <w:pStyle w:val="a5"/>
      </w:pPr>
      <w:r>
        <w:rPr>
          <w:rStyle w:val="a7"/>
        </w:rPr>
        <w:footnoteRef/>
      </w:r>
      <w:r>
        <w:rPr>
          <w:rtl/>
        </w:rPr>
        <w:t xml:space="preserve"> </w:t>
      </w:r>
      <w:r>
        <w:rPr>
          <w:rFonts w:cs="Arial"/>
          <w:rtl/>
        </w:rPr>
        <w:t>וכן מבואר לעיל סימן קמ"א (עמ' רמא) דיכול למנות שליח בכתב על ידי גוי כו' וזה הוי שלא בפניו, ועיין לעיל (סי' קמא אות ו** ואות כט), דרכ"מ (אות ח**).</w:t>
      </w:r>
    </w:p>
  </w:footnote>
  <w:footnote w:id="2284">
    <w:p w14:paraId="5042171B" w14:textId="77777777" w:rsidR="00C97BEF" w:rsidRDefault="00C97BEF" w:rsidP="00C97BEF">
      <w:pPr>
        <w:pStyle w:val="a5"/>
        <w:rPr>
          <w:rtl/>
        </w:rPr>
      </w:pPr>
      <w:r>
        <w:rPr>
          <w:rStyle w:val="a7"/>
        </w:rPr>
        <w:footnoteRef/>
      </w:r>
      <w:r>
        <w:rPr>
          <w:rtl/>
        </w:rPr>
        <w:t xml:space="preserve"> </w:t>
      </w:r>
      <w:r>
        <w:rPr>
          <w:rFonts w:cs="Arial"/>
          <w:rtl/>
        </w:rPr>
        <w:t>ונראה דהוא הדין משליח שני לשליח שלישי אפילו לא נתקיים בחותמיו, דלגבי שליח שני דאין צריך לומר בפני נכתב ובפני נחתם אין לחלק. ונראה דסברת הריב"ש הוא לדברי הרמב"ם דסבירא ליה דאין צריך למנות שליח בעדים כמו שנתבאר לעיל ריש סימן זה (עמ' רלא), אבל לדעת החולקים על הרמב"ם צריך עדים ועיין בריב"ש, דרכ"מ (סי' קמא אות לג).</w:t>
      </w:r>
    </w:p>
  </w:footnote>
  <w:footnote w:id="2285">
    <w:p w14:paraId="127D41A0" w14:textId="2C34FC9B" w:rsidR="00C97BEF" w:rsidRDefault="00C97BEF" w:rsidP="00C97BEF">
      <w:pPr>
        <w:pStyle w:val="a5"/>
        <w:rPr>
          <w:rtl/>
        </w:rPr>
      </w:pPr>
      <w:r>
        <w:rPr>
          <w:rStyle w:val="a7"/>
        </w:rPr>
        <w:footnoteRef/>
      </w:r>
      <w:r>
        <w:rPr>
          <w:rtl/>
        </w:rPr>
        <w:t xml:space="preserve"> </w:t>
      </w:r>
      <w:r>
        <w:rPr>
          <w:rFonts w:cs="Arial"/>
          <w:rtl/>
        </w:rPr>
        <w:t xml:space="preserve">הב"י מדייק כן מדברי הריב"ש ובסי' קמ"א (סקט"ו וסק"פ) כתבתי באריכות, </w:t>
      </w:r>
      <w:r>
        <w:rPr>
          <w:rFonts w:cs="Arial"/>
          <w:b/>
          <w:bCs/>
          <w:rtl/>
        </w:rPr>
        <w:t>ב"ש</w:t>
      </w:r>
      <w:r>
        <w:rPr>
          <w:rFonts w:cs="Arial"/>
          <w:rtl/>
        </w:rPr>
        <w:t xml:space="preserve"> (סקי"ד). ועיין </w:t>
      </w:r>
      <w:r w:rsidR="009334FF">
        <w:rPr>
          <w:rFonts w:cs="Arial"/>
          <w:rtl/>
        </w:rPr>
        <w:t>בהג"ה</w:t>
      </w:r>
      <w:r>
        <w:rPr>
          <w:rFonts w:cs="Arial"/>
          <w:rtl/>
        </w:rPr>
        <w:t xml:space="preserve">ת יד אפרים שתמה על זה וגם על הב"ש סקט"ו ע"ש. גם בס' בית מאיר תמה בזה והניח דין זה בצ"ע ע"ש, </w:t>
      </w:r>
      <w:r>
        <w:rPr>
          <w:rFonts w:cs="Arial"/>
          <w:b/>
          <w:bCs/>
          <w:rtl/>
        </w:rPr>
        <w:t>פת"ש</w:t>
      </w:r>
      <w:r>
        <w:rPr>
          <w:rFonts w:cs="Arial"/>
          <w:rtl/>
        </w:rPr>
        <w:t xml:space="preserve"> (סקי"ח).</w:t>
      </w:r>
    </w:p>
  </w:footnote>
  <w:footnote w:id="2286">
    <w:p w14:paraId="6A4B504B" w14:textId="152B743A" w:rsidR="00C97BEF" w:rsidRDefault="00C97BEF" w:rsidP="00C97BEF">
      <w:pPr>
        <w:pStyle w:val="a5"/>
      </w:pPr>
      <w:r>
        <w:rPr>
          <w:rStyle w:val="a7"/>
        </w:rPr>
        <w:footnoteRef/>
      </w:r>
      <w:r>
        <w:rPr>
          <w:rtl/>
        </w:rPr>
        <w:t xml:space="preserve"> </w:t>
      </w:r>
      <w:r>
        <w:rPr>
          <w:rFonts w:cs="Arial"/>
          <w:rtl/>
        </w:rPr>
        <w:t>משום בהרשאה מבואר שאמר השליח הראשון ב"נ וב"נ ממילא מקוים הגט או אם נתקיים הגט א"צ שטר הרשאה ונאמן לומר שעשאו לש"ה אע</w:t>
      </w:r>
      <w:r w:rsidR="003B1A14">
        <w:rPr>
          <w:rFonts w:cs="Arial" w:hint="cs"/>
          <w:rtl/>
        </w:rPr>
        <w:t>"</w:t>
      </w:r>
      <w:r>
        <w:rPr>
          <w:rFonts w:cs="Arial"/>
          <w:rtl/>
        </w:rPr>
        <w:t>ג דאצ"ל ב"נ וב"נ מזה משמע לא כתירוץ א"נ שכתב הב"י בסי' קמ"א סעיף כ"ב, ב"ש (סקט"ו).</w:t>
      </w:r>
    </w:p>
  </w:footnote>
  <w:footnote w:id="2287">
    <w:p w14:paraId="66543DC9" w14:textId="77777777" w:rsidR="00C97BEF" w:rsidRDefault="00C97BEF" w:rsidP="00C97BEF">
      <w:pPr>
        <w:pStyle w:val="a5"/>
      </w:pPr>
      <w:r>
        <w:rPr>
          <w:rStyle w:val="a7"/>
        </w:rPr>
        <w:footnoteRef/>
      </w:r>
      <w:r>
        <w:rPr>
          <w:rtl/>
        </w:rPr>
        <w:t xml:space="preserve"> </w:t>
      </w:r>
      <w:r>
        <w:rPr>
          <w:rFonts w:cs="Arial"/>
          <w:rtl/>
        </w:rPr>
        <w:t xml:space="preserve">מכאן משמע דצריך שיכיר השליח שזהו הבעל וזו היא אשתו ושמא יש לחלק דדוקא סומא שיכול להטעותו ויש לחוש יותר שמא יטעוהו, </w:t>
      </w:r>
      <w:r>
        <w:rPr>
          <w:rFonts w:cs="Arial"/>
          <w:b/>
          <w:bCs/>
          <w:rtl/>
        </w:rPr>
        <w:t>תוס'</w:t>
      </w:r>
      <w:r>
        <w:rPr>
          <w:rFonts w:cs="Arial"/>
          <w:rtl/>
        </w:rPr>
        <w:t xml:space="preserve"> (ד"ה ממי נוטלו ולמי נותנו). וכתב הר"ן (יא: ד"ה אלא) ובודאי שכן עיקר, דדוקא בסומא אמרינן הכי, לפי שאי אפשר לו ליתן אלא ע"י אחרים שיאמרו לו זה פלוני, אבל שאר בני אדם כיון שאפשר - אחרים מלמדים אותם. וכן כתב הרי"ף (טו.) והרא"ש (סי' ט) והמרדכי (סי' שנט) בס"פ כל הגט והה"מ בפ"ז (הי"ט) והגה"מ פ"ט (אות י), וכ"כ בסמ"ג (עשין נ קל סע"ב), </w:t>
      </w:r>
      <w:r>
        <w:rPr>
          <w:rFonts w:cs="Arial"/>
          <w:b/>
          <w:bCs/>
          <w:rtl/>
        </w:rPr>
        <w:t>ב"י</w:t>
      </w:r>
      <w:r>
        <w:rPr>
          <w:rFonts w:cs="Arial"/>
          <w:rtl/>
        </w:rPr>
        <w:t>.</w:t>
      </w:r>
    </w:p>
  </w:footnote>
  <w:footnote w:id="2288">
    <w:p w14:paraId="48D3417A" w14:textId="77777777" w:rsidR="00C97BEF" w:rsidRDefault="00C97BEF" w:rsidP="00C97BEF">
      <w:pPr>
        <w:pStyle w:val="a5"/>
        <w:rPr>
          <w:rtl/>
        </w:rPr>
      </w:pPr>
      <w:r>
        <w:rPr>
          <w:rStyle w:val="a7"/>
        </w:rPr>
        <w:footnoteRef/>
      </w:r>
      <w:r>
        <w:rPr>
          <w:rtl/>
        </w:rPr>
        <w:t xml:space="preserve"> </w:t>
      </w:r>
      <w:r>
        <w:rPr>
          <w:rFonts w:hint="cs"/>
          <w:rtl/>
        </w:rPr>
        <w:t xml:space="preserve">המושג 'טביעות עינא דקלא' מוזכר גם בחולין (צו.), ולכאורה זה נשמע מוזר. ובאמת הרי"ף (חולין לד.) גורס 'טביעות קלא' (ובגיטין לא העתיק כלל מושג זה). וכן גרסו </w:t>
      </w:r>
      <w:r>
        <w:rPr>
          <w:rFonts w:cs="Arial"/>
          <w:rtl/>
        </w:rPr>
        <w:t xml:space="preserve">בתשוה"ג הקדמונים (גנזי ירושלים סי' עח) ר"י מיגאש (בשו"ת סי' קמט) </w:t>
      </w:r>
      <w:r>
        <w:rPr>
          <w:rtl/>
        </w:rPr>
        <w:t>רשב"א (גיטין כז.) יד רמ"ה (סנהדרין סז.) בהעי"ט (שלישות גט דף מו) ועוד.</w:t>
      </w:r>
    </w:p>
  </w:footnote>
  <w:footnote w:id="2289">
    <w:p w14:paraId="6B83D004" w14:textId="77777777" w:rsidR="00C97BEF" w:rsidRDefault="00C97BEF" w:rsidP="00C97BEF">
      <w:pPr>
        <w:pStyle w:val="a5"/>
        <w:rPr>
          <w:rtl/>
        </w:rPr>
      </w:pPr>
      <w:r>
        <w:rPr>
          <w:rStyle w:val="a7"/>
        </w:rPr>
        <w:footnoteRef/>
      </w:r>
      <w:r>
        <w:rPr>
          <w:rtl/>
        </w:rPr>
        <w:t xml:space="preserve"> </w:t>
      </w:r>
      <w:r>
        <w:rPr>
          <w:rFonts w:cs="Arial"/>
          <w:rtl/>
        </w:rPr>
        <w:t>היינו דוקא בסומא בשתי עיניו אבל סומא בעין אחת הגט כשר, סדר גיטין (סי' עו סע' ד, הביאו הדרכ"מ אות ט)</w:t>
      </w:r>
    </w:p>
  </w:footnote>
  <w:footnote w:id="2290">
    <w:p w14:paraId="3AD01C78" w14:textId="68830B1C" w:rsidR="00C97BEF" w:rsidRDefault="00C97BEF" w:rsidP="00C97BEF">
      <w:pPr>
        <w:pStyle w:val="a5"/>
        <w:rPr>
          <w:rtl/>
        </w:rPr>
      </w:pPr>
      <w:r>
        <w:rPr>
          <w:rStyle w:val="a7"/>
        </w:rPr>
        <w:footnoteRef/>
      </w:r>
      <w:r>
        <w:rPr>
          <w:rtl/>
        </w:rPr>
        <w:t xml:space="preserve"> </w:t>
      </w:r>
      <w:r>
        <w:rPr>
          <w:rFonts w:cs="Arial"/>
          <w:rtl/>
        </w:rPr>
        <w:t>וכתב בתרו</w:t>
      </w:r>
      <w:r w:rsidR="00687A16">
        <w:rPr>
          <w:rFonts w:cs="Arial" w:hint="cs"/>
          <w:rtl/>
        </w:rPr>
        <w:t>ה"ד (</w:t>
      </w:r>
      <w:r>
        <w:rPr>
          <w:rFonts w:cs="Arial"/>
          <w:rtl/>
        </w:rPr>
        <w:t>סי</w:t>
      </w:r>
      <w:r w:rsidR="00687A16">
        <w:rPr>
          <w:rFonts w:cs="Arial" w:hint="cs"/>
          <w:rtl/>
        </w:rPr>
        <w:t>'</w:t>
      </w:r>
      <w:r>
        <w:rPr>
          <w:rFonts w:cs="Arial"/>
          <w:rtl/>
        </w:rPr>
        <w:t xml:space="preserve"> רלח</w:t>
      </w:r>
      <w:r w:rsidR="00687A16">
        <w:rPr>
          <w:rFonts w:cs="Arial" w:hint="cs"/>
          <w:rtl/>
        </w:rPr>
        <w:t>)</w:t>
      </w:r>
      <w:r>
        <w:rPr>
          <w:rFonts w:cs="Arial"/>
          <w:rtl/>
        </w:rPr>
        <w:t xml:space="preserve"> </w:t>
      </w:r>
      <w:r w:rsidR="00687A16">
        <w:rPr>
          <w:rFonts w:cs="Arial" w:hint="cs"/>
          <w:rtl/>
        </w:rPr>
        <w:t>ד</w:t>
      </w:r>
      <w:r>
        <w:rPr>
          <w:rFonts w:cs="Arial"/>
          <w:rtl/>
        </w:rPr>
        <w:t>אפילו בפיקח בעינן עדים כשרים ולא קרובים ופסולים ע"כ</w:t>
      </w:r>
      <w:r w:rsidR="00067B80">
        <w:rPr>
          <w:rFonts w:cs="Arial" w:hint="cs"/>
          <w:color w:val="00B0F0"/>
          <w:sz w:val="16"/>
          <w:szCs w:val="16"/>
          <w:rtl/>
        </w:rPr>
        <w:t xml:space="preserve"> </w:t>
      </w:r>
      <w:r w:rsidR="00067B80" w:rsidRPr="00067B80">
        <w:rPr>
          <w:rFonts w:cs="Arial" w:hint="cs"/>
          <w:color w:val="00B0F0"/>
          <w:sz w:val="16"/>
          <w:szCs w:val="16"/>
          <w:rtl/>
        </w:rPr>
        <w:t>(</w:t>
      </w:r>
      <w:r w:rsidR="00067B80">
        <w:rPr>
          <w:rFonts w:cs="Arial" w:hint="cs"/>
          <w:color w:val="00B0F0"/>
          <w:sz w:val="16"/>
          <w:szCs w:val="16"/>
          <w:rtl/>
        </w:rPr>
        <w:t>וכ"פ בהג"ה</w:t>
      </w:r>
      <w:r w:rsidR="00067B80" w:rsidRPr="00067B80">
        <w:rPr>
          <w:rFonts w:cs="Arial" w:hint="cs"/>
          <w:color w:val="00B0F0"/>
          <w:sz w:val="16"/>
          <w:szCs w:val="16"/>
          <w:rtl/>
        </w:rPr>
        <w:t>)</w:t>
      </w:r>
      <w:r>
        <w:rPr>
          <w:rFonts w:cs="Arial"/>
          <w:rtl/>
        </w:rPr>
        <w:t>. מצאתי בתיקון ישן (סדר גט אשכנזי סי' ו הג"ה ד) מהר"ש שלח גט מניישטא"ט לאוב"ן והיה מתיירא שבמקום הנתינה לא יהיו עדים המכירים האשה</w:t>
      </w:r>
      <w:r w:rsidR="004735D4">
        <w:rPr>
          <w:rFonts w:cs="Arial" w:hint="cs"/>
          <w:rtl/>
        </w:rPr>
        <w:t>,</w:t>
      </w:r>
      <w:r>
        <w:rPr>
          <w:rFonts w:cs="Arial"/>
          <w:rtl/>
        </w:rPr>
        <w:t xml:space="preserve"> וגבה עדות במקומו שבת ראובן היא אשת שמעון המגרש</w:t>
      </w:r>
      <w:r w:rsidR="004735D4">
        <w:rPr>
          <w:rFonts w:cs="Arial" w:hint="cs"/>
          <w:rtl/>
        </w:rPr>
        <w:t>,</w:t>
      </w:r>
      <w:r>
        <w:rPr>
          <w:rFonts w:cs="Arial"/>
          <w:rtl/>
        </w:rPr>
        <w:t xml:space="preserve"> ובמקום הנתינה לא הוצרכו אח"כ להעיד רק איזו היא בת ראובן אע</w:t>
      </w:r>
      <w:r w:rsidR="00687A16">
        <w:rPr>
          <w:rFonts w:cs="Arial" w:hint="cs"/>
          <w:rtl/>
        </w:rPr>
        <w:t>"</w:t>
      </w:r>
      <w:r>
        <w:rPr>
          <w:rFonts w:cs="Arial"/>
          <w:rtl/>
        </w:rPr>
        <w:t>פ שלא ידעו לשם שהיא אשת שמעון עכ"ל. וצריך עיון אמאי לא מיקרי חצי עדות וחצי דבר (בבא קמא ע</w:t>
      </w:r>
      <w:r w:rsidR="00687A16">
        <w:rPr>
          <w:rFonts w:cs="Arial" w:hint="cs"/>
          <w:rtl/>
        </w:rPr>
        <w:t>:</w:t>
      </w:r>
      <w:r>
        <w:rPr>
          <w:rFonts w:cs="Arial"/>
          <w:rtl/>
        </w:rPr>
        <w:t>)</w:t>
      </w:r>
      <w:r w:rsidR="00687A16">
        <w:rPr>
          <w:rFonts w:cs="Arial" w:hint="cs"/>
          <w:rtl/>
        </w:rPr>
        <w:t>, דרכ"מ (אות י*).</w:t>
      </w:r>
    </w:p>
  </w:footnote>
  <w:footnote w:id="2291">
    <w:p w14:paraId="5CE0FA8A" w14:textId="77777777" w:rsidR="00C97BEF" w:rsidRDefault="00C97BEF" w:rsidP="00C97BEF">
      <w:pPr>
        <w:pStyle w:val="a5"/>
      </w:pPr>
      <w:r>
        <w:rPr>
          <w:rStyle w:val="a7"/>
        </w:rPr>
        <w:footnoteRef/>
      </w:r>
      <w:r>
        <w:rPr>
          <w:rtl/>
        </w:rPr>
        <w:t xml:space="preserve"> </w:t>
      </w:r>
      <w:r>
        <w:rPr>
          <w:rFonts w:cs="Arial"/>
          <w:rtl/>
        </w:rPr>
        <w:t>וקל קולמוס לא מהני בסומא משום אם יאמר ב"נ וב"נ מחזי כשקרא ואם יאמר שמעתי קל קולמוס לא יאמר כתיקון חז"ל כ"כ הרא"ש ועיין תוס' והר"ן</w:t>
      </w:r>
      <w:r>
        <w:rPr>
          <w:rtl/>
        </w:rPr>
        <w:t>, ב"ש (סקט"ז).</w:t>
      </w:r>
    </w:p>
  </w:footnote>
  <w:footnote w:id="2292">
    <w:p w14:paraId="3DF85CE5" w14:textId="77777777" w:rsidR="00C97BEF" w:rsidRDefault="00C97BEF" w:rsidP="00C97BEF">
      <w:pPr>
        <w:pStyle w:val="a5"/>
        <w:rPr>
          <w:rtl/>
        </w:rPr>
      </w:pPr>
      <w:r>
        <w:rPr>
          <w:rStyle w:val="a7"/>
        </w:rPr>
        <w:footnoteRef/>
      </w:r>
      <w:r>
        <w:rPr>
          <w:rtl/>
        </w:rPr>
        <w:t xml:space="preserve"> </w:t>
      </w:r>
      <w:r>
        <w:rPr>
          <w:rFonts w:cs="Arial"/>
          <w:rtl/>
        </w:rPr>
        <w:t>היינו בפני ג' דוקא כמ"ש הרמב"ם דהא הוא פסול לדיין דהוא סומא משא"כ העדות מה שאומר ב"נ וב"נ כשר דהא אשה וקרוב כשירים לעדות זה, ב"ש (סקי"ז).</w:t>
      </w:r>
    </w:p>
  </w:footnote>
  <w:footnote w:id="2293">
    <w:p w14:paraId="7C109215" w14:textId="4F4CD7D9" w:rsidR="00C97BEF" w:rsidRDefault="00C97BEF" w:rsidP="00C97BEF">
      <w:pPr>
        <w:pStyle w:val="a5"/>
      </w:pPr>
      <w:r>
        <w:rPr>
          <w:rStyle w:val="a7"/>
        </w:rPr>
        <w:footnoteRef/>
      </w:r>
      <w:r>
        <w:rPr>
          <w:rtl/>
        </w:rPr>
        <w:t xml:space="preserve"> </w:t>
      </w:r>
      <w:r>
        <w:rPr>
          <w:rFonts w:cs="Arial"/>
          <w:rtl/>
        </w:rPr>
        <w:t>עיין סי' קל"ב מ"ש בשם המגיד בזה"ז שום אדם אינו נאמן בטביעות עין</w:t>
      </w:r>
      <w:r w:rsidR="000F784A">
        <w:rPr>
          <w:rFonts w:cs="Arial" w:hint="cs"/>
          <w:rtl/>
        </w:rPr>
        <w:t>,</w:t>
      </w:r>
      <w:r>
        <w:rPr>
          <w:rFonts w:cs="Arial"/>
          <w:rtl/>
        </w:rPr>
        <w:t xml:space="preserve"> אפי' צורבא דרבנן</w:t>
      </w:r>
      <w:r w:rsidR="000F784A">
        <w:rPr>
          <w:rFonts w:cs="Arial" w:hint="cs"/>
          <w:rtl/>
        </w:rPr>
        <w:t xml:space="preserve">. </w:t>
      </w:r>
      <w:r>
        <w:rPr>
          <w:rFonts w:cs="Arial"/>
          <w:rtl/>
        </w:rPr>
        <w:t>ואין לחלק בין טביעות עין לטביעות קלא דהא לפי סוגי' בפ' גיד הנשה מוכח דשוין הם</w:t>
      </w:r>
      <w:r w:rsidR="000F784A">
        <w:rPr>
          <w:rFonts w:cs="Arial" w:hint="cs"/>
          <w:rtl/>
        </w:rPr>
        <w:t>.</w:t>
      </w:r>
      <w:r>
        <w:rPr>
          <w:rFonts w:cs="Arial"/>
          <w:rtl/>
        </w:rPr>
        <w:t xml:space="preserve"> ולכאורה קשה למה פסק כאן דמהני טביעות קלא</w:t>
      </w:r>
      <w:r w:rsidR="00CC0A5F">
        <w:rPr>
          <w:rFonts w:cs="Arial" w:hint="cs"/>
          <w:rtl/>
        </w:rPr>
        <w:t>. ואין לומר</w:t>
      </w:r>
      <w:r>
        <w:rPr>
          <w:rFonts w:cs="Arial"/>
          <w:rtl/>
        </w:rPr>
        <w:t xml:space="preserve"> דאפשר לנסות אותו אם מכיר אותה</w:t>
      </w:r>
      <w:r w:rsidR="00CC0A5F">
        <w:rPr>
          <w:rFonts w:cs="Arial" w:hint="cs"/>
          <w:rtl/>
        </w:rPr>
        <w:t>,</w:t>
      </w:r>
      <w:r>
        <w:rPr>
          <w:rFonts w:cs="Arial"/>
          <w:rtl/>
        </w:rPr>
        <w:t xml:space="preserve"> אם כן גם שם אפשר לנסות וליתן לפניו שאר גיטין הנכתבין כזה</w:t>
      </w:r>
      <w:r w:rsidR="00CC0A5F">
        <w:rPr>
          <w:rFonts w:cs="Arial" w:hint="cs"/>
          <w:rtl/>
        </w:rPr>
        <w:t>.</w:t>
      </w:r>
      <w:r>
        <w:rPr>
          <w:rFonts w:cs="Arial"/>
          <w:rtl/>
        </w:rPr>
        <w:t xml:space="preserve"> ואפשר כיון דידוע לנו דזאת אשת המשלח הגט סמכי' ע"ז דהוא גם כן מכיר אותה כיון דנותן לאשה זו ולא לאשה אחרת</w:t>
      </w:r>
      <w:r w:rsidR="00CC0A5F">
        <w:rPr>
          <w:rFonts w:cs="Arial" w:hint="cs"/>
          <w:rtl/>
        </w:rPr>
        <w:t>.</w:t>
      </w:r>
      <w:r>
        <w:rPr>
          <w:rFonts w:cs="Arial"/>
          <w:rtl/>
        </w:rPr>
        <w:t xml:space="preserve"> לפ"ז אם א"י לנו אם זו אשת המשלח לא סמכינן על הסומא אע</w:t>
      </w:r>
      <w:r w:rsidR="00CC0A5F">
        <w:rPr>
          <w:rFonts w:cs="Arial" w:hint="cs"/>
          <w:rtl/>
        </w:rPr>
        <w:t>"</w:t>
      </w:r>
      <w:r>
        <w:rPr>
          <w:rFonts w:cs="Arial"/>
          <w:rtl/>
        </w:rPr>
        <w:t>ג הוא אומר דמכיר אות' בטביעות קלא</w:t>
      </w:r>
      <w:r w:rsidR="00CC0A5F">
        <w:rPr>
          <w:rFonts w:cs="Arial" w:hint="cs"/>
          <w:rtl/>
        </w:rPr>
        <w:t>.</w:t>
      </w:r>
      <w:r>
        <w:rPr>
          <w:rFonts w:cs="Arial"/>
          <w:rtl/>
        </w:rPr>
        <w:t xml:space="preserve"> והנה כשם שצריך להכיר את האשה כן צריך להכיר את האיש בט"ק כמ"ש בש"ס דא"י ממי נוטלה בסעי' זה איירי בהי' פתוח מעיקר' ואז מסר לידו והיה יודע ממי קיבל הגט</w:t>
      </w:r>
      <w:r w:rsidR="00C026FC">
        <w:rPr>
          <w:rFonts w:cs="Arial" w:hint="cs"/>
          <w:rtl/>
        </w:rPr>
        <w:t>,</w:t>
      </w:r>
      <w:r>
        <w:rPr>
          <w:rFonts w:cs="Arial"/>
          <w:rtl/>
        </w:rPr>
        <w:t xml:space="preserve"> ובסעיף אח"ז שכתב שמסר לסומא צריך להכיר בט"ק האיש והאשה, </w:t>
      </w:r>
      <w:r>
        <w:rPr>
          <w:rFonts w:cs="Arial"/>
          <w:b/>
          <w:bCs/>
          <w:rtl/>
        </w:rPr>
        <w:t>ב"ש</w:t>
      </w:r>
      <w:r>
        <w:rPr>
          <w:rFonts w:cs="Arial"/>
          <w:rtl/>
        </w:rPr>
        <w:t xml:space="preserve"> (סקי"ח). </w:t>
      </w:r>
      <w:r w:rsidR="00C026FC">
        <w:rPr>
          <w:rFonts w:cs="Arial" w:hint="cs"/>
          <w:rtl/>
        </w:rPr>
        <w:t xml:space="preserve">     </w:t>
      </w:r>
      <w:r>
        <w:rPr>
          <w:rFonts w:cs="Arial"/>
          <w:rtl/>
        </w:rPr>
        <w:t>ועיין בס' ק</w:t>
      </w:r>
      <w:r w:rsidR="00C026FC">
        <w:rPr>
          <w:rFonts w:cs="Arial" w:hint="cs"/>
          <w:rtl/>
        </w:rPr>
        <w:t xml:space="preserve">ו"נ </w:t>
      </w:r>
      <w:r>
        <w:rPr>
          <w:rFonts w:cs="Arial"/>
          <w:rtl/>
        </w:rPr>
        <w:t>(פ"ב דגיטין אות עד) שכתב ליישב קושיית הב"ש הנ"ל, וגם בס' גט מקושר (ס"ג שני אות ו) כתב לתרץ הקושיא הנ"ל ע"ש. ולפי דבריהם אף שאין אנו יודעין שזו אשת המשלח סמכינן על הסומא שאומר שמכיר בט"ק. גם בספר בית מאיר כתב על דינו של הב"ש הנ"ל דאינו מוכרח ע"ש</w:t>
      </w:r>
      <w:r>
        <w:rPr>
          <w:rtl/>
        </w:rPr>
        <w:t xml:space="preserve">, </w:t>
      </w:r>
      <w:r>
        <w:rPr>
          <w:b/>
          <w:bCs/>
          <w:rtl/>
        </w:rPr>
        <w:t>פת"ש</w:t>
      </w:r>
      <w:r>
        <w:rPr>
          <w:rtl/>
        </w:rPr>
        <w:t xml:space="preserve"> (סק"כ).</w:t>
      </w:r>
    </w:p>
  </w:footnote>
  <w:footnote w:id="2294">
    <w:p w14:paraId="22C1281E" w14:textId="1298AF2B" w:rsidR="00C97BEF" w:rsidRDefault="00C97BEF" w:rsidP="00C97BEF">
      <w:pPr>
        <w:pStyle w:val="a5"/>
      </w:pPr>
      <w:r>
        <w:rPr>
          <w:rStyle w:val="a7"/>
        </w:rPr>
        <w:footnoteRef/>
      </w:r>
      <w:r>
        <w:rPr>
          <w:rtl/>
        </w:rPr>
        <w:t xml:space="preserve"> </w:t>
      </w:r>
      <w:r>
        <w:rPr>
          <w:rFonts w:cs="Arial"/>
          <w:rtl/>
        </w:rPr>
        <w:t>עיין בספר גט מקושר (ס"ג שני אות ו) שכתב בזה</w:t>
      </w:r>
      <w:r w:rsidR="001C7365">
        <w:rPr>
          <w:rFonts w:cs="Arial" w:hint="cs"/>
          <w:rtl/>
        </w:rPr>
        <w:t>:</w:t>
      </w:r>
      <w:r>
        <w:rPr>
          <w:rFonts w:cs="Arial"/>
          <w:rtl/>
        </w:rPr>
        <w:t xml:space="preserve"> אמת שכ"כ גם כן בטור, אבל לפע"ד נראה שאין כן דעת הרי"ף והרמב"ם והרא"ש, שלא הביאו כלל הך דרב יוסף כו'. והאריך בזה ומסיים</w:t>
      </w:r>
      <w:r w:rsidR="001C7365">
        <w:rPr>
          <w:rFonts w:cs="Arial" w:hint="cs"/>
          <w:rtl/>
        </w:rPr>
        <w:t>:</w:t>
      </w:r>
      <w:r>
        <w:rPr>
          <w:rFonts w:cs="Arial"/>
          <w:rtl/>
        </w:rPr>
        <w:t xml:space="preserve"> ולכן לפע"ד במקום עיגון יש לסמוך בהך מלתא על הרי"ף והרמב"ם והרא"ש, וסגי במכיר טביעות קלא של העדים ע"ש, פת"ש (סקכ"א).</w:t>
      </w:r>
    </w:p>
  </w:footnote>
  <w:footnote w:id="2295">
    <w:p w14:paraId="672CBD5F" w14:textId="663F90D9" w:rsidR="00C97BEF" w:rsidRDefault="00C97BEF" w:rsidP="00C97BEF">
      <w:pPr>
        <w:pStyle w:val="a5"/>
      </w:pPr>
      <w:r>
        <w:rPr>
          <w:rStyle w:val="a7"/>
        </w:rPr>
        <w:footnoteRef/>
      </w:r>
      <w:r>
        <w:rPr>
          <w:rtl/>
        </w:rPr>
        <w:t xml:space="preserve"> </w:t>
      </w:r>
      <w:r>
        <w:rPr>
          <w:rFonts w:cs="Arial"/>
          <w:rtl/>
        </w:rPr>
        <w:t>עיין סימן קמ"א סעיף ל"ו דשם לא כתב דצריך ליתן לפני עדים כשירים, ש"מ מ"ש כאן אינה אלא לכתחלה. וכ"כ בט"ז. וראיה של התרוה"ד שם אין מוכרח, לכן מהני בדיעבד אם נשאת אפי' קרוב ואשה כמו בהכרת החלוץ</w:t>
      </w:r>
      <w:r>
        <w:rPr>
          <w:rtl/>
        </w:rPr>
        <w:t xml:space="preserve">, </w:t>
      </w:r>
      <w:r w:rsidRPr="007D3720">
        <w:rPr>
          <w:b/>
          <w:bCs/>
          <w:rtl/>
        </w:rPr>
        <w:t>ב"ש</w:t>
      </w:r>
      <w:r>
        <w:rPr>
          <w:rtl/>
        </w:rPr>
        <w:t xml:space="preserve"> (סקי"ט).</w:t>
      </w:r>
      <w:r w:rsidR="007D3720">
        <w:rPr>
          <w:rFonts w:hint="cs"/>
          <w:rtl/>
        </w:rPr>
        <w:t xml:space="preserve">    </w:t>
      </w:r>
      <w:r>
        <w:rPr>
          <w:rFonts w:cs="Arial"/>
          <w:rtl/>
        </w:rPr>
        <w:t xml:space="preserve"> ועיין בס' גט מקושר (סג"ש אות כ"ה) שדעתו להקל אפילו לכתחילה במקום עיגון, ע"ש. ועמ"ש לעיל סי' קמא סל"ו סקל"ט</w:t>
      </w:r>
      <w:r>
        <w:rPr>
          <w:rtl/>
        </w:rPr>
        <w:t xml:space="preserve">, </w:t>
      </w:r>
      <w:r w:rsidRPr="007D3720">
        <w:rPr>
          <w:b/>
          <w:bCs/>
          <w:rtl/>
        </w:rPr>
        <w:t>פת"ש</w:t>
      </w:r>
      <w:r>
        <w:rPr>
          <w:rtl/>
        </w:rPr>
        <w:t xml:space="preserve"> (סקכ"ג).</w:t>
      </w:r>
    </w:p>
  </w:footnote>
  <w:footnote w:id="2296">
    <w:p w14:paraId="3A69C160" w14:textId="77777777" w:rsidR="00C97BEF" w:rsidRDefault="00C97BEF" w:rsidP="00C97BEF">
      <w:pPr>
        <w:pStyle w:val="a5"/>
        <w:rPr>
          <w:rtl/>
        </w:rPr>
      </w:pPr>
      <w:r>
        <w:rPr>
          <w:rStyle w:val="a7"/>
        </w:rPr>
        <w:footnoteRef/>
      </w:r>
      <w:r>
        <w:rPr>
          <w:rtl/>
        </w:rPr>
        <w:t xml:space="preserve"> </w:t>
      </w:r>
      <w:r>
        <w:rPr>
          <w:rFonts w:cs="Arial"/>
          <w:rtl/>
        </w:rPr>
        <w:t>כתב ב"ח אפי' אם העדים אין מכירים החתימות מ"מ כיון שמעידים דהבעל מסר גט זה ליד הסומא אצ"ל ב"נ וב"נ דלא עביד לקלקל אותה במזיד ואם אתא הבעל ומערער צריך לקיים ועיין בסמוך</w:t>
      </w:r>
      <w:r>
        <w:rPr>
          <w:rtl/>
        </w:rPr>
        <w:t>, ב"ש (סק"כ).</w:t>
      </w:r>
    </w:p>
  </w:footnote>
  <w:footnote w:id="2297">
    <w:p w14:paraId="062C4DE1" w14:textId="77777777" w:rsidR="00C97BEF" w:rsidRDefault="00C97BEF" w:rsidP="00C97BEF">
      <w:pPr>
        <w:pStyle w:val="a5"/>
        <w:rPr>
          <w:rtl/>
        </w:rPr>
      </w:pPr>
      <w:r>
        <w:rPr>
          <w:rStyle w:val="a7"/>
        </w:rPr>
        <w:footnoteRef/>
      </w:r>
      <w:r>
        <w:rPr>
          <w:rtl/>
        </w:rPr>
        <w:t xml:space="preserve"> </w:t>
      </w:r>
      <w:r>
        <w:rPr>
          <w:rFonts w:cs="Arial"/>
          <w:rtl/>
        </w:rPr>
        <w:t xml:space="preserve">כי היכא דלהוי דבר שלם ולא חצי דבר. מיהו בדין זה פליגי הרי"ף ותוס' כמ"ש בתוס' מרובה (פ.). להרי"ף, כל שאינו מהני הראיי' של כת זו בלי כת השניה - הוי חצי דבר, לכן אם כת א' אומרת דראו שערה א' וכת שניה מעידים על שערה אחר הוי חצי דבר. אבל כשמעידים ג' כיתות עדים על חזקת ג' שנים, כל כת מעיד שאכל שנה א', הוי דבר שלם, משום כל כת מהני להוציא ממנה פירות שנה זו. ולתוס' תליא הדבר אם היו יכולים לראות יותר, כמו בשערות דהיו יכולים לראות שתי שערות ולא ראו הוי חצי דבר, אבל בחזקה בשנה זו לא היו יכולים לראות יותר. לפ"ז דין דכאן תליא בפלוגתא זו. והרמ"ה דס"ל כאן דהוי חצי דבר ס"ל כהרי"ף, דהא לתוס' שראו המסירה לא היו יכולים לראות יותר, אבל להרי"ף כיון דלא מהני המסירה לבד הוי חצי דבר </w:t>
      </w:r>
      <w:r>
        <w:rPr>
          <w:rFonts w:cs="Arial"/>
          <w:sz w:val="16"/>
          <w:szCs w:val="16"/>
          <w:rtl/>
        </w:rPr>
        <w:t>(ובזה מיושב מה שהקשה בד"מ ע"ש. וכל זה ראיתי ג"כ בט"ז והא דמהני כשהיא עושה ש"ק וכת א' מעידים דעשתה אותו לש"ק וכת א' מעידים דקיבל הגט, לתוס' שפיר דלא היו יכולים לראות יותר, ולהרי"ף צ"ל משום דעידי אמירה א"צ לעידי קבלה כיון הגט בידו. והאי תירוץ דחו תוס' שם. וכ"כ הריב"ש סימן שי"ח אליבא הרמ"ה. ומזה מוכח נמי דהרמ"ה ס"ל כהרי"ף)</w:t>
      </w:r>
      <w:r>
        <w:rPr>
          <w:rtl/>
        </w:rPr>
        <w:t>, ב"ש (סקכ"א).</w:t>
      </w:r>
    </w:p>
  </w:footnote>
  <w:footnote w:id="2298">
    <w:p w14:paraId="6CB46795" w14:textId="77777777" w:rsidR="00C97BEF" w:rsidRDefault="00C97BEF" w:rsidP="00C97BEF">
      <w:pPr>
        <w:pStyle w:val="a5"/>
        <w:rPr>
          <w:rtl/>
        </w:rPr>
      </w:pPr>
      <w:r>
        <w:rPr>
          <w:rStyle w:val="a7"/>
        </w:rPr>
        <w:footnoteRef/>
      </w:r>
      <w:r>
        <w:rPr>
          <w:rtl/>
        </w:rPr>
        <w:t xml:space="preserve"> </w:t>
      </w:r>
      <w:r>
        <w:rPr>
          <w:rFonts w:cs="Arial"/>
          <w:rtl/>
        </w:rPr>
        <w:t>כלומר אפי' בח"ל אפי' היה סומא מעיקרו אפילו אין כאן עדים שמסר לו הגט אבל מ"מ צריך להכיר את האיש והאשה בט"ק, ב"ש (סקכ"ב).</w:t>
      </w:r>
    </w:p>
  </w:footnote>
  <w:footnote w:id="2299">
    <w:p w14:paraId="5FF6BDD5" w14:textId="77777777" w:rsidR="00C97BEF" w:rsidRDefault="00C97BEF" w:rsidP="00C97BEF">
      <w:pPr>
        <w:pStyle w:val="a5"/>
      </w:pPr>
      <w:r>
        <w:rPr>
          <w:rStyle w:val="a7"/>
        </w:rPr>
        <w:footnoteRef/>
      </w:r>
      <w:r>
        <w:rPr>
          <w:rtl/>
        </w:rPr>
        <w:t xml:space="preserve"> </w:t>
      </w:r>
      <w:r>
        <w:rPr>
          <w:rFonts w:cs="Arial"/>
          <w:rtl/>
        </w:rPr>
        <w:t>פשוט בגמרא שם פרק ב' דגיטין (כד.), ב"י.</w:t>
      </w:r>
    </w:p>
  </w:footnote>
  <w:footnote w:id="2300">
    <w:p w14:paraId="17DD7437" w14:textId="7200FB99" w:rsidR="00C97BEF" w:rsidRDefault="00C97BEF" w:rsidP="00C97BEF">
      <w:pPr>
        <w:pStyle w:val="a5"/>
      </w:pPr>
      <w:r>
        <w:rPr>
          <w:rStyle w:val="a7"/>
        </w:rPr>
        <w:footnoteRef/>
      </w:r>
      <w:r>
        <w:rPr>
          <w:rtl/>
        </w:rPr>
        <w:t xml:space="preserve"> </w:t>
      </w:r>
      <w:r w:rsidR="000A0F5A">
        <w:rPr>
          <w:rFonts w:cs="Arial"/>
          <w:rtl/>
        </w:rPr>
        <w:t>וז"ל:</w:t>
      </w:r>
      <w:r>
        <w:rPr>
          <w:rFonts w:cs="Arial"/>
          <w:rtl/>
        </w:rPr>
        <w:t xml:space="preserve"> במה דברים אמורים בשהתנה עליה הבעל תנאי זה אבל אם לא התנה עליה אלא נתן לה גיטה והרי הגט יוצא מתחת ידה אינה צריכה לומר כלום והרי היא בחזקת מגורשת הואיל וגט שבידה כתוב כהלכתו והעדים חתומים עליו, ואף על פי שאין אנו מכירין כתב העדים ולא נתקיים אין חוששין לה שמא זייפה אותו שהרי אינה מקלקלת על עצמה, ועוד שהעדים החתומים על הגט הרי הן כמי שנחקרה עדותן בבית דין עד שיהא שם מערער, לפיכך נעמיד הגט בחזקתו ותנשא ואין חוששין שמא ימצא מזוייף כמו שנעמיד הגט בחזקת כשר כשיביא אותו השליח עד שיערער הבעל או עד שיביא ראיה שהוא מזוייף או בטל. שאם תבוא לחוש לדברים אלו וכיוצא בהן כך היה לנו לחוש לגט שיתן אותו הבעל בפנינו שמא בטלו ואחר כך נתנו, או שמא עדים פסולין חתמו בו והרי הוא כמזוייף מתוכו, או שמא שלא לשמה נכתב, וכשם שאין חוששין לזה וכיוצא בו אלא נעמידו על חזקתו עד שיודע שהוא בטל כך לא נחוש לא לשליח ולא לאשה עצמה שהגט יוצא מתחת ידה, שאין דיני האיסורין כדיני הממונות.</w:t>
      </w:r>
    </w:p>
  </w:footnote>
  <w:footnote w:id="2301">
    <w:p w14:paraId="25C021AC" w14:textId="68FCCDE6" w:rsidR="00C97BEF" w:rsidRDefault="00C97BEF" w:rsidP="00C97BEF">
      <w:pPr>
        <w:pStyle w:val="a5"/>
      </w:pPr>
      <w:r>
        <w:rPr>
          <w:rStyle w:val="a7"/>
        </w:rPr>
        <w:footnoteRef/>
      </w:r>
      <w:r>
        <w:rPr>
          <w:rtl/>
        </w:rPr>
        <w:t xml:space="preserve"> </w:t>
      </w:r>
      <w:r>
        <w:rPr>
          <w:rFonts w:cs="Arial"/>
          <w:rtl/>
        </w:rPr>
        <w:t xml:space="preserve">מ"ש רבינו </w:t>
      </w:r>
      <w:r w:rsidR="00825EF6">
        <w:rPr>
          <w:rFonts w:cs="Arial" w:hint="cs"/>
          <w:rtl/>
        </w:rPr>
        <w:t>"</w:t>
      </w:r>
      <w:r>
        <w:rPr>
          <w:rFonts w:cs="Arial"/>
          <w:rtl/>
        </w:rPr>
        <w:t>ומתירין אותה לינשא אע"פ שאין מכירין חתימת העדים</w:t>
      </w:r>
      <w:r w:rsidR="00825EF6">
        <w:rPr>
          <w:rFonts w:cs="Arial" w:hint="cs"/>
          <w:rtl/>
        </w:rPr>
        <w:t>"</w:t>
      </w:r>
      <w:r>
        <w:rPr>
          <w:rFonts w:cs="Arial"/>
          <w:rtl/>
        </w:rPr>
        <w:t xml:space="preserve"> כן כתב הרמב"ם בפ"ז (הכ"ד). והראב"ד (פי"ב ה"ב) השיג עליו לומר שאע"פ שלא קרא עליו ערער יתקיים בחותמיו. וה</w:t>
      </w:r>
      <w:r w:rsidR="00825EF6">
        <w:rPr>
          <w:rFonts w:cs="Arial" w:hint="cs"/>
          <w:rtl/>
        </w:rPr>
        <w:t>ה"מ</w:t>
      </w:r>
      <w:r>
        <w:rPr>
          <w:rFonts w:cs="Arial"/>
          <w:rtl/>
        </w:rPr>
        <w:t xml:space="preserve"> (שם בפרק ז) כתב ליישב דעת הרמב"ם, וגם הר"ן בריש גיטין (ב. ד"ה וכתב) גבי הא דתניא נתנו לה ולא אמר בפני נכתב ובפני נחתם כתב כדברי הרמב"ם לפי שכל שהוא נותנו לידה או ליד שליח קבלה הרי בשעה שהגט יוצא מתחת ידו גומר ומגרש, וכיון שאין לחוש שמא יבוא בעל ויערער הרי האשה מותרת לינשא אע"פ שלא נתקיים הגט, דכל היכא דליכא למיחש לערער דבעל אין האשה צריכה לקיומו של גט. מיהו אם בא בעל וערער יתקיים בחותמיו. אבל הרשב"א בס"פ המביא גט תניינא (כד. ד"ה אשה) תמה על הרמב"ם מדתנן בפרק שני דכתובות (כב.) האשה שאמרה אשת איש הייתי וגרושה אני נאמנת ואם יש עדים שהיא אשת איש אינה נאמנת, ב"י.</w:t>
      </w:r>
    </w:p>
  </w:footnote>
  <w:footnote w:id="2302">
    <w:p w14:paraId="56D88618" w14:textId="4D1B411C"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מה שכתב כבודך להתיר גט אשה בלא קיום לינשא לכתחלה כיון שאין עליו עוררין זו דברי הרמב"ם ויליף לה מההיא דסוף פ"ב דגיטין אשה מכי מטי גיטא לידה איגרשה לה. אבל הראב"ד שמשוה האשה לדין השליח יפרשה בדרך אחרת וכו', ומעולם לא שמענו מי שנהג קולא כזו למעשה להתיר אשה שהיא בחזקת אשת איש בגט שבידה בלא קיום, ומה גם במקום שאין מצויין לקיימו. ולא ראיתי להרמב"ן שיחלק בין אשה לשליח, כי מה שכתב בחידושיו... ועוד תינח לאשה עצמה שטוענת בבריא שלא נמחה בידה, אבל הבא לימלך אשה זו אסורה או מותרת והיא אצלנו בחזקת איסור וגם הוא אינו יודע בהיתרה, איך נוציאנה מחזקתה ונתיר לו לישאנה</w:t>
      </w:r>
    </w:p>
  </w:footnote>
  <w:footnote w:id="2303">
    <w:p w14:paraId="4B9D32EA" w14:textId="77777777" w:rsidR="00C97BEF" w:rsidRDefault="00C97BEF" w:rsidP="00C97BEF">
      <w:pPr>
        <w:pStyle w:val="a5"/>
        <w:rPr>
          <w:rtl/>
        </w:rPr>
      </w:pPr>
      <w:r>
        <w:rPr>
          <w:rStyle w:val="a7"/>
        </w:rPr>
        <w:footnoteRef/>
      </w:r>
      <w:r>
        <w:rPr>
          <w:rtl/>
        </w:rPr>
        <w:t xml:space="preserve"> </w:t>
      </w:r>
      <w:r>
        <w:rPr>
          <w:rFonts w:cs="Arial"/>
          <w:rtl/>
        </w:rPr>
        <w:t>ואם אמר הרי את ש"ה עד לשם ושם הוי את ש"ק - לא הוי גט כלל, משום דלא חזרה השליחות לבעל</w:t>
      </w:r>
      <w:r>
        <w:rPr>
          <w:rFonts w:cs="Arial"/>
          <w:sz w:val="16"/>
          <w:szCs w:val="16"/>
          <w:rtl/>
        </w:rPr>
        <w:t xml:space="preserve"> {כמבואר בגמ' שם כד ע"א. וכתב הפת"ש (סקכ"ה) לעיין בס' בית מאיר לעיל ר"ס קמ"א (הבאתיו שם סק"א) שתמה עליו וכ' דהעיקר דהיא ספק מגורשת ע"ש}</w:t>
      </w:r>
      <w:r>
        <w:rPr>
          <w:rFonts w:cs="Arial"/>
          <w:rtl/>
        </w:rPr>
        <w:t>. וגרע טפי ממ"ש ר"ס קמ"א דשם היה ראוי השליח להשיב לבעל את שליחתו בתחלת שליחתו אבל כאן לא היה ראוי מיד להשיב את שליחתו. ואם א"ל שם תעשה את ש"ק אז דומה לחצירו הבא אח"כ ותליא בפלוגתא ר"ס קמ"א, ב"ש (סקכ"ג).</w:t>
      </w:r>
    </w:p>
  </w:footnote>
  <w:footnote w:id="2304">
    <w:p w14:paraId="68B71FEF" w14:textId="77777777" w:rsidR="00C97BEF" w:rsidRDefault="00C97BEF" w:rsidP="00C97BEF">
      <w:pPr>
        <w:pStyle w:val="a5"/>
      </w:pPr>
      <w:r>
        <w:rPr>
          <w:rStyle w:val="a7"/>
        </w:rPr>
        <w:footnoteRef/>
      </w:r>
      <w:r>
        <w:rPr>
          <w:rtl/>
        </w:rPr>
        <w:t xml:space="preserve"> </w:t>
      </w:r>
      <w:r>
        <w:rPr>
          <w:rFonts w:cs="Arial"/>
          <w:rtl/>
        </w:rPr>
        <w:t>אף על גב אם אמרה סתם נתגרשתי נאמנת כשהגט בידה כמ"ש במסוך מ"מ כשאומרת שהיא שליח צריכה לאמר ב"נ וב"נ כשאר שליח ואינה נאמנת מכח מיגו כ"כ הר"ן ואם מסרה ליד ש"ה ולא אמרה ב"נ וב"נ לא מהני כי כבר עשתה שליחות שלה כ"כ בתרוה"ד...</w:t>
      </w:r>
      <w:r>
        <w:rPr>
          <w:rtl/>
        </w:rPr>
        <w:t>, ב"ש (סקכ"ה).</w:t>
      </w:r>
    </w:p>
  </w:footnote>
  <w:footnote w:id="2305">
    <w:p w14:paraId="5451075D" w14:textId="77777777" w:rsidR="00C97BEF" w:rsidRDefault="00C97BEF" w:rsidP="00C97BEF">
      <w:pPr>
        <w:pStyle w:val="a5"/>
        <w:rPr>
          <w:rtl/>
        </w:rPr>
      </w:pPr>
      <w:r>
        <w:rPr>
          <w:rStyle w:val="a7"/>
        </w:rPr>
        <w:footnoteRef/>
      </w:r>
      <w:r>
        <w:rPr>
          <w:rtl/>
        </w:rPr>
        <w:t xml:space="preserve"> </w:t>
      </w:r>
      <w:r>
        <w:rPr>
          <w:rFonts w:cs="Arial"/>
          <w:rtl/>
        </w:rPr>
        <w:t>מ"ש בסוף דבריו 'וכל החתימות שבגט ידועות לנו' לא ידענא מאי קאמר, דכיון שאומר בפני נכתב ובפני נחתם אין צריך שיהיו החתימות ידועות לנו, ב"י (סי' קמא סע' כט).</w:t>
      </w:r>
    </w:p>
  </w:footnote>
  <w:footnote w:id="2306">
    <w:p w14:paraId="43945812" w14:textId="711D7798" w:rsidR="00C97BEF" w:rsidRDefault="00C97BEF" w:rsidP="00C97BEF">
      <w:pPr>
        <w:pStyle w:val="a5"/>
        <w:rPr>
          <w:rtl/>
        </w:rPr>
      </w:pPr>
      <w:r>
        <w:rPr>
          <w:rStyle w:val="a7"/>
        </w:rPr>
        <w:footnoteRef/>
      </w:r>
      <w:r>
        <w:rPr>
          <w:rtl/>
        </w:rPr>
        <w:t xml:space="preserve"> </w:t>
      </w:r>
      <w:r>
        <w:rPr>
          <w:rFonts w:cs="Arial"/>
          <w:rtl/>
        </w:rPr>
        <w:t xml:space="preserve">עיין תשו' הריב"ש </w:t>
      </w:r>
      <w:r w:rsidR="00796997">
        <w:rPr>
          <w:rFonts w:cs="Arial" w:hint="cs"/>
          <w:rtl/>
        </w:rPr>
        <w:t>(</w:t>
      </w:r>
      <w:r>
        <w:rPr>
          <w:rFonts w:cs="Arial"/>
          <w:rtl/>
        </w:rPr>
        <w:t>סי</w:t>
      </w:r>
      <w:r w:rsidR="00796997">
        <w:rPr>
          <w:rFonts w:cs="Arial" w:hint="cs"/>
          <w:rtl/>
        </w:rPr>
        <w:t>'</w:t>
      </w:r>
      <w:r>
        <w:rPr>
          <w:rFonts w:cs="Arial"/>
          <w:rtl/>
        </w:rPr>
        <w:t xml:space="preserve"> שפה</w:t>
      </w:r>
      <w:r w:rsidR="00796997">
        <w:rPr>
          <w:rFonts w:cs="Arial" w:hint="cs"/>
          <w:rtl/>
        </w:rPr>
        <w:t>)</w:t>
      </w:r>
      <w:r>
        <w:rPr>
          <w:rFonts w:cs="Arial"/>
          <w:rtl/>
        </w:rPr>
        <w:t xml:space="preserve"> היש חולקי' הוא הראב"ד </w:t>
      </w:r>
      <w:r w:rsidR="00991404">
        <w:rPr>
          <w:rFonts w:cs="Arial" w:hint="cs"/>
          <w:rtl/>
        </w:rPr>
        <w:t>(</w:t>
      </w:r>
      <w:r>
        <w:rPr>
          <w:rFonts w:cs="Arial"/>
          <w:rtl/>
        </w:rPr>
        <w:t>פי"ב</w:t>
      </w:r>
      <w:r w:rsidR="00991404">
        <w:rPr>
          <w:rFonts w:cs="Arial" w:hint="cs"/>
          <w:rtl/>
        </w:rPr>
        <w:t>),</w:t>
      </w:r>
      <w:r>
        <w:rPr>
          <w:rFonts w:cs="Arial"/>
          <w:rtl/>
        </w:rPr>
        <w:t xml:space="preserve"> וס"ל האשה דומה לשליח בשעה שמסר הגט נאמן לומר ב"נ וב"נ אבל אחר שמסר תו לא מהני דיבורו כן ה"נ האשה כשהיא מביאה הגט בתורת שליח ועדיין לא נתגרשה מהני דיבורה כמ"ש בש"ס ובדין לפני זה אבל אם באתה והביאה גט בידה ואומרת כבר נתגרשה תו לא מהני דיבורה כמו בשליח אחר שמוסר הגט וצריכה עדים</w:t>
      </w:r>
      <w:r w:rsidR="00991404">
        <w:rPr>
          <w:rFonts w:cs="Arial" w:hint="cs"/>
          <w:rtl/>
        </w:rPr>
        <w:t>,</w:t>
      </w:r>
      <w:r>
        <w:rPr>
          <w:rFonts w:cs="Arial"/>
          <w:rtl/>
        </w:rPr>
        <w:t xml:space="preserve"> וע"ש איך מיישב הסוגיא פ"ב</w:t>
      </w:r>
      <w:r w:rsidR="00991404">
        <w:rPr>
          <w:rFonts w:cs="Arial" w:hint="cs"/>
          <w:rtl/>
        </w:rPr>
        <w:t>,</w:t>
      </w:r>
      <w:r>
        <w:rPr>
          <w:rFonts w:cs="Arial"/>
          <w:rtl/>
        </w:rPr>
        <w:t xml:space="preserve"> לכן בדין קמייתא כשהיא מביא הגט בתורת שליח נאמנת וכן אם הביא השליח הגט בא"י ואינו אומר ב"נ נאמן כיון דאתא בתורת שליחות שאני... עכ"ל, ב"ש (סקכ"ו).</w:t>
      </w:r>
    </w:p>
  </w:footnote>
  <w:footnote w:id="2307">
    <w:p w14:paraId="2D0389D9" w14:textId="1FD1509E" w:rsidR="00C97BEF" w:rsidRDefault="00C97BEF" w:rsidP="00C97BEF">
      <w:pPr>
        <w:pStyle w:val="a5"/>
      </w:pPr>
      <w:r>
        <w:rPr>
          <w:rStyle w:val="a7"/>
        </w:rPr>
        <w:footnoteRef/>
      </w:r>
      <w:r>
        <w:rPr>
          <w:rtl/>
        </w:rPr>
        <w:t xml:space="preserve"> </w:t>
      </w:r>
      <w:r>
        <w:rPr>
          <w:rFonts w:cs="Arial"/>
          <w:rtl/>
        </w:rPr>
        <w:t xml:space="preserve">כ' בס' תו"ג </w:t>
      </w:r>
      <w:r w:rsidR="000A0F5A">
        <w:rPr>
          <w:rFonts w:cs="Arial"/>
          <w:rtl/>
        </w:rPr>
        <w:t>וז"ל:</w:t>
      </w:r>
      <w:r>
        <w:rPr>
          <w:rFonts w:cs="Arial"/>
          <w:rtl/>
        </w:rPr>
        <w:t xml:space="preserve"> ומשמע מדברי הרמ"א דאפילו הביא ממדה"י ליכא חשש מוקדם והוא בכלל גיטין הבאים ממדה"י דקלא אית לי' וכ"כ הרש"ל ביש"ש גיטין באריכות ע"ש (עמ"ש בזה לעיל סי' קכ"ז סק"ה וסק"ח), פת"ש (סקכ"ח).</w:t>
      </w:r>
    </w:p>
  </w:footnote>
  <w:footnote w:id="2308">
    <w:p w14:paraId="7BCC2577" w14:textId="6DA8BFBB" w:rsidR="00C97BEF" w:rsidRDefault="00C97BEF" w:rsidP="00C97BEF">
      <w:pPr>
        <w:pStyle w:val="a5"/>
      </w:pPr>
      <w:r>
        <w:rPr>
          <w:rStyle w:val="a7"/>
        </w:rPr>
        <w:footnoteRef/>
      </w:r>
      <w:r>
        <w:rPr>
          <w:rtl/>
        </w:rPr>
        <w:t xml:space="preserve"> </w:t>
      </w:r>
      <w:r>
        <w:rPr>
          <w:rFonts w:cs="Arial"/>
          <w:rtl/>
        </w:rPr>
        <w:t xml:space="preserve">דין זה כתב א"ח והביאו הב"י בסי' קמ"א. ולכאורה דין זה תמוה, דהא בברייתא איתא בעל שהביא גט אצ"ל ב"נ וב"נ כמ"ש ריש גיטין (ה.). ובא"ח כתב בזה הלשון- כדי שיוכל הבעל לומר ב"נ וב"נ כיון שהבעל עצמו מביא כדאמרינן ריש גיטין הבעל עצמו וכו' כי בעונותינו אין אנו בני תורה כמו הראשונים וכו'. ונ"ל דא"ח ס"ל כראב"ד דס"ל הלכה כרבה דאמר הטעם שצ"ל השליח ב"נ וב"נ משום דאין בקיאין לשמה ומשום דאין עדים מצוין לקיימו דס"ל כל הסוגיא שם איירי אחר שלמדו אז אצ"ל ב"נ וב"נ </w:t>
      </w:r>
      <w:r>
        <w:rPr>
          <w:rFonts w:cs="Arial"/>
          <w:sz w:val="16"/>
          <w:szCs w:val="16"/>
          <w:rtl/>
        </w:rPr>
        <w:t>(וכן הא דתניא שנים שהביאו גט, וכן חרש ונתפקח דא"צ ב"נ וב"נ איירי אחר שלמדו אז אצ"ל ב"נ, וכן הבעל דוק' אחר שלמדו אצ"ל. א"כ השתא בעונתינו אין אנו בני תורה כמו הראשונים מ"ה צ"ל אפי' הבעל ב"נ דהוי כמו קודם שלמדו)</w:t>
      </w:r>
      <w:r>
        <w:rPr>
          <w:rFonts w:cs="Arial"/>
          <w:rtl/>
        </w:rPr>
        <w:t>. אבל לדידן דקי"ל כרבא דאמר הטעם משום קיום אם כן הבעל אצ"ל ב"נ כיון דהוא בעצמו הביא הגט לא מהני עירעור שלו, וגם הוא אינו חשוד להכשילה במזיד כמ"ש בתוס'. ורמ"א הוסיף מדלי' דצ"ל ב"נ כדי שלא לטעות בשליח אחר כיון דאנן אינן בני תורה ס"ל מ"ש הטעם דאנן אינן בני תורה היינו מ"ה ראוי לגזור אטו שליח אחר. ואין נראה לי</w:t>
      </w:r>
      <w:r w:rsidR="003078CC">
        <w:rPr>
          <w:rFonts w:cs="Arial" w:hint="cs"/>
          <w:rtl/>
        </w:rPr>
        <w:t>,</w:t>
      </w:r>
      <w:r>
        <w:rPr>
          <w:rFonts w:cs="Arial"/>
          <w:rtl/>
        </w:rPr>
        <w:t xml:space="preserve"> דא"כ בשנים המביאים גט יש לחוש אטו שליח אחר, דהא בש"ס איתא אחר שלמדו מ"מ חד ואשה צ"ל ב"נ שמא יחזור דבר לקלקולו וכדי שלא תחלוק בשליחות ומ"מ כשמביא הבעל הגט או שנים לא אמרינן לא תחלוק בשליחות ואצ"ל ב"נ, ולא גזרינן אטו שליח אחר</w:t>
      </w:r>
      <w:r>
        <w:rPr>
          <w:rtl/>
        </w:rPr>
        <w:t>, ב"ש (סקכ"ז).</w:t>
      </w:r>
    </w:p>
  </w:footnote>
  <w:footnote w:id="2309">
    <w:p w14:paraId="61C64C0D" w14:textId="77777777" w:rsidR="00C97BEF" w:rsidRDefault="00C97BEF" w:rsidP="00C97BEF">
      <w:pPr>
        <w:pStyle w:val="a5"/>
        <w:rPr>
          <w:rtl/>
        </w:rPr>
      </w:pPr>
      <w:r>
        <w:rPr>
          <w:rStyle w:val="a7"/>
        </w:rPr>
        <w:footnoteRef/>
      </w:r>
      <w:r>
        <w:rPr>
          <w:rtl/>
        </w:rPr>
        <w:t xml:space="preserve"> </w:t>
      </w:r>
      <w:r>
        <w:rPr>
          <w:rFonts w:cs="Arial"/>
          <w:rtl/>
        </w:rPr>
        <w:t xml:space="preserve">אלא בשיטה אחת, </w:t>
      </w:r>
      <w:r>
        <w:rPr>
          <w:rFonts w:cs="Arial"/>
          <w:b/>
          <w:bCs/>
          <w:rtl/>
        </w:rPr>
        <w:t>רש"י</w:t>
      </w:r>
      <w:r>
        <w:rPr>
          <w:rFonts w:cs="Arial"/>
          <w:rtl/>
        </w:rPr>
        <w:t>. ולטעמיה אזיל דקן קולמוסא היינו שישמע הקולמוס כשהוא כותב ובשיטה ראשונה בעינן כמו שיתבאר בסמוך</w:t>
      </w:r>
      <w:r>
        <w:rPr>
          <w:rtl/>
        </w:rPr>
        <w:t xml:space="preserve">, </w:t>
      </w:r>
      <w:r>
        <w:rPr>
          <w:b/>
          <w:bCs/>
          <w:rtl/>
        </w:rPr>
        <w:t>ב"י</w:t>
      </w:r>
      <w:r>
        <w:rPr>
          <w:rtl/>
        </w:rPr>
        <w:t>.</w:t>
      </w:r>
    </w:p>
  </w:footnote>
  <w:footnote w:id="2310">
    <w:p w14:paraId="0F607873" w14:textId="77777777" w:rsidR="00C97BEF" w:rsidRDefault="00C97BEF" w:rsidP="00C97BEF">
      <w:pPr>
        <w:pStyle w:val="a5"/>
        <w:rPr>
          <w:rFonts w:cs="Arial"/>
        </w:rPr>
      </w:pPr>
      <w:r>
        <w:rPr>
          <w:rStyle w:val="a7"/>
        </w:rPr>
        <w:footnoteRef/>
      </w:r>
      <w:r>
        <w:rPr>
          <w:rtl/>
        </w:rPr>
        <w:t xml:space="preserve"> </w:t>
      </w:r>
      <w:r>
        <w:rPr>
          <w:rFonts w:cs="Arial"/>
          <w:u w:val="single"/>
          <w:rtl/>
        </w:rPr>
        <w:t>מספר פירושים נכתבו בזה:</w:t>
      </w:r>
    </w:p>
    <w:p w14:paraId="02F99292" w14:textId="3FFF2E38" w:rsidR="00C97BEF" w:rsidRDefault="00C97BEF" w:rsidP="006A458D">
      <w:pPr>
        <w:pStyle w:val="a5"/>
        <w:numPr>
          <w:ilvl w:val="0"/>
          <w:numId w:val="127"/>
        </w:numPr>
        <w:rPr>
          <w:rtl/>
        </w:rPr>
      </w:pPr>
      <w:r>
        <w:rPr>
          <w:rFonts w:cs="Arial"/>
          <w:rtl/>
        </w:rPr>
        <w:t xml:space="preserve">י"א </w:t>
      </w:r>
      <w:r>
        <w:rPr>
          <w:rFonts w:cs="Arial"/>
          <w:sz w:val="14"/>
          <w:szCs w:val="14"/>
          <w:rtl/>
        </w:rPr>
        <w:t>(הפירוש הראשון שהביא רש"י)</w:t>
      </w:r>
      <w:r>
        <w:rPr>
          <w:rFonts w:cs="Arial"/>
          <w:rtl/>
        </w:rPr>
        <w:t xml:space="preserve"> ורא"ש </w:t>
      </w:r>
      <w:r>
        <w:rPr>
          <w:rFonts w:cs="Arial"/>
          <w:sz w:val="16"/>
          <w:szCs w:val="16"/>
          <w:rtl/>
        </w:rPr>
        <w:t>(פ"א סי' ג)</w:t>
      </w:r>
      <w:r>
        <w:rPr>
          <w:rFonts w:cs="Arial"/>
          <w:rtl/>
        </w:rPr>
        <w:t>- תיקון הקולמוס והקלף שמע כשתיקנוהו לשמה כשחותכין אותו ומחליקין אותו</w:t>
      </w:r>
      <w:r>
        <w:rPr>
          <w:rFonts w:cs="Arial"/>
          <w:sz w:val="16"/>
          <w:szCs w:val="16"/>
          <w:rtl/>
        </w:rPr>
        <w:t xml:space="preserve"> (ל' רש"י)</w:t>
      </w:r>
      <w:r>
        <w:rPr>
          <w:rFonts w:cs="Arial"/>
          <w:rtl/>
        </w:rPr>
        <w:t xml:space="preserve">. </w:t>
      </w:r>
      <w:r>
        <w:rPr>
          <w:rFonts w:cs="Arial"/>
          <w:sz w:val="16"/>
          <w:szCs w:val="16"/>
          <w:rtl/>
        </w:rPr>
        <w:t>(וכתב הרא"ש (סי' ג)</w:t>
      </w:r>
      <w:r w:rsidR="003078CC">
        <w:rPr>
          <w:rFonts w:cs="Arial" w:hint="cs"/>
          <w:sz w:val="16"/>
          <w:szCs w:val="16"/>
          <w:rtl/>
        </w:rPr>
        <w:t>:</w:t>
      </w:r>
      <w:r>
        <w:rPr>
          <w:rFonts w:cs="Arial"/>
          <w:sz w:val="16"/>
          <w:szCs w:val="16"/>
          <w:rtl/>
        </w:rPr>
        <w:t xml:space="preserve"> ולא שיהא צריך תיקון הקלף והקולמוס לשמה דדוקא כתיבה וחתימה הוא דבעינן לשמה ולא מכשיריה, אלא שמע כשתקנו הקולמוס והקלף שאמרו כדי לכתוב בו גט לשמה, ומסתמא כן עשו. והוא שראה הקלף אחר שתקנוהו ואחר שנכתב מכירו בטביעות עין. הלכך אין להכשיר סומא על ידי קן קולמוסא וקן מגילתא. אבל התוספות (ו. ד"ר, אבל הטעם שכתב הרא"ש לא מובא שם) כתבו שאין להכשיר סומא ע"י קן קולמוסא משום דנראה שקרן אם יאמר בפני נחתם ואם יאמר שמעתי קן קולמוסא אינו מועיל דבעינן שיאמר בלשון שתקנו חכמים כדפרישית לעיל (סי' ב) דידענו אינו מועיל לרבא. ומדבריהם למדנו שאינו צריך שיראה הקלף ויכירהו כי מסתמא כיון שאמרו לכתוב בשעה שתקנו הקלף לשמה כן עשו מה לי בקלף זה מה לי בקלף אחר. ומיהו אם שמע שאמרו לכתוב גט לשמה ולא שמע קן קולמוסא או קן מגילתא - לא מהני, דשמא לא כתבו מיד אלא לאחר זמן וכתבוהו לשם אחר ששמו כשמו. עכ"ל הרא"ש)</w:t>
      </w:r>
      <w:r>
        <w:rPr>
          <w:rFonts w:cs="Arial"/>
          <w:rtl/>
        </w:rPr>
        <w:t xml:space="preserve"> </w:t>
      </w:r>
    </w:p>
    <w:p w14:paraId="3B78A6C2" w14:textId="77777777" w:rsidR="00C97BEF" w:rsidRDefault="00C97BEF" w:rsidP="006A458D">
      <w:pPr>
        <w:pStyle w:val="a5"/>
        <w:numPr>
          <w:ilvl w:val="0"/>
          <w:numId w:val="127"/>
        </w:numPr>
      </w:pPr>
      <w:r>
        <w:rPr>
          <w:rFonts w:cs="Arial"/>
          <w:rtl/>
        </w:rPr>
        <w:t xml:space="preserve">רש"י רמב"ם </w:t>
      </w:r>
      <w:r>
        <w:rPr>
          <w:rFonts w:cs="Arial"/>
          <w:sz w:val="16"/>
          <w:szCs w:val="16"/>
          <w:rtl/>
        </w:rPr>
        <w:t xml:space="preserve">(פ"ז הי"ב) </w:t>
      </w:r>
      <w:r>
        <w:rPr>
          <w:rFonts w:cs="Arial"/>
          <w:rtl/>
        </w:rPr>
        <w:t xml:space="preserve">ורא"ש </w:t>
      </w:r>
      <w:r>
        <w:rPr>
          <w:rFonts w:cs="Arial"/>
          <w:sz w:val="16"/>
          <w:szCs w:val="16"/>
          <w:rtl/>
        </w:rPr>
        <w:t>(שם)</w:t>
      </w:r>
      <w:r>
        <w:rPr>
          <w:rFonts w:cs="Arial"/>
          <w:rtl/>
        </w:rPr>
        <w:t>- ולי נראה 'קן קולמוסא' - קול הקולמוס כשהוא כותב וקול היריעה שהוא נשמע כמי שאומר קן קן, ואית דגרסי קל קולמוסא</w:t>
      </w:r>
      <w:r>
        <w:rPr>
          <w:rFonts w:cs="Arial"/>
          <w:sz w:val="14"/>
          <w:szCs w:val="14"/>
          <w:rtl/>
        </w:rPr>
        <w:t xml:space="preserve"> </w:t>
      </w:r>
      <w:r>
        <w:rPr>
          <w:rFonts w:cs="Arial"/>
          <w:sz w:val="16"/>
          <w:szCs w:val="16"/>
          <w:rtl/>
        </w:rPr>
        <w:t>(ל' רש"י)</w:t>
      </w:r>
      <w:r>
        <w:rPr>
          <w:rFonts w:cs="Arial"/>
          <w:rtl/>
        </w:rPr>
        <w:t>.</w:t>
      </w:r>
      <w:r>
        <w:rPr>
          <w:rtl/>
        </w:rPr>
        <w:t xml:space="preserve"> </w:t>
      </w:r>
      <w:r>
        <w:rPr>
          <w:color w:val="E36C0A" w:themeColor="accent6" w:themeShade="BF"/>
          <w:rtl/>
        </w:rPr>
        <w:t>(וכ"פ בשו"ע)</w:t>
      </w:r>
    </w:p>
    <w:p w14:paraId="1EA23167" w14:textId="77777777" w:rsidR="00C97BEF" w:rsidRDefault="00C97BEF" w:rsidP="006A458D">
      <w:pPr>
        <w:pStyle w:val="a5"/>
        <w:numPr>
          <w:ilvl w:val="0"/>
          <w:numId w:val="127"/>
        </w:numPr>
      </w:pPr>
      <w:r>
        <w:rPr>
          <w:rFonts w:cs="Arial"/>
          <w:rtl/>
        </w:rPr>
        <w:t xml:space="preserve">ר"ח </w:t>
      </w:r>
      <w:r>
        <w:rPr>
          <w:rFonts w:cs="Arial"/>
          <w:sz w:val="16"/>
          <w:szCs w:val="16"/>
          <w:rtl/>
        </w:rPr>
        <w:t>(כ"כ בשמו או"ז [ח"א סי' תרצט], הביאו הג"א [סי' ג])</w:t>
      </w:r>
      <w:r>
        <w:rPr>
          <w:rFonts w:cs="Arial"/>
          <w:rtl/>
        </w:rPr>
        <w:t xml:space="preserve">- שאמר הבעל כתוב גט לאשתי פלונית שאני מגרשה, וראה שלקח הסופר הקולמוס והמגילה לכתוב בה הגט לשמה ודיו. </w:t>
      </w:r>
    </w:p>
    <w:p w14:paraId="4F4E0D7D" w14:textId="77777777" w:rsidR="00C97BEF" w:rsidRDefault="00C97BEF" w:rsidP="006A458D">
      <w:pPr>
        <w:pStyle w:val="a5"/>
        <w:numPr>
          <w:ilvl w:val="0"/>
          <w:numId w:val="127"/>
        </w:numPr>
      </w:pPr>
      <w:r>
        <w:rPr>
          <w:rFonts w:cs="Arial"/>
          <w:rtl/>
        </w:rPr>
        <w:t xml:space="preserve">רבינו האיי </w:t>
      </w:r>
      <w:r>
        <w:rPr>
          <w:rFonts w:cs="Arial"/>
          <w:sz w:val="16"/>
          <w:szCs w:val="16"/>
          <w:rtl/>
        </w:rPr>
        <w:t>(כ"כ בשמו או"ז [ח"א סי' תרצט], הביאו הג"א [סי' ג])</w:t>
      </w:r>
      <w:r>
        <w:rPr>
          <w:rFonts w:cs="Arial"/>
          <w:rtl/>
        </w:rPr>
        <w:t>- שמע חיתוך הקולמוס והמגילה שחתך הסופר לכתוב בה הגט.</w:t>
      </w:r>
    </w:p>
  </w:footnote>
  <w:footnote w:id="2311">
    <w:p w14:paraId="006862C9" w14:textId="77777777" w:rsidR="00C97BEF" w:rsidRDefault="00C97BEF" w:rsidP="00C97BEF">
      <w:pPr>
        <w:pStyle w:val="a5"/>
      </w:pPr>
      <w:r>
        <w:rPr>
          <w:rStyle w:val="a7"/>
        </w:rPr>
        <w:footnoteRef/>
      </w:r>
      <w:r>
        <w:rPr>
          <w:rtl/>
        </w:rPr>
        <w:t xml:space="preserve"> </w:t>
      </w:r>
      <w:r>
        <w:rPr>
          <w:rFonts w:cs="Arial"/>
          <w:rtl/>
        </w:rPr>
        <w:t>שיטה ראשונה שבה שם האיש והאשה והזמן</w:t>
      </w:r>
      <w:r>
        <w:rPr>
          <w:rtl/>
        </w:rPr>
        <w:t>, רש"י.</w:t>
      </w:r>
    </w:p>
  </w:footnote>
  <w:footnote w:id="2312">
    <w:p w14:paraId="3FA25B7D" w14:textId="77777777" w:rsidR="00C97BEF" w:rsidRDefault="00C97BEF" w:rsidP="00C97BEF">
      <w:pPr>
        <w:pStyle w:val="a5"/>
        <w:rPr>
          <w:rtl/>
        </w:rPr>
      </w:pPr>
      <w:r>
        <w:rPr>
          <w:rStyle w:val="a7"/>
        </w:rPr>
        <w:footnoteRef/>
      </w:r>
      <w:r>
        <w:rPr>
          <w:rtl/>
        </w:rPr>
        <w:t xml:space="preserve"> </w:t>
      </w:r>
      <w:r>
        <w:rPr>
          <w:rFonts w:cs="Arial"/>
          <w:rtl/>
        </w:rPr>
        <w:t>ויש לדקדק אמאי מצרכינן לשליח שיראה שכותב הגט לשמה, והא קיי"ל כרבא דאמר דטעמא דצריך לומר בפני נכתב ובפני נחתם הוא לפי שאין עדים מצויין לקיימו, ודלא כרבה דאמר לפי שאין בקיאין לשמה, וכמ"ש בראש סימן זה. וי"ל דבריש גיטין (ג.) אקשינן לרבא דאמר לפי שאין עדים מצויין לקיימו אמאי צריך לומר בפני נכתב, כשיאמר בפני נחתם סגי. ותירצו, משום דאתי לאיחלופי בקיום שטרות דעלמא בעד אחד. ופירש רש"י (ד"ה אטו הכא) אתי לאיחלופי בקיום שטרות דעלמא לקיומינהו בעד אחד. וכתבו התוספות (ד"ה אתי) וא"ת כיון דאין צריך לומר בפני נכתב אלא משום איחלופי, אמאי פסיל ברפ"ב בפני נכתב חציו האחרון טפי מחציו הראשון. ויש לומר דבחציו הראשון יש בו שם האיש והאשה והזמן שהוא עיקר הגט מינכר מילתא ולא אתי לאיחלופי עכ"ל. וא"כ אנו נאמר גם כן דכשיראו שצריך שיראה שכותב לשמה מינכר מילתא דדין גט לחוד, ולא אתי לקיומי שאר שטרות בעד אחד</w:t>
      </w:r>
      <w:r>
        <w:rPr>
          <w:rtl/>
        </w:rPr>
        <w:t>, ב"י.</w:t>
      </w:r>
    </w:p>
  </w:footnote>
  <w:footnote w:id="2313">
    <w:p w14:paraId="529C932B" w14:textId="77777777" w:rsidR="00C97BEF" w:rsidRDefault="00C97BEF" w:rsidP="00C97BEF">
      <w:pPr>
        <w:pStyle w:val="a5"/>
        <w:rPr>
          <w:rtl/>
        </w:rPr>
      </w:pPr>
      <w:r>
        <w:rPr>
          <w:rStyle w:val="a7"/>
        </w:rPr>
        <w:footnoteRef/>
      </w:r>
      <w:r>
        <w:rPr>
          <w:rtl/>
        </w:rPr>
        <w:t xml:space="preserve"> </w:t>
      </w:r>
      <w:r>
        <w:rPr>
          <w:rFonts w:cs="Arial"/>
          <w:rtl/>
        </w:rPr>
        <w:t>ולפירוש ראשון שכתב רש"י צריך לומר דטפי עדיף שיראה תיקון קלף לשם הגט משיעמוד על כתיבת חציו אחרון, משום דבתיקון קלף לשמו יש הוכחה שהוא כותב עיקר הגט לשמה, אבל מחציו אחרון אין הוכחה לחציו ראשון שכתב שהיה לשמו</w:t>
      </w:r>
      <w:r>
        <w:rPr>
          <w:rtl/>
        </w:rPr>
        <w:t>, ב"י.</w:t>
      </w:r>
    </w:p>
  </w:footnote>
  <w:footnote w:id="2314">
    <w:p w14:paraId="5BC6A8CB" w14:textId="77777777" w:rsidR="00C97BEF" w:rsidRDefault="00C97BEF" w:rsidP="00C97BEF">
      <w:pPr>
        <w:pStyle w:val="a5"/>
        <w:rPr>
          <w:rtl/>
        </w:rPr>
      </w:pPr>
      <w:r>
        <w:rPr>
          <w:rStyle w:val="a7"/>
        </w:rPr>
        <w:footnoteRef/>
      </w:r>
      <w:r>
        <w:rPr>
          <w:rtl/>
        </w:rPr>
        <w:t xml:space="preserve"> </w:t>
      </w:r>
      <w:r>
        <w:rPr>
          <w:rFonts w:cs="Arial"/>
          <w:rtl/>
        </w:rPr>
        <w:t>ולדעת רש"י ותוס' (ג. ד"ה אתי) צריך להיות נכתב בפניו השיטה שיש בה שם האיש והאשה. ולדעת הר"ן גם 'היא מותרת' צריך לכתוב בפניו. ומדברי הרמב"ם והרא"ש והטור משמע אפי' לא נכתב שם איש וכו' יש לומר ב"נ, וכן סתם המחבר כרמב"ם. מיהו יש להחמיר כדעת רש"י ותוס' (שם). משמע דוקא כשאמר ששמע תיקון הקלף צ"ל שהיתה התיקון לשמה, אבל אם נכתב בפניו אמרינן מסתמא היה כותבין לשמו ולשמה, ב"ש (סקכ"ח).</w:t>
      </w:r>
    </w:p>
  </w:footnote>
  <w:footnote w:id="2315">
    <w:p w14:paraId="6F465B38" w14:textId="11CE8A0A" w:rsidR="00C97BEF" w:rsidRDefault="00C97BEF" w:rsidP="00C97BEF">
      <w:pPr>
        <w:pStyle w:val="a5"/>
      </w:pPr>
      <w:r>
        <w:rPr>
          <w:rStyle w:val="a7"/>
        </w:rPr>
        <w:footnoteRef/>
      </w:r>
      <w:r>
        <w:rPr>
          <w:rtl/>
        </w:rPr>
        <w:t xml:space="preserve"> </w:t>
      </w:r>
      <w:r>
        <w:rPr>
          <w:rFonts w:cs="Arial"/>
          <w:rtl/>
        </w:rPr>
        <w:t xml:space="preserve">משמע בחתימת העדים לא מהני קול הקולמוס, וכן משמע בטור אפי' אם נשמע קול מכל החתימה. ולכאורה תמוה דהא כתבו תוס' והרא"ש דאין להכשיר סומא ע"י קול קולמוס משום דנראה כשקר אם יאמר ב"נ וב"נ כמ"ש לעיל, וכ"כ הר"ן, ואי ס"ל בחתימה לא מהני קול קולמוס אפי' מי שאינו סומא מה הקשו בסומא?. וצ"ע. שוב ראיתי בחדושי רש"ך הרגיש ג"כ בזה, </w:t>
      </w:r>
      <w:r w:rsidRPr="00AE793D">
        <w:rPr>
          <w:rFonts w:cs="Arial"/>
          <w:b/>
          <w:bCs/>
          <w:rtl/>
        </w:rPr>
        <w:t>ב"ש</w:t>
      </w:r>
      <w:r>
        <w:rPr>
          <w:rFonts w:cs="Arial"/>
          <w:rtl/>
        </w:rPr>
        <w:t xml:space="preserve"> (סק"ל). </w:t>
      </w:r>
      <w:r w:rsidR="00AE793D">
        <w:rPr>
          <w:rFonts w:cs="Arial" w:hint="cs"/>
          <w:rtl/>
        </w:rPr>
        <w:t xml:space="preserve">     </w:t>
      </w:r>
      <w:r>
        <w:rPr>
          <w:rFonts w:cs="Arial"/>
          <w:rtl/>
        </w:rPr>
        <w:t>ועיין בס' ב"מ שכ' דבתשו' מהרח"ש (סי' ב</w:t>
      </w:r>
      <w:r w:rsidR="004D2A80">
        <w:rPr>
          <w:rFonts w:cs="Arial" w:hint="cs"/>
          <w:rtl/>
        </w:rPr>
        <w:t>-</w:t>
      </w:r>
      <w:r>
        <w:rPr>
          <w:rFonts w:cs="Arial"/>
          <w:rtl/>
        </w:rPr>
        <w:t xml:space="preserve">ג) האריך בטעם הדבר כו', ועם שהרב מהרי"ט בסי' ב' העתיק ל' תוס' ארוכים שמצא דנשמע מהם להדיא דאף על החתימות יוכל להעיד ע"י קן קולמס כדמשמע נמי מכח הקושיא דסומא שבב"ש, עכ"ז לא רצה לזוז מפסק הרמ"א והראב"ן והטור, ודחקו מאד בישוב קושיא זו (גם בס' גט מקושר בס"ג שני אות כ"ו כ' ישוב לזו), אך בזה מסכים להלכה שאם במעמד השליח נחתם אלא שהסיח דעתו ולא נסתכל ממש בשעת החתימה על ידיהם אלא ראה הגט יוצא מת"י העדים חתום באופן שאינם יכולים להשתמט לומר לא חתמנו - שליח כזה יוכל להעיד בפני נחתם עכ"ד, </w:t>
      </w:r>
      <w:r w:rsidRPr="00AE793D">
        <w:rPr>
          <w:rFonts w:cs="Arial"/>
          <w:b/>
          <w:bCs/>
          <w:rtl/>
        </w:rPr>
        <w:t>פת"ש</w:t>
      </w:r>
      <w:r>
        <w:rPr>
          <w:rFonts w:cs="Arial"/>
          <w:rtl/>
        </w:rPr>
        <w:t xml:space="preserve"> (סקכ"ט). </w:t>
      </w:r>
    </w:p>
  </w:footnote>
  <w:footnote w:id="2316">
    <w:p w14:paraId="79266DA0" w14:textId="77777777" w:rsidR="00C97BEF" w:rsidRDefault="00C97BEF" w:rsidP="00C97BEF">
      <w:pPr>
        <w:pStyle w:val="a5"/>
      </w:pPr>
      <w:r>
        <w:rPr>
          <w:rStyle w:val="a7"/>
        </w:rPr>
        <w:footnoteRef/>
      </w:r>
      <w:r>
        <w:rPr>
          <w:rtl/>
        </w:rPr>
        <w:t xml:space="preserve"> </w:t>
      </w:r>
      <w:r>
        <w:rPr>
          <w:rFonts w:cs="Arial"/>
          <w:rtl/>
        </w:rPr>
        <w:t>לאו לפרושי מתני' אתא ולאוקומי מתני' בהכי אלא סברא דידיה מוסיף ואמר רבותא דאפי' שנים מן השוק מעידין שהן מכירין יד עד חתימת השני שלא העיד השליח עליו פסול, רש"י.</w:t>
      </w:r>
    </w:p>
  </w:footnote>
  <w:footnote w:id="2317">
    <w:p w14:paraId="52487DBF" w14:textId="77777777" w:rsidR="00C97BEF" w:rsidRDefault="00C97BEF" w:rsidP="00C97BEF">
      <w:pPr>
        <w:pStyle w:val="a5"/>
      </w:pPr>
      <w:r>
        <w:rPr>
          <w:rStyle w:val="a7"/>
        </w:rPr>
        <w:footnoteRef/>
      </w:r>
      <w:r>
        <w:rPr>
          <w:rtl/>
        </w:rPr>
        <w:t xml:space="preserve"> </w:t>
      </w:r>
      <w:r>
        <w:rPr>
          <w:rFonts w:cs="Arial"/>
          <w:rtl/>
        </w:rPr>
        <w:t>היינו עדים המעידין על חותם העדים, רש"י.</w:t>
      </w:r>
    </w:p>
  </w:footnote>
  <w:footnote w:id="2318">
    <w:p w14:paraId="420CF482" w14:textId="77777777" w:rsidR="00C97BEF" w:rsidRDefault="00C97BEF" w:rsidP="00C97BEF">
      <w:pPr>
        <w:pStyle w:val="a5"/>
      </w:pPr>
      <w:r>
        <w:rPr>
          <w:rStyle w:val="a7"/>
        </w:rPr>
        <w:footnoteRef/>
      </w:r>
      <w:r>
        <w:rPr>
          <w:rtl/>
        </w:rPr>
        <w:t xml:space="preserve"> </w:t>
      </w:r>
      <w:r>
        <w:rPr>
          <w:rFonts w:cs="Arial"/>
          <w:rtl/>
        </w:rPr>
        <w:t>עדות השליח שהאמינוהו חכמים כשנים, רש"י.</w:t>
      </w:r>
    </w:p>
  </w:footnote>
  <w:footnote w:id="2319">
    <w:p w14:paraId="060CFD31" w14:textId="77777777" w:rsidR="00C97BEF" w:rsidRDefault="00C97BEF" w:rsidP="00C97BEF">
      <w:pPr>
        <w:pStyle w:val="a5"/>
      </w:pPr>
      <w:r>
        <w:rPr>
          <w:rStyle w:val="a7"/>
        </w:rPr>
        <w:footnoteRef/>
      </w:r>
      <w:r>
        <w:rPr>
          <w:rtl/>
        </w:rPr>
        <w:t xml:space="preserve"> </w:t>
      </w:r>
      <w:r>
        <w:rPr>
          <w:rFonts w:cs="Arial"/>
          <w:rtl/>
        </w:rPr>
        <w:t>אם היה אומר השליח אני מכירם כשר ואפילו לא אמר בפני נחתם דהכי אמרינן בפ"ק (לעיל ג.) דכי אמר יודע אני נמי מהימן בשמעתא קמייתא, רש"י.</w:t>
      </w:r>
      <w:r>
        <w:rPr>
          <w:rtl/>
        </w:rPr>
        <w:t xml:space="preserve"> ועיין לקמן שהתוס' השיגו על פירוש רש"י.</w:t>
      </w:r>
    </w:p>
  </w:footnote>
  <w:footnote w:id="2320">
    <w:p w14:paraId="3B59EBBC" w14:textId="77777777" w:rsidR="00C97BEF" w:rsidRDefault="00C97BEF" w:rsidP="00C97BEF">
      <w:pPr>
        <w:pStyle w:val="a5"/>
      </w:pPr>
      <w:r>
        <w:rPr>
          <w:rStyle w:val="a7"/>
        </w:rPr>
        <w:footnoteRef/>
      </w:r>
      <w:r>
        <w:rPr>
          <w:rtl/>
        </w:rPr>
        <w:t xml:space="preserve"> </w:t>
      </w:r>
      <w:r>
        <w:rPr>
          <w:rFonts w:cs="Arial"/>
          <w:rtl/>
        </w:rPr>
        <w:t>השליח ואחר מן השוק עמו. ואם לא היה מעיד עליה אלא השליח לבדו ואפי' אמר יודע אני היה כשר, אבל עכשיו שהיה אחר עמו פסול</w:t>
      </w:r>
      <w:r>
        <w:rPr>
          <w:rtl/>
        </w:rPr>
        <w:t>, רש"י. ועיין לקמן שהתוס' השיגו על פירוש רש"י.</w:t>
      </w:r>
    </w:p>
  </w:footnote>
  <w:footnote w:id="2321">
    <w:p w14:paraId="03B56836" w14:textId="77777777" w:rsidR="00C97BEF" w:rsidRDefault="00C97BEF" w:rsidP="00C97BEF">
      <w:pPr>
        <w:pStyle w:val="a5"/>
        <w:rPr>
          <w:rtl/>
        </w:rPr>
      </w:pPr>
      <w:r>
        <w:rPr>
          <w:rStyle w:val="a7"/>
        </w:rPr>
        <w:footnoteRef/>
      </w:r>
      <w:r>
        <w:rPr>
          <w:rtl/>
        </w:rPr>
        <w:t xml:space="preserve"> </w:t>
      </w:r>
      <w:r>
        <w:rPr>
          <w:rFonts w:cs="Arial"/>
          <w:rtl/>
        </w:rPr>
        <w:t xml:space="preserve">כגון שנים החתומים על השטר ומת אחד מהם ובא זה ואמר זה כתב ידי וזה כתב ידו של חברי ונצטרף אחד מן השוק עמו להעיד על כתב יד המת אמרינן בפ"ב דכתובות (כא:) דאינו קיום עד שיהו ב' מן השוק מעידין על חותם המת דא"כ נפיק תלתא ריבעי דממונא אפומא דחד </w:t>
      </w:r>
      <w:r>
        <w:rPr>
          <w:rFonts w:cs="Arial"/>
          <w:sz w:val="16"/>
          <w:szCs w:val="16"/>
          <w:rtl/>
        </w:rPr>
        <w:t xml:space="preserve">(דקי"ל (שם) נאמן אדם לומר זה כתב ידי הרי חצי עדות ואם בא להצטרף להעיד על חותם חבירו עם אחר הרי ג' רביעית העדות על פיו ורחמנא אמר (דברים יז) על פי שנים דמשמע פלגא אפומא דהאי ופלגא אפומא דהאי וגבי גט נמי אי אמר בפ"נ חציו מהימן כתרי דשליח הוא ובחציו השני הוא מצטרף עם אחר לקיימו בתורת שאר קיומי שטרות) </w:t>
      </w:r>
      <w:r>
        <w:rPr>
          <w:rFonts w:cs="Arial"/>
          <w:rtl/>
        </w:rPr>
        <w:t>והכא גבי גט לא חיישינן לה דהא בלאו אחר הוי מתכשר אפומיה דהימנוה רבנן כתרי אלא משום גזירת שאר שטרות הוא, רש"י.</w:t>
      </w:r>
    </w:p>
  </w:footnote>
  <w:footnote w:id="2322">
    <w:p w14:paraId="616B9C15" w14:textId="77777777" w:rsidR="00C97BEF" w:rsidRDefault="00C97BEF" w:rsidP="00C97BEF">
      <w:pPr>
        <w:pStyle w:val="a5"/>
      </w:pPr>
      <w:r>
        <w:rPr>
          <w:rStyle w:val="a7"/>
        </w:rPr>
        <w:footnoteRef/>
      </w:r>
      <w:r>
        <w:rPr>
          <w:rtl/>
        </w:rPr>
        <w:t xml:space="preserve"> </w:t>
      </w:r>
      <w:r>
        <w:rPr>
          <w:rFonts w:cs="Arial"/>
          <w:rtl/>
        </w:rPr>
        <w:t>כל הממון יוצא על פיו חסר רביע, רש"י.</w:t>
      </w:r>
    </w:p>
  </w:footnote>
  <w:footnote w:id="2323">
    <w:p w14:paraId="784FC1DE" w14:textId="77777777" w:rsidR="00C97BEF" w:rsidRDefault="00C97BEF" w:rsidP="00C97BEF">
      <w:pPr>
        <w:pStyle w:val="a5"/>
      </w:pPr>
      <w:r>
        <w:rPr>
          <w:rStyle w:val="a7"/>
        </w:rPr>
        <w:footnoteRef/>
      </w:r>
      <w:r>
        <w:rPr>
          <w:rtl/>
        </w:rPr>
        <w:t xml:space="preserve"> </w:t>
      </w:r>
      <w:r>
        <w:rPr>
          <w:rFonts w:cs="Arial"/>
          <w:rtl/>
        </w:rPr>
        <w:t>מה שפי' בקונטרס דלרבא חד כי אמר ידעתי כשר תימה מה עלה על דעתו של רבא לפסול כשמסייעו אחר כיון דלא חייש לאיחלופי כי ליכא אחר בהדיה כשר לפי שמעיד גם על הכתיבה, וכ"ש כי איכא אחר בהדיה. לכך נראה כדפירשתי לעיל דידעתי בחד לא מהני אע"ג דמעיד על הכתיבה והשתא אתי שפיר דבעי רבא לפסול בהוא ואחר מעידין שמכירין חתימת השני משום איחלופי, כמו שפסול כי ליכא חד בהדיה. ורב אשי פריך מי איכא מידי דאילו מסיק איהו לכוליה דיבורא ואומר גם בפני נחתם כשר, וכי איכא אחר בהדיה ומעידין שמכירין החתימה נמי אין לפוסלו דלא גרע אותו עדות משאם היה אומר בעצמו בפני נחתם, תוס'</w:t>
      </w:r>
      <w:r>
        <w:rPr>
          <w:rFonts w:cs="Arial"/>
          <w:sz w:val="16"/>
          <w:szCs w:val="16"/>
          <w:rtl/>
        </w:rPr>
        <w:t xml:space="preserve"> (טו. ד"ה מי איכא)</w:t>
      </w:r>
      <w:r>
        <w:rPr>
          <w:rFonts w:cs="Arial"/>
          <w:rtl/>
        </w:rPr>
        <w:t>.</w:t>
      </w:r>
    </w:p>
  </w:footnote>
  <w:footnote w:id="2324">
    <w:p w14:paraId="26CD6599" w14:textId="77777777" w:rsidR="00C97BEF" w:rsidRDefault="00C97BEF" w:rsidP="00C97BEF">
      <w:pPr>
        <w:pStyle w:val="a5"/>
        <w:rPr>
          <w:rtl/>
        </w:rPr>
      </w:pPr>
      <w:r>
        <w:rPr>
          <w:rStyle w:val="a7"/>
        </w:rPr>
        <w:footnoteRef/>
      </w:r>
      <w:r>
        <w:rPr>
          <w:rtl/>
        </w:rPr>
        <w:t xml:space="preserve"> </w:t>
      </w:r>
      <w:r>
        <w:rPr>
          <w:rFonts w:cs="Arial"/>
          <w:rtl/>
        </w:rPr>
        <w:t>היינו קיום הגט כשאר שטרות דאדם מעיד זה כתב ידי, רש"י.</w:t>
      </w:r>
    </w:p>
  </w:footnote>
  <w:footnote w:id="2325">
    <w:p w14:paraId="30BF737A" w14:textId="77777777" w:rsidR="00C97BEF" w:rsidRDefault="00C97BEF" w:rsidP="00C97BEF">
      <w:pPr>
        <w:pStyle w:val="a5"/>
      </w:pPr>
      <w:r>
        <w:rPr>
          <w:rStyle w:val="a7"/>
        </w:rPr>
        <w:footnoteRef/>
      </w:r>
      <w:r>
        <w:rPr>
          <w:rtl/>
        </w:rPr>
        <w:t xml:space="preserve"> </w:t>
      </w:r>
      <w:r>
        <w:rPr>
          <w:rFonts w:cs="Arial"/>
          <w:rtl/>
        </w:rPr>
        <w:t>אע"ג דקי"ל אין עידי הגט חותמים אלא זה בפני זה מ"מ לא הוי קיום לשני כמ"ש בתשו' רשב"א, ב"ש (סקל"א).</w:t>
      </w:r>
    </w:p>
  </w:footnote>
  <w:footnote w:id="2326">
    <w:p w14:paraId="3BBDE171" w14:textId="77777777" w:rsidR="00C97BEF" w:rsidRDefault="00C97BEF" w:rsidP="00C97BEF">
      <w:pPr>
        <w:pStyle w:val="a5"/>
      </w:pPr>
      <w:r>
        <w:rPr>
          <w:rStyle w:val="a7"/>
        </w:rPr>
        <w:footnoteRef/>
      </w:r>
      <w:r>
        <w:rPr>
          <w:rtl/>
        </w:rPr>
        <w:t xml:space="preserve"> </w:t>
      </w:r>
      <w:r>
        <w:rPr>
          <w:rFonts w:cs="Arial"/>
          <w:rtl/>
        </w:rPr>
        <w:t>אבל הוא לבדו אם מעיד דיודע חתימת השני שלא חתם בפניו לא מהני, משום דוקא כשחותם בפניו אז מדייק שפיר ולא מרע לנפשו לומר שנעש' בפניו והוא לא ראה, אבל כשאומר ידעתי מצי לאשתמוטי לומר סבור הייתי שאני מכירה, כ"כ תוס' והרא"ש והר"ן, ולא כרש"י, ב"ש (סקל"ג).</w:t>
      </w:r>
    </w:p>
  </w:footnote>
  <w:footnote w:id="2327">
    <w:p w14:paraId="7E7E88E2" w14:textId="77777777" w:rsidR="00C97BEF" w:rsidRDefault="00C97BEF" w:rsidP="00C97BEF">
      <w:pPr>
        <w:pStyle w:val="a5"/>
      </w:pPr>
      <w:r>
        <w:rPr>
          <w:rStyle w:val="a7"/>
        </w:rPr>
        <w:footnoteRef/>
      </w:r>
      <w:r>
        <w:rPr>
          <w:rtl/>
        </w:rPr>
        <w:t xml:space="preserve"> </w:t>
      </w:r>
      <w:r>
        <w:rPr>
          <w:rFonts w:cs="Arial"/>
          <w:rtl/>
        </w:rPr>
        <w:t>והוסיף עליו דה"ה דאין לעשות הסופר לשליח. ואא"ז הגאון ז"ל מחולק שם עם הגאון מהר"ד אופנהיים בהוספה זו של מהרי"מ בענין הסופר אבל בענין העד שכבר יצא מפי הא"ז מסכימים שניהם דאין להקל בשום אופן אא"כ יתקיים בחותמיו כמבואר שם. וכבר כתבתי מזה לעיל סי' ק"כ סקכ"א וגם בסי' זה לעיל סק"א וע' עוד בתשו' הגאון מהרי"מ מבריסק סי' ל"ז, פת"ש (סק"ל).</w:t>
      </w:r>
    </w:p>
  </w:footnote>
  <w:footnote w:id="2328">
    <w:p w14:paraId="57564853" w14:textId="77777777" w:rsidR="00C97BEF" w:rsidRDefault="00C97BEF" w:rsidP="00C97BEF">
      <w:pPr>
        <w:pStyle w:val="a5"/>
        <w:rPr>
          <w:rtl/>
        </w:rPr>
      </w:pPr>
      <w:r>
        <w:rPr>
          <w:rStyle w:val="a7"/>
        </w:rPr>
        <w:footnoteRef/>
      </w:r>
      <w:r>
        <w:rPr>
          <w:rtl/>
        </w:rPr>
        <w:t xml:space="preserve"> </w:t>
      </w:r>
      <w:r>
        <w:rPr>
          <w:rFonts w:cs="Arial"/>
          <w:rtl/>
        </w:rPr>
        <w:t>שאין שניהם שלוחין בהבאתו, דלא הוו שנים שהביאו גט אלא אחד הביאו, צריך המביא לומר בפני נכתב ובפני נחתם וזה לא אמר</w:t>
      </w:r>
      <w:r>
        <w:rPr>
          <w:rtl/>
        </w:rPr>
        <w:t>, רש"י.</w:t>
      </w:r>
    </w:p>
  </w:footnote>
  <w:footnote w:id="2329">
    <w:p w14:paraId="24218CAB" w14:textId="3783D17A" w:rsidR="00C97BEF" w:rsidRPr="00C27AD4" w:rsidRDefault="00C97BEF" w:rsidP="00C97BEF">
      <w:pPr>
        <w:pStyle w:val="a5"/>
        <w:rPr>
          <w:color w:val="000000" w:themeColor="text1"/>
          <w:rtl/>
        </w:rPr>
      </w:pPr>
      <w:r w:rsidRPr="00C27AD4">
        <w:rPr>
          <w:rStyle w:val="a7"/>
          <w:color w:val="000000" w:themeColor="text1"/>
        </w:rPr>
        <w:footnoteRef/>
      </w:r>
      <w:r w:rsidRPr="00C27AD4">
        <w:rPr>
          <w:color w:val="000000" w:themeColor="text1"/>
          <w:rtl/>
        </w:rPr>
        <w:t xml:space="preserve"> </w:t>
      </w:r>
      <w:r w:rsidRPr="00C27AD4">
        <w:rPr>
          <w:rFonts w:cs="Arial"/>
          <w:color w:val="000000" w:themeColor="text1"/>
          <w:rtl/>
        </w:rPr>
        <w:t xml:space="preserve">בב"ד, רש"י. </w:t>
      </w:r>
      <w:r w:rsidR="00C27AD4" w:rsidRPr="00C27AD4">
        <w:rPr>
          <w:rFonts w:cs="Arial" w:hint="cs"/>
          <w:color w:val="000000" w:themeColor="text1"/>
          <w:rtl/>
        </w:rPr>
        <w:t>ו</w:t>
      </w:r>
      <w:r w:rsidRPr="00C27AD4">
        <w:rPr>
          <w:rFonts w:cs="Arial"/>
          <w:color w:val="000000" w:themeColor="text1"/>
          <w:rtl/>
        </w:rPr>
        <w:t>צל"ע למה לא ראיתי התייחסות לזה</w:t>
      </w:r>
      <w:r w:rsidR="00C27AD4" w:rsidRPr="00C27AD4">
        <w:rPr>
          <w:rFonts w:hint="cs"/>
          <w:color w:val="000000" w:themeColor="text1"/>
          <w:rtl/>
        </w:rPr>
        <w:t>.</w:t>
      </w:r>
    </w:p>
  </w:footnote>
  <w:footnote w:id="2330">
    <w:p w14:paraId="361E40E8" w14:textId="77A07EA3" w:rsidR="00C97BEF" w:rsidRDefault="00C97BEF" w:rsidP="00C97BEF">
      <w:pPr>
        <w:pStyle w:val="a5"/>
      </w:pPr>
      <w:r>
        <w:rPr>
          <w:rStyle w:val="a7"/>
        </w:rPr>
        <w:footnoteRef/>
      </w:r>
      <w:r>
        <w:rPr>
          <w:rtl/>
        </w:rPr>
        <w:t xml:space="preserve"> </w:t>
      </w:r>
      <w:r>
        <w:rPr>
          <w:rFonts w:cs="Arial"/>
          <w:rtl/>
        </w:rPr>
        <w:t xml:space="preserve">ששניהם אדוקין בו ושניהם שלוחין, </w:t>
      </w:r>
      <w:r>
        <w:rPr>
          <w:rFonts w:cs="Arial"/>
          <w:b/>
          <w:bCs/>
          <w:rtl/>
        </w:rPr>
        <w:t>רש"י.</w:t>
      </w:r>
      <w:r>
        <w:rPr>
          <w:rFonts w:cs="Arial"/>
          <w:rtl/>
        </w:rPr>
        <w:t xml:space="preserve"> </w:t>
      </w:r>
      <w:r w:rsidR="00C27AD4">
        <w:rPr>
          <w:rFonts w:cs="Arial" w:hint="cs"/>
          <w:rtl/>
        </w:rPr>
        <w:t xml:space="preserve">     </w:t>
      </w:r>
      <w:r>
        <w:rPr>
          <w:rFonts w:cs="Arial"/>
          <w:rtl/>
        </w:rPr>
        <w:t xml:space="preserve">וכתבו התוספות </w:t>
      </w:r>
      <w:r>
        <w:rPr>
          <w:rFonts w:cs="Arial"/>
          <w:sz w:val="16"/>
          <w:szCs w:val="16"/>
          <w:rtl/>
        </w:rPr>
        <w:t xml:space="preserve">(ד"ה אבל) </w:t>
      </w:r>
      <w:r>
        <w:rPr>
          <w:rFonts w:cs="Arial"/>
          <w:rtl/>
        </w:rPr>
        <w:t xml:space="preserve">מה שפירש רש"י שניהם אדוקים בו - לאו דוקא אדוקים ואוחזים בגט, אלא ששניהם אומרים שהבעל עשאם שלוחים על כך ואמר להם שניכם הוליכו גט לאשתי, ונתנו האחד במעמד חבירו כדאמרינן בס"פ התקבל (סז:) הוליכו כולכם אחד מוליך במעמד כולם. וכן כתבו הרשב"א </w:t>
      </w:r>
      <w:r>
        <w:rPr>
          <w:rFonts w:cs="Arial"/>
          <w:sz w:val="16"/>
          <w:szCs w:val="16"/>
          <w:rtl/>
        </w:rPr>
        <w:t xml:space="preserve">(טז. ד"ה גמרא אמר) </w:t>
      </w:r>
      <w:r>
        <w:rPr>
          <w:rFonts w:cs="Arial"/>
          <w:rtl/>
        </w:rPr>
        <w:t xml:space="preserve">והרא"ש </w:t>
      </w:r>
      <w:r>
        <w:rPr>
          <w:rFonts w:cs="Arial"/>
          <w:sz w:val="16"/>
          <w:szCs w:val="16"/>
          <w:rtl/>
        </w:rPr>
        <w:t xml:space="preserve">(סי' ב) </w:t>
      </w:r>
      <w:r>
        <w:rPr>
          <w:rFonts w:cs="Arial"/>
          <w:rtl/>
        </w:rPr>
        <w:t xml:space="preserve">והר"ן </w:t>
      </w:r>
      <w:r>
        <w:rPr>
          <w:rFonts w:cs="Arial"/>
          <w:sz w:val="16"/>
          <w:szCs w:val="16"/>
          <w:rtl/>
        </w:rPr>
        <w:t>(ז. ד"ה אבל)</w:t>
      </w:r>
      <w:r>
        <w:rPr>
          <w:rFonts w:cs="Arial"/>
          <w:rtl/>
        </w:rPr>
        <w:t xml:space="preserve">, </w:t>
      </w:r>
      <w:r>
        <w:rPr>
          <w:rFonts w:cs="Arial"/>
          <w:b/>
          <w:bCs/>
          <w:rtl/>
        </w:rPr>
        <w:t>ב"י</w:t>
      </w:r>
      <w:r>
        <w:rPr>
          <w:rFonts w:cs="Arial"/>
          <w:rtl/>
        </w:rPr>
        <w:t>.</w:t>
      </w:r>
    </w:p>
  </w:footnote>
  <w:footnote w:id="2331">
    <w:p w14:paraId="12BA2B77" w14:textId="145C27DD" w:rsidR="0001618E" w:rsidRDefault="0001618E" w:rsidP="0001618E">
      <w:pPr>
        <w:pStyle w:val="a5"/>
      </w:pPr>
      <w:r>
        <w:rPr>
          <w:rStyle w:val="a7"/>
        </w:rPr>
        <w:footnoteRef/>
      </w:r>
      <w:r>
        <w:rPr>
          <w:rtl/>
        </w:rPr>
        <w:t xml:space="preserve"> </w:t>
      </w:r>
      <w:r>
        <w:rPr>
          <w:rFonts w:cs="Arial"/>
          <w:rtl/>
        </w:rPr>
        <w:t>תמיהא לי, שהרא"ש כתב שם (סי' ב) דכיון שיש שני עדים לא יוכל לומר לא שלחתיו ומזוייף הוא. ואין לומר דסבירא ליה לרבינו דהא דקאמר 'לא יוכל לומר לא שלחתיו ומזוייף הוא' לא קאי אלא אהיכא שהאחד שליח והשני מעיד שבפניו עשאו שליח ולא אהיכא דשניהם שלוחים, דהא כל שכן הוא. ואע"פ שמדברי הר"ן (ז. סד"ה אבל) אפשר לדקדק קצת שאם בא הבעל וערער - ערעורו ערעור, אלא דמילתא דלא שכיחא היא שיהא מזוייף כיון ששנים מעידים עליו. מ"מ דברי רבינו תמוהים למה סתם דבריו היפך דעת הרא"ש. ומדברי הרמב"ם שכתבתי בסמוך נראה בהדיא שסובר כדעת הרא"ש</w:t>
      </w:r>
      <w:r>
        <w:rPr>
          <w:rFonts w:cs="Arial" w:hint="cs"/>
          <w:rtl/>
        </w:rPr>
        <w:t>, ב"י</w:t>
      </w:r>
      <w:r>
        <w:rPr>
          <w:rFonts w:cs="Arial"/>
          <w:rtl/>
        </w:rPr>
        <w:t>.</w:t>
      </w:r>
    </w:p>
  </w:footnote>
  <w:footnote w:id="2332">
    <w:p w14:paraId="22E3ED12" w14:textId="0BD8B070" w:rsidR="00A91D80" w:rsidRDefault="00A91D80">
      <w:pPr>
        <w:pStyle w:val="a5"/>
      </w:pPr>
      <w:r>
        <w:rPr>
          <w:rStyle w:val="a7"/>
        </w:rPr>
        <w:footnoteRef/>
      </w:r>
      <w:r>
        <w:rPr>
          <w:rtl/>
        </w:rPr>
        <w:t xml:space="preserve"> </w:t>
      </w:r>
      <w:r>
        <w:rPr>
          <w:rFonts w:hint="cs"/>
          <w:rtl/>
        </w:rPr>
        <w:t>כן כתבו התוס' (טז. ד"ה אבל)</w:t>
      </w:r>
      <w:r w:rsidR="002250D3">
        <w:rPr>
          <w:rFonts w:hint="cs"/>
          <w:rtl/>
        </w:rPr>
        <w:t xml:space="preserve"> וה</w:t>
      </w:r>
      <w:r w:rsidR="002250D3" w:rsidRPr="002250D3">
        <w:rPr>
          <w:rFonts w:cs="Arial"/>
          <w:rtl/>
        </w:rPr>
        <w:t>רשב"א (טז. ד"ה גמרא אמר)</w:t>
      </w:r>
      <w:r w:rsidRPr="002250D3">
        <w:rPr>
          <w:rFonts w:hint="cs"/>
          <w:rtl/>
        </w:rPr>
        <w:t>.</w:t>
      </w:r>
    </w:p>
  </w:footnote>
  <w:footnote w:id="2333">
    <w:p w14:paraId="1E5C6DC0" w14:textId="14F845EA" w:rsidR="00C97BEF" w:rsidRDefault="00C97BEF" w:rsidP="00C97BEF">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ואם האחד שליח והשני מעיד שבפניו נתן הבעל את הגט לחבירו להוליך לאשתו - לרבא כשר, דמה אם יאמרו בפנינו גירשה מי לא מהימני (סוף טז:).</w:t>
      </w:r>
    </w:p>
  </w:footnote>
  <w:footnote w:id="2334">
    <w:p w14:paraId="5AEB106D" w14:textId="380010C3" w:rsidR="00C97BEF" w:rsidRDefault="00C97BEF" w:rsidP="00C97BEF">
      <w:pPr>
        <w:pStyle w:val="a5"/>
      </w:pPr>
      <w:r>
        <w:rPr>
          <w:rStyle w:val="a7"/>
        </w:rPr>
        <w:footnoteRef/>
      </w:r>
      <w:r>
        <w:rPr>
          <w:rtl/>
        </w:rPr>
        <w:t xml:space="preserve"> </w:t>
      </w:r>
      <w:r>
        <w:rPr>
          <w:rFonts w:cs="Arial"/>
          <w:rtl/>
        </w:rPr>
        <w:t>וכתב הרשב"א</w:t>
      </w:r>
      <w:r w:rsidR="0065614C">
        <w:rPr>
          <w:rFonts w:cs="Arial" w:hint="cs"/>
          <w:rtl/>
        </w:rPr>
        <w:t>:</w:t>
      </w:r>
      <w:r>
        <w:rPr>
          <w:rFonts w:cs="Arial"/>
          <w:rtl/>
        </w:rPr>
        <w:t xml:space="preserve"> אבל הרמב"ם כתב בפ"ז שנים שהביאו את הגט אין צריכין לומר בפני נכתב ובפני נחתם ובלבד שיהא הגט יוצא מתחת ידי שניהם. וכ"כ הרב בעל ההלכות ז"ל (הלכות גדולות הלכות גיטין עח:). ואפשר שאף הם ז"ל לא נתכוונו אלא להוציא שליח שבא אחר בחבורתו, שאז צריך לומר בפני נכתב ובפני נחתם אע"פ שיש כאן שנים לא קרי ליה מצויים לקיימו, אבל יוצא מתחת ידי שניהם ואחד שליח ואחד מעיד שבפניו עשאהו הבעל שליח חד דינא וחד טעמא אית להו עכ"ל. וכתב דבריו הרב המגיד ז"ל. ומיהו הרמ"ה חולק בדין זה </w:t>
      </w:r>
      <w:r>
        <w:rPr>
          <w:rFonts w:cs="Arial"/>
          <w:sz w:val="16"/>
          <w:szCs w:val="16"/>
          <w:rtl/>
        </w:rPr>
        <w:t xml:space="preserve">[בדק הבית] </w:t>
      </w:r>
      <w:r>
        <w:rPr>
          <w:rFonts w:cs="Arial"/>
          <w:rtl/>
        </w:rPr>
        <w:t xml:space="preserve">להצריכו נמי שימסרנו בפני עדי השליחות עצמם </w:t>
      </w:r>
      <w:r>
        <w:rPr>
          <w:rFonts w:cs="Arial"/>
          <w:sz w:val="16"/>
          <w:szCs w:val="16"/>
          <w:rtl/>
        </w:rPr>
        <w:t xml:space="preserve">[עד כאן] </w:t>
      </w:r>
      <w:r>
        <w:rPr>
          <w:rFonts w:cs="Arial"/>
          <w:rtl/>
        </w:rPr>
        <w:t>וכמו שכתב רבינו בסמוך</w:t>
      </w:r>
      <w:r>
        <w:rPr>
          <w:rFonts w:cs="Arial"/>
          <w:sz w:val="16"/>
          <w:szCs w:val="16"/>
          <w:rtl/>
        </w:rPr>
        <w:t xml:space="preserve"> {ומהתוס' וסיעתו משמע שיש לעד השליחות דין עדות ולא צריך שיעידו יחד}</w:t>
      </w:r>
      <w:r>
        <w:rPr>
          <w:rFonts w:cs="Arial"/>
          <w:rtl/>
        </w:rPr>
        <w:t>, ב"י.</w:t>
      </w:r>
    </w:p>
  </w:footnote>
  <w:footnote w:id="2335">
    <w:p w14:paraId="06E20FDA" w14:textId="77777777" w:rsidR="00C97BEF" w:rsidRDefault="00C97BEF" w:rsidP="00C97BEF">
      <w:pPr>
        <w:pStyle w:val="a5"/>
      </w:pPr>
      <w:r>
        <w:rPr>
          <w:rStyle w:val="a7"/>
        </w:rPr>
        <w:footnoteRef/>
      </w:r>
      <w:r>
        <w:rPr>
          <w:rtl/>
        </w:rPr>
        <w:t xml:space="preserve"> </w:t>
      </w:r>
      <w:r>
        <w:rPr>
          <w:rFonts w:cs="Arial"/>
          <w:rtl/>
        </w:rPr>
        <w:t>נראה דהכי פירושו היכא ששניהם שלוחים, פשיטא ששניהם ימסרוהו, דלא סגי בלאו הכי דא"כ לא עשו שליחותן. אבל היכא שהאחד לבדו שליח, ואחר או אחרים מעידים על שליחותו, דהשתא מטעם שליחות כשמסרו בפני אחרים עשה שליחותו, מכל מקום משום דבר ולא חצי דבר (ב"ק ע:) צריך למוסרו בפני עדי השליחות. ומכל מקום דבריו צריכים תלמוד דכשמסרו בפני עדים אחרים אמאי קרי ליה חצי דבר, הרי עדי שליחות לחוד ועדות מסירה לחוד, ב"י (בבדה"ב).</w:t>
      </w:r>
    </w:p>
  </w:footnote>
  <w:footnote w:id="2336">
    <w:p w14:paraId="2986C10A" w14:textId="77777777" w:rsidR="00C97BEF" w:rsidRDefault="00C97BEF" w:rsidP="00C97BEF">
      <w:pPr>
        <w:pStyle w:val="a5"/>
        <w:rPr>
          <w:rtl/>
        </w:rPr>
      </w:pPr>
      <w:r>
        <w:rPr>
          <w:rStyle w:val="a7"/>
        </w:rPr>
        <w:footnoteRef/>
      </w:r>
      <w:r>
        <w:rPr>
          <w:rtl/>
        </w:rPr>
        <w:t xml:space="preserve"> </w:t>
      </w:r>
      <w:r>
        <w:rPr>
          <w:rFonts w:cs="Arial"/>
          <w:rtl/>
        </w:rPr>
        <w:t>היינו שמערער שנתן לה גט מזויף אע"ג דלא עביד לקלקל אותה במתכוין, היינו דאין חוששים לזה. אבל אם מערער וטוען כך - טענתו טענה. משא"כ כשטוען מכחיש אותם שלא שלח אותם - אינו נאמן לכ"ע</w:t>
      </w:r>
      <w:r>
        <w:rPr>
          <w:rtl/>
        </w:rPr>
        <w:t>, ב"ש (סקל"ז).</w:t>
      </w:r>
    </w:p>
  </w:footnote>
  <w:footnote w:id="2337">
    <w:p w14:paraId="31A861DE" w14:textId="77777777" w:rsidR="00C97BEF" w:rsidRDefault="00C97BEF" w:rsidP="00C97BEF">
      <w:pPr>
        <w:pStyle w:val="a5"/>
        <w:rPr>
          <w:rtl/>
        </w:rPr>
      </w:pPr>
      <w:r>
        <w:rPr>
          <w:rStyle w:val="a7"/>
        </w:rPr>
        <w:footnoteRef/>
      </w:r>
      <w:r>
        <w:rPr>
          <w:rtl/>
        </w:rPr>
        <w:t xml:space="preserve"> </w:t>
      </w:r>
      <w:r>
        <w:rPr>
          <w:rFonts w:cs="Arial"/>
          <w:rtl/>
        </w:rPr>
        <w:t>אי כשהגט יוצא מתחת ידי האחד שהוא מביאו ואין חבירו שליח בהבאתו - משום הכי פסול, דלשליח אצרכוה רבנן למימרינהו לתרוייהו. ולמאן דמוקי לה נמי בגמ' בששניהם שלוחים - אפ"ה פסול, כיון דחד הוא דאיכא אחתימה ואיהו לא מסהיד אכתיבה אתי לאיחלופי בקיום שטרות דעלמא בעד אחד כדאמרי' בפ"ק (ג.)</w:t>
      </w:r>
      <w:r>
        <w:rPr>
          <w:rtl/>
        </w:rPr>
        <w:t>, רש"י.</w:t>
      </w:r>
    </w:p>
  </w:footnote>
  <w:footnote w:id="2338">
    <w:p w14:paraId="23BF5532" w14:textId="77777777" w:rsidR="00C97BEF" w:rsidRDefault="00C97BEF" w:rsidP="00C97BEF">
      <w:pPr>
        <w:pStyle w:val="a5"/>
        <w:rPr>
          <w:rtl/>
        </w:rPr>
      </w:pPr>
      <w:r>
        <w:rPr>
          <w:rStyle w:val="a7"/>
        </w:rPr>
        <w:footnoteRef/>
      </w:r>
      <w:r>
        <w:rPr>
          <w:rtl/>
        </w:rPr>
        <w:t xml:space="preserve"> </w:t>
      </w:r>
      <w:r>
        <w:rPr>
          <w:rFonts w:cs="Arial"/>
          <w:rtl/>
        </w:rPr>
        <w:t>שלישי אומר כו' נמי פסול משום האי טעמא, רש"י.</w:t>
      </w:r>
    </w:p>
  </w:footnote>
  <w:footnote w:id="2339">
    <w:p w14:paraId="7E3426F1" w14:textId="77777777" w:rsidR="00C97BEF" w:rsidRDefault="00C97BEF" w:rsidP="00C97BEF">
      <w:pPr>
        <w:pStyle w:val="a5"/>
      </w:pPr>
      <w:r>
        <w:rPr>
          <w:rStyle w:val="a7"/>
        </w:rPr>
        <w:footnoteRef/>
      </w:r>
      <w:r>
        <w:rPr>
          <w:rtl/>
        </w:rPr>
        <w:t xml:space="preserve"> </w:t>
      </w:r>
      <w:r>
        <w:rPr>
          <w:rFonts w:cs="Arial"/>
          <w:rtl/>
        </w:rPr>
        <w:t>דכיון דמצרכינן לאסהודי נמי אכתיבה או הוא או אחר תו לא אתי לאיחלופי ובגמ' אמרינן דחלוק היה ר' יהודה אף בראשונה אאחד אומר בפני נכתב ואחד אומר בפני נחתם</w:t>
      </w:r>
      <w:r>
        <w:rPr>
          <w:rtl/>
        </w:rPr>
        <w:t>, רש"י.</w:t>
      </w:r>
    </w:p>
  </w:footnote>
  <w:footnote w:id="2340">
    <w:p w14:paraId="31C6EC34" w14:textId="77777777" w:rsidR="00C97BEF" w:rsidRDefault="00C97BEF" w:rsidP="00C97BEF">
      <w:pPr>
        <w:pStyle w:val="a5"/>
        <w:rPr>
          <w:rtl/>
        </w:rPr>
      </w:pPr>
      <w:r>
        <w:rPr>
          <w:rStyle w:val="a7"/>
        </w:rPr>
        <w:footnoteRef/>
      </w:r>
      <w:r>
        <w:rPr>
          <w:rtl/>
        </w:rPr>
        <w:t xml:space="preserve"> </w:t>
      </w:r>
      <w:r>
        <w:rPr>
          <w:rFonts w:cs="Arial"/>
          <w:rtl/>
        </w:rPr>
        <w:t>דהשליח נאמן כשנים, רש"י.</w:t>
      </w:r>
    </w:p>
  </w:footnote>
  <w:footnote w:id="2341">
    <w:p w14:paraId="37605C16" w14:textId="77777777" w:rsidR="00C97BEF" w:rsidRDefault="00C97BEF" w:rsidP="00C97BEF">
      <w:pPr>
        <w:pStyle w:val="a5"/>
      </w:pPr>
      <w:r>
        <w:rPr>
          <w:rStyle w:val="a7"/>
        </w:rPr>
        <w:footnoteRef/>
      </w:r>
      <w:r>
        <w:rPr>
          <w:rtl/>
        </w:rPr>
        <w:t xml:space="preserve"> </w:t>
      </w:r>
      <w:r>
        <w:rPr>
          <w:rFonts w:cs="Arial"/>
          <w:rtl/>
        </w:rPr>
        <w:t>ואף על פי ששניהם הביאוהו, רש"י.</w:t>
      </w:r>
    </w:p>
  </w:footnote>
  <w:footnote w:id="2342">
    <w:p w14:paraId="06B97FA1" w14:textId="77777777" w:rsidR="00C97BEF" w:rsidRDefault="00C97BEF" w:rsidP="00C97BEF">
      <w:pPr>
        <w:pStyle w:val="a5"/>
      </w:pPr>
      <w:r>
        <w:rPr>
          <w:rStyle w:val="a7"/>
        </w:rPr>
        <w:footnoteRef/>
      </w:r>
      <w:r>
        <w:rPr>
          <w:rtl/>
        </w:rPr>
        <w:t xml:space="preserve"> </w:t>
      </w:r>
      <w:r>
        <w:rPr>
          <w:rFonts w:cs="Arial"/>
          <w:rtl/>
        </w:rPr>
        <w:t>לשון אחרון זה אמת</w:t>
      </w:r>
      <w:r>
        <w:rPr>
          <w:rtl/>
        </w:rPr>
        <w:t>, רש"י.</w:t>
      </w:r>
    </w:p>
  </w:footnote>
  <w:footnote w:id="2343">
    <w:p w14:paraId="1561E97B" w14:textId="77777777" w:rsidR="00C97BEF" w:rsidRDefault="00C97BEF" w:rsidP="00C97BEF">
      <w:pPr>
        <w:pStyle w:val="a5"/>
        <w:rPr>
          <w:rtl/>
        </w:rPr>
      </w:pPr>
      <w:r>
        <w:rPr>
          <w:rStyle w:val="a7"/>
        </w:rPr>
        <w:footnoteRef/>
      </w:r>
      <w:r>
        <w:rPr>
          <w:rtl/>
        </w:rPr>
        <w:t xml:space="preserve"> </w:t>
      </w:r>
      <w:r>
        <w:rPr>
          <w:rFonts w:cs="Arial"/>
          <w:rtl/>
        </w:rPr>
        <w:t xml:space="preserve">בבית יוסף האריך בזו הבבא. וכתב דמהר"י בן חביב כתב דזו היא עיקר גירסת הספרים. אבל יש להקשות אנוסחא זו דאמאי לא ינתן הרי יש עדים מצויין לקיימו. אמת שרש"י כתב דצריכין למימר בפנינו נכתב ובפנינו נחתם אא"כ שניהם שלוחים ולא מהני עדים מצויין לקיימו, אבל כבר כתבו הרי"ף (א:) והרא"ש (סי' ב) והתוספות (ג. ד"ה אטו) ריש גיטין דכל מקום דעדים מצויין לקיימו אינו צריך לומר בפני נכתב ובפני נחתם </w:t>
      </w:r>
      <w:r>
        <w:rPr>
          <w:color w:val="E36C0A" w:themeColor="accent6" w:themeShade="BF"/>
          <w:sz w:val="16"/>
          <w:szCs w:val="16"/>
          <w:rtl/>
        </w:rPr>
        <w:t>(וכ"פ בשו"ע)</w:t>
      </w:r>
      <w:r>
        <w:rPr>
          <w:rFonts w:cs="Arial"/>
          <w:rtl/>
        </w:rPr>
        <w:t>. והאריך בזה וכתב דנראה לו דנוסחא האמיתית 'אבל אם אחד אומר בפני נחתם והוא לבדו שליח לא ינתן עד שיהא אחר עמו'. ורצה לומר שאחד אומר בפני נחתם והוא לבדו שליח ושנים אומרים בפנינו נכתב אפילו הכי פסול עד שיהא עוד אחד על החתימ</w:t>
      </w:r>
      <w:r>
        <w:rPr>
          <w:rFonts w:cs="Arial"/>
          <w:color w:val="000000" w:themeColor="text1"/>
          <w:rtl/>
        </w:rPr>
        <w:t>ה. זה העולה מדברי בית יוסף והאריך מאד בזה, דרכ"מ (אות יג).</w:t>
      </w:r>
    </w:p>
  </w:footnote>
  <w:footnote w:id="2344">
    <w:p w14:paraId="6846CAAE" w14:textId="77777777" w:rsidR="00C97BEF" w:rsidRDefault="00C97BEF" w:rsidP="00C97BEF">
      <w:pPr>
        <w:pStyle w:val="a5"/>
        <w:rPr>
          <w:rtl/>
        </w:rPr>
      </w:pPr>
      <w:r>
        <w:rPr>
          <w:rStyle w:val="a7"/>
        </w:rPr>
        <w:footnoteRef/>
      </w:r>
      <w:r>
        <w:rPr>
          <w:rtl/>
        </w:rPr>
        <w:t xml:space="preserve"> </w:t>
      </w:r>
      <w:r>
        <w:rPr>
          <w:rFonts w:cs="Arial"/>
          <w:rtl/>
        </w:rPr>
        <w:t>והשני לא ידע דנמסר לזה דאל"כ כשר לי"א שהביא בסעיף הקודם, ב"ש (סק"מ).</w:t>
      </w:r>
    </w:p>
  </w:footnote>
  <w:footnote w:id="2345">
    <w:p w14:paraId="7EDA5B7C" w14:textId="524DC6BD"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 xml:space="preserve">המקדש על תנאי אם נתקיים התנאי מקודשת ואם לא נתקיים אינה מקודשת, בין שהיה התנאי מן האיש בין שהיה מן האשה, וכל תנאי שבעולם בין בקידושין בין בגירושין בין במקח וממכר בין בשאר דיני ממון צריך להיות בתנאי ארבעה דברים. </w:t>
      </w:r>
    </w:p>
    <w:p w14:paraId="19F4A1EE" w14:textId="77777777" w:rsidR="00C97BEF" w:rsidRDefault="00C97BEF" w:rsidP="00C97BEF">
      <w:pPr>
        <w:pStyle w:val="a5"/>
        <w:rPr>
          <w:rtl/>
        </w:rPr>
      </w:pPr>
      <w:r>
        <w:rPr>
          <w:rFonts w:cs="Arial"/>
          <w:rtl/>
        </w:rPr>
        <w:t>ואלו הן הארבעה דברים של כל תנאי, שיהיה תנאי כפול, ושיהיה הין שלו קודם ללאו, ושיהיה התנאי קודם למעשה, ושיהיה התנאי דבר שאפשר לקיימו, ואם חסר התנאי אחד מהן הרי התנאי בטל וכאלו אין שם תנאי כלל אלא תהיה זו מקודשת או מגורשת ויתקיים המקח או המתנה מיד וכאלו לא התנה כלל הואיל וחסר התנאי אחד מן הארבעה.</w:t>
      </w:r>
    </w:p>
  </w:footnote>
  <w:footnote w:id="2346">
    <w:p w14:paraId="58F4E0EE" w14:textId="77777777" w:rsidR="00C97BEF" w:rsidRDefault="00C97BEF" w:rsidP="00C97BEF">
      <w:pPr>
        <w:pStyle w:val="a5"/>
      </w:pPr>
      <w:r>
        <w:rPr>
          <w:rStyle w:val="a7"/>
        </w:rPr>
        <w:footnoteRef/>
      </w:r>
      <w:r>
        <w:rPr>
          <w:rFonts w:cs="Arial"/>
          <w:rtl/>
        </w:rPr>
        <w:t xml:space="preserve"> וכ"כ המרדכי (גיטין סי' תלב, הביאו הדרכ"מ [אות א]) בשם הגאונים.</w:t>
      </w:r>
    </w:p>
  </w:footnote>
  <w:footnote w:id="2347">
    <w:p w14:paraId="4565F083" w14:textId="60534DF1" w:rsidR="00C97BEF" w:rsidRDefault="00C97BEF" w:rsidP="00C97BEF">
      <w:pPr>
        <w:pStyle w:val="a5"/>
        <w:rPr>
          <w:rtl/>
        </w:rPr>
      </w:pPr>
      <w:r>
        <w:rPr>
          <w:rStyle w:val="a7"/>
        </w:rPr>
        <w:footnoteRef/>
      </w:r>
      <w:r>
        <w:rPr>
          <w:rtl/>
        </w:rPr>
        <w:t xml:space="preserve"> </w:t>
      </w:r>
      <w:r>
        <w:rPr>
          <w:rFonts w:hint="cs"/>
          <w:rtl/>
        </w:rPr>
        <w:t xml:space="preserve">הרי"ף דיבר בזה גם בשו"ת (סי' לא). ושם כתב </w:t>
      </w:r>
      <w:r w:rsidR="000A0F5A">
        <w:rPr>
          <w:rFonts w:hint="cs"/>
          <w:rtl/>
        </w:rPr>
        <w:t>וז</w:t>
      </w:r>
      <w:r w:rsidR="000A0F5A">
        <w:rPr>
          <w:rtl/>
        </w:rPr>
        <w:t>"</w:t>
      </w:r>
      <w:r w:rsidR="000A0F5A">
        <w:rPr>
          <w:rFonts w:hint="cs"/>
          <w:rtl/>
        </w:rPr>
        <w:t>ל:</w:t>
      </w:r>
      <w:r>
        <w:rPr>
          <w:rFonts w:hint="cs"/>
          <w:rtl/>
        </w:rPr>
        <w:t xml:space="preserve"> </w:t>
      </w:r>
      <w:r>
        <w:rPr>
          <w:rFonts w:cs="Arial"/>
          <w:rtl/>
        </w:rPr>
        <w:t xml:space="preserve">ואלו תנאים כלם אין צריכים אלא בגיטין ובקדושין שהן איסורא, אבל על מנת נוהג בין באיסורא בין בממונא שכל האומר על מנת כאומר מעכשיו דמי ואין צריכים עמו לכל התנאים האלו. עכ"ל. והביא הר"ן (קידושין כה:) את דבריו וכתב עליו </w:t>
      </w:r>
      <w:r w:rsidR="000A0F5A">
        <w:rPr>
          <w:rFonts w:cs="Arial"/>
          <w:rtl/>
        </w:rPr>
        <w:t>וז"ל:</w:t>
      </w:r>
      <w:r>
        <w:rPr>
          <w:rFonts w:cs="Arial"/>
          <w:rtl/>
        </w:rPr>
        <w:t xml:space="preserve"> ולאו למימרא דבאיסורא בעינן להו טפי מדינא, דאדרבה בממונא אשכחן להו ולא באיסורא, ובס"פ שבועת העדות (לו.) נמי אמרינן כי אית ליה לר"מ תנאי כפול בממונא אבל באיסורא לית ליה, אלא ודאי כוונתו ז"ל דלא קיי"ל כר"מ, ומיהו בגיטין וקדושין חיישינן להו לחומרא דהכי חזינן דאתקין להו שמואל בגיטין כדאיתא בפרק מי שאחזו (עה:). ומיהו מה שכתב ואלו התנאים כולם לאו דוקא שכבר כתבתי בפ' מי שאחזו דקיי"ל כוותיה בתנאי קודם למעשה דסתם משנה היא בפ' השוכר את הפועלים (צד.) דכל תנאי שיש מעשה בתחלתו תנאו בטל, והרב אלפסי ז"ל כתבה בהלכותיו.</w:t>
      </w:r>
      <w:r>
        <w:rPr>
          <w:rtl/>
        </w:rPr>
        <w:t xml:space="preserve"> עכ"ל.</w:t>
      </w:r>
    </w:p>
  </w:footnote>
  <w:footnote w:id="2348">
    <w:p w14:paraId="72C8BA90" w14:textId="77777777" w:rsidR="00C97BEF" w:rsidRDefault="00C97BEF" w:rsidP="00C97BEF">
      <w:pPr>
        <w:pStyle w:val="a5"/>
        <w:rPr>
          <w:rtl/>
        </w:rPr>
      </w:pPr>
      <w:r>
        <w:rPr>
          <w:rStyle w:val="a7"/>
        </w:rPr>
        <w:footnoteRef/>
      </w:r>
      <w:r>
        <w:rPr>
          <w:rtl/>
        </w:rPr>
        <w:t xml:space="preserve"> </w:t>
      </w:r>
      <w:r>
        <w:rPr>
          <w:rFonts w:cs="Arial"/>
          <w:rtl/>
        </w:rPr>
        <w:t>עוד דקדק הרמב"ן אי בעינן בדיני ממונות הן קודם ללאו ותנאי קודם למעשה ושיהיה בדבר שאפשר לקיימו, והעלה ז"ל דלא בעינן הן קודם ללאו אלא הרי הוא כדין הכפל בין בממון בין בגיטין וקידושין על הדרך הנזכר למעלה. אבל תנאי קודם למעשה ודאי בעינן בכל דוכתא שהרי משנה סתומה היא בפרק הפועלים (בבא מציעא צד.) גבי הלכתא פסיקתא. ושיהיה דבר שאפשר לקיימו בדוקא מוסכם מן הפוסקים בכל דבר. ודעת רבינו שהלכה כרבי מאיר גם בתנאי כפול ובהן קודם ללאו, וזה דעת הגאונים הראשונים, ולזה הסכים בעל העיטור (אות תי"ו תנאי לז ע"ד), עכ"ל הה"מ. ורבינו כתב דיני התנאי בסימן ל"ח (סז: ואילך) ושם כתבתי עליו, ב"י.</w:t>
      </w:r>
    </w:p>
  </w:footnote>
  <w:footnote w:id="2349">
    <w:p w14:paraId="19AA1283" w14:textId="77777777" w:rsidR="00C97BEF" w:rsidRDefault="00C97BEF" w:rsidP="00C97BEF">
      <w:pPr>
        <w:pStyle w:val="a5"/>
      </w:pPr>
      <w:r>
        <w:rPr>
          <w:rStyle w:val="a7"/>
        </w:rPr>
        <w:footnoteRef/>
      </w:r>
      <w:r>
        <w:rPr>
          <w:rtl/>
        </w:rPr>
        <w:t xml:space="preserve"> </w:t>
      </w:r>
      <w:r>
        <w:rPr>
          <w:rFonts w:cs="Arial"/>
          <w:rtl/>
        </w:rPr>
        <w:t>וכתב כן הרא"ש (פ' מי שאחזו סי' ט) בשם רבינו האיי והראב"ד ז"ל, ב"י.</w:t>
      </w:r>
    </w:p>
  </w:footnote>
  <w:footnote w:id="2350">
    <w:p w14:paraId="2C94EA28" w14:textId="77777777" w:rsidR="00C97BEF" w:rsidRDefault="00C97BEF" w:rsidP="00C97BEF">
      <w:pPr>
        <w:pStyle w:val="a5"/>
        <w:rPr>
          <w:rtl/>
        </w:rPr>
      </w:pPr>
      <w:r>
        <w:rPr>
          <w:rStyle w:val="a7"/>
        </w:rPr>
        <w:footnoteRef/>
      </w:r>
      <w:r>
        <w:rPr>
          <w:rtl/>
        </w:rPr>
        <w:t xml:space="preserve"> </w:t>
      </w:r>
      <w:r>
        <w:rPr>
          <w:rFonts w:cs="Arial"/>
          <w:rtl/>
        </w:rPr>
        <w:t>וכתב הרא"ש שכן הסכימו חכמי ארצו ושכן עמא דבר... וכתב עוד הרא"ש (כלל פא סי' א) ג"כ אע"פ שפסק הרי"ף דלא בעינן תנאי כפול בעל מנת משום דכל האומר על מנת כאומר מעכשיו דמי הרי נחלקו עליו רבינו תם ור"י וראיותיהם נכוחות למבין. וכתב רבינו תשובה זו בטור חשן משפט סימן רמ"א</w:t>
      </w:r>
      <w:r>
        <w:rPr>
          <w:rStyle w:val="a7"/>
          <w:rFonts w:cs="Arial"/>
          <w:rtl/>
        </w:rPr>
        <w:footnoteRef/>
      </w:r>
      <w:r>
        <w:rPr>
          <w:rFonts w:cs="Arial"/>
          <w:rtl/>
        </w:rPr>
        <w:t xml:space="preserve"> (קכו.). וגם הר"ן בפרק הנזכר (לו: ד"ה תנו רבנן) כתב שאין שיטת הרי"ף והרמב"ם מחוורת והאריך בדבר. והרב המגיד כתב על דברי הרמב"ם זה דעת כל הגאונים והכריחם לזה לשון המשניות (גיטין עד. עו:) שהם בעל מנת שהוא כמעכשיו ולא הזכירו כפילת התנאי, ובעלי התוספות חלוקים בזה והרמב"ן (שם עה: סד"ה אתקין) והרשב"א (שם סד"ה רב אשי) הניחו הדבר בצריך עיון וקבלת הגאונים תכריע עכ"ל, ב"י</w:t>
      </w:r>
      <w:r>
        <w:rPr>
          <w:rtl/>
        </w:rPr>
        <w:t>.</w:t>
      </w:r>
    </w:p>
  </w:footnote>
  <w:footnote w:id="2351">
    <w:p w14:paraId="67E7CDB5" w14:textId="07BDE76A" w:rsidR="00C97BEF" w:rsidRDefault="00C97BEF" w:rsidP="00C97BEF">
      <w:pPr>
        <w:pStyle w:val="a5"/>
      </w:pPr>
      <w:r>
        <w:rPr>
          <w:rStyle w:val="a7"/>
        </w:rPr>
        <w:footnoteRef/>
      </w:r>
      <w:r>
        <w:rPr>
          <w:rtl/>
        </w:rPr>
        <w:t xml:space="preserve"> </w:t>
      </w:r>
      <w:r>
        <w:rPr>
          <w:rFonts w:cs="Arial"/>
          <w:rtl/>
        </w:rPr>
        <w:t>ונראה בתנאי על מנת ג"כ יכול לבטל התנאי שיחול הגט מיד וא"צ ליטול הגט ממנה</w:t>
      </w:r>
      <w:r w:rsidR="00413847">
        <w:rPr>
          <w:rFonts w:cs="Arial" w:hint="cs"/>
          <w:rtl/>
        </w:rPr>
        <w:t>,</w:t>
      </w:r>
      <w:r>
        <w:rPr>
          <w:rFonts w:cs="Arial"/>
          <w:rtl/>
        </w:rPr>
        <w:t xml:space="preserve"> ובזה אין חילוק בין תנאי ע"מ לתנאי אם</w:t>
      </w:r>
      <w:r w:rsidR="00413847">
        <w:rPr>
          <w:rFonts w:cs="Arial" w:hint="cs"/>
          <w:rtl/>
        </w:rPr>
        <w:t>.</w:t>
      </w:r>
      <w:r>
        <w:rPr>
          <w:rFonts w:cs="Arial"/>
          <w:rtl/>
        </w:rPr>
        <w:t xml:space="preserve"> אלא לענין אם רוצה לבטל הגט או להתנות תנאי אחר</w:t>
      </w:r>
      <w:r w:rsidR="00413847">
        <w:rPr>
          <w:rFonts w:cs="Arial" w:hint="cs"/>
          <w:rtl/>
        </w:rPr>
        <w:t>,</w:t>
      </w:r>
      <w:r>
        <w:rPr>
          <w:rFonts w:cs="Arial"/>
          <w:rtl/>
        </w:rPr>
        <w:t xml:space="preserve"> אז בע"מ דהגט חל מיד </w:t>
      </w:r>
      <w:r w:rsidR="00413847">
        <w:rPr>
          <w:rFonts w:cs="Arial" w:hint="cs"/>
          <w:rtl/>
        </w:rPr>
        <w:t xml:space="preserve">- </w:t>
      </w:r>
      <w:r>
        <w:rPr>
          <w:rFonts w:cs="Arial"/>
          <w:rtl/>
        </w:rPr>
        <w:t>א"י</w:t>
      </w:r>
      <w:r w:rsidR="00413847">
        <w:rPr>
          <w:rFonts w:cs="Arial" w:hint="cs"/>
          <w:rtl/>
        </w:rPr>
        <w:t>,</w:t>
      </w:r>
      <w:r>
        <w:rPr>
          <w:rFonts w:cs="Arial"/>
          <w:rtl/>
        </w:rPr>
        <w:t xml:space="preserve"> ובתנאי אם דעדיין לא חל </w:t>
      </w:r>
      <w:r w:rsidR="00413847">
        <w:rPr>
          <w:rFonts w:cs="Arial" w:hint="cs"/>
          <w:rtl/>
        </w:rPr>
        <w:t xml:space="preserve">- </w:t>
      </w:r>
      <w:r>
        <w:rPr>
          <w:rFonts w:cs="Arial"/>
          <w:rtl/>
        </w:rPr>
        <w:t>יכול לבטל</w:t>
      </w:r>
      <w:r w:rsidR="00413847">
        <w:rPr>
          <w:rFonts w:cs="Arial" w:hint="cs"/>
          <w:rtl/>
        </w:rPr>
        <w:t>.</w:t>
      </w:r>
      <w:r>
        <w:rPr>
          <w:rFonts w:cs="Arial"/>
          <w:rtl/>
        </w:rPr>
        <w:t xml:space="preserve"> אבל לבטל התנאי יכול לבטל בשניהם וא"צ ליטול הגט ממנה</w:t>
      </w:r>
      <w:r w:rsidR="00413847">
        <w:rPr>
          <w:rFonts w:cs="Arial" w:hint="cs"/>
          <w:rtl/>
        </w:rPr>
        <w:t>.</w:t>
      </w:r>
      <w:r>
        <w:rPr>
          <w:rFonts w:cs="Arial"/>
          <w:rtl/>
        </w:rPr>
        <w:t xml:space="preserve"> ולא כב"ח בסעיף כ"ב שכתב בתנאי אם א"י לבטל התנאי אא"כ נוטל הגט ממנה</w:t>
      </w:r>
      <w:r w:rsidR="00413847">
        <w:rPr>
          <w:rFonts w:cs="Arial" w:hint="cs"/>
          <w:rtl/>
        </w:rPr>
        <w:t>,</w:t>
      </w:r>
      <w:r>
        <w:rPr>
          <w:rFonts w:cs="Arial"/>
          <w:rtl/>
        </w:rPr>
        <w:t xml:space="preserve"> וליתא ועיין ס"ס קמ"ד, ועיין ס"ס קמ"ב שם מבואר דין זה בתנאי באם אם יכול לבטל, ב"ש (סק"א).</w:t>
      </w:r>
    </w:p>
  </w:footnote>
  <w:footnote w:id="2352">
    <w:p w14:paraId="42CB760A" w14:textId="77777777" w:rsidR="00C97BEF" w:rsidRDefault="00C97BEF" w:rsidP="00C97BEF">
      <w:pPr>
        <w:pStyle w:val="a5"/>
      </w:pPr>
      <w:r>
        <w:rPr>
          <w:rStyle w:val="a7"/>
        </w:rPr>
        <w:footnoteRef/>
      </w:r>
      <w:r>
        <w:rPr>
          <w:rtl/>
        </w:rPr>
        <w:t xml:space="preserve"> </w:t>
      </w:r>
      <w:r>
        <w:rPr>
          <w:rFonts w:hint="cs"/>
          <w:rtl/>
        </w:rPr>
        <w:t>ועיין בפת"ש (סק"ב) שהקשה על דבריהם מכמה ראיות ומתשובות הרדב"ז.</w:t>
      </w:r>
    </w:p>
  </w:footnote>
  <w:footnote w:id="2353">
    <w:p w14:paraId="127C3CF2" w14:textId="77777777" w:rsidR="00C97BEF" w:rsidRDefault="00C97BEF" w:rsidP="00C97BEF">
      <w:pPr>
        <w:pStyle w:val="a5"/>
        <w:rPr>
          <w:rtl/>
        </w:rPr>
      </w:pPr>
      <w:r>
        <w:rPr>
          <w:rStyle w:val="a7"/>
        </w:rPr>
        <w:footnoteRef/>
      </w:r>
      <w:r>
        <w:rPr>
          <w:rtl/>
        </w:rPr>
        <w:t xml:space="preserve"> </w:t>
      </w:r>
      <w:r>
        <w:rPr>
          <w:rFonts w:cs="Arial"/>
          <w:rtl/>
        </w:rPr>
        <w:t>קודם מתן מעות</w:t>
      </w:r>
      <w:r>
        <w:rPr>
          <w:rtl/>
        </w:rPr>
        <w:t>, רש"י.</w:t>
      </w:r>
    </w:p>
  </w:footnote>
  <w:footnote w:id="2354">
    <w:p w14:paraId="433AC530" w14:textId="77777777" w:rsidR="00C97BEF" w:rsidRDefault="00C97BEF" w:rsidP="00C97BEF">
      <w:pPr>
        <w:pStyle w:val="a5"/>
        <w:rPr>
          <w:rtl/>
        </w:rPr>
      </w:pPr>
      <w:r>
        <w:rPr>
          <w:rStyle w:val="a7"/>
        </w:rPr>
        <w:footnoteRef/>
      </w:r>
      <w:r>
        <w:rPr>
          <w:rtl/>
        </w:rPr>
        <w:t xml:space="preserve"> </w:t>
      </w:r>
      <w:r>
        <w:rPr>
          <w:rFonts w:cs="Arial"/>
          <w:rtl/>
        </w:rPr>
        <w:t>תנאי בעלמא הוא וכי מקיימא ליה איגלאי מילתא דמשעת נתינה גיטא הוי דכל ע"מ מעכשיו הוא וע"מ כן דליקיים, רש"י.</w:t>
      </w:r>
    </w:p>
  </w:footnote>
  <w:footnote w:id="2355">
    <w:p w14:paraId="0AF9B208" w14:textId="77777777" w:rsidR="00EA1BA5" w:rsidRDefault="00EA1BA5" w:rsidP="00EA1BA5">
      <w:pPr>
        <w:pStyle w:val="a5"/>
      </w:pPr>
      <w:r>
        <w:rPr>
          <w:rStyle w:val="a7"/>
        </w:rPr>
        <w:footnoteRef/>
      </w:r>
      <w:r>
        <w:rPr>
          <w:rtl/>
        </w:rPr>
        <w:t xml:space="preserve"> </w:t>
      </w:r>
      <w:r>
        <w:rPr>
          <w:rFonts w:cs="Arial"/>
          <w:rtl/>
        </w:rPr>
        <w:t>ו</w:t>
      </w:r>
      <w:r>
        <w:rPr>
          <w:rFonts w:cs="Arial" w:hint="cs"/>
          <w:rtl/>
        </w:rPr>
        <w:t xml:space="preserve">ז"ל: </w:t>
      </w:r>
      <w:r>
        <w:rPr>
          <w:rFonts w:cs="Arial"/>
          <w:rtl/>
        </w:rPr>
        <w:t>ולכשיתקיים התנאי, מתקיים הגט למפרע משעת נתינה. לפיכך, מת הבעל או נשרף הגט או נאבד קודם קיום התנאי - הוי גט. בד"א, שאומר מעכשיו, או ע"מ דהוי כמעכשיו. כיצד, אמר לה ה"ז גיטך ע"מ שתתני לי ר' זוז לאחר ל' יום - חל הגט מיד, ולכשתתן לו תהיה מגורשת למפרע אפילו אם נשרף הגט.</w:t>
      </w:r>
    </w:p>
  </w:footnote>
  <w:footnote w:id="2356">
    <w:p w14:paraId="5C2DEBD5" w14:textId="77777777" w:rsidR="001A0237" w:rsidRDefault="001A0237" w:rsidP="001A0237">
      <w:pPr>
        <w:pStyle w:val="a5"/>
      </w:pPr>
      <w:r>
        <w:rPr>
          <w:rStyle w:val="a7"/>
        </w:rPr>
        <w:footnoteRef/>
      </w:r>
      <w:r>
        <w:rPr>
          <w:rtl/>
        </w:rPr>
        <w:t xml:space="preserve"> </w:t>
      </w:r>
      <w:r>
        <w:rPr>
          <w:rFonts w:cs="Arial"/>
          <w:rtl/>
        </w:rPr>
        <w:t>ובמרדכי פרק מי שאחזו (סי' תל) בתשובת מוהר"ם (דפוס פראג סי' תקצג) משמע דיש לחלק בין גט שכיב מרע לשאר גט על תנאי לענין אם נשרף או נאבד. ועיין שם, דרכ"מ (אות ד).</w:t>
      </w:r>
    </w:p>
  </w:footnote>
  <w:footnote w:id="2357">
    <w:p w14:paraId="136EB7C5" w14:textId="77777777" w:rsidR="00C97BEF" w:rsidRDefault="00C97BEF" w:rsidP="00C97BEF">
      <w:pPr>
        <w:pStyle w:val="a5"/>
        <w:rPr>
          <w:rFonts w:cs="Arial"/>
        </w:rPr>
      </w:pPr>
      <w:r>
        <w:rPr>
          <w:rStyle w:val="a7"/>
        </w:rPr>
        <w:footnoteRef/>
      </w:r>
      <w:r>
        <w:rPr>
          <w:rtl/>
        </w:rPr>
        <w:t xml:space="preserve"> </w:t>
      </w:r>
      <w:r>
        <w:rPr>
          <w:rFonts w:cs="Arial"/>
          <w:rtl/>
        </w:rPr>
        <w:t xml:space="preserve">ולא נהירא דבהדיא קתני בברייתא על זה ולאחר לא תינשא עד שתתן... דאע"פ שחל למפרע מ"מ אינה יכולה לינשא בתנאי שאין בידה לקיימו אע"פ שהוא חל למפרע אם יתקיים, שמא לא יתקיים ולא יחול הגט לעולם, </w:t>
      </w:r>
      <w:r>
        <w:rPr>
          <w:rFonts w:cs="Arial"/>
          <w:b/>
          <w:bCs/>
          <w:rtl/>
        </w:rPr>
        <w:t>טור</w:t>
      </w:r>
      <w:r>
        <w:rPr>
          <w:rFonts w:cs="Arial"/>
          <w:rtl/>
        </w:rPr>
        <w:t xml:space="preserve">. וכתב </w:t>
      </w:r>
      <w:r>
        <w:rPr>
          <w:rFonts w:cs="Arial"/>
          <w:b/>
          <w:bCs/>
          <w:rtl/>
        </w:rPr>
        <w:t>הב"י</w:t>
      </w:r>
      <w:r>
        <w:rPr>
          <w:rFonts w:cs="Arial"/>
          <w:rtl/>
        </w:rPr>
        <w:t xml:space="preserve"> דמה שתמה רבינו על הרמב"ם במה שהתיר לינשא מיד בתנאי דמעכשיו כבר כתב בזה הה"מ בפ"ח (סוף ה"א) והליץ בעד הרמב"ם, וכתב שיש סברות אחרות בדין זה, דיש אומרים</w:t>
      </w:r>
      <w:r>
        <w:rPr>
          <w:rtl/>
        </w:rPr>
        <w:t xml:space="preserve"> </w:t>
      </w:r>
      <w:r>
        <w:rPr>
          <w:rFonts w:cs="Arial"/>
          <w:rtl/>
        </w:rPr>
        <w:t>שאפילו בתנאי שבשב ואל תעשה, כגון על מנת שלא תעשה כך עד זמן פלוני - לא תנשא לכתחלה עד שיעבור הזמן</w:t>
      </w:r>
      <w:r>
        <w:rPr>
          <w:sz w:val="16"/>
          <w:szCs w:val="16"/>
          <w:rtl/>
        </w:rPr>
        <w:t xml:space="preserve"> {והביא שם גם את סברת הרמב"ן והרשב"א}</w:t>
      </w:r>
      <w:r>
        <w:rPr>
          <w:rFonts w:cs="Arial"/>
          <w:rtl/>
        </w:rPr>
        <w:t>.</w:t>
      </w:r>
    </w:p>
  </w:footnote>
  <w:footnote w:id="2358">
    <w:p w14:paraId="198CB16C" w14:textId="77777777" w:rsidR="00C97BEF" w:rsidRDefault="00C97BEF" w:rsidP="00C97BEF">
      <w:pPr>
        <w:pStyle w:val="a5"/>
        <w:rPr>
          <w:rtl/>
        </w:rPr>
      </w:pPr>
      <w:r>
        <w:rPr>
          <w:rStyle w:val="a7"/>
        </w:rPr>
        <w:footnoteRef/>
      </w:r>
      <w:r>
        <w:rPr>
          <w:rtl/>
        </w:rPr>
        <w:t xml:space="preserve"> </w:t>
      </w:r>
      <w:r>
        <w:rPr>
          <w:rFonts w:cs="Arial"/>
          <w:rtl/>
        </w:rPr>
        <w:t>לא יוציא בגט קאמר דא"כ היאך אמר אח"כ ואם קיימה התנאי יקיים לא הוה ליה למימר אלא ואם קיימה התנאי יחזיר. הילכך על כרחין לפרש דמאי יוציא דקאמר יפריש וזו היא הנכונה והמחוורת שבסברות, ב"י (בבדה"ב).</w:t>
      </w:r>
    </w:p>
  </w:footnote>
  <w:footnote w:id="2359">
    <w:p w14:paraId="457F4032" w14:textId="77777777" w:rsidR="00C97BEF" w:rsidRDefault="00C97BEF" w:rsidP="00C97BEF">
      <w:pPr>
        <w:pStyle w:val="a5"/>
      </w:pPr>
      <w:r>
        <w:rPr>
          <w:rStyle w:val="a7"/>
        </w:rPr>
        <w:footnoteRef/>
      </w:r>
      <w:r>
        <w:rPr>
          <w:rtl/>
        </w:rPr>
        <w:t xml:space="preserve"> </w:t>
      </w:r>
      <w:r>
        <w:rPr>
          <w:rFonts w:cs="Arial"/>
          <w:rtl/>
        </w:rPr>
        <w:t>ודע שאף רבינו</w:t>
      </w:r>
      <w:r>
        <w:rPr>
          <w:rFonts w:cs="Arial"/>
          <w:sz w:val="16"/>
          <w:szCs w:val="16"/>
          <w:rtl/>
        </w:rPr>
        <w:t xml:space="preserve"> {הרמב"ם}</w:t>
      </w:r>
      <w:r>
        <w:rPr>
          <w:rFonts w:cs="Arial"/>
          <w:rtl/>
        </w:rPr>
        <w:t xml:space="preserve"> מודה בתנאי שהוא תלוי ביד אחרים, שדבריו אינם אלא בתנאי שהוא בידה, הה"מ (שם).</w:t>
      </w:r>
    </w:p>
  </w:footnote>
  <w:footnote w:id="2360">
    <w:p w14:paraId="3DCE8E56" w14:textId="77777777" w:rsidR="00C97BEF" w:rsidRDefault="00C97BEF" w:rsidP="00C97BEF">
      <w:pPr>
        <w:pStyle w:val="a5"/>
      </w:pPr>
      <w:r>
        <w:rPr>
          <w:rStyle w:val="a7"/>
        </w:rPr>
        <w:footnoteRef/>
      </w:r>
      <w:r>
        <w:rPr>
          <w:rtl/>
        </w:rPr>
        <w:t xml:space="preserve"> </w:t>
      </w:r>
      <w:r>
        <w:rPr>
          <w:rFonts w:cs="Arial"/>
          <w:rtl/>
        </w:rPr>
        <w:t>ועיין במ"ש רבינו לקמן בסימן זה (סג:) גבי על מנת שלא תבעלי לפלוני, ב"י (בבדה"ב).</w:t>
      </w:r>
    </w:p>
  </w:footnote>
  <w:footnote w:id="2361">
    <w:p w14:paraId="383760B8" w14:textId="25C56330" w:rsidR="00C97BEF" w:rsidRDefault="00C97BEF" w:rsidP="00C97BEF">
      <w:pPr>
        <w:pStyle w:val="a5"/>
        <w:rPr>
          <w:rtl/>
        </w:rPr>
      </w:pPr>
      <w:r>
        <w:rPr>
          <w:rStyle w:val="a7"/>
        </w:rPr>
        <w:footnoteRef/>
      </w:r>
      <w:r>
        <w:rPr>
          <w:rtl/>
        </w:rPr>
        <w:t xml:space="preserve"> </w:t>
      </w:r>
      <w:r>
        <w:rPr>
          <w:rFonts w:hint="cs"/>
          <w:rtl/>
        </w:rPr>
        <w:t xml:space="preserve">דוקא לבטל את הגט, אבל לבטל את התנאי </w:t>
      </w:r>
      <w:r w:rsidR="00A42812">
        <w:rPr>
          <w:rFonts w:hint="cs"/>
          <w:rtl/>
        </w:rPr>
        <w:t>-</w:t>
      </w:r>
      <w:r>
        <w:rPr>
          <w:rFonts w:hint="cs"/>
          <w:rtl/>
        </w:rPr>
        <w:t xml:space="preserve"> יכול, כמו שיתבאר לקמן (סע' ה-ו) שכ"כ הרמב"ם (פ"ח הכ"ג) והרשב"א. וכ"כ שם הב"ש (סוף סק"ט). </w:t>
      </w:r>
      <w:r>
        <w:rPr>
          <w:rFonts w:hint="cs"/>
          <w:color w:val="E36C0A" w:themeColor="accent6" w:themeShade="BF"/>
          <w:rtl/>
        </w:rPr>
        <w:t>(וכ"פ בשו"ע</w:t>
      </w:r>
      <w:r>
        <w:rPr>
          <w:sz w:val="16"/>
          <w:szCs w:val="16"/>
          <w:rtl/>
        </w:rPr>
        <w:t xml:space="preserve"> [סע' ו]</w:t>
      </w:r>
      <w:r>
        <w:rPr>
          <w:color w:val="E36C0A" w:themeColor="accent6" w:themeShade="BF"/>
          <w:rtl/>
        </w:rPr>
        <w:t>)</w:t>
      </w:r>
    </w:p>
  </w:footnote>
  <w:footnote w:id="2362">
    <w:p w14:paraId="3F8646C4" w14:textId="77777777" w:rsidR="00C97BEF" w:rsidRDefault="00C97BEF" w:rsidP="00C97BEF">
      <w:pPr>
        <w:pStyle w:val="a5"/>
      </w:pPr>
      <w:r>
        <w:rPr>
          <w:rStyle w:val="a7"/>
        </w:rPr>
        <w:footnoteRef/>
      </w:r>
      <w:r>
        <w:rPr>
          <w:rtl/>
        </w:rPr>
        <w:t xml:space="preserve"> </w:t>
      </w:r>
      <w:r>
        <w:rPr>
          <w:rFonts w:cs="Arial"/>
          <w:rtl/>
        </w:rPr>
        <w:t xml:space="preserve">וכתב הר"ן </w:t>
      </w:r>
      <w:r>
        <w:rPr>
          <w:rFonts w:cs="Arial"/>
          <w:sz w:val="16"/>
          <w:szCs w:val="16"/>
          <w:rtl/>
        </w:rPr>
        <w:t xml:space="preserve">(גיטין לח:) </w:t>
      </w:r>
      <w:r>
        <w:rPr>
          <w:rFonts w:cs="Arial"/>
          <w:rtl/>
        </w:rPr>
        <w:t xml:space="preserve">שכן דעת הרי"ף </w:t>
      </w:r>
      <w:r>
        <w:rPr>
          <w:rFonts w:cs="Arial"/>
          <w:sz w:val="16"/>
          <w:szCs w:val="16"/>
          <w:rtl/>
        </w:rPr>
        <w:t>(בשו"ת סי' לב)</w:t>
      </w:r>
      <w:r>
        <w:rPr>
          <w:rFonts w:cs="Arial"/>
          <w:rtl/>
        </w:rPr>
        <w:t xml:space="preserve"> והשאילתות </w:t>
      </w:r>
      <w:r>
        <w:rPr>
          <w:rFonts w:cs="Arial"/>
          <w:sz w:val="16"/>
          <w:szCs w:val="16"/>
          <w:rtl/>
        </w:rPr>
        <w:t>(במדבר פרשת מטות שאילתא קלח, עיין לעיל סוף סב. בבית יוסף)</w:t>
      </w:r>
      <w:r>
        <w:rPr>
          <w:rFonts w:cs="Arial"/>
          <w:rtl/>
        </w:rPr>
        <w:t xml:space="preserve">. וגם הה"מ בפרק הנזכר (ד"ה לפיכך) כתב שכך הוא מוסכם מכל הפוסקים חוץ מבהעי"ט </w:t>
      </w:r>
      <w:r>
        <w:rPr>
          <w:rFonts w:cs="Arial"/>
          <w:sz w:val="16"/>
          <w:szCs w:val="16"/>
          <w:rtl/>
        </w:rPr>
        <w:t>(שם)</w:t>
      </w:r>
      <w:r>
        <w:rPr>
          <w:rtl/>
        </w:rPr>
        <w:t xml:space="preserve"> </w:t>
      </w:r>
      <w:r>
        <w:rPr>
          <w:rFonts w:cs="Arial"/>
          <w:rtl/>
        </w:rPr>
        <w:t>שכתב דאפילו בעל מנת יכול לבטל תנאו ולהתנות עליה תנאי אחר</w:t>
      </w:r>
      <w:r>
        <w:rPr>
          <w:rtl/>
        </w:rPr>
        <w:t>, ב"י.</w:t>
      </w:r>
    </w:p>
  </w:footnote>
  <w:footnote w:id="2363">
    <w:p w14:paraId="1D559177" w14:textId="77777777" w:rsidR="00C97BEF" w:rsidRDefault="00C97BEF" w:rsidP="00C97BEF">
      <w:pPr>
        <w:pStyle w:val="a5"/>
        <w:rPr>
          <w:rtl/>
        </w:rPr>
      </w:pPr>
      <w:r>
        <w:rPr>
          <w:rStyle w:val="a7"/>
        </w:rPr>
        <w:footnoteRef/>
      </w:r>
      <w:r>
        <w:rPr>
          <w:rtl/>
        </w:rPr>
        <w:t xml:space="preserve"> </w:t>
      </w:r>
      <w:r>
        <w:rPr>
          <w:rFonts w:cs="Arial"/>
          <w:rtl/>
        </w:rPr>
        <w:t xml:space="preserve">בהעי"ט </w:t>
      </w:r>
      <w:r>
        <w:rPr>
          <w:rFonts w:cs="Arial"/>
          <w:sz w:val="16"/>
          <w:szCs w:val="16"/>
          <w:rtl/>
        </w:rPr>
        <w:t>(מאמר שלישי יד: ואות תי"ו לז ע"ד, כ"כ הטור בשמו)</w:t>
      </w:r>
      <w:r>
        <w:rPr>
          <w:rFonts w:cs="Arial"/>
          <w:rtl/>
        </w:rPr>
        <w:t xml:space="preserve"> רא"ש</w:t>
      </w:r>
      <w:r>
        <w:rPr>
          <w:rFonts w:cs="Arial"/>
          <w:sz w:val="16"/>
          <w:szCs w:val="16"/>
          <w:rtl/>
        </w:rPr>
        <w:t xml:space="preserve"> (כלל מו סי' ב)</w:t>
      </w:r>
      <w:r>
        <w:rPr>
          <w:rFonts w:cs="Arial"/>
          <w:rtl/>
        </w:rPr>
        <w:t xml:space="preserve"> ור"ן </w:t>
      </w:r>
      <w:r>
        <w:rPr>
          <w:rFonts w:cs="Arial"/>
          <w:sz w:val="16"/>
          <w:szCs w:val="16"/>
          <w:rtl/>
        </w:rPr>
        <w:t>(לח: דיבור ראשון, וכ"כ הדרכ"מ [אות ד] שהב"י [סי' קמד עמ' רפז] כתב בשם הר"ן)</w:t>
      </w:r>
      <w:r>
        <w:rPr>
          <w:rtl/>
        </w:rPr>
        <w:t>.</w:t>
      </w:r>
    </w:p>
  </w:footnote>
  <w:footnote w:id="2364">
    <w:p w14:paraId="76BA47E9" w14:textId="0C6E8AE4" w:rsidR="00C97BEF" w:rsidRDefault="00C97BEF" w:rsidP="00C97BEF">
      <w:pPr>
        <w:pStyle w:val="a5"/>
        <w:rPr>
          <w:rFonts w:cs="Arial"/>
          <w:rtl/>
        </w:rPr>
      </w:pPr>
      <w:r w:rsidRPr="007B175A">
        <w:rPr>
          <w:rStyle w:val="a7"/>
          <w:color w:val="000000" w:themeColor="text1"/>
        </w:rPr>
        <w:footnoteRef/>
      </w:r>
      <w:r w:rsidRPr="007B175A">
        <w:rPr>
          <w:color w:val="000000" w:themeColor="text1"/>
          <w:rtl/>
        </w:rPr>
        <w:t xml:space="preserve"> </w:t>
      </w:r>
      <w:r w:rsidRPr="007B175A">
        <w:rPr>
          <w:rFonts w:hint="cs"/>
          <w:color w:val="000000" w:themeColor="text1"/>
          <w:rtl/>
        </w:rPr>
        <w:t>צל"ע מדוע הרמ"א הביא את דבריהם כחולקים על דברי השו"ע, שהרי השו"ע בסע' ו פסק שאפשר לבטל את התנאי, וכמש"כ הרמב"ם (פ"ח הכ"ג). ואולי השינוי שיש בניהם הוא בתנאי שהיא רוצה בו, שהרא"ש כתב שגם תנאי כזה אפשר לבטלו. וצל"ע. ו</w:t>
      </w:r>
      <w:r w:rsidR="00286DD5">
        <w:rPr>
          <w:rFonts w:hint="cs"/>
          <w:color w:val="000000" w:themeColor="text1"/>
          <w:rtl/>
        </w:rPr>
        <w:t xml:space="preserve">כן </w:t>
      </w:r>
      <w:r w:rsidRPr="007B175A">
        <w:rPr>
          <w:rFonts w:hint="cs"/>
          <w:color w:val="000000" w:themeColor="text1"/>
          <w:rtl/>
        </w:rPr>
        <w:t>צ</w:t>
      </w:r>
      <w:r w:rsidR="00286DD5">
        <w:rPr>
          <w:rFonts w:hint="cs"/>
          <w:color w:val="000000" w:themeColor="text1"/>
          <w:rtl/>
        </w:rPr>
        <w:t>ל</w:t>
      </w:r>
      <w:r w:rsidRPr="007B175A">
        <w:rPr>
          <w:rFonts w:hint="cs"/>
          <w:color w:val="000000" w:themeColor="text1"/>
          <w:rtl/>
        </w:rPr>
        <w:t xml:space="preserve">"ע שוב בדברי הב"ש (בסוף סי' קמד סקט"ו) </w:t>
      </w:r>
      <w:r w:rsidRPr="007B175A">
        <w:rPr>
          <w:color w:val="000000" w:themeColor="text1"/>
          <w:sz w:val="16"/>
          <w:szCs w:val="16"/>
          <w:rtl/>
        </w:rPr>
        <w:t xml:space="preserve">(דכתב </w:t>
      </w:r>
      <w:r w:rsidRPr="007B175A">
        <w:rPr>
          <w:rFonts w:cs="Arial"/>
          <w:color w:val="000000" w:themeColor="text1"/>
          <w:sz w:val="16"/>
          <w:szCs w:val="16"/>
          <w:rtl/>
        </w:rPr>
        <w:t xml:space="preserve">דיש בזה ג' שיטות: לרמב"ם ורמב"ן, תנאי אם יכול הוא לבדו לבטל, והסוגיא דהקשה וליחוש </w:t>
      </w:r>
      <w:r>
        <w:rPr>
          <w:rFonts w:cs="Arial"/>
          <w:sz w:val="16"/>
          <w:szCs w:val="16"/>
          <w:rtl/>
        </w:rPr>
        <w:t>שמא פייס איירי בתנאי ע"מ אז א"י הוא לבדו לבטל אלא עם ריצוי דידה. ולהרי"ף והרמ"ה ותוספות, איירי הסוגיא בתנאי אם ואז צריך ריצוי דידה, אבל תנאי מעכשיו אפילו ריצוי שניהם א"י לבטלו. ולהעיטור, אפילו הוא לבדו יכול לבטל הגט אפילו תנאי מעכשיו)</w:t>
      </w:r>
      <w:r>
        <w:rPr>
          <w:rFonts w:cs="Arial"/>
          <w:rtl/>
        </w:rPr>
        <w:t>.</w:t>
      </w:r>
    </w:p>
  </w:footnote>
  <w:footnote w:id="2365">
    <w:p w14:paraId="6365B2FF" w14:textId="5A1593E9" w:rsidR="00C97BEF" w:rsidRDefault="00C97BEF" w:rsidP="00C97BEF">
      <w:pPr>
        <w:pStyle w:val="a5"/>
        <w:rPr>
          <w:rFonts w:cs="Arial"/>
          <w:rtl/>
        </w:rPr>
      </w:pPr>
      <w:r>
        <w:rPr>
          <w:rStyle w:val="a7"/>
        </w:rPr>
        <w:footnoteRef/>
      </w:r>
      <w:r>
        <w:rPr>
          <w:rtl/>
        </w:rPr>
        <w:t xml:space="preserve"> </w:t>
      </w:r>
      <w:r>
        <w:rPr>
          <w:rFonts w:cs="Arial"/>
          <w:rtl/>
        </w:rPr>
        <w:t xml:space="preserve">דעת הרא"ש לא נתבאר כל הצורך בדברי רבינו, שהוא ז"ל ביאר דבריו בתשובה הנזכרת דדוקא בכה"ג שהתנאי לא היה לצערה כמו בתנאי זה </w:t>
      </w:r>
      <w:r>
        <w:rPr>
          <w:rFonts w:cs="Arial"/>
          <w:sz w:val="16"/>
          <w:szCs w:val="16"/>
          <w:rtl/>
        </w:rPr>
        <w:t>(שאדרבה הוא לטובתה, שאם יבוא תוך הזמן שישוב אליה, אז אמרינן דמחילת התנאי הוא כקיומו שהרי נתן לה גט מעכשיו על תנאי זה והגט הוא לאלתר ויקיים התנאי, אבל אם מחל וביטל התנאי הרי הגט למפרע גט משעת נתינה)</w:t>
      </w:r>
      <w:r>
        <w:rPr>
          <w:rFonts w:cs="Arial"/>
          <w:rtl/>
        </w:rPr>
        <w:t>. אבל בתנאי שהוא לצערה - ודאי אינו יכול לבטלו ואם ביטלו אין בדבריו כלום, דלעולם צריכה לקיימו וכל שלא קיימתו אינה מגורשת, וכדאסיקנא בפרקין (עד:) אמר לה הרי זה גיטך על מנת שתתני מאתים זוז וחזר ואמר מחולין לך אינה מגורשת משום דלצעורה איכוין והא לא ציערה, ב"י.</w:t>
      </w:r>
      <w:r w:rsidR="00F41686">
        <w:rPr>
          <w:rFonts w:cs="Arial" w:hint="cs"/>
          <w:rtl/>
        </w:rPr>
        <w:t xml:space="preserve">   </w:t>
      </w:r>
      <w:r>
        <w:rPr>
          <w:rFonts w:cs="Arial"/>
          <w:rtl/>
        </w:rPr>
        <w:t xml:space="preserve"> </w:t>
      </w:r>
      <w:r w:rsidR="00BA39A6">
        <w:rPr>
          <w:rFonts w:cs="Arial" w:hint="cs"/>
          <w:rtl/>
        </w:rPr>
        <w:t xml:space="preserve">וכ"כ הר"ן </w:t>
      </w:r>
      <w:r w:rsidR="00F41686">
        <w:rPr>
          <w:rFonts w:cs="Arial" w:hint="cs"/>
          <w:rtl/>
        </w:rPr>
        <w:t xml:space="preserve">(שם) </w:t>
      </w:r>
      <w:r w:rsidR="00BA39A6">
        <w:rPr>
          <w:rFonts w:cs="Arial" w:hint="cs"/>
          <w:rtl/>
        </w:rPr>
        <w:t xml:space="preserve">דדוקא </w:t>
      </w:r>
      <w:r w:rsidR="00F41686">
        <w:rPr>
          <w:rFonts w:cs="Arial" w:hint="cs"/>
          <w:rtl/>
        </w:rPr>
        <w:t>שהוא תנאי לטובתה יכולים לבטלו.</w:t>
      </w:r>
    </w:p>
  </w:footnote>
  <w:footnote w:id="2366">
    <w:p w14:paraId="4F90DC7E" w14:textId="587633F8" w:rsidR="00C97BEF" w:rsidRDefault="00C97BEF" w:rsidP="00C97BEF">
      <w:pPr>
        <w:pStyle w:val="a5"/>
        <w:rPr>
          <w:rtl/>
        </w:rPr>
      </w:pPr>
      <w:r>
        <w:rPr>
          <w:rStyle w:val="a7"/>
        </w:rPr>
        <w:footnoteRef/>
      </w:r>
      <w:r>
        <w:rPr>
          <w:rtl/>
        </w:rPr>
        <w:t xml:space="preserve"> </w:t>
      </w:r>
      <w:r>
        <w:rPr>
          <w:rFonts w:cs="Arial"/>
          <w:rtl/>
        </w:rPr>
        <w:t xml:space="preserve">ודע שהר"ן </w:t>
      </w:r>
      <w:r>
        <w:rPr>
          <w:rFonts w:cs="Arial"/>
          <w:sz w:val="16"/>
          <w:szCs w:val="16"/>
          <w:rtl/>
        </w:rPr>
        <w:t xml:space="preserve">(לח: דיבור ראשון) </w:t>
      </w:r>
      <w:r>
        <w:rPr>
          <w:rFonts w:cs="Arial"/>
          <w:rtl/>
        </w:rPr>
        <w:t xml:space="preserve">כתב על דברי הרמב"ן, </w:t>
      </w:r>
      <w:r w:rsidR="000A0F5A">
        <w:rPr>
          <w:rFonts w:cs="Arial"/>
          <w:rtl/>
        </w:rPr>
        <w:t>וז"ל:</w:t>
      </w:r>
      <w:r>
        <w:rPr>
          <w:rFonts w:cs="Arial"/>
          <w:rtl/>
        </w:rPr>
        <w:t xml:space="preserve"> ואני תמה אם איתא שהיא יכולה לבטל התנאי לומר שאע"פ שנתקיים יהא כאילו לא נתקיים ולבטל הגט בכך, היכי אסיקנא לעיל כי אמר מחולין לך דאינה מגורשת, נהי דמעיקרא לצעורה איכוין למה לא יהא בידו לומר שיהא כאילו נתקיים כשם שבידה לומר שיהא כאילו לא נתקיים. ולפיכך אני אומר שבכל גט הניתן במעכשיו או בעל מנת - אין ביד שניהם לבטל התנאי, אלא דוקא במתנה להנאתה של אשה כי הכא, אבל במתנה עמה על מנת שתתני לי מאתים זוז ונתגרשה במעכשיו - ודאי לאו כל הימנו לומר שאפילו קיימה תנאה שלא תהא מגורשת עכ"ל. ואלה דברי הר"ן האחרונים קרובים לדברי הרא"ש בתשובה, ב"י.</w:t>
      </w:r>
    </w:p>
  </w:footnote>
  <w:footnote w:id="2367">
    <w:p w14:paraId="0367B148" w14:textId="77777777" w:rsidR="00C97BEF" w:rsidRDefault="00C97BEF" w:rsidP="00C97BEF">
      <w:pPr>
        <w:pStyle w:val="a5"/>
      </w:pPr>
      <w:r>
        <w:rPr>
          <w:rStyle w:val="a7"/>
        </w:rPr>
        <w:footnoteRef/>
      </w:r>
      <w:r>
        <w:rPr>
          <w:rtl/>
        </w:rPr>
        <w:t xml:space="preserve"> </w:t>
      </w:r>
      <w:r>
        <w:rPr>
          <w:rFonts w:hint="cs"/>
          <w:rtl/>
        </w:rPr>
        <w:t xml:space="preserve">ודוגמא לדבר הביא התשב"ץ </w:t>
      </w:r>
      <w:r>
        <w:rPr>
          <w:rFonts w:cs="Arial"/>
          <w:sz w:val="16"/>
          <w:szCs w:val="16"/>
          <w:rtl/>
        </w:rPr>
        <w:t>(ח"א סי' קיח)</w:t>
      </w:r>
      <w:r>
        <w:rPr>
          <w:rtl/>
        </w:rPr>
        <w:t xml:space="preserve"> ב</w:t>
      </w:r>
      <w:r>
        <w:rPr>
          <w:rFonts w:cs="Arial"/>
          <w:rtl/>
        </w:rPr>
        <w:t>בעל שאמר על מנת אם מתי, דבהא לא אמרינן שכשנתפייסו שניהם לבטל התנאי יתבטל הגט אע"פ שמת, לפי שהתנאי מתקיים על כרחם, והיאך יבטלו אותו</w:t>
      </w:r>
      <w:r>
        <w:rPr>
          <w:rtl/>
        </w:rPr>
        <w:t xml:space="preserve">. </w:t>
      </w:r>
    </w:p>
  </w:footnote>
  <w:footnote w:id="2368">
    <w:p w14:paraId="3C08D306" w14:textId="77777777" w:rsidR="00C97BEF" w:rsidRDefault="00C97BEF" w:rsidP="00C97BEF">
      <w:pPr>
        <w:pStyle w:val="a5"/>
      </w:pPr>
      <w:r>
        <w:rPr>
          <w:rStyle w:val="a7"/>
        </w:rPr>
        <w:footnoteRef/>
      </w:r>
      <w:r>
        <w:rPr>
          <w:rtl/>
        </w:rPr>
        <w:t xml:space="preserve"> </w:t>
      </w:r>
      <w:r>
        <w:rPr>
          <w:rFonts w:cs="Arial"/>
          <w:rtl/>
        </w:rPr>
        <w:t>ולפיכך כתב הרמב"ן על מנת שתתני לי מאתים זוז, אם קיבלה עליה שלא תקיים התנאי ולא תתגרש באותה נתינה - בטל הגט מעתה. ואין צריך לומר שאם לא נתנה לשם תנאי ונתנה לו לשם מתנה דגט בטל, אלא אפילו אח"כ אמרה נותנת אני ומקיימת התנאי - כבר נתבטל, שכיון שבידם לבטל התנאי שלא תתן, מכיון שביטלוהו בטל לגמרי ושוב אין לו קיום עכ"ל</w:t>
      </w:r>
      <w:r>
        <w:rPr>
          <w:rFonts w:cs="Arial"/>
          <w:sz w:val="16"/>
          <w:szCs w:val="16"/>
          <w:rtl/>
        </w:rPr>
        <w:t xml:space="preserve"> [הר"ן]</w:t>
      </w:r>
      <w:r>
        <w:rPr>
          <w:rFonts w:cs="Arial"/>
          <w:rtl/>
        </w:rPr>
        <w:t>. וכל הדברים הללו כתב גם הרב המגיד בפרק ט' (ה"ט), וכתב בשם הרמב"ן (שם) שזה דעת הרמב"ם</w:t>
      </w:r>
      <w:r>
        <w:rPr>
          <w:rtl/>
        </w:rPr>
        <w:t>, ב"י.</w:t>
      </w:r>
      <w:r>
        <w:rPr>
          <w:rFonts w:cs="Arial"/>
          <w:rtl/>
        </w:rPr>
        <w:t xml:space="preserve"> וכתב התשב"ץ </w:t>
      </w:r>
      <w:r>
        <w:rPr>
          <w:rFonts w:cs="Arial"/>
          <w:sz w:val="16"/>
          <w:szCs w:val="16"/>
          <w:rtl/>
        </w:rPr>
        <w:t>(ח"א סי' קיח)</w:t>
      </w:r>
      <w:r>
        <w:rPr>
          <w:rFonts w:cs="Arial"/>
          <w:rtl/>
        </w:rPr>
        <w:t xml:space="preserve"> שכן דעת הרשב"א בחידושיו (עו: ד"ה וליחוש).</w:t>
      </w:r>
    </w:p>
  </w:footnote>
  <w:footnote w:id="2369">
    <w:p w14:paraId="39946C0A" w14:textId="77777777" w:rsidR="00C97BEF" w:rsidRDefault="00C97BEF" w:rsidP="00C97BEF">
      <w:pPr>
        <w:pStyle w:val="a5"/>
        <w:rPr>
          <w:rtl/>
        </w:rPr>
      </w:pPr>
      <w:r>
        <w:rPr>
          <w:rStyle w:val="a7"/>
        </w:rPr>
        <w:footnoteRef/>
      </w:r>
      <w:r>
        <w:rPr>
          <w:rtl/>
        </w:rPr>
        <w:t xml:space="preserve"> </w:t>
      </w:r>
      <w:r>
        <w:rPr>
          <w:rFonts w:cs="Arial"/>
          <w:rtl/>
        </w:rPr>
        <w:t>בסימן שאחר זה (סה.) כתב רבינו דעות החולקים עליו שיש מי שסובר דזמנו של שטר מוכיח עליו והוי כאילו התנה תנאי דמעכשיו. ואיכא מאן דמספקא ליה. ושם אבאר דבריהם</w:t>
      </w:r>
      <w:r>
        <w:rPr>
          <w:rtl/>
        </w:rPr>
        <w:t>, ב"י.</w:t>
      </w:r>
    </w:p>
  </w:footnote>
  <w:footnote w:id="2370">
    <w:p w14:paraId="0E0193D4" w14:textId="77777777" w:rsidR="00C97BEF" w:rsidRDefault="00C97BEF" w:rsidP="00C97BEF">
      <w:pPr>
        <w:pStyle w:val="a5"/>
        <w:rPr>
          <w:rtl/>
        </w:rPr>
      </w:pPr>
      <w:r>
        <w:rPr>
          <w:rStyle w:val="a7"/>
        </w:rPr>
        <w:footnoteRef/>
      </w:r>
      <w:r>
        <w:rPr>
          <w:rtl/>
        </w:rPr>
        <w:t xml:space="preserve"> </w:t>
      </w:r>
      <w:r>
        <w:rPr>
          <w:rFonts w:cs="Arial"/>
          <w:rtl/>
        </w:rPr>
        <w:t>ותמה עליו הה"מ (שם ד"ה ולכתחלה). וגם הר"ן בפרק מי שאחזו (שם ד"ה ודאמרי') תמה עליו וכתב שמאחר שאין הגט חל אלא בשעה שהתנאי מתקיים ואם נתקרע קודם לכן אינה מגורשת אמאי אם נישאת לא תצא וכבר השיגו הרמ"ך. ויש לתמוה איך לא הרגיש רבינו בזה. והר"ש בר צמח בתשובה (תשב"ץ ח"א סי' קיט) תמה ג"כ על דברי הרמב"ם ואח"כ כתב- נראה שסובר הרמב"ם שאם נישאת קודם קיום התנאי לא מפקינן לה מיניה אלא אמרינן לה שתקיים תנאה ותעמוד בבית בעלה אם תקיים, ואם לא קיימתו ודאי תצא מיד, ואין דבריו מחוורין דהא כי אינסיבא אשת איש הואי ובזנות בא עליה ואם נישאת תצא דקיי"ל (סוטה כז:) כשם שאסורה לבעל כך אסורה לבועל</w:t>
      </w:r>
      <w:r>
        <w:rPr>
          <w:rFonts w:cs="Arial"/>
          <w:sz w:val="16"/>
          <w:szCs w:val="16"/>
          <w:rtl/>
        </w:rPr>
        <w:t xml:space="preserve"> [עכ"ל התשב"ץ]</w:t>
      </w:r>
      <w:r>
        <w:rPr>
          <w:rFonts w:cs="Arial"/>
          <w:rtl/>
        </w:rPr>
        <w:t>, ב"י.</w:t>
      </w:r>
      <w:r>
        <w:rPr>
          <w:rtl/>
        </w:rPr>
        <w:t xml:space="preserve"> </w:t>
      </w:r>
      <w:r>
        <w:rPr>
          <w:color w:val="E36C0A" w:themeColor="accent6" w:themeShade="BF"/>
          <w:rtl/>
        </w:rPr>
        <w:t>(וכ"פ בשו"ע)</w:t>
      </w:r>
    </w:p>
  </w:footnote>
  <w:footnote w:id="2371">
    <w:p w14:paraId="6D90D779" w14:textId="77777777" w:rsidR="00C97BEF" w:rsidRPr="008C7596" w:rsidRDefault="00C97BEF" w:rsidP="00C97BEF">
      <w:pPr>
        <w:pStyle w:val="a5"/>
        <w:rPr>
          <w:color w:val="000000" w:themeColor="text1"/>
        </w:rPr>
      </w:pPr>
      <w:r>
        <w:rPr>
          <w:rStyle w:val="a7"/>
        </w:rPr>
        <w:footnoteRef/>
      </w:r>
      <w:r>
        <w:rPr>
          <w:rtl/>
        </w:rPr>
        <w:t xml:space="preserve"> </w:t>
      </w:r>
      <w:r>
        <w:rPr>
          <w:rFonts w:hint="cs"/>
          <w:rtl/>
        </w:rPr>
        <w:t xml:space="preserve">אך עיין בב"ש (סק"ב) שכתב </w:t>
      </w:r>
      <w:r>
        <w:rPr>
          <w:rFonts w:cs="Arial"/>
          <w:rtl/>
        </w:rPr>
        <w:t xml:space="preserve">שנראה שדעת המחבר כהרמב"ם, וכתב עוד שנראה שכן דעת הטור </w:t>
      </w:r>
      <w:r>
        <w:rPr>
          <w:rFonts w:cs="Arial"/>
          <w:sz w:val="16"/>
          <w:szCs w:val="16"/>
          <w:rtl/>
        </w:rPr>
        <w:t>(דהביא דברי הרמב"ם בסתם ולא השיג עליו)</w:t>
      </w:r>
      <w:r>
        <w:rPr>
          <w:rFonts w:cs="Arial"/>
          <w:rtl/>
        </w:rPr>
        <w:t xml:space="preserve">, ואע"ג דבספרו הב"י כתב כהר"ן והמגיד מ"מ כאן בש"ע נוט' אחר דעת הרמב"ם ולא כתב אם נשאת תצא אלא אחר הבבא אם מת הבעל או אבד ובזה דוקא תצא כמ"ש ברמב"ם משא"כ אם הגט קיים והבעל קיים. וכן מוכח בסי' קמ"ח דפוסק כרמב"ם ע"ש. וכן הוא דעת רמ"א כמ"ש בסי' ק"כ בתנאי שיחתמו כולם והיינו נמי תנאי באם ולא תנאי ע"מ. ובחנם השיג שם </w:t>
      </w:r>
      <w:r w:rsidRPr="008C7596">
        <w:rPr>
          <w:rFonts w:cs="Arial"/>
          <w:color w:val="000000" w:themeColor="text1"/>
          <w:rtl/>
        </w:rPr>
        <w:t>הח"מ על הרב רמ"א כי כן ס"ל להרמב"ם והטור והמחבר. עכ"ל. וצל"ע שלא הבנתי ראיותיו.</w:t>
      </w:r>
    </w:p>
  </w:footnote>
  <w:footnote w:id="2372">
    <w:p w14:paraId="68A72448" w14:textId="77777777" w:rsidR="00C97BEF" w:rsidRDefault="00C97BEF" w:rsidP="00C97BEF">
      <w:pPr>
        <w:pStyle w:val="a5"/>
        <w:rPr>
          <w:rtl/>
        </w:rPr>
      </w:pPr>
      <w:r>
        <w:rPr>
          <w:rStyle w:val="a7"/>
        </w:rPr>
        <w:footnoteRef/>
      </w:r>
      <w:r>
        <w:rPr>
          <w:rtl/>
        </w:rPr>
        <w:t xml:space="preserve"> </w:t>
      </w:r>
      <w:r>
        <w:rPr>
          <w:rFonts w:cs="Arial"/>
          <w:rtl/>
        </w:rPr>
        <w:t>ונראה בתנאי על מנת ג"כ יכול לבטל התנאי שיחול הגט מיד וא"צ ליטול הגט ממנה, ובזה אין חילוק בין תנאי ע"מ לתנאי אם. אלא לענין אם רוצה לבטל הגט או להתנות תנאי אחר, אז בע"מ דהגט חל מיד א"י, ובתנאי אם דעדיין לא חל יכול לבטל. אבל לבטל התנאי יכול לבטל בשניהם, וא"צ ליטול הגט ממנה, ולא כב"ח בסעיף כ"ב שכתב בתנאי אם א"י לבטל התנאי אא"כ נוטל הגט ממנה, וליתא ועיין ס"ס קמ"ד, ועיין ס"ס קמ"ב שם מבואר דין זה בתנאי באם אם יכול לבטל</w:t>
      </w:r>
      <w:r>
        <w:rPr>
          <w:rtl/>
        </w:rPr>
        <w:t>, ב"ש (סק"א).</w:t>
      </w:r>
    </w:p>
  </w:footnote>
  <w:footnote w:id="2373">
    <w:p w14:paraId="6F27CA93" w14:textId="77777777" w:rsidR="00C97BEF" w:rsidRDefault="00C97BEF" w:rsidP="00C97BEF">
      <w:pPr>
        <w:pStyle w:val="a5"/>
        <w:rPr>
          <w:rtl/>
        </w:rPr>
      </w:pPr>
      <w:r>
        <w:rPr>
          <w:rStyle w:val="a7"/>
        </w:rPr>
        <w:footnoteRef/>
      </w:r>
      <w:r>
        <w:rPr>
          <w:rtl/>
        </w:rPr>
        <w:t xml:space="preserve"> </w:t>
      </w:r>
      <w:r>
        <w:rPr>
          <w:rFonts w:cs="Arial"/>
          <w:rtl/>
        </w:rPr>
        <w:t>לפני מותו אינה זקוקה ליבם, רש"י.</w:t>
      </w:r>
    </w:p>
  </w:footnote>
  <w:footnote w:id="2374">
    <w:p w14:paraId="6493633C" w14:textId="77777777" w:rsidR="00C97BEF" w:rsidRDefault="00C97BEF" w:rsidP="00C97BEF">
      <w:pPr>
        <w:pStyle w:val="a5"/>
      </w:pPr>
      <w:r>
        <w:rPr>
          <w:rStyle w:val="a7"/>
        </w:rPr>
        <w:footnoteRef/>
      </w:r>
      <w:r>
        <w:rPr>
          <w:rtl/>
        </w:rPr>
        <w:t xml:space="preserve"> </w:t>
      </w:r>
      <w:r>
        <w:rPr>
          <w:rFonts w:cs="Arial"/>
          <w:rtl/>
        </w:rPr>
        <w:t>ולא סגי לה ליתן ליורשים, רש"י.</w:t>
      </w:r>
    </w:p>
  </w:footnote>
  <w:footnote w:id="2375">
    <w:p w14:paraId="0552DC20" w14:textId="77777777" w:rsidR="00C97BEF" w:rsidRDefault="00C97BEF" w:rsidP="00C97BEF">
      <w:pPr>
        <w:pStyle w:val="a5"/>
      </w:pPr>
      <w:r>
        <w:rPr>
          <w:rStyle w:val="a7"/>
        </w:rPr>
        <w:footnoteRef/>
      </w:r>
      <w:r>
        <w:rPr>
          <w:rtl/>
        </w:rPr>
        <w:t xml:space="preserve"> </w:t>
      </w:r>
      <w:r>
        <w:rPr>
          <w:rFonts w:cs="Arial"/>
          <w:rtl/>
        </w:rPr>
        <w:t>משמע אפילו ליורשים כשאיני, רש"י.</w:t>
      </w:r>
    </w:p>
  </w:footnote>
  <w:footnote w:id="2376">
    <w:p w14:paraId="56D37D9B" w14:textId="77777777" w:rsidR="00C97BEF" w:rsidRDefault="00C97BEF" w:rsidP="00C97BEF">
      <w:pPr>
        <w:pStyle w:val="a5"/>
      </w:pPr>
      <w:r>
        <w:rPr>
          <w:rStyle w:val="a7"/>
        </w:rPr>
        <w:footnoteRef/>
      </w:r>
      <w:r>
        <w:rPr>
          <w:rtl/>
        </w:rPr>
        <w:t xml:space="preserve"> </w:t>
      </w:r>
      <w:r>
        <w:rPr>
          <w:rFonts w:cs="Arial"/>
          <w:rtl/>
        </w:rPr>
        <w:t xml:space="preserve">ואיני מבין דבריו, כיון שאינה יכולה לקיים התנאי לעולם א"כ למה לא יתבטל הגט, </w:t>
      </w:r>
      <w:r>
        <w:rPr>
          <w:rFonts w:cs="Arial"/>
          <w:b/>
          <w:bCs/>
          <w:rtl/>
        </w:rPr>
        <w:t>טור</w:t>
      </w:r>
      <w:r>
        <w:rPr>
          <w:rFonts w:cs="Arial"/>
          <w:rtl/>
        </w:rPr>
        <w:t>. וכבר הליץ בעדו שם הרב המגיד</w:t>
      </w:r>
      <w:r>
        <w:rPr>
          <w:rtl/>
        </w:rPr>
        <w:t xml:space="preserve">, </w:t>
      </w:r>
      <w:r>
        <w:rPr>
          <w:b/>
          <w:bCs/>
          <w:rtl/>
        </w:rPr>
        <w:t>ב"י</w:t>
      </w:r>
      <w:r>
        <w:rPr>
          <w:rtl/>
        </w:rPr>
        <w:t>.</w:t>
      </w:r>
    </w:p>
  </w:footnote>
  <w:footnote w:id="2377">
    <w:p w14:paraId="0A86962D" w14:textId="2EB5BF53" w:rsidR="00C97BEF" w:rsidRDefault="00C97BEF" w:rsidP="00C97BEF">
      <w:pPr>
        <w:pStyle w:val="a5"/>
      </w:pPr>
      <w:r>
        <w:rPr>
          <w:rStyle w:val="a7"/>
        </w:rPr>
        <w:footnoteRef/>
      </w:r>
      <w:r>
        <w:rPr>
          <w:rtl/>
        </w:rPr>
        <w:t xml:space="preserve"> </w:t>
      </w:r>
      <w:r>
        <w:rPr>
          <w:rFonts w:cs="Arial"/>
          <w:b/>
          <w:bCs/>
          <w:rtl/>
        </w:rPr>
        <w:t>הטור</w:t>
      </w:r>
      <w:r>
        <w:rPr>
          <w:rFonts w:cs="Arial"/>
          <w:rtl/>
        </w:rPr>
        <w:t xml:space="preserve"> כתב שדעת הרמב"ם שחולצת ולא מתייבמת. וכתב על דבריו 'ולא נהירא'. וכתב </w:t>
      </w:r>
      <w:r>
        <w:rPr>
          <w:rFonts w:cs="Arial"/>
          <w:b/>
          <w:bCs/>
          <w:rtl/>
        </w:rPr>
        <w:t>הב"י</w:t>
      </w:r>
      <w:r>
        <w:rPr>
          <w:rFonts w:cs="Arial"/>
          <w:rtl/>
        </w:rPr>
        <w:t xml:space="preserve"> </w:t>
      </w:r>
      <w:r w:rsidR="000A0F5A">
        <w:rPr>
          <w:rFonts w:cs="Arial"/>
          <w:rtl/>
        </w:rPr>
        <w:t>וז"ל:</w:t>
      </w:r>
      <w:r>
        <w:rPr>
          <w:rFonts w:cs="Arial"/>
          <w:rtl/>
        </w:rPr>
        <w:t xml:space="preserve"> ורבינו שכתב דלהרמב"ם חולצת ולא מתייבמת נראה מדבריו שהוא סובר בדעת הרמב"ם שהיא ספק מגורשת, ומשום הכי כתב דלא נהירא. ולפי האמת גם להרמב"ם אינו גט, ולא כתב לא תנשא לזר עד שתחלוץ אלא מפני שלא קבע לה זמן, ובין נתנה ליורשים בין לא נתנה חולצת ולא מתייבמת דנתינה ליורשים אינה מועלת כלום, וזה ברור בדברי הרמב"ם שם, וכבר נתן הרב המגיד טעם לדבריו</w:t>
      </w:r>
      <w:r>
        <w:rPr>
          <w:rtl/>
        </w:rPr>
        <w:t>.</w:t>
      </w:r>
    </w:p>
  </w:footnote>
  <w:footnote w:id="2378">
    <w:p w14:paraId="683C0148" w14:textId="77777777" w:rsidR="00C97BEF" w:rsidRDefault="00C97BEF" w:rsidP="00C97BEF">
      <w:pPr>
        <w:pStyle w:val="a5"/>
        <w:rPr>
          <w:rtl/>
        </w:rPr>
      </w:pPr>
      <w:r>
        <w:rPr>
          <w:rStyle w:val="a7"/>
        </w:rPr>
        <w:footnoteRef/>
      </w:r>
      <w:r>
        <w:rPr>
          <w:rtl/>
        </w:rPr>
        <w:t xml:space="preserve"> </w:t>
      </w:r>
      <w:r>
        <w:rPr>
          <w:rFonts w:cs="Arial"/>
          <w:rtl/>
        </w:rPr>
        <w:t>מדברי המל"מ (פ"ג מה' זכיה ומתנה דין יו"ד) מבואר דדוקא באמר שתתני לי ומשום דמלת לי מיותרת שהיה לו לומר שתתני אבל אם באמת אמר שתתני ולא אמר לי לא אמרי' לי ולא ליורשי יעו"ש. וע' בס' שעה"מ (פ"ז מה' אישות דין יו"ד) שתמה עליו דמדברי הירוש' שהביא הרשב"א בחידושיו פ' מי שאחזו מבואר בהדיא דאפי' בע"מ שתתני גרידא אמרינן לי ולא ליורשי ע"ש. וע' בתשובת פרח מ"א (ח"א סי' ז"ח)</w:t>
      </w:r>
      <w:r>
        <w:rPr>
          <w:rtl/>
        </w:rPr>
        <w:t>, פת"ש (סק"ה).</w:t>
      </w:r>
    </w:p>
  </w:footnote>
  <w:footnote w:id="2379">
    <w:p w14:paraId="610A0531" w14:textId="66D0522F" w:rsidR="00C97BEF" w:rsidRDefault="00C97BEF" w:rsidP="00C97BEF">
      <w:pPr>
        <w:pStyle w:val="a5"/>
        <w:rPr>
          <w:rtl/>
        </w:rPr>
      </w:pPr>
      <w:r>
        <w:rPr>
          <w:rStyle w:val="a7"/>
        </w:rPr>
        <w:footnoteRef/>
      </w:r>
      <w:r>
        <w:rPr>
          <w:rtl/>
        </w:rPr>
        <w:t xml:space="preserve"> </w:t>
      </w:r>
      <w:r>
        <w:rPr>
          <w:rFonts w:cs="Arial"/>
          <w:rtl/>
        </w:rPr>
        <w:t>כל זה שפיר לשיטות הפוסקים דפסקו כרבנן בסעיף ח', אבל לי"א שהביא בהג"ה שם דפסקו כרשב"ג אז הוי בכה"ג נתקיים התנאי וע"ש מ"ש, ב"ש (סק"ה).</w:t>
      </w:r>
      <w:r>
        <w:rPr>
          <w:rtl/>
        </w:rPr>
        <w:t xml:space="preserve"> </w:t>
      </w:r>
      <w:r>
        <w:rPr>
          <w:color w:val="FF0000"/>
          <w:rtl/>
        </w:rPr>
        <w:t>וצ</w:t>
      </w:r>
      <w:r w:rsidR="00F87C4E">
        <w:rPr>
          <w:rFonts w:hint="cs"/>
          <w:color w:val="FF0000"/>
          <w:rtl/>
        </w:rPr>
        <w:t>ל</w:t>
      </w:r>
      <w:r>
        <w:rPr>
          <w:color w:val="FF0000"/>
          <w:rtl/>
        </w:rPr>
        <w:t>"ע שוב בב"ש סק"ו.</w:t>
      </w:r>
    </w:p>
  </w:footnote>
  <w:footnote w:id="2380">
    <w:p w14:paraId="58760111" w14:textId="77777777" w:rsidR="00C97BEF" w:rsidRDefault="00C97BEF" w:rsidP="00C97BEF">
      <w:pPr>
        <w:pStyle w:val="a5"/>
      </w:pPr>
      <w:r>
        <w:rPr>
          <w:rStyle w:val="a7"/>
        </w:rPr>
        <w:footnoteRef/>
      </w:r>
      <w:r>
        <w:rPr>
          <w:rtl/>
        </w:rPr>
        <w:t xml:space="preserve"> </w:t>
      </w:r>
      <w:r>
        <w:rPr>
          <w:rFonts w:cs="Arial"/>
          <w:rtl/>
        </w:rPr>
        <w:t>הקונה בית בעיר חומה היה נטמן יום שנים עשר חודש שלא ימצאנו המוכר לתת מעותיו כדי שיהא חלוט לו כדכתיב (ויקרא כה) ואם לא יגאל עד מלאת לו וגו', רש"י.</w:t>
      </w:r>
    </w:p>
  </w:footnote>
  <w:footnote w:id="2381">
    <w:p w14:paraId="4213C1F7" w14:textId="77777777" w:rsidR="00C97BEF" w:rsidRDefault="00C97BEF" w:rsidP="00C97BEF">
      <w:pPr>
        <w:pStyle w:val="a5"/>
      </w:pPr>
      <w:r>
        <w:rPr>
          <w:rStyle w:val="a7"/>
        </w:rPr>
        <w:footnoteRef/>
      </w:r>
      <w:r>
        <w:rPr>
          <w:rtl/>
        </w:rPr>
        <w:t xml:space="preserve"> </w:t>
      </w:r>
      <w:r>
        <w:rPr>
          <w:rFonts w:cs="Arial"/>
          <w:rtl/>
        </w:rPr>
        <w:t>זורק, כמו חולש על גוים (ישעיהו יד) מטיל גורל, רש"י.</w:t>
      </w:r>
    </w:p>
  </w:footnote>
  <w:footnote w:id="2382">
    <w:p w14:paraId="0B0503F0" w14:textId="77777777" w:rsidR="00C97BEF" w:rsidRDefault="00C97BEF" w:rsidP="00C97BEF">
      <w:pPr>
        <w:pStyle w:val="a5"/>
      </w:pPr>
      <w:r>
        <w:rPr>
          <w:rStyle w:val="a7"/>
        </w:rPr>
        <w:footnoteRef/>
      </w:r>
      <w:r>
        <w:rPr>
          <w:rtl/>
        </w:rPr>
        <w:t xml:space="preserve"> </w:t>
      </w:r>
      <w:r>
        <w:rPr>
          <w:rFonts w:cs="Arial"/>
          <w:rtl/>
        </w:rPr>
        <w:t>מתוקנת לכך, רש"י.</w:t>
      </w:r>
    </w:p>
  </w:footnote>
  <w:footnote w:id="2383">
    <w:p w14:paraId="5A74D48B" w14:textId="77777777" w:rsidR="00C97BEF" w:rsidRDefault="00C97BEF" w:rsidP="00C97BEF">
      <w:pPr>
        <w:pStyle w:val="a5"/>
      </w:pPr>
      <w:r>
        <w:rPr>
          <w:rStyle w:val="a7"/>
        </w:rPr>
        <w:footnoteRef/>
      </w:r>
      <w:r>
        <w:rPr>
          <w:rtl/>
        </w:rPr>
        <w:t xml:space="preserve"> </w:t>
      </w:r>
      <w:r>
        <w:rPr>
          <w:rFonts w:cs="Arial"/>
          <w:rtl/>
        </w:rPr>
        <w:t>של ביתו ונכנס, רש"י.</w:t>
      </w:r>
    </w:p>
  </w:footnote>
  <w:footnote w:id="2384">
    <w:p w14:paraId="4F0AC7D7" w14:textId="77777777" w:rsidR="00C97BEF" w:rsidRDefault="00C97BEF" w:rsidP="00C97BEF">
      <w:pPr>
        <w:pStyle w:val="a5"/>
      </w:pPr>
      <w:r>
        <w:rPr>
          <w:rStyle w:val="a7"/>
        </w:rPr>
        <w:footnoteRef/>
      </w:r>
      <w:r>
        <w:rPr>
          <w:rtl/>
        </w:rPr>
        <w:t xml:space="preserve"> </w:t>
      </w:r>
      <w:r>
        <w:rPr>
          <w:rFonts w:cs="Arial"/>
          <w:rtl/>
        </w:rPr>
        <w:t>דאיצטריך לתקוני נתינה על כרחו תהא נתינה, רש"י.</w:t>
      </w:r>
    </w:p>
  </w:footnote>
  <w:footnote w:id="2385">
    <w:p w14:paraId="6BA159CC" w14:textId="77777777" w:rsidR="00C97BEF" w:rsidRDefault="00C97BEF" w:rsidP="00C97BEF">
      <w:pPr>
        <w:pStyle w:val="a5"/>
      </w:pPr>
      <w:r>
        <w:rPr>
          <w:rStyle w:val="a7"/>
        </w:rPr>
        <w:footnoteRef/>
      </w:r>
      <w:r>
        <w:rPr>
          <w:rtl/>
        </w:rPr>
        <w:t xml:space="preserve"> </w:t>
      </w:r>
      <w:r>
        <w:rPr>
          <w:rFonts w:cs="Arial"/>
          <w:rtl/>
        </w:rPr>
        <w:t>וגבי גט דאיסורא הוא לא תקין הלל, רש"י.</w:t>
      </w:r>
    </w:p>
  </w:footnote>
  <w:footnote w:id="2386">
    <w:p w14:paraId="27FEC705" w14:textId="0C2DB983" w:rsidR="00C97BEF" w:rsidRDefault="00C97BEF" w:rsidP="00C97BEF">
      <w:pPr>
        <w:pStyle w:val="a5"/>
      </w:pPr>
      <w:r>
        <w:rPr>
          <w:rStyle w:val="a7"/>
        </w:rPr>
        <w:footnoteRef/>
      </w:r>
      <w:r>
        <w:rPr>
          <w:rtl/>
        </w:rPr>
        <w:t xml:space="preserve"> </w:t>
      </w:r>
      <w:r>
        <w:rPr>
          <w:rFonts w:cs="Arial"/>
          <w:rtl/>
        </w:rPr>
        <w:t>הרא"ש והטור כתבו בשם הרמב"ם דהויא ספק מגורשת. וכתב על זה הרא"ש</w:t>
      </w:r>
      <w:r w:rsidR="00A26726">
        <w:rPr>
          <w:rFonts w:cs="Arial" w:hint="cs"/>
          <w:rtl/>
        </w:rPr>
        <w:t>:</w:t>
      </w:r>
      <w:r>
        <w:rPr>
          <w:rFonts w:cs="Arial"/>
          <w:rtl/>
        </w:rPr>
        <w:t xml:space="preserve"> 'וטוב להחמיר'. וכתב הב"י דאפשר שכך היו גורסים בספרי הרמב"ם, אבל בנוסחאות שלנו כתוב (פ"ח הכ"א)</w:t>
      </w:r>
      <w:r w:rsidR="00A26726">
        <w:rPr>
          <w:rFonts w:cs="Arial" w:hint="cs"/>
          <w:rtl/>
        </w:rPr>
        <w:t>:</w:t>
      </w:r>
      <w:r>
        <w:rPr>
          <w:rFonts w:cs="Arial"/>
          <w:rtl/>
        </w:rPr>
        <w:t xml:space="preserve"> 'הרי זה גט פסול עד שתתן מדעתו'. והיינו מדרבנן, כמבואר בדבריו (פ"י ה"ב) דכל מקום שכתב פסול היינו מדרבנן. וכן היא גירסת הרב המגיד, וגם הר"ן כתב בפרק מי שאחזו (שם) בשם הרמב"ם כדברי הרב המגיד. וכתבו הם ז"ל שדעתו כדעת רבינו האי אלא שרצה להחמיר בערוה החמורה, ב"י.</w:t>
      </w:r>
    </w:p>
  </w:footnote>
  <w:footnote w:id="2387">
    <w:p w14:paraId="7425D179" w14:textId="77777777" w:rsidR="00C97BEF" w:rsidRDefault="00C97BEF" w:rsidP="00C97BEF">
      <w:pPr>
        <w:pStyle w:val="a5"/>
        <w:rPr>
          <w:rtl/>
        </w:rPr>
      </w:pPr>
      <w:r>
        <w:rPr>
          <w:rStyle w:val="a7"/>
        </w:rPr>
        <w:footnoteRef/>
      </w:r>
      <w:r>
        <w:rPr>
          <w:rtl/>
        </w:rPr>
        <w:t xml:space="preserve"> </w:t>
      </w:r>
      <w:r>
        <w:rPr>
          <w:rFonts w:hint="cs"/>
          <w:rtl/>
        </w:rPr>
        <w:t xml:space="preserve">ועי' בהמשך הדברים בב"י שכן מוכח בתוס' וברמב"ם. </w:t>
      </w:r>
    </w:p>
  </w:footnote>
  <w:footnote w:id="2388">
    <w:p w14:paraId="69E1F3CF" w14:textId="0424D8B7"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הרי זה גיטיך על מנת שתתני לי כלי פלוני או בגד פלוני ואבד אותו כלי או אותו בגד או נגנב אע</w:t>
      </w:r>
      <w:r w:rsidR="00E47FBF">
        <w:rPr>
          <w:rFonts w:cs="Arial" w:hint="cs"/>
          <w:rtl/>
        </w:rPr>
        <w:t>"</w:t>
      </w:r>
      <w:r>
        <w:rPr>
          <w:rFonts w:cs="Arial"/>
          <w:rtl/>
        </w:rPr>
        <w:t>פ שנתנה לו אלף בדמיו אינו גט עד שתתן אותו כלי או אותו בגד עצמו</w:t>
      </w:r>
      <w:r w:rsidR="00E47FBF">
        <w:rPr>
          <w:rFonts w:cs="Arial" w:hint="cs"/>
          <w:rtl/>
        </w:rPr>
        <w:t>,</w:t>
      </w:r>
      <w:r>
        <w:rPr>
          <w:rFonts w:cs="Arial"/>
          <w:rtl/>
        </w:rPr>
        <w:t xml:space="preserve"> </w:t>
      </w:r>
      <w:r>
        <w:rPr>
          <w:rFonts w:cs="Arial"/>
          <w:b/>
          <w:bCs/>
          <w:rtl/>
        </w:rPr>
        <w:t>או עד שיבטל התנאי</w:t>
      </w:r>
      <w:r>
        <w:rPr>
          <w:rFonts w:cs="Arial"/>
          <w:rtl/>
        </w:rPr>
        <w:t>.</w:t>
      </w:r>
    </w:p>
  </w:footnote>
  <w:footnote w:id="2389">
    <w:p w14:paraId="1C5338EC" w14:textId="77777777" w:rsidR="00C97BEF" w:rsidRDefault="00C97BEF" w:rsidP="00C97BEF">
      <w:pPr>
        <w:pStyle w:val="a5"/>
        <w:rPr>
          <w:rtl/>
        </w:rPr>
      </w:pPr>
      <w:r>
        <w:rPr>
          <w:rStyle w:val="a7"/>
        </w:rPr>
        <w:footnoteRef/>
      </w:r>
      <w:r>
        <w:rPr>
          <w:rtl/>
        </w:rPr>
        <w:t xml:space="preserve"> </w:t>
      </w:r>
      <w:r>
        <w:rPr>
          <w:rFonts w:cs="Arial"/>
          <w:rtl/>
        </w:rPr>
        <w:t>אפי' אם מת אחר כך, ולא כהראב"ד שם. ומשמע מכל הפוסקים דאין כאן ספק גט אלא הגט בטל בוודאי ולא מהני מחילה, ומה שכתב ב"ח בשם רש"י דהיא ספק מגורשת אין מוכרח, די"ל דכוונתו מספיקא דאין יודעים כוונתו אמרינן מסתמא כוונתו לצעורי והגט בטל בודאי, ב"ש (סק"ח).</w:t>
      </w:r>
    </w:p>
  </w:footnote>
  <w:footnote w:id="2390">
    <w:p w14:paraId="3FBB7EB7" w14:textId="09DFB931" w:rsidR="00C97BEF" w:rsidRDefault="00C97BEF" w:rsidP="00C97BEF">
      <w:pPr>
        <w:pStyle w:val="a5"/>
      </w:pPr>
      <w:r>
        <w:rPr>
          <w:rStyle w:val="a7"/>
        </w:rPr>
        <w:footnoteRef/>
      </w:r>
      <w:r>
        <w:rPr>
          <w:rtl/>
        </w:rPr>
        <w:t xml:space="preserve"> </w:t>
      </w:r>
      <w:r>
        <w:rPr>
          <w:rFonts w:cs="Arial"/>
          <w:rtl/>
        </w:rPr>
        <w:t>ורי"ו (ח"א נכד רא ע"ג) כתב על דברי הרא"ש וכן כתב הרמב"ם. ונ"ל שאין ענין זה לזה שדברי הרמב"ם בפ"ח כך הם</w:t>
      </w:r>
      <w:r w:rsidR="00F87C4E">
        <w:rPr>
          <w:rFonts w:cs="Arial" w:hint="cs"/>
          <w:rtl/>
        </w:rPr>
        <w:t>:</w:t>
      </w:r>
      <w:r>
        <w:rPr>
          <w:rFonts w:cs="Arial"/>
          <w:rtl/>
        </w:rPr>
        <w:t xml:space="preserve"> הרי זה גיטך על מנת שתתני לי כלי פלוני וכו' אינו גט עד שתתן אותו כלי או אותו בגד בעצמו או עד שיבטל התנאי עכ"ל, כלומר שיאמר ליהוי גיטא בלא שום תנאי, וכן פירש הרב המגיד, וכל שאומר כן אפילו במחולים לך מהני וכמ"ש שם הרב המגיד, אבל דברי הרא"ש הם ברוצה בקיום התנאי אלא שהוא נוטל דמים תמורת האיצטלית ובכי הא לא שמעינן ליה להרמב"ם דאמר, ב"י.</w:t>
      </w:r>
    </w:p>
  </w:footnote>
  <w:footnote w:id="2391">
    <w:p w14:paraId="16F9092D" w14:textId="77777777" w:rsidR="00C97BEF" w:rsidRDefault="00C97BEF" w:rsidP="00C97BEF">
      <w:pPr>
        <w:pStyle w:val="a5"/>
        <w:rPr>
          <w:rtl/>
        </w:rPr>
      </w:pPr>
      <w:r>
        <w:rPr>
          <w:rStyle w:val="a7"/>
        </w:rPr>
        <w:footnoteRef/>
      </w:r>
      <w:r>
        <w:rPr>
          <w:rtl/>
        </w:rPr>
        <w:t xml:space="preserve"> </w:t>
      </w:r>
      <w:r>
        <w:rPr>
          <w:rFonts w:cs="Arial"/>
          <w:rtl/>
        </w:rPr>
        <w:t>שיהא לולד שתי שנים שכך הוא זמן הנקתו ולענין לשמש את אביו כל ימי חייו</w:t>
      </w:r>
      <w:r>
        <w:rPr>
          <w:rtl/>
        </w:rPr>
        <w:t>, רש"י.</w:t>
      </w:r>
    </w:p>
  </w:footnote>
  <w:footnote w:id="2392">
    <w:p w14:paraId="6AE1BCE4" w14:textId="77777777" w:rsidR="00C97BEF" w:rsidRDefault="00C97BEF" w:rsidP="00C97BEF">
      <w:pPr>
        <w:pStyle w:val="a5"/>
        <w:rPr>
          <w:rtl/>
        </w:rPr>
      </w:pPr>
      <w:r>
        <w:rPr>
          <w:rStyle w:val="a7"/>
        </w:rPr>
        <w:footnoteRef/>
      </w:r>
      <w:r>
        <w:rPr>
          <w:rtl/>
        </w:rPr>
        <w:t xml:space="preserve"> </w:t>
      </w:r>
      <w:r>
        <w:rPr>
          <w:rFonts w:cs="Arial"/>
          <w:rtl/>
        </w:rPr>
        <w:t>לר' יהודה זמן הנקת תינוק עד שיהו לו י"ח חדשים בכתובות בפרק אף על פי (ס:)</w:t>
      </w:r>
      <w:r>
        <w:rPr>
          <w:rtl/>
        </w:rPr>
        <w:t>, רש"י.</w:t>
      </w:r>
    </w:p>
  </w:footnote>
  <w:footnote w:id="2393">
    <w:p w14:paraId="711863D9" w14:textId="77777777" w:rsidR="00C97BEF" w:rsidRDefault="00C97BEF" w:rsidP="00C97BEF">
      <w:pPr>
        <w:pStyle w:val="a5"/>
        <w:rPr>
          <w:rtl/>
        </w:rPr>
      </w:pPr>
      <w:r>
        <w:rPr>
          <w:rStyle w:val="a7"/>
        </w:rPr>
        <w:footnoteRef/>
      </w:r>
      <w:r>
        <w:rPr>
          <w:rtl/>
        </w:rPr>
        <w:t xml:space="preserve"> </w:t>
      </w:r>
      <w:r>
        <w:rPr>
          <w:rFonts w:cs="Arial"/>
          <w:rtl/>
        </w:rPr>
        <w:t>קודם הזמן או מת האב, רש"י.</w:t>
      </w:r>
    </w:p>
  </w:footnote>
  <w:footnote w:id="2394">
    <w:p w14:paraId="4FBB60C3" w14:textId="77777777" w:rsidR="00C97BEF" w:rsidRDefault="00C97BEF" w:rsidP="00C97BEF">
      <w:pPr>
        <w:pStyle w:val="a5"/>
      </w:pPr>
      <w:r>
        <w:rPr>
          <w:rStyle w:val="a7"/>
        </w:rPr>
        <w:footnoteRef/>
      </w:r>
      <w:r>
        <w:rPr>
          <w:rtl/>
        </w:rPr>
        <w:t xml:space="preserve"> </w:t>
      </w:r>
      <w:r>
        <w:rPr>
          <w:rFonts w:cs="Arial"/>
          <w:rtl/>
        </w:rPr>
        <w:t>דכיון דלא פריש מידי לא איכוון אלא להרווחה כל ימים שהוא צריך ומכאן ואילך אינו צריך, רש"י.</w:t>
      </w:r>
    </w:p>
  </w:footnote>
  <w:footnote w:id="2395">
    <w:p w14:paraId="627BE617" w14:textId="77777777" w:rsidR="00C97BEF" w:rsidRDefault="00C97BEF" w:rsidP="00C97BEF">
      <w:pPr>
        <w:pStyle w:val="a5"/>
      </w:pPr>
      <w:r>
        <w:rPr>
          <w:rStyle w:val="a7"/>
        </w:rPr>
        <w:footnoteRef/>
      </w:r>
      <w:r>
        <w:rPr>
          <w:rtl/>
        </w:rPr>
        <w:t xml:space="preserve"> </w:t>
      </w:r>
      <w:r>
        <w:rPr>
          <w:rFonts w:cs="Arial"/>
          <w:rtl/>
        </w:rPr>
        <w:t>היא לא הכעיסתו ואפי' הכי שאין העכבה הימנה אינו גט, וכ"ש אם בהקפדה, רש"י.</w:t>
      </w:r>
    </w:p>
  </w:footnote>
  <w:footnote w:id="2396">
    <w:p w14:paraId="4636E49C" w14:textId="77777777" w:rsidR="00C97BEF" w:rsidRDefault="00C97BEF" w:rsidP="00C97BEF">
      <w:pPr>
        <w:pStyle w:val="a5"/>
      </w:pPr>
      <w:r>
        <w:rPr>
          <w:rStyle w:val="a7"/>
        </w:rPr>
        <w:footnoteRef/>
      </w:r>
      <w:r>
        <w:rPr>
          <w:rtl/>
        </w:rPr>
        <w:t xml:space="preserve"> </w:t>
      </w:r>
      <w:r>
        <w:rPr>
          <w:rFonts w:cs="Arial"/>
          <w:rtl/>
        </w:rPr>
        <w:t>דאמר לעיל (עד.) תתן דמיה, אלמא להרווחה מיכוון ולאו דוקא קאמר, הא נמי להרווחה איכוון וכל זמן שהוא צריך לינק קאמר, רש"י.</w:t>
      </w:r>
    </w:p>
  </w:footnote>
  <w:footnote w:id="2397">
    <w:p w14:paraId="42ED0FDC" w14:textId="77777777" w:rsidR="00C97BEF" w:rsidRDefault="00C97BEF" w:rsidP="00C97BEF">
      <w:pPr>
        <w:pStyle w:val="a5"/>
      </w:pPr>
      <w:r>
        <w:rPr>
          <w:rStyle w:val="a7"/>
        </w:rPr>
        <w:footnoteRef/>
      </w:r>
      <w:r>
        <w:rPr>
          <w:rtl/>
        </w:rPr>
        <w:t xml:space="preserve"> </w:t>
      </w:r>
      <w:r>
        <w:rPr>
          <w:rFonts w:cs="Arial"/>
          <w:rtl/>
        </w:rPr>
        <w:t>דאמרי (גיטין עד:) אצטלית דוקא, הכא נמי שימוש והנקה דוקא, וביום אחד סגי, רש"י.</w:t>
      </w:r>
    </w:p>
  </w:footnote>
  <w:footnote w:id="2398">
    <w:p w14:paraId="1B8646F0" w14:textId="77777777" w:rsidR="00C97BEF" w:rsidRDefault="00C97BEF" w:rsidP="00C97BEF">
      <w:pPr>
        <w:pStyle w:val="a5"/>
      </w:pPr>
      <w:r>
        <w:rPr>
          <w:rStyle w:val="a7"/>
        </w:rPr>
        <w:footnoteRef/>
      </w:r>
      <w:r>
        <w:rPr>
          <w:rtl/>
        </w:rPr>
        <w:t xml:space="preserve"> </w:t>
      </w:r>
      <w:r>
        <w:rPr>
          <w:rFonts w:cs="Arial"/>
          <w:rtl/>
        </w:rPr>
        <w:t>דאמר תתן דמיה וקאמר נמי כל עכבה שאינה הימנה ה"ז גט, רש"י.</w:t>
      </w:r>
    </w:p>
  </w:footnote>
  <w:footnote w:id="2399">
    <w:p w14:paraId="095C1AC4" w14:textId="77777777" w:rsidR="00C97BEF" w:rsidRDefault="00C97BEF" w:rsidP="00C97BEF">
      <w:pPr>
        <w:pStyle w:val="a5"/>
      </w:pPr>
      <w:r>
        <w:rPr>
          <w:rStyle w:val="a7"/>
        </w:rPr>
        <w:footnoteRef/>
      </w:r>
      <w:r>
        <w:rPr>
          <w:rtl/>
        </w:rPr>
        <w:t xml:space="preserve"> </w:t>
      </w:r>
      <w:r>
        <w:rPr>
          <w:rFonts w:cs="Arial"/>
          <w:rtl/>
        </w:rPr>
        <w:t>מתני' דאמר שתי שנים תניקי - בסתם, וברייתא - במפרש יום אחד, רש"י.</w:t>
      </w:r>
    </w:p>
  </w:footnote>
  <w:footnote w:id="2400">
    <w:p w14:paraId="2D7B7FCF" w14:textId="77777777" w:rsidR="00C97BEF" w:rsidRDefault="00C97BEF" w:rsidP="00C97BEF">
      <w:pPr>
        <w:pStyle w:val="a5"/>
      </w:pPr>
      <w:r>
        <w:rPr>
          <w:rStyle w:val="a7"/>
        </w:rPr>
        <w:footnoteRef/>
      </w:r>
      <w:r>
        <w:rPr>
          <w:rtl/>
        </w:rPr>
        <w:t xml:space="preserve"> </w:t>
      </w:r>
      <w:r>
        <w:rPr>
          <w:rFonts w:cs="Arial"/>
          <w:rtl/>
        </w:rPr>
        <w:t>ברייתא בסתם, דכל סתם כמפרש יום אחד דמי. ומתני' רב אשי משני לה לקמיה. ורב אשי לאו לשנויי מתניתין וברייתא אתא, אלא לאפלוגי עליה דרבא דאמר סתם שתי שנים</w:t>
      </w:r>
      <w:r>
        <w:rPr>
          <w:rtl/>
        </w:rPr>
        <w:t>, רש"י.</w:t>
      </w:r>
    </w:p>
  </w:footnote>
  <w:footnote w:id="2401">
    <w:p w14:paraId="75E30149" w14:textId="77777777" w:rsidR="00C97BEF" w:rsidRDefault="00C97BEF" w:rsidP="00C97BEF">
      <w:pPr>
        <w:pStyle w:val="a5"/>
        <w:rPr>
          <w:rtl/>
        </w:rPr>
      </w:pPr>
      <w:r>
        <w:rPr>
          <w:rStyle w:val="a7"/>
        </w:rPr>
        <w:footnoteRef/>
      </w:r>
      <w:r>
        <w:rPr>
          <w:rtl/>
        </w:rPr>
        <w:t xml:space="preserve"> </w:t>
      </w:r>
      <w:r>
        <w:rPr>
          <w:rFonts w:cs="Arial"/>
          <w:rtl/>
        </w:rPr>
        <w:t>דאוקי רישא דמתני' ב' שנים ממש ואף על גב דסתם, רש"י.</w:t>
      </w:r>
    </w:p>
  </w:footnote>
  <w:footnote w:id="2402">
    <w:p w14:paraId="20B54C9A" w14:textId="77777777" w:rsidR="00C97BEF" w:rsidRDefault="00C97BEF" w:rsidP="00C97BEF">
      <w:pPr>
        <w:pStyle w:val="a5"/>
      </w:pPr>
      <w:r>
        <w:rPr>
          <w:rStyle w:val="a7"/>
        </w:rPr>
        <w:footnoteRef/>
      </w:r>
      <w:r>
        <w:rPr>
          <w:rtl/>
        </w:rPr>
        <w:t xml:space="preserve"> </w:t>
      </w:r>
      <w:r>
        <w:rPr>
          <w:rFonts w:cs="Arial"/>
          <w:rtl/>
        </w:rPr>
        <w:t>דקאמר מת הבן בתוך שתי שנים ה"ז גט, רש"י.</w:t>
      </w:r>
    </w:p>
  </w:footnote>
  <w:footnote w:id="2403">
    <w:p w14:paraId="664865D1" w14:textId="77777777" w:rsidR="00C97BEF" w:rsidRDefault="00C97BEF" w:rsidP="00C97BEF">
      <w:pPr>
        <w:pStyle w:val="a5"/>
      </w:pPr>
      <w:r>
        <w:rPr>
          <w:rStyle w:val="a7"/>
        </w:rPr>
        <w:footnoteRef/>
      </w:r>
      <w:r>
        <w:rPr>
          <w:rtl/>
        </w:rPr>
        <w:t xml:space="preserve"> </w:t>
      </w:r>
      <w:r>
        <w:rPr>
          <w:rFonts w:cs="Arial"/>
          <w:rtl/>
        </w:rPr>
        <w:t>ב' שנים והרי הניקתו כל צרכו</w:t>
      </w:r>
      <w:r>
        <w:rPr>
          <w:rtl/>
        </w:rPr>
        <w:t>, רש"י.</w:t>
      </w:r>
    </w:p>
  </w:footnote>
  <w:footnote w:id="2404">
    <w:p w14:paraId="0276F3C6" w14:textId="77777777" w:rsidR="00C97BEF" w:rsidRDefault="00C97BEF" w:rsidP="00C97BEF">
      <w:pPr>
        <w:pStyle w:val="a5"/>
        <w:rPr>
          <w:rtl/>
        </w:rPr>
      </w:pPr>
      <w:r>
        <w:rPr>
          <w:rStyle w:val="a7"/>
        </w:rPr>
        <w:footnoteRef/>
      </w:r>
      <w:r>
        <w:rPr>
          <w:rtl/>
        </w:rPr>
        <w:t xml:space="preserve"> </w:t>
      </w:r>
      <w:r>
        <w:rPr>
          <w:rFonts w:cs="Arial"/>
          <w:rtl/>
        </w:rPr>
        <w:t>על כרחיך דוקא קאמר דהא לא איצטריך לפרושי ופריש</w:t>
      </w:r>
      <w:r>
        <w:rPr>
          <w:rtl/>
        </w:rPr>
        <w:t>, רש"י.</w:t>
      </w:r>
    </w:p>
  </w:footnote>
  <w:footnote w:id="2405">
    <w:p w14:paraId="2872952C" w14:textId="77777777" w:rsidR="00C97BEF" w:rsidRDefault="00C97BEF" w:rsidP="00C97BEF">
      <w:pPr>
        <w:pStyle w:val="a5"/>
        <w:rPr>
          <w:rtl/>
        </w:rPr>
      </w:pPr>
      <w:r>
        <w:rPr>
          <w:rStyle w:val="a7"/>
        </w:rPr>
        <w:footnoteRef/>
      </w:r>
      <w:r>
        <w:rPr>
          <w:rtl/>
        </w:rPr>
        <w:t xml:space="preserve"> </w:t>
      </w:r>
      <w:r>
        <w:rPr>
          <w:rFonts w:cs="Arial"/>
          <w:rtl/>
        </w:rPr>
        <w:t>דאמר רישא דמתני' יום אחד קאמר, על כרחך מת הבן או האב דקתני כגון שמת ולא הניקתו כלל, ואמאי ה"ז גט, הרי לא נתקיים כלום מן התנאי</w:t>
      </w:r>
      <w:r>
        <w:rPr>
          <w:rtl/>
        </w:rPr>
        <w:t xml:space="preserve">, </w:t>
      </w:r>
      <w:r>
        <w:rPr>
          <w:b/>
          <w:bCs/>
          <w:rtl/>
        </w:rPr>
        <w:t>רש"י</w:t>
      </w:r>
      <w:r>
        <w:rPr>
          <w:rtl/>
        </w:rPr>
        <w:t>.</w:t>
      </w:r>
      <w:r>
        <w:rPr>
          <w:rFonts w:cs="Arial"/>
          <w:rtl/>
        </w:rPr>
        <w:t xml:space="preserve">      והתוספות (עו. ד"ה בשלמא) כתבו דאין נראה, דלכולי עלמא מת הבן היינו שלא הניקתו כלל, ונראה לר"י לפרש בשלמא לרבא וכו', וסיפא בדפריש - דהואיל ופירש שתי שנים ודאי לצעורה קא מיכוין ואפילו מת אינו גט. אלא לרב אשי כיון דרישא נמי הוי במפרש יום אחד, הרי נמי נתכוין לצעורה כיון דפירש ואפילו מת לא ליהוי גט כמו בסיפא. והרשב"א (עה: ד"ה מתניתין) כתב תחלה כדעת התוספות דמת הבן אפילו קודם שהתחילה להניקו הוי גט לפי שלא נתכוין זה אלא שתניק את הבן כל זמן שיצטרך לינק והא לא איצטריך, וחזר ונסתפק בדבר מפני שמצא שהוא מחלוקת בירושלמי (פ"ז ה"ו). ומכל מקום כתב (עו. ד"ה ובירושלמי) שדעת התוספות נראה לו עיקר, ומיהו במפרש יום אחד גם התוספות מודים שאפילו מת ולא הניקתו ולא שימשתו כלל דאינו גט, וכן כתבו בהדיא. והרא"ש (סי' י) כתב כפירוש רש"י דמת הבן או האב היינו דוקא אחר הנקה ושימוש, ושכן מפרש בירושלמי, וכן דעת הרמב"ם בפרק ח' (הי"ט)... וכתב הר"ן (לז. ד"ה והלכתא)- ונמצינו למדין לפי שיטת רש"י, שלדברי מי שפוסק כרבא, מת הבן קודם שהתחילה להניק - אינו גט, ולרב אשי - הרי זה גט. אבל ר"י סובר דאפילו לרבא מת קודם שהתחילה להניק הרי זה גט והכי קאמר בשלמא לרבא וכו', ונמצא לפי שיטה זו דבין לרבא בין לרב אשי מת קודם שהתחילה להניק - הרי זה גט. והרמב"ם פסק בפ"ח מהלכות גירושין כרב אשי, אלא שכתב 'מת האב או הבן קודם שתניק או תשמש אינו גט'. והוא מן התימה, דמשמע דלרב אשי אף על פי שלא התחילה להניק כלל כיון שמת הרי זה גט על הדרך שפירשנו. ונראה שהוא ז"ל היה מפרש כך: בין לרבא בין לרב אשי בעינן שיתקיים התנאי בהנקה, ומשום הכי בשלמא לרבא, רישא כיון דלא פריש והתחילה להניקו הרי נתקיים, וסיפא דפריש כיון שמתו האב והבן בתוך הזמן לא נתקיים, אלא לרב אשי על כרחין רישא בהניקתו יום אחד עסקינן, דאי לא הניקתו כלל אפילו ברישא לא הוי גט שהרי לא נתקיים, וכיון שכן מאי שנא רישא ומאי שנא סיפא. כלומר כיון דברישא לא הוי גט אלא כשנתקיים, בסיפא נמי אילו נתקיים הוי גט, ואמאי תנא ברישא הרי זה גט ובסיפא אינו גט, דכאן וכאן, נתקיים התנאי הרי זה גט, לא נתקיים אינו גט. רב אשי אמר לך אין הכי נמי, וכי תנן מת הבן או מת האב הרי זה גט אתא לאשמועינן דסתם כמפרש יום אחד דמי, והכי קאמר- כל שהתחילה להניקו, מת הרי זה גט, והוא הדין נמי לא מת אלא דתנא הכי אגב סיפא. ונמצא לפי שיטה זו בין לרבא בין לרב אשי כל שלא התחילה להניקו ומת - אינו גט עכ"ל. וכדברי הר"ן פירש גם הרב המגיד דברי הרמב"ם, </w:t>
      </w:r>
      <w:r>
        <w:rPr>
          <w:rFonts w:cs="Arial"/>
          <w:b/>
          <w:bCs/>
          <w:rtl/>
        </w:rPr>
        <w:t>ב"י</w:t>
      </w:r>
      <w:r>
        <w:rPr>
          <w:rFonts w:cs="Arial"/>
          <w:rtl/>
        </w:rPr>
        <w:t>.</w:t>
      </w:r>
    </w:p>
  </w:footnote>
  <w:footnote w:id="2406">
    <w:p w14:paraId="4ED19333" w14:textId="1CF48C87" w:rsidR="00C97BEF" w:rsidRDefault="00C97BEF" w:rsidP="00C97BEF">
      <w:pPr>
        <w:pStyle w:val="a5"/>
        <w:rPr>
          <w:rtl/>
        </w:rPr>
      </w:pPr>
      <w:r>
        <w:rPr>
          <w:rStyle w:val="a7"/>
        </w:rPr>
        <w:footnoteRef/>
      </w:r>
      <w:r>
        <w:rPr>
          <w:rtl/>
        </w:rPr>
        <w:t xml:space="preserve"> </w:t>
      </w:r>
      <w:r>
        <w:rPr>
          <w:rFonts w:cs="Arial"/>
          <w:rtl/>
        </w:rPr>
        <w:t xml:space="preserve">משמע דספוקי מספקא ליה, ובמאי דאיכא בין רבא לרב אשי הויא ספק מגורשת, </w:t>
      </w:r>
      <w:r>
        <w:rPr>
          <w:rFonts w:cs="Arial"/>
          <w:b/>
          <w:bCs/>
          <w:rtl/>
        </w:rPr>
        <w:t>ב"י</w:t>
      </w:r>
      <w:r>
        <w:rPr>
          <w:rFonts w:cs="Arial"/>
          <w:rtl/>
        </w:rPr>
        <w:t xml:space="preserve">.     וע' בס' קרבן נתנאל (פ' מי שאחזו אות נט) שהשיג עליו וכתב </w:t>
      </w:r>
      <w:r w:rsidR="000A0F5A">
        <w:rPr>
          <w:rFonts w:cs="Arial"/>
          <w:rtl/>
        </w:rPr>
        <w:t>וז"ל:</w:t>
      </w:r>
      <w:r>
        <w:rPr>
          <w:rFonts w:cs="Arial"/>
          <w:rtl/>
        </w:rPr>
        <w:t xml:space="preserve"> ואני אומר נשתקע הדבר ולא נאמר אלא ה"פ דבגט לצעורה קא מכווין לכך אנו דנין לשונו להחמיר משא"כ לענין ממון כו' ואשתמיטתיה להרב"י תשובת הרא"ש כלל ו' סימן י"ד שמבואר שם להדיא כמו שפירשתי עכ"ל. ומיהו לדינא אין נ"מ בזה דאף אם הפירוש בדברי הרא"ש כדבריו מ"מ הוי ספק מגורשת משום דעת הרי"ף והרמב"ם, </w:t>
      </w:r>
      <w:r>
        <w:rPr>
          <w:rFonts w:cs="Arial"/>
          <w:b/>
          <w:bCs/>
          <w:rtl/>
        </w:rPr>
        <w:t>פת"ש</w:t>
      </w:r>
      <w:r>
        <w:rPr>
          <w:rFonts w:cs="Arial"/>
          <w:rtl/>
        </w:rPr>
        <w:t xml:space="preserve"> (סק"ח).</w:t>
      </w:r>
    </w:p>
  </w:footnote>
  <w:footnote w:id="2407">
    <w:p w14:paraId="5908F0AE" w14:textId="77777777" w:rsidR="00C97BEF" w:rsidRDefault="00C97BEF" w:rsidP="00C97BEF">
      <w:pPr>
        <w:pStyle w:val="a5"/>
        <w:rPr>
          <w:rtl/>
        </w:rPr>
      </w:pPr>
      <w:r>
        <w:rPr>
          <w:rStyle w:val="a7"/>
        </w:rPr>
        <w:footnoteRef/>
      </w:r>
      <w:r>
        <w:rPr>
          <w:rtl/>
        </w:rPr>
        <w:t xml:space="preserve"> </w:t>
      </w:r>
      <w:r>
        <w:rPr>
          <w:rFonts w:cs="Arial"/>
          <w:rtl/>
        </w:rPr>
        <w:t>הרמב"ם חולק בזה אם הוא תנאי במעכשיו או על מנת כמ"ש בסוף סימן זה (סד.), ב"י.</w:t>
      </w:r>
    </w:p>
  </w:footnote>
  <w:footnote w:id="2408">
    <w:p w14:paraId="4706254B" w14:textId="77777777" w:rsidR="00C97BEF" w:rsidRDefault="00C97BEF" w:rsidP="00C97BEF">
      <w:pPr>
        <w:pStyle w:val="a5"/>
      </w:pPr>
      <w:r>
        <w:rPr>
          <w:rStyle w:val="a7"/>
        </w:rPr>
        <w:footnoteRef/>
      </w:r>
      <w:r>
        <w:rPr>
          <w:rFonts w:cs="Arial"/>
          <w:rtl/>
        </w:rPr>
        <w:t xml:space="preserve"> </w:t>
      </w:r>
      <w:r>
        <w:rPr>
          <w:rFonts w:cs="Arial" w:hint="cs"/>
          <w:rtl/>
        </w:rPr>
        <w:t xml:space="preserve">ותוכל ללמוד זה ממה שפירש"י ז"ל במאי דפרכינן אלא לרב אשי מאי שנא רישא ומ"ש סיפא דאי יום אחד דוקא לא הוה פריך ליה מידי לפי שיטתו ומכל מקום לדברי כולם יום אחד לאו דוקא אלא אפילו שעה אחת, </w:t>
      </w:r>
      <w:r>
        <w:rPr>
          <w:rFonts w:cs="Arial" w:hint="cs"/>
          <w:b/>
          <w:bCs/>
          <w:rtl/>
        </w:rPr>
        <w:t>ר"ן</w:t>
      </w:r>
      <w:r>
        <w:rPr>
          <w:rFonts w:cs="Arial" w:hint="cs"/>
          <w:rtl/>
        </w:rPr>
        <w:t xml:space="preserve"> (שם). וכן נראה מדברי הרשב"א (עה: ד"ה מתניתין). ואפילו לדעת הרמ"ה שהזכיר רבינו שצריך שתניק ותשמש יום אחד כליל שבת ויומו - התם שאני שפירש יום אחד, </w:t>
      </w:r>
      <w:r>
        <w:rPr>
          <w:rFonts w:cs="Arial" w:hint="cs"/>
          <w:b/>
          <w:bCs/>
          <w:rtl/>
        </w:rPr>
        <w:t>ב"י</w:t>
      </w:r>
      <w:r>
        <w:rPr>
          <w:rFonts w:cs="Arial" w:hint="cs"/>
          <w:rtl/>
        </w:rPr>
        <w:t>.</w:t>
      </w:r>
    </w:p>
  </w:footnote>
  <w:footnote w:id="2409">
    <w:p w14:paraId="51D17F2B" w14:textId="77777777" w:rsidR="00C97BEF" w:rsidRDefault="00C97BEF" w:rsidP="00C97BEF">
      <w:pPr>
        <w:pStyle w:val="a5"/>
        <w:rPr>
          <w:rtl/>
        </w:rPr>
      </w:pPr>
      <w:r>
        <w:rPr>
          <w:rStyle w:val="a7"/>
        </w:rPr>
        <w:footnoteRef/>
      </w:r>
      <w:r>
        <w:rPr>
          <w:rtl/>
        </w:rPr>
        <w:t xml:space="preserve"> </w:t>
      </w:r>
      <w:r>
        <w:rPr>
          <w:rFonts w:hint="cs"/>
          <w:rtl/>
        </w:rPr>
        <w:t>וקשה, דהרי הרמ"ה והר"ן מדברים במקרים שונים, הר"ן מיירי כשאמר לה סתם, דאז לרב אשי צריכה להניק יום אחד, והרמ"ה מיירי כשפירש. א"כ אין להשוות בין הדעות כלל. ועוד שכך כתב הב"י בהדיא לחלק ביניהם (בסוף ההערה הקודמת). וכן העירו הט"ז (סקי"ד) והב"ש (סקי"ח). אך נראה דהשו"ע חזר בו ממש"כ בב"י לחלק ביניהם, דהרי הר"ן כתב את דבריו לדברי כולם, היינו לרב אשי ע"פ כל פירושי הראשונים, וא"כ שייך להשליך את דבריו גם על דברי הרמ"ה שהביא את דברי רב אשי. ונראה דכיון שלדעת רב אשי ע"פ פירוש הר"ן יוצא שבין אמר לה בסתם ובין פירש לה 'תניקי יום אחד' צריכה להניק יום אחד, ולכן אמר דלאו דווקא יום אחד אלא די שתניק שעה אחת, ואפילו אמר לה בפירוש 'יום אחד'. ולכן שפיר חולק על דברי הרמ"ה שגם הוא מיירי בפירש.</w:t>
      </w:r>
    </w:p>
  </w:footnote>
  <w:footnote w:id="2410">
    <w:p w14:paraId="6D08750D" w14:textId="77777777" w:rsidR="00C97BEF" w:rsidRDefault="00C97BEF" w:rsidP="00C97BEF">
      <w:pPr>
        <w:pStyle w:val="a5"/>
      </w:pPr>
      <w:r>
        <w:rPr>
          <w:rStyle w:val="a7"/>
        </w:rPr>
        <w:footnoteRef/>
      </w:r>
      <w:r>
        <w:rPr>
          <w:rtl/>
        </w:rPr>
        <w:t xml:space="preserve"> </w:t>
      </w:r>
      <w:r>
        <w:rPr>
          <w:rFonts w:cs="Arial"/>
          <w:rtl/>
        </w:rPr>
        <w:t>אין דבריו מוכרחים, ב"י.</w:t>
      </w:r>
    </w:p>
  </w:footnote>
  <w:footnote w:id="2411">
    <w:p w14:paraId="787F6B28" w14:textId="77777777" w:rsidR="00C97BEF" w:rsidRDefault="00C97BEF" w:rsidP="00C97BEF">
      <w:pPr>
        <w:pStyle w:val="a5"/>
      </w:pPr>
      <w:r>
        <w:rPr>
          <w:rStyle w:val="a7"/>
        </w:rPr>
        <w:footnoteRef/>
      </w:r>
      <w:r>
        <w:rPr>
          <w:rtl/>
        </w:rPr>
        <w:t xml:space="preserve"> </w:t>
      </w:r>
      <w:r>
        <w:rPr>
          <w:rFonts w:cs="Arial"/>
          <w:rtl/>
        </w:rPr>
        <w:t>היא לא הכעיסתו ואפי' הכי שאין העכבה הימנה אינו גט, וכ"ש אם בהקפדה, רש"י.</w:t>
      </w:r>
    </w:p>
  </w:footnote>
  <w:footnote w:id="2412">
    <w:p w14:paraId="4B3ECC0D" w14:textId="77777777" w:rsidR="00C97BEF" w:rsidRDefault="00C97BEF" w:rsidP="00C97BEF">
      <w:pPr>
        <w:pStyle w:val="a5"/>
      </w:pPr>
      <w:r>
        <w:rPr>
          <w:rStyle w:val="a7"/>
        </w:rPr>
        <w:footnoteRef/>
      </w:r>
      <w:r>
        <w:rPr>
          <w:rtl/>
        </w:rPr>
        <w:t xml:space="preserve"> </w:t>
      </w:r>
      <w:r>
        <w:rPr>
          <w:rFonts w:cs="Arial"/>
          <w:rtl/>
        </w:rPr>
        <w:t>לכאורה קשה הא הוי כדבר שאינו קובע זמן דהא בכל ימי חיי האב יכולה לשמשו יום א' א"כ במת האב עדיין לא נשלם הזמן והוי כתנאי שתתן לו ר' זוז ומת דצריכה חליצה וכאן כתב אינו גט והיינו הגט בטל ומותרת ליבם וכן הקשה בדרישה ואפשר כיון שהוא התנה עמה תנאי זה א"כ אחר שמת האב יכול לתובעה לקיים התנאי ואימת שתבעה מחויב' היא לקיים התנאי כמו הקובע ז"פ לשלם אחר הפסח וכשתובעה והיא א"י לקיים התנאי מיד הגט בטל אבל כשמתנה ע"מ שתתן לו אין שום אדם יכול לתובעה דהא התנאי היה שתתן לו א"כ א"א שיבטל התנאי בפועל, לפ"ז מ"ש אינו גט היינו כשתובעה הוא אבל אם מת או חי ולא תבעה לא נתבטל בפועל וצריכה חליצה</w:t>
      </w:r>
      <w:r>
        <w:rPr>
          <w:rtl/>
        </w:rPr>
        <w:t>, ב"ש (סקי"ד).</w:t>
      </w:r>
    </w:p>
  </w:footnote>
  <w:footnote w:id="2413">
    <w:p w14:paraId="4326E591" w14:textId="77777777" w:rsidR="00C97BEF" w:rsidRDefault="00C97BEF" w:rsidP="00C97BEF">
      <w:pPr>
        <w:pStyle w:val="a5"/>
        <w:rPr>
          <w:rtl/>
        </w:rPr>
      </w:pPr>
      <w:r>
        <w:rPr>
          <w:rStyle w:val="a7"/>
        </w:rPr>
        <w:footnoteRef/>
      </w:r>
      <w:r>
        <w:rPr>
          <w:rtl/>
        </w:rPr>
        <w:t xml:space="preserve"> </w:t>
      </w:r>
      <w:r>
        <w:rPr>
          <w:rFonts w:cs="Arial"/>
          <w:rtl/>
        </w:rPr>
        <w:t>כן הוא דעת הרמב"ם והרא"ש. אבל תוס' והרשב"א ס"ל אפילו אם מת קודם השימוש או קודם שתניק הוי גט. ונראה דאזלינן לחומרא, ב"ש (סקט"ו).</w:t>
      </w:r>
    </w:p>
  </w:footnote>
  <w:footnote w:id="2414">
    <w:p w14:paraId="4641B328" w14:textId="77777777" w:rsidR="00C97BEF" w:rsidRDefault="00C97BEF" w:rsidP="00C97BEF">
      <w:pPr>
        <w:pStyle w:val="a5"/>
      </w:pPr>
      <w:r>
        <w:rPr>
          <w:rStyle w:val="a7"/>
        </w:rPr>
        <w:footnoteRef/>
      </w:r>
      <w:r>
        <w:rPr>
          <w:rtl/>
        </w:rPr>
        <w:t xml:space="preserve"> </w:t>
      </w:r>
      <w:r>
        <w:rPr>
          <w:rFonts w:cs="Arial"/>
          <w:rtl/>
        </w:rPr>
        <w:t>ולא מסרו לה בפניהם דאי מסרו לה איגרשה לה בהאי תנאי ותו לא מצי לאתנויי תנאה אחרינא אלא כך אמר בפניהם כשאמסרנו לה לא אמסרנו אלא על מנת כן</w:t>
      </w:r>
      <w:r>
        <w:rPr>
          <w:rtl/>
        </w:rPr>
        <w:t>, רש"י.</w:t>
      </w:r>
    </w:p>
  </w:footnote>
  <w:footnote w:id="2415">
    <w:p w14:paraId="6182EA4F" w14:textId="77777777" w:rsidR="00C97BEF" w:rsidRDefault="00C97BEF" w:rsidP="00C97BEF">
      <w:pPr>
        <w:pStyle w:val="a5"/>
        <w:rPr>
          <w:rtl/>
        </w:rPr>
      </w:pPr>
      <w:r>
        <w:rPr>
          <w:rStyle w:val="a7"/>
        </w:rPr>
        <w:footnoteRef/>
      </w:r>
      <w:r>
        <w:rPr>
          <w:rtl/>
        </w:rPr>
        <w:t xml:space="preserve"> </w:t>
      </w:r>
      <w:r>
        <w:rPr>
          <w:rFonts w:cs="Arial"/>
          <w:rtl/>
        </w:rPr>
        <w:t>ומסרו לה, רש"י. ולשון הברייתא שאמור בגמ' דקתני '</w:t>
      </w:r>
      <w:r>
        <w:rPr>
          <w:rFonts w:cs="Arial"/>
          <w:b/>
          <w:bCs/>
          <w:rtl/>
        </w:rPr>
        <w:t>הרי זה גיטיך</w:t>
      </w:r>
      <w:r>
        <w:rPr>
          <w:rFonts w:cs="Arial"/>
          <w:rtl/>
        </w:rPr>
        <w:t>' משמע כמו שפירשתי, אבל לשון ששנו בתוספתא אינו שוה לשל הגמ',</w:t>
      </w:r>
    </w:p>
  </w:footnote>
  <w:footnote w:id="2416">
    <w:p w14:paraId="7663BE4D" w14:textId="77777777" w:rsidR="00C97BEF" w:rsidRDefault="00C97BEF" w:rsidP="00C97BEF">
      <w:pPr>
        <w:pStyle w:val="a5"/>
      </w:pPr>
      <w:r>
        <w:rPr>
          <w:rStyle w:val="a7"/>
        </w:rPr>
        <w:footnoteRef/>
      </w:r>
      <w:r>
        <w:rPr>
          <w:rtl/>
        </w:rPr>
        <w:t xml:space="preserve"> </w:t>
      </w:r>
      <w:r>
        <w:rPr>
          <w:rFonts w:cs="Arial"/>
          <w:rtl/>
        </w:rPr>
        <w:t>שלא בא זה להוסיף, מדלא אמר לה שתתני מאתים זוז תוספת על תנאי הראשון. ולעקור נמי לא בא, מדלא ביטל דברו הראשון בפני אלו. אלא הכי קאמר לה - או תנאי ראשון או מאתים זוז</w:t>
      </w:r>
      <w:r>
        <w:rPr>
          <w:rtl/>
        </w:rPr>
        <w:t>, רש"י.</w:t>
      </w:r>
    </w:p>
  </w:footnote>
  <w:footnote w:id="2417">
    <w:p w14:paraId="6B887580" w14:textId="77777777" w:rsidR="00C97BEF" w:rsidRDefault="00C97BEF" w:rsidP="00C97BEF">
      <w:pPr>
        <w:pStyle w:val="a5"/>
        <w:rPr>
          <w:rtl/>
        </w:rPr>
      </w:pPr>
      <w:r>
        <w:rPr>
          <w:rStyle w:val="a7"/>
        </w:rPr>
        <w:footnoteRef/>
      </w:r>
      <w:r>
        <w:rPr>
          <w:rtl/>
        </w:rPr>
        <w:t xml:space="preserve"> </w:t>
      </w:r>
      <w:r>
        <w:rPr>
          <w:rFonts w:cs="Arial"/>
          <w:rtl/>
        </w:rPr>
        <w:t>ודאי עקר ליה לתנאיה קמא, רש"י.</w:t>
      </w:r>
    </w:p>
  </w:footnote>
  <w:footnote w:id="2418">
    <w:p w14:paraId="6D108E22" w14:textId="77777777" w:rsidR="00C97BEF" w:rsidRDefault="00C97BEF" w:rsidP="00C97BEF">
      <w:pPr>
        <w:pStyle w:val="a5"/>
      </w:pPr>
      <w:r>
        <w:rPr>
          <w:rStyle w:val="a7"/>
        </w:rPr>
        <w:footnoteRef/>
      </w:r>
      <w:r>
        <w:rPr>
          <w:rtl/>
        </w:rPr>
        <w:t xml:space="preserve"> </w:t>
      </w:r>
      <w:r>
        <w:rPr>
          <w:rFonts w:cs="Arial"/>
          <w:rtl/>
        </w:rPr>
        <w:t>להעיד שהיה תנאי בגט זה כל זמן שלא יבואו שנים כאחד [ויעידו באחד] מן התנאים כשר ע"י עדי חתימה ולא כל כמינייהו דהנך לשוויי תנאה בגיטא, רש"י.</w:t>
      </w:r>
    </w:p>
  </w:footnote>
  <w:footnote w:id="2419">
    <w:p w14:paraId="2F299814" w14:textId="77777777" w:rsidR="00C97BEF" w:rsidRDefault="00C97BEF" w:rsidP="00C97BEF">
      <w:pPr>
        <w:pStyle w:val="a5"/>
      </w:pPr>
      <w:r>
        <w:rPr>
          <w:rStyle w:val="a7"/>
        </w:rPr>
        <w:footnoteRef/>
      </w:r>
      <w:r>
        <w:rPr>
          <w:rtl/>
        </w:rPr>
        <w:t xml:space="preserve"> </w:t>
      </w:r>
      <w:r>
        <w:rPr>
          <w:rFonts w:cs="Arial"/>
          <w:rtl/>
        </w:rPr>
        <w:t>פשיטא דאין אחד מן הראשונים כלום שהרי אפילו באו שניהם אינן כלום דהא בטיל ליה ההוא תנאה, רש"י.</w:t>
      </w:r>
    </w:p>
  </w:footnote>
  <w:footnote w:id="2420">
    <w:p w14:paraId="69BBF621" w14:textId="77777777" w:rsidR="00C97BEF" w:rsidRDefault="00C97BEF" w:rsidP="00C97BEF">
      <w:pPr>
        <w:pStyle w:val="a5"/>
      </w:pPr>
      <w:r>
        <w:rPr>
          <w:rStyle w:val="a7"/>
        </w:rPr>
        <w:footnoteRef/>
      </w:r>
      <w:r>
        <w:rPr>
          <w:rtl/>
        </w:rPr>
        <w:t xml:space="preserve"> </w:t>
      </w:r>
      <w:r>
        <w:rPr>
          <w:rFonts w:cs="Arial"/>
          <w:rtl/>
        </w:rPr>
        <w:t>דקאמר או האי או האי, רש"י.</w:t>
      </w:r>
    </w:p>
  </w:footnote>
  <w:footnote w:id="2421">
    <w:p w14:paraId="6ADE3909" w14:textId="77777777" w:rsidR="00C97BEF" w:rsidRDefault="00C97BEF" w:rsidP="00C97BEF">
      <w:pPr>
        <w:pStyle w:val="a5"/>
      </w:pPr>
      <w:r>
        <w:rPr>
          <w:rStyle w:val="a7"/>
        </w:rPr>
        <w:footnoteRef/>
      </w:r>
      <w:r>
        <w:rPr>
          <w:rtl/>
        </w:rPr>
        <w:t xml:space="preserve"> </w:t>
      </w:r>
      <w:r>
        <w:rPr>
          <w:rFonts w:cs="Arial"/>
          <w:rtl/>
        </w:rPr>
        <w:t>הואיל ומקיים גיטא בחד מהני תנאי, הוו להו כחד תנאה, וכל סהדי דמסהדי לקיומי תנאה דהאי גיטא ליצטרפו, קא משמע לן, רש"י.</w:t>
      </w:r>
    </w:p>
  </w:footnote>
  <w:footnote w:id="2422">
    <w:p w14:paraId="6A3F016F" w14:textId="77777777" w:rsidR="00C97BEF" w:rsidRDefault="00C97BEF" w:rsidP="00C97BEF">
      <w:pPr>
        <w:pStyle w:val="a5"/>
      </w:pPr>
      <w:r>
        <w:rPr>
          <w:rStyle w:val="a7"/>
        </w:rPr>
        <w:footnoteRef/>
      </w:r>
      <w:r>
        <w:rPr>
          <w:rtl/>
        </w:rPr>
        <w:t xml:space="preserve"> </w:t>
      </w:r>
      <w:r>
        <w:rPr>
          <w:rFonts w:hint="cs"/>
          <w:rtl/>
        </w:rPr>
        <w:t xml:space="preserve">וז"ל הרמב"ן </w:t>
      </w:r>
      <w:r>
        <w:rPr>
          <w:sz w:val="16"/>
          <w:szCs w:val="16"/>
          <w:rtl/>
        </w:rPr>
        <w:t>(בפירושו לדברי רש"י)</w:t>
      </w:r>
      <w:r>
        <w:rPr>
          <w:rtl/>
        </w:rPr>
        <w:t xml:space="preserve">- </w:t>
      </w:r>
      <w:r>
        <w:rPr>
          <w:rFonts w:cs="Arial"/>
          <w:rtl/>
        </w:rPr>
        <w:t xml:space="preserve">רש"י ז"ל כתב כאן לא מסרו לה בפניהם שאם מסרו לה איגרשה לה ותו לא מצי לאתנויי תנאה אחרינא אלא כך אמר בפניהם כשאמסרנו לה לא אמסרנו לה אלא ע"מ כן וחזר ואמר לה בפני שנים ומסרו לה, ולשון הברייתא שאמור בגמ' דקתני ה"ז גיטיך משמע כמו שפירשתי אבל לשון ששנו בתוספתא אינו שוה לשל הגמ', והכי תניא התם אמר לשנים... וזה קרוב לדברי רש"י ז"ל. ואעפ"כ נראה שאם אמר כשאתן גט לאשתי ע"מ כן אתננו לה, ובשעת מעשה נתן על תנאי אחר - שדבריו הראשונים אינם כלום שהרי לא התנה עמה ואפי' אמר לה מתחלה בפני שנים ע"מ כן אתן ליך גט ובשעת מעשה התנה תנאי אחר בטלו דבריו הראשונים... אבל לפי דרכו של רש"י ז"ל כך יש לאומרה שאמר לה בפני שנים הראשונים ע"מ כן אתן ולא מסר לה ובפני שנים אחרים ע"מ כן ולא מסר וכשמסר לה לאחר מכן מסרו לה בפני כולם סתם ועל תנאים הראשונים מסר, והאי דקתני 'הרי זה גיטך על מנת' לאו דאמר הכי בפירוש אלא דהוא כמאן דפריש. ורב אחא משבחא ז"ל </w:t>
      </w:r>
      <w:r>
        <w:rPr>
          <w:rFonts w:cs="Arial"/>
          <w:sz w:val="16"/>
          <w:szCs w:val="16"/>
          <w:rtl/>
        </w:rPr>
        <w:t xml:space="preserve">(שאילתות ספר במדבר פרשת מטות שאילתא קלח) </w:t>
      </w:r>
      <w:r>
        <w:rPr>
          <w:rFonts w:cs="Arial"/>
          <w:rtl/>
        </w:rPr>
        <w:t>מוקים לה נמי בלא מטא גיטא לידה מתנאה קמא.</w:t>
      </w:r>
    </w:p>
  </w:footnote>
  <w:footnote w:id="2423">
    <w:p w14:paraId="0E26E036" w14:textId="159258F0" w:rsidR="00C97BEF" w:rsidRDefault="00C97BEF" w:rsidP="00C97BEF">
      <w:pPr>
        <w:pStyle w:val="a5"/>
      </w:pPr>
      <w:r>
        <w:rPr>
          <w:rStyle w:val="a7"/>
        </w:rPr>
        <w:footnoteRef/>
      </w:r>
      <w:r>
        <w:rPr>
          <w:rtl/>
        </w:rPr>
        <w:t xml:space="preserve"> </w:t>
      </w:r>
      <w:r w:rsidR="000A0F5A">
        <w:rPr>
          <w:rFonts w:cs="Arial"/>
          <w:rtl/>
        </w:rPr>
        <w:t>וז"ל:</w:t>
      </w:r>
      <w:r>
        <w:rPr>
          <w:rFonts w:cs="Arial"/>
          <w:rtl/>
        </w:rPr>
        <w:t xml:space="preserve"> א"ל לפני ב' כשאמסור לך גיטך יהיה על תנאי שתשמשי את אבא ב' שנים, ולא מסרו מידו לידה, אח"כ א"ל בפני עדים אחרים ע"מ שתתני לי ר' זוז, ומסרו לה בפני כולם בסתם - לא בטלו דבריו האחרונים את הראשונים, אלא הוי כאומר לה עשי אחד מאלו הדברים, אם תרצה תשמשי את אבא או תתני לי ר' זוז. ואין אחד מהראשונים ואחד מהאחרונים מצטרפין להעיד על תנאי, אלא יתקיים בחותמיו בלא תנאי עד שיהיו שנים הראשונים או שנים האחרונים. אבל אם אמר לה תחילה ע"מ שתתני לי ר' זוז וחזר ואמר ע"מ שתתני לי ש' זוז - בטלו דבריו האחרונים את הראשונים, וצריכה ליתן ג' מאות זוז.</w:t>
      </w:r>
    </w:p>
  </w:footnote>
  <w:footnote w:id="2424">
    <w:p w14:paraId="047425C7" w14:textId="77777777" w:rsidR="00C97BEF" w:rsidRDefault="00C97BEF" w:rsidP="00C97BEF">
      <w:pPr>
        <w:pStyle w:val="a5"/>
        <w:rPr>
          <w:rtl/>
        </w:rPr>
      </w:pPr>
      <w:r>
        <w:rPr>
          <w:rStyle w:val="a7"/>
        </w:rPr>
        <w:footnoteRef/>
      </w:r>
      <w:r>
        <w:rPr>
          <w:rtl/>
        </w:rPr>
        <w:t xml:space="preserve"> </w:t>
      </w:r>
      <w:r>
        <w:rPr>
          <w:rFonts w:cs="Arial"/>
          <w:rtl/>
        </w:rPr>
        <w:t>ובודאי שזה מן התימה שכיון שנתנו לה בעל מנת שהוא כאומר מעכשיו היאך הוא ביד שניהן לבטלו</w:t>
      </w:r>
      <w:r>
        <w:rPr>
          <w:rtl/>
        </w:rPr>
        <w:t>, ר"ן (שם).</w:t>
      </w:r>
    </w:p>
  </w:footnote>
  <w:footnote w:id="2425">
    <w:p w14:paraId="76D9F292" w14:textId="77777777" w:rsidR="00C97BEF" w:rsidRDefault="00C97BEF" w:rsidP="00C97BEF">
      <w:pPr>
        <w:pStyle w:val="a5"/>
        <w:rPr>
          <w:rtl/>
        </w:rPr>
      </w:pPr>
      <w:r>
        <w:rPr>
          <w:rStyle w:val="a7"/>
        </w:rPr>
        <w:footnoteRef/>
      </w:r>
      <w:r>
        <w:rPr>
          <w:rtl/>
        </w:rPr>
        <w:t xml:space="preserve"> </w:t>
      </w:r>
      <w:r>
        <w:rPr>
          <w:rFonts w:cs="Arial"/>
          <w:rtl/>
        </w:rPr>
        <w:t xml:space="preserve">מדברי רבינו נראה בביאור שדבריו הם בשמסר לה הגט בשעת תנאי הראשון, ואח"כ התנה עליה תנאי שני. וא"כ דבריו הן בהכרח באחד משני פנים: או שהתנאי הוא באם, ולא בעל מנת ולא במעכשיו, שבתנאי כזה יכול לבטל ולהוסיף על התנאי כמו שנתבאר בראש הפרק. או אם הוא בתנאי שבעל מנת או במעכשיו הוא בשהתנאי השני הוא מדעתה ורצונה. ועל דרך זו פירשה הרמב"ן שכיון שהיא מתרצה בתנאי השני קודם שנתקיים התנאי הראשון שוב אינה יכולה לחזור בה. אבל אי אפשר שיהיו דברי רבינו בתנאי שבעל מנת כיון שהגיע גט לידה וזה ברור. והקרוב אלי בכוונת רבינו הוא שהתנאי הוא באם, ואע"פ שהברייתא היא בעל מנת סבור הוא ז"ל שהוא </w:t>
      </w:r>
      <w:r>
        <w:rPr>
          <w:rFonts w:cs="Arial"/>
          <w:sz w:val="16"/>
          <w:szCs w:val="16"/>
          <w:rtl/>
        </w:rPr>
        <w:t xml:space="preserve">{היינו שמי שאמר את הברייתא סבר} </w:t>
      </w:r>
      <w:r>
        <w:rPr>
          <w:rFonts w:cs="Arial"/>
          <w:rtl/>
        </w:rPr>
        <w:t>כמאן דאמר כל האומר על מנת לאו כאומר מעכשיו דמי, ולא קיי"ל הכי אלא על מנת כמעכשיו הוא, ומיהו נפקא לן מדינא דברייתא במתנה באם, הה"מ (שם).</w:t>
      </w:r>
    </w:p>
  </w:footnote>
  <w:footnote w:id="2426">
    <w:p w14:paraId="223BBC7C" w14:textId="77777777" w:rsidR="00C97BEF" w:rsidRDefault="00C97BEF" w:rsidP="00C97BEF">
      <w:pPr>
        <w:pStyle w:val="a5"/>
      </w:pPr>
      <w:r>
        <w:rPr>
          <w:rStyle w:val="a7"/>
        </w:rPr>
        <w:footnoteRef/>
      </w:r>
      <w:r>
        <w:rPr>
          <w:rtl/>
        </w:rPr>
        <w:t xml:space="preserve"> </w:t>
      </w:r>
      <w:r>
        <w:rPr>
          <w:rFonts w:cs="Arial"/>
          <w:rtl/>
        </w:rPr>
        <w:t>לא ידענא מאי אתא לאשמועינן דכל כי האי גוונא אפילו נימא דלא ביטלו דבריו האחרונים את הראשונים אלא שאיזה מהם שתרצה תעשה כשתתן לו מאתים זוז סגי</w:t>
      </w:r>
      <w:r>
        <w:rPr>
          <w:rtl/>
        </w:rPr>
        <w:t>, ב"י.</w:t>
      </w:r>
    </w:p>
  </w:footnote>
  <w:footnote w:id="2427">
    <w:p w14:paraId="68BA94D2" w14:textId="77777777" w:rsidR="00C97BEF" w:rsidRDefault="00C97BEF" w:rsidP="00C97BEF">
      <w:pPr>
        <w:pStyle w:val="a5"/>
        <w:rPr>
          <w:rtl/>
        </w:rPr>
      </w:pPr>
      <w:r>
        <w:rPr>
          <w:rStyle w:val="a7"/>
        </w:rPr>
        <w:footnoteRef/>
      </w:r>
      <w:r>
        <w:rPr>
          <w:rtl/>
        </w:rPr>
        <w:t xml:space="preserve"> </w:t>
      </w:r>
      <w:r>
        <w:rPr>
          <w:rFonts w:cs="Arial"/>
          <w:rtl/>
        </w:rPr>
        <w:t>דכיון דהנייר שלו לא נתן לה כלום דנמצאו אותיות פורחות באויר, רש"י.</w:t>
      </w:r>
    </w:p>
  </w:footnote>
  <w:footnote w:id="2428">
    <w:p w14:paraId="58EC29D5" w14:textId="77777777" w:rsidR="00C97BEF" w:rsidRDefault="00C97BEF" w:rsidP="00C97BEF">
      <w:pPr>
        <w:pStyle w:val="a5"/>
      </w:pPr>
      <w:r>
        <w:rPr>
          <w:rStyle w:val="a7"/>
        </w:rPr>
        <w:footnoteRef/>
      </w:r>
      <w:r>
        <w:rPr>
          <w:rtl/>
        </w:rPr>
        <w:t xml:space="preserve"> </w:t>
      </w:r>
      <w:r>
        <w:rPr>
          <w:rFonts w:cs="Arial"/>
          <w:rtl/>
        </w:rPr>
        <w:t xml:space="preserve">ותחזיר דמתנה ע"מ להחזיר שמה מתנה </w:t>
      </w:r>
      <w:r>
        <w:rPr>
          <w:rFonts w:cs="Arial"/>
          <w:sz w:val="16"/>
          <w:szCs w:val="16"/>
          <w:rtl/>
        </w:rPr>
        <w:t>(סוכה מא:)</w:t>
      </w:r>
      <w:r>
        <w:rPr>
          <w:rtl/>
        </w:rPr>
        <w:t>, רש"י.</w:t>
      </w:r>
    </w:p>
  </w:footnote>
  <w:footnote w:id="2429">
    <w:p w14:paraId="770DBFA5" w14:textId="77777777" w:rsidR="00C97BEF" w:rsidRDefault="00C97BEF" w:rsidP="00C97BEF">
      <w:pPr>
        <w:pStyle w:val="a5"/>
        <w:rPr>
          <w:rtl/>
        </w:rPr>
      </w:pPr>
      <w:r>
        <w:rPr>
          <w:rStyle w:val="a7"/>
        </w:rPr>
        <w:footnoteRef/>
      </w:r>
      <w:r>
        <w:rPr>
          <w:rtl/>
        </w:rPr>
        <w:t xml:space="preserve"> </w:t>
      </w:r>
      <w:r>
        <w:rPr>
          <w:rFonts w:cs="Arial"/>
          <w:rtl/>
        </w:rPr>
        <w:t>שלי, מהו?, רש"י.</w:t>
      </w:r>
    </w:p>
  </w:footnote>
  <w:footnote w:id="2430">
    <w:p w14:paraId="657E1307" w14:textId="77777777" w:rsidR="00C97BEF" w:rsidRDefault="00C97BEF" w:rsidP="00C97BEF">
      <w:pPr>
        <w:pStyle w:val="a5"/>
      </w:pPr>
      <w:r>
        <w:rPr>
          <w:rStyle w:val="a7"/>
        </w:rPr>
        <w:footnoteRef/>
      </w:r>
      <w:r>
        <w:rPr>
          <w:rtl/>
        </w:rPr>
        <w:t xml:space="preserve"> </w:t>
      </w:r>
      <w:r>
        <w:rPr>
          <w:rFonts w:cs="Arial"/>
          <w:rtl/>
        </w:rPr>
        <w:t>כלומר דכיון דלקציצה קאי כקצוץ דמי ולא הוי גיטא ומפרקינן לא צריכא דמעורה כלומר שמעורה במקצת שהיו בו אותיות ארוכין המגיעין משיטה לחבירתה והוי ספר אחד, ר"ן (י. ד"ה וגרסי' תו ת"ר).</w:t>
      </w:r>
    </w:p>
  </w:footnote>
  <w:footnote w:id="2431">
    <w:p w14:paraId="30ACD793" w14:textId="77777777" w:rsidR="00C97BEF" w:rsidRDefault="00C97BEF" w:rsidP="00C97BEF">
      <w:pPr>
        <w:pStyle w:val="a5"/>
      </w:pPr>
      <w:r>
        <w:rPr>
          <w:rStyle w:val="a7"/>
        </w:rPr>
        <w:footnoteRef/>
      </w:r>
      <w:r>
        <w:rPr>
          <w:rtl/>
        </w:rPr>
        <w:t xml:space="preserve"> </w:t>
      </w:r>
      <w:r>
        <w:rPr>
          <w:rFonts w:cs="Arial"/>
          <w:rtl/>
        </w:rPr>
        <w:t>מעורה במקצת שהיו בו אותיות ארוכין המגיעין משיטה לשיטה בראשי כל תיבה ותיבה</w:t>
      </w:r>
      <w:r>
        <w:rPr>
          <w:rtl/>
        </w:rPr>
        <w:t>, רש"י.</w:t>
      </w:r>
    </w:p>
  </w:footnote>
  <w:footnote w:id="2432">
    <w:p w14:paraId="71D6E8AF" w14:textId="77777777" w:rsidR="00C97BEF" w:rsidRDefault="00C97BEF" w:rsidP="00C97BEF">
      <w:pPr>
        <w:pStyle w:val="a5"/>
        <w:rPr>
          <w:rtl/>
        </w:rPr>
      </w:pPr>
      <w:r>
        <w:rPr>
          <w:rStyle w:val="a7"/>
        </w:rPr>
        <w:footnoteRef/>
      </w:r>
      <w:r>
        <w:rPr>
          <w:rtl/>
        </w:rPr>
        <w:t xml:space="preserve"> </w:t>
      </w:r>
      <w:r>
        <w:rPr>
          <w:rFonts w:cs="Arial"/>
          <w:rtl/>
        </w:rPr>
        <w:t>ומה שכתב רבינו בכולם אינה מגורשת - אינו מכוון, דהוה ליה למימר על הנייר שבין השיטות שאם היו אותיות הגט מעורות זו בזו שהיא ספק מגורשת, דהא סלקא בתיקו, ב"י (בבדה"ב).</w:t>
      </w:r>
    </w:p>
  </w:footnote>
  <w:footnote w:id="2433">
    <w:p w14:paraId="5CA969F3" w14:textId="77777777" w:rsidR="00C97BEF" w:rsidRDefault="00C97BEF" w:rsidP="00C97BEF">
      <w:pPr>
        <w:pStyle w:val="a5"/>
      </w:pPr>
      <w:r>
        <w:rPr>
          <w:rStyle w:val="a7"/>
        </w:rPr>
        <w:footnoteRef/>
      </w:r>
      <w:r>
        <w:rPr>
          <w:rtl/>
        </w:rPr>
        <w:t xml:space="preserve"> </w:t>
      </w:r>
      <w:r>
        <w:rPr>
          <w:rFonts w:cs="Arial"/>
          <w:rtl/>
        </w:rPr>
        <w:t>וידוע (קידושין נב. ורש"י שם ד"ה יע"ל קג"ם) דהלכה כרבא דאמר הכי</w:t>
      </w:r>
      <w:r>
        <w:rPr>
          <w:rtl/>
        </w:rPr>
        <w:t>, ב"י.</w:t>
      </w:r>
    </w:p>
  </w:footnote>
  <w:footnote w:id="2434">
    <w:p w14:paraId="6A526A2A" w14:textId="77777777" w:rsidR="00C97BEF" w:rsidRDefault="00C97BEF" w:rsidP="00C97BEF">
      <w:pPr>
        <w:pStyle w:val="a5"/>
        <w:rPr>
          <w:rtl/>
        </w:rPr>
      </w:pPr>
      <w:r>
        <w:rPr>
          <w:rStyle w:val="a7"/>
        </w:rPr>
        <w:footnoteRef/>
      </w:r>
      <w:r>
        <w:rPr>
          <w:rtl/>
        </w:rPr>
        <w:t xml:space="preserve"> </w:t>
      </w:r>
      <w:r>
        <w:rPr>
          <w:rFonts w:cs="Arial"/>
          <w:rtl/>
        </w:rPr>
        <w:t>בין בזנות בין בנשואין</w:t>
      </w:r>
      <w:r>
        <w:rPr>
          <w:rtl/>
        </w:rPr>
        <w:t>, רש"י.</w:t>
      </w:r>
    </w:p>
  </w:footnote>
  <w:footnote w:id="2435">
    <w:p w14:paraId="76BFB3C2" w14:textId="77777777" w:rsidR="00C97BEF" w:rsidRDefault="00C97BEF" w:rsidP="00C97BEF">
      <w:pPr>
        <w:pStyle w:val="a5"/>
        <w:rPr>
          <w:rtl/>
        </w:rPr>
      </w:pPr>
      <w:r>
        <w:rPr>
          <w:rStyle w:val="a7"/>
        </w:rPr>
        <w:footnoteRef/>
      </w:r>
      <w:r>
        <w:rPr>
          <w:rtl/>
        </w:rPr>
        <w:t xml:space="preserve"> </w:t>
      </w:r>
      <w:r>
        <w:rPr>
          <w:rFonts w:cs="Arial"/>
          <w:rtl/>
        </w:rPr>
        <w:t>ואין לשון 'אין חוששין שמא נבעלה להם' נוח בכך, ר"ן (מד. ד"ה ת"ר).</w:t>
      </w:r>
    </w:p>
  </w:footnote>
  <w:footnote w:id="2436">
    <w:p w14:paraId="336005E6" w14:textId="77777777" w:rsidR="00C97BEF" w:rsidRDefault="00C97BEF" w:rsidP="00C97BEF">
      <w:pPr>
        <w:pStyle w:val="a5"/>
      </w:pPr>
      <w:r>
        <w:rPr>
          <w:rStyle w:val="a7"/>
        </w:rPr>
        <w:footnoteRef/>
      </w:r>
      <w:r>
        <w:rPr>
          <w:rtl/>
        </w:rPr>
        <w:t xml:space="preserve"> </w:t>
      </w:r>
      <w:r>
        <w:rPr>
          <w:rFonts w:cs="Arial"/>
          <w:rtl/>
        </w:rPr>
        <w:t>והוא הדין אם לא ראוה שנבעלה אע"פ שראוה שנתייחדה עמו - אינו גט, רשב"א (שם).</w:t>
      </w:r>
    </w:p>
  </w:footnote>
  <w:footnote w:id="2437">
    <w:p w14:paraId="05CF1C1B" w14:textId="76411C10" w:rsidR="00C97BEF" w:rsidRDefault="00C97BEF" w:rsidP="00C97BEF">
      <w:pPr>
        <w:pStyle w:val="a5"/>
      </w:pPr>
      <w:r>
        <w:rPr>
          <w:rStyle w:val="a7"/>
        </w:rPr>
        <w:footnoteRef/>
      </w:r>
      <w:r>
        <w:rPr>
          <w:rtl/>
        </w:rPr>
        <w:t xml:space="preserve"> </w:t>
      </w:r>
      <w:r>
        <w:rPr>
          <w:rFonts w:cs="Arial"/>
          <w:rtl/>
        </w:rPr>
        <w:t>אע</w:t>
      </w:r>
      <w:r w:rsidR="00581F77">
        <w:rPr>
          <w:rFonts w:cs="Arial" w:hint="cs"/>
          <w:rtl/>
        </w:rPr>
        <w:t>"</w:t>
      </w:r>
      <w:r>
        <w:rPr>
          <w:rFonts w:cs="Arial"/>
          <w:rtl/>
        </w:rPr>
        <w:t>פ שנתייחדה עמהם, רשב"א (שם).</w:t>
      </w:r>
    </w:p>
  </w:footnote>
  <w:footnote w:id="2438">
    <w:p w14:paraId="7575D939" w14:textId="2053736E" w:rsidR="00C97BEF" w:rsidRDefault="00C97BEF" w:rsidP="00C97BEF">
      <w:pPr>
        <w:pStyle w:val="a5"/>
      </w:pPr>
      <w:r>
        <w:rPr>
          <w:rStyle w:val="a7"/>
        </w:rPr>
        <w:footnoteRef/>
      </w:r>
      <w:r>
        <w:rPr>
          <w:rtl/>
        </w:rPr>
        <w:t xml:space="preserve"> </w:t>
      </w:r>
      <w:r>
        <w:rPr>
          <w:rFonts w:cs="Arial"/>
          <w:rtl/>
        </w:rPr>
        <w:t xml:space="preserve">אפי' נתיחדה עמו, רשב"א, ואע"ג דאין בידה כי יש לחוש שמא יבוא עליה באונס - לא חיישינן שיעשה איסור גדול כזה </w:t>
      </w:r>
      <w:r>
        <w:rPr>
          <w:rFonts w:cs="Arial"/>
          <w:sz w:val="16"/>
          <w:szCs w:val="16"/>
          <w:rtl/>
        </w:rPr>
        <w:t>(והא דחיישינן בסעי' י"ט שמא תבעל לאותו פלוני באונס אע"ג דאסורה לו משום א"א</w:t>
      </w:r>
      <w:r w:rsidR="0080438B">
        <w:rPr>
          <w:rFonts w:cs="Arial" w:hint="cs"/>
          <w:sz w:val="16"/>
          <w:szCs w:val="16"/>
          <w:rtl/>
        </w:rPr>
        <w:t>,</w:t>
      </w:r>
      <w:r>
        <w:rPr>
          <w:rFonts w:cs="Arial"/>
          <w:sz w:val="16"/>
          <w:szCs w:val="16"/>
          <w:rtl/>
        </w:rPr>
        <w:t xml:space="preserve"> צ"ל שם חיישינן שמא יבוא עליה אחר מיתת המגרש ואז למפרע הגט בטל</w:t>
      </w:r>
      <w:r w:rsidR="0080438B">
        <w:rPr>
          <w:rFonts w:cs="Arial" w:hint="cs"/>
          <w:sz w:val="16"/>
          <w:szCs w:val="16"/>
          <w:rtl/>
        </w:rPr>
        <w:t>,</w:t>
      </w:r>
      <w:r>
        <w:rPr>
          <w:rFonts w:cs="Arial"/>
          <w:sz w:val="16"/>
          <w:szCs w:val="16"/>
          <w:rtl/>
        </w:rPr>
        <w:t xml:space="preserve"> או שמא לא ידע אותו פלוני מתנאי</w:t>
      </w:r>
      <w:r w:rsidR="0080438B">
        <w:rPr>
          <w:rFonts w:cs="Arial" w:hint="cs"/>
          <w:sz w:val="16"/>
          <w:szCs w:val="16"/>
          <w:rtl/>
        </w:rPr>
        <w:t>.</w:t>
      </w:r>
      <w:r>
        <w:rPr>
          <w:rFonts w:cs="Arial"/>
          <w:sz w:val="16"/>
          <w:szCs w:val="16"/>
          <w:rtl/>
        </w:rPr>
        <w:t xml:space="preserve"> כצ"ל לדעת הפוסקים דהחשש הוא שם שמא יבוא עליה אותו פלוני</w:t>
      </w:r>
      <w:r w:rsidR="0080438B">
        <w:rPr>
          <w:rFonts w:cs="Arial" w:hint="cs"/>
          <w:sz w:val="16"/>
          <w:szCs w:val="16"/>
          <w:rtl/>
        </w:rPr>
        <w:t>.</w:t>
      </w:r>
      <w:r>
        <w:rPr>
          <w:rFonts w:cs="Arial"/>
          <w:sz w:val="16"/>
          <w:szCs w:val="16"/>
          <w:rtl/>
        </w:rPr>
        <w:t xml:space="preserve"> אבל מדברי הר"ן בשם הרמב"ם נראה דס"ל דלא חיישינן שמא יבו</w:t>
      </w:r>
      <w:r w:rsidR="0080438B">
        <w:rPr>
          <w:rFonts w:cs="Arial" w:hint="cs"/>
          <w:sz w:val="16"/>
          <w:szCs w:val="16"/>
          <w:rtl/>
        </w:rPr>
        <w:t>א</w:t>
      </w:r>
      <w:r>
        <w:rPr>
          <w:rFonts w:cs="Arial"/>
          <w:sz w:val="16"/>
          <w:szCs w:val="16"/>
          <w:rtl/>
        </w:rPr>
        <w:t xml:space="preserve"> עליה באונס</w:t>
      </w:r>
      <w:r w:rsidR="0080438B">
        <w:rPr>
          <w:rFonts w:cs="Arial" w:hint="cs"/>
          <w:sz w:val="16"/>
          <w:szCs w:val="16"/>
          <w:rtl/>
        </w:rPr>
        <w:t>,</w:t>
      </w:r>
      <w:r>
        <w:rPr>
          <w:rFonts w:cs="Arial"/>
          <w:sz w:val="16"/>
          <w:szCs w:val="16"/>
          <w:rtl/>
        </w:rPr>
        <w:t xml:space="preserve"> דהא כתב דהיא נאמנת לומר שלא בא עליה אביו כיון שהתנאי בידי</w:t>
      </w:r>
      <w:r w:rsidR="0080438B">
        <w:rPr>
          <w:rFonts w:cs="Arial" w:hint="cs"/>
          <w:sz w:val="16"/>
          <w:szCs w:val="16"/>
          <w:rtl/>
        </w:rPr>
        <w:t>ה</w:t>
      </w:r>
      <w:r>
        <w:rPr>
          <w:rFonts w:cs="Arial"/>
          <w:sz w:val="16"/>
          <w:szCs w:val="16"/>
          <w:rtl/>
        </w:rPr>
        <w:t xml:space="preserve"> הוא</w:t>
      </w:r>
      <w:r w:rsidR="0080438B">
        <w:rPr>
          <w:rFonts w:cs="Arial" w:hint="cs"/>
          <w:sz w:val="16"/>
          <w:szCs w:val="16"/>
          <w:rtl/>
        </w:rPr>
        <w:t>,</w:t>
      </w:r>
      <w:r>
        <w:rPr>
          <w:rFonts w:cs="Arial"/>
          <w:sz w:val="16"/>
          <w:szCs w:val="16"/>
          <w:rtl/>
        </w:rPr>
        <w:t xml:space="preserve"> ובתנאי שלא נבעלה לפלוני כתב משום דהוי שיור בגט מ"ה לא תנשא ולא משום חשש שיבוא עליה באונס)</w:t>
      </w:r>
      <w:r>
        <w:rPr>
          <w:rFonts w:cs="Arial"/>
          <w:rtl/>
        </w:rPr>
        <w:t>, ב"ש (סקכ"ג).</w:t>
      </w:r>
    </w:p>
  </w:footnote>
  <w:footnote w:id="2439">
    <w:p w14:paraId="451B605C" w14:textId="5AA10664" w:rsidR="00C97BEF" w:rsidRDefault="00C97BEF" w:rsidP="00C97BEF">
      <w:pPr>
        <w:pStyle w:val="a5"/>
      </w:pPr>
      <w:r>
        <w:rPr>
          <w:rStyle w:val="a7"/>
        </w:rPr>
        <w:footnoteRef/>
      </w:r>
      <w:r>
        <w:rPr>
          <w:rtl/>
        </w:rPr>
        <w:t xml:space="preserve"> </w:t>
      </w:r>
      <w:r>
        <w:rPr>
          <w:rFonts w:cs="Arial"/>
          <w:rtl/>
        </w:rPr>
        <w:t>כלומר מדבריהם. ודבריו תמוהין למה בטל כיון שהתנאי יכול להתקיים, וכבר השיג עליו הראב"ד</w:t>
      </w:r>
      <w:r>
        <w:rPr>
          <w:rFonts w:cs="Arial"/>
          <w:sz w:val="16"/>
          <w:szCs w:val="16"/>
          <w:rtl/>
        </w:rPr>
        <w:t xml:space="preserve"> {</w:t>
      </w:r>
      <w:r w:rsidR="000A0F5A">
        <w:rPr>
          <w:rFonts w:cs="Arial"/>
          <w:sz w:val="16"/>
          <w:szCs w:val="16"/>
          <w:rtl/>
        </w:rPr>
        <w:t>וז"ל:</w:t>
      </w:r>
      <w:r>
        <w:rPr>
          <w:rFonts w:cs="Arial"/>
          <w:sz w:val="16"/>
          <w:szCs w:val="16"/>
          <w:rtl/>
        </w:rPr>
        <w:t xml:space="preserve"> א"א ולמה בטל הגט והלא יכול התנאי להתקיים יגרש אותה וישא אותה בעל התנאי ויתקיים הגט למפרע ואין הולד ממזר והכי איתא בירושלמי. ועוד אם בטל הגט היאך תנשא לו והלשון עצמו משובש. מכל מקום אסורה לחזור לאותו שנשאה ראשון מפני שמחזיר גרושתו מן הנשואין}</w:t>
      </w:r>
      <w:r>
        <w:rPr>
          <w:rFonts w:cs="Arial"/>
          <w:rtl/>
        </w:rPr>
        <w:t xml:space="preserve">, </w:t>
      </w:r>
      <w:r>
        <w:rPr>
          <w:rFonts w:cs="Arial"/>
          <w:b/>
          <w:bCs/>
          <w:rtl/>
        </w:rPr>
        <w:t>ר"ן</w:t>
      </w:r>
      <w:r>
        <w:rPr>
          <w:rFonts w:cs="Arial"/>
          <w:rtl/>
        </w:rPr>
        <w:t xml:space="preserve"> (שם). והה"מ כתב דממה שלא סיימו בגמרא 'לאחר תצא ותנשא לאותו פלוני כדי שלא יהיה גיטה בטל למפרע' דקדק הרמב"ם שכל שנישאת לאחר תחלה עברה על תנאה ובטל הגט דעל מנת שתנשאי לפלוני תחלה משמע, דאי לא הוה ליה למיתני תקנתא. ומכל מקום כתב שהרשב"א (פד. ד"ה תניא) הסכים לדעת הראב"ד ז"ל</w:t>
      </w:r>
      <w:r>
        <w:rPr>
          <w:rtl/>
        </w:rPr>
        <w:t xml:space="preserve">, </w:t>
      </w:r>
      <w:r>
        <w:rPr>
          <w:b/>
          <w:bCs/>
          <w:rtl/>
        </w:rPr>
        <w:t>ב"י</w:t>
      </w:r>
      <w:r>
        <w:rPr>
          <w:rtl/>
        </w:rPr>
        <w:t>.</w:t>
      </w:r>
    </w:p>
  </w:footnote>
  <w:footnote w:id="2440">
    <w:p w14:paraId="464C7E9E" w14:textId="77777777" w:rsidR="00C97BEF" w:rsidRDefault="00C97BEF" w:rsidP="00C97BEF">
      <w:pPr>
        <w:pStyle w:val="a5"/>
        <w:rPr>
          <w:rtl/>
        </w:rPr>
      </w:pPr>
      <w:r>
        <w:rPr>
          <w:rStyle w:val="a7"/>
        </w:rPr>
        <w:footnoteRef/>
      </w:r>
      <w:r>
        <w:rPr>
          <w:rtl/>
        </w:rPr>
        <w:t xml:space="preserve"> </w:t>
      </w:r>
      <w:r>
        <w:rPr>
          <w:rFonts w:cs="Arial"/>
          <w:rtl/>
        </w:rPr>
        <w:t xml:space="preserve">אבל מטעם דאסורה עליו משום אשת איש עד שנתקיים התנאי </w:t>
      </w:r>
      <w:r>
        <w:rPr>
          <w:rFonts w:cs="Arial"/>
          <w:sz w:val="16"/>
          <w:szCs w:val="16"/>
          <w:rtl/>
        </w:rPr>
        <w:t>(כמ"ש בסעיף י"ח בע"מ שתבעלי לפלוני)</w:t>
      </w:r>
      <w:r>
        <w:rPr>
          <w:rFonts w:cs="Arial"/>
          <w:rtl/>
        </w:rPr>
        <w:t>, לא. דהא יכולה להנשא בחופה וקידושין ונתקיים התנאי וליכא ביאת איסור. חידושי רשב"א (גיטין פד.). ונשמע מזה אם גירש אחר החופה וקידושין קודם הביאה - מותרת לכל, דהא נתקיים התנאי, ב"ש (סקכ"ד).</w:t>
      </w:r>
    </w:p>
  </w:footnote>
  <w:footnote w:id="2441">
    <w:p w14:paraId="7FA23B07" w14:textId="77777777" w:rsidR="00C97BEF" w:rsidRDefault="00C97BEF" w:rsidP="00C97BEF">
      <w:pPr>
        <w:pStyle w:val="a5"/>
      </w:pPr>
      <w:r>
        <w:rPr>
          <w:rStyle w:val="a7"/>
        </w:rPr>
        <w:footnoteRef/>
      </w:r>
      <w:r>
        <w:rPr>
          <w:rtl/>
        </w:rPr>
        <w:t xml:space="preserve"> </w:t>
      </w:r>
      <w:r>
        <w:rPr>
          <w:rFonts w:cs="Arial"/>
          <w:rtl/>
        </w:rPr>
        <w:t>דאז אין כאן איסור ביאה אלא דאסורה לו הואיל לא נתקיים התנאי, מש"ה אם מת הבעל או אם נותן גט אחר מותרת לו</w:t>
      </w:r>
      <w:r>
        <w:rPr>
          <w:rtl/>
        </w:rPr>
        <w:t>, ב"ש (סקכ"ז).</w:t>
      </w:r>
    </w:p>
  </w:footnote>
  <w:footnote w:id="2442">
    <w:p w14:paraId="0DBF6E43" w14:textId="77777777" w:rsidR="00C97BEF" w:rsidRDefault="00C97BEF" w:rsidP="00C97BEF">
      <w:pPr>
        <w:pStyle w:val="a5"/>
        <w:rPr>
          <w:rtl/>
        </w:rPr>
      </w:pPr>
      <w:r>
        <w:rPr>
          <w:rStyle w:val="a7"/>
        </w:rPr>
        <w:footnoteRef/>
      </w:r>
      <w:r>
        <w:rPr>
          <w:rtl/>
        </w:rPr>
        <w:t xml:space="preserve"> </w:t>
      </w:r>
      <w:r>
        <w:rPr>
          <w:rFonts w:cs="Arial"/>
          <w:rtl/>
        </w:rPr>
        <w:t>ועיין בשו"ת בית דוד (סי' יד) שנשאל על ענין כיוצא בו והשיב להתיר דכל שהבעלים לא דיברו זה עם זה כלום לית לן בה דאין לנו להוסיף על גזירת חז"ל ע"ש. וכפי הנראה לא ראה דברי החו"י הנ"ל, פת"ש (סק"י).</w:t>
      </w:r>
    </w:p>
  </w:footnote>
  <w:footnote w:id="2443">
    <w:p w14:paraId="03F5B76B" w14:textId="77777777" w:rsidR="00C97BEF" w:rsidRDefault="00C97BEF" w:rsidP="00C97BEF">
      <w:pPr>
        <w:pStyle w:val="a5"/>
        <w:rPr>
          <w:rtl/>
        </w:rPr>
      </w:pPr>
      <w:r>
        <w:rPr>
          <w:rStyle w:val="a7"/>
        </w:rPr>
        <w:footnoteRef/>
      </w:r>
      <w:r>
        <w:rPr>
          <w:rtl/>
        </w:rPr>
        <w:t xml:space="preserve"> </w:t>
      </w:r>
      <w:r>
        <w:rPr>
          <w:rFonts w:cs="Arial"/>
          <w:rtl/>
        </w:rPr>
        <w:t>לה להינשא לכל אדם אחר, חוץ מאותו פלוני, כדין אשה שנתגרשה בגט כשר</w:t>
      </w:r>
      <w:r>
        <w:rPr>
          <w:rFonts w:cs="Arial"/>
          <w:sz w:val="16"/>
          <w:szCs w:val="16"/>
          <w:rtl/>
        </w:rPr>
        <w:t xml:space="preserve"> (ע"פ פירוש חברותא)</w:t>
      </w:r>
      <w:r>
        <w:rPr>
          <w:rFonts w:cs="Arial"/>
          <w:rtl/>
        </w:rPr>
        <w:t>.</w:t>
      </w:r>
    </w:p>
  </w:footnote>
  <w:footnote w:id="2444">
    <w:p w14:paraId="42A2E3B9" w14:textId="77777777" w:rsidR="00C97BEF" w:rsidRDefault="00C97BEF" w:rsidP="00C97BEF">
      <w:pPr>
        <w:pStyle w:val="a5"/>
      </w:pPr>
      <w:r>
        <w:rPr>
          <w:rStyle w:val="a7"/>
        </w:rPr>
        <w:footnoteRef/>
      </w:r>
      <w:r>
        <w:rPr>
          <w:rtl/>
        </w:rPr>
        <w:t xml:space="preserve"> </w:t>
      </w:r>
      <w:r>
        <w:rPr>
          <w:rFonts w:cs="Arial"/>
          <w:rtl/>
        </w:rPr>
        <w:t>על מנת שלא תנשאי לפלוני, רש"י.</w:t>
      </w:r>
    </w:p>
  </w:footnote>
  <w:footnote w:id="2445">
    <w:p w14:paraId="7E071069" w14:textId="77777777" w:rsidR="00C97BEF" w:rsidRDefault="00C97BEF" w:rsidP="00C97BEF">
      <w:pPr>
        <w:pStyle w:val="a5"/>
      </w:pPr>
      <w:r>
        <w:rPr>
          <w:rStyle w:val="a7"/>
        </w:rPr>
        <w:footnoteRef/>
      </w:r>
      <w:r>
        <w:rPr>
          <w:rtl/>
        </w:rPr>
        <w:t xml:space="preserve"> </w:t>
      </w:r>
      <w:r>
        <w:rPr>
          <w:rFonts w:cs="Arial"/>
          <w:rtl/>
        </w:rPr>
        <w:t>רבנן דבגט לא שייר, שהתירה במסירת הגט לכל אדם, אלא שהתנה עמה על מנת שלא תנשאי לזה, ואין זה אלא כתנאי בעלמא</w:t>
      </w:r>
      <w:r>
        <w:rPr>
          <w:rtl/>
        </w:rPr>
        <w:t>, רש"י.</w:t>
      </w:r>
    </w:p>
  </w:footnote>
  <w:footnote w:id="2446">
    <w:p w14:paraId="700D9509" w14:textId="1B006996" w:rsidR="00C97BEF" w:rsidRDefault="00C97BEF" w:rsidP="00C97BEF">
      <w:pPr>
        <w:pStyle w:val="a5"/>
        <w:rPr>
          <w:rtl/>
        </w:rPr>
      </w:pPr>
      <w:r>
        <w:rPr>
          <w:rStyle w:val="a7"/>
        </w:rPr>
        <w:footnoteRef/>
      </w:r>
      <w:r>
        <w:rPr>
          <w:rtl/>
        </w:rPr>
        <w:t xml:space="preserve"> </w:t>
      </w:r>
      <w:r w:rsidR="000A0F5A">
        <w:rPr>
          <w:rFonts w:cs="Arial"/>
          <w:rtl/>
        </w:rPr>
        <w:t>וז"ל:</w:t>
      </w:r>
      <w:r>
        <w:rPr>
          <w:rFonts w:cs="Arial"/>
          <w:rtl/>
        </w:rPr>
        <w:t xml:space="preserve"> אלמא לכאורה אין על מנת פוסל ואפילו על מנת שלא תנשאי לפלוני לעולם. ואע"פ שיש מקצת מגדולי האחרונים שכתבו דבתרתי פליגי ויש לדבריהם קצת ראיות, לראשונים שומעים שיש לדבריהם ראיות חזקות, ועוד שקבלת הגאונים תורה היא</w:t>
      </w:r>
      <w:r>
        <w:rPr>
          <w:rtl/>
        </w:rPr>
        <w:t>.</w:t>
      </w:r>
    </w:p>
  </w:footnote>
  <w:footnote w:id="2447">
    <w:p w14:paraId="541B7513" w14:textId="77777777" w:rsidR="00C97BEF" w:rsidRDefault="00C97BEF" w:rsidP="00C97BEF">
      <w:pPr>
        <w:pStyle w:val="a5"/>
        <w:rPr>
          <w:rtl/>
        </w:rPr>
      </w:pPr>
      <w:r>
        <w:rPr>
          <w:rStyle w:val="a7"/>
        </w:rPr>
        <w:footnoteRef/>
      </w:r>
      <w:r>
        <w:rPr>
          <w:rtl/>
        </w:rPr>
        <w:t xml:space="preserve"> </w:t>
      </w:r>
      <w:r>
        <w:rPr>
          <w:rFonts w:cs="Arial"/>
          <w:rtl/>
        </w:rPr>
        <w:t>וכבר כתבתי בסימן קל"ז (לט: דיבור ראשון) שיש חולקים בזה לומר דאכתי מספקא לן אי פליגי בעל מנת, מכל מקום רבינו סתם הדברים לדעת הרא"ש ואינך רבוותא דסבירא להו דבעל מנת מודו</w:t>
      </w:r>
      <w:r>
        <w:rPr>
          <w:rtl/>
        </w:rPr>
        <w:t>, ב"י.</w:t>
      </w:r>
    </w:p>
  </w:footnote>
  <w:footnote w:id="2448">
    <w:p w14:paraId="3C674F04" w14:textId="77777777" w:rsidR="00C97BEF" w:rsidRDefault="00C97BEF" w:rsidP="00C97BEF">
      <w:pPr>
        <w:pStyle w:val="a5"/>
        <w:rPr>
          <w:rtl/>
        </w:rPr>
      </w:pPr>
      <w:r>
        <w:rPr>
          <w:rStyle w:val="a7"/>
        </w:rPr>
        <w:footnoteRef/>
      </w:r>
      <w:r>
        <w:rPr>
          <w:rtl/>
        </w:rPr>
        <w:t xml:space="preserve"> </w:t>
      </w:r>
      <w:r>
        <w:rPr>
          <w:rFonts w:cs="Arial"/>
          <w:rtl/>
        </w:rPr>
        <w:t>ויתבאר בסימן זה (סע' כב) דעתו ודעת החולקים עליו, ב"י. ושם מבואר מדוע לא סובר הרמב"ם דהוי כמו האומר לאשתו 'על מנת שלא תשתי יין כל ימי חיי פלוני' (דהוי גט כמו שיתבאר בסע' כ). שהרי גם כאן כאילו אמר לה תנאי קצוב כימי חיי פלוני.</w:t>
      </w:r>
    </w:p>
  </w:footnote>
  <w:footnote w:id="2449">
    <w:p w14:paraId="624F229E" w14:textId="77777777" w:rsidR="00C97BEF" w:rsidRDefault="00C97BEF" w:rsidP="00C97BEF">
      <w:pPr>
        <w:pStyle w:val="a5"/>
        <w:rPr>
          <w:rtl/>
        </w:rPr>
      </w:pPr>
      <w:r>
        <w:rPr>
          <w:rStyle w:val="a7"/>
        </w:rPr>
        <w:footnoteRef/>
      </w:r>
      <w:r>
        <w:rPr>
          <w:rtl/>
        </w:rPr>
        <w:t xml:space="preserve"> </w:t>
      </w:r>
      <w:r>
        <w:rPr>
          <w:rFonts w:cs="Arial"/>
          <w:rtl/>
        </w:rPr>
        <w:t>כן כתבו התוספות שם (פב: ד"ה שרבי) גבי הא דתניא שרבי אליעזר מתיר לכל אדם חוץ מאותו האיש</w:t>
      </w:r>
      <w:r>
        <w:rPr>
          <w:rFonts w:cs="Arial"/>
          <w:color w:val="E36C0A" w:themeColor="accent6" w:themeShade="BF"/>
          <w:rtl/>
        </w:rPr>
        <w:t xml:space="preserve"> </w:t>
      </w:r>
      <w:r>
        <w:rPr>
          <w:rFonts w:cs="Arial"/>
          <w:color w:val="E36C0A" w:themeColor="accent6" w:themeShade="BF"/>
          <w:sz w:val="16"/>
          <w:szCs w:val="16"/>
          <w:rtl/>
        </w:rPr>
        <w:t>(וכ"ס בשו"ע)</w:t>
      </w:r>
      <w:r>
        <w:rPr>
          <w:rFonts w:cs="Arial"/>
          <w:rtl/>
        </w:rPr>
        <w:t>. אבל מדברי רבינו חננאל שכתב שם הרשב"א (פג. סד"ה בכולהו תנאי) משמע דלא תנשא עד שימות אותו פלוני, ב"י.</w:t>
      </w:r>
    </w:p>
  </w:footnote>
  <w:footnote w:id="2450">
    <w:p w14:paraId="10F00342" w14:textId="77777777" w:rsidR="00C97BEF" w:rsidRDefault="00C97BEF" w:rsidP="00C97BEF">
      <w:pPr>
        <w:pStyle w:val="a5"/>
        <w:rPr>
          <w:rtl/>
        </w:rPr>
      </w:pPr>
      <w:r>
        <w:rPr>
          <w:rStyle w:val="a7"/>
        </w:rPr>
        <w:footnoteRef/>
      </w:r>
      <w:r>
        <w:rPr>
          <w:rtl/>
        </w:rPr>
        <w:t xml:space="preserve"> </w:t>
      </w:r>
      <w:r>
        <w:rPr>
          <w:rFonts w:cs="Arial"/>
          <w:rtl/>
        </w:rPr>
        <w:t>וכתב הר"ש בר צמח בתשובה (תשבץ ח"א סי' ד) שמה שכתב הרמב"ם חמשים שנה לאו דוקא אלא שתפס לרבותא היותר זמן רחוק שאפשר שהם ימי שנותינו בהם שבעים שנה (תהלים צ י) והאשה המתגרשת ע"י עצמה יש לה יותר משתים עשרה שנה וקרובה לעשרים ואי אפשר לחיות אחר זה לפי מנהגו של עולם סכום שלם יותר מחמשים שנה, ב"י.</w:t>
      </w:r>
      <w:r>
        <w:rPr>
          <w:rFonts w:cs="Arial"/>
          <w:color w:val="E36C0A" w:themeColor="accent6" w:themeShade="BF"/>
          <w:rtl/>
        </w:rPr>
        <w:t xml:space="preserve"> (וכ"פ בשו"ע)</w:t>
      </w:r>
    </w:p>
  </w:footnote>
  <w:footnote w:id="2451">
    <w:p w14:paraId="62B9B81E" w14:textId="77777777" w:rsidR="00C97BEF" w:rsidRDefault="00C97BEF" w:rsidP="00C97BEF">
      <w:pPr>
        <w:pStyle w:val="a5"/>
      </w:pPr>
      <w:r>
        <w:rPr>
          <w:rStyle w:val="a7"/>
        </w:rPr>
        <w:footnoteRef/>
      </w:r>
      <w:r>
        <w:rPr>
          <w:rtl/>
        </w:rPr>
        <w:t xml:space="preserve"> </w:t>
      </w:r>
      <w:r>
        <w:rPr>
          <w:rFonts w:cs="Arial"/>
          <w:rtl/>
        </w:rPr>
        <w:t>ודברים פשוטים הם. ודע שכתבו התוספות בפרק המגרש (פג. ד"ה ועמדה) גבי ארבעה זקנים שנכנסו להשיב על דבריו של רבי אליעזר דאומר על מנת שלא תנשאי לפלוני ועברה ונישאת לו דאמרינן דהגט בטל ובניה ממזרים - היינו דוקא בעברה ונישאת לו אחר מיתת המגרש, אבל אם עברה ונישאת לו בחיי המגרש - לא נתבטל הגט בכך דאין נישואין חלין שהרי אסורה עליו משום אשת איש. אבל הה"מ כתב (פ"ח הי"ב) שיש מי שהקשה כן דהיכא דנישאת לו בחיי המגרש היאך גט בטל הרי נישואיה עמו אינם נישואין, ותירץ הרמב"ן (פג. בסוה"ד) שכל שנישאת לו דרך נישואין בטל דהכי אתני עלה. וכן נראה מדברי הרא"ש בתשובה (כלל מה סי' טז) דאפילו עברה ונישאת לו בחיי המגרש גט בטל ובניה ממזרים, ב"י.</w:t>
      </w:r>
    </w:p>
  </w:footnote>
  <w:footnote w:id="2452">
    <w:p w14:paraId="09D93922" w14:textId="77777777" w:rsidR="00C97BEF" w:rsidRDefault="00C97BEF" w:rsidP="00C97BEF">
      <w:pPr>
        <w:pStyle w:val="a5"/>
        <w:rPr>
          <w:rtl/>
        </w:rPr>
      </w:pPr>
      <w:r>
        <w:rPr>
          <w:rStyle w:val="a7"/>
        </w:rPr>
        <w:footnoteRef/>
      </w:r>
      <w:r>
        <w:rPr>
          <w:rtl/>
        </w:rPr>
        <w:t xml:space="preserve"> </w:t>
      </w:r>
      <w:r>
        <w:rPr>
          <w:rFonts w:cs="Arial"/>
          <w:rtl/>
        </w:rPr>
        <w:t>ועיין במגיד משנה פרק ח' (הי"א בסוה"ד), ב"י.</w:t>
      </w:r>
    </w:p>
  </w:footnote>
  <w:footnote w:id="2453">
    <w:p w14:paraId="6D7185D8" w14:textId="77777777" w:rsidR="00C97BEF" w:rsidRDefault="00C97BEF" w:rsidP="00C97BEF">
      <w:pPr>
        <w:pStyle w:val="a5"/>
        <w:rPr>
          <w:rtl/>
        </w:rPr>
      </w:pPr>
      <w:r>
        <w:rPr>
          <w:rStyle w:val="a7"/>
        </w:rPr>
        <w:footnoteRef/>
      </w:r>
      <w:r>
        <w:rPr>
          <w:rtl/>
        </w:rPr>
        <w:t xml:space="preserve"> </w:t>
      </w:r>
      <w:r>
        <w:rPr>
          <w:rFonts w:hint="cs"/>
          <w:rtl/>
        </w:rPr>
        <w:t>והקשה הגר"א (סק"מ) דהרי הרא"ש (</w:t>
      </w:r>
      <w:r>
        <w:rPr>
          <w:rFonts w:cs="Arial"/>
          <w:rtl/>
        </w:rPr>
        <w:t>כלל מו ס"ב) כ' שיכול לבטל התנאי והביאו הטור ס"ס זה... וכ' דבגרושין אף תנאי שהוא טובת האשה יכול לבטלו וע"ל סי' ל"ח סל"ח וע"ש בתשובה שהאריך בזה וצ"ע. וכבר נתקשו בזה האחרוני' ע"ש. ואע"ג שבס"ב כ' שא"י לבטלה תנאי היינו התנאי אבל יכול לגרשה עוד בלא תנאי וכמ"ש במתני' הנ"ל ותוספתא הנ"ל וכו' כיון שאינה מגורשת בלא קיום התנאי עדיין יכול לגרשה</w:t>
      </w:r>
      <w:r>
        <w:rPr>
          <w:rtl/>
        </w:rPr>
        <w:t xml:space="preserve">. עכ"ל. </w:t>
      </w:r>
      <w:r>
        <w:rPr>
          <w:sz w:val="16"/>
          <w:szCs w:val="16"/>
          <w:rtl/>
        </w:rPr>
        <w:t>(ועיין בב"ש (סק"ל)</w:t>
      </w:r>
      <w:r>
        <w:rPr>
          <w:rFonts w:cs="Arial"/>
          <w:sz w:val="16"/>
          <w:szCs w:val="16"/>
          <w:rtl/>
        </w:rPr>
        <w:t xml:space="preserve"> ובמהרי"ט (ח"א סי' מט) שגם הקשו על דברי הטור הללו. ועיין בתשו' הרדב"ז (ח"ד סי' פה) ובס' שעה"מ (פ"ז מהל' אישות הי"ב, ופ"ח מהל' גירושין ה"א) ובספר בית מאיר ובס' תורת גיטין סי' זה)</w:t>
      </w:r>
      <w:r>
        <w:rPr>
          <w:rFonts w:cs="Arial"/>
          <w:rtl/>
        </w:rPr>
        <w:t xml:space="preserve">. וצל"ע מדוע לא הקשו גם על השו"ע לשיטתו שפסק </w:t>
      </w:r>
      <w:r>
        <w:rPr>
          <w:rFonts w:cs="Arial"/>
          <w:sz w:val="16"/>
          <w:szCs w:val="16"/>
          <w:rtl/>
        </w:rPr>
        <w:t>(בסי' זה סע' ו)</w:t>
      </w:r>
      <w:r>
        <w:rPr>
          <w:rFonts w:cs="Arial"/>
          <w:rtl/>
        </w:rPr>
        <w:t xml:space="preserve"> כהרמב"ם </w:t>
      </w:r>
      <w:r>
        <w:rPr>
          <w:rFonts w:cs="Arial"/>
          <w:sz w:val="16"/>
          <w:szCs w:val="16"/>
          <w:rtl/>
        </w:rPr>
        <w:t>(פ"ח הכ"ג)</w:t>
      </w:r>
      <w:r>
        <w:rPr>
          <w:rFonts w:cs="Arial"/>
          <w:rtl/>
        </w:rPr>
        <w:t xml:space="preserve"> שאם אמר לה ליהוי גיטא בלא שום תנאי - בטל התנאי, אפילו בתנאי דעל מנת. </w:t>
      </w:r>
    </w:p>
  </w:footnote>
  <w:footnote w:id="2454">
    <w:p w14:paraId="3728AE06" w14:textId="77777777" w:rsidR="00C97BEF" w:rsidRDefault="00C97BEF" w:rsidP="00C97BEF">
      <w:pPr>
        <w:pStyle w:val="a5"/>
      </w:pPr>
      <w:r>
        <w:rPr>
          <w:rStyle w:val="a7"/>
        </w:rPr>
        <w:footnoteRef/>
      </w:r>
      <w:r>
        <w:rPr>
          <w:rtl/>
        </w:rPr>
        <w:t xml:space="preserve"> </w:t>
      </w:r>
      <w:r>
        <w:rPr>
          <w:rFonts w:cs="Arial"/>
          <w:rtl/>
        </w:rPr>
        <w:t xml:space="preserve">פשוט דצריך דוקא לכתוב גט שני, אבל לא בגט ראשון אפי' אם הוא באותו יום עצמו דליכא חשש מוקדם </w:t>
      </w:r>
      <w:r>
        <w:rPr>
          <w:rFonts w:cs="Arial"/>
          <w:sz w:val="16"/>
          <w:szCs w:val="16"/>
          <w:rtl/>
        </w:rPr>
        <w:t>(ועיין בת' גליא מסכת סי' ג' אות ה' כתב שם וז"ל וכפי הנראה דבר זה מוסכם מכל הפוסקים שאם אדם מגרש את אשתו בגט ואח"ז חזר וקידשה לא יתכן כלל שיגרש אותה באותו גט עצמו שגירשה בראשונה אף דהיה הכל ביום אחד דליכא מוקדם כו' וטעמא דמלתא משום דדומה ממש לשט"ח שנמחל שעבודו כו' עכ"ל ע"ש. ועמ"ש לעיל סי' קכ"ו סקמ"ו לענין איך יכתבו כאן בגט אם אנתתי או ארוסתי ע"ש)</w:t>
      </w:r>
      <w:r>
        <w:rPr>
          <w:rFonts w:cs="Arial"/>
          <w:rtl/>
        </w:rPr>
        <w:t>, פת"ש (סקי"ג).</w:t>
      </w:r>
    </w:p>
  </w:footnote>
  <w:footnote w:id="2455">
    <w:p w14:paraId="2EA8EE14" w14:textId="77777777" w:rsidR="00C97BEF" w:rsidRDefault="00C97BEF" w:rsidP="00C97BEF">
      <w:pPr>
        <w:pStyle w:val="a5"/>
        <w:rPr>
          <w:rtl/>
        </w:rPr>
      </w:pPr>
      <w:r>
        <w:rPr>
          <w:rStyle w:val="a7"/>
        </w:rPr>
        <w:footnoteRef/>
      </w:r>
      <w:r>
        <w:rPr>
          <w:rtl/>
        </w:rPr>
        <w:t xml:space="preserve"> </w:t>
      </w:r>
      <w:r>
        <w:rPr>
          <w:rFonts w:cs="Arial"/>
          <w:rtl/>
        </w:rPr>
        <w:t>שהתנאי היה שלא תנשא לפלוני, אבל לא התנה עמה שלא תבעל לו.</w:t>
      </w:r>
    </w:p>
  </w:footnote>
  <w:footnote w:id="2456">
    <w:p w14:paraId="21C23D33" w14:textId="77777777" w:rsidR="00C97BEF" w:rsidRDefault="00C97BEF" w:rsidP="00C97BEF">
      <w:pPr>
        <w:pStyle w:val="a5"/>
      </w:pPr>
      <w:r>
        <w:rPr>
          <w:rStyle w:val="a7"/>
        </w:rPr>
        <w:footnoteRef/>
      </w:r>
      <w:r>
        <w:rPr>
          <w:rtl/>
        </w:rPr>
        <w:t xml:space="preserve"> </w:t>
      </w:r>
      <w:r>
        <w:rPr>
          <w:rFonts w:cs="Arial"/>
          <w:rtl/>
        </w:rPr>
        <w:t>בין בזנות בין בנשואין</w:t>
      </w:r>
      <w:r>
        <w:rPr>
          <w:rtl/>
        </w:rPr>
        <w:t>, רש"י.</w:t>
      </w:r>
    </w:p>
  </w:footnote>
  <w:footnote w:id="2457">
    <w:p w14:paraId="33B28F64" w14:textId="0AF41DF0" w:rsidR="00C97BEF" w:rsidRDefault="00C97BEF" w:rsidP="00C97BEF">
      <w:pPr>
        <w:pStyle w:val="a5"/>
        <w:rPr>
          <w:rtl/>
        </w:rPr>
      </w:pPr>
      <w:r>
        <w:rPr>
          <w:rStyle w:val="a7"/>
        </w:rPr>
        <w:footnoteRef/>
      </w:r>
      <w:r>
        <w:rPr>
          <w:rtl/>
        </w:rPr>
        <w:t xml:space="preserve"> </w:t>
      </w:r>
      <w:r>
        <w:rPr>
          <w:rFonts w:cs="Arial"/>
          <w:rtl/>
        </w:rPr>
        <w:t xml:space="preserve">כ"כ הרשב"א (פד. ד"ה הא דקתני) </w:t>
      </w:r>
      <w:r w:rsidR="000A0F5A">
        <w:rPr>
          <w:rFonts w:cs="Arial"/>
          <w:rtl/>
        </w:rPr>
        <w:t>וז"ל:</w:t>
      </w:r>
      <w:r>
        <w:rPr>
          <w:rFonts w:cs="Arial"/>
          <w:rtl/>
        </w:rPr>
        <w:t xml:space="preserve"> מסתברא אפילו נבעלת לו דרך נישואין הרי זו מגורשת דלאו דוקא שתבעלי לו בזנות קאמר אלא כל שנבעלת לו בין בהיתר בין באיסור נתקיים התנאי, והא דקאמר ע"מ שתבעלי ולא קאמר על מנת שתנשאי לאו למעוטי בעילה בנישואין אלא לרבות לה אפילו בעילת זנות.</w:t>
      </w:r>
    </w:p>
  </w:footnote>
  <w:footnote w:id="2458">
    <w:p w14:paraId="6433BC34" w14:textId="77777777" w:rsidR="00C97BEF" w:rsidRDefault="00C97BEF" w:rsidP="00C97BEF">
      <w:pPr>
        <w:pStyle w:val="a5"/>
      </w:pPr>
      <w:r>
        <w:rPr>
          <w:rStyle w:val="a7"/>
        </w:rPr>
        <w:footnoteRef/>
      </w:r>
      <w:r>
        <w:rPr>
          <w:rtl/>
        </w:rPr>
        <w:t xml:space="preserve"> </w:t>
      </w:r>
      <w:r>
        <w:rPr>
          <w:rFonts w:cs="Arial"/>
          <w:rtl/>
        </w:rPr>
        <w:t>תמיהני על רבינו שכתב דפשיטא ליה להרשב"א דמותר, שהרי הרשב"א בריש המגרש (פד. ד"ה על מנת שתבעלי) בדרך שמא קאמר לה והניח הדבר בצריך עיון, ב"י.</w:t>
      </w:r>
    </w:p>
  </w:footnote>
  <w:footnote w:id="2459">
    <w:p w14:paraId="2FC7FEAB" w14:textId="77777777" w:rsidR="00C97BEF" w:rsidRDefault="00C97BEF" w:rsidP="00C97BEF">
      <w:pPr>
        <w:pStyle w:val="a5"/>
      </w:pPr>
      <w:r>
        <w:rPr>
          <w:rStyle w:val="a7"/>
        </w:rPr>
        <w:footnoteRef/>
      </w:r>
      <w:r>
        <w:rPr>
          <w:rtl/>
        </w:rPr>
        <w:t xml:space="preserve"> </w:t>
      </w:r>
      <w:r>
        <w:rPr>
          <w:rFonts w:cs="Arial"/>
          <w:rtl/>
        </w:rPr>
        <w:t>אף כאן שייך הטעם שלא יאמרו נשותיהם נותנים במתנה וכ"כ המגיד בשם הירושלמי ואפשר משום חשש איסור שכתב המחבר הוא יותר חמור שהוא איסור א"א לכן כתב טעם זה ובתנאי שתנש' לפלוני לא שייך זה כמ"ש שם, ב"ש (סקל"ב).</w:t>
      </w:r>
    </w:p>
  </w:footnote>
  <w:footnote w:id="2460">
    <w:p w14:paraId="2681AF8D" w14:textId="77777777" w:rsidR="00C97BEF" w:rsidRDefault="00C97BEF" w:rsidP="00C97BEF">
      <w:pPr>
        <w:pStyle w:val="a5"/>
      </w:pPr>
      <w:r>
        <w:rPr>
          <w:rStyle w:val="a7"/>
        </w:rPr>
        <w:footnoteRef/>
      </w:r>
      <w:r>
        <w:rPr>
          <w:rtl/>
        </w:rPr>
        <w:t xml:space="preserve"> </w:t>
      </w:r>
      <w:r>
        <w:rPr>
          <w:rFonts w:cs="Arial"/>
          <w:rtl/>
        </w:rPr>
        <w:t>בין בזנות בין בנשואין</w:t>
      </w:r>
      <w:r>
        <w:rPr>
          <w:rtl/>
        </w:rPr>
        <w:t>, רש"י.</w:t>
      </w:r>
    </w:p>
  </w:footnote>
  <w:footnote w:id="2461">
    <w:p w14:paraId="58388E5C" w14:textId="77777777" w:rsidR="00C97BEF" w:rsidRDefault="00C97BEF" w:rsidP="00C97BEF">
      <w:pPr>
        <w:pStyle w:val="a5"/>
        <w:rPr>
          <w:rtl/>
        </w:rPr>
      </w:pPr>
      <w:r>
        <w:rPr>
          <w:rStyle w:val="a7"/>
        </w:rPr>
        <w:footnoteRef/>
      </w:r>
      <w:r>
        <w:rPr>
          <w:rtl/>
        </w:rPr>
        <w:t xml:space="preserve"> </w:t>
      </w:r>
      <w:r>
        <w:rPr>
          <w:rFonts w:cs="Arial"/>
          <w:rtl/>
        </w:rPr>
        <w:t>ואין לשון 'אין חוששין שמא נבעלה להם' נוח בכך, ר"ן (מד. ד"ה ת"ר).</w:t>
      </w:r>
    </w:p>
  </w:footnote>
  <w:footnote w:id="2462">
    <w:p w14:paraId="0CBA4CF8" w14:textId="77777777" w:rsidR="00C97BEF" w:rsidRDefault="00C97BEF" w:rsidP="00C97BEF">
      <w:pPr>
        <w:pStyle w:val="a5"/>
      </w:pPr>
      <w:r>
        <w:rPr>
          <w:rStyle w:val="a7"/>
        </w:rPr>
        <w:footnoteRef/>
      </w:r>
      <w:r>
        <w:rPr>
          <w:rFonts w:cs="Arial"/>
          <w:rtl/>
        </w:rPr>
        <w:t xml:space="preserve"> ועיין לעיל סימן זה (עי' עמ' רעא בטור בשם הרמ"ה ובב"י ובבד"ה שם) דיש אומרים דתצא, דרכ"מ (אות ג*).</w:t>
      </w:r>
    </w:p>
  </w:footnote>
  <w:footnote w:id="2463">
    <w:p w14:paraId="01378E82" w14:textId="4486C46A" w:rsidR="00A95080" w:rsidRDefault="00A95080" w:rsidP="00A95080">
      <w:pPr>
        <w:pStyle w:val="a5"/>
        <w:rPr>
          <w:rtl/>
        </w:rPr>
      </w:pPr>
      <w:r>
        <w:rPr>
          <w:rStyle w:val="a7"/>
        </w:rPr>
        <w:footnoteRef/>
      </w:r>
      <w:r>
        <w:rPr>
          <w:rtl/>
        </w:rPr>
        <w:t xml:space="preserve"> </w:t>
      </w:r>
      <w:r>
        <w:rPr>
          <w:rFonts w:cs="Arial"/>
          <w:rtl/>
        </w:rPr>
        <w:t>ומטעם זה נמי ע"מ שתתני לי מאתים זוז - לא תינשא עד שתתן, שמא לא תתן, שלא יהיה לה ממה ליתן</w:t>
      </w:r>
      <w:r>
        <w:rPr>
          <w:rFonts w:cs="Arial" w:hint="cs"/>
          <w:rtl/>
        </w:rPr>
        <w:t>, טור.</w:t>
      </w:r>
      <w:r w:rsidR="00EF21DB">
        <w:rPr>
          <w:rFonts w:cs="Arial" w:hint="cs"/>
          <w:rtl/>
        </w:rPr>
        <w:t xml:space="preserve"> וכ"כ הרא"ש</w:t>
      </w:r>
      <w:r w:rsidR="00414E07">
        <w:rPr>
          <w:rFonts w:cs="Arial" w:hint="cs"/>
          <w:rtl/>
        </w:rPr>
        <w:t xml:space="preserve"> (פ"ט סי' ב)</w:t>
      </w:r>
      <w:r w:rsidR="00EF21DB">
        <w:rPr>
          <w:rFonts w:cs="Arial" w:hint="cs"/>
          <w:rtl/>
        </w:rPr>
        <w:t xml:space="preserve">. </w:t>
      </w:r>
    </w:p>
  </w:footnote>
  <w:footnote w:id="2464">
    <w:p w14:paraId="62278EFF" w14:textId="77777777" w:rsidR="00C97BEF" w:rsidRDefault="00C97BEF" w:rsidP="00C97BEF">
      <w:pPr>
        <w:pStyle w:val="a5"/>
        <w:rPr>
          <w:rtl/>
        </w:rPr>
      </w:pPr>
      <w:r>
        <w:rPr>
          <w:rStyle w:val="a7"/>
        </w:rPr>
        <w:footnoteRef/>
      </w:r>
      <w:r>
        <w:rPr>
          <w:rtl/>
        </w:rPr>
        <w:t xml:space="preserve"> </w:t>
      </w:r>
      <w:r>
        <w:rPr>
          <w:rFonts w:cs="Arial"/>
          <w:rtl/>
        </w:rPr>
        <w:t>כבר כתבתי (סקכ"ג) דהחשש הוא שמא תבעל אחר מיתת המגרש לכן חיישינן כאן טפי מחשש שמא יבוא עליה אביה באונס, ב"ש (סקל"ג).</w:t>
      </w:r>
    </w:p>
  </w:footnote>
  <w:footnote w:id="2465">
    <w:p w14:paraId="22A5C2BA" w14:textId="77777777" w:rsidR="00C97BEF" w:rsidRDefault="00C97BEF" w:rsidP="00C97BEF">
      <w:pPr>
        <w:pStyle w:val="a5"/>
      </w:pPr>
      <w:r>
        <w:rPr>
          <w:rStyle w:val="a7"/>
        </w:rPr>
        <w:footnoteRef/>
      </w:r>
      <w:r>
        <w:rPr>
          <w:rtl/>
        </w:rPr>
        <w:t xml:space="preserve"> </w:t>
      </w:r>
      <w:r>
        <w:rPr>
          <w:rFonts w:cs="Arial"/>
          <w:rtl/>
        </w:rPr>
        <w:t>שאין מפרידן אלא המות, דעד יום מותה קשורה בו</w:t>
      </w:r>
      <w:r>
        <w:rPr>
          <w:rtl/>
        </w:rPr>
        <w:t>, רש"י.</w:t>
      </w:r>
    </w:p>
  </w:footnote>
  <w:footnote w:id="2466">
    <w:p w14:paraId="4C2C173C" w14:textId="77777777" w:rsidR="00C97BEF" w:rsidRDefault="00C97BEF" w:rsidP="00C97BEF">
      <w:pPr>
        <w:pStyle w:val="a5"/>
        <w:rPr>
          <w:rtl/>
        </w:rPr>
      </w:pPr>
      <w:r>
        <w:rPr>
          <w:rStyle w:val="a7"/>
        </w:rPr>
        <w:footnoteRef/>
      </w:r>
      <w:r>
        <w:rPr>
          <w:rtl/>
        </w:rPr>
        <w:t xml:space="preserve"> </w:t>
      </w:r>
      <w:r>
        <w:rPr>
          <w:rFonts w:cs="Arial"/>
          <w:rtl/>
        </w:rPr>
        <w:t>מיד והיא תקיים התנאי, רש"י.</w:t>
      </w:r>
    </w:p>
  </w:footnote>
  <w:footnote w:id="2467">
    <w:p w14:paraId="52844571" w14:textId="77777777" w:rsidR="00C97BEF" w:rsidRDefault="00C97BEF" w:rsidP="00C97BEF">
      <w:pPr>
        <w:pStyle w:val="a5"/>
      </w:pPr>
      <w:r>
        <w:rPr>
          <w:rStyle w:val="a7"/>
        </w:rPr>
        <w:footnoteRef/>
      </w:r>
      <w:r>
        <w:rPr>
          <w:rtl/>
        </w:rPr>
        <w:t xml:space="preserve"> </w:t>
      </w:r>
      <w:r>
        <w:rPr>
          <w:rFonts w:cs="Arial"/>
          <w:rtl/>
        </w:rPr>
        <w:t>כן כתב שם הרא"ש (ריש סי' ב) וכן הוא דעת התוספות גבי הא דתניא שרבי אליעזר מתיר לכל אדם חוץ מאותו האיש (פב: ד"ה שרבי), ב"י.</w:t>
      </w:r>
    </w:p>
  </w:footnote>
  <w:footnote w:id="2468">
    <w:p w14:paraId="3768E86D" w14:textId="77777777" w:rsidR="00C97BEF" w:rsidRDefault="00C97BEF" w:rsidP="00C97BEF">
      <w:pPr>
        <w:pStyle w:val="a5"/>
      </w:pPr>
      <w:r>
        <w:rPr>
          <w:rStyle w:val="a7"/>
        </w:rPr>
        <w:footnoteRef/>
      </w:r>
      <w:r>
        <w:rPr>
          <w:rtl/>
        </w:rPr>
        <w:t xml:space="preserve"> </w:t>
      </w:r>
      <w:r>
        <w:rPr>
          <w:rFonts w:cs="Arial"/>
          <w:rtl/>
        </w:rPr>
        <w:t>נ"ל שלמד כן ממה שכתב הרשב"א... ודברי הרשב"א מגומגמים אצלי</w:t>
      </w:r>
      <w:r>
        <w:rPr>
          <w:rFonts w:cs="Arial"/>
          <w:sz w:val="16"/>
          <w:szCs w:val="16"/>
          <w:rtl/>
        </w:rPr>
        <w:t xml:space="preserve"> {היינו שאינם מתפרשים היטב כדברי הטור}</w:t>
      </w:r>
      <w:r>
        <w:rPr>
          <w:rFonts w:cs="Arial"/>
          <w:rtl/>
        </w:rPr>
        <w:t xml:space="preserve">, דמשמע </w:t>
      </w:r>
      <w:r>
        <w:rPr>
          <w:rFonts w:cs="Arial"/>
          <w:sz w:val="16"/>
          <w:szCs w:val="16"/>
          <w:rtl/>
        </w:rPr>
        <w:t xml:space="preserve">{מדברי הרשב"א} </w:t>
      </w:r>
      <w:r>
        <w:rPr>
          <w:rFonts w:cs="Arial"/>
          <w:rtl/>
        </w:rPr>
        <w:t>דלא מכשרינן אלא דוקא באומר חמשים שנה, שאע"פ שהיא זקנה אפשר שתחיה יותר מכן. אבל אילו אמר מאתים שנה וכיוצא, מאחר שלא נמצא כלל מי שיחיה כל כך זמן - הוי ליה ככל ימי חייכי. ואילו לדברי רבינו שתלה הענין בדבר פסוק אפשר דמשמע ליה דאפילו באומר מאתים שנה הרי זו מגורשת. וכן נראה, שאל"כ אפילו באומר חמשים שנה נמי אם היא בת שמונים או בת תשעים שנה שלא נמצא מי שיחיה כל כך זמן מי נימא דאין זה כריתות. וא"כ נתת דבריך לשיעורין (גיטין יד.), ב"י.</w:t>
      </w:r>
    </w:p>
  </w:footnote>
  <w:footnote w:id="2469">
    <w:p w14:paraId="4EA97869" w14:textId="2A99D8A4" w:rsidR="00C97BEF" w:rsidRDefault="00C97BEF" w:rsidP="00C97BEF">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אם אמר לה על מנת שלא תנשאי לפלוני עד חמשים שנה - הרי זה גט ולא תנשא לו כל זמן שהתנה...</w:t>
      </w:r>
    </w:p>
  </w:footnote>
  <w:footnote w:id="2470">
    <w:p w14:paraId="567D33AD" w14:textId="77777777" w:rsidR="00C97BEF" w:rsidRDefault="00C97BEF" w:rsidP="00C97BEF">
      <w:pPr>
        <w:pStyle w:val="a5"/>
      </w:pPr>
      <w:r>
        <w:rPr>
          <w:rStyle w:val="a7"/>
        </w:rPr>
        <w:footnoteRef/>
      </w:r>
      <w:r>
        <w:rPr>
          <w:rtl/>
        </w:rPr>
        <w:t xml:space="preserve"> </w:t>
      </w:r>
      <w:r>
        <w:rPr>
          <w:rFonts w:cs="Arial"/>
          <w:rtl/>
        </w:rPr>
        <w:t>וכתב הר"ש בר צמח בתשובה (תשבץ ח"א סי' ד) שמה שכתב הרמב"ם חמשים שנה לאו דוקא, אלא שתפס לרבותא היותר זמן רחוק שאפשר שהם ימי שנותינו בהם שבעים שנה (תהלים צ י), והאשה המתגרשת ע"י עצמה יש לה יותר משתים עשרה שנה וקרובה לעשרים, ואי אפשר לחיות אחר זה לפי מנהגו של עולם סכום שלם יותר מחמשים שנה, ב"י.</w:t>
      </w:r>
      <w:r>
        <w:rPr>
          <w:rFonts w:cs="Arial"/>
          <w:color w:val="E36C0A" w:themeColor="accent6" w:themeShade="BF"/>
          <w:rtl/>
        </w:rPr>
        <w:t xml:space="preserve"> (וכ"ס בשו"ע)</w:t>
      </w:r>
    </w:p>
  </w:footnote>
  <w:footnote w:id="2471">
    <w:p w14:paraId="1C346464" w14:textId="260E6E8B" w:rsidR="00C97BEF" w:rsidRDefault="00C97BEF" w:rsidP="00C97BEF">
      <w:pPr>
        <w:pStyle w:val="a5"/>
      </w:pPr>
      <w:r>
        <w:rPr>
          <w:rStyle w:val="a7"/>
        </w:rPr>
        <w:footnoteRef/>
      </w:r>
      <w:r>
        <w:rPr>
          <w:rtl/>
        </w:rPr>
        <w:t xml:space="preserve"> </w:t>
      </w:r>
      <w:r>
        <w:rPr>
          <w:rFonts w:cs="Arial"/>
          <w:rtl/>
        </w:rPr>
        <w:t>ו</w:t>
      </w:r>
      <w:r w:rsidR="009334FF">
        <w:rPr>
          <w:rFonts w:cs="Arial"/>
          <w:rtl/>
        </w:rPr>
        <w:t>בהג"ה</w:t>
      </w:r>
      <w:r>
        <w:rPr>
          <w:rFonts w:cs="Arial"/>
          <w:rtl/>
        </w:rPr>
        <w:t xml:space="preserve">"ג רעק"א ז"ל כתב בזה </w:t>
      </w:r>
      <w:r w:rsidR="000A0F5A">
        <w:rPr>
          <w:rFonts w:cs="Arial"/>
          <w:rtl/>
        </w:rPr>
        <w:t>וז"ל:</w:t>
      </w:r>
      <w:r>
        <w:rPr>
          <w:rFonts w:cs="Arial"/>
          <w:rtl/>
        </w:rPr>
        <w:t xml:space="preserve"> ואם אמר סתם ע"מ שלא תשתי יין עיין מהריב"ל (ח"א סי' קכ) עכ"ל, פת"ש (סקי"ח).</w:t>
      </w:r>
    </w:p>
  </w:footnote>
  <w:footnote w:id="2472">
    <w:p w14:paraId="20FC236D" w14:textId="77777777" w:rsidR="00C97BEF" w:rsidRDefault="00C97BEF" w:rsidP="00C97BEF">
      <w:pPr>
        <w:pStyle w:val="a5"/>
      </w:pPr>
      <w:r>
        <w:rPr>
          <w:rStyle w:val="a7"/>
        </w:rPr>
        <w:footnoteRef/>
      </w:r>
      <w:r>
        <w:rPr>
          <w:rtl/>
        </w:rPr>
        <w:t xml:space="preserve"> </w:t>
      </w:r>
      <w:r>
        <w:rPr>
          <w:rFonts w:cs="Arial"/>
          <w:rtl/>
        </w:rPr>
        <w:t>ע' בשעה"מ (פ"ח מה"ג הי"א, ויובא לקמן סכ"ב סקכ"ג) מבואר מדבריו שלדעת הרשב"א דוקא בכה"ג שתלה הדבר רק בחיי איש אחד אבל אם אמר כל ימי חיי פלוני או פלוני אין זה כריתות ולדעת הר"ן אינו כן ע"ש. וצ"ע, פת"ש (סק"כ).</w:t>
      </w:r>
    </w:p>
  </w:footnote>
  <w:footnote w:id="2473">
    <w:p w14:paraId="03E7D0F0" w14:textId="77777777" w:rsidR="00C97BEF" w:rsidRDefault="00C97BEF" w:rsidP="00C97BEF">
      <w:pPr>
        <w:pStyle w:val="a5"/>
      </w:pPr>
      <w:r>
        <w:rPr>
          <w:rStyle w:val="a7"/>
        </w:rPr>
        <w:footnoteRef/>
      </w:r>
      <w:r>
        <w:rPr>
          <w:rtl/>
        </w:rPr>
        <w:t xml:space="preserve"> </w:t>
      </w:r>
      <w:r>
        <w:rPr>
          <w:rFonts w:cs="Arial"/>
          <w:rtl/>
        </w:rPr>
        <w:t>ועיין בשעה"מ שם שכ' עליו דאשתמיט מיניה דברי התוס' פ' מי שאחזו</w:t>
      </w:r>
      <w:r>
        <w:rPr>
          <w:rFonts w:cs="Arial"/>
          <w:sz w:val="16"/>
          <w:szCs w:val="16"/>
          <w:rtl/>
        </w:rPr>
        <w:t xml:space="preserve"> (עה: בד"ה מת הבן)</w:t>
      </w:r>
      <w:r>
        <w:rPr>
          <w:rFonts w:cs="Arial"/>
          <w:rtl/>
        </w:rPr>
        <w:t xml:space="preserve"> שכתבו כן בהדיא ע"ש, פת"ש (סקי"ז).</w:t>
      </w:r>
    </w:p>
  </w:footnote>
  <w:footnote w:id="2474">
    <w:p w14:paraId="6F472D79" w14:textId="77777777" w:rsidR="00C97BEF" w:rsidRDefault="00C97BEF" w:rsidP="00C97BEF">
      <w:pPr>
        <w:pStyle w:val="a5"/>
      </w:pPr>
      <w:r>
        <w:rPr>
          <w:rStyle w:val="a7"/>
        </w:rPr>
        <w:footnoteRef/>
      </w:r>
      <w:r>
        <w:rPr>
          <w:rtl/>
        </w:rPr>
        <w:t xml:space="preserve"> </w:t>
      </w:r>
      <w:r>
        <w:rPr>
          <w:rFonts w:cs="Arial"/>
          <w:rtl/>
        </w:rPr>
        <w:t>ואם נאמר דמשום דאי לא תתן תהי' אגודה ביה באיסור שתיית יין אין זה גט כריתות, א"כ בכל תנאים דעלמא ואף בתנאי דע"מ שתתן ר' זוז לחוד אם לא תקיים התנאי הרי כל גופה אגידא ביה והיא כאשתו לכל דבר, ובכל זאת בתנאי דמעכשיו כל כמה שיש בידה לקיים התנאי אף דעדיין לא קיימה מותרת להנשא לכתחלה, ומשום דאמרי' דבכדי שלא תקלקל א"ע ותשוב להיות אגידא ביה מסתמא תקיים התנאי. וכמו כן אם הוסיף עוד תנאי דאם לא תתן תהיה אסורה בשתיית יין לעולם מותרת ג"כ להנשא לכתחילה דכיון דבעינן דבר הכורת וכי נשאר עוד אגידת דבר ביניהם אינו גט משום הא גופא מותרת להנשא לכתחילה, דאמרי' דבכדי שלא תקלקל א"ע ותבטל הגט ע"י איסור שתיית יין, מסתמא תקיים התנאי והיא תתן המאתים זוז. וכי נתנה הר' זוז אזי התנאי של איסור שתיית יין בטל למפרע, יד המלך (שם).</w:t>
      </w:r>
    </w:p>
  </w:footnote>
  <w:footnote w:id="2475">
    <w:p w14:paraId="4719D065" w14:textId="61B05FC5" w:rsidR="00895399" w:rsidRDefault="00895399">
      <w:pPr>
        <w:pStyle w:val="a5"/>
      </w:pPr>
      <w:r>
        <w:rPr>
          <w:rStyle w:val="a7"/>
        </w:rPr>
        <w:footnoteRef/>
      </w:r>
      <w:r>
        <w:rPr>
          <w:rtl/>
        </w:rPr>
        <w:t xml:space="preserve"> </w:t>
      </w:r>
      <w:r w:rsidRPr="00895399">
        <w:rPr>
          <w:rFonts w:cs="Arial"/>
          <w:rtl/>
        </w:rPr>
        <w:t>רבי משה די ברושליש, תלמיד הרא"ש, חיבר קיצור של תשובות נבחרות מאת רבו הרא"ש</w:t>
      </w:r>
      <w:r>
        <w:rPr>
          <w:rFonts w:cs="Arial" w:hint="cs"/>
          <w:rtl/>
        </w:rPr>
        <w:t>.</w:t>
      </w:r>
    </w:p>
  </w:footnote>
  <w:footnote w:id="2476">
    <w:p w14:paraId="18A87432" w14:textId="77777777" w:rsidR="00C97BEF" w:rsidRDefault="00C97BEF" w:rsidP="00C97BEF">
      <w:pPr>
        <w:pStyle w:val="a5"/>
      </w:pPr>
      <w:r>
        <w:rPr>
          <w:rStyle w:val="a7"/>
        </w:rPr>
        <w:footnoteRef/>
      </w:r>
      <w:r>
        <w:rPr>
          <w:rtl/>
        </w:rPr>
        <w:t xml:space="preserve"> </w:t>
      </w:r>
      <w:r>
        <w:rPr>
          <w:rFonts w:cs="Arial"/>
          <w:rtl/>
        </w:rPr>
        <w:t>כן הוא לדעת הרמב"ם ולדעת שאר פוסקים. אלא לדעת הרמב"ם אם לא קצב זמן לא הוי תנאי אע"ג דאם ימות האב מותרת לילך לאותו בית, מ"מ אין היתר לבית אביה, דתו לא נקרא בית אביה. נמצא דאין היתר לאותו דבר שאסר עליה. וכ"כ לעיל בתנאי שלא תנשא לפלוני. וכן ס"ל בכל אלו תנאים. ולשיטות תוס' והרא"ש אם לא קצב זמן הוי תנאי לעולם, משום דאפילו אחר מיתת אביה לא הותר. ועי' ביו"ד סי' רט"ז ותוס' גיטין ובערובין (טו.) כתבו יוצאי יריכו בכלל בית אב והוי כאלו אמר לעולם, ב"ש (סקל"ד).</w:t>
      </w:r>
    </w:p>
  </w:footnote>
  <w:footnote w:id="2477">
    <w:p w14:paraId="117E51BF" w14:textId="77777777" w:rsidR="00C97BEF" w:rsidRDefault="00C97BEF" w:rsidP="00C97BEF">
      <w:pPr>
        <w:pStyle w:val="a5"/>
        <w:rPr>
          <w:rtl/>
        </w:rPr>
      </w:pPr>
      <w:r>
        <w:rPr>
          <w:rStyle w:val="a7"/>
        </w:rPr>
        <w:footnoteRef/>
      </w:r>
      <w:r>
        <w:rPr>
          <w:rtl/>
        </w:rPr>
        <w:t xml:space="preserve"> </w:t>
      </w:r>
      <w:r>
        <w:rPr>
          <w:rFonts w:cs="Arial"/>
          <w:rtl/>
        </w:rPr>
        <w:t xml:space="preserve">וכבר כתב הר"ן בריש המגרש (מג: ד"ה אמר רבא) שדבריו תמוהין, דהא משמע דלדברי האומרים דבעל מנת שלא תנשאי מודו רבנן לרבי אליעזר, אפילו אמר לה על מנת שלא תנשאי לו לעולם - מגורשת, שכיון שאין התנאי נמשך אלא כל ימי חייו הוי ליה כעל מנת שלא תשתי יין כל ימי חיי פלוני. ונראה שדעתו ז"ל דהתם שאני, מפני שהיא רשאה לשתות יין לאחר מיתתו ונמצא שלא נאסרה ביין לעולם. אבל זו נאסרה בנישואיו לעולם, שהרי כל ימי חייו לא תנשא לו, ונישואין לאחר מיתה אי אפשר </w:t>
      </w:r>
      <w:r>
        <w:rPr>
          <w:rFonts w:cs="Arial"/>
          <w:sz w:val="16"/>
          <w:szCs w:val="16"/>
          <w:rtl/>
        </w:rPr>
        <w:t>(ולמדה מדאמרינן בגמרא דעל מנת שלא תלכי לבית אביך לעולם אין זה כריתות. ואמאי, והא אמרינן בנדרים (מו.) קונם ביתך שאיני נכנס, מת או שמכרו לאחר מותר. והכא נמי רשאה לילך לבית אביה לאחר מיתתו, ונמצא שאין תנאי זה אלא ככל ימי חיי פלוני. אלא ודאי היינו טעמא שאע"פ שלאחר מיתת האב אי אפשר לה לעבור על תנאה, אפילו הכי בבית אביה שנאסרה לא תהא מותרת לעולם, דלאחר מיתת אביה לאו בית אביה הוא, הכי נמי במתנה שלא תנשאי לפלוני אע"פ שלאחר מיתתו אי אפשר לה לעבור על תנאה, מכל מקום לא תהא מותרת בנישואי אותו פלוני לעולם... ואחרים דוחים דלבית אביך לאו דוקא, אלא שאמר לה לבית זה שהוא של אביך שהיא אסורה בו אפילו מת או מכרו לאחר כדאיתא התם (נדרים מו.). ובתוספות (גיטין כא: ד"ה שלא) תירצו דכל יוצאי יריכו קרויין בית אביו אע"פ שמת. ולבי מפקפק בזה אמאי לא הוו כל יוצאי יריכו נמי ככל חיי פלוני, דהא אפשר דמיתו כולהו. והתירוץ הראשון הוא עיקר)</w:t>
      </w:r>
      <w:r>
        <w:rPr>
          <w:rFonts w:cs="Arial"/>
          <w:rtl/>
        </w:rPr>
        <w:t xml:space="preserve"> עכ"ל. וכיוצא בזה כתב הה"מ (פ"ח הי"א), </w:t>
      </w:r>
      <w:r>
        <w:rPr>
          <w:rFonts w:cs="Arial"/>
          <w:b/>
          <w:bCs/>
          <w:rtl/>
        </w:rPr>
        <w:t>ב"י</w:t>
      </w:r>
      <w:r>
        <w:rPr>
          <w:rFonts w:cs="Arial"/>
          <w:rtl/>
        </w:rPr>
        <w:t xml:space="preserve">.       עוד הביא הב"י את תשו' הרשב"א </w:t>
      </w:r>
      <w:r>
        <w:rPr>
          <w:rFonts w:cs="Arial"/>
          <w:sz w:val="16"/>
          <w:szCs w:val="16"/>
          <w:rtl/>
        </w:rPr>
        <w:t xml:space="preserve">(ח"א סי' אלף קסח, ובמיוחסות סי' קכט) </w:t>
      </w:r>
      <w:r>
        <w:rPr>
          <w:rFonts w:cs="Arial"/>
          <w:rtl/>
        </w:rPr>
        <w:t>שבה חלק על הרמב"ם, ומתוך דבריו נדחת העמדת הר"ן בדברי הרמב"ם. וז"ל הרשב"א (שם)- ואני תמה על הרמב"ם שכתב דעל מנת שלא תנשאי לפלוני מכאן ועד חמשים שנה הרי זה גט אבל על מנת שלא תנשאי לפלוני לעולם אין זה כריתות הואיל והיא אסורה מחמתו באיש זה לעולם. הנה שהוא מודה בפסקן של ראשונים דבחוץ פליגי אבל בעל מנת מודו ליה רבנן, אלא שברר לו דרך אחרת שכל שהוא אוסרה בתנאו זה לעולם אין זה כריתות, כמו שתמצא לו בפרק ח' מהלכות גירושין. וסמך לו על אותה שאמרו על מנת שלא תשתי יין לעולם על מנת שלא תלכי לבית אביך לעולם אין זה כריתות. ולפי דעתו הוא הדין באומר לה על מנת שלא תשתי יין זה לעולם. וכבוד הרב במקומו מונח, שאין דבריו נוחים במקום זה כלל. חדא, דאם כן לישמועינן תנא דברייתא יין זה, וכל שכן יין סתם. ועוד, דא"כ הא דאמרינן בריש המגרש (פב.) בחוץ הוא דפליגי אבל בעל מנת מודו ליה רבנן, דוקא בעל מנת שלא תנשאי מכאן ועד שלשים יום קאמר, ואי אפשר לומר כן למי שמעיין אפילו עיון מועט באותה סוגיא, דכולה על מנת דומיא דחוץ נסבא. ועוד שמצאתי בתוספתא (פ"ה הי"ג) דקתני על מנת שלא תעלי באילן זה על מנת שלא תעלי בכותל זה, נקצץ האילן ונסתר הכותל הרי זה גט. וזה מבואר שלא כדבריו עכ"ל.</w:t>
      </w:r>
    </w:p>
  </w:footnote>
  <w:footnote w:id="2478">
    <w:p w14:paraId="3612CCFA" w14:textId="281C6D34" w:rsidR="00C97BEF" w:rsidRDefault="00C97BEF" w:rsidP="00C97BEF">
      <w:pPr>
        <w:pStyle w:val="a5"/>
      </w:pPr>
      <w:r>
        <w:rPr>
          <w:rStyle w:val="a7"/>
        </w:rPr>
        <w:footnoteRef/>
      </w:r>
      <w:r>
        <w:rPr>
          <w:rtl/>
        </w:rPr>
        <w:t xml:space="preserve"> </w:t>
      </w:r>
      <w:r>
        <w:rPr>
          <w:rFonts w:cs="Arial"/>
          <w:rtl/>
        </w:rPr>
        <w:t>לא כתב כן הרמב"ם</w:t>
      </w:r>
      <w:r>
        <w:rPr>
          <w:rFonts w:cs="Arial"/>
          <w:sz w:val="16"/>
          <w:szCs w:val="16"/>
          <w:rtl/>
        </w:rPr>
        <w:t xml:space="preserve"> {שכך היא לשון הרמב"ם שם</w:t>
      </w:r>
      <w:r w:rsidR="00A72533">
        <w:rPr>
          <w:rFonts w:cs="Arial" w:hint="cs"/>
          <w:sz w:val="16"/>
          <w:szCs w:val="16"/>
          <w:rtl/>
        </w:rPr>
        <w:t>:</w:t>
      </w:r>
      <w:r>
        <w:rPr>
          <w:rFonts w:cs="Arial"/>
          <w:sz w:val="16"/>
          <w:szCs w:val="16"/>
          <w:rtl/>
        </w:rPr>
        <w:t xml:space="preserve"> האומר לאשה הרי זה גיטיך על מנת שלא תאכלי בשר זה לעולם, על מנת שלא תשתי יין זה לעולם - אינו גט שאין זה כריתות. עד שלשים יום - הרי זה גט}</w:t>
      </w:r>
      <w:r>
        <w:rPr>
          <w:rFonts w:cs="Arial"/>
          <w:rtl/>
        </w:rPr>
        <w:t xml:space="preserve">, אבל נלמד הוא מתוך דבריו, כמו שכתב הרשב"א </w:t>
      </w:r>
      <w:r>
        <w:rPr>
          <w:rFonts w:cs="Arial"/>
          <w:sz w:val="16"/>
          <w:szCs w:val="16"/>
          <w:rtl/>
        </w:rPr>
        <w:t>(ח"א סי' אלף קסח, ובמיוחסות סי' קכט, ובחי' גיטין פג: ד"ה ע"מ שלא)</w:t>
      </w:r>
      <w:r>
        <w:rPr>
          <w:rFonts w:cs="Arial"/>
          <w:rtl/>
        </w:rPr>
        <w:t>, וכן כתב הרב המגיד (פ"ח הי"א) שכך הוא דעתו של הרמב"ם, ב"י.</w:t>
      </w:r>
    </w:p>
  </w:footnote>
  <w:footnote w:id="2479">
    <w:p w14:paraId="0A4E5C54" w14:textId="77777777" w:rsidR="00C97BEF" w:rsidRDefault="00C97BEF" w:rsidP="00C97BEF">
      <w:pPr>
        <w:pStyle w:val="a5"/>
      </w:pPr>
      <w:r>
        <w:rPr>
          <w:rStyle w:val="a7"/>
        </w:rPr>
        <w:footnoteRef/>
      </w:r>
      <w:r>
        <w:rPr>
          <w:rtl/>
        </w:rPr>
        <w:t xml:space="preserve"> </w:t>
      </w:r>
      <w:r>
        <w:rPr>
          <w:rFonts w:cs="Arial"/>
          <w:rtl/>
        </w:rPr>
        <w:t>כן כתב הרשב"א בפרק המגרש (שם), והאריך בדבר וכבר כתבתי בסמוך דבריו בזה בתשובה, ב"י.</w:t>
      </w:r>
    </w:p>
  </w:footnote>
  <w:footnote w:id="2480">
    <w:p w14:paraId="7B38BD42" w14:textId="77777777" w:rsidR="00C97BEF" w:rsidRDefault="00C97BEF" w:rsidP="00C97BEF">
      <w:pPr>
        <w:pStyle w:val="a5"/>
      </w:pPr>
      <w:r>
        <w:rPr>
          <w:rStyle w:val="a7"/>
        </w:rPr>
        <w:footnoteRef/>
      </w:r>
      <w:r>
        <w:rPr>
          <w:rtl/>
        </w:rPr>
        <w:t xml:space="preserve"> </w:t>
      </w:r>
      <w:r>
        <w:rPr>
          <w:rFonts w:cs="Arial"/>
          <w:rtl/>
        </w:rPr>
        <w:t>כלומר לא מהני טענת אונס בגיטין, דאפילו אם לא הניח מלקיים תנאו אלא מפני האונס - הגט גט, ב"י.</w:t>
      </w:r>
    </w:p>
  </w:footnote>
  <w:footnote w:id="2481">
    <w:p w14:paraId="4AC17666" w14:textId="578515E1" w:rsidR="00C97BEF" w:rsidRDefault="00C97BEF" w:rsidP="00C97BEF">
      <w:pPr>
        <w:pStyle w:val="a5"/>
      </w:pPr>
      <w:r>
        <w:rPr>
          <w:rStyle w:val="a7"/>
        </w:rPr>
        <w:footnoteRef/>
      </w:r>
      <w:r>
        <w:rPr>
          <w:rtl/>
        </w:rPr>
        <w:t xml:space="preserve"> </w:t>
      </w:r>
      <w:r>
        <w:rPr>
          <w:rFonts w:hint="cs"/>
          <w:rtl/>
        </w:rPr>
        <w:t xml:space="preserve">המרדכי (שם) כתב כן בשם ריב"ן. הגה"מ (פ"ט ה"א) כתב כן בשם ראבי"ה. הג"א (גיטין פ"ג סי' י הגהה א) והאגודה (פ"ג סי' כב) כתבו כן בשם ראב"ן. ובאמת בראבי"ה (ח"ד סי' תתקא ד"ה איני יכול) כתוב כך </w:t>
      </w:r>
      <w:r w:rsidR="000A0F5A">
        <w:rPr>
          <w:rFonts w:hint="cs"/>
          <w:rtl/>
        </w:rPr>
        <w:t>וז</w:t>
      </w:r>
      <w:r w:rsidR="000A0F5A">
        <w:rPr>
          <w:rtl/>
        </w:rPr>
        <w:t>"</w:t>
      </w:r>
      <w:r w:rsidR="000A0F5A">
        <w:rPr>
          <w:rFonts w:hint="cs"/>
          <w:rtl/>
        </w:rPr>
        <w:t>ל:</w:t>
      </w:r>
      <w:r>
        <w:rPr>
          <w:rFonts w:hint="cs"/>
          <w:rtl/>
        </w:rPr>
        <w:t xml:space="preserve"> </w:t>
      </w:r>
      <w:r>
        <w:rPr>
          <w:rFonts w:cs="Arial"/>
          <w:rtl/>
        </w:rPr>
        <w:t>כגון אונס בגיטין, דמדאוריית' לא הוי גיטא, אפי' הכי משום עיגונ' דזמנין דאניס ואמרי' לא אניס אפקעינהו רבנן לקידושין וחשיב גיטא. עכ"ל. משמע שאין אונס בגיטין בכל מצב, אפילו בידי שמים.</w:t>
      </w:r>
    </w:p>
  </w:footnote>
  <w:footnote w:id="2482">
    <w:p w14:paraId="7AE816C5" w14:textId="77777777" w:rsidR="00C97BEF" w:rsidRDefault="00C97BEF" w:rsidP="00C97BEF">
      <w:pPr>
        <w:pStyle w:val="a5"/>
      </w:pPr>
      <w:r>
        <w:rPr>
          <w:rStyle w:val="a7"/>
        </w:rPr>
        <w:footnoteRef/>
      </w:r>
      <w:r>
        <w:rPr>
          <w:rtl/>
        </w:rPr>
        <w:t xml:space="preserve"> </w:t>
      </w:r>
      <w:r>
        <w:rPr>
          <w:rFonts w:cs="Arial"/>
          <w:rtl/>
        </w:rPr>
        <w:t xml:space="preserve">ויש מביאין ראיה דיש אונס בגיטין בידי שמים מדאמרי' פ' מי שאחזו (עג.) שלחו מתם אכלי ארי אנו אין לנו, פר"ח דתירוצא הוא דנשכו נחש דברייתא הוי כמו אכלו ארי שהוא בידי שמים, ולא קשיא רישא לסיפא, דרבא אית ליה התם בכתובות בלישנא בתרא טענת דאונס בגיטין והך דהכא, ולישנא קמא דרבא מיירי בידי אדם, ותרתי לישנא לא קשיא, </w:t>
      </w:r>
      <w:r>
        <w:rPr>
          <w:rFonts w:cs="Arial"/>
          <w:b/>
          <w:bCs/>
          <w:rtl/>
        </w:rPr>
        <w:t xml:space="preserve">מרדכי </w:t>
      </w:r>
      <w:r>
        <w:rPr>
          <w:rFonts w:cs="Arial"/>
          <w:rtl/>
        </w:rPr>
        <w:t xml:space="preserve">(שם). וכתב </w:t>
      </w:r>
      <w:r>
        <w:rPr>
          <w:rFonts w:cs="Arial"/>
          <w:b/>
          <w:bCs/>
          <w:rtl/>
        </w:rPr>
        <w:t xml:space="preserve">הב"י </w:t>
      </w:r>
      <w:r>
        <w:rPr>
          <w:rFonts w:cs="Arial"/>
          <w:rtl/>
        </w:rPr>
        <w:t>דיוצא דאכלו ארי או נשכו נחש הוי בידי שמים, וכי אמר רבא אין אונס היינו באונס דבידי אדם. ולפי זה צריך לומר דפסקיה מברא הוי אונס דבידי אדם שלא נזדמן לו ספינה לעבור כמו שהיו נוהגים, ומשום הכי אמרינן בסוף פרק כל הגט (ל.) דאינו אונס, אבל אם לא היו רגילין לעבור בספינה אלא בנהר יעברו ברגל ועכשיו גדל הנהר דאינו יכול לעבור נראה דמיקרי עכבה בידי שמים.</w:t>
      </w:r>
    </w:p>
  </w:footnote>
  <w:footnote w:id="2483">
    <w:p w14:paraId="34BE7D1A" w14:textId="77777777" w:rsidR="00C97BEF" w:rsidRDefault="00C97BEF" w:rsidP="00C97BEF">
      <w:pPr>
        <w:pStyle w:val="a5"/>
      </w:pPr>
      <w:r>
        <w:rPr>
          <w:rStyle w:val="a7"/>
        </w:rPr>
        <w:footnoteRef/>
      </w:r>
      <w:r>
        <w:rPr>
          <w:rtl/>
        </w:rPr>
        <w:t xml:space="preserve"> </w:t>
      </w:r>
      <w:r>
        <w:rPr>
          <w:rFonts w:cs="Arial"/>
          <w:rtl/>
        </w:rPr>
        <w:t>דין הכישו נחש או אכלו ארי וכו' כתב רבינו סוף סימן קמ"ה ושם יתבאר בסייעתא דשמיא, ב"י.</w:t>
      </w:r>
    </w:p>
  </w:footnote>
  <w:footnote w:id="2484">
    <w:p w14:paraId="0AD219E7" w14:textId="77777777" w:rsidR="00C97BEF" w:rsidRDefault="00C97BEF" w:rsidP="00C97BEF">
      <w:pPr>
        <w:pStyle w:val="a5"/>
      </w:pPr>
      <w:r>
        <w:rPr>
          <w:rStyle w:val="a7"/>
        </w:rPr>
        <w:footnoteRef/>
      </w:r>
      <w:r>
        <w:rPr>
          <w:rtl/>
        </w:rPr>
        <w:t xml:space="preserve"> </w:t>
      </w:r>
      <w:r>
        <w:rPr>
          <w:rFonts w:cs="Arial"/>
          <w:rtl/>
        </w:rPr>
        <w:t>לישנא קמא דאמר רב יוסף מי יהיב לה תרקבא דדינרי ולא איפייסא.</w:t>
      </w:r>
    </w:p>
  </w:footnote>
  <w:footnote w:id="2485">
    <w:p w14:paraId="39386306" w14:textId="330BAC4A" w:rsidR="00C97BEF" w:rsidRDefault="00C97BEF" w:rsidP="00C97BEF">
      <w:pPr>
        <w:pStyle w:val="a5"/>
      </w:pPr>
      <w:r>
        <w:rPr>
          <w:rStyle w:val="a7"/>
        </w:rPr>
        <w:footnoteRef/>
      </w:r>
      <w:r>
        <w:rPr>
          <w:rtl/>
        </w:rPr>
        <w:t xml:space="preserve"> </w:t>
      </w:r>
      <w:r>
        <w:rPr>
          <w:rFonts w:cs="Arial"/>
          <w:rtl/>
        </w:rPr>
        <w:t>אע"ג דאונס מהני בכל התורה כאן בגט תקנו חז"ל דאין אונס בגיטין משום צניעות ומשום פריצות</w:t>
      </w:r>
      <w:r w:rsidR="00D358CC">
        <w:rPr>
          <w:rFonts w:cs="Arial" w:hint="cs"/>
          <w:rtl/>
        </w:rPr>
        <w:t>,</w:t>
      </w:r>
      <w:r>
        <w:rPr>
          <w:rFonts w:cs="Arial"/>
          <w:rtl/>
        </w:rPr>
        <w:t xml:space="preserve"> וכל המקדש ע"ד דרבנן הוא מקדש ואפקעוה חז"ל הקידושין, כן איתא בש"ס </w:t>
      </w:r>
      <w:r w:rsidRPr="004B007A">
        <w:rPr>
          <w:rFonts w:cs="Arial"/>
          <w:sz w:val="16"/>
          <w:szCs w:val="16"/>
          <w:rtl/>
        </w:rPr>
        <w:t>{ועיין בס' פני יהושע למס' כתובות סי' ג' שכ' דקשה על זה, פת"ש [סק"ג]}</w:t>
      </w:r>
      <w:r>
        <w:rPr>
          <w:rFonts w:cs="Arial"/>
          <w:rtl/>
        </w:rPr>
        <w:t>. ותנאי שמתנ</w:t>
      </w:r>
      <w:r w:rsidR="004B007A">
        <w:rPr>
          <w:rFonts w:cs="Arial" w:hint="cs"/>
          <w:rtl/>
        </w:rPr>
        <w:t>ה</w:t>
      </w:r>
      <w:r>
        <w:rPr>
          <w:rFonts w:cs="Arial"/>
          <w:rtl/>
        </w:rPr>
        <w:t xml:space="preserve"> הוא לטובתו מה שהיא תעשה לא מהני טענות אונס</w:t>
      </w:r>
      <w:r w:rsidR="004B007A">
        <w:rPr>
          <w:rFonts w:cs="Arial" w:hint="cs"/>
          <w:rtl/>
        </w:rPr>
        <w:t>,</w:t>
      </w:r>
      <w:r>
        <w:rPr>
          <w:rFonts w:cs="Arial"/>
          <w:rtl/>
        </w:rPr>
        <w:t xml:space="preserve"> כי הוא לא התרצ</w:t>
      </w:r>
      <w:r w:rsidR="004B007A">
        <w:rPr>
          <w:rFonts w:cs="Arial" w:hint="cs"/>
          <w:rtl/>
        </w:rPr>
        <w:t>ה</w:t>
      </w:r>
      <w:r>
        <w:rPr>
          <w:rFonts w:cs="Arial"/>
          <w:rtl/>
        </w:rPr>
        <w:t xml:space="preserve"> ליתן הגט כי אם בתנאי שתעשה את זאת. ונראה דאחר תקנות ר"ג דאין מגרשי' בעל כרחה והיא התנ</w:t>
      </w:r>
      <w:r w:rsidR="00032A99">
        <w:rPr>
          <w:rFonts w:cs="Arial" w:hint="cs"/>
          <w:rtl/>
        </w:rPr>
        <w:t>ת</w:t>
      </w:r>
      <w:r>
        <w:rPr>
          <w:rFonts w:cs="Arial"/>
          <w:rtl/>
        </w:rPr>
        <w:t>ה מה שהוא יעשה לא מהני טענות אונס אפי' אונס דלא שכיח כלל מטעם הנ"ל</w:t>
      </w:r>
      <w:r>
        <w:rPr>
          <w:rFonts w:cs="Arial"/>
          <w:sz w:val="14"/>
          <w:szCs w:val="14"/>
          <w:rtl/>
        </w:rPr>
        <w:t xml:space="preserve"> </w:t>
      </w:r>
      <w:r w:rsidRPr="004B007A">
        <w:rPr>
          <w:rFonts w:cs="Arial"/>
          <w:sz w:val="16"/>
          <w:szCs w:val="16"/>
          <w:rtl/>
        </w:rPr>
        <w:t>{וע' בס' יד המלך פ"ד מהל' חליצה הכ"ד שהשיג על הב"ש בזה... גם בס' בית מאיר תמה ע"ד הב"ש הנ"ל וכן בס' טיב קדושין לעיל ר"ס ל"ח פקפק עליו בזה ע"ש, פת"ש [סק"ג]}</w:t>
      </w:r>
      <w:r>
        <w:rPr>
          <w:rFonts w:cs="Arial"/>
          <w:rtl/>
        </w:rPr>
        <w:t xml:space="preserve">. ועיין תשו' הרא"ש כלל מ"ו (סי' ב), ועיין ב"ח (אות א), ועיין סי' מב (סק"א), </w:t>
      </w:r>
      <w:r>
        <w:rPr>
          <w:rFonts w:cs="Arial"/>
          <w:b/>
          <w:bCs/>
          <w:rtl/>
        </w:rPr>
        <w:t>ב"ש</w:t>
      </w:r>
      <w:r>
        <w:rPr>
          <w:rFonts w:cs="Arial"/>
          <w:rtl/>
        </w:rPr>
        <w:t xml:space="preserve"> (סק"א).</w:t>
      </w:r>
    </w:p>
  </w:footnote>
  <w:footnote w:id="2486">
    <w:p w14:paraId="433BA82F" w14:textId="77777777" w:rsidR="00C97BEF" w:rsidRDefault="00C97BEF" w:rsidP="00C97BEF">
      <w:pPr>
        <w:pStyle w:val="a5"/>
      </w:pPr>
      <w:r>
        <w:rPr>
          <w:rStyle w:val="a7"/>
        </w:rPr>
        <w:footnoteRef/>
      </w:r>
      <w:r>
        <w:rPr>
          <w:rtl/>
        </w:rPr>
        <w:t xml:space="preserve"> </w:t>
      </w:r>
      <w:r>
        <w:rPr>
          <w:rFonts w:cs="Arial"/>
          <w:rtl/>
        </w:rPr>
        <w:t>משמע דאין חילוק בין אונס בידי שמים לבין אונס בידי אדם וכל שהוא אונס דלא שכיח בטל הגט ולא כדע' המקצעות דמחלק בין אונסי' הנ"ל, ב"ש (סק"ב).</w:t>
      </w:r>
    </w:p>
  </w:footnote>
  <w:footnote w:id="2487">
    <w:p w14:paraId="62AFE618" w14:textId="321909C8" w:rsidR="00C97BEF" w:rsidRDefault="00C97BEF" w:rsidP="003C55DC">
      <w:pPr>
        <w:pStyle w:val="a5"/>
      </w:pPr>
      <w:r>
        <w:rPr>
          <w:rStyle w:val="a7"/>
        </w:rPr>
        <w:footnoteRef/>
      </w:r>
      <w:r>
        <w:rPr>
          <w:rtl/>
        </w:rPr>
        <w:t xml:space="preserve"> </w:t>
      </w:r>
      <w:r>
        <w:rPr>
          <w:rFonts w:cs="Arial"/>
          <w:rtl/>
        </w:rPr>
        <w:t>כלומר אונס דשכיח ולא שכיח הוא לכן בגיטין לא הוי אונס אבל בממון הוי אונס כמ"ש בח"ה סי' קע"ו וכ"כ ב"מ</w:t>
      </w:r>
      <w:r>
        <w:rPr>
          <w:rtl/>
        </w:rPr>
        <w:t xml:space="preserve">, </w:t>
      </w:r>
      <w:r>
        <w:rPr>
          <w:b/>
          <w:bCs/>
          <w:rtl/>
        </w:rPr>
        <w:t>ב"ש</w:t>
      </w:r>
      <w:r>
        <w:rPr>
          <w:rtl/>
        </w:rPr>
        <w:t xml:space="preserve"> (סק"ג).</w:t>
      </w:r>
      <w:r>
        <w:rPr>
          <w:rFonts w:cs="Arial"/>
          <w:rtl/>
        </w:rPr>
        <w:t xml:space="preserve"> וב"ה (סי' נ) כתב דט"ס הוא </w:t>
      </w:r>
      <w:r w:rsidR="003C55DC" w:rsidRPr="003C55DC">
        <w:rPr>
          <w:rFonts w:cs="Arial" w:hint="cs"/>
          <w:sz w:val="16"/>
          <w:szCs w:val="16"/>
          <w:rtl/>
        </w:rPr>
        <w:t>{</w:t>
      </w:r>
      <w:r w:rsidR="003C55DC" w:rsidRPr="003C55DC">
        <w:rPr>
          <w:rFonts w:cs="Arial"/>
          <w:sz w:val="16"/>
          <w:szCs w:val="16"/>
          <w:rtl/>
        </w:rPr>
        <w:t>ו</w:t>
      </w:r>
      <w:r w:rsidR="003C55DC" w:rsidRPr="003C55DC">
        <w:rPr>
          <w:rFonts w:cs="Arial" w:hint="cs"/>
          <w:sz w:val="16"/>
          <w:szCs w:val="16"/>
          <w:rtl/>
        </w:rPr>
        <w:t xml:space="preserve">ז"ל המרדכי </w:t>
      </w:r>
      <w:r w:rsidR="003C55DC" w:rsidRPr="003C55DC">
        <w:rPr>
          <w:rFonts w:hint="cs"/>
          <w:sz w:val="16"/>
          <w:szCs w:val="16"/>
          <w:rtl/>
        </w:rPr>
        <w:t>(גיטין סי' תכד)</w:t>
      </w:r>
      <w:r w:rsidR="003C55DC" w:rsidRPr="003C55DC">
        <w:rPr>
          <w:rFonts w:cs="Arial" w:hint="cs"/>
          <w:sz w:val="16"/>
          <w:szCs w:val="16"/>
          <w:rtl/>
        </w:rPr>
        <w:t xml:space="preserve">: </w:t>
      </w:r>
      <w:r w:rsidR="003C55DC" w:rsidRPr="003C55DC">
        <w:rPr>
          <w:rFonts w:cs="Arial"/>
          <w:sz w:val="16"/>
          <w:szCs w:val="16"/>
          <w:rtl/>
        </w:rPr>
        <w:t>בריש פרק השואל משמע דשבוייה אונסא דלא שכיח</w:t>
      </w:r>
      <w:r w:rsidR="003C55DC">
        <w:rPr>
          <w:rFonts w:cs="Arial" w:hint="cs"/>
          <w:sz w:val="16"/>
          <w:szCs w:val="16"/>
          <w:rtl/>
        </w:rPr>
        <w:t xml:space="preserve"> עכ"ל}</w:t>
      </w:r>
      <w:r w:rsidR="003C55DC">
        <w:rPr>
          <w:rFonts w:cs="Arial"/>
          <w:rtl/>
        </w:rPr>
        <w:t xml:space="preserve"> </w:t>
      </w:r>
      <w:r>
        <w:rPr>
          <w:rFonts w:cs="Arial"/>
          <w:rtl/>
        </w:rPr>
        <w:t xml:space="preserve">וצ"ל ושביה הוי אונס דלא שכיח ומבטל הגט ואפי' לא התנה ע"ש, </w:t>
      </w:r>
      <w:r>
        <w:rPr>
          <w:rFonts w:cs="Arial"/>
          <w:b/>
          <w:bCs/>
          <w:rtl/>
        </w:rPr>
        <w:t>באה"ט</w:t>
      </w:r>
      <w:r>
        <w:rPr>
          <w:rFonts w:cs="Arial"/>
          <w:rtl/>
        </w:rPr>
        <w:t xml:space="preserve"> (סק"ג). ועי' בספר בית מאיר שכתב דאפשר הדין עמו</w:t>
      </w:r>
      <w:r>
        <w:rPr>
          <w:rFonts w:cs="Arial"/>
          <w:sz w:val="16"/>
          <w:szCs w:val="16"/>
          <w:rtl/>
        </w:rPr>
        <w:t xml:space="preserve"> {היינו עם הבה"י}</w:t>
      </w:r>
      <w:r>
        <w:rPr>
          <w:rFonts w:cs="Arial"/>
          <w:rtl/>
        </w:rPr>
        <w:t xml:space="preserve">, </w:t>
      </w:r>
      <w:r>
        <w:rPr>
          <w:rFonts w:cs="Arial"/>
          <w:b/>
          <w:bCs/>
          <w:rtl/>
        </w:rPr>
        <w:t>פת"ש</w:t>
      </w:r>
      <w:r>
        <w:rPr>
          <w:rFonts w:cs="Arial"/>
          <w:rtl/>
        </w:rPr>
        <w:t xml:space="preserve"> (סק"ד).</w:t>
      </w:r>
      <w:r w:rsidR="003C55DC">
        <w:rPr>
          <w:rFonts w:hint="cs"/>
          <w:rtl/>
        </w:rPr>
        <w:t xml:space="preserve"> </w:t>
      </w:r>
    </w:p>
  </w:footnote>
  <w:footnote w:id="2488">
    <w:p w14:paraId="111B0A74" w14:textId="77777777" w:rsidR="00C97BEF" w:rsidRDefault="00C97BEF" w:rsidP="00C97BEF">
      <w:pPr>
        <w:pStyle w:val="a5"/>
        <w:rPr>
          <w:rtl/>
        </w:rPr>
      </w:pPr>
      <w:r>
        <w:rPr>
          <w:rStyle w:val="a7"/>
        </w:rPr>
        <w:footnoteRef/>
      </w:r>
      <w:r>
        <w:rPr>
          <w:rtl/>
        </w:rPr>
        <w:t xml:space="preserve"> </w:t>
      </w:r>
      <w:r>
        <w:rPr>
          <w:rFonts w:cs="Arial"/>
          <w:rtl/>
        </w:rPr>
        <w:t>דכיון דלא אמר 'מעכשיו' משמע לאחר י"ב חדש יהא גט, והרי מת בתוך הזמן, וצריכה ליבם, רש"י.</w:t>
      </w:r>
    </w:p>
  </w:footnote>
  <w:footnote w:id="2489">
    <w:p w14:paraId="556CAE8D" w14:textId="77777777" w:rsidR="00C97BEF" w:rsidRDefault="00C97BEF" w:rsidP="00C97BEF">
      <w:pPr>
        <w:pStyle w:val="a5"/>
      </w:pPr>
      <w:r>
        <w:rPr>
          <w:rStyle w:val="a7"/>
        </w:rPr>
        <w:footnoteRef/>
      </w:r>
      <w:r>
        <w:rPr>
          <w:rtl/>
        </w:rPr>
        <w:t xml:space="preserve"> </w:t>
      </w:r>
      <w:r>
        <w:rPr>
          <w:rFonts w:cs="Arial"/>
          <w:rtl/>
        </w:rPr>
        <w:t>דאע"ג דלא אמר מעכשיו כמאן דאמר מעכשיו דמיא דמסתמא מעכשיו קאמר לה, רש"י.</w:t>
      </w:r>
    </w:p>
  </w:footnote>
  <w:footnote w:id="2490">
    <w:p w14:paraId="457129B8" w14:textId="77777777" w:rsidR="00C97BEF" w:rsidRDefault="00C97BEF" w:rsidP="00C97BEF">
      <w:pPr>
        <w:pStyle w:val="a5"/>
      </w:pPr>
      <w:r>
        <w:rPr>
          <w:rStyle w:val="a7"/>
        </w:rPr>
        <w:footnoteRef/>
      </w:r>
      <w:r>
        <w:rPr>
          <w:rtl/>
        </w:rPr>
        <w:t xml:space="preserve"> </w:t>
      </w:r>
      <w:r>
        <w:rPr>
          <w:rFonts w:cs="Arial"/>
          <w:rtl/>
        </w:rPr>
        <w:t>שמנן של עובדי כוכבים והיינו ר' יהודה נשיאה שהיה בימי האמוראים בן בנו של רבינו הקדוש כדאמרינן במסכת ע"ז (דף לז) מסתמיך ואזיל ר' יהודה נשיאה אכתפיה דר' שמלאי כו', רש"י.</w:t>
      </w:r>
    </w:p>
  </w:footnote>
  <w:footnote w:id="2491">
    <w:p w14:paraId="215A5129" w14:textId="77777777" w:rsidR="00C97BEF" w:rsidRDefault="00C97BEF" w:rsidP="00C97BEF">
      <w:pPr>
        <w:pStyle w:val="a5"/>
      </w:pPr>
      <w:r>
        <w:rPr>
          <w:rStyle w:val="a7"/>
        </w:rPr>
        <w:footnoteRef/>
      </w:r>
      <w:r>
        <w:rPr>
          <w:rtl/>
        </w:rPr>
        <w:t xml:space="preserve"> </w:t>
      </w:r>
      <w:r>
        <w:rPr>
          <w:rFonts w:cs="Arial"/>
          <w:rtl/>
        </w:rPr>
        <w:t>בב"ב (קלו.) הכותב נכסיו לבנו לאחר מותו צריך שיכתוב מהיום ולאחר מיתה רבי יוסי אומר אינו צריך שזמנו של שטר מוכיח עליו דלהכי איכתיב זמן בשטרא לידע שמהיום נתן לו גוף הקרקע שלא יירשו אחיו עמו והפירות לאחר מותו</w:t>
      </w:r>
      <w:r>
        <w:rPr>
          <w:rtl/>
        </w:rPr>
        <w:t>, רש"י.</w:t>
      </w:r>
    </w:p>
  </w:footnote>
  <w:footnote w:id="2492">
    <w:p w14:paraId="20E85927" w14:textId="77777777" w:rsidR="00C97BEF" w:rsidRDefault="00C97BEF" w:rsidP="00C97BEF">
      <w:pPr>
        <w:pStyle w:val="a5"/>
        <w:rPr>
          <w:rtl/>
        </w:rPr>
      </w:pPr>
      <w:r>
        <w:rPr>
          <w:rStyle w:val="a7"/>
        </w:rPr>
        <w:footnoteRef/>
      </w:r>
      <w:r>
        <w:rPr>
          <w:rtl/>
        </w:rPr>
        <w:t xml:space="preserve"> </w:t>
      </w:r>
      <w:r>
        <w:rPr>
          <w:rFonts w:cs="Arial"/>
          <w:rtl/>
        </w:rPr>
        <w:t>כל ימי חייו, רש"י.</w:t>
      </w:r>
    </w:p>
  </w:footnote>
  <w:footnote w:id="2493">
    <w:p w14:paraId="0CB0FD0C" w14:textId="77777777" w:rsidR="00C97BEF" w:rsidRDefault="00C97BEF" w:rsidP="00C97BEF">
      <w:pPr>
        <w:pStyle w:val="a5"/>
      </w:pPr>
      <w:r>
        <w:rPr>
          <w:rStyle w:val="a7"/>
        </w:rPr>
        <w:footnoteRef/>
      </w:r>
      <w:r>
        <w:rPr>
          <w:rtl/>
        </w:rPr>
        <w:t xml:space="preserve"> </w:t>
      </w:r>
      <w:r>
        <w:rPr>
          <w:rFonts w:cs="Arial"/>
          <w:rtl/>
        </w:rPr>
        <w:t>הרי"ף כתב בסוף פרק מי שאחזו (לט.) והלכה כרבנן דפליגי ארבי יוסי, אך בפרק יש נוחלין (סב:) כתב-...</w:t>
      </w:r>
    </w:p>
  </w:footnote>
  <w:footnote w:id="2494">
    <w:p w14:paraId="7CE85A98" w14:textId="77777777" w:rsidR="00C97BEF" w:rsidRDefault="00C97BEF" w:rsidP="00C97BEF">
      <w:pPr>
        <w:pStyle w:val="a5"/>
      </w:pPr>
      <w:r>
        <w:rPr>
          <w:rStyle w:val="a7"/>
        </w:rPr>
        <w:footnoteRef/>
      </w:r>
      <w:r>
        <w:rPr>
          <w:rtl/>
        </w:rPr>
        <w:t xml:space="preserve"> </w:t>
      </w:r>
      <w:r>
        <w:rPr>
          <w:rFonts w:cs="Arial"/>
          <w:rtl/>
        </w:rPr>
        <w:t>וכתבו הרשב"א והר"ן (פרק מי שאחזו שם) שלפי מה שסמך עליו הרי"ף בפרק יש נוחלין, נהי דמחמרינן בגיטין שלא לסמוך על דברי רבי יוסי, אפילו הכי לא מקילינן בהכי שתתייבם, כיון דבממונא נקטינן כוותיה. ומה שכתב כאן 'והלכתא כרבנן', היינו להצריכה חליצה, אבל לא שתתייבם. והעלה הר"ן דבכל גוונא הויא ספיקא וחולצת ולא מתייבמת. וכן כתב הרשב"א בשם הרמב"ן (ספר הזכות לט.)</w:t>
      </w:r>
      <w:r>
        <w:rPr>
          <w:rtl/>
        </w:rPr>
        <w:t>, ב"י.</w:t>
      </w:r>
    </w:p>
  </w:footnote>
  <w:footnote w:id="2495">
    <w:p w14:paraId="78E883FC" w14:textId="62B22835" w:rsidR="00C97BEF" w:rsidRDefault="00C97BEF" w:rsidP="00C97BEF">
      <w:pPr>
        <w:pStyle w:val="a5"/>
        <w:rPr>
          <w:rtl/>
        </w:rPr>
      </w:pPr>
      <w:r>
        <w:rPr>
          <w:rStyle w:val="a7"/>
        </w:rPr>
        <w:footnoteRef/>
      </w:r>
      <w:r>
        <w:rPr>
          <w:rtl/>
        </w:rPr>
        <w:t xml:space="preserve"> </w:t>
      </w:r>
      <w:r>
        <w:rPr>
          <w:rFonts w:cs="Arial"/>
          <w:rtl/>
        </w:rPr>
        <w:t>מדברי התוספות בפרק מי שאחזו (עו: ד"ה ולא) ובפרק ב' דעבודה זרה (לז. ד"ה ורבנן) משמע קצת דמספקא להו אם הלכה כרבי יוסי. וגם מספקא להו אי פליגי רבנן עליה בין בתנאים דבעל פה בין בתנאים בשטר, או אי לא פליגי עליה אלא דוקא בתנאים דבעל פה אבל בתנאים דבשטר מודו ליה. והילכך בכל גוונא חולצת... והר"ן בפרק מי שאחזו (לט. סד"ה והלכתא) כתב שהתוספות פוסקים כרבי יוסי אפילו בתנאים דבעל פה. והרשב"א בסוף פרק מי שאחזו (שם) כתב שרבינו תם פוסק כרבי יוסי, אבל ר"י ספוקי מספקא ליה. ו</w:t>
      </w:r>
      <w:r w:rsidR="009334FF">
        <w:rPr>
          <w:rFonts w:cs="Arial"/>
          <w:rtl/>
        </w:rPr>
        <w:t>ב</w:t>
      </w:r>
      <w:r w:rsidR="00DB737E">
        <w:rPr>
          <w:rFonts w:cs="Arial"/>
          <w:rtl/>
        </w:rPr>
        <w:t>הגהות</w:t>
      </w:r>
      <w:r>
        <w:rPr>
          <w:rFonts w:cs="Arial"/>
          <w:rtl/>
        </w:rPr>
        <w:t xml:space="preserve"> אשיר"י פרק יש נוחלין (בבא בתרא פ"ח סי' מב) כתוב שר"י פוסק כרבי יוסי בין באיסור בין בממון, והלכה למעשה כרבי יוסי. והני מילי בתנאי הכתוב בשטר אבל בתנאי דבעל פה מספקא ליה,</w:t>
      </w:r>
      <w:r>
        <w:rPr>
          <w:rtl/>
        </w:rPr>
        <w:t xml:space="preserve"> ב"י.</w:t>
      </w:r>
    </w:p>
  </w:footnote>
  <w:footnote w:id="2496">
    <w:p w14:paraId="0B1C43AD" w14:textId="77777777" w:rsidR="00C97BEF" w:rsidRDefault="00C97BEF" w:rsidP="00C97BEF">
      <w:pPr>
        <w:pStyle w:val="a5"/>
        <w:rPr>
          <w:rtl/>
        </w:rPr>
      </w:pPr>
      <w:r>
        <w:rPr>
          <w:rStyle w:val="a7"/>
        </w:rPr>
        <w:footnoteRef/>
      </w:r>
      <w:r>
        <w:rPr>
          <w:rtl/>
        </w:rPr>
        <w:t xml:space="preserve"> </w:t>
      </w:r>
      <w:r>
        <w:rPr>
          <w:rFonts w:cs="Arial"/>
          <w:rtl/>
        </w:rPr>
        <w:t>דכיון דלא אמר 'מעכשיו' משמע לאחר י"ב חדש יהא גט, והרי מת בתוך הזמן, וצריכה ליבם, רש"י.</w:t>
      </w:r>
    </w:p>
  </w:footnote>
  <w:footnote w:id="2497">
    <w:p w14:paraId="565CF154" w14:textId="77777777" w:rsidR="00C97BEF" w:rsidRDefault="00C97BEF" w:rsidP="00C97BEF">
      <w:pPr>
        <w:pStyle w:val="a5"/>
      </w:pPr>
      <w:r>
        <w:rPr>
          <w:rStyle w:val="a7"/>
        </w:rPr>
        <w:footnoteRef/>
      </w:r>
      <w:r>
        <w:rPr>
          <w:rtl/>
        </w:rPr>
        <w:t xml:space="preserve"> </w:t>
      </w:r>
      <w:r>
        <w:rPr>
          <w:rFonts w:cs="Arial"/>
          <w:rtl/>
        </w:rPr>
        <w:t>כששמעו בו שמת ואפילו קודם י"ב חדש</w:t>
      </w:r>
      <w:r>
        <w:rPr>
          <w:rtl/>
        </w:rPr>
        <w:t>, רש"י.</w:t>
      </w:r>
    </w:p>
  </w:footnote>
  <w:footnote w:id="2498">
    <w:p w14:paraId="46A3072C" w14:textId="77777777" w:rsidR="00C97BEF" w:rsidRDefault="00C97BEF" w:rsidP="00C97BEF">
      <w:pPr>
        <w:pStyle w:val="a5"/>
        <w:rPr>
          <w:rtl/>
        </w:rPr>
      </w:pPr>
      <w:r>
        <w:rPr>
          <w:rStyle w:val="a7"/>
        </w:rPr>
        <w:footnoteRef/>
      </w:r>
      <w:r>
        <w:rPr>
          <w:rtl/>
        </w:rPr>
        <w:t xml:space="preserve"> </w:t>
      </w:r>
      <w:r>
        <w:rPr>
          <w:rFonts w:cs="Arial"/>
          <w:rtl/>
        </w:rPr>
        <w:t>שהרי ודאי לא יבא עוד ויש כאן קיום תנאי</w:t>
      </w:r>
      <w:r>
        <w:rPr>
          <w:rtl/>
        </w:rPr>
        <w:t>, רש"י.</w:t>
      </w:r>
    </w:p>
  </w:footnote>
  <w:footnote w:id="2499">
    <w:p w14:paraId="7756ECC9" w14:textId="77777777" w:rsidR="00C97BEF" w:rsidRDefault="00C97BEF" w:rsidP="00C97BEF">
      <w:pPr>
        <w:pStyle w:val="a5"/>
        <w:rPr>
          <w:rtl/>
        </w:rPr>
      </w:pPr>
      <w:r>
        <w:rPr>
          <w:rStyle w:val="a7"/>
        </w:rPr>
        <w:footnoteRef/>
      </w:r>
      <w:r>
        <w:rPr>
          <w:rtl/>
        </w:rPr>
        <w:t xml:space="preserve"> </w:t>
      </w:r>
      <w:r>
        <w:rPr>
          <w:rFonts w:cs="Arial"/>
          <w:rtl/>
        </w:rPr>
        <w:t>באומר לאשתו בלילה זה גיטך כשתצא חמה מנרתיקה, רש"י.</w:t>
      </w:r>
    </w:p>
  </w:footnote>
  <w:footnote w:id="2500">
    <w:p w14:paraId="5CC6D800" w14:textId="77777777" w:rsidR="00C97BEF" w:rsidRDefault="00C97BEF" w:rsidP="00C97BEF">
      <w:pPr>
        <w:pStyle w:val="a5"/>
      </w:pPr>
      <w:r>
        <w:rPr>
          <w:rStyle w:val="a7"/>
        </w:rPr>
        <w:footnoteRef/>
      </w:r>
      <w:r>
        <w:rPr>
          <w:rtl/>
        </w:rPr>
        <w:t xml:space="preserve"> </w:t>
      </w:r>
      <w:r>
        <w:rPr>
          <w:rFonts w:cs="Arial"/>
          <w:rtl/>
        </w:rPr>
        <w:t>ואי מיית בלילה לא הוי גיטא. וגבי מתני' נמי, הרי זה גיטך לכשלא אבא לאחר שנים עשר חדש - לאו גט הוא, וליכא למיסמך אזמנו של שטר מוכיח עליו דהא בהדיא אמר לכשלא אבא יהא גט אבל לא מעכשיו</w:t>
      </w:r>
      <w:r>
        <w:rPr>
          <w:rtl/>
        </w:rPr>
        <w:t xml:space="preserve">, </w:t>
      </w:r>
      <w:r>
        <w:rPr>
          <w:b/>
          <w:bCs/>
          <w:rtl/>
        </w:rPr>
        <w:t>רש"י</w:t>
      </w:r>
      <w:r>
        <w:rPr>
          <w:rtl/>
        </w:rPr>
        <w:t>.</w:t>
      </w:r>
      <w:r>
        <w:rPr>
          <w:rFonts w:cs="Arial"/>
          <w:rtl/>
        </w:rPr>
        <w:t xml:space="preserve"> נראה מדבריו דאפילו רבי יוסי מודה דבכי האי גוונא אינו גט כלל. ועל פי פירוש זה כתב רבינו ואם אמר לכשתזרח השמש ומת בלילה לכולי עלמא לא הוי גט. אבל התוספות (עו: ד"ה הכל) כתבו- הכל מודים לכשתצא לכי נפקא קאמר, ולרבי יוסי גט ואינו גט כדאמר לעיל (עב:) בלאחר מיתה</w:t>
      </w:r>
      <w:r>
        <w:rPr>
          <w:rFonts w:cs="Arial"/>
          <w:sz w:val="16"/>
          <w:szCs w:val="16"/>
          <w:rtl/>
        </w:rPr>
        <w:t xml:space="preserve"> [עכ"ל]</w:t>
      </w:r>
      <w:r>
        <w:rPr>
          <w:rFonts w:cs="Arial"/>
          <w:rtl/>
        </w:rPr>
        <w:t xml:space="preserve">. וכן פירש רש"י בפ"ב דעבודה זרה (לז. ד"ה לכי נפקא). ולפי זה הוה ליה למימר דלדברי הפוסקים כרבי יוסי הויא ספק מגורשת. [בדק הבית] וגם בעל מנת הוה ליה למימר דלדברי האומרים דעל מנת לאו כמעכשיו דמי אומר על מנת דינו כאומר אם, עד שיאמר מעכשיו [עד כאן], </w:t>
      </w:r>
      <w:r>
        <w:rPr>
          <w:rFonts w:cs="Arial"/>
          <w:b/>
          <w:bCs/>
          <w:rtl/>
        </w:rPr>
        <w:t>ב"י</w:t>
      </w:r>
      <w:r>
        <w:rPr>
          <w:rFonts w:cs="Arial"/>
          <w:rtl/>
        </w:rPr>
        <w:t>.</w:t>
      </w:r>
      <w:r>
        <w:rPr>
          <w:rtl/>
        </w:rPr>
        <w:t xml:space="preserve"> </w:t>
      </w:r>
    </w:p>
  </w:footnote>
  <w:footnote w:id="2501">
    <w:p w14:paraId="535950F0" w14:textId="77777777" w:rsidR="00C97BEF" w:rsidRDefault="00C97BEF" w:rsidP="00C97BEF">
      <w:pPr>
        <w:pStyle w:val="a5"/>
        <w:rPr>
          <w:rtl/>
        </w:rPr>
      </w:pPr>
      <w:r>
        <w:rPr>
          <w:rStyle w:val="a7"/>
        </w:rPr>
        <w:footnoteRef/>
      </w:r>
      <w:r>
        <w:rPr>
          <w:rtl/>
        </w:rPr>
        <w:t xml:space="preserve"> </w:t>
      </w:r>
      <w:r>
        <w:rPr>
          <w:rFonts w:cs="Arial"/>
          <w:rtl/>
        </w:rPr>
        <w:t>ודכוותה אם לא באתי, ואמרי' לעיל בפירקין (עב.) גבי אם מתי אם שתי לשונות משמע, משמע מעכשיו, ומשמע לכשיגיע, אמר מהיום הוי מעכשיו, לא אמר מהיום הוי לכשיגיע, הלכך רבותינו סברי לה כרבי יוסי כו', רש"י.</w:t>
      </w:r>
    </w:p>
  </w:footnote>
  <w:footnote w:id="2502">
    <w:p w14:paraId="5F764C6F" w14:textId="047CCE37" w:rsidR="00997229" w:rsidRDefault="00997229" w:rsidP="00997229">
      <w:pPr>
        <w:pStyle w:val="a5"/>
        <w:rPr>
          <w:rtl/>
        </w:rPr>
      </w:pPr>
      <w:r>
        <w:rPr>
          <w:rStyle w:val="a7"/>
        </w:rPr>
        <w:footnoteRef/>
      </w:r>
      <w:r>
        <w:rPr>
          <w:rtl/>
        </w:rPr>
        <w:t xml:space="preserve"> </w:t>
      </w:r>
      <w:r>
        <w:rPr>
          <w:rFonts w:cs="Arial" w:hint="cs"/>
          <w:rtl/>
        </w:rPr>
        <w:t>וכתב ה</w:t>
      </w:r>
      <w:r>
        <w:rPr>
          <w:rFonts w:cs="Arial"/>
          <w:rtl/>
        </w:rPr>
        <w:t xml:space="preserve">ב"י </w:t>
      </w:r>
      <w:r w:rsidR="00D90413">
        <w:rPr>
          <w:rFonts w:cs="Arial" w:hint="cs"/>
          <w:rtl/>
        </w:rPr>
        <w:t xml:space="preserve">(בבדה"ב) </w:t>
      </w:r>
      <w:r>
        <w:rPr>
          <w:rFonts w:cs="Arial" w:hint="cs"/>
          <w:rtl/>
        </w:rPr>
        <w:t>ד</w:t>
      </w:r>
      <w:r>
        <w:rPr>
          <w:rFonts w:cs="Arial"/>
          <w:rtl/>
        </w:rPr>
        <w:t>לדברי האומרים דעל מנת לאו כמעכשיו דמי, אומר על מנת דינו כאומר אם, עד שיאמר מעכשיו</w:t>
      </w:r>
      <w:r>
        <w:rPr>
          <w:rFonts w:hint="cs"/>
          <w:rtl/>
        </w:rPr>
        <w:t>.</w:t>
      </w:r>
    </w:p>
  </w:footnote>
  <w:footnote w:id="2503">
    <w:p w14:paraId="2482F855" w14:textId="2977F673" w:rsidR="00C97BEF" w:rsidRDefault="00C97BEF" w:rsidP="00C97BEF">
      <w:pPr>
        <w:pStyle w:val="a5"/>
      </w:pPr>
      <w:r>
        <w:rPr>
          <w:rStyle w:val="a7"/>
        </w:rPr>
        <w:footnoteRef/>
      </w:r>
      <w:r>
        <w:rPr>
          <w:rtl/>
        </w:rPr>
        <w:t xml:space="preserve"> </w:t>
      </w:r>
      <w:r>
        <w:rPr>
          <w:rFonts w:hint="cs"/>
          <w:rtl/>
        </w:rPr>
        <w:t xml:space="preserve">ומכיון שהשו"ע פסק בסעיף ב' שיש להסתפק אם הלכה כרבי יוסי </w:t>
      </w:r>
      <w:r w:rsidR="00A42812">
        <w:rPr>
          <w:rFonts w:hint="cs"/>
          <w:rtl/>
        </w:rPr>
        <w:t>-</w:t>
      </w:r>
      <w:r>
        <w:rPr>
          <w:rFonts w:hint="cs"/>
          <w:rtl/>
        </w:rPr>
        <w:t xml:space="preserve"> פסק גם כאן לחומרא וחשש לפוסקים כרבי יוסי.</w:t>
      </w:r>
    </w:p>
  </w:footnote>
  <w:footnote w:id="2504">
    <w:p w14:paraId="4F7D92FE" w14:textId="41EB520E" w:rsidR="00C97BEF" w:rsidRDefault="00C97BEF" w:rsidP="00C97BEF">
      <w:pPr>
        <w:pStyle w:val="a5"/>
        <w:rPr>
          <w:rtl/>
        </w:rPr>
      </w:pPr>
      <w:r>
        <w:rPr>
          <w:rStyle w:val="a7"/>
        </w:rPr>
        <w:footnoteRef/>
      </w:r>
      <w:r>
        <w:rPr>
          <w:rtl/>
        </w:rPr>
        <w:t xml:space="preserve"> </w:t>
      </w:r>
      <w:r>
        <w:rPr>
          <w:rFonts w:cs="Arial"/>
          <w:rtl/>
        </w:rPr>
        <w:t>כלומר באומר אם תצא הספק הוא שמא הלכה כר</w:t>
      </w:r>
      <w:r w:rsidR="00920ED6">
        <w:rPr>
          <w:rFonts w:cs="Arial" w:hint="cs"/>
          <w:rtl/>
        </w:rPr>
        <w:t>' יוסי</w:t>
      </w:r>
      <w:r>
        <w:rPr>
          <w:rFonts w:cs="Arial"/>
          <w:rtl/>
        </w:rPr>
        <w:t xml:space="preserve"> דאמר זמן ש</w:t>
      </w:r>
      <w:r w:rsidR="00920ED6">
        <w:rPr>
          <w:rFonts w:cs="Arial" w:hint="cs"/>
          <w:rtl/>
        </w:rPr>
        <w:t xml:space="preserve">ל </w:t>
      </w:r>
      <w:r>
        <w:rPr>
          <w:rFonts w:cs="Arial"/>
          <w:rtl/>
        </w:rPr>
        <w:t>ש</w:t>
      </w:r>
      <w:r w:rsidR="00920ED6">
        <w:rPr>
          <w:rFonts w:cs="Arial" w:hint="cs"/>
          <w:rtl/>
        </w:rPr>
        <w:t>טר</w:t>
      </w:r>
      <w:r>
        <w:rPr>
          <w:rFonts w:cs="Arial"/>
          <w:rtl/>
        </w:rPr>
        <w:t xml:space="preserve"> מוכיח והוי גט מעלי', או שמא אין הלכה כר"י וכשאומר לכשתצא אז אם הלכה כר"י הוי ספק כמו אם אמר מהיום ולאחר מיתה</w:t>
      </w:r>
      <w:r w:rsidR="00920ED6">
        <w:rPr>
          <w:rFonts w:cs="Arial" w:hint="cs"/>
          <w:rtl/>
        </w:rPr>
        <w:t>.</w:t>
      </w:r>
      <w:r>
        <w:rPr>
          <w:rFonts w:cs="Arial"/>
          <w:rtl/>
        </w:rPr>
        <w:t xml:space="preserve"> ולמ"ש ר"ס קמ"ה באומר היום ומת בו ביום יש לספק שמא סוף היום קאמר</w:t>
      </w:r>
      <w:r w:rsidR="00920ED6">
        <w:rPr>
          <w:rFonts w:cs="Arial" w:hint="cs"/>
          <w:rtl/>
        </w:rPr>
        <w:t>,</w:t>
      </w:r>
      <w:r>
        <w:rPr>
          <w:rFonts w:cs="Arial"/>
          <w:rtl/>
        </w:rPr>
        <w:t xml:space="preserve"> א"כ יש כאן ג' ספיקות. שמא הלכה כר"י והוי כאומר מהיום ולאחר מיתה. וי"ל שמא תנאי הוא</w:t>
      </w:r>
      <w:r w:rsidR="00920ED6">
        <w:rPr>
          <w:rFonts w:cs="Arial" w:hint="cs"/>
          <w:rtl/>
        </w:rPr>
        <w:t>,</w:t>
      </w:r>
      <w:r>
        <w:rPr>
          <w:rFonts w:cs="Arial"/>
          <w:rtl/>
        </w:rPr>
        <w:t xml:space="preserve"> ושמא מעכשיו קאמר. וע"מ עדיף מאומר היום</w:t>
      </w:r>
      <w:r w:rsidR="00920ED6">
        <w:rPr>
          <w:rFonts w:cs="Arial" w:hint="cs"/>
          <w:rtl/>
        </w:rPr>
        <w:t>,</w:t>
      </w:r>
      <w:r>
        <w:rPr>
          <w:rFonts w:cs="Arial"/>
          <w:rtl/>
        </w:rPr>
        <w:t xml:space="preserve"> כי ע"מ הוי כאומר מעכשיו. מיהו הר"ן כתב בכה"ג עדיף כשאומר מהיום כיון שאמר אם תצא או לכשתצא ע"כ לאו לסוף היום מתכוון אז אמרי' מעכשיו קאמר כיון דליכא למימר סוף יום א"כ אין זמן מוגבל אלא מעכשיו קאמר, ב"ש (סק"ו).</w:t>
      </w:r>
    </w:p>
  </w:footnote>
  <w:footnote w:id="2505">
    <w:p w14:paraId="1F7D0A5E" w14:textId="77777777" w:rsidR="00C97BEF" w:rsidRDefault="00C97BEF" w:rsidP="00C97BEF">
      <w:pPr>
        <w:pStyle w:val="a5"/>
      </w:pPr>
      <w:r>
        <w:rPr>
          <w:rStyle w:val="a7"/>
        </w:rPr>
        <w:footnoteRef/>
      </w:r>
      <w:r>
        <w:rPr>
          <w:rtl/>
        </w:rPr>
        <w:t xml:space="preserve"> </w:t>
      </w:r>
      <w:r>
        <w:rPr>
          <w:rFonts w:cs="Arial"/>
          <w:rtl/>
        </w:rPr>
        <w:t>כ"כ בבדק הבית להפוסקים דלא ס"ל ע"מ כמעכשיו דמי אף בע"מ יש להחמיר וא"י למה השמיט דיעה זו בר"ס קמ"ג ולא בשום מקום הביא המחבר דיעה זו אלא כאן, ב"ש (סק"ז).</w:t>
      </w:r>
    </w:p>
  </w:footnote>
  <w:footnote w:id="2506">
    <w:p w14:paraId="1B0387CD" w14:textId="77777777" w:rsidR="00C97BEF" w:rsidRDefault="00C97BEF" w:rsidP="00C97BEF">
      <w:pPr>
        <w:pStyle w:val="a5"/>
      </w:pPr>
      <w:r>
        <w:rPr>
          <w:rStyle w:val="a7"/>
        </w:rPr>
        <w:footnoteRef/>
      </w:r>
      <w:r>
        <w:rPr>
          <w:rtl/>
        </w:rPr>
        <w:t xml:space="preserve"> </w:t>
      </w:r>
      <w:r>
        <w:rPr>
          <w:rFonts w:cs="Arial"/>
          <w:rtl/>
        </w:rPr>
        <w:t>וגם בתשו' מבי"ט (ח"ב סי' קלא) חולק על הב"י ע"ש. ועיין בתשובת פרח שושן (כלל א סי' א-ב) הביא שם לשונות הרבה מגדולי בעלי התשובות המדברים בענין זה, והוא ז"ל נשא ונתן בדבריהם והעלה דבנשואה אין להתיר כלל ליתן הגט כיון שעבר זמן התנאי. ואם עבר ונתנו לכתחילה לא תנשא, מיהו אם נשאת לא תצא. אך בארוסה יכול ליתנו לכתחילה ובלבד שיפרש בשעת הנתינה בפני ב"ד שגט זה שלחו ארוסה ליתנו לה לזמן כך וכך, ולפי שעבר הזמן אני נותנו לה סתם. ודוקא בשעת הדחק. ושוב ראה בתשובת תורת חיים (ח"ג מהרב מהרח"ש סי' פב) נדפס שם תשובת גדול אחד שהסכים להתיר (אף בנשואה) לתת גט זה והסכים על ידו מהרח"ש ז"ל (סי' פג) וכתב שיאמר השליח בשעת נתינת הגט ה"ז גיטך ששלח לך בעלך על תנאי כו' וכבר עבר הזמן והרי את מגורשת מיד ע"ש</w:t>
      </w:r>
      <w:r>
        <w:rPr>
          <w:rtl/>
        </w:rPr>
        <w:t>, פת"ש (סק"ז).</w:t>
      </w:r>
    </w:p>
  </w:footnote>
  <w:footnote w:id="2507">
    <w:p w14:paraId="717D7A2B" w14:textId="77777777" w:rsidR="00C97BEF" w:rsidRDefault="00C97BEF" w:rsidP="00C97BEF">
      <w:pPr>
        <w:pStyle w:val="a5"/>
        <w:rPr>
          <w:rtl/>
        </w:rPr>
      </w:pPr>
      <w:r>
        <w:rPr>
          <w:rStyle w:val="a7"/>
        </w:rPr>
        <w:footnoteRef/>
      </w:r>
      <w:r>
        <w:rPr>
          <w:rtl/>
        </w:rPr>
        <w:t xml:space="preserve"> </w:t>
      </w:r>
      <w:r>
        <w:rPr>
          <w:rFonts w:cs="Arial"/>
          <w:rtl/>
        </w:rPr>
        <w:t>כלומר הגט בטל הואיל שעברו על תנאי שלו שלא יכתבו תוך יב"ח אע"ג דלא התנה בדין תנאי מ"מ כל מה שצו' לשלוחו א"י לעבור אפי' שלא התנה כדין תנאי. כ"כ ב"ח בשם הרשב"א והר"ן</w:t>
      </w:r>
      <w:r>
        <w:rPr>
          <w:rFonts w:cs="Arial"/>
          <w:sz w:val="16"/>
          <w:szCs w:val="16"/>
          <w:rtl/>
        </w:rPr>
        <w:t xml:space="preserve"> {עיין בפת"ש [סק"ה] שהביא את הב"מ שמפקפק בזה}</w:t>
      </w:r>
      <w:r>
        <w:rPr>
          <w:rFonts w:cs="Arial"/>
          <w:rtl/>
        </w:rPr>
        <w:t>. אבל משום העכוב בין הכתיבה להנתינ' אינו אלא פסול כמ"ש בסי' קכ"ז. א"נ דאיירי דכתבו הזמן אחר יב"ח ונתנו באותו פעם אז אם לא היו עברו התנאי היה הגט כשר אלא מחמת שעברו על תנאי שלו הגט בטל</w:t>
      </w:r>
      <w:r>
        <w:rPr>
          <w:rtl/>
        </w:rPr>
        <w:t>, ב"ש (סק"ח).</w:t>
      </w:r>
    </w:p>
  </w:footnote>
  <w:footnote w:id="2508">
    <w:p w14:paraId="75C4B463" w14:textId="2BF4E60E" w:rsidR="00C97BEF" w:rsidRDefault="00C97BEF" w:rsidP="00C97BEF">
      <w:pPr>
        <w:pStyle w:val="a5"/>
        <w:rPr>
          <w:rtl/>
        </w:rPr>
      </w:pPr>
      <w:r>
        <w:rPr>
          <w:rStyle w:val="a7"/>
        </w:rPr>
        <w:footnoteRef/>
      </w:r>
      <w:r>
        <w:rPr>
          <w:rtl/>
        </w:rPr>
        <w:t xml:space="preserve"> </w:t>
      </w:r>
      <w:r>
        <w:rPr>
          <w:rFonts w:cs="Arial"/>
          <w:rtl/>
        </w:rPr>
        <w:t xml:space="preserve">אע"ג דבסמוך </w:t>
      </w:r>
      <w:r w:rsidR="00A8621A">
        <w:rPr>
          <w:rFonts w:cs="Arial" w:hint="cs"/>
          <w:rtl/>
        </w:rPr>
        <w:t xml:space="preserve">(סע' ו) </w:t>
      </w:r>
      <w:r>
        <w:rPr>
          <w:rFonts w:cs="Arial"/>
          <w:rtl/>
        </w:rPr>
        <w:t>כתב הרי שאחרו זמן הרי זו ספק מגורשת, ש"ה דהגביל זמן אימת שיכתבו בגט, אבל כאן לא היה כוונתו אלא שלא יכתב קודם יב"ח, ואחר יב"ח אין זמן לדבר, ב"ש (סק"ט).</w:t>
      </w:r>
    </w:p>
  </w:footnote>
  <w:footnote w:id="2509">
    <w:p w14:paraId="1649220B" w14:textId="77777777" w:rsidR="00C97BEF" w:rsidRDefault="00C97BEF" w:rsidP="00C97BEF">
      <w:pPr>
        <w:pStyle w:val="a5"/>
      </w:pPr>
      <w:r>
        <w:rPr>
          <w:rStyle w:val="a7"/>
        </w:rPr>
        <w:footnoteRef/>
      </w:r>
      <w:r>
        <w:rPr>
          <w:rtl/>
        </w:rPr>
        <w:t xml:space="preserve"> </w:t>
      </w:r>
      <w:r>
        <w:rPr>
          <w:rFonts w:cs="Arial"/>
          <w:rtl/>
        </w:rPr>
        <w:t xml:space="preserve">זה גיטך אם לא אבא לאחר שבוע זו, שמטה זו - ממתינים לו שנה שמינית, דכל שנה שמינית קרויה אחר שבוע, </w:t>
      </w:r>
      <w:r>
        <w:rPr>
          <w:rFonts w:cs="Arial"/>
          <w:b/>
          <w:bCs/>
          <w:rtl/>
        </w:rPr>
        <w:t>רש"י</w:t>
      </w:r>
      <w:r>
        <w:rPr>
          <w:rFonts w:cs="Arial"/>
          <w:rtl/>
        </w:rPr>
        <w:t>.     ורבינו חננאל ז"ל פירש שאמר לה הרי זה גיטיך לאחר שבוע - אינה מתגרשת עד שתעבור שבוע ושנה שמינית</w:t>
      </w:r>
      <w:r>
        <w:rPr>
          <w:rtl/>
        </w:rPr>
        <w:t xml:space="preserve">. </w:t>
      </w:r>
      <w:r>
        <w:rPr>
          <w:rFonts w:cs="Arial"/>
          <w:rtl/>
        </w:rPr>
        <w:t>ויותר נראה פירוש רש"י, דכשתלה הגט בביאתו אחר השבוע לא מצינו למימר שיהא גט אם לא בא בתוך השבוע, דאם כן הוה ליה למימר 'אם לא באתי בתוך שבוע זו'. אלא ודאי מדתלה זמן ביאתו בלאחר השבוע על כרחיך רצונו לומר אם לא יבא בזמן הנקרא אחר השבוע, והיינו שנה אחת משנות שבוע הבאה, ובשנה חדש מחדשי השנה הבאה, ובחדש שבת אחד משבתות חדש הבאה, ובשבת לישנא דעלמא לחלוק ימי השבת חציו נקראים אחר שבת שעברה וחציו קודם שבת הבאה, וכן לענין הבדלה. אבל הנותן גט לאשה שתתגרש לאחר שבוע למה לא תתגרש מיד אחר השמיטה כי קביעות הזמן היה כדי שלא תתגרש בתוך השבוע ואם היה בדעתו עד שתעבור שנה שמינית היה לו לומר לאחר השבוע</w:t>
      </w:r>
      <w:r>
        <w:rPr>
          <w:rtl/>
        </w:rPr>
        <w:t xml:space="preserve">, </w:t>
      </w:r>
      <w:r>
        <w:rPr>
          <w:b/>
          <w:bCs/>
          <w:rtl/>
        </w:rPr>
        <w:t>רא"ש</w:t>
      </w:r>
      <w:r>
        <w:rPr>
          <w:rtl/>
        </w:rPr>
        <w:t xml:space="preserve"> (שם).</w:t>
      </w:r>
    </w:p>
  </w:footnote>
  <w:footnote w:id="2510">
    <w:p w14:paraId="0EABBF04" w14:textId="77777777" w:rsidR="00C97BEF" w:rsidRDefault="00C97BEF" w:rsidP="00C97BEF">
      <w:pPr>
        <w:pStyle w:val="a5"/>
        <w:rPr>
          <w:rtl/>
        </w:rPr>
      </w:pPr>
      <w:r>
        <w:rPr>
          <w:rStyle w:val="a7"/>
        </w:rPr>
        <w:footnoteRef/>
      </w:r>
      <w:r>
        <w:rPr>
          <w:rtl/>
        </w:rPr>
        <w:t xml:space="preserve"> </w:t>
      </w:r>
      <w:r>
        <w:rPr>
          <w:rFonts w:cs="Arial"/>
          <w:rtl/>
        </w:rPr>
        <w:t>יפה אמרת דודאי יחידאה אמרה, רש"י.</w:t>
      </w:r>
    </w:p>
  </w:footnote>
  <w:footnote w:id="2511">
    <w:p w14:paraId="6DCBA6B6" w14:textId="77777777" w:rsidR="00C97BEF" w:rsidRDefault="00C97BEF" w:rsidP="00C97BEF">
      <w:pPr>
        <w:pStyle w:val="a5"/>
      </w:pPr>
      <w:r>
        <w:rPr>
          <w:rStyle w:val="a7"/>
        </w:rPr>
        <w:footnoteRef/>
      </w:r>
      <w:r>
        <w:rPr>
          <w:rtl/>
        </w:rPr>
        <w:t xml:space="preserve"> </w:t>
      </w:r>
      <w:r>
        <w:rPr>
          <w:rFonts w:cs="Arial"/>
          <w:rtl/>
        </w:rPr>
        <w:t>לא הודו לו שנאמרה מפי רבים משום דלית הלכתא כוותיה, רש"י.</w:t>
      </w:r>
    </w:p>
  </w:footnote>
  <w:footnote w:id="2512">
    <w:p w14:paraId="38C77F0A" w14:textId="531AB779" w:rsidR="00C97BEF" w:rsidRDefault="00C97BEF" w:rsidP="00C97BEF">
      <w:pPr>
        <w:pStyle w:val="a5"/>
      </w:pPr>
      <w:r>
        <w:rPr>
          <w:rStyle w:val="a7"/>
        </w:rPr>
        <w:footnoteRef/>
      </w:r>
      <w:r>
        <w:rPr>
          <w:rtl/>
        </w:rPr>
        <w:t xml:space="preserve"> </w:t>
      </w:r>
      <w:r>
        <w:rPr>
          <w:rFonts w:cs="Arial"/>
          <w:rtl/>
        </w:rPr>
        <w:t>וכתב א"א הרא"ש ז"ל על דבריו</w:t>
      </w:r>
      <w:r w:rsidR="00440B65">
        <w:rPr>
          <w:rFonts w:cs="Arial" w:hint="cs"/>
          <w:rtl/>
        </w:rPr>
        <w:t>:</w:t>
      </w:r>
      <w:r>
        <w:rPr>
          <w:rFonts w:cs="Arial"/>
          <w:rtl/>
        </w:rPr>
        <w:t xml:space="preserve"> גם פי' זה אינו נכון, דאם צוה לכתוב וליתן אחר השבוע - כותבין מיד אחר השבוע. ע"כ</w:t>
      </w:r>
      <w:r>
        <w:rPr>
          <w:rFonts w:cs="Arial"/>
          <w:sz w:val="16"/>
          <w:szCs w:val="16"/>
          <w:rtl/>
        </w:rPr>
        <w:t xml:space="preserve"> [דברי הרא"ש]</w:t>
      </w:r>
      <w:r>
        <w:rPr>
          <w:rFonts w:cs="Arial"/>
          <w:rtl/>
        </w:rPr>
        <w:t>. ויראה שהוא מפרש דברי הרמב"ם שרוצה לומר שלא יכתבו עד שנה אחר השבוע - ואינו נראה כן מדבריו</w:t>
      </w:r>
      <w:r>
        <w:rPr>
          <w:rFonts w:cs="Arial"/>
          <w:sz w:val="16"/>
          <w:szCs w:val="16"/>
          <w:rtl/>
        </w:rPr>
        <w:t xml:space="preserve"> {של הרמב"ם}</w:t>
      </w:r>
      <w:r>
        <w:rPr>
          <w:rFonts w:cs="Arial"/>
          <w:rtl/>
        </w:rPr>
        <w:t xml:space="preserve">, אלא אדרבה ר"ל שיכתבו מיד אחר השבוע ואין להם זמן לכותבו אלא בתוך השנה, וכן באינך, </w:t>
      </w:r>
      <w:r>
        <w:rPr>
          <w:rFonts w:cs="Arial"/>
          <w:b/>
          <w:bCs/>
          <w:rtl/>
        </w:rPr>
        <w:t>טור</w:t>
      </w:r>
      <w:r>
        <w:rPr>
          <w:rtl/>
        </w:rPr>
        <w:t>.</w:t>
      </w:r>
      <w:r>
        <w:rPr>
          <w:rFonts w:cs="Arial"/>
          <w:rtl/>
        </w:rPr>
        <w:t xml:space="preserve"> </w:t>
      </w:r>
      <w:r w:rsidR="008C7D39">
        <w:rPr>
          <w:rFonts w:cs="Arial" w:hint="cs"/>
          <w:rtl/>
        </w:rPr>
        <w:t xml:space="preserve">    </w:t>
      </w:r>
      <w:r>
        <w:rPr>
          <w:rFonts w:cs="Arial"/>
          <w:rtl/>
        </w:rPr>
        <w:t xml:space="preserve">ונראה לי שנוסחא משובשת נזדמנה להרא"ש בדברי הרמב"ם שהיה כתוב בה 'אין כותבין עד לאחר שנה משבוע שנייה', וכן היה כתוב בכולן 'אין כותבין עד לאחר חודש', 'אין כותבין עד לאחר שבת', כי כן כתוב בפסקים גבי שנה ולפיכך פירש בו מה שפירש. אבל הנוסחא האמיתית היא כמו שכתב רבינו ופירושו בה ברור. וכן פירש הה"מ, וגם הר"ן בס"פ מי שאחזו (סוף לט.), </w:t>
      </w:r>
      <w:r>
        <w:rPr>
          <w:rFonts w:cs="Arial"/>
          <w:b/>
          <w:bCs/>
          <w:rtl/>
        </w:rPr>
        <w:t>ב"י</w:t>
      </w:r>
      <w:r>
        <w:rPr>
          <w:rFonts w:cs="Arial"/>
          <w:rtl/>
        </w:rPr>
        <w:t>.</w:t>
      </w:r>
    </w:p>
  </w:footnote>
  <w:footnote w:id="2513">
    <w:p w14:paraId="58618443" w14:textId="353BE232" w:rsidR="00C97BEF" w:rsidRDefault="00C97BEF" w:rsidP="00C97BEF">
      <w:pPr>
        <w:pStyle w:val="a5"/>
      </w:pPr>
      <w:r>
        <w:rPr>
          <w:rStyle w:val="a7"/>
        </w:rPr>
        <w:footnoteRef/>
      </w:r>
      <w:r>
        <w:rPr>
          <w:rtl/>
        </w:rPr>
        <w:t xml:space="preserve"> </w:t>
      </w:r>
      <w:r>
        <w:rPr>
          <w:rFonts w:cs="Arial"/>
          <w:rtl/>
        </w:rPr>
        <w:t xml:space="preserve">כלומר מדברי סופרים, ואם נישאת לא תצא, ואמאי? והא מידי ספיקא לא נפיק ואפילו נישאת תצא!, </w:t>
      </w:r>
      <w:r>
        <w:rPr>
          <w:rFonts w:cs="Arial"/>
          <w:b/>
          <w:bCs/>
          <w:rtl/>
        </w:rPr>
        <w:t>ר"ן</w:t>
      </w:r>
      <w:r>
        <w:rPr>
          <w:rFonts w:cs="Arial"/>
          <w:rtl/>
        </w:rPr>
        <w:t xml:space="preserve"> (סוף לט.). </w:t>
      </w:r>
      <w:r>
        <w:rPr>
          <w:rFonts w:cs="Arial"/>
          <w:color w:val="E36C0A" w:themeColor="accent6" w:themeShade="BF"/>
          <w:rtl/>
        </w:rPr>
        <w:t>(וכ"פ בשו"ע)</w:t>
      </w:r>
      <w:r>
        <w:rPr>
          <w:rFonts w:cs="Arial"/>
          <w:rtl/>
        </w:rPr>
        <w:t>.</w:t>
      </w:r>
      <w:r w:rsidR="008C7D39">
        <w:rPr>
          <w:rFonts w:cs="Arial" w:hint="cs"/>
          <w:rtl/>
        </w:rPr>
        <w:t xml:space="preserve">   </w:t>
      </w:r>
      <w:r>
        <w:rPr>
          <w:rFonts w:cs="Arial"/>
          <w:rtl/>
        </w:rPr>
        <w:t xml:space="preserve"> ואפשר לומר שטעמו של הרמב"ם דכל שהוא אחר שבוע אפילו מופלג לא נפיק מכלל אחר השבוע, וכן באחר שנה ובאחר חודש, אלא שחכמים חששו להחמיר מלכתוב אלא בזמן דלישתמע שהוא אחר ממש סמוך לו, והילכך לית בה אלא פסולא דרבנן, </w:t>
      </w:r>
      <w:r>
        <w:rPr>
          <w:rFonts w:cs="Arial"/>
          <w:b/>
          <w:bCs/>
          <w:rtl/>
        </w:rPr>
        <w:t>ב"י</w:t>
      </w:r>
      <w:r>
        <w:rPr>
          <w:rFonts w:cs="Arial"/>
          <w:rtl/>
        </w:rPr>
        <w:t xml:space="preserve"> (בבדה"ב).</w:t>
      </w:r>
    </w:p>
  </w:footnote>
  <w:footnote w:id="2514">
    <w:p w14:paraId="301BF22E" w14:textId="77777777" w:rsidR="00C97BEF" w:rsidRDefault="00C97BEF" w:rsidP="00C97BEF">
      <w:pPr>
        <w:pStyle w:val="a5"/>
        <w:rPr>
          <w:rtl/>
        </w:rPr>
      </w:pPr>
      <w:r>
        <w:rPr>
          <w:rStyle w:val="a7"/>
        </w:rPr>
        <w:footnoteRef/>
      </w:r>
      <w:r>
        <w:rPr>
          <w:rtl/>
        </w:rPr>
        <w:t xml:space="preserve"> </w:t>
      </w:r>
      <w:r>
        <w:rPr>
          <w:rFonts w:hint="cs"/>
          <w:rtl/>
        </w:rPr>
        <w:t>ונראה לי שגם הרמב"ם יודה בזה. שהרי יכול להגיע כל זמן שנקרא אחר השמיטה ולא יהיה גט, לכן צריך לחכות עד סוף הזמן שנקרא אחר השמיטה. וכן כתב הב"ש (סק"י) בדעת הרמב"ם.</w:t>
      </w:r>
    </w:p>
  </w:footnote>
  <w:footnote w:id="2515">
    <w:p w14:paraId="3B26A182" w14:textId="77777777" w:rsidR="00C97BEF" w:rsidRDefault="00C97BEF" w:rsidP="00C97BEF">
      <w:pPr>
        <w:pStyle w:val="a5"/>
        <w:rPr>
          <w:rtl/>
        </w:rPr>
      </w:pPr>
      <w:r>
        <w:rPr>
          <w:rStyle w:val="a7"/>
        </w:rPr>
        <w:footnoteRef/>
      </w:r>
      <w:r>
        <w:rPr>
          <w:rtl/>
        </w:rPr>
        <w:t xml:space="preserve"> </w:t>
      </w:r>
      <w:r>
        <w:rPr>
          <w:rFonts w:cs="Arial"/>
          <w:rtl/>
        </w:rPr>
        <w:t>בסוף פרק מי שאחזו לא איפשיט כמה הוי, ולפיכך לא הזכירו הרמב"ם. והרא"ש (שם סוף סי' יד) והרשב"א (עז. ד"ה תניא) והר"ן (לט: דיבור ראשון) כתבו בשם רבינו חננאל דאפילו לא עברו אלא חמשה עשר יום דיו. וכתבו דלא ידעו מנין לו. וכתב הר"ן בשם הרמ"ה דכי היכי דלאחר השבת הוי מחצית הזמן שבין שבת לשבת הכי נמי לאחר הרגל מחצית הזמן שבין רגל לרגל</w:t>
      </w:r>
      <w:r>
        <w:rPr>
          <w:rFonts w:cs="Arial"/>
          <w:sz w:val="16"/>
          <w:szCs w:val="16"/>
          <w:rtl/>
        </w:rPr>
        <w:t xml:space="preserve"> {וכ"כ הרשב"א בשם הרמב"ן, אך הרמב"ן שם סיים שאינו מחוור}</w:t>
      </w:r>
      <w:r>
        <w:rPr>
          <w:rFonts w:cs="Arial"/>
          <w:rtl/>
        </w:rPr>
        <w:t xml:space="preserve">. וכן כתב הרי"ף בתשובה (סי' קכז), </w:t>
      </w:r>
      <w:r>
        <w:rPr>
          <w:rFonts w:cs="Arial"/>
          <w:b/>
          <w:bCs/>
          <w:rtl/>
        </w:rPr>
        <w:t>ב"י</w:t>
      </w:r>
      <w:r>
        <w:rPr>
          <w:rFonts w:cs="Arial"/>
          <w:rtl/>
        </w:rPr>
        <w:t xml:space="preserve">. ובשלט"ג (לט. לשון ריא"ז) כתב דלאחר הרגל אין נותנין לו רק שבת אחת, </w:t>
      </w:r>
      <w:r>
        <w:rPr>
          <w:rFonts w:cs="Arial"/>
          <w:b/>
          <w:bCs/>
          <w:rtl/>
        </w:rPr>
        <w:t>דרכ"מ</w:t>
      </w:r>
      <w:r>
        <w:rPr>
          <w:rFonts w:cs="Arial"/>
          <w:rtl/>
        </w:rPr>
        <w:t xml:space="preserve"> (אות ג).</w:t>
      </w:r>
    </w:p>
  </w:footnote>
  <w:footnote w:id="2516">
    <w:p w14:paraId="540EC70D" w14:textId="77777777" w:rsidR="00C97BEF" w:rsidRDefault="00C97BEF" w:rsidP="00C97BEF">
      <w:pPr>
        <w:pStyle w:val="a5"/>
      </w:pPr>
      <w:r>
        <w:rPr>
          <w:rStyle w:val="a7"/>
        </w:rPr>
        <w:footnoteRef/>
      </w:r>
      <w:r>
        <w:rPr>
          <w:rtl/>
        </w:rPr>
        <w:t xml:space="preserve"> </w:t>
      </w:r>
      <w:r>
        <w:rPr>
          <w:rFonts w:hint="cs"/>
          <w:rtl/>
        </w:rPr>
        <w:t>ולגבי שבת לא מבעיא ליה, דמפורש בגמרא שהוא מרביעי עד שישי. וכ"פ הרמב"ם (שם).</w:t>
      </w:r>
    </w:p>
  </w:footnote>
  <w:footnote w:id="2517">
    <w:p w14:paraId="55F71ADC" w14:textId="77777777" w:rsidR="00C97BEF" w:rsidRDefault="00C97BEF" w:rsidP="00C97BEF">
      <w:pPr>
        <w:pStyle w:val="a5"/>
      </w:pPr>
      <w:r>
        <w:rPr>
          <w:rStyle w:val="a7"/>
        </w:rPr>
        <w:footnoteRef/>
      </w:r>
      <w:r>
        <w:rPr>
          <w:rtl/>
        </w:rPr>
        <w:t xml:space="preserve"> </w:t>
      </w:r>
      <w:r>
        <w:rPr>
          <w:rFonts w:cs="Arial"/>
          <w:rtl/>
        </w:rPr>
        <w:t>כשאשתהה שלשים יום עובר מכנגד פניך מיד יהא גט, רש"י.</w:t>
      </w:r>
    </w:p>
  </w:footnote>
  <w:footnote w:id="2518">
    <w:p w14:paraId="03CE3B4C" w14:textId="77777777" w:rsidR="00C97BEF" w:rsidRDefault="00C97BEF" w:rsidP="00C97BEF">
      <w:pPr>
        <w:pStyle w:val="a5"/>
      </w:pPr>
      <w:r>
        <w:rPr>
          <w:rStyle w:val="a7"/>
        </w:rPr>
        <w:footnoteRef/>
      </w:r>
      <w:r>
        <w:rPr>
          <w:rtl/>
        </w:rPr>
        <w:t xml:space="preserve"> </w:t>
      </w:r>
      <w:r>
        <w:rPr>
          <w:rFonts w:cs="Arial"/>
          <w:rtl/>
        </w:rPr>
        <w:t>שלשים יום רצופין</w:t>
      </w:r>
      <w:r>
        <w:rPr>
          <w:rtl/>
        </w:rPr>
        <w:t>, רש"י.</w:t>
      </w:r>
    </w:p>
  </w:footnote>
  <w:footnote w:id="2519">
    <w:p w14:paraId="19C59021" w14:textId="77777777" w:rsidR="00C97BEF" w:rsidRDefault="00C97BEF" w:rsidP="00C97BEF">
      <w:pPr>
        <w:pStyle w:val="a5"/>
        <w:rPr>
          <w:rtl/>
        </w:rPr>
      </w:pPr>
      <w:r>
        <w:rPr>
          <w:rStyle w:val="a7"/>
        </w:rPr>
        <w:footnoteRef/>
      </w:r>
      <w:r>
        <w:rPr>
          <w:rtl/>
        </w:rPr>
        <w:t xml:space="preserve"> </w:t>
      </w:r>
      <w:r>
        <w:rPr>
          <w:rFonts w:cs="Arial"/>
          <w:rtl/>
        </w:rPr>
        <w:t>והרי שלשים יום רצופים בלא תשמיש כדקתני הואיל ולא נתיחד עמה, רש"י.</w:t>
      </w:r>
    </w:p>
  </w:footnote>
  <w:footnote w:id="2520">
    <w:p w14:paraId="4B36FA56" w14:textId="77777777" w:rsidR="00C97BEF" w:rsidRDefault="00C97BEF" w:rsidP="00C97BEF">
      <w:pPr>
        <w:pStyle w:val="a5"/>
      </w:pPr>
      <w:r>
        <w:rPr>
          <w:rStyle w:val="a7"/>
        </w:rPr>
        <w:footnoteRef/>
      </w:r>
      <w:r>
        <w:rPr>
          <w:rtl/>
        </w:rPr>
        <w:t xml:space="preserve"> </w:t>
      </w:r>
      <w:r>
        <w:rPr>
          <w:rFonts w:cs="Arial"/>
          <w:rtl/>
        </w:rPr>
        <w:t>דאין הגט נפסל משום גט ישן הואיל ולא נתיחד עמה ולכי מקיים תנאיה ליהוי גיטא, רש"י.</w:t>
      </w:r>
    </w:p>
  </w:footnote>
  <w:footnote w:id="2521">
    <w:p w14:paraId="172E7F80" w14:textId="77777777" w:rsidR="00C97BEF" w:rsidRDefault="00C97BEF" w:rsidP="00C97BEF">
      <w:pPr>
        <w:pStyle w:val="a5"/>
      </w:pPr>
      <w:r>
        <w:rPr>
          <w:rStyle w:val="a7"/>
        </w:rPr>
        <w:footnoteRef/>
      </w:r>
      <w:r>
        <w:rPr>
          <w:rtl/>
        </w:rPr>
        <w:t xml:space="preserve"> </w:t>
      </w:r>
      <w:r>
        <w:rPr>
          <w:rFonts w:cs="Arial"/>
          <w:rtl/>
        </w:rPr>
        <w:t>כל שנתיחד עמה בין כתיבה לנתינה ופסלוהו רבנן משום שמא יאמרו גיטה קודם לבנה לקמן בהזורק (עט:)</w:t>
      </w:r>
      <w:r>
        <w:rPr>
          <w:rtl/>
        </w:rPr>
        <w:t>, רש"י.</w:t>
      </w:r>
    </w:p>
  </w:footnote>
  <w:footnote w:id="2522">
    <w:p w14:paraId="6DDE0533" w14:textId="390BB921" w:rsidR="00C97BEF" w:rsidRDefault="00C97BEF" w:rsidP="00C97BEF">
      <w:pPr>
        <w:pStyle w:val="a5"/>
        <w:rPr>
          <w:rtl/>
        </w:rPr>
      </w:pPr>
      <w:r>
        <w:rPr>
          <w:rStyle w:val="a7"/>
        </w:rPr>
        <w:footnoteRef/>
      </w:r>
      <w:r>
        <w:rPr>
          <w:rtl/>
        </w:rPr>
        <w:t xml:space="preserve"> </w:t>
      </w:r>
      <w:r>
        <w:rPr>
          <w:rFonts w:cs="Arial"/>
          <w:rtl/>
        </w:rPr>
        <w:t>כשהיה בא אצלה פייס קטטה שביניהם ונתיחד עמה, ולאחר זמן אתי בעל מערער ואמר פייסתי</w:t>
      </w:r>
      <w:r>
        <w:rPr>
          <w:rFonts w:cs="Arial"/>
          <w:sz w:val="16"/>
          <w:szCs w:val="16"/>
          <w:rtl/>
        </w:rPr>
        <w:t xml:space="preserve"> {ונתייחדנו והוי גט ישן}</w:t>
      </w:r>
      <w:r>
        <w:rPr>
          <w:rtl/>
        </w:rPr>
        <w:t xml:space="preserve">, </w:t>
      </w:r>
      <w:r>
        <w:rPr>
          <w:b/>
          <w:bCs/>
          <w:rtl/>
        </w:rPr>
        <w:t>רש"י</w:t>
      </w:r>
      <w:r>
        <w:rPr>
          <w:rtl/>
        </w:rPr>
        <w:t>.</w:t>
      </w:r>
      <w:r>
        <w:rPr>
          <w:rFonts w:cs="Arial"/>
          <w:rtl/>
        </w:rPr>
        <w:t xml:space="preserve"> </w:t>
      </w:r>
      <w:r w:rsidR="00E036FE">
        <w:rPr>
          <w:rFonts w:cs="Arial" w:hint="cs"/>
          <w:rtl/>
        </w:rPr>
        <w:t xml:space="preserve">    </w:t>
      </w:r>
      <w:r>
        <w:rPr>
          <w:rFonts w:cs="Arial"/>
          <w:rtl/>
        </w:rPr>
        <w:t>ודע שדברי רבינו בוליחוש שמא פייס הם כדברי רש"י. אבל הרשב"א (עו: ד"ה וליחוש) והר"ן (לח. ד"ה גמ') כתבו שאין נראה להם אלא כמו שפירש הרי"ף בתשובה (סי' לב) דהכי קאמר</w:t>
      </w:r>
      <w:r w:rsidR="00E036FE">
        <w:rPr>
          <w:rFonts w:cs="Arial" w:hint="cs"/>
          <w:rtl/>
        </w:rPr>
        <w:t>:</w:t>
      </w:r>
      <w:r>
        <w:rPr>
          <w:rFonts w:cs="Arial"/>
          <w:rtl/>
        </w:rPr>
        <w:t xml:space="preserve"> ליחוש שמא פייס בדברים ומחלה התנאי. וכ</w:t>
      </w:r>
      <w:r w:rsidR="00E036FE">
        <w:rPr>
          <w:rFonts w:cs="Arial" w:hint="cs"/>
          <w:rtl/>
        </w:rPr>
        <w:t>"</w:t>
      </w:r>
      <w:r>
        <w:rPr>
          <w:rFonts w:cs="Arial"/>
          <w:rtl/>
        </w:rPr>
        <w:t>כ הרמב"ם בפ</w:t>
      </w:r>
      <w:r w:rsidR="00E036FE">
        <w:rPr>
          <w:rFonts w:cs="Arial" w:hint="cs"/>
          <w:rtl/>
        </w:rPr>
        <w:t>"</w:t>
      </w:r>
      <w:r>
        <w:rPr>
          <w:rFonts w:cs="Arial"/>
          <w:rtl/>
        </w:rPr>
        <w:t xml:space="preserve">ט (ה"ט) חוששין שמא פייסה כשהיה הולך ובא ומחלה לו וחזר וביטל הגט כשפייסה ומפני חשש זה יהיה הגט פסול לאחר שלשים יום. וכתב עוד (ה"י) וכן כל התנאים שהם תלויים ברצונה ואם רצתה ומחלה אותם לבעלה בטל הגט חוששין לה שמא פייס עד שיאמר נאמנת עלי עכ"ל, </w:t>
      </w:r>
      <w:r>
        <w:rPr>
          <w:rFonts w:cs="Arial"/>
          <w:b/>
          <w:bCs/>
          <w:rtl/>
        </w:rPr>
        <w:t>ב"י</w:t>
      </w:r>
      <w:r>
        <w:rPr>
          <w:rFonts w:cs="Arial"/>
          <w:rtl/>
        </w:rPr>
        <w:t xml:space="preserve">. </w:t>
      </w:r>
      <w:r w:rsidR="00E036FE">
        <w:rPr>
          <w:rFonts w:cs="Arial" w:hint="cs"/>
          <w:rtl/>
        </w:rPr>
        <w:t xml:space="preserve">    </w:t>
      </w:r>
      <w:r>
        <w:rPr>
          <w:rFonts w:cs="Arial"/>
          <w:rtl/>
        </w:rPr>
        <w:t xml:space="preserve">אך </w:t>
      </w:r>
      <w:r>
        <w:rPr>
          <w:rFonts w:cs="Arial"/>
          <w:b/>
          <w:bCs/>
          <w:rtl/>
        </w:rPr>
        <w:t>הראב"ד</w:t>
      </w:r>
      <w:r>
        <w:rPr>
          <w:rFonts w:cs="Arial"/>
          <w:rtl/>
        </w:rPr>
        <w:t xml:space="preserve"> </w:t>
      </w:r>
      <w:r>
        <w:rPr>
          <w:rFonts w:cs="Arial"/>
          <w:sz w:val="16"/>
          <w:szCs w:val="16"/>
          <w:rtl/>
        </w:rPr>
        <w:t>(בהשגות פ"ט ה"ט)</w:t>
      </w:r>
      <w:r>
        <w:rPr>
          <w:sz w:val="16"/>
          <w:szCs w:val="16"/>
          <w:rtl/>
        </w:rPr>
        <w:t xml:space="preserve"> </w:t>
      </w:r>
      <w:r>
        <w:rPr>
          <w:rtl/>
        </w:rPr>
        <w:t>כתב</w:t>
      </w:r>
      <w:r w:rsidR="00E036FE">
        <w:rPr>
          <w:rFonts w:hint="cs"/>
          <w:rtl/>
        </w:rPr>
        <w:t>:</w:t>
      </w:r>
      <w:r>
        <w:rPr>
          <w:rtl/>
        </w:rPr>
        <w:t xml:space="preserve"> </w:t>
      </w:r>
      <w:r>
        <w:rPr>
          <w:rFonts w:cs="Arial"/>
          <w:rtl/>
        </w:rPr>
        <w:t>חיי ראשי איני יודע מחילה זו מה היא ומה יש בידה למחול בתנאים אלו</w:t>
      </w:r>
      <w:r w:rsidR="00E036FE">
        <w:rPr>
          <w:rFonts w:cs="Arial" w:hint="cs"/>
          <w:rtl/>
        </w:rPr>
        <w:t>,</w:t>
      </w:r>
      <w:r>
        <w:rPr>
          <w:rFonts w:cs="Arial"/>
          <w:rtl/>
        </w:rPr>
        <w:t xml:space="preserve"> והפיוס אינו אלא שנתפייס עמה שלא לגרשה ובטל הגט שבידה. ואע"פ שאמרו משהגיע גט לידה אינו יכול לבטלו, כשהגיע גט לידה בלא תנאי, אבל בתנאי כל זמן שלא נתקיים התנאי יכול לבטלו. </w:t>
      </w:r>
      <w:r>
        <w:rPr>
          <w:rtl/>
        </w:rPr>
        <w:t xml:space="preserve"> </w:t>
      </w:r>
    </w:p>
  </w:footnote>
  <w:footnote w:id="2523">
    <w:p w14:paraId="797A5C1A" w14:textId="77777777" w:rsidR="00C97BEF" w:rsidRDefault="00C97BEF" w:rsidP="00C97BEF">
      <w:pPr>
        <w:pStyle w:val="a5"/>
        <w:rPr>
          <w:rtl/>
        </w:rPr>
      </w:pPr>
      <w:r>
        <w:rPr>
          <w:rStyle w:val="a7"/>
        </w:rPr>
        <w:footnoteRef/>
      </w:r>
      <w:r>
        <w:rPr>
          <w:rtl/>
        </w:rPr>
        <w:t xml:space="preserve"> </w:t>
      </w:r>
      <w:r>
        <w:rPr>
          <w:rFonts w:cs="Arial"/>
          <w:rtl/>
        </w:rPr>
        <w:t>בשעת התנאי על מנת כן אני מוסר לה שתהא נאמנת עלי כמאה עדים כל זמן שתאמר שלא באתי ונתיחדתי ופייסתי, רש"י.</w:t>
      </w:r>
    </w:p>
  </w:footnote>
  <w:footnote w:id="2524">
    <w:p w14:paraId="662C44E8" w14:textId="77777777" w:rsidR="00C97BEF" w:rsidRDefault="00C97BEF" w:rsidP="00C97BEF">
      <w:pPr>
        <w:pStyle w:val="a5"/>
      </w:pPr>
      <w:r>
        <w:rPr>
          <w:rStyle w:val="a7"/>
        </w:rPr>
        <w:footnoteRef/>
      </w:r>
      <w:r>
        <w:rPr>
          <w:rtl/>
        </w:rPr>
        <w:t xml:space="preserve"> </w:t>
      </w:r>
      <w:r>
        <w:rPr>
          <w:rFonts w:cs="Arial"/>
          <w:rtl/>
        </w:rPr>
        <w:t>דכיון דהיכא דלא בא חיישי' שמא פייס אי לאו דאתני ברישא נאמנת עלי כ"ש אברייתא שהיה הולך ובא, רש"י.</w:t>
      </w:r>
    </w:p>
  </w:footnote>
  <w:footnote w:id="2525">
    <w:p w14:paraId="4B5C7509" w14:textId="77777777" w:rsidR="00C97BEF" w:rsidRDefault="00C97BEF" w:rsidP="00C97BEF">
      <w:pPr>
        <w:pStyle w:val="a5"/>
      </w:pPr>
      <w:r>
        <w:rPr>
          <w:rStyle w:val="a7"/>
        </w:rPr>
        <w:footnoteRef/>
      </w:r>
      <w:r>
        <w:rPr>
          <w:rtl/>
        </w:rPr>
        <w:t xml:space="preserve"> </w:t>
      </w:r>
      <w:r>
        <w:rPr>
          <w:rFonts w:cs="Arial"/>
          <w:rtl/>
        </w:rPr>
        <w:t>דמת בתוך י"ב חדש ולא ראינו שבא בעיר משיצא לא חיישינן שמא פייס ואפי' לא הימנה עליה מעיקרא הוי גט דהא לא אתא, רש"י.</w:t>
      </w:r>
    </w:p>
  </w:footnote>
  <w:footnote w:id="2526">
    <w:p w14:paraId="3502C4AB" w14:textId="77777777" w:rsidR="00C97BEF" w:rsidRDefault="00C97BEF" w:rsidP="00C97BEF">
      <w:pPr>
        <w:pStyle w:val="a5"/>
      </w:pPr>
      <w:r>
        <w:rPr>
          <w:rStyle w:val="a7"/>
        </w:rPr>
        <w:footnoteRef/>
      </w:r>
      <w:r>
        <w:rPr>
          <w:rtl/>
        </w:rPr>
        <w:t xml:space="preserve"> </w:t>
      </w:r>
      <w:r>
        <w:rPr>
          <w:rFonts w:hint="cs"/>
          <w:rtl/>
        </w:rPr>
        <w:t xml:space="preserve">כן הוא ברמב"ם ובר"ן, אך בב"י (שהעתיק את ל' הר"ן) ליתא תיבה זו. </w:t>
      </w:r>
    </w:p>
  </w:footnote>
  <w:footnote w:id="2527">
    <w:p w14:paraId="463FAB43" w14:textId="77777777" w:rsidR="00C97BEF" w:rsidRDefault="00C97BEF" w:rsidP="00C97BEF">
      <w:pPr>
        <w:pStyle w:val="a5"/>
        <w:rPr>
          <w:rtl/>
        </w:rPr>
      </w:pPr>
      <w:r>
        <w:rPr>
          <w:rStyle w:val="a7"/>
        </w:rPr>
        <w:footnoteRef/>
      </w:r>
      <w:r>
        <w:rPr>
          <w:rtl/>
        </w:rPr>
        <w:t xml:space="preserve"> </w:t>
      </w:r>
      <w:r>
        <w:rPr>
          <w:rFonts w:cs="Arial"/>
          <w:rtl/>
        </w:rPr>
        <w:t>החילוק שבין ארוסה לנשואה מפורש בגמרא סוף פרק כל הגט (כט:) דאמרו בגמרא אם אמרו בנשואה יאמרו בארוסה</w:t>
      </w:r>
      <w:r>
        <w:rPr>
          <w:rtl/>
        </w:rPr>
        <w:t>, ב"י.</w:t>
      </w:r>
    </w:p>
  </w:footnote>
  <w:footnote w:id="2528">
    <w:p w14:paraId="139A0CB3" w14:textId="6A5D8714" w:rsidR="00C97BEF" w:rsidRPr="00736AA4" w:rsidRDefault="00C97BEF" w:rsidP="00736AA4">
      <w:pPr>
        <w:pStyle w:val="a5"/>
        <w:rPr>
          <w:rFonts w:cs="Arial"/>
          <w:rtl/>
        </w:rPr>
      </w:pPr>
      <w:r>
        <w:rPr>
          <w:rStyle w:val="a7"/>
        </w:rPr>
        <w:footnoteRef/>
      </w:r>
      <w:r>
        <w:rPr>
          <w:rtl/>
        </w:rPr>
        <w:t xml:space="preserve"> </w:t>
      </w:r>
      <w:r>
        <w:rPr>
          <w:rFonts w:cs="Arial"/>
          <w:rtl/>
        </w:rPr>
        <w:t>וז"ל הטור בשמו</w:t>
      </w:r>
      <w:r w:rsidR="00736AA4">
        <w:rPr>
          <w:rFonts w:cs="Arial" w:hint="cs"/>
          <w:rtl/>
        </w:rPr>
        <w:t>:</w:t>
      </w:r>
      <w:r>
        <w:rPr>
          <w:rFonts w:cs="Arial"/>
          <w:rtl/>
        </w:rPr>
        <w:t xml:space="preserve"> דוקא שאמר 'כל זמן שאעבור', ולא אמר 'מעכשיו'. אבל אמר לה 'מעכשיו אם לא אעבור', או 'על מנת שלא אעבור' - כשלא עבר חל הגט למפרע ואינו יכול לבטל תנאו ואין צריך להאמינה.</w:t>
      </w:r>
      <w:r>
        <w:rPr>
          <w:rtl/>
        </w:rPr>
        <w:t xml:space="preserve"> עכ"ל הטור בשמו.      וכתב </w:t>
      </w:r>
      <w:r w:rsidRPr="00736AA4">
        <w:rPr>
          <w:b/>
          <w:bCs/>
          <w:rtl/>
        </w:rPr>
        <w:t>הב"י</w:t>
      </w:r>
      <w:r>
        <w:rPr>
          <w:rtl/>
        </w:rPr>
        <w:t xml:space="preserve"> </w:t>
      </w:r>
      <w:r>
        <w:rPr>
          <w:rFonts w:cs="Arial"/>
          <w:rtl/>
        </w:rPr>
        <w:t>דכבר נתבאר בסימן קמ"ג (סע' ב) שזה דעת הרמב"ם ושכתב הרב המגיד שזה דעת כל הפוסקים חוץ מבעל העיטור ונתבאר שם שדעת הרא"ש כדעת בעל העיטור ושדברי הר"ן נוטים לדברי בעל העיטור ג"כ.</w:t>
      </w:r>
    </w:p>
  </w:footnote>
  <w:footnote w:id="2529">
    <w:p w14:paraId="17E5DCF6" w14:textId="45A410D1" w:rsidR="00C97BEF" w:rsidRDefault="00C97BEF" w:rsidP="00736AA4">
      <w:pPr>
        <w:pStyle w:val="a5"/>
      </w:pPr>
      <w:r>
        <w:rPr>
          <w:rStyle w:val="a7"/>
        </w:rPr>
        <w:footnoteRef/>
      </w:r>
      <w:r>
        <w:rPr>
          <w:rtl/>
        </w:rPr>
        <w:t xml:space="preserve"> </w:t>
      </w:r>
      <w:r>
        <w:rPr>
          <w:rFonts w:cs="Arial"/>
          <w:rtl/>
        </w:rPr>
        <w:t xml:space="preserve">ותימה הוא שפסק לקולא באיסורא דאורייתא. ועוד דלישנא בתרא מתני לה אמתניתין וכן דעת רב אלפס ז"ל דבכל מקום הוא תופס איכא דאמרי עיקר. וכן לעיל בפרק כל הגט (כח., כט:) מקשי הש"ס מלישנא בתרא, </w:t>
      </w:r>
      <w:r>
        <w:rPr>
          <w:rFonts w:cs="Arial"/>
          <w:b/>
          <w:bCs/>
          <w:rtl/>
        </w:rPr>
        <w:t>רא"ש</w:t>
      </w:r>
      <w:r>
        <w:rPr>
          <w:rFonts w:cs="Arial"/>
          <w:rtl/>
        </w:rPr>
        <w:t xml:space="preserve"> (שם)</w:t>
      </w:r>
      <w:r>
        <w:rPr>
          <w:rtl/>
        </w:rPr>
        <w:t>.</w:t>
      </w:r>
      <w:r w:rsidR="00736AA4" w:rsidRPr="00736AA4">
        <w:rPr>
          <w:rFonts w:cs="Arial"/>
          <w:sz w:val="16"/>
          <w:szCs w:val="16"/>
          <w:rtl/>
        </w:rPr>
        <w:t xml:space="preserve"> </w:t>
      </w:r>
      <w:r w:rsidR="00736AA4">
        <w:rPr>
          <w:rFonts w:cs="Arial" w:hint="cs"/>
          <w:sz w:val="16"/>
          <w:szCs w:val="16"/>
          <w:rtl/>
        </w:rPr>
        <w:t xml:space="preserve">    </w:t>
      </w:r>
      <w:r w:rsidR="00736AA4" w:rsidRPr="00736AA4">
        <w:rPr>
          <w:rtl/>
        </w:rPr>
        <w:t xml:space="preserve">ובמה שכתב הר"ן אין מקום לתמיהתו, </w:t>
      </w:r>
      <w:r w:rsidR="00736AA4" w:rsidRPr="00736AA4">
        <w:rPr>
          <w:b/>
          <w:bCs/>
          <w:rtl/>
        </w:rPr>
        <w:t>ב"י</w:t>
      </w:r>
      <w:r w:rsidR="00736AA4">
        <w:rPr>
          <w:rFonts w:hint="cs"/>
          <w:rtl/>
        </w:rPr>
        <w:t>.</w:t>
      </w:r>
    </w:p>
  </w:footnote>
  <w:footnote w:id="2530">
    <w:p w14:paraId="685A8A1A" w14:textId="77777777" w:rsidR="00C97BEF" w:rsidRDefault="00C97BEF" w:rsidP="00C97BEF">
      <w:pPr>
        <w:pStyle w:val="a5"/>
      </w:pPr>
      <w:r>
        <w:rPr>
          <w:rStyle w:val="a7"/>
        </w:rPr>
        <w:footnoteRef/>
      </w:r>
      <w:r>
        <w:rPr>
          <w:rtl/>
        </w:rPr>
        <w:t xml:space="preserve"> </w:t>
      </w:r>
      <w:r>
        <w:rPr>
          <w:rFonts w:hint="cs"/>
          <w:rtl/>
        </w:rPr>
        <w:t xml:space="preserve">צל"ע למה כתב הטור דוקא את הטעם הזה, הרי הרא"ש </w:t>
      </w:r>
      <w:r>
        <w:rPr>
          <w:sz w:val="16"/>
          <w:szCs w:val="16"/>
          <w:rtl/>
        </w:rPr>
        <w:t xml:space="preserve">(סי' יב) </w:t>
      </w:r>
      <w:r>
        <w:rPr>
          <w:rtl/>
        </w:rPr>
        <w:t xml:space="preserve">כתב </w:t>
      </w:r>
      <w:r>
        <w:rPr>
          <w:rFonts w:cs="Arial"/>
          <w:rtl/>
        </w:rPr>
        <w:t>טעמים אחרים המוזכרים בהערה הקודמת בסוף דברי הרמב"ם.</w:t>
      </w:r>
    </w:p>
  </w:footnote>
  <w:footnote w:id="2531">
    <w:p w14:paraId="7471053F" w14:textId="77777777" w:rsidR="00C97BEF" w:rsidRDefault="00C97BEF" w:rsidP="00C97BEF">
      <w:pPr>
        <w:pStyle w:val="a5"/>
        <w:rPr>
          <w:rtl/>
        </w:rPr>
      </w:pPr>
      <w:r>
        <w:rPr>
          <w:rStyle w:val="a7"/>
        </w:rPr>
        <w:footnoteRef/>
      </w:r>
      <w:r>
        <w:rPr>
          <w:rtl/>
        </w:rPr>
        <w:t xml:space="preserve"> </w:t>
      </w:r>
      <w:r>
        <w:rPr>
          <w:rFonts w:cs="Arial"/>
          <w:rtl/>
        </w:rPr>
        <w:t>וכן משמע במרדכי פרק כל הגט (הגה"ה בסוף סי' שנט) עיין שם, דרכ"מ (אות ד).</w:t>
      </w:r>
    </w:p>
  </w:footnote>
  <w:footnote w:id="2532">
    <w:p w14:paraId="2EE3411E" w14:textId="77777777" w:rsidR="00C97BEF" w:rsidRDefault="00C97BEF" w:rsidP="00C97BEF">
      <w:pPr>
        <w:pStyle w:val="a5"/>
      </w:pPr>
      <w:r>
        <w:rPr>
          <w:rStyle w:val="a7"/>
        </w:rPr>
        <w:footnoteRef/>
      </w:r>
      <w:r>
        <w:rPr>
          <w:rtl/>
        </w:rPr>
        <w:t xml:space="preserve"> </w:t>
      </w:r>
      <w:r>
        <w:rPr>
          <w:rFonts w:cs="Arial"/>
          <w:rtl/>
        </w:rPr>
        <w:t>משמע אם היה נתייחד עמה אף על פי שנתן לה נאמנות כשתאמר שלא בא עליה ואינו גט ישן לא מהני נאמנות והוי גט ישן ועיין סי' קמ"ט ואפי' אם נתייחד עמה ואח"כ הלך ועבר ל' יום הגט כשר אם נשאת דאין חשש אלא משום גט ישן אלא כשלא נתייחד ה"ז גט כשר אפי' לכתחלה</w:t>
      </w:r>
      <w:r>
        <w:rPr>
          <w:rtl/>
        </w:rPr>
        <w:t>, ב"ש (סקי"ג).</w:t>
      </w:r>
    </w:p>
  </w:footnote>
  <w:footnote w:id="2533">
    <w:p w14:paraId="5F45DFDB" w14:textId="77777777" w:rsidR="00C97BEF" w:rsidRDefault="00C97BEF" w:rsidP="00C97BEF">
      <w:pPr>
        <w:pStyle w:val="a5"/>
        <w:rPr>
          <w:rtl/>
        </w:rPr>
      </w:pPr>
      <w:r>
        <w:rPr>
          <w:rStyle w:val="a7"/>
        </w:rPr>
        <w:footnoteRef/>
      </w:r>
      <w:r>
        <w:rPr>
          <w:rtl/>
        </w:rPr>
        <w:t xml:space="preserve"> </w:t>
      </w:r>
      <w:r>
        <w:rPr>
          <w:rFonts w:cs="Arial"/>
          <w:rtl/>
        </w:rPr>
        <w:t>כגון גבי גט שכתב כהלכתו וכשמוסרו לה אומר זה גיטיך אם מתי הלכך לא דמי לשטר שכיון שכתב התנאי אצל הזמן בשטר איכא למימר דזמן מוכיח דמהיום קאמר אבל על פה דלמא כי מסריה ניהלה הדר ביה מזמן דשטרא ומסריה ניהלה ע"מ לאחר מיתה הואיל ולא אמר מהיום, רש"י.</w:t>
      </w:r>
    </w:p>
  </w:footnote>
  <w:footnote w:id="2534">
    <w:p w14:paraId="16A9CB19" w14:textId="77777777" w:rsidR="00C97BEF" w:rsidRDefault="00C97BEF" w:rsidP="00C97BEF">
      <w:pPr>
        <w:pStyle w:val="a5"/>
      </w:pPr>
      <w:r>
        <w:rPr>
          <w:rStyle w:val="a7"/>
        </w:rPr>
        <w:footnoteRef/>
      </w:r>
      <w:r>
        <w:rPr>
          <w:rtl/>
        </w:rPr>
        <w:t xml:space="preserve"> </w:t>
      </w:r>
      <w:r>
        <w:rPr>
          <w:rFonts w:cs="Arial"/>
          <w:rtl/>
        </w:rPr>
        <w:t>לדרב הונא לעיל, רש"י.</w:t>
      </w:r>
    </w:p>
  </w:footnote>
  <w:footnote w:id="2535">
    <w:p w14:paraId="0AE13F33" w14:textId="77777777" w:rsidR="00C97BEF" w:rsidRDefault="00C97BEF" w:rsidP="00C97BEF">
      <w:pPr>
        <w:pStyle w:val="a5"/>
      </w:pPr>
      <w:r>
        <w:rPr>
          <w:rStyle w:val="a7"/>
        </w:rPr>
        <w:footnoteRef/>
      </w:r>
      <w:r>
        <w:rPr>
          <w:rtl/>
        </w:rPr>
        <w:t xml:space="preserve"> </w:t>
      </w:r>
      <w:r>
        <w:rPr>
          <w:rFonts w:cs="Arial"/>
          <w:rtl/>
        </w:rPr>
        <w:t>דאמר כי לא אמר מהיום כמאן דאמר מהיום דמי</w:t>
      </w:r>
      <w:r>
        <w:rPr>
          <w:rtl/>
        </w:rPr>
        <w:t>, רש"י.</w:t>
      </w:r>
    </w:p>
  </w:footnote>
  <w:footnote w:id="2536">
    <w:p w14:paraId="7E423515" w14:textId="77777777" w:rsidR="00C97BEF" w:rsidRDefault="00C97BEF" w:rsidP="00C97BEF">
      <w:pPr>
        <w:pStyle w:val="a5"/>
        <w:rPr>
          <w:rtl/>
        </w:rPr>
      </w:pPr>
      <w:r>
        <w:rPr>
          <w:rStyle w:val="a7"/>
        </w:rPr>
        <w:footnoteRef/>
      </w:r>
      <w:r>
        <w:rPr>
          <w:rtl/>
        </w:rPr>
        <w:t xml:space="preserve"> </w:t>
      </w:r>
      <w:r>
        <w:rPr>
          <w:rFonts w:cs="Arial"/>
          <w:rtl/>
        </w:rPr>
        <w:t>דזמן השטר הו"ל כמהיום וכי מסריה ניהליה ואמר זה גיטך לאחר מיתה מספקא לן אי תנאה הוא אי חזרה הוא, רש"י.</w:t>
      </w:r>
    </w:p>
  </w:footnote>
  <w:footnote w:id="2537">
    <w:p w14:paraId="4CFB5140" w14:textId="77777777" w:rsidR="00C97BEF" w:rsidRDefault="00C97BEF" w:rsidP="00C97BEF">
      <w:pPr>
        <w:pStyle w:val="a5"/>
      </w:pPr>
      <w:r>
        <w:rPr>
          <w:rStyle w:val="a7"/>
        </w:rPr>
        <w:footnoteRef/>
      </w:r>
      <w:r>
        <w:rPr>
          <w:rtl/>
        </w:rPr>
        <w:t xml:space="preserve"> </w:t>
      </w:r>
      <w:r>
        <w:rPr>
          <w:rFonts w:cs="Arial"/>
          <w:rtl/>
        </w:rPr>
        <w:t>והרא"ש (סי' ג) לא כתב אלא דברי רבינו תם לבד. והר"ן (לח: ד"ה וכתב) כתב שהרמב"ן (עו: ד"ה הכל מודים) הקשה על דברי רבינו תם. ורי"ו (ח"ד נכ"ד רי:) כתב שכמה פסקנים כתבו כדברי הרמב"ן ז"ל</w:t>
      </w:r>
      <w:r>
        <w:rPr>
          <w:rtl/>
        </w:rPr>
        <w:t>, ב"י.</w:t>
      </w:r>
    </w:p>
  </w:footnote>
  <w:footnote w:id="2538">
    <w:p w14:paraId="6068F05F" w14:textId="77777777" w:rsidR="00C97BEF" w:rsidRDefault="00C97BEF" w:rsidP="00C97BEF">
      <w:pPr>
        <w:pStyle w:val="a5"/>
        <w:rPr>
          <w:rtl/>
        </w:rPr>
      </w:pPr>
      <w:r>
        <w:rPr>
          <w:rStyle w:val="a7"/>
        </w:rPr>
        <w:footnoteRef/>
      </w:r>
      <w:r>
        <w:rPr>
          <w:rtl/>
        </w:rPr>
        <w:t xml:space="preserve"> </w:t>
      </w:r>
      <w:r>
        <w:rPr>
          <w:rFonts w:cs="Arial"/>
          <w:rtl/>
        </w:rPr>
        <w:t>היינו הספק הוא אם הלכה כרבי יוסי דאמר זמן של שטר מוכיח והוי כאלו אמר מהיום</w:t>
      </w:r>
      <w:r>
        <w:rPr>
          <w:rtl/>
        </w:rPr>
        <w:t>, ב"ש (סק"ב).</w:t>
      </w:r>
    </w:p>
  </w:footnote>
  <w:footnote w:id="2539">
    <w:p w14:paraId="34DA4A79" w14:textId="77777777" w:rsidR="00C97BEF" w:rsidRDefault="00C97BEF" w:rsidP="00C97BEF">
      <w:pPr>
        <w:pStyle w:val="a5"/>
        <w:rPr>
          <w:rtl/>
        </w:rPr>
      </w:pPr>
      <w:r>
        <w:rPr>
          <w:rStyle w:val="a7"/>
        </w:rPr>
        <w:footnoteRef/>
      </w:r>
      <w:r>
        <w:rPr>
          <w:rtl/>
        </w:rPr>
        <w:t xml:space="preserve"> </w:t>
      </w:r>
      <w:r>
        <w:rPr>
          <w:rFonts w:cs="Arial"/>
          <w:rtl/>
        </w:rPr>
        <w:t>משמע אם לא ימות אינה מגורשת היינו לשיטות הרמב"ם דס"ל במעכשיו א"צ ת"כ אבל לשאר פוסקים אם לא כפל התנאי אז בטל התנאי והגט חל, ב"ש (סק"ד).</w:t>
      </w:r>
    </w:p>
  </w:footnote>
  <w:footnote w:id="2540">
    <w:p w14:paraId="3567D541" w14:textId="77777777" w:rsidR="00C97BEF" w:rsidRDefault="00C97BEF" w:rsidP="00C97BEF">
      <w:pPr>
        <w:pStyle w:val="a5"/>
      </w:pPr>
      <w:r>
        <w:rPr>
          <w:rStyle w:val="a7"/>
        </w:rPr>
        <w:footnoteRef/>
      </w:r>
      <w:r>
        <w:rPr>
          <w:rtl/>
        </w:rPr>
        <w:t xml:space="preserve"> </w:t>
      </w:r>
      <w:r>
        <w:rPr>
          <w:rFonts w:cs="Arial"/>
          <w:rtl/>
        </w:rPr>
        <w:t>מספקא לן אי תנאה הוי מהיום אם אמות, וכיון שמת נתקיים התנאי ונמצא שהוא גט משעת נתינתו. או חזרה הוי, שחזר בו ממאי דאמר מהיום ואמר לאחר מיתה יהא גט ואינו כלום..., רש"י.</w:t>
      </w:r>
    </w:p>
  </w:footnote>
  <w:footnote w:id="2541">
    <w:p w14:paraId="6B6CFB86" w14:textId="77777777" w:rsidR="00C97BEF" w:rsidRDefault="00C97BEF" w:rsidP="00C97BEF">
      <w:pPr>
        <w:pStyle w:val="a5"/>
      </w:pPr>
      <w:r>
        <w:rPr>
          <w:rStyle w:val="a7"/>
        </w:rPr>
        <w:footnoteRef/>
      </w:r>
      <w:r>
        <w:rPr>
          <w:rtl/>
        </w:rPr>
        <w:t xml:space="preserve"> </w:t>
      </w:r>
      <w:r>
        <w:rPr>
          <w:rFonts w:cs="Arial"/>
          <w:rtl/>
        </w:rPr>
        <w:t>שמא אינו גט, רש"י.</w:t>
      </w:r>
    </w:p>
  </w:footnote>
  <w:footnote w:id="2542">
    <w:p w14:paraId="4EFA2682" w14:textId="77777777" w:rsidR="00C97BEF" w:rsidRDefault="00C97BEF" w:rsidP="00C97BEF">
      <w:pPr>
        <w:pStyle w:val="a5"/>
      </w:pPr>
      <w:r>
        <w:rPr>
          <w:rStyle w:val="a7"/>
        </w:rPr>
        <w:footnoteRef/>
      </w:r>
      <w:r>
        <w:rPr>
          <w:rtl/>
        </w:rPr>
        <w:t xml:space="preserve"> </w:t>
      </w:r>
      <w:r>
        <w:rPr>
          <w:rFonts w:cs="Arial"/>
          <w:rtl/>
        </w:rPr>
        <w:t>שמא גט הוה והויא לה גרושת אחיו וקיימא עליה בכרת הואיל ולא החזירה, רש"י.</w:t>
      </w:r>
    </w:p>
  </w:footnote>
  <w:footnote w:id="2543">
    <w:p w14:paraId="6DA4398B" w14:textId="77777777" w:rsidR="00C97BEF" w:rsidRDefault="00C97BEF" w:rsidP="00C97BEF">
      <w:pPr>
        <w:pStyle w:val="a5"/>
      </w:pPr>
      <w:r>
        <w:rPr>
          <w:rStyle w:val="a7"/>
        </w:rPr>
        <w:footnoteRef/>
      </w:r>
      <w:r>
        <w:rPr>
          <w:rtl/>
        </w:rPr>
        <w:t xml:space="preserve"> </w:t>
      </w:r>
      <w:r>
        <w:rPr>
          <w:rFonts w:cs="Arial"/>
          <w:rtl/>
        </w:rPr>
        <w:t>דשכ"מ כמתנתו, רש"י.</w:t>
      </w:r>
    </w:p>
  </w:footnote>
  <w:footnote w:id="2544">
    <w:p w14:paraId="50406E0D" w14:textId="77777777" w:rsidR="00C97BEF" w:rsidRDefault="00C97BEF" w:rsidP="00C97BEF">
      <w:pPr>
        <w:pStyle w:val="a5"/>
      </w:pPr>
      <w:r>
        <w:rPr>
          <w:rStyle w:val="a7"/>
        </w:rPr>
        <w:footnoteRef/>
      </w:r>
      <w:r>
        <w:rPr>
          <w:rtl/>
        </w:rPr>
        <w:t xml:space="preserve"> </w:t>
      </w:r>
      <w:r>
        <w:rPr>
          <w:rFonts w:cs="Arial"/>
          <w:rtl/>
        </w:rPr>
        <w:t>אמרינן בב"ב (דף קנא:) אם עמד חוזר, רש"י.</w:t>
      </w:r>
    </w:p>
  </w:footnote>
  <w:footnote w:id="2545">
    <w:p w14:paraId="52CAB992" w14:textId="77777777" w:rsidR="00C97BEF" w:rsidRDefault="00C97BEF" w:rsidP="00C97BEF">
      <w:pPr>
        <w:pStyle w:val="a5"/>
      </w:pPr>
      <w:r>
        <w:rPr>
          <w:rStyle w:val="a7"/>
        </w:rPr>
        <w:footnoteRef/>
      </w:r>
      <w:r>
        <w:rPr>
          <w:rtl/>
        </w:rPr>
        <w:t xml:space="preserve"> </w:t>
      </w:r>
      <w:r>
        <w:rPr>
          <w:rFonts w:cs="Arial"/>
          <w:rtl/>
        </w:rPr>
        <w:t>ולא מיבעיא היכא דאמר אם מתי דהא לא מת, אלא אפילו לא אמר אם מתי אלא יהב לה גט סתמא, אם עמד - חוזר, דמסתמא אדעתא דמיתה יהב לה והא לא מת, רש"י.</w:t>
      </w:r>
      <w:r>
        <w:rPr>
          <w:rtl/>
        </w:rPr>
        <w:t xml:space="preserve"> וכן פירש ר"ח.</w:t>
      </w:r>
    </w:p>
  </w:footnote>
  <w:footnote w:id="2546">
    <w:p w14:paraId="463DEF81" w14:textId="77777777" w:rsidR="00C97BEF" w:rsidRDefault="00C97BEF" w:rsidP="00C97BEF">
      <w:pPr>
        <w:pStyle w:val="a5"/>
      </w:pPr>
      <w:r>
        <w:rPr>
          <w:rStyle w:val="a7"/>
        </w:rPr>
        <w:footnoteRef/>
      </w:r>
      <w:r>
        <w:rPr>
          <w:rtl/>
        </w:rPr>
        <w:t xml:space="preserve"> </w:t>
      </w:r>
      <w:r>
        <w:rPr>
          <w:rFonts w:cs="Arial"/>
          <w:rtl/>
        </w:rPr>
        <w:t>דהיכא דלא אמר לה אם מתי סבירא להו דאם עמד אינו חוזר, רש"י.</w:t>
      </w:r>
    </w:p>
  </w:footnote>
  <w:footnote w:id="2547">
    <w:p w14:paraId="5119FD0E" w14:textId="77777777" w:rsidR="00C97BEF" w:rsidRDefault="00C97BEF" w:rsidP="00C97BEF">
      <w:pPr>
        <w:pStyle w:val="a5"/>
      </w:pPr>
      <w:r>
        <w:rPr>
          <w:rStyle w:val="a7"/>
        </w:rPr>
        <w:footnoteRef/>
      </w:r>
      <w:r>
        <w:rPr>
          <w:rtl/>
        </w:rPr>
        <w:t xml:space="preserve"> </w:t>
      </w:r>
      <w:r>
        <w:rPr>
          <w:rFonts w:cs="Arial"/>
          <w:rtl/>
        </w:rPr>
        <w:t>דאי עמד חוזר אתו למימר לא הוי גט עד דמיית וקא חזינן דלכי מיית הוי גיטא ש"מ יש גט לאחר מיתה ואתי לאכשורי זה גיטיך לאחר מיתה ולא ידעו דכיון דלא פריש מידי להכי יהבינא ניהלה שיהא גט מעכשיו וע"מ שימות, רש"י.</w:t>
      </w:r>
    </w:p>
  </w:footnote>
  <w:footnote w:id="2548">
    <w:p w14:paraId="6D0DF014" w14:textId="77777777" w:rsidR="00C97BEF" w:rsidRDefault="00C97BEF" w:rsidP="00C97BEF">
      <w:pPr>
        <w:pStyle w:val="a5"/>
      </w:pPr>
      <w:r>
        <w:rPr>
          <w:rStyle w:val="a7"/>
        </w:rPr>
        <w:footnoteRef/>
      </w:r>
      <w:r>
        <w:rPr>
          <w:rtl/>
        </w:rPr>
        <w:t xml:space="preserve"> </w:t>
      </w:r>
      <w:r>
        <w:rPr>
          <w:rFonts w:cs="Arial"/>
          <w:rtl/>
        </w:rPr>
        <w:t>וביאור לשון רבינו: היכא דגירש שכיב מרע סתם בלא תנאי, שמשמעו שתהיה מגורשת מיד כשאר המגרשים סתם, לא תימא כיון שהוא שכיב מרע סתמו כפירושו שאינו מגרש אלא אם ימות, ואם עמד חוזר כמו שהוא כן מתנת שכיב מרע שאם נתן סתם בלא תנאי חוזר, שאין דין הגט כדין המתנה, שבגט אם עמד אינו חוזר, ב"י (בבדה"ב).</w:t>
      </w:r>
    </w:p>
  </w:footnote>
  <w:footnote w:id="2549">
    <w:p w14:paraId="4AC021FB" w14:textId="77777777" w:rsidR="00C97BEF" w:rsidRDefault="00C97BEF" w:rsidP="00C97BEF">
      <w:pPr>
        <w:pStyle w:val="a5"/>
        <w:rPr>
          <w:rtl/>
        </w:rPr>
      </w:pPr>
      <w:r>
        <w:rPr>
          <w:rStyle w:val="a7"/>
        </w:rPr>
        <w:footnoteRef/>
      </w:r>
      <w:r>
        <w:rPr>
          <w:rtl/>
        </w:rPr>
        <w:t xml:space="preserve"> </w:t>
      </w:r>
      <w:r>
        <w:rPr>
          <w:rFonts w:cs="Arial"/>
          <w:rtl/>
        </w:rPr>
        <w:t>דאם יחזור יאמרו יש גט לאחר מיתה. ואף לר"י דס"ל זמן של שטר מוכיח והוי כאלו אמר מהיום מחמת זמן של שטר מ"מ יאמרו מהיום ולאחר מיתה גט, ב"ש (סק"ז).</w:t>
      </w:r>
    </w:p>
  </w:footnote>
  <w:footnote w:id="2550">
    <w:p w14:paraId="47E4779E" w14:textId="3838BD0F" w:rsidR="00C97BEF" w:rsidRDefault="00C97BEF" w:rsidP="00C97BEF">
      <w:pPr>
        <w:pStyle w:val="a5"/>
      </w:pPr>
      <w:r>
        <w:rPr>
          <w:rStyle w:val="a7"/>
        </w:rPr>
        <w:footnoteRef/>
      </w:r>
      <w:r>
        <w:rPr>
          <w:rtl/>
        </w:rPr>
        <w:t xml:space="preserve"> </w:t>
      </w:r>
      <w:r>
        <w:rPr>
          <w:rFonts w:hint="cs"/>
          <w:rtl/>
        </w:rPr>
        <w:t xml:space="preserve">ולכאורה מוזר </w:t>
      </w:r>
      <w:r>
        <w:rPr>
          <w:rFonts w:cs="Arial"/>
          <w:rtl/>
        </w:rPr>
        <w:t xml:space="preserve">מדוע </w:t>
      </w:r>
      <w:r w:rsidR="00E90A95">
        <w:rPr>
          <w:rFonts w:cs="Arial" w:hint="cs"/>
          <w:rtl/>
        </w:rPr>
        <w:t>צריך ל</w:t>
      </w:r>
      <w:r>
        <w:rPr>
          <w:rFonts w:cs="Arial"/>
          <w:rtl/>
        </w:rPr>
        <w:t>ומר את התנאי בנוסח מורכב כל כך. ומפרש מדוע יש לומר כן, בתחילה אומר-...</w:t>
      </w:r>
    </w:p>
  </w:footnote>
  <w:footnote w:id="2551">
    <w:p w14:paraId="22CDD5A5" w14:textId="4E022C1F" w:rsidR="00C97BEF" w:rsidRPr="00FC4B43" w:rsidRDefault="00C97BEF" w:rsidP="00C97BEF">
      <w:pPr>
        <w:pStyle w:val="a5"/>
        <w:rPr>
          <w:rFonts w:cs="Arial"/>
          <w:rtl/>
        </w:rPr>
      </w:pPr>
      <w:r>
        <w:rPr>
          <w:rStyle w:val="a7"/>
        </w:rPr>
        <w:footnoteRef/>
      </w:r>
      <w:r>
        <w:rPr>
          <w:rFonts w:cs="Arial"/>
          <w:rtl/>
        </w:rPr>
        <w:t xml:space="preserve"> </w:t>
      </w:r>
      <w:r>
        <w:rPr>
          <w:rFonts w:cs="Arial" w:hint="cs"/>
          <w:rtl/>
        </w:rPr>
        <w:t xml:space="preserve">עיין לקמן בסדר הגט </w:t>
      </w:r>
      <w:r>
        <w:rPr>
          <w:rFonts w:cs="Arial"/>
          <w:sz w:val="16"/>
          <w:szCs w:val="16"/>
          <w:rtl/>
        </w:rPr>
        <w:t>(דרכ"מ מסדר גיטין אחרי אות כב שמציינת לחידושי הגהות)</w:t>
      </w:r>
      <w:r>
        <w:rPr>
          <w:rFonts w:cs="Arial"/>
          <w:rtl/>
        </w:rPr>
        <w:t xml:space="preserve"> דלשון </w:t>
      </w:r>
      <w:r w:rsidR="00FC4B43">
        <w:rPr>
          <w:rFonts w:cs="Arial" w:hint="cs"/>
          <w:rtl/>
        </w:rPr>
        <w:t>"</w:t>
      </w:r>
      <w:r>
        <w:rPr>
          <w:rFonts w:cs="Arial"/>
          <w:rtl/>
        </w:rPr>
        <w:t>אם מתי</w:t>
      </w:r>
      <w:r w:rsidR="00FC4B43">
        <w:rPr>
          <w:rFonts w:cs="Arial" w:hint="cs"/>
          <w:rtl/>
        </w:rPr>
        <w:t>"</w:t>
      </w:r>
      <w:r>
        <w:rPr>
          <w:rFonts w:cs="Arial"/>
          <w:rtl/>
        </w:rPr>
        <w:t xml:space="preserve"> הוא דוקא </w:t>
      </w:r>
      <w:r>
        <w:rPr>
          <w:rFonts w:cs="Arial"/>
          <w:sz w:val="16"/>
          <w:szCs w:val="16"/>
          <w:rtl/>
        </w:rPr>
        <w:t>{ולא יאמר 'אם אמות'}</w:t>
      </w:r>
      <w:r>
        <w:rPr>
          <w:rFonts w:cs="Arial"/>
          <w:rtl/>
        </w:rPr>
        <w:t>, דרכ"מ</w:t>
      </w:r>
      <w:r>
        <w:rPr>
          <w:rFonts w:cs="Arial"/>
          <w:sz w:val="16"/>
          <w:szCs w:val="16"/>
          <w:rtl/>
        </w:rPr>
        <w:t xml:space="preserve"> </w:t>
      </w:r>
      <w:r w:rsidRPr="00FC4B43">
        <w:rPr>
          <w:rFonts w:cs="Arial"/>
          <w:rtl/>
        </w:rPr>
        <w:t>(אות ב).</w:t>
      </w:r>
    </w:p>
  </w:footnote>
  <w:footnote w:id="2552">
    <w:p w14:paraId="4D89EE56" w14:textId="77777777" w:rsidR="00C97BEF" w:rsidRDefault="00C97BEF" w:rsidP="00C97BEF">
      <w:pPr>
        <w:pStyle w:val="a5"/>
      </w:pPr>
      <w:r>
        <w:rPr>
          <w:rStyle w:val="a7"/>
        </w:rPr>
        <w:footnoteRef/>
      </w:r>
      <w:r>
        <w:rPr>
          <w:rtl/>
        </w:rPr>
        <w:t xml:space="preserve"> </w:t>
      </w:r>
      <w:r>
        <w:rPr>
          <w:rFonts w:cs="Arial"/>
          <w:rtl/>
        </w:rPr>
        <w:t>כלומר מיד כשיעמוד בטל הגט אע"פ שלא יאמר חוזרני בי. וכן כתב הרא"ש במי שאחזו (סוף סי' ג)</w:t>
      </w:r>
      <w:r>
        <w:rPr>
          <w:rtl/>
        </w:rPr>
        <w:t>, ב"י.</w:t>
      </w:r>
    </w:p>
  </w:footnote>
  <w:footnote w:id="2553">
    <w:p w14:paraId="3F893973" w14:textId="77777777" w:rsidR="00C97BEF" w:rsidRDefault="00C97BEF" w:rsidP="00C97BEF">
      <w:pPr>
        <w:pStyle w:val="a5"/>
        <w:rPr>
          <w:rtl/>
        </w:rPr>
      </w:pPr>
      <w:r>
        <w:rPr>
          <w:rStyle w:val="a7"/>
        </w:rPr>
        <w:footnoteRef/>
      </w:r>
      <w:r>
        <w:rPr>
          <w:rtl/>
        </w:rPr>
        <w:t xml:space="preserve"> </w:t>
      </w:r>
      <w:r>
        <w:rPr>
          <w:rFonts w:cs="Arial"/>
          <w:rtl/>
        </w:rPr>
        <w:t>דאונסא דלא שכיח הוא ולא מסיק אדעתיה ולא אמר אלא דימות ע"י החולי, רש"י.</w:t>
      </w:r>
    </w:p>
  </w:footnote>
  <w:footnote w:id="2554">
    <w:p w14:paraId="0E6DD350" w14:textId="560AE122" w:rsidR="00C97BEF" w:rsidRDefault="00C97BEF" w:rsidP="00C97BEF">
      <w:pPr>
        <w:pStyle w:val="a5"/>
      </w:pPr>
      <w:r>
        <w:rPr>
          <w:rStyle w:val="a7"/>
        </w:rPr>
        <w:footnoteRef/>
      </w:r>
      <w:r>
        <w:rPr>
          <w:rtl/>
        </w:rPr>
        <w:t xml:space="preserve"> </w:t>
      </w:r>
      <w:r>
        <w:rPr>
          <w:rFonts w:cs="Arial"/>
          <w:rtl/>
        </w:rPr>
        <w:t>אי אונסא דלא שכיח אסיק אדעתיה</w:t>
      </w:r>
      <w:r w:rsidR="00A80E6E">
        <w:rPr>
          <w:rFonts w:cs="Arial" w:hint="cs"/>
          <w:rtl/>
        </w:rPr>
        <w:t>,</w:t>
      </w:r>
      <w:r>
        <w:rPr>
          <w:rFonts w:cs="Arial"/>
          <w:rtl/>
        </w:rPr>
        <w:t xml:space="preserve"> רישא נמי ליהוי גיטא</w:t>
      </w:r>
      <w:r w:rsidR="00A80E6E">
        <w:rPr>
          <w:rFonts w:cs="Arial" w:hint="cs"/>
          <w:rtl/>
        </w:rPr>
        <w:t>,</w:t>
      </w:r>
      <w:r>
        <w:rPr>
          <w:rFonts w:cs="Arial"/>
          <w:rtl/>
        </w:rPr>
        <w:t xml:space="preserve"> דהא מתוך אותו חולי מת</w:t>
      </w:r>
      <w:r w:rsidR="00A80E6E">
        <w:rPr>
          <w:rFonts w:cs="Arial" w:hint="cs"/>
          <w:rtl/>
        </w:rPr>
        <w:t>,</w:t>
      </w:r>
      <w:r>
        <w:rPr>
          <w:rFonts w:cs="Arial"/>
          <w:rtl/>
        </w:rPr>
        <w:t xml:space="preserve"> דמחולי זה לא משמע אלא מתוך חולי זה, רש"י.</w:t>
      </w:r>
    </w:p>
  </w:footnote>
  <w:footnote w:id="2555">
    <w:p w14:paraId="26505212" w14:textId="77777777" w:rsidR="00C97BEF" w:rsidRDefault="00C97BEF" w:rsidP="00C97BEF">
      <w:pPr>
        <w:pStyle w:val="a5"/>
      </w:pPr>
      <w:r>
        <w:rPr>
          <w:rStyle w:val="a7"/>
        </w:rPr>
        <w:footnoteRef/>
      </w:r>
      <w:r>
        <w:rPr>
          <w:rtl/>
        </w:rPr>
        <w:t xml:space="preserve"> </w:t>
      </w:r>
      <w:r>
        <w:rPr>
          <w:rFonts w:cs="Arial"/>
          <w:rtl/>
        </w:rPr>
        <w:t>על ידי מעשה שאירע באחד שאמר אם לא אעמוד מחולי זה ואכלו ארי, ושלחו הדבר לארץ ישראל והשיבו אין לנו שיהא גט דאונסא דלא שכיח לא אסיק אדעתיה</w:t>
      </w:r>
      <w:r>
        <w:rPr>
          <w:rtl/>
        </w:rPr>
        <w:t>, רש"י.</w:t>
      </w:r>
    </w:p>
  </w:footnote>
  <w:footnote w:id="2556">
    <w:p w14:paraId="7269443E" w14:textId="77777777" w:rsidR="00C97BEF" w:rsidRDefault="00C97BEF" w:rsidP="00C97BEF">
      <w:pPr>
        <w:pStyle w:val="a5"/>
        <w:rPr>
          <w:rtl/>
        </w:rPr>
      </w:pPr>
      <w:r>
        <w:rPr>
          <w:rStyle w:val="a7"/>
        </w:rPr>
        <w:footnoteRef/>
      </w:r>
      <w:r>
        <w:rPr>
          <w:rtl/>
        </w:rPr>
        <w:t xml:space="preserve"> </w:t>
      </w:r>
      <w:r>
        <w:rPr>
          <w:rFonts w:cs="Arial"/>
          <w:rtl/>
        </w:rPr>
        <w:t>ומסתבר דאונסא דלא שכיח לא אסיק אדעתיה</w:t>
      </w:r>
      <w:r>
        <w:rPr>
          <w:rtl/>
        </w:rPr>
        <w:t>, רש"י.</w:t>
      </w:r>
    </w:p>
  </w:footnote>
  <w:footnote w:id="2557">
    <w:p w14:paraId="4B6BF835" w14:textId="6C2858D3" w:rsidR="00C97BEF" w:rsidRDefault="00C97BEF" w:rsidP="00C97BEF">
      <w:pPr>
        <w:pStyle w:val="a5"/>
        <w:rPr>
          <w:rtl/>
        </w:rPr>
      </w:pPr>
      <w:r>
        <w:rPr>
          <w:rStyle w:val="a7"/>
        </w:rPr>
        <w:footnoteRef/>
      </w:r>
      <w:r>
        <w:rPr>
          <w:rtl/>
        </w:rPr>
        <w:t xml:space="preserve"> </w:t>
      </w:r>
      <w:r>
        <w:rPr>
          <w:rFonts w:cs="Arial"/>
          <w:rtl/>
        </w:rPr>
        <w:t>כתב הרא"ש (סי' ד)</w:t>
      </w:r>
      <w:r w:rsidR="008F6712">
        <w:rPr>
          <w:rFonts w:cs="Arial" w:hint="cs"/>
          <w:rtl/>
        </w:rPr>
        <w:t>:</w:t>
      </w:r>
      <w:r>
        <w:rPr>
          <w:rFonts w:cs="Arial"/>
          <w:rtl/>
        </w:rPr>
        <w:t xml:space="preserve"> ולפום סוגיא דשמעתין בתרווייהו לא הוי גט, אבל בתוספתא (פ"ה ה"ב) קתני זה גיטך אם מתי מחולי זה ונפל הבית עליו או נשכו נחש אינו גט שאינו מת מאותו חולי אם לא אעמוד מחולי זה ונפל עליו בית או נשכו נחש הרי זה גט שלא עמד מאותו חולי. והכי איתא נמי בירושלמי (פ"ז ה"ד). וכן פירש רבינו חננאל ז"ל ד-</w:t>
      </w:r>
      <w:r>
        <w:rPr>
          <w:rtl/>
        </w:rPr>
        <w:t>...</w:t>
      </w:r>
    </w:p>
  </w:footnote>
  <w:footnote w:id="2558">
    <w:p w14:paraId="081DE27F" w14:textId="77777777" w:rsidR="00C97BEF" w:rsidRDefault="00C97BEF" w:rsidP="00C97BEF">
      <w:pPr>
        <w:pStyle w:val="a5"/>
        <w:rPr>
          <w:rtl/>
        </w:rPr>
      </w:pPr>
      <w:r>
        <w:rPr>
          <w:rStyle w:val="a7"/>
        </w:rPr>
        <w:footnoteRef/>
      </w:r>
      <w:r>
        <w:rPr>
          <w:rtl/>
        </w:rPr>
        <w:t xml:space="preserve"> </w:t>
      </w:r>
      <w:r>
        <w:rPr>
          <w:rFonts w:cs="Arial"/>
          <w:rtl/>
        </w:rPr>
        <w:t>ותמיהני על רבינו חננאל דשבק גמרא דידן ופירש על פי התוספתא והירושלמי, דלכאורה פליגי אהדדי</w:t>
      </w:r>
      <w:r>
        <w:rPr>
          <w:rtl/>
        </w:rPr>
        <w:t>, רא"ש (שם).</w:t>
      </w:r>
    </w:p>
  </w:footnote>
  <w:footnote w:id="2559">
    <w:p w14:paraId="7D86E26C" w14:textId="77777777" w:rsidR="00C97BEF" w:rsidRDefault="00C97BEF" w:rsidP="00C97BEF">
      <w:pPr>
        <w:pStyle w:val="a5"/>
        <w:rPr>
          <w:rtl/>
        </w:rPr>
      </w:pPr>
      <w:r>
        <w:rPr>
          <w:rStyle w:val="a7"/>
        </w:rPr>
        <w:footnoteRef/>
      </w:r>
      <w:r>
        <w:rPr>
          <w:rtl/>
        </w:rPr>
        <w:t xml:space="preserve"> </w:t>
      </w:r>
      <w:r>
        <w:rPr>
          <w:rFonts w:cs="Arial"/>
          <w:rtl/>
        </w:rPr>
        <w:t>והעלה הרשב"א (שם ד"ה מ"ש רישא) שכן ראוי להחמיר וחולצת ולא מתייבמת.</w:t>
      </w:r>
    </w:p>
  </w:footnote>
  <w:footnote w:id="2560">
    <w:p w14:paraId="3AA94398" w14:textId="77777777" w:rsidR="00C97BEF" w:rsidRDefault="00C97BEF" w:rsidP="00C97BEF">
      <w:pPr>
        <w:pStyle w:val="a5"/>
      </w:pPr>
      <w:r>
        <w:rPr>
          <w:rStyle w:val="a7"/>
        </w:rPr>
        <w:footnoteRef/>
      </w:r>
      <w:r>
        <w:rPr>
          <w:rtl/>
        </w:rPr>
        <w:t xml:space="preserve"> </w:t>
      </w:r>
      <w:r>
        <w:rPr>
          <w:rFonts w:cs="Arial"/>
          <w:rtl/>
        </w:rPr>
        <w:t>דשכ"מ כמתנתו, רש"י.</w:t>
      </w:r>
    </w:p>
  </w:footnote>
  <w:footnote w:id="2561">
    <w:p w14:paraId="0A92E986" w14:textId="77777777" w:rsidR="00C97BEF" w:rsidRDefault="00C97BEF" w:rsidP="00C97BEF">
      <w:pPr>
        <w:pStyle w:val="a5"/>
      </w:pPr>
      <w:r>
        <w:rPr>
          <w:rStyle w:val="a7"/>
        </w:rPr>
        <w:footnoteRef/>
      </w:r>
      <w:r>
        <w:rPr>
          <w:rtl/>
        </w:rPr>
        <w:t xml:space="preserve"> </w:t>
      </w:r>
      <w:r>
        <w:rPr>
          <w:rFonts w:cs="Arial"/>
          <w:rtl/>
        </w:rPr>
        <w:t>אמרינן בב"ב (קנא:) אם עמד חוזר, רש"י.</w:t>
      </w:r>
    </w:p>
  </w:footnote>
  <w:footnote w:id="2562">
    <w:p w14:paraId="41158236" w14:textId="77777777" w:rsidR="00C97BEF" w:rsidRDefault="00C97BEF" w:rsidP="00C97BEF">
      <w:pPr>
        <w:pStyle w:val="a5"/>
      </w:pPr>
      <w:r>
        <w:rPr>
          <w:rStyle w:val="a7"/>
        </w:rPr>
        <w:footnoteRef/>
      </w:r>
      <w:r>
        <w:rPr>
          <w:rtl/>
        </w:rPr>
        <w:t xml:space="preserve"> </w:t>
      </w:r>
      <w:r>
        <w:rPr>
          <w:rFonts w:cs="Arial"/>
          <w:rtl/>
        </w:rPr>
        <w:t>ולא מיבעיא היכא דאמר אם מתי דהא לא מת, אלא אפילו לא אמר אם מתי אלא יהב לה גט סתמא, אם עמד - חוזר, דמסתמא אדעתא דמיתה יהב לה והא לא מת, רש"י.</w:t>
      </w:r>
      <w:r>
        <w:rPr>
          <w:rtl/>
        </w:rPr>
        <w:t xml:space="preserve"> וכן פירש ר"ח.</w:t>
      </w:r>
    </w:p>
  </w:footnote>
  <w:footnote w:id="2563">
    <w:p w14:paraId="713124DC" w14:textId="77777777" w:rsidR="00C97BEF" w:rsidRDefault="00C97BEF" w:rsidP="00C97BEF">
      <w:pPr>
        <w:pStyle w:val="a5"/>
      </w:pPr>
      <w:r>
        <w:rPr>
          <w:rStyle w:val="a7"/>
        </w:rPr>
        <w:footnoteRef/>
      </w:r>
      <w:r>
        <w:rPr>
          <w:rtl/>
        </w:rPr>
        <w:t xml:space="preserve"> </w:t>
      </w:r>
      <w:r>
        <w:rPr>
          <w:rFonts w:cs="Arial"/>
          <w:rtl/>
        </w:rPr>
        <w:t>ובטל הגט מאליו, רש"י.</w:t>
      </w:r>
    </w:p>
  </w:footnote>
  <w:footnote w:id="2564">
    <w:p w14:paraId="0560048F" w14:textId="77777777" w:rsidR="00C97BEF" w:rsidRDefault="00C97BEF" w:rsidP="00C97BEF">
      <w:pPr>
        <w:pStyle w:val="a5"/>
      </w:pPr>
      <w:r>
        <w:rPr>
          <w:rStyle w:val="a7"/>
        </w:rPr>
        <w:footnoteRef/>
      </w:r>
      <w:r>
        <w:rPr>
          <w:rtl/>
        </w:rPr>
        <w:t xml:space="preserve"> </w:t>
      </w:r>
      <w:r>
        <w:rPr>
          <w:rFonts w:cs="Arial"/>
          <w:rtl/>
        </w:rPr>
        <w:t>ואין זו עמידה אלא אם כן בא לכלל רפואה שעה אחת, רש"י.</w:t>
      </w:r>
    </w:p>
  </w:footnote>
  <w:footnote w:id="2565">
    <w:p w14:paraId="4F9BA682" w14:textId="77777777" w:rsidR="00C97BEF" w:rsidRDefault="00C97BEF" w:rsidP="00C97BEF">
      <w:pPr>
        <w:pStyle w:val="a5"/>
      </w:pPr>
      <w:r>
        <w:rPr>
          <w:rStyle w:val="a7"/>
        </w:rPr>
        <w:footnoteRef/>
      </w:r>
      <w:r>
        <w:rPr>
          <w:rtl/>
        </w:rPr>
        <w:t xml:space="preserve"> </w:t>
      </w:r>
      <w:r>
        <w:rPr>
          <w:rFonts w:cs="Arial"/>
          <w:rtl/>
        </w:rPr>
        <w:t>נשען על מקלו, ולעולם חולה הוא. והא דנקט הלך לאו משום דעמידה היא דתילף מינה אם עמד אינו חוזר, אלא הא קמשמע לן טעמא דהלך הוא דבעי אומדנא אם מחמת חולי הראשון מת, דאיכא למיחש הואיל והלך ניצל מאותו החולי, ומת מחולי אחר, והוא אמר מחולי זה</w:t>
      </w:r>
      <w:r>
        <w:rPr>
          <w:rtl/>
        </w:rPr>
        <w:t>, רש"י.</w:t>
      </w:r>
    </w:p>
  </w:footnote>
  <w:footnote w:id="2566">
    <w:p w14:paraId="214FAAC9" w14:textId="77777777" w:rsidR="00C97BEF" w:rsidRDefault="00C97BEF" w:rsidP="00C97BEF">
      <w:pPr>
        <w:pStyle w:val="a5"/>
        <w:rPr>
          <w:rtl/>
        </w:rPr>
      </w:pPr>
      <w:r>
        <w:rPr>
          <w:rStyle w:val="a7"/>
        </w:rPr>
        <w:footnoteRef/>
      </w:r>
      <w:r>
        <w:rPr>
          <w:rtl/>
        </w:rPr>
        <w:t xml:space="preserve"> </w:t>
      </w:r>
      <w:r>
        <w:rPr>
          <w:rFonts w:cs="Arial"/>
          <w:rtl/>
        </w:rPr>
        <w:t>מי שלא הלך בשוק, מסתמא אע"פ שניתק לחולי אחר יש בו מחולי הראשון ולא בעי אומדנא, רש"י.</w:t>
      </w:r>
    </w:p>
  </w:footnote>
  <w:footnote w:id="2567">
    <w:p w14:paraId="0857A788" w14:textId="77777777" w:rsidR="00C97BEF" w:rsidRDefault="00C97BEF" w:rsidP="00C97BEF">
      <w:pPr>
        <w:pStyle w:val="a5"/>
      </w:pPr>
      <w:r>
        <w:rPr>
          <w:rStyle w:val="a7"/>
        </w:rPr>
        <w:footnoteRef/>
      </w:r>
      <w:r>
        <w:rPr>
          <w:rtl/>
        </w:rPr>
        <w:t xml:space="preserve"> </w:t>
      </w:r>
      <w:r>
        <w:rPr>
          <w:rFonts w:cs="Arial"/>
          <w:rtl/>
        </w:rPr>
        <w:t>אם מת מחולי האחר, דהא אמרת לאו עמידה היא, וגבי גט דמתני' הוא דבעינן אומדנא משום דמחולי זה קאמר לה</w:t>
      </w:r>
      <w:r>
        <w:rPr>
          <w:rtl/>
        </w:rPr>
        <w:t>, רש"י.</w:t>
      </w:r>
    </w:p>
  </w:footnote>
  <w:footnote w:id="2568">
    <w:p w14:paraId="25C2BCF6" w14:textId="77777777" w:rsidR="00C97BEF" w:rsidRDefault="00C97BEF" w:rsidP="00C97BEF">
      <w:pPr>
        <w:pStyle w:val="a5"/>
        <w:rPr>
          <w:rtl/>
        </w:rPr>
      </w:pPr>
      <w:r>
        <w:rPr>
          <w:rStyle w:val="a7"/>
        </w:rPr>
        <w:footnoteRef/>
      </w:r>
      <w:r>
        <w:rPr>
          <w:rtl/>
        </w:rPr>
        <w:t xml:space="preserve"> </w:t>
      </w:r>
      <w:r>
        <w:rPr>
          <w:rFonts w:cs="Arial"/>
          <w:rtl/>
        </w:rPr>
        <w:t>דהיכא דלא אמר לה 'אם מתי' סבירא להו דאם עמד אינו חוזר, רש"י.</w:t>
      </w:r>
    </w:p>
  </w:footnote>
  <w:footnote w:id="2569">
    <w:p w14:paraId="3AD7F7D1" w14:textId="77777777" w:rsidR="00C97BEF" w:rsidRDefault="00C97BEF" w:rsidP="00C97BEF">
      <w:pPr>
        <w:pStyle w:val="a5"/>
      </w:pPr>
      <w:r>
        <w:rPr>
          <w:rStyle w:val="a7"/>
        </w:rPr>
        <w:footnoteRef/>
      </w:r>
      <w:r>
        <w:rPr>
          <w:rtl/>
        </w:rPr>
        <w:t xml:space="preserve"> </w:t>
      </w:r>
      <w:r>
        <w:rPr>
          <w:rFonts w:cs="Arial"/>
          <w:rtl/>
        </w:rPr>
        <w:t>דאי עמד חוזר, אתו למימר לא הוי גט עד דמיית, וקא חזינן דלכי מיית הוי גיטא, ש"מ יש גט לאחר מיתה ואתי לאכשורי זה גיטיך לאחר מיתה, ולא ידעו דכיון דלא פריש מידי להכי יהבינא ניהלה שיהא גט מעכשיו וע"מ שימות, רש"י.</w:t>
      </w:r>
    </w:p>
  </w:footnote>
  <w:footnote w:id="2570">
    <w:p w14:paraId="0A4AED96" w14:textId="77777777" w:rsidR="00C97BEF" w:rsidRDefault="00C97BEF" w:rsidP="00C97BEF">
      <w:pPr>
        <w:pStyle w:val="a5"/>
      </w:pPr>
      <w:r>
        <w:rPr>
          <w:rStyle w:val="a7"/>
        </w:rPr>
        <w:footnoteRef/>
      </w:r>
      <w:r>
        <w:rPr>
          <w:rtl/>
        </w:rPr>
        <w:t xml:space="preserve"> </w:t>
      </w:r>
      <w:r>
        <w:rPr>
          <w:rFonts w:cs="Arial"/>
          <w:rtl/>
        </w:rPr>
        <w:t>וכתב בתוש' הרשב"א שם שכן נראה פשוט מדעת רבינו תם בפרק מי שאחזו (עב: ד"ה אמר). וכן נראה ממה שכתב הרמב"ן בסוף גיטין (עב: ד"ה גיטו).</w:t>
      </w:r>
    </w:p>
  </w:footnote>
  <w:footnote w:id="2571">
    <w:p w14:paraId="7789531A" w14:textId="77777777" w:rsidR="00C97BEF" w:rsidRDefault="00C97BEF" w:rsidP="00C97BEF">
      <w:pPr>
        <w:pStyle w:val="a5"/>
        <w:rPr>
          <w:rtl/>
        </w:rPr>
      </w:pPr>
      <w:r>
        <w:rPr>
          <w:rStyle w:val="a7"/>
        </w:rPr>
        <w:footnoteRef/>
      </w:r>
      <w:r>
        <w:rPr>
          <w:rtl/>
        </w:rPr>
        <w:t xml:space="preserve"> </w:t>
      </w:r>
      <w:r>
        <w:rPr>
          <w:rFonts w:cs="Arial"/>
          <w:rtl/>
        </w:rPr>
        <w:t xml:space="preserve">ואפשר לומר דאומדין אותו דקתני היינו לדעת אם נרפא לגמרי אם לאו, דכל שנרפא לגמרי אע"פ שאח"כ חלה החולי הראשון ומת - אינו גט, דהא לא מת מחמת אותו חולי עצמו, וכל שלא נרפא לגמרי - מת מחמת החולי הראשון הוא </w:t>
      </w:r>
      <w:r>
        <w:rPr>
          <w:rFonts w:cs="Arial"/>
          <w:sz w:val="16"/>
          <w:szCs w:val="16"/>
          <w:rtl/>
        </w:rPr>
        <w:t>(ודיקא נמי דקתני אם מחמת החולי הראשון מת ולא קתני אם מחולי הראשון מת דהוי משמע אף על פי שנרפא לגמרי מאחר שחולי זה כחולי הראשון הרי זה גט</w:t>
      </w:r>
      <w:r>
        <w:rPr>
          <w:sz w:val="16"/>
          <w:szCs w:val="16"/>
          <w:rtl/>
        </w:rPr>
        <w:t>)</w:t>
      </w:r>
      <w:r>
        <w:rPr>
          <w:rFonts w:cs="Arial"/>
          <w:rtl/>
        </w:rPr>
        <w:t>. וכיוצא בזה כתב הר"ן שם (לד: ד"ה גיטו) בשם הרמב"ן (עב: ד"ה גיטו)..., ב"י.</w:t>
      </w:r>
    </w:p>
  </w:footnote>
  <w:footnote w:id="2572">
    <w:p w14:paraId="6A4614D0" w14:textId="77777777" w:rsidR="00C97BEF" w:rsidRDefault="00C97BEF" w:rsidP="00C97BEF">
      <w:pPr>
        <w:pStyle w:val="a5"/>
      </w:pPr>
      <w:r>
        <w:rPr>
          <w:rStyle w:val="a7"/>
        </w:rPr>
        <w:footnoteRef/>
      </w:r>
      <w:r>
        <w:rPr>
          <w:rtl/>
        </w:rPr>
        <w:t xml:space="preserve"> </w:t>
      </w:r>
      <w:r>
        <w:rPr>
          <w:rFonts w:cs="Arial"/>
          <w:rtl/>
        </w:rPr>
        <w:t>ונ"ל שטעמו לפי שלא הזכיר מחולי זה אין צריך אומד, דמסתמא דעתו כל שלא יחזור לבריאותו ואפילו עמד והלך בלא משענת, ומכל מקום לא ידענא מהיכא יליף הכי מתוך הגמרא, ב"י.</w:t>
      </w:r>
    </w:p>
  </w:footnote>
  <w:footnote w:id="2573">
    <w:p w14:paraId="1D995FE2" w14:textId="77777777" w:rsidR="00C97BEF" w:rsidRDefault="00C97BEF" w:rsidP="00C97BEF">
      <w:pPr>
        <w:pStyle w:val="a5"/>
      </w:pPr>
      <w:r>
        <w:rPr>
          <w:rStyle w:val="a7"/>
        </w:rPr>
        <w:footnoteRef/>
      </w:r>
      <w:r>
        <w:rPr>
          <w:rtl/>
        </w:rPr>
        <w:t xml:space="preserve"> </w:t>
      </w:r>
      <w:r>
        <w:rPr>
          <w:rFonts w:cs="Arial"/>
          <w:rtl/>
        </w:rPr>
        <w:t>היינו לשיטו' הרמב"ם דס"ל אם אמר מעכשיו וקיים אפי' לא כפל אז בעינן אומדנא אם נתקיים התנאי אבל לשאר פוסקים דס"ל אפי' אם אמר מעכשיו בעינן ת"כ ואם לא כפל התנאי בטל והמעשה קיים אם כן אפי' אם לא מת מחולי הראשון הגט קיים, ועיין ב"י סס"ז אם העדים החתומים נאמנים לומר שנתן הגט על תנאי, ב"ש (סקי"א).</w:t>
      </w:r>
    </w:p>
  </w:footnote>
  <w:footnote w:id="2574">
    <w:p w14:paraId="20001F4B" w14:textId="06A6740C"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על מה ששאלת מתנאי הגט אין לכתוב שום תנאי כלל כי יש לו חשש פסול אם היה נכתב בתוך הגט אפילו אם נתקיים התנאי כדאיתא בפרק המגרש. תנו רבנן כל התנאין פסולין בגט דברי ר' ופירש רש"י אפי' נתקיים ואף על גב דרבנן פליגי אדר' הא מוקמינן לה התם רבא פלוגתיהו דוקא לאחר התורף אבל לפני התורף ד"ה פסול. ור"י הקש' על פירו' רש"י ומוקי לה לההיא דכל התנאין פסולין בגט כגון שלא נתקיים התנאי אך שחזר ומחקו מן הגט ובהא ודאי פסול תנאי בגט אבל נתקיים כשר. ומ"מ אין להקל משום ספיקא על כן יש לפסול כל גט שנכתב בו התנאי אפי' אם נתקיים התנאי כדפירש רש"י ז"ל. ושכיב מרע שנתן גט על תנאי יאמר התנאי כי הא דאתקין שמואל בפרק מי שאחזו ולא יכתבנו כלל בגט. ומורי רבינו יחיאל בר יוסף מעיר פריש היה מנהיג שלא להתנות שום תנאי בגט שכיב מרע פן יטעה בלשון התנאי אך הי' מזקיקם לקבל עליהם חרם של תקנות הקהלות שאם יבריא שישאו זה את זה וכן נכון לעשות.</w:t>
      </w:r>
    </w:p>
  </w:footnote>
  <w:footnote w:id="2575">
    <w:p w14:paraId="3FBD50F2" w14:textId="77777777" w:rsidR="00C97BEF" w:rsidRDefault="00C97BEF" w:rsidP="00C97BEF">
      <w:pPr>
        <w:pStyle w:val="a5"/>
        <w:rPr>
          <w:rtl/>
        </w:rPr>
      </w:pPr>
      <w:r>
        <w:rPr>
          <w:rStyle w:val="a7"/>
        </w:rPr>
        <w:footnoteRef/>
      </w:r>
      <w:r>
        <w:rPr>
          <w:rtl/>
        </w:rPr>
        <w:t xml:space="preserve"> </w:t>
      </w:r>
      <w:r>
        <w:rPr>
          <w:rFonts w:cs="Arial"/>
          <w:rtl/>
        </w:rPr>
        <w:t xml:space="preserve">או לקיים ולהבטיח במשכונות לישא זה את זה, </w:t>
      </w:r>
      <w:r>
        <w:rPr>
          <w:rFonts w:cs="Arial"/>
          <w:b/>
          <w:bCs/>
          <w:rtl/>
        </w:rPr>
        <w:t>מרדכי (סי' תכג) בשם ר"פ</w:t>
      </w:r>
      <w:r>
        <w:rPr>
          <w:rFonts w:cs="Arial"/>
          <w:rtl/>
        </w:rPr>
        <w:t>.</w:t>
      </w:r>
      <w:r>
        <w:rPr>
          <w:rtl/>
        </w:rPr>
        <w:t xml:space="preserve"> </w:t>
      </w:r>
      <w:r>
        <w:rPr>
          <w:rFonts w:cs="Arial"/>
          <w:rtl/>
        </w:rPr>
        <w:t>וכן נוהגים בכל ארצות אשכנז</w:t>
      </w:r>
      <w:r>
        <w:rPr>
          <w:rtl/>
        </w:rPr>
        <w:t xml:space="preserve">, </w:t>
      </w:r>
      <w:r>
        <w:rPr>
          <w:b/>
          <w:bCs/>
          <w:rtl/>
        </w:rPr>
        <w:t>גט פשוט</w:t>
      </w:r>
      <w:r>
        <w:rPr>
          <w:rtl/>
        </w:rPr>
        <w:t xml:space="preserve"> (סי' קכב ד"ה הכלל העולה דבגט).</w:t>
      </w:r>
      <w:r>
        <w:rPr>
          <w:rFonts w:cs="Arial"/>
          <w:rtl/>
        </w:rPr>
        <w:t xml:space="preserve"> מיהו אם המגרש כהן אסור לעשות בכי האי גוונא, ויש לגרש על תנאי ואז מותרת לבעלה הכהן כשלא נתקיים התנאי, כמו שנתבאר לעיל ריש סימן קמ"ג, </w:t>
      </w:r>
      <w:r>
        <w:rPr>
          <w:rFonts w:cs="Arial"/>
          <w:b/>
          <w:bCs/>
          <w:rtl/>
        </w:rPr>
        <w:t>דרכ"מ</w:t>
      </w:r>
      <w:r>
        <w:rPr>
          <w:rFonts w:cs="Arial"/>
          <w:rtl/>
        </w:rPr>
        <w:t xml:space="preserve"> (אות ה).</w:t>
      </w:r>
    </w:p>
  </w:footnote>
  <w:footnote w:id="2576">
    <w:p w14:paraId="5CD71F71" w14:textId="77777777" w:rsidR="00C97BEF" w:rsidRDefault="00C97BEF" w:rsidP="00C97BEF">
      <w:pPr>
        <w:pStyle w:val="a5"/>
      </w:pPr>
      <w:r>
        <w:rPr>
          <w:rStyle w:val="a7"/>
        </w:rPr>
        <w:footnoteRef/>
      </w:r>
      <w:r>
        <w:rPr>
          <w:rtl/>
        </w:rPr>
        <w:t xml:space="preserve"> </w:t>
      </w:r>
      <w:r>
        <w:rPr>
          <w:rFonts w:cs="Arial"/>
          <w:rtl/>
        </w:rPr>
        <w:t xml:space="preserve">ואני תמה למה לא יהיו עדי הגט נאמנים לומר שנתנו לה על תנאי אע"פ שכתב ידן יוצא ממקום אחר, דשתי עדיות הם, אחד שנכתב בלא תנאי, ועדות אחר הוא שנתנו לה על תנאי, ב"י. </w:t>
      </w:r>
    </w:p>
  </w:footnote>
  <w:footnote w:id="2577">
    <w:p w14:paraId="43DE0F7D" w14:textId="77777777" w:rsidR="00C97BEF" w:rsidRDefault="00C97BEF" w:rsidP="00C97BEF">
      <w:pPr>
        <w:pStyle w:val="a5"/>
      </w:pPr>
      <w:r>
        <w:rPr>
          <w:rStyle w:val="a7"/>
        </w:rPr>
        <w:footnoteRef/>
      </w:r>
      <w:r>
        <w:rPr>
          <w:rtl/>
        </w:rPr>
        <w:t xml:space="preserve"> </w:t>
      </w:r>
      <w:r>
        <w:rPr>
          <w:rFonts w:cs="Arial"/>
          <w:rtl/>
        </w:rPr>
        <w:t>כ"כ הרשב"א, והוא לטעמו דס"ל ניתק מחולי לחולי צריך אומדנא, מש"ה יש לחוש שמא יאמרו דמת מחולי אחר. ולרמב"ם ושאר פוסקים ס"ל ניתק מחולי לחולי א"צ אומד היינו משום דאמרי' מסתמא יש בו מחולי הראשון, מש"ה יש לחוש שמא יאמרו דלא נשאר מחולי הראשון, ב"ש (סקט"ו).</w:t>
      </w:r>
    </w:p>
  </w:footnote>
  <w:footnote w:id="2578">
    <w:p w14:paraId="3904F54B" w14:textId="77777777" w:rsidR="00C97BEF" w:rsidRDefault="00C97BEF" w:rsidP="00C97BEF">
      <w:pPr>
        <w:pStyle w:val="a5"/>
      </w:pPr>
      <w:r>
        <w:rPr>
          <w:rStyle w:val="a7"/>
        </w:rPr>
        <w:footnoteRef/>
      </w:r>
      <w:r>
        <w:rPr>
          <w:rtl/>
        </w:rPr>
        <w:t xml:space="preserve"> </w:t>
      </w:r>
      <w:r>
        <w:rPr>
          <w:rFonts w:cs="Arial"/>
          <w:rtl/>
        </w:rPr>
        <w:t>עיין בתשו' אא"ז פנים מאירות (ח"ג סי' ד) הביא שם לשון הב"ח שכ' דצריך לדקדק להצריכו שיאמר הבעל בפירוש דמגרשה לגמרי בלי שום תנאי ואע"ג דבשאר גיטין מדינא א"צ להחמיר לדקדק על הבעל שיאמר בפי' דמגרש בלא תנאי מ"מ בגט שכ"מ כו' ע"ש</w:t>
      </w:r>
      <w:r>
        <w:rPr>
          <w:rtl/>
        </w:rPr>
        <w:t>, פת"ש (סק"ה).</w:t>
      </w:r>
    </w:p>
  </w:footnote>
  <w:footnote w:id="2579">
    <w:p w14:paraId="0E4311A5" w14:textId="77777777" w:rsidR="00C97BEF" w:rsidRDefault="00C97BEF" w:rsidP="00C97BEF">
      <w:pPr>
        <w:pStyle w:val="a5"/>
        <w:rPr>
          <w:rtl/>
        </w:rPr>
      </w:pPr>
      <w:r>
        <w:rPr>
          <w:rStyle w:val="a7"/>
        </w:rPr>
        <w:footnoteRef/>
      </w:r>
      <w:r>
        <w:rPr>
          <w:rtl/>
        </w:rPr>
        <w:t xml:space="preserve"> </w:t>
      </w:r>
      <w:r>
        <w:rPr>
          <w:rFonts w:cs="Arial"/>
          <w:rtl/>
        </w:rPr>
        <w:t>ואם היא אינה רוצה לישא אותו אין שום חשש איסור, כיון שמגרש בלי תנאי לכן מקרעים הגט. ועיין דין זה בתשובת מהר"מ מלובלין (סי' קכב) וכל חכמי הדור חולקים עליו. ועיין ב"ח (סי' קמח) ובתשובת מ"ב (סי' עה), ב"ש (סקט"ז).</w:t>
      </w:r>
      <w:r>
        <w:rPr>
          <w:rtl/>
        </w:rPr>
        <w:t xml:space="preserve"> ועי' בפת"ש (סק"ו).</w:t>
      </w:r>
    </w:p>
  </w:footnote>
  <w:footnote w:id="2580">
    <w:p w14:paraId="3E08A0C9" w14:textId="77777777" w:rsidR="00C97BEF" w:rsidRDefault="00C97BEF" w:rsidP="00C97BEF">
      <w:pPr>
        <w:pStyle w:val="a5"/>
      </w:pPr>
      <w:r>
        <w:rPr>
          <w:rStyle w:val="a7"/>
        </w:rPr>
        <w:footnoteRef/>
      </w:r>
      <w:r>
        <w:rPr>
          <w:rtl/>
        </w:rPr>
        <w:t xml:space="preserve"> </w:t>
      </w:r>
      <w:r>
        <w:rPr>
          <w:rFonts w:cs="Arial"/>
          <w:rtl/>
        </w:rPr>
        <w:t>עיין בשו"ת תשובה מאהבה (ח"ג ס"ס תיב) שכ' דוקא אותם דברים שזכר הרמ"א ז"ל להתיר דהיינו לבכות ולצאת אחר מטתו אבל לא ללבוש שחורים מכ"ש לא להתאבל ז' ול' וקריעה וכיוצא בו. ובתשו' באר שבע (סי' סו) מחמיר לגמרי ע"ש, פת"ש (סק"ז).</w:t>
      </w:r>
    </w:p>
  </w:footnote>
  <w:footnote w:id="2581">
    <w:p w14:paraId="6C0D218C" w14:textId="77777777" w:rsidR="00C97BEF" w:rsidRDefault="00C97BEF" w:rsidP="00C97BEF">
      <w:pPr>
        <w:pStyle w:val="a5"/>
      </w:pPr>
      <w:r>
        <w:rPr>
          <w:rStyle w:val="a7"/>
        </w:rPr>
        <w:footnoteRef/>
      </w:r>
      <w:r>
        <w:rPr>
          <w:rFonts w:cs="Arial"/>
          <w:rtl/>
        </w:rPr>
        <w:t xml:space="preserve"> </w:t>
      </w:r>
      <w:r>
        <w:rPr>
          <w:rFonts w:cs="Arial" w:hint="cs"/>
          <w:rtl/>
        </w:rPr>
        <w:t>ועיין במה שכתבתי בסוף סימן ק"מ (סע' ה),</w:t>
      </w:r>
      <w:r>
        <w:rPr>
          <w:rFonts w:cs="Arial" w:hint="cs"/>
          <w:b/>
          <w:bCs/>
          <w:rtl/>
        </w:rPr>
        <w:t xml:space="preserve"> ב"י</w:t>
      </w:r>
      <w:r>
        <w:rPr>
          <w:rFonts w:cs="Arial" w:hint="cs"/>
          <w:rtl/>
        </w:rPr>
        <w:t xml:space="preserve">. וכתב המרדכי פרק האשה שלום (סי' עט) דאפילו במקום יבם קטן אין מזכין, וכן הוא בתשובת רש"י שם (במרדכי סי' פ), </w:t>
      </w:r>
      <w:r>
        <w:rPr>
          <w:rFonts w:cs="Arial" w:hint="cs"/>
          <w:b/>
          <w:bCs/>
          <w:rtl/>
        </w:rPr>
        <w:t>דרכ"מ</w:t>
      </w:r>
      <w:r>
        <w:rPr>
          <w:rFonts w:cs="Arial" w:hint="cs"/>
          <w:rtl/>
        </w:rPr>
        <w:t xml:space="preserve"> (סי' קמ אות ד).</w:t>
      </w:r>
    </w:p>
  </w:footnote>
  <w:footnote w:id="2582">
    <w:p w14:paraId="4ECCF297" w14:textId="77777777" w:rsidR="00C97BEF" w:rsidRDefault="00C97BEF" w:rsidP="00C97BEF">
      <w:pPr>
        <w:pStyle w:val="a5"/>
      </w:pPr>
      <w:r>
        <w:rPr>
          <w:rStyle w:val="a7"/>
        </w:rPr>
        <w:footnoteRef/>
      </w:r>
      <w:r>
        <w:rPr>
          <w:rtl/>
        </w:rPr>
        <w:t xml:space="preserve"> </w:t>
      </w:r>
      <w:r>
        <w:rPr>
          <w:rFonts w:cs="Arial"/>
          <w:rtl/>
        </w:rPr>
        <w:t>מלשון זה משמע דאם הגיע לידה מגורש' עכ"פ ולא אמרינן כיון דאמר זכי לה נתכוין דוקא שתתגרש מיד ולא שיהי' שליח להולכה, וע' בס' גט מקושר בסג"ש אות כ"א מ"ש בזה, פת"ש (סק"ח).</w:t>
      </w:r>
    </w:p>
  </w:footnote>
  <w:footnote w:id="2583">
    <w:p w14:paraId="27837914" w14:textId="0B1C447A" w:rsidR="00C97BEF" w:rsidRDefault="00C97BEF" w:rsidP="00C97BEF">
      <w:pPr>
        <w:pStyle w:val="a5"/>
      </w:pPr>
      <w:r>
        <w:rPr>
          <w:rStyle w:val="a7"/>
        </w:rPr>
        <w:footnoteRef/>
      </w:r>
      <w:r>
        <w:rPr>
          <w:rtl/>
        </w:rPr>
        <w:t xml:space="preserve"> </w:t>
      </w:r>
      <w:r>
        <w:rPr>
          <w:rFonts w:cs="Arial"/>
          <w:rtl/>
        </w:rPr>
        <w:t xml:space="preserve">ואי לא מיסתפינא מחבריא אמינא מילתא חדתא דהיינו דהאידנא דאין נוהגין ביבום כלל, כדאיתא בסי' א' בהג"ה, והבי"ד כופין ומוחין בזה אם בא לייבם האידנא, וא"כ בודאי זכות הוא לה שלא תצרך לידי חליצה. ואין להקשות דכיון שנאסר בזמן התלמוד אין לנו להתיר אפילו אם הטעם בטל האידנא, דהא איתא ביו"ד סימן קי"ו גבי גלוי שהיה אסור בימי התלמוד ועכשיו שאין נחשים מצוים בינינו מותר, כל שכן כאן שיש איסור בינינו לייבם שאין לחוש לאסור בשביל דרחמא ליבם. ותו דהא מצינו בסימן ק"מ סעיף ה' בהג"ה אם הבעל מומר וידעינן שהיא מהדרת אחר הגט יכול לזכות לה גט הלא אמרינן טב למיתב טן דו, וא"כ כאן נמי נחלק בזה. כן נראה לענ"ד, </w:t>
      </w:r>
      <w:r>
        <w:rPr>
          <w:rFonts w:cs="Arial"/>
          <w:b/>
          <w:bCs/>
          <w:rtl/>
        </w:rPr>
        <w:t>ט"ז</w:t>
      </w:r>
      <w:r>
        <w:rPr>
          <w:rFonts w:cs="Arial"/>
          <w:rtl/>
        </w:rPr>
        <w:t xml:space="preserve"> (סק"ז).</w:t>
      </w:r>
      <w:r w:rsidR="007315C8">
        <w:rPr>
          <w:rFonts w:cs="Arial" w:hint="cs"/>
          <w:rtl/>
        </w:rPr>
        <w:t xml:space="preserve"> </w:t>
      </w:r>
      <w:r>
        <w:rPr>
          <w:rFonts w:cs="Arial"/>
          <w:rtl/>
        </w:rPr>
        <w:t xml:space="preserve">וכ"כ מהרש"ל (יש"ש </w:t>
      </w:r>
      <w:bookmarkStart w:id="25" w:name="_Hlk96423570"/>
      <w:r>
        <w:rPr>
          <w:rFonts w:cs="Arial"/>
          <w:rtl/>
        </w:rPr>
        <w:t>פט"ו דיבמות סי' כא</w:t>
      </w:r>
      <w:bookmarkEnd w:id="25"/>
      <w:r>
        <w:rPr>
          <w:rFonts w:cs="Arial"/>
          <w:rtl/>
        </w:rPr>
        <w:t xml:space="preserve">) והובאו דבריו בס' בית מאיר </w:t>
      </w:r>
      <w:r>
        <w:rPr>
          <w:rFonts w:cs="Arial"/>
          <w:sz w:val="16"/>
          <w:szCs w:val="16"/>
          <w:rtl/>
        </w:rPr>
        <w:t>(סי' זה, וז"ל הב"מ</w:t>
      </w:r>
      <w:r w:rsidR="00190C52">
        <w:rPr>
          <w:rFonts w:cs="Arial" w:hint="cs"/>
          <w:sz w:val="16"/>
          <w:szCs w:val="16"/>
          <w:rtl/>
        </w:rPr>
        <w:t>:</w:t>
      </w:r>
      <w:r>
        <w:rPr>
          <w:rFonts w:cs="Arial"/>
          <w:sz w:val="16"/>
          <w:szCs w:val="16"/>
          <w:rtl/>
        </w:rPr>
        <w:t xml:space="preserve"> כתב היש"ש דהיה נראה לו דהאידנא שאין נוהגין ביבום ומכ"ש ביש להיבם אשה נמצא לא שייך דילמא רחמ' ליבם ובודאי זכות הוא לה אלא שלא מלאני לבי להקל לכתחיל' אבל בדיעבד מגורשת ופטורה מחליצה. ובמקום יבם משומד כ' דנראה בעינו פשוט דזכות הוא לה)</w:t>
      </w:r>
      <w:r>
        <w:rPr>
          <w:rFonts w:cs="Arial"/>
          <w:rtl/>
        </w:rPr>
        <w:t xml:space="preserve">. וגם בס' ק"נ על הרא"ש שם הביא דבריו קצת בשינוי ע"ש היטב. וכן הסכים בס' יד המלך (פ"ט מה"ג הכ"א). וכתב </w:t>
      </w:r>
      <w:r>
        <w:rPr>
          <w:rFonts w:cs="Arial"/>
          <w:b/>
          <w:bCs/>
          <w:rtl/>
        </w:rPr>
        <w:t>הפת"ש</w:t>
      </w:r>
      <w:r>
        <w:rPr>
          <w:rFonts w:cs="Arial"/>
          <w:rtl/>
        </w:rPr>
        <w:t xml:space="preserve"> (סק"ט)</w:t>
      </w:r>
      <w:r w:rsidR="007315C8">
        <w:rPr>
          <w:rFonts w:cs="Arial" w:hint="cs"/>
          <w:rtl/>
        </w:rPr>
        <w:t>:</w:t>
      </w:r>
      <w:r>
        <w:rPr>
          <w:rFonts w:cs="Arial"/>
          <w:rtl/>
        </w:rPr>
        <w:t xml:space="preserve"> ודע דגם לדברי הרש"ל וט"ז הנ"ל זה פשוט דדוקא אם ניתן הגט בתנאי דאם לא מתי כו' ואם מתי כו' שאם לא ימות הרי היא אשתו כמקדם שפיר שייך לומר דזכות הוא לה שלא להצריכה חליצה משא"כ בגט סתם לחלוטין בודאי דלאו זכות הוא לה דשמא לא ימות ומש"ה אף שאח"כ מת מ"מ בעת זיכוי הגט לא הי' זכות. ושוב מצאתי בתשובת הרדב"ז </w:t>
      </w:r>
      <w:r w:rsidR="00664738">
        <w:rPr>
          <w:rFonts w:cs="Arial" w:hint="cs"/>
          <w:rtl/>
        </w:rPr>
        <w:t>(</w:t>
      </w:r>
      <w:r>
        <w:rPr>
          <w:rFonts w:cs="Arial"/>
          <w:rtl/>
        </w:rPr>
        <w:t>ח"א סי</w:t>
      </w:r>
      <w:r w:rsidR="00664738">
        <w:rPr>
          <w:rFonts w:cs="Arial" w:hint="cs"/>
          <w:rtl/>
        </w:rPr>
        <w:t>'</w:t>
      </w:r>
      <w:r>
        <w:rPr>
          <w:rFonts w:cs="Arial"/>
          <w:rtl/>
        </w:rPr>
        <w:t xml:space="preserve"> עה</w:t>
      </w:r>
      <w:r w:rsidR="00664738">
        <w:rPr>
          <w:rFonts w:cs="Arial" w:hint="cs"/>
          <w:rtl/>
        </w:rPr>
        <w:t>)</w:t>
      </w:r>
      <w:r>
        <w:rPr>
          <w:rFonts w:cs="Arial"/>
          <w:rtl/>
        </w:rPr>
        <w:t xml:space="preserve"> שכתב להדיא כן בעובדא שהיבם לא נודע מקומו והוא קראי</w:t>
      </w:r>
      <w:r w:rsidR="00664738">
        <w:rPr>
          <w:rFonts w:cs="Arial" w:hint="cs"/>
          <w:rtl/>
        </w:rPr>
        <w:t>,</w:t>
      </w:r>
      <w:r>
        <w:rPr>
          <w:rFonts w:cs="Arial"/>
          <w:rtl/>
        </w:rPr>
        <w:t xml:space="preserve"> שכ' שם שיכול לזכות לה גיטה ע"י אחר מכמה טעמים</w:t>
      </w:r>
      <w:r w:rsidR="00664738">
        <w:rPr>
          <w:rFonts w:cs="Arial" w:hint="cs"/>
          <w:rtl/>
        </w:rPr>
        <w:t>,</w:t>
      </w:r>
      <w:r>
        <w:rPr>
          <w:rFonts w:cs="Arial"/>
          <w:rtl/>
        </w:rPr>
        <w:t xml:space="preserve"> </w:t>
      </w:r>
      <w:r w:rsidR="00664738">
        <w:rPr>
          <w:rFonts w:cs="Arial" w:hint="cs"/>
          <w:rtl/>
        </w:rPr>
        <w:t>ו</w:t>
      </w:r>
      <w:r>
        <w:rPr>
          <w:rFonts w:cs="Arial"/>
          <w:rtl/>
        </w:rPr>
        <w:t xml:space="preserve">מסיים שם </w:t>
      </w:r>
      <w:r w:rsidR="000A0F5A">
        <w:rPr>
          <w:rFonts w:cs="Arial"/>
          <w:rtl/>
        </w:rPr>
        <w:t>וז"ל:</w:t>
      </w:r>
      <w:r>
        <w:rPr>
          <w:rFonts w:cs="Arial"/>
          <w:rtl/>
        </w:rPr>
        <w:t xml:space="preserve"> ומשום חששא שמא לא ימות ונמצא דחוב הוא לה סדרתי שיזכה לה ע"י אחר ע"מ אם ימות בלשון אם מתי ואם לא מתי ונמצא דזכות הוא לה ממה נפשך כו' עכ"ל ע"ש.</w:t>
      </w:r>
    </w:p>
  </w:footnote>
  <w:footnote w:id="2584">
    <w:p w14:paraId="79C8AF28" w14:textId="77777777" w:rsidR="00C97BEF" w:rsidRDefault="00C97BEF" w:rsidP="00C97BEF">
      <w:pPr>
        <w:pStyle w:val="a5"/>
      </w:pPr>
      <w:r>
        <w:rPr>
          <w:rStyle w:val="a7"/>
        </w:rPr>
        <w:footnoteRef/>
      </w:r>
      <w:r>
        <w:rPr>
          <w:rtl/>
        </w:rPr>
        <w:t xml:space="preserve"> </w:t>
      </w:r>
      <w:r>
        <w:rPr>
          <w:rFonts w:hint="cs"/>
          <w:rtl/>
        </w:rPr>
        <w:t xml:space="preserve">אחרי שהעתיק הטור את כל דברי הרמב"ם (המובאים כאן בסעיפים א-ג) כתב הב"י- </w:t>
      </w:r>
      <w:r>
        <w:rPr>
          <w:rFonts w:cs="Arial"/>
          <w:rtl/>
        </w:rPr>
        <w:t>קצת דבריו פירש הה"מ יעויין עליו כי אין צורך לכפול דבריו.</w:t>
      </w:r>
    </w:p>
  </w:footnote>
  <w:footnote w:id="2585">
    <w:p w14:paraId="22F488E5" w14:textId="77777777" w:rsidR="00C97BEF" w:rsidRDefault="00C97BEF" w:rsidP="00C97BEF">
      <w:pPr>
        <w:pStyle w:val="a5"/>
      </w:pPr>
      <w:r>
        <w:rPr>
          <w:rStyle w:val="a7"/>
        </w:rPr>
        <w:footnoteRef/>
      </w:r>
      <w:r>
        <w:rPr>
          <w:rtl/>
        </w:rPr>
        <w:t xml:space="preserve"> </w:t>
      </w:r>
      <w:r>
        <w:rPr>
          <w:rFonts w:cs="Arial"/>
          <w:rtl/>
        </w:rPr>
        <w:t>גם לקמן ס"ב איתא כהאי לישנא ולא תתגרשי בו עד שתתני לי מאתים זוז. וע' בס' בית מאיר שכ' דהני לישני לאו דוקא, וה"ה האומר הז"ג ותתגרשי בו לאחר ל', או לאחר שתתני לי, דכל זה הוי תולה בזמן או במעשה כמבואר בהה"מ כו' ע"ש</w:t>
      </w:r>
      <w:r>
        <w:rPr>
          <w:rtl/>
        </w:rPr>
        <w:t>, פת"ש (סק"א).</w:t>
      </w:r>
    </w:p>
  </w:footnote>
  <w:footnote w:id="2586">
    <w:p w14:paraId="1A347A4F" w14:textId="77777777" w:rsidR="00C97BEF" w:rsidRDefault="00C97BEF" w:rsidP="00C97BEF">
      <w:pPr>
        <w:pStyle w:val="a5"/>
        <w:rPr>
          <w:rtl/>
        </w:rPr>
      </w:pPr>
      <w:r>
        <w:rPr>
          <w:rStyle w:val="a7"/>
        </w:rPr>
        <w:footnoteRef/>
      </w:r>
      <w:r>
        <w:rPr>
          <w:rtl/>
        </w:rPr>
        <w:t xml:space="preserve"> </w:t>
      </w:r>
      <w:r>
        <w:rPr>
          <w:rFonts w:cs="Arial"/>
          <w:rtl/>
        </w:rPr>
        <w:t>ואם ליתא ברשותה הוי ספק גט להני פוסקים דפסקו כר"י זמן ש"ש מוכיח והוי כאלו אמר מעכשיו ולאחר ל' יום המגיד ועיין ר"ס קמ"ד</w:t>
      </w:r>
      <w:r>
        <w:rPr>
          <w:rtl/>
        </w:rPr>
        <w:t>, ב"ש (סק"ג).</w:t>
      </w:r>
    </w:p>
  </w:footnote>
  <w:footnote w:id="2587">
    <w:p w14:paraId="6A44D641" w14:textId="77777777" w:rsidR="00C97BEF" w:rsidRDefault="00C97BEF" w:rsidP="00C97BEF">
      <w:pPr>
        <w:pStyle w:val="a5"/>
        <w:rPr>
          <w:rtl/>
        </w:rPr>
      </w:pPr>
      <w:r>
        <w:rPr>
          <w:rStyle w:val="a7"/>
        </w:rPr>
        <w:footnoteRef/>
      </w:r>
      <w:r>
        <w:rPr>
          <w:rtl/>
        </w:rPr>
        <w:t xml:space="preserve"> </w:t>
      </w:r>
      <w:r>
        <w:rPr>
          <w:rFonts w:cs="Arial"/>
          <w:rtl/>
        </w:rPr>
        <w:t>אע"ג מכלל לאו נשמע הן, מכל מקום כיון שלא הזכיר גירושין בפירוש אינה מגורשת, המגיד, ב"ש (סק"ד).</w:t>
      </w:r>
    </w:p>
  </w:footnote>
  <w:footnote w:id="2588">
    <w:p w14:paraId="6DDC663C" w14:textId="77777777" w:rsidR="00C97BEF" w:rsidRDefault="00C97BEF" w:rsidP="00C97BEF">
      <w:pPr>
        <w:pStyle w:val="a5"/>
      </w:pPr>
      <w:r>
        <w:rPr>
          <w:rStyle w:val="a7"/>
        </w:rPr>
        <w:footnoteRef/>
      </w:r>
      <w:r>
        <w:rPr>
          <w:rtl/>
        </w:rPr>
        <w:t xml:space="preserve"> </w:t>
      </w:r>
      <w:r>
        <w:rPr>
          <w:rFonts w:cs="Arial"/>
          <w:rtl/>
        </w:rPr>
        <w:t>אם היה מעיין ה"ר אברהם בדברי הרמב"ם עיון שלם לא היה משיגו, שהרי כתב אם לא נתקיים התנאי ובטל הגט, ושדבר פשוט הוא שכל שבידה לקיימו עדיין ואפשר שיתקיים שאין הגט בטל, וזה פשוט בדבריו (שם הכ"ב). ומה שכתב כאן הוא כשהגט בטל כגון תנאי שהוא בלאו ועשתה מעשה בביטולו, או בתנאי שהוא במעשה תוך זמן קצוב כשעבר הזמן ולא נעשה, או באיזה דרך שהיה התנאי מבוטל בפועל והגט בטל. אבל בתנאי שבידה לקיימו הרי הדבר תלוי, ואם נתקיים התנאי מגורשת היא למפרע כמו שנתבאר (שם ה"א) בתנאי שבעל מנת, ולא יאמר בזה הרמב"ם שאינה צריכה גט כשנתקדשה לו. ואלו נראים דברים ברורים וחילוק אמיתי, הה"מ (שם).</w:t>
      </w:r>
      <w:r>
        <w:rPr>
          <w:rtl/>
        </w:rPr>
        <w:t xml:space="preserve"> </w:t>
      </w:r>
      <w:r>
        <w:rPr>
          <w:rFonts w:cs="Arial"/>
          <w:color w:val="E36C0A" w:themeColor="accent6" w:themeShade="BF"/>
          <w:rtl/>
        </w:rPr>
        <w:t>(וכ"פ בשו"ע</w:t>
      </w:r>
      <w:r>
        <w:rPr>
          <w:rFonts w:cs="Arial"/>
          <w:color w:val="E36C0A" w:themeColor="accent6" w:themeShade="BF"/>
          <w:sz w:val="16"/>
          <w:szCs w:val="16"/>
          <w:rtl/>
        </w:rPr>
        <w:t xml:space="preserve"> </w:t>
      </w:r>
      <w:r>
        <w:rPr>
          <w:rFonts w:cs="Arial"/>
          <w:color w:val="000000" w:themeColor="text1"/>
          <w:sz w:val="16"/>
          <w:szCs w:val="16"/>
          <w:rtl/>
        </w:rPr>
        <w:t>[בסע' ה]</w:t>
      </w:r>
      <w:r>
        <w:rPr>
          <w:rFonts w:cs="Arial"/>
          <w:color w:val="E36C0A" w:themeColor="accent6" w:themeShade="BF"/>
          <w:rtl/>
        </w:rPr>
        <w:t>)</w:t>
      </w:r>
    </w:p>
  </w:footnote>
  <w:footnote w:id="2589">
    <w:p w14:paraId="3B4AF7D8" w14:textId="77777777" w:rsidR="00C97BEF" w:rsidRDefault="00C97BEF" w:rsidP="00C97BEF">
      <w:pPr>
        <w:pStyle w:val="a5"/>
        <w:rPr>
          <w:rtl/>
        </w:rPr>
      </w:pPr>
      <w:r>
        <w:rPr>
          <w:rStyle w:val="a7"/>
        </w:rPr>
        <w:footnoteRef/>
      </w:r>
      <w:r>
        <w:rPr>
          <w:rtl/>
        </w:rPr>
        <w:t xml:space="preserve"> </w:t>
      </w:r>
      <w:r>
        <w:rPr>
          <w:rFonts w:cs="Arial"/>
          <w:rtl/>
        </w:rPr>
        <w:t>היינו בתנאי ע"מ דאז אם נתקיים התנאי חל הגט למפרע נמצא בעת שקידש היתה פנוייה אבל תנאי אם דגט חל בעת שנתקיים ובאותו פעם היתה א"א נראה דקידושין לא הוי קידושין מיהו לדעת הרמב"ם דס"ל אם נשאת קודם שנתקיים התנאי לא תצא י"ל גם הקידושין חלין וכ"כ בסימן קמ"ח ע"ש וקצת ראי' דאיירי בתנאי אם דהא בסמוך מוכח דאיירי בתנאי אם וה"ל לפרש דאיירי כאן בתנאי ע"מ וכן הוא בפרישה, ב"ש (סק"ה).</w:t>
      </w:r>
    </w:p>
  </w:footnote>
  <w:footnote w:id="2590">
    <w:p w14:paraId="4612F09C" w14:textId="77777777" w:rsidR="00C97BEF" w:rsidRDefault="00C97BEF" w:rsidP="00C97BEF">
      <w:pPr>
        <w:pStyle w:val="a5"/>
      </w:pPr>
      <w:r>
        <w:rPr>
          <w:rStyle w:val="a7"/>
        </w:rPr>
        <w:footnoteRef/>
      </w:r>
      <w:r>
        <w:rPr>
          <w:rtl/>
        </w:rPr>
        <w:t xml:space="preserve"> </w:t>
      </w:r>
      <w:r>
        <w:rPr>
          <w:rFonts w:cs="Arial"/>
          <w:rtl/>
        </w:rPr>
        <w:t>הט"ז מאריך בזה ובוודאי ט"ס וצ"ל שמא תתקיים התנאי. דחילוק הוא אם כבר בטלה התנאי אז בטל הגט אבל אם לא נתבטל יש לחוש שמא תתקיים עוד ועדיין לא נתבטלו וחלו קידושי שני, ב"ש (סק"ז). וכ"כ הגר"א (סקי"ח).</w:t>
      </w:r>
    </w:p>
  </w:footnote>
  <w:footnote w:id="2591">
    <w:p w14:paraId="5FA57406" w14:textId="77777777" w:rsidR="00C97BEF" w:rsidRDefault="00C97BEF" w:rsidP="00C97BEF">
      <w:pPr>
        <w:pStyle w:val="a5"/>
      </w:pPr>
      <w:r>
        <w:rPr>
          <w:rStyle w:val="a7"/>
        </w:rPr>
        <w:footnoteRef/>
      </w:r>
      <w:r>
        <w:rPr>
          <w:rtl/>
        </w:rPr>
        <w:t xml:space="preserve"> </w:t>
      </w:r>
      <w:r>
        <w:rPr>
          <w:rFonts w:cs="Arial"/>
          <w:rtl/>
        </w:rPr>
        <w:t>בשעת מסירה, רש"י.</w:t>
      </w:r>
    </w:p>
  </w:footnote>
  <w:footnote w:id="2592">
    <w:p w14:paraId="696104D6" w14:textId="77777777" w:rsidR="00C97BEF" w:rsidRDefault="00C97BEF" w:rsidP="00C97BEF">
      <w:pPr>
        <w:pStyle w:val="a5"/>
      </w:pPr>
      <w:r>
        <w:rPr>
          <w:rStyle w:val="a7"/>
        </w:rPr>
        <w:footnoteRef/>
      </w:r>
      <w:r>
        <w:rPr>
          <w:rtl/>
        </w:rPr>
        <w:t xml:space="preserve"> </w:t>
      </w:r>
      <w:r>
        <w:rPr>
          <w:rFonts w:cs="Arial"/>
          <w:rtl/>
        </w:rPr>
        <w:t>דוקא כתבו בתוכו הוא דלית ליה תקנתא, אבל לא כתבו בתוכו אפילו אמר לעדים ע"מ כן - אינו נפסל בכך, ובלבד שיאמר לה בשעת מסירה הרי את מותרת לכל אדם, רש"י.</w:t>
      </w:r>
    </w:p>
  </w:footnote>
  <w:footnote w:id="2593">
    <w:p w14:paraId="4A036CD8" w14:textId="77777777" w:rsidR="00C97BEF" w:rsidRDefault="00C97BEF" w:rsidP="00C97BEF">
      <w:pPr>
        <w:pStyle w:val="a5"/>
      </w:pPr>
      <w:r>
        <w:rPr>
          <w:rStyle w:val="a7"/>
        </w:rPr>
        <w:footnoteRef/>
      </w:r>
      <w:r>
        <w:rPr>
          <w:rtl/>
        </w:rPr>
        <w:t xml:space="preserve"> </w:t>
      </w:r>
      <w:r>
        <w:rPr>
          <w:rFonts w:cs="Arial"/>
          <w:rtl/>
        </w:rPr>
        <w:t>דבעינן כתבו בתוכו. ולא מיפסל במאי דאמר לסהדי לכותבו ע"מ כן היכא דאמר לאחר כתיבת התורף ע"מ שלא תנשאי לפלוני, דכיון דנכתב עיקר הגט קודם הזכרת תנאי - לא מיפסל במאי דאמר לסהדי לכותבו ע"מ כן אי לא כתבי ליה בתוכו בהדיא</w:t>
      </w:r>
      <w:r>
        <w:rPr>
          <w:rtl/>
        </w:rPr>
        <w:t>, רש"י.</w:t>
      </w:r>
    </w:p>
  </w:footnote>
  <w:footnote w:id="2594">
    <w:p w14:paraId="007371EA" w14:textId="77777777" w:rsidR="00C97BEF" w:rsidRDefault="00C97BEF" w:rsidP="00C97BEF">
      <w:pPr>
        <w:pStyle w:val="a5"/>
        <w:rPr>
          <w:rtl/>
        </w:rPr>
      </w:pPr>
      <w:r>
        <w:rPr>
          <w:rStyle w:val="a7"/>
        </w:rPr>
        <w:footnoteRef/>
      </w:r>
      <w:r>
        <w:rPr>
          <w:rtl/>
        </w:rPr>
        <w:t xml:space="preserve"> </w:t>
      </w:r>
      <w:r>
        <w:rPr>
          <w:rFonts w:cs="Arial"/>
          <w:rtl/>
        </w:rPr>
        <w:t>שהרי עיקר הגט ע"מ כן נכתב, רש"י.</w:t>
      </w:r>
    </w:p>
  </w:footnote>
  <w:footnote w:id="2595">
    <w:p w14:paraId="67E5D082" w14:textId="77777777" w:rsidR="00C97BEF" w:rsidRDefault="00C97BEF" w:rsidP="00C97BEF">
      <w:pPr>
        <w:pStyle w:val="a5"/>
      </w:pPr>
      <w:r>
        <w:rPr>
          <w:rStyle w:val="a7"/>
        </w:rPr>
        <w:footnoteRef/>
      </w:r>
      <w:r>
        <w:rPr>
          <w:rtl/>
        </w:rPr>
        <w:t xml:space="preserve"> </w:t>
      </w:r>
      <w:r>
        <w:rPr>
          <w:rFonts w:cs="Arial"/>
          <w:rtl/>
        </w:rPr>
        <w:t>רב ספרא בתוכו דוקא קאמר, רש"י.</w:t>
      </w:r>
    </w:p>
  </w:footnote>
  <w:footnote w:id="2596">
    <w:p w14:paraId="767CF566" w14:textId="77777777" w:rsidR="00C97BEF" w:rsidRDefault="00C97BEF" w:rsidP="00C97BEF">
      <w:pPr>
        <w:pStyle w:val="a5"/>
      </w:pPr>
      <w:r>
        <w:rPr>
          <w:rStyle w:val="a7"/>
        </w:rPr>
        <w:footnoteRef/>
      </w:r>
      <w:r>
        <w:rPr>
          <w:rtl/>
        </w:rPr>
        <w:t xml:space="preserve"> </w:t>
      </w:r>
      <w:r>
        <w:rPr>
          <w:rFonts w:cs="Arial"/>
          <w:rtl/>
        </w:rPr>
        <w:t>נזפו בו שלא יזכיר שום תנאי</w:t>
      </w:r>
      <w:r>
        <w:rPr>
          <w:rtl/>
        </w:rPr>
        <w:t>, רש"י.</w:t>
      </w:r>
    </w:p>
  </w:footnote>
  <w:footnote w:id="2597">
    <w:p w14:paraId="32DF3E1F" w14:textId="77777777" w:rsidR="00C97BEF" w:rsidRDefault="00C97BEF" w:rsidP="00C97BEF">
      <w:pPr>
        <w:pStyle w:val="a5"/>
        <w:rPr>
          <w:rtl/>
        </w:rPr>
      </w:pPr>
      <w:r>
        <w:rPr>
          <w:rStyle w:val="a7"/>
        </w:rPr>
        <w:footnoteRef/>
      </w:r>
      <w:r>
        <w:rPr>
          <w:rtl/>
        </w:rPr>
        <w:t xml:space="preserve"> </w:t>
      </w:r>
      <w:r>
        <w:rPr>
          <w:rFonts w:cs="Arial"/>
          <w:rtl/>
        </w:rPr>
        <w:t xml:space="preserve">אם כתבו בתוכו ואפילו נתקיים התנאי, רש"י. אך התוספות </w:t>
      </w:r>
      <w:r>
        <w:rPr>
          <w:rFonts w:cs="Arial"/>
          <w:sz w:val="16"/>
          <w:szCs w:val="16"/>
          <w:rtl/>
        </w:rPr>
        <w:t xml:space="preserve">(ד"ה כל התנאים) </w:t>
      </w:r>
      <w:r>
        <w:rPr>
          <w:rFonts w:cs="Arial"/>
          <w:rtl/>
        </w:rPr>
        <w:t>כתבו שאין נראה לר"י, דמה שייך לגזור בעל מנת שתתני לי מאתים זוז וכיוצא בו אטו חוץ, כיון שאין שם שיור כמו בחוץ, ולא היה שייך בשאר תנאים לגזור אטו חוץ אם לא על מנת שלא תנשאי לפלוני גרידא דהוי שיור. ולכן פירש ר"י דהך ברייתא קיימא אמתניתין דקתני 'אם כתבו לתוכו אע"פ שחזר ומחקו פסול', וקתני עלה בברייתא כל התנאים נמי שכתבן בגט וחזר ומחקן וביטל התנאי - פסול הגט אם לא נתקיים התנאי כאילו לא נמחק, דאין מחיקה מועלת בתנאי לבטלו ולעשות כאילו לא נכתב, דגזרו על מנת אטו חוץ, ובחוץ לא מהניא מחיקה דלא נכתב לשם כריתות. ורבנן לא גזרי, ומכשרי בעל מנת אם חזר ומחקו, אבל אם נכתב ולא נמחק - כשר לכולי עלמא</w:t>
      </w:r>
      <w:r>
        <w:rPr>
          <w:rtl/>
        </w:rPr>
        <w:t>.</w:t>
      </w:r>
    </w:p>
  </w:footnote>
  <w:footnote w:id="2598">
    <w:p w14:paraId="395EECAD" w14:textId="77777777" w:rsidR="00C97BEF" w:rsidRDefault="00C97BEF" w:rsidP="00C97BEF">
      <w:pPr>
        <w:pStyle w:val="a5"/>
      </w:pPr>
      <w:r>
        <w:rPr>
          <w:rStyle w:val="a7"/>
        </w:rPr>
        <w:footnoteRef/>
      </w:r>
      <w:r>
        <w:rPr>
          <w:rtl/>
        </w:rPr>
        <w:t xml:space="preserve"> </w:t>
      </w:r>
      <w:r>
        <w:rPr>
          <w:rFonts w:cs="Arial"/>
          <w:rtl/>
        </w:rPr>
        <w:t>דהוי שיור בגט, רש"י.</w:t>
      </w:r>
    </w:p>
  </w:footnote>
  <w:footnote w:id="2599">
    <w:p w14:paraId="09AA7248" w14:textId="77777777" w:rsidR="00C97BEF" w:rsidRDefault="00C97BEF" w:rsidP="00C97BEF">
      <w:pPr>
        <w:pStyle w:val="a5"/>
      </w:pPr>
      <w:r>
        <w:rPr>
          <w:rStyle w:val="a7"/>
        </w:rPr>
        <w:footnoteRef/>
      </w:r>
      <w:r>
        <w:rPr>
          <w:rtl/>
        </w:rPr>
        <w:t xml:space="preserve"> </w:t>
      </w:r>
      <w:r>
        <w:rPr>
          <w:rFonts w:cs="Arial"/>
          <w:rtl/>
        </w:rPr>
        <w:t>דע"מ דרבי ורבנן בשכתבו לפני התורף, רש"י.</w:t>
      </w:r>
    </w:p>
  </w:footnote>
  <w:footnote w:id="2600">
    <w:p w14:paraId="6AEEE7EE" w14:textId="77777777" w:rsidR="00C97BEF" w:rsidRDefault="00C97BEF" w:rsidP="00C97BEF">
      <w:pPr>
        <w:pStyle w:val="a5"/>
      </w:pPr>
      <w:r>
        <w:rPr>
          <w:rStyle w:val="a7"/>
        </w:rPr>
        <w:footnoteRef/>
      </w:r>
      <w:r>
        <w:rPr>
          <w:rtl/>
        </w:rPr>
        <w:t xml:space="preserve"> </w:t>
      </w:r>
      <w:r>
        <w:rPr>
          <w:rFonts w:cs="Arial"/>
          <w:rtl/>
        </w:rPr>
        <w:t>בריש פירקין ושמעינן מינה דאילו בעל מנת אפילו כתבו בתוכו כשר, רש"י.</w:t>
      </w:r>
    </w:p>
  </w:footnote>
  <w:footnote w:id="2601">
    <w:p w14:paraId="6A448301" w14:textId="77777777" w:rsidR="00C97BEF" w:rsidRDefault="00C97BEF" w:rsidP="00C97BEF">
      <w:pPr>
        <w:pStyle w:val="a5"/>
      </w:pPr>
      <w:r>
        <w:rPr>
          <w:rStyle w:val="a7"/>
        </w:rPr>
        <w:footnoteRef/>
      </w:r>
      <w:r>
        <w:rPr>
          <w:rtl/>
        </w:rPr>
        <w:t xml:space="preserve"> </w:t>
      </w:r>
      <w:r>
        <w:rPr>
          <w:rFonts w:cs="Arial"/>
          <w:rtl/>
        </w:rPr>
        <w:t>ופסקו כרבא</w:t>
      </w:r>
      <w:r>
        <w:rPr>
          <w:rtl/>
        </w:rPr>
        <w:t>, ב"י.</w:t>
      </w:r>
    </w:p>
  </w:footnote>
  <w:footnote w:id="2602">
    <w:p w14:paraId="6162ACC8" w14:textId="659A177D" w:rsidR="00C97BEF" w:rsidRDefault="00C97BEF" w:rsidP="00C97BEF">
      <w:pPr>
        <w:pStyle w:val="a5"/>
        <w:rPr>
          <w:rtl/>
        </w:rPr>
      </w:pPr>
      <w:r>
        <w:rPr>
          <w:rStyle w:val="a7"/>
        </w:rPr>
        <w:footnoteRef/>
      </w:r>
      <w:r>
        <w:rPr>
          <w:rtl/>
        </w:rPr>
        <w:t xml:space="preserve"> </w:t>
      </w:r>
      <w:r>
        <w:rPr>
          <w:rFonts w:cs="Arial"/>
          <w:rtl/>
        </w:rPr>
        <w:t xml:space="preserve">הוא ממה שאמרו בריש המגרש (פד:) ואזדא רבא לטעמיה דאמר רבא להנהו דכתבי גיטי שתקוה שתוקי לבעל עד דכתביתו לתורף דגיטא. ופירש רש"י שתקוה שתוקי נזפו בו שלא יזכיר שום תנאי. וכן דעת התוס' </w:t>
      </w:r>
      <w:r>
        <w:rPr>
          <w:rFonts w:cs="Arial"/>
          <w:sz w:val="16"/>
          <w:szCs w:val="16"/>
          <w:rtl/>
        </w:rPr>
        <w:t xml:space="preserve">(פד: ד"ה שתוקי) </w:t>
      </w:r>
      <w:r>
        <w:rPr>
          <w:rFonts w:cs="Arial"/>
          <w:rtl/>
        </w:rPr>
        <w:t xml:space="preserve">שכתבו </w:t>
      </w:r>
      <w:r w:rsidR="000A0F5A">
        <w:rPr>
          <w:rFonts w:cs="Arial"/>
          <w:rtl/>
        </w:rPr>
        <w:t>וז"ל:</w:t>
      </w:r>
      <w:r>
        <w:rPr>
          <w:rFonts w:cs="Arial"/>
          <w:rtl/>
        </w:rPr>
        <w:t xml:space="preserve"> שתקוי שתוקה לבעל וכו' - בכל שאר תנאים איירי כדפירש בקונדריס, ורבא לטעמיה דלפני התורף גזר על מנת אטו חוץ לרבנן דרבי</w:t>
      </w:r>
      <w:r>
        <w:rPr>
          <w:rFonts w:cs="Arial"/>
          <w:sz w:val="16"/>
          <w:szCs w:val="16"/>
          <w:rtl/>
        </w:rPr>
        <w:t xml:space="preserve"> [עכ"ל התוס']</w:t>
      </w:r>
      <w:r>
        <w:rPr>
          <w:rFonts w:cs="Arial"/>
          <w:rtl/>
        </w:rPr>
        <w:t xml:space="preserve">. ומכל מקום אין מכאן הכרע דאפשר לפרש דכי אמר שתקוה לבעל הוא מפני שלא יזכיר דבר הפוסל בגט כתנאי דחוץ, או שלא יצוה להם לכתוב התנאי בגט, אבל בעל מנת אפילו לפני התורף כשר הוא, וזה דעת הראב"ד והרמב"ן והרז"ה </w:t>
      </w:r>
      <w:r>
        <w:rPr>
          <w:rFonts w:cs="Arial"/>
          <w:sz w:val="16"/>
          <w:szCs w:val="16"/>
          <w:rtl/>
        </w:rPr>
        <w:t>{וסיעתם}</w:t>
      </w:r>
      <w:r>
        <w:rPr>
          <w:rFonts w:cs="Arial"/>
          <w:rtl/>
        </w:rPr>
        <w:t xml:space="preserve">..., </w:t>
      </w:r>
      <w:r>
        <w:rPr>
          <w:rFonts w:cs="Arial"/>
          <w:b/>
          <w:bCs/>
          <w:rtl/>
        </w:rPr>
        <w:t>ב"י</w:t>
      </w:r>
      <w:r>
        <w:rPr>
          <w:rFonts w:cs="Arial"/>
          <w:rtl/>
        </w:rPr>
        <w:t xml:space="preserve">. וכתב עוד </w:t>
      </w:r>
      <w:r>
        <w:rPr>
          <w:rFonts w:cs="Arial"/>
          <w:b/>
          <w:bCs/>
          <w:rtl/>
        </w:rPr>
        <w:t>הב"י</w:t>
      </w:r>
      <w:r w:rsidR="00C24FAA">
        <w:rPr>
          <w:rFonts w:cs="Arial" w:hint="cs"/>
          <w:rtl/>
        </w:rPr>
        <w:t>:</w:t>
      </w:r>
      <w:r>
        <w:rPr>
          <w:rFonts w:cs="Arial"/>
          <w:rtl/>
        </w:rPr>
        <w:t xml:space="preserve"> ולענין מה שכתב הרמב"ם דהויא ספק מגורשת כתב הה"מ (ה"ד) שיצא לו מהירושלמי שבפרק כל הגט (ה"א) שפיסול תנאים הוי מפני שאין אומרים יש ברירה, דאע"פ שנתקיימו מכל מקום בשעה שנכתב הגט לא היה ספר כריתות. והוא ז"ל סבור דגמרא דידן לא פליגא בהא, דלא אדכרי בגמרין גזירה בדינים אלו אלא לדברי רבי, אבל לרבנן דקיי"ל כוותייהו לא הזכירו כלל, וכולהו פיסולי לרבנן דינא נינהו מחשש ברירה והויא לה ספק מגורשת, זהו דעתו ז"ל. אבל דעת הרבה מהמפרשים הוא דליכא מאן דפסיל מדינא אלא חוץ בכתב ולפני התורף, ושאר הפסולים הם משום גזירה אטו האי, וכל מה שנזכר כאן כולן כשנתקיימו התנאים או שחוזר ומבטלן בשעת נתינה - אין בהם מי שפוסל מן הדין. ויש מוסיפין (עיין רשב"א פד: ד"ה ורבא אמר) לפסול מן הדין חוץ לפני התורף אפילו על פה, והשאר מן הגזירה עכ"ל. ודעת הרשב"א (פד: ד"ה והרב בעל המאור) והר"ן (מד: דיבור ראשון) בהמגרש שלא כדברי הרמב"ם שסובר דגמרא דידן לא פליג אירושלמי בטעם פיסול התנאים.</w:t>
      </w:r>
    </w:p>
  </w:footnote>
  <w:footnote w:id="2603">
    <w:p w14:paraId="218B5252" w14:textId="08139BDB" w:rsidR="00C97BEF" w:rsidRDefault="00C97BEF" w:rsidP="00C97BEF">
      <w:pPr>
        <w:pStyle w:val="a5"/>
        <w:rPr>
          <w:rtl/>
        </w:rPr>
      </w:pPr>
      <w:r>
        <w:rPr>
          <w:rStyle w:val="a7"/>
        </w:rPr>
        <w:footnoteRef/>
      </w:r>
      <w:r>
        <w:rPr>
          <w:rtl/>
        </w:rPr>
        <w:t xml:space="preserve"> </w:t>
      </w:r>
      <w:r>
        <w:rPr>
          <w:rFonts w:hint="cs"/>
          <w:rtl/>
        </w:rPr>
        <w:t xml:space="preserve">גאונים </w:t>
      </w:r>
      <w:r>
        <w:rPr>
          <w:rFonts w:cs="Arial"/>
          <w:sz w:val="16"/>
          <w:szCs w:val="16"/>
          <w:rtl/>
        </w:rPr>
        <w:t xml:space="preserve">(כ"כ הרשב"א בשמם בתשו' [ח"א סימן אלף רמד]) </w:t>
      </w:r>
      <w:r>
        <w:rPr>
          <w:rFonts w:cs="Arial"/>
          <w:rtl/>
        </w:rPr>
        <w:t xml:space="preserve">ר"י </w:t>
      </w:r>
      <w:r>
        <w:rPr>
          <w:rFonts w:cs="Arial"/>
          <w:sz w:val="16"/>
          <w:szCs w:val="16"/>
          <w:rtl/>
        </w:rPr>
        <w:t xml:space="preserve">(כ"כ בשמו הב"י, </w:t>
      </w:r>
      <w:r w:rsidR="000A0F5A">
        <w:rPr>
          <w:rFonts w:cs="Arial"/>
          <w:sz w:val="16"/>
          <w:szCs w:val="16"/>
          <w:rtl/>
        </w:rPr>
        <w:t>וז"ל:</w:t>
      </w:r>
      <w:r>
        <w:rPr>
          <w:rFonts w:cs="Arial"/>
          <w:sz w:val="16"/>
          <w:szCs w:val="16"/>
          <w:rtl/>
        </w:rPr>
        <w:t xml:space="preserve"> ור"י ודאי דמכשר דהא אפילו בנכתב נמי מכשר אם נתקיים) </w:t>
      </w:r>
      <w:r>
        <w:rPr>
          <w:rFonts w:cs="Arial"/>
          <w:rtl/>
        </w:rPr>
        <w:t xml:space="preserve">בהעי"ט </w:t>
      </w:r>
      <w:r>
        <w:rPr>
          <w:rFonts w:cs="Arial"/>
          <w:sz w:val="16"/>
          <w:szCs w:val="16"/>
          <w:rtl/>
        </w:rPr>
        <w:t xml:space="preserve">(אות תי"ו תנאי מ.) </w:t>
      </w:r>
      <w:r>
        <w:rPr>
          <w:rFonts w:cs="Arial"/>
          <w:rtl/>
        </w:rPr>
        <w:t>רז"ה</w:t>
      </w:r>
      <w:r>
        <w:rPr>
          <w:rFonts w:cs="Arial"/>
          <w:sz w:val="16"/>
          <w:szCs w:val="16"/>
          <w:rtl/>
        </w:rPr>
        <w:t xml:space="preserve"> (בעל המאור מד.) </w:t>
      </w:r>
      <w:r>
        <w:rPr>
          <w:rFonts w:cs="Arial"/>
          <w:rtl/>
        </w:rPr>
        <w:t xml:space="preserve">ראב"ד </w:t>
      </w:r>
      <w:r>
        <w:rPr>
          <w:rFonts w:cs="Arial"/>
          <w:sz w:val="16"/>
          <w:szCs w:val="16"/>
          <w:rtl/>
        </w:rPr>
        <w:t xml:space="preserve">(בהשגות לרי"ף מד.) </w:t>
      </w:r>
      <w:r>
        <w:rPr>
          <w:rFonts w:cs="Arial"/>
          <w:rtl/>
        </w:rPr>
        <w:t xml:space="preserve">רמ"ה </w:t>
      </w:r>
      <w:r>
        <w:rPr>
          <w:rFonts w:cs="Arial"/>
          <w:sz w:val="16"/>
          <w:szCs w:val="16"/>
          <w:rtl/>
        </w:rPr>
        <w:t>(כ"כ הרשב"א בשמו [פד: ד"ה וכן על פה, וד"ה על פה])</w:t>
      </w:r>
      <w:r>
        <w:rPr>
          <w:rFonts w:cs="Arial"/>
          <w:rtl/>
        </w:rPr>
        <w:t xml:space="preserve"> רמב"ן </w:t>
      </w:r>
      <w:r>
        <w:rPr>
          <w:rFonts w:cs="Arial"/>
          <w:sz w:val="16"/>
          <w:szCs w:val="16"/>
          <w:rtl/>
        </w:rPr>
        <w:t>(מלחמות שם: ובחי' פד: ד"ה וחכ"א)</w:t>
      </w:r>
      <w:r>
        <w:rPr>
          <w:rFonts w:cs="Arial"/>
          <w:rtl/>
        </w:rPr>
        <w:t xml:space="preserve"> רשב"א</w:t>
      </w:r>
      <w:r>
        <w:rPr>
          <w:rFonts w:cs="Arial"/>
          <w:sz w:val="16"/>
          <w:szCs w:val="16"/>
          <w:rtl/>
        </w:rPr>
        <w:t xml:space="preserve"> (בחידו' שם, ובתשו' ח"א סימן אלף רמ"ד) </w:t>
      </w:r>
      <w:r>
        <w:rPr>
          <w:rFonts w:cs="Arial"/>
          <w:rtl/>
        </w:rPr>
        <w:t xml:space="preserve">ור"ן </w:t>
      </w:r>
      <w:r>
        <w:rPr>
          <w:rFonts w:cs="Arial"/>
          <w:sz w:val="16"/>
          <w:szCs w:val="16"/>
          <w:rtl/>
        </w:rPr>
        <w:t>(מד: דיבור ראשון)</w:t>
      </w:r>
      <w:r>
        <w:rPr>
          <w:rtl/>
        </w:rPr>
        <w:t>.</w:t>
      </w:r>
    </w:p>
  </w:footnote>
  <w:footnote w:id="2604">
    <w:p w14:paraId="78E1C936" w14:textId="77777777" w:rsidR="00C97BEF" w:rsidRDefault="00C97BEF" w:rsidP="00C97BEF">
      <w:pPr>
        <w:pStyle w:val="a5"/>
        <w:rPr>
          <w:rtl/>
        </w:rPr>
      </w:pPr>
      <w:r>
        <w:rPr>
          <w:rStyle w:val="a7"/>
        </w:rPr>
        <w:footnoteRef/>
      </w:r>
      <w:r>
        <w:rPr>
          <w:rtl/>
        </w:rPr>
        <w:t xml:space="preserve"> </w:t>
      </w:r>
      <w:r>
        <w:rPr>
          <w:rFonts w:cs="Arial"/>
          <w:rtl/>
        </w:rPr>
        <w:t xml:space="preserve">מיהו לכתח' אין כותבין על שום תנאי כלל ואפילו בעל פה, שכן כתב הר"ן בהמגרש </w:t>
      </w:r>
      <w:r>
        <w:rPr>
          <w:rFonts w:cs="Arial"/>
          <w:sz w:val="16"/>
          <w:szCs w:val="16"/>
          <w:rtl/>
        </w:rPr>
        <w:t xml:space="preserve">(מד: סוף דיבור ראשון) </w:t>
      </w:r>
      <w:r>
        <w:rPr>
          <w:rFonts w:cs="Arial"/>
          <w:rtl/>
        </w:rPr>
        <w:t xml:space="preserve">שעכשיו נהגו ליזהר שלא לכתוב שום תנאי בגט ולא להזכירו בשעת כתיבת הגט, וכשר הדבר, לפי שאין הכל בקיאין לחלק בין תנאי לתנאי ובין אחר התורף ללפני התורף. גם הה"מ </w:t>
      </w:r>
      <w:r>
        <w:rPr>
          <w:rFonts w:cs="Arial"/>
          <w:sz w:val="16"/>
          <w:szCs w:val="16"/>
          <w:rtl/>
        </w:rPr>
        <w:t>(פ"ח ה"ג והט"ז)</w:t>
      </w:r>
      <w:r>
        <w:rPr>
          <w:rFonts w:cs="Arial"/>
          <w:rtl/>
        </w:rPr>
        <w:t xml:space="preserve"> כתב שראוי שלא להזכיר שום תנאי, וכדברי הרמב"ם, </w:t>
      </w:r>
      <w:r>
        <w:rPr>
          <w:rFonts w:cs="Arial"/>
          <w:b/>
          <w:bCs/>
          <w:rtl/>
        </w:rPr>
        <w:t>ב"י</w:t>
      </w:r>
      <w:r>
        <w:rPr>
          <w:rFonts w:cs="Arial"/>
          <w:rtl/>
        </w:rPr>
        <w:t xml:space="preserve">. וכ"כ בסדר גיטין שלנו </w:t>
      </w:r>
      <w:r>
        <w:rPr>
          <w:rFonts w:cs="Arial"/>
          <w:sz w:val="16"/>
          <w:szCs w:val="16"/>
          <w:rtl/>
        </w:rPr>
        <w:t xml:space="preserve">(מהר"י מרגלית סי' נח הגהה יא אות ג וסי' צו הגהה ג) </w:t>
      </w:r>
      <w:r>
        <w:rPr>
          <w:rFonts w:cs="Arial"/>
          <w:rtl/>
        </w:rPr>
        <w:t xml:space="preserve">שיש ליזהר בגט שכיב מרע וכדומה שלא להזכיר שום תנאי עד שעת נתינה, </w:t>
      </w:r>
      <w:r>
        <w:rPr>
          <w:rFonts w:cs="Arial"/>
          <w:b/>
          <w:bCs/>
          <w:rtl/>
        </w:rPr>
        <w:t>דרכ"מ</w:t>
      </w:r>
      <w:r>
        <w:rPr>
          <w:rFonts w:cs="Arial"/>
          <w:rtl/>
        </w:rPr>
        <w:t xml:space="preserve"> </w:t>
      </w:r>
      <w:r>
        <w:rPr>
          <w:rFonts w:cs="Arial"/>
          <w:sz w:val="16"/>
          <w:szCs w:val="16"/>
          <w:rtl/>
        </w:rPr>
        <w:t>(אות א)</w:t>
      </w:r>
      <w:r>
        <w:rPr>
          <w:rFonts w:cs="Arial"/>
          <w:rtl/>
        </w:rPr>
        <w:t>.</w:t>
      </w:r>
    </w:p>
  </w:footnote>
  <w:footnote w:id="2605">
    <w:p w14:paraId="08F10A04" w14:textId="77777777" w:rsidR="00C97BEF" w:rsidRDefault="00C97BEF" w:rsidP="00C97BEF">
      <w:pPr>
        <w:pStyle w:val="a5"/>
      </w:pPr>
      <w:r>
        <w:rPr>
          <w:rStyle w:val="a7"/>
        </w:rPr>
        <w:footnoteRef/>
      </w:r>
      <w:r>
        <w:rPr>
          <w:rtl/>
        </w:rPr>
        <w:t xml:space="preserve"> </w:t>
      </w:r>
      <w:r>
        <w:rPr>
          <w:rFonts w:cs="Arial"/>
          <w:rtl/>
        </w:rPr>
        <w:t xml:space="preserve">דהיינו והרי את מותרת לכל אדם, </w:t>
      </w:r>
      <w:r>
        <w:rPr>
          <w:rFonts w:cs="Arial"/>
          <w:b/>
          <w:bCs/>
          <w:rtl/>
        </w:rPr>
        <w:t>טור</w:t>
      </w:r>
      <w:r>
        <w:rPr>
          <w:rFonts w:cs="Arial"/>
          <w:rtl/>
        </w:rPr>
        <w:t xml:space="preserve">. כ"כ הרא"ש בתשו' שהזכיר רבינו בסמוך. אבל הרשב"א כתב בתשו' (סי' אלף רמה) דלא מיקרי תורף מדאמרינן בפ"ב דגיטין (כ.) גבי ההוא גברא דשקל ספר תורה ויהב לדביתהו והא בעינן שמו ושמה וכו' ולא קאמר והרי את מותרת לכל אדם. ואע"פ שיש לדחות ולומר דחדא מינייהו נקט, דהא לא אמר נמי זמן. ובטופסי גיטין הראשונים לא נמצא והרי את מותרת לכל אדם. ומיהו כתב מכל מקום אף לכשתמצי לומר שצריך יהא מכלל תורפו של גט עכ"ל, </w:t>
      </w:r>
      <w:r>
        <w:rPr>
          <w:rFonts w:cs="Arial"/>
          <w:b/>
          <w:bCs/>
          <w:rtl/>
        </w:rPr>
        <w:t>ב"י</w:t>
      </w:r>
      <w:r>
        <w:rPr>
          <w:rFonts w:cs="Arial"/>
          <w:rtl/>
        </w:rPr>
        <w:t>.</w:t>
      </w:r>
    </w:p>
  </w:footnote>
  <w:footnote w:id="2606">
    <w:p w14:paraId="2219F66D" w14:textId="77777777" w:rsidR="00C97BEF" w:rsidRDefault="00C97BEF" w:rsidP="00C97BEF">
      <w:pPr>
        <w:pStyle w:val="a5"/>
      </w:pPr>
      <w:r>
        <w:rPr>
          <w:rStyle w:val="a7"/>
        </w:rPr>
        <w:footnoteRef/>
      </w:r>
      <w:r>
        <w:rPr>
          <w:rtl/>
        </w:rPr>
        <w:t xml:space="preserve"> </w:t>
      </w:r>
      <w:r>
        <w:rPr>
          <w:rFonts w:cs="Arial"/>
          <w:rtl/>
        </w:rPr>
        <w:t xml:space="preserve">וכתב א"א הרא"ש ז"ל בתשו' </w:t>
      </w:r>
      <w:r>
        <w:rPr>
          <w:rFonts w:cs="Arial"/>
          <w:sz w:val="16"/>
          <w:szCs w:val="16"/>
          <w:rtl/>
        </w:rPr>
        <w:t xml:space="preserve">(כלל מו סי' א) </w:t>
      </w:r>
      <w:r>
        <w:rPr>
          <w:rFonts w:cs="Arial"/>
          <w:rtl/>
        </w:rPr>
        <w:t>פי' זה נאה ומקובל אלא שלא מלאני לבי להקל כי ראיתי שהחמיר בו הרמב"ם</w:t>
      </w:r>
      <w:r>
        <w:rPr>
          <w:rFonts w:cs="Arial"/>
          <w:sz w:val="16"/>
          <w:szCs w:val="16"/>
          <w:rtl/>
        </w:rPr>
        <w:t xml:space="preserve"> (פ"ח ה"ג-ד, הט"ז)</w:t>
      </w:r>
      <w:r>
        <w:rPr>
          <w:rFonts w:cs="Arial"/>
          <w:rtl/>
        </w:rPr>
        <w:t>, טור.</w:t>
      </w:r>
    </w:p>
  </w:footnote>
  <w:footnote w:id="2607">
    <w:p w14:paraId="590F6533" w14:textId="77777777" w:rsidR="00C97BEF" w:rsidRDefault="00C97BEF" w:rsidP="00C97BEF">
      <w:pPr>
        <w:pStyle w:val="a5"/>
      </w:pPr>
      <w:r>
        <w:rPr>
          <w:rStyle w:val="a7"/>
        </w:rPr>
        <w:footnoteRef/>
      </w:r>
      <w:r>
        <w:rPr>
          <w:rtl/>
        </w:rPr>
        <w:t xml:space="preserve"> </w:t>
      </w:r>
      <w:r>
        <w:rPr>
          <w:rFonts w:cs="Arial"/>
          <w:rtl/>
        </w:rPr>
        <w:t>ואפילו לאחר התורף נמי פסל מטעמא דקאמר דאית לבעל זכותא בגויה</w:t>
      </w:r>
      <w:r>
        <w:rPr>
          <w:rtl/>
        </w:rPr>
        <w:t>, ב"י.</w:t>
      </w:r>
    </w:p>
  </w:footnote>
  <w:footnote w:id="2608">
    <w:p w14:paraId="3EAA38CF" w14:textId="77777777" w:rsidR="00C97BEF" w:rsidRDefault="00C97BEF" w:rsidP="00C97BEF">
      <w:pPr>
        <w:pStyle w:val="a5"/>
        <w:rPr>
          <w:rtl/>
        </w:rPr>
      </w:pPr>
      <w:r>
        <w:rPr>
          <w:rStyle w:val="a7"/>
        </w:rPr>
        <w:footnoteRef/>
      </w:r>
      <w:r>
        <w:rPr>
          <w:rtl/>
        </w:rPr>
        <w:t xml:space="preserve"> </w:t>
      </w:r>
      <w:r>
        <w:rPr>
          <w:rFonts w:cs="Arial"/>
          <w:rtl/>
        </w:rPr>
        <w:t>קודם כתיבת התורף דקתני, לא קאי אלא אשאר תנאים. אבל תנאי דחוץ אפילו כתבו אחר כתיבת התורף - נמי פסול ואפילו מחקו אח"כ, וכדתנן ואם כתבו לתוכו אע"פ שחזר ומחקו פסול ואמר רבא לא שנו אלא לאחר התורף וכו', ב"י.</w:t>
      </w:r>
    </w:p>
  </w:footnote>
  <w:footnote w:id="2609">
    <w:p w14:paraId="23522A87" w14:textId="77777777" w:rsidR="00C97BEF" w:rsidRDefault="00C97BEF" w:rsidP="00C97BEF">
      <w:pPr>
        <w:pStyle w:val="a5"/>
      </w:pPr>
      <w:r>
        <w:rPr>
          <w:rStyle w:val="a7"/>
        </w:rPr>
        <w:footnoteRef/>
      </w:r>
      <w:r>
        <w:rPr>
          <w:rtl/>
        </w:rPr>
        <w:t xml:space="preserve"> </w:t>
      </w:r>
      <w:r>
        <w:rPr>
          <w:rFonts w:cs="Arial"/>
          <w:rtl/>
        </w:rPr>
        <w:t>לא אשעת כתיבה קאי, דכל כה"ג כיון שנכתב על תנאי אי אפשר לגרש בו, ואפילו בשאר תנאים וכמבואר בדבריו. והא ודאי דאפילו ביטל התנאי ונתנו לה סתם לא מהני, דכיון דגט זה נכתב שלא לשם כריתות שוב אי אפשר לגרש בו. אלא אשעת נתינה קאי, כלומר שנכתב הגט סתם, ובשעת נתינה נתנו לה בתנאי המבטל הגט, כגון חוץ מפלוני או שלא תשתה יין כל ימי חייה, ובכי הא קאמר הרי זה נוטל הגט ממנה וחוזר ונותנו לה וכו' וכדתנן (פב.) המגרש את אשתו ואמר לה הרי את מותרת לכל אדם אלא לאיש פלוני וכו' כיצד יעשה יטלנו ממנה ויחזור ויתננו לה וכו'. ופירוש זה מוכרח בדברי הרמב"ם, וכן כתב הרב המגיד. ודע שתנאים המבטלים הגט הם שלא תשתה יין כל ימי חייה וכיוצא בזה כמו שנתבארו בסימן קמ"ג (סג:), ב"י.</w:t>
      </w:r>
    </w:p>
  </w:footnote>
  <w:footnote w:id="2610">
    <w:p w14:paraId="223641E7" w14:textId="77777777" w:rsidR="00C97BEF" w:rsidRDefault="00C97BEF" w:rsidP="00C97BEF">
      <w:pPr>
        <w:pStyle w:val="a5"/>
      </w:pPr>
      <w:r>
        <w:rPr>
          <w:rStyle w:val="a7"/>
        </w:rPr>
        <w:footnoteRef/>
      </w:r>
      <w:r>
        <w:rPr>
          <w:rtl/>
        </w:rPr>
        <w:t xml:space="preserve"> </w:t>
      </w:r>
      <w:r>
        <w:rPr>
          <w:rFonts w:cs="Arial"/>
          <w:rtl/>
        </w:rPr>
        <w:t>כתוב במרדכי פרק מי שאחזו בתשובה המתחלת ידגה לרוב על פני הארץ מורי ה"ר פרץ (סי' תל) דבמעכשיו אם לא באתי מכאן ועד שנים עשר חודש לא שייך לפרש כן, ב"י.</w:t>
      </w:r>
    </w:p>
  </w:footnote>
  <w:footnote w:id="2611">
    <w:p w14:paraId="168B11FD" w14:textId="77777777" w:rsidR="00C97BEF" w:rsidRDefault="00C97BEF" w:rsidP="00C97BEF">
      <w:pPr>
        <w:pStyle w:val="a5"/>
      </w:pPr>
      <w:r>
        <w:rPr>
          <w:rStyle w:val="a7"/>
        </w:rPr>
        <w:footnoteRef/>
      </w:r>
      <w:r>
        <w:rPr>
          <w:rtl/>
        </w:rPr>
        <w:t xml:space="preserve"> </w:t>
      </w:r>
      <w:r>
        <w:rPr>
          <w:rFonts w:cs="Arial"/>
          <w:rtl/>
        </w:rPr>
        <w:t>ואם תאמר מאחר שבתחלת התשובה כתב שלא מלאו לבו לחלוק על הרמב"ם בענין נכתב התנאי בתוך הגט, היאך מלאו לבו לחלוק על הרי"ף והרמב"ם והראב"ד (ריש סי' קמג) במה שאמרו דתנאי מעכשיו לא בעי כפילה. י"ל דשאני הכא דכל חכמי אשכנז וצרפת עושים מעשה להצריך תנאי כפול אפילו בתנאי דמעכשיו, וכמו שכתב בהדיא בתשובה. ועוד שלא על טענה זו בלבד סמך, שדעתו לומר שאין זה תנאי אלא קביעות זמן מתי יחול הגט, ומשום חשש שמא יחלוק שום אדם ויאמר דהוי תנאי בא עליו מצד אחר בטענה שלא נכפל, וכל כה"ג אפילו שיהיה נגד גדולי הפוסקים שפיר דמי לאסתיועי מסברת החולקים עליהם. ואע"פ שמה שפירש דאומר מעכשיו הוי כאומר מעת שאני בעולם לא קיי"ל הכי לדעת הרי"ף והרמב"ם וכמ"ש בסימן קמ"ח דלא אמרינן הכי אלא לרבי יהודה ורבי יוסי אבל לחכמים דסברי דהוי מגורשת לכל דבר אתיא מתניתין כפשטה דמשעת נתינת הגט היא מגורשת ובלבד שימות והלכה כחכמים, מכל מקום כיון שגם בטענה זו מסייעי ליה ר"י ור"ת וגם גירסת הספרים, ועוד שהוא מכריע מן הגמרא שהיא הגירסא הנכונה, לא נמנע מלסמוך עליהם נגד הרי"ף והרמב"ם ז"ל, ב"י.</w:t>
      </w:r>
    </w:p>
  </w:footnote>
  <w:footnote w:id="2612">
    <w:p w14:paraId="703DCCEE" w14:textId="77777777" w:rsidR="00C97BEF" w:rsidRDefault="00C97BEF" w:rsidP="00C97BEF">
      <w:pPr>
        <w:pStyle w:val="a5"/>
      </w:pPr>
      <w:r>
        <w:rPr>
          <w:rStyle w:val="a7"/>
        </w:rPr>
        <w:footnoteRef/>
      </w:r>
      <w:r>
        <w:rPr>
          <w:rtl/>
        </w:rPr>
        <w:t xml:space="preserve"> </w:t>
      </w:r>
      <w:r>
        <w:rPr>
          <w:rFonts w:cs="Arial"/>
          <w:rtl/>
        </w:rPr>
        <w:t>היינו תנאי ע"מ כשר אבל תנאי המבטל הגט כגון חוץ או תנאי שלא תשת' יין כל ימי חייה פסול ותנאי ע"מ דכשר היינו כשנתקיים התנאי או חזר ומחקו מיהו מחק קי"ל דפסול כמ"ש בסי' קכ"ה, ב"ש (סק"ב).</w:t>
      </w:r>
    </w:p>
  </w:footnote>
  <w:footnote w:id="2613">
    <w:p w14:paraId="0DEBC53E" w14:textId="77777777" w:rsidR="00C97BEF" w:rsidRDefault="00C97BEF" w:rsidP="00C97BEF">
      <w:pPr>
        <w:pStyle w:val="a5"/>
      </w:pPr>
      <w:r>
        <w:rPr>
          <w:rStyle w:val="a7"/>
        </w:rPr>
        <w:footnoteRef/>
      </w:r>
      <w:r>
        <w:rPr>
          <w:rtl/>
        </w:rPr>
        <w:t xml:space="preserve"> </w:t>
      </w:r>
      <w:r>
        <w:rPr>
          <w:rFonts w:cs="Arial"/>
          <w:rtl/>
        </w:rPr>
        <w:t>שמא ישהה את הגט שנתים ושלש בין כתיבה לנתינה ויהיו לה בנים ממנו בתוך הזמן, ואח"כ יגרשנה בו, ולימים כשישתכח הדבר יראו זמן הגט קודם ללידת הבן ויהו סבורין שניתן לה משעת כתיבה ויאמרו מן הפנויה נולד משגרשה והוי פגם, רש"י.</w:t>
      </w:r>
    </w:p>
  </w:footnote>
  <w:footnote w:id="2614">
    <w:p w14:paraId="28FA9BE3" w14:textId="77777777" w:rsidR="00C97BEF" w:rsidRDefault="00C97BEF" w:rsidP="00C97BEF">
      <w:pPr>
        <w:pStyle w:val="a5"/>
      </w:pPr>
      <w:r>
        <w:rPr>
          <w:rStyle w:val="a7"/>
        </w:rPr>
        <w:footnoteRef/>
      </w:r>
      <w:r>
        <w:rPr>
          <w:rtl/>
        </w:rPr>
        <w:t xml:space="preserve"> </w:t>
      </w:r>
      <w:r>
        <w:rPr>
          <w:rFonts w:cs="Arial"/>
          <w:rtl/>
        </w:rPr>
        <w:t>בגט ישן והלך בעלה למדה"י תינשא לכתחלה</w:t>
      </w:r>
      <w:r>
        <w:rPr>
          <w:rtl/>
        </w:rPr>
        <w:t>, רש"י.</w:t>
      </w:r>
    </w:p>
  </w:footnote>
  <w:footnote w:id="2615">
    <w:p w14:paraId="313B2E6E" w14:textId="77777777" w:rsidR="00C97BEF" w:rsidRDefault="00C97BEF" w:rsidP="00C97BEF">
      <w:pPr>
        <w:pStyle w:val="a5"/>
        <w:rPr>
          <w:rtl/>
        </w:rPr>
      </w:pPr>
      <w:r>
        <w:rPr>
          <w:rStyle w:val="a7"/>
        </w:rPr>
        <w:footnoteRef/>
      </w:r>
      <w:r>
        <w:rPr>
          <w:rtl/>
        </w:rPr>
        <w:t xml:space="preserve"> </w:t>
      </w:r>
      <w:r>
        <w:rPr>
          <w:rFonts w:cs="Arial"/>
          <w:rtl/>
        </w:rPr>
        <w:t xml:space="preserve">כלומר שכתב בסי' קמ"א </w:t>
      </w:r>
      <w:r>
        <w:rPr>
          <w:rFonts w:cs="Arial"/>
          <w:sz w:val="16"/>
          <w:szCs w:val="16"/>
          <w:rtl/>
        </w:rPr>
        <w:t xml:space="preserve">(סע' נז) </w:t>
      </w:r>
      <w:r>
        <w:rPr>
          <w:rFonts w:cs="Arial"/>
          <w:rtl/>
        </w:rPr>
        <w:t xml:space="preserve">בעל שכתב גט לאשתו ואח"כ נתייחדה עמו וכו' היינו כשהגט ביד הבעל וכו' אבל אם שלח לה ע"י שליח ונתייחד עמה אחר שנתנו ליד השליח ונתנו לה השליח לא תנשא בו ואם נישאת לא תצא. והוא דעת הרמ"ה </w:t>
      </w:r>
      <w:r>
        <w:rPr>
          <w:rFonts w:cs="Arial"/>
          <w:sz w:val="16"/>
          <w:szCs w:val="16"/>
          <w:rtl/>
        </w:rPr>
        <w:t>(שיטות קדמונים גיטין עט:)</w:t>
      </w:r>
      <w:r>
        <w:rPr>
          <w:rFonts w:cs="Arial"/>
          <w:rtl/>
        </w:rPr>
        <w:t xml:space="preserve">, כתבו הרא"ש בהזורק </w:t>
      </w:r>
      <w:r>
        <w:rPr>
          <w:rFonts w:cs="Arial"/>
          <w:sz w:val="16"/>
          <w:szCs w:val="16"/>
          <w:rtl/>
        </w:rPr>
        <w:t>(סי' ח)</w:t>
      </w:r>
      <w:r>
        <w:rPr>
          <w:rFonts w:cs="Arial"/>
          <w:rtl/>
        </w:rPr>
        <w:t>, וטעמו משום דכשנתנו לה הבעל אחר היחוד י"ל דאם איתא דבא עליה הוה חייש לפגמא דבריה וכתיב לה גיטא אחרינא, ומשום הכי תנשא לכתחלה. אבל היכא דיצא הגט מתחת ידו קודם יחוד, ונתנו לה השליח לאחר יחוד - לא תנשא לכתחלה, דאי הוה מימליך ביה שליח היה מצוה לכתוב גט אחר. והביא ראיה לדבריו מהגמרא, ב"י.</w:t>
      </w:r>
    </w:p>
  </w:footnote>
  <w:footnote w:id="2616">
    <w:p w14:paraId="4670F911" w14:textId="77777777" w:rsidR="00C97BEF" w:rsidRDefault="00C97BEF" w:rsidP="00C97BEF">
      <w:pPr>
        <w:pStyle w:val="a5"/>
      </w:pPr>
      <w:r>
        <w:rPr>
          <w:rStyle w:val="a7"/>
        </w:rPr>
        <w:footnoteRef/>
      </w:r>
      <w:r>
        <w:rPr>
          <w:rtl/>
        </w:rPr>
        <w:t xml:space="preserve"> </w:t>
      </w:r>
      <w:r>
        <w:rPr>
          <w:rFonts w:cs="Arial"/>
          <w:rtl/>
        </w:rPr>
        <w:t>הוא הדין אם הלך הבעל למדינת הים תנשא, כמ"ש בהג"מ. ובד"מ סי' קמ"ט הביא דבריו וע"ש, ב"ש (סק"ב).</w:t>
      </w:r>
    </w:p>
  </w:footnote>
  <w:footnote w:id="2617">
    <w:p w14:paraId="770FE979" w14:textId="77777777" w:rsidR="00C97BEF" w:rsidRDefault="00C97BEF" w:rsidP="00C97BEF">
      <w:pPr>
        <w:pStyle w:val="a5"/>
      </w:pPr>
      <w:r>
        <w:rPr>
          <w:rStyle w:val="a7"/>
        </w:rPr>
        <w:footnoteRef/>
      </w:r>
      <w:r>
        <w:rPr>
          <w:rtl/>
        </w:rPr>
        <w:t xml:space="preserve"> </w:t>
      </w:r>
      <w:r>
        <w:rPr>
          <w:rFonts w:hint="cs"/>
          <w:rtl/>
        </w:rPr>
        <w:t xml:space="preserve">לעיל </w:t>
      </w:r>
      <w:r>
        <w:rPr>
          <w:sz w:val="16"/>
          <w:szCs w:val="16"/>
          <w:rtl/>
        </w:rPr>
        <w:t>(עב.)</w:t>
      </w:r>
      <w:r>
        <w:rPr>
          <w:rtl/>
        </w:rPr>
        <w:t xml:space="preserve"> תנן: </w:t>
      </w:r>
      <w:r>
        <w:rPr>
          <w:rFonts w:cs="Arial"/>
          <w:rtl/>
        </w:rPr>
        <w:t xml:space="preserve">זה גיטיך... מהיום אם מתי, מעכשיו אם מתי - ה"ז גט. עד כאן. ועל זה ממשיכה כאן המשנה-...  </w:t>
      </w:r>
    </w:p>
  </w:footnote>
  <w:footnote w:id="2618">
    <w:p w14:paraId="387CC12A" w14:textId="77777777" w:rsidR="00C97BEF" w:rsidRDefault="00C97BEF" w:rsidP="00C97BEF">
      <w:pPr>
        <w:pStyle w:val="a5"/>
        <w:rPr>
          <w:rtl/>
        </w:rPr>
      </w:pPr>
      <w:r>
        <w:rPr>
          <w:rStyle w:val="a7"/>
        </w:rPr>
        <w:footnoteRef/>
      </w:r>
      <w:r>
        <w:rPr>
          <w:rtl/>
        </w:rPr>
        <w:t xml:space="preserve"> </w:t>
      </w:r>
      <w:r>
        <w:rPr>
          <w:rFonts w:cs="Arial"/>
          <w:rtl/>
        </w:rPr>
        <w:t>זה שנתן גט ואמר לה מהיום אם מתי - לא תתייחד עמו שמא יבא עליה, דאיכא למ"ד חיישינן שמא בעל לשם קדושין וצריכה גט שני, ולמאן דלא חייש נמי מ"מ פנויה היא ואסור להתייחד עם הפנויה, רש"י.</w:t>
      </w:r>
    </w:p>
  </w:footnote>
  <w:footnote w:id="2619">
    <w:p w14:paraId="250B4BFD" w14:textId="77777777" w:rsidR="00C97BEF" w:rsidRDefault="00C97BEF" w:rsidP="00C97BEF">
      <w:pPr>
        <w:pStyle w:val="a5"/>
      </w:pPr>
      <w:r>
        <w:rPr>
          <w:rStyle w:val="a7"/>
        </w:rPr>
        <w:footnoteRef/>
      </w:r>
      <w:r>
        <w:rPr>
          <w:rtl/>
        </w:rPr>
        <w:t xml:space="preserve"> </w:t>
      </w:r>
      <w:r>
        <w:rPr>
          <w:rFonts w:cs="Arial"/>
          <w:rtl/>
        </w:rPr>
        <w:t>על כרחך בפני עדים לאו דוקא דבעד אחד סגי וכדקתני סיפא ואפילו עבד ואפילו שפחה ומאי עדים עדים דעלמא, ב"י.</w:t>
      </w:r>
    </w:p>
  </w:footnote>
  <w:footnote w:id="2620">
    <w:p w14:paraId="3D6EF9AF" w14:textId="77777777" w:rsidR="00C97BEF" w:rsidRDefault="00C97BEF" w:rsidP="00C97BEF">
      <w:pPr>
        <w:pStyle w:val="a5"/>
      </w:pPr>
      <w:r>
        <w:rPr>
          <w:rStyle w:val="a7"/>
        </w:rPr>
        <w:footnoteRef/>
      </w:r>
      <w:r>
        <w:rPr>
          <w:rtl/>
        </w:rPr>
        <w:t xml:space="preserve"> </w:t>
      </w:r>
      <w:r>
        <w:rPr>
          <w:rFonts w:cs="Arial"/>
          <w:rtl/>
        </w:rPr>
        <w:t>והבא עליה במזיד - בחנק, ובשוגג - בחטאת, ואע"ג דמת מאותו חולי, לפי שלא גירשה אלא סמוך למיתה. ובגמ' מוקי לה באומר לה במסירת הגט 'הרי זה גיטך והתגרשי בו מעת שאני בעולם אם מתי'. הלכך רבי יהודה סבר סמוך למיתה הוא דהוי גט, ומקמי הכי אשת איש היא. ורבי יוסי סבר מכי יהב לה גיטא כל שעתא מספקא לן במעת שאני בעולם, הלכך ספיקא היא, והבא עליה באשם תלוי, רש"י.</w:t>
      </w:r>
    </w:p>
  </w:footnote>
  <w:footnote w:id="2621">
    <w:p w14:paraId="656D8111" w14:textId="77777777" w:rsidR="00C97BEF" w:rsidRDefault="00C97BEF" w:rsidP="00C97BEF">
      <w:pPr>
        <w:pStyle w:val="a5"/>
      </w:pPr>
      <w:r>
        <w:rPr>
          <w:rStyle w:val="a7"/>
        </w:rPr>
        <w:footnoteRef/>
      </w:r>
      <w:r>
        <w:rPr>
          <w:rtl/>
        </w:rPr>
        <w:t xml:space="preserve"> </w:t>
      </w:r>
      <w:r>
        <w:rPr>
          <w:rFonts w:cs="Arial"/>
          <w:rtl/>
        </w:rPr>
        <w:t>אבל אי לא מת איגלאי מלתא דלאו גיטא הוא וחייב חטאת, רש"י.</w:t>
      </w:r>
    </w:p>
  </w:footnote>
  <w:footnote w:id="2622">
    <w:p w14:paraId="34FD68DB" w14:textId="77777777" w:rsidR="00C97BEF" w:rsidRDefault="00C97BEF" w:rsidP="00C97BEF">
      <w:pPr>
        <w:pStyle w:val="a5"/>
      </w:pPr>
      <w:r>
        <w:rPr>
          <w:rStyle w:val="a7"/>
        </w:rPr>
        <w:footnoteRef/>
      </w:r>
      <w:r>
        <w:rPr>
          <w:rtl/>
        </w:rPr>
        <w:t xml:space="preserve"> </w:t>
      </w:r>
      <w:r>
        <w:rPr>
          <w:rFonts w:cs="Arial"/>
          <w:rtl/>
        </w:rPr>
        <w:t>בין לר' יוסי דמשוי לה אשת איש ספק, בין לרבי יהודה דמשוי לה אשת איש ודאי, ולכי מיית היכי הוי גיטא? הא לדידהו לא הוי גט למפרע משעת מסירה, אם כן לא הוי גט עד לאחר מיתה</w:t>
      </w:r>
      <w:r>
        <w:rPr>
          <w:rtl/>
        </w:rPr>
        <w:t>, רש"י.</w:t>
      </w:r>
    </w:p>
  </w:footnote>
  <w:footnote w:id="2623">
    <w:p w14:paraId="78AC60D0" w14:textId="00ED91BA" w:rsidR="00C97BEF" w:rsidRDefault="00C97BEF" w:rsidP="00C97BEF">
      <w:pPr>
        <w:pStyle w:val="a5"/>
        <w:rPr>
          <w:rtl/>
        </w:rPr>
      </w:pPr>
      <w:r>
        <w:rPr>
          <w:rStyle w:val="a7"/>
        </w:rPr>
        <w:footnoteRef/>
      </w:r>
      <w:r>
        <w:rPr>
          <w:rtl/>
        </w:rPr>
        <w:t xml:space="preserve"> </w:t>
      </w:r>
      <w:r>
        <w:rPr>
          <w:rFonts w:cs="Arial"/>
          <w:rtl/>
        </w:rPr>
        <w:t>מתני' לאו באומר מהיום אם מתי, דההיא ודאי לכי מיית איגלאי מילתא דהוי גט משעת נתינה והבא עליה פטור. אלא באומר מעת שאני בעולם להוי גט, הלכך לרבי יהודה סמוך למיתה חייל גיטא ומעיקרא אשת איש היא, ורבי יוסי סבר משעת נתינה מספקא לן דלמא זו היא שעה הסמוכה למיתה והוי גט ספק, ואע"ג דחיי טפי אין ברירה</w:t>
      </w:r>
      <w:r>
        <w:rPr>
          <w:rtl/>
        </w:rPr>
        <w:t xml:space="preserve">, </w:t>
      </w:r>
      <w:r>
        <w:rPr>
          <w:b/>
          <w:bCs/>
          <w:rtl/>
        </w:rPr>
        <w:t>רש"י</w:t>
      </w:r>
      <w:r>
        <w:rPr>
          <w:rtl/>
        </w:rPr>
        <w:t>.</w:t>
      </w:r>
      <w:r>
        <w:rPr>
          <w:rFonts w:cs="Arial"/>
          <w:rtl/>
        </w:rPr>
        <w:t xml:space="preserve"> </w:t>
      </w:r>
      <w:r w:rsidR="007E03DA">
        <w:rPr>
          <w:rFonts w:cs="Arial" w:hint="cs"/>
          <w:rtl/>
        </w:rPr>
        <w:t xml:space="preserve">     </w:t>
      </w:r>
      <w:r>
        <w:rPr>
          <w:rFonts w:cs="Arial"/>
          <w:rtl/>
        </w:rPr>
        <w:t>והתוספות (ד"ה אמר) הקשו על זה דלישנא ד-'מה היא באותן הימים' משמע דקאי אמאי דאיירי לעיל, ולא לדבר שלא הוזכר כלל. ועוד דבתוספתא (פ"ה ה"ד) משמע דקאי אמהיום אם מתי. לפיכך כתבו דנראה כמו שכתוב בפירוש רבינו חננאל</w:t>
      </w:r>
      <w:r w:rsidR="007E03DA">
        <w:rPr>
          <w:rFonts w:cs="Arial" w:hint="cs"/>
          <w:rtl/>
        </w:rPr>
        <w:t>:</w:t>
      </w:r>
      <w:r>
        <w:rPr>
          <w:rFonts w:cs="Arial"/>
          <w:rtl/>
        </w:rPr>
        <w:t xml:space="preserve"> נעשה כאומר מעת שאני בעולם, כלומר מהיום דקאמר היינו מחיים, שדעתו לאחר הגט כל מה שיוכל רק שיחול מחיים שעה אחת סמוך למיתתו. הילכך סבר רבי יהודה שהיא כאשת איש לכל דבריה, שהרי הגט אינו חל אלא סמוך למיתתו, ורבי יוסי מספקא ליה אי מהיום ממש קאמר והרי היא כפנויה, או מעת שאני בעולם והויא אשת איש עד שעה אחת סמוך למיתתו הילכך הויא לה מגורשת ואינה מגורשת. והרשב"א (עג: ד"ה ולכי מאית) והרא"ש (סוס"י ד) הסכימו לדברי התוספות דמה היא באותן הימים וכו' קאי אמאי דתנן לעיל מהיום אם מתי וכו'. וכתב הרא"ש בתשובה (כלל מו סי' א) שכן כתב הרי"ף בהלכותיו (לה. עיין שם), </w:t>
      </w:r>
      <w:r>
        <w:rPr>
          <w:rFonts w:cs="Arial"/>
          <w:b/>
          <w:bCs/>
          <w:rtl/>
        </w:rPr>
        <w:t>ב"י</w:t>
      </w:r>
      <w:r>
        <w:rPr>
          <w:rFonts w:cs="Arial"/>
          <w:rtl/>
        </w:rPr>
        <w:t>.</w:t>
      </w:r>
    </w:p>
  </w:footnote>
  <w:footnote w:id="2624">
    <w:p w14:paraId="080B01CE" w14:textId="77777777" w:rsidR="00C97BEF" w:rsidRDefault="00C97BEF" w:rsidP="00C97BEF">
      <w:pPr>
        <w:pStyle w:val="a5"/>
        <w:rPr>
          <w:rtl/>
        </w:rPr>
      </w:pPr>
      <w:r>
        <w:rPr>
          <w:rStyle w:val="a7"/>
        </w:rPr>
        <w:footnoteRef/>
      </w:r>
      <w:r>
        <w:rPr>
          <w:rtl/>
        </w:rPr>
        <w:t xml:space="preserve"> </w:t>
      </w:r>
      <w:r>
        <w:rPr>
          <w:rFonts w:cs="Arial"/>
          <w:rtl/>
        </w:rPr>
        <w:t>בין נתינה למיתה, רש"י.</w:t>
      </w:r>
    </w:p>
  </w:footnote>
  <w:footnote w:id="2625">
    <w:p w14:paraId="2950E13A" w14:textId="77777777" w:rsidR="00C97BEF" w:rsidRDefault="00C97BEF" w:rsidP="00C97BEF">
      <w:pPr>
        <w:pStyle w:val="a5"/>
      </w:pPr>
      <w:r>
        <w:rPr>
          <w:rStyle w:val="a7"/>
        </w:rPr>
        <w:footnoteRef/>
      </w:r>
      <w:r>
        <w:rPr>
          <w:rtl/>
        </w:rPr>
        <w:t xml:space="preserve"> </w:t>
      </w:r>
      <w:r>
        <w:rPr>
          <w:rFonts w:cs="Arial"/>
          <w:rtl/>
        </w:rPr>
        <w:t>אי כהן הוא, רש"י.</w:t>
      </w:r>
    </w:p>
  </w:footnote>
  <w:footnote w:id="2626">
    <w:p w14:paraId="1EDD3A0D" w14:textId="77777777" w:rsidR="00C97BEF" w:rsidRDefault="00C97BEF" w:rsidP="00C97BEF">
      <w:pPr>
        <w:pStyle w:val="a5"/>
      </w:pPr>
      <w:r>
        <w:rPr>
          <w:rStyle w:val="a7"/>
        </w:rPr>
        <w:footnoteRef/>
      </w:r>
      <w:r>
        <w:rPr>
          <w:rtl/>
        </w:rPr>
        <w:t xml:space="preserve"> </w:t>
      </w:r>
      <w:r>
        <w:rPr>
          <w:rFonts w:cs="Arial"/>
          <w:rtl/>
        </w:rPr>
        <w:t>אם מת, דסמוך למיתה הוי גט, רש"י.</w:t>
      </w:r>
    </w:p>
  </w:footnote>
  <w:footnote w:id="2627">
    <w:p w14:paraId="2808BF3E" w14:textId="77777777" w:rsidR="00C97BEF" w:rsidRDefault="00C97BEF" w:rsidP="00C97BEF">
      <w:pPr>
        <w:pStyle w:val="a5"/>
      </w:pPr>
      <w:r>
        <w:rPr>
          <w:rStyle w:val="a7"/>
        </w:rPr>
        <w:footnoteRef/>
      </w:r>
      <w:r>
        <w:rPr>
          <w:rtl/>
        </w:rPr>
        <w:t xml:space="preserve"> </w:t>
      </w:r>
      <w:r>
        <w:rPr>
          <w:rFonts w:cs="Arial"/>
          <w:rtl/>
        </w:rPr>
        <w:t>כך היא גירסת ספרים שלנו, והיא גירסת הרא"ש... אבל הרי"ף (לה. עיין שם) גורס 'וחכמים אומרים מגורשת לכל דבר ובלבד שימות', ב"י. ויתבאר לקמן שהנפקא מינה היא מה האיסור להתייחד.</w:t>
      </w:r>
    </w:p>
  </w:footnote>
  <w:footnote w:id="2628">
    <w:p w14:paraId="729D820A" w14:textId="5DA59E83" w:rsidR="00C97BEF" w:rsidRDefault="00C97BEF" w:rsidP="00C97BEF">
      <w:pPr>
        <w:pStyle w:val="a5"/>
      </w:pPr>
      <w:r>
        <w:rPr>
          <w:rStyle w:val="a7"/>
        </w:rPr>
        <w:footnoteRef/>
      </w:r>
      <w:r>
        <w:rPr>
          <w:rtl/>
        </w:rPr>
        <w:t xml:space="preserve"> </w:t>
      </w:r>
      <w:r>
        <w:rPr>
          <w:rFonts w:cs="Arial"/>
          <w:rtl/>
        </w:rPr>
        <w:t xml:space="preserve">כלומר איכא בינייהו מזוני וכדר' זירא, ולא דפליגי בדר' זירא, דתרוייהו אית להו דרבי זירא, ומשום הכי לא קרי לה רבי יוסי מגורשת ואינה מגורשת, דקסבר לית לה מזוני. ואע"ג דר' יוסי דמתני' תנא מגורשת ואינה מגורשת, תרי תנאי ואליבא דרבי יוסי, והיינו חכמים דברייתא, </w:t>
      </w:r>
      <w:r>
        <w:rPr>
          <w:rFonts w:cs="Arial"/>
          <w:b/>
          <w:bCs/>
          <w:rtl/>
        </w:rPr>
        <w:t>רש"י</w:t>
      </w:r>
      <w:r>
        <w:rPr>
          <w:rFonts w:cs="Arial"/>
          <w:rtl/>
        </w:rPr>
        <w:t xml:space="preserve">. </w:t>
      </w:r>
      <w:r w:rsidR="00BD0FAD">
        <w:rPr>
          <w:rFonts w:cs="Arial" w:hint="cs"/>
          <w:rtl/>
        </w:rPr>
        <w:t xml:space="preserve">     </w:t>
      </w:r>
      <w:r>
        <w:rPr>
          <w:rFonts w:cs="Arial"/>
          <w:rtl/>
        </w:rPr>
        <w:t>והרא"ש (סוס"י ד) פירש דלרבנן אית לה מזוני ולרבי יוסי לית לה, ולפי זה הלכה כחכמים, והיינו רבי יוסי דמתניתין. ועל פי זה כתב הרא"ש בתשובה (שם) דלרבי יוסי היחוד אסור מתרי טעמי, אם חל הגט משעת נתינה אסור משום חשש קידושין, ואם אינו עד שעת מיתה אסור משום גט ישן. ודברי רבינו הם כדברי הרא"ש</w:t>
      </w:r>
      <w:r>
        <w:rPr>
          <w:rtl/>
        </w:rPr>
        <w:t>.</w:t>
      </w:r>
      <w:r>
        <w:rPr>
          <w:rFonts w:cs="Arial"/>
          <w:rtl/>
        </w:rPr>
        <w:t xml:space="preserve"> אבל הרי"ף (לה. עיין שם) גורס 'וחכמים אומרים מגורשת לכל דבר ובלבד שימות'. והלכה כחכמים. ולפי זה מאחר שמשעת קבלת הגט היא מגורשת אם ימות, טעמא דלא תתייחד עמו הוא משום דבעל לשם קידושין וצריכה גט שני. וכן פירש רש"י (עג. במתני'). וכן כתב הרמב"ם בפ"ט (הי"ט). וכתב עוד רש"י ולמאן דלא חייש שמא בעל (שם עג:) מכל מקום פנויה היא, ואסור להתייחד עם הפנויה (ע"ז לו:). וכתב הה"מ בפ"ח (ה"ב) דממה שכתב פנויה היא משמע שאפילו אין שם עדי יחוד אסור להתייחד עמה, ושזה דעת הרמב"ם</w:t>
      </w:r>
      <w:r>
        <w:rPr>
          <w:rtl/>
        </w:rPr>
        <w:t xml:space="preserve">, </w:t>
      </w:r>
      <w:r>
        <w:rPr>
          <w:b/>
          <w:bCs/>
          <w:rtl/>
        </w:rPr>
        <w:t>ב"י</w:t>
      </w:r>
      <w:r>
        <w:rPr>
          <w:rtl/>
        </w:rPr>
        <w:t>.</w:t>
      </w:r>
    </w:p>
  </w:footnote>
  <w:footnote w:id="2629">
    <w:p w14:paraId="1F92B5A4" w14:textId="1314D9A9" w:rsidR="00C97BEF" w:rsidRDefault="00C97BEF" w:rsidP="00C97BEF">
      <w:pPr>
        <w:pStyle w:val="a5"/>
      </w:pPr>
      <w:r>
        <w:rPr>
          <w:rStyle w:val="a7"/>
        </w:rPr>
        <w:footnoteRef/>
      </w:r>
      <w:r>
        <w:rPr>
          <w:rtl/>
        </w:rPr>
        <w:t xml:space="preserve"> </w:t>
      </w:r>
      <w:r>
        <w:rPr>
          <w:rFonts w:cs="Arial"/>
          <w:rtl/>
        </w:rPr>
        <w:t xml:space="preserve">כך מצאתי הגירסא בספרים ודחוק הוא דאין זה לפיכך ולא נתינת טעם לומר עליו דקיי"ל דהא אף אם קיי"ל כמאן דפליג ארבי יוסי אפילו הכי אסור להתייחד עמה ממה נפשך אלא נראה לגרוס וקיימא לן. ומילתא באפי נפשיה היא כצ"ל, </w:t>
      </w:r>
      <w:r w:rsidRPr="00B80477">
        <w:rPr>
          <w:rFonts w:cs="Arial"/>
          <w:b/>
          <w:bCs/>
          <w:rtl/>
        </w:rPr>
        <w:t>דרכ"מ</w:t>
      </w:r>
      <w:r>
        <w:rPr>
          <w:rFonts w:cs="Arial"/>
          <w:rtl/>
        </w:rPr>
        <w:t xml:space="preserve"> (אות ב). </w:t>
      </w:r>
      <w:r w:rsidR="00B80477">
        <w:rPr>
          <w:rFonts w:cs="Arial" w:hint="cs"/>
          <w:rtl/>
        </w:rPr>
        <w:t>ונראה לי להציע ד</w:t>
      </w:r>
      <w:r>
        <w:rPr>
          <w:rFonts w:cs="Arial"/>
          <w:rtl/>
        </w:rPr>
        <w:t xml:space="preserve">אפשר לקיים את הגירסא המקורית ולומר שהטור בתחילה סתם ואח"כ פירש. שהרי מזה שהלכה כר' יוסי שהיא ספק מקודשת והבא עליה בעילתו תלויה יוצא גם שאסור להתייחד עמה משני הטעמים שמפרש בהמשך דבריו. </w:t>
      </w:r>
    </w:p>
  </w:footnote>
  <w:footnote w:id="2630">
    <w:p w14:paraId="5A4F1FBB" w14:textId="4E8CA0B1" w:rsidR="00C97BEF" w:rsidRDefault="00C97BEF" w:rsidP="00C97BEF">
      <w:pPr>
        <w:pStyle w:val="a5"/>
        <w:rPr>
          <w:rtl/>
        </w:rPr>
      </w:pPr>
      <w:r>
        <w:rPr>
          <w:rStyle w:val="a7"/>
        </w:rPr>
        <w:footnoteRef/>
      </w:r>
      <w:r>
        <w:rPr>
          <w:rtl/>
        </w:rPr>
        <w:t xml:space="preserve"> </w:t>
      </w:r>
      <w:r>
        <w:rPr>
          <w:rFonts w:cs="Arial"/>
          <w:rtl/>
        </w:rPr>
        <w:t xml:space="preserve">ונראה שגם היא צריכה לראות את העדים, שאל"כ אמרינן דמשום דידעה דקידושין בלא עדים לאו כלום נינהו נתייחדה עמו לשם זנות. </w:t>
      </w:r>
      <w:r w:rsidR="00B80477">
        <w:rPr>
          <w:rFonts w:cs="Arial" w:hint="cs"/>
          <w:sz w:val="16"/>
          <w:szCs w:val="16"/>
          <w:rtl/>
        </w:rPr>
        <w:t>(</w:t>
      </w:r>
      <w:r>
        <w:rPr>
          <w:rFonts w:cs="Arial"/>
          <w:sz w:val="16"/>
          <w:szCs w:val="16"/>
          <w:rtl/>
        </w:rPr>
        <w:t>וכן מצאתי בתשובת הרשב"א ז"ל (סימן אלף רמ"ג) נראה לי שאפילו היו כמה עדים מבחוץ כל שלא ידעו הם שיש עדים, וכגון שנתייחדו ואח"כ באו עדים - אין חוששין להם, שאדם יודע שאין קידושין בלא עדים ואפילו שניהם מודים. ונראה לי עוד שאם ראו הוא והיא את העדים בשעה שנתייחדו אע"פ שלא ראום אח"כ בשעת בעילה - חיישינן לקידושין, דאשעת יחוד הוא דאמרינן דחיישינן, וכדאמר בסוף פרק הזורק (שם:) בשלא ראוה שנבעלה מחלוקת אי אמרינן הן הן עדי יחוד הן הן עדי ביאה, כלומר ולבית הלל הן הן עדי יחוד הן הן עדי ביאה וכיון שראום שנתייחדו הוו להו עדי יחוד וסגי בהכי)</w:t>
      </w:r>
      <w:r>
        <w:rPr>
          <w:rFonts w:cs="Arial"/>
          <w:rtl/>
        </w:rPr>
        <w:t>, ב"י.</w:t>
      </w:r>
    </w:p>
  </w:footnote>
  <w:footnote w:id="2631">
    <w:p w14:paraId="288129E4" w14:textId="77777777" w:rsidR="00C97BEF" w:rsidRDefault="00C97BEF" w:rsidP="00C97BEF">
      <w:pPr>
        <w:pStyle w:val="a5"/>
        <w:rPr>
          <w:rtl/>
        </w:rPr>
      </w:pPr>
      <w:r>
        <w:rPr>
          <w:rStyle w:val="a7"/>
        </w:rPr>
        <w:footnoteRef/>
      </w:r>
      <w:r>
        <w:rPr>
          <w:rtl/>
        </w:rPr>
        <w:t xml:space="preserve"> </w:t>
      </w:r>
      <w:r>
        <w:rPr>
          <w:rFonts w:cs="Arial"/>
          <w:rtl/>
        </w:rPr>
        <w:t>זה פשוט דהוה ליה כמו באומר מהיום לרבי יהודה דאמר הרי היא כאשת איש לכל דבר. וכתבו התוספות (עג. ד"ה לא) דלא שייך אליביה חשש קידושין, כיון שעדיין אינה מגורשת, אלא טעמא דלא תתייחד הוי משום גט ישן, ב"י.</w:t>
      </w:r>
    </w:p>
  </w:footnote>
  <w:footnote w:id="2632">
    <w:p w14:paraId="7E30EB50" w14:textId="77777777" w:rsidR="00C97BEF" w:rsidRDefault="00C97BEF" w:rsidP="00C97BEF">
      <w:pPr>
        <w:pStyle w:val="a5"/>
        <w:rPr>
          <w:rtl/>
        </w:rPr>
      </w:pPr>
      <w:r>
        <w:rPr>
          <w:rStyle w:val="a7"/>
        </w:rPr>
        <w:footnoteRef/>
      </w:r>
      <w:r>
        <w:rPr>
          <w:rtl/>
        </w:rPr>
        <w:t xml:space="preserve"> </w:t>
      </w:r>
      <w:r>
        <w:rPr>
          <w:rFonts w:cs="Arial"/>
          <w:rtl/>
        </w:rPr>
        <w:t>אי אפשר לפרש דבתנאי דמעכשיו קאמר, דכל כה"ג גיטא חייל מיד ומקיימא תנאה ואזלא, כדאיתא בפרק מי שאחזו (עד.) גבי הרי זה גיטך על מנת שתתני לי מאתים זוז מכאן ועד שלשים יום, וכתבו רבינו בסי' קמ"ג (ס:). אבל בתנאי דאם אפשר לומר דסבירא ליה דכיון דאין הגט חל עד שעת קיום התנאי ליכא למיחש לקידושין כשנתייחד. וזה שלא כדברי הרמב"ם שכתב בפ"ח (ה"ב) דבין בתנאי דמעכשיו בין בתנאי דאם כל שלא נתקיים התנאי אם נתייחד עמה חיישינן שמא בעל לשם קידושין. ואזדה לטעמיה דסבירא ליה דגם בתנאי דאם שייך למימר דמיד חייל גיטא, שהרי כתב שם (ה"א) שאם נישאת עד שלא נתקיים התנאי לא תצא. וכבר כתבתי בס"ס קמ"ג (סד. ד"ה כתב הרמב"ם) שתמהו עליו. מיהו מה שכתב רבינו ומכל מקום לא תתגרש בו לכתחלה וכו', קשה בעיני, דכיון דכבר קיבלה גיטה ואינו מחוסר אלא קיום התנאי ליכא למימר לא תתגרש בו. אלא שהוא ז"ל סבור דכיון דלא חל הגט עד שעת קיום התנאי הוי ליה כאילו היא מתגרשת בשעת קיום התנאי, ושפיר שייך לומר לא תתגרש בו</w:t>
      </w:r>
      <w:r>
        <w:rPr>
          <w:rtl/>
        </w:rPr>
        <w:t>, ב"י.</w:t>
      </w:r>
    </w:p>
  </w:footnote>
  <w:footnote w:id="2633">
    <w:p w14:paraId="35C053F3" w14:textId="77777777" w:rsidR="00C97BEF" w:rsidRDefault="00C97BEF" w:rsidP="00C97BEF">
      <w:pPr>
        <w:pStyle w:val="a5"/>
        <w:rPr>
          <w:rtl/>
        </w:rPr>
      </w:pPr>
      <w:r>
        <w:rPr>
          <w:rStyle w:val="a7"/>
        </w:rPr>
        <w:footnoteRef/>
      </w:r>
      <w:r>
        <w:rPr>
          <w:rtl/>
        </w:rPr>
        <w:t xml:space="preserve"> </w:t>
      </w:r>
      <w:r>
        <w:rPr>
          <w:rFonts w:cs="Arial"/>
          <w:rtl/>
        </w:rPr>
        <w:t>כלומר ואע"פ שראוה שנתייחדה, ב"י.</w:t>
      </w:r>
    </w:p>
  </w:footnote>
  <w:footnote w:id="2634">
    <w:p w14:paraId="2E615CBB" w14:textId="77777777" w:rsidR="00C97BEF" w:rsidRDefault="00C97BEF" w:rsidP="00C97BEF">
      <w:pPr>
        <w:pStyle w:val="a5"/>
      </w:pPr>
      <w:r>
        <w:rPr>
          <w:rStyle w:val="a7"/>
        </w:rPr>
        <w:footnoteRef/>
      </w:r>
      <w:r>
        <w:rPr>
          <w:rtl/>
        </w:rPr>
        <w:t xml:space="preserve"> </w:t>
      </w:r>
      <w:r>
        <w:rPr>
          <w:rFonts w:cs="Arial"/>
          <w:rtl/>
        </w:rPr>
        <w:t>כדלעיל דהיכא דלא ראוה שנבעלה לא בעי גט</w:t>
      </w:r>
      <w:r>
        <w:rPr>
          <w:rtl/>
        </w:rPr>
        <w:t>, רש"י.</w:t>
      </w:r>
    </w:p>
  </w:footnote>
  <w:footnote w:id="2635">
    <w:p w14:paraId="682F4866" w14:textId="32C467F5" w:rsidR="00C97BEF" w:rsidRDefault="00C97BEF" w:rsidP="00C97BEF">
      <w:pPr>
        <w:pStyle w:val="a5"/>
        <w:rPr>
          <w:rtl/>
        </w:rPr>
      </w:pPr>
      <w:r>
        <w:rPr>
          <w:rStyle w:val="a7"/>
        </w:rPr>
        <w:footnoteRef/>
      </w:r>
      <w:r>
        <w:rPr>
          <w:rtl/>
        </w:rPr>
        <w:t xml:space="preserve"> </w:t>
      </w:r>
      <w:r w:rsidR="000A0F5A">
        <w:rPr>
          <w:rFonts w:cs="Arial"/>
          <w:rtl/>
        </w:rPr>
        <w:t>וז"ל:</w:t>
      </w:r>
      <w:r>
        <w:rPr>
          <w:rFonts w:cs="Arial"/>
          <w:rtl/>
        </w:rPr>
        <w:t xml:space="preserve"> המגרש אשתו בין מן האירוסין בין מן הנישואין ובא עליה אח"כ בעדים קודם שנישאת לאחר - צריכה ממנו גט שני, שודאי בעל לשם קידושין, שאין אדם עושה בעילתו בעילת זנות.</w:t>
      </w:r>
    </w:p>
  </w:footnote>
  <w:footnote w:id="2636">
    <w:p w14:paraId="78F9626B" w14:textId="77777777" w:rsidR="00C97BEF" w:rsidRDefault="00C97BEF" w:rsidP="00C97BEF">
      <w:pPr>
        <w:pStyle w:val="a5"/>
        <w:rPr>
          <w:rtl/>
        </w:rPr>
      </w:pPr>
      <w:r>
        <w:rPr>
          <w:rStyle w:val="a7"/>
        </w:rPr>
        <w:footnoteRef/>
      </w:r>
      <w:r>
        <w:rPr>
          <w:rtl/>
        </w:rPr>
        <w:t xml:space="preserve"> </w:t>
      </w:r>
      <w:r>
        <w:rPr>
          <w:rFonts w:cs="Arial"/>
          <w:rtl/>
        </w:rPr>
        <w:t>ועיין שם ובתשובת בר ששת (סי' ו), דרכ"מ (אות א)</w:t>
      </w:r>
    </w:p>
  </w:footnote>
  <w:footnote w:id="2637">
    <w:p w14:paraId="52D0C0E1" w14:textId="30E611DB" w:rsidR="001127F9" w:rsidRDefault="001127F9">
      <w:pPr>
        <w:pStyle w:val="a5"/>
      </w:pPr>
      <w:r>
        <w:rPr>
          <w:rStyle w:val="a7"/>
        </w:rPr>
        <w:footnoteRef/>
      </w:r>
      <w:r>
        <w:rPr>
          <w:rtl/>
        </w:rPr>
        <w:t xml:space="preserve"> </w:t>
      </w:r>
      <w:r>
        <w:rPr>
          <w:rFonts w:hint="cs"/>
          <w:rtl/>
        </w:rPr>
        <w:t xml:space="preserve">הב"י לא הביא </w:t>
      </w:r>
      <w:r w:rsidR="009032F9">
        <w:rPr>
          <w:rFonts w:hint="cs"/>
          <w:rtl/>
        </w:rPr>
        <w:t xml:space="preserve">את </w:t>
      </w:r>
      <w:r>
        <w:rPr>
          <w:rFonts w:hint="cs"/>
          <w:rtl/>
        </w:rPr>
        <w:t>דברי</w:t>
      </w:r>
      <w:r w:rsidR="009032F9">
        <w:rPr>
          <w:rFonts w:hint="cs"/>
          <w:rtl/>
        </w:rPr>
        <w:t>ה</w:t>
      </w:r>
      <w:r>
        <w:rPr>
          <w:rFonts w:hint="cs"/>
          <w:rtl/>
        </w:rPr>
        <w:t>ם</w:t>
      </w:r>
      <w:r w:rsidR="009032F9">
        <w:rPr>
          <w:rFonts w:hint="cs"/>
          <w:rtl/>
        </w:rPr>
        <w:t xml:space="preserve"> (ונ</w:t>
      </w:r>
      <w:r w:rsidR="00410020">
        <w:rPr>
          <w:rFonts w:hint="cs"/>
          <w:rtl/>
        </w:rPr>
        <w:t>"ל</w:t>
      </w:r>
      <w:r w:rsidR="009032F9">
        <w:rPr>
          <w:rFonts w:hint="cs"/>
          <w:rtl/>
        </w:rPr>
        <w:t xml:space="preserve"> גם </w:t>
      </w:r>
      <w:r w:rsidR="00410020">
        <w:rPr>
          <w:rFonts w:hint="cs"/>
          <w:rtl/>
        </w:rPr>
        <w:t>ש</w:t>
      </w:r>
      <w:r w:rsidR="009032F9">
        <w:rPr>
          <w:rFonts w:hint="cs"/>
          <w:rtl/>
        </w:rPr>
        <w:t>לא ראה את</w:t>
      </w:r>
      <w:r w:rsidR="00410020">
        <w:rPr>
          <w:rFonts w:hint="cs"/>
          <w:rtl/>
        </w:rPr>
        <w:t xml:space="preserve"> דבריהם כלל</w:t>
      </w:r>
      <w:r w:rsidR="009032F9">
        <w:rPr>
          <w:rFonts w:hint="cs"/>
          <w:rtl/>
        </w:rPr>
        <w:t>)</w:t>
      </w:r>
      <w:r>
        <w:rPr>
          <w:rFonts w:hint="cs"/>
          <w:rtl/>
        </w:rPr>
        <w:t>, וצל"ע אם הב"י מודה בזה.</w:t>
      </w:r>
      <w:r w:rsidR="009032F9">
        <w:rPr>
          <w:rFonts w:hint="cs"/>
          <w:rtl/>
        </w:rPr>
        <w:t xml:space="preserve"> </w:t>
      </w:r>
    </w:p>
  </w:footnote>
  <w:footnote w:id="2638">
    <w:p w14:paraId="12419C42" w14:textId="77777777" w:rsidR="00C97BEF" w:rsidRDefault="00C97BEF" w:rsidP="00C97BEF">
      <w:pPr>
        <w:pStyle w:val="a5"/>
      </w:pPr>
      <w:r>
        <w:rPr>
          <w:rStyle w:val="a7"/>
        </w:rPr>
        <w:footnoteRef/>
      </w:r>
      <w:r>
        <w:rPr>
          <w:rtl/>
        </w:rPr>
        <w:t xml:space="preserve"> </w:t>
      </w:r>
      <w:r>
        <w:rPr>
          <w:rFonts w:cs="Arial"/>
          <w:rtl/>
        </w:rPr>
        <w:t>כ"כ תוספות ביבמות (נב.) והר"ן (פרק כל הגט), עיין סי' י"ט מ"ש, ועיין תשובת ריב"ש (סי' לא) דפסק כן, ועיין סי' קכ"א. מיהו איני יודע לענין מה כתב כאן דברי הר"ן, דהא כאן איירי לענין חשש קידושין, א"כ ממ"נ אם נשאה כדין נשואין ת"ל היה קידושין ואם לא נשאה כדין נישואין א"כ מהיכ' תיתי לומר דבועל לשם קידושין, ודין של תוספות והר"ן איירי בארוסה שכתב לה גט ולא נתן לה ונשאה אמרינן בוודאי בעיל וביטל הגט וגרע מגט ישן, ב"ש (סק"א).</w:t>
      </w:r>
    </w:p>
  </w:footnote>
  <w:footnote w:id="2639">
    <w:p w14:paraId="7A144D57" w14:textId="77777777" w:rsidR="00C97BEF" w:rsidRDefault="00C97BEF" w:rsidP="00C97BEF">
      <w:pPr>
        <w:pStyle w:val="a5"/>
      </w:pPr>
      <w:r>
        <w:rPr>
          <w:rStyle w:val="a7"/>
        </w:rPr>
        <w:footnoteRef/>
      </w:r>
      <w:r>
        <w:rPr>
          <w:rtl/>
        </w:rPr>
        <w:t xml:space="preserve"> </w:t>
      </w:r>
      <w:r>
        <w:rPr>
          <w:rFonts w:cs="Arial"/>
          <w:rtl/>
        </w:rPr>
        <w:t>כ"כ הרמב"ם ומשמע דאז אין תופסין בה קידושין של אחר דוק' ביחוד תופסין קדושין של שני ולא בבעיל וכ"כ ב"ח, ב"ש (סק"ג).</w:t>
      </w:r>
    </w:p>
  </w:footnote>
  <w:footnote w:id="2640">
    <w:p w14:paraId="77E7F9BD" w14:textId="77777777" w:rsidR="00C97BEF" w:rsidRDefault="00C97BEF" w:rsidP="00C97BEF">
      <w:pPr>
        <w:pStyle w:val="a5"/>
      </w:pPr>
      <w:r>
        <w:rPr>
          <w:rStyle w:val="a7"/>
        </w:rPr>
        <w:footnoteRef/>
      </w:r>
      <w:r>
        <w:rPr>
          <w:rtl/>
        </w:rPr>
        <w:t xml:space="preserve"> </w:t>
      </w:r>
      <w:r>
        <w:rPr>
          <w:rFonts w:cs="Arial"/>
          <w:rtl/>
        </w:rPr>
        <w:t>וכ"כ בתשו' רעק"א (סי' קפב, הביאו הפת"ש [סק"א]) דכהן שגירש ולנה עמו וראוה שנבעלה לא אמרינן בזה אין אדם עובב"ז.</w:t>
      </w:r>
    </w:p>
  </w:footnote>
  <w:footnote w:id="2641">
    <w:p w14:paraId="1964C0AC" w14:textId="77777777" w:rsidR="00C97BEF" w:rsidRDefault="00C97BEF" w:rsidP="00C97BEF">
      <w:pPr>
        <w:pStyle w:val="a5"/>
      </w:pPr>
      <w:r>
        <w:rPr>
          <w:rStyle w:val="a7"/>
        </w:rPr>
        <w:footnoteRef/>
      </w:r>
      <w:r>
        <w:rPr>
          <w:rtl/>
        </w:rPr>
        <w:t xml:space="preserve"> </w:t>
      </w:r>
      <w:r>
        <w:rPr>
          <w:rFonts w:hint="cs"/>
          <w:rtl/>
        </w:rPr>
        <w:t>וכ"כ הב"ש (סק"ד).</w:t>
      </w:r>
    </w:p>
  </w:footnote>
  <w:footnote w:id="2642">
    <w:p w14:paraId="49404772" w14:textId="77777777" w:rsidR="00C97BEF" w:rsidRDefault="00C97BEF" w:rsidP="00C97BEF">
      <w:pPr>
        <w:pStyle w:val="a5"/>
      </w:pPr>
      <w:r>
        <w:rPr>
          <w:rStyle w:val="a7"/>
        </w:rPr>
        <w:footnoteRef/>
      </w:r>
      <w:r>
        <w:rPr>
          <w:rtl/>
        </w:rPr>
        <w:t xml:space="preserve"> </w:t>
      </w:r>
      <w:r>
        <w:rPr>
          <w:rFonts w:cs="Arial"/>
          <w:rtl/>
        </w:rPr>
        <w:t>הנה במל"מ פ"י מה"ג דין י"ח הביא דברי רדב"ז הנ"ל דאפי' ראינו שנבעלה אין חוששין כו' אך ברדב"ז עצמו ח"א סימן שנ"א לא נזכר לשון זה רק כלשון שהביא הבה"ט בשמו המתייחד עם גרושתו כו'. ומ"מ נכונים דברי המל"מ דמדברי הרדב"ז שם מבואר דאין חילוק, שכתב הטעם בזה דממ"נ אם הוא זהיר בנדה הרי לא בעל ואם אינו זהיר בנדה כיון דלא חייש לאיסור כרת לא חייש לבעילת זנות כו' ע"ש. ועיין במל"מ שם שהסכים עם הרדב"ז בזה וכתב עליו שדבריו נכונים (אמנם הא ודאי דהכנה"ג שהביא הבה"ט בס"ק הקודם דמפקפק שם בכהן מכ"ש דמפקפק בזה עמ"ש בס"ק הקודם וגם לקמן בסמוך) וכתב עוד- ונראה לפרש דבריו דאפי' לא ידעינן אם יודע שהיתה נדה אין חוששין לה אפילו ראינו שנבעלה דמסתמ' הודיעה לו ולא חשש ועוד דחזקה זו דאין אדם עובב"ז על שניהם נאמרו ואין האשה מתקדשת אלא לרצונה וכיון שהיא לא חששה על איסור כרת לא חששה נמי על בעילת זנות עכ"ד. וכתב עליו הרב המגי' ז"ל גם בס' בני חיי סי' ל"ח ובלקט הקמח דף צ' תפסו בפשיטות כסברת הרב המחבר דחזקה זו שייכא גם באשה, והשיגו על הרב פ"מ ח"א סימן ס"ב. אך בס' לקה"ק חזר בו והוכיח מדברי הרדב"ז דדוקא באיש שייך חזקה זו ולא באשה הנבעלת עכ"ל</w:t>
      </w:r>
      <w:r>
        <w:rPr>
          <w:rtl/>
        </w:rPr>
        <w:t>, פת"ש (סק"ב).</w:t>
      </w:r>
    </w:p>
  </w:footnote>
  <w:footnote w:id="2643">
    <w:p w14:paraId="4201CCC3" w14:textId="77777777" w:rsidR="00C97BEF" w:rsidRDefault="00C97BEF" w:rsidP="00C97BEF">
      <w:pPr>
        <w:pStyle w:val="a5"/>
        <w:rPr>
          <w:rtl/>
        </w:rPr>
      </w:pPr>
      <w:r>
        <w:rPr>
          <w:rStyle w:val="a7"/>
        </w:rPr>
        <w:footnoteRef/>
      </w:r>
      <w:r>
        <w:rPr>
          <w:rtl/>
        </w:rPr>
        <w:t xml:space="preserve"> </w:t>
      </w:r>
      <w:r>
        <w:rPr>
          <w:rFonts w:cs="Arial"/>
          <w:rtl/>
        </w:rPr>
        <w:t>וצל"ע מנ"ל דין זה כיון דקי"ל הן הן עידי יחוד הן הן עידי ביאה הוי כאלו עדים מעידי' ע"ז עיין ס"ס קס"ז</w:t>
      </w:r>
      <w:r>
        <w:rPr>
          <w:rtl/>
        </w:rPr>
        <w:t>, ב"ש (סק"ד).</w:t>
      </w:r>
    </w:p>
  </w:footnote>
  <w:footnote w:id="2644">
    <w:p w14:paraId="5A192157" w14:textId="77777777" w:rsidR="00C97BEF" w:rsidRDefault="00C97BEF" w:rsidP="00C97BEF">
      <w:pPr>
        <w:pStyle w:val="a5"/>
        <w:rPr>
          <w:rtl/>
        </w:rPr>
      </w:pPr>
      <w:r>
        <w:rPr>
          <w:rStyle w:val="a7"/>
        </w:rPr>
        <w:footnoteRef/>
      </w:r>
      <w:r>
        <w:rPr>
          <w:rtl/>
        </w:rPr>
        <w:t xml:space="preserve"> </w:t>
      </w:r>
      <w:r>
        <w:rPr>
          <w:rFonts w:cs="Arial"/>
          <w:rtl/>
        </w:rPr>
        <w:t>ועיין בכתבי מה"ר איסרלן (תרוה"ד ח"ב סי' לז), ב"י.</w:t>
      </w:r>
    </w:p>
  </w:footnote>
  <w:footnote w:id="2645">
    <w:p w14:paraId="1120F1E8" w14:textId="77777777" w:rsidR="00C97BEF" w:rsidRDefault="00C97BEF" w:rsidP="00C97BEF">
      <w:pPr>
        <w:pStyle w:val="a5"/>
      </w:pPr>
      <w:r>
        <w:rPr>
          <w:rStyle w:val="a7"/>
        </w:rPr>
        <w:footnoteRef/>
      </w:r>
      <w:r>
        <w:rPr>
          <w:rtl/>
        </w:rPr>
        <w:t xml:space="preserve"> </w:t>
      </w:r>
      <w:r>
        <w:rPr>
          <w:rFonts w:cs="Arial"/>
          <w:rtl/>
        </w:rPr>
        <w:t>ואי ראום העדים כאחד, וידע הבעל שהם רואים, והאשה לא ידעה עיין ברדב"ז (ח"ד סי' ד, ובסע' ערה), הביאו הפת"ש (סק"ג).</w:t>
      </w:r>
    </w:p>
  </w:footnote>
  <w:footnote w:id="2646">
    <w:p w14:paraId="37ED08F4" w14:textId="77777777" w:rsidR="00C97BEF" w:rsidRDefault="00C97BEF" w:rsidP="00C97BEF">
      <w:pPr>
        <w:pStyle w:val="a5"/>
      </w:pPr>
      <w:r>
        <w:rPr>
          <w:rStyle w:val="a7"/>
        </w:rPr>
        <w:footnoteRef/>
      </w:r>
      <w:r>
        <w:rPr>
          <w:rtl/>
        </w:rPr>
        <w:t xml:space="preserve"> </w:t>
      </w:r>
      <w:r>
        <w:rPr>
          <w:rFonts w:cs="Arial"/>
          <w:rtl/>
        </w:rPr>
        <w:t xml:space="preserve">ואם רוצה להחזירה הדבר ברור שצריכה קדושין אחרים ולא יברכו ברכת אירוסין כיון דהוא ספק שמא בעל לשם קדושין והוי ברכה לבטלה דמה שנעשה נעשה </w:t>
      </w:r>
      <w:r>
        <w:rPr>
          <w:rFonts w:cs="Arial"/>
          <w:sz w:val="16"/>
          <w:szCs w:val="16"/>
          <w:rtl/>
        </w:rPr>
        <w:t>{נראה דנמשך בזה אחר דברי הרמב"ם שהובא בש"ע לעיל סי' ל"ד ס"ג אבל למ"ש הרמ"א שם גם הכא יש לברך, פת"ש [סק"ה]}</w:t>
      </w:r>
      <w:r>
        <w:rPr>
          <w:rFonts w:cs="Arial"/>
          <w:rtl/>
        </w:rPr>
        <w:t>. ואפילו אם הוא אומר שלא בעלה לא מהימן דדילמא אמר הכי משום דרב מנגיד אמאן דמקדש בביאה אך ז' ברכות ודאי מברכינן דממ"נ צריך לברך ז"ב, רדב"ז (ח"ג סי' תקסח).</w:t>
      </w:r>
    </w:p>
  </w:footnote>
  <w:footnote w:id="2647">
    <w:p w14:paraId="1B7D50E9" w14:textId="77777777" w:rsidR="00C97BEF" w:rsidRDefault="00C97BEF" w:rsidP="00C97BEF">
      <w:pPr>
        <w:pStyle w:val="a5"/>
        <w:rPr>
          <w:rtl/>
        </w:rPr>
      </w:pPr>
      <w:r>
        <w:rPr>
          <w:rStyle w:val="a7"/>
        </w:rPr>
        <w:footnoteRef/>
      </w:r>
      <w:r>
        <w:rPr>
          <w:rtl/>
        </w:rPr>
        <w:t xml:space="preserve"> </w:t>
      </w:r>
      <w:r>
        <w:rPr>
          <w:rFonts w:cs="Arial"/>
          <w:rtl/>
        </w:rPr>
        <w:t xml:space="preserve">לכאורה נראה מתשובת רמב"ן אפי' בא עליה נמי אין חוששין לקדושין כיון שאין עסק קידושין ביניהם דוק' באשתו או בארוסה שהיה קדושין ביניהם חיישינן לקדושין אבל משודכת דמיא לאשה דעלמ', </w:t>
      </w:r>
      <w:r>
        <w:rPr>
          <w:rFonts w:cs="Arial"/>
          <w:b/>
          <w:bCs/>
          <w:rtl/>
        </w:rPr>
        <w:t>ב"ש</w:t>
      </w:r>
      <w:r>
        <w:rPr>
          <w:rFonts w:cs="Arial"/>
          <w:rtl/>
        </w:rPr>
        <w:t xml:space="preserve"> (סק"ו). וכן מבואר בתשובת מהר"ם אלשקר סימן ג' ע"ש. ומה שרמז הבה"ט לעיין בתשובת הרדב"ז ח"א סימן רי"ו. הוא מה שהביא הבה"ט בשמו לעיל סימן י"ז ס"ק קס"א דמבואר שדעתו אינו כן ועמ"ש שם. ועיין עוד בתשו' הרדב"ז ח"ג ס"ס תקמ"א</w:t>
      </w:r>
      <w:r>
        <w:rPr>
          <w:rtl/>
        </w:rPr>
        <w:t xml:space="preserve">, </w:t>
      </w:r>
      <w:r>
        <w:rPr>
          <w:b/>
          <w:bCs/>
          <w:rtl/>
        </w:rPr>
        <w:t>פת"ש</w:t>
      </w:r>
      <w:r>
        <w:rPr>
          <w:rtl/>
        </w:rPr>
        <w:t xml:space="preserve"> (סק"ז).</w:t>
      </w:r>
    </w:p>
  </w:footnote>
  <w:footnote w:id="2648">
    <w:p w14:paraId="3195AD13" w14:textId="77777777" w:rsidR="00C97BEF" w:rsidRDefault="00C97BEF" w:rsidP="00C97BEF">
      <w:pPr>
        <w:pStyle w:val="a5"/>
      </w:pPr>
      <w:r>
        <w:rPr>
          <w:rStyle w:val="a7"/>
        </w:rPr>
        <w:footnoteRef/>
      </w:r>
      <w:r>
        <w:rPr>
          <w:rtl/>
        </w:rPr>
        <w:t xml:space="preserve"> </w:t>
      </w:r>
      <w:r>
        <w:rPr>
          <w:rFonts w:cs="Arial"/>
          <w:rtl/>
        </w:rPr>
        <w:t>ולפי זה אפילו ראוה שנבעלה לא חיישינן לה</w:t>
      </w:r>
      <w:r>
        <w:rPr>
          <w:rtl/>
        </w:rPr>
        <w:t>, ב"י.</w:t>
      </w:r>
    </w:p>
  </w:footnote>
  <w:footnote w:id="2649">
    <w:p w14:paraId="561D6EBE" w14:textId="77777777" w:rsidR="00C97BEF" w:rsidRDefault="00C97BEF" w:rsidP="00C97BEF">
      <w:pPr>
        <w:pStyle w:val="a5"/>
        <w:rPr>
          <w:rtl/>
        </w:rPr>
      </w:pPr>
      <w:r>
        <w:rPr>
          <w:rStyle w:val="a7"/>
        </w:rPr>
        <w:footnoteRef/>
      </w:r>
      <w:r>
        <w:rPr>
          <w:rtl/>
        </w:rPr>
        <w:t xml:space="preserve"> </w:t>
      </w:r>
      <w:r>
        <w:rPr>
          <w:rFonts w:hint="cs"/>
          <w:rtl/>
        </w:rPr>
        <w:t>וב</w:t>
      </w:r>
      <w:r>
        <w:rPr>
          <w:rFonts w:cs="Arial"/>
          <w:rtl/>
        </w:rPr>
        <w:t>הגמ"ר (גיטין ס"ס תסה) כתב דדוקא לכתחלה צריכה גט שני לאחר שנתייחד עמה, אבל אם נתגרשה והלך בעלה למדינת הים אחר שנתייחד עמה - תנשא לכתחלה כדין גט ישן. וצריך עיון, דלא משמע כן דעת שאר הפוסקים, דאע"ג דהרא"ש כתב דאינה מקודשת ודאי מן הראשון מכל מקום מידי ספק לא נפקא, דרכ"מ (אות ב).</w:t>
      </w:r>
    </w:p>
  </w:footnote>
  <w:footnote w:id="2650">
    <w:p w14:paraId="319C0D19" w14:textId="6BEAD871" w:rsidR="00C575B3" w:rsidRDefault="00C575B3">
      <w:pPr>
        <w:pStyle w:val="a5"/>
        <w:rPr>
          <w:rFonts w:hint="cs"/>
        </w:rPr>
      </w:pPr>
      <w:r>
        <w:rPr>
          <w:rStyle w:val="a7"/>
        </w:rPr>
        <w:footnoteRef/>
      </w:r>
      <w:r>
        <w:rPr>
          <w:rtl/>
        </w:rPr>
        <w:t xml:space="preserve"> </w:t>
      </w:r>
      <w:r>
        <w:rPr>
          <w:rFonts w:hint="cs"/>
          <w:rtl/>
        </w:rPr>
        <w:t>והסכים הראב"ד (שם בהשגות) לדעתם והוסיף וז"ל:</w:t>
      </w:r>
      <w:r w:rsidRPr="00C575B3">
        <w:rPr>
          <w:rtl/>
        </w:rPr>
        <w:t xml:space="preserve"> </w:t>
      </w:r>
      <w:r w:rsidRPr="00C575B3">
        <w:rPr>
          <w:rFonts w:cs="Arial"/>
          <w:rtl/>
        </w:rPr>
        <w:t>בת ישראל שתבעל בעדים</w:t>
      </w:r>
      <w:r>
        <w:rPr>
          <w:rFonts w:cs="Arial" w:hint="cs"/>
          <w:rtl/>
        </w:rPr>
        <w:t>,</w:t>
      </w:r>
      <w:r w:rsidRPr="00C575B3">
        <w:rPr>
          <w:rFonts w:cs="Arial"/>
          <w:rtl/>
        </w:rPr>
        <w:t xml:space="preserve"> אם לא היו חשודים בפריצות עריות </w:t>
      </w:r>
      <w:r>
        <w:rPr>
          <w:rFonts w:cs="Arial" w:hint="cs"/>
          <w:rtl/>
        </w:rPr>
        <w:t xml:space="preserve">- </w:t>
      </w:r>
      <w:r w:rsidRPr="00C575B3">
        <w:rPr>
          <w:rFonts w:cs="Arial"/>
          <w:rtl/>
        </w:rPr>
        <w:t>העמד בני ישראל ובנות ישראל על חזקתן ובחזקת כשרות הן</w:t>
      </w:r>
      <w:r>
        <w:rPr>
          <w:rFonts w:cs="Arial" w:hint="cs"/>
          <w:rtl/>
        </w:rPr>
        <w:t>,</w:t>
      </w:r>
      <w:r w:rsidRPr="00C575B3">
        <w:rPr>
          <w:rFonts w:cs="Arial"/>
          <w:rtl/>
        </w:rPr>
        <w:t xml:space="preserve"> שלא יתפרצו בפני עדים לזנות</w:t>
      </w:r>
      <w:r>
        <w:rPr>
          <w:rFonts w:cs="Arial" w:hint="cs"/>
          <w:rtl/>
        </w:rPr>
        <w:t>.</w:t>
      </w:r>
      <w:r w:rsidRPr="00C575B3">
        <w:rPr>
          <w:rFonts w:cs="Arial"/>
          <w:rtl/>
        </w:rPr>
        <w:t xml:space="preserve"> ודברי הגאונים ז"ל קיימים הם.</w:t>
      </w:r>
      <w:r>
        <w:rPr>
          <w:rFonts w:hint="cs"/>
          <w:rtl/>
        </w:rPr>
        <w:t xml:space="preserve"> עכ"ל. ומכל מקום למדנו מדבריו שבפרוצים בעריות גם לדעת הגאונים אומרים "אדם עושה בעילתו בעילת זנות".</w:t>
      </w:r>
    </w:p>
  </w:footnote>
  <w:footnote w:id="2651">
    <w:p w14:paraId="0CE2B624" w14:textId="0DE252BB" w:rsidR="005B736B" w:rsidRPr="005B736B" w:rsidRDefault="005B736B">
      <w:pPr>
        <w:pStyle w:val="a5"/>
        <w:rPr>
          <w:b/>
          <w:bCs/>
          <w:rtl/>
        </w:rPr>
      </w:pPr>
      <w:r>
        <w:rPr>
          <w:rStyle w:val="a7"/>
        </w:rPr>
        <w:footnoteRef/>
      </w:r>
      <w:r>
        <w:rPr>
          <w:rtl/>
        </w:rPr>
        <w:t xml:space="preserve"> </w:t>
      </w:r>
      <w:r>
        <w:rPr>
          <w:rFonts w:hint="cs"/>
          <w:rtl/>
        </w:rPr>
        <w:t xml:space="preserve">משמע אם מפרש - הוי בעילת זנות. וצל"ע מה דעת הפוסקים בזה, שהרי כתב האו"ז (הל' יבום וקידושין סי' תריא, הביא חלק מדבריו הדרכ"מ [סי' טו אות ג]) </w:t>
      </w:r>
      <w:r w:rsidR="000A0F5A">
        <w:rPr>
          <w:rFonts w:hint="cs"/>
          <w:rtl/>
        </w:rPr>
        <w:t>וז</w:t>
      </w:r>
      <w:r w:rsidR="000A0F5A">
        <w:rPr>
          <w:rtl/>
        </w:rPr>
        <w:t>"</w:t>
      </w:r>
      <w:r w:rsidR="000A0F5A">
        <w:rPr>
          <w:rFonts w:hint="cs"/>
          <w:rtl/>
        </w:rPr>
        <w:t>ל:</w:t>
      </w:r>
      <w:r>
        <w:rPr>
          <w:rFonts w:hint="cs"/>
          <w:rtl/>
        </w:rPr>
        <w:t xml:space="preserve"> </w:t>
      </w:r>
      <w:r w:rsidR="00460E8D" w:rsidRPr="005B736B">
        <w:rPr>
          <w:rFonts w:cs="Arial"/>
          <w:rtl/>
        </w:rPr>
        <w:t>ונראה בעיני אני המחבר דאפי' הוא אומר לא שחררתי אותה</w:t>
      </w:r>
      <w:r w:rsidR="00460E8D">
        <w:rPr>
          <w:rFonts w:cs="Arial" w:hint="cs"/>
          <w:sz w:val="16"/>
          <w:szCs w:val="16"/>
          <w:rtl/>
        </w:rPr>
        <w:t xml:space="preserve"> {את השפחה המדוברת שם}</w:t>
      </w:r>
      <w:r w:rsidR="00460E8D" w:rsidRPr="005B736B">
        <w:rPr>
          <w:rFonts w:cs="Arial"/>
          <w:rtl/>
        </w:rPr>
        <w:t xml:space="preserve"> ובעילת זנות בעלתי </w:t>
      </w:r>
      <w:r w:rsidR="00460E8D">
        <w:rPr>
          <w:rFonts w:cs="Arial" w:hint="cs"/>
          <w:rtl/>
        </w:rPr>
        <w:t xml:space="preserve">- </w:t>
      </w:r>
      <w:r w:rsidR="00460E8D" w:rsidRPr="005B736B">
        <w:rPr>
          <w:rFonts w:cs="Arial"/>
          <w:rtl/>
        </w:rPr>
        <w:t>לא מהימן</w:t>
      </w:r>
      <w:r w:rsidR="00460E8D">
        <w:rPr>
          <w:rFonts w:cs="Arial" w:hint="cs"/>
          <w:rtl/>
        </w:rPr>
        <w:t>,</w:t>
      </w:r>
      <w:r w:rsidR="00460E8D" w:rsidRPr="005B736B">
        <w:rPr>
          <w:rFonts w:cs="Arial"/>
          <w:rtl/>
        </w:rPr>
        <w:t xml:space="preserve"> דחדא דאין אדם משים עצמו רשע כההיא דפ"ק דסנהדרין</w:t>
      </w:r>
      <w:r w:rsidR="00460E8D">
        <w:rPr>
          <w:rFonts w:cs="Arial" w:hint="cs"/>
          <w:rtl/>
        </w:rPr>
        <w:t>..</w:t>
      </w:r>
      <w:r w:rsidR="00460E8D" w:rsidRPr="005B736B">
        <w:rPr>
          <w:rFonts w:cs="Arial"/>
          <w:rtl/>
        </w:rPr>
        <w:t>. מעתה ה"נ הואיל ואמור רבנן חזקה אין אדם עושה בעילתו בעילת זנות והוא משים עצמו רשע לומר שבעל בעילת זנות</w:t>
      </w:r>
      <w:r w:rsidR="00460E8D">
        <w:rPr>
          <w:rFonts w:cs="Arial" w:hint="cs"/>
          <w:rtl/>
        </w:rPr>
        <w:t>,</w:t>
      </w:r>
      <w:r w:rsidR="00460E8D" w:rsidRPr="005B736B">
        <w:rPr>
          <w:rFonts w:cs="Arial"/>
          <w:rtl/>
        </w:rPr>
        <w:t xml:space="preserve"> לאו כל כמיני' לשוויה נפשיה רשיעא</w:t>
      </w:r>
      <w:r w:rsidR="00460E8D">
        <w:rPr>
          <w:rFonts w:cs="Arial" w:hint="cs"/>
          <w:rtl/>
        </w:rPr>
        <w:t>.</w:t>
      </w:r>
      <w:r w:rsidR="00460E8D" w:rsidRPr="005B736B">
        <w:rPr>
          <w:rFonts w:cs="Arial"/>
          <w:rtl/>
        </w:rPr>
        <w:t xml:space="preserve"> אלא ודאי שחררה מעיקרא. ועוד הואיל שהכריעו חכמים דעתו לכן אינו נאמן לומר בענין אחר כדאשכחן בכמה דוכתין.</w:t>
      </w:r>
    </w:p>
  </w:footnote>
  <w:footnote w:id="2652">
    <w:p w14:paraId="422E5BBF" w14:textId="3F325C47" w:rsidR="00C97BEF" w:rsidRDefault="00C97BEF" w:rsidP="00C97BEF">
      <w:pPr>
        <w:pStyle w:val="a5"/>
      </w:pPr>
      <w:r>
        <w:rPr>
          <w:rStyle w:val="a7"/>
        </w:rPr>
        <w:footnoteRef/>
      </w:r>
      <w:r>
        <w:rPr>
          <w:rtl/>
        </w:rPr>
        <w:t xml:space="preserve"> </w:t>
      </w:r>
      <w:r>
        <w:rPr>
          <w:rFonts w:cs="Arial"/>
          <w:rtl/>
        </w:rPr>
        <w:t xml:space="preserve">וכ"כ א"א הרא"ש (ס"פ הזורק), </w:t>
      </w:r>
      <w:r>
        <w:rPr>
          <w:rFonts w:cs="Arial"/>
          <w:b/>
          <w:bCs/>
          <w:rtl/>
        </w:rPr>
        <w:t>טור</w:t>
      </w:r>
      <w:r>
        <w:rPr>
          <w:rFonts w:cs="Arial"/>
          <w:rtl/>
        </w:rPr>
        <w:t xml:space="preserve">. וכן כתב שם הר"ן (מב: ד"ה גמ' וב"ה) בשם הרשב"א (פא: ד"ה נתגרשה) שלא אמרו חזקה אין אדם עושה בעילתו בעילת זנות אלא באשתו, אבל בשאר נשים מן הסתם בעילתו בעילת זנות עד שיפרש שהיא לשם קידושין. וכן כתב הריב"ש (סי' ו), </w:t>
      </w:r>
      <w:r>
        <w:rPr>
          <w:rFonts w:cs="Arial"/>
          <w:b/>
          <w:bCs/>
          <w:rtl/>
        </w:rPr>
        <w:t>ב"י</w:t>
      </w:r>
      <w:r>
        <w:rPr>
          <w:rFonts w:cs="Arial"/>
          <w:rtl/>
        </w:rPr>
        <w:t>.</w:t>
      </w:r>
      <w:r w:rsidR="00EE4A8A">
        <w:rPr>
          <w:rFonts w:hint="cs"/>
          <w:rtl/>
        </w:rPr>
        <w:t xml:space="preserve"> וכ"כ ה</w:t>
      </w:r>
      <w:r w:rsidR="00EE4A8A">
        <w:rPr>
          <w:rFonts w:cs="Arial" w:hint="cs"/>
          <w:rtl/>
        </w:rPr>
        <w:t xml:space="preserve">תוס' </w:t>
      </w:r>
      <w:r w:rsidR="00EE4A8A" w:rsidRPr="00EE4A8A">
        <w:rPr>
          <w:rFonts w:cs="Arial" w:hint="cs"/>
          <w:rtl/>
        </w:rPr>
        <w:t>(גיטין פא: ד"ה בית שמאי)</w:t>
      </w:r>
      <w:r w:rsidR="00EE4A8A">
        <w:rPr>
          <w:rFonts w:cs="Arial" w:hint="cs"/>
          <w:rtl/>
        </w:rPr>
        <w:t>.</w:t>
      </w:r>
    </w:p>
  </w:footnote>
  <w:footnote w:id="2653">
    <w:p w14:paraId="1A3C49D5" w14:textId="237DCC95" w:rsidR="006A1AA2" w:rsidRDefault="006A1AA2" w:rsidP="006A1AA2">
      <w:pPr>
        <w:pStyle w:val="a5"/>
        <w:rPr>
          <w:rtl/>
        </w:rPr>
      </w:pPr>
      <w:r>
        <w:rPr>
          <w:rStyle w:val="a7"/>
        </w:rPr>
        <w:footnoteRef/>
      </w:r>
      <w:r>
        <w:rPr>
          <w:rtl/>
        </w:rPr>
        <w:t xml:space="preserve"> </w:t>
      </w:r>
      <w:r>
        <w:rPr>
          <w:rFonts w:hint="cs"/>
          <w:rtl/>
        </w:rPr>
        <w:t>כתב המרדכי</w:t>
      </w:r>
      <w:r w:rsidR="00350869">
        <w:rPr>
          <w:rFonts w:hint="cs"/>
          <w:rtl/>
        </w:rPr>
        <w:t>:</w:t>
      </w:r>
      <w:r>
        <w:rPr>
          <w:rFonts w:hint="cs"/>
          <w:rtl/>
        </w:rPr>
        <w:t xml:space="preserve"> </w:t>
      </w:r>
      <w:r w:rsidRPr="00872C2E">
        <w:rPr>
          <w:rFonts w:cs="Arial"/>
          <w:rtl/>
        </w:rPr>
        <w:t xml:space="preserve">ומודה בנתגרשה מן האירוסין </w:t>
      </w:r>
      <w:r>
        <w:rPr>
          <w:rFonts w:cs="Arial" w:hint="cs"/>
          <w:rtl/>
        </w:rPr>
        <w:t xml:space="preserve">(גיטין פא.) </w:t>
      </w:r>
      <w:r w:rsidRPr="00872C2E">
        <w:rPr>
          <w:rFonts w:cs="Arial"/>
          <w:rtl/>
        </w:rPr>
        <w:t>דלא אמרי' הן הן עידי יחוד הן הן עידי ביאה שאין לבו גס בה</w:t>
      </w:r>
      <w:r>
        <w:rPr>
          <w:rFonts w:cs="Arial" w:hint="cs"/>
          <w:rtl/>
        </w:rPr>
        <w:t>.</w:t>
      </w:r>
      <w:r w:rsidRPr="00872C2E">
        <w:rPr>
          <w:rFonts w:cs="Arial"/>
          <w:rtl/>
        </w:rPr>
        <w:t xml:space="preserve"> משמע הא יש עדי ביאה </w:t>
      </w:r>
      <w:r>
        <w:rPr>
          <w:rFonts w:cs="Arial" w:hint="cs"/>
          <w:rtl/>
        </w:rPr>
        <w:t xml:space="preserve">- </w:t>
      </w:r>
      <w:r w:rsidRPr="00872C2E">
        <w:rPr>
          <w:rFonts w:cs="Arial"/>
          <w:rtl/>
        </w:rPr>
        <w:t>צריכה גט והלכך פסק ר"ב</w:t>
      </w:r>
      <w:r>
        <w:rPr>
          <w:rFonts w:cs="Arial" w:hint="cs"/>
          <w:rtl/>
        </w:rPr>
        <w:t>-...</w:t>
      </w:r>
    </w:p>
  </w:footnote>
  <w:footnote w:id="2654">
    <w:p w14:paraId="15E92B0D" w14:textId="77777777" w:rsidR="006A1AA2" w:rsidRDefault="006A1AA2" w:rsidP="006A1AA2">
      <w:pPr>
        <w:pStyle w:val="a5"/>
        <w:rPr>
          <w:rtl/>
        </w:rPr>
      </w:pPr>
      <w:r>
        <w:rPr>
          <w:rStyle w:val="a7"/>
        </w:rPr>
        <w:footnoteRef/>
      </w:r>
      <w:r>
        <w:rPr>
          <w:rtl/>
        </w:rPr>
        <w:t xml:space="preserve"> </w:t>
      </w:r>
      <w:r w:rsidRPr="00872C2E">
        <w:rPr>
          <w:rFonts w:cs="Arial"/>
          <w:rtl/>
        </w:rPr>
        <w:t>והמיימוני פליג פרק עשירי דאישות</w:t>
      </w:r>
      <w:r>
        <w:rPr>
          <w:rFonts w:hint="cs"/>
          <w:rtl/>
        </w:rPr>
        <w:t xml:space="preserve">, מרדכי (שם).     וכתב </w:t>
      </w:r>
      <w:r w:rsidRPr="00F2279C">
        <w:rPr>
          <w:rFonts w:hint="cs"/>
          <w:b/>
          <w:bCs/>
          <w:rtl/>
        </w:rPr>
        <w:t>רעק"א</w:t>
      </w:r>
      <w:r>
        <w:rPr>
          <w:rFonts w:hint="cs"/>
          <w:rtl/>
        </w:rPr>
        <w:t xml:space="preserve"> (קידושין ו.) </w:t>
      </w:r>
      <w:r>
        <w:rPr>
          <w:rFonts w:cs="Arial" w:hint="cs"/>
          <w:rtl/>
        </w:rPr>
        <w:t xml:space="preserve">דדברי רבנו ברוך (שהזכיר הדרכ"מ בשם המרדכי) </w:t>
      </w:r>
      <w:r w:rsidRPr="00F2279C">
        <w:rPr>
          <w:rFonts w:cs="Arial"/>
          <w:rtl/>
        </w:rPr>
        <w:t>היינו להסוברים דפנוי הבא על הפנויה ג"כ אמרינן אא"ע בב"ז, ובעל לשם קידושין, זה הוי אמירה</w:t>
      </w:r>
      <w:r>
        <w:rPr>
          <w:rFonts w:cs="Arial" w:hint="cs"/>
          <w:rtl/>
        </w:rPr>
        <w:t>.</w:t>
      </w:r>
      <w:r w:rsidRPr="00F2279C">
        <w:rPr>
          <w:rFonts w:cs="Arial"/>
          <w:rtl/>
        </w:rPr>
        <w:t xml:space="preserve"> ואינך פוסקים</w:t>
      </w:r>
      <w:r>
        <w:rPr>
          <w:rFonts w:cs="Arial" w:hint="cs"/>
          <w:rtl/>
        </w:rPr>
        <w:t xml:space="preserve"> (רמב"ם ורא"ש)</w:t>
      </w:r>
      <w:r w:rsidRPr="00F2279C">
        <w:rPr>
          <w:rFonts w:cs="Arial"/>
          <w:rtl/>
        </w:rPr>
        <w:t xml:space="preserve"> </w:t>
      </w:r>
      <w:r>
        <w:rPr>
          <w:rFonts w:cs="Arial" w:hint="cs"/>
          <w:rtl/>
        </w:rPr>
        <w:t xml:space="preserve">סברי </w:t>
      </w:r>
      <w:r w:rsidRPr="00F2279C">
        <w:rPr>
          <w:rFonts w:cs="Arial"/>
          <w:rtl/>
        </w:rPr>
        <w:t>דדוקא במגרש אשתו ולנה בפונדק, אבל בפנויה דעלמא לא אמרינן כן, וממילא צריך שיאמר האמ"ל כמו בקידושי כסף, דאין חילוק בקידושי כסף לביאה רק היכי דשייך אא"ע בב"ז דהוי כאמירה</w:t>
      </w:r>
      <w:r>
        <w:rPr>
          <w:rFonts w:cs="Arial" w:hint="cs"/>
          <w:rtl/>
        </w:rPr>
        <w:t>.</w:t>
      </w:r>
    </w:p>
  </w:footnote>
  <w:footnote w:id="2655">
    <w:p w14:paraId="4BB59F48" w14:textId="687DE11D" w:rsidR="003D2921" w:rsidRDefault="003D2921">
      <w:pPr>
        <w:pStyle w:val="a5"/>
      </w:pPr>
      <w:r>
        <w:rPr>
          <w:rStyle w:val="a7"/>
        </w:rPr>
        <w:footnoteRef/>
      </w:r>
      <w:r>
        <w:rPr>
          <w:rtl/>
        </w:rPr>
        <w:t xml:space="preserve"> </w:t>
      </w:r>
      <w:r>
        <w:rPr>
          <w:rFonts w:hint="cs"/>
          <w:rtl/>
        </w:rPr>
        <w:t>צל"ע מדוע הב"י לא הביא את דבריהם, אלא רק את דברי הרמב"ם וסיעתו.</w:t>
      </w:r>
      <w:r w:rsidR="00131597">
        <w:rPr>
          <w:rFonts w:hint="cs"/>
          <w:rtl/>
        </w:rPr>
        <w:t xml:space="preserve"> ואולי צריך לפרש שכוונתו לדבר רק בארוסה, וכפי שמוכיחים תחילת דבריו, ומה שכתב הבא על הפנויה - היינו שאינה גרושה ממנו ואינה אשתו, דאל"כ דבריו קשים להבנה. אבל גם זה קשה, וצל"ע.</w:t>
      </w:r>
    </w:p>
  </w:footnote>
  <w:footnote w:id="2656">
    <w:p w14:paraId="0782775F" w14:textId="77777777" w:rsidR="00C97BEF" w:rsidRDefault="00C97BEF" w:rsidP="00C97BEF">
      <w:pPr>
        <w:pStyle w:val="a5"/>
        <w:rPr>
          <w:rtl/>
        </w:rPr>
      </w:pPr>
      <w:r>
        <w:rPr>
          <w:rStyle w:val="a7"/>
        </w:rPr>
        <w:footnoteRef/>
      </w:r>
      <w:r>
        <w:rPr>
          <w:rtl/>
        </w:rPr>
        <w:t xml:space="preserve"> </w:t>
      </w:r>
      <w:r>
        <w:rPr>
          <w:rFonts w:cs="Arial"/>
          <w:rtl/>
        </w:rPr>
        <w:t>וכן כתב בתרוה"ד (סי' רט) וגם ה"ר דוד הכהן בתשובה (רד"ך בית כ חדר ה) כתב להתיר</w:t>
      </w:r>
      <w:r>
        <w:rPr>
          <w:rtl/>
        </w:rPr>
        <w:t>, ב"י.</w:t>
      </w:r>
      <w:r>
        <w:rPr>
          <w:rFonts w:cs="Arial"/>
          <w:rtl/>
        </w:rPr>
        <w:t xml:space="preserve"> אמנם בתרוה"ד (סי' רט) משמע דיש להחמיר בפנוי הבא על הפנויה, ועיין שם שהאריך מאוד בדבר וחילק בחילוקים וכתב דאם הבועל פרוץ בעריות לא חיישינן לכולי עלמא, וכדברי ריב"ש. ועיין לעיל סימן ל"ג (אות א) כתבתי מקצת דינים אלו, דרכ"מ (אות ג).</w:t>
      </w:r>
    </w:p>
  </w:footnote>
  <w:footnote w:id="2657">
    <w:p w14:paraId="332A27D7" w14:textId="77777777" w:rsidR="00C97BEF" w:rsidRDefault="00C97BEF" w:rsidP="00C97BEF">
      <w:pPr>
        <w:pStyle w:val="a5"/>
        <w:rPr>
          <w:rtl/>
        </w:rPr>
      </w:pPr>
      <w:r>
        <w:rPr>
          <w:rStyle w:val="a7"/>
        </w:rPr>
        <w:footnoteRef/>
      </w:r>
      <w:r>
        <w:rPr>
          <w:rtl/>
        </w:rPr>
        <w:t xml:space="preserve"> </w:t>
      </w:r>
      <w:r>
        <w:rPr>
          <w:rFonts w:cs="Arial"/>
          <w:rtl/>
        </w:rPr>
        <w:t>ובתרומת הדשן (סי' רט) על איש שמוליך עמו אשה ממקום למקום ונתעברה ואמרה שממנו נתעברה כתב דאפילו הוא מודה לא חיישינן לקידושין והאריך בדבר. וכן נראה מדברי תשובת הרא"ש (כלל לב סימן יג) שכתב רבינו בסימן כ"ו</w:t>
      </w:r>
      <w:r>
        <w:rPr>
          <w:rtl/>
        </w:rPr>
        <w:t>, ב"י.</w:t>
      </w:r>
    </w:p>
  </w:footnote>
  <w:footnote w:id="2658">
    <w:p w14:paraId="73474303" w14:textId="77777777" w:rsidR="00C97BEF" w:rsidRDefault="00C97BEF" w:rsidP="00C97BEF">
      <w:pPr>
        <w:pStyle w:val="a5"/>
        <w:rPr>
          <w:rtl/>
        </w:rPr>
      </w:pPr>
      <w:r>
        <w:rPr>
          <w:rStyle w:val="a7"/>
        </w:rPr>
        <w:footnoteRef/>
      </w:r>
      <w:r>
        <w:rPr>
          <w:rtl/>
        </w:rPr>
        <w:t xml:space="preserve"> </w:t>
      </w:r>
      <w:r>
        <w:rPr>
          <w:rFonts w:cs="Arial"/>
          <w:rtl/>
        </w:rPr>
        <w:t xml:space="preserve">ואם אמר לעדים בפניה 'אני מתייחד עמה לשם קדושין' - חוששין לקדושין ע"ש </w:t>
      </w:r>
      <w:r>
        <w:rPr>
          <w:rFonts w:cs="Arial"/>
          <w:sz w:val="16"/>
          <w:szCs w:val="16"/>
          <w:rtl/>
        </w:rPr>
        <w:t>{ברדב"ז [ח"א סי' רעז]}</w:t>
      </w:r>
      <w:r>
        <w:rPr>
          <w:rtl/>
        </w:rPr>
        <w:t>, פת"ש (סק"ב).</w:t>
      </w:r>
    </w:p>
  </w:footnote>
  <w:footnote w:id="2659">
    <w:p w14:paraId="7405DF98" w14:textId="5039A65C" w:rsidR="00E919F4" w:rsidRDefault="00E919F4">
      <w:pPr>
        <w:pStyle w:val="a5"/>
        <w:rPr>
          <w:rFonts w:hint="cs"/>
        </w:rPr>
      </w:pPr>
      <w:r>
        <w:rPr>
          <w:rStyle w:val="a7"/>
        </w:rPr>
        <w:footnoteRef/>
      </w:r>
      <w:r>
        <w:rPr>
          <w:rtl/>
        </w:rPr>
        <w:t xml:space="preserve"> </w:t>
      </w:r>
      <w:r>
        <w:rPr>
          <w:rFonts w:cs="Arial"/>
          <w:rtl/>
        </w:rPr>
        <w:t>ודבריו תמוהין, שאין זה קל וחומר של כלום, דבשמעתין איכא למיחש לקידושין, ובנדון שלו ליכא למיחש להכי. ועוד היאך פסק בפירוש דאינו גט, דהא בשמעתין ספוקי בעלמא מספקי להצריכה גט שני, ובודאי לשמא פייס וביטל השליחות הוא דאיכא למיחש להכי</w:t>
      </w:r>
      <w:r>
        <w:rPr>
          <w:rFonts w:hint="cs"/>
          <w:rtl/>
        </w:rPr>
        <w:t>, ר"ן (מב:).</w:t>
      </w:r>
    </w:p>
  </w:footnote>
  <w:footnote w:id="2660">
    <w:p w14:paraId="0FE2B71D" w14:textId="77777777" w:rsidR="00C97BEF" w:rsidRDefault="00C97BEF" w:rsidP="00C97BEF">
      <w:pPr>
        <w:pStyle w:val="a5"/>
        <w:rPr>
          <w:rtl/>
        </w:rPr>
      </w:pPr>
      <w:r>
        <w:rPr>
          <w:rStyle w:val="a7"/>
        </w:rPr>
        <w:footnoteRef/>
      </w:r>
      <w:r>
        <w:rPr>
          <w:rtl/>
        </w:rPr>
        <w:t xml:space="preserve"> </w:t>
      </w:r>
      <w:r>
        <w:rPr>
          <w:rFonts w:cs="Arial"/>
          <w:rtl/>
        </w:rPr>
        <w:t>וכאן ליכ' החשש שמא בא עליה ומקדש אותה, דהא עדיין לא נכתב הגט. וא"ל החשש הוא שמא ביטל הגט, א"כ קשה למה לא מהני נאמנות. אלא הטעם הוא כשנתייחד עמה ס"ל הרמב"ם בוודאי ביטל שליחתו, ואע"ג דגילוי דעת לא מהני מ"מ כאן עשה מעשה ונתייחד עמה דהוי כמעשה וגרע טפי מג"י, ולרמב"ם הגט בטל, מיהו רבים חולקים עליו לכן פסק דהוי ספק מגורשת עיין ברמב"ם פ"ט הכ"ה ועיין בר"ן ס"פ הזורק</w:t>
      </w:r>
      <w:r>
        <w:rPr>
          <w:rtl/>
        </w:rPr>
        <w:t>, ב"ש (סק"ז).</w:t>
      </w:r>
    </w:p>
  </w:footnote>
  <w:footnote w:id="2661">
    <w:p w14:paraId="0797921B" w14:textId="77777777" w:rsidR="00C97BEF" w:rsidRDefault="00C97BEF" w:rsidP="00C97BEF">
      <w:pPr>
        <w:pStyle w:val="a5"/>
        <w:rPr>
          <w:rtl/>
        </w:rPr>
      </w:pPr>
      <w:r>
        <w:rPr>
          <w:rStyle w:val="a7"/>
        </w:rPr>
        <w:footnoteRef/>
      </w:r>
      <w:r>
        <w:rPr>
          <w:rtl/>
        </w:rPr>
        <w:t xml:space="preserve"> </w:t>
      </w:r>
      <w:r>
        <w:rPr>
          <w:rFonts w:cs="Arial"/>
          <w:rtl/>
        </w:rPr>
        <w:t xml:space="preserve">וכתב המ"מ (פי דגירושין ריש ה"ז) דנראה לו דבעלה הראשון יורשה, דרכ"מ (אות א). </w:t>
      </w:r>
      <w:r>
        <w:rPr>
          <w:rFonts w:cs="Arial"/>
          <w:color w:val="00B0F0"/>
          <w:rtl/>
        </w:rPr>
        <w:t>(וכ"פ בהג"ה)</w:t>
      </w:r>
    </w:p>
  </w:footnote>
  <w:footnote w:id="2662">
    <w:p w14:paraId="5CCCBC9F" w14:textId="661996A1" w:rsidR="00C97BEF" w:rsidRDefault="00C97BEF" w:rsidP="00C97BEF">
      <w:pPr>
        <w:pStyle w:val="a5"/>
      </w:pPr>
      <w:r>
        <w:rPr>
          <w:rStyle w:val="a7"/>
        </w:rPr>
        <w:footnoteRef/>
      </w:r>
      <w:r>
        <w:rPr>
          <w:rtl/>
        </w:rPr>
        <w:t xml:space="preserve"> </w:t>
      </w:r>
      <w:r w:rsidR="009334FF">
        <w:rPr>
          <w:rFonts w:cs="Arial"/>
          <w:rtl/>
        </w:rPr>
        <w:t>ב</w:t>
      </w:r>
      <w:r w:rsidR="00DB737E">
        <w:rPr>
          <w:rFonts w:cs="Arial"/>
          <w:rtl/>
        </w:rPr>
        <w:t>הגהות</w:t>
      </w:r>
      <w:r>
        <w:rPr>
          <w:rFonts w:cs="Arial"/>
          <w:rtl/>
        </w:rPr>
        <w:t xml:space="preserve"> אלפסי החדשים (שלט"ג מט. אות ד) דהוא הדין גט שיש עליו עדי חתימה ונמסר בלא עדים דאע"ג דפסול מדאורייתא מכל מקום פוסל מן הכהונה, דרכ"מ (אות ב).</w:t>
      </w:r>
    </w:p>
  </w:footnote>
  <w:footnote w:id="2663">
    <w:p w14:paraId="356CFD0C" w14:textId="77777777" w:rsidR="00C97BEF" w:rsidRDefault="00C97BEF" w:rsidP="00C97BEF">
      <w:pPr>
        <w:pStyle w:val="a5"/>
      </w:pPr>
      <w:r>
        <w:rPr>
          <w:rStyle w:val="a7"/>
        </w:rPr>
        <w:footnoteRef/>
      </w:r>
      <w:r>
        <w:rPr>
          <w:rtl/>
        </w:rPr>
        <w:t xml:space="preserve"> </w:t>
      </w:r>
      <w:r>
        <w:rPr>
          <w:rFonts w:cs="Arial"/>
          <w:rtl/>
        </w:rPr>
        <w:t>כתב בתשובת ריב"ש (סי' רו) אם נישאת בגט שהוא פסול מדרבנן אם עשתה שלא על פי חכם ראוי לקנסה ואם עשתה על פי חכם לא תצא, ועיין שם</w:t>
      </w:r>
      <w:r>
        <w:rPr>
          <w:rFonts w:cs="Arial"/>
          <w:sz w:val="16"/>
          <w:szCs w:val="16"/>
          <w:rtl/>
        </w:rPr>
        <w:t xml:space="preserve"> {ועיין בפת"ש [סק"ב] שדן במקרה שנשאת במזיד, אי אמרינן תצא, ומסיק דלא תצא}</w:t>
      </w:r>
      <w:r>
        <w:rPr>
          <w:rFonts w:cs="Arial"/>
          <w:rtl/>
        </w:rPr>
        <w:t xml:space="preserve">. ועיין במרדכי (ריש מי שאחזו סי' תכא) תשובה אם יש להתיר פסול דרבנן בשעת הדחק שתנשא לכתחלה באותו גט, ובפרט בדבר שאפשר שמדינא כשר רק שאנו מחמירין בו. וכתב מהרי"ו (בתשובותיו סי' כג) דהרבה דברים אנו מחמירין בו לכתוב בגיטין לכתחלה מיהו אם לא נכתב הגט כשר </w:t>
      </w:r>
      <w:r>
        <w:rPr>
          <w:rFonts w:cs="Arial"/>
          <w:color w:val="00B0F0"/>
          <w:sz w:val="16"/>
          <w:szCs w:val="16"/>
          <w:rtl/>
        </w:rPr>
        <w:t>(וכ"פ בהג"ה)</w:t>
      </w:r>
      <w:r>
        <w:rPr>
          <w:rFonts w:cs="Arial"/>
          <w:rtl/>
        </w:rPr>
        <w:t>. גם מהרא"י (בפסקיו סי' כ-כא) האריך באלו הדינים, והר"ן (גיטין ב. ד"ה ולענין), דרכ"מ (אות ד).</w:t>
      </w:r>
    </w:p>
  </w:footnote>
  <w:footnote w:id="2664">
    <w:p w14:paraId="313494AB" w14:textId="08A596F7" w:rsidR="00C97BEF" w:rsidRDefault="00C97BEF" w:rsidP="00C97BEF">
      <w:pPr>
        <w:pStyle w:val="a5"/>
        <w:rPr>
          <w:rtl/>
        </w:rPr>
      </w:pPr>
      <w:r>
        <w:rPr>
          <w:rStyle w:val="a7"/>
        </w:rPr>
        <w:footnoteRef/>
      </w:r>
      <w:r>
        <w:rPr>
          <w:rtl/>
        </w:rPr>
        <w:t xml:space="preserve"> </w:t>
      </w:r>
      <w:r>
        <w:rPr>
          <w:rFonts w:cs="Arial"/>
          <w:rtl/>
        </w:rPr>
        <w:t>וכן כתבו רב האי</w:t>
      </w:r>
      <w:r>
        <w:rPr>
          <w:rFonts w:cs="Arial"/>
          <w:sz w:val="16"/>
          <w:szCs w:val="16"/>
          <w:rtl/>
        </w:rPr>
        <w:t xml:space="preserve"> (וז"ל הטור בשמו</w:t>
      </w:r>
      <w:r w:rsidR="00A42BE2">
        <w:rPr>
          <w:rFonts w:cs="Arial" w:hint="cs"/>
          <w:sz w:val="16"/>
          <w:szCs w:val="16"/>
          <w:rtl/>
        </w:rPr>
        <w:t>:</w:t>
      </w:r>
      <w:r>
        <w:rPr>
          <w:rFonts w:cs="Arial"/>
          <w:sz w:val="16"/>
          <w:szCs w:val="16"/>
          <w:rtl/>
        </w:rPr>
        <w:t xml:space="preserve"> כל פסולי גט דרבנן שוין אם ניסת לא תצא חוץ מגט ישן שתינשא בו לכתחלה)</w:t>
      </w:r>
      <w:r>
        <w:rPr>
          <w:rFonts w:cs="Arial"/>
          <w:rtl/>
        </w:rPr>
        <w:t xml:space="preserve"> רמב"ן (פו. ד"ה גמרא) ורא"ש</w:t>
      </w:r>
      <w:r>
        <w:rPr>
          <w:rtl/>
        </w:rPr>
        <w:t xml:space="preserve"> (סוף סי' ו)</w:t>
      </w:r>
      <w:r>
        <w:rPr>
          <w:rFonts w:cs="Arial"/>
          <w:rtl/>
        </w:rPr>
        <w:t>. וכן הסכים הר"ן (מו: סוף דיבור ראשון), מיהו כתב דבגט מוקדם דקיי"ל (גיטין יז.) דפסול, איכא מאן דאמר אם נישאת לא תצא כגט שאין בו זמן. מיהו לדברי האומרים (תוספות שם: ד"ה עד) דכל דלא נפל אינה צריכה להביא ראיה אימת מטא גיטא לידה - גט מוקדם פסול, דהא אתיא למיטרף לקוחות שלקחו פירות שלא כדין. ואפילו למאן דאמר (רש"י שם באו"ד) דאע"ג דלא נפל צריכה להביא ראיה יש להחמיר ולומר דכיון דמוקדם בשאר שטרות פסול (שביעית פ"י מ"ה) בגט נמי פסול, ואפילו נישאת תצא כל שאין לה בנים.</w:t>
      </w:r>
    </w:p>
  </w:footnote>
  <w:footnote w:id="2665">
    <w:p w14:paraId="49383FC2" w14:textId="3734E85A" w:rsidR="00C97BEF" w:rsidRDefault="00C97BEF" w:rsidP="00C97BEF">
      <w:pPr>
        <w:pStyle w:val="a5"/>
        <w:rPr>
          <w:rtl/>
        </w:rPr>
      </w:pPr>
      <w:r>
        <w:rPr>
          <w:rStyle w:val="a7"/>
        </w:rPr>
        <w:footnoteRef/>
      </w:r>
      <w:r>
        <w:rPr>
          <w:rtl/>
        </w:rPr>
        <w:t xml:space="preserve"> </w:t>
      </w:r>
      <w:r>
        <w:rPr>
          <w:rFonts w:cs="Arial"/>
          <w:rtl/>
        </w:rPr>
        <w:t>מיהו בנתינת גט אחר ליכא הוצאת לעז על הבנים, תרוה"ד (ח"ב סי' כא, הביאו הדרכ"מ [אות ג]).</w:t>
      </w:r>
      <w:r>
        <w:rPr>
          <w:rFonts w:cs="Arial"/>
          <w:color w:val="00B0F0"/>
          <w:rtl/>
        </w:rPr>
        <w:t xml:space="preserve"> (וכ"</w:t>
      </w:r>
      <w:r w:rsidR="006C074E">
        <w:rPr>
          <w:rFonts w:cs="Arial" w:hint="cs"/>
          <w:color w:val="00B0F0"/>
          <w:rtl/>
        </w:rPr>
        <w:t>פ</w:t>
      </w:r>
      <w:r>
        <w:rPr>
          <w:rFonts w:cs="Arial"/>
          <w:color w:val="00B0F0"/>
          <w:rtl/>
        </w:rPr>
        <w:t xml:space="preserve"> הרמ"א)</w:t>
      </w:r>
    </w:p>
  </w:footnote>
  <w:footnote w:id="2666">
    <w:p w14:paraId="0DF2D4F0" w14:textId="77777777" w:rsidR="00C97BEF" w:rsidRDefault="00C97BEF" w:rsidP="00C97BEF">
      <w:pPr>
        <w:pStyle w:val="a5"/>
      </w:pPr>
      <w:r>
        <w:rPr>
          <w:rStyle w:val="a7"/>
        </w:rPr>
        <w:footnoteRef/>
      </w:r>
      <w:r>
        <w:rPr>
          <w:rtl/>
        </w:rPr>
        <w:t xml:space="preserve"> </w:t>
      </w:r>
      <w:r>
        <w:rPr>
          <w:rFonts w:cs="Arial"/>
          <w:rtl/>
        </w:rPr>
        <w:t>וכתב הרמב"ן (פו. ד"ה גמרא) שאפשר שלא אמר הרי"ף כן אלא כהני דפרק קמא (ה:) אם לא אמר בפני נכתב ובפני נחתם דאיכא למיחש לזיופא בזה רצה להחמיר, ב"י.</w:t>
      </w:r>
    </w:p>
  </w:footnote>
  <w:footnote w:id="2667">
    <w:p w14:paraId="37DFBE66" w14:textId="77777777" w:rsidR="00C97BEF" w:rsidRDefault="00C97BEF" w:rsidP="00C97BEF">
      <w:pPr>
        <w:pStyle w:val="a5"/>
      </w:pPr>
      <w:r>
        <w:rPr>
          <w:rStyle w:val="a7"/>
        </w:rPr>
        <w:footnoteRef/>
      </w:r>
      <w:r>
        <w:rPr>
          <w:rtl/>
        </w:rPr>
        <w:t xml:space="preserve"> </w:t>
      </w:r>
      <w:r>
        <w:rPr>
          <w:rFonts w:cs="Arial"/>
          <w:rtl/>
        </w:rPr>
        <w:t>עיין בס' ג"פ (לעיל סי' קכח סק"ו) שכ' ומספקא לי אם נתארסה בלבד ועדיין לא נכנסה לחופה אם תצאף ומסתברא דלא תצא כיון שכבר נתקדשה עכ"ל. וע"ש עוד בסי' קכ"ט סקמ"ט וסקנ"ב, פת"ש (סק"א).</w:t>
      </w:r>
    </w:p>
  </w:footnote>
  <w:footnote w:id="2668">
    <w:p w14:paraId="1D982646" w14:textId="77777777" w:rsidR="00C97BEF" w:rsidRDefault="00C97BEF" w:rsidP="00C97BEF">
      <w:pPr>
        <w:pStyle w:val="a5"/>
      </w:pPr>
      <w:r>
        <w:rPr>
          <w:rStyle w:val="a7"/>
        </w:rPr>
        <w:footnoteRef/>
      </w:r>
      <w:r>
        <w:rPr>
          <w:rtl/>
        </w:rPr>
        <w:t xml:space="preserve"> </w:t>
      </w:r>
      <w:r>
        <w:rPr>
          <w:rFonts w:cs="Arial"/>
          <w:rtl/>
        </w:rPr>
        <w:t>בין מחמת פסול שבגט או מצדה או מצד התנאי</w:t>
      </w:r>
      <w:r>
        <w:rPr>
          <w:rtl/>
        </w:rPr>
        <w:t>, טור בשם הרמב"ם.</w:t>
      </w:r>
    </w:p>
  </w:footnote>
  <w:footnote w:id="2669">
    <w:p w14:paraId="71010F63" w14:textId="77777777" w:rsidR="00C97BEF" w:rsidRDefault="00C97BEF" w:rsidP="00C97BEF">
      <w:pPr>
        <w:pStyle w:val="a5"/>
        <w:rPr>
          <w:rtl/>
        </w:rPr>
      </w:pPr>
      <w:r>
        <w:rPr>
          <w:rStyle w:val="a7"/>
        </w:rPr>
        <w:footnoteRef/>
      </w:r>
      <w:r>
        <w:rPr>
          <w:rtl/>
        </w:rPr>
        <w:t xml:space="preserve"> </w:t>
      </w:r>
      <w:r>
        <w:rPr>
          <w:rFonts w:cs="Arial"/>
          <w:rtl/>
        </w:rPr>
        <w:t>אבל קידושין מיהא בעיא, הה"מ (שם). וגם הרא"ש כתב בתשובה (כלל מג סי' ח) דבספק גירושין אם היה בא להחזירה היתה צריכה להתקדש. אע"פ שהיה אפשר לומר דאפילו קידושין נמי לא בעיא דכל כה"ג סמכינן על שנאמר דמסתמא יבעול לשם קידושין, כבר הורו זקנים ז"ל, ב"י.</w:t>
      </w:r>
    </w:p>
  </w:footnote>
  <w:footnote w:id="2670">
    <w:p w14:paraId="50B83F80" w14:textId="77777777" w:rsidR="00C97BEF" w:rsidRDefault="00C97BEF" w:rsidP="00C97BEF">
      <w:pPr>
        <w:pStyle w:val="a5"/>
        <w:rPr>
          <w:rtl/>
        </w:rPr>
      </w:pPr>
      <w:r>
        <w:rPr>
          <w:rStyle w:val="a7"/>
        </w:rPr>
        <w:footnoteRef/>
      </w:r>
      <w:r>
        <w:rPr>
          <w:rtl/>
        </w:rPr>
        <w:t xml:space="preserve"> </w:t>
      </w:r>
      <w:r>
        <w:rPr>
          <w:rFonts w:cs="Arial"/>
          <w:rtl/>
        </w:rPr>
        <w:t>גם יש איסור לברך בספק מגורשת, דהא אין מברכין על הספק. ואפילו בגט שהוא כשר מדאוריית' מ"מ כיון שהוא פסול מדרבנן ואינה פנויה לגמרי אין מברכין, המגיד, ועיין סי' ס"א וסי' קמ"ב, ב"ש (סק"ו).</w:t>
      </w:r>
    </w:p>
  </w:footnote>
  <w:footnote w:id="2671">
    <w:p w14:paraId="4768F920" w14:textId="77777777" w:rsidR="00C97BEF" w:rsidRDefault="00C97BEF" w:rsidP="00C97BEF">
      <w:pPr>
        <w:pStyle w:val="a5"/>
      </w:pPr>
      <w:r>
        <w:rPr>
          <w:rStyle w:val="a7"/>
        </w:rPr>
        <w:footnoteRef/>
      </w:r>
      <w:r>
        <w:rPr>
          <w:rtl/>
        </w:rPr>
        <w:t xml:space="preserve"> </w:t>
      </w:r>
      <w:r>
        <w:rPr>
          <w:rFonts w:cs="Arial"/>
          <w:rtl/>
        </w:rPr>
        <w:t>עיין סי' קל"ה דקי"ל כל גט צריכים לקרותו ואם לא קראוהו הגט פסול ואם נשאת תצא. א"כ ע"כ איירי בקראוהו ועייל לידו והחליף. ואע"ג דלכתחלה צריכים לקרותו אחר שעייל לידו מ"מ בדיעבד הגט כשר, אא"כ שמראה הגט קודם שנשאת. כ"כ תוס' ושאר פוסקים, ב"ש (סק"א).</w:t>
      </w:r>
    </w:p>
  </w:footnote>
  <w:footnote w:id="2672">
    <w:p w14:paraId="212A227C" w14:textId="77777777" w:rsidR="00C97BEF" w:rsidRDefault="00C97BEF" w:rsidP="00C97BEF">
      <w:pPr>
        <w:pStyle w:val="a5"/>
      </w:pPr>
      <w:r>
        <w:rPr>
          <w:rStyle w:val="a7"/>
        </w:rPr>
        <w:footnoteRef/>
      </w:r>
      <w:r>
        <w:rPr>
          <w:rtl/>
        </w:rPr>
        <w:t xml:space="preserve"> </w:t>
      </w:r>
      <w:r>
        <w:rPr>
          <w:rFonts w:cs="Arial"/>
          <w:rtl/>
        </w:rPr>
        <w:t>ה"ה נתארסה אינו נאמן לאבד זכות של שני, כ"כ ב"ח בשם חידושי רשב"א. ומשמע בכל זה דאין צריך גט מבעל הראשון אם נשאת או נתארסה לאחר...</w:t>
      </w:r>
      <w:r>
        <w:rPr>
          <w:rtl/>
        </w:rPr>
        <w:t>, ב"ש (סק"ב).</w:t>
      </w:r>
    </w:p>
  </w:footnote>
  <w:footnote w:id="2673">
    <w:p w14:paraId="6879AB10" w14:textId="77777777" w:rsidR="00C97BEF" w:rsidRDefault="00C97BEF" w:rsidP="00C97BEF">
      <w:pPr>
        <w:pStyle w:val="a5"/>
        <w:rPr>
          <w:rtl/>
        </w:rPr>
      </w:pPr>
      <w:r>
        <w:rPr>
          <w:rStyle w:val="a7"/>
        </w:rPr>
        <w:footnoteRef/>
      </w:r>
      <w:r>
        <w:rPr>
          <w:rtl/>
        </w:rPr>
        <w:t xml:space="preserve"> </w:t>
      </w:r>
      <w:r>
        <w:rPr>
          <w:rFonts w:cs="Arial"/>
          <w:rtl/>
        </w:rPr>
        <w:t>דמגו דאי בעי יהיב ליה במתנה כי אמר נמי בני הוא ויירשני נאמן..., רשב"ם.</w:t>
      </w:r>
    </w:p>
  </w:footnote>
  <w:footnote w:id="2674">
    <w:p w14:paraId="1EA4719C" w14:textId="77777777" w:rsidR="00C97BEF" w:rsidRDefault="00C97BEF" w:rsidP="00C97BEF">
      <w:pPr>
        <w:pStyle w:val="a5"/>
      </w:pPr>
      <w:r>
        <w:rPr>
          <w:rStyle w:val="a7"/>
        </w:rPr>
        <w:footnoteRef/>
      </w:r>
      <w:r>
        <w:rPr>
          <w:rtl/>
        </w:rPr>
        <w:t xml:space="preserve"> </w:t>
      </w:r>
      <w:r>
        <w:rPr>
          <w:rFonts w:cs="Arial"/>
          <w:rtl/>
        </w:rPr>
        <w:t>ואין אשתו זקוקה ליבם נאמן ותנשא לשוק ולקמיה מוקי לה בדלא מוחזק לן לא באחי ולא בבני, רשב"ם.</w:t>
      </w:r>
    </w:p>
  </w:footnote>
  <w:footnote w:id="2675">
    <w:p w14:paraId="25A73D9F" w14:textId="77777777" w:rsidR="00C97BEF" w:rsidRDefault="00C97BEF" w:rsidP="00C97BEF">
      <w:pPr>
        <w:pStyle w:val="a5"/>
      </w:pPr>
      <w:r>
        <w:rPr>
          <w:rStyle w:val="a7"/>
        </w:rPr>
        <w:footnoteRef/>
      </w:r>
      <w:r>
        <w:rPr>
          <w:rtl/>
        </w:rPr>
        <w:t xml:space="preserve"> </w:t>
      </w:r>
      <w:r>
        <w:rPr>
          <w:rFonts w:cs="Arial"/>
          <w:rtl/>
        </w:rPr>
        <w:t>וזקוקה ליבם, רשב"ם.</w:t>
      </w:r>
    </w:p>
  </w:footnote>
  <w:footnote w:id="2676">
    <w:p w14:paraId="1BF3CF56" w14:textId="77777777" w:rsidR="00C97BEF" w:rsidRDefault="00C97BEF" w:rsidP="00C97BEF">
      <w:pPr>
        <w:pStyle w:val="a5"/>
      </w:pPr>
      <w:r>
        <w:rPr>
          <w:rStyle w:val="a7"/>
        </w:rPr>
        <w:footnoteRef/>
      </w:r>
      <w:r>
        <w:rPr>
          <w:rtl/>
        </w:rPr>
        <w:t xml:space="preserve"> </w:t>
      </w:r>
      <w:r>
        <w:rPr>
          <w:rFonts w:cs="Arial"/>
          <w:rtl/>
        </w:rPr>
        <w:t>לאסרה וטעמא מפרשי' לקמיה, רשב"ם.</w:t>
      </w:r>
    </w:p>
  </w:footnote>
  <w:footnote w:id="2677">
    <w:p w14:paraId="7365D029" w14:textId="77777777" w:rsidR="00C97BEF" w:rsidRDefault="00C97BEF" w:rsidP="00C97BEF">
      <w:pPr>
        <w:pStyle w:val="a5"/>
      </w:pPr>
      <w:r>
        <w:rPr>
          <w:rStyle w:val="a7"/>
        </w:rPr>
        <w:footnoteRef/>
      </w:r>
      <w:r>
        <w:rPr>
          <w:rtl/>
        </w:rPr>
        <w:t xml:space="preserve"> </w:t>
      </w:r>
      <w:r>
        <w:rPr>
          <w:rFonts w:cs="Arial"/>
          <w:rtl/>
        </w:rPr>
        <w:t>האי גברא בשעת מיתה לא באחי ולא בבני וקיימא הך אתתא בחזקת שאינה זקוקה ליבם דספק ספיקא הוא שמא יש לו בנים ואת"ל אין לו שמא גם אחין אין לו ומותרת לשוק</w:t>
      </w:r>
      <w:r>
        <w:rPr>
          <w:rtl/>
        </w:rPr>
        <w:t>..., רשב"ם.</w:t>
      </w:r>
    </w:p>
  </w:footnote>
  <w:footnote w:id="2678">
    <w:p w14:paraId="23EF9E65" w14:textId="77777777" w:rsidR="00C97BEF" w:rsidRDefault="00C97BEF" w:rsidP="00C97BEF">
      <w:pPr>
        <w:pStyle w:val="a5"/>
        <w:rPr>
          <w:rtl/>
        </w:rPr>
      </w:pPr>
      <w:r>
        <w:rPr>
          <w:rStyle w:val="a7"/>
        </w:rPr>
        <w:footnoteRef/>
      </w:r>
      <w:r>
        <w:rPr>
          <w:rtl/>
        </w:rPr>
        <w:t xml:space="preserve"> </w:t>
      </w:r>
      <w:r>
        <w:rPr>
          <w:rFonts w:cs="Arial"/>
          <w:rtl/>
        </w:rPr>
        <w:t>אתי לאשמועינן דאע"ג דמוחזק לן בגויה דאית ליה אחי חזקה בעלמא בלא עדים אפ"ה אי אמר זה בני נאמן לפטרה מיבום וכדמפרש טעמא לקמן מגו דאי בעי פטר לה בגט והלכך מה לו לשקר..., רשב"ם.</w:t>
      </w:r>
    </w:p>
  </w:footnote>
  <w:footnote w:id="2679">
    <w:p w14:paraId="3A9C58F1" w14:textId="77777777" w:rsidR="00C97BEF" w:rsidRDefault="00C97BEF" w:rsidP="00C97BEF">
      <w:pPr>
        <w:pStyle w:val="a5"/>
      </w:pPr>
      <w:r>
        <w:rPr>
          <w:rStyle w:val="a7"/>
        </w:rPr>
        <w:footnoteRef/>
      </w:r>
      <w:r>
        <w:rPr>
          <w:rtl/>
        </w:rPr>
        <w:t xml:space="preserve"> </w:t>
      </w:r>
      <w:r>
        <w:rPr>
          <w:rFonts w:cs="Arial"/>
          <w:rtl/>
        </w:rPr>
        <w:t>אם עמד לפנינו באחד באייר ואמר גרשתי את אשתי מאחד בניסן אינו נאמן להחזיקה כמו מגורשת למפרע שאם יבואו עדים אחרי כן שיאמרו אנו ראינו שזינתה בט"ו בניסן תדון בחנק כדין אשת איש דאין הבעל נאמן לעשותה מגורשת למפרע שהרי אין כאן מגו שהרי אינו יכול עכשיו באחד באייר לעשות לה גט שתתגרש בו למפרע מקודם זנות</w:t>
      </w:r>
      <w:r>
        <w:rPr>
          <w:rtl/>
        </w:rPr>
        <w:t>, רשב"ם.</w:t>
      </w:r>
    </w:p>
  </w:footnote>
  <w:footnote w:id="2680">
    <w:p w14:paraId="1B0CDDA2" w14:textId="77777777" w:rsidR="00C97BEF" w:rsidRDefault="00C97BEF" w:rsidP="00C97BEF">
      <w:pPr>
        <w:pStyle w:val="a5"/>
        <w:rPr>
          <w:rtl/>
        </w:rPr>
      </w:pPr>
      <w:r>
        <w:rPr>
          <w:rStyle w:val="a7"/>
        </w:rPr>
        <w:footnoteRef/>
      </w:r>
      <w:r>
        <w:rPr>
          <w:rtl/>
        </w:rPr>
        <w:t xml:space="preserve"> </w:t>
      </w:r>
      <w:r>
        <w:rPr>
          <w:rFonts w:cs="Arial"/>
          <w:rtl/>
        </w:rPr>
        <w:t>אם אמר גרשתי את אשתי סתם, א"נ עכשיו גרשתי, דאינו מעיד עליה למפרע ולא נפקא מינה אלא לפטרה מכאן ולהבא בין לזנות בין ליפטר מיבום וגם להנשא לכל מי שתרצה בחיי בעלה, דמה לו לשקר הא אי בעי מגרש לה בפנינו. ואכתי לא אזל לה הואיל דרב יוסף לגמרי דלהבא מיהא אמרינן הואיל, רשב"ם.</w:t>
      </w:r>
    </w:p>
  </w:footnote>
  <w:footnote w:id="2681">
    <w:p w14:paraId="579F5FA6" w14:textId="77777777" w:rsidR="00C97BEF" w:rsidRDefault="00C97BEF" w:rsidP="00C97BEF">
      <w:pPr>
        <w:pStyle w:val="a5"/>
      </w:pPr>
      <w:r>
        <w:rPr>
          <w:rStyle w:val="a7"/>
        </w:rPr>
        <w:footnoteRef/>
      </w:r>
      <w:r>
        <w:rPr>
          <w:rtl/>
        </w:rPr>
        <w:t xml:space="preserve"> </w:t>
      </w:r>
      <w:r>
        <w:rPr>
          <w:rFonts w:cs="Arial"/>
          <w:rtl/>
        </w:rPr>
        <w:t>לבועל, ולא להורגה, דאצל אשתו פסול הוא לעדות אלמא פלגינן האי עדות דלבועל מהימן לאשה לא מהימן, רשב"ם.</w:t>
      </w:r>
    </w:p>
  </w:footnote>
  <w:footnote w:id="2682">
    <w:p w14:paraId="18254E4E" w14:textId="77777777" w:rsidR="00C97BEF" w:rsidRDefault="00C97BEF" w:rsidP="00C97BEF">
      <w:pPr>
        <w:pStyle w:val="a5"/>
      </w:pPr>
      <w:r>
        <w:rPr>
          <w:rStyle w:val="a7"/>
        </w:rPr>
        <w:footnoteRef/>
      </w:r>
      <w:r>
        <w:rPr>
          <w:rtl/>
        </w:rPr>
        <w:t xml:space="preserve"> </w:t>
      </w:r>
      <w:r>
        <w:rPr>
          <w:rFonts w:cs="Arial"/>
          <w:rtl/>
        </w:rPr>
        <w:t>בועל ואשה פלגינן דלגבי בועל אנו מאמינין כל העדות, רשב"ם.</w:t>
      </w:r>
    </w:p>
  </w:footnote>
  <w:footnote w:id="2683">
    <w:p w14:paraId="6A39C87F" w14:textId="77777777" w:rsidR="00C97BEF" w:rsidRDefault="00C97BEF" w:rsidP="00C97BEF">
      <w:pPr>
        <w:pStyle w:val="a5"/>
      </w:pPr>
      <w:r>
        <w:rPr>
          <w:rStyle w:val="a7"/>
        </w:rPr>
        <w:footnoteRef/>
      </w:r>
      <w:r>
        <w:rPr>
          <w:rtl/>
        </w:rPr>
        <w:t xml:space="preserve"> </w:t>
      </w:r>
      <w:r>
        <w:rPr>
          <w:rFonts w:cs="Arial"/>
          <w:rtl/>
        </w:rPr>
        <w:t>למפרע ולהבא באשה אחת, רשב"ם.</w:t>
      </w:r>
    </w:p>
  </w:footnote>
  <w:footnote w:id="2684">
    <w:p w14:paraId="45CD98E3" w14:textId="77777777" w:rsidR="00C97BEF" w:rsidRDefault="00C97BEF" w:rsidP="00C97BEF">
      <w:pPr>
        <w:pStyle w:val="a5"/>
      </w:pPr>
      <w:r>
        <w:rPr>
          <w:rStyle w:val="a7"/>
        </w:rPr>
        <w:footnoteRef/>
      </w:r>
      <w:r>
        <w:rPr>
          <w:rtl/>
        </w:rPr>
        <w:t xml:space="preserve"> </w:t>
      </w:r>
      <w:r>
        <w:rPr>
          <w:rFonts w:cs="Arial"/>
          <w:rtl/>
        </w:rPr>
        <w:t>והיו לו אחין ולא בנין דמוחזק ליבם, רשב"ם.</w:t>
      </w:r>
    </w:p>
  </w:footnote>
  <w:footnote w:id="2685">
    <w:p w14:paraId="7B6F13C1" w14:textId="77777777" w:rsidR="00C97BEF" w:rsidRDefault="00C97BEF" w:rsidP="00C97BEF">
      <w:pPr>
        <w:pStyle w:val="a5"/>
      </w:pPr>
      <w:r>
        <w:rPr>
          <w:rStyle w:val="a7"/>
        </w:rPr>
        <w:footnoteRef/>
      </w:r>
      <w:r>
        <w:rPr>
          <w:rtl/>
        </w:rPr>
        <w:t xml:space="preserve"> </w:t>
      </w:r>
      <w:r>
        <w:rPr>
          <w:rFonts w:cs="Arial"/>
          <w:rtl/>
        </w:rPr>
        <w:t>זקוקה ליבום או מותרת לשוק</w:t>
      </w:r>
      <w:r>
        <w:rPr>
          <w:rtl/>
        </w:rPr>
        <w:t>, רשב"ם.</w:t>
      </w:r>
    </w:p>
  </w:footnote>
  <w:footnote w:id="2686">
    <w:p w14:paraId="6F55C467" w14:textId="77777777" w:rsidR="00C97BEF" w:rsidRDefault="00C97BEF" w:rsidP="00C97BEF">
      <w:pPr>
        <w:pStyle w:val="a5"/>
        <w:rPr>
          <w:rtl/>
        </w:rPr>
      </w:pPr>
      <w:r>
        <w:rPr>
          <w:rStyle w:val="a7"/>
        </w:rPr>
        <w:footnoteRef/>
      </w:r>
      <w:r>
        <w:rPr>
          <w:rtl/>
        </w:rPr>
        <w:t xml:space="preserve"> </w:t>
      </w:r>
      <w:r>
        <w:rPr>
          <w:rFonts w:cs="Arial"/>
          <w:rtl/>
        </w:rPr>
        <w:t>לאו דוקא אלא שמותרת לכל אדם ואינה זקוקה ליבם, ומיהו לכהנא אסירא דהא ע"י מגו דבעל שאמר גרשתי את אשתי נאמן מהימנינן כדמפרש ואזיל, רשב"ם.</w:t>
      </w:r>
    </w:p>
  </w:footnote>
  <w:footnote w:id="2687">
    <w:p w14:paraId="485C95D5" w14:textId="77777777" w:rsidR="00C97BEF" w:rsidRDefault="00C97BEF" w:rsidP="00C97BEF">
      <w:pPr>
        <w:pStyle w:val="a5"/>
      </w:pPr>
      <w:r>
        <w:rPr>
          <w:rStyle w:val="a7"/>
        </w:rPr>
        <w:footnoteRef/>
      </w:r>
      <w:r>
        <w:rPr>
          <w:rtl/>
        </w:rPr>
        <w:t xml:space="preserve"> </w:t>
      </w:r>
      <w:r>
        <w:rPr>
          <w:rFonts w:cs="Arial"/>
          <w:rtl/>
        </w:rPr>
        <w:t>לאסרה לשוק</w:t>
      </w:r>
      <w:r>
        <w:rPr>
          <w:rtl/>
        </w:rPr>
        <w:t>, רשב"ם.</w:t>
      </w:r>
    </w:p>
  </w:footnote>
  <w:footnote w:id="2688">
    <w:p w14:paraId="22ECF44E" w14:textId="77777777" w:rsidR="00C97BEF" w:rsidRDefault="00C97BEF" w:rsidP="00C97BEF">
      <w:pPr>
        <w:pStyle w:val="a5"/>
        <w:rPr>
          <w:rtl/>
        </w:rPr>
      </w:pPr>
      <w:r>
        <w:rPr>
          <w:rStyle w:val="a7"/>
        </w:rPr>
        <w:footnoteRef/>
      </w:r>
      <w:r>
        <w:rPr>
          <w:rtl/>
        </w:rPr>
        <w:t xml:space="preserve"> </w:t>
      </w:r>
      <w:r>
        <w:rPr>
          <w:rFonts w:cs="Arial"/>
          <w:rtl/>
        </w:rPr>
        <w:t>והאי נמי הכי קאמר גרשתי את אשתי וחזיא לעלמא ומיהו לכהנא אסירא דהא לא פטרינן לה אלא בטענת גרשתי את אשתי וגרושה פסולה לכהן שהרי אינה נפטרת בטענת יש לי בנים דהא מוחזק לן בגויה דאין לו בנים ואיהו לא טעין יש לי בנים דניהמניה ע"י מגו דמצי פטר לה בגט הלכך הכי קאמר גרשתי את אשתי ונאמן הוא דאי בעי מגרש לה</w:t>
      </w:r>
      <w:r>
        <w:rPr>
          <w:rtl/>
        </w:rPr>
        <w:t>, רשב"ם.</w:t>
      </w:r>
    </w:p>
  </w:footnote>
  <w:footnote w:id="2689">
    <w:p w14:paraId="77652BB3" w14:textId="77777777" w:rsidR="00C97BEF" w:rsidRDefault="00C97BEF" w:rsidP="00C97BEF">
      <w:pPr>
        <w:pStyle w:val="a5"/>
        <w:rPr>
          <w:rtl/>
        </w:rPr>
      </w:pPr>
      <w:r>
        <w:rPr>
          <w:rStyle w:val="a7"/>
        </w:rPr>
        <w:footnoteRef/>
      </w:r>
      <w:r>
        <w:rPr>
          <w:rtl/>
        </w:rPr>
        <w:t xml:space="preserve"> </w:t>
      </w:r>
      <w:r>
        <w:rPr>
          <w:rFonts w:cs="Arial"/>
          <w:rtl/>
        </w:rPr>
        <w:t>דלמא אמוראי נינהו דפליגי אליבא דר' יוחנן ואיכא למאן דאמר אינו נאמן אפילו להבא דלא אמרינן מגו שהרי רגלים יש לדבר שלא גירשה דאם גירשה קלא הוה ליה למילתא כדאמרינן בהאשה שנתארמלה, רשב"ם.</w:t>
      </w:r>
    </w:p>
  </w:footnote>
  <w:footnote w:id="2690">
    <w:p w14:paraId="7F4A6A49" w14:textId="77777777" w:rsidR="00C97BEF" w:rsidRDefault="00C97BEF" w:rsidP="00C97BEF">
      <w:pPr>
        <w:pStyle w:val="a5"/>
      </w:pPr>
      <w:r>
        <w:rPr>
          <w:rStyle w:val="a7"/>
        </w:rPr>
        <w:footnoteRef/>
      </w:r>
      <w:r>
        <w:rPr>
          <w:rtl/>
        </w:rPr>
        <w:t xml:space="preserve"> </w:t>
      </w:r>
      <w:r>
        <w:rPr>
          <w:rFonts w:cs="Arial"/>
          <w:rtl/>
        </w:rPr>
        <w:t>כאביי ותיאסר לשוק ומשום דאמר לעיל למאי ניחוש קאמר הכא דודאי איכא למיחש ומהכא שמעינן דבעל שאמר גרשתי את אשתי אינו נאמן, רשב"ם.</w:t>
      </w:r>
    </w:p>
  </w:footnote>
  <w:footnote w:id="2691">
    <w:p w14:paraId="64DC60E3" w14:textId="246DD704" w:rsidR="00C97BEF" w:rsidRDefault="00C97BEF" w:rsidP="00C97BEF">
      <w:pPr>
        <w:pStyle w:val="a5"/>
      </w:pPr>
      <w:r>
        <w:rPr>
          <w:rStyle w:val="a7"/>
        </w:rPr>
        <w:footnoteRef/>
      </w:r>
      <w:r>
        <w:rPr>
          <w:rtl/>
        </w:rPr>
        <w:t xml:space="preserve"> </w:t>
      </w:r>
      <w:r>
        <w:rPr>
          <w:rFonts w:cs="Arial"/>
          <w:rtl/>
        </w:rPr>
        <w:t>היינו לאחר מותו חולצת ולא מתייבמת. גם, אם זנתה אחר שאמר גרשתי הבנים ספק ממזרים. אבל אינו יכול לאסור עליו אם הוא כהן</w:t>
      </w:r>
      <w:r>
        <w:rPr>
          <w:rtl/>
        </w:rPr>
        <w:t xml:space="preserve">, </w:t>
      </w:r>
      <w:r>
        <w:rPr>
          <w:b/>
          <w:bCs/>
          <w:rtl/>
        </w:rPr>
        <w:t>ב"ש</w:t>
      </w:r>
      <w:r>
        <w:rPr>
          <w:rtl/>
        </w:rPr>
        <w:t xml:space="preserve"> (סק"ב).</w:t>
      </w:r>
      <w:r>
        <w:rPr>
          <w:rFonts w:cs="Arial"/>
          <w:rtl/>
        </w:rPr>
        <w:t xml:space="preserve"> ועיין בספר תו"ג שכ' עליו- דבריו מרפסין איגרא </w:t>
      </w:r>
      <w:r>
        <w:rPr>
          <w:rFonts w:cs="Arial"/>
          <w:sz w:val="16"/>
          <w:szCs w:val="16"/>
          <w:rtl/>
        </w:rPr>
        <w:t xml:space="preserve">(ע"פ קידושין [סג:], ופרש"י שם- משברות גגין ועליות, כלומר קשות לשומעיהן שאינם מבינים טעמם) </w:t>
      </w:r>
      <w:r>
        <w:rPr>
          <w:rFonts w:cs="Arial"/>
          <w:rtl/>
        </w:rPr>
        <w:t xml:space="preserve">דודאי נאסרה עליו אם הוא כהן. ונראה דט"ס יש בדבריו וצ"ל ואין יכול לאוסרה על כהן. והיינו כשהיא מכחישתו ואח"כ מת, ומטעם דאין אדם נאמן לאסור על חבירו כשהוא מכחישו ואפי' האחר מותר בה אף שהאחר אינו יודע להכחישו מ"מ מותר, כמו בנתנסך יינך דמותר לכ"ע כשהבע"ד מכחישו עכ"ד ע"ש. ועיין בת' ברית אברהם (חיו"ד סי' סו סוף אות ה) שהעתיק דברי הב"ש הנ"ל ככתבן ונדחק לפרש דהיינו לדעה האמצעית בסימן קע"ח ס"ט </w:t>
      </w:r>
      <w:r w:rsidR="009334FF">
        <w:rPr>
          <w:rFonts w:cs="Arial"/>
          <w:rtl/>
        </w:rPr>
        <w:t>בהג"ה</w:t>
      </w:r>
      <w:r>
        <w:rPr>
          <w:rFonts w:cs="Arial"/>
          <w:rtl/>
        </w:rPr>
        <w:t xml:space="preserve">, וכיון דהוא מטעם נאמנות האידנא משום חרגמ"ה אינו נאמן יעו"ש. אך האמת נראה כדברי התו"ג הנ"ל דט"ס יש כאן. גם בס' בית מאיר כתב דט"ס בדברי הב"ש וצ"ל אבל אינה יכולה לחזור אליו אם הוא כהן. ועיין בתשו' הרדב"ז (ח"ה סי' שני אלפים שלה) שכתב דבעל שאמר גרשתי את אשתי פשוט הוא דאינו נאמן כו' ואם הוא כהן שווי' אנפשי' חד"א, ואם הוא ישראל וצריך לקיימה צריך לקדש אותה פעם אחרת כי לפי דבריו גרושה הי' ואסור בפנוי'. ומה שיש לדקדק הוא אם אמר גרשתיה במקום פלוני דמשום הכי לית הכא קלא שנתגרשה ולא הוי מיגו במקום עדים וי"ל דאפי' בכה"ג אינו נאמן להתירה לעלמ' בלא גט אחר, דאם איתא דגירשה במקום אחר כשבאו לכאן הי' יוצא עליה שם גרושה והדר הוי מגו במקום עדים (ולפ"ז היכא דבאמת איכ' קול שגירש' במקום פלוני אף דע"פ הקול לחוד אין לסמוך להוצי' מחזקתה כמ"ש לקמן ס"ז </w:t>
      </w:r>
      <w:r w:rsidR="009334FF">
        <w:rPr>
          <w:rFonts w:cs="Arial"/>
          <w:rtl/>
        </w:rPr>
        <w:t>בהג"ה</w:t>
      </w:r>
      <w:r>
        <w:rPr>
          <w:rFonts w:cs="Arial"/>
          <w:rtl/>
        </w:rPr>
        <w:t xml:space="preserve"> מ"מ בכה"ג יש לסמוך על דברי הבעל). ואם אין כאן מי שיודע שהיתה אשתו פשיטא דנאמן לומר קדשתיה וגרשתיה שהפה שאסר כו' עכ"ד, </w:t>
      </w:r>
      <w:r>
        <w:rPr>
          <w:rFonts w:cs="Arial"/>
          <w:b/>
          <w:bCs/>
          <w:rtl/>
        </w:rPr>
        <w:t xml:space="preserve">פת"ש </w:t>
      </w:r>
      <w:r>
        <w:rPr>
          <w:rFonts w:cs="Arial"/>
          <w:rtl/>
        </w:rPr>
        <w:t>(סק"א).</w:t>
      </w:r>
    </w:p>
  </w:footnote>
  <w:footnote w:id="2692">
    <w:p w14:paraId="757DD3BB" w14:textId="77777777" w:rsidR="00C97BEF" w:rsidRDefault="00C97BEF" w:rsidP="00C97BEF">
      <w:pPr>
        <w:pStyle w:val="a5"/>
        <w:rPr>
          <w:rtl/>
        </w:rPr>
      </w:pPr>
      <w:r>
        <w:rPr>
          <w:rStyle w:val="a7"/>
        </w:rPr>
        <w:footnoteRef/>
      </w:r>
      <w:r>
        <w:rPr>
          <w:rtl/>
        </w:rPr>
        <w:t xml:space="preserve"> </w:t>
      </w:r>
      <w:r>
        <w:rPr>
          <w:rFonts w:cs="Arial"/>
          <w:rtl/>
        </w:rPr>
        <w:t>ומשמע בסוף פרק המגרש (פט:) שהארוסה והנשואה דין אחד להם לענין זה, וכ"כ הרשב"א בתשובה (סי' תקסח). ועיין במה שכתב שם בדינים אלו ובתשובות (הרשב"א המיוחסות) להרמב"ן סימן ק"מ. ועיין במה שכתבתי בסימן י"ז (ל: ד"ה ומ"ש או), ב"י.</w:t>
      </w:r>
    </w:p>
  </w:footnote>
  <w:footnote w:id="2693">
    <w:p w14:paraId="7730A304" w14:textId="77777777" w:rsidR="00C97BEF" w:rsidRDefault="00C97BEF" w:rsidP="00C97BEF">
      <w:pPr>
        <w:pStyle w:val="a5"/>
      </w:pPr>
      <w:r>
        <w:rPr>
          <w:rStyle w:val="a7"/>
        </w:rPr>
        <w:footnoteRef/>
      </w:r>
      <w:r>
        <w:rPr>
          <w:rtl/>
        </w:rPr>
        <w:t xml:space="preserve"> </w:t>
      </w:r>
      <w:r>
        <w:rPr>
          <w:rFonts w:cs="Arial"/>
          <w:rtl/>
        </w:rPr>
        <w:t>וגם הה"מ כתב (בפרק הנזכר) נגד הראב"ד, ושכבר הכריחו הרמב"ן והרשב"א (גיטין סד: ד"ה וליהוי) בראיות שנאמנת לינשא, וכן דעת הרמב"ם בפי"ב מהלכות גירושין (ה"ד) שנאמנת לינשא לכתחלה</w:t>
      </w:r>
      <w:r>
        <w:rPr>
          <w:rtl/>
        </w:rPr>
        <w:t>, ב"י.</w:t>
      </w:r>
    </w:p>
  </w:footnote>
  <w:footnote w:id="2694">
    <w:p w14:paraId="1FEADAD9" w14:textId="6DA4D2FD" w:rsidR="00C97BEF" w:rsidRDefault="00C97BEF" w:rsidP="00C97BEF">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הלכתא כרב המנונא כדפי'. וא"ת בס"פ הכותב (כתובות פט. ושם) גבי הוציאה גט דקאמר רב יוסף הב"ע שאין שם עידי גירושין דמיגו דיכול לומר לא גרשתיה יכול לומר גרשתיה ונתתי לה כתובתה, והיאך יכול לומר כן כיון שנאמנת לומר גירשתני? ויש לומר דכשתובעת כתובה אינה נאמנת, אלא דוקא לענין נישואין.</w:t>
      </w:r>
    </w:p>
  </w:footnote>
  <w:footnote w:id="2695">
    <w:p w14:paraId="0FDA7D31" w14:textId="7E0156D0"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לאה שתבעה ראובן בעלה לדין וטענה עליו שאין לו גבורת אנשים לבא עליה כדרך כל הארץ ותובעת ממנו שיגרשנה ולא תבעה כתובתה בבית דין נאמנת. כדמוכח בנדרים (צא.) דבכל מידי שהבעל מכיר בשקרה נאמנת אף למשנה אחרונה ולא חיישינן שמא נתנה עיניה באחר דחזקה אין אשה מעיזה פניה בפני בעלה לטעון בפניו דבר שהוא יודע שהוא שקר. ואי תבעה בפני בית דין גט וכתובה לא מהימנא. כדאמרינן בפ' האשה שלום (קיז.) האשה שאמרה מת בעלי התירוני לינשא מתירין אותה ונותנין לה כתובה, מת בעלי תנו לי כתובתי אף לינשא אין מתירין אותה, ומיבעיא ליה התם התירוני לינשא ותנו לי כתובתי מהו, ועלתה בתיקו. ואם תבעה גט ולא כתובה יגרשנה ולא יתן לה כתובה. כההיא דרב המנונא האשה שאמרה גרשתני דנהי דמהימנא לגבי נפשה להפקיע ממנה איסור אשת איש שעליה מטעם חזקה דאין אשה מעיזה פניה בפני בעלה מ"מ אין לבית דין כח להוציא ממנו ממון כיון שעומד וצווח שלא גרשה. ולא דמי לאשה שאמרה מת בעלה שגובה כתובתה על פיה, דהתם אין אדם מכחישה ומספר כתובה נלמוד לכשתנשאי לאחר תטלי מה שכתוב ליכי.</w:t>
      </w:r>
    </w:p>
  </w:footnote>
  <w:footnote w:id="2696">
    <w:p w14:paraId="4C0189C8" w14:textId="77777777" w:rsidR="00C97BEF" w:rsidRDefault="00C97BEF" w:rsidP="00C97BEF">
      <w:pPr>
        <w:pStyle w:val="a5"/>
      </w:pPr>
      <w:r>
        <w:rPr>
          <w:rStyle w:val="a7"/>
        </w:rPr>
        <w:footnoteRef/>
      </w:r>
      <w:r>
        <w:rPr>
          <w:rtl/>
        </w:rPr>
        <w:t xml:space="preserve"> </w:t>
      </w:r>
      <w:r>
        <w:rPr>
          <w:rFonts w:cs="Arial"/>
          <w:rtl/>
        </w:rPr>
        <w:t>ובתשובת מהרי"ק שורש ע"ב (הב"י שלח לעיין בדבריו) האריך בזה ומשמע שם דמסקנתו שגובה כתובתה וע"ש. ובתוס' שילהי נדרים (צא. ד"ה קסבר רב) מדמי הא מילתא לטענת ישען על ביתו ולא יעמוד וכן מדמין להו תשובה הנ"ל ולקמן בסימן קנ"ד (עמ' שי) דבאותה טענה אין לה כתובה והוא הדין הכא, דרכ"מ (אות א).</w:t>
      </w:r>
      <w:r>
        <w:rPr>
          <w:rtl/>
        </w:rPr>
        <w:t xml:space="preserve"> וצל"ע מדוע הב"י לא הביא את דעת התוס' והרא"ש.</w:t>
      </w:r>
    </w:p>
  </w:footnote>
  <w:footnote w:id="2697">
    <w:p w14:paraId="720F9458" w14:textId="1FA0A4AD"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מכאן נראה דהלכה כרב המנונא... וא"ת הא אמרי' בשילהי הכותב (פט.) גבי הוציאה גט א"ר יוסף הב"ע כשאין שם עידי גרושין דמיגו דיכול לומר לא גירשתיה יכול לומר גירשתיה ונתתי לה כתובה, והיאך יכול לומר כן כיון דמעיזה פניה לומר גירשתני מהימנא? וי"ל כגון דהואי קטטה בינייהו דאז לא מהימנא. א"נ מאחר שתובעת כתובתה אינה נאמנת דשמא מחמת חימוד ממון היא אומרת כן, כדאמרינן לקמן (קיז.) באתה לב"ד ואמרה מת בעלי התירוני לינשא מתירין ונותנין לה כתובה תנו לי כתובתי אף לינשא אין מתירין אותה</w:t>
      </w:r>
      <w:r>
        <w:rPr>
          <w:rtl/>
        </w:rPr>
        <w:t xml:space="preserve">. </w:t>
      </w:r>
    </w:p>
  </w:footnote>
  <w:footnote w:id="2698">
    <w:p w14:paraId="5ABAFA3D" w14:textId="77777777" w:rsidR="00C97BEF" w:rsidRDefault="00C97BEF" w:rsidP="00C97BEF">
      <w:pPr>
        <w:pStyle w:val="a5"/>
      </w:pPr>
      <w:r>
        <w:rPr>
          <w:rStyle w:val="a7"/>
        </w:rPr>
        <w:footnoteRef/>
      </w:r>
      <w:r>
        <w:rPr>
          <w:rtl/>
        </w:rPr>
        <w:t xml:space="preserve"> </w:t>
      </w:r>
      <w:r>
        <w:rPr>
          <w:rFonts w:cs="Arial"/>
          <w:rtl/>
        </w:rPr>
        <w:t>וצריכה גט משני, רש"י.</w:t>
      </w:r>
    </w:p>
  </w:footnote>
  <w:footnote w:id="2699">
    <w:p w14:paraId="521EE32E" w14:textId="77777777" w:rsidR="00C97BEF" w:rsidRDefault="00C97BEF" w:rsidP="00C97BEF">
      <w:pPr>
        <w:pStyle w:val="a5"/>
      </w:pPr>
      <w:r>
        <w:rPr>
          <w:rStyle w:val="a7"/>
        </w:rPr>
        <w:footnoteRef/>
      </w:r>
      <w:r>
        <w:rPr>
          <w:rtl/>
        </w:rPr>
        <w:t xml:space="preserve"> </w:t>
      </w:r>
      <w:r>
        <w:rPr>
          <w:rFonts w:cs="Arial"/>
          <w:rtl/>
        </w:rPr>
        <w:t>דבעל דאמרה ליה בפניו גירשתני אבל קבלת קידושין דרב הונא לאו בפניו הוא ולא דמיא לדרב המנונא וליתא לדרב הונא, רש"י.</w:t>
      </w:r>
    </w:p>
  </w:footnote>
  <w:footnote w:id="2700">
    <w:p w14:paraId="05FE4091" w14:textId="77777777" w:rsidR="00C97BEF" w:rsidRDefault="00C97BEF" w:rsidP="00C97BEF">
      <w:pPr>
        <w:pStyle w:val="a5"/>
      </w:pPr>
      <w:r>
        <w:rPr>
          <w:rStyle w:val="a7"/>
        </w:rPr>
        <w:footnoteRef/>
      </w:r>
      <w:r>
        <w:rPr>
          <w:rtl/>
        </w:rPr>
        <w:t xml:space="preserve"> </w:t>
      </w:r>
      <w:r>
        <w:rPr>
          <w:rFonts w:cs="Arial"/>
          <w:rtl/>
        </w:rPr>
        <w:t>ובבנימין זאב (סי' קכב בסוף הסימן, עמ' שמ במהדורת ירושלים תשי"ט) משמע דלא בעינן בפניו ממש אלא כל שבעלה בעיר וסופו לידע. ובתשובת מהרי"ק שורש ע"ב דיש חולקים בזה ועיין שם שהאריך בחילוקים רבים בדינים אלו. ובתשובת בר ששת (סי' קכז כז.) חולק בכל זה וסבירא ליה דאינה נאמנת אלא אם אמרה בפעם ראשונה לפני הבעל ממש, אבל אם פרסמה תחלה הדבר לפני רבים אע"פ שבעלה בעיר ונודע לו הדבר ואח"כ כפרה ממש בפניו אינה נאמנת דמחזקת שיקרא. ועיין ריש סימן י"ז (אות ד) הארכתי בדינים אלו, דרכ"מ (אות ב).</w:t>
      </w:r>
    </w:p>
  </w:footnote>
  <w:footnote w:id="2701">
    <w:p w14:paraId="05FFC0E3" w14:textId="77777777" w:rsidR="00C97BEF" w:rsidRDefault="00C97BEF" w:rsidP="00C97BEF">
      <w:pPr>
        <w:pStyle w:val="a5"/>
      </w:pPr>
      <w:r>
        <w:rPr>
          <w:rStyle w:val="a7"/>
        </w:rPr>
        <w:footnoteRef/>
      </w:r>
      <w:r>
        <w:rPr>
          <w:rtl/>
        </w:rPr>
        <w:t xml:space="preserve"> </w:t>
      </w:r>
      <w:r>
        <w:rPr>
          <w:rFonts w:cs="Arial"/>
          <w:rtl/>
        </w:rPr>
        <w:t>וידוע (רי"ף שבת סוף מח.) דהלכה כתנא קמא</w:t>
      </w:r>
      <w:r>
        <w:rPr>
          <w:rtl/>
        </w:rPr>
        <w:t>, ב"י.</w:t>
      </w:r>
    </w:p>
  </w:footnote>
  <w:footnote w:id="2702">
    <w:p w14:paraId="3F977F82" w14:textId="77777777" w:rsidR="00C97BEF" w:rsidRDefault="00C97BEF" w:rsidP="00C97BEF">
      <w:pPr>
        <w:pStyle w:val="a5"/>
        <w:rPr>
          <w:rtl/>
        </w:rPr>
      </w:pPr>
      <w:r>
        <w:rPr>
          <w:rStyle w:val="a7"/>
        </w:rPr>
        <w:footnoteRef/>
      </w:r>
      <w:r>
        <w:rPr>
          <w:rtl/>
        </w:rPr>
        <w:t xml:space="preserve"> </w:t>
      </w:r>
      <w:r>
        <w:rPr>
          <w:rFonts w:cs="Arial"/>
          <w:rtl/>
        </w:rPr>
        <w:t>כלומר אם יבוא ויאמר לא גירשתיך תאמר היא גירשתני הילכך אי שרית לה סמכא אהכחשה ומינסבא על פי עדים הללו מספק ולא מירתתא למידק שפיר</w:t>
      </w:r>
      <w:r>
        <w:rPr>
          <w:rtl/>
        </w:rPr>
        <w:t>, ב"י.</w:t>
      </w:r>
    </w:p>
  </w:footnote>
  <w:footnote w:id="2703">
    <w:p w14:paraId="32037D29" w14:textId="77777777" w:rsidR="00C97BEF" w:rsidRDefault="00C97BEF" w:rsidP="00C97BEF">
      <w:pPr>
        <w:pStyle w:val="a5"/>
        <w:rPr>
          <w:rtl/>
        </w:rPr>
      </w:pPr>
      <w:r>
        <w:rPr>
          <w:rStyle w:val="a7"/>
        </w:rPr>
        <w:footnoteRef/>
      </w:r>
      <w:r>
        <w:rPr>
          <w:rtl/>
        </w:rPr>
        <w:t xml:space="preserve"> </w:t>
      </w:r>
      <w:r>
        <w:rPr>
          <w:rFonts w:cs="Arial"/>
          <w:rtl/>
        </w:rPr>
        <w:t>דבשעתא פורתא לא מהימנא למימר אירכס לי</w:t>
      </w:r>
      <w:r>
        <w:rPr>
          <w:rtl/>
        </w:rPr>
        <w:t>, רש"י.</w:t>
      </w:r>
    </w:p>
  </w:footnote>
  <w:footnote w:id="2704">
    <w:p w14:paraId="4AE56D0E" w14:textId="77777777" w:rsidR="00C97BEF" w:rsidRDefault="00C97BEF" w:rsidP="00C97BEF">
      <w:pPr>
        <w:pStyle w:val="a5"/>
        <w:rPr>
          <w:rtl/>
        </w:rPr>
      </w:pPr>
      <w:r>
        <w:rPr>
          <w:rStyle w:val="a7"/>
        </w:rPr>
        <w:footnoteRef/>
      </w:r>
      <w:r>
        <w:rPr>
          <w:rtl/>
        </w:rPr>
        <w:t xml:space="preserve"> </w:t>
      </w:r>
      <w:r>
        <w:rPr>
          <w:rFonts w:cs="Arial"/>
          <w:rtl/>
        </w:rPr>
        <w:t>כלומר דמשום שלא תחזיק עצמה שזנתה תחת בעלה מעיזה ומעיזה. ודוגמת זה כתב הרא"ש בתשובה (כלל מד סי' ב) כתבתיה בסימן י"ז (סוף ל:)</w:t>
      </w:r>
      <w:r>
        <w:rPr>
          <w:rtl/>
        </w:rPr>
        <w:t>, ב"י.</w:t>
      </w:r>
    </w:p>
  </w:footnote>
  <w:footnote w:id="2705">
    <w:p w14:paraId="285429B9" w14:textId="428A6B85" w:rsidR="00C97BEF" w:rsidRDefault="00C97BEF" w:rsidP="00C97BEF">
      <w:pPr>
        <w:pStyle w:val="a5"/>
      </w:pPr>
      <w:r>
        <w:rPr>
          <w:rStyle w:val="a7"/>
        </w:rPr>
        <w:footnoteRef/>
      </w:r>
      <w:r>
        <w:rPr>
          <w:rtl/>
        </w:rPr>
        <w:t xml:space="preserve"> </w:t>
      </w:r>
      <w:r w:rsidR="000A0F5A">
        <w:rPr>
          <w:rFonts w:cs="Arial"/>
          <w:rtl/>
        </w:rPr>
        <w:t>וז"ל:</w:t>
      </w:r>
      <w:r>
        <w:rPr>
          <w:rFonts w:cs="Arial"/>
          <w:rtl/>
        </w:rPr>
        <w:t xml:space="preserve"> </w:t>
      </w:r>
      <w:r w:rsidR="000C5CF3" w:rsidRPr="007F5945">
        <w:rPr>
          <w:rFonts w:cs="Arial"/>
          <w:rtl/>
        </w:rPr>
        <w:t>כתב הרשב"א ז"ל בתשובה שאם היו כלם ביחד במעמד אחד כשנתגרשה דאותם שאומרים לא ראינוה הויא הכחשה דכולי האי לא עבדי בצנעה</w:t>
      </w:r>
      <w:r>
        <w:rPr>
          <w:rFonts w:cs="Arial"/>
          <w:rtl/>
        </w:rPr>
        <w:t>.</w:t>
      </w:r>
    </w:p>
  </w:footnote>
  <w:footnote w:id="2706">
    <w:p w14:paraId="3FD160AB" w14:textId="14C7D40A" w:rsidR="00C97BEF" w:rsidRDefault="00C97BEF" w:rsidP="00C97BEF">
      <w:pPr>
        <w:pStyle w:val="a5"/>
      </w:pPr>
      <w:r>
        <w:rPr>
          <w:rStyle w:val="a7"/>
          <w:color w:val="000000" w:themeColor="text1"/>
        </w:rPr>
        <w:footnoteRef/>
      </w:r>
      <w:r>
        <w:rPr>
          <w:color w:val="000000" w:themeColor="text1"/>
          <w:rtl/>
        </w:rPr>
        <w:t xml:space="preserve"> </w:t>
      </w:r>
      <w:r>
        <w:rPr>
          <w:rFonts w:cs="Arial"/>
          <w:color w:val="000000" w:themeColor="text1"/>
          <w:rtl/>
        </w:rPr>
        <w:t>ונראה לי דהיינו כדאמרינן בכמה דוכתי (יבמות פח.) כשאמרו עדים לא זזה ידינו מתוך ידו, ב"י (אעה"ז סי' כט).</w:t>
      </w:r>
      <w:r>
        <w:rPr>
          <w:color w:val="000000" w:themeColor="text1"/>
          <w:rtl/>
        </w:rPr>
        <w:t xml:space="preserve"> וכתב הדרכ"מ (חו"מ סי' ל אות ז) על דבריו </w:t>
      </w:r>
      <w:r w:rsidR="000A0F5A">
        <w:rPr>
          <w:color w:val="000000" w:themeColor="text1"/>
          <w:rtl/>
        </w:rPr>
        <w:t>וז"ל:</w:t>
      </w:r>
      <w:r>
        <w:rPr>
          <w:color w:val="000000" w:themeColor="text1"/>
          <w:rtl/>
        </w:rPr>
        <w:t xml:space="preserve"> </w:t>
      </w:r>
      <w:r>
        <w:rPr>
          <w:rFonts w:cs="Arial"/>
          <w:color w:val="000000" w:themeColor="text1"/>
          <w:rtl/>
        </w:rPr>
        <w:t xml:space="preserve">ואין נראה, אלא כל שהיה במעמד אחד, לא ראינו </w:t>
      </w:r>
      <w:r w:rsidR="00A42812">
        <w:rPr>
          <w:rFonts w:cs="Arial"/>
          <w:color w:val="000000" w:themeColor="text1"/>
          <w:rtl/>
        </w:rPr>
        <w:t>-</w:t>
      </w:r>
      <w:r>
        <w:rPr>
          <w:rFonts w:cs="Arial"/>
          <w:color w:val="000000" w:themeColor="text1"/>
          <w:rtl/>
        </w:rPr>
        <w:t xml:space="preserve"> ראיה, וכמ"ש באהע"ז סי' מ"ז וע"ש. </w:t>
      </w:r>
      <w:r>
        <w:rPr>
          <w:color w:val="000000" w:themeColor="text1"/>
          <w:rtl/>
        </w:rPr>
        <w:t xml:space="preserve">וכתב הסמ"ע (חו"מ סי' כט סקי"ב) </w:t>
      </w:r>
      <w:r>
        <w:rPr>
          <w:rFonts w:cs="Arial"/>
          <w:color w:val="000000" w:themeColor="text1"/>
          <w:rtl/>
        </w:rPr>
        <w:t>דהמחבר עצמו סתם דבריו כאן</w:t>
      </w:r>
      <w:r>
        <w:rPr>
          <w:rFonts w:cs="Arial"/>
          <w:color w:val="000000" w:themeColor="text1"/>
          <w:sz w:val="16"/>
          <w:szCs w:val="16"/>
          <w:rtl/>
        </w:rPr>
        <w:t xml:space="preserve"> {בשו"ע בחו"מ}</w:t>
      </w:r>
      <w:r>
        <w:rPr>
          <w:rFonts w:cs="Arial"/>
          <w:color w:val="000000" w:themeColor="text1"/>
          <w:rtl/>
        </w:rPr>
        <w:t>, והיינו כדברי מור"ם.</w:t>
      </w:r>
    </w:p>
  </w:footnote>
  <w:footnote w:id="2707">
    <w:p w14:paraId="5E765E61" w14:textId="129ED788" w:rsidR="00C97BEF" w:rsidRDefault="00C97BEF" w:rsidP="00C97BEF">
      <w:pPr>
        <w:pStyle w:val="a5"/>
        <w:rPr>
          <w:rtl/>
        </w:rPr>
      </w:pPr>
      <w:r>
        <w:rPr>
          <w:rStyle w:val="a7"/>
        </w:rPr>
        <w:footnoteRef/>
      </w:r>
      <w:r>
        <w:rPr>
          <w:rtl/>
        </w:rPr>
        <w:t xml:space="preserve"> </w:t>
      </w:r>
      <w:r>
        <w:rPr>
          <w:rFonts w:hint="cs"/>
          <w:rtl/>
        </w:rPr>
        <w:t xml:space="preserve">סימן </w:t>
      </w:r>
      <w:r w:rsidR="00A42812">
        <w:rPr>
          <w:rFonts w:hint="cs"/>
          <w:rtl/>
        </w:rPr>
        <w:t>-</w:t>
      </w:r>
      <w:r>
        <w:rPr>
          <w:rFonts w:hint="cs"/>
          <w:rtl/>
        </w:rPr>
        <w:t xml:space="preserve"> זה מדמיין.</w:t>
      </w:r>
    </w:p>
  </w:footnote>
  <w:footnote w:id="2708">
    <w:p w14:paraId="7E0F9C68" w14:textId="77777777" w:rsidR="00C97BEF" w:rsidRDefault="00C97BEF" w:rsidP="00C97BEF">
      <w:pPr>
        <w:pStyle w:val="a5"/>
      </w:pPr>
      <w:r>
        <w:rPr>
          <w:rStyle w:val="a7"/>
        </w:rPr>
        <w:footnoteRef/>
      </w:r>
      <w:r>
        <w:rPr>
          <w:rtl/>
        </w:rPr>
        <w:t xml:space="preserve"> </w:t>
      </w:r>
      <w:r>
        <w:rPr>
          <w:rFonts w:hint="cs"/>
          <w:rtl/>
        </w:rPr>
        <w:t>לפנינו הגירסא 'ראית', הילכך אין הוכחה משם. ומ"מ הכי הכי איתא במשנה בירושלמי (סוטה פ"ט ה"ח).</w:t>
      </w:r>
    </w:p>
  </w:footnote>
  <w:footnote w:id="2709">
    <w:p w14:paraId="37F03492" w14:textId="77777777" w:rsidR="00C97BEF" w:rsidRDefault="00C97BEF" w:rsidP="00C97BEF">
      <w:pPr>
        <w:pStyle w:val="a5"/>
        <w:rPr>
          <w:rtl/>
        </w:rPr>
      </w:pPr>
      <w:r>
        <w:rPr>
          <w:rStyle w:val="a7"/>
        </w:rPr>
        <w:footnoteRef/>
      </w:r>
      <w:r>
        <w:rPr>
          <w:rtl/>
        </w:rPr>
        <w:t xml:space="preserve"> </w:t>
      </w:r>
      <w:r>
        <w:rPr>
          <w:rFonts w:cs="Arial"/>
          <w:rtl/>
        </w:rPr>
        <w:t>הרב המגיד (פי"ב מהל' גירושין ה"א) כתב שהרמ"ך הגיה על הרמב"ם שהיה לו לפרש והוא שאומרת בתוך כדי דיבור. וג"כ ראיתי לקצת מפרשים שכתבו דרך פשיטות דמשנתינו בתוך כדי דיבור היא.</w:t>
      </w:r>
    </w:p>
  </w:footnote>
  <w:footnote w:id="2710">
    <w:p w14:paraId="151DA95F" w14:textId="77777777" w:rsidR="00C97BEF" w:rsidRDefault="00C97BEF" w:rsidP="00C97BEF">
      <w:pPr>
        <w:pStyle w:val="a5"/>
      </w:pPr>
      <w:r>
        <w:rPr>
          <w:rStyle w:val="a7"/>
        </w:rPr>
        <w:footnoteRef/>
      </w:r>
      <w:r>
        <w:rPr>
          <w:rtl/>
        </w:rPr>
        <w:t xml:space="preserve"> </w:t>
      </w:r>
      <w:r>
        <w:rPr>
          <w:rFonts w:cs="Arial"/>
          <w:rtl/>
        </w:rPr>
        <w:t>וכתב הדרכ"מ (אות ה) שכן משמע מהר"ן (קידושין כז: ד"ה מתני').</w:t>
      </w:r>
    </w:p>
  </w:footnote>
  <w:footnote w:id="2711">
    <w:p w14:paraId="2DF75D4E" w14:textId="475BF5C2" w:rsidR="00C97BEF" w:rsidRDefault="00C97BEF" w:rsidP="00C97BEF">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cs="Arial"/>
          <w:rtl/>
        </w:rPr>
        <w:t xml:space="preserve"> קצת מפרשים כתבו דמתניתין תוך כדי דיבור היא ולולי שהם אמרו כן ולא מצאתי מי שכתב בביאור שאפילו לאחר כדי דיבור היא הייתי אומר דודאי משנתינו בכל גוונא היא... ומצאתי בשם ה"ר יחיאל שהאומרת אשת איש הייתי ולאחר זמן אמרה פנויה אני אינה צריכה אמתלאה ונאמנת דאשת איש הייתי משמע דעכשיו פנויה היא. וזה מסכים לדברי שאין דין המשנה דוקא תוך כדי דיבור.</w:t>
      </w:r>
    </w:p>
  </w:footnote>
  <w:footnote w:id="2712">
    <w:p w14:paraId="05C3513B" w14:textId="77777777" w:rsidR="00C97BEF" w:rsidRDefault="00C97BEF" w:rsidP="00C97BEF">
      <w:pPr>
        <w:pStyle w:val="a5"/>
      </w:pPr>
      <w:r>
        <w:rPr>
          <w:rStyle w:val="a7"/>
        </w:rPr>
        <w:footnoteRef/>
      </w:r>
      <w:r>
        <w:rPr>
          <w:rtl/>
        </w:rPr>
        <w:t xml:space="preserve"> </w:t>
      </w:r>
      <w:r>
        <w:rPr>
          <w:rFonts w:cs="Arial"/>
          <w:rtl/>
        </w:rPr>
        <w:t>התוספות כתבו בפרק ב' דכתובות (כב. ד"ה מנין) גבי הפה שאסר הוא הפה שהתיר שאומר ר"י דבענין זה שאינו סותר דבריו הראשונים ולא בא אלא לפרש דבריו הראשונים מהימן אע"ג דליכא מגו. ואפשר שמשם למד רבינו זה שכתב דכל שאינה סותרת דבריה הראשונים אפילו אחר כדי דיבור נאמנת. ונראה לי דשאני התם שדבריו האחרונים הם פירוש לדבריו הראשונים, דברישא קאמר את בתי נתתי ואח"כ מפרש למי נתנה, אבל הכא שאין דבריה האחרונים פירוש לדבריה הראשונים אלא תוספת אפשר דבעינן שתאמר כן תוך כדי דיבור, ב"י.</w:t>
      </w:r>
    </w:p>
  </w:footnote>
  <w:footnote w:id="2713">
    <w:p w14:paraId="310FFA62" w14:textId="7D8BC6F2" w:rsidR="00C97BEF" w:rsidRDefault="00C97BEF" w:rsidP="00C97BEF">
      <w:pPr>
        <w:pStyle w:val="a5"/>
      </w:pPr>
      <w:r>
        <w:rPr>
          <w:rStyle w:val="a7"/>
        </w:rPr>
        <w:footnoteRef/>
      </w:r>
      <w:r>
        <w:rPr>
          <w:rtl/>
        </w:rPr>
        <w:t xml:space="preserve"> </w:t>
      </w:r>
      <w:r>
        <w:rPr>
          <w:rFonts w:cs="Arial"/>
          <w:rtl/>
        </w:rPr>
        <w:t>נראה לי"א קמיית</w:t>
      </w:r>
      <w:r w:rsidR="000546B8">
        <w:rPr>
          <w:rFonts w:cs="Arial" w:hint="cs"/>
          <w:rtl/>
        </w:rPr>
        <w:t>א</w:t>
      </w:r>
      <w:r>
        <w:rPr>
          <w:rFonts w:cs="Arial"/>
          <w:rtl/>
        </w:rPr>
        <w:t xml:space="preserve"> נאמנת אפילו אחר כ"ד</w:t>
      </w:r>
      <w:r w:rsidR="000546B8">
        <w:rPr>
          <w:rFonts w:cs="Arial" w:hint="cs"/>
          <w:rtl/>
        </w:rPr>
        <w:t>,</w:t>
      </w:r>
      <w:r>
        <w:rPr>
          <w:rFonts w:cs="Arial"/>
          <w:rtl/>
        </w:rPr>
        <w:t xml:space="preserve"> דהוי כמפרש דבריה מה שאמרה בתחלה א"א </w:t>
      </w:r>
      <w:r w:rsidRPr="000546B8">
        <w:rPr>
          <w:rFonts w:cs="Arial"/>
          <w:b/>
          <w:bCs/>
          <w:rtl/>
        </w:rPr>
        <w:t>הייתי</w:t>
      </w:r>
      <w:r w:rsidR="000546B8">
        <w:rPr>
          <w:rFonts w:cs="Arial" w:hint="cs"/>
          <w:rtl/>
        </w:rPr>
        <w:t>,</w:t>
      </w:r>
      <w:r>
        <w:rPr>
          <w:rFonts w:cs="Arial"/>
          <w:rtl/>
        </w:rPr>
        <w:t xml:space="preserve"> היינו הייתי כבר ועכשיו גרושה אני</w:t>
      </w:r>
      <w:r w:rsidR="000546B8">
        <w:rPr>
          <w:rFonts w:cs="Arial" w:hint="cs"/>
          <w:rtl/>
        </w:rPr>
        <w:t>.</w:t>
      </w:r>
      <w:r>
        <w:rPr>
          <w:rFonts w:cs="Arial"/>
          <w:rtl/>
        </w:rPr>
        <w:t xml:space="preserve"> אבל אם אמרה א"א </w:t>
      </w:r>
      <w:r w:rsidRPr="000546B8">
        <w:rPr>
          <w:rFonts w:cs="Arial"/>
          <w:b/>
          <w:bCs/>
          <w:rtl/>
        </w:rPr>
        <w:t>אני</w:t>
      </w:r>
      <w:r w:rsidR="000546B8">
        <w:rPr>
          <w:rFonts w:cs="Arial" w:hint="cs"/>
          <w:rtl/>
        </w:rPr>
        <w:t>,</w:t>
      </w:r>
      <w:r>
        <w:rPr>
          <w:rFonts w:cs="Arial"/>
          <w:rtl/>
        </w:rPr>
        <w:t xml:space="preserve"> לכ"ע אינה נאמנת אחר כ"ד לומר גרושה אני</w:t>
      </w:r>
      <w:r w:rsidR="000546B8">
        <w:rPr>
          <w:rFonts w:cs="Arial" w:hint="cs"/>
          <w:rtl/>
        </w:rPr>
        <w:t>,</w:t>
      </w:r>
      <w:r>
        <w:rPr>
          <w:rFonts w:cs="Arial"/>
          <w:rtl/>
        </w:rPr>
        <w:t xml:space="preserve"> דהא מכחשת דבריה</w:t>
      </w:r>
      <w:r w:rsidR="000546B8">
        <w:rPr>
          <w:rFonts w:cs="Arial" w:hint="cs"/>
          <w:rtl/>
        </w:rPr>
        <w:t>,</w:t>
      </w:r>
      <w:r>
        <w:rPr>
          <w:rFonts w:cs="Arial"/>
          <w:rtl/>
        </w:rPr>
        <w:t xml:space="preserve"> אלא תכ"ד נאמנת אפילו להכחיש דבריה</w:t>
      </w:r>
      <w:r w:rsidR="000546B8">
        <w:rPr>
          <w:rFonts w:cs="Arial" w:hint="cs"/>
          <w:rtl/>
        </w:rPr>
        <w:t>,</w:t>
      </w:r>
      <w:r>
        <w:rPr>
          <w:rFonts w:cs="Arial"/>
          <w:rtl/>
        </w:rPr>
        <w:t xml:space="preserve"> וכמ"ש בש"ס בענין אם אמרה א"א אני ואח"כ אמרה פנויה אני דאינה נאמנת לאחר כ"ד כמ"ש בסי' מ"ז</w:t>
      </w:r>
      <w:r w:rsidR="000546B8">
        <w:rPr>
          <w:rFonts w:cs="Arial" w:hint="cs"/>
          <w:rtl/>
        </w:rPr>
        <w:t>.</w:t>
      </w:r>
      <w:r>
        <w:rPr>
          <w:rFonts w:cs="Arial"/>
          <w:rtl/>
        </w:rPr>
        <w:t xml:space="preserve"> אפילו דעת הרמ"ה שהבי' הטור כל זמן שעסוקים באותו ענין נאמנת היינו דוק' באומרת א"א </w:t>
      </w:r>
      <w:r w:rsidRPr="000546B8">
        <w:rPr>
          <w:rFonts w:cs="Arial"/>
          <w:b/>
          <w:bCs/>
          <w:rtl/>
        </w:rPr>
        <w:t>הייתי</w:t>
      </w:r>
      <w:r w:rsidR="000546B8">
        <w:rPr>
          <w:rFonts w:cs="Arial" w:hint="cs"/>
          <w:rtl/>
        </w:rPr>
        <w:t>,</w:t>
      </w:r>
      <w:r>
        <w:rPr>
          <w:rFonts w:cs="Arial"/>
          <w:rtl/>
        </w:rPr>
        <w:t xml:space="preserve"> ולא כב"ח</w:t>
      </w:r>
      <w:r>
        <w:rPr>
          <w:rtl/>
        </w:rPr>
        <w:t>, ב"ש (סק"י).</w:t>
      </w:r>
    </w:p>
  </w:footnote>
  <w:footnote w:id="2714">
    <w:p w14:paraId="4D05530C" w14:textId="77777777" w:rsidR="00C97BEF" w:rsidRDefault="00C97BEF" w:rsidP="00C97BEF">
      <w:pPr>
        <w:pStyle w:val="a5"/>
        <w:rPr>
          <w:rtl/>
        </w:rPr>
      </w:pPr>
      <w:r>
        <w:rPr>
          <w:rStyle w:val="a7"/>
        </w:rPr>
        <w:footnoteRef/>
      </w:r>
      <w:r>
        <w:rPr>
          <w:rtl/>
        </w:rPr>
        <w:t xml:space="preserve"> </w:t>
      </w:r>
      <w:r>
        <w:rPr>
          <w:rFonts w:cs="Arial"/>
          <w:rtl/>
        </w:rPr>
        <w:t>כך כתב הרמב"ם (פי"ב ה"א), וכתב הה"מ שהוא פשוט דהא שויא נפשה חתיכה דאיסורא (כתובות כב.), ב"י.</w:t>
      </w:r>
    </w:p>
  </w:footnote>
  <w:footnote w:id="2715">
    <w:p w14:paraId="604FDE35" w14:textId="77777777" w:rsidR="00C97BEF" w:rsidRDefault="00C97BEF" w:rsidP="00C97BEF">
      <w:pPr>
        <w:pStyle w:val="a5"/>
      </w:pPr>
      <w:r>
        <w:rPr>
          <w:rStyle w:val="a7"/>
        </w:rPr>
        <w:footnoteRef/>
      </w:r>
      <w:r>
        <w:rPr>
          <w:rtl/>
        </w:rPr>
        <w:t xml:space="preserve"> </w:t>
      </w:r>
      <w:r>
        <w:rPr>
          <w:rFonts w:cs="Arial"/>
          <w:rtl/>
        </w:rPr>
        <w:t>וכן משמע תשובת הרשב"א (סי' אלף רנג, וסי' תקסח), דרכ"מ (אות ו).</w:t>
      </w:r>
    </w:p>
  </w:footnote>
  <w:footnote w:id="2716">
    <w:p w14:paraId="730C71D7" w14:textId="77777777" w:rsidR="00C97BEF" w:rsidRDefault="00C97BEF" w:rsidP="00C97BEF">
      <w:pPr>
        <w:pStyle w:val="a5"/>
      </w:pPr>
      <w:r>
        <w:rPr>
          <w:rStyle w:val="a7"/>
        </w:rPr>
        <w:footnoteRef/>
      </w:r>
      <w:r>
        <w:rPr>
          <w:rtl/>
        </w:rPr>
        <w:t xml:space="preserve"> </w:t>
      </w:r>
      <w:r>
        <w:rPr>
          <w:rFonts w:cs="Arial"/>
          <w:rtl/>
        </w:rPr>
        <w:t>והקשה ב"ח (ס"ד) למה אין חוששין לדבריה לחומרא להצריכה גט משני כמה דחוששין כאן לדבריה לחומרא. ותירץ התם דאם היתה צריכה גט משני היתה אסורה על בעלה הראשון משום מחזיר גרושתו, ולאו כל כמיניה לאוסרה עליו, ואם מת בעלה קודם שהחזירה אסורה להנשא עד שיגרש זה המקדש, משום דשויא נפשה חתיכה דאיסורא לכל אדם. ואכתי אין מיושב למה בנשאת תצא בלא גט, דהא אסורה לבעלה בלא זה והיה לנו לחוש לדבריה לחומרא. לכן נראה דהיא אינה נאמנת בשום דבר, אלא היא יכולה לעשות את נפשה חתיכה דאיסורא, כגון הכא היא חתיכא דאיסורא לכהן וליבם, אבל להצריכה גט אין שייך לומר חתיכא דאיסורא אלא אם היתה נאמנת היתה צריכה גט, ובאמת היא אינה נאמנת. לכן אפילו אם נתקדשה שלא בפניו ומת הבעל - א"צ גט לדעת הטור. וכ"כ בט"ז. וכל זה לדעת הטור, אבל הר"ן כתב בשם הרמב"ן והרשב"א בתשובה סי' תקס"ח ואלף רנ"ג כתבו גם שם צריכה גט כי לקצת אמוראים בש"ס אפילו שלא בפניו אינה מעיזה חיישינן לחומר' וצריכה גט משני, ב"ש (סקי"ב).</w:t>
      </w:r>
    </w:p>
  </w:footnote>
  <w:footnote w:id="2717">
    <w:p w14:paraId="3F783619" w14:textId="77777777" w:rsidR="00C97BEF" w:rsidRDefault="00C97BEF" w:rsidP="00C97BEF">
      <w:pPr>
        <w:pStyle w:val="a5"/>
      </w:pPr>
      <w:r>
        <w:rPr>
          <w:rStyle w:val="a7"/>
        </w:rPr>
        <w:footnoteRef/>
      </w:r>
      <w:r>
        <w:rPr>
          <w:rtl/>
        </w:rPr>
        <w:t xml:space="preserve"> </w:t>
      </w:r>
      <w:r>
        <w:rPr>
          <w:rFonts w:cs="Arial"/>
          <w:rtl/>
        </w:rPr>
        <w:t xml:space="preserve">עיין סימן ז' שם איתא מ"ש הרמב"ם אם יש ע"א דנשבית מותרת וכתב הב"י שם דלמד מדתנא במתני' אם יש עדים משמע דוק' עדי' ולא ע"א מזה נשמע כאן ג"כ לא מהני ע"א דהא תנא כאן ג"כ עדים. ואם קול יצא שיש עדים שהיא א"א יש לדייק ממ"ש שם ס"ז דאסורה כי דוקא בשבוי' הקילו בה, </w:t>
      </w:r>
      <w:r>
        <w:rPr>
          <w:rFonts w:cs="Arial"/>
          <w:b/>
          <w:bCs/>
          <w:rtl/>
        </w:rPr>
        <w:t>ב"ש</w:t>
      </w:r>
      <w:r>
        <w:rPr>
          <w:rFonts w:cs="Arial"/>
          <w:rtl/>
        </w:rPr>
        <w:t xml:space="preserve"> (סקי"א). ועמ"ש בסי' ז' בנ"צ שם דהיינו ביצא קול שיש עדים שהיא עדיין א"א. וע' בזה בס' הפלאה בשמעתין ובפוסקים לעיל סימן מ"ו. ועי' בס' בית מאיר שכתב מ"ש הב"ש ואם קול יצא כו' היינו קודם שנתארסה אבל אח"כ עסי' מ"ו. ור"ל דשם ס"ח נתבאר דאין חוששין לקלא דבתר אירוסין ע"ש</w:t>
      </w:r>
      <w:r>
        <w:rPr>
          <w:rtl/>
        </w:rPr>
        <w:t xml:space="preserve">, </w:t>
      </w:r>
      <w:r>
        <w:rPr>
          <w:b/>
          <w:bCs/>
          <w:rtl/>
        </w:rPr>
        <w:t>פת"ש</w:t>
      </w:r>
      <w:r>
        <w:rPr>
          <w:rtl/>
        </w:rPr>
        <w:t xml:space="preserve"> (סק"י).</w:t>
      </w:r>
    </w:p>
  </w:footnote>
  <w:footnote w:id="2718">
    <w:p w14:paraId="01C033A1" w14:textId="77777777" w:rsidR="00C97BEF" w:rsidRDefault="00C97BEF" w:rsidP="00C97BEF">
      <w:pPr>
        <w:pStyle w:val="a5"/>
      </w:pPr>
      <w:r>
        <w:rPr>
          <w:rStyle w:val="a7"/>
        </w:rPr>
        <w:footnoteRef/>
      </w:r>
      <w:r>
        <w:rPr>
          <w:rtl/>
        </w:rPr>
        <w:t xml:space="preserve"> </w:t>
      </w:r>
      <w:r>
        <w:rPr>
          <w:rFonts w:cs="Arial"/>
          <w:rtl/>
        </w:rPr>
        <w:t>וכתב הרדב"ז (ח"א סי' תיא, הביאו הפת"ש [סקי"ב]) דבמקרה זה שצריכה לצאת אע"ג דנשאת ואח"כ באו עדים - ודאי דבניה ממנו ממזרים. ואי לאו דמסתפינא אמינא דהוי ממזר מן התורה כיון שהיא בחזקת א"א ע"פ העדים... וא"ת איך תקינו רבנן מלתא דאתי לידי תקלה להאמינה במקום דליכא סהדי דידעי שהיא נשואה, דילמא למחר אתו סהדי דאמרי נשואה היתה ותצא ובניה ממזרים למפרע? י"ל דאדרבה משום חומר שהחמרת עליה בסופה, הקלת עליהם בתחילתה. שאם אינו אמת שגירשה לא היתה אומרת גרושה אני, כיון שיודעת שאם יבואו עדים שהיתה נשואה תצא והולד ממזר, אלא שהיא סומכת כיון שהוא אמת שגרשה תמצא עדים שידעו שהיא גרושה אע"פ שיבואו עדים שהיתה נשואה.</w:t>
      </w:r>
    </w:p>
  </w:footnote>
  <w:footnote w:id="2719">
    <w:p w14:paraId="45895319" w14:textId="77777777" w:rsidR="00C97BEF" w:rsidRDefault="00C97BEF" w:rsidP="00C97BEF">
      <w:pPr>
        <w:pStyle w:val="a5"/>
      </w:pPr>
      <w:r>
        <w:rPr>
          <w:rStyle w:val="a7"/>
        </w:rPr>
        <w:footnoteRef/>
      </w:r>
      <w:r>
        <w:rPr>
          <w:rtl/>
        </w:rPr>
        <w:t xml:space="preserve"> </w:t>
      </w:r>
      <w:r>
        <w:rPr>
          <w:rFonts w:cs="Arial"/>
          <w:rtl/>
        </w:rPr>
        <w:t>לכאורה נראה דאפילו אם לא ידעו העדים בעצמם שהיתה א"א רק ששמעו מפיה כיון דשויתה אז אנפשה חד"א נאמנת על עצמה יותר משני עדים וצ"ע, פת"ש (סקי"א).</w:t>
      </w:r>
    </w:p>
  </w:footnote>
  <w:footnote w:id="2720">
    <w:p w14:paraId="4045B4FC" w14:textId="77777777" w:rsidR="00C97BEF" w:rsidRDefault="00C97BEF" w:rsidP="00C97BEF">
      <w:pPr>
        <w:pStyle w:val="a5"/>
      </w:pPr>
      <w:r>
        <w:rPr>
          <w:rStyle w:val="a7"/>
        </w:rPr>
        <w:footnoteRef/>
      </w:r>
      <w:r>
        <w:rPr>
          <w:rtl/>
        </w:rPr>
        <w:t xml:space="preserve"> </w:t>
      </w:r>
      <w:r>
        <w:rPr>
          <w:rFonts w:cs="Arial"/>
          <w:rtl/>
        </w:rPr>
        <w:t>וביאר דבריו הרב המגיד ונתן להם טעם, ובפרק הנזכר וגם בפרק ז' (הכ"ד) דחה דברי הראב"ד (פי"ב ה"ב)</w:t>
      </w:r>
      <w:r>
        <w:rPr>
          <w:rtl/>
        </w:rPr>
        <w:t>, ב"י.</w:t>
      </w:r>
    </w:p>
  </w:footnote>
  <w:footnote w:id="2721">
    <w:p w14:paraId="4D3CFC4A" w14:textId="77777777" w:rsidR="00C97BEF" w:rsidRDefault="00C97BEF" w:rsidP="00C97BEF">
      <w:pPr>
        <w:pStyle w:val="a5"/>
        <w:rPr>
          <w:rtl/>
        </w:rPr>
      </w:pPr>
      <w:r>
        <w:rPr>
          <w:rStyle w:val="a7"/>
        </w:rPr>
        <w:footnoteRef/>
      </w:r>
      <w:r>
        <w:rPr>
          <w:rtl/>
        </w:rPr>
        <w:t xml:space="preserve"> </w:t>
      </w:r>
      <w:r>
        <w:rPr>
          <w:rFonts w:cs="Arial"/>
          <w:rtl/>
        </w:rPr>
        <w:t>ואיני יודע מה בירור יש אחרי הקיום כיון דחשיב כתרי, ואפילו אם תביא מאה - כתרי דמי. אלא ודאי אין אחרי הקיום כלום, דבתר בי דינא לא דייקינן</w:t>
      </w:r>
      <w:r>
        <w:rPr>
          <w:rtl/>
        </w:rPr>
        <w:t xml:space="preserve">, </w:t>
      </w:r>
      <w:r>
        <w:rPr>
          <w:b/>
          <w:bCs/>
          <w:rtl/>
        </w:rPr>
        <w:t>טור</w:t>
      </w:r>
      <w:r>
        <w:rPr>
          <w:rtl/>
        </w:rPr>
        <w:t>.</w:t>
      </w:r>
      <w:r>
        <w:rPr>
          <w:rFonts w:cs="Arial"/>
          <w:rtl/>
        </w:rPr>
        <w:t xml:space="preserve"> והא פשיטא דלענין טענת מזוייף הדין עם רבינו, אבל דברי העיטור יש ליישבם שהם על טענת פקדון ותנאי, דבכה"ג קיום אינו מוציאנו מידי ספק עד שתביא עדים שנתנו לה לשם גירושין בלא שום תנאי</w:t>
      </w:r>
      <w:r>
        <w:rPr>
          <w:rtl/>
        </w:rPr>
        <w:t xml:space="preserve">, </w:t>
      </w:r>
      <w:r>
        <w:rPr>
          <w:b/>
          <w:bCs/>
          <w:rtl/>
        </w:rPr>
        <w:t>ב"י</w:t>
      </w:r>
      <w:r>
        <w:rPr>
          <w:rtl/>
        </w:rPr>
        <w:t>.</w:t>
      </w:r>
    </w:p>
  </w:footnote>
  <w:footnote w:id="2722">
    <w:p w14:paraId="37A78D6F" w14:textId="77777777" w:rsidR="00C97BEF" w:rsidRDefault="00C97BEF" w:rsidP="00C97BEF">
      <w:pPr>
        <w:pStyle w:val="a5"/>
        <w:rPr>
          <w:rtl/>
        </w:rPr>
      </w:pPr>
      <w:r>
        <w:rPr>
          <w:rStyle w:val="a7"/>
        </w:rPr>
        <w:footnoteRef/>
      </w:r>
      <w:r>
        <w:rPr>
          <w:rtl/>
        </w:rPr>
        <w:t xml:space="preserve"> </w:t>
      </w:r>
      <w:r>
        <w:rPr>
          <w:rFonts w:cs="Arial"/>
          <w:rtl/>
        </w:rPr>
        <w:t>ע' לעיל סי' קמ"ב סי"ד הביא מרן המחבר יש חולקים על זה שאין להתירה לינשא ע"י שיוצא מתחת ידה אם לא נתקיים כו' והוא דעת הראב"ד והרשב"א כמבואר בב"י. וע' בתשו' נו"ב (תניינא סי' קלו) שכ' דאף שבשו"ע סי' קנ"ב ס"ט הביא רק דעת הרמב"ם אין בידינו להקל נגד גדולי הפוסקים המחמירים. אמנם אם הגט מקויים אף שאין מכירין חתימת דייני קיום יש להתיר אפילו שלא בשעת הדחק. וכן הדין בשליח לקבלה שהביא גוף הגט כו' ע"ש, פת"ש (סקט"ז).</w:t>
      </w:r>
    </w:p>
  </w:footnote>
  <w:footnote w:id="2723">
    <w:p w14:paraId="31E99A0A" w14:textId="77777777" w:rsidR="00C97BEF" w:rsidRDefault="00C97BEF" w:rsidP="00C97BEF">
      <w:pPr>
        <w:pStyle w:val="a5"/>
      </w:pPr>
      <w:r>
        <w:rPr>
          <w:rStyle w:val="a7"/>
        </w:rPr>
        <w:footnoteRef/>
      </w:r>
      <w:r>
        <w:rPr>
          <w:rtl/>
        </w:rPr>
        <w:t xml:space="preserve"> </w:t>
      </w:r>
      <w:r>
        <w:rPr>
          <w:rFonts w:hint="cs"/>
          <w:rtl/>
        </w:rPr>
        <w:t>סע' נג, נז.</w:t>
      </w:r>
    </w:p>
  </w:footnote>
  <w:footnote w:id="2724">
    <w:p w14:paraId="69C74CBE" w14:textId="77777777" w:rsidR="00C97BEF" w:rsidRDefault="00C97BEF" w:rsidP="00C97BEF">
      <w:pPr>
        <w:pStyle w:val="a5"/>
      </w:pPr>
      <w:r>
        <w:rPr>
          <w:rStyle w:val="a7"/>
        </w:rPr>
        <w:footnoteRef/>
      </w:r>
      <w:r>
        <w:rPr>
          <w:rtl/>
        </w:rPr>
        <w:t xml:space="preserve"> </w:t>
      </w:r>
      <w:r>
        <w:rPr>
          <w:rFonts w:hint="cs"/>
          <w:rtl/>
        </w:rPr>
        <w:t>סע' יג. ועי' גם בסע' יד.</w:t>
      </w:r>
    </w:p>
  </w:footnote>
  <w:footnote w:id="2725">
    <w:p w14:paraId="1DD8106F" w14:textId="77777777" w:rsidR="00C97BEF" w:rsidRDefault="00C97BEF" w:rsidP="00C97BEF">
      <w:pPr>
        <w:pStyle w:val="a5"/>
        <w:rPr>
          <w:rtl/>
        </w:rPr>
      </w:pPr>
      <w:r>
        <w:rPr>
          <w:rStyle w:val="a7"/>
        </w:rPr>
        <w:footnoteRef/>
      </w:r>
      <w:r>
        <w:rPr>
          <w:rtl/>
        </w:rPr>
        <w:t xml:space="preserve"> </w:t>
      </w:r>
      <w:r>
        <w:rPr>
          <w:rFonts w:hint="cs"/>
          <w:rtl/>
        </w:rPr>
        <w:t>סע' נג, נה, נז.</w:t>
      </w:r>
    </w:p>
  </w:footnote>
  <w:footnote w:id="2726">
    <w:p w14:paraId="04FB2C06" w14:textId="77777777" w:rsidR="00C97BEF" w:rsidRDefault="00C97BEF" w:rsidP="00C97BEF">
      <w:pPr>
        <w:pStyle w:val="a5"/>
      </w:pPr>
      <w:r>
        <w:rPr>
          <w:rStyle w:val="a7"/>
        </w:rPr>
        <w:footnoteRef/>
      </w:r>
      <w:r>
        <w:rPr>
          <w:rtl/>
        </w:rPr>
        <w:t xml:space="preserve"> </w:t>
      </w:r>
      <w:r>
        <w:rPr>
          <w:rFonts w:hint="cs"/>
          <w:rtl/>
        </w:rPr>
        <w:t>סע' יח-יט.</w:t>
      </w:r>
    </w:p>
  </w:footnote>
  <w:footnote w:id="2727">
    <w:p w14:paraId="32D49069" w14:textId="77777777" w:rsidR="00C97BEF" w:rsidRDefault="00C97BEF" w:rsidP="00C97BEF">
      <w:pPr>
        <w:pStyle w:val="a5"/>
        <w:rPr>
          <w:rtl/>
        </w:rPr>
      </w:pPr>
      <w:r>
        <w:rPr>
          <w:rStyle w:val="a7"/>
        </w:rPr>
        <w:footnoteRef/>
      </w:r>
      <w:r>
        <w:rPr>
          <w:rtl/>
        </w:rPr>
        <w:t xml:space="preserve"> </w:t>
      </w:r>
      <w:r>
        <w:rPr>
          <w:rFonts w:cs="Arial"/>
          <w:rtl/>
        </w:rPr>
        <w:t>מה שכתב שנאמן העד לומר לא צוני לחתום - דבר תימה הוא היאך יהיה על עצמו נאמן לומר שחתם שקר. ויש לומר שמאחר שבפניו צוה לכותבו לא משמע להו לאינשי דליהוי חתימת שקר. אי נמי שאני הכא שגם הסופר מעיד כן, ב"י (בבדה"ב).</w:t>
      </w:r>
    </w:p>
  </w:footnote>
  <w:footnote w:id="2728">
    <w:p w14:paraId="1FB4E8C2" w14:textId="77777777" w:rsidR="00C97BEF" w:rsidRDefault="00C97BEF" w:rsidP="00C97BEF">
      <w:pPr>
        <w:pStyle w:val="a5"/>
      </w:pPr>
      <w:r>
        <w:rPr>
          <w:rStyle w:val="a7"/>
        </w:rPr>
        <w:footnoteRef/>
      </w:r>
      <w:r>
        <w:rPr>
          <w:rtl/>
        </w:rPr>
        <w:t xml:space="preserve"> </w:t>
      </w:r>
      <w:r>
        <w:rPr>
          <w:rFonts w:cs="Arial"/>
          <w:rtl/>
        </w:rPr>
        <w:t>עיין במה שכתבתי בסימן קמ"ב (נח: ד"ה וכ"כ הרמ"ה)</w:t>
      </w:r>
      <w:r>
        <w:rPr>
          <w:rtl/>
        </w:rPr>
        <w:t>, ב"י (בבדה"ב).</w:t>
      </w:r>
    </w:p>
  </w:footnote>
  <w:footnote w:id="2729">
    <w:p w14:paraId="7A52216E" w14:textId="5CB4B6A3" w:rsidR="00C97BEF" w:rsidRDefault="00C97BEF" w:rsidP="00C97BEF">
      <w:pPr>
        <w:pStyle w:val="a5"/>
        <w:rPr>
          <w:rtl/>
        </w:rPr>
      </w:pPr>
      <w:r>
        <w:rPr>
          <w:rStyle w:val="a7"/>
        </w:rPr>
        <w:footnoteRef/>
      </w:r>
      <w:r>
        <w:rPr>
          <w:rtl/>
        </w:rPr>
        <w:t xml:space="preserve"> </w:t>
      </w:r>
      <w:r>
        <w:rPr>
          <w:rFonts w:cs="Arial"/>
          <w:rtl/>
        </w:rPr>
        <w:t>עיין בס' בגדי ישע (ס"ס מג) דהביא בשם ס' שבילי תורה שפסק דדוקא לכתחילה אינה יכולה לינשא, אבל בדיעבד אם נשאת אף שאין מכירין לא תצא</w:t>
      </w:r>
      <w:r w:rsidR="00722F79">
        <w:rPr>
          <w:rFonts w:cs="Arial" w:hint="cs"/>
          <w:rtl/>
        </w:rPr>
        <w:t>,</w:t>
      </w:r>
      <w:r>
        <w:rPr>
          <w:rFonts w:cs="Arial"/>
          <w:rtl/>
        </w:rPr>
        <w:t xml:space="preserve"> כיון דמדאורייתא עדים החתומים כו' והרי גם בגט פסול מדרבנן אם ניסת ע"פ הוראת חכם לא תצא כו' ע"ש, וע' מ"ש בס"ק שאח"ז, פת"ש (סקי"ח).</w:t>
      </w:r>
    </w:p>
  </w:footnote>
  <w:footnote w:id="2730">
    <w:p w14:paraId="3BD979B0" w14:textId="04067E79" w:rsidR="00C97BEF" w:rsidRDefault="00C97BEF" w:rsidP="00C97BEF">
      <w:pPr>
        <w:pStyle w:val="a5"/>
        <w:rPr>
          <w:rtl/>
        </w:rPr>
      </w:pPr>
      <w:r>
        <w:rPr>
          <w:rStyle w:val="a7"/>
        </w:rPr>
        <w:footnoteRef/>
      </w:r>
      <w:r>
        <w:rPr>
          <w:rtl/>
        </w:rPr>
        <w:t xml:space="preserve"> </w:t>
      </w:r>
      <w:r>
        <w:rPr>
          <w:rFonts w:cs="Arial"/>
          <w:rtl/>
        </w:rPr>
        <w:t xml:space="preserve">ועיין בסוף סימן קמ"ב </w:t>
      </w:r>
      <w:r w:rsidR="009334FF">
        <w:rPr>
          <w:rFonts w:cs="Arial"/>
          <w:rtl/>
        </w:rPr>
        <w:t>בהג"ה</w:t>
      </w:r>
      <w:r>
        <w:rPr>
          <w:rFonts w:cs="Arial"/>
          <w:rtl/>
        </w:rPr>
        <w:t xml:space="preserve"> (תוספת של שלחן הטהור).</w:t>
      </w:r>
    </w:p>
  </w:footnote>
  <w:footnote w:id="2731">
    <w:p w14:paraId="211E312D" w14:textId="581C7739" w:rsidR="00C97BEF" w:rsidRDefault="00C97BEF" w:rsidP="00C97BEF">
      <w:pPr>
        <w:pStyle w:val="a5"/>
      </w:pPr>
      <w:r>
        <w:rPr>
          <w:rStyle w:val="a7"/>
        </w:rPr>
        <w:footnoteRef/>
      </w:r>
      <w:r>
        <w:rPr>
          <w:rtl/>
        </w:rPr>
        <w:t xml:space="preserve"> </w:t>
      </w:r>
      <w:r>
        <w:rPr>
          <w:rFonts w:cs="Arial"/>
          <w:rtl/>
        </w:rPr>
        <w:t xml:space="preserve">וחלק עליו הבגדי ישע (סי' ל) וכתב הלא עיקר טעמו הוא דאם אין כאן הגט יש כאן ריעותא לפנינו מה שאין הגט בידה כו' והוא תמוה דמה זו ריעותא הלא מפורש בש"ע (בסה"ג ספ"ו </w:t>
      </w:r>
      <w:r w:rsidR="009334FF">
        <w:rPr>
          <w:rFonts w:cs="Arial"/>
          <w:rtl/>
        </w:rPr>
        <w:t>בהג"ה</w:t>
      </w:r>
      <w:r>
        <w:rPr>
          <w:rFonts w:cs="Arial"/>
          <w:rtl/>
        </w:rPr>
        <w:t xml:space="preserve">) דהמנהג עכשיו לקרוע הגט תיכף אחר נתינתו ולגונזו ואין מוסרין הגט ליד האשה כו' והא דלא הגיה הרמ"א בס"ס קנ"ב הוא משום שכבר הגיה בס"ס קמ"ב שיש להתיר במקום עיגון ליתן לה הגט לכתחלה א"כ מכ"ש בס"ס קנ"ב שיש לה מעשה ב"ד שכבר נתנו לה הגט וכמ"ש סברא זו התשב"ץ ח"ג ס"ס ס"ו עכ"ד ע"ש. וא"י מדוע העלים עיניו מטעם הב' של הנו"ב הנ"ל דבאמת זהו עיקר טעמו כנראה ממה שמחמיר במעשה ב"ד של חליצה דהא שם לא שייך ריעותא מה שמביאה המעשה ב"ד לחוד והוא ז"ל מחמיר רק מטעם הב' כיון דלא שייך בזה סברת הרשב"ץ הנ"ל. אמנם לדינא קרוב לומר שהנכון עמו ע"פ הראיות שהביא שם מהתשב"ץ עצמו ח"ג סימן כ"ב וסימן ס"ו. והגאון בעל נו"ב ז"ל לא ראה בתשב"ץ עצמו רק מה שהביא הב"י בשמו. ובפרט שגם הב"ש בס"ס קמ"ב לא הזכיר טעם הרשב"ץ שהובא בב"י דעדיף טפי גט מקויים שלא נתקיים הקיום מעד א' אומר בפ"נ כו' רק כתב שם טעם אחר כיון דס"ל לכמה פוסקים קיום ב"ד א"צ קיום כו' והוא טעמו של הר"ש בן הרשב"ץ כנזכר בתשב"ץ ח"ג ס"ס ט"ז </w:t>
      </w:r>
      <w:r w:rsidR="009334FF">
        <w:rPr>
          <w:rFonts w:cs="Arial"/>
          <w:rtl/>
        </w:rPr>
        <w:t>בהג"ה</w:t>
      </w:r>
      <w:r>
        <w:rPr>
          <w:rFonts w:cs="Arial"/>
          <w:rtl/>
        </w:rPr>
        <w:t xml:space="preserve"> שם ובת' הרשב"ש סי' רס"ו ולפי טעם זה גם כאן יש להקל במקום דחק ועיגון. ולפ"ז ה"ה וכ"ש במעשה ב"ד של חליצה שאין מכירין החתימות דאפשר להתיר במקום דחק ועיגון. וצ"ע ועמ"ש לעיל סימן קמ"ב סק"ז, פת"ש (סקי"ט).</w:t>
      </w:r>
    </w:p>
  </w:footnote>
  <w:footnote w:id="2732">
    <w:p w14:paraId="1E5155D4" w14:textId="666205C3" w:rsidR="00C97BEF" w:rsidRDefault="00C97BEF" w:rsidP="00C97BEF">
      <w:pPr>
        <w:pStyle w:val="a5"/>
      </w:pPr>
      <w:r>
        <w:rPr>
          <w:rStyle w:val="a7"/>
        </w:rPr>
        <w:footnoteRef/>
      </w:r>
      <w:r>
        <w:rPr>
          <w:rtl/>
        </w:rPr>
        <w:t xml:space="preserve"> </w:t>
      </w:r>
      <w:r>
        <w:rPr>
          <w:rFonts w:cs="Arial"/>
          <w:rtl/>
        </w:rPr>
        <w:t xml:space="preserve">וסברא זו מפורש בתשב"ץ עצמו (ח"ג סי' סו) שכ' שם </w:t>
      </w:r>
      <w:r w:rsidR="000A0F5A">
        <w:rPr>
          <w:rFonts w:cs="Arial"/>
          <w:rtl/>
        </w:rPr>
        <w:t>וז"ל:</w:t>
      </w:r>
      <w:r>
        <w:rPr>
          <w:rFonts w:cs="Arial"/>
          <w:rtl/>
        </w:rPr>
        <w:t xml:space="preserve"> ולזיוף האשה ליכא למיחש, שהרי ממקום אחר בא זה העדות וידיעה מלתא בדוכתה דאיהי לא זייפתיה כו' עכ"ל. ובזה בודאי גם הט"ז והנו"ב מודים דמותרת, ומכ"ש במקום עיגון קצת כו' עכ"ד. ע"ש. וע' בת' מאמר מרדכי (סי' פב) הביא שם ג"כ דברי התשב"ץ (סי' סו) הנ"ל וסמך עליהם בעובדא דידיה שהיה שעת הדחק ומקום עיגון ע"ש. ועמ"ש לעיל סי' קמ"ב סקל"ג בשם ת' פני אריה ות' מהרי"מ וע"ש עוד</w:t>
      </w:r>
      <w:r>
        <w:rPr>
          <w:rtl/>
        </w:rPr>
        <w:t>, פת"ש (סקי"ט).</w:t>
      </w:r>
    </w:p>
  </w:footnote>
  <w:footnote w:id="2733">
    <w:p w14:paraId="31566E9F" w14:textId="77777777" w:rsidR="00C97BEF" w:rsidRDefault="00C97BEF" w:rsidP="00C97BEF">
      <w:pPr>
        <w:pStyle w:val="a5"/>
        <w:rPr>
          <w:rtl/>
        </w:rPr>
      </w:pPr>
      <w:r>
        <w:rPr>
          <w:rStyle w:val="a7"/>
        </w:rPr>
        <w:footnoteRef/>
      </w:r>
      <w:r>
        <w:rPr>
          <w:rtl/>
        </w:rPr>
        <w:t xml:space="preserve"> </w:t>
      </w:r>
      <w:r>
        <w:rPr>
          <w:rFonts w:cs="Arial"/>
          <w:rtl/>
        </w:rPr>
        <w:t>לפי שהוא מכיר בסימנים קודם שבא לידה, רא"ש (סי' יד).</w:t>
      </w:r>
    </w:p>
  </w:footnote>
  <w:footnote w:id="2734">
    <w:p w14:paraId="5BDEA3F9" w14:textId="77777777" w:rsidR="00C97BEF" w:rsidRDefault="00C97BEF" w:rsidP="00C97BEF">
      <w:pPr>
        <w:pStyle w:val="a5"/>
      </w:pPr>
      <w:r>
        <w:rPr>
          <w:rStyle w:val="a7"/>
        </w:rPr>
        <w:footnoteRef/>
      </w:r>
      <w:r>
        <w:rPr>
          <w:rtl/>
        </w:rPr>
        <w:t xml:space="preserve"> </w:t>
      </w:r>
      <w:r>
        <w:rPr>
          <w:rFonts w:cs="Arial"/>
          <w:rtl/>
        </w:rPr>
        <w:t>וכתבו הרי"ף (י:) והרא"ש (סוף סי' מה) והני מילי היכא דלא נתנה האשה סימני הגט, אבל היכא דנתנה סימני הגט אע"פ שאין הבעל מודה יחזיר לאשה, כדאמרינן לקמן הוא אומר סימני הגט והיא אומרת סימני הגט ינתן לה, ב"י.</w:t>
      </w:r>
    </w:p>
  </w:footnote>
  <w:footnote w:id="2735">
    <w:p w14:paraId="07457BF9" w14:textId="77777777" w:rsidR="00C97BEF" w:rsidRDefault="00C97BEF" w:rsidP="00C97BEF">
      <w:pPr>
        <w:pStyle w:val="a5"/>
      </w:pPr>
      <w:r>
        <w:rPr>
          <w:rStyle w:val="a7"/>
        </w:rPr>
        <w:footnoteRef/>
      </w:r>
      <w:r>
        <w:rPr>
          <w:rtl/>
        </w:rPr>
        <w:t xml:space="preserve"> </w:t>
      </w:r>
      <w:r>
        <w:rPr>
          <w:rFonts w:cs="Arial"/>
          <w:rtl/>
        </w:rPr>
        <w:t>שהוחזקו שני יוסף בן שמעון</w:t>
      </w:r>
      <w:r>
        <w:rPr>
          <w:rFonts w:cs="Arial"/>
          <w:sz w:val="16"/>
          <w:szCs w:val="16"/>
          <w:rtl/>
        </w:rPr>
        <w:t xml:space="preserve"> {בעיר אחת}</w:t>
      </w:r>
      <w:r>
        <w:rPr>
          <w:rFonts w:cs="Arial"/>
          <w:rtl/>
        </w:rPr>
        <w:t>, ב"י.</w:t>
      </w:r>
    </w:p>
  </w:footnote>
  <w:footnote w:id="2736">
    <w:p w14:paraId="0FB1C43F" w14:textId="3779D114" w:rsidR="00C97BEF" w:rsidRDefault="00C97BEF" w:rsidP="00C97BEF">
      <w:pPr>
        <w:pStyle w:val="a5"/>
      </w:pPr>
      <w:r>
        <w:rPr>
          <w:rStyle w:val="a7"/>
        </w:rPr>
        <w:footnoteRef/>
      </w:r>
      <w:r>
        <w:rPr>
          <w:rtl/>
        </w:rPr>
        <w:t xml:space="preserve"> </w:t>
      </w:r>
      <w:r>
        <w:rPr>
          <w:rFonts w:cs="Arial"/>
          <w:rtl/>
        </w:rPr>
        <w:t xml:space="preserve">כ"כ הרא"ש </w:t>
      </w:r>
      <w:r>
        <w:rPr>
          <w:rFonts w:cs="Arial"/>
          <w:sz w:val="16"/>
          <w:szCs w:val="16"/>
          <w:rtl/>
        </w:rPr>
        <w:t>(סי' יד)</w:t>
      </w:r>
      <w:r>
        <w:rPr>
          <w:rFonts w:cs="Arial"/>
          <w:rtl/>
        </w:rPr>
        <w:t xml:space="preserve"> </w:t>
      </w:r>
      <w:r w:rsidR="000A0F5A">
        <w:rPr>
          <w:rFonts w:cs="Arial"/>
          <w:rtl/>
        </w:rPr>
        <w:t>וז"ל:</w:t>
      </w:r>
      <w:r>
        <w:rPr>
          <w:rFonts w:cs="Arial"/>
          <w:rtl/>
        </w:rPr>
        <w:t xml:space="preserve"> הוא אומר סימני הגט וממני נפל והיא אמרה סימני הגט ובא לידי וממני נפל ינתן לה לפי שהוא מכיר בסימנים קודם שבא לידה. כתב רב אלפס ז"ל </w:t>
      </w:r>
      <w:r>
        <w:rPr>
          <w:rFonts w:cs="Arial"/>
          <w:sz w:val="16"/>
          <w:szCs w:val="16"/>
          <w:rtl/>
        </w:rPr>
        <w:t>(טו.)</w:t>
      </w:r>
      <w:r>
        <w:rPr>
          <w:rFonts w:cs="Arial"/>
          <w:rtl/>
        </w:rPr>
        <w:t xml:space="preserve"> דדוקא בנקב יש בו בצד אות פלוני. ונראה לי דלא בעינן הכא סימן מובהק, דודאי להחזירו לבעל לגרש בו הוא דבעינן (רא"ש שם סי' יג) סימן מובהק, שלא יגרשנה בגט שנכתב לשם אשה אחרת. אבל להחזירו לאשה כשהיא אומרת שהבעל נתנו לה וממנה נפל - לא בעינן סימן מובהק, דליכא כאן חשש שמא נכתב לשם אשה אחרת כיון שבא לידה קודם נפילה, אלא דלא ידעינן הי מינייהו קושטא קאמר, וכיון דעדיפי סימנין דידה מסימנין דידיה יהבינן לדידה. ואי משום דמינסבא בגט זה ואיכא איסורא דאורייתא, אפילו בלא גט נמי האשה שאמרה לבעלה גירשתני נאמנת (כתובות כב:) חזקה אין האשה מעיזה פניה בפני בעלה. ולא אמרינן הכא כיון דאיכא גיטא מעיזה כיון דסימנין מסייעי לה. הילכך אפילו בסימן שאינו מובהק מהדרינן לה. ומה שכתוב בספרים אילימא דאריך וגוץ הא אמרת (ב"מ כז:) אין מעידין דאמרה נקב יש בו בצד אות פלוני, לאו דוקא נקב יש בו בצד אות פלוני, דהוא הדין נמי כך וכך אצבעות אורך הגט או כך וכך רחבו הוי סימן, דהא אמרינן דמדת אורך החוט הוי סימן, והוא הדין כי אמרה בצמצום אורך מדת הגט או רחבו. והאי דקאמר דאריך וגוץ לא הוי סימן, היינו בשלא צמצמה מדת רחבו או ארכו אלא אמרה הגט הוא ארוך או קצר, דומיא דההוא דקאמר אין מעידין דהיינו גופו אריך וגוץ שלא צמצמו מדת ארכו. וכן חפיסה, אי לאו משום דידעה דכל מאי דאית ליה מנח בחפיסה היו נותנים אותו לה והיתה מתגרשת אע"ג דלא הוי סימן מובהק דדרך להניח חפצים בכלים. והאי דקאמר ינתן לו, לא שיוכל לגרש בו, אלא לאפוקי שלא ינתן לה.</w:t>
      </w:r>
    </w:p>
  </w:footnote>
  <w:footnote w:id="2737">
    <w:p w14:paraId="31C24E9F" w14:textId="2D856CCA" w:rsidR="00C97BEF" w:rsidRDefault="00C97BEF" w:rsidP="00C97BEF">
      <w:pPr>
        <w:pStyle w:val="a5"/>
      </w:pPr>
      <w:r>
        <w:rPr>
          <w:rStyle w:val="a7"/>
        </w:rPr>
        <w:footnoteRef/>
      </w:r>
      <w:r>
        <w:rPr>
          <w:rtl/>
        </w:rPr>
        <w:t xml:space="preserve"> </w:t>
      </w:r>
      <w:r>
        <w:rPr>
          <w:rFonts w:cs="Arial"/>
          <w:rtl/>
        </w:rPr>
        <w:t xml:space="preserve">על ריש הסעיף קאי דאינה צריכה לומר סימן מובהק, כי דווקא בחשש שמא נפל מאחר צריך סימן מובהק כיון דאיכא איסור דאורייתא. אבל כאן דליכא חשש שנפל מאחר אלא דאינו יודע אם ממנו נפל או ממנה והיא אומרת גרשתני והסימנים מסייעים לה - נאמנת אע"ג דאינה אומרת סימן מובהק. ואפשר אפי' לדעת המחמיר בסי' י"ז כשאומרת גרשתני אינה נאמנת בזה"ז, מ"מ כיון הסימני' מסייעי' לה </w:t>
      </w:r>
      <w:r w:rsidR="00A42812">
        <w:rPr>
          <w:rFonts w:cs="Arial"/>
          <w:rtl/>
        </w:rPr>
        <w:t>-</w:t>
      </w:r>
      <w:r>
        <w:rPr>
          <w:rFonts w:cs="Arial"/>
          <w:rtl/>
        </w:rPr>
        <w:t xml:space="preserve"> נאמנת. וכ"כ בדרישה וב"ח בשם רש"ל דקאי על ריש הסעיף, ב"ש (סק"ה).</w:t>
      </w:r>
    </w:p>
  </w:footnote>
  <w:footnote w:id="2738">
    <w:p w14:paraId="064F0A46" w14:textId="77777777" w:rsidR="00C97BEF" w:rsidRDefault="00C97BEF" w:rsidP="00C97BEF">
      <w:pPr>
        <w:pStyle w:val="a5"/>
      </w:pPr>
      <w:r>
        <w:rPr>
          <w:rStyle w:val="a7"/>
        </w:rPr>
        <w:footnoteRef/>
      </w:r>
      <w:r>
        <w:rPr>
          <w:rtl/>
        </w:rPr>
        <w:t xml:space="preserve"> </w:t>
      </w:r>
      <w:r>
        <w:rPr>
          <w:rFonts w:hint="cs"/>
          <w:rtl/>
        </w:rPr>
        <w:t xml:space="preserve">כן כתב באה"ג (אות ז) שמצא כתוב בשו"ע דפוס א"מ. ומאז הוספה זו נכנסה בכל המהדורות של השו"ע. </w:t>
      </w:r>
    </w:p>
  </w:footnote>
  <w:footnote w:id="2739">
    <w:p w14:paraId="2149D11C" w14:textId="77777777" w:rsidR="00C97BEF" w:rsidRDefault="00C97BEF" w:rsidP="00C97BEF">
      <w:pPr>
        <w:pStyle w:val="a5"/>
        <w:rPr>
          <w:rtl/>
        </w:rPr>
      </w:pPr>
      <w:r>
        <w:rPr>
          <w:rStyle w:val="a7"/>
        </w:rPr>
        <w:footnoteRef/>
      </w:r>
      <w:r>
        <w:rPr>
          <w:rtl/>
        </w:rPr>
        <w:t xml:space="preserve"> </w:t>
      </w:r>
      <w:r>
        <w:rPr>
          <w:rFonts w:hint="cs"/>
          <w:rtl/>
        </w:rPr>
        <w:t xml:space="preserve">מצורע, </w:t>
      </w:r>
      <w:r>
        <w:rPr>
          <w:rFonts w:cs="Arial"/>
          <w:rtl/>
        </w:rPr>
        <w:t>רמב"ם (פהמ"ש כתובות פ"ז מ"י).</w:t>
      </w:r>
    </w:p>
  </w:footnote>
  <w:footnote w:id="2740">
    <w:p w14:paraId="27E7E30F" w14:textId="77777777" w:rsidR="00C97BEF" w:rsidRDefault="00C97BEF" w:rsidP="00C97BEF">
      <w:pPr>
        <w:pStyle w:val="a5"/>
      </w:pPr>
      <w:r>
        <w:rPr>
          <w:rStyle w:val="a7"/>
        </w:rPr>
        <w:footnoteRef/>
      </w:r>
      <w:r>
        <w:rPr>
          <w:rtl/>
        </w:rPr>
        <w:t xml:space="preserve"> </w:t>
      </w:r>
      <w:r>
        <w:rPr>
          <w:rFonts w:cs="Arial"/>
          <w:rtl/>
        </w:rPr>
        <w:t>מפרש בגמ', וכולן מפני שאומנות מסרחת היא, רש"י.</w:t>
      </w:r>
    </w:p>
  </w:footnote>
  <w:footnote w:id="2741">
    <w:p w14:paraId="05FE7FA8" w14:textId="5E4C8AE6" w:rsidR="00C97BEF" w:rsidRDefault="00C97BEF" w:rsidP="00C97BEF">
      <w:pPr>
        <w:pStyle w:val="a5"/>
      </w:pPr>
      <w:r>
        <w:rPr>
          <w:rStyle w:val="a7"/>
        </w:rPr>
        <w:footnoteRef/>
      </w:r>
      <w:r>
        <w:rPr>
          <w:rtl/>
        </w:rPr>
        <w:t xml:space="preserve"> </w:t>
      </w:r>
      <w:r>
        <w:rPr>
          <w:rFonts w:cs="Arial"/>
          <w:rtl/>
        </w:rPr>
        <w:t>לכאורה משמע דכי אמרי חכמים מקבלת היא בעל כרחה - אהיכא דהתנה עמה קיימי, אבל לא התנה עמה אע"פ שראתה וידעה בהם יכולה לומר סבורה הייתי שאני יכולה לקבל ועכשיו איני יכולה</w:t>
      </w:r>
      <w:r>
        <w:rPr>
          <w:rFonts w:cs="Arial"/>
          <w:sz w:val="16"/>
          <w:szCs w:val="16"/>
          <w:rtl/>
        </w:rPr>
        <w:t xml:space="preserve"> {וכן דעת הטור}</w:t>
      </w:r>
      <w:r>
        <w:rPr>
          <w:rFonts w:cs="Arial"/>
          <w:rtl/>
        </w:rPr>
        <w:t>. וכתב הר"ן (לו. סוד"ה מתני') שיש שפירשו כן, ואחרים אומרים דכיון דבהתנה עמה לא יכלה למימר הכי, כי ראתה נמי מקבלת היא בעל כרחה, וכן נראה דעת הרמב"ם בסוף פכ"ה מהלכות אישות (הי"א). וזה דעת הרמ"ה ז"ל שהזכיר רבינו</w:t>
      </w:r>
      <w:r>
        <w:rPr>
          <w:rtl/>
        </w:rPr>
        <w:t xml:space="preserve">, ב"י. </w:t>
      </w:r>
      <w:r w:rsidR="00A55EB4">
        <w:rPr>
          <w:rFonts w:hint="cs"/>
          <w:rtl/>
        </w:rPr>
        <w:t xml:space="preserve">     </w:t>
      </w:r>
      <w:r>
        <w:rPr>
          <w:rtl/>
        </w:rPr>
        <w:t>נמצא שיש שלשה מקרים. א- לא ידעה כלל, אין מחלוקת שכופין להוציא. ב- ידעה אבל לא התנה עמה ע"מ כן, מחלוקת טור (כופין) ורמ"ה (לא כופין). ג- ידעה והתנה עמה, אין מחלוקת שלא כופין.</w:t>
      </w:r>
    </w:p>
  </w:footnote>
  <w:footnote w:id="2742">
    <w:p w14:paraId="0F741545" w14:textId="77777777" w:rsidR="00C97BEF" w:rsidRDefault="00C97BEF" w:rsidP="00C97BEF">
      <w:pPr>
        <w:pStyle w:val="a5"/>
        <w:rPr>
          <w:rtl/>
        </w:rPr>
      </w:pPr>
      <w:r>
        <w:rPr>
          <w:rStyle w:val="a7"/>
        </w:rPr>
        <w:footnoteRef/>
      </w:r>
      <w:r>
        <w:rPr>
          <w:rtl/>
        </w:rPr>
        <w:t xml:space="preserve"> </w:t>
      </w:r>
      <w:r>
        <w:rPr>
          <w:rFonts w:hint="cs"/>
          <w:rtl/>
        </w:rPr>
        <w:t>שהתשמיש קשה לו, ומזיק לו להיות עם אשה שהרי לא יוכל שלא לתבוע אותה לתשמיש.</w:t>
      </w:r>
    </w:p>
  </w:footnote>
  <w:footnote w:id="2743">
    <w:p w14:paraId="7360A53F" w14:textId="77777777" w:rsidR="00C97BEF" w:rsidRDefault="00C97BEF" w:rsidP="00C97BEF">
      <w:pPr>
        <w:pStyle w:val="a5"/>
      </w:pPr>
      <w:r>
        <w:rPr>
          <w:rStyle w:val="a7"/>
        </w:rPr>
        <w:footnoteRef/>
      </w:r>
      <w:r>
        <w:rPr>
          <w:rtl/>
        </w:rPr>
        <w:t xml:space="preserve"> </w:t>
      </w:r>
      <w:r>
        <w:rPr>
          <w:rFonts w:cs="Arial"/>
          <w:rtl/>
        </w:rPr>
        <w:t>ומשמע דמתניתא ורב יהודה לא איפליגו אלא בפירוש מלת פוליפוס אבל לענין דינא על איזה מהם כופין להוציא לכולי עלמא, ומתניתין תנא חד והוא הדין לאידך, וכן נראה שהוא דעת הרמב"ם בסוף הלכות אישות שכתב דבין על ריח החוטם בין על ריח הפה כופין להוציא וכך הם דברי רבינו</w:t>
      </w:r>
      <w:r>
        <w:rPr>
          <w:rtl/>
        </w:rPr>
        <w:t>, ב"י.</w:t>
      </w:r>
    </w:p>
  </w:footnote>
  <w:footnote w:id="2744">
    <w:p w14:paraId="5DB05008" w14:textId="77777777" w:rsidR="00C97BEF" w:rsidRDefault="00C97BEF" w:rsidP="00C97BEF">
      <w:pPr>
        <w:pStyle w:val="a5"/>
        <w:rPr>
          <w:rtl/>
        </w:rPr>
      </w:pPr>
      <w:r>
        <w:rPr>
          <w:rStyle w:val="a7"/>
        </w:rPr>
        <w:footnoteRef/>
      </w:r>
      <w:r>
        <w:rPr>
          <w:rtl/>
        </w:rPr>
        <w:t xml:space="preserve"> </w:t>
      </w:r>
      <w:r>
        <w:rPr>
          <w:rFonts w:cs="Arial"/>
          <w:rtl/>
        </w:rPr>
        <w:t>לא ידעתי מה צורך בה אבל באשכנז ראיתי ששורין בהם הבגדים לפני כבוסן יום או יומים</w:t>
      </w:r>
      <w:r>
        <w:rPr>
          <w:rtl/>
        </w:rPr>
        <w:t>, רש"י.</w:t>
      </w:r>
    </w:p>
  </w:footnote>
  <w:footnote w:id="2745">
    <w:p w14:paraId="4FFB1D58" w14:textId="77777777" w:rsidR="00C97BEF" w:rsidRDefault="00C97BEF" w:rsidP="00C97BEF">
      <w:pPr>
        <w:pStyle w:val="a5"/>
        <w:rPr>
          <w:rtl/>
        </w:rPr>
      </w:pPr>
      <w:r>
        <w:rPr>
          <w:rStyle w:val="a7"/>
        </w:rPr>
        <w:footnoteRef/>
      </w:r>
      <w:r>
        <w:rPr>
          <w:rtl/>
        </w:rPr>
        <w:t xml:space="preserve"> </w:t>
      </w:r>
      <w:r>
        <w:rPr>
          <w:rFonts w:cs="Arial"/>
          <w:rtl/>
        </w:rPr>
        <w:t>מחשלין ומרדדין נחשת ועושין ממנו יורות ומסריח הוא, רש"י.</w:t>
      </w:r>
    </w:p>
  </w:footnote>
  <w:footnote w:id="2746">
    <w:p w14:paraId="6FA19C05" w14:textId="77777777" w:rsidR="00C97BEF" w:rsidRDefault="00C97BEF" w:rsidP="00C97BEF">
      <w:pPr>
        <w:pStyle w:val="a5"/>
      </w:pPr>
      <w:r>
        <w:rPr>
          <w:rStyle w:val="a7"/>
        </w:rPr>
        <w:footnoteRef/>
      </w:r>
      <w:r>
        <w:rPr>
          <w:rtl/>
        </w:rPr>
        <w:t xml:space="preserve"> </w:t>
      </w:r>
      <w:r>
        <w:rPr>
          <w:rFonts w:cs="Arial"/>
          <w:rtl/>
        </w:rPr>
        <w:t>ממקום מוצאו מן הארץ</w:t>
      </w:r>
      <w:r>
        <w:rPr>
          <w:rtl/>
        </w:rPr>
        <w:t>, רש"י.</w:t>
      </w:r>
    </w:p>
  </w:footnote>
  <w:footnote w:id="2747">
    <w:p w14:paraId="25EB70F7" w14:textId="77777777" w:rsidR="00C97BEF" w:rsidRDefault="00C97BEF" w:rsidP="00C97BEF">
      <w:pPr>
        <w:pStyle w:val="a5"/>
        <w:rPr>
          <w:rtl/>
        </w:rPr>
      </w:pPr>
      <w:r>
        <w:rPr>
          <w:rStyle w:val="a7"/>
        </w:rPr>
        <w:footnoteRef/>
      </w:r>
      <w:r>
        <w:rPr>
          <w:rtl/>
        </w:rPr>
        <w:t xml:space="preserve"> </w:t>
      </w:r>
      <w:r>
        <w:rPr>
          <w:rFonts w:cs="Arial"/>
          <w:rtl/>
        </w:rPr>
        <w:t xml:space="preserve">וכ"פ הרא"ש בתשובה (כלל מג סי' ד) דהכי קיי"ל דכפייה בשוטים היא, ועיין שם בסימן י"ב. ועיין בתשובות הריב"ש סימן קס"ב וסימן קכ"ז. ועיין בדברי רבינו בס"ס זה (סוף עה.), </w:t>
      </w:r>
      <w:r>
        <w:rPr>
          <w:rFonts w:cs="Arial"/>
          <w:b/>
          <w:bCs/>
          <w:rtl/>
        </w:rPr>
        <w:t>ב"י</w:t>
      </w:r>
      <w:r>
        <w:rPr>
          <w:rFonts w:cs="Arial"/>
          <w:rtl/>
        </w:rPr>
        <w:t xml:space="preserve">. עיין לעיל סי' קל"ד (עמ' קצט) דמותר לכופו ע"י גוים, </w:t>
      </w:r>
      <w:r>
        <w:rPr>
          <w:rFonts w:cs="Arial"/>
          <w:b/>
          <w:bCs/>
          <w:rtl/>
        </w:rPr>
        <w:t>דרכ"מ</w:t>
      </w:r>
      <w:r>
        <w:rPr>
          <w:rFonts w:cs="Arial"/>
          <w:rtl/>
        </w:rPr>
        <w:t xml:space="preserve"> (אות א).</w:t>
      </w:r>
    </w:p>
  </w:footnote>
  <w:footnote w:id="2748">
    <w:p w14:paraId="54598507" w14:textId="77777777" w:rsidR="00C97BEF" w:rsidRDefault="00C97BEF" w:rsidP="00C97BEF">
      <w:pPr>
        <w:pStyle w:val="a5"/>
      </w:pPr>
      <w:r>
        <w:rPr>
          <w:rStyle w:val="a7"/>
        </w:rPr>
        <w:footnoteRef/>
      </w:r>
      <w:r>
        <w:rPr>
          <w:rtl/>
        </w:rPr>
        <w:t xml:space="preserve"> </w:t>
      </w:r>
      <w:r>
        <w:rPr>
          <w:rFonts w:cs="Arial"/>
          <w:rtl/>
        </w:rPr>
        <w:t>גבי מתניתין, רש"י.</w:t>
      </w:r>
    </w:p>
  </w:footnote>
  <w:footnote w:id="2749">
    <w:p w14:paraId="09513A75" w14:textId="77777777" w:rsidR="00C97BEF" w:rsidRDefault="00C97BEF" w:rsidP="00C97BEF">
      <w:pPr>
        <w:pStyle w:val="a5"/>
      </w:pPr>
      <w:r>
        <w:rPr>
          <w:rStyle w:val="a7"/>
        </w:rPr>
        <w:footnoteRef/>
      </w:r>
      <w:r>
        <w:rPr>
          <w:rtl/>
        </w:rPr>
        <w:t xml:space="preserve"> </w:t>
      </w:r>
      <w:r>
        <w:rPr>
          <w:rFonts w:cs="Arial"/>
          <w:rtl/>
        </w:rPr>
        <w:t>מקבלנא ליה והוינא בהדיה שבקינן לה, רש"י.</w:t>
      </w:r>
    </w:p>
  </w:footnote>
  <w:footnote w:id="2750">
    <w:p w14:paraId="0C3C56F9" w14:textId="77777777" w:rsidR="00C97BEF" w:rsidRDefault="00C97BEF" w:rsidP="00C97BEF">
      <w:pPr>
        <w:pStyle w:val="a5"/>
      </w:pPr>
      <w:r>
        <w:rPr>
          <w:rStyle w:val="a7"/>
        </w:rPr>
        <w:footnoteRef/>
      </w:r>
      <w:r>
        <w:rPr>
          <w:rtl/>
        </w:rPr>
        <w:t xml:space="preserve"> </w:t>
      </w:r>
      <w:r>
        <w:rPr>
          <w:rFonts w:hint="cs"/>
          <w:rtl/>
        </w:rPr>
        <w:t>היינו ואעפ"כ שנו אותו במשנה.</w:t>
      </w:r>
    </w:p>
  </w:footnote>
  <w:footnote w:id="2751">
    <w:p w14:paraId="01E15857" w14:textId="77777777" w:rsidR="00C97BEF" w:rsidRDefault="00C97BEF" w:rsidP="00C97BEF">
      <w:pPr>
        <w:pStyle w:val="a5"/>
        <w:rPr>
          <w:rtl/>
        </w:rPr>
      </w:pPr>
      <w:r>
        <w:rPr>
          <w:rStyle w:val="a7"/>
        </w:rPr>
        <w:footnoteRef/>
      </w:r>
      <w:r>
        <w:rPr>
          <w:rtl/>
        </w:rPr>
        <w:t xml:space="preserve"> </w:t>
      </w:r>
      <w:r>
        <w:rPr>
          <w:rFonts w:hint="cs"/>
          <w:rtl/>
        </w:rPr>
        <w:t>במי ששהה עם אשתו עשר שנים ולא נולדו להם ילדים.</w:t>
      </w:r>
    </w:p>
  </w:footnote>
  <w:footnote w:id="2752">
    <w:p w14:paraId="3D06B8D4" w14:textId="33B6511E"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האיש שנולדו בו מומין אחר שנשא אפילו נקטעה ידו או רגלו או נסמית עינו ולא רצת אשתו לישב עמו אין כופין אותו להוציא וליתן כתובה אלא אם רצת תשב ואם לא רצת תצא בלא כתובה כדין כל אשה מורדת. אבל אם נולד לו ריח הפה או ריח החוטם או שחזר ללקט צואת כלבים או לחצוב נחשת מעיקרו או לעבד עורות כופין אותו להוציא וליתן כתובה, ואם רצת תשב עם בעלה.</w:t>
      </w:r>
    </w:p>
  </w:footnote>
  <w:footnote w:id="2753">
    <w:p w14:paraId="45ED71D6" w14:textId="3144FD7C" w:rsidR="00C97BEF" w:rsidRDefault="00C97BEF" w:rsidP="00C97BEF">
      <w:pPr>
        <w:pStyle w:val="a5"/>
      </w:pPr>
      <w:r>
        <w:rPr>
          <w:rStyle w:val="a7"/>
        </w:rPr>
        <w:footnoteRef/>
      </w:r>
      <w:r>
        <w:rPr>
          <w:rtl/>
        </w:rPr>
        <w:t xml:space="preserve"> </w:t>
      </w:r>
      <w:r>
        <w:rPr>
          <w:rFonts w:cs="Arial"/>
          <w:rtl/>
        </w:rPr>
        <w:t xml:space="preserve">מלשון הרמב"ם מוכח שאם ידעה בהם לפני שנשאת לו </w:t>
      </w:r>
      <w:r w:rsidR="00A42812">
        <w:rPr>
          <w:rFonts w:cs="Arial"/>
          <w:rtl/>
        </w:rPr>
        <w:t>-</w:t>
      </w:r>
      <w:r>
        <w:rPr>
          <w:rFonts w:cs="Arial"/>
          <w:rtl/>
        </w:rPr>
        <w:t xml:space="preserve"> אין כופין אותו להוציא, דסברה וקבלה אפילו לא התנה עמה. וכן כתב הרמ"ה</w:t>
      </w:r>
      <w:r>
        <w:rPr>
          <w:rFonts w:cs="Arial"/>
          <w:sz w:val="16"/>
          <w:szCs w:val="16"/>
          <w:rtl/>
        </w:rPr>
        <w:t xml:space="preserve"> (הביאו הטור כדעה חולקת על דבריו)</w:t>
      </w:r>
      <w:r>
        <w:rPr>
          <w:rFonts w:cs="Arial"/>
          <w:rtl/>
        </w:rPr>
        <w:t xml:space="preserve">, </w:t>
      </w:r>
      <w:r w:rsidR="000A0F5A">
        <w:rPr>
          <w:rFonts w:cs="Arial"/>
          <w:rtl/>
        </w:rPr>
        <w:t>וז"ל:</w:t>
      </w:r>
      <w:r>
        <w:rPr>
          <w:rFonts w:cs="Arial"/>
          <w:rtl/>
        </w:rPr>
        <w:t xml:space="preserve"> אפי' בסתם נמי, אם ידעה בהם - אין כופין אותו להוציא, דסברה וקבילה</w:t>
      </w:r>
      <w:r>
        <w:rPr>
          <w:rFonts w:cs="Arial"/>
          <w:sz w:val="16"/>
          <w:szCs w:val="16"/>
          <w:rtl/>
        </w:rPr>
        <w:t xml:space="preserve"> (ל' הטור בשם הרמ"ה)</w:t>
      </w:r>
      <w:r>
        <w:rPr>
          <w:rFonts w:cs="Arial"/>
          <w:rtl/>
        </w:rPr>
        <w:t>.</w:t>
      </w:r>
      <w:r>
        <w:rPr>
          <w:color w:val="00B0F0"/>
          <w:rtl/>
        </w:rPr>
        <w:t xml:space="preserve"> (וכ"פ הרמ"א)</w:t>
      </w:r>
    </w:p>
  </w:footnote>
  <w:footnote w:id="2754">
    <w:p w14:paraId="413500E6" w14:textId="77777777" w:rsidR="00C97BEF" w:rsidRDefault="00C97BEF" w:rsidP="00C97BEF">
      <w:pPr>
        <w:pStyle w:val="a5"/>
      </w:pPr>
      <w:r>
        <w:rPr>
          <w:rStyle w:val="a7"/>
        </w:rPr>
        <w:footnoteRef/>
      </w:r>
      <w:r>
        <w:rPr>
          <w:rtl/>
        </w:rPr>
        <w:t xml:space="preserve"> </w:t>
      </w:r>
      <w:r>
        <w:rPr>
          <w:rFonts w:cs="Arial"/>
          <w:rtl/>
        </w:rPr>
        <w:t>וכתב הר"ן (פרק אלמנה ניזונת נט: סוד"ה גמ') דהוא הדין דנותן לה התוספת. וצריך עיון בהגמ"ר (כתובות סוף סי' רפט). ולקמן (עמ' שט - שי) גבי הבאה בטענה כתב הטור דאין נותן לה תוספת, ואפשר דהוא הדין הכא. ועיין בהר"ן, דרכ"מ (אות ב).</w:t>
      </w:r>
    </w:p>
  </w:footnote>
  <w:footnote w:id="2755">
    <w:p w14:paraId="29704F73" w14:textId="77777777" w:rsidR="00C97BEF" w:rsidRDefault="00C97BEF" w:rsidP="00C97BEF">
      <w:pPr>
        <w:pStyle w:val="a5"/>
      </w:pPr>
      <w:r>
        <w:rPr>
          <w:rStyle w:val="a7"/>
        </w:rPr>
        <w:footnoteRef/>
      </w:r>
      <w:r>
        <w:rPr>
          <w:rtl/>
        </w:rPr>
        <w:t xml:space="preserve"> </w:t>
      </w:r>
      <w:r>
        <w:rPr>
          <w:rFonts w:cs="Arial"/>
          <w:rtl/>
        </w:rPr>
        <w:t xml:space="preserve">ומכל מקום כתב המרדכי </w:t>
      </w:r>
      <w:r>
        <w:rPr>
          <w:rFonts w:cs="Arial"/>
          <w:sz w:val="16"/>
          <w:szCs w:val="16"/>
          <w:rtl/>
        </w:rPr>
        <w:t>(כתובות סוף סי' קפו, הביאו הב"י)</w:t>
      </w:r>
      <w:r>
        <w:rPr>
          <w:rFonts w:cs="Arial"/>
          <w:rtl/>
        </w:rPr>
        <w:t xml:space="preserve"> דאף אם זה האיש שוחק ומאבד ממונו בשחוק לא מצינו שתוכל אשתו למרוד בו לא מתשמיש ולא ממלאכה כיון שלא החציף להעבירה על דת לשמש באיסור, עכ"ל הב"י בשמו. וכתב הדרכ"מ (אות יט) לעיין לעיל סימן ע"ז (עמ' שנ בד"מ אות יג) לגבי איש המאבד כל אשר לו בשחוק וכדומה אם אשתו יכולה למרוד עליו.</w:t>
      </w:r>
    </w:p>
  </w:footnote>
  <w:footnote w:id="2756">
    <w:p w14:paraId="54A4A4BA" w14:textId="77777777" w:rsidR="00C97BEF" w:rsidRDefault="00C97BEF" w:rsidP="00C97BEF">
      <w:pPr>
        <w:pStyle w:val="a5"/>
        <w:rPr>
          <w:rtl/>
        </w:rPr>
      </w:pPr>
      <w:r>
        <w:rPr>
          <w:rStyle w:val="a7"/>
        </w:rPr>
        <w:footnoteRef/>
      </w:r>
      <w:r>
        <w:rPr>
          <w:rtl/>
        </w:rPr>
        <w:t xml:space="preserve"> </w:t>
      </w:r>
      <w:r>
        <w:rPr>
          <w:rFonts w:cs="Arial"/>
          <w:rtl/>
        </w:rPr>
        <w:t>פי' היכא שהישראלים מעשין ומכריחין אותו ליתן את הגט כיון שהדייני' הם עכו"ם הגט פסול אפי' הדין אמת כגון איני זן ואיני מפרנס, תרומה (סי' קכח).</w:t>
      </w:r>
    </w:p>
  </w:footnote>
  <w:footnote w:id="2757">
    <w:p w14:paraId="4B504504" w14:textId="77777777" w:rsidR="00C97BEF" w:rsidRDefault="00C97BEF" w:rsidP="00C97BEF">
      <w:pPr>
        <w:pStyle w:val="a5"/>
      </w:pPr>
      <w:r>
        <w:rPr>
          <w:rStyle w:val="a7"/>
        </w:rPr>
        <w:footnoteRef/>
      </w:r>
      <w:r>
        <w:rPr>
          <w:rtl/>
        </w:rPr>
        <w:t xml:space="preserve"> </w:t>
      </w:r>
      <w:r>
        <w:rPr>
          <w:rFonts w:cs="Arial"/>
          <w:rtl/>
        </w:rPr>
        <w:t>פי' היכא שהעכו"ם מכריחין ליתן גט כמעשה ישראל, כלומר לעשות כדייני ישראל - כשר כיון שהדייני' ישראלים והדין אמת באומר איני זן ואיני מפרנס, תרומה (שם).</w:t>
      </w:r>
    </w:p>
  </w:footnote>
  <w:footnote w:id="2758">
    <w:p w14:paraId="6174954D" w14:textId="6D19F8F1" w:rsidR="00C97BEF" w:rsidRDefault="00C97BEF" w:rsidP="00C97BEF">
      <w:pPr>
        <w:pStyle w:val="a5"/>
      </w:pPr>
      <w:r>
        <w:rPr>
          <w:rStyle w:val="a7"/>
        </w:rPr>
        <w:footnoteRef/>
      </w:r>
      <w:r>
        <w:rPr>
          <w:rtl/>
        </w:rPr>
        <w:t xml:space="preserve"> </w:t>
      </w:r>
      <w:r>
        <w:rPr>
          <w:rFonts w:cs="Arial"/>
          <w:rtl/>
        </w:rPr>
        <w:t xml:space="preserve">בתשובת מהרי"ו (סי' כב) משמע דוקא בדבר שאינו מזיק לדידה אבל אם מאכילה דבר איסור כופין להוציא. וכן הוא </w:t>
      </w:r>
      <w:r w:rsidR="009334FF">
        <w:rPr>
          <w:rFonts w:cs="Arial"/>
          <w:rtl/>
        </w:rPr>
        <w:t>ב</w:t>
      </w:r>
      <w:r w:rsidR="00DB737E">
        <w:rPr>
          <w:rFonts w:cs="Arial"/>
          <w:rtl/>
        </w:rPr>
        <w:t>הגהות</w:t>
      </w:r>
      <w:r>
        <w:rPr>
          <w:rFonts w:cs="Arial"/>
          <w:rtl/>
        </w:rPr>
        <w:t xml:space="preserve"> אלפסי פרק המדיר (שלטי הגבורים לב: לשון ריא"ז סוף אות א) דאם נודר ואינו מקיים או מאכילה דבר איסור כופין להוציא. ודברי הגהות מיימון דלעיל לא משמע הכי, דרכ"מ (אות ג).</w:t>
      </w:r>
    </w:p>
  </w:footnote>
  <w:footnote w:id="2759">
    <w:p w14:paraId="5090858F" w14:textId="77777777" w:rsidR="00C97BEF" w:rsidRDefault="00C97BEF" w:rsidP="00C97BEF">
      <w:pPr>
        <w:pStyle w:val="a5"/>
      </w:pPr>
      <w:r>
        <w:rPr>
          <w:rStyle w:val="a7"/>
        </w:rPr>
        <w:footnoteRef/>
      </w:r>
      <w:r>
        <w:rPr>
          <w:rtl/>
        </w:rPr>
        <w:t xml:space="preserve"> </w:t>
      </w:r>
      <w:r>
        <w:rPr>
          <w:rFonts w:cs="Arial"/>
          <w:rtl/>
        </w:rPr>
        <w:t>ומיד אחרי שהביא ההגה"מ את דברי מהר"ם הנ"ל, העתיק (באות ה) את דברי הסמ"ג (שלקוחים מהתוס' [שם]) שלמד מהירושלמי (כתובות פי"א ה"ז) שאין כופין אלא במקום ששונין כופין אבל אומרים לו חכמים חייבוך להוציא ואם תעבור יקראוך עבריין. אם כן צ"ע על כוונת ההגה"מ, שלכאורה הדברים סותרים.</w:t>
      </w:r>
    </w:p>
  </w:footnote>
  <w:footnote w:id="2760">
    <w:p w14:paraId="5360AFF1" w14:textId="77777777" w:rsidR="00C97BEF" w:rsidRDefault="00C97BEF" w:rsidP="00C97BEF">
      <w:pPr>
        <w:pStyle w:val="a5"/>
        <w:rPr>
          <w:rtl/>
        </w:rPr>
      </w:pPr>
      <w:r>
        <w:rPr>
          <w:rStyle w:val="a7"/>
        </w:rPr>
        <w:footnoteRef/>
      </w:r>
      <w:r>
        <w:rPr>
          <w:rtl/>
        </w:rPr>
        <w:t xml:space="preserve"> </w:t>
      </w:r>
      <w:r>
        <w:rPr>
          <w:rFonts w:cs="Arial"/>
          <w:rtl/>
        </w:rPr>
        <w:t xml:space="preserve">וכ"כ הארחות חיים </w:t>
      </w:r>
      <w:r>
        <w:rPr>
          <w:rFonts w:cs="Arial"/>
          <w:sz w:val="16"/>
          <w:szCs w:val="16"/>
          <w:rtl/>
        </w:rPr>
        <w:t>(ח"ב ריש הלכות גיטין עמ' קנו)</w:t>
      </w:r>
      <w:r>
        <w:rPr>
          <w:rFonts w:cs="Arial"/>
          <w:rtl/>
        </w:rPr>
        <w:t xml:space="preserve"> שמשומד מכריחין אותו ע"י גוים לעשות מה שיאמר הישראל. וכן הוא במרדכי </w:t>
      </w:r>
      <w:r>
        <w:rPr>
          <w:rFonts w:cs="Arial"/>
          <w:sz w:val="16"/>
          <w:szCs w:val="16"/>
          <w:rtl/>
        </w:rPr>
        <w:t>(פרק המגרש סי' תנ, הביאו הדרכ"מ [אות ג])</w:t>
      </w:r>
      <w:r>
        <w:rPr>
          <w:rFonts w:cs="Arial"/>
          <w:rtl/>
        </w:rPr>
        <w:t xml:space="preserve"> וכתב שם ובלבד שיבטל מודעות אח"כ.</w:t>
      </w:r>
      <w:r>
        <w:rPr>
          <w:rtl/>
        </w:rPr>
        <w:t xml:space="preserve"> וכן כתב התרומה (שם) בהמשך דבריו.</w:t>
      </w:r>
    </w:p>
  </w:footnote>
  <w:footnote w:id="2761">
    <w:p w14:paraId="3F4A8718" w14:textId="77777777" w:rsidR="00C97BEF" w:rsidRDefault="00C97BEF" w:rsidP="00C97BEF">
      <w:pPr>
        <w:pStyle w:val="a5"/>
        <w:rPr>
          <w:rtl/>
        </w:rPr>
      </w:pPr>
      <w:r>
        <w:rPr>
          <w:rStyle w:val="a7"/>
        </w:rPr>
        <w:footnoteRef/>
      </w:r>
      <w:r>
        <w:rPr>
          <w:rtl/>
        </w:rPr>
        <w:t xml:space="preserve"> </w:t>
      </w:r>
      <w:r>
        <w:rPr>
          <w:rFonts w:cs="Arial"/>
          <w:rtl/>
        </w:rPr>
        <w:t>ולענין תוספ' כתובה עיין סעיף ז' כשבאה בטענה חוטר' לידה אין לה תוס' כי למשקל ולמיפק לא הקנה לה כן הדין בכל הני אין לה תוס' אפילו במוכה שחין דצריך לגרשה לטובתו מ"מ נראה דאין לה תוס' מיהו אם היה מוכה שחין קודם הנישואין י"ל גרע טפי כמ"ש בהרי"ף ס"פ הע"י ממאנת צריך ליתן תוס' הטעם מכדי דידע דהיא קטנה ולמה כתב לה ולא חשש דלמא תתחרט ונפק' אלא רצה לזלזל כן י"ל כאן כיון דהיה מ"ש למה כתב לה ת"כ, ובד"מ כתב נמי למ"ש הטור בבאה בטענה דאין לה ת"כ אפשר ה"ה הכא אלא כתב בשם הר"ן דצריך ליתן ת"כ וא"י איך כ"כ בשם הר"ן וממ"ש הר"ן בפ' אלמנה ניזונת משמע דס"ל דאין לה ולא ראיתי דהר"ן כתב דיש לה ת"כ וכן אית' בתו' ובמ' שם ובהג"א ריש המדיר בשם ר"ח דאין לה אלא ר"ת ס"ל דיש להן ואין ראי' מדבריו דהא ס"ל הבאה מחמת טענה נמי יש לה ולא קי"ל כוותי', ב"ש (סק"א).</w:t>
      </w:r>
    </w:p>
  </w:footnote>
  <w:footnote w:id="2762">
    <w:p w14:paraId="292D75B1" w14:textId="77777777" w:rsidR="00C97BEF" w:rsidRDefault="00C97BEF" w:rsidP="00C97BEF">
      <w:pPr>
        <w:pStyle w:val="a5"/>
      </w:pPr>
      <w:r>
        <w:rPr>
          <w:rStyle w:val="a7"/>
        </w:rPr>
        <w:footnoteRef/>
      </w:r>
      <w:r>
        <w:rPr>
          <w:rtl/>
        </w:rPr>
        <w:t xml:space="preserve"> </w:t>
      </w:r>
      <w:r>
        <w:rPr>
          <w:rFonts w:cs="Arial"/>
          <w:rtl/>
        </w:rPr>
        <w:t>עיין בתשו' כנסת יחזקאל סימן ע"ד באיש אחד שאחר שנשא אשה רצונו להיות סופר סת"ם ולעבד בעצמו הקלפים ומלאכה זו נעשה קצת ע"י צואת כלבים ואשתו מוחה בו כדין המתני' ואלו כופין להוציא מקמץ כו' והאריך בזה ומסיק דאם הוא איש שלא יצלח למלאכה אחרת כ"א למלאכה זו אין אשתו יכולה למחות בפרט בעתים הללו שהמחיה קשה עלינו לפרנס ב"ב כו' וגם כי מלאכת שמים היא ורוצה לעבד לשמה ואינו מאמין לאחרים אם יש להבעל מחיה אחרת או יודע מלאכה אחרת לפרנס ביתו ודאי דיכולה לעכב עש"ה, פת"ש (סק"ב).</w:t>
      </w:r>
    </w:p>
  </w:footnote>
  <w:footnote w:id="2763">
    <w:p w14:paraId="5008D633" w14:textId="77777777" w:rsidR="00C97BEF" w:rsidRDefault="00C97BEF" w:rsidP="00C97BEF">
      <w:pPr>
        <w:pStyle w:val="a5"/>
      </w:pPr>
      <w:r>
        <w:rPr>
          <w:rStyle w:val="a7"/>
        </w:rPr>
        <w:footnoteRef/>
      </w:r>
      <w:r>
        <w:rPr>
          <w:rtl/>
        </w:rPr>
        <w:t xml:space="preserve"> </w:t>
      </w:r>
      <w:r>
        <w:rPr>
          <w:rFonts w:cs="Arial"/>
          <w:rtl/>
        </w:rPr>
        <w:t>ע' בת' הרא"ם (ח"ב סי' יט) מבואר מדבריו דכל הני דחשיב במתני' דוקא אם הסרחון חזק וקשה עד שאין האדם יכול לסובלו ע"ש</w:t>
      </w:r>
      <w:r>
        <w:rPr>
          <w:rtl/>
        </w:rPr>
        <w:t>, פת"ש (סק"א).</w:t>
      </w:r>
    </w:p>
  </w:footnote>
  <w:footnote w:id="2764">
    <w:p w14:paraId="7E0E46A1" w14:textId="77777777" w:rsidR="00C97BEF" w:rsidRDefault="00C97BEF" w:rsidP="00C97BEF">
      <w:pPr>
        <w:pStyle w:val="a5"/>
        <w:rPr>
          <w:rtl/>
        </w:rPr>
      </w:pPr>
      <w:r>
        <w:rPr>
          <w:rStyle w:val="a7"/>
        </w:rPr>
        <w:footnoteRef/>
      </w:r>
      <w:r>
        <w:rPr>
          <w:rtl/>
        </w:rPr>
        <w:t xml:space="preserve"> </w:t>
      </w:r>
      <w:r>
        <w:rPr>
          <w:rFonts w:cs="Arial"/>
          <w:rtl/>
        </w:rPr>
        <w:t xml:space="preserve">והנה לכמה פוסקים אפי' ידעה בהן י"ל סבורה הייתי שאני יכול לקבל ועכשיו א"י לקבל לכן נראה אפי' לרמ"א שכתב אין כופין להוצי' מ"מ אין דינה כמורדת אם אין רצונה לדור עמו ויכולה לומר קים לי כהני פוסקים </w:t>
      </w:r>
      <w:r>
        <w:rPr>
          <w:rFonts w:cs="Arial"/>
          <w:sz w:val="16"/>
          <w:szCs w:val="16"/>
          <w:rtl/>
        </w:rPr>
        <w:t>(והא שפסק כהרמ"ה ולא כהני פוסקי' משום המגיד והב"י כתבו דהרמב"ם ס"ל דוק' נולד בו כופין אותו אבל אם היו בו אין כופין אותו אבל אין מוכרח לומר כן וי"ל דוק' לענין כתובה כ"כ אם נולד בו צריך ליתן לה הכתובה אבל אם היה בו מעיקר' א"צ ליתן לה הכתוב' דאל"כ כל אשה תערים ותנשא לזה כמ"ש בתוס' יבמות דף ס"ד ובפ' המדיר ובמ' ובאגודה וראיה לדבר דהא במוכה שחין כתב נמי נעשה מוכה שחין אף על גב לכ"ע אפי' בהתנה והיה בו מעיקר' כופין אותו לגרש אלא ודאי משום הכתובה כתב כן)</w:t>
      </w:r>
      <w:r>
        <w:rPr>
          <w:rFonts w:cs="Arial"/>
          <w:rtl/>
        </w:rPr>
        <w:t xml:space="preserve">, </w:t>
      </w:r>
      <w:r>
        <w:rPr>
          <w:rFonts w:cs="Arial"/>
          <w:b/>
          <w:bCs/>
          <w:rtl/>
        </w:rPr>
        <w:t>ב"ש</w:t>
      </w:r>
      <w:r>
        <w:rPr>
          <w:rFonts w:cs="Arial"/>
          <w:rtl/>
        </w:rPr>
        <w:t xml:space="preserve"> (סק"ב). ועיין בספר ב"מ שכתב דזה צ"ע דהא דינא לפחות מכתובה והוא המוחזק בממון ועיין סימן ק"ו סעיף א' עכ"ל, </w:t>
      </w:r>
      <w:r>
        <w:rPr>
          <w:rFonts w:cs="Arial"/>
          <w:b/>
          <w:bCs/>
          <w:rtl/>
        </w:rPr>
        <w:t>פת"ש</w:t>
      </w:r>
      <w:r>
        <w:rPr>
          <w:rFonts w:cs="Arial"/>
          <w:rtl/>
        </w:rPr>
        <w:t xml:space="preserve"> (סק"ג).</w:t>
      </w:r>
    </w:p>
  </w:footnote>
  <w:footnote w:id="2765">
    <w:p w14:paraId="04B8821B" w14:textId="77777777" w:rsidR="00C97BEF" w:rsidRDefault="00C97BEF" w:rsidP="00C97BEF">
      <w:pPr>
        <w:pStyle w:val="a5"/>
      </w:pPr>
      <w:r>
        <w:rPr>
          <w:rStyle w:val="a7"/>
        </w:rPr>
        <w:footnoteRef/>
      </w:r>
      <w:r>
        <w:rPr>
          <w:rtl/>
        </w:rPr>
        <w:t xml:space="preserve"> </w:t>
      </w:r>
      <w:r>
        <w:rPr>
          <w:rFonts w:cs="Arial"/>
          <w:rtl/>
        </w:rPr>
        <w:t>בסמוך כתבתי די"א אם היה מוכה שחין מעיקרא - אין לה כתובה כדי שלא תערים. ובמרדכי פ' המדיר כתב דיש לה כתובה, דכיון דיכול להתנות שאם תצא ממנו דאין לה כתובה, ואם לא התנה פסידה דידיה הוא. ותוס' כתבו במקום דיש חשש ערמה אין לה כתובה. ופרישה הקשה אם התנה עמה, למה צריך ליתן לה כתובה. ותירץ כיון דהיא היתה רוצה לישב עמו מש"ה צריך ליתן לה הכתובה. נשמע אם היא רוצה לגרשו אין לה כתובה. וא"ל כשנעשה כן אחר הנישואין לימא נסתחפה שדה של אשה, דתירצו תוס' האשה שדה של האיש ואין איש שדה של אשה, ב"ש (סק"ה).</w:t>
      </w:r>
    </w:p>
  </w:footnote>
  <w:footnote w:id="2766">
    <w:p w14:paraId="356403C6" w14:textId="77777777" w:rsidR="00C97BEF" w:rsidRDefault="00C97BEF" w:rsidP="00C97BEF">
      <w:pPr>
        <w:pStyle w:val="a5"/>
      </w:pPr>
      <w:r>
        <w:rPr>
          <w:rStyle w:val="a7"/>
        </w:rPr>
        <w:footnoteRef/>
      </w:r>
      <w:r>
        <w:rPr>
          <w:rtl/>
        </w:rPr>
        <w:t xml:space="preserve"> </w:t>
      </w:r>
      <w:r>
        <w:rPr>
          <w:rFonts w:cs="Arial"/>
          <w:rtl/>
        </w:rPr>
        <w:t>עיין בתשו' מהר"ם אלשקר (סי' עג) שפסק כדיעה ראשונה וכתב שם שדברי מהר"מ שכתב בפירוש שאין כופין דבריו בטלין ברוב מנין ובנין וגם אין ראייתו מכרעת ע"ש. ובת' עה"ג (ס"ס לט) כ' כיון דהוה פלוגתא דרבוותא אין לנו להקל כי ספיקא דאוריי' היא ע"ש. ועיין בספר בית מאיר האריך קצת ומסיים וז"ל לכן המוטב לענ"ד שלא לכפותו על הגט כי אם על החיוב מזונות ופרנסה או לתשלומין הנדוניא והכתובה עד שמכח זה בע"כ ירצה עצמו לגט ע"י פשרה קצת ובזה אין שום חשש ע"ל. ועיין בספר גט מקושר בס"ג שני סוף אות כ"א מ"ש בזה, פת"ש (סק"ד).</w:t>
      </w:r>
    </w:p>
  </w:footnote>
  <w:footnote w:id="2767">
    <w:p w14:paraId="58F1A516" w14:textId="010F6F12" w:rsidR="00C97BEF" w:rsidRDefault="00C97BEF" w:rsidP="00C97BEF">
      <w:pPr>
        <w:pStyle w:val="a5"/>
      </w:pPr>
      <w:r>
        <w:rPr>
          <w:rStyle w:val="a7"/>
        </w:rPr>
        <w:footnoteRef/>
      </w:r>
      <w:r>
        <w:rPr>
          <w:rtl/>
        </w:rPr>
        <w:t xml:space="preserve"> </w:t>
      </w:r>
      <w:r>
        <w:rPr>
          <w:rFonts w:cs="Arial"/>
          <w:rtl/>
        </w:rPr>
        <w:t xml:space="preserve">עיין בתשו' נו"ב (תניינא סי' צ, הובא בפת"ש סק"ה) דמיירי התם באחד שעזב את אשתו י"ב שנים וגם עבר על חרם רגמ"ה ונשא אשה על אשתו, ולבסוף גרשה, וחזר לראשונה, והיא תובעת ממנו גט </w:t>
      </w:r>
      <w:r w:rsidR="00A42812">
        <w:rPr>
          <w:rFonts w:cs="Arial"/>
          <w:rtl/>
        </w:rPr>
        <w:t>-</w:t>
      </w:r>
      <w:r>
        <w:rPr>
          <w:rFonts w:cs="Arial"/>
          <w:rtl/>
        </w:rPr>
        <w:t xml:space="preserve"> האם נקרא שעבר על חרם נגדה שיש אומרים בזה שכופין לגרש.</w:t>
      </w:r>
    </w:p>
  </w:footnote>
  <w:footnote w:id="2768">
    <w:p w14:paraId="495714E2" w14:textId="77777777" w:rsidR="00C97BEF" w:rsidRDefault="00C97BEF" w:rsidP="00C97BEF">
      <w:pPr>
        <w:pStyle w:val="a5"/>
        <w:rPr>
          <w:rtl/>
        </w:rPr>
      </w:pPr>
      <w:r>
        <w:rPr>
          <w:rStyle w:val="a7"/>
        </w:rPr>
        <w:footnoteRef/>
      </w:r>
      <w:r>
        <w:rPr>
          <w:rtl/>
        </w:rPr>
        <w:t xml:space="preserve"> </w:t>
      </w:r>
      <w:r>
        <w:rPr>
          <w:rFonts w:cs="Arial"/>
          <w:rtl/>
        </w:rPr>
        <w:t>ראובן שבא על א"א וחוזר בתשובה ואשתו תובעת ממנו גט וליתן לה כתובה. פסק חכם צבי בתשובתו סימן קל"ג דאין כופין אותו להוציא. דל"ד לרועה זונות דמוחזק לכך ועומד במרדו ורועה זונות יאבד הון וסופו לא יהיה בידו לפרנסה משא"כ כאן דשב בתשובה ע"ש</w:t>
      </w:r>
      <w:r>
        <w:rPr>
          <w:rtl/>
        </w:rPr>
        <w:t>, באה"ט (סק"ו).</w:t>
      </w:r>
    </w:p>
  </w:footnote>
  <w:footnote w:id="2769">
    <w:p w14:paraId="2CC8FE6A" w14:textId="77777777" w:rsidR="00C97BEF" w:rsidRDefault="00C97BEF" w:rsidP="00C97BEF">
      <w:pPr>
        <w:pStyle w:val="a5"/>
        <w:rPr>
          <w:rtl/>
        </w:rPr>
      </w:pPr>
      <w:r>
        <w:rPr>
          <w:rStyle w:val="a7"/>
        </w:rPr>
        <w:footnoteRef/>
      </w:r>
      <w:r>
        <w:rPr>
          <w:rtl/>
        </w:rPr>
        <w:t xml:space="preserve"> </w:t>
      </w:r>
      <w:r>
        <w:rPr>
          <w:rFonts w:cs="Arial"/>
          <w:rtl/>
        </w:rPr>
        <w:t>האכילוהו שעורים כבהמה</w:t>
      </w:r>
      <w:r>
        <w:rPr>
          <w:rFonts w:cs="Arial"/>
          <w:sz w:val="16"/>
          <w:szCs w:val="16"/>
          <w:rtl/>
        </w:rPr>
        <w:t xml:space="preserve"> {לפי שאין בדבריו ממש}</w:t>
      </w:r>
      <w:r>
        <w:rPr>
          <w:rFonts w:cs="Arial"/>
          <w:rtl/>
        </w:rPr>
        <w:t>. כל הנאכל שלא כדרכו קרי ליה כוסס, רש"י.</w:t>
      </w:r>
    </w:p>
  </w:footnote>
  <w:footnote w:id="2770">
    <w:p w14:paraId="35D4F9F5" w14:textId="77777777" w:rsidR="00C97BEF" w:rsidRDefault="00C97BEF" w:rsidP="00C97BEF">
      <w:pPr>
        <w:pStyle w:val="a5"/>
      </w:pPr>
      <w:r>
        <w:rPr>
          <w:rStyle w:val="a7"/>
        </w:rPr>
        <w:footnoteRef/>
      </w:r>
      <w:r>
        <w:rPr>
          <w:rtl/>
        </w:rPr>
        <w:t xml:space="preserve"> </w:t>
      </w:r>
      <w:r>
        <w:rPr>
          <w:rFonts w:cs="Arial"/>
          <w:rtl/>
        </w:rPr>
        <w:t>להא מילתא דרב, רש"י.</w:t>
      </w:r>
    </w:p>
  </w:footnote>
  <w:footnote w:id="2771">
    <w:p w14:paraId="4685F07D" w14:textId="77777777" w:rsidR="00C97BEF" w:rsidRDefault="00C97BEF" w:rsidP="00C97BEF">
      <w:pPr>
        <w:pStyle w:val="a5"/>
      </w:pPr>
      <w:r>
        <w:rPr>
          <w:rStyle w:val="a7"/>
        </w:rPr>
        <w:footnoteRef/>
      </w:r>
      <w:r>
        <w:rPr>
          <w:rtl/>
        </w:rPr>
        <w:t xml:space="preserve"> </w:t>
      </w:r>
      <w:r>
        <w:rPr>
          <w:rFonts w:cs="Arial"/>
          <w:rtl/>
        </w:rPr>
        <w:t xml:space="preserve">ובהלכות גדולות </w:t>
      </w:r>
      <w:r>
        <w:rPr>
          <w:rFonts w:cs="Arial"/>
          <w:sz w:val="16"/>
          <w:szCs w:val="16"/>
          <w:rtl/>
        </w:rPr>
        <w:t xml:space="preserve">(שם) </w:t>
      </w:r>
      <w:r>
        <w:rPr>
          <w:rFonts w:cs="Arial"/>
          <w:rtl/>
        </w:rPr>
        <w:t xml:space="preserve">פוסקים כרב, וכן מסתבר דאשה בושה לבוא לבית דין כל פעם </w:t>
      </w:r>
      <w:r>
        <w:rPr>
          <w:rFonts w:cs="Arial"/>
          <w:sz w:val="16"/>
          <w:szCs w:val="16"/>
          <w:rtl/>
        </w:rPr>
        <w:t xml:space="preserve">(יבמות מב:) </w:t>
      </w:r>
      <w:r>
        <w:rPr>
          <w:rFonts w:cs="Arial"/>
          <w:rtl/>
        </w:rPr>
        <w:t xml:space="preserve">ותמות ברעב, רא"ש </w:t>
      </w:r>
      <w:r>
        <w:rPr>
          <w:rFonts w:cs="Arial"/>
          <w:sz w:val="16"/>
          <w:szCs w:val="16"/>
          <w:rtl/>
        </w:rPr>
        <w:t>(סי' יט)</w:t>
      </w:r>
      <w:r>
        <w:rPr>
          <w:rFonts w:cs="Arial"/>
          <w:rtl/>
        </w:rPr>
        <w:t>.</w:t>
      </w:r>
    </w:p>
  </w:footnote>
  <w:footnote w:id="2772">
    <w:p w14:paraId="1B67C600" w14:textId="274C0219" w:rsidR="00C97BEF" w:rsidRDefault="00C97BEF" w:rsidP="00C97BEF">
      <w:pPr>
        <w:pStyle w:val="a5"/>
        <w:rPr>
          <w:rtl/>
        </w:rPr>
      </w:pPr>
      <w:r>
        <w:rPr>
          <w:rStyle w:val="a7"/>
        </w:rPr>
        <w:footnoteRef/>
      </w:r>
      <w:r>
        <w:rPr>
          <w:rtl/>
        </w:rPr>
        <w:t xml:space="preserve"> </w:t>
      </w:r>
      <w:r w:rsidR="000A0F5A">
        <w:rPr>
          <w:rFonts w:cs="Arial"/>
          <w:rtl/>
        </w:rPr>
        <w:t>וז"ל:</w:t>
      </w:r>
      <w:r>
        <w:rPr>
          <w:rFonts w:cs="Arial"/>
          <w:rtl/>
        </w:rPr>
        <w:t xml:space="preserve"> ואם היה עני ביותר ואינו יכול ליתן לה אפילו לחם שהיא צריכה לו כופין אותו להוציא ותהיה כתובתה חוב עליו עד שתמצא ידו ויתן.</w:t>
      </w:r>
      <w:r>
        <w:rPr>
          <w:rtl/>
        </w:rPr>
        <w:t xml:space="preserve"> </w:t>
      </w:r>
    </w:p>
  </w:footnote>
  <w:footnote w:id="2773">
    <w:p w14:paraId="7723B8A0" w14:textId="77777777" w:rsidR="00C97BEF" w:rsidRDefault="00C97BEF" w:rsidP="00C97BEF">
      <w:pPr>
        <w:pStyle w:val="a5"/>
      </w:pPr>
      <w:r>
        <w:rPr>
          <w:rStyle w:val="a7"/>
        </w:rPr>
        <w:footnoteRef/>
      </w:r>
      <w:r>
        <w:rPr>
          <w:rtl/>
        </w:rPr>
        <w:t xml:space="preserve"> </w:t>
      </w:r>
      <w:r>
        <w:rPr>
          <w:rFonts w:hint="cs"/>
          <w:rtl/>
        </w:rPr>
        <w:t xml:space="preserve">והקשו התוס' (סג. ד"ה והאמר)- </w:t>
      </w:r>
      <w:r>
        <w:rPr>
          <w:rFonts w:cs="Arial"/>
          <w:rtl/>
        </w:rPr>
        <w:t>אבל לרב שכופין אותו לגרשה מיד מה שייך תוספת?... ועל זה עונה הרא"ש-...</w:t>
      </w:r>
    </w:p>
  </w:footnote>
  <w:footnote w:id="2774">
    <w:p w14:paraId="306ECF08" w14:textId="77777777" w:rsidR="00C97BEF" w:rsidRDefault="00C97BEF" w:rsidP="00C97BEF">
      <w:pPr>
        <w:pStyle w:val="a5"/>
        <w:rPr>
          <w:rtl/>
        </w:rPr>
      </w:pPr>
      <w:r>
        <w:rPr>
          <w:rStyle w:val="a7"/>
        </w:rPr>
        <w:footnoteRef/>
      </w:r>
      <w:r>
        <w:rPr>
          <w:rtl/>
        </w:rPr>
        <w:t xml:space="preserve"> </w:t>
      </w:r>
      <w:r>
        <w:rPr>
          <w:rFonts w:cs="Arial"/>
          <w:rtl/>
        </w:rPr>
        <w:t>ע"ע בב"ש [סק"ז] שכתב שאין מוסיפין אלא במורד מתשמיש, וע"ע בסי' עז</w:t>
      </w:r>
      <w:r>
        <w:rPr>
          <w:rtl/>
        </w:rPr>
        <w:t>.</w:t>
      </w:r>
    </w:p>
  </w:footnote>
  <w:footnote w:id="2775">
    <w:p w14:paraId="260937F4" w14:textId="5C2B8233" w:rsidR="00C97BEF" w:rsidRDefault="00C97BEF" w:rsidP="00C97BEF">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שאינו רוצה לשמש - כופין אותו ויוציא מיד ויתן כתובה אם תרצה היא.</w:t>
      </w:r>
    </w:p>
  </w:footnote>
  <w:footnote w:id="2776">
    <w:p w14:paraId="4AB46182" w14:textId="7E16383F" w:rsidR="00C97BEF" w:rsidRDefault="00C97BEF" w:rsidP="00C97BEF">
      <w:pPr>
        <w:pStyle w:val="a5"/>
      </w:pPr>
      <w:r>
        <w:rPr>
          <w:rStyle w:val="a7"/>
        </w:rPr>
        <w:footnoteRef/>
      </w:r>
      <w:r>
        <w:rPr>
          <w:rtl/>
        </w:rPr>
        <w:t xml:space="preserve"> </w:t>
      </w:r>
      <w:r>
        <w:rPr>
          <w:rFonts w:cs="Arial"/>
          <w:rtl/>
        </w:rPr>
        <w:t>ואיני רואה בזה דבריו כלל, דכדאי הם הגאונים לסמוך עליהם כל שכן שהרמב"ן ומהר"מ הסכימו בתשובותיהן בענין הכאת אשתו והביאו ראיות ברורות לדבריהם. גם הסברא מסכמת עמהן. ומה שלא הוזכרו בדברי הפוסקים אפשר לומר שהיה פשוט בעיניהם, וקל וחומר הוא מהאומר איני זן וכו' וכמו שהורה בתשובה הנ"ל, ואף שלא היו בנמצא בימי הפוסקים הראשונים, ולכן לא הוזכרו. ולכן אין לדחות דברים ברורים בקש. ומ</w:t>
      </w:r>
      <w:r w:rsidR="00877DB3">
        <w:rPr>
          <w:rFonts w:cs="Arial" w:hint="cs"/>
          <w:rtl/>
        </w:rPr>
        <w:t>"מ</w:t>
      </w:r>
      <w:r>
        <w:rPr>
          <w:rFonts w:cs="Arial"/>
          <w:rtl/>
        </w:rPr>
        <w:t xml:space="preserve"> נראה דטוב שלא לכופו ליתן גט, אלא בדרך זה, להחרימו או לתופסו בידי גוים או בשוטים שלא להכותה או שיוציא ויתן גט. ובדרך זה לא מיקרי כפייה על הגט רק לקיים מה שמחוייב לעשות כמו שכתבתי לעיל (אות יח**). ובבנימין זאב (סי' פח) הביא הרבה תשובות בזה, וכתב לבסוף דאם הוא הגורם חייב להוציאה רק שבית דין יתרו בו תחלה פעם אחת או שתים. אבל אם היא הגורמת כגון שהיתה מקללתו או מזלזלת אביו ואמו או אביה ואמה והוכיחה בדברים טובים ולא הועיל אז פשיטא דשרי להכותה ולייסרה. ואם אינו ידוע מי הגורם אין הבעל נאמן עליה לומר שהיא הגורמת ולאחזוקה בפרוצה כי כל הנשים בחזקת כשרות הן ועוד האריך בזה. ובדברי תשובת מהר"ם דלעיל (אות כ) לא משמע כן שהרי כתב דאף אשה רעה אסור להכות ועיין לעיל סי</w:t>
      </w:r>
      <w:r w:rsidR="00877DB3">
        <w:rPr>
          <w:rFonts w:cs="Arial" w:hint="cs"/>
          <w:rtl/>
        </w:rPr>
        <w:t>'</w:t>
      </w:r>
      <w:r>
        <w:rPr>
          <w:rFonts w:cs="Arial"/>
          <w:rtl/>
        </w:rPr>
        <w:t xml:space="preserve"> קט"ו שכתבתי (בד</w:t>
      </w:r>
      <w:r w:rsidR="00877DB3">
        <w:rPr>
          <w:rFonts w:cs="Arial" w:hint="cs"/>
          <w:rtl/>
        </w:rPr>
        <w:t>רכמ"א</w:t>
      </w:r>
      <w:r>
        <w:rPr>
          <w:rFonts w:cs="Arial"/>
          <w:rtl/>
        </w:rPr>
        <w:t>, וב</w:t>
      </w:r>
      <w:r w:rsidR="00877DB3">
        <w:rPr>
          <w:rFonts w:cs="Arial" w:hint="cs"/>
          <w:rtl/>
        </w:rPr>
        <w:t xml:space="preserve">ב"י </w:t>
      </w:r>
      <w:r>
        <w:rPr>
          <w:rFonts w:cs="Arial"/>
          <w:rtl/>
        </w:rPr>
        <w:t>עמ' עז ד"ה וכתוב בתרו</w:t>
      </w:r>
      <w:r w:rsidR="00877DB3">
        <w:rPr>
          <w:rFonts w:cs="Arial" w:hint="cs"/>
          <w:rtl/>
        </w:rPr>
        <w:t>ה"ד</w:t>
      </w:r>
      <w:r>
        <w:rPr>
          <w:rFonts w:cs="Arial"/>
          <w:rtl/>
        </w:rPr>
        <w:t xml:space="preserve">) משם מהרא"י (תרוה"ד סי' ריח) דשרי </w:t>
      </w:r>
      <w:r>
        <w:rPr>
          <w:rFonts w:cs="Arial"/>
          <w:color w:val="00B0F0"/>
          <w:sz w:val="16"/>
          <w:szCs w:val="16"/>
          <w:rtl/>
        </w:rPr>
        <w:t>(וכ"פ בהג"ה)</w:t>
      </w:r>
      <w:r>
        <w:rPr>
          <w:rFonts w:cs="Arial"/>
          <w:rtl/>
        </w:rPr>
        <w:t>. ועיין בתשובת הרמב"ן סימן ק"ב, ובח</w:t>
      </w:r>
      <w:r w:rsidR="00877DB3">
        <w:rPr>
          <w:rFonts w:cs="Arial" w:hint="cs"/>
          <w:rtl/>
        </w:rPr>
        <w:t xml:space="preserve">ו"מ </w:t>
      </w:r>
      <w:r>
        <w:rPr>
          <w:rFonts w:cs="Arial"/>
          <w:rtl/>
        </w:rPr>
        <w:t>סי</w:t>
      </w:r>
      <w:r w:rsidR="00877DB3">
        <w:rPr>
          <w:rFonts w:cs="Arial" w:hint="cs"/>
          <w:rtl/>
        </w:rPr>
        <w:t>'</w:t>
      </w:r>
      <w:r>
        <w:rPr>
          <w:rFonts w:cs="Arial"/>
          <w:rtl/>
        </w:rPr>
        <w:t xml:space="preserve"> תכד </w:t>
      </w:r>
      <w:r w:rsidR="00877DB3">
        <w:rPr>
          <w:rFonts w:cs="Arial" w:hint="cs"/>
          <w:rtl/>
        </w:rPr>
        <w:t>(</w:t>
      </w:r>
      <w:r>
        <w:rPr>
          <w:rFonts w:cs="Arial"/>
          <w:rtl/>
        </w:rPr>
        <w:t>סע</w:t>
      </w:r>
      <w:r w:rsidR="00877DB3">
        <w:rPr>
          <w:rFonts w:cs="Arial" w:hint="cs"/>
          <w:rtl/>
        </w:rPr>
        <w:t>'</w:t>
      </w:r>
      <w:r>
        <w:rPr>
          <w:rFonts w:cs="Arial"/>
          <w:rtl/>
        </w:rPr>
        <w:t xml:space="preserve"> יד-טז) מדין בעל המכה אשתו, דרכ"מ (אות כא).</w:t>
      </w:r>
    </w:p>
  </w:footnote>
  <w:footnote w:id="2777">
    <w:p w14:paraId="050D9837" w14:textId="77777777" w:rsidR="00C97BEF" w:rsidRDefault="00C97BEF" w:rsidP="00C97BEF">
      <w:pPr>
        <w:pStyle w:val="a5"/>
        <w:rPr>
          <w:rtl/>
        </w:rPr>
      </w:pPr>
      <w:r>
        <w:rPr>
          <w:rStyle w:val="a7"/>
        </w:rPr>
        <w:footnoteRef/>
      </w:r>
      <w:r>
        <w:rPr>
          <w:rtl/>
        </w:rPr>
        <w:t xml:space="preserve"> </w:t>
      </w:r>
      <w:r>
        <w:rPr>
          <w:rFonts w:cs="Arial"/>
          <w:rtl/>
        </w:rPr>
        <w:t>ותשובה זו מובאת בספר סיני סי' שכט, כת"י או"ז ומהר"ם סי' תמז - תמט, בד"ב סי' רנו (תשפ), הגהה למרדכי כתובות סי' קפו, שלטי הגבורים למרדכי שם פ"ד סי' קסד הגהה ט, ובקיצור ביש"ש ב"ק פ"ג סי' כא. וראה ד"פ סי' פא ותתקכז וריקאנטי סי' תקיא.</w:t>
      </w:r>
    </w:p>
  </w:footnote>
  <w:footnote w:id="2778">
    <w:p w14:paraId="75951D3D" w14:textId="77777777" w:rsidR="00C97BEF" w:rsidRDefault="00C97BEF" w:rsidP="00C97BEF">
      <w:pPr>
        <w:pStyle w:val="a5"/>
      </w:pPr>
      <w:r>
        <w:rPr>
          <w:rStyle w:val="a7"/>
        </w:rPr>
        <w:footnoteRef/>
      </w:r>
      <w:r>
        <w:rPr>
          <w:rtl/>
        </w:rPr>
        <w:t xml:space="preserve"> </w:t>
      </w:r>
      <w:r>
        <w:rPr>
          <w:rFonts w:cs="Arial"/>
          <w:rtl/>
        </w:rPr>
        <w:t>לדעת כמה פוסקים הלכתא כרב דכופין אותו לגרש וי"ל אם היא אינה רוצה לדור עמו אין נעשית מורדת וי"ל קים לי כהני פוסקים כמ"ש בסמוך</w:t>
      </w:r>
      <w:r>
        <w:rPr>
          <w:rtl/>
        </w:rPr>
        <w:t>, ב"ש (סק"ה).</w:t>
      </w:r>
      <w:r>
        <w:rPr>
          <w:rFonts w:cs="Arial"/>
          <w:rtl/>
        </w:rPr>
        <w:t xml:space="preserve"> וע' בס' ב"מ שכתב כבר כתבתי (ע"ל סק"ג) דלענ"ד י"ל הבעל חשוב מוחזק בכתובה ויכול לומר קים לי דיש לה דין מורדת אך עמ"ש ר"ס ע"ז עכ"ל. ושם כתב בזה דלפי דברי הב"ש דאתי עלה מטעם קים לי היה נראה דאם הוא עשיר וזנה בפחות מהראוי ובגלל כן אינה רוצה לדור עמו יש לה דין מורדת דהא בכה"ג גם להטור אין כופין לגרש אלא לזונה כראוי (עבה"ט בסי' ע' סק"ה). אבל לע"ד בלא קים לי אינה מורדת בכה"ג שאינה מורדת כדי לצערו כ"א לכופו לזונה כראוי. דהא קיי"ל בח"מ סימן ד' עביד אינש דינא לנפשי' וא"כ מי יכריחנה לילך לב"ד לכופו אם היא תוכל לכופו במרדה וכן מורה הלשון סי' ע"ז ס"ב ואם מרדה כדי לצערו מפני שעשה לי כו' וכיוצא בדברים אלו משמע דוקא כיוצא באלו שהם אך נקמה על העבר אבל לכופו על העתיד במה שהדין עמה אינה מורדת כו' עכ"ד ע"ש</w:t>
      </w:r>
      <w:r>
        <w:rPr>
          <w:rtl/>
        </w:rPr>
        <w:t>, פת"ש (סק"ו).</w:t>
      </w:r>
    </w:p>
  </w:footnote>
  <w:footnote w:id="2779">
    <w:p w14:paraId="748FB441" w14:textId="13EE967B" w:rsidR="00C97BEF" w:rsidRDefault="00C97BEF" w:rsidP="00C97BEF">
      <w:pPr>
        <w:pStyle w:val="a5"/>
        <w:rPr>
          <w:rtl/>
        </w:rPr>
      </w:pPr>
      <w:r>
        <w:rPr>
          <w:rStyle w:val="a7"/>
        </w:rPr>
        <w:footnoteRef/>
      </w:r>
      <w:r>
        <w:rPr>
          <w:rtl/>
        </w:rPr>
        <w:t xml:space="preserve"> </w:t>
      </w:r>
      <w:r>
        <w:rPr>
          <w:rFonts w:cs="Arial"/>
          <w:rtl/>
        </w:rPr>
        <w:t xml:space="preserve">עיין בס' בית מאיר מבואר מדבריו דבאופן זה שאפשר לו להשתכר אלא שאינו רוצה גם הי"א דלעיל סי' ע' ס"ג </w:t>
      </w:r>
      <w:r w:rsidR="009334FF">
        <w:rPr>
          <w:rFonts w:cs="Arial"/>
          <w:rtl/>
        </w:rPr>
        <w:t>בהג"ה</w:t>
      </w:r>
      <w:r>
        <w:rPr>
          <w:rFonts w:cs="Arial"/>
          <w:rtl/>
        </w:rPr>
        <w:t xml:space="preserve"> מודים דכופין להוציא ומש"ה לא הגיה הרמ"א כאן כלום וכ"כ בתשו' ח"ס סי' קל"א והובא באריכות לעיל סי' ע' סק"ב ע"ש עוד</w:t>
      </w:r>
      <w:r>
        <w:rPr>
          <w:rtl/>
        </w:rPr>
        <w:t>, פת"ש (סק"ו*).</w:t>
      </w:r>
    </w:p>
  </w:footnote>
  <w:footnote w:id="2780">
    <w:p w14:paraId="48030EA2" w14:textId="77777777" w:rsidR="00C97BEF" w:rsidRDefault="00C97BEF" w:rsidP="00C97BEF">
      <w:pPr>
        <w:pStyle w:val="a5"/>
        <w:rPr>
          <w:rtl/>
        </w:rPr>
      </w:pPr>
      <w:r>
        <w:rPr>
          <w:rStyle w:val="a7"/>
        </w:rPr>
        <w:footnoteRef/>
      </w:r>
      <w:r>
        <w:rPr>
          <w:rtl/>
        </w:rPr>
        <w:t xml:space="preserve"> </w:t>
      </w:r>
      <w:r>
        <w:rPr>
          <w:rFonts w:cs="Arial"/>
          <w:rtl/>
        </w:rPr>
        <w:t>עיין בס' גבורת אנשים (סי כח וסי' מח) שהעלה דהעיקר לדינא דבמורד ממזונות לחוד אין כופין להוציא וכן במורד מתשמיש אין כופין להוציא אם לא בבאה מחמת טענה בעינא חוטרא כו' ואף במונע ממנה כל ענייני אישות דנראה עיקר לדינא דכופין להוציא אפילו אינה באה מחמת טענה מ"מ למעשה יש לחוש לסברת האומרים שאין לכוף דלא ליהוי גט מעושה ובניה ממזרים... עכ"ל... ועמ"ש לקמן סע' כא סקל"א</w:t>
      </w:r>
      <w:r>
        <w:rPr>
          <w:rtl/>
        </w:rPr>
        <w:t>, פת"ש (סק"ז).</w:t>
      </w:r>
    </w:p>
  </w:footnote>
  <w:footnote w:id="2781">
    <w:p w14:paraId="385541C8" w14:textId="77777777" w:rsidR="00C97BEF" w:rsidRDefault="00C97BEF" w:rsidP="00C97BEF">
      <w:pPr>
        <w:pStyle w:val="a5"/>
        <w:rPr>
          <w:rtl/>
        </w:rPr>
      </w:pPr>
      <w:r>
        <w:rPr>
          <w:rStyle w:val="a7"/>
        </w:rPr>
        <w:footnoteRef/>
      </w:r>
      <w:r>
        <w:rPr>
          <w:rtl/>
        </w:rPr>
        <w:t xml:space="preserve"> </w:t>
      </w:r>
      <w:r>
        <w:rPr>
          <w:rFonts w:cs="Arial"/>
          <w:rtl/>
        </w:rPr>
        <w:t>כלומר בענין הכפיה שוין הדיני' אבל לענין מורד להוסיף על הכתובה אינן שוין דאם אינו רוצה לשמש קי"ל דהוי מורד ומוסיפין על הכתובה ובאם אינו רוצה לזון אין מוסיפים למאי דקי"ל מורד מתשמיש נקרא מורד ולא מורד ממלאכה, ועיין ר"ס ע"ז</w:t>
      </w:r>
      <w:r>
        <w:rPr>
          <w:rtl/>
        </w:rPr>
        <w:t>, ב"ש (סק"ז).</w:t>
      </w:r>
    </w:p>
  </w:footnote>
  <w:footnote w:id="2782">
    <w:p w14:paraId="39C962D5" w14:textId="5E282745" w:rsidR="00C97BEF" w:rsidRDefault="00C97BEF" w:rsidP="00C97BEF">
      <w:pPr>
        <w:pStyle w:val="a5"/>
        <w:rPr>
          <w:rtl/>
        </w:rPr>
      </w:pPr>
      <w:r>
        <w:rPr>
          <w:rStyle w:val="a7"/>
        </w:rPr>
        <w:footnoteRef/>
      </w:r>
      <w:r>
        <w:rPr>
          <w:rtl/>
        </w:rPr>
        <w:t xml:space="preserve"> </w:t>
      </w:r>
      <w:r>
        <w:rPr>
          <w:rFonts w:cs="Arial"/>
          <w:rtl/>
        </w:rPr>
        <w:t xml:space="preserve">עיין בס' גבורת אנשים (סי' מט) שכ' דאין להורות כן למעשה מטעם שכתבתי (הובא בס"ק הקודם). וגם דין זה דהרב רמ"א לקוח מתשו' רשב"א סי' תרצ"ג ושם לא כ"כ בהחלט רק בלשון אפשר. וכ"כ הב"י בשמו. וא"כ פשיטא דלא סמכינן אלישנא דאפשר להוציא אשה מבעלה במקום שיש לחוש דהוי גט מעושה ובניה ממזרים עכ"ד. וכ"כ עוד בכללי הדינים שם בסופו </w:t>
      </w:r>
      <w:r w:rsidR="000A0F5A">
        <w:rPr>
          <w:rFonts w:cs="Arial"/>
          <w:rtl/>
        </w:rPr>
        <w:t>וז"ל:</w:t>
      </w:r>
      <w:r>
        <w:rPr>
          <w:rFonts w:cs="Arial"/>
          <w:rtl/>
        </w:rPr>
        <w:t xml:space="preserve"> וכן מי שרגיל לכעוס ולהוציא אשתו מביתו אין כופין להוציא </w:t>
      </w:r>
      <w:r w:rsidR="00A824C6">
        <w:rPr>
          <w:rFonts w:cs="Arial" w:hint="cs"/>
          <w:rtl/>
        </w:rPr>
        <w:t>א</w:t>
      </w:r>
      <w:r>
        <w:rPr>
          <w:rFonts w:cs="Arial"/>
          <w:rtl/>
        </w:rPr>
        <w:t>ע</w:t>
      </w:r>
      <w:r w:rsidR="00A824C6">
        <w:rPr>
          <w:rFonts w:cs="Arial" w:hint="cs"/>
          <w:rtl/>
        </w:rPr>
        <w:t>"</w:t>
      </w:r>
      <w:r>
        <w:rPr>
          <w:rFonts w:cs="Arial"/>
          <w:rtl/>
        </w:rPr>
        <w:t>פ שעי</w:t>
      </w:r>
      <w:r w:rsidR="00A824C6">
        <w:rPr>
          <w:rFonts w:cs="Arial" w:hint="cs"/>
          <w:rtl/>
        </w:rPr>
        <w:t>"</w:t>
      </w:r>
      <w:r>
        <w:rPr>
          <w:rFonts w:cs="Arial"/>
          <w:rtl/>
        </w:rPr>
        <w:t>ז אינו זנה לפעמים וגם פורש ממנה יותר מעונתה. מיהו יכולים לכפותו בשוטים לזונה או לשמש או ליתן לה גט (בדרך ברירה) ואין זה נקרא כפי' על הגט רק כדי לקיים שארה ועונתה עכ"ל ע"ש. ועמ"ש לעיל סק"ה בשם ת' נו"ב, פת"ש (סק"ח).</w:t>
      </w:r>
    </w:p>
  </w:footnote>
  <w:footnote w:id="2783">
    <w:p w14:paraId="7DE162A9" w14:textId="77777777" w:rsidR="00C97BEF" w:rsidRDefault="00C97BEF" w:rsidP="00C97BEF">
      <w:pPr>
        <w:pStyle w:val="a5"/>
      </w:pPr>
      <w:r>
        <w:rPr>
          <w:rStyle w:val="a7"/>
        </w:rPr>
        <w:footnoteRef/>
      </w:r>
      <w:r>
        <w:rPr>
          <w:rtl/>
        </w:rPr>
        <w:t xml:space="preserve"> </w:t>
      </w:r>
      <w:r>
        <w:rPr>
          <w:rFonts w:cs="Arial"/>
          <w:rtl/>
        </w:rPr>
        <w:t>משנשאה, רש"י.</w:t>
      </w:r>
    </w:p>
  </w:footnote>
  <w:footnote w:id="2784">
    <w:p w14:paraId="4A92F311" w14:textId="5F5143ED"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בד"א בעין אחד או יד אחד או רגל אחת אבל נסמו ב' עיניו או נקטעו ב' ידיו או ב' רגליו כופין אותו להוציא וליתן כתובה.</w:t>
      </w:r>
    </w:p>
  </w:footnote>
  <w:footnote w:id="2785">
    <w:p w14:paraId="0283AED1" w14:textId="77777777" w:rsidR="00C97BEF" w:rsidRDefault="00C97BEF" w:rsidP="00C97BEF">
      <w:pPr>
        <w:pStyle w:val="a5"/>
      </w:pPr>
      <w:r>
        <w:rPr>
          <w:rStyle w:val="a7"/>
        </w:rPr>
        <w:footnoteRef/>
      </w:r>
      <w:r>
        <w:rPr>
          <w:rtl/>
        </w:rPr>
        <w:t xml:space="preserve"> </w:t>
      </w:r>
      <w:r>
        <w:rPr>
          <w:rFonts w:hint="cs"/>
          <w:rtl/>
        </w:rPr>
        <w:t xml:space="preserve">כן היה לפני הב"י וכן הוא ברוב הדפוסים של תשובות הרא"ש. אך בכת"י כתוב 'ומיהו בפסקי כתבתי... אשר בן יחיאל זצ"ל'. ואם כן נראה שחזר בו ממה שכתב כאן בתשו'. אך בעותק ו"א (דפוס ויניציאה הראשון שי"ב) המוגה ציינו כאן (על 'ומיהו בפסקים..'): 'בספרים אחרים אינו'. ולפי זה זו הוספה מאוחרת ואינה חלק מדברי הרא"ש. ומכל מקום כתב הרב אלישיב </w:t>
      </w:r>
      <w:r>
        <w:rPr>
          <w:rFonts w:cs="Arial"/>
          <w:rtl/>
        </w:rPr>
        <w:t>(קובץ תשובות הרב אלישיב ח"א סי' קפו) והנה כשהרא"ש סותר דבריו מפסקים לתשובות, הפסקים עיקר. עי' שדי חמד כללי הפוסקים סי' י"א, ובפרט בנידון דידן שהטור לא הביא אלא מ"ש בפסקים.</w:t>
      </w:r>
      <w:r>
        <w:rPr>
          <w:rtl/>
        </w:rPr>
        <w:t xml:space="preserve"> עכ"ל.</w:t>
      </w:r>
    </w:p>
  </w:footnote>
  <w:footnote w:id="2786">
    <w:p w14:paraId="10D64106" w14:textId="77777777" w:rsidR="00C97BEF" w:rsidRDefault="00C97BEF" w:rsidP="00C97BEF">
      <w:pPr>
        <w:pStyle w:val="a5"/>
        <w:rPr>
          <w:rtl/>
        </w:rPr>
      </w:pPr>
      <w:r>
        <w:rPr>
          <w:rStyle w:val="a7"/>
        </w:rPr>
        <w:footnoteRef/>
      </w:r>
      <w:r>
        <w:rPr>
          <w:rtl/>
        </w:rPr>
        <w:t xml:space="preserve"> </w:t>
      </w:r>
      <w:r>
        <w:rPr>
          <w:rFonts w:cs="Arial"/>
          <w:rtl/>
        </w:rPr>
        <w:t>וכדבריו בפסקים נראה מדקדוק דברי הרמב"ם בסוף הלכות אישות (הי"א), ב"י (בבדה"ב).</w:t>
      </w:r>
    </w:p>
  </w:footnote>
  <w:footnote w:id="2787">
    <w:p w14:paraId="06894666" w14:textId="66461B57" w:rsidR="00C97BEF" w:rsidRDefault="00C97BEF" w:rsidP="00C97BEF">
      <w:pPr>
        <w:pStyle w:val="a5"/>
      </w:pPr>
      <w:r>
        <w:rPr>
          <w:rStyle w:val="a7"/>
        </w:rPr>
        <w:footnoteRef/>
      </w:r>
      <w:r>
        <w:rPr>
          <w:rtl/>
        </w:rPr>
        <w:t xml:space="preserve"> </w:t>
      </w:r>
      <w:r>
        <w:rPr>
          <w:rFonts w:cs="Arial"/>
          <w:rtl/>
        </w:rPr>
        <w:t>עיין בס' גבורת אנשים (סי' מד) שכ' דנ"ל למעשה אין לכוף בשוטים אפילו נקטעו ב' ידיו או ב' רגליו או ניסמו ב' עיניו אע</w:t>
      </w:r>
      <w:r w:rsidR="002E62F4">
        <w:rPr>
          <w:rFonts w:cs="Arial" w:hint="cs"/>
          <w:rtl/>
        </w:rPr>
        <w:t>"</w:t>
      </w:r>
      <w:r>
        <w:rPr>
          <w:rFonts w:cs="Arial"/>
          <w:rtl/>
        </w:rPr>
        <w:t>פ שהטור כתב סתמא בכה"ג דכופין</w:t>
      </w:r>
      <w:r w:rsidR="002E62F4">
        <w:rPr>
          <w:rFonts w:cs="Arial" w:hint="cs"/>
          <w:rtl/>
        </w:rPr>
        <w:t>,</w:t>
      </w:r>
      <w:r>
        <w:rPr>
          <w:rFonts w:cs="Arial"/>
          <w:rtl/>
        </w:rPr>
        <w:t xml:space="preserve"> היינו שנמשך אחר דברי הרא"ש בפסקיו ס"פ המדיר</w:t>
      </w:r>
      <w:r w:rsidR="002E62F4">
        <w:rPr>
          <w:rFonts w:cs="Arial" w:hint="cs"/>
          <w:rtl/>
        </w:rPr>
        <w:t>,</w:t>
      </w:r>
      <w:r>
        <w:rPr>
          <w:rFonts w:cs="Arial"/>
          <w:rtl/>
        </w:rPr>
        <w:t xml:space="preserve"> והרי בתשובה לא פסק הרא"ש כן</w:t>
      </w:r>
      <w:r w:rsidR="002E62F4">
        <w:rPr>
          <w:rFonts w:cs="Arial" w:hint="cs"/>
          <w:rtl/>
        </w:rPr>
        <w:t>.</w:t>
      </w:r>
      <w:r>
        <w:rPr>
          <w:rFonts w:cs="Arial"/>
          <w:rtl/>
        </w:rPr>
        <w:t xml:space="preserve"> וכ"נ מדקאמר ת"ק סתם האיש שנולדו בו מומין אין כופין להוציא משמע דאין חילוק בדבר וגם הרי"ף והרמב"ם והסמ"ג ושאר כל הפוסקים לא חילקו בכך כו'</w:t>
      </w:r>
      <w:r w:rsidR="002E62F4">
        <w:rPr>
          <w:rFonts w:cs="Arial" w:hint="cs"/>
          <w:rtl/>
        </w:rPr>
        <w:t>,</w:t>
      </w:r>
      <w:r>
        <w:rPr>
          <w:rFonts w:cs="Arial"/>
          <w:rtl/>
        </w:rPr>
        <w:t xml:space="preserve"> ע"כ נראה עיקר דאע"ג דלהלכה ס"ל להרא"ש דכופין</w:t>
      </w:r>
      <w:r w:rsidR="002E62F4">
        <w:rPr>
          <w:rFonts w:cs="Arial" w:hint="cs"/>
          <w:rtl/>
        </w:rPr>
        <w:t>,</w:t>
      </w:r>
      <w:r>
        <w:rPr>
          <w:rFonts w:cs="Arial"/>
          <w:rtl/>
        </w:rPr>
        <w:t xml:space="preserve"> מ"מ בתשובת שאלה שהיה מעשה לא רצה להורות כן</w:t>
      </w:r>
      <w:r w:rsidR="002E62F4">
        <w:rPr>
          <w:rFonts w:cs="Arial" w:hint="cs"/>
          <w:rtl/>
        </w:rPr>
        <w:t>.</w:t>
      </w:r>
      <w:r>
        <w:rPr>
          <w:rFonts w:cs="Arial"/>
          <w:rtl/>
        </w:rPr>
        <w:t xml:space="preserve"> וכ"נ דעת הרמ"א שכ' דיעה זו בלשון וי"א. גם בלבוש מסיים על זה דאין נוהגין כן. ומנהג זה לפי דעתי תורה הוא</w:t>
      </w:r>
      <w:r w:rsidR="002E62F4">
        <w:rPr>
          <w:rFonts w:cs="Arial" w:hint="cs"/>
          <w:rtl/>
        </w:rPr>
        <w:t>.</w:t>
      </w:r>
      <w:r>
        <w:rPr>
          <w:rFonts w:cs="Arial"/>
          <w:rtl/>
        </w:rPr>
        <w:t xml:space="preserve"> והמשנה מרבה ממזרים בישראל כו' עכ"ל. וכן הוא דעת רבינו הגר"א ז"ל סקט"ז ע"ש, פת"ש (סק"י).</w:t>
      </w:r>
    </w:p>
  </w:footnote>
  <w:footnote w:id="2788">
    <w:p w14:paraId="5B5E588C" w14:textId="7C1749E2"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cs="Arial"/>
          <w:rtl/>
        </w:rPr>
        <w:t xml:space="preserve"> כתב ראבי"ה אף על גב דנכפה לגבי אשה מום הוי (כתובות עז.) משם אין ראיה להחשיבו מום גבי איש, דאשה בכל דהוא ניחא לה (שם עה.). ותדע דלא קתני נכפה גבי מומי דאיש. ואין בידינו לכפות בלא ראיה ברורה. וגם לא נכוף אותה להיות עמו כיון שבאה מחמת טענה. וכך שמע ראבי"ה מעשה מאביו רבי' יואל הלוי.</w:t>
      </w:r>
    </w:p>
  </w:footnote>
  <w:footnote w:id="2789">
    <w:p w14:paraId="4D77D41E" w14:textId="77777777" w:rsidR="00C97BEF" w:rsidRDefault="00C97BEF" w:rsidP="00C97BEF">
      <w:pPr>
        <w:pStyle w:val="a5"/>
        <w:rPr>
          <w:rtl/>
        </w:rPr>
      </w:pPr>
      <w:r>
        <w:rPr>
          <w:rStyle w:val="a7"/>
        </w:rPr>
        <w:footnoteRef/>
      </w:r>
      <w:r>
        <w:rPr>
          <w:rtl/>
        </w:rPr>
        <w:t xml:space="preserve"> </w:t>
      </w:r>
      <w:r>
        <w:rPr>
          <w:rFonts w:hint="cs"/>
          <w:rtl/>
        </w:rPr>
        <w:t xml:space="preserve">וכ"כ בשמו </w:t>
      </w:r>
      <w:r>
        <w:rPr>
          <w:rFonts w:cs="Arial"/>
          <w:rtl/>
        </w:rPr>
        <w:t>הגה"מ (פכ"ה ה"ב) הג"א (כתובות פ"ז סי' יז הגהה א) והאגודה (כתובות פ"ז סי' קז). ועיין בשו"ת מהרי"ק החדשים סי' כד, שו"ת רדב"ז ח"ד סי' רס, שו"ת מהר"י בן לב ח"ד סי' יג, שו"ת מבי"ט ח"ג סי' ריב, שו"ת מהרי"ט ח"א סי' קיג.</w:t>
      </w:r>
    </w:p>
  </w:footnote>
  <w:footnote w:id="2790">
    <w:p w14:paraId="091153E6" w14:textId="037A78F5" w:rsidR="00C97BEF" w:rsidRDefault="00C97BEF" w:rsidP="00C97BEF">
      <w:pPr>
        <w:pStyle w:val="a5"/>
      </w:pPr>
      <w:r>
        <w:rPr>
          <w:rStyle w:val="a7"/>
        </w:rPr>
        <w:footnoteRef/>
      </w:r>
      <w:r>
        <w:rPr>
          <w:rtl/>
        </w:rPr>
        <w:t xml:space="preserve"> </w:t>
      </w:r>
      <w:r>
        <w:rPr>
          <w:rFonts w:cs="Arial"/>
          <w:rtl/>
        </w:rPr>
        <w:t xml:space="preserve">וכן הסכימו איתו החכמים שאליהם שלח את המכתב, </w:t>
      </w:r>
      <w:r w:rsidR="000A0F5A">
        <w:rPr>
          <w:rFonts w:cs="Arial"/>
          <w:rtl/>
        </w:rPr>
        <w:t>וז"ל:</w:t>
      </w:r>
      <w:r>
        <w:rPr>
          <w:rFonts w:cs="Arial"/>
          <w:rtl/>
        </w:rPr>
        <w:t xml:space="preserve"> כאשר כתב מורי ה"ר אשר כן נראה לי שאין מום גדול כנכפה, שהרי מדמה בפ' האומנין (פ.) נכפית לשוט' ושעמומית... ומכל מקום יעשו כאשר כתב מורי למעלה. ועוד מצאתי בשאלתות דרב אחאי גאון ז"ל, הלכה למעשה שתקבל גט בעל כרחה בין נמצאו בין היו ואפילו לא התנה יתן לה גט, והא דנקט התנה משום רבותא דר' מאיר, עכ"ל. ומצאתי בירושלמי מפני ריח הפה כופין מפני חיי נפש לא כ"ש, כ"ש בנדון זה, ודלא כר' יואל ז"ל שמסופק בדין נכפה אחרי שלא מנה אותו עם שאר מומין בפרק המדיר (עז.)... </w:t>
      </w:r>
      <w:r>
        <w:rPr>
          <w:rFonts w:cs="Arial"/>
          <w:b/>
          <w:bCs/>
          <w:rtl/>
        </w:rPr>
        <w:t>ושלום יצחק בה"ר מאיר</w:t>
      </w:r>
      <w:r>
        <w:rPr>
          <w:rFonts w:cs="Arial"/>
          <w:rtl/>
        </w:rPr>
        <w:t xml:space="preserve"> נב"ע.       כדברי רבינו כן נ"ל, ומה שפי' רבינו יואל ז"ל היה נראה שכל שכן הוא ולא הוצרך למנותו, אך מאחר שרבינו יואל ז"ל היה מסופק אין לי להכריע ולהכניס ראשי בין הגדולים, </w:t>
      </w:r>
      <w:r>
        <w:rPr>
          <w:rFonts w:cs="Arial"/>
          <w:b/>
          <w:bCs/>
          <w:rtl/>
        </w:rPr>
        <w:t>ושלום חיים בר יוסף</w:t>
      </w:r>
      <w:r>
        <w:rPr>
          <w:rFonts w:cs="Arial"/>
          <w:rtl/>
        </w:rPr>
        <w:t xml:space="preserve"> ז"ל.       שורת הדין כאשר כתב מורי הרא"ש ז"ל. אכן לא ראיתי מעשה, ומסתבר טעמא דהא מפני שממיקתו חיישינן כל שכן בנדון זה דאין לך מום גדול מזה, אף על פי שלא מנו אותו חכמים לפי שלא הוצרכו. ואפילו גבי שפחה שאינה אלא לעבוד קרוי סמפון גבי שאר וקירוב בשר לא כל שכן. </w:t>
      </w:r>
      <w:bookmarkStart w:id="41" w:name="_Hlk97825647"/>
      <w:r>
        <w:rPr>
          <w:rFonts w:cs="Arial"/>
          <w:rtl/>
        </w:rPr>
        <w:t xml:space="preserve">וכי סבור אתה שרבינו גרשון ז"ל עשה תקנתו על עוברת על הדת וחמירא סכנתא מאיסורא, וטוב לה שתתפייס במאי דאיפייסא שיתן לה הבא לידו, שאם יזרוק לה גט מי יבא אחרי הדבר אשר כבר עשהו, ולא יכולתי להאריך. </w:t>
      </w:r>
      <w:r>
        <w:rPr>
          <w:rFonts w:cs="Arial"/>
          <w:b/>
          <w:bCs/>
          <w:rtl/>
        </w:rPr>
        <w:t>ושלום מרדכי בר יוסף</w:t>
      </w:r>
      <w:r>
        <w:rPr>
          <w:rFonts w:cs="Arial"/>
          <w:rtl/>
        </w:rPr>
        <w:t xml:space="preserve"> נ"ע</w:t>
      </w:r>
      <w:bookmarkEnd w:id="41"/>
      <w:r>
        <w:rPr>
          <w:rFonts w:cs="Arial"/>
          <w:rtl/>
        </w:rPr>
        <w:t>.</w:t>
      </w:r>
    </w:p>
  </w:footnote>
  <w:footnote w:id="2791">
    <w:p w14:paraId="78CC5F97" w14:textId="77777777" w:rsidR="00C97BEF" w:rsidRDefault="00C97BEF" w:rsidP="00C97BEF">
      <w:pPr>
        <w:pStyle w:val="a5"/>
        <w:rPr>
          <w:rtl/>
        </w:rPr>
      </w:pPr>
      <w:r>
        <w:rPr>
          <w:rStyle w:val="a7"/>
        </w:rPr>
        <w:footnoteRef/>
      </w:r>
      <w:r>
        <w:rPr>
          <w:rtl/>
        </w:rPr>
        <w:t xml:space="preserve"> </w:t>
      </w:r>
      <w:r>
        <w:rPr>
          <w:rFonts w:cs="Arial"/>
          <w:rtl/>
        </w:rPr>
        <w:t>שאינו מזריע, דדבר זה אינו גלוי לבריות אלא לשמים, רש"י.</w:t>
      </w:r>
    </w:p>
  </w:footnote>
  <w:footnote w:id="2792">
    <w:p w14:paraId="537C172B" w14:textId="77777777" w:rsidR="00C97BEF" w:rsidRDefault="00C97BEF" w:rsidP="00C97BEF">
      <w:pPr>
        <w:pStyle w:val="a5"/>
      </w:pPr>
      <w:r>
        <w:rPr>
          <w:rStyle w:val="a7"/>
        </w:rPr>
        <w:footnoteRef/>
      </w:r>
      <w:r>
        <w:rPr>
          <w:rtl/>
        </w:rPr>
        <w:t xml:space="preserve"> </w:t>
      </w:r>
      <w:r>
        <w:rPr>
          <w:rFonts w:cs="Arial"/>
          <w:rtl/>
        </w:rPr>
        <w:t>יבקשו הימנו שיפטרנה בגט כראוי ואין מכריחין אותו, רש"י.</w:t>
      </w:r>
    </w:p>
  </w:footnote>
  <w:footnote w:id="2793">
    <w:p w14:paraId="5A91BB70" w14:textId="77777777" w:rsidR="00C97BEF" w:rsidRDefault="00C97BEF" w:rsidP="00C97BEF">
      <w:pPr>
        <w:pStyle w:val="a5"/>
      </w:pPr>
      <w:r>
        <w:rPr>
          <w:rStyle w:val="a7"/>
        </w:rPr>
        <w:footnoteRef/>
      </w:r>
      <w:r>
        <w:rPr>
          <w:rtl/>
        </w:rPr>
        <w:t xml:space="preserve"> </w:t>
      </w:r>
      <w:r>
        <w:rPr>
          <w:rFonts w:cs="Arial"/>
          <w:rtl/>
        </w:rPr>
        <w:t>דבעלה ידע דיורה כחץ וקתני לה לא מהימנא אלמא אשה מעיזה, רש"י.</w:t>
      </w:r>
    </w:p>
  </w:footnote>
  <w:footnote w:id="2794">
    <w:p w14:paraId="23D0AA54" w14:textId="77777777" w:rsidR="00C97BEF" w:rsidRDefault="00C97BEF" w:rsidP="00C97BEF">
      <w:pPr>
        <w:pStyle w:val="a5"/>
      </w:pPr>
      <w:r>
        <w:rPr>
          <w:rStyle w:val="a7"/>
        </w:rPr>
        <w:footnoteRef/>
      </w:r>
      <w:r>
        <w:rPr>
          <w:rtl/>
        </w:rPr>
        <w:t xml:space="preserve"> </w:t>
      </w:r>
      <w:r>
        <w:rPr>
          <w:rFonts w:cs="Arial"/>
          <w:rtl/>
        </w:rPr>
        <w:t>והיא תובעתו לגרשה לפי שלא היו לה בנים</w:t>
      </w:r>
      <w:r>
        <w:rPr>
          <w:rtl/>
        </w:rPr>
        <w:t>, רש"י.</w:t>
      </w:r>
    </w:p>
  </w:footnote>
  <w:footnote w:id="2795">
    <w:p w14:paraId="17232EE9" w14:textId="77777777" w:rsidR="00C97BEF" w:rsidRDefault="00C97BEF" w:rsidP="00C97BEF">
      <w:pPr>
        <w:pStyle w:val="a5"/>
        <w:rPr>
          <w:rtl/>
        </w:rPr>
      </w:pPr>
      <w:r>
        <w:rPr>
          <w:rStyle w:val="a7"/>
        </w:rPr>
        <w:footnoteRef/>
      </w:r>
      <w:r>
        <w:rPr>
          <w:rtl/>
        </w:rPr>
        <w:t xml:space="preserve"> </w:t>
      </w:r>
      <w:r>
        <w:rPr>
          <w:rFonts w:cs="Arial"/>
          <w:rtl/>
        </w:rPr>
        <w:t>ותובעתו לגרשה, רש"י.</w:t>
      </w:r>
    </w:p>
  </w:footnote>
  <w:footnote w:id="2796">
    <w:p w14:paraId="3BCB64AE" w14:textId="77777777" w:rsidR="00C97BEF" w:rsidRDefault="00C97BEF" w:rsidP="00C97BEF">
      <w:pPr>
        <w:pStyle w:val="a5"/>
      </w:pPr>
      <w:r>
        <w:rPr>
          <w:rStyle w:val="a7"/>
        </w:rPr>
        <w:footnoteRef/>
      </w:r>
      <w:r>
        <w:rPr>
          <w:rtl/>
        </w:rPr>
        <w:t xml:space="preserve"> </w:t>
      </w:r>
      <w:r>
        <w:rPr>
          <w:sz w:val="16"/>
          <w:szCs w:val="16"/>
          <w:rtl/>
        </w:rPr>
        <w:t xml:space="preserve">{על פריה ורביה} </w:t>
      </w:r>
      <w:r>
        <w:rPr>
          <w:rFonts w:cs="Arial"/>
          <w:rtl/>
        </w:rPr>
        <w:t>ואם רוצה את לצאת אין לך כתובה, רש"י.</w:t>
      </w:r>
    </w:p>
  </w:footnote>
  <w:footnote w:id="2797">
    <w:p w14:paraId="04E23E5B" w14:textId="77777777" w:rsidR="00C97BEF" w:rsidRDefault="00C97BEF" w:rsidP="00C97BEF">
      <w:pPr>
        <w:pStyle w:val="a5"/>
      </w:pPr>
      <w:r>
        <w:rPr>
          <w:rStyle w:val="a7"/>
        </w:rPr>
        <w:footnoteRef/>
      </w:r>
      <w:r>
        <w:rPr>
          <w:rtl/>
        </w:rPr>
        <w:t xml:space="preserve"> </w:t>
      </w:r>
      <w:r>
        <w:rPr>
          <w:rFonts w:cs="Arial"/>
          <w:rtl/>
        </w:rPr>
        <w:t>בזקנתה מה תהא עליה, רש"י.</w:t>
      </w:r>
    </w:p>
  </w:footnote>
  <w:footnote w:id="2798">
    <w:p w14:paraId="767EE60C" w14:textId="77777777" w:rsidR="00C97BEF" w:rsidRDefault="00C97BEF" w:rsidP="00C97BEF">
      <w:pPr>
        <w:pStyle w:val="a5"/>
      </w:pPr>
      <w:r>
        <w:rPr>
          <w:rStyle w:val="a7"/>
        </w:rPr>
        <w:footnoteRef/>
      </w:r>
      <w:r>
        <w:rPr>
          <w:rtl/>
        </w:rPr>
        <w:t xml:space="preserve"> </w:t>
      </w:r>
      <w:r>
        <w:rPr>
          <w:rFonts w:cs="Arial"/>
          <w:rtl/>
        </w:rPr>
        <w:t>עץ שתשען עליו לעת זקנתה ואם תמות יקברנה, רש"י.</w:t>
      </w:r>
      <w:r>
        <w:rPr>
          <w:rtl/>
        </w:rPr>
        <w:t xml:space="preserve"> </w:t>
      </w:r>
    </w:p>
  </w:footnote>
  <w:footnote w:id="2799">
    <w:p w14:paraId="7D4C5503" w14:textId="77777777" w:rsidR="00C97BEF" w:rsidRDefault="00C97BEF" w:rsidP="00C97BEF">
      <w:pPr>
        <w:pStyle w:val="a5"/>
      </w:pPr>
      <w:r>
        <w:rPr>
          <w:rStyle w:val="a7"/>
        </w:rPr>
        <w:footnoteRef/>
      </w:r>
      <w:r>
        <w:rPr>
          <w:rtl/>
        </w:rPr>
        <w:t xml:space="preserve"> </w:t>
      </w:r>
      <w:r>
        <w:rPr>
          <w:rFonts w:cs="Arial"/>
          <w:rtl/>
        </w:rPr>
        <w:t>איהי קים לה ביורה כחץ ואיהו לא קים ליה ביורה התלמוד אומר כן דרך האמת וה"ה אם לתרוייהו לא קים להו אם היא באה מחמת טענה כייפינן ליה להוציא ויתן כתובה, מרדכי (יבמות סי' נב).</w:t>
      </w:r>
    </w:p>
  </w:footnote>
  <w:footnote w:id="2800">
    <w:p w14:paraId="746661A0" w14:textId="77777777" w:rsidR="00C97BEF" w:rsidRDefault="00C97BEF" w:rsidP="00C97BEF">
      <w:pPr>
        <w:pStyle w:val="a5"/>
      </w:pPr>
      <w:r>
        <w:rPr>
          <w:rStyle w:val="a7"/>
        </w:rPr>
        <w:footnoteRef/>
      </w:r>
      <w:r>
        <w:rPr>
          <w:rtl/>
        </w:rPr>
        <w:t xml:space="preserve"> </w:t>
      </w:r>
      <w:r>
        <w:rPr>
          <w:rFonts w:cs="Arial"/>
          <w:rtl/>
        </w:rPr>
        <w:t>כן כתב הרא"ש שם (סי' טו). אבל אם יש לה בנים אפילו מאיש אחר אין שומעין לה, רי"ו (נכ"ב ח"ב קפו סוע"ד).</w:t>
      </w:r>
      <w:r>
        <w:rPr>
          <w:color w:val="00B0F0"/>
          <w:rtl/>
        </w:rPr>
        <w:t xml:space="preserve"> (וכ"פ הרמ"א)</w:t>
      </w:r>
    </w:p>
  </w:footnote>
  <w:footnote w:id="2801">
    <w:p w14:paraId="16BC3BFA" w14:textId="77777777" w:rsidR="00C97BEF" w:rsidRDefault="00C97BEF" w:rsidP="00C97BEF">
      <w:pPr>
        <w:pStyle w:val="a5"/>
        <w:rPr>
          <w:rtl/>
        </w:rPr>
      </w:pPr>
      <w:r>
        <w:rPr>
          <w:rStyle w:val="a7"/>
        </w:rPr>
        <w:footnoteRef/>
      </w:r>
      <w:r>
        <w:rPr>
          <w:rtl/>
        </w:rPr>
        <w:t xml:space="preserve"> </w:t>
      </w:r>
      <w:r>
        <w:rPr>
          <w:rFonts w:cs="Arial"/>
          <w:rtl/>
        </w:rPr>
        <w:t xml:space="preserve">כן כתבו הרי"ף (כא.) והרא"ש (סי' כ) שם, וכן כתבו שם התוס' (ד"ה כי הא) בשם ר"ח. וכן דעת הרמב"ם בפט"ו מהלכות אישות (ה"י). וטעמא משום דאדעתא דלמישקל ולמיפק לא כתב לה </w:t>
      </w:r>
      <w:r>
        <w:rPr>
          <w:rFonts w:cs="Arial"/>
          <w:sz w:val="16"/>
          <w:szCs w:val="16"/>
          <w:rtl/>
        </w:rPr>
        <w:t>(ודברי רי"ו (במישרים נכ"ג ח"ח סא:) בשם הרי"ף והרמב"ם אינם מכוונים)</w:t>
      </w:r>
      <w:r>
        <w:rPr>
          <w:rFonts w:cs="Arial"/>
          <w:rtl/>
        </w:rPr>
        <w:t>, ב"י.</w:t>
      </w:r>
    </w:p>
  </w:footnote>
  <w:footnote w:id="2802">
    <w:p w14:paraId="4E559B3E" w14:textId="77777777" w:rsidR="00C97BEF" w:rsidRDefault="00C97BEF" w:rsidP="00C97BEF">
      <w:pPr>
        <w:pStyle w:val="a5"/>
      </w:pPr>
      <w:r>
        <w:rPr>
          <w:rStyle w:val="a7"/>
        </w:rPr>
        <w:footnoteRef/>
      </w:r>
      <w:r>
        <w:rPr>
          <w:rtl/>
        </w:rPr>
        <w:t xml:space="preserve"> </w:t>
      </w:r>
      <w:r>
        <w:rPr>
          <w:rFonts w:cs="Arial"/>
          <w:rtl/>
        </w:rPr>
        <w:t>כן כתב הרמב"ם (פט"ו ה"י) והרא"ש (יבמות פ"ו סי' טו וסי' כ), ב"י (בבדה"ב).</w:t>
      </w:r>
    </w:p>
  </w:footnote>
  <w:footnote w:id="2803">
    <w:p w14:paraId="453186EB" w14:textId="77777777" w:rsidR="00C97BEF" w:rsidRDefault="00C97BEF" w:rsidP="00C97BEF">
      <w:pPr>
        <w:pStyle w:val="a5"/>
      </w:pPr>
      <w:r>
        <w:rPr>
          <w:rStyle w:val="a7"/>
        </w:rPr>
        <w:footnoteRef/>
      </w:r>
      <w:r>
        <w:rPr>
          <w:rtl/>
        </w:rPr>
        <w:t xml:space="preserve"> </w:t>
      </w:r>
      <w:r>
        <w:rPr>
          <w:rFonts w:cs="Arial"/>
          <w:rtl/>
        </w:rPr>
        <w:t>גם זה מדברי הרא"ש (יבמות פ"ו סי' טו, ובתשו' כלל מג סוף סי' יד), ועיין בתשובות מהרי"ק שורש ע"ב, ב"י.</w:t>
      </w:r>
    </w:p>
  </w:footnote>
  <w:footnote w:id="2804">
    <w:p w14:paraId="1811C6B5" w14:textId="77777777" w:rsidR="00C97BEF" w:rsidRDefault="00C97BEF" w:rsidP="00C97BEF">
      <w:pPr>
        <w:pStyle w:val="a5"/>
      </w:pPr>
      <w:r>
        <w:rPr>
          <w:rStyle w:val="a7"/>
        </w:rPr>
        <w:footnoteRef/>
      </w:r>
      <w:r>
        <w:rPr>
          <w:rtl/>
        </w:rPr>
        <w:t xml:space="preserve"> </w:t>
      </w:r>
      <w:r>
        <w:rPr>
          <w:rFonts w:cs="Arial"/>
          <w:rtl/>
        </w:rPr>
        <w:t>כן כתוב בתשובות הרא"ש (כלל מג סי' ב), ב"י.</w:t>
      </w:r>
    </w:p>
  </w:footnote>
  <w:footnote w:id="2805">
    <w:p w14:paraId="7D00BF5A" w14:textId="77777777" w:rsidR="00C97BEF" w:rsidRDefault="00C97BEF" w:rsidP="00C97BEF">
      <w:pPr>
        <w:pStyle w:val="a5"/>
        <w:rPr>
          <w:rtl/>
        </w:rPr>
      </w:pPr>
      <w:r>
        <w:rPr>
          <w:rStyle w:val="a7"/>
        </w:rPr>
        <w:footnoteRef/>
      </w:r>
      <w:r>
        <w:rPr>
          <w:rtl/>
        </w:rPr>
        <w:t xml:space="preserve"> </w:t>
      </w:r>
      <w:r>
        <w:rPr>
          <w:rFonts w:cs="Arial"/>
          <w:rtl/>
        </w:rPr>
        <w:t>וגם לאחרים שכופין אותם להוציא, אם בא להפטר מכתובה שאומר שהיא גורמת והיא אומרת שהוא גורם - נאמנת וצריך ליתן לה כתובה, טור.</w:t>
      </w:r>
    </w:p>
  </w:footnote>
  <w:footnote w:id="2806">
    <w:p w14:paraId="20B9E957" w14:textId="77777777" w:rsidR="00C97BEF" w:rsidRDefault="00C97BEF" w:rsidP="00C97BEF">
      <w:pPr>
        <w:pStyle w:val="a5"/>
      </w:pPr>
      <w:r>
        <w:rPr>
          <w:rStyle w:val="a7"/>
        </w:rPr>
        <w:footnoteRef/>
      </w:r>
      <w:r>
        <w:rPr>
          <w:rtl/>
        </w:rPr>
        <w:t xml:space="preserve"> </w:t>
      </w:r>
      <w:r>
        <w:rPr>
          <w:rFonts w:cs="Arial"/>
          <w:rtl/>
        </w:rPr>
        <w:t>ועיין בנמוקי יוסף (כא. ד"ה אמר)</w:t>
      </w:r>
      <w:r>
        <w:rPr>
          <w:rtl/>
        </w:rPr>
        <w:t>, ב"י.</w:t>
      </w:r>
    </w:p>
  </w:footnote>
  <w:footnote w:id="2807">
    <w:p w14:paraId="17397C02" w14:textId="7CCEBA09" w:rsidR="00C97BEF" w:rsidRDefault="00C97BEF" w:rsidP="00C97BEF">
      <w:pPr>
        <w:pStyle w:val="a5"/>
        <w:rPr>
          <w:rtl/>
        </w:rPr>
      </w:pPr>
      <w:r>
        <w:rPr>
          <w:rStyle w:val="a7"/>
        </w:rPr>
        <w:footnoteRef/>
      </w:r>
      <w:r>
        <w:rPr>
          <w:rtl/>
        </w:rPr>
        <w:t xml:space="preserve"> </w:t>
      </w:r>
      <w:r>
        <w:rPr>
          <w:rFonts w:cs="Arial"/>
          <w:rtl/>
        </w:rPr>
        <w:t xml:space="preserve">אך הטור חלק עליו וכתב </w:t>
      </w:r>
      <w:r w:rsidR="000A0F5A">
        <w:rPr>
          <w:rFonts w:cs="Arial"/>
          <w:rtl/>
        </w:rPr>
        <w:t>וז"ל:</w:t>
      </w:r>
      <w:r>
        <w:rPr>
          <w:rFonts w:cs="Arial"/>
          <w:rtl/>
        </w:rPr>
        <w:t xml:space="preserve"> וכאשר כתבתי כן נראה, שאם גם השנייה אומרת שאינו יורה כחץ - שיוציא מיד כיון ששהה עם הראשונה עשר שנים. או אפילו לא שהה, כיון שהוא בא להוציא את הראשונה מדעתה, דליכא למיחש שנתנה עיניה באחר - כולן יוציא מיד כדין הראשונה</w:t>
      </w:r>
      <w:r>
        <w:rPr>
          <w:rtl/>
        </w:rPr>
        <w:t>.</w:t>
      </w:r>
    </w:p>
  </w:footnote>
  <w:footnote w:id="2808">
    <w:p w14:paraId="1357248F" w14:textId="77777777" w:rsidR="00C97BEF" w:rsidRDefault="00C97BEF" w:rsidP="00C97BEF">
      <w:pPr>
        <w:pStyle w:val="a5"/>
        <w:rPr>
          <w:rtl/>
        </w:rPr>
      </w:pPr>
      <w:r>
        <w:rPr>
          <w:rStyle w:val="a7"/>
        </w:rPr>
        <w:footnoteRef/>
      </w:r>
      <w:r>
        <w:rPr>
          <w:rtl/>
        </w:rPr>
        <w:t xml:space="preserve"> </w:t>
      </w:r>
      <w:r>
        <w:rPr>
          <w:rFonts w:cs="Arial"/>
          <w:rtl/>
        </w:rPr>
        <w:t>ועיין בתשו' הרדב"ז (ח"ג סי' תקעה) שכ' דהה"נ אם יש לה בני בנים או בנות בנים או בני בנות או בנות בנות שאין לה שוב טענא בעינא חוטרא כו' ע"ש</w:t>
      </w:r>
      <w:r>
        <w:rPr>
          <w:rtl/>
        </w:rPr>
        <w:t>, פת"ש (סקי"ב).</w:t>
      </w:r>
    </w:p>
  </w:footnote>
  <w:footnote w:id="2809">
    <w:p w14:paraId="11222E89" w14:textId="77777777" w:rsidR="00C97BEF" w:rsidRDefault="00C97BEF" w:rsidP="00C97BEF">
      <w:pPr>
        <w:pStyle w:val="a5"/>
        <w:rPr>
          <w:rtl/>
        </w:rPr>
      </w:pPr>
      <w:r>
        <w:rPr>
          <w:rStyle w:val="a7"/>
        </w:rPr>
        <w:footnoteRef/>
      </w:r>
      <w:r>
        <w:rPr>
          <w:rtl/>
        </w:rPr>
        <w:t xml:space="preserve"> </w:t>
      </w:r>
      <w:r>
        <w:rPr>
          <w:rFonts w:cs="Arial"/>
          <w:rtl/>
        </w:rPr>
        <w:t>כיון דאין לו טענות ברי להכחישה א"י להשביעה, ב"ש (סקי"ג).</w:t>
      </w:r>
    </w:p>
  </w:footnote>
  <w:footnote w:id="2810">
    <w:p w14:paraId="675FF42A" w14:textId="77777777" w:rsidR="00C97BEF" w:rsidRDefault="00C97BEF" w:rsidP="00C97BEF">
      <w:pPr>
        <w:pStyle w:val="a5"/>
      </w:pPr>
      <w:r>
        <w:rPr>
          <w:rStyle w:val="a7"/>
        </w:rPr>
        <w:footnoteRef/>
      </w:r>
      <w:r>
        <w:rPr>
          <w:rtl/>
        </w:rPr>
        <w:t xml:space="preserve"> </w:t>
      </w:r>
      <w:r>
        <w:rPr>
          <w:rFonts w:cs="Arial"/>
          <w:rtl/>
        </w:rPr>
        <w:t>כן הוא דעת הטור כלומר יוציא מיד וא"צ להמתין י' שנים בשניה, וכ"כ בלבוש כיון דשהה עם הראשונה י' שנים. ואם הראשונה באה תוך י' שנים לגרשו, ובדק נפשיה תוך י' שנים, ושניה אומרת שאינו יורה כחץ, מ"מ אינה יכולה הראשונה לגרשו תוך י' שנים דאכתי חיישינן שמא עיני' נתנה באחר כיון שהוא תוך עשר שנים והיא רצונה לגרש, ועיין בטור, ב"ש (סקט"ו).</w:t>
      </w:r>
    </w:p>
  </w:footnote>
  <w:footnote w:id="2811">
    <w:p w14:paraId="6726EA83" w14:textId="09C4BE56" w:rsidR="00C97BEF" w:rsidRDefault="00C97BEF" w:rsidP="00C97BEF">
      <w:pPr>
        <w:pStyle w:val="a5"/>
      </w:pPr>
      <w:r>
        <w:rPr>
          <w:rStyle w:val="a7"/>
        </w:rPr>
        <w:footnoteRef/>
      </w:r>
      <w:r>
        <w:rPr>
          <w:rtl/>
        </w:rPr>
        <w:t xml:space="preserve"> </w:t>
      </w:r>
      <w:r>
        <w:rPr>
          <w:rFonts w:cs="Arial"/>
          <w:rtl/>
        </w:rPr>
        <w:t>כ"כ תוס' ד"ה שבינו לבינה וכ"כ הטור</w:t>
      </w:r>
      <w:r w:rsidR="00C54CC3">
        <w:rPr>
          <w:rFonts w:cs="Arial" w:hint="cs"/>
          <w:rtl/>
        </w:rPr>
        <w:t>.</w:t>
      </w:r>
      <w:r>
        <w:rPr>
          <w:rFonts w:cs="Arial"/>
          <w:rtl/>
        </w:rPr>
        <w:t xml:space="preserve"> ומהרא"ש לא משמע כן</w:t>
      </w:r>
      <w:r w:rsidR="00C54CC3">
        <w:rPr>
          <w:rFonts w:cs="Arial" w:hint="cs"/>
          <w:rtl/>
        </w:rPr>
        <w:t>.</w:t>
      </w:r>
      <w:r>
        <w:rPr>
          <w:rFonts w:cs="Arial"/>
          <w:rtl/>
        </w:rPr>
        <w:t xml:space="preserve"> ונראה דס"ל אפי' אם הוא עקר חיישינן שמא עיני' נתנה באחר כיון שהיא תוך י"ש</w:t>
      </w:r>
      <w:r w:rsidR="00C54CC3">
        <w:rPr>
          <w:rFonts w:cs="Arial" w:hint="cs"/>
          <w:rtl/>
        </w:rPr>
        <w:t>,</w:t>
      </w:r>
      <w:r>
        <w:rPr>
          <w:rFonts w:cs="Arial"/>
          <w:rtl/>
        </w:rPr>
        <w:t xml:space="preserve"> וכן הוא להדיא בהרא"ש ס"פ הע"י בעובדא האי דאתי' קמי' דר"א ע"ש, </w:t>
      </w:r>
      <w:r>
        <w:rPr>
          <w:rFonts w:cs="Arial"/>
          <w:b/>
          <w:bCs/>
          <w:rtl/>
        </w:rPr>
        <w:t>ב"ש</w:t>
      </w:r>
      <w:r>
        <w:rPr>
          <w:rFonts w:cs="Arial"/>
          <w:rtl/>
        </w:rPr>
        <w:t xml:space="preserve"> (סקט"ז).</w:t>
      </w:r>
      <w:r>
        <w:rPr>
          <w:rtl/>
        </w:rPr>
        <w:t xml:space="preserve"> </w:t>
      </w:r>
      <w:r w:rsidR="00C54CC3">
        <w:rPr>
          <w:rFonts w:hint="cs"/>
          <w:rtl/>
        </w:rPr>
        <w:t xml:space="preserve">    </w:t>
      </w:r>
      <w:r>
        <w:rPr>
          <w:rFonts w:cs="Arial"/>
          <w:rtl/>
        </w:rPr>
        <w:t>וע' בביאור הגר"א ז"ל שכתב דמ"מ דברי התוס' וטור וש"ע עיקר ע"ש גם בס' בית מאיר כתב בזה אחרי שרבינו הטור בנו פסק דלא כוותי' מי יחוש חוץ ממנו וכדאי המה התוס' והטור לסמוך עלייהו ע"ש</w:t>
      </w:r>
      <w:r>
        <w:rPr>
          <w:rtl/>
        </w:rPr>
        <w:t>,</w:t>
      </w:r>
      <w:r>
        <w:rPr>
          <w:b/>
          <w:bCs/>
          <w:rtl/>
        </w:rPr>
        <w:t xml:space="preserve"> פת"ש</w:t>
      </w:r>
      <w:r>
        <w:rPr>
          <w:rtl/>
        </w:rPr>
        <w:t xml:space="preserve"> (סקי"ד).</w:t>
      </w:r>
    </w:p>
  </w:footnote>
  <w:footnote w:id="2812">
    <w:p w14:paraId="5AFF9C13" w14:textId="77777777" w:rsidR="00C97BEF" w:rsidRDefault="00C97BEF" w:rsidP="00C97BEF">
      <w:pPr>
        <w:pStyle w:val="a5"/>
      </w:pPr>
      <w:r>
        <w:rPr>
          <w:rStyle w:val="a7"/>
        </w:rPr>
        <w:footnoteRef/>
      </w:r>
      <w:r>
        <w:rPr>
          <w:rtl/>
        </w:rPr>
        <w:t xml:space="preserve"> </w:t>
      </w:r>
      <w:r>
        <w:rPr>
          <w:rFonts w:cs="Arial"/>
          <w:rtl/>
        </w:rPr>
        <w:t>שאינו מזריע, דדבר זה אינו גלוי לבריות אלא לשמים, רש"י.</w:t>
      </w:r>
    </w:p>
  </w:footnote>
  <w:footnote w:id="2813">
    <w:p w14:paraId="1B1361BE" w14:textId="77777777" w:rsidR="00C97BEF" w:rsidRDefault="00C97BEF" w:rsidP="00C97BEF">
      <w:pPr>
        <w:pStyle w:val="a5"/>
      </w:pPr>
      <w:r>
        <w:rPr>
          <w:rStyle w:val="a7"/>
        </w:rPr>
        <w:footnoteRef/>
      </w:r>
      <w:r>
        <w:rPr>
          <w:rtl/>
        </w:rPr>
        <w:t xml:space="preserve"> </w:t>
      </w:r>
      <w:r>
        <w:rPr>
          <w:rFonts w:cs="Arial"/>
          <w:rtl/>
        </w:rPr>
        <w:t>יבקשו הימנו שיפטרנה בגט כראוי ואין מכריחין אותו, רש"י.</w:t>
      </w:r>
    </w:p>
  </w:footnote>
  <w:footnote w:id="2814">
    <w:p w14:paraId="51996B86" w14:textId="77777777" w:rsidR="00C97BEF" w:rsidRDefault="00C97BEF" w:rsidP="00C97BEF">
      <w:pPr>
        <w:pStyle w:val="a5"/>
      </w:pPr>
      <w:r>
        <w:rPr>
          <w:rStyle w:val="a7"/>
        </w:rPr>
        <w:footnoteRef/>
      </w:r>
      <w:r>
        <w:rPr>
          <w:rtl/>
        </w:rPr>
        <w:t xml:space="preserve"> </w:t>
      </w:r>
      <w:r>
        <w:rPr>
          <w:rFonts w:cs="Arial"/>
          <w:rtl/>
        </w:rPr>
        <w:t>דבעלה ידע דיורה כחץ וקתני לה לא מהימנא אלמא אשה מעיזה, רש"י.</w:t>
      </w:r>
    </w:p>
  </w:footnote>
  <w:footnote w:id="2815">
    <w:p w14:paraId="05BEC1AF" w14:textId="77777777" w:rsidR="00C97BEF" w:rsidRDefault="00C97BEF" w:rsidP="00C97BEF">
      <w:pPr>
        <w:pStyle w:val="a5"/>
      </w:pPr>
      <w:r>
        <w:rPr>
          <w:rStyle w:val="a7"/>
        </w:rPr>
        <w:footnoteRef/>
      </w:r>
      <w:r>
        <w:rPr>
          <w:rtl/>
        </w:rPr>
        <w:t xml:space="preserve"> </w:t>
      </w:r>
      <w:r>
        <w:rPr>
          <w:rFonts w:cs="Arial"/>
          <w:rtl/>
        </w:rPr>
        <w:t xml:space="preserve">כן כתב הרא"ש </w:t>
      </w:r>
      <w:r>
        <w:rPr>
          <w:rFonts w:cs="Arial"/>
          <w:sz w:val="16"/>
          <w:szCs w:val="16"/>
          <w:rtl/>
        </w:rPr>
        <w:t>(כלל מג סי' ה)</w:t>
      </w:r>
      <w:r>
        <w:rPr>
          <w:rFonts w:cs="Arial"/>
          <w:rtl/>
        </w:rPr>
        <w:t xml:space="preserve"> שאם טוענת שבעלה אינו שוכב עמה ואינו בא עליה - דינו כטוענת שאין לו גבורת אנשים וכו'. וכן הוא בתוספות סוף נדרים (צא. ד"ה קסבר רב המנונא) וסוף פרק הבא על יבמתו (סה: סוף דיבור ראשון). גם הר"ן סוף נדרים (צא. ד"ה ולענין) והמגיד משנה פרק י"ד דאישות (הט"ז) האריכו בזה, ב"י.</w:t>
      </w:r>
      <w:r>
        <w:rPr>
          <w:color w:val="00B0F0"/>
          <w:rtl/>
        </w:rPr>
        <w:t xml:space="preserve"> (וכ"פ הרמ"א)</w:t>
      </w:r>
    </w:p>
  </w:footnote>
  <w:footnote w:id="2816">
    <w:p w14:paraId="02190D6D" w14:textId="77777777" w:rsidR="00C97BEF" w:rsidRDefault="00C97BEF" w:rsidP="00C97BEF">
      <w:pPr>
        <w:pStyle w:val="a5"/>
        <w:rPr>
          <w:rtl/>
        </w:rPr>
      </w:pPr>
      <w:r>
        <w:rPr>
          <w:rStyle w:val="a7"/>
        </w:rPr>
        <w:footnoteRef/>
      </w:r>
      <w:r>
        <w:rPr>
          <w:rtl/>
        </w:rPr>
        <w:t xml:space="preserve"> </w:t>
      </w:r>
      <w:r>
        <w:rPr>
          <w:rFonts w:cs="Arial"/>
          <w:rtl/>
        </w:rPr>
        <w:t>התוספות כתבו (ס"פ הבא על יבמתו סה: סוף דיבור ראשון, וד"ה כי הא) שאם לא היתה תובעת כתובה היא מהימנה מדרב המנונא (נדרים צא.), וכן כתב הרא"ש בתשובה (כלל מג סי' א, ב, יב), ועיין עוד בתוספות שם כי האריכו בדבר, וגם בתשובות שבסוף ספר נשים (סי' ו) ובמרדכי פרק עשרה יוחסין (קידושין סי' תקמב), ב"י.</w:t>
      </w:r>
    </w:p>
  </w:footnote>
  <w:footnote w:id="2817">
    <w:p w14:paraId="1624C094" w14:textId="77777777" w:rsidR="00C97BEF" w:rsidRDefault="00C97BEF" w:rsidP="00C97BEF">
      <w:pPr>
        <w:pStyle w:val="a5"/>
        <w:rPr>
          <w:rtl/>
        </w:rPr>
      </w:pPr>
      <w:r>
        <w:rPr>
          <w:rStyle w:val="a7"/>
        </w:rPr>
        <w:footnoteRef/>
      </w:r>
      <w:r>
        <w:rPr>
          <w:rtl/>
        </w:rPr>
        <w:t xml:space="preserve"> </w:t>
      </w:r>
      <w:r>
        <w:rPr>
          <w:rFonts w:cs="Arial"/>
          <w:rtl/>
        </w:rPr>
        <w:t>הוא בתשובות הרא"ש (כלל מג סי' יב), ב"י.</w:t>
      </w:r>
    </w:p>
  </w:footnote>
  <w:footnote w:id="2818">
    <w:p w14:paraId="1AFCA72A" w14:textId="77777777" w:rsidR="00C97BEF" w:rsidRDefault="00C97BEF" w:rsidP="00C97BEF">
      <w:pPr>
        <w:pStyle w:val="a5"/>
        <w:rPr>
          <w:rtl/>
        </w:rPr>
      </w:pPr>
      <w:r>
        <w:rPr>
          <w:rStyle w:val="a7"/>
        </w:rPr>
        <w:footnoteRef/>
      </w:r>
      <w:r>
        <w:rPr>
          <w:rtl/>
        </w:rPr>
        <w:t xml:space="preserve"> </w:t>
      </w:r>
      <w:r>
        <w:rPr>
          <w:rFonts w:cs="Arial"/>
          <w:rtl/>
        </w:rPr>
        <w:t>בתוספות סוף פרק הבא על יבמתו (סה: ד"ה כי הא) ובתשובות הרא"ש (כלל מג סי' ב, וסי' יב), ב"י.</w:t>
      </w:r>
    </w:p>
  </w:footnote>
  <w:footnote w:id="2819">
    <w:p w14:paraId="69A5C5FB" w14:textId="77777777" w:rsidR="00C97BEF" w:rsidRDefault="00C97BEF" w:rsidP="00C97BEF">
      <w:pPr>
        <w:pStyle w:val="a5"/>
      </w:pPr>
      <w:r>
        <w:rPr>
          <w:rStyle w:val="a7"/>
        </w:rPr>
        <w:footnoteRef/>
      </w:r>
      <w:r>
        <w:rPr>
          <w:rtl/>
        </w:rPr>
        <w:t xml:space="preserve"> </w:t>
      </w:r>
      <w:r>
        <w:rPr>
          <w:rFonts w:cs="Arial"/>
          <w:rtl/>
        </w:rPr>
        <w:t>ועיין בתשובות (הרשב"א המיוחסות) להרמב"ן סימן קל"ט, ב"י.</w:t>
      </w:r>
    </w:p>
  </w:footnote>
  <w:footnote w:id="2820">
    <w:p w14:paraId="17A91237" w14:textId="77777777" w:rsidR="00C97BEF" w:rsidRDefault="00C97BEF" w:rsidP="00C97BEF">
      <w:pPr>
        <w:pStyle w:val="a5"/>
        <w:rPr>
          <w:rtl/>
        </w:rPr>
      </w:pPr>
      <w:r>
        <w:rPr>
          <w:rStyle w:val="a7"/>
        </w:rPr>
        <w:footnoteRef/>
      </w:r>
      <w:r>
        <w:rPr>
          <w:rtl/>
        </w:rPr>
        <w:t xml:space="preserve"> </w:t>
      </w:r>
      <w:r>
        <w:rPr>
          <w:rFonts w:cs="Arial"/>
          <w:rtl/>
        </w:rPr>
        <w:t>ועיין בתשובותיו סימן תרצ"ג</w:t>
      </w:r>
      <w:r>
        <w:rPr>
          <w:rtl/>
        </w:rPr>
        <w:t>, ב"י.</w:t>
      </w:r>
    </w:p>
  </w:footnote>
  <w:footnote w:id="2821">
    <w:p w14:paraId="4C2C8E43" w14:textId="77777777" w:rsidR="00C97BEF" w:rsidRDefault="00C97BEF" w:rsidP="00C97BEF">
      <w:pPr>
        <w:pStyle w:val="a5"/>
        <w:rPr>
          <w:rtl/>
        </w:rPr>
      </w:pPr>
      <w:r>
        <w:rPr>
          <w:rStyle w:val="a7"/>
        </w:rPr>
        <w:footnoteRef/>
      </w:r>
      <w:r>
        <w:rPr>
          <w:rtl/>
        </w:rPr>
        <w:t xml:space="preserve"> </w:t>
      </w:r>
      <w:r>
        <w:rPr>
          <w:rFonts w:cs="Arial"/>
          <w:rtl/>
        </w:rPr>
        <w:t>(ט) וכן כתב הטור לקמן (עמ' שיד עיין שם) בשם הרמב"ם (פט"ו מהלכות אישות הט"ו):</w:t>
      </w:r>
    </w:p>
  </w:footnote>
  <w:footnote w:id="2822">
    <w:p w14:paraId="645A88B7" w14:textId="77777777" w:rsidR="00C97BEF" w:rsidRDefault="00C97BEF" w:rsidP="00C97BEF">
      <w:pPr>
        <w:pStyle w:val="a5"/>
      </w:pPr>
      <w:r>
        <w:rPr>
          <w:rStyle w:val="a7"/>
        </w:rPr>
        <w:footnoteRef/>
      </w:r>
      <w:r>
        <w:rPr>
          <w:rtl/>
        </w:rPr>
        <w:t xml:space="preserve"> </w:t>
      </w:r>
      <w:r>
        <w:rPr>
          <w:rFonts w:cs="Arial"/>
          <w:rtl/>
        </w:rPr>
        <w:t>ועיין בתשובות להרמב"ן סימן קל"ט</w:t>
      </w:r>
      <w:r>
        <w:rPr>
          <w:rtl/>
        </w:rPr>
        <w:t>, ב"י.</w:t>
      </w:r>
    </w:p>
  </w:footnote>
  <w:footnote w:id="2823">
    <w:p w14:paraId="003BAF4C" w14:textId="77777777" w:rsidR="00C97BEF" w:rsidRDefault="00C97BEF" w:rsidP="00C97BEF">
      <w:pPr>
        <w:pStyle w:val="a5"/>
        <w:rPr>
          <w:rtl/>
        </w:rPr>
      </w:pPr>
      <w:r>
        <w:rPr>
          <w:rStyle w:val="a7"/>
        </w:rPr>
        <w:footnoteRef/>
      </w:r>
      <w:r>
        <w:rPr>
          <w:rtl/>
        </w:rPr>
        <w:t xml:space="preserve"> </w:t>
      </w:r>
      <w:r>
        <w:rPr>
          <w:rFonts w:cs="Arial"/>
          <w:rtl/>
        </w:rPr>
        <w:t xml:space="preserve">אע"פ שאמרה אח"כ בפניו, וכמו שכתבתי לעיל סימן קנ"ב (אות ב) לענין אשה שאומרת לבעלה גירשתני ועיין לעיל, דרכ"מ (אות ח). </w:t>
      </w:r>
      <w:r>
        <w:rPr>
          <w:rFonts w:cs="Arial"/>
          <w:color w:val="FF0000"/>
          <w:rtl/>
        </w:rPr>
        <w:t>הדרכ"מ כתב כן בשם הב"י והרשב"ץ וצל"ע מנין הוציא כן.</w:t>
      </w:r>
    </w:p>
  </w:footnote>
  <w:footnote w:id="2824">
    <w:p w14:paraId="0CC0AFC8" w14:textId="77777777" w:rsidR="00C97BEF" w:rsidRDefault="00C97BEF" w:rsidP="00C97BEF">
      <w:pPr>
        <w:pStyle w:val="a5"/>
      </w:pPr>
      <w:r>
        <w:rPr>
          <w:rStyle w:val="a7"/>
        </w:rPr>
        <w:footnoteRef/>
      </w:r>
      <w:r>
        <w:rPr>
          <w:rtl/>
        </w:rPr>
        <w:t xml:space="preserve"> </w:t>
      </w:r>
      <w:r>
        <w:rPr>
          <w:rFonts w:cs="Arial"/>
          <w:rtl/>
        </w:rPr>
        <w:t>וכן כתב הריב"ש בסימן קכ"ז והאריך הרבה בדינים דשייכי לענין זה ועיין עליו, ב"י.</w:t>
      </w:r>
    </w:p>
  </w:footnote>
  <w:footnote w:id="2825">
    <w:p w14:paraId="572455D6" w14:textId="77777777" w:rsidR="00C97BEF" w:rsidRDefault="00C97BEF" w:rsidP="00C97BEF">
      <w:pPr>
        <w:pStyle w:val="a5"/>
      </w:pPr>
      <w:r>
        <w:rPr>
          <w:rStyle w:val="a7"/>
        </w:rPr>
        <w:footnoteRef/>
      </w:r>
      <w:r>
        <w:rPr>
          <w:rtl/>
        </w:rPr>
        <w:t xml:space="preserve"> </w:t>
      </w:r>
      <w:r>
        <w:rPr>
          <w:rFonts w:cs="Arial"/>
          <w:rtl/>
        </w:rPr>
        <w:t>ואיני יודע למה הוצרך לפרש דבריה - ישאלוה והיא בעצמה תפרשם, ב"י.</w:t>
      </w:r>
    </w:p>
  </w:footnote>
  <w:footnote w:id="2826">
    <w:p w14:paraId="27FDD437" w14:textId="77777777" w:rsidR="00C97BEF" w:rsidRDefault="00C97BEF" w:rsidP="00C97BEF">
      <w:pPr>
        <w:pStyle w:val="a5"/>
      </w:pPr>
      <w:r>
        <w:rPr>
          <w:rStyle w:val="a7"/>
        </w:rPr>
        <w:footnoteRef/>
      </w:r>
      <w:r>
        <w:rPr>
          <w:rtl/>
        </w:rPr>
        <w:t xml:space="preserve"> </w:t>
      </w:r>
      <w:r>
        <w:rPr>
          <w:rFonts w:cs="Arial"/>
          <w:rtl/>
        </w:rPr>
        <w:t>וכבר כתבתי בסימן ע"ז (קטז. ד"ה ומ"ש וכן) דעת הפוסקים בדין זה. ועיין בתשובות הרא"ש (כלל מג סי' יב-יג), ב"י.</w:t>
      </w:r>
    </w:p>
  </w:footnote>
  <w:footnote w:id="2827">
    <w:p w14:paraId="4FC31899" w14:textId="77777777" w:rsidR="00C97BEF" w:rsidRDefault="00C97BEF" w:rsidP="00C97BEF">
      <w:pPr>
        <w:pStyle w:val="a5"/>
        <w:rPr>
          <w:rtl/>
        </w:rPr>
      </w:pPr>
      <w:r>
        <w:rPr>
          <w:rStyle w:val="a7"/>
        </w:rPr>
        <w:footnoteRef/>
      </w:r>
      <w:r>
        <w:rPr>
          <w:rtl/>
        </w:rPr>
        <w:t xml:space="preserve"> </w:t>
      </w:r>
      <w:r>
        <w:rPr>
          <w:rFonts w:cs="Arial"/>
          <w:rtl/>
        </w:rPr>
        <w:t>ומשמע מדבריו שם שאפילו כשאינה באה מחמת טענה נמי, כל שהיא אסורה להנשא מחמתו בין לו בין לאחר - כופין אותו להוציא. ועיין בתשובה לו ז"ל שאכתוב בסמוך (ד"ה ואם טוענת). וכן דעת הר"ן (ד"ה ולענין) והתוספות (סוד"ה גרשתני) בסוף נדרים (צא.) גבי השמים בינו לבינה דאפילו לא אתיא מחמת טענת חוטרא לידא - יוציא ויתן כתובה. והביאו ראיה לדבר, אע"פ שאין נראה כן מדברי הרא"ש שם,</w:t>
      </w:r>
      <w:r>
        <w:rPr>
          <w:rFonts w:cs="Arial" w:hint="cs"/>
        </w:rPr>
        <w:t xml:space="preserve"> </w:t>
      </w:r>
      <w:r>
        <w:rPr>
          <w:rFonts w:cs="Arial"/>
          <w:b/>
          <w:bCs/>
          <w:rtl/>
        </w:rPr>
        <w:t>ב"י</w:t>
      </w:r>
      <w:r>
        <w:rPr>
          <w:rFonts w:cs="Arial"/>
          <w:rtl/>
        </w:rPr>
        <w:t xml:space="preserve">. ולא ידעתי למה כתב שאין נראה לו כן מדברי הרא"ש, דבודאי דבכה"ג דלא יוכל לכונסה צריך לגרשה אפילו בלא טענה, דהא לא עדיף מאמרה שאין לו גבורת אנשים או שאינו שוכב עמה דכופין אותו לגרשה אע"ג דלא באה מחמת טענה כמו שמבואר בתשובת הרא"ש בהדיא (כלל מג סי' יב), וכל שכן בכה"ג, כן נראה לי, </w:t>
      </w:r>
      <w:r>
        <w:rPr>
          <w:rFonts w:cs="Arial"/>
          <w:b/>
          <w:bCs/>
          <w:rtl/>
        </w:rPr>
        <w:t>דרכ"מ</w:t>
      </w:r>
      <w:r>
        <w:rPr>
          <w:rFonts w:cs="Arial"/>
          <w:rtl/>
        </w:rPr>
        <w:t xml:space="preserve"> (אות ז).</w:t>
      </w:r>
    </w:p>
  </w:footnote>
  <w:footnote w:id="2828">
    <w:p w14:paraId="0A937E87" w14:textId="77777777" w:rsidR="00C97BEF" w:rsidRDefault="00C97BEF" w:rsidP="00C97BEF">
      <w:pPr>
        <w:pStyle w:val="a5"/>
      </w:pPr>
      <w:r>
        <w:rPr>
          <w:rStyle w:val="a7"/>
        </w:rPr>
        <w:footnoteRef/>
      </w:r>
      <w:r>
        <w:rPr>
          <w:rtl/>
        </w:rPr>
        <w:t xml:space="preserve"> </w:t>
      </w:r>
      <w:r>
        <w:rPr>
          <w:rFonts w:cs="Arial"/>
          <w:rtl/>
        </w:rPr>
        <w:t>ומשמע במהרי"ק שאפילו נשבע שלא לכונסה צריך להוציאה, דרכ"מ (אות ו).</w:t>
      </w:r>
    </w:p>
  </w:footnote>
  <w:footnote w:id="2829">
    <w:p w14:paraId="5769A575" w14:textId="77777777" w:rsidR="00C97BEF" w:rsidRDefault="00C97BEF" w:rsidP="00C97BEF">
      <w:pPr>
        <w:pStyle w:val="a5"/>
      </w:pPr>
      <w:r>
        <w:rPr>
          <w:rStyle w:val="a7"/>
        </w:rPr>
        <w:footnoteRef/>
      </w:r>
      <w:r>
        <w:rPr>
          <w:rtl/>
        </w:rPr>
        <w:t xml:space="preserve"> </w:t>
      </w:r>
      <w:r>
        <w:rPr>
          <w:rFonts w:cs="Arial"/>
          <w:rtl/>
        </w:rPr>
        <w:t>וכן מצאתי שכתב ר"ת דלא אמר רב המנונא דמהימנא אלא במילי דאתי מידו לידה כגון נתינת הגט, אבל במילי דלא אתי מידו לידה כגון דאמרה שאין מתקשה לא מהימנא, מרדכי (קידושין סי' תקמב).</w:t>
      </w:r>
    </w:p>
  </w:footnote>
  <w:footnote w:id="2830">
    <w:p w14:paraId="0AFD5DFC" w14:textId="77777777" w:rsidR="00C97BEF" w:rsidRDefault="00C97BEF" w:rsidP="00C97BEF">
      <w:pPr>
        <w:pStyle w:val="a5"/>
      </w:pPr>
      <w:r>
        <w:rPr>
          <w:rStyle w:val="a7"/>
        </w:rPr>
        <w:footnoteRef/>
      </w:r>
      <w:r>
        <w:rPr>
          <w:rtl/>
        </w:rPr>
        <w:t xml:space="preserve"> </w:t>
      </w:r>
      <w:r>
        <w:rPr>
          <w:rFonts w:cs="Arial"/>
          <w:rtl/>
        </w:rPr>
        <w:t>עי' בתשו' מהר"ם אלשקר (סי' פט) שפקפק עמ"ש מהרי"ק כי יש לאותה אשה אמתלאה שישבה עם בעלה ששה שנים ולא ילדה, והוא ז"ל כתב עליו ואיני יודע האי ששה שנים מאי עבידתייהו, ועשרה שמענו ומנין אחר לא שמענו, לא לאמתלאה ולא לזולתה כו' ע"ש. וע' בס' גבורת אנשים (סי' סח) שהשיג שם על כל דברי מהר"ם אלשקאר בתשובה ההיא, ובאמצע דבריו השיג ג"כ על מ"ש עשרה שמענו ומנין אחר לא שמענו כו', וכתב עליו שלא דק כי התם איירי היכא דמדינ' דגמ' לא מהימנ' לא סגי בפחות מי' שנים, אבל הכא מדינא דגמ' נאמנת מיד אלא שמהר"ם החמיר בדורות הללו שיש פרוצות וא"כ פשיטא דאם יש איזה אמתל' דהיינו בה' או ו' שנים מוקמי' לה אדינא, וכ"כ מהרי"ק עצמו שם באותה תשו' אח"ז כמו ג' עמודים ומהר"ם אלשקר לא עיין היטב כו'. וכן מסיק שם הלכה למעשה היכא דתובעת גט סתם דנאמנת היכא דאיכא אמתלא מועיל. גם אמתלא כזו ששהתה עמו ה' או ו' שנים ולא ילדה. וכן כשכרתו הכיס שלו לפני כמה שנים להוציא האבן דהוי אמתלא, וכמו שפסק הר"ר יוסף בתשובת רש"ך סימן ק"ס. וכן אם עדיין היא בתולה סגי בב' או ג' שנים. וה"ה בשאר שום אמתל' או רגלים לדבר נאמנת. וא"צ אומדנות דמוכיחות רק ברגלים לדבר קצת סגי וכמ"ש באגודה פ' הבע"י ע"ש</w:t>
      </w:r>
      <w:r>
        <w:rPr>
          <w:rtl/>
        </w:rPr>
        <w:t>, פת"ש (סק"כ).</w:t>
      </w:r>
    </w:p>
  </w:footnote>
  <w:footnote w:id="2831">
    <w:p w14:paraId="350B5647" w14:textId="75F09E52" w:rsidR="00C97BEF" w:rsidRDefault="00C97BEF" w:rsidP="00C97BEF">
      <w:pPr>
        <w:pStyle w:val="a5"/>
        <w:rPr>
          <w:rtl/>
        </w:rPr>
      </w:pPr>
      <w:r>
        <w:rPr>
          <w:rStyle w:val="a7"/>
        </w:rPr>
        <w:footnoteRef/>
      </w:r>
      <w:r>
        <w:rPr>
          <w:rtl/>
        </w:rPr>
        <w:t xml:space="preserve"> </w:t>
      </w:r>
      <w:r>
        <w:rPr>
          <w:rFonts w:hint="cs"/>
          <w:rtl/>
        </w:rPr>
        <w:t xml:space="preserve">וכ"כ הריצב"א (הביאו בתשובות מיימוניות ס'י ו) </w:t>
      </w:r>
      <w:r w:rsidR="000A0F5A">
        <w:rPr>
          <w:rFonts w:hint="cs"/>
          <w:rtl/>
        </w:rPr>
        <w:t>וז</w:t>
      </w:r>
      <w:r w:rsidR="000A0F5A">
        <w:rPr>
          <w:rtl/>
        </w:rPr>
        <w:t>"</w:t>
      </w:r>
      <w:r w:rsidR="000A0F5A">
        <w:rPr>
          <w:rFonts w:hint="cs"/>
          <w:rtl/>
        </w:rPr>
        <w:t>ל:</w:t>
      </w:r>
      <w:r>
        <w:rPr>
          <w:rFonts w:hint="cs"/>
          <w:rtl/>
        </w:rPr>
        <w:t xml:space="preserve"> </w:t>
      </w:r>
      <w:r>
        <w:rPr>
          <w:rFonts w:cs="Arial"/>
          <w:rtl/>
        </w:rPr>
        <w:t>ואם מחמת שרחמה צר מחמת בתוליה, אם המתין ג' שנים ימתין עוד שנה, כי שמעתי יש בני אדם כענין זה שתים ושלש שנים. וגם אני הייתי כן עם אשתי ראשונה שתי שנים... והנה האשה תלך ותבקש רופא לאיש ולא תמהר לסתור בניינה כי רחמי שדי מרובים. ושלום יצחק בר אברהם.</w:t>
      </w:r>
      <w:r>
        <w:rPr>
          <w:rtl/>
        </w:rPr>
        <w:t xml:space="preserve">  </w:t>
      </w:r>
    </w:p>
  </w:footnote>
  <w:footnote w:id="2832">
    <w:p w14:paraId="0EF9B172" w14:textId="77777777" w:rsidR="00C97BEF" w:rsidRDefault="00C97BEF" w:rsidP="00C97BEF">
      <w:pPr>
        <w:pStyle w:val="a5"/>
      </w:pPr>
      <w:r>
        <w:rPr>
          <w:rStyle w:val="a7"/>
        </w:rPr>
        <w:footnoteRef/>
      </w:r>
      <w:r>
        <w:rPr>
          <w:rtl/>
        </w:rPr>
        <w:t xml:space="preserve"> </w:t>
      </w:r>
      <w:r>
        <w:rPr>
          <w:rFonts w:cs="Arial"/>
          <w:rtl/>
        </w:rPr>
        <w:t>ואפי' בלא טענה בעינן חוטרא לידי מהני כאן כיון דאינו יכול לקיים העונה, ב"ש (סקי"ח).</w:t>
      </w:r>
    </w:p>
  </w:footnote>
  <w:footnote w:id="2833">
    <w:p w14:paraId="1C19191D" w14:textId="557F8CF2" w:rsidR="00C97BEF" w:rsidRDefault="00C97BEF" w:rsidP="00C97BEF">
      <w:pPr>
        <w:pStyle w:val="a5"/>
      </w:pPr>
      <w:r>
        <w:rPr>
          <w:rStyle w:val="a7"/>
        </w:rPr>
        <w:footnoteRef/>
      </w:r>
      <w:r>
        <w:rPr>
          <w:rtl/>
        </w:rPr>
        <w:t xml:space="preserve"> </w:t>
      </w:r>
      <w:r>
        <w:rPr>
          <w:rFonts w:cs="Arial"/>
          <w:rtl/>
        </w:rPr>
        <w:t xml:space="preserve">ועיין סימן י"ז שם הביא הפלוגתא כשאומרת גרשתני אם היא נאמנת להוציא הכתובה, וכאן סתם ופסק דלא יתן הכתובה, ובאמת דינים הללו שוים, ועיין תוספות סוף נדרים, </w:t>
      </w:r>
      <w:r>
        <w:rPr>
          <w:rFonts w:cs="Arial"/>
          <w:b/>
          <w:bCs/>
          <w:rtl/>
        </w:rPr>
        <w:t>ב"ש</w:t>
      </w:r>
      <w:r>
        <w:rPr>
          <w:rFonts w:cs="Arial"/>
          <w:rtl/>
        </w:rPr>
        <w:t xml:space="preserve"> (סקי"ט). ובביאור רבינו הגר"א (סקמ"א) כ' בזה על דברי הש"ע ולא יתן לה כתובה </w:t>
      </w:r>
      <w:r w:rsidR="000A0F5A">
        <w:rPr>
          <w:rFonts w:cs="Arial"/>
          <w:rtl/>
        </w:rPr>
        <w:t>וז"ל:</w:t>
      </w:r>
      <w:r>
        <w:rPr>
          <w:rFonts w:cs="Arial"/>
          <w:rtl/>
        </w:rPr>
        <w:t xml:space="preserve"> הוא כסברא האחרונה בסי' י"ז ס"ב וי"א דאינה נאמנת לענין כו', אבל כל הפוסקים חולקין בזה כמ"ש שם וכ"כ הרשב"א והריב"ש סי' קכ"ז בהדיא כאן עכ"ל. גם בס' ג"א (מסי' נ"ח עד סימן ס"ה) האריך בזה והביא דעת הרבה פוסקים מאד דס"ל דנאמנת אף להוציא כתובה ונדוני', ומסיק כן לדינ', דבין לענין גרשתני ובין לענין טענת גבורת אנשים נאמנת אף לענין כתובה, זולת כשתובעת כתובה אינה נאמנת כלל בשום ענין כו' ע"ש, </w:t>
      </w:r>
      <w:r>
        <w:rPr>
          <w:rFonts w:cs="Arial"/>
          <w:b/>
          <w:bCs/>
          <w:rtl/>
        </w:rPr>
        <w:t>פת"ש</w:t>
      </w:r>
      <w:r>
        <w:rPr>
          <w:rFonts w:cs="Arial"/>
          <w:rtl/>
        </w:rPr>
        <w:t xml:space="preserve"> (סקט"ז).</w:t>
      </w:r>
    </w:p>
  </w:footnote>
  <w:footnote w:id="2834">
    <w:p w14:paraId="09E537F1" w14:textId="77777777" w:rsidR="00C97BEF" w:rsidRDefault="00C97BEF" w:rsidP="00C97BEF">
      <w:pPr>
        <w:pStyle w:val="a5"/>
      </w:pPr>
      <w:r>
        <w:rPr>
          <w:rStyle w:val="a7"/>
        </w:rPr>
        <w:footnoteRef/>
      </w:r>
      <w:r>
        <w:rPr>
          <w:rtl/>
        </w:rPr>
        <w:t xml:space="preserve"> </w:t>
      </w:r>
      <w:r>
        <w:rPr>
          <w:rFonts w:cs="Arial"/>
          <w:rtl/>
        </w:rPr>
        <w:t>ולענין תוספת כתובה משמע מתשובת הרא"ש שהביא הטור דצריך ליתן לה כיון דמגרש מעצמו, כי דוקא כשכופין אותו לגרש כתב דא"צ ליתן תוספת כתובה, דאדעתה למשקל ולמיפק לא אוסיף לה, כמ"ש בכלל מ"ג סימן ג' ד'. מיהו למ"ש תוס' (ס"פ הע"י ובסוף נדרי') א"צ ליתן לה ת"כ כיון דא"י לבא עליה הוי כנכנסה לחופ' ולא נבעלה דלית לה כתובה כמ"ש בסי' ס'. ואם יכול להתקשות ויכול להכניס עטרה ואין לו כח למרק כתבו תוס' ס"פ הע"י דיש לה ת"כ דיש כאן חיבת ביאה. ותוס' סוף נדרים כתבו דאע"ג דהעראה כגמר ביאה, מכל מקום לענין חיבת ביאה לא הוי ביאה ואין לה ת"כ, ב"ש (סק"כ).</w:t>
      </w:r>
    </w:p>
  </w:footnote>
  <w:footnote w:id="2835">
    <w:p w14:paraId="399FDA30" w14:textId="70C3C22E" w:rsidR="00C97BEF" w:rsidRDefault="00C97BEF" w:rsidP="00C97BEF">
      <w:pPr>
        <w:pStyle w:val="a5"/>
      </w:pPr>
      <w:r>
        <w:rPr>
          <w:rStyle w:val="a7"/>
        </w:rPr>
        <w:footnoteRef/>
      </w:r>
      <w:r>
        <w:rPr>
          <w:rtl/>
        </w:rPr>
        <w:t xml:space="preserve"> </w:t>
      </w:r>
      <w:r>
        <w:rPr>
          <w:rFonts w:cs="Arial"/>
          <w:rtl/>
        </w:rPr>
        <w:t xml:space="preserve">פי' שיש לו גבורות אנשים קצת ויכול לבעול אחרת וזו אינו יכול מחמת שרחמה צר ואילו היה לו ג"א ממש היה יכול לבעול גם את זו, לכך צריך ליתן לזאת הכתובה. ולא מיירי שיש לו ג"א ממש ואינו יכול לבא על זו מחמת שאינה ראויה לביאה דבכה"ג כתבו הרא"ש והטור והש"ע סימן קי"ז ס"ב דאין לה כתובה דכיון שהחסרון הוא מחמת' אין לך מום גדול מזה. וכ"פ בתשובה רש"ך </w:t>
      </w:r>
      <w:r w:rsidR="00696B7C">
        <w:rPr>
          <w:rFonts w:cs="Arial" w:hint="cs"/>
          <w:rtl/>
        </w:rPr>
        <w:t>(</w:t>
      </w:r>
      <w:r>
        <w:rPr>
          <w:rFonts w:cs="Arial"/>
          <w:rtl/>
        </w:rPr>
        <w:t>סי</w:t>
      </w:r>
      <w:r w:rsidR="00696B7C">
        <w:rPr>
          <w:rFonts w:cs="Arial" w:hint="cs"/>
          <w:rtl/>
        </w:rPr>
        <w:t>'</w:t>
      </w:r>
      <w:r>
        <w:rPr>
          <w:rFonts w:cs="Arial"/>
          <w:rtl/>
        </w:rPr>
        <w:t xml:space="preserve"> צו</w:t>
      </w:r>
      <w:r w:rsidR="00696B7C">
        <w:rPr>
          <w:rFonts w:cs="Arial" w:hint="cs"/>
          <w:rtl/>
        </w:rPr>
        <w:t>)</w:t>
      </w:r>
      <w:r>
        <w:rPr>
          <w:rFonts w:cs="Arial"/>
          <w:rtl/>
        </w:rPr>
        <w:t xml:space="preserve"> באשה שהיא סתומה שאין לה כתובה. אלא ודאי כדפי'. והא דכתב ריצב"א והרמ"א לקמן ברחמה צר אין כופין להוציא ומשמע דגם כתובה אינו נותן לה, וכ"ה בתשו' ריצב"א להדי', התם מיירי כשיוכלים לתלות ברכות שניו וחולשתו ובהמשך הזמן יוכל לבא עליה, אבל הכא מיירי שלא ישתנה טבעו, גבורת אנשים (סי' סו, הביאו הפת"ש סקי"ח).</w:t>
      </w:r>
    </w:p>
  </w:footnote>
  <w:footnote w:id="2836">
    <w:p w14:paraId="448241C6" w14:textId="5BBD9B51" w:rsidR="00C97BEF" w:rsidRDefault="00C97BEF" w:rsidP="00C97BEF">
      <w:pPr>
        <w:pStyle w:val="a5"/>
      </w:pPr>
      <w:r>
        <w:rPr>
          <w:rStyle w:val="a7"/>
        </w:rPr>
        <w:footnoteRef/>
      </w:r>
      <w:r>
        <w:rPr>
          <w:rtl/>
        </w:rPr>
        <w:t xml:space="preserve"> </w:t>
      </w:r>
      <w:r>
        <w:rPr>
          <w:rFonts w:cs="Arial"/>
          <w:rtl/>
        </w:rPr>
        <w:t xml:space="preserve">זהו מהמרדכי בשם מהר"ם, ולא הוזכר זה בשום פוסק יותר, ואדרבה כל הפוסקים וכל האחרונים כתבו בסתם נאמנת וקצתם הורו כן הלכה למעשה בדורותיהם. והעתיק שם דברי הר"ל בן חביב </w:t>
      </w:r>
      <w:r w:rsidR="00696B7C">
        <w:rPr>
          <w:rFonts w:cs="Arial" w:hint="cs"/>
          <w:rtl/>
        </w:rPr>
        <w:t>(</w:t>
      </w:r>
      <w:r>
        <w:rPr>
          <w:rFonts w:cs="Arial"/>
          <w:rtl/>
        </w:rPr>
        <w:t>סי</w:t>
      </w:r>
      <w:r w:rsidR="00696B7C">
        <w:rPr>
          <w:rFonts w:cs="Arial" w:hint="cs"/>
          <w:rtl/>
        </w:rPr>
        <w:t>'</w:t>
      </w:r>
      <w:r>
        <w:rPr>
          <w:rFonts w:cs="Arial"/>
          <w:rtl/>
        </w:rPr>
        <w:t xml:space="preserve"> לג</w:t>
      </w:r>
      <w:r w:rsidR="00696B7C">
        <w:rPr>
          <w:rFonts w:cs="Arial" w:hint="cs"/>
          <w:rtl/>
        </w:rPr>
        <w:t>)</w:t>
      </w:r>
      <w:r>
        <w:rPr>
          <w:rFonts w:cs="Arial"/>
          <w:rtl/>
        </w:rPr>
        <w:t xml:space="preserve"> והר"ר יוסף בתשובת רש"ך </w:t>
      </w:r>
      <w:r w:rsidR="00696B7C">
        <w:rPr>
          <w:rFonts w:cs="Arial" w:hint="cs"/>
          <w:rtl/>
        </w:rPr>
        <w:t>(</w:t>
      </w:r>
      <w:r>
        <w:rPr>
          <w:rFonts w:cs="Arial"/>
          <w:rtl/>
        </w:rPr>
        <w:t>סי' קס</w:t>
      </w:r>
      <w:r w:rsidR="00696B7C">
        <w:rPr>
          <w:rFonts w:cs="Arial" w:hint="cs"/>
          <w:rtl/>
        </w:rPr>
        <w:t>)</w:t>
      </w:r>
      <w:r>
        <w:rPr>
          <w:rFonts w:cs="Arial"/>
          <w:rtl/>
        </w:rPr>
        <w:t xml:space="preserve"> ומהרי"ק </w:t>
      </w:r>
      <w:r w:rsidR="00696B7C">
        <w:rPr>
          <w:rFonts w:cs="Arial" w:hint="cs"/>
          <w:rtl/>
        </w:rPr>
        <w:t>(</w:t>
      </w:r>
      <w:r>
        <w:rPr>
          <w:rFonts w:cs="Arial"/>
          <w:rtl/>
        </w:rPr>
        <w:t>שורש עב</w:t>
      </w:r>
      <w:r w:rsidR="00696B7C">
        <w:rPr>
          <w:rFonts w:cs="Arial" w:hint="cs"/>
          <w:rtl/>
        </w:rPr>
        <w:t>)</w:t>
      </w:r>
      <w:r>
        <w:rPr>
          <w:rFonts w:cs="Arial"/>
          <w:rtl/>
        </w:rPr>
        <w:t xml:space="preserve"> ובנימין זאב </w:t>
      </w:r>
      <w:r w:rsidR="00696B7C">
        <w:rPr>
          <w:rFonts w:cs="Arial" w:hint="cs"/>
          <w:rtl/>
        </w:rPr>
        <w:t>(</w:t>
      </w:r>
      <w:r>
        <w:rPr>
          <w:rFonts w:cs="Arial"/>
          <w:rtl/>
        </w:rPr>
        <w:t>סי' קסו</w:t>
      </w:r>
      <w:r w:rsidR="00696B7C">
        <w:rPr>
          <w:rFonts w:cs="Arial" w:hint="cs"/>
          <w:rtl/>
        </w:rPr>
        <w:t>)</w:t>
      </w:r>
      <w:r>
        <w:rPr>
          <w:rFonts w:cs="Arial"/>
          <w:rtl/>
        </w:rPr>
        <w:t xml:space="preserve"> ומהריב"ל </w:t>
      </w:r>
      <w:r w:rsidR="00696B7C">
        <w:rPr>
          <w:rFonts w:cs="Arial" w:hint="cs"/>
          <w:rtl/>
        </w:rPr>
        <w:t>(</w:t>
      </w:r>
      <w:r>
        <w:rPr>
          <w:rFonts w:cs="Arial"/>
          <w:rtl/>
        </w:rPr>
        <w:t>ס"ג סי' ק</w:t>
      </w:r>
      <w:r w:rsidR="00696B7C">
        <w:rPr>
          <w:rFonts w:cs="Arial" w:hint="cs"/>
          <w:rtl/>
        </w:rPr>
        <w:t>א),</w:t>
      </w:r>
      <w:r>
        <w:rPr>
          <w:rFonts w:cs="Arial"/>
          <w:rtl/>
        </w:rPr>
        <w:t xml:space="preserve"> (וכ' שם דממ"ש בא"ח בשם הרמ"ה מביאו ב"י סי' י"ז גבי גרשתני דה"מ בדורות הראשונים כו' אין ראיה דס"ל כמהר"ם די"ל דדוקא בגרשתני החמיר שלא תצא מבעלה בלא גט והוי בניה ממזרים וגם הואיל שאפשר לתקן ע"י שיתן עכשיו גט משא"כ הכא)</w:t>
      </w:r>
      <w:r w:rsidR="00696B7C">
        <w:rPr>
          <w:rFonts w:cs="Arial" w:hint="cs"/>
          <w:rtl/>
        </w:rPr>
        <w:t>.</w:t>
      </w:r>
      <w:r>
        <w:rPr>
          <w:rFonts w:cs="Arial"/>
          <w:rtl/>
        </w:rPr>
        <w:t xml:space="preserve"> ובסוף מסיק לענין דינא דהיכא דאמרה בפירוש 'איני רוצה כתובה יתן לי גט הריני מוחלת לו הכתובה' - נאמנת אף בזה"ז בלי שום אמתלא, דהרי כל הפוסקים חולקים על מהר"ם. וגם מהר"מ יכול להיות דמודה באמרה כן בפירוש. ובפרט לפמ"ש לעיל דאין כופין בטענת ג"א, א"כ ליכא כאן חשש איסור דאוריית'. והיכא דתובעת גט סתם ולא הזכירה כלום מענין הכתובה - נאמנת היכא דאיכא אמתל' כו' ע"ש, גבורת אנשים (סי' סז, הביאו הפת"ש סקי"ט).</w:t>
      </w:r>
    </w:p>
  </w:footnote>
  <w:footnote w:id="2837">
    <w:p w14:paraId="542216B4" w14:textId="77777777" w:rsidR="00C97BEF" w:rsidRDefault="00C97BEF" w:rsidP="00C97BEF">
      <w:pPr>
        <w:pStyle w:val="a5"/>
      </w:pPr>
      <w:r>
        <w:rPr>
          <w:rStyle w:val="a7"/>
        </w:rPr>
        <w:footnoteRef/>
      </w:r>
      <w:r>
        <w:rPr>
          <w:rtl/>
        </w:rPr>
        <w:t xml:space="preserve"> </w:t>
      </w:r>
      <w:r>
        <w:rPr>
          <w:rFonts w:cs="Arial"/>
          <w:rtl/>
        </w:rPr>
        <w:t>כתב בס' ג"א (סי' עא) נראה מדברי הרב דהיינו בתובעת כתובה דאינה נאמנת ואין כופין או שהו' רך בשנים דאין כופין מ"מ אין כופין אותה להתפייס עמו ומשמע לי' הכי מדברי הרשב"א כו' ולפע"ד זה אינו ולא מסתבר כלל לומר כן דכיון דאינה נאמנת א"כ הרי היא מחוייבת לדור עמו כדין אשה עם בעלה. ולא קאמר הרשב"א התם אלא בטוענת אין לו ג"א ולסברתו דס"ל דאין כופין אותו על הגט כו', אבל הרמ"א דס"ל דבטענת ג"א כייפי' ליה ע"כ דקאי אהיכ' דאינה נאמנת ובהא לא איירי הרשב"א כלל וא"כ דברי הרב צ"ע. וגם מ"ש הרב או עד שתשהא י"ש גם זה לא הוזכר ברשב"א כלל כו' עכ"ד וכ"כ עוד בכללי הדיינים שם וז"ל כשתובעת כתובה אינה נאמנת כלל בשום ענין אפילו שהתה עמו עשר שנים ולא ילדה דאמרי' מחמת חמוד ממון אומרת כן וצריכה לדור עמו כשאר אשה עם בעלה עכ"ל</w:t>
      </w:r>
      <w:r>
        <w:rPr>
          <w:rtl/>
        </w:rPr>
        <w:t>, פת"ש (סקכ"א).</w:t>
      </w:r>
    </w:p>
  </w:footnote>
  <w:footnote w:id="2838">
    <w:p w14:paraId="3ACDE60F" w14:textId="77777777" w:rsidR="00C97BEF" w:rsidRDefault="00C97BEF" w:rsidP="00C97BEF">
      <w:pPr>
        <w:pStyle w:val="a5"/>
        <w:rPr>
          <w:rtl/>
        </w:rPr>
      </w:pPr>
      <w:r>
        <w:rPr>
          <w:rStyle w:val="a7"/>
        </w:rPr>
        <w:footnoteRef/>
      </w:r>
      <w:r>
        <w:rPr>
          <w:rtl/>
        </w:rPr>
        <w:t xml:space="preserve"> </w:t>
      </w:r>
      <w:r>
        <w:rPr>
          <w:rFonts w:cs="Arial"/>
          <w:rtl/>
        </w:rPr>
        <w:t>עיין בספר ג"א (סי' כח וסי' עא) שכ' דאין להורות כן למעשה לכוף אלא בבאה מחמת טענה, וגם הרב רמ"א גופיה כ' כן בסתם לקמן סי' קס"ה ס"א גבי חליצה, וא"כ כ"ש גבי גט וכדאיתא בכל הפוסקים ע"ש. ועמ"ש לעיל סק"ז, פת"ש (סקכ"ח).</w:t>
      </w:r>
    </w:p>
  </w:footnote>
  <w:footnote w:id="2839">
    <w:p w14:paraId="07FFB228" w14:textId="7D81CCE0" w:rsidR="00C97BEF" w:rsidRDefault="00C97BEF" w:rsidP="00C97BEF">
      <w:pPr>
        <w:pStyle w:val="a5"/>
      </w:pPr>
      <w:r>
        <w:rPr>
          <w:rStyle w:val="a7"/>
        </w:rPr>
        <w:footnoteRef/>
      </w:r>
      <w:r>
        <w:rPr>
          <w:rtl/>
        </w:rPr>
        <w:t xml:space="preserve"> </w:t>
      </w:r>
      <w:r>
        <w:rPr>
          <w:rFonts w:cs="Arial"/>
          <w:rtl/>
        </w:rPr>
        <w:t xml:space="preserve">עיין בס' ג"א (סי' נד) שכ' דאין כוונת הרמ"א שטוענת שיכול ובכיון אינו שוכב עמה, דהיינו שמורד, דזה אינו, דבזה ודאי דאינה נאמנת וכמ"ש בש"ע ס"ס ע"ז </w:t>
      </w:r>
      <w:r>
        <w:rPr>
          <w:rFonts w:cs="Arial"/>
          <w:sz w:val="16"/>
          <w:szCs w:val="16"/>
          <w:rtl/>
        </w:rPr>
        <w:t xml:space="preserve">(והטעם דבזה ליכא העזה, שהרי אם יקבל עליו שלא ימרוד ותהי' בטוח בו לא תטעון עליו שום דבר. משא"כ בטענת אינו יכול דיש כאן העזה שהרי בטענה זו מוכרח הוא לגרשה שהרי לא יועיל לו שום דבר. וכ"כ בתשו' מהר"ל בן חביב </w:t>
      </w:r>
      <w:r w:rsidR="00696B7C">
        <w:rPr>
          <w:rFonts w:cs="Arial" w:hint="cs"/>
          <w:sz w:val="16"/>
          <w:szCs w:val="16"/>
          <w:rtl/>
        </w:rPr>
        <w:t>[</w:t>
      </w:r>
      <w:r>
        <w:rPr>
          <w:rFonts w:cs="Arial"/>
          <w:sz w:val="16"/>
          <w:szCs w:val="16"/>
          <w:rtl/>
        </w:rPr>
        <w:t>סי' לג</w:t>
      </w:r>
      <w:r w:rsidR="00696B7C">
        <w:rPr>
          <w:rFonts w:cs="Arial" w:hint="cs"/>
          <w:sz w:val="16"/>
          <w:szCs w:val="16"/>
          <w:rtl/>
        </w:rPr>
        <w:t>]</w:t>
      </w:r>
      <w:r>
        <w:rPr>
          <w:rFonts w:cs="Arial"/>
          <w:sz w:val="16"/>
          <w:szCs w:val="16"/>
          <w:rtl/>
        </w:rPr>
        <w:t xml:space="preserve"> כו')</w:t>
      </w:r>
      <w:r>
        <w:rPr>
          <w:rFonts w:cs="Arial"/>
          <w:rtl/>
        </w:rPr>
        <w:t>. רק כוונת הרמ"א שטוענת שאינו שוכב עמה מחמת שאינו יכול או שאינו בקי בדרך ארץ, וכמ"ש התוס' סוף נדרים. והגם דפשט לשון הרמ"א ז"ל לא משמע כן, מ"מ העיקר כמו שאמרנו דאם טוענת שמורד מתשמיש אינה נאמנת כו' ע"ש, פת"ש (סקכ"ג).</w:t>
      </w:r>
    </w:p>
  </w:footnote>
  <w:footnote w:id="2840">
    <w:p w14:paraId="776260CD" w14:textId="092BAC1F" w:rsidR="00C97BEF" w:rsidRDefault="00C97BEF" w:rsidP="00C97BEF">
      <w:pPr>
        <w:pStyle w:val="a5"/>
        <w:rPr>
          <w:rtl/>
        </w:rPr>
      </w:pPr>
      <w:r>
        <w:rPr>
          <w:rStyle w:val="a7"/>
        </w:rPr>
        <w:footnoteRef/>
      </w:r>
      <w:r>
        <w:rPr>
          <w:rtl/>
        </w:rPr>
        <w:t xml:space="preserve"> </w:t>
      </w:r>
      <w:r>
        <w:rPr>
          <w:rFonts w:cs="Arial"/>
          <w:rtl/>
        </w:rPr>
        <w:t xml:space="preserve">ובסימן ח' כתב </w:t>
      </w:r>
      <w:r w:rsidR="000A0F5A">
        <w:rPr>
          <w:rFonts w:cs="Arial"/>
          <w:rtl/>
        </w:rPr>
        <w:t>וז"ל:</w:t>
      </w:r>
      <w:r>
        <w:rPr>
          <w:rFonts w:cs="Arial"/>
          <w:rtl/>
        </w:rPr>
        <w:t xml:space="preserve"> ואם דעתו לעגנה ראוי הוא שתסמוך על מנהגיכם בעת הזאת לכופו ליתן גט לזמן, ב"י.</w:t>
      </w:r>
    </w:p>
  </w:footnote>
  <w:footnote w:id="2841">
    <w:p w14:paraId="14288220" w14:textId="77777777" w:rsidR="00C97BEF" w:rsidRDefault="00C97BEF" w:rsidP="00C97BEF">
      <w:pPr>
        <w:pStyle w:val="a5"/>
      </w:pPr>
      <w:r>
        <w:rPr>
          <w:rStyle w:val="a7"/>
        </w:rPr>
        <w:footnoteRef/>
      </w:r>
      <w:r>
        <w:rPr>
          <w:rtl/>
        </w:rPr>
        <w:t xml:space="preserve"> </w:t>
      </w:r>
      <w:r>
        <w:rPr>
          <w:rFonts w:cs="Arial"/>
          <w:rtl/>
        </w:rPr>
        <w:t xml:space="preserve">וכ"פ הרא"ש בתשובה (כלל מג סי' ד) דהכי קיי"ל דכפייה בשוטים היא, ועיין שם בסימן י"ב. ועיין בתשובות הריב"ש סימן קס"ב וסימן קכ"ז. ועיין בדברי רבינו בס"ס זה (סוף עה.), </w:t>
      </w:r>
      <w:r>
        <w:rPr>
          <w:rFonts w:cs="Arial"/>
          <w:b/>
          <w:bCs/>
          <w:rtl/>
        </w:rPr>
        <w:t>ב"י</w:t>
      </w:r>
      <w:r>
        <w:rPr>
          <w:rFonts w:cs="Arial"/>
          <w:rtl/>
        </w:rPr>
        <w:t xml:space="preserve">. עיין לעיל סי' קל"ד (עמ' קצט) דמותר לכופו ע"י גוים, </w:t>
      </w:r>
      <w:r>
        <w:rPr>
          <w:rFonts w:cs="Arial"/>
          <w:b/>
          <w:bCs/>
          <w:rtl/>
        </w:rPr>
        <w:t>דרכ"מ</w:t>
      </w:r>
      <w:r>
        <w:rPr>
          <w:rFonts w:cs="Arial"/>
          <w:rtl/>
        </w:rPr>
        <w:t xml:space="preserve"> (אות א).</w:t>
      </w:r>
    </w:p>
  </w:footnote>
  <w:footnote w:id="2842">
    <w:p w14:paraId="7114BD98" w14:textId="77777777" w:rsidR="00C97BEF" w:rsidRDefault="00C97BEF" w:rsidP="00C97BEF">
      <w:pPr>
        <w:pStyle w:val="a5"/>
      </w:pPr>
      <w:r>
        <w:rPr>
          <w:rStyle w:val="a7"/>
        </w:rPr>
        <w:footnoteRef/>
      </w:r>
      <w:r>
        <w:rPr>
          <w:rtl/>
        </w:rPr>
        <w:t xml:space="preserve"> </w:t>
      </w:r>
      <w:r>
        <w:rPr>
          <w:rFonts w:cs="Arial"/>
          <w:rtl/>
        </w:rPr>
        <w:t>גבי מתניתין</w:t>
      </w:r>
      <w:r>
        <w:rPr>
          <w:rFonts w:cs="Arial"/>
          <w:sz w:val="16"/>
          <w:szCs w:val="16"/>
          <w:rtl/>
        </w:rPr>
        <w:t xml:space="preserve"> (מוכה שחין בעל פוליפוס המקמץ וכו'}</w:t>
      </w:r>
      <w:r>
        <w:rPr>
          <w:rFonts w:cs="Arial"/>
          <w:rtl/>
        </w:rPr>
        <w:t>, רש"י.</w:t>
      </w:r>
    </w:p>
  </w:footnote>
  <w:footnote w:id="2843">
    <w:p w14:paraId="43BA645C" w14:textId="77777777" w:rsidR="00C97BEF" w:rsidRDefault="00C97BEF" w:rsidP="00C97BEF">
      <w:pPr>
        <w:pStyle w:val="a5"/>
      </w:pPr>
      <w:r>
        <w:rPr>
          <w:rStyle w:val="a7"/>
        </w:rPr>
        <w:footnoteRef/>
      </w:r>
      <w:r>
        <w:rPr>
          <w:rtl/>
        </w:rPr>
        <w:t xml:space="preserve"> </w:t>
      </w:r>
      <w:r>
        <w:rPr>
          <w:rFonts w:cs="Arial"/>
          <w:rtl/>
        </w:rPr>
        <w:t>מקבלנא ליה והוינא בהדיה שבקינן לה, רש"י.</w:t>
      </w:r>
    </w:p>
  </w:footnote>
  <w:footnote w:id="2844">
    <w:p w14:paraId="60A8E5E0" w14:textId="77777777" w:rsidR="00C97BEF" w:rsidRDefault="00C97BEF" w:rsidP="00C97BEF">
      <w:pPr>
        <w:pStyle w:val="a5"/>
      </w:pPr>
      <w:r>
        <w:rPr>
          <w:rStyle w:val="a7"/>
        </w:rPr>
        <w:footnoteRef/>
      </w:r>
      <w:r>
        <w:rPr>
          <w:rtl/>
        </w:rPr>
        <w:t xml:space="preserve"> </w:t>
      </w:r>
      <w:r>
        <w:rPr>
          <w:rFonts w:hint="cs"/>
          <w:rtl/>
        </w:rPr>
        <w:t>היינו ואעפ"כ שנו אותו במשנה.</w:t>
      </w:r>
    </w:p>
  </w:footnote>
  <w:footnote w:id="2845">
    <w:p w14:paraId="4A87B504" w14:textId="77777777" w:rsidR="00C97BEF" w:rsidRDefault="00C97BEF" w:rsidP="00C97BEF">
      <w:pPr>
        <w:pStyle w:val="a5"/>
        <w:rPr>
          <w:rtl/>
        </w:rPr>
      </w:pPr>
      <w:r>
        <w:rPr>
          <w:rStyle w:val="a7"/>
        </w:rPr>
        <w:footnoteRef/>
      </w:r>
      <w:r>
        <w:rPr>
          <w:rtl/>
        </w:rPr>
        <w:t xml:space="preserve"> </w:t>
      </w:r>
      <w:r>
        <w:rPr>
          <w:rFonts w:hint="cs"/>
          <w:rtl/>
        </w:rPr>
        <w:t>במי ששהה עם אשתו עשר שנים ולא נולדו להם ילדים.</w:t>
      </w:r>
    </w:p>
  </w:footnote>
  <w:footnote w:id="2846">
    <w:p w14:paraId="533830D8" w14:textId="77777777" w:rsidR="00C97BEF" w:rsidRDefault="00C97BEF" w:rsidP="00C97BEF">
      <w:pPr>
        <w:pStyle w:val="a5"/>
      </w:pPr>
      <w:r>
        <w:rPr>
          <w:rStyle w:val="a7"/>
        </w:rPr>
        <w:footnoteRef/>
      </w:r>
      <w:r>
        <w:rPr>
          <w:rtl/>
        </w:rPr>
        <w:t xml:space="preserve"> </w:t>
      </w:r>
      <w:r>
        <w:rPr>
          <w:rFonts w:cs="Arial"/>
          <w:rtl/>
        </w:rPr>
        <w:t>וכן כתב נמוק"י פרק הבא על יבמתו (יט:), וכתב שם דיש חולקין... וכתב עוד שם בנמוק"י דאם היו לו כבר בנים מאשה אחרת אין כופין אותו להוציא, מיהו (נמוק"י שם ד"ה גמ') אם היו לו בנים ומתו ונשא אשה אחרת ולא ילדה - מחייבינן ליה להוציאה וצריך לתת לה כתובתה דדילמא הוא לא זכה ליבנות ממנה, דרכ"מ (אות יג).</w:t>
      </w:r>
    </w:p>
  </w:footnote>
  <w:footnote w:id="2847">
    <w:p w14:paraId="2DB6B8DE" w14:textId="480B90FF" w:rsidR="00C97BEF" w:rsidRDefault="00C97BEF" w:rsidP="00C97BEF">
      <w:pPr>
        <w:pStyle w:val="a5"/>
        <w:rPr>
          <w:rtl/>
        </w:rPr>
      </w:pPr>
      <w:r>
        <w:rPr>
          <w:rStyle w:val="a7"/>
        </w:rPr>
        <w:footnoteRef/>
      </w:r>
      <w:r>
        <w:rPr>
          <w:rtl/>
        </w:rPr>
        <w:t xml:space="preserve"> </w:t>
      </w:r>
      <w:r w:rsidR="000A0F5A">
        <w:rPr>
          <w:rFonts w:hint="cs"/>
          <w:rtl/>
        </w:rPr>
        <w:t>וז</w:t>
      </w:r>
      <w:r w:rsidR="000A0F5A">
        <w:rPr>
          <w:rtl/>
        </w:rPr>
        <w:t>"</w:t>
      </w:r>
      <w:r w:rsidR="000A0F5A">
        <w:rPr>
          <w:rFonts w:hint="cs"/>
          <w:rtl/>
        </w:rPr>
        <w:t>ל:</w:t>
      </w:r>
      <w:r>
        <w:rPr>
          <w:rFonts w:cs="Arial"/>
          <w:rtl/>
        </w:rPr>
        <w:t xml:space="preserve"> ונראה דהלכה כרב דאמר אין מעשין אלא לפסולות ורב ושמואל נמי לא פליגי אלא בארץ ישראל ואההיא ברייתא סמכינן בזמן הזה שאנו בח"ל ואנו שוהים טפי מעשר שנים ואין כופין להוציא וכן פי' רבינו אב"ן זקני וכן מצאתי בשם ר"י בר' שמואל וגרסינן בפרק חזקת הבתים דין הוא שנגזר על עצמינו להתאבל על ירושלים שלא לישא אשה ושלא להוליד בנים אלא שאין גוזרין גזירה על הציבור אא"כ רוב הציבור יכולין לעמוד בו הלכך לכל הפחות אין כופין להוציא ואפילו בארץ ישראל חייב ליתן כתובה וגם תנאי כתובתה. אביאסף מ"י.</w:t>
      </w:r>
    </w:p>
  </w:footnote>
  <w:footnote w:id="2848">
    <w:p w14:paraId="55DEF3CA" w14:textId="1C83ED94"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בפ' אף על פי (כתובות סג:) אמר רב אין מעשין אלא לפסולות ושמואל אמר אף נשא אשה ושהה עמה עשרה שנים ונראה לרבינו אבי"ה דהלכה כרב ורב ושמואל לא פליגי בארץ ישראל ואהא ברייתא סמכינן בזמן הזה שאנו בחוצה לארץ ששוהין טפי מעשרה שנים ולא כייפינן להוציא. וכן פירש ראב"ן וכן נמצא בשם ר"י הילכך לכל הפחות אין כופין להוציא. ובארץ ישראל חייב ליתן כתובה ותנאי כתובה עיין בספר אביאסף.</w:t>
      </w:r>
    </w:p>
  </w:footnote>
  <w:footnote w:id="2849">
    <w:p w14:paraId="653B6FBC" w14:textId="77777777" w:rsidR="00C97BEF" w:rsidRDefault="00C97BEF" w:rsidP="00C97BEF">
      <w:pPr>
        <w:pStyle w:val="a5"/>
      </w:pPr>
      <w:r>
        <w:rPr>
          <w:rStyle w:val="a7"/>
        </w:rPr>
        <w:footnoteRef/>
      </w:r>
      <w:r>
        <w:rPr>
          <w:rtl/>
        </w:rPr>
        <w:t xml:space="preserve"> </w:t>
      </w:r>
      <w:r>
        <w:rPr>
          <w:rFonts w:cs="Arial"/>
          <w:rtl/>
        </w:rPr>
        <w:t>כן היא גירסת ההגה"מ, אך המרדכי גרס כאן- ואפילו בארץ ישראל חייב ליתן כתובה וגם תנאי כתובתה</w:t>
      </w:r>
      <w:r>
        <w:rPr>
          <w:rtl/>
        </w:rPr>
        <w:t>.</w:t>
      </w:r>
    </w:p>
  </w:footnote>
  <w:footnote w:id="2850">
    <w:p w14:paraId="343A79F5" w14:textId="77777777" w:rsidR="00C97BEF" w:rsidRDefault="00C97BEF" w:rsidP="00C97BEF">
      <w:pPr>
        <w:pStyle w:val="a5"/>
        <w:rPr>
          <w:rtl/>
        </w:rPr>
      </w:pPr>
      <w:r>
        <w:rPr>
          <w:rStyle w:val="a7"/>
        </w:rPr>
        <w:footnoteRef/>
      </w:r>
      <w:r>
        <w:rPr>
          <w:rtl/>
        </w:rPr>
        <w:t xml:space="preserve"> </w:t>
      </w:r>
      <w:r>
        <w:rPr>
          <w:rFonts w:cs="Arial"/>
          <w:rtl/>
        </w:rPr>
        <w:t>וכן כתב ריב"ש סימן ט"ו דלא ראה שנוהגין לכוף להוציא בכה"ג. ועיין לעיל סי' א (עמ' ד אות ג) כתבתי דברי הריב"ש בארוכה. ועיין שם בסימן א' (עמ' ז דרכי משה אות י בנדפס, אות ט במהדורתנו) אם מותר לישא אחרת, דרכ"מ (אות יג).</w:t>
      </w:r>
    </w:p>
  </w:footnote>
  <w:footnote w:id="2851">
    <w:p w14:paraId="42656CBE" w14:textId="60FD6156" w:rsidR="00C97BEF" w:rsidRDefault="00C97BEF" w:rsidP="00C97BEF">
      <w:pPr>
        <w:pStyle w:val="a5"/>
        <w:rPr>
          <w:rtl/>
        </w:rPr>
      </w:pPr>
      <w:r>
        <w:rPr>
          <w:rStyle w:val="a7"/>
        </w:rPr>
        <w:footnoteRef/>
      </w:r>
      <w:r>
        <w:rPr>
          <w:rtl/>
        </w:rPr>
        <w:t xml:space="preserve"> </w:t>
      </w:r>
      <w:r w:rsidR="00220205">
        <w:rPr>
          <w:rFonts w:hint="cs"/>
          <w:u w:val="single"/>
          <w:rtl/>
        </w:rPr>
        <w:t xml:space="preserve">צל"ע </w:t>
      </w:r>
      <w:r>
        <w:rPr>
          <w:rFonts w:hint="cs"/>
          <w:u w:val="single"/>
          <w:rtl/>
        </w:rPr>
        <w:t>על מסקנה זו</w:t>
      </w:r>
      <w:r w:rsidR="00220205" w:rsidRPr="00220205">
        <w:rPr>
          <w:rFonts w:hint="cs"/>
          <w:u w:val="single"/>
          <w:rtl/>
        </w:rPr>
        <w:t xml:space="preserve"> </w:t>
      </w:r>
      <w:r w:rsidR="00220205">
        <w:rPr>
          <w:rFonts w:hint="cs"/>
          <w:u w:val="single"/>
          <w:rtl/>
        </w:rPr>
        <w:t>מ</w:t>
      </w:r>
      <w:r w:rsidR="00220205">
        <w:rPr>
          <w:rFonts w:hint="cs"/>
          <w:u w:val="single"/>
          <w:rtl/>
        </w:rPr>
        <w:t>כמה קושיות</w:t>
      </w:r>
      <w:r>
        <w:rPr>
          <w:rFonts w:hint="cs"/>
          <w:rtl/>
        </w:rPr>
        <w:t xml:space="preserve">: </w:t>
      </w:r>
    </w:p>
    <w:p w14:paraId="48098C77" w14:textId="77777777" w:rsidR="00C97BEF" w:rsidRDefault="00C97BEF" w:rsidP="006A458D">
      <w:pPr>
        <w:pStyle w:val="a5"/>
        <w:numPr>
          <w:ilvl w:val="0"/>
          <w:numId w:val="128"/>
        </w:numPr>
        <w:rPr>
          <w:rtl/>
        </w:rPr>
      </w:pPr>
      <w:r>
        <w:rPr>
          <w:rtl/>
        </w:rPr>
        <w:t xml:space="preserve">בגמרא נאמר זה על זמן שעלתה מלכות הרשעה, ולא תלו הדבר בחורבן הבית. אם כן אין הווה אמינא לומר כזה דבר בזמן שהמלכות לא מונעת ברית מילה. ועוד שברייתא זו ודאי אינה להלכה, </w:t>
      </w:r>
      <w:r>
        <w:rPr>
          <w:rFonts w:cs="Arial"/>
          <w:rtl/>
        </w:rPr>
        <w:t>שהרי היא נסתרת מדברי הגמרא בברכות (י.) לגבי חזקיה המלך, ובסוטה (יב.) לגבי מרים ועמרם.</w:t>
      </w:r>
    </w:p>
    <w:p w14:paraId="315E8A19" w14:textId="77777777" w:rsidR="00C97BEF" w:rsidRDefault="00C97BEF" w:rsidP="006A458D">
      <w:pPr>
        <w:pStyle w:val="a5"/>
        <w:numPr>
          <w:ilvl w:val="0"/>
          <w:numId w:val="128"/>
        </w:numPr>
      </w:pPr>
      <w:r>
        <w:rPr>
          <w:rtl/>
        </w:rPr>
        <w:t>בדברי הראב"ן, שנראה שהוא מקור השיטה, לא דיבר כלל על ארץ ישראל. ומפורש באגודה שדינו של הראב"ן לא שייך בא"י.</w:t>
      </w:r>
    </w:p>
    <w:p w14:paraId="12E4A4E5" w14:textId="77777777" w:rsidR="00C97BEF" w:rsidRDefault="00C97BEF" w:rsidP="006A458D">
      <w:pPr>
        <w:pStyle w:val="a5"/>
        <w:numPr>
          <w:ilvl w:val="0"/>
          <w:numId w:val="128"/>
        </w:numPr>
      </w:pPr>
      <w:r>
        <w:rPr>
          <w:rtl/>
        </w:rPr>
        <w:t>בדברי הראבי"ה יש מספר גרסאות. ונראה שגירסת ההגה"מ (שאותה הביא הדרכ"מ) היא הכי חסרה. מגירסת המרדכי נראה שהדין כן רק בחו"ל והמילה 'ואפילו' צריכה ביאור כי לכאורה אין לה שייכות לשם בשום עניין.</w:t>
      </w:r>
      <w:r>
        <w:rPr>
          <w:rFonts w:cs="Arial"/>
          <w:rtl/>
        </w:rPr>
        <w:t xml:space="preserve"> ובאגודה </w:t>
      </w:r>
      <w:r>
        <w:rPr>
          <w:rFonts w:cs="Arial"/>
          <w:sz w:val="16"/>
          <w:szCs w:val="16"/>
          <w:rtl/>
        </w:rPr>
        <w:t>(יבמות פ"ו)</w:t>
      </w:r>
      <w:r>
        <w:rPr>
          <w:rFonts w:cs="Arial"/>
          <w:rtl/>
        </w:rPr>
        <w:t xml:space="preserve"> העתיק גם את הנ"ל אך בשינוי לשון, דבר המראה שהייתה לפניו גרסא אחרת או שלא הסכים להוספה של הראבי"ה על דברי הראב"ן</w:t>
      </w:r>
      <w:r>
        <w:rPr>
          <w:rtl/>
        </w:rPr>
        <w:t>.</w:t>
      </w:r>
    </w:p>
  </w:footnote>
  <w:footnote w:id="2852">
    <w:p w14:paraId="6896A76D" w14:textId="77777777" w:rsidR="00C97BEF" w:rsidRDefault="00C97BEF" w:rsidP="00C97BEF">
      <w:pPr>
        <w:pStyle w:val="a5"/>
        <w:rPr>
          <w:rtl/>
        </w:rPr>
      </w:pPr>
      <w:r>
        <w:rPr>
          <w:rStyle w:val="a7"/>
        </w:rPr>
        <w:footnoteRef/>
      </w:r>
      <w:r>
        <w:rPr>
          <w:rtl/>
        </w:rPr>
        <w:t xml:space="preserve"> </w:t>
      </w:r>
      <w:r>
        <w:rPr>
          <w:rFonts w:cs="Arial"/>
          <w:rtl/>
        </w:rPr>
        <w:t xml:space="preserve">נשמע מזה לפי מנהג שלנו אז טעם השני לא שייך כלל. ואף לטעם הראשון מ"מ האיסור במקומו עומד, אלא חכמי הדור אין כופין, מ"מ האיסור חל על כל אדם. לכן נראה אפילו בזמן הזה דאיכא חר"ג מ"מ אם לא ילדה י' שנים - יכול לגרשה בע"כ. ובכל אלו נראה אפי' הורה חכם להיתר ונשאת - כופין להוציא </w:t>
      </w:r>
      <w:r>
        <w:rPr>
          <w:rFonts w:cs="Arial"/>
          <w:sz w:val="16"/>
          <w:szCs w:val="16"/>
          <w:rtl/>
        </w:rPr>
        <w:t>(ול"ד למ"ש בסי' י"ז סעיף ל"ד בשם תשובת הרא"ש במים שאל"ס והור' חכם להיתר לא תצא, משום דשם קי"ל רוב' למית' לכן מקילין שם, אבל באיסורים אלו אין היתר כלל)</w:t>
      </w:r>
      <w:r>
        <w:rPr>
          <w:rFonts w:cs="Arial"/>
          <w:rtl/>
        </w:rPr>
        <w:t xml:space="preserve">, </w:t>
      </w:r>
      <w:r>
        <w:rPr>
          <w:rFonts w:cs="Arial"/>
          <w:b/>
          <w:bCs/>
          <w:rtl/>
        </w:rPr>
        <w:t>ב"ש</w:t>
      </w:r>
      <w:r>
        <w:rPr>
          <w:rFonts w:cs="Arial"/>
          <w:rtl/>
        </w:rPr>
        <w:t xml:space="preserve"> (סקל"ה). הנה כ"כ גם לעיל סי' א' ס"ג. עיין בתשו' שב יעקב סי' א' שחולק עליו... ובס' בית מאיר כ' עליו</w:t>
      </w:r>
      <w:r>
        <w:rPr>
          <w:rFonts w:cs="Arial"/>
          <w:sz w:val="16"/>
          <w:szCs w:val="16"/>
          <w:rtl/>
        </w:rPr>
        <w:t xml:space="preserve"> {על תשו' שב יעקב}</w:t>
      </w:r>
      <w:r>
        <w:rPr>
          <w:rFonts w:cs="Arial"/>
          <w:rtl/>
        </w:rPr>
        <w:t xml:space="preserve"> ואינו מוכרח כ"כ... ועיין בתשו' נו"ב (קמא סי' א, ובנו"ב תניינא סי' קב) מבואר שדעתו דאין להתיר לגרש בע"כ, ע"ש. ועמ"ש לעיל סקכ"ה ,וגם בסי' א' סקט"ז. ועיין בשו"ת תורת יקותיאל (סי' ה) האריך בזה ודעתו ג"כ דאין כופין אותה ודלא כב"ש ע"ש (ועיין בספרו שו"ת ושב הכהן סי' נה)... וע' בתשו' מעיל צדקה (סי' לג) שנשאל ג"כ על נידון זה והאריך לבאר דודאי מעיקר הדין מן הראוי שיכפו הב"ד בשוטים לכל שוהה עם אשתו עשר שנים ולא ילדה שיוציאנה ויתן לה הכתובה וכל הסברות שכתבו הפוסקים שלא לכוף בזה אין בהם כדי סמיכה (גם בביאור רבינו הגר"א ז"ל לעיל סי' א' סק"י כתב אבל לדינא כל אילו טענות דחויות הן כו' ע"ש) אלא שאין לנו כח להעמיד משפטי הדת על תלם בכל דבר מפני בעלי זרוע. ויש שמחה שאנו מוצאים סמך להניח אותן בלי כפי'. אבל הבעל בעצמו עכ"פ מחוייב לעשות אשר בכחו ולעמוד על נפשו כו' אמנם אם אין רצונה בשום אופן לקבל גט ברצונה אם רשאי ליתן לה גט בע"כ או לישא אחרת עליה הנה דינים אילו מבואר בדברי ראשונים ואחרונים אם תיקן רגמ"ה במקום מצוה או לא כו' אך לדעתי במדינות אלו שני דרכים אלו לא טובים בעיני האומות ויש חששות בזה ע"כ אין צורך להאריך בזה אך בענין אם רשאי לכופה במניעת שאר כסות ועונה נ"ל דרשאי לכופה בכך כו' ופשיטא דאין כח ביד שום ב"ד לכופו על זאת המניעה דיכול לומר קים לי כהפוסקים דס"ל דבמקום מצוה לא תיקן כלל כו' וטב ליה למיעבד הכי בלי פקפוק ע"ש, </w:t>
      </w:r>
      <w:r>
        <w:rPr>
          <w:rFonts w:cs="Arial"/>
          <w:b/>
          <w:bCs/>
          <w:rtl/>
        </w:rPr>
        <w:t>פת"ש</w:t>
      </w:r>
      <w:r>
        <w:rPr>
          <w:rFonts w:cs="Arial"/>
          <w:rtl/>
        </w:rPr>
        <w:t xml:space="preserve"> (סקכ"ט).</w:t>
      </w:r>
    </w:p>
  </w:footnote>
  <w:footnote w:id="2853">
    <w:p w14:paraId="76A1F050" w14:textId="77777777" w:rsidR="00C97BEF" w:rsidRDefault="00C97BEF" w:rsidP="00C97BEF">
      <w:pPr>
        <w:pStyle w:val="a5"/>
      </w:pPr>
      <w:r>
        <w:rPr>
          <w:rStyle w:val="a7"/>
        </w:rPr>
        <w:footnoteRef/>
      </w:r>
      <w:r>
        <w:rPr>
          <w:rtl/>
        </w:rPr>
        <w:t xml:space="preserve"> </w:t>
      </w:r>
      <w:r>
        <w:rPr>
          <w:rFonts w:cs="Arial"/>
          <w:rtl/>
        </w:rPr>
        <w:t>למ"ש לעיל לרוב הפוסקים אם לא אמרה שהוא אינו י"כ מ"מ חייב ליתן לה הכתובה אבל אם הוא טוען ברי דהיא פולט' הזרע או כיוצא בזה דהמניע' ממנה והיא א"י אם הוא י"כ אין לה כתובה ודינה כאיילנות כמ"ש ברמב"ם שם אפילו אם הוא רוצה לגרשה וכן הוא לשיטות הרי"ף הוא אמר מינה קאי על מתני' דב"ד כופין אותו לגרש ומ"מ אם אמר מינה נאמן אא"כ דהיא אומרת דהוא אינו י"כ וכן הוא בהרא"ש ולא כפרישה ס"ק מ"א, ולפי משמעות דברי המחבר מ"ש בסעיף ו' פוסק כרמב"ם קשה איך כתב כאן סתם דיוציא ויתן כתובה דהא לרמב"ם כל שהי' אינו אומר' ברי דהמניע' ממנו אין לה כתובה, ב"ש (סקכ"ב).</w:t>
      </w:r>
    </w:p>
  </w:footnote>
  <w:footnote w:id="2854">
    <w:p w14:paraId="3D8D2699" w14:textId="77777777" w:rsidR="00C97BEF" w:rsidRDefault="00C97BEF" w:rsidP="00C97BEF">
      <w:pPr>
        <w:pStyle w:val="a5"/>
      </w:pPr>
      <w:r>
        <w:rPr>
          <w:rStyle w:val="a7"/>
        </w:rPr>
        <w:footnoteRef/>
      </w:r>
      <w:r>
        <w:rPr>
          <w:rtl/>
        </w:rPr>
        <w:t xml:space="preserve"> </w:t>
      </w:r>
      <w:r>
        <w:rPr>
          <w:rFonts w:cs="Arial"/>
          <w:rtl/>
        </w:rPr>
        <w:t xml:space="preserve">היינו כשהיא ראוי' עוד להוליד אבל כשהיא זקנה כופין להוציא, </w:t>
      </w:r>
      <w:r>
        <w:rPr>
          <w:rFonts w:cs="Arial"/>
          <w:b/>
          <w:bCs/>
          <w:rtl/>
        </w:rPr>
        <w:t>ב"ש</w:t>
      </w:r>
      <w:r>
        <w:rPr>
          <w:rFonts w:cs="Arial"/>
          <w:rtl/>
        </w:rPr>
        <w:t xml:space="preserve"> (סקכ"ד). ועיין בתשו' מעיל צדקה (סי' לג) שכ' הגם כי מדברי הריב"ש נראה כן אבל מדברי הנ"י דלא חילק בכך אין נראה כן. ועוד כיון דאית להו להנ"י ושאר מפרשים דעל שיש לו בן אחד לא תנן במתני', מנלן שוב לחדש מלבינו, וכן ראינו מעולם אנשי השם שלא גירשו נשותיהם הזקינות אף שאין להם כ"א בן א' או בת אחת כו' ע"ש שהאריך בזה בדברים נכונים...</w:t>
      </w:r>
      <w:r>
        <w:rPr>
          <w:rtl/>
        </w:rPr>
        <w:t>,</w:t>
      </w:r>
      <w:r>
        <w:rPr>
          <w:b/>
          <w:bCs/>
          <w:rtl/>
        </w:rPr>
        <w:t xml:space="preserve"> פת"ש </w:t>
      </w:r>
      <w:r>
        <w:rPr>
          <w:rtl/>
        </w:rPr>
        <w:t>(סקכ"ו).</w:t>
      </w:r>
    </w:p>
  </w:footnote>
  <w:footnote w:id="2855">
    <w:p w14:paraId="6B0E8708" w14:textId="77777777" w:rsidR="00C97BEF" w:rsidRDefault="00C97BEF" w:rsidP="00C97BEF">
      <w:pPr>
        <w:pStyle w:val="a5"/>
      </w:pPr>
      <w:r>
        <w:rPr>
          <w:rStyle w:val="a7"/>
        </w:rPr>
        <w:footnoteRef/>
      </w:r>
      <w:r>
        <w:rPr>
          <w:rtl/>
        </w:rPr>
        <w:t xml:space="preserve"> </w:t>
      </w:r>
      <w:r>
        <w:rPr>
          <w:rFonts w:hint="cs"/>
          <w:rtl/>
        </w:rPr>
        <w:t xml:space="preserve">ועיין שם (אבהע"ז סי' א ס"ג) שכתב הגר"א (סק"י) </w:t>
      </w:r>
      <w:r>
        <w:rPr>
          <w:rFonts w:cs="Arial"/>
          <w:rtl/>
        </w:rPr>
        <w:t xml:space="preserve">שלדינא כל אלו </w:t>
      </w:r>
      <w:r>
        <w:rPr>
          <w:rFonts w:cs="Arial"/>
          <w:sz w:val="16"/>
          <w:szCs w:val="16"/>
          <w:rtl/>
        </w:rPr>
        <w:t xml:space="preserve">{ההוכחות של ראבי"ה שהביא המרדכי} </w:t>
      </w:r>
      <w:r>
        <w:rPr>
          <w:rFonts w:cs="Arial"/>
          <w:rtl/>
        </w:rPr>
        <w:t>- טענות דחויות הן, דקימ"ל כשמואל כמש"ל סי' קנ"ד, וכן מההיא דפ' הבע"י כבר דחאה הרא"ש שם, וכן ההיא דספ"ג דב"ב כבר כתבו תוס' שם תימא הא כתיב פרו ורבו ושמא על אותן כו'. ועיין בע"י שם הגמ' והתוס'. וכ"ז ג"כ בגזירת המלכות דוקא. עכ"ל הגר"א.</w:t>
      </w:r>
    </w:p>
  </w:footnote>
  <w:footnote w:id="2856">
    <w:p w14:paraId="275F3ABD" w14:textId="77777777" w:rsidR="00C97BEF" w:rsidRDefault="00C97BEF" w:rsidP="00C97BEF">
      <w:pPr>
        <w:pStyle w:val="a5"/>
      </w:pPr>
      <w:r>
        <w:rPr>
          <w:rStyle w:val="a7"/>
        </w:rPr>
        <w:footnoteRef/>
      </w:r>
      <w:r>
        <w:rPr>
          <w:rtl/>
        </w:rPr>
        <w:t xml:space="preserve"> </w:t>
      </w:r>
      <w:r>
        <w:rPr>
          <w:rFonts w:hint="cs"/>
          <w:b/>
          <w:bCs/>
          <w:rtl/>
        </w:rPr>
        <w:t>בראשית (טז ג):</w:t>
      </w:r>
      <w:r>
        <w:rPr>
          <w:rFonts w:hint="cs"/>
          <w:rtl/>
        </w:rPr>
        <w:t xml:space="preserve"> </w:t>
      </w:r>
      <w:r>
        <w:rPr>
          <w:rFonts w:cs="Arial"/>
          <w:rtl/>
        </w:rPr>
        <w:t>וַתִּקַּח שָׂרַי אֵשֶׁת אַבְרָם אֶת הָגָר הַמִּצְרִית שִׁפְחָתָהּ מִקֵּץ עֶשֶׂר שָׁנִים לְשֶׁבֶת אַבְרָם בְּאֶרֶץ כְּנָעַן וַתִּתֵּן אֹתָהּ לְאַבְרָם אִישָׁהּ לוֹ לְאִשָּׁה:</w:t>
      </w:r>
    </w:p>
  </w:footnote>
  <w:footnote w:id="2857">
    <w:p w14:paraId="0B5D2FD1" w14:textId="449E4131"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cs="Arial"/>
          <w:rtl/>
        </w:rPr>
        <w:t xml:space="preserve"> וכבר טעו בה גם כן מן המפרשים טעות אחרת, שאמרו שאין דין היושב בחוצה לארץ להוציא האשה ששהתה עמו עשר שנים ולא ילדה ולא שישא אחרת. ואין הענין כן, אבל הכוונה לומר שאם היה אדם עם אשתו בחוצה לארץ חמש או עשר שנים ובאו לארץ ישראל, שנותנין להם זמן עשר שנים מעת ביאתם לארץ אולי בזכות הארץ יבנו. וכן עשו אברהם ושרה, מנו מעת בואם שם.</w:t>
      </w:r>
    </w:p>
  </w:footnote>
  <w:footnote w:id="2858">
    <w:p w14:paraId="11001F86" w14:textId="77777777" w:rsidR="00C97BEF" w:rsidRDefault="00C97BEF" w:rsidP="00C97BEF">
      <w:pPr>
        <w:pStyle w:val="a5"/>
      </w:pPr>
      <w:r>
        <w:rPr>
          <w:rStyle w:val="a7"/>
        </w:rPr>
        <w:footnoteRef/>
      </w:r>
      <w:r>
        <w:rPr>
          <w:rtl/>
        </w:rPr>
        <w:t xml:space="preserve"> </w:t>
      </w:r>
      <w:r>
        <w:rPr>
          <w:rFonts w:cs="Arial"/>
          <w:rtl/>
        </w:rPr>
        <w:t>כאן בעינן ג"פ משום שהרבה נשים מפילות בתחלת עיבורן, נמוק"י..., ב"ש (סקכ"ז).</w:t>
      </w:r>
    </w:p>
  </w:footnote>
  <w:footnote w:id="2859">
    <w:p w14:paraId="4CC60CCE" w14:textId="77777777" w:rsidR="00C97BEF" w:rsidRDefault="00C97BEF" w:rsidP="00C97BEF">
      <w:pPr>
        <w:pStyle w:val="a5"/>
      </w:pPr>
      <w:r>
        <w:rPr>
          <w:rStyle w:val="a7"/>
        </w:rPr>
        <w:footnoteRef/>
      </w:r>
      <w:r>
        <w:rPr>
          <w:rtl/>
        </w:rPr>
        <w:t xml:space="preserve"> </w:t>
      </w:r>
      <w:r>
        <w:rPr>
          <w:rFonts w:cs="Arial"/>
          <w:rtl/>
        </w:rPr>
        <w:t>משום דאמרינן שמא לא זכה להבנות ממנה. ולרמב"ם דס"ל דהיא צריכה לטעון ברי שהוא אינו יורה כחץ, דאל"כ אוקמ' הממון בחזקת הבעל, וכשאומרת שהוא אינו יורה כחץ אז אמרינן הוא לא זכה להבנות, כן ה"נ אמרינן הוא לא זכה להבנות, ב"ש (סקכ"ח).</w:t>
      </w:r>
    </w:p>
  </w:footnote>
  <w:footnote w:id="2860">
    <w:p w14:paraId="64E60C5B" w14:textId="77777777" w:rsidR="00C97BEF" w:rsidRDefault="00C97BEF" w:rsidP="00C97BEF">
      <w:pPr>
        <w:pStyle w:val="a5"/>
      </w:pPr>
      <w:r>
        <w:rPr>
          <w:rStyle w:val="a7"/>
        </w:rPr>
        <w:footnoteRef/>
      </w:r>
      <w:r>
        <w:rPr>
          <w:rtl/>
        </w:rPr>
        <w:t xml:space="preserve"> </w:t>
      </w:r>
      <w:r>
        <w:rPr>
          <w:rFonts w:cs="Arial"/>
          <w:rtl/>
        </w:rPr>
        <w:t>כשאנו באין לכופו להוציא הוא אומר הפילה בתוך עשר ועדיין אין זמן להוציא דתנן מונה משעה שהפילה, רש"י.</w:t>
      </w:r>
    </w:p>
  </w:footnote>
  <w:footnote w:id="2861">
    <w:p w14:paraId="6874F0DF" w14:textId="77777777" w:rsidR="00C97BEF" w:rsidRDefault="00C97BEF" w:rsidP="00C97BEF">
      <w:pPr>
        <w:pStyle w:val="a5"/>
      </w:pPr>
      <w:r>
        <w:rPr>
          <w:rStyle w:val="a7"/>
        </w:rPr>
        <w:footnoteRef/>
      </w:r>
      <w:r>
        <w:rPr>
          <w:rtl/>
        </w:rPr>
        <w:t xml:space="preserve"> </w:t>
      </w:r>
      <w:r>
        <w:rPr>
          <w:rFonts w:cs="Arial"/>
          <w:rtl/>
        </w:rPr>
        <w:t>אלא עקרה אני</w:t>
      </w:r>
      <w:r>
        <w:rPr>
          <w:rtl/>
        </w:rPr>
        <w:t>, רש"י.</w:t>
      </w:r>
    </w:p>
  </w:footnote>
  <w:footnote w:id="2862">
    <w:p w14:paraId="694997D7" w14:textId="77777777" w:rsidR="00C97BEF" w:rsidRDefault="00C97BEF" w:rsidP="00C97BEF">
      <w:pPr>
        <w:pStyle w:val="a5"/>
        <w:rPr>
          <w:rtl/>
        </w:rPr>
      </w:pPr>
      <w:r>
        <w:rPr>
          <w:rStyle w:val="a7"/>
        </w:rPr>
        <w:footnoteRef/>
      </w:r>
      <w:r>
        <w:rPr>
          <w:rtl/>
        </w:rPr>
        <w:t xml:space="preserve"> </w:t>
      </w:r>
      <w:r>
        <w:rPr>
          <w:rFonts w:cs="Arial"/>
          <w:rtl/>
        </w:rPr>
        <w:t>היינו כשאין חשש דעיניה נתנה באחר, כגון שהב"ד כפו אותו לגרש רק הוא אמר שהפילה תוך י' שנים, כ"כ הנמוק"י. ואיני יודע מה חשש איכא הכא, דהא אחר י' שנים הוא. ואפשר דס"ל אפי' אחר י' שנים אכתי איכא חשש שמא נתנה עיניה באחר אא"כ דאיכא עשרה מיום שהיה בו חסרון זה ושתקה י' שנים. אבל בכה"ג אפשר דהפילה תוך י' שנים, א"כ נתעברה ממנו תוך י' שנים, מש"ה כתב דהב"ד כפו אותו והיא לא תבעה הגט. גם י"ל דכיון דהיא מחזקת לנפשה לעקרה י"ל יותר שמא עיני' נתנה באחר אפי' אם הוא אחר י' שנים, ב"ש (סקכ"ט).</w:t>
      </w:r>
    </w:p>
  </w:footnote>
  <w:footnote w:id="2863">
    <w:p w14:paraId="47530479" w14:textId="77777777" w:rsidR="00C97BEF" w:rsidRDefault="00C97BEF" w:rsidP="00C97BEF">
      <w:pPr>
        <w:pStyle w:val="a5"/>
      </w:pPr>
      <w:r>
        <w:rPr>
          <w:rStyle w:val="a7"/>
        </w:rPr>
        <w:footnoteRef/>
      </w:r>
      <w:r>
        <w:rPr>
          <w:rtl/>
        </w:rPr>
        <w:t xml:space="preserve"> </w:t>
      </w:r>
      <w:r>
        <w:rPr>
          <w:rFonts w:cs="Arial"/>
          <w:rtl/>
        </w:rPr>
        <w:t>כיון דיש כאן טענות ברי מה שהוא טוען מכחיש אותה אע"ג דאין טענתה על הכתובה, מ"מ לפי דעתו אין זמן הפרעון השתא, דעדיין לא עברו י' שנים שלא הולידה, והוי כלוה הטוען דעדיין לא הגיע הז"פ כמ"ש בחו"מ סימן ע"ג. ועיין במגיד ובכ"מ דאע"ג דחז"ל האמינו אותה מטעם דלא מחזיקה לנפשה לעקרה מ"מ צריכה לישבע היסת, ב"ש (סקל"א).</w:t>
      </w:r>
    </w:p>
  </w:footnote>
  <w:footnote w:id="2864">
    <w:p w14:paraId="56DF68FA" w14:textId="77777777" w:rsidR="00C97BEF" w:rsidRDefault="00C97BEF" w:rsidP="00C97BEF">
      <w:pPr>
        <w:pStyle w:val="a5"/>
      </w:pPr>
      <w:r>
        <w:rPr>
          <w:rStyle w:val="a7"/>
        </w:rPr>
        <w:footnoteRef/>
      </w:r>
      <w:r>
        <w:rPr>
          <w:rtl/>
        </w:rPr>
        <w:t xml:space="preserve"> </w:t>
      </w:r>
      <w:r>
        <w:rPr>
          <w:rFonts w:cs="Arial"/>
          <w:rtl/>
        </w:rPr>
        <w:t>שאלתי מרב יוסף אם הלכה כרבי ואמר לי הלכה ופעם אחרת שאלתיו אם הלכה כרשב"ג ואמר לי הלכה וכמדומה אני ששחק בי, רש"י.</w:t>
      </w:r>
    </w:p>
  </w:footnote>
  <w:footnote w:id="2865">
    <w:p w14:paraId="53CB228D" w14:textId="77777777" w:rsidR="00C97BEF" w:rsidRDefault="00C97BEF" w:rsidP="00C97BEF">
      <w:pPr>
        <w:pStyle w:val="a5"/>
      </w:pPr>
      <w:r>
        <w:rPr>
          <w:rStyle w:val="a7"/>
        </w:rPr>
        <w:footnoteRef/>
      </w:r>
      <w:r>
        <w:rPr>
          <w:rtl/>
        </w:rPr>
        <w:t xml:space="preserve"> </w:t>
      </w:r>
      <w:r>
        <w:rPr>
          <w:rFonts w:cs="Arial"/>
          <w:rtl/>
        </w:rPr>
        <w:t>לא שיחק בך סתומות של משנה הן יש שסתמה כרבן שמעון בן גמליאל ויש שסתמה כרבי דאיכא מילתא דמחזקינן לה בתרי זימני ואיכא מילתא דבעינן תלתא זימני ומשום הכי פשט לך כמר וכמר כסתומים, רש"י.</w:t>
      </w:r>
    </w:p>
  </w:footnote>
  <w:footnote w:id="2866">
    <w:p w14:paraId="32F94BFF" w14:textId="77777777" w:rsidR="00C97BEF" w:rsidRDefault="00C97BEF" w:rsidP="00C97BEF">
      <w:pPr>
        <w:pStyle w:val="a5"/>
      </w:pPr>
      <w:r>
        <w:rPr>
          <w:rStyle w:val="a7"/>
        </w:rPr>
        <w:footnoteRef/>
      </w:r>
      <w:r>
        <w:rPr>
          <w:rtl/>
        </w:rPr>
        <w:t xml:space="preserve"> </w:t>
      </w:r>
      <w:r>
        <w:rPr>
          <w:rFonts w:cs="Arial"/>
          <w:rtl/>
        </w:rPr>
        <w:t>דסתם לן תנא דידן כרבי דקתני רשאי השני שני אין שלישי לא, רש"י (ד"ה נישואין הא דאמרן).</w:t>
      </w:r>
    </w:p>
  </w:footnote>
  <w:footnote w:id="2867">
    <w:p w14:paraId="20E54823" w14:textId="77777777" w:rsidR="00C97BEF" w:rsidRDefault="00C97BEF" w:rsidP="00C97BEF">
      <w:pPr>
        <w:pStyle w:val="a5"/>
      </w:pPr>
      <w:r>
        <w:rPr>
          <w:rStyle w:val="a7"/>
        </w:rPr>
        <w:footnoteRef/>
      </w:r>
      <w:r>
        <w:rPr>
          <w:rtl/>
        </w:rPr>
        <w:t xml:space="preserve"> </w:t>
      </w:r>
      <w:r>
        <w:rPr>
          <w:rFonts w:cs="Arial"/>
          <w:rtl/>
        </w:rPr>
        <w:t>דקי"ל בנישואין כרבי שני פעמים הוי חזקה. אבל לענין ממון הלכה כרשב"ג דלא הוי חזקה עד ג"פ, מש"ה אית לה כתובה מן השני, כ"כ תוספות..., ב"ש (סקל"ב).</w:t>
      </w:r>
    </w:p>
  </w:footnote>
  <w:footnote w:id="2868">
    <w:p w14:paraId="170D19AB" w14:textId="77777777" w:rsidR="00C97BEF" w:rsidRDefault="00C97BEF" w:rsidP="00C97BEF">
      <w:pPr>
        <w:pStyle w:val="a5"/>
      </w:pPr>
      <w:r>
        <w:rPr>
          <w:rStyle w:val="a7"/>
        </w:rPr>
        <w:footnoteRef/>
      </w:r>
      <w:r>
        <w:rPr>
          <w:rtl/>
        </w:rPr>
        <w:t xml:space="preserve"> </w:t>
      </w:r>
      <w:r>
        <w:rPr>
          <w:rFonts w:cs="Arial"/>
          <w:rtl/>
        </w:rPr>
        <w:t>היינו תצא מיד אפילו הכיר בה, דהא אסורה לו כשלא קיים פו"ר ואין לו אשה אחרת. אלא לענין ממון יש לחלק כמ"ש תוס', אם הכיר בה - צריך ליתן לה הכתובה, ואם לא הכיר בה - הוי כמקח טעות, מש"ה אין לה כתובה אפילו דלא שהה עם הג' י' שנים ואכתי לא הוחזק ג"פ. ואם נשאת למי שקיים פ"ו או שיש לו אשה אחרת משמע דצריך ליתן לה הכתובה אפי' לא הכיר, ולא אמר מ"ט הוא, ב"ש (סקל"ג).</w:t>
      </w:r>
    </w:p>
  </w:footnote>
  <w:footnote w:id="2869">
    <w:p w14:paraId="6C9E7C60" w14:textId="77777777" w:rsidR="00C97BEF" w:rsidRDefault="00C97BEF" w:rsidP="00C97BEF">
      <w:pPr>
        <w:pStyle w:val="a5"/>
      </w:pPr>
      <w:r>
        <w:rPr>
          <w:rStyle w:val="a7"/>
        </w:rPr>
        <w:footnoteRef/>
      </w:r>
      <w:r>
        <w:rPr>
          <w:rtl/>
        </w:rPr>
        <w:t xml:space="preserve"> </w:t>
      </w:r>
      <w:r>
        <w:rPr>
          <w:rFonts w:cs="Arial"/>
          <w:rtl/>
        </w:rPr>
        <w:t xml:space="preserve">משום דאמרי השתא היא כחשי מיהו טענה זו לא מהני להוציא ממון אלא מחמת טענה זו לא תחזור מה שגבתה מראשון ומשני כ"כ תוס' והרא"ש והטור. מיהו הנמוק"י כתב בשם כמה פוסקים אפי' לא גבתה עדיין גובה מהם. וכן משמע במרדכי דהא כתב אלו דברי' עשאו חז"ל בבירור הדעת ולא מטעם ספק </w:t>
      </w:r>
      <w:r>
        <w:rPr>
          <w:rFonts w:cs="Arial"/>
          <w:sz w:val="16"/>
          <w:szCs w:val="16"/>
          <w:rtl/>
        </w:rPr>
        <w:t>(אע"ג דמ"ש שם דקי"ל שטר העומד לגבות כגבוי דמי לא קי"ל כוותי' מ"מ דינו שפיר דלאו ספק הוא)</w:t>
      </w:r>
      <w:r>
        <w:rPr>
          <w:rFonts w:cs="Arial"/>
          <w:rtl/>
        </w:rPr>
        <w:t>. ונראה לדעת הרא"ש, דוקא אם גבתה מראשון ומשני לא תחזיר, אבל תפיסה שלה לא מהני כיון דאין לה טענות ברי דהשתא כחשה, ב"ש (סקל"ד).</w:t>
      </w:r>
    </w:p>
  </w:footnote>
  <w:footnote w:id="2870">
    <w:p w14:paraId="1716651D" w14:textId="77777777" w:rsidR="00C97BEF" w:rsidRDefault="00C97BEF" w:rsidP="00C97BEF">
      <w:pPr>
        <w:pStyle w:val="a5"/>
      </w:pPr>
      <w:r>
        <w:rPr>
          <w:rStyle w:val="a7"/>
        </w:rPr>
        <w:footnoteRef/>
      </w:r>
      <w:r>
        <w:rPr>
          <w:rtl/>
        </w:rPr>
        <w:t xml:space="preserve"> </w:t>
      </w:r>
      <w:r>
        <w:rPr>
          <w:rFonts w:cs="Arial"/>
          <w:rtl/>
        </w:rPr>
        <w:t>ה"ג בגין דא אמר שמואל כגון. והכי פירושו, בשביל כך אמר שמואל כגון אלמנה וכו' לרבויי אפי' הנך דאסורין מדרבנן ולא בא אלא למעט נשא אשה ושהה עמה עשר שנים ולא ילדה שאין ביאתו בעבירה שאין כופין אותו להוציא, קרבן העדה.</w:t>
      </w:r>
    </w:p>
  </w:footnote>
  <w:footnote w:id="2871">
    <w:p w14:paraId="5131D549" w14:textId="77777777" w:rsidR="00C97BEF" w:rsidRDefault="00C97BEF" w:rsidP="00C97BEF">
      <w:pPr>
        <w:pStyle w:val="a5"/>
      </w:pPr>
      <w:r>
        <w:rPr>
          <w:rStyle w:val="a7"/>
        </w:rPr>
        <w:footnoteRef/>
      </w:r>
      <w:r>
        <w:rPr>
          <w:rtl/>
        </w:rPr>
        <w:t xml:space="preserve"> </w:t>
      </w:r>
      <w:r>
        <w:rPr>
          <w:rFonts w:cs="Arial"/>
          <w:rtl/>
        </w:rPr>
        <w:t>וקס"ד דה"ה דכופין, קרבן העדה.</w:t>
      </w:r>
    </w:p>
  </w:footnote>
  <w:footnote w:id="2872">
    <w:p w14:paraId="7FD043DB" w14:textId="77777777" w:rsidR="00C97BEF" w:rsidRDefault="00C97BEF" w:rsidP="00C97BEF">
      <w:pPr>
        <w:pStyle w:val="a5"/>
      </w:pPr>
      <w:r>
        <w:rPr>
          <w:rStyle w:val="a7"/>
        </w:rPr>
        <w:footnoteRef/>
      </w:r>
      <w:r>
        <w:rPr>
          <w:rtl/>
        </w:rPr>
        <w:t xml:space="preserve"> </w:t>
      </w:r>
      <w:r>
        <w:rPr>
          <w:rFonts w:cs="Arial"/>
          <w:rtl/>
        </w:rPr>
        <w:t>שמבקשין ממנו ליתן לה גט וכי שמענו ממתני' שכופין אותו בתמיה וכיון שאין עברה בנישואין אין כופין אותו להוציא, קרבן העדה.</w:t>
      </w:r>
    </w:p>
  </w:footnote>
  <w:footnote w:id="2873">
    <w:p w14:paraId="73C82FCD" w14:textId="75A91BD7" w:rsidR="00C97BEF" w:rsidRDefault="00C97BEF" w:rsidP="00C97BEF">
      <w:pPr>
        <w:pStyle w:val="a5"/>
      </w:pPr>
      <w:r>
        <w:rPr>
          <w:rStyle w:val="a7"/>
        </w:rPr>
        <w:footnoteRef/>
      </w:r>
      <w:r>
        <w:rPr>
          <w:rtl/>
        </w:rPr>
        <w:t xml:space="preserve"> </w:t>
      </w:r>
      <w:r>
        <w:rPr>
          <w:rFonts w:cs="Arial"/>
          <w:rtl/>
        </w:rPr>
        <w:t xml:space="preserve">הרי"ך התייחס רק למקרה של אשה שלא ילדה עשר שנים. אך הטור כתב בשם הרי"ף, </w:t>
      </w:r>
      <w:r w:rsidR="000A0F5A">
        <w:rPr>
          <w:rFonts w:cs="Arial"/>
          <w:rtl/>
        </w:rPr>
        <w:t>וז"ל:</w:t>
      </w:r>
      <w:r>
        <w:rPr>
          <w:rFonts w:cs="Arial"/>
          <w:rtl/>
        </w:rPr>
        <w:t xml:space="preserve"> וכתב רב אלפס דה"ה בכל הנך דקתני בהו יוציא שכופין אותו אפי' בשוטים. עכ"ל. וכתב הב"י על דבריו, </w:t>
      </w:r>
      <w:r w:rsidR="000A0F5A">
        <w:rPr>
          <w:rFonts w:cs="Arial"/>
          <w:rtl/>
        </w:rPr>
        <w:t>וז"ל:</w:t>
      </w:r>
      <w:r>
        <w:rPr>
          <w:rFonts w:cs="Arial"/>
          <w:rtl/>
        </w:rPr>
        <w:t xml:space="preserve"> ומכל מקום מה שכתב רבינו בשם רב אלפס דהוא הדין לכל הנך דקתני בהו יוציא - לא מצאתי לרב אלפס שכתב כן. ונ"ל שיש להגיה ולכתוב ר"י במקום רב אלפס, שסברא זו בשם ר"י כתבו התוספות (ע. ד"ה יוציא) והמרדכי (סי' קצד) בריש פרק המדיר. ושם כתבו ג"כ סברת רבינו חננאל. ומכל מקום אפשר לקיים גירסת הספרים דגרסינן כתב רב אלפס דהוא הדין בכל הנך וכו' ממה שכתב הרא"ש בפרק הבא על יבמתו (סי' יא) ומיהו בתוספתא (כתובות פ"ז הי"א עיין שם) תני מקמץ ומצרף נחושת ובורסי יוציא ויתן כתובה והיינו על כרחין כופין כדתנן בפרק המדיר (עז.) ורש"י כתב בשמעתין שכופין אותו בית דין וכן כתב רב אלפס עכ"ל</w:t>
      </w:r>
      <w:r>
        <w:rPr>
          <w:rFonts w:cs="Arial"/>
          <w:sz w:val="16"/>
          <w:szCs w:val="16"/>
          <w:rtl/>
        </w:rPr>
        <w:t xml:space="preserve"> [הרא"ש]</w:t>
      </w:r>
      <w:r>
        <w:rPr>
          <w:rFonts w:cs="Arial"/>
          <w:rtl/>
        </w:rPr>
        <w:t>.</w:t>
      </w:r>
    </w:p>
  </w:footnote>
  <w:footnote w:id="2874">
    <w:p w14:paraId="61DEC66E" w14:textId="118DE7CF"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ויותר נראה דכופין בכל הני כדפירש ר"י, אלא דירושלמי קסבר ששייך כפייה במילי. אבל לדידן דקיימא לן דבדברים לא יוסר עבד על כרחך איירי בשוטי, כיון דלשון יוציא משמע כפייה היכא דעושה לה עולה. ומיהו אין לכוף שום אדם לגרש ולעשות מעשה עד שנמצא ראיה ברורה, דהא אמרינן דגט מעושה בישראל שלא כדין פסול ואין להתיר אשת איש מספק.</w:t>
      </w:r>
    </w:p>
  </w:footnote>
  <w:footnote w:id="2875">
    <w:p w14:paraId="3A6F46A6" w14:textId="5F339427"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כתב הרא"ש (פ"ו דיבמות סי' יא) יש מחלוקת במי ששהה עם אשתו עשר שנים ולא ילדה אם כופין אותו בשוטים וכיון שנחלקו בו הגדולים ראוי להחמיר שלא לכוף בשוטים דלא ליהוי גט מעושה. עכ"ל. וצל"ע מדוע כתב כן רק לגבי מי ששה עשר שנים וכו', שהרי מדברי הרא"ש משמע דמיירי על כל מקרה שלא כתוב בו להדיא שכופין בשוטים.</w:t>
      </w:r>
    </w:p>
  </w:footnote>
  <w:footnote w:id="2876">
    <w:p w14:paraId="59F61C3B" w14:textId="77777777" w:rsidR="00C97BEF" w:rsidRDefault="00C97BEF" w:rsidP="00C97BEF">
      <w:pPr>
        <w:pStyle w:val="a5"/>
        <w:rPr>
          <w:rtl/>
        </w:rPr>
      </w:pPr>
      <w:r>
        <w:rPr>
          <w:rStyle w:val="a7"/>
        </w:rPr>
        <w:footnoteRef/>
      </w:r>
      <w:r>
        <w:rPr>
          <w:rtl/>
        </w:rPr>
        <w:t xml:space="preserve"> </w:t>
      </w:r>
      <w:r>
        <w:rPr>
          <w:rFonts w:cs="Arial"/>
          <w:rtl/>
        </w:rPr>
        <w:t>וכ"כ הרשב"א (ח"ד סי' תיד) והר"ן (שם לו. ד"ה ודאמרינן) דאע"ג דאין כופין להוציא מכל מקום מפקינן כתובה מיניה ולזה כופין אותו. הביאם הדרכ"מ (אות יח*). ולגבי דין מוכה שחין לענין ממון כתב הב"י לעיין בתוספות פרק הבא על יבמתו (שם)</w:t>
      </w:r>
      <w:r>
        <w:rPr>
          <w:rtl/>
        </w:rPr>
        <w:t>.</w:t>
      </w:r>
    </w:p>
  </w:footnote>
  <w:footnote w:id="2877">
    <w:p w14:paraId="51A5D9AD" w14:textId="78996A4A" w:rsidR="00C97BEF" w:rsidRDefault="00C97BEF" w:rsidP="00C97BEF">
      <w:pPr>
        <w:pStyle w:val="a5"/>
      </w:pPr>
      <w:r>
        <w:rPr>
          <w:rStyle w:val="a7"/>
        </w:rPr>
        <w:footnoteRef/>
      </w:r>
      <w:r>
        <w:rPr>
          <w:rtl/>
        </w:rPr>
        <w:t xml:space="preserve"> </w:t>
      </w:r>
      <w:r w:rsidR="000A0F5A">
        <w:rPr>
          <w:rFonts w:cs="Arial"/>
          <w:rtl/>
        </w:rPr>
        <w:t>וז"ל:</w:t>
      </w:r>
      <w:r>
        <w:rPr>
          <w:rFonts w:cs="Arial"/>
          <w:rtl/>
        </w:rPr>
        <w:t xml:space="preserve"> השיב גדול אחד בתשובה המתחלת מקול מחצצים והשיב לג' גדולי הדור לרבינו שמואל ולרבינו אליהו ולרבינו משולם וכתב שכל ההכרחות יעשו לו שלא ימולו בנו ולא ילמדו לו ספר ולא יקברוהו אם לא יגרש מרצונו בגט כשר על פי חכמי עירו כי אין זה כפייה לדעת ר"ת שאם קדש אדם אחד מישראל בת ישראל כדת משה וישראל ולבסוף אין האשה רוצה בו מן הדין אין לכופו ואין לעשותו לא בישראל ולא בגוים ואחר נתפש בגנבה ונחבש ביד גוים על ידי ממון או ע"י נפשות ויש כח בגדולי הארץ להועיל לו אצל המלכות להקל מעליו או לפוטרו משם ואומרי' לו לא נשתדל לך ולא נדבר לגוים עליך לא להרע ולא להיטיב אם לא תגרש אשה זו שקדשת ונתרצה מאימת הגוים שלא ידינוהו לרע וכתב גט לאשתו ונותנו ואומר רוצה אני נראין הדברים שהוא כשר ויש ללמוד דבר זה מתשובת ר"ת אם לא יכפוהו ממש לאוסרו במקום שהיה עד שיתן גט אבל אם עומדים בעצמם מלעזור לו לצאת אין זה כפייה עכ"ל התשובה</w:t>
      </w:r>
      <w:r>
        <w:rPr>
          <w:rtl/>
        </w:rPr>
        <w:t>.</w:t>
      </w:r>
    </w:p>
  </w:footnote>
  <w:footnote w:id="2878">
    <w:p w14:paraId="629C9E4F" w14:textId="0FA5F61B" w:rsidR="00C97BEF" w:rsidRDefault="00C97BEF" w:rsidP="00C97BEF">
      <w:pPr>
        <w:pStyle w:val="a5"/>
      </w:pPr>
      <w:r>
        <w:rPr>
          <w:rStyle w:val="a7"/>
        </w:rPr>
        <w:footnoteRef/>
      </w:r>
      <w:r>
        <w:rPr>
          <w:rtl/>
        </w:rPr>
        <w:t xml:space="preserve"> </w:t>
      </w:r>
      <w:r w:rsidR="000A0F5A">
        <w:rPr>
          <w:rFonts w:hint="cs"/>
          <w:rtl/>
        </w:rPr>
        <w:t>וז</w:t>
      </w:r>
      <w:r w:rsidR="000A0F5A">
        <w:rPr>
          <w:rtl/>
        </w:rPr>
        <w:t>"</w:t>
      </w:r>
      <w:r w:rsidR="000A0F5A">
        <w:rPr>
          <w:rFonts w:hint="cs"/>
          <w:rtl/>
        </w:rPr>
        <w:t>ל:</w:t>
      </w:r>
      <w:r>
        <w:rPr>
          <w:rFonts w:hint="cs"/>
          <w:rtl/>
        </w:rPr>
        <w:t xml:space="preserve"> </w:t>
      </w:r>
      <w:r>
        <w:rPr>
          <w:rFonts w:cs="Arial"/>
          <w:rtl/>
        </w:rPr>
        <w:t>ומ"מ כדי להסתלק מכל ספק היה נראה לע"ד לעשות כמו שכתב רבינו תם בתשובה גבי אומרת מאיס עלאי וז"ל אך כל רבותיי שוים בדבר תגזרו באלה חמורה על כל איש ואשה מזרע בית ישראל ועל כל הנלוים עליהם שלא יהיו רשאין לדבר עמו ולישא וליתן עמו ולהרויחו ולהאכילו וללוותו ולהשקותו ולבקרו בחלותו. ועוד יוסיפו חומרות כרצונם על כל אדם אם לא יגרש ויתיר אותו האיש את הילדה הזאת שבזה אין כפייה עליו שאם ירצה ימצא לו מקום והוא לא ילקה בגופו מתוך נידוי זה אך אנו נתפרד מעליו עכ"ל ר"ת הרי לך דאף על גב שכתב שכל הכופה לגרש בטענה מאיס עלאי מרבה ממזרים בישראל כמו שכתוב באותה תשובה עצמה וכן כתב גם המרדכי בשמו בפרק אעפ"י אפילו הכי מתיר בכה"ג דלא חשיבא ליה כפיה וכיוצא בזה כתב גם הסמ"ק במצות חליצה ולעיין בה מר.</w:t>
      </w:r>
    </w:p>
  </w:footnote>
  <w:footnote w:id="2879">
    <w:p w14:paraId="2D721C16" w14:textId="77777777" w:rsidR="00C97BEF" w:rsidRDefault="00C97BEF" w:rsidP="00C97BEF">
      <w:pPr>
        <w:pStyle w:val="a5"/>
      </w:pPr>
      <w:r>
        <w:rPr>
          <w:rStyle w:val="a7"/>
        </w:rPr>
        <w:footnoteRef/>
      </w:r>
      <w:r>
        <w:rPr>
          <w:rtl/>
        </w:rPr>
        <w:t xml:space="preserve"> </w:t>
      </w:r>
      <w:r>
        <w:rPr>
          <w:rFonts w:cs="Arial"/>
          <w:rtl/>
        </w:rPr>
        <w:t>וכן הוא בתשובות הרא"ש (כלל מג סי' ט) דבמקום דניתן גט כשר אלא שיש בו קצת לעז ולרווחא דמלתא מצריכין גט אחר מותר לכופו, דרכ"מ (אות יח**).</w:t>
      </w:r>
    </w:p>
  </w:footnote>
  <w:footnote w:id="2880">
    <w:p w14:paraId="0DAC343D" w14:textId="77777777" w:rsidR="00C97BEF" w:rsidRDefault="00C97BEF" w:rsidP="00C97BEF">
      <w:pPr>
        <w:pStyle w:val="a5"/>
      </w:pPr>
      <w:r>
        <w:rPr>
          <w:rStyle w:val="a7"/>
        </w:rPr>
        <w:footnoteRef/>
      </w:r>
      <w:r>
        <w:rPr>
          <w:rtl/>
        </w:rPr>
        <w:t xml:space="preserve"> </w:t>
      </w:r>
      <w:r>
        <w:rPr>
          <w:rFonts w:cs="Arial"/>
          <w:rtl/>
        </w:rPr>
        <w:t>עיין בס' ג"א (ס"ס עב) הביא בשם מהריב"ל דהאידנ' שהרחקות חשובים כנידוי אין לעשות לו שום הרחקה רק שאומרים לו מותר לקרותך עבריין. והוא ז"ל כתב שטוב להחמיר, פת"ש (סק"ל).</w:t>
      </w:r>
    </w:p>
  </w:footnote>
  <w:footnote w:id="2881">
    <w:p w14:paraId="225CBD23" w14:textId="77777777" w:rsidR="00C97BEF" w:rsidRDefault="00C97BEF" w:rsidP="00C97BEF">
      <w:pPr>
        <w:pStyle w:val="a5"/>
        <w:rPr>
          <w:rtl/>
        </w:rPr>
      </w:pPr>
      <w:r>
        <w:rPr>
          <w:rStyle w:val="a7"/>
        </w:rPr>
        <w:footnoteRef/>
      </w:r>
      <w:r>
        <w:rPr>
          <w:rtl/>
        </w:rPr>
        <w:t xml:space="preserve"> </w:t>
      </w:r>
      <w:r>
        <w:rPr>
          <w:rFonts w:cs="Arial"/>
          <w:rtl/>
        </w:rPr>
        <w:t>עיין בס' ג"א סימן מ"ח שתמה על הרמ"א בזה דהריב"ש כ"כ לפי שטתו דס"ל במורד מתשמיש אין כופין להוציא, אבל להרב שסתם (סי' עז סע' א וסע' ג) כהמחבר דכופין להוציא, מה לנו לכופו שיקיים עונה, ומה לו לטעם שאין זה כפיה ממש, הא אפילו כפיה ממש עושין במורד מתשמיש. וגם לישנא דלנדותו שכתב בסוף דבריו מגומגם, דעדיפא מיניה הו"ל לאשמעי' דאפילו להכותו ולכפותו בשוטים ע"ז יכולים לעשות שיקיים עונה, וכ"ז מוכח בריב"ש עצמו שם כו'. ומסיים מ"מ לדינא העיקר כמ"ש למעלה דבמורד מתשמיש אין כופין להוציא אם לא בבאה מחמת טענה ואף במונע ממנה כל עניני אישות יש לחוש למעשה כו'</w:t>
      </w:r>
      <w:r>
        <w:rPr>
          <w:rtl/>
        </w:rPr>
        <w:t>, פת"ש (סקל"א).</w:t>
      </w:r>
    </w:p>
  </w:footnote>
  <w:footnote w:id="2882">
    <w:p w14:paraId="5AD0AB4D" w14:textId="77777777" w:rsidR="00C97BEF" w:rsidRDefault="00C97BEF" w:rsidP="00C97BEF">
      <w:pPr>
        <w:pStyle w:val="a5"/>
        <w:rPr>
          <w:rtl/>
        </w:rPr>
      </w:pPr>
      <w:r>
        <w:rPr>
          <w:rStyle w:val="a7"/>
        </w:rPr>
        <w:footnoteRef/>
      </w:r>
      <w:r>
        <w:rPr>
          <w:rtl/>
        </w:rPr>
        <w:t xml:space="preserve"> </w:t>
      </w:r>
      <w:r>
        <w:rPr>
          <w:rFonts w:cs="Arial"/>
          <w:rtl/>
        </w:rPr>
        <w:t xml:space="preserve">אפילו היה מבטל כל מודעי מ"מ היה מלקה אותו משום דמוציא לעז על הגט דאיכא דשמע במודעא ולא שמע בביטול, </w:t>
      </w:r>
      <w:r>
        <w:rPr>
          <w:rFonts w:cs="Arial"/>
          <w:b/>
          <w:bCs/>
          <w:rtl/>
        </w:rPr>
        <w:t xml:space="preserve">תוס' </w:t>
      </w:r>
      <w:r>
        <w:rPr>
          <w:rFonts w:cs="Arial"/>
          <w:rtl/>
        </w:rPr>
        <w:t>(ד"ה דמסר מודעא). מכאן נהגו לעשות חרם בשעת נתינת הגט שלא להוציא לעז</w:t>
      </w:r>
      <w:r>
        <w:rPr>
          <w:rtl/>
        </w:rPr>
        <w:t xml:space="preserve">, </w:t>
      </w:r>
      <w:r>
        <w:rPr>
          <w:b/>
          <w:bCs/>
          <w:rtl/>
        </w:rPr>
        <w:t>אגודה</w:t>
      </w:r>
      <w:r>
        <w:rPr>
          <w:rtl/>
        </w:rPr>
        <w:t xml:space="preserve"> (יבמות פרק ה אות סז).</w:t>
      </w:r>
    </w:p>
  </w:footnote>
  <w:footnote w:id="2883">
    <w:p w14:paraId="12487CAC" w14:textId="77777777" w:rsidR="00C97BEF" w:rsidRDefault="00C97BEF" w:rsidP="00C97BEF">
      <w:pPr>
        <w:pStyle w:val="a5"/>
      </w:pPr>
      <w:r>
        <w:rPr>
          <w:rStyle w:val="a7"/>
        </w:rPr>
        <w:footnoteRef/>
      </w:r>
      <w:r>
        <w:rPr>
          <w:rtl/>
        </w:rPr>
        <w:t xml:space="preserve"> </w:t>
      </w:r>
      <w:r>
        <w:rPr>
          <w:rFonts w:cs="Arial"/>
          <w:rtl/>
        </w:rPr>
        <w:t>וכן כתב בתשובת ה"ר יהודה ן' הרא"ש (זכרות יהודה סי' עא), ב"י (בבדה"ב).</w:t>
      </w:r>
    </w:p>
  </w:footnote>
  <w:footnote w:id="2884">
    <w:p w14:paraId="01E381D8" w14:textId="77777777" w:rsidR="00C97BEF" w:rsidRDefault="00C97BEF" w:rsidP="00C97BEF">
      <w:pPr>
        <w:pStyle w:val="a5"/>
        <w:rPr>
          <w:rtl/>
        </w:rPr>
      </w:pPr>
      <w:r>
        <w:rPr>
          <w:rStyle w:val="a7"/>
        </w:rPr>
        <w:footnoteRef/>
      </w:r>
      <w:r>
        <w:rPr>
          <w:rFonts w:cs="Arial"/>
          <w:rtl/>
        </w:rPr>
        <w:t xml:space="preserve"> דזה אין לו התרה, ועל כן טוב בשני גיטין, בא' יקיים שבועתו, ושני לעיקר הגט, ט"ז (סקי"ב). ועמ"ש לעיל סימן קל"ד סק"ז, </w:t>
      </w:r>
      <w:r>
        <w:rPr>
          <w:rtl/>
        </w:rPr>
        <w:t>פת"ש (סקל"ה).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401E1" w14:textId="77777777" w:rsidR="00403A76" w:rsidRDefault="00403A76" w:rsidP="00A347B3">
    <w:pPr>
      <w:pStyle w:val="af"/>
      <w:rPr>
        <w:color w:val="7F7F7F" w:themeColor="text1" w:themeTint="80"/>
        <w:rtl/>
      </w:rPr>
    </w:pPr>
  </w:p>
  <w:p w14:paraId="15790103" w14:textId="006FBE16" w:rsidR="00403A76" w:rsidRDefault="00403A76" w:rsidP="00EA3E10">
    <w:pPr>
      <w:pStyle w:val="af"/>
      <w:jc w:val="center"/>
    </w:pPr>
    <w:r w:rsidRPr="00692E38">
      <w:rPr>
        <w:rFonts w:hint="cs"/>
        <w:color w:val="7F7F7F" w:themeColor="text1" w:themeTint="80"/>
        <w:rtl/>
      </w:rPr>
      <w:t xml:space="preserve">- סימן </w:t>
    </w:r>
    <w:r>
      <w:rPr>
        <w:rFonts w:hint="cs"/>
        <w:color w:val="7F7F7F" w:themeColor="text1" w:themeTint="80"/>
        <w:rtl/>
      </w:rPr>
      <w:t>קיט</w:t>
    </w:r>
    <w:r w:rsidRPr="00692E38">
      <w:rPr>
        <w:rFonts w:hint="cs"/>
        <w:color w:val="7F7F7F" w:themeColor="text1" w:themeTint="80"/>
        <w:rtl/>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D8095" w14:textId="77777777" w:rsidR="00FA2119" w:rsidRDefault="00FA2119" w:rsidP="00A347B3">
    <w:pPr>
      <w:pStyle w:val="af"/>
      <w:rPr>
        <w:color w:val="7F7F7F" w:themeColor="text1" w:themeTint="80"/>
        <w:rtl/>
      </w:rPr>
    </w:pPr>
  </w:p>
  <w:p w14:paraId="3F7AC1F9" w14:textId="77777777" w:rsidR="00FA2119" w:rsidRDefault="00FA2119" w:rsidP="00EA3E10">
    <w:pPr>
      <w:pStyle w:val="af"/>
      <w:jc w:val="center"/>
    </w:pPr>
    <w:r w:rsidRPr="00692E38">
      <w:rPr>
        <w:rFonts w:hint="cs"/>
        <w:color w:val="7F7F7F" w:themeColor="text1" w:themeTint="80"/>
        <w:rtl/>
      </w:rPr>
      <w:t xml:space="preserve">- סימן </w:t>
    </w:r>
    <w:r>
      <w:rPr>
        <w:rFonts w:hint="cs"/>
        <w:color w:val="7F7F7F" w:themeColor="text1" w:themeTint="80"/>
        <w:rtl/>
      </w:rPr>
      <w:t>קכח</w:t>
    </w:r>
    <w:r w:rsidRPr="00692E38">
      <w:rPr>
        <w:rFonts w:hint="cs"/>
        <w:color w:val="7F7F7F" w:themeColor="text1" w:themeTint="80"/>
        <w:rt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FAD66" w14:textId="77777777" w:rsidR="00FA2119" w:rsidRDefault="00FA2119" w:rsidP="00A347B3">
    <w:pPr>
      <w:pStyle w:val="af"/>
      <w:rPr>
        <w:color w:val="7F7F7F" w:themeColor="text1" w:themeTint="80"/>
        <w:rtl/>
      </w:rPr>
    </w:pPr>
  </w:p>
  <w:p w14:paraId="5F7C0795" w14:textId="2D1846F6" w:rsidR="00FA2119" w:rsidRDefault="00FA2119" w:rsidP="00EA3E10">
    <w:pPr>
      <w:pStyle w:val="af"/>
      <w:jc w:val="center"/>
    </w:pPr>
    <w:r w:rsidRPr="00692E38">
      <w:rPr>
        <w:rFonts w:hint="cs"/>
        <w:color w:val="7F7F7F" w:themeColor="text1" w:themeTint="80"/>
        <w:rtl/>
      </w:rPr>
      <w:t xml:space="preserve">- סימן </w:t>
    </w:r>
    <w:r>
      <w:rPr>
        <w:rFonts w:hint="cs"/>
        <w:color w:val="7F7F7F" w:themeColor="text1" w:themeTint="80"/>
        <w:rtl/>
      </w:rPr>
      <w:t>קכט</w:t>
    </w:r>
    <w:r w:rsidRPr="00692E38">
      <w:rPr>
        <w:rFonts w:hint="cs"/>
        <w:color w:val="7F7F7F" w:themeColor="text1" w:themeTint="80"/>
        <w:rt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3C868" w14:textId="77777777" w:rsidR="00FA2119" w:rsidRDefault="00FA2119" w:rsidP="00A347B3">
    <w:pPr>
      <w:pStyle w:val="af"/>
      <w:rPr>
        <w:color w:val="7F7F7F" w:themeColor="text1" w:themeTint="80"/>
        <w:rtl/>
      </w:rPr>
    </w:pPr>
  </w:p>
  <w:p w14:paraId="240C04D1" w14:textId="4DFA112F" w:rsidR="00FA2119" w:rsidRDefault="00FA2119" w:rsidP="00EA3E10">
    <w:pPr>
      <w:pStyle w:val="af"/>
      <w:jc w:val="center"/>
    </w:pPr>
    <w:r w:rsidRPr="00692E38">
      <w:rPr>
        <w:rFonts w:hint="cs"/>
        <w:color w:val="7F7F7F" w:themeColor="text1" w:themeTint="80"/>
        <w:rtl/>
      </w:rPr>
      <w:t xml:space="preserve">- סימן </w:t>
    </w:r>
    <w:r>
      <w:rPr>
        <w:rFonts w:hint="cs"/>
        <w:color w:val="7F7F7F" w:themeColor="text1" w:themeTint="80"/>
        <w:rtl/>
      </w:rPr>
      <w:t>ק</w:t>
    </w:r>
    <w:r w:rsidR="00C97BEF">
      <w:rPr>
        <w:rFonts w:hint="cs"/>
        <w:color w:val="7F7F7F" w:themeColor="text1" w:themeTint="80"/>
        <w:rtl/>
      </w:rPr>
      <w:t>ל</w:t>
    </w:r>
    <w:r w:rsidRPr="00692E38">
      <w:rPr>
        <w:rFonts w:hint="cs"/>
        <w:color w:val="7F7F7F" w:themeColor="text1" w:themeTint="80"/>
        <w:rt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C850" w14:textId="77777777" w:rsidR="00C97BEF" w:rsidRDefault="00C97BEF" w:rsidP="00A347B3">
    <w:pPr>
      <w:pStyle w:val="af"/>
      <w:rPr>
        <w:color w:val="7F7F7F" w:themeColor="text1" w:themeTint="80"/>
        <w:rtl/>
      </w:rPr>
    </w:pPr>
  </w:p>
  <w:p w14:paraId="29255338" w14:textId="2E15622A"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קלא</w:t>
    </w:r>
    <w:r w:rsidRPr="00692E38">
      <w:rPr>
        <w:rFonts w:hint="cs"/>
        <w:color w:val="7F7F7F" w:themeColor="text1" w:themeTint="80"/>
        <w:rtl/>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F35EF" w14:textId="77777777" w:rsidR="00C97BEF" w:rsidRDefault="00C97BEF" w:rsidP="00A347B3">
    <w:pPr>
      <w:pStyle w:val="af"/>
      <w:rPr>
        <w:color w:val="7F7F7F" w:themeColor="text1" w:themeTint="80"/>
        <w:rtl/>
      </w:rPr>
    </w:pPr>
  </w:p>
  <w:p w14:paraId="7514E990" w14:textId="7E6F5FEF"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קלב</w:t>
    </w:r>
    <w:r w:rsidRPr="00692E38">
      <w:rPr>
        <w:rFonts w:hint="cs"/>
        <w:color w:val="7F7F7F" w:themeColor="text1" w:themeTint="80"/>
        <w:rtl/>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3BBF9" w14:textId="77777777" w:rsidR="00C97BEF" w:rsidRDefault="00C97BEF" w:rsidP="00A347B3">
    <w:pPr>
      <w:pStyle w:val="af"/>
      <w:rPr>
        <w:color w:val="7F7F7F" w:themeColor="text1" w:themeTint="80"/>
        <w:rtl/>
      </w:rPr>
    </w:pPr>
  </w:p>
  <w:p w14:paraId="531F0417" w14:textId="1B977453"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קלג</w:t>
    </w:r>
    <w:r w:rsidRPr="00692E38">
      <w:rPr>
        <w:rFonts w:hint="cs"/>
        <w:color w:val="7F7F7F" w:themeColor="text1" w:themeTint="80"/>
        <w:rtl/>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9D31" w14:textId="77777777" w:rsidR="00C97BEF" w:rsidRDefault="00C97BEF" w:rsidP="00A347B3">
    <w:pPr>
      <w:pStyle w:val="af"/>
      <w:rPr>
        <w:color w:val="7F7F7F" w:themeColor="text1" w:themeTint="80"/>
        <w:rtl/>
      </w:rPr>
    </w:pPr>
  </w:p>
  <w:p w14:paraId="06AF4296" w14:textId="5B1457B3"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קלד</w:t>
    </w:r>
    <w:r w:rsidRPr="00692E38">
      <w:rPr>
        <w:rFonts w:hint="cs"/>
        <w:color w:val="7F7F7F" w:themeColor="text1" w:themeTint="80"/>
        <w:rtl/>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92439" w14:textId="77777777" w:rsidR="00C97BEF" w:rsidRDefault="00C97BEF" w:rsidP="00A347B3">
    <w:pPr>
      <w:pStyle w:val="af"/>
      <w:rPr>
        <w:color w:val="7F7F7F" w:themeColor="text1" w:themeTint="80"/>
        <w:rtl/>
      </w:rPr>
    </w:pPr>
  </w:p>
  <w:p w14:paraId="63FF9DB5" w14:textId="5FD3A438"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קלה</w:t>
    </w:r>
    <w:r w:rsidRPr="00692E38">
      <w:rPr>
        <w:rFonts w:hint="cs"/>
        <w:color w:val="7F7F7F" w:themeColor="text1" w:themeTint="80"/>
        <w:rtl/>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7AEAA" w14:textId="77777777" w:rsidR="00C97BEF" w:rsidRDefault="00C97BEF" w:rsidP="00A347B3">
    <w:pPr>
      <w:pStyle w:val="af"/>
      <w:rPr>
        <w:color w:val="7F7F7F" w:themeColor="text1" w:themeTint="80"/>
        <w:rtl/>
      </w:rPr>
    </w:pPr>
  </w:p>
  <w:p w14:paraId="5B646EB2" w14:textId="3CD72E24"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קלו</w:t>
    </w:r>
    <w:r w:rsidRPr="00692E38">
      <w:rPr>
        <w:rFonts w:hint="cs"/>
        <w:color w:val="7F7F7F" w:themeColor="text1" w:themeTint="80"/>
        <w:rtl/>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2295" w14:textId="77777777" w:rsidR="00C97BEF" w:rsidRDefault="00C97BEF" w:rsidP="00A347B3">
    <w:pPr>
      <w:pStyle w:val="af"/>
      <w:rPr>
        <w:color w:val="7F7F7F" w:themeColor="text1" w:themeTint="80"/>
        <w:rtl/>
      </w:rPr>
    </w:pPr>
  </w:p>
  <w:p w14:paraId="387E7397" w14:textId="587143CC"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קלז</w:t>
    </w:r>
    <w:r w:rsidRPr="00692E38">
      <w:rPr>
        <w:rFonts w:hint="cs"/>
        <w:color w:val="7F7F7F" w:themeColor="text1" w:themeTint="8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4206B" w14:textId="77777777" w:rsidR="00403A76" w:rsidRDefault="00403A76" w:rsidP="00A347B3">
    <w:pPr>
      <w:pStyle w:val="af"/>
      <w:rPr>
        <w:color w:val="7F7F7F" w:themeColor="text1" w:themeTint="80"/>
        <w:rtl/>
      </w:rPr>
    </w:pPr>
  </w:p>
  <w:p w14:paraId="4BBC9F42" w14:textId="438F5669" w:rsidR="00403A76" w:rsidRDefault="00403A76" w:rsidP="00EA3E10">
    <w:pPr>
      <w:pStyle w:val="af"/>
      <w:jc w:val="center"/>
    </w:pPr>
    <w:r w:rsidRPr="00692E38">
      <w:rPr>
        <w:rFonts w:hint="cs"/>
        <w:color w:val="7F7F7F" w:themeColor="text1" w:themeTint="80"/>
        <w:rtl/>
      </w:rPr>
      <w:t xml:space="preserve">- סימן </w:t>
    </w:r>
    <w:r>
      <w:rPr>
        <w:rFonts w:hint="cs"/>
        <w:color w:val="7F7F7F" w:themeColor="text1" w:themeTint="80"/>
        <w:rtl/>
      </w:rPr>
      <w:t>קכ</w:t>
    </w:r>
    <w:r w:rsidRPr="00692E38">
      <w:rPr>
        <w:rFonts w:hint="cs"/>
        <w:color w:val="7F7F7F" w:themeColor="text1" w:themeTint="80"/>
        <w:rtl/>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BADCB" w14:textId="77777777" w:rsidR="00C97BEF" w:rsidRDefault="00C97BEF" w:rsidP="00A347B3">
    <w:pPr>
      <w:pStyle w:val="af"/>
      <w:rPr>
        <w:color w:val="7F7F7F" w:themeColor="text1" w:themeTint="80"/>
        <w:rtl/>
      </w:rPr>
    </w:pPr>
  </w:p>
  <w:p w14:paraId="3BA721BC" w14:textId="5FD6FFF6"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קלח</w:t>
    </w:r>
    <w:r w:rsidRPr="00692E38">
      <w:rPr>
        <w:rFonts w:hint="cs"/>
        <w:color w:val="7F7F7F" w:themeColor="text1" w:themeTint="80"/>
        <w:rtl/>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81A5" w14:textId="77777777" w:rsidR="00C97BEF" w:rsidRDefault="00C97BEF" w:rsidP="00A347B3">
    <w:pPr>
      <w:pStyle w:val="af"/>
      <w:rPr>
        <w:color w:val="7F7F7F" w:themeColor="text1" w:themeTint="80"/>
        <w:rtl/>
      </w:rPr>
    </w:pPr>
  </w:p>
  <w:p w14:paraId="18EA4B78" w14:textId="233AC418"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קלט</w:t>
    </w:r>
    <w:r w:rsidRPr="00692E38">
      <w:rPr>
        <w:rFonts w:hint="cs"/>
        <w:color w:val="7F7F7F" w:themeColor="text1" w:themeTint="80"/>
        <w:rtl/>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2377" w14:textId="77777777" w:rsidR="00C97BEF" w:rsidRDefault="00C97BEF" w:rsidP="00A347B3">
    <w:pPr>
      <w:pStyle w:val="af"/>
      <w:rPr>
        <w:color w:val="7F7F7F" w:themeColor="text1" w:themeTint="80"/>
        <w:rtl/>
      </w:rPr>
    </w:pPr>
  </w:p>
  <w:p w14:paraId="1E628DA2" w14:textId="45E04E00"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קמ</w:t>
    </w:r>
    <w:r w:rsidRPr="00692E38">
      <w:rPr>
        <w:rFonts w:hint="cs"/>
        <w:color w:val="7F7F7F" w:themeColor="text1" w:themeTint="80"/>
        <w:rtl/>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07CF9" w14:textId="77777777" w:rsidR="00C97BEF" w:rsidRDefault="00C97BEF" w:rsidP="00A347B3">
    <w:pPr>
      <w:pStyle w:val="af"/>
      <w:rPr>
        <w:color w:val="7F7F7F" w:themeColor="text1" w:themeTint="80"/>
        <w:rtl/>
      </w:rPr>
    </w:pPr>
  </w:p>
  <w:p w14:paraId="37071DF2" w14:textId="5CE3DC14"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קמא</w:t>
    </w:r>
    <w:r w:rsidRPr="00692E38">
      <w:rPr>
        <w:rFonts w:hint="cs"/>
        <w:color w:val="7F7F7F" w:themeColor="text1" w:themeTint="80"/>
        <w:rtl/>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4706" w14:textId="77777777" w:rsidR="00C97BEF" w:rsidRDefault="00C97BEF" w:rsidP="00A347B3">
    <w:pPr>
      <w:pStyle w:val="af"/>
      <w:rPr>
        <w:color w:val="7F7F7F" w:themeColor="text1" w:themeTint="80"/>
        <w:rtl/>
      </w:rPr>
    </w:pPr>
  </w:p>
  <w:p w14:paraId="14BE57B2" w14:textId="0B641933"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קמב</w:t>
    </w:r>
    <w:r w:rsidRPr="00692E38">
      <w:rPr>
        <w:rFonts w:hint="cs"/>
        <w:color w:val="7F7F7F" w:themeColor="text1" w:themeTint="80"/>
        <w:rtl/>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1CE46" w14:textId="77777777" w:rsidR="00C97BEF" w:rsidRDefault="00C97BEF" w:rsidP="00A347B3">
    <w:pPr>
      <w:pStyle w:val="af"/>
      <w:rPr>
        <w:color w:val="7F7F7F" w:themeColor="text1" w:themeTint="80"/>
        <w:rtl/>
      </w:rPr>
    </w:pPr>
  </w:p>
  <w:p w14:paraId="71834DC9" w14:textId="61198D99"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קמג</w:t>
    </w:r>
    <w:r w:rsidRPr="00692E38">
      <w:rPr>
        <w:rFonts w:hint="cs"/>
        <w:color w:val="7F7F7F" w:themeColor="text1" w:themeTint="80"/>
        <w:rtl/>
      </w:rP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9C77" w14:textId="77777777" w:rsidR="00C97BEF" w:rsidRDefault="00C97BEF" w:rsidP="00A347B3">
    <w:pPr>
      <w:pStyle w:val="af"/>
      <w:rPr>
        <w:color w:val="7F7F7F" w:themeColor="text1" w:themeTint="80"/>
        <w:rtl/>
      </w:rPr>
    </w:pPr>
  </w:p>
  <w:p w14:paraId="63B37F8F" w14:textId="512E55DF"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קמד</w:t>
    </w:r>
    <w:r w:rsidRPr="00692E38">
      <w:rPr>
        <w:rFonts w:hint="cs"/>
        <w:color w:val="7F7F7F" w:themeColor="text1" w:themeTint="80"/>
        <w:rtl/>
      </w:rP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6B405" w14:textId="77777777" w:rsidR="00C97BEF" w:rsidRDefault="00C97BEF" w:rsidP="00A347B3">
    <w:pPr>
      <w:pStyle w:val="af"/>
      <w:rPr>
        <w:color w:val="7F7F7F" w:themeColor="text1" w:themeTint="80"/>
        <w:rtl/>
      </w:rPr>
    </w:pPr>
  </w:p>
  <w:p w14:paraId="1A64F9B0" w14:textId="24CB340D"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קמה</w:t>
    </w:r>
    <w:r w:rsidRPr="00692E38">
      <w:rPr>
        <w:rFonts w:hint="cs"/>
        <w:color w:val="7F7F7F" w:themeColor="text1" w:themeTint="80"/>
        <w:rtl/>
      </w:rP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7DD8D" w14:textId="77777777" w:rsidR="00C97BEF" w:rsidRDefault="00C97BEF" w:rsidP="00A347B3">
    <w:pPr>
      <w:pStyle w:val="af"/>
      <w:rPr>
        <w:color w:val="7F7F7F" w:themeColor="text1" w:themeTint="80"/>
        <w:rtl/>
      </w:rPr>
    </w:pPr>
  </w:p>
  <w:p w14:paraId="27EB32C1" w14:textId="460C9F3C"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קמו</w:t>
    </w:r>
    <w:r w:rsidRPr="00692E38">
      <w:rPr>
        <w:rFonts w:hint="cs"/>
        <w:color w:val="7F7F7F" w:themeColor="text1" w:themeTint="80"/>
        <w:rtl/>
      </w:rPr>
      <w:t xml:space="preserve">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8D279" w14:textId="77777777" w:rsidR="00C97BEF" w:rsidRDefault="00C97BEF" w:rsidP="00A347B3">
    <w:pPr>
      <w:pStyle w:val="af"/>
      <w:rPr>
        <w:color w:val="7F7F7F" w:themeColor="text1" w:themeTint="80"/>
        <w:rtl/>
      </w:rPr>
    </w:pPr>
  </w:p>
  <w:p w14:paraId="7B5F32FC" w14:textId="7A542390"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קמז</w:t>
    </w:r>
    <w:r w:rsidRPr="00692E38">
      <w:rPr>
        <w:rFonts w:hint="cs"/>
        <w:color w:val="7F7F7F" w:themeColor="text1" w:themeTint="8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CFDE8" w14:textId="77777777" w:rsidR="007D267E" w:rsidRDefault="007D267E" w:rsidP="00A347B3">
    <w:pPr>
      <w:pStyle w:val="af"/>
      <w:rPr>
        <w:color w:val="7F7F7F" w:themeColor="text1" w:themeTint="80"/>
        <w:rtl/>
      </w:rPr>
    </w:pPr>
  </w:p>
  <w:p w14:paraId="40856B2C" w14:textId="596D522C" w:rsidR="007D267E" w:rsidRDefault="007D267E" w:rsidP="00EA3E10">
    <w:pPr>
      <w:pStyle w:val="af"/>
      <w:jc w:val="center"/>
    </w:pPr>
    <w:r w:rsidRPr="00692E38">
      <w:rPr>
        <w:rFonts w:hint="cs"/>
        <w:color w:val="7F7F7F" w:themeColor="text1" w:themeTint="80"/>
        <w:rtl/>
      </w:rPr>
      <w:t xml:space="preserve">- סימן </w:t>
    </w:r>
    <w:r>
      <w:rPr>
        <w:rFonts w:hint="cs"/>
        <w:color w:val="7F7F7F" w:themeColor="text1" w:themeTint="80"/>
        <w:rtl/>
      </w:rPr>
      <w:t>קכא</w:t>
    </w:r>
    <w:r w:rsidRPr="00692E38">
      <w:rPr>
        <w:rFonts w:hint="cs"/>
        <w:color w:val="7F7F7F" w:themeColor="text1" w:themeTint="80"/>
        <w:rtl/>
      </w:rP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6D53E" w14:textId="77777777" w:rsidR="00C97BEF" w:rsidRDefault="00C97BEF" w:rsidP="00A347B3">
    <w:pPr>
      <w:pStyle w:val="af"/>
      <w:rPr>
        <w:color w:val="7F7F7F" w:themeColor="text1" w:themeTint="80"/>
        <w:rtl/>
      </w:rPr>
    </w:pPr>
  </w:p>
  <w:p w14:paraId="30CF716F" w14:textId="77777777"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קמח</w:t>
    </w:r>
    <w:r w:rsidRPr="00692E38">
      <w:rPr>
        <w:rFonts w:hint="cs"/>
        <w:color w:val="7F7F7F" w:themeColor="text1" w:themeTint="80"/>
        <w:rtl/>
      </w:rPr>
      <w:t xml:space="preserve">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32BCF" w14:textId="77777777" w:rsidR="00C97BEF" w:rsidRDefault="00C97BEF" w:rsidP="00A347B3">
    <w:pPr>
      <w:pStyle w:val="af"/>
      <w:rPr>
        <w:color w:val="7F7F7F" w:themeColor="text1" w:themeTint="80"/>
        <w:rtl/>
      </w:rPr>
    </w:pPr>
  </w:p>
  <w:p w14:paraId="1EE46983" w14:textId="65AEB7E8"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קמט</w:t>
    </w:r>
    <w:r w:rsidRPr="00692E38">
      <w:rPr>
        <w:rFonts w:hint="cs"/>
        <w:color w:val="7F7F7F" w:themeColor="text1" w:themeTint="80"/>
        <w:rtl/>
      </w:rPr>
      <w:t xml:space="preserve">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6147D" w14:textId="77777777" w:rsidR="00C97BEF" w:rsidRDefault="00C97BEF" w:rsidP="00A347B3">
    <w:pPr>
      <w:pStyle w:val="af"/>
      <w:rPr>
        <w:color w:val="7F7F7F" w:themeColor="text1" w:themeTint="80"/>
        <w:rtl/>
      </w:rPr>
    </w:pPr>
  </w:p>
  <w:p w14:paraId="650CEDA1" w14:textId="3C051ABF"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קנ</w:t>
    </w:r>
    <w:r w:rsidRPr="00692E38">
      <w:rPr>
        <w:rFonts w:hint="cs"/>
        <w:color w:val="7F7F7F" w:themeColor="text1" w:themeTint="80"/>
        <w:rtl/>
      </w:rPr>
      <w:t xml:space="preserve">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894C1" w14:textId="77777777" w:rsidR="00C97BEF" w:rsidRDefault="00C97BEF" w:rsidP="00A347B3">
    <w:pPr>
      <w:pStyle w:val="af"/>
      <w:rPr>
        <w:color w:val="7F7F7F" w:themeColor="text1" w:themeTint="80"/>
        <w:rtl/>
      </w:rPr>
    </w:pPr>
  </w:p>
  <w:p w14:paraId="231F5548" w14:textId="10203852"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קנא</w:t>
    </w:r>
    <w:r w:rsidRPr="00692E38">
      <w:rPr>
        <w:rFonts w:hint="cs"/>
        <w:color w:val="7F7F7F" w:themeColor="text1" w:themeTint="80"/>
        <w:rtl/>
      </w:rPr>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3550C" w14:textId="77777777" w:rsidR="00C97BEF" w:rsidRDefault="00C97BEF" w:rsidP="00A347B3">
    <w:pPr>
      <w:pStyle w:val="af"/>
      <w:rPr>
        <w:color w:val="7F7F7F" w:themeColor="text1" w:themeTint="80"/>
        <w:rtl/>
      </w:rPr>
    </w:pPr>
  </w:p>
  <w:p w14:paraId="19D27BD0" w14:textId="6E2F7B89"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קנב</w:t>
    </w:r>
    <w:r w:rsidRPr="00692E38">
      <w:rPr>
        <w:rFonts w:hint="cs"/>
        <w:color w:val="7F7F7F" w:themeColor="text1" w:themeTint="80"/>
        <w:rtl/>
      </w:rPr>
      <w:t xml:space="preserve">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4E5D4" w14:textId="77777777" w:rsidR="00C97BEF" w:rsidRDefault="00C97BEF" w:rsidP="00A347B3">
    <w:pPr>
      <w:pStyle w:val="af"/>
      <w:rPr>
        <w:color w:val="7F7F7F" w:themeColor="text1" w:themeTint="80"/>
        <w:rtl/>
      </w:rPr>
    </w:pPr>
  </w:p>
  <w:p w14:paraId="5A61E5BC" w14:textId="26CE16C5" w:rsidR="00C97BEF" w:rsidRDefault="00C97BEF" w:rsidP="00EA3E10">
    <w:pPr>
      <w:pStyle w:val="af"/>
      <w:jc w:val="center"/>
    </w:pPr>
    <w:r w:rsidRPr="00692E38">
      <w:rPr>
        <w:rFonts w:hint="cs"/>
        <w:color w:val="7F7F7F" w:themeColor="text1" w:themeTint="80"/>
        <w:rtl/>
      </w:rPr>
      <w:t xml:space="preserve">- סימן </w:t>
    </w:r>
    <w:r>
      <w:rPr>
        <w:rFonts w:hint="cs"/>
        <w:color w:val="7F7F7F" w:themeColor="text1" w:themeTint="80"/>
        <w:rtl/>
      </w:rPr>
      <w:t>קנג</w:t>
    </w:r>
    <w:r w:rsidRPr="00692E38">
      <w:rPr>
        <w:rFonts w:hint="cs"/>
        <w:color w:val="7F7F7F" w:themeColor="text1" w:themeTint="80"/>
        <w:rtl/>
      </w:rPr>
      <w:t xml:space="preserve">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029C" w14:textId="77777777" w:rsidR="006A458D" w:rsidRDefault="006A458D" w:rsidP="00A347B3">
    <w:pPr>
      <w:pStyle w:val="af"/>
      <w:rPr>
        <w:color w:val="7F7F7F" w:themeColor="text1" w:themeTint="80"/>
        <w:rtl/>
      </w:rPr>
    </w:pPr>
  </w:p>
  <w:p w14:paraId="5342F5DC" w14:textId="619BB0C2" w:rsidR="006A458D" w:rsidRDefault="006A458D" w:rsidP="00EA3E10">
    <w:pPr>
      <w:pStyle w:val="af"/>
      <w:jc w:val="center"/>
    </w:pPr>
    <w:r w:rsidRPr="00692E38">
      <w:rPr>
        <w:rFonts w:hint="cs"/>
        <w:color w:val="7F7F7F" w:themeColor="text1" w:themeTint="80"/>
        <w:rtl/>
      </w:rPr>
      <w:t xml:space="preserve">- סימן </w:t>
    </w:r>
    <w:r>
      <w:rPr>
        <w:rFonts w:hint="cs"/>
        <w:color w:val="7F7F7F" w:themeColor="text1" w:themeTint="80"/>
        <w:rtl/>
      </w:rPr>
      <w:t>קנד</w:t>
    </w:r>
    <w:r w:rsidRPr="00692E38">
      <w:rPr>
        <w:rFonts w:hint="cs"/>
        <w:color w:val="7F7F7F" w:themeColor="text1" w:themeTint="80"/>
        <w:rtl/>
      </w:rPr>
      <w:t xml:space="preserve">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EA33" w14:textId="77777777" w:rsidR="006A458D" w:rsidRDefault="006A458D" w:rsidP="00A347B3">
    <w:pPr>
      <w:pStyle w:val="af"/>
      <w:rPr>
        <w:color w:val="7F7F7F" w:themeColor="text1" w:themeTint="80"/>
        <w:rtl/>
      </w:rPr>
    </w:pPr>
  </w:p>
  <w:p w14:paraId="646E61CB" w14:textId="2145F94A" w:rsidR="006A458D" w:rsidRDefault="006A458D" w:rsidP="00EA3E10">
    <w:pPr>
      <w:pStyle w:val="af"/>
      <w:jc w:val="center"/>
    </w:pPr>
    <w:r w:rsidRPr="00692E38">
      <w:rPr>
        <w:rFonts w:hint="cs"/>
        <w:color w:val="7F7F7F" w:themeColor="text1" w:themeTint="80"/>
        <w:rtl/>
      </w:rPr>
      <w:t xml:space="preserve">- סימן </w:t>
    </w:r>
    <w:r>
      <w:rPr>
        <w:rFonts w:hint="cs"/>
        <w:color w:val="7F7F7F" w:themeColor="text1" w:themeTint="80"/>
        <w:rtl/>
      </w:rPr>
      <w:t>קנד</w:t>
    </w:r>
    <w:r w:rsidRPr="00692E38">
      <w:rPr>
        <w:rFonts w:hint="cs"/>
        <w:color w:val="7F7F7F" w:themeColor="text1" w:themeTint="8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54C0" w14:textId="77777777" w:rsidR="007D267E" w:rsidRDefault="007D267E" w:rsidP="00A347B3">
    <w:pPr>
      <w:pStyle w:val="af"/>
      <w:rPr>
        <w:color w:val="7F7F7F" w:themeColor="text1" w:themeTint="80"/>
        <w:rtl/>
      </w:rPr>
    </w:pPr>
  </w:p>
  <w:p w14:paraId="088B3068" w14:textId="04E9F64C" w:rsidR="007D267E" w:rsidRDefault="007D267E" w:rsidP="00EA3E10">
    <w:pPr>
      <w:pStyle w:val="af"/>
      <w:jc w:val="center"/>
    </w:pPr>
    <w:r w:rsidRPr="00692E38">
      <w:rPr>
        <w:rFonts w:hint="cs"/>
        <w:color w:val="7F7F7F" w:themeColor="text1" w:themeTint="80"/>
        <w:rtl/>
      </w:rPr>
      <w:t xml:space="preserve">- סימן </w:t>
    </w:r>
    <w:r>
      <w:rPr>
        <w:rFonts w:hint="cs"/>
        <w:color w:val="7F7F7F" w:themeColor="text1" w:themeTint="80"/>
        <w:rtl/>
      </w:rPr>
      <w:t>קכב</w:t>
    </w:r>
    <w:r w:rsidRPr="00692E38">
      <w:rPr>
        <w:rFonts w:hint="cs"/>
        <w:color w:val="7F7F7F" w:themeColor="text1" w:themeTint="8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66CFA" w14:textId="77777777" w:rsidR="007D267E" w:rsidRDefault="007D267E" w:rsidP="00A347B3">
    <w:pPr>
      <w:pStyle w:val="af"/>
      <w:rPr>
        <w:color w:val="7F7F7F" w:themeColor="text1" w:themeTint="80"/>
        <w:rtl/>
      </w:rPr>
    </w:pPr>
  </w:p>
  <w:p w14:paraId="190F7B5B" w14:textId="3B7035D3" w:rsidR="007D267E" w:rsidRDefault="007D267E" w:rsidP="00EA3E10">
    <w:pPr>
      <w:pStyle w:val="af"/>
      <w:jc w:val="center"/>
    </w:pPr>
    <w:r w:rsidRPr="00692E38">
      <w:rPr>
        <w:rFonts w:hint="cs"/>
        <w:color w:val="7F7F7F" w:themeColor="text1" w:themeTint="80"/>
        <w:rtl/>
      </w:rPr>
      <w:t xml:space="preserve">- סימן </w:t>
    </w:r>
    <w:r>
      <w:rPr>
        <w:rFonts w:hint="cs"/>
        <w:color w:val="7F7F7F" w:themeColor="text1" w:themeTint="80"/>
        <w:rtl/>
      </w:rPr>
      <w:t>קכג</w:t>
    </w:r>
    <w:r w:rsidRPr="00692E38">
      <w:rPr>
        <w:rFonts w:hint="cs"/>
        <w:color w:val="7F7F7F" w:themeColor="text1" w:themeTint="80"/>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145F8" w14:textId="77777777" w:rsidR="004B71EB" w:rsidRDefault="004B71EB" w:rsidP="00A347B3">
    <w:pPr>
      <w:pStyle w:val="af"/>
      <w:rPr>
        <w:color w:val="7F7F7F" w:themeColor="text1" w:themeTint="80"/>
        <w:rtl/>
      </w:rPr>
    </w:pPr>
  </w:p>
  <w:p w14:paraId="7055F77C" w14:textId="1617E093" w:rsidR="004B71EB" w:rsidRDefault="004B71EB" w:rsidP="00EA3E10">
    <w:pPr>
      <w:pStyle w:val="af"/>
      <w:jc w:val="center"/>
    </w:pPr>
    <w:r w:rsidRPr="00692E38">
      <w:rPr>
        <w:rFonts w:hint="cs"/>
        <w:color w:val="7F7F7F" w:themeColor="text1" w:themeTint="80"/>
        <w:rtl/>
      </w:rPr>
      <w:t xml:space="preserve">- סימן </w:t>
    </w:r>
    <w:r>
      <w:rPr>
        <w:rFonts w:hint="cs"/>
        <w:color w:val="7F7F7F" w:themeColor="text1" w:themeTint="80"/>
        <w:rtl/>
      </w:rPr>
      <w:t>קכד</w:t>
    </w:r>
    <w:r w:rsidRPr="00692E38">
      <w:rPr>
        <w:rFonts w:hint="cs"/>
        <w:color w:val="7F7F7F" w:themeColor="text1" w:themeTint="80"/>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FFF6" w14:textId="77777777" w:rsidR="00403A76" w:rsidRDefault="00403A76" w:rsidP="00A347B3">
    <w:pPr>
      <w:pStyle w:val="af"/>
      <w:rPr>
        <w:color w:val="7F7F7F" w:themeColor="text1" w:themeTint="80"/>
        <w:rtl/>
      </w:rPr>
    </w:pPr>
  </w:p>
  <w:p w14:paraId="117B3160" w14:textId="762EB154" w:rsidR="00403A76" w:rsidRDefault="00403A76" w:rsidP="00EA3E10">
    <w:pPr>
      <w:pStyle w:val="af"/>
      <w:jc w:val="center"/>
    </w:pPr>
    <w:r w:rsidRPr="00692E38">
      <w:rPr>
        <w:rFonts w:hint="cs"/>
        <w:color w:val="7F7F7F" w:themeColor="text1" w:themeTint="80"/>
        <w:rtl/>
      </w:rPr>
      <w:t xml:space="preserve">- סימן </w:t>
    </w:r>
    <w:r w:rsidR="00982C79">
      <w:rPr>
        <w:rFonts w:hint="cs"/>
        <w:color w:val="7F7F7F" w:themeColor="text1" w:themeTint="80"/>
        <w:rtl/>
      </w:rPr>
      <w:t>ק</w:t>
    </w:r>
    <w:r w:rsidR="00A40F04">
      <w:rPr>
        <w:rFonts w:hint="cs"/>
        <w:color w:val="7F7F7F" w:themeColor="text1" w:themeTint="80"/>
        <w:rtl/>
      </w:rPr>
      <w:t>כ</w:t>
    </w:r>
    <w:r w:rsidR="00982C79">
      <w:rPr>
        <w:rFonts w:hint="cs"/>
        <w:color w:val="7F7F7F" w:themeColor="text1" w:themeTint="80"/>
        <w:rtl/>
      </w:rPr>
      <w:t>ה</w:t>
    </w:r>
    <w:r w:rsidRPr="00692E38">
      <w:rPr>
        <w:rFonts w:hint="cs"/>
        <w:color w:val="7F7F7F" w:themeColor="text1" w:themeTint="80"/>
        <w:rt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A1EAF" w14:textId="77777777" w:rsidR="00FA2119" w:rsidRDefault="00FA2119" w:rsidP="00A347B3">
    <w:pPr>
      <w:pStyle w:val="af"/>
      <w:rPr>
        <w:color w:val="7F7F7F" w:themeColor="text1" w:themeTint="80"/>
        <w:rtl/>
      </w:rPr>
    </w:pPr>
  </w:p>
  <w:p w14:paraId="2BB7E5EF" w14:textId="77777777" w:rsidR="00FA2119" w:rsidRDefault="00FA2119" w:rsidP="00EA3E10">
    <w:pPr>
      <w:pStyle w:val="af"/>
      <w:jc w:val="center"/>
    </w:pPr>
    <w:r w:rsidRPr="00692E38">
      <w:rPr>
        <w:rFonts w:hint="cs"/>
        <w:color w:val="7F7F7F" w:themeColor="text1" w:themeTint="80"/>
        <w:rtl/>
      </w:rPr>
      <w:t xml:space="preserve">- סימן </w:t>
    </w:r>
    <w:r>
      <w:rPr>
        <w:rFonts w:hint="cs"/>
        <w:color w:val="7F7F7F" w:themeColor="text1" w:themeTint="80"/>
        <w:rtl/>
      </w:rPr>
      <w:t>קכו</w:t>
    </w:r>
    <w:r w:rsidRPr="00692E38">
      <w:rPr>
        <w:rFonts w:hint="cs"/>
        <w:color w:val="7F7F7F" w:themeColor="text1" w:themeTint="80"/>
        <w:rt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C076" w14:textId="77777777" w:rsidR="00FA2119" w:rsidRDefault="00FA2119" w:rsidP="00A347B3">
    <w:pPr>
      <w:pStyle w:val="af"/>
      <w:rPr>
        <w:color w:val="7F7F7F" w:themeColor="text1" w:themeTint="80"/>
        <w:rtl/>
      </w:rPr>
    </w:pPr>
  </w:p>
  <w:p w14:paraId="766F5B96" w14:textId="77777777" w:rsidR="00FA2119" w:rsidRDefault="00FA2119" w:rsidP="00EA3E10">
    <w:pPr>
      <w:pStyle w:val="af"/>
      <w:jc w:val="center"/>
    </w:pPr>
    <w:r w:rsidRPr="00692E38">
      <w:rPr>
        <w:rFonts w:hint="cs"/>
        <w:color w:val="7F7F7F" w:themeColor="text1" w:themeTint="80"/>
        <w:rtl/>
      </w:rPr>
      <w:t xml:space="preserve">- סימן </w:t>
    </w:r>
    <w:r>
      <w:rPr>
        <w:rFonts w:hint="cs"/>
        <w:color w:val="7F7F7F" w:themeColor="text1" w:themeTint="80"/>
        <w:rtl/>
      </w:rPr>
      <w:t>קכז</w:t>
    </w:r>
    <w:r w:rsidRPr="00692E38">
      <w:rPr>
        <w:rFonts w:hint="cs"/>
        <w:color w:val="7F7F7F" w:themeColor="text1" w:themeTint="8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169"/>
    <w:multiLevelType w:val="hybridMultilevel"/>
    <w:tmpl w:val="93744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C17A4"/>
    <w:multiLevelType w:val="hybridMultilevel"/>
    <w:tmpl w:val="DDDA7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64459"/>
    <w:multiLevelType w:val="hybridMultilevel"/>
    <w:tmpl w:val="7B866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3F18DF"/>
    <w:multiLevelType w:val="hybridMultilevel"/>
    <w:tmpl w:val="AEB4C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344782"/>
    <w:multiLevelType w:val="hybridMultilevel"/>
    <w:tmpl w:val="1AFA6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A7F4B"/>
    <w:multiLevelType w:val="hybridMultilevel"/>
    <w:tmpl w:val="B232A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03818"/>
    <w:multiLevelType w:val="hybridMultilevel"/>
    <w:tmpl w:val="4EEC2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255710"/>
    <w:multiLevelType w:val="hybridMultilevel"/>
    <w:tmpl w:val="975E9A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8B17F3"/>
    <w:multiLevelType w:val="hybridMultilevel"/>
    <w:tmpl w:val="4D32F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8A697D"/>
    <w:multiLevelType w:val="hybridMultilevel"/>
    <w:tmpl w:val="38AC91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BF471A"/>
    <w:multiLevelType w:val="hybridMultilevel"/>
    <w:tmpl w:val="32B4A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7751E6"/>
    <w:multiLevelType w:val="hybridMultilevel"/>
    <w:tmpl w:val="6422E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F63834"/>
    <w:multiLevelType w:val="hybridMultilevel"/>
    <w:tmpl w:val="BCD60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76703A"/>
    <w:multiLevelType w:val="hybridMultilevel"/>
    <w:tmpl w:val="440E4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3D3A52"/>
    <w:multiLevelType w:val="hybridMultilevel"/>
    <w:tmpl w:val="353A7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975285"/>
    <w:multiLevelType w:val="hybridMultilevel"/>
    <w:tmpl w:val="653E5714"/>
    <w:lvl w:ilvl="0" w:tplc="1018D41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DD3FBF"/>
    <w:multiLevelType w:val="hybridMultilevel"/>
    <w:tmpl w:val="EE20FB84"/>
    <w:lvl w:ilvl="0" w:tplc="872283E8">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07F10E6"/>
    <w:multiLevelType w:val="hybridMultilevel"/>
    <w:tmpl w:val="B300B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105561"/>
    <w:multiLevelType w:val="hybridMultilevel"/>
    <w:tmpl w:val="4B8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797CA1"/>
    <w:multiLevelType w:val="hybridMultilevel"/>
    <w:tmpl w:val="91CCC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2167B2E"/>
    <w:multiLevelType w:val="hybridMultilevel"/>
    <w:tmpl w:val="2CC87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3E5803"/>
    <w:multiLevelType w:val="hybridMultilevel"/>
    <w:tmpl w:val="3D880150"/>
    <w:lvl w:ilvl="0" w:tplc="A36016E6">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158B355E"/>
    <w:multiLevelType w:val="hybridMultilevel"/>
    <w:tmpl w:val="450A2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7681FDA"/>
    <w:multiLevelType w:val="hybridMultilevel"/>
    <w:tmpl w:val="46220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18B57FB6"/>
    <w:multiLevelType w:val="hybridMultilevel"/>
    <w:tmpl w:val="E03A9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99A598B"/>
    <w:multiLevelType w:val="hybridMultilevel"/>
    <w:tmpl w:val="0F2A2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AFB4F3E"/>
    <w:multiLevelType w:val="hybridMultilevel"/>
    <w:tmpl w:val="B7281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C120640"/>
    <w:multiLevelType w:val="hybridMultilevel"/>
    <w:tmpl w:val="F3BAA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C5E6D7C"/>
    <w:multiLevelType w:val="hybridMultilevel"/>
    <w:tmpl w:val="0090F6F2"/>
    <w:lvl w:ilvl="0" w:tplc="39D2883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1C80179B"/>
    <w:multiLevelType w:val="hybridMultilevel"/>
    <w:tmpl w:val="34528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CF64B9D"/>
    <w:multiLevelType w:val="hybridMultilevel"/>
    <w:tmpl w:val="02527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D5D2277"/>
    <w:multiLevelType w:val="hybridMultilevel"/>
    <w:tmpl w:val="B5368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1D6E2B60"/>
    <w:multiLevelType w:val="hybridMultilevel"/>
    <w:tmpl w:val="131C6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F261F23"/>
    <w:multiLevelType w:val="hybridMultilevel"/>
    <w:tmpl w:val="AB960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1F832897"/>
    <w:multiLevelType w:val="hybridMultilevel"/>
    <w:tmpl w:val="D7FA4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0161A8E"/>
    <w:multiLevelType w:val="hybridMultilevel"/>
    <w:tmpl w:val="DBB4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2B523A9"/>
    <w:multiLevelType w:val="hybridMultilevel"/>
    <w:tmpl w:val="9DC6639A"/>
    <w:lvl w:ilvl="0" w:tplc="4A4C967E">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24B85EF2"/>
    <w:multiLevelType w:val="hybridMultilevel"/>
    <w:tmpl w:val="AC746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24C85511"/>
    <w:multiLevelType w:val="hybridMultilevel"/>
    <w:tmpl w:val="EDFA4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4ED557C"/>
    <w:multiLevelType w:val="hybridMultilevel"/>
    <w:tmpl w:val="48741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61E0C3B"/>
    <w:multiLevelType w:val="hybridMultilevel"/>
    <w:tmpl w:val="56DCB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26721BC2"/>
    <w:multiLevelType w:val="hybridMultilevel"/>
    <w:tmpl w:val="4E103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67B7C25"/>
    <w:multiLevelType w:val="hybridMultilevel"/>
    <w:tmpl w:val="D9EEF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6D4AE0"/>
    <w:multiLevelType w:val="hybridMultilevel"/>
    <w:tmpl w:val="74706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29C647A0"/>
    <w:multiLevelType w:val="hybridMultilevel"/>
    <w:tmpl w:val="F93C1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2EFD676A"/>
    <w:multiLevelType w:val="hybridMultilevel"/>
    <w:tmpl w:val="9F808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11E1322"/>
    <w:multiLevelType w:val="hybridMultilevel"/>
    <w:tmpl w:val="67B62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13F066A"/>
    <w:multiLevelType w:val="hybridMultilevel"/>
    <w:tmpl w:val="72185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146114B"/>
    <w:multiLevelType w:val="hybridMultilevel"/>
    <w:tmpl w:val="24986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33FD3425"/>
    <w:multiLevelType w:val="hybridMultilevel"/>
    <w:tmpl w:val="424CB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4525E9D"/>
    <w:multiLevelType w:val="hybridMultilevel"/>
    <w:tmpl w:val="9870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68B2562"/>
    <w:multiLevelType w:val="hybridMultilevel"/>
    <w:tmpl w:val="C8200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6B04903"/>
    <w:multiLevelType w:val="hybridMultilevel"/>
    <w:tmpl w:val="623634AE"/>
    <w:lvl w:ilvl="0" w:tplc="1018D41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6C314ED"/>
    <w:multiLevelType w:val="hybridMultilevel"/>
    <w:tmpl w:val="4546E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938601D"/>
    <w:multiLevelType w:val="hybridMultilevel"/>
    <w:tmpl w:val="718EF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397F770D"/>
    <w:multiLevelType w:val="hybridMultilevel"/>
    <w:tmpl w:val="F3EE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CD87827"/>
    <w:multiLevelType w:val="hybridMultilevel"/>
    <w:tmpl w:val="C7188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3D466A92"/>
    <w:multiLevelType w:val="hybridMultilevel"/>
    <w:tmpl w:val="F892C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D4F4E0B"/>
    <w:multiLevelType w:val="hybridMultilevel"/>
    <w:tmpl w:val="89A8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D9E069A"/>
    <w:multiLevelType w:val="hybridMultilevel"/>
    <w:tmpl w:val="FAAC5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3E436308"/>
    <w:multiLevelType w:val="hybridMultilevel"/>
    <w:tmpl w:val="3830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F2359A1"/>
    <w:multiLevelType w:val="hybridMultilevel"/>
    <w:tmpl w:val="899C9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400002B6"/>
    <w:multiLevelType w:val="hybridMultilevel"/>
    <w:tmpl w:val="28327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0E24D54"/>
    <w:multiLevelType w:val="hybridMultilevel"/>
    <w:tmpl w:val="C2049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434200B2"/>
    <w:multiLevelType w:val="hybridMultilevel"/>
    <w:tmpl w:val="4A0C0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3555860"/>
    <w:multiLevelType w:val="hybridMultilevel"/>
    <w:tmpl w:val="3558F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3955C5B"/>
    <w:multiLevelType w:val="hybridMultilevel"/>
    <w:tmpl w:val="BC161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44F76D08"/>
    <w:multiLevelType w:val="hybridMultilevel"/>
    <w:tmpl w:val="3C3E8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63A514C"/>
    <w:multiLevelType w:val="hybridMultilevel"/>
    <w:tmpl w:val="DC5A0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6530EF7"/>
    <w:multiLevelType w:val="hybridMultilevel"/>
    <w:tmpl w:val="353EE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47AC6081"/>
    <w:multiLevelType w:val="hybridMultilevel"/>
    <w:tmpl w:val="7504B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7EC750F"/>
    <w:multiLevelType w:val="hybridMultilevel"/>
    <w:tmpl w:val="D090B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48B34061"/>
    <w:multiLevelType w:val="hybridMultilevel"/>
    <w:tmpl w:val="04C65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15:restartNumberingAfterBreak="0">
    <w:nsid w:val="48EF363B"/>
    <w:multiLevelType w:val="hybridMultilevel"/>
    <w:tmpl w:val="7736C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492E3BE0"/>
    <w:multiLevelType w:val="hybridMultilevel"/>
    <w:tmpl w:val="761E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9A80554"/>
    <w:multiLevelType w:val="hybridMultilevel"/>
    <w:tmpl w:val="9E825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4AB83AD5"/>
    <w:multiLevelType w:val="hybridMultilevel"/>
    <w:tmpl w:val="B57C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C5402FF"/>
    <w:multiLevelType w:val="hybridMultilevel"/>
    <w:tmpl w:val="385C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C7742E5"/>
    <w:multiLevelType w:val="hybridMultilevel"/>
    <w:tmpl w:val="30CC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CC90ECC"/>
    <w:multiLevelType w:val="hybridMultilevel"/>
    <w:tmpl w:val="9B966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4D946D97"/>
    <w:multiLevelType w:val="hybridMultilevel"/>
    <w:tmpl w:val="56D4547A"/>
    <w:lvl w:ilvl="0" w:tplc="1018D410">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E2645F2"/>
    <w:multiLevelType w:val="hybridMultilevel"/>
    <w:tmpl w:val="4AE833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E7F20F5"/>
    <w:multiLevelType w:val="hybridMultilevel"/>
    <w:tmpl w:val="25A0C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FF104FE"/>
    <w:multiLevelType w:val="hybridMultilevel"/>
    <w:tmpl w:val="52365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51696D8F"/>
    <w:multiLevelType w:val="hybridMultilevel"/>
    <w:tmpl w:val="B37E8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2455CC4"/>
    <w:multiLevelType w:val="hybridMultilevel"/>
    <w:tmpl w:val="67CA4112"/>
    <w:lvl w:ilvl="0" w:tplc="1018D41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3825A08"/>
    <w:multiLevelType w:val="hybridMultilevel"/>
    <w:tmpl w:val="817E5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4406E17"/>
    <w:multiLevelType w:val="hybridMultilevel"/>
    <w:tmpl w:val="4DC86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48F29E0"/>
    <w:multiLevelType w:val="hybridMultilevel"/>
    <w:tmpl w:val="58564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6D0270B"/>
    <w:multiLevelType w:val="hybridMultilevel"/>
    <w:tmpl w:val="B824C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7B874F2"/>
    <w:multiLevelType w:val="hybridMultilevel"/>
    <w:tmpl w:val="82DCD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1" w15:restartNumberingAfterBreak="0">
    <w:nsid w:val="58905090"/>
    <w:multiLevelType w:val="hybridMultilevel"/>
    <w:tmpl w:val="F230A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58D65C79"/>
    <w:multiLevelType w:val="hybridMultilevel"/>
    <w:tmpl w:val="AF74A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A01338F"/>
    <w:multiLevelType w:val="hybridMultilevel"/>
    <w:tmpl w:val="4296E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A0420CA"/>
    <w:multiLevelType w:val="hybridMultilevel"/>
    <w:tmpl w:val="4FE21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A55377A"/>
    <w:multiLevelType w:val="hybridMultilevel"/>
    <w:tmpl w:val="FAEE1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C2D7AD4"/>
    <w:multiLevelType w:val="hybridMultilevel"/>
    <w:tmpl w:val="DBB65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7" w15:restartNumberingAfterBreak="0">
    <w:nsid w:val="5D7523AC"/>
    <w:multiLevelType w:val="hybridMultilevel"/>
    <w:tmpl w:val="519AD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8" w15:restartNumberingAfterBreak="0">
    <w:nsid w:val="5EBB6E55"/>
    <w:multiLevelType w:val="hybridMultilevel"/>
    <w:tmpl w:val="C7662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F005348"/>
    <w:multiLevelType w:val="hybridMultilevel"/>
    <w:tmpl w:val="69A0B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FFA3366"/>
    <w:multiLevelType w:val="hybridMultilevel"/>
    <w:tmpl w:val="EB84E5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1" w15:restartNumberingAfterBreak="0">
    <w:nsid w:val="615541D8"/>
    <w:multiLevelType w:val="hybridMultilevel"/>
    <w:tmpl w:val="81FE9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3A87543"/>
    <w:multiLevelType w:val="hybridMultilevel"/>
    <w:tmpl w:val="D834E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4C074BE"/>
    <w:multiLevelType w:val="hybridMultilevel"/>
    <w:tmpl w:val="CDF4A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4C7054E"/>
    <w:multiLevelType w:val="hybridMultilevel"/>
    <w:tmpl w:val="4B3A4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760180C"/>
    <w:multiLevelType w:val="hybridMultilevel"/>
    <w:tmpl w:val="52F4B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7614909"/>
    <w:multiLevelType w:val="hybridMultilevel"/>
    <w:tmpl w:val="604A4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92A3D24"/>
    <w:multiLevelType w:val="hybridMultilevel"/>
    <w:tmpl w:val="879A93D4"/>
    <w:lvl w:ilvl="0" w:tplc="BD8EA9AC">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99C569D"/>
    <w:multiLevelType w:val="hybridMultilevel"/>
    <w:tmpl w:val="3DBA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AE4032D"/>
    <w:multiLevelType w:val="hybridMultilevel"/>
    <w:tmpl w:val="18EA3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D5A5FD9"/>
    <w:multiLevelType w:val="hybridMultilevel"/>
    <w:tmpl w:val="815AD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E87043D"/>
    <w:multiLevelType w:val="hybridMultilevel"/>
    <w:tmpl w:val="F848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2" w15:restartNumberingAfterBreak="0">
    <w:nsid w:val="6EE33AEF"/>
    <w:multiLevelType w:val="hybridMultilevel"/>
    <w:tmpl w:val="73309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6F5C5A47"/>
    <w:multiLevelType w:val="hybridMultilevel"/>
    <w:tmpl w:val="3B36D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15:restartNumberingAfterBreak="0">
    <w:nsid w:val="6F76591F"/>
    <w:multiLevelType w:val="hybridMultilevel"/>
    <w:tmpl w:val="76C01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15:restartNumberingAfterBreak="0">
    <w:nsid w:val="70827B29"/>
    <w:multiLevelType w:val="hybridMultilevel"/>
    <w:tmpl w:val="40883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71F34DC5"/>
    <w:multiLevelType w:val="hybridMultilevel"/>
    <w:tmpl w:val="65DAC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23937FE"/>
    <w:multiLevelType w:val="hybridMultilevel"/>
    <w:tmpl w:val="86CE1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246324F"/>
    <w:multiLevelType w:val="hybridMultilevel"/>
    <w:tmpl w:val="876A8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45C2D0E"/>
    <w:multiLevelType w:val="hybridMultilevel"/>
    <w:tmpl w:val="BAFE2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0" w15:restartNumberingAfterBreak="0">
    <w:nsid w:val="74F47A95"/>
    <w:multiLevelType w:val="hybridMultilevel"/>
    <w:tmpl w:val="EE52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589621D"/>
    <w:multiLevelType w:val="hybridMultilevel"/>
    <w:tmpl w:val="C34A6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A0C67BD"/>
    <w:multiLevelType w:val="hybridMultilevel"/>
    <w:tmpl w:val="FB883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3" w15:restartNumberingAfterBreak="0">
    <w:nsid w:val="7A4E547B"/>
    <w:multiLevelType w:val="hybridMultilevel"/>
    <w:tmpl w:val="55921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4" w15:restartNumberingAfterBreak="0">
    <w:nsid w:val="7B1474A2"/>
    <w:multiLevelType w:val="hybridMultilevel"/>
    <w:tmpl w:val="631E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B3D3953"/>
    <w:multiLevelType w:val="hybridMultilevel"/>
    <w:tmpl w:val="06EAB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6" w15:restartNumberingAfterBreak="0">
    <w:nsid w:val="7B705BBC"/>
    <w:multiLevelType w:val="hybridMultilevel"/>
    <w:tmpl w:val="FE907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7" w15:restartNumberingAfterBreak="0">
    <w:nsid w:val="7BDD2E6C"/>
    <w:multiLevelType w:val="hybridMultilevel"/>
    <w:tmpl w:val="4D7C0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CDB2A62"/>
    <w:multiLevelType w:val="hybridMultilevel"/>
    <w:tmpl w:val="59F6B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DF030E9"/>
    <w:multiLevelType w:val="hybridMultilevel"/>
    <w:tmpl w:val="4688665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30" w15:restartNumberingAfterBreak="0">
    <w:nsid w:val="7E2C409B"/>
    <w:multiLevelType w:val="hybridMultilevel"/>
    <w:tmpl w:val="40AA1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6465172">
    <w:abstractNumId w:val="105"/>
  </w:num>
  <w:num w:numId="2" w16cid:durableId="400253334">
    <w:abstractNumId w:val="106"/>
  </w:num>
  <w:num w:numId="3" w16cid:durableId="2043166231">
    <w:abstractNumId w:val="93"/>
  </w:num>
  <w:num w:numId="4" w16cid:durableId="306326251">
    <w:abstractNumId w:val="0"/>
  </w:num>
  <w:num w:numId="5" w16cid:durableId="1642419766">
    <w:abstractNumId w:val="49"/>
  </w:num>
  <w:num w:numId="6" w16cid:durableId="1223637787">
    <w:abstractNumId w:val="42"/>
  </w:num>
  <w:num w:numId="7" w16cid:durableId="966735930">
    <w:abstractNumId w:val="35"/>
  </w:num>
  <w:num w:numId="8" w16cid:durableId="1757633599">
    <w:abstractNumId w:val="38"/>
  </w:num>
  <w:num w:numId="9" w16cid:durableId="1700160943">
    <w:abstractNumId w:val="50"/>
  </w:num>
  <w:num w:numId="10" w16cid:durableId="996031407">
    <w:abstractNumId w:val="26"/>
  </w:num>
  <w:num w:numId="11" w16cid:durableId="2047364509">
    <w:abstractNumId w:val="86"/>
  </w:num>
  <w:num w:numId="12" w16cid:durableId="117770579">
    <w:abstractNumId w:val="121"/>
  </w:num>
  <w:num w:numId="13" w16cid:durableId="1049107716">
    <w:abstractNumId w:val="124"/>
  </w:num>
  <w:num w:numId="14" w16cid:durableId="388116643">
    <w:abstractNumId w:val="128"/>
  </w:num>
  <w:num w:numId="15" w16cid:durableId="188809526">
    <w:abstractNumId w:val="92"/>
  </w:num>
  <w:num w:numId="16" w16cid:durableId="34935367">
    <w:abstractNumId w:val="25"/>
  </w:num>
  <w:num w:numId="17" w16cid:durableId="293676899">
    <w:abstractNumId w:val="30"/>
  </w:num>
  <w:num w:numId="18" w16cid:durableId="303706025">
    <w:abstractNumId w:val="47"/>
  </w:num>
  <w:num w:numId="19" w16cid:durableId="1929539561">
    <w:abstractNumId w:val="12"/>
  </w:num>
  <w:num w:numId="20" w16cid:durableId="1182091210">
    <w:abstractNumId w:val="78"/>
  </w:num>
  <w:num w:numId="21" w16cid:durableId="1492872638">
    <w:abstractNumId w:val="102"/>
  </w:num>
  <w:num w:numId="22" w16cid:durableId="1237714928">
    <w:abstractNumId w:val="76"/>
  </w:num>
  <w:num w:numId="23" w16cid:durableId="464012099">
    <w:abstractNumId w:val="87"/>
  </w:num>
  <w:num w:numId="24" w16cid:durableId="1018848496">
    <w:abstractNumId w:val="94"/>
  </w:num>
  <w:num w:numId="25" w16cid:durableId="1061900197">
    <w:abstractNumId w:val="34"/>
  </w:num>
  <w:num w:numId="26" w16cid:durableId="1678923373">
    <w:abstractNumId w:val="129"/>
  </w:num>
  <w:num w:numId="27" w16cid:durableId="2118064138">
    <w:abstractNumId w:val="8"/>
  </w:num>
  <w:num w:numId="28" w16cid:durableId="458036622">
    <w:abstractNumId w:val="89"/>
  </w:num>
  <w:num w:numId="29" w16cid:durableId="479275877">
    <w:abstractNumId w:val="27"/>
  </w:num>
  <w:num w:numId="30" w16cid:durableId="287855584">
    <w:abstractNumId w:val="60"/>
  </w:num>
  <w:num w:numId="31" w16cid:durableId="591086254">
    <w:abstractNumId w:val="68"/>
  </w:num>
  <w:num w:numId="32" w16cid:durableId="377819435">
    <w:abstractNumId w:val="45"/>
  </w:num>
  <w:num w:numId="33" w16cid:durableId="2110268864">
    <w:abstractNumId w:val="22"/>
  </w:num>
  <w:num w:numId="34" w16cid:durableId="776868054">
    <w:abstractNumId w:val="81"/>
  </w:num>
  <w:num w:numId="35" w16cid:durableId="322781484">
    <w:abstractNumId w:val="1"/>
  </w:num>
  <w:num w:numId="36" w16cid:durableId="1911037171">
    <w:abstractNumId w:val="88"/>
  </w:num>
  <w:num w:numId="37" w16cid:durableId="641927453">
    <w:abstractNumId w:val="57"/>
  </w:num>
  <w:num w:numId="38" w16cid:durableId="1044217271">
    <w:abstractNumId w:val="62"/>
  </w:num>
  <w:num w:numId="39" w16cid:durableId="120075764">
    <w:abstractNumId w:val="95"/>
  </w:num>
  <w:num w:numId="40" w16cid:durableId="1919510785">
    <w:abstractNumId w:val="7"/>
  </w:num>
  <w:num w:numId="41" w16cid:durableId="206533545">
    <w:abstractNumId w:val="15"/>
  </w:num>
  <w:num w:numId="42" w16cid:durableId="1503159285">
    <w:abstractNumId w:val="9"/>
  </w:num>
  <w:num w:numId="43" w16cid:durableId="759524411">
    <w:abstractNumId w:val="103"/>
  </w:num>
  <w:num w:numId="44" w16cid:durableId="1680307179">
    <w:abstractNumId w:val="24"/>
  </w:num>
  <w:num w:numId="45" w16cid:durableId="1643731596">
    <w:abstractNumId w:val="13"/>
  </w:num>
  <w:num w:numId="46" w16cid:durableId="1202866785">
    <w:abstractNumId w:val="104"/>
  </w:num>
  <w:num w:numId="47" w16cid:durableId="2137603347">
    <w:abstractNumId w:val="80"/>
  </w:num>
  <w:num w:numId="48" w16cid:durableId="1569724010">
    <w:abstractNumId w:val="85"/>
  </w:num>
  <w:num w:numId="49" w16cid:durableId="693699117">
    <w:abstractNumId w:val="52"/>
  </w:num>
  <w:num w:numId="50" w16cid:durableId="1451388691">
    <w:abstractNumId w:val="17"/>
  </w:num>
  <w:num w:numId="51" w16cid:durableId="700743583">
    <w:abstractNumId w:val="41"/>
  </w:num>
  <w:num w:numId="52" w16cid:durableId="1988853180">
    <w:abstractNumId w:val="118"/>
  </w:num>
  <w:num w:numId="53" w16cid:durableId="1510487066">
    <w:abstractNumId w:val="14"/>
  </w:num>
  <w:num w:numId="54" w16cid:durableId="292178046">
    <w:abstractNumId w:val="65"/>
  </w:num>
  <w:num w:numId="55" w16cid:durableId="1371303788">
    <w:abstractNumId w:val="70"/>
  </w:num>
  <w:num w:numId="56" w16cid:durableId="1174681528">
    <w:abstractNumId w:val="130"/>
  </w:num>
  <w:num w:numId="57" w16cid:durableId="1542472994">
    <w:abstractNumId w:val="84"/>
  </w:num>
  <w:num w:numId="58" w16cid:durableId="1496451898">
    <w:abstractNumId w:val="2"/>
  </w:num>
  <w:num w:numId="59" w16cid:durableId="1716853875">
    <w:abstractNumId w:val="29"/>
  </w:num>
  <w:num w:numId="60" w16cid:durableId="370230059">
    <w:abstractNumId w:val="20"/>
  </w:num>
  <w:num w:numId="61" w16cid:durableId="241525884">
    <w:abstractNumId w:val="11"/>
  </w:num>
  <w:num w:numId="62" w16cid:durableId="1210190052">
    <w:abstractNumId w:val="120"/>
  </w:num>
  <w:num w:numId="63" w16cid:durableId="1272203094">
    <w:abstractNumId w:val="5"/>
  </w:num>
  <w:num w:numId="64" w16cid:durableId="2014717010">
    <w:abstractNumId w:val="55"/>
  </w:num>
  <w:num w:numId="65" w16cid:durableId="274218205">
    <w:abstractNumId w:val="110"/>
  </w:num>
  <w:num w:numId="66" w16cid:durableId="589122594">
    <w:abstractNumId w:val="3"/>
  </w:num>
  <w:num w:numId="67" w16cid:durableId="208686810">
    <w:abstractNumId w:val="51"/>
  </w:num>
  <w:num w:numId="68" w16cid:durableId="960452175">
    <w:abstractNumId w:val="39"/>
  </w:num>
  <w:num w:numId="69" w16cid:durableId="1516731314">
    <w:abstractNumId w:val="107"/>
  </w:num>
  <w:num w:numId="70" w16cid:durableId="890187170">
    <w:abstractNumId w:val="32"/>
  </w:num>
  <w:num w:numId="71" w16cid:durableId="1414208408">
    <w:abstractNumId w:val="82"/>
  </w:num>
  <w:num w:numId="72" w16cid:durableId="1258059612">
    <w:abstractNumId w:val="53"/>
  </w:num>
  <w:num w:numId="73" w16cid:durableId="1523470567">
    <w:abstractNumId w:val="74"/>
  </w:num>
  <w:num w:numId="74" w16cid:durableId="1983269876">
    <w:abstractNumId w:val="116"/>
  </w:num>
  <w:num w:numId="75" w16cid:durableId="667516745">
    <w:abstractNumId w:val="109"/>
  </w:num>
  <w:num w:numId="76" w16cid:durableId="1821650135">
    <w:abstractNumId w:val="4"/>
  </w:num>
  <w:num w:numId="77" w16cid:durableId="1883207782">
    <w:abstractNumId w:val="108"/>
  </w:num>
  <w:num w:numId="78" w16cid:durableId="891118414">
    <w:abstractNumId w:val="46"/>
  </w:num>
  <w:num w:numId="79" w16cid:durableId="1973175747">
    <w:abstractNumId w:val="64"/>
  </w:num>
  <w:num w:numId="80" w16cid:durableId="494493493">
    <w:abstractNumId w:val="98"/>
  </w:num>
  <w:num w:numId="81" w16cid:durableId="1020618568">
    <w:abstractNumId w:val="67"/>
  </w:num>
  <w:num w:numId="82" w16cid:durableId="291712763">
    <w:abstractNumId w:val="58"/>
  </w:num>
  <w:num w:numId="83" w16cid:durableId="436678025">
    <w:abstractNumId w:val="6"/>
  </w:num>
  <w:num w:numId="84" w16cid:durableId="304512576">
    <w:abstractNumId w:val="101"/>
  </w:num>
  <w:num w:numId="85" w16cid:durableId="1029916848">
    <w:abstractNumId w:val="127"/>
  </w:num>
  <w:num w:numId="86" w16cid:durableId="1269266277">
    <w:abstractNumId w:val="117"/>
  </w:num>
  <w:num w:numId="87" w16cid:durableId="911935917">
    <w:abstractNumId w:val="19"/>
  </w:num>
  <w:num w:numId="88" w16cid:durableId="1813710899">
    <w:abstractNumId w:val="99"/>
  </w:num>
  <w:num w:numId="89" w16cid:durableId="2078285459">
    <w:abstractNumId w:val="119"/>
  </w:num>
  <w:num w:numId="90" w16cid:durableId="151869578">
    <w:abstractNumId w:val="54"/>
  </w:num>
  <w:num w:numId="91" w16cid:durableId="2034070190">
    <w:abstractNumId w:val="122"/>
  </w:num>
  <w:num w:numId="92" w16cid:durableId="713381998">
    <w:abstractNumId w:val="36"/>
  </w:num>
  <w:num w:numId="93" w16cid:durableId="1472166848">
    <w:abstractNumId w:val="61"/>
  </w:num>
  <w:num w:numId="94" w16cid:durableId="414933408">
    <w:abstractNumId w:val="97"/>
  </w:num>
  <w:num w:numId="95" w16cid:durableId="1957130520">
    <w:abstractNumId w:val="71"/>
  </w:num>
  <w:num w:numId="96" w16cid:durableId="1219130232">
    <w:abstractNumId w:val="100"/>
  </w:num>
  <w:num w:numId="97" w16cid:durableId="1539972128">
    <w:abstractNumId w:val="113"/>
  </w:num>
  <w:num w:numId="98" w16cid:durableId="971132571">
    <w:abstractNumId w:val="66"/>
  </w:num>
  <w:num w:numId="99" w16cid:durableId="1389767348">
    <w:abstractNumId w:val="91"/>
  </w:num>
  <w:num w:numId="100" w16cid:durableId="1132945847">
    <w:abstractNumId w:val="63"/>
  </w:num>
  <w:num w:numId="101" w16cid:durableId="414325390">
    <w:abstractNumId w:val="75"/>
  </w:num>
  <w:num w:numId="102" w16cid:durableId="2008822406">
    <w:abstractNumId w:val="21"/>
  </w:num>
  <w:num w:numId="103" w16cid:durableId="1278027597">
    <w:abstractNumId w:val="48"/>
  </w:num>
  <w:num w:numId="104" w16cid:durableId="421878171">
    <w:abstractNumId w:val="125"/>
  </w:num>
  <w:num w:numId="105" w16cid:durableId="1057044431">
    <w:abstractNumId w:val="44"/>
  </w:num>
  <w:num w:numId="106" w16cid:durableId="221643100">
    <w:abstractNumId w:val="37"/>
  </w:num>
  <w:num w:numId="107" w16cid:durableId="1780880266">
    <w:abstractNumId w:val="111"/>
  </w:num>
  <w:num w:numId="108" w16cid:durableId="253054675">
    <w:abstractNumId w:val="33"/>
  </w:num>
  <w:num w:numId="109" w16cid:durableId="1234392815">
    <w:abstractNumId w:val="59"/>
  </w:num>
  <w:num w:numId="110" w16cid:durableId="759833718">
    <w:abstractNumId w:val="73"/>
  </w:num>
  <w:num w:numId="111" w16cid:durableId="203449834">
    <w:abstractNumId w:val="90"/>
  </w:num>
  <w:num w:numId="112" w16cid:durableId="745420985">
    <w:abstractNumId w:val="69"/>
  </w:num>
  <w:num w:numId="113" w16cid:durableId="864634015">
    <w:abstractNumId w:val="112"/>
  </w:num>
  <w:num w:numId="114" w16cid:durableId="40055607">
    <w:abstractNumId w:val="31"/>
  </w:num>
  <w:num w:numId="115" w16cid:durableId="777874469">
    <w:abstractNumId w:val="56"/>
  </w:num>
  <w:num w:numId="116" w16cid:durableId="242490113">
    <w:abstractNumId w:val="115"/>
  </w:num>
  <w:num w:numId="117" w16cid:durableId="128017036">
    <w:abstractNumId w:val="28"/>
  </w:num>
  <w:num w:numId="118" w16cid:durableId="66148596">
    <w:abstractNumId w:val="72"/>
  </w:num>
  <w:num w:numId="119" w16cid:durableId="1418861567">
    <w:abstractNumId w:val="23"/>
  </w:num>
  <w:num w:numId="120" w16cid:durableId="1522668114">
    <w:abstractNumId w:val="79"/>
  </w:num>
  <w:num w:numId="121" w16cid:durableId="1657685837">
    <w:abstractNumId w:val="96"/>
  </w:num>
  <w:num w:numId="122" w16cid:durableId="157768955">
    <w:abstractNumId w:val="43"/>
  </w:num>
  <w:num w:numId="123" w16cid:durableId="2119790843">
    <w:abstractNumId w:val="40"/>
  </w:num>
  <w:num w:numId="124" w16cid:durableId="1564415417">
    <w:abstractNumId w:val="123"/>
  </w:num>
  <w:num w:numId="125" w16cid:durableId="1200170543">
    <w:abstractNumId w:val="83"/>
  </w:num>
  <w:num w:numId="126" w16cid:durableId="379281029">
    <w:abstractNumId w:val="126"/>
  </w:num>
  <w:num w:numId="127" w16cid:durableId="992677604">
    <w:abstractNumId w:val="114"/>
  </w:num>
  <w:num w:numId="128" w16cid:durableId="12374694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327124127">
    <w:abstractNumId w:val="10"/>
  </w:num>
  <w:num w:numId="130" w16cid:durableId="483742912">
    <w:abstractNumId w:val="16"/>
  </w:num>
  <w:num w:numId="131" w16cid:durableId="1799688589">
    <w:abstractNumId w:val="18"/>
  </w:num>
  <w:num w:numId="132" w16cid:durableId="1636830416">
    <w:abstractNumId w:val="77"/>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D5"/>
    <w:rsid w:val="000004B6"/>
    <w:rsid w:val="0000090D"/>
    <w:rsid w:val="000009E7"/>
    <w:rsid w:val="00000D37"/>
    <w:rsid w:val="00001D38"/>
    <w:rsid w:val="00002121"/>
    <w:rsid w:val="00002CE3"/>
    <w:rsid w:val="00002F53"/>
    <w:rsid w:val="0000361F"/>
    <w:rsid w:val="00003716"/>
    <w:rsid w:val="00003AA3"/>
    <w:rsid w:val="000042CA"/>
    <w:rsid w:val="00004B09"/>
    <w:rsid w:val="00004E12"/>
    <w:rsid w:val="00004E6F"/>
    <w:rsid w:val="00005321"/>
    <w:rsid w:val="0000589D"/>
    <w:rsid w:val="00006CED"/>
    <w:rsid w:val="00006FA8"/>
    <w:rsid w:val="00007218"/>
    <w:rsid w:val="00010060"/>
    <w:rsid w:val="0001007B"/>
    <w:rsid w:val="00010D53"/>
    <w:rsid w:val="00010E0A"/>
    <w:rsid w:val="000113A0"/>
    <w:rsid w:val="0001174D"/>
    <w:rsid w:val="00011799"/>
    <w:rsid w:val="00012505"/>
    <w:rsid w:val="00012E4B"/>
    <w:rsid w:val="00013B0A"/>
    <w:rsid w:val="00013CB7"/>
    <w:rsid w:val="00013FF6"/>
    <w:rsid w:val="00014A5A"/>
    <w:rsid w:val="00014C95"/>
    <w:rsid w:val="00014D7C"/>
    <w:rsid w:val="00015D6E"/>
    <w:rsid w:val="00015F9C"/>
    <w:rsid w:val="0001618E"/>
    <w:rsid w:val="000161ED"/>
    <w:rsid w:val="00016D8F"/>
    <w:rsid w:val="00016FE8"/>
    <w:rsid w:val="000174D7"/>
    <w:rsid w:val="000174EA"/>
    <w:rsid w:val="00017B2C"/>
    <w:rsid w:val="00017E97"/>
    <w:rsid w:val="00020CD2"/>
    <w:rsid w:val="00021672"/>
    <w:rsid w:val="000219E7"/>
    <w:rsid w:val="00022043"/>
    <w:rsid w:val="0002217D"/>
    <w:rsid w:val="000229B4"/>
    <w:rsid w:val="00022CE4"/>
    <w:rsid w:val="0002329E"/>
    <w:rsid w:val="00024824"/>
    <w:rsid w:val="00024D8F"/>
    <w:rsid w:val="000273FC"/>
    <w:rsid w:val="000276BC"/>
    <w:rsid w:val="00030323"/>
    <w:rsid w:val="00030FD8"/>
    <w:rsid w:val="000310D5"/>
    <w:rsid w:val="00031158"/>
    <w:rsid w:val="00031277"/>
    <w:rsid w:val="00032744"/>
    <w:rsid w:val="00032A99"/>
    <w:rsid w:val="00033ABC"/>
    <w:rsid w:val="00033DDB"/>
    <w:rsid w:val="0003454A"/>
    <w:rsid w:val="000346D8"/>
    <w:rsid w:val="00034C99"/>
    <w:rsid w:val="00034D0F"/>
    <w:rsid w:val="000353BA"/>
    <w:rsid w:val="0003578F"/>
    <w:rsid w:val="000364FA"/>
    <w:rsid w:val="00036DB8"/>
    <w:rsid w:val="000373D2"/>
    <w:rsid w:val="00037D03"/>
    <w:rsid w:val="0004048F"/>
    <w:rsid w:val="000406FE"/>
    <w:rsid w:val="0004082E"/>
    <w:rsid w:val="00041531"/>
    <w:rsid w:val="0004310D"/>
    <w:rsid w:val="00043C97"/>
    <w:rsid w:val="00043CE0"/>
    <w:rsid w:val="00043D89"/>
    <w:rsid w:val="00043DA1"/>
    <w:rsid w:val="00043F8E"/>
    <w:rsid w:val="00044129"/>
    <w:rsid w:val="0004431B"/>
    <w:rsid w:val="0004451E"/>
    <w:rsid w:val="00044AAB"/>
    <w:rsid w:val="000454B0"/>
    <w:rsid w:val="0004578B"/>
    <w:rsid w:val="00046075"/>
    <w:rsid w:val="000464AB"/>
    <w:rsid w:val="000469D8"/>
    <w:rsid w:val="00047294"/>
    <w:rsid w:val="000475EE"/>
    <w:rsid w:val="000500E1"/>
    <w:rsid w:val="000500E4"/>
    <w:rsid w:val="000535CC"/>
    <w:rsid w:val="000539BD"/>
    <w:rsid w:val="00053F50"/>
    <w:rsid w:val="000545CB"/>
    <w:rsid w:val="00054689"/>
    <w:rsid w:val="000546B8"/>
    <w:rsid w:val="0005473B"/>
    <w:rsid w:val="00054A1B"/>
    <w:rsid w:val="00054BAB"/>
    <w:rsid w:val="00055593"/>
    <w:rsid w:val="0005568C"/>
    <w:rsid w:val="000559E4"/>
    <w:rsid w:val="00055AD9"/>
    <w:rsid w:val="00055E7C"/>
    <w:rsid w:val="00056692"/>
    <w:rsid w:val="00056A2A"/>
    <w:rsid w:val="00056A62"/>
    <w:rsid w:val="00057190"/>
    <w:rsid w:val="00057FE0"/>
    <w:rsid w:val="000608BE"/>
    <w:rsid w:val="00060921"/>
    <w:rsid w:val="000628D2"/>
    <w:rsid w:val="00063110"/>
    <w:rsid w:val="0006361A"/>
    <w:rsid w:val="00064860"/>
    <w:rsid w:val="0006506E"/>
    <w:rsid w:val="00065075"/>
    <w:rsid w:val="000653A7"/>
    <w:rsid w:val="00065E2A"/>
    <w:rsid w:val="0006620D"/>
    <w:rsid w:val="0006630D"/>
    <w:rsid w:val="00066436"/>
    <w:rsid w:val="00067B80"/>
    <w:rsid w:val="00070940"/>
    <w:rsid w:val="0007153A"/>
    <w:rsid w:val="00071D03"/>
    <w:rsid w:val="00072163"/>
    <w:rsid w:val="00072A5F"/>
    <w:rsid w:val="00072ABC"/>
    <w:rsid w:val="00072C86"/>
    <w:rsid w:val="00072F37"/>
    <w:rsid w:val="00073279"/>
    <w:rsid w:val="00073BBD"/>
    <w:rsid w:val="00074226"/>
    <w:rsid w:val="00074BDB"/>
    <w:rsid w:val="00074E17"/>
    <w:rsid w:val="00077030"/>
    <w:rsid w:val="00077D3F"/>
    <w:rsid w:val="00080C04"/>
    <w:rsid w:val="00081489"/>
    <w:rsid w:val="00082155"/>
    <w:rsid w:val="00082AE7"/>
    <w:rsid w:val="00082B39"/>
    <w:rsid w:val="000838AF"/>
    <w:rsid w:val="00083B27"/>
    <w:rsid w:val="000848BC"/>
    <w:rsid w:val="00084FB5"/>
    <w:rsid w:val="00085029"/>
    <w:rsid w:val="00085529"/>
    <w:rsid w:val="0008563F"/>
    <w:rsid w:val="00085739"/>
    <w:rsid w:val="000860C6"/>
    <w:rsid w:val="00086275"/>
    <w:rsid w:val="0008677B"/>
    <w:rsid w:val="00086DAE"/>
    <w:rsid w:val="00086E19"/>
    <w:rsid w:val="00087682"/>
    <w:rsid w:val="00087745"/>
    <w:rsid w:val="000877D0"/>
    <w:rsid w:val="00090CC7"/>
    <w:rsid w:val="00091554"/>
    <w:rsid w:val="00091662"/>
    <w:rsid w:val="00091836"/>
    <w:rsid w:val="00091DDA"/>
    <w:rsid w:val="000920A7"/>
    <w:rsid w:val="000922FE"/>
    <w:rsid w:val="00092A73"/>
    <w:rsid w:val="00092C67"/>
    <w:rsid w:val="00093880"/>
    <w:rsid w:val="000938ED"/>
    <w:rsid w:val="000939D0"/>
    <w:rsid w:val="0009450A"/>
    <w:rsid w:val="0009510B"/>
    <w:rsid w:val="00095C14"/>
    <w:rsid w:val="00095C29"/>
    <w:rsid w:val="00095F7E"/>
    <w:rsid w:val="00096FBC"/>
    <w:rsid w:val="00097930"/>
    <w:rsid w:val="000A04D0"/>
    <w:rsid w:val="000A0B8D"/>
    <w:rsid w:val="000A0EF2"/>
    <w:rsid w:val="000A0F5A"/>
    <w:rsid w:val="000A1792"/>
    <w:rsid w:val="000A1874"/>
    <w:rsid w:val="000A1B8A"/>
    <w:rsid w:val="000A1DC0"/>
    <w:rsid w:val="000A2469"/>
    <w:rsid w:val="000A37CF"/>
    <w:rsid w:val="000A4A09"/>
    <w:rsid w:val="000A53F2"/>
    <w:rsid w:val="000A5437"/>
    <w:rsid w:val="000A6295"/>
    <w:rsid w:val="000A6302"/>
    <w:rsid w:val="000A67F3"/>
    <w:rsid w:val="000A77B3"/>
    <w:rsid w:val="000A780D"/>
    <w:rsid w:val="000A7D04"/>
    <w:rsid w:val="000B0112"/>
    <w:rsid w:val="000B04CF"/>
    <w:rsid w:val="000B0A59"/>
    <w:rsid w:val="000B0E90"/>
    <w:rsid w:val="000B1B8A"/>
    <w:rsid w:val="000B2017"/>
    <w:rsid w:val="000B26EA"/>
    <w:rsid w:val="000B31DA"/>
    <w:rsid w:val="000B329E"/>
    <w:rsid w:val="000B339C"/>
    <w:rsid w:val="000B355B"/>
    <w:rsid w:val="000B38EB"/>
    <w:rsid w:val="000B3D64"/>
    <w:rsid w:val="000B6326"/>
    <w:rsid w:val="000B7689"/>
    <w:rsid w:val="000B7B6C"/>
    <w:rsid w:val="000B7D1E"/>
    <w:rsid w:val="000C0D3A"/>
    <w:rsid w:val="000C10EE"/>
    <w:rsid w:val="000C19E9"/>
    <w:rsid w:val="000C226F"/>
    <w:rsid w:val="000C2582"/>
    <w:rsid w:val="000C2FFE"/>
    <w:rsid w:val="000C356B"/>
    <w:rsid w:val="000C399C"/>
    <w:rsid w:val="000C3DD4"/>
    <w:rsid w:val="000C45DC"/>
    <w:rsid w:val="000C4774"/>
    <w:rsid w:val="000C4905"/>
    <w:rsid w:val="000C545D"/>
    <w:rsid w:val="000C58D0"/>
    <w:rsid w:val="000C5B70"/>
    <w:rsid w:val="000C5C09"/>
    <w:rsid w:val="000C5CF3"/>
    <w:rsid w:val="000C5D2F"/>
    <w:rsid w:val="000C6414"/>
    <w:rsid w:val="000C68EA"/>
    <w:rsid w:val="000C7A12"/>
    <w:rsid w:val="000C7C12"/>
    <w:rsid w:val="000D00A0"/>
    <w:rsid w:val="000D01C7"/>
    <w:rsid w:val="000D0D81"/>
    <w:rsid w:val="000D1057"/>
    <w:rsid w:val="000D170A"/>
    <w:rsid w:val="000D1D2F"/>
    <w:rsid w:val="000D2575"/>
    <w:rsid w:val="000D29BA"/>
    <w:rsid w:val="000D2D78"/>
    <w:rsid w:val="000D3204"/>
    <w:rsid w:val="000D394C"/>
    <w:rsid w:val="000D43E8"/>
    <w:rsid w:val="000D4780"/>
    <w:rsid w:val="000D6FBA"/>
    <w:rsid w:val="000D7F60"/>
    <w:rsid w:val="000E0558"/>
    <w:rsid w:val="000E076B"/>
    <w:rsid w:val="000E170A"/>
    <w:rsid w:val="000E1817"/>
    <w:rsid w:val="000E1FAA"/>
    <w:rsid w:val="000E2307"/>
    <w:rsid w:val="000E2611"/>
    <w:rsid w:val="000E2784"/>
    <w:rsid w:val="000E2A40"/>
    <w:rsid w:val="000E2E1A"/>
    <w:rsid w:val="000E3051"/>
    <w:rsid w:val="000E429C"/>
    <w:rsid w:val="000E4ACC"/>
    <w:rsid w:val="000E4C54"/>
    <w:rsid w:val="000E5353"/>
    <w:rsid w:val="000E5BD2"/>
    <w:rsid w:val="000E5C4F"/>
    <w:rsid w:val="000E5E32"/>
    <w:rsid w:val="000E6693"/>
    <w:rsid w:val="000E74A1"/>
    <w:rsid w:val="000E759C"/>
    <w:rsid w:val="000F0E44"/>
    <w:rsid w:val="000F1495"/>
    <w:rsid w:val="000F20BB"/>
    <w:rsid w:val="000F236A"/>
    <w:rsid w:val="000F30C0"/>
    <w:rsid w:val="000F3134"/>
    <w:rsid w:val="000F31B3"/>
    <w:rsid w:val="000F39F6"/>
    <w:rsid w:val="000F3B0C"/>
    <w:rsid w:val="000F4DF0"/>
    <w:rsid w:val="000F5BE2"/>
    <w:rsid w:val="000F5EEA"/>
    <w:rsid w:val="000F69F4"/>
    <w:rsid w:val="000F70FF"/>
    <w:rsid w:val="000F784A"/>
    <w:rsid w:val="000F7B73"/>
    <w:rsid w:val="0010049B"/>
    <w:rsid w:val="00100EA0"/>
    <w:rsid w:val="00101866"/>
    <w:rsid w:val="00102AF8"/>
    <w:rsid w:val="00102B21"/>
    <w:rsid w:val="00102D80"/>
    <w:rsid w:val="00102E0C"/>
    <w:rsid w:val="00103EE3"/>
    <w:rsid w:val="00103FF7"/>
    <w:rsid w:val="001045FB"/>
    <w:rsid w:val="00104A93"/>
    <w:rsid w:val="00105091"/>
    <w:rsid w:val="00105F63"/>
    <w:rsid w:val="001061F9"/>
    <w:rsid w:val="00107B68"/>
    <w:rsid w:val="00110123"/>
    <w:rsid w:val="001102A5"/>
    <w:rsid w:val="00110A63"/>
    <w:rsid w:val="00112042"/>
    <w:rsid w:val="001127F9"/>
    <w:rsid w:val="00112C35"/>
    <w:rsid w:val="001136F3"/>
    <w:rsid w:val="00113A3E"/>
    <w:rsid w:val="00113D26"/>
    <w:rsid w:val="001145F9"/>
    <w:rsid w:val="00114E31"/>
    <w:rsid w:val="00116DD6"/>
    <w:rsid w:val="00117224"/>
    <w:rsid w:val="00120019"/>
    <w:rsid w:val="00120D5B"/>
    <w:rsid w:val="00120FCD"/>
    <w:rsid w:val="00121280"/>
    <w:rsid w:val="001219B1"/>
    <w:rsid w:val="001227DF"/>
    <w:rsid w:val="0012299F"/>
    <w:rsid w:val="001231DA"/>
    <w:rsid w:val="001235CC"/>
    <w:rsid w:val="001237BF"/>
    <w:rsid w:val="00123A38"/>
    <w:rsid w:val="00123EF1"/>
    <w:rsid w:val="0012403F"/>
    <w:rsid w:val="001244C9"/>
    <w:rsid w:val="00125CB8"/>
    <w:rsid w:val="00126527"/>
    <w:rsid w:val="00126C15"/>
    <w:rsid w:val="00127759"/>
    <w:rsid w:val="00127E11"/>
    <w:rsid w:val="001302BF"/>
    <w:rsid w:val="00130425"/>
    <w:rsid w:val="00130BA7"/>
    <w:rsid w:val="00130DB9"/>
    <w:rsid w:val="001313EB"/>
    <w:rsid w:val="00131597"/>
    <w:rsid w:val="00131B50"/>
    <w:rsid w:val="00131C4C"/>
    <w:rsid w:val="0013213C"/>
    <w:rsid w:val="001327CD"/>
    <w:rsid w:val="001332FC"/>
    <w:rsid w:val="001334F8"/>
    <w:rsid w:val="001342B9"/>
    <w:rsid w:val="00134650"/>
    <w:rsid w:val="001355D1"/>
    <w:rsid w:val="001356EE"/>
    <w:rsid w:val="00137907"/>
    <w:rsid w:val="00137E29"/>
    <w:rsid w:val="001403C2"/>
    <w:rsid w:val="0014065A"/>
    <w:rsid w:val="00142096"/>
    <w:rsid w:val="0014280F"/>
    <w:rsid w:val="00142F36"/>
    <w:rsid w:val="00143937"/>
    <w:rsid w:val="00143D84"/>
    <w:rsid w:val="00143E93"/>
    <w:rsid w:val="00144576"/>
    <w:rsid w:val="001449DA"/>
    <w:rsid w:val="00144DBD"/>
    <w:rsid w:val="00145518"/>
    <w:rsid w:val="0014590C"/>
    <w:rsid w:val="00145A96"/>
    <w:rsid w:val="001460EF"/>
    <w:rsid w:val="00146183"/>
    <w:rsid w:val="0014657B"/>
    <w:rsid w:val="0014675E"/>
    <w:rsid w:val="001500B2"/>
    <w:rsid w:val="00151419"/>
    <w:rsid w:val="00151792"/>
    <w:rsid w:val="0015252F"/>
    <w:rsid w:val="0015281F"/>
    <w:rsid w:val="00153E73"/>
    <w:rsid w:val="00154AF3"/>
    <w:rsid w:val="00154CA7"/>
    <w:rsid w:val="00156805"/>
    <w:rsid w:val="001573A7"/>
    <w:rsid w:val="001579A4"/>
    <w:rsid w:val="00157A78"/>
    <w:rsid w:val="00157DBB"/>
    <w:rsid w:val="00157DCD"/>
    <w:rsid w:val="00160BA6"/>
    <w:rsid w:val="00160F57"/>
    <w:rsid w:val="00161E37"/>
    <w:rsid w:val="00161E94"/>
    <w:rsid w:val="001624E9"/>
    <w:rsid w:val="001626F4"/>
    <w:rsid w:val="00162734"/>
    <w:rsid w:val="00162742"/>
    <w:rsid w:val="00162E81"/>
    <w:rsid w:val="00162F8B"/>
    <w:rsid w:val="00163354"/>
    <w:rsid w:val="001638AE"/>
    <w:rsid w:val="00163B17"/>
    <w:rsid w:val="00163D97"/>
    <w:rsid w:val="001640FE"/>
    <w:rsid w:val="00164F6C"/>
    <w:rsid w:val="00165394"/>
    <w:rsid w:val="001661EA"/>
    <w:rsid w:val="00166450"/>
    <w:rsid w:val="00166D88"/>
    <w:rsid w:val="00166EFE"/>
    <w:rsid w:val="001701E0"/>
    <w:rsid w:val="001703C8"/>
    <w:rsid w:val="00170C83"/>
    <w:rsid w:val="00171AC8"/>
    <w:rsid w:val="00172628"/>
    <w:rsid w:val="001726E1"/>
    <w:rsid w:val="00172B29"/>
    <w:rsid w:val="00172B41"/>
    <w:rsid w:val="0017350E"/>
    <w:rsid w:val="00174DE6"/>
    <w:rsid w:val="0017512A"/>
    <w:rsid w:val="00175410"/>
    <w:rsid w:val="00175747"/>
    <w:rsid w:val="00175AE7"/>
    <w:rsid w:val="001768FE"/>
    <w:rsid w:val="001771F0"/>
    <w:rsid w:val="001775D0"/>
    <w:rsid w:val="0018059F"/>
    <w:rsid w:val="001806E2"/>
    <w:rsid w:val="00180813"/>
    <w:rsid w:val="00180ACC"/>
    <w:rsid w:val="00180D77"/>
    <w:rsid w:val="00181024"/>
    <w:rsid w:val="00181734"/>
    <w:rsid w:val="00182462"/>
    <w:rsid w:val="001826B4"/>
    <w:rsid w:val="00183549"/>
    <w:rsid w:val="001848D1"/>
    <w:rsid w:val="00185DE3"/>
    <w:rsid w:val="00185FAB"/>
    <w:rsid w:val="00186BDE"/>
    <w:rsid w:val="00187115"/>
    <w:rsid w:val="001875E3"/>
    <w:rsid w:val="00190C52"/>
    <w:rsid w:val="00191A85"/>
    <w:rsid w:val="0019391C"/>
    <w:rsid w:val="001942F7"/>
    <w:rsid w:val="001958E3"/>
    <w:rsid w:val="00195D4C"/>
    <w:rsid w:val="001960E8"/>
    <w:rsid w:val="00196204"/>
    <w:rsid w:val="00196669"/>
    <w:rsid w:val="00197118"/>
    <w:rsid w:val="001978C5"/>
    <w:rsid w:val="00197F32"/>
    <w:rsid w:val="001A0195"/>
    <w:rsid w:val="001A0237"/>
    <w:rsid w:val="001A050A"/>
    <w:rsid w:val="001A0AFF"/>
    <w:rsid w:val="001A1045"/>
    <w:rsid w:val="001A13B5"/>
    <w:rsid w:val="001A164F"/>
    <w:rsid w:val="001A280F"/>
    <w:rsid w:val="001A31C3"/>
    <w:rsid w:val="001A3BB8"/>
    <w:rsid w:val="001A43B7"/>
    <w:rsid w:val="001A4790"/>
    <w:rsid w:val="001A4BE4"/>
    <w:rsid w:val="001A5025"/>
    <w:rsid w:val="001A5028"/>
    <w:rsid w:val="001A51E2"/>
    <w:rsid w:val="001A54EB"/>
    <w:rsid w:val="001A57BD"/>
    <w:rsid w:val="001A5B51"/>
    <w:rsid w:val="001A6938"/>
    <w:rsid w:val="001A6C5F"/>
    <w:rsid w:val="001A6C70"/>
    <w:rsid w:val="001A6D29"/>
    <w:rsid w:val="001A71CE"/>
    <w:rsid w:val="001A7237"/>
    <w:rsid w:val="001B07DF"/>
    <w:rsid w:val="001B1A90"/>
    <w:rsid w:val="001B1C6A"/>
    <w:rsid w:val="001B2198"/>
    <w:rsid w:val="001B2F54"/>
    <w:rsid w:val="001B3137"/>
    <w:rsid w:val="001B3A0D"/>
    <w:rsid w:val="001B3FA6"/>
    <w:rsid w:val="001B41FF"/>
    <w:rsid w:val="001B43CC"/>
    <w:rsid w:val="001B449A"/>
    <w:rsid w:val="001B498A"/>
    <w:rsid w:val="001B4D12"/>
    <w:rsid w:val="001B4D3C"/>
    <w:rsid w:val="001B5082"/>
    <w:rsid w:val="001B5653"/>
    <w:rsid w:val="001B5C06"/>
    <w:rsid w:val="001B5E8B"/>
    <w:rsid w:val="001B68AC"/>
    <w:rsid w:val="001B6D72"/>
    <w:rsid w:val="001B7CDF"/>
    <w:rsid w:val="001B7FF0"/>
    <w:rsid w:val="001C039D"/>
    <w:rsid w:val="001C08AD"/>
    <w:rsid w:val="001C0ECF"/>
    <w:rsid w:val="001C161E"/>
    <w:rsid w:val="001C2014"/>
    <w:rsid w:val="001C251B"/>
    <w:rsid w:val="001C295E"/>
    <w:rsid w:val="001C2ACE"/>
    <w:rsid w:val="001C2E95"/>
    <w:rsid w:val="001C4253"/>
    <w:rsid w:val="001C497D"/>
    <w:rsid w:val="001C499D"/>
    <w:rsid w:val="001C51B8"/>
    <w:rsid w:val="001C6543"/>
    <w:rsid w:val="001C681C"/>
    <w:rsid w:val="001C6C3D"/>
    <w:rsid w:val="001C702B"/>
    <w:rsid w:val="001C70C6"/>
    <w:rsid w:val="001C7365"/>
    <w:rsid w:val="001C7630"/>
    <w:rsid w:val="001C779B"/>
    <w:rsid w:val="001C7948"/>
    <w:rsid w:val="001D042E"/>
    <w:rsid w:val="001D064A"/>
    <w:rsid w:val="001D15A6"/>
    <w:rsid w:val="001D2006"/>
    <w:rsid w:val="001D25B2"/>
    <w:rsid w:val="001D2D62"/>
    <w:rsid w:val="001D32D1"/>
    <w:rsid w:val="001D35F9"/>
    <w:rsid w:val="001D3787"/>
    <w:rsid w:val="001D3882"/>
    <w:rsid w:val="001D3DDA"/>
    <w:rsid w:val="001D4585"/>
    <w:rsid w:val="001D5049"/>
    <w:rsid w:val="001D5910"/>
    <w:rsid w:val="001D63F1"/>
    <w:rsid w:val="001D68AD"/>
    <w:rsid w:val="001E0409"/>
    <w:rsid w:val="001E0418"/>
    <w:rsid w:val="001E06DA"/>
    <w:rsid w:val="001E1004"/>
    <w:rsid w:val="001E11D5"/>
    <w:rsid w:val="001E1257"/>
    <w:rsid w:val="001E13F0"/>
    <w:rsid w:val="001E1EEA"/>
    <w:rsid w:val="001E2081"/>
    <w:rsid w:val="001E226E"/>
    <w:rsid w:val="001E2801"/>
    <w:rsid w:val="001E3509"/>
    <w:rsid w:val="001E3B68"/>
    <w:rsid w:val="001E3DF7"/>
    <w:rsid w:val="001E3F4C"/>
    <w:rsid w:val="001E4FBC"/>
    <w:rsid w:val="001E6A24"/>
    <w:rsid w:val="001E7131"/>
    <w:rsid w:val="001E7611"/>
    <w:rsid w:val="001F0211"/>
    <w:rsid w:val="001F0373"/>
    <w:rsid w:val="001F0443"/>
    <w:rsid w:val="001F09E0"/>
    <w:rsid w:val="001F0A6C"/>
    <w:rsid w:val="001F0F04"/>
    <w:rsid w:val="001F0FAA"/>
    <w:rsid w:val="001F1A7F"/>
    <w:rsid w:val="001F1B2C"/>
    <w:rsid w:val="001F23F0"/>
    <w:rsid w:val="001F2556"/>
    <w:rsid w:val="001F286F"/>
    <w:rsid w:val="001F32ED"/>
    <w:rsid w:val="001F39DA"/>
    <w:rsid w:val="001F3F6F"/>
    <w:rsid w:val="001F42A8"/>
    <w:rsid w:val="001F508B"/>
    <w:rsid w:val="001F5B82"/>
    <w:rsid w:val="001F5E55"/>
    <w:rsid w:val="001F62F4"/>
    <w:rsid w:val="001F6DBF"/>
    <w:rsid w:val="001F7533"/>
    <w:rsid w:val="001F77CC"/>
    <w:rsid w:val="00201037"/>
    <w:rsid w:val="002010D5"/>
    <w:rsid w:val="00201ADC"/>
    <w:rsid w:val="002023CC"/>
    <w:rsid w:val="00202D2D"/>
    <w:rsid w:val="00206876"/>
    <w:rsid w:val="00207FB8"/>
    <w:rsid w:val="00210265"/>
    <w:rsid w:val="002103A3"/>
    <w:rsid w:val="00211228"/>
    <w:rsid w:val="00211684"/>
    <w:rsid w:val="00211758"/>
    <w:rsid w:val="00211D2F"/>
    <w:rsid w:val="00212309"/>
    <w:rsid w:val="002129CE"/>
    <w:rsid w:val="00212E92"/>
    <w:rsid w:val="002132B3"/>
    <w:rsid w:val="0021331F"/>
    <w:rsid w:val="00213415"/>
    <w:rsid w:val="002134FD"/>
    <w:rsid w:val="00214604"/>
    <w:rsid w:val="002146E0"/>
    <w:rsid w:val="00215339"/>
    <w:rsid w:val="002167EE"/>
    <w:rsid w:val="00216FCB"/>
    <w:rsid w:val="002170D8"/>
    <w:rsid w:val="00217470"/>
    <w:rsid w:val="002179C4"/>
    <w:rsid w:val="002200ED"/>
    <w:rsid w:val="00220205"/>
    <w:rsid w:val="002205D1"/>
    <w:rsid w:val="00220F9C"/>
    <w:rsid w:val="00221B14"/>
    <w:rsid w:val="0022210A"/>
    <w:rsid w:val="00222225"/>
    <w:rsid w:val="00222D0C"/>
    <w:rsid w:val="00223339"/>
    <w:rsid w:val="002238E2"/>
    <w:rsid w:val="00223B62"/>
    <w:rsid w:val="0022409D"/>
    <w:rsid w:val="002240C1"/>
    <w:rsid w:val="00224C9C"/>
    <w:rsid w:val="002250D3"/>
    <w:rsid w:val="00225335"/>
    <w:rsid w:val="0022581D"/>
    <w:rsid w:val="00226148"/>
    <w:rsid w:val="00226ACC"/>
    <w:rsid w:val="00230100"/>
    <w:rsid w:val="002302AD"/>
    <w:rsid w:val="002306B0"/>
    <w:rsid w:val="00230CA4"/>
    <w:rsid w:val="002310E6"/>
    <w:rsid w:val="002314B6"/>
    <w:rsid w:val="00231F3C"/>
    <w:rsid w:val="0023267F"/>
    <w:rsid w:val="00232BCA"/>
    <w:rsid w:val="00234BC3"/>
    <w:rsid w:val="00234E33"/>
    <w:rsid w:val="00234F1B"/>
    <w:rsid w:val="00234F2E"/>
    <w:rsid w:val="002353D6"/>
    <w:rsid w:val="00235732"/>
    <w:rsid w:val="002359F4"/>
    <w:rsid w:val="0023686F"/>
    <w:rsid w:val="00236CDD"/>
    <w:rsid w:val="00236E45"/>
    <w:rsid w:val="002377C7"/>
    <w:rsid w:val="00237D68"/>
    <w:rsid w:val="00240662"/>
    <w:rsid w:val="002408B6"/>
    <w:rsid w:val="00240FCF"/>
    <w:rsid w:val="002410C1"/>
    <w:rsid w:val="002415CB"/>
    <w:rsid w:val="002418B7"/>
    <w:rsid w:val="00241B19"/>
    <w:rsid w:val="00242083"/>
    <w:rsid w:val="002427E9"/>
    <w:rsid w:val="00243727"/>
    <w:rsid w:val="00243D3A"/>
    <w:rsid w:val="00246526"/>
    <w:rsid w:val="00246FAB"/>
    <w:rsid w:val="002472FA"/>
    <w:rsid w:val="00247AB2"/>
    <w:rsid w:val="00250021"/>
    <w:rsid w:val="0025062C"/>
    <w:rsid w:val="00250B31"/>
    <w:rsid w:val="002513B8"/>
    <w:rsid w:val="00251681"/>
    <w:rsid w:val="00251B8F"/>
    <w:rsid w:val="00251F69"/>
    <w:rsid w:val="00252000"/>
    <w:rsid w:val="00252037"/>
    <w:rsid w:val="002521E7"/>
    <w:rsid w:val="00252992"/>
    <w:rsid w:val="002531A0"/>
    <w:rsid w:val="002540EF"/>
    <w:rsid w:val="002550E0"/>
    <w:rsid w:val="002551BA"/>
    <w:rsid w:val="0025535C"/>
    <w:rsid w:val="002553BB"/>
    <w:rsid w:val="002554B6"/>
    <w:rsid w:val="0025557F"/>
    <w:rsid w:val="00255764"/>
    <w:rsid w:val="00256127"/>
    <w:rsid w:val="00256129"/>
    <w:rsid w:val="00257455"/>
    <w:rsid w:val="00257862"/>
    <w:rsid w:val="00257C5D"/>
    <w:rsid w:val="00257D50"/>
    <w:rsid w:val="00257D72"/>
    <w:rsid w:val="00257E70"/>
    <w:rsid w:val="0026194A"/>
    <w:rsid w:val="0026249A"/>
    <w:rsid w:val="0026291F"/>
    <w:rsid w:val="00262C61"/>
    <w:rsid w:val="00262F2B"/>
    <w:rsid w:val="00262F37"/>
    <w:rsid w:val="0026383B"/>
    <w:rsid w:val="002638B9"/>
    <w:rsid w:val="00263A5E"/>
    <w:rsid w:val="00263D0B"/>
    <w:rsid w:val="002645CB"/>
    <w:rsid w:val="002658E5"/>
    <w:rsid w:val="00265A06"/>
    <w:rsid w:val="00265DA9"/>
    <w:rsid w:val="00265E04"/>
    <w:rsid w:val="00265FDA"/>
    <w:rsid w:val="00266778"/>
    <w:rsid w:val="002676AC"/>
    <w:rsid w:val="002676EE"/>
    <w:rsid w:val="002703F1"/>
    <w:rsid w:val="0027045B"/>
    <w:rsid w:val="00270F1F"/>
    <w:rsid w:val="00271ADE"/>
    <w:rsid w:val="002736DB"/>
    <w:rsid w:val="00273A3E"/>
    <w:rsid w:val="00273CCA"/>
    <w:rsid w:val="00273D24"/>
    <w:rsid w:val="00274492"/>
    <w:rsid w:val="0027466F"/>
    <w:rsid w:val="0027480D"/>
    <w:rsid w:val="002748C8"/>
    <w:rsid w:val="00276098"/>
    <w:rsid w:val="002763B2"/>
    <w:rsid w:val="002776DA"/>
    <w:rsid w:val="00280028"/>
    <w:rsid w:val="002800A1"/>
    <w:rsid w:val="00281B11"/>
    <w:rsid w:val="00281B44"/>
    <w:rsid w:val="00281F2F"/>
    <w:rsid w:val="00283432"/>
    <w:rsid w:val="0028361F"/>
    <w:rsid w:val="00283A08"/>
    <w:rsid w:val="00283DA7"/>
    <w:rsid w:val="002841B8"/>
    <w:rsid w:val="00284457"/>
    <w:rsid w:val="0028476E"/>
    <w:rsid w:val="00284F33"/>
    <w:rsid w:val="00285145"/>
    <w:rsid w:val="00285446"/>
    <w:rsid w:val="00285995"/>
    <w:rsid w:val="00285B8E"/>
    <w:rsid w:val="00285E37"/>
    <w:rsid w:val="00285E6E"/>
    <w:rsid w:val="00286275"/>
    <w:rsid w:val="0028632B"/>
    <w:rsid w:val="002867A9"/>
    <w:rsid w:val="00286DD5"/>
    <w:rsid w:val="00290778"/>
    <w:rsid w:val="0029088C"/>
    <w:rsid w:val="00290D78"/>
    <w:rsid w:val="00291025"/>
    <w:rsid w:val="0029152E"/>
    <w:rsid w:val="00291B05"/>
    <w:rsid w:val="00292024"/>
    <w:rsid w:val="00292DA3"/>
    <w:rsid w:val="0029323B"/>
    <w:rsid w:val="0029390A"/>
    <w:rsid w:val="0029411D"/>
    <w:rsid w:val="0029486E"/>
    <w:rsid w:val="00294BA0"/>
    <w:rsid w:val="00295476"/>
    <w:rsid w:val="00295B4D"/>
    <w:rsid w:val="0029642F"/>
    <w:rsid w:val="00297667"/>
    <w:rsid w:val="0029799A"/>
    <w:rsid w:val="002A055D"/>
    <w:rsid w:val="002A0DF9"/>
    <w:rsid w:val="002A17B2"/>
    <w:rsid w:val="002A1E32"/>
    <w:rsid w:val="002A224B"/>
    <w:rsid w:val="002A2E6A"/>
    <w:rsid w:val="002A3419"/>
    <w:rsid w:val="002A42F3"/>
    <w:rsid w:val="002A4D4C"/>
    <w:rsid w:val="002A4D52"/>
    <w:rsid w:val="002A4F8D"/>
    <w:rsid w:val="002A540A"/>
    <w:rsid w:val="002A55CE"/>
    <w:rsid w:val="002A61CE"/>
    <w:rsid w:val="002A620A"/>
    <w:rsid w:val="002A6D52"/>
    <w:rsid w:val="002A73BD"/>
    <w:rsid w:val="002A7728"/>
    <w:rsid w:val="002A7DC2"/>
    <w:rsid w:val="002B233B"/>
    <w:rsid w:val="002B2448"/>
    <w:rsid w:val="002B2814"/>
    <w:rsid w:val="002B31E5"/>
    <w:rsid w:val="002B3255"/>
    <w:rsid w:val="002B36F0"/>
    <w:rsid w:val="002B4B44"/>
    <w:rsid w:val="002B4D79"/>
    <w:rsid w:val="002B55A2"/>
    <w:rsid w:val="002B598F"/>
    <w:rsid w:val="002B5D93"/>
    <w:rsid w:val="002B5F00"/>
    <w:rsid w:val="002B67E3"/>
    <w:rsid w:val="002B6EFD"/>
    <w:rsid w:val="002B6FE4"/>
    <w:rsid w:val="002B7015"/>
    <w:rsid w:val="002B7183"/>
    <w:rsid w:val="002B7BA5"/>
    <w:rsid w:val="002B7D52"/>
    <w:rsid w:val="002C171D"/>
    <w:rsid w:val="002C1EDC"/>
    <w:rsid w:val="002C20A8"/>
    <w:rsid w:val="002C20FB"/>
    <w:rsid w:val="002C340C"/>
    <w:rsid w:val="002C4084"/>
    <w:rsid w:val="002C460E"/>
    <w:rsid w:val="002C468B"/>
    <w:rsid w:val="002C573C"/>
    <w:rsid w:val="002C68AB"/>
    <w:rsid w:val="002C6E9D"/>
    <w:rsid w:val="002C713E"/>
    <w:rsid w:val="002D08DE"/>
    <w:rsid w:val="002D096E"/>
    <w:rsid w:val="002D0C3F"/>
    <w:rsid w:val="002D1568"/>
    <w:rsid w:val="002D326B"/>
    <w:rsid w:val="002D3716"/>
    <w:rsid w:val="002D3718"/>
    <w:rsid w:val="002D54AA"/>
    <w:rsid w:val="002D5AD0"/>
    <w:rsid w:val="002D5E7F"/>
    <w:rsid w:val="002D6183"/>
    <w:rsid w:val="002D6227"/>
    <w:rsid w:val="002D6617"/>
    <w:rsid w:val="002D6993"/>
    <w:rsid w:val="002D6BA1"/>
    <w:rsid w:val="002D72E7"/>
    <w:rsid w:val="002D7919"/>
    <w:rsid w:val="002D799A"/>
    <w:rsid w:val="002E0A6E"/>
    <w:rsid w:val="002E0F69"/>
    <w:rsid w:val="002E119A"/>
    <w:rsid w:val="002E15C4"/>
    <w:rsid w:val="002E1C51"/>
    <w:rsid w:val="002E1E9C"/>
    <w:rsid w:val="002E1F78"/>
    <w:rsid w:val="002E2120"/>
    <w:rsid w:val="002E216A"/>
    <w:rsid w:val="002E271D"/>
    <w:rsid w:val="002E3326"/>
    <w:rsid w:val="002E342F"/>
    <w:rsid w:val="002E354C"/>
    <w:rsid w:val="002E3609"/>
    <w:rsid w:val="002E3D79"/>
    <w:rsid w:val="002E4B65"/>
    <w:rsid w:val="002E5E24"/>
    <w:rsid w:val="002E5E6A"/>
    <w:rsid w:val="002E62F4"/>
    <w:rsid w:val="002E7C1A"/>
    <w:rsid w:val="002F022D"/>
    <w:rsid w:val="002F0C45"/>
    <w:rsid w:val="002F0C62"/>
    <w:rsid w:val="002F0DC5"/>
    <w:rsid w:val="002F1478"/>
    <w:rsid w:val="002F14AC"/>
    <w:rsid w:val="002F2052"/>
    <w:rsid w:val="002F20AB"/>
    <w:rsid w:val="002F2308"/>
    <w:rsid w:val="002F3049"/>
    <w:rsid w:val="002F41CB"/>
    <w:rsid w:val="002F43E6"/>
    <w:rsid w:val="002F4447"/>
    <w:rsid w:val="002F4961"/>
    <w:rsid w:val="002F4DA0"/>
    <w:rsid w:val="002F541D"/>
    <w:rsid w:val="002F5859"/>
    <w:rsid w:val="002F60D9"/>
    <w:rsid w:val="002F62CF"/>
    <w:rsid w:val="002F6CCF"/>
    <w:rsid w:val="002F70D3"/>
    <w:rsid w:val="002F72A5"/>
    <w:rsid w:val="002F74FE"/>
    <w:rsid w:val="002F7701"/>
    <w:rsid w:val="00300644"/>
    <w:rsid w:val="0030086E"/>
    <w:rsid w:val="00301506"/>
    <w:rsid w:val="003018D3"/>
    <w:rsid w:val="00301A54"/>
    <w:rsid w:val="00302EC4"/>
    <w:rsid w:val="0030339E"/>
    <w:rsid w:val="00303815"/>
    <w:rsid w:val="00304518"/>
    <w:rsid w:val="003046B1"/>
    <w:rsid w:val="00304E21"/>
    <w:rsid w:val="0030549C"/>
    <w:rsid w:val="00305D15"/>
    <w:rsid w:val="00306659"/>
    <w:rsid w:val="0030671A"/>
    <w:rsid w:val="00306A7E"/>
    <w:rsid w:val="00307651"/>
    <w:rsid w:val="003078CC"/>
    <w:rsid w:val="003079D7"/>
    <w:rsid w:val="00307A0F"/>
    <w:rsid w:val="00307B94"/>
    <w:rsid w:val="00307EA1"/>
    <w:rsid w:val="00310272"/>
    <w:rsid w:val="003103E6"/>
    <w:rsid w:val="003111A5"/>
    <w:rsid w:val="003118F4"/>
    <w:rsid w:val="003120B0"/>
    <w:rsid w:val="00312261"/>
    <w:rsid w:val="0031233A"/>
    <w:rsid w:val="00312668"/>
    <w:rsid w:val="00314014"/>
    <w:rsid w:val="00314C64"/>
    <w:rsid w:val="00314E51"/>
    <w:rsid w:val="00315AC0"/>
    <w:rsid w:val="00315F96"/>
    <w:rsid w:val="00316A3B"/>
    <w:rsid w:val="003172ED"/>
    <w:rsid w:val="00317A42"/>
    <w:rsid w:val="0032022F"/>
    <w:rsid w:val="00320976"/>
    <w:rsid w:val="00320FB7"/>
    <w:rsid w:val="003217CC"/>
    <w:rsid w:val="00321DC7"/>
    <w:rsid w:val="0032274C"/>
    <w:rsid w:val="0032300C"/>
    <w:rsid w:val="003236EA"/>
    <w:rsid w:val="00323917"/>
    <w:rsid w:val="00323929"/>
    <w:rsid w:val="00323D17"/>
    <w:rsid w:val="003249D3"/>
    <w:rsid w:val="00324A6C"/>
    <w:rsid w:val="00324FDC"/>
    <w:rsid w:val="00325ECF"/>
    <w:rsid w:val="0032798B"/>
    <w:rsid w:val="00327E35"/>
    <w:rsid w:val="00327FED"/>
    <w:rsid w:val="00330043"/>
    <w:rsid w:val="003309ED"/>
    <w:rsid w:val="00330E19"/>
    <w:rsid w:val="00330FF0"/>
    <w:rsid w:val="003314BF"/>
    <w:rsid w:val="00331834"/>
    <w:rsid w:val="00331BBC"/>
    <w:rsid w:val="003322B4"/>
    <w:rsid w:val="003323DA"/>
    <w:rsid w:val="0033387C"/>
    <w:rsid w:val="00333891"/>
    <w:rsid w:val="0033443C"/>
    <w:rsid w:val="003346B6"/>
    <w:rsid w:val="0033523C"/>
    <w:rsid w:val="00335242"/>
    <w:rsid w:val="0033529E"/>
    <w:rsid w:val="00335768"/>
    <w:rsid w:val="00335B30"/>
    <w:rsid w:val="00336245"/>
    <w:rsid w:val="00340316"/>
    <w:rsid w:val="003418AA"/>
    <w:rsid w:val="00341A0A"/>
    <w:rsid w:val="0034237A"/>
    <w:rsid w:val="003430E5"/>
    <w:rsid w:val="003434BE"/>
    <w:rsid w:val="003436CC"/>
    <w:rsid w:val="00344E8B"/>
    <w:rsid w:val="00345008"/>
    <w:rsid w:val="003463A0"/>
    <w:rsid w:val="0034662B"/>
    <w:rsid w:val="0034720E"/>
    <w:rsid w:val="00347CED"/>
    <w:rsid w:val="00350128"/>
    <w:rsid w:val="00350869"/>
    <w:rsid w:val="0035086B"/>
    <w:rsid w:val="003508B4"/>
    <w:rsid w:val="00350FC7"/>
    <w:rsid w:val="00351CD8"/>
    <w:rsid w:val="003522F6"/>
    <w:rsid w:val="00352975"/>
    <w:rsid w:val="00352BA0"/>
    <w:rsid w:val="00352CAE"/>
    <w:rsid w:val="003536F3"/>
    <w:rsid w:val="00354476"/>
    <w:rsid w:val="00355A7C"/>
    <w:rsid w:val="00355FCA"/>
    <w:rsid w:val="00356108"/>
    <w:rsid w:val="003564BB"/>
    <w:rsid w:val="00356646"/>
    <w:rsid w:val="00356D67"/>
    <w:rsid w:val="00356F88"/>
    <w:rsid w:val="00356FBD"/>
    <w:rsid w:val="003577DD"/>
    <w:rsid w:val="00357B10"/>
    <w:rsid w:val="00357C30"/>
    <w:rsid w:val="003601C4"/>
    <w:rsid w:val="00360990"/>
    <w:rsid w:val="003611A9"/>
    <w:rsid w:val="00361245"/>
    <w:rsid w:val="003616E1"/>
    <w:rsid w:val="003622CB"/>
    <w:rsid w:val="00362946"/>
    <w:rsid w:val="003662BD"/>
    <w:rsid w:val="003665D5"/>
    <w:rsid w:val="00366BB0"/>
    <w:rsid w:val="00366CED"/>
    <w:rsid w:val="00367590"/>
    <w:rsid w:val="00367D3A"/>
    <w:rsid w:val="00367D77"/>
    <w:rsid w:val="00370311"/>
    <w:rsid w:val="00370564"/>
    <w:rsid w:val="003717A5"/>
    <w:rsid w:val="00371E8D"/>
    <w:rsid w:val="0037457B"/>
    <w:rsid w:val="00374648"/>
    <w:rsid w:val="00374AA5"/>
    <w:rsid w:val="0037503E"/>
    <w:rsid w:val="00375502"/>
    <w:rsid w:val="00375AC9"/>
    <w:rsid w:val="0037617C"/>
    <w:rsid w:val="00376386"/>
    <w:rsid w:val="00376631"/>
    <w:rsid w:val="003770D4"/>
    <w:rsid w:val="003774F6"/>
    <w:rsid w:val="003777D6"/>
    <w:rsid w:val="00377A28"/>
    <w:rsid w:val="00380135"/>
    <w:rsid w:val="003806C1"/>
    <w:rsid w:val="003807EA"/>
    <w:rsid w:val="00380E51"/>
    <w:rsid w:val="0038176A"/>
    <w:rsid w:val="003817AD"/>
    <w:rsid w:val="003818E5"/>
    <w:rsid w:val="003819F3"/>
    <w:rsid w:val="003825A0"/>
    <w:rsid w:val="003826BD"/>
    <w:rsid w:val="003827A3"/>
    <w:rsid w:val="0038333D"/>
    <w:rsid w:val="003837A1"/>
    <w:rsid w:val="00383A79"/>
    <w:rsid w:val="00383EA6"/>
    <w:rsid w:val="00384218"/>
    <w:rsid w:val="003845A1"/>
    <w:rsid w:val="0038619F"/>
    <w:rsid w:val="00386565"/>
    <w:rsid w:val="003866CA"/>
    <w:rsid w:val="003870F6"/>
    <w:rsid w:val="003877BB"/>
    <w:rsid w:val="00390803"/>
    <w:rsid w:val="0039176F"/>
    <w:rsid w:val="0039180B"/>
    <w:rsid w:val="00391E25"/>
    <w:rsid w:val="003925BF"/>
    <w:rsid w:val="0039337D"/>
    <w:rsid w:val="00393A4A"/>
    <w:rsid w:val="00393F52"/>
    <w:rsid w:val="003943E8"/>
    <w:rsid w:val="0039471B"/>
    <w:rsid w:val="0039650C"/>
    <w:rsid w:val="00396D13"/>
    <w:rsid w:val="0039750A"/>
    <w:rsid w:val="0039766E"/>
    <w:rsid w:val="003A0135"/>
    <w:rsid w:val="003A09E0"/>
    <w:rsid w:val="003A0EA7"/>
    <w:rsid w:val="003A15A0"/>
    <w:rsid w:val="003A1726"/>
    <w:rsid w:val="003A198D"/>
    <w:rsid w:val="003A1A52"/>
    <w:rsid w:val="003A1CD2"/>
    <w:rsid w:val="003A2777"/>
    <w:rsid w:val="003A2B68"/>
    <w:rsid w:val="003A33E4"/>
    <w:rsid w:val="003A37E4"/>
    <w:rsid w:val="003A3B20"/>
    <w:rsid w:val="003A49C5"/>
    <w:rsid w:val="003A4B9A"/>
    <w:rsid w:val="003A4BBA"/>
    <w:rsid w:val="003A52D2"/>
    <w:rsid w:val="003A6BB7"/>
    <w:rsid w:val="003A6BBE"/>
    <w:rsid w:val="003A71D2"/>
    <w:rsid w:val="003A757B"/>
    <w:rsid w:val="003A7FA1"/>
    <w:rsid w:val="003B1821"/>
    <w:rsid w:val="003B1A14"/>
    <w:rsid w:val="003B1E8A"/>
    <w:rsid w:val="003B261C"/>
    <w:rsid w:val="003B34D6"/>
    <w:rsid w:val="003B3710"/>
    <w:rsid w:val="003B4184"/>
    <w:rsid w:val="003B4196"/>
    <w:rsid w:val="003B48D1"/>
    <w:rsid w:val="003B5427"/>
    <w:rsid w:val="003B5A95"/>
    <w:rsid w:val="003B5CA3"/>
    <w:rsid w:val="003B5D62"/>
    <w:rsid w:val="003B6A43"/>
    <w:rsid w:val="003B6C37"/>
    <w:rsid w:val="003B7249"/>
    <w:rsid w:val="003B73FF"/>
    <w:rsid w:val="003B7972"/>
    <w:rsid w:val="003B797F"/>
    <w:rsid w:val="003C047B"/>
    <w:rsid w:val="003C07B6"/>
    <w:rsid w:val="003C09DE"/>
    <w:rsid w:val="003C0E83"/>
    <w:rsid w:val="003C122E"/>
    <w:rsid w:val="003C1D91"/>
    <w:rsid w:val="003C1DCA"/>
    <w:rsid w:val="003C2A69"/>
    <w:rsid w:val="003C2B5E"/>
    <w:rsid w:val="003C33E6"/>
    <w:rsid w:val="003C4250"/>
    <w:rsid w:val="003C43D2"/>
    <w:rsid w:val="003C478A"/>
    <w:rsid w:val="003C4CCC"/>
    <w:rsid w:val="003C5324"/>
    <w:rsid w:val="003C55DC"/>
    <w:rsid w:val="003C5AF1"/>
    <w:rsid w:val="003C5DCA"/>
    <w:rsid w:val="003C5F6C"/>
    <w:rsid w:val="003C6275"/>
    <w:rsid w:val="003C6D24"/>
    <w:rsid w:val="003C72EF"/>
    <w:rsid w:val="003C7304"/>
    <w:rsid w:val="003C7760"/>
    <w:rsid w:val="003C781E"/>
    <w:rsid w:val="003C7960"/>
    <w:rsid w:val="003C7CFB"/>
    <w:rsid w:val="003D021C"/>
    <w:rsid w:val="003D08C1"/>
    <w:rsid w:val="003D0F8B"/>
    <w:rsid w:val="003D1374"/>
    <w:rsid w:val="003D1B9C"/>
    <w:rsid w:val="003D22A4"/>
    <w:rsid w:val="003D2921"/>
    <w:rsid w:val="003D2A51"/>
    <w:rsid w:val="003D33EF"/>
    <w:rsid w:val="003D3412"/>
    <w:rsid w:val="003D3BC2"/>
    <w:rsid w:val="003D4497"/>
    <w:rsid w:val="003D4983"/>
    <w:rsid w:val="003D6109"/>
    <w:rsid w:val="003D64C8"/>
    <w:rsid w:val="003D6BF4"/>
    <w:rsid w:val="003D704E"/>
    <w:rsid w:val="003D7D4C"/>
    <w:rsid w:val="003E030D"/>
    <w:rsid w:val="003E034B"/>
    <w:rsid w:val="003E0882"/>
    <w:rsid w:val="003E0968"/>
    <w:rsid w:val="003E0C14"/>
    <w:rsid w:val="003E14CF"/>
    <w:rsid w:val="003E1F7C"/>
    <w:rsid w:val="003E28C7"/>
    <w:rsid w:val="003E2ADE"/>
    <w:rsid w:val="003E334D"/>
    <w:rsid w:val="003E410B"/>
    <w:rsid w:val="003E463B"/>
    <w:rsid w:val="003E479A"/>
    <w:rsid w:val="003E557A"/>
    <w:rsid w:val="003E5771"/>
    <w:rsid w:val="003E5B9B"/>
    <w:rsid w:val="003E5C2F"/>
    <w:rsid w:val="003E63C1"/>
    <w:rsid w:val="003E6BFC"/>
    <w:rsid w:val="003E6D6E"/>
    <w:rsid w:val="003E78AA"/>
    <w:rsid w:val="003E7D74"/>
    <w:rsid w:val="003F02DA"/>
    <w:rsid w:val="003F079F"/>
    <w:rsid w:val="003F19DB"/>
    <w:rsid w:val="003F27D7"/>
    <w:rsid w:val="003F345D"/>
    <w:rsid w:val="003F367C"/>
    <w:rsid w:val="003F3891"/>
    <w:rsid w:val="003F3BAA"/>
    <w:rsid w:val="003F408B"/>
    <w:rsid w:val="003F435C"/>
    <w:rsid w:val="003F46E1"/>
    <w:rsid w:val="003F4D08"/>
    <w:rsid w:val="003F4D25"/>
    <w:rsid w:val="003F4FF3"/>
    <w:rsid w:val="003F541A"/>
    <w:rsid w:val="003F65FD"/>
    <w:rsid w:val="003F6669"/>
    <w:rsid w:val="003F67BE"/>
    <w:rsid w:val="003F6B22"/>
    <w:rsid w:val="003F7BE2"/>
    <w:rsid w:val="003F7CFF"/>
    <w:rsid w:val="00400EED"/>
    <w:rsid w:val="0040199D"/>
    <w:rsid w:val="00401CCD"/>
    <w:rsid w:val="004022B7"/>
    <w:rsid w:val="00402416"/>
    <w:rsid w:val="004025A9"/>
    <w:rsid w:val="0040280A"/>
    <w:rsid w:val="00402BBC"/>
    <w:rsid w:val="00403279"/>
    <w:rsid w:val="00403A76"/>
    <w:rsid w:val="0040412F"/>
    <w:rsid w:val="00405555"/>
    <w:rsid w:val="00405D4B"/>
    <w:rsid w:val="004060B4"/>
    <w:rsid w:val="00406AA6"/>
    <w:rsid w:val="00406E46"/>
    <w:rsid w:val="00406EE3"/>
    <w:rsid w:val="00407360"/>
    <w:rsid w:val="00407912"/>
    <w:rsid w:val="00410020"/>
    <w:rsid w:val="0041046F"/>
    <w:rsid w:val="004104E2"/>
    <w:rsid w:val="00410E34"/>
    <w:rsid w:val="004113EC"/>
    <w:rsid w:val="00411551"/>
    <w:rsid w:val="00411965"/>
    <w:rsid w:val="00412155"/>
    <w:rsid w:val="004121F1"/>
    <w:rsid w:val="004124C0"/>
    <w:rsid w:val="004128F1"/>
    <w:rsid w:val="004135D5"/>
    <w:rsid w:val="00413847"/>
    <w:rsid w:val="00413DFF"/>
    <w:rsid w:val="0041426F"/>
    <w:rsid w:val="0041443B"/>
    <w:rsid w:val="004146FA"/>
    <w:rsid w:val="00414972"/>
    <w:rsid w:val="00414E07"/>
    <w:rsid w:val="004164A6"/>
    <w:rsid w:val="004165A6"/>
    <w:rsid w:val="00416FDF"/>
    <w:rsid w:val="00420431"/>
    <w:rsid w:val="004206AE"/>
    <w:rsid w:val="00420C6A"/>
    <w:rsid w:val="00421A80"/>
    <w:rsid w:val="00421BC4"/>
    <w:rsid w:val="004222A9"/>
    <w:rsid w:val="0042252A"/>
    <w:rsid w:val="00422834"/>
    <w:rsid w:val="00422A16"/>
    <w:rsid w:val="00422E9D"/>
    <w:rsid w:val="00424248"/>
    <w:rsid w:val="00424403"/>
    <w:rsid w:val="00424673"/>
    <w:rsid w:val="00424907"/>
    <w:rsid w:val="00425162"/>
    <w:rsid w:val="004251A8"/>
    <w:rsid w:val="00425F96"/>
    <w:rsid w:val="00426F99"/>
    <w:rsid w:val="00427251"/>
    <w:rsid w:val="00427360"/>
    <w:rsid w:val="004277CB"/>
    <w:rsid w:val="00427D19"/>
    <w:rsid w:val="00427D3E"/>
    <w:rsid w:val="00431217"/>
    <w:rsid w:val="00431616"/>
    <w:rsid w:val="00432C51"/>
    <w:rsid w:val="0043331C"/>
    <w:rsid w:val="00434B8D"/>
    <w:rsid w:val="00435881"/>
    <w:rsid w:val="00435CA8"/>
    <w:rsid w:val="00435E31"/>
    <w:rsid w:val="004360E0"/>
    <w:rsid w:val="0043675D"/>
    <w:rsid w:val="00436AF1"/>
    <w:rsid w:val="004372DB"/>
    <w:rsid w:val="00437D68"/>
    <w:rsid w:val="00437D8C"/>
    <w:rsid w:val="00440B65"/>
    <w:rsid w:val="004410FB"/>
    <w:rsid w:val="0044128E"/>
    <w:rsid w:val="004423AB"/>
    <w:rsid w:val="00442ACE"/>
    <w:rsid w:val="004441C1"/>
    <w:rsid w:val="00444569"/>
    <w:rsid w:val="00444841"/>
    <w:rsid w:val="004448B7"/>
    <w:rsid w:val="00444EA2"/>
    <w:rsid w:val="0044592A"/>
    <w:rsid w:val="00445FD1"/>
    <w:rsid w:val="00450219"/>
    <w:rsid w:val="00450F4B"/>
    <w:rsid w:val="0045130A"/>
    <w:rsid w:val="00451367"/>
    <w:rsid w:val="00451730"/>
    <w:rsid w:val="00451BE0"/>
    <w:rsid w:val="0045213E"/>
    <w:rsid w:val="004526A5"/>
    <w:rsid w:val="00452C1F"/>
    <w:rsid w:val="0045333D"/>
    <w:rsid w:val="00453D60"/>
    <w:rsid w:val="00453FCC"/>
    <w:rsid w:val="00453FFF"/>
    <w:rsid w:val="004542B9"/>
    <w:rsid w:val="0045444C"/>
    <w:rsid w:val="004544BE"/>
    <w:rsid w:val="00454789"/>
    <w:rsid w:val="004549AE"/>
    <w:rsid w:val="00454BDC"/>
    <w:rsid w:val="0045512B"/>
    <w:rsid w:val="004553CC"/>
    <w:rsid w:val="00455F55"/>
    <w:rsid w:val="00457279"/>
    <w:rsid w:val="00460C88"/>
    <w:rsid w:val="00460E5F"/>
    <w:rsid w:val="00460E8D"/>
    <w:rsid w:val="004613CF"/>
    <w:rsid w:val="004617D4"/>
    <w:rsid w:val="00461C9E"/>
    <w:rsid w:val="00461DCD"/>
    <w:rsid w:val="00462391"/>
    <w:rsid w:val="00462D2C"/>
    <w:rsid w:val="00463AF2"/>
    <w:rsid w:val="0046473E"/>
    <w:rsid w:val="00464A0F"/>
    <w:rsid w:val="00464EE0"/>
    <w:rsid w:val="00465DAD"/>
    <w:rsid w:val="0046674E"/>
    <w:rsid w:val="004667D8"/>
    <w:rsid w:val="0046680D"/>
    <w:rsid w:val="00466AF6"/>
    <w:rsid w:val="00466E91"/>
    <w:rsid w:val="00466F8A"/>
    <w:rsid w:val="00467424"/>
    <w:rsid w:val="00467440"/>
    <w:rsid w:val="00467587"/>
    <w:rsid w:val="0046774E"/>
    <w:rsid w:val="00467FEF"/>
    <w:rsid w:val="004703E6"/>
    <w:rsid w:val="0047053D"/>
    <w:rsid w:val="004708DB"/>
    <w:rsid w:val="00471E77"/>
    <w:rsid w:val="00472169"/>
    <w:rsid w:val="00472662"/>
    <w:rsid w:val="0047267C"/>
    <w:rsid w:val="00472986"/>
    <w:rsid w:val="00472B60"/>
    <w:rsid w:val="00472B7F"/>
    <w:rsid w:val="00472E86"/>
    <w:rsid w:val="0047320E"/>
    <w:rsid w:val="004735D4"/>
    <w:rsid w:val="00473EF0"/>
    <w:rsid w:val="004743C9"/>
    <w:rsid w:val="004745BE"/>
    <w:rsid w:val="00474607"/>
    <w:rsid w:val="00474A79"/>
    <w:rsid w:val="00477664"/>
    <w:rsid w:val="004777E0"/>
    <w:rsid w:val="00477915"/>
    <w:rsid w:val="00477CF5"/>
    <w:rsid w:val="00477D15"/>
    <w:rsid w:val="0048108A"/>
    <w:rsid w:val="0048173E"/>
    <w:rsid w:val="004839B0"/>
    <w:rsid w:val="00483C2A"/>
    <w:rsid w:val="00483E63"/>
    <w:rsid w:val="004840B6"/>
    <w:rsid w:val="00484665"/>
    <w:rsid w:val="00485102"/>
    <w:rsid w:val="00485F87"/>
    <w:rsid w:val="00486919"/>
    <w:rsid w:val="00486C31"/>
    <w:rsid w:val="0049007A"/>
    <w:rsid w:val="00490AA7"/>
    <w:rsid w:val="00490B53"/>
    <w:rsid w:val="00490B7A"/>
    <w:rsid w:val="00490DB1"/>
    <w:rsid w:val="00490F86"/>
    <w:rsid w:val="004912F9"/>
    <w:rsid w:val="00491650"/>
    <w:rsid w:val="00491B28"/>
    <w:rsid w:val="00491BC8"/>
    <w:rsid w:val="00491F13"/>
    <w:rsid w:val="00492443"/>
    <w:rsid w:val="00492B87"/>
    <w:rsid w:val="00493295"/>
    <w:rsid w:val="004937B3"/>
    <w:rsid w:val="00493B71"/>
    <w:rsid w:val="00493CBE"/>
    <w:rsid w:val="00493D9E"/>
    <w:rsid w:val="00494A0D"/>
    <w:rsid w:val="00494C26"/>
    <w:rsid w:val="00494D2C"/>
    <w:rsid w:val="00494EB1"/>
    <w:rsid w:val="004951E6"/>
    <w:rsid w:val="004952D1"/>
    <w:rsid w:val="004952DA"/>
    <w:rsid w:val="004954B7"/>
    <w:rsid w:val="00495A39"/>
    <w:rsid w:val="0049658B"/>
    <w:rsid w:val="00496C1F"/>
    <w:rsid w:val="00496E22"/>
    <w:rsid w:val="00497FE6"/>
    <w:rsid w:val="004A0048"/>
    <w:rsid w:val="004A021A"/>
    <w:rsid w:val="004A076B"/>
    <w:rsid w:val="004A0C7E"/>
    <w:rsid w:val="004A27B3"/>
    <w:rsid w:val="004A42F7"/>
    <w:rsid w:val="004A45EA"/>
    <w:rsid w:val="004A46D1"/>
    <w:rsid w:val="004A47DC"/>
    <w:rsid w:val="004A6165"/>
    <w:rsid w:val="004A637D"/>
    <w:rsid w:val="004A69A4"/>
    <w:rsid w:val="004A6A1A"/>
    <w:rsid w:val="004A75BC"/>
    <w:rsid w:val="004B007A"/>
    <w:rsid w:val="004B0980"/>
    <w:rsid w:val="004B0E36"/>
    <w:rsid w:val="004B12B8"/>
    <w:rsid w:val="004B1479"/>
    <w:rsid w:val="004B236A"/>
    <w:rsid w:val="004B32E9"/>
    <w:rsid w:val="004B370E"/>
    <w:rsid w:val="004B45CC"/>
    <w:rsid w:val="004B4EDC"/>
    <w:rsid w:val="004B4F74"/>
    <w:rsid w:val="004B51A6"/>
    <w:rsid w:val="004B57B3"/>
    <w:rsid w:val="004B6685"/>
    <w:rsid w:val="004B6949"/>
    <w:rsid w:val="004B69E1"/>
    <w:rsid w:val="004B6CE3"/>
    <w:rsid w:val="004B712C"/>
    <w:rsid w:val="004B71EB"/>
    <w:rsid w:val="004B754B"/>
    <w:rsid w:val="004B7A84"/>
    <w:rsid w:val="004C03B0"/>
    <w:rsid w:val="004C05C0"/>
    <w:rsid w:val="004C0F80"/>
    <w:rsid w:val="004C1046"/>
    <w:rsid w:val="004C1240"/>
    <w:rsid w:val="004C14DD"/>
    <w:rsid w:val="004C1D11"/>
    <w:rsid w:val="004C1E9F"/>
    <w:rsid w:val="004C1EA4"/>
    <w:rsid w:val="004C25EB"/>
    <w:rsid w:val="004C388F"/>
    <w:rsid w:val="004C3D5D"/>
    <w:rsid w:val="004C5052"/>
    <w:rsid w:val="004C54BF"/>
    <w:rsid w:val="004C67F9"/>
    <w:rsid w:val="004D00F5"/>
    <w:rsid w:val="004D0A17"/>
    <w:rsid w:val="004D17B0"/>
    <w:rsid w:val="004D19CA"/>
    <w:rsid w:val="004D23D9"/>
    <w:rsid w:val="004D2859"/>
    <w:rsid w:val="004D2A80"/>
    <w:rsid w:val="004D3025"/>
    <w:rsid w:val="004D310B"/>
    <w:rsid w:val="004D3589"/>
    <w:rsid w:val="004D35C6"/>
    <w:rsid w:val="004D4275"/>
    <w:rsid w:val="004D585B"/>
    <w:rsid w:val="004D5B86"/>
    <w:rsid w:val="004D637A"/>
    <w:rsid w:val="004D6B95"/>
    <w:rsid w:val="004D7410"/>
    <w:rsid w:val="004D75BF"/>
    <w:rsid w:val="004D7A5B"/>
    <w:rsid w:val="004D7BA5"/>
    <w:rsid w:val="004D7D08"/>
    <w:rsid w:val="004E0797"/>
    <w:rsid w:val="004E08A5"/>
    <w:rsid w:val="004E0CC5"/>
    <w:rsid w:val="004E1424"/>
    <w:rsid w:val="004E170E"/>
    <w:rsid w:val="004E1CA2"/>
    <w:rsid w:val="004E2029"/>
    <w:rsid w:val="004E3CDF"/>
    <w:rsid w:val="004E3E1A"/>
    <w:rsid w:val="004E4B50"/>
    <w:rsid w:val="004E4E1C"/>
    <w:rsid w:val="004E5063"/>
    <w:rsid w:val="004E5B9F"/>
    <w:rsid w:val="004E70A1"/>
    <w:rsid w:val="004E7780"/>
    <w:rsid w:val="004E7E14"/>
    <w:rsid w:val="004F00BA"/>
    <w:rsid w:val="004F0972"/>
    <w:rsid w:val="004F0C26"/>
    <w:rsid w:val="004F14FB"/>
    <w:rsid w:val="004F21A8"/>
    <w:rsid w:val="004F294F"/>
    <w:rsid w:val="004F2AD1"/>
    <w:rsid w:val="004F2E8D"/>
    <w:rsid w:val="004F3029"/>
    <w:rsid w:val="004F3D5E"/>
    <w:rsid w:val="004F4108"/>
    <w:rsid w:val="004F4850"/>
    <w:rsid w:val="004F4D56"/>
    <w:rsid w:val="004F500C"/>
    <w:rsid w:val="004F5913"/>
    <w:rsid w:val="004F5F81"/>
    <w:rsid w:val="004F617F"/>
    <w:rsid w:val="004F63C0"/>
    <w:rsid w:val="004F6CEE"/>
    <w:rsid w:val="004F7541"/>
    <w:rsid w:val="004F7898"/>
    <w:rsid w:val="005000C3"/>
    <w:rsid w:val="005002CA"/>
    <w:rsid w:val="005004D4"/>
    <w:rsid w:val="005006B3"/>
    <w:rsid w:val="00500842"/>
    <w:rsid w:val="0050097E"/>
    <w:rsid w:val="005015B1"/>
    <w:rsid w:val="00501B6C"/>
    <w:rsid w:val="00501B74"/>
    <w:rsid w:val="005029BF"/>
    <w:rsid w:val="00502B86"/>
    <w:rsid w:val="00502DDC"/>
    <w:rsid w:val="0050327F"/>
    <w:rsid w:val="00503BC0"/>
    <w:rsid w:val="00503EF3"/>
    <w:rsid w:val="00505011"/>
    <w:rsid w:val="00505153"/>
    <w:rsid w:val="00505B32"/>
    <w:rsid w:val="005064F6"/>
    <w:rsid w:val="005065A6"/>
    <w:rsid w:val="00507529"/>
    <w:rsid w:val="005076ED"/>
    <w:rsid w:val="00507BE2"/>
    <w:rsid w:val="00507CCF"/>
    <w:rsid w:val="00510D64"/>
    <w:rsid w:val="005110E1"/>
    <w:rsid w:val="00511429"/>
    <w:rsid w:val="00512096"/>
    <w:rsid w:val="005122BB"/>
    <w:rsid w:val="00512BC3"/>
    <w:rsid w:val="005132B9"/>
    <w:rsid w:val="005132F0"/>
    <w:rsid w:val="00513594"/>
    <w:rsid w:val="00513BA9"/>
    <w:rsid w:val="0051403A"/>
    <w:rsid w:val="005158CD"/>
    <w:rsid w:val="00515E1B"/>
    <w:rsid w:val="005160BD"/>
    <w:rsid w:val="005164C1"/>
    <w:rsid w:val="0051678E"/>
    <w:rsid w:val="005172C6"/>
    <w:rsid w:val="0051777D"/>
    <w:rsid w:val="005179E5"/>
    <w:rsid w:val="00517A03"/>
    <w:rsid w:val="00517B07"/>
    <w:rsid w:val="00517D9E"/>
    <w:rsid w:val="00520688"/>
    <w:rsid w:val="0052140F"/>
    <w:rsid w:val="005214AC"/>
    <w:rsid w:val="00521910"/>
    <w:rsid w:val="005220D1"/>
    <w:rsid w:val="00522384"/>
    <w:rsid w:val="00522CC2"/>
    <w:rsid w:val="00522F25"/>
    <w:rsid w:val="00522FBA"/>
    <w:rsid w:val="0052318C"/>
    <w:rsid w:val="00523A63"/>
    <w:rsid w:val="00523F05"/>
    <w:rsid w:val="00524180"/>
    <w:rsid w:val="00524A5B"/>
    <w:rsid w:val="00524B83"/>
    <w:rsid w:val="00524CF4"/>
    <w:rsid w:val="00524E59"/>
    <w:rsid w:val="00524EDD"/>
    <w:rsid w:val="00525480"/>
    <w:rsid w:val="00525FA3"/>
    <w:rsid w:val="0052610C"/>
    <w:rsid w:val="005261CC"/>
    <w:rsid w:val="0052704B"/>
    <w:rsid w:val="0052729E"/>
    <w:rsid w:val="00527583"/>
    <w:rsid w:val="0052784A"/>
    <w:rsid w:val="00530417"/>
    <w:rsid w:val="00530E90"/>
    <w:rsid w:val="00531570"/>
    <w:rsid w:val="005316BC"/>
    <w:rsid w:val="00531B63"/>
    <w:rsid w:val="005320EB"/>
    <w:rsid w:val="0053290C"/>
    <w:rsid w:val="00532C6E"/>
    <w:rsid w:val="00532DDE"/>
    <w:rsid w:val="005334F5"/>
    <w:rsid w:val="0053365D"/>
    <w:rsid w:val="00533CFD"/>
    <w:rsid w:val="00534196"/>
    <w:rsid w:val="00534463"/>
    <w:rsid w:val="00534694"/>
    <w:rsid w:val="00535524"/>
    <w:rsid w:val="0053739B"/>
    <w:rsid w:val="0053794B"/>
    <w:rsid w:val="005407A0"/>
    <w:rsid w:val="00540808"/>
    <w:rsid w:val="00540C4A"/>
    <w:rsid w:val="00541210"/>
    <w:rsid w:val="005423D6"/>
    <w:rsid w:val="0054240D"/>
    <w:rsid w:val="00542842"/>
    <w:rsid w:val="00542A53"/>
    <w:rsid w:val="00543119"/>
    <w:rsid w:val="005432F7"/>
    <w:rsid w:val="00543BB2"/>
    <w:rsid w:val="00543C4E"/>
    <w:rsid w:val="00543D16"/>
    <w:rsid w:val="0054457B"/>
    <w:rsid w:val="00544B09"/>
    <w:rsid w:val="00544C13"/>
    <w:rsid w:val="005455FD"/>
    <w:rsid w:val="005457DD"/>
    <w:rsid w:val="00545877"/>
    <w:rsid w:val="0054732E"/>
    <w:rsid w:val="0054753C"/>
    <w:rsid w:val="00547E9B"/>
    <w:rsid w:val="00550520"/>
    <w:rsid w:val="00550847"/>
    <w:rsid w:val="00550C61"/>
    <w:rsid w:val="00551549"/>
    <w:rsid w:val="00551693"/>
    <w:rsid w:val="00552003"/>
    <w:rsid w:val="005520DA"/>
    <w:rsid w:val="00552725"/>
    <w:rsid w:val="00552811"/>
    <w:rsid w:val="00552864"/>
    <w:rsid w:val="005528AC"/>
    <w:rsid w:val="00552A46"/>
    <w:rsid w:val="00552BD5"/>
    <w:rsid w:val="00553491"/>
    <w:rsid w:val="00553C90"/>
    <w:rsid w:val="00554453"/>
    <w:rsid w:val="0055465C"/>
    <w:rsid w:val="00554726"/>
    <w:rsid w:val="005549EA"/>
    <w:rsid w:val="005551D8"/>
    <w:rsid w:val="005553CC"/>
    <w:rsid w:val="00555C76"/>
    <w:rsid w:val="00556A26"/>
    <w:rsid w:val="00556AEA"/>
    <w:rsid w:val="00556C54"/>
    <w:rsid w:val="00556CFA"/>
    <w:rsid w:val="005575D4"/>
    <w:rsid w:val="00557E2E"/>
    <w:rsid w:val="0056001C"/>
    <w:rsid w:val="0056034A"/>
    <w:rsid w:val="00560CC3"/>
    <w:rsid w:val="00560CDA"/>
    <w:rsid w:val="00561E32"/>
    <w:rsid w:val="00561FBB"/>
    <w:rsid w:val="005623F7"/>
    <w:rsid w:val="00562795"/>
    <w:rsid w:val="00562895"/>
    <w:rsid w:val="0056291D"/>
    <w:rsid w:val="00562B5E"/>
    <w:rsid w:val="00562E03"/>
    <w:rsid w:val="00562E53"/>
    <w:rsid w:val="00563C1A"/>
    <w:rsid w:val="00564B5B"/>
    <w:rsid w:val="0056541D"/>
    <w:rsid w:val="00565C47"/>
    <w:rsid w:val="00565DB1"/>
    <w:rsid w:val="00565E2D"/>
    <w:rsid w:val="005677E8"/>
    <w:rsid w:val="00567E4F"/>
    <w:rsid w:val="00567FC4"/>
    <w:rsid w:val="00570693"/>
    <w:rsid w:val="00570AC1"/>
    <w:rsid w:val="005713FF"/>
    <w:rsid w:val="005718D1"/>
    <w:rsid w:val="00571DB4"/>
    <w:rsid w:val="00573143"/>
    <w:rsid w:val="005732E0"/>
    <w:rsid w:val="00573889"/>
    <w:rsid w:val="005739B9"/>
    <w:rsid w:val="00573DF1"/>
    <w:rsid w:val="00573E5D"/>
    <w:rsid w:val="005742A0"/>
    <w:rsid w:val="00574D6D"/>
    <w:rsid w:val="005754F3"/>
    <w:rsid w:val="0057602B"/>
    <w:rsid w:val="00576224"/>
    <w:rsid w:val="005762A7"/>
    <w:rsid w:val="00576CCE"/>
    <w:rsid w:val="00577176"/>
    <w:rsid w:val="00577257"/>
    <w:rsid w:val="005772A0"/>
    <w:rsid w:val="005775E8"/>
    <w:rsid w:val="00580377"/>
    <w:rsid w:val="00580830"/>
    <w:rsid w:val="00580FE4"/>
    <w:rsid w:val="0058133B"/>
    <w:rsid w:val="00581413"/>
    <w:rsid w:val="00581B1A"/>
    <w:rsid w:val="00581C00"/>
    <w:rsid w:val="00581C6D"/>
    <w:rsid w:val="00581F77"/>
    <w:rsid w:val="00582019"/>
    <w:rsid w:val="0058317C"/>
    <w:rsid w:val="00583517"/>
    <w:rsid w:val="00583BD7"/>
    <w:rsid w:val="005847E7"/>
    <w:rsid w:val="00584E96"/>
    <w:rsid w:val="005853AE"/>
    <w:rsid w:val="00586771"/>
    <w:rsid w:val="005869E6"/>
    <w:rsid w:val="0058708B"/>
    <w:rsid w:val="0058714B"/>
    <w:rsid w:val="00587317"/>
    <w:rsid w:val="00587E31"/>
    <w:rsid w:val="005901AC"/>
    <w:rsid w:val="00591134"/>
    <w:rsid w:val="0059168C"/>
    <w:rsid w:val="0059254A"/>
    <w:rsid w:val="005928A6"/>
    <w:rsid w:val="0059434D"/>
    <w:rsid w:val="00594709"/>
    <w:rsid w:val="00594D8E"/>
    <w:rsid w:val="00595644"/>
    <w:rsid w:val="00595EF9"/>
    <w:rsid w:val="005965C7"/>
    <w:rsid w:val="00596E51"/>
    <w:rsid w:val="00597CF2"/>
    <w:rsid w:val="005A03BB"/>
    <w:rsid w:val="005A043D"/>
    <w:rsid w:val="005A148C"/>
    <w:rsid w:val="005A1D9C"/>
    <w:rsid w:val="005A20BA"/>
    <w:rsid w:val="005A2BFD"/>
    <w:rsid w:val="005A31BB"/>
    <w:rsid w:val="005A3CAC"/>
    <w:rsid w:val="005A488C"/>
    <w:rsid w:val="005A5028"/>
    <w:rsid w:val="005A5222"/>
    <w:rsid w:val="005A5298"/>
    <w:rsid w:val="005A59DE"/>
    <w:rsid w:val="005A5F78"/>
    <w:rsid w:val="005A679E"/>
    <w:rsid w:val="005A67E9"/>
    <w:rsid w:val="005A6D34"/>
    <w:rsid w:val="005B097B"/>
    <w:rsid w:val="005B18B2"/>
    <w:rsid w:val="005B19DA"/>
    <w:rsid w:val="005B20CF"/>
    <w:rsid w:val="005B485F"/>
    <w:rsid w:val="005B4A76"/>
    <w:rsid w:val="005B5677"/>
    <w:rsid w:val="005B68DB"/>
    <w:rsid w:val="005B736B"/>
    <w:rsid w:val="005B73C2"/>
    <w:rsid w:val="005B7BD8"/>
    <w:rsid w:val="005B7E9F"/>
    <w:rsid w:val="005C029F"/>
    <w:rsid w:val="005C02A9"/>
    <w:rsid w:val="005C02E0"/>
    <w:rsid w:val="005C1333"/>
    <w:rsid w:val="005C1499"/>
    <w:rsid w:val="005C1D5C"/>
    <w:rsid w:val="005C2019"/>
    <w:rsid w:val="005C298D"/>
    <w:rsid w:val="005C2B05"/>
    <w:rsid w:val="005C2DAA"/>
    <w:rsid w:val="005C343F"/>
    <w:rsid w:val="005C3ABF"/>
    <w:rsid w:val="005C4076"/>
    <w:rsid w:val="005C4245"/>
    <w:rsid w:val="005C4C37"/>
    <w:rsid w:val="005C5266"/>
    <w:rsid w:val="005C5A4B"/>
    <w:rsid w:val="005C6E8F"/>
    <w:rsid w:val="005C7C31"/>
    <w:rsid w:val="005D0564"/>
    <w:rsid w:val="005D0BD9"/>
    <w:rsid w:val="005D182E"/>
    <w:rsid w:val="005D2A06"/>
    <w:rsid w:val="005D32D3"/>
    <w:rsid w:val="005D337D"/>
    <w:rsid w:val="005D35CB"/>
    <w:rsid w:val="005D37A3"/>
    <w:rsid w:val="005D4184"/>
    <w:rsid w:val="005D4E55"/>
    <w:rsid w:val="005D50EF"/>
    <w:rsid w:val="005D6E30"/>
    <w:rsid w:val="005D6F95"/>
    <w:rsid w:val="005D7554"/>
    <w:rsid w:val="005D76F3"/>
    <w:rsid w:val="005D78EA"/>
    <w:rsid w:val="005D7973"/>
    <w:rsid w:val="005D7DFE"/>
    <w:rsid w:val="005E05D4"/>
    <w:rsid w:val="005E12DB"/>
    <w:rsid w:val="005E151C"/>
    <w:rsid w:val="005E17D0"/>
    <w:rsid w:val="005E377A"/>
    <w:rsid w:val="005E3925"/>
    <w:rsid w:val="005E4698"/>
    <w:rsid w:val="005E4720"/>
    <w:rsid w:val="005E486B"/>
    <w:rsid w:val="005E4AA8"/>
    <w:rsid w:val="005E4AD3"/>
    <w:rsid w:val="005E4BB1"/>
    <w:rsid w:val="005E5046"/>
    <w:rsid w:val="005E5EAF"/>
    <w:rsid w:val="005E62B5"/>
    <w:rsid w:val="005E6A5D"/>
    <w:rsid w:val="005E6E27"/>
    <w:rsid w:val="005E74C8"/>
    <w:rsid w:val="005E77EC"/>
    <w:rsid w:val="005F00A5"/>
    <w:rsid w:val="005F0BD5"/>
    <w:rsid w:val="005F15D8"/>
    <w:rsid w:val="005F17C9"/>
    <w:rsid w:val="005F1E31"/>
    <w:rsid w:val="005F2257"/>
    <w:rsid w:val="005F2344"/>
    <w:rsid w:val="005F2513"/>
    <w:rsid w:val="005F2F34"/>
    <w:rsid w:val="005F2FF8"/>
    <w:rsid w:val="005F311A"/>
    <w:rsid w:val="005F3487"/>
    <w:rsid w:val="005F3732"/>
    <w:rsid w:val="005F4038"/>
    <w:rsid w:val="005F4F17"/>
    <w:rsid w:val="005F5B8F"/>
    <w:rsid w:val="005F5DFB"/>
    <w:rsid w:val="005F6106"/>
    <w:rsid w:val="005F6305"/>
    <w:rsid w:val="005F64F0"/>
    <w:rsid w:val="005F6FF2"/>
    <w:rsid w:val="005F7018"/>
    <w:rsid w:val="005F725B"/>
    <w:rsid w:val="005F73FB"/>
    <w:rsid w:val="006001B0"/>
    <w:rsid w:val="006006F6"/>
    <w:rsid w:val="00600C9D"/>
    <w:rsid w:val="00601824"/>
    <w:rsid w:val="00601B46"/>
    <w:rsid w:val="00601CB8"/>
    <w:rsid w:val="00602FE0"/>
    <w:rsid w:val="00603B45"/>
    <w:rsid w:val="00603EF3"/>
    <w:rsid w:val="00604306"/>
    <w:rsid w:val="00604812"/>
    <w:rsid w:val="0060487F"/>
    <w:rsid w:val="00604EBF"/>
    <w:rsid w:val="00605302"/>
    <w:rsid w:val="006063EF"/>
    <w:rsid w:val="00607311"/>
    <w:rsid w:val="00607348"/>
    <w:rsid w:val="0060749B"/>
    <w:rsid w:val="00610532"/>
    <w:rsid w:val="00610863"/>
    <w:rsid w:val="0061127B"/>
    <w:rsid w:val="006115A9"/>
    <w:rsid w:val="00611698"/>
    <w:rsid w:val="00612A72"/>
    <w:rsid w:val="00612D34"/>
    <w:rsid w:val="006139E0"/>
    <w:rsid w:val="0061427D"/>
    <w:rsid w:val="00614430"/>
    <w:rsid w:val="00614B84"/>
    <w:rsid w:val="00615135"/>
    <w:rsid w:val="0061528E"/>
    <w:rsid w:val="00616932"/>
    <w:rsid w:val="00616B02"/>
    <w:rsid w:val="00616BEC"/>
    <w:rsid w:val="0061721D"/>
    <w:rsid w:val="00617F33"/>
    <w:rsid w:val="0062029C"/>
    <w:rsid w:val="0062037A"/>
    <w:rsid w:val="00620642"/>
    <w:rsid w:val="006209BD"/>
    <w:rsid w:val="00621A03"/>
    <w:rsid w:val="00621C19"/>
    <w:rsid w:val="0062272B"/>
    <w:rsid w:val="006228E4"/>
    <w:rsid w:val="00623058"/>
    <w:rsid w:val="006234AF"/>
    <w:rsid w:val="00623557"/>
    <w:rsid w:val="00623B01"/>
    <w:rsid w:val="006241D9"/>
    <w:rsid w:val="006249AD"/>
    <w:rsid w:val="00624B55"/>
    <w:rsid w:val="00625AF6"/>
    <w:rsid w:val="00625C65"/>
    <w:rsid w:val="00626990"/>
    <w:rsid w:val="006269D4"/>
    <w:rsid w:val="00626CB9"/>
    <w:rsid w:val="00626DC0"/>
    <w:rsid w:val="00627155"/>
    <w:rsid w:val="0062733F"/>
    <w:rsid w:val="006275C8"/>
    <w:rsid w:val="00627D16"/>
    <w:rsid w:val="00630111"/>
    <w:rsid w:val="00630594"/>
    <w:rsid w:val="006314D2"/>
    <w:rsid w:val="0063203F"/>
    <w:rsid w:val="00633296"/>
    <w:rsid w:val="00633467"/>
    <w:rsid w:val="00633566"/>
    <w:rsid w:val="00633F20"/>
    <w:rsid w:val="00633FB5"/>
    <w:rsid w:val="00634644"/>
    <w:rsid w:val="00635215"/>
    <w:rsid w:val="006356B3"/>
    <w:rsid w:val="006365F0"/>
    <w:rsid w:val="00636B5A"/>
    <w:rsid w:val="00636C88"/>
    <w:rsid w:val="00636DEB"/>
    <w:rsid w:val="006373ED"/>
    <w:rsid w:val="006374C4"/>
    <w:rsid w:val="00637801"/>
    <w:rsid w:val="006408CF"/>
    <w:rsid w:val="00640C87"/>
    <w:rsid w:val="006410AE"/>
    <w:rsid w:val="00641D00"/>
    <w:rsid w:val="00642940"/>
    <w:rsid w:val="006443B2"/>
    <w:rsid w:val="00644460"/>
    <w:rsid w:val="00645255"/>
    <w:rsid w:val="0064689F"/>
    <w:rsid w:val="006468B3"/>
    <w:rsid w:val="00646BFD"/>
    <w:rsid w:val="0064788A"/>
    <w:rsid w:val="006479CD"/>
    <w:rsid w:val="00647C49"/>
    <w:rsid w:val="00647EFF"/>
    <w:rsid w:val="00650052"/>
    <w:rsid w:val="0065043D"/>
    <w:rsid w:val="00650DF6"/>
    <w:rsid w:val="00650E04"/>
    <w:rsid w:val="00650EAC"/>
    <w:rsid w:val="0065171F"/>
    <w:rsid w:val="00651EF0"/>
    <w:rsid w:val="006521AC"/>
    <w:rsid w:val="00652A40"/>
    <w:rsid w:val="00652DD4"/>
    <w:rsid w:val="00653C96"/>
    <w:rsid w:val="00653F83"/>
    <w:rsid w:val="0065409E"/>
    <w:rsid w:val="006541C4"/>
    <w:rsid w:val="00655D97"/>
    <w:rsid w:val="0065614C"/>
    <w:rsid w:val="006561FE"/>
    <w:rsid w:val="006564DF"/>
    <w:rsid w:val="0065681E"/>
    <w:rsid w:val="0065687E"/>
    <w:rsid w:val="00657264"/>
    <w:rsid w:val="00657630"/>
    <w:rsid w:val="00657E5A"/>
    <w:rsid w:val="006603BB"/>
    <w:rsid w:val="0066098C"/>
    <w:rsid w:val="0066132D"/>
    <w:rsid w:val="006615C2"/>
    <w:rsid w:val="00662803"/>
    <w:rsid w:val="00662898"/>
    <w:rsid w:val="00662FD8"/>
    <w:rsid w:val="00663079"/>
    <w:rsid w:val="00663318"/>
    <w:rsid w:val="00663894"/>
    <w:rsid w:val="00664109"/>
    <w:rsid w:val="00664573"/>
    <w:rsid w:val="00664738"/>
    <w:rsid w:val="00664866"/>
    <w:rsid w:val="006655B0"/>
    <w:rsid w:val="006655EF"/>
    <w:rsid w:val="0066590B"/>
    <w:rsid w:val="00665C19"/>
    <w:rsid w:val="00666D8F"/>
    <w:rsid w:val="006673D8"/>
    <w:rsid w:val="00667933"/>
    <w:rsid w:val="00667DE1"/>
    <w:rsid w:val="00667E9B"/>
    <w:rsid w:val="00670030"/>
    <w:rsid w:val="0067010F"/>
    <w:rsid w:val="006701A6"/>
    <w:rsid w:val="006710A7"/>
    <w:rsid w:val="00671848"/>
    <w:rsid w:val="00671E47"/>
    <w:rsid w:val="00671FC1"/>
    <w:rsid w:val="006720E0"/>
    <w:rsid w:val="006721DE"/>
    <w:rsid w:val="00672473"/>
    <w:rsid w:val="00672DC3"/>
    <w:rsid w:val="00672E5D"/>
    <w:rsid w:val="00673C73"/>
    <w:rsid w:val="00673D5B"/>
    <w:rsid w:val="00674AD4"/>
    <w:rsid w:val="00674F2A"/>
    <w:rsid w:val="00676165"/>
    <w:rsid w:val="006761E2"/>
    <w:rsid w:val="00677A75"/>
    <w:rsid w:val="00680130"/>
    <w:rsid w:val="006809A2"/>
    <w:rsid w:val="006816CE"/>
    <w:rsid w:val="00681C57"/>
    <w:rsid w:val="006825A0"/>
    <w:rsid w:val="00682E99"/>
    <w:rsid w:val="00682F0E"/>
    <w:rsid w:val="0068356A"/>
    <w:rsid w:val="00683AC4"/>
    <w:rsid w:val="00684A33"/>
    <w:rsid w:val="0068566A"/>
    <w:rsid w:val="00685F53"/>
    <w:rsid w:val="00685F79"/>
    <w:rsid w:val="00687A16"/>
    <w:rsid w:val="00690438"/>
    <w:rsid w:val="00690536"/>
    <w:rsid w:val="00690E70"/>
    <w:rsid w:val="006912DB"/>
    <w:rsid w:val="00692DDE"/>
    <w:rsid w:val="0069302E"/>
    <w:rsid w:val="00694729"/>
    <w:rsid w:val="00694C21"/>
    <w:rsid w:val="00694E58"/>
    <w:rsid w:val="00694F21"/>
    <w:rsid w:val="00694F96"/>
    <w:rsid w:val="0069578B"/>
    <w:rsid w:val="00695F54"/>
    <w:rsid w:val="00696128"/>
    <w:rsid w:val="00696B7C"/>
    <w:rsid w:val="00696E16"/>
    <w:rsid w:val="006979CF"/>
    <w:rsid w:val="006A0097"/>
    <w:rsid w:val="006A14DF"/>
    <w:rsid w:val="006A1AA2"/>
    <w:rsid w:val="006A1C7A"/>
    <w:rsid w:val="006A1CE7"/>
    <w:rsid w:val="006A208B"/>
    <w:rsid w:val="006A295D"/>
    <w:rsid w:val="006A3F27"/>
    <w:rsid w:val="006A40F5"/>
    <w:rsid w:val="006A458D"/>
    <w:rsid w:val="006A4ACF"/>
    <w:rsid w:val="006A4C5A"/>
    <w:rsid w:val="006A58E8"/>
    <w:rsid w:val="006A5AAA"/>
    <w:rsid w:val="006A5C0E"/>
    <w:rsid w:val="006A6058"/>
    <w:rsid w:val="006A6439"/>
    <w:rsid w:val="006A6510"/>
    <w:rsid w:val="006A7047"/>
    <w:rsid w:val="006A7BB1"/>
    <w:rsid w:val="006B05FA"/>
    <w:rsid w:val="006B1722"/>
    <w:rsid w:val="006B235F"/>
    <w:rsid w:val="006B25C4"/>
    <w:rsid w:val="006B25F1"/>
    <w:rsid w:val="006B27CF"/>
    <w:rsid w:val="006B3430"/>
    <w:rsid w:val="006B362B"/>
    <w:rsid w:val="006B3A22"/>
    <w:rsid w:val="006B42C2"/>
    <w:rsid w:val="006B44B1"/>
    <w:rsid w:val="006B457D"/>
    <w:rsid w:val="006B472B"/>
    <w:rsid w:val="006B476F"/>
    <w:rsid w:val="006B589A"/>
    <w:rsid w:val="006B59E3"/>
    <w:rsid w:val="006B5BDF"/>
    <w:rsid w:val="006B60FA"/>
    <w:rsid w:val="006B6366"/>
    <w:rsid w:val="006B643E"/>
    <w:rsid w:val="006B67BD"/>
    <w:rsid w:val="006C074E"/>
    <w:rsid w:val="006C0D18"/>
    <w:rsid w:val="006C0F0C"/>
    <w:rsid w:val="006C0F66"/>
    <w:rsid w:val="006C1643"/>
    <w:rsid w:val="006C18EC"/>
    <w:rsid w:val="006C36D2"/>
    <w:rsid w:val="006C3DD7"/>
    <w:rsid w:val="006C4266"/>
    <w:rsid w:val="006C45C3"/>
    <w:rsid w:val="006C45D2"/>
    <w:rsid w:val="006C4633"/>
    <w:rsid w:val="006C4FFE"/>
    <w:rsid w:val="006C50B7"/>
    <w:rsid w:val="006C53FA"/>
    <w:rsid w:val="006C5C01"/>
    <w:rsid w:val="006C5F1D"/>
    <w:rsid w:val="006C64C9"/>
    <w:rsid w:val="006C740B"/>
    <w:rsid w:val="006C770D"/>
    <w:rsid w:val="006C7B31"/>
    <w:rsid w:val="006D13F3"/>
    <w:rsid w:val="006D1FC4"/>
    <w:rsid w:val="006D2145"/>
    <w:rsid w:val="006D2D74"/>
    <w:rsid w:val="006D318A"/>
    <w:rsid w:val="006D3E29"/>
    <w:rsid w:val="006D49CD"/>
    <w:rsid w:val="006D4A68"/>
    <w:rsid w:val="006D4B4A"/>
    <w:rsid w:val="006D4BF3"/>
    <w:rsid w:val="006D4F0D"/>
    <w:rsid w:val="006D58B0"/>
    <w:rsid w:val="006D6690"/>
    <w:rsid w:val="006D6A92"/>
    <w:rsid w:val="006D6AED"/>
    <w:rsid w:val="006D7A6A"/>
    <w:rsid w:val="006D7DE7"/>
    <w:rsid w:val="006E0A0A"/>
    <w:rsid w:val="006E0C1C"/>
    <w:rsid w:val="006E11F0"/>
    <w:rsid w:val="006E1502"/>
    <w:rsid w:val="006E1A09"/>
    <w:rsid w:val="006E200B"/>
    <w:rsid w:val="006E2325"/>
    <w:rsid w:val="006E30BF"/>
    <w:rsid w:val="006E369D"/>
    <w:rsid w:val="006E3AEC"/>
    <w:rsid w:val="006E3E92"/>
    <w:rsid w:val="006E41C3"/>
    <w:rsid w:val="006E44C8"/>
    <w:rsid w:val="006E4A64"/>
    <w:rsid w:val="006E4A93"/>
    <w:rsid w:val="006E4C33"/>
    <w:rsid w:val="006E579C"/>
    <w:rsid w:val="006E5930"/>
    <w:rsid w:val="006E5A9B"/>
    <w:rsid w:val="006E6B27"/>
    <w:rsid w:val="006E7041"/>
    <w:rsid w:val="006E7CC9"/>
    <w:rsid w:val="006F02E7"/>
    <w:rsid w:val="006F080E"/>
    <w:rsid w:val="006F08FF"/>
    <w:rsid w:val="006F0A35"/>
    <w:rsid w:val="006F2399"/>
    <w:rsid w:val="006F2494"/>
    <w:rsid w:val="006F2538"/>
    <w:rsid w:val="006F27FD"/>
    <w:rsid w:val="006F2805"/>
    <w:rsid w:val="006F2DCB"/>
    <w:rsid w:val="006F3C2E"/>
    <w:rsid w:val="006F4D43"/>
    <w:rsid w:val="006F4FF5"/>
    <w:rsid w:val="006F51F6"/>
    <w:rsid w:val="006F5354"/>
    <w:rsid w:val="006F5416"/>
    <w:rsid w:val="006F5DA6"/>
    <w:rsid w:val="006F5F88"/>
    <w:rsid w:val="006F69CF"/>
    <w:rsid w:val="006F6D9C"/>
    <w:rsid w:val="0070016B"/>
    <w:rsid w:val="007005E9"/>
    <w:rsid w:val="00700A1F"/>
    <w:rsid w:val="00700CBB"/>
    <w:rsid w:val="00700CC5"/>
    <w:rsid w:val="007018DC"/>
    <w:rsid w:val="00701A15"/>
    <w:rsid w:val="00701DC6"/>
    <w:rsid w:val="00702679"/>
    <w:rsid w:val="00702B71"/>
    <w:rsid w:val="00702BAA"/>
    <w:rsid w:val="00702DD1"/>
    <w:rsid w:val="007033DA"/>
    <w:rsid w:val="00703553"/>
    <w:rsid w:val="00703AD5"/>
    <w:rsid w:val="00703BE1"/>
    <w:rsid w:val="00704298"/>
    <w:rsid w:val="007044F5"/>
    <w:rsid w:val="0070558E"/>
    <w:rsid w:val="00705D4B"/>
    <w:rsid w:val="00706724"/>
    <w:rsid w:val="00706941"/>
    <w:rsid w:val="00706B5A"/>
    <w:rsid w:val="00706E53"/>
    <w:rsid w:val="00707A22"/>
    <w:rsid w:val="00707FCF"/>
    <w:rsid w:val="00710939"/>
    <w:rsid w:val="007121A4"/>
    <w:rsid w:val="00712F50"/>
    <w:rsid w:val="00713045"/>
    <w:rsid w:val="007131DC"/>
    <w:rsid w:val="00713560"/>
    <w:rsid w:val="00713B3D"/>
    <w:rsid w:val="00713D2A"/>
    <w:rsid w:val="00714512"/>
    <w:rsid w:val="0071518A"/>
    <w:rsid w:val="007154A3"/>
    <w:rsid w:val="00715527"/>
    <w:rsid w:val="00716B52"/>
    <w:rsid w:val="00717155"/>
    <w:rsid w:val="00717228"/>
    <w:rsid w:val="0071798D"/>
    <w:rsid w:val="00717AD5"/>
    <w:rsid w:val="00717DC8"/>
    <w:rsid w:val="00720CAC"/>
    <w:rsid w:val="00720E34"/>
    <w:rsid w:val="00721BC1"/>
    <w:rsid w:val="00722AED"/>
    <w:rsid w:val="00722F79"/>
    <w:rsid w:val="00723E5C"/>
    <w:rsid w:val="00724496"/>
    <w:rsid w:val="00724B1E"/>
    <w:rsid w:val="007258F9"/>
    <w:rsid w:val="00725EDE"/>
    <w:rsid w:val="00726634"/>
    <w:rsid w:val="00726EFE"/>
    <w:rsid w:val="0072719F"/>
    <w:rsid w:val="007275C2"/>
    <w:rsid w:val="007275D1"/>
    <w:rsid w:val="00727D41"/>
    <w:rsid w:val="00727FFA"/>
    <w:rsid w:val="00730BB9"/>
    <w:rsid w:val="00730D41"/>
    <w:rsid w:val="007311B0"/>
    <w:rsid w:val="007315C8"/>
    <w:rsid w:val="007317D1"/>
    <w:rsid w:val="00732662"/>
    <w:rsid w:val="00732AD5"/>
    <w:rsid w:val="00733360"/>
    <w:rsid w:val="00734516"/>
    <w:rsid w:val="00734EAE"/>
    <w:rsid w:val="00734EBC"/>
    <w:rsid w:val="00735235"/>
    <w:rsid w:val="00735C13"/>
    <w:rsid w:val="00736109"/>
    <w:rsid w:val="00736179"/>
    <w:rsid w:val="00736A5A"/>
    <w:rsid w:val="00736AA4"/>
    <w:rsid w:val="00736CDD"/>
    <w:rsid w:val="00737274"/>
    <w:rsid w:val="00737621"/>
    <w:rsid w:val="00737BA8"/>
    <w:rsid w:val="00737D83"/>
    <w:rsid w:val="00737FB7"/>
    <w:rsid w:val="0074034D"/>
    <w:rsid w:val="007403BE"/>
    <w:rsid w:val="00740679"/>
    <w:rsid w:val="00741BB4"/>
    <w:rsid w:val="0074226A"/>
    <w:rsid w:val="00742525"/>
    <w:rsid w:val="007428F1"/>
    <w:rsid w:val="00742BB4"/>
    <w:rsid w:val="00743BFD"/>
    <w:rsid w:val="0074403E"/>
    <w:rsid w:val="00744549"/>
    <w:rsid w:val="0074654E"/>
    <w:rsid w:val="00747AEA"/>
    <w:rsid w:val="007501F6"/>
    <w:rsid w:val="007513B3"/>
    <w:rsid w:val="007516B6"/>
    <w:rsid w:val="007518FC"/>
    <w:rsid w:val="00752303"/>
    <w:rsid w:val="00752494"/>
    <w:rsid w:val="0075271F"/>
    <w:rsid w:val="00753084"/>
    <w:rsid w:val="00753AAC"/>
    <w:rsid w:val="00753C58"/>
    <w:rsid w:val="00753C79"/>
    <w:rsid w:val="007541CB"/>
    <w:rsid w:val="0075453E"/>
    <w:rsid w:val="00754B24"/>
    <w:rsid w:val="00754C72"/>
    <w:rsid w:val="007551A4"/>
    <w:rsid w:val="0075545A"/>
    <w:rsid w:val="0075588B"/>
    <w:rsid w:val="00756FA0"/>
    <w:rsid w:val="00757690"/>
    <w:rsid w:val="00757CA1"/>
    <w:rsid w:val="00760449"/>
    <w:rsid w:val="00760487"/>
    <w:rsid w:val="007605F1"/>
    <w:rsid w:val="007611DF"/>
    <w:rsid w:val="0076173E"/>
    <w:rsid w:val="007619FD"/>
    <w:rsid w:val="00761ACD"/>
    <w:rsid w:val="0076287C"/>
    <w:rsid w:val="00763CE6"/>
    <w:rsid w:val="0076410E"/>
    <w:rsid w:val="00764655"/>
    <w:rsid w:val="00764738"/>
    <w:rsid w:val="0076496A"/>
    <w:rsid w:val="00764A70"/>
    <w:rsid w:val="00765014"/>
    <w:rsid w:val="007652AB"/>
    <w:rsid w:val="0076549E"/>
    <w:rsid w:val="00765980"/>
    <w:rsid w:val="00765C77"/>
    <w:rsid w:val="00766599"/>
    <w:rsid w:val="00766C8C"/>
    <w:rsid w:val="00766CCF"/>
    <w:rsid w:val="00766DC6"/>
    <w:rsid w:val="0076784A"/>
    <w:rsid w:val="007701FA"/>
    <w:rsid w:val="00770729"/>
    <w:rsid w:val="00770BC5"/>
    <w:rsid w:val="007720BF"/>
    <w:rsid w:val="0077215C"/>
    <w:rsid w:val="007721F0"/>
    <w:rsid w:val="00772581"/>
    <w:rsid w:val="007726FA"/>
    <w:rsid w:val="0077345D"/>
    <w:rsid w:val="0077356E"/>
    <w:rsid w:val="00773DA5"/>
    <w:rsid w:val="00774363"/>
    <w:rsid w:val="007752F2"/>
    <w:rsid w:val="00775475"/>
    <w:rsid w:val="0077551F"/>
    <w:rsid w:val="00775774"/>
    <w:rsid w:val="00775EE4"/>
    <w:rsid w:val="00775F2D"/>
    <w:rsid w:val="00776881"/>
    <w:rsid w:val="00777032"/>
    <w:rsid w:val="00777353"/>
    <w:rsid w:val="0078059F"/>
    <w:rsid w:val="00780B29"/>
    <w:rsid w:val="00780D9F"/>
    <w:rsid w:val="00781C14"/>
    <w:rsid w:val="00782259"/>
    <w:rsid w:val="007825ED"/>
    <w:rsid w:val="007841BF"/>
    <w:rsid w:val="00784D1A"/>
    <w:rsid w:val="0078529C"/>
    <w:rsid w:val="00785743"/>
    <w:rsid w:val="00785AB1"/>
    <w:rsid w:val="00785CF1"/>
    <w:rsid w:val="00786288"/>
    <w:rsid w:val="00786DE6"/>
    <w:rsid w:val="00787B33"/>
    <w:rsid w:val="00790544"/>
    <w:rsid w:val="00790B21"/>
    <w:rsid w:val="007924E3"/>
    <w:rsid w:val="00792EBE"/>
    <w:rsid w:val="0079440E"/>
    <w:rsid w:val="007944E1"/>
    <w:rsid w:val="00795A90"/>
    <w:rsid w:val="00795E13"/>
    <w:rsid w:val="00795FC1"/>
    <w:rsid w:val="00796997"/>
    <w:rsid w:val="00796F4E"/>
    <w:rsid w:val="00797ECC"/>
    <w:rsid w:val="007A1397"/>
    <w:rsid w:val="007A2270"/>
    <w:rsid w:val="007A2A36"/>
    <w:rsid w:val="007A3375"/>
    <w:rsid w:val="007A3577"/>
    <w:rsid w:val="007A38D0"/>
    <w:rsid w:val="007A4BCF"/>
    <w:rsid w:val="007A5084"/>
    <w:rsid w:val="007A50CE"/>
    <w:rsid w:val="007A53C1"/>
    <w:rsid w:val="007A5C2F"/>
    <w:rsid w:val="007A6B9D"/>
    <w:rsid w:val="007A743A"/>
    <w:rsid w:val="007A7670"/>
    <w:rsid w:val="007A7EA9"/>
    <w:rsid w:val="007B05F8"/>
    <w:rsid w:val="007B06A6"/>
    <w:rsid w:val="007B09FE"/>
    <w:rsid w:val="007B0B81"/>
    <w:rsid w:val="007B0EF1"/>
    <w:rsid w:val="007B1602"/>
    <w:rsid w:val="007B175A"/>
    <w:rsid w:val="007B18F2"/>
    <w:rsid w:val="007B1F29"/>
    <w:rsid w:val="007B26E7"/>
    <w:rsid w:val="007B4231"/>
    <w:rsid w:val="007B44EF"/>
    <w:rsid w:val="007B4C1D"/>
    <w:rsid w:val="007B539B"/>
    <w:rsid w:val="007B5A1E"/>
    <w:rsid w:val="007B6165"/>
    <w:rsid w:val="007B622B"/>
    <w:rsid w:val="007B6473"/>
    <w:rsid w:val="007B74F1"/>
    <w:rsid w:val="007C039A"/>
    <w:rsid w:val="007C0828"/>
    <w:rsid w:val="007C0CD3"/>
    <w:rsid w:val="007C18EA"/>
    <w:rsid w:val="007C1C73"/>
    <w:rsid w:val="007C1DBE"/>
    <w:rsid w:val="007C231C"/>
    <w:rsid w:val="007C378C"/>
    <w:rsid w:val="007C3D1B"/>
    <w:rsid w:val="007C425C"/>
    <w:rsid w:val="007C45CA"/>
    <w:rsid w:val="007C4ABC"/>
    <w:rsid w:val="007C5417"/>
    <w:rsid w:val="007C55B8"/>
    <w:rsid w:val="007C58EC"/>
    <w:rsid w:val="007C5AA0"/>
    <w:rsid w:val="007C5B2A"/>
    <w:rsid w:val="007C68C1"/>
    <w:rsid w:val="007C79AF"/>
    <w:rsid w:val="007D0338"/>
    <w:rsid w:val="007D047A"/>
    <w:rsid w:val="007D0719"/>
    <w:rsid w:val="007D0A45"/>
    <w:rsid w:val="007D267E"/>
    <w:rsid w:val="007D2D1F"/>
    <w:rsid w:val="007D3720"/>
    <w:rsid w:val="007D40A3"/>
    <w:rsid w:val="007D43B5"/>
    <w:rsid w:val="007D4830"/>
    <w:rsid w:val="007D5697"/>
    <w:rsid w:val="007D6C41"/>
    <w:rsid w:val="007D747E"/>
    <w:rsid w:val="007D7590"/>
    <w:rsid w:val="007D7A63"/>
    <w:rsid w:val="007E0005"/>
    <w:rsid w:val="007E03DA"/>
    <w:rsid w:val="007E08DE"/>
    <w:rsid w:val="007E0965"/>
    <w:rsid w:val="007E09BA"/>
    <w:rsid w:val="007E0B5C"/>
    <w:rsid w:val="007E1623"/>
    <w:rsid w:val="007E1645"/>
    <w:rsid w:val="007E1912"/>
    <w:rsid w:val="007E2A55"/>
    <w:rsid w:val="007E3474"/>
    <w:rsid w:val="007E34A6"/>
    <w:rsid w:val="007E37AD"/>
    <w:rsid w:val="007E37F3"/>
    <w:rsid w:val="007E3A58"/>
    <w:rsid w:val="007E4113"/>
    <w:rsid w:val="007E474D"/>
    <w:rsid w:val="007E4B76"/>
    <w:rsid w:val="007E4C12"/>
    <w:rsid w:val="007E4D37"/>
    <w:rsid w:val="007E5192"/>
    <w:rsid w:val="007E5995"/>
    <w:rsid w:val="007E6915"/>
    <w:rsid w:val="007E6C62"/>
    <w:rsid w:val="007E6D24"/>
    <w:rsid w:val="007E6E9C"/>
    <w:rsid w:val="007E7191"/>
    <w:rsid w:val="007E72E1"/>
    <w:rsid w:val="007E7421"/>
    <w:rsid w:val="007F0E11"/>
    <w:rsid w:val="007F0EA5"/>
    <w:rsid w:val="007F0EE0"/>
    <w:rsid w:val="007F0F5F"/>
    <w:rsid w:val="007F163A"/>
    <w:rsid w:val="007F26C9"/>
    <w:rsid w:val="007F27E6"/>
    <w:rsid w:val="007F2C53"/>
    <w:rsid w:val="007F3074"/>
    <w:rsid w:val="007F3597"/>
    <w:rsid w:val="007F3E47"/>
    <w:rsid w:val="007F4CBF"/>
    <w:rsid w:val="007F5945"/>
    <w:rsid w:val="007F61AA"/>
    <w:rsid w:val="007F7789"/>
    <w:rsid w:val="007F7819"/>
    <w:rsid w:val="007F7E9A"/>
    <w:rsid w:val="008005D1"/>
    <w:rsid w:val="008009E5"/>
    <w:rsid w:val="00800DBF"/>
    <w:rsid w:val="00800E79"/>
    <w:rsid w:val="00800EF5"/>
    <w:rsid w:val="00801D18"/>
    <w:rsid w:val="00802280"/>
    <w:rsid w:val="00802648"/>
    <w:rsid w:val="0080276F"/>
    <w:rsid w:val="00802F6A"/>
    <w:rsid w:val="008030A3"/>
    <w:rsid w:val="008036E1"/>
    <w:rsid w:val="0080389F"/>
    <w:rsid w:val="00803C22"/>
    <w:rsid w:val="00803CC1"/>
    <w:rsid w:val="00804118"/>
    <w:rsid w:val="0080438B"/>
    <w:rsid w:val="008044BF"/>
    <w:rsid w:val="00806668"/>
    <w:rsid w:val="008066A9"/>
    <w:rsid w:val="00806AC4"/>
    <w:rsid w:val="00806B9D"/>
    <w:rsid w:val="00806C5D"/>
    <w:rsid w:val="00807CA1"/>
    <w:rsid w:val="008101BB"/>
    <w:rsid w:val="00810753"/>
    <w:rsid w:val="00810DCD"/>
    <w:rsid w:val="00810E49"/>
    <w:rsid w:val="0081146B"/>
    <w:rsid w:val="0081265B"/>
    <w:rsid w:val="00813553"/>
    <w:rsid w:val="008136D4"/>
    <w:rsid w:val="008137C2"/>
    <w:rsid w:val="00813FCC"/>
    <w:rsid w:val="008147BF"/>
    <w:rsid w:val="00814AF7"/>
    <w:rsid w:val="00814D7D"/>
    <w:rsid w:val="00815433"/>
    <w:rsid w:val="00815A8A"/>
    <w:rsid w:val="00815B80"/>
    <w:rsid w:val="00815EC3"/>
    <w:rsid w:val="008164D1"/>
    <w:rsid w:val="008164E1"/>
    <w:rsid w:val="0081663B"/>
    <w:rsid w:val="00816975"/>
    <w:rsid w:val="00816BB5"/>
    <w:rsid w:val="008173D6"/>
    <w:rsid w:val="0082010C"/>
    <w:rsid w:val="0082094E"/>
    <w:rsid w:val="00820A27"/>
    <w:rsid w:val="00820DA4"/>
    <w:rsid w:val="00820DF4"/>
    <w:rsid w:val="00820E56"/>
    <w:rsid w:val="008216D8"/>
    <w:rsid w:val="00821979"/>
    <w:rsid w:val="008222D1"/>
    <w:rsid w:val="00823596"/>
    <w:rsid w:val="00823E67"/>
    <w:rsid w:val="00823F99"/>
    <w:rsid w:val="00824457"/>
    <w:rsid w:val="00824892"/>
    <w:rsid w:val="00825062"/>
    <w:rsid w:val="008251F0"/>
    <w:rsid w:val="00825EF6"/>
    <w:rsid w:val="00830CF3"/>
    <w:rsid w:val="00830D5A"/>
    <w:rsid w:val="00830F29"/>
    <w:rsid w:val="008318E2"/>
    <w:rsid w:val="00831CB2"/>
    <w:rsid w:val="00832651"/>
    <w:rsid w:val="0083356E"/>
    <w:rsid w:val="00833D0F"/>
    <w:rsid w:val="00834792"/>
    <w:rsid w:val="00834E53"/>
    <w:rsid w:val="00834F52"/>
    <w:rsid w:val="008351F1"/>
    <w:rsid w:val="008355EB"/>
    <w:rsid w:val="00835630"/>
    <w:rsid w:val="00836538"/>
    <w:rsid w:val="00836EBB"/>
    <w:rsid w:val="00836EEA"/>
    <w:rsid w:val="0084098F"/>
    <w:rsid w:val="008409C3"/>
    <w:rsid w:val="00841016"/>
    <w:rsid w:val="0084263B"/>
    <w:rsid w:val="00842CA4"/>
    <w:rsid w:val="00842E75"/>
    <w:rsid w:val="008433DA"/>
    <w:rsid w:val="00843E19"/>
    <w:rsid w:val="008441BE"/>
    <w:rsid w:val="00844201"/>
    <w:rsid w:val="0084424C"/>
    <w:rsid w:val="00844733"/>
    <w:rsid w:val="00845B3C"/>
    <w:rsid w:val="008466D6"/>
    <w:rsid w:val="00846A5C"/>
    <w:rsid w:val="00847B81"/>
    <w:rsid w:val="00850953"/>
    <w:rsid w:val="00850CF2"/>
    <w:rsid w:val="0085140C"/>
    <w:rsid w:val="00851B98"/>
    <w:rsid w:val="00851C82"/>
    <w:rsid w:val="00851F68"/>
    <w:rsid w:val="00852F47"/>
    <w:rsid w:val="008531B5"/>
    <w:rsid w:val="00853A82"/>
    <w:rsid w:val="00854726"/>
    <w:rsid w:val="00855504"/>
    <w:rsid w:val="0085631F"/>
    <w:rsid w:val="00856703"/>
    <w:rsid w:val="00856AC9"/>
    <w:rsid w:val="00856B9B"/>
    <w:rsid w:val="00857A0D"/>
    <w:rsid w:val="00857ECF"/>
    <w:rsid w:val="00860511"/>
    <w:rsid w:val="00861171"/>
    <w:rsid w:val="008612EB"/>
    <w:rsid w:val="008614C6"/>
    <w:rsid w:val="00861BAD"/>
    <w:rsid w:val="00862200"/>
    <w:rsid w:val="00862478"/>
    <w:rsid w:val="008627E9"/>
    <w:rsid w:val="008629D2"/>
    <w:rsid w:val="00863BF1"/>
    <w:rsid w:val="00863F18"/>
    <w:rsid w:val="00864038"/>
    <w:rsid w:val="00864443"/>
    <w:rsid w:val="008645A0"/>
    <w:rsid w:val="0086471B"/>
    <w:rsid w:val="00864DB5"/>
    <w:rsid w:val="0086682B"/>
    <w:rsid w:val="008670E0"/>
    <w:rsid w:val="00867616"/>
    <w:rsid w:val="008700B3"/>
    <w:rsid w:val="008706BD"/>
    <w:rsid w:val="00871459"/>
    <w:rsid w:val="008714E2"/>
    <w:rsid w:val="00871730"/>
    <w:rsid w:val="0087178D"/>
    <w:rsid w:val="0087192A"/>
    <w:rsid w:val="00871B46"/>
    <w:rsid w:val="00871EE9"/>
    <w:rsid w:val="00871FA4"/>
    <w:rsid w:val="008727CD"/>
    <w:rsid w:val="00874667"/>
    <w:rsid w:val="00875926"/>
    <w:rsid w:val="00875A5C"/>
    <w:rsid w:val="00876E49"/>
    <w:rsid w:val="00877424"/>
    <w:rsid w:val="00877805"/>
    <w:rsid w:val="00877DB3"/>
    <w:rsid w:val="00880989"/>
    <w:rsid w:val="008811BF"/>
    <w:rsid w:val="008818F2"/>
    <w:rsid w:val="00881CF4"/>
    <w:rsid w:val="00882479"/>
    <w:rsid w:val="00882BD6"/>
    <w:rsid w:val="00884180"/>
    <w:rsid w:val="00884191"/>
    <w:rsid w:val="00884558"/>
    <w:rsid w:val="00884695"/>
    <w:rsid w:val="008846B3"/>
    <w:rsid w:val="00884756"/>
    <w:rsid w:val="008850B2"/>
    <w:rsid w:val="00885805"/>
    <w:rsid w:val="00885B0A"/>
    <w:rsid w:val="00885CF0"/>
    <w:rsid w:val="00887DB9"/>
    <w:rsid w:val="00887EDA"/>
    <w:rsid w:val="008902B4"/>
    <w:rsid w:val="008903E8"/>
    <w:rsid w:val="00890F86"/>
    <w:rsid w:val="008916FA"/>
    <w:rsid w:val="00891AD5"/>
    <w:rsid w:val="00891BA6"/>
    <w:rsid w:val="00891EB1"/>
    <w:rsid w:val="00892516"/>
    <w:rsid w:val="00892BF4"/>
    <w:rsid w:val="00893A69"/>
    <w:rsid w:val="0089505C"/>
    <w:rsid w:val="00895399"/>
    <w:rsid w:val="008955A6"/>
    <w:rsid w:val="008959EA"/>
    <w:rsid w:val="0089668C"/>
    <w:rsid w:val="0089688B"/>
    <w:rsid w:val="00896B8D"/>
    <w:rsid w:val="00897A6F"/>
    <w:rsid w:val="00897B39"/>
    <w:rsid w:val="008A00AC"/>
    <w:rsid w:val="008A01C4"/>
    <w:rsid w:val="008A0338"/>
    <w:rsid w:val="008A0445"/>
    <w:rsid w:val="008A0897"/>
    <w:rsid w:val="008A0A60"/>
    <w:rsid w:val="008A0BD4"/>
    <w:rsid w:val="008A0D72"/>
    <w:rsid w:val="008A11AE"/>
    <w:rsid w:val="008A1927"/>
    <w:rsid w:val="008A428B"/>
    <w:rsid w:val="008A43A5"/>
    <w:rsid w:val="008A4F63"/>
    <w:rsid w:val="008A5107"/>
    <w:rsid w:val="008A54E8"/>
    <w:rsid w:val="008A5759"/>
    <w:rsid w:val="008A5862"/>
    <w:rsid w:val="008A58FE"/>
    <w:rsid w:val="008A5C05"/>
    <w:rsid w:val="008A69E8"/>
    <w:rsid w:val="008A6BA6"/>
    <w:rsid w:val="008A768C"/>
    <w:rsid w:val="008A79D3"/>
    <w:rsid w:val="008B0A92"/>
    <w:rsid w:val="008B0BDF"/>
    <w:rsid w:val="008B0EB5"/>
    <w:rsid w:val="008B124B"/>
    <w:rsid w:val="008B12D7"/>
    <w:rsid w:val="008B1433"/>
    <w:rsid w:val="008B165B"/>
    <w:rsid w:val="008B2A73"/>
    <w:rsid w:val="008B2C2E"/>
    <w:rsid w:val="008B2D84"/>
    <w:rsid w:val="008B42FF"/>
    <w:rsid w:val="008B4699"/>
    <w:rsid w:val="008B4722"/>
    <w:rsid w:val="008B586B"/>
    <w:rsid w:val="008B5C5D"/>
    <w:rsid w:val="008B5FC4"/>
    <w:rsid w:val="008B65C5"/>
    <w:rsid w:val="008C26A5"/>
    <w:rsid w:val="008C3148"/>
    <w:rsid w:val="008C35B9"/>
    <w:rsid w:val="008C370D"/>
    <w:rsid w:val="008C38EE"/>
    <w:rsid w:val="008C3BFC"/>
    <w:rsid w:val="008C3D0D"/>
    <w:rsid w:val="008C4453"/>
    <w:rsid w:val="008C4930"/>
    <w:rsid w:val="008C4F85"/>
    <w:rsid w:val="008C4FFC"/>
    <w:rsid w:val="008C5151"/>
    <w:rsid w:val="008C6D29"/>
    <w:rsid w:val="008C6D9D"/>
    <w:rsid w:val="008C6FDC"/>
    <w:rsid w:val="008C7596"/>
    <w:rsid w:val="008C7690"/>
    <w:rsid w:val="008C7D39"/>
    <w:rsid w:val="008C7E89"/>
    <w:rsid w:val="008D0052"/>
    <w:rsid w:val="008D0195"/>
    <w:rsid w:val="008D031E"/>
    <w:rsid w:val="008D09EE"/>
    <w:rsid w:val="008D0ED3"/>
    <w:rsid w:val="008D152F"/>
    <w:rsid w:val="008D182B"/>
    <w:rsid w:val="008D2A8C"/>
    <w:rsid w:val="008D3476"/>
    <w:rsid w:val="008D3520"/>
    <w:rsid w:val="008D374F"/>
    <w:rsid w:val="008D38B8"/>
    <w:rsid w:val="008D3B5E"/>
    <w:rsid w:val="008D403B"/>
    <w:rsid w:val="008D419F"/>
    <w:rsid w:val="008D4B24"/>
    <w:rsid w:val="008D4C70"/>
    <w:rsid w:val="008D53E4"/>
    <w:rsid w:val="008D5547"/>
    <w:rsid w:val="008D5676"/>
    <w:rsid w:val="008D56B0"/>
    <w:rsid w:val="008D5E33"/>
    <w:rsid w:val="008D6656"/>
    <w:rsid w:val="008E037F"/>
    <w:rsid w:val="008E06E7"/>
    <w:rsid w:val="008E084B"/>
    <w:rsid w:val="008E0DBD"/>
    <w:rsid w:val="008E10F8"/>
    <w:rsid w:val="008E17DC"/>
    <w:rsid w:val="008E18BC"/>
    <w:rsid w:val="008E2C77"/>
    <w:rsid w:val="008E44AB"/>
    <w:rsid w:val="008E4535"/>
    <w:rsid w:val="008E4952"/>
    <w:rsid w:val="008E4D41"/>
    <w:rsid w:val="008E4F0F"/>
    <w:rsid w:val="008E51C6"/>
    <w:rsid w:val="008E5658"/>
    <w:rsid w:val="008E6716"/>
    <w:rsid w:val="008E67F9"/>
    <w:rsid w:val="008E6834"/>
    <w:rsid w:val="008E6E5D"/>
    <w:rsid w:val="008E79D8"/>
    <w:rsid w:val="008E7D3B"/>
    <w:rsid w:val="008F0AC4"/>
    <w:rsid w:val="008F0BEE"/>
    <w:rsid w:val="008F0CCC"/>
    <w:rsid w:val="008F124D"/>
    <w:rsid w:val="008F12A9"/>
    <w:rsid w:val="008F1322"/>
    <w:rsid w:val="008F161B"/>
    <w:rsid w:val="008F1797"/>
    <w:rsid w:val="008F1D94"/>
    <w:rsid w:val="008F1E8B"/>
    <w:rsid w:val="008F2051"/>
    <w:rsid w:val="008F26BF"/>
    <w:rsid w:val="008F3710"/>
    <w:rsid w:val="008F37F8"/>
    <w:rsid w:val="008F3CEF"/>
    <w:rsid w:val="008F427F"/>
    <w:rsid w:val="008F43EB"/>
    <w:rsid w:val="008F5312"/>
    <w:rsid w:val="008F5620"/>
    <w:rsid w:val="008F5C08"/>
    <w:rsid w:val="008F5CB5"/>
    <w:rsid w:val="008F5CBC"/>
    <w:rsid w:val="008F645F"/>
    <w:rsid w:val="008F6712"/>
    <w:rsid w:val="008F6971"/>
    <w:rsid w:val="008F6C5E"/>
    <w:rsid w:val="008F6EAF"/>
    <w:rsid w:val="008F7769"/>
    <w:rsid w:val="008F7860"/>
    <w:rsid w:val="008F7DA6"/>
    <w:rsid w:val="0090059F"/>
    <w:rsid w:val="00901370"/>
    <w:rsid w:val="009013AF"/>
    <w:rsid w:val="0090144F"/>
    <w:rsid w:val="00901510"/>
    <w:rsid w:val="00901D12"/>
    <w:rsid w:val="00902BBB"/>
    <w:rsid w:val="00902F7B"/>
    <w:rsid w:val="00903067"/>
    <w:rsid w:val="009032F9"/>
    <w:rsid w:val="00904E8C"/>
    <w:rsid w:val="0090693F"/>
    <w:rsid w:val="00906F60"/>
    <w:rsid w:val="009077BD"/>
    <w:rsid w:val="00907AFD"/>
    <w:rsid w:val="00907E60"/>
    <w:rsid w:val="009103DA"/>
    <w:rsid w:val="00910591"/>
    <w:rsid w:val="00910990"/>
    <w:rsid w:val="00910AA2"/>
    <w:rsid w:val="00910EB2"/>
    <w:rsid w:val="009112DB"/>
    <w:rsid w:val="009124DF"/>
    <w:rsid w:val="009125B3"/>
    <w:rsid w:val="009135FB"/>
    <w:rsid w:val="00914BA0"/>
    <w:rsid w:val="00914C71"/>
    <w:rsid w:val="00914F24"/>
    <w:rsid w:val="0091503C"/>
    <w:rsid w:val="00916556"/>
    <w:rsid w:val="00917B30"/>
    <w:rsid w:val="00917BEB"/>
    <w:rsid w:val="00917C41"/>
    <w:rsid w:val="009203F3"/>
    <w:rsid w:val="009206F1"/>
    <w:rsid w:val="00920968"/>
    <w:rsid w:val="009209E2"/>
    <w:rsid w:val="00920D01"/>
    <w:rsid w:val="00920ED6"/>
    <w:rsid w:val="00921239"/>
    <w:rsid w:val="00921333"/>
    <w:rsid w:val="00921475"/>
    <w:rsid w:val="00922465"/>
    <w:rsid w:val="00922B5D"/>
    <w:rsid w:val="009230F3"/>
    <w:rsid w:val="009232D8"/>
    <w:rsid w:val="00923438"/>
    <w:rsid w:val="00923708"/>
    <w:rsid w:val="009240F4"/>
    <w:rsid w:val="00924C21"/>
    <w:rsid w:val="00924C26"/>
    <w:rsid w:val="009253ED"/>
    <w:rsid w:val="00925EE9"/>
    <w:rsid w:val="0093013C"/>
    <w:rsid w:val="00930F83"/>
    <w:rsid w:val="009316BD"/>
    <w:rsid w:val="00931D4C"/>
    <w:rsid w:val="00931F3A"/>
    <w:rsid w:val="0093212B"/>
    <w:rsid w:val="009334FF"/>
    <w:rsid w:val="0093376F"/>
    <w:rsid w:val="009337A2"/>
    <w:rsid w:val="00934026"/>
    <w:rsid w:val="009341E8"/>
    <w:rsid w:val="00934A5A"/>
    <w:rsid w:val="009351DB"/>
    <w:rsid w:val="0093541C"/>
    <w:rsid w:val="00935CBA"/>
    <w:rsid w:val="00936959"/>
    <w:rsid w:val="009406B0"/>
    <w:rsid w:val="00941111"/>
    <w:rsid w:val="00941FE1"/>
    <w:rsid w:val="00942159"/>
    <w:rsid w:val="00942544"/>
    <w:rsid w:val="0094276F"/>
    <w:rsid w:val="00942887"/>
    <w:rsid w:val="00942ACB"/>
    <w:rsid w:val="00943CFB"/>
    <w:rsid w:val="00944C31"/>
    <w:rsid w:val="009451AF"/>
    <w:rsid w:val="00946244"/>
    <w:rsid w:val="0094672D"/>
    <w:rsid w:val="009505FE"/>
    <w:rsid w:val="00950E25"/>
    <w:rsid w:val="009511C7"/>
    <w:rsid w:val="00951421"/>
    <w:rsid w:val="009514D9"/>
    <w:rsid w:val="00951FFE"/>
    <w:rsid w:val="0095365D"/>
    <w:rsid w:val="00953892"/>
    <w:rsid w:val="00953B82"/>
    <w:rsid w:val="00953E7B"/>
    <w:rsid w:val="00954891"/>
    <w:rsid w:val="00954EE4"/>
    <w:rsid w:val="00955F92"/>
    <w:rsid w:val="009560EE"/>
    <w:rsid w:val="0095726F"/>
    <w:rsid w:val="00957B9E"/>
    <w:rsid w:val="00957BF3"/>
    <w:rsid w:val="00957D4D"/>
    <w:rsid w:val="0096027D"/>
    <w:rsid w:val="009605D0"/>
    <w:rsid w:val="00960E6C"/>
    <w:rsid w:val="00961336"/>
    <w:rsid w:val="009621CE"/>
    <w:rsid w:val="009625EC"/>
    <w:rsid w:val="00962737"/>
    <w:rsid w:val="009627E6"/>
    <w:rsid w:val="00962995"/>
    <w:rsid w:val="00962A5B"/>
    <w:rsid w:val="00962C9C"/>
    <w:rsid w:val="009636BC"/>
    <w:rsid w:val="00964599"/>
    <w:rsid w:val="00964A02"/>
    <w:rsid w:val="009659B8"/>
    <w:rsid w:val="009663D3"/>
    <w:rsid w:val="0096757B"/>
    <w:rsid w:val="00967A86"/>
    <w:rsid w:val="009700CD"/>
    <w:rsid w:val="009705DC"/>
    <w:rsid w:val="00970C70"/>
    <w:rsid w:val="00971039"/>
    <w:rsid w:val="009726C1"/>
    <w:rsid w:val="00972A5B"/>
    <w:rsid w:val="009733B3"/>
    <w:rsid w:val="009738BA"/>
    <w:rsid w:val="00973A08"/>
    <w:rsid w:val="00974256"/>
    <w:rsid w:val="00974AEE"/>
    <w:rsid w:val="00974C81"/>
    <w:rsid w:val="009753FD"/>
    <w:rsid w:val="00976197"/>
    <w:rsid w:val="0097632C"/>
    <w:rsid w:val="009767B9"/>
    <w:rsid w:val="00976B6B"/>
    <w:rsid w:val="00980020"/>
    <w:rsid w:val="00980124"/>
    <w:rsid w:val="009804BD"/>
    <w:rsid w:val="009805C0"/>
    <w:rsid w:val="00980814"/>
    <w:rsid w:val="009808AD"/>
    <w:rsid w:val="00981074"/>
    <w:rsid w:val="0098167A"/>
    <w:rsid w:val="009828C1"/>
    <w:rsid w:val="00982C79"/>
    <w:rsid w:val="00982EA9"/>
    <w:rsid w:val="00982FB4"/>
    <w:rsid w:val="00983401"/>
    <w:rsid w:val="00983E1A"/>
    <w:rsid w:val="0098462B"/>
    <w:rsid w:val="009846C2"/>
    <w:rsid w:val="0098534E"/>
    <w:rsid w:val="00985F02"/>
    <w:rsid w:val="00986016"/>
    <w:rsid w:val="00986BC0"/>
    <w:rsid w:val="00986E00"/>
    <w:rsid w:val="00987466"/>
    <w:rsid w:val="009875D4"/>
    <w:rsid w:val="00987ABC"/>
    <w:rsid w:val="00987DBF"/>
    <w:rsid w:val="00990894"/>
    <w:rsid w:val="00991404"/>
    <w:rsid w:val="00991BEC"/>
    <w:rsid w:val="00991C39"/>
    <w:rsid w:val="009921A9"/>
    <w:rsid w:val="009937CF"/>
    <w:rsid w:val="009939FC"/>
    <w:rsid w:val="00993C51"/>
    <w:rsid w:val="00993E58"/>
    <w:rsid w:val="009946A8"/>
    <w:rsid w:val="00994DAE"/>
    <w:rsid w:val="0099579F"/>
    <w:rsid w:val="009957AF"/>
    <w:rsid w:val="00995CFD"/>
    <w:rsid w:val="00995DE4"/>
    <w:rsid w:val="00995F55"/>
    <w:rsid w:val="00997229"/>
    <w:rsid w:val="00997EF9"/>
    <w:rsid w:val="00997EFF"/>
    <w:rsid w:val="009A0A81"/>
    <w:rsid w:val="009A0D68"/>
    <w:rsid w:val="009A1292"/>
    <w:rsid w:val="009A166A"/>
    <w:rsid w:val="009A1F7A"/>
    <w:rsid w:val="009A3AB2"/>
    <w:rsid w:val="009A4EA9"/>
    <w:rsid w:val="009A52B0"/>
    <w:rsid w:val="009A5DFD"/>
    <w:rsid w:val="009A5E82"/>
    <w:rsid w:val="009A613C"/>
    <w:rsid w:val="009A681C"/>
    <w:rsid w:val="009A6CA7"/>
    <w:rsid w:val="009A6E39"/>
    <w:rsid w:val="009A7CBE"/>
    <w:rsid w:val="009B05DB"/>
    <w:rsid w:val="009B183A"/>
    <w:rsid w:val="009B1BF1"/>
    <w:rsid w:val="009B1C43"/>
    <w:rsid w:val="009B2248"/>
    <w:rsid w:val="009B2D2D"/>
    <w:rsid w:val="009B2D8B"/>
    <w:rsid w:val="009B3198"/>
    <w:rsid w:val="009B36C9"/>
    <w:rsid w:val="009B36EB"/>
    <w:rsid w:val="009B40A3"/>
    <w:rsid w:val="009B5222"/>
    <w:rsid w:val="009B63EA"/>
    <w:rsid w:val="009B6670"/>
    <w:rsid w:val="009B6F67"/>
    <w:rsid w:val="009B76DF"/>
    <w:rsid w:val="009B7AA9"/>
    <w:rsid w:val="009B7B65"/>
    <w:rsid w:val="009C0B8C"/>
    <w:rsid w:val="009C0F75"/>
    <w:rsid w:val="009C1658"/>
    <w:rsid w:val="009C1955"/>
    <w:rsid w:val="009C1B31"/>
    <w:rsid w:val="009C2550"/>
    <w:rsid w:val="009C5222"/>
    <w:rsid w:val="009C52E0"/>
    <w:rsid w:val="009C57E2"/>
    <w:rsid w:val="009C5804"/>
    <w:rsid w:val="009C59D8"/>
    <w:rsid w:val="009C5BA2"/>
    <w:rsid w:val="009C5CB6"/>
    <w:rsid w:val="009C5DA2"/>
    <w:rsid w:val="009D0176"/>
    <w:rsid w:val="009D1389"/>
    <w:rsid w:val="009D167B"/>
    <w:rsid w:val="009D18B6"/>
    <w:rsid w:val="009D1F92"/>
    <w:rsid w:val="009D22C3"/>
    <w:rsid w:val="009D2459"/>
    <w:rsid w:val="009D24D3"/>
    <w:rsid w:val="009D2BBB"/>
    <w:rsid w:val="009D4669"/>
    <w:rsid w:val="009D4F09"/>
    <w:rsid w:val="009D6095"/>
    <w:rsid w:val="009D75B9"/>
    <w:rsid w:val="009D77D8"/>
    <w:rsid w:val="009D7B62"/>
    <w:rsid w:val="009D7B8F"/>
    <w:rsid w:val="009D7F39"/>
    <w:rsid w:val="009E11D0"/>
    <w:rsid w:val="009E193E"/>
    <w:rsid w:val="009E284F"/>
    <w:rsid w:val="009E2BE2"/>
    <w:rsid w:val="009E31A1"/>
    <w:rsid w:val="009E32A3"/>
    <w:rsid w:val="009E3755"/>
    <w:rsid w:val="009E3813"/>
    <w:rsid w:val="009E4403"/>
    <w:rsid w:val="009E4FA9"/>
    <w:rsid w:val="009E5447"/>
    <w:rsid w:val="009E5644"/>
    <w:rsid w:val="009E6174"/>
    <w:rsid w:val="009E6178"/>
    <w:rsid w:val="009E662A"/>
    <w:rsid w:val="009E67D0"/>
    <w:rsid w:val="009E6B77"/>
    <w:rsid w:val="009E70A6"/>
    <w:rsid w:val="009F0968"/>
    <w:rsid w:val="009F0C86"/>
    <w:rsid w:val="009F0E26"/>
    <w:rsid w:val="009F1427"/>
    <w:rsid w:val="009F1456"/>
    <w:rsid w:val="009F1DB4"/>
    <w:rsid w:val="009F2257"/>
    <w:rsid w:val="009F22EA"/>
    <w:rsid w:val="009F239C"/>
    <w:rsid w:val="009F2C2D"/>
    <w:rsid w:val="009F30F1"/>
    <w:rsid w:val="009F3397"/>
    <w:rsid w:val="009F3405"/>
    <w:rsid w:val="009F3521"/>
    <w:rsid w:val="009F41C5"/>
    <w:rsid w:val="009F447C"/>
    <w:rsid w:val="009F4814"/>
    <w:rsid w:val="009F5290"/>
    <w:rsid w:val="009F529E"/>
    <w:rsid w:val="009F5B33"/>
    <w:rsid w:val="009F64C8"/>
    <w:rsid w:val="009F684E"/>
    <w:rsid w:val="009F6A8D"/>
    <w:rsid w:val="009F6D66"/>
    <w:rsid w:val="009F6F92"/>
    <w:rsid w:val="00A00358"/>
    <w:rsid w:val="00A0098C"/>
    <w:rsid w:val="00A01355"/>
    <w:rsid w:val="00A01597"/>
    <w:rsid w:val="00A02316"/>
    <w:rsid w:val="00A02A5C"/>
    <w:rsid w:val="00A03722"/>
    <w:rsid w:val="00A03FB7"/>
    <w:rsid w:val="00A0411C"/>
    <w:rsid w:val="00A054D1"/>
    <w:rsid w:val="00A05505"/>
    <w:rsid w:val="00A05F12"/>
    <w:rsid w:val="00A06362"/>
    <w:rsid w:val="00A06540"/>
    <w:rsid w:val="00A06D9B"/>
    <w:rsid w:val="00A07021"/>
    <w:rsid w:val="00A07521"/>
    <w:rsid w:val="00A07985"/>
    <w:rsid w:val="00A0798A"/>
    <w:rsid w:val="00A07BB7"/>
    <w:rsid w:val="00A105C7"/>
    <w:rsid w:val="00A11AB5"/>
    <w:rsid w:val="00A11CE3"/>
    <w:rsid w:val="00A1267B"/>
    <w:rsid w:val="00A12E53"/>
    <w:rsid w:val="00A130C8"/>
    <w:rsid w:val="00A13347"/>
    <w:rsid w:val="00A13557"/>
    <w:rsid w:val="00A13D01"/>
    <w:rsid w:val="00A144C2"/>
    <w:rsid w:val="00A15124"/>
    <w:rsid w:val="00A1514A"/>
    <w:rsid w:val="00A1535E"/>
    <w:rsid w:val="00A15E92"/>
    <w:rsid w:val="00A16176"/>
    <w:rsid w:val="00A164BE"/>
    <w:rsid w:val="00A17338"/>
    <w:rsid w:val="00A17E63"/>
    <w:rsid w:val="00A17F3A"/>
    <w:rsid w:val="00A21118"/>
    <w:rsid w:val="00A21375"/>
    <w:rsid w:val="00A2168B"/>
    <w:rsid w:val="00A217D0"/>
    <w:rsid w:val="00A22454"/>
    <w:rsid w:val="00A2262F"/>
    <w:rsid w:val="00A2287F"/>
    <w:rsid w:val="00A22DA0"/>
    <w:rsid w:val="00A233F7"/>
    <w:rsid w:val="00A24092"/>
    <w:rsid w:val="00A243D9"/>
    <w:rsid w:val="00A24CBE"/>
    <w:rsid w:val="00A24FC1"/>
    <w:rsid w:val="00A26305"/>
    <w:rsid w:val="00A26681"/>
    <w:rsid w:val="00A26726"/>
    <w:rsid w:val="00A271CC"/>
    <w:rsid w:val="00A27CCE"/>
    <w:rsid w:val="00A30162"/>
    <w:rsid w:val="00A3158F"/>
    <w:rsid w:val="00A31799"/>
    <w:rsid w:val="00A31978"/>
    <w:rsid w:val="00A31C68"/>
    <w:rsid w:val="00A31F68"/>
    <w:rsid w:val="00A32098"/>
    <w:rsid w:val="00A32E06"/>
    <w:rsid w:val="00A33148"/>
    <w:rsid w:val="00A33201"/>
    <w:rsid w:val="00A33CA9"/>
    <w:rsid w:val="00A347B3"/>
    <w:rsid w:val="00A3575F"/>
    <w:rsid w:val="00A359F6"/>
    <w:rsid w:val="00A35E8B"/>
    <w:rsid w:val="00A3669D"/>
    <w:rsid w:val="00A40099"/>
    <w:rsid w:val="00A40E85"/>
    <w:rsid w:val="00A40F04"/>
    <w:rsid w:val="00A42812"/>
    <w:rsid w:val="00A42BE2"/>
    <w:rsid w:val="00A42CB2"/>
    <w:rsid w:val="00A43AA5"/>
    <w:rsid w:val="00A4405E"/>
    <w:rsid w:val="00A443D3"/>
    <w:rsid w:val="00A4442E"/>
    <w:rsid w:val="00A44EC9"/>
    <w:rsid w:val="00A45B81"/>
    <w:rsid w:val="00A45FC0"/>
    <w:rsid w:val="00A46BAD"/>
    <w:rsid w:val="00A4715E"/>
    <w:rsid w:val="00A472D9"/>
    <w:rsid w:val="00A4795C"/>
    <w:rsid w:val="00A510AC"/>
    <w:rsid w:val="00A51661"/>
    <w:rsid w:val="00A51D31"/>
    <w:rsid w:val="00A51F6B"/>
    <w:rsid w:val="00A54310"/>
    <w:rsid w:val="00A54675"/>
    <w:rsid w:val="00A54E2C"/>
    <w:rsid w:val="00A54EE8"/>
    <w:rsid w:val="00A55483"/>
    <w:rsid w:val="00A55EB4"/>
    <w:rsid w:val="00A56D03"/>
    <w:rsid w:val="00A56F7A"/>
    <w:rsid w:val="00A6041B"/>
    <w:rsid w:val="00A6071E"/>
    <w:rsid w:val="00A60FC4"/>
    <w:rsid w:val="00A611F8"/>
    <w:rsid w:val="00A61217"/>
    <w:rsid w:val="00A6194A"/>
    <w:rsid w:val="00A62038"/>
    <w:rsid w:val="00A624A5"/>
    <w:rsid w:val="00A6307A"/>
    <w:rsid w:val="00A645FB"/>
    <w:rsid w:val="00A6477A"/>
    <w:rsid w:val="00A647F7"/>
    <w:rsid w:val="00A6549E"/>
    <w:rsid w:val="00A65C5F"/>
    <w:rsid w:val="00A65E3D"/>
    <w:rsid w:val="00A65E7E"/>
    <w:rsid w:val="00A6663D"/>
    <w:rsid w:val="00A674D0"/>
    <w:rsid w:val="00A675B3"/>
    <w:rsid w:val="00A679FB"/>
    <w:rsid w:val="00A7014D"/>
    <w:rsid w:val="00A70424"/>
    <w:rsid w:val="00A70741"/>
    <w:rsid w:val="00A71174"/>
    <w:rsid w:val="00A71734"/>
    <w:rsid w:val="00A71782"/>
    <w:rsid w:val="00A71CC1"/>
    <w:rsid w:val="00A7242A"/>
    <w:rsid w:val="00A72533"/>
    <w:rsid w:val="00A72595"/>
    <w:rsid w:val="00A72729"/>
    <w:rsid w:val="00A72830"/>
    <w:rsid w:val="00A72B41"/>
    <w:rsid w:val="00A72D03"/>
    <w:rsid w:val="00A72FB7"/>
    <w:rsid w:val="00A732A2"/>
    <w:rsid w:val="00A738C0"/>
    <w:rsid w:val="00A73B6E"/>
    <w:rsid w:val="00A73B98"/>
    <w:rsid w:val="00A746D4"/>
    <w:rsid w:val="00A74D31"/>
    <w:rsid w:val="00A75428"/>
    <w:rsid w:val="00A759BC"/>
    <w:rsid w:val="00A75A2A"/>
    <w:rsid w:val="00A75CD8"/>
    <w:rsid w:val="00A75F26"/>
    <w:rsid w:val="00A76312"/>
    <w:rsid w:val="00A766E9"/>
    <w:rsid w:val="00A770F0"/>
    <w:rsid w:val="00A771B1"/>
    <w:rsid w:val="00A80CC3"/>
    <w:rsid w:val="00A80E6E"/>
    <w:rsid w:val="00A8200C"/>
    <w:rsid w:val="00A824C6"/>
    <w:rsid w:val="00A8255D"/>
    <w:rsid w:val="00A825B6"/>
    <w:rsid w:val="00A828E8"/>
    <w:rsid w:val="00A82951"/>
    <w:rsid w:val="00A8308A"/>
    <w:rsid w:val="00A83FDB"/>
    <w:rsid w:val="00A840A4"/>
    <w:rsid w:val="00A85EF3"/>
    <w:rsid w:val="00A8621A"/>
    <w:rsid w:val="00A86A3D"/>
    <w:rsid w:val="00A86C26"/>
    <w:rsid w:val="00A870F3"/>
    <w:rsid w:val="00A87E20"/>
    <w:rsid w:val="00A90DC3"/>
    <w:rsid w:val="00A910D3"/>
    <w:rsid w:val="00A9115A"/>
    <w:rsid w:val="00A917D6"/>
    <w:rsid w:val="00A91A71"/>
    <w:rsid w:val="00A91D80"/>
    <w:rsid w:val="00A9220D"/>
    <w:rsid w:val="00A924F3"/>
    <w:rsid w:val="00A92847"/>
    <w:rsid w:val="00A92A6F"/>
    <w:rsid w:val="00A93A08"/>
    <w:rsid w:val="00A93AE2"/>
    <w:rsid w:val="00A940A6"/>
    <w:rsid w:val="00A94644"/>
    <w:rsid w:val="00A94A04"/>
    <w:rsid w:val="00A95080"/>
    <w:rsid w:val="00A95729"/>
    <w:rsid w:val="00A95E30"/>
    <w:rsid w:val="00A95FD3"/>
    <w:rsid w:val="00A964CA"/>
    <w:rsid w:val="00A96711"/>
    <w:rsid w:val="00A97451"/>
    <w:rsid w:val="00A97BC7"/>
    <w:rsid w:val="00AA00AC"/>
    <w:rsid w:val="00AA05A1"/>
    <w:rsid w:val="00AA0F6F"/>
    <w:rsid w:val="00AA1079"/>
    <w:rsid w:val="00AA143E"/>
    <w:rsid w:val="00AA220F"/>
    <w:rsid w:val="00AA2F3F"/>
    <w:rsid w:val="00AA375B"/>
    <w:rsid w:val="00AA382E"/>
    <w:rsid w:val="00AA3A5D"/>
    <w:rsid w:val="00AA43EB"/>
    <w:rsid w:val="00AA45BB"/>
    <w:rsid w:val="00AA4643"/>
    <w:rsid w:val="00AA48FD"/>
    <w:rsid w:val="00AA4903"/>
    <w:rsid w:val="00AA568F"/>
    <w:rsid w:val="00AA5971"/>
    <w:rsid w:val="00AA5AB5"/>
    <w:rsid w:val="00AA5D7E"/>
    <w:rsid w:val="00AA7272"/>
    <w:rsid w:val="00AA766B"/>
    <w:rsid w:val="00AA7676"/>
    <w:rsid w:val="00AA7E36"/>
    <w:rsid w:val="00AB08A2"/>
    <w:rsid w:val="00AB0AEC"/>
    <w:rsid w:val="00AB1A9A"/>
    <w:rsid w:val="00AB1E49"/>
    <w:rsid w:val="00AB2010"/>
    <w:rsid w:val="00AB261E"/>
    <w:rsid w:val="00AB2A63"/>
    <w:rsid w:val="00AB2EAD"/>
    <w:rsid w:val="00AB427A"/>
    <w:rsid w:val="00AB4619"/>
    <w:rsid w:val="00AB476E"/>
    <w:rsid w:val="00AB4A3D"/>
    <w:rsid w:val="00AB57D5"/>
    <w:rsid w:val="00AB59F1"/>
    <w:rsid w:val="00AB5B1D"/>
    <w:rsid w:val="00AB5B83"/>
    <w:rsid w:val="00AB74EF"/>
    <w:rsid w:val="00AB7A50"/>
    <w:rsid w:val="00AC079F"/>
    <w:rsid w:val="00AC0C3D"/>
    <w:rsid w:val="00AC0E33"/>
    <w:rsid w:val="00AC104B"/>
    <w:rsid w:val="00AC111C"/>
    <w:rsid w:val="00AC1D87"/>
    <w:rsid w:val="00AC2072"/>
    <w:rsid w:val="00AC20B9"/>
    <w:rsid w:val="00AC3383"/>
    <w:rsid w:val="00AC3F4E"/>
    <w:rsid w:val="00AC4BA0"/>
    <w:rsid w:val="00AC53BF"/>
    <w:rsid w:val="00AC57C0"/>
    <w:rsid w:val="00AC602B"/>
    <w:rsid w:val="00AC7622"/>
    <w:rsid w:val="00AC773B"/>
    <w:rsid w:val="00AC7F77"/>
    <w:rsid w:val="00AD01DA"/>
    <w:rsid w:val="00AD0203"/>
    <w:rsid w:val="00AD02AC"/>
    <w:rsid w:val="00AD0322"/>
    <w:rsid w:val="00AD03A6"/>
    <w:rsid w:val="00AD0436"/>
    <w:rsid w:val="00AD0B30"/>
    <w:rsid w:val="00AD0B4C"/>
    <w:rsid w:val="00AD1590"/>
    <w:rsid w:val="00AD1C34"/>
    <w:rsid w:val="00AD2278"/>
    <w:rsid w:val="00AD2284"/>
    <w:rsid w:val="00AD2683"/>
    <w:rsid w:val="00AD26E6"/>
    <w:rsid w:val="00AD2D0F"/>
    <w:rsid w:val="00AD3119"/>
    <w:rsid w:val="00AD34B7"/>
    <w:rsid w:val="00AD3522"/>
    <w:rsid w:val="00AD3857"/>
    <w:rsid w:val="00AD3BE4"/>
    <w:rsid w:val="00AD437B"/>
    <w:rsid w:val="00AD4485"/>
    <w:rsid w:val="00AD4B61"/>
    <w:rsid w:val="00AD5A89"/>
    <w:rsid w:val="00AD5FCA"/>
    <w:rsid w:val="00AD6618"/>
    <w:rsid w:val="00AD7406"/>
    <w:rsid w:val="00AD7448"/>
    <w:rsid w:val="00AD7912"/>
    <w:rsid w:val="00AD7F45"/>
    <w:rsid w:val="00AE0227"/>
    <w:rsid w:val="00AE09E8"/>
    <w:rsid w:val="00AE1231"/>
    <w:rsid w:val="00AE1BEA"/>
    <w:rsid w:val="00AE27ED"/>
    <w:rsid w:val="00AE4AFD"/>
    <w:rsid w:val="00AE4CAC"/>
    <w:rsid w:val="00AE5402"/>
    <w:rsid w:val="00AE58AC"/>
    <w:rsid w:val="00AE5D37"/>
    <w:rsid w:val="00AE6A7E"/>
    <w:rsid w:val="00AE6AB5"/>
    <w:rsid w:val="00AE7342"/>
    <w:rsid w:val="00AE793D"/>
    <w:rsid w:val="00AE7F51"/>
    <w:rsid w:val="00AF014B"/>
    <w:rsid w:val="00AF0176"/>
    <w:rsid w:val="00AF0544"/>
    <w:rsid w:val="00AF16AE"/>
    <w:rsid w:val="00AF29F7"/>
    <w:rsid w:val="00AF3090"/>
    <w:rsid w:val="00AF337C"/>
    <w:rsid w:val="00AF37E8"/>
    <w:rsid w:val="00AF38C8"/>
    <w:rsid w:val="00AF42C3"/>
    <w:rsid w:val="00AF43B0"/>
    <w:rsid w:val="00AF4AED"/>
    <w:rsid w:val="00AF5035"/>
    <w:rsid w:val="00AF55DD"/>
    <w:rsid w:val="00AF60C2"/>
    <w:rsid w:val="00AF6EB7"/>
    <w:rsid w:val="00AF73FF"/>
    <w:rsid w:val="00AF7724"/>
    <w:rsid w:val="00AF7D12"/>
    <w:rsid w:val="00B00232"/>
    <w:rsid w:val="00B008B2"/>
    <w:rsid w:val="00B00D51"/>
    <w:rsid w:val="00B01E8A"/>
    <w:rsid w:val="00B0318F"/>
    <w:rsid w:val="00B03C98"/>
    <w:rsid w:val="00B04E6A"/>
    <w:rsid w:val="00B053B4"/>
    <w:rsid w:val="00B05510"/>
    <w:rsid w:val="00B05A70"/>
    <w:rsid w:val="00B0616E"/>
    <w:rsid w:val="00B06304"/>
    <w:rsid w:val="00B0703D"/>
    <w:rsid w:val="00B07A4C"/>
    <w:rsid w:val="00B10B1C"/>
    <w:rsid w:val="00B1100F"/>
    <w:rsid w:val="00B1108F"/>
    <w:rsid w:val="00B114FF"/>
    <w:rsid w:val="00B11CB9"/>
    <w:rsid w:val="00B12B82"/>
    <w:rsid w:val="00B12CEA"/>
    <w:rsid w:val="00B13869"/>
    <w:rsid w:val="00B13C7E"/>
    <w:rsid w:val="00B13EA8"/>
    <w:rsid w:val="00B14059"/>
    <w:rsid w:val="00B141ED"/>
    <w:rsid w:val="00B14C37"/>
    <w:rsid w:val="00B14DB7"/>
    <w:rsid w:val="00B1520B"/>
    <w:rsid w:val="00B15E2E"/>
    <w:rsid w:val="00B15FD6"/>
    <w:rsid w:val="00B16208"/>
    <w:rsid w:val="00B16B03"/>
    <w:rsid w:val="00B16C73"/>
    <w:rsid w:val="00B171DF"/>
    <w:rsid w:val="00B17361"/>
    <w:rsid w:val="00B1795E"/>
    <w:rsid w:val="00B17BE9"/>
    <w:rsid w:val="00B21054"/>
    <w:rsid w:val="00B21221"/>
    <w:rsid w:val="00B21A67"/>
    <w:rsid w:val="00B21C72"/>
    <w:rsid w:val="00B21C7B"/>
    <w:rsid w:val="00B2280A"/>
    <w:rsid w:val="00B22FAF"/>
    <w:rsid w:val="00B235AC"/>
    <w:rsid w:val="00B235F9"/>
    <w:rsid w:val="00B2371F"/>
    <w:rsid w:val="00B23EF3"/>
    <w:rsid w:val="00B24073"/>
    <w:rsid w:val="00B244A6"/>
    <w:rsid w:val="00B2476B"/>
    <w:rsid w:val="00B247F5"/>
    <w:rsid w:val="00B24AA6"/>
    <w:rsid w:val="00B24AF4"/>
    <w:rsid w:val="00B25286"/>
    <w:rsid w:val="00B25E42"/>
    <w:rsid w:val="00B2786D"/>
    <w:rsid w:val="00B302BE"/>
    <w:rsid w:val="00B3057F"/>
    <w:rsid w:val="00B3096F"/>
    <w:rsid w:val="00B309CF"/>
    <w:rsid w:val="00B30FBD"/>
    <w:rsid w:val="00B30FF4"/>
    <w:rsid w:val="00B31AB3"/>
    <w:rsid w:val="00B320EB"/>
    <w:rsid w:val="00B32D0D"/>
    <w:rsid w:val="00B32D18"/>
    <w:rsid w:val="00B33005"/>
    <w:rsid w:val="00B33125"/>
    <w:rsid w:val="00B3322B"/>
    <w:rsid w:val="00B3335D"/>
    <w:rsid w:val="00B33CC9"/>
    <w:rsid w:val="00B33CDB"/>
    <w:rsid w:val="00B33F31"/>
    <w:rsid w:val="00B34736"/>
    <w:rsid w:val="00B34A1E"/>
    <w:rsid w:val="00B34E3B"/>
    <w:rsid w:val="00B3506D"/>
    <w:rsid w:val="00B35182"/>
    <w:rsid w:val="00B3629B"/>
    <w:rsid w:val="00B363A8"/>
    <w:rsid w:val="00B36687"/>
    <w:rsid w:val="00B4027B"/>
    <w:rsid w:val="00B40414"/>
    <w:rsid w:val="00B40EE7"/>
    <w:rsid w:val="00B41F23"/>
    <w:rsid w:val="00B42A2C"/>
    <w:rsid w:val="00B434DE"/>
    <w:rsid w:val="00B43F2D"/>
    <w:rsid w:val="00B443F9"/>
    <w:rsid w:val="00B447B0"/>
    <w:rsid w:val="00B44CFF"/>
    <w:rsid w:val="00B45039"/>
    <w:rsid w:val="00B45B9B"/>
    <w:rsid w:val="00B45E03"/>
    <w:rsid w:val="00B463CA"/>
    <w:rsid w:val="00B46B93"/>
    <w:rsid w:val="00B46EDB"/>
    <w:rsid w:val="00B46F43"/>
    <w:rsid w:val="00B475D6"/>
    <w:rsid w:val="00B476EF"/>
    <w:rsid w:val="00B47E6D"/>
    <w:rsid w:val="00B5087E"/>
    <w:rsid w:val="00B50B71"/>
    <w:rsid w:val="00B50DDC"/>
    <w:rsid w:val="00B51781"/>
    <w:rsid w:val="00B517FF"/>
    <w:rsid w:val="00B51A6D"/>
    <w:rsid w:val="00B51B13"/>
    <w:rsid w:val="00B5237A"/>
    <w:rsid w:val="00B52B57"/>
    <w:rsid w:val="00B53B2D"/>
    <w:rsid w:val="00B53E6E"/>
    <w:rsid w:val="00B53EFB"/>
    <w:rsid w:val="00B54024"/>
    <w:rsid w:val="00B54055"/>
    <w:rsid w:val="00B5453F"/>
    <w:rsid w:val="00B54F4B"/>
    <w:rsid w:val="00B552CF"/>
    <w:rsid w:val="00B55BAD"/>
    <w:rsid w:val="00B55FC3"/>
    <w:rsid w:val="00B5664F"/>
    <w:rsid w:val="00B57B87"/>
    <w:rsid w:val="00B608C8"/>
    <w:rsid w:val="00B60ADC"/>
    <w:rsid w:val="00B611A5"/>
    <w:rsid w:val="00B611B8"/>
    <w:rsid w:val="00B61501"/>
    <w:rsid w:val="00B61E65"/>
    <w:rsid w:val="00B62126"/>
    <w:rsid w:val="00B6218F"/>
    <w:rsid w:val="00B62357"/>
    <w:rsid w:val="00B62427"/>
    <w:rsid w:val="00B62EED"/>
    <w:rsid w:val="00B64806"/>
    <w:rsid w:val="00B651EF"/>
    <w:rsid w:val="00B67303"/>
    <w:rsid w:val="00B700F3"/>
    <w:rsid w:val="00B71287"/>
    <w:rsid w:val="00B7143F"/>
    <w:rsid w:val="00B71499"/>
    <w:rsid w:val="00B71969"/>
    <w:rsid w:val="00B71A81"/>
    <w:rsid w:val="00B71EC3"/>
    <w:rsid w:val="00B7211C"/>
    <w:rsid w:val="00B72130"/>
    <w:rsid w:val="00B7275E"/>
    <w:rsid w:val="00B72CE5"/>
    <w:rsid w:val="00B734B9"/>
    <w:rsid w:val="00B73BF9"/>
    <w:rsid w:val="00B741E3"/>
    <w:rsid w:val="00B7584F"/>
    <w:rsid w:val="00B75D23"/>
    <w:rsid w:val="00B75DD6"/>
    <w:rsid w:val="00B7633E"/>
    <w:rsid w:val="00B76497"/>
    <w:rsid w:val="00B7739A"/>
    <w:rsid w:val="00B77650"/>
    <w:rsid w:val="00B77815"/>
    <w:rsid w:val="00B77B8D"/>
    <w:rsid w:val="00B80392"/>
    <w:rsid w:val="00B80477"/>
    <w:rsid w:val="00B80C95"/>
    <w:rsid w:val="00B81588"/>
    <w:rsid w:val="00B819C3"/>
    <w:rsid w:val="00B81A11"/>
    <w:rsid w:val="00B81A26"/>
    <w:rsid w:val="00B835A7"/>
    <w:rsid w:val="00B84615"/>
    <w:rsid w:val="00B848B4"/>
    <w:rsid w:val="00B84AF7"/>
    <w:rsid w:val="00B85471"/>
    <w:rsid w:val="00B85561"/>
    <w:rsid w:val="00B85659"/>
    <w:rsid w:val="00B86581"/>
    <w:rsid w:val="00B866C4"/>
    <w:rsid w:val="00B86739"/>
    <w:rsid w:val="00B8773B"/>
    <w:rsid w:val="00B905F4"/>
    <w:rsid w:val="00B91648"/>
    <w:rsid w:val="00B916C6"/>
    <w:rsid w:val="00B91C21"/>
    <w:rsid w:val="00B92E57"/>
    <w:rsid w:val="00B93A8D"/>
    <w:rsid w:val="00B9437F"/>
    <w:rsid w:val="00B94806"/>
    <w:rsid w:val="00B94B3B"/>
    <w:rsid w:val="00B9514D"/>
    <w:rsid w:val="00B97196"/>
    <w:rsid w:val="00B97962"/>
    <w:rsid w:val="00BA08E8"/>
    <w:rsid w:val="00BA09A8"/>
    <w:rsid w:val="00BA0C04"/>
    <w:rsid w:val="00BA0D8D"/>
    <w:rsid w:val="00BA15E7"/>
    <w:rsid w:val="00BA15FB"/>
    <w:rsid w:val="00BA2973"/>
    <w:rsid w:val="00BA39A6"/>
    <w:rsid w:val="00BA4095"/>
    <w:rsid w:val="00BA48CF"/>
    <w:rsid w:val="00BA4948"/>
    <w:rsid w:val="00BA4AA0"/>
    <w:rsid w:val="00BA5727"/>
    <w:rsid w:val="00BA5D9F"/>
    <w:rsid w:val="00BA5ED4"/>
    <w:rsid w:val="00BA6810"/>
    <w:rsid w:val="00BA79E3"/>
    <w:rsid w:val="00BB01C3"/>
    <w:rsid w:val="00BB03A9"/>
    <w:rsid w:val="00BB0402"/>
    <w:rsid w:val="00BB0411"/>
    <w:rsid w:val="00BB05F0"/>
    <w:rsid w:val="00BB08E4"/>
    <w:rsid w:val="00BB1A7F"/>
    <w:rsid w:val="00BB1D3F"/>
    <w:rsid w:val="00BB2282"/>
    <w:rsid w:val="00BB2A3E"/>
    <w:rsid w:val="00BB3105"/>
    <w:rsid w:val="00BB4063"/>
    <w:rsid w:val="00BB44EC"/>
    <w:rsid w:val="00BB4D1A"/>
    <w:rsid w:val="00BB5171"/>
    <w:rsid w:val="00BB59B1"/>
    <w:rsid w:val="00BB5AD9"/>
    <w:rsid w:val="00BB5DD5"/>
    <w:rsid w:val="00BB5E20"/>
    <w:rsid w:val="00BB6028"/>
    <w:rsid w:val="00BB6442"/>
    <w:rsid w:val="00BB70B5"/>
    <w:rsid w:val="00BB7896"/>
    <w:rsid w:val="00BC0423"/>
    <w:rsid w:val="00BC0D30"/>
    <w:rsid w:val="00BC0F58"/>
    <w:rsid w:val="00BC10F8"/>
    <w:rsid w:val="00BC323A"/>
    <w:rsid w:val="00BC3485"/>
    <w:rsid w:val="00BC3490"/>
    <w:rsid w:val="00BC4988"/>
    <w:rsid w:val="00BC5680"/>
    <w:rsid w:val="00BC5A27"/>
    <w:rsid w:val="00BC5A5F"/>
    <w:rsid w:val="00BC669F"/>
    <w:rsid w:val="00BC70AC"/>
    <w:rsid w:val="00BC763B"/>
    <w:rsid w:val="00BC7D8F"/>
    <w:rsid w:val="00BD0337"/>
    <w:rsid w:val="00BD0485"/>
    <w:rsid w:val="00BD0F91"/>
    <w:rsid w:val="00BD0FAD"/>
    <w:rsid w:val="00BD1128"/>
    <w:rsid w:val="00BD145E"/>
    <w:rsid w:val="00BD1F1C"/>
    <w:rsid w:val="00BD20A9"/>
    <w:rsid w:val="00BD25FC"/>
    <w:rsid w:val="00BD392F"/>
    <w:rsid w:val="00BD3CA7"/>
    <w:rsid w:val="00BD3DDF"/>
    <w:rsid w:val="00BD446F"/>
    <w:rsid w:val="00BD456B"/>
    <w:rsid w:val="00BD4C8D"/>
    <w:rsid w:val="00BD52B2"/>
    <w:rsid w:val="00BD6440"/>
    <w:rsid w:val="00BD65AE"/>
    <w:rsid w:val="00BD690A"/>
    <w:rsid w:val="00BD6D14"/>
    <w:rsid w:val="00BD7CE2"/>
    <w:rsid w:val="00BE0A1C"/>
    <w:rsid w:val="00BE162F"/>
    <w:rsid w:val="00BE2960"/>
    <w:rsid w:val="00BE2B5A"/>
    <w:rsid w:val="00BE2C27"/>
    <w:rsid w:val="00BE2DBA"/>
    <w:rsid w:val="00BE380F"/>
    <w:rsid w:val="00BE3B71"/>
    <w:rsid w:val="00BE40F5"/>
    <w:rsid w:val="00BE425B"/>
    <w:rsid w:val="00BE47EA"/>
    <w:rsid w:val="00BE5BBF"/>
    <w:rsid w:val="00BE6CC2"/>
    <w:rsid w:val="00BE7271"/>
    <w:rsid w:val="00BE7829"/>
    <w:rsid w:val="00BE793D"/>
    <w:rsid w:val="00BF00D6"/>
    <w:rsid w:val="00BF026A"/>
    <w:rsid w:val="00BF0401"/>
    <w:rsid w:val="00BF132C"/>
    <w:rsid w:val="00BF1722"/>
    <w:rsid w:val="00BF1ED8"/>
    <w:rsid w:val="00BF2397"/>
    <w:rsid w:val="00BF273E"/>
    <w:rsid w:val="00BF2B26"/>
    <w:rsid w:val="00BF2B51"/>
    <w:rsid w:val="00BF2D41"/>
    <w:rsid w:val="00BF375C"/>
    <w:rsid w:val="00BF5225"/>
    <w:rsid w:val="00BF524F"/>
    <w:rsid w:val="00BF599D"/>
    <w:rsid w:val="00BF6844"/>
    <w:rsid w:val="00BF6876"/>
    <w:rsid w:val="00BF6E88"/>
    <w:rsid w:val="00BF6F79"/>
    <w:rsid w:val="00BF701B"/>
    <w:rsid w:val="00BF7805"/>
    <w:rsid w:val="00BF7BC0"/>
    <w:rsid w:val="00C000EF"/>
    <w:rsid w:val="00C0077B"/>
    <w:rsid w:val="00C00CBE"/>
    <w:rsid w:val="00C00DFC"/>
    <w:rsid w:val="00C00EB8"/>
    <w:rsid w:val="00C00EFA"/>
    <w:rsid w:val="00C00FB4"/>
    <w:rsid w:val="00C013A5"/>
    <w:rsid w:val="00C013A9"/>
    <w:rsid w:val="00C01E23"/>
    <w:rsid w:val="00C023A5"/>
    <w:rsid w:val="00C026FC"/>
    <w:rsid w:val="00C02920"/>
    <w:rsid w:val="00C03361"/>
    <w:rsid w:val="00C044D4"/>
    <w:rsid w:val="00C04BF2"/>
    <w:rsid w:val="00C04F76"/>
    <w:rsid w:val="00C04FE3"/>
    <w:rsid w:val="00C059CB"/>
    <w:rsid w:val="00C06269"/>
    <w:rsid w:val="00C0684C"/>
    <w:rsid w:val="00C06A69"/>
    <w:rsid w:val="00C074A4"/>
    <w:rsid w:val="00C10E81"/>
    <w:rsid w:val="00C12B74"/>
    <w:rsid w:val="00C13610"/>
    <w:rsid w:val="00C13F71"/>
    <w:rsid w:val="00C1431E"/>
    <w:rsid w:val="00C143D1"/>
    <w:rsid w:val="00C144A4"/>
    <w:rsid w:val="00C14835"/>
    <w:rsid w:val="00C14F86"/>
    <w:rsid w:val="00C15B74"/>
    <w:rsid w:val="00C15D79"/>
    <w:rsid w:val="00C167B9"/>
    <w:rsid w:val="00C16D7B"/>
    <w:rsid w:val="00C16F61"/>
    <w:rsid w:val="00C17039"/>
    <w:rsid w:val="00C17137"/>
    <w:rsid w:val="00C172E0"/>
    <w:rsid w:val="00C1758A"/>
    <w:rsid w:val="00C205D7"/>
    <w:rsid w:val="00C20A6D"/>
    <w:rsid w:val="00C219D5"/>
    <w:rsid w:val="00C21B40"/>
    <w:rsid w:val="00C2251E"/>
    <w:rsid w:val="00C24C82"/>
    <w:rsid w:val="00C24F65"/>
    <w:rsid w:val="00C24F6F"/>
    <w:rsid w:val="00C24FAA"/>
    <w:rsid w:val="00C25038"/>
    <w:rsid w:val="00C25125"/>
    <w:rsid w:val="00C2618D"/>
    <w:rsid w:val="00C261C3"/>
    <w:rsid w:val="00C262B2"/>
    <w:rsid w:val="00C267A4"/>
    <w:rsid w:val="00C26A57"/>
    <w:rsid w:val="00C26B70"/>
    <w:rsid w:val="00C271EC"/>
    <w:rsid w:val="00C27977"/>
    <w:rsid w:val="00C27AD4"/>
    <w:rsid w:val="00C27C61"/>
    <w:rsid w:val="00C27CFC"/>
    <w:rsid w:val="00C27EC1"/>
    <w:rsid w:val="00C27F6F"/>
    <w:rsid w:val="00C3014D"/>
    <w:rsid w:val="00C30C99"/>
    <w:rsid w:val="00C3196C"/>
    <w:rsid w:val="00C3206D"/>
    <w:rsid w:val="00C325EA"/>
    <w:rsid w:val="00C32755"/>
    <w:rsid w:val="00C33055"/>
    <w:rsid w:val="00C335DD"/>
    <w:rsid w:val="00C33913"/>
    <w:rsid w:val="00C342C8"/>
    <w:rsid w:val="00C34986"/>
    <w:rsid w:val="00C34EAA"/>
    <w:rsid w:val="00C3540F"/>
    <w:rsid w:val="00C36046"/>
    <w:rsid w:val="00C37B9B"/>
    <w:rsid w:val="00C37C2C"/>
    <w:rsid w:val="00C37F01"/>
    <w:rsid w:val="00C37F4A"/>
    <w:rsid w:val="00C401D5"/>
    <w:rsid w:val="00C401E1"/>
    <w:rsid w:val="00C40F4E"/>
    <w:rsid w:val="00C40FC0"/>
    <w:rsid w:val="00C416C7"/>
    <w:rsid w:val="00C41813"/>
    <w:rsid w:val="00C420ED"/>
    <w:rsid w:val="00C423B1"/>
    <w:rsid w:val="00C423C2"/>
    <w:rsid w:val="00C42755"/>
    <w:rsid w:val="00C42A38"/>
    <w:rsid w:val="00C42FF8"/>
    <w:rsid w:val="00C434F8"/>
    <w:rsid w:val="00C43853"/>
    <w:rsid w:val="00C43D66"/>
    <w:rsid w:val="00C44095"/>
    <w:rsid w:val="00C440FC"/>
    <w:rsid w:val="00C44740"/>
    <w:rsid w:val="00C45248"/>
    <w:rsid w:val="00C46395"/>
    <w:rsid w:val="00C4673A"/>
    <w:rsid w:val="00C467DA"/>
    <w:rsid w:val="00C46C55"/>
    <w:rsid w:val="00C47045"/>
    <w:rsid w:val="00C4710C"/>
    <w:rsid w:val="00C47290"/>
    <w:rsid w:val="00C50668"/>
    <w:rsid w:val="00C50C43"/>
    <w:rsid w:val="00C51970"/>
    <w:rsid w:val="00C52637"/>
    <w:rsid w:val="00C52C6F"/>
    <w:rsid w:val="00C5307D"/>
    <w:rsid w:val="00C530BD"/>
    <w:rsid w:val="00C53505"/>
    <w:rsid w:val="00C5475C"/>
    <w:rsid w:val="00C54B89"/>
    <w:rsid w:val="00C54CC3"/>
    <w:rsid w:val="00C54CF4"/>
    <w:rsid w:val="00C563E9"/>
    <w:rsid w:val="00C56849"/>
    <w:rsid w:val="00C5704B"/>
    <w:rsid w:val="00C575B3"/>
    <w:rsid w:val="00C57800"/>
    <w:rsid w:val="00C5794E"/>
    <w:rsid w:val="00C60040"/>
    <w:rsid w:val="00C600FD"/>
    <w:rsid w:val="00C602E9"/>
    <w:rsid w:val="00C616D8"/>
    <w:rsid w:val="00C62387"/>
    <w:rsid w:val="00C6269B"/>
    <w:rsid w:val="00C62C03"/>
    <w:rsid w:val="00C62F10"/>
    <w:rsid w:val="00C63415"/>
    <w:rsid w:val="00C6364F"/>
    <w:rsid w:val="00C636AE"/>
    <w:rsid w:val="00C63DDF"/>
    <w:rsid w:val="00C63DEB"/>
    <w:rsid w:val="00C64574"/>
    <w:rsid w:val="00C646B6"/>
    <w:rsid w:val="00C6481B"/>
    <w:rsid w:val="00C64A50"/>
    <w:rsid w:val="00C659E3"/>
    <w:rsid w:val="00C665C2"/>
    <w:rsid w:val="00C66691"/>
    <w:rsid w:val="00C668DE"/>
    <w:rsid w:val="00C66AF9"/>
    <w:rsid w:val="00C66E92"/>
    <w:rsid w:val="00C66F7C"/>
    <w:rsid w:val="00C7066E"/>
    <w:rsid w:val="00C70B24"/>
    <w:rsid w:val="00C7116C"/>
    <w:rsid w:val="00C716E3"/>
    <w:rsid w:val="00C71ED5"/>
    <w:rsid w:val="00C72205"/>
    <w:rsid w:val="00C7253B"/>
    <w:rsid w:val="00C72988"/>
    <w:rsid w:val="00C73162"/>
    <w:rsid w:val="00C737FA"/>
    <w:rsid w:val="00C74652"/>
    <w:rsid w:val="00C74C4E"/>
    <w:rsid w:val="00C74F15"/>
    <w:rsid w:val="00C75675"/>
    <w:rsid w:val="00C7593A"/>
    <w:rsid w:val="00C75A20"/>
    <w:rsid w:val="00C75BEC"/>
    <w:rsid w:val="00C76007"/>
    <w:rsid w:val="00C761FC"/>
    <w:rsid w:val="00C763F2"/>
    <w:rsid w:val="00C76794"/>
    <w:rsid w:val="00C76B38"/>
    <w:rsid w:val="00C77458"/>
    <w:rsid w:val="00C774D3"/>
    <w:rsid w:val="00C774E9"/>
    <w:rsid w:val="00C77592"/>
    <w:rsid w:val="00C77A5B"/>
    <w:rsid w:val="00C77C34"/>
    <w:rsid w:val="00C8094F"/>
    <w:rsid w:val="00C80DA7"/>
    <w:rsid w:val="00C8140F"/>
    <w:rsid w:val="00C8291C"/>
    <w:rsid w:val="00C82C71"/>
    <w:rsid w:val="00C8319D"/>
    <w:rsid w:val="00C842F8"/>
    <w:rsid w:val="00C84313"/>
    <w:rsid w:val="00C84871"/>
    <w:rsid w:val="00C85607"/>
    <w:rsid w:val="00C8650A"/>
    <w:rsid w:val="00C86556"/>
    <w:rsid w:val="00C86C54"/>
    <w:rsid w:val="00C8732E"/>
    <w:rsid w:val="00C87519"/>
    <w:rsid w:val="00C87C7E"/>
    <w:rsid w:val="00C87FF9"/>
    <w:rsid w:val="00C90C78"/>
    <w:rsid w:val="00C914FB"/>
    <w:rsid w:val="00C9297D"/>
    <w:rsid w:val="00C92BD6"/>
    <w:rsid w:val="00C93090"/>
    <w:rsid w:val="00C93684"/>
    <w:rsid w:val="00C93EEC"/>
    <w:rsid w:val="00C944CE"/>
    <w:rsid w:val="00C945D8"/>
    <w:rsid w:val="00C9471B"/>
    <w:rsid w:val="00C96060"/>
    <w:rsid w:val="00C963D9"/>
    <w:rsid w:val="00C964CC"/>
    <w:rsid w:val="00C9755E"/>
    <w:rsid w:val="00C97BEF"/>
    <w:rsid w:val="00CA058C"/>
    <w:rsid w:val="00CA21BD"/>
    <w:rsid w:val="00CA2448"/>
    <w:rsid w:val="00CA24E7"/>
    <w:rsid w:val="00CA29EB"/>
    <w:rsid w:val="00CA2CD5"/>
    <w:rsid w:val="00CA2E26"/>
    <w:rsid w:val="00CA2E81"/>
    <w:rsid w:val="00CA2F1A"/>
    <w:rsid w:val="00CA3755"/>
    <w:rsid w:val="00CA37AD"/>
    <w:rsid w:val="00CA5379"/>
    <w:rsid w:val="00CA5ABB"/>
    <w:rsid w:val="00CA6298"/>
    <w:rsid w:val="00CA669F"/>
    <w:rsid w:val="00CA740E"/>
    <w:rsid w:val="00CA74A0"/>
    <w:rsid w:val="00CA7719"/>
    <w:rsid w:val="00CA7835"/>
    <w:rsid w:val="00CA7FE1"/>
    <w:rsid w:val="00CB0F90"/>
    <w:rsid w:val="00CB10B0"/>
    <w:rsid w:val="00CB1284"/>
    <w:rsid w:val="00CB1290"/>
    <w:rsid w:val="00CB13F5"/>
    <w:rsid w:val="00CB2D07"/>
    <w:rsid w:val="00CB36F9"/>
    <w:rsid w:val="00CB3898"/>
    <w:rsid w:val="00CB3D27"/>
    <w:rsid w:val="00CB4E2D"/>
    <w:rsid w:val="00CB5A2E"/>
    <w:rsid w:val="00CB607D"/>
    <w:rsid w:val="00CB62C1"/>
    <w:rsid w:val="00CB6420"/>
    <w:rsid w:val="00CB6599"/>
    <w:rsid w:val="00CB7058"/>
    <w:rsid w:val="00CB7D98"/>
    <w:rsid w:val="00CC040E"/>
    <w:rsid w:val="00CC0A5F"/>
    <w:rsid w:val="00CC16F2"/>
    <w:rsid w:val="00CC1979"/>
    <w:rsid w:val="00CC2369"/>
    <w:rsid w:val="00CC2DFE"/>
    <w:rsid w:val="00CC2FCC"/>
    <w:rsid w:val="00CC315C"/>
    <w:rsid w:val="00CC3621"/>
    <w:rsid w:val="00CC3DD0"/>
    <w:rsid w:val="00CC55F1"/>
    <w:rsid w:val="00CC57A8"/>
    <w:rsid w:val="00CC656D"/>
    <w:rsid w:val="00CC6730"/>
    <w:rsid w:val="00CC6E36"/>
    <w:rsid w:val="00CC7071"/>
    <w:rsid w:val="00CC7555"/>
    <w:rsid w:val="00CC7658"/>
    <w:rsid w:val="00CD00FA"/>
    <w:rsid w:val="00CD0917"/>
    <w:rsid w:val="00CD1069"/>
    <w:rsid w:val="00CD1B9C"/>
    <w:rsid w:val="00CD204A"/>
    <w:rsid w:val="00CD2394"/>
    <w:rsid w:val="00CD2508"/>
    <w:rsid w:val="00CD3762"/>
    <w:rsid w:val="00CD381F"/>
    <w:rsid w:val="00CD3FB2"/>
    <w:rsid w:val="00CD4113"/>
    <w:rsid w:val="00CD41E3"/>
    <w:rsid w:val="00CD497E"/>
    <w:rsid w:val="00CD5141"/>
    <w:rsid w:val="00CD52C8"/>
    <w:rsid w:val="00CD54C8"/>
    <w:rsid w:val="00CD5A34"/>
    <w:rsid w:val="00CD5CFC"/>
    <w:rsid w:val="00CD5FB0"/>
    <w:rsid w:val="00CD610B"/>
    <w:rsid w:val="00CD65FA"/>
    <w:rsid w:val="00CD6DD8"/>
    <w:rsid w:val="00CD7DB6"/>
    <w:rsid w:val="00CE0398"/>
    <w:rsid w:val="00CE0406"/>
    <w:rsid w:val="00CE0653"/>
    <w:rsid w:val="00CE07F7"/>
    <w:rsid w:val="00CE1750"/>
    <w:rsid w:val="00CE1F52"/>
    <w:rsid w:val="00CE1F7B"/>
    <w:rsid w:val="00CE23F7"/>
    <w:rsid w:val="00CE3F8A"/>
    <w:rsid w:val="00CE456D"/>
    <w:rsid w:val="00CE46B2"/>
    <w:rsid w:val="00CE4978"/>
    <w:rsid w:val="00CE4F81"/>
    <w:rsid w:val="00CE5169"/>
    <w:rsid w:val="00CE5B57"/>
    <w:rsid w:val="00CE64F6"/>
    <w:rsid w:val="00CE6651"/>
    <w:rsid w:val="00CE6718"/>
    <w:rsid w:val="00CE68EF"/>
    <w:rsid w:val="00CE6C1B"/>
    <w:rsid w:val="00CE709E"/>
    <w:rsid w:val="00CE775E"/>
    <w:rsid w:val="00CE7C12"/>
    <w:rsid w:val="00CF1981"/>
    <w:rsid w:val="00CF20C8"/>
    <w:rsid w:val="00CF21F7"/>
    <w:rsid w:val="00CF2842"/>
    <w:rsid w:val="00CF2F95"/>
    <w:rsid w:val="00CF317A"/>
    <w:rsid w:val="00CF357A"/>
    <w:rsid w:val="00CF35FE"/>
    <w:rsid w:val="00CF369B"/>
    <w:rsid w:val="00CF3F8F"/>
    <w:rsid w:val="00CF41EB"/>
    <w:rsid w:val="00CF422A"/>
    <w:rsid w:val="00CF4C18"/>
    <w:rsid w:val="00CF4C6E"/>
    <w:rsid w:val="00CF5119"/>
    <w:rsid w:val="00CF54B9"/>
    <w:rsid w:val="00CF56EF"/>
    <w:rsid w:val="00CF5F12"/>
    <w:rsid w:val="00CF641B"/>
    <w:rsid w:val="00CF6579"/>
    <w:rsid w:val="00CF6A5C"/>
    <w:rsid w:val="00CF7185"/>
    <w:rsid w:val="00CF73E2"/>
    <w:rsid w:val="00CF775A"/>
    <w:rsid w:val="00CF7EC2"/>
    <w:rsid w:val="00D0281C"/>
    <w:rsid w:val="00D02DDD"/>
    <w:rsid w:val="00D02F05"/>
    <w:rsid w:val="00D0307B"/>
    <w:rsid w:val="00D03B05"/>
    <w:rsid w:val="00D03B07"/>
    <w:rsid w:val="00D03B6C"/>
    <w:rsid w:val="00D040B5"/>
    <w:rsid w:val="00D04124"/>
    <w:rsid w:val="00D0446B"/>
    <w:rsid w:val="00D04625"/>
    <w:rsid w:val="00D04A75"/>
    <w:rsid w:val="00D053B5"/>
    <w:rsid w:val="00D0543A"/>
    <w:rsid w:val="00D05764"/>
    <w:rsid w:val="00D0582C"/>
    <w:rsid w:val="00D05A8B"/>
    <w:rsid w:val="00D05B9F"/>
    <w:rsid w:val="00D05D58"/>
    <w:rsid w:val="00D06147"/>
    <w:rsid w:val="00D0705A"/>
    <w:rsid w:val="00D07A00"/>
    <w:rsid w:val="00D10C8C"/>
    <w:rsid w:val="00D117AD"/>
    <w:rsid w:val="00D13118"/>
    <w:rsid w:val="00D1336B"/>
    <w:rsid w:val="00D1348C"/>
    <w:rsid w:val="00D13567"/>
    <w:rsid w:val="00D13795"/>
    <w:rsid w:val="00D1383A"/>
    <w:rsid w:val="00D13C16"/>
    <w:rsid w:val="00D145D5"/>
    <w:rsid w:val="00D146BD"/>
    <w:rsid w:val="00D15249"/>
    <w:rsid w:val="00D15475"/>
    <w:rsid w:val="00D154D1"/>
    <w:rsid w:val="00D15DE8"/>
    <w:rsid w:val="00D16A53"/>
    <w:rsid w:val="00D16C0D"/>
    <w:rsid w:val="00D17B94"/>
    <w:rsid w:val="00D17EEA"/>
    <w:rsid w:val="00D20EC0"/>
    <w:rsid w:val="00D217D5"/>
    <w:rsid w:val="00D21A3F"/>
    <w:rsid w:val="00D222E9"/>
    <w:rsid w:val="00D22DED"/>
    <w:rsid w:val="00D2335F"/>
    <w:rsid w:val="00D235F5"/>
    <w:rsid w:val="00D24054"/>
    <w:rsid w:val="00D24170"/>
    <w:rsid w:val="00D245F0"/>
    <w:rsid w:val="00D24A7D"/>
    <w:rsid w:val="00D24FDF"/>
    <w:rsid w:val="00D252B1"/>
    <w:rsid w:val="00D255FE"/>
    <w:rsid w:val="00D256DB"/>
    <w:rsid w:val="00D259E1"/>
    <w:rsid w:val="00D25D37"/>
    <w:rsid w:val="00D260EF"/>
    <w:rsid w:val="00D260F5"/>
    <w:rsid w:val="00D267D5"/>
    <w:rsid w:val="00D2716B"/>
    <w:rsid w:val="00D27833"/>
    <w:rsid w:val="00D27B65"/>
    <w:rsid w:val="00D304D0"/>
    <w:rsid w:val="00D30564"/>
    <w:rsid w:val="00D314A1"/>
    <w:rsid w:val="00D319E0"/>
    <w:rsid w:val="00D31E73"/>
    <w:rsid w:val="00D32493"/>
    <w:rsid w:val="00D326FB"/>
    <w:rsid w:val="00D32BBD"/>
    <w:rsid w:val="00D3389A"/>
    <w:rsid w:val="00D33AE8"/>
    <w:rsid w:val="00D33DB8"/>
    <w:rsid w:val="00D345F3"/>
    <w:rsid w:val="00D34E55"/>
    <w:rsid w:val="00D3509E"/>
    <w:rsid w:val="00D358CC"/>
    <w:rsid w:val="00D36753"/>
    <w:rsid w:val="00D36962"/>
    <w:rsid w:val="00D36988"/>
    <w:rsid w:val="00D37729"/>
    <w:rsid w:val="00D37C0C"/>
    <w:rsid w:val="00D406F6"/>
    <w:rsid w:val="00D419E9"/>
    <w:rsid w:val="00D42006"/>
    <w:rsid w:val="00D43345"/>
    <w:rsid w:val="00D43654"/>
    <w:rsid w:val="00D437E8"/>
    <w:rsid w:val="00D448B3"/>
    <w:rsid w:val="00D44C95"/>
    <w:rsid w:val="00D4576C"/>
    <w:rsid w:val="00D45D41"/>
    <w:rsid w:val="00D45F6F"/>
    <w:rsid w:val="00D465BF"/>
    <w:rsid w:val="00D46B77"/>
    <w:rsid w:val="00D46D97"/>
    <w:rsid w:val="00D47234"/>
    <w:rsid w:val="00D47611"/>
    <w:rsid w:val="00D477CD"/>
    <w:rsid w:val="00D47D4B"/>
    <w:rsid w:val="00D47D5F"/>
    <w:rsid w:val="00D5068B"/>
    <w:rsid w:val="00D508EE"/>
    <w:rsid w:val="00D51374"/>
    <w:rsid w:val="00D51652"/>
    <w:rsid w:val="00D52201"/>
    <w:rsid w:val="00D526AD"/>
    <w:rsid w:val="00D5283A"/>
    <w:rsid w:val="00D52D6A"/>
    <w:rsid w:val="00D533F3"/>
    <w:rsid w:val="00D54545"/>
    <w:rsid w:val="00D54A82"/>
    <w:rsid w:val="00D5515C"/>
    <w:rsid w:val="00D552B6"/>
    <w:rsid w:val="00D554CD"/>
    <w:rsid w:val="00D55809"/>
    <w:rsid w:val="00D56AC6"/>
    <w:rsid w:val="00D56F36"/>
    <w:rsid w:val="00D56FAE"/>
    <w:rsid w:val="00D575D3"/>
    <w:rsid w:val="00D60203"/>
    <w:rsid w:val="00D60704"/>
    <w:rsid w:val="00D60B01"/>
    <w:rsid w:val="00D616C7"/>
    <w:rsid w:val="00D61B94"/>
    <w:rsid w:val="00D61BDF"/>
    <w:rsid w:val="00D61C23"/>
    <w:rsid w:val="00D62322"/>
    <w:rsid w:val="00D62797"/>
    <w:rsid w:val="00D62C10"/>
    <w:rsid w:val="00D64302"/>
    <w:rsid w:val="00D64344"/>
    <w:rsid w:val="00D64A14"/>
    <w:rsid w:val="00D64CDC"/>
    <w:rsid w:val="00D65CB8"/>
    <w:rsid w:val="00D67932"/>
    <w:rsid w:val="00D67ACF"/>
    <w:rsid w:val="00D67B1D"/>
    <w:rsid w:val="00D67D39"/>
    <w:rsid w:val="00D67EDE"/>
    <w:rsid w:val="00D67F13"/>
    <w:rsid w:val="00D67F6D"/>
    <w:rsid w:val="00D71715"/>
    <w:rsid w:val="00D71F72"/>
    <w:rsid w:val="00D723AF"/>
    <w:rsid w:val="00D72567"/>
    <w:rsid w:val="00D72708"/>
    <w:rsid w:val="00D72DF9"/>
    <w:rsid w:val="00D73446"/>
    <w:rsid w:val="00D739AB"/>
    <w:rsid w:val="00D74223"/>
    <w:rsid w:val="00D74307"/>
    <w:rsid w:val="00D74C30"/>
    <w:rsid w:val="00D74CA8"/>
    <w:rsid w:val="00D74CE8"/>
    <w:rsid w:val="00D75043"/>
    <w:rsid w:val="00D75232"/>
    <w:rsid w:val="00D7573A"/>
    <w:rsid w:val="00D75947"/>
    <w:rsid w:val="00D76036"/>
    <w:rsid w:val="00D7633B"/>
    <w:rsid w:val="00D779ED"/>
    <w:rsid w:val="00D80783"/>
    <w:rsid w:val="00D809C6"/>
    <w:rsid w:val="00D80A4D"/>
    <w:rsid w:val="00D8197F"/>
    <w:rsid w:val="00D81B16"/>
    <w:rsid w:val="00D81FAD"/>
    <w:rsid w:val="00D8236F"/>
    <w:rsid w:val="00D824C5"/>
    <w:rsid w:val="00D82903"/>
    <w:rsid w:val="00D830B5"/>
    <w:rsid w:val="00D83433"/>
    <w:rsid w:val="00D84D25"/>
    <w:rsid w:val="00D853A4"/>
    <w:rsid w:val="00D86EA1"/>
    <w:rsid w:val="00D86FBA"/>
    <w:rsid w:val="00D87329"/>
    <w:rsid w:val="00D87420"/>
    <w:rsid w:val="00D87A03"/>
    <w:rsid w:val="00D87D24"/>
    <w:rsid w:val="00D90147"/>
    <w:rsid w:val="00D90413"/>
    <w:rsid w:val="00D907DD"/>
    <w:rsid w:val="00D90CD5"/>
    <w:rsid w:val="00D90DD3"/>
    <w:rsid w:val="00D915FB"/>
    <w:rsid w:val="00D918DF"/>
    <w:rsid w:val="00D91D8E"/>
    <w:rsid w:val="00D91EE4"/>
    <w:rsid w:val="00D92CE8"/>
    <w:rsid w:val="00D92E94"/>
    <w:rsid w:val="00D93233"/>
    <w:rsid w:val="00D94ED7"/>
    <w:rsid w:val="00D951FE"/>
    <w:rsid w:val="00D95B86"/>
    <w:rsid w:val="00D95BDC"/>
    <w:rsid w:val="00D9713E"/>
    <w:rsid w:val="00DA004F"/>
    <w:rsid w:val="00DA02EE"/>
    <w:rsid w:val="00DA0340"/>
    <w:rsid w:val="00DA0FB8"/>
    <w:rsid w:val="00DA1205"/>
    <w:rsid w:val="00DA14E3"/>
    <w:rsid w:val="00DA19A9"/>
    <w:rsid w:val="00DA1E3A"/>
    <w:rsid w:val="00DA273E"/>
    <w:rsid w:val="00DA2ACC"/>
    <w:rsid w:val="00DA32C0"/>
    <w:rsid w:val="00DA33F5"/>
    <w:rsid w:val="00DA3BD2"/>
    <w:rsid w:val="00DA45F9"/>
    <w:rsid w:val="00DA48E0"/>
    <w:rsid w:val="00DA5F58"/>
    <w:rsid w:val="00DA6054"/>
    <w:rsid w:val="00DA69D5"/>
    <w:rsid w:val="00DA7AE5"/>
    <w:rsid w:val="00DB01E7"/>
    <w:rsid w:val="00DB0476"/>
    <w:rsid w:val="00DB0913"/>
    <w:rsid w:val="00DB1447"/>
    <w:rsid w:val="00DB1462"/>
    <w:rsid w:val="00DB18A9"/>
    <w:rsid w:val="00DB1DBD"/>
    <w:rsid w:val="00DB1F7F"/>
    <w:rsid w:val="00DB2758"/>
    <w:rsid w:val="00DB29B5"/>
    <w:rsid w:val="00DB4349"/>
    <w:rsid w:val="00DB4404"/>
    <w:rsid w:val="00DB4CC2"/>
    <w:rsid w:val="00DB550E"/>
    <w:rsid w:val="00DB5F59"/>
    <w:rsid w:val="00DB6167"/>
    <w:rsid w:val="00DB6413"/>
    <w:rsid w:val="00DB6664"/>
    <w:rsid w:val="00DB6861"/>
    <w:rsid w:val="00DB6E52"/>
    <w:rsid w:val="00DB6FD6"/>
    <w:rsid w:val="00DB737E"/>
    <w:rsid w:val="00DB7A58"/>
    <w:rsid w:val="00DC040C"/>
    <w:rsid w:val="00DC0A62"/>
    <w:rsid w:val="00DC0E97"/>
    <w:rsid w:val="00DC1905"/>
    <w:rsid w:val="00DC1F7C"/>
    <w:rsid w:val="00DC23E6"/>
    <w:rsid w:val="00DC26F6"/>
    <w:rsid w:val="00DC27C2"/>
    <w:rsid w:val="00DC3109"/>
    <w:rsid w:val="00DC360F"/>
    <w:rsid w:val="00DC368E"/>
    <w:rsid w:val="00DC4320"/>
    <w:rsid w:val="00DC45F0"/>
    <w:rsid w:val="00DC4D50"/>
    <w:rsid w:val="00DC5FF5"/>
    <w:rsid w:val="00DC611C"/>
    <w:rsid w:val="00DC63DF"/>
    <w:rsid w:val="00DC64E1"/>
    <w:rsid w:val="00DC741C"/>
    <w:rsid w:val="00DD0C00"/>
    <w:rsid w:val="00DD0C82"/>
    <w:rsid w:val="00DD0D9E"/>
    <w:rsid w:val="00DD178E"/>
    <w:rsid w:val="00DD1DEB"/>
    <w:rsid w:val="00DD21F6"/>
    <w:rsid w:val="00DD32FB"/>
    <w:rsid w:val="00DD39A1"/>
    <w:rsid w:val="00DD3C27"/>
    <w:rsid w:val="00DD3E21"/>
    <w:rsid w:val="00DD3F4E"/>
    <w:rsid w:val="00DD478C"/>
    <w:rsid w:val="00DD4908"/>
    <w:rsid w:val="00DD4A1B"/>
    <w:rsid w:val="00DD5A6C"/>
    <w:rsid w:val="00DD6075"/>
    <w:rsid w:val="00DD62D1"/>
    <w:rsid w:val="00DD6C7F"/>
    <w:rsid w:val="00DD71C4"/>
    <w:rsid w:val="00DD7488"/>
    <w:rsid w:val="00DD78EA"/>
    <w:rsid w:val="00DD7C5F"/>
    <w:rsid w:val="00DE01C7"/>
    <w:rsid w:val="00DE0C3E"/>
    <w:rsid w:val="00DE0C41"/>
    <w:rsid w:val="00DE1512"/>
    <w:rsid w:val="00DE196E"/>
    <w:rsid w:val="00DE21BB"/>
    <w:rsid w:val="00DE221D"/>
    <w:rsid w:val="00DE230C"/>
    <w:rsid w:val="00DE2BAB"/>
    <w:rsid w:val="00DE2E0C"/>
    <w:rsid w:val="00DE330F"/>
    <w:rsid w:val="00DE3B02"/>
    <w:rsid w:val="00DE425A"/>
    <w:rsid w:val="00DE4ED0"/>
    <w:rsid w:val="00DE55C3"/>
    <w:rsid w:val="00DE563B"/>
    <w:rsid w:val="00DE5BE4"/>
    <w:rsid w:val="00DE6506"/>
    <w:rsid w:val="00DE6A0E"/>
    <w:rsid w:val="00DE6CA2"/>
    <w:rsid w:val="00DE6E6C"/>
    <w:rsid w:val="00DE75A4"/>
    <w:rsid w:val="00DE7CA0"/>
    <w:rsid w:val="00DE7D9D"/>
    <w:rsid w:val="00DF0082"/>
    <w:rsid w:val="00DF0228"/>
    <w:rsid w:val="00DF0891"/>
    <w:rsid w:val="00DF109A"/>
    <w:rsid w:val="00DF1905"/>
    <w:rsid w:val="00DF1D88"/>
    <w:rsid w:val="00DF22DF"/>
    <w:rsid w:val="00DF32D4"/>
    <w:rsid w:val="00DF334A"/>
    <w:rsid w:val="00DF46A1"/>
    <w:rsid w:val="00DF4B00"/>
    <w:rsid w:val="00DF5AE4"/>
    <w:rsid w:val="00DF5CC0"/>
    <w:rsid w:val="00DF5FDD"/>
    <w:rsid w:val="00DF6F45"/>
    <w:rsid w:val="00DF7686"/>
    <w:rsid w:val="00DF7922"/>
    <w:rsid w:val="00E00564"/>
    <w:rsid w:val="00E01A42"/>
    <w:rsid w:val="00E023DF"/>
    <w:rsid w:val="00E02557"/>
    <w:rsid w:val="00E02ADC"/>
    <w:rsid w:val="00E02DDB"/>
    <w:rsid w:val="00E033A3"/>
    <w:rsid w:val="00E036FE"/>
    <w:rsid w:val="00E04375"/>
    <w:rsid w:val="00E04596"/>
    <w:rsid w:val="00E0492D"/>
    <w:rsid w:val="00E04C4A"/>
    <w:rsid w:val="00E05A8D"/>
    <w:rsid w:val="00E05DFB"/>
    <w:rsid w:val="00E0638E"/>
    <w:rsid w:val="00E06C19"/>
    <w:rsid w:val="00E07CE4"/>
    <w:rsid w:val="00E10309"/>
    <w:rsid w:val="00E10517"/>
    <w:rsid w:val="00E10B4C"/>
    <w:rsid w:val="00E10C84"/>
    <w:rsid w:val="00E10E82"/>
    <w:rsid w:val="00E115AC"/>
    <w:rsid w:val="00E1198F"/>
    <w:rsid w:val="00E125B9"/>
    <w:rsid w:val="00E12C87"/>
    <w:rsid w:val="00E13077"/>
    <w:rsid w:val="00E1308A"/>
    <w:rsid w:val="00E1315E"/>
    <w:rsid w:val="00E13652"/>
    <w:rsid w:val="00E13FB5"/>
    <w:rsid w:val="00E15C85"/>
    <w:rsid w:val="00E15E2B"/>
    <w:rsid w:val="00E162AE"/>
    <w:rsid w:val="00E163EB"/>
    <w:rsid w:val="00E16515"/>
    <w:rsid w:val="00E16F74"/>
    <w:rsid w:val="00E1726F"/>
    <w:rsid w:val="00E174CA"/>
    <w:rsid w:val="00E17690"/>
    <w:rsid w:val="00E17930"/>
    <w:rsid w:val="00E2030D"/>
    <w:rsid w:val="00E20F09"/>
    <w:rsid w:val="00E212AC"/>
    <w:rsid w:val="00E2177D"/>
    <w:rsid w:val="00E2214A"/>
    <w:rsid w:val="00E22A25"/>
    <w:rsid w:val="00E23320"/>
    <w:rsid w:val="00E23743"/>
    <w:rsid w:val="00E2436B"/>
    <w:rsid w:val="00E24AEE"/>
    <w:rsid w:val="00E24BC9"/>
    <w:rsid w:val="00E25166"/>
    <w:rsid w:val="00E25DF5"/>
    <w:rsid w:val="00E26534"/>
    <w:rsid w:val="00E2752C"/>
    <w:rsid w:val="00E2767A"/>
    <w:rsid w:val="00E27933"/>
    <w:rsid w:val="00E27C31"/>
    <w:rsid w:val="00E27EE3"/>
    <w:rsid w:val="00E27F64"/>
    <w:rsid w:val="00E3046A"/>
    <w:rsid w:val="00E30D93"/>
    <w:rsid w:val="00E30E23"/>
    <w:rsid w:val="00E31127"/>
    <w:rsid w:val="00E3141B"/>
    <w:rsid w:val="00E316A3"/>
    <w:rsid w:val="00E31E3A"/>
    <w:rsid w:val="00E323FD"/>
    <w:rsid w:val="00E32828"/>
    <w:rsid w:val="00E32870"/>
    <w:rsid w:val="00E34E7C"/>
    <w:rsid w:val="00E35604"/>
    <w:rsid w:val="00E35B03"/>
    <w:rsid w:val="00E36165"/>
    <w:rsid w:val="00E3659C"/>
    <w:rsid w:val="00E3700C"/>
    <w:rsid w:val="00E372D4"/>
    <w:rsid w:val="00E40AD0"/>
    <w:rsid w:val="00E40BD7"/>
    <w:rsid w:val="00E40CBD"/>
    <w:rsid w:val="00E40F0D"/>
    <w:rsid w:val="00E41A94"/>
    <w:rsid w:val="00E427EC"/>
    <w:rsid w:val="00E42F29"/>
    <w:rsid w:val="00E436AB"/>
    <w:rsid w:val="00E43D90"/>
    <w:rsid w:val="00E44124"/>
    <w:rsid w:val="00E44BB9"/>
    <w:rsid w:val="00E44C39"/>
    <w:rsid w:val="00E44E5B"/>
    <w:rsid w:val="00E44F18"/>
    <w:rsid w:val="00E4684A"/>
    <w:rsid w:val="00E46988"/>
    <w:rsid w:val="00E470F5"/>
    <w:rsid w:val="00E47FBF"/>
    <w:rsid w:val="00E506CC"/>
    <w:rsid w:val="00E507C8"/>
    <w:rsid w:val="00E5095A"/>
    <w:rsid w:val="00E5138F"/>
    <w:rsid w:val="00E5139A"/>
    <w:rsid w:val="00E51C41"/>
    <w:rsid w:val="00E52974"/>
    <w:rsid w:val="00E52B1D"/>
    <w:rsid w:val="00E53382"/>
    <w:rsid w:val="00E5389B"/>
    <w:rsid w:val="00E5413C"/>
    <w:rsid w:val="00E541C0"/>
    <w:rsid w:val="00E556DD"/>
    <w:rsid w:val="00E55A95"/>
    <w:rsid w:val="00E56754"/>
    <w:rsid w:val="00E56B93"/>
    <w:rsid w:val="00E57155"/>
    <w:rsid w:val="00E57302"/>
    <w:rsid w:val="00E60CB7"/>
    <w:rsid w:val="00E617E5"/>
    <w:rsid w:val="00E61D6E"/>
    <w:rsid w:val="00E629C5"/>
    <w:rsid w:val="00E62ABC"/>
    <w:rsid w:val="00E62DED"/>
    <w:rsid w:val="00E62E2E"/>
    <w:rsid w:val="00E63124"/>
    <w:rsid w:val="00E6326D"/>
    <w:rsid w:val="00E633C9"/>
    <w:rsid w:val="00E651D0"/>
    <w:rsid w:val="00E65D1B"/>
    <w:rsid w:val="00E6640F"/>
    <w:rsid w:val="00E6647C"/>
    <w:rsid w:val="00E667F9"/>
    <w:rsid w:val="00E66B10"/>
    <w:rsid w:val="00E673EF"/>
    <w:rsid w:val="00E673F6"/>
    <w:rsid w:val="00E71A02"/>
    <w:rsid w:val="00E72D6E"/>
    <w:rsid w:val="00E736DA"/>
    <w:rsid w:val="00E73769"/>
    <w:rsid w:val="00E73AE7"/>
    <w:rsid w:val="00E73CFD"/>
    <w:rsid w:val="00E73F0D"/>
    <w:rsid w:val="00E743C5"/>
    <w:rsid w:val="00E7486F"/>
    <w:rsid w:val="00E74B0F"/>
    <w:rsid w:val="00E75133"/>
    <w:rsid w:val="00E7629F"/>
    <w:rsid w:val="00E76A46"/>
    <w:rsid w:val="00E76B07"/>
    <w:rsid w:val="00E7760C"/>
    <w:rsid w:val="00E80D84"/>
    <w:rsid w:val="00E816AE"/>
    <w:rsid w:val="00E81AEE"/>
    <w:rsid w:val="00E82544"/>
    <w:rsid w:val="00E82586"/>
    <w:rsid w:val="00E82B5E"/>
    <w:rsid w:val="00E82D49"/>
    <w:rsid w:val="00E82E77"/>
    <w:rsid w:val="00E83569"/>
    <w:rsid w:val="00E843C6"/>
    <w:rsid w:val="00E84BD6"/>
    <w:rsid w:val="00E8515A"/>
    <w:rsid w:val="00E855B8"/>
    <w:rsid w:val="00E86E41"/>
    <w:rsid w:val="00E90A95"/>
    <w:rsid w:val="00E90FAF"/>
    <w:rsid w:val="00E91159"/>
    <w:rsid w:val="00E919F4"/>
    <w:rsid w:val="00E92080"/>
    <w:rsid w:val="00E92601"/>
    <w:rsid w:val="00E927E3"/>
    <w:rsid w:val="00E92E72"/>
    <w:rsid w:val="00E93C1D"/>
    <w:rsid w:val="00E9419D"/>
    <w:rsid w:val="00E94408"/>
    <w:rsid w:val="00E94540"/>
    <w:rsid w:val="00E95218"/>
    <w:rsid w:val="00E95267"/>
    <w:rsid w:val="00E95950"/>
    <w:rsid w:val="00E96E69"/>
    <w:rsid w:val="00E97635"/>
    <w:rsid w:val="00EA0E0F"/>
    <w:rsid w:val="00EA1BA5"/>
    <w:rsid w:val="00EA2A3C"/>
    <w:rsid w:val="00EA3689"/>
    <w:rsid w:val="00EA3E10"/>
    <w:rsid w:val="00EA4E46"/>
    <w:rsid w:val="00EA57DA"/>
    <w:rsid w:val="00EA63FF"/>
    <w:rsid w:val="00EA679F"/>
    <w:rsid w:val="00EA680A"/>
    <w:rsid w:val="00EA6827"/>
    <w:rsid w:val="00EA6933"/>
    <w:rsid w:val="00EA7366"/>
    <w:rsid w:val="00EB006F"/>
    <w:rsid w:val="00EB033A"/>
    <w:rsid w:val="00EB09F4"/>
    <w:rsid w:val="00EB0BFB"/>
    <w:rsid w:val="00EB0C12"/>
    <w:rsid w:val="00EB0DC2"/>
    <w:rsid w:val="00EB0E60"/>
    <w:rsid w:val="00EB0E85"/>
    <w:rsid w:val="00EB1196"/>
    <w:rsid w:val="00EB1DEB"/>
    <w:rsid w:val="00EB32B9"/>
    <w:rsid w:val="00EB48BD"/>
    <w:rsid w:val="00EB53AC"/>
    <w:rsid w:val="00EB5880"/>
    <w:rsid w:val="00EB5928"/>
    <w:rsid w:val="00EB5EE1"/>
    <w:rsid w:val="00EB6247"/>
    <w:rsid w:val="00EB63E5"/>
    <w:rsid w:val="00EB671A"/>
    <w:rsid w:val="00EB677B"/>
    <w:rsid w:val="00EC035B"/>
    <w:rsid w:val="00EC090B"/>
    <w:rsid w:val="00EC0E94"/>
    <w:rsid w:val="00EC0EB7"/>
    <w:rsid w:val="00EC102A"/>
    <w:rsid w:val="00EC11A0"/>
    <w:rsid w:val="00EC166A"/>
    <w:rsid w:val="00EC17E7"/>
    <w:rsid w:val="00EC1805"/>
    <w:rsid w:val="00EC1DC7"/>
    <w:rsid w:val="00EC1E55"/>
    <w:rsid w:val="00EC2403"/>
    <w:rsid w:val="00EC2C0D"/>
    <w:rsid w:val="00EC2F9B"/>
    <w:rsid w:val="00EC3558"/>
    <w:rsid w:val="00EC3AF9"/>
    <w:rsid w:val="00EC3C0E"/>
    <w:rsid w:val="00EC459D"/>
    <w:rsid w:val="00EC47D3"/>
    <w:rsid w:val="00EC4E9B"/>
    <w:rsid w:val="00EC541B"/>
    <w:rsid w:val="00EC573C"/>
    <w:rsid w:val="00EC5DA0"/>
    <w:rsid w:val="00EC71C8"/>
    <w:rsid w:val="00EC7C77"/>
    <w:rsid w:val="00EC7FA2"/>
    <w:rsid w:val="00ED1B2A"/>
    <w:rsid w:val="00ED1C3A"/>
    <w:rsid w:val="00ED2227"/>
    <w:rsid w:val="00ED224B"/>
    <w:rsid w:val="00ED226E"/>
    <w:rsid w:val="00ED3954"/>
    <w:rsid w:val="00ED3A70"/>
    <w:rsid w:val="00ED41D4"/>
    <w:rsid w:val="00ED4FB4"/>
    <w:rsid w:val="00ED5328"/>
    <w:rsid w:val="00ED586A"/>
    <w:rsid w:val="00ED604A"/>
    <w:rsid w:val="00ED64A8"/>
    <w:rsid w:val="00ED7536"/>
    <w:rsid w:val="00EE0626"/>
    <w:rsid w:val="00EE0C23"/>
    <w:rsid w:val="00EE1623"/>
    <w:rsid w:val="00EE1E6F"/>
    <w:rsid w:val="00EE378F"/>
    <w:rsid w:val="00EE3C99"/>
    <w:rsid w:val="00EE4479"/>
    <w:rsid w:val="00EE4559"/>
    <w:rsid w:val="00EE4A8A"/>
    <w:rsid w:val="00EE4E13"/>
    <w:rsid w:val="00EE4F5C"/>
    <w:rsid w:val="00EE5294"/>
    <w:rsid w:val="00EE5573"/>
    <w:rsid w:val="00EE59EA"/>
    <w:rsid w:val="00EE642C"/>
    <w:rsid w:val="00EE72EF"/>
    <w:rsid w:val="00EE7B52"/>
    <w:rsid w:val="00EE7BCF"/>
    <w:rsid w:val="00EE7D29"/>
    <w:rsid w:val="00EF0780"/>
    <w:rsid w:val="00EF1B57"/>
    <w:rsid w:val="00EF1DE9"/>
    <w:rsid w:val="00EF213D"/>
    <w:rsid w:val="00EF21DB"/>
    <w:rsid w:val="00EF252D"/>
    <w:rsid w:val="00EF2FA3"/>
    <w:rsid w:val="00EF3241"/>
    <w:rsid w:val="00EF3A02"/>
    <w:rsid w:val="00EF3A4F"/>
    <w:rsid w:val="00EF4277"/>
    <w:rsid w:val="00EF436C"/>
    <w:rsid w:val="00EF5C87"/>
    <w:rsid w:val="00EF759F"/>
    <w:rsid w:val="00F00F8B"/>
    <w:rsid w:val="00F015CC"/>
    <w:rsid w:val="00F01AF7"/>
    <w:rsid w:val="00F01F02"/>
    <w:rsid w:val="00F020B4"/>
    <w:rsid w:val="00F02A09"/>
    <w:rsid w:val="00F04404"/>
    <w:rsid w:val="00F0481E"/>
    <w:rsid w:val="00F04B63"/>
    <w:rsid w:val="00F055D3"/>
    <w:rsid w:val="00F06BE7"/>
    <w:rsid w:val="00F07CB3"/>
    <w:rsid w:val="00F110B3"/>
    <w:rsid w:val="00F113F8"/>
    <w:rsid w:val="00F11606"/>
    <w:rsid w:val="00F11B27"/>
    <w:rsid w:val="00F11E27"/>
    <w:rsid w:val="00F11EA1"/>
    <w:rsid w:val="00F1261D"/>
    <w:rsid w:val="00F129AF"/>
    <w:rsid w:val="00F134DB"/>
    <w:rsid w:val="00F14CBE"/>
    <w:rsid w:val="00F150D0"/>
    <w:rsid w:val="00F155DF"/>
    <w:rsid w:val="00F15677"/>
    <w:rsid w:val="00F157E5"/>
    <w:rsid w:val="00F15899"/>
    <w:rsid w:val="00F162ED"/>
    <w:rsid w:val="00F163DB"/>
    <w:rsid w:val="00F1697C"/>
    <w:rsid w:val="00F16D6F"/>
    <w:rsid w:val="00F16F4E"/>
    <w:rsid w:val="00F17642"/>
    <w:rsid w:val="00F17CE8"/>
    <w:rsid w:val="00F17DB1"/>
    <w:rsid w:val="00F20195"/>
    <w:rsid w:val="00F21043"/>
    <w:rsid w:val="00F213DA"/>
    <w:rsid w:val="00F21FFB"/>
    <w:rsid w:val="00F22898"/>
    <w:rsid w:val="00F24971"/>
    <w:rsid w:val="00F24FAE"/>
    <w:rsid w:val="00F25261"/>
    <w:rsid w:val="00F254A4"/>
    <w:rsid w:val="00F26A57"/>
    <w:rsid w:val="00F26FCF"/>
    <w:rsid w:val="00F27CA4"/>
    <w:rsid w:val="00F30659"/>
    <w:rsid w:val="00F30A79"/>
    <w:rsid w:val="00F30C8C"/>
    <w:rsid w:val="00F30D75"/>
    <w:rsid w:val="00F30E4C"/>
    <w:rsid w:val="00F314CD"/>
    <w:rsid w:val="00F31E57"/>
    <w:rsid w:val="00F32615"/>
    <w:rsid w:val="00F32AB7"/>
    <w:rsid w:val="00F331F3"/>
    <w:rsid w:val="00F33EF9"/>
    <w:rsid w:val="00F34DAE"/>
    <w:rsid w:val="00F34E25"/>
    <w:rsid w:val="00F350E6"/>
    <w:rsid w:val="00F36449"/>
    <w:rsid w:val="00F36489"/>
    <w:rsid w:val="00F3649A"/>
    <w:rsid w:val="00F36AB5"/>
    <w:rsid w:val="00F36ED5"/>
    <w:rsid w:val="00F36F01"/>
    <w:rsid w:val="00F37475"/>
    <w:rsid w:val="00F378E1"/>
    <w:rsid w:val="00F37CD2"/>
    <w:rsid w:val="00F405CC"/>
    <w:rsid w:val="00F41686"/>
    <w:rsid w:val="00F41C14"/>
    <w:rsid w:val="00F438C3"/>
    <w:rsid w:val="00F43A58"/>
    <w:rsid w:val="00F44220"/>
    <w:rsid w:val="00F44609"/>
    <w:rsid w:val="00F44803"/>
    <w:rsid w:val="00F44A8B"/>
    <w:rsid w:val="00F4663E"/>
    <w:rsid w:val="00F46B10"/>
    <w:rsid w:val="00F473E7"/>
    <w:rsid w:val="00F47748"/>
    <w:rsid w:val="00F47A87"/>
    <w:rsid w:val="00F47B62"/>
    <w:rsid w:val="00F50E43"/>
    <w:rsid w:val="00F515EF"/>
    <w:rsid w:val="00F51600"/>
    <w:rsid w:val="00F51D6D"/>
    <w:rsid w:val="00F52B95"/>
    <w:rsid w:val="00F52E62"/>
    <w:rsid w:val="00F53024"/>
    <w:rsid w:val="00F53251"/>
    <w:rsid w:val="00F53498"/>
    <w:rsid w:val="00F535EB"/>
    <w:rsid w:val="00F53E85"/>
    <w:rsid w:val="00F53F2A"/>
    <w:rsid w:val="00F541DC"/>
    <w:rsid w:val="00F54439"/>
    <w:rsid w:val="00F549B6"/>
    <w:rsid w:val="00F54EA8"/>
    <w:rsid w:val="00F553AB"/>
    <w:rsid w:val="00F558C0"/>
    <w:rsid w:val="00F55ACA"/>
    <w:rsid w:val="00F55C54"/>
    <w:rsid w:val="00F560F3"/>
    <w:rsid w:val="00F564A1"/>
    <w:rsid w:val="00F56993"/>
    <w:rsid w:val="00F56B60"/>
    <w:rsid w:val="00F57B68"/>
    <w:rsid w:val="00F60348"/>
    <w:rsid w:val="00F60F0D"/>
    <w:rsid w:val="00F61E74"/>
    <w:rsid w:val="00F63536"/>
    <w:rsid w:val="00F6360A"/>
    <w:rsid w:val="00F63823"/>
    <w:rsid w:val="00F64A29"/>
    <w:rsid w:val="00F64BD7"/>
    <w:rsid w:val="00F65766"/>
    <w:rsid w:val="00F66A52"/>
    <w:rsid w:val="00F67157"/>
    <w:rsid w:val="00F671E0"/>
    <w:rsid w:val="00F674E5"/>
    <w:rsid w:val="00F67E23"/>
    <w:rsid w:val="00F70129"/>
    <w:rsid w:val="00F713B2"/>
    <w:rsid w:val="00F715FA"/>
    <w:rsid w:val="00F71747"/>
    <w:rsid w:val="00F721D0"/>
    <w:rsid w:val="00F72547"/>
    <w:rsid w:val="00F72B33"/>
    <w:rsid w:val="00F72BC7"/>
    <w:rsid w:val="00F73BE6"/>
    <w:rsid w:val="00F741EA"/>
    <w:rsid w:val="00F74742"/>
    <w:rsid w:val="00F75026"/>
    <w:rsid w:val="00F7559E"/>
    <w:rsid w:val="00F75CC2"/>
    <w:rsid w:val="00F76849"/>
    <w:rsid w:val="00F76C6A"/>
    <w:rsid w:val="00F76D6E"/>
    <w:rsid w:val="00F76DB8"/>
    <w:rsid w:val="00F7719B"/>
    <w:rsid w:val="00F77BB0"/>
    <w:rsid w:val="00F801E9"/>
    <w:rsid w:val="00F80300"/>
    <w:rsid w:val="00F803AC"/>
    <w:rsid w:val="00F80765"/>
    <w:rsid w:val="00F8209C"/>
    <w:rsid w:val="00F82B05"/>
    <w:rsid w:val="00F82C81"/>
    <w:rsid w:val="00F83004"/>
    <w:rsid w:val="00F83461"/>
    <w:rsid w:val="00F83A6C"/>
    <w:rsid w:val="00F83D97"/>
    <w:rsid w:val="00F84472"/>
    <w:rsid w:val="00F84473"/>
    <w:rsid w:val="00F8478C"/>
    <w:rsid w:val="00F84B16"/>
    <w:rsid w:val="00F84F7A"/>
    <w:rsid w:val="00F85BC3"/>
    <w:rsid w:val="00F86544"/>
    <w:rsid w:val="00F865A9"/>
    <w:rsid w:val="00F86E2F"/>
    <w:rsid w:val="00F876B5"/>
    <w:rsid w:val="00F879E3"/>
    <w:rsid w:val="00F879EF"/>
    <w:rsid w:val="00F87C4E"/>
    <w:rsid w:val="00F90403"/>
    <w:rsid w:val="00F907E4"/>
    <w:rsid w:val="00F9083F"/>
    <w:rsid w:val="00F91E7E"/>
    <w:rsid w:val="00F92E51"/>
    <w:rsid w:val="00F92E68"/>
    <w:rsid w:val="00F92EFD"/>
    <w:rsid w:val="00F9331D"/>
    <w:rsid w:val="00F956E1"/>
    <w:rsid w:val="00F95936"/>
    <w:rsid w:val="00F9644C"/>
    <w:rsid w:val="00F969BB"/>
    <w:rsid w:val="00F96E4B"/>
    <w:rsid w:val="00F97056"/>
    <w:rsid w:val="00F97681"/>
    <w:rsid w:val="00F97B5A"/>
    <w:rsid w:val="00FA1039"/>
    <w:rsid w:val="00FA1808"/>
    <w:rsid w:val="00FA185F"/>
    <w:rsid w:val="00FA18C0"/>
    <w:rsid w:val="00FA1C50"/>
    <w:rsid w:val="00FA2119"/>
    <w:rsid w:val="00FA2FDE"/>
    <w:rsid w:val="00FA33AD"/>
    <w:rsid w:val="00FA34ED"/>
    <w:rsid w:val="00FA3D32"/>
    <w:rsid w:val="00FA4247"/>
    <w:rsid w:val="00FA465D"/>
    <w:rsid w:val="00FA4DEB"/>
    <w:rsid w:val="00FA56BB"/>
    <w:rsid w:val="00FA6019"/>
    <w:rsid w:val="00FA63F4"/>
    <w:rsid w:val="00FA6785"/>
    <w:rsid w:val="00FA6C5F"/>
    <w:rsid w:val="00FA7EBF"/>
    <w:rsid w:val="00FA7FB6"/>
    <w:rsid w:val="00FB0C9E"/>
    <w:rsid w:val="00FB1779"/>
    <w:rsid w:val="00FB198D"/>
    <w:rsid w:val="00FB1C5A"/>
    <w:rsid w:val="00FB4157"/>
    <w:rsid w:val="00FB4C2C"/>
    <w:rsid w:val="00FB4FD2"/>
    <w:rsid w:val="00FB552F"/>
    <w:rsid w:val="00FB5846"/>
    <w:rsid w:val="00FB6586"/>
    <w:rsid w:val="00FB697E"/>
    <w:rsid w:val="00FB78D0"/>
    <w:rsid w:val="00FC09AA"/>
    <w:rsid w:val="00FC0D00"/>
    <w:rsid w:val="00FC0E1C"/>
    <w:rsid w:val="00FC1CF5"/>
    <w:rsid w:val="00FC244F"/>
    <w:rsid w:val="00FC2F2E"/>
    <w:rsid w:val="00FC2F71"/>
    <w:rsid w:val="00FC3511"/>
    <w:rsid w:val="00FC3F50"/>
    <w:rsid w:val="00FC400A"/>
    <w:rsid w:val="00FC4629"/>
    <w:rsid w:val="00FC4B43"/>
    <w:rsid w:val="00FC6415"/>
    <w:rsid w:val="00FC721B"/>
    <w:rsid w:val="00FC7EC2"/>
    <w:rsid w:val="00FD0EC7"/>
    <w:rsid w:val="00FD1229"/>
    <w:rsid w:val="00FD1324"/>
    <w:rsid w:val="00FD1EE9"/>
    <w:rsid w:val="00FD20DF"/>
    <w:rsid w:val="00FD2360"/>
    <w:rsid w:val="00FD2492"/>
    <w:rsid w:val="00FD2BD5"/>
    <w:rsid w:val="00FD4A9A"/>
    <w:rsid w:val="00FD4BE9"/>
    <w:rsid w:val="00FD4F66"/>
    <w:rsid w:val="00FD610A"/>
    <w:rsid w:val="00FD645E"/>
    <w:rsid w:val="00FD65B5"/>
    <w:rsid w:val="00FD65DC"/>
    <w:rsid w:val="00FE0908"/>
    <w:rsid w:val="00FE0B21"/>
    <w:rsid w:val="00FE0D64"/>
    <w:rsid w:val="00FE1451"/>
    <w:rsid w:val="00FE2C6C"/>
    <w:rsid w:val="00FE2D44"/>
    <w:rsid w:val="00FE34B7"/>
    <w:rsid w:val="00FE3685"/>
    <w:rsid w:val="00FE4A01"/>
    <w:rsid w:val="00FE510D"/>
    <w:rsid w:val="00FE53C2"/>
    <w:rsid w:val="00FE579E"/>
    <w:rsid w:val="00FE5FAF"/>
    <w:rsid w:val="00FE6673"/>
    <w:rsid w:val="00FE67DB"/>
    <w:rsid w:val="00FE6855"/>
    <w:rsid w:val="00FE6A9F"/>
    <w:rsid w:val="00FE714F"/>
    <w:rsid w:val="00FE753A"/>
    <w:rsid w:val="00FE78C1"/>
    <w:rsid w:val="00FE7AAC"/>
    <w:rsid w:val="00FE7EDF"/>
    <w:rsid w:val="00FF005A"/>
    <w:rsid w:val="00FF01A5"/>
    <w:rsid w:val="00FF028D"/>
    <w:rsid w:val="00FF029A"/>
    <w:rsid w:val="00FF04A8"/>
    <w:rsid w:val="00FF1208"/>
    <w:rsid w:val="00FF170E"/>
    <w:rsid w:val="00FF1BEB"/>
    <w:rsid w:val="00FF1CC7"/>
    <w:rsid w:val="00FF2519"/>
    <w:rsid w:val="00FF2F73"/>
    <w:rsid w:val="00FF2F81"/>
    <w:rsid w:val="00FF3E4F"/>
    <w:rsid w:val="00FF3F81"/>
    <w:rsid w:val="00FF4E84"/>
    <w:rsid w:val="00FF5709"/>
    <w:rsid w:val="00FF59F9"/>
    <w:rsid w:val="00FF5D29"/>
    <w:rsid w:val="00FF5E86"/>
    <w:rsid w:val="00FF6978"/>
    <w:rsid w:val="00FF6FB8"/>
    <w:rsid w:val="00FF76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7258D"/>
  <w14:defaultImageDpi w14:val="96"/>
  <w15:chartTrackingRefBased/>
  <w15:docId w15:val="{2BC353B1-3521-4317-BF26-F16C595A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noProof/>
    </w:rPr>
  </w:style>
  <w:style w:type="paragraph" w:styleId="1">
    <w:name w:val="heading 1"/>
    <w:basedOn w:val="a"/>
    <w:next w:val="a"/>
    <w:link w:val="10"/>
    <w:uiPriority w:val="9"/>
    <w:qFormat/>
    <w:rsid w:val="0006361A"/>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next w:val="a"/>
    <w:link w:val="20"/>
    <w:autoRedefine/>
    <w:uiPriority w:val="9"/>
    <w:unhideWhenUsed/>
    <w:qFormat/>
    <w:rsid w:val="00786DE6"/>
    <w:pPr>
      <w:keepNext/>
      <w:keepLines/>
      <w:spacing w:before="160" w:after="240"/>
      <w:outlineLvl w:val="1"/>
    </w:pPr>
    <w:rPr>
      <w:rFonts w:asciiTheme="majorHAnsi" w:eastAsiaTheme="majorEastAsia" w:hAnsiTheme="majorHAnsi"/>
      <w:bCs/>
      <w:color w:val="548DD4" w:themeColor="text2" w:themeTint="99"/>
      <w:sz w:val="26"/>
      <w:szCs w:val="26"/>
    </w:rPr>
  </w:style>
  <w:style w:type="paragraph" w:styleId="3">
    <w:name w:val="heading 3"/>
    <w:basedOn w:val="a"/>
    <w:next w:val="a"/>
    <w:link w:val="30"/>
    <w:uiPriority w:val="9"/>
    <w:unhideWhenUsed/>
    <w:qFormat/>
    <w:rsid w:val="002D54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הערות"/>
    <w:basedOn w:val="a"/>
    <w:next w:val="a"/>
    <w:link w:val="a4"/>
    <w:uiPriority w:val="11"/>
    <w:qFormat/>
    <w:rsid w:val="00450F4B"/>
    <w:pPr>
      <w:numPr>
        <w:ilvl w:val="1"/>
      </w:numPr>
      <w:spacing w:after="160"/>
    </w:pPr>
    <w:rPr>
      <w:rFonts w:eastAsiaTheme="minorEastAsia" w:cs="David"/>
      <w:color w:val="5A5A5A" w:themeColor="text1" w:themeTint="A5"/>
      <w:spacing w:val="15"/>
      <w:szCs w:val="20"/>
    </w:rPr>
  </w:style>
  <w:style w:type="character" w:customStyle="1" w:styleId="a4">
    <w:name w:val="כותרת משנה תו"/>
    <w:aliases w:val="הערות תו"/>
    <w:basedOn w:val="a0"/>
    <w:link w:val="a3"/>
    <w:uiPriority w:val="11"/>
    <w:rsid w:val="00450F4B"/>
    <w:rPr>
      <w:rFonts w:eastAsiaTheme="minorEastAsia" w:cs="David"/>
      <w:color w:val="5A5A5A" w:themeColor="text1" w:themeTint="A5"/>
      <w:spacing w:val="15"/>
      <w:szCs w:val="20"/>
    </w:rPr>
  </w:style>
  <w:style w:type="character" w:customStyle="1" w:styleId="10">
    <w:name w:val="כותרת 1 תו"/>
    <w:basedOn w:val="a0"/>
    <w:link w:val="1"/>
    <w:uiPriority w:val="9"/>
    <w:rsid w:val="0006361A"/>
    <w:rPr>
      <w:rFonts w:asciiTheme="majorHAnsi" w:eastAsiaTheme="majorEastAsia" w:hAnsiTheme="majorHAnsi"/>
      <w:b/>
      <w:bCs/>
      <w:color w:val="365F91" w:themeColor="accent1" w:themeShade="BF"/>
      <w:sz w:val="28"/>
      <w:szCs w:val="28"/>
    </w:rPr>
  </w:style>
  <w:style w:type="character" w:customStyle="1" w:styleId="20">
    <w:name w:val="כותרת 2 תו"/>
    <w:basedOn w:val="a0"/>
    <w:link w:val="2"/>
    <w:uiPriority w:val="9"/>
    <w:rsid w:val="00786DE6"/>
    <w:rPr>
      <w:rFonts w:asciiTheme="majorHAnsi" w:eastAsiaTheme="majorEastAsia" w:hAnsiTheme="majorHAnsi"/>
      <w:bCs/>
      <w:noProof/>
      <w:color w:val="548DD4" w:themeColor="text2" w:themeTint="99"/>
      <w:sz w:val="26"/>
      <w:szCs w:val="26"/>
    </w:rPr>
  </w:style>
  <w:style w:type="paragraph" w:styleId="a5">
    <w:name w:val="footnote text"/>
    <w:basedOn w:val="a"/>
    <w:link w:val="a6"/>
    <w:uiPriority w:val="99"/>
    <w:unhideWhenUsed/>
    <w:rsid w:val="008A01C4"/>
    <w:pPr>
      <w:spacing w:after="0" w:line="240" w:lineRule="auto"/>
    </w:pPr>
    <w:rPr>
      <w:sz w:val="20"/>
      <w:szCs w:val="20"/>
    </w:rPr>
  </w:style>
  <w:style w:type="character" w:customStyle="1" w:styleId="a6">
    <w:name w:val="טקסט הערת שוליים תו"/>
    <w:basedOn w:val="a0"/>
    <w:link w:val="a5"/>
    <w:uiPriority w:val="99"/>
    <w:rsid w:val="008A01C4"/>
    <w:rPr>
      <w:sz w:val="20"/>
      <w:szCs w:val="20"/>
    </w:rPr>
  </w:style>
  <w:style w:type="character" w:styleId="a7">
    <w:name w:val="footnote reference"/>
    <w:basedOn w:val="a0"/>
    <w:uiPriority w:val="99"/>
    <w:unhideWhenUsed/>
    <w:rsid w:val="008A01C4"/>
    <w:rPr>
      <w:vertAlign w:val="superscript"/>
    </w:rPr>
  </w:style>
  <w:style w:type="paragraph" w:styleId="a8">
    <w:name w:val="endnote text"/>
    <w:basedOn w:val="a"/>
    <w:link w:val="a9"/>
    <w:uiPriority w:val="99"/>
    <w:semiHidden/>
    <w:unhideWhenUsed/>
    <w:rsid w:val="009957AF"/>
    <w:pPr>
      <w:spacing w:after="0" w:line="240" w:lineRule="auto"/>
    </w:pPr>
    <w:rPr>
      <w:sz w:val="20"/>
      <w:szCs w:val="20"/>
    </w:rPr>
  </w:style>
  <w:style w:type="character" w:customStyle="1" w:styleId="a9">
    <w:name w:val="טקסט הערת סיום תו"/>
    <w:basedOn w:val="a0"/>
    <w:link w:val="a8"/>
    <w:uiPriority w:val="99"/>
    <w:semiHidden/>
    <w:rsid w:val="009957AF"/>
    <w:rPr>
      <w:sz w:val="20"/>
      <w:szCs w:val="20"/>
    </w:rPr>
  </w:style>
  <w:style w:type="character" w:styleId="aa">
    <w:name w:val="endnote reference"/>
    <w:basedOn w:val="a0"/>
    <w:uiPriority w:val="99"/>
    <w:semiHidden/>
    <w:unhideWhenUsed/>
    <w:rsid w:val="009957AF"/>
    <w:rPr>
      <w:vertAlign w:val="superscript"/>
    </w:rPr>
  </w:style>
  <w:style w:type="paragraph" w:styleId="ab">
    <w:name w:val="List Paragraph"/>
    <w:basedOn w:val="a"/>
    <w:link w:val="ac"/>
    <w:uiPriority w:val="34"/>
    <w:qFormat/>
    <w:rsid w:val="00A3575F"/>
    <w:pPr>
      <w:ind w:left="720"/>
      <w:contextualSpacing/>
    </w:pPr>
  </w:style>
  <w:style w:type="character" w:customStyle="1" w:styleId="ac">
    <w:name w:val="פיסקת רשימה תו"/>
    <w:basedOn w:val="a0"/>
    <w:link w:val="ab"/>
    <w:uiPriority w:val="34"/>
    <w:rsid w:val="0093013C"/>
  </w:style>
  <w:style w:type="paragraph" w:styleId="ad">
    <w:name w:val="Balloon Text"/>
    <w:basedOn w:val="a"/>
    <w:link w:val="ae"/>
    <w:uiPriority w:val="99"/>
    <w:semiHidden/>
    <w:unhideWhenUsed/>
    <w:rsid w:val="004B69E1"/>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4B69E1"/>
    <w:rPr>
      <w:rFonts w:ascii="Tahoma" w:hAnsi="Tahoma" w:cs="Tahoma"/>
      <w:sz w:val="18"/>
      <w:szCs w:val="18"/>
    </w:rPr>
  </w:style>
  <w:style w:type="character" w:customStyle="1" w:styleId="30">
    <w:name w:val="כותרת 3 תו"/>
    <w:basedOn w:val="a0"/>
    <w:link w:val="3"/>
    <w:uiPriority w:val="9"/>
    <w:rsid w:val="002D54AA"/>
    <w:rPr>
      <w:rFonts w:asciiTheme="majorHAnsi" w:eastAsiaTheme="majorEastAsia" w:hAnsiTheme="majorHAnsi" w:cstheme="majorBidi"/>
      <w:b/>
      <w:bCs/>
      <w:color w:val="4F81BD" w:themeColor="accent1"/>
    </w:rPr>
  </w:style>
  <w:style w:type="paragraph" w:styleId="af">
    <w:name w:val="header"/>
    <w:basedOn w:val="a"/>
    <w:link w:val="af0"/>
    <w:uiPriority w:val="99"/>
    <w:unhideWhenUsed/>
    <w:rsid w:val="002D54AA"/>
    <w:pPr>
      <w:tabs>
        <w:tab w:val="center" w:pos="4153"/>
        <w:tab w:val="right" w:pos="8306"/>
      </w:tabs>
      <w:spacing w:after="0" w:line="240" w:lineRule="auto"/>
    </w:pPr>
  </w:style>
  <w:style w:type="character" w:customStyle="1" w:styleId="af0">
    <w:name w:val="כותרת עליונה תו"/>
    <w:basedOn w:val="a0"/>
    <w:link w:val="af"/>
    <w:uiPriority w:val="99"/>
    <w:rsid w:val="002D54AA"/>
  </w:style>
  <w:style w:type="paragraph" w:styleId="af1">
    <w:name w:val="footer"/>
    <w:basedOn w:val="a"/>
    <w:link w:val="af2"/>
    <w:uiPriority w:val="99"/>
    <w:unhideWhenUsed/>
    <w:rsid w:val="002D54AA"/>
    <w:pPr>
      <w:tabs>
        <w:tab w:val="center" w:pos="4153"/>
        <w:tab w:val="right" w:pos="8306"/>
      </w:tabs>
      <w:spacing w:after="0" w:line="240" w:lineRule="auto"/>
    </w:pPr>
  </w:style>
  <w:style w:type="character" w:customStyle="1" w:styleId="af2">
    <w:name w:val="כותרת תחתונה תו"/>
    <w:basedOn w:val="a0"/>
    <w:link w:val="af1"/>
    <w:uiPriority w:val="99"/>
    <w:rsid w:val="002D54AA"/>
  </w:style>
  <w:style w:type="table" w:styleId="af3">
    <w:name w:val="Table Grid"/>
    <w:basedOn w:val="a1"/>
    <w:uiPriority w:val="59"/>
    <w:rsid w:val="002D5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2D54AA"/>
    <w:pPr>
      <w:bidi/>
      <w:spacing w:after="0" w:line="240" w:lineRule="auto"/>
    </w:pPr>
  </w:style>
  <w:style w:type="character" w:styleId="af5">
    <w:name w:val="annotation reference"/>
    <w:basedOn w:val="a0"/>
    <w:uiPriority w:val="99"/>
    <w:semiHidden/>
    <w:unhideWhenUsed/>
    <w:rsid w:val="00FA2119"/>
    <w:rPr>
      <w:sz w:val="16"/>
      <w:szCs w:val="16"/>
    </w:rPr>
  </w:style>
  <w:style w:type="paragraph" w:styleId="af6">
    <w:name w:val="annotation text"/>
    <w:basedOn w:val="a"/>
    <w:link w:val="af7"/>
    <w:uiPriority w:val="99"/>
    <w:semiHidden/>
    <w:unhideWhenUsed/>
    <w:rsid w:val="00FA2119"/>
    <w:pPr>
      <w:spacing w:line="240" w:lineRule="auto"/>
    </w:pPr>
    <w:rPr>
      <w:sz w:val="20"/>
      <w:szCs w:val="20"/>
    </w:rPr>
  </w:style>
  <w:style w:type="character" w:customStyle="1" w:styleId="af7">
    <w:name w:val="טקסט הערה תו"/>
    <w:basedOn w:val="a0"/>
    <w:link w:val="af6"/>
    <w:uiPriority w:val="99"/>
    <w:semiHidden/>
    <w:rsid w:val="00FA2119"/>
    <w:rPr>
      <w:noProof/>
      <w:sz w:val="20"/>
      <w:szCs w:val="20"/>
    </w:rPr>
  </w:style>
  <w:style w:type="paragraph" w:styleId="af8">
    <w:name w:val="annotation subject"/>
    <w:basedOn w:val="af6"/>
    <w:next w:val="af6"/>
    <w:link w:val="af9"/>
    <w:uiPriority w:val="99"/>
    <w:semiHidden/>
    <w:unhideWhenUsed/>
    <w:rsid w:val="00FA2119"/>
    <w:rPr>
      <w:b/>
      <w:bCs/>
    </w:rPr>
  </w:style>
  <w:style w:type="character" w:customStyle="1" w:styleId="af9">
    <w:name w:val="נושא הערה תו"/>
    <w:basedOn w:val="af7"/>
    <w:link w:val="af8"/>
    <w:uiPriority w:val="99"/>
    <w:semiHidden/>
    <w:rsid w:val="00FA2119"/>
    <w:rPr>
      <w:b/>
      <w:bCs/>
      <w:noProof/>
      <w:sz w:val="20"/>
      <w:szCs w:val="20"/>
    </w:rPr>
  </w:style>
  <w:style w:type="paragraph" w:customStyle="1" w:styleId="msonormal0">
    <w:name w:val="msonormal"/>
    <w:basedOn w:val="a"/>
    <w:rsid w:val="00FA2119"/>
    <w:pPr>
      <w:bidi w:val="0"/>
      <w:spacing w:before="100" w:beforeAutospacing="1" w:after="100" w:afterAutospacing="1" w:line="240" w:lineRule="auto"/>
    </w:pPr>
    <w:rPr>
      <w:rFonts w:ascii="Times New Roman" w:eastAsia="Times New Roman" w:hAnsi="Times New Roman" w:cs="Times New Roman"/>
      <w:noProof w:val="0"/>
      <w:sz w:val="24"/>
      <w:szCs w:val="24"/>
    </w:rPr>
  </w:style>
  <w:style w:type="character" w:customStyle="1" w:styleId="11">
    <w:name w:val="כותרת משנה תו1"/>
    <w:aliases w:val="הערות תו1"/>
    <w:basedOn w:val="a0"/>
    <w:uiPriority w:val="11"/>
    <w:rsid w:val="00FA2119"/>
    <w:rPr>
      <w:rFonts w:eastAsiaTheme="minorEastAsia"/>
      <w:noProof/>
      <w:color w:val="5A5A5A" w:themeColor="text1" w:themeTint="A5"/>
      <w:spacing w:val="15"/>
    </w:rPr>
  </w:style>
  <w:style w:type="paragraph" w:styleId="afa">
    <w:name w:val="Revision"/>
    <w:hidden/>
    <w:uiPriority w:val="99"/>
    <w:semiHidden/>
    <w:rsid w:val="00492B87"/>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22626">
      <w:bodyDiv w:val="1"/>
      <w:marLeft w:val="0"/>
      <w:marRight w:val="0"/>
      <w:marTop w:val="0"/>
      <w:marBottom w:val="0"/>
      <w:divBdr>
        <w:top w:val="none" w:sz="0" w:space="0" w:color="auto"/>
        <w:left w:val="none" w:sz="0" w:space="0" w:color="auto"/>
        <w:bottom w:val="none" w:sz="0" w:space="0" w:color="auto"/>
        <w:right w:val="none" w:sz="0" w:space="0" w:color="auto"/>
      </w:divBdr>
    </w:div>
    <w:div w:id="1470248453">
      <w:bodyDiv w:val="1"/>
      <w:marLeft w:val="0"/>
      <w:marRight w:val="0"/>
      <w:marTop w:val="0"/>
      <w:marBottom w:val="0"/>
      <w:divBdr>
        <w:top w:val="none" w:sz="0" w:space="0" w:color="auto"/>
        <w:left w:val="none" w:sz="0" w:space="0" w:color="auto"/>
        <w:bottom w:val="none" w:sz="0" w:space="0" w:color="auto"/>
        <w:right w:val="none" w:sz="0" w:space="0" w:color="auto"/>
      </w:divBdr>
    </w:div>
    <w:div w:id="151703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5.xml"/><Relationship Id="rId39" Type="http://schemas.openxmlformats.org/officeDocument/2006/relationships/header" Target="header28.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8.xml"/><Relationship Id="rId11" Type="http://schemas.openxmlformats.org/officeDocument/2006/relationships/customXml" Target="ink/ink1.xm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2.xml"/><Relationship Id="rId31" Type="http://schemas.openxmlformats.org/officeDocument/2006/relationships/header" Target="header20.xml"/><Relationship Id="rId44" Type="http://schemas.openxmlformats.org/officeDocument/2006/relationships/header" Target="header3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7.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20" Type="http://schemas.openxmlformats.org/officeDocument/2006/relationships/header" Target="header9.xml"/><Relationship Id="rId41"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08T07:32:29.270"/>
    </inkml:context>
    <inkml:brush xml:id="br0">
      <inkml:brushProperty name="width" value="0.05" units="cm"/>
      <inkml:brushProperty name="height" value="0.3" units="cm"/>
      <inkml:brushProperty name="ignorePressure" value="1"/>
      <inkml:brushProperty name="inkEffects" value="pencil"/>
    </inkml:brush>
  </inkml:definitions>
  <inkml:trace contextRef="#ctx0" brushRef="#br0">0 1,'0'0</inkml:trace>
</inkml:ink>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E0A8D-1BB7-4888-BE83-F6E73863D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201382</TotalTime>
  <Pages>500</Pages>
  <Words>179037</Words>
  <Characters>895189</Characters>
  <Application>Microsoft Office Word</Application>
  <DocSecurity>0</DocSecurity>
  <Lines>7459</Lines>
  <Paragraphs>2144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1072082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ממן</dc:creator>
  <cp:keywords/>
  <dc:description/>
  <cp:lastModifiedBy>יצחק ממן</cp:lastModifiedBy>
  <cp:revision>1284</cp:revision>
  <cp:lastPrinted>2023-06-23T15:22:00Z</cp:lastPrinted>
  <dcterms:created xsi:type="dcterms:W3CDTF">2018-11-08T16:12:00Z</dcterms:created>
  <dcterms:modified xsi:type="dcterms:W3CDTF">2023-07-02T09:38:00Z</dcterms:modified>
</cp:coreProperties>
</file>